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417"/>
        <w:rPr>
          <w:sz w:val="20"/>
        </w:rPr>
      </w:pPr>
      <w:r>
        <w:rPr>
          <w:sz w:val="20"/>
        </w:rPr>
        <mc:AlternateContent>
          <mc:Choice Requires="wps">
            <w:drawing>
              <wp:anchor distT="0" distB="0" distL="0" distR="0" allowOverlap="1" layoutInCell="1" locked="0" behindDoc="1" simplePos="0" relativeHeight="481501184">
                <wp:simplePos x="0" y="0"/>
                <wp:positionH relativeFrom="page">
                  <wp:posOffset>0</wp:posOffset>
                </wp:positionH>
                <wp:positionV relativeFrom="page">
                  <wp:posOffset>0</wp:posOffset>
                </wp:positionV>
                <wp:extent cx="7556500" cy="1069149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6500" cy="10691495"/>
                        </a:xfrm>
                        <a:custGeom>
                          <a:avLst/>
                          <a:gdLst/>
                          <a:ahLst/>
                          <a:cxnLst/>
                          <a:rect l="l" t="t" r="r" b="b"/>
                          <a:pathLst>
                            <a:path w="7556500" h="10691495">
                              <a:moveTo>
                                <a:pt x="7556500" y="0"/>
                              </a:moveTo>
                              <a:lnTo>
                                <a:pt x="0" y="0"/>
                              </a:lnTo>
                              <a:lnTo>
                                <a:pt x="0" y="10691393"/>
                              </a:lnTo>
                              <a:lnTo>
                                <a:pt x="7556500" y="10691393"/>
                              </a:lnTo>
                              <a:lnTo>
                                <a:pt x="7556500" y="0"/>
                              </a:lnTo>
                              <a:close/>
                            </a:path>
                          </a:pathLst>
                        </a:custGeom>
                        <a:solidFill>
                          <a:srgbClr val="A30046"/>
                        </a:solidFill>
                      </wps:spPr>
                      <wps:bodyPr wrap="square" lIns="0" tIns="0" rIns="0" bIns="0" rtlCol="0">
                        <a:prstTxWarp prst="textNoShape">
                          <a:avLst/>
                        </a:prstTxWarp>
                        <a:noAutofit/>
                      </wps:bodyPr>
                    </wps:wsp>
                  </a:graphicData>
                </a:graphic>
              </wp:anchor>
            </w:drawing>
          </mc:Choice>
          <mc:Fallback>
            <w:pict>
              <v:rect style="position:absolute;margin-left:0pt;margin-top:-.000053pt;width:595pt;height:841.842pt;mso-position-horizontal-relative:page;mso-position-vertical-relative:page;z-index:-21815296" id="docshape1" filled="true" fillcolor="#a30046" stroked="false">
                <v:fill type="solid"/>
                <w10:wrap type="none"/>
              </v:rect>
            </w:pict>
          </mc:Fallback>
        </mc:AlternateContent>
      </w:r>
      <w:r>
        <w:rPr>
          <w:sz w:val="20"/>
        </w:rPr>
        <mc:AlternateContent>
          <mc:Choice Requires="wps">
            <w:drawing>
              <wp:inline distT="0" distB="0" distL="0" distR="0">
                <wp:extent cx="864235" cy="288290"/>
                <wp:effectExtent l="0" t="0" r="0" b="0"/>
                <wp:docPr id="2" name="Group 2"/>
                <wp:cNvGraphicFramePr>
                  <a:graphicFrameLocks/>
                </wp:cNvGraphicFramePr>
                <a:graphic>
                  <a:graphicData uri="http://schemas.microsoft.com/office/word/2010/wordprocessingGroup">
                    <wpg:wgp>
                      <wpg:cNvPr id="2" name="Group 2"/>
                      <wpg:cNvGrpSpPr/>
                      <wpg:grpSpPr>
                        <a:xfrm>
                          <a:off x="0" y="0"/>
                          <a:ext cx="864235" cy="288290"/>
                          <a:chExt cx="864235" cy="288290"/>
                        </a:xfrm>
                      </wpg:grpSpPr>
                      <wps:wsp>
                        <wps:cNvPr id="3" name="Graphic 3"/>
                        <wps:cNvSpPr/>
                        <wps:spPr>
                          <a:xfrm>
                            <a:off x="0" y="0"/>
                            <a:ext cx="864235" cy="288290"/>
                          </a:xfrm>
                          <a:custGeom>
                            <a:avLst/>
                            <a:gdLst/>
                            <a:ahLst/>
                            <a:cxnLst/>
                            <a:rect l="l" t="t" r="r" b="b"/>
                            <a:pathLst>
                              <a:path w="864235" h="288290">
                                <a:moveTo>
                                  <a:pt x="863686" y="0"/>
                                </a:moveTo>
                                <a:lnTo>
                                  <a:pt x="0" y="0"/>
                                </a:lnTo>
                                <a:lnTo>
                                  <a:pt x="0" y="287996"/>
                                </a:lnTo>
                                <a:lnTo>
                                  <a:pt x="863686" y="287996"/>
                                </a:lnTo>
                                <a:lnTo>
                                  <a:pt x="863686" y="0"/>
                                </a:lnTo>
                                <a:close/>
                              </a:path>
                            </a:pathLst>
                          </a:custGeom>
                          <a:solidFill>
                            <a:srgbClr val="E1EDC3"/>
                          </a:solidFill>
                        </wps:spPr>
                        <wps:bodyPr wrap="square" lIns="0" tIns="0" rIns="0" bIns="0" rtlCol="0">
                          <a:prstTxWarp prst="textNoShape">
                            <a:avLst/>
                          </a:prstTxWarp>
                          <a:noAutofit/>
                        </wps:bodyPr>
                      </wps:wsp>
                    </wpg:wgp>
                  </a:graphicData>
                </a:graphic>
              </wp:inline>
            </w:drawing>
          </mc:Choice>
          <mc:Fallback>
            <w:pict>
              <v:group style="width:68.05pt;height:22.7pt;mso-position-horizontal-relative:char;mso-position-vertical-relative:line" id="docshapegroup2" coordorigin="0,0" coordsize="1361,454">
                <v:rect style="position:absolute;left:0;top:0;width:1361;height:454" id="docshape3" filled="true" fillcolor="#e1edc3" stroked="false">
                  <v:fill type="solid"/>
                </v:rect>
              </v:group>
            </w:pict>
          </mc:Fallback>
        </mc:AlternateContent>
      </w:r>
      <w:r>
        <w:rPr>
          <w:sz w:val="20"/>
        </w:rPr>
      </w:r>
    </w:p>
    <w:p>
      <w:pPr>
        <w:pStyle w:val="Title"/>
        <w:spacing w:line="237" w:lineRule="auto"/>
      </w:pPr>
      <w:r>
        <w:rPr>
          <w:color w:val="FFFFFF"/>
        </w:rPr>
        <w:t>Guía de Práctica Clínica sobre</w:t>
      </w:r>
      <w:r>
        <w:rPr>
          <w:color w:val="FFFFFF"/>
          <w:spacing w:val="-20"/>
        </w:rPr>
        <w:t> </w:t>
      </w:r>
      <w:r>
        <w:rPr>
          <w:color w:val="FFFFFF"/>
        </w:rPr>
        <w:t>la</w:t>
      </w:r>
      <w:r>
        <w:rPr>
          <w:color w:val="FFFFFF"/>
          <w:spacing w:val="-19"/>
        </w:rPr>
        <w:t> </w:t>
      </w:r>
      <w:r>
        <w:rPr>
          <w:color w:val="FFFFFF"/>
        </w:rPr>
        <w:t>Atención</w:t>
      </w:r>
      <w:r>
        <w:rPr>
          <w:color w:val="FFFFFF"/>
          <w:spacing w:val="-17"/>
        </w:rPr>
        <w:t> </w:t>
      </w:r>
      <w:r>
        <w:rPr>
          <w:color w:val="FFFFFF"/>
        </w:rPr>
        <w:t>al</w:t>
      </w:r>
      <w:r>
        <w:rPr>
          <w:color w:val="FFFFFF"/>
          <w:spacing w:val="-19"/>
        </w:rPr>
        <w:t> </w:t>
      </w:r>
      <w:r>
        <w:rPr>
          <w:color w:val="FFFFFF"/>
        </w:rPr>
        <w:t>Parto </w:t>
      </w:r>
      <w:r>
        <w:rPr>
          <w:color w:val="FFFFFF"/>
          <w:spacing w:val="-2"/>
        </w:rPr>
        <w:t>Normal</w:t>
      </w: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rPr>
          <w:b/>
          <w:sz w:val="70"/>
        </w:rPr>
      </w:pPr>
    </w:p>
    <w:p>
      <w:pPr>
        <w:pStyle w:val="BodyText"/>
        <w:spacing w:before="466"/>
        <w:rPr>
          <w:b/>
          <w:sz w:val="70"/>
        </w:rPr>
      </w:pPr>
    </w:p>
    <w:p>
      <w:pPr>
        <w:spacing w:before="1"/>
        <w:ind w:left="283" w:right="0" w:firstLine="0"/>
        <w:jc w:val="left"/>
        <w:rPr>
          <w:rFonts w:ascii="Trebuchet MS" w:hAnsi="Trebuchet MS"/>
          <w:b/>
          <w:sz w:val="17"/>
        </w:rPr>
      </w:pPr>
      <w:r>
        <w:rPr>
          <w:rFonts w:ascii="Trebuchet MS" w:hAnsi="Trebuchet MS"/>
          <w:b/>
          <w:color w:val="FFFFFF"/>
          <w:w w:val="110"/>
          <w:sz w:val="17"/>
        </w:rPr>
        <w:t>GUÍAS</w:t>
      </w:r>
      <w:r>
        <w:rPr>
          <w:rFonts w:ascii="Trebuchet MS" w:hAnsi="Trebuchet MS"/>
          <w:b/>
          <w:color w:val="FFFFFF"/>
          <w:spacing w:val="48"/>
          <w:w w:val="110"/>
          <w:sz w:val="17"/>
        </w:rPr>
        <w:t> </w:t>
      </w:r>
      <w:r>
        <w:rPr>
          <w:rFonts w:ascii="Trebuchet MS" w:hAnsi="Trebuchet MS"/>
          <w:b/>
          <w:color w:val="FFFFFF"/>
          <w:w w:val="110"/>
          <w:sz w:val="17"/>
        </w:rPr>
        <w:t>DE</w:t>
      </w:r>
      <w:r>
        <w:rPr>
          <w:rFonts w:ascii="Trebuchet MS" w:hAnsi="Trebuchet MS"/>
          <w:b/>
          <w:color w:val="FFFFFF"/>
          <w:spacing w:val="51"/>
          <w:w w:val="110"/>
          <w:sz w:val="17"/>
        </w:rPr>
        <w:t> </w:t>
      </w:r>
      <w:r>
        <w:rPr>
          <w:rFonts w:ascii="Trebuchet MS" w:hAnsi="Trebuchet MS"/>
          <w:b/>
          <w:color w:val="FFFFFF"/>
          <w:w w:val="110"/>
          <w:sz w:val="17"/>
        </w:rPr>
        <w:t>PRÁCTICA</w:t>
      </w:r>
      <w:r>
        <w:rPr>
          <w:rFonts w:ascii="Trebuchet MS" w:hAnsi="Trebuchet MS"/>
          <w:b/>
          <w:color w:val="FFFFFF"/>
          <w:spacing w:val="51"/>
          <w:w w:val="110"/>
          <w:sz w:val="17"/>
        </w:rPr>
        <w:t> </w:t>
      </w:r>
      <w:r>
        <w:rPr>
          <w:rFonts w:ascii="Trebuchet MS" w:hAnsi="Trebuchet MS"/>
          <w:b/>
          <w:color w:val="FFFFFF"/>
          <w:w w:val="110"/>
          <w:sz w:val="17"/>
        </w:rPr>
        <w:t>CLÍNICA</w:t>
      </w:r>
      <w:r>
        <w:rPr>
          <w:rFonts w:ascii="Trebuchet MS" w:hAnsi="Trebuchet MS"/>
          <w:b/>
          <w:color w:val="FFFFFF"/>
          <w:spacing w:val="53"/>
          <w:w w:val="110"/>
          <w:sz w:val="17"/>
        </w:rPr>
        <w:t> </w:t>
      </w:r>
      <w:r>
        <w:rPr>
          <w:rFonts w:ascii="Trebuchet MS" w:hAnsi="Trebuchet MS"/>
          <w:b/>
          <w:color w:val="FFFFFF"/>
          <w:w w:val="110"/>
          <w:sz w:val="17"/>
        </w:rPr>
        <w:t>EN</w:t>
      </w:r>
      <w:r>
        <w:rPr>
          <w:rFonts w:ascii="Trebuchet MS" w:hAnsi="Trebuchet MS"/>
          <w:b/>
          <w:color w:val="FFFFFF"/>
          <w:spacing w:val="54"/>
          <w:w w:val="110"/>
          <w:sz w:val="17"/>
        </w:rPr>
        <w:t> </w:t>
      </w:r>
      <w:r>
        <w:rPr>
          <w:rFonts w:ascii="Trebuchet MS" w:hAnsi="Trebuchet MS"/>
          <w:b/>
          <w:color w:val="FFFFFF"/>
          <w:w w:val="110"/>
          <w:sz w:val="17"/>
        </w:rPr>
        <w:t>EL</w:t>
      </w:r>
      <w:r>
        <w:rPr>
          <w:rFonts w:ascii="Trebuchet MS" w:hAnsi="Trebuchet MS"/>
          <w:b/>
          <w:color w:val="FFFFFF"/>
          <w:spacing w:val="51"/>
          <w:w w:val="110"/>
          <w:sz w:val="17"/>
        </w:rPr>
        <w:t> </w:t>
      </w:r>
      <w:r>
        <w:rPr>
          <w:rFonts w:ascii="Trebuchet MS" w:hAnsi="Trebuchet MS"/>
          <w:b/>
          <w:color w:val="FFFFFF"/>
          <w:spacing w:val="-5"/>
          <w:w w:val="110"/>
          <w:sz w:val="17"/>
        </w:rPr>
        <w:t>SNS</w:t>
      </w:r>
    </w:p>
    <w:p>
      <w:pPr>
        <w:spacing w:before="81"/>
        <w:ind w:left="283" w:right="0" w:firstLine="0"/>
        <w:jc w:val="left"/>
        <w:rPr>
          <w:rFonts w:ascii="Trebuchet MS" w:hAnsi="Trebuchet MS"/>
          <w:sz w:val="17"/>
        </w:rPr>
      </w:pPr>
      <w:r>
        <w:rPr>
          <w:rFonts w:ascii="Trebuchet MS" w:hAnsi="Trebuchet MS"/>
          <w:color w:val="FFFFFF"/>
          <w:sz w:val="17"/>
        </w:rPr>
        <w:t>MINISTERIO</w:t>
      </w:r>
      <w:r>
        <w:rPr>
          <w:rFonts w:ascii="Trebuchet MS" w:hAnsi="Trebuchet MS"/>
          <w:color w:val="FFFFFF"/>
          <w:spacing w:val="55"/>
          <w:sz w:val="17"/>
        </w:rPr>
        <w:t> </w:t>
      </w:r>
      <w:r>
        <w:rPr>
          <w:rFonts w:ascii="Trebuchet MS" w:hAnsi="Trebuchet MS"/>
          <w:color w:val="FFFFFF"/>
          <w:sz w:val="17"/>
        </w:rPr>
        <w:t>DE</w:t>
      </w:r>
      <w:r>
        <w:rPr>
          <w:rFonts w:ascii="Trebuchet MS" w:hAnsi="Trebuchet MS"/>
          <w:color w:val="FFFFFF"/>
          <w:spacing w:val="53"/>
          <w:sz w:val="17"/>
        </w:rPr>
        <w:t> </w:t>
      </w:r>
      <w:r>
        <w:rPr>
          <w:rFonts w:ascii="Trebuchet MS" w:hAnsi="Trebuchet MS"/>
          <w:color w:val="FFFFFF"/>
          <w:sz w:val="17"/>
        </w:rPr>
        <w:t>SANIDAD</w:t>
      </w:r>
      <w:r>
        <w:rPr>
          <w:rFonts w:ascii="Trebuchet MS" w:hAnsi="Trebuchet MS"/>
          <w:color w:val="FFFFFF"/>
          <w:spacing w:val="55"/>
          <w:sz w:val="17"/>
        </w:rPr>
        <w:t> </w:t>
      </w:r>
      <w:r>
        <w:rPr>
          <w:rFonts w:ascii="Trebuchet MS" w:hAnsi="Trebuchet MS"/>
          <w:color w:val="FFFFFF"/>
          <w:sz w:val="17"/>
        </w:rPr>
        <w:t>Y</w:t>
      </w:r>
      <w:r>
        <w:rPr>
          <w:rFonts w:ascii="Trebuchet MS" w:hAnsi="Trebuchet MS"/>
          <w:color w:val="FFFFFF"/>
          <w:spacing w:val="55"/>
          <w:sz w:val="17"/>
        </w:rPr>
        <w:t> </w:t>
      </w:r>
      <w:r>
        <w:rPr>
          <w:rFonts w:ascii="Trebuchet MS" w:hAnsi="Trebuchet MS"/>
          <w:color w:val="FFFFFF"/>
          <w:sz w:val="17"/>
        </w:rPr>
        <w:t>POLÍTICA</w:t>
      </w:r>
      <w:r>
        <w:rPr>
          <w:rFonts w:ascii="Trebuchet MS" w:hAnsi="Trebuchet MS"/>
          <w:color w:val="FFFFFF"/>
          <w:spacing w:val="55"/>
          <w:sz w:val="17"/>
        </w:rPr>
        <w:t> </w:t>
      </w:r>
      <w:r>
        <w:rPr>
          <w:rFonts w:ascii="Trebuchet MS" w:hAnsi="Trebuchet MS"/>
          <w:color w:val="FFFFFF"/>
          <w:spacing w:val="-2"/>
          <w:sz w:val="17"/>
        </w:rPr>
        <w:t>SOCIAL</w:t>
      </w:r>
    </w:p>
    <w:p>
      <w:pPr>
        <w:pStyle w:val="BodyText"/>
        <w:rPr>
          <w:rFonts w:ascii="Trebuchet MS"/>
          <w:sz w:val="20"/>
        </w:rPr>
      </w:pPr>
    </w:p>
    <w:p>
      <w:pPr>
        <w:pStyle w:val="BodyText"/>
        <w:rPr>
          <w:rFonts w:ascii="Trebuchet MS"/>
          <w:sz w:val="20"/>
        </w:rPr>
      </w:pPr>
    </w:p>
    <w:p>
      <w:pPr>
        <w:pStyle w:val="BodyText"/>
        <w:spacing w:before="25"/>
        <w:rPr>
          <w:rFonts w:ascii="Trebuchet MS"/>
          <w:sz w:val="20"/>
        </w:rPr>
      </w:pPr>
      <w:r>
        <w:rPr>
          <w:rFonts w:ascii="Trebuchet MS"/>
          <w:sz w:val="20"/>
        </w:rPr>
        <mc:AlternateContent>
          <mc:Choice Requires="wps">
            <w:drawing>
              <wp:anchor distT="0" distB="0" distL="0" distR="0" allowOverlap="1" layoutInCell="1" locked="0" behindDoc="1" simplePos="0" relativeHeight="487588352">
                <wp:simplePos x="0" y="0"/>
                <wp:positionH relativeFrom="page">
                  <wp:posOffset>1375410</wp:posOffset>
                </wp:positionH>
                <wp:positionV relativeFrom="paragraph">
                  <wp:posOffset>247157</wp:posOffset>
                </wp:positionV>
                <wp:extent cx="814705" cy="40640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814705" cy="406400"/>
                          <a:chExt cx="814705" cy="406400"/>
                        </a:xfrm>
                      </wpg:grpSpPr>
                      <pic:pic>
                        <pic:nvPicPr>
                          <pic:cNvPr id="5" name="Image 5"/>
                          <pic:cNvPicPr/>
                        </pic:nvPicPr>
                        <pic:blipFill>
                          <a:blip r:embed="rId5" cstate="print"/>
                          <a:stretch>
                            <a:fillRect/>
                          </a:stretch>
                        </pic:blipFill>
                        <pic:spPr>
                          <a:xfrm>
                            <a:off x="0" y="0"/>
                            <a:ext cx="814119" cy="406284"/>
                          </a:xfrm>
                          <a:prstGeom prst="rect">
                            <a:avLst/>
                          </a:prstGeom>
                        </pic:spPr>
                      </pic:pic>
                      <pic:pic>
                        <pic:nvPicPr>
                          <pic:cNvPr id="6" name="Image 6"/>
                          <pic:cNvPicPr/>
                        </pic:nvPicPr>
                        <pic:blipFill>
                          <a:blip r:embed="rId6" cstate="print"/>
                          <a:stretch>
                            <a:fillRect/>
                          </a:stretch>
                        </pic:blipFill>
                        <pic:spPr>
                          <a:xfrm>
                            <a:off x="401472" y="160905"/>
                            <a:ext cx="259548" cy="87123"/>
                          </a:xfrm>
                          <a:prstGeom prst="rect">
                            <a:avLst/>
                          </a:prstGeom>
                        </pic:spPr>
                      </pic:pic>
                      <wps:wsp>
                        <wps:cNvPr id="7" name="Textbox 7"/>
                        <wps:cNvSpPr txBox="1"/>
                        <wps:spPr>
                          <a:xfrm>
                            <a:off x="0" y="0"/>
                            <a:ext cx="814705" cy="406400"/>
                          </a:xfrm>
                          <a:prstGeom prst="rect">
                            <a:avLst/>
                          </a:prstGeom>
                        </wps:spPr>
                        <wps:txbx>
                          <w:txbxContent>
                            <w:p>
                              <w:pPr>
                                <w:spacing w:line="240" w:lineRule="auto" w:before="0"/>
                                <w:rPr>
                                  <w:rFonts w:ascii="Trebuchet MS"/>
                                  <w:sz w:val="8"/>
                                </w:rPr>
                              </w:pPr>
                            </w:p>
                            <w:p>
                              <w:pPr>
                                <w:spacing w:line="240" w:lineRule="auto" w:before="0"/>
                                <w:rPr>
                                  <w:rFonts w:ascii="Trebuchet MS"/>
                                  <w:sz w:val="8"/>
                                </w:rPr>
                              </w:pPr>
                            </w:p>
                            <w:p>
                              <w:pPr>
                                <w:spacing w:line="240" w:lineRule="auto" w:before="0"/>
                                <w:rPr>
                                  <w:rFonts w:ascii="Trebuchet MS"/>
                                  <w:sz w:val="8"/>
                                </w:rPr>
                              </w:pPr>
                            </w:p>
                            <w:p>
                              <w:pPr>
                                <w:spacing w:line="240" w:lineRule="auto" w:before="24"/>
                                <w:rPr>
                                  <w:rFonts w:ascii="Trebuchet MS"/>
                                  <w:sz w:val="8"/>
                                </w:rPr>
                              </w:pPr>
                            </w:p>
                            <w:p>
                              <w:pPr>
                                <w:spacing w:before="0"/>
                                <w:ind w:left="627" w:right="0" w:firstLine="0"/>
                                <w:jc w:val="left"/>
                                <w:rPr>
                                  <w:rFonts w:ascii="Trebuchet MS" w:hAnsi="Trebuchet MS"/>
                                  <w:sz w:val="8"/>
                                </w:rPr>
                              </w:pPr>
                              <w:r>
                                <w:rPr>
                                  <w:rFonts w:ascii="Trebuchet MS" w:hAnsi="Trebuchet MS"/>
                                  <w:color w:val="FFFFFF"/>
                                  <w:sz w:val="8"/>
                                </w:rPr>
                                <w:t>E</w:t>
                              </w:r>
                              <w:r>
                                <w:rPr>
                                  <w:rFonts w:ascii="Trebuchet MS" w:hAnsi="Trebuchet MS"/>
                                  <w:color w:val="FFFFFF"/>
                                  <w:spacing w:val="-11"/>
                                  <w:sz w:val="8"/>
                                </w:rPr>
                                <w:t> </w:t>
                              </w:r>
                              <w:r>
                                <w:rPr>
                                  <w:rFonts w:ascii="Trebuchet MS" w:hAnsi="Trebuchet MS"/>
                                  <w:color w:val="FFFFFF"/>
                                  <w:spacing w:val="-2"/>
                                  <w:sz w:val="8"/>
                                </w:rPr>
                                <w:t>INNOVACIÓN</w:t>
                              </w:r>
                            </w:p>
                          </w:txbxContent>
                        </wps:txbx>
                        <wps:bodyPr wrap="square" lIns="0" tIns="0" rIns="0" bIns="0" rtlCol="0">
                          <a:noAutofit/>
                        </wps:bodyPr>
                      </wps:wsp>
                    </wpg:wgp>
                  </a:graphicData>
                </a:graphic>
              </wp:anchor>
            </w:drawing>
          </mc:Choice>
          <mc:Fallback>
            <w:pict>
              <v:group style="position:absolute;margin-left:108.300003pt;margin-top:19.461227pt;width:64.1500pt;height:32pt;mso-position-horizontal-relative:page;mso-position-vertical-relative:paragraph;z-index:-15728128;mso-wrap-distance-left:0;mso-wrap-distance-right:0" id="docshapegroup4" coordorigin="2166,389" coordsize="1283,640">
                <v:shape style="position:absolute;left:2166;top:389;width:1283;height:640" type="#_x0000_t75" id="docshape5" stroked="false">
                  <v:imagedata r:id="rId5" o:title=""/>
                </v:shape>
                <v:shape style="position:absolute;left:2798;top:642;width:409;height:138" type="#_x0000_t75" id="docshape6" stroked="false">
                  <v:imagedata r:id="rId6" o:title=""/>
                </v:shape>
                <v:shapetype id="_x0000_t202" o:spt="202" coordsize="21600,21600" path="m,l,21600r21600,l21600,xe">
                  <v:stroke joinstyle="miter"/>
                  <v:path gradientshapeok="t" o:connecttype="rect"/>
                </v:shapetype>
                <v:shape style="position:absolute;left:2166;top:389;width:1283;height:640" type="#_x0000_t202" id="docshape7" filled="false" stroked="false">
                  <v:textbox inset="0,0,0,0">
                    <w:txbxContent>
                      <w:p>
                        <w:pPr>
                          <w:spacing w:line="240" w:lineRule="auto" w:before="0"/>
                          <w:rPr>
                            <w:rFonts w:ascii="Trebuchet MS"/>
                            <w:sz w:val="8"/>
                          </w:rPr>
                        </w:pPr>
                      </w:p>
                      <w:p>
                        <w:pPr>
                          <w:spacing w:line="240" w:lineRule="auto" w:before="0"/>
                          <w:rPr>
                            <w:rFonts w:ascii="Trebuchet MS"/>
                            <w:sz w:val="8"/>
                          </w:rPr>
                        </w:pPr>
                      </w:p>
                      <w:p>
                        <w:pPr>
                          <w:spacing w:line="240" w:lineRule="auto" w:before="0"/>
                          <w:rPr>
                            <w:rFonts w:ascii="Trebuchet MS"/>
                            <w:sz w:val="8"/>
                          </w:rPr>
                        </w:pPr>
                      </w:p>
                      <w:p>
                        <w:pPr>
                          <w:spacing w:line="240" w:lineRule="auto" w:before="24"/>
                          <w:rPr>
                            <w:rFonts w:ascii="Trebuchet MS"/>
                            <w:sz w:val="8"/>
                          </w:rPr>
                        </w:pPr>
                      </w:p>
                      <w:p>
                        <w:pPr>
                          <w:spacing w:before="0"/>
                          <w:ind w:left="627" w:right="0" w:firstLine="0"/>
                          <w:jc w:val="left"/>
                          <w:rPr>
                            <w:rFonts w:ascii="Trebuchet MS" w:hAnsi="Trebuchet MS"/>
                            <w:sz w:val="8"/>
                          </w:rPr>
                        </w:pPr>
                        <w:r>
                          <w:rPr>
                            <w:rFonts w:ascii="Trebuchet MS" w:hAnsi="Trebuchet MS"/>
                            <w:color w:val="FFFFFF"/>
                            <w:sz w:val="8"/>
                          </w:rPr>
                          <w:t>E</w:t>
                        </w:r>
                        <w:r>
                          <w:rPr>
                            <w:rFonts w:ascii="Trebuchet MS" w:hAnsi="Trebuchet MS"/>
                            <w:color w:val="FFFFFF"/>
                            <w:spacing w:val="-11"/>
                            <w:sz w:val="8"/>
                          </w:rPr>
                          <w:t> </w:t>
                        </w:r>
                        <w:r>
                          <w:rPr>
                            <w:rFonts w:ascii="Trebuchet MS" w:hAnsi="Trebuchet MS"/>
                            <w:color w:val="FFFFFF"/>
                            <w:spacing w:val="-2"/>
                            <w:sz w:val="8"/>
                          </w:rPr>
                          <w:t>INNOVACIÓN</w:t>
                        </w:r>
                      </w:p>
                    </w:txbxContent>
                  </v:textbox>
                  <w10:wrap type="none"/>
                </v:shape>
                <w10:wrap type="topAndBottom"/>
              </v:group>
            </w:pict>
          </mc:Fallback>
        </mc:AlternateContent>
      </w:r>
      <w:r>
        <w:rPr>
          <w:rFonts w:ascii="Trebuchet MS"/>
          <w:sz w:val="20"/>
        </w:rPr>
        <mc:AlternateContent>
          <mc:Choice Requires="wps">
            <w:drawing>
              <wp:anchor distT="0" distB="0" distL="0" distR="0" allowOverlap="1" layoutInCell="1" locked="0" behindDoc="1" simplePos="0" relativeHeight="487588864">
                <wp:simplePos x="0" y="0"/>
                <wp:positionH relativeFrom="page">
                  <wp:posOffset>2417445</wp:posOffset>
                </wp:positionH>
                <wp:positionV relativeFrom="paragraph">
                  <wp:posOffset>245887</wp:posOffset>
                </wp:positionV>
                <wp:extent cx="903605" cy="408940"/>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903605" cy="408940"/>
                          <a:chExt cx="903605" cy="408940"/>
                        </a:xfrm>
                      </wpg:grpSpPr>
                      <pic:pic>
                        <pic:nvPicPr>
                          <pic:cNvPr id="9" name="Image 9"/>
                          <pic:cNvPicPr/>
                        </pic:nvPicPr>
                        <pic:blipFill>
                          <a:blip r:embed="rId7" cstate="print"/>
                          <a:stretch>
                            <a:fillRect/>
                          </a:stretch>
                        </pic:blipFill>
                        <pic:spPr>
                          <a:xfrm>
                            <a:off x="0" y="0"/>
                            <a:ext cx="903541" cy="408659"/>
                          </a:xfrm>
                          <a:prstGeom prst="rect">
                            <a:avLst/>
                          </a:prstGeom>
                        </pic:spPr>
                      </pic:pic>
                      <pic:pic>
                        <pic:nvPicPr>
                          <pic:cNvPr id="10" name="Image 10"/>
                          <pic:cNvPicPr/>
                        </pic:nvPicPr>
                        <pic:blipFill>
                          <a:blip r:embed="rId8" cstate="print"/>
                          <a:stretch>
                            <a:fillRect/>
                          </a:stretch>
                        </pic:blipFill>
                        <pic:spPr>
                          <a:xfrm>
                            <a:off x="401662" y="159127"/>
                            <a:ext cx="428879" cy="141988"/>
                          </a:xfrm>
                          <a:prstGeom prst="rect">
                            <a:avLst/>
                          </a:prstGeom>
                        </pic:spPr>
                      </pic:pic>
                    </wpg:wgp>
                  </a:graphicData>
                </a:graphic>
              </wp:anchor>
            </w:drawing>
          </mc:Choice>
          <mc:Fallback>
            <w:pict>
              <v:group style="position:absolute;margin-left:190.350006pt;margin-top:19.361229pt;width:71.150pt;height:32.2pt;mso-position-horizontal-relative:page;mso-position-vertical-relative:paragraph;z-index:-15727616;mso-wrap-distance-left:0;mso-wrap-distance-right:0" id="docshapegroup8" coordorigin="3807,387" coordsize="1423,644">
                <v:shape style="position:absolute;left:3807;top:387;width:1423;height:644" type="#_x0000_t75" id="docshape9" stroked="false">
                  <v:imagedata r:id="rId7" o:title=""/>
                </v:shape>
                <v:shape style="position:absolute;left:4439;top:637;width:676;height:224" type="#_x0000_t75" id="docshape10" stroked="false">
                  <v:imagedata r:id="rId8" o:title=""/>
                </v:shape>
                <w10:wrap type="topAndBottom"/>
              </v:group>
            </w:pict>
          </mc:Fallback>
        </mc:AlternateContent>
      </w:r>
      <w:r>
        <w:rPr>
          <w:rFonts w:ascii="Trebuchet MS"/>
          <w:sz w:val="20"/>
        </w:rPr>
        <w:drawing>
          <wp:anchor distT="0" distB="0" distL="0" distR="0" allowOverlap="1" layoutInCell="1" locked="0" behindDoc="1" simplePos="0" relativeHeight="487589376">
            <wp:simplePos x="0" y="0"/>
            <wp:positionH relativeFrom="page">
              <wp:posOffset>3616325</wp:posOffset>
            </wp:positionH>
            <wp:positionV relativeFrom="paragraph">
              <wp:posOffset>301767</wp:posOffset>
            </wp:positionV>
            <wp:extent cx="1026690" cy="29718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026690" cy="297180"/>
                    </a:xfrm>
                    <a:prstGeom prst="rect">
                      <a:avLst/>
                    </a:prstGeom>
                  </pic:spPr>
                </pic:pic>
              </a:graphicData>
            </a:graphic>
          </wp:anchor>
        </w:drawing>
      </w:r>
      <w:r>
        <w:rPr>
          <w:rFonts w:ascii="Trebuchet MS"/>
          <w:sz w:val="20"/>
        </w:rPr>
        <w:drawing>
          <wp:anchor distT="0" distB="0" distL="0" distR="0" allowOverlap="1" layoutInCell="1" locked="0" behindDoc="1" simplePos="0" relativeHeight="487589888">
            <wp:simplePos x="0" y="0"/>
            <wp:positionH relativeFrom="page">
              <wp:posOffset>4857115</wp:posOffset>
            </wp:positionH>
            <wp:positionV relativeFrom="paragraph">
              <wp:posOffset>178578</wp:posOffset>
            </wp:positionV>
            <wp:extent cx="1302100" cy="53206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1302100" cy="532066"/>
                    </a:xfrm>
                    <a:prstGeom prst="rect">
                      <a:avLst/>
                    </a:prstGeom>
                  </pic:spPr>
                </pic:pic>
              </a:graphicData>
            </a:graphic>
          </wp:anchor>
        </w:drawing>
      </w:r>
    </w:p>
    <w:p>
      <w:pPr>
        <w:pStyle w:val="BodyText"/>
        <w:spacing w:after="0"/>
        <w:rPr>
          <w:rFonts w:ascii="Trebuchet MS"/>
          <w:sz w:val="20"/>
        </w:rPr>
        <w:sectPr>
          <w:type w:val="continuous"/>
          <w:pgSz w:w="11900" w:h="16840"/>
          <w:pgMar w:top="560" w:bottom="280" w:left="1417" w:right="1559"/>
        </w:sectPr>
      </w:pPr>
    </w:p>
    <w:p>
      <w:pPr>
        <w:pStyle w:val="BodyText"/>
        <w:spacing w:before="2"/>
        <w:rPr>
          <w:rFonts w:ascii="Trebuchet MS"/>
          <w:sz w:val="17"/>
        </w:rPr>
      </w:pPr>
    </w:p>
    <w:p>
      <w:pPr>
        <w:pStyle w:val="BodyText"/>
        <w:spacing w:after="0"/>
        <w:rPr>
          <w:rFonts w:ascii="Trebuchet MS"/>
          <w:sz w:val="17"/>
        </w:rPr>
        <w:sectPr>
          <w:pgSz w:w="11900" w:h="16840"/>
          <w:pgMar w:top="1940" w:bottom="280" w:left="1417" w:right="1559"/>
        </w:sectPr>
      </w:pPr>
    </w:p>
    <w:p>
      <w:pPr>
        <w:spacing w:line="218" w:lineRule="auto" w:before="106"/>
        <w:ind w:left="280" w:right="0" w:firstLine="0"/>
        <w:jc w:val="left"/>
        <w:rPr>
          <w:sz w:val="70"/>
        </w:rPr>
      </w:pPr>
      <w:r>
        <w:rPr>
          <w:color w:val="231F1F"/>
          <w:w w:val="110"/>
          <w:sz w:val="70"/>
        </w:rPr>
        <w:t>Guía de Práctica Clínica sobre</w:t>
      </w:r>
      <w:r>
        <w:rPr>
          <w:color w:val="231F1F"/>
          <w:spacing w:val="-36"/>
          <w:w w:val="110"/>
          <w:sz w:val="70"/>
        </w:rPr>
        <w:t> </w:t>
      </w:r>
      <w:r>
        <w:rPr>
          <w:color w:val="231F1F"/>
          <w:w w:val="110"/>
          <w:sz w:val="70"/>
        </w:rPr>
        <w:t>la</w:t>
      </w:r>
      <w:r>
        <w:rPr>
          <w:color w:val="231F1F"/>
          <w:spacing w:val="-35"/>
          <w:w w:val="110"/>
          <w:sz w:val="70"/>
        </w:rPr>
        <w:t> </w:t>
      </w:r>
      <w:r>
        <w:rPr>
          <w:color w:val="231F1F"/>
          <w:w w:val="110"/>
          <w:sz w:val="70"/>
        </w:rPr>
        <w:t>Atención</w:t>
      </w:r>
      <w:r>
        <w:rPr>
          <w:color w:val="231F1F"/>
          <w:spacing w:val="-33"/>
          <w:w w:val="110"/>
          <w:sz w:val="70"/>
        </w:rPr>
        <w:t> </w:t>
      </w:r>
      <w:r>
        <w:rPr>
          <w:color w:val="231F1F"/>
          <w:w w:val="110"/>
          <w:sz w:val="70"/>
        </w:rPr>
        <w:t>al</w:t>
      </w:r>
      <w:r>
        <w:rPr>
          <w:color w:val="231F1F"/>
          <w:spacing w:val="-35"/>
          <w:w w:val="110"/>
          <w:sz w:val="70"/>
        </w:rPr>
        <w:t> </w:t>
      </w:r>
      <w:r>
        <w:rPr>
          <w:color w:val="231F1F"/>
          <w:w w:val="110"/>
          <w:sz w:val="70"/>
        </w:rPr>
        <w:t>Parto </w:t>
      </w:r>
      <w:r>
        <w:rPr>
          <w:color w:val="231F1F"/>
          <w:spacing w:val="-2"/>
          <w:w w:val="110"/>
          <w:sz w:val="70"/>
        </w:rPr>
        <w:t>Normal</w:t>
      </w:r>
    </w:p>
    <w:p>
      <w:pPr>
        <w:pStyle w:val="BodyText"/>
        <w:rPr>
          <w:sz w:val="70"/>
        </w:rPr>
      </w:pPr>
    </w:p>
    <w:p>
      <w:pPr>
        <w:pStyle w:val="BodyText"/>
        <w:rPr>
          <w:sz w:val="70"/>
        </w:rPr>
      </w:pPr>
    </w:p>
    <w:p>
      <w:pPr>
        <w:pStyle w:val="BodyText"/>
        <w:rPr>
          <w:sz w:val="70"/>
        </w:rPr>
      </w:pPr>
    </w:p>
    <w:p>
      <w:pPr>
        <w:pStyle w:val="BodyText"/>
        <w:rPr>
          <w:sz w:val="70"/>
        </w:rPr>
      </w:pPr>
    </w:p>
    <w:p>
      <w:pPr>
        <w:pStyle w:val="BodyText"/>
        <w:rPr>
          <w:sz w:val="70"/>
        </w:rPr>
      </w:pPr>
    </w:p>
    <w:p>
      <w:pPr>
        <w:pStyle w:val="BodyText"/>
        <w:rPr>
          <w:sz w:val="70"/>
        </w:rPr>
      </w:pPr>
    </w:p>
    <w:p>
      <w:pPr>
        <w:pStyle w:val="BodyText"/>
        <w:rPr>
          <w:sz w:val="70"/>
        </w:rPr>
      </w:pPr>
    </w:p>
    <w:p>
      <w:pPr>
        <w:pStyle w:val="BodyText"/>
        <w:rPr>
          <w:sz w:val="70"/>
        </w:rPr>
      </w:pPr>
    </w:p>
    <w:p>
      <w:pPr>
        <w:pStyle w:val="BodyText"/>
        <w:rPr>
          <w:sz w:val="70"/>
        </w:rPr>
      </w:pPr>
    </w:p>
    <w:p>
      <w:pPr>
        <w:pStyle w:val="BodyText"/>
        <w:spacing w:before="753"/>
        <w:rPr>
          <w:sz w:val="70"/>
        </w:rPr>
      </w:pPr>
    </w:p>
    <w:p>
      <w:pPr>
        <w:spacing w:before="0"/>
        <w:ind w:left="280" w:right="0" w:firstLine="0"/>
        <w:jc w:val="left"/>
        <w:rPr>
          <w:rFonts w:ascii="Trebuchet MS" w:hAnsi="Trebuchet MS"/>
          <w:b/>
          <w:sz w:val="17"/>
        </w:rPr>
      </w:pPr>
      <w:r>
        <w:rPr>
          <w:rFonts w:ascii="Trebuchet MS" w:hAnsi="Trebuchet MS"/>
          <w:b/>
          <w:color w:val="231F1F"/>
          <w:w w:val="110"/>
          <w:sz w:val="17"/>
        </w:rPr>
        <w:t>GUÍAS</w:t>
      </w:r>
      <w:r>
        <w:rPr>
          <w:rFonts w:ascii="Trebuchet MS" w:hAnsi="Trebuchet MS"/>
          <w:b/>
          <w:color w:val="231F1F"/>
          <w:spacing w:val="35"/>
          <w:w w:val="110"/>
          <w:sz w:val="17"/>
        </w:rPr>
        <w:t> </w:t>
      </w:r>
      <w:r>
        <w:rPr>
          <w:rFonts w:ascii="Trebuchet MS" w:hAnsi="Trebuchet MS"/>
          <w:b/>
          <w:color w:val="231F1F"/>
          <w:w w:val="110"/>
          <w:sz w:val="17"/>
        </w:rPr>
        <w:t>DE</w:t>
      </w:r>
      <w:r>
        <w:rPr>
          <w:rFonts w:ascii="Trebuchet MS" w:hAnsi="Trebuchet MS"/>
          <w:b/>
          <w:color w:val="231F1F"/>
          <w:spacing w:val="40"/>
          <w:w w:val="110"/>
          <w:sz w:val="17"/>
        </w:rPr>
        <w:t> </w:t>
      </w:r>
      <w:r>
        <w:rPr>
          <w:rFonts w:ascii="Trebuchet MS" w:hAnsi="Trebuchet MS"/>
          <w:b/>
          <w:color w:val="231F1F"/>
          <w:w w:val="110"/>
          <w:sz w:val="17"/>
        </w:rPr>
        <w:t>PRÁCTICA</w:t>
      </w:r>
      <w:r>
        <w:rPr>
          <w:rFonts w:ascii="Trebuchet MS" w:hAnsi="Trebuchet MS"/>
          <w:b/>
          <w:color w:val="231F1F"/>
          <w:spacing w:val="41"/>
          <w:w w:val="110"/>
          <w:sz w:val="17"/>
        </w:rPr>
        <w:t> </w:t>
      </w:r>
      <w:r>
        <w:rPr>
          <w:rFonts w:ascii="Trebuchet MS" w:hAnsi="Trebuchet MS"/>
          <w:b/>
          <w:color w:val="231F1F"/>
          <w:w w:val="110"/>
          <w:sz w:val="17"/>
        </w:rPr>
        <w:t>CLÍNICA</w:t>
      </w:r>
      <w:r>
        <w:rPr>
          <w:rFonts w:ascii="Trebuchet MS" w:hAnsi="Trebuchet MS"/>
          <w:b/>
          <w:color w:val="231F1F"/>
          <w:spacing w:val="42"/>
          <w:w w:val="110"/>
          <w:sz w:val="17"/>
        </w:rPr>
        <w:t> </w:t>
      </w:r>
      <w:r>
        <w:rPr>
          <w:rFonts w:ascii="Trebuchet MS" w:hAnsi="Trebuchet MS"/>
          <w:b/>
          <w:color w:val="231F1F"/>
          <w:w w:val="110"/>
          <w:sz w:val="17"/>
        </w:rPr>
        <w:t>EN</w:t>
      </w:r>
      <w:r>
        <w:rPr>
          <w:rFonts w:ascii="Trebuchet MS" w:hAnsi="Trebuchet MS"/>
          <w:b/>
          <w:color w:val="231F1F"/>
          <w:spacing w:val="42"/>
          <w:w w:val="110"/>
          <w:sz w:val="17"/>
        </w:rPr>
        <w:t> </w:t>
      </w:r>
      <w:r>
        <w:rPr>
          <w:rFonts w:ascii="Trebuchet MS" w:hAnsi="Trebuchet MS"/>
          <w:b/>
          <w:color w:val="231F1F"/>
          <w:w w:val="110"/>
          <w:sz w:val="17"/>
        </w:rPr>
        <w:t>EL</w:t>
      </w:r>
      <w:r>
        <w:rPr>
          <w:rFonts w:ascii="Trebuchet MS" w:hAnsi="Trebuchet MS"/>
          <w:b/>
          <w:color w:val="231F1F"/>
          <w:spacing w:val="39"/>
          <w:w w:val="110"/>
          <w:sz w:val="17"/>
        </w:rPr>
        <w:t> </w:t>
      </w:r>
      <w:r>
        <w:rPr>
          <w:rFonts w:ascii="Trebuchet MS" w:hAnsi="Trebuchet MS"/>
          <w:b/>
          <w:color w:val="231F1F"/>
          <w:spacing w:val="-5"/>
          <w:w w:val="110"/>
          <w:sz w:val="17"/>
        </w:rPr>
        <w:t>SNS</w:t>
      </w:r>
    </w:p>
    <w:p>
      <w:pPr>
        <w:spacing w:before="81"/>
        <w:ind w:left="280" w:right="0" w:firstLine="0"/>
        <w:jc w:val="left"/>
        <w:rPr>
          <w:rFonts w:ascii="Arial MT" w:hAnsi="Arial MT"/>
          <w:sz w:val="17"/>
        </w:rPr>
      </w:pPr>
      <w:r>
        <w:rPr>
          <w:rFonts w:ascii="Arial MT" w:hAnsi="Arial MT"/>
          <w:color w:val="231F1F"/>
          <w:spacing w:val="-10"/>
          <w:sz w:val="17"/>
        </w:rPr>
        <w:t>MINISTERIO</w:t>
      </w:r>
      <w:r>
        <w:rPr>
          <w:rFonts w:ascii="Arial MT" w:hAnsi="Arial MT"/>
          <w:color w:val="231F1F"/>
          <w:spacing w:val="4"/>
          <w:sz w:val="17"/>
        </w:rPr>
        <w:t> </w:t>
      </w:r>
      <w:r>
        <w:rPr>
          <w:rFonts w:ascii="Arial MT" w:hAnsi="Arial MT"/>
          <w:color w:val="231F1F"/>
          <w:spacing w:val="-10"/>
          <w:sz w:val="17"/>
        </w:rPr>
        <w:t>DE</w:t>
      </w:r>
      <w:r>
        <w:rPr>
          <w:rFonts w:ascii="Arial MT" w:hAnsi="Arial MT"/>
          <w:color w:val="231F1F"/>
          <w:spacing w:val="4"/>
          <w:sz w:val="17"/>
        </w:rPr>
        <w:t> </w:t>
      </w:r>
      <w:r>
        <w:rPr>
          <w:rFonts w:ascii="Arial MT" w:hAnsi="Arial MT"/>
          <w:color w:val="231F1F"/>
          <w:spacing w:val="-10"/>
          <w:sz w:val="17"/>
        </w:rPr>
        <w:t>SANIDAD</w:t>
      </w:r>
      <w:r>
        <w:rPr>
          <w:rFonts w:ascii="Arial MT" w:hAnsi="Arial MT"/>
          <w:color w:val="231F1F"/>
          <w:spacing w:val="4"/>
          <w:sz w:val="17"/>
        </w:rPr>
        <w:t> </w:t>
      </w:r>
      <w:r>
        <w:rPr>
          <w:rFonts w:ascii="Arial MT" w:hAnsi="Arial MT"/>
          <w:color w:val="231F1F"/>
          <w:spacing w:val="-10"/>
          <w:sz w:val="17"/>
        </w:rPr>
        <w:t>Y</w:t>
      </w:r>
      <w:r>
        <w:rPr>
          <w:rFonts w:ascii="Arial MT" w:hAnsi="Arial MT"/>
          <w:color w:val="231F1F"/>
          <w:spacing w:val="4"/>
          <w:sz w:val="17"/>
        </w:rPr>
        <w:t> </w:t>
      </w:r>
      <w:r>
        <w:rPr>
          <w:rFonts w:ascii="Arial MT" w:hAnsi="Arial MT"/>
          <w:color w:val="231F1F"/>
          <w:spacing w:val="-10"/>
          <w:sz w:val="17"/>
        </w:rPr>
        <w:t>POLÍTICA</w:t>
      </w:r>
      <w:r>
        <w:rPr>
          <w:rFonts w:ascii="Arial MT" w:hAnsi="Arial MT"/>
          <w:color w:val="231F1F"/>
          <w:spacing w:val="4"/>
          <w:sz w:val="17"/>
        </w:rPr>
        <w:t> </w:t>
      </w:r>
      <w:r>
        <w:rPr>
          <w:rFonts w:ascii="Arial MT" w:hAnsi="Arial MT"/>
          <w:color w:val="231F1F"/>
          <w:spacing w:val="-10"/>
          <w:sz w:val="17"/>
        </w:rPr>
        <w:t>SOCIAL</w:t>
      </w:r>
    </w:p>
    <w:p>
      <w:pPr>
        <w:pStyle w:val="BodyText"/>
        <w:rPr>
          <w:rFonts w:ascii="Arial MT"/>
          <w:sz w:val="17"/>
        </w:rPr>
      </w:pPr>
    </w:p>
    <w:p>
      <w:pPr>
        <w:pStyle w:val="BodyText"/>
        <w:rPr>
          <w:rFonts w:ascii="Arial MT"/>
          <w:sz w:val="17"/>
        </w:rPr>
      </w:pPr>
    </w:p>
    <w:p>
      <w:pPr>
        <w:pStyle w:val="BodyText"/>
        <w:rPr>
          <w:rFonts w:ascii="Arial MT"/>
          <w:sz w:val="17"/>
        </w:rPr>
      </w:pPr>
    </w:p>
    <w:p>
      <w:pPr>
        <w:pStyle w:val="BodyText"/>
        <w:rPr>
          <w:rFonts w:ascii="Arial MT"/>
          <w:sz w:val="17"/>
        </w:rPr>
      </w:pPr>
    </w:p>
    <w:p>
      <w:pPr>
        <w:pStyle w:val="BodyText"/>
        <w:spacing w:before="54"/>
        <w:rPr>
          <w:rFonts w:ascii="Arial MT"/>
          <w:sz w:val="17"/>
        </w:rPr>
      </w:pPr>
    </w:p>
    <w:p>
      <w:pPr>
        <w:tabs>
          <w:tab w:pos="2747" w:val="left" w:leader="none"/>
        </w:tabs>
        <w:spacing w:line="108" w:lineRule="exact" w:before="0"/>
        <w:ind w:left="740" w:right="0" w:firstLine="0"/>
        <w:jc w:val="left"/>
        <w:rPr>
          <w:rFonts w:ascii="Trebuchet MS"/>
          <w:sz w:val="10"/>
        </w:rPr>
      </w:pPr>
      <w:r>
        <w:rPr>
          <w:rFonts w:ascii="Trebuchet MS"/>
          <w:sz w:val="10"/>
        </w:rPr>
        <w:drawing>
          <wp:anchor distT="0" distB="0" distL="0" distR="0" allowOverlap="1" layoutInCell="1" locked="0" behindDoc="1" simplePos="0" relativeHeight="481502720">
            <wp:simplePos x="0" y="0"/>
            <wp:positionH relativeFrom="page">
              <wp:posOffset>2226945</wp:posOffset>
            </wp:positionH>
            <wp:positionV relativeFrom="paragraph">
              <wp:posOffset>-114397</wp:posOffset>
            </wp:positionV>
            <wp:extent cx="354330" cy="35521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354330" cy="355219"/>
                    </a:xfrm>
                    <a:prstGeom prst="rect">
                      <a:avLst/>
                    </a:prstGeom>
                  </pic:spPr>
                </pic:pic>
              </a:graphicData>
            </a:graphic>
          </wp:anchor>
        </w:drawing>
      </w:r>
      <w:r>
        <w:rPr>
          <w:rFonts w:ascii="Trebuchet MS"/>
          <w:sz w:val="10"/>
        </w:rPr>
        <mc:AlternateContent>
          <mc:Choice Requires="wps">
            <w:drawing>
              <wp:anchor distT="0" distB="0" distL="0" distR="0" allowOverlap="1" layoutInCell="1" locked="0" behindDoc="0" simplePos="0" relativeHeight="15733248">
                <wp:simplePos x="0" y="0"/>
                <wp:positionH relativeFrom="page">
                  <wp:posOffset>5045075</wp:posOffset>
                </wp:positionH>
                <wp:positionV relativeFrom="paragraph">
                  <wp:posOffset>-233777</wp:posOffset>
                </wp:positionV>
                <wp:extent cx="1626235" cy="66738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626235" cy="667385"/>
                          <a:chExt cx="1626235" cy="667385"/>
                        </a:xfrm>
                      </wpg:grpSpPr>
                      <pic:pic>
                        <pic:nvPicPr>
                          <pic:cNvPr id="15" name="Image 15"/>
                          <pic:cNvPicPr/>
                        </pic:nvPicPr>
                        <pic:blipFill>
                          <a:blip r:embed="rId12" cstate="print"/>
                          <a:stretch>
                            <a:fillRect/>
                          </a:stretch>
                        </pic:blipFill>
                        <pic:spPr>
                          <a:xfrm>
                            <a:off x="525995" y="454685"/>
                            <a:ext cx="795539" cy="212534"/>
                          </a:xfrm>
                          <a:prstGeom prst="rect">
                            <a:avLst/>
                          </a:prstGeom>
                        </pic:spPr>
                      </pic:pic>
                      <pic:pic>
                        <pic:nvPicPr>
                          <pic:cNvPr id="16" name="Image 16"/>
                          <pic:cNvPicPr/>
                        </pic:nvPicPr>
                        <pic:blipFill>
                          <a:blip r:embed="rId13" cstate="print"/>
                          <a:stretch>
                            <a:fillRect/>
                          </a:stretch>
                        </pic:blipFill>
                        <pic:spPr>
                          <a:xfrm>
                            <a:off x="0" y="0"/>
                            <a:ext cx="1625650" cy="458749"/>
                          </a:xfrm>
                          <a:prstGeom prst="rect">
                            <a:avLst/>
                          </a:prstGeom>
                        </pic:spPr>
                      </pic:pic>
                    </wpg:wgp>
                  </a:graphicData>
                </a:graphic>
              </wp:anchor>
            </w:drawing>
          </mc:Choice>
          <mc:Fallback>
            <w:pict>
              <v:group style="position:absolute;margin-left:397.25pt;margin-top:-18.407639pt;width:128.0500pt;height:52.55pt;mso-position-horizontal-relative:page;mso-position-vertical-relative:paragraph;z-index:15733248" id="docshapegroup11" coordorigin="7945,-368" coordsize="2561,1051">
                <v:shape style="position:absolute;left:8773;top:347;width:1253;height:335" type="#_x0000_t75" id="docshape12" stroked="false">
                  <v:imagedata r:id="rId12" o:title=""/>
                </v:shape>
                <v:shape style="position:absolute;left:7945;top:-369;width:2561;height:723" type="#_x0000_t75" id="docshape13" stroked="false">
                  <v:imagedata r:id="rId13" o:title=""/>
                </v:shape>
                <w10:wrap type="none"/>
              </v:group>
            </w:pict>
          </mc:Fallback>
        </mc:AlternateContent>
      </w:r>
      <w:r>
        <w:rPr>
          <w:rFonts w:ascii="Trebuchet MS"/>
          <w:sz w:val="10"/>
        </w:rPr>
        <w:drawing>
          <wp:anchor distT="0" distB="0" distL="0" distR="0" allowOverlap="1" layoutInCell="1" locked="0" behindDoc="0" simplePos="0" relativeHeight="15733760">
            <wp:simplePos x="0" y="0"/>
            <wp:positionH relativeFrom="page">
              <wp:posOffset>950596</wp:posOffset>
            </wp:positionH>
            <wp:positionV relativeFrom="paragraph">
              <wp:posOffset>-114397</wp:posOffset>
            </wp:positionV>
            <wp:extent cx="354697" cy="35560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354697" cy="355600"/>
                    </a:xfrm>
                    <a:prstGeom prst="rect">
                      <a:avLst/>
                    </a:prstGeom>
                  </pic:spPr>
                </pic:pic>
              </a:graphicData>
            </a:graphic>
          </wp:anchor>
        </w:drawing>
      </w:r>
      <w:r>
        <w:rPr>
          <w:rFonts w:ascii="Trebuchet MS"/>
          <w:sz w:val="10"/>
        </w:rPr>
        <w:drawing>
          <wp:anchor distT="0" distB="0" distL="0" distR="0" allowOverlap="1" layoutInCell="1" locked="0" behindDoc="0" simplePos="0" relativeHeight="15734272">
            <wp:simplePos x="0" y="0"/>
            <wp:positionH relativeFrom="page">
              <wp:posOffset>3465195</wp:posOffset>
            </wp:positionH>
            <wp:positionV relativeFrom="paragraph">
              <wp:posOffset>-137891</wp:posOffset>
            </wp:positionV>
            <wp:extent cx="1416888" cy="36957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1416888" cy="369570"/>
                    </a:xfrm>
                    <a:prstGeom prst="rect">
                      <a:avLst/>
                    </a:prstGeom>
                  </pic:spPr>
                </pic:pic>
              </a:graphicData>
            </a:graphic>
          </wp:anchor>
        </w:drawing>
      </w:r>
      <w:r>
        <w:rPr>
          <w:rFonts w:ascii="Trebuchet MS"/>
          <w:color w:val="231F1F"/>
          <w:spacing w:val="-2"/>
          <w:sz w:val="10"/>
        </w:rPr>
        <w:t>MINISTERIO</w:t>
      </w:r>
      <w:r>
        <w:rPr>
          <w:rFonts w:ascii="Trebuchet MS"/>
          <w:color w:val="231F1F"/>
          <w:sz w:val="10"/>
        </w:rPr>
        <w:tab/>
      </w:r>
      <w:r>
        <w:rPr>
          <w:rFonts w:ascii="Trebuchet MS"/>
          <w:color w:val="231F1F"/>
          <w:spacing w:val="-2"/>
          <w:sz w:val="10"/>
        </w:rPr>
        <w:t>MINISTERIO</w:t>
      </w:r>
    </w:p>
    <w:p>
      <w:pPr>
        <w:tabs>
          <w:tab w:pos="2747" w:val="left" w:leader="none"/>
        </w:tabs>
        <w:spacing w:line="103" w:lineRule="exact" w:before="0"/>
        <w:ind w:left="740" w:right="0" w:firstLine="0"/>
        <w:jc w:val="left"/>
        <w:rPr>
          <w:rFonts w:ascii="Trebuchet MS"/>
          <w:sz w:val="10"/>
        </w:rPr>
      </w:pPr>
      <w:r>
        <w:rPr>
          <w:rFonts w:ascii="Trebuchet MS"/>
          <w:color w:val="231F1F"/>
          <w:sz w:val="10"/>
        </w:rPr>
        <w:t>DE</w:t>
      </w:r>
      <w:r>
        <w:rPr>
          <w:rFonts w:ascii="Trebuchet MS"/>
          <w:color w:val="231F1F"/>
          <w:spacing w:val="-3"/>
          <w:sz w:val="10"/>
        </w:rPr>
        <w:t> </w:t>
      </w:r>
      <w:r>
        <w:rPr>
          <w:rFonts w:ascii="Trebuchet MS"/>
          <w:color w:val="231F1F"/>
          <w:spacing w:val="-2"/>
          <w:sz w:val="10"/>
        </w:rPr>
        <w:t>CIENCIA</w:t>
      </w:r>
      <w:r>
        <w:rPr>
          <w:rFonts w:ascii="Trebuchet MS"/>
          <w:color w:val="231F1F"/>
          <w:sz w:val="10"/>
        </w:rPr>
        <w:tab/>
        <w:t>DE</w:t>
      </w:r>
      <w:r>
        <w:rPr>
          <w:rFonts w:ascii="Trebuchet MS"/>
          <w:color w:val="231F1F"/>
          <w:spacing w:val="-1"/>
          <w:sz w:val="10"/>
        </w:rPr>
        <w:t> </w:t>
      </w:r>
      <w:r>
        <w:rPr>
          <w:rFonts w:ascii="Trebuchet MS"/>
          <w:color w:val="231F1F"/>
          <w:spacing w:val="-2"/>
          <w:sz w:val="10"/>
        </w:rPr>
        <w:t>SANIDAD</w:t>
      </w:r>
    </w:p>
    <w:p>
      <w:pPr>
        <w:tabs>
          <w:tab w:pos="2747" w:val="left" w:leader="none"/>
        </w:tabs>
        <w:spacing w:line="111" w:lineRule="exact" w:before="0"/>
        <w:ind w:left="740" w:right="0" w:firstLine="0"/>
        <w:jc w:val="left"/>
        <w:rPr>
          <w:rFonts w:ascii="Trebuchet MS" w:hAnsi="Trebuchet MS"/>
          <w:sz w:val="10"/>
        </w:rPr>
      </w:pPr>
      <w:r>
        <w:rPr>
          <w:rFonts w:ascii="Trebuchet MS" w:hAnsi="Trebuchet MS"/>
          <w:color w:val="231F1F"/>
          <w:sz w:val="10"/>
        </w:rPr>
        <w:t>E</w:t>
      </w:r>
      <w:r>
        <w:rPr>
          <w:rFonts w:ascii="Trebuchet MS" w:hAnsi="Trebuchet MS"/>
          <w:color w:val="231F1F"/>
          <w:spacing w:val="-10"/>
          <w:sz w:val="10"/>
        </w:rPr>
        <w:t> </w:t>
      </w:r>
      <w:r>
        <w:rPr>
          <w:rFonts w:ascii="Trebuchet MS" w:hAnsi="Trebuchet MS"/>
          <w:color w:val="231F1F"/>
          <w:spacing w:val="-2"/>
          <w:sz w:val="10"/>
        </w:rPr>
        <w:t>INNOVACIÓN</w:t>
      </w:r>
      <w:r>
        <w:rPr>
          <w:rFonts w:ascii="Trebuchet MS" w:hAnsi="Trebuchet MS"/>
          <w:color w:val="231F1F"/>
          <w:sz w:val="10"/>
        </w:rPr>
        <w:tab/>
        <w:t>Y</w:t>
      </w:r>
      <w:r>
        <w:rPr>
          <w:rFonts w:ascii="Trebuchet MS" w:hAnsi="Trebuchet MS"/>
          <w:color w:val="231F1F"/>
          <w:spacing w:val="-6"/>
          <w:sz w:val="10"/>
        </w:rPr>
        <w:t> </w:t>
      </w:r>
      <w:r>
        <w:rPr>
          <w:rFonts w:ascii="Trebuchet MS" w:hAnsi="Trebuchet MS"/>
          <w:color w:val="231F1F"/>
          <w:sz w:val="10"/>
        </w:rPr>
        <w:t>POLÍTICA</w:t>
      </w:r>
      <w:r>
        <w:rPr>
          <w:rFonts w:ascii="Trebuchet MS" w:hAnsi="Trebuchet MS"/>
          <w:color w:val="231F1F"/>
          <w:spacing w:val="-4"/>
          <w:sz w:val="10"/>
        </w:rPr>
        <w:t> </w:t>
      </w:r>
      <w:r>
        <w:rPr>
          <w:rFonts w:ascii="Trebuchet MS" w:hAnsi="Trebuchet MS"/>
          <w:color w:val="231F1F"/>
          <w:spacing w:val="-2"/>
          <w:sz w:val="10"/>
        </w:rPr>
        <w:t>SOCIAL</w:t>
      </w:r>
    </w:p>
    <w:p>
      <w:pPr>
        <w:pStyle w:val="BodyText"/>
        <w:rPr>
          <w:rFonts w:ascii="Trebuchet MS"/>
          <w:sz w:val="20"/>
        </w:rPr>
      </w:pPr>
    </w:p>
    <w:p>
      <w:pPr>
        <w:pStyle w:val="BodyText"/>
        <w:spacing w:before="96"/>
        <w:rPr>
          <w:rFonts w:ascii="Trebuchet MS"/>
          <w:sz w:val="20"/>
        </w:rPr>
      </w:pPr>
      <w:r>
        <w:rPr>
          <w:rFonts w:ascii="Trebuchet MS"/>
          <w:sz w:val="20"/>
        </w:rPr>
        <mc:AlternateContent>
          <mc:Choice Requires="wps">
            <w:drawing>
              <wp:anchor distT="0" distB="0" distL="0" distR="0" allowOverlap="1" layoutInCell="1" locked="0" behindDoc="1" simplePos="0" relativeHeight="487590912">
                <wp:simplePos x="0" y="0"/>
                <wp:positionH relativeFrom="page">
                  <wp:posOffset>2249804</wp:posOffset>
                </wp:positionH>
                <wp:positionV relativeFrom="paragraph">
                  <wp:posOffset>224272</wp:posOffset>
                </wp:positionV>
                <wp:extent cx="3046095" cy="35179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3046095" cy="351790"/>
                          <a:chExt cx="3046095" cy="351790"/>
                        </a:xfrm>
                      </wpg:grpSpPr>
                      <pic:pic>
                        <pic:nvPicPr>
                          <pic:cNvPr id="20" name="Image 20"/>
                          <pic:cNvPicPr/>
                        </pic:nvPicPr>
                        <pic:blipFill>
                          <a:blip r:embed="rId16" cstate="print"/>
                          <a:stretch>
                            <a:fillRect/>
                          </a:stretch>
                        </pic:blipFill>
                        <pic:spPr>
                          <a:xfrm>
                            <a:off x="171729" y="18680"/>
                            <a:ext cx="2871495" cy="113562"/>
                          </a:xfrm>
                          <a:prstGeom prst="rect">
                            <a:avLst/>
                          </a:prstGeom>
                        </pic:spPr>
                      </pic:pic>
                      <pic:pic>
                        <pic:nvPicPr>
                          <pic:cNvPr id="21" name="Image 21"/>
                          <pic:cNvPicPr/>
                        </pic:nvPicPr>
                        <pic:blipFill>
                          <a:blip r:embed="rId17" cstate="print"/>
                          <a:stretch>
                            <a:fillRect/>
                          </a:stretch>
                        </pic:blipFill>
                        <pic:spPr>
                          <a:xfrm>
                            <a:off x="166598" y="251687"/>
                            <a:ext cx="1954771" cy="91947"/>
                          </a:xfrm>
                          <a:prstGeom prst="rect">
                            <a:avLst/>
                          </a:prstGeom>
                        </pic:spPr>
                      </pic:pic>
                      <pic:pic>
                        <pic:nvPicPr>
                          <pic:cNvPr id="22" name="Image 22"/>
                          <pic:cNvPicPr/>
                        </pic:nvPicPr>
                        <pic:blipFill>
                          <a:blip r:embed="rId18" cstate="print"/>
                          <a:stretch>
                            <a:fillRect/>
                          </a:stretch>
                        </pic:blipFill>
                        <pic:spPr>
                          <a:xfrm>
                            <a:off x="2132749" y="251701"/>
                            <a:ext cx="907427" cy="91934"/>
                          </a:xfrm>
                          <a:prstGeom prst="rect">
                            <a:avLst/>
                          </a:prstGeom>
                        </pic:spPr>
                      </pic:pic>
                      <wps:wsp>
                        <wps:cNvPr id="23" name="Graphic 23"/>
                        <wps:cNvSpPr/>
                        <wps:spPr>
                          <a:xfrm>
                            <a:off x="0" y="0"/>
                            <a:ext cx="52069" cy="351790"/>
                          </a:xfrm>
                          <a:custGeom>
                            <a:avLst/>
                            <a:gdLst/>
                            <a:ahLst/>
                            <a:cxnLst/>
                            <a:rect l="l" t="t" r="r" b="b"/>
                            <a:pathLst>
                              <a:path w="52069" h="351790">
                                <a:moveTo>
                                  <a:pt x="51750" y="0"/>
                                </a:moveTo>
                                <a:lnTo>
                                  <a:pt x="0" y="0"/>
                                </a:lnTo>
                                <a:lnTo>
                                  <a:pt x="0" y="351712"/>
                                </a:lnTo>
                                <a:lnTo>
                                  <a:pt x="51750" y="351712"/>
                                </a:lnTo>
                                <a:lnTo>
                                  <a:pt x="51750" y="0"/>
                                </a:lnTo>
                                <a:close/>
                              </a:path>
                            </a:pathLst>
                          </a:custGeom>
                          <a:solidFill>
                            <a:srgbClr val="231F1F"/>
                          </a:solidFill>
                        </wps:spPr>
                        <wps:bodyPr wrap="square" lIns="0" tIns="0" rIns="0" bIns="0" rtlCol="0">
                          <a:prstTxWarp prst="textNoShape">
                            <a:avLst/>
                          </a:prstTxWarp>
                          <a:noAutofit/>
                        </wps:bodyPr>
                      </wps:wsp>
                      <wps:wsp>
                        <wps:cNvPr id="24" name="Graphic 24"/>
                        <wps:cNvSpPr/>
                        <wps:spPr>
                          <a:xfrm>
                            <a:off x="8191" y="175855"/>
                            <a:ext cx="3037840" cy="1270"/>
                          </a:xfrm>
                          <a:custGeom>
                            <a:avLst/>
                            <a:gdLst/>
                            <a:ahLst/>
                            <a:cxnLst/>
                            <a:rect l="l" t="t" r="r" b="b"/>
                            <a:pathLst>
                              <a:path w="3037840" h="0">
                                <a:moveTo>
                                  <a:pt x="3037621" y="0"/>
                                </a:moveTo>
                                <a:lnTo>
                                  <a:pt x="0" y="0"/>
                                </a:lnTo>
                              </a:path>
                            </a:pathLst>
                          </a:custGeom>
                          <a:ln w="15240">
                            <a:solidFill>
                              <a:srgbClr val="231F1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49994pt;margin-top:17.659271pt;width:239.85pt;height:27.7pt;mso-position-horizontal-relative:page;mso-position-vertical-relative:paragraph;z-index:-15725568;mso-wrap-distance-left:0;mso-wrap-distance-right:0" id="docshapegroup14" coordorigin="3543,353" coordsize="4797,554">
                <v:shape style="position:absolute;left:3813;top:382;width:4523;height:179" type="#_x0000_t75" id="docshape15" stroked="false">
                  <v:imagedata r:id="rId16" o:title=""/>
                </v:shape>
                <v:shape style="position:absolute;left:3805;top:749;width:3079;height:145" type="#_x0000_t75" id="docshape16" stroked="false">
                  <v:imagedata r:id="rId17" o:title=""/>
                </v:shape>
                <v:shape style="position:absolute;left:6901;top:749;width:1430;height:145" type="#_x0000_t75" id="docshape17" stroked="false">
                  <v:imagedata r:id="rId18" o:title=""/>
                </v:shape>
                <v:rect style="position:absolute;left:3543;top:353;width:82;height:554" id="docshape18" filled="true" fillcolor="#231f1f" stroked="false">
                  <v:fill type="solid"/>
                </v:rect>
                <v:line style="position:absolute" from="8340,630" to="3556,630" stroked="true" strokeweight="1.200001pt" strokecolor="#231f1f">
                  <v:stroke dashstyle="solid"/>
                </v:line>
                <w10:wrap type="topAndBottom"/>
              </v:group>
            </w:pict>
          </mc:Fallback>
        </mc:AlternateContent>
      </w:r>
      <w:r>
        <w:rPr>
          <w:rFonts w:ascii="Trebuchet MS"/>
          <w:sz w:val="20"/>
        </w:rPr>
        <mc:AlternateContent>
          <mc:Choice Requires="wps">
            <w:drawing>
              <wp:anchor distT="0" distB="0" distL="0" distR="0" allowOverlap="1" layoutInCell="1" locked="0" behindDoc="1" simplePos="0" relativeHeight="487591424">
                <wp:simplePos x="0" y="0"/>
                <wp:positionH relativeFrom="page">
                  <wp:posOffset>3205479</wp:posOffset>
                </wp:positionH>
                <wp:positionV relativeFrom="paragraph">
                  <wp:posOffset>772344</wp:posOffset>
                </wp:positionV>
                <wp:extent cx="1130935" cy="10795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1130935" cy="107950"/>
                          <a:chExt cx="1130935" cy="107950"/>
                        </a:xfrm>
                      </wpg:grpSpPr>
                      <wps:wsp>
                        <wps:cNvPr id="26" name="Graphic 26"/>
                        <wps:cNvSpPr/>
                        <wps:spPr>
                          <a:xfrm>
                            <a:off x="0" y="2311"/>
                            <a:ext cx="341630" cy="89535"/>
                          </a:xfrm>
                          <a:custGeom>
                            <a:avLst/>
                            <a:gdLst/>
                            <a:ahLst/>
                            <a:cxnLst/>
                            <a:rect l="l" t="t" r="r" b="b"/>
                            <a:pathLst>
                              <a:path w="341630" h="89535">
                                <a:moveTo>
                                  <a:pt x="76428" y="12"/>
                                </a:moveTo>
                                <a:lnTo>
                                  <a:pt x="63157" y="12"/>
                                </a:lnTo>
                                <a:lnTo>
                                  <a:pt x="38404" y="74625"/>
                                </a:lnTo>
                                <a:lnTo>
                                  <a:pt x="38163" y="74625"/>
                                </a:lnTo>
                                <a:lnTo>
                                  <a:pt x="13169" y="12"/>
                                </a:lnTo>
                                <a:lnTo>
                                  <a:pt x="0" y="12"/>
                                </a:lnTo>
                                <a:lnTo>
                                  <a:pt x="31940" y="87541"/>
                                </a:lnTo>
                                <a:lnTo>
                                  <a:pt x="44500" y="87541"/>
                                </a:lnTo>
                                <a:lnTo>
                                  <a:pt x="76428" y="12"/>
                                </a:lnTo>
                                <a:close/>
                              </a:path>
                              <a:path w="341630" h="89535">
                                <a:moveTo>
                                  <a:pt x="97739" y="23774"/>
                                </a:moveTo>
                                <a:lnTo>
                                  <a:pt x="87033" y="23774"/>
                                </a:lnTo>
                                <a:lnTo>
                                  <a:pt x="87033" y="87541"/>
                                </a:lnTo>
                                <a:lnTo>
                                  <a:pt x="97739" y="87541"/>
                                </a:lnTo>
                                <a:lnTo>
                                  <a:pt x="97739" y="23774"/>
                                </a:lnTo>
                                <a:close/>
                              </a:path>
                              <a:path w="341630" h="89535">
                                <a:moveTo>
                                  <a:pt x="97739" y="0"/>
                                </a:moveTo>
                                <a:lnTo>
                                  <a:pt x="87033" y="0"/>
                                </a:lnTo>
                                <a:lnTo>
                                  <a:pt x="87033" y="12192"/>
                                </a:lnTo>
                                <a:lnTo>
                                  <a:pt x="97739" y="12192"/>
                                </a:lnTo>
                                <a:lnTo>
                                  <a:pt x="97739" y="0"/>
                                </a:lnTo>
                                <a:close/>
                              </a:path>
                              <a:path w="341630" h="89535">
                                <a:moveTo>
                                  <a:pt x="137248" y="23774"/>
                                </a:moveTo>
                                <a:lnTo>
                                  <a:pt x="127000" y="23774"/>
                                </a:lnTo>
                                <a:lnTo>
                                  <a:pt x="127000" y="5969"/>
                                </a:lnTo>
                                <a:lnTo>
                                  <a:pt x="116268" y="5969"/>
                                </a:lnTo>
                                <a:lnTo>
                                  <a:pt x="116268" y="23774"/>
                                </a:lnTo>
                                <a:lnTo>
                                  <a:pt x="107619" y="23774"/>
                                </a:lnTo>
                                <a:lnTo>
                                  <a:pt x="107619" y="32677"/>
                                </a:lnTo>
                                <a:lnTo>
                                  <a:pt x="116268" y="32677"/>
                                </a:lnTo>
                                <a:lnTo>
                                  <a:pt x="116268" y="82423"/>
                                </a:lnTo>
                                <a:lnTo>
                                  <a:pt x="118579" y="88392"/>
                                </a:lnTo>
                                <a:lnTo>
                                  <a:pt x="130302" y="88392"/>
                                </a:lnTo>
                                <a:lnTo>
                                  <a:pt x="133350" y="87909"/>
                                </a:lnTo>
                                <a:lnTo>
                                  <a:pt x="137248" y="87541"/>
                                </a:lnTo>
                                <a:lnTo>
                                  <a:pt x="137248" y="79121"/>
                                </a:lnTo>
                                <a:lnTo>
                                  <a:pt x="127000" y="79121"/>
                                </a:lnTo>
                                <a:lnTo>
                                  <a:pt x="127000" y="32677"/>
                                </a:lnTo>
                                <a:lnTo>
                                  <a:pt x="137248" y="32677"/>
                                </a:lnTo>
                                <a:lnTo>
                                  <a:pt x="137248" y="23774"/>
                                </a:lnTo>
                                <a:close/>
                              </a:path>
                              <a:path w="341630" h="89535">
                                <a:moveTo>
                                  <a:pt x="203314" y="55613"/>
                                </a:moveTo>
                                <a:lnTo>
                                  <a:pt x="201536" y="43408"/>
                                </a:lnTo>
                                <a:lnTo>
                                  <a:pt x="196126" y="32613"/>
                                </a:lnTo>
                                <a:lnTo>
                                  <a:pt x="192214" y="29349"/>
                                </a:lnTo>
                                <a:lnTo>
                                  <a:pt x="192214" y="55613"/>
                                </a:lnTo>
                                <a:lnTo>
                                  <a:pt x="191477" y="63017"/>
                                </a:lnTo>
                                <a:lnTo>
                                  <a:pt x="188709" y="71005"/>
                                </a:lnTo>
                                <a:lnTo>
                                  <a:pt x="183057" y="77381"/>
                                </a:lnTo>
                                <a:lnTo>
                                  <a:pt x="173685" y="79997"/>
                                </a:lnTo>
                                <a:lnTo>
                                  <a:pt x="164299" y="77381"/>
                                </a:lnTo>
                                <a:lnTo>
                                  <a:pt x="158648" y="71005"/>
                                </a:lnTo>
                                <a:lnTo>
                                  <a:pt x="155879" y="63017"/>
                                </a:lnTo>
                                <a:lnTo>
                                  <a:pt x="155155" y="55613"/>
                                </a:lnTo>
                                <a:lnTo>
                                  <a:pt x="155879" y="48196"/>
                                </a:lnTo>
                                <a:lnTo>
                                  <a:pt x="158648" y="40220"/>
                                </a:lnTo>
                                <a:lnTo>
                                  <a:pt x="164299" y="33832"/>
                                </a:lnTo>
                                <a:lnTo>
                                  <a:pt x="173685" y="31229"/>
                                </a:lnTo>
                                <a:lnTo>
                                  <a:pt x="183057" y="33832"/>
                                </a:lnTo>
                                <a:lnTo>
                                  <a:pt x="188709" y="40220"/>
                                </a:lnTo>
                                <a:lnTo>
                                  <a:pt x="191477" y="48196"/>
                                </a:lnTo>
                                <a:lnTo>
                                  <a:pt x="192214" y="55613"/>
                                </a:lnTo>
                                <a:lnTo>
                                  <a:pt x="192214" y="29349"/>
                                </a:lnTo>
                                <a:lnTo>
                                  <a:pt x="186893" y="24892"/>
                                </a:lnTo>
                                <a:lnTo>
                                  <a:pt x="173685" y="21958"/>
                                </a:lnTo>
                                <a:lnTo>
                                  <a:pt x="160464" y="24892"/>
                                </a:lnTo>
                                <a:lnTo>
                                  <a:pt x="151231" y="32613"/>
                                </a:lnTo>
                                <a:lnTo>
                                  <a:pt x="145821" y="43408"/>
                                </a:lnTo>
                                <a:lnTo>
                                  <a:pt x="144056" y="55613"/>
                                </a:lnTo>
                                <a:lnTo>
                                  <a:pt x="145821" y="67805"/>
                                </a:lnTo>
                                <a:lnTo>
                                  <a:pt x="151231" y="78613"/>
                                </a:lnTo>
                                <a:lnTo>
                                  <a:pt x="160464" y="86321"/>
                                </a:lnTo>
                                <a:lnTo>
                                  <a:pt x="173685" y="89268"/>
                                </a:lnTo>
                                <a:lnTo>
                                  <a:pt x="186893" y="86321"/>
                                </a:lnTo>
                                <a:lnTo>
                                  <a:pt x="194462" y="79997"/>
                                </a:lnTo>
                                <a:lnTo>
                                  <a:pt x="196126" y="78613"/>
                                </a:lnTo>
                                <a:lnTo>
                                  <a:pt x="201536" y="67805"/>
                                </a:lnTo>
                                <a:lnTo>
                                  <a:pt x="203314" y="55613"/>
                                </a:lnTo>
                                <a:close/>
                              </a:path>
                              <a:path w="341630" h="89535">
                                <a:moveTo>
                                  <a:pt x="248031" y="22301"/>
                                </a:moveTo>
                                <a:lnTo>
                                  <a:pt x="246570" y="21945"/>
                                </a:lnTo>
                                <a:lnTo>
                                  <a:pt x="237185" y="21945"/>
                                </a:lnTo>
                                <a:lnTo>
                                  <a:pt x="231571" y="26936"/>
                                </a:lnTo>
                                <a:lnTo>
                                  <a:pt x="227304" y="34378"/>
                                </a:lnTo>
                                <a:lnTo>
                                  <a:pt x="227063" y="34378"/>
                                </a:lnTo>
                                <a:lnTo>
                                  <a:pt x="227063" y="23774"/>
                                </a:lnTo>
                                <a:lnTo>
                                  <a:pt x="216941" y="23774"/>
                                </a:lnTo>
                                <a:lnTo>
                                  <a:pt x="216941" y="87528"/>
                                </a:lnTo>
                                <a:lnTo>
                                  <a:pt x="227672" y="87528"/>
                                </a:lnTo>
                                <a:lnTo>
                                  <a:pt x="227672" y="41211"/>
                                </a:lnTo>
                                <a:lnTo>
                                  <a:pt x="234010" y="33401"/>
                                </a:lnTo>
                                <a:lnTo>
                                  <a:pt x="248031" y="33401"/>
                                </a:lnTo>
                                <a:lnTo>
                                  <a:pt x="248031" y="22301"/>
                                </a:lnTo>
                                <a:close/>
                              </a:path>
                              <a:path w="341630" h="89535">
                                <a:moveTo>
                                  <a:pt x="268681" y="23774"/>
                                </a:moveTo>
                                <a:lnTo>
                                  <a:pt x="257962" y="23774"/>
                                </a:lnTo>
                                <a:lnTo>
                                  <a:pt x="257962" y="87541"/>
                                </a:lnTo>
                                <a:lnTo>
                                  <a:pt x="268681" y="87541"/>
                                </a:lnTo>
                                <a:lnTo>
                                  <a:pt x="268681" y="23774"/>
                                </a:lnTo>
                                <a:close/>
                              </a:path>
                              <a:path w="341630" h="89535">
                                <a:moveTo>
                                  <a:pt x="268681" y="0"/>
                                </a:moveTo>
                                <a:lnTo>
                                  <a:pt x="257962" y="0"/>
                                </a:lnTo>
                                <a:lnTo>
                                  <a:pt x="257962" y="12192"/>
                                </a:lnTo>
                                <a:lnTo>
                                  <a:pt x="268681" y="12192"/>
                                </a:lnTo>
                                <a:lnTo>
                                  <a:pt x="268681" y="0"/>
                                </a:lnTo>
                                <a:close/>
                              </a:path>
                              <a:path w="341630" h="89535">
                                <a:moveTo>
                                  <a:pt x="341452" y="79730"/>
                                </a:moveTo>
                                <a:lnTo>
                                  <a:pt x="338899" y="80213"/>
                                </a:lnTo>
                                <a:lnTo>
                                  <a:pt x="335724" y="80213"/>
                                </a:lnTo>
                                <a:lnTo>
                                  <a:pt x="334378" y="79121"/>
                                </a:lnTo>
                                <a:lnTo>
                                  <a:pt x="334378" y="39738"/>
                                </a:lnTo>
                                <a:lnTo>
                                  <a:pt x="322554" y="30848"/>
                                </a:lnTo>
                                <a:lnTo>
                                  <a:pt x="310730" y="21945"/>
                                </a:lnTo>
                                <a:lnTo>
                                  <a:pt x="300062" y="23126"/>
                                </a:lnTo>
                                <a:lnTo>
                                  <a:pt x="291858" y="26835"/>
                                </a:lnTo>
                                <a:lnTo>
                                  <a:pt x="286512" y="33413"/>
                                </a:lnTo>
                                <a:lnTo>
                                  <a:pt x="284391" y="43154"/>
                                </a:lnTo>
                                <a:lnTo>
                                  <a:pt x="294271" y="43154"/>
                                </a:lnTo>
                                <a:lnTo>
                                  <a:pt x="295008" y="38277"/>
                                </a:lnTo>
                                <a:lnTo>
                                  <a:pt x="296710" y="30848"/>
                                </a:lnTo>
                                <a:lnTo>
                                  <a:pt x="319024" y="30848"/>
                                </a:lnTo>
                                <a:lnTo>
                                  <a:pt x="323900" y="34493"/>
                                </a:lnTo>
                                <a:lnTo>
                                  <a:pt x="323900" y="47637"/>
                                </a:lnTo>
                                <a:lnTo>
                                  <a:pt x="323659" y="47637"/>
                                </a:lnTo>
                                <a:lnTo>
                                  <a:pt x="323659" y="54978"/>
                                </a:lnTo>
                                <a:lnTo>
                                  <a:pt x="323659" y="74002"/>
                                </a:lnTo>
                                <a:lnTo>
                                  <a:pt x="313893" y="80467"/>
                                </a:lnTo>
                                <a:lnTo>
                                  <a:pt x="295859" y="80467"/>
                                </a:lnTo>
                                <a:lnTo>
                                  <a:pt x="292315" y="76314"/>
                                </a:lnTo>
                                <a:lnTo>
                                  <a:pt x="292315" y="61315"/>
                                </a:lnTo>
                                <a:lnTo>
                                  <a:pt x="300583" y="59778"/>
                                </a:lnTo>
                                <a:lnTo>
                                  <a:pt x="305981" y="59004"/>
                                </a:lnTo>
                                <a:lnTo>
                                  <a:pt x="319265" y="57289"/>
                                </a:lnTo>
                                <a:lnTo>
                                  <a:pt x="321945" y="56324"/>
                                </a:lnTo>
                                <a:lnTo>
                                  <a:pt x="323659" y="54978"/>
                                </a:lnTo>
                                <a:lnTo>
                                  <a:pt x="323659" y="47637"/>
                                </a:lnTo>
                                <a:lnTo>
                                  <a:pt x="320852" y="48514"/>
                                </a:lnTo>
                                <a:lnTo>
                                  <a:pt x="318287" y="48768"/>
                                </a:lnTo>
                                <a:lnTo>
                                  <a:pt x="281762" y="65887"/>
                                </a:lnTo>
                                <a:lnTo>
                                  <a:pt x="281228" y="70954"/>
                                </a:lnTo>
                                <a:lnTo>
                                  <a:pt x="282714" y="78460"/>
                                </a:lnTo>
                                <a:lnTo>
                                  <a:pt x="286842" y="84277"/>
                                </a:lnTo>
                                <a:lnTo>
                                  <a:pt x="293166" y="88036"/>
                                </a:lnTo>
                                <a:lnTo>
                                  <a:pt x="301218" y="89357"/>
                                </a:lnTo>
                                <a:lnTo>
                                  <a:pt x="313651" y="89357"/>
                                </a:lnTo>
                                <a:lnTo>
                                  <a:pt x="320116" y="83515"/>
                                </a:lnTo>
                                <a:lnTo>
                                  <a:pt x="322910" y="80467"/>
                                </a:lnTo>
                                <a:lnTo>
                                  <a:pt x="324154" y="79121"/>
                                </a:lnTo>
                                <a:lnTo>
                                  <a:pt x="324599" y="83515"/>
                                </a:lnTo>
                                <a:lnTo>
                                  <a:pt x="324624" y="83870"/>
                                </a:lnTo>
                                <a:lnTo>
                                  <a:pt x="326097" y="88747"/>
                                </a:lnTo>
                                <a:lnTo>
                                  <a:pt x="338035" y="88747"/>
                                </a:lnTo>
                                <a:lnTo>
                                  <a:pt x="339623" y="88036"/>
                                </a:lnTo>
                                <a:lnTo>
                                  <a:pt x="341452" y="87528"/>
                                </a:lnTo>
                                <a:lnTo>
                                  <a:pt x="341452" y="80213"/>
                                </a:lnTo>
                                <a:lnTo>
                                  <a:pt x="341452" y="79730"/>
                                </a:lnTo>
                                <a:close/>
                              </a:path>
                            </a:pathLst>
                          </a:custGeom>
                          <a:solidFill>
                            <a:srgbClr val="231F1F"/>
                          </a:solidFill>
                        </wps:spPr>
                        <wps:bodyPr wrap="square" lIns="0" tIns="0" rIns="0" bIns="0" rtlCol="0">
                          <a:prstTxWarp prst="textNoShape">
                            <a:avLst/>
                          </a:prstTxWarp>
                          <a:noAutofit/>
                        </wps:bodyPr>
                      </wps:wsp>
                      <wps:wsp>
                        <wps:cNvPr id="27" name="Graphic 27"/>
                        <wps:cNvSpPr/>
                        <wps:spPr>
                          <a:xfrm>
                            <a:off x="364921" y="50595"/>
                            <a:ext cx="1270" cy="11430"/>
                          </a:xfrm>
                          <a:custGeom>
                            <a:avLst/>
                            <a:gdLst/>
                            <a:ahLst/>
                            <a:cxnLst/>
                            <a:rect l="l" t="t" r="r" b="b"/>
                            <a:pathLst>
                              <a:path w="0" h="11430">
                                <a:moveTo>
                                  <a:pt x="0" y="10972"/>
                                </a:moveTo>
                                <a:lnTo>
                                  <a:pt x="0" y="0"/>
                                </a:lnTo>
                              </a:path>
                            </a:pathLst>
                          </a:custGeom>
                          <a:ln w="29870">
                            <a:solidFill>
                              <a:srgbClr val="231F1F"/>
                            </a:solidFill>
                            <a:prstDash val="solid"/>
                          </a:ln>
                        </wps:spPr>
                        <wps:bodyPr wrap="square" lIns="0" tIns="0" rIns="0" bIns="0" rtlCol="0">
                          <a:prstTxWarp prst="textNoShape">
                            <a:avLst/>
                          </a:prstTxWarp>
                          <a:noAutofit/>
                        </wps:bodyPr>
                      </wps:wsp>
                      <wps:wsp>
                        <wps:cNvPr id="28" name="Graphic 28"/>
                        <wps:cNvSpPr/>
                        <wps:spPr>
                          <a:xfrm>
                            <a:off x="390995" y="0"/>
                            <a:ext cx="403860" cy="92710"/>
                          </a:xfrm>
                          <a:custGeom>
                            <a:avLst/>
                            <a:gdLst/>
                            <a:ahLst/>
                            <a:cxnLst/>
                            <a:rect l="l" t="t" r="r" b="b"/>
                            <a:pathLst>
                              <a:path w="403860" h="92710">
                                <a:moveTo>
                                  <a:pt x="79984" y="43040"/>
                                </a:moveTo>
                                <a:lnTo>
                                  <a:pt x="41579" y="43040"/>
                                </a:lnTo>
                                <a:lnTo>
                                  <a:pt x="41579" y="53162"/>
                                </a:lnTo>
                                <a:lnTo>
                                  <a:pt x="68884" y="53162"/>
                                </a:lnTo>
                                <a:lnTo>
                                  <a:pt x="68884" y="62547"/>
                                </a:lnTo>
                                <a:lnTo>
                                  <a:pt x="66941" y="70358"/>
                                </a:lnTo>
                                <a:lnTo>
                                  <a:pt x="52793" y="81572"/>
                                </a:lnTo>
                                <a:lnTo>
                                  <a:pt x="45720" y="82054"/>
                                </a:lnTo>
                                <a:lnTo>
                                  <a:pt x="41338" y="82054"/>
                                </a:lnTo>
                                <a:lnTo>
                                  <a:pt x="26949" y="78917"/>
                                </a:lnTo>
                                <a:lnTo>
                                  <a:pt x="18021" y="70675"/>
                                </a:lnTo>
                                <a:lnTo>
                                  <a:pt x="13462" y="59105"/>
                                </a:lnTo>
                                <a:lnTo>
                                  <a:pt x="12192" y="45961"/>
                                </a:lnTo>
                                <a:lnTo>
                                  <a:pt x="14452" y="30746"/>
                                </a:lnTo>
                                <a:lnTo>
                                  <a:pt x="20612" y="19634"/>
                                </a:lnTo>
                                <a:lnTo>
                                  <a:pt x="29730" y="12801"/>
                                </a:lnTo>
                                <a:lnTo>
                                  <a:pt x="40843" y="10490"/>
                                </a:lnTo>
                                <a:lnTo>
                                  <a:pt x="48463" y="11214"/>
                                </a:lnTo>
                                <a:lnTo>
                                  <a:pt x="56146" y="13970"/>
                                </a:lnTo>
                                <a:lnTo>
                                  <a:pt x="62712" y="19583"/>
                                </a:lnTo>
                                <a:lnTo>
                                  <a:pt x="67056" y="28892"/>
                                </a:lnTo>
                                <a:lnTo>
                                  <a:pt x="78524" y="28892"/>
                                </a:lnTo>
                                <a:lnTo>
                                  <a:pt x="73939" y="16090"/>
                                </a:lnTo>
                                <a:lnTo>
                                  <a:pt x="65151" y="7086"/>
                                </a:lnTo>
                                <a:lnTo>
                                  <a:pt x="53771" y="1752"/>
                                </a:lnTo>
                                <a:lnTo>
                                  <a:pt x="41452" y="0"/>
                                </a:lnTo>
                                <a:lnTo>
                                  <a:pt x="22936" y="4076"/>
                                </a:lnTo>
                                <a:lnTo>
                                  <a:pt x="10020" y="14681"/>
                                </a:lnTo>
                                <a:lnTo>
                                  <a:pt x="2463" y="29273"/>
                                </a:lnTo>
                                <a:lnTo>
                                  <a:pt x="0" y="45364"/>
                                </a:lnTo>
                                <a:lnTo>
                                  <a:pt x="266" y="53251"/>
                                </a:lnTo>
                                <a:lnTo>
                                  <a:pt x="23253" y="88874"/>
                                </a:lnTo>
                                <a:lnTo>
                                  <a:pt x="40601" y="92176"/>
                                </a:lnTo>
                                <a:lnTo>
                                  <a:pt x="49314" y="91198"/>
                                </a:lnTo>
                                <a:lnTo>
                                  <a:pt x="57289" y="88455"/>
                                </a:lnTo>
                                <a:lnTo>
                                  <a:pt x="64135" y="84150"/>
                                </a:lnTo>
                                <a:lnTo>
                                  <a:pt x="69494" y="78524"/>
                                </a:lnTo>
                                <a:lnTo>
                                  <a:pt x="72301" y="89852"/>
                                </a:lnTo>
                                <a:lnTo>
                                  <a:pt x="79984" y="89852"/>
                                </a:lnTo>
                                <a:lnTo>
                                  <a:pt x="79984" y="43040"/>
                                </a:lnTo>
                                <a:close/>
                              </a:path>
                              <a:path w="403860" h="92710">
                                <a:moveTo>
                                  <a:pt x="153593" y="82042"/>
                                </a:moveTo>
                                <a:lnTo>
                                  <a:pt x="151041" y="82524"/>
                                </a:lnTo>
                                <a:lnTo>
                                  <a:pt x="147866" y="82524"/>
                                </a:lnTo>
                                <a:lnTo>
                                  <a:pt x="146519" y="81432"/>
                                </a:lnTo>
                                <a:lnTo>
                                  <a:pt x="146519" y="42049"/>
                                </a:lnTo>
                                <a:lnTo>
                                  <a:pt x="134696" y="33159"/>
                                </a:lnTo>
                                <a:lnTo>
                                  <a:pt x="122872" y="24257"/>
                                </a:lnTo>
                                <a:lnTo>
                                  <a:pt x="112191" y="25438"/>
                                </a:lnTo>
                                <a:lnTo>
                                  <a:pt x="103987" y="29146"/>
                                </a:lnTo>
                                <a:lnTo>
                                  <a:pt x="98640" y="35725"/>
                                </a:lnTo>
                                <a:lnTo>
                                  <a:pt x="96532" y="45466"/>
                                </a:lnTo>
                                <a:lnTo>
                                  <a:pt x="106413" y="45466"/>
                                </a:lnTo>
                                <a:lnTo>
                                  <a:pt x="107149" y="40589"/>
                                </a:lnTo>
                                <a:lnTo>
                                  <a:pt x="108851" y="33159"/>
                                </a:lnTo>
                                <a:lnTo>
                                  <a:pt x="131165" y="33159"/>
                                </a:lnTo>
                                <a:lnTo>
                                  <a:pt x="136042" y="36804"/>
                                </a:lnTo>
                                <a:lnTo>
                                  <a:pt x="136042" y="49949"/>
                                </a:lnTo>
                                <a:lnTo>
                                  <a:pt x="135801" y="49949"/>
                                </a:lnTo>
                                <a:lnTo>
                                  <a:pt x="135801" y="57289"/>
                                </a:lnTo>
                                <a:lnTo>
                                  <a:pt x="135801" y="76314"/>
                                </a:lnTo>
                                <a:lnTo>
                                  <a:pt x="126047" y="82778"/>
                                </a:lnTo>
                                <a:lnTo>
                                  <a:pt x="108000" y="82778"/>
                                </a:lnTo>
                                <a:lnTo>
                                  <a:pt x="104457" y="78625"/>
                                </a:lnTo>
                                <a:lnTo>
                                  <a:pt x="104457" y="63627"/>
                                </a:lnTo>
                                <a:lnTo>
                                  <a:pt x="112725" y="62090"/>
                                </a:lnTo>
                                <a:lnTo>
                                  <a:pt x="118122" y="61315"/>
                                </a:lnTo>
                                <a:lnTo>
                                  <a:pt x="131406" y="59601"/>
                                </a:lnTo>
                                <a:lnTo>
                                  <a:pt x="134086" y="58635"/>
                                </a:lnTo>
                                <a:lnTo>
                                  <a:pt x="135801" y="57289"/>
                                </a:lnTo>
                                <a:lnTo>
                                  <a:pt x="135801" y="49949"/>
                                </a:lnTo>
                                <a:lnTo>
                                  <a:pt x="132994" y="50825"/>
                                </a:lnTo>
                                <a:lnTo>
                                  <a:pt x="130429" y="51079"/>
                                </a:lnTo>
                                <a:lnTo>
                                  <a:pt x="93891" y="68199"/>
                                </a:lnTo>
                                <a:lnTo>
                                  <a:pt x="93370" y="73266"/>
                                </a:lnTo>
                                <a:lnTo>
                                  <a:pt x="94843" y="80772"/>
                                </a:lnTo>
                                <a:lnTo>
                                  <a:pt x="98971" y="86588"/>
                                </a:lnTo>
                                <a:lnTo>
                                  <a:pt x="105295" y="90347"/>
                                </a:lnTo>
                                <a:lnTo>
                                  <a:pt x="113360" y="91668"/>
                                </a:lnTo>
                                <a:lnTo>
                                  <a:pt x="125793" y="91668"/>
                                </a:lnTo>
                                <a:lnTo>
                                  <a:pt x="132257" y="85826"/>
                                </a:lnTo>
                                <a:lnTo>
                                  <a:pt x="135039" y="82778"/>
                                </a:lnTo>
                                <a:lnTo>
                                  <a:pt x="136283" y="81432"/>
                                </a:lnTo>
                                <a:lnTo>
                                  <a:pt x="136728" y="85826"/>
                                </a:lnTo>
                                <a:lnTo>
                                  <a:pt x="136766" y="86182"/>
                                </a:lnTo>
                                <a:lnTo>
                                  <a:pt x="138239" y="91059"/>
                                </a:lnTo>
                                <a:lnTo>
                                  <a:pt x="150177" y="91059"/>
                                </a:lnTo>
                                <a:lnTo>
                                  <a:pt x="151752" y="90347"/>
                                </a:lnTo>
                                <a:lnTo>
                                  <a:pt x="153593" y="89839"/>
                                </a:lnTo>
                                <a:lnTo>
                                  <a:pt x="153593" y="82524"/>
                                </a:lnTo>
                                <a:lnTo>
                                  <a:pt x="153593" y="82042"/>
                                </a:lnTo>
                                <a:close/>
                              </a:path>
                              <a:path w="403860" h="92710">
                                <a:moveTo>
                                  <a:pt x="213321" y="61937"/>
                                </a:moveTo>
                                <a:lnTo>
                                  <a:pt x="208686" y="57061"/>
                                </a:lnTo>
                                <a:lnTo>
                                  <a:pt x="176377" y="49009"/>
                                </a:lnTo>
                                <a:lnTo>
                                  <a:pt x="173088" y="47790"/>
                                </a:lnTo>
                                <a:lnTo>
                                  <a:pt x="173088" y="34620"/>
                                </a:lnTo>
                                <a:lnTo>
                                  <a:pt x="182486" y="33528"/>
                                </a:lnTo>
                                <a:lnTo>
                                  <a:pt x="199301" y="33528"/>
                                </a:lnTo>
                                <a:lnTo>
                                  <a:pt x="200761" y="40233"/>
                                </a:lnTo>
                                <a:lnTo>
                                  <a:pt x="200888" y="44259"/>
                                </a:lnTo>
                                <a:lnTo>
                                  <a:pt x="211251" y="44259"/>
                                </a:lnTo>
                                <a:lnTo>
                                  <a:pt x="210642" y="39801"/>
                                </a:lnTo>
                                <a:lnTo>
                                  <a:pt x="207606" y="33083"/>
                                </a:lnTo>
                                <a:lnTo>
                                  <a:pt x="200291" y="26949"/>
                                </a:lnTo>
                                <a:lnTo>
                                  <a:pt x="186867" y="24269"/>
                                </a:lnTo>
                                <a:lnTo>
                                  <a:pt x="177787" y="25488"/>
                                </a:lnTo>
                                <a:lnTo>
                                  <a:pt x="170078" y="29197"/>
                                </a:lnTo>
                                <a:lnTo>
                                  <a:pt x="164719" y="35534"/>
                                </a:lnTo>
                                <a:lnTo>
                                  <a:pt x="162725" y="44627"/>
                                </a:lnTo>
                                <a:lnTo>
                                  <a:pt x="162725" y="53403"/>
                                </a:lnTo>
                                <a:lnTo>
                                  <a:pt x="168579" y="57912"/>
                                </a:lnTo>
                                <a:lnTo>
                                  <a:pt x="199059" y="65468"/>
                                </a:lnTo>
                                <a:lnTo>
                                  <a:pt x="202603" y="67183"/>
                                </a:lnTo>
                                <a:lnTo>
                                  <a:pt x="202603" y="79375"/>
                                </a:lnTo>
                                <a:lnTo>
                                  <a:pt x="195643" y="82423"/>
                                </a:lnTo>
                                <a:lnTo>
                                  <a:pt x="172847" y="82423"/>
                                </a:lnTo>
                                <a:lnTo>
                                  <a:pt x="171386" y="74371"/>
                                </a:lnTo>
                                <a:lnTo>
                                  <a:pt x="171018" y="69367"/>
                                </a:lnTo>
                                <a:lnTo>
                                  <a:pt x="160655" y="69367"/>
                                </a:lnTo>
                                <a:lnTo>
                                  <a:pt x="161544" y="76098"/>
                                </a:lnTo>
                                <a:lnTo>
                                  <a:pt x="165036" y="83413"/>
                                </a:lnTo>
                                <a:lnTo>
                                  <a:pt x="173202" y="89281"/>
                                </a:lnTo>
                                <a:lnTo>
                                  <a:pt x="188087" y="91681"/>
                                </a:lnTo>
                                <a:lnTo>
                                  <a:pt x="198094" y="90246"/>
                                </a:lnTo>
                                <a:lnTo>
                                  <a:pt x="206095" y="86080"/>
                                </a:lnTo>
                                <a:lnTo>
                                  <a:pt x="211391" y="79451"/>
                                </a:lnTo>
                                <a:lnTo>
                                  <a:pt x="213321" y="70599"/>
                                </a:lnTo>
                                <a:lnTo>
                                  <a:pt x="213321" y="61937"/>
                                </a:lnTo>
                                <a:close/>
                              </a:path>
                              <a:path w="403860" h="92710">
                                <a:moveTo>
                                  <a:pt x="249047" y="26085"/>
                                </a:moveTo>
                                <a:lnTo>
                                  <a:pt x="238798" y="26085"/>
                                </a:lnTo>
                                <a:lnTo>
                                  <a:pt x="238798" y="8280"/>
                                </a:lnTo>
                                <a:lnTo>
                                  <a:pt x="228079" y="8280"/>
                                </a:lnTo>
                                <a:lnTo>
                                  <a:pt x="228079" y="26085"/>
                                </a:lnTo>
                                <a:lnTo>
                                  <a:pt x="219417" y="26085"/>
                                </a:lnTo>
                                <a:lnTo>
                                  <a:pt x="219417" y="34988"/>
                                </a:lnTo>
                                <a:lnTo>
                                  <a:pt x="228079" y="34988"/>
                                </a:lnTo>
                                <a:lnTo>
                                  <a:pt x="228079" y="84734"/>
                                </a:lnTo>
                                <a:lnTo>
                                  <a:pt x="230390" y="90703"/>
                                </a:lnTo>
                                <a:lnTo>
                                  <a:pt x="242087" y="90703"/>
                                </a:lnTo>
                                <a:lnTo>
                                  <a:pt x="245148" y="90220"/>
                                </a:lnTo>
                                <a:lnTo>
                                  <a:pt x="249047" y="89852"/>
                                </a:lnTo>
                                <a:lnTo>
                                  <a:pt x="249047" y="81432"/>
                                </a:lnTo>
                                <a:lnTo>
                                  <a:pt x="238798" y="81432"/>
                                </a:lnTo>
                                <a:lnTo>
                                  <a:pt x="238798" y="34988"/>
                                </a:lnTo>
                                <a:lnTo>
                                  <a:pt x="249047" y="34988"/>
                                </a:lnTo>
                                <a:lnTo>
                                  <a:pt x="249047" y="26085"/>
                                </a:lnTo>
                                <a:close/>
                              </a:path>
                              <a:path w="403860" h="92710">
                                <a:moveTo>
                                  <a:pt x="314490" y="61442"/>
                                </a:moveTo>
                                <a:lnTo>
                                  <a:pt x="313537" y="52908"/>
                                </a:lnTo>
                                <a:lnTo>
                                  <a:pt x="312788" y="46126"/>
                                </a:lnTo>
                                <a:lnTo>
                                  <a:pt x="307759" y="34594"/>
                                </a:lnTo>
                                <a:lnTo>
                                  <a:pt x="307670" y="34391"/>
                                </a:lnTo>
                                <a:lnTo>
                                  <a:pt x="303403" y="30657"/>
                                </a:lnTo>
                                <a:lnTo>
                                  <a:pt x="303403" y="52908"/>
                                </a:lnTo>
                                <a:lnTo>
                                  <a:pt x="267919" y="52908"/>
                                </a:lnTo>
                                <a:lnTo>
                                  <a:pt x="269214" y="46126"/>
                                </a:lnTo>
                                <a:lnTo>
                                  <a:pt x="269265" y="45859"/>
                                </a:lnTo>
                                <a:lnTo>
                                  <a:pt x="273050" y="39700"/>
                                </a:lnTo>
                                <a:lnTo>
                                  <a:pt x="278663" y="35471"/>
                                </a:lnTo>
                                <a:lnTo>
                                  <a:pt x="285597" y="33883"/>
                                </a:lnTo>
                                <a:lnTo>
                                  <a:pt x="293789" y="35471"/>
                                </a:lnTo>
                                <a:lnTo>
                                  <a:pt x="299148" y="39700"/>
                                </a:lnTo>
                                <a:lnTo>
                                  <a:pt x="302196" y="45859"/>
                                </a:lnTo>
                                <a:lnTo>
                                  <a:pt x="303403" y="52908"/>
                                </a:lnTo>
                                <a:lnTo>
                                  <a:pt x="303403" y="30657"/>
                                </a:lnTo>
                                <a:lnTo>
                                  <a:pt x="299250" y="27025"/>
                                </a:lnTo>
                                <a:lnTo>
                                  <a:pt x="299681" y="27025"/>
                                </a:lnTo>
                                <a:lnTo>
                                  <a:pt x="287058" y="24257"/>
                                </a:lnTo>
                                <a:lnTo>
                                  <a:pt x="273367" y="27025"/>
                                </a:lnTo>
                                <a:lnTo>
                                  <a:pt x="263842" y="34594"/>
                                </a:lnTo>
                                <a:lnTo>
                                  <a:pt x="258254" y="45859"/>
                                </a:lnTo>
                                <a:lnTo>
                                  <a:pt x="256451" y="59728"/>
                                </a:lnTo>
                                <a:lnTo>
                                  <a:pt x="258381" y="72491"/>
                                </a:lnTo>
                                <a:lnTo>
                                  <a:pt x="263880" y="82410"/>
                                </a:lnTo>
                                <a:lnTo>
                                  <a:pt x="263994" y="82613"/>
                                </a:lnTo>
                                <a:lnTo>
                                  <a:pt x="272961" y="89268"/>
                                </a:lnTo>
                                <a:lnTo>
                                  <a:pt x="284988" y="91668"/>
                                </a:lnTo>
                                <a:lnTo>
                                  <a:pt x="295224" y="91668"/>
                                </a:lnTo>
                                <a:lnTo>
                                  <a:pt x="299300" y="89268"/>
                                </a:lnTo>
                                <a:lnTo>
                                  <a:pt x="309638" y="82410"/>
                                </a:lnTo>
                                <a:lnTo>
                                  <a:pt x="310349" y="81940"/>
                                </a:lnTo>
                                <a:lnTo>
                                  <a:pt x="313270" y="72898"/>
                                </a:lnTo>
                                <a:lnTo>
                                  <a:pt x="313575" y="70332"/>
                                </a:lnTo>
                                <a:lnTo>
                                  <a:pt x="313639" y="69850"/>
                                </a:lnTo>
                                <a:lnTo>
                                  <a:pt x="302907" y="69850"/>
                                </a:lnTo>
                                <a:lnTo>
                                  <a:pt x="302539" y="74599"/>
                                </a:lnTo>
                                <a:lnTo>
                                  <a:pt x="296570" y="82410"/>
                                </a:lnTo>
                                <a:lnTo>
                                  <a:pt x="286448" y="82410"/>
                                </a:lnTo>
                                <a:lnTo>
                                  <a:pt x="278358" y="81013"/>
                                </a:lnTo>
                                <a:lnTo>
                                  <a:pt x="272567" y="76911"/>
                                </a:lnTo>
                                <a:lnTo>
                                  <a:pt x="269074" y="70332"/>
                                </a:lnTo>
                                <a:lnTo>
                                  <a:pt x="267919" y="61442"/>
                                </a:lnTo>
                                <a:lnTo>
                                  <a:pt x="314490" y="61442"/>
                                </a:lnTo>
                                <a:close/>
                              </a:path>
                              <a:path w="403860" h="92710">
                                <a:moveTo>
                                  <a:pt x="338239" y="26085"/>
                                </a:moveTo>
                                <a:lnTo>
                                  <a:pt x="327507" y="26085"/>
                                </a:lnTo>
                                <a:lnTo>
                                  <a:pt x="327507" y="89852"/>
                                </a:lnTo>
                                <a:lnTo>
                                  <a:pt x="338239" y="89852"/>
                                </a:lnTo>
                                <a:lnTo>
                                  <a:pt x="338239" y="26085"/>
                                </a:lnTo>
                                <a:close/>
                              </a:path>
                              <a:path w="403860" h="92710">
                                <a:moveTo>
                                  <a:pt x="338239" y="2311"/>
                                </a:moveTo>
                                <a:lnTo>
                                  <a:pt x="327507" y="2311"/>
                                </a:lnTo>
                                <a:lnTo>
                                  <a:pt x="327507" y="14503"/>
                                </a:lnTo>
                                <a:lnTo>
                                  <a:pt x="338239" y="14503"/>
                                </a:lnTo>
                                <a:lnTo>
                                  <a:pt x="338239" y="2311"/>
                                </a:lnTo>
                                <a:close/>
                              </a:path>
                              <a:path w="403860" h="92710">
                                <a:moveTo>
                                  <a:pt x="403580" y="80962"/>
                                </a:moveTo>
                                <a:lnTo>
                                  <a:pt x="364451" y="80962"/>
                                </a:lnTo>
                                <a:lnTo>
                                  <a:pt x="402488" y="34874"/>
                                </a:lnTo>
                                <a:lnTo>
                                  <a:pt x="402488" y="26098"/>
                                </a:lnTo>
                                <a:lnTo>
                                  <a:pt x="353110" y="26098"/>
                                </a:lnTo>
                                <a:lnTo>
                                  <a:pt x="353110" y="35001"/>
                                </a:lnTo>
                                <a:lnTo>
                                  <a:pt x="388581" y="35001"/>
                                </a:lnTo>
                                <a:lnTo>
                                  <a:pt x="350189" y="81445"/>
                                </a:lnTo>
                                <a:lnTo>
                                  <a:pt x="350189" y="89852"/>
                                </a:lnTo>
                                <a:lnTo>
                                  <a:pt x="403580" y="89852"/>
                                </a:lnTo>
                                <a:lnTo>
                                  <a:pt x="403580" y="80962"/>
                                </a:lnTo>
                                <a:close/>
                              </a:path>
                            </a:pathLst>
                          </a:custGeom>
                          <a:solidFill>
                            <a:srgbClr val="231F1F"/>
                          </a:solidFill>
                        </wps:spPr>
                        <wps:bodyPr wrap="square" lIns="0" tIns="0" rIns="0" bIns="0" rtlCol="0">
                          <a:prstTxWarp prst="textNoShape">
                            <a:avLst/>
                          </a:prstTxWarp>
                          <a:noAutofit/>
                        </wps:bodyPr>
                      </wps:wsp>
                      <pic:pic>
                        <pic:nvPicPr>
                          <pic:cNvPr id="29" name="Image 29"/>
                          <pic:cNvPicPr/>
                        </pic:nvPicPr>
                        <pic:blipFill>
                          <a:blip r:embed="rId19" cstate="print"/>
                          <a:stretch>
                            <a:fillRect/>
                          </a:stretch>
                        </pic:blipFill>
                        <pic:spPr>
                          <a:xfrm>
                            <a:off x="808951" y="3797"/>
                            <a:ext cx="234491" cy="103984"/>
                          </a:xfrm>
                          <a:prstGeom prst="rect">
                            <a:avLst/>
                          </a:prstGeom>
                        </pic:spPr>
                      </pic:pic>
                      <wps:wsp>
                        <wps:cNvPr id="30" name="Graphic 30"/>
                        <wps:cNvSpPr/>
                        <wps:spPr>
                          <a:xfrm>
                            <a:off x="1072934" y="3797"/>
                            <a:ext cx="57785" cy="88265"/>
                          </a:xfrm>
                          <a:custGeom>
                            <a:avLst/>
                            <a:gdLst/>
                            <a:ahLst/>
                            <a:cxnLst/>
                            <a:rect l="l" t="t" r="r" b="b"/>
                            <a:pathLst>
                              <a:path w="57785" h="88265">
                                <a:moveTo>
                                  <a:pt x="28765" y="0"/>
                                </a:moveTo>
                                <a:lnTo>
                                  <a:pt x="12852" y="4191"/>
                                </a:lnTo>
                                <a:lnTo>
                                  <a:pt x="4229" y="14832"/>
                                </a:lnTo>
                                <a:lnTo>
                                  <a:pt x="685" y="29069"/>
                                </a:lnTo>
                                <a:lnTo>
                                  <a:pt x="0" y="44016"/>
                                </a:lnTo>
                                <a:lnTo>
                                  <a:pt x="685" y="58901"/>
                                </a:lnTo>
                                <a:lnTo>
                                  <a:pt x="4229" y="73099"/>
                                </a:lnTo>
                                <a:lnTo>
                                  <a:pt x="12852" y="83731"/>
                                </a:lnTo>
                                <a:lnTo>
                                  <a:pt x="28765" y="87908"/>
                                </a:lnTo>
                                <a:lnTo>
                                  <a:pt x="44678" y="83731"/>
                                </a:lnTo>
                                <a:lnTo>
                                  <a:pt x="48707" y="78764"/>
                                </a:lnTo>
                                <a:lnTo>
                                  <a:pt x="28765" y="78764"/>
                                </a:lnTo>
                                <a:lnTo>
                                  <a:pt x="18529" y="75131"/>
                                </a:lnTo>
                                <a:lnTo>
                                  <a:pt x="13233" y="66178"/>
                                </a:lnTo>
                                <a:lnTo>
                                  <a:pt x="11264" y="54799"/>
                                </a:lnTo>
                                <a:lnTo>
                                  <a:pt x="10972" y="44016"/>
                                </a:lnTo>
                                <a:lnTo>
                                  <a:pt x="11264" y="33069"/>
                                </a:lnTo>
                                <a:lnTo>
                                  <a:pt x="13233" y="21728"/>
                                </a:lnTo>
                                <a:lnTo>
                                  <a:pt x="18529" y="12776"/>
                                </a:lnTo>
                                <a:lnTo>
                                  <a:pt x="28765" y="9144"/>
                                </a:lnTo>
                                <a:lnTo>
                                  <a:pt x="46570" y="9144"/>
                                </a:lnTo>
                                <a:lnTo>
                                  <a:pt x="46570" y="6526"/>
                                </a:lnTo>
                                <a:lnTo>
                                  <a:pt x="44678" y="4191"/>
                                </a:lnTo>
                                <a:lnTo>
                                  <a:pt x="28765" y="0"/>
                                </a:lnTo>
                                <a:close/>
                              </a:path>
                              <a:path w="57785" h="88265">
                                <a:moveTo>
                                  <a:pt x="46570" y="6526"/>
                                </a:moveTo>
                                <a:lnTo>
                                  <a:pt x="46570" y="44016"/>
                                </a:lnTo>
                                <a:lnTo>
                                  <a:pt x="46278" y="54799"/>
                                </a:lnTo>
                                <a:lnTo>
                                  <a:pt x="44297" y="66178"/>
                                </a:lnTo>
                                <a:lnTo>
                                  <a:pt x="39001" y="75131"/>
                                </a:lnTo>
                                <a:lnTo>
                                  <a:pt x="28765" y="78764"/>
                                </a:lnTo>
                                <a:lnTo>
                                  <a:pt x="48707" y="78764"/>
                                </a:lnTo>
                                <a:lnTo>
                                  <a:pt x="53301" y="73099"/>
                                </a:lnTo>
                                <a:lnTo>
                                  <a:pt x="56857" y="58901"/>
                                </a:lnTo>
                                <a:lnTo>
                                  <a:pt x="57543" y="44016"/>
                                </a:lnTo>
                                <a:lnTo>
                                  <a:pt x="56857" y="29069"/>
                                </a:lnTo>
                                <a:lnTo>
                                  <a:pt x="53301" y="14832"/>
                                </a:lnTo>
                                <a:lnTo>
                                  <a:pt x="46570" y="6526"/>
                                </a:lnTo>
                                <a:close/>
                              </a:path>
                              <a:path w="57785" h="88265">
                                <a:moveTo>
                                  <a:pt x="46570" y="9144"/>
                                </a:moveTo>
                                <a:lnTo>
                                  <a:pt x="28765" y="9144"/>
                                </a:lnTo>
                                <a:lnTo>
                                  <a:pt x="39001" y="12776"/>
                                </a:lnTo>
                                <a:lnTo>
                                  <a:pt x="44297" y="21728"/>
                                </a:lnTo>
                                <a:lnTo>
                                  <a:pt x="46278" y="33069"/>
                                </a:lnTo>
                                <a:lnTo>
                                  <a:pt x="46570" y="44016"/>
                                </a:lnTo>
                                <a:lnTo>
                                  <a:pt x="46570" y="9144"/>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252.399994pt;margin-top:60.814499pt;width:89.05pt;height:8.5pt;mso-position-horizontal-relative:page;mso-position-vertical-relative:paragraph;z-index:-15725056;mso-wrap-distance-left:0;mso-wrap-distance-right:0" id="docshapegroup19" coordorigin="5048,1216" coordsize="1781,170">
                <v:shape style="position:absolute;left:5048;top:1219;width:538;height:141" id="docshape20" coordorigin="5048,1220" coordsize="538,141" path="m5168,1220l5147,1220,5108,1337,5108,1337,5069,1220,5048,1220,5098,1358,5118,1358,5168,1220xm5202,1257l5185,1257,5185,1358,5202,1358,5202,1257xm5202,1220l5185,1220,5185,1239,5202,1239,5202,1220xm5264,1257l5248,1257,5248,1229,5231,1229,5231,1257,5217,1257,5217,1271,5231,1271,5231,1350,5235,1359,5253,1359,5258,1358,5264,1358,5264,1345,5248,1345,5248,1271,5264,1271,5264,1257xm5368,1308l5365,1288,5357,1271,5351,1266,5351,1308,5350,1319,5345,1332,5336,1342,5322,1346,5307,1342,5298,1332,5293,1319,5292,1308,5293,1296,5298,1283,5307,1273,5322,1269,5336,1273,5345,1283,5350,1296,5351,1308,5351,1266,5342,1259,5322,1255,5301,1259,5286,1271,5278,1288,5275,1308,5278,1327,5286,1344,5301,1356,5322,1361,5342,1356,5354,1346,5357,1344,5365,1327,5368,1308xm5439,1255l5436,1254,5422,1254,5413,1262,5406,1274,5406,1274,5406,1257,5390,1257,5390,1358,5407,1358,5407,1285,5417,1273,5439,1273,5439,1255xm5471,1257l5454,1257,5454,1358,5471,1358,5471,1257xm5471,1220l5454,1220,5454,1239,5471,1239,5471,1220xm5586,1345l5582,1346,5577,1346,5575,1345,5575,1283,5556,1269,5537,1254,5521,1256,5508,1262,5499,1273,5496,1288,5511,1288,5513,1280,5515,1269,5550,1269,5558,1274,5558,1295,5558,1295,5558,1307,5558,1336,5542,1347,5514,1347,5508,1340,5508,1316,5521,1314,5530,1313,5551,1310,5555,1309,5558,1307,5558,1295,5553,1296,5549,1297,5492,1324,5491,1332,5493,1343,5500,1353,5510,1359,5522,1361,5542,1361,5552,1351,5557,1347,5558,1345,5559,1351,5559,1352,5562,1360,5580,1360,5583,1359,5586,1358,5586,1346,5586,1345xe" filled="true" fillcolor="#231f1f" stroked="false">
                  <v:path arrowok="t"/>
                  <v:fill type="solid"/>
                </v:shape>
                <v:line style="position:absolute" from="5623,1313" to="5623,1296" stroked="true" strokeweight="2.35197pt" strokecolor="#231f1f">
                  <v:stroke dashstyle="solid"/>
                </v:line>
                <v:shape style="position:absolute;left:5663;top:1216;width:636;height:146" id="docshape21" coordorigin="5664,1216" coordsize="636,146" path="m5790,1284l5729,1284,5729,1300,5772,1300,5772,1315,5769,1327,5747,1345,5736,1346,5729,1346,5706,1341,5692,1328,5685,1309,5683,1289,5687,1265,5696,1247,5711,1236,5728,1233,5740,1234,5752,1238,5763,1247,5769,1262,5787,1262,5780,1242,5766,1227,5748,1219,5729,1216,5700,1223,5680,1239,5668,1262,5664,1288,5664,1300,5700,1356,5728,1361,5741,1360,5754,1356,5765,1349,5773,1340,5778,1358,5790,1358,5790,1284xm5906,1345l5902,1346,5897,1346,5894,1345,5894,1283,5876,1269,5857,1254,5840,1256,5828,1262,5819,1273,5816,1288,5831,1288,5832,1280,5835,1269,5870,1269,5878,1274,5878,1295,5878,1295,5878,1307,5878,1336,5862,1347,5834,1347,5828,1340,5828,1316,5841,1314,5850,1313,5871,1310,5875,1309,5878,1307,5878,1295,5873,1296,5869,1297,5812,1324,5811,1332,5813,1343,5820,1353,5830,1359,5842,1361,5862,1361,5872,1351,5876,1347,5878,1345,5879,1351,5879,1352,5881,1360,5900,1360,5903,1359,5906,1358,5906,1346,5906,1345xm6000,1314l5992,1306,5942,1293,5936,1292,5936,1271,5951,1269,5978,1269,5980,1280,5980,1286,5996,1286,5995,1279,5991,1268,5979,1259,5958,1255,5944,1256,5932,1262,5923,1272,5920,1287,5920,1300,5929,1307,5977,1319,5983,1322,5983,1341,5972,1346,5936,1346,5934,1333,5933,1326,5917,1326,5918,1336,5924,1348,5937,1357,5960,1361,5976,1358,5988,1352,5997,1341,6000,1327,6000,1314xm6056,1257l6040,1257,6040,1229,6023,1229,6023,1257,6009,1257,6009,1271,6023,1271,6023,1350,6027,1359,6045,1359,6050,1358,6056,1358,6056,1345,6040,1345,6040,1271,6056,1271,6056,1257xm6159,1313l6158,1300,6156,1289,6148,1271,6148,1270,6142,1265,6142,1300,6086,1300,6088,1289,6088,1289,6094,1279,6103,1272,6114,1270,6126,1272,6135,1279,6140,1289,6142,1300,6142,1265,6135,1259,6136,1259,6116,1254,6094,1259,6079,1271,6070,1289,6068,1310,6071,1330,6079,1346,6079,1346,6094,1357,6113,1361,6129,1361,6135,1357,6151,1346,6152,1345,6157,1331,6158,1327,6158,1326,6141,1326,6140,1334,6131,1346,6115,1346,6102,1344,6093,1337,6087,1327,6086,1313,6159,1313xm6196,1257l6180,1257,6180,1358,6196,1358,6196,1257xm6196,1220l6180,1220,6180,1239,6196,1239,6196,1220xm6299,1344l6238,1344,6298,1271,6298,1257,6220,1257,6220,1271,6276,1271,6215,1345,6215,1358,6299,1358,6299,1344xe" filled="true" fillcolor="#231f1f" stroked="false">
                  <v:path arrowok="t"/>
                  <v:fill type="solid"/>
                </v:shape>
                <v:shape style="position:absolute;left:6321;top:1222;width:370;height:164" type="#_x0000_t75" id="docshape22" stroked="false">
                  <v:imagedata r:id="rId19" o:title=""/>
                </v:shape>
                <v:shape style="position:absolute;left:6737;top:1222;width:91;height:139" id="docshape23" coordorigin="6738,1222" coordsize="91,139" path="m6783,1222l6758,1229,6744,1246,6739,1268,6738,1292,6739,1315,6744,1337,6758,1354,6783,1361,6808,1354,6814,1346,6783,1346,6767,1341,6758,1326,6755,1309,6755,1292,6755,1274,6758,1256,6767,1242,6783,1237,6811,1237,6811,1233,6808,1229,6783,1222xm6811,1233l6811,1292,6811,1309,6807,1326,6799,1341,6783,1346,6814,1346,6822,1337,6827,1315,6828,1292,6827,1268,6822,1246,6811,1233xm6811,1237l6783,1237,6799,1242,6807,1256,6811,1274,6811,1292,6811,1237xe" filled="true" fillcolor="#231f1f" stroked="false">
                  <v:path arrowok="t"/>
                  <v:fill type="solid"/>
                </v:shape>
                <w10:wrap type="topAndBottom"/>
              </v:group>
            </w:pict>
          </mc:Fallback>
        </mc:AlternateContent>
      </w:r>
    </w:p>
    <w:p>
      <w:pPr>
        <w:pStyle w:val="BodyText"/>
        <w:spacing w:before="53"/>
        <w:rPr>
          <w:rFonts w:ascii="Trebuchet MS"/>
          <w:sz w:val="20"/>
        </w:rPr>
      </w:pPr>
    </w:p>
    <w:p>
      <w:pPr>
        <w:pStyle w:val="BodyText"/>
        <w:spacing w:after="0"/>
        <w:rPr>
          <w:rFonts w:ascii="Trebuchet MS"/>
          <w:sz w:val="20"/>
        </w:rPr>
        <w:sectPr>
          <w:pgSz w:w="11900" w:h="16840"/>
          <w:pgMar w:top="1440" w:bottom="280" w:left="1417" w:right="1559"/>
        </w:sectPr>
      </w:pPr>
    </w:p>
    <w:p>
      <w:pPr>
        <w:pStyle w:val="BodyText"/>
        <w:ind w:left="303"/>
        <w:rPr>
          <w:rFonts w:ascii="Trebuchet MS"/>
          <w:sz w:val="20"/>
        </w:rPr>
      </w:pPr>
      <w:r>
        <w:rPr>
          <w:rFonts w:ascii="Trebuchet MS"/>
          <w:sz w:val="20"/>
        </w:rPr>
        <mc:AlternateContent>
          <mc:Choice Requires="wps">
            <w:drawing>
              <wp:inline distT="0" distB="0" distL="0" distR="0">
                <wp:extent cx="5393690" cy="350520"/>
                <wp:effectExtent l="9525" t="0" r="0" b="11429"/>
                <wp:docPr id="31" name="Textbox 31"/>
                <wp:cNvGraphicFramePr>
                  <a:graphicFrameLocks/>
                </wp:cNvGraphicFramePr>
                <a:graphic>
                  <a:graphicData uri="http://schemas.microsoft.com/office/word/2010/wordprocessingShape">
                    <wps:wsp>
                      <wps:cNvPr id="31" name="Textbox 31"/>
                      <wps:cNvSpPr txBox="1"/>
                      <wps:spPr>
                        <a:xfrm>
                          <a:off x="0" y="0"/>
                          <a:ext cx="5393690" cy="350520"/>
                        </a:xfrm>
                        <a:prstGeom prst="rect">
                          <a:avLst/>
                        </a:prstGeom>
                        <a:ln w="6350">
                          <a:solidFill>
                            <a:srgbClr val="231F1F"/>
                          </a:solidFill>
                          <a:prstDash val="solid"/>
                        </a:ln>
                      </wps:spPr>
                      <wps:txbx>
                        <w:txbxContent>
                          <w:p>
                            <w:pPr>
                              <w:spacing w:line="264" w:lineRule="auto" w:before="74"/>
                              <w:ind w:left="108" w:right="0" w:firstLine="0"/>
                              <w:jc w:val="left"/>
                              <w:rPr>
                                <w:rFonts w:ascii="Arial MT" w:hAnsi="Arial MT"/>
                                <w:sz w:val="16"/>
                              </w:rPr>
                            </w:pPr>
                            <w:r>
                              <w:rPr>
                                <w:rFonts w:ascii="Arial MT" w:hAnsi="Arial MT"/>
                                <w:color w:val="231F1F"/>
                                <w:sz w:val="16"/>
                              </w:rPr>
                              <w:t>Un</w:t>
                            </w:r>
                            <w:r>
                              <w:rPr>
                                <w:rFonts w:ascii="Arial MT" w:hAnsi="Arial MT"/>
                                <w:color w:val="231F1F"/>
                                <w:spacing w:val="-8"/>
                                <w:sz w:val="16"/>
                              </w:rPr>
                              <w:t> </w:t>
                            </w:r>
                            <w:r>
                              <w:rPr>
                                <w:rFonts w:ascii="Arial MT" w:hAnsi="Arial MT"/>
                                <w:color w:val="231F1F"/>
                                <w:sz w:val="16"/>
                              </w:rPr>
                              <w:t>registro</w:t>
                            </w:r>
                            <w:r>
                              <w:rPr>
                                <w:rFonts w:ascii="Arial MT" w:hAnsi="Arial MT"/>
                                <w:color w:val="231F1F"/>
                                <w:spacing w:val="-6"/>
                                <w:sz w:val="16"/>
                              </w:rPr>
                              <w:t> </w:t>
                            </w:r>
                            <w:r>
                              <w:rPr>
                                <w:rFonts w:ascii="Arial MT" w:hAnsi="Arial MT"/>
                                <w:color w:val="231F1F"/>
                                <w:sz w:val="16"/>
                              </w:rPr>
                              <w:t>bibliográfico</w:t>
                            </w:r>
                            <w:r>
                              <w:rPr>
                                <w:rFonts w:ascii="Arial MT" w:hAnsi="Arial MT"/>
                                <w:color w:val="231F1F"/>
                                <w:spacing w:val="-8"/>
                                <w:sz w:val="16"/>
                              </w:rPr>
                              <w:t> </w:t>
                            </w:r>
                            <w:r>
                              <w:rPr>
                                <w:rFonts w:ascii="Arial MT" w:hAnsi="Arial MT"/>
                                <w:color w:val="231F1F"/>
                                <w:sz w:val="16"/>
                              </w:rPr>
                              <w:t>de</w:t>
                            </w:r>
                            <w:r>
                              <w:rPr>
                                <w:rFonts w:ascii="Arial MT" w:hAnsi="Arial MT"/>
                                <w:color w:val="231F1F"/>
                                <w:spacing w:val="-8"/>
                                <w:sz w:val="16"/>
                              </w:rPr>
                              <w:t> </w:t>
                            </w:r>
                            <w:r>
                              <w:rPr>
                                <w:rFonts w:ascii="Arial MT" w:hAnsi="Arial MT"/>
                                <w:color w:val="231F1F"/>
                                <w:sz w:val="16"/>
                              </w:rPr>
                              <w:t>esta</w:t>
                            </w:r>
                            <w:r>
                              <w:rPr>
                                <w:rFonts w:ascii="Arial MT" w:hAnsi="Arial MT"/>
                                <w:color w:val="231F1F"/>
                                <w:spacing w:val="-8"/>
                                <w:sz w:val="16"/>
                              </w:rPr>
                              <w:t> </w:t>
                            </w:r>
                            <w:r>
                              <w:rPr>
                                <w:rFonts w:ascii="Arial MT" w:hAnsi="Arial MT"/>
                                <w:color w:val="231F1F"/>
                                <w:sz w:val="16"/>
                              </w:rPr>
                              <w:t>obra</w:t>
                            </w:r>
                            <w:r>
                              <w:rPr>
                                <w:rFonts w:ascii="Arial MT" w:hAnsi="Arial MT"/>
                                <w:color w:val="231F1F"/>
                                <w:spacing w:val="-8"/>
                                <w:sz w:val="16"/>
                              </w:rPr>
                              <w:t> </w:t>
                            </w:r>
                            <w:r>
                              <w:rPr>
                                <w:rFonts w:ascii="Arial MT" w:hAnsi="Arial MT"/>
                                <w:color w:val="231F1F"/>
                                <w:sz w:val="16"/>
                              </w:rPr>
                              <w:t>puede</w:t>
                            </w:r>
                            <w:r>
                              <w:rPr>
                                <w:rFonts w:ascii="Arial MT" w:hAnsi="Arial MT"/>
                                <w:color w:val="231F1F"/>
                                <w:spacing w:val="-8"/>
                                <w:sz w:val="16"/>
                              </w:rPr>
                              <w:t> </w:t>
                            </w:r>
                            <w:r>
                              <w:rPr>
                                <w:rFonts w:ascii="Arial MT" w:hAnsi="Arial MT"/>
                                <w:color w:val="231F1F"/>
                                <w:sz w:val="16"/>
                              </w:rPr>
                              <w:t>consultarse</w:t>
                            </w:r>
                            <w:r>
                              <w:rPr>
                                <w:rFonts w:ascii="Arial MT" w:hAnsi="Arial MT"/>
                                <w:color w:val="231F1F"/>
                                <w:spacing w:val="-8"/>
                                <w:sz w:val="16"/>
                              </w:rPr>
                              <w:t> </w:t>
                            </w:r>
                            <w:r>
                              <w:rPr>
                                <w:rFonts w:ascii="Arial MT" w:hAnsi="Arial MT"/>
                                <w:color w:val="231F1F"/>
                                <w:sz w:val="16"/>
                              </w:rPr>
                              <w:t>en</w:t>
                            </w:r>
                            <w:r>
                              <w:rPr>
                                <w:rFonts w:ascii="Arial MT" w:hAnsi="Arial MT"/>
                                <w:color w:val="231F1F"/>
                                <w:spacing w:val="-9"/>
                                <w:sz w:val="16"/>
                              </w:rPr>
                              <w:t> </w:t>
                            </w:r>
                            <w:r>
                              <w:rPr>
                                <w:rFonts w:ascii="Arial MT" w:hAnsi="Arial MT"/>
                                <w:color w:val="231F1F"/>
                                <w:sz w:val="16"/>
                              </w:rPr>
                              <w:t>el</w:t>
                            </w:r>
                            <w:r>
                              <w:rPr>
                                <w:rFonts w:ascii="Arial MT" w:hAnsi="Arial MT"/>
                                <w:color w:val="231F1F"/>
                                <w:spacing w:val="-8"/>
                                <w:sz w:val="16"/>
                              </w:rPr>
                              <w:t> </w:t>
                            </w:r>
                            <w:r>
                              <w:rPr>
                                <w:rFonts w:ascii="Arial MT" w:hAnsi="Arial MT"/>
                                <w:color w:val="231F1F"/>
                                <w:sz w:val="16"/>
                              </w:rPr>
                              <w:t>catálogo</w:t>
                            </w:r>
                            <w:r>
                              <w:rPr>
                                <w:rFonts w:ascii="Arial MT" w:hAnsi="Arial MT"/>
                                <w:color w:val="231F1F"/>
                                <w:spacing w:val="-8"/>
                                <w:sz w:val="16"/>
                              </w:rPr>
                              <w:t> </w:t>
                            </w:r>
                            <w:r>
                              <w:rPr>
                                <w:rFonts w:ascii="Arial MT" w:hAnsi="Arial MT"/>
                                <w:color w:val="231F1F"/>
                                <w:sz w:val="16"/>
                              </w:rPr>
                              <w:t>de</w:t>
                            </w:r>
                            <w:r>
                              <w:rPr>
                                <w:rFonts w:ascii="Arial MT" w:hAnsi="Arial MT"/>
                                <w:color w:val="231F1F"/>
                                <w:spacing w:val="-8"/>
                                <w:sz w:val="16"/>
                              </w:rPr>
                              <w:t> </w:t>
                            </w:r>
                            <w:r>
                              <w:rPr>
                                <w:rFonts w:ascii="Arial MT" w:hAnsi="Arial MT"/>
                                <w:color w:val="231F1F"/>
                                <w:sz w:val="16"/>
                              </w:rPr>
                              <w:t>la</w:t>
                            </w:r>
                            <w:r>
                              <w:rPr>
                                <w:rFonts w:ascii="Arial MT" w:hAnsi="Arial MT"/>
                                <w:color w:val="231F1F"/>
                                <w:spacing w:val="-8"/>
                                <w:sz w:val="16"/>
                              </w:rPr>
                              <w:t> </w:t>
                            </w:r>
                            <w:r>
                              <w:rPr>
                                <w:rFonts w:ascii="Arial MT" w:hAnsi="Arial MT"/>
                                <w:color w:val="231F1F"/>
                                <w:sz w:val="16"/>
                              </w:rPr>
                              <w:t>Biblioteca</w:t>
                            </w:r>
                            <w:r>
                              <w:rPr>
                                <w:rFonts w:ascii="Arial MT" w:hAnsi="Arial MT"/>
                                <w:color w:val="231F1F"/>
                                <w:spacing w:val="-8"/>
                                <w:sz w:val="16"/>
                              </w:rPr>
                              <w:t> </w:t>
                            </w:r>
                            <w:r>
                              <w:rPr>
                                <w:rFonts w:ascii="Arial MT" w:hAnsi="Arial MT"/>
                                <w:color w:val="231F1F"/>
                                <w:sz w:val="16"/>
                              </w:rPr>
                              <w:t>General</w:t>
                            </w:r>
                            <w:r>
                              <w:rPr>
                                <w:rFonts w:ascii="Arial MT" w:hAnsi="Arial MT"/>
                                <w:color w:val="231F1F"/>
                                <w:spacing w:val="-8"/>
                                <w:sz w:val="16"/>
                              </w:rPr>
                              <w:t> </w:t>
                            </w:r>
                            <w:r>
                              <w:rPr>
                                <w:rFonts w:ascii="Arial MT" w:hAnsi="Arial MT"/>
                                <w:color w:val="231F1F"/>
                                <w:sz w:val="16"/>
                              </w:rPr>
                              <w:t>del</w:t>
                            </w:r>
                            <w:r>
                              <w:rPr>
                                <w:rFonts w:ascii="Arial MT" w:hAnsi="Arial MT"/>
                                <w:color w:val="231F1F"/>
                                <w:spacing w:val="-8"/>
                                <w:sz w:val="16"/>
                              </w:rPr>
                              <w:t> </w:t>
                            </w:r>
                            <w:r>
                              <w:rPr>
                                <w:rFonts w:ascii="Arial MT" w:hAnsi="Arial MT"/>
                                <w:color w:val="231F1F"/>
                                <w:sz w:val="16"/>
                              </w:rPr>
                              <w:t>Gobierno</w:t>
                            </w:r>
                            <w:r>
                              <w:rPr>
                                <w:rFonts w:ascii="Arial MT" w:hAnsi="Arial MT"/>
                                <w:color w:val="231F1F"/>
                                <w:spacing w:val="-8"/>
                                <w:sz w:val="16"/>
                              </w:rPr>
                              <w:t> </w:t>
                            </w:r>
                            <w:r>
                              <w:rPr>
                                <w:rFonts w:ascii="Arial MT" w:hAnsi="Arial MT"/>
                                <w:color w:val="231F1F"/>
                                <w:sz w:val="16"/>
                              </w:rPr>
                              <w:t>Vasco: </w:t>
                            </w:r>
                            <w:hyperlink r:id="rId20">
                              <w:r>
                                <w:rPr>
                                  <w:rFonts w:ascii="Arial MT" w:hAnsi="Arial MT"/>
                                  <w:color w:val="231F1F"/>
                                  <w:spacing w:val="-2"/>
                                  <w:sz w:val="16"/>
                                </w:rPr>
                                <w:t>http://www.euskadi.net/ejgvbiblioteka</w:t>
                              </w:r>
                            </w:hyperlink>
                          </w:p>
                        </w:txbxContent>
                      </wps:txbx>
                      <wps:bodyPr wrap="square" lIns="0" tIns="0" rIns="0" bIns="0" rtlCol="0">
                        <a:noAutofit/>
                      </wps:bodyPr>
                    </wps:wsp>
                  </a:graphicData>
                </a:graphic>
              </wp:inline>
            </w:drawing>
          </mc:Choice>
          <mc:Fallback>
            <w:pict>
              <v:shape style="width:424.7pt;height:27.6pt;mso-position-horizontal-relative:char;mso-position-vertical-relative:line" type="#_x0000_t202" id="docshape24" filled="false" stroked="true" strokeweight=".5pt" strokecolor="#231f1f">
                <w10:anchorlock/>
                <v:textbox inset="0,0,0,0">
                  <w:txbxContent>
                    <w:p>
                      <w:pPr>
                        <w:spacing w:line="264" w:lineRule="auto" w:before="74"/>
                        <w:ind w:left="108" w:right="0" w:firstLine="0"/>
                        <w:jc w:val="left"/>
                        <w:rPr>
                          <w:rFonts w:ascii="Arial MT" w:hAnsi="Arial MT"/>
                          <w:sz w:val="16"/>
                        </w:rPr>
                      </w:pPr>
                      <w:r>
                        <w:rPr>
                          <w:rFonts w:ascii="Arial MT" w:hAnsi="Arial MT"/>
                          <w:color w:val="231F1F"/>
                          <w:sz w:val="16"/>
                        </w:rPr>
                        <w:t>Un</w:t>
                      </w:r>
                      <w:r>
                        <w:rPr>
                          <w:rFonts w:ascii="Arial MT" w:hAnsi="Arial MT"/>
                          <w:color w:val="231F1F"/>
                          <w:spacing w:val="-8"/>
                          <w:sz w:val="16"/>
                        </w:rPr>
                        <w:t> </w:t>
                      </w:r>
                      <w:r>
                        <w:rPr>
                          <w:rFonts w:ascii="Arial MT" w:hAnsi="Arial MT"/>
                          <w:color w:val="231F1F"/>
                          <w:sz w:val="16"/>
                        </w:rPr>
                        <w:t>registro</w:t>
                      </w:r>
                      <w:r>
                        <w:rPr>
                          <w:rFonts w:ascii="Arial MT" w:hAnsi="Arial MT"/>
                          <w:color w:val="231F1F"/>
                          <w:spacing w:val="-6"/>
                          <w:sz w:val="16"/>
                        </w:rPr>
                        <w:t> </w:t>
                      </w:r>
                      <w:r>
                        <w:rPr>
                          <w:rFonts w:ascii="Arial MT" w:hAnsi="Arial MT"/>
                          <w:color w:val="231F1F"/>
                          <w:sz w:val="16"/>
                        </w:rPr>
                        <w:t>bibliográfico</w:t>
                      </w:r>
                      <w:r>
                        <w:rPr>
                          <w:rFonts w:ascii="Arial MT" w:hAnsi="Arial MT"/>
                          <w:color w:val="231F1F"/>
                          <w:spacing w:val="-8"/>
                          <w:sz w:val="16"/>
                        </w:rPr>
                        <w:t> </w:t>
                      </w:r>
                      <w:r>
                        <w:rPr>
                          <w:rFonts w:ascii="Arial MT" w:hAnsi="Arial MT"/>
                          <w:color w:val="231F1F"/>
                          <w:sz w:val="16"/>
                        </w:rPr>
                        <w:t>de</w:t>
                      </w:r>
                      <w:r>
                        <w:rPr>
                          <w:rFonts w:ascii="Arial MT" w:hAnsi="Arial MT"/>
                          <w:color w:val="231F1F"/>
                          <w:spacing w:val="-8"/>
                          <w:sz w:val="16"/>
                        </w:rPr>
                        <w:t> </w:t>
                      </w:r>
                      <w:r>
                        <w:rPr>
                          <w:rFonts w:ascii="Arial MT" w:hAnsi="Arial MT"/>
                          <w:color w:val="231F1F"/>
                          <w:sz w:val="16"/>
                        </w:rPr>
                        <w:t>esta</w:t>
                      </w:r>
                      <w:r>
                        <w:rPr>
                          <w:rFonts w:ascii="Arial MT" w:hAnsi="Arial MT"/>
                          <w:color w:val="231F1F"/>
                          <w:spacing w:val="-8"/>
                          <w:sz w:val="16"/>
                        </w:rPr>
                        <w:t> </w:t>
                      </w:r>
                      <w:r>
                        <w:rPr>
                          <w:rFonts w:ascii="Arial MT" w:hAnsi="Arial MT"/>
                          <w:color w:val="231F1F"/>
                          <w:sz w:val="16"/>
                        </w:rPr>
                        <w:t>obra</w:t>
                      </w:r>
                      <w:r>
                        <w:rPr>
                          <w:rFonts w:ascii="Arial MT" w:hAnsi="Arial MT"/>
                          <w:color w:val="231F1F"/>
                          <w:spacing w:val="-8"/>
                          <w:sz w:val="16"/>
                        </w:rPr>
                        <w:t> </w:t>
                      </w:r>
                      <w:r>
                        <w:rPr>
                          <w:rFonts w:ascii="Arial MT" w:hAnsi="Arial MT"/>
                          <w:color w:val="231F1F"/>
                          <w:sz w:val="16"/>
                        </w:rPr>
                        <w:t>puede</w:t>
                      </w:r>
                      <w:r>
                        <w:rPr>
                          <w:rFonts w:ascii="Arial MT" w:hAnsi="Arial MT"/>
                          <w:color w:val="231F1F"/>
                          <w:spacing w:val="-8"/>
                          <w:sz w:val="16"/>
                        </w:rPr>
                        <w:t> </w:t>
                      </w:r>
                      <w:r>
                        <w:rPr>
                          <w:rFonts w:ascii="Arial MT" w:hAnsi="Arial MT"/>
                          <w:color w:val="231F1F"/>
                          <w:sz w:val="16"/>
                        </w:rPr>
                        <w:t>consultarse</w:t>
                      </w:r>
                      <w:r>
                        <w:rPr>
                          <w:rFonts w:ascii="Arial MT" w:hAnsi="Arial MT"/>
                          <w:color w:val="231F1F"/>
                          <w:spacing w:val="-8"/>
                          <w:sz w:val="16"/>
                        </w:rPr>
                        <w:t> </w:t>
                      </w:r>
                      <w:r>
                        <w:rPr>
                          <w:rFonts w:ascii="Arial MT" w:hAnsi="Arial MT"/>
                          <w:color w:val="231F1F"/>
                          <w:sz w:val="16"/>
                        </w:rPr>
                        <w:t>en</w:t>
                      </w:r>
                      <w:r>
                        <w:rPr>
                          <w:rFonts w:ascii="Arial MT" w:hAnsi="Arial MT"/>
                          <w:color w:val="231F1F"/>
                          <w:spacing w:val="-9"/>
                          <w:sz w:val="16"/>
                        </w:rPr>
                        <w:t> </w:t>
                      </w:r>
                      <w:r>
                        <w:rPr>
                          <w:rFonts w:ascii="Arial MT" w:hAnsi="Arial MT"/>
                          <w:color w:val="231F1F"/>
                          <w:sz w:val="16"/>
                        </w:rPr>
                        <w:t>el</w:t>
                      </w:r>
                      <w:r>
                        <w:rPr>
                          <w:rFonts w:ascii="Arial MT" w:hAnsi="Arial MT"/>
                          <w:color w:val="231F1F"/>
                          <w:spacing w:val="-8"/>
                          <w:sz w:val="16"/>
                        </w:rPr>
                        <w:t> </w:t>
                      </w:r>
                      <w:r>
                        <w:rPr>
                          <w:rFonts w:ascii="Arial MT" w:hAnsi="Arial MT"/>
                          <w:color w:val="231F1F"/>
                          <w:sz w:val="16"/>
                        </w:rPr>
                        <w:t>catálogo</w:t>
                      </w:r>
                      <w:r>
                        <w:rPr>
                          <w:rFonts w:ascii="Arial MT" w:hAnsi="Arial MT"/>
                          <w:color w:val="231F1F"/>
                          <w:spacing w:val="-8"/>
                          <w:sz w:val="16"/>
                        </w:rPr>
                        <w:t> </w:t>
                      </w:r>
                      <w:r>
                        <w:rPr>
                          <w:rFonts w:ascii="Arial MT" w:hAnsi="Arial MT"/>
                          <w:color w:val="231F1F"/>
                          <w:sz w:val="16"/>
                        </w:rPr>
                        <w:t>de</w:t>
                      </w:r>
                      <w:r>
                        <w:rPr>
                          <w:rFonts w:ascii="Arial MT" w:hAnsi="Arial MT"/>
                          <w:color w:val="231F1F"/>
                          <w:spacing w:val="-8"/>
                          <w:sz w:val="16"/>
                        </w:rPr>
                        <w:t> </w:t>
                      </w:r>
                      <w:r>
                        <w:rPr>
                          <w:rFonts w:ascii="Arial MT" w:hAnsi="Arial MT"/>
                          <w:color w:val="231F1F"/>
                          <w:sz w:val="16"/>
                        </w:rPr>
                        <w:t>la</w:t>
                      </w:r>
                      <w:r>
                        <w:rPr>
                          <w:rFonts w:ascii="Arial MT" w:hAnsi="Arial MT"/>
                          <w:color w:val="231F1F"/>
                          <w:spacing w:val="-8"/>
                          <w:sz w:val="16"/>
                        </w:rPr>
                        <w:t> </w:t>
                      </w:r>
                      <w:r>
                        <w:rPr>
                          <w:rFonts w:ascii="Arial MT" w:hAnsi="Arial MT"/>
                          <w:color w:val="231F1F"/>
                          <w:sz w:val="16"/>
                        </w:rPr>
                        <w:t>Biblioteca</w:t>
                      </w:r>
                      <w:r>
                        <w:rPr>
                          <w:rFonts w:ascii="Arial MT" w:hAnsi="Arial MT"/>
                          <w:color w:val="231F1F"/>
                          <w:spacing w:val="-8"/>
                          <w:sz w:val="16"/>
                        </w:rPr>
                        <w:t> </w:t>
                      </w:r>
                      <w:r>
                        <w:rPr>
                          <w:rFonts w:ascii="Arial MT" w:hAnsi="Arial MT"/>
                          <w:color w:val="231F1F"/>
                          <w:sz w:val="16"/>
                        </w:rPr>
                        <w:t>General</w:t>
                      </w:r>
                      <w:r>
                        <w:rPr>
                          <w:rFonts w:ascii="Arial MT" w:hAnsi="Arial MT"/>
                          <w:color w:val="231F1F"/>
                          <w:spacing w:val="-8"/>
                          <w:sz w:val="16"/>
                        </w:rPr>
                        <w:t> </w:t>
                      </w:r>
                      <w:r>
                        <w:rPr>
                          <w:rFonts w:ascii="Arial MT" w:hAnsi="Arial MT"/>
                          <w:color w:val="231F1F"/>
                          <w:sz w:val="16"/>
                        </w:rPr>
                        <w:t>del</w:t>
                      </w:r>
                      <w:r>
                        <w:rPr>
                          <w:rFonts w:ascii="Arial MT" w:hAnsi="Arial MT"/>
                          <w:color w:val="231F1F"/>
                          <w:spacing w:val="-8"/>
                          <w:sz w:val="16"/>
                        </w:rPr>
                        <w:t> </w:t>
                      </w:r>
                      <w:r>
                        <w:rPr>
                          <w:rFonts w:ascii="Arial MT" w:hAnsi="Arial MT"/>
                          <w:color w:val="231F1F"/>
                          <w:sz w:val="16"/>
                        </w:rPr>
                        <w:t>Gobierno</w:t>
                      </w:r>
                      <w:r>
                        <w:rPr>
                          <w:rFonts w:ascii="Arial MT" w:hAnsi="Arial MT"/>
                          <w:color w:val="231F1F"/>
                          <w:spacing w:val="-8"/>
                          <w:sz w:val="16"/>
                        </w:rPr>
                        <w:t> </w:t>
                      </w:r>
                      <w:r>
                        <w:rPr>
                          <w:rFonts w:ascii="Arial MT" w:hAnsi="Arial MT"/>
                          <w:color w:val="231F1F"/>
                          <w:sz w:val="16"/>
                        </w:rPr>
                        <w:t>Vasco: </w:t>
                      </w:r>
                      <w:hyperlink r:id="rId20">
                        <w:r>
                          <w:rPr>
                            <w:rFonts w:ascii="Arial MT" w:hAnsi="Arial MT"/>
                            <w:color w:val="231F1F"/>
                            <w:spacing w:val="-2"/>
                            <w:sz w:val="16"/>
                          </w:rPr>
                          <w:t>http://www.euskadi.net/ejgvbiblioteka</w:t>
                        </w:r>
                      </w:hyperlink>
                    </w:p>
                  </w:txbxContent>
                </v:textbox>
                <v:stroke dashstyle="solid"/>
              </v:shape>
            </w:pict>
          </mc:Fallback>
        </mc:AlternateContent>
      </w:r>
      <w:r>
        <w:rPr>
          <w:rFonts w:ascii="Trebuchet MS"/>
          <w:sz w:val="20"/>
        </w:rPr>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136"/>
        <w:rPr>
          <w:rFonts w:ascii="Trebuchet MS"/>
          <w:sz w:val="16"/>
        </w:rPr>
      </w:pPr>
    </w:p>
    <w:p>
      <w:pPr>
        <w:spacing w:line="268" w:lineRule="auto" w:before="1"/>
        <w:ind w:left="280" w:right="0" w:firstLine="0"/>
        <w:jc w:val="left"/>
        <w:rPr>
          <w:rFonts w:ascii="Arial MT" w:hAnsi="Arial MT"/>
          <w:sz w:val="16"/>
        </w:rPr>
      </w:pPr>
      <w:r>
        <w:rPr>
          <w:rFonts w:ascii="Arial MT" w:hAnsi="Arial MT"/>
          <w:color w:val="231F1F"/>
          <w:sz w:val="16"/>
        </w:rPr>
        <w:t>Esta</w:t>
      </w:r>
      <w:r>
        <w:rPr>
          <w:rFonts w:ascii="Arial MT" w:hAnsi="Arial MT"/>
          <w:color w:val="231F1F"/>
          <w:spacing w:val="-4"/>
          <w:sz w:val="16"/>
        </w:rPr>
        <w:t> </w:t>
      </w:r>
      <w:r>
        <w:rPr>
          <w:rFonts w:ascii="Arial MT" w:hAnsi="Arial MT"/>
          <w:color w:val="231F1F"/>
          <w:sz w:val="16"/>
        </w:rPr>
        <w:t>guía</w:t>
      </w:r>
      <w:r>
        <w:rPr>
          <w:rFonts w:ascii="Arial MT" w:hAnsi="Arial MT"/>
          <w:color w:val="231F1F"/>
          <w:spacing w:val="-4"/>
          <w:sz w:val="16"/>
        </w:rPr>
        <w:t> </w:t>
      </w:r>
      <w:r>
        <w:rPr>
          <w:rFonts w:ascii="Arial MT" w:hAnsi="Arial MT"/>
          <w:color w:val="231F1F"/>
          <w:sz w:val="16"/>
        </w:rPr>
        <w:t>de</w:t>
      </w:r>
      <w:r>
        <w:rPr>
          <w:rFonts w:ascii="Arial MT" w:hAnsi="Arial MT"/>
          <w:color w:val="231F1F"/>
          <w:spacing w:val="-4"/>
          <w:sz w:val="16"/>
        </w:rPr>
        <w:t> </w:t>
      </w:r>
      <w:r>
        <w:rPr>
          <w:rFonts w:ascii="Arial MT" w:hAnsi="Arial MT"/>
          <w:color w:val="231F1F"/>
          <w:sz w:val="16"/>
        </w:rPr>
        <w:t>práctica</w:t>
      </w:r>
      <w:r>
        <w:rPr>
          <w:rFonts w:ascii="Arial MT" w:hAnsi="Arial MT"/>
          <w:color w:val="231F1F"/>
          <w:spacing w:val="-4"/>
          <w:sz w:val="16"/>
        </w:rPr>
        <w:t> </w:t>
      </w:r>
      <w:r>
        <w:rPr>
          <w:rFonts w:ascii="Arial MT" w:hAnsi="Arial MT"/>
          <w:color w:val="231F1F"/>
          <w:sz w:val="16"/>
        </w:rPr>
        <w:t>clínica</w:t>
      </w:r>
      <w:r>
        <w:rPr>
          <w:rFonts w:ascii="Arial MT" w:hAnsi="Arial MT"/>
          <w:color w:val="231F1F"/>
          <w:spacing w:val="-4"/>
          <w:sz w:val="16"/>
        </w:rPr>
        <w:t> </w:t>
      </w:r>
      <w:r>
        <w:rPr>
          <w:rFonts w:ascii="Arial MT" w:hAnsi="Arial MT"/>
          <w:color w:val="231F1F"/>
          <w:sz w:val="16"/>
        </w:rPr>
        <w:t>es</w:t>
      </w:r>
      <w:r>
        <w:rPr>
          <w:rFonts w:ascii="Arial MT" w:hAnsi="Arial MT"/>
          <w:color w:val="231F1F"/>
          <w:spacing w:val="-4"/>
          <w:sz w:val="16"/>
        </w:rPr>
        <w:t> </w:t>
      </w:r>
      <w:r>
        <w:rPr>
          <w:rFonts w:ascii="Arial MT" w:hAnsi="Arial MT"/>
          <w:color w:val="231F1F"/>
          <w:sz w:val="16"/>
        </w:rPr>
        <w:t>una</w:t>
      </w:r>
      <w:r>
        <w:rPr>
          <w:rFonts w:ascii="Arial MT" w:hAnsi="Arial MT"/>
          <w:color w:val="231F1F"/>
          <w:spacing w:val="-4"/>
          <w:sz w:val="16"/>
        </w:rPr>
        <w:t> </w:t>
      </w:r>
      <w:r>
        <w:rPr>
          <w:rFonts w:ascii="Arial MT" w:hAnsi="Arial MT"/>
          <w:color w:val="231F1F"/>
          <w:sz w:val="16"/>
        </w:rPr>
        <w:t>ayuda</w:t>
      </w:r>
      <w:r>
        <w:rPr>
          <w:rFonts w:ascii="Arial MT" w:hAnsi="Arial MT"/>
          <w:color w:val="231F1F"/>
          <w:spacing w:val="-4"/>
          <w:sz w:val="16"/>
        </w:rPr>
        <w:t> </w:t>
      </w:r>
      <w:r>
        <w:rPr>
          <w:rFonts w:ascii="Arial MT" w:hAnsi="Arial MT"/>
          <w:color w:val="231F1F"/>
          <w:sz w:val="16"/>
        </w:rPr>
        <w:t>a</w:t>
      </w:r>
      <w:r>
        <w:rPr>
          <w:rFonts w:ascii="Arial MT" w:hAnsi="Arial MT"/>
          <w:color w:val="231F1F"/>
          <w:spacing w:val="-4"/>
          <w:sz w:val="16"/>
        </w:rPr>
        <w:t> </w:t>
      </w:r>
      <w:r>
        <w:rPr>
          <w:rFonts w:ascii="Arial MT" w:hAnsi="Arial MT"/>
          <w:color w:val="231F1F"/>
          <w:sz w:val="16"/>
        </w:rPr>
        <w:t>la</w:t>
      </w:r>
      <w:r>
        <w:rPr>
          <w:rFonts w:ascii="Arial MT" w:hAnsi="Arial MT"/>
          <w:color w:val="231F1F"/>
          <w:spacing w:val="-4"/>
          <w:sz w:val="16"/>
        </w:rPr>
        <w:t> </w:t>
      </w:r>
      <w:r>
        <w:rPr>
          <w:rFonts w:ascii="Arial MT" w:hAnsi="Arial MT"/>
          <w:color w:val="231F1F"/>
          <w:sz w:val="16"/>
        </w:rPr>
        <w:t>toma</w:t>
      </w:r>
      <w:r>
        <w:rPr>
          <w:rFonts w:ascii="Arial MT" w:hAnsi="Arial MT"/>
          <w:color w:val="231F1F"/>
          <w:spacing w:val="-4"/>
          <w:sz w:val="16"/>
        </w:rPr>
        <w:t> </w:t>
      </w:r>
      <w:r>
        <w:rPr>
          <w:rFonts w:ascii="Arial MT" w:hAnsi="Arial MT"/>
          <w:color w:val="231F1F"/>
          <w:sz w:val="16"/>
        </w:rPr>
        <w:t>de</w:t>
      </w:r>
      <w:r>
        <w:rPr>
          <w:rFonts w:ascii="Arial MT" w:hAnsi="Arial MT"/>
          <w:color w:val="231F1F"/>
          <w:spacing w:val="-4"/>
          <w:sz w:val="16"/>
        </w:rPr>
        <w:t> </w:t>
      </w:r>
      <w:r>
        <w:rPr>
          <w:rFonts w:ascii="Arial MT" w:hAnsi="Arial MT"/>
          <w:color w:val="231F1F"/>
          <w:sz w:val="16"/>
        </w:rPr>
        <w:t>decisiones</w:t>
      </w:r>
      <w:r>
        <w:rPr>
          <w:rFonts w:ascii="Arial MT" w:hAnsi="Arial MT"/>
          <w:color w:val="231F1F"/>
          <w:spacing w:val="-4"/>
          <w:sz w:val="16"/>
        </w:rPr>
        <w:t> </w:t>
      </w:r>
      <w:r>
        <w:rPr>
          <w:rFonts w:ascii="Arial MT" w:hAnsi="Arial MT"/>
          <w:color w:val="231F1F"/>
          <w:sz w:val="16"/>
        </w:rPr>
        <w:t>en</w:t>
      </w:r>
      <w:r>
        <w:rPr>
          <w:rFonts w:ascii="Arial MT" w:hAnsi="Arial MT"/>
          <w:color w:val="231F1F"/>
          <w:spacing w:val="-4"/>
          <w:sz w:val="16"/>
        </w:rPr>
        <w:t> </w:t>
      </w:r>
      <w:r>
        <w:rPr>
          <w:rFonts w:ascii="Arial MT" w:hAnsi="Arial MT"/>
          <w:color w:val="231F1F"/>
          <w:sz w:val="16"/>
        </w:rPr>
        <w:t>la</w:t>
      </w:r>
      <w:r>
        <w:rPr>
          <w:rFonts w:ascii="Arial MT" w:hAnsi="Arial MT"/>
          <w:color w:val="231F1F"/>
          <w:spacing w:val="-4"/>
          <w:sz w:val="16"/>
        </w:rPr>
        <w:t> </w:t>
      </w:r>
      <w:r>
        <w:rPr>
          <w:rFonts w:ascii="Arial MT" w:hAnsi="Arial MT"/>
          <w:color w:val="231F1F"/>
          <w:sz w:val="16"/>
        </w:rPr>
        <w:t>atención</w:t>
      </w:r>
      <w:r>
        <w:rPr>
          <w:rFonts w:ascii="Arial MT" w:hAnsi="Arial MT"/>
          <w:color w:val="231F1F"/>
          <w:spacing w:val="-4"/>
          <w:sz w:val="16"/>
        </w:rPr>
        <w:t> </w:t>
      </w:r>
      <w:r>
        <w:rPr>
          <w:rFonts w:ascii="Arial MT" w:hAnsi="Arial MT"/>
          <w:color w:val="231F1F"/>
          <w:sz w:val="16"/>
        </w:rPr>
        <w:t>sanitaria.</w:t>
      </w:r>
      <w:r>
        <w:rPr>
          <w:rFonts w:ascii="Arial MT" w:hAnsi="Arial MT"/>
          <w:color w:val="231F1F"/>
          <w:spacing w:val="-4"/>
          <w:sz w:val="16"/>
        </w:rPr>
        <w:t> </w:t>
      </w:r>
      <w:r>
        <w:rPr>
          <w:rFonts w:ascii="Arial MT" w:hAnsi="Arial MT"/>
          <w:color w:val="231F1F"/>
          <w:sz w:val="16"/>
        </w:rPr>
        <w:t>No</w:t>
      </w:r>
      <w:r>
        <w:rPr>
          <w:rFonts w:ascii="Arial MT" w:hAnsi="Arial MT"/>
          <w:color w:val="231F1F"/>
          <w:spacing w:val="-4"/>
          <w:sz w:val="16"/>
        </w:rPr>
        <w:t> </w:t>
      </w:r>
      <w:r>
        <w:rPr>
          <w:rFonts w:ascii="Arial MT" w:hAnsi="Arial MT"/>
          <w:color w:val="231F1F"/>
          <w:sz w:val="16"/>
        </w:rPr>
        <w:t>es</w:t>
      </w:r>
      <w:r>
        <w:rPr>
          <w:rFonts w:ascii="Arial MT" w:hAnsi="Arial MT"/>
          <w:color w:val="231F1F"/>
          <w:spacing w:val="-4"/>
          <w:sz w:val="16"/>
        </w:rPr>
        <w:t> </w:t>
      </w:r>
      <w:r>
        <w:rPr>
          <w:rFonts w:ascii="Arial MT" w:hAnsi="Arial MT"/>
          <w:color w:val="231F1F"/>
          <w:sz w:val="16"/>
        </w:rPr>
        <w:t>de</w:t>
      </w:r>
      <w:r>
        <w:rPr>
          <w:rFonts w:ascii="Arial MT" w:hAnsi="Arial MT"/>
          <w:color w:val="231F1F"/>
          <w:spacing w:val="-4"/>
          <w:sz w:val="16"/>
        </w:rPr>
        <w:t> </w:t>
      </w:r>
      <w:r>
        <w:rPr>
          <w:rFonts w:ascii="Arial MT" w:hAnsi="Arial MT"/>
          <w:color w:val="231F1F"/>
          <w:sz w:val="16"/>
        </w:rPr>
        <w:t>obligado</w:t>
      </w:r>
      <w:r>
        <w:rPr>
          <w:rFonts w:ascii="Arial MT" w:hAnsi="Arial MT"/>
          <w:color w:val="231F1F"/>
          <w:spacing w:val="-4"/>
          <w:sz w:val="16"/>
        </w:rPr>
        <w:t> </w:t>
      </w:r>
      <w:r>
        <w:rPr>
          <w:rFonts w:ascii="Arial MT" w:hAnsi="Arial MT"/>
          <w:color w:val="231F1F"/>
          <w:sz w:val="16"/>
        </w:rPr>
        <w:t>cumpli- miento ni sustituye al juicio clínico del personal sanitario.</w:t>
      </w: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157"/>
        <w:rPr>
          <w:rFonts w:ascii="Arial MT"/>
          <w:sz w:val="16"/>
        </w:rPr>
      </w:pPr>
    </w:p>
    <w:p>
      <w:pPr>
        <w:tabs>
          <w:tab w:pos="1696" w:val="left" w:leader="none"/>
        </w:tabs>
        <w:spacing w:before="0"/>
        <w:ind w:left="280" w:right="0" w:firstLine="0"/>
        <w:jc w:val="left"/>
        <w:rPr>
          <w:rFonts w:ascii="Arial MT" w:hAnsi="Arial MT"/>
          <w:sz w:val="16"/>
        </w:rPr>
      </w:pPr>
      <w:r>
        <w:rPr>
          <w:rFonts w:ascii="Arial MT" w:hAnsi="Arial MT"/>
          <w:color w:val="231F1F"/>
          <w:spacing w:val="-2"/>
          <w:sz w:val="16"/>
        </w:rPr>
        <w:t>Edición:</w:t>
      </w:r>
      <w:r>
        <w:rPr>
          <w:rFonts w:ascii="Arial MT" w:hAnsi="Arial MT"/>
          <w:color w:val="231F1F"/>
          <w:sz w:val="16"/>
        </w:rPr>
        <w:tab/>
      </w:r>
      <w:r>
        <w:rPr>
          <w:rFonts w:ascii="Arial MT" w:hAnsi="Arial MT"/>
          <w:color w:val="231F1F"/>
          <w:spacing w:val="-4"/>
          <w:sz w:val="16"/>
        </w:rPr>
        <w:t>1.ª,</w:t>
      </w:r>
      <w:r>
        <w:rPr>
          <w:rFonts w:ascii="Arial MT" w:hAnsi="Arial MT"/>
          <w:color w:val="231F1F"/>
          <w:spacing w:val="-2"/>
          <w:sz w:val="16"/>
        </w:rPr>
        <w:t> </w:t>
      </w:r>
      <w:r>
        <w:rPr>
          <w:rFonts w:ascii="Arial MT" w:hAnsi="Arial MT"/>
          <w:color w:val="231F1F"/>
          <w:spacing w:val="-4"/>
          <w:sz w:val="16"/>
        </w:rPr>
        <w:t>octubre</w:t>
      </w:r>
      <w:r>
        <w:rPr>
          <w:rFonts w:ascii="Arial MT" w:hAnsi="Arial MT"/>
          <w:color w:val="231F1F"/>
          <w:spacing w:val="-1"/>
          <w:sz w:val="16"/>
        </w:rPr>
        <w:t> </w:t>
      </w:r>
      <w:r>
        <w:rPr>
          <w:rFonts w:ascii="Arial MT" w:hAnsi="Arial MT"/>
          <w:color w:val="231F1F"/>
          <w:spacing w:val="-4"/>
          <w:sz w:val="16"/>
        </w:rPr>
        <w:t>2010</w:t>
      </w:r>
    </w:p>
    <w:p>
      <w:pPr>
        <w:tabs>
          <w:tab w:pos="1696" w:val="left" w:leader="none"/>
        </w:tabs>
        <w:spacing w:line="432" w:lineRule="auto" w:before="162"/>
        <w:ind w:left="280" w:right="2260" w:firstLine="0"/>
        <w:jc w:val="left"/>
        <w:rPr>
          <w:rFonts w:ascii="Arial MT"/>
          <w:sz w:val="16"/>
        </w:rPr>
      </w:pPr>
      <w:r>
        <w:rPr>
          <w:rFonts w:ascii="Arial MT"/>
          <w:color w:val="231F1F"/>
          <w:spacing w:val="-2"/>
          <w:sz w:val="16"/>
        </w:rPr>
        <w:t>Tirada:</w:t>
      </w:r>
      <w:r>
        <w:rPr>
          <w:rFonts w:ascii="Arial MT"/>
          <w:color w:val="231F1F"/>
          <w:sz w:val="16"/>
        </w:rPr>
        <w:tab/>
      </w:r>
      <w:r>
        <w:rPr>
          <w:rFonts w:ascii="Arial MT"/>
          <w:color w:val="231F1F"/>
          <w:spacing w:val="-2"/>
          <w:sz w:val="16"/>
        </w:rPr>
        <w:t>2.700</w:t>
      </w:r>
      <w:r>
        <w:rPr>
          <w:rFonts w:ascii="Arial MT"/>
          <w:color w:val="231F1F"/>
          <w:spacing w:val="-7"/>
          <w:sz w:val="16"/>
        </w:rPr>
        <w:t> </w:t>
      </w:r>
      <w:r>
        <w:rPr>
          <w:rFonts w:ascii="Arial MT"/>
          <w:color w:val="231F1F"/>
          <w:spacing w:val="-2"/>
          <w:sz w:val="16"/>
        </w:rPr>
        <w:t>ejemplares</w:t>
      </w:r>
      <w:r>
        <w:rPr>
          <w:rFonts w:ascii="Arial MT"/>
          <w:color w:val="231F1F"/>
          <w:spacing w:val="-6"/>
          <w:sz w:val="16"/>
        </w:rPr>
        <w:t> </w:t>
      </w:r>
      <w:r>
        <w:rPr>
          <w:rFonts w:ascii="Arial MT"/>
          <w:color w:val="231F1F"/>
          <w:spacing w:val="-2"/>
          <w:sz w:val="16"/>
        </w:rPr>
        <w:t>CD(Incluidos</w:t>
      </w:r>
      <w:r>
        <w:rPr>
          <w:rFonts w:ascii="Arial MT"/>
          <w:color w:val="231F1F"/>
          <w:spacing w:val="-6"/>
          <w:sz w:val="16"/>
        </w:rPr>
        <w:t> </w:t>
      </w:r>
      <w:r>
        <w:rPr>
          <w:rFonts w:ascii="Arial MT"/>
          <w:color w:val="231F1F"/>
          <w:spacing w:val="-2"/>
          <w:sz w:val="16"/>
        </w:rPr>
        <w:t>en</w:t>
      </w:r>
      <w:r>
        <w:rPr>
          <w:rFonts w:ascii="Arial MT"/>
          <w:color w:val="231F1F"/>
          <w:spacing w:val="-6"/>
          <w:sz w:val="16"/>
        </w:rPr>
        <w:t> </w:t>
      </w:r>
      <w:r>
        <w:rPr>
          <w:rFonts w:ascii="Arial MT"/>
          <w:color w:val="231F1F"/>
          <w:spacing w:val="-2"/>
          <w:sz w:val="16"/>
        </w:rPr>
        <w:t>la</w:t>
      </w:r>
      <w:r>
        <w:rPr>
          <w:rFonts w:ascii="Arial MT"/>
          <w:color w:val="231F1F"/>
          <w:spacing w:val="-6"/>
          <w:sz w:val="16"/>
        </w:rPr>
        <w:t> </w:t>
      </w:r>
      <w:r>
        <w:rPr>
          <w:rFonts w:ascii="Arial MT"/>
          <w:color w:val="231F1F"/>
          <w:spacing w:val="-2"/>
          <w:sz w:val="16"/>
        </w:rPr>
        <w:t>contraportada</w:t>
      </w:r>
      <w:r>
        <w:rPr>
          <w:rFonts w:ascii="Arial MT"/>
          <w:color w:val="231F1F"/>
          <w:spacing w:val="-6"/>
          <w:sz w:val="16"/>
        </w:rPr>
        <w:t> </w:t>
      </w:r>
      <w:r>
        <w:rPr>
          <w:rFonts w:ascii="Arial MT"/>
          <w:color w:val="231F1F"/>
          <w:spacing w:val="-2"/>
          <w:sz w:val="16"/>
        </w:rPr>
        <w:t>de</w:t>
      </w:r>
      <w:r>
        <w:rPr>
          <w:rFonts w:ascii="Arial MT"/>
          <w:color w:val="231F1F"/>
          <w:spacing w:val="-6"/>
          <w:sz w:val="16"/>
        </w:rPr>
        <w:t> </w:t>
      </w:r>
      <w:r>
        <w:rPr>
          <w:rFonts w:ascii="Arial MT"/>
          <w:color w:val="231F1F"/>
          <w:spacing w:val="-2"/>
          <w:sz w:val="16"/>
        </w:rPr>
        <w:t>la</w:t>
      </w:r>
      <w:r>
        <w:rPr>
          <w:rFonts w:ascii="Arial MT"/>
          <w:color w:val="231F1F"/>
          <w:spacing w:val="-6"/>
          <w:sz w:val="16"/>
        </w:rPr>
        <w:t> </w:t>
      </w:r>
      <w:r>
        <w:rPr>
          <w:rFonts w:ascii="Arial MT"/>
          <w:color w:val="231F1F"/>
          <w:spacing w:val="-2"/>
          <w:sz w:val="16"/>
        </w:rPr>
        <w:t>guia</w:t>
      </w:r>
      <w:r>
        <w:rPr>
          <w:rFonts w:ascii="Arial MT"/>
          <w:color w:val="231F1F"/>
          <w:spacing w:val="-7"/>
          <w:sz w:val="16"/>
        </w:rPr>
        <w:t> </w:t>
      </w:r>
      <w:r>
        <w:rPr>
          <w:rFonts w:ascii="Arial MT"/>
          <w:color w:val="231F1F"/>
          <w:spacing w:val="-2"/>
          <w:sz w:val="16"/>
        </w:rPr>
        <w:t>resumida) Internet:</w:t>
      </w:r>
      <w:r>
        <w:rPr>
          <w:rFonts w:ascii="Arial MT"/>
          <w:color w:val="231F1F"/>
          <w:sz w:val="16"/>
        </w:rPr>
        <w:tab/>
      </w:r>
      <w:r>
        <w:rPr>
          <w:rFonts w:ascii="Arial MT"/>
          <w:color w:val="231F1F"/>
          <w:spacing w:val="-43"/>
          <w:sz w:val="16"/>
        </w:rPr>
        <w:t> </w:t>
      </w:r>
      <w:r>
        <w:rPr>
          <w:rFonts w:ascii="Arial MT"/>
          <w:color w:val="231F1F"/>
          <w:spacing w:val="-2"/>
          <w:sz w:val="16"/>
        </w:rPr>
        <w:t>http//publicaciones.administraciones.es</w:t>
      </w:r>
    </w:p>
    <w:p>
      <w:pPr>
        <w:tabs>
          <w:tab w:pos="1696" w:val="left" w:leader="none"/>
        </w:tabs>
        <w:spacing w:line="285" w:lineRule="auto" w:before="14"/>
        <w:ind w:left="1697" w:right="3500" w:hanging="1418"/>
        <w:jc w:val="left"/>
        <w:rPr>
          <w:rFonts w:ascii="Arial MT" w:hAnsi="Arial MT"/>
          <w:sz w:val="16"/>
        </w:rPr>
      </w:pPr>
      <w:r>
        <w:rPr>
          <w:rFonts w:ascii="Arial MT" w:hAnsi="Arial MT"/>
          <w:color w:val="231F1F"/>
          <w:spacing w:val="-2"/>
          <w:sz w:val="16"/>
        </w:rPr>
        <w:t>Edita:</w:t>
      </w:r>
      <w:r>
        <w:rPr>
          <w:rFonts w:ascii="Arial MT" w:hAnsi="Arial MT"/>
          <w:color w:val="231F1F"/>
          <w:sz w:val="16"/>
        </w:rPr>
        <w:tab/>
        <w:t>Eusko Jaurlaritzaren Argitalpen Zerbitzu Nagusia </w:t>
      </w:r>
      <w:r>
        <w:rPr>
          <w:rFonts w:ascii="Arial MT" w:hAnsi="Arial MT"/>
          <w:color w:val="231F1F"/>
          <w:spacing w:val="-2"/>
          <w:sz w:val="16"/>
        </w:rPr>
        <w:t>Servicio</w:t>
      </w:r>
      <w:r>
        <w:rPr>
          <w:rFonts w:ascii="Arial MT" w:hAnsi="Arial MT"/>
          <w:color w:val="231F1F"/>
          <w:spacing w:val="-10"/>
          <w:sz w:val="16"/>
        </w:rPr>
        <w:t> </w:t>
      </w:r>
      <w:r>
        <w:rPr>
          <w:rFonts w:ascii="Arial MT" w:hAnsi="Arial MT"/>
          <w:color w:val="231F1F"/>
          <w:spacing w:val="-2"/>
          <w:sz w:val="16"/>
        </w:rPr>
        <w:t>Central</w:t>
      </w:r>
      <w:r>
        <w:rPr>
          <w:rFonts w:ascii="Arial MT" w:hAnsi="Arial MT"/>
          <w:color w:val="231F1F"/>
          <w:spacing w:val="-9"/>
          <w:sz w:val="16"/>
        </w:rPr>
        <w:t> </w:t>
      </w:r>
      <w:r>
        <w:rPr>
          <w:rFonts w:ascii="Arial MT" w:hAnsi="Arial MT"/>
          <w:color w:val="231F1F"/>
          <w:spacing w:val="-2"/>
          <w:sz w:val="16"/>
        </w:rPr>
        <w:t>de</w:t>
      </w:r>
      <w:r>
        <w:rPr>
          <w:rFonts w:ascii="Arial MT" w:hAnsi="Arial MT"/>
          <w:color w:val="231F1F"/>
          <w:spacing w:val="-9"/>
          <w:sz w:val="16"/>
        </w:rPr>
        <w:t> </w:t>
      </w:r>
      <w:r>
        <w:rPr>
          <w:rFonts w:ascii="Arial MT" w:hAnsi="Arial MT"/>
          <w:color w:val="231F1F"/>
          <w:spacing w:val="-2"/>
          <w:sz w:val="16"/>
        </w:rPr>
        <w:t>Publicaciones</w:t>
      </w:r>
      <w:r>
        <w:rPr>
          <w:rFonts w:ascii="Arial MT" w:hAnsi="Arial MT"/>
          <w:color w:val="231F1F"/>
          <w:spacing w:val="-9"/>
          <w:sz w:val="16"/>
        </w:rPr>
        <w:t> </w:t>
      </w:r>
      <w:r>
        <w:rPr>
          <w:rFonts w:ascii="Arial MT" w:hAnsi="Arial MT"/>
          <w:color w:val="231F1F"/>
          <w:spacing w:val="-2"/>
          <w:sz w:val="16"/>
        </w:rPr>
        <w:t>del</w:t>
      </w:r>
      <w:r>
        <w:rPr>
          <w:rFonts w:ascii="Arial MT" w:hAnsi="Arial MT"/>
          <w:color w:val="231F1F"/>
          <w:spacing w:val="-9"/>
          <w:sz w:val="16"/>
        </w:rPr>
        <w:t> </w:t>
      </w:r>
      <w:r>
        <w:rPr>
          <w:rFonts w:ascii="Arial MT" w:hAnsi="Arial MT"/>
          <w:color w:val="231F1F"/>
          <w:spacing w:val="-2"/>
          <w:sz w:val="16"/>
        </w:rPr>
        <w:t>Gobierno</w:t>
      </w:r>
      <w:r>
        <w:rPr>
          <w:rFonts w:ascii="Arial MT" w:hAnsi="Arial MT"/>
          <w:color w:val="231F1F"/>
          <w:spacing w:val="-9"/>
          <w:sz w:val="16"/>
        </w:rPr>
        <w:t> </w:t>
      </w:r>
      <w:r>
        <w:rPr>
          <w:rFonts w:ascii="Arial MT" w:hAnsi="Arial MT"/>
          <w:color w:val="231F1F"/>
          <w:spacing w:val="-2"/>
          <w:sz w:val="16"/>
        </w:rPr>
        <w:t>Vasco </w:t>
      </w:r>
      <w:r>
        <w:rPr>
          <w:rFonts w:ascii="Arial MT" w:hAnsi="Arial MT"/>
          <w:color w:val="231F1F"/>
          <w:sz w:val="16"/>
        </w:rPr>
        <w:t>c/</w:t>
      </w:r>
      <w:r>
        <w:rPr>
          <w:rFonts w:ascii="Arial MT" w:hAnsi="Arial MT"/>
          <w:color w:val="231F1F"/>
          <w:spacing w:val="-10"/>
          <w:sz w:val="16"/>
        </w:rPr>
        <w:t> </w:t>
      </w:r>
      <w:r>
        <w:rPr>
          <w:rFonts w:ascii="Arial MT" w:hAnsi="Arial MT"/>
          <w:color w:val="231F1F"/>
          <w:sz w:val="16"/>
        </w:rPr>
        <w:t>Donostia-San</w:t>
      </w:r>
      <w:r>
        <w:rPr>
          <w:rFonts w:ascii="Arial MT" w:hAnsi="Arial MT"/>
          <w:color w:val="231F1F"/>
          <w:spacing w:val="-8"/>
          <w:sz w:val="16"/>
        </w:rPr>
        <w:t> </w:t>
      </w:r>
      <w:r>
        <w:rPr>
          <w:rFonts w:ascii="Arial MT" w:hAnsi="Arial MT"/>
          <w:color w:val="231F1F"/>
          <w:sz w:val="16"/>
        </w:rPr>
        <w:t>Sebastián,</w:t>
      </w:r>
      <w:r>
        <w:rPr>
          <w:rFonts w:ascii="Arial MT" w:hAnsi="Arial MT"/>
          <w:color w:val="231F1F"/>
          <w:spacing w:val="-8"/>
          <w:sz w:val="16"/>
        </w:rPr>
        <w:t> </w:t>
      </w:r>
      <w:r>
        <w:rPr>
          <w:rFonts w:ascii="Arial MT" w:hAnsi="Arial MT"/>
          <w:color w:val="231F1F"/>
          <w:sz w:val="16"/>
        </w:rPr>
        <w:t>1</w:t>
      </w:r>
      <w:r>
        <w:rPr>
          <w:rFonts w:ascii="Arial MT" w:hAnsi="Arial MT"/>
          <w:color w:val="231F1F"/>
          <w:spacing w:val="-8"/>
          <w:sz w:val="16"/>
        </w:rPr>
        <w:t> </w:t>
      </w:r>
      <w:r>
        <w:rPr>
          <w:rFonts w:ascii="Arial MT" w:hAnsi="Arial MT"/>
          <w:color w:val="231F1F"/>
          <w:sz w:val="16"/>
        </w:rPr>
        <w:t>-</w:t>
      </w:r>
      <w:r>
        <w:rPr>
          <w:rFonts w:ascii="Arial MT" w:hAnsi="Arial MT"/>
          <w:color w:val="231F1F"/>
          <w:spacing w:val="-9"/>
          <w:sz w:val="16"/>
        </w:rPr>
        <w:t> </w:t>
      </w:r>
      <w:r>
        <w:rPr>
          <w:rFonts w:ascii="Arial MT" w:hAnsi="Arial MT"/>
          <w:color w:val="231F1F"/>
          <w:sz w:val="16"/>
        </w:rPr>
        <w:t>01010</w:t>
      </w:r>
      <w:r>
        <w:rPr>
          <w:rFonts w:ascii="Arial MT" w:hAnsi="Arial MT"/>
          <w:color w:val="231F1F"/>
          <w:spacing w:val="-8"/>
          <w:sz w:val="16"/>
        </w:rPr>
        <w:t> </w:t>
      </w:r>
      <w:r>
        <w:rPr>
          <w:rFonts w:ascii="Arial MT" w:hAnsi="Arial MT"/>
          <w:color w:val="231F1F"/>
          <w:sz w:val="16"/>
        </w:rPr>
        <w:t>Vitoria-</w:t>
      </w:r>
      <w:r>
        <w:rPr>
          <w:rFonts w:ascii="Arial MT" w:hAnsi="Arial MT"/>
          <w:color w:val="231F1F"/>
          <w:spacing w:val="-2"/>
          <w:sz w:val="16"/>
        </w:rPr>
        <w:t>Gasteiz</w:t>
      </w:r>
    </w:p>
    <w:p>
      <w:pPr>
        <w:spacing w:before="121"/>
        <w:ind w:left="280" w:right="0" w:firstLine="0"/>
        <w:jc w:val="left"/>
        <w:rPr>
          <w:rFonts w:ascii="Arial MT" w:hAnsi="Arial MT"/>
          <w:sz w:val="16"/>
        </w:rPr>
      </w:pPr>
      <w:r>
        <w:rPr>
          <w:rFonts w:ascii="Arial MT" w:hAnsi="Arial MT"/>
          <w:color w:val="231F1F"/>
          <w:sz w:val="16"/>
        </w:rPr>
        <w:t>Fotocomposición:</w:t>
      </w:r>
      <w:r>
        <w:rPr>
          <w:rFonts w:ascii="Arial MT" w:hAnsi="Arial MT"/>
          <w:color w:val="231F1F"/>
          <w:spacing w:val="72"/>
          <w:sz w:val="16"/>
        </w:rPr>
        <w:t> </w:t>
      </w:r>
      <w:r>
        <w:rPr>
          <w:rFonts w:ascii="Arial MT" w:hAnsi="Arial MT"/>
          <w:color w:val="231F1F"/>
          <w:sz w:val="16"/>
        </w:rPr>
        <w:t>RGM,</w:t>
      </w:r>
      <w:r>
        <w:rPr>
          <w:rFonts w:ascii="Arial MT" w:hAnsi="Arial MT"/>
          <w:color w:val="231F1F"/>
          <w:spacing w:val="-10"/>
          <w:sz w:val="16"/>
        </w:rPr>
        <w:t> </w:t>
      </w:r>
      <w:r>
        <w:rPr>
          <w:rFonts w:ascii="Arial MT" w:hAnsi="Arial MT"/>
          <w:color w:val="231F1F"/>
          <w:spacing w:val="-4"/>
          <w:sz w:val="16"/>
        </w:rPr>
        <w:t>S.A.</w:t>
      </w:r>
    </w:p>
    <w:p>
      <w:pPr>
        <w:spacing w:before="42"/>
        <w:ind w:left="1697" w:right="0" w:firstLine="0"/>
        <w:jc w:val="left"/>
        <w:rPr>
          <w:rFonts w:ascii="Arial MT" w:hAnsi="Arial MT"/>
          <w:sz w:val="16"/>
        </w:rPr>
      </w:pPr>
      <w:r>
        <w:rPr>
          <w:rFonts w:ascii="Arial MT" w:hAnsi="Arial MT"/>
          <w:color w:val="231F1F"/>
          <w:spacing w:val="-4"/>
          <w:sz w:val="16"/>
        </w:rPr>
        <w:t>Polígono</w:t>
      </w:r>
      <w:r>
        <w:rPr>
          <w:rFonts w:ascii="Arial MT" w:hAnsi="Arial MT"/>
          <w:color w:val="231F1F"/>
          <w:spacing w:val="-3"/>
          <w:sz w:val="16"/>
        </w:rPr>
        <w:t> </w:t>
      </w:r>
      <w:r>
        <w:rPr>
          <w:rFonts w:ascii="Arial MT" w:hAnsi="Arial MT"/>
          <w:color w:val="231F1F"/>
          <w:spacing w:val="-4"/>
          <w:sz w:val="16"/>
        </w:rPr>
        <w:t>Igeltzera</w:t>
      </w:r>
      <w:r>
        <w:rPr>
          <w:rFonts w:ascii="Arial MT" w:hAnsi="Arial MT"/>
          <w:color w:val="231F1F"/>
          <w:spacing w:val="-2"/>
          <w:sz w:val="16"/>
        </w:rPr>
        <w:t> </w:t>
      </w:r>
      <w:r>
        <w:rPr>
          <w:rFonts w:ascii="Arial MT" w:hAnsi="Arial MT"/>
          <w:color w:val="231F1F"/>
          <w:spacing w:val="-4"/>
          <w:sz w:val="16"/>
        </w:rPr>
        <w:t>Pab.</w:t>
      </w:r>
      <w:r>
        <w:rPr>
          <w:rFonts w:ascii="Arial MT" w:hAnsi="Arial MT"/>
          <w:color w:val="231F1F"/>
          <w:spacing w:val="-3"/>
          <w:sz w:val="16"/>
        </w:rPr>
        <w:t> </w:t>
      </w:r>
      <w:r>
        <w:rPr>
          <w:rFonts w:ascii="Arial MT" w:hAnsi="Arial MT"/>
          <w:color w:val="231F1F"/>
          <w:spacing w:val="-4"/>
          <w:sz w:val="16"/>
        </w:rPr>
        <w:t>A1</w:t>
      </w:r>
      <w:r>
        <w:rPr>
          <w:rFonts w:ascii="Arial MT" w:hAnsi="Arial MT"/>
          <w:color w:val="231F1F"/>
          <w:sz w:val="16"/>
        </w:rPr>
        <w:t> </w:t>
      </w:r>
      <w:r>
        <w:rPr>
          <w:rFonts w:ascii="Arial MT" w:hAnsi="Arial MT"/>
          <w:color w:val="231F1F"/>
          <w:spacing w:val="-4"/>
          <w:sz w:val="16"/>
        </w:rPr>
        <w:t>bis</w:t>
      </w:r>
      <w:r>
        <w:rPr>
          <w:rFonts w:ascii="Arial MT" w:hAnsi="Arial MT"/>
          <w:color w:val="231F1F"/>
          <w:spacing w:val="-2"/>
          <w:sz w:val="16"/>
        </w:rPr>
        <w:t> </w:t>
      </w:r>
      <w:r>
        <w:rPr>
          <w:rFonts w:ascii="Arial MT" w:hAnsi="Arial MT"/>
          <w:color w:val="231F1F"/>
          <w:spacing w:val="-4"/>
          <w:sz w:val="16"/>
        </w:rPr>
        <w:t>-</w:t>
      </w:r>
      <w:r>
        <w:rPr>
          <w:rFonts w:ascii="Arial MT" w:hAnsi="Arial MT"/>
          <w:color w:val="231F1F"/>
          <w:spacing w:val="-2"/>
          <w:sz w:val="16"/>
        </w:rPr>
        <w:t> </w:t>
      </w:r>
      <w:r>
        <w:rPr>
          <w:rFonts w:ascii="Arial MT" w:hAnsi="Arial MT"/>
          <w:color w:val="231F1F"/>
          <w:spacing w:val="-4"/>
          <w:sz w:val="16"/>
        </w:rPr>
        <w:t>48610</w:t>
      </w:r>
      <w:r>
        <w:rPr>
          <w:rFonts w:ascii="Arial MT" w:hAnsi="Arial MT"/>
          <w:color w:val="231F1F"/>
          <w:spacing w:val="-3"/>
          <w:sz w:val="16"/>
        </w:rPr>
        <w:t> </w:t>
      </w:r>
      <w:r>
        <w:rPr>
          <w:rFonts w:ascii="Arial MT" w:hAnsi="Arial MT"/>
          <w:color w:val="231F1F"/>
          <w:spacing w:val="-4"/>
          <w:sz w:val="16"/>
        </w:rPr>
        <w:t>Urduliz-Bizkaia</w:t>
      </w:r>
    </w:p>
    <w:p>
      <w:pPr>
        <w:tabs>
          <w:tab w:pos="1696" w:val="left" w:leader="none"/>
        </w:tabs>
        <w:spacing w:before="152"/>
        <w:ind w:left="280" w:right="0" w:firstLine="0"/>
        <w:jc w:val="left"/>
        <w:rPr>
          <w:rFonts w:ascii="Arial MT" w:hAnsi="Arial MT"/>
          <w:sz w:val="16"/>
        </w:rPr>
      </w:pPr>
      <w:r>
        <w:rPr>
          <w:rFonts w:ascii="Arial MT" w:hAnsi="Arial MT"/>
          <w:color w:val="231F1F"/>
          <w:spacing w:val="-2"/>
          <w:sz w:val="16"/>
        </w:rPr>
        <w:t>Impresión:</w:t>
      </w:r>
      <w:r>
        <w:rPr>
          <w:rFonts w:ascii="Arial MT" w:hAnsi="Arial MT"/>
          <w:color w:val="231F1F"/>
          <w:sz w:val="16"/>
        </w:rPr>
        <w:tab/>
      </w:r>
      <w:r>
        <w:rPr>
          <w:rFonts w:ascii="Arial MT" w:hAnsi="Arial MT"/>
          <w:color w:val="231F1F"/>
          <w:spacing w:val="-2"/>
          <w:sz w:val="16"/>
        </w:rPr>
        <w:t>RGM,</w:t>
      </w:r>
      <w:r>
        <w:rPr>
          <w:rFonts w:ascii="Arial MT" w:hAnsi="Arial MT"/>
          <w:color w:val="231F1F"/>
          <w:spacing w:val="-8"/>
          <w:sz w:val="16"/>
        </w:rPr>
        <w:t> </w:t>
      </w:r>
      <w:r>
        <w:rPr>
          <w:rFonts w:ascii="Arial MT" w:hAnsi="Arial MT"/>
          <w:color w:val="231F1F"/>
          <w:spacing w:val="-4"/>
          <w:sz w:val="16"/>
        </w:rPr>
        <w:t>S.A.</w:t>
      </w:r>
    </w:p>
    <w:p>
      <w:pPr>
        <w:spacing w:before="37"/>
        <w:ind w:left="1697" w:right="0" w:firstLine="0"/>
        <w:jc w:val="left"/>
        <w:rPr>
          <w:rFonts w:ascii="Arial MT" w:hAnsi="Arial MT"/>
          <w:sz w:val="16"/>
        </w:rPr>
      </w:pPr>
      <w:r>
        <w:rPr>
          <w:rFonts w:ascii="Arial MT" w:hAnsi="Arial MT"/>
          <w:color w:val="231F1F"/>
          <w:spacing w:val="-4"/>
          <w:sz w:val="16"/>
        </w:rPr>
        <w:t>Polígono</w:t>
      </w:r>
      <w:r>
        <w:rPr>
          <w:rFonts w:ascii="Arial MT" w:hAnsi="Arial MT"/>
          <w:color w:val="231F1F"/>
          <w:spacing w:val="-3"/>
          <w:sz w:val="16"/>
        </w:rPr>
        <w:t> </w:t>
      </w:r>
      <w:r>
        <w:rPr>
          <w:rFonts w:ascii="Arial MT" w:hAnsi="Arial MT"/>
          <w:color w:val="231F1F"/>
          <w:spacing w:val="-4"/>
          <w:sz w:val="16"/>
        </w:rPr>
        <w:t>Igeltzera</w:t>
      </w:r>
      <w:r>
        <w:rPr>
          <w:rFonts w:ascii="Arial MT" w:hAnsi="Arial MT"/>
          <w:color w:val="231F1F"/>
          <w:spacing w:val="-2"/>
          <w:sz w:val="16"/>
        </w:rPr>
        <w:t> </w:t>
      </w:r>
      <w:r>
        <w:rPr>
          <w:rFonts w:ascii="Arial MT" w:hAnsi="Arial MT"/>
          <w:color w:val="231F1F"/>
          <w:spacing w:val="-4"/>
          <w:sz w:val="16"/>
        </w:rPr>
        <w:t>Pab.</w:t>
      </w:r>
      <w:r>
        <w:rPr>
          <w:rFonts w:ascii="Arial MT" w:hAnsi="Arial MT"/>
          <w:color w:val="231F1F"/>
          <w:spacing w:val="-3"/>
          <w:sz w:val="16"/>
        </w:rPr>
        <w:t> </w:t>
      </w:r>
      <w:r>
        <w:rPr>
          <w:rFonts w:ascii="Arial MT" w:hAnsi="Arial MT"/>
          <w:color w:val="231F1F"/>
          <w:spacing w:val="-4"/>
          <w:sz w:val="16"/>
        </w:rPr>
        <w:t>A1</w:t>
      </w:r>
      <w:r>
        <w:rPr>
          <w:rFonts w:ascii="Arial MT" w:hAnsi="Arial MT"/>
          <w:color w:val="231F1F"/>
          <w:sz w:val="16"/>
        </w:rPr>
        <w:t> </w:t>
      </w:r>
      <w:r>
        <w:rPr>
          <w:rFonts w:ascii="Arial MT" w:hAnsi="Arial MT"/>
          <w:color w:val="231F1F"/>
          <w:spacing w:val="-4"/>
          <w:sz w:val="16"/>
        </w:rPr>
        <w:t>bis</w:t>
      </w:r>
      <w:r>
        <w:rPr>
          <w:rFonts w:ascii="Arial MT" w:hAnsi="Arial MT"/>
          <w:color w:val="231F1F"/>
          <w:spacing w:val="-2"/>
          <w:sz w:val="16"/>
        </w:rPr>
        <w:t> </w:t>
      </w:r>
      <w:r>
        <w:rPr>
          <w:rFonts w:ascii="Arial MT" w:hAnsi="Arial MT"/>
          <w:color w:val="231F1F"/>
          <w:spacing w:val="-4"/>
          <w:sz w:val="16"/>
        </w:rPr>
        <w:t>-</w:t>
      </w:r>
      <w:r>
        <w:rPr>
          <w:rFonts w:ascii="Arial MT" w:hAnsi="Arial MT"/>
          <w:color w:val="231F1F"/>
          <w:spacing w:val="-2"/>
          <w:sz w:val="16"/>
        </w:rPr>
        <w:t> </w:t>
      </w:r>
      <w:r>
        <w:rPr>
          <w:rFonts w:ascii="Arial MT" w:hAnsi="Arial MT"/>
          <w:color w:val="231F1F"/>
          <w:spacing w:val="-4"/>
          <w:sz w:val="16"/>
        </w:rPr>
        <w:t>48610</w:t>
      </w:r>
      <w:r>
        <w:rPr>
          <w:rFonts w:ascii="Arial MT" w:hAnsi="Arial MT"/>
          <w:color w:val="231F1F"/>
          <w:spacing w:val="-3"/>
          <w:sz w:val="16"/>
        </w:rPr>
        <w:t> </w:t>
      </w:r>
      <w:r>
        <w:rPr>
          <w:rFonts w:ascii="Arial MT" w:hAnsi="Arial MT"/>
          <w:color w:val="231F1F"/>
          <w:spacing w:val="-4"/>
          <w:sz w:val="16"/>
        </w:rPr>
        <w:t>Urduliz-Bizkaia</w:t>
      </w:r>
    </w:p>
    <w:p>
      <w:pPr>
        <w:tabs>
          <w:tab w:pos="3080" w:val="right" w:leader="none"/>
        </w:tabs>
        <w:spacing w:before="157"/>
        <w:ind w:left="280" w:right="0" w:firstLine="0"/>
        <w:jc w:val="left"/>
        <w:rPr>
          <w:rFonts w:ascii="Arial MT"/>
          <w:sz w:val="16"/>
        </w:rPr>
      </w:pPr>
      <w:r>
        <w:rPr>
          <w:rFonts w:ascii="Arial MT"/>
          <w:color w:val="231F1F"/>
          <w:spacing w:val="-2"/>
          <w:sz w:val="16"/>
        </w:rPr>
        <w:t>ISBN:</w:t>
      </w:r>
      <w:r>
        <w:rPr>
          <w:color w:val="231F1F"/>
          <w:sz w:val="16"/>
        </w:rPr>
        <w:tab/>
      </w:r>
      <w:r>
        <w:rPr>
          <w:rFonts w:ascii="Arial MT"/>
          <w:color w:val="231F1F"/>
          <w:spacing w:val="-4"/>
          <w:w w:val="95"/>
          <w:sz w:val="16"/>
        </w:rPr>
        <w:t>978-</w:t>
      </w:r>
      <w:r>
        <w:rPr>
          <w:rFonts w:ascii="Arial MT"/>
          <w:color w:val="231F1F"/>
          <w:sz w:val="16"/>
        </w:rPr>
        <w:t>84-457-3090-</w:t>
      </w:r>
      <w:r>
        <w:rPr>
          <w:rFonts w:ascii="Arial MT"/>
          <w:color w:val="231F1F"/>
          <w:w w:val="70"/>
          <w:sz w:val="16"/>
        </w:rPr>
        <w:t>4</w:t>
      </w:r>
    </w:p>
    <w:p>
      <w:pPr>
        <w:tabs>
          <w:tab w:pos="2636" w:val="right" w:leader="none"/>
        </w:tabs>
        <w:spacing w:before="156"/>
        <w:ind w:left="280" w:right="0" w:firstLine="0"/>
        <w:jc w:val="left"/>
        <w:rPr>
          <w:rFonts w:ascii="Arial MT"/>
          <w:sz w:val="16"/>
        </w:rPr>
      </w:pPr>
      <w:r>
        <w:rPr>
          <w:rFonts w:ascii="Arial MT"/>
          <w:color w:val="231F1F"/>
          <w:spacing w:val="-2"/>
          <w:sz w:val="16"/>
        </w:rPr>
        <w:t>NIPO:</w:t>
      </w:r>
      <w:r>
        <w:rPr>
          <w:color w:val="231F1F"/>
          <w:sz w:val="16"/>
        </w:rPr>
        <w:tab/>
      </w:r>
      <w:r>
        <w:rPr>
          <w:rFonts w:ascii="Arial MT"/>
          <w:color w:val="231F1F"/>
          <w:spacing w:val="-4"/>
          <w:w w:val="95"/>
          <w:sz w:val="16"/>
        </w:rPr>
        <w:t>477-</w:t>
      </w:r>
      <w:r>
        <w:rPr>
          <w:rFonts w:ascii="Arial MT"/>
          <w:color w:val="231F1F"/>
          <w:sz w:val="16"/>
        </w:rPr>
        <w:t>10-011-</w:t>
      </w:r>
      <w:r>
        <w:rPr>
          <w:rFonts w:ascii="Arial MT"/>
          <w:color w:val="231F1F"/>
          <w:w w:val="80"/>
          <w:sz w:val="16"/>
        </w:rPr>
        <w:t>5</w:t>
      </w:r>
    </w:p>
    <w:p>
      <w:pPr>
        <w:tabs>
          <w:tab w:pos="1695" w:val="left" w:leader="none"/>
        </w:tabs>
        <w:spacing w:before="157"/>
        <w:ind w:left="280" w:right="0" w:firstLine="0"/>
        <w:jc w:val="left"/>
        <w:rPr>
          <w:rFonts w:ascii="Arial MT" w:hAnsi="Arial MT"/>
          <w:sz w:val="16"/>
        </w:rPr>
      </w:pPr>
      <w:r>
        <w:rPr>
          <w:rFonts w:ascii="Arial MT" w:hAnsi="Arial MT"/>
          <w:color w:val="231F1F"/>
          <w:spacing w:val="-2"/>
          <w:sz w:val="16"/>
        </w:rPr>
        <w:t>Depósito</w:t>
      </w:r>
      <w:r>
        <w:rPr>
          <w:rFonts w:ascii="Arial MT" w:hAnsi="Arial MT"/>
          <w:color w:val="231F1F"/>
          <w:spacing w:val="-3"/>
          <w:sz w:val="16"/>
        </w:rPr>
        <w:t> </w:t>
      </w:r>
      <w:r>
        <w:rPr>
          <w:rFonts w:ascii="Arial MT" w:hAnsi="Arial MT"/>
          <w:color w:val="231F1F"/>
          <w:spacing w:val="-2"/>
          <w:sz w:val="16"/>
        </w:rPr>
        <w:t>legal:</w:t>
      </w:r>
      <w:r>
        <w:rPr>
          <w:rFonts w:ascii="Arial MT" w:hAnsi="Arial MT"/>
          <w:color w:val="231F1F"/>
          <w:sz w:val="16"/>
        </w:rPr>
        <w:tab/>
        <w:t>BI</w:t>
      </w:r>
      <w:r>
        <w:rPr>
          <w:rFonts w:ascii="Arial MT" w:hAnsi="Arial MT"/>
          <w:color w:val="231F1F"/>
          <w:spacing w:val="36"/>
          <w:sz w:val="16"/>
        </w:rPr>
        <w:t> </w:t>
      </w:r>
      <w:r>
        <w:rPr>
          <w:rFonts w:ascii="Arial MT" w:hAnsi="Arial MT"/>
          <w:color w:val="231F1F"/>
          <w:sz w:val="16"/>
        </w:rPr>
        <w:t>2754-</w:t>
      </w:r>
      <w:r>
        <w:rPr>
          <w:rFonts w:ascii="Arial MT" w:hAnsi="Arial MT"/>
          <w:color w:val="231F1F"/>
          <w:spacing w:val="-4"/>
          <w:sz w:val="16"/>
        </w:rPr>
        <w:t>2010</w:t>
      </w:r>
    </w:p>
    <w:p>
      <w:pPr>
        <w:spacing w:after="0"/>
        <w:jc w:val="left"/>
        <w:rPr>
          <w:rFonts w:ascii="Arial MT" w:hAnsi="Arial MT"/>
          <w:sz w:val="16"/>
        </w:rPr>
        <w:sectPr>
          <w:pgSz w:w="11900" w:h="16840"/>
          <w:pgMar w:top="1700" w:bottom="280" w:left="1417" w:right="1559"/>
        </w:sect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47"/>
        <w:rPr>
          <w:rFonts w:ascii="Arial MT"/>
          <w:sz w:val="16"/>
        </w:rPr>
      </w:pPr>
    </w:p>
    <w:p>
      <w:pPr>
        <w:spacing w:line="259" w:lineRule="auto" w:before="1"/>
        <w:ind w:left="3115" w:right="126" w:firstLine="0"/>
        <w:jc w:val="both"/>
        <w:rPr>
          <w:rFonts w:ascii="Arial MT" w:hAnsi="Arial MT"/>
          <w:sz w:val="16"/>
        </w:rPr>
      </w:pPr>
      <w:r>
        <w:rPr>
          <w:rFonts w:ascii="Arial MT" w:hAnsi="Arial MT"/>
          <w:sz w:val="16"/>
        </w:rPr>
        <w:t>Esta GPC ha sido financiada mediante el convenio suscrito por el Instituto de Salud</w:t>
      </w:r>
      <w:r>
        <w:rPr>
          <w:rFonts w:ascii="Arial MT" w:hAnsi="Arial MT"/>
          <w:spacing w:val="-7"/>
          <w:sz w:val="16"/>
        </w:rPr>
        <w:t> </w:t>
      </w:r>
      <w:r>
        <w:rPr>
          <w:rFonts w:ascii="Arial MT" w:hAnsi="Arial MT"/>
          <w:sz w:val="16"/>
        </w:rPr>
        <w:t>Carlos</w:t>
      </w:r>
      <w:r>
        <w:rPr>
          <w:rFonts w:ascii="Arial MT" w:hAnsi="Arial MT"/>
          <w:spacing w:val="-7"/>
          <w:sz w:val="16"/>
        </w:rPr>
        <w:t> </w:t>
      </w:r>
      <w:r>
        <w:rPr>
          <w:rFonts w:ascii="Arial MT" w:hAnsi="Arial MT"/>
          <w:sz w:val="16"/>
        </w:rPr>
        <w:t>III,</w:t>
      </w:r>
      <w:r>
        <w:rPr>
          <w:rFonts w:ascii="Arial MT" w:hAnsi="Arial MT"/>
          <w:spacing w:val="-8"/>
          <w:sz w:val="16"/>
        </w:rPr>
        <w:t> </w:t>
      </w:r>
      <w:r>
        <w:rPr>
          <w:rFonts w:ascii="Arial MT" w:hAnsi="Arial MT"/>
          <w:sz w:val="16"/>
        </w:rPr>
        <w:t>organismo</w:t>
      </w:r>
      <w:r>
        <w:rPr>
          <w:rFonts w:ascii="Arial MT" w:hAnsi="Arial MT"/>
          <w:spacing w:val="-7"/>
          <w:sz w:val="16"/>
        </w:rPr>
        <w:t> </w:t>
      </w:r>
      <w:r>
        <w:rPr>
          <w:rFonts w:ascii="Arial MT" w:hAnsi="Arial MT"/>
          <w:sz w:val="16"/>
        </w:rPr>
        <w:t>autónomo</w:t>
      </w:r>
      <w:r>
        <w:rPr>
          <w:rFonts w:ascii="Arial MT" w:hAnsi="Arial MT"/>
          <w:spacing w:val="-7"/>
          <w:sz w:val="16"/>
        </w:rPr>
        <w:t> </w:t>
      </w:r>
      <w:r>
        <w:rPr>
          <w:rFonts w:ascii="Arial MT" w:hAnsi="Arial MT"/>
          <w:sz w:val="16"/>
        </w:rPr>
        <w:t>del</w:t>
      </w:r>
      <w:r>
        <w:rPr>
          <w:rFonts w:ascii="Arial MT" w:hAnsi="Arial MT"/>
          <w:spacing w:val="-8"/>
          <w:sz w:val="16"/>
        </w:rPr>
        <w:t> </w:t>
      </w:r>
      <w:r>
        <w:rPr>
          <w:rFonts w:ascii="Arial MT" w:hAnsi="Arial MT"/>
          <w:sz w:val="16"/>
        </w:rPr>
        <w:t>Ministerio</w:t>
      </w:r>
      <w:r>
        <w:rPr>
          <w:rFonts w:ascii="Arial MT" w:hAnsi="Arial MT"/>
          <w:spacing w:val="-7"/>
          <w:sz w:val="16"/>
        </w:rPr>
        <w:t> </w:t>
      </w:r>
      <w:r>
        <w:rPr>
          <w:rFonts w:ascii="Arial MT" w:hAnsi="Arial MT"/>
          <w:sz w:val="16"/>
        </w:rPr>
        <w:t>de</w:t>
      </w:r>
      <w:r>
        <w:rPr>
          <w:rFonts w:ascii="Arial MT" w:hAnsi="Arial MT"/>
          <w:spacing w:val="-7"/>
          <w:sz w:val="16"/>
        </w:rPr>
        <w:t> </w:t>
      </w:r>
      <w:r>
        <w:rPr>
          <w:rFonts w:ascii="Arial MT" w:hAnsi="Arial MT"/>
          <w:sz w:val="16"/>
        </w:rPr>
        <w:t>Ciencia</w:t>
      </w:r>
      <w:r>
        <w:rPr>
          <w:rFonts w:ascii="Arial MT" w:hAnsi="Arial MT"/>
          <w:spacing w:val="-7"/>
          <w:sz w:val="16"/>
        </w:rPr>
        <w:t> </w:t>
      </w:r>
      <w:r>
        <w:rPr>
          <w:rFonts w:ascii="Arial MT" w:hAnsi="Arial MT"/>
          <w:sz w:val="16"/>
        </w:rPr>
        <w:t>e</w:t>
      </w:r>
      <w:r>
        <w:rPr>
          <w:rFonts w:ascii="Arial MT" w:hAnsi="Arial MT"/>
          <w:spacing w:val="-7"/>
          <w:sz w:val="16"/>
        </w:rPr>
        <w:t> </w:t>
      </w:r>
      <w:r>
        <w:rPr>
          <w:rFonts w:ascii="Arial MT" w:hAnsi="Arial MT"/>
          <w:sz w:val="16"/>
        </w:rPr>
        <w:t>Innovación</w:t>
      </w:r>
      <w:r>
        <w:rPr>
          <w:rFonts w:ascii="Arial MT" w:hAnsi="Arial MT"/>
          <w:spacing w:val="-6"/>
          <w:sz w:val="16"/>
        </w:rPr>
        <w:t> </w:t>
      </w:r>
      <w:r>
        <w:rPr>
          <w:rFonts w:ascii="Arial MT" w:hAnsi="Arial MT"/>
          <w:sz w:val="16"/>
        </w:rPr>
        <w:t>y</w:t>
      </w:r>
      <w:r>
        <w:rPr>
          <w:rFonts w:ascii="Arial MT" w:hAnsi="Arial MT"/>
          <w:spacing w:val="-7"/>
          <w:sz w:val="16"/>
        </w:rPr>
        <w:t> </w:t>
      </w:r>
      <w:r>
        <w:rPr>
          <w:rFonts w:ascii="Arial MT" w:hAnsi="Arial MT"/>
          <w:sz w:val="16"/>
        </w:rPr>
        <w:t>la Agencia</w:t>
      </w:r>
      <w:r>
        <w:rPr>
          <w:rFonts w:ascii="Arial MT" w:hAnsi="Arial MT"/>
          <w:spacing w:val="-10"/>
          <w:sz w:val="16"/>
        </w:rPr>
        <w:t> </w:t>
      </w:r>
      <w:r>
        <w:rPr>
          <w:rFonts w:ascii="Arial MT" w:hAnsi="Arial MT"/>
          <w:sz w:val="16"/>
        </w:rPr>
        <w:t>de</w:t>
      </w:r>
      <w:r>
        <w:rPr>
          <w:rFonts w:ascii="Arial MT" w:hAnsi="Arial MT"/>
          <w:spacing w:val="-11"/>
          <w:sz w:val="16"/>
        </w:rPr>
        <w:t> </w:t>
      </w:r>
      <w:r>
        <w:rPr>
          <w:rFonts w:ascii="Arial MT" w:hAnsi="Arial MT"/>
          <w:sz w:val="16"/>
        </w:rPr>
        <w:t>Evaluación</w:t>
      </w:r>
      <w:r>
        <w:rPr>
          <w:rFonts w:ascii="Arial MT" w:hAnsi="Arial MT"/>
          <w:spacing w:val="-10"/>
          <w:sz w:val="16"/>
        </w:rPr>
        <w:t> </w:t>
      </w:r>
      <w:r>
        <w:rPr>
          <w:rFonts w:ascii="Arial MT" w:hAnsi="Arial MT"/>
          <w:sz w:val="16"/>
        </w:rPr>
        <w:t>de</w:t>
      </w:r>
      <w:r>
        <w:rPr>
          <w:rFonts w:ascii="Arial MT" w:hAnsi="Arial MT"/>
          <w:spacing w:val="-11"/>
          <w:sz w:val="16"/>
        </w:rPr>
        <w:t> </w:t>
      </w:r>
      <w:r>
        <w:rPr>
          <w:rFonts w:ascii="Arial MT" w:hAnsi="Arial MT"/>
          <w:sz w:val="16"/>
        </w:rPr>
        <w:t>Tecnologías</w:t>
      </w:r>
      <w:r>
        <w:rPr>
          <w:rFonts w:ascii="Arial MT" w:hAnsi="Arial MT"/>
          <w:spacing w:val="-11"/>
          <w:sz w:val="16"/>
        </w:rPr>
        <w:t> </w:t>
      </w:r>
      <w:r>
        <w:rPr>
          <w:rFonts w:ascii="Arial MT" w:hAnsi="Arial MT"/>
          <w:sz w:val="16"/>
        </w:rPr>
        <w:t>Sanitarias</w:t>
      </w:r>
      <w:r>
        <w:rPr>
          <w:rFonts w:ascii="Arial MT" w:hAnsi="Arial MT"/>
          <w:spacing w:val="-11"/>
          <w:sz w:val="16"/>
        </w:rPr>
        <w:t> </w:t>
      </w:r>
      <w:r>
        <w:rPr>
          <w:rFonts w:ascii="Arial MT" w:hAnsi="Arial MT"/>
          <w:sz w:val="16"/>
        </w:rPr>
        <w:t>del</w:t>
      </w:r>
      <w:r>
        <w:rPr>
          <w:rFonts w:ascii="Arial MT" w:hAnsi="Arial MT"/>
          <w:spacing w:val="-11"/>
          <w:sz w:val="16"/>
        </w:rPr>
        <w:t> </w:t>
      </w:r>
      <w:r>
        <w:rPr>
          <w:rFonts w:ascii="Arial MT" w:hAnsi="Arial MT"/>
          <w:sz w:val="16"/>
        </w:rPr>
        <w:t>País</w:t>
      </w:r>
      <w:r>
        <w:rPr>
          <w:rFonts w:ascii="Arial MT" w:hAnsi="Arial MT"/>
          <w:spacing w:val="-11"/>
          <w:sz w:val="16"/>
        </w:rPr>
        <w:t> </w:t>
      </w:r>
      <w:r>
        <w:rPr>
          <w:rFonts w:ascii="Arial MT" w:hAnsi="Arial MT"/>
          <w:sz w:val="16"/>
        </w:rPr>
        <w:t>Vasco</w:t>
      </w:r>
      <w:r>
        <w:rPr>
          <w:rFonts w:ascii="Arial MT" w:hAnsi="Arial MT"/>
          <w:spacing w:val="-10"/>
          <w:sz w:val="16"/>
        </w:rPr>
        <w:t> </w:t>
      </w:r>
      <w:r>
        <w:rPr>
          <w:rFonts w:ascii="Arial MT" w:hAnsi="Arial MT"/>
          <w:sz w:val="16"/>
        </w:rPr>
        <w:t>–</w:t>
      </w:r>
      <w:r>
        <w:rPr>
          <w:rFonts w:ascii="Arial MT" w:hAnsi="Arial MT"/>
          <w:spacing w:val="-11"/>
          <w:sz w:val="16"/>
        </w:rPr>
        <w:t> </w:t>
      </w:r>
      <w:r>
        <w:rPr>
          <w:rFonts w:ascii="Arial MT" w:hAnsi="Arial MT"/>
          <w:sz w:val="16"/>
        </w:rPr>
        <w:t>Osteba,</w:t>
      </w:r>
      <w:r>
        <w:rPr>
          <w:rFonts w:ascii="Arial MT" w:hAnsi="Arial MT"/>
          <w:spacing w:val="-11"/>
          <w:sz w:val="16"/>
        </w:rPr>
        <w:t> </w:t>
      </w:r>
      <w:r>
        <w:rPr>
          <w:rFonts w:ascii="Arial MT" w:hAnsi="Arial MT"/>
          <w:sz w:val="16"/>
        </w:rPr>
        <w:t>en</w:t>
      </w:r>
      <w:r>
        <w:rPr>
          <w:rFonts w:ascii="Arial MT" w:hAnsi="Arial MT"/>
          <w:spacing w:val="-11"/>
          <w:sz w:val="16"/>
        </w:rPr>
        <w:t> </w:t>
      </w:r>
      <w:r>
        <w:rPr>
          <w:rFonts w:ascii="Arial MT" w:hAnsi="Arial MT"/>
          <w:sz w:val="16"/>
        </w:rPr>
        <w:t>el marco de colaboración previsto en el Plan de Calidad para el Sistema Nacional de Salud del Ministerio de Sanidad y Política Social.</w:t>
      </w: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168"/>
        <w:rPr>
          <w:rFonts w:ascii="Arial MT"/>
          <w:sz w:val="16"/>
        </w:rPr>
      </w:pPr>
    </w:p>
    <w:p>
      <w:pPr>
        <w:spacing w:before="0"/>
        <w:ind w:left="280" w:right="0" w:firstLine="0"/>
        <w:jc w:val="both"/>
        <w:rPr>
          <w:rFonts w:ascii="Arial MT" w:hAnsi="Arial MT"/>
          <w:sz w:val="16"/>
        </w:rPr>
      </w:pPr>
      <w:r>
        <w:rPr>
          <w:rFonts w:ascii="Arial MT" w:hAnsi="Arial MT"/>
          <w:sz w:val="16"/>
        </w:rPr>
        <w:t>Esta</w:t>
      </w:r>
      <w:r>
        <w:rPr>
          <w:rFonts w:ascii="Arial MT" w:hAnsi="Arial MT"/>
          <w:spacing w:val="-11"/>
          <w:sz w:val="16"/>
        </w:rPr>
        <w:t> </w:t>
      </w:r>
      <w:r>
        <w:rPr>
          <w:rFonts w:ascii="Arial MT" w:hAnsi="Arial MT"/>
          <w:sz w:val="16"/>
        </w:rPr>
        <w:t>guía</w:t>
      </w:r>
      <w:r>
        <w:rPr>
          <w:rFonts w:ascii="Arial MT" w:hAnsi="Arial MT"/>
          <w:spacing w:val="-10"/>
          <w:sz w:val="16"/>
        </w:rPr>
        <w:t> </w:t>
      </w:r>
      <w:r>
        <w:rPr>
          <w:rFonts w:ascii="Arial MT" w:hAnsi="Arial MT"/>
          <w:sz w:val="16"/>
        </w:rPr>
        <w:t>debe</w:t>
      </w:r>
      <w:r>
        <w:rPr>
          <w:rFonts w:ascii="Arial MT" w:hAnsi="Arial MT"/>
          <w:spacing w:val="-10"/>
          <w:sz w:val="16"/>
        </w:rPr>
        <w:t> </w:t>
      </w:r>
      <w:r>
        <w:rPr>
          <w:rFonts w:ascii="Arial MT" w:hAnsi="Arial MT"/>
          <w:spacing w:val="-2"/>
          <w:sz w:val="16"/>
        </w:rPr>
        <w:t>citarse:</w:t>
      </w:r>
    </w:p>
    <w:p>
      <w:pPr>
        <w:spacing w:line="264" w:lineRule="auto" w:before="162"/>
        <w:ind w:left="280" w:right="123" w:firstLine="0"/>
        <w:jc w:val="both"/>
        <w:rPr>
          <w:rFonts w:ascii="Arial MT" w:hAnsi="Arial MT"/>
          <w:sz w:val="16"/>
        </w:rPr>
      </w:pPr>
      <w:r>
        <w:rPr>
          <w:rFonts w:ascii="Arial MT" w:hAnsi="Arial MT"/>
          <w:sz w:val="16"/>
        </w:rPr>
        <w:t>Grupo</w:t>
      </w:r>
      <w:r>
        <w:rPr>
          <w:rFonts w:ascii="Arial MT" w:hAnsi="Arial MT"/>
          <w:spacing w:val="-9"/>
          <w:sz w:val="16"/>
        </w:rPr>
        <w:t> </w:t>
      </w:r>
      <w:r>
        <w:rPr>
          <w:rFonts w:ascii="Arial MT" w:hAnsi="Arial MT"/>
          <w:sz w:val="16"/>
        </w:rPr>
        <w:t>de</w:t>
      </w:r>
      <w:r>
        <w:rPr>
          <w:rFonts w:ascii="Arial MT" w:hAnsi="Arial MT"/>
          <w:spacing w:val="-9"/>
          <w:sz w:val="16"/>
        </w:rPr>
        <w:t> </w:t>
      </w:r>
      <w:r>
        <w:rPr>
          <w:rFonts w:ascii="Arial MT" w:hAnsi="Arial MT"/>
          <w:sz w:val="16"/>
        </w:rPr>
        <w:t>trabajo</w:t>
      </w:r>
      <w:r>
        <w:rPr>
          <w:rFonts w:ascii="Arial MT" w:hAnsi="Arial MT"/>
          <w:spacing w:val="-9"/>
          <w:sz w:val="16"/>
        </w:rPr>
        <w:t> </w:t>
      </w:r>
      <w:r>
        <w:rPr>
          <w:rFonts w:ascii="Arial MT" w:hAnsi="Arial MT"/>
          <w:sz w:val="16"/>
        </w:rPr>
        <w:t>de</w:t>
      </w:r>
      <w:r>
        <w:rPr>
          <w:rFonts w:ascii="Arial MT" w:hAnsi="Arial MT"/>
          <w:spacing w:val="-9"/>
          <w:sz w:val="16"/>
        </w:rPr>
        <w:t> </w:t>
      </w:r>
      <w:r>
        <w:rPr>
          <w:rFonts w:ascii="Arial MT" w:hAnsi="Arial MT"/>
          <w:sz w:val="16"/>
        </w:rPr>
        <w:t>la</w:t>
      </w:r>
      <w:r>
        <w:rPr>
          <w:rFonts w:ascii="Arial MT" w:hAnsi="Arial MT"/>
          <w:spacing w:val="-9"/>
          <w:sz w:val="16"/>
        </w:rPr>
        <w:t> </w:t>
      </w:r>
      <w:r>
        <w:rPr>
          <w:rFonts w:ascii="Arial MT" w:hAnsi="Arial MT"/>
          <w:sz w:val="16"/>
        </w:rPr>
        <w:t>Guía</w:t>
      </w:r>
      <w:r>
        <w:rPr>
          <w:rFonts w:ascii="Arial MT" w:hAnsi="Arial MT"/>
          <w:spacing w:val="-9"/>
          <w:sz w:val="16"/>
        </w:rPr>
        <w:t> </w:t>
      </w:r>
      <w:r>
        <w:rPr>
          <w:rFonts w:ascii="Arial MT" w:hAnsi="Arial MT"/>
          <w:sz w:val="16"/>
        </w:rPr>
        <w:t>de</w:t>
      </w:r>
      <w:r>
        <w:rPr>
          <w:rFonts w:ascii="Arial MT" w:hAnsi="Arial MT"/>
          <w:spacing w:val="-9"/>
          <w:sz w:val="16"/>
        </w:rPr>
        <w:t> </w:t>
      </w:r>
      <w:r>
        <w:rPr>
          <w:rFonts w:ascii="Arial MT" w:hAnsi="Arial MT"/>
          <w:sz w:val="16"/>
        </w:rPr>
        <w:t>Práctica</w:t>
      </w:r>
      <w:r>
        <w:rPr>
          <w:rFonts w:ascii="Arial MT" w:hAnsi="Arial MT"/>
          <w:spacing w:val="-9"/>
          <w:sz w:val="16"/>
        </w:rPr>
        <w:t> </w:t>
      </w:r>
      <w:r>
        <w:rPr>
          <w:rFonts w:ascii="Arial MT" w:hAnsi="Arial MT"/>
          <w:sz w:val="16"/>
        </w:rPr>
        <w:t>Clínica</w:t>
      </w:r>
      <w:r>
        <w:rPr>
          <w:rFonts w:ascii="Arial MT" w:hAnsi="Arial MT"/>
          <w:spacing w:val="-9"/>
          <w:sz w:val="16"/>
        </w:rPr>
        <w:t> </w:t>
      </w:r>
      <w:r>
        <w:rPr>
          <w:rFonts w:ascii="Arial MT" w:hAnsi="Arial MT"/>
          <w:sz w:val="16"/>
        </w:rPr>
        <w:t>sobre</w:t>
      </w:r>
      <w:r>
        <w:rPr>
          <w:rFonts w:ascii="Arial MT" w:hAnsi="Arial MT"/>
          <w:spacing w:val="-9"/>
          <w:sz w:val="16"/>
        </w:rPr>
        <w:t> </w:t>
      </w:r>
      <w:r>
        <w:rPr>
          <w:rFonts w:ascii="Arial MT" w:hAnsi="Arial MT"/>
          <w:sz w:val="16"/>
        </w:rPr>
        <w:t>atención</w:t>
      </w:r>
      <w:r>
        <w:rPr>
          <w:rFonts w:ascii="Arial MT" w:hAnsi="Arial MT"/>
          <w:spacing w:val="-9"/>
          <w:sz w:val="16"/>
        </w:rPr>
        <w:t> </w:t>
      </w:r>
      <w:r>
        <w:rPr>
          <w:rFonts w:ascii="Arial MT" w:hAnsi="Arial MT"/>
          <w:sz w:val="16"/>
        </w:rPr>
        <w:t>al</w:t>
      </w:r>
      <w:r>
        <w:rPr>
          <w:rFonts w:ascii="Arial MT" w:hAnsi="Arial MT"/>
          <w:spacing w:val="-10"/>
          <w:sz w:val="16"/>
        </w:rPr>
        <w:t> </w:t>
      </w:r>
      <w:r>
        <w:rPr>
          <w:rFonts w:ascii="Arial MT" w:hAnsi="Arial MT"/>
          <w:sz w:val="16"/>
        </w:rPr>
        <w:t>parto</w:t>
      </w:r>
      <w:r>
        <w:rPr>
          <w:rFonts w:ascii="Arial MT" w:hAnsi="Arial MT"/>
          <w:spacing w:val="-9"/>
          <w:sz w:val="16"/>
        </w:rPr>
        <w:t> </w:t>
      </w:r>
      <w:r>
        <w:rPr>
          <w:rFonts w:ascii="Arial MT" w:hAnsi="Arial MT"/>
          <w:sz w:val="16"/>
        </w:rPr>
        <w:t>normal.</w:t>
      </w:r>
      <w:r>
        <w:rPr>
          <w:rFonts w:ascii="Arial MT" w:hAnsi="Arial MT"/>
          <w:spacing w:val="-10"/>
          <w:sz w:val="16"/>
        </w:rPr>
        <w:t> </w:t>
      </w:r>
      <w:r>
        <w:rPr>
          <w:rFonts w:ascii="Arial MT" w:hAnsi="Arial MT"/>
          <w:sz w:val="16"/>
        </w:rPr>
        <w:t>Guía</w:t>
      </w:r>
      <w:r>
        <w:rPr>
          <w:rFonts w:ascii="Arial MT" w:hAnsi="Arial MT"/>
          <w:spacing w:val="-9"/>
          <w:sz w:val="16"/>
        </w:rPr>
        <w:t> </w:t>
      </w:r>
      <w:r>
        <w:rPr>
          <w:rFonts w:ascii="Arial MT" w:hAnsi="Arial MT"/>
          <w:sz w:val="16"/>
        </w:rPr>
        <w:t>de</w:t>
      </w:r>
      <w:r>
        <w:rPr>
          <w:rFonts w:ascii="Arial MT" w:hAnsi="Arial MT"/>
          <w:spacing w:val="-9"/>
          <w:sz w:val="16"/>
        </w:rPr>
        <w:t> </w:t>
      </w:r>
      <w:r>
        <w:rPr>
          <w:rFonts w:ascii="Arial MT" w:hAnsi="Arial MT"/>
          <w:sz w:val="16"/>
        </w:rPr>
        <w:t>Práctica</w:t>
      </w:r>
      <w:r>
        <w:rPr>
          <w:rFonts w:ascii="Arial MT" w:hAnsi="Arial MT"/>
          <w:spacing w:val="-9"/>
          <w:sz w:val="16"/>
        </w:rPr>
        <w:t> </w:t>
      </w:r>
      <w:r>
        <w:rPr>
          <w:rFonts w:ascii="Arial MT" w:hAnsi="Arial MT"/>
          <w:sz w:val="16"/>
        </w:rPr>
        <w:t>Clínica</w:t>
      </w:r>
      <w:r>
        <w:rPr>
          <w:rFonts w:ascii="Arial MT" w:hAnsi="Arial MT"/>
          <w:spacing w:val="-9"/>
          <w:sz w:val="16"/>
        </w:rPr>
        <w:t> </w:t>
      </w:r>
      <w:r>
        <w:rPr>
          <w:rFonts w:ascii="Arial MT" w:hAnsi="Arial MT"/>
          <w:sz w:val="16"/>
        </w:rPr>
        <w:t>sobre</w:t>
      </w:r>
      <w:r>
        <w:rPr>
          <w:rFonts w:ascii="Arial MT" w:hAnsi="Arial MT"/>
          <w:spacing w:val="-9"/>
          <w:sz w:val="16"/>
        </w:rPr>
        <w:t> </w:t>
      </w:r>
      <w:r>
        <w:rPr>
          <w:rFonts w:ascii="Arial MT" w:hAnsi="Arial MT"/>
          <w:sz w:val="16"/>
        </w:rPr>
        <w:t>la</w:t>
      </w:r>
      <w:r>
        <w:rPr>
          <w:rFonts w:ascii="Arial MT" w:hAnsi="Arial MT"/>
          <w:spacing w:val="-9"/>
          <w:sz w:val="16"/>
        </w:rPr>
        <w:t> </w:t>
      </w:r>
      <w:r>
        <w:rPr>
          <w:rFonts w:ascii="Arial MT" w:hAnsi="Arial MT"/>
          <w:sz w:val="16"/>
        </w:rPr>
        <w:t>atención al parto normal. Plan de Calidad para el Sistema Nacional de Salud del Ministerio de Sanidad y Política Social. Agencia de</w:t>
      </w:r>
      <w:r>
        <w:rPr>
          <w:rFonts w:ascii="Arial MT" w:hAnsi="Arial MT"/>
          <w:spacing w:val="-12"/>
          <w:sz w:val="16"/>
        </w:rPr>
        <w:t> </w:t>
      </w:r>
      <w:r>
        <w:rPr>
          <w:rFonts w:ascii="Arial MT" w:hAnsi="Arial MT"/>
          <w:sz w:val="16"/>
        </w:rPr>
        <w:t>Evaluación</w:t>
      </w:r>
      <w:r>
        <w:rPr>
          <w:rFonts w:ascii="Arial MT" w:hAnsi="Arial MT"/>
          <w:spacing w:val="-11"/>
          <w:sz w:val="16"/>
        </w:rPr>
        <w:t> </w:t>
      </w:r>
      <w:r>
        <w:rPr>
          <w:rFonts w:ascii="Arial MT" w:hAnsi="Arial MT"/>
          <w:sz w:val="16"/>
        </w:rPr>
        <w:t>de</w:t>
      </w:r>
      <w:r>
        <w:rPr>
          <w:rFonts w:ascii="Arial MT" w:hAnsi="Arial MT"/>
          <w:spacing w:val="-11"/>
          <w:sz w:val="16"/>
        </w:rPr>
        <w:t> </w:t>
      </w:r>
      <w:r>
        <w:rPr>
          <w:rFonts w:ascii="Arial MT" w:hAnsi="Arial MT"/>
          <w:sz w:val="16"/>
        </w:rPr>
        <w:t>Tecnologías</w:t>
      </w:r>
      <w:r>
        <w:rPr>
          <w:rFonts w:ascii="Arial MT" w:hAnsi="Arial MT"/>
          <w:spacing w:val="-11"/>
          <w:sz w:val="16"/>
        </w:rPr>
        <w:t> </w:t>
      </w:r>
      <w:r>
        <w:rPr>
          <w:rFonts w:ascii="Arial MT" w:hAnsi="Arial MT"/>
          <w:sz w:val="16"/>
        </w:rPr>
        <w:t>Sanitarias</w:t>
      </w:r>
      <w:r>
        <w:rPr>
          <w:rFonts w:ascii="Arial MT" w:hAnsi="Arial MT"/>
          <w:spacing w:val="-11"/>
          <w:sz w:val="16"/>
        </w:rPr>
        <w:t> </w:t>
      </w:r>
      <w:r>
        <w:rPr>
          <w:rFonts w:ascii="Arial MT" w:hAnsi="Arial MT"/>
          <w:sz w:val="16"/>
        </w:rPr>
        <w:t>del</w:t>
      </w:r>
      <w:r>
        <w:rPr>
          <w:rFonts w:ascii="Arial MT" w:hAnsi="Arial MT"/>
          <w:spacing w:val="-11"/>
          <w:sz w:val="16"/>
        </w:rPr>
        <w:t> </w:t>
      </w:r>
      <w:r>
        <w:rPr>
          <w:rFonts w:ascii="Arial MT" w:hAnsi="Arial MT"/>
          <w:sz w:val="16"/>
        </w:rPr>
        <w:t>País</w:t>
      </w:r>
      <w:r>
        <w:rPr>
          <w:rFonts w:ascii="Arial MT" w:hAnsi="Arial MT"/>
          <w:spacing w:val="-11"/>
          <w:sz w:val="16"/>
        </w:rPr>
        <w:t> </w:t>
      </w:r>
      <w:r>
        <w:rPr>
          <w:rFonts w:ascii="Arial MT" w:hAnsi="Arial MT"/>
          <w:sz w:val="16"/>
        </w:rPr>
        <w:t>Vasco</w:t>
      </w:r>
      <w:r>
        <w:rPr>
          <w:rFonts w:ascii="Arial MT" w:hAnsi="Arial MT"/>
          <w:spacing w:val="-11"/>
          <w:sz w:val="16"/>
        </w:rPr>
        <w:t> </w:t>
      </w:r>
      <w:r>
        <w:rPr>
          <w:rFonts w:ascii="Arial MT" w:hAnsi="Arial MT"/>
          <w:sz w:val="16"/>
        </w:rPr>
        <w:t>(OSTEBA).</w:t>
      </w:r>
      <w:r>
        <w:rPr>
          <w:rFonts w:ascii="Arial MT" w:hAnsi="Arial MT"/>
          <w:spacing w:val="-11"/>
          <w:sz w:val="16"/>
        </w:rPr>
        <w:t> </w:t>
      </w:r>
      <w:r>
        <w:rPr>
          <w:rFonts w:ascii="Arial MT" w:hAnsi="Arial MT"/>
          <w:sz w:val="16"/>
        </w:rPr>
        <w:t>Agencia</w:t>
      </w:r>
      <w:r>
        <w:rPr>
          <w:rFonts w:ascii="Arial MT" w:hAnsi="Arial MT"/>
          <w:spacing w:val="-11"/>
          <w:sz w:val="16"/>
        </w:rPr>
        <w:t> </w:t>
      </w:r>
      <w:r>
        <w:rPr>
          <w:rFonts w:ascii="Arial MT" w:hAnsi="Arial MT"/>
          <w:sz w:val="16"/>
        </w:rPr>
        <w:t>de</w:t>
      </w:r>
      <w:r>
        <w:rPr>
          <w:rFonts w:ascii="Arial MT" w:hAnsi="Arial MT"/>
          <w:spacing w:val="-11"/>
          <w:sz w:val="16"/>
        </w:rPr>
        <w:t> </w:t>
      </w:r>
      <w:r>
        <w:rPr>
          <w:rFonts w:ascii="Arial MT" w:hAnsi="Arial MT"/>
          <w:sz w:val="16"/>
        </w:rPr>
        <w:t>Evaluación</w:t>
      </w:r>
      <w:r>
        <w:rPr>
          <w:rFonts w:ascii="Arial MT" w:hAnsi="Arial MT"/>
          <w:spacing w:val="-11"/>
          <w:sz w:val="16"/>
        </w:rPr>
        <w:t> </w:t>
      </w:r>
      <w:r>
        <w:rPr>
          <w:rFonts w:ascii="Arial MT" w:hAnsi="Arial MT"/>
          <w:sz w:val="16"/>
        </w:rPr>
        <w:t>de</w:t>
      </w:r>
      <w:r>
        <w:rPr>
          <w:rFonts w:ascii="Arial MT" w:hAnsi="Arial MT"/>
          <w:spacing w:val="-11"/>
          <w:sz w:val="16"/>
        </w:rPr>
        <w:t> </w:t>
      </w:r>
      <w:r>
        <w:rPr>
          <w:rFonts w:ascii="Arial MT" w:hAnsi="Arial MT"/>
          <w:sz w:val="16"/>
        </w:rPr>
        <w:t>Tecnologías</w:t>
      </w:r>
      <w:r>
        <w:rPr>
          <w:rFonts w:ascii="Arial MT" w:hAnsi="Arial MT"/>
          <w:spacing w:val="-11"/>
          <w:sz w:val="16"/>
        </w:rPr>
        <w:t> </w:t>
      </w:r>
      <w:r>
        <w:rPr>
          <w:rFonts w:ascii="Arial MT" w:hAnsi="Arial MT"/>
          <w:sz w:val="16"/>
        </w:rPr>
        <w:t>Sanitarias</w:t>
      </w:r>
      <w:r>
        <w:rPr>
          <w:rFonts w:ascii="Arial MT" w:hAnsi="Arial MT"/>
          <w:spacing w:val="-11"/>
          <w:sz w:val="16"/>
        </w:rPr>
        <w:t> </w:t>
      </w:r>
      <w:r>
        <w:rPr>
          <w:rFonts w:ascii="Arial MT" w:hAnsi="Arial MT"/>
          <w:sz w:val="16"/>
        </w:rPr>
        <w:t>de Galicia (Avalia-t). 2010. Guías de Práctica Clínica en el SNS: OSTEBA Nº 2009/01</w:t>
      </w: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109"/>
        <w:rPr>
          <w:rFonts w:ascii="Arial MT"/>
          <w:sz w:val="16"/>
        </w:rPr>
      </w:pPr>
    </w:p>
    <w:p>
      <w:pPr>
        <w:tabs>
          <w:tab w:pos="2748" w:val="left" w:leader="none"/>
        </w:tabs>
        <w:spacing w:line="108" w:lineRule="exact" w:before="0"/>
        <w:ind w:left="740" w:right="0" w:firstLine="0"/>
        <w:jc w:val="left"/>
        <w:rPr>
          <w:rFonts w:ascii="Trebuchet MS"/>
          <w:sz w:val="10"/>
        </w:rPr>
      </w:pPr>
      <w:r>
        <w:rPr>
          <w:rFonts w:ascii="Trebuchet MS"/>
          <w:sz w:val="10"/>
        </w:rPr>
        <w:drawing>
          <wp:anchor distT="0" distB="0" distL="0" distR="0" allowOverlap="1" layoutInCell="1" locked="0" behindDoc="1" simplePos="0" relativeHeight="481505280">
            <wp:simplePos x="0" y="0"/>
            <wp:positionH relativeFrom="page">
              <wp:posOffset>2226945</wp:posOffset>
            </wp:positionH>
            <wp:positionV relativeFrom="paragraph">
              <wp:posOffset>-113095</wp:posOffset>
            </wp:positionV>
            <wp:extent cx="354330" cy="354821"/>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1" cstate="print"/>
                    <a:stretch>
                      <a:fillRect/>
                    </a:stretch>
                  </pic:blipFill>
                  <pic:spPr>
                    <a:xfrm>
                      <a:off x="0" y="0"/>
                      <a:ext cx="354330" cy="354821"/>
                    </a:xfrm>
                    <a:prstGeom prst="rect">
                      <a:avLst/>
                    </a:prstGeom>
                  </pic:spPr>
                </pic:pic>
              </a:graphicData>
            </a:graphic>
          </wp:anchor>
        </w:drawing>
      </w:r>
      <w:r>
        <w:rPr>
          <w:rFonts w:ascii="Trebuchet MS"/>
          <w:sz w:val="10"/>
        </w:rPr>
        <mc:AlternateContent>
          <mc:Choice Requires="wps">
            <w:drawing>
              <wp:anchor distT="0" distB="0" distL="0" distR="0" allowOverlap="1" layoutInCell="1" locked="0" behindDoc="0" simplePos="0" relativeHeight="15735808">
                <wp:simplePos x="0" y="0"/>
                <wp:positionH relativeFrom="page">
                  <wp:posOffset>5045075</wp:posOffset>
                </wp:positionH>
                <wp:positionV relativeFrom="paragraph">
                  <wp:posOffset>-232474</wp:posOffset>
                </wp:positionV>
                <wp:extent cx="1626235" cy="66738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626235" cy="667385"/>
                          <a:chExt cx="1626235" cy="667385"/>
                        </a:xfrm>
                      </wpg:grpSpPr>
                      <pic:pic>
                        <pic:nvPicPr>
                          <pic:cNvPr id="34" name="Image 34"/>
                          <pic:cNvPicPr/>
                        </pic:nvPicPr>
                        <pic:blipFill>
                          <a:blip r:embed="rId22" cstate="print"/>
                          <a:stretch>
                            <a:fillRect/>
                          </a:stretch>
                        </pic:blipFill>
                        <pic:spPr>
                          <a:xfrm>
                            <a:off x="525995" y="454691"/>
                            <a:ext cx="795528" cy="212530"/>
                          </a:xfrm>
                          <a:prstGeom prst="rect">
                            <a:avLst/>
                          </a:prstGeom>
                        </pic:spPr>
                      </pic:pic>
                      <pic:pic>
                        <pic:nvPicPr>
                          <pic:cNvPr id="35" name="Image 35"/>
                          <pic:cNvPicPr/>
                        </pic:nvPicPr>
                        <pic:blipFill>
                          <a:blip r:embed="rId23" cstate="print"/>
                          <a:stretch>
                            <a:fillRect/>
                          </a:stretch>
                        </pic:blipFill>
                        <pic:spPr>
                          <a:xfrm>
                            <a:off x="0" y="0"/>
                            <a:ext cx="1625638" cy="458759"/>
                          </a:xfrm>
                          <a:prstGeom prst="rect">
                            <a:avLst/>
                          </a:prstGeom>
                        </pic:spPr>
                      </pic:pic>
                    </wpg:wgp>
                  </a:graphicData>
                </a:graphic>
              </wp:anchor>
            </w:drawing>
          </mc:Choice>
          <mc:Fallback>
            <w:pict>
              <v:group style="position:absolute;margin-left:397.25pt;margin-top:-18.305088pt;width:128.0500pt;height:52.55pt;mso-position-horizontal-relative:page;mso-position-vertical-relative:paragraph;z-index:15735808" id="docshapegroup25" coordorigin="7945,-366" coordsize="2561,1051">
                <v:shape style="position:absolute;left:8773;top:349;width:1253;height:335" type="#_x0000_t75" id="docshape26" stroked="false">
                  <v:imagedata r:id="rId22" o:title=""/>
                </v:shape>
                <v:shape style="position:absolute;left:7945;top:-367;width:2561;height:723" type="#_x0000_t75" id="docshape27" stroked="false">
                  <v:imagedata r:id="rId23" o:title=""/>
                </v:shape>
                <w10:wrap type="none"/>
              </v:group>
            </w:pict>
          </mc:Fallback>
        </mc:AlternateContent>
      </w:r>
      <w:r>
        <w:rPr>
          <w:rFonts w:ascii="Trebuchet MS"/>
          <w:sz w:val="10"/>
        </w:rPr>
        <w:drawing>
          <wp:anchor distT="0" distB="0" distL="0" distR="0" allowOverlap="1" layoutInCell="1" locked="0" behindDoc="0" simplePos="0" relativeHeight="15736320">
            <wp:simplePos x="0" y="0"/>
            <wp:positionH relativeFrom="page">
              <wp:posOffset>951228</wp:posOffset>
            </wp:positionH>
            <wp:positionV relativeFrom="paragraph">
              <wp:posOffset>-113095</wp:posOffset>
            </wp:positionV>
            <wp:extent cx="354470" cy="35496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4" cstate="print"/>
                    <a:stretch>
                      <a:fillRect/>
                    </a:stretch>
                  </pic:blipFill>
                  <pic:spPr>
                    <a:xfrm>
                      <a:off x="0" y="0"/>
                      <a:ext cx="354470" cy="354965"/>
                    </a:xfrm>
                    <a:prstGeom prst="rect">
                      <a:avLst/>
                    </a:prstGeom>
                  </pic:spPr>
                </pic:pic>
              </a:graphicData>
            </a:graphic>
          </wp:anchor>
        </w:drawing>
      </w:r>
      <w:r>
        <w:rPr>
          <w:rFonts w:ascii="Trebuchet MS"/>
          <w:sz w:val="10"/>
        </w:rPr>
        <w:drawing>
          <wp:anchor distT="0" distB="0" distL="0" distR="0" allowOverlap="1" layoutInCell="1" locked="0" behindDoc="0" simplePos="0" relativeHeight="15736832">
            <wp:simplePos x="0" y="0"/>
            <wp:positionH relativeFrom="page">
              <wp:posOffset>3465195</wp:posOffset>
            </wp:positionH>
            <wp:positionV relativeFrom="paragraph">
              <wp:posOffset>-137224</wp:posOffset>
            </wp:positionV>
            <wp:extent cx="1416850" cy="36957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5" cstate="print"/>
                    <a:stretch>
                      <a:fillRect/>
                    </a:stretch>
                  </pic:blipFill>
                  <pic:spPr>
                    <a:xfrm>
                      <a:off x="0" y="0"/>
                      <a:ext cx="1416850" cy="369570"/>
                    </a:xfrm>
                    <a:prstGeom prst="rect">
                      <a:avLst/>
                    </a:prstGeom>
                  </pic:spPr>
                </pic:pic>
              </a:graphicData>
            </a:graphic>
          </wp:anchor>
        </w:drawing>
      </w:r>
      <w:r>
        <w:rPr>
          <w:rFonts w:ascii="Trebuchet MS"/>
          <w:spacing w:val="-2"/>
          <w:sz w:val="10"/>
        </w:rPr>
        <w:t>MINISTERIO</w:t>
      </w:r>
      <w:r>
        <w:rPr>
          <w:rFonts w:ascii="Trebuchet MS"/>
          <w:sz w:val="10"/>
        </w:rPr>
        <w:tab/>
      </w:r>
      <w:r>
        <w:rPr>
          <w:rFonts w:ascii="Trebuchet MS"/>
          <w:spacing w:val="-2"/>
          <w:sz w:val="10"/>
        </w:rPr>
        <w:t>MINISTERIO</w:t>
      </w:r>
    </w:p>
    <w:p>
      <w:pPr>
        <w:tabs>
          <w:tab w:pos="2748" w:val="left" w:leader="none"/>
        </w:tabs>
        <w:spacing w:line="106" w:lineRule="exact" w:before="0"/>
        <w:ind w:left="740" w:right="0" w:firstLine="0"/>
        <w:jc w:val="left"/>
        <w:rPr>
          <w:rFonts w:ascii="Trebuchet MS"/>
          <w:sz w:val="10"/>
        </w:rPr>
      </w:pPr>
      <w:r>
        <w:rPr>
          <w:rFonts w:ascii="Trebuchet MS"/>
          <w:sz w:val="10"/>
        </w:rPr>
        <w:t>DE</w:t>
      </w:r>
      <w:r>
        <w:rPr>
          <w:rFonts w:ascii="Trebuchet MS"/>
          <w:spacing w:val="-3"/>
          <w:sz w:val="10"/>
        </w:rPr>
        <w:t> </w:t>
      </w:r>
      <w:r>
        <w:rPr>
          <w:rFonts w:ascii="Trebuchet MS"/>
          <w:spacing w:val="-2"/>
          <w:sz w:val="10"/>
        </w:rPr>
        <w:t>CIENCIA</w:t>
      </w:r>
      <w:r>
        <w:rPr>
          <w:rFonts w:ascii="Trebuchet MS"/>
          <w:sz w:val="10"/>
        </w:rPr>
        <w:tab/>
        <w:t>DE</w:t>
      </w:r>
      <w:r>
        <w:rPr>
          <w:rFonts w:ascii="Trebuchet MS"/>
          <w:spacing w:val="-1"/>
          <w:sz w:val="10"/>
        </w:rPr>
        <w:t> </w:t>
      </w:r>
      <w:r>
        <w:rPr>
          <w:rFonts w:ascii="Trebuchet MS"/>
          <w:spacing w:val="-2"/>
          <w:sz w:val="10"/>
        </w:rPr>
        <w:t>SANIDAD</w:t>
      </w:r>
    </w:p>
    <w:p>
      <w:pPr>
        <w:tabs>
          <w:tab w:pos="2748" w:val="left" w:leader="none"/>
        </w:tabs>
        <w:spacing w:line="113" w:lineRule="exact" w:before="0"/>
        <w:ind w:left="740" w:right="0" w:firstLine="0"/>
        <w:jc w:val="left"/>
        <w:rPr>
          <w:rFonts w:ascii="Trebuchet MS" w:hAnsi="Trebuchet MS"/>
          <w:sz w:val="10"/>
        </w:rPr>
      </w:pPr>
      <w:r>
        <w:rPr>
          <w:rFonts w:ascii="Trebuchet MS" w:hAnsi="Trebuchet MS"/>
          <w:sz w:val="10"/>
        </w:rPr>
        <w:t>E</w:t>
      </w:r>
      <w:r>
        <w:rPr>
          <w:rFonts w:ascii="Trebuchet MS" w:hAnsi="Trebuchet MS"/>
          <w:spacing w:val="-10"/>
          <w:sz w:val="10"/>
        </w:rPr>
        <w:t> </w:t>
      </w:r>
      <w:r>
        <w:rPr>
          <w:rFonts w:ascii="Trebuchet MS" w:hAnsi="Trebuchet MS"/>
          <w:spacing w:val="-2"/>
          <w:sz w:val="10"/>
        </w:rPr>
        <w:t>INNOVACIÓN</w:t>
      </w:r>
      <w:r>
        <w:rPr>
          <w:rFonts w:ascii="Trebuchet MS" w:hAnsi="Trebuchet MS"/>
          <w:sz w:val="10"/>
        </w:rPr>
        <w:tab/>
        <w:t>Y</w:t>
      </w:r>
      <w:r>
        <w:rPr>
          <w:rFonts w:ascii="Trebuchet MS" w:hAnsi="Trebuchet MS"/>
          <w:spacing w:val="-6"/>
          <w:sz w:val="10"/>
        </w:rPr>
        <w:t> </w:t>
      </w:r>
      <w:r>
        <w:rPr>
          <w:rFonts w:ascii="Trebuchet MS" w:hAnsi="Trebuchet MS"/>
          <w:sz w:val="10"/>
        </w:rPr>
        <w:t>POLÍTICA</w:t>
      </w:r>
      <w:r>
        <w:rPr>
          <w:rFonts w:ascii="Trebuchet MS" w:hAnsi="Trebuchet MS"/>
          <w:spacing w:val="-4"/>
          <w:sz w:val="10"/>
        </w:rPr>
        <w:t> </w:t>
      </w:r>
      <w:r>
        <w:rPr>
          <w:rFonts w:ascii="Trebuchet MS" w:hAnsi="Trebuchet MS"/>
          <w:spacing w:val="-2"/>
          <w:sz w:val="10"/>
        </w:rPr>
        <w:t>SOCIAL</w:t>
      </w:r>
    </w:p>
    <w:p>
      <w:pPr>
        <w:spacing w:after="0" w:line="113" w:lineRule="exact"/>
        <w:jc w:val="left"/>
        <w:rPr>
          <w:rFonts w:ascii="Trebuchet MS" w:hAnsi="Trebuchet MS"/>
          <w:sz w:val="10"/>
        </w:rPr>
        <w:sectPr>
          <w:pgSz w:w="11900" w:h="16840"/>
          <w:pgMar w:top="1940" w:bottom="280" w:left="1417" w:right="1559"/>
        </w:sectPr>
      </w:pPr>
    </w:p>
    <w:p>
      <w:pPr>
        <w:pStyle w:val="BodyText"/>
        <w:spacing w:before="2"/>
        <w:rPr>
          <w:rFonts w:ascii="Trebuchet MS"/>
          <w:sz w:val="17"/>
        </w:rPr>
      </w:pPr>
    </w:p>
    <w:p>
      <w:pPr>
        <w:pStyle w:val="BodyText"/>
        <w:spacing w:after="0"/>
        <w:rPr>
          <w:rFonts w:ascii="Trebuchet MS"/>
          <w:sz w:val="17"/>
        </w:rPr>
        <w:sectPr>
          <w:pgSz w:w="11900" w:h="16840"/>
          <w:pgMar w:top="1940" w:bottom="280" w:left="1417" w:right="1559"/>
        </w:sectPr>
      </w:pPr>
    </w:p>
    <w:p>
      <w:pPr>
        <w:pStyle w:val="Heading1"/>
        <w:spacing w:before="52"/>
      </w:pPr>
      <w:r>
        <w:rPr>
          <w:color w:val="231F1F"/>
          <w:spacing w:val="-2"/>
          <w:w w:val="110"/>
        </w:rPr>
        <w:t>Índice</w:t>
      </w:r>
    </w:p>
    <w:p>
      <w:pPr>
        <w:pStyle w:val="Heading1"/>
        <w:spacing w:after="0"/>
        <w:sectPr>
          <w:footerReference w:type="default" r:id="rId26"/>
          <w:footerReference w:type="even" r:id="rId27"/>
          <w:pgSz w:w="11900" w:h="16840"/>
          <w:pgMar w:header="0" w:footer="572" w:top="1540" w:bottom="624" w:left="1417" w:right="1559"/>
          <w:pgNumType w:start="7"/>
        </w:sectPr>
      </w:pPr>
    </w:p>
    <w:sdt>
      <w:sdtPr>
        <w:docPartObj>
          <w:docPartGallery w:val="Table of Contents"/>
          <w:docPartUnique/>
        </w:docPartObj>
      </w:sdtPr>
      <w:sdtEndPr/>
      <w:sdtContent>
        <w:p>
          <w:pPr>
            <w:pStyle w:val="TOC1"/>
            <w:tabs>
              <w:tab w:pos="8807" w:val="right" w:leader="none"/>
            </w:tabs>
            <w:spacing w:before="660"/>
            <w:ind w:left="283" w:firstLine="0"/>
          </w:pPr>
          <w:hyperlink w:history="true" w:anchor="_TOC_250055">
            <w:r>
              <w:rPr>
                <w:color w:val="231F1F"/>
                <w:spacing w:val="-2"/>
              </w:rPr>
              <w:t>Presentación</w:t>
            </w:r>
            <w:r>
              <w:rPr>
                <w:rFonts w:ascii="Times New Roman" w:hAnsi="Times New Roman"/>
                <w:color w:val="231F1F"/>
              </w:rPr>
              <w:tab/>
            </w:r>
            <w:r>
              <w:rPr>
                <w:color w:val="231F1F"/>
                <w:spacing w:val="-10"/>
              </w:rPr>
              <w:t>9</w:t>
            </w:r>
          </w:hyperlink>
        </w:p>
        <w:p>
          <w:pPr>
            <w:pStyle w:val="TOC1"/>
            <w:tabs>
              <w:tab w:pos="8785" w:val="right" w:leader="none"/>
            </w:tabs>
            <w:ind w:left="283" w:firstLine="0"/>
          </w:pPr>
          <w:hyperlink w:history="true" w:anchor="_TOC_250054">
            <w:r>
              <w:rPr>
                <w:color w:val="231F1F"/>
              </w:rPr>
              <w:t>Autoría</w:t>
            </w:r>
            <w:r>
              <w:rPr>
                <w:color w:val="231F1F"/>
                <w:spacing w:val="-5"/>
              </w:rPr>
              <w:t> </w:t>
            </w:r>
            <w:r>
              <w:rPr>
                <w:color w:val="231F1F"/>
              </w:rPr>
              <w:t>y </w:t>
            </w:r>
            <w:r>
              <w:rPr>
                <w:color w:val="231F1F"/>
                <w:spacing w:val="-2"/>
              </w:rPr>
              <w:t>colaboraciones</w:t>
            </w:r>
            <w:r>
              <w:rPr>
                <w:rFonts w:ascii="Times New Roman" w:hAnsi="Times New Roman"/>
                <w:color w:val="231F1F"/>
              </w:rPr>
              <w:tab/>
            </w:r>
            <w:r>
              <w:rPr>
                <w:color w:val="231F1F"/>
                <w:spacing w:val="-5"/>
              </w:rPr>
              <w:t>11</w:t>
            </w:r>
          </w:hyperlink>
        </w:p>
        <w:p>
          <w:pPr>
            <w:pStyle w:val="TOC1"/>
            <w:tabs>
              <w:tab w:pos="8785" w:val="right" w:leader="none"/>
            </w:tabs>
            <w:spacing w:before="164"/>
            <w:ind w:left="283" w:firstLine="0"/>
          </w:pPr>
          <w:hyperlink w:history="true" w:anchor="_TOC_250053">
            <w:r>
              <w:rPr>
                <w:color w:val="231F1F"/>
              </w:rPr>
              <w:t>Preguntas</w:t>
            </w:r>
            <w:r>
              <w:rPr>
                <w:color w:val="231F1F"/>
                <w:spacing w:val="3"/>
              </w:rPr>
              <w:t> </w:t>
            </w:r>
            <w:r>
              <w:rPr>
                <w:color w:val="231F1F"/>
              </w:rPr>
              <w:t>para</w:t>
            </w:r>
            <w:r>
              <w:rPr>
                <w:color w:val="231F1F"/>
                <w:spacing w:val="6"/>
              </w:rPr>
              <w:t> </w:t>
            </w:r>
            <w:r>
              <w:rPr>
                <w:color w:val="231F1F"/>
                <w:spacing w:val="-2"/>
              </w:rPr>
              <w:t>responder</w:t>
            </w:r>
            <w:r>
              <w:rPr>
                <w:rFonts w:ascii="Times New Roman"/>
                <w:color w:val="231F1F"/>
              </w:rPr>
              <w:tab/>
            </w:r>
            <w:r>
              <w:rPr>
                <w:color w:val="231F1F"/>
                <w:spacing w:val="-5"/>
              </w:rPr>
              <w:t>15</w:t>
            </w:r>
          </w:hyperlink>
        </w:p>
        <w:p>
          <w:pPr>
            <w:pStyle w:val="TOC1"/>
            <w:tabs>
              <w:tab w:pos="8785" w:val="right" w:leader="none"/>
            </w:tabs>
            <w:ind w:left="283" w:firstLine="0"/>
          </w:pPr>
          <w:r>
            <w:rPr>
              <w:color w:val="231F1F"/>
            </w:rPr>
            <w:t>Niveles</w:t>
          </w:r>
          <w:r>
            <w:rPr>
              <w:color w:val="231F1F"/>
              <w:spacing w:val="4"/>
            </w:rPr>
            <w:t> </w:t>
          </w:r>
          <w:r>
            <w:rPr>
              <w:color w:val="231F1F"/>
            </w:rPr>
            <w:t>de</w:t>
          </w:r>
          <w:r>
            <w:rPr>
              <w:color w:val="231F1F"/>
              <w:spacing w:val="6"/>
            </w:rPr>
            <w:t> </w:t>
          </w:r>
          <w:r>
            <w:rPr>
              <w:color w:val="231F1F"/>
            </w:rPr>
            <w:t>evidencia</w:t>
          </w:r>
          <w:r>
            <w:rPr>
              <w:color w:val="231F1F"/>
              <w:spacing w:val="9"/>
            </w:rPr>
            <w:t> </w:t>
          </w:r>
          <w:r>
            <w:rPr>
              <w:color w:val="231F1F"/>
            </w:rPr>
            <w:t>y</w:t>
          </w:r>
          <w:r>
            <w:rPr>
              <w:color w:val="231F1F"/>
              <w:spacing w:val="6"/>
            </w:rPr>
            <w:t> </w:t>
          </w:r>
          <w:r>
            <w:rPr>
              <w:color w:val="231F1F"/>
            </w:rPr>
            <w:t>grados</w:t>
          </w:r>
          <w:r>
            <w:rPr>
              <w:color w:val="231F1F"/>
              <w:spacing w:val="6"/>
            </w:rPr>
            <w:t> </w:t>
          </w:r>
          <w:r>
            <w:rPr>
              <w:color w:val="231F1F"/>
            </w:rPr>
            <w:t>de</w:t>
          </w:r>
          <w:r>
            <w:rPr>
              <w:color w:val="231F1F"/>
              <w:spacing w:val="9"/>
            </w:rPr>
            <w:t> </w:t>
          </w:r>
          <w:r>
            <w:rPr>
              <w:color w:val="231F1F"/>
              <w:spacing w:val="-2"/>
            </w:rPr>
            <w:t>recomendación</w:t>
          </w:r>
          <w:r>
            <w:rPr>
              <w:rFonts w:ascii="Times New Roman" w:hAnsi="Times New Roman"/>
              <w:color w:val="231F1F"/>
            </w:rPr>
            <w:tab/>
          </w:r>
          <w:r>
            <w:rPr>
              <w:color w:val="231F1F"/>
              <w:spacing w:val="-5"/>
            </w:rPr>
            <w:t>21</w:t>
          </w:r>
        </w:p>
        <w:p>
          <w:pPr>
            <w:pStyle w:val="TOC1"/>
            <w:tabs>
              <w:tab w:pos="8785" w:val="right" w:leader="none"/>
            </w:tabs>
            <w:spacing w:before="164"/>
            <w:ind w:left="283" w:firstLine="0"/>
          </w:pPr>
          <w:r>
            <w:rPr>
              <w:color w:val="231F1F"/>
            </w:rPr>
            <w:t>Recomendaciones</w:t>
          </w:r>
          <w:r>
            <w:rPr>
              <w:color w:val="231F1F"/>
              <w:spacing w:val="17"/>
            </w:rPr>
            <w:t> </w:t>
          </w:r>
          <w:r>
            <w:rPr>
              <w:color w:val="231F1F"/>
            </w:rPr>
            <w:t>de</w:t>
          </w:r>
          <w:r>
            <w:rPr>
              <w:color w:val="231F1F"/>
              <w:spacing w:val="19"/>
            </w:rPr>
            <w:t> </w:t>
          </w:r>
          <w:r>
            <w:rPr>
              <w:color w:val="231F1F"/>
              <w:spacing w:val="-5"/>
            </w:rPr>
            <w:t>GPC</w:t>
          </w:r>
          <w:r>
            <w:rPr>
              <w:rFonts w:ascii="Times New Roman"/>
              <w:color w:val="231F1F"/>
            </w:rPr>
            <w:tab/>
          </w:r>
          <w:r>
            <w:rPr>
              <w:color w:val="231F1F"/>
              <w:spacing w:val="-5"/>
            </w:rPr>
            <w:t>23</w:t>
          </w:r>
        </w:p>
        <w:p>
          <w:pPr>
            <w:pStyle w:val="TOC1"/>
            <w:numPr>
              <w:ilvl w:val="0"/>
              <w:numId w:val="1"/>
            </w:numPr>
            <w:tabs>
              <w:tab w:pos="734" w:val="left" w:leader="none"/>
              <w:tab w:pos="8785" w:val="right" w:leader="none"/>
            </w:tabs>
            <w:spacing w:line="240" w:lineRule="auto" w:before="164" w:after="0"/>
            <w:ind w:left="734" w:right="0" w:hanging="451"/>
            <w:jc w:val="left"/>
          </w:pPr>
          <w:hyperlink w:history="true" w:anchor="_TOC_250052">
            <w:r>
              <w:rPr>
                <w:color w:val="231F1F"/>
                <w:spacing w:val="-2"/>
              </w:rPr>
              <w:t>Introducción</w:t>
            </w:r>
            <w:r>
              <w:rPr>
                <w:rFonts w:ascii="Times New Roman" w:hAnsi="Times New Roman"/>
                <w:color w:val="231F1F"/>
              </w:rPr>
              <w:tab/>
            </w:r>
            <w:r>
              <w:rPr>
                <w:color w:val="231F1F"/>
                <w:spacing w:val="-5"/>
              </w:rPr>
              <w:t>35</w:t>
            </w:r>
          </w:hyperlink>
        </w:p>
        <w:p>
          <w:pPr>
            <w:pStyle w:val="TOC1"/>
            <w:numPr>
              <w:ilvl w:val="0"/>
              <w:numId w:val="1"/>
            </w:numPr>
            <w:tabs>
              <w:tab w:pos="734" w:val="left" w:leader="none"/>
              <w:tab w:pos="8785" w:val="right" w:leader="none"/>
            </w:tabs>
            <w:spacing w:line="240" w:lineRule="auto" w:before="163" w:after="0"/>
            <w:ind w:left="734" w:right="0" w:hanging="451"/>
            <w:jc w:val="left"/>
          </w:pPr>
          <w:hyperlink w:history="true" w:anchor="_TOC_250051">
            <w:r>
              <w:rPr>
                <w:color w:val="231F1F"/>
              </w:rPr>
              <w:t>Alcance</w:t>
            </w:r>
            <w:r>
              <w:rPr>
                <w:color w:val="231F1F"/>
                <w:spacing w:val="5"/>
              </w:rPr>
              <w:t> </w:t>
            </w:r>
            <w:r>
              <w:rPr>
                <w:color w:val="231F1F"/>
              </w:rPr>
              <w:t>y</w:t>
            </w:r>
            <w:r>
              <w:rPr>
                <w:color w:val="231F1F"/>
                <w:spacing w:val="8"/>
              </w:rPr>
              <w:t> </w:t>
            </w:r>
            <w:r>
              <w:rPr>
                <w:color w:val="231F1F"/>
                <w:spacing w:val="-2"/>
              </w:rPr>
              <w:t>objetivos</w:t>
            </w:r>
            <w:r>
              <w:rPr>
                <w:rFonts w:ascii="Times New Roman"/>
                <w:color w:val="231F1F"/>
              </w:rPr>
              <w:tab/>
            </w:r>
            <w:r>
              <w:rPr>
                <w:color w:val="231F1F"/>
                <w:spacing w:val="-5"/>
              </w:rPr>
              <w:t>37</w:t>
            </w:r>
          </w:hyperlink>
        </w:p>
        <w:p>
          <w:pPr>
            <w:pStyle w:val="TOC1"/>
            <w:numPr>
              <w:ilvl w:val="0"/>
              <w:numId w:val="1"/>
            </w:numPr>
            <w:tabs>
              <w:tab w:pos="734" w:val="left" w:leader="none"/>
              <w:tab w:pos="8785" w:val="right" w:leader="none"/>
            </w:tabs>
            <w:spacing w:line="240" w:lineRule="auto" w:before="164" w:after="0"/>
            <w:ind w:left="734" w:right="0" w:hanging="451"/>
            <w:jc w:val="left"/>
          </w:pPr>
          <w:hyperlink w:history="true" w:anchor="_TOC_250050">
            <w:r>
              <w:rPr>
                <w:color w:val="231F1F"/>
              </w:rPr>
              <w:t>Metodología</w:t>
            </w:r>
            <w:r>
              <w:rPr>
                <w:color w:val="231F1F"/>
                <w:spacing w:val="8"/>
              </w:rPr>
              <w:t> </w:t>
            </w:r>
            <w:r>
              <w:rPr>
                <w:color w:val="231F1F"/>
              </w:rPr>
              <w:t>de</w:t>
            </w:r>
            <w:r>
              <w:rPr>
                <w:color w:val="231F1F"/>
                <w:spacing w:val="12"/>
              </w:rPr>
              <w:t> </w:t>
            </w:r>
            <w:r>
              <w:rPr>
                <w:color w:val="231F1F"/>
              </w:rPr>
              <w:t>la</w:t>
            </w:r>
            <w:r>
              <w:rPr>
                <w:color w:val="231F1F"/>
                <w:spacing w:val="13"/>
              </w:rPr>
              <w:t> </w:t>
            </w:r>
            <w:r>
              <w:rPr>
                <w:color w:val="231F1F"/>
                <w:spacing w:val="-4"/>
              </w:rPr>
              <w:t>guía</w:t>
            </w:r>
            <w:r>
              <w:rPr>
                <w:rFonts w:ascii="Times New Roman" w:hAnsi="Times New Roman"/>
                <w:color w:val="231F1F"/>
              </w:rPr>
              <w:tab/>
            </w:r>
            <w:r>
              <w:rPr>
                <w:color w:val="231F1F"/>
                <w:spacing w:val="-5"/>
              </w:rPr>
              <w:t>39</w:t>
            </w:r>
          </w:hyperlink>
        </w:p>
        <w:p>
          <w:pPr>
            <w:pStyle w:val="TOC1"/>
            <w:numPr>
              <w:ilvl w:val="0"/>
              <w:numId w:val="1"/>
            </w:numPr>
            <w:tabs>
              <w:tab w:pos="734" w:val="left" w:leader="none"/>
              <w:tab w:pos="8785" w:val="right" w:leader="none"/>
            </w:tabs>
            <w:spacing w:line="240" w:lineRule="auto" w:before="164" w:after="0"/>
            <w:ind w:left="734" w:right="0" w:hanging="451"/>
            <w:jc w:val="left"/>
          </w:pPr>
          <w:hyperlink w:history="true" w:anchor="_TOC_250049">
            <w:r>
              <w:rPr>
                <w:color w:val="231F1F"/>
              </w:rPr>
              <w:t>Cuidados</w:t>
            </w:r>
            <w:r>
              <w:rPr>
                <w:color w:val="231F1F"/>
                <w:spacing w:val="6"/>
              </w:rPr>
              <w:t> </w:t>
            </w:r>
            <w:r>
              <w:rPr>
                <w:color w:val="231F1F"/>
              </w:rPr>
              <w:t>durante</w:t>
            </w:r>
            <w:r>
              <w:rPr>
                <w:color w:val="231F1F"/>
                <w:spacing w:val="8"/>
              </w:rPr>
              <w:t> </w:t>
            </w:r>
            <w:r>
              <w:rPr>
                <w:color w:val="231F1F"/>
              </w:rPr>
              <w:t>el</w:t>
            </w:r>
            <w:r>
              <w:rPr>
                <w:color w:val="231F1F"/>
                <w:spacing w:val="10"/>
              </w:rPr>
              <w:t> </w:t>
            </w:r>
            <w:r>
              <w:rPr>
                <w:color w:val="231F1F"/>
                <w:spacing w:val="-4"/>
              </w:rPr>
              <w:t>parto</w:t>
            </w:r>
            <w:r>
              <w:rPr>
                <w:rFonts w:ascii="Times New Roman"/>
                <w:color w:val="231F1F"/>
              </w:rPr>
              <w:tab/>
            </w:r>
            <w:r>
              <w:rPr>
                <w:color w:val="231F1F"/>
                <w:spacing w:val="-5"/>
              </w:rPr>
              <w:t>43</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8">
            <w:r>
              <w:rPr>
                <w:color w:val="231F1F"/>
                <w:spacing w:val="-6"/>
              </w:rPr>
              <w:t>Cuidados</w:t>
            </w:r>
            <w:r>
              <w:rPr>
                <w:color w:val="231F1F"/>
                <w:spacing w:val="-5"/>
              </w:rPr>
              <w:t> </w:t>
            </w:r>
            <w:r>
              <w:rPr>
                <w:color w:val="231F1F"/>
                <w:spacing w:val="-6"/>
              </w:rPr>
              <w:t>de</w:t>
            </w:r>
            <w:r>
              <w:rPr>
                <w:color w:val="231F1F"/>
              </w:rPr>
              <w:t> </w:t>
            </w:r>
            <w:r>
              <w:rPr>
                <w:color w:val="231F1F"/>
                <w:spacing w:val="-6"/>
              </w:rPr>
              <w:t>profesionales</w:t>
            </w:r>
            <w:r>
              <w:rPr>
                <w:color w:val="231F1F"/>
                <w:spacing w:val="-2"/>
              </w:rPr>
              <w:t> </w:t>
            </w:r>
            <w:r>
              <w:rPr>
                <w:color w:val="231F1F"/>
                <w:spacing w:val="-6"/>
              </w:rPr>
              <w:t>y</w:t>
            </w:r>
            <w:r>
              <w:rPr>
                <w:color w:val="231F1F"/>
                <w:spacing w:val="-1"/>
              </w:rPr>
              <w:t> </w:t>
            </w:r>
            <w:r>
              <w:rPr>
                <w:color w:val="231F1F"/>
                <w:spacing w:val="-6"/>
              </w:rPr>
              <w:t>acompañantes</w:t>
            </w:r>
            <w:r>
              <w:rPr>
                <w:rFonts w:ascii="Times New Roman" w:hAnsi="Times New Roman"/>
                <w:color w:val="231F1F"/>
              </w:rPr>
              <w:tab/>
            </w:r>
            <w:r>
              <w:rPr>
                <w:color w:val="231F1F"/>
                <w:spacing w:val="-5"/>
              </w:rPr>
              <w:t>43</w:t>
            </w:r>
          </w:hyperlink>
        </w:p>
        <w:p>
          <w:pPr>
            <w:pStyle w:val="TOC3"/>
            <w:numPr>
              <w:ilvl w:val="1"/>
              <w:numId w:val="1"/>
            </w:numPr>
            <w:tabs>
              <w:tab w:pos="1288" w:val="left" w:leader="none"/>
              <w:tab w:pos="8785" w:val="right" w:leader="none"/>
            </w:tabs>
            <w:spacing w:line="240" w:lineRule="auto" w:before="106" w:after="0"/>
            <w:ind w:left="1288" w:right="0" w:hanging="552"/>
            <w:jc w:val="left"/>
          </w:pPr>
          <w:r>
            <w:rPr>
              <w:color w:val="231F1F"/>
              <w:spacing w:val="-4"/>
            </w:rPr>
            <w:t>Ingesta</w:t>
          </w:r>
          <w:r>
            <w:rPr>
              <w:color w:val="231F1F"/>
              <w:spacing w:val="-14"/>
            </w:rPr>
            <w:t> </w:t>
          </w:r>
          <w:r>
            <w:rPr>
              <w:color w:val="231F1F"/>
              <w:spacing w:val="-4"/>
            </w:rPr>
            <w:t>de</w:t>
          </w:r>
          <w:r>
            <w:rPr>
              <w:color w:val="231F1F"/>
              <w:spacing w:val="-11"/>
            </w:rPr>
            <w:t> </w:t>
          </w:r>
          <w:r>
            <w:rPr>
              <w:color w:val="231F1F"/>
              <w:spacing w:val="-4"/>
            </w:rPr>
            <w:t>líquidos</w:t>
          </w:r>
          <w:r>
            <w:rPr>
              <w:color w:val="231F1F"/>
              <w:spacing w:val="-11"/>
            </w:rPr>
            <w:t> </w:t>
          </w:r>
          <w:r>
            <w:rPr>
              <w:color w:val="231F1F"/>
              <w:spacing w:val="-4"/>
            </w:rPr>
            <w:t>y</w:t>
          </w:r>
          <w:r>
            <w:rPr>
              <w:color w:val="231F1F"/>
              <w:spacing w:val="-10"/>
            </w:rPr>
            <w:t> </w:t>
          </w:r>
          <w:r>
            <w:rPr>
              <w:color w:val="231F1F"/>
              <w:spacing w:val="-4"/>
            </w:rPr>
            <w:t>sólidos</w:t>
          </w:r>
          <w:r>
            <w:rPr>
              <w:rFonts w:ascii="Times New Roman" w:hAnsi="Times New Roman"/>
              <w:color w:val="231F1F"/>
            </w:rPr>
            <w:tab/>
          </w:r>
          <w:r>
            <w:rPr>
              <w:color w:val="231F1F"/>
              <w:spacing w:val="-5"/>
            </w:rPr>
            <w:t>51</w:t>
          </w:r>
        </w:p>
        <w:p>
          <w:pPr>
            <w:pStyle w:val="TOC1"/>
            <w:numPr>
              <w:ilvl w:val="0"/>
              <w:numId w:val="1"/>
            </w:numPr>
            <w:tabs>
              <w:tab w:pos="734" w:val="left" w:leader="none"/>
              <w:tab w:pos="8785" w:val="right" w:leader="none"/>
            </w:tabs>
            <w:spacing w:line="240" w:lineRule="auto" w:before="163" w:after="0"/>
            <w:ind w:left="734" w:right="0" w:hanging="451"/>
            <w:jc w:val="left"/>
          </w:pPr>
          <w:hyperlink w:history="true" w:anchor="_TOC_250047">
            <w:r>
              <w:rPr>
                <w:color w:val="231F1F"/>
              </w:rPr>
              <w:t>Dilatación:</w:t>
            </w:r>
            <w:r>
              <w:rPr>
                <w:color w:val="231F1F"/>
                <w:spacing w:val="9"/>
              </w:rPr>
              <w:t> </w:t>
            </w:r>
            <w:r>
              <w:rPr>
                <w:color w:val="231F1F"/>
              </w:rPr>
              <w:t>primera</w:t>
            </w:r>
            <w:r>
              <w:rPr>
                <w:color w:val="231F1F"/>
                <w:spacing w:val="9"/>
              </w:rPr>
              <w:t> </w:t>
            </w:r>
            <w:r>
              <w:rPr>
                <w:color w:val="231F1F"/>
              </w:rPr>
              <w:t>etapa</w:t>
            </w:r>
            <w:r>
              <w:rPr>
                <w:color w:val="231F1F"/>
                <w:spacing w:val="11"/>
              </w:rPr>
              <w:t> </w:t>
            </w:r>
            <w:r>
              <w:rPr>
                <w:color w:val="231F1F"/>
              </w:rPr>
              <w:t>del</w:t>
            </w:r>
            <w:r>
              <w:rPr>
                <w:color w:val="231F1F"/>
                <w:spacing w:val="10"/>
              </w:rPr>
              <w:t> </w:t>
            </w:r>
            <w:r>
              <w:rPr>
                <w:color w:val="231F1F"/>
                <w:spacing w:val="-2"/>
              </w:rPr>
              <w:t>parto</w:t>
            </w:r>
            <w:r>
              <w:rPr>
                <w:rFonts w:ascii="Times New Roman" w:hAnsi="Times New Roman"/>
                <w:color w:val="231F1F"/>
              </w:rPr>
              <w:tab/>
            </w:r>
            <w:r>
              <w:rPr>
                <w:color w:val="231F1F"/>
                <w:spacing w:val="-5"/>
              </w:rPr>
              <w:t>57</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6">
            <w:r>
              <w:rPr>
                <w:color w:val="231F1F"/>
                <w:spacing w:val="-6"/>
              </w:rPr>
              <w:t>Definición</w:t>
            </w:r>
            <w:r>
              <w:rPr>
                <w:color w:val="231F1F"/>
                <w:spacing w:val="-5"/>
              </w:rPr>
              <w:t> </w:t>
            </w:r>
            <w:r>
              <w:rPr>
                <w:color w:val="231F1F"/>
                <w:spacing w:val="-6"/>
              </w:rPr>
              <w:t>de</w:t>
            </w:r>
            <w:r>
              <w:rPr>
                <w:color w:val="231F1F"/>
                <w:spacing w:val="-3"/>
              </w:rPr>
              <w:t> </w:t>
            </w:r>
            <w:r>
              <w:rPr>
                <w:color w:val="231F1F"/>
                <w:spacing w:val="-6"/>
              </w:rPr>
              <w:t>la</w:t>
            </w:r>
            <w:r>
              <w:rPr>
                <w:color w:val="231F1F"/>
                <w:spacing w:val="-4"/>
              </w:rPr>
              <w:t> </w:t>
            </w:r>
            <w:r>
              <w:rPr>
                <w:color w:val="231F1F"/>
                <w:spacing w:val="-6"/>
              </w:rPr>
              <w:t>primera etapa</w:t>
            </w:r>
            <w:r>
              <w:rPr>
                <w:color w:val="231F1F"/>
                <w:spacing w:val="-3"/>
              </w:rPr>
              <w:t> </w:t>
            </w:r>
            <w:r>
              <w:rPr>
                <w:color w:val="231F1F"/>
                <w:spacing w:val="-6"/>
              </w:rPr>
              <w:t>del</w:t>
            </w:r>
            <w:r>
              <w:rPr>
                <w:color w:val="231F1F"/>
                <w:spacing w:val="-3"/>
              </w:rPr>
              <w:t> </w:t>
            </w:r>
            <w:r>
              <w:rPr>
                <w:color w:val="231F1F"/>
                <w:spacing w:val="-6"/>
              </w:rPr>
              <w:t>parto</w:t>
            </w:r>
            <w:r>
              <w:rPr>
                <w:rFonts w:ascii="Times New Roman" w:hAnsi="Times New Roman"/>
                <w:color w:val="231F1F"/>
              </w:rPr>
              <w:tab/>
            </w:r>
            <w:r>
              <w:rPr>
                <w:color w:val="231F1F"/>
                <w:spacing w:val="-5"/>
              </w:rPr>
              <w:t>57</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5">
            <w:r>
              <w:rPr>
                <w:color w:val="231F1F"/>
                <w:spacing w:val="-4"/>
              </w:rPr>
              <w:t>Duración</w:t>
            </w:r>
            <w:r>
              <w:rPr>
                <w:color w:val="231F1F"/>
                <w:spacing w:val="-10"/>
              </w:rPr>
              <w:t> </w:t>
            </w:r>
            <w:r>
              <w:rPr>
                <w:color w:val="231F1F"/>
                <w:spacing w:val="-4"/>
              </w:rPr>
              <w:t>y</w:t>
            </w:r>
            <w:r>
              <w:rPr>
                <w:color w:val="231F1F"/>
                <w:spacing w:val="-9"/>
              </w:rPr>
              <w:t> </w:t>
            </w:r>
            <w:r>
              <w:rPr>
                <w:color w:val="231F1F"/>
                <w:spacing w:val="-4"/>
              </w:rPr>
              <w:t>progreso</w:t>
            </w:r>
            <w:r>
              <w:rPr>
                <w:color w:val="231F1F"/>
                <w:spacing w:val="-11"/>
              </w:rPr>
              <w:t> </w:t>
            </w:r>
            <w:r>
              <w:rPr>
                <w:color w:val="231F1F"/>
                <w:spacing w:val="-4"/>
              </w:rPr>
              <w:t>de</w:t>
            </w:r>
            <w:r>
              <w:rPr>
                <w:color w:val="231F1F"/>
                <w:spacing w:val="-8"/>
              </w:rPr>
              <w:t> </w:t>
            </w:r>
            <w:r>
              <w:rPr>
                <w:color w:val="231F1F"/>
                <w:spacing w:val="-4"/>
              </w:rPr>
              <w:t>la</w:t>
            </w:r>
            <w:r>
              <w:rPr>
                <w:color w:val="231F1F"/>
                <w:spacing w:val="-8"/>
              </w:rPr>
              <w:t> </w:t>
            </w:r>
            <w:r>
              <w:rPr>
                <w:color w:val="231F1F"/>
                <w:spacing w:val="-4"/>
              </w:rPr>
              <w:t>primera</w:t>
            </w:r>
            <w:r>
              <w:rPr>
                <w:color w:val="231F1F"/>
                <w:spacing w:val="-11"/>
              </w:rPr>
              <w:t> </w:t>
            </w:r>
            <w:r>
              <w:rPr>
                <w:color w:val="231F1F"/>
                <w:spacing w:val="-4"/>
              </w:rPr>
              <w:t>etapa</w:t>
            </w:r>
            <w:r>
              <w:rPr>
                <w:color w:val="231F1F"/>
                <w:spacing w:val="-9"/>
              </w:rPr>
              <w:t> </w:t>
            </w:r>
            <w:r>
              <w:rPr>
                <w:color w:val="231F1F"/>
                <w:spacing w:val="-4"/>
              </w:rPr>
              <w:t>del</w:t>
            </w:r>
            <w:r>
              <w:rPr>
                <w:color w:val="231F1F"/>
                <w:spacing w:val="-7"/>
              </w:rPr>
              <w:t> </w:t>
            </w:r>
            <w:r>
              <w:rPr>
                <w:color w:val="231F1F"/>
                <w:spacing w:val="-4"/>
              </w:rPr>
              <w:t>parto</w:t>
            </w:r>
            <w:r>
              <w:rPr>
                <w:rFonts w:ascii="Times New Roman" w:hAnsi="Times New Roman"/>
                <w:color w:val="231F1F"/>
              </w:rPr>
              <w:tab/>
            </w:r>
            <w:r>
              <w:rPr>
                <w:color w:val="231F1F"/>
                <w:spacing w:val="-5"/>
              </w:rPr>
              <w:t>59</w:t>
            </w:r>
          </w:hyperlink>
        </w:p>
        <w:p>
          <w:pPr>
            <w:pStyle w:val="TOC3"/>
            <w:numPr>
              <w:ilvl w:val="1"/>
              <w:numId w:val="1"/>
            </w:numPr>
            <w:tabs>
              <w:tab w:pos="1288" w:val="left" w:leader="none"/>
              <w:tab w:pos="8785" w:val="right" w:leader="none"/>
            </w:tabs>
            <w:spacing w:line="240" w:lineRule="auto" w:before="111" w:after="0"/>
            <w:ind w:left="1288" w:right="0" w:hanging="552"/>
            <w:jc w:val="left"/>
          </w:pPr>
          <w:hyperlink w:history="true" w:anchor="_TOC_250044">
            <w:r>
              <w:rPr>
                <w:color w:val="231F1F"/>
                <w:spacing w:val="-6"/>
              </w:rPr>
              <w:t>Admisión en maternidad</w:t>
            </w:r>
            <w:r>
              <w:rPr>
                <w:rFonts w:ascii="Times New Roman" w:hAnsi="Times New Roman"/>
                <w:color w:val="231F1F"/>
              </w:rPr>
              <w:tab/>
            </w:r>
            <w:r>
              <w:rPr>
                <w:color w:val="231F1F"/>
                <w:spacing w:val="-5"/>
              </w:rPr>
              <w:t>62</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3">
            <w:r>
              <w:rPr>
                <w:color w:val="231F1F"/>
                <w:spacing w:val="-6"/>
              </w:rPr>
              <w:t>Cuidados</w:t>
            </w:r>
            <w:r>
              <w:rPr>
                <w:color w:val="231F1F"/>
                <w:spacing w:val="-3"/>
              </w:rPr>
              <w:t> </w:t>
            </w:r>
            <w:r>
              <w:rPr>
                <w:color w:val="231F1F"/>
                <w:spacing w:val="-6"/>
              </w:rPr>
              <w:t>durante</w:t>
            </w:r>
            <w:r>
              <w:rPr>
                <w:color w:val="231F1F"/>
              </w:rPr>
              <w:t> </w:t>
            </w:r>
            <w:r>
              <w:rPr>
                <w:color w:val="231F1F"/>
                <w:spacing w:val="-6"/>
              </w:rPr>
              <w:t>la</w:t>
            </w:r>
            <w:r>
              <w:rPr>
                <w:color w:val="231F1F"/>
                <w:spacing w:val="3"/>
              </w:rPr>
              <w:t> </w:t>
            </w:r>
            <w:r>
              <w:rPr>
                <w:color w:val="231F1F"/>
                <w:spacing w:val="-6"/>
              </w:rPr>
              <w:t>admisión</w:t>
            </w:r>
            <w:r>
              <w:rPr>
                <w:rFonts w:ascii="Times New Roman" w:hAnsi="Times New Roman"/>
                <w:color w:val="231F1F"/>
              </w:rPr>
              <w:tab/>
            </w:r>
            <w:r>
              <w:rPr>
                <w:color w:val="231F1F"/>
                <w:spacing w:val="-5"/>
              </w:rPr>
              <w:t>64</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2">
            <w:r>
              <w:rPr>
                <w:color w:val="231F1F"/>
                <w:spacing w:val="-6"/>
              </w:rPr>
              <w:t>Intervenciones</w:t>
            </w:r>
            <w:r>
              <w:rPr>
                <w:color w:val="231F1F"/>
                <w:spacing w:val="-7"/>
              </w:rPr>
              <w:t> </w:t>
            </w:r>
            <w:r>
              <w:rPr>
                <w:color w:val="231F1F"/>
                <w:spacing w:val="-6"/>
              </w:rPr>
              <w:t>rutinarias</w:t>
            </w:r>
            <w:r>
              <w:rPr>
                <w:color w:val="231F1F"/>
                <w:spacing w:val="-3"/>
              </w:rPr>
              <w:t> </w:t>
            </w:r>
            <w:r>
              <w:rPr>
                <w:color w:val="231F1F"/>
                <w:spacing w:val="-6"/>
              </w:rPr>
              <w:t>posibles</w:t>
            </w:r>
            <w:r>
              <w:rPr>
                <w:color w:val="231F1F"/>
                <w:spacing w:val="-3"/>
              </w:rPr>
              <w:t> </w:t>
            </w:r>
            <w:r>
              <w:rPr>
                <w:color w:val="231F1F"/>
                <w:spacing w:val="-6"/>
              </w:rPr>
              <w:t>durante</w:t>
            </w:r>
            <w:r>
              <w:rPr>
                <w:color w:val="231F1F"/>
                <w:spacing w:val="-5"/>
              </w:rPr>
              <w:t> </w:t>
            </w:r>
            <w:r>
              <w:rPr>
                <w:color w:val="231F1F"/>
                <w:spacing w:val="-6"/>
              </w:rPr>
              <w:t>la</w:t>
            </w:r>
            <w:r>
              <w:rPr>
                <w:color w:val="231F1F"/>
                <w:spacing w:val="-2"/>
              </w:rPr>
              <w:t> </w:t>
            </w:r>
            <w:r>
              <w:rPr>
                <w:color w:val="231F1F"/>
                <w:spacing w:val="-6"/>
              </w:rPr>
              <w:t>dilatación</w:t>
            </w:r>
            <w:r>
              <w:rPr>
                <w:rFonts w:ascii="Times New Roman" w:hAnsi="Times New Roman"/>
                <w:color w:val="231F1F"/>
              </w:rPr>
              <w:tab/>
            </w:r>
            <w:r>
              <w:rPr>
                <w:color w:val="231F1F"/>
                <w:spacing w:val="-5"/>
              </w:rPr>
              <w:t>68</w:t>
            </w:r>
          </w:hyperlink>
        </w:p>
        <w:p>
          <w:pPr>
            <w:pStyle w:val="TOC1"/>
            <w:numPr>
              <w:ilvl w:val="0"/>
              <w:numId w:val="1"/>
            </w:numPr>
            <w:tabs>
              <w:tab w:pos="734" w:val="left" w:leader="none"/>
              <w:tab w:pos="8785" w:val="right" w:leader="none"/>
            </w:tabs>
            <w:spacing w:line="240" w:lineRule="auto" w:before="164" w:after="0"/>
            <w:ind w:left="734" w:right="0" w:hanging="451"/>
            <w:jc w:val="left"/>
          </w:pPr>
          <w:hyperlink w:history="true" w:anchor="_TOC_250041">
            <w:r>
              <w:rPr>
                <w:color w:val="231F1F"/>
              </w:rPr>
              <w:t>Segunda</w:t>
            </w:r>
            <w:r>
              <w:rPr>
                <w:color w:val="231F1F"/>
                <w:spacing w:val="4"/>
              </w:rPr>
              <w:t> </w:t>
            </w:r>
            <w:r>
              <w:rPr>
                <w:color w:val="231F1F"/>
              </w:rPr>
              <w:t>etapa</w:t>
            </w:r>
            <w:r>
              <w:rPr>
                <w:color w:val="231F1F"/>
                <w:spacing w:val="6"/>
              </w:rPr>
              <w:t> </w:t>
            </w:r>
            <w:r>
              <w:rPr>
                <w:color w:val="231F1F"/>
              </w:rPr>
              <w:t>del</w:t>
            </w:r>
            <w:r>
              <w:rPr>
                <w:color w:val="231F1F"/>
                <w:spacing w:val="7"/>
              </w:rPr>
              <w:t> </w:t>
            </w:r>
            <w:r>
              <w:rPr>
                <w:color w:val="231F1F"/>
                <w:spacing w:val="-2"/>
              </w:rPr>
              <w:t>parto</w:t>
            </w:r>
            <w:r>
              <w:rPr>
                <w:rFonts w:ascii="Times New Roman"/>
                <w:color w:val="231F1F"/>
              </w:rPr>
              <w:tab/>
            </w:r>
            <w:r>
              <w:rPr>
                <w:color w:val="231F1F"/>
                <w:spacing w:val="-5"/>
              </w:rPr>
              <w:t>99</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40">
            <w:r>
              <w:rPr>
                <w:color w:val="231F1F"/>
                <w:spacing w:val="-2"/>
              </w:rPr>
              <w:t>Definición</w:t>
            </w:r>
            <w:r>
              <w:rPr>
                <w:rFonts w:ascii="Times New Roman" w:hAnsi="Times New Roman"/>
                <w:color w:val="231F1F"/>
              </w:rPr>
              <w:tab/>
            </w:r>
            <w:r>
              <w:rPr>
                <w:color w:val="231F1F"/>
                <w:spacing w:val="-5"/>
              </w:rPr>
              <w:t>99</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9">
            <w:r>
              <w:rPr>
                <w:color w:val="231F1F"/>
                <w:spacing w:val="-4"/>
              </w:rPr>
              <w:t>Duración</w:t>
            </w:r>
            <w:r>
              <w:rPr>
                <w:color w:val="231F1F"/>
                <w:spacing w:val="-12"/>
              </w:rPr>
              <w:t> </w:t>
            </w:r>
            <w:r>
              <w:rPr>
                <w:color w:val="231F1F"/>
                <w:spacing w:val="-4"/>
              </w:rPr>
              <w:t>y</w:t>
            </w:r>
            <w:r>
              <w:rPr>
                <w:color w:val="231F1F"/>
                <w:spacing w:val="-13"/>
              </w:rPr>
              <w:t> </w:t>
            </w:r>
            <w:r>
              <w:rPr>
                <w:color w:val="231F1F"/>
                <w:spacing w:val="-4"/>
              </w:rPr>
              <w:t>progreso</w:t>
            </w:r>
            <w:r>
              <w:rPr>
                <w:rFonts w:ascii="Times New Roman" w:hAnsi="Times New Roman"/>
                <w:color w:val="231F1F"/>
              </w:rPr>
              <w:tab/>
            </w:r>
            <w:r>
              <w:rPr>
                <w:color w:val="231F1F"/>
                <w:spacing w:val="-5"/>
              </w:rPr>
              <w:t>101</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8">
            <w:r>
              <w:rPr>
                <w:color w:val="231F1F"/>
                <w:spacing w:val="-4"/>
              </w:rPr>
              <w:t>Medidas</w:t>
            </w:r>
            <w:r>
              <w:rPr>
                <w:color w:val="231F1F"/>
                <w:spacing w:val="-8"/>
              </w:rPr>
              <w:t> </w:t>
            </w:r>
            <w:r>
              <w:rPr>
                <w:color w:val="231F1F"/>
                <w:spacing w:val="-4"/>
              </w:rPr>
              <w:t>de</w:t>
            </w:r>
            <w:r>
              <w:rPr>
                <w:color w:val="231F1F"/>
                <w:spacing w:val="-6"/>
              </w:rPr>
              <w:t> </w:t>
            </w:r>
            <w:r>
              <w:rPr>
                <w:color w:val="231F1F"/>
                <w:spacing w:val="-4"/>
              </w:rPr>
              <w:t>asepsia</w:t>
            </w:r>
            <w:r>
              <w:rPr>
                <w:rFonts w:ascii="Times New Roman"/>
                <w:color w:val="231F1F"/>
              </w:rPr>
              <w:tab/>
            </w:r>
            <w:r>
              <w:rPr>
                <w:color w:val="231F1F"/>
                <w:spacing w:val="-5"/>
              </w:rPr>
              <w:t>107</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7">
            <w:r>
              <w:rPr>
                <w:color w:val="231F1F"/>
                <w:spacing w:val="-4"/>
              </w:rPr>
              <w:t>Posición</w:t>
            </w:r>
            <w:r>
              <w:rPr>
                <w:color w:val="231F1F"/>
                <w:spacing w:val="-10"/>
              </w:rPr>
              <w:t> </w:t>
            </w:r>
            <w:r>
              <w:rPr>
                <w:color w:val="231F1F"/>
                <w:spacing w:val="-4"/>
              </w:rPr>
              <w:t>durante</w:t>
            </w:r>
            <w:r>
              <w:rPr>
                <w:color w:val="231F1F"/>
                <w:spacing w:val="-10"/>
              </w:rPr>
              <w:t> </w:t>
            </w:r>
            <w:r>
              <w:rPr>
                <w:color w:val="231F1F"/>
                <w:spacing w:val="-4"/>
              </w:rPr>
              <w:t>el</w:t>
            </w:r>
            <w:r>
              <w:rPr>
                <w:color w:val="231F1F"/>
                <w:spacing w:val="-9"/>
              </w:rPr>
              <w:t> </w:t>
            </w:r>
            <w:r>
              <w:rPr>
                <w:color w:val="231F1F"/>
                <w:spacing w:val="-4"/>
              </w:rPr>
              <w:t>periodo</w:t>
            </w:r>
            <w:r>
              <w:rPr>
                <w:color w:val="231F1F"/>
                <w:spacing w:val="-9"/>
              </w:rPr>
              <w:t> </w:t>
            </w:r>
            <w:r>
              <w:rPr>
                <w:color w:val="231F1F"/>
                <w:spacing w:val="-4"/>
              </w:rPr>
              <w:t>expulsivo</w:t>
            </w:r>
            <w:r>
              <w:rPr>
                <w:rFonts w:ascii="Times New Roman" w:hAnsi="Times New Roman"/>
                <w:color w:val="231F1F"/>
              </w:rPr>
              <w:tab/>
            </w:r>
            <w:r>
              <w:rPr>
                <w:color w:val="231F1F"/>
                <w:spacing w:val="-5"/>
              </w:rPr>
              <w:t>112</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6">
            <w:r>
              <w:rPr>
                <w:color w:val="231F1F"/>
                <w:spacing w:val="-4"/>
              </w:rPr>
              <w:t>Pujos</w:t>
            </w:r>
            <w:r>
              <w:rPr>
                <w:color w:val="231F1F"/>
                <w:spacing w:val="-10"/>
              </w:rPr>
              <w:t> </w:t>
            </w:r>
            <w:r>
              <w:rPr>
                <w:color w:val="231F1F"/>
                <w:spacing w:val="-4"/>
              </w:rPr>
              <w:t>maternos</w:t>
            </w:r>
            <w:r>
              <w:rPr>
                <w:color w:val="231F1F"/>
                <w:spacing w:val="-10"/>
              </w:rPr>
              <w:t> </w:t>
            </w:r>
            <w:r>
              <w:rPr>
                <w:color w:val="231F1F"/>
                <w:spacing w:val="-4"/>
              </w:rPr>
              <w:t>y</w:t>
            </w:r>
            <w:r>
              <w:rPr>
                <w:color w:val="231F1F"/>
                <w:spacing w:val="-10"/>
              </w:rPr>
              <w:t> </w:t>
            </w:r>
            <w:r>
              <w:rPr>
                <w:color w:val="231F1F"/>
                <w:spacing w:val="-4"/>
              </w:rPr>
              <w:t>pujos</w:t>
            </w:r>
            <w:r>
              <w:rPr>
                <w:color w:val="231F1F"/>
                <w:spacing w:val="-9"/>
              </w:rPr>
              <w:t> </w:t>
            </w:r>
            <w:r>
              <w:rPr>
                <w:color w:val="231F1F"/>
                <w:spacing w:val="-4"/>
              </w:rPr>
              <w:t>dirigidos</w:t>
            </w:r>
            <w:r>
              <w:rPr>
                <w:rFonts w:ascii="Times New Roman"/>
                <w:color w:val="231F1F"/>
              </w:rPr>
              <w:tab/>
            </w:r>
            <w:r>
              <w:rPr>
                <w:color w:val="231F1F"/>
                <w:spacing w:val="-5"/>
              </w:rPr>
              <w:t>117</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5">
            <w:r>
              <w:rPr>
                <w:color w:val="231F1F"/>
                <w:spacing w:val="-6"/>
              </w:rPr>
              <w:t>Prevención</w:t>
            </w:r>
            <w:r>
              <w:rPr>
                <w:color w:val="231F1F"/>
                <w:spacing w:val="-5"/>
              </w:rPr>
              <w:t> </w:t>
            </w:r>
            <w:r>
              <w:rPr>
                <w:color w:val="231F1F"/>
                <w:spacing w:val="-6"/>
              </w:rPr>
              <w:t>del</w:t>
            </w:r>
            <w:r>
              <w:rPr>
                <w:color w:val="231F1F"/>
                <w:spacing w:val="-3"/>
              </w:rPr>
              <w:t> </w:t>
            </w:r>
            <w:r>
              <w:rPr>
                <w:color w:val="231F1F"/>
                <w:spacing w:val="-6"/>
              </w:rPr>
              <w:t>trauma</w:t>
            </w:r>
            <w:r>
              <w:rPr>
                <w:color w:val="231F1F"/>
                <w:spacing w:val="-3"/>
              </w:rPr>
              <w:t> </w:t>
            </w:r>
            <w:r>
              <w:rPr>
                <w:color w:val="231F1F"/>
                <w:spacing w:val="-6"/>
              </w:rPr>
              <w:t>perineal</w:t>
            </w:r>
            <w:r>
              <w:rPr>
                <w:rFonts w:ascii="Times New Roman" w:hAnsi="Times New Roman"/>
                <w:color w:val="231F1F"/>
              </w:rPr>
              <w:tab/>
            </w:r>
            <w:r>
              <w:rPr>
                <w:color w:val="231F1F"/>
                <w:spacing w:val="-5"/>
              </w:rPr>
              <w:t>124</w:t>
            </w:r>
          </w:hyperlink>
        </w:p>
        <w:p>
          <w:pPr>
            <w:pStyle w:val="TOC3"/>
            <w:numPr>
              <w:ilvl w:val="1"/>
              <w:numId w:val="1"/>
            </w:numPr>
            <w:tabs>
              <w:tab w:pos="1288" w:val="left" w:leader="none"/>
              <w:tab w:pos="8785" w:val="right" w:leader="none"/>
            </w:tabs>
            <w:spacing w:line="240" w:lineRule="auto" w:before="111" w:after="0"/>
            <w:ind w:left="1288" w:right="0" w:hanging="552"/>
            <w:jc w:val="left"/>
          </w:pPr>
          <w:hyperlink w:history="true" w:anchor="_TOC_250034">
            <w:r>
              <w:rPr>
                <w:color w:val="231F1F"/>
                <w:spacing w:val="-2"/>
              </w:rPr>
              <w:t>Episiotomía</w:t>
            </w:r>
            <w:r>
              <w:rPr>
                <w:rFonts w:ascii="Times New Roman" w:hAnsi="Times New Roman"/>
                <w:color w:val="231F1F"/>
              </w:rPr>
              <w:tab/>
            </w:r>
            <w:r>
              <w:rPr>
                <w:color w:val="231F1F"/>
                <w:spacing w:val="-5"/>
              </w:rPr>
              <w:t>129</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3">
            <w:r>
              <w:rPr>
                <w:color w:val="231F1F"/>
                <w:spacing w:val="-4"/>
              </w:rPr>
              <w:t>Método</w:t>
            </w:r>
            <w:r>
              <w:rPr>
                <w:color w:val="231F1F"/>
                <w:spacing w:val="-11"/>
              </w:rPr>
              <w:t> </w:t>
            </w:r>
            <w:r>
              <w:rPr>
                <w:color w:val="231F1F"/>
                <w:spacing w:val="-4"/>
              </w:rPr>
              <w:t>y</w:t>
            </w:r>
            <w:r>
              <w:rPr>
                <w:color w:val="231F1F"/>
                <w:spacing w:val="-11"/>
              </w:rPr>
              <w:t> </w:t>
            </w:r>
            <w:r>
              <w:rPr>
                <w:color w:val="231F1F"/>
                <w:spacing w:val="-4"/>
              </w:rPr>
              <w:t>material</w:t>
            </w:r>
            <w:r>
              <w:rPr>
                <w:color w:val="231F1F"/>
                <w:spacing w:val="-9"/>
              </w:rPr>
              <w:t> </w:t>
            </w:r>
            <w:r>
              <w:rPr>
                <w:color w:val="231F1F"/>
                <w:spacing w:val="-4"/>
              </w:rPr>
              <w:t>de</w:t>
            </w:r>
            <w:r>
              <w:rPr>
                <w:color w:val="231F1F"/>
                <w:spacing w:val="-11"/>
              </w:rPr>
              <w:t> </w:t>
            </w:r>
            <w:r>
              <w:rPr>
                <w:color w:val="231F1F"/>
                <w:spacing w:val="-4"/>
              </w:rPr>
              <w:t>sutura</w:t>
            </w:r>
            <w:r>
              <w:rPr>
                <w:color w:val="231F1F"/>
                <w:spacing w:val="-12"/>
              </w:rPr>
              <w:t> </w:t>
            </w:r>
            <w:r>
              <w:rPr>
                <w:color w:val="231F1F"/>
                <w:spacing w:val="-4"/>
              </w:rPr>
              <w:t>en</w:t>
            </w:r>
            <w:r>
              <w:rPr>
                <w:color w:val="231F1F"/>
                <w:spacing w:val="-10"/>
              </w:rPr>
              <w:t> </w:t>
            </w:r>
            <w:r>
              <w:rPr>
                <w:color w:val="231F1F"/>
                <w:spacing w:val="-4"/>
              </w:rPr>
              <w:t>la</w:t>
            </w:r>
            <w:r>
              <w:rPr>
                <w:color w:val="231F1F"/>
                <w:spacing w:val="-11"/>
              </w:rPr>
              <w:t> </w:t>
            </w:r>
            <w:r>
              <w:rPr>
                <w:color w:val="231F1F"/>
                <w:spacing w:val="-4"/>
              </w:rPr>
              <w:t>reparación</w:t>
            </w:r>
            <w:r>
              <w:rPr>
                <w:color w:val="231F1F"/>
                <w:spacing w:val="-9"/>
              </w:rPr>
              <w:t> </w:t>
            </w:r>
            <w:r>
              <w:rPr>
                <w:color w:val="231F1F"/>
                <w:spacing w:val="-4"/>
              </w:rPr>
              <w:t>perineal</w:t>
            </w:r>
            <w:r>
              <w:rPr>
                <w:rFonts w:ascii="Times New Roman" w:hAnsi="Times New Roman"/>
                <w:color w:val="231F1F"/>
              </w:rPr>
              <w:tab/>
            </w:r>
            <w:r>
              <w:rPr>
                <w:color w:val="231F1F"/>
                <w:spacing w:val="-5"/>
              </w:rPr>
              <w:t>134</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2">
            <w:r>
              <w:rPr>
                <w:color w:val="231F1F"/>
                <w:spacing w:val="-6"/>
              </w:rPr>
              <w:t>Maniobra</w:t>
            </w:r>
            <w:r>
              <w:rPr>
                <w:color w:val="231F1F"/>
                <w:spacing w:val="-1"/>
              </w:rPr>
              <w:t> </w:t>
            </w:r>
            <w:r>
              <w:rPr>
                <w:color w:val="231F1F"/>
                <w:spacing w:val="-6"/>
              </w:rPr>
              <w:t>de</w:t>
            </w:r>
            <w:r>
              <w:rPr>
                <w:color w:val="231F1F"/>
                <w:spacing w:val="1"/>
              </w:rPr>
              <w:t> </w:t>
            </w:r>
            <w:r>
              <w:rPr>
                <w:color w:val="231F1F"/>
                <w:spacing w:val="-6"/>
              </w:rPr>
              <w:t>Kristeller</w:t>
            </w:r>
            <w:r>
              <w:rPr>
                <w:rFonts w:ascii="Times New Roman"/>
                <w:color w:val="231F1F"/>
              </w:rPr>
              <w:tab/>
            </w:r>
            <w:r>
              <w:rPr>
                <w:color w:val="231F1F"/>
                <w:spacing w:val="-5"/>
              </w:rPr>
              <w:t>143</w:t>
            </w:r>
          </w:hyperlink>
        </w:p>
        <w:p>
          <w:pPr>
            <w:pStyle w:val="TOC1"/>
            <w:numPr>
              <w:ilvl w:val="0"/>
              <w:numId w:val="1"/>
            </w:numPr>
            <w:tabs>
              <w:tab w:pos="734" w:val="left" w:leader="none"/>
              <w:tab w:pos="8785" w:val="right" w:leader="none"/>
            </w:tabs>
            <w:spacing w:line="240" w:lineRule="auto" w:before="163" w:after="0"/>
            <w:ind w:left="734" w:right="0" w:hanging="451"/>
            <w:jc w:val="left"/>
          </w:pPr>
          <w:r>
            <w:rPr>
              <w:color w:val="231F1F"/>
            </w:rPr>
            <w:t>Alumbramiento:</w:t>
          </w:r>
          <w:r>
            <w:rPr>
              <w:color w:val="231F1F"/>
              <w:spacing w:val="10"/>
            </w:rPr>
            <w:t> </w:t>
          </w:r>
          <w:r>
            <w:rPr>
              <w:color w:val="231F1F"/>
            </w:rPr>
            <w:t>tercera</w:t>
          </w:r>
          <w:r>
            <w:rPr>
              <w:color w:val="231F1F"/>
              <w:spacing w:val="12"/>
            </w:rPr>
            <w:t> </w:t>
          </w:r>
          <w:r>
            <w:rPr>
              <w:color w:val="231F1F"/>
            </w:rPr>
            <w:t>etapa</w:t>
          </w:r>
          <w:r>
            <w:rPr>
              <w:color w:val="231F1F"/>
              <w:spacing w:val="12"/>
            </w:rPr>
            <w:t> </w:t>
          </w:r>
          <w:r>
            <w:rPr>
              <w:color w:val="231F1F"/>
            </w:rPr>
            <w:t>del</w:t>
          </w:r>
          <w:r>
            <w:rPr>
              <w:color w:val="231F1F"/>
              <w:spacing w:val="13"/>
            </w:rPr>
            <w:t> </w:t>
          </w:r>
          <w:r>
            <w:rPr>
              <w:color w:val="231F1F"/>
              <w:spacing w:val="-2"/>
            </w:rPr>
            <w:t>parto</w:t>
          </w:r>
          <w:r>
            <w:rPr>
              <w:rFonts w:ascii="Times New Roman"/>
              <w:color w:val="231F1F"/>
            </w:rPr>
            <w:tab/>
          </w:r>
          <w:r>
            <w:rPr>
              <w:color w:val="231F1F"/>
              <w:spacing w:val="-5"/>
            </w:rPr>
            <w:t>147</w:t>
          </w:r>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1">
            <w:r>
              <w:rPr>
                <w:color w:val="231F1F"/>
                <w:spacing w:val="-6"/>
              </w:rPr>
              <w:t>Duración</w:t>
            </w:r>
            <w:r>
              <w:rPr>
                <w:color w:val="231F1F"/>
                <w:spacing w:val="-1"/>
              </w:rPr>
              <w:t> </w:t>
            </w:r>
            <w:r>
              <w:rPr>
                <w:color w:val="231F1F"/>
                <w:spacing w:val="-6"/>
              </w:rPr>
              <w:t>del</w:t>
            </w:r>
            <w:r>
              <w:rPr>
                <w:color w:val="231F1F"/>
                <w:spacing w:val="-1"/>
              </w:rPr>
              <w:t> </w:t>
            </w:r>
            <w:r>
              <w:rPr>
                <w:color w:val="231F1F"/>
                <w:spacing w:val="-6"/>
              </w:rPr>
              <w:t>período</w:t>
            </w:r>
            <w:r>
              <w:rPr>
                <w:color w:val="231F1F"/>
                <w:spacing w:val="-5"/>
              </w:rPr>
              <w:t> </w:t>
            </w:r>
            <w:r>
              <w:rPr>
                <w:color w:val="231F1F"/>
                <w:spacing w:val="-6"/>
              </w:rPr>
              <w:t>del</w:t>
            </w:r>
            <w:r>
              <w:rPr>
                <w:color w:val="231F1F"/>
                <w:spacing w:val="1"/>
              </w:rPr>
              <w:t> </w:t>
            </w:r>
            <w:r>
              <w:rPr>
                <w:color w:val="231F1F"/>
                <w:spacing w:val="-6"/>
              </w:rPr>
              <w:t>alumbramiento</w:t>
            </w:r>
            <w:r>
              <w:rPr>
                <w:rFonts w:ascii="Times New Roman" w:hAnsi="Times New Roman"/>
                <w:color w:val="231F1F"/>
              </w:rPr>
              <w:tab/>
            </w:r>
            <w:r>
              <w:rPr>
                <w:color w:val="231F1F"/>
                <w:spacing w:val="-5"/>
              </w:rPr>
              <w:t>147</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30">
            <w:r>
              <w:rPr>
                <w:color w:val="231F1F"/>
                <w:spacing w:val="-4"/>
              </w:rPr>
              <w:t>Manejo</w:t>
            </w:r>
            <w:r>
              <w:rPr>
                <w:color w:val="231F1F"/>
                <w:spacing w:val="-12"/>
              </w:rPr>
              <w:t> </w:t>
            </w:r>
            <w:r>
              <w:rPr>
                <w:color w:val="231F1F"/>
                <w:spacing w:val="-4"/>
              </w:rPr>
              <w:t>del</w:t>
            </w:r>
            <w:r>
              <w:rPr>
                <w:color w:val="231F1F"/>
                <w:spacing w:val="-12"/>
              </w:rPr>
              <w:t> </w:t>
            </w:r>
            <w:r>
              <w:rPr>
                <w:color w:val="231F1F"/>
                <w:spacing w:val="-4"/>
              </w:rPr>
              <w:t>alumbramiento</w:t>
            </w:r>
            <w:r>
              <w:rPr>
                <w:rFonts w:ascii="Times New Roman"/>
                <w:color w:val="231F1F"/>
              </w:rPr>
              <w:tab/>
            </w:r>
            <w:r>
              <w:rPr>
                <w:color w:val="231F1F"/>
                <w:spacing w:val="-5"/>
              </w:rPr>
              <w:t>149</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29">
            <w:r>
              <w:rPr>
                <w:color w:val="231F1F"/>
                <w:spacing w:val="-6"/>
              </w:rPr>
              <w:t>Utilización</w:t>
            </w:r>
            <w:r>
              <w:rPr>
                <w:color w:val="231F1F"/>
                <w:spacing w:val="-10"/>
              </w:rPr>
              <w:t> </w:t>
            </w:r>
            <w:r>
              <w:rPr>
                <w:color w:val="231F1F"/>
                <w:spacing w:val="-6"/>
              </w:rPr>
              <w:t>de</w:t>
            </w:r>
            <w:r>
              <w:rPr>
                <w:color w:val="231F1F"/>
                <w:spacing w:val="-5"/>
              </w:rPr>
              <w:t> </w:t>
            </w:r>
            <w:r>
              <w:rPr>
                <w:color w:val="231F1F"/>
                <w:spacing w:val="-6"/>
              </w:rPr>
              <w:t>uterotónicos</w:t>
            </w:r>
            <w:r>
              <w:rPr>
                <w:rFonts w:ascii="Times New Roman" w:hAnsi="Times New Roman"/>
                <w:color w:val="231F1F"/>
              </w:rPr>
              <w:tab/>
            </w:r>
            <w:r>
              <w:rPr>
                <w:color w:val="231F1F"/>
                <w:spacing w:val="-5"/>
              </w:rPr>
              <w:t>151</w:t>
            </w:r>
          </w:hyperlink>
        </w:p>
        <w:p>
          <w:pPr>
            <w:pStyle w:val="TOC3"/>
            <w:numPr>
              <w:ilvl w:val="1"/>
              <w:numId w:val="1"/>
            </w:numPr>
            <w:tabs>
              <w:tab w:pos="1288" w:val="left" w:leader="none"/>
              <w:tab w:pos="8785" w:val="right" w:leader="none"/>
            </w:tabs>
            <w:spacing w:line="240" w:lineRule="auto" w:before="106" w:after="0"/>
            <w:ind w:left="1288" w:right="0" w:hanging="552"/>
            <w:jc w:val="left"/>
          </w:pPr>
          <w:hyperlink w:history="true" w:anchor="_TOC_250028">
            <w:r>
              <w:rPr>
                <w:color w:val="231F1F"/>
                <w:spacing w:val="-6"/>
              </w:rPr>
              <w:t>Dosis</w:t>
            </w:r>
            <w:r>
              <w:rPr>
                <w:color w:val="231F1F"/>
                <w:spacing w:val="-12"/>
              </w:rPr>
              <w:t> </w:t>
            </w:r>
            <w:r>
              <w:rPr>
                <w:color w:val="231F1F"/>
                <w:spacing w:val="-6"/>
              </w:rPr>
              <w:t>de</w:t>
            </w:r>
            <w:r>
              <w:rPr>
                <w:color w:val="231F1F"/>
                <w:spacing w:val="-7"/>
              </w:rPr>
              <w:t> </w:t>
            </w:r>
            <w:r>
              <w:rPr>
                <w:color w:val="231F1F"/>
                <w:spacing w:val="-6"/>
              </w:rPr>
              <w:t>oxitocina</w:t>
            </w:r>
            <w:r>
              <w:rPr>
                <w:color w:val="231F1F"/>
                <w:spacing w:val="-7"/>
              </w:rPr>
              <w:t> </w:t>
            </w:r>
            <w:r>
              <w:rPr>
                <w:color w:val="231F1F"/>
                <w:spacing w:val="-6"/>
              </w:rPr>
              <w:t>(I.V.) para</w:t>
            </w:r>
            <w:r>
              <w:rPr>
                <w:color w:val="231F1F"/>
                <w:spacing w:val="-9"/>
              </w:rPr>
              <w:t> </w:t>
            </w:r>
            <w:r>
              <w:rPr>
                <w:color w:val="231F1F"/>
                <w:spacing w:val="-6"/>
              </w:rPr>
              <w:t>el</w:t>
            </w:r>
            <w:r>
              <w:rPr>
                <w:color w:val="231F1F"/>
                <w:spacing w:val="-7"/>
              </w:rPr>
              <w:t> </w:t>
            </w:r>
            <w:r>
              <w:rPr>
                <w:color w:val="231F1F"/>
                <w:spacing w:val="-6"/>
              </w:rPr>
              <w:t>alumbramiento</w:t>
            </w:r>
            <w:r>
              <w:rPr>
                <w:color w:val="231F1F"/>
                <w:spacing w:val="-7"/>
              </w:rPr>
              <w:t> </w:t>
            </w:r>
            <w:r>
              <w:rPr>
                <w:color w:val="231F1F"/>
                <w:spacing w:val="-6"/>
              </w:rPr>
              <w:t>dirigido</w:t>
            </w:r>
            <w:r>
              <w:rPr>
                <w:rFonts w:ascii="Times New Roman"/>
                <w:color w:val="231F1F"/>
              </w:rPr>
              <w:tab/>
            </w:r>
            <w:r>
              <w:rPr>
                <w:color w:val="231F1F"/>
                <w:spacing w:val="-5"/>
              </w:rPr>
              <w:t>156</w:t>
            </w:r>
          </w:hyperlink>
        </w:p>
        <w:p>
          <w:pPr>
            <w:pStyle w:val="TOC1"/>
            <w:numPr>
              <w:ilvl w:val="0"/>
              <w:numId w:val="1"/>
            </w:numPr>
            <w:tabs>
              <w:tab w:pos="734" w:val="left" w:leader="none"/>
              <w:tab w:pos="8785" w:val="right" w:leader="none"/>
            </w:tabs>
            <w:spacing w:line="240" w:lineRule="auto" w:before="164" w:after="0"/>
            <w:ind w:left="734" w:right="0" w:hanging="451"/>
            <w:jc w:val="left"/>
          </w:pPr>
          <w:hyperlink w:history="true" w:anchor="_TOC_250027">
            <w:r>
              <w:rPr>
                <w:color w:val="231F1F"/>
              </w:rPr>
              <w:t>Cuidados</w:t>
            </w:r>
            <w:r>
              <w:rPr>
                <w:color w:val="231F1F"/>
                <w:spacing w:val="8"/>
              </w:rPr>
              <w:t> </w:t>
            </w:r>
            <w:r>
              <w:rPr>
                <w:color w:val="231F1F"/>
              </w:rPr>
              <w:t>del</w:t>
            </w:r>
            <w:r>
              <w:rPr>
                <w:color w:val="231F1F"/>
                <w:spacing w:val="11"/>
              </w:rPr>
              <w:t> </w:t>
            </w:r>
            <w:r>
              <w:rPr>
                <w:color w:val="231F1F"/>
              </w:rPr>
              <w:t>recién</w:t>
            </w:r>
            <w:r>
              <w:rPr>
                <w:color w:val="231F1F"/>
                <w:spacing w:val="11"/>
              </w:rPr>
              <w:t> </w:t>
            </w:r>
            <w:r>
              <w:rPr>
                <w:color w:val="231F1F"/>
                <w:spacing w:val="-2"/>
              </w:rPr>
              <w:t>nacido</w:t>
            </w:r>
            <w:r>
              <w:rPr>
                <w:rFonts w:ascii="Times New Roman" w:hAnsi="Times New Roman"/>
                <w:color w:val="231F1F"/>
              </w:rPr>
              <w:tab/>
            </w:r>
            <w:r>
              <w:rPr>
                <w:color w:val="231F1F"/>
                <w:spacing w:val="-5"/>
              </w:rPr>
              <w:t>159</w:t>
            </w:r>
          </w:hyperlink>
        </w:p>
        <w:p>
          <w:pPr>
            <w:pStyle w:val="TOC3"/>
            <w:numPr>
              <w:ilvl w:val="1"/>
              <w:numId w:val="1"/>
            </w:numPr>
            <w:tabs>
              <w:tab w:pos="1294" w:val="left" w:leader="none"/>
              <w:tab w:pos="8794" w:val="right" w:leader="none"/>
            </w:tabs>
            <w:spacing w:line="240" w:lineRule="auto" w:before="240" w:after="0"/>
            <w:ind w:left="1294" w:right="0" w:hanging="554"/>
            <w:jc w:val="left"/>
          </w:pPr>
          <w:hyperlink w:history="true" w:anchor="_TOC_250026">
            <w:r>
              <w:rPr>
                <w:color w:val="231F1F"/>
                <w:spacing w:val="-6"/>
              </w:rPr>
              <w:t>Pinzamiento del</w:t>
            </w:r>
            <w:r>
              <w:rPr>
                <w:color w:val="231F1F"/>
                <w:spacing w:val="3"/>
              </w:rPr>
              <w:t> </w:t>
            </w:r>
            <w:r>
              <w:rPr>
                <w:color w:val="231F1F"/>
                <w:spacing w:val="-6"/>
              </w:rPr>
              <w:t>cordón</w:t>
            </w:r>
            <w:r>
              <w:rPr>
                <w:color w:val="231F1F"/>
                <w:spacing w:val="-2"/>
              </w:rPr>
              <w:t> </w:t>
            </w:r>
            <w:r>
              <w:rPr>
                <w:color w:val="231F1F"/>
                <w:spacing w:val="-6"/>
              </w:rPr>
              <w:t>umbilical</w:t>
            </w:r>
            <w:r>
              <w:rPr>
                <w:rFonts w:ascii="Times New Roman" w:hAnsi="Times New Roman"/>
                <w:color w:val="231F1F"/>
              </w:rPr>
              <w:tab/>
            </w:r>
            <w:r>
              <w:rPr>
                <w:color w:val="231F1F"/>
                <w:spacing w:val="-5"/>
              </w:rPr>
              <w:t>159</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25">
            <w:r>
              <w:rPr>
                <w:color w:val="231F1F"/>
                <w:spacing w:val="-4"/>
              </w:rPr>
              <w:t>Contacto</w:t>
            </w:r>
            <w:r>
              <w:rPr>
                <w:color w:val="231F1F"/>
                <w:spacing w:val="-5"/>
              </w:rPr>
              <w:t> </w:t>
            </w:r>
            <w:r>
              <w:rPr>
                <w:color w:val="231F1F"/>
                <w:spacing w:val="-4"/>
              </w:rPr>
              <w:t>piel</w:t>
            </w:r>
            <w:r>
              <w:rPr>
                <w:color w:val="231F1F"/>
                <w:spacing w:val="-2"/>
              </w:rPr>
              <w:t> </w:t>
            </w:r>
            <w:r>
              <w:rPr>
                <w:color w:val="231F1F"/>
                <w:spacing w:val="-4"/>
              </w:rPr>
              <w:t>con</w:t>
            </w:r>
            <w:r>
              <w:rPr>
                <w:color w:val="231F1F"/>
                <w:spacing w:val="-1"/>
              </w:rPr>
              <w:t> </w:t>
            </w:r>
            <w:r>
              <w:rPr>
                <w:color w:val="231F1F"/>
                <w:spacing w:val="-4"/>
              </w:rPr>
              <w:t>piel</w:t>
            </w:r>
            <w:r>
              <w:rPr>
                <w:rFonts w:ascii="Times New Roman"/>
                <w:color w:val="231F1F"/>
              </w:rPr>
              <w:tab/>
            </w:r>
            <w:r>
              <w:rPr>
                <w:color w:val="231F1F"/>
                <w:spacing w:val="-5"/>
              </w:rPr>
              <w:t>163</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24">
            <w:r>
              <w:rPr>
                <w:color w:val="231F1F"/>
                <w:spacing w:val="-6"/>
              </w:rPr>
              <w:t>Lactancia</w:t>
            </w:r>
            <w:r>
              <w:rPr>
                <w:color w:val="231F1F"/>
                <w:spacing w:val="1"/>
              </w:rPr>
              <w:t> </w:t>
            </w:r>
            <w:r>
              <w:rPr>
                <w:color w:val="231F1F"/>
                <w:spacing w:val="-2"/>
              </w:rPr>
              <w:t>materna</w:t>
            </w:r>
            <w:r>
              <w:rPr>
                <w:rFonts w:ascii="Times New Roman"/>
                <w:color w:val="231F1F"/>
              </w:rPr>
              <w:tab/>
            </w:r>
            <w:r>
              <w:rPr>
                <w:color w:val="231F1F"/>
                <w:spacing w:val="-5"/>
              </w:rPr>
              <w:t>165</w:t>
            </w:r>
          </w:hyperlink>
        </w:p>
        <w:p>
          <w:pPr>
            <w:pStyle w:val="TOC3"/>
            <w:numPr>
              <w:ilvl w:val="1"/>
              <w:numId w:val="1"/>
            </w:numPr>
            <w:tabs>
              <w:tab w:pos="1294" w:val="left" w:leader="none"/>
              <w:tab w:pos="8794" w:val="right" w:leader="none"/>
            </w:tabs>
            <w:spacing w:line="240" w:lineRule="auto" w:before="106" w:after="227"/>
            <w:ind w:left="1294" w:right="0" w:hanging="554"/>
            <w:jc w:val="left"/>
          </w:pPr>
          <w:hyperlink w:history="true" w:anchor="_TOC_250023">
            <w:r>
              <w:rPr>
                <w:color w:val="231F1F"/>
                <w:spacing w:val="-4"/>
              </w:rPr>
              <w:t>Baño</w:t>
            </w:r>
            <w:r>
              <w:rPr>
                <w:color w:val="231F1F"/>
                <w:spacing w:val="-10"/>
              </w:rPr>
              <w:t> </w:t>
            </w:r>
            <w:r>
              <w:rPr>
                <w:color w:val="231F1F"/>
                <w:spacing w:val="-4"/>
              </w:rPr>
              <w:t>del</w:t>
            </w:r>
            <w:r>
              <w:rPr>
                <w:color w:val="231F1F"/>
                <w:spacing w:val="-8"/>
              </w:rPr>
              <w:t> </w:t>
            </w:r>
            <w:r>
              <w:rPr>
                <w:color w:val="231F1F"/>
                <w:spacing w:val="-5"/>
              </w:rPr>
              <w:t>RN</w:t>
            </w:r>
            <w:r>
              <w:rPr>
                <w:rFonts w:ascii="Times New Roman" w:hAnsi="Times New Roman"/>
                <w:color w:val="231F1F"/>
              </w:rPr>
              <w:tab/>
            </w:r>
            <w:r>
              <w:rPr>
                <w:color w:val="231F1F"/>
                <w:spacing w:val="-5"/>
              </w:rPr>
              <w:t>168</w:t>
            </w:r>
          </w:hyperlink>
        </w:p>
        <w:p>
          <w:pPr>
            <w:pStyle w:val="TOC3"/>
            <w:numPr>
              <w:ilvl w:val="1"/>
              <w:numId w:val="1"/>
            </w:numPr>
            <w:tabs>
              <w:tab w:pos="1294" w:val="left" w:leader="none"/>
              <w:tab w:pos="8794" w:val="right" w:leader="none"/>
            </w:tabs>
            <w:spacing w:line="240" w:lineRule="auto" w:before="79" w:after="0"/>
            <w:ind w:left="1294" w:right="0" w:hanging="554"/>
            <w:jc w:val="left"/>
          </w:pPr>
          <w:hyperlink w:history="true" w:anchor="_TOC_250022">
            <w:r>
              <w:rPr>
                <w:color w:val="231F1F"/>
                <w:spacing w:val="-6"/>
              </w:rPr>
              <w:t>Aspiración</w:t>
            </w:r>
            <w:r>
              <w:rPr>
                <w:color w:val="231F1F"/>
                <w:spacing w:val="-8"/>
              </w:rPr>
              <w:t> </w:t>
            </w:r>
            <w:r>
              <w:rPr>
                <w:color w:val="231F1F"/>
                <w:spacing w:val="-6"/>
              </w:rPr>
              <w:t>nasofaríngea</w:t>
            </w:r>
            <w:r>
              <w:rPr>
                <w:color w:val="231F1F"/>
                <w:spacing w:val="-5"/>
              </w:rPr>
              <w:t> </w:t>
            </w:r>
            <w:r>
              <w:rPr>
                <w:color w:val="231F1F"/>
                <w:spacing w:val="-6"/>
              </w:rPr>
              <w:t>y</w:t>
            </w:r>
            <w:r>
              <w:rPr>
                <w:color w:val="231F1F"/>
                <w:spacing w:val="-2"/>
              </w:rPr>
              <w:t> </w:t>
            </w:r>
            <w:r>
              <w:rPr>
                <w:color w:val="231F1F"/>
                <w:spacing w:val="-6"/>
              </w:rPr>
              <w:t>sondaje</w:t>
            </w:r>
            <w:r>
              <w:rPr>
                <w:color w:val="231F1F"/>
                <w:spacing w:val="-4"/>
              </w:rPr>
              <w:t> </w:t>
            </w:r>
            <w:r>
              <w:rPr>
                <w:color w:val="231F1F"/>
                <w:spacing w:val="-6"/>
              </w:rPr>
              <w:t>gástrico-rectal</w:t>
            </w:r>
            <w:r>
              <w:rPr>
                <w:color w:val="231F1F"/>
                <w:spacing w:val="-2"/>
              </w:rPr>
              <w:t> </w:t>
            </w:r>
            <w:r>
              <w:rPr>
                <w:color w:val="231F1F"/>
                <w:spacing w:val="-6"/>
              </w:rPr>
              <w:t>en</w:t>
            </w:r>
            <w:r>
              <w:rPr>
                <w:color w:val="231F1F"/>
                <w:spacing w:val="-1"/>
              </w:rPr>
              <w:t> </w:t>
            </w:r>
            <w:r>
              <w:rPr>
                <w:color w:val="231F1F"/>
                <w:spacing w:val="-6"/>
              </w:rPr>
              <w:t>el</w:t>
            </w:r>
            <w:r>
              <w:rPr>
                <w:color w:val="231F1F"/>
                <w:spacing w:val="-3"/>
              </w:rPr>
              <w:t> </w:t>
            </w:r>
            <w:r>
              <w:rPr>
                <w:color w:val="231F1F"/>
                <w:spacing w:val="-6"/>
              </w:rPr>
              <w:t>período</w:t>
            </w:r>
            <w:r>
              <w:rPr>
                <w:color w:val="231F1F"/>
                <w:spacing w:val="-3"/>
              </w:rPr>
              <w:t> </w:t>
            </w:r>
            <w:r>
              <w:rPr>
                <w:color w:val="231F1F"/>
                <w:spacing w:val="-6"/>
              </w:rPr>
              <w:t>neonatal</w:t>
            </w:r>
            <w:r>
              <w:rPr>
                <w:rFonts w:ascii="Times New Roman" w:hAnsi="Times New Roman"/>
                <w:color w:val="231F1F"/>
              </w:rPr>
              <w:tab/>
            </w:r>
            <w:r>
              <w:rPr>
                <w:color w:val="231F1F"/>
                <w:spacing w:val="-5"/>
              </w:rPr>
              <w:t>169</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21">
            <w:r>
              <w:rPr>
                <w:color w:val="231F1F"/>
                <w:w w:val="85"/>
              </w:rPr>
              <w:t>Profilaxis</w:t>
            </w:r>
            <w:r>
              <w:rPr>
                <w:color w:val="231F1F"/>
                <w:spacing w:val="43"/>
              </w:rPr>
              <w:t> </w:t>
            </w:r>
            <w:r>
              <w:rPr>
                <w:color w:val="231F1F"/>
                <w:spacing w:val="-2"/>
              </w:rPr>
              <w:t>oftálmica</w:t>
            </w:r>
            <w:r>
              <w:rPr>
                <w:rFonts w:ascii="Times New Roman" w:hAnsi="Times New Roman"/>
                <w:color w:val="231F1F"/>
              </w:rPr>
              <w:tab/>
            </w:r>
            <w:r>
              <w:rPr>
                <w:color w:val="231F1F"/>
                <w:spacing w:val="-5"/>
              </w:rPr>
              <w:t>171</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20">
            <w:r>
              <w:rPr>
                <w:color w:val="231F1F"/>
                <w:spacing w:val="-6"/>
              </w:rPr>
              <w:t>Profilaxis de</w:t>
            </w:r>
            <w:r>
              <w:rPr>
                <w:color w:val="231F1F"/>
                <w:spacing w:val="-5"/>
              </w:rPr>
              <w:t> </w:t>
            </w:r>
            <w:r>
              <w:rPr>
                <w:color w:val="231F1F"/>
                <w:spacing w:val="-6"/>
              </w:rPr>
              <w:t>la</w:t>
            </w:r>
            <w:r>
              <w:rPr>
                <w:color w:val="231F1F"/>
                <w:spacing w:val="-5"/>
              </w:rPr>
              <w:t> </w:t>
            </w:r>
            <w:r>
              <w:rPr>
                <w:color w:val="231F1F"/>
                <w:spacing w:val="-6"/>
              </w:rPr>
              <w:t>enfermedad hemorrágica con</w:t>
            </w:r>
            <w:r>
              <w:rPr>
                <w:color w:val="231F1F"/>
                <w:spacing w:val="-5"/>
              </w:rPr>
              <w:t> </w:t>
            </w:r>
            <w:r>
              <w:rPr>
                <w:color w:val="231F1F"/>
                <w:spacing w:val="-6"/>
              </w:rPr>
              <w:t>vitamina </w:t>
            </w:r>
            <w:r>
              <w:rPr>
                <w:color w:val="231F1F"/>
                <w:spacing w:val="-10"/>
              </w:rPr>
              <w:t>K</w:t>
            </w:r>
            <w:r>
              <w:rPr>
                <w:rFonts w:ascii="Times New Roman" w:hAnsi="Times New Roman"/>
                <w:color w:val="231F1F"/>
              </w:rPr>
              <w:tab/>
            </w:r>
            <w:r>
              <w:rPr>
                <w:color w:val="231F1F"/>
                <w:spacing w:val="-5"/>
              </w:rPr>
              <w:t>176</w:t>
            </w:r>
          </w:hyperlink>
        </w:p>
        <w:p>
          <w:pPr>
            <w:pStyle w:val="TOC1"/>
            <w:numPr>
              <w:ilvl w:val="0"/>
              <w:numId w:val="1"/>
            </w:numPr>
            <w:tabs>
              <w:tab w:pos="739" w:val="left" w:leader="none"/>
              <w:tab w:pos="8794" w:val="right" w:leader="none"/>
            </w:tabs>
            <w:spacing w:line="240" w:lineRule="auto" w:before="158" w:after="0"/>
            <w:ind w:left="739" w:right="0" w:hanging="452"/>
            <w:jc w:val="left"/>
          </w:pPr>
          <w:hyperlink w:history="true" w:anchor="_TOC_250019">
            <w:r>
              <w:rPr>
                <w:color w:val="231F1F"/>
              </w:rPr>
              <w:t>Alivio</w:t>
            </w:r>
            <w:r>
              <w:rPr>
                <w:color w:val="231F1F"/>
                <w:spacing w:val="19"/>
              </w:rPr>
              <w:t> </w:t>
            </w:r>
            <w:r>
              <w:rPr>
                <w:color w:val="231F1F"/>
              </w:rPr>
              <w:t>del</w:t>
            </w:r>
            <w:r>
              <w:rPr>
                <w:color w:val="231F1F"/>
                <w:spacing w:val="8"/>
              </w:rPr>
              <w:t> </w:t>
            </w:r>
            <w:r>
              <w:rPr>
                <w:color w:val="231F1F"/>
              </w:rPr>
              <w:t>dolor</w:t>
            </w:r>
            <w:r>
              <w:rPr>
                <w:color w:val="231F1F"/>
                <w:spacing w:val="9"/>
              </w:rPr>
              <w:t> </w:t>
            </w:r>
            <w:r>
              <w:rPr>
                <w:color w:val="231F1F"/>
              </w:rPr>
              <w:t>durante</w:t>
            </w:r>
            <w:r>
              <w:rPr>
                <w:color w:val="231F1F"/>
                <w:spacing w:val="4"/>
              </w:rPr>
              <w:t> </w:t>
            </w:r>
            <w:r>
              <w:rPr>
                <w:color w:val="231F1F"/>
              </w:rPr>
              <w:t>el</w:t>
            </w:r>
            <w:r>
              <w:rPr>
                <w:color w:val="231F1F"/>
                <w:spacing w:val="10"/>
              </w:rPr>
              <w:t> </w:t>
            </w:r>
            <w:r>
              <w:rPr>
                <w:color w:val="231F1F"/>
                <w:spacing w:val="-4"/>
              </w:rPr>
              <w:t>parto</w:t>
            </w:r>
            <w:r>
              <w:rPr>
                <w:rFonts w:ascii="Times New Roman"/>
                <w:color w:val="231F1F"/>
              </w:rPr>
              <w:tab/>
            </w:r>
            <w:r>
              <w:rPr>
                <w:color w:val="231F1F"/>
                <w:spacing w:val="-5"/>
              </w:rPr>
              <w:t>183</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18">
            <w:r>
              <w:rPr>
                <w:color w:val="231F1F"/>
                <w:spacing w:val="-6"/>
              </w:rPr>
              <w:t>Dolor,</w:t>
            </w:r>
            <w:r>
              <w:rPr>
                <w:color w:val="231F1F"/>
                <w:spacing w:val="-10"/>
              </w:rPr>
              <w:t> </w:t>
            </w:r>
            <w:r>
              <w:rPr>
                <w:color w:val="231F1F"/>
                <w:spacing w:val="-6"/>
              </w:rPr>
              <w:t>analgesia y</w:t>
            </w:r>
            <w:r>
              <w:rPr>
                <w:color w:val="231F1F"/>
                <w:spacing w:val="-5"/>
              </w:rPr>
              <w:t> </w:t>
            </w:r>
            <w:r>
              <w:rPr>
                <w:color w:val="231F1F"/>
                <w:spacing w:val="-6"/>
              </w:rPr>
              <w:t>satisfacción</w:t>
            </w:r>
            <w:r>
              <w:rPr>
                <w:color w:val="231F1F"/>
                <w:spacing w:val="-7"/>
              </w:rPr>
              <w:t> </w:t>
            </w:r>
            <w:r>
              <w:rPr>
                <w:color w:val="231F1F"/>
                <w:spacing w:val="-6"/>
              </w:rPr>
              <w:t>materna</w:t>
            </w:r>
            <w:r>
              <w:rPr>
                <w:rFonts w:ascii="Times New Roman" w:hAnsi="Times New Roman"/>
                <w:color w:val="231F1F"/>
              </w:rPr>
              <w:tab/>
            </w:r>
            <w:r>
              <w:rPr>
                <w:color w:val="231F1F"/>
                <w:spacing w:val="-5"/>
              </w:rPr>
              <w:t>184</w:t>
            </w:r>
          </w:hyperlink>
        </w:p>
        <w:p>
          <w:pPr>
            <w:pStyle w:val="TOC3"/>
            <w:numPr>
              <w:ilvl w:val="1"/>
              <w:numId w:val="1"/>
            </w:numPr>
            <w:tabs>
              <w:tab w:pos="1294" w:val="left" w:leader="none"/>
              <w:tab w:pos="8794" w:val="right" w:leader="none"/>
            </w:tabs>
            <w:spacing w:line="240" w:lineRule="auto" w:before="111" w:after="0"/>
            <w:ind w:left="1294" w:right="0" w:hanging="554"/>
            <w:jc w:val="left"/>
          </w:pPr>
          <w:hyperlink w:history="true" w:anchor="_TOC_250017">
            <w:r>
              <w:rPr>
                <w:color w:val="231F1F"/>
                <w:spacing w:val="-4"/>
              </w:rPr>
              <w:t>Métodos</w:t>
            </w:r>
            <w:r>
              <w:rPr>
                <w:color w:val="231F1F"/>
                <w:spacing w:val="-10"/>
              </w:rPr>
              <w:t> </w:t>
            </w:r>
            <w:r>
              <w:rPr>
                <w:color w:val="231F1F"/>
                <w:spacing w:val="-4"/>
              </w:rPr>
              <w:t>no</w:t>
            </w:r>
            <w:r>
              <w:rPr>
                <w:color w:val="231F1F"/>
                <w:spacing w:val="-10"/>
              </w:rPr>
              <w:t> </w:t>
            </w:r>
            <w:r>
              <w:rPr>
                <w:color w:val="231F1F"/>
                <w:spacing w:val="-4"/>
              </w:rPr>
              <w:t>farmacológicos</w:t>
            </w:r>
            <w:r>
              <w:rPr>
                <w:color w:val="231F1F"/>
                <w:spacing w:val="-7"/>
              </w:rPr>
              <w:t> </w:t>
            </w:r>
            <w:r>
              <w:rPr>
                <w:color w:val="231F1F"/>
                <w:spacing w:val="-4"/>
              </w:rPr>
              <w:t>de</w:t>
            </w:r>
            <w:r>
              <w:rPr>
                <w:color w:val="231F1F"/>
                <w:spacing w:val="-8"/>
              </w:rPr>
              <w:t> </w:t>
            </w:r>
            <w:r>
              <w:rPr>
                <w:color w:val="231F1F"/>
                <w:spacing w:val="-4"/>
              </w:rPr>
              <w:t>alivio</w:t>
            </w:r>
            <w:r>
              <w:rPr>
                <w:color w:val="231F1F"/>
                <w:spacing w:val="-9"/>
              </w:rPr>
              <w:t> </w:t>
            </w:r>
            <w:r>
              <w:rPr>
                <w:color w:val="231F1F"/>
                <w:spacing w:val="-4"/>
              </w:rPr>
              <w:t>del</w:t>
            </w:r>
            <w:r>
              <w:rPr>
                <w:color w:val="231F1F"/>
                <w:spacing w:val="-7"/>
              </w:rPr>
              <w:t> </w:t>
            </w:r>
            <w:r>
              <w:rPr>
                <w:color w:val="231F1F"/>
                <w:spacing w:val="-4"/>
              </w:rPr>
              <w:t>dolor</w:t>
            </w:r>
            <w:r>
              <w:rPr>
                <w:rFonts w:ascii="Times New Roman" w:hAnsi="Times New Roman"/>
                <w:color w:val="231F1F"/>
              </w:rPr>
              <w:tab/>
            </w:r>
            <w:r>
              <w:rPr>
                <w:color w:val="231F1F"/>
                <w:spacing w:val="-5"/>
              </w:rPr>
              <w:t>188</w:t>
            </w:r>
          </w:hyperlink>
        </w:p>
        <w:p>
          <w:pPr>
            <w:pStyle w:val="TOC3"/>
            <w:numPr>
              <w:ilvl w:val="1"/>
              <w:numId w:val="1"/>
            </w:numPr>
            <w:tabs>
              <w:tab w:pos="1294" w:val="left" w:leader="none"/>
              <w:tab w:pos="8794" w:val="right" w:leader="none"/>
            </w:tabs>
            <w:spacing w:line="240" w:lineRule="auto" w:before="106" w:after="0"/>
            <w:ind w:left="1294" w:right="0" w:hanging="554"/>
            <w:jc w:val="left"/>
          </w:pPr>
          <w:hyperlink w:history="true" w:anchor="_TOC_250016">
            <w:r>
              <w:rPr>
                <w:color w:val="231F1F"/>
                <w:spacing w:val="-4"/>
              </w:rPr>
              <w:t>Métodos</w:t>
            </w:r>
            <w:r>
              <w:rPr>
                <w:color w:val="231F1F"/>
                <w:spacing w:val="-10"/>
              </w:rPr>
              <w:t> </w:t>
            </w:r>
            <w:r>
              <w:rPr>
                <w:color w:val="231F1F"/>
                <w:spacing w:val="-4"/>
              </w:rPr>
              <w:t>farmacológicos</w:t>
            </w:r>
            <w:r>
              <w:rPr>
                <w:color w:val="231F1F"/>
                <w:spacing w:val="-10"/>
              </w:rPr>
              <w:t> </w:t>
            </w:r>
            <w:r>
              <w:rPr>
                <w:color w:val="231F1F"/>
                <w:spacing w:val="-4"/>
              </w:rPr>
              <w:t>de</w:t>
            </w:r>
            <w:r>
              <w:rPr>
                <w:color w:val="231F1F"/>
                <w:spacing w:val="-10"/>
              </w:rPr>
              <w:t> </w:t>
            </w:r>
            <w:r>
              <w:rPr>
                <w:color w:val="231F1F"/>
                <w:spacing w:val="-4"/>
              </w:rPr>
              <w:t>alivio</w:t>
            </w:r>
            <w:r>
              <w:rPr>
                <w:color w:val="231F1F"/>
                <w:spacing w:val="-10"/>
              </w:rPr>
              <w:t> </w:t>
            </w:r>
            <w:r>
              <w:rPr>
                <w:color w:val="231F1F"/>
                <w:spacing w:val="-4"/>
              </w:rPr>
              <w:t>del</w:t>
            </w:r>
            <w:r>
              <w:rPr>
                <w:color w:val="231F1F"/>
                <w:spacing w:val="-8"/>
              </w:rPr>
              <w:t> </w:t>
            </w:r>
            <w:r>
              <w:rPr>
                <w:color w:val="231F1F"/>
                <w:spacing w:val="-4"/>
              </w:rPr>
              <w:t>dolor</w:t>
            </w:r>
            <w:r>
              <w:rPr>
                <w:rFonts w:ascii="Times New Roman" w:hAnsi="Times New Roman"/>
                <w:color w:val="231F1F"/>
              </w:rPr>
              <w:tab/>
            </w:r>
            <w:r>
              <w:rPr>
                <w:color w:val="231F1F"/>
                <w:spacing w:val="-5"/>
              </w:rPr>
              <w:t>200</w:t>
            </w:r>
          </w:hyperlink>
        </w:p>
        <w:p>
          <w:pPr>
            <w:pStyle w:val="TOC3"/>
            <w:numPr>
              <w:ilvl w:val="1"/>
              <w:numId w:val="1"/>
            </w:numPr>
            <w:tabs>
              <w:tab w:pos="1294" w:val="left" w:leader="none"/>
              <w:tab w:pos="8794" w:val="right" w:leader="none"/>
            </w:tabs>
            <w:spacing w:line="240" w:lineRule="auto" w:before="82" w:after="0"/>
            <w:ind w:left="1294" w:right="0" w:hanging="554"/>
            <w:jc w:val="left"/>
          </w:pPr>
          <w:hyperlink w:history="true" w:anchor="_TOC_250015">
            <w:r>
              <w:rPr>
                <w:color w:val="231F1F"/>
                <w:spacing w:val="-8"/>
              </w:rPr>
              <w:t>Analgesia</w:t>
            </w:r>
            <w:r>
              <w:rPr>
                <w:color w:val="231F1F"/>
                <w:spacing w:val="-1"/>
              </w:rPr>
              <w:t> </w:t>
            </w:r>
            <w:r>
              <w:rPr>
                <w:color w:val="231F1F"/>
                <w:spacing w:val="-2"/>
              </w:rPr>
              <w:t>Neuroaxial</w:t>
            </w:r>
            <w:r>
              <w:rPr>
                <w:rFonts w:ascii="Times New Roman"/>
                <w:color w:val="231F1F"/>
              </w:rPr>
              <w:tab/>
            </w:r>
            <w:r>
              <w:rPr>
                <w:color w:val="231F1F"/>
                <w:spacing w:val="-5"/>
              </w:rPr>
              <w:t>208</w:t>
            </w:r>
          </w:hyperlink>
        </w:p>
        <w:p>
          <w:pPr>
            <w:pStyle w:val="TOC1"/>
            <w:numPr>
              <w:ilvl w:val="0"/>
              <w:numId w:val="1"/>
            </w:numPr>
            <w:tabs>
              <w:tab w:pos="729" w:val="left" w:leader="none"/>
              <w:tab w:pos="8787" w:val="right" w:leader="none"/>
            </w:tabs>
            <w:spacing w:line="240" w:lineRule="auto" w:before="217" w:after="0"/>
            <w:ind w:left="729" w:right="0" w:hanging="448"/>
            <w:jc w:val="left"/>
          </w:pPr>
          <w:hyperlink w:history="true" w:anchor="_TOC_250014">
            <w:r>
              <w:rPr>
                <w:color w:val="231F1F"/>
              </w:rPr>
              <w:t>Monitorización</w:t>
            </w:r>
            <w:r>
              <w:rPr>
                <w:color w:val="231F1F"/>
                <w:spacing w:val="45"/>
              </w:rPr>
              <w:t> </w:t>
            </w:r>
            <w:r>
              <w:rPr>
                <w:color w:val="231F1F"/>
                <w:spacing w:val="-4"/>
              </w:rPr>
              <w:t>fetal</w:t>
            </w:r>
            <w:r>
              <w:rPr>
                <w:rFonts w:ascii="Times New Roman" w:hAnsi="Times New Roman"/>
                <w:color w:val="231F1F"/>
              </w:rPr>
              <w:tab/>
            </w:r>
            <w:r>
              <w:rPr>
                <w:color w:val="231F1F"/>
                <w:spacing w:val="-5"/>
              </w:rPr>
              <w:t>241</w:t>
            </w:r>
          </w:hyperlink>
        </w:p>
        <w:p>
          <w:pPr>
            <w:pStyle w:val="TOC1"/>
            <w:numPr>
              <w:ilvl w:val="0"/>
              <w:numId w:val="1"/>
            </w:numPr>
            <w:tabs>
              <w:tab w:pos="729" w:val="left" w:leader="none"/>
              <w:tab w:pos="8785" w:val="right" w:leader="none"/>
            </w:tabs>
            <w:spacing w:line="240" w:lineRule="auto" w:before="163" w:after="0"/>
            <w:ind w:left="729" w:right="0" w:hanging="448"/>
            <w:jc w:val="left"/>
          </w:pPr>
          <w:hyperlink w:history="true" w:anchor="_TOC_250013">
            <w:r>
              <w:rPr>
                <w:color w:val="231F1F"/>
              </w:rPr>
              <w:t>Difusión</w:t>
            </w:r>
            <w:r>
              <w:rPr>
                <w:color w:val="231F1F"/>
                <w:spacing w:val="3"/>
              </w:rPr>
              <w:t> </w:t>
            </w:r>
            <w:r>
              <w:rPr>
                <w:color w:val="231F1F"/>
              </w:rPr>
              <w:t>e</w:t>
            </w:r>
            <w:r>
              <w:rPr>
                <w:color w:val="231F1F"/>
                <w:spacing w:val="4"/>
              </w:rPr>
              <w:t> </w:t>
            </w:r>
            <w:r>
              <w:rPr>
                <w:color w:val="231F1F"/>
                <w:spacing w:val="-2"/>
              </w:rPr>
              <w:t>implementación</w:t>
            </w:r>
            <w:r>
              <w:rPr>
                <w:rFonts w:ascii="Times New Roman" w:hAnsi="Times New Roman"/>
                <w:color w:val="231F1F"/>
              </w:rPr>
              <w:tab/>
            </w:r>
            <w:r>
              <w:rPr>
                <w:color w:val="231F1F"/>
                <w:spacing w:val="-5"/>
              </w:rPr>
              <w:t>255</w:t>
            </w:r>
          </w:hyperlink>
        </w:p>
        <w:p>
          <w:pPr>
            <w:pStyle w:val="TOC1"/>
            <w:numPr>
              <w:ilvl w:val="0"/>
              <w:numId w:val="1"/>
            </w:numPr>
            <w:tabs>
              <w:tab w:pos="729" w:val="left" w:leader="none"/>
              <w:tab w:pos="8785" w:val="right" w:leader="none"/>
            </w:tabs>
            <w:spacing w:line="240" w:lineRule="auto" w:before="164" w:after="0"/>
            <w:ind w:left="729" w:right="0" w:hanging="448"/>
            <w:jc w:val="left"/>
          </w:pPr>
          <w:hyperlink w:history="true" w:anchor="_TOC_250012">
            <w:r>
              <w:rPr>
                <w:color w:val="231F1F"/>
              </w:rPr>
              <w:t>Líneas</w:t>
            </w:r>
            <w:r>
              <w:rPr>
                <w:color w:val="231F1F"/>
                <w:spacing w:val="8"/>
              </w:rPr>
              <w:t> </w:t>
            </w:r>
            <w:r>
              <w:rPr>
                <w:color w:val="231F1F"/>
              </w:rPr>
              <w:t>de</w:t>
            </w:r>
            <w:r>
              <w:rPr>
                <w:color w:val="231F1F"/>
                <w:spacing w:val="8"/>
              </w:rPr>
              <w:t> </w:t>
            </w:r>
            <w:r>
              <w:rPr>
                <w:color w:val="231F1F"/>
              </w:rPr>
              <w:t>investigación</w:t>
            </w:r>
            <w:r>
              <w:rPr>
                <w:color w:val="231F1F"/>
                <w:spacing w:val="8"/>
              </w:rPr>
              <w:t> </w:t>
            </w:r>
            <w:r>
              <w:rPr>
                <w:color w:val="231F1F"/>
                <w:spacing w:val="-2"/>
              </w:rPr>
              <w:t>futura</w:t>
            </w:r>
            <w:r>
              <w:rPr>
                <w:rFonts w:ascii="Times New Roman" w:hAnsi="Times New Roman"/>
                <w:color w:val="231F1F"/>
              </w:rPr>
              <w:tab/>
            </w:r>
            <w:r>
              <w:rPr>
                <w:color w:val="231F1F"/>
                <w:spacing w:val="-5"/>
              </w:rPr>
              <w:t>263</w:t>
            </w:r>
          </w:hyperlink>
        </w:p>
        <w:p>
          <w:pPr>
            <w:pStyle w:val="TOC1"/>
            <w:tabs>
              <w:tab w:pos="8785" w:val="right" w:leader="none"/>
            </w:tabs>
            <w:spacing w:before="164"/>
            <w:ind w:left="283" w:firstLine="0"/>
          </w:pPr>
          <w:hyperlink w:history="true" w:anchor="_TOC_250011">
            <w:r>
              <w:rPr>
                <w:color w:val="231F1F"/>
                <w:spacing w:val="-2"/>
              </w:rPr>
              <w:t>Anexos</w:t>
            </w:r>
            <w:r>
              <w:rPr>
                <w:rFonts w:ascii="Times New Roman"/>
                <w:color w:val="231F1F"/>
              </w:rPr>
              <w:tab/>
            </w:r>
            <w:r>
              <w:rPr>
                <w:color w:val="231F1F"/>
                <w:spacing w:val="-5"/>
              </w:rPr>
              <w:t>267</w:t>
            </w:r>
          </w:hyperlink>
        </w:p>
        <w:p>
          <w:pPr>
            <w:pStyle w:val="TOC2"/>
            <w:tabs>
              <w:tab w:pos="8785" w:val="right" w:leader="none"/>
            </w:tabs>
          </w:pPr>
          <w:hyperlink w:history="true" w:anchor="_TOC_250010">
            <w:r>
              <w:rPr>
                <w:color w:val="231F1F"/>
              </w:rPr>
              <w:t>Anexo</w:t>
            </w:r>
            <w:r>
              <w:rPr>
                <w:color w:val="231F1F"/>
                <w:spacing w:val="73"/>
              </w:rPr>
              <w:t> </w:t>
            </w:r>
            <w:r>
              <w:rPr>
                <w:color w:val="231F1F"/>
              </w:rPr>
              <w:t>1.</w:t>
            </w:r>
            <w:r>
              <w:rPr>
                <w:color w:val="231F1F"/>
                <w:spacing w:val="26"/>
              </w:rPr>
              <w:t> </w:t>
            </w:r>
            <w:r>
              <w:rPr>
                <w:color w:val="231F1F"/>
                <w:spacing w:val="-2"/>
              </w:rPr>
              <w:t>Abreviaturas</w:t>
            </w:r>
            <w:r>
              <w:rPr>
                <w:rFonts w:ascii="Times New Roman"/>
                <w:color w:val="231F1F"/>
              </w:rPr>
              <w:tab/>
            </w:r>
            <w:r>
              <w:rPr>
                <w:color w:val="231F1F"/>
                <w:spacing w:val="-5"/>
              </w:rPr>
              <w:t>267</w:t>
            </w:r>
          </w:hyperlink>
        </w:p>
        <w:p>
          <w:pPr>
            <w:pStyle w:val="TOC2"/>
            <w:tabs>
              <w:tab w:pos="8785" w:val="right" w:leader="none"/>
            </w:tabs>
          </w:pPr>
          <w:hyperlink w:history="true" w:anchor="_TOC_250009">
            <w:r>
              <w:rPr>
                <w:color w:val="231F1F"/>
              </w:rPr>
              <w:t>Anexo</w:t>
            </w:r>
            <w:r>
              <w:rPr>
                <w:color w:val="231F1F"/>
                <w:spacing w:val="73"/>
              </w:rPr>
              <w:t> </w:t>
            </w:r>
            <w:r>
              <w:rPr>
                <w:color w:val="231F1F"/>
              </w:rPr>
              <w:t>2.</w:t>
            </w:r>
            <w:r>
              <w:rPr>
                <w:color w:val="231F1F"/>
                <w:spacing w:val="26"/>
              </w:rPr>
              <w:t> </w:t>
            </w:r>
            <w:r>
              <w:rPr>
                <w:color w:val="231F1F"/>
                <w:spacing w:val="-2"/>
              </w:rPr>
              <w:t>Glosario</w:t>
            </w:r>
            <w:r>
              <w:rPr>
                <w:rFonts w:ascii="Times New Roman"/>
                <w:color w:val="231F1F"/>
              </w:rPr>
              <w:tab/>
            </w:r>
            <w:r>
              <w:rPr>
                <w:color w:val="231F1F"/>
                <w:spacing w:val="-5"/>
              </w:rPr>
              <w:t>269</w:t>
            </w:r>
          </w:hyperlink>
        </w:p>
        <w:p>
          <w:pPr>
            <w:pStyle w:val="TOC2"/>
            <w:tabs>
              <w:tab w:pos="8785" w:val="right" w:leader="none"/>
            </w:tabs>
          </w:pPr>
          <w:hyperlink w:history="true" w:anchor="_TOC_250008">
            <w:r>
              <w:rPr>
                <w:color w:val="231F1F"/>
                <w:spacing w:val="-2"/>
              </w:rPr>
              <w:t>Anexo</w:t>
            </w:r>
            <w:r>
              <w:rPr>
                <w:color w:val="231F1F"/>
                <w:spacing w:val="11"/>
              </w:rPr>
              <w:t> </w:t>
            </w:r>
            <w:r>
              <w:rPr>
                <w:color w:val="231F1F"/>
                <w:spacing w:val="-2"/>
              </w:rPr>
              <w:t>3.</w:t>
            </w:r>
            <w:r>
              <w:rPr>
                <w:color w:val="231F1F"/>
                <w:spacing w:val="11"/>
              </w:rPr>
              <w:t> </w:t>
            </w:r>
            <w:r>
              <w:rPr>
                <w:color w:val="231F1F"/>
                <w:spacing w:val="-2"/>
              </w:rPr>
              <w:t>Comunicación</w:t>
            </w:r>
            <w:r>
              <w:rPr>
                <w:color w:val="231F1F"/>
                <w:spacing w:val="-16"/>
              </w:rPr>
              <w:t> </w:t>
            </w:r>
            <w:r>
              <w:rPr>
                <w:color w:val="231F1F"/>
                <w:spacing w:val="-2"/>
              </w:rPr>
              <w:t>eficaz</w:t>
            </w:r>
            <w:r>
              <w:rPr>
                <w:color w:val="231F1F"/>
                <w:spacing w:val="-16"/>
              </w:rPr>
              <w:t> </w:t>
            </w:r>
            <w:r>
              <w:rPr>
                <w:color w:val="231F1F"/>
                <w:spacing w:val="-2"/>
              </w:rPr>
              <w:t>entre</w:t>
            </w:r>
            <w:r>
              <w:rPr>
                <w:color w:val="231F1F"/>
                <w:spacing w:val="-19"/>
              </w:rPr>
              <w:t> </w:t>
            </w:r>
            <w:r>
              <w:rPr>
                <w:color w:val="231F1F"/>
                <w:spacing w:val="-2"/>
              </w:rPr>
              <w:t>profesionales</w:t>
            </w:r>
            <w:r>
              <w:rPr>
                <w:color w:val="231F1F"/>
                <w:spacing w:val="-17"/>
              </w:rPr>
              <w:t> </w:t>
            </w:r>
            <w:r>
              <w:rPr>
                <w:color w:val="231F1F"/>
                <w:spacing w:val="-2"/>
              </w:rPr>
              <w:t>y</w:t>
            </w:r>
            <w:r>
              <w:rPr>
                <w:color w:val="231F1F"/>
                <w:spacing w:val="-16"/>
              </w:rPr>
              <w:t> </w:t>
            </w:r>
            <w:r>
              <w:rPr>
                <w:color w:val="231F1F"/>
                <w:spacing w:val="-2"/>
              </w:rPr>
              <w:t>mujeres</w:t>
            </w:r>
            <w:r>
              <w:rPr>
                <w:color w:val="231F1F"/>
                <w:spacing w:val="-16"/>
              </w:rPr>
              <w:t> </w:t>
            </w:r>
            <w:r>
              <w:rPr>
                <w:color w:val="231F1F"/>
                <w:spacing w:val="-2"/>
              </w:rPr>
              <w:t>de</w:t>
            </w:r>
            <w:r>
              <w:rPr>
                <w:color w:val="231F1F"/>
                <w:spacing w:val="-16"/>
              </w:rPr>
              <w:t> </w:t>
            </w:r>
            <w:r>
              <w:rPr>
                <w:color w:val="231F1F"/>
                <w:spacing w:val="-2"/>
              </w:rPr>
              <w:t>parto</w:t>
            </w:r>
            <w:r>
              <w:rPr>
                <w:rFonts w:ascii="Times New Roman" w:hAnsi="Times New Roman"/>
                <w:color w:val="231F1F"/>
              </w:rPr>
              <w:tab/>
            </w:r>
            <w:r>
              <w:rPr>
                <w:color w:val="231F1F"/>
                <w:spacing w:val="-5"/>
              </w:rPr>
              <w:t>275</w:t>
            </w:r>
          </w:hyperlink>
        </w:p>
        <w:p>
          <w:pPr>
            <w:pStyle w:val="TOC2"/>
            <w:tabs>
              <w:tab w:pos="8785" w:val="right" w:leader="none"/>
            </w:tabs>
          </w:pPr>
          <w:hyperlink w:history="true" w:anchor="_TOC_250007">
            <w:r>
              <w:rPr>
                <w:color w:val="231F1F"/>
              </w:rPr>
              <w:t>Anexo</w:t>
            </w:r>
            <w:r>
              <w:rPr>
                <w:color w:val="231F1F"/>
                <w:spacing w:val="73"/>
              </w:rPr>
              <w:t> </w:t>
            </w:r>
            <w:r>
              <w:rPr>
                <w:color w:val="231F1F"/>
              </w:rPr>
              <w:t>4.</w:t>
            </w:r>
            <w:r>
              <w:rPr>
                <w:color w:val="231F1F"/>
                <w:spacing w:val="26"/>
              </w:rPr>
              <w:t> </w:t>
            </w:r>
            <w:r>
              <w:rPr>
                <w:color w:val="231F1F"/>
                <w:spacing w:val="-2"/>
              </w:rPr>
              <w:t>Partograma</w:t>
            </w:r>
            <w:r>
              <w:rPr>
                <w:rFonts w:ascii="Times New Roman"/>
                <w:color w:val="231F1F"/>
              </w:rPr>
              <w:tab/>
            </w:r>
            <w:r>
              <w:rPr>
                <w:color w:val="231F1F"/>
                <w:spacing w:val="-5"/>
              </w:rPr>
              <w:t>277</w:t>
            </w:r>
          </w:hyperlink>
        </w:p>
        <w:p>
          <w:pPr>
            <w:pStyle w:val="TOC2"/>
            <w:tabs>
              <w:tab w:pos="8785" w:val="right" w:leader="none"/>
            </w:tabs>
          </w:pPr>
          <w:hyperlink w:history="true" w:anchor="_TOC_250006">
            <w:r>
              <w:rPr>
                <w:color w:val="231F1F"/>
                <w:spacing w:val="-2"/>
              </w:rPr>
              <w:t>Anexo</w:t>
            </w:r>
            <w:r>
              <w:rPr>
                <w:color w:val="231F1F"/>
                <w:spacing w:val="23"/>
              </w:rPr>
              <w:t> </w:t>
            </w:r>
            <w:r>
              <w:rPr>
                <w:color w:val="231F1F"/>
                <w:spacing w:val="-2"/>
              </w:rPr>
              <w:t>5.</w:t>
            </w:r>
            <w:r>
              <w:rPr>
                <w:color w:val="231F1F"/>
                <w:spacing w:val="12"/>
              </w:rPr>
              <w:t> </w:t>
            </w:r>
            <w:r>
              <w:rPr>
                <w:color w:val="231F1F"/>
                <w:spacing w:val="-2"/>
              </w:rPr>
              <w:t>Algoritmo</w:t>
            </w:r>
            <w:r>
              <w:rPr>
                <w:color w:val="231F1F"/>
                <w:spacing w:val="-12"/>
              </w:rPr>
              <w:t> </w:t>
            </w:r>
            <w:r>
              <w:rPr>
                <w:color w:val="231F1F"/>
                <w:spacing w:val="-2"/>
              </w:rPr>
              <w:t>de</w:t>
            </w:r>
            <w:r>
              <w:rPr>
                <w:color w:val="231F1F"/>
                <w:spacing w:val="-10"/>
              </w:rPr>
              <w:t> </w:t>
            </w:r>
            <w:r>
              <w:rPr>
                <w:color w:val="231F1F"/>
                <w:spacing w:val="-2"/>
              </w:rPr>
              <w:t>diagnóstico</w:t>
            </w:r>
            <w:r>
              <w:rPr>
                <w:color w:val="231F1F"/>
                <w:spacing w:val="-12"/>
              </w:rPr>
              <w:t> </w:t>
            </w:r>
            <w:r>
              <w:rPr>
                <w:color w:val="231F1F"/>
                <w:spacing w:val="-2"/>
              </w:rPr>
              <w:t>de</w:t>
            </w:r>
            <w:r>
              <w:rPr>
                <w:color w:val="231F1F"/>
                <w:spacing w:val="-9"/>
              </w:rPr>
              <w:t> </w:t>
            </w:r>
            <w:r>
              <w:rPr>
                <w:color w:val="231F1F"/>
                <w:spacing w:val="-2"/>
              </w:rPr>
              <w:t>prolongación</w:t>
            </w:r>
            <w:r>
              <w:rPr>
                <w:color w:val="231F1F"/>
                <w:spacing w:val="-11"/>
              </w:rPr>
              <w:t> </w:t>
            </w:r>
            <w:r>
              <w:rPr>
                <w:color w:val="231F1F"/>
                <w:spacing w:val="-2"/>
              </w:rPr>
              <w:t>de</w:t>
            </w:r>
            <w:r>
              <w:rPr>
                <w:color w:val="231F1F"/>
                <w:spacing w:val="-10"/>
              </w:rPr>
              <w:t> </w:t>
            </w:r>
            <w:r>
              <w:rPr>
                <w:color w:val="231F1F"/>
                <w:spacing w:val="-2"/>
              </w:rPr>
              <w:t>la</w:t>
            </w:r>
            <w:r>
              <w:rPr>
                <w:color w:val="231F1F"/>
                <w:spacing w:val="-9"/>
              </w:rPr>
              <w:t> </w:t>
            </w:r>
            <w:r>
              <w:rPr>
                <w:color w:val="231F1F"/>
                <w:spacing w:val="-2"/>
              </w:rPr>
              <w:t>primera</w:t>
            </w:r>
            <w:r>
              <w:rPr>
                <w:color w:val="231F1F"/>
                <w:spacing w:val="-12"/>
              </w:rPr>
              <w:t> </w:t>
            </w:r>
            <w:r>
              <w:rPr>
                <w:color w:val="231F1F"/>
                <w:spacing w:val="-2"/>
              </w:rPr>
              <w:t>etapa</w:t>
            </w:r>
            <w:r>
              <w:rPr>
                <w:color w:val="231F1F"/>
                <w:spacing w:val="-10"/>
              </w:rPr>
              <w:t> </w:t>
            </w:r>
            <w:r>
              <w:rPr>
                <w:color w:val="231F1F"/>
                <w:spacing w:val="-2"/>
              </w:rPr>
              <w:t>del</w:t>
            </w:r>
            <w:r>
              <w:rPr>
                <w:color w:val="231F1F"/>
                <w:spacing w:val="-10"/>
              </w:rPr>
              <w:t> </w:t>
            </w:r>
            <w:r>
              <w:rPr>
                <w:color w:val="231F1F"/>
                <w:spacing w:val="-2"/>
              </w:rPr>
              <w:t>parto</w:t>
            </w:r>
            <w:r>
              <w:rPr>
                <w:rFonts w:ascii="Times New Roman" w:hAnsi="Times New Roman"/>
                <w:color w:val="231F1F"/>
              </w:rPr>
              <w:tab/>
            </w:r>
            <w:r>
              <w:rPr>
                <w:color w:val="231F1F"/>
                <w:spacing w:val="-5"/>
              </w:rPr>
              <w:t>279</w:t>
            </w:r>
          </w:hyperlink>
        </w:p>
        <w:p>
          <w:pPr>
            <w:pStyle w:val="TOC2"/>
            <w:tabs>
              <w:tab w:pos="8785" w:val="right" w:leader="none"/>
            </w:tabs>
          </w:pPr>
          <w:hyperlink w:history="true" w:anchor="_TOC_250005">
            <w:r>
              <w:rPr>
                <w:color w:val="231F1F"/>
              </w:rPr>
              <w:t>Anexo</w:t>
            </w:r>
            <w:r>
              <w:rPr>
                <w:color w:val="231F1F"/>
                <w:spacing w:val="-11"/>
              </w:rPr>
              <w:t> </w:t>
            </w:r>
            <w:r>
              <w:rPr>
                <w:color w:val="231F1F"/>
              </w:rPr>
              <w:t>6.</w:t>
            </w:r>
            <w:r>
              <w:rPr>
                <w:color w:val="231F1F"/>
                <w:spacing w:val="-10"/>
              </w:rPr>
              <w:t> </w:t>
            </w:r>
            <w:r>
              <w:rPr>
                <w:color w:val="231F1F"/>
              </w:rPr>
              <w:t>Duración</w:t>
            </w:r>
            <w:r>
              <w:rPr>
                <w:color w:val="231F1F"/>
                <w:spacing w:val="-16"/>
              </w:rPr>
              <w:t> </w:t>
            </w:r>
            <w:r>
              <w:rPr>
                <w:color w:val="231F1F"/>
              </w:rPr>
              <w:t>de</w:t>
            </w:r>
            <w:r>
              <w:rPr>
                <w:color w:val="231F1F"/>
                <w:spacing w:val="-16"/>
              </w:rPr>
              <w:t> </w:t>
            </w:r>
            <w:r>
              <w:rPr>
                <w:color w:val="231F1F"/>
              </w:rPr>
              <w:t>la</w:t>
            </w:r>
            <w:r>
              <w:rPr>
                <w:color w:val="231F1F"/>
                <w:spacing w:val="-16"/>
              </w:rPr>
              <w:t> </w:t>
            </w:r>
            <w:r>
              <w:rPr>
                <w:color w:val="231F1F"/>
              </w:rPr>
              <w:t>segunda</w:t>
            </w:r>
            <w:r>
              <w:rPr>
                <w:color w:val="231F1F"/>
                <w:spacing w:val="-17"/>
              </w:rPr>
              <w:t> </w:t>
            </w:r>
            <w:r>
              <w:rPr>
                <w:color w:val="231F1F"/>
              </w:rPr>
              <w:t>etapa</w:t>
            </w:r>
            <w:r>
              <w:rPr>
                <w:color w:val="231F1F"/>
                <w:spacing w:val="-16"/>
              </w:rPr>
              <w:t> </w:t>
            </w:r>
            <w:r>
              <w:rPr>
                <w:color w:val="231F1F"/>
              </w:rPr>
              <w:t>del</w:t>
            </w:r>
            <w:r>
              <w:rPr>
                <w:color w:val="231F1F"/>
                <w:spacing w:val="-16"/>
              </w:rPr>
              <w:t> </w:t>
            </w:r>
            <w:r>
              <w:rPr>
                <w:color w:val="231F1F"/>
              </w:rPr>
              <w:t>parto</w:t>
            </w:r>
            <w:r>
              <w:rPr>
                <w:color w:val="231F1F"/>
                <w:spacing w:val="-18"/>
              </w:rPr>
              <w:t> </w:t>
            </w:r>
            <w:r>
              <w:rPr>
                <w:color w:val="231F1F"/>
              </w:rPr>
              <w:t>con</w:t>
            </w:r>
            <w:r>
              <w:rPr>
                <w:color w:val="231F1F"/>
                <w:spacing w:val="-16"/>
              </w:rPr>
              <w:t> </w:t>
            </w:r>
            <w:r>
              <w:rPr>
                <w:color w:val="231F1F"/>
              </w:rPr>
              <w:t>y</w:t>
            </w:r>
            <w:r>
              <w:rPr>
                <w:color w:val="231F1F"/>
                <w:spacing w:val="-16"/>
              </w:rPr>
              <w:t> </w:t>
            </w:r>
            <w:r>
              <w:rPr>
                <w:color w:val="231F1F"/>
              </w:rPr>
              <w:t>sin</w:t>
            </w:r>
            <w:r>
              <w:rPr>
                <w:color w:val="231F1F"/>
                <w:spacing w:val="-16"/>
              </w:rPr>
              <w:t> </w:t>
            </w:r>
            <w:r>
              <w:rPr>
                <w:color w:val="231F1F"/>
              </w:rPr>
              <w:t>analgesia</w:t>
            </w:r>
            <w:r>
              <w:rPr>
                <w:color w:val="231F1F"/>
                <w:spacing w:val="-16"/>
              </w:rPr>
              <w:t> </w:t>
            </w:r>
            <w:r>
              <w:rPr>
                <w:color w:val="231F1F"/>
                <w:spacing w:val="-2"/>
              </w:rPr>
              <w:t>neuroaxial</w:t>
            </w:r>
            <w:r>
              <w:rPr>
                <w:rFonts w:ascii="Times New Roman" w:hAnsi="Times New Roman"/>
                <w:color w:val="231F1F"/>
              </w:rPr>
              <w:tab/>
            </w:r>
            <w:r>
              <w:rPr>
                <w:color w:val="231F1F"/>
                <w:spacing w:val="-5"/>
              </w:rPr>
              <w:t>280</w:t>
            </w:r>
          </w:hyperlink>
        </w:p>
        <w:p>
          <w:pPr>
            <w:pStyle w:val="TOC2"/>
            <w:tabs>
              <w:tab w:pos="8785" w:val="right" w:leader="none"/>
            </w:tabs>
          </w:pPr>
          <w:hyperlink w:history="true" w:anchor="_TOC_250004">
            <w:r>
              <w:rPr>
                <w:color w:val="231F1F"/>
              </w:rPr>
              <w:t>Anexo</w:t>
            </w:r>
            <w:r>
              <w:rPr>
                <w:color w:val="231F1F"/>
                <w:spacing w:val="55"/>
              </w:rPr>
              <w:t> </w:t>
            </w:r>
            <w:r>
              <w:rPr>
                <w:color w:val="231F1F"/>
              </w:rPr>
              <w:t>7.</w:t>
            </w:r>
            <w:r>
              <w:rPr>
                <w:color w:val="231F1F"/>
                <w:spacing w:val="19"/>
              </w:rPr>
              <w:t> </w:t>
            </w:r>
            <w:r>
              <w:rPr>
                <w:color w:val="231F1F"/>
              </w:rPr>
              <w:t>Piel</w:t>
            </w:r>
            <w:r>
              <w:rPr>
                <w:color w:val="231F1F"/>
                <w:spacing w:val="-14"/>
              </w:rPr>
              <w:t> </w:t>
            </w:r>
            <w:r>
              <w:rPr>
                <w:color w:val="231F1F"/>
              </w:rPr>
              <w:t>con</w:t>
            </w:r>
            <w:r>
              <w:rPr>
                <w:color w:val="231F1F"/>
                <w:spacing w:val="-12"/>
              </w:rPr>
              <w:t> </w:t>
            </w:r>
            <w:r>
              <w:rPr>
                <w:color w:val="231F1F"/>
                <w:spacing w:val="-4"/>
              </w:rPr>
              <w:t>Piel</w:t>
            </w:r>
            <w:r>
              <w:rPr>
                <w:rFonts w:ascii="Times New Roman"/>
                <w:color w:val="231F1F"/>
              </w:rPr>
              <w:tab/>
            </w:r>
            <w:r>
              <w:rPr>
                <w:color w:val="231F1F"/>
                <w:spacing w:val="-5"/>
              </w:rPr>
              <w:t>281</w:t>
            </w:r>
          </w:hyperlink>
        </w:p>
        <w:p>
          <w:pPr>
            <w:pStyle w:val="TOC2"/>
            <w:tabs>
              <w:tab w:pos="8785" w:val="right" w:leader="none"/>
            </w:tabs>
            <w:spacing w:before="110"/>
          </w:pPr>
          <w:r>
            <w:rPr>
              <w:color w:val="231F1F"/>
            </w:rPr>
            <w:t>Anexo</w:t>
          </w:r>
          <w:r>
            <w:rPr>
              <w:color w:val="231F1F"/>
              <w:spacing w:val="4"/>
            </w:rPr>
            <w:t> </w:t>
          </w:r>
          <w:r>
            <w:rPr>
              <w:color w:val="231F1F"/>
            </w:rPr>
            <w:t>8.</w:t>
          </w:r>
          <w:r>
            <w:rPr>
              <w:color w:val="231F1F"/>
              <w:spacing w:val="8"/>
            </w:rPr>
            <w:t> </w:t>
          </w:r>
          <w:r>
            <w:rPr>
              <w:color w:val="231F1F"/>
            </w:rPr>
            <w:t>Aspectos</w:t>
          </w:r>
          <w:r>
            <w:rPr>
              <w:color w:val="231F1F"/>
              <w:spacing w:val="-15"/>
            </w:rPr>
            <w:t> </w:t>
          </w:r>
          <w:r>
            <w:rPr>
              <w:color w:val="231F1F"/>
            </w:rPr>
            <w:t>técnicos</w:t>
          </w:r>
          <w:r>
            <w:rPr>
              <w:color w:val="231F1F"/>
              <w:spacing w:val="-15"/>
            </w:rPr>
            <w:t> </w:t>
          </w:r>
          <w:r>
            <w:rPr>
              <w:color w:val="231F1F"/>
            </w:rPr>
            <w:t>de</w:t>
          </w:r>
          <w:r>
            <w:rPr>
              <w:color w:val="231F1F"/>
              <w:spacing w:val="-15"/>
            </w:rPr>
            <w:t> </w:t>
          </w:r>
          <w:r>
            <w:rPr>
              <w:color w:val="231F1F"/>
            </w:rPr>
            <w:t>utilización</w:t>
          </w:r>
          <w:r>
            <w:rPr>
              <w:color w:val="231F1F"/>
              <w:spacing w:val="-15"/>
            </w:rPr>
            <w:t> </w:t>
          </w:r>
          <w:r>
            <w:rPr>
              <w:color w:val="231F1F"/>
            </w:rPr>
            <w:t>de</w:t>
          </w:r>
          <w:r>
            <w:rPr>
              <w:color w:val="231F1F"/>
              <w:spacing w:val="-15"/>
            </w:rPr>
            <w:t> </w:t>
          </w:r>
          <w:r>
            <w:rPr>
              <w:color w:val="231F1F"/>
            </w:rPr>
            <w:t>óxido</w:t>
          </w:r>
          <w:r>
            <w:rPr>
              <w:color w:val="231F1F"/>
              <w:spacing w:val="-14"/>
            </w:rPr>
            <w:t> </w:t>
          </w:r>
          <w:r>
            <w:rPr>
              <w:color w:val="231F1F"/>
              <w:spacing w:val="-2"/>
            </w:rPr>
            <w:t>nitroso</w:t>
          </w:r>
          <w:r>
            <w:rPr>
              <w:rFonts w:ascii="Times New Roman" w:hAnsi="Times New Roman"/>
              <w:color w:val="231F1F"/>
            </w:rPr>
            <w:tab/>
          </w:r>
          <w:r>
            <w:rPr>
              <w:color w:val="231F1F"/>
              <w:spacing w:val="-5"/>
            </w:rPr>
            <w:t>283</w:t>
          </w:r>
        </w:p>
        <w:p>
          <w:pPr>
            <w:pStyle w:val="TOC2"/>
            <w:tabs>
              <w:tab w:pos="8785" w:val="right" w:leader="none"/>
            </w:tabs>
          </w:pPr>
          <w:hyperlink w:history="true" w:anchor="_TOC_250003">
            <w:r>
              <w:rPr>
                <w:color w:val="231F1F"/>
                <w:spacing w:val="-2"/>
              </w:rPr>
              <w:t>Anexo</w:t>
            </w:r>
            <w:r>
              <w:rPr>
                <w:color w:val="231F1F"/>
                <w:spacing w:val="5"/>
              </w:rPr>
              <w:t> </w:t>
            </w:r>
            <w:r>
              <w:rPr>
                <w:color w:val="231F1F"/>
                <w:spacing w:val="-2"/>
              </w:rPr>
              <w:t>9.</w:t>
            </w:r>
            <w:r>
              <w:rPr>
                <w:color w:val="231F1F"/>
                <w:spacing w:val="6"/>
              </w:rPr>
              <w:t> </w:t>
            </w:r>
            <w:r>
              <w:rPr>
                <w:color w:val="231F1F"/>
                <w:spacing w:val="-2"/>
              </w:rPr>
              <w:t>Información</w:t>
            </w:r>
            <w:r>
              <w:rPr>
                <w:color w:val="231F1F"/>
                <w:spacing w:val="-18"/>
              </w:rPr>
              <w:t> </w:t>
            </w:r>
            <w:r>
              <w:rPr>
                <w:color w:val="231F1F"/>
                <w:spacing w:val="-2"/>
              </w:rPr>
              <w:t>para</w:t>
            </w:r>
            <w:r>
              <w:rPr>
                <w:color w:val="231F1F"/>
                <w:spacing w:val="-20"/>
              </w:rPr>
              <w:t> </w:t>
            </w:r>
            <w:r>
              <w:rPr>
                <w:color w:val="231F1F"/>
                <w:spacing w:val="-2"/>
              </w:rPr>
              <w:t>las</w:t>
            </w:r>
            <w:r>
              <w:rPr>
                <w:color w:val="231F1F"/>
                <w:spacing w:val="-17"/>
              </w:rPr>
              <w:t> </w:t>
            </w:r>
            <w:r>
              <w:rPr>
                <w:color w:val="231F1F"/>
                <w:spacing w:val="-2"/>
              </w:rPr>
              <w:t>mujeres</w:t>
            </w:r>
            <w:r>
              <w:rPr>
                <w:color w:val="231F1F"/>
                <w:spacing w:val="-18"/>
              </w:rPr>
              <w:t> </w:t>
            </w:r>
            <w:r>
              <w:rPr>
                <w:color w:val="231F1F"/>
                <w:spacing w:val="-2"/>
              </w:rPr>
              <w:t>que</w:t>
            </w:r>
            <w:r>
              <w:rPr>
                <w:color w:val="231F1F"/>
                <w:spacing w:val="-18"/>
              </w:rPr>
              <w:t> </w:t>
            </w:r>
            <w:r>
              <w:rPr>
                <w:color w:val="231F1F"/>
                <w:spacing w:val="-2"/>
              </w:rPr>
              <w:t>elijan</w:t>
            </w:r>
            <w:r>
              <w:rPr>
                <w:color w:val="231F1F"/>
                <w:spacing w:val="-20"/>
              </w:rPr>
              <w:t> </w:t>
            </w:r>
            <w:r>
              <w:rPr>
                <w:color w:val="231F1F"/>
                <w:spacing w:val="-2"/>
              </w:rPr>
              <w:t>analgesia</w:t>
            </w:r>
            <w:r>
              <w:rPr>
                <w:color w:val="231F1F"/>
                <w:spacing w:val="-18"/>
              </w:rPr>
              <w:t> </w:t>
            </w:r>
            <w:r>
              <w:rPr>
                <w:color w:val="231F1F"/>
                <w:spacing w:val="-2"/>
              </w:rPr>
              <w:t>neuroaxial</w:t>
            </w:r>
            <w:r>
              <w:rPr>
                <w:rFonts w:ascii="Times New Roman" w:hAnsi="Times New Roman"/>
                <w:color w:val="231F1F"/>
              </w:rPr>
              <w:tab/>
            </w:r>
            <w:r>
              <w:rPr>
                <w:color w:val="231F1F"/>
                <w:spacing w:val="-5"/>
              </w:rPr>
              <w:t>286</w:t>
            </w:r>
          </w:hyperlink>
        </w:p>
        <w:p>
          <w:pPr>
            <w:pStyle w:val="TOC2"/>
            <w:tabs>
              <w:tab w:pos="8785" w:val="right" w:leader="none"/>
            </w:tabs>
            <w:spacing w:before="107"/>
          </w:pPr>
          <w:hyperlink w:history="true" w:anchor="_TOC_250002">
            <w:r>
              <w:rPr>
                <w:color w:val="231F1F"/>
                <w:spacing w:val="-2"/>
              </w:rPr>
              <w:t>Anexo</w:t>
            </w:r>
            <w:r>
              <w:rPr>
                <w:color w:val="231F1F"/>
                <w:spacing w:val="-18"/>
              </w:rPr>
              <w:t> </w:t>
            </w:r>
            <w:r>
              <w:rPr>
                <w:color w:val="231F1F"/>
                <w:spacing w:val="-2"/>
              </w:rPr>
              <w:t>10.</w:t>
            </w:r>
            <w:r>
              <w:rPr>
                <w:color w:val="231F1F"/>
                <w:spacing w:val="-8"/>
              </w:rPr>
              <w:t> </w:t>
            </w:r>
            <w:r>
              <w:rPr>
                <w:color w:val="231F1F"/>
                <w:spacing w:val="-2"/>
              </w:rPr>
              <w:t>Vigilancia</w:t>
            </w:r>
            <w:r>
              <w:rPr>
                <w:color w:val="231F1F"/>
                <w:spacing w:val="-20"/>
              </w:rPr>
              <w:t> </w:t>
            </w:r>
            <w:r>
              <w:rPr>
                <w:color w:val="231F1F"/>
                <w:spacing w:val="-2"/>
              </w:rPr>
              <w:t>materna</w:t>
            </w:r>
            <w:r>
              <w:rPr>
                <w:rFonts w:ascii="Times New Roman"/>
                <w:color w:val="231F1F"/>
              </w:rPr>
              <w:tab/>
            </w:r>
            <w:r>
              <w:rPr>
                <w:color w:val="231F1F"/>
                <w:spacing w:val="-5"/>
              </w:rPr>
              <w:t>287</w:t>
            </w:r>
          </w:hyperlink>
        </w:p>
        <w:p>
          <w:pPr>
            <w:pStyle w:val="TOC2"/>
            <w:tabs>
              <w:tab w:pos="8785" w:val="right" w:leader="none"/>
            </w:tabs>
          </w:pPr>
          <w:hyperlink w:history="true" w:anchor="_TOC_250001">
            <w:r>
              <w:rPr>
                <w:color w:val="231F1F"/>
                <w:spacing w:val="-4"/>
              </w:rPr>
              <w:t>Anexo</w:t>
            </w:r>
            <w:r>
              <w:rPr>
                <w:color w:val="231F1F"/>
                <w:spacing w:val="-9"/>
              </w:rPr>
              <w:t> </w:t>
            </w:r>
            <w:r>
              <w:rPr>
                <w:color w:val="231F1F"/>
                <w:spacing w:val="-4"/>
              </w:rPr>
              <w:t>11.</w:t>
            </w:r>
            <w:r>
              <w:rPr>
                <w:color w:val="231F1F"/>
                <w:spacing w:val="15"/>
              </w:rPr>
              <w:t> </w:t>
            </w:r>
            <w:r>
              <w:rPr>
                <w:color w:val="231F1F"/>
                <w:spacing w:val="-4"/>
              </w:rPr>
              <w:t>Técnica</w:t>
            </w:r>
            <w:r>
              <w:rPr>
                <w:color w:val="231F1F"/>
                <w:spacing w:val="-9"/>
              </w:rPr>
              <w:t> </w:t>
            </w:r>
            <w:r>
              <w:rPr>
                <w:color w:val="231F1F"/>
                <w:spacing w:val="-4"/>
              </w:rPr>
              <w:t>de</w:t>
            </w:r>
            <w:r>
              <w:rPr>
                <w:color w:val="231F1F"/>
                <w:spacing w:val="-8"/>
              </w:rPr>
              <w:t> </w:t>
            </w:r>
            <w:r>
              <w:rPr>
                <w:color w:val="231F1F"/>
                <w:spacing w:val="-4"/>
              </w:rPr>
              <w:t>la</w:t>
            </w:r>
            <w:r>
              <w:rPr>
                <w:color w:val="231F1F"/>
                <w:spacing w:val="-8"/>
              </w:rPr>
              <w:t> </w:t>
            </w:r>
            <w:r>
              <w:rPr>
                <w:color w:val="231F1F"/>
                <w:spacing w:val="-4"/>
              </w:rPr>
              <w:t>auscultación</w:t>
            </w:r>
            <w:r>
              <w:rPr>
                <w:color w:val="231F1F"/>
                <w:spacing w:val="-8"/>
              </w:rPr>
              <w:t> </w:t>
            </w:r>
            <w:r>
              <w:rPr>
                <w:color w:val="231F1F"/>
                <w:spacing w:val="-4"/>
              </w:rPr>
              <w:t>fetal</w:t>
            </w:r>
            <w:r>
              <w:rPr>
                <w:color w:val="231F1F"/>
                <w:spacing w:val="-7"/>
              </w:rPr>
              <w:t> </w:t>
            </w:r>
            <w:r>
              <w:rPr>
                <w:color w:val="231F1F"/>
                <w:spacing w:val="-4"/>
              </w:rPr>
              <w:t>intermitente</w:t>
            </w:r>
            <w:r>
              <w:rPr>
                <w:rFonts w:ascii="Times New Roman" w:hAnsi="Times New Roman"/>
                <w:color w:val="231F1F"/>
              </w:rPr>
              <w:tab/>
            </w:r>
            <w:r>
              <w:rPr>
                <w:color w:val="231F1F"/>
                <w:spacing w:val="-5"/>
              </w:rPr>
              <w:t>288</w:t>
            </w:r>
          </w:hyperlink>
        </w:p>
        <w:p>
          <w:pPr>
            <w:pStyle w:val="TOC2"/>
            <w:tabs>
              <w:tab w:pos="8785" w:val="right" w:leader="none"/>
            </w:tabs>
          </w:pPr>
          <w:hyperlink w:history="true" w:anchor="_TOC_250000">
            <w:r>
              <w:rPr>
                <w:color w:val="231F1F"/>
                <w:spacing w:val="-2"/>
              </w:rPr>
              <w:t>Anexo</w:t>
            </w:r>
            <w:r>
              <w:rPr>
                <w:color w:val="231F1F"/>
                <w:spacing w:val="-15"/>
              </w:rPr>
              <w:t> </w:t>
            </w:r>
            <w:r>
              <w:rPr>
                <w:color w:val="231F1F"/>
                <w:spacing w:val="-2"/>
              </w:rPr>
              <w:t>12.</w:t>
            </w:r>
            <w:r>
              <w:rPr>
                <w:color w:val="231F1F"/>
              </w:rPr>
              <w:t> </w:t>
            </w:r>
            <w:r>
              <w:rPr>
                <w:color w:val="231F1F"/>
                <w:spacing w:val="-2"/>
              </w:rPr>
              <w:t>Algoritmo</w:t>
            </w:r>
            <w:r>
              <w:rPr>
                <w:color w:val="231F1F"/>
                <w:spacing w:val="-16"/>
              </w:rPr>
              <w:t> </w:t>
            </w:r>
            <w:r>
              <w:rPr>
                <w:color w:val="231F1F"/>
                <w:spacing w:val="-2"/>
              </w:rPr>
              <w:t>de</w:t>
            </w:r>
            <w:r>
              <w:rPr>
                <w:color w:val="231F1F"/>
                <w:spacing w:val="-14"/>
              </w:rPr>
              <w:t> </w:t>
            </w:r>
            <w:r>
              <w:rPr>
                <w:color w:val="231F1F"/>
                <w:spacing w:val="-2"/>
              </w:rPr>
              <w:t>decisión</w:t>
            </w:r>
            <w:r>
              <w:rPr>
                <w:color w:val="231F1F"/>
                <w:spacing w:val="-14"/>
              </w:rPr>
              <w:t> </w:t>
            </w:r>
            <w:r>
              <w:rPr>
                <w:color w:val="231F1F"/>
                <w:spacing w:val="-2"/>
              </w:rPr>
              <w:t>según</w:t>
            </w:r>
            <w:r>
              <w:rPr>
                <w:color w:val="231F1F"/>
                <w:spacing w:val="-16"/>
              </w:rPr>
              <w:t> </w:t>
            </w:r>
            <w:r>
              <w:rPr>
                <w:color w:val="231F1F"/>
                <w:spacing w:val="-2"/>
              </w:rPr>
              <w:t>resultados</w:t>
            </w:r>
            <w:r>
              <w:rPr>
                <w:color w:val="231F1F"/>
                <w:spacing w:val="-13"/>
              </w:rPr>
              <w:t> </w:t>
            </w:r>
            <w:r>
              <w:rPr>
                <w:color w:val="231F1F"/>
                <w:spacing w:val="-2"/>
              </w:rPr>
              <w:t>de</w:t>
            </w:r>
            <w:r>
              <w:rPr>
                <w:color w:val="231F1F"/>
                <w:spacing w:val="-14"/>
              </w:rPr>
              <w:t> </w:t>
            </w:r>
            <w:r>
              <w:rPr>
                <w:color w:val="231F1F"/>
                <w:spacing w:val="-2"/>
              </w:rPr>
              <w:t>ph</w:t>
            </w:r>
            <w:r>
              <w:rPr>
                <w:color w:val="231F1F"/>
                <w:spacing w:val="-14"/>
              </w:rPr>
              <w:t> </w:t>
            </w:r>
            <w:r>
              <w:rPr>
                <w:color w:val="231F1F"/>
                <w:spacing w:val="-2"/>
              </w:rPr>
              <w:t>fetal</w:t>
            </w:r>
            <w:r>
              <w:rPr>
                <w:rFonts w:ascii="Times New Roman" w:hAnsi="Times New Roman"/>
                <w:color w:val="231F1F"/>
              </w:rPr>
              <w:tab/>
            </w:r>
            <w:r>
              <w:rPr>
                <w:color w:val="231F1F"/>
                <w:spacing w:val="-5"/>
              </w:rPr>
              <w:t>289</w:t>
            </w:r>
          </w:hyperlink>
        </w:p>
        <w:p>
          <w:pPr>
            <w:pStyle w:val="TOC2"/>
            <w:tabs>
              <w:tab w:pos="8785" w:val="right" w:leader="none"/>
            </w:tabs>
          </w:pPr>
          <w:r>
            <w:rPr>
              <w:color w:val="231F1F"/>
              <w:spacing w:val="-2"/>
            </w:rPr>
            <w:t>Anexo</w:t>
          </w:r>
          <w:r>
            <w:rPr>
              <w:color w:val="231F1F"/>
              <w:spacing w:val="-11"/>
            </w:rPr>
            <w:t> </w:t>
          </w:r>
          <w:r>
            <w:rPr>
              <w:color w:val="231F1F"/>
              <w:spacing w:val="-2"/>
            </w:rPr>
            <w:t>13.</w:t>
          </w:r>
          <w:r>
            <w:rPr>
              <w:color w:val="231F1F"/>
              <w:spacing w:val="3"/>
            </w:rPr>
            <w:t> </w:t>
          </w:r>
          <w:r>
            <w:rPr>
              <w:color w:val="231F1F"/>
              <w:spacing w:val="-2"/>
            </w:rPr>
            <w:t>Registros</w:t>
          </w:r>
          <w:r>
            <w:rPr>
              <w:color w:val="231F1F"/>
              <w:spacing w:val="-10"/>
            </w:rPr>
            <w:t> </w:t>
          </w:r>
          <w:r>
            <w:rPr>
              <w:color w:val="231F1F"/>
              <w:spacing w:val="-2"/>
            </w:rPr>
            <w:t>cardiotocográfico</w:t>
          </w:r>
          <w:r>
            <w:rPr>
              <w:rFonts w:ascii="Times New Roman" w:hAnsi="Times New Roman"/>
              <w:color w:val="231F1F"/>
            </w:rPr>
            <w:tab/>
          </w:r>
          <w:r>
            <w:rPr>
              <w:color w:val="231F1F"/>
              <w:spacing w:val="-5"/>
            </w:rPr>
            <w:t>290</w:t>
          </w:r>
        </w:p>
        <w:p>
          <w:pPr>
            <w:pStyle w:val="TOC2"/>
            <w:tabs>
              <w:tab w:pos="8785" w:val="right" w:leader="none"/>
            </w:tabs>
          </w:pPr>
          <w:r>
            <w:rPr>
              <w:color w:val="231F1F"/>
              <w:spacing w:val="-2"/>
            </w:rPr>
            <w:t>Anexo</w:t>
          </w:r>
          <w:r>
            <w:rPr>
              <w:color w:val="231F1F"/>
              <w:spacing w:val="-15"/>
            </w:rPr>
            <w:t> </w:t>
          </w:r>
          <w:r>
            <w:rPr>
              <w:color w:val="231F1F"/>
              <w:spacing w:val="-2"/>
            </w:rPr>
            <w:t>14.</w:t>
          </w:r>
          <w:r>
            <w:rPr>
              <w:color w:val="231F1F"/>
              <w:spacing w:val="3"/>
            </w:rPr>
            <w:t> </w:t>
          </w:r>
          <w:r>
            <w:rPr>
              <w:color w:val="231F1F"/>
              <w:spacing w:val="-2"/>
            </w:rPr>
            <w:t>Declaración</w:t>
          </w:r>
          <w:r>
            <w:rPr>
              <w:color w:val="231F1F"/>
              <w:spacing w:val="-15"/>
            </w:rPr>
            <w:t> </w:t>
          </w:r>
          <w:r>
            <w:rPr>
              <w:color w:val="231F1F"/>
              <w:spacing w:val="-2"/>
            </w:rPr>
            <w:t>de</w:t>
          </w:r>
          <w:r>
            <w:rPr>
              <w:color w:val="231F1F"/>
              <w:spacing w:val="-14"/>
            </w:rPr>
            <w:t> </w:t>
          </w:r>
          <w:r>
            <w:rPr>
              <w:color w:val="231F1F"/>
              <w:spacing w:val="-2"/>
            </w:rPr>
            <w:t>intereses</w:t>
          </w:r>
          <w:r>
            <w:rPr>
              <w:rFonts w:ascii="Times New Roman" w:hAnsi="Times New Roman"/>
              <w:color w:val="231F1F"/>
            </w:rPr>
            <w:tab/>
          </w:r>
          <w:r>
            <w:rPr>
              <w:color w:val="231F1F"/>
              <w:spacing w:val="-5"/>
            </w:rPr>
            <w:t>293</w:t>
          </w:r>
        </w:p>
        <w:p>
          <w:pPr>
            <w:pStyle w:val="TOC1"/>
            <w:tabs>
              <w:tab w:pos="8785" w:val="right" w:leader="none"/>
            </w:tabs>
            <w:ind w:left="283" w:firstLine="0"/>
          </w:pPr>
          <w:r>
            <w:rPr>
              <w:color w:val="231F1F"/>
              <w:spacing w:val="-2"/>
            </w:rPr>
            <w:t>Bibliografia</w:t>
          </w:r>
          <w:r>
            <w:rPr>
              <w:rFonts w:ascii="Times New Roman"/>
              <w:color w:val="231F1F"/>
            </w:rPr>
            <w:tab/>
          </w:r>
          <w:r>
            <w:rPr>
              <w:color w:val="231F1F"/>
              <w:spacing w:val="-5"/>
            </w:rPr>
            <w:t>295</w:t>
          </w:r>
        </w:p>
      </w:sdtContent>
    </w:sdt>
    <w:p>
      <w:pPr>
        <w:pStyle w:val="TOC1"/>
        <w:spacing w:after="0"/>
        <w:sectPr>
          <w:type w:val="continuous"/>
          <w:pgSz w:w="11900" w:h="16840"/>
          <w:pgMar w:header="0" w:footer="572" w:top="1499" w:bottom="624" w:left="1417" w:right="1559"/>
        </w:sectPr>
      </w:pPr>
    </w:p>
    <w:p>
      <w:pPr>
        <w:pStyle w:val="Heading1"/>
        <w:spacing w:before="64"/>
      </w:pPr>
      <w:bookmarkStart w:name="_TOC_250055" w:id="1"/>
      <w:bookmarkEnd w:id="1"/>
      <w:r>
        <w:rPr>
          <w:color w:val="231F1F"/>
          <w:spacing w:val="-2"/>
          <w:w w:val="110"/>
        </w:rPr>
        <w:t>Presentación</w:t>
      </w:r>
    </w:p>
    <w:p>
      <w:pPr>
        <w:pStyle w:val="BodyText"/>
        <w:spacing w:before="86"/>
        <w:rPr>
          <w:sz w:val="50"/>
        </w:rPr>
      </w:pPr>
    </w:p>
    <w:p>
      <w:pPr>
        <w:pStyle w:val="BodyText"/>
        <w:spacing w:line="252" w:lineRule="auto"/>
        <w:ind w:left="283" w:right="116"/>
        <w:jc w:val="both"/>
      </w:pPr>
      <w:r>
        <w:rPr>
          <w:color w:val="231F1F"/>
          <w:w w:val="105"/>
        </w:rPr>
        <w:t>Actualmente</w:t>
      </w:r>
      <w:r>
        <w:rPr>
          <w:color w:val="231F1F"/>
          <w:w w:val="105"/>
        </w:rPr>
        <w:t> la</w:t>
      </w:r>
      <w:r>
        <w:rPr>
          <w:color w:val="231F1F"/>
          <w:w w:val="105"/>
        </w:rPr>
        <w:t> información</w:t>
      </w:r>
      <w:r>
        <w:rPr>
          <w:color w:val="231F1F"/>
          <w:w w:val="105"/>
        </w:rPr>
        <w:t> científica</w:t>
      </w:r>
      <w:r>
        <w:rPr>
          <w:color w:val="231F1F"/>
          <w:w w:val="105"/>
        </w:rPr>
        <w:t> es</w:t>
      </w:r>
      <w:r>
        <w:rPr>
          <w:color w:val="231F1F"/>
          <w:w w:val="105"/>
        </w:rPr>
        <w:t> más</w:t>
      </w:r>
      <w:r>
        <w:rPr>
          <w:color w:val="231F1F"/>
          <w:w w:val="105"/>
        </w:rPr>
        <w:t> accesible</w:t>
      </w:r>
      <w:r>
        <w:rPr>
          <w:color w:val="231F1F"/>
          <w:w w:val="105"/>
        </w:rPr>
        <w:t> que</w:t>
      </w:r>
      <w:r>
        <w:rPr>
          <w:color w:val="231F1F"/>
          <w:w w:val="105"/>
        </w:rPr>
        <w:t> nunca,</w:t>
      </w:r>
      <w:r>
        <w:rPr>
          <w:color w:val="231F1F"/>
          <w:w w:val="105"/>
        </w:rPr>
        <w:t> sin</w:t>
      </w:r>
      <w:r>
        <w:rPr>
          <w:color w:val="231F1F"/>
          <w:w w:val="105"/>
        </w:rPr>
        <w:t> embargo</w:t>
      </w:r>
      <w:r>
        <w:rPr>
          <w:color w:val="231F1F"/>
          <w:w w:val="105"/>
        </w:rPr>
        <w:t> el</w:t>
      </w:r>
      <w:r>
        <w:rPr>
          <w:color w:val="231F1F"/>
          <w:w w:val="105"/>
        </w:rPr>
        <w:t> gran volumen de información requiere del uso de herramientas dirigidas al apoyo de la toma de decisiones clínicas adecuadas, eficientes y seguras, y de profesionales con conocimientos y habilidades actualizados. Las Guías de Práctica Clínica (GPC) dan respuesta a las pregun- tas más relevantes que se pueden realizar en torno a la atención que debe ofrecerse desde</w:t>
      </w:r>
      <w:r>
        <w:rPr>
          <w:color w:val="231F1F"/>
          <w:spacing w:val="40"/>
          <w:w w:val="105"/>
        </w:rPr>
        <w:t> </w:t>
      </w:r>
      <w:r>
        <w:rPr>
          <w:color w:val="231F1F"/>
          <w:w w:val="105"/>
        </w:rPr>
        <w:t>los</w:t>
      </w:r>
      <w:r>
        <w:rPr>
          <w:color w:val="231F1F"/>
          <w:w w:val="105"/>
        </w:rPr>
        <w:t> servicios</w:t>
      </w:r>
      <w:r>
        <w:rPr>
          <w:color w:val="231F1F"/>
          <w:w w:val="105"/>
        </w:rPr>
        <w:t> sanitarios</w:t>
      </w:r>
      <w:r>
        <w:rPr>
          <w:color w:val="231F1F"/>
          <w:w w:val="105"/>
        </w:rPr>
        <w:t> a</w:t>
      </w:r>
      <w:r>
        <w:rPr>
          <w:color w:val="231F1F"/>
          <w:w w:val="105"/>
        </w:rPr>
        <w:t> una</w:t>
      </w:r>
      <w:r>
        <w:rPr>
          <w:color w:val="231F1F"/>
          <w:w w:val="105"/>
        </w:rPr>
        <w:t> patología</w:t>
      </w:r>
      <w:r>
        <w:rPr>
          <w:color w:val="231F1F"/>
          <w:w w:val="105"/>
        </w:rPr>
        <w:t> concreta,</w:t>
      </w:r>
      <w:r>
        <w:rPr>
          <w:color w:val="231F1F"/>
          <w:w w:val="105"/>
        </w:rPr>
        <w:t> o</w:t>
      </w:r>
      <w:r>
        <w:rPr>
          <w:color w:val="231F1F"/>
          <w:w w:val="105"/>
        </w:rPr>
        <w:t> bien,</w:t>
      </w:r>
      <w:r>
        <w:rPr>
          <w:color w:val="231F1F"/>
          <w:w w:val="105"/>
        </w:rPr>
        <w:t> como</w:t>
      </w:r>
      <w:r>
        <w:rPr>
          <w:color w:val="231F1F"/>
          <w:w w:val="105"/>
        </w:rPr>
        <w:t> es</w:t>
      </w:r>
      <w:r>
        <w:rPr>
          <w:color w:val="231F1F"/>
          <w:w w:val="105"/>
        </w:rPr>
        <w:t> el</w:t>
      </w:r>
      <w:r>
        <w:rPr>
          <w:color w:val="231F1F"/>
          <w:w w:val="105"/>
        </w:rPr>
        <w:t> caso</w:t>
      </w:r>
      <w:r>
        <w:rPr>
          <w:color w:val="231F1F"/>
          <w:w w:val="105"/>
        </w:rPr>
        <w:t> del</w:t>
      </w:r>
      <w:r>
        <w:rPr>
          <w:color w:val="231F1F"/>
          <w:w w:val="105"/>
        </w:rPr>
        <w:t> parto,</w:t>
      </w:r>
      <w:r>
        <w:rPr>
          <w:color w:val="231F1F"/>
          <w:w w:val="105"/>
        </w:rPr>
        <w:t> a</w:t>
      </w:r>
      <w:r>
        <w:rPr>
          <w:color w:val="231F1F"/>
          <w:w w:val="105"/>
        </w:rPr>
        <w:t> un proceso</w:t>
      </w:r>
      <w:r>
        <w:rPr>
          <w:color w:val="231F1F"/>
          <w:spacing w:val="-2"/>
          <w:w w:val="105"/>
        </w:rPr>
        <w:t> </w:t>
      </w:r>
      <w:r>
        <w:rPr>
          <w:color w:val="231F1F"/>
          <w:w w:val="105"/>
        </w:rPr>
        <w:t>fisiológico</w:t>
      </w:r>
      <w:r>
        <w:rPr>
          <w:color w:val="231F1F"/>
          <w:spacing w:val="-1"/>
          <w:w w:val="105"/>
        </w:rPr>
        <w:t> </w:t>
      </w:r>
      <w:r>
        <w:rPr>
          <w:color w:val="231F1F"/>
          <w:w w:val="105"/>
        </w:rPr>
        <w:t>que</w:t>
      </w:r>
      <w:r>
        <w:rPr>
          <w:color w:val="231F1F"/>
          <w:spacing w:val="-2"/>
          <w:w w:val="105"/>
        </w:rPr>
        <w:t> </w:t>
      </w:r>
      <w:r>
        <w:rPr>
          <w:color w:val="231F1F"/>
          <w:w w:val="105"/>
        </w:rPr>
        <w:t>requiere</w:t>
      </w:r>
      <w:r>
        <w:rPr>
          <w:color w:val="231F1F"/>
          <w:spacing w:val="-2"/>
          <w:w w:val="105"/>
        </w:rPr>
        <w:t> </w:t>
      </w:r>
      <w:r>
        <w:rPr>
          <w:color w:val="231F1F"/>
          <w:w w:val="105"/>
        </w:rPr>
        <w:t>la</w:t>
      </w:r>
      <w:r>
        <w:rPr>
          <w:color w:val="231F1F"/>
          <w:spacing w:val="-2"/>
          <w:w w:val="105"/>
        </w:rPr>
        <w:t> </w:t>
      </w:r>
      <w:r>
        <w:rPr>
          <w:color w:val="231F1F"/>
          <w:w w:val="105"/>
        </w:rPr>
        <w:t>calidad</w:t>
      </w:r>
      <w:r>
        <w:rPr>
          <w:color w:val="231F1F"/>
          <w:spacing w:val="-2"/>
          <w:w w:val="105"/>
        </w:rPr>
        <w:t> </w:t>
      </w:r>
      <w:r>
        <w:rPr>
          <w:color w:val="231F1F"/>
          <w:w w:val="105"/>
        </w:rPr>
        <w:t>y</w:t>
      </w:r>
      <w:r>
        <w:rPr>
          <w:color w:val="231F1F"/>
          <w:spacing w:val="-2"/>
          <w:w w:val="105"/>
        </w:rPr>
        <w:t> </w:t>
      </w:r>
      <w:r>
        <w:rPr>
          <w:color w:val="231F1F"/>
          <w:w w:val="105"/>
        </w:rPr>
        <w:t>calidez</w:t>
      </w:r>
      <w:r>
        <w:rPr>
          <w:color w:val="231F1F"/>
          <w:spacing w:val="-2"/>
          <w:w w:val="105"/>
        </w:rPr>
        <w:t> </w:t>
      </w:r>
      <w:r>
        <w:rPr>
          <w:color w:val="231F1F"/>
          <w:w w:val="105"/>
        </w:rPr>
        <w:t>necesarias</w:t>
      </w:r>
      <w:r>
        <w:rPr>
          <w:color w:val="231F1F"/>
          <w:spacing w:val="-3"/>
          <w:w w:val="105"/>
        </w:rPr>
        <w:t> </w:t>
      </w:r>
      <w:r>
        <w:rPr>
          <w:color w:val="231F1F"/>
          <w:w w:val="105"/>
        </w:rPr>
        <w:t>que</w:t>
      </w:r>
      <w:r>
        <w:rPr>
          <w:color w:val="231F1F"/>
          <w:spacing w:val="-2"/>
          <w:w w:val="105"/>
        </w:rPr>
        <w:t> </w:t>
      </w:r>
      <w:r>
        <w:rPr>
          <w:color w:val="231F1F"/>
          <w:w w:val="105"/>
        </w:rPr>
        <w:t>favorezcan</w:t>
      </w:r>
      <w:r>
        <w:rPr>
          <w:color w:val="231F1F"/>
          <w:spacing w:val="-2"/>
          <w:w w:val="105"/>
        </w:rPr>
        <w:t> </w:t>
      </w:r>
      <w:r>
        <w:rPr>
          <w:color w:val="231F1F"/>
          <w:w w:val="105"/>
        </w:rPr>
        <w:t>una</w:t>
      </w:r>
      <w:r>
        <w:rPr>
          <w:color w:val="231F1F"/>
          <w:spacing w:val="-2"/>
          <w:w w:val="105"/>
        </w:rPr>
        <w:t> </w:t>
      </w:r>
      <w:r>
        <w:rPr>
          <w:color w:val="231F1F"/>
          <w:w w:val="105"/>
        </w:rPr>
        <w:t>vivencia satisfactoria</w:t>
      </w:r>
      <w:r>
        <w:rPr>
          <w:color w:val="231F1F"/>
          <w:w w:val="105"/>
        </w:rPr>
        <w:t> para</w:t>
      </w:r>
      <w:r>
        <w:rPr>
          <w:color w:val="231F1F"/>
          <w:w w:val="105"/>
        </w:rPr>
        <w:t> las</w:t>
      </w:r>
      <w:r>
        <w:rPr>
          <w:color w:val="231F1F"/>
          <w:w w:val="105"/>
        </w:rPr>
        <w:t> mujeres,</w:t>
      </w:r>
      <w:r>
        <w:rPr>
          <w:color w:val="231F1F"/>
          <w:w w:val="105"/>
        </w:rPr>
        <w:t> las/os</w:t>
      </w:r>
      <w:r>
        <w:rPr>
          <w:color w:val="231F1F"/>
          <w:w w:val="105"/>
        </w:rPr>
        <w:t> recién</w:t>
      </w:r>
      <w:r>
        <w:rPr>
          <w:color w:val="231F1F"/>
          <w:w w:val="105"/>
        </w:rPr>
        <w:t> nacidos</w:t>
      </w:r>
      <w:r>
        <w:rPr>
          <w:color w:val="231F1F"/>
          <w:w w:val="105"/>
        </w:rPr>
        <w:t> y</w:t>
      </w:r>
      <w:r>
        <w:rPr>
          <w:color w:val="231F1F"/>
          <w:w w:val="105"/>
        </w:rPr>
        <w:t> la</w:t>
      </w:r>
      <w:r>
        <w:rPr>
          <w:color w:val="231F1F"/>
          <w:w w:val="105"/>
        </w:rPr>
        <w:t> familia.</w:t>
      </w:r>
      <w:r>
        <w:rPr>
          <w:color w:val="231F1F"/>
          <w:w w:val="105"/>
        </w:rPr>
        <w:t> Y</w:t>
      </w:r>
      <w:r>
        <w:rPr>
          <w:color w:val="231F1F"/>
          <w:w w:val="105"/>
        </w:rPr>
        <w:t> presentan</w:t>
      </w:r>
      <w:r>
        <w:rPr>
          <w:color w:val="231F1F"/>
          <w:w w:val="105"/>
        </w:rPr>
        <w:t> la</w:t>
      </w:r>
      <w:r>
        <w:rPr>
          <w:color w:val="231F1F"/>
          <w:w w:val="105"/>
        </w:rPr>
        <w:t> evidencia científica en forma de recomendaciones graduadas según la calidad de los estudios que las </w:t>
      </w:r>
      <w:r>
        <w:rPr>
          <w:color w:val="231F1F"/>
          <w:spacing w:val="-2"/>
          <w:w w:val="105"/>
        </w:rPr>
        <w:t>apoyan.</w:t>
      </w:r>
    </w:p>
    <w:p>
      <w:pPr>
        <w:pStyle w:val="BodyText"/>
        <w:spacing w:line="249" w:lineRule="auto" w:before="128"/>
        <w:ind w:left="283" w:right="120" w:firstLine="453"/>
        <w:jc w:val="both"/>
      </w:pPr>
      <w:r>
        <w:rPr>
          <w:color w:val="231F1F"/>
          <w:w w:val="105"/>
        </w:rPr>
        <w:t>La</w:t>
      </w:r>
      <w:r>
        <w:rPr>
          <w:color w:val="231F1F"/>
          <w:w w:val="105"/>
        </w:rPr>
        <w:t> Agencia</w:t>
      </w:r>
      <w:r>
        <w:rPr>
          <w:color w:val="231F1F"/>
          <w:w w:val="105"/>
        </w:rPr>
        <w:t> de</w:t>
      </w:r>
      <w:r>
        <w:rPr>
          <w:color w:val="231F1F"/>
          <w:w w:val="105"/>
        </w:rPr>
        <w:t> Calidad</w:t>
      </w:r>
      <w:r>
        <w:rPr>
          <w:color w:val="231F1F"/>
          <w:w w:val="105"/>
        </w:rPr>
        <w:t> promueve</w:t>
      </w:r>
      <w:r>
        <w:rPr>
          <w:color w:val="231F1F"/>
          <w:w w:val="105"/>
        </w:rPr>
        <w:t> la</w:t>
      </w:r>
      <w:r>
        <w:rPr>
          <w:color w:val="231F1F"/>
          <w:w w:val="105"/>
        </w:rPr>
        <w:t> elaboración,</w:t>
      </w:r>
      <w:r>
        <w:rPr>
          <w:color w:val="231F1F"/>
          <w:w w:val="105"/>
        </w:rPr>
        <w:t> difusión</w:t>
      </w:r>
      <w:r>
        <w:rPr>
          <w:color w:val="231F1F"/>
          <w:w w:val="105"/>
        </w:rPr>
        <w:t> y</w:t>
      </w:r>
      <w:r>
        <w:rPr>
          <w:color w:val="231F1F"/>
          <w:w w:val="105"/>
        </w:rPr>
        <w:t> utilización</w:t>
      </w:r>
      <w:r>
        <w:rPr>
          <w:color w:val="231F1F"/>
          <w:w w:val="105"/>
        </w:rPr>
        <w:t> de</w:t>
      </w:r>
      <w:r>
        <w:rPr>
          <w:color w:val="231F1F"/>
          <w:w w:val="105"/>
        </w:rPr>
        <w:t> las</w:t>
      </w:r>
      <w:r>
        <w:rPr>
          <w:color w:val="231F1F"/>
          <w:w w:val="105"/>
        </w:rPr>
        <w:t> GPC, consciente de que facilitan a diario la toma de decisiones clínicas y que son una herramien- ta para mejorar los resultados en salud a la vez que vela para que las GPC elaboradas en España sean de calidad.</w:t>
      </w:r>
    </w:p>
    <w:p>
      <w:pPr>
        <w:pStyle w:val="BodyText"/>
        <w:spacing w:line="249" w:lineRule="auto" w:before="138"/>
        <w:ind w:left="283" w:right="120" w:firstLine="453"/>
        <w:jc w:val="both"/>
      </w:pPr>
      <w:r>
        <w:rPr>
          <w:color w:val="231F1F"/>
          <w:w w:val="110"/>
        </w:rPr>
        <w:t>En</w:t>
      </w:r>
      <w:r>
        <w:rPr>
          <w:color w:val="231F1F"/>
          <w:spacing w:val="-13"/>
          <w:w w:val="110"/>
        </w:rPr>
        <w:t> </w:t>
      </w:r>
      <w:r>
        <w:rPr>
          <w:color w:val="231F1F"/>
          <w:w w:val="110"/>
        </w:rPr>
        <w:t>el</w:t>
      </w:r>
      <w:r>
        <w:rPr>
          <w:color w:val="231F1F"/>
          <w:spacing w:val="-14"/>
          <w:w w:val="110"/>
        </w:rPr>
        <w:t> </w:t>
      </w:r>
      <w:r>
        <w:rPr>
          <w:color w:val="231F1F"/>
          <w:w w:val="110"/>
        </w:rPr>
        <w:t>año</w:t>
      </w:r>
      <w:r>
        <w:rPr>
          <w:color w:val="231F1F"/>
          <w:spacing w:val="-13"/>
          <w:w w:val="110"/>
        </w:rPr>
        <w:t> </w:t>
      </w:r>
      <w:r>
        <w:rPr>
          <w:color w:val="231F1F"/>
          <w:w w:val="110"/>
        </w:rPr>
        <w:t>2003,</w:t>
      </w:r>
      <w:r>
        <w:rPr>
          <w:color w:val="231F1F"/>
          <w:spacing w:val="-14"/>
          <w:w w:val="110"/>
        </w:rPr>
        <w:t> </w:t>
      </w:r>
      <w:r>
        <w:rPr>
          <w:color w:val="231F1F"/>
          <w:w w:val="110"/>
        </w:rPr>
        <w:t>el</w:t>
      </w:r>
      <w:r>
        <w:rPr>
          <w:color w:val="231F1F"/>
          <w:spacing w:val="-14"/>
          <w:w w:val="110"/>
        </w:rPr>
        <w:t> </w:t>
      </w:r>
      <w:r>
        <w:rPr>
          <w:color w:val="231F1F"/>
          <w:w w:val="110"/>
        </w:rPr>
        <w:t>Consejo</w:t>
      </w:r>
      <w:r>
        <w:rPr>
          <w:color w:val="231F1F"/>
          <w:spacing w:val="-14"/>
          <w:w w:val="110"/>
        </w:rPr>
        <w:t> </w:t>
      </w:r>
      <w:r>
        <w:rPr>
          <w:color w:val="231F1F"/>
          <w:w w:val="110"/>
        </w:rPr>
        <w:t>Interterritorial</w:t>
      </w:r>
      <w:r>
        <w:rPr>
          <w:color w:val="231F1F"/>
          <w:spacing w:val="-13"/>
          <w:w w:val="110"/>
        </w:rPr>
        <w:t> </w:t>
      </w:r>
      <w:r>
        <w:rPr>
          <w:color w:val="231F1F"/>
          <w:w w:val="110"/>
        </w:rPr>
        <w:t>del</w:t>
      </w:r>
      <w:r>
        <w:rPr>
          <w:color w:val="231F1F"/>
          <w:spacing w:val="-14"/>
          <w:w w:val="110"/>
        </w:rPr>
        <w:t> </w:t>
      </w:r>
      <w:r>
        <w:rPr>
          <w:color w:val="231F1F"/>
          <w:w w:val="110"/>
        </w:rPr>
        <w:t>Sistema</w:t>
      </w:r>
      <w:r>
        <w:rPr>
          <w:color w:val="231F1F"/>
          <w:spacing w:val="-14"/>
          <w:w w:val="110"/>
        </w:rPr>
        <w:t> </w:t>
      </w:r>
      <w:r>
        <w:rPr>
          <w:color w:val="231F1F"/>
          <w:w w:val="110"/>
        </w:rPr>
        <w:t>Nacional</w:t>
      </w:r>
      <w:r>
        <w:rPr>
          <w:color w:val="231F1F"/>
          <w:spacing w:val="-14"/>
          <w:w w:val="110"/>
        </w:rPr>
        <w:t> </w:t>
      </w:r>
      <w:r>
        <w:rPr>
          <w:color w:val="231F1F"/>
          <w:w w:val="110"/>
        </w:rPr>
        <w:t>de</w:t>
      </w:r>
      <w:r>
        <w:rPr>
          <w:color w:val="231F1F"/>
          <w:spacing w:val="-14"/>
          <w:w w:val="110"/>
        </w:rPr>
        <w:t> </w:t>
      </w:r>
      <w:r>
        <w:rPr>
          <w:color w:val="231F1F"/>
          <w:w w:val="110"/>
        </w:rPr>
        <w:t>Salud</w:t>
      </w:r>
      <w:r>
        <w:rPr>
          <w:color w:val="231F1F"/>
          <w:spacing w:val="-14"/>
          <w:w w:val="110"/>
        </w:rPr>
        <w:t> </w:t>
      </w:r>
      <w:r>
        <w:rPr>
          <w:color w:val="231F1F"/>
          <w:w w:val="110"/>
        </w:rPr>
        <w:t>(SNS)</w:t>
      </w:r>
      <w:r>
        <w:rPr>
          <w:color w:val="231F1F"/>
          <w:spacing w:val="-14"/>
          <w:w w:val="110"/>
        </w:rPr>
        <w:t> </w:t>
      </w:r>
      <w:r>
        <w:rPr>
          <w:color w:val="231F1F"/>
          <w:w w:val="110"/>
        </w:rPr>
        <w:t>creó el proyecto GuíaSalud, que tiene como objeto final la mejora en la toma de decisiones clínicas basadas en la evidencia científica, a través de actividades de formación y de la </w:t>
      </w:r>
      <w:r>
        <w:rPr>
          <w:color w:val="231F1F"/>
        </w:rPr>
        <w:t>configuración de un registro de GPC en el SNS. Desde entonces, el proyecto GuíaSalud ha </w:t>
      </w:r>
      <w:r>
        <w:rPr>
          <w:color w:val="231F1F"/>
          <w:w w:val="110"/>
        </w:rPr>
        <w:t>evaluado decenas de GPC de acuerdo con criterios explícitos generados por su comité científico, las ha registrado y las ha difundido a través de Internet.</w:t>
      </w:r>
    </w:p>
    <w:p>
      <w:pPr>
        <w:pStyle w:val="BodyText"/>
        <w:spacing w:line="249" w:lineRule="auto" w:before="140"/>
        <w:ind w:left="283" w:right="120" w:firstLine="453"/>
        <w:jc w:val="both"/>
      </w:pPr>
      <w:r>
        <w:rPr>
          <w:color w:val="231F1F"/>
          <w:w w:val="105"/>
        </w:rPr>
        <w:t>A</w:t>
      </w:r>
      <w:r>
        <w:rPr>
          <w:color w:val="231F1F"/>
          <w:w w:val="105"/>
        </w:rPr>
        <w:t> principios</w:t>
      </w:r>
      <w:r>
        <w:rPr>
          <w:color w:val="231F1F"/>
          <w:w w:val="105"/>
        </w:rPr>
        <w:t> del</w:t>
      </w:r>
      <w:r>
        <w:rPr>
          <w:color w:val="231F1F"/>
          <w:w w:val="105"/>
        </w:rPr>
        <w:t> año</w:t>
      </w:r>
      <w:r>
        <w:rPr>
          <w:color w:val="231F1F"/>
          <w:w w:val="105"/>
        </w:rPr>
        <w:t> 2006</w:t>
      </w:r>
      <w:r>
        <w:rPr>
          <w:color w:val="231F1F"/>
          <w:w w:val="105"/>
        </w:rPr>
        <w:t> la</w:t>
      </w:r>
      <w:r>
        <w:rPr>
          <w:color w:val="231F1F"/>
          <w:w w:val="105"/>
        </w:rPr>
        <w:t> Dirección</w:t>
      </w:r>
      <w:r>
        <w:rPr>
          <w:color w:val="231F1F"/>
          <w:w w:val="105"/>
        </w:rPr>
        <w:t> General</w:t>
      </w:r>
      <w:r>
        <w:rPr>
          <w:color w:val="231F1F"/>
          <w:w w:val="105"/>
        </w:rPr>
        <w:t> de</w:t>
      </w:r>
      <w:r>
        <w:rPr>
          <w:color w:val="231F1F"/>
          <w:w w:val="105"/>
        </w:rPr>
        <w:t> la</w:t>
      </w:r>
      <w:r>
        <w:rPr>
          <w:color w:val="231F1F"/>
          <w:w w:val="105"/>
        </w:rPr>
        <w:t> Agencia</w:t>
      </w:r>
      <w:r>
        <w:rPr>
          <w:color w:val="231F1F"/>
          <w:w w:val="105"/>
        </w:rPr>
        <w:t> de</w:t>
      </w:r>
      <w:r>
        <w:rPr>
          <w:color w:val="231F1F"/>
          <w:w w:val="105"/>
        </w:rPr>
        <w:t> Calidad</w:t>
      </w:r>
      <w:r>
        <w:rPr>
          <w:color w:val="231F1F"/>
          <w:w w:val="105"/>
        </w:rPr>
        <w:t> del</w:t>
      </w:r>
      <w:r>
        <w:rPr>
          <w:color w:val="231F1F"/>
          <w:w w:val="105"/>
        </w:rPr>
        <w:t> SNS elaboró el Plan de Calidad para el SNS, que se despliega en doce estrategias. El propósito</w:t>
      </w:r>
      <w:r>
        <w:rPr>
          <w:color w:val="231F1F"/>
          <w:spacing w:val="40"/>
          <w:w w:val="105"/>
        </w:rPr>
        <w:t> </w:t>
      </w:r>
      <w:r>
        <w:rPr>
          <w:color w:val="231F1F"/>
          <w:w w:val="105"/>
        </w:rPr>
        <w:t>de este</w:t>
      </w:r>
      <w:r>
        <w:rPr>
          <w:color w:val="231F1F"/>
          <w:spacing w:val="22"/>
          <w:w w:val="105"/>
        </w:rPr>
        <w:t> </w:t>
      </w:r>
      <w:r>
        <w:rPr>
          <w:color w:val="231F1F"/>
          <w:w w:val="105"/>
        </w:rPr>
        <w:t>Plan es incrementar la</w:t>
      </w:r>
      <w:r>
        <w:rPr>
          <w:color w:val="231F1F"/>
          <w:spacing w:val="22"/>
          <w:w w:val="105"/>
        </w:rPr>
        <w:t> </w:t>
      </w:r>
      <w:r>
        <w:rPr>
          <w:color w:val="231F1F"/>
          <w:w w:val="105"/>
        </w:rPr>
        <w:t>cohesión</w:t>
      </w:r>
      <w:r>
        <w:rPr>
          <w:color w:val="231F1F"/>
          <w:spacing w:val="23"/>
          <w:w w:val="105"/>
        </w:rPr>
        <w:t> </w:t>
      </w:r>
      <w:r>
        <w:rPr>
          <w:color w:val="231F1F"/>
          <w:w w:val="105"/>
        </w:rPr>
        <w:t>del SNS</w:t>
      </w:r>
      <w:r>
        <w:rPr>
          <w:color w:val="231F1F"/>
          <w:spacing w:val="22"/>
          <w:w w:val="105"/>
        </w:rPr>
        <w:t> </w:t>
      </w:r>
      <w:r>
        <w:rPr>
          <w:color w:val="231F1F"/>
          <w:w w:val="105"/>
        </w:rPr>
        <w:t>y</w:t>
      </w:r>
      <w:r>
        <w:rPr>
          <w:color w:val="231F1F"/>
          <w:spacing w:val="22"/>
          <w:w w:val="105"/>
        </w:rPr>
        <w:t> </w:t>
      </w:r>
      <w:r>
        <w:rPr>
          <w:color w:val="231F1F"/>
          <w:w w:val="105"/>
        </w:rPr>
        <w:t>ayudar</w:t>
      </w:r>
      <w:r>
        <w:rPr>
          <w:color w:val="231F1F"/>
          <w:spacing w:val="23"/>
          <w:w w:val="105"/>
        </w:rPr>
        <w:t> </w:t>
      </w:r>
      <w:r>
        <w:rPr>
          <w:color w:val="231F1F"/>
          <w:w w:val="105"/>
        </w:rPr>
        <w:t>a</w:t>
      </w:r>
      <w:r>
        <w:rPr>
          <w:color w:val="231F1F"/>
          <w:spacing w:val="22"/>
          <w:w w:val="105"/>
        </w:rPr>
        <w:t> </w:t>
      </w:r>
      <w:r>
        <w:rPr>
          <w:color w:val="231F1F"/>
          <w:w w:val="105"/>
        </w:rPr>
        <w:t>garantizar la</w:t>
      </w:r>
      <w:r>
        <w:rPr>
          <w:color w:val="231F1F"/>
          <w:spacing w:val="22"/>
          <w:w w:val="105"/>
        </w:rPr>
        <w:t> </w:t>
      </w:r>
      <w:r>
        <w:rPr>
          <w:color w:val="231F1F"/>
          <w:w w:val="105"/>
        </w:rPr>
        <w:t>máxima</w:t>
      </w:r>
      <w:r>
        <w:rPr>
          <w:color w:val="231F1F"/>
          <w:spacing w:val="22"/>
          <w:w w:val="105"/>
        </w:rPr>
        <w:t> </w:t>
      </w:r>
      <w:r>
        <w:rPr>
          <w:color w:val="231F1F"/>
          <w:w w:val="105"/>
        </w:rPr>
        <w:t>calidad de la atención sanitaria a todos los ciudadanos con independencia de su lugar de residencia.</w:t>
      </w:r>
    </w:p>
    <w:p>
      <w:pPr>
        <w:pStyle w:val="BodyText"/>
        <w:spacing w:line="247" w:lineRule="auto" w:before="138"/>
        <w:ind w:left="283" w:right="121" w:firstLine="453"/>
        <w:jc w:val="both"/>
      </w:pPr>
      <w:r>
        <w:rPr>
          <w:color w:val="231F1F"/>
          <w:w w:val="110"/>
        </w:rPr>
        <w:t>La estrategia décima del Plan se dirige a la Mejora de la Práctica Clínica e incluye entre</w:t>
      </w:r>
      <w:r>
        <w:rPr>
          <w:color w:val="231F1F"/>
          <w:spacing w:val="-13"/>
          <w:w w:val="110"/>
        </w:rPr>
        <w:t> </w:t>
      </w:r>
      <w:r>
        <w:rPr>
          <w:color w:val="231F1F"/>
          <w:w w:val="110"/>
        </w:rPr>
        <w:t>sus</w:t>
      </w:r>
      <w:r>
        <w:rPr>
          <w:color w:val="231F1F"/>
          <w:spacing w:val="-13"/>
          <w:w w:val="110"/>
        </w:rPr>
        <w:t> </w:t>
      </w:r>
      <w:r>
        <w:rPr>
          <w:color w:val="231F1F"/>
          <w:w w:val="110"/>
        </w:rPr>
        <w:t>objetivos</w:t>
      </w:r>
      <w:r>
        <w:rPr>
          <w:color w:val="231F1F"/>
          <w:spacing w:val="-13"/>
          <w:w w:val="110"/>
        </w:rPr>
        <w:t> </w:t>
      </w:r>
      <w:r>
        <w:rPr>
          <w:color w:val="231F1F"/>
          <w:w w:val="110"/>
        </w:rPr>
        <w:t>la</w:t>
      </w:r>
      <w:r>
        <w:rPr>
          <w:color w:val="231F1F"/>
          <w:spacing w:val="-13"/>
          <w:w w:val="110"/>
        </w:rPr>
        <w:t> </w:t>
      </w:r>
      <w:r>
        <w:rPr>
          <w:color w:val="231F1F"/>
          <w:w w:val="110"/>
        </w:rPr>
        <w:t>disminución</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variabilidad</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práctica</w:t>
      </w:r>
      <w:r>
        <w:rPr>
          <w:color w:val="231F1F"/>
          <w:spacing w:val="-13"/>
          <w:w w:val="110"/>
        </w:rPr>
        <w:t> </w:t>
      </w:r>
      <w:r>
        <w:rPr>
          <w:color w:val="231F1F"/>
          <w:w w:val="110"/>
        </w:rPr>
        <w:t>clínica</w:t>
      </w:r>
      <w:r>
        <w:rPr>
          <w:color w:val="231F1F"/>
          <w:spacing w:val="-13"/>
          <w:w w:val="110"/>
        </w:rPr>
        <w:t> </w:t>
      </w:r>
      <w:r>
        <w:rPr>
          <w:color w:val="231F1F"/>
          <w:w w:val="110"/>
        </w:rPr>
        <w:t>y</w:t>
      </w:r>
      <w:r>
        <w:rPr>
          <w:color w:val="231F1F"/>
          <w:spacing w:val="-13"/>
          <w:w w:val="110"/>
        </w:rPr>
        <w:t> </w:t>
      </w:r>
      <w:r>
        <w:rPr>
          <w:color w:val="231F1F"/>
          <w:w w:val="110"/>
        </w:rPr>
        <w:t>el</w:t>
      </w:r>
      <w:r>
        <w:rPr>
          <w:color w:val="231F1F"/>
          <w:spacing w:val="-13"/>
          <w:w w:val="110"/>
        </w:rPr>
        <w:t> </w:t>
      </w:r>
      <w:r>
        <w:rPr>
          <w:color w:val="231F1F"/>
          <w:w w:val="110"/>
        </w:rPr>
        <w:t>fomento</w:t>
      </w:r>
      <w:r>
        <w:rPr>
          <w:color w:val="231F1F"/>
          <w:spacing w:val="-13"/>
          <w:w w:val="110"/>
        </w:rPr>
        <w:t> </w:t>
      </w:r>
      <w:r>
        <w:rPr>
          <w:color w:val="231F1F"/>
          <w:w w:val="110"/>
        </w:rPr>
        <w:t>de la</w:t>
      </w:r>
      <w:r>
        <w:rPr>
          <w:color w:val="231F1F"/>
          <w:spacing w:val="-16"/>
          <w:w w:val="110"/>
        </w:rPr>
        <w:t> </w:t>
      </w:r>
      <w:r>
        <w:rPr>
          <w:color w:val="231F1F"/>
          <w:w w:val="110"/>
        </w:rPr>
        <w:t>elaboración</w:t>
      </w:r>
      <w:r>
        <w:rPr>
          <w:color w:val="231F1F"/>
          <w:spacing w:val="-15"/>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GPC.</w:t>
      </w:r>
      <w:r>
        <w:rPr>
          <w:color w:val="231F1F"/>
          <w:spacing w:val="-15"/>
          <w:w w:val="110"/>
        </w:rPr>
        <w:t> </w:t>
      </w:r>
      <w:r>
        <w:rPr>
          <w:color w:val="231F1F"/>
          <w:w w:val="110"/>
        </w:rPr>
        <w:t>GuíaSalud,</w:t>
      </w:r>
      <w:r>
        <w:rPr>
          <w:color w:val="231F1F"/>
          <w:spacing w:val="-15"/>
          <w:w w:val="110"/>
        </w:rPr>
        <w:t> </w:t>
      </w:r>
      <w:r>
        <w:rPr>
          <w:color w:val="231F1F"/>
          <w:w w:val="110"/>
        </w:rPr>
        <w:t>en</w:t>
      </w:r>
      <w:r>
        <w:rPr>
          <w:color w:val="231F1F"/>
          <w:spacing w:val="-16"/>
          <w:w w:val="110"/>
        </w:rPr>
        <w:t> </w:t>
      </w:r>
      <w:r>
        <w:rPr>
          <w:color w:val="231F1F"/>
          <w:w w:val="110"/>
        </w:rPr>
        <w:t>lo</w:t>
      </w:r>
      <w:r>
        <w:rPr>
          <w:color w:val="231F1F"/>
          <w:spacing w:val="-15"/>
          <w:w w:val="110"/>
        </w:rPr>
        <w:t> </w:t>
      </w:r>
      <w:r>
        <w:rPr>
          <w:color w:val="231F1F"/>
          <w:w w:val="110"/>
        </w:rPr>
        <w:t>que</w:t>
      </w:r>
      <w:r>
        <w:rPr>
          <w:color w:val="231F1F"/>
          <w:spacing w:val="-15"/>
          <w:w w:val="110"/>
        </w:rPr>
        <w:t> </w:t>
      </w:r>
      <w:r>
        <w:rPr>
          <w:color w:val="231F1F"/>
          <w:w w:val="110"/>
        </w:rPr>
        <w:t>respecta</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creación</w:t>
      </w:r>
      <w:r>
        <w:rPr>
          <w:color w:val="231F1F"/>
          <w:spacing w:val="-15"/>
          <w:w w:val="110"/>
        </w:rPr>
        <w:t> </w:t>
      </w:r>
      <w:r>
        <w:rPr>
          <w:color w:val="231F1F"/>
          <w:w w:val="110"/>
        </w:rPr>
        <w:t>de</w:t>
      </w:r>
      <w:r>
        <w:rPr>
          <w:color w:val="231F1F"/>
          <w:spacing w:val="-15"/>
          <w:w w:val="110"/>
        </w:rPr>
        <w:t> </w:t>
      </w:r>
      <w:r>
        <w:rPr>
          <w:color w:val="231F1F"/>
          <w:w w:val="110"/>
        </w:rPr>
        <w:t>un</w:t>
      </w:r>
      <w:r>
        <w:rPr>
          <w:color w:val="231F1F"/>
          <w:spacing w:val="-16"/>
          <w:w w:val="110"/>
        </w:rPr>
        <w:t> </w:t>
      </w:r>
      <w:r>
        <w:rPr>
          <w:color w:val="231F1F"/>
          <w:w w:val="110"/>
        </w:rPr>
        <w:t>registro, la</w:t>
      </w:r>
      <w:r>
        <w:rPr>
          <w:color w:val="231F1F"/>
          <w:spacing w:val="-16"/>
          <w:w w:val="110"/>
        </w:rPr>
        <w:t> </w:t>
      </w:r>
      <w:r>
        <w:rPr>
          <w:color w:val="231F1F"/>
          <w:w w:val="110"/>
        </w:rPr>
        <w:t>formación</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asesoría,</w:t>
      </w:r>
      <w:r>
        <w:rPr>
          <w:color w:val="231F1F"/>
          <w:spacing w:val="-15"/>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Programa</w:t>
      </w:r>
      <w:r>
        <w:rPr>
          <w:color w:val="231F1F"/>
          <w:spacing w:val="-15"/>
          <w:w w:val="110"/>
        </w:rPr>
        <w:t> </w:t>
      </w:r>
      <w:r>
        <w:rPr>
          <w:color w:val="231F1F"/>
          <w:w w:val="110"/>
        </w:rPr>
        <w:t>de</w:t>
      </w:r>
      <w:r>
        <w:rPr>
          <w:color w:val="231F1F"/>
          <w:spacing w:val="-16"/>
          <w:w w:val="110"/>
        </w:rPr>
        <w:t> </w:t>
      </w:r>
      <w:r>
        <w:rPr>
          <w:color w:val="231F1F"/>
          <w:w w:val="110"/>
        </w:rPr>
        <w:t>elaboración</w:t>
      </w:r>
      <w:r>
        <w:rPr>
          <w:color w:val="231F1F"/>
          <w:spacing w:val="-15"/>
          <w:w w:val="110"/>
        </w:rPr>
        <w:t> </w:t>
      </w:r>
      <w:r>
        <w:rPr>
          <w:color w:val="231F1F"/>
          <w:w w:val="110"/>
        </w:rPr>
        <w:t>de</w:t>
      </w:r>
      <w:r>
        <w:rPr>
          <w:color w:val="231F1F"/>
          <w:spacing w:val="-15"/>
          <w:w w:val="110"/>
        </w:rPr>
        <w:t> </w:t>
      </w:r>
      <w:r>
        <w:rPr>
          <w:color w:val="231F1F"/>
          <w:w w:val="110"/>
        </w:rPr>
        <w:t>GPC,</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creación</w:t>
      </w:r>
      <w:r>
        <w:rPr>
          <w:color w:val="231F1F"/>
          <w:spacing w:val="-15"/>
          <w:w w:val="110"/>
        </w:rPr>
        <w:t> </w:t>
      </w:r>
      <w:r>
        <w:rPr>
          <w:color w:val="231F1F"/>
          <w:w w:val="110"/>
        </w:rPr>
        <w:t>de</w:t>
      </w:r>
      <w:r>
        <w:rPr>
          <w:color w:val="231F1F"/>
          <w:spacing w:val="-15"/>
          <w:w w:val="110"/>
        </w:rPr>
        <w:t> </w:t>
      </w:r>
      <w:r>
        <w:rPr>
          <w:color w:val="231F1F"/>
          <w:w w:val="110"/>
        </w:rPr>
        <w:t>nuevas guías, están dando respuesta a los objetivos planteados en el plan de calidad.</w:t>
      </w:r>
    </w:p>
    <w:p>
      <w:pPr>
        <w:pStyle w:val="BodyText"/>
        <w:spacing w:line="244" w:lineRule="auto" w:before="142"/>
        <w:ind w:left="283" w:right="123" w:firstLine="453"/>
        <w:jc w:val="both"/>
      </w:pPr>
      <w:r>
        <w:rPr>
          <w:color w:val="231F1F"/>
          <w:w w:val="110"/>
        </w:rPr>
        <w:t>Desde</w:t>
      </w:r>
      <w:r>
        <w:rPr>
          <w:color w:val="231F1F"/>
          <w:spacing w:val="-16"/>
          <w:w w:val="110"/>
        </w:rPr>
        <w:t> </w:t>
      </w:r>
      <w:r>
        <w:rPr>
          <w:color w:val="231F1F"/>
          <w:w w:val="110"/>
        </w:rPr>
        <w:t>el</w:t>
      </w:r>
      <w:r>
        <w:rPr>
          <w:color w:val="231F1F"/>
          <w:spacing w:val="-15"/>
          <w:w w:val="110"/>
        </w:rPr>
        <w:t> </w:t>
      </w:r>
      <w:r>
        <w:rPr>
          <w:color w:val="231F1F"/>
          <w:w w:val="110"/>
        </w:rPr>
        <w:t>año</w:t>
      </w:r>
      <w:r>
        <w:rPr>
          <w:color w:val="231F1F"/>
          <w:spacing w:val="-15"/>
          <w:w w:val="110"/>
        </w:rPr>
        <w:t> </w:t>
      </w:r>
      <w:r>
        <w:rPr>
          <w:color w:val="231F1F"/>
          <w:w w:val="110"/>
        </w:rPr>
        <w:t>2006</w:t>
      </w:r>
      <w:r>
        <w:rPr>
          <w:color w:val="231F1F"/>
          <w:spacing w:val="-15"/>
          <w:w w:val="110"/>
        </w:rPr>
        <w:t> </w:t>
      </w:r>
      <w:r>
        <w:rPr>
          <w:color w:val="231F1F"/>
          <w:w w:val="110"/>
        </w:rPr>
        <w:t>se</w:t>
      </w:r>
      <w:r>
        <w:rPr>
          <w:color w:val="231F1F"/>
          <w:spacing w:val="-15"/>
          <w:w w:val="110"/>
        </w:rPr>
        <w:t> </w:t>
      </w:r>
      <w:r>
        <w:rPr>
          <w:color w:val="231F1F"/>
          <w:w w:val="110"/>
        </w:rPr>
        <w:t>han</w:t>
      </w:r>
      <w:r>
        <w:rPr>
          <w:color w:val="231F1F"/>
          <w:spacing w:val="-15"/>
          <w:w w:val="110"/>
        </w:rPr>
        <w:t> </w:t>
      </w:r>
      <w:r>
        <w:rPr>
          <w:color w:val="231F1F"/>
          <w:w w:val="110"/>
        </w:rPr>
        <w:t>abordado,</w:t>
      </w:r>
      <w:r>
        <w:rPr>
          <w:color w:val="231F1F"/>
          <w:spacing w:val="-15"/>
          <w:w w:val="110"/>
        </w:rPr>
        <w:t> </w:t>
      </w:r>
      <w:r>
        <w:rPr>
          <w:color w:val="231F1F"/>
          <w:w w:val="110"/>
        </w:rPr>
        <w:t>con</w:t>
      </w:r>
      <w:r>
        <w:rPr>
          <w:color w:val="231F1F"/>
          <w:spacing w:val="-15"/>
          <w:w w:val="110"/>
        </w:rPr>
        <w:t> </w:t>
      </w:r>
      <w:r>
        <w:rPr>
          <w:color w:val="231F1F"/>
          <w:w w:val="110"/>
        </w:rPr>
        <w:t>la</w:t>
      </w:r>
      <w:r>
        <w:rPr>
          <w:color w:val="231F1F"/>
          <w:spacing w:val="-16"/>
          <w:w w:val="110"/>
        </w:rPr>
        <w:t> </w:t>
      </w:r>
      <w:r>
        <w:rPr>
          <w:color w:val="231F1F"/>
          <w:w w:val="110"/>
        </w:rPr>
        <w:t>participación</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sociedades</w:t>
      </w:r>
      <w:r>
        <w:rPr>
          <w:color w:val="231F1F"/>
          <w:spacing w:val="-15"/>
          <w:w w:val="110"/>
        </w:rPr>
        <w:t> </w:t>
      </w:r>
      <w:r>
        <w:rPr>
          <w:color w:val="231F1F"/>
          <w:w w:val="110"/>
        </w:rPr>
        <w:t>científicas implicadas, GPC como ésta sobre la atención al parto normal que hoy se presenta.</w:t>
      </w:r>
    </w:p>
    <w:p>
      <w:pPr>
        <w:pStyle w:val="BodyText"/>
        <w:spacing w:line="249" w:lineRule="auto" w:before="155"/>
        <w:ind w:left="283" w:right="121" w:firstLine="453"/>
        <w:jc w:val="both"/>
      </w:pPr>
      <w:r>
        <w:rPr>
          <w:color w:val="231F1F"/>
          <w:w w:val="110"/>
        </w:rPr>
        <w:t>La guía que se presenta a continuación es la herramienta de acompañamiento de la Estrategia de Atención al Parto Normal en el SNS para facilitar su implementación por </w:t>
      </w:r>
      <w:r>
        <w:rPr>
          <w:color w:val="231F1F"/>
        </w:rPr>
        <w:t>matronas,</w:t>
      </w:r>
      <w:r>
        <w:rPr>
          <w:color w:val="231F1F"/>
          <w:spacing w:val="40"/>
        </w:rPr>
        <w:t> </w:t>
      </w:r>
      <w:r>
        <w:rPr>
          <w:color w:val="231F1F"/>
        </w:rPr>
        <w:t>obstetras,</w:t>
      </w:r>
      <w:r>
        <w:rPr>
          <w:color w:val="231F1F"/>
          <w:spacing w:val="40"/>
        </w:rPr>
        <w:t> </w:t>
      </w:r>
      <w:r>
        <w:rPr>
          <w:color w:val="231F1F"/>
        </w:rPr>
        <w:t>pediatras,</w:t>
      </w:r>
      <w:r>
        <w:rPr>
          <w:color w:val="231F1F"/>
          <w:spacing w:val="40"/>
        </w:rPr>
        <w:t> </w:t>
      </w:r>
      <w:r>
        <w:rPr>
          <w:color w:val="231F1F"/>
        </w:rPr>
        <w:t>enfermería</w:t>
      </w:r>
      <w:r>
        <w:rPr>
          <w:color w:val="231F1F"/>
          <w:spacing w:val="40"/>
        </w:rPr>
        <w:t> </w:t>
      </w:r>
      <w:r>
        <w:rPr>
          <w:color w:val="231F1F"/>
        </w:rPr>
        <w:t>y</w:t>
      </w:r>
      <w:r>
        <w:rPr>
          <w:color w:val="231F1F"/>
          <w:spacing w:val="40"/>
        </w:rPr>
        <w:t> </w:t>
      </w:r>
      <w:r>
        <w:rPr>
          <w:color w:val="231F1F"/>
        </w:rPr>
        <w:t>demás</w:t>
      </w:r>
      <w:r>
        <w:rPr>
          <w:color w:val="231F1F"/>
          <w:spacing w:val="40"/>
        </w:rPr>
        <w:t> </w:t>
      </w:r>
      <w:r>
        <w:rPr>
          <w:color w:val="231F1F"/>
        </w:rPr>
        <w:t>profesionales</w:t>
      </w:r>
      <w:r>
        <w:rPr>
          <w:color w:val="231F1F"/>
          <w:spacing w:val="40"/>
        </w:rPr>
        <w:t> </w:t>
      </w:r>
      <w:r>
        <w:rPr>
          <w:color w:val="231F1F"/>
        </w:rPr>
        <w:t>implicados</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atención</w:t>
      </w:r>
      <w:r>
        <w:rPr>
          <w:color w:val="231F1F"/>
          <w:spacing w:val="40"/>
          <w:w w:val="110"/>
        </w:rPr>
        <w:t> </w:t>
      </w:r>
      <w:r>
        <w:rPr>
          <w:color w:val="231F1F"/>
          <w:w w:val="110"/>
        </w:rPr>
        <w:t>a</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parto.</w:t>
      </w:r>
      <w:r>
        <w:rPr>
          <w:color w:val="231F1F"/>
          <w:spacing w:val="-11"/>
          <w:w w:val="110"/>
        </w:rPr>
        <w:t> </w:t>
      </w:r>
      <w:r>
        <w:rPr>
          <w:color w:val="231F1F"/>
          <w:w w:val="110"/>
        </w:rPr>
        <w:t>Esta</w:t>
      </w:r>
      <w:r>
        <w:rPr>
          <w:color w:val="231F1F"/>
          <w:spacing w:val="-10"/>
          <w:w w:val="110"/>
        </w:rPr>
        <w:t> </w:t>
      </w:r>
      <w:r>
        <w:rPr>
          <w:color w:val="231F1F"/>
          <w:w w:val="110"/>
        </w:rPr>
        <w:t>Guía</w:t>
      </w:r>
      <w:r>
        <w:rPr>
          <w:color w:val="231F1F"/>
          <w:spacing w:val="-10"/>
          <w:w w:val="110"/>
        </w:rPr>
        <w:t> </w:t>
      </w:r>
      <w:r>
        <w:rPr>
          <w:color w:val="231F1F"/>
          <w:w w:val="110"/>
        </w:rPr>
        <w:t>es</w:t>
      </w:r>
      <w:r>
        <w:rPr>
          <w:color w:val="231F1F"/>
          <w:spacing w:val="-11"/>
          <w:w w:val="110"/>
        </w:rPr>
        <w:t> </w:t>
      </w:r>
      <w:r>
        <w:rPr>
          <w:color w:val="231F1F"/>
          <w:w w:val="110"/>
        </w:rPr>
        <w:t>el</w:t>
      </w:r>
      <w:r>
        <w:rPr>
          <w:color w:val="231F1F"/>
          <w:spacing w:val="-11"/>
          <w:w w:val="110"/>
        </w:rPr>
        <w:t> </w:t>
      </w:r>
      <w:r>
        <w:rPr>
          <w:color w:val="231F1F"/>
          <w:w w:val="110"/>
        </w:rPr>
        <w:t>resultado</w:t>
      </w:r>
      <w:r>
        <w:rPr>
          <w:color w:val="231F1F"/>
          <w:spacing w:val="-10"/>
          <w:w w:val="110"/>
        </w:rPr>
        <w:t> </w:t>
      </w:r>
      <w:r>
        <w:rPr>
          <w:color w:val="231F1F"/>
          <w:w w:val="110"/>
        </w:rPr>
        <w:t>del</w:t>
      </w:r>
      <w:r>
        <w:rPr>
          <w:color w:val="231F1F"/>
          <w:spacing w:val="-11"/>
          <w:w w:val="110"/>
        </w:rPr>
        <w:t> </w:t>
      </w:r>
      <w:r>
        <w:rPr>
          <w:color w:val="231F1F"/>
          <w:w w:val="110"/>
        </w:rPr>
        <w:t>trabajo</w:t>
      </w:r>
      <w:r>
        <w:rPr>
          <w:color w:val="231F1F"/>
          <w:spacing w:val="-10"/>
          <w:w w:val="110"/>
        </w:rPr>
        <w:t> </w:t>
      </w:r>
      <w:r>
        <w:rPr>
          <w:color w:val="231F1F"/>
          <w:w w:val="110"/>
        </w:rPr>
        <w:t>de</w:t>
      </w:r>
      <w:r>
        <w:rPr>
          <w:color w:val="231F1F"/>
          <w:spacing w:val="-10"/>
          <w:w w:val="110"/>
        </w:rPr>
        <w:t> </w:t>
      </w:r>
      <w:r>
        <w:rPr>
          <w:color w:val="231F1F"/>
          <w:w w:val="110"/>
        </w:rPr>
        <w:t>un</w:t>
      </w:r>
      <w:r>
        <w:rPr>
          <w:color w:val="231F1F"/>
          <w:spacing w:val="-10"/>
          <w:w w:val="110"/>
        </w:rPr>
        <w:t> </w:t>
      </w:r>
      <w:r>
        <w:rPr>
          <w:color w:val="231F1F"/>
          <w:w w:val="110"/>
        </w:rPr>
        <w:t>amplio</w:t>
      </w:r>
      <w:r>
        <w:rPr>
          <w:color w:val="231F1F"/>
          <w:spacing w:val="-11"/>
          <w:w w:val="110"/>
        </w:rPr>
        <w:t> </w:t>
      </w:r>
      <w:r>
        <w:rPr>
          <w:color w:val="231F1F"/>
          <w:w w:val="110"/>
        </w:rPr>
        <w:t>grupo</w:t>
      </w:r>
      <w:r>
        <w:rPr>
          <w:color w:val="231F1F"/>
          <w:spacing w:val="-10"/>
          <w:w w:val="110"/>
        </w:rPr>
        <w:t> </w:t>
      </w:r>
      <w:r>
        <w:rPr>
          <w:color w:val="231F1F"/>
          <w:w w:val="110"/>
        </w:rPr>
        <w:t>de</w:t>
      </w:r>
      <w:r>
        <w:rPr>
          <w:color w:val="231F1F"/>
          <w:spacing w:val="-10"/>
          <w:w w:val="110"/>
        </w:rPr>
        <w:t> </w:t>
      </w:r>
      <w:r>
        <w:rPr>
          <w:color w:val="231F1F"/>
          <w:w w:val="110"/>
        </w:rPr>
        <w:t>pro- fesionales,</w:t>
      </w:r>
      <w:r>
        <w:rPr>
          <w:color w:val="231F1F"/>
          <w:spacing w:val="-1"/>
          <w:w w:val="110"/>
        </w:rPr>
        <w:t> </w:t>
      </w:r>
      <w:r>
        <w:rPr>
          <w:color w:val="231F1F"/>
          <w:w w:val="110"/>
        </w:rPr>
        <w:t>procedentes</w:t>
      </w:r>
      <w:r>
        <w:rPr>
          <w:color w:val="231F1F"/>
          <w:spacing w:val="-2"/>
          <w:w w:val="110"/>
        </w:rPr>
        <w:t> </w:t>
      </w:r>
      <w:r>
        <w:rPr>
          <w:color w:val="231F1F"/>
          <w:w w:val="110"/>
        </w:rPr>
        <w:t>de</w:t>
      </w:r>
      <w:r>
        <w:rPr>
          <w:color w:val="231F1F"/>
          <w:spacing w:val="-1"/>
          <w:w w:val="110"/>
        </w:rPr>
        <w:t> </w:t>
      </w:r>
      <w:r>
        <w:rPr>
          <w:color w:val="231F1F"/>
          <w:w w:val="110"/>
        </w:rPr>
        <w:t>diferentes</w:t>
      </w:r>
      <w:r>
        <w:rPr>
          <w:color w:val="231F1F"/>
          <w:spacing w:val="-2"/>
          <w:w w:val="110"/>
        </w:rPr>
        <w:t> </w:t>
      </w:r>
      <w:r>
        <w:rPr>
          <w:color w:val="231F1F"/>
          <w:w w:val="110"/>
        </w:rPr>
        <w:t>Comunidades</w:t>
      </w:r>
      <w:r>
        <w:rPr>
          <w:color w:val="231F1F"/>
          <w:spacing w:val="-2"/>
          <w:w w:val="110"/>
        </w:rPr>
        <w:t> </w:t>
      </w:r>
      <w:r>
        <w:rPr>
          <w:color w:val="231F1F"/>
          <w:w w:val="110"/>
        </w:rPr>
        <w:t>Autónomas,</w:t>
      </w:r>
      <w:r>
        <w:rPr>
          <w:color w:val="231F1F"/>
          <w:spacing w:val="-1"/>
          <w:w w:val="110"/>
        </w:rPr>
        <w:t> </w:t>
      </w:r>
      <w:r>
        <w:rPr>
          <w:color w:val="231F1F"/>
          <w:w w:val="110"/>
        </w:rPr>
        <w:t>que</w:t>
      </w:r>
      <w:r>
        <w:rPr>
          <w:color w:val="231F1F"/>
          <w:spacing w:val="-1"/>
          <w:w w:val="110"/>
        </w:rPr>
        <w:t> </w:t>
      </w:r>
      <w:r>
        <w:rPr>
          <w:color w:val="231F1F"/>
          <w:w w:val="110"/>
        </w:rPr>
        <w:t>representan al</w:t>
      </w:r>
      <w:r>
        <w:rPr>
          <w:color w:val="231F1F"/>
          <w:spacing w:val="-1"/>
          <w:w w:val="110"/>
        </w:rPr>
        <w:t> </w:t>
      </w:r>
      <w:r>
        <w:rPr>
          <w:color w:val="231F1F"/>
          <w:w w:val="110"/>
        </w:rPr>
        <w:t>con- junto</w:t>
      </w:r>
      <w:r>
        <w:rPr>
          <w:color w:val="231F1F"/>
          <w:spacing w:val="-5"/>
          <w:w w:val="110"/>
        </w:rPr>
        <w:t> </w:t>
      </w:r>
      <w:r>
        <w:rPr>
          <w:color w:val="231F1F"/>
          <w:w w:val="110"/>
        </w:rPr>
        <w:t>de</w:t>
      </w:r>
      <w:r>
        <w:rPr>
          <w:color w:val="231F1F"/>
          <w:spacing w:val="-5"/>
          <w:w w:val="110"/>
        </w:rPr>
        <w:t> </w:t>
      </w:r>
      <w:r>
        <w:rPr>
          <w:color w:val="231F1F"/>
          <w:w w:val="110"/>
        </w:rPr>
        <w:t>disciplinas</w:t>
      </w:r>
      <w:r>
        <w:rPr>
          <w:color w:val="231F1F"/>
          <w:spacing w:val="-5"/>
          <w:w w:val="110"/>
        </w:rPr>
        <w:t> </w:t>
      </w:r>
      <w:r>
        <w:rPr>
          <w:color w:val="231F1F"/>
          <w:w w:val="110"/>
        </w:rPr>
        <w:t>implicadas</w:t>
      </w:r>
      <w:r>
        <w:rPr>
          <w:color w:val="231F1F"/>
          <w:spacing w:val="-5"/>
          <w:w w:val="110"/>
        </w:rPr>
        <w:t> </w:t>
      </w:r>
      <w:r>
        <w:rPr>
          <w:color w:val="231F1F"/>
          <w:w w:val="110"/>
        </w:rPr>
        <w:t>en</w:t>
      </w:r>
      <w:r>
        <w:rPr>
          <w:color w:val="231F1F"/>
          <w:spacing w:val="-4"/>
          <w:w w:val="110"/>
        </w:rPr>
        <w:t> </w:t>
      </w:r>
      <w:r>
        <w:rPr>
          <w:color w:val="231F1F"/>
          <w:w w:val="110"/>
        </w:rPr>
        <w:t>la</w:t>
      </w:r>
      <w:r>
        <w:rPr>
          <w:color w:val="231F1F"/>
          <w:spacing w:val="-5"/>
          <w:w w:val="110"/>
        </w:rPr>
        <w:t> </w:t>
      </w:r>
      <w:r>
        <w:rPr>
          <w:color w:val="231F1F"/>
          <w:w w:val="110"/>
        </w:rPr>
        <w:t>atención</w:t>
      </w:r>
      <w:r>
        <w:rPr>
          <w:color w:val="231F1F"/>
          <w:spacing w:val="-5"/>
          <w:w w:val="110"/>
        </w:rPr>
        <w:t> </w:t>
      </w:r>
      <w:r>
        <w:rPr>
          <w:color w:val="231F1F"/>
          <w:w w:val="110"/>
        </w:rPr>
        <w:t>al</w:t>
      </w:r>
      <w:r>
        <w:rPr>
          <w:color w:val="231F1F"/>
          <w:spacing w:val="-5"/>
          <w:w w:val="110"/>
        </w:rPr>
        <w:t> </w:t>
      </w:r>
      <w:r>
        <w:rPr>
          <w:color w:val="231F1F"/>
          <w:w w:val="110"/>
        </w:rPr>
        <w:t>parto</w:t>
      </w:r>
      <w:r>
        <w:rPr>
          <w:color w:val="231F1F"/>
          <w:spacing w:val="-5"/>
          <w:w w:val="110"/>
        </w:rPr>
        <w:t> </w:t>
      </w:r>
      <w:r>
        <w:rPr>
          <w:color w:val="231F1F"/>
          <w:w w:val="110"/>
        </w:rPr>
        <w:t>normal.</w:t>
      </w:r>
      <w:r>
        <w:rPr>
          <w:color w:val="231F1F"/>
          <w:spacing w:val="-5"/>
          <w:w w:val="110"/>
        </w:rPr>
        <w:t> </w:t>
      </w:r>
      <w:r>
        <w:rPr>
          <w:color w:val="231F1F"/>
          <w:w w:val="110"/>
        </w:rPr>
        <w:t>También</w:t>
      </w:r>
      <w:r>
        <w:rPr>
          <w:color w:val="231F1F"/>
          <w:spacing w:val="-4"/>
          <w:w w:val="110"/>
        </w:rPr>
        <w:t> </w:t>
      </w:r>
      <w:r>
        <w:rPr>
          <w:color w:val="231F1F"/>
          <w:w w:val="110"/>
        </w:rPr>
        <w:t>han</w:t>
      </w:r>
      <w:r>
        <w:rPr>
          <w:color w:val="231F1F"/>
          <w:spacing w:val="-5"/>
          <w:w w:val="110"/>
        </w:rPr>
        <w:t> </w:t>
      </w:r>
      <w:r>
        <w:rPr>
          <w:color w:val="231F1F"/>
          <w:w w:val="110"/>
        </w:rPr>
        <w:t>participado, como</w:t>
      </w:r>
      <w:r>
        <w:rPr>
          <w:color w:val="231F1F"/>
          <w:spacing w:val="-16"/>
          <w:w w:val="110"/>
        </w:rPr>
        <w:t> </w:t>
      </w:r>
      <w:r>
        <w:rPr>
          <w:color w:val="231F1F"/>
          <w:w w:val="110"/>
        </w:rPr>
        <w:t>miembros</w:t>
      </w:r>
      <w:r>
        <w:rPr>
          <w:color w:val="231F1F"/>
          <w:spacing w:val="-15"/>
          <w:w w:val="110"/>
        </w:rPr>
        <w:t> </w:t>
      </w:r>
      <w:r>
        <w:rPr>
          <w:color w:val="231F1F"/>
          <w:w w:val="110"/>
        </w:rPr>
        <w:t>de</w:t>
      </w:r>
      <w:r>
        <w:rPr>
          <w:color w:val="231F1F"/>
          <w:spacing w:val="-15"/>
          <w:w w:val="110"/>
        </w:rPr>
        <w:t> </w:t>
      </w:r>
      <w:r>
        <w:rPr>
          <w:color w:val="231F1F"/>
          <w:w w:val="110"/>
        </w:rPr>
        <w:t>pleno</w:t>
      </w:r>
      <w:r>
        <w:rPr>
          <w:color w:val="231F1F"/>
          <w:spacing w:val="-15"/>
          <w:w w:val="110"/>
        </w:rPr>
        <w:t> </w:t>
      </w:r>
      <w:r>
        <w:rPr>
          <w:color w:val="231F1F"/>
          <w:w w:val="110"/>
        </w:rPr>
        <w:t>derecho,</w:t>
      </w:r>
      <w:r>
        <w:rPr>
          <w:color w:val="231F1F"/>
          <w:spacing w:val="-15"/>
          <w:w w:val="110"/>
        </w:rPr>
        <w:t> </w:t>
      </w:r>
      <w:r>
        <w:rPr>
          <w:color w:val="231F1F"/>
          <w:w w:val="110"/>
        </w:rPr>
        <w:t>mujeres</w:t>
      </w:r>
      <w:r>
        <w:rPr>
          <w:color w:val="231F1F"/>
          <w:spacing w:val="-15"/>
          <w:w w:val="110"/>
        </w:rPr>
        <w:t> </w:t>
      </w:r>
      <w:r>
        <w:rPr>
          <w:color w:val="231F1F"/>
          <w:w w:val="110"/>
        </w:rPr>
        <w:t>pertenecientes</w:t>
      </w:r>
      <w:r>
        <w:rPr>
          <w:color w:val="231F1F"/>
          <w:spacing w:val="-15"/>
          <w:w w:val="110"/>
        </w:rPr>
        <w:t> </w:t>
      </w:r>
      <w:r>
        <w:rPr>
          <w:color w:val="231F1F"/>
          <w:w w:val="110"/>
        </w:rPr>
        <w:t>a</w:t>
      </w:r>
      <w:r>
        <w:rPr>
          <w:color w:val="231F1F"/>
          <w:spacing w:val="-15"/>
          <w:w w:val="110"/>
        </w:rPr>
        <w:t> </w:t>
      </w:r>
      <w:r>
        <w:rPr>
          <w:color w:val="231F1F"/>
          <w:w w:val="110"/>
        </w:rPr>
        <w:t>asociaciones</w:t>
      </w:r>
      <w:r>
        <w:rPr>
          <w:color w:val="231F1F"/>
          <w:spacing w:val="-16"/>
          <w:w w:val="110"/>
        </w:rPr>
        <w:t> </w:t>
      </w:r>
      <w:r>
        <w:rPr>
          <w:color w:val="231F1F"/>
          <w:w w:val="110"/>
        </w:rPr>
        <w:t>involucradas</w:t>
      </w:r>
      <w:r>
        <w:rPr>
          <w:color w:val="231F1F"/>
          <w:spacing w:val="-15"/>
          <w:w w:val="110"/>
        </w:rPr>
        <w:t> </w:t>
      </w:r>
      <w:r>
        <w:rPr>
          <w:color w:val="231F1F"/>
          <w:w w:val="110"/>
        </w:rPr>
        <w:t>en el fomento de unos cuidados adecuados antes durante y tras el parto. En el proceso de</w:t>
      </w:r>
    </w:p>
    <w:p>
      <w:pPr>
        <w:pStyle w:val="BodyText"/>
        <w:spacing w:after="0" w:line="249" w:lineRule="auto"/>
        <w:jc w:val="both"/>
        <w:sectPr>
          <w:pgSz w:w="11900" w:h="16840"/>
          <w:pgMar w:header="0" w:footer="622" w:top="1480" w:bottom="820" w:left="1417" w:right="1559"/>
        </w:sectPr>
      </w:pPr>
    </w:p>
    <w:p>
      <w:pPr>
        <w:pStyle w:val="BodyText"/>
        <w:spacing w:line="244" w:lineRule="auto" w:before="73"/>
        <w:ind w:left="283"/>
      </w:pPr>
      <w:r>
        <w:rPr>
          <w:color w:val="231F1F"/>
        </w:rPr>
        <w:t>revisión</w:t>
      </w:r>
      <w:r>
        <w:rPr>
          <w:color w:val="231F1F"/>
          <w:spacing w:val="33"/>
        </w:rPr>
        <w:t> </w:t>
      </w:r>
      <w:r>
        <w:rPr>
          <w:color w:val="231F1F"/>
        </w:rPr>
        <w:t>se</w:t>
      </w:r>
      <w:r>
        <w:rPr>
          <w:color w:val="231F1F"/>
          <w:spacing w:val="33"/>
        </w:rPr>
        <w:t> </w:t>
      </w:r>
      <w:r>
        <w:rPr>
          <w:color w:val="231F1F"/>
        </w:rPr>
        <w:t>ha</w:t>
      </w:r>
      <w:r>
        <w:rPr>
          <w:color w:val="231F1F"/>
          <w:spacing w:val="33"/>
        </w:rPr>
        <w:t> </w:t>
      </w:r>
      <w:r>
        <w:rPr>
          <w:color w:val="231F1F"/>
        </w:rPr>
        <w:t>contado</w:t>
      </w:r>
      <w:r>
        <w:rPr>
          <w:color w:val="231F1F"/>
          <w:spacing w:val="33"/>
        </w:rPr>
        <w:t> </w:t>
      </w:r>
      <w:r>
        <w:rPr>
          <w:color w:val="231F1F"/>
        </w:rPr>
        <w:t>con</w:t>
      </w:r>
      <w:r>
        <w:rPr>
          <w:color w:val="231F1F"/>
          <w:spacing w:val="35"/>
        </w:rPr>
        <w:t> </w:t>
      </w:r>
      <w:r>
        <w:rPr>
          <w:color w:val="231F1F"/>
        </w:rPr>
        <w:t>profesionales</w:t>
      </w:r>
      <w:r>
        <w:rPr>
          <w:color w:val="231F1F"/>
          <w:spacing w:val="29"/>
        </w:rPr>
        <w:t> </w:t>
      </w:r>
      <w:r>
        <w:rPr>
          <w:color w:val="231F1F"/>
        </w:rPr>
        <w:t>de</w:t>
      </w:r>
      <w:r>
        <w:rPr>
          <w:color w:val="231F1F"/>
          <w:spacing w:val="35"/>
        </w:rPr>
        <w:t> </w:t>
      </w:r>
      <w:r>
        <w:rPr>
          <w:color w:val="231F1F"/>
        </w:rPr>
        <w:t>reconocido</w:t>
      </w:r>
      <w:r>
        <w:rPr>
          <w:color w:val="231F1F"/>
          <w:spacing w:val="33"/>
        </w:rPr>
        <w:t> </w:t>
      </w:r>
      <w:r>
        <w:rPr>
          <w:color w:val="231F1F"/>
        </w:rPr>
        <w:t>prestigio,</w:t>
      </w:r>
      <w:r>
        <w:rPr>
          <w:color w:val="231F1F"/>
          <w:spacing w:val="29"/>
        </w:rPr>
        <w:t> </w:t>
      </w:r>
      <w:r>
        <w:rPr>
          <w:color w:val="231F1F"/>
        </w:rPr>
        <w:t>pertenecientes</w:t>
      </w:r>
      <w:r>
        <w:rPr>
          <w:color w:val="231F1F"/>
          <w:spacing w:val="31"/>
        </w:rPr>
        <w:t> </w:t>
      </w:r>
      <w:r>
        <w:rPr>
          <w:color w:val="231F1F"/>
        </w:rPr>
        <w:t>a</w:t>
      </w:r>
      <w:r>
        <w:rPr>
          <w:color w:val="231F1F"/>
          <w:spacing w:val="35"/>
        </w:rPr>
        <w:t> </w:t>
      </w:r>
      <w:r>
        <w:rPr>
          <w:color w:val="231F1F"/>
        </w:rPr>
        <w:t>las</w:t>
      </w:r>
      <w:r>
        <w:rPr>
          <w:color w:val="231F1F"/>
          <w:spacing w:val="33"/>
        </w:rPr>
        <w:t> </w:t>
      </w:r>
      <w:r>
        <w:rPr>
          <w:color w:val="231F1F"/>
        </w:rPr>
        <w:t>So- </w:t>
      </w:r>
      <w:r>
        <w:rPr>
          <w:color w:val="231F1F"/>
          <w:w w:val="110"/>
        </w:rPr>
        <w:t>ciedades Científicas implicadas.</w:t>
      </w:r>
    </w:p>
    <w:p>
      <w:pPr>
        <w:pStyle w:val="BodyText"/>
        <w:spacing w:line="244" w:lineRule="auto" w:before="146"/>
        <w:ind w:left="283" w:right="124" w:firstLine="453"/>
        <w:jc w:val="both"/>
      </w:pPr>
      <w:r>
        <w:rPr>
          <w:color w:val="231F1F"/>
          <w:w w:val="110"/>
        </w:rPr>
        <w:t>Las</w:t>
      </w:r>
      <w:r>
        <w:rPr>
          <w:color w:val="231F1F"/>
          <w:spacing w:val="-13"/>
          <w:w w:val="110"/>
        </w:rPr>
        <w:t> </w:t>
      </w:r>
      <w:r>
        <w:rPr>
          <w:color w:val="231F1F"/>
          <w:w w:val="110"/>
        </w:rPr>
        <w:t>recomendaciones</w:t>
      </w:r>
      <w:r>
        <w:rPr>
          <w:color w:val="231F1F"/>
          <w:spacing w:val="-13"/>
          <w:w w:val="110"/>
        </w:rPr>
        <w:t> </w:t>
      </w:r>
      <w:r>
        <w:rPr>
          <w:color w:val="231F1F"/>
          <w:w w:val="110"/>
        </w:rPr>
        <w:t>que</w:t>
      </w:r>
      <w:r>
        <w:rPr>
          <w:color w:val="231F1F"/>
          <w:spacing w:val="-13"/>
          <w:w w:val="110"/>
        </w:rPr>
        <w:t> </w:t>
      </w:r>
      <w:r>
        <w:rPr>
          <w:color w:val="231F1F"/>
          <w:w w:val="110"/>
        </w:rPr>
        <w:t>se</w:t>
      </w:r>
      <w:r>
        <w:rPr>
          <w:color w:val="231F1F"/>
          <w:spacing w:val="-13"/>
          <w:w w:val="110"/>
        </w:rPr>
        <w:t> </w:t>
      </w:r>
      <w:r>
        <w:rPr>
          <w:color w:val="231F1F"/>
          <w:w w:val="110"/>
        </w:rPr>
        <w:t>proponen</w:t>
      </w:r>
      <w:r>
        <w:rPr>
          <w:color w:val="231F1F"/>
          <w:spacing w:val="-13"/>
          <w:w w:val="110"/>
        </w:rPr>
        <w:t> </w:t>
      </w:r>
      <w:r>
        <w:rPr>
          <w:color w:val="231F1F"/>
          <w:w w:val="110"/>
        </w:rPr>
        <w:t>en</w:t>
      </w:r>
      <w:r>
        <w:rPr>
          <w:color w:val="231F1F"/>
          <w:spacing w:val="-13"/>
          <w:w w:val="110"/>
        </w:rPr>
        <w:t> </w:t>
      </w:r>
      <w:r>
        <w:rPr>
          <w:color w:val="231F1F"/>
          <w:w w:val="110"/>
        </w:rPr>
        <w:t>esta</w:t>
      </w:r>
      <w:r>
        <w:rPr>
          <w:color w:val="231F1F"/>
          <w:spacing w:val="-13"/>
          <w:w w:val="110"/>
        </w:rPr>
        <w:t> </w:t>
      </w:r>
      <w:r>
        <w:rPr>
          <w:color w:val="231F1F"/>
          <w:w w:val="110"/>
        </w:rPr>
        <w:t>guía</w:t>
      </w:r>
      <w:r>
        <w:rPr>
          <w:color w:val="231F1F"/>
          <w:spacing w:val="-13"/>
          <w:w w:val="110"/>
        </w:rPr>
        <w:t> </w:t>
      </w:r>
      <w:r>
        <w:rPr>
          <w:color w:val="231F1F"/>
          <w:w w:val="110"/>
        </w:rPr>
        <w:t>están</w:t>
      </w:r>
      <w:r>
        <w:rPr>
          <w:color w:val="231F1F"/>
          <w:spacing w:val="-13"/>
          <w:w w:val="110"/>
        </w:rPr>
        <w:t> </w:t>
      </w:r>
      <w:r>
        <w:rPr>
          <w:color w:val="231F1F"/>
          <w:w w:val="110"/>
        </w:rPr>
        <w:t>basadas</w:t>
      </w:r>
      <w:r>
        <w:rPr>
          <w:color w:val="231F1F"/>
          <w:spacing w:val="-13"/>
          <w:w w:val="110"/>
        </w:rPr>
        <w:t> </w:t>
      </w:r>
      <w:r>
        <w:rPr>
          <w:color w:val="231F1F"/>
          <w:w w:val="110"/>
        </w:rPr>
        <w:t>en</w:t>
      </w:r>
      <w:r>
        <w:rPr>
          <w:color w:val="231F1F"/>
          <w:spacing w:val="-13"/>
          <w:w w:val="110"/>
        </w:rPr>
        <w:t> </w:t>
      </w:r>
      <w:r>
        <w:rPr>
          <w:color w:val="231F1F"/>
          <w:w w:val="110"/>
        </w:rPr>
        <w:t>las</w:t>
      </w:r>
      <w:r>
        <w:rPr>
          <w:color w:val="231F1F"/>
          <w:spacing w:val="-13"/>
          <w:w w:val="110"/>
        </w:rPr>
        <w:t> </w:t>
      </w:r>
      <w:r>
        <w:rPr>
          <w:color w:val="231F1F"/>
          <w:w w:val="110"/>
        </w:rPr>
        <w:t>mejores</w:t>
      </w:r>
      <w:r>
        <w:rPr>
          <w:color w:val="231F1F"/>
          <w:spacing w:val="-13"/>
          <w:w w:val="110"/>
        </w:rPr>
        <w:t> </w:t>
      </w:r>
      <w:r>
        <w:rPr>
          <w:color w:val="231F1F"/>
          <w:w w:val="110"/>
        </w:rPr>
        <w:t>evi- dencias</w:t>
      </w:r>
      <w:r>
        <w:rPr>
          <w:color w:val="231F1F"/>
          <w:spacing w:val="-9"/>
          <w:w w:val="110"/>
        </w:rPr>
        <w:t> </w:t>
      </w:r>
      <w:r>
        <w:rPr>
          <w:color w:val="231F1F"/>
          <w:w w:val="110"/>
        </w:rPr>
        <w:t>científicas</w:t>
      </w:r>
      <w:r>
        <w:rPr>
          <w:color w:val="231F1F"/>
          <w:spacing w:val="-9"/>
          <w:w w:val="110"/>
        </w:rPr>
        <w:t> </w:t>
      </w:r>
      <w:r>
        <w:rPr>
          <w:color w:val="231F1F"/>
          <w:w w:val="110"/>
        </w:rPr>
        <w:t>disponibles</w:t>
      </w:r>
      <w:r>
        <w:rPr>
          <w:color w:val="231F1F"/>
          <w:spacing w:val="-9"/>
          <w:w w:val="110"/>
        </w:rPr>
        <w:t> </w:t>
      </w:r>
      <w:r>
        <w:rPr>
          <w:color w:val="231F1F"/>
          <w:w w:val="110"/>
        </w:rPr>
        <w:t>y</w:t>
      </w:r>
      <w:r>
        <w:rPr>
          <w:color w:val="231F1F"/>
          <w:spacing w:val="-9"/>
          <w:w w:val="110"/>
        </w:rPr>
        <w:t> </w:t>
      </w:r>
      <w:r>
        <w:rPr>
          <w:color w:val="231F1F"/>
          <w:w w:val="110"/>
        </w:rPr>
        <w:t>son</w:t>
      </w:r>
      <w:r>
        <w:rPr>
          <w:color w:val="231F1F"/>
          <w:spacing w:val="-9"/>
          <w:w w:val="110"/>
        </w:rPr>
        <w:t> </w:t>
      </w:r>
      <w:r>
        <w:rPr>
          <w:color w:val="231F1F"/>
          <w:w w:val="110"/>
        </w:rPr>
        <w:t>una</w:t>
      </w:r>
      <w:r>
        <w:rPr>
          <w:color w:val="231F1F"/>
          <w:spacing w:val="-9"/>
          <w:w w:val="110"/>
        </w:rPr>
        <w:t> </w:t>
      </w:r>
      <w:r>
        <w:rPr>
          <w:color w:val="231F1F"/>
          <w:w w:val="110"/>
        </w:rPr>
        <w:t>buena</w:t>
      </w:r>
      <w:r>
        <w:rPr>
          <w:color w:val="231F1F"/>
          <w:spacing w:val="-9"/>
          <w:w w:val="110"/>
        </w:rPr>
        <w:t> </w:t>
      </w:r>
      <w:r>
        <w:rPr>
          <w:color w:val="231F1F"/>
          <w:w w:val="110"/>
        </w:rPr>
        <w:t>herramienta</w:t>
      </w:r>
      <w:r>
        <w:rPr>
          <w:color w:val="231F1F"/>
          <w:spacing w:val="-9"/>
          <w:w w:val="110"/>
        </w:rPr>
        <w:t> </w:t>
      </w:r>
      <w:r>
        <w:rPr>
          <w:color w:val="231F1F"/>
          <w:w w:val="110"/>
        </w:rPr>
        <w:t>para</w:t>
      </w:r>
      <w:r>
        <w:rPr>
          <w:color w:val="231F1F"/>
          <w:spacing w:val="-9"/>
          <w:w w:val="110"/>
        </w:rPr>
        <w:t> </w:t>
      </w:r>
      <w:r>
        <w:rPr>
          <w:color w:val="231F1F"/>
          <w:w w:val="110"/>
        </w:rPr>
        <w:t>mejorar</w:t>
      </w:r>
      <w:r>
        <w:rPr>
          <w:color w:val="231F1F"/>
          <w:spacing w:val="-9"/>
          <w:w w:val="110"/>
        </w:rPr>
        <w:t> </w:t>
      </w:r>
      <w:r>
        <w:rPr>
          <w:color w:val="231F1F"/>
          <w:w w:val="110"/>
        </w:rPr>
        <w:t>la</w:t>
      </w:r>
      <w:r>
        <w:rPr>
          <w:color w:val="231F1F"/>
          <w:spacing w:val="-9"/>
          <w:w w:val="110"/>
        </w:rPr>
        <w:t> </w:t>
      </w:r>
      <w:r>
        <w:rPr>
          <w:color w:val="231F1F"/>
          <w:w w:val="110"/>
        </w:rPr>
        <w:t>atención,</w:t>
      </w:r>
      <w:r>
        <w:rPr>
          <w:color w:val="231F1F"/>
          <w:spacing w:val="-9"/>
          <w:w w:val="110"/>
        </w:rPr>
        <w:t> </w:t>
      </w:r>
      <w:r>
        <w:rPr>
          <w:color w:val="231F1F"/>
          <w:w w:val="110"/>
        </w:rPr>
        <w:t>fa- cilitar</w:t>
      </w:r>
      <w:r>
        <w:rPr>
          <w:color w:val="231F1F"/>
          <w:spacing w:val="-11"/>
          <w:w w:val="110"/>
        </w:rPr>
        <w:t> </w:t>
      </w:r>
      <w:r>
        <w:rPr>
          <w:color w:val="231F1F"/>
          <w:w w:val="110"/>
        </w:rPr>
        <w:t>la</w:t>
      </w:r>
      <w:r>
        <w:rPr>
          <w:color w:val="231F1F"/>
          <w:spacing w:val="-10"/>
          <w:w w:val="110"/>
        </w:rPr>
        <w:t> </w:t>
      </w:r>
      <w:r>
        <w:rPr>
          <w:color w:val="231F1F"/>
          <w:w w:val="110"/>
        </w:rPr>
        <w:t>participación</w:t>
      </w:r>
      <w:r>
        <w:rPr>
          <w:color w:val="231F1F"/>
          <w:spacing w:val="-10"/>
          <w:w w:val="110"/>
        </w:rPr>
        <w:t> </w:t>
      </w:r>
      <w:r>
        <w:rPr>
          <w:color w:val="231F1F"/>
          <w:w w:val="110"/>
        </w:rPr>
        <w:t>de</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en</w:t>
      </w:r>
      <w:r>
        <w:rPr>
          <w:color w:val="231F1F"/>
          <w:spacing w:val="-10"/>
          <w:w w:val="110"/>
        </w:rPr>
        <w:t> </w:t>
      </w:r>
      <w:r>
        <w:rPr>
          <w:color w:val="231F1F"/>
          <w:w w:val="110"/>
        </w:rPr>
        <w:t>su</w:t>
      </w:r>
      <w:r>
        <w:rPr>
          <w:color w:val="231F1F"/>
          <w:spacing w:val="-10"/>
          <w:w w:val="110"/>
        </w:rPr>
        <w:t> </w:t>
      </w:r>
      <w:r>
        <w:rPr>
          <w:color w:val="231F1F"/>
          <w:w w:val="110"/>
        </w:rPr>
        <w:t>parto</w:t>
      </w:r>
      <w:r>
        <w:rPr>
          <w:color w:val="231F1F"/>
          <w:spacing w:val="-10"/>
          <w:w w:val="110"/>
        </w:rPr>
        <w:t> </w:t>
      </w:r>
      <w:r>
        <w:rPr>
          <w:color w:val="231F1F"/>
          <w:w w:val="110"/>
        </w:rPr>
        <w:t>y</w:t>
      </w:r>
      <w:r>
        <w:rPr>
          <w:color w:val="231F1F"/>
          <w:spacing w:val="-10"/>
          <w:w w:val="110"/>
        </w:rPr>
        <w:t> </w:t>
      </w:r>
      <w:r>
        <w:rPr>
          <w:color w:val="231F1F"/>
          <w:w w:val="110"/>
        </w:rPr>
        <w:t>apoyar</w:t>
      </w:r>
      <w:r>
        <w:rPr>
          <w:color w:val="231F1F"/>
          <w:spacing w:val="-10"/>
          <w:w w:val="110"/>
        </w:rPr>
        <w:t> </w:t>
      </w:r>
      <w:r>
        <w:rPr>
          <w:color w:val="231F1F"/>
          <w:w w:val="110"/>
        </w:rPr>
        <w:t>las</w:t>
      </w:r>
      <w:r>
        <w:rPr>
          <w:color w:val="231F1F"/>
          <w:spacing w:val="-10"/>
          <w:w w:val="110"/>
        </w:rPr>
        <w:t> </w:t>
      </w:r>
      <w:r>
        <w:rPr>
          <w:color w:val="231F1F"/>
          <w:w w:val="110"/>
        </w:rPr>
        <w:t>iniciativas</w:t>
      </w:r>
      <w:r>
        <w:rPr>
          <w:color w:val="231F1F"/>
          <w:spacing w:val="-10"/>
          <w:w w:val="110"/>
        </w:rPr>
        <w:t> </w:t>
      </w:r>
      <w:r>
        <w:rPr>
          <w:color w:val="231F1F"/>
          <w:w w:val="110"/>
        </w:rPr>
        <w:t>de</w:t>
      </w:r>
      <w:r>
        <w:rPr>
          <w:color w:val="231F1F"/>
          <w:spacing w:val="-10"/>
          <w:w w:val="110"/>
        </w:rPr>
        <w:t> </w:t>
      </w:r>
      <w:r>
        <w:rPr>
          <w:color w:val="231F1F"/>
          <w:w w:val="110"/>
        </w:rPr>
        <w:t>mejora</w:t>
      </w:r>
      <w:r>
        <w:rPr>
          <w:color w:val="231F1F"/>
          <w:spacing w:val="-10"/>
          <w:w w:val="110"/>
        </w:rPr>
        <w:t> </w:t>
      </w:r>
      <w:r>
        <w:rPr>
          <w:color w:val="231F1F"/>
          <w:w w:val="110"/>
        </w:rPr>
        <w:t>en</w:t>
      </w:r>
      <w:r>
        <w:rPr>
          <w:color w:val="231F1F"/>
          <w:spacing w:val="-10"/>
          <w:w w:val="110"/>
        </w:rPr>
        <w:t> </w:t>
      </w:r>
      <w:r>
        <w:rPr>
          <w:color w:val="231F1F"/>
          <w:w w:val="110"/>
        </w:rPr>
        <w:t>los servicios obstétricos de nuestros hospitales.</w:t>
      </w:r>
    </w:p>
    <w:p>
      <w:pPr>
        <w:pStyle w:val="BodyText"/>
        <w:spacing w:line="244" w:lineRule="auto" w:before="134"/>
        <w:ind w:left="283" w:right="124" w:firstLine="453"/>
        <w:jc w:val="both"/>
      </w:pPr>
      <w:r>
        <w:rPr>
          <w:color w:val="231F1F"/>
          <w:w w:val="110"/>
        </w:rPr>
        <w:t>Tenemos</w:t>
      </w:r>
      <w:r>
        <w:rPr>
          <w:color w:val="231F1F"/>
          <w:spacing w:val="-13"/>
          <w:w w:val="110"/>
        </w:rPr>
        <w:t> </w:t>
      </w:r>
      <w:r>
        <w:rPr>
          <w:color w:val="231F1F"/>
          <w:w w:val="110"/>
        </w:rPr>
        <w:t>el</w:t>
      </w:r>
      <w:r>
        <w:rPr>
          <w:color w:val="231F1F"/>
          <w:spacing w:val="-13"/>
          <w:w w:val="110"/>
        </w:rPr>
        <w:t> </w:t>
      </w:r>
      <w:r>
        <w:rPr>
          <w:color w:val="231F1F"/>
          <w:w w:val="110"/>
        </w:rPr>
        <w:t>convencimiento</w:t>
      </w:r>
      <w:r>
        <w:rPr>
          <w:color w:val="231F1F"/>
          <w:spacing w:val="-13"/>
          <w:w w:val="110"/>
        </w:rPr>
        <w:t> </w:t>
      </w:r>
      <w:r>
        <w:rPr>
          <w:color w:val="231F1F"/>
          <w:w w:val="110"/>
        </w:rPr>
        <w:t>de</w:t>
      </w:r>
      <w:r>
        <w:rPr>
          <w:color w:val="231F1F"/>
          <w:spacing w:val="-13"/>
          <w:w w:val="110"/>
        </w:rPr>
        <w:t> </w:t>
      </w:r>
      <w:r>
        <w:rPr>
          <w:color w:val="231F1F"/>
          <w:w w:val="110"/>
        </w:rPr>
        <w:t>que</w:t>
      </w:r>
      <w:r>
        <w:rPr>
          <w:color w:val="231F1F"/>
          <w:spacing w:val="-13"/>
          <w:w w:val="110"/>
        </w:rPr>
        <w:t> </w:t>
      </w:r>
      <w:r>
        <w:rPr>
          <w:color w:val="231F1F"/>
          <w:w w:val="110"/>
        </w:rPr>
        <w:t>la</w:t>
      </w:r>
      <w:r>
        <w:rPr>
          <w:color w:val="231F1F"/>
          <w:spacing w:val="-13"/>
          <w:w w:val="110"/>
        </w:rPr>
        <w:t> </w:t>
      </w:r>
      <w:r>
        <w:rPr>
          <w:color w:val="231F1F"/>
          <w:w w:val="110"/>
        </w:rPr>
        <w:t>utilización</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guía</w:t>
      </w:r>
      <w:r>
        <w:rPr>
          <w:color w:val="231F1F"/>
          <w:spacing w:val="-13"/>
          <w:w w:val="110"/>
        </w:rPr>
        <w:t> </w:t>
      </w:r>
      <w:r>
        <w:rPr>
          <w:color w:val="231F1F"/>
          <w:w w:val="110"/>
        </w:rPr>
        <w:t>va</w:t>
      </w:r>
      <w:r>
        <w:rPr>
          <w:color w:val="231F1F"/>
          <w:spacing w:val="-13"/>
          <w:w w:val="110"/>
        </w:rPr>
        <w:t> </w:t>
      </w:r>
      <w:r>
        <w:rPr>
          <w:color w:val="231F1F"/>
          <w:w w:val="110"/>
        </w:rPr>
        <w:t>a</w:t>
      </w:r>
      <w:r>
        <w:rPr>
          <w:color w:val="231F1F"/>
          <w:spacing w:val="-13"/>
          <w:w w:val="110"/>
        </w:rPr>
        <w:t> </w:t>
      </w:r>
      <w:r>
        <w:rPr>
          <w:color w:val="231F1F"/>
          <w:w w:val="110"/>
        </w:rPr>
        <w:t>contribuir</w:t>
      </w:r>
      <w:r>
        <w:rPr>
          <w:color w:val="231F1F"/>
          <w:spacing w:val="-13"/>
          <w:w w:val="110"/>
        </w:rPr>
        <w:t> </w:t>
      </w:r>
      <w:r>
        <w:rPr>
          <w:color w:val="231F1F"/>
          <w:w w:val="110"/>
        </w:rPr>
        <w:t>a</w:t>
      </w:r>
      <w:r>
        <w:rPr>
          <w:color w:val="231F1F"/>
          <w:spacing w:val="-13"/>
          <w:w w:val="110"/>
        </w:rPr>
        <w:t> </w:t>
      </w:r>
      <w:r>
        <w:rPr>
          <w:color w:val="231F1F"/>
          <w:w w:val="110"/>
        </w:rPr>
        <w:t>mejorar la</w:t>
      </w:r>
      <w:r>
        <w:rPr>
          <w:color w:val="231F1F"/>
          <w:spacing w:val="-11"/>
          <w:w w:val="110"/>
        </w:rPr>
        <w:t> </w:t>
      </w:r>
      <w:r>
        <w:rPr>
          <w:color w:val="231F1F"/>
          <w:w w:val="110"/>
        </w:rPr>
        <w:t>calidad</w:t>
      </w:r>
      <w:r>
        <w:rPr>
          <w:color w:val="231F1F"/>
          <w:spacing w:val="-11"/>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atención</w:t>
      </w:r>
      <w:r>
        <w:rPr>
          <w:color w:val="231F1F"/>
          <w:spacing w:val="-11"/>
          <w:w w:val="110"/>
        </w:rPr>
        <w:t> </w:t>
      </w:r>
      <w:r>
        <w:rPr>
          <w:color w:val="231F1F"/>
          <w:w w:val="110"/>
        </w:rPr>
        <w:t>que</w:t>
      </w:r>
      <w:r>
        <w:rPr>
          <w:color w:val="231F1F"/>
          <w:spacing w:val="-11"/>
          <w:w w:val="110"/>
        </w:rPr>
        <w:t> </w:t>
      </w:r>
      <w:r>
        <w:rPr>
          <w:color w:val="231F1F"/>
          <w:w w:val="110"/>
        </w:rPr>
        <w:t>se</w:t>
      </w:r>
      <w:r>
        <w:rPr>
          <w:color w:val="231F1F"/>
          <w:spacing w:val="-11"/>
          <w:w w:val="110"/>
        </w:rPr>
        <w:t> </w:t>
      </w:r>
      <w:r>
        <w:rPr>
          <w:color w:val="231F1F"/>
          <w:w w:val="110"/>
        </w:rPr>
        <w:t>presta</w:t>
      </w:r>
      <w:r>
        <w:rPr>
          <w:color w:val="231F1F"/>
          <w:spacing w:val="-11"/>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parto</w:t>
      </w:r>
      <w:r>
        <w:rPr>
          <w:color w:val="231F1F"/>
          <w:spacing w:val="-11"/>
          <w:w w:val="110"/>
        </w:rPr>
        <w:t> </w:t>
      </w:r>
      <w:r>
        <w:rPr>
          <w:color w:val="231F1F"/>
          <w:w w:val="110"/>
        </w:rPr>
        <w:t>normal</w:t>
      </w:r>
      <w:r>
        <w:rPr>
          <w:color w:val="231F1F"/>
          <w:spacing w:val="-11"/>
          <w:w w:val="110"/>
        </w:rPr>
        <w:t> </w:t>
      </w:r>
      <w:r>
        <w:rPr>
          <w:color w:val="231F1F"/>
          <w:w w:val="110"/>
        </w:rPr>
        <w:t>en</w:t>
      </w:r>
      <w:r>
        <w:rPr>
          <w:color w:val="231F1F"/>
          <w:spacing w:val="-10"/>
          <w:w w:val="110"/>
        </w:rPr>
        <w:t> </w:t>
      </w:r>
      <w:r>
        <w:rPr>
          <w:color w:val="231F1F"/>
          <w:w w:val="110"/>
        </w:rPr>
        <w:t>nuestro</w:t>
      </w:r>
      <w:r>
        <w:rPr>
          <w:color w:val="231F1F"/>
          <w:spacing w:val="-10"/>
          <w:w w:val="110"/>
        </w:rPr>
        <w:t> </w:t>
      </w:r>
      <w:r>
        <w:rPr>
          <w:color w:val="231F1F"/>
          <w:w w:val="110"/>
        </w:rPr>
        <w:t>país</w:t>
      </w:r>
      <w:r>
        <w:rPr>
          <w:color w:val="231F1F"/>
          <w:spacing w:val="-11"/>
          <w:w w:val="110"/>
        </w:rPr>
        <w:t> </w:t>
      </w:r>
      <w:r>
        <w:rPr>
          <w:color w:val="231F1F"/>
          <w:w w:val="110"/>
        </w:rPr>
        <w:t>y</w:t>
      </w:r>
      <w:r>
        <w:rPr>
          <w:color w:val="231F1F"/>
          <w:spacing w:val="-10"/>
          <w:w w:val="110"/>
        </w:rPr>
        <w:t> </w:t>
      </w:r>
      <w:r>
        <w:rPr>
          <w:color w:val="231F1F"/>
          <w:w w:val="110"/>
        </w:rPr>
        <w:t>va</w:t>
      </w:r>
      <w:r>
        <w:rPr>
          <w:color w:val="231F1F"/>
          <w:spacing w:val="-11"/>
          <w:w w:val="110"/>
        </w:rPr>
        <w:t> </w:t>
      </w:r>
      <w:r>
        <w:rPr>
          <w:color w:val="231F1F"/>
          <w:w w:val="110"/>
        </w:rPr>
        <w:t>a</w:t>
      </w:r>
      <w:r>
        <w:rPr>
          <w:color w:val="231F1F"/>
          <w:spacing w:val="-11"/>
          <w:w w:val="110"/>
        </w:rPr>
        <w:t> </w:t>
      </w:r>
      <w:r>
        <w:rPr>
          <w:color w:val="231F1F"/>
          <w:w w:val="110"/>
        </w:rPr>
        <w:t>incremen- tar la satisfacción tanto de profesionales como de las mujeres y sus familias.</w:t>
      </w:r>
    </w:p>
    <w:p>
      <w:pPr>
        <w:pStyle w:val="BodyText"/>
        <w:spacing w:before="143"/>
        <w:ind w:right="121"/>
        <w:jc w:val="right"/>
      </w:pPr>
      <w:r>
        <w:rPr>
          <w:color w:val="231F1F"/>
          <w:w w:val="110"/>
        </w:rPr>
        <w:t>Dr.</w:t>
      </w:r>
      <w:r>
        <w:rPr>
          <w:color w:val="231F1F"/>
          <w:spacing w:val="-14"/>
          <w:w w:val="110"/>
        </w:rPr>
        <w:t> </w:t>
      </w:r>
      <w:r>
        <w:rPr>
          <w:color w:val="231F1F"/>
          <w:w w:val="110"/>
        </w:rPr>
        <w:t>Pablo</w:t>
      </w:r>
      <w:r>
        <w:rPr>
          <w:color w:val="231F1F"/>
          <w:spacing w:val="-9"/>
          <w:w w:val="110"/>
        </w:rPr>
        <w:t> </w:t>
      </w:r>
      <w:r>
        <w:rPr>
          <w:color w:val="231F1F"/>
          <w:w w:val="110"/>
        </w:rPr>
        <w:t>Rivero</w:t>
      </w:r>
      <w:r>
        <w:rPr>
          <w:color w:val="231F1F"/>
          <w:spacing w:val="-11"/>
          <w:w w:val="110"/>
        </w:rPr>
        <w:t> </w:t>
      </w:r>
      <w:r>
        <w:rPr>
          <w:color w:val="231F1F"/>
          <w:spacing w:val="-2"/>
          <w:w w:val="110"/>
        </w:rPr>
        <w:t>Corte</w:t>
      </w:r>
    </w:p>
    <w:p>
      <w:pPr>
        <w:pStyle w:val="BodyText"/>
        <w:spacing w:before="6"/>
        <w:ind w:right="117"/>
        <w:jc w:val="right"/>
      </w:pPr>
      <w:r>
        <w:rPr>
          <w:color w:val="231F1F"/>
        </w:rPr>
        <w:t>D.G.</w:t>
      </w:r>
      <w:r>
        <w:rPr>
          <w:color w:val="231F1F"/>
          <w:spacing w:val="26"/>
        </w:rPr>
        <w:t> </w:t>
      </w:r>
      <w:r>
        <w:rPr>
          <w:color w:val="231F1F"/>
        </w:rPr>
        <w:t>de</w:t>
      </w:r>
      <w:r>
        <w:rPr>
          <w:color w:val="231F1F"/>
          <w:spacing w:val="30"/>
        </w:rPr>
        <w:t> </w:t>
      </w:r>
      <w:r>
        <w:rPr>
          <w:color w:val="231F1F"/>
        </w:rPr>
        <w:t>la</w:t>
      </w:r>
      <w:r>
        <w:rPr>
          <w:color w:val="231F1F"/>
          <w:spacing w:val="30"/>
        </w:rPr>
        <w:t> </w:t>
      </w:r>
      <w:r>
        <w:rPr>
          <w:color w:val="231F1F"/>
        </w:rPr>
        <w:t>Agencia</w:t>
      </w:r>
      <w:r>
        <w:rPr>
          <w:color w:val="231F1F"/>
          <w:spacing w:val="32"/>
        </w:rPr>
        <w:t> </w:t>
      </w:r>
      <w:r>
        <w:rPr>
          <w:color w:val="231F1F"/>
        </w:rPr>
        <w:t>de</w:t>
      </w:r>
      <w:r>
        <w:rPr>
          <w:color w:val="231F1F"/>
          <w:spacing w:val="30"/>
        </w:rPr>
        <w:t> </w:t>
      </w:r>
      <w:r>
        <w:rPr>
          <w:color w:val="231F1F"/>
        </w:rPr>
        <w:t>Calidad</w:t>
      </w:r>
      <w:r>
        <w:rPr>
          <w:color w:val="231F1F"/>
          <w:spacing w:val="31"/>
        </w:rPr>
        <w:t> </w:t>
      </w:r>
      <w:r>
        <w:rPr>
          <w:color w:val="231F1F"/>
        </w:rPr>
        <w:t>del</w:t>
      </w:r>
      <w:r>
        <w:rPr>
          <w:color w:val="231F1F"/>
          <w:spacing w:val="28"/>
        </w:rPr>
        <w:t> </w:t>
      </w:r>
      <w:r>
        <w:rPr>
          <w:color w:val="231F1F"/>
          <w:spacing w:val="-5"/>
        </w:rPr>
        <w:t>SNS</w:t>
      </w:r>
    </w:p>
    <w:p>
      <w:pPr>
        <w:pStyle w:val="BodyText"/>
        <w:spacing w:after="0"/>
        <w:jc w:val="right"/>
        <w:sectPr>
          <w:pgSz w:w="11900" w:h="16840"/>
          <w:pgMar w:header="0" w:footer="572" w:top="1560" w:bottom="820" w:left="1417" w:right="1559"/>
        </w:sectPr>
      </w:pPr>
    </w:p>
    <w:p>
      <w:pPr>
        <w:pStyle w:val="Heading1"/>
        <w:spacing w:before="62"/>
      </w:pPr>
      <w:bookmarkStart w:name="_TOC_250054" w:id="2"/>
      <w:r>
        <w:rPr>
          <w:color w:val="231F1F"/>
          <w:w w:val="105"/>
        </w:rPr>
        <w:t>Autoría</w:t>
      </w:r>
      <w:r>
        <w:rPr>
          <w:color w:val="231F1F"/>
          <w:spacing w:val="28"/>
          <w:w w:val="105"/>
        </w:rPr>
        <w:t> </w:t>
      </w:r>
      <w:r>
        <w:rPr>
          <w:color w:val="231F1F"/>
          <w:w w:val="105"/>
        </w:rPr>
        <w:t>y</w:t>
      </w:r>
      <w:r>
        <w:rPr>
          <w:color w:val="231F1F"/>
          <w:spacing w:val="29"/>
          <w:w w:val="105"/>
        </w:rPr>
        <w:t> </w:t>
      </w:r>
      <w:bookmarkEnd w:id="2"/>
      <w:r>
        <w:rPr>
          <w:color w:val="231F1F"/>
          <w:spacing w:val="-2"/>
          <w:w w:val="105"/>
        </w:rPr>
        <w:t>colaboraciones</w:t>
      </w:r>
    </w:p>
    <w:p>
      <w:pPr>
        <w:pStyle w:val="BodyText"/>
        <w:spacing w:before="99"/>
        <w:rPr>
          <w:sz w:val="50"/>
        </w:rPr>
      </w:pPr>
    </w:p>
    <w:p>
      <w:pPr>
        <w:spacing w:before="0"/>
        <w:ind w:left="0" w:right="119" w:firstLine="0"/>
        <w:jc w:val="right"/>
        <w:rPr>
          <w:b/>
          <w:i/>
          <w:sz w:val="20"/>
        </w:rPr>
      </w:pPr>
      <w:r>
        <w:rPr>
          <w:b/>
          <w:i/>
          <w:color w:val="231F1F"/>
          <w:w w:val="110"/>
          <w:sz w:val="20"/>
        </w:rPr>
        <w:t>Grupo</w:t>
      </w:r>
      <w:r>
        <w:rPr>
          <w:b/>
          <w:i/>
          <w:color w:val="231F1F"/>
          <w:spacing w:val="-14"/>
          <w:w w:val="110"/>
          <w:sz w:val="20"/>
        </w:rPr>
        <w:t> </w:t>
      </w:r>
      <w:r>
        <w:rPr>
          <w:b/>
          <w:i/>
          <w:color w:val="231F1F"/>
          <w:w w:val="110"/>
          <w:sz w:val="20"/>
        </w:rPr>
        <w:t>de</w:t>
      </w:r>
      <w:r>
        <w:rPr>
          <w:b/>
          <w:i/>
          <w:color w:val="231F1F"/>
          <w:spacing w:val="-14"/>
          <w:w w:val="110"/>
          <w:sz w:val="20"/>
        </w:rPr>
        <w:t> </w:t>
      </w:r>
      <w:r>
        <w:rPr>
          <w:b/>
          <w:i/>
          <w:color w:val="231F1F"/>
          <w:w w:val="110"/>
          <w:sz w:val="20"/>
        </w:rPr>
        <w:t>Trabajo</w:t>
      </w:r>
      <w:r>
        <w:rPr>
          <w:b/>
          <w:i/>
          <w:color w:val="231F1F"/>
          <w:spacing w:val="-14"/>
          <w:w w:val="110"/>
          <w:sz w:val="20"/>
        </w:rPr>
        <w:t> </w:t>
      </w:r>
      <w:r>
        <w:rPr>
          <w:b/>
          <w:i/>
          <w:color w:val="231F1F"/>
          <w:w w:val="110"/>
          <w:sz w:val="20"/>
        </w:rPr>
        <w:t>de</w:t>
      </w:r>
      <w:r>
        <w:rPr>
          <w:b/>
          <w:i/>
          <w:color w:val="231F1F"/>
          <w:spacing w:val="-13"/>
          <w:w w:val="110"/>
          <w:sz w:val="20"/>
        </w:rPr>
        <w:t> </w:t>
      </w:r>
      <w:r>
        <w:rPr>
          <w:b/>
          <w:i/>
          <w:color w:val="231F1F"/>
          <w:w w:val="110"/>
          <w:sz w:val="20"/>
        </w:rPr>
        <w:t>la</w:t>
      </w:r>
      <w:r>
        <w:rPr>
          <w:b/>
          <w:i/>
          <w:color w:val="231F1F"/>
          <w:spacing w:val="-13"/>
          <w:w w:val="110"/>
          <w:sz w:val="20"/>
        </w:rPr>
        <w:t> </w:t>
      </w:r>
      <w:r>
        <w:rPr>
          <w:b/>
          <w:i/>
          <w:color w:val="231F1F"/>
          <w:w w:val="110"/>
          <w:sz w:val="20"/>
        </w:rPr>
        <w:t>GPC</w:t>
      </w:r>
      <w:r>
        <w:rPr>
          <w:b/>
          <w:i/>
          <w:color w:val="231F1F"/>
          <w:spacing w:val="-13"/>
          <w:w w:val="110"/>
          <w:sz w:val="20"/>
        </w:rPr>
        <w:t> </w:t>
      </w:r>
      <w:r>
        <w:rPr>
          <w:b/>
          <w:i/>
          <w:color w:val="231F1F"/>
          <w:w w:val="110"/>
          <w:sz w:val="20"/>
        </w:rPr>
        <w:t>sobre</w:t>
      </w:r>
      <w:r>
        <w:rPr>
          <w:b/>
          <w:i/>
          <w:color w:val="231F1F"/>
          <w:spacing w:val="-13"/>
          <w:w w:val="110"/>
          <w:sz w:val="20"/>
        </w:rPr>
        <w:t> </w:t>
      </w:r>
      <w:r>
        <w:rPr>
          <w:b/>
          <w:i/>
          <w:color w:val="231F1F"/>
          <w:w w:val="110"/>
          <w:sz w:val="20"/>
        </w:rPr>
        <w:t>la</w:t>
      </w:r>
      <w:r>
        <w:rPr>
          <w:b/>
          <w:i/>
          <w:color w:val="231F1F"/>
          <w:spacing w:val="-13"/>
          <w:w w:val="110"/>
          <w:sz w:val="20"/>
        </w:rPr>
        <w:t> </w:t>
      </w:r>
      <w:r>
        <w:rPr>
          <w:b/>
          <w:i/>
          <w:color w:val="231F1F"/>
          <w:w w:val="110"/>
          <w:sz w:val="20"/>
        </w:rPr>
        <w:t>Atención</w:t>
      </w:r>
      <w:r>
        <w:rPr>
          <w:b/>
          <w:i/>
          <w:color w:val="231F1F"/>
          <w:spacing w:val="-13"/>
          <w:w w:val="110"/>
          <w:sz w:val="20"/>
        </w:rPr>
        <w:t> </w:t>
      </w:r>
      <w:r>
        <w:rPr>
          <w:b/>
          <w:i/>
          <w:color w:val="231F1F"/>
          <w:w w:val="110"/>
          <w:sz w:val="20"/>
        </w:rPr>
        <w:t>al</w:t>
      </w:r>
      <w:r>
        <w:rPr>
          <w:b/>
          <w:i/>
          <w:color w:val="231F1F"/>
          <w:spacing w:val="-13"/>
          <w:w w:val="110"/>
          <w:sz w:val="20"/>
        </w:rPr>
        <w:t> </w:t>
      </w:r>
      <w:r>
        <w:rPr>
          <w:b/>
          <w:i/>
          <w:color w:val="231F1F"/>
          <w:w w:val="110"/>
          <w:sz w:val="20"/>
        </w:rPr>
        <w:t>Parto</w:t>
      </w:r>
      <w:r>
        <w:rPr>
          <w:b/>
          <w:i/>
          <w:color w:val="231F1F"/>
          <w:spacing w:val="-11"/>
          <w:w w:val="110"/>
          <w:sz w:val="20"/>
        </w:rPr>
        <w:t> </w:t>
      </w:r>
      <w:r>
        <w:rPr>
          <w:b/>
          <w:i/>
          <w:color w:val="231F1F"/>
          <w:spacing w:val="-2"/>
          <w:w w:val="110"/>
          <w:sz w:val="20"/>
        </w:rPr>
        <w:t>Normal</w:t>
      </w:r>
    </w:p>
    <w:p>
      <w:pPr>
        <w:spacing w:before="10"/>
        <w:ind w:left="0" w:right="119" w:firstLine="0"/>
        <w:jc w:val="right"/>
        <w:rPr>
          <w:sz w:val="20"/>
        </w:rPr>
      </w:pPr>
      <w:r>
        <w:rPr>
          <w:b/>
          <w:color w:val="231F1F"/>
          <w:spacing w:val="-2"/>
          <w:w w:val="105"/>
          <w:sz w:val="20"/>
        </w:rPr>
        <w:t>Luis</w:t>
      </w:r>
      <w:r>
        <w:rPr>
          <w:b/>
          <w:color w:val="231F1F"/>
          <w:spacing w:val="-6"/>
          <w:w w:val="105"/>
          <w:sz w:val="20"/>
        </w:rPr>
        <w:t> </w:t>
      </w:r>
      <w:r>
        <w:rPr>
          <w:b/>
          <w:color w:val="231F1F"/>
          <w:spacing w:val="-2"/>
          <w:w w:val="105"/>
          <w:sz w:val="20"/>
        </w:rPr>
        <w:t>Fernández-Llebrez</w:t>
      </w:r>
      <w:r>
        <w:rPr>
          <w:b/>
          <w:color w:val="231F1F"/>
          <w:spacing w:val="-6"/>
          <w:w w:val="105"/>
          <w:sz w:val="20"/>
        </w:rPr>
        <w:t> </w:t>
      </w:r>
      <w:r>
        <w:rPr>
          <w:b/>
          <w:color w:val="231F1F"/>
          <w:spacing w:val="-2"/>
          <w:w w:val="105"/>
          <w:sz w:val="20"/>
        </w:rPr>
        <w:t>del</w:t>
      </w:r>
      <w:r>
        <w:rPr>
          <w:b/>
          <w:color w:val="231F1F"/>
          <w:spacing w:val="-3"/>
          <w:w w:val="105"/>
          <w:sz w:val="20"/>
        </w:rPr>
        <w:t> </w:t>
      </w:r>
      <w:r>
        <w:rPr>
          <w:b/>
          <w:color w:val="231F1F"/>
          <w:spacing w:val="-2"/>
          <w:w w:val="105"/>
          <w:sz w:val="20"/>
        </w:rPr>
        <w:t>Rey</w:t>
      </w:r>
      <w:r>
        <w:rPr>
          <w:color w:val="231F1F"/>
          <w:spacing w:val="-2"/>
          <w:w w:val="105"/>
          <w:sz w:val="20"/>
        </w:rPr>
        <w:t>,</w:t>
      </w:r>
      <w:r>
        <w:rPr>
          <w:color w:val="231F1F"/>
          <w:spacing w:val="-6"/>
          <w:w w:val="105"/>
          <w:sz w:val="20"/>
        </w:rPr>
        <w:t> </w:t>
      </w:r>
      <w:r>
        <w:rPr>
          <w:color w:val="231F1F"/>
          <w:spacing w:val="-2"/>
          <w:w w:val="105"/>
          <w:sz w:val="20"/>
        </w:rPr>
        <w:t>especialista</w:t>
      </w:r>
      <w:r>
        <w:rPr>
          <w:color w:val="231F1F"/>
          <w:spacing w:val="-6"/>
          <w:w w:val="105"/>
          <w:sz w:val="20"/>
        </w:rPr>
        <w:t> </w:t>
      </w:r>
      <w:r>
        <w:rPr>
          <w:color w:val="231F1F"/>
          <w:spacing w:val="-2"/>
          <w:w w:val="105"/>
          <w:sz w:val="20"/>
        </w:rPr>
        <w:t>en</w:t>
      </w:r>
      <w:r>
        <w:rPr>
          <w:color w:val="231F1F"/>
          <w:spacing w:val="-6"/>
          <w:w w:val="105"/>
          <w:sz w:val="20"/>
        </w:rPr>
        <w:t> </w:t>
      </w:r>
      <w:r>
        <w:rPr>
          <w:color w:val="231F1F"/>
          <w:spacing w:val="-2"/>
          <w:w w:val="105"/>
          <w:sz w:val="20"/>
        </w:rPr>
        <w:t>Obstetricia</w:t>
      </w:r>
      <w:r>
        <w:rPr>
          <w:color w:val="231F1F"/>
          <w:spacing w:val="-6"/>
          <w:w w:val="105"/>
          <w:sz w:val="20"/>
        </w:rPr>
        <w:t> </w:t>
      </w:r>
      <w:r>
        <w:rPr>
          <w:color w:val="231F1F"/>
          <w:spacing w:val="-2"/>
          <w:w w:val="105"/>
          <w:sz w:val="20"/>
        </w:rPr>
        <w:t>y</w:t>
      </w:r>
      <w:r>
        <w:rPr>
          <w:color w:val="231F1F"/>
          <w:spacing w:val="-5"/>
          <w:w w:val="105"/>
          <w:sz w:val="20"/>
        </w:rPr>
        <w:t> </w:t>
      </w:r>
      <w:r>
        <w:rPr>
          <w:color w:val="231F1F"/>
          <w:spacing w:val="-2"/>
          <w:w w:val="105"/>
          <w:sz w:val="20"/>
        </w:rPr>
        <w:t>Ginecología.</w:t>
      </w:r>
    </w:p>
    <w:p>
      <w:pPr>
        <w:spacing w:before="11"/>
        <w:ind w:left="0" w:right="119" w:firstLine="0"/>
        <w:jc w:val="right"/>
        <w:rPr>
          <w:sz w:val="20"/>
        </w:rPr>
      </w:pPr>
      <w:r>
        <w:rPr>
          <w:color w:val="231F1F"/>
          <w:spacing w:val="-4"/>
          <w:w w:val="110"/>
          <w:sz w:val="20"/>
        </w:rPr>
        <w:t>Hospital</w:t>
      </w:r>
      <w:r>
        <w:rPr>
          <w:color w:val="231F1F"/>
          <w:spacing w:val="-3"/>
          <w:w w:val="110"/>
          <w:sz w:val="20"/>
        </w:rPr>
        <w:t> </w:t>
      </w:r>
      <w:r>
        <w:rPr>
          <w:color w:val="231F1F"/>
          <w:spacing w:val="-4"/>
          <w:w w:val="110"/>
          <w:sz w:val="20"/>
        </w:rPr>
        <w:t>de</w:t>
      </w:r>
      <w:r>
        <w:rPr>
          <w:color w:val="231F1F"/>
          <w:spacing w:val="-1"/>
          <w:w w:val="110"/>
          <w:sz w:val="20"/>
        </w:rPr>
        <w:t> </w:t>
      </w:r>
      <w:r>
        <w:rPr>
          <w:color w:val="231F1F"/>
          <w:spacing w:val="-4"/>
          <w:w w:val="110"/>
          <w:sz w:val="20"/>
        </w:rPr>
        <w:t>Cruces,</w:t>
      </w:r>
      <w:r>
        <w:rPr>
          <w:color w:val="231F1F"/>
          <w:spacing w:val="-1"/>
          <w:w w:val="110"/>
          <w:sz w:val="20"/>
        </w:rPr>
        <w:t> </w:t>
      </w:r>
      <w:r>
        <w:rPr>
          <w:color w:val="231F1F"/>
          <w:spacing w:val="-4"/>
          <w:w w:val="110"/>
          <w:sz w:val="20"/>
        </w:rPr>
        <w:t>Barakaldo,Bizkaia</w:t>
      </w:r>
    </w:p>
    <w:p>
      <w:pPr>
        <w:spacing w:before="173"/>
        <w:ind w:left="0" w:right="119" w:firstLine="0"/>
        <w:jc w:val="right"/>
        <w:rPr>
          <w:sz w:val="20"/>
        </w:rPr>
      </w:pPr>
      <w:r>
        <w:rPr>
          <w:b/>
          <w:color w:val="231F1F"/>
          <w:spacing w:val="-2"/>
          <w:w w:val="105"/>
          <w:sz w:val="20"/>
        </w:rPr>
        <w:t>Charo</w:t>
      </w:r>
      <w:r>
        <w:rPr>
          <w:b/>
          <w:color w:val="231F1F"/>
          <w:spacing w:val="-7"/>
          <w:w w:val="105"/>
          <w:sz w:val="20"/>
        </w:rPr>
        <w:t> </w:t>
      </w:r>
      <w:r>
        <w:rPr>
          <w:b/>
          <w:color w:val="231F1F"/>
          <w:spacing w:val="-2"/>
          <w:w w:val="105"/>
          <w:sz w:val="20"/>
        </w:rPr>
        <w:t>Quintana</w:t>
      </w:r>
      <w:r>
        <w:rPr>
          <w:b/>
          <w:color w:val="231F1F"/>
          <w:spacing w:val="-6"/>
          <w:w w:val="105"/>
          <w:sz w:val="20"/>
        </w:rPr>
        <w:t> </w:t>
      </w:r>
      <w:r>
        <w:rPr>
          <w:b/>
          <w:color w:val="231F1F"/>
          <w:spacing w:val="-2"/>
          <w:w w:val="105"/>
          <w:sz w:val="20"/>
        </w:rPr>
        <w:t>Pantaleón</w:t>
      </w:r>
      <w:r>
        <w:rPr>
          <w:color w:val="231F1F"/>
          <w:spacing w:val="-2"/>
          <w:w w:val="105"/>
          <w:sz w:val="20"/>
        </w:rPr>
        <w:t>, especialista</w:t>
      </w:r>
      <w:r>
        <w:rPr>
          <w:color w:val="231F1F"/>
          <w:spacing w:val="-6"/>
          <w:w w:val="105"/>
          <w:sz w:val="20"/>
        </w:rPr>
        <w:t> </w:t>
      </w:r>
      <w:r>
        <w:rPr>
          <w:color w:val="231F1F"/>
          <w:spacing w:val="-2"/>
          <w:w w:val="105"/>
          <w:sz w:val="20"/>
        </w:rPr>
        <w:t>en</w:t>
      </w:r>
      <w:r>
        <w:rPr>
          <w:color w:val="231F1F"/>
          <w:spacing w:val="-6"/>
          <w:w w:val="105"/>
          <w:sz w:val="20"/>
        </w:rPr>
        <w:t> </w:t>
      </w:r>
      <w:r>
        <w:rPr>
          <w:color w:val="231F1F"/>
          <w:spacing w:val="-2"/>
          <w:w w:val="105"/>
          <w:sz w:val="20"/>
        </w:rPr>
        <w:t>Obstetricia</w:t>
      </w:r>
      <w:r>
        <w:rPr>
          <w:color w:val="231F1F"/>
          <w:spacing w:val="-4"/>
          <w:w w:val="105"/>
          <w:sz w:val="20"/>
        </w:rPr>
        <w:t> </w:t>
      </w:r>
      <w:r>
        <w:rPr>
          <w:color w:val="231F1F"/>
          <w:spacing w:val="-2"/>
          <w:w w:val="105"/>
          <w:sz w:val="20"/>
        </w:rPr>
        <w:t>y</w:t>
      </w:r>
      <w:r>
        <w:rPr>
          <w:color w:val="231F1F"/>
          <w:spacing w:val="-6"/>
          <w:w w:val="105"/>
          <w:sz w:val="20"/>
        </w:rPr>
        <w:t> </w:t>
      </w:r>
      <w:r>
        <w:rPr>
          <w:color w:val="231F1F"/>
          <w:spacing w:val="-2"/>
          <w:w w:val="105"/>
          <w:sz w:val="20"/>
        </w:rPr>
        <w:t>Ginecología.</w:t>
      </w:r>
    </w:p>
    <w:p>
      <w:pPr>
        <w:spacing w:before="29"/>
        <w:ind w:left="0" w:right="119" w:firstLine="0"/>
        <w:jc w:val="right"/>
        <w:rPr>
          <w:sz w:val="20"/>
        </w:rPr>
      </w:pPr>
      <w:r>
        <w:rPr>
          <w:color w:val="231F1F"/>
          <w:sz w:val="20"/>
        </w:rPr>
        <w:t>Hospital</w:t>
      </w:r>
      <w:r>
        <w:rPr>
          <w:color w:val="231F1F"/>
          <w:spacing w:val="28"/>
          <w:sz w:val="20"/>
        </w:rPr>
        <w:t> </w:t>
      </w:r>
      <w:r>
        <w:rPr>
          <w:color w:val="231F1F"/>
          <w:sz w:val="20"/>
        </w:rPr>
        <w:t>de</w:t>
      </w:r>
      <w:r>
        <w:rPr>
          <w:color w:val="231F1F"/>
          <w:spacing w:val="29"/>
          <w:sz w:val="20"/>
        </w:rPr>
        <w:t> </w:t>
      </w:r>
      <w:r>
        <w:rPr>
          <w:color w:val="231F1F"/>
          <w:sz w:val="20"/>
        </w:rPr>
        <w:t>Valdecilla.</w:t>
      </w:r>
      <w:r>
        <w:rPr>
          <w:color w:val="231F1F"/>
          <w:spacing w:val="31"/>
          <w:sz w:val="20"/>
        </w:rPr>
        <w:t> </w:t>
      </w:r>
      <w:r>
        <w:rPr>
          <w:color w:val="231F1F"/>
          <w:spacing w:val="-2"/>
          <w:sz w:val="20"/>
        </w:rPr>
        <w:t>Santander</w:t>
      </w:r>
    </w:p>
    <w:p>
      <w:pPr>
        <w:spacing w:before="178"/>
        <w:ind w:left="0" w:right="119" w:firstLine="0"/>
        <w:jc w:val="right"/>
        <w:rPr>
          <w:sz w:val="20"/>
        </w:rPr>
      </w:pPr>
      <w:r>
        <w:rPr>
          <w:b/>
          <w:color w:val="231F1F"/>
          <w:spacing w:val="-2"/>
          <w:w w:val="105"/>
          <w:sz w:val="20"/>
        </w:rPr>
        <w:t>Itziar</w:t>
      </w:r>
      <w:r>
        <w:rPr>
          <w:b/>
          <w:color w:val="231F1F"/>
          <w:spacing w:val="-5"/>
          <w:w w:val="105"/>
          <w:sz w:val="20"/>
        </w:rPr>
        <w:t> </w:t>
      </w:r>
      <w:r>
        <w:rPr>
          <w:b/>
          <w:color w:val="231F1F"/>
          <w:spacing w:val="-2"/>
          <w:w w:val="105"/>
          <w:sz w:val="20"/>
        </w:rPr>
        <w:t>Etxeandia</w:t>
      </w:r>
      <w:r>
        <w:rPr>
          <w:b/>
          <w:color w:val="231F1F"/>
          <w:spacing w:val="-5"/>
          <w:w w:val="105"/>
          <w:sz w:val="20"/>
        </w:rPr>
        <w:t> </w:t>
      </w:r>
      <w:r>
        <w:rPr>
          <w:b/>
          <w:color w:val="231F1F"/>
          <w:spacing w:val="-2"/>
          <w:w w:val="105"/>
          <w:sz w:val="20"/>
        </w:rPr>
        <w:t>Ikobaltzeta</w:t>
      </w:r>
      <w:r>
        <w:rPr>
          <w:color w:val="231F1F"/>
          <w:spacing w:val="-2"/>
          <w:w w:val="105"/>
          <w:sz w:val="20"/>
        </w:rPr>
        <w:t>,</w:t>
      </w:r>
      <w:r>
        <w:rPr>
          <w:color w:val="231F1F"/>
          <w:spacing w:val="-1"/>
          <w:w w:val="105"/>
          <w:sz w:val="20"/>
        </w:rPr>
        <w:t> </w:t>
      </w:r>
      <w:r>
        <w:rPr>
          <w:color w:val="231F1F"/>
          <w:spacing w:val="-2"/>
          <w:w w:val="105"/>
          <w:sz w:val="20"/>
        </w:rPr>
        <w:t>farmacéutica. Servicio</w:t>
      </w:r>
      <w:r>
        <w:rPr>
          <w:color w:val="231F1F"/>
          <w:spacing w:val="-3"/>
          <w:w w:val="105"/>
          <w:sz w:val="20"/>
        </w:rPr>
        <w:t> </w:t>
      </w:r>
      <w:r>
        <w:rPr>
          <w:color w:val="231F1F"/>
          <w:spacing w:val="-2"/>
          <w:w w:val="105"/>
          <w:sz w:val="20"/>
        </w:rPr>
        <w:t>de</w:t>
      </w:r>
      <w:r>
        <w:rPr>
          <w:color w:val="231F1F"/>
          <w:spacing w:val="-4"/>
          <w:w w:val="105"/>
          <w:sz w:val="20"/>
        </w:rPr>
        <w:t> </w:t>
      </w:r>
      <w:r>
        <w:rPr>
          <w:color w:val="231F1F"/>
          <w:spacing w:val="-2"/>
          <w:w w:val="105"/>
          <w:sz w:val="20"/>
        </w:rPr>
        <w:t>Evaluación</w:t>
      </w:r>
      <w:r>
        <w:rPr>
          <w:color w:val="231F1F"/>
          <w:spacing w:val="-4"/>
          <w:w w:val="105"/>
          <w:sz w:val="20"/>
        </w:rPr>
        <w:t> </w:t>
      </w:r>
      <w:r>
        <w:rPr>
          <w:color w:val="231F1F"/>
          <w:spacing w:val="-2"/>
          <w:w w:val="105"/>
          <w:sz w:val="20"/>
        </w:rPr>
        <w:t>de</w:t>
      </w:r>
      <w:r>
        <w:rPr>
          <w:color w:val="231F1F"/>
          <w:spacing w:val="-4"/>
          <w:w w:val="105"/>
          <w:sz w:val="20"/>
        </w:rPr>
        <w:t> </w:t>
      </w:r>
      <w:r>
        <w:rPr>
          <w:color w:val="231F1F"/>
          <w:spacing w:val="-2"/>
          <w:w w:val="105"/>
          <w:sz w:val="20"/>
        </w:rPr>
        <w:t>Tecnologías Sanitarias,</w:t>
      </w:r>
    </w:p>
    <w:p>
      <w:pPr>
        <w:spacing w:before="10"/>
        <w:ind w:left="0" w:right="119" w:firstLine="0"/>
        <w:jc w:val="right"/>
        <w:rPr>
          <w:sz w:val="20"/>
        </w:rPr>
      </w:pPr>
      <w:r>
        <w:rPr>
          <w:color w:val="231F1F"/>
          <w:spacing w:val="-2"/>
          <w:w w:val="110"/>
          <w:sz w:val="20"/>
        </w:rPr>
        <w:t>Osteba,</w:t>
      </w:r>
      <w:r>
        <w:rPr>
          <w:color w:val="231F1F"/>
          <w:spacing w:val="-6"/>
          <w:w w:val="110"/>
          <w:sz w:val="20"/>
        </w:rPr>
        <w:t> </w:t>
      </w:r>
      <w:r>
        <w:rPr>
          <w:color w:val="231F1F"/>
          <w:spacing w:val="-2"/>
          <w:w w:val="110"/>
          <w:sz w:val="20"/>
        </w:rPr>
        <w:t>Vitoria-Gasteiz</w:t>
      </w:r>
    </w:p>
    <w:p>
      <w:pPr>
        <w:spacing w:before="173"/>
        <w:ind w:left="0" w:right="119" w:firstLine="0"/>
        <w:jc w:val="right"/>
        <w:rPr>
          <w:sz w:val="20"/>
        </w:rPr>
      </w:pPr>
      <w:r>
        <w:rPr>
          <w:b/>
          <w:color w:val="231F1F"/>
          <w:w w:val="105"/>
          <w:sz w:val="20"/>
        </w:rPr>
        <w:t>Rosa</w:t>
      </w:r>
      <w:r>
        <w:rPr>
          <w:b/>
          <w:color w:val="231F1F"/>
          <w:spacing w:val="-14"/>
          <w:w w:val="105"/>
          <w:sz w:val="20"/>
        </w:rPr>
        <w:t> </w:t>
      </w:r>
      <w:r>
        <w:rPr>
          <w:b/>
          <w:color w:val="231F1F"/>
          <w:w w:val="105"/>
          <w:sz w:val="20"/>
        </w:rPr>
        <w:t>Rico</w:t>
      </w:r>
      <w:r>
        <w:rPr>
          <w:b/>
          <w:color w:val="231F1F"/>
          <w:spacing w:val="-12"/>
          <w:w w:val="105"/>
          <w:sz w:val="20"/>
        </w:rPr>
        <w:t> </w:t>
      </w:r>
      <w:r>
        <w:rPr>
          <w:b/>
          <w:color w:val="231F1F"/>
          <w:w w:val="105"/>
          <w:sz w:val="20"/>
        </w:rPr>
        <w:t>Iturrioz</w:t>
      </w:r>
      <w:r>
        <w:rPr>
          <w:color w:val="231F1F"/>
          <w:w w:val="105"/>
          <w:sz w:val="20"/>
        </w:rPr>
        <w:t>,</w:t>
      </w:r>
      <w:r>
        <w:rPr>
          <w:color w:val="231F1F"/>
          <w:spacing w:val="-9"/>
          <w:w w:val="105"/>
          <w:sz w:val="20"/>
        </w:rPr>
        <w:t> </w:t>
      </w:r>
      <w:r>
        <w:rPr>
          <w:color w:val="231F1F"/>
          <w:w w:val="105"/>
          <w:sz w:val="20"/>
        </w:rPr>
        <w:t>especialista</w:t>
      </w:r>
      <w:r>
        <w:rPr>
          <w:color w:val="231F1F"/>
          <w:spacing w:val="-12"/>
          <w:w w:val="105"/>
          <w:sz w:val="20"/>
        </w:rPr>
        <w:t> </w:t>
      </w:r>
      <w:r>
        <w:rPr>
          <w:color w:val="231F1F"/>
          <w:w w:val="105"/>
          <w:sz w:val="20"/>
        </w:rPr>
        <w:t>en</w:t>
      </w:r>
      <w:r>
        <w:rPr>
          <w:color w:val="231F1F"/>
          <w:spacing w:val="-11"/>
          <w:w w:val="105"/>
          <w:sz w:val="20"/>
        </w:rPr>
        <w:t> </w:t>
      </w:r>
      <w:r>
        <w:rPr>
          <w:color w:val="231F1F"/>
          <w:w w:val="105"/>
          <w:sz w:val="20"/>
        </w:rPr>
        <w:t>Medicina</w:t>
      </w:r>
      <w:r>
        <w:rPr>
          <w:color w:val="231F1F"/>
          <w:spacing w:val="-12"/>
          <w:w w:val="105"/>
          <w:sz w:val="20"/>
        </w:rPr>
        <w:t> </w:t>
      </w:r>
      <w:r>
        <w:rPr>
          <w:color w:val="231F1F"/>
          <w:w w:val="105"/>
          <w:sz w:val="20"/>
        </w:rPr>
        <w:t>Preventiva</w:t>
      </w:r>
      <w:r>
        <w:rPr>
          <w:color w:val="231F1F"/>
          <w:spacing w:val="-11"/>
          <w:w w:val="105"/>
          <w:sz w:val="20"/>
        </w:rPr>
        <w:t> </w:t>
      </w:r>
      <w:r>
        <w:rPr>
          <w:color w:val="231F1F"/>
          <w:w w:val="105"/>
          <w:sz w:val="20"/>
        </w:rPr>
        <w:t>y</w:t>
      </w:r>
      <w:r>
        <w:rPr>
          <w:color w:val="231F1F"/>
          <w:spacing w:val="-11"/>
          <w:w w:val="105"/>
          <w:sz w:val="20"/>
        </w:rPr>
        <w:t> </w:t>
      </w:r>
      <w:r>
        <w:rPr>
          <w:color w:val="231F1F"/>
          <w:w w:val="105"/>
          <w:sz w:val="20"/>
        </w:rPr>
        <w:t>Salud</w:t>
      </w:r>
      <w:r>
        <w:rPr>
          <w:color w:val="231F1F"/>
          <w:spacing w:val="-12"/>
          <w:w w:val="105"/>
          <w:sz w:val="20"/>
        </w:rPr>
        <w:t> </w:t>
      </w:r>
      <w:r>
        <w:rPr>
          <w:color w:val="231F1F"/>
          <w:w w:val="105"/>
          <w:sz w:val="20"/>
        </w:rPr>
        <w:t>Pública.</w:t>
      </w:r>
      <w:r>
        <w:rPr>
          <w:color w:val="231F1F"/>
          <w:spacing w:val="-9"/>
          <w:w w:val="105"/>
          <w:sz w:val="20"/>
        </w:rPr>
        <w:t> </w:t>
      </w:r>
      <w:r>
        <w:rPr>
          <w:color w:val="231F1F"/>
          <w:w w:val="105"/>
          <w:sz w:val="20"/>
        </w:rPr>
        <w:t>Servicio</w:t>
      </w:r>
      <w:r>
        <w:rPr>
          <w:color w:val="231F1F"/>
          <w:spacing w:val="-12"/>
          <w:w w:val="105"/>
          <w:sz w:val="20"/>
        </w:rPr>
        <w:t> </w:t>
      </w:r>
      <w:r>
        <w:rPr>
          <w:color w:val="231F1F"/>
          <w:w w:val="105"/>
          <w:sz w:val="20"/>
        </w:rPr>
        <w:t>de</w:t>
      </w:r>
      <w:r>
        <w:rPr>
          <w:color w:val="231F1F"/>
          <w:spacing w:val="-10"/>
          <w:w w:val="105"/>
          <w:sz w:val="20"/>
        </w:rPr>
        <w:t> </w:t>
      </w:r>
      <w:r>
        <w:rPr>
          <w:color w:val="231F1F"/>
          <w:spacing w:val="-2"/>
          <w:w w:val="105"/>
          <w:sz w:val="20"/>
        </w:rPr>
        <w:t>Evaluación</w:t>
      </w:r>
    </w:p>
    <w:p>
      <w:pPr>
        <w:spacing w:before="29"/>
        <w:ind w:left="0" w:right="119" w:firstLine="0"/>
        <w:jc w:val="right"/>
        <w:rPr>
          <w:sz w:val="20"/>
        </w:rPr>
      </w:pPr>
      <w:r>
        <w:rPr>
          <w:color w:val="231F1F"/>
          <w:sz w:val="20"/>
        </w:rPr>
        <w:t>de</w:t>
      </w:r>
      <w:r>
        <w:rPr>
          <w:color w:val="231F1F"/>
          <w:spacing w:val="45"/>
          <w:sz w:val="20"/>
        </w:rPr>
        <w:t> </w:t>
      </w:r>
      <w:r>
        <w:rPr>
          <w:color w:val="231F1F"/>
          <w:sz w:val="20"/>
        </w:rPr>
        <w:t>Tecnologías</w:t>
      </w:r>
      <w:r>
        <w:rPr>
          <w:color w:val="231F1F"/>
          <w:spacing w:val="48"/>
          <w:sz w:val="20"/>
        </w:rPr>
        <w:t> </w:t>
      </w:r>
      <w:r>
        <w:rPr>
          <w:color w:val="231F1F"/>
          <w:sz w:val="20"/>
        </w:rPr>
        <w:t>Sanitarias,</w:t>
      </w:r>
      <w:r>
        <w:rPr>
          <w:color w:val="231F1F"/>
          <w:spacing w:val="47"/>
          <w:sz w:val="20"/>
        </w:rPr>
        <w:t> </w:t>
      </w:r>
      <w:r>
        <w:rPr>
          <w:color w:val="231F1F"/>
          <w:sz w:val="20"/>
        </w:rPr>
        <w:t>Osteba,</w:t>
      </w:r>
      <w:r>
        <w:rPr>
          <w:color w:val="231F1F"/>
          <w:spacing w:val="48"/>
          <w:sz w:val="20"/>
        </w:rPr>
        <w:t> </w:t>
      </w:r>
      <w:r>
        <w:rPr>
          <w:color w:val="231F1F"/>
          <w:sz w:val="20"/>
        </w:rPr>
        <w:t>Vitoria-</w:t>
      </w:r>
      <w:r>
        <w:rPr>
          <w:color w:val="231F1F"/>
          <w:spacing w:val="-2"/>
          <w:sz w:val="20"/>
        </w:rPr>
        <w:t>Gasteiz</w:t>
      </w:r>
    </w:p>
    <w:p>
      <w:pPr>
        <w:spacing w:before="174"/>
        <w:ind w:left="0" w:right="125" w:firstLine="0"/>
        <w:jc w:val="right"/>
        <w:rPr>
          <w:sz w:val="20"/>
        </w:rPr>
      </w:pPr>
      <w:r>
        <w:rPr>
          <w:b/>
          <w:color w:val="231F1F"/>
          <w:spacing w:val="-2"/>
          <w:w w:val="105"/>
          <w:sz w:val="20"/>
        </w:rPr>
        <w:t>María</w:t>
      </w:r>
      <w:r>
        <w:rPr>
          <w:b/>
          <w:color w:val="231F1F"/>
          <w:spacing w:val="-8"/>
          <w:w w:val="105"/>
          <w:sz w:val="20"/>
        </w:rPr>
        <w:t> </w:t>
      </w:r>
      <w:r>
        <w:rPr>
          <w:b/>
          <w:color w:val="231F1F"/>
          <w:spacing w:val="-2"/>
          <w:w w:val="105"/>
          <w:sz w:val="20"/>
        </w:rPr>
        <w:t>del</w:t>
      </w:r>
      <w:r>
        <w:rPr>
          <w:b/>
          <w:color w:val="231F1F"/>
          <w:spacing w:val="-3"/>
          <w:w w:val="105"/>
          <w:sz w:val="20"/>
        </w:rPr>
        <w:t> </w:t>
      </w:r>
      <w:r>
        <w:rPr>
          <w:b/>
          <w:color w:val="231F1F"/>
          <w:spacing w:val="-2"/>
          <w:w w:val="105"/>
          <w:sz w:val="20"/>
        </w:rPr>
        <w:t>Carmen</w:t>
      </w:r>
      <w:r>
        <w:rPr>
          <w:b/>
          <w:color w:val="231F1F"/>
          <w:spacing w:val="-6"/>
          <w:w w:val="105"/>
          <w:sz w:val="20"/>
        </w:rPr>
        <w:t> </w:t>
      </w:r>
      <w:r>
        <w:rPr>
          <w:b/>
          <w:color w:val="231F1F"/>
          <w:spacing w:val="-2"/>
          <w:w w:val="105"/>
          <w:sz w:val="20"/>
        </w:rPr>
        <w:t>Maceira</w:t>
      </w:r>
      <w:r>
        <w:rPr>
          <w:b/>
          <w:color w:val="231F1F"/>
          <w:spacing w:val="-7"/>
          <w:w w:val="105"/>
          <w:sz w:val="20"/>
        </w:rPr>
        <w:t> </w:t>
      </w:r>
      <w:r>
        <w:rPr>
          <w:b/>
          <w:color w:val="231F1F"/>
          <w:spacing w:val="-2"/>
          <w:w w:val="105"/>
          <w:sz w:val="20"/>
        </w:rPr>
        <w:t>Rozas</w:t>
      </w:r>
      <w:r>
        <w:rPr>
          <w:color w:val="231F1F"/>
          <w:spacing w:val="-2"/>
          <w:w w:val="105"/>
          <w:sz w:val="20"/>
        </w:rPr>
        <w:t>,</w:t>
      </w:r>
      <w:r>
        <w:rPr>
          <w:color w:val="231F1F"/>
          <w:spacing w:val="-3"/>
          <w:w w:val="105"/>
          <w:sz w:val="20"/>
        </w:rPr>
        <w:t> </w:t>
      </w:r>
      <w:r>
        <w:rPr>
          <w:color w:val="231F1F"/>
          <w:spacing w:val="-2"/>
          <w:w w:val="105"/>
          <w:sz w:val="20"/>
        </w:rPr>
        <w:t>farmacéutica.</w:t>
      </w:r>
      <w:r>
        <w:rPr>
          <w:color w:val="231F1F"/>
          <w:spacing w:val="-4"/>
          <w:w w:val="105"/>
          <w:sz w:val="20"/>
        </w:rPr>
        <w:t> </w:t>
      </w:r>
      <w:r>
        <w:rPr>
          <w:color w:val="231F1F"/>
          <w:spacing w:val="-2"/>
          <w:w w:val="105"/>
          <w:sz w:val="20"/>
        </w:rPr>
        <w:t>Axencia</w:t>
      </w:r>
      <w:r>
        <w:rPr>
          <w:color w:val="231F1F"/>
          <w:spacing w:val="-6"/>
          <w:w w:val="105"/>
          <w:sz w:val="20"/>
        </w:rPr>
        <w:t> </w:t>
      </w:r>
      <w:r>
        <w:rPr>
          <w:color w:val="231F1F"/>
          <w:spacing w:val="-2"/>
          <w:w w:val="105"/>
          <w:sz w:val="20"/>
        </w:rPr>
        <w:t>de</w:t>
      </w:r>
      <w:r>
        <w:rPr>
          <w:color w:val="231F1F"/>
          <w:spacing w:val="-6"/>
          <w:w w:val="105"/>
          <w:sz w:val="20"/>
        </w:rPr>
        <w:t> </w:t>
      </w:r>
      <w:r>
        <w:rPr>
          <w:color w:val="231F1F"/>
          <w:spacing w:val="-2"/>
          <w:w w:val="105"/>
          <w:sz w:val="20"/>
        </w:rPr>
        <w:t>Avaliación</w:t>
      </w:r>
      <w:r>
        <w:rPr>
          <w:color w:val="231F1F"/>
          <w:spacing w:val="-6"/>
          <w:w w:val="105"/>
          <w:sz w:val="20"/>
        </w:rPr>
        <w:t> </w:t>
      </w:r>
      <w:r>
        <w:rPr>
          <w:color w:val="231F1F"/>
          <w:spacing w:val="-2"/>
          <w:w w:val="105"/>
          <w:sz w:val="20"/>
        </w:rPr>
        <w:t>de</w:t>
      </w:r>
      <w:r>
        <w:rPr>
          <w:color w:val="231F1F"/>
          <w:spacing w:val="-6"/>
          <w:w w:val="105"/>
          <w:sz w:val="20"/>
        </w:rPr>
        <w:t> </w:t>
      </w:r>
      <w:r>
        <w:rPr>
          <w:color w:val="231F1F"/>
          <w:spacing w:val="-2"/>
          <w:w w:val="105"/>
          <w:sz w:val="20"/>
        </w:rPr>
        <w:t>Tecnoloxías</w:t>
      </w:r>
      <w:r>
        <w:rPr>
          <w:color w:val="231F1F"/>
          <w:spacing w:val="-4"/>
          <w:w w:val="105"/>
          <w:sz w:val="20"/>
        </w:rPr>
        <w:t> </w:t>
      </w:r>
      <w:r>
        <w:rPr>
          <w:color w:val="231F1F"/>
          <w:spacing w:val="-2"/>
          <w:w w:val="105"/>
          <w:sz w:val="20"/>
        </w:rPr>
        <w:t>Sanitarias</w:t>
      </w:r>
    </w:p>
    <w:p>
      <w:pPr>
        <w:spacing w:before="29"/>
        <w:ind w:left="0" w:right="119" w:firstLine="0"/>
        <w:jc w:val="right"/>
        <w:rPr>
          <w:sz w:val="20"/>
        </w:rPr>
      </w:pPr>
      <w:r>
        <w:rPr>
          <w:color w:val="231F1F"/>
          <w:sz w:val="20"/>
        </w:rPr>
        <w:t>de</w:t>
      </w:r>
      <w:r>
        <w:rPr>
          <w:color w:val="231F1F"/>
          <w:spacing w:val="22"/>
          <w:sz w:val="20"/>
        </w:rPr>
        <w:t> </w:t>
      </w:r>
      <w:r>
        <w:rPr>
          <w:color w:val="231F1F"/>
          <w:sz w:val="20"/>
        </w:rPr>
        <w:t>Galicia,</w:t>
      </w:r>
      <w:r>
        <w:rPr>
          <w:color w:val="231F1F"/>
          <w:spacing w:val="23"/>
          <w:sz w:val="20"/>
        </w:rPr>
        <w:t> </w:t>
      </w:r>
      <w:r>
        <w:rPr>
          <w:color w:val="231F1F"/>
          <w:sz w:val="20"/>
        </w:rPr>
        <w:t>avalia-t.</w:t>
      </w:r>
      <w:r>
        <w:rPr>
          <w:color w:val="231F1F"/>
          <w:spacing w:val="22"/>
          <w:sz w:val="20"/>
        </w:rPr>
        <w:t> </w:t>
      </w:r>
      <w:r>
        <w:rPr>
          <w:color w:val="231F1F"/>
          <w:sz w:val="20"/>
        </w:rPr>
        <w:t>Santiago</w:t>
      </w:r>
      <w:r>
        <w:rPr>
          <w:color w:val="231F1F"/>
          <w:spacing w:val="23"/>
          <w:sz w:val="20"/>
        </w:rPr>
        <w:t> </w:t>
      </w:r>
      <w:r>
        <w:rPr>
          <w:color w:val="231F1F"/>
          <w:sz w:val="20"/>
        </w:rPr>
        <w:t>de</w:t>
      </w:r>
      <w:r>
        <w:rPr>
          <w:color w:val="231F1F"/>
          <w:spacing w:val="23"/>
          <w:sz w:val="20"/>
        </w:rPr>
        <w:t> </w:t>
      </w:r>
      <w:r>
        <w:rPr>
          <w:color w:val="231F1F"/>
          <w:spacing w:val="-2"/>
          <w:sz w:val="20"/>
        </w:rPr>
        <w:t>Compostela</w:t>
      </w:r>
    </w:p>
    <w:p>
      <w:pPr>
        <w:spacing w:before="187"/>
        <w:ind w:left="0" w:right="125" w:firstLine="0"/>
        <w:jc w:val="right"/>
        <w:rPr>
          <w:sz w:val="20"/>
        </w:rPr>
      </w:pPr>
      <w:r>
        <w:rPr>
          <w:b/>
          <w:color w:val="231F1F"/>
          <w:sz w:val="20"/>
        </w:rPr>
        <w:t>Ángel</w:t>
      </w:r>
      <w:r>
        <w:rPr>
          <w:b/>
          <w:color w:val="231F1F"/>
          <w:spacing w:val="19"/>
          <w:sz w:val="20"/>
        </w:rPr>
        <w:t> </w:t>
      </w:r>
      <w:r>
        <w:rPr>
          <w:b/>
          <w:color w:val="231F1F"/>
          <w:sz w:val="20"/>
        </w:rPr>
        <w:t>Salgado</w:t>
      </w:r>
      <w:r>
        <w:rPr>
          <w:b/>
          <w:color w:val="231F1F"/>
          <w:spacing w:val="22"/>
          <w:sz w:val="20"/>
        </w:rPr>
        <w:t> </w:t>
      </w:r>
      <w:r>
        <w:rPr>
          <w:b/>
          <w:color w:val="231F1F"/>
          <w:sz w:val="20"/>
        </w:rPr>
        <w:t>Barreira</w:t>
      </w:r>
      <w:r>
        <w:rPr>
          <w:color w:val="231F1F"/>
          <w:sz w:val="20"/>
        </w:rPr>
        <w:t>,</w:t>
      </w:r>
      <w:r>
        <w:rPr>
          <w:color w:val="231F1F"/>
          <w:spacing w:val="23"/>
          <w:sz w:val="20"/>
        </w:rPr>
        <w:t> </w:t>
      </w:r>
      <w:r>
        <w:rPr>
          <w:color w:val="231F1F"/>
          <w:sz w:val="20"/>
        </w:rPr>
        <w:t>farmacéutico.</w:t>
      </w:r>
      <w:r>
        <w:rPr>
          <w:color w:val="231F1F"/>
          <w:spacing w:val="22"/>
          <w:sz w:val="20"/>
        </w:rPr>
        <w:t> </w:t>
      </w:r>
      <w:r>
        <w:rPr>
          <w:color w:val="231F1F"/>
          <w:sz w:val="20"/>
        </w:rPr>
        <w:t>Axencia</w:t>
      </w:r>
      <w:r>
        <w:rPr>
          <w:color w:val="231F1F"/>
          <w:spacing w:val="23"/>
          <w:sz w:val="20"/>
        </w:rPr>
        <w:t> </w:t>
      </w:r>
      <w:r>
        <w:rPr>
          <w:color w:val="231F1F"/>
          <w:sz w:val="20"/>
        </w:rPr>
        <w:t>de</w:t>
      </w:r>
      <w:r>
        <w:rPr>
          <w:color w:val="231F1F"/>
          <w:spacing w:val="21"/>
          <w:sz w:val="20"/>
        </w:rPr>
        <w:t> </w:t>
      </w:r>
      <w:r>
        <w:rPr>
          <w:color w:val="231F1F"/>
          <w:sz w:val="20"/>
        </w:rPr>
        <w:t>Avaliación</w:t>
      </w:r>
      <w:r>
        <w:rPr>
          <w:color w:val="231F1F"/>
          <w:spacing w:val="23"/>
          <w:sz w:val="20"/>
        </w:rPr>
        <w:t> </w:t>
      </w:r>
      <w:r>
        <w:rPr>
          <w:color w:val="231F1F"/>
          <w:sz w:val="20"/>
        </w:rPr>
        <w:t>de</w:t>
      </w:r>
      <w:r>
        <w:rPr>
          <w:color w:val="231F1F"/>
          <w:spacing w:val="22"/>
          <w:sz w:val="20"/>
        </w:rPr>
        <w:t> </w:t>
      </w:r>
      <w:r>
        <w:rPr>
          <w:color w:val="231F1F"/>
          <w:sz w:val="20"/>
        </w:rPr>
        <w:t>Tecnoloxías</w:t>
      </w:r>
      <w:r>
        <w:rPr>
          <w:color w:val="231F1F"/>
          <w:spacing w:val="23"/>
          <w:sz w:val="20"/>
        </w:rPr>
        <w:t> </w:t>
      </w:r>
      <w:r>
        <w:rPr>
          <w:color w:val="231F1F"/>
          <w:sz w:val="20"/>
        </w:rPr>
        <w:t>Sanitarias</w:t>
      </w:r>
      <w:r>
        <w:rPr>
          <w:color w:val="231F1F"/>
          <w:spacing w:val="23"/>
          <w:sz w:val="20"/>
        </w:rPr>
        <w:t> </w:t>
      </w:r>
      <w:r>
        <w:rPr>
          <w:color w:val="231F1F"/>
          <w:spacing w:val="-5"/>
          <w:sz w:val="20"/>
        </w:rPr>
        <w:t>de</w:t>
      </w:r>
    </w:p>
    <w:p>
      <w:pPr>
        <w:spacing w:before="35"/>
        <w:ind w:left="0" w:right="119" w:firstLine="0"/>
        <w:jc w:val="right"/>
        <w:rPr>
          <w:sz w:val="20"/>
        </w:rPr>
      </w:pPr>
      <w:r>
        <w:rPr>
          <w:color w:val="231F1F"/>
          <w:sz w:val="20"/>
        </w:rPr>
        <w:t>Galicia,</w:t>
      </w:r>
      <w:r>
        <w:rPr>
          <w:color w:val="231F1F"/>
          <w:spacing w:val="24"/>
          <w:sz w:val="20"/>
        </w:rPr>
        <w:t> </w:t>
      </w:r>
      <w:r>
        <w:rPr>
          <w:color w:val="231F1F"/>
          <w:sz w:val="20"/>
        </w:rPr>
        <w:t>avalia-t.</w:t>
      </w:r>
      <w:r>
        <w:rPr>
          <w:color w:val="231F1F"/>
          <w:spacing w:val="24"/>
          <w:sz w:val="20"/>
        </w:rPr>
        <w:t> </w:t>
      </w:r>
      <w:r>
        <w:rPr>
          <w:color w:val="231F1F"/>
          <w:sz w:val="20"/>
        </w:rPr>
        <w:t>Santiago</w:t>
      </w:r>
      <w:r>
        <w:rPr>
          <w:color w:val="231F1F"/>
          <w:spacing w:val="24"/>
          <w:sz w:val="20"/>
        </w:rPr>
        <w:t> </w:t>
      </w:r>
      <w:r>
        <w:rPr>
          <w:color w:val="231F1F"/>
          <w:sz w:val="20"/>
        </w:rPr>
        <w:t>de</w:t>
      </w:r>
      <w:r>
        <w:rPr>
          <w:color w:val="231F1F"/>
          <w:spacing w:val="24"/>
          <w:sz w:val="20"/>
        </w:rPr>
        <w:t> </w:t>
      </w:r>
      <w:r>
        <w:rPr>
          <w:color w:val="231F1F"/>
          <w:spacing w:val="-2"/>
          <w:sz w:val="20"/>
        </w:rPr>
        <w:t>Compostela</w:t>
      </w:r>
    </w:p>
    <w:p>
      <w:pPr>
        <w:spacing w:before="173"/>
        <w:ind w:left="0" w:right="119" w:firstLine="0"/>
        <w:jc w:val="right"/>
        <w:rPr>
          <w:sz w:val="20"/>
        </w:rPr>
      </w:pPr>
      <w:r>
        <w:rPr>
          <w:b/>
          <w:color w:val="231F1F"/>
          <w:w w:val="105"/>
          <w:sz w:val="20"/>
        </w:rPr>
        <w:t>Gerardo</w:t>
      </w:r>
      <w:r>
        <w:rPr>
          <w:b/>
          <w:color w:val="231F1F"/>
          <w:spacing w:val="-12"/>
          <w:w w:val="105"/>
          <w:sz w:val="20"/>
        </w:rPr>
        <w:t> </w:t>
      </w:r>
      <w:r>
        <w:rPr>
          <w:b/>
          <w:color w:val="231F1F"/>
          <w:w w:val="105"/>
          <w:sz w:val="20"/>
        </w:rPr>
        <w:t>Atienza</w:t>
      </w:r>
      <w:r>
        <w:rPr>
          <w:b/>
          <w:color w:val="231F1F"/>
          <w:spacing w:val="-12"/>
          <w:w w:val="105"/>
          <w:sz w:val="20"/>
        </w:rPr>
        <w:t> </w:t>
      </w:r>
      <w:r>
        <w:rPr>
          <w:b/>
          <w:color w:val="231F1F"/>
          <w:w w:val="105"/>
          <w:sz w:val="20"/>
        </w:rPr>
        <w:t>Merino</w:t>
      </w:r>
      <w:r>
        <w:rPr>
          <w:color w:val="231F1F"/>
          <w:w w:val="105"/>
          <w:sz w:val="20"/>
        </w:rPr>
        <w:t>,</w:t>
      </w:r>
      <w:r>
        <w:rPr>
          <w:color w:val="231F1F"/>
          <w:spacing w:val="-9"/>
          <w:w w:val="105"/>
          <w:sz w:val="20"/>
        </w:rPr>
        <w:t> </w:t>
      </w:r>
      <w:r>
        <w:rPr>
          <w:color w:val="231F1F"/>
          <w:w w:val="105"/>
          <w:sz w:val="20"/>
        </w:rPr>
        <w:t>médico.</w:t>
      </w:r>
      <w:r>
        <w:rPr>
          <w:color w:val="231F1F"/>
          <w:spacing w:val="-9"/>
          <w:w w:val="105"/>
          <w:sz w:val="20"/>
        </w:rPr>
        <w:t> </w:t>
      </w:r>
      <w:r>
        <w:rPr>
          <w:color w:val="231F1F"/>
          <w:w w:val="105"/>
          <w:sz w:val="20"/>
        </w:rPr>
        <w:t>Axencia</w:t>
      </w:r>
      <w:r>
        <w:rPr>
          <w:color w:val="231F1F"/>
          <w:spacing w:val="-11"/>
          <w:w w:val="105"/>
          <w:sz w:val="20"/>
        </w:rPr>
        <w:t> </w:t>
      </w:r>
      <w:r>
        <w:rPr>
          <w:color w:val="231F1F"/>
          <w:w w:val="105"/>
          <w:sz w:val="20"/>
        </w:rPr>
        <w:t>de</w:t>
      </w:r>
      <w:r>
        <w:rPr>
          <w:color w:val="231F1F"/>
          <w:spacing w:val="-11"/>
          <w:w w:val="105"/>
          <w:sz w:val="20"/>
        </w:rPr>
        <w:t> </w:t>
      </w:r>
      <w:r>
        <w:rPr>
          <w:color w:val="231F1F"/>
          <w:w w:val="105"/>
          <w:sz w:val="20"/>
        </w:rPr>
        <w:t>Avaliación</w:t>
      </w:r>
      <w:r>
        <w:rPr>
          <w:color w:val="231F1F"/>
          <w:spacing w:val="-11"/>
          <w:w w:val="105"/>
          <w:sz w:val="20"/>
        </w:rPr>
        <w:t> </w:t>
      </w:r>
      <w:r>
        <w:rPr>
          <w:color w:val="231F1F"/>
          <w:w w:val="105"/>
          <w:sz w:val="20"/>
        </w:rPr>
        <w:t>de</w:t>
      </w:r>
      <w:r>
        <w:rPr>
          <w:color w:val="231F1F"/>
          <w:spacing w:val="-11"/>
          <w:w w:val="105"/>
          <w:sz w:val="20"/>
        </w:rPr>
        <w:t> </w:t>
      </w:r>
      <w:r>
        <w:rPr>
          <w:color w:val="231F1F"/>
          <w:w w:val="105"/>
          <w:sz w:val="20"/>
        </w:rPr>
        <w:t>Tecnoloxías</w:t>
      </w:r>
      <w:r>
        <w:rPr>
          <w:color w:val="231F1F"/>
          <w:spacing w:val="-11"/>
          <w:w w:val="105"/>
          <w:sz w:val="20"/>
        </w:rPr>
        <w:t> </w:t>
      </w:r>
      <w:r>
        <w:rPr>
          <w:color w:val="231F1F"/>
          <w:w w:val="105"/>
          <w:sz w:val="20"/>
        </w:rPr>
        <w:t>Sanitarias</w:t>
      </w:r>
      <w:r>
        <w:rPr>
          <w:color w:val="231F1F"/>
          <w:spacing w:val="-9"/>
          <w:w w:val="105"/>
          <w:sz w:val="20"/>
        </w:rPr>
        <w:t> </w:t>
      </w:r>
      <w:r>
        <w:rPr>
          <w:color w:val="231F1F"/>
          <w:w w:val="105"/>
          <w:sz w:val="20"/>
        </w:rPr>
        <w:t>de</w:t>
      </w:r>
      <w:r>
        <w:rPr>
          <w:color w:val="231F1F"/>
          <w:spacing w:val="-11"/>
          <w:w w:val="105"/>
          <w:sz w:val="20"/>
        </w:rPr>
        <w:t> </w:t>
      </w:r>
      <w:r>
        <w:rPr>
          <w:color w:val="231F1F"/>
          <w:spacing w:val="-2"/>
          <w:w w:val="105"/>
          <w:sz w:val="20"/>
        </w:rPr>
        <w:t>Galicia,</w:t>
      </w:r>
    </w:p>
    <w:p>
      <w:pPr>
        <w:spacing w:before="34"/>
        <w:ind w:left="0" w:right="119" w:firstLine="0"/>
        <w:jc w:val="right"/>
        <w:rPr>
          <w:sz w:val="20"/>
        </w:rPr>
      </w:pPr>
      <w:r>
        <w:rPr>
          <w:color w:val="231F1F"/>
          <w:sz w:val="20"/>
        </w:rPr>
        <w:t>avalia-t.</w:t>
      </w:r>
      <w:r>
        <w:rPr>
          <w:color w:val="231F1F"/>
          <w:spacing w:val="22"/>
          <w:sz w:val="20"/>
        </w:rPr>
        <w:t> </w:t>
      </w:r>
      <w:r>
        <w:rPr>
          <w:color w:val="231F1F"/>
          <w:sz w:val="20"/>
        </w:rPr>
        <w:t>Santiago</w:t>
      </w:r>
      <w:r>
        <w:rPr>
          <w:color w:val="231F1F"/>
          <w:spacing w:val="24"/>
          <w:sz w:val="20"/>
        </w:rPr>
        <w:t> </w:t>
      </w:r>
      <w:r>
        <w:rPr>
          <w:color w:val="231F1F"/>
          <w:sz w:val="20"/>
        </w:rPr>
        <w:t>de</w:t>
      </w:r>
      <w:r>
        <w:rPr>
          <w:color w:val="231F1F"/>
          <w:spacing w:val="24"/>
          <w:sz w:val="20"/>
        </w:rPr>
        <w:t> </w:t>
      </w:r>
      <w:r>
        <w:rPr>
          <w:color w:val="231F1F"/>
          <w:spacing w:val="-2"/>
          <w:sz w:val="20"/>
        </w:rPr>
        <w:t>Compostela</w:t>
      </w:r>
    </w:p>
    <w:p>
      <w:pPr>
        <w:pStyle w:val="BodyText"/>
        <w:spacing w:before="101"/>
        <w:rPr>
          <w:sz w:val="20"/>
        </w:rPr>
      </w:pPr>
    </w:p>
    <w:p>
      <w:pPr>
        <w:spacing w:before="0"/>
        <w:ind w:left="0" w:right="125" w:firstLine="0"/>
        <w:jc w:val="right"/>
        <w:rPr>
          <w:b/>
          <w:i/>
          <w:sz w:val="20"/>
        </w:rPr>
      </w:pPr>
      <w:r>
        <w:rPr>
          <w:b/>
          <w:i/>
          <w:color w:val="231F1F"/>
          <w:w w:val="105"/>
          <w:sz w:val="20"/>
        </w:rPr>
        <w:t>Subgrupos</w:t>
      </w:r>
      <w:r>
        <w:rPr>
          <w:b/>
          <w:i/>
          <w:color w:val="231F1F"/>
          <w:spacing w:val="-6"/>
          <w:w w:val="105"/>
          <w:sz w:val="20"/>
        </w:rPr>
        <w:t> </w:t>
      </w:r>
      <w:r>
        <w:rPr>
          <w:b/>
          <w:i/>
          <w:color w:val="231F1F"/>
          <w:w w:val="105"/>
          <w:sz w:val="20"/>
        </w:rPr>
        <w:t>de</w:t>
      </w:r>
      <w:r>
        <w:rPr>
          <w:b/>
          <w:i/>
          <w:color w:val="231F1F"/>
          <w:spacing w:val="-6"/>
          <w:w w:val="105"/>
          <w:sz w:val="20"/>
        </w:rPr>
        <w:t> </w:t>
      </w:r>
      <w:r>
        <w:rPr>
          <w:b/>
          <w:i/>
          <w:color w:val="231F1F"/>
          <w:w w:val="105"/>
          <w:sz w:val="20"/>
        </w:rPr>
        <w:t>trabajo</w:t>
      </w:r>
      <w:r>
        <w:rPr>
          <w:b/>
          <w:i/>
          <w:color w:val="231F1F"/>
          <w:spacing w:val="-7"/>
          <w:w w:val="105"/>
          <w:sz w:val="20"/>
        </w:rPr>
        <w:t> </w:t>
      </w:r>
      <w:r>
        <w:rPr>
          <w:b/>
          <w:i/>
          <w:color w:val="231F1F"/>
          <w:w w:val="105"/>
          <w:sz w:val="20"/>
        </w:rPr>
        <w:t>por</w:t>
      </w:r>
      <w:r>
        <w:rPr>
          <w:b/>
          <w:i/>
          <w:color w:val="231F1F"/>
          <w:spacing w:val="-5"/>
          <w:w w:val="105"/>
          <w:sz w:val="20"/>
        </w:rPr>
        <w:t> </w:t>
      </w:r>
      <w:r>
        <w:rPr>
          <w:b/>
          <w:i/>
          <w:color w:val="231F1F"/>
          <w:w w:val="105"/>
          <w:sz w:val="20"/>
        </w:rPr>
        <w:t>preguntas</w:t>
      </w:r>
      <w:r>
        <w:rPr>
          <w:b/>
          <w:i/>
          <w:color w:val="231F1F"/>
          <w:spacing w:val="-6"/>
          <w:w w:val="105"/>
          <w:sz w:val="20"/>
        </w:rPr>
        <w:t> </w:t>
      </w:r>
      <w:r>
        <w:rPr>
          <w:b/>
          <w:i/>
          <w:color w:val="231F1F"/>
          <w:spacing w:val="-2"/>
          <w:w w:val="105"/>
          <w:sz w:val="20"/>
        </w:rPr>
        <w:t>clínicas</w:t>
      </w:r>
    </w:p>
    <w:p>
      <w:pPr>
        <w:spacing w:before="10"/>
        <w:ind w:left="0" w:right="127" w:firstLine="0"/>
        <w:jc w:val="right"/>
        <w:rPr>
          <w:sz w:val="20"/>
        </w:rPr>
      </w:pPr>
      <w:r>
        <w:rPr>
          <w:b/>
          <w:color w:val="231F1F"/>
          <w:spacing w:val="-2"/>
          <w:w w:val="105"/>
          <w:sz w:val="20"/>
        </w:rPr>
        <w:t>Idoia</w:t>
      </w:r>
      <w:r>
        <w:rPr>
          <w:b/>
          <w:color w:val="231F1F"/>
          <w:spacing w:val="-8"/>
          <w:w w:val="105"/>
          <w:sz w:val="20"/>
        </w:rPr>
        <w:t> </w:t>
      </w:r>
      <w:r>
        <w:rPr>
          <w:b/>
          <w:color w:val="231F1F"/>
          <w:spacing w:val="-2"/>
          <w:w w:val="105"/>
          <w:sz w:val="20"/>
        </w:rPr>
        <w:t>Armendariz</w:t>
      </w:r>
      <w:r>
        <w:rPr>
          <w:b/>
          <w:color w:val="231F1F"/>
          <w:spacing w:val="-8"/>
          <w:w w:val="105"/>
          <w:sz w:val="20"/>
        </w:rPr>
        <w:t> </w:t>
      </w:r>
      <w:r>
        <w:rPr>
          <w:b/>
          <w:color w:val="231F1F"/>
          <w:spacing w:val="-2"/>
          <w:w w:val="105"/>
          <w:sz w:val="20"/>
        </w:rPr>
        <w:t>Mántaras</w:t>
      </w:r>
      <w:r>
        <w:rPr>
          <w:color w:val="231F1F"/>
          <w:spacing w:val="-2"/>
          <w:w w:val="105"/>
          <w:sz w:val="20"/>
        </w:rPr>
        <w:t>,</w:t>
      </w:r>
      <w:r>
        <w:rPr>
          <w:color w:val="231F1F"/>
          <w:spacing w:val="-7"/>
          <w:w w:val="105"/>
          <w:sz w:val="20"/>
        </w:rPr>
        <w:t> </w:t>
      </w:r>
      <w:r>
        <w:rPr>
          <w:color w:val="231F1F"/>
          <w:spacing w:val="-2"/>
          <w:w w:val="105"/>
          <w:sz w:val="20"/>
        </w:rPr>
        <w:t>técnico</w:t>
      </w:r>
      <w:r>
        <w:rPr>
          <w:color w:val="231F1F"/>
          <w:spacing w:val="-4"/>
          <w:w w:val="105"/>
          <w:sz w:val="20"/>
        </w:rPr>
        <w:t> </w:t>
      </w:r>
      <w:r>
        <w:rPr>
          <w:color w:val="231F1F"/>
          <w:spacing w:val="-2"/>
          <w:w w:val="105"/>
          <w:sz w:val="20"/>
        </w:rPr>
        <w:t>en</w:t>
      </w:r>
      <w:r>
        <w:rPr>
          <w:color w:val="231F1F"/>
          <w:spacing w:val="-8"/>
          <w:w w:val="105"/>
          <w:sz w:val="20"/>
        </w:rPr>
        <w:t> </w:t>
      </w:r>
      <w:r>
        <w:rPr>
          <w:color w:val="231F1F"/>
          <w:spacing w:val="-2"/>
          <w:w w:val="105"/>
          <w:sz w:val="20"/>
        </w:rPr>
        <w:t>electrónica.</w:t>
      </w:r>
      <w:r>
        <w:rPr>
          <w:color w:val="231F1F"/>
          <w:spacing w:val="-5"/>
          <w:w w:val="105"/>
          <w:sz w:val="20"/>
        </w:rPr>
        <w:t> </w:t>
      </w:r>
      <w:r>
        <w:rPr>
          <w:color w:val="231F1F"/>
          <w:spacing w:val="-2"/>
          <w:w w:val="105"/>
          <w:sz w:val="20"/>
        </w:rPr>
        <w:t>Miembro</w:t>
      </w:r>
      <w:r>
        <w:rPr>
          <w:color w:val="231F1F"/>
          <w:spacing w:val="-6"/>
          <w:w w:val="105"/>
          <w:sz w:val="20"/>
        </w:rPr>
        <w:t> </w:t>
      </w:r>
      <w:r>
        <w:rPr>
          <w:color w:val="231F1F"/>
          <w:spacing w:val="-2"/>
          <w:w w:val="105"/>
          <w:sz w:val="20"/>
        </w:rPr>
        <w:t>de</w:t>
      </w:r>
      <w:r>
        <w:rPr>
          <w:color w:val="231F1F"/>
          <w:spacing w:val="-8"/>
          <w:w w:val="105"/>
          <w:sz w:val="20"/>
        </w:rPr>
        <w:t> </w:t>
      </w:r>
      <w:r>
        <w:rPr>
          <w:color w:val="231F1F"/>
          <w:spacing w:val="-2"/>
          <w:w w:val="105"/>
          <w:sz w:val="20"/>
        </w:rPr>
        <w:t>la</w:t>
      </w:r>
      <w:r>
        <w:rPr>
          <w:color w:val="231F1F"/>
          <w:spacing w:val="-8"/>
          <w:w w:val="105"/>
          <w:sz w:val="20"/>
        </w:rPr>
        <w:t> </w:t>
      </w:r>
      <w:r>
        <w:rPr>
          <w:color w:val="231F1F"/>
          <w:spacing w:val="-2"/>
          <w:w w:val="105"/>
          <w:sz w:val="20"/>
        </w:rPr>
        <w:t>asociación</w:t>
      </w:r>
    </w:p>
    <w:p>
      <w:pPr>
        <w:spacing w:before="10"/>
        <w:ind w:left="0" w:right="119" w:firstLine="0"/>
        <w:jc w:val="right"/>
        <w:rPr>
          <w:sz w:val="20"/>
        </w:rPr>
      </w:pPr>
      <w:r>
        <w:rPr>
          <w:color w:val="231F1F"/>
          <w:spacing w:val="-2"/>
          <w:w w:val="110"/>
          <w:sz w:val="20"/>
        </w:rPr>
        <w:t>«El</w:t>
      </w:r>
      <w:r>
        <w:rPr>
          <w:color w:val="231F1F"/>
          <w:spacing w:val="-8"/>
          <w:w w:val="110"/>
          <w:sz w:val="20"/>
        </w:rPr>
        <w:t> </w:t>
      </w:r>
      <w:r>
        <w:rPr>
          <w:color w:val="231F1F"/>
          <w:spacing w:val="-2"/>
          <w:w w:val="110"/>
          <w:sz w:val="20"/>
        </w:rPr>
        <w:t>parto</w:t>
      </w:r>
      <w:r>
        <w:rPr>
          <w:color w:val="231F1F"/>
          <w:spacing w:val="-7"/>
          <w:w w:val="110"/>
          <w:sz w:val="20"/>
        </w:rPr>
        <w:t> </w:t>
      </w:r>
      <w:r>
        <w:rPr>
          <w:color w:val="231F1F"/>
          <w:spacing w:val="-2"/>
          <w:w w:val="110"/>
          <w:sz w:val="20"/>
        </w:rPr>
        <w:t>es</w:t>
      </w:r>
      <w:r>
        <w:rPr>
          <w:color w:val="231F1F"/>
          <w:spacing w:val="-7"/>
          <w:w w:val="110"/>
          <w:sz w:val="20"/>
        </w:rPr>
        <w:t> </w:t>
      </w:r>
      <w:r>
        <w:rPr>
          <w:color w:val="231F1F"/>
          <w:spacing w:val="-2"/>
          <w:w w:val="110"/>
          <w:sz w:val="20"/>
        </w:rPr>
        <w:t>nuestro».</w:t>
      </w:r>
      <w:r>
        <w:rPr>
          <w:color w:val="231F1F"/>
          <w:spacing w:val="-6"/>
          <w:w w:val="110"/>
          <w:sz w:val="20"/>
        </w:rPr>
        <w:t> </w:t>
      </w:r>
      <w:r>
        <w:rPr>
          <w:color w:val="231F1F"/>
          <w:spacing w:val="-2"/>
          <w:w w:val="110"/>
          <w:sz w:val="20"/>
        </w:rPr>
        <w:t>Bizkaia</w:t>
      </w:r>
    </w:p>
    <w:p>
      <w:pPr>
        <w:spacing w:before="145"/>
        <w:ind w:left="0" w:right="123" w:firstLine="0"/>
        <w:jc w:val="right"/>
        <w:rPr>
          <w:sz w:val="20"/>
        </w:rPr>
      </w:pPr>
      <w:r>
        <w:rPr>
          <w:b/>
          <w:color w:val="231F1F"/>
          <w:w w:val="105"/>
          <w:sz w:val="20"/>
        </w:rPr>
        <w:t>M.ª</w:t>
      </w:r>
      <w:r>
        <w:rPr>
          <w:b/>
          <w:color w:val="231F1F"/>
          <w:spacing w:val="-13"/>
          <w:w w:val="105"/>
          <w:sz w:val="20"/>
        </w:rPr>
        <w:t> </w:t>
      </w:r>
      <w:r>
        <w:rPr>
          <w:b/>
          <w:color w:val="231F1F"/>
          <w:w w:val="105"/>
          <w:sz w:val="20"/>
        </w:rPr>
        <w:t>Pilar</w:t>
      </w:r>
      <w:r>
        <w:rPr>
          <w:b/>
          <w:color w:val="231F1F"/>
          <w:spacing w:val="-9"/>
          <w:w w:val="105"/>
          <w:sz w:val="20"/>
        </w:rPr>
        <w:t> </w:t>
      </w:r>
      <w:r>
        <w:rPr>
          <w:b/>
          <w:color w:val="231F1F"/>
          <w:w w:val="105"/>
          <w:sz w:val="20"/>
        </w:rPr>
        <w:t>de</w:t>
      </w:r>
      <w:r>
        <w:rPr>
          <w:b/>
          <w:color w:val="231F1F"/>
          <w:spacing w:val="-9"/>
          <w:w w:val="105"/>
          <w:sz w:val="20"/>
        </w:rPr>
        <w:t> </w:t>
      </w:r>
      <w:r>
        <w:rPr>
          <w:b/>
          <w:color w:val="231F1F"/>
          <w:w w:val="105"/>
          <w:sz w:val="20"/>
        </w:rPr>
        <w:t>la</w:t>
      </w:r>
      <w:r>
        <w:rPr>
          <w:b/>
          <w:color w:val="231F1F"/>
          <w:spacing w:val="-9"/>
          <w:w w:val="105"/>
          <w:sz w:val="20"/>
        </w:rPr>
        <w:t> </w:t>
      </w:r>
      <w:r>
        <w:rPr>
          <w:b/>
          <w:color w:val="231F1F"/>
          <w:w w:val="105"/>
          <w:sz w:val="20"/>
        </w:rPr>
        <w:t>Cueva</w:t>
      </w:r>
      <w:r>
        <w:rPr>
          <w:b/>
          <w:color w:val="231F1F"/>
          <w:spacing w:val="-9"/>
          <w:w w:val="105"/>
          <w:sz w:val="20"/>
        </w:rPr>
        <w:t> </w:t>
      </w:r>
      <w:r>
        <w:rPr>
          <w:b/>
          <w:color w:val="231F1F"/>
          <w:w w:val="105"/>
          <w:sz w:val="20"/>
        </w:rPr>
        <w:t>Barrao</w:t>
      </w:r>
      <w:r>
        <w:rPr>
          <w:color w:val="231F1F"/>
          <w:w w:val="105"/>
          <w:sz w:val="20"/>
        </w:rPr>
        <w:t>,</w:t>
      </w:r>
      <w:r>
        <w:rPr>
          <w:color w:val="231F1F"/>
          <w:spacing w:val="-9"/>
          <w:w w:val="105"/>
          <w:sz w:val="20"/>
        </w:rPr>
        <w:t> </w:t>
      </w:r>
      <w:r>
        <w:rPr>
          <w:color w:val="231F1F"/>
          <w:w w:val="105"/>
          <w:sz w:val="20"/>
        </w:rPr>
        <w:t>especialista</w:t>
      </w:r>
      <w:r>
        <w:rPr>
          <w:color w:val="231F1F"/>
          <w:spacing w:val="-9"/>
          <w:w w:val="105"/>
          <w:sz w:val="20"/>
        </w:rPr>
        <w:t> </w:t>
      </w:r>
      <w:r>
        <w:rPr>
          <w:color w:val="231F1F"/>
          <w:w w:val="105"/>
          <w:sz w:val="20"/>
        </w:rPr>
        <w:t>en</w:t>
      </w:r>
      <w:r>
        <w:rPr>
          <w:color w:val="231F1F"/>
          <w:spacing w:val="-9"/>
          <w:w w:val="105"/>
          <w:sz w:val="20"/>
        </w:rPr>
        <w:t> </w:t>
      </w:r>
      <w:r>
        <w:rPr>
          <w:color w:val="231F1F"/>
          <w:w w:val="105"/>
          <w:sz w:val="20"/>
        </w:rPr>
        <w:t>Obstetricia</w:t>
      </w:r>
      <w:r>
        <w:rPr>
          <w:color w:val="231F1F"/>
          <w:spacing w:val="-8"/>
          <w:w w:val="105"/>
          <w:sz w:val="20"/>
        </w:rPr>
        <w:t> </w:t>
      </w:r>
      <w:r>
        <w:rPr>
          <w:color w:val="231F1F"/>
          <w:w w:val="105"/>
          <w:sz w:val="20"/>
        </w:rPr>
        <w:t>y</w:t>
      </w:r>
      <w:r>
        <w:rPr>
          <w:color w:val="231F1F"/>
          <w:spacing w:val="-10"/>
          <w:w w:val="105"/>
          <w:sz w:val="20"/>
        </w:rPr>
        <w:t> </w:t>
      </w:r>
      <w:r>
        <w:rPr>
          <w:color w:val="231F1F"/>
          <w:w w:val="105"/>
          <w:sz w:val="20"/>
        </w:rPr>
        <w:t>Ginecología.</w:t>
      </w:r>
      <w:r>
        <w:rPr>
          <w:color w:val="231F1F"/>
          <w:spacing w:val="-8"/>
          <w:w w:val="105"/>
          <w:sz w:val="20"/>
        </w:rPr>
        <w:t> </w:t>
      </w:r>
      <w:r>
        <w:rPr>
          <w:color w:val="231F1F"/>
          <w:w w:val="105"/>
          <w:sz w:val="20"/>
        </w:rPr>
        <w:t>Hospital</w:t>
      </w:r>
      <w:r>
        <w:rPr>
          <w:color w:val="231F1F"/>
          <w:spacing w:val="-7"/>
          <w:w w:val="105"/>
          <w:sz w:val="20"/>
        </w:rPr>
        <w:t> </w:t>
      </w:r>
      <w:r>
        <w:rPr>
          <w:color w:val="231F1F"/>
          <w:w w:val="105"/>
          <w:sz w:val="20"/>
        </w:rPr>
        <w:t>General</w:t>
      </w:r>
      <w:r>
        <w:rPr>
          <w:color w:val="231F1F"/>
          <w:spacing w:val="-7"/>
          <w:w w:val="105"/>
          <w:sz w:val="20"/>
        </w:rPr>
        <w:t> </w:t>
      </w:r>
      <w:r>
        <w:rPr>
          <w:color w:val="231F1F"/>
          <w:w w:val="105"/>
          <w:sz w:val="20"/>
        </w:rPr>
        <w:t>de</w:t>
      </w:r>
      <w:r>
        <w:rPr>
          <w:color w:val="231F1F"/>
          <w:spacing w:val="-9"/>
          <w:w w:val="105"/>
          <w:sz w:val="20"/>
        </w:rPr>
        <w:t> </w:t>
      </w:r>
      <w:r>
        <w:rPr>
          <w:color w:val="231F1F"/>
          <w:spacing w:val="-5"/>
          <w:w w:val="105"/>
          <w:sz w:val="20"/>
        </w:rPr>
        <w:t>la</w:t>
      </w:r>
    </w:p>
    <w:p>
      <w:pPr>
        <w:spacing w:before="10"/>
        <w:ind w:left="0" w:right="119" w:firstLine="0"/>
        <w:jc w:val="right"/>
        <w:rPr>
          <w:sz w:val="20"/>
        </w:rPr>
      </w:pPr>
      <w:r>
        <w:rPr>
          <w:color w:val="231F1F"/>
          <w:spacing w:val="-4"/>
          <w:w w:val="110"/>
          <w:sz w:val="20"/>
        </w:rPr>
        <w:t>Defensa.</w:t>
      </w:r>
      <w:r>
        <w:rPr>
          <w:color w:val="231F1F"/>
          <w:spacing w:val="-9"/>
          <w:w w:val="110"/>
          <w:sz w:val="20"/>
        </w:rPr>
        <w:t> </w:t>
      </w:r>
      <w:r>
        <w:rPr>
          <w:color w:val="231F1F"/>
          <w:spacing w:val="-4"/>
          <w:w w:val="110"/>
          <w:sz w:val="20"/>
        </w:rPr>
        <w:t>Miembro</w:t>
      </w:r>
      <w:r>
        <w:rPr>
          <w:color w:val="231F1F"/>
          <w:spacing w:val="-2"/>
          <w:w w:val="110"/>
          <w:sz w:val="20"/>
        </w:rPr>
        <w:t> </w:t>
      </w:r>
      <w:r>
        <w:rPr>
          <w:color w:val="231F1F"/>
          <w:spacing w:val="-4"/>
          <w:w w:val="110"/>
          <w:sz w:val="20"/>
        </w:rPr>
        <w:t>de</w:t>
      </w:r>
      <w:r>
        <w:rPr>
          <w:color w:val="231F1F"/>
          <w:spacing w:val="-2"/>
          <w:w w:val="110"/>
          <w:sz w:val="20"/>
        </w:rPr>
        <w:t> </w:t>
      </w:r>
      <w:r>
        <w:rPr>
          <w:color w:val="231F1F"/>
          <w:spacing w:val="-4"/>
          <w:w w:val="110"/>
          <w:sz w:val="20"/>
        </w:rPr>
        <w:t>la</w:t>
      </w:r>
      <w:r>
        <w:rPr>
          <w:color w:val="231F1F"/>
          <w:spacing w:val="-2"/>
          <w:w w:val="110"/>
          <w:sz w:val="20"/>
        </w:rPr>
        <w:t> </w:t>
      </w:r>
      <w:r>
        <w:rPr>
          <w:color w:val="231F1F"/>
          <w:spacing w:val="-4"/>
          <w:w w:val="110"/>
          <w:sz w:val="20"/>
        </w:rPr>
        <w:t>asociación</w:t>
      </w:r>
      <w:r>
        <w:rPr>
          <w:color w:val="231F1F"/>
          <w:spacing w:val="-3"/>
          <w:w w:val="110"/>
          <w:sz w:val="20"/>
        </w:rPr>
        <w:t> </w:t>
      </w:r>
      <w:r>
        <w:rPr>
          <w:color w:val="231F1F"/>
          <w:spacing w:val="-4"/>
          <w:w w:val="110"/>
          <w:sz w:val="20"/>
        </w:rPr>
        <w:t>«El</w:t>
      </w:r>
      <w:r>
        <w:rPr>
          <w:color w:val="231F1F"/>
          <w:spacing w:val="-2"/>
          <w:w w:val="110"/>
          <w:sz w:val="20"/>
        </w:rPr>
        <w:t> </w:t>
      </w:r>
      <w:r>
        <w:rPr>
          <w:color w:val="231F1F"/>
          <w:spacing w:val="-4"/>
          <w:w w:val="110"/>
          <w:sz w:val="20"/>
        </w:rPr>
        <w:t>Parto</w:t>
      </w:r>
      <w:r>
        <w:rPr>
          <w:color w:val="231F1F"/>
          <w:spacing w:val="-2"/>
          <w:w w:val="110"/>
          <w:sz w:val="20"/>
        </w:rPr>
        <w:t> </w:t>
      </w:r>
      <w:r>
        <w:rPr>
          <w:color w:val="231F1F"/>
          <w:spacing w:val="-4"/>
          <w:w w:val="110"/>
          <w:sz w:val="20"/>
        </w:rPr>
        <w:t>es</w:t>
      </w:r>
      <w:r>
        <w:rPr>
          <w:color w:val="231F1F"/>
          <w:spacing w:val="-2"/>
          <w:w w:val="110"/>
          <w:sz w:val="20"/>
        </w:rPr>
        <w:t> </w:t>
      </w:r>
      <w:r>
        <w:rPr>
          <w:color w:val="231F1F"/>
          <w:spacing w:val="-4"/>
          <w:w w:val="110"/>
          <w:sz w:val="20"/>
        </w:rPr>
        <w:t>Nuestro»</w:t>
      </w:r>
    </w:p>
    <w:p>
      <w:pPr>
        <w:spacing w:line="249" w:lineRule="auto" w:before="149"/>
        <w:ind w:left="4348" w:right="119" w:hanging="1475"/>
        <w:jc w:val="right"/>
        <w:rPr>
          <w:sz w:val="20"/>
        </w:rPr>
      </w:pPr>
      <w:r>
        <w:rPr>
          <w:b/>
          <w:color w:val="231F1F"/>
          <w:w w:val="105"/>
          <w:sz w:val="20"/>
        </w:rPr>
        <w:t>Jose</w:t>
      </w:r>
      <w:r>
        <w:rPr>
          <w:b/>
          <w:color w:val="231F1F"/>
          <w:spacing w:val="-8"/>
          <w:w w:val="105"/>
          <w:sz w:val="20"/>
        </w:rPr>
        <w:t> </w:t>
      </w:r>
      <w:r>
        <w:rPr>
          <w:b/>
          <w:color w:val="231F1F"/>
          <w:w w:val="105"/>
          <w:sz w:val="20"/>
        </w:rPr>
        <w:t>Luís</w:t>
      </w:r>
      <w:r>
        <w:rPr>
          <w:b/>
          <w:color w:val="231F1F"/>
          <w:spacing w:val="-8"/>
          <w:w w:val="105"/>
          <w:sz w:val="20"/>
        </w:rPr>
        <w:t> </w:t>
      </w:r>
      <w:r>
        <w:rPr>
          <w:b/>
          <w:color w:val="231F1F"/>
          <w:w w:val="105"/>
          <w:sz w:val="20"/>
        </w:rPr>
        <w:t>de</w:t>
      </w:r>
      <w:r>
        <w:rPr>
          <w:b/>
          <w:color w:val="231F1F"/>
          <w:spacing w:val="-9"/>
          <w:w w:val="105"/>
          <w:sz w:val="20"/>
        </w:rPr>
        <w:t> </w:t>
      </w:r>
      <w:r>
        <w:rPr>
          <w:b/>
          <w:color w:val="231F1F"/>
          <w:w w:val="105"/>
          <w:sz w:val="20"/>
        </w:rPr>
        <w:t>Pablo</w:t>
      </w:r>
      <w:r>
        <w:rPr>
          <w:b/>
          <w:color w:val="231F1F"/>
          <w:spacing w:val="-9"/>
          <w:w w:val="105"/>
          <w:sz w:val="20"/>
        </w:rPr>
        <w:t> </w:t>
      </w:r>
      <w:r>
        <w:rPr>
          <w:b/>
          <w:color w:val="231F1F"/>
          <w:w w:val="105"/>
          <w:sz w:val="20"/>
        </w:rPr>
        <w:t>Lozano</w:t>
      </w:r>
      <w:r>
        <w:rPr>
          <w:color w:val="231F1F"/>
          <w:w w:val="105"/>
          <w:sz w:val="20"/>
        </w:rPr>
        <w:t>,</w:t>
      </w:r>
      <w:r>
        <w:rPr>
          <w:color w:val="231F1F"/>
          <w:spacing w:val="-8"/>
          <w:w w:val="105"/>
          <w:sz w:val="20"/>
        </w:rPr>
        <w:t> </w:t>
      </w:r>
      <w:r>
        <w:rPr>
          <w:color w:val="231F1F"/>
          <w:w w:val="105"/>
          <w:sz w:val="20"/>
        </w:rPr>
        <w:t>especialista</w:t>
      </w:r>
      <w:r>
        <w:rPr>
          <w:color w:val="231F1F"/>
          <w:spacing w:val="-10"/>
          <w:w w:val="105"/>
          <w:sz w:val="20"/>
        </w:rPr>
        <w:t> </w:t>
      </w:r>
      <w:r>
        <w:rPr>
          <w:color w:val="231F1F"/>
          <w:w w:val="105"/>
          <w:sz w:val="20"/>
        </w:rPr>
        <w:t>en</w:t>
      </w:r>
      <w:r>
        <w:rPr>
          <w:color w:val="231F1F"/>
          <w:spacing w:val="-10"/>
          <w:w w:val="105"/>
          <w:sz w:val="20"/>
        </w:rPr>
        <w:t> </w:t>
      </w:r>
      <w:r>
        <w:rPr>
          <w:color w:val="231F1F"/>
          <w:w w:val="105"/>
          <w:sz w:val="20"/>
        </w:rPr>
        <w:t>Obstetricia</w:t>
      </w:r>
      <w:r>
        <w:rPr>
          <w:color w:val="231F1F"/>
          <w:spacing w:val="-10"/>
          <w:w w:val="105"/>
          <w:sz w:val="20"/>
        </w:rPr>
        <w:t> </w:t>
      </w:r>
      <w:r>
        <w:rPr>
          <w:color w:val="231F1F"/>
          <w:w w:val="105"/>
          <w:sz w:val="20"/>
        </w:rPr>
        <w:t>y</w:t>
      </w:r>
      <w:r>
        <w:rPr>
          <w:color w:val="231F1F"/>
          <w:spacing w:val="-10"/>
          <w:w w:val="105"/>
          <w:sz w:val="20"/>
        </w:rPr>
        <w:t> </w:t>
      </w:r>
      <w:r>
        <w:rPr>
          <w:color w:val="231F1F"/>
          <w:w w:val="105"/>
          <w:sz w:val="20"/>
        </w:rPr>
        <w:t>Ginecología. Servicio</w:t>
      </w:r>
      <w:r>
        <w:rPr>
          <w:color w:val="231F1F"/>
          <w:spacing w:val="-5"/>
          <w:w w:val="105"/>
          <w:sz w:val="20"/>
        </w:rPr>
        <w:t> </w:t>
      </w:r>
      <w:r>
        <w:rPr>
          <w:color w:val="231F1F"/>
          <w:w w:val="105"/>
          <w:sz w:val="20"/>
        </w:rPr>
        <w:t>del Hospital de</w:t>
      </w:r>
      <w:r>
        <w:rPr>
          <w:color w:val="231F1F"/>
          <w:spacing w:val="-4"/>
          <w:w w:val="105"/>
          <w:sz w:val="20"/>
        </w:rPr>
        <w:t> </w:t>
      </w:r>
      <w:r>
        <w:rPr>
          <w:color w:val="231F1F"/>
          <w:w w:val="105"/>
          <w:sz w:val="20"/>
        </w:rPr>
        <w:t>Txagorritxu, Gasteiz, </w:t>
      </w:r>
      <w:r>
        <w:rPr>
          <w:color w:val="231F1F"/>
          <w:spacing w:val="-2"/>
          <w:w w:val="105"/>
          <w:sz w:val="20"/>
        </w:rPr>
        <w:t>Araba</w:t>
      </w:r>
    </w:p>
    <w:p>
      <w:pPr>
        <w:spacing w:before="151"/>
        <w:ind w:left="0" w:right="123" w:firstLine="0"/>
        <w:jc w:val="right"/>
        <w:rPr>
          <w:sz w:val="20"/>
        </w:rPr>
      </w:pPr>
      <w:r>
        <w:rPr>
          <w:b/>
          <w:color w:val="231F1F"/>
          <w:w w:val="105"/>
          <w:sz w:val="20"/>
        </w:rPr>
        <w:t>Marian</w:t>
      </w:r>
      <w:r>
        <w:rPr>
          <w:b/>
          <w:color w:val="231F1F"/>
          <w:spacing w:val="-15"/>
          <w:w w:val="105"/>
          <w:sz w:val="20"/>
        </w:rPr>
        <w:t> </w:t>
      </w:r>
      <w:r>
        <w:rPr>
          <w:b/>
          <w:color w:val="231F1F"/>
          <w:w w:val="105"/>
          <w:sz w:val="20"/>
        </w:rPr>
        <w:t>Fernández</w:t>
      </w:r>
      <w:r>
        <w:rPr>
          <w:b/>
          <w:color w:val="231F1F"/>
          <w:spacing w:val="-12"/>
          <w:w w:val="105"/>
          <w:sz w:val="20"/>
        </w:rPr>
        <w:t> </w:t>
      </w:r>
      <w:r>
        <w:rPr>
          <w:b/>
          <w:color w:val="231F1F"/>
          <w:w w:val="105"/>
          <w:sz w:val="20"/>
        </w:rPr>
        <w:t>Bao</w:t>
      </w:r>
      <w:r>
        <w:rPr>
          <w:color w:val="231F1F"/>
          <w:w w:val="105"/>
          <w:sz w:val="20"/>
        </w:rPr>
        <w:t>,</w:t>
      </w:r>
      <w:r>
        <w:rPr>
          <w:color w:val="231F1F"/>
          <w:spacing w:val="-11"/>
          <w:w w:val="105"/>
          <w:sz w:val="20"/>
        </w:rPr>
        <w:t> </w:t>
      </w:r>
      <w:r>
        <w:rPr>
          <w:color w:val="231F1F"/>
          <w:w w:val="105"/>
          <w:sz w:val="20"/>
        </w:rPr>
        <w:t>matrona.</w:t>
      </w:r>
      <w:r>
        <w:rPr>
          <w:color w:val="231F1F"/>
          <w:spacing w:val="-12"/>
          <w:w w:val="105"/>
          <w:sz w:val="20"/>
        </w:rPr>
        <w:t> </w:t>
      </w:r>
      <w:r>
        <w:rPr>
          <w:color w:val="231F1F"/>
          <w:w w:val="105"/>
          <w:sz w:val="20"/>
        </w:rPr>
        <w:t>Hospital</w:t>
      </w:r>
      <w:r>
        <w:rPr>
          <w:color w:val="231F1F"/>
          <w:spacing w:val="-11"/>
          <w:w w:val="105"/>
          <w:sz w:val="20"/>
        </w:rPr>
        <w:t> </w:t>
      </w:r>
      <w:r>
        <w:rPr>
          <w:color w:val="231F1F"/>
          <w:w w:val="105"/>
          <w:sz w:val="20"/>
        </w:rPr>
        <w:t>de</w:t>
      </w:r>
      <w:r>
        <w:rPr>
          <w:color w:val="231F1F"/>
          <w:spacing w:val="-13"/>
          <w:w w:val="105"/>
          <w:sz w:val="20"/>
        </w:rPr>
        <w:t> </w:t>
      </w:r>
      <w:r>
        <w:rPr>
          <w:color w:val="231F1F"/>
          <w:w w:val="105"/>
          <w:sz w:val="20"/>
        </w:rPr>
        <w:t>Cruces,</w:t>
      </w:r>
      <w:r>
        <w:rPr>
          <w:color w:val="231F1F"/>
          <w:spacing w:val="-12"/>
          <w:w w:val="105"/>
          <w:sz w:val="20"/>
        </w:rPr>
        <w:t> </w:t>
      </w:r>
      <w:r>
        <w:rPr>
          <w:color w:val="231F1F"/>
          <w:w w:val="105"/>
          <w:sz w:val="20"/>
        </w:rPr>
        <w:t>Barakaldo,</w:t>
      </w:r>
      <w:r>
        <w:rPr>
          <w:color w:val="231F1F"/>
          <w:spacing w:val="-9"/>
          <w:w w:val="105"/>
          <w:sz w:val="20"/>
        </w:rPr>
        <w:t> </w:t>
      </w:r>
      <w:r>
        <w:rPr>
          <w:color w:val="231F1F"/>
          <w:spacing w:val="-2"/>
          <w:w w:val="105"/>
          <w:sz w:val="20"/>
        </w:rPr>
        <w:t>Bizkaia</w:t>
      </w:r>
    </w:p>
    <w:p>
      <w:pPr>
        <w:spacing w:before="158"/>
        <w:ind w:left="0" w:right="124" w:firstLine="0"/>
        <w:jc w:val="right"/>
        <w:rPr>
          <w:sz w:val="20"/>
        </w:rPr>
      </w:pPr>
      <w:r>
        <w:rPr>
          <w:b/>
          <w:color w:val="231F1F"/>
          <w:spacing w:val="-2"/>
          <w:w w:val="105"/>
          <w:sz w:val="20"/>
        </w:rPr>
        <w:t>Rosario</w:t>
      </w:r>
      <w:r>
        <w:rPr>
          <w:b/>
          <w:color w:val="231F1F"/>
          <w:spacing w:val="2"/>
          <w:w w:val="105"/>
          <w:sz w:val="20"/>
        </w:rPr>
        <w:t> </w:t>
      </w:r>
      <w:r>
        <w:rPr>
          <w:b/>
          <w:color w:val="231F1F"/>
          <w:spacing w:val="-2"/>
          <w:w w:val="105"/>
          <w:sz w:val="20"/>
        </w:rPr>
        <w:t>Fernández</w:t>
      </w:r>
      <w:r>
        <w:rPr>
          <w:b/>
          <w:color w:val="231F1F"/>
          <w:spacing w:val="3"/>
          <w:w w:val="105"/>
          <w:sz w:val="20"/>
        </w:rPr>
        <w:t> </w:t>
      </w:r>
      <w:r>
        <w:rPr>
          <w:b/>
          <w:color w:val="231F1F"/>
          <w:spacing w:val="-2"/>
          <w:w w:val="105"/>
          <w:sz w:val="20"/>
        </w:rPr>
        <w:t>Fontanillo</w:t>
      </w:r>
      <w:r>
        <w:rPr>
          <w:color w:val="231F1F"/>
          <w:spacing w:val="-2"/>
          <w:w w:val="105"/>
          <w:sz w:val="20"/>
        </w:rPr>
        <w:t>,</w:t>
      </w:r>
      <w:r>
        <w:rPr>
          <w:color w:val="231F1F"/>
          <w:spacing w:val="3"/>
          <w:w w:val="105"/>
          <w:sz w:val="20"/>
        </w:rPr>
        <w:t> </w:t>
      </w:r>
      <w:r>
        <w:rPr>
          <w:color w:val="231F1F"/>
          <w:spacing w:val="-2"/>
          <w:w w:val="105"/>
          <w:sz w:val="20"/>
        </w:rPr>
        <w:t>matrona.</w:t>
      </w:r>
      <w:r>
        <w:rPr>
          <w:color w:val="231F1F"/>
          <w:spacing w:val="4"/>
          <w:w w:val="105"/>
          <w:sz w:val="20"/>
        </w:rPr>
        <w:t> </w:t>
      </w:r>
      <w:r>
        <w:rPr>
          <w:color w:val="231F1F"/>
          <w:spacing w:val="-2"/>
          <w:w w:val="105"/>
          <w:sz w:val="20"/>
        </w:rPr>
        <w:t>Hospital</w:t>
      </w:r>
      <w:r>
        <w:rPr>
          <w:color w:val="231F1F"/>
          <w:spacing w:val="4"/>
          <w:w w:val="105"/>
          <w:sz w:val="20"/>
        </w:rPr>
        <w:t> </w:t>
      </w:r>
      <w:r>
        <w:rPr>
          <w:color w:val="231F1F"/>
          <w:spacing w:val="-2"/>
          <w:w w:val="105"/>
          <w:sz w:val="20"/>
        </w:rPr>
        <w:t>Donostia,</w:t>
      </w:r>
      <w:r>
        <w:rPr>
          <w:color w:val="231F1F"/>
          <w:spacing w:val="4"/>
          <w:w w:val="105"/>
          <w:sz w:val="20"/>
        </w:rPr>
        <w:t> </w:t>
      </w:r>
      <w:r>
        <w:rPr>
          <w:color w:val="231F1F"/>
          <w:spacing w:val="-2"/>
          <w:w w:val="105"/>
          <w:sz w:val="20"/>
        </w:rPr>
        <w:t>Donostia-San</w:t>
      </w:r>
      <w:r>
        <w:rPr>
          <w:color w:val="231F1F"/>
          <w:spacing w:val="1"/>
          <w:w w:val="105"/>
          <w:sz w:val="20"/>
        </w:rPr>
        <w:t> </w:t>
      </w:r>
      <w:r>
        <w:rPr>
          <w:color w:val="231F1F"/>
          <w:spacing w:val="-2"/>
          <w:w w:val="105"/>
          <w:sz w:val="20"/>
        </w:rPr>
        <w:t>Sebastián</w:t>
      </w:r>
    </w:p>
    <w:p>
      <w:pPr>
        <w:spacing w:before="154"/>
        <w:ind w:left="0" w:right="125" w:firstLine="0"/>
        <w:jc w:val="right"/>
        <w:rPr>
          <w:sz w:val="20"/>
        </w:rPr>
      </w:pPr>
      <w:r>
        <w:rPr>
          <w:b/>
          <w:color w:val="231F1F"/>
          <w:w w:val="105"/>
          <w:sz w:val="20"/>
        </w:rPr>
        <w:t>Isabel</w:t>
      </w:r>
      <w:r>
        <w:rPr>
          <w:b/>
          <w:color w:val="231F1F"/>
          <w:spacing w:val="-6"/>
          <w:w w:val="105"/>
          <w:sz w:val="20"/>
        </w:rPr>
        <w:t> </w:t>
      </w:r>
      <w:r>
        <w:rPr>
          <w:b/>
          <w:color w:val="231F1F"/>
          <w:w w:val="105"/>
          <w:sz w:val="20"/>
        </w:rPr>
        <w:t>Fernandez</w:t>
      </w:r>
      <w:r>
        <w:rPr>
          <w:b/>
          <w:color w:val="231F1F"/>
          <w:spacing w:val="-7"/>
          <w:w w:val="105"/>
          <w:sz w:val="20"/>
        </w:rPr>
        <w:t> </w:t>
      </w:r>
      <w:r>
        <w:rPr>
          <w:b/>
          <w:color w:val="231F1F"/>
          <w:w w:val="105"/>
          <w:sz w:val="20"/>
        </w:rPr>
        <w:t>del</w:t>
      </w:r>
      <w:r>
        <w:rPr>
          <w:b/>
          <w:color w:val="231F1F"/>
          <w:spacing w:val="-6"/>
          <w:w w:val="105"/>
          <w:sz w:val="20"/>
        </w:rPr>
        <w:t> </w:t>
      </w:r>
      <w:r>
        <w:rPr>
          <w:b/>
          <w:color w:val="231F1F"/>
          <w:w w:val="105"/>
          <w:sz w:val="20"/>
        </w:rPr>
        <w:t>Castillo</w:t>
      </w:r>
      <w:r>
        <w:rPr>
          <w:b/>
          <w:color w:val="231F1F"/>
          <w:spacing w:val="-6"/>
          <w:w w:val="105"/>
          <w:sz w:val="20"/>
        </w:rPr>
        <w:t> </w:t>
      </w:r>
      <w:r>
        <w:rPr>
          <w:b/>
          <w:color w:val="231F1F"/>
          <w:w w:val="105"/>
          <w:sz w:val="20"/>
        </w:rPr>
        <w:t>Sainz</w:t>
      </w:r>
      <w:r>
        <w:rPr>
          <w:color w:val="231F1F"/>
          <w:w w:val="105"/>
          <w:sz w:val="20"/>
        </w:rPr>
        <w:t>,</w:t>
      </w:r>
      <w:r>
        <w:rPr>
          <w:color w:val="231F1F"/>
          <w:spacing w:val="-6"/>
          <w:w w:val="105"/>
          <w:sz w:val="20"/>
        </w:rPr>
        <w:t> </w:t>
      </w:r>
      <w:r>
        <w:rPr>
          <w:color w:val="231F1F"/>
          <w:w w:val="105"/>
          <w:sz w:val="20"/>
        </w:rPr>
        <w:t>periodista.</w:t>
      </w:r>
      <w:r>
        <w:rPr>
          <w:color w:val="231F1F"/>
          <w:spacing w:val="-6"/>
          <w:w w:val="105"/>
          <w:sz w:val="20"/>
        </w:rPr>
        <w:t> </w:t>
      </w:r>
      <w:r>
        <w:rPr>
          <w:color w:val="231F1F"/>
          <w:w w:val="105"/>
          <w:sz w:val="20"/>
        </w:rPr>
        <w:t>Miembro</w:t>
      </w:r>
      <w:r>
        <w:rPr>
          <w:color w:val="231F1F"/>
          <w:spacing w:val="-7"/>
          <w:w w:val="105"/>
          <w:sz w:val="20"/>
        </w:rPr>
        <w:t> </w:t>
      </w:r>
      <w:r>
        <w:rPr>
          <w:color w:val="231F1F"/>
          <w:w w:val="105"/>
          <w:sz w:val="20"/>
        </w:rPr>
        <w:t>de</w:t>
      </w:r>
      <w:r>
        <w:rPr>
          <w:color w:val="231F1F"/>
          <w:spacing w:val="-6"/>
          <w:w w:val="105"/>
          <w:sz w:val="20"/>
        </w:rPr>
        <w:t> </w:t>
      </w:r>
      <w:r>
        <w:rPr>
          <w:color w:val="231F1F"/>
          <w:w w:val="105"/>
          <w:sz w:val="20"/>
        </w:rPr>
        <w:t>la</w:t>
      </w:r>
      <w:r>
        <w:rPr>
          <w:color w:val="231F1F"/>
          <w:spacing w:val="-7"/>
          <w:w w:val="105"/>
          <w:sz w:val="20"/>
        </w:rPr>
        <w:t> </w:t>
      </w:r>
      <w:r>
        <w:rPr>
          <w:color w:val="231F1F"/>
          <w:spacing w:val="-2"/>
          <w:w w:val="105"/>
          <w:sz w:val="20"/>
        </w:rPr>
        <w:t>asociación</w:t>
      </w:r>
    </w:p>
    <w:p>
      <w:pPr>
        <w:spacing w:before="30"/>
        <w:ind w:left="0" w:right="119" w:firstLine="0"/>
        <w:jc w:val="right"/>
        <w:rPr>
          <w:sz w:val="20"/>
        </w:rPr>
      </w:pPr>
      <w:r>
        <w:rPr>
          <w:color w:val="231F1F"/>
          <w:spacing w:val="-2"/>
          <w:w w:val="110"/>
          <w:sz w:val="20"/>
        </w:rPr>
        <w:t>«El</w:t>
      </w:r>
      <w:r>
        <w:rPr>
          <w:color w:val="231F1F"/>
          <w:spacing w:val="-10"/>
          <w:w w:val="110"/>
          <w:sz w:val="20"/>
        </w:rPr>
        <w:t> </w:t>
      </w:r>
      <w:r>
        <w:rPr>
          <w:color w:val="231F1F"/>
          <w:spacing w:val="-2"/>
          <w:w w:val="110"/>
          <w:sz w:val="20"/>
        </w:rPr>
        <w:t>Parto</w:t>
      </w:r>
      <w:r>
        <w:rPr>
          <w:color w:val="231F1F"/>
          <w:spacing w:val="-9"/>
          <w:w w:val="110"/>
          <w:sz w:val="20"/>
        </w:rPr>
        <w:t> </w:t>
      </w:r>
      <w:r>
        <w:rPr>
          <w:color w:val="231F1F"/>
          <w:spacing w:val="-2"/>
          <w:w w:val="110"/>
          <w:sz w:val="20"/>
        </w:rPr>
        <w:t>es</w:t>
      </w:r>
      <w:r>
        <w:rPr>
          <w:color w:val="231F1F"/>
          <w:spacing w:val="-9"/>
          <w:w w:val="110"/>
          <w:sz w:val="20"/>
        </w:rPr>
        <w:t> </w:t>
      </w:r>
      <w:r>
        <w:rPr>
          <w:color w:val="231F1F"/>
          <w:spacing w:val="-2"/>
          <w:w w:val="110"/>
          <w:sz w:val="20"/>
        </w:rPr>
        <w:t>Nuestro».</w:t>
      </w:r>
      <w:r>
        <w:rPr>
          <w:color w:val="231F1F"/>
          <w:spacing w:val="-8"/>
          <w:w w:val="110"/>
          <w:sz w:val="20"/>
        </w:rPr>
        <w:t> </w:t>
      </w:r>
      <w:r>
        <w:rPr>
          <w:color w:val="231F1F"/>
          <w:spacing w:val="-2"/>
          <w:w w:val="110"/>
          <w:sz w:val="20"/>
        </w:rPr>
        <w:t>Madrid</w:t>
      </w:r>
    </w:p>
    <w:p>
      <w:pPr>
        <w:spacing w:line="254" w:lineRule="auto" w:before="144"/>
        <w:ind w:left="4226" w:right="119" w:hanging="868"/>
        <w:jc w:val="right"/>
        <w:rPr>
          <w:sz w:val="20"/>
        </w:rPr>
      </w:pPr>
      <w:r>
        <w:rPr>
          <w:b/>
          <w:color w:val="231F1F"/>
          <w:w w:val="105"/>
          <w:sz w:val="20"/>
        </w:rPr>
        <w:t>Manuel</w:t>
      </w:r>
      <w:r>
        <w:rPr>
          <w:b/>
          <w:color w:val="231F1F"/>
          <w:spacing w:val="-11"/>
          <w:w w:val="105"/>
          <w:sz w:val="20"/>
        </w:rPr>
        <w:t> </w:t>
      </w:r>
      <w:r>
        <w:rPr>
          <w:b/>
          <w:color w:val="231F1F"/>
          <w:w w:val="105"/>
          <w:sz w:val="20"/>
        </w:rPr>
        <w:t>Fillol</w:t>
      </w:r>
      <w:r>
        <w:rPr>
          <w:b/>
          <w:color w:val="231F1F"/>
          <w:spacing w:val="-11"/>
          <w:w w:val="105"/>
          <w:sz w:val="20"/>
        </w:rPr>
        <w:t> </w:t>
      </w:r>
      <w:r>
        <w:rPr>
          <w:b/>
          <w:color w:val="231F1F"/>
          <w:w w:val="105"/>
          <w:sz w:val="20"/>
        </w:rPr>
        <w:t>Crespo</w:t>
      </w:r>
      <w:r>
        <w:rPr>
          <w:color w:val="231F1F"/>
          <w:w w:val="105"/>
          <w:sz w:val="20"/>
        </w:rPr>
        <w:t>,</w:t>
      </w:r>
      <w:r>
        <w:rPr>
          <w:color w:val="231F1F"/>
          <w:spacing w:val="-11"/>
          <w:w w:val="105"/>
          <w:sz w:val="20"/>
        </w:rPr>
        <w:t> </w:t>
      </w:r>
      <w:r>
        <w:rPr>
          <w:color w:val="231F1F"/>
          <w:w w:val="105"/>
          <w:sz w:val="20"/>
        </w:rPr>
        <w:t>especialista</w:t>
      </w:r>
      <w:r>
        <w:rPr>
          <w:color w:val="231F1F"/>
          <w:spacing w:val="-13"/>
          <w:w w:val="105"/>
          <w:sz w:val="20"/>
        </w:rPr>
        <w:t> </w:t>
      </w:r>
      <w:r>
        <w:rPr>
          <w:color w:val="231F1F"/>
          <w:w w:val="105"/>
          <w:sz w:val="20"/>
        </w:rPr>
        <w:t>en</w:t>
      </w:r>
      <w:r>
        <w:rPr>
          <w:color w:val="231F1F"/>
          <w:spacing w:val="-13"/>
          <w:w w:val="105"/>
          <w:sz w:val="20"/>
        </w:rPr>
        <w:t> </w:t>
      </w:r>
      <w:r>
        <w:rPr>
          <w:color w:val="231F1F"/>
          <w:w w:val="105"/>
          <w:sz w:val="20"/>
        </w:rPr>
        <w:t>Obstetricia</w:t>
      </w:r>
      <w:r>
        <w:rPr>
          <w:color w:val="231F1F"/>
          <w:spacing w:val="-13"/>
          <w:w w:val="105"/>
          <w:sz w:val="20"/>
        </w:rPr>
        <w:t> </w:t>
      </w:r>
      <w:r>
        <w:rPr>
          <w:color w:val="231F1F"/>
          <w:w w:val="105"/>
          <w:sz w:val="20"/>
        </w:rPr>
        <w:t>y</w:t>
      </w:r>
      <w:r>
        <w:rPr>
          <w:color w:val="231F1F"/>
          <w:spacing w:val="-13"/>
          <w:w w:val="105"/>
          <w:sz w:val="20"/>
        </w:rPr>
        <w:t> </w:t>
      </w:r>
      <w:r>
        <w:rPr>
          <w:color w:val="231F1F"/>
          <w:w w:val="105"/>
          <w:sz w:val="20"/>
        </w:rPr>
        <w:t>Ginecología. Servicio</w:t>
      </w:r>
      <w:r>
        <w:rPr>
          <w:color w:val="231F1F"/>
          <w:spacing w:val="-3"/>
          <w:w w:val="105"/>
          <w:sz w:val="20"/>
        </w:rPr>
        <w:t> </w:t>
      </w:r>
      <w:r>
        <w:rPr>
          <w:color w:val="231F1F"/>
          <w:w w:val="105"/>
          <w:sz w:val="20"/>
        </w:rPr>
        <w:t>del</w:t>
      </w:r>
      <w:r>
        <w:rPr>
          <w:color w:val="231F1F"/>
          <w:spacing w:val="1"/>
          <w:w w:val="105"/>
          <w:sz w:val="20"/>
        </w:rPr>
        <w:t> </w:t>
      </w:r>
      <w:r>
        <w:rPr>
          <w:color w:val="231F1F"/>
          <w:w w:val="105"/>
          <w:sz w:val="20"/>
        </w:rPr>
        <w:t>Hospital</w:t>
      </w:r>
      <w:r>
        <w:rPr>
          <w:color w:val="231F1F"/>
          <w:spacing w:val="1"/>
          <w:w w:val="105"/>
          <w:sz w:val="20"/>
        </w:rPr>
        <w:t> </w:t>
      </w:r>
      <w:r>
        <w:rPr>
          <w:color w:val="231F1F"/>
          <w:w w:val="105"/>
          <w:sz w:val="20"/>
        </w:rPr>
        <w:t>de</w:t>
      </w:r>
      <w:r>
        <w:rPr>
          <w:color w:val="231F1F"/>
          <w:spacing w:val="-1"/>
          <w:w w:val="105"/>
          <w:sz w:val="20"/>
        </w:rPr>
        <w:t> </w:t>
      </w:r>
      <w:r>
        <w:rPr>
          <w:color w:val="231F1F"/>
          <w:w w:val="105"/>
          <w:sz w:val="20"/>
        </w:rPr>
        <w:t>la</w:t>
      </w:r>
      <w:r>
        <w:rPr>
          <w:color w:val="231F1F"/>
          <w:spacing w:val="-1"/>
          <w:w w:val="105"/>
          <w:sz w:val="20"/>
        </w:rPr>
        <w:t> </w:t>
      </w:r>
      <w:r>
        <w:rPr>
          <w:color w:val="231F1F"/>
          <w:w w:val="105"/>
          <w:sz w:val="20"/>
        </w:rPr>
        <w:t>Plana, Villarreal,</w:t>
      </w:r>
      <w:r>
        <w:rPr>
          <w:color w:val="231F1F"/>
          <w:spacing w:val="1"/>
          <w:w w:val="105"/>
          <w:sz w:val="20"/>
        </w:rPr>
        <w:t> </w:t>
      </w:r>
      <w:r>
        <w:rPr>
          <w:color w:val="231F1F"/>
          <w:spacing w:val="-2"/>
          <w:w w:val="105"/>
          <w:sz w:val="20"/>
        </w:rPr>
        <w:t>Castellón</w:t>
      </w:r>
    </w:p>
    <w:p>
      <w:pPr>
        <w:spacing w:before="127"/>
        <w:ind w:left="0" w:right="119" w:firstLine="0"/>
        <w:jc w:val="right"/>
        <w:rPr>
          <w:sz w:val="20"/>
        </w:rPr>
      </w:pPr>
      <w:r>
        <w:rPr>
          <w:b/>
          <w:color w:val="231F1F"/>
          <w:w w:val="105"/>
          <w:sz w:val="20"/>
        </w:rPr>
        <w:t>José</w:t>
      </w:r>
      <w:r>
        <w:rPr>
          <w:b/>
          <w:color w:val="231F1F"/>
          <w:spacing w:val="-13"/>
          <w:w w:val="105"/>
          <w:sz w:val="20"/>
        </w:rPr>
        <w:t> </w:t>
      </w:r>
      <w:r>
        <w:rPr>
          <w:b/>
          <w:color w:val="231F1F"/>
          <w:w w:val="105"/>
          <w:sz w:val="20"/>
        </w:rPr>
        <w:t>Manuel</w:t>
      </w:r>
      <w:r>
        <w:rPr>
          <w:b/>
          <w:color w:val="231F1F"/>
          <w:spacing w:val="-10"/>
          <w:w w:val="105"/>
          <w:sz w:val="20"/>
        </w:rPr>
        <w:t> </w:t>
      </w:r>
      <w:r>
        <w:rPr>
          <w:b/>
          <w:color w:val="231F1F"/>
          <w:w w:val="105"/>
          <w:sz w:val="20"/>
        </w:rPr>
        <w:t>García</w:t>
      </w:r>
      <w:r>
        <w:rPr>
          <w:b/>
          <w:color w:val="231F1F"/>
          <w:spacing w:val="-10"/>
          <w:w w:val="105"/>
          <w:sz w:val="20"/>
        </w:rPr>
        <w:t> </w:t>
      </w:r>
      <w:r>
        <w:rPr>
          <w:b/>
          <w:color w:val="231F1F"/>
          <w:w w:val="105"/>
          <w:sz w:val="20"/>
        </w:rPr>
        <w:t>Adanez</w:t>
      </w:r>
      <w:r>
        <w:rPr>
          <w:color w:val="231F1F"/>
          <w:w w:val="105"/>
          <w:sz w:val="20"/>
        </w:rPr>
        <w:t>,</w:t>
      </w:r>
      <w:r>
        <w:rPr>
          <w:color w:val="231F1F"/>
          <w:spacing w:val="-11"/>
          <w:w w:val="105"/>
          <w:sz w:val="20"/>
        </w:rPr>
        <w:t> </w:t>
      </w:r>
      <w:r>
        <w:rPr>
          <w:color w:val="231F1F"/>
          <w:w w:val="105"/>
          <w:sz w:val="20"/>
        </w:rPr>
        <w:t>especialista</w:t>
      </w:r>
      <w:r>
        <w:rPr>
          <w:color w:val="231F1F"/>
          <w:spacing w:val="-11"/>
          <w:w w:val="105"/>
          <w:sz w:val="20"/>
        </w:rPr>
        <w:t> </w:t>
      </w:r>
      <w:r>
        <w:rPr>
          <w:color w:val="231F1F"/>
          <w:w w:val="105"/>
          <w:sz w:val="20"/>
        </w:rPr>
        <w:t>en</w:t>
      </w:r>
      <w:r>
        <w:rPr>
          <w:color w:val="231F1F"/>
          <w:spacing w:val="-11"/>
          <w:w w:val="105"/>
          <w:sz w:val="20"/>
        </w:rPr>
        <w:t> </w:t>
      </w:r>
      <w:r>
        <w:rPr>
          <w:color w:val="231F1F"/>
          <w:w w:val="105"/>
          <w:sz w:val="20"/>
        </w:rPr>
        <w:t>Obstetricia</w:t>
      </w:r>
      <w:r>
        <w:rPr>
          <w:color w:val="231F1F"/>
          <w:spacing w:val="-12"/>
          <w:w w:val="105"/>
          <w:sz w:val="20"/>
        </w:rPr>
        <w:t> </w:t>
      </w:r>
      <w:r>
        <w:rPr>
          <w:color w:val="231F1F"/>
          <w:w w:val="105"/>
          <w:sz w:val="20"/>
        </w:rPr>
        <w:t>y</w:t>
      </w:r>
      <w:r>
        <w:rPr>
          <w:color w:val="231F1F"/>
          <w:spacing w:val="-11"/>
          <w:w w:val="105"/>
          <w:sz w:val="20"/>
        </w:rPr>
        <w:t> </w:t>
      </w:r>
      <w:r>
        <w:rPr>
          <w:color w:val="231F1F"/>
          <w:w w:val="105"/>
          <w:sz w:val="20"/>
        </w:rPr>
        <w:t>Ginecología.</w:t>
      </w:r>
      <w:r>
        <w:rPr>
          <w:color w:val="231F1F"/>
          <w:spacing w:val="-10"/>
          <w:w w:val="105"/>
          <w:sz w:val="20"/>
        </w:rPr>
        <w:t> </w:t>
      </w:r>
      <w:r>
        <w:rPr>
          <w:color w:val="231F1F"/>
          <w:w w:val="105"/>
          <w:sz w:val="20"/>
        </w:rPr>
        <w:t>Hospital</w:t>
      </w:r>
      <w:r>
        <w:rPr>
          <w:color w:val="231F1F"/>
          <w:spacing w:val="-9"/>
          <w:w w:val="105"/>
          <w:sz w:val="20"/>
        </w:rPr>
        <w:t> </w:t>
      </w:r>
      <w:r>
        <w:rPr>
          <w:color w:val="231F1F"/>
          <w:spacing w:val="-2"/>
          <w:w w:val="105"/>
          <w:sz w:val="20"/>
        </w:rPr>
        <w:t>Donostia,</w:t>
      </w:r>
    </w:p>
    <w:p>
      <w:pPr>
        <w:spacing w:before="10"/>
        <w:ind w:left="0" w:right="119" w:firstLine="0"/>
        <w:jc w:val="right"/>
        <w:rPr>
          <w:sz w:val="20"/>
        </w:rPr>
      </w:pPr>
      <w:r>
        <w:rPr>
          <w:color w:val="231F1F"/>
          <w:w w:val="105"/>
          <w:sz w:val="20"/>
        </w:rPr>
        <w:t>San</w:t>
      </w:r>
      <w:r>
        <w:rPr>
          <w:color w:val="231F1F"/>
          <w:spacing w:val="-3"/>
          <w:w w:val="105"/>
          <w:sz w:val="20"/>
        </w:rPr>
        <w:t> </w:t>
      </w:r>
      <w:r>
        <w:rPr>
          <w:color w:val="231F1F"/>
          <w:spacing w:val="-2"/>
          <w:w w:val="110"/>
          <w:sz w:val="20"/>
        </w:rPr>
        <w:t>Sebastian</w:t>
      </w:r>
    </w:p>
    <w:p>
      <w:pPr>
        <w:spacing w:before="139"/>
        <w:ind w:left="0" w:right="119" w:firstLine="0"/>
        <w:jc w:val="right"/>
        <w:rPr>
          <w:sz w:val="20"/>
        </w:rPr>
      </w:pPr>
      <w:r>
        <w:rPr>
          <w:b/>
          <w:color w:val="231F1F"/>
          <w:w w:val="105"/>
          <w:sz w:val="20"/>
        </w:rPr>
        <w:t>José</w:t>
      </w:r>
      <w:r>
        <w:rPr>
          <w:b/>
          <w:color w:val="231F1F"/>
          <w:spacing w:val="-13"/>
          <w:w w:val="105"/>
          <w:sz w:val="20"/>
        </w:rPr>
        <w:t> </w:t>
      </w:r>
      <w:r>
        <w:rPr>
          <w:b/>
          <w:color w:val="231F1F"/>
          <w:w w:val="105"/>
          <w:sz w:val="20"/>
        </w:rPr>
        <w:t>Ángel</w:t>
      </w:r>
      <w:r>
        <w:rPr>
          <w:b/>
          <w:color w:val="231F1F"/>
          <w:spacing w:val="-10"/>
          <w:w w:val="105"/>
          <w:sz w:val="20"/>
        </w:rPr>
        <w:t> </w:t>
      </w:r>
      <w:r>
        <w:rPr>
          <w:b/>
          <w:color w:val="231F1F"/>
          <w:w w:val="105"/>
          <w:sz w:val="20"/>
        </w:rPr>
        <w:t>García</w:t>
      </w:r>
      <w:r>
        <w:rPr>
          <w:b/>
          <w:color w:val="231F1F"/>
          <w:spacing w:val="-12"/>
          <w:w w:val="105"/>
          <w:sz w:val="20"/>
        </w:rPr>
        <w:t> </w:t>
      </w:r>
      <w:r>
        <w:rPr>
          <w:b/>
          <w:color w:val="231F1F"/>
          <w:w w:val="105"/>
          <w:sz w:val="20"/>
        </w:rPr>
        <w:t>Hernández</w:t>
      </w:r>
      <w:r>
        <w:rPr>
          <w:color w:val="231F1F"/>
          <w:w w:val="105"/>
          <w:sz w:val="20"/>
        </w:rPr>
        <w:t>,</w:t>
      </w:r>
      <w:r>
        <w:rPr>
          <w:color w:val="231F1F"/>
          <w:spacing w:val="-8"/>
          <w:w w:val="105"/>
          <w:sz w:val="20"/>
        </w:rPr>
        <w:t> </w:t>
      </w:r>
      <w:r>
        <w:rPr>
          <w:color w:val="231F1F"/>
          <w:w w:val="105"/>
          <w:sz w:val="20"/>
        </w:rPr>
        <w:t>especialista</w:t>
      </w:r>
      <w:r>
        <w:rPr>
          <w:color w:val="231F1F"/>
          <w:spacing w:val="-12"/>
          <w:w w:val="105"/>
          <w:sz w:val="20"/>
        </w:rPr>
        <w:t> </w:t>
      </w:r>
      <w:r>
        <w:rPr>
          <w:color w:val="231F1F"/>
          <w:w w:val="105"/>
          <w:sz w:val="20"/>
        </w:rPr>
        <w:t>en</w:t>
      </w:r>
      <w:r>
        <w:rPr>
          <w:color w:val="231F1F"/>
          <w:spacing w:val="-12"/>
          <w:w w:val="105"/>
          <w:sz w:val="20"/>
        </w:rPr>
        <w:t> </w:t>
      </w:r>
      <w:r>
        <w:rPr>
          <w:color w:val="231F1F"/>
          <w:w w:val="105"/>
          <w:sz w:val="20"/>
        </w:rPr>
        <w:t>Obstetricia</w:t>
      </w:r>
      <w:r>
        <w:rPr>
          <w:color w:val="231F1F"/>
          <w:spacing w:val="-10"/>
          <w:w w:val="105"/>
          <w:sz w:val="20"/>
        </w:rPr>
        <w:t> </w:t>
      </w:r>
      <w:r>
        <w:rPr>
          <w:color w:val="231F1F"/>
          <w:w w:val="105"/>
          <w:sz w:val="20"/>
        </w:rPr>
        <w:t>y</w:t>
      </w:r>
      <w:r>
        <w:rPr>
          <w:color w:val="231F1F"/>
          <w:spacing w:val="-12"/>
          <w:w w:val="105"/>
          <w:sz w:val="20"/>
        </w:rPr>
        <w:t> </w:t>
      </w:r>
      <w:r>
        <w:rPr>
          <w:color w:val="231F1F"/>
          <w:w w:val="105"/>
          <w:sz w:val="20"/>
        </w:rPr>
        <w:t>Ginecología.</w:t>
      </w:r>
      <w:r>
        <w:rPr>
          <w:color w:val="231F1F"/>
          <w:spacing w:val="-10"/>
          <w:w w:val="105"/>
          <w:sz w:val="20"/>
        </w:rPr>
        <w:t> </w:t>
      </w:r>
      <w:r>
        <w:rPr>
          <w:color w:val="231F1F"/>
          <w:w w:val="105"/>
          <w:sz w:val="20"/>
        </w:rPr>
        <w:t>Hospital</w:t>
      </w:r>
      <w:r>
        <w:rPr>
          <w:color w:val="231F1F"/>
          <w:spacing w:val="-8"/>
          <w:w w:val="105"/>
          <w:sz w:val="20"/>
        </w:rPr>
        <w:t> </w:t>
      </w:r>
      <w:r>
        <w:rPr>
          <w:color w:val="231F1F"/>
          <w:spacing w:val="-2"/>
          <w:w w:val="105"/>
          <w:sz w:val="20"/>
        </w:rPr>
        <w:t>Universitario</w:t>
      </w:r>
    </w:p>
    <w:p>
      <w:pPr>
        <w:spacing w:before="15"/>
        <w:ind w:left="0" w:right="119" w:firstLine="0"/>
        <w:jc w:val="right"/>
        <w:rPr>
          <w:sz w:val="20"/>
        </w:rPr>
      </w:pPr>
      <w:r>
        <w:rPr>
          <w:color w:val="231F1F"/>
          <w:spacing w:val="-2"/>
          <w:w w:val="110"/>
          <w:sz w:val="20"/>
        </w:rPr>
        <w:t>Materno-Infantil</w:t>
      </w:r>
      <w:r>
        <w:rPr>
          <w:color w:val="231F1F"/>
          <w:spacing w:val="-9"/>
          <w:w w:val="110"/>
          <w:sz w:val="20"/>
        </w:rPr>
        <w:t> </w:t>
      </w:r>
      <w:r>
        <w:rPr>
          <w:color w:val="231F1F"/>
          <w:spacing w:val="-2"/>
          <w:w w:val="110"/>
          <w:sz w:val="20"/>
        </w:rPr>
        <w:t>de</w:t>
      </w:r>
      <w:r>
        <w:rPr>
          <w:color w:val="231F1F"/>
          <w:spacing w:val="-9"/>
          <w:w w:val="110"/>
          <w:sz w:val="20"/>
        </w:rPr>
        <w:t> </w:t>
      </w:r>
      <w:r>
        <w:rPr>
          <w:color w:val="231F1F"/>
          <w:spacing w:val="-2"/>
          <w:w w:val="110"/>
          <w:sz w:val="20"/>
        </w:rPr>
        <w:t>Canarias,</w:t>
      </w:r>
      <w:r>
        <w:rPr>
          <w:color w:val="231F1F"/>
          <w:spacing w:val="-8"/>
          <w:w w:val="110"/>
          <w:sz w:val="20"/>
        </w:rPr>
        <w:t> </w:t>
      </w:r>
      <w:r>
        <w:rPr>
          <w:color w:val="231F1F"/>
          <w:spacing w:val="-2"/>
          <w:w w:val="110"/>
          <w:sz w:val="20"/>
        </w:rPr>
        <w:t>Las</w:t>
      </w:r>
      <w:r>
        <w:rPr>
          <w:color w:val="231F1F"/>
          <w:spacing w:val="-9"/>
          <w:w w:val="110"/>
          <w:sz w:val="20"/>
        </w:rPr>
        <w:t> </w:t>
      </w:r>
      <w:r>
        <w:rPr>
          <w:color w:val="231F1F"/>
          <w:spacing w:val="-2"/>
          <w:w w:val="110"/>
          <w:sz w:val="20"/>
        </w:rPr>
        <w:t>Palmas</w:t>
      </w:r>
      <w:r>
        <w:rPr>
          <w:color w:val="231F1F"/>
          <w:spacing w:val="-9"/>
          <w:w w:val="110"/>
          <w:sz w:val="20"/>
        </w:rPr>
        <w:t> </w:t>
      </w:r>
      <w:r>
        <w:rPr>
          <w:color w:val="231F1F"/>
          <w:spacing w:val="-2"/>
          <w:w w:val="110"/>
          <w:sz w:val="20"/>
        </w:rPr>
        <w:t>de</w:t>
      </w:r>
      <w:r>
        <w:rPr>
          <w:color w:val="231F1F"/>
          <w:spacing w:val="-8"/>
          <w:w w:val="110"/>
          <w:sz w:val="20"/>
        </w:rPr>
        <w:t> </w:t>
      </w:r>
      <w:r>
        <w:rPr>
          <w:color w:val="231F1F"/>
          <w:spacing w:val="-2"/>
          <w:w w:val="110"/>
          <w:sz w:val="20"/>
        </w:rPr>
        <w:t>Gran</w:t>
      </w:r>
      <w:r>
        <w:rPr>
          <w:color w:val="231F1F"/>
          <w:spacing w:val="-8"/>
          <w:w w:val="110"/>
          <w:sz w:val="20"/>
        </w:rPr>
        <w:t> </w:t>
      </w:r>
      <w:r>
        <w:rPr>
          <w:color w:val="231F1F"/>
          <w:spacing w:val="-2"/>
          <w:w w:val="110"/>
          <w:sz w:val="20"/>
        </w:rPr>
        <w:t>Canaria</w:t>
      </w:r>
    </w:p>
    <w:p>
      <w:pPr>
        <w:spacing w:before="159"/>
        <w:ind w:left="0" w:right="119" w:firstLine="0"/>
        <w:jc w:val="right"/>
        <w:rPr>
          <w:sz w:val="20"/>
        </w:rPr>
      </w:pPr>
      <w:r>
        <w:rPr>
          <w:b/>
          <w:color w:val="231F1F"/>
          <w:sz w:val="20"/>
        </w:rPr>
        <w:t>Blanca</w:t>
      </w:r>
      <w:r>
        <w:rPr>
          <w:b/>
          <w:color w:val="231F1F"/>
          <w:spacing w:val="10"/>
          <w:sz w:val="20"/>
        </w:rPr>
        <w:t> </w:t>
      </w:r>
      <w:r>
        <w:rPr>
          <w:b/>
          <w:color w:val="231F1F"/>
          <w:sz w:val="20"/>
        </w:rPr>
        <w:t>Herrera</w:t>
      </w:r>
      <w:r>
        <w:rPr>
          <w:b/>
          <w:color w:val="231F1F"/>
          <w:spacing w:val="12"/>
          <w:sz w:val="20"/>
        </w:rPr>
        <w:t> </w:t>
      </w:r>
      <w:r>
        <w:rPr>
          <w:b/>
          <w:color w:val="231F1F"/>
          <w:sz w:val="20"/>
        </w:rPr>
        <w:t>Cabrerizo</w:t>
      </w:r>
      <w:r>
        <w:rPr>
          <w:color w:val="231F1F"/>
          <w:sz w:val="20"/>
        </w:rPr>
        <w:t>,</w:t>
      </w:r>
      <w:r>
        <w:rPr>
          <w:color w:val="231F1F"/>
          <w:spacing w:val="13"/>
          <w:sz w:val="20"/>
        </w:rPr>
        <w:t> </w:t>
      </w:r>
      <w:r>
        <w:rPr>
          <w:color w:val="231F1F"/>
          <w:sz w:val="20"/>
        </w:rPr>
        <w:t>matrona.</w:t>
      </w:r>
      <w:r>
        <w:rPr>
          <w:color w:val="231F1F"/>
          <w:spacing w:val="13"/>
          <w:sz w:val="20"/>
        </w:rPr>
        <w:t> </w:t>
      </w:r>
      <w:r>
        <w:rPr>
          <w:color w:val="231F1F"/>
          <w:sz w:val="20"/>
        </w:rPr>
        <w:t>Hospital</w:t>
      </w:r>
      <w:r>
        <w:rPr>
          <w:color w:val="231F1F"/>
          <w:spacing w:val="13"/>
          <w:sz w:val="20"/>
        </w:rPr>
        <w:t> </w:t>
      </w:r>
      <w:r>
        <w:rPr>
          <w:color w:val="231F1F"/>
          <w:sz w:val="20"/>
        </w:rPr>
        <w:t>de</w:t>
      </w:r>
      <w:r>
        <w:rPr>
          <w:color w:val="231F1F"/>
          <w:spacing w:val="13"/>
          <w:sz w:val="20"/>
        </w:rPr>
        <w:t> </w:t>
      </w:r>
      <w:r>
        <w:rPr>
          <w:color w:val="231F1F"/>
          <w:sz w:val="20"/>
        </w:rPr>
        <w:t>Baza,</w:t>
      </w:r>
      <w:r>
        <w:rPr>
          <w:color w:val="231F1F"/>
          <w:spacing w:val="14"/>
          <w:sz w:val="20"/>
        </w:rPr>
        <w:t> </w:t>
      </w:r>
      <w:r>
        <w:rPr>
          <w:color w:val="231F1F"/>
          <w:spacing w:val="-2"/>
          <w:sz w:val="20"/>
        </w:rPr>
        <w:t>Granada</w:t>
      </w:r>
    </w:p>
    <w:p>
      <w:pPr>
        <w:spacing w:line="249" w:lineRule="auto" w:before="159"/>
        <w:ind w:left="5265" w:right="119" w:hanging="1275"/>
        <w:jc w:val="right"/>
        <w:rPr>
          <w:sz w:val="20"/>
        </w:rPr>
      </w:pPr>
      <w:r>
        <w:rPr>
          <w:b/>
          <w:color w:val="231F1F"/>
          <w:sz w:val="20"/>
        </w:rPr>
        <w:t>Raquel</w:t>
      </w:r>
      <w:r>
        <w:rPr>
          <w:b/>
          <w:color w:val="231F1F"/>
          <w:spacing w:val="-13"/>
          <w:sz w:val="20"/>
        </w:rPr>
        <w:t> </w:t>
      </w:r>
      <w:r>
        <w:rPr>
          <w:b/>
          <w:color w:val="231F1F"/>
          <w:sz w:val="20"/>
        </w:rPr>
        <w:t>Jiménez</w:t>
      </w:r>
      <w:r>
        <w:rPr>
          <w:b/>
          <w:color w:val="231F1F"/>
          <w:spacing w:val="-12"/>
          <w:sz w:val="20"/>
        </w:rPr>
        <w:t> </w:t>
      </w:r>
      <w:r>
        <w:rPr>
          <w:b/>
          <w:color w:val="231F1F"/>
          <w:sz w:val="20"/>
        </w:rPr>
        <w:t>Calahorra</w:t>
      </w:r>
      <w:r>
        <w:rPr>
          <w:color w:val="231F1F"/>
          <w:sz w:val="20"/>
        </w:rPr>
        <w:t>,</w:t>
      </w:r>
      <w:r>
        <w:rPr>
          <w:color w:val="231F1F"/>
          <w:spacing w:val="-13"/>
          <w:sz w:val="20"/>
        </w:rPr>
        <w:t> </w:t>
      </w:r>
      <w:r>
        <w:rPr>
          <w:color w:val="231F1F"/>
          <w:sz w:val="20"/>
        </w:rPr>
        <w:t>especialista</w:t>
      </w:r>
      <w:r>
        <w:rPr>
          <w:color w:val="231F1F"/>
          <w:spacing w:val="-12"/>
          <w:sz w:val="20"/>
        </w:rPr>
        <w:t> </w:t>
      </w:r>
      <w:r>
        <w:rPr>
          <w:color w:val="231F1F"/>
          <w:sz w:val="20"/>
        </w:rPr>
        <w:t>en</w:t>
      </w:r>
      <w:r>
        <w:rPr>
          <w:color w:val="231F1F"/>
          <w:spacing w:val="-13"/>
          <w:sz w:val="20"/>
        </w:rPr>
        <w:t> </w:t>
      </w:r>
      <w:r>
        <w:rPr>
          <w:color w:val="231F1F"/>
          <w:sz w:val="20"/>
        </w:rPr>
        <w:t>Anestesiología. </w:t>
      </w:r>
      <w:r>
        <w:rPr>
          <w:color w:val="231F1F"/>
          <w:w w:val="105"/>
          <w:sz w:val="20"/>
        </w:rPr>
        <w:t>Hospital</w:t>
      </w:r>
      <w:r>
        <w:rPr>
          <w:color w:val="231F1F"/>
          <w:spacing w:val="4"/>
          <w:w w:val="105"/>
          <w:sz w:val="20"/>
        </w:rPr>
        <w:t> </w:t>
      </w:r>
      <w:r>
        <w:rPr>
          <w:color w:val="231F1F"/>
          <w:w w:val="105"/>
          <w:sz w:val="20"/>
        </w:rPr>
        <w:t>de</w:t>
      </w:r>
      <w:r>
        <w:rPr>
          <w:color w:val="231F1F"/>
          <w:spacing w:val="5"/>
          <w:w w:val="105"/>
          <w:sz w:val="20"/>
        </w:rPr>
        <w:t> </w:t>
      </w:r>
      <w:r>
        <w:rPr>
          <w:color w:val="231F1F"/>
          <w:w w:val="105"/>
          <w:sz w:val="20"/>
        </w:rPr>
        <w:t>San</w:t>
      </w:r>
      <w:r>
        <w:rPr>
          <w:color w:val="231F1F"/>
          <w:spacing w:val="5"/>
          <w:w w:val="105"/>
          <w:sz w:val="20"/>
        </w:rPr>
        <w:t> </w:t>
      </w:r>
      <w:r>
        <w:rPr>
          <w:color w:val="231F1F"/>
          <w:w w:val="105"/>
          <w:sz w:val="20"/>
        </w:rPr>
        <w:t>Eloy,</w:t>
      </w:r>
      <w:r>
        <w:rPr>
          <w:color w:val="231F1F"/>
          <w:spacing w:val="8"/>
          <w:w w:val="105"/>
          <w:sz w:val="20"/>
        </w:rPr>
        <w:t> </w:t>
      </w:r>
      <w:r>
        <w:rPr>
          <w:color w:val="231F1F"/>
          <w:w w:val="105"/>
          <w:sz w:val="20"/>
        </w:rPr>
        <w:t>Barakaldo,</w:t>
      </w:r>
      <w:r>
        <w:rPr>
          <w:color w:val="231F1F"/>
          <w:spacing w:val="6"/>
          <w:w w:val="105"/>
          <w:sz w:val="20"/>
        </w:rPr>
        <w:t> </w:t>
      </w:r>
      <w:r>
        <w:rPr>
          <w:color w:val="231F1F"/>
          <w:spacing w:val="-2"/>
          <w:w w:val="105"/>
          <w:sz w:val="20"/>
        </w:rPr>
        <w:t>Bizkaia</w:t>
      </w:r>
    </w:p>
    <w:p>
      <w:pPr>
        <w:spacing w:after="0" w:line="249" w:lineRule="auto"/>
        <w:jc w:val="right"/>
        <w:rPr>
          <w:sz w:val="20"/>
        </w:rPr>
        <w:sectPr>
          <w:pgSz w:w="11900" w:h="16840"/>
          <w:pgMar w:header="0" w:footer="622" w:top="1540" w:bottom="820" w:left="1417" w:right="1559"/>
        </w:sectPr>
      </w:pPr>
    </w:p>
    <w:p>
      <w:pPr>
        <w:spacing w:before="77"/>
        <w:ind w:left="0" w:right="119" w:firstLine="0"/>
        <w:jc w:val="right"/>
        <w:rPr>
          <w:sz w:val="20"/>
        </w:rPr>
      </w:pPr>
      <w:r>
        <w:rPr>
          <w:b/>
          <w:color w:val="231F1F"/>
          <w:spacing w:val="-2"/>
          <w:w w:val="105"/>
          <w:sz w:val="20"/>
        </w:rPr>
        <w:t>Yolanda</w:t>
      </w:r>
      <w:r>
        <w:rPr>
          <w:b/>
          <w:color w:val="231F1F"/>
          <w:spacing w:val="-5"/>
          <w:w w:val="105"/>
          <w:sz w:val="20"/>
        </w:rPr>
        <w:t> </w:t>
      </w:r>
      <w:r>
        <w:rPr>
          <w:b/>
          <w:color w:val="231F1F"/>
          <w:spacing w:val="-2"/>
          <w:w w:val="105"/>
          <w:sz w:val="20"/>
        </w:rPr>
        <w:t>Olivares</w:t>
      </w:r>
      <w:r>
        <w:rPr>
          <w:b/>
          <w:color w:val="231F1F"/>
          <w:spacing w:val="1"/>
          <w:w w:val="105"/>
          <w:sz w:val="20"/>
        </w:rPr>
        <w:t> </w:t>
      </w:r>
      <w:r>
        <w:rPr>
          <w:b/>
          <w:color w:val="231F1F"/>
          <w:spacing w:val="-2"/>
          <w:w w:val="105"/>
          <w:sz w:val="20"/>
        </w:rPr>
        <w:t>Saralegui</w:t>
      </w:r>
      <w:r>
        <w:rPr>
          <w:color w:val="231F1F"/>
          <w:spacing w:val="-2"/>
          <w:w w:val="105"/>
          <w:sz w:val="20"/>
        </w:rPr>
        <w:t>,</w:t>
      </w:r>
      <w:r>
        <w:rPr>
          <w:color w:val="231F1F"/>
          <w:w w:val="105"/>
          <w:sz w:val="20"/>
        </w:rPr>
        <w:t> </w:t>
      </w:r>
      <w:r>
        <w:rPr>
          <w:color w:val="231F1F"/>
          <w:spacing w:val="-2"/>
          <w:w w:val="105"/>
          <w:sz w:val="20"/>
        </w:rPr>
        <w:t>especialista</w:t>
      </w:r>
      <w:r>
        <w:rPr>
          <w:color w:val="231F1F"/>
          <w:spacing w:val="-3"/>
          <w:w w:val="105"/>
          <w:sz w:val="20"/>
        </w:rPr>
        <w:t> </w:t>
      </w:r>
      <w:r>
        <w:rPr>
          <w:color w:val="231F1F"/>
          <w:spacing w:val="-2"/>
          <w:w w:val="105"/>
          <w:sz w:val="20"/>
        </w:rPr>
        <w:t>en</w:t>
      </w:r>
      <w:r>
        <w:rPr>
          <w:color w:val="231F1F"/>
          <w:spacing w:val="-3"/>
          <w:w w:val="105"/>
          <w:sz w:val="20"/>
        </w:rPr>
        <w:t> </w:t>
      </w:r>
      <w:r>
        <w:rPr>
          <w:color w:val="231F1F"/>
          <w:spacing w:val="-2"/>
          <w:w w:val="105"/>
          <w:sz w:val="20"/>
        </w:rPr>
        <w:t>Anestesiología.</w:t>
      </w:r>
      <w:r>
        <w:rPr>
          <w:color w:val="231F1F"/>
          <w:w w:val="105"/>
          <w:sz w:val="20"/>
        </w:rPr>
        <w:t> </w:t>
      </w:r>
      <w:r>
        <w:rPr>
          <w:color w:val="231F1F"/>
          <w:spacing w:val="-2"/>
          <w:w w:val="105"/>
          <w:sz w:val="20"/>
        </w:rPr>
        <w:t>Hospital</w:t>
      </w:r>
      <w:r>
        <w:rPr>
          <w:color w:val="231F1F"/>
          <w:w w:val="105"/>
          <w:sz w:val="20"/>
        </w:rPr>
        <w:t> </w:t>
      </w:r>
      <w:r>
        <w:rPr>
          <w:color w:val="231F1F"/>
          <w:spacing w:val="-2"/>
          <w:w w:val="105"/>
          <w:sz w:val="20"/>
        </w:rPr>
        <w:t>Donostia.</w:t>
      </w:r>
    </w:p>
    <w:p>
      <w:pPr>
        <w:spacing w:before="29"/>
        <w:ind w:left="0" w:right="117" w:firstLine="0"/>
        <w:jc w:val="right"/>
        <w:rPr>
          <w:sz w:val="20"/>
        </w:rPr>
      </w:pPr>
      <w:r>
        <w:rPr>
          <w:color w:val="231F1F"/>
          <w:sz w:val="20"/>
        </w:rPr>
        <w:t>Donostia-San</w:t>
      </w:r>
      <w:r>
        <w:rPr>
          <w:color w:val="231F1F"/>
          <w:spacing w:val="70"/>
          <w:sz w:val="20"/>
        </w:rPr>
        <w:t> </w:t>
      </w:r>
      <w:r>
        <w:rPr>
          <w:color w:val="231F1F"/>
          <w:spacing w:val="-2"/>
          <w:sz w:val="20"/>
        </w:rPr>
        <w:t>Sebastián</w:t>
      </w:r>
    </w:p>
    <w:p>
      <w:pPr>
        <w:spacing w:line="249" w:lineRule="auto" w:before="154"/>
        <w:ind w:left="827" w:right="119" w:hanging="212"/>
        <w:jc w:val="right"/>
        <w:rPr>
          <w:sz w:val="20"/>
        </w:rPr>
      </w:pPr>
      <w:r>
        <w:rPr>
          <w:b/>
          <w:color w:val="231F1F"/>
          <w:w w:val="105"/>
          <w:sz w:val="20"/>
        </w:rPr>
        <w:t>Juan</w:t>
      </w:r>
      <w:r>
        <w:rPr>
          <w:b/>
          <w:color w:val="231F1F"/>
          <w:spacing w:val="-8"/>
          <w:w w:val="105"/>
          <w:sz w:val="20"/>
        </w:rPr>
        <w:t> </w:t>
      </w:r>
      <w:r>
        <w:rPr>
          <w:b/>
          <w:color w:val="231F1F"/>
          <w:w w:val="105"/>
          <w:sz w:val="20"/>
        </w:rPr>
        <w:t>Carlos</w:t>
      </w:r>
      <w:r>
        <w:rPr>
          <w:b/>
          <w:color w:val="231F1F"/>
          <w:spacing w:val="-6"/>
          <w:w w:val="105"/>
          <w:sz w:val="20"/>
        </w:rPr>
        <w:t> </w:t>
      </w:r>
      <w:r>
        <w:rPr>
          <w:b/>
          <w:color w:val="231F1F"/>
          <w:w w:val="105"/>
          <w:sz w:val="20"/>
        </w:rPr>
        <w:t>Melchor</w:t>
      </w:r>
      <w:r>
        <w:rPr>
          <w:b/>
          <w:color w:val="231F1F"/>
          <w:spacing w:val="-7"/>
          <w:w w:val="105"/>
          <w:sz w:val="20"/>
        </w:rPr>
        <w:t> </w:t>
      </w:r>
      <w:r>
        <w:rPr>
          <w:b/>
          <w:color w:val="231F1F"/>
          <w:w w:val="105"/>
          <w:sz w:val="20"/>
        </w:rPr>
        <w:t>Marcos</w:t>
      </w:r>
      <w:r>
        <w:rPr>
          <w:color w:val="231F1F"/>
          <w:w w:val="105"/>
          <w:sz w:val="20"/>
        </w:rPr>
        <w:t>,</w:t>
      </w:r>
      <w:r>
        <w:rPr>
          <w:color w:val="231F1F"/>
          <w:spacing w:val="-6"/>
          <w:w w:val="105"/>
          <w:sz w:val="20"/>
        </w:rPr>
        <w:t> </w:t>
      </w:r>
      <w:r>
        <w:rPr>
          <w:color w:val="231F1F"/>
          <w:w w:val="105"/>
          <w:sz w:val="20"/>
        </w:rPr>
        <w:t>especialista</w:t>
      </w:r>
      <w:r>
        <w:rPr>
          <w:color w:val="231F1F"/>
          <w:spacing w:val="-8"/>
          <w:w w:val="105"/>
          <w:sz w:val="20"/>
        </w:rPr>
        <w:t> </w:t>
      </w:r>
      <w:r>
        <w:rPr>
          <w:color w:val="231F1F"/>
          <w:w w:val="105"/>
          <w:sz w:val="20"/>
        </w:rPr>
        <w:t>en</w:t>
      </w:r>
      <w:r>
        <w:rPr>
          <w:color w:val="231F1F"/>
          <w:spacing w:val="-8"/>
          <w:w w:val="105"/>
          <w:sz w:val="20"/>
        </w:rPr>
        <w:t> </w:t>
      </w:r>
      <w:r>
        <w:rPr>
          <w:color w:val="231F1F"/>
          <w:w w:val="105"/>
          <w:sz w:val="20"/>
        </w:rPr>
        <w:t>Pediatría.</w:t>
      </w:r>
      <w:r>
        <w:rPr>
          <w:color w:val="231F1F"/>
          <w:spacing w:val="-6"/>
          <w:w w:val="105"/>
          <w:sz w:val="20"/>
        </w:rPr>
        <w:t> </w:t>
      </w:r>
      <w:r>
        <w:rPr>
          <w:color w:val="231F1F"/>
          <w:w w:val="105"/>
          <w:sz w:val="20"/>
        </w:rPr>
        <w:t>Hospital</w:t>
      </w:r>
      <w:r>
        <w:rPr>
          <w:color w:val="231F1F"/>
          <w:spacing w:val="-6"/>
          <w:w w:val="105"/>
          <w:sz w:val="20"/>
        </w:rPr>
        <w:t> </w:t>
      </w:r>
      <w:r>
        <w:rPr>
          <w:color w:val="231F1F"/>
          <w:w w:val="105"/>
          <w:sz w:val="20"/>
        </w:rPr>
        <w:t>de</w:t>
      </w:r>
      <w:r>
        <w:rPr>
          <w:color w:val="231F1F"/>
          <w:spacing w:val="-8"/>
          <w:w w:val="105"/>
          <w:sz w:val="20"/>
        </w:rPr>
        <w:t> </w:t>
      </w:r>
      <w:r>
        <w:rPr>
          <w:color w:val="231F1F"/>
          <w:w w:val="105"/>
          <w:sz w:val="20"/>
        </w:rPr>
        <w:t>Cruces,</w:t>
      </w:r>
      <w:r>
        <w:rPr>
          <w:color w:val="231F1F"/>
          <w:spacing w:val="-6"/>
          <w:w w:val="105"/>
          <w:sz w:val="20"/>
        </w:rPr>
        <w:t> </w:t>
      </w:r>
      <w:r>
        <w:rPr>
          <w:color w:val="231F1F"/>
          <w:w w:val="105"/>
          <w:sz w:val="20"/>
        </w:rPr>
        <w:t>Barakaldo,</w:t>
      </w:r>
      <w:r>
        <w:rPr>
          <w:color w:val="231F1F"/>
          <w:spacing w:val="-6"/>
          <w:w w:val="105"/>
          <w:sz w:val="20"/>
        </w:rPr>
        <w:t> </w:t>
      </w:r>
      <w:r>
        <w:rPr>
          <w:color w:val="231F1F"/>
          <w:w w:val="105"/>
          <w:sz w:val="20"/>
        </w:rPr>
        <w:t>Bizkaia. Juan</w:t>
      </w:r>
      <w:r>
        <w:rPr>
          <w:color w:val="231F1F"/>
          <w:spacing w:val="1"/>
          <w:w w:val="105"/>
          <w:sz w:val="20"/>
        </w:rPr>
        <w:t> </w:t>
      </w:r>
      <w:r>
        <w:rPr>
          <w:color w:val="231F1F"/>
          <w:w w:val="105"/>
          <w:sz w:val="20"/>
        </w:rPr>
        <w:t>Manuel</w:t>
      </w:r>
      <w:r>
        <w:rPr>
          <w:color w:val="231F1F"/>
          <w:spacing w:val="8"/>
          <w:w w:val="105"/>
          <w:sz w:val="20"/>
        </w:rPr>
        <w:t> </w:t>
      </w:r>
      <w:r>
        <w:rPr>
          <w:color w:val="231F1F"/>
          <w:w w:val="105"/>
          <w:sz w:val="20"/>
        </w:rPr>
        <w:t>Odriozala</w:t>
      </w:r>
      <w:r>
        <w:rPr>
          <w:color w:val="231F1F"/>
          <w:spacing w:val="4"/>
          <w:w w:val="105"/>
          <w:sz w:val="20"/>
        </w:rPr>
        <w:t> </w:t>
      </w:r>
      <w:r>
        <w:rPr>
          <w:color w:val="231F1F"/>
          <w:w w:val="105"/>
          <w:sz w:val="20"/>
        </w:rPr>
        <w:t>Feu.</w:t>
      </w:r>
      <w:r>
        <w:rPr>
          <w:color w:val="231F1F"/>
          <w:spacing w:val="7"/>
          <w:w w:val="105"/>
          <w:sz w:val="20"/>
        </w:rPr>
        <w:t> </w:t>
      </w:r>
      <w:r>
        <w:rPr>
          <w:color w:val="231F1F"/>
          <w:w w:val="105"/>
          <w:sz w:val="20"/>
        </w:rPr>
        <w:t>Especialista</w:t>
      </w:r>
      <w:r>
        <w:rPr>
          <w:color w:val="231F1F"/>
          <w:spacing w:val="6"/>
          <w:w w:val="105"/>
          <w:sz w:val="20"/>
        </w:rPr>
        <w:t> </w:t>
      </w:r>
      <w:r>
        <w:rPr>
          <w:color w:val="231F1F"/>
          <w:w w:val="105"/>
          <w:sz w:val="20"/>
        </w:rPr>
        <w:t>en</w:t>
      </w:r>
      <w:r>
        <w:rPr>
          <w:color w:val="231F1F"/>
          <w:spacing w:val="5"/>
          <w:w w:val="105"/>
          <w:sz w:val="20"/>
        </w:rPr>
        <w:t> </w:t>
      </w:r>
      <w:r>
        <w:rPr>
          <w:color w:val="231F1F"/>
          <w:w w:val="105"/>
          <w:sz w:val="20"/>
        </w:rPr>
        <w:t>Obstetricia</w:t>
      </w:r>
      <w:r>
        <w:rPr>
          <w:color w:val="231F1F"/>
          <w:spacing w:val="6"/>
          <w:w w:val="105"/>
          <w:sz w:val="20"/>
        </w:rPr>
        <w:t> </w:t>
      </w:r>
      <w:r>
        <w:rPr>
          <w:color w:val="231F1F"/>
          <w:w w:val="105"/>
          <w:sz w:val="20"/>
        </w:rPr>
        <w:t>y</w:t>
      </w:r>
      <w:r>
        <w:rPr>
          <w:color w:val="231F1F"/>
          <w:spacing w:val="4"/>
          <w:w w:val="105"/>
          <w:sz w:val="20"/>
        </w:rPr>
        <w:t> </w:t>
      </w:r>
      <w:r>
        <w:rPr>
          <w:color w:val="231F1F"/>
          <w:w w:val="105"/>
          <w:sz w:val="20"/>
        </w:rPr>
        <w:t>Ginecología.</w:t>
      </w:r>
      <w:r>
        <w:rPr>
          <w:color w:val="231F1F"/>
          <w:spacing w:val="7"/>
          <w:w w:val="105"/>
          <w:sz w:val="20"/>
        </w:rPr>
        <w:t> </w:t>
      </w:r>
      <w:r>
        <w:rPr>
          <w:color w:val="231F1F"/>
          <w:w w:val="105"/>
          <w:sz w:val="20"/>
        </w:rPr>
        <w:t>Hospital</w:t>
      </w:r>
      <w:r>
        <w:rPr>
          <w:color w:val="231F1F"/>
          <w:spacing w:val="8"/>
          <w:w w:val="105"/>
          <w:sz w:val="20"/>
        </w:rPr>
        <w:t> </w:t>
      </w:r>
      <w:r>
        <w:rPr>
          <w:color w:val="231F1F"/>
          <w:spacing w:val="-2"/>
          <w:w w:val="105"/>
          <w:sz w:val="20"/>
        </w:rPr>
        <w:t>Universitario</w:t>
      </w:r>
    </w:p>
    <w:p>
      <w:pPr>
        <w:spacing w:before="21"/>
        <w:ind w:left="0" w:right="119" w:firstLine="0"/>
        <w:jc w:val="right"/>
        <w:rPr>
          <w:sz w:val="20"/>
        </w:rPr>
      </w:pPr>
      <w:r>
        <w:rPr>
          <w:color w:val="231F1F"/>
          <w:sz w:val="20"/>
        </w:rPr>
        <w:t>Marqués</w:t>
      </w:r>
      <w:r>
        <w:rPr>
          <w:color w:val="231F1F"/>
          <w:spacing w:val="29"/>
          <w:sz w:val="20"/>
        </w:rPr>
        <w:t> </w:t>
      </w:r>
      <w:r>
        <w:rPr>
          <w:color w:val="231F1F"/>
          <w:sz w:val="20"/>
        </w:rPr>
        <w:t>de</w:t>
      </w:r>
      <w:r>
        <w:rPr>
          <w:color w:val="231F1F"/>
          <w:spacing w:val="31"/>
          <w:sz w:val="20"/>
        </w:rPr>
        <w:t> </w:t>
      </w:r>
      <w:r>
        <w:rPr>
          <w:color w:val="231F1F"/>
          <w:sz w:val="20"/>
        </w:rPr>
        <w:t>Valdecilla,</w:t>
      </w:r>
      <w:r>
        <w:rPr>
          <w:color w:val="231F1F"/>
          <w:spacing w:val="32"/>
          <w:sz w:val="20"/>
        </w:rPr>
        <w:t> </w:t>
      </w:r>
      <w:r>
        <w:rPr>
          <w:color w:val="231F1F"/>
          <w:spacing w:val="-2"/>
          <w:sz w:val="20"/>
        </w:rPr>
        <w:t>Santander</w:t>
      </w:r>
    </w:p>
    <w:p>
      <w:pPr>
        <w:spacing w:line="254" w:lineRule="auto" w:before="154"/>
        <w:ind w:left="5543" w:right="119" w:hanging="1387"/>
        <w:jc w:val="right"/>
        <w:rPr>
          <w:sz w:val="20"/>
        </w:rPr>
      </w:pPr>
      <w:r>
        <w:rPr>
          <w:b/>
          <w:color w:val="231F1F"/>
          <w:w w:val="105"/>
          <w:sz w:val="20"/>
        </w:rPr>
        <w:t>José</w:t>
      </w:r>
      <w:r>
        <w:rPr>
          <w:b/>
          <w:color w:val="231F1F"/>
          <w:spacing w:val="-15"/>
          <w:w w:val="105"/>
          <w:sz w:val="20"/>
        </w:rPr>
        <w:t> </w:t>
      </w:r>
      <w:r>
        <w:rPr>
          <w:b/>
          <w:color w:val="231F1F"/>
          <w:w w:val="105"/>
          <w:sz w:val="20"/>
        </w:rPr>
        <w:t>María</w:t>
      </w:r>
      <w:r>
        <w:rPr>
          <w:b/>
          <w:color w:val="231F1F"/>
          <w:spacing w:val="-14"/>
          <w:w w:val="105"/>
          <w:sz w:val="20"/>
        </w:rPr>
        <w:t> </w:t>
      </w:r>
      <w:r>
        <w:rPr>
          <w:b/>
          <w:color w:val="231F1F"/>
          <w:w w:val="105"/>
          <w:sz w:val="20"/>
        </w:rPr>
        <w:t>Paricio</w:t>
      </w:r>
      <w:r>
        <w:rPr>
          <w:b/>
          <w:color w:val="231F1F"/>
          <w:spacing w:val="-15"/>
          <w:w w:val="105"/>
          <w:sz w:val="20"/>
        </w:rPr>
        <w:t> </w:t>
      </w:r>
      <w:r>
        <w:rPr>
          <w:b/>
          <w:color w:val="231F1F"/>
          <w:w w:val="105"/>
          <w:sz w:val="20"/>
        </w:rPr>
        <w:t>Talayero</w:t>
      </w:r>
      <w:r>
        <w:rPr>
          <w:color w:val="231F1F"/>
          <w:w w:val="105"/>
          <w:sz w:val="20"/>
        </w:rPr>
        <w:t>,</w:t>
      </w:r>
      <w:r>
        <w:rPr>
          <w:color w:val="231F1F"/>
          <w:spacing w:val="-13"/>
          <w:w w:val="105"/>
          <w:sz w:val="20"/>
        </w:rPr>
        <w:t> </w:t>
      </w:r>
      <w:r>
        <w:rPr>
          <w:color w:val="231F1F"/>
          <w:w w:val="105"/>
          <w:sz w:val="20"/>
        </w:rPr>
        <w:t>especialista</w:t>
      </w:r>
      <w:r>
        <w:rPr>
          <w:color w:val="231F1F"/>
          <w:spacing w:val="-15"/>
          <w:w w:val="105"/>
          <w:sz w:val="20"/>
        </w:rPr>
        <w:t> </w:t>
      </w:r>
      <w:r>
        <w:rPr>
          <w:color w:val="231F1F"/>
          <w:w w:val="105"/>
          <w:sz w:val="20"/>
        </w:rPr>
        <w:t>en</w:t>
      </w:r>
      <w:r>
        <w:rPr>
          <w:color w:val="231F1F"/>
          <w:spacing w:val="-14"/>
          <w:w w:val="105"/>
          <w:sz w:val="20"/>
        </w:rPr>
        <w:t> </w:t>
      </w:r>
      <w:r>
        <w:rPr>
          <w:color w:val="231F1F"/>
          <w:w w:val="105"/>
          <w:sz w:val="20"/>
        </w:rPr>
        <w:t>Pediatría. Hospital</w:t>
      </w:r>
      <w:r>
        <w:rPr>
          <w:color w:val="231F1F"/>
          <w:spacing w:val="10"/>
          <w:w w:val="105"/>
          <w:sz w:val="20"/>
        </w:rPr>
        <w:t> </w:t>
      </w:r>
      <w:r>
        <w:rPr>
          <w:color w:val="231F1F"/>
          <w:w w:val="105"/>
          <w:sz w:val="20"/>
        </w:rPr>
        <w:t>Marina</w:t>
      </w:r>
      <w:r>
        <w:rPr>
          <w:color w:val="231F1F"/>
          <w:spacing w:val="9"/>
          <w:w w:val="105"/>
          <w:sz w:val="20"/>
        </w:rPr>
        <w:t> </w:t>
      </w:r>
      <w:r>
        <w:rPr>
          <w:color w:val="231F1F"/>
          <w:w w:val="105"/>
          <w:sz w:val="20"/>
        </w:rPr>
        <w:t>Alta,</w:t>
      </w:r>
      <w:r>
        <w:rPr>
          <w:color w:val="231F1F"/>
          <w:spacing w:val="10"/>
          <w:w w:val="105"/>
          <w:sz w:val="20"/>
        </w:rPr>
        <w:t> </w:t>
      </w:r>
      <w:r>
        <w:rPr>
          <w:color w:val="231F1F"/>
          <w:w w:val="105"/>
          <w:sz w:val="20"/>
        </w:rPr>
        <w:t>Denia,</w:t>
      </w:r>
      <w:r>
        <w:rPr>
          <w:color w:val="231F1F"/>
          <w:spacing w:val="13"/>
          <w:w w:val="105"/>
          <w:sz w:val="20"/>
        </w:rPr>
        <w:t> </w:t>
      </w:r>
      <w:r>
        <w:rPr>
          <w:color w:val="231F1F"/>
          <w:spacing w:val="-2"/>
          <w:w w:val="105"/>
          <w:sz w:val="20"/>
        </w:rPr>
        <w:t>Alicante</w:t>
      </w:r>
    </w:p>
    <w:p>
      <w:pPr>
        <w:spacing w:line="249" w:lineRule="auto" w:before="141"/>
        <w:ind w:left="4277" w:right="119" w:hanging="1053"/>
        <w:jc w:val="right"/>
        <w:rPr>
          <w:sz w:val="20"/>
        </w:rPr>
      </w:pPr>
      <w:r>
        <w:rPr>
          <w:b/>
          <w:color w:val="231F1F"/>
          <w:w w:val="105"/>
          <w:sz w:val="20"/>
        </w:rPr>
        <w:t>Alberto</w:t>
      </w:r>
      <w:r>
        <w:rPr>
          <w:b/>
          <w:color w:val="231F1F"/>
          <w:spacing w:val="-11"/>
          <w:w w:val="105"/>
          <w:sz w:val="20"/>
        </w:rPr>
        <w:t> </w:t>
      </w:r>
      <w:r>
        <w:rPr>
          <w:b/>
          <w:color w:val="231F1F"/>
          <w:w w:val="105"/>
          <w:sz w:val="20"/>
        </w:rPr>
        <w:t>Puertas</w:t>
      </w:r>
      <w:r>
        <w:rPr>
          <w:b/>
          <w:color w:val="231F1F"/>
          <w:spacing w:val="-10"/>
          <w:w w:val="105"/>
          <w:sz w:val="20"/>
        </w:rPr>
        <w:t> </w:t>
      </w:r>
      <w:r>
        <w:rPr>
          <w:b/>
          <w:color w:val="231F1F"/>
          <w:w w:val="105"/>
          <w:sz w:val="20"/>
        </w:rPr>
        <w:t>Prieto</w:t>
      </w:r>
      <w:r>
        <w:rPr>
          <w:color w:val="231F1F"/>
          <w:w w:val="105"/>
          <w:sz w:val="20"/>
        </w:rPr>
        <w:t>,</w:t>
      </w:r>
      <w:r>
        <w:rPr>
          <w:color w:val="231F1F"/>
          <w:spacing w:val="-10"/>
          <w:w w:val="105"/>
          <w:sz w:val="20"/>
        </w:rPr>
        <w:t> </w:t>
      </w:r>
      <w:r>
        <w:rPr>
          <w:color w:val="231F1F"/>
          <w:w w:val="105"/>
          <w:sz w:val="20"/>
        </w:rPr>
        <w:t>especialista</w:t>
      </w:r>
      <w:r>
        <w:rPr>
          <w:color w:val="231F1F"/>
          <w:spacing w:val="-12"/>
          <w:w w:val="105"/>
          <w:sz w:val="20"/>
        </w:rPr>
        <w:t> </w:t>
      </w:r>
      <w:r>
        <w:rPr>
          <w:color w:val="231F1F"/>
          <w:w w:val="105"/>
          <w:sz w:val="20"/>
        </w:rPr>
        <w:t>en</w:t>
      </w:r>
      <w:r>
        <w:rPr>
          <w:color w:val="231F1F"/>
          <w:spacing w:val="-12"/>
          <w:w w:val="105"/>
          <w:sz w:val="20"/>
        </w:rPr>
        <w:t> </w:t>
      </w:r>
      <w:r>
        <w:rPr>
          <w:color w:val="231F1F"/>
          <w:w w:val="105"/>
          <w:sz w:val="20"/>
        </w:rPr>
        <w:t>Obstetricia</w:t>
      </w:r>
      <w:r>
        <w:rPr>
          <w:color w:val="231F1F"/>
          <w:spacing w:val="-12"/>
          <w:w w:val="105"/>
          <w:sz w:val="20"/>
        </w:rPr>
        <w:t> </w:t>
      </w:r>
      <w:r>
        <w:rPr>
          <w:color w:val="231F1F"/>
          <w:w w:val="105"/>
          <w:sz w:val="20"/>
        </w:rPr>
        <w:t>y</w:t>
      </w:r>
      <w:r>
        <w:rPr>
          <w:color w:val="231F1F"/>
          <w:spacing w:val="-12"/>
          <w:w w:val="105"/>
          <w:sz w:val="20"/>
        </w:rPr>
        <w:t> </w:t>
      </w:r>
      <w:r>
        <w:rPr>
          <w:color w:val="231F1F"/>
          <w:w w:val="105"/>
          <w:sz w:val="20"/>
        </w:rPr>
        <w:t>Ginecología. Hospital</w:t>
      </w:r>
      <w:r>
        <w:rPr>
          <w:color w:val="231F1F"/>
          <w:spacing w:val="-3"/>
          <w:w w:val="105"/>
          <w:sz w:val="20"/>
        </w:rPr>
        <w:t> </w:t>
      </w:r>
      <w:r>
        <w:rPr>
          <w:color w:val="231F1F"/>
          <w:w w:val="105"/>
          <w:sz w:val="20"/>
        </w:rPr>
        <w:t>Universitario Virgen de</w:t>
      </w:r>
      <w:r>
        <w:rPr>
          <w:color w:val="231F1F"/>
          <w:spacing w:val="-1"/>
          <w:w w:val="105"/>
          <w:sz w:val="20"/>
        </w:rPr>
        <w:t> </w:t>
      </w:r>
      <w:r>
        <w:rPr>
          <w:color w:val="231F1F"/>
          <w:w w:val="105"/>
          <w:sz w:val="20"/>
        </w:rPr>
        <w:t>las</w:t>
      </w:r>
      <w:r>
        <w:rPr>
          <w:color w:val="231F1F"/>
          <w:spacing w:val="2"/>
          <w:w w:val="105"/>
          <w:sz w:val="20"/>
        </w:rPr>
        <w:t> </w:t>
      </w:r>
      <w:r>
        <w:rPr>
          <w:color w:val="231F1F"/>
          <w:w w:val="105"/>
          <w:sz w:val="20"/>
        </w:rPr>
        <w:t>Nieves,</w:t>
      </w:r>
      <w:r>
        <w:rPr>
          <w:color w:val="231F1F"/>
          <w:spacing w:val="2"/>
          <w:w w:val="105"/>
          <w:sz w:val="20"/>
        </w:rPr>
        <w:t> </w:t>
      </w:r>
      <w:r>
        <w:rPr>
          <w:color w:val="231F1F"/>
          <w:spacing w:val="-2"/>
          <w:w w:val="105"/>
          <w:sz w:val="20"/>
        </w:rPr>
        <w:t>Granada</w:t>
      </w:r>
    </w:p>
    <w:p>
      <w:pPr>
        <w:spacing w:before="146"/>
        <w:ind w:left="0" w:right="125" w:firstLine="0"/>
        <w:jc w:val="right"/>
        <w:rPr>
          <w:sz w:val="20"/>
        </w:rPr>
      </w:pPr>
      <w:r>
        <w:rPr>
          <w:b/>
          <w:color w:val="231F1F"/>
          <w:spacing w:val="-2"/>
          <w:w w:val="105"/>
          <w:sz w:val="20"/>
        </w:rPr>
        <w:t>Justino</w:t>
      </w:r>
      <w:r>
        <w:rPr>
          <w:b/>
          <w:color w:val="231F1F"/>
          <w:spacing w:val="-6"/>
          <w:w w:val="105"/>
          <w:sz w:val="20"/>
        </w:rPr>
        <w:t> </w:t>
      </w:r>
      <w:r>
        <w:rPr>
          <w:b/>
          <w:color w:val="231F1F"/>
          <w:spacing w:val="-2"/>
          <w:w w:val="105"/>
          <w:sz w:val="20"/>
        </w:rPr>
        <w:t>Rodríguez</w:t>
      </w:r>
      <w:r>
        <w:rPr>
          <w:b/>
          <w:color w:val="231F1F"/>
          <w:spacing w:val="-3"/>
          <w:w w:val="105"/>
          <w:sz w:val="20"/>
        </w:rPr>
        <w:t> </w:t>
      </w:r>
      <w:r>
        <w:rPr>
          <w:b/>
          <w:color w:val="231F1F"/>
          <w:spacing w:val="-2"/>
          <w:w w:val="105"/>
          <w:sz w:val="20"/>
        </w:rPr>
        <w:t>Alarcón</w:t>
      </w:r>
      <w:r>
        <w:rPr>
          <w:b/>
          <w:color w:val="231F1F"/>
          <w:spacing w:val="-4"/>
          <w:w w:val="105"/>
          <w:sz w:val="20"/>
        </w:rPr>
        <w:t> </w:t>
      </w:r>
      <w:r>
        <w:rPr>
          <w:b/>
          <w:color w:val="231F1F"/>
          <w:spacing w:val="-2"/>
          <w:w w:val="105"/>
          <w:sz w:val="20"/>
        </w:rPr>
        <w:t>Gómez</w:t>
      </w:r>
      <w:r>
        <w:rPr>
          <w:color w:val="231F1F"/>
          <w:spacing w:val="-2"/>
          <w:w w:val="105"/>
          <w:sz w:val="20"/>
        </w:rPr>
        <w:t>, especialista</w:t>
      </w:r>
      <w:r>
        <w:rPr>
          <w:color w:val="231F1F"/>
          <w:spacing w:val="-3"/>
          <w:w w:val="105"/>
          <w:sz w:val="20"/>
        </w:rPr>
        <w:t> </w:t>
      </w:r>
      <w:r>
        <w:rPr>
          <w:color w:val="231F1F"/>
          <w:spacing w:val="-2"/>
          <w:w w:val="105"/>
          <w:sz w:val="20"/>
        </w:rPr>
        <w:t>en</w:t>
      </w:r>
      <w:r>
        <w:rPr>
          <w:color w:val="231F1F"/>
          <w:spacing w:val="-5"/>
          <w:w w:val="105"/>
          <w:sz w:val="20"/>
        </w:rPr>
        <w:t> </w:t>
      </w:r>
      <w:r>
        <w:rPr>
          <w:color w:val="231F1F"/>
          <w:spacing w:val="-2"/>
          <w:w w:val="105"/>
          <w:sz w:val="20"/>
        </w:rPr>
        <w:t>Pediatría,</w:t>
      </w:r>
      <w:r>
        <w:rPr>
          <w:color w:val="231F1F"/>
          <w:spacing w:val="-1"/>
          <w:w w:val="105"/>
          <w:sz w:val="20"/>
        </w:rPr>
        <w:t> </w:t>
      </w:r>
      <w:r>
        <w:rPr>
          <w:color w:val="231F1F"/>
          <w:spacing w:val="-2"/>
          <w:w w:val="105"/>
          <w:sz w:val="20"/>
        </w:rPr>
        <w:t>neonatología.</w:t>
      </w:r>
    </w:p>
    <w:p>
      <w:pPr>
        <w:spacing w:before="10"/>
        <w:ind w:left="0" w:right="119" w:firstLine="0"/>
        <w:jc w:val="right"/>
        <w:rPr>
          <w:sz w:val="20"/>
        </w:rPr>
      </w:pPr>
      <w:r>
        <w:rPr>
          <w:color w:val="231F1F"/>
          <w:spacing w:val="-2"/>
          <w:w w:val="110"/>
          <w:sz w:val="20"/>
        </w:rPr>
        <w:t>Hospital</w:t>
      </w:r>
      <w:r>
        <w:rPr>
          <w:color w:val="231F1F"/>
          <w:spacing w:val="-12"/>
          <w:w w:val="110"/>
          <w:sz w:val="20"/>
        </w:rPr>
        <w:t> </w:t>
      </w:r>
      <w:r>
        <w:rPr>
          <w:color w:val="231F1F"/>
          <w:spacing w:val="-2"/>
          <w:w w:val="110"/>
          <w:sz w:val="20"/>
        </w:rPr>
        <w:t>de</w:t>
      </w:r>
      <w:r>
        <w:rPr>
          <w:color w:val="231F1F"/>
          <w:spacing w:val="-11"/>
          <w:w w:val="110"/>
          <w:sz w:val="20"/>
        </w:rPr>
        <w:t> </w:t>
      </w:r>
      <w:r>
        <w:rPr>
          <w:color w:val="231F1F"/>
          <w:spacing w:val="-2"/>
          <w:w w:val="110"/>
          <w:sz w:val="20"/>
        </w:rPr>
        <w:t>Cruces,</w:t>
      </w:r>
      <w:r>
        <w:rPr>
          <w:color w:val="231F1F"/>
          <w:spacing w:val="-11"/>
          <w:w w:val="110"/>
          <w:sz w:val="20"/>
        </w:rPr>
        <w:t> </w:t>
      </w:r>
      <w:r>
        <w:rPr>
          <w:color w:val="231F1F"/>
          <w:spacing w:val="-2"/>
          <w:w w:val="110"/>
          <w:sz w:val="20"/>
        </w:rPr>
        <w:t>Barakaldo,</w:t>
      </w:r>
      <w:r>
        <w:rPr>
          <w:color w:val="231F1F"/>
          <w:spacing w:val="-10"/>
          <w:w w:val="110"/>
          <w:sz w:val="20"/>
        </w:rPr>
        <w:t> </w:t>
      </w:r>
      <w:r>
        <w:rPr>
          <w:color w:val="231F1F"/>
          <w:spacing w:val="-2"/>
          <w:w w:val="110"/>
          <w:sz w:val="20"/>
        </w:rPr>
        <w:t>Bizkaia</w:t>
      </w:r>
    </w:p>
    <w:p>
      <w:pPr>
        <w:spacing w:before="173"/>
        <w:ind w:left="0" w:right="119" w:firstLine="0"/>
        <w:jc w:val="right"/>
        <w:rPr>
          <w:sz w:val="20"/>
        </w:rPr>
      </w:pPr>
      <w:r>
        <w:rPr>
          <w:b/>
          <w:color w:val="231F1F"/>
          <w:sz w:val="20"/>
        </w:rPr>
        <w:t>Marta</w:t>
      </w:r>
      <w:r>
        <w:rPr>
          <w:b/>
          <w:color w:val="231F1F"/>
          <w:spacing w:val="17"/>
          <w:sz w:val="20"/>
        </w:rPr>
        <w:t> </w:t>
      </w:r>
      <w:r>
        <w:rPr>
          <w:b/>
          <w:color w:val="231F1F"/>
          <w:sz w:val="20"/>
        </w:rPr>
        <w:t>Sancha</w:t>
      </w:r>
      <w:r>
        <w:rPr>
          <w:b/>
          <w:color w:val="231F1F"/>
          <w:spacing w:val="20"/>
          <w:sz w:val="20"/>
        </w:rPr>
        <w:t> </w:t>
      </w:r>
      <w:r>
        <w:rPr>
          <w:b/>
          <w:color w:val="231F1F"/>
          <w:sz w:val="20"/>
        </w:rPr>
        <w:t>Naranjo</w:t>
      </w:r>
      <w:r>
        <w:rPr>
          <w:color w:val="231F1F"/>
          <w:sz w:val="20"/>
        </w:rPr>
        <w:t>,</w:t>
      </w:r>
      <w:r>
        <w:rPr>
          <w:color w:val="231F1F"/>
          <w:spacing w:val="22"/>
          <w:sz w:val="20"/>
        </w:rPr>
        <w:t> </w:t>
      </w:r>
      <w:r>
        <w:rPr>
          <w:color w:val="231F1F"/>
          <w:sz w:val="20"/>
        </w:rPr>
        <w:t>especialista</w:t>
      </w:r>
      <w:r>
        <w:rPr>
          <w:color w:val="231F1F"/>
          <w:spacing w:val="19"/>
          <w:sz w:val="20"/>
        </w:rPr>
        <w:t> </w:t>
      </w:r>
      <w:r>
        <w:rPr>
          <w:color w:val="231F1F"/>
          <w:sz w:val="20"/>
        </w:rPr>
        <w:t>en</w:t>
      </w:r>
      <w:r>
        <w:rPr>
          <w:color w:val="231F1F"/>
          <w:spacing w:val="22"/>
          <w:sz w:val="20"/>
        </w:rPr>
        <w:t> </w:t>
      </w:r>
      <w:r>
        <w:rPr>
          <w:color w:val="231F1F"/>
          <w:sz w:val="20"/>
        </w:rPr>
        <w:t>Obstetricia</w:t>
      </w:r>
      <w:r>
        <w:rPr>
          <w:color w:val="231F1F"/>
          <w:spacing w:val="20"/>
          <w:sz w:val="20"/>
        </w:rPr>
        <w:t> </w:t>
      </w:r>
      <w:r>
        <w:rPr>
          <w:color w:val="231F1F"/>
          <w:sz w:val="20"/>
        </w:rPr>
        <w:t>y</w:t>
      </w:r>
      <w:r>
        <w:rPr>
          <w:color w:val="231F1F"/>
          <w:spacing w:val="20"/>
          <w:sz w:val="20"/>
        </w:rPr>
        <w:t> </w:t>
      </w:r>
      <w:r>
        <w:rPr>
          <w:color w:val="231F1F"/>
          <w:sz w:val="20"/>
        </w:rPr>
        <w:t>Ginecología.</w:t>
      </w:r>
      <w:r>
        <w:rPr>
          <w:color w:val="231F1F"/>
          <w:spacing w:val="21"/>
          <w:sz w:val="20"/>
        </w:rPr>
        <w:t> </w:t>
      </w:r>
      <w:r>
        <w:rPr>
          <w:color w:val="231F1F"/>
          <w:sz w:val="20"/>
        </w:rPr>
        <w:t>Médico</w:t>
      </w:r>
      <w:r>
        <w:rPr>
          <w:color w:val="231F1F"/>
          <w:spacing w:val="20"/>
          <w:sz w:val="20"/>
        </w:rPr>
        <w:t> </w:t>
      </w:r>
      <w:r>
        <w:rPr>
          <w:color w:val="231F1F"/>
          <w:sz w:val="20"/>
        </w:rPr>
        <w:t>Adjunto</w:t>
      </w:r>
      <w:r>
        <w:rPr>
          <w:color w:val="231F1F"/>
          <w:spacing w:val="22"/>
          <w:sz w:val="20"/>
        </w:rPr>
        <w:t> </w:t>
      </w:r>
      <w:r>
        <w:rPr>
          <w:color w:val="231F1F"/>
          <w:spacing w:val="-2"/>
          <w:sz w:val="20"/>
        </w:rPr>
        <w:t>Hospital</w:t>
      </w:r>
    </w:p>
    <w:p>
      <w:pPr>
        <w:spacing w:before="10"/>
        <w:ind w:left="0" w:right="119" w:firstLine="0"/>
        <w:jc w:val="right"/>
        <w:rPr>
          <w:sz w:val="20"/>
        </w:rPr>
      </w:pPr>
      <w:r>
        <w:rPr>
          <w:color w:val="231F1F"/>
          <w:spacing w:val="-4"/>
          <w:w w:val="110"/>
          <w:sz w:val="20"/>
        </w:rPr>
        <w:t>Universitario</w:t>
      </w:r>
      <w:r>
        <w:rPr>
          <w:color w:val="231F1F"/>
          <w:spacing w:val="-2"/>
          <w:w w:val="110"/>
          <w:sz w:val="20"/>
        </w:rPr>
        <w:t> </w:t>
      </w:r>
      <w:r>
        <w:rPr>
          <w:color w:val="231F1F"/>
          <w:spacing w:val="-4"/>
          <w:w w:val="110"/>
          <w:sz w:val="20"/>
        </w:rPr>
        <w:t>La</w:t>
      </w:r>
      <w:r>
        <w:rPr>
          <w:color w:val="231F1F"/>
          <w:spacing w:val="-1"/>
          <w:w w:val="110"/>
          <w:sz w:val="20"/>
        </w:rPr>
        <w:t> </w:t>
      </w:r>
      <w:r>
        <w:rPr>
          <w:color w:val="231F1F"/>
          <w:spacing w:val="-4"/>
          <w:w w:val="110"/>
          <w:sz w:val="20"/>
        </w:rPr>
        <w:t>Paz,</w:t>
      </w:r>
      <w:r>
        <w:rPr>
          <w:color w:val="231F1F"/>
          <w:spacing w:val="1"/>
          <w:w w:val="110"/>
          <w:sz w:val="20"/>
        </w:rPr>
        <w:t> </w:t>
      </w:r>
      <w:r>
        <w:rPr>
          <w:color w:val="231F1F"/>
          <w:spacing w:val="-4"/>
          <w:w w:val="110"/>
          <w:sz w:val="20"/>
        </w:rPr>
        <w:t>Madrid</w:t>
      </w:r>
    </w:p>
    <w:p>
      <w:pPr>
        <w:spacing w:before="178"/>
        <w:ind w:left="0" w:right="119" w:firstLine="0"/>
        <w:jc w:val="right"/>
        <w:rPr>
          <w:sz w:val="20"/>
        </w:rPr>
      </w:pPr>
      <w:r>
        <w:rPr>
          <w:b/>
          <w:color w:val="231F1F"/>
          <w:sz w:val="20"/>
        </w:rPr>
        <w:t>Olivia</w:t>
      </w:r>
      <w:r>
        <w:rPr>
          <w:b/>
          <w:color w:val="231F1F"/>
          <w:spacing w:val="21"/>
          <w:sz w:val="20"/>
        </w:rPr>
        <w:t> </w:t>
      </w:r>
      <w:r>
        <w:rPr>
          <w:b/>
          <w:color w:val="231F1F"/>
          <w:sz w:val="20"/>
        </w:rPr>
        <w:t>Santiago</w:t>
      </w:r>
      <w:r>
        <w:rPr>
          <w:b/>
          <w:color w:val="231F1F"/>
          <w:spacing w:val="28"/>
          <w:sz w:val="20"/>
        </w:rPr>
        <w:t> </w:t>
      </w:r>
      <w:r>
        <w:rPr>
          <w:b/>
          <w:color w:val="231F1F"/>
          <w:sz w:val="20"/>
        </w:rPr>
        <w:t>Moriana</w:t>
      </w:r>
      <w:r>
        <w:rPr>
          <w:color w:val="231F1F"/>
          <w:sz w:val="20"/>
        </w:rPr>
        <w:t>,</w:t>
      </w:r>
      <w:r>
        <w:rPr>
          <w:color w:val="231F1F"/>
          <w:spacing w:val="26"/>
          <w:sz w:val="20"/>
        </w:rPr>
        <w:t> </w:t>
      </w:r>
      <w:r>
        <w:rPr>
          <w:color w:val="231F1F"/>
          <w:sz w:val="20"/>
        </w:rPr>
        <w:t>matrona</w:t>
      </w:r>
      <w:r>
        <w:rPr>
          <w:color w:val="231F1F"/>
          <w:spacing w:val="28"/>
          <w:sz w:val="20"/>
        </w:rPr>
        <w:t> </w:t>
      </w:r>
      <w:r>
        <w:rPr>
          <w:color w:val="231F1F"/>
          <w:sz w:val="20"/>
        </w:rPr>
        <w:t>en</w:t>
      </w:r>
      <w:r>
        <w:rPr>
          <w:color w:val="231F1F"/>
          <w:spacing w:val="26"/>
          <w:sz w:val="20"/>
        </w:rPr>
        <w:t> </w:t>
      </w:r>
      <w:r>
        <w:rPr>
          <w:color w:val="231F1F"/>
          <w:sz w:val="20"/>
        </w:rPr>
        <w:t>Atención</w:t>
      </w:r>
      <w:r>
        <w:rPr>
          <w:color w:val="231F1F"/>
          <w:spacing w:val="27"/>
          <w:sz w:val="20"/>
        </w:rPr>
        <w:t> </w:t>
      </w:r>
      <w:r>
        <w:rPr>
          <w:color w:val="231F1F"/>
          <w:sz w:val="20"/>
        </w:rPr>
        <w:t>Especializada</w:t>
      </w:r>
      <w:r>
        <w:rPr>
          <w:color w:val="231F1F"/>
          <w:spacing w:val="26"/>
          <w:sz w:val="20"/>
        </w:rPr>
        <w:t> </w:t>
      </w:r>
      <w:r>
        <w:rPr>
          <w:color w:val="231F1F"/>
          <w:sz w:val="20"/>
        </w:rPr>
        <w:t>Hospital</w:t>
      </w:r>
      <w:r>
        <w:rPr>
          <w:color w:val="231F1F"/>
          <w:spacing w:val="28"/>
          <w:sz w:val="20"/>
        </w:rPr>
        <w:t> </w:t>
      </w:r>
      <w:r>
        <w:rPr>
          <w:color w:val="231F1F"/>
          <w:sz w:val="20"/>
        </w:rPr>
        <w:t>de</w:t>
      </w:r>
      <w:r>
        <w:rPr>
          <w:color w:val="231F1F"/>
          <w:spacing w:val="26"/>
          <w:sz w:val="20"/>
        </w:rPr>
        <w:t> </w:t>
      </w:r>
      <w:r>
        <w:rPr>
          <w:color w:val="231F1F"/>
          <w:sz w:val="20"/>
        </w:rPr>
        <w:t>Jarrio,</w:t>
      </w:r>
      <w:r>
        <w:rPr>
          <w:color w:val="231F1F"/>
          <w:spacing w:val="28"/>
          <w:sz w:val="20"/>
        </w:rPr>
        <w:t> </w:t>
      </w:r>
      <w:r>
        <w:rPr>
          <w:color w:val="231F1F"/>
          <w:sz w:val="20"/>
        </w:rPr>
        <w:t>Coana,</w:t>
      </w:r>
      <w:r>
        <w:rPr>
          <w:color w:val="231F1F"/>
          <w:spacing w:val="27"/>
          <w:sz w:val="20"/>
        </w:rPr>
        <w:t> </w:t>
      </w:r>
      <w:r>
        <w:rPr>
          <w:color w:val="231F1F"/>
          <w:spacing w:val="-2"/>
          <w:sz w:val="20"/>
        </w:rPr>
        <w:t>Asturias</w:t>
      </w:r>
    </w:p>
    <w:p>
      <w:pPr>
        <w:spacing w:line="249" w:lineRule="auto" w:before="154"/>
        <w:ind w:left="4546" w:right="119" w:hanging="1299"/>
        <w:jc w:val="right"/>
        <w:rPr>
          <w:sz w:val="20"/>
        </w:rPr>
      </w:pPr>
      <w:r>
        <w:rPr>
          <w:b/>
          <w:color w:val="231F1F"/>
          <w:w w:val="105"/>
          <w:sz w:val="20"/>
        </w:rPr>
        <w:t>Rafael</w:t>
      </w:r>
      <w:r>
        <w:rPr>
          <w:b/>
          <w:color w:val="231F1F"/>
          <w:spacing w:val="-10"/>
          <w:w w:val="105"/>
          <w:sz w:val="20"/>
        </w:rPr>
        <w:t> </w:t>
      </w:r>
      <w:r>
        <w:rPr>
          <w:b/>
          <w:color w:val="231F1F"/>
          <w:w w:val="105"/>
          <w:sz w:val="20"/>
        </w:rPr>
        <w:t>Ucieda</w:t>
      </w:r>
      <w:r>
        <w:rPr>
          <w:b/>
          <w:color w:val="231F1F"/>
          <w:spacing w:val="-11"/>
          <w:w w:val="105"/>
          <w:sz w:val="20"/>
        </w:rPr>
        <w:t> </w:t>
      </w:r>
      <w:r>
        <w:rPr>
          <w:b/>
          <w:color w:val="231F1F"/>
          <w:w w:val="105"/>
          <w:sz w:val="20"/>
        </w:rPr>
        <w:t>Somoza</w:t>
      </w:r>
      <w:r>
        <w:rPr>
          <w:color w:val="231F1F"/>
          <w:w w:val="105"/>
          <w:sz w:val="20"/>
        </w:rPr>
        <w:t>,</w:t>
      </w:r>
      <w:r>
        <w:rPr>
          <w:color w:val="231F1F"/>
          <w:spacing w:val="-10"/>
          <w:w w:val="105"/>
          <w:sz w:val="20"/>
        </w:rPr>
        <w:t> </w:t>
      </w:r>
      <w:r>
        <w:rPr>
          <w:color w:val="231F1F"/>
          <w:w w:val="105"/>
          <w:sz w:val="20"/>
        </w:rPr>
        <w:t>especialista</w:t>
      </w:r>
      <w:r>
        <w:rPr>
          <w:color w:val="231F1F"/>
          <w:spacing w:val="-12"/>
          <w:w w:val="105"/>
          <w:sz w:val="20"/>
        </w:rPr>
        <w:t> </w:t>
      </w:r>
      <w:r>
        <w:rPr>
          <w:color w:val="231F1F"/>
          <w:w w:val="105"/>
          <w:sz w:val="20"/>
        </w:rPr>
        <w:t>en</w:t>
      </w:r>
      <w:r>
        <w:rPr>
          <w:color w:val="231F1F"/>
          <w:spacing w:val="-12"/>
          <w:w w:val="105"/>
          <w:sz w:val="20"/>
        </w:rPr>
        <w:t> </w:t>
      </w:r>
      <w:r>
        <w:rPr>
          <w:color w:val="231F1F"/>
          <w:w w:val="105"/>
          <w:sz w:val="20"/>
        </w:rPr>
        <w:t>Obstetricia</w:t>
      </w:r>
      <w:r>
        <w:rPr>
          <w:color w:val="231F1F"/>
          <w:spacing w:val="-12"/>
          <w:w w:val="105"/>
          <w:sz w:val="20"/>
        </w:rPr>
        <w:t> </w:t>
      </w:r>
      <w:r>
        <w:rPr>
          <w:color w:val="231F1F"/>
          <w:w w:val="105"/>
          <w:sz w:val="20"/>
        </w:rPr>
        <w:t>y</w:t>
      </w:r>
      <w:r>
        <w:rPr>
          <w:color w:val="231F1F"/>
          <w:spacing w:val="-12"/>
          <w:w w:val="105"/>
          <w:sz w:val="20"/>
        </w:rPr>
        <w:t> </w:t>
      </w:r>
      <w:r>
        <w:rPr>
          <w:color w:val="231F1F"/>
          <w:w w:val="105"/>
          <w:sz w:val="20"/>
        </w:rPr>
        <w:t>Ginecología. Hospital</w:t>
      </w:r>
      <w:r>
        <w:rPr>
          <w:color w:val="231F1F"/>
          <w:spacing w:val="4"/>
          <w:w w:val="105"/>
          <w:sz w:val="20"/>
        </w:rPr>
        <w:t> </w:t>
      </w:r>
      <w:r>
        <w:rPr>
          <w:color w:val="231F1F"/>
          <w:w w:val="105"/>
          <w:sz w:val="20"/>
        </w:rPr>
        <w:t>Universitario</w:t>
      </w:r>
      <w:r>
        <w:rPr>
          <w:color w:val="231F1F"/>
          <w:spacing w:val="5"/>
          <w:w w:val="105"/>
          <w:sz w:val="20"/>
        </w:rPr>
        <w:t> </w:t>
      </w:r>
      <w:r>
        <w:rPr>
          <w:color w:val="231F1F"/>
          <w:w w:val="105"/>
          <w:sz w:val="20"/>
        </w:rPr>
        <w:t>de</w:t>
      </w:r>
      <w:r>
        <w:rPr>
          <w:color w:val="231F1F"/>
          <w:spacing w:val="5"/>
          <w:w w:val="105"/>
          <w:sz w:val="20"/>
        </w:rPr>
        <w:t> </w:t>
      </w:r>
      <w:r>
        <w:rPr>
          <w:color w:val="231F1F"/>
          <w:w w:val="105"/>
          <w:sz w:val="20"/>
        </w:rPr>
        <w:t>Santiago</w:t>
      </w:r>
      <w:r>
        <w:rPr>
          <w:color w:val="231F1F"/>
          <w:spacing w:val="4"/>
          <w:w w:val="105"/>
          <w:sz w:val="20"/>
        </w:rPr>
        <w:t> </w:t>
      </w:r>
      <w:r>
        <w:rPr>
          <w:color w:val="231F1F"/>
          <w:w w:val="105"/>
          <w:sz w:val="20"/>
        </w:rPr>
        <w:t>de</w:t>
      </w:r>
      <w:r>
        <w:rPr>
          <w:color w:val="231F1F"/>
          <w:spacing w:val="5"/>
          <w:w w:val="105"/>
          <w:sz w:val="20"/>
        </w:rPr>
        <w:t> </w:t>
      </w:r>
      <w:r>
        <w:rPr>
          <w:color w:val="231F1F"/>
          <w:spacing w:val="-2"/>
          <w:w w:val="105"/>
          <w:sz w:val="20"/>
        </w:rPr>
        <w:t>Compostela</w:t>
      </w:r>
    </w:p>
    <w:p>
      <w:pPr>
        <w:pStyle w:val="BodyText"/>
        <w:spacing w:before="108"/>
        <w:rPr>
          <w:sz w:val="20"/>
        </w:rPr>
      </w:pPr>
    </w:p>
    <w:p>
      <w:pPr>
        <w:spacing w:before="0"/>
        <w:ind w:left="0" w:right="123" w:firstLine="0"/>
        <w:jc w:val="right"/>
        <w:rPr>
          <w:b/>
          <w:i/>
          <w:sz w:val="20"/>
        </w:rPr>
      </w:pPr>
      <w:r>
        <w:rPr>
          <w:b/>
          <w:i/>
          <w:color w:val="231F1F"/>
          <w:w w:val="105"/>
          <w:sz w:val="20"/>
        </w:rPr>
        <w:t>Coordinación del</w:t>
      </w:r>
      <w:r>
        <w:rPr>
          <w:b/>
          <w:i/>
          <w:color w:val="231F1F"/>
          <w:spacing w:val="3"/>
          <w:w w:val="105"/>
          <w:sz w:val="20"/>
        </w:rPr>
        <w:t> </w:t>
      </w:r>
      <w:r>
        <w:rPr>
          <w:b/>
          <w:i/>
          <w:color w:val="231F1F"/>
          <w:w w:val="105"/>
          <w:sz w:val="20"/>
        </w:rPr>
        <w:t>área</w:t>
      </w:r>
      <w:r>
        <w:rPr>
          <w:b/>
          <w:i/>
          <w:color w:val="231F1F"/>
          <w:spacing w:val="1"/>
          <w:w w:val="105"/>
          <w:sz w:val="20"/>
        </w:rPr>
        <w:t> </w:t>
      </w:r>
      <w:r>
        <w:rPr>
          <w:b/>
          <w:i/>
          <w:color w:val="231F1F"/>
          <w:spacing w:val="-2"/>
          <w:w w:val="105"/>
          <w:sz w:val="20"/>
        </w:rPr>
        <w:t>clínica</w:t>
      </w:r>
    </w:p>
    <w:p>
      <w:pPr>
        <w:spacing w:before="24"/>
        <w:ind w:left="0" w:right="119" w:firstLine="0"/>
        <w:jc w:val="right"/>
        <w:rPr>
          <w:sz w:val="20"/>
        </w:rPr>
      </w:pPr>
      <w:r>
        <w:rPr>
          <w:b/>
          <w:color w:val="231F1F"/>
          <w:spacing w:val="-2"/>
          <w:w w:val="105"/>
          <w:sz w:val="20"/>
        </w:rPr>
        <w:t>Luis</w:t>
      </w:r>
      <w:r>
        <w:rPr>
          <w:b/>
          <w:color w:val="231F1F"/>
          <w:spacing w:val="-6"/>
          <w:w w:val="105"/>
          <w:sz w:val="20"/>
        </w:rPr>
        <w:t> </w:t>
      </w:r>
      <w:r>
        <w:rPr>
          <w:b/>
          <w:color w:val="231F1F"/>
          <w:spacing w:val="-2"/>
          <w:w w:val="105"/>
          <w:sz w:val="20"/>
        </w:rPr>
        <w:t>Fernández-Llebrez</w:t>
      </w:r>
      <w:r>
        <w:rPr>
          <w:b/>
          <w:color w:val="231F1F"/>
          <w:spacing w:val="-6"/>
          <w:w w:val="105"/>
          <w:sz w:val="20"/>
        </w:rPr>
        <w:t> </w:t>
      </w:r>
      <w:r>
        <w:rPr>
          <w:b/>
          <w:color w:val="231F1F"/>
          <w:spacing w:val="-2"/>
          <w:w w:val="105"/>
          <w:sz w:val="20"/>
        </w:rPr>
        <w:t>del</w:t>
      </w:r>
      <w:r>
        <w:rPr>
          <w:b/>
          <w:color w:val="231F1F"/>
          <w:spacing w:val="-3"/>
          <w:w w:val="105"/>
          <w:sz w:val="20"/>
        </w:rPr>
        <w:t> </w:t>
      </w:r>
      <w:r>
        <w:rPr>
          <w:b/>
          <w:color w:val="231F1F"/>
          <w:spacing w:val="-2"/>
          <w:w w:val="105"/>
          <w:sz w:val="20"/>
        </w:rPr>
        <w:t>Rey</w:t>
      </w:r>
      <w:r>
        <w:rPr>
          <w:color w:val="231F1F"/>
          <w:spacing w:val="-2"/>
          <w:w w:val="105"/>
          <w:sz w:val="20"/>
        </w:rPr>
        <w:t>,</w:t>
      </w:r>
      <w:r>
        <w:rPr>
          <w:color w:val="231F1F"/>
          <w:spacing w:val="-6"/>
          <w:w w:val="105"/>
          <w:sz w:val="20"/>
        </w:rPr>
        <w:t> </w:t>
      </w:r>
      <w:r>
        <w:rPr>
          <w:color w:val="231F1F"/>
          <w:spacing w:val="-2"/>
          <w:w w:val="105"/>
          <w:sz w:val="20"/>
        </w:rPr>
        <w:t>especialista</w:t>
      </w:r>
      <w:r>
        <w:rPr>
          <w:color w:val="231F1F"/>
          <w:spacing w:val="-6"/>
          <w:w w:val="105"/>
          <w:sz w:val="20"/>
        </w:rPr>
        <w:t> </w:t>
      </w:r>
      <w:r>
        <w:rPr>
          <w:color w:val="231F1F"/>
          <w:spacing w:val="-2"/>
          <w:w w:val="105"/>
          <w:sz w:val="20"/>
        </w:rPr>
        <w:t>en</w:t>
      </w:r>
      <w:r>
        <w:rPr>
          <w:color w:val="231F1F"/>
          <w:spacing w:val="-6"/>
          <w:w w:val="105"/>
          <w:sz w:val="20"/>
        </w:rPr>
        <w:t> </w:t>
      </w:r>
      <w:r>
        <w:rPr>
          <w:color w:val="231F1F"/>
          <w:spacing w:val="-2"/>
          <w:w w:val="105"/>
          <w:sz w:val="20"/>
        </w:rPr>
        <w:t>Obstetricia</w:t>
      </w:r>
      <w:r>
        <w:rPr>
          <w:color w:val="231F1F"/>
          <w:spacing w:val="-6"/>
          <w:w w:val="105"/>
          <w:sz w:val="20"/>
        </w:rPr>
        <w:t> </w:t>
      </w:r>
      <w:r>
        <w:rPr>
          <w:color w:val="231F1F"/>
          <w:spacing w:val="-2"/>
          <w:w w:val="105"/>
          <w:sz w:val="20"/>
        </w:rPr>
        <w:t>y</w:t>
      </w:r>
      <w:r>
        <w:rPr>
          <w:color w:val="231F1F"/>
          <w:spacing w:val="-5"/>
          <w:w w:val="105"/>
          <w:sz w:val="20"/>
        </w:rPr>
        <w:t> </w:t>
      </w:r>
      <w:r>
        <w:rPr>
          <w:color w:val="231F1F"/>
          <w:spacing w:val="-2"/>
          <w:w w:val="105"/>
          <w:sz w:val="20"/>
        </w:rPr>
        <w:t>Ginecología.</w:t>
      </w:r>
    </w:p>
    <w:p>
      <w:pPr>
        <w:spacing w:before="15"/>
        <w:ind w:left="0" w:right="119" w:firstLine="0"/>
        <w:jc w:val="right"/>
        <w:rPr>
          <w:sz w:val="20"/>
        </w:rPr>
      </w:pPr>
      <w:r>
        <w:rPr>
          <w:color w:val="231F1F"/>
          <w:spacing w:val="-2"/>
          <w:w w:val="110"/>
          <w:sz w:val="20"/>
        </w:rPr>
        <w:t>Hospital</w:t>
      </w:r>
      <w:r>
        <w:rPr>
          <w:color w:val="231F1F"/>
          <w:spacing w:val="-12"/>
          <w:w w:val="110"/>
          <w:sz w:val="20"/>
        </w:rPr>
        <w:t> </w:t>
      </w:r>
      <w:r>
        <w:rPr>
          <w:color w:val="231F1F"/>
          <w:spacing w:val="-2"/>
          <w:w w:val="110"/>
          <w:sz w:val="20"/>
        </w:rPr>
        <w:t>de</w:t>
      </w:r>
      <w:r>
        <w:rPr>
          <w:color w:val="231F1F"/>
          <w:spacing w:val="-11"/>
          <w:w w:val="110"/>
          <w:sz w:val="20"/>
        </w:rPr>
        <w:t> </w:t>
      </w:r>
      <w:r>
        <w:rPr>
          <w:color w:val="231F1F"/>
          <w:spacing w:val="-2"/>
          <w:w w:val="110"/>
          <w:sz w:val="20"/>
        </w:rPr>
        <w:t>Cruces,</w:t>
      </w:r>
      <w:r>
        <w:rPr>
          <w:color w:val="231F1F"/>
          <w:spacing w:val="-11"/>
          <w:w w:val="110"/>
          <w:sz w:val="20"/>
        </w:rPr>
        <w:t> </w:t>
      </w:r>
      <w:r>
        <w:rPr>
          <w:color w:val="231F1F"/>
          <w:spacing w:val="-2"/>
          <w:w w:val="110"/>
          <w:sz w:val="20"/>
        </w:rPr>
        <w:t>Barakaldo,</w:t>
      </w:r>
      <w:r>
        <w:rPr>
          <w:color w:val="231F1F"/>
          <w:spacing w:val="-10"/>
          <w:w w:val="110"/>
          <w:sz w:val="20"/>
        </w:rPr>
        <w:t> </w:t>
      </w:r>
      <w:r>
        <w:rPr>
          <w:color w:val="231F1F"/>
          <w:spacing w:val="-2"/>
          <w:w w:val="110"/>
          <w:sz w:val="20"/>
        </w:rPr>
        <w:t>Bizkaia</w:t>
      </w:r>
    </w:p>
    <w:p>
      <w:pPr>
        <w:pStyle w:val="BodyText"/>
        <w:rPr>
          <w:sz w:val="20"/>
        </w:rPr>
      </w:pPr>
    </w:p>
    <w:p>
      <w:pPr>
        <w:pStyle w:val="BodyText"/>
        <w:rPr>
          <w:sz w:val="20"/>
        </w:rPr>
      </w:pPr>
    </w:p>
    <w:p>
      <w:pPr>
        <w:pStyle w:val="BodyText"/>
        <w:spacing w:before="78"/>
        <w:rPr>
          <w:sz w:val="20"/>
        </w:rPr>
      </w:pPr>
    </w:p>
    <w:p>
      <w:pPr>
        <w:spacing w:before="1"/>
        <w:ind w:left="0" w:right="119" w:firstLine="0"/>
        <w:jc w:val="right"/>
        <w:rPr>
          <w:b/>
          <w:i/>
          <w:sz w:val="20"/>
        </w:rPr>
      </w:pPr>
      <w:r>
        <w:rPr>
          <w:b/>
          <w:i/>
          <w:color w:val="231F1F"/>
          <w:sz w:val="20"/>
        </w:rPr>
        <w:t>Coordinación</w:t>
      </w:r>
      <w:r>
        <w:rPr>
          <w:b/>
          <w:i/>
          <w:color w:val="231F1F"/>
          <w:spacing w:val="32"/>
          <w:sz w:val="20"/>
        </w:rPr>
        <w:t> </w:t>
      </w:r>
      <w:r>
        <w:rPr>
          <w:b/>
          <w:i/>
          <w:color w:val="231F1F"/>
          <w:sz w:val="20"/>
        </w:rPr>
        <w:t>del</w:t>
      </w:r>
      <w:r>
        <w:rPr>
          <w:b/>
          <w:i/>
          <w:color w:val="231F1F"/>
          <w:spacing w:val="32"/>
          <w:sz w:val="20"/>
        </w:rPr>
        <w:t> </w:t>
      </w:r>
      <w:r>
        <w:rPr>
          <w:b/>
          <w:i/>
          <w:color w:val="231F1F"/>
          <w:sz w:val="20"/>
        </w:rPr>
        <w:t>área</w:t>
      </w:r>
      <w:r>
        <w:rPr>
          <w:b/>
          <w:i/>
          <w:color w:val="231F1F"/>
          <w:spacing w:val="34"/>
          <w:sz w:val="20"/>
        </w:rPr>
        <w:t> </w:t>
      </w:r>
      <w:r>
        <w:rPr>
          <w:b/>
          <w:i/>
          <w:color w:val="231F1F"/>
          <w:spacing w:val="-2"/>
          <w:sz w:val="20"/>
        </w:rPr>
        <w:t>metodológica</w:t>
      </w:r>
    </w:p>
    <w:p>
      <w:pPr>
        <w:spacing w:before="24"/>
        <w:ind w:left="0" w:right="119" w:firstLine="0"/>
        <w:jc w:val="right"/>
        <w:rPr>
          <w:sz w:val="20"/>
        </w:rPr>
      </w:pPr>
      <w:r>
        <w:rPr>
          <w:b/>
          <w:color w:val="231F1F"/>
          <w:w w:val="105"/>
          <w:sz w:val="20"/>
        </w:rPr>
        <w:t>Rosa</w:t>
      </w:r>
      <w:r>
        <w:rPr>
          <w:b/>
          <w:color w:val="231F1F"/>
          <w:spacing w:val="-14"/>
          <w:w w:val="105"/>
          <w:sz w:val="20"/>
        </w:rPr>
        <w:t> </w:t>
      </w:r>
      <w:r>
        <w:rPr>
          <w:b/>
          <w:color w:val="231F1F"/>
          <w:w w:val="105"/>
          <w:sz w:val="20"/>
        </w:rPr>
        <w:t>Rico</w:t>
      </w:r>
      <w:r>
        <w:rPr>
          <w:b/>
          <w:color w:val="231F1F"/>
          <w:spacing w:val="-12"/>
          <w:w w:val="105"/>
          <w:sz w:val="20"/>
        </w:rPr>
        <w:t> </w:t>
      </w:r>
      <w:r>
        <w:rPr>
          <w:b/>
          <w:color w:val="231F1F"/>
          <w:w w:val="105"/>
          <w:sz w:val="20"/>
        </w:rPr>
        <w:t>Iturrioz</w:t>
      </w:r>
      <w:r>
        <w:rPr>
          <w:color w:val="231F1F"/>
          <w:w w:val="105"/>
          <w:sz w:val="20"/>
        </w:rPr>
        <w:t>,</w:t>
      </w:r>
      <w:r>
        <w:rPr>
          <w:color w:val="231F1F"/>
          <w:spacing w:val="-9"/>
          <w:w w:val="105"/>
          <w:sz w:val="20"/>
        </w:rPr>
        <w:t> </w:t>
      </w:r>
      <w:r>
        <w:rPr>
          <w:color w:val="231F1F"/>
          <w:w w:val="105"/>
          <w:sz w:val="20"/>
        </w:rPr>
        <w:t>especialista</w:t>
      </w:r>
      <w:r>
        <w:rPr>
          <w:color w:val="231F1F"/>
          <w:spacing w:val="-12"/>
          <w:w w:val="105"/>
          <w:sz w:val="20"/>
        </w:rPr>
        <w:t> </w:t>
      </w:r>
      <w:r>
        <w:rPr>
          <w:color w:val="231F1F"/>
          <w:w w:val="105"/>
          <w:sz w:val="20"/>
        </w:rPr>
        <w:t>en</w:t>
      </w:r>
      <w:r>
        <w:rPr>
          <w:color w:val="231F1F"/>
          <w:spacing w:val="-11"/>
          <w:w w:val="105"/>
          <w:sz w:val="20"/>
        </w:rPr>
        <w:t> </w:t>
      </w:r>
      <w:r>
        <w:rPr>
          <w:color w:val="231F1F"/>
          <w:w w:val="105"/>
          <w:sz w:val="20"/>
        </w:rPr>
        <w:t>Medicina</w:t>
      </w:r>
      <w:r>
        <w:rPr>
          <w:color w:val="231F1F"/>
          <w:spacing w:val="-12"/>
          <w:w w:val="105"/>
          <w:sz w:val="20"/>
        </w:rPr>
        <w:t> </w:t>
      </w:r>
      <w:r>
        <w:rPr>
          <w:color w:val="231F1F"/>
          <w:w w:val="105"/>
          <w:sz w:val="20"/>
        </w:rPr>
        <w:t>Preventiva</w:t>
      </w:r>
      <w:r>
        <w:rPr>
          <w:color w:val="231F1F"/>
          <w:spacing w:val="-11"/>
          <w:w w:val="105"/>
          <w:sz w:val="20"/>
        </w:rPr>
        <w:t> </w:t>
      </w:r>
      <w:r>
        <w:rPr>
          <w:color w:val="231F1F"/>
          <w:w w:val="105"/>
          <w:sz w:val="20"/>
        </w:rPr>
        <w:t>y</w:t>
      </w:r>
      <w:r>
        <w:rPr>
          <w:color w:val="231F1F"/>
          <w:spacing w:val="-11"/>
          <w:w w:val="105"/>
          <w:sz w:val="20"/>
        </w:rPr>
        <w:t> </w:t>
      </w:r>
      <w:r>
        <w:rPr>
          <w:color w:val="231F1F"/>
          <w:w w:val="105"/>
          <w:sz w:val="20"/>
        </w:rPr>
        <w:t>Salud</w:t>
      </w:r>
      <w:r>
        <w:rPr>
          <w:color w:val="231F1F"/>
          <w:spacing w:val="-12"/>
          <w:w w:val="105"/>
          <w:sz w:val="20"/>
        </w:rPr>
        <w:t> </w:t>
      </w:r>
      <w:r>
        <w:rPr>
          <w:color w:val="231F1F"/>
          <w:w w:val="105"/>
          <w:sz w:val="20"/>
        </w:rPr>
        <w:t>Pública.</w:t>
      </w:r>
      <w:r>
        <w:rPr>
          <w:color w:val="231F1F"/>
          <w:spacing w:val="-9"/>
          <w:w w:val="105"/>
          <w:sz w:val="20"/>
        </w:rPr>
        <w:t> </w:t>
      </w:r>
      <w:r>
        <w:rPr>
          <w:color w:val="231F1F"/>
          <w:w w:val="105"/>
          <w:sz w:val="20"/>
        </w:rPr>
        <w:t>Servicio</w:t>
      </w:r>
      <w:r>
        <w:rPr>
          <w:color w:val="231F1F"/>
          <w:spacing w:val="-12"/>
          <w:w w:val="105"/>
          <w:sz w:val="20"/>
        </w:rPr>
        <w:t> </w:t>
      </w:r>
      <w:r>
        <w:rPr>
          <w:color w:val="231F1F"/>
          <w:w w:val="105"/>
          <w:sz w:val="20"/>
        </w:rPr>
        <w:t>de</w:t>
      </w:r>
      <w:r>
        <w:rPr>
          <w:color w:val="231F1F"/>
          <w:spacing w:val="-10"/>
          <w:w w:val="105"/>
          <w:sz w:val="20"/>
        </w:rPr>
        <w:t> </w:t>
      </w:r>
      <w:r>
        <w:rPr>
          <w:color w:val="231F1F"/>
          <w:spacing w:val="-2"/>
          <w:w w:val="105"/>
          <w:sz w:val="20"/>
        </w:rPr>
        <w:t>Evaluación</w:t>
      </w:r>
    </w:p>
    <w:p>
      <w:pPr>
        <w:spacing w:before="29"/>
        <w:ind w:left="0" w:right="119" w:firstLine="0"/>
        <w:jc w:val="right"/>
        <w:rPr>
          <w:sz w:val="20"/>
        </w:rPr>
      </w:pPr>
      <w:r>
        <w:rPr>
          <w:color w:val="231F1F"/>
          <w:sz w:val="20"/>
        </w:rPr>
        <w:t>de</w:t>
      </w:r>
      <w:r>
        <w:rPr>
          <w:color w:val="231F1F"/>
          <w:spacing w:val="45"/>
          <w:sz w:val="20"/>
        </w:rPr>
        <w:t> </w:t>
      </w:r>
      <w:r>
        <w:rPr>
          <w:color w:val="231F1F"/>
          <w:sz w:val="20"/>
        </w:rPr>
        <w:t>Tecnologías</w:t>
      </w:r>
      <w:r>
        <w:rPr>
          <w:color w:val="231F1F"/>
          <w:spacing w:val="48"/>
          <w:sz w:val="20"/>
        </w:rPr>
        <w:t> </w:t>
      </w:r>
      <w:r>
        <w:rPr>
          <w:color w:val="231F1F"/>
          <w:sz w:val="20"/>
        </w:rPr>
        <w:t>Sanitarias,</w:t>
      </w:r>
      <w:r>
        <w:rPr>
          <w:color w:val="231F1F"/>
          <w:spacing w:val="47"/>
          <w:sz w:val="20"/>
        </w:rPr>
        <w:t> </w:t>
      </w:r>
      <w:r>
        <w:rPr>
          <w:color w:val="231F1F"/>
          <w:sz w:val="20"/>
        </w:rPr>
        <w:t>Osteba.</w:t>
      </w:r>
      <w:r>
        <w:rPr>
          <w:color w:val="231F1F"/>
          <w:spacing w:val="48"/>
          <w:sz w:val="20"/>
        </w:rPr>
        <w:t> </w:t>
      </w:r>
      <w:r>
        <w:rPr>
          <w:color w:val="231F1F"/>
          <w:sz w:val="20"/>
        </w:rPr>
        <w:t>Vitoria-</w:t>
      </w:r>
      <w:r>
        <w:rPr>
          <w:color w:val="231F1F"/>
          <w:spacing w:val="-2"/>
          <w:sz w:val="20"/>
        </w:rPr>
        <w:t>Gasteiz</w:t>
      </w:r>
    </w:p>
    <w:p>
      <w:pPr>
        <w:spacing w:before="154"/>
        <w:ind w:left="0" w:right="119" w:firstLine="0"/>
        <w:jc w:val="right"/>
        <w:rPr>
          <w:sz w:val="20"/>
        </w:rPr>
      </w:pPr>
      <w:r>
        <w:rPr>
          <w:b/>
          <w:color w:val="231F1F"/>
          <w:spacing w:val="-2"/>
          <w:w w:val="105"/>
          <w:sz w:val="20"/>
        </w:rPr>
        <w:t>Charo</w:t>
      </w:r>
      <w:r>
        <w:rPr>
          <w:b/>
          <w:color w:val="231F1F"/>
          <w:spacing w:val="-7"/>
          <w:w w:val="105"/>
          <w:sz w:val="20"/>
        </w:rPr>
        <w:t> </w:t>
      </w:r>
      <w:r>
        <w:rPr>
          <w:b/>
          <w:color w:val="231F1F"/>
          <w:spacing w:val="-2"/>
          <w:w w:val="105"/>
          <w:sz w:val="20"/>
        </w:rPr>
        <w:t>Quintana</w:t>
      </w:r>
      <w:r>
        <w:rPr>
          <w:b/>
          <w:color w:val="231F1F"/>
          <w:spacing w:val="-6"/>
          <w:w w:val="105"/>
          <w:sz w:val="20"/>
        </w:rPr>
        <w:t> </w:t>
      </w:r>
      <w:r>
        <w:rPr>
          <w:b/>
          <w:color w:val="231F1F"/>
          <w:spacing w:val="-2"/>
          <w:w w:val="105"/>
          <w:sz w:val="20"/>
        </w:rPr>
        <w:t>Pantaleón</w:t>
      </w:r>
      <w:r>
        <w:rPr>
          <w:color w:val="231F1F"/>
          <w:spacing w:val="-2"/>
          <w:w w:val="105"/>
          <w:sz w:val="20"/>
        </w:rPr>
        <w:t>, especialista</w:t>
      </w:r>
      <w:r>
        <w:rPr>
          <w:color w:val="231F1F"/>
          <w:spacing w:val="-6"/>
          <w:w w:val="105"/>
          <w:sz w:val="20"/>
        </w:rPr>
        <w:t> </w:t>
      </w:r>
      <w:r>
        <w:rPr>
          <w:color w:val="231F1F"/>
          <w:spacing w:val="-2"/>
          <w:w w:val="105"/>
          <w:sz w:val="20"/>
        </w:rPr>
        <w:t>en</w:t>
      </w:r>
      <w:r>
        <w:rPr>
          <w:color w:val="231F1F"/>
          <w:spacing w:val="-6"/>
          <w:w w:val="105"/>
          <w:sz w:val="20"/>
        </w:rPr>
        <w:t> </w:t>
      </w:r>
      <w:r>
        <w:rPr>
          <w:color w:val="231F1F"/>
          <w:spacing w:val="-2"/>
          <w:w w:val="105"/>
          <w:sz w:val="20"/>
        </w:rPr>
        <w:t>Obstetricia</w:t>
      </w:r>
      <w:r>
        <w:rPr>
          <w:color w:val="231F1F"/>
          <w:spacing w:val="-4"/>
          <w:w w:val="105"/>
          <w:sz w:val="20"/>
        </w:rPr>
        <w:t> </w:t>
      </w:r>
      <w:r>
        <w:rPr>
          <w:color w:val="231F1F"/>
          <w:spacing w:val="-2"/>
          <w:w w:val="105"/>
          <w:sz w:val="20"/>
        </w:rPr>
        <w:t>y</w:t>
      </w:r>
      <w:r>
        <w:rPr>
          <w:color w:val="231F1F"/>
          <w:spacing w:val="-6"/>
          <w:w w:val="105"/>
          <w:sz w:val="20"/>
        </w:rPr>
        <w:t> </w:t>
      </w:r>
      <w:r>
        <w:rPr>
          <w:color w:val="231F1F"/>
          <w:spacing w:val="-2"/>
          <w:w w:val="105"/>
          <w:sz w:val="20"/>
        </w:rPr>
        <w:t>Ginecología.</w:t>
      </w:r>
    </w:p>
    <w:p>
      <w:pPr>
        <w:spacing w:before="34"/>
        <w:ind w:left="0" w:right="119" w:firstLine="0"/>
        <w:jc w:val="right"/>
        <w:rPr>
          <w:sz w:val="20"/>
        </w:rPr>
      </w:pPr>
      <w:r>
        <w:rPr>
          <w:color w:val="231F1F"/>
          <w:sz w:val="20"/>
        </w:rPr>
        <w:t>Hospital</w:t>
      </w:r>
      <w:r>
        <w:rPr>
          <w:color w:val="231F1F"/>
          <w:spacing w:val="28"/>
          <w:sz w:val="20"/>
        </w:rPr>
        <w:t> </w:t>
      </w:r>
      <w:r>
        <w:rPr>
          <w:color w:val="231F1F"/>
          <w:sz w:val="20"/>
        </w:rPr>
        <w:t>de</w:t>
      </w:r>
      <w:r>
        <w:rPr>
          <w:color w:val="231F1F"/>
          <w:spacing w:val="29"/>
          <w:sz w:val="20"/>
        </w:rPr>
        <w:t> </w:t>
      </w:r>
      <w:r>
        <w:rPr>
          <w:color w:val="231F1F"/>
          <w:sz w:val="20"/>
        </w:rPr>
        <w:t>Valdecilla.</w:t>
      </w:r>
      <w:r>
        <w:rPr>
          <w:color w:val="231F1F"/>
          <w:spacing w:val="31"/>
          <w:sz w:val="20"/>
        </w:rPr>
        <w:t> </w:t>
      </w:r>
      <w:r>
        <w:rPr>
          <w:color w:val="231F1F"/>
          <w:spacing w:val="-2"/>
          <w:sz w:val="20"/>
        </w:rPr>
        <w:t>Santander</w:t>
      </w:r>
    </w:p>
    <w:p>
      <w:pPr>
        <w:spacing w:before="174"/>
        <w:ind w:left="0" w:right="119" w:firstLine="0"/>
        <w:jc w:val="right"/>
        <w:rPr>
          <w:sz w:val="20"/>
        </w:rPr>
      </w:pPr>
      <w:r>
        <w:rPr>
          <w:b/>
          <w:color w:val="231F1F"/>
          <w:sz w:val="20"/>
        </w:rPr>
        <w:t>Itziar</w:t>
      </w:r>
      <w:r>
        <w:rPr>
          <w:b/>
          <w:color w:val="231F1F"/>
          <w:spacing w:val="5"/>
          <w:sz w:val="20"/>
        </w:rPr>
        <w:t> </w:t>
      </w:r>
      <w:r>
        <w:rPr>
          <w:b/>
          <w:color w:val="231F1F"/>
          <w:sz w:val="20"/>
        </w:rPr>
        <w:t>Etxeandia</w:t>
      </w:r>
      <w:r>
        <w:rPr>
          <w:b/>
          <w:color w:val="231F1F"/>
          <w:spacing w:val="9"/>
          <w:sz w:val="20"/>
        </w:rPr>
        <w:t> </w:t>
      </w:r>
      <w:r>
        <w:rPr>
          <w:b/>
          <w:color w:val="231F1F"/>
          <w:sz w:val="20"/>
        </w:rPr>
        <w:t>Ikobaltzeta.</w:t>
      </w:r>
      <w:r>
        <w:rPr>
          <w:b/>
          <w:color w:val="231F1F"/>
          <w:spacing w:val="9"/>
          <w:sz w:val="20"/>
        </w:rPr>
        <w:t> </w:t>
      </w:r>
      <w:r>
        <w:rPr>
          <w:b/>
          <w:color w:val="231F1F"/>
          <w:sz w:val="20"/>
        </w:rPr>
        <w:t>Farmacéutica</w:t>
      </w:r>
      <w:r>
        <w:rPr>
          <w:color w:val="231F1F"/>
          <w:sz w:val="20"/>
        </w:rPr>
        <w:t>,</w:t>
      </w:r>
      <w:r>
        <w:rPr>
          <w:color w:val="231F1F"/>
          <w:spacing w:val="8"/>
          <w:sz w:val="20"/>
        </w:rPr>
        <w:t> </w:t>
      </w:r>
      <w:r>
        <w:rPr>
          <w:color w:val="231F1F"/>
          <w:sz w:val="20"/>
        </w:rPr>
        <w:t>Servicio</w:t>
      </w:r>
      <w:r>
        <w:rPr>
          <w:color w:val="231F1F"/>
          <w:spacing w:val="8"/>
          <w:sz w:val="20"/>
        </w:rPr>
        <w:t> </w:t>
      </w:r>
      <w:r>
        <w:rPr>
          <w:color w:val="231F1F"/>
          <w:sz w:val="20"/>
        </w:rPr>
        <w:t>de</w:t>
      </w:r>
      <w:r>
        <w:rPr>
          <w:color w:val="231F1F"/>
          <w:spacing w:val="9"/>
          <w:sz w:val="20"/>
        </w:rPr>
        <w:t> </w:t>
      </w:r>
      <w:r>
        <w:rPr>
          <w:color w:val="231F1F"/>
          <w:sz w:val="20"/>
        </w:rPr>
        <w:t>Evaluación</w:t>
      </w:r>
      <w:r>
        <w:rPr>
          <w:color w:val="231F1F"/>
          <w:spacing w:val="7"/>
          <w:sz w:val="20"/>
        </w:rPr>
        <w:t> </w:t>
      </w:r>
      <w:r>
        <w:rPr>
          <w:color w:val="231F1F"/>
          <w:sz w:val="20"/>
        </w:rPr>
        <w:t>de</w:t>
      </w:r>
      <w:r>
        <w:rPr>
          <w:color w:val="231F1F"/>
          <w:spacing w:val="10"/>
          <w:sz w:val="20"/>
        </w:rPr>
        <w:t> </w:t>
      </w:r>
      <w:r>
        <w:rPr>
          <w:color w:val="231F1F"/>
          <w:sz w:val="20"/>
        </w:rPr>
        <w:t>Tecnologías</w:t>
      </w:r>
      <w:r>
        <w:rPr>
          <w:color w:val="231F1F"/>
          <w:spacing w:val="9"/>
          <w:sz w:val="20"/>
        </w:rPr>
        <w:t> </w:t>
      </w:r>
      <w:r>
        <w:rPr>
          <w:color w:val="231F1F"/>
          <w:spacing w:val="-2"/>
          <w:sz w:val="20"/>
        </w:rPr>
        <w:t>Sanitarias,</w:t>
      </w:r>
    </w:p>
    <w:p>
      <w:pPr>
        <w:spacing w:before="10"/>
        <w:ind w:left="0" w:right="119" w:firstLine="0"/>
        <w:jc w:val="right"/>
        <w:rPr>
          <w:sz w:val="20"/>
        </w:rPr>
      </w:pPr>
      <w:r>
        <w:rPr>
          <w:color w:val="231F1F"/>
          <w:spacing w:val="-2"/>
          <w:w w:val="110"/>
          <w:sz w:val="20"/>
        </w:rPr>
        <w:t>Osteba,</w:t>
      </w:r>
      <w:r>
        <w:rPr>
          <w:color w:val="231F1F"/>
          <w:spacing w:val="-6"/>
          <w:w w:val="110"/>
          <w:sz w:val="20"/>
        </w:rPr>
        <w:t> </w:t>
      </w:r>
      <w:r>
        <w:rPr>
          <w:color w:val="231F1F"/>
          <w:spacing w:val="-2"/>
          <w:w w:val="110"/>
          <w:sz w:val="20"/>
        </w:rPr>
        <w:t>Vitoria-Gasteiz</w:t>
      </w:r>
    </w:p>
    <w:p>
      <w:pPr>
        <w:pStyle w:val="BodyText"/>
        <w:spacing w:before="135"/>
        <w:rPr>
          <w:sz w:val="20"/>
        </w:rPr>
      </w:pPr>
    </w:p>
    <w:p>
      <w:pPr>
        <w:spacing w:before="0"/>
        <w:ind w:left="0" w:right="117" w:firstLine="0"/>
        <w:jc w:val="right"/>
        <w:rPr>
          <w:b/>
          <w:i/>
          <w:sz w:val="20"/>
        </w:rPr>
      </w:pPr>
      <w:r>
        <w:rPr>
          <w:b/>
          <w:i/>
          <w:color w:val="231F1F"/>
          <w:sz w:val="20"/>
        </w:rPr>
        <w:t>Coordinación</w:t>
      </w:r>
      <w:r>
        <w:rPr>
          <w:b/>
          <w:i/>
          <w:color w:val="231F1F"/>
          <w:spacing w:val="36"/>
          <w:sz w:val="20"/>
        </w:rPr>
        <w:t> </w:t>
      </w:r>
      <w:r>
        <w:rPr>
          <w:b/>
          <w:i/>
          <w:color w:val="231F1F"/>
          <w:sz w:val="20"/>
        </w:rPr>
        <w:t>metodológica</w:t>
      </w:r>
      <w:r>
        <w:rPr>
          <w:b/>
          <w:i/>
          <w:color w:val="231F1F"/>
          <w:spacing w:val="39"/>
          <w:sz w:val="20"/>
        </w:rPr>
        <w:t> </w:t>
      </w:r>
      <w:r>
        <w:rPr>
          <w:b/>
          <w:i/>
          <w:color w:val="231F1F"/>
          <w:sz w:val="20"/>
        </w:rPr>
        <w:t>de</w:t>
      </w:r>
      <w:r>
        <w:rPr>
          <w:b/>
          <w:i/>
          <w:color w:val="231F1F"/>
          <w:spacing w:val="41"/>
          <w:sz w:val="20"/>
        </w:rPr>
        <w:t> </w:t>
      </w:r>
      <w:r>
        <w:rPr>
          <w:b/>
          <w:i/>
          <w:color w:val="231F1F"/>
          <w:sz w:val="20"/>
        </w:rPr>
        <w:t>la</w:t>
      </w:r>
      <w:r>
        <w:rPr>
          <w:b/>
          <w:i/>
          <w:color w:val="231F1F"/>
          <w:spacing w:val="39"/>
          <w:sz w:val="20"/>
        </w:rPr>
        <w:t> </w:t>
      </w:r>
      <w:r>
        <w:rPr>
          <w:b/>
          <w:i/>
          <w:color w:val="231F1F"/>
          <w:sz w:val="20"/>
        </w:rPr>
        <w:t>revisión</w:t>
      </w:r>
      <w:r>
        <w:rPr>
          <w:b/>
          <w:i/>
          <w:color w:val="231F1F"/>
          <w:spacing w:val="38"/>
          <w:sz w:val="20"/>
        </w:rPr>
        <w:t> </w:t>
      </w:r>
      <w:r>
        <w:rPr>
          <w:b/>
          <w:i/>
          <w:color w:val="231F1F"/>
          <w:spacing w:val="-2"/>
          <w:sz w:val="20"/>
        </w:rPr>
        <w:t>sistemática</w:t>
      </w:r>
    </w:p>
    <w:p>
      <w:pPr>
        <w:spacing w:before="24"/>
        <w:ind w:left="0" w:right="119" w:firstLine="0"/>
        <w:jc w:val="right"/>
        <w:rPr>
          <w:sz w:val="20"/>
        </w:rPr>
      </w:pPr>
      <w:r>
        <w:rPr>
          <w:b/>
          <w:color w:val="231F1F"/>
          <w:w w:val="105"/>
          <w:sz w:val="20"/>
        </w:rPr>
        <w:t>Gerardo</w:t>
      </w:r>
      <w:r>
        <w:rPr>
          <w:b/>
          <w:color w:val="231F1F"/>
          <w:spacing w:val="-12"/>
          <w:w w:val="105"/>
          <w:sz w:val="20"/>
        </w:rPr>
        <w:t> </w:t>
      </w:r>
      <w:r>
        <w:rPr>
          <w:b/>
          <w:color w:val="231F1F"/>
          <w:w w:val="105"/>
          <w:sz w:val="20"/>
        </w:rPr>
        <w:t>Atienza</w:t>
      </w:r>
      <w:r>
        <w:rPr>
          <w:b/>
          <w:color w:val="231F1F"/>
          <w:spacing w:val="-12"/>
          <w:w w:val="105"/>
          <w:sz w:val="20"/>
        </w:rPr>
        <w:t> </w:t>
      </w:r>
      <w:r>
        <w:rPr>
          <w:b/>
          <w:color w:val="231F1F"/>
          <w:w w:val="105"/>
          <w:sz w:val="20"/>
        </w:rPr>
        <w:t>Merino</w:t>
      </w:r>
      <w:r>
        <w:rPr>
          <w:color w:val="231F1F"/>
          <w:w w:val="105"/>
          <w:sz w:val="20"/>
        </w:rPr>
        <w:t>,</w:t>
      </w:r>
      <w:r>
        <w:rPr>
          <w:color w:val="231F1F"/>
          <w:spacing w:val="-9"/>
          <w:w w:val="105"/>
          <w:sz w:val="20"/>
        </w:rPr>
        <w:t> </w:t>
      </w:r>
      <w:r>
        <w:rPr>
          <w:color w:val="231F1F"/>
          <w:w w:val="105"/>
          <w:sz w:val="20"/>
        </w:rPr>
        <w:t>médico.</w:t>
      </w:r>
      <w:r>
        <w:rPr>
          <w:color w:val="231F1F"/>
          <w:spacing w:val="-9"/>
          <w:w w:val="105"/>
          <w:sz w:val="20"/>
        </w:rPr>
        <w:t> </w:t>
      </w:r>
      <w:r>
        <w:rPr>
          <w:color w:val="231F1F"/>
          <w:w w:val="105"/>
          <w:sz w:val="20"/>
        </w:rPr>
        <w:t>Axencia</w:t>
      </w:r>
      <w:r>
        <w:rPr>
          <w:color w:val="231F1F"/>
          <w:spacing w:val="-11"/>
          <w:w w:val="105"/>
          <w:sz w:val="20"/>
        </w:rPr>
        <w:t> </w:t>
      </w:r>
      <w:r>
        <w:rPr>
          <w:color w:val="231F1F"/>
          <w:w w:val="105"/>
          <w:sz w:val="20"/>
        </w:rPr>
        <w:t>de</w:t>
      </w:r>
      <w:r>
        <w:rPr>
          <w:color w:val="231F1F"/>
          <w:spacing w:val="-11"/>
          <w:w w:val="105"/>
          <w:sz w:val="20"/>
        </w:rPr>
        <w:t> </w:t>
      </w:r>
      <w:r>
        <w:rPr>
          <w:color w:val="231F1F"/>
          <w:w w:val="105"/>
          <w:sz w:val="20"/>
        </w:rPr>
        <w:t>Avaliación</w:t>
      </w:r>
      <w:r>
        <w:rPr>
          <w:color w:val="231F1F"/>
          <w:spacing w:val="-11"/>
          <w:w w:val="105"/>
          <w:sz w:val="20"/>
        </w:rPr>
        <w:t> </w:t>
      </w:r>
      <w:r>
        <w:rPr>
          <w:color w:val="231F1F"/>
          <w:w w:val="105"/>
          <w:sz w:val="20"/>
        </w:rPr>
        <w:t>de</w:t>
      </w:r>
      <w:r>
        <w:rPr>
          <w:color w:val="231F1F"/>
          <w:spacing w:val="-11"/>
          <w:w w:val="105"/>
          <w:sz w:val="20"/>
        </w:rPr>
        <w:t> </w:t>
      </w:r>
      <w:r>
        <w:rPr>
          <w:color w:val="231F1F"/>
          <w:w w:val="105"/>
          <w:sz w:val="20"/>
        </w:rPr>
        <w:t>Tecnoloxías</w:t>
      </w:r>
      <w:r>
        <w:rPr>
          <w:color w:val="231F1F"/>
          <w:spacing w:val="-11"/>
          <w:w w:val="105"/>
          <w:sz w:val="20"/>
        </w:rPr>
        <w:t> </w:t>
      </w:r>
      <w:r>
        <w:rPr>
          <w:color w:val="231F1F"/>
          <w:w w:val="105"/>
          <w:sz w:val="20"/>
        </w:rPr>
        <w:t>Sanitarias</w:t>
      </w:r>
      <w:r>
        <w:rPr>
          <w:color w:val="231F1F"/>
          <w:spacing w:val="-9"/>
          <w:w w:val="105"/>
          <w:sz w:val="20"/>
        </w:rPr>
        <w:t> </w:t>
      </w:r>
      <w:r>
        <w:rPr>
          <w:color w:val="231F1F"/>
          <w:w w:val="105"/>
          <w:sz w:val="20"/>
        </w:rPr>
        <w:t>de</w:t>
      </w:r>
      <w:r>
        <w:rPr>
          <w:color w:val="231F1F"/>
          <w:spacing w:val="-11"/>
          <w:w w:val="105"/>
          <w:sz w:val="20"/>
        </w:rPr>
        <w:t> </w:t>
      </w:r>
      <w:r>
        <w:rPr>
          <w:color w:val="231F1F"/>
          <w:spacing w:val="-2"/>
          <w:w w:val="105"/>
          <w:sz w:val="20"/>
        </w:rPr>
        <w:t>Galicia,</w:t>
      </w:r>
    </w:p>
    <w:p>
      <w:pPr>
        <w:spacing w:before="34"/>
        <w:ind w:left="0" w:right="119" w:firstLine="0"/>
        <w:jc w:val="right"/>
        <w:rPr>
          <w:sz w:val="20"/>
        </w:rPr>
      </w:pPr>
      <w:r>
        <w:rPr>
          <w:color w:val="231F1F"/>
          <w:sz w:val="20"/>
        </w:rPr>
        <w:t>avalia-t.</w:t>
      </w:r>
      <w:r>
        <w:rPr>
          <w:color w:val="231F1F"/>
          <w:spacing w:val="22"/>
          <w:sz w:val="20"/>
        </w:rPr>
        <w:t> </w:t>
      </w:r>
      <w:r>
        <w:rPr>
          <w:color w:val="231F1F"/>
          <w:sz w:val="20"/>
        </w:rPr>
        <w:t>Santiago</w:t>
      </w:r>
      <w:r>
        <w:rPr>
          <w:color w:val="231F1F"/>
          <w:spacing w:val="24"/>
          <w:sz w:val="20"/>
        </w:rPr>
        <w:t> </w:t>
      </w:r>
      <w:r>
        <w:rPr>
          <w:color w:val="231F1F"/>
          <w:sz w:val="20"/>
        </w:rPr>
        <w:t>de</w:t>
      </w:r>
      <w:r>
        <w:rPr>
          <w:color w:val="231F1F"/>
          <w:spacing w:val="24"/>
          <w:sz w:val="20"/>
        </w:rPr>
        <w:t> </w:t>
      </w:r>
      <w:r>
        <w:rPr>
          <w:color w:val="231F1F"/>
          <w:spacing w:val="-2"/>
          <w:sz w:val="20"/>
        </w:rPr>
        <w:t>Compostela</w:t>
      </w:r>
    </w:p>
    <w:p>
      <w:pPr>
        <w:pStyle w:val="BodyText"/>
        <w:spacing w:before="116"/>
        <w:rPr>
          <w:sz w:val="20"/>
        </w:rPr>
      </w:pPr>
    </w:p>
    <w:p>
      <w:pPr>
        <w:spacing w:line="256" w:lineRule="auto" w:before="0"/>
        <w:ind w:left="824" w:right="123" w:firstLine="6484"/>
        <w:jc w:val="both"/>
        <w:rPr>
          <w:sz w:val="20"/>
        </w:rPr>
      </w:pPr>
      <w:r>
        <w:rPr>
          <w:b/>
          <w:i/>
          <w:color w:val="231F1F"/>
          <w:w w:val="105"/>
          <w:sz w:val="20"/>
        </w:rPr>
        <w:t>Revisión</w:t>
      </w:r>
      <w:r>
        <w:rPr>
          <w:b/>
          <w:i/>
          <w:color w:val="231F1F"/>
          <w:w w:val="105"/>
          <w:sz w:val="20"/>
        </w:rPr>
        <w:t> externa </w:t>
      </w:r>
      <w:r>
        <w:rPr>
          <w:b/>
          <w:color w:val="231F1F"/>
          <w:w w:val="105"/>
          <w:sz w:val="20"/>
        </w:rPr>
        <w:t>Lluis Cabero i Roura</w:t>
      </w:r>
      <w:r>
        <w:rPr>
          <w:color w:val="231F1F"/>
          <w:w w:val="105"/>
          <w:sz w:val="20"/>
        </w:rPr>
        <w:t>, especialista de Obstetricia y Ginecología. Universidad Autónoma de Bellaterra,</w:t>
      </w:r>
      <w:r>
        <w:rPr>
          <w:color w:val="231F1F"/>
          <w:spacing w:val="35"/>
          <w:w w:val="105"/>
          <w:sz w:val="20"/>
        </w:rPr>
        <w:t> </w:t>
      </w:r>
      <w:r>
        <w:rPr>
          <w:color w:val="231F1F"/>
          <w:w w:val="105"/>
          <w:sz w:val="20"/>
        </w:rPr>
        <w:t>Barcelona.</w:t>
      </w:r>
      <w:r>
        <w:rPr>
          <w:color w:val="231F1F"/>
          <w:spacing w:val="35"/>
          <w:w w:val="105"/>
          <w:sz w:val="20"/>
        </w:rPr>
        <w:t> </w:t>
      </w:r>
      <w:r>
        <w:rPr>
          <w:color w:val="231F1F"/>
          <w:w w:val="105"/>
          <w:sz w:val="20"/>
        </w:rPr>
        <w:t>Hospital</w:t>
      </w:r>
      <w:r>
        <w:rPr>
          <w:color w:val="231F1F"/>
          <w:spacing w:val="35"/>
          <w:w w:val="105"/>
          <w:sz w:val="20"/>
        </w:rPr>
        <w:t> </w:t>
      </w:r>
      <w:r>
        <w:rPr>
          <w:color w:val="231F1F"/>
          <w:w w:val="105"/>
          <w:sz w:val="20"/>
        </w:rPr>
        <w:t>Universitario</w:t>
      </w:r>
      <w:r>
        <w:rPr>
          <w:color w:val="231F1F"/>
          <w:spacing w:val="34"/>
          <w:w w:val="105"/>
          <w:sz w:val="20"/>
        </w:rPr>
        <w:t> </w:t>
      </w:r>
      <w:r>
        <w:rPr>
          <w:color w:val="231F1F"/>
          <w:w w:val="105"/>
          <w:sz w:val="20"/>
        </w:rPr>
        <w:t>Materno-infantil</w:t>
      </w:r>
      <w:r>
        <w:rPr>
          <w:color w:val="231F1F"/>
          <w:spacing w:val="35"/>
          <w:w w:val="105"/>
          <w:sz w:val="20"/>
        </w:rPr>
        <w:t> </w:t>
      </w:r>
      <w:r>
        <w:rPr>
          <w:color w:val="231F1F"/>
          <w:w w:val="105"/>
          <w:sz w:val="20"/>
        </w:rPr>
        <w:t>del</w:t>
      </w:r>
      <w:r>
        <w:rPr>
          <w:color w:val="231F1F"/>
          <w:spacing w:val="35"/>
          <w:w w:val="105"/>
          <w:sz w:val="20"/>
        </w:rPr>
        <w:t> </w:t>
      </w:r>
      <w:r>
        <w:rPr>
          <w:color w:val="231F1F"/>
          <w:w w:val="105"/>
          <w:sz w:val="20"/>
        </w:rPr>
        <w:t>Valle</w:t>
      </w:r>
      <w:r>
        <w:rPr>
          <w:color w:val="231F1F"/>
          <w:spacing w:val="34"/>
          <w:w w:val="105"/>
          <w:sz w:val="20"/>
        </w:rPr>
        <w:t> </w:t>
      </w:r>
      <w:r>
        <w:rPr>
          <w:color w:val="231F1F"/>
          <w:w w:val="105"/>
          <w:sz w:val="20"/>
        </w:rPr>
        <w:t>Hebron,</w:t>
      </w:r>
      <w:r>
        <w:rPr>
          <w:color w:val="231F1F"/>
          <w:spacing w:val="35"/>
          <w:w w:val="105"/>
          <w:sz w:val="20"/>
        </w:rPr>
        <w:t> </w:t>
      </w:r>
      <w:r>
        <w:rPr>
          <w:color w:val="231F1F"/>
          <w:w w:val="105"/>
          <w:sz w:val="20"/>
        </w:rPr>
        <w:t>Barcelona</w:t>
      </w:r>
    </w:p>
    <w:p>
      <w:pPr>
        <w:spacing w:line="244" w:lineRule="auto" w:before="140"/>
        <w:ind w:left="556" w:right="119" w:firstLine="138"/>
        <w:jc w:val="right"/>
        <w:rPr>
          <w:sz w:val="20"/>
        </w:rPr>
      </w:pPr>
      <w:r>
        <w:rPr>
          <w:b/>
          <w:color w:val="231F1F"/>
          <w:w w:val="105"/>
          <w:sz w:val="20"/>
        </w:rPr>
        <w:t>Carmen</w:t>
      </w:r>
      <w:r>
        <w:rPr>
          <w:b/>
          <w:color w:val="231F1F"/>
          <w:spacing w:val="-7"/>
          <w:w w:val="105"/>
          <w:sz w:val="20"/>
        </w:rPr>
        <w:t> </w:t>
      </w:r>
      <w:r>
        <w:rPr>
          <w:b/>
          <w:color w:val="231F1F"/>
          <w:w w:val="105"/>
          <w:sz w:val="20"/>
        </w:rPr>
        <w:t>Fernández</w:t>
      </w:r>
      <w:r>
        <w:rPr>
          <w:b/>
          <w:color w:val="231F1F"/>
          <w:spacing w:val="-6"/>
          <w:w w:val="105"/>
          <w:sz w:val="20"/>
        </w:rPr>
        <w:t> </w:t>
      </w:r>
      <w:r>
        <w:rPr>
          <w:b/>
          <w:color w:val="231F1F"/>
          <w:w w:val="105"/>
          <w:sz w:val="20"/>
        </w:rPr>
        <w:t>López</w:t>
      </w:r>
      <w:r>
        <w:rPr>
          <w:b/>
          <w:color w:val="231F1F"/>
          <w:spacing w:val="-6"/>
          <w:w w:val="105"/>
          <w:sz w:val="20"/>
        </w:rPr>
        <w:t> </w:t>
      </w:r>
      <w:r>
        <w:rPr>
          <w:b/>
          <w:color w:val="231F1F"/>
          <w:w w:val="105"/>
          <w:sz w:val="20"/>
        </w:rPr>
        <w:t>de</w:t>
      </w:r>
      <w:r>
        <w:rPr>
          <w:b/>
          <w:color w:val="231F1F"/>
          <w:spacing w:val="-6"/>
          <w:w w:val="105"/>
          <w:sz w:val="20"/>
        </w:rPr>
        <w:t> </w:t>
      </w:r>
      <w:r>
        <w:rPr>
          <w:b/>
          <w:color w:val="231F1F"/>
          <w:w w:val="105"/>
          <w:sz w:val="20"/>
        </w:rPr>
        <w:t>Hierro</w:t>
      </w:r>
      <w:r>
        <w:rPr>
          <w:color w:val="231F1F"/>
          <w:w w:val="105"/>
          <w:sz w:val="20"/>
        </w:rPr>
        <w:t>,</w:t>
      </w:r>
      <w:r>
        <w:rPr>
          <w:color w:val="231F1F"/>
          <w:spacing w:val="-5"/>
          <w:w w:val="105"/>
          <w:sz w:val="20"/>
        </w:rPr>
        <w:t> </w:t>
      </w:r>
      <w:r>
        <w:rPr>
          <w:color w:val="231F1F"/>
          <w:w w:val="105"/>
          <w:sz w:val="20"/>
        </w:rPr>
        <w:t>representante</w:t>
      </w:r>
      <w:r>
        <w:rPr>
          <w:color w:val="231F1F"/>
          <w:spacing w:val="-7"/>
          <w:w w:val="105"/>
          <w:sz w:val="20"/>
        </w:rPr>
        <w:t> </w:t>
      </w:r>
      <w:r>
        <w:rPr>
          <w:color w:val="231F1F"/>
          <w:w w:val="105"/>
          <w:sz w:val="20"/>
        </w:rPr>
        <w:t>de</w:t>
      </w:r>
      <w:r>
        <w:rPr>
          <w:color w:val="231F1F"/>
          <w:spacing w:val="-7"/>
          <w:w w:val="105"/>
          <w:sz w:val="20"/>
        </w:rPr>
        <w:t> </w:t>
      </w:r>
      <w:r>
        <w:rPr>
          <w:color w:val="231F1F"/>
          <w:w w:val="105"/>
          <w:sz w:val="20"/>
        </w:rPr>
        <w:t>la</w:t>
      </w:r>
      <w:r>
        <w:rPr>
          <w:color w:val="231F1F"/>
          <w:spacing w:val="-7"/>
          <w:w w:val="105"/>
          <w:sz w:val="20"/>
        </w:rPr>
        <w:t> </w:t>
      </w:r>
      <w:r>
        <w:rPr>
          <w:color w:val="231F1F"/>
          <w:w w:val="105"/>
          <w:sz w:val="20"/>
        </w:rPr>
        <w:t>Sección</w:t>
      </w:r>
      <w:r>
        <w:rPr>
          <w:color w:val="231F1F"/>
          <w:spacing w:val="-7"/>
          <w:w w:val="105"/>
          <w:sz w:val="20"/>
        </w:rPr>
        <w:t> </w:t>
      </w:r>
      <w:r>
        <w:rPr>
          <w:color w:val="231F1F"/>
          <w:w w:val="105"/>
          <w:sz w:val="20"/>
        </w:rPr>
        <w:t>de</w:t>
      </w:r>
      <w:r>
        <w:rPr>
          <w:color w:val="231F1F"/>
          <w:spacing w:val="-7"/>
          <w:w w:val="105"/>
          <w:sz w:val="20"/>
        </w:rPr>
        <w:t> </w:t>
      </w:r>
      <w:r>
        <w:rPr>
          <w:color w:val="231F1F"/>
          <w:w w:val="105"/>
          <w:sz w:val="20"/>
        </w:rPr>
        <w:t>Anestesia</w:t>
      </w:r>
      <w:r>
        <w:rPr>
          <w:color w:val="231F1F"/>
          <w:spacing w:val="-7"/>
          <w:w w:val="105"/>
          <w:sz w:val="20"/>
        </w:rPr>
        <w:t> </w:t>
      </w:r>
      <w:r>
        <w:rPr>
          <w:color w:val="231F1F"/>
          <w:w w:val="105"/>
          <w:sz w:val="20"/>
        </w:rPr>
        <w:t>Obstétrica</w:t>
      </w:r>
      <w:r>
        <w:rPr>
          <w:color w:val="231F1F"/>
          <w:spacing w:val="-7"/>
          <w:w w:val="105"/>
          <w:sz w:val="20"/>
        </w:rPr>
        <w:t> </w:t>
      </w:r>
      <w:r>
        <w:rPr>
          <w:color w:val="231F1F"/>
          <w:w w:val="105"/>
          <w:sz w:val="20"/>
        </w:rPr>
        <w:t>de</w:t>
      </w:r>
      <w:r>
        <w:rPr>
          <w:color w:val="231F1F"/>
          <w:spacing w:val="-4"/>
          <w:w w:val="105"/>
          <w:sz w:val="20"/>
        </w:rPr>
        <w:t> </w:t>
      </w:r>
      <w:r>
        <w:rPr>
          <w:color w:val="231F1F"/>
          <w:w w:val="105"/>
          <w:sz w:val="20"/>
        </w:rPr>
        <w:t>la Sociedad</w:t>
      </w:r>
      <w:r>
        <w:rPr>
          <w:color w:val="231F1F"/>
          <w:spacing w:val="-2"/>
          <w:w w:val="105"/>
          <w:sz w:val="20"/>
        </w:rPr>
        <w:t> </w:t>
      </w:r>
      <w:r>
        <w:rPr>
          <w:color w:val="231F1F"/>
          <w:w w:val="105"/>
          <w:sz w:val="20"/>
        </w:rPr>
        <w:t>Española</w:t>
      </w:r>
      <w:r>
        <w:rPr>
          <w:color w:val="231F1F"/>
          <w:spacing w:val="1"/>
          <w:w w:val="105"/>
          <w:sz w:val="20"/>
        </w:rPr>
        <w:t> </w:t>
      </w:r>
      <w:r>
        <w:rPr>
          <w:color w:val="231F1F"/>
          <w:w w:val="105"/>
          <w:sz w:val="20"/>
        </w:rPr>
        <w:t>de Anestesiología</w:t>
      </w:r>
      <w:r>
        <w:rPr>
          <w:color w:val="231F1F"/>
          <w:spacing w:val="1"/>
          <w:w w:val="105"/>
          <w:sz w:val="20"/>
        </w:rPr>
        <w:t> </w:t>
      </w:r>
      <w:r>
        <w:rPr>
          <w:color w:val="231F1F"/>
          <w:w w:val="105"/>
          <w:sz w:val="20"/>
        </w:rPr>
        <w:t>y Reanimación.</w:t>
      </w:r>
      <w:r>
        <w:rPr>
          <w:color w:val="231F1F"/>
          <w:spacing w:val="2"/>
          <w:w w:val="105"/>
          <w:sz w:val="20"/>
        </w:rPr>
        <w:t> </w:t>
      </w:r>
      <w:r>
        <w:rPr>
          <w:color w:val="231F1F"/>
          <w:w w:val="105"/>
          <w:sz w:val="20"/>
        </w:rPr>
        <w:t>Servicio</w:t>
      </w:r>
      <w:r>
        <w:rPr>
          <w:color w:val="231F1F"/>
          <w:spacing w:val="2"/>
          <w:w w:val="105"/>
          <w:sz w:val="20"/>
        </w:rPr>
        <w:t> </w:t>
      </w:r>
      <w:r>
        <w:rPr>
          <w:color w:val="231F1F"/>
          <w:w w:val="105"/>
          <w:sz w:val="20"/>
        </w:rPr>
        <w:t>de Anestesiología</w:t>
      </w:r>
      <w:r>
        <w:rPr>
          <w:color w:val="231F1F"/>
          <w:spacing w:val="1"/>
          <w:w w:val="105"/>
          <w:sz w:val="20"/>
        </w:rPr>
        <w:t> </w:t>
      </w:r>
      <w:r>
        <w:rPr>
          <w:color w:val="231F1F"/>
          <w:w w:val="105"/>
          <w:sz w:val="20"/>
        </w:rPr>
        <w:t>y</w:t>
      </w:r>
      <w:r>
        <w:rPr>
          <w:color w:val="231F1F"/>
          <w:spacing w:val="1"/>
          <w:w w:val="105"/>
          <w:sz w:val="20"/>
        </w:rPr>
        <w:t> </w:t>
      </w:r>
      <w:r>
        <w:rPr>
          <w:color w:val="231F1F"/>
          <w:spacing w:val="-2"/>
          <w:w w:val="105"/>
          <w:sz w:val="20"/>
        </w:rPr>
        <w:t>Reanimación.</w:t>
      </w:r>
    </w:p>
    <w:p>
      <w:pPr>
        <w:spacing w:before="11"/>
        <w:ind w:left="0" w:right="119" w:firstLine="0"/>
        <w:jc w:val="right"/>
        <w:rPr>
          <w:sz w:val="20"/>
        </w:rPr>
      </w:pPr>
      <w:r>
        <w:rPr>
          <w:color w:val="231F1F"/>
          <w:w w:val="105"/>
          <w:sz w:val="20"/>
        </w:rPr>
        <w:t>Hospital</w:t>
      </w:r>
      <w:r>
        <w:rPr>
          <w:color w:val="231F1F"/>
          <w:spacing w:val="-6"/>
          <w:w w:val="105"/>
          <w:sz w:val="20"/>
        </w:rPr>
        <w:t> </w:t>
      </w:r>
      <w:r>
        <w:rPr>
          <w:color w:val="231F1F"/>
          <w:w w:val="105"/>
          <w:sz w:val="20"/>
        </w:rPr>
        <w:t>Clínic,</w:t>
      </w:r>
      <w:r>
        <w:rPr>
          <w:color w:val="231F1F"/>
          <w:spacing w:val="-6"/>
          <w:w w:val="105"/>
          <w:sz w:val="20"/>
        </w:rPr>
        <w:t> </w:t>
      </w:r>
      <w:r>
        <w:rPr>
          <w:color w:val="231F1F"/>
          <w:spacing w:val="-2"/>
          <w:w w:val="105"/>
          <w:sz w:val="20"/>
        </w:rPr>
        <w:t>Barcelona</w:t>
      </w:r>
    </w:p>
    <w:p>
      <w:pPr>
        <w:spacing w:before="173"/>
        <w:ind w:left="0" w:right="123" w:firstLine="0"/>
        <w:jc w:val="right"/>
        <w:rPr>
          <w:sz w:val="20"/>
        </w:rPr>
      </w:pPr>
      <w:r>
        <w:rPr>
          <w:b/>
          <w:color w:val="231F1F"/>
          <w:sz w:val="20"/>
        </w:rPr>
        <w:t>M.ª</w:t>
      </w:r>
      <w:r>
        <w:rPr>
          <w:b/>
          <w:color w:val="231F1F"/>
          <w:spacing w:val="22"/>
          <w:sz w:val="20"/>
        </w:rPr>
        <w:t> </w:t>
      </w:r>
      <w:r>
        <w:rPr>
          <w:b/>
          <w:color w:val="231F1F"/>
          <w:sz w:val="20"/>
        </w:rPr>
        <w:t>Ángeles</w:t>
      </w:r>
      <w:r>
        <w:rPr>
          <w:b/>
          <w:color w:val="231F1F"/>
          <w:spacing w:val="29"/>
          <w:sz w:val="20"/>
        </w:rPr>
        <w:t> </w:t>
      </w:r>
      <w:r>
        <w:rPr>
          <w:b/>
          <w:color w:val="231F1F"/>
          <w:sz w:val="20"/>
        </w:rPr>
        <w:t>Rodríguez</w:t>
      </w:r>
      <w:r>
        <w:rPr>
          <w:b/>
          <w:color w:val="231F1F"/>
          <w:spacing w:val="27"/>
          <w:sz w:val="20"/>
        </w:rPr>
        <w:t> </w:t>
      </w:r>
      <w:r>
        <w:rPr>
          <w:b/>
          <w:color w:val="231F1F"/>
          <w:sz w:val="20"/>
        </w:rPr>
        <w:t>Rozalén</w:t>
      </w:r>
      <w:r>
        <w:rPr>
          <w:color w:val="231F1F"/>
          <w:sz w:val="20"/>
        </w:rPr>
        <w:t>,</w:t>
      </w:r>
      <w:r>
        <w:rPr>
          <w:color w:val="231F1F"/>
          <w:spacing w:val="29"/>
          <w:sz w:val="20"/>
        </w:rPr>
        <w:t> </w:t>
      </w:r>
      <w:r>
        <w:rPr>
          <w:color w:val="231F1F"/>
          <w:sz w:val="20"/>
        </w:rPr>
        <w:t>matrona.Hospital</w:t>
      </w:r>
      <w:r>
        <w:rPr>
          <w:color w:val="231F1F"/>
          <w:spacing w:val="27"/>
          <w:sz w:val="20"/>
        </w:rPr>
        <w:t> </w:t>
      </w:r>
      <w:r>
        <w:rPr>
          <w:color w:val="231F1F"/>
          <w:sz w:val="20"/>
        </w:rPr>
        <w:t>Central</w:t>
      </w:r>
      <w:r>
        <w:rPr>
          <w:color w:val="231F1F"/>
          <w:spacing w:val="29"/>
          <w:sz w:val="20"/>
        </w:rPr>
        <w:t> </w:t>
      </w:r>
      <w:r>
        <w:rPr>
          <w:color w:val="231F1F"/>
          <w:sz w:val="20"/>
        </w:rPr>
        <w:t>de</w:t>
      </w:r>
      <w:r>
        <w:rPr>
          <w:color w:val="231F1F"/>
          <w:spacing w:val="26"/>
          <w:sz w:val="20"/>
        </w:rPr>
        <w:t> </w:t>
      </w:r>
      <w:r>
        <w:rPr>
          <w:color w:val="231F1F"/>
          <w:sz w:val="20"/>
        </w:rPr>
        <w:t>la</w:t>
      </w:r>
      <w:r>
        <w:rPr>
          <w:color w:val="231F1F"/>
          <w:spacing w:val="29"/>
          <w:sz w:val="20"/>
        </w:rPr>
        <w:t> </w:t>
      </w:r>
      <w:r>
        <w:rPr>
          <w:color w:val="231F1F"/>
          <w:sz w:val="20"/>
        </w:rPr>
        <w:t>Defensa.</w:t>
      </w:r>
      <w:r>
        <w:rPr>
          <w:color w:val="231F1F"/>
          <w:spacing w:val="27"/>
          <w:sz w:val="20"/>
        </w:rPr>
        <w:t> </w:t>
      </w:r>
      <w:r>
        <w:rPr>
          <w:color w:val="231F1F"/>
          <w:sz w:val="20"/>
        </w:rPr>
        <w:t>Madrid.</w:t>
      </w:r>
      <w:r>
        <w:rPr>
          <w:color w:val="231F1F"/>
          <w:spacing w:val="29"/>
          <w:sz w:val="20"/>
        </w:rPr>
        <w:t> </w:t>
      </w:r>
      <w:r>
        <w:rPr>
          <w:color w:val="231F1F"/>
          <w:sz w:val="20"/>
        </w:rPr>
        <w:t>Miembro</w:t>
      </w:r>
      <w:r>
        <w:rPr>
          <w:color w:val="231F1F"/>
          <w:spacing w:val="27"/>
          <w:sz w:val="20"/>
        </w:rPr>
        <w:t> </w:t>
      </w:r>
      <w:r>
        <w:rPr>
          <w:color w:val="231F1F"/>
          <w:sz w:val="20"/>
        </w:rPr>
        <w:t>de</w:t>
      </w:r>
      <w:r>
        <w:rPr>
          <w:color w:val="231F1F"/>
          <w:spacing w:val="29"/>
          <w:sz w:val="20"/>
        </w:rPr>
        <w:t> </w:t>
      </w:r>
      <w:r>
        <w:rPr>
          <w:color w:val="231F1F"/>
          <w:spacing w:val="-5"/>
          <w:sz w:val="20"/>
        </w:rPr>
        <w:t>la</w:t>
      </w:r>
    </w:p>
    <w:p>
      <w:pPr>
        <w:spacing w:before="30"/>
        <w:ind w:left="0" w:right="118" w:firstLine="0"/>
        <w:jc w:val="right"/>
        <w:rPr>
          <w:sz w:val="20"/>
        </w:rPr>
      </w:pPr>
      <w:r>
        <w:rPr>
          <w:color w:val="231F1F"/>
          <w:sz w:val="20"/>
        </w:rPr>
        <w:t>Comisión</w:t>
      </w:r>
      <w:r>
        <w:rPr>
          <w:color w:val="231F1F"/>
          <w:spacing w:val="29"/>
          <w:sz w:val="20"/>
        </w:rPr>
        <w:t> </w:t>
      </w:r>
      <w:r>
        <w:rPr>
          <w:color w:val="231F1F"/>
          <w:sz w:val="20"/>
        </w:rPr>
        <w:t>Nacional</w:t>
      </w:r>
      <w:r>
        <w:rPr>
          <w:color w:val="231F1F"/>
          <w:spacing w:val="34"/>
          <w:sz w:val="20"/>
        </w:rPr>
        <w:t> </w:t>
      </w:r>
      <w:r>
        <w:rPr>
          <w:color w:val="231F1F"/>
          <w:sz w:val="20"/>
        </w:rPr>
        <w:t>de</w:t>
      </w:r>
      <w:r>
        <w:rPr>
          <w:color w:val="231F1F"/>
          <w:spacing w:val="32"/>
          <w:sz w:val="20"/>
        </w:rPr>
        <w:t> </w:t>
      </w:r>
      <w:r>
        <w:rPr>
          <w:color w:val="231F1F"/>
          <w:sz w:val="20"/>
        </w:rPr>
        <w:t>Matronas.</w:t>
      </w:r>
      <w:r>
        <w:rPr>
          <w:color w:val="231F1F"/>
          <w:spacing w:val="33"/>
          <w:sz w:val="20"/>
        </w:rPr>
        <w:t> </w:t>
      </w:r>
      <w:r>
        <w:rPr>
          <w:color w:val="231F1F"/>
          <w:sz w:val="20"/>
        </w:rPr>
        <w:t>Ministerio</w:t>
      </w:r>
      <w:r>
        <w:rPr>
          <w:color w:val="231F1F"/>
          <w:spacing w:val="32"/>
          <w:sz w:val="20"/>
        </w:rPr>
        <w:t> </w:t>
      </w:r>
      <w:r>
        <w:rPr>
          <w:color w:val="231F1F"/>
          <w:sz w:val="20"/>
        </w:rPr>
        <w:t>de</w:t>
      </w:r>
      <w:r>
        <w:rPr>
          <w:color w:val="231F1F"/>
          <w:spacing w:val="33"/>
          <w:sz w:val="20"/>
        </w:rPr>
        <w:t> </w:t>
      </w:r>
      <w:r>
        <w:rPr>
          <w:color w:val="231F1F"/>
          <w:spacing w:val="-2"/>
          <w:sz w:val="20"/>
        </w:rPr>
        <w:t>Sanidad</w:t>
      </w:r>
    </w:p>
    <w:p>
      <w:pPr>
        <w:spacing w:after="0"/>
        <w:jc w:val="right"/>
        <w:rPr>
          <w:sz w:val="20"/>
        </w:rPr>
        <w:sectPr>
          <w:pgSz w:w="11900" w:h="16840"/>
          <w:pgMar w:header="0" w:footer="572" w:top="1560" w:bottom="820" w:left="1417" w:right="1559"/>
        </w:sectPr>
      </w:pPr>
    </w:p>
    <w:p>
      <w:pPr>
        <w:spacing w:before="76"/>
        <w:ind w:left="0" w:right="125" w:firstLine="0"/>
        <w:jc w:val="right"/>
        <w:rPr>
          <w:sz w:val="20"/>
        </w:rPr>
      </w:pPr>
      <w:r>
        <w:rPr>
          <w:b/>
          <w:color w:val="231F1F"/>
          <w:sz w:val="20"/>
        </w:rPr>
        <w:t>Manuel</w:t>
      </w:r>
      <w:r>
        <w:rPr>
          <w:b/>
          <w:color w:val="231F1F"/>
          <w:spacing w:val="26"/>
          <w:sz w:val="20"/>
        </w:rPr>
        <w:t> </w:t>
      </w:r>
      <w:r>
        <w:rPr>
          <w:b/>
          <w:color w:val="231F1F"/>
          <w:sz w:val="20"/>
        </w:rPr>
        <w:t>Sánchez</w:t>
      </w:r>
      <w:r>
        <w:rPr>
          <w:b/>
          <w:color w:val="231F1F"/>
          <w:spacing w:val="31"/>
          <w:sz w:val="20"/>
        </w:rPr>
        <w:t> </w:t>
      </w:r>
      <w:r>
        <w:rPr>
          <w:b/>
          <w:color w:val="231F1F"/>
          <w:sz w:val="20"/>
        </w:rPr>
        <w:t>Luna</w:t>
      </w:r>
      <w:r>
        <w:rPr>
          <w:color w:val="231F1F"/>
          <w:sz w:val="20"/>
        </w:rPr>
        <w:t>,</w:t>
      </w:r>
      <w:r>
        <w:rPr>
          <w:color w:val="231F1F"/>
          <w:spacing w:val="30"/>
          <w:sz w:val="20"/>
        </w:rPr>
        <w:t> </w:t>
      </w:r>
      <w:r>
        <w:rPr>
          <w:color w:val="231F1F"/>
          <w:sz w:val="20"/>
        </w:rPr>
        <w:t>especialista</w:t>
      </w:r>
      <w:r>
        <w:rPr>
          <w:color w:val="231F1F"/>
          <w:spacing w:val="32"/>
          <w:sz w:val="20"/>
        </w:rPr>
        <w:t> </w:t>
      </w:r>
      <w:r>
        <w:rPr>
          <w:color w:val="231F1F"/>
          <w:sz w:val="20"/>
        </w:rPr>
        <w:t>en</w:t>
      </w:r>
      <w:r>
        <w:rPr>
          <w:color w:val="231F1F"/>
          <w:spacing w:val="31"/>
          <w:sz w:val="20"/>
        </w:rPr>
        <w:t> </w:t>
      </w:r>
      <w:r>
        <w:rPr>
          <w:color w:val="231F1F"/>
          <w:sz w:val="20"/>
        </w:rPr>
        <w:t>Pediatría,</w:t>
      </w:r>
      <w:r>
        <w:rPr>
          <w:color w:val="231F1F"/>
          <w:spacing w:val="31"/>
          <w:sz w:val="20"/>
        </w:rPr>
        <w:t> </w:t>
      </w:r>
      <w:r>
        <w:rPr>
          <w:color w:val="231F1F"/>
          <w:sz w:val="20"/>
        </w:rPr>
        <w:t>neonatlogía.Hospital</w:t>
      </w:r>
      <w:r>
        <w:rPr>
          <w:color w:val="231F1F"/>
          <w:spacing w:val="32"/>
          <w:sz w:val="20"/>
        </w:rPr>
        <w:t> </w:t>
      </w:r>
      <w:r>
        <w:rPr>
          <w:color w:val="231F1F"/>
          <w:sz w:val="20"/>
        </w:rPr>
        <w:t>Materno</w:t>
      </w:r>
      <w:r>
        <w:rPr>
          <w:color w:val="231F1F"/>
          <w:spacing w:val="31"/>
          <w:sz w:val="20"/>
        </w:rPr>
        <w:t> </w:t>
      </w:r>
      <w:r>
        <w:rPr>
          <w:color w:val="231F1F"/>
          <w:spacing w:val="-2"/>
          <w:sz w:val="20"/>
        </w:rPr>
        <w:t>Infantil</w:t>
      </w:r>
    </w:p>
    <w:p>
      <w:pPr>
        <w:spacing w:before="10"/>
        <w:ind w:left="0" w:right="119" w:firstLine="0"/>
        <w:jc w:val="right"/>
        <w:rPr>
          <w:sz w:val="20"/>
        </w:rPr>
      </w:pPr>
      <w:r>
        <w:rPr>
          <w:color w:val="231F1F"/>
          <w:spacing w:val="-2"/>
          <w:w w:val="110"/>
          <w:sz w:val="20"/>
        </w:rPr>
        <w:t>Universitario</w:t>
      </w:r>
      <w:r>
        <w:rPr>
          <w:color w:val="231F1F"/>
          <w:spacing w:val="-10"/>
          <w:w w:val="110"/>
          <w:sz w:val="20"/>
        </w:rPr>
        <w:t> </w:t>
      </w:r>
      <w:r>
        <w:rPr>
          <w:color w:val="231F1F"/>
          <w:spacing w:val="-2"/>
          <w:w w:val="110"/>
          <w:sz w:val="20"/>
        </w:rPr>
        <w:t>Gregorio</w:t>
      </w:r>
      <w:r>
        <w:rPr>
          <w:color w:val="231F1F"/>
          <w:spacing w:val="-9"/>
          <w:w w:val="110"/>
          <w:sz w:val="20"/>
        </w:rPr>
        <w:t> </w:t>
      </w:r>
      <w:r>
        <w:rPr>
          <w:color w:val="231F1F"/>
          <w:spacing w:val="-2"/>
          <w:w w:val="110"/>
          <w:sz w:val="20"/>
        </w:rPr>
        <w:t>Marañón,</w:t>
      </w:r>
      <w:r>
        <w:rPr>
          <w:color w:val="231F1F"/>
          <w:spacing w:val="-7"/>
          <w:w w:val="110"/>
          <w:sz w:val="20"/>
        </w:rPr>
        <w:t> </w:t>
      </w:r>
      <w:r>
        <w:rPr>
          <w:color w:val="231F1F"/>
          <w:spacing w:val="-2"/>
          <w:w w:val="110"/>
          <w:sz w:val="20"/>
        </w:rPr>
        <w:t>Madrid.</w:t>
      </w:r>
    </w:p>
    <w:p>
      <w:pPr>
        <w:pStyle w:val="BodyText"/>
        <w:spacing w:before="102"/>
        <w:rPr>
          <w:sz w:val="20"/>
        </w:rPr>
      </w:pPr>
    </w:p>
    <w:p>
      <w:pPr>
        <w:spacing w:before="0"/>
        <w:ind w:left="0" w:right="123" w:firstLine="0"/>
        <w:jc w:val="right"/>
        <w:rPr>
          <w:b/>
          <w:i/>
          <w:sz w:val="20"/>
        </w:rPr>
      </w:pPr>
      <w:r>
        <w:rPr>
          <w:b/>
          <w:i/>
          <w:color w:val="231F1F"/>
          <w:spacing w:val="-2"/>
          <w:w w:val="110"/>
          <w:sz w:val="20"/>
        </w:rPr>
        <w:t>Otras</w:t>
      </w:r>
      <w:r>
        <w:rPr>
          <w:b/>
          <w:i/>
          <w:color w:val="231F1F"/>
          <w:spacing w:val="-5"/>
          <w:w w:val="110"/>
          <w:sz w:val="20"/>
        </w:rPr>
        <w:t> </w:t>
      </w:r>
      <w:r>
        <w:rPr>
          <w:b/>
          <w:i/>
          <w:color w:val="231F1F"/>
          <w:spacing w:val="-2"/>
          <w:w w:val="110"/>
          <w:sz w:val="20"/>
        </w:rPr>
        <w:t>colaboraciones</w:t>
      </w:r>
    </w:p>
    <w:p>
      <w:pPr>
        <w:spacing w:before="10"/>
        <w:ind w:left="0" w:right="123" w:firstLine="0"/>
        <w:jc w:val="right"/>
        <w:rPr>
          <w:sz w:val="20"/>
        </w:rPr>
      </w:pPr>
      <w:r>
        <w:rPr>
          <w:b/>
          <w:color w:val="231F1F"/>
          <w:w w:val="105"/>
          <w:sz w:val="20"/>
        </w:rPr>
        <w:t>Beatriz</w:t>
      </w:r>
      <w:r>
        <w:rPr>
          <w:b/>
          <w:color w:val="231F1F"/>
          <w:spacing w:val="-11"/>
          <w:w w:val="105"/>
          <w:sz w:val="20"/>
        </w:rPr>
        <w:t> </w:t>
      </w:r>
      <w:r>
        <w:rPr>
          <w:b/>
          <w:color w:val="231F1F"/>
          <w:w w:val="105"/>
          <w:sz w:val="20"/>
        </w:rPr>
        <w:t>Casal</w:t>
      </w:r>
      <w:r>
        <w:rPr>
          <w:b/>
          <w:color w:val="231F1F"/>
          <w:spacing w:val="-10"/>
          <w:w w:val="105"/>
          <w:sz w:val="20"/>
        </w:rPr>
        <w:t> </w:t>
      </w:r>
      <w:r>
        <w:rPr>
          <w:b/>
          <w:color w:val="231F1F"/>
          <w:w w:val="105"/>
          <w:sz w:val="20"/>
        </w:rPr>
        <w:t>Acción</w:t>
      </w:r>
      <w:r>
        <w:rPr>
          <w:color w:val="231F1F"/>
          <w:w w:val="105"/>
          <w:sz w:val="20"/>
        </w:rPr>
        <w:t>,</w:t>
      </w:r>
      <w:r>
        <w:rPr>
          <w:color w:val="231F1F"/>
          <w:spacing w:val="-9"/>
          <w:w w:val="105"/>
          <w:sz w:val="20"/>
        </w:rPr>
        <w:t> </w:t>
      </w:r>
      <w:r>
        <w:rPr>
          <w:color w:val="231F1F"/>
          <w:w w:val="105"/>
          <w:sz w:val="20"/>
        </w:rPr>
        <w:t>documentalista.</w:t>
      </w:r>
      <w:r>
        <w:rPr>
          <w:color w:val="231F1F"/>
          <w:spacing w:val="-8"/>
          <w:w w:val="105"/>
          <w:sz w:val="20"/>
        </w:rPr>
        <w:t> </w:t>
      </w:r>
      <w:r>
        <w:rPr>
          <w:color w:val="231F1F"/>
          <w:w w:val="105"/>
          <w:sz w:val="20"/>
        </w:rPr>
        <w:t>Axencia</w:t>
      </w:r>
      <w:r>
        <w:rPr>
          <w:color w:val="231F1F"/>
          <w:spacing w:val="-11"/>
          <w:w w:val="105"/>
          <w:sz w:val="20"/>
        </w:rPr>
        <w:t> </w:t>
      </w:r>
      <w:r>
        <w:rPr>
          <w:color w:val="231F1F"/>
          <w:w w:val="105"/>
          <w:sz w:val="20"/>
        </w:rPr>
        <w:t>de</w:t>
      </w:r>
      <w:r>
        <w:rPr>
          <w:color w:val="231F1F"/>
          <w:spacing w:val="-10"/>
          <w:w w:val="105"/>
          <w:sz w:val="20"/>
        </w:rPr>
        <w:t> </w:t>
      </w:r>
      <w:r>
        <w:rPr>
          <w:color w:val="231F1F"/>
          <w:w w:val="105"/>
          <w:sz w:val="20"/>
        </w:rPr>
        <w:t>Avaliación</w:t>
      </w:r>
      <w:r>
        <w:rPr>
          <w:color w:val="231F1F"/>
          <w:spacing w:val="-11"/>
          <w:w w:val="105"/>
          <w:sz w:val="20"/>
        </w:rPr>
        <w:t> </w:t>
      </w:r>
      <w:r>
        <w:rPr>
          <w:color w:val="231F1F"/>
          <w:w w:val="105"/>
          <w:sz w:val="20"/>
        </w:rPr>
        <w:t>de</w:t>
      </w:r>
      <w:r>
        <w:rPr>
          <w:color w:val="231F1F"/>
          <w:spacing w:val="-10"/>
          <w:w w:val="105"/>
          <w:sz w:val="20"/>
        </w:rPr>
        <w:t> </w:t>
      </w:r>
      <w:r>
        <w:rPr>
          <w:color w:val="231F1F"/>
          <w:w w:val="105"/>
          <w:sz w:val="20"/>
        </w:rPr>
        <w:t>Tecnoloxías</w:t>
      </w:r>
      <w:r>
        <w:rPr>
          <w:color w:val="231F1F"/>
          <w:spacing w:val="-9"/>
          <w:w w:val="105"/>
          <w:sz w:val="20"/>
        </w:rPr>
        <w:t> </w:t>
      </w:r>
      <w:r>
        <w:rPr>
          <w:color w:val="231F1F"/>
          <w:w w:val="105"/>
          <w:sz w:val="20"/>
        </w:rPr>
        <w:t>Sanitarias</w:t>
      </w:r>
      <w:r>
        <w:rPr>
          <w:color w:val="231F1F"/>
          <w:spacing w:val="-8"/>
          <w:w w:val="105"/>
          <w:sz w:val="20"/>
        </w:rPr>
        <w:t> </w:t>
      </w:r>
      <w:r>
        <w:rPr>
          <w:color w:val="231F1F"/>
          <w:spacing w:val="-5"/>
          <w:w w:val="105"/>
          <w:sz w:val="20"/>
        </w:rPr>
        <w:t>de</w:t>
      </w:r>
    </w:p>
    <w:p>
      <w:pPr>
        <w:spacing w:before="39"/>
        <w:ind w:left="0" w:right="119" w:firstLine="0"/>
        <w:jc w:val="right"/>
        <w:rPr>
          <w:sz w:val="20"/>
        </w:rPr>
      </w:pPr>
      <w:r>
        <w:rPr>
          <w:color w:val="231F1F"/>
          <w:sz w:val="20"/>
        </w:rPr>
        <w:t>Galicia,</w:t>
      </w:r>
      <w:r>
        <w:rPr>
          <w:color w:val="231F1F"/>
          <w:spacing w:val="24"/>
          <w:sz w:val="20"/>
        </w:rPr>
        <w:t> </w:t>
      </w:r>
      <w:r>
        <w:rPr>
          <w:color w:val="231F1F"/>
          <w:sz w:val="20"/>
        </w:rPr>
        <w:t>avalia-t.</w:t>
      </w:r>
      <w:r>
        <w:rPr>
          <w:color w:val="231F1F"/>
          <w:spacing w:val="24"/>
          <w:sz w:val="20"/>
        </w:rPr>
        <w:t> </w:t>
      </w:r>
      <w:r>
        <w:rPr>
          <w:color w:val="231F1F"/>
          <w:sz w:val="20"/>
        </w:rPr>
        <w:t>Santiago</w:t>
      </w:r>
      <w:r>
        <w:rPr>
          <w:color w:val="231F1F"/>
          <w:spacing w:val="24"/>
          <w:sz w:val="20"/>
        </w:rPr>
        <w:t> </w:t>
      </w:r>
      <w:r>
        <w:rPr>
          <w:color w:val="231F1F"/>
          <w:sz w:val="20"/>
        </w:rPr>
        <w:t>de</w:t>
      </w:r>
      <w:r>
        <w:rPr>
          <w:color w:val="231F1F"/>
          <w:spacing w:val="24"/>
          <w:sz w:val="20"/>
        </w:rPr>
        <w:t> </w:t>
      </w:r>
      <w:r>
        <w:rPr>
          <w:color w:val="231F1F"/>
          <w:spacing w:val="-2"/>
          <w:sz w:val="20"/>
        </w:rPr>
        <w:t>Compostela</w:t>
      </w:r>
    </w:p>
    <w:p>
      <w:pPr>
        <w:spacing w:before="158"/>
        <w:ind w:left="0" w:right="119" w:firstLine="0"/>
        <w:jc w:val="right"/>
        <w:rPr>
          <w:sz w:val="20"/>
        </w:rPr>
      </w:pPr>
      <w:r>
        <w:rPr>
          <w:b/>
          <w:color w:val="231F1F"/>
          <w:sz w:val="20"/>
        </w:rPr>
        <w:t>María</w:t>
      </w:r>
      <w:r>
        <w:rPr>
          <w:b/>
          <w:color w:val="231F1F"/>
          <w:spacing w:val="17"/>
          <w:sz w:val="20"/>
        </w:rPr>
        <w:t> </w:t>
      </w:r>
      <w:r>
        <w:rPr>
          <w:b/>
          <w:color w:val="231F1F"/>
          <w:sz w:val="20"/>
        </w:rPr>
        <w:t>Rios</w:t>
      </w:r>
      <w:r>
        <w:rPr>
          <w:b/>
          <w:color w:val="231F1F"/>
          <w:spacing w:val="23"/>
          <w:sz w:val="20"/>
        </w:rPr>
        <w:t> </w:t>
      </w:r>
      <w:r>
        <w:rPr>
          <w:b/>
          <w:color w:val="231F1F"/>
          <w:sz w:val="20"/>
        </w:rPr>
        <w:t>Neira</w:t>
      </w:r>
      <w:r>
        <w:rPr>
          <w:color w:val="231F1F"/>
          <w:sz w:val="20"/>
        </w:rPr>
        <w:t>,</w:t>
      </w:r>
      <w:r>
        <w:rPr>
          <w:color w:val="231F1F"/>
          <w:spacing w:val="24"/>
          <w:sz w:val="20"/>
        </w:rPr>
        <w:t> </w:t>
      </w:r>
      <w:r>
        <w:rPr>
          <w:color w:val="231F1F"/>
          <w:sz w:val="20"/>
        </w:rPr>
        <w:t>documentalista.</w:t>
      </w:r>
      <w:r>
        <w:rPr>
          <w:color w:val="231F1F"/>
          <w:spacing w:val="22"/>
          <w:sz w:val="20"/>
        </w:rPr>
        <w:t> </w:t>
      </w:r>
      <w:r>
        <w:rPr>
          <w:color w:val="231F1F"/>
          <w:sz w:val="20"/>
        </w:rPr>
        <w:t>Axencia</w:t>
      </w:r>
      <w:r>
        <w:rPr>
          <w:color w:val="231F1F"/>
          <w:spacing w:val="23"/>
          <w:sz w:val="20"/>
        </w:rPr>
        <w:t> </w:t>
      </w:r>
      <w:r>
        <w:rPr>
          <w:color w:val="231F1F"/>
          <w:sz w:val="20"/>
        </w:rPr>
        <w:t>de</w:t>
      </w:r>
      <w:r>
        <w:rPr>
          <w:color w:val="231F1F"/>
          <w:spacing w:val="23"/>
          <w:sz w:val="20"/>
        </w:rPr>
        <w:t> </w:t>
      </w:r>
      <w:r>
        <w:rPr>
          <w:color w:val="231F1F"/>
          <w:sz w:val="20"/>
        </w:rPr>
        <w:t>Avaliación</w:t>
      </w:r>
      <w:r>
        <w:rPr>
          <w:color w:val="231F1F"/>
          <w:spacing w:val="24"/>
          <w:sz w:val="20"/>
        </w:rPr>
        <w:t> </w:t>
      </w:r>
      <w:r>
        <w:rPr>
          <w:color w:val="231F1F"/>
          <w:sz w:val="20"/>
        </w:rPr>
        <w:t>de</w:t>
      </w:r>
      <w:r>
        <w:rPr>
          <w:color w:val="231F1F"/>
          <w:spacing w:val="21"/>
          <w:sz w:val="20"/>
        </w:rPr>
        <w:t> </w:t>
      </w:r>
      <w:r>
        <w:rPr>
          <w:color w:val="231F1F"/>
          <w:sz w:val="20"/>
        </w:rPr>
        <w:t>Tecnoloxías</w:t>
      </w:r>
      <w:r>
        <w:rPr>
          <w:color w:val="231F1F"/>
          <w:spacing w:val="24"/>
          <w:sz w:val="20"/>
        </w:rPr>
        <w:t> </w:t>
      </w:r>
      <w:r>
        <w:rPr>
          <w:color w:val="231F1F"/>
          <w:sz w:val="20"/>
        </w:rPr>
        <w:t>Sanitarias</w:t>
      </w:r>
      <w:r>
        <w:rPr>
          <w:color w:val="231F1F"/>
          <w:spacing w:val="23"/>
          <w:sz w:val="20"/>
        </w:rPr>
        <w:t> </w:t>
      </w:r>
      <w:r>
        <w:rPr>
          <w:color w:val="231F1F"/>
          <w:sz w:val="20"/>
        </w:rPr>
        <w:t>de</w:t>
      </w:r>
      <w:r>
        <w:rPr>
          <w:color w:val="231F1F"/>
          <w:spacing w:val="24"/>
          <w:sz w:val="20"/>
        </w:rPr>
        <w:t> </w:t>
      </w:r>
      <w:r>
        <w:rPr>
          <w:color w:val="231F1F"/>
          <w:spacing w:val="-2"/>
          <w:sz w:val="20"/>
        </w:rPr>
        <w:t>Galicia,</w:t>
      </w:r>
    </w:p>
    <w:p>
      <w:pPr>
        <w:spacing w:before="30"/>
        <w:ind w:left="0" w:right="119" w:firstLine="0"/>
        <w:jc w:val="right"/>
        <w:rPr>
          <w:sz w:val="20"/>
        </w:rPr>
      </w:pPr>
      <w:r>
        <w:rPr>
          <w:color w:val="231F1F"/>
          <w:sz w:val="20"/>
        </w:rPr>
        <w:t>avalia-t.</w:t>
      </w:r>
      <w:r>
        <w:rPr>
          <w:color w:val="231F1F"/>
          <w:spacing w:val="22"/>
          <w:sz w:val="20"/>
        </w:rPr>
        <w:t> </w:t>
      </w:r>
      <w:r>
        <w:rPr>
          <w:color w:val="231F1F"/>
          <w:sz w:val="20"/>
        </w:rPr>
        <w:t>Santiago</w:t>
      </w:r>
      <w:r>
        <w:rPr>
          <w:color w:val="231F1F"/>
          <w:spacing w:val="24"/>
          <w:sz w:val="20"/>
        </w:rPr>
        <w:t> </w:t>
      </w:r>
      <w:r>
        <w:rPr>
          <w:color w:val="231F1F"/>
          <w:sz w:val="20"/>
        </w:rPr>
        <w:t>de</w:t>
      </w:r>
      <w:r>
        <w:rPr>
          <w:color w:val="231F1F"/>
          <w:spacing w:val="24"/>
          <w:sz w:val="20"/>
        </w:rPr>
        <w:t> </w:t>
      </w:r>
      <w:r>
        <w:rPr>
          <w:color w:val="231F1F"/>
          <w:spacing w:val="-2"/>
          <w:sz w:val="20"/>
        </w:rPr>
        <w:t>Compostela</w:t>
      </w:r>
    </w:p>
    <w:p>
      <w:pPr>
        <w:spacing w:before="139"/>
        <w:ind w:left="0" w:right="119" w:firstLine="0"/>
        <w:jc w:val="right"/>
        <w:rPr>
          <w:sz w:val="20"/>
        </w:rPr>
      </w:pPr>
      <w:r>
        <w:rPr>
          <w:b/>
          <w:color w:val="231F1F"/>
          <w:w w:val="105"/>
          <w:sz w:val="20"/>
        </w:rPr>
        <w:t>José</w:t>
      </w:r>
      <w:r>
        <w:rPr>
          <w:b/>
          <w:color w:val="231F1F"/>
          <w:spacing w:val="-6"/>
          <w:w w:val="105"/>
          <w:sz w:val="20"/>
        </w:rPr>
        <w:t> </w:t>
      </w:r>
      <w:r>
        <w:rPr>
          <w:b/>
          <w:color w:val="231F1F"/>
          <w:w w:val="105"/>
          <w:sz w:val="20"/>
        </w:rPr>
        <w:t>Ignacio</w:t>
      </w:r>
      <w:r>
        <w:rPr>
          <w:b/>
          <w:color w:val="231F1F"/>
          <w:spacing w:val="-8"/>
          <w:w w:val="105"/>
          <w:sz w:val="20"/>
        </w:rPr>
        <w:t> </w:t>
      </w:r>
      <w:r>
        <w:rPr>
          <w:b/>
          <w:color w:val="231F1F"/>
          <w:w w:val="105"/>
          <w:sz w:val="20"/>
        </w:rPr>
        <w:t>Pijoan</w:t>
      </w:r>
      <w:r>
        <w:rPr>
          <w:color w:val="231F1F"/>
          <w:w w:val="105"/>
          <w:sz w:val="20"/>
        </w:rPr>
        <w:t>,</w:t>
      </w:r>
      <w:r>
        <w:rPr>
          <w:color w:val="231F1F"/>
          <w:spacing w:val="-5"/>
          <w:w w:val="105"/>
          <w:sz w:val="20"/>
        </w:rPr>
        <w:t> </w:t>
      </w:r>
      <w:r>
        <w:rPr>
          <w:color w:val="231F1F"/>
          <w:w w:val="105"/>
          <w:sz w:val="20"/>
        </w:rPr>
        <w:t>epidemiologo</w:t>
      </w:r>
      <w:r>
        <w:rPr>
          <w:color w:val="231F1F"/>
          <w:spacing w:val="-6"/>
          <w:w w:val="105"/>
          <w:sz w:val="20"/>
        </w:rPr>
        <w:t> </w:t>
      </w:r>
      <w:r>
        <w:rPr>
          <w:color w:val="231F1F"/>
          <w:w w:val="105"/>
          <w:sz w:val="20"/>
        </w:rPr>
        <w:t>Clínico.</w:t>
      </w:r>
      <w:r>
        <w:rPr>
          <w:color w:val="231F1F"/>
          <w:spacing w:val="-6"/>
          <w:w w:val="105"/>
          <w:sz w:val="20"/>
        </w:rPr>
        <w:t> </w:t>
      </w:r>
      <w:r>
        <w:rPr>
          <w:color w:val="231F1F"/>
          <w:w w:val="105"/>
          <w:sz w:val="20"/>
        </w:rPr>
        <w:t>Hospital</w:t>
      </w:r>
      <w:r>
        <w:rPr>
          <w:color w:val="231F1F"/>
          <w:spacing w:val="-6"/>
          <w:w w:val="105"/>
          <w:sz w:val="20"/>
        </w:rPr>
        <w:t> </w:t>
      </w:r>
      <w:r>
        <w:rPr>
          <w:color w:val="231F1F"/>
          <w:w w:val="105"/>
          <w:sz w:val="20"/>
        </w:rPr>
        <w:t>de</w:t>
      </w:r>
      <w:r>
        <w:rPr>
          <w:color w:val="231F1F"/>
          <w:spacing w:val="-6"/>
          <w:w w:val="105"/>
          <w:sz w:val="20"/>
        </w:rPr>
        <w:t> </w:t>
      </w:r>
      <w:r>
        <w:rPr>
          <w:color w:val="231F1F"/>
          <w:w w:val="105"/>
          <w:sz w:val="20"/>
        </w:rPr>
        <w:t>Cruces.</w:t>
      </w:r>
      <w:r>
        <w:rPr>
          <w:color w:val="231F1F"/>
          <w:spacing w:val="-5"/>
          <w:w w:val="105"/>
          <w:sz w:val="20"/>
        </w:rPr>
        <w:t> </w:t>
      </w:r>
      <w:r>
        <w:rPr>
          <w:color w:val="231F1F"/>
          <w:w w:val="105"/>
          <w:sz w:val="20"/>
        </w:rPr>
        <w:t>Barakaldo.</w:t>
      </w:r>
      <w:r>
        <w:rPr>
          <w:color w:val="231F1F"/>
          <w:spacing w:val="-6"/>
          <w:w w:val="105"/>
          <w:sz w:val="20"/>
        </w:rPr>
        <w:t> </w:t>
      </w:r>
      <w:r>
        <w:rPr>
          <w:color w:val="231F1F"/>
          <w:spacing w:val="-2"/>
          <w:w w:val="105"/>
          <w:sz w:val="20"/>
        </w:rPr>
        <w:t>Bizkaia</w:t>
      </w:r>
    </w:p>
    <w:p>
      <w:pPr>
        <w:spacing w:before="140"/>
        <w:ind w:left="0" w:right="123" w:firstLine="0"/>
        <w:jc w:val="right"/>
        <w:rPr>
          <w:sz w:val="20"/>
        </w:rPr>
      </w:pPr>
      <w:r>
        <w:rPr>
          <w:b/>
          <w:color w:val="231F1F"/>
          <w:spacing w:val="-2"/>
          <w:w w:val="105"/>
          <w:sz w:val="20"/>
        </w:rPr>
        <w:t>Marta</w:t>
      </w:r>
      <w:r>
        <w:rPr>
          <w:b/>
          <w:color w:val="231F1F"/>
          <w:spacing w:val="-6"/>
          <w:w w:val="105"/>
          <w:sz w:val="20"/>
        </w:rPr>
        <w:t> </w:t>
      </w:r>
      <w:r>
        <w:rPr>
          <w:b/>
          <w:color w:val="231F1F"/>
          <w:spacing w:val="-2"/>
          <w:w w:val="105"/>
          <w:sz w:val="20"/>
        </w:rPr>
        <w:t>Urbano</w:t>
      </w:r>
      <w:r>
        <w:rPr>
          <w:b/>
          <w:color w:val="231F1F"/>
          <w:spacing w:val="-5"/>
          <w:w w:val="105"/>
          <w:sz w:val="20"/>
        </w:rPr>
        <w:t> </w:t>
      </w:r>
      <w:r>
        <w:rPr>
          <w:b/>
          <w:color w:val="231F1F"/>
          <w:spacing w:val="-2"/>
          <w:w w:val="105"/>
          <w:sz w:val="20"/>
        </w:rPr>
        <w:t>Echavarri</w:t>
      </w:r>
      <w:r>
        <w:rPr>
          <w:color w:val="231F1F"/>
          <w:spacing w:val="-2"/>
          <w:w w:val="105"/>
          <w:sz w:val="20"/>
        </w:rPr>
        <w:t>, periodista. Apoyo</w:t>
      </w:r>
      <w:r>
        <w:rPr>
          <w:color w:val="231F1F"/>
          <w:spacing w:val="-3"/>
          <w:w w:val="105"/>
          <w:sz w:val="20"/>
        </w:rPr>
        <w:t> </w:t>
      </w:r>
      <w:r>
        <w:rPr>
          <w:color w:val="231F1F"/>
          <w:spacing w:val="-2"/>
          <w:w w:val="105"/>
          <w:sz w:val="20"/>
        </w:rPr>
        <w:t>administrativo</w:t>
      </w:r>
      <w:r>
        <w:rPr>
          <w:color w:val="231F1F"/>
          <w:spacing w:val="-5"/>
          <w:w w:val="105"/>
          <w:sz w:val="20"/>
        </w:rPr>
        <w:t> </w:t>
      </w:r>
      <w:r>
        <w:rPr>
          <w:color w:val="231F1F"/>
          <w:spacing w:val="-2"/>
          <w:w w:val="105"/>
          <w:sz w:val="20"/>
        </w:rPr>
        <w:t>y</w:t>
      </w:r>
      <w:r>
        <w:rPr>
          <w:color w:val="231F1F"/>
          <w:spacing w:val="-5"/>
          <w:w w:val="105"/>
          <w:sz w:val="20"/>
        </w:rPr>
        <w:t> </w:t>
      </w:r>
      <w:r>
        <w:rPr>
          <w:color w:val="231F1F"/>
          <w:spacing w:val="-2"/>
          <w:w w:val="105"/>
          <w:sz w:val="20"/>
        </w:rPr>
        <w:t>coordinación</w:t>
      </w:r>
      <w:r>
        <w:rPr>
          <w:color w:val="231F1F"/>
          <w:spacing w:val="-4"/>
          <w:w w:val="105"/>
          <w:sz w:val="20"/>
        </w:rPr>
        <w:t> </w:t>
      </w:r>
      <w:r>
        <w:rPr>
          <w:color w:val="231F1F"/>
          <w:spacing w:val="-2"/>
          <w:w w:val="105"/>
          <w:sz w:val="20"/>
        </w:rPr>
        <w:t>logística. Servicio </w:t>
      </w:r>
      <w:r>
        <w:rPr>
          <w:color w:val="231F1F"/>
          <w:spacing w:val="-5"/>
          <w:w w:val="105"/>
          <w:sz w:val="20"/>
        </w:rPr>
        <w:t>de</w:t>
      </w:r>
    </w:p>
    <w:p>
      <w:pPr>
        <w:spacing w:before="34"/>
        <w:ind w:left="0" w:right="119" w:firstLine="0"/>
        <w:jc w:val="right"/>
        <w:rPr>
          <w:sz w:val="20"/>
        </w:rPr>
      </w:pPr>
      <w:r>
        <w:rPr>
          <w:color w:val="231F1F"/>
          <w:sz w:val="20"/>
        </w:rPr>
        <w:t>Evaluación</w:t>
      </w:r>
      <w:r>
        <w:rPr>
          <w:color w:val="231F1F"/>
          <w:spacing w:val="46"/>
          <w:sz w:val="20"/>
        </w:rPr>
        <w:t> </w:t>
      </w:r>
      <w:r>
        <w:rPr>
          <w:color w:val="231F1F"/>
          <w:sz w:val="20"/>
        </w:rPr>
        <w:t>de</w:t>
      </w:r>
      <w:r>
        <w:rPr>
          <w:color w:val="231F1F"/>
          <w:spacing w:val="48"/>
          <w:sz w:val="20"/>
        </w:rPr>
        <w:t> </w:t>
      </w:r>
      <w:r>
        <w:rPr>
          <w:color w:val="231F1F"/>
          <w:sz w:val="20"/>
        </w:rPr>
        <w:t>Tecnologías</w:t>
      </w:r>
      <w:r>
        <w:rPr>
          <w:color w:val="231F1F"/>
          <w:spacing w:val="49"/>
          <w:sz w:val="20"/>
        </w:rPr>
        <w:t> </w:t>
      </w:r>
      <w:r>
        <w:rPr>
          <w:color w:val="231F1F"/>
          <w:sz w:val="20"/>
        </w:rPr>
        <w:t>Sanitarias,</w:t>
      </w:r>
      <w:r>
        <w:rPr>
          <w:color w:val="231F1F"/>
          <w:spacing w:val="48"/>
          <w:sz w:val="20"/>
        </w:rPr>
        <w:t> </w:t>
      </w:r>
      <w:r>
        <w:rPr>
          <w:color w:val="231F1F"/>
          <w:sz w:val="20"/>
        </w:rPr>
        <w:t>Osteba,</w:t>
      </w:r>
      <w:r>
        <w:rPr>
          <w:color w:val="231F1F"/>
          <w:spacing w:val="49"/>
          <w:sz w:val="20"/>
        </w:rPr>
        <w:t> </w:t>
      </w:r>
      <w:r>
        <w:rPr>
          <w:color w:val="231F1F"/>
          <w:sz w:val="20"/>
        </w:rPr>
        <w:t>Vitoria-</w:t>
      </w:r>
      <w:r>
        <w:rPr>
          <w:color w:val="231F1F"/>
          <w:spacing w:val="-2"/>
          <w:sz w:val="20"/>
        </w:rPr>
        <w:t>Gasteiz</w:t>
      </w:r>
    </w:p>
    <w:p>
      <w:pPr>
        <w:spacing w:before="140"/>
        <w:ind w:left="0" w:right="121" w:firstLine="0"/>
        <w:jc w:val="right"/>
        <w:rPr>
          <w:sz w:val="20"/>
        </w:rPr>
      </w:pPr>
      <w:r>
        <w:rPr>
          <w:b/>
          <w:color w:val="231F1F"/>
          <w:spacing w:val="-2"/>
          <w:w w:val="105"/>
          <w:sz w:val="20"/>
        </w:rPr>
        <w:t>Idoia Fernández de Jauregi Berrueta</w:t>
      </w:r>
      <w:r>
        <w:rPr>
          <w:color w:val="231F1F"/>
          <w:spacing w:val="-2"/>
          <w:w w:val="105"/>
          <w:sz w:val="20"/>
        </w:rPr>
        <w:t>,</w:t>
      </w:r>
      <w:r>
        <w:rPr>
          <w:color w:val="231F1F"/>
          <w:spacing w:val="1"/>
          <w:w w:val="105"/>
          <w:sz w:val="20"/>
        </w:rPr>
        <w:t> </w:t>
      </w:r>
      <w:r>
        <w:rPr>
          <w:color w:val="231F1F"/>
          <w:spacing w:val="-2"/>
          <w:w w:val="105"/>
          <w:sz w:val="20"/>
        </w:rPr>
        <w:t>apoyo administrativo y</w:t>
      </w:r>
      <w:r>
        <w:rPr>
          <w:color w:val="231F1F"/>
          <w:spacing w:val="-1"/>
          <w:w w:val="105"/>
          <w:sz w:val="20"/>
        </w:rPr>
        <w:t> </w:t>
      </w:r>
      <w:r>
        <w:rPr>
          <w:color w:val="231F1F"/>
          <w:spacing w:val="-2"/>
          <w:w w:val="105"/>
          <w:sz w:val="20"/>
        </w:rPr>
        <w:t>labor</w:t>
      </w:r>
      <w:r>
        <w:rPr>
          <w:color w:val="231F1F"/>
          <w:w w:val="105"/>
          <w:sz w:val="20"/>
        </w:rPr>
        <w:t> </w:t>
      </w:r>
      <w:r>
        <w:rPr>
          <w:color w:val="231F1F"/>
          <w:spacing w:val="-2"/>
          <w:w w:val="105"/>
          <w:sz w:val="20"/>
        </w:rPr>
        <w:t>editorial.</w:t>
      </w:r>
      <w:r>
        <w:rPr>
          <w:color w:val="231F1F"/>
          <w:spacing w:val="1"/>
          <w:w w:val="105"/>
          <w:sz w:val="20"/>
        </w:rPr>
        <w:t> </w:t>
      </w:r>
      <w:r>
        <w:rPr>
          <w:color w:val="231F1F"/>
          <w:spacing w:val="-2"/>
          <w:w w:val="105"/>
          <w:sz w:val="20"/>
        </w:rPr>
        <w:t>Servicio</w:t>
      </w:r>
      <w:r>
        <w:rPr>
          <w:color w:val="231F1F"/>
          <w:spacing w:val="-1"/>
          <w:w w:val="105"/>
          <w:sz w:val="20"/>
        </w:rPr>
        <w:t> </w:t>
      </w:r>
      <w:r>
        <w:rPr>
          <w:color w:val="231F1F"/>
          <w:spacing w:val="-5"/>
          <w:w w:val="105"/>
          <w:sz w:val="20"/>
        </w:rPr>
        <w:t>de</w:t>
      </w:r>
    </w:p>
    <w:p>
      <w:pPr>
        <w:spacing w:before="10"/>
        <w:ind w:left="0" w:right="119" w:firstLine="0"/>
        <w:jc w:val="right"/>
        <w:rPr>
          <w:sz w:val="20"/>
        </w:rPr>
      </w:pPr>
      <w:r>
        <w:rPr>
          <w:color w:val="231F1F"/>
          <w:w w:val="105"/>
          <w:sz w:val="20"/>
        </w:rPr>
        <w:t>Evaluación</w:t>
      </w:r>
      <w:r>
        <w:rPr>
          <w:color w:val="231F1F"/>
          <w:spacing w:val="3"/>
          <w:w w:val="105"/>
          <w:sz w:val="20"/>
        </w:rPr>
        <w:t> </w:t>
      </w:r>
      <w:r>
        <w:rPr>
          <w:color w:val="231F1F"/>
          <w:w w:val="105"/>
          <w:sz w:val="20"/>
        </w:rPr>
        <w:t>de</w:t>
      </w:r>
      <w:r>
        <w:rPr>
          <w:color w:val="231F1F"/>
          <w:spacing w:val="3"/>
          <w:w w:val="105"/>
          <w:sz w:val="20"/>
        </w:rPr>
        <w:t> </w:t>
      </w:r>
      <w:r>
        <w:rPr>
          <w:color w:val="231F1F"/>
          <w:w w:val="105"/>
          <w:sz w:val="20"/>
        </w:rPr>
        <w:t>Tecnologías</w:t>
      </w:r>
      <w:r>
        <w:rPr>
          <w:color w:val="231F1F"/>
          <w:spacing w:val="7"/>
          <w:w w:val="105"/>
          <w:sz w:val="20"/>
        </w:rPr>
        <w:t> </w:t>
      </w:r>
      <w:r>
        <w:rPr>
          <w:color w:val="231F1F"/>
          <w:w w:val="105"/>
          <w:sz w:val="20"/>
        </w:rPr>
        <w:t>Sanitarias,</w:t>
      </w:r>
      <w:r>
        <w:rPr>
          <w:color w:val="231F1F"/>
          <w:spacing w:val="5"/>
          <w:w w:val="105"/>
          <w:sz w:val="20"/>
        </w:rPr>
        <w:t> </w:t>
      </w:r>
      <w:r>
        <w:rPr>
          <w:color w:val="231F1F"/>
          <w:w w:val="105"/>
          <w:sz w:val="20"/>
        </w:rPr>
        <w:t>Osteba,</w:t>
      </w:r>
      <w:r>
        <w:rPr>
          <w:color w:val="231F1F"/>
          <w:spacing w:val="6"/>
          <w:w w:val="105"/>
          <w:sz w:val="20"/>
        </w:rPr>
        <w:t> </w:t>
      </w:r>
      <w:r>
        <w:rPr>
          <w:color w:val="231F1F"/>
          <w:w w:val="105"/>
          <w:sz w:val="20"/>
        </w:rPr>
        <w:t>Vitoria-</w:t>
      </w:r>
      <w:r>
        <w:rPr>
          <w:color w:val="231F1F"/>
          <w:spacing w:val="-2"/>
          <w:w w:val="105"/>
          <w:sz w:val="20"/>
        </w:rPr>
        <w:t>Gasteiz</w:t>
      </w:r>
    </w:p>
    <w:p>
      <w:pPr>
        <w:pStyle w:val="BodyText"/>
        <w:spacing w:before="120"/>
        <w:rPr>
          <w:sz w:val="20"/>
        </w:rPr>
      </w:pPr>
    </w:p>
    <w:p>
      <w:pPr>
        <w:spacing w:line="249" w:lineRule="auto" w:before="0"/>
        <w:ind w:left="769" w:right="117" w:firstLine="6701"/>
        <w:jc w:val="right"/>
        <w:rPr>
          <w:sz w:val="20"/>
        </w:rPr>
      </w:pPr>
      <w:r>
        <w:rPr>
          <w:b/>
          <w:i/>
          <w:color w:val="231F1F"/>
          <w:spacing w:val="-6"/>
          <w:sz w:val="20"/>
        </w:rPr>
        <w:t>Agradecimientos</w:t>
      </w:r>
      <w:r>
        <w:rPr>
          <w:b/>
          <w:i/>
          <w:color w:val="231F1F"/>
          <w:spacing w:val="-6"/>
          <w:sz w:val="20"/>
        </w:rPr>
        <w:t> </w:t>
      </w:r>
      <w:r>
        <w:rPr>
          <w:color w:val="231F1F"/>
          <w:w w:val="110"/>
          <w:sz w:val="20"/>
        </w:rPr>
        <w:t>A</w:t>
      </w:r>
      <w:r>
        <w:rPr>
          <w:color w:val="231F1F"/>
          <w:spacing w:val="-13"/>
          <w:w w:val="110"/>
          <w:sz w:val="20"/>
        </w:rPr>
        <w:t> </w:t>
      </w:r>
      <w:r>
        <w:rPr>
          <w:color w:val="231F1F"/>
          <w:w w:val="110"/>
          <w:sz w:val="20"/>
        </w:rPr>
        <w:t>la</w:t>
      </w:r>
      <w:r>
        <w:rPr>
          <w:color w:val="231F1F"/>
          <w:spacing w:val="-14"/>
          <w:w w:val="110"/>
          <w:sz w:val="20"/>
        </w:rPr>
        <w:t> </w:t>
      </w:r>
      <w:r>
        <w:rPr>
          <w:color w:val="231F1F"/>
          <w:w w:val="110"/>
          <w:sz w:val="20"/>
        </w:rPr>
        <w:t>Dirección</w:t>
      </w:r>
      <w:r>
        <w:rPr>
          <w:color w:val="231F1F"/>
          <w:spacing w:val="-13"/>
          <w:w w:val="110"/>
          <w:sz w:val="20"/>
        </w:rPr>
        <w:t> </w:t>
      </w:r>
      <w:r>
        <w:rPr>
          <w:color w:val="231F1F"/>
          <w:w w:val="110"/>
          <w:sz w:val="20"/>
        </w:rPr>
        <w:t>Territorial</w:t>
      </w:r>
      <w:r>
        <w:rPr>
          <w:color w:val="231F1F"/>
          <w:spacing w:val="-14"/>
          <w:w w:val="110"/>
          <w:sz w:val="20"/>
        </w:rPr>
        <w:t> </w:t>
      </w:r>
      <w:r>
        <w:rPr>
          <w:color w:val="231F1F"/>
          <w:w w:val="110"/>
          <w:sz w:val="20"/>
        </w:rPr>
        <w:t>de</w:t>
      </w:r>
      <w:r>
        <w:rPr>
          <w:color w:val="231F1F"/>
          <w:spacing w:val="-13"/>
          <w:w w:val="110"/>
          <w:sz w:val="20"/>
        </w:rPr>
        <w:t> </w:t>
      </w:r>
      <w:r>
        <w:rPr>
          <w:color w:val="231F1F"/>
          <w:w w:val="110"/>
          <w:sz w:val="20"/>
        </w:rPr>
        <w:t>Bizkaia</w:t>
      </w:r>
      <w:r>
        <w:rPr>
          <w:color w:val="231F1F"/>
          <w:spacing w:val="-14"/>
          <w:w w:val="110"/>
          <w:sz w:val="20"/>
        </w:rPr>
        <w:t> </w:t>
      </w:r>
      <w:r>
        <w:rPr>
          <w:color w:val="231F1F"/>
          <w:w w:val="110"/>
          <w:sz w:val="20"/>
        </w:rPr>
        <w:t>del</w:t>
      </w:r>
      <w:r>
        <w:rPr>
          <w:color w:val="231F1F"/>
          <w:spacing w:val="-13"/>
          <w:w w:val="110"/>
          <w:sz w:val="20"/>
        </w:rPr>
        <w:t> </w:t>
      </w:r>
      <w:r>
        <w:rPr>
          <w:color w:val="231F1F"/>
          <w:w w:val="110"/>
          <w:sz w:val="20"/>
        </w:rPr>
        <w:t>Departamento</w:t>
      </w:r>
      <w:r>
        <w:rPr>
          <w:color w:val="231F1F"/>
          <w:spacing w:val="-14"/>
          <w:w w:val="110"/>
          <w:sz w:val="20"/>
        </w:rPr>
        <w:t> </w:t>
      </w:r>
      <w:r>
        <w:rPr>
          <w:color w:val="231F1F"/>
          <w:w w:val="110"/>
          <w:sz w:val="20"/>
        </w:rPr>
        <w:t>de</w:t>
      </w:r>
      <w:r>
        <w:rPr>
          <w:color w:val="231F1F"/>
          <w:spacing w:val="-13"/>
          <w:w w:val="110"/>
          <w:sz w:val="20"/>
        </w:rPr>
        <w:t> </w:t>
      </w:r>
      <w:r>
        <w:rPr>
          <w:color w:val="231F1F"/>
          <w:w w:val="110"/>
          <w:sz w:val="20"/>
        </w:rPr>
        <w:t>Sanidad</w:t>
      </w:r>
      <w:r>
        <w:rPr>
          <w:color w:val="231F1F"/>
          <w:spacing w:val="-14"/>
          <w:w w:val="110"/>
          <w:sz w:val="20"/>
        </w:rPr>
        <w:t> </w:t>
      </w:r>
      <w:r>
        <w:rPr>
          <w:color w:val="231F1F"/>
          <w:w w:val="110"/>
          <w:sz w:val="20"/>
        </w:rPr>
        <w:t>y</w:t>
      </w:r>
      <w:r>
        <w:rPr>
          <w:color w:val="231F1F"/>
          <w:spacing w:val="-13"/>
          <w:w w:val="110"/>
          <w:sz w:val="20"/>
        </w:rPr>
        <w:t> </w:t>
      </w:r>
      <w:r>
        <w:rPr>
          <w:color w:val="231F1F"/>
          <w:w w:val="110"/>
          <w:sz w:val="20"/>
        </w:rPr>
        <w:t>Consumo</w:t>
      </w:r>
      <w:r>
        <w:rPr>
          <w:color w:val="231F1F"/>
          <w:spacing w:val="-14"/>
          <w:w w:val="110"/>
          <w:sz w:val="20"/>
        </w:rPr>
        <w:t> </w:t>
      </w:r>
      <w:r>
        <w:rPr>
          <w:color w:val="231F1F"/>
          <w:w w:val="110"/>
          <w:sz w:val="20"/>
        </w:rPr>
        <w:t>del</w:t>
      </w:r>
      <w:r>
        <w:rPr>
          <w:color w:val="231F1F"/>
          <w:spacing w:val="-13"/>
          <w:w w:val="110"/>
          <w:sz w:val="20"/>
        </w:rPr>
        <w:t> </w:t>
      </w:r>
      <w:r>
        <w:rPr>
          <w:color w:val="231F1F"/>
          <w:w w:val="110"/>
          <w:sz w:val="20"/>
        </w:rPr>
        <w:t>Gobierno Vasco y a la Sociedad Española de Ginecología y Obstetricia (SEGO) por las facilidades</w:t>
      </w:r>
    </w:p>
    <w:p>
      <w:pPr>
        <w:spacing w:before="17"/>
        <w:ind w:left="0" w:right="119" w:firstLine="0"/>
        <w:jc w:val="right"/>
        <w:rPr>
          <w:sz w:val="20"/>
        </w:rPr>
      </w:pPr>
      <w:r>
        <w:rPr>
          <w:color w:val="231F1F"/>
          <w:sz w:val="20"/>
        </w:rPr>
        <w:t>logísticas</w:t>
      </w:r>
      <w:r>
        <w:rPr>
          <w:color w:val="231F1F"/>
          <w:spacing w:val="21"/>
          <w:sz w:val="20"/>
        </w:rPr>
        <w:t> </w:t>
      </w:r>
      <w:r>
        <w:rPr>
          <w:color w:val="231F1F"/>
          <w:sz w:val="20"/>
        </w:rPr>
        <w:t>para</w:t>
      </w:r>
      <w:r>
        <w:rPr>
          <w:color w:val="231F1F"/>
          <w:spacing w:val="21"/>
          <w:sz w:val="20"/>
        </w:rPr>
        <w:t> </w:t>
      </w:r>
      <w:r>
        <w:rPr>
          <w:color w:val="231F1F"/>
          <w:sz w:val="20"/>
        </w:rPr>
        <w:t>la</w:t>
      </w:r>
      <w:r>
        <w:rPr>
          <w:color w:val="231F1F"/>
          <w:spacing w:val="22"/>
          <w:sz w:val="20"/>
        </w:rPr>
        <w:t> </w:t>
      </w:r>
      <w:r>
        <w:rPr>
          <w:color w:val="231F1F"/>
          <w:sz w:val="20"/>
        </w:rPr>
        <w:t>realización</w:t>
      </w:r>
      <w:r>
        <w:rPr>
          <w:color w:val="231F1F"/>
          <w:spacing w:val="21"/>
          <w:sz w:val="20"/>
        </w:rPr>
        <w:t> </w:t>
      </w:r>
      <w:r>
        <w:rPr>
          <w:color w:val="231F1F"/>
          <w:sz w:val="20"/>
        </w:rPr>
        <w:t>de</w:t>
      </w:r>
      <w:r>
        <w:rPr>
          <w:color w:val="231F1F"/>
          <w:spacing w:val="24"/>
          <w:sz w:val="20"/>
        </w:rPr>
        <w:t> </w:t>
      </w:r>
      <w:r>
        <w:rPr>
          <w:color w:val="231F1F"/>
          <w:spacing w:val="-2"/>
          <w:sz w:val="20"/>
        </w:rPr>
        <w:t>reuniones</w:t>
      </w:r>
    </w:p>
    <w:p>
      <w:pPr>
        <w:spacing w:line="254" w:lineRule="auto" w:before="145"/>
        <w:ind w:left="1357" w:right="123" w:hanging="681"/>
        <w:jc w:val="right"/>
        <w:rPr>
          <w:sz w:val="20"/>
        </w:rPr>
      </w:pPr>
      <w:r>
        <w:rPr>
          <w:color w:val="231F1F"/>
          <w:w w:val="110"/>
          <w:sz w:val="20"/>
        </w:rPr>
        <w:t>A</w:t>
      </w:r>
      <w:r>
        <w:rPr>
          <w:color w:val="231F1F"/>
          <w:spacing w:val="-14"/>
          <w:w w:val="110"/>
          <w:sz w:val="20"/>
        </w:rPr>
        <w:t> </w:t>
      </w:r>
      <w:r>
        <w:rPr>
          <w:color w:val="231F1F"/>
          <w:w w:val="110"/>
          <w:sz w:val="20"/>
        </w:rPr>
        <w:t>las</w:t>
      </w:r>
      <w:r>
        <w:rPr>
          <w:color w:val="231F1F"/>
          <w:spacing w:val="-14"/>
          <w:w w:val="110"/>
          <w:sz w:val="20"/>
        </w:rPr>
        <w:t> </w:t>
      </w:r>
      <w:r>
        <w:rPr>
          <w:color w:val="231F1F"/>
          <w:w w:val="110"/>
          <w:sz w:val="20"/>
        </w:rPr>
        <w:t>miembros</w:t>
      </w:r>
      <w:r>
        <w:rPr>
          <w:color w:val="231F1F"/>
          <w:spacing w:val="-14"/>
          <w:w w:val="110"/>
          <w:sz w:val="20"/>
        </w:rPr>
        <w:t> </w:t>
      </w:r>
      <w:r>
        <w:rPr>
          <w:color w:val="231F1F"/>
          <w:w w:val="110"/>
          <w:sz w:val="20"/>
        </w:rPr>
        <w:t>del</w:t>
      </w:r>
      <w:r>
        <w:rPr>
          <w:color w:val="231F1F"/>
          <w:spacing w:val="-13"/>
          <w:w w:val="110"/>
          <w:sz w:val="20"/>
        </w:rPr>
        <w:t> </w:t>
      </w:r>
      <w:r>
        <w:rPr>
          <w:color w:val="231F1F"/>
          <w:w w:val="110"/>
          <w:sz w:val="20"/>
        </w:rPr>
        <w:t>equipo</w:t>
      </w:r>
      <w:r>
        <w:rPr>
          <w:color w:val="231F1F"/>
          <w:spacing w:val="-14"/>
          <w:w w:val="110"/>
          <w:sz w:val="20"/>
        </w:rPr>
        <w:t> </w:t>
      </w:r>
      <w:r>
        <w:rPr>
          <w:color w:val="231F1F"/>
          <w:w w:val="110"/>
          <w:sz w:val="20"/>
        </w:rPr>
        <w:t>y</w:t>
      </w:r>
      <w:r>
        <w:rPr>
          <w:color w:val="231F1F"/>
          <w:spacing w:val="-14"/>
          <w:w w:val="110"/>
          <w:sz w:val="20"/>
        </w:rPr>
        <w:t> </w:t>
      </w:r>
      <w:r>
        <w:rPr>
          <w:color w:val="231F1F"/>
          <w:w w:val="110"/>
          <w:sz w:val="20"/>
        </w:rPr>
        <w:t>compañeras</w:t>
      </w:r>
      <w:r>
        <w:rPr>
          <w:color w:val="231F1F"/>
          <w:spacing w:val="-14"/>
          <w:w w:val="110"/>
          <w:sz w:val="20"/>
        </w:rPr>
        <w:t> </w:t>
      </w:r>
      <w:r>
        <w:rPr>
          <w:color w:val="231F1F"/>
          <w:w w:val="110"/>
          <w:sz w:val="20"/>
        </w:rPr>
        <w:t>de</w:t>
      </w:r>
      <w:r>
        <w:rPr>
          <w:color w:val="231F1F"/>
          <w:spacing w:val="-13"/>
          <w:w w:val="110"/>
          <w:sz w:val="20"/>
        </w:rPr>
        <w:t> </w:t>
      </w:r>
      <w:r>
        <w:rPr>
          <w:color w:val="231F1F"/>
          <w:w w:val="110"/>
          <w:sz w:val="20"/>
        </w:rPr>
        <w:t>trabajo</w:t>
      </w:r>
      <w:r>
        <w:rPr>
          <w:color w:val="231F1F"/>
          <w:spacing w:val="-14"/>
          <w:w w:val="110"/>
          <w:sz w:val="20"/>
        </w:rPr>
        <w:t> </w:t>
      </w:r>
      <w:r>
        <w:rPr>
          <w:color w:val="231F1F"/>
          <w:w w:val="110"/>
          <w:sz w:val="20"/>
        </w:rPr>
        <w:t>madres</w:t>
      </w:r>
      <w:r>
        <w:rPr>
          <w:color w:val="231F1F"/>
          <w:spacing w:val="-14"/>
          <w:w w:val="110"/>
          <w:sz w:val="20"/>
        </w:rPr>
        <w:t> </w:t>
      </w:r>
      <w:r>
        <w:rPr>
          <w:color w:val="231F1F"/>
          <w:w w:val="110"/>
          <w:sz w:val="20"/>
        </w:rPr>
        <w:t>con</w:t>
      </w:r>
      <w:r>
        <w:rPr>
          <w:color w:val="231F1F"/>
          <w:spacing w:val="-14"/>
          <w:w w:val="110"/>
          <w:sz w:val="20"/>
        </w:rPr>
        <w:t> </w:t>
      </w:r>
      <w:r>
        <w:rPr>
          <w:color w:val="231F1F"/>
          <w:w w:val="110"/>
          <w:sz w:val="20"/>
        </w:rPr>
        <w:t>experiencias</w:t>
      </w:r>
      <w:r>
        <w:rPr>
          <w:color w:val="231F1F"/>
          <w:spacing w:val="-13"/>
          <w:w w:val="110"/>
          <w:sz w:val="20"/>
        </w:rPr>
        <w:t> </w:t>
      </w:r>
      <w:r>
        <w:rPr>
          <w:color w:val="231F1F"/>
          <w:w w:val="110"/>
          <w:sz w:val="20"/>
        </w:rPr>
        <w:t>de</w:t>
      </w:r>
      <w:r>
        <w:rPr>
          <w:color w:val="231F1F"/>
          <w:spacing w:val="-14"/>
          <w:w w:val="110"/>
          <w:sz w:val="20"/>
        </w:rPr>
        <w:t> </w:t>
      </w:r>
      <w:r>
        <w:rPr>
          <w:color w:val="231F1F"/>
          <w:w w:val="110"/>
          <w:sz w:val="20"/>
        </w:rPr>
        <w:t>parto</w:t>
      </w:r>
      <w:r>
        <w:rPr>
          <w:color w:val="231F1F"/>
          <w:spacing w:val="-14"/>
          <w:w w:val="110"/>
          <w:sz w:val="20"/>
        </w:rPr>
        <w:t> </w:t>
      </w:r>
      <w:r>
        <w:rPr>
          <w:color w:val="231F1F"/>
          <w:w w:val="110"/>
          <w:sz w:val="20"/>
        </w:rPr>
        <w:t>que</w:t>
      </w:r>
      <w:r>
        <w:rPr>
          <w:color w:val="231F1F"/>
          <w:spacing w:val="-14"/>
          <w:w w:val="110"/>
          <w:sz w:val="20"/>
        </w:rPr>
        <w:t> </w:t>
      </w:r>
      <w:r>
        <w:rPr>
          <w:color w:val="231F1F"/>
          <w:w w:val="110"/>
          <w:sz w:val="20"/>
        </w:rPr>
        <w:t>han </w:t>
      </w:r>
      <w:r>
        <w:rPr>
          <w:color w:val="231F1F"/>
          <w:spacing w:val="-2"/>
          <w:w w:val="110"/>
          <w:sz w:val="20"/>
        </w:rPr>
        <w:t>aportado</w:t>
      </w:r>
      <w:r>
        <w:rPr>
          <w:color w:val="231F1F"/>
          <w:spacing w:val="-12"/>
          <w:w w:val="110"/>
          <w:sz w:val="20"/>
        </w:rPr>
        <w:t> </w:t>
      </w:r>
      <w:r>
        <w:rPr>
          <w:color w:val="231F1F"/>
          <w:spacing w:val="-2"/>
          <w:w w:val="110"/>
          <w:sz w:val="20"/>
        </w:rPr>
        <w:t>sus</w:t>
      </w:r>
      <w:r>
        <w:rPr>
          <w:color w:val="231F1F"/>
          <w:spacing w:val="-9"/>
          <w:w w:val="110"/>
          <w:sz w:val="20"/>
        </w:rPr>
        <w:t> </w:t>
      </w:r>
      <w:r>
        <w:rPr>
          <w:color w:val="231F1F"/>
          <w:spacing w:val="-2"/>
          <w:w w:val="110"/>
          <w:sz w:val="20"/>
        </w:rPr>
        <w:t>reflexiones</w:t>
      </w:r>
      <w:r>
        <w:rPr>
          <w:color w:val="231F1F"/>
          <w:spacing w:val="-9"/>
          <w:w w:val="110"/>
          <w:sz w:val="20"/>
        </w:rPr>
        <w:t> </w:t>
      </w:r>
      <w:r>
        <w:rPr>
          <w:color w:val="231F1F"/>
          <w:spacing w:val="-2"/>
          <w:w w:val="110"/>
          <w:sz w:val="20"/>
        </w:rPr>
        <w:t>y</w:t>
      </w:r>
      <w:r>
        <w:rPr>
          <w:color w:val="231F1F"/>
          <w:spacing w:val="-9"/>
          <w:w w:val="110"/>
          <w:sz w:val="20"/>
        </w:rPr>
        <w:t> </w:t>
      </w:r>
      <w:r>
        <w:rPr>
          <w:color w:val="231F1F"/>
          <w:spacing w:val="-2"/>
          <w:w w:val="110"/>
          <w:sz w:val="20"/>
        </w:rPr>
        <w:t>opiniones</w:t>
      </w:r>
      <w:r>
        <w:rPr>
          <w:color w:val="231F1F"/>
          <w:spacing w:val="-8"/>
          <w:w w:val="110"/>
          <w:sz w:val="20"/>
        </w:rPr>
        <w:t> </w:t>
      </w:r>
      <w:r>
        <w:rPr>
          <w:color w:val="231F1F"/>
          <w:spacing w:val="-2"/>
          <w:w w:val="110"/>
          <w:sz w:val="20"/>
        </w:rPr>
        <w:t>durante</w:t>
      </w:r>
      <w:r>
        <w:rPr>
          <w:color w:val="231F1F"/>
          <w:spacing w:val="-9"/>
          <w:w w:val="110"/>
          <w:sz w:val="20"/>
        </w:rPr>
        <w:t> </w:t>
      </w:r>
      <w:r>
        <w:rPr>
          <w:color w:val="231F1F"/>
          <w:spacing w:val="-2"/>
          <w:w w:val="110"/>
          <w:sz w:val="20"/>
        </w:rPr>
        <w:t>todo</w:t>
      </w:r>
      <w:r>
        <w:rPr>
          <w:color w:val="231F1F"/>
          <w:spacing w:val="-9"/>
          <w:w w:val="110"/>
          <w:sz w:val="20"/>
        </w:rPr>
        <w:t> </w:t>
      </w:r>
      <w:r>
        <w:rPr>
          <w:color w:val="231F1F"/>
          <w:spacing w:val="-2"/>
          <w:w w:val="110"/>
          <w:sz w:val="20"/>
        </w:rPr>
        <w:t>el</w:t>
      </w:r>
      <w:r>
        <w:rPr>
          <w:color w:val="231F1F"/>
          <w:spacing w:val="-9"/>
          <w:w w:val="110"/>
          <w:sz w:val="20"/>
        </w:rPr>
        <w:t> </w:t>
      </w:r>
      <w:r>
        <w:rPr>
          <w:color w:val="231F1F"/>
          <w:spacing w:val="-2"/>
          <w:w w:val="110"/>
          <w:sz w:val="20"/>
        </w:rPr>
        <w:t>proceso</w:t>
      </w:r>
      <w:r>
        <w:rPr>
          <w:color w:val="231F1F"/>
          <w:spacing w:val="-8"/>
          <w:w w:val="110"/>
          <w:sz w:val="20"/>
        </w:rPr>
        <w:t> </w:t>
      </w:r>
      <w:r>
        <w:rPr>
          <w:color w:val="231F1F"/>
          <w:spacing w:val="-2"/>
          <w:w w:val="110"/>
          <w:sz w:val="20"/>
        </w:rPr>
        <w:t>de</w:t>
      </w:r>
      <w:r>
        <w:rPr>
          <w:color w:val="231F1F"/>
          <w:spacing w:val="-9"/>
          <w:w w:val="110"/>
          <w:sz w:val="20"/>
        </w:rPr>
        <w:t> </w:t>
      </w:r>
      <w:r>
        <w:rPr>
          <w:color w:val="231F1F"/>
          <w:spacing w:val="-2"/>
          <w:w w:val="110"/>
          <w:sz w:val="20"/>
        </w:rPr>
        <w:t>elaboración</w:t>
      </w:r>
      <w:r>
        <w:rPr>
          <w:color w:val="231F1F"/>
          <w:spacing w:val="-9"/>
          <w:w w:val="110"/>
          <w:sz w:val="20"/>
        </w:rPr>
        <w:t> </w:t>
      </w:r>
      <w:r>
        <w:rPr>
          <w:color w:val="231F1F"/>
          <w:spacing w:val="-2"/>
          <w:w w:val="110"/>
          <w:sz w:val="20"/>
        </w:rPr>
        <w:t>de</w:t>
      </w:r>
      <w:r>
        <w:rPr>
          <w:color w:val="231F1F"/>
          <w:spacing w:val="-9"/>
          <w:w w:val="110"/>
          <w:sz w:val="20"/>
        </w:rPr>
        <w:t> </w:t>
      </w:r>
      <w:r>
        <w:rPr>
          <w:color w:val="231F1F"/>
          <w:spacing w:val="-2"/>
          <w:w w:val="110"/>
          <w:sz w:val="20"/>
        </w:rPr>
        <w:t>la</w:t>
      </w:r>
      <w:r>
        <w:rPr>
          <w:color w:val="231F1F"/>
          <w:spacing w:val="-7"/>
          <w:w w:val="110"/>
          <w:sz w:val="20"/>
        </w:rPr>
        <w:t> </w:t>
      </w:r>
      <w:r>
        <w:rPr>
          <w:color w:val="231F1F"/>
          <w:spacing w:val="-2"/>
          <w:w w:val="110"/>
          <w:sz w:val="20"/>
        </w:rPr>
        <w:t>guía.</w:t>
      </w:r>
    </w:p>
    <w:p>
      <w:pPr>
        <w:pStyle w:val="BodyText"/>
        <w:spacing w:before="84"/>
        <w:rPr>
          <w:sz w:val="20"/>
        </w:rPr>
      </w:pPr>
    </w:p>
    <w:p>
      <w:pPr>
        <w:spacing w:before="0"/>
        <w:ind w:left="0" w:right="125" w:firstLine="0"/>
        <w:jc w:val="right"/>
        <w:rPr>
          <w:b/>
          <w:i/>
          <w:sz w:val="20"/>
        </w:rPr>
      </w:pPr>
      <w:r>
        <w:rPr>
          <w:b/>
          <w:i/>
          <w:color w:val="231F1F"/>
          <w:w w:val="105"/>
          <w:sz w:val="20"/>
        </w:rPr>
        <w:t>Sociedades</w:t>
      </w:r>
      <w:r>
        <w:rPr>
          <w:b/>
          <w:i/>
          <w:color w:val="231F1F"/>
          <w:spacing w:val="-9"/>
          <w:w w:val="105"/>
          <w:sz w:val="20"/>
        </w:rPr>
        <w:t> </w:t>
      </w:r>
      <w:r>
        <w:rPr>
          <w:b/>
          <w:i/>
          <w:color w:val="231F1F"/>
          <w:spacing w:val="-2"/>
          <w:w w:val="105"/>
          <w:sz w:val="20"/>
        </w:rPr>
        <w:t>colaboradoras</w:t>
      </w:r>
    </w:p>
    <w:p>
      <w:pPr>
        <w:spacing w:line="376" w:lineRule="auto" w:before="15"/>
        <w:ind w:left="3341" w:right="119" w:firstLine="172"/>
        <w:jc w:val="right"/>
        <w:rPr>
          <w:sz w:val="20"/>
        </w:rPr>
      </w:pPr>
      <w:r>
        <w:rPr>
          <w:color w:val="231F1F"/>
          <w:w w:val="110"/>
          <w:sz w:val="20"/>
        </w:rPr>
        <w:t>Federación</w:t>
      </w:r>
      <w:r>
        <w:rPr>
          <w:color w:val="231F1F"/>
          <w:spacing w:val="-17"/>
          <w:w w:val="110"/>
          <w:sz w:val="20"/>
        </w:rPr>
        <w:t> </w:t>
      </w:r>
      <w:r>
        <w:rPr>
          <w:color w:val="231F1F"/>
          <w:w w:val="110"/>
          <w:sz w:val="20"/>
        </w:rPr>
        <w:t>de</w:t>
      </w:r>
      <w:r>
        <w:rPr>
          <w:color w:val="231F1F"/>
          <w:spacing w:val="-14"/>
          <w:w w:val="110"/>
          <w:sz w:val="20"/>
        </w:rPr>
        <w:t> </w:t>
      </w:r>
      <w:r>
        <w:rPr>
          <w:color w:val="231F1F"/>
          <w:w w:val="110"/>
          <w:sz w:val="20"/>
        </w:rPr>
        <w:t>Asociaciones</w:t>
      </w:r>
      <w:r>
        <w:rPr>
          <w:color w:val="231F1F"/>
          <w:spacing w:val="-15"/>
          <w:w w:val="110"/>
          <w:sz w:val="20"/>
        </w:rPr>
        <w:t> </w:t>
      </w:r>
      <w:r>
        <w:rPr>
          <w:color w:val="231F1F"/>
          <w:w w:val="110"/>
          <w:sz w:val="20"/>
        </w:rPr>
        <w:t>de</w:t>
      </w:r>
      <w:r>
        <w:rPr>
          <w:color w:val="231F1F"/>
          <w:spacing w:val="-14"/>
          <w:w w:val="110"/>
          <w:sz w:val="20"/>
        </w:rPr>
        <w:t> </w:t>
      </w:r>
      <w:r>
        <w:rPr>
          <w:color w:val="231F1F"/>
          <w:w w:val="110"/>
          <w:sz w:val="20"/>
        </w:rPr>
        <w:t>Matronas</w:t>
      </w:r>
      <w:r>
        <w:rPr>
          <w:color w:val="231F1F"/>
          <w:spacing w:val="-15"/>
          <w:w w:val="110"/>
          <w:sz w:val="20"/>
        </w:rPr>
        <w:t> </w:t>
      </w:r>
      <w:r>
        <w:rPr>
          <w:color w:val="231F1F"/>
          <w:w w:val="110"/>
          <w:sz w:val="20"/>
        </w:rPr>
        <w:t>de</w:t>
      </w:r>
      <w:r>
        <w:rPr>
          <w:color w:val="231F1F"/>
          <w:spacing w:val="-14"/>
          <w:w w:val="110"/>
          <w:sz w:val="20"/>
        </w:rPr>
        <w:t> </w:t>
      </w:r>
      <w:r>
        <w:rPr>
          <w:color w:val="231F1F"/>
          <w:w w:val="110"/>
          <w:sz w:val="20"/>
        </w:rPr>
        <w:t>España</w:t>
      </w:r>
      <w:r>
        <w:rPr>
          <w:color w:val="231F1F"/>
          <w:spacing w:val="-15"/>
          <w:w w:val="110"/>
          <w:sz w:val="20"/>
        </w:rPr>
        <w:t> </w:t>
      </w:r>
      <w:r>
        <w:rPr>
          <w:color w:val="231F1F"/>
          <w:w w:val="110"/>
          <w:sz w:val="20"/>
        </w:rPr>
        <w:t>(FAME) Sociedad Española de Ginecología y Obstetricia (SEGO) Sección de la SEGO de Medicina Perinatal (SEMPE) </w:t>
      </w:r>
      <w:r>
        <w:rPr>
          <w:color w:val="231F1F"/>
          <w:spacing w:val="-2"/>
          <w:w w:val="110"/>
          <w:sz w:val="20"/>
        </w:rPr>
        <w:t>Asociación</w:t>
      </w:r>
      <w:r>
        <w:rPr>
          <w:color w:val="231F1F"/>
          <w:spacing w:val="-8"/>
          <w:w w:val="110"/>
          <w:sz w:val="20"/>
        </w:rPr>
        <w:t> </w:t>
      </w:r>
      <w:r>
        <w:rPr>
          <w:color w:val="231F1F"/>
          <w:spacing w:val="-2"/>
          <w:w w:val="110"/>
          <w:sz w:val="20"/>
        </w:rPr>
        <w:t>Española</w:t>
      </w:r>
      <w:r>
        <w:rPr>
          <w:color w:val="231F1F"/>
          <w:spacing w:val="-6"/>
          <w:w w:val="110"/>
          <w:sz w:val="20"/>
        </w:rPr>
        <w:t> </w:t>
      </w:r>
      <w:r>
        <w:rPr>
          <w:color w:val="231F1F"/>
          <w:spacing w:val="-2"/>
          <w:w w:val="110"/>
          <w:sz w:val="20"/>
        </w:rPr>
        <w:t>de</w:t>
      </w:r>
      <w:r>
        <w:rPr>
          <w:color w:val="231F1F"/>
          <w:spacing w:val="-6"/>
          <w:w w:val="110"/>
          <w:sz w:val="20"/>
        </w:rPr>
        <w:t> </w:t>
      </w:r>
      <w:r>
        <w:rPr>
          <w:color w:val="231F1F"/>
          <w:spacing w:val="-2"/>
          <w:w w:val="110"/>
          <w:sz w:val="20"/>
        </w:rPr>
        <w:t>Pediatría</w:t>
      </w:r>
      <w:r>
        <w:rPr>
          <w:color w:val="231F1F"/>
          <w:spacing w:val="-7"/>
          <w:w w:val="110"/>
          <w:sz w:val="20"/>
        </w:rPr>
        <w:t> </w:t>
      </w:r>
      <w:r>
        <w:rPr>
          <w:color w:val="231F1F"/>
          <w:spacing w:val="-2"/>
          <w:w w:val="110"/>
          <w:sz w:val="20"/>
        </w:rPr>
        <w:t>(AEP)</w:t>
      </w:r>
      <w:r>
        <w:rPr>
          <w:color w:val="231F1F"/>
          <w:spacing w:val="-6"/>
          <w:w w:val="110"/>
          <w:sz w:val="20"/>
        </w:rPr>
        <w:t> </w:t>
      </w:r>
      <w:r>
        <w:rPr>
          <w:color w:val="231F1F"/>
          <w:spacing w:val="-2"/>
          <w:w w:val="110"/>
          <w:sz w:val="20"/>
        </w:rPr>
        <w:t>-</w:t>
      </w:r>
      <w:r>
        <w:rPr>
          <w:color w:val="231F1F"/>
          <w:spacing w:val="-6"/>
          <w:w w:val="110"/>
          <w:sz w:val="20"/>
        </w:rPr>
        <w:t> </w:t>
      </w:r>
      <w:r>
        <w:rPr>
          <w:color w:val="231F1F"/>
          <w:spacing w:val="-2"/>
          <w:w w:val="110"/>
          <w:sz w:val="20"/>
        </w:rPr>
        <w:t>Comité</w:t>
      </w:r>
      <w:r>
        <w:rPr>
          <w:color w:val="231F1F"/>
          <w:spacing w:val="-6"/>
          <w:w w:val="110"/>
          <w:sz w:val="20"/>
        </w:rPr>
        <w:t> </w:t>
      </w:r>
      <w:r>
        <w:rPr>
          <w:color w:val="231F1F"/>
          <w:spacing w:val="-2"/>
          <w:w w:val="110"/>
          <w:sz w:val="20"/>
        </w:rPr>
        <w:t>de</w:t>
      </w:r>
      <w:r>
        <w:rPr>
          <w:color w:val="231F1F"/>
          <w:spacing w:val="-6"/>
          <w:w w:val="110"/>
          <w:sz w:val="20"/>
        </w:rPr>
        <w:t> </w:t>
      </w:r>
      <w:r>
        <w:rPr>
          <w:color w:val="231F1F"/>
          <w:spacing w:val="-2"/>
          <w:w w:val="110"/>
          <w:sz w:val="20"/>
        </w:rPr>
        <w:t>Lactancia</w:t>
      </w:r>
    </w:p>
    <w:p>
      <w:pPr>
        <w:spacing w:line="376" w:lineRule="auto" w:before="0"/>
        <w:ind w:left="6122" w:right="119" w:hanging="1017"/>
        <w:jc w:val="right"/>
        <w:rPr>
          <w:sz w:val="20"/>
        </w:rPr>
      </w:pPr>
      <w:r>
        <w:rPr>
          <w:color w:val="231F1F"/>
          <w:spacing w:val="-2"/>
          <w:w w:val="110"/>
          <w:sz w:val="20"/>
        </w:rPr>
        <w:t>Sociedad</w:t>
      </w:r>
      <w:r>
        <w:rPr>
          <w:color w:val="231F1F"/>
          <w:spacing w:val="-12"/>
          <w:w w:val="110"/>
          <w:sz w:val="20"/>
        </w:rPr>
        <w:t> </w:t>
      </w:r>
      <w:r>
        <w:rPr>
          <w:color w:val="231F1F"/>
          <w:spacing w:val="-2"/>
          <w:w w:val="110"/>
          <w:sz w:val="20"/>
        </w:rPr>
        <w:t>Española</w:t>
      </w:r>
      <w:r>
        <w:rPr>
          <w:color w:val="231F1F"/>
          <w:spacing w:val="-12"/>
          <w:w w:val="110"/>
          <w:sz w:val="20"/>
        </w:rPr>
        <w:t> </w:t>
      </w:r>
      <w:r>
        <w:rPr>
          <w:color w:val="231F1F"/>
          <w:spacing w:val="-2"/>
          <w:w w:val="110"/>
          <w:sz w:val="20"/>
        </w:rPr>
        <w:t>de</w:t>
      </w:r>
      <w:r>
        <w:rPr>
          <w:color w:val="231F1F"/>
          <w:spacing w:val="-12"/>
          <w:w w:val="110"/>
          <w:sz w:val="20"/>
        </w:rPr>
        <w:t> </w:t>
      </w:r>
      <w:r>
        <w:rPr>
          <w:color w:val="231F1F"/>
          <w:spacing w:val="-2"/>
          <w:w w:val="110"/>
          <w:sz w:val="20"/>
        </w:rPr>
        <w:t>Neonatología</w:t>
      </w:r>
      <w:r>
        <w:rPr>
          <w:color w:val="231F1F"/>
          <w:spacing w:val="-11"/>
          <w:w w:val="110"/>
          <w:sz w:val="20"/>
        </w:rPr>
        <w:t> </w:t>
      </w:r>
      <w:r>
        <w:rPr>
          <w:color w:val="231F1F"/>
          <w:spacing w:val="-2"/>
          <w:w w:val="110"/>
          <w:sz w:val="20"/>
        </w:rPr>
        <w:t>(SEN) Asociación</w:t>
      </w:r>
      <w:r>
        <w:rPr>
          <w:color w:val="231F1F"/>
          <w:spacing w:val="-11"/>
          <w:w w:val="110"/>
          <w:sz w:val="20"/>
        </w:rPr>
        <w:t> </w:t>
      </w:r>
      <w:r>
        <w:rPr>
          <w:color w:val="231F1F"/>
          <w:spacing w:val="-2"/>
          <w:w w:val="110"/>
          <w:sz w:val="20"/>
        </w:rPr>
        <w:t>El</w:t>
      </w:r>
      <w:r>
        <w:rPr>
          <w:color w:val="231F1F"/>
          <w:spacing w:val="-9"/>
          <w:w w:val="110"/>
          <w:sz w:val="20"/>
        </w:rPr>
        <w:t> </w:t>
      </w:r>
      <w:r>
        <w:rPr>
          <w:color w:val="231F1F"/>
          <w:spacing w:val="-2"/>
          <w:w w:val="110"/>
          <w:sz w:val="20"/>
        </w:rPr>
        <w:t>Parto</w:t>
      </w:r>
      <w:r>
        <w:rPr>
          <w:color w:val="231F1F"/>
          <w:spacing w:val="-10"/>
          <w:w w:val="110"/>
          <w:sz w:val="20"/>
        </w:rPr>
        <w:t> </w:t>
      </w:r>
      <w:r>
        <w:rPr>
          <w:color w:val="231F1F"/>
          <w:spacing w:val="-2"/>
          <w:w w:val="110"/>
          <w:sz w:val="20"/>
        </w:rPr>
        <w:t>es</w:t>
      </w:r>
      <w:r>
        <w:rPr>
          <w:color w:val="231F1F"/>
          <w:spacing w:val="-8"/>
          <w:w w:val="110"/>
          <w:sz w:val="20"/>
        </w:rPr>
        <w:t> </w:t>
      </w:r>
      <w:r>
        <w:rPr>
          <w:color w:val="231F1F"/>
          <w:spacing w:val="-2"/>
          <w:w w:val="110"/>
          <w:sz w:val="20"/>
        </w:rPr>
        <w:t>Nuestro</w:t>
      </w:r>
    </w:p>
    <w:p>
      <w:pPr>
        <w:spacing w:before="3"/>
        <w:ind w:left="281" w:right="0" w:firstLine="0"/>
        <w:jc w:val="both"/>
        <w:rPr>
          <w:sz w:val="20"/>
        </w:rPr>
      </w:pPr>
      <w:r>
        <w:rPr>
          <w:color w:val="231F1F"/>
          <w:spacing w:val="-2"/>
          <w:w w:val="110"/>
          <w:sz w:val="20"/>
        </w:rPr>
        <w:t>Miembros</w:t>
      </w:r>
      <w:r>
        <w:rPr>
          <w:color w:val="231F1F"/>
          <w:spacing w:val="-12"/>
          <w:w w:val="110"/>
          <w:sz w:val="20"/>
        </w:rPr>
        <w:t> </w:t>
      </w:r>
      <w:r>
        <w:rPr>
          <w:color w:val="231F1F"/>
          <w:spacing w:val="-2"/>
          <w:w w:val="110"/>
          <w:sz w:val="20"/>
        </w:rPr>
        <w:t>de</w:t>
      </w:r>
      <w:r>
        <w:rPr>
          <w:color w:val="231F1F"/>
          <w:spacing w:val="-12"/>
          <w:w w:val="110"/>
          <w:sz w:val="20"/>
        </w:rPr>
        <w:t> </w:t>
      </w:r>
      <w:r>
        <w:rPr>
          <w:color w:val="231F1F"/>
          <w:spacing w:val="-2"/>
          <w:w w:val="110"/>
          <w:sz w:val="20"/>
        </w:rPr>
        <w:t>estas</w:t>
      </w:r>
      <w:r>
        <w:rPr>
          <w:color w:val="231F1F"/>
          <w:spacing w:val="-11"/>
          <w:w w:val="110"/>
          <w:sz w:val="20"/>
        </w:rPr>
        <w:t> </w:t>
      </w:r>
      <w:r>
        <w:rPr>
          <w:color w:val="231F1F"/>
          <w:spacing w:val="-2"/>
          <w:w w:val="110"/>
          <w:sz w:val="20"/>
        </w:rPr>
        <w:t>sociedades</w:t>
      </w:r>
      <w:r>
        <w:rPr>
          <w:color w:val="231F1F"/>
          <w:spacing w:val="-11"/>
          <w:w w:val="110"/>
          <w:sz w:val="20"/>
        </w:rPr>
        <w:t> </w:t>
      </w:r>
      <w:r>
        <w:rPr>
          <w:color w:val="231F1F"/>
          <w:spacing w:val="-2"/>
          <w:w w:val="110"/>
          <w:sz w:val="20"/>
        </w:rPr>
        <w:t>han</w:t>
      </w:r>
      <w:r>
        <w:rPr>
          <w:color w:val="231F1F"/>
          <w:spacing w:val="-9"/>
          <w:w w:val="110"/>
          <w:sz w:val="20"/>
        </w:rPr>
        <w:t> </w:t>
      </w:r>
      <w:r>
        <w:rPr>
          <w:color w:val="231F1F"/>
          <w:spacing w:val="-2"/>
          <w:w w:val="110"/>
          <w:sz w:val="20"/>
        </w:rPr>
        <w:t>participado</w:t>
      </w:r>
      <w:r>
        <w:rPr>
          <w:color w:val="231F1F"/>
          <w:spacing w:val="-12"/>
          <w:w w:val="110"/>
          <w:sz w:val="20"/>
        </w:rPr>
        <w:t> </w:t>
      </w:r>
      <w:r>
        <w:rPr>
          <w:color w:val="231F1F"/>
          <w:spacing w:val="-2"/>
          <w:w w:val="110"/>
          <w:sz w:val="20"/>
        </w:rPr>
        <w:t>en</w:t>
      </w:r>
      <w:r>
        <w:rPr>
          <w:color w:val="231F1F"/>
          <w:spacing w:val="-11"/>
          <w:w w:val="110"/>
          <w:sz w:val="20"/>
        </w:rPr>
        <w:t> </w:t>
      </w:r>
      <w:r>
        <w:rPr>
          <w:color w:val="231F1F"/>
          <w:spacing w:val="-2"/>
          <w:w w:val="110"/>
          <w:sz w:val="20"/>
        </w:rPr>
        <w:t>la</w:t>
      </w:r>
      <w:r>
        <w:rPr>
          <w:color w:val="231F1F"/>
          <w:spacing w:val="-9"/>
          <w:w w:val="110"/>
          <w:sz w:val="20"/>
        </w:rPr>
        <w:t> </w:t>
      </w:r>
      <w:r>
        <w:rPr>
          <w:color w:val="231F1F"/>
          <w:spacing w:val="-2"/>
          <w:w w:val="110"/>
          <w:sz w:val="20"/>
        </w:rPr>
        <w:t>autoría</w:t>
      </w:r>
      <w:r>
        <w:rPr>
          <w:color w:val="231F1F"/>
          <w:spacing w:val="-11"/>
          <w:w w:val="110"/>
          <w:sz w:val="20"/>
        </w:rPr>
        <w:t> </w:t>
      </w:r>
      <w:r>
        <w:rPr>
          <w:color w:val="231F1F"/>
          <w:spacing w:val="-2"/>
          <w:w w:val="110"/>
          <w:sz w:val="20"/>
        </w:rPr>
        <w:t>y</w:t>
      </w:r>
      <w:r>
        <w:rPr>
          <w:color w:val="231F1F"/>
          <w:spacing w:val="-9"/>
          <w:w w:val="110"/>
          <w:sz w:val="20"/>
        </w:rPr>
        <w:t> </w:t>
      </w:r>
      <w:r>
        <w:rPr>
          <w:color w:val="231F1F"/>
          <w:spacing w:val="-2"/>
          <w:w w:val="110"/>
          <w:sz w:val="20"/>
        </w:rPr>
        <w:t>revisión</w:t>
      </w:r>
      <w:r>
        <w:rPr>
          <w:color w:val="231F1F"/>
          <w:spacing w:val="-11"/>
          <w:w w:val="110"/>
          <w:sz w:val="20"/>
        </w:rPr>
        <w:t> </w:t>
      </w:r>
      <w:r>
        <w:rPr>
          <w:color w:val="231F1F"/>
          <w:spacing w:val="-2"/>
          <w:w w:val="110"/>
          <w:sz w:val="20"/>
        </w:rPr>
        <w:t>externa</w:t>
      </w:r>
      <w:r>
        <w:rPr>
          <w:color w:val="231F1F"/>
          <w:spacing w:val="-11"/>
          <w:w w:val="110"/>
          <w:sz w:val="20"/>
        </w:rPr>
        <w:t> </w:t>
      </w:r>
      <w:r>
        <w:rPr>
          <w:color w:val="231F1F"/>
          <w:spacing w:val="-2"/>
          <w:w w:val="110"/>
          <w:sz w:val="20"/>
        </w:rPr>
        <w:t>de</w:t>
      </w:r>
      <w:r>
        <w:rPr>
          <w:color w:val="231F1F"/>
          <w:spacing w:val="-11"/>
          <w:w w:val="110"/>
          <w:sz w:val="20"/>
        </w:rPr>
        <w:t> </w:t>
      </w:r>
      <w:r>
        <w:rPr>
          <w:color w:val="231F1F"/>
          <w:spacing w:val="-2"/>
          <w:w w:val="110"/>
          <w:sz w:val="20"/>
        </w:rPr>
        <w:t>la</w:t>
      </w:r>
      <w:r>
        <w:rPr>
          <w:color w:val="231F1F"/>
          <w:spacing w:val="-10"/>
          <w:w w:val="110"/>
          <w:sz w:val="20"/>
        </w:rPr>
        <w:t> </w:t>
      </w:r>
      <w:r>
        <w:rPr>
          <w:color w:val="231F1F"/>
          <w:spacing w:val="-5"/>
          <w:w w:val="110"/>
          <w:sz w:val="20"/>
        </w:rPr>
        <w:t>GPC</w:t>
      </w:r>
    </w:p>
    <w:p>
      <w:pPr>
        <w:pStyle w:val="BodyText"/>
        <w:spacing w:before="125"/>
        <w:rPr>
          <w:sz w:val="20"/>
        </w:rPr>
      </w:pPr>
    </w:p>
    <w:p>
      <w:pPr>
        <w:spacing w:line="249" w:lineRule="auto" w:before="0"/>
        <w:ind w:left="281" w:right="122" w:firstLine="6359"/>
        <w:jc w:val="both"/>
        <w:rPr>
          <w:sz w:val="20"/>
        </w:rPr>
      </w:pPr>
      <w:r>
        <w:rPr>
          <w:b/>
          <w:i/>
          <w:color w:val="231F1F"/>
          <w:sz w:val="20"/>
        </w:rPr>
        <w:t>Declaración de intereses </w:t>
      </w:r>
      <w:r>
        <w:rPr>
          <w:color w:val="231F1F"/>
          <w:w w:val="110"/>
          <w:sz w:val="20"/>
        </w:rPr>
        <w:t>La entidad financiadora</w:t>
      </w:r>
      <w:r>
        <w:rPr>
          <w:color w:val="231F1F"/>
          <w:spacing w:val="30"/>
          <w:w w:val="110"/>
          <w:sz w:val="20"/>
        </w:rPr>
        <w:t> </w:t>
      </w:r>
      <w:r>
        <w:rPr>
          <w:color w:val="231F1F"/>
          <w:w w:val="110"/>
          <w:sz w:val="20"/>
        </w:rPr>
        <w:t>no ha influido en el contenido</w:t>
      </w:r>
      <w:r>
        <w:rPr>
          <w:color w:val="231F1F"/>
          <w:spacing w:val="-1"/>
          <w:w w:val="110"/>
          <w:sz w:val="20"/>
        </w:rPr>
        <w:t> </w:t>
      </w:r>
      <w:r>
        <w:rPr>
          <w:color w:val="231F1F"/>
          <w:w w:val="110"/>
          <w:sz w:val="20"/>
        </w:rPr>
        <w:t>y dirección de las recomendaciones de la </w:t>
      </w:r>
      <w:r>
        <w:rPr>
          <w:color w:val="231F1F"/>
          <w:spacing w:val="-2"/>
          <w:w w:val="110"/>
          <w:sz w:val="20"/>
        </w:rPr>
        <w:t>guía.</w:t>
      </w:r>
    </w:p>
    <w:p>
      <w:pPr>
        <w:spacing w:line="266" w:lineRule="auto" w:before="17"/>
        <w:ind w:left="281" w:right="124" w:firstLine="0"/>
        <w:jc w:val="both"/>
        <w:rPr>
          <w:sz w:val="20"/>
        </w:rPr>
      </w:pPr>
      <w:r>
        <w:rPr>
          <w:color w:val="231F1F"/>
          <w:sz w:val="20"/>
        </w:rPr>
        <w:t>A</w:t>
      </w:r>
      <w:r>
        <w:rPr>
          <w:color w:val="231F1F"/>
          <w:spacing w:val="31"/>
          <w:sz w:val="20"/>
        </w:rPr>
        <w:t> </w:t>
      </w:r>
      <w:r>
        <w:rPr>
          <w:color w:val="231F1F"/>
          <w:sz w:val="20"/>
        </w:rPr>
        <w:t>todos</w:t>
      </w:r>
      <w:r>
        <w:rPr>
          <w:color w:val="231F1F"/>
          <w:spacing w:val="32"/>
          <w:sz w:val="20"/>
        </w:rPr>
        <w:t> </w:t>
      </w:r>
      <w:r>
        <w:rPr>
          <w:color w:val="231F1F"/>
          <w:sz w:val="20"/>
        </w:rPr>
        <w:t>los</w:t>
      </w:r>
      <w:r>
        <w:rPr>
          <w:color w:val="231F1F"/>
          <w:spacing w:val="31"/>
          <w:sz w:val="20"/>
        </w:rPr>
        <w:t> </w:t>
      </w:r>
      <w:r>
        <w:rPr>
          <w:color w:val="231F1F"/>
          <w:sz w:val="20"/>
        </w:rPr>
        <w:t>miembros</w:t>
      </w:r>
      <w:r>
        <w:rPr>
          <w:color w:val="231F1F"/>
          <w:spacing w:val="32"/>
          <w:sz w:val="20"/>
        </w:rPr>
        <w:t> </w:t>
      </w:r>
      <w:r>
        <w:rPr>
          <w:color w:val="231F1F"/>
          <w:sz w:val="20"/>
        </w:rPr>
        <w:t>del</w:t>
      </w:r>
      <w:r>
        <w:rPr>
          <w:color w:val="231F1F"/>
          <w:spacing w:val="31"/>
          <w:sz w:val="20"/>
        </w:rPr>
        <w:t> </w:t>
      </w:r>
      <w:r>
        <w:rPr>
          <w:color w:val="231F1F"/>
          <w:sz w:val="20"/>
        </w:rPr>
        <w:t>grupo</w:t>
      </w:r>
      <w:r>
        <w:rPr>
          <w:color w:val="231F1F"/>
          <w:spacing w:val="32"/>
          <w:sz w:val="20"/>
        </w:rPr>
        <w:t> </w:t>
      </w:r>
      <w:r>
        <w:rPr>
          <w:color w:val="231F1F"/>
          <w:sz w:val="20"/>
        </w:rPr>
        <w:t>de</w:t>
      </w:r>
      <w:r>
        <w:rPr>
          <w:color w:val="231F1F"/>
          <w:spacing w:val="31"/>
          <w:sz w:val="20"/>
        </w:rPr>
        <w:t> </w:t>
      </w:r>
      <w:r>
        <w:rPr>
          <w:color w:val="231F1F"/>
          <w:sz w:val="20"/>
        </w:rPr>
        <w:t>trabajo</w:t>
      </w:r>
      <w:r>
        <w:rPr>
          <w:color w:val="231F1F"/>
          <w:spacing w:val="31"/>
          <w:sz w:val="20"/>
        </w:rPr>
        <w:t> </w:t>
      </w:r>
      <w:r>
        <w:rPr>
          <w:color w:val="231F1F"/>
          <w:sz w:val="20"/>
        </w:rPr>
        <w:t>se</w:t>
      </w:r>
      <w:r>
        <w:rPr>
          <w:color w:val="231F1F"/>
          <w:spacing w:val="32"/>
          <w:sz w:val="20"/>
        </w:rPr>
        <w:t> </w:t>
      </w:r>
      <w:r>
        <w:rPr>
          <w:color w:val="231F1F"/>
          <w:sz w:val="20"/>
        </w:rPr>
        <w:t>les</w:t>
      </w:r>
      <w:r>
        <w:rPr>
          <w:color w:val="231F1F"/>
          <w:spacing w:val="31"/>
          <w:sz w:val="20"/>
        </w:rPr>
        <w:t> </w:t>
      </w:r>
      <w:r>
        <w:rPr>
          <w:color w:val="231F1F"/>
          <w:sz w:val="20"/>
        </w:rPr>
        <w:t>ha</w:t>
      </w:r>
      <w:r>
        <w:rPr>
          <w:color w:val="231F1F"/>
          <w:spacing w:val="32"/>
          <w:sz w:val="20"/>
        </w:rPr>
        <w:t> </w:t>
      </w:r>
      <w:r>
        <w:rPr>
          <w:color w:val="231F1F"/>
          <w:sz w:val="20"/>
        </w:rPr>
        <w:t>solicitado</w:t>
      </w:r>
      <w:r>
        <w:rPr>
          <w:color w:val="231F1F"/>
          <w:spacing w:val="31"/>
          <w:sz w:val="20"/>
        </w:rPr>
        <w:t> </w:t>
      </w:r>
      <w:r>
        <w:rPr>
          <w:color w:val="231F1F"/>
          <w:sz w:val="20"/>
        </w:rPr>
        <w:t>una</w:t>
      </w:r>
      <w:r>
        <w:rPr>
          <w:color w:val="231F1F"/>
          <w:spacing w:val="31"/>
          <w:sz w:val="20"/>
        </w:rPr>
        <w:t> </w:t>
      </w:r>
      <w:r>
        <w:rPr>
          <w:color w:val="231F1F"/>
          <w:sz w:val="20"/>
        </w:rPr>
        <w:t>declaración</w:t>
      </w:r>
      <w:r>
        <w:rPr>
          <w:color w:val="231F1F"/>
          <w:spacing w:val="32"/>
          <w:sz w:val="20"/>
        </w:rPr>
        <w:t> </w:t>
      </w:r>
      <w:r>
        <w:rPr>
          <w:color w:val="231F1F"/>
          <w:sz w:val="20"/>
        </w:rPr>
        <w:t>de</w:t>
      </w:r>
      <w:r>
        <w:rPr>
          <w:color w:val="231F1F"/>
          <w:spacing w:val="31"/>
          <w:sz w:val="20"/>
        </w:rPr>
        <w:t> </w:t>
      </w:r>
      <w:r>
        <w:rPr>
          <w:color w:val="231F1F"/>
          <w:sz w:val="20"/>
        </w:rPr>
        <w:t>intereses.</w:t>
      </w:r>
      <w:r>
        <w:rPr>
          <w:color w:val="231F1F"/>
          <w:spacing w:val="32"/>
          <w:sz w:val="20"/>
        </w:rPr>
        <w:t> </w:t>
      </w:r>
      <w:r>
        <w:rPr>
          <w:color w:val="231F1F"/>
          <w:sz w:val="20"/>
        </w:rPr>
        <w:t>(Anexo </w:t>
      </w:r>
      <w:r>
        <w:rPr>
          <w:color w:val="231F1F"/>
          <w:spacing w:val="-4"/>
          <w:sz w:val="20"/>
        </w:rPr>
        <w:t>14)</w:t>
      </w:r>
    </w:p>
    <w:p>
      <w:pPr>
        <w:spacing w:after="0" w:line="266" w:lineRule="auto"/>
        <w:jc w:val="both"/>
        <w:rPr>
          <w:sz w:val="20"/>
        </w:rPr>
        <w:sectPr>
          <w:pgSz w:w="11900" w:h="16840"/>
          <w:pgMar w:header="0" w:footer="622" w:top="1580" w:bottom="820" w:left="1417" w:right="1559"/>
        </w:sectPr>
      </w:pPr>
    </w:p>
    <w:p>
      <w:pPr>
        <w:pStyle w:val="BodyText"/>
        <w:spacing w:before="4"/>
        <w:rPr>
          <w:sz w:val="17"/>
        </w:rPr>
      </w:pPr>
    </w:p>
    <w:p>
      <w:pPr>
        <w:pStyle w:val="BodyText"/>
        <w:spacing w:after="0"/>
        <w:rPr>
          <w:sz w:val="17"/>
        </w:rPr>
        <w:sectPr>
          <w:footerReference w:type="even" r:id="rId28"/>
          <w:pgSz w:w="11900" w:h="16840"/>
          <w:pgMar w:header="0" w:footer="0" w:top="1940" w:bottom="280" w:left="1417" w:right="1559"/>
        </w:sectPr>
      </w:pPr>
    </w:p>
    <w:p>
      <w:pPr>
        <w:pStyle w:val="Heading1"/>
        <w:spacing w:before="64"/>
      </w:pPr>
      <w:bookmarkStart w:name="_TOC_250053" w:id="3"/>
      <w:r>
        <w:rPr>
          <w:color w:val="231F1F"/>
          <w:w w:val="110"/>
        </w:rPr>
        <w:t>Preguntas</w:t>
      </w:r>
      <w:r>
        <w:rPr>
          <w:color w:val="231F1F"/>
          <w:spacing w:val="-32"/>
          <w:w w:val="110"/>
        </w:rPr>
        <w:t> </w:t>
      </w:r>
      <w:r>
        <w:rPr>
          <w:color w:val="231F1F"/>
          <w:w w:val="110"/>
        </w:rPr>
        <w:t>para</w:t>
      </w:r>
      <w:r>
        <w:rPr>
          <w:color w:val="231F1F"/>
          <w:spacing w:val="-29"/>
          <w:w w:val="110"/>
        </w:rPr>
        <w:t> </w:t>
      </w:r>
      <w:bookmarkEnd w:id="3"/>
      <w:r>
        <w:rPr>
          <w:color w:val="231F1F"/>
          <w:spacing w:val="-2"/>
          <w:w w:val="110"/>
        </w:rPr>
        <w:t>responder</w:t>
      </w:r>
    </w:p>
    <w:p>
      <w:pPr>
        <w:pStyle w:val="Heading3"/>
        <w:numPr>
          <w:ilvl w:val="0"/>
          <w:numId w:val="2"/>
        </w:numPr>
        <w:tabs>
          <w:tab w:pos="644" w:val="left" w:leader="none"/>
        </w:tabs>
        <w:spacing w:line="240" w:lineRule="auto" w:before="534" w:after="0"/>
        <w:ind w:left="644" w:right="0" w:hanging="363"/>
        <w:jc w:val="left"/>
      </w:pPr>
      <w:r>
        <w:rPr>
          <w:color w:val="231F1F"/>
        </w:rPr>
        <w:t>Cuidados</w:t>
      </w:r>
      <w:r>
        <w:rPr>
          <w:color w:val="231F1F"/>
          <w:spacing w:val="65"/>
        </w:rPr>
        <w:t> </w:t>
      </w:r>
      <w:r>
        <w:rPr>
          <w:color w:val="231F1F"/>
        </w:rPr>
        <w:t>durante</w:t>
      </w:r>
      <w:r>
        <w:rPr>
          <w:color w:val="231F1F"/>
          <w:spacing w:val="66"/>
        </w:rPr>
        <w:t> </w:t>
      </w:r>
      <w:r>
        <w:rPr>
          <w:color w:val="231F1F"/>
        </w:rPr>
        <w:t>el</w:t>
      </w:r>
      <w:r>
        <w:rPr>
          <w:color w:val="231F1F"/>
          <w:spacing w:val="66"/>
        </w:rPr>
        <w:t> </w:t>
      </w:r>
      <w:r>
        <w:rPr>
          <w:color w:val="231F1F"/>
          <w:spacing w:val="-2"/>
        </w:rPr>
        <w:t>parto</w:t>
      </w:r>
    </w:p>
    <w:p>
      <w:pPr>
        <w:pStyle w:val="Heading4"/>
        <w:spacing w:before="187"/>
      </w:pPr>
      <w:r>
        <w:rPr>
          <w:color w:val="231F1F"/>
        </w:rPr>
        <w:t>Cuidados</w:t>
      </w:r>
      <w:r>
        <w:rPr>
          <w:color w:val="231F1F"/>
          <w:spacing w:val="41"/>
        </w:rPr>
        <w:t> </w:t>
      </w:r>
      <w:r>
        <w:rPr>
          <w:color w:val="231F1F"/>
        </w:rPr>
        <w:t>de</w:t>
      </w:r>
      <w:r>
        <w:rPr>
          <w:color w:val="231F1F"/>
          <w:spacing w:val="41"/>
        </w:rPr>
        <w:t> </w:t>
      </w:r>
      <w:r>
        <w:rPr>
          <w:color w:val="231F1F"/>
        </w:rPr>
        <w:t>profesionales</w:t>
      </w:r>
      <w:r>
        <w:rPr>
          <w:color w:val="231F1F"/>
          <w:spacing w:val="41"/>
        </w:rPr>
        <w:t> </w:t>
      </w:r>
      <w:r>
        <w:rPr>
          <w:color w:val="231F1F"/>
        </w:rPr>
        <w:t>y</w:t>
      </w:r>
      <w:r>
        <w:rPr>
          <w:color w:val="231F1F"/>
          <w:spacing w:val="41"/>
        </w:rPr>
        <w:t> </w:t>
      </w:r>
      <w:r>
        <w:rPr>
          <w:color w:val="231F1F"/>
          <w:spacing w:val="-2"/>
        </w:rPr>
        <w:t>acompañantes</w:t>
      </w:r>
    </w:p>
    <w:p>
      <w:pPr>
        <w:pStyle w:val="ListParagraph"/>
        <w:numPr>
          <w:ilvl w:val="1"/>
          <w:numId w:val="2"/>
        </w:numPr>
        <w:tabs>
          <w:tab w:pos="665" w:val="left" w:leader="none"/>
          <w:tab w:pos="668" w:val="left" w:leader="none"/>
        </w:tabs>
        <w:spacing w:line="268" w:lineRule="auto" w:before="228" w:after="0"/>
        <w:ind w:left="668" w:right="185" w:hanging="275"/>
        <w:jc w:val="left"/>
        <w:rPr>
          <w:b/>
          <w:color w:val="231F1F"/>
          <w:sz w:val="22"/>
        </w:rPr>
      </w:pPr>
      <w:r>
        <w:rPr>
          <w:color w:val="231F1F"/>
          <w:w w:val="105"/>
          <w:sz w:val="22"/>
        </w:rPr>
        <w:t>¿Cómo</w:t>
      </w:r>
      <w:r>
        <w:rPr>
          <w:color w:val="231F1F"/>
          <w:w w:val="105"/>
          <w:sz w:val="22"/>
        </w:rPr>
        <w:t> influye</w:t>
      </w:r>
      <w:r>
        <w:rPr>
          <w:color w:val="231F1F"/>
          <w:w w:val="105"/>
          <w:sz w:val="22"/>
        </w:rPr>
        <w:t> la</w:t>
      </w:r>
      <w:r>
        <w:rPr>
          <w:color w:val="231F1F"/>
          <w:w w:val="105"/>
          <w:sz w:val="22"/>
        </w:rPr>
        <w:t> relación</w:t>
      </w:r>
      <w:r>
        <w:rPr>
          <w:color w:val="231F1F"/>
          <w:w w:val="105"/>
          <w:sz w:val="22"/>
        </w:rPr>
        <w:t> entre</w:t>
      </w:r>
      <w:r>
        <w:rPr>
          <w:color w:val="231F1F"/>
          <w:w w:val="105"/>
          <w:sz w:val="22"/>
        </w:rPr>
        <w:t> la</w:t>
      </w:r>
      <w:r>
        <w:rPr>
          <w:color w:val="231F1F"/>
          <w:w w:val="105"/>
          <w:sz w:val="22"/>
        </w:rPr>
        <w:t> mujer</w:t>
      </w:r>
      <w:r>
        <w:rPr>
          <w:color w:val="231F1F"/>
          <w:w w:val="105"/>
          <w:sz w:val="22"/>
        </w:rPr>
        <w:t> y</w:t>
      </w:r>
      <w:r>
        <w:rPr>
          <w:color w:val="231F1F"/>
          <w:w w:val="105"/>
          <w:sz w:val="22"/>
        </w:rPr>
        <w:t> los</w:t>
      </w:r>
      <w:r>
        <w:rPr>
          <w:color w:val="231F1F"/>
          <w:w w:val="105"/>
          <w:sz w:val="22"/>
        </w:rPr>
        <w:t> profesionales</w:t>
      </w:r>
      <w:r>
        <w:rPr>
          <w:color w:val="231F1F"/>
          <w:w w:val="105"/>
          <w:sz w:val="22"/>
        </w:rPr>
        <w:t> que</w:t>
      </w:r>
      <w:r>
        <w:rPr>
          <w:color w:val="231F1F"/>
          <w:w w:val="105"/>
          <w:sz w:val="22"/>
        </w:rPr>
        <w:t> la</w:t>
      </w:r>
      <w:r>
        <w:rPr>
          <w:color w:val="231F1F"/>
          <w:w w:val="105"/>
          <w:sz w:val="22"/>
        </w:rPr>
        <w:t> atienden</w:t>
      </w:r>
      <w:r>
        <w:rPr>
          <w:color w:val="231F1F"/>
          <w:w w:val="105"/>
          <w:sz w:val="22"/>
        </w:rPr>
        <w:t> en</w:t>
      </w:r>
      <w:r>
        <w:rPr>
          <w:color w:val="231F1F"/>
          <w:w w:val="105"/>
          <w:sz w:val="22"/>
        </w:rPr>
        <w:t> la</w:t>
      </w:r>
      <w:r>
        <w:rPr>
          <w:color w:val="231F1F"/>
          <w:w w:val="105"/>
          <w:sz w:val="22"/>
        </w:rPr>
        <w:t> evo- lución</w:t>
      </w:r>
      <w:r>
        <w:rPr>
          <w:color w:val="231F1F"/>
          <w:spacing w:val="37"/>
          <w:w w:val="105"/>
          <w:sz w:val="22"/>
        </w:rPr>
        <w:t> </w:t>
      </w:r>
      <w:r>
        <w:rPr>
          <w:color w:val="231F1F"/>
          <w:w w:val="105"/>
          <w:sz w:val="22"/>
        </w:rPr>
        <w:t>del</w:t>
      </w:r>
      <w:r>
        <w:rPr>
          <w:color w:val="231F1F"/>
          <w:spacing w:val="37"/>
          <w:w w:val="105"/>
          <w:sz w:val="22"/>
        </w:rPr>
        <w:t> </w:t>
      </w:r>
      <w:r>
        <w:rPr>
          <w:color w:val="231F1F"/>
          <w:w w:val="105"/>
          <w:sz w:val="22"/>
        </w:rPr>
        <w:t>parto</w:t>
      </w:r>
      <w:r>
        <w:rPr>
          <w:color w:val="231F1F"/>
          <w:spacing w:val="37"/>
          <w:w w:val="105"/>
          <w:sz w:val="22"/>
        </w:rPr>
        <w:t> </w:t>
      </w:r>
      <w:r>
        <w:rPr>
          <w:color w:val="231F1F"/>
          <w:w w:val="105"/>
          <w:sz w:val="22"/>
        </w:rPr>
        <w:t>y</w:t>
      </w:r>
      <w:r>
        <w:rPr>
          <w:color w:val="231F1F"/>
          <w:spacing w:val="37"/>
          <w:w w:val="105"/>
          <w:sz w:val="22"/>
        </w:rPr>
        <w:t> </w:t>
      </w:r>
      <w:r>
        <w:rPr>
          <w:color w:val="231F1F"/>
          <w:w w:val="105"/>
          <w:sz w:val="22"/>
        </w:rPr>
        <w:t>en</w:t>
      </w:r>
      <w:r>
        <w:rPr>
          <w:color w:val="231F1F"/>
          <w:spacing w:val="37"/>
          <w:w w:val="105"/>
          <w:sz w:val="22"/>
        </w:rPr>
        <w:t> </w:t>
      </w:r>
      <w:r>
        <w:rPr>
          <w:color w:val="231F1F"/>
          <w:w w:val="105"/>
          <w:sz w:val="22"/>
        </w:rPr>
        <w:t>su</w:t>
      </w:r>
      <w:r>
        <w:rPr>
          <w:color w:val="231F1F"/>
          <w:spacing w:val="37"/>
          <w:w w:val="105"/>
          <w:sz w:val="22"/>
        </w:rPr>
        <w:t> </w:t>
      </w:r>
      <w:r>
        <w:rPr>
          <w:color w:val="231F1F"/>
          <w:w w:val="105"/>
          <w:sz w:val="22"/>
        </w:rPr>
        <w:t>satisfacción</w:t>
      </w:r>
      <w:r>
        <w:rPr>
          <w:color w:val="231F1F"/>
          <w:spacing w:val="37"/>
          <w:w w:val="105"/>
          <w:sz w:val="22"/>
        </w:rPr>
        <w:t> </w:t>
      </w:r>
      <w:r>
        <w:rPr>
          <w:color w:val="231F1F"/>
          <w:w w:val="105"/>
          <w:sz w:val="22"/>
        </w:rPr>
        <w:t>con</w:t>
      </w:r>
      <w:r>
        <w:rPr>
          <w:color w:val="231F1F"/>
          <w:spacing w:val="37"/>
          <w:w w:val="105"/>
          <w:sz w:val="22"/>
        </w:rPr>
        <w:t> </w:t>
      </w:r>
      <w:r>
        <w:rPr>
          <w:color w:val="231F1F"/>
          <w:w w:val="105"/>
          <w:sz w:val="22"/>
        </w:rPr>
        <w:t>la</w:t>
      </w:r>
      <w:r>
        <w:rPr>
          <w:color w:val="231F1F"/>
          <w:spacing w:val="37"/>
          <w:w w:val="105"/>
          <w:sz w:val="22"/>
        </w:rPr>
        <w:t> </w:t>
      </w:r>
      <w:r>
        <w:rPr>
          <w:color w:val="231F1F"/>
          <w:w w:val="105"/>
          <w:sz w:val="22"/>
        </w:rPr>
        <w:t>experiencia</w:t>
      </w:r>
      <w:r>
        <w:rPr>
          <w:color w:val="231F1F"/>
          <w:spacing w:val="37"/>
          <w:w w:val="105"/>
          <w:sz w:val="22"/>
        </w:rPr>
        <w:t> </w:t>
      </w:r>
      <w:r>
        <w:rPr>
          <w:color w:val="231F1F"/>
          <w:w w:val="105"/>
          <w:sz w:val="22"/>
        </w:rPr>
        <w:t>del</w:t>
      </w:r>
      <w:r>
        <w:rPr>
          <w:color w:val="231F1F"/>
          <w:spacing w:val="37"/>
          <w:w w:val="105"/>
          <w:sz w:val="22"/>
        </w:rPr>
        <w:t> </w:t>
      </w:r>
      <w:r>
        <w:rPr>
          <w:color w:val="231F1F"/>
          <w:w w:val="105"/>
          <w:sz w:val="22"/>
        </w:rPr>
        <w:t>parto?</w:t>
      </w:r>
    </w:p>
    <w:p>
      <w:pPr>
        <w:pStyle w:val="ListParagraph"/>
        <w:numPr>
          <w:ilvl w:val="1"/>
          <w:numId w:val="2"/>
        </w:numPr>
        <w:tabs>
          <w:tab w:pos="665" w:val="left" w:leader="none"/>
        </w:tabs>
        <w:spacing w:line="240" w:lineRule="auto" w:before="130" w:after="0"/>
        <w:ind w:left="665" w:right="0" w:hanging="272"/>
        <w:jc w:val="left"/>
        <w:rPr>
          <w:b/>
          <w:color w:val="231F1F"/>
          <w:sz w:val="22"/>
        </w:rPr>
      </w:pPr>
      <w:r>
        <w:rPr>
          <w:color w:val="231F1F"/>
          <w:sz w:val="22"/>
        </w:rPr>
        <w:t>¿Cómo</w:t>
      </w:r>
      <w:r>
        <w:rPr>
          <w:color w:val="231F1F"/>
          <w:spacing w:val="25"/>
          <w:sz w:val="22"/>
        </w:rPr>
        <w:t> </w:t>
      </w:r>
      <w:r>
        <w:rPr>
          <w:color w:val="231F1F"/>
          <w:sz w:val="22"/>
        </w:rPr>
        <w:t>influye</w:t>
      </w:r>
      <w:r>
        <w:rPr>
          <w:color w:val="231F1F"/>
          <w:spacing w:val="27"/>
          <w:sz w:val="22"/>
        </w:rPr>
        <w:t> </w:t>
      </w:r>
      <w:r>
        <w:rPr>
          <w:color w:val="231F1F"/>
          <w:sz w:val="22"/>
        </w:rPr>
        <w:t>el</w:t>
      </w:r>
      <w:r>
        <w:rPr>
          <w:color w:val="231F1F"/>
          <w:spacing w:val="28"/>
          <w:sz w:val="22"/>
        </w:rPr>
        <w:t> </w:t>
      </w:r>
      <w:r>
        <w:rPr>
          <w:color w:val="231F1F"/>
          <w:sz w:val="22"/>
        </w:rPr>
        <w:t>perfil</w:t>
      </w:r>
      <w:r>
        <w:rPr>
          <w:color w:val="231F1F"/>
          <w:spacing w:val="27"/>
          <w:sz w:val="22"/>
        </w:rPr>
        <w:t> </w:t>
      </w:r>
      <w:r>
        <w:rPr>
          <w:color w:val="231F1F"/>
          <w:sz w:val="22"/>
        </w:rPr>
        <w:t>del</w:t>
      </w:r>
      <w:r>
        <w:rPr>
          <w:color w:val="231F1F"/>
          <w:spacing w:val="27"/>
          <w:sz w:val="22"/>
        </w:rPr>
        <w:t> </w:t>
      </w:r>
      <w:r>
        <w:rPr>
          <w:color w:val="231F1F"/>
          <w:sz w:val="22"/>
        </w:rPr>
        <w:t>profesional</w:t>
      </w:r>
      <w:r>
        <w:rPr>
          <w:color w:val="231F1F"/>
          <w:spacing w:val="26"/>
          <w:sz w:val="22"/>
        </w:rPr>
        <w:t> </w:t>
      </w:r>
      <w:r>
        <w:rPr>
          <w:color w:val="231F1F"/>
          <w:sz w:val="22"/>
        </w:rPr>
        <w:t>en</w:t>
      </w:r>
      <w:r>
        <w:rPr>
          <w:color w:val="231F1F"/>
          <w:spacing w:val="27"/>
          <w:sz w:val="22"/>
        </w:rPr>
        <w:t> </w:t>
      </w:r>
      <w:r>
        <w:rPr>
          <w:color w:val="231F1F"/>
          <w:sz w:val="22"/>
        </w:rPr>
        <w:t>los</w:t>
      </w:r>
      <w:r>
        <w:rPr>
          <w:color w:val="231F1F"/>
          <w:spacing w:val="28"/>
          <w:sz w:val="22"/>
        </w:rPr>
        <w:t> </w:t>
      </w:r>
      <w:r>
        <w:rPr>
          <w:color w:val="231F1F"/>
          <w:sz w:val="22"/>
        </w:rPr>
        <w:t>resultados</w:t>
      </w:r>
      <w:r>
        <w:rPr>
          <w:color w:val="231F1F"/>
          <w:spacing w:val="29"/>
          <w:sz w:val="22"/>
        </w:rPr>
        <w:t> </w:t>
      </w:r>
      <w:r>
        <w:rPr>
          <w:color w:val="231F1F"/>
          <w:sz w:val="22"/>
        </w:rPr>
        <w:t>del</w:t>
      </w:r>
      <w:r>
        <w:rPr>
          <w:color w:val="231F1F"/>
          <w:spacing w:val="27"/>
          <w:sz w:val="22"/>
        </w:rPr>
        <w:t> </w:t>
      </w:r>
      <w:r>
        <w:rPr>
          <w:color w:val="231F1F"/>
          <w:spacing w:val="-2"/>
          <w:sz w:val="22"/>
        </w:rPr>
        <w:t>parto?</w:t>
      </w:r>
    </w:p>
    <w:p>
      <w:pPr>
        <w:pStyle w:val="ListParagraph"/>
        <w:numPr>
          <w:ilvl w:val="1"/>
          <w:numId w:val="2"/>
        </w:numPr>
        <w:tabs>
          <w:tab w:pos="665" w:val="left" w:leader="none"/>
        </w:tabs>
        <w:spacing w:line="240" w:lineRule="auto" w:before="159" w:after="0"/>
        <w:ind w:left="665" w:right="0" w:hanging="272"/>
        <w:jc w:val="left"/>
        <w:rPr>
          <w:b/>
          <w:color w:val="231F1F"/>
          <w:sz w:val="22"/>
        </w:rPr>
      </w:pPr>
      <w:r>
        <w:rPr>
          <w:color w:val="231F1F"/>
          <w:sz w:val="22"/>
        </w:rPr>
        <w:t>¿Cuál</w:t>
      </w:r>
      <w:r>
        <w:rPr>
          <w:color w:val="231F1F"/>
          <w:spacing w:val="30"/>
          <w:sz w:val="22"/>
        </w:rPr>
        <w:t> </w:t>
      </w:r>
      <w:r>
        <w:rPr>
          <w:color w:val="231F1F"/>
          <w:sz w:val="22"/>
        </w:rPr>
        <w:t>es</w:t>
      </w:r>
      <w:r>
        <w:rPr>
          <w:color w:val="231F1F"/>
          <w:spacing w:val="32"/>
          <w:sz w:val="22"/>
        </w:rPr>
        <w:t> </w:t>
      </w:r>
      <w:r>
        <w:rPr>
          <w:color w:val="231F1F"/>
          <w:sz w:val="22"/>
        </w:rPr>
        <w:t>la</w:t>
      </w:r>
      <w:r>
        <w:rPr>
          <w:color w:val="231F1F"/>
          <w:spacing w:val="32"/>
          <w:sz w:val="22"/>
        </w:rPr>
        <w:t> </w:t>
      </w:r>
      <w:r>
        <w:rPr>
          <w:color w:val="231F1F"/>
          <w:sz w:val="22"/>
        </w:rPr>
        <w:t>efectividad</w:t>
      </w:r>
      <w:r>
        <w:rPr>
          <w:color w:val="231F1F"/>
          <w:spacing w:val="33"/>
          <w:sz w:val="22"/>
        </w:rPr>
        <w:t> </w:t>
      </w:r>
      <w:r>
        <w:rPr>
          <w:color w:val="231F1F"/>
          <w:sz w:val="22"/>
        </w:rPr>
        <w:t>de</w:t>
      </w:r>
      <w:r>
        <w:rPr>
          <w:color w:val="231F1F"/>
          <w:spacing w:val="32"/>
          <w:sz w:val="22"/>
        </w:rPr>
        <w:t> </w:t>
      </w:r>
      <w:r>
        <w:rPr>
          <w:color w:val="231F1F"/>
          <w:sz w:val="22"/>
        </w:rPr>
        <w:t>acompañar</w:t>
      </w:r>
      <w:r>
        <w:rPr>
          <w:color w:val="231F1F"/>
          <w:spacing w:val="32"/>
          <w:sz w:val="22"/>
        </w:rPr>
        <w:t> </w:t>
      </w:r>
      <w:r>
        <w:rPr>
          <w:color w:val="231F1F"/>
          <w:sz w:val="22"/>
        </w:rPr>
        <w:t>a</w:t>
      </w:r>
      <w:r>
        <w:rPr>
          <w:color w:val="231F1F"/>
          <w:spacing w:val="32"/>
          <w:sz w:val="22"/>
        </w:rPr>
        <w:t> </w:t>
      </w:r>
      <w:r>
        <w:rPr>
          <w:color w:val="231F1F"/>
          <w:sz w:val="22"/>
        </w:rPr>
        <w:t>la</w:t>
      </w:r>
      <w:r>
        <w:rPr>
          <w:color w:val="231F1F"/>
          <w:spacing w:val="32"/>
          <w:sz w:val="22"/>
        </w:rPr>
        <w:t> </w:t>
      </w:r>
      <w:r>
        <w:rPr>
          <w:color w:val="231F1F"/>
          <w:sz w:val="22"/>
        </w:rPr>
        <w:t>mujer</w:t>
      </w:r>
      <w:r>
        <w:rPr>
          <w:color w:val="231F1F"/>
          <w:spacing w:val="33"/>
          <w:sz w:val="22"/>
        </w:rPr>
        <w:t> </w:t>
      </w:r>
      <w:r>
        <w:rPr>
          <w:color w:val="231F1F"/>
          <w:sz w:val="22"/>
        </w:rPr>
        <w:t>durante</w:t>
      </w:r>
      <w:r>
        <w:rPr>
          <w:color w:val="231F1F"/>
          <w:spacing w:val="34"/>
          <w:sz w:val="22"/>
        </w:rPr>
        <w:t> </w:t>
      </w:r>
      <w:r>
        <w:rPr>
          <w:color w:val="231F1F"/>
          <w:sz w:val="22"/>
        </w:rPr>
        <w:t>el</w:t>
      </w:r>
      <w:r>
        <w:rPr>
          <w:color w:val="231F1F"/>
          <w:spacing w:val="32"/>
          <w:sz w:val="22"/>
        </w:rPr>
        <w:t> </w:t>
      </w:r>
      <w:r>
        <w:rPr>
          <w:color w:val="231F1F"/>
          <w:spacing w:val="-2"/>
          <w:sz w:val="22"/>
        </w:rPr>
        <w:t>parto?</w:t>
      </w:r>
    </w:p>
    <w:p>
      <w:pPr>
        <w:pStyle w:val="BodyText"/>
        <w:spacing w:before="182"/>
      </w:pPr>
    </w:p>
    <w:p>
      <w:pPr>
        <w:pStyle w:val="Heading4"/>
      </w:pPr>
      <w:r>
        <w:rPr>
          <w:color w:val="231F1F"/>
          <w:w w:val="105"/>
        </w:rPr>
        <w:t>Ingesta</w:t>
      </w:r>
      <w:r>
        <w:rPr>
          <w:color w:val="231F1F"/>
          <w:spacing w:val="1"/>
          <w:w w:val="105"/>
        </w:rPr>
        <w:t> </w:t>
      </w:r>
      <w:r>
        <w:rPr>
          <w:color w:val="231F1F"/>
          <w:w w:val="105"/>
        </w:rPr>
        <w:t>de</w:t>
      </w:r>
      <w:r>
        <w:rPr>
          <w:color w:val="231F1F"/>
          <w:spacing w:val="3"/>
          <w:w w:val="105"/>
        </w:rPr>
        <w:t> </w:t>
      </w:r>
      <w:r>
        <w:rPr>
          <w:color w:val="231F1F"/>
          <w:w w:val="105"/>
        </w:rPr>
        <w:t>líquidos</w:t>
      </w:r>
      <w:r>
        <w:rPr>
          <w:color w:val="231F1F"/>
          <w:spacing w:val="2"/>
          <w:w w:val="105"/>
        </w:rPr>
        <w:t> </w:t>
      </w:r>
      <w:r>
        <w:rPr>
          <w:color w:val="231F1F"/>
          <w:w w:val="105"/>
        </w:rPr>
        <w:t>y</w:t>
      </w:r>
      <w:r>
        <w:rPr>
          <w:color w:val="231F1F"/>
          <w:spacing w:val="3"/>
          <w:w w:val="105"/>
        </w:rPr>
        <w:t> </w:t>
      </w:r>
      <w:r>
        <w:rPr>
          <w:color w:val="231F1F"/>
          <w:spacing w:val="-2"/>
          <w:w w:val="105"/>
        </w:rPr>
        <w:t>sólidos</w:t>
      </w:r>
    </w:p>
    <w:p>
      <w:pPr>
        <w:pStyle w:val="ListParagraph"/>
        <w:numPr>
          <w:ilvl w:val="1"/>
          <w:numId w:val="2"/>
        </w:numPr>
        <w:tabs>
          <w:tab w:pos="665" w:val="left" w:leader="none"/>
        </w:tabs>
        <w:spacing w:line="240" w:lineRule="auto" w:before="213" w:after="0"/>
        <w:ind w:left="665" w:right="0" w:hanging="272"/>
        <w:jc w:val="left"/>
        <w:rPr>
          <w:b/>
          <w:color w:val="231F1F"/>
          <w:sz w:val="22"/>
        </w:rPr>
      </w:pPr>
      <w:r>
        <w:rPr>
          <w:color w:val="231F1F"/>
          <w:w w:val="105"/>
          <w:sz w:val="22"/>
        </w:rPr>
        <w:t>¿Cuál</w:t>
      </w:r>
      <w:r>
        <w:rPr>
          <w:color w:val="231F1F"/>
          <w:spacing w:val="-2"/>
          <w:w w:val="105"/>
          <w:sz w:val="22"/>
        </w:rPr>
        <w:t> </w:t>
      </w:r>
      <w:r>
        <w:rPr>
          <w:color w:val="231F1F"/>
          <w:w w:val="105"/>
          <w:sz w:val="22"/>
        </w:rPr>
        <w:t>es la efectividad de</w:t>
      </w:r>
      <w:r>
        <w:rPr>
          <w:color w:val="231F1F"/>
          <w:spacing w:val="-1"/>
          <w:w w:val="105"/>
          <w:sz w:val="22"/>
        </w:rPr>
        <w:t> </w:t>
      </w:r>
      <w:r>
        <w:rPr>
          <w:color w:val="231F1F"/>
          <w:w w:val="105"/>
          <w:sz w:val="22"/>
        </w:rPr>
        <w:t>la</w:t>
      </w:r>
      <w:r>
        <w:rPr>
          <w:color w:val="231F1F"/>
          <w:spacing w:val="1"/>
          <w:w w:val="105"/>
          <w:sz w:val="22"/>
        </w:rPr>
        <w:t> </w:t>
      </w:r>
      <w:r>
        <w:rPr>
          <w:color w:val="231F1F"/>
          <w:w w:val="105"/>
          <w:sz w:val="22"/>
        </w:rPr>
        <w:t>restricción</w:t>
      </w:r>
      <w:r>
        <w:rPr>
          <w:color w:val="231F1F"/>
          <w:spacing w:val="1"/>
          <w:w w:val="105"/>
          <w:sz w:val="22"/>
        </w:rPr>
        <w:t> </w:t>
      </w:r>
      <w:r>
        <w:rPr>
          <w:color w:val="231F1F"/>
          <w:w w:val="105"/>
          <w:sz w:val="22"/>
        </w:rPr>
        <w:t>de</w:t>
      </w:r>
      <w:r>
        <w:rPr>
          <w:color w:val="231F1F"/>
          <w:spacing w:val="-1"/>
          <w:w w:val="105"/>
          <w:sz w:val="22"/>
        </w:rPr>
        <w:t> </w:t>
      </w:r>
      <w:r>
        <w:rPr>
          <w:color w:val="231F1F"/>
          <w:w w:val="105"/>
          <w:sz w:val="22"/>
        </w:rPr>
        <w:t>líquidos</w:t>
      </w:r>
      <w:r>
        <w:rPr>
          <w:color w:val="231F1F"/>
          <w:spacing w:val="1"/>
          <w:w w:val="105"/>
          <w:sz w:val="22"/>
        </w:rPr>
        <w:t> </w:t>
      </w:r>
      <w:r>
        <w:rPr>
          <w:color w:val="231F1F"/>
          <w:w w:val="105"/>
          <w:sz w:val="22"/>
        </w:rPr>
        <w:t>y</w:t>
      </w:r>
      <w:r>
        <w:rPr>
          <w:color w:val="231F1F"/>
          <w:spacing w:val="1"/>
          <w:w w:val="105"/>
          <w:sz w:val="22"/>
        </w:rPr>
        <w:t> </w:t>
      </w:r>
      <w:r>
        <w:rPr>
          <w:color w:val="231F1F"/>
          <w:w w:val="105"/>
          <w:sz w:val="22"/>
        </w:rPr>
        <w:t>sólidos</w:t>
      </w:r>
      <w:r>
        <w:rPr>
          <w:color w:val="231F1F"/>
          <w:spacing w:val="1"/>
          <w:w w:val="105"/>
          <w:sz w:val="22"/>
        </w:rPr>
        <w:t> </w:t>
      </w:r>
      <w:r>
        <w:rPr>
          <w:color w:val="231F1F"/>
          <w:w w:val="105"/>
          <w:sz w:val="22"/>
        </w:rPr>
        <w:t>durante</w:t>
      </w:r>
      <w:r>
        <w:rPr>
          <w:color w:val="231F1F"/>
          <w:spacing w:val="-2"/>
          <w:w w:val="105"/>
          <w:sz w:val="22"/>
        </w:rPr>
        <w:t> </w:t>
      </w:r>
      <w:r>
        <w:rPr>
          <w:color w:val="231F1F"/>
          <w:w w:val="105"/>
          <w:sz w:val="22"/>
        </w:rPr>
        <w:t>el</w:t>
      </w:r>
      <w:r>
        <w:rPr>
          <w:color w:val="231F1F"/>
          <w:spacing w:val="-1"/>
          <w:w w:val="105"/>
          <w:sz w:val="22"/>
        </w:rPr>
        <w:t> </w:t>
      </w:r>
      <w:r>
        <w:rPr>
          <w:color w:val="231F1F"/>
          <w:spacing w:val="-2"/>
          <w:w w:val="105"/>
          <w:sz w:val="22"/>
        </w:rPr>
        <w:t>parto?</w:t>
      </w:r>
    </w:p>
    <w:p>
      <w:pPr>
        <w:pStyle w:val="ListParagraph"/>
        <w:numPr>
          <w:ilvl w:val="1"/>
          <w:numId w:val="2"/>
        </w:numPr>
        <w:tabs>
          <w:tab w:pos="665" w:val="left" w:leader="none"/>
        </w:tabs>
        <w:spacing w:line="240" w:lineRule="auto" w:before="165" w:after="0"/>
        <w:ind w:left="665" w:right="0" w:hanging="272"/>
        <w:jc w:val="left"/>
        <w:rPr>
          <w:b/>
          <w:color w:val="231F1F"/>
          <w:sz w:val="22"/>
        </w:rPr>
      </w:pPr>
      <w:r>
        <w:rPr>
          <w:color w:val="231F1F"/>
          <w:sz w:val="22"/>
        </w:rPr>
        <w:t>¿Qué</w:t>
      </w:r>
      <w:r>
        <w:rPr>
          <w:color w:val="231F1F"/>
          <w:spacing w:val="37"/>
          <w:sz w:val="22"/>
        </w:rPr>
        <w:t> </w:t>
      </w:r>
      <w:r>
        <w:rPr>
          <w:color w:val="231F1F"/>
          <w:sz w:val="22"/>
        </w:rPr>
        <w:t>es</w:t>
      </w:r>
      <w:r>
        <w:rPr>
          <w:color w:val="231F1F"/>
          <w:spacing w:val="40"/>
          <w:sz w:val="22"/>
        </w:rPr>
        <w:t> </w:t>
      </w:r>
      <w:r>
        <w:rPr>
          <w:color w:val="231F1F"/>
          <w:sz w:val="22"/>
        </w:rPr>
        <w:t>aconsejable</w:t>
      </w:r>
      <w:r>
        <w:rPr>
          <w:color w:val="231F1F"/>
          <w:spacing w:val="41"/>
          <w:sz w:val="22"/>
        </w:rPr>
        <w:t> </w:t>
      </w:r>
      <w:r>
        <w:rPr>
          <w:color w:val="231F1F"/>
          <w:sz w:val="22"/>
        </w:rPr>
        <w:t>para</w:t>
      </w:r>
      <w:r>
        <w:rPr>
          <w:color w:val="231F1F"/>
          <w:spacing w:val="38"/>
          <w:sz w:val="22"/>
        </w:rPr>
        <w:t> </w:t>
      </w:r>
      <w:r>
        <w:rPr>
          <w:color w:val="231F1F"/>
          <w:sz w:val="22"/>
        </w:rPr>
        <w:t>prevenir</w:t>
      </w:r>
      <w:r>
        <w:rPr>
          <w:color w:val="231F1F"/>
          <w:spacing w:val="38"/>
          <w:sz w:val="22"/>
        </w:rPr>
        <w:t> </w:t>
      </w:r>
      <w:r>
        <w:rPr>
          <w:color w:val="231F1F"/>
          <w:sz w:val="22"/>
        </w:rPr>
        <w:t>la</w:t>
      </w:r>
      <w:r>
        <w:rPr>
          <w:color w:val="231F1F"/>
          <w:spacing w:val="39"/>
          <w:sz w:val="22"/>
        </w:rPr>
        <w:t> </w:t>
      </w:r>
      <w:r>
        <w:rPr>
          <w:color w:val="231F1F"/>
          <w:sz w:val="22"/>
        </w:rPr>
        <w:t>cetosis</w:t>
      </w:r>
      <w:r>
        <w:rPr>
          <w:color w:val="231F1F"/>
          <w:spacing w:val="40"/>
          <w:sz w:val="22"/>
        </w:rPr>
        <w:t> </w:t>
      </w:r>
      <w:r>
        <w:rPr>
          <w:color w:val="231F1F"/>
          <w:sz w:val="22"/>
        </w:rPr>
        <w:t>durante</w:t>
      </w:r>
      <w:r>
        <w:rPr>
          <w:color w:val="231F1F"/>
          <w:spacing w:val="39"/>
          <w:sz w:val="22"/>
        </w:rPr>
        <w:t> </w:t>
      </w:r>
      <w:r>
        <w:rPr>
          <w:color w:val="231F1F"/>
          <w:sz w:val="22"/>
        </w:rPr>
        <w:t>el</w:t>
      </w:r>
      <w:r>
        <w:rPr>
          <w:color w:val="231F1F"/>
          <w:spacing w:val="40"/>
          <w:sz w:val="22"/>
        </w:rPr>
        <w:t> </w:t>
      </w:r>
      <w:r>
        <w:rPr>
          <w:color w:val="231F1F"/>
          <w:spacing w:val="-2"/>
          <w:sz w:val="22"/>
        </w:rPr>
        <w:t>parto?</w:t>
      </w:r>
    </w:p>
    <w:p>
      <w:pPr>
        <w:pStyle w:val="BodyText"/>
      </w:pPr>
    </w:p>
    <w:p>
      <w:pPr>
        <w:pStyle w:val="BodyText"/>
        <w:spacing w:before="31"/>
      </w:pPr>
    </w:p>
    <w:p>
      <w:pPr>
        <w:pStyle w:val="Heading3"/>
        <w:numPr>
          <w:ilvl w:val="0"/>
          <w:numId w:val="2"/>
        </w:numPr>
        <w:tabs>
          <w:tab w:pos="766" w:val="left" w:leader="none"/>
        </w:tabs>
        <w:spacing w:line="240" w:lineRule="auto" w:before="0" w:after="0"/>
        <w:ind w:left="766" w:right="0" w:hanging="485"/>
        <w:jc w:val="left"/>
      </w:pPr>
      <w:r>
        <w:rPr>
          <w:color w:val="231F1F"/>
          <w:spacing w:val="2"/>
        </w:rPr>
        <w:t>Dilatación:</w:t>
      </w:r>
      <w:r>
        <w:rPr>
          <w:color w:val="231F1F"/>
          <w:spacing w:val="52"/>
        </w:rPr>
        <w:t> </w:t>
      </w:r>
      <w:r>
        <w:rPr>
          <w:color w:val="231F1F"/>
          <w:spacing w:val="2"/>
        </w:rPr>
        <w:t>primera</w:t>
      </w:r>
      <w:r>
        <w:rPr>
          <w:color w:val="231F1F"/>
          <w:spacing w:val="61"/>
        </w:rPr>
        <w:t> </w:t>
      </w:r>
      <w:r>
        <w:rPr>
          <w:color w:val="231F1F"/>
          <w:spacing w:val="2"/>
        </w:rPr>
        <w:t>etapa</w:t>
      </w:r>
      <w:r>
        <w:rPr>
          <w:color w:val="231F1F"/>
          <w:spacing w:val="59"/>
        </w:rPr>
        <w:t> </w:t>
      </w:r>
      <w:r>
        <w:rPr>
          <w:color w:val="231F1F"/>
          <w:spacing w:val="2"/>
        </w:rPr>
        <w:t>del</w:t>
      </w:r>
      <w:r>
        <w:rPr>
          <w:color w:val="231F1F"/>
          <w:spacing w:val="61"/>
        </w:rPr>
        <w:t> </w:t>
      </w:r>
      <w:r>
        <w:rPr>
          <w:color w:val="231F1F"/>
          <w:spacing w:val="-2"/>
        </w:rPr>
        <w:t>parto</w:t>
      </w:r>
    </w:p>
    <w:p>
      <w:pPr>
        <w:pStyle w:val="Heading4"/>
        <w:spacing w:before="163"/>
      </w:pPr>
      <w:r>
        <w:rPr>
          <w:color w:val="231F1F"/>
          <w:w w:val="105"/>
        </w:rPr>
        <w:t>Definición</w:t>
      </w:r>
      <w:r>
        <w:rPr>
          <w:color w:val="231F1F"/>
          <w:spacing w:val="13"/>
          <w:w w:val="105"/>
        </w:rPr>
        <w:t> </w:t>
      </w:r>
      <w:r>
        <w:rPr>
          <w:color w:val="231F1F"/>
          <w:w w:val="105"/>
        </w:rPr>
        <w:t>de</w:t>
      </w:r>
      <w:r>
        <w:rPr>
          <w:color w:val="231F1F"/>
          <w:spacing w:val="14"/>
          <w:w w:val="105"/>
        </w:rPr>
        <w:t> </w:t>
      </w:r>
      <w:r>
        <w:rPr>
          <w:color w:val="231F1F"/>
          <w:w w:val="105"/>
        </w:rPr>
        <w:t>la</w:t>
      </w:r>
      <w:r>
        <w:rPr>
          <w:color w:val="231F1F"/>
          <w:spacing w:val="14"/>
          <w:w w:val="105"/>
        </w:rPr>
        <w:t> </w:t>
      </w:r>
      <w:r>
        <w:rPr>
          <w:color w:val="231F1F"/>
          <w:w w:val="105"/>
        </w:rPr>
        <w:t>primera</w:t>
      </w:r>
      <w:r>
        <w:rPr>
          <w:color w:val="231F1F"/>
          <w:spacing w:val="15"/>
          <w:w w:val="105"/>
        </w:rPr>
        <w:t> </w:t>
      </w:r>
      <w:r>
        <w:rPr>
          <w:color w:val="231F1F"/>
          <w:w w:val="105"/>
        </w:rPr>
        <w:t>etapa</w:t>
      </w:r>
      <w:r>
        <w:rPr>
          <w:color w:val="231F1F"/>
          <w:spacing w:val="14"/>
          <w:w w:val="105"/>
        </w:rPr>
        <w:t> </w:t>
      </w:r>
      <w:r>
        <w:rPr>
          <w:color w:val="231F1F"/>
          <w:w w:val="105"/>
        </w:rPr>
        <w:t>del</w:t>
      </w:r>
      <w:r>
        <w:rPr>
          <w:color w:val="231F1F"/>
          <w:spacing w:val="11"/>
          <w:w w:val="105"/>
        </w:rPr>
        <w:t> </w:t>
      </w:r>
      <w:r>
        <w:rPr>
          <w:color w:val="231F1F"/>
          <w:spacing w:val="-2"/>
          <w:w w:val="105"/>
        </w:rPr>
        <w:t>parto</w:t>
      </w:r>
    </w:p>
    <w:p>
      <w:pPr>
        <w:pStyle w:val="ListParagraph"/>
        <w:numPr>
          <w:ilvl w:val="0"/>
          <w:numId w:val="3"/>
        </w:numPr>
        <w:tabs>
          <w:tab w:pos="665" w:val="left" w:leader="none"/>
        </w:tabs>
        <w:spacing w:line="240" w:lineRule="auto" w:before="209" w:after="0"/>
        <w:ind w:left="665" w:right="0" w:hanging="273"/>
        <w:jc w:val="left"/>
        <w:rPr>
          <w:sz w:val="22"/>
        </w:rPr>
      </w:pPr>
      <w:r>
        <w:rPr>
          <w:color w:val="231F1F"/>
          <w:sz w:val="22"/>
        </w:rPr>
        <w:t>¿Cuál</w:t>
      </w:r>
      <w:r>
        <w:rPr>
          <w:color w:val="231F1F"/>
          <w:spacing w:val="28"/>
          <w:sz w:val="22"/>
        </w:rPr>
        <w:t> </w:t>
      </w:r>
      <w:r>
        <w:rPr>
          <w:color w:val="231F1F"/>
          <w:sz w:val="22"/>
        </w:rPr>
        <w:t>es</w:t>
      </w:r>
      <w:r>
        <w:rPr>
          <w:color w:val="231F1F"/>
          <w:spacing w:val="30"/>
          <w:sz w:val="22"/>
        </w:rPr>
        <w:t> </w:t>
      </w:r>
      <w:r>
        <w:rPr>
          <w:color w:val="231F1F"/>
          <w:sz w:val="22"/>
        </w:rPr>
        <w:t>la</w:t>
      </w:r>
      <w:r>
        <w:rPr>
          <w:color w:val="231F1F"/>
          <w:spacing w:val="31"/>
          <w:sz w:val="22"/>
        </w:rPr>
        <w:t> </w:t>
      </w:r>
      <w:r>
        <w:rPr>
          <w:color w:val="231F1F"/>
          <w:sz w:val="22"/>
        </w:rPr>
        <w:t>definición</w:t>
      </w:r>
      <w:r>
        <w:rPr>
          <w:color w:val="231F1F"/>
          <w:spacing w:val="30"/>
          <w:sz w:val="22"/>
        </w:rPr>
        <w:t> </w:t>
      </w:r>
      <w:r>
        <w:rPr>
          <w:color w:val="231F1F"/>
          <w:sz w:val="22"/>
        </w:rPr>
        <w:t>de</w:t>
      </w:r>
      <w:r>
        <w:rPr>
          <w:color w:val="231F1F"/>
          <w:spacing w:val="28"/>
          <w:sz w:val="22"/>
        </w:rPr>
        <w:t> </w:t>
      </w:r>
      <w:r>
        <w:rPr>
          <w:color w:val="231F1F"/>
          <w:sz w:val="22"/>
        </w:rPr>
        <w:t>fase</w:t>
      </w:r>
      <w:r>
        <w:rPr>
          <w:color w:val="231F1F"/>
          <w:spacing w:val="32"/>
          <w:sz w:val="22"/>
        </w:rPr>
        <w:t> </w:t>
      </w:r>
      <w:r>
        <w:rPr>
          <w:color w:val="231F1F"/>
          <w:sz w:val="22"/>
        </w:rPr>
        <w:t>latente</w:t>
      </w:r>
      <w:r>
        <w:rPr>
          <w:color w:val="231F1F"/>
          <w:spacing w:val="30"/>
          <w:sz w:val="22"/>
        </w:rPr>
        <w:t> </w:t>
      </w:r>
      <w:r>
        <w:rPr>
          <w:color w:val="231F1F"/>
          <w:sz w:val="22"/>
        </w:rPr>
        <w:t>de</w:t>
      </w:r>
      <w:r>
        <w:rPr>
          <w:color w:val="231F1F"/>
          <w:spacing w:val="30"/>
          <w:sz w:val="22"/>
        </w:rPr>
        <w:t> </w:t>
      </w:r>
      <w:r>
        <w:rPr>
          <w:color w:val="231F1F"/>
          <w:sz w:val="22"/>
        </w:rPr>
        <w:t>la</w:t>
      </w:r>
      <w:r>
        <w:rPr>
          <w:color w:val="231F1F"/>
          <w:spacing w:val="30"/>
          <w:sz w:val="22"/>
        </w:rPr>
        <w:t> </w:t>
      </w:r>
      <w:r>
        <w:rPr>
          <w:color w:val="231F1F"/>
          <w:sz w:val="22"/>
        </w:rPr>
        <w:t>primera</w:t>
      </w:r>
      <w:r>
        <w:rPr>
          <w:color w:val="231F1F"/>
          <w:spacing w:val="30"/>
          <w:sz w:val="22"/>
        </w:rPr>
        <w:t> </w:t>
      </w:r>
      <w:r>
        <w:rPr>
          <w:color w:val="231F1F"/>
          <w:sz w:val="22"/>
        </w:rPr>
        <w:t>etapa</w:t>
      </w:r>
      <w:r>
        <w:rPr>
          <w:color w:val="231F1F"/>
          <w:spacing w:val="29"/>
          <w:sz w:val="22"/>
        </w:rPr>
        <w:t> </w:t>
      </w:r>
      <w:r>
        <w:rPr>
          <w:color w:val="231F1F"/>
          <w:sz w:val="22"/>
        </w:rPr>
        <w:t>del</w:t>
      </w:r>
      <w:r>
        <w:rPr>
          <w:color w:val="231F1F"/>
          <w:spacing w:val="29"/>
          <w:sz w:val="22"/>
        </w:rPr>
        <w:t> </w:t>
      </w:r>
      <w:r>
        <w:rPr>
          <w:color w:val="231F1F"/>
          <w:spacing w:val="-2"/>
          <w:sz w:val="22"/>
        </w:rPr>
        <w:t>parto?</w:t>
      </w:r>
    </w:p>
    <w:p>
      <w:pPr>
        <w:pStyle w:val="ListParagraph"/>
        <w:numPr>
          <w:ilvl w:val="0"/>
          <w:numId w:val="3"/>
        </w:numPr>
        <w:tabs>
          <w:tab w:pos="665" w:val="left" w:leader="none"/>
        </w:tabs>
        <w:spacing w:line="240" w:lineRule="auto" w:before="150" w:after="0"/>
        <w:ind w:left="665" w:right="0" w:hanging="273"/>
        <w:jc w:val="left"/>
        <w:rPr>
          <w:sz w:val="22"/>
        </w:rPr>
      </w:pPr>
      <w:r>
        <w:rPr>
          <w:color w:val="231F1F"/>
          <w:sz w:val="22"/>
        </w:rPr>
        <w:t>¿Cuál</w:t>
      </w:r>
      <w:r>
        <w:rPr>
          <w:color w:val="231F1F"/>
          <w:spacing w:val="24"/>
          <w:sz w:val="22"/>
        </w:rPr>
        <w:t> </w:t>
      </w:r>
      <w:r>
        <w:rPr>
          <w:color w:val="231F1F"/>
          <w:sz w:val="22"/>
        </w:rPr>
        <w:t>es</w:t>
      </w:r>
      <w:r>
        <w:rPr>
          <w:color w:val="231F1F"/>
          <w:spacing w:val="27"/>
          <w:sz w:val="22"/>
        </w:rPr>
        <w:t> </w:t>
      </w:r>
      <w:r>
        <w:rPr>
          <w:color w:val="231F1F"/>
          <w:sz w:val="22"/>
        </w:rPr>
        <w:t>la</w:t>
      </w:r>
      <w:r>
        <w:rPr>
          <w:color w:val="231F1F"/>
          <w:spacing w:val="28"/>
          <w:sz w:val="22"/>
        </w:rPr>
        <w:t> </w:t>
      </w:r>
      <w:r>
        <w:rPr>
          <w:color w:val="231F1F"/>
          <w:sz w:val="22"/>
        </w:rPr>
        <w:t>definición</w:t>
      </w:r>
      <w:r>
        <w:rPr>
          <w:color w:val="231F1F"/>
          <w:spacing w:val="26"/>
          <w:sz w:val="22"/>
        </w:rPr>
        <w:t> </w:t>
      </w:r>
      <w:r>
        <w:rPr>
          <w:color w:val="231F1F"/>
          <w:sz w:val="22"/>
        </w:rPr>
        <w:t>de</w:t>
      </w:r>
      <w:r>
        <w:rPr>
          <w:color w:val="231F1F"/>
          <w:spacing w:val="29"/>
          <w:sz w:val="22"/>
        </w:rPr>
        <w:t> </w:t>
      </w:r>
      <w:r>
        <w:rPr>
          <w:color w:val="231F1F"/>
          <w:sz w:val="22"/>
        </w:rPr>
        <w:t>fase</w:t>
      </w:r>
      <w:r>
        <w:rPr>
          <w:color w:val="231F1F"/>
          <w:spacing w:val="26"/>
          <w:sz w:val="22"/>
        </w:rPr>
        <w:t> </w:t>
      </w:r>
      <w:r>
        <w:rPr>
          <w:color w:val="231F1F"/>
          <w:sz w:val="22"/>
        </w:rPr>
        <w:t>activa</w:t>
      </w:r>
      <w:r>
        <w:rPr>
          <w:color w:val="231F1F"/>
          <w:spacing w:val="28"/>
          <w:sz w:val="22"/>
        </w:rPr>
        <w:t> </w:t>
      </w:r>
      <w:r>
        <w:rPr>
          <w:color w:val="231F1F"/>
          <w:sz w:val="22"/>
        </w:rPr>
        <w:t>de</w:t>
      </w:r>
      <w:r>
        <w:rPr>
          <w:color w:val="231F1F"/>
          <w:spacing w:val="28"/>
          <w:sz w:val="22"/>
        </w:rPr>
        <w:t> </w:t>
      </w:r>
      <w:r>
        <w:rPr>
          <w:color w:val="231F1F"/>
          <w:sz w:val="22"/>
        </w:rPr>
        <w:t>la</w:t>
      </w:r>
      <w:r>
        <w:rPr>
          <w:color w:val="231F1F"/>
          <w:spacing w:val="27"/>
          <w:sz w:val="22"/>
        </w:rPr>
        <w:t> </w:t>
      </w:r>
      <w:r>
        <w:rPr>
          <w:color w:val="231F1F"/>
          <w:sz w:val="22"/>
        </w:rPr>
        <w:t>primera</w:t>
      </w:r>
      <w:r>
        <w:rPr>
          <w:color w:val="231F1F"/>
          <w:spacing w:val="26"/>
          <w:sz w:val="22"/>
        </w:rPr>
        <w:t> </w:t>
      </w:r>
      <w:r>
        <w:rPr>
          <w:color w:val="231F1F"/>
          <w:sz w:val="22"/>
        </w:rPr>
        <w:t>etapa</w:t>
      </w:r>
      <w:r>
        <w:rPr>
          <w:color w:val="231F1F"/>
          <w:spacing w:val="28"/>
          <w:sz w:val="22"/>
        </w:rPr>
        <w:t> </w:t>
      </w:r>
      <w:r>
        <w:rPr>
          <w:color w:val="231F1F"/>
          <w:sz w:val="22"/>
        </w:rPr>
        <w:t>del</w:t>
      </w:r>
      <w:r>
        <w:rPr>
          <w:color w:val="231F1F"/>
          <w:spacing w:val="24"/>
          <w:sz w:val="22"/>
        </w:rPr>
        <w:t> </w:t>
      </w:r>
      <w:r>
        <w:rPr>
          <w:color w:val="231F1F"/>
          <w:spacing w:val="-2"/>
          <w:sz w:val="22"/>
        </w:rPr>
        <w:t>parto?</w:t>
      </w:r>
    </w:p>
    <w:p>
      <w:pPr>
        <w:pStyle w:val="BodyText"/>
        <w:spacing w:before="177"/>
      </w:pPr>
    </w:p>
    <w:p>
      <w:pPr>
        <w:pStyle w:val="Heading4"/>
      </w:pPr>
      <w:r>
        <w:rPr>
          <w:color w:val="231F1F"/>
          <w:w w:val="105"/>
        </w:rPr>
        <w:t>Duración</w:t>
      </w:r>
      <w:r>
        <w:rPr>
          <w:color w:val="231F1F"/>
          <w:spacing w:val="15"/>
          <w:w w:val="105"/>
        </w:rPr>
        <w:t> </w:t>
      </w:r>
      <w:r>
        <w:rPr>
          <w:color w:val="231F1F"/>
          <w:w w:val="105"/>
        </w:rPr>
        <w:t>y</w:t>
      </w:r>
      <w:r>
        <w:rPr>
          <w:color w:val="231F1F"/>
          <w:spacing w:val="16"/>
          <w:w w:val="105"/>
        </w:rPr>
        <w:t> </w:t>
      </w:r>
      <w:r>
        <w:rPr>
          <w:color w:val="231F1F"/>
          <w:w w:val="105"/>
        </w:rPr>
        <w:t>progreso</w:t>
      </w:r>
      <w:r>
        <w:rPr>
          <w:color w:val="231F1F"/>
          <w:spacing w:val="17"/>
          <w:w w:val="105"/>
        </w:rPr>
        <w:t> </w:t>
      </w:r>
      <w:r>
        <w:rPr>
          <w:color w:val="231F1F"/>
          <w:w w:val="105"/>
        </w:rPr>
        <w:t>de</w:t>
      </w:r>
      <w:r>
        <w:rPr>
          <w:color w:val="231F1F"/>
          <w:spacing w:val="15"/>
          <w:w w:val="105"/>
        </w:rPr>
        <w:t> </w:t>
      </w:r>
      <w:r>
        <w:rPr>
          <w:color w:val="231F1F"/>
          <w:w w:val="105"/>
        </w:rPr>
        <w:t>la</w:t>
      </w:r>
      <w:r>
        <w:rPr>
          <w:color w:val="231F1F"/>
          <w:spacing w:val="16"/>
          <w:w w:val="105"/>
        </w:rPr>
        <w:t> </w:t>
      </w:r>
      <w:r>
        <w:rPr>
          <w:color w:val="231F1F"/>
          <w:w w:val="105"/>
        </w:rPr>
        <w:t>primera</w:t>
      </w:r>
      <w:r>
        <w:rPr>
          <w:color w:val="231F1F"/>
          <w:spacing w:val="16"/>
          <w:w w:val="105"/>
        </w:rPr>
        <w:t> </w:t>
      </w:r>
      <w:r>
        <w:rPr>
          <w:color w:val="231F1F"/>
          <w:w w:val="105"/>
        </w:rPr>
        <w:t>etapa</w:t>
      </w:r>
      <w:r>
        <w:rPr>
          <w:color w:val="231F1F"/>
          <w:spacing w:val="15"/>
          <w:w w:val="105"/>
        </w:rPr>
        <w:t> </w:t>
      </w:r>
      <w:r>
        <w:rPr>
          <w:color w:val="231F1F"/>
          <w:w w:val="105"/>
        </w:rPr>
        <w:t>del</w:t>
      </w:r>
      <w:r>
        <w:rPr>
          <w:color w:val="231F1F"/>
          <w:spacing w:val="13"/>
          <w:w w:val="105"/>
        </w:rPr>
        <w:t> </w:t>
      </w:r>
      <w:r>
        <w:rPr>
          <w:color w:val="231F1F"/>
          <w:spacing w:val="-2"/>
          <w:w w:val="105"/>
        </w:rPr>
        <w:t>parto</w:t>
      </w:r>
    </w:p>
    <w:p>
      <w:pPr>
        <w:pStyle w:val="ListParagraph"/>
        <w:numPr>
          <w:ilvl w:val="0"/>
          <w:numId w:val="3"/>
        </w:numPr>
        <w:tabs>
          <w:tab w:pos="665" w:val="left" w:leader="none"/>
        </w:tabs>
        <w:spacing w:line="240" w:lineRule="auto" w:before="209" w:after="0"/>
        <w:ind w:left="665" w:right="0" w:hanging="273"/>
        <w:jc w:val="left"/>
        <w:rPr>
          <w:sz w:val="22"/>
        </w:rPr>
      </w:pPr>
      <w:r>
        <w:rPr>
          <w:color w:val="231F1F"/>
          <w:sz w:val="22"/>
        </w:rPr>
        <w:t>¿Cuál</w:t>
      </w:r>
      <w:r>
        <w:rPr>
          <w:color w:val="231F1F"/>
          <w:spacing w:val="25"/>
          <w:sz w:val="22"/>
        </w:rPr>
        <w:t> </w:t>
      </w:r>
      <w:r>
        <w:rPr>
          <w:color w:val="231F1F"/>
          <w:sz w:val="22"/>
        </w:rPr>
        <w:t>es</w:t>
      </w:r>
      <w:r>
        <w:rPr>
          <w:color w:val="231F1F"/>
          <w:spacing w:val="28"/>
          <w:sz w:val="22"/>
        </w:rPr>
        <w:t> </w:t>
      </w:r>
      <w:r>
        <w:rPr>
          <w:color w:val="231F1F"/>
          <w:sz w:val="22"/>
        </w:rPr>
        <w:t>la</w:t>
      </w:r>
      <w:r>
        <w:rPr>
          <w:color w:val="231F1F"/>
          <w:spacing w:val="25"/>
          <w:sz w:val="22"/>
        </w:rPr>
        <w:t> </w:t>
      </w:r>
      <w:r>
        <w:rPr>
          <w:color w:val="231F1F"/>
          <w:sz w:val="22"/>
        </w:rPr>
        <w:t>duración</w:t>
      </w:r>
      <w:r>
        <w:rPr>
          <w:color w:val="231F1F"/>
          <w:spacing w:val="27"/>
          <w:sz w:val="22"/>
        </w:rPr>
        <w:t> </w:t>
      </w:r>
      <w:r>
        <w:rPr>
          <w:color w:val="231F1F"/>
          <w:sz w:val="22"/>
        </w:rPr>
        <w:t>de</w:t>
      </w:r>
      <w:r>
        <w:rPr>
          <w:color w:val="231F1F"/>
          <w:spacing w:val="28"/>
          <w:sz w:val="22"/>
        </w:rPr>
        <w:t> </w:t>
      </w:r>
      <w:r>
        <w:rPr>
          <w:color w:val="231F1F"/>
          <w:sz w:val="22"/>
        </w:rPr>
        <w:t>la</w:t>
      </w:r>
      <w:r>
        <w:rPr>
          <w:color w:val="231F1F"/>
          <w:spacing w:val="25"/>
          <w:sz w:val="22"/>
        </w:rPr>
        <w:t> </w:t>
      </w:r>
      <w:r>
        <w:rPr>
          <w:color w:val="231F1F"/>
          <w:sz w:val="22"/>
        </w:rPr>
        <w:t>fase</w:t>
      </w:r>
      <w:r>
        <w:rPr>
          <w:color w:val="231F1F"/>
          <w:spacing w:val="29"/>
          <w:sz w:val="22"/>
        </w:rPr>
        <w:t> </w:t>
      </w:r>
      <w:r>
        <w:rPr>
          <w:color w:val="231F1F"/>
          <w:sz w:val="22"/>
        </w:rPr>
        <w:t>latente</w:t>
      </w:r>
      <w:r>
        <w:rPr>
          <w:color w:val="231F1F"/>
          <w:spacing w:val="25"/>
          <w:sz w:val="22"/>
        </w:rPr>
        <w:t> </w:t>
      </w:r>
      <w:r>
        <w:rPr>
          <w:color w:val="231F1F"/>
          <w:sz w:val="22"/>
        </w:rPr>
        <w:t>y</w:t>
      </w:r>
      <w:r>
        <w:rPr>
          <w:color w:val="231F1F"/>
          <w:spacing w:val="28"/>
          <w:sz w:val="22"/>
        </w:rPr>
        <w:t> </w:t>
      </w:r>
      <w:r>
        <w:rPr>
          <w:color w:val="231F1F"/>
          <w:sz w:val="22"/>
        </w:rPr>
        <w:t>fase</w:t>
      </w:r>
      <w:r>
        <w:rPr>
          <w:color w:val="231F1F"/>
          <w:spacing w:val="25"/>
          <w:sz w:val="22"/>
        </w:rPr>
        <w:t> </w:t>
      </w:r>
      <w:r>
        <w:rPr>
          <w:color w:val="231F1F"/>
          <w:sz w:val="22"/>
        </w:rPr>
        <w:t>activa</w:t>
      </w:r>
      <w:r>
        <w:rPr>
          <w:color w:val="231F1F"/>
          <w:spacing w:val="29"/>
          <w:sz w:val="22"/>
        </w:rPr>
        <w:t> </w:t>
      </w:r>
      <w:r>
        <w:rPr>
          <w:color w:val="231F1F"/>
          <w:sz w:val="22"/>
        </w:rPr>
        <w:t>de</w:t>
      </w:r>
      <w:r>
        <w:rPr>
          <w:color w:val="231F1F"/>
          <w:spacing w:val="26"/>
          <w:sz w:val="22"/>
        </w:rPr>
        <w:t> </w:t>
      </w:r>
      <w:r>
        <w:rPr>
          <w:color w:val="231F1F"/>
          <w:sz w:val="22"/>
        </w:rPr>
        <w:t>la</w:t>
      </w:r>
      <w:r>
        <w:rPr>
          <w:color w:val="231F1F"/>
          <w:spacing w:val="27"/>
          <w:sz w:val="22"/>
        </w:rPr>
        <w:t> </w:t>
      </w:r>
      <w:r>
        <w:rPr>
          <w:color w:val="231F1F"/>
          <w:sz w:val="22"/>
        </w:rPr>
        <w:t>primera</w:t>
      </w:r>
      <w:r>
        <w:rPr>
          <w:color w:val="231F1F"/>
          <w:spacing w:val="27"/>
          <w:sz w:val="22"/>
        </w:rPr>
        <w:t> </w:t>
      </w:r>
      <w:r>
        <w:rPr>
          <w:color w:val="231F1F"/>
          <w:sz w:val="22"/>
        </w:rPr>
        <w:t>etapa</w:t>
      </w:r>
      <w:r>
        <w:rPr>
          <w:color w:val="231F1F"/>
          <w:spacing w:val="27"/>
          <w:sz w:val="22"/>
        </w:rPr>
        <w:t> </w:t>
      </w:r>
      <w:r>
        <w:rPr>
          <w:color w:val="231F1F"/>
          <w:sz w:val="22"/>
        </w:rPr>
        <w:t>del</w:t>
      </w:r>
      <w:r>
        <w:rPr>
          <w:color w:val="231F1F"/>
          <w:spacing w:val="23"/>
          <w:sz w:val="22"/>
        </w:rPr>
        <w:t> </w:t>
      </w:r>
      <w:r>
        <w:rPr>
          <w:color w:val="231F1F"/>
          <w:spacing w:val="-2"/>
          <w:sz w:val="22"/>
        </w:rPr>
        <w:t>parto?</w:t>
      </w:r>
    </w:p>
    <w:p>
      <w:pPr>
        <w:pStyle w:val="ListParagraph"/>
        <w:numPr>
          <w:ilvl w:val="0"/>
          <w:numId w:val="3"/>
        </w:numPr>
        <w:tabs>
          <w:tab w:pos="665" w:val="left" w:leader="none"/>
        </w:tabs>
        <w:spacing w:line="240" w:lineRule="auto" w:before="150" w:after="0"/>
        <w:ind w:left="665" w:right="0" w:hanging="273"/>
        <w:jc w:val="left"/>
        <w:rPr>
          <w:sz w:val="22"/>
        </w:rPr>
      </w:pPr>
      <w:r>
        <w:rPr>
          <w:color w:val="231F1F"/>
          <w:sz w:val="22"/>
        </w:rPr>
        <w:t>¿Influyen</w:t>
      </w:r>
      <w:r>
        <w:rPr>
          <w:color w:val="231F1F"/>
          <w:spacing w:val="29"/>
          <w:sz w:val="22"/>
        </w:rPr>
        <w:t> </w:t>
      </w:r>
      <w:r>
        <w:rPr>
          <w:color w:val="231F1F"/>
          <w:sz w:val="22"/>
        </w:rPr>
        <w:t>la</w:t>
      </w:r>
      <w:r>
        <w:rPr>
          <w:color w:val="231F1F"/>
          <w:spacing w:val="30"/>
          <w:sz w:val="22"/>
        </w:rPr>
        <w:t> </w:t>
      </w:r>
      <w:r>
        <w:rPr>
          <w:color w:val="231F1F"/>
          <w:sz w:val="22"/>
        </w:rPr>
        <w:t>duración</w:t>
      </w:r>
      <w:r>
        <w:rPr>
          <w:color w:val="231F1F"/>
          <w:spacing w:val="32"/>
          <w:sz w:val="22"/>
        </w:rPr>
        <w:t> </w:t>
      </w:r>
      <w:r>
        <w:rPr>
          <w:color w:val="231F1F"/>
          <w:sz w:val="22"/>
        </w:rPr>
        <w:t>y</w:t>
      </w:r>
      <w:r>
        <w:rPr>
          <w:color w:val="231F1F"/>
          <w:spacing w:val="29"/>
          <w:sz w:val="22"/>
        </w:rPr>
        <w:t> </w:t>
      </w:r>
      <w:r>
        <w:rPr>
          <w:color w:val="231F1F"/>
          <w:sz w:val="22"/>
        </w:rPr>
        <w:t>el</w:t>
      </w:r>
      <w:r>
        <w:rPr>
          <w:color w:val="231F1F"/>
          <w:spacing w:val="30"/>
          <w:sz w:val="22"/>
        </w:rPr>
        <w:t> </w:t>
      </w:r>
      <w:r>
        <w:rPr>
          <w:color w:val="231F1F"/>
          <w:sz w:val="22"/>
        </w:rPr>
        <w:t>progreso</w:t>
      </w:r>
      <w:r>
        <w:rPr>
          <w:color w:val="231F1F"/>
          <w:spacing w:val="32"/>
          <w:sz w:val="22"/>
        </w:rPr>
        <w:t> </w:t>
      </w:r>
      <w:r>
        <w:rPr>
          <w:color w:val="231F1F"/>
          <w:sz w:val="22"/>
        </w:rPr>
        <w:t>de</w:t>
      </w:r>
      <w:r>
        <w:rPr>
          <w:color w:val="231F1F"/>
          <w:spacing w:val="29"/>
          <w:sz w:val="22"/>
        </w:rPr>
        <w:t> </w:t>
      </w:r>
      <w:r>
        <w:rPr>
          <w:color w:val="231F1F"/>
          <w:sz w:val="22"/>
        </w:rPr>
        <w:t>la</w:t>
      </w:r>
      <w:r>
        <w:rPr>
          <w:color w:val="231F1F"/>
          <w:spacing w:val="30"/>
          <w:sz w:val="22"/>
        </w:rPr>
        <w:t> </w:t>
      </w:r>
      <w:r>
        <w:rPr>
          <w:color w:val="231F1F"/>
          <w:sz w:val="22"/>
        </w:rPr>
        <w:t>primera</w:t>
      </w:r>
      <w:r>
        <w:rPr>
          <w:color w:val="231F1F"/>
          <w:spacing w:val="32"/>
          <w:sz w:val="22"/>
        </w:rPr>
        <w:t> </w:t>
      </w:r>
      <w:r>
        <w:rPr>
          <w:color w:val="231F1F"/>
          <w:sz w:val="22"/>
        </w:rPr>
        <w:t>etapa</w:t>
      </w:r>
      <w:r>
        <w:rPr>
          <w:color w:val="231F1F"/>
          <w:spacing w:val="29"/>
          <w:sz w:val="22"/>
        </w:rPr>
        <w:t> </w:t>
      </w:r>
      <w:r>
        <w:rPr>
          <w:color w:val="231F1F"/>
          <w:sz w:val="22"/>
        </w:rPr>
        <w:t>del</w:t>
      </w:r>
      <w:r>
        <w:rPr>
          <w:color w:val="231F1F"/>
          <w:spacing w:val="27"/>
          <w:sz w:val="22"/>
        </w:rPr>
        <w:t> </w:t>
      </w:r>
      <w:r>
        <w:rPr>
          <w:color w:val="231F1F"/>
          <w:sz w:val="22"/>
        </w:rPr>
        <w:t>parto</w:t>
      </w:r>
      <w:r>
        <w:rPr>
          <w:color w:val="231F1F"/>
          <w:spacing w:val="31"/>
          <w:sz w:val="22"/>
        </w:rPr>
        <w:t> </w:t>
      </w:r>
      <w:r>
        <w:rPr>
          <w:color w:val="231F1F"/>
          <w:sz w:val="22"/>
        </w:rPr>
        <w:t>en</w:t>
      </w:r>
      <w:r>
        <w:rPr>
          <w:color w:val="231F1F"/>
          <w:spacing w:val="30"/>
          <w:sz w:val="22"/>
        </w:rPr>
        <w:t> </w:t>
      </w:r>
      <w:r>
        <w:rPr>
          <w:color w:val="231F1F"/>
          <w:sz w:val="22"/>
        </w:rPr>
        <w:t>los</w:t>
      </w:r>
      <w:r>
        <w:rPr>
          <w:color w:val="231F1F"/>
          <w:spacing w:val="31"/>
          <w:sz w:val="22"/>
        </w:rPr>
        <w:t> </w:t>
      </w:r>
      <w:r>
        <w:rPr>
          <w:color w:val="231F1F"/>
          <w:spacing w:val="-2"/>
          <w:sz w:val="22"/>
        </w:rPr>
        <w:t>resultados?</w:t>
      </w:r>
    </w:p>
    <w:p>
      <w:pPr>
        <w:pStyle w:val="BodyText"/>
        <w:spacing w:before="176"/>
      </w:pPr>
    </w:p>
    <w:p>
      <w:pPr>
        <w:pStyle w:val="Heading4"/>
        <w:spacing w:before="1"/>
      </w:pPr>
      <w:r>
        <w:rPr>
          <w:color w:val="231F1F"/>
          <w:w w:val="105"/>
        </w:rPr>
        <w:t>Admisión</w:t>
      </w:r>
      <w:r>
        <w:rPr>
          <w:color w:val="231F1F"/>
          <w:spacing w:val="11"/>
          <w:w w:val="105"/>
        </w:rPr>
        <w:t> </w:t>
      </w:r>
      <w:r>
        <w:rPr>
          <w:color w:val="231F1F"/>
          <w:w w:val="105"/>
        </w:rPr>
        <w:t>en</w:t>
      </w:r>
      <w:r>
        <w:rPr>
          <w:color w:val="231F1F"/>
          <w:spacing w:val="12"/>
          <w:w w:val="105"/>
        </w:rPr>
        <w:t> </w:t>
      </w:r>
      <w:r>
        <w:rPr>
          <w:color w:val="231F1F"/>
          <w:spacing w:val="-2"/>
          <w:w w:val="105"/>
        </w:rPr>
        <w:t>maternidad</w:t>
      </w:r>
    </w:p>
    <w:p>
      <w:pPr>
        <w:pStyle w:val="ListParagraph"/>
        <w:numPr>
          <w:ilvl w:val="0"/>
          <w:numId w:val="3"/>
        </w:numPr>
        <w:tabs>
          <w:tab w:pos="665" w:val="left" w:leader="none"/>
          <w:tab w:pos="668" w:val="left" w:leader="none"/>
        </w:tabs>
        <w:spacing w:line="268" w:lineRule="auto" w:before="208" w:after="0"/>
        <w:ind w:left="668" w:right="222" w:hanging="386"/>
        <w:jc w:val="left"/>
        <w:rPr>
          <w:sz w:val="22"/>
        </w:rPr>
      </w:pPr>
      <w:r>
        <w:rPr>
          <w:color w:val="231F1F"/>
          <w:w w:val="110"/>
          <w:sz w:val="22"/>
        </w:rPr>
        <w:t>¿Cuál</w:t>
      </w:r>
      <w:r>
        <w:rPr>
          <w:color w:val="231F1F"/>
          <w:spacing w:val="-12"/>
          <w:w w:val="110"/>
          <w:sz w:val="22"/>
        </w:rPr>
        <w:t> </w:t>
      </w:r>
      <w:r>
        <w:rPr>
          <w:color w:val="231F1F"/>
          <w:w w:val="110"/>
          <w:sz w:val="22"/>
        </w:rPr>
        <w:t>es</w:t>
      </w:r>
      <w:r>
        <w:rPr>
          <w:color w:val="231F1F"/>
          <w:spacing w:val="-13"/>
          <w:w w:val="110"/>
          <w:sz w:val="22"/>
        </w:rPr>
        <w:t> </w:t>
      </w:r>
      <w:r>
        <w:rPr>
          <w:color w:val="231F1F"/>
          <w:w w:val="110"/>
          <w:sz w:val="22"/>
        </w:rPr>
        <w:t>el</w:t>
      </w:r>
      <w:r>
        <w:rPr>
          <w:color w:val="231F1F"/>
          <w:spacing w:val="-12"/>
          <w:w w:val="110"/>
          <w:sz w:val="22"/>
        </w:rPr>
        <w:t> </w:t>
      </w:r>
      <w:r>
        <w:rPr>
          <w:color w:val="231F1F"/>
          <w:w w:val="110"/>
          <w:sz w:val="22"/>
        </w:rPr>
        <w:t>momento</w:t>
      </w:r>
      <w:r>
        <w:rPr>
          <w:color w:val="231F1F"/>
          <w:spacing w:val="-13"/>
          <w:w w:val="110"/>
          <w:sz w:val="22"/>
        </w:rPr>
        <w:t> </w:t>
      </w:r>
      <w:r>
        <w:rPr>
          <w:color w:val="231F1F"/>
          <w:w w:val="110"/>
          <w:sz w:val="22"/>
        </w:rPr>
        <w:t>idóneo</w:t>
      </w:r>
      <w:r>
        <w:rPr>
          <w:color w:val="231F1F"/>
          <w:spacing w:val="-12"/>
          <w:w w:val="110"/>
          <w:sz w:val="22"/>
        </w:rPr>
        <w:t> </w:t>
      </w:r>
      <w:r>
        <w:rPr>
          <w:color w:val="231F1F"/>
          <w:w w:val="110"/>
          <w:sz w:val="22"/>
        </w:rPr>
        <w:t>para</w:t>
      </w:r>
      <w:r>
        <w:rPr>
          <w:color w:val="231F1F"/>
          <w:spacing w:val="-13"/>
          <w:w w:val="110"/>
          <w:sz w:val="22"/>
        </w:rPr>
        <w:t> </w:t>
      </w:r>
      <w:r>
        <w:rPr>
          <w:color w:val="231F1F"/>
          <w:w w:val="110"/>
          <w:sz w:val="22"/>
        </w:rPr>
        <w:t>admitir</w:t>
      </w:r>
      <w:r>
        <w:rPr>
          <w:color w:val="231F1F"/>
          <w:spacing w:val="-14"/>
          <w:w w:val="110"/>
          <w:sz w:val="22"/>
        </w:rPr>
        <w:t> </w:t>
      </w:r>
      <w:r>
        <w:rPr>
          <w:color w:val="231F1F"/>
          <w:w w:val="110"/>
          <w:sz w:val="22"/>
        </w:rPr>
        <w:t>en</w:t>
      </w:r>
      <w:r>
        <w:rPr>
          <w:color w:val="231F1F"/>
          <w:spacing w:val="-13"/>
          <w:w w:val="110"/>
          <w:sz w:val="22"/>
        </w:rPr>
        <w:t> </w:t>
      </w:r>
      <w:r>
        <w:rPr>
          <w:color w:val="231F1F"/>
          <w:w w:val="110"/>
          <w:sz w:val="22"/>
        </w:rPr>
        <w:t>la</w:t>
      </w:r>
      <w:r>
        <w:rPr>
          <w:color w:val="231F1F"/>
          <w:spacing w:val="-12"/>
          <w:w w:val="110"/>
          <w:sz w:val="22"/>
        </w:rPr>
        <w:t> </w:t>
      </w:r>
      <w:r>
        <w:rPr>
          <w:color w:val="231F1F"/>
          <w:w w:val="110"/>
          <w:sz w:val="22"/>
        </w:rPr>
        <w:t>maternidad</w:t>
      </w:r>
      <w:r>
        <w:rPr>
          <w:color w:val="231F1F"/>
          <w:spacing w:val="-13"/>
          <w:w w:val="110"/>
          <w:sz w:val="22"/>
        </w:rPr>
        <w:t> </w:t>
      </w:r>
      <w:r>
        <w:rPr>
          <w:color w:val="231F1F"/>
          <w:w w:val="110"/>
          <w:sz w:val="22"/>
        </w:rPr>
        <w:t>a</w:t>
      </w:r>
      <w:r>
        <w:rPr>
          <w:color w:val="231F1F"/>
          <w:spacing w:val="-12"/>
          <w:w w:val="110"/>
          <w:sz w:val="22"/>
        </w:rPr>
        <w:t> </w:t>
      </w:r>
      <w:r>
        <w:rPr>
          <w:color w:val="231F1F"/>
          <w:w w:val="110"/>
          <w:sz w:val="22"/>
        </w:rPr>
        <w:t>una</w:t>
      </w:r>
      <w:r>
        <w:rPr>
          <w:color w:val="231F1F"/>
          <w:spacing w:val="-13"/>
          <w:w w:val="110"/>
          <w:sz w:val="22"/>
        </w:rPr>
        <w:t> </w:t>
      </w:r>
      <w:r>
        <w:rPr>
          <w:color w:val="231F1F"/>
          <w:w w:val="110"/>
          <w:sz w:val="22"/>
        </w:rPr>
        <w:t>mujer</w:t>
      </w:r>
      <w:r>
        <w:rPr>
          <w:color w:val="231F1F"/>
          <w:spacing w:val="-12"/>
          <w:w w:val="110"/>
          <w:sz w:val="22"/>
        </w:rPr>
        <w:t> </w:t>
      </w:r>
      <w:r>
        <w:rPr>
          <w:color w:val="231F1F"/>
          <w:w w:val="110"/>
          <w:sz w:val="22"/>
        </w:rPr>
        <w:t>en</w:t>
      </w:r>
      <w:r>
        <w:rPr>
          <w:color w:val="231F1F"/>
          <w:spacing w:val="-13"/>
          <w:w w:val="110"/>
          <w:sz w:val="22"/>
        </w:rPr>
        <w:t> </w:t>
      </w:r>
      <w:r>
        <w:rPr>
          <w:color w:val="231F1F"/>
          <w:w w:val="110"/>
          <w:sz w:val="22"/>
        </w:rPr>
        <w:t>trabajo</w:t>
      </w:r>
      <w:r>
        <w:rPr>
          <w:color w:val="231F1F"/>
          <w:spacing w:val="-12"/>
          <w:w w:val="110"/>
          <w:sz w:val="22"/>
        </w:rPr>
        <w:t> </w:t>
      </w:r>
      <w:r>
        <w:rPr>
          <w:color w:val="231F1F"/>
          <w:w w:val="110"/>
          <w:sz w:val="22"/>
        </w:rPr>
        <w:t>de </w:t>
      </w:r>
      <w:r>
        <w:rPr>
          <w:color w:val="231F1F"/>
          <w:spacing w:val="-2"/>
          <w:w w:val="110"/>
          <w:sz w:val="22"/>
        </w:rPr>
        <w:t>parto?</w:t>
      </w:r>
    </w:p>
    <w:p>
      <w:pPr>
        <w:pStyle w:val="BodyText"/>
        <w:spacing w:before="132"/>
      </w:pPr>
    </w:p>
    <w:p>
      <w:pPr>
        <w:pStyle w:val="Heading4"/>
      </w:pPr>
      <w:r>
        <w:rPr>
          <w:color w:val="231F1F"/>
          <w:w w:val="105"/>
        </w:rPr>
        <w:t>Cuidados</w:t>
      </w:r>
      <w:r>
        <w:rPr>
          <w:color w:val="231F1F"/>
          <w:spacing w:val="17"/>
          <w:w w:val="105"/>
        </w:rPr>
        <w:t> </w:t>
      </w:r>
      <w:r>
        <w:rPr>
          <w:color w:val="231F1F"/>
          <w:w w:val="105"/>
        </w:rPr>
        <w:t>durante</w:t>
      </w:r>
      <w:r>
        <w:rPr>
          <w:color w:val="231F1F"/>
          <w:spacing w:val="22"/>
          <w:w w:val="105"/>
        </w:rPr>
        <w:t> </w:t>
      </w:r>
      <w:r>
        <w:rPr>
          <w:color w:val="231F1F"/>
          <w:w w:val="105"/>
        </w:rPr>
        <w:t>la</w:t>
      </w:r>
      <w:r>
        <w:rPr>
          <w:color w:val="231F1F"/>
          <w:spacing w:val="21"/>
          <w:w w:val="105"/>
        </w:rPr>
        <w:t> </w:t>
      </w:r>
      <w:r>
        <w:rPr>
          <w:color w:val="231F1F"/>
          <w:spacing w:val="-2"/>
          <w:w w:val="105"/>
        </w:rPr>
        <w:t>admisión</w:t>
      </w:r>
    </w:p>
    <w:p>
      <w:pPr>
        <w:pStyle w:val="ListParagraph"/>
        <w:numPr>
          <w:ilvl w:val="0"/>
          <w:numId w:val="3"/>
        </w:numPr>
        <w:tabs>
          <w:tab w:pos="665" w:val="left" w:leader="none"/>
          <w:tab w:pos="668" w:val="left" w:leader="none"/>
        </w:tabs>
        <w:spacing w:line="278" w:lineRule="auto" w:before="228" w:after="0"/>
        <w:ind w:left="668" w:right="208" w:hanging="386"/>
        <w:jc w:val="left"/>
        <w:rPr>
          <w:sz w:val="22"/>
        </w:rPr>
      </w:pPr>
      <w:r>
        <w:rPr>
          <w:color w:val="231F1F"/>
          <w:sz w:val="22"/>
        </w:rPr>
        <w:t>¿Cuál</w:t>
      </w:r>
      <w:r>
        <w:rPr>
          <w:color w:val="231F1F"/>
          <w:spacing w:val="23"/>
          <w:sz w:val="22"/>
        </w:rPr>
        <w:t> </w:t>
      </w:r>
      <w:r>
        <w:rPr>
          <w:color w:val="231F1F"/>
          <w:sz w:val="22"/>
        </w:rPr>
        <w:t>es</w:t>
      </w:r>
      <w:r>
        <w:rPr>
          <w:color w:val="231F1F"/>
          <w:spacing w:val="23"/>
          <w:sz w:val="22"/>
        </w:rPr>
        <w:t> </w:t>
      </w:r>
      <w:r>
        <w:rPr>
          <w:color w:val="231F1F"/>
          <w:sz w:val="22"/>
        </w:rPr>
        <w:t>el beneficio</w:t>
      </w:r>
      <w:r>
        <w:rPr>
          <w:color w:val="231F1F"/>
          <w:spacing w:val="23"/>
          <w:sz w:val="22"/>
        </w:rPr>
        <w:t> </w:t>
      </w:r>
      <w:r>
        <w:rPr>
          <w:color w:val="231F1F"/>
          <w:sz w:val="22"/>
        </w:rPr>
        <w:t>de</w:t>
      </w:r>
      <w:r>
        <w:rPr>
          <w:color w:val="231F1F"/>
          <w:spacing w:val="23"/>
          <w:sz w:val="22"/>
        </w:rPr>
        <w:t> </w:t>
      </w:r>
      <w:r>
        <w:rPr>
          <w:color w:val="231F1F"/>
          <w:sz w:val="22"/>
        </w:rPr>
        <w:t>realizar</w:t>
      </w:r>
      <w:r>
        <w:rPr>
          <w:color w:val="231F1F"/>
          <w:spacing w:val="24"/>
          <w:sz w:val="22"/>
        </w:rPr>
        <w:t> </w:t>
      </w:r>
      <w:r>
        <w:rPr>
          <w:color w:val="231F1F"/>
          <w:sz w:val="22"/>
        </w:rPr>
        <w:t>amnioscopia</w:t>
      </w:r>
      <w:r>
        <w:rPr>
          <w:color w:val="231F1F"/>
          <w:spacing w:val="23"/>
          <w:sz w:val="22"/>
        </w:rPr>
        <w:t> </w:t>
      </w:r>
      <w:r>
        <w:rPr>
          <w:color w:val="231F1F"/>
          <w:sz w:val="22"/>
        </w:rPr>
        <w:t>a</w:t>
      </w:r>
      <w:r>
        <w:rPr>
          <w:color w:val="231F1F"/>
          <w:spacing w:val="23"/>
          <w:sz w:val="22"/>
        </w:rPr>
        <w:t> </w:t>
      </w:r>
      <w:r>
        <w:rPr>
          <w:color w:val="231F1F"/>
          <w:sz w:val="22"/>
        </w:rPr>
        <w:t>todas</w:t>
      </w:r>
      <w:r>
        <w:rPr>
          <w:color w:val="231F1F"/>
          <w:spacing w:val="24"/>
          <w:sz w:val="22"/>
        </w:rPr>
        <w:t> </w:t>
      </w:r>
      <w:r>
        <w:rPr>
          <w:color w:val="231F1F"/>
          <w:sz w:val="22"/>
        </w:rPr>
        <w:t>las</w:t>
      </w:r>
      <w:r>
        <w:rPr>
          <w:color w:val="231F1F"/>
          <w:spacing w:val="23"/>
          <w:sz w:val="22"/>
        </w:rPr>
        <w:t> </w:t>
      </w:r>
      <w:r>
        <w:rPr>
          <w:color w:val="231F1F"/>
          <w:sz w:val="22"/>
        </w:rPr>
        <w:t>mujeres</w:t>
      </w:r>
      <w:r>
        <w:rPr>
          <w:color w:val="231F1F"/>
          <w:spacing w:val="23"/>
          <w:sz w:val="22"/>
        </w:rPr>
        <w:t> </w:t>
      </w:r>
      <w:r>
        <w:rPr>
          <w:color w:val="231F1F"/>
          <w:sz w:val="22"/>
        </w:rPr>
        <w:t>que llegan</w:t>
      </w:r>
      <w:r>
        <w:rPr>
          <w:color w:val="231F1F"/>
          <w:spacing w:val="23"/>
          <w:sz w:val="22"/>
        </w:rPr>
        <w:t> </w:t>
      </w:r>
      <w:r>
        <w:rPr>
          <w:color w:val="231F1F"/>
          <w:sz w:val="22"/>
        </w:rPr>
        <w:t>a</w:t>
      </w:r>
      <w:r>
        <w:rPr>
          <w:color w:val="231F1F"/>
          <w:spacing w:val="23"/>
          <w:sz w:val="22"/>
        </w:rPr>
        <w:t> </w:t>
      </w:r>
      <w:r>
        <w:rPr>
          <w:color w:val="231F1F"/>
          <w:sz w:val="22"/>
        </w:rPr>
        <w:t>admisión por</w:t>
      </w:r>
      <w:r>
        <w:rPr>
          <w:color w:val="231F1F"/>
          <w:spacing w:val="40"/>
          <w:sz w:val="22"/>
        </w:rPr>
        <w:t> </w:t>
      </w:r>
      <w:r>
        <w:rPr>
          <w:color w:val="231F1F"/>
          <w:sz w:val="22"/>
        </w:rPr>
        <w:t>sospecha</w:t>
      </w:r>
      <w:r>
        <w:rPr>
          <w:color w:val="231F1F"/>
          <w:spacing w:val="40"/>
          <w:sz w:val="22"/>
        </w:rPr>
        <w:t> </w:t>
      </w:r>
      <w:r>
        <w:rPr>
          <w:color w:val="231F1F"/>
          <w:sz w:val="22"/>
        </w:rPr>
        <w:t>de</w:t>
      </w:r>
      <w:r>
        <w:rPr>
          <w:color w:val="231F1F"/>
          <w:spacing w:val="40"/>
          <w:sz w:val="22"/>
        </w:rPr>
        <w:t> </w:t>
      </w:r>
      <w:r>
        <w:rPr>
          <w:color w:val="231F1F"/>
          <w:sz w:val="22"/>
        </w:rPr>
        <w:t>trabajo</w:t>
      </w:r>
      <w:r>
        <w:rPr>
          <w:color w:val="231F1F"/>
          <w:spacing w:val="40"/>
          <w:sz w:val="22"/>
        </w:rPr>
        <w:t> </w:t>
      </w:r>
      <w:r>
        <w:rPr>
          <w:color w:val="231F1F"/>
          <w:sz w:val="22"/>
        </w:rPr>
        <w:t>de</w:t>
      </w:r>
      <w:r>
        <w:rPr>
          <w:color w:val="231F1F"/>
          <w:spacing w:val="40"/>
          <w:sz w:val="22"/>
        </w:rPr>
        <w:t> </w:t>
      </w:r>
      <w:r>
        <w:rPr>
          <w:color w:val="231F1F"/>
          <w:sz w:val="22"/>
        </w:rPr>
        <w:t>parto?</w:t>
      </w:r>
    </w:p>
    <w:p>
      <w:pPr>
        <w:pStyle w:val="ListParagraph"/>
        <w:numPr>
          <w:ilvl w:val="0"/>
          <w:numId w:val="3"/>
        </w:numPr>
        <w:tabs>
          <w:tab w:pos="665" w:val="left" w:leader="none"/>
          <w:tab w:pos="668" w:val="left" w:leader="none"/>
        </w:tabs>
        <w:spacing w:line="259" w:lineRule="auto" w:before="109" w:after="0"/>
        <w:ind w:left="668" w:right="219" w:hanging="386"/>
        <w:jc w:val="left"/>
        <w:rPr>
          <w:sz w:val="22"/>
        </w:rPr>
      </w:pPr>
      <w:r>
        <w:rPr>
          <w:color w:val="231F1F"/>
          <w:w w:val="110"/>
          <w:sz w:val="22"/>
        </w:rPr>
        <w:t>¿Cuál</w:t>
      </w:r>
      <w:r>
        <w:rPr>
          <w:color w:val="231F1F"/>
          <w:spacing w:val="-7"/>
          <w:w w:val="110"/>
          <w:sz w:val="22"/>
        </w:rPr>
        <w:t> </w:t>
      </w:r>
      <w:r>
        <w:rPr>
          <w:color w:val="231F1F"/>
          <w:w w:val="110"/>
          <w:sz w:val="22"/>
        </w:rPr>
        <w:t>es</w:t>
      </w:r>
      <w:r>
        <w:rPr>
          <w:color w:val="231F1F"/>
          <w:spacing w:val="-7"/>
          <w:w w:val="110"/>
          <w:sz w:val="22"/>
        </w:rPr>
        <w:t> </w:t>
      </w:r>
      <w:r>
        <w:rPr>
          <w:color w:val="231F1F"/>
          <w:w w:val="110"/>
          <w:sz w:val="22"/>
        </w:rPr>
        <w:t>el</w:t>
      </w:r>
      <w:r>
        <w:rPr>
          <w:color w:val="231F1F"/>
          <w:spacing w:val="-7"/>
          <w:w w:val="110"/>
          <w:sz w:val="22"/>
        </w:rPr>
        <w:t> </w:t>
      </w:r>
      <w:r>
        <w:rPr>
          <w:color w:val="231F1F"/>
          <w:w w:val="110"/>
          <w:sz w:val="22"/>
        </w:rPr>
        <w:t>beneficio</w:t>
      </w:r>
      <w:r>
        <w:rPr>
          <w:color w:val="231F1F"/>
          <w:spacing w:val="-7"/>
          <w:w w:val="110"/>
          <w:sz w:val="22"/>
        </w:rPr>
        <w:t> </w:t>
      </w:r>
      <w:r>
        <w:rPr>
          <w:color w:val="231F1F"/>
          <w:w w:val="110"/>
          <w:sz w:val="22"/>
        </w:rPr>
        <w:t>de</w:t>
      </w:r>
      <w:r>
        <w:rPr>
          <w:color w:val="231F1F"/>
          <w:spacing w:val="-7"/>
          <w:w w:val="110"/>
          <w:sz w:val="22"/>
        </w:rPr>
        <w:t> </w:t>
      </w:r>
      <w:r>
        <w:rPr>
          <w:color w:val="231F1F"/>
          <w:w w:val="110"/>
          <w:sz w:val="22"/>
        </w:rPr>
        <w:t>realizar</w:t>
      </w:r>
      <w:r>
        <w:rPr>
          <w:color w:val="231F1F"/>
          <w:spacing w:val="-7"/>
          <w:w w:val="110"/>
          <w:sz w:val="22"/>
        </w:rPr>
        <w:t> </w:t>
      </w:r>
      <w:r>
        <w:rPr>
          <w:color w:val="231F1F"/>
          <w:w w:val="110"/>
          <w:sz w:val="22"/>
        </w:rPr>
        <w:t>CTG</w:t>
      </w:r>
      <w:r>
        <w:rPr>
          <w:color w:val="231F1F"/>
          <w:spacing w:val="-7"/>
          <w:w w:val="110"/>
          <w:sz w:val="22"/>
        </w:rPr>
        <w:t> </w:t>
      </w:r>
      <w:r>
        <w:rPr>
          <w:color w:val="231F1F"/>
          <w:w w:val="110"/>
          <w:sz w:val="22"/>
        </w:rPr>
        <w:t>a</w:t>
      </w:r>
      <w:r>
        <w:rPr>
          <w:color w:val="231F1F"/>
          <w:spacing w:val="-7"/>
          <w:w w:val="110"/>
          <w:sz w:val="22"/>
        </w:rPr>
        <w:t> </w:t>
      </w:r>
      <w:r>
        <w:rPr>
          <w:color w:val="231F1F"/>
          <w:w w:val="110"/>
          <w:sz w:val="22"/>
        </w:rPr>
        <w:t>todas</w:t>
      </w:r>
      <w:r>
        <w:rPr>
          <w:color w:val="231F1F"/>
          <w:spacing w:val="-7"/>
          <w:w w:val="110"/>
          <w:sz w:val="22"/>
        </w:rPr>
        <w:t> </w:t>
      </w:r>
      <w:r>
        <w:rPr>
          <w:color w:val="231F1F"/>
          <w:w w:val="110"/>
          <w:sz w:val="22"/>
        </w:rPr>
        <w:t>las</w:t>
      </w:r>
      <w:r>
        <w:rPr>
          <w:color w:val="231F1F"/>
          <w:spacing w:val="-7"/>
          <w:w w:val="110"/>
          <w:sz w:val="22"/>
        </w:rPr>
        <w:t> </w:t>
      </w:r>
      <w:r>
        <w:rPr>
          <w:color w:val="231F1F"/>
          <w:w w:val="110"/>
          <w:sz w:val="22"/>
        </w:rPr>
        <w:t>mujeres</w:t>
      </w:r>
      <w:r>
        <w:rPr>
          <w:color w:val="231F1F"/>
          <w:spacing w:val="-7"/>
          <w:w w:val="110"/>
          <w:sz w:val="22"/>
        </w:rPr>
        <w:t> </w:t>
      </w:r>
      <w:r>
        <w:rPr>
          <w:color w:val="231F1F"/>
          <w:w w:val="110"/>
          <w:sz w:val="22"/>
        </w:rPr>
        <w:t>que</w:t>
      </w:r>
      <w:r>
        <w:rPr>
          <w:color w:val="231F1F"/>
          <w:spacing w:val="-7"/>
          <w:w w:val="110"/>
          <w:sz w:val="22"/>
        </w:rPr>
        <w:t> </w:t>
      </w:r>
      <w:r>
        <w:rPr>
          <w:color w:val="231F1F"/>
          <w:w w:val="110"/>
          <w:sz w:val="22"/>
        </w:rPr>
        <w:t>llegan</w:t>
      </w:r>
      <w:r>
        <w:rPr>
          <w:color w:val="231F1F"/>
          <w:spacing w:val="-7"/>
          <w:w w:val="110"/>
          <w:sz w:val="22"/>
        </w:rPr>
        <w:t> </w:t>
      </w:r>
      <w:r>
        <w:rPr>
          <w:color w:val="231F1F"/>
          <w:w w:val="110"/>
          <w:sz w:val="22"/>
        </w:rPr>
        <w:t>a</w:t>
      </w:r>
      <w:r>
        <w:rPr>
          <w:color w:val="231F1F"/>
          <w:spacing w:val="-7"/>
          <w:w w:val="110"/>
          <w:sz w:val="22"/>
        </w:rPr>
        <w:t> </w:t>
      </w:r>
      <w:r>
        <w:rPr>
          <w:color w:val="231F1F"/>
          <w:w w:val="110"/>
          <w:sz w:val="22"/>
        </w:rPr>
        <w:t>admisión</w:t>
      </w:r>
      <w:r>
        <w:rPr>
          <w:color w:val="231F1F"/>
          <w:spacing w:val="-7"/>
          <w:w w:val="110"/>
          <w:sz w:val="22"/>
        </w:rPr>
        <w:t> </w:t>
      </w:r>
      <w:r>
        <w:rPr>
          <w:color w:val="231F1F"/>
          <w:w w:val="110"/>
          <w:sz w:val="22"/>
        </w:rPr>
        <w:t>por sospecha de trabajo de parto?</w:t>
      </w:r>
    </w:p>
    <w:p>
      <w:pPr>
        <w:pStyle w:val="ListParagraph"/>
        <w:spacing w:after="0" w:line="259" w:lineRule="auto"/>
        <w:jc w:val="left"/>
        <w:rPr>
          <w:sz w:val="22"/>
        </w:rPr>
        <w:sectPr>
          <w:footerReference w:type="default" r:id="rId29"/>
          <w:footerReference w:type="even" r:id="rId30"/>
          <w:pgSz w:w="11900" w:h="16840"/>
          <w:pgMar w:header="0" w:footer="622" w:top="1480" w:bottom="820" w:left="1417" w:right="1559"/>
          <w:pgNumType w:start="15"/>
        </w:sectPr>
      </w:pPr>
    </w:p>
    <w:p>
      <w:pPr>
        <w:pStyle w:val="Heading4"/>
        <w:spacing w:before="75"/>
      </w:pPr>
      <w:r>
        <w:rPr>
          <w:color w:val="231F1F"/>
          <w:w w:val="105"/>
        </w:rPr>
        <w:t>Intervenciones</w:t>
      </w:r>
      <w:r>
        <w:rPr>
          <w:color w:val="231F1F"/>
          <w:spacing w:val="21"/>
          <w:w w:val="105"/>
        </w:rPr>
        <w:t> </w:t>
      </w:r>
      <w:r>
        <w:rPr>
          <w:color w:val="231F1F"/>
          <w:w w:val="105"/>
        </w:rPr>
        <w:t>rutinarias</w:t>
      </w:r>
      <w:r>
        <w:rPr>
          <w:color w:val="231F1F"/>
          <w:spacing w:val="22"/>
          <w:w w:val="105"/>
        </w:rPr>
        <w:t> </w:t>
      </w:r>
      <w:r>
        <w:rPr>
          <w:color w:val="231F1F"/>
          <w:w w:val="105"/>
        </w:rPr>
        <w:t>posibles</w:t>
      </w:r>
      <w:r>
        <w:rPr>
          <w:color w:val="231F1F"/>
          <w:spacing w:val="24"/>
          <w:w w:val="105"/>
        </w:rPr>
        <w:t> </w:t>
      </w:r>
      <w:r>
        <w:rPr>
          <w:color w:val="231F1F"/>
          <w:w w:val="105"/>
        </w:rPr>
        <w:t>durante</w:t>
      </w:r>
      <w:r>
        <w:rPr>
          <w:color w:val="231F1F"/>
          <w:spacing w:val="25"/>
          <w:w w:val="105"/>
        </w:rPr>
        <w:t> </w:t>
      </w:r>
      <w:r>
        <w:rPr>
          <w:color w:val="231F1F"/>
          <w:w w:val="105"/>
        </w:rPr>
        <w:t>la</w:t>
      </w:r>
      <w:r>
        <w:rPr>
          <w:color w:val="231F1F"/>
          <w:spacing w:val="25"/>
          <w:w w:val="105"/>
        </w:rPr>
        <w:t> </w:t>
      </w:r>
      <w:r>
        <w:rPr>
          <w:color w:val="231F1F"/>
          <w:spacing w:val="-2"/>
          <w:w w:val="105"/>
        </w:rPr>
        <w:t>dilatación</w:t>
      </w:r>
    </w:p>
    <w:p>
      <w:pPr>
        <w:pStyle w:val="ListParagraph"/>
        <w:numPr>
          <w:ilvl w:val="0"/>
          <w:numId w:val="3"/>
        </w:numPr>
        <w:tabs>
          <w:tab w:pos="665" w:val="left" w:leader="none"/>
        </w:tabs>
        <w:spacing w:line="240" w:lineRule="auto" w:before="204" w:after="0"/>
        <w:ind w:left="665" w:right="0" w:hanging="383"/>
        <w:jc w:val="left"/>
        <w:rPr>
          <w:sz w:val="22"/>
        </w:rPr>
      </w:pPr>
      <w:r>
        <w:rPr>
          <w:color w:val="231F1F"/>
          <w:sz w:val="22"/>
        </w:rPr>
        <w:t>¿Cuál</w:t>
      </w:r>
      <w:r>
        <w:rPr>
          <w:color w:val="231F1F"/>
          <w:spacing w:val="35"/>
          <w:sz w:val="22"/>
        </w:rPr>
        <w:t> </w:t>
      </w:r>
      <w:r>
        <w:rPr>
          <w:color w:val="231F1F"/>
          <w:sz w:val="22"/>
        </w:rPr>
        <w:t>es</w:t>
      </w:r>
      <w:r>
        <w:rPr>
          <w:color w:val="231F1F"/>
          <w:spacing w:val="38"/>
          <w:sz w:val="22"/>
        </w:rPr>
        <w:t> </w:t>
      </w:r>
      <w:r>
        <w:rPr>
          <w:color w:val="231F1F"/>
          <w:sz w:val="22"/>
        </w:rPr>
        <w:t>la</w:t>
      </w:r>
      <w:r>
        <w:rPr>
          <w:color w:val="231F1F"/>
          <w:spacing w:val="37"/>
          <w:sz w:val="22"/>
        </w:rPr>
        <w:t> </w:t>
      </w:r>
      <w:r>
        <w:rPr>
          <w:color w:val="231F1F"/>
          <w:sz w:val="22"/>
        </w:rPr>
        <w:t>efectividad</w:t>
      </w:r>
      <w:r>
        <w:rPr>
          <w:color w:val="231F1F"/>
          <w:spacing w:val="38"/>
          <w:sz w:val="22"/>
        </w:rPr>
        <w:t> </w:t>
      </w:r>
      <w:r>
        <w:rPr>
          <w:color w:val="231F1F"/>
          <w:sz w:val="22"/>
        </w:rPr>
        <w:t>del</w:t>
      </w:r>
      <w:r>
        <w:rPr>
          <w:color w:val="231F1F"/>
          <w:spacing w:val="34"/>
          <w:sz w:val="22"/>
        </w:rPr>
        <w:t> </w:t>
      </w:r>
      <w:r>
        <w:rPr>
          <w:color w:val="231F1F"/>
          <w:sz w:val="22"/>
        </w:rPr>
        <w:t>enema</w:t>
      </w:r>
      <w:r>
        <w:rPr>
          <w:color w:val="231F1F"/>
          <w:spacing w:val="37"/>
          <w:sz w:val="22"/>
        </w:rPr>
        <w:t> </w:t>
      </w:r>
      <w:r>
        <w:rPr>
          <w:color w:val="231F1F"/>
          <w:sz w:val="22"/>
        </w:rPr>
        <w:t>rutinario</w:t>
      </w:r>
      <w:r>
        <w:rPr>
          <w:color w:val="231F1F"/>
          <w:spacing w:val="38"/>
          <w:sz w:val="22"/>
        </w:rPr>
        <w:t> </w:t>
      </w:r>
      <w:r>
        <w:rPr>
          <w:color w:val="231F1F"/>
          <w:sz w:val="22"/>
        </w:rPr>
        <w:t>durante</w:t>
      </w:r>
      <w:r>
        <w:rPr>
          <w:color w:val="231F1F"/>
          <w:spacing w:val="37"/>
          <w:sz w:val="22"/>
        </w:rPr>
        <w:t> </w:t>
      </w:r>
      <w:r>
        <w:rPr>
          <w:color w:val="231F1F"/>
          <w:sz w:val="22"/>
        </w:rPr>
        <w:t>el</w:t>
      </w:r>
      <w:r>
        <w:rPr>
          <w:color w:val="231F1F"/>
          <w:spacing w:val="36"/>
          <w:sz w:val="22"/>
        </w:rPr>
        <w:t> </w:t>
      </w:r>
      <w:r>
        <w:rPr>
          <w:color w:val="231F1F"/>
          <w:spacing w:val="-2"/>
          <w:sz w:val="22"/>
        </w:rPr>
        <w:t>parto?</w:t>
      </w:r>
    </w:p>
    <w:p>
      <w:pPr>
        <w:pStyle w:val="ListParagraph"/>
        <w:numPr>
          <w:ilvl w:val="0"/>
          <w:numId w:val="3"/>
        </w:numPr>
        <w:tabs>
          <w:tab w:pos="665" w:val="left" w:leader="none"/>
        </w:tabs>
        <w:spacing w:line="240" w:lineRule="auto" w:before="155" w:after="0"/>
        <w:ind w:left="665" w:right="0" w:hanging="383"/>
        <w:jc w:val="left"/>
        <w:rPr>
          <w:sz w:val="22"/>
        </w:rPr>
      </w:pPr>
      <w:r>
        <w:rPr>
          <w:color w:val="231F1F"/>
          <w:sz w:val="22"/>
        </w:rPr>
        <w:t>¿Cuál</w:t>
      </w:r>
      <w:r>
        <w:rPr>
          <w:color w:val="231F1F"/>
          <w:spacing w:val="40"/>
          <w:sz w:val="22"/>
        </w:rPr>
        <w:t> </w:t>
      </w:r>
      <w:r>
        <w:rPr>
          <w:color w:val="231F1F"/>
          <w:sz w:val="22"/>
        </w:rPr>
        <w:t>es</w:t>
      </w:r>
      <w:r>
        <w:rPr>
          <w:color w:val="231F1F"/>
          <w:spacing w:val="43"/>
          <w:sz w:val="22"/>
        </w:rPr>
        <w:t> </w:t>
      </w:r>
      <w:r>
        <w:rPr>
          <w:color w:val="231F1F"/>
          <w:sz w:val="22"/>
        </w:rPr>
        <w:t>la</w:t>
      </w:r>
      <w:r>
        <w:rPr>
          <w:color w:val="231F1F"/>
          <w:spacing w:val="41"/>
          <w:sz w:val="22"/>
        </w:rPr>
        <w:t> </w:t>
      </w:r>
      <w:r>
        <w:rPr>
          <w:color w:val="231F1F"/>
          <w:sz w:val="22"/>
        </w:rPr>
        <w:t>efectividad</w:t>
      </w:r>
      <w:r>
        <w:rPr>
          <w:color w:val="231F1F"/>
          <w:spacing w:val="43"/>
          <w:sz w:val="22"/>
        </w:rPr>
        <w:t> </w:t>
      </w:r>
      <w:r>
        <w:rPr>
          <w:color w:val="231F1F"/>
          <w:sz w:val="22"/>
        </w:rPr>
        <w:t>del</w:t>
      </w:r>
      <w:r>
        <w:rPr>
          <w:color w:val="231F1F"/>
          <w:spacing w:val="37"/>
          <w:sz w:val="22"/>
        </w:rPr>
        <w:t> </w:t>
      </w:r>
      <w:r>
        <w:rPr>
          <w:color w:val="231F1F"/>
          <w:sz w:val="22"/>
        </w:rPr>
        <w:t>rasurado</w:t>
      </w:r>
      <w:r>
        <w:rPr>
          <w:color w:val="231F1F"/>
          <w:spacing w:val="43"/>
          <w:sz w:val="22"/>
        </w:rPr>
        <w:t> </w:t>
      </w:r>
      <w:r>
        <w:rPr>
          <w:color w:val="231F1F"/>
          <w:sz w:val="22"/>
        </w:rPr>
        <w:t>perineal</w:t>
      </w:r>
      <w:r>
        <w:rPr>
          <w:color w:val="231F1F"/>
          <w:spacing w:val="41"/>
          <w:sz w:val="22"/>
        </w:rPr>
        <w:t> </w:t>
      </w:r>
      <w:r>
        <w:rPr>
          <w:color w:val="231F1F"/>
          <w:sz w:val="22"/>
        </w:rPr>
        <w:t>rutinario</w:t>
      </w:r>
      <w:r>
        <w:rPr>
          <w:color w:val="231F1F"/>
          <w:spacing w:val="41"/>
          <w:sz w:val="22"/>
        </w:rPr>
        <w:t> </w:t>
      </w:r>
      <w:r>
        <w:rPr>
          <w:color w:val="231F1F"/>
          <w:sz w:val="22"/>
        </w:rPr>
        <w:t>durante</w:t>
      </w:r>
      <w:r>
        <w:rPr>
          <w:color w:val="231F1F"/>
          <w:spacing w:val="42"/>
          <w:sz w:val="22"/>
        </w:rPr>
        <w:t> </w:t>
      </w:r>
      <w:r>
        <w:rPr>
          <w:color w:val="231F1F"/>
          <w:sz w:val="22"/>
        </w:rPr>
        <w:t>el</w:t>
      </w:r>
      <w:r>
        <w:rPr>
          <w:color w:val="231F1F"/>
          <w:spacing w:val="41"/>
          <w:sz w:val="22"/>
        </w:rPr>
        <w:t> </w:t>
      </w:r>
      <w:r>
        <w:rPr>
          <w:color w:val="231F1F"/>
          <w:spacing w:val="-2"/>
          <w:sz w:val="22"/>
        </w:rPr>
        <w:t>parto?</w:t>
      </w:r>
    </w:p>
    <w:p>
      <w:pPr>
        <w:pStyle w:val="ListParagraph"/>
        <w:numPr>
          <w:ilvl w:val="0"/>
          <w:numId w:val="3"/>
        </w:numPr>
        <w:tabs>
          <w:tab w:pos="665" w:val="left" w:leader="none"/>
        </w:tabs>
        <w:spacing w:line="240" w:lineRule="auto" w:before="150" w:after="0"/>
        <w:ind w:left="665" w:right="0" w:hanging="383"/>
        <w:jc w:val="left"/>
        <w:rPr>
          <w:sz w:val="22"/>
        </w:rPr>
      </w:pPr>
      <w:r>
        <w:rPr>
          <w:color w:val="231F1F"/>
          <w:w w:val="110"/>
          <w:sz w:val="22"/>
        </w:rPr>
        <w:t>¿Cuál</w:t>
      </w:r>
      <w:r>
        <w:rPr>
          <w:color w:val="231F1F"/>
          <w:spacing w:val="-15"/>
          <w:w w:val="110"/>
          <w:sz w:val="22"/>
        </w:rPr>
        <w:t> </w:t>
      </w:r>
      <w:r>
        <w:rPr>
          <w:color w:val="231F1F"/>
          <w:w w:val="110"/>
          <w:sz w:val="22"/>
        </w:rPr>
        <w:t>es</w:t>
      </w:r>
      <w:r>
        <w:rPr>
          <w:color w:val="231F1F"/>
          <w:spacing w:val="-14"/>
          <w:w w:val="110"/>
          <w:sz w:val="22"/>
        </w:rPr>
        <w:t> </w:t>
      </w:r>
      <w:r>
        <w:rPr>
          <w:color w:val="231F1F"/>
          <w:w w:val="110"/>
          <w:sz w:val="22"/>
        </w:rPr>
        <w:t>la</w:t>
      </w:r>
      <w:r>
        <w:rPr>
          <w:color w:val="231F1F"/>
          <w:spacing w:val="-12"/>
          <w:w w:val="110"/>
          <w:sz w:val="22"/>
        </w:rPr>
        <w:t> </w:t>
      </w:r>
      <w:r>
        <w:rPr>
          <w:color w:val="231F1F"/>
          <w:w w:val="110"/>
          <w:sz w:val="22"/>
        </w:rPr>
        <w:t>efectividad</w:t>
      </w:r>
      <w:r>
        <w:rPr>
          <w:color w:val="231F1F"/>
          <w:spacing w:val="-15"/>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4"/>
          <w:w w:val="110"/>
          <w:sz w:val="22"/>
        </w:rPr>
        <w:t> </w:t>
      </w:r>
      <w:r>
        <w:rPr>
          <w:color w:val="231F1F"/>
          <w:w w:val="110"/>
          <w:sz w:val="22"/>
        </w:rPr>
        <w:t>atención</w:t>
      </w:r>
      <w:r>
        <w:rPr>
          <w:color w:val="231F1F"/>
          <w:spacing w:val="-14"/>
          <w:w w:val="110"/>
          <w:sz w:val="22"/>
        </w:rPr>
        <w:t> </w:t>
      </w:r>
      <w:r>
        <w:rPr>
          <w:color w:val="231F1F"/>
          <w:w w:val="110"/>
          <w:sz w:val="22"/>
        </w:rPr>
        <w:t>una</w:t>
      </w:r>
      <w:r>
        <w:rPr>
          <w:color w:val="231F1F"/>
          <w:spacing w:val="-13"/>
          <w:w w:val="110"/>
          <w:sz w:val="22"/>
        </w:rPr>
        <w:t> </w:t>
      </w:r>
      <w:r>
        <w:rPr>
          <w:color w:val="231F1F"/>
          <w:w w:val="110"/>
          <w:sz w:val="22"/>
        </w:rPr>
        <w:t>a</w:t>
      </w:r>
      <w:r>
        <w:rPr>
          <w:color w:val="231F1F"/>
          <w:spacing w:val="-14"/>
          <w:w w:val="110"/>
          <w:sz w:val="22"/>
        </w:rPr>
        <w:t> </w:t>
      </w:r>
      <w:r>
        <w:rPr>
          <w:color w:val="231F1F"/>
          <w:w w:val="110"/>
          <w:sz w:val="22"/>
        </w:rPr>
        <w:t>una</w:t>
      </w:r>
      <w:r>
        <w:rPr>
          <w:color w:val="231F1F"/>
          <w:spacing w:val="-12"/>
          <w:w w:val="110"/>
          <w:sz w:val="22"/>
        </w:rPr>
        <w:t> </w:t>
      </w:r>
      <w:r>
        <w:rPr>
          <w:color w:val="231F1F"/>
          <w:w w:val="110"/>
          <w:sz w:val="22"/>
        </w:rPr>
        <w:t>durante</w:t>
      </w:r>
      <w:r>
        <w:rPr>
          <w:color w:val="231F1F"/>
          <w:spacing w:val="-15"/>
          <w:w w:val="110"/>
          <w:sz w:val="22"/>
        </w:rPr>
        <w:t> </w:t>
      </w:r>
      <w:r>
        <w:rPr>
          <w:color w:val="231F1F"/>
          <w:w w:val="110"/>
          <w:sz w:val="22"/>
        </w:rPr>
        <w:t>el</w:t>
      </w:r>
      <w:r>
        <w:rPr>
          <w:color w:val="231F1F"/>
          <w:spacing w:val="-12"/>
          <w:w w:val="110"/>
          <w:sz w:val="22"/>
        </w:rPr>
        <w:t> </w:t>
      </w:r>
      <w:r>
        <w:rPr>
          <w:color w:val="231F1F"/>
          <w:spacing w:val="-2"/>
          <w:w w:val="110"/>
          <w:sz w:val="22"/>
        </w:rPr>
        <w:t>parto?</w:t>
      </w:r>
    </w:p>
    <w:p>
      <w:pPr>
        <w:pStyle w:val="ListParagraph"/>
        <w:numPr>
          <w:ilvl w:val="0"/>
          <w:numId w:val="3"/>
        </w:numPr>
        <w:tabs>
          <w:tab w:pos="668" w:val="left" w:leader="none"/>
        </w:tabs>
        <w:spacing w:line="264" w:lineRule="auto" w:before="150" w:after="0"/>
        <w:ind w:left="668" w:right="303" w:hanging="385"/>
        <w:jc w:val="left"/>
        <w:rPr>
          <w:sz w:val="22"/>
        </w:rPr>
      </w:pPr>
      <w:r>
        <w:rPr>
          <w:color w:val="231F1F"/>
          <w:w w:val="105"/>
          <w:sz w:val="22"/>
        </w:rPr>
        <w:t>¿Qué</w:t>
      </w:r>
      <w:r>
        <w:rPr>
          <w:color w:val="231F1F"/>
          <w:spacing w:val="-6"/>
          <w:w w:val="105"/>
          <w:sz w:val="22"/>
        </w:rPr>
        <w:t> </w:t>
      </w:r>
      <w:r>
        <w:rPr>
          <w:color w:val="231F1F"/>
          <w:w w:val="105"/>
          <w:sz w:val="22"/>
        </w:rPr>
        <w:t>efecto</w:t>
      </w:r>
      <w:r>
        <w:rPr>
          <w:color w:val="231F1F"/>
          <w:spacing w:val="-7"/>
          <w:w w:val="105"/>
          <w:sz w:val="22"/>
        </w:rPr>
        <w:t> </w:t>
      </w:r>
      <w:r>
        <w:rPr>
          <w:color w:val="231F1F"/>
          <w:w w:val="105"/>
          <w:sz w:val="22"/>
        </w:rPr>
        <w:t>tiene</w:t>
      </w:r>
      <w:r>
        <w:rPr>
          <w:color w:val="231F1F"/>
          <w:spacing w:val="-7"/>
          <w:w w:val="105"/>
          <w:sz w:val="22"/>
        </w:rPr>
        <w:t> </w:t>
      </w:r>
      <w:r>
        <w:rPr>
          <w:color w:val="231F1F"/>
          <w:w w:val="105"/>
          <w:sz w:val="22"/>
        </w:rPr>
        <w:t>la</w:t>
      </w:r>
      <w:r>
        <w:rPr>
          <w:color w:val="231F1F"/>
          <w:spacing w:val="-6"/>
          <w:w w:val="105"/>
          <w:sz w:val="22"/>
        </w:rPr>
        <w:t> </w:t>
      </w:r>
      <w:r>
        <w:rPr>
          <w:color w:val="231F1F"/>
          <w:w w:val="105"/>
          <w:sz w:val="22"/>
        </w:rPr>
        <w:t>movilización</w:t>
      </w:r>
      <w:r>
        <w:rPr>
          <w:color w:val="231F1F"/>
          <w:spacing w:val="-8"/>
          <w:w w:val="105"/>
          <w:sz w:val="22"/>
        </w:rPr>
        <w:t> </w:t>
      </w:r>
      <w:r>
        <w:rPr>
          <w:color w:val="231F1F"/>
          <w:w w:val="105"/>
          <w:sz w:val="22"/>
        </w:rPr>
        <w:t>y</w:t>
      </w:r>
      <w:r>
        <w:rPr>
          <w:color w:val="231F1F"/>
          <w:spacing w:val="-7"/>
          <w:w w:val="105"/>
          <w:sz w:val="22"/>
        </w:rPr>
        <w:t> </w:t>
      </w:r>
      <w:r>
        <w:rPr>
          <w:color w:val="231F1F"/>
          <w:w w:val="105"/>
          <w:sz w:val="22"/>
        </w:rPr>
        <w:t>la</w:t>
      </w:r>
      <w:r>
        <w:rPr>
          <w:color w:val="231F1F"/>
          <w:spacing w:val="-6"/>
          <w:w w:val="105"/>
          <w:sz w:val="22"/>
        </w:rPr>
        <w:t> </w:t>
      </w:r>
      <w:r>
        <w:rPr>
          <w:color w:val="231F1F"/>
          <w:w w:val="105"/>
          <w:sz w:val="22"/>
        </w:rPr>
        <w:t>adopción</w:t>
      </w:r>
      <w:r>
        <w:rPr>
          <w:color w:val="231F1F"/>
          <w:spacing w:val="-7"/>
          <w:w w:val="105"/>
          <w:sz w:val="22"/>
        </w:rPr>
        <w:t> </w:t>
      </w:r>
      <w:r>
        <w:rPr>
          <w:color w:val="231F1F"/>
          <w:w w:val="105"/>
          <w:sz w:val="22"/>
        </w:rPr>
        <w:t>de</w:t>
      </w:r>
      <w:r>
        <w:rPr>
          <w:color w:val="231F1F"/>
          <w:spacing w:val="-7"/>
          <w:w w:val="105"/>
          <w:sz w:val="22"/>
        </w:rPr>
        <w:t> </w:t>
      </w:r>
      <w:r>
        <w:rPr>
          <w:color w:val="231F1F"/>
          <w:w w:val="105"/>
          <w:sz w:val="22"/>
        </w:rPr>
        <w:t>diferentes</w:t>
      </w:r>
      <w:r>
        <w:rPr>
          <w:color w:val="231F1F"/>
          <w:spacing w:val="-8"/>
          <w:w w:val="105"/>
          <w:sz w:val="22"/>
        </w:rPr>
        <w:t> </w:t>
      </w:r>
      <w:r>
        <w:rPr>
          <w:color w:val="231F1F"/>
          <w:w w:val="105"/>
          <w:sz w:val="22"/>
        </w:rPr>
        <w:t>posiciones</w:t>
      </w:r>
      <w:r>
        <w:rPr>
          <w:color w:val="231F1F"/>
          <w:spacing w:val="-8"/>
          <w:w w:val="105"/>
          <w:sz w:val="22"/>
        </w:rPr>
        <w:t> </w:t>
      </w:r>
      <w:r>
        <w:rPr>
          <w:color w:val="231F1F"/>
          <w:w w:val="105"/>
          <w:sz w:val="22"/>
        </w:rPr>
        <w:t>sobre</w:t>
      </w:r>
      <w:r>
        <w:rPr>
          <w:color w:val="231F1F"/>
          <w:spacing w:val="-7"/>
          <w:w w:val="105"/>
          <w:sz w:val="22"/>
        </w:rPr>
        <w:t> </w:t>
      </w:r>
      <w:r>
        <w:rPr>
          <w:color w:val="231F1F"/>
          <w:w w:val="105"/>
          <w:sz w:val="22"/>
        </w:rPr>
        <w:t>el</w:t>
      </w:r>
      <w:r>
        <w:rPr>
          <w:color w:val="231F1F"/>
          <w:spacing w:val="-8"/>
          <w:w w:val="105"/>
          <w:sz w:val="22"/>
        </w:rPr>
        <w:t> </w:t>
      </w:r>
      <w:r>
        <w:rPr>
          <w:color w:val="231F1F"/>
          <w:w w:val="105"/>
          <w:sz w:val="22"/>
        </w:rPr>
        <w:t>parto y sus resultados?</w:t>
      </w:r>
    </w:p>
    <w:p>
      <w:pPr>
        <w:pStyle w:val="ListParagraph"/>
        <w:numPr>
          <w:ilvl w:val="0"/>
          <w:numId w:val="3"/>
        </w:numPr>
        <w:tabs>
          <w:tab w:pos="665" w:val="left" w:leader="none"/>
          <w:tab w:pos="668" w:val="left" w:leader="none"/>
        </w:tabs>
        <w:spacing w:line="264" w:lineRule="auto" w:before="120" w:after="0"/>
        <w:ind w:left="668" w:right="197" w:hanging="386"/>
        <w:jc w:val="left"/>
        <w:rPr>
          <w:sz w:val="22"/>
        </w:rPr>
      </w:pPr>
      <w:r>
        <w:rPr>
          <w:color w:val="231F1F"/>
          <w:sz w:val="22"/>
        </w:rPr>
        <w:t>¿Cuál</w:t>
      </w:r>
      <w:r>
        <w:rPr>
          <w:color w:val="231F1F"/>
          <w:spacing w:val="31"/>
          <w:sz w:val="22"/>
        </w:rPr>
        <w:t> </w:t>
      </w:r>
      <w:r>
        <w:rPr>
          <w:color w:val="231F1F"/>
          <w:sz w:val="22"/>
        </w:rPr>
        <w:t>es</w:t>
      </w:r>
      <w:r>
        <w:rPr>
          <w:color w:val="231F1F"/>
          <w:spacing w:val="33"/>
          <w:sz w:val="22"/>
        </w:rPr>
        <w:t> </w:t>
      </w:r>
      <w:r>
        <w:rPr>
          <w:color w:val="231F1F"/>
          <w:sz w:val="22"/>
        </w:rPr>
        <w:t>la</w:t>
      </w:r>
      <w:r>
        <w:rPr>
          <w:color w:val="231F1F"/>
          <w:spacing w:val="33"/>
          <w:sz w:val="22"/>
        </w:rPr>
        <w:t> </w:t>
      </w:r>
      <w:r>
        <w:rPr>
          <w:color w:val="231F1F"/>
          <w:sz w:val="22"/>
        </w:rPr>
        <w:t>efectividad</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amniorrexis</w:t>
      </w:r>
      <w:r>
        <w:rPr>
          <w:color w:val="231F1F"/>
          <w:spacing w:val="33"/>
          <w:sz w:val="22"/>
        </w:rPr>
        <w:t> </w:t>
      </w:r>
      <w:r>
        <w:rPr>
          <w:color w:val="231F1F"/>
          <w:sz w:val="22"/>
        </w:rPr>
        <w:t>artificial</w:t>
      </w:r>
      <w:r>
        <w:rPr>
          <w:color w:val="231F1F"/>
          <w:spacing w:val="31"/>
          <w:sz w:val="22"/>
        </w:rPr>
        <w:t> </w:t>
      </w:r>
      <w:r>
        <w:rPr>
          <w:color w:val="231F1F"/>
          <w:sz w:val="22"/>
        </w:rPr>
        <w:t>rutinaria</w:t>
      </w:r>
      <w:r>
        <w:rPr>
          <w:color w:val="231F1F"/>
          <w:spacing w:val="31"/>
          <w:sz w:val="22"/>
        </w:rPr>
        <w:t> </w:t>
      </w:r>
      <w:r>
        <w:rPr>
          <w:color w:val="231F1F"/>
          <w:sz w:val="22"/>
        </w:rPr>
        <w:t>y</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perfusión</w:t>
      </w:r>
      <w:r>
        <w:rPr>
          <w:color w:val="231F1F"/>
          <w:spacing w:val="33"/>
          <w:sz w:val="22"/>
        </w:rPr>
        <w:t> </w:t>
      </w:r>
      <w:r>
        <w:rPr>
          <w:color w:val="231F1F"/>
          <w:sz w:val="22"/>
        </w:rPr>
        <w:t>rutinaria </w:t>
      </w:r>
      <w:r>
        <w:rPr>
          <w:color w:val="231F1F"/>
          <w:w w:val="110"/>
          <w:sz w:val="22"/>
        </w:rPr>
        <w:t>de oxitocina?</w:t>
      </w:r>
    </w:p>
    <w:p>
      <w:pPr>
        <w:pStyle w:val="ListParagraph"/>
        <w:numPr>
          <w:ilvl w:val="0"/>
          <w:numId w:val="3"/>
        </w:numPr>
        <w:tabs>
          <w:tab w:pos="665" w:val="left" w:leader="none"/>
          <w:tab w:pos="668" w:val="left" w:leader="none"/>
        </w:tabs>
        <w:spacing w:line="278" w:lineRule="auto" w:before="140" w:after="0"/>
        <w:ind w:left="668" w:right="209" w:hanging="386"/>
        <w:jc w:val="left"/>
        <w:rPr>
          <w:sz w:val="22"/>
        </w:rPr>
      </w:pPr>
      <w:r>
        <w:rPr>
          <w:color w:val="231F1F"/>
          <w:sz w:val="22"/>
        </w:rPr>
        <w:t>¿Es</w:t>
      </w:r>
      <w:r>
        <w:rPr>
          <w:color w:val="231F1F"/>
          <w:spacing w:val="30"/>
          <w:sz w:val="22"/>
        </w:rPr>
        <w:t> </w:t>
      </w:r>
      <w:r>
        <w:rPr>
          <w:color w:val="231F1F"/>
          <w:sz w:val="22"/>
        </w:rPr>
        <w:t>necesario</w:t>
      </w:r>
      <w:r>
        <w:rPr>
          <w:color w:val="231F1F"/>
          <w:spacing w:val="30"/>
          <w:sz w:val="22"/>
        </w:rPr>
        <w:t> </w:t>
      </w:r>
      <w:r>
        <w:rPr>
          <w:color w:val="231F1F"/>
          <w:sz w:val="22"/>
        </w:rPr>
        <w:t>el</w:t>
      </w:r>
      <w:r>
        <w:rPr>
          <w:color w:val="231F1F"/>
          <w:spacing w:val="30"/>
          <w:sz w:val="22"/>
        </w:rPr>
        <w:t> </w:t>
      </w:r>
      <w:r>
        <w:rPr>
          <w:color w:val="231F1F"/>
          <w:sz w:val="22"/>
        </w:rPr>
        <w:t>empleo</w:t>
      </w:r>
      <w:r>
        <w:rPr>
          <w:color w:val="231F1F"/>
          <w:spacing w:val="30"/>
          <w:sz w:val="22"/>
        </w:rPr>
        <w:t> </w:t>
      </w:r>
      <w:r>
        <w:rPr>
          <w:color w:val="231F1F"/>
          <w:sz w:val="22"/>
        </w:rPr>
        <w:t>de</w:t>
      </w:r>
      <w:r>
        <w:rPr>
          <w:color w:val="231F1F"/>
          <w:spacing w:val="30"/>
          <w:sz w:val="22"/>
        </w:rPr>
        <w:t> </w:t>
      </w:r>
      <w:r>
        <w:rPr>
          <w:color w:val="231F1F"/>
          <w:sz w:val="22"/>
        </w:rPr>
        <w:t>antisépticos</w:t>
      </w:r>
      <w:r>
        <w:rPr>
          <w:color w:val="231F1F"/>
          <w:spacing w:val="30"/>
          <w:sz w:val="22"/>
        </w:rPr>
        <w:t> </w:t>
      </w:r>
      <w:r>
        <w:rPr>
          <w:color w:val="231F1F"/>
          <w:sz w:val="22"/>
        </w:rPr>
        <w:t>en</w:t>
      </w:r>
      <w:r>
        <w:rPr>
          <w:color w:val="231F1F"/>
          <w:spacing w:val="30"/>
          <w:sz w:val="22"/>
        </w:rPr>
        <w:t> </w:t>
      </w:r>
      <w:r>
        <w:rPr>
          <w:color w:val="231F1F"/>
          <w:sz w:val="22"/>
        </w:rPr>
        <w:t>el</w:t>
      </w:r>
      <w:r>
        <w:rPr>
          <w:color w:val="231F1F"/>
          <w:spacing w:val="30"/>
          <w:sz w:val="22"/>
        </w:rPr>
        <w:t> </w:t>
      </w:r>
      <w:r>
        <w:rPr>
          <w:color w:val="231F1F"/>
          <w:sz w:val="22"/>
        </w:rPr>
        <w:t>lavado</w:t>
      </w:r>
      <w:r>
        <w:rPr>
          <w:color w:val="231F1F"/>
          <w:spacing w:val="31"/>
          <w:sz w:val="22"/>
        </w:rPr>
        <w:t> </w:t>
      </w:r>
      <w:r>
        <w:rPr>
          <w:color w:val="231F1F"/>
          <w:sz w:val="22"/>
        </w:rPr>
        <w:t>vulvovaginal</w:t>
      </w:r>
      <w:r>
        <w:rPr>
          <w:color w:val="231F1F"/>
          <w:spacing w:val="30"/>
          <w:sz w:val="22"/>
        </w:rPr>
        <w:t> </w:t>
      </w:r>
      <w:r>
        <w:rPr>
          <w:color w:val="231F1F"/>
          <w:sz w:val="22"/>
        </w:rPr>
        <w:t>previo</w:t>
      </w:r>
      <w:r>
        <w:rPr>
          <w:color w:val="231F1F"/>
          <w:spacing w:val="30"/>
          <w:sz w:val="22"/>
        </w:rPr>
        <w:t> </w:t>
      </w:r>
      <w:r>
        <w:rPr>
          <w:color w:val="231F1F"/>
          <w:sz w:val="22"/>
        </w:rPr>
        <w:t>al</w:t>
      </w:r>
      <w:r>
        <w:rPr>
          <w:color w:val="231F1F"/>
          <w:spacing w:val="30"/>
          <w:sz w:val="22"/>
        </w:rPr>
        <w:t> </w:t>
      </w:r>
      <w:r>
        <w:rPr>
          <w:color w:val="231F1F"/>
          <w:sz w:val="22"/>
        </w:rPr>
        <w:t>tacto</w:t>
      </w:r>
      <w:r>
        <w:rPr>
          <w:color w:val="231F1F"/>
          <w:spacing w:val="30"/>
          <w:sz w:val="22"/>
        </w:rPr>
        <w:t> </w:t>
      </w:r>
      <w:r>
        <w:rPr>
          <w:color w:val="231F1F"/>
          <w:sz w:val="22"/>
        </w:rPr>
        <w:t>vagi- </w:t>
      </w:r>
      <w:r>
        <w:rPr>
          <w:color w:val="231F1F"/>
          <w:spacing w:val="-4"/>
          <w:sz w:val="22"/>
        </w:rPr>
        <w:t>nal?</w:t>
      </w:r>
    </w:p>
    <w:p>
      <w:pPr>
        <w:pStyle w:val="ListParagraph"/>
        <w:numPr>
          <w:ilvl w:val="0"/>
          <w:numId w:val="3"/>
        </w:numPr>
        <w:tabs>
          <w:tab w:pos="665" w:val="left" w:leader="none"/>
        </w:tabs>
        <w:spacing w:line="240" w:lineRule="auto" w:before="109" w:after="0"/>
        <w:ind w:left="665" w:right="0" w:hanging="383"/>
        <w:jc w:val="left"/>
        <w:rPr>
          <w:sz w:val="22"/>
        </w:rPr>
      </w:pPr>
      <w:r>
        <w:rPr>
          <w:color w:val="231F1F"/>
          <w:sz w:val="22"/>
        </w:rPr>
        <w:t>¿La</w:t>
      </w:r>
      <w:r>
        <w:rPr>
          <w:color w:val="231F1F"/>
          <w:spacing w:val="38"/>
          <w:sz w:val="22"/>
        </w:rPr>
        <w:t> </w:t>
      </w:r>
      <w:r>
        <w:rPr>
          <w:color w:val="231F1F"/>
          <w:sz w:val="22"/>
        </w:rPr>
        <w:t>utilización</w:t>
      </w:r>
      <w:r>
        <w:rPr>
          <w:color w:val="231F1F"/>
          <w:spacing w:val="43"/>
          <w:sz w:val="22"/>
        </w:rPr>
        <w:t> </w:t>
      </w:r>
      <w:r>
        <w:rPr>
          <w:color w:val="231F1F"/>
          <w:sz w:val="22"/>
        </w:rPr>
        <w:t>del</w:t>
      </w:r>
      <w:r>
        <w:rPr>
          <w:color w:val="231F1F"/>
          <w:spacing w:val="36"/>
          <w:sz w:val="22"/>
        </w:rPr>
        <w:t> </w:t>
      </w:r>
      <w:r>
        <w:rPr>
          <w:color w:val="231F1F"/>
          <w:sz w:val="22"/>
        </w:rPr>
        <w:t>partograma</w:t>
      </w:r>
      <w:r>
        <w:rPr>
          <w:color w:val="231F1F"/>
          <w:spacing w:val="42"/>
          <w:sz w:val="22"/>
        </w:rPr>
        <w:t> </w:t>
      </w:r>
      <w:r>
        <w:rPr>
          <w:color w:val="231F1F"/>
          <w:sz w:val="22"/>
        </w:rPr>
        <w:t>mejora</w:t>
      </w:r>
      <w:r>
        <w:rPr>
          <w:color w:val="231F1F"/>
          <w:spacing w:val="40"/>
          <w:sz w:val="22"/>
        </w:rPr>
        <w:t> </w:t>
      </w:r>
      <w:r>
        <w:rPr>
          <w:color w:val="231F1F"/>
          <w:sz w:val="22"/>
        </w:rPr>
        <w:t>los</w:t>
      </w:r>
      <w:r>
        <w:rPr>
          <w:color w:val="231F1F"/>
          <w:spacing w:val="42"/>
          <w:sz w:val="22"/>
        </w:rPr>
        <w:t> </w:t>
      </w:r>
      <w:r>
        <w:rPr>
          <w:color w:val="231F1F"/>
          <w:spacing w:val="-2"/>
          <w:sz w:val="22"/>
        </w:rPr>
        <w:t>resultados?</w:t>
      </w:r>
    </w:p>
    <w:p>
      <w:pPr>
        <w:pStyle w:val="ListParagraph"/>
        <w:numPr>
          <w:ilvl w:val="0"/>
          <w:numId w:val="3"/>
        </w:numPr>
        <w:tabs>
          <w:tab w:pos="654" w:val="left" w:leader="none"/>
        </w:tabs>
        <w:spacing w:line="240" w:lineRule="auto" w:before="164" w:after="0"/>
        <w:ind w:left="654" w:right="0" w:hanging="372"/>
        <w:jc w:val="left"/>
        <w:rPr>
          <w:sz w:val="22"/>
        </w:rPr>
      </w:pPr>
      <w:r>
        <w:rPr>
          <w:color w:val="231F1F"/>
          <w:sz w:val="22"/>
        </w:rPr>
        <w:t>¿Cuál</w:t>
      </w:r>
      <w:r>
        <w:rPr>
          <w:color w:val="231F1F"/>
          <w:spacing w:val="-11"/>
          <w:sz w:val="22"/>
        </w:rPr>
        <w:t> </w:t>
      </w:r>
      <w:r>
        <w:rPr>
          <w:color w:val="231F1F"/>
          <w:sz w:val="22"/>
        </w:rPr>
        <w:t>es</w:t>
      </w:r>
      <w:r>
        <w:rPr>
          <w:color w:val="231F1F"/>
          <w:spacing w:val="-7"/>
          <w:sz w:val="22"/>
        </w:rPr>
        <w:t> </w:t>
      </w:r>
      <w:r>
        <w:rPr>
          <w:color w:val="231F1F"/>
          <w:sz w:val="22"/>
        </w:rPr>
        <w:t>la</w:t>
      </w:r>
      <w:r>
        <w:rPr>
          <w:color w:val="231F1F"/>
          <w:spacing w:val="-8"/>
          <w:sz w:val="22"/>
        </w:rPr>
        <w:t> </w:t>
      </w:r>
      <w:r>
        <w:rPr>
          <w:color w:val="231F1F"/>
          <w:sz w:val="22"/>
        </w:rPr>
        <w:t>frecuencia</w:t>
      </w:r>
      <w:r>
        <w:rPr>
          <w:color w:val="231F1F"/>
          <w:spacing w:val="-6"/>
          <w:sz w:val="22"/>
        </w:rPr>
        <w:t> </w:t>
      </w:r>
      <w:r>
        <w:rPr>
          <w:color w:val="231F1F"/>
          <w:sz w:val="22"/>
        </w:rPr>
        <w:t>óptima</w:t>
      </w:r>
      <w:r>
        <w:rPr>
          <w:color w:val="231F1F"/>
          <w:spacing w:val="-6"/>
          <w:sz w:val="22"/>
        </w:rPr>
        <w:t> </w:t>
      </w:r>
      <w:r>
        <w:rPr>
          <w:color w:val="231F1F"/>
          <w:sz w:val="22"/>
        </w:rPr>
        <w:t>de</w:t>
      </w:r>
      <w:r>
        <w:rPr>
          <w:color w:val="231F1F"/>
          <w:spacing w:val="-9"/>
          <w:sz w:val="22"/>
        </w:rPr>
        <w:t> </w:t>
      </w:r>
      <w:r>
        <w:rPr>
          <w:color w:val="231F1F"/>
          <w:sz w:val="22"/>
        </w:rPr>
        <w:t>exploraciones</w:t>
      </w:r>
      <w:r>
        <w:rPr>
          <w:color w:val="231F1F"/>
          <w:spacing w:val="-7"/>
          <w:sz w:val="22"/>
        </w:rPr>
        <w:t> </w:t>
      </w:r>
      <w:r>
        <w:rPr>
          <w:color w:val="231F1F"/>
          <w:sz w:val="22"/>
        </w:rPr>
        <w:t>vaginales</w:t>
      </w:r>
      <w:r>
        <w:rPr>
          <w:color w:val="231F1F"/>
          <w:spacing w:val="-8"/>
          <w:sz w:val="22"/>
        </w:rPr>
        <w:t> </w:t>
      </w:r>
      <w:r>
        <w:rPr>
          <w:color w:val="231F1F"/>
          <w:sz w:val="22"/>
        </w:rPr>
        <w:t>durante</w:t>
      </w:r>
      <w:r>
        <w:rPr>
          <w:color w:val="231F1F"/>
          <w:spacing w:val="-8"/>
          <w:sz w:val="22"/>
        </w:rPr>
        <w:t> </w:t>
      </w:r>
      <w:r>
        <w:rPr>
          <w:color w:val="231F1F"/>
          <w:sz w:val="22"/>
        </w:rPr>
        <w:t>el</w:t>
      </w:r>
      <w:r>
        <w:rPr>
          <w:color w:val="231F1F"/>
          <w:spacing w:val="-6"/>
          <w:sz w:val="22"/>
        </w:rPr>
        <w:t> </w:t>
      </w:r>
      <w:r>
        <w:rPr>
          <w:color w:val="231F1F"/>
          <w:sz w:val="22"/>
        </w:rPr>
        <w:t>periodo</w:t>
      </w:r>
      <w:r>
        <w:rPr>
          <w:color w:val="231F1F"/>
          <w:spacing w:val="-9"/>
          <w:sz w:val="22"/>
        </w:rPr>
        <w:t> </w:t>
      </w:r>
      <w:r>
        <w:rPr>
          <w:color w:val="231F1F"/>
          <w:sz w:val="22"/>
        </w:rPr>
        <w:t>de</w:t>
      </w:r>
      <w:r>
        <w:rPr>
          <w:color w:val="231F1F"/>
          <w:spacing w:val="-6"/>
          <w:sz w:val="22"/>
        </w:rPr>
        <w:t> </w:t>
      </w:r>
      <w:r>
        <w:rPr>
          <w:color w:val="231F1F"/>
          <w:spacing w:val="-2"/>
          <w:sz w:val="22"/>
        </w:rPr>
        <w:t>dilatación?</w:t>
      </w:r>
    </w:p>
    <w:p>
      <w:pPr>
        <w:pStyle w:val="ListParagraph"/>
        <w:numPr>
          <w:ilvl w:val="0"/>
          <w:numId w:val="3"/>
        </w:numPr>
        <w:tabs>
          <w:tab w:pos="665" w:val="left" w:leader="none"/>
        </w:tabs>
        <w:spacing w:line="240" w:lineRule="auto" w:before="151" w:after="0"/>
        <w:ind w:left="665" w:right="0" w:hanging="383"/>
        <w:jc w:val="left"/>
        <w:rPr>
          <w:sz w:val="22"/>
        </w:rPr>
      </w:pPr>
      <w:r>
        <w:rPr>
          <w:color w:val="231F1F"/>
          <w:w w:val="110"/>
          <w:sz w:val="22"/>
        </w:rPr>
        <w:t>¿Qué</w:t>
      </w:r>
      <w:r>
        <w:rPr>
          <w:color w:val="231F1F"/>
          <w:spacing w:val="-13"/>
          <w:w w:val="110"/>
          <w:sz w:val="22"/>
        </w:rPr>
        <w:t> </w:t>
      </w:r>
      <w:r>
        <w:rPr>
          <w:color w:val="231F1F"/>
          <w:w w:val="110"/>
          <w:sz w:val="22"/>
        </w:rPr>
        <w:t>métodos</w:t>
      </w:r>
      <w:r>
        <w:rPr>
          <w:color w:val="231F1F"/>
          <w:spacing w:val="-13"/>
          <w:w w:val="110"/>
          <w:sz w:val="22"/>
        </w:rPr>
        <w:t> </w:t>
      </w:r>
      <w:r>
        <w:rPr>
          <w:color w:val="231F1F"/>
          <w:w w:val="110"/>
          <w:sz w:val="22"/>
        </w:rPr>
        <w:t>son</w:t>
      </w:r>
      <w:r>
        <w:rPr>
          <w:color w:val="231F1F"/>
          <w:spacing w:val="-12"/>
          <w:w w:val="110"/>
          <w:sz w:val="22"/>
        </w:rPr>
        <w:t> </w:t>
      </w:r>
      <w:r>
        <w:rPr>
          <w:color w:val="231F1F"/>
          <w:w w:val="110"/>
          <w:sz w:val="22"/>
        </w:rPr>
        <w:t>eficaces</w:t>
      </w:r>
      <w:r>
        <w:rPr>
          <w:color w:val="231F1F"/>
          <w:spacing w:val="-12"/>
          <w:w w:val="110"/>
          <w:sz w:val="22"/>
        </w:rPr>
        <w:t> </w:t>
      </w:r>
      <w:r>
        <w:rPr>
          <w:color w:val="231F1F"/>
          <w:w w:val="110"/>
          <w:sz w:val="22"/>
        </w:rPr>
        <w:t>para</w:t>
      </w:r>
      <w:r>
        <w:rPr>
          <w:color w:val="231F1F"/>
          <w:spacing w:val="-12"/>
          <w:w w:val="110"/>
          <w:sz w:val="22"/>
        </w:rPr>
        <w:t> </w:t>
      </w:r>
      <w:r>
        <w:rPr>
          <w:color w:val="231F1F"/>
          <w:w w:val="110"/>
          <w:sz w:val="22"/>
        </w:rPr>
        <w:t>tratar</w:t>
      </w:r>
      <w:r>
        <w:rPr>
          <w:color w:val="231F1F"/>
          <w:spacing w:val="-12"/>
          <w:w w:val="110"/>
          <w:sz w:val="22"/>
        </w:rPr>
        <w:t> </w:t>
      </w:r>
      <w:r>
        <w:rPr>
          <w:color w:val="231F1F"/>
          <w:w w:val="110"/>
          <w:sz w:val="22"/>
        </w:rPr>
        <w:t>el</w:t>
      </w:r>
      <w:r>
        <w:rPr>
          <w:color w:val="231F1F"/>
          <w:spacing w:val="-12"/>
          <w:w w:val="110"/>
          <w:sz w:val="22"/>
        </w:rPr>
        <w:t> </w:t>
      </w:r>
      <w:r>
        <w:rPr>
          <w:color w:val="231F1F"/>
          <w:w w:val="110"/>
          <w:sz w:val="22"/>
        </w:rPr>
        <w:t>retardo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primera</w:t>
      </w:r>
      <w:r>
        <w:rPr>
          <w:color w:val="231F1F"/>
          <w:spacing w:val="-12"/>
          <w:w w:val="110"/>
          <w:sz w:val="22"/>
        </w:rPr>
        <w:t> </w:t>
      </w:r>
      <w:r>
        <w:rPr>
          <w:color w:val="231F1F"/>
          <w:w w:val="110"/>
          <w:sz w:val="22"/>
        </w:rPr>
        <w:t>fase</w:t>
      </w:r>
      <w:r>
        <w:rPr>
          <w:color w:val="231F1F"/>
          <w:spacing w:val="-12"/>
          <w:w w:val="110"/>
          <w:sz w:val="22"/>
        </w:rPr>
        <w:t> </w:t>
      </w:r>
      <w:r>
        <w:rPr>
          <w:color w:val="231F1F"/>
          <w:w w:val="110"/>
          <w:sz w:val="22"/>
        </w:rPr>
        <w:t>del</w:t>
      </w:r>
      <w:r>
        <w:rPr>
          <w:color w:val="231F1F"/>
          <w:spacing w:val="-14"/>
          <w:w w:val="110"/>
          <w:sz w:val="22"/>
        </w:rPr>
        <w:t> </w:t>
      </w:r>
      <w:r>
        <w:rPr>
          <w:color w:val="231F1F"/>
          <w:spacing w:val="-2"/>
          <w:w w:val="110"/>
          <w:sz w:val="22"/>
        </w:rPr>
        <w:t>parto?</w:t>
      </w:r>
    </w:p>
    <w:p>
      <w:pPr>
        <w:pStyle w:val="BodyText"/>
      </w:pPr>
    </w:p>
    <w:p>
      <w:pPr>
        <w:pStyle w:val="BodyText"/>
        <w:spacing w:before="30"/>
      </w:pPr>
    </w:p>
    <w:p>
      <w:pPr>
        <w:pStyle w:val="Heading3"/>
        <w:numPr>
          <w:ilvl w:val="0"/>
          <w:numId w:val="2"/>
        </w:numPr>
        <w:tabs>
          <w:tab w:pos="891" w:val="left" w:leader="none"/>
        </w:tabs>
        <w:spacing w:line="240" w:lineRule="auto" w:before="1" w:after="0"/>
        <w:ind w:left="891" w:right="0" w:hanging="610"/>
        <w:jc w:val="left"/>
      </w:pPr>
      <w:r>
        <w:rPr>
          <w:color w:val="231F1F"/>
          <w:w w:val="110"/>
        </w:rPr>
        <w:t>Segunda</w:t>
      </w:r>
      <w:r>
        <w:rPr>
          <w:color w:val="231F1F"/>
          <w:spacing w:val="-19"/>
          <w:w w:val="110"/>
        </w:rPr>
        <w:t> </w:t>
      </w:r>
      <w:r>
        <w:rPr>
          <w:color w:val="231F1F"/>
          <w:w w:val="110"/>
        </w:rPr>
        <w:t>etapa</w:t>
      </w:r>
      <w:r>
        <w:rPr>
          <w:color w:val="231F1F"/>
          <w:spacing w:val="-19"/>
          <w:w w:val="110"/>
        </w:rPr>
        <w:t> </w:t>
      </w:r>
      <w:r>
        <w:rPr>
          <w:color w:val="231F1F"/>
          <w:w w:val="110"/>
        </w:rPr>
        <w:t>del</w:t>
      </w:r>
      <w:r>
        <w:rPr>
          <w:color w:val="231F1F"/>
          <w:spacing w:val="-19"/>
          <w:w w:val="110"/>
        </w:rPr>
        <w:t> </w:t>
      </w:r>
      <w:r>
        <w:rPr>
          <w:color w:val="231F1F"/>
          <w:spacing w:val="-2"/>
          <w:w w:val="110"/>
        </w:rPr>
        <w:t>parto</w:t>
      </w:r>
    </w:p>
    <w:p>
      <w:pPr>
        <w:pStyle w:val="Heading4"/>
        <w:spacing w:before="163"/>
      </w:pPr>
      <w:r>
        <w:rPr>
          <w:color w:val="231F1F"/>
          <w:spacing w:val="-2"/>
          <w:w w:val="105"/>
        </w:rPr>
        <w:t>Definición</w:t>
      </w:r>
    </w:p>
    <w:p>
      <w:pPr>
        <w:pStyle w:val="ListParagraph"/>
        <w:numPr>
          <w:ilvl w:val="0"/>
          <w:numId w:val="3"/>
        </w:numPr>
        <w:tabs>
          <w:tab w:pos="665" w:val="left" w:leader="none"/>
        </w:tabs>
        <w:spacing w:line="240" w:lineRule="auto" w:before="199" w:after="0"/>
        <w:ind w:left="665" w:right="0" w:hanging="383"/>
        <w:jc w:val="left"/>
        <w:rPr>
          <w:sz w:val="22"/>
        </w:rPr>
      </w:pPr>
      <w:r>
        <w:rPr>
          <w:color w:val="231F1F"/>
          <w:sz w:val="22"/>
        </w:rPr>
        <w:t>¿Cuál</w:t>
      </w:r>
      <w:r>
        <w:rPr>
          <w:color w:val="231F1F"/>
          <w:spacing w:val="27"/>
          <w:sz w:val="22"/>
        </w:rPr>
        <w:t> </w:t>
      </w:r>
      <w:r>
        <w:rPr>
          <w:color w:val="231F1F"/>
          <w:sz w:val="22"/>
        </w:rPr>
        <w:t>es</w:t>
      </w:r>
      <w:r>
        <w:rPr>
          <w:color w:val="231F1F"/>
          <w:spacing w:val="30"/>
          <w:sz w:val="22"/>
        </w:rPr>
        <w:t> </w:t>
      </w:r>
      <w:r>
        <w:rPr>
          <w:color w:val="231F1F"/>
          <w:sz w:val="22"/>
        </w:rPr>
        <w:t>la</w:t>
      </w:r>
      <w:r>
        <w:rPr>
          <w:color w:val="231F1F"/>
          <w:spacing w:val="27"/>
          <w:sz w:val="22"/>
        </w:rPr>
        <w:t> </w:t>
      </w:r>
      <w:r>
        <w:rPr>
          <w:color w:val="231F1F"/>
          <w:sz w:val="22"/>
        </w:rPr>
        <w:t>definición</w:t>
      </w:r>
      <w:r>
        <w:rPr>
          <w:color w:val="231F1F"/>
          <w:spacing w:val="31"/>
          <w:sz w:val="22"/>
        </w:rPr>
        <w:t> </w:t>
      </w:r>
      <w:r>
        <w:rPr>
          <w:color w:val="231F1F"/>
          <w:sz w:val="22"/>
        </w:rPr>
        <w:t>de</w:t>
      </w:r>
      <w:r>
        <w:rPr>
          <w:color w:val="231F1F"/>
          <w:spacing w:val="28"/>
          <w:sz w:val="22"/>
        </w:rPr>
        <w:t> </w:t>
      </w:r>
      <w:r>
        <w:rPr>
          <w:color w:val="231F1F"/>
          <w:sz w:val="22"/>
        </w:rPr>
        <w:t>fase</w:t>
      </w:r>
      <w:r>
        <w:rPr>
          <w:color w:val="231F1F"/>
          <w:spacing w:val="30"/>
          <w:sz w:val="22"/>
        </w:rPr>
        <w:t> </w:t>
      </w:r>
      <w:r>
        <w:rPr>
          <w:color w:val="231F1F"/>
          <w:sz w:val="22"/>
        </w:rPr>
        <w:t>latente</w:t>
      </w:r>
      <w:r>
        <w:rPr>
          <w:color w:val="231F1F"/>
          <w:spacing w:val="31"/>
          <w:sz w:val="22"/>
        </w:rPr>
        <w:t> </w:t>
      </w:r>
      <w:r>
        <w:rPr>
          <w:color w:val="231F1F"/>
          <w:sz w:val="22"/>
        </w:rPr>
        <w:t>de</w:t>
      </w:r>
      <w:r>
        <w:rPr>
          <w:color w:val="231F1F"/>
          <w:spacing w:val="27"/>
          <w:sz w:val="22"/>
        </w:rPr>
        <w:t> </w:t>
      </w:r>
      <w:r>
        <w:rPr>
          <w:color w:val="231F1F"/>
          <w:sz w:val="22"/>
        </w:rPr>
        <w:t>la</w:t>
      </w:r>
      <w:r>
        <w:rPr>
          <w:color w:val="231F1F"/>
          <w:spacing w:val="30"/>
          <w:sz w:val="22"/>
        </w:rPr>
        <w:t> </w:t>
      </w:r>
      <w:r>
        <w:rPr>
          <w:color w:val="231F1F"/>
          <w:sz w:val="22"/>
        </w:rPr>
        <w:t>segunda</w:t>
      </w:r>
      <w:r>
        <w:rPr>
          <w:color w:val="231F1F"/>
          <w:spacing w:val="29"/>
          <w:sz w:val="22"/>
        </w:rPr>
        <w:t> </w:t>
      </w:r>
      <w:r>
        <w:rPr>
          <w:color w:val="231F1F"/>
          <w:sz w:val="22"/>
        </w:rPr>
        <w:t>etapa</w:t>
      </w:r>
      <w:r>
        <w:rPr>
          <w:color w:val="231F1F"/>
          <w:spacing w:val="30"/>
          <w:sz w:val="22"/>
        </w:rPr>
        <w:t> </w:t>
      </w:r>
      <w:r>
        <w:rPr>
          <w:color w:val="231F1F"/>
          <w:sz w:val="22"/>
        </w:rPr>
        <w:t>del</w:t>
      </w:r>
      <w:r>
        <w:rPr>
          <w:color w:val="231F1F"/>
          <w:spacing w:val="24"/>
          <w:sz w:val="22"/>
        </w:rPr>
        <w:t> </w:t>
      </w:r>
      <w:r>
        <w:rPr>
          <w:color w:val="231F1F"/>
          <w:spacing w:val="-2"/>
          <w:sz w:val="22"/>
        </w:rPr>
        <w:t>parto?</w:t>
      </w:r>
    </w:p>
    <w:p>
      <w:pPr>
        <w:pStyle w:val="ListParagraph"/>
        <w:numPr>
          <w:ilvl w:val="0"/>
          <w:numId w:val="3"/>
        </w:numPr>
        <w:tabs>
          <w:tab w:pos="665" w:val="left" w:leader="none"/>
        </w:tabs>
        <w:spacing w:line="240" w:lineRule="auto" w:before="160" w:after="0"/>
        <w:ind w:left="665" w:right="0" w:hanging="383"/>
        <w:jc w:val="left"/>
        <w:rPr>
          <w:sz w:val="22"/>
        </w:rPr>
      </w:pPr>
      <w:r>
        <w:rPr>
          <w:color w:val="231F1F"/>
          <w:sz w:val="22"/>
        </w:rPr>
        <w:t>¿Cuál</w:t>
      </w:r>
      <w:r>
        <w:rPr>
          <w:color w:val="231F1F"/>
          <w:spacing w:val="23"/>
          <w:sz w:val="22"/>
        </w:rPr>
        <w:t> </w:t>
      </w:r>
      <w:r>
        <w:rPr>
          <w:color w:val="231F1F"/>
          <w:sz w:val="22"/>
        </w:rPr>
        <w:t>es</w:t>
      </w:r>
      <w:r>
        <w:rPr>
          <w:color w:val="231F1F"/>
          <w:spacing w:val="24"/>
          <w:sz w:val="22"/>
        </w:rPr>
        <w:t> </w:t>
      </w:r>
      <w:r>
        <w:rPr>
          <w:color w:val="231F1F"/>
          <w:sz w:val="22"/>
        </w:rPr>
        <w:t>la</w:t>
      </w:r>
      <w:r>
        <w:rPr>
          <w:color w:val="231F1F"/>
          <w:spacing w:val="25"/>
          <w:sz w:val="22"/>
        </w:rPr>
        <w:t> </w:t>
      </w:r>
      <w:r>
        <w:rPr>
          <w:color w:val="231F1F"/>
          <w:sz w:val="22"/>
        </w:rPr>
        <w:t>definición</w:t>
      </w:r>
      <w:r>
        <w:rPr>
          <w:color w:val="231F1F"/>
          <w:spacing w:val="26"/>
          <w:sz w:val="22"/>
        </w:rPr>
        <w:t> </w:t>
      </w:r>
      <w:r>
        <w:rPr>
          <w:color w:val="231F1F"/>
          <w:sz w:val="22"/>
        </w:rPr>
        <w:t>de</w:t>
      </w:r>
      <w:r>
        <w:rPr>
          <w:color w:val="231F1F"/>
          <w:spacing w:val="25"/>
          <w:sz w:val="22"/>
        </w:rPr>
        <w:t> </w:t>
      </w:r>
      <w:r>
        <w:rPr>
          <w:color w:val="231F1F"/>
          <w:sz w:val="22"/>
        </w:rPr>
        <w:t>fase</w:t>
      </w:r>
      <w:r>
        <w:rPr>
          <w:color w:val="231F1F"/>
          <w:spacing w:val="24"/>
          <w:sz w:val="22"/>
        </w:rPr>
        <w:t> </w:t>
      </w:r>
      <w:r>
        <w:rPr>
          <w:color w:val="231F1F"/>
          <w:sz w:val="22"/>
        </w:rPr>
        <w:t>activa</w:t>
      </w:r>
      <w:r>
        <w:rPr>
          <w:color w:val="231F1F"/>
          <w:spacing w:val="23"/>
          <w:sz w:val="22"/>
        </w:rPr>
        <w:t> </w:t>
      </w:r>
      <w:r>
        <w:rPr>
          <w:color w:val="231F1F"/>
          <w:sz w:val="22"/>
        </w:rPr>
        <w:t>de</w:t>
      </w:r>
      <w:r>
        <w:rPr>
          <w:color w:val="231F1F"/>
          <w:spacing w:val="27"/>
          <w:sz w:val="22"/>
        </w:rPr>
        <w:t> </w:t>
      </w:r>
      <w:r>
        <w:rPr>
          <w:color w:val="231F1F"/>
          <w:sz w:val="22"/>
        </w:rPr>
        <w:t>la</w:t>
      </w:r>
      <w:r>
        <w:rPr>
          <w:color w:val="231F1F"/>
          <w:spacing w:val="24"/>
          <w:sz w:val="22"/>
        </w:rPr>
        <w:t> </w:t>
      </w:r>
      <w:r>
        <w:rPr>
          <w:color w:val="231F1F"/>
          <w:sz w:val="22"/>
        </w:rPr>
        <w:t>segunda</w:t>
      </w:r>
      <w:r>
        <w:rPr>
          <w:color w:val="231F1F"/>
          <w:spacing w:val="25"/>
          <w:sz w:val="22"/>
        </w:rPr>
        <w:t> </w:t>
      </w:r>
      <w:r>
        <w:rPr>
          <w:color w:val="231F1F"/>
          <w:sz w:val="22"/>
        </w:rPr>
        <w:t>etapa</w:t>
      </w:r>
      <w:r>
        <w:rPr>
          <w:color w:val="231F1F"/>
          <w:spacing w:val="27"/>
          <w:sz w:val="22"/>
        </w:rPr>
        <w:t> </w:t>
      </w:r>
      <w:r>
        <w:rPr>
          <w:color w:val="231F1F"/>
          <w:sz w:val="22"/>
        </w:rPr>
        <w:t>del</w:t>
      </w:r>
      <w:r>
        <w:rPr>
          <w:color w:val="231F1F"/>
          <w:spacing w:val="22"/>
          <w:sz w:val="22"/>
        </w:rPr>
        <w:t> </w:t>
      </w:r>
      <w:r>
        <w:rPr>
          <w:color w:val="231F1F"/>
          <w:spacing w:val="-2"/>
          <w:sz w:val="22"/>
        </w:rPr>
        <w:t>parto?</w:t>
      </w:r>
    </w:p>
    <w:p>
      <w:pPr>
        <w:pStyle w:val="BodyText"/>
        <w:spacing w:before="176"/>
      </w:pPr>
    </w:p>
    <w:p>
      <w:pPr>
        <w:pStyle w:val="Heading4"/>
      </w:pPr>
      <w:r>
        <w:rPr>
          <w:color w:val="231F1F"/>
          <w:w w:val="105"/>
        </w:rPr>
        <w:t>Duración</w:t>
      </w:r>
      <w:r>
        <w:rPr>
          <w:color w:val="231F1F"/>
          <w:spacing w:val="11"/>
          <w:w w:val="105"/>
        </w:rPr>
        <w:t> </w:t>
      </w:r>
      <w:r>
        <w:rPr>
          <w:color w:val="231F1F"/>
          <w:w w:val="105"/>
        </w:rPr>
        <w:t>y</w:t>
      </w:r>
      <w:r>
        <w:rPr>
          <w:color w:val="231F1F"/>
          <w:spacing w:val="12"/>
          <w:w w:val="105"/>
        </w:rPr>
        <w:t> </w:t>
      </w:r>
      <w:r>
        <w:rPr>
          <w:color w:val="231F1F"/>
          <w:spacing w:val="-2"/>
          <w:w w:val="105"/>
        </w:rPr>
        <w:t>progreso</w:t>
      </w:r>
    </w:p>
    <w:p>
      <w:pPr>
        <w:pStyle w:val="ListParagraph"/>
        <w:numPr>
          <w:ilvl w:val="0"/>
          <w:numId w:val="3"/>
        </w:numPr>
        <w:tabs>
          <w:tab w:pos="665" w:val="left" w:leader="none"/>
        </w:tabs>
        <w:spacing w:line="240" w:lineRule="auto" w:before="204" w:after="0"/>
        <w:ind w:left="665" w:right="0" w:hanging="383"/>
        <w:jc w:val="left"/>
        <w:rPr>
          <w:sz w:val="22"/>
        </w:rPr>
      </w:pPr>
      <w:r>
        <w:rPr>
          <w:color w:val="231F1F"/>
          <w:sz w:val="22"/>
        </w:rPr>
        <w:t>¿Influyen</w:t>
      </w:r>
      <w:r>
        <w:rPr>
          <w:color w:val="231F1F"/>
          <w:spacing w:val="29"/>
          <w:sz w:val="22"/>
        </w:rPr>
        <w:t> </w:t>
      </w:r>
      <w:r>
        <w:rPr>
          <w:color w:val="231F1F"/>
          <w:sz w:val="22"/>
        </w:rPr>
        <w:t>la</w:t>
      </w:r>
      <w:r>
        <w:rPr>
          <w:color w:val="231F1F"/>
          <w:spacing w:val="29"/>
          <w:sz w:val="22"/>
        </w:rPr>
        <w:t> </w:t>
      </w:r>
      <w:r>
        <w:rPr>
          <w:color w:val="231F1F"/>
          <w:sz w:val="22"/>
        </w:rPr>
        <w:t>duración</w:t>
      </w:r>
      <w:r>
        <w:rPr>
          <w:color w:val="231F1F"/>
          <w:spacing w:val="29"/>
          <w:sz w:val="22"/>
        </w:rPr>
        <w:t> </w:t>
      </w:r>
      <w:r>
        <w:rPr>
          <w:color w:val="231F1F"/>
          <w:sz w:val="22"/>
        </w:rPr>
        <w:t>y</w:t>
      </w:r>
      <w:r>
        <w:rPr>
          <w:color w:val="231F1F"/>
          <w:spacing w:val="30"/>
          <w:sz w:val="22"/>
        </w:rPr>
        <w:t> </w:t>
      </w:r>
      <w:r>
        <w:rPr>
          <w:color w:val="231F1F"/>
          <w:sz w:val="22"/>
        </w:rPr>
        <w:t>el</w:t>
      </w:r>
      <w:r>
        <w:rPr>
          <w:color w:val="231F1F"/>
          <w:spacing w:val="30"/>
          <w:sz w:val="22"/>
        </w:rPr>
        <w:t> </w:t>
      </w:r>
      <w:r>
        <w:rPr>
          <w:color w:val="231F1F"/>
          <w:sz w:val="22"/>
        </w:rPr>
        <w:t>progreso</w:t>
      </w:r>
      <w:r>
        <w:rPr>
          <w:color w:val="231F1F"/>
          <w:spacing w:val="29"/>
          <w:sz w:val="22"/>
        </w:rPr>
        <w:t> </w:t>
      </w:r>
      <w:r>
        <w:rPr>
          <w:color w:val="231F1F"/>
          <w:sz w:val="22"/>
        </w:rPr>
        <w:t>de</w:t>
      </w:r>
      <w:r>
        <w:rPr>
          <w:color w:val="231F1F"/>
          <w:spacing w:val="30"/>
          <w:sz w:val="22"/>
        </w:rPr>
        <w:t> </w:t>
      </w:r>
      <w:r>
        <w:rPr>
          <w:color w:val="231F1F"/>
          <w:sz w:val="22"/>
        </w:rPr>
        <w:t>la</w:t>
      </w:r>
      <w:r>
        <w:rPr>
          <w:color w:val="231F1F"/>
          <w:spacing w:val="29"/>
          <w:sz w:val="22"/>
        </w:rPr>
        <w:t> </w:t>
      </w:r>
      <w:r>
        <w:rPr>
          <w:color w:val="231F1F"/>
          <w:sz w:val="22"/>
        </w:rPr>
        <w:t>segunda</w:t>
      </w:r>
      <w:r>
        <w:rPr>
          <w:color w:val="231F1F"/>
          <w:spacing w:val="29"/>
          <w:sz w:val="22"/>
        </w:rPr>
        <w:t> </w:t>
      </w:r>
      <w:r>
        <w:rPr>
          <w:color w:val="231F1F"/>
          <w:sz w:val="22"/>
        </w:rPr>
        <w:t>etapa</w:t>
      </w:r>
      <w:r>
        <w:rPr>
          <w:color w:val="231F1F"/>
          <w:spacing w:val="31"/>
          <w:sz w:val="22"/>
        </w:rPr>
        <w:t> </w:t>
      </w:r>
      <w:r>
        <w:rPr>
          <w:color w:val="231F1F"/>
          <w:sz w:val="22"/>
        </w:rPr>
        <w:t>del</w:t>
      </w:r>
      <w:r>
        <w:rPr>
          <w:color w:val="231F1F"/>
          <w:spacing w:val="26"/>
          <w:sz w:val="22"/>
        </w:rPr>
        <w:t> </w:t>
      </w:r>
      <w:r>
        <w:rPr>
          <w:color w:val="231F1F"/>
          <w:sz w:val="22"/>
        </w:rPr>
        <w:t>parto</w:t>
      </w:r>
      <w:r>
        <w:rPr>
          <w:color w:val="231F1F"/>
          <w:spacing w:val="29"/>
          <w:sz w:val="22"/>
        </w:rPr>
        <w:t> </w:t>
      </w:r>
      <w:r>
        <w:rPr>
          <w:color w:val="231F1F"/>
          <w:sz w:val="22"/>
        </w:rPr>
        <w:t>en</w:t>
      </w:r>
      <w:r>
        <w:rPr>
          <w:color w:val="231F1F"/>
          <w:spacing w:val="31"/>
          <w:sz w:val="22"/>
        </w:rPr>
        <w:t> </w:t>
      </w:r>
      <w:r>
        <w:rPr>
          <w:color w:val="231F1F"/>
          <w:sz w:val="22"/>
        </w:rPr>
        <w:t>los</w:t>
      </w:r>
      <w:r>
        <w:rPr>
          <w:color w:val="231F1F"/>
          <w:spacing w:val="29"/>
          <w:sz w:val="22"/>
        </w:rPr>
        <w:t> </w:t>
      </w:r>
      <w:r>
        <w:rPr>
          <w:color w:val="231F1F"/>
          <w:spacing w:val="-2"/>
          <w:sz w:val="22"/>
        </w:rPr>
        <w:t>resultados?</w:t>
      </w:r>
    </w:p>
    <w:p>
      <w:pPr>
        <w:pStyle w:val="BodyText"/>
        <w:spacing w:before="172"/>
      </w:pPr>
    </w:p>
    <w:p>
      <w:pPr>
        <w:pStyle w:val="Heading4"/>
      </w:pPr>
      <w:r>
        <w:rPr>
          <w:color w:val="231F1F"/>
          <w:w w:val="105"/>
        </w:rPr>
        <w:t>Medidas</w:t>
      </w:r>
      <w:r>
        <w:rPr>
          <w:color w:val="231F1F"/>
          <w:spacing w:val="8"/>
          <w:w w:val="105"/>
        </w:rPr>
        <w:t> </w:t>
      </w:r>
      <w:r>
        <w:rPr>
          <w:color w:val="231F1F"/>
          <w:w w:val="105"/>
        </w:rPr>
        <w:t>de</w:t>
      </w:r>
      <w:r>
        <w:rPr>
          <w:color w:val="231F1F"/>
          <w:spacing w:val="12"/>
          <w:w w:val="105"/>
        </w:rPr>
        <w:t> </w:t>
      </w:r>
      <w:r>
        <w:rPr>
          <w:color w:val="231F1F"/>
          <w:spacing w:val="-2"/>
          <w:w w:val="105"/>
        </w:rPr>
        <w:t>asepsia</w:t>
      </w:r>
    </w:p>
    <w:p>
      <w:pPr>
        <w:pStyle w:val="ListParagraph"/>
        <w:numPr>
          <w:ilvl w:val="0"/>
          <w:numId w:val="3"/>
        </w:numPr>
        <w:tabs>
          <w:tab w:pos="665" w:val="left" w:leader="none"/>
        </w:tabs>
        <w:spacing w:line="240" w:lineRule="auto" w:before="214" w:after="0"/>
        <w:ind w:left="665" w:right="0" w:hanging="383"/>
        <w:jc w:val="left"/>
        <w:rPr>
          <w:sz w:val="22"/>
        </w:rPr>
      </w:pPr>
      <w:r>
        <w:rPr>
          <w:color w:val="231F1F"/>
          <w:sz w:val="22"/>
        </w:rPr>
        <w:t>¿Las</w:t>
      </w:r>
      <w:r>
        <w:rPr>
          <w:color w:val="231F1F"/>
          <w:spacing w:val="27"/>
          <w:sz w:val="22"/>
        </w:rPr>
        <w:t> </w:t>
      </w:r>
      <w:r>
        <w:rPr>
          <w:color w:val="231F1F"/>
          <w:sz w:val="22"/>
        </w:rPr>
        <w:t>medidas</w:t>
      </w:r>
      <w:r>
        <w:rPr>
          <w:color w:val="231F1F"/>
          <w:spacing w:val="30"/>
          <w:sz w:val="22"/>
        </w:rPr>
        <w:t> </w:t>
      </w:r>
      <w:r>
        <w:rPr>
          <w:color w:val="231F1F"/>
          <w:sz w:val="22"/>
        </w:rPr>
        <w:t>de</w:t>
      </w:r>
      <w:r>
        <w:rPr>
          <w:color w:val="231F1F"/>
          <w:spacing w:val="31"/>
          <w:sz w:val="22"/>
        </w:rPr>
        <w:t> </w:t>
      </w:r>
      <w:r>
        <w:rPr>
          <w:color w:val="231F1F"/>
          <w:sz w:val="22"/>
        </w:rPr>
        <w:t>asepsia</w:t>
      </w:r>
      <w:r>
        <w:rPr>
          <w:color w:val="231F1F"/>
          <w:spacing w:val="30"/>
          <w:sz w:val="22"/>
        </w:rPr>
        <w:t> </w:t>
      </w:r>
      <w:r>
        <w:rPr>
          <w:color w:val="231F1F"/>
          <w:sz w:val="22"/>
        </w:rPr>
        <w:t>durante</w:t>
      </w:r>
      <w:r>
        <w:rPr>
          <w:color w:val="231F1F"/>
          <w:spacing w:val="31"/>
          <w:sz w:val="22"/>
        </w:rPr>
        <w:t> </w:t>
      </w:r>
      <w:r>
        <w:rPr>
          <w:color w:val="231F1F"/>
          <w:sz w:val="22"/>
        </w:rPr>
        <w:t>la</w:t>
      </w:r>
      <w:r>
        <w:rPr>
          <w:color w:val="231F1F"/>
          <w:spacing w:val="30"/>
          <w:sz w:val="22"/>
        </w:rPr>
        <w:t> </w:t>
      </w:r>
      <w:r>
        <w:rPr>
          <w:color w:val="231F1F"/>
          <w:sz w:val="22"/>
        </w:rPr>
        <w:t>asistencia</w:t>
      </w:r>
      <w:r>
        <w:rPr>
          <w:color w:val="231F1F"/>
          <w:spacing w:val="31"/>
          <w:sz w:val="22"/>
        </w:rPr>
        <w:t> </w:t>
      </w:r>
      <w:r>
        <w:rPr>
          <w:color w:val="231F1F"/>
          <w:sz w:val="22"/>
        </w:rPr>
        <w:t>al</w:t>
      </w:r>
      <w:r>
        <w:rPr>
          <w:color w:val="231F1F"/>
          <w:spacing w:val="30"/>
          <w:sz w:val="22"/>
        </w:rPr>
        <w:t> </w:t>
      </w:r>
      <w:r>
        <w:rPr>
          <w:color w:val="231F1F"/>
          <w:sz w:val="22"/>
        </w:rPr>
        <w:t>parto</w:t>
      </w:r>
      <w:r>
        <w:rPr>
          <w:color w:val="231F1F"/>
          <w:spacing w:val="31"/>
          <w:sz w:val="22"/>
        </w:rPr>
        <w:t> </w:t>
      </w:r>
      <w:r>
        <w:rPr>
          <w:color w:val="231F1F"/>
          <w:sz w:val="22"/>
        </w:rPr>
        <w:t>influyen</w:t>
      </w:r>
      <w:r>
        <w:rPr>
          <w:color w:val="231F1F"/>
          <w:spacing w:val="31"/>
          <w:sz w:val="22"/>
        </w:rPr>
        <w:t> </w:t>
      </w:r>
      <w:r>
        <w:rPr>
          <w:color w:val="231F1F"/>
          <w:sz w:val="22"/>
        </w:rPr>
        <w:t>en</w:t>
      </w:r>
      <w:r>
        <w:rPr>
          <w:color w:val="231F1F"/>
          <w:spacing w:val="32"/>
          <w:sz w:val="22"/>
        </w:rPr>
        <w:t> </w:t>
      </w:r>
      <w:r>
        <w:rPr>
          <w:color w:val="231F1F"/>
          <w:sz w:val="22"/>
        </w:rPr>
        <w:t>los</w:t>
      </w:r>
      <w:r>
        <w:rPr>
          <w:color w:val="231F1F"/>
          <w:spacing w:val="30"/>
          <w:sz w:val="22"/>
        </w:rPr>
        <w:t> </w:t>
      </w:r>
      <w:r>
        <w:rPr>
          <w:color w:val="231F1F"/>
          <w:spacing w:val="-2"/>
          <w:sz w:val="22"/>
        </w:rPr>
        <w:t>resultados?</w:t>
      </w:r>
    </w:p>
    <w:p>
      <w:pPr>
        <w:pStyle w:val="BodyText"/>
        <w:spacing w:before="176"/>
      </w:pPr>
    </w:p>
    <w:p>
      <w:pPr>
        <w:pStyle w:val="Heading4"/>
        <w:spacing w:before="1"/>
      </w:pPr>
      <w:r>
        <w:rPr>
          <w:color w:val="231F1F"/>
          <w:w w:val="105"/>
        </w:rPr>
        <w:t>Posición</w:t>
      </w:r>
      <w:r>
        <w:rPr>
          <w:color w:val="231F1F"/>
          <w:spacing w:val="18"/>
          <w:w w:val="105"/>
        </w:rPr>
        <w:t> </w:t>
      </w:r>
      <w:r>
        <w:rPr>
          <w:color w:val="231F1F"/>
          <w:w w:val="105"/>
        </w:rPr>
        <w:t>durante</w:t>
      </w:r>
      <w:r>
        <w:rPr>
          <w:color w:val="231F1F"/>
          <w:spacing w:val="20"/>
          <w:w w:val="105"/>
        </w:rPr>
        <w:t> </w:t>
      </w:r>
      <w:r>
        <w:rPr>
          <w:color w:val="231F1F"/>
          <w:w w:val="105"/>
        </w:rPr>
        <w:t>el</w:t>
      </w:r>
      <w:r>
        <w:rPr>
          <w:color w:val="231F1F"/>
          <w:spacing w:val="19"/>
          <w:w w:val="105"/>
        </w:rPr>
        <w:t> </w:t>
      </w:r>
      <w:r>
        <w:rPr>
          <w:color w:val="231F1F"/>
          <w:w w:val="105"/>
        </w:rPr>
        <w:t>periodo</w:t>
      </w:r>
      <w:r>
        <w:rPr>
          <w:color w:val="231F1F"/>
          <w:spacing w:val="18"/>
          <w:w w:val="105"/>
        </w:rPr>
        <w:t> </w:t>
      </w:r>
      <w:r>
        <w:rPr>
          <w:color w:val="231F1F"/>
          <w:spacing w:val="-2"/>
          <w:w w:val="105"/>
        </w:rPr>
        <w:t>expulsivo</w:t>
      </w:r>
    </w:p>
    <w:p>
      <w:pPr>
        <w:pStyle w:val="ListParagraph"/>
        <w:numPr>
          <w:ilvl w:val="0"/>
          <w:numId w:val="3"/>
        </w:numPr>
        <w:tabs>
          <w:tab w:pos="665" w:val="left" w:leader="none"/>
        </w:tabs>
        <w:spacing w:line="240" w:lineRule="auto" w:before="204" w:after="0"/>
        <w:ind w:left="665" w:right="0" w:hanging="383"/>
        <w:jc w:val="left"/>
        <w:rPr>
          <w:sz w:val="22"/>
        </w:rPr>
      </w:pPr>
      <w:r>
        <w:rPr>
          <w:color w:val="231F1F"/>
          <w:w w:val="105"/>
          <w:sz w:val="22"/>
        </w:rPr>
        <w:t>¿Cuál</w:t>
      </w:r>
      <w:r>
        <w:rPr>
          <w:color w:val="231F1F"/>
          <w:spacing w:val="4"/>
          <w:w w:val="105"/>
          <w:sz w:val="22"/>
        </w:rPr>
        <w:t> </w:t>
      </w:r>
      <w:r>
        <w:rPr>
          <w:color w:val="231F1F"/>
          <w:w w:val="105"/>
          <w:sz w:val="22"/>
        </w:rPr>
        <w:t>es</w:t>
      </w:r>
      <w:r>
        <w:rPr>
          <w:color w:val="231F1F"/>
          <w:spacing w:val="9"/>
          <w:w w:val="105"/>
          <w:sz w:val="22"/>
        </w:rPr>
        <w:t> </w:t>
      </w:r>
      <w:r>
        <w:rPr>
          <w:color w:val="231F1F"/>
          <w:w w:val="105"/>
          <w:sz w:val="22"/>
        </w:rPr>
        <w:t>la</w:t>
      </w:r>
      <w:r>
        <w:rPr>
          <w:color w:val="231F1F"/>
          <w:spacing w:val="6"/>
          <w:w w:val="105"/>
          <w:sz w:val="22"/>
        </w:rPr>
        <w:t> </w:t>
      </w:r>
      <w:r>
        <w:rPr>
          <w:color w:val="231F1F"/>
          <w:w w:val="105"/>
          <w:sz w:val="22"/>
        </w:rPr>
        <w:t>posición</w:t>
      </w:r>
      <w:r>
        <w:rPr>
          <w:color w:val="231F1F"/>
          <w:spacing w:val="6"/>
          <w:w w:val="105"/>
          <w:sz w:val="22"/>
        </w:rPr>
        <w:t> </w:t>
      </w:r>
      <w:r>
        <w:rPr>
          <w:color w:val="231F1F"/>
          <w:w w:val="105"/>
          <w:sz w:val="22"/>
        </w:rPr>
        <w:t>más</w:t>
      </w:r>
      <w:r>
        <w:rPr>
          <w:color w:val="231F1F"/>
          <w:spacing w:val="7"/>
          <w:w w:val="105"/>
          <w:sz w:val="22"/>
        </w:rPr>
        <w:t> </w:t>
      </w:r>
      <w:r>
        <w:rPr>
          <w:color w:val="231F1F"/>
          <w:w w:val="105"/>
          <w:sz w:val="22"/>
        </w:rPr>
        <w:t>adecuada</w:t>
      </w:r>
      <w:r>
        <w:rPr>
          <w:color w:val="231F1F"/>
          <w:spacing w:val="7"/>
          <w:w w:val="105"/>
          <w:sz w:val="22"/>
        </w:rPr>
        <w:t> </w:t>
      </w:r>
      <w:r>
        <w:rPr>
          <w:color w:val="231F1F"/>
          <w:w w:val="105"/>
          <w:sz w:val="22"/>
        </w:rPr>
        <w:t>durante</w:t>
      </w:r>
      <w:r>
        <w:rPr>
          <w:color w:val="231F1F"/>
          <w:spacing w:val="6"/>
          <w:w w:val="105"/>
          <w:sz w:val="22"/>
        </w:rPr>
        <w:t> </w:t>
      </w:r>
      <w:r>
        <w:rPr>
          <w:color w:val="231F1F"/>
          <w:w w:val="105"/>
          <w:sz w:val="22"/>
        </w:rPr>
        <w:t>el</w:t>
      </w:r>
      <w:r>
        <w:rPr>
          <w:color w:val="231F1F"/>
          <w:spacing w:val="6"/>
          <w:w w:val="105"/>
          <w:sz w:val="22"/>
        </w:rPr>
        <w:t> </w:t>
      </w:r>
      <w:r>
        <w:rPr>
          <w:color w:val="231F1F"/>
          <w:w w:val="105"/>
          <w:sz w:val="22"/>
        </w:rPr>
        <w:t>periodo</w:t>
      </w:r>
      <w:r>
        <w:rPr>
          <w:color w:val="231F1F"/>
          <w:spacing w:val="5"/>
          <w:w w:val="105"/>
          <w:sz w:val="22"/>
        </w:rPr>
        <w:t> </w:t>
      </w:r>
      <w:r>
        <w:rPr>
          <w:color w:val="231F1F"/>
          <w:spacing w:val="-2"/>
          <w:w w:val="105"/>
          <w:sz w:val="22"/>
        </w:rPr>
        <w:t>expulsivo?</w:t>
      </w:r>
    </w:p>
    <w:p>
      <w:pPr>
        <w:pStyle w:val="BodyText"/>
        <w:spacing w:before="176"/>
      </w:pPr>
    </w:p>
    <w:p>
      <w:pPr>
        <w:pStyle w:val="Heading4"/>
      </w:pPr>
      <w:r>
        <w:rPr>
          <w:color w:val="231F1F"/>
          <w:w w:val="105"/>
        </w:rPr>
        <w:t>Pujos</w:t>
      </w:r>
      <w:r>
        <w:rPr>
          <w:color w:val="231F1F"/>
          <w:spacing w:val="4"/>
          <w:w w:val="105"/>
        </w:rPr>
        <w:t> </w:t>
      </w:r>
      <w:r>
        <w:rPr>
          <w:color w:val="231F1F"/>
          <w:w w:val="105"/>
        </w:rPr>
        <w:t>maternos</w:t>
      </w:r>
      <w:r>
        <w:rPr>
          <w:color w:val="231F1F"/>
          <w:spacing w:val="5"/>
          <w:w w:val="105"/>
        </w:rPr>
        <w:t> </w:t>
      </w:r>
      <w:r>
        <w:rPr>
          <w:color w:val="231F1F"/>
          <w:w w:val="105"/>
        </w:rPr>
        <w:t>y</w:t>
      </w:r>
      <w:r>
        <w:rPr>
          <w:color w:val="231F1F"/>
          <w:spacing w:val="8"/>
          <w:w w:val="105"/>
        </w:rPr>
        <w:t> </w:t>
      </w:r>
      <w:r>
        <w:rPr>
          <w:color w:val="231F1F"/>
          <w:w w:val="105"/>
        </w:rPr>
        <w:t>pujos</w:t>
      </w:r>
      <w:r>
        <w:rPr>
          <w:color w:val="231F1F"/>
          <w:spacing w:val="7"/>
          <w:w w:val="105"/>
        </w:rPr>
        <w:t> </w:t>
      </w:r>
      <w:r>
        <w:rPr>
          <w:color w:val="231F1F"/>
          <w:spacing w:val="-2"/>
          <w:w w:val="105"/>
        </w:rPr>
        <w:t>dirigidos</w:t>
      </w:r>
    </w:p>
    <w:p>
      <w:pPr>
        <w:pStyle w:val="ListParagraph"/>
        <w:numPr>
          <w:ilvl w:val="0"/>
          <w:numId w:val="3"/>
        </w:numPr>
        <w:tabs>
          <w:tab w:pos="665" w:val="left" w:leader="none"/>
          <w:tab w:pos="668" w:val="left" w:leader="none"/>
        </w:tabs>
        <w:spacing w:line="264" w:lineRule="auto" w:before="204" w:after="0"/>
        <w:ind w:left="668" w:right="215" w:hanging="386"/>
        <w:jc w:val="left"/>
        <w:rPr>
          <w:sz w:val="22"/>
        </w:rPr>
      </w:pPr>
      <w:r>
        <w:rPr>
          <w:color w:val="231F1F"/>
          <w:sz w:val="22"/>
        </w:rPr>
        <w:t>¿Cuál</w:t>
      </w:r>
      <w:r>
        <w:rPr>
          <w:color w:val="231F1F"/>
          <w:spacing w:val="34"/>
          <w:sz w:val="22"/>
        </w:rPr>
        <w:t> </w:t>
      </w:r>
      <w:r>
        <w:rPr>
          <w:color w:val="231F1F"/>
          <w:sz w:val="22"/>
        </w:rPr>
        <w:t>es</w:t>
      </w:r>
      <w:r>
        <w:rPr>
          <w:color w:val="231F1F"/>
          <w:spacing w:val="34"/>
          <w:sz w:val="22"/>
        </w:rPr>
        <w:t> </w:t>
      </w:r>
      <w:r>
        <w:rPr>
          <w:color w:val="231F1F"/>
          <w:sz w:val="22"/>
        </w:rPr>
        <w:t>la</w:t>
      </w:r>
      <w:r>
        <w:rPr>
          <w:color w:val="231F1F"/>
          <w:spacing w:val="34"/>
          <w:sz w:val="22"/>
        </w:rPr>
        <w:t> </w:t>
      </w:r>
      <w:r>
        <w:rPr>
          <w:color w:val="231F1F"/>
          <w:sz w:val="22"/>
        </w:rPr>
        <w:t>efectividad</w:t>
      </w:r>
      <w:r>
        <w:rPr>
          <w:color w:val="231F1F"/>
          <w:spacing w:val="34"/>
          <w:sz w:val="22"/>
        </w:rPr>
        <w:t> </w:t>
      </w:r>
      <w:r>
        <w:rPr>
          <w:color w:val="231F1F"/>
          <w:sz w:val="22"/>
        </w:rPr>
        <w:t>de</w:t>
      </w:r>
      <w:r>
        <w:rPr>
          <w:color w:val="231F1F"/>
          <w:spacing w:val="34"/>
          <w:sz w:val="22"/>
        </w:rPr>
        <w:t> </w:t>
      </w:r>
      <w:r>
        <w:rPr>
          <w:color w:val="231F1F"/>
          <w:sz w:val="22"/>
        </w:rPr>
        <w:t>las</w:t>
      </w:r>
      <w:r>
        <w:rPr>
          <w:color w:val="231F1F"/>
          <w:spacing w:val="34"/>
          <w:sz w:val="22"/>
        </w:rPr>
        <w:t> </w:t>
      </w:r>
      <w:r>
        <w:rPr>
          <w:color w:val="231F1F"/>
          <w:sz w:val="22"/>
        </w:rPr>
        <w:t>diferentes</w:t>
      </w:r>
      <w:r>
        <w:rPr>
          <w:color w:val="231F1F"/>
          <w:spacing w:val="30"/>
          <w:sz w:val="22"/>
        </w:rPr>
        <w:t> </w:t>
      </w:r>
      <w:r>
        <w:rPr>
          <w:color w:val="231F1F"/>
          <w:sz w:val="22"/>
        </w:rPr>
        <w:t>técnicas</w:t>
      </w:r>
      <w:r>
        <w:rPr>
          <w:color w:val="231F1F"/>
          <w:spacing w:val="36"/>
          <w:sz w:val="22"/>
        </w:rPr>
        <w:t> </w:t>
      </w:r>
      <w:r>
        <w:rPr>
          <w:color w:val="231F1F"/>
          <w:sz w:val="22"/>
        </w:rPr>
        <w:t>de</w:t>
      </w:r>
      <w:r>
        <w:rPr>
          <w:color w:val="231F1F"/>
          <w:spacing w:val="34"/>
          <w:sz w:val="22"/>
        </w:rPr>
        <w:t> </w:t>
      </w:r>
      <w:r>
        <w:rPr>
          <w:color w:val="231F1F"/>
          <w:sz w:val="22"/>
        </w:rPr>
        <w:t>pujo</w:t>
      </w:r>
      <w:r>
        <w:rPr>
          <w:color w:val="231F1F"/>
          <w:spacing w:val="34"/>
          <w:sz w:val="22"/>
        </w:rPr>
        <w:t> </w:t>
      </w:r>
      <w:r>
        <w:rPr>
          <w:color w:val="231F1F"/>
          <w:sz w:val="22"/>
        </w:rPr>
        <w:t>durante</w:t>
      </w:r>
      <w:r>
        <w:rPr>
          <w:color w:val="231F1F"/>
          <w:spacing w:val="34"/>
          <w:sz w:val="22"/>
        </w:rPr>
        <w:t> </w:t>
      </w:r>
      <w:r>
        <w:rPr>
          <w:color w:val="231F1F"/>
          <w:sz w:val="22"/>
        </w:rPr>
        <w:t>la</w:t>
      </w:r>
      <w:r>
        <w:rPr>
          <w:color w:val="231F1F"/>
          <w:spacing w:val="34"/>
          <w:sz w:val="22"/>
        </w:rPr>
        <w:t> </w:t>
      </w:r>
      <w:r>
        <w:rPr>
          <w:color w:val="231F1F"/>
          <w:sz w:val="22"/>
        </w:rPr>
        <w:t>segunda</w:t>
      </w:r>
      <w:r>
        <w:rPr>
          <w:color w:val="231F1F"/>
          <w:spacing w:val="34"/>
          <w:sz w:val="22"/>
        </w:rPr>
        <w:t> </w:t>
      </w:r>
      <w:r>
        <w:rPr>
          <w:color w:val="231F1F"/>
          <w:sz w:val="22"/>
        </w:rPr>
        <w:t>etapa</w:t>
      </w:r>
      <w:r>
        <w:rPr>
          <w:color w:val="231F1F"/>
          <w:spacing w:val="34"/>
          <w:sz w:val="22"/>
        </w:rPr>
        <w:t> </w:t>
      </w:r>
      <w:r>
        <w:rPr>
          <w:color w:val="231F1F"/>
          <w:sz w:val="22"/>
        </w:rPr>
        <w:t>del </w:t>
      </w:r>
      <w:r>
        <w:rPr>
          <w:color w:val="231F1F"/>
          <w:w w:val="110"/>
          <w:sz w:val="22"/>
        </w:rPr>
        <w:t>parto sobre los resultados maternos y neonatales?</w:t>
      </w:r>
    </w:p>
    <w:p>
      <w:pPr>
        <w:pStyle w:val="ListParagraph"/>
        <w:numPr>
          <w:ilvl w:val="0"/>
          <w:numId w:val="3"/>
        </w:numPr>
        <w:tabs>
          <w:tab w:pos="665" w:val="left" w:leader="none"/>
        </w:tabs>
        <w:spacing w:line="240" w:lineRule="auto" w:before="125" w:after="0"/>
        <w:ind w:left="665" w:right="0" w:hanging="383"/>
        <w:jc w:val="left"/>
        <w:rPr>
          <w:sz w:val="22"/>
        </w:rPr>
      </w:pPr>
      <w:r>
        <w:rPr>
          <w:color w:val="231F1F"/>
          <w:sz w:val="22"/>
        </w:rPr>
        <w:t>¿Cuál</w:t>
      </w:r>
      <w:r>
        <w:rPr>
          <w:color w:val="231F1F"/>
          <w:spacing w:val="32"/>
          <w:sz w:val="22"/>
        </w:rPr>
        <w:t> </w:t>
      </w:r>
      <w:r>
        <w:rPr>
          <w:color w:val="231F1F"/>
          <w:sz w:val="22"/>
        </w:rPr>
        <w:t>es</w:t>
      </w:r>
      <w:r>
        <w:rPr>
          <w:color w:val="231F1F"/>
          <w:spacing w:val="35"/>
          <w:sz w:val="22"/>
        </w:rPr>
        <w:t> </w:t>
      </w:r>
      <w:r>
        <w:rPr>
          <w:color w:val="231F1F"/>
          <w:sz w:val="22"/>
        </w:rPr>
        <w:t>el</w:t>
      </w:r>
      <w:r>
        <w:rPr>
          <w:color w:val="231F1F"/>
          <w:spacing w:val="35"/>
          <w:sz w:val="22"/>
        </w:rPr>
        <w:t> </w:t>
      </w:r>
      <w:r>
        <w:rPr>
          <w:color w:val="231F1F"/>
          <w:sz w:val="22"/>
        </w:rPr>
        <w:t>momento</w:t>
      </w:r>
      <w:r>
        <w:rPr>
          <w:color w:val="231F1F"/>
          <w:spacing w:val="35"/>
          <w:sz w:val="22"/>
        </w:rPr>
        <w:t> </w:t>
      </w:r>
      <w:r>
        <w:rPr>
          <w:color w:val="231F1F"/>
          <w:sz w:val="22"/>
        </w:rPr>
        <w:t>óptimo</w:t>
      </w:r>
      <w:r>
        <w:rPr>
          <w:color w:val="231F1F"/>
          <w:spacing w:val="34"/>
          <w:sz w:val="22"/>
        </w:rPr>
        <w:t> </w:t>
      </w:r>
      <w:r>
        <w:rPr>
          <w:color w:val="231F1F"/>
          <w:sz w:val="22"/>
        </w:rPr>
        <w:t>de</w:t>
      </w:r>
      <w:r>
        <w:rPr>
          <w:color w:val="231F1F"/>
          <w:spacing w:val="34"/>
          <w:sz w:val="22"/>
        </w:rPr>
        <w:t> </w:t>
      </w:r>
      <w:r>
        <w:rPr>
          <w:color w:val="231F1F"/>
          <w:sz w:val="22"/>
        </w:rPr>
        <w:t>recomendar</w:t>
      </w:r>
      <w:r>
        <w:rPr>
          <w:color w:val="231F1F"/>
          <w:spacing w:val="35"/>
          <w:sz w:val="22"/>
        </w:rPr>
        <w:t> </w:t>
      </w:r>
      <w:r>
        <w:rPr>
          <w:color w:val="231F1F"/>
          <w:sz w:val="22"/>
        </w:rPr>
        <w:t>los</w:t>
      </w:r>
      <w:r>
        <w:rPr>
          <w:color w:val="231F1F"/>
          <w:spacing w:val="35"/>
          <w:sz w:val="22"/>
        </w:rPr>
        <w:t> </w:t>
      </w:r>
      <w:r>
        <w:rPr>
          <w:color w:val="231F1F"/>
          <w:sz w:val="22"/>
        </w:rPr>
        <w:t>pujos</w:t>
      </w:r>
      <w:r>
        <w:rPr>
          <w:color w:val="231F1F"/>
          <w:spacing w:val="36"/>
          <w:sz w:val="22"/>
        </w:rPr>
        <w:t> </w:t>
      </w:r>
      <w:r>
        <w:rPr>
          <w:color w:val="231F1F"/>
          <w:spacing w:val="-2"/>
          <w:sz w:val="22"/>
        </w:rPr>
        <w:t>dirigidos?</w:t>
      </w:r>
    </w:p>
    <w:p>
      <w:pPr>
        <w:pStyle w:val="ListParagraph"/>
        <w:spacing w:after="0" w:line="240" w:lineRule="auto"/>
        <w:jc w:val="left"/>
        <w:rPr>
          <w:sz w:val="22"/>
        </w:rPr>
        <w:sectPr>
          <w:pgSz w:w="11900" w:h="16840"/>
          <w:pgMar w:header="0" w:footer="622" w:top="1540" w:bottom="820" w:left="1417" w:right="1559"/>
        </w:sectPr>
      </w:pPr>
    </w:p>
    <w:p>
      <w:pPr>
        <w:pStyle w:val="Heading4"/>
        <w:spacing w:before="75"/>
      </w:pPr>
      <w:r>
        <w:rPr>
          <w:color w:val="231F1F"/>
          <w:w w:val="105"/>
        </w:rPr>
        <w:t>Prevención</w:t>
      </w:r>
      <w:r>
        <w:rPr>
          <w:color w:val="231F1F"/>
          <w:spacing w:val="20"/>
          <w:w w:val="105"/>
        </w:rPr>
        <w:t> </w:t>
      </w:r>
      <w:r>
        <w:rPr>
          <w:color w:val="231F1F"/>
          <w:w w:val="105"/>
        </w:rPr>
        <w:t>del</w:t>
      </w:r>
      <w:r>
        <w:rPr>
          <w:color w:val="231F1F"/>
          <w:spacing w:val="19"/>
          <w:w w:val="105"/>
        </w:rPr>
        <w:t> </w:t>
      </w:r>
      <w:r>
        <w:rPr>
          <w:color w:val="231F1F"/>
          <w:w w:val="105"/>
        </w:rPr>
        <w:t>trauma</w:t>
      </w:r>
      <w:r>
        <w:rPr>
          <w:color w:val="231F1F"/>
          <w:spacing w:val="22"/>
          <w:w w:val="105"/>
        </w:rPr>
        <w:t> </w:t>
      </w:r>
      <w:r>
        <w:rPr>
          <w:color w:val="231F1F"/>
          <w:spacing w:val="-2"/>
          <w:w w:val="105"/>
        </w:rPr>
        <w:t>perineal</w:t>
      </w:r>
    </w:p>
    <w:p>
      <w:pPr>
        <w:pStyle w:val="ListParagraph"/>
        <w:numPr>
          <w:ilvl w:val="0"/>
          <w:numId w:val="3"/>
        </w:numPr>
        <w:tabs>
          <w:tab w:pos="668" w:val="left" w:leader="none"/>
        </w:tabs>
        <w:spacing w:line="266" w:lineRule="auto" w:before="228" w:after="0"/>
        <w:ind w:left="668" w:right="126" w:hanging="385"/>
        <w:jc w:val="both"/>
        <w:rPr>
          <w:sz w:val="22"/>
        </w:rPr>
      </w:pPr>
      <w:r>
        <w:rPr>
          <w:color w:val="231F1F"/>
          <w:w w:val="110"/>
          <w:sz w:val="22"/>
        </w:rPr>
        <w:t>¿Cuál es la efectividad de las siguientes intervenciones en la prevención del trauma </w:t>
      </w:r>
      <w:r>
        <w:rPr>
          <w:color w:val="231F1F"/>
          <w:spacing w:val="-2"/>
          <w:w w:val="110"/>
          <w:sz w:val="22"/>
        </w:rPr>
        <w:t>genital?</w:t>
      </w:r>
      <w:r>
        <w:rPr>
          <w:color w:val="231F1F"/>
          <w:spacing w:val="-6"/>
          <w:w w:val="110"/>
          <w:sz w:val="22"/>
        </w:rPr>
        <w:t> </w:t>
      </w:r>
      <w:r>
        <w:rPr>
          <w:color w:val="231F1F"/>
          <w:spacing w:val="-2"/>
          <w:w w:val="110"/>
          <w:sz w:val="22"/>
        </w:rPr>
        <w:t>(masaje</w:t>
      </w:r>
      <w:r>
        <w:rPr>
          <w:color w:val="231F1F"/>
          <w:spacing w:val="-6"/>
          <w:w w:val="110"/>
          <w:sz w:val="22"/>
        </w:rPr>
        <w:t> </w:t>
      </w:r>
      <w:r>
        <w:rPr>
          <w:color w:val="231F1F"/>
          <w:spacing w:val="-2"/>
          <w:w w:val="110"/>
          <w:sz w:val="22"/>
        </w:rPr>
        <w:t>del</w:t>
      </w:r>
      <w:r>
        <w:rPr>
          <w:color w:val="231F1F"/>
          <w:spacing w:val="-7"/>
          <w:w w:val="110"/>
          <w:sz w:val="22"/>
        </w:rPr>
        <w:t> </w:t>
      </w:r>
      <w:r>
        <w:rPr>
          <w:color w:val="231F1F"/>
          <w:spacing w:val="-2"/>
          <w:w w:val="110"/>
          <w:sz w:val="22"/>
        </w:rPr>
        <w:t>periné,</w:t>
      </w:r>
      <w:r>
        <w:rPr>
          <w:color w:val="231F1F"/>
          <w:spacing w:val="-7"/>
          <w:w w:val="110"/>
          <w:sz w:val="22"/>
        </w:rPr>
        <w:t> </w:t>
      </w:r>
      <w:r>
        <w:rPr>
          <w:color w:val="231F1F"/>
          <w:spacing w:val="-2"/>
          <w:w w:val="110"/>
          <w:sz w:val="22"/>
        </w:rPr>
        <w:t>aplicación</w:t>
      </w:r>
      <w:r>
        <w:rPr>
          <w:color w:val="231F1F"/>
          <w:spacing w:val="-6"/>
          <w:w w:val="110"/>
          <w:sz w:val="22"/>
        </w:rPr>
        <w:t> </w:t>
      </w:r>
      <w:r>
        <w:rPr>
          <w:color w:val="231F1F"/>
          <w:spacing w:val="-2"/>
          <w:w w:val="110"/>
          <w:sz w:val="22"/>
        </w:rPr>
        <w:t>de</w:t>
      </w:r>
      <w:r>
        <w:rPr>
          <w:color w:val="231F1F"/>
          <w:spacing w:val="-6"/>
          <w:w w:val="110"/>
          <w:sz w:val="22"/>
        </w:rPr>
        <w:t> </w:t>
      </w:r>
      <w:r>
        <w:rPr>
          <w:color w:val="231F1F"/>
          <w:spacing w:val="-2"/>
          <w:w w:val="110"/>
          <w:sz w:val="22"/>
        </w:rPr>
        <w:t>calor</w:t>
      </w:r>
      <w:r>
        <w:rPr>
          <w:color w:val="231F1F"/>
          <w:spacing w:val="-6"/>
          <w:w w:val="110"/>
          <w:sz w:val="22"/>
        </w:rPr>
        <w:t> </w:t>
      </w:r>
      <w:r>
        <w:rPr>
          <w:color w:val="231F1F"/>
          <w:spacing w:val="-2"/>
          <w:w w:val="110"/>
          <w:sz w:val="22"/>
        </w:rPr>
        <w:t>perineal,</w:t>
      </w:r>
      <w:r>
        <w:rPr>
          <w:color w:val="231F1F"/>
          <w:spacing w:val="-7"/>
          <w:w w:val="110"/>
          <w:sz w:val="22"/>
        </w:rPr>
        <w:t> </w:t>
      </w:r>
      <w:r>
        <w:rPr>
          <w:color w:val="231F1F"/>
          <w:spacing w:val="-2"/>
          <w:w w:val="110"/>
          <w:sz w:val="22"/>
        </w:rPr>
        <w:t>uso</w:t>
      </w:r>
      <w:r>
        <w:rPr>
          <w:color w:val="231F1F"/>
          <w:spacing w:val="-6"/>
          <w:w w:val="110"/>
          <w:sz w:val="22"/>
        </w:rPr>
        <w:t> </w:t>
      </w:r>
      <w:r>
        <w:rPr>
          <w:color w:val="231F1F"/>
          <w:spacing w:val="-2"/>
          <w:w w:val="110"/>
          <w:sz w:val="22"/>
        </w:rPr>
        <w:t>de</w:t>
      </w:r>
      <w:r>
        <w:rPr>
          <w:color w:val="231F1F"/>
          <w:spacing w:val="-6"/>
          <w:w w:val="110"/>
          <w:sz w:val="22"/>
        </w:rPr>
        <w:t> </w:t>
      </w:r>
      <w:r>
        <w:rPr>
          <w:color w:val="231F1F"/>
          <w:spacing w:val="-2"/>
          <w:w w:val="110"/>
          <w:sz w:val="22"/>
        </w:rPr>
        <w:t>anestésicos</w:t>
      </w:r>
      <w:r>
        <w:rPr>
          <w:color w:val="231F1F"/>
          <w:spacing w:val="-5"/>
          <w:w w:val="110"/>
          <w:sz w:val="22"/>
        </w:rPr>
        <w:t> </w:t>
      </w:r>
      <w:r>
        <w:rPr>
          <w:color w:val="231F1F"/>
          <w:spacing w:val="-2"/>
          <w:w w:val="110"/>
          <w:sz w:val="22"/>
        </w:rPr>
        <w:t>locales</w:t>
      </w:r>
      <w:r>
        <w:rPr>
          <w:color w:val="231F1F"/>
          <w:spacing w:val="-6"/>
          <w:w w:val="110"/>
          <w:sz w:val="22"/>
        </w:rPr>
        <w:t> </w:t>
      </w:r>
      <w:r>
        <w:rPr>
          <w:color w:val="231F1F"/>
          <w:spacing w:val="-2"/>
          <w:w w:val="110"/>
          <w:sz w:val="22"/>
        </w:rPr>
        <w:t>en periné,</w:t>
      </w:r>
      <w:r>
        <w:rPr>
          <w:color w:val="231F1F"/>
          <w:spacing w:val="-8"/>
          <w:w w:val="110"/>
          <w:sz w:val="22"/>
        </w:rPr>
        <w:t> </w:t>
      </w:r>
      <w:r>
        <w:rPr>
          <w:color w:val="231F1F"/>
          <w:spacing w:val="-2"/>
          <w:w w:val="110"/>
          <w:sz w:val="22"/>
        </w:rPr>
        <w:t>aplicación</w:t>
      </w:r>
      <w:r>
        <w:rPr>
          <w:color w:val="231F1F"/>
          <w:spacing w:val="-8"/>
          <w:w w:val="110"/>
          <w:sz w:val="22"/>
        </w:rPr>
        <w:t> </w:t>
      </w:r>
      <w:r>
        <w:rPr>
          <w:color w:val="231F1F"/>
          <w:spacing w:val="-2"/>
          <w:w w:val="110"/>
          <w:sz w:val="22"/>
        </w:rPr>
        <w:t>de</w:t>
      </w:r>
      <w:r>
        <w:rPr>
          <w:color w:val="231F1F"/>
          <w:spacing w:val="-8"/>
          <w:w w:val="110"/>
          <w:sz w:val="22"/>
        </w:rPr>
        <w:t> </w:t>
      </w:r>
      <w:r>
        <w:rPr>
          <w:color w:val="231F1F"/>
          <w:spacing w:val="-2"/>
          <w:w w:val="110"/>
          <w:sz w:val="22"/>
        </w:rPr>
        <w:t>frío</w:t>
      </w:r>
      <w:r>
        <w:rPr>
          <w:color w:val="231F1F"/>
          <w:spacing w:val="-7"/>
          <w:w w:val="110"/>
          <w:sz w:val="22"/>
        </w:rPr>
        <w:t> </w:t>
      </w:r>
      <w:r>
        <w:rPr>
          <w:color w:val="231F1F"/>
          <w:spacing w:val="-2"/>
          <w:w w:val="110"/>
          <w:sz w:val="22"/>
        </w:rPr>
        <w:t>perineal,</w:t>
      </w:r>
      <w:r>
        <w:rPr>
          <w:color w:val="231F1F"/>
          <w:spacing w:val="-8"/>
          <w:w w:val="110"/>
          <w:sz w:val="22"/>
        </w:rPr>
        <w:t> </w:t>
      </w:r>
      <w:r>
        <w:rPr>
          <w:color w:val="231F1F"/>
          <w:spacing w:val="-2"/>
          <w:w w:val="110"/>
          <w:sz w:val="22"/>
        </w:rPr>
        <w:t>protección</w:t>
      </w:r>
      <w:r>
        <w:rPr>
          <w:color w:val="231F1F"/>
          <w:spacing w:val="-8"/>
          <w:w w:val="110"/>
          <w:sz w:val="22"/>
        </w:rPr>
        <w:t> </w:t>
      </w:r>
      <w:r>
        <w:rPr>
          <w:color w:val="231F1F"/>
          <w:spacing w:val="-2"/>
          <w:w w:val="110"/>
          <w:sz w:val="22"/>
        </w:rPr>
        <w:t>del</w:t>
      </w:r>
      <w:r>
        <w:rPr>
          <w:color w:val="231F1F"/>
          <w:spacing w:val="-8"/>
          <w:w w:val="110"/>
          <w:sz w:val="22"/>
        </w:rPr>
        <w:t> </w:t>
      </w:r>
      <w:r>
        <w:rPr>
          <w:color w:val="231F1F"/>
          <w:spacing w:val="-2"/>
          <w:w w:val="110"/>
          <w:sz w:val="22"/>
        </w:rPr>
        <w:t>periné,</w:t>
      </w:r>
      <w:r>
        <w:rPr>
          <w:color w:val="231F1F"/>
          <w:spacing w:val="-8"/>
          <w:w w:val="110"/>
          <w:sz w:val="22"/>
        </w:rPr>
        <w:t> </w:t>
      </w:r>
      <w:r>
        <w:rPr>
          <w:color w:val="231F1F"/>
          <w:spacing w:val="-2"/>
          <w:w w:val="110"/>
          <w:sz w:val="22"/>
        </w:rPr>
        <w:t>deflexión</w:t>
      </w:r>
      <w:r>
        <w:rPr>
          <w:color w:val="231F1F"/>
          <w:spacing w:val="-8"/>
          <w:w w:val="110"/>
          <w:sz w:val="22"/>
        </w:rPr>
        <w:t> </w:t>
      </w:r>
      <w:r>
        <w:rPr>
          <w:color w:val="231F1F"/>
          <w:spacing w:val="-2"/>
          <w:w w:val="110"/>
          <w:sz w:val="22"/>
        </w:rPr>
        <w:t>activa</w:t>
      </w:r>
      <w:r>
        <w:rPr>
          <w:color w:val="231F1F"/>
          <w:spacing w:val="-8"/>
          <w:w w:val="110"/>
          <w:sz w:val="22"/>
        </w:rPr>
        <w:t> </w:t>
      </w:r>
      <w:r>
        <w:rPr>
          <w:color w:val="231F1F"/>
          <w:spacing w:val="-2"/>
          <w:w w:val="110"/>
          <w:sz w:val="22"/>
        </w:rPr>
        <w:t>de</w:t>
      </w:r>
      <w:r>
        <w:rPr>
          <w:color w:val="231F1F"/>
          <w:spacing w:val="-8"/>
          <w:w w:val="110"/>
          <w:sz w:val="22"/>
        </w:rPr>
        <w:t> </w:t>
      </w:r>
      <w:r>
        <w:rPr>
          <w:color w:val="231F1F"/>
          <w:spacing w:val="-2"/>
          <w:w w:val="110"/>
          <w:sz w:val="22"/>
        </w:rPr>
        <w:t>la</w:t>
      </w:r>
      <w:r>
        <w:rPr>
          <w:color w:val="231F1F"/>
          <w:spacing w:val="-8"/>
          <w:w w:val="110"/>
          <w:sz w:val="22"/>
        </w:rPr>
        <w:t> </w:t>
      </w:r>
      <w:r>
        <w:rPr>
          <w:color w:val="231F1F"/>
          <w:spacing w:val="-2"/>
          <w:w w:val="110"/>
          <w:sz w:val="22"/>
        </w:rPr>
        <w:t>cabeza </w:t>
      </w:r>
      <w:r>
        <w:rPr>
          <w:color w:val="231F1F"/>
          <w:w w:val="110"/>
          <w:sz w:val="22"/>
        </w:rPr>
        <w:t>y extracción activa de los hombros versus no hacer nada)</w:t>
      </w:r>
    </w:p>
    <w:p>
      <w:pPr>
        <w:pStyle w:val="BodyText"/>
        <w:spacing w:before="155"/>
      </w:pPr>
    </w:p>
    <w:p>
      <w:pPr>
        <w:pStyle w:val="Heading4"/>
        <w:spacing w:before="1"/>
      </w:pPr>
      <w:r>
        <w:rPr>
          <w:color w:val="231F1F"/>
          <w:spacing w:val="-2"/>
          <w:w w:val="105"/>
        </w:rPr>
        <w:t>Episiotomía</w:t>
      </w:r>
    </w:p>
    <w:p>
      <w:pPr>
        <w:pStyle w:val="ListParagraph"/>
        <w:numPr>
          <w:ilvl w:val="0"/>
          <w:numId w:val="3"/>
        </w:numPr>
        <w:tabs>
          <w:tab w:pos="665" w:val="left" w:leader="none"/>
        </w:tabs>
        <w:spacing w:line="240" w:lineRule="auto" w:before="232" w:after="0"/>
        <w:ind w:left="665" w:right="0" w:hanging="383"/>
        <w:jc w:val="left"/>
        <w:rPr>
          <w:sz w:val="22"/>
        </w:rPr>
      </w:pPr>
      <w:r>
        <w:rPr>
          <w:color w:val="231F1F"/>
          <w:sz w:val="22"/>
        </w:rPr>
        <w:t>¿Cuál</w:t>
      </w:r>
      <w:r>
        <w:rPr>
          <w:color w:val="231F1F"/>
          <w:spacing w:val="21"/>
          <w:sz w:val="22"/>
        </w:rPr>
        <w:t> </w:t>
      </w:r>
      <w:r>
        <w:rPr>
          <w:color w:val="231F1F"/>
          <w:sz w:val="22"/>
        </w:rPr>
        <w:t>es</w:t>
      </w:r>
      <w:r>
        <w:rPr>
          <w:color w:val="231F1F"/>
          <w:spacing w:val="21"/>
          <w:sz w:val="22"/>
        </w:rPr>
        <w:t> </w:t>
      </w:r>
      <w:r>
        <w:rPr>
          <w:color w:val="231F1F"/>
          <w:sz w:val="22"/>
        </w:rPr>
        <w:t>la</w:t>
      </w:r>
      <w:r>
        <w:rPr>
          <w:color w:val="231F1F"/>
          <w:spacing w:val="21"/>
          <w:sz w:val="22"/>
        </w:rPr>
        <w:t> </w:t>
      </w:r>
      <w:r>
        <w:rPr>
          <w:color w:val="231F1F"/>
          <w:sz w:val="22"/>
        </w:rPr>
        <w:t>efectividad</w:t>
      </w:r>
      <w:r>
        <w:rPr>
          <w:color w:val="231F1F"/>
          <w:spacing w:val="22"/>
          <w:sz w:val="22"/>
        </w:rPr>
        <w:t> </w:t>
      </w:r>
      <w:r>
        <w:rPr>
          <w:color w:val="231F1F"/>
          <w:sz w:val="22"/>
        </w:rPr>
        <w:t>de</w:t>
      </w:r>
      <w:r>
        <w:rPr>
          <w:color w:val="231F1F"/>
          <w:spacing w:val="21"/>
          <w:sz w:val="22"/>
        </w:rPr>
        <w:t> </w:t>
      </w:r>
      <w:r>
        <w:rPr>
          <w:color w:val="231F1F"/>
          <w:sz w:val="22"/>
        </w:rPr>
        <w:t>la</w:t>
      </w:r>
      <w:r>
        <w:rPr>
          <w:color w:val="231F1F"/>
          <w:spacing w:val="22"/>
          <w:sz w:val="22"/>
        </w:rPr>
        <w:t> </w:t>
      </w:r>
      <w:r>
        <w:rPr>
          <w:color w:val="231F1F"/>
          <w:spacing w:val="-2"/>
          <w:sz w:val="22"/>
        </w:rPr>
        <w:t>episiotomía?</w:t>
      </w:r>
    </w:p>
    <w:p>
      <w:pPr>
        <w:pStyle w:val="BodyText"/>
        <w:spacing w:before="191"/>
      </w:pPr>
    </w:p>
    <w:p>
      <w:pPr>
        <w:pStyle w:val="Heading4"/>
      </w:pPr>
      <w:r>
        <w:rPr>
          <w:color w:val="231F1F"/>
          <w:w w:val="105"/>
        </w:rPr>
        <w:t>Método</w:t>
      </w:r>
      <w:r>
        <w:rPr>
          <w:color w:val="231F1F"/>
          <w:spacing w:val="15"/>
          <w:w w:val="105"/>
        </w:rPr>
        <w:t> </w:t>
      </w:r>
      <w:r>
        <w:rPr>
          <w:color w:val="231F1F"/>
          <w:w w:val="105"/>
        </w:rPr>
        <w:t>y</w:t>
      </w:r>
      <w:r>
        <w:rPr>
          <w:color w:val="231F1F"/>
          <w:spacing w:val="16"/>
          <w:w w:val="105"/>
        </w:rPr>
        <w:t> </w:t>
      </w:r>
      <w:r>
        <w:rPr>
          <w:color w:val="231F1F"/>
          <w:w w:val="105"/>
        </w:rPr>
        <w:t>material</w:t>
      </w:r>
      <w:r>
        <w:rPr>
          <w:color w:val="231F1F"/>
          <w:spacing w:val="14"/>
          <w:w w:val="105"/>
        </w:rPr>
        <w:t> </w:t>
      </w:r>
      <w:r>
        <w:rPr>
          <w:color w:val="231F1F"/>
          <w:w w:val="105"/>
        </w:rPr>
        <w:t>de</w:t>
      </w:r>
      <w:r>
        <w:rPr>
          <w:color w:val="231F1F"/>
          <w:spacing w:val="17"/>
          <w:w w:val="105"/>
        </w:rPr>
        <w:t> </w:t>
      </w:r>
      <w:r>
        <w:rPr>
          <w:color w:val="231F1F"/>
          <w:w w:val="105"/>
        </w:rPr>
        <w:t>sutura</w:t>
      </w:r>
      <w:r>
        <w:rPr>
          <w:color w:val="231F1F"/>
          <w:spacing w:val="15"/>
          <w:w w:val="105"/>
        </w:rPr>
        <w:t> </w:t>
      </w:r>
      <w:r>
        <w:rPr>
          <w:color w:val="231F1F"/>
          <w:w w:val="105"/>
        </w:rPr>
        <w:t>en</w:t>
      </w:r>
      <w:r>
        <w:rPr>
          <w:color w:val="231F1F"/>
          <w:spacing w:val="18"/>
          <w:w w:val="105"/>
        </w:rPr>
        <w:t> </w:t>
      </w:r>
      <w:r>
        <w:rPr>
          <w:color w:val="231F1F"/>
          <w:w w:val="105"/>
        </w:rPr>
        <w:t>la</w:t>
      </w:r>
      <w:r>
        <w:rPr>
          <w:color w:val="231F1F"/>
          <w:spacing w:val="15"/>
          <w:w w:val="105"/>
        </w:rPr>
        <w:t> </w:t>
      </w:r>
      <w:r>
        <w:rPr>
          <w:color w:val="231F1F"/>
          <w:w w:val="105"/>
        </w:rPr>
        <w:t>reparación</w:t>
      </w:r>
      <w:r>
        <w:rPr>
          <w:color w:val="231F1F"/>
          <w:spacing w:val="16"/>
          <w:w w:val="105"/>
        </w:rPr>
        <w:t> </w:t>
      </w:r>
      <w:r>
        <w:rPr>
          <w:color w:val="231F1F"/>
          <w:spacing w:val="-2"/>
          <w:w w:val="105"/>
        </w:rPr>
        <w:t>perineal</w:t>
      </w:r>
    </w:p>
    <w:p>
      <w:pPr>
        <w:pStyle w:val="ListParagraph"/>
        <w:numPr>
          <w:ilvl w:val="0"/>
          <w:numId w:val="3"/>
        </w:numPr>
        <w:tabs>
          <w:tab w:pos="665" w:val="left" w:leader="none"/>
        </w:tabs>
        <w:spacing w:line="240" w:lineRule="auto" w:before="219" w:after="0"/>
        <w:ind w:left="665" w:right="0" w:hanging="383"/>
        <w:jc w:val="left"/>
        <w:rPr>
          <w:sz w:val="22"/>
        </w:rPr>
      </w:pPr>
      <w:r>
        <w:rPr>
          <w:color w:val="231F1F"/>
          <w:sz w:val="22"/>
        </w:rPr>
        <w:t>¿Cuál</w:t>
      </w:r>
      <w:r>
        <w:rPr>
          <w:color w:val="231F1F"/>
          <w:spacing w:val="25"/>
          <w:sz w:val="22"/>
        </w:rPr>
        <w:t> </w:t>
      </w:r>
      <w:r>
        <w:rPr>
          <w:color w:val="231F1F"/>
          <w:sz w:val="22"/>
        </w:rPr>
        <w:t>es</w:t>
      </w:r>
      <w:r>
        <w:rPr>
          <w:color w:val="231F1F"/>
          <w:spacing w:val="27"/>
          <w:sz w:val="22"/>
        </w:rPr>
        <w:t> </w:t>
      </w:r>
      <w:r>
        <w:rPr>
          <w:color w:val="231F1F"/>
          <w:sz w:val="22"/>
        </w:rPr>
        <w:t>la</w:t>
      </w:r>
      <w:r>
        <w:rPr>
          <w:color w:val="231F1F"/>
          <w:spacing w:val="27"/>
          <w:sz w:val="22"/>
        </w:rPr>
        <w:t> </w:t>
      </w:r>
      <w:r>
        <w:rPr>
          <w:color w:val="231F1F"/>
          <w:sz w:val="22"/>
        </w:rPr>
        <w:t>efectividad</w:t>
      </w:r>
      <w:r>
        <w:rPr>
          <w:color w:val="231F1F"/>
          <w:spacing w:val="29"/>
          <w:sz w:val="22"/>
        </w:rPr>
        <w:t> </w:t>
      </w:r>
      <w:r>
        <w:rPr>
          <w:color w:val="231F1F"/>
          <w:sz w:val="22"/>
        </w:rPr>
        <w:t>de</w:t>
      </w:r>
      <w:r>
        <w:rPr>
          <w:color w:val="231F1F"/>
          <w:spacing w:val="27"/>
          <w:sz w:val="22"/>
        </w:rPr>
        <w:t> </w:t>
      </w:r>
      <w:r>
        <w:rPr>
          <w:color w:val="231F1F"/>
          <w:sz w:val="22"/>
        </w:rPr>
        <w:t>la</w:t>
      </w:r>
      <w:r>
        <w:rPr>
          <w:color w:val="231F1F"/>
          <w:spacing w:val="27"/>
          <w:sz w:val="22"/>
        </w:rPr>
        <w:t> </w:t>
      </w:r>
      <w:r>
        <w:rPr>
          <w:color w:val="231F1F"/>
          <w:sz w:val="22"/>
        </w:rPr>
        <w:t>sutura</w:t>
      </w:r>
      <w:r>
        <w:rPr>
          <w:color w:val="231F1F"/>
          <w:spacing w:val="27"/>
          <w:sz w:val="22"/>
        </w:rPr>
        <w:t> </w:t>
      </w:r>
      <w:r>
        <w:rPr>
          <w:color w:val="231F1F"/>
          <w:sz w:val="22"/>
        </w:rPr>
        <w:t>de</w:t>
      </w:r>
      <w:r>
        <w:rPr>
          <w:color w:val="231F1F"/>
          <w:spacing w:val="28"/>
          <w:sz w:val="22"/>
        </w:rPr>
        <w:t> </w:t>
      </w:r>
      <w:r>
        <w:rPr>
          <w:color w:val="231F1F"/>
          <w:sz w:val="22"/>
        </w:rPr>
        <w:t>desgarros</w:t>
      </w:r>
      <w:r>
        <w:rPr>
          <w:color w:val="231F1F"/>
          <w:spacing w:val="28"/>
          <w:sz w:val="22"/>
        </w:rPr>
        <w:t> </w:t>
      </w:r>
      <w:r>
        <w:rPr>
          <w:color w:val="231F1F"/>
          <w:sz w:val="22"/>
        </w:rPr>
        <w:t>perineales</w:t>
      </w:r>
      <w:r>
        <w:rPr>
          <w:color w:val="231F1F"/>
          <w:spacing w:val="23"/>
          <w:sz w:val="22"/>
        </w:rPr>
        <w:t> </w:t>
      </w:r>
      <w:r>
        <w:rPr>
          <w:color w:val="231F1F"/>
          <w:sz w:val="22"/>
        </w:rPr>
        <w:t>de</w:t>
      </w:r>
      <w:r>
        <w:rPr>
          <w:color w:val="231F1F"/>
          <w:spacing w:val="29"/>
          <w:sz w:val="22"/>
        </w:rPr>
        <w:t> </w:t>
      </w:r>
      <w:r>
        <w:rPr>
          <w:color w:val="231F1F"/>
          <w:sz w:val="22"/>
        </w:rPr>
        <w:t>I</w:t>
      </w:r>
      <w:r>
        <w:rPr>
          <w:color w:val="231F1F"/>
          <w:spacing w:val="27"/>
          <w:sz w:val="22"/>
        </w:rPr>
        <w:t> </w:t>
      </w:r>
      <w:r>
        <w:rPr>
          <w:color w:val="231F1F"/>
          <w:sz w:val="22"/>
        </w:rPr>
        <w:t>y</w:t>
      </w:r>
      <w:r>
        <w:rPr>
          <w:color w:val="231F1F"/>
          <w:spacing w:val="27"/>
          <w:sz w:val="22"/>
        </w:rPr>
        <w:t> </w:t>
      </w:r>
      <w:r>
        <w:rPr>
          <w:color w:val="231F1F"/>
          <w:sz w:val="22"/>
        </w:rPr>
        <w:t>II</w:t>
      </w:r>
      <w:r>
        <w:rPr>
          <w:color w:val="231F1F"/>
          <w:spacing w:val="27"/>
          <w:sz w:val="22"/>
        </w:rPr>
        <w:t> </w:t>
      </w:r>
      <w:r>
        <w:rPr>
          <w:color w:val="231F1F"/>
          <w:spacing w:val="-2"/>
          <w:sz w:val="22"/>
        </w:rPr>
        <w:t>grado?</w:t>
      </w:r>
    </w:p>
    <w:p>
      <w:pPr>
        <w:pStyle w:val="ListParagraph"/>
        <w:numPr>
          <w:ilvl w:val="0"/>
          <w:numId w:val="3"/>
        </w:numPr>
        <w:tabs>
          <w:tab w:pos="665" w:val="left" w:leader="none"/>
          <w:tab w:pos="668" w:val="left" w:leader="none"/>
        </w:tabs>
        <w:spacing w:line="264" w:lineRule="auto" w:before="174" w:after="0"/>
        <w:ind w:left="668" w:right="126" w:hanging="386"/>
        <w:jc w:val="both"/>
        <w:rPr>
          <w:sz w:val="22"/>
        </w:rPr>
      </w:pPr>
      <w:r>
        <w:rPr>
          <w:color w:val="231F1F"/>
          <w:w w:val="110"/>
          <w:sz w:val="22"/>
        </w:rPr>
        <w:t>¿Cuál</w:t>
      </w:r>
      <w:r>
        <w:rPr>
          <w:color w:val="231F1F"/>
          <w:spacing w:val="-5"/>
          <w:w w:val="110"/>
          <w:sz w:val="22"/>
        </w:rPr>
        <w:t> </w:t>
      </w:r>
      <w:r>
        <w:rPr>
          <w:color w:val="231F1F"/>
          <w:w w:val="110"/>
          <w:sz w:val="22"/>
        </w:rPr>
        <w:t>es</w:t>
      </w:r>
      <w:r>
        <w:rPr>
          <w:color w:val="231F1F"/>
          <w:spacing w:val="-4"/>
          <w:w w:val="110"/>
          <w:sz w:val="22"/>
        </w:rPr>
        <w:t> </w:t>
      </w:r>
      <w:r>
        <w:rPr>
          <w:color w:val="231F1F"/>
          <w:w w:val="110"/>
          <w:sz w:val="22"/>
        </w:rPr>
        <w:t>la</w:t>
      </w:r>
      <w:r>
        <w:rPr>
          <w:color w:val="231F1F"/>
          <w:spacing w:val="-4"/>
          <w:w w:val="110"/>
          <w:sz w:val="22"/>
        </w:rPr>
        <w:t> </w:t>
      </w:r>
      <w:r>
        <w:rPr>
          <w:color w:val="231F1F"/>
          <w:w w:val="110"/>
          <w:sz w:val="22"/>
        </w:rPr>
        <w:t>técnica</w:t>
      </w:r>
      <w:r>
        <w:rPr>
          <w:color w:val="231F1F"/>
          <w:spacing w:val="-4"/>
          <w:w w:val="110"/>
          <w:sz w:val="22"/>
        </w:rPr>
        <w:t> </w:t>
      </w:r>
      <w:r>
        <w:rPr>
          <w:color w:val="231F1F"/>
          <w:w w:val="110"/>
          <w:sz w:val="22"/>
        </w:rPr>
        <w:t>de</w:t>
      </w:r>
      <w:r>
        <w:rPr>
          <w:color w:val="231F1F"/>
          <w:spacing w:val="-4"/>
          <w:w w:val="110"/>
          <w:sz w:val="22"/>
        </w:rPr>
        <w:t> </w:t>
      </w:r>
      <w:r>
        <w:rPr>
          <w:color w:val="231F1F"/>
          <w:w w:val="110"/>
          <w:sz w:val="22"/>
        </w:rPr>
        <w:t>sutura</w:t>
      </w:r>
      <w:r>
        <w:rPr>
          <w:color w:val="231F1F"/>
          <w:spacing w:val="-5"/>
          <w:w w:val="110"/>
          <w:sz w:val="22"/>
        </w:rPr>
        <w:t> </w:t>
      </w:r>
      <w:r>
        <w:rPr>
          <w:color w:val="231F1F"/>
          <w:w w:val="110"/>
          <w:sz w:val="22"/>
        </w:rPr>
        <w:t>más</w:t>
      </w:r>
      <w:r>
        <w:rPr>
          <w:color w:val="231F1F"/>
          <w:spacing w:val="-4"/>
          <w:w w:val="110"/>
          <w:sz w:val="22"/>
        </w:rPr>
        <w:t> </w:t>
      </w:r>
      <w:r>
        <w:rPr>
          <w:color w:val="231F1F"/>
          <w:w w:val="110"/>
          <w:sz w:val="22"/>
        </w:rPr>
        <w:t>efectiva</w:t>
      </w:r>
      <w:r>
        <w:rPr>
          <w:color w:val="231F1F"/>
          <w:spacing w:val="-4"/>
          <w:w w:val="110"/>
          <w:sz w:val="22"/>
        </w:rPr>
        <w:t> </w:t>
      </w:r>
      <w:r>
        <w:rPr>
          <w:color w:val="231F1F"/>
          <w:w w:val="110"/>
          <w:sz w:val="22"/>
        </w:rPr>
        <w:t>para</w:t>
      </w:r>
      <w:r>
        <w:rPr>
          <w:color w:val="231F1F"/>
          <w:spacing w:val="-4"/>
          <w:w w:val="110"/>
          <w:sz w:val="22"/>
        </w:rPr>
        <w:t> </w:t>
      </w:r>
      <w:r>
        <w:rPr>
          <w:color w:val="231F1F"/>
          <w:w w:val="110"/>
          <w:sz w:val="22"/>
        </w:rPr>
        <w:t>la</w:t>
      </w:r>
      <w:r>
        <w:rPr>
          <w:color w:val="231F1F"/>
          <w:spacing w:val="-4"/>
          <w:w w:val="110"/>
          <w:sz w:val="22"/>
        </w:rPr>
        <w:t> </w:t>
      </w:r>
      <w:r>
        <w:rPr>
          <w:color w:val="231F1F"/>
          <w:w w:val="110"/>
          <w:sz w:val="22"/>
        </w:rPr>
        <w:t>episiotomía</w:t>
      </w:r>
      <w:r>
        <w:rPr>
          <w:color w:val="231F1F"/>
          <w:spacing w:val="-5"/>
          <w:w w:val="110"/>
          <w:sz w:val="22"/>
        </w:rPr>
        <w:t> </w:t>
      </w:r>
      <w:r>
        <w:rPr>
          <w:color w:val="231F1F"/>
          <w:w w:val="110"/>
          <w:sz w:val="22"/>
        </w:rPr>
        <w:t>y/o</w:t>
      </w:r>
      <w:r>
        <w:rPr>
          <w:color w:val="231F1F"/>
          <w:spacing w:val="-4"/>
          <w:w w:val="110"/>
          <w:sz w:val="22"/>
        </w:rPr>
        <w:t> </w:t>
      </w:r>
      <w:r>
        <w:rPr>
          <w:color w:val="231F1F"/>
          <w:w w:val="110"/>
          <w:sz w:val="22"/>
        </w:rPr>
        <w:t>los</w:t>
      </w:r>
      <w:r>
        <w:rPr>
          <w:color w:val="231F1F"/>
          <w:spacing w:val="-4"/>
          <w:w w:val="110"/>
          <w:sz w:val="22"/>
        </w:rPr>
        <w:t> </w:t>
      </w:r>
      <w:r>
        <w:rPr>
          <w:color w:val="231F1F"/>
          <w:w w:val="110"/>
          <w:sz w:val="22"/>
        </w:rPr>
        <w:t>desgarros</w:t>
      </w:r>
      <w:r>
        <w:rPr>
          <w:color w:val="231F1F"/>
          <w:spacing w:val="-5"/>
          <w:w w:val="110"/>
          <w:sz w:val="22"/>
        </w:rPr>
        <w:t> </w:t>
      </w:r>
      <w:r>
        <w:rPr>
          <w:color w:val="231F1F"/>
          <w:w w:val="110"/>
          <w:sz w:val="22"/>
        </w:rPr>
        <w:t>peri- neales de I y II grado?</w:t>
      </w:r>
    </w:p>
    <w:p>
      <w:pPr>
        <w:pStyle w:val="ListParagraph"/>
        <w:numPr>
          <w:ilvl w:val="0"/>
          <w:numId w:val="3"/>
        </w:numPr>
        <w:tabs>
          <w:tab w:pos="665" w:val="left" w:leader="none"/>
        </w:tabs>
        <w:spacing w:line="240" w:lineRule="auto" w:before="135" w:after="0"/>
        <w:ind w:left="665" w:right="0" w:hanging="383"/>
        <w:jc w:val="left"/>
        <w:rPr>
          <w:sz w:val="22"/>
        </w:rPr>
      </w:pPr>
      <w:r>
        <w:rPr>
          <w:color w:val="231F1F"/>
          <w:sz w:val="22"/>
        </w:rPr>
        <w:t>¿Cuál</w:t>
      </w:r>
      <w:r>
        <w:rPr>
          <w:color w:val="231F1F"/>
          <w:spacing w:val="34"/>
          <w:sz w:val="22"/>
        </w:rPr>
        <w:t> </w:t>
      </w:r>
      <w:r>
        <w:rPr>
          <w:color w:val="231F1F"/>
          <w:sz w:val="22"/>
        </w:rPr>
        <w:t>es</w:t>
      </w:r>
      <w:r>
        <w:rPr>
          <w:color w:val="231F1F"/>
          <w:spacing w:val="37"/>
          <w:sz w:val="22"/>
        </w:rPr>
        <w:t> </w:t>
      </w:r>
      <w:r>
        <w:rPr>
          <w:color w:val="231F1F"/>
          <w:sz w:val="22"/>
        </w:rPr>
        <w:t>el</w:t>
      </w:r>
      <w:r>
        <w:rPr>
          <w:color w:val="231F1F"/>
          <w:spacing w:val="37"/>
          <w:sz w:val="22"/>
        </w:rPr>
        <w:t> </w:t>
      </w:r>
      <w:r>
        <w:rPr>
          <w:color w:val="231F1F"/>
          <w:sz w:val="22"/>
        </w:rPr>
        <w:t>material</w:t>
      </w:r>
      <w:r>
        <w:rPr>
          <w:color w:val="231F1F"/>
          <w:spacing w:val="36"/>
          <w:sz w:val="22"/>
        </w:rPr>
        <w:t> </w:t>
      </w:r>
      <w:r>
        <w:rPr>
          <w:color w:val="231F1F"/>
          <w:sz w:val="22"/>
        </w:rPr>
        <w:t>sintético</w:t>
      </w:r>
      <w:r>
        <w:rPr>
          <w:color w:val="231F1F"/>
          <w:spacing w:val="37"/>
          <w:sz w:val="22"/>
        </w:rPr>
        <w:t> </w:t>
      </w:r>
      <w:r>
        <w:rPr>
          <w:color w:val="231F1F"/>
          <w:sz w:val="22"/>
        </w:rPr>
        <w:t>más</w:t>
      </w:r>
      <w:r>
        <w:rPr>
          <w:color w:val="231F1F"/>
          <w:spacing w:val="37"/>
          <w:sz w:val="22"/>
        </w:rPr>
        <w:t> </w:t>
      </w:r>
      <w:r>
        <w:rPr>
          <w:color w:val="231F1F"/>
          <w:sz w:val="22"/>
        </w:rPr>
        <w:t>adecuado</w:t>
      </w:r>
      <w:r>
        <w:rPr>
          <w:color w:val="231F1F"/>
          <w:spacing w:val="36"/>
          <w:sz w:val="22"/>
        </w:rPr>
        <w:t> </w:t>
      </w:r>
      <w:r>
        <w:rPr>
          <w:color w:val="231F1F"/>
          <w:sz w:val="22"/>
        </w:rPr>
        <w:t>para</w:t>
      </w:r>
      <w:r>
        <w:rPr>
          <w:color w:val="231F1F"/>
          <w:spacing w:val="37"/>
          <w:sz w:val="22"/>
        </w:rPr>
        <w:t> </w:t>
      </w:r>
      <w:r>
        <w:rPr>
          <w:color w:val="231F1F"/>
          <w:sz w:val="22"/>
        </w:rPr>
        <w:t>la</w:t>
      </w:r>
      <w:r>
        <w:rPr>
          <w:color w:val="231F1F"/>
          <w:spacing w:val="37"/>
          <w:sz w:val="22"/>
        </w:rPr>
        <w:t> </w:t>
      </w:r>
      <w:r>
        <w:rPr>
          <w:color w:val="231F1F"/>
          <w:sz w:val="22"/>
        </w:rPr>
        <w:t>reparación</w:t>
      </w:r>
      <w:r>
        <w:rPr>
          <w:color w:val="231F1F"/>
          <w:spacing w:val="36"/>
          <w:sz w:val="22"/>
        </w:rPr>
        <w:t> </w:t>
      </w:r>
      <w:r>
        <w:rPr>
          <w:color w:val="231F1F"/>
          <w:sz w:val="22"/>
        </w:rPr>
        <w:t>del</w:t>
      </w:r>
      <w:r>
        <w:rPr>
          <w:color w:val="231F1F"/>
          <w:spacing w:val="35"/>
          <w:sz w:val="22"/>
        </w:rPr>
        <w:t> </w:t>
      </w:r>
      <w:r>
        <w:rPr>
          <w:color w:val="231F1F"/>
          <w:spacing w:val="-2"/>
          <w:sz w:val="22"/>
        </w:rPr>
        <w:t>periné?</w:t>
      </w:r>
    </w:p>
    <w:p>
      <w:pPr>
        <w:pStyle w:val="BodyText"/>
        <w:spacing w:before="191"/>
      </w:pPr>
    </w:p>
    <w:p>
      <w:pPr>
        <w:pStyle w:val="Heading4"/>
      </w:pPr>
      <w:r>
        <w:rPr>
          <w:color w:val="231F1F"/>
          <w:w w:val="105"/>
        </w:rPr>
        <w:t>Maniobra</w:t>
      </w:r>
      <w:r>
        <w:rPr>
          <w:color w:val="231F1F"/>
          <w:spacing w:val="20"/>
          <w:w w:val="105"/>
        </w:rPr>
        <w:t> </w:t>
      </w:r>
      <w:r>
        <w:rPr>
          <w:color w:val="231F1F"/>
          <w:w w:val="105"/>
        </w:rPr>
        <w:t>de</w:t>
      </w:r>
      <w:r>
        <w:rPr>
          <w:color w:val="231F1F"/>
          <w:spacing w:val="23"/>
          <w:w w:val="105"/>
        </w:rPr>
        <w:t> </w:t>
      </w:r>
      <w:r>
        <w:rPr>
          <w:color w:val="231F1F"/>
          <w:spacing w:val="-2"/>
          <w:w w:val="105"/>
        </w:rPr>
        <w:t>Kristeller</w:t>
      </w:r>
    </w:p>
    <w:p>
      <w:pPr>
        <w:pStyle w:val="ListParagraph"/>
        <w:numPr>
          <w:ilvl w:val="0"/>
          <w:numId w:val="3"/>
        </w:numPr>
        <w:tabs>
          <w:tab w:pos="665" w:val="left" w:leader="none"/>
        </w:tabs>
        <w:spacing w:line="240" w:lineRule="auto" w:before="223" w:after="0"/>
        <w:ind w:left="665" w:right="0" w:hanging="383"/>
        <w:jc w:val="left"/>
        <w:rPr>
          <w:sz w:val="22"/>
        </w:rPr>
      </w:pPr>
      <w:r>
        <w:rPr>
          <w:color w:val="231F1F"/>
          <w:sz w:val="22"/>
        </w:rPr>
        <w:t>¿Cuál</w:t>
      </w:r>
      <w:r>
        <w:rPr>
          <w:color w:val="231F1F"/>
          <w:spacing w:val="27"/>
          <w:sz w:val="22"/>
        </w:rPr>
        <w:t> </w:t>
      </w:r>
      <w:r>
        <w:rPr>
          <w:color w:val="231F1F"/>
          <w:sz w:val="22"/>
        </w:rPr>
        <w:t>es</w:t>
      </w:r>
      <w:r>
        <w:rPr>
          <w:color w:val="231F1F"/>
          <w:spacing w:val="30"/>
          <w:sz w:val="22"/>
        </w:rPr>
        <w:t> </w:t>
      </w:r>
      <w:r>
        <w:rPr>
          <w:color w:val="231F1F"/>
          <w:sz w:val="22"/>
        </w:rPr>
        <w:t>la</w:t>
      </w:r>
      <w:r>
        <w:rPr>
          <w:color w:val="231F1F"/>
          <w:spacing w:val="29"/>
          <w:sz w:val="22"/>
        </w:rPr>
        <w:t> </w:t>
      </w:r>
      <w:r>
        <w:rPr>
          <w:color w:val="231F1F"/>
          <w:sz w:val="22"/>
        </w:rPr>
        <w:t>efectividad</w:t>
      </w:r>
      <w:r>
        <w:rPr>
          <w:color w:val="231F1F"/>
          <w:spacing w:val="30"/>
          <w:sz w:val="22"/>
        </w:rPr>
        <w:t> </w:t>
      </w:r>
      <w:r>
        <w:rPr>
          <w:color w:val="231F1F"/>
          <w:sz w:val="22"/>
        </w:rPr>
        <w:t>de</w:t>
      </w:r>
      <w:r>
        <w:rPr>
          <w:color w:val="231F1F"/>
          <w:spacing w:val="29"/>
          <w:sz w:val="22"/>
        </w:rPr>
        <w:t> </w:t>
      </w:r>
      <w:r>
        <w:rPr>
          <w:color w:val="231F1F"/>
          <w:sz w:val="22"/>
        </w:rPr>
        <w:t>la</w:t>
      </w:r>
      <w:r>
        <w:rPr>
          <w:color w:val="231F1F"/>
          <w:spacing w:val="28"/>
          <w:sz w:val="22"/>
        </w:rPr>
        <w:t> </w:t>
      </w:r>
      <w:r>
        <w:rPr>
          <w:color w:val="231F1F"/>
          <w:sz w:val="22"/>
        </w:rPr>
        <w:t>maniobra</w:t>
      </w:r>
      <w:r>
        <w:rPr>
          <w:color w:val="231F1F"/>
          <w:spacing w:val="31"/>
          <w:sz w:val="22"/>
        </w:rPr>
        <w:t> </w:t>
      </w:r>
      <w:r>
        <w:rPr>
          <w:color w:val="231F1F"/>
          <w:sz w:val="22"/>
        </w:rPr>
        <w:t>de</w:t>
      </w:r>
      <w:r>
        <w:rPr>
          <w:color w:val="231F1F"/>
          <w:spacing w:val="28"/>
          <w:sz w:val="22"/>
        </w:rPr>
        <w:t> </w:t>
      </w:r>
      <w:r>
        <w:rPr>
          <w:color w:val="231F1F"/>
          <w:spacing w:val="-2"/>
          <w:sz w:val="22"/>
        </w:rPr>
        <w:t>Kristeller?</w:t>
      </w:r>
    </w:p>
    <w:p>
      <w:pPr>
        <w:pStyle w:val="BodyText"/>
      </w:pPr>
    </w:p>
    <w:p>
      <w:pPr>
        <w:pStyle w:val="BodyText"/>
        <w:spacing w:before="45"/>
      </w:pPr>
    </w:p>
    <w:p>
      <w:pPr>
        <w:pStyle w:val="Heading3"/>
        <w:numPr>
          <w:ilvl w:val="0"/>
          <w:numId w:val="2"/>
        </w:numPr>
        <w:tabs>
          <w:tab w:pos="891" w:val="left" w:leader="none"/>
        </w:tabs>
        <w:spacing w:line="240" w:lineRule="auto" w:before="0" w:after="0"/>
        <w:ind w:left="891" w:right="0" w:hanging="610"/>
        <w:jc w:val="left"/>
      </w:pPr>
      <w:r>
        <w:rPr>
          <w:color w:val="231F1F"/>
          <w:spacing w:val="-2"/>
          <w:w w:val="110"/>
        </w:rPr>
        <w:t>Alumbramiento</w:t>
      </w:r>
    </w:p>
    <w:p>
      <w:pPr>
        <w:pStyle w:val="Heading4"/>
        <w:spacing w:before="183"/>
      </w:pPr>
      <w:r>
        <w:rPr>
          <w:color w:val="231F1F"/>
          <w:w w:val="105"/>
        </w:rPr>
        <w:t>Duración</w:t>
      </w:r>
      <w:r>
        <w:rPr>
          <w:color w:val="231F1F"/>
          <w:spacing w:val="22"/>
          <w:w w:val="105"/>
        </w:rPr>
        <w:t> </w:t>
      </w:r>
      <w:r>
        <w:rPr>
          <w:color w:val="231F1F"/>
          <w:w w:val="105"/>
        </w:rPr>
        <w:t>del</w:t>
      </w:r>
      <w:r>
        <w:rPr>
          <w:color w:val="231F1F"/>
          <w:spacing w:val="18"/>
          <w:w w:val="105"/>
        </w:rPr>
        <w:t> </w:t>
      </w:r>
      <w:r>
        <w:rPr>
          <w:color w:val="231F1F"/>
          <w:w w:val="105"/>
        </w:rPr>
        <w:t>periodo</w:t>
      </w:r>
      <w:r>
        <w:rPr>
          <w:color w:val="231F1F"/>
          <w:spacing w:val="22"/>
          <w:w w:val="105"/>
        </w:rPr>
        <w:t> </w:t>
      </w:r>
      <w:r>
        <w:rPr>
          <w:color w:val="231F1F"/>
          <w:w w:val="105"/>
        </w:rPr>
        <w:t>de</w:t>
      </w:r>
      <w:r>
        <w:rPr>
          <w:color w:val="231F1F"/>
          <w:spacing w:val="22"/>
          <w:w w:val="105"/>
        </w:rPr>
        <w:t> </w:t>
      </w:r>
      <w:r>
        <w:rPr>
          <w:color w:val="231F1F"/>
          <w:spacing w:val="-2"/>
          <w:w w:val="105"/>
        </w:rPr>
        <w:t>alumbramiento</w:t>
      </w:r>
    </w:p>
    <w:p>
      <w:pPr>
        <w:pStyle w:val="ListParagraph"/>
        <w:numPr>
          <w:ilvl w:val="0"/>
          <w:numId w:val="3"/>
        </w:numPr>
        <w:tabs>
          <w:tab w:pos="665" w:val="left" w:leader="none"/>
        </w:tabs>
        <w:spacing w:line="240" w:lineRule="auto" w:before="218" w:after="0"/>
        <w:ind w:left="665" w:right="0" w:hanging="383"/>
        <w:jc w:val="left"/>
        <w:rPr>
          <w:sz w:val="22"/>
        </w:rPr>
      </w:pPr>
      <w:r>
        <w:rPr>
          <w:color w:val="231F1F"/>
          <w:sz w:val="22"/>
        </w:rPr>
        <w:t>¿Cuál</w:t>
      </w:r>
      <w:r>
        <w:rPr>
          <w:color w:val="231F1F"/>
          <w:spacing w:val="31"/>
          <w:sz w:val="22"/>
        </w:rPr>
        <w:t> </w:t>
      </w:r>
      <w:r>
        <w:rPr>
          <w:color w:val="231F1F"/>
          <w:sz w:val="22"/>
        </w:rPr>
        <w:t>es</w:t>
      </w:r>
      <w:r>
        <w:rPr>
          <w:color w:val="231F1F"/>
          <w:spacing w:val="32"/>
          <w:sz w:val="22"/>
        </w:rPr>
        <w:t> </w:t>
      </w:r>
      <w:r>
        <w:rPr>
          <w:color w:val="231F1F"/>
          <w:sz w:val="22"/>
        </w:rPr>
        <w:t>la</w:t>
      </w:r>
      <w:r>
        <w:rPr>
          <w:color w:val="231F1F"/>
          <w:spacing w:val="33"/>
          <w:sz w:val="22"/>
        </w:rPr>
        <w:t> </w:t>
      </w:r>
      <w:r>
        <w:rPr>
          <w:color w:val="231F1F"/>
          <w:sz w:val="22"/>
        </w:rPr>
        <w:t>duración</w:t>
      </w:r>
      <w:r>
        <w:rPr>
          <w:color w:val="231F1F"/>
          <w:spacing w:val="31"/>
          <w:sz w:val="22"/>
        </w:rPr>
        <w:t> </w:t>
      </w:r>
      <w:r>
        <w:rPr>
          <w:color w:val="231F1F"/>
          <w:sz w:val="22"/>
        </w:rPr>
        <w:t>del</w:t>
      </w:r>
      <w:r>
        <w:rPr>
          <w:color w:val="231F1F"/>
          <w:spacing w:val="30"/>
          <w:sz w:val="22"/>
        </w:rPr>
        <w:t> </w:t>
      </w:r>
      <w:r>
        <w:rPr>
          <w:color w:val="231F1F"/>
          <w:sz w:val="22"/>
        </w:rPr>
        <w:t>periodo</w:t>
      </w:r>
      <w:r>
        <w:rPr>
          <w:color w:val="231F1F"/>
          <w:spacing w:val="32"/>
          <w:sz w:val="22"/>
        </w:rPr>
        <w:t> </w:t>
      </w:r>
      <w:r>
        <w:rPr>
          <w:color w:val="231F1F"/>
          <w:sz w:val="22"/>
        </w:rPr>
        <w:t>del</w:t>
      </w:r>
      <w:r>
        <w:rPr>
          <w:color w:val="231F1F"/>
          <w:spacing w:val="30"/>
          <w:sz w:val="22"/>
        </w:rPr>
        <w:t> </w:t>
      </w:r>
      <w:r>
        <w:rPr>
          <w:color w:val="231F1F"/>
          <w:spacing w:val="-2"/>
          <w:sz w:val="22"/>
        </w:rPr>
        <w:t>alumbramiento?</w:t>
      </w:r>
    </w:p>
    <w:p>
      <w:pPr>
        <w:pStyle w:val="BodyText"/>
        <w:spacing w:before="196"/>
      </w:pPr>
    </w:p>
    <w:p>
      <w:pPr>
        <w:pStyle w:val="Heading4"/>
      </w:pPr>
      <w:r>
        <w:rPr>
          <w:color w:val="231F1F"/>
          <w:w w:val="105"/>
        </w:rPr>
        <w:t>Manejo</w:t>
      </w:r>
      <w:r>
        <w:rPr>
          <w:color w:val="231F1F"/>
          <w:spacing w:val="11"/>
          <w:w w:val="105"/>
        </w:rPr>
        <w:t> </w:t>
      </w:r>
      <w:r>
        <w:rPr>
          <w:color w:val="231F1F"/>
          <w:w w:val="105"/>
        </w:rPr>
        <w:t>del</w:t>
      </w:r>
      <w:r>
        <w:rPr>
          <w:color w:val="231F1F"/>
          <w:spacing w:val="11"/>
          <w:w w:val="105"/>
        </w:rPr>
        <w:t> </w:t>
      </w:r>
      <w:r>
        <w:rPr>
          <w:color w:val="231F1F"/>
          <w:spacing w:val="-2"/>
          <w:w w:val="105"/>
        </w:rPr>
        <w:t>alumbramiento</w:t>
      </w:r>
    </w:p>
    <w:p>
      <w:pPr>
        <w:pStyle w:val="ListParagraph"/>
        <w:numPr>
          <w:ilvl w:val="0"/>
          <w:numId w:val="3"/>
        </w:numPr>
        <w:tabs>
          <w:tab w:pos="665" w:val="left" w:leader="none"/>
        </w:tabs>
        <w:spacing w:line="240" w:lineRule="auto" w:before="218" w:after="0"/>
        <w:ind w:left="665" w:right="0" w:hanging="383"/>
        <w:jc w:val="left"/>
        <w:rPr>
          <w:sz w:val="22"/>
        </w:rPr>
      </w:pPr>
      <w:r>
        <w:rPr>
          <w:color w:val="231F1F"/>
          <w:spacing w:val="2"/>
          <w:sz w:val="22"/>
        </w:rPr>
        <w:t>¿El</w:t>
      </w:r>
      <w:r>
        <w:rPr>
          <w:color w:val="231F1F"/>
          <w:spacing w:val="28"/>
          <w:sz w:val="22"/>
        </w:rPr>
        <w:t> </w:t>
      </w:r>
      <w:r>
        <w:rPr>
          <w:color w:val="231F1F"/>
          <w:spacing w:val="2"/>
          <w:sz w:val="22"/>
        </w:rPr>
        <w:t>método</w:t>
      </w:r>
      <w:r>
        <w:rPr>
          <w:color w:val="231F1F"/>
          <w:spacing w:val="32"/>
          <w:sz w:val="22"/>
        </w:rPr>
        <w:t> </w:t>
      </w:r>
      <w:r>
        <w:rPr>
          <w:color w:val="231F1F"/>
          <w:spacing w:val="2"/>
          <w:sz w:val="22"/>
        </w:rPr>
        <w:t>de</w:t>
      </w:r>
      <w:r>
        <w:rPr>
          <w:color w:val="231F1F"/>
          <w:spacing w:val="32"/>
          <w:sz w:val="22"/>
        </w:rPr>
        <w:t> </w:t>
      </w:r>
      <w:r>
        <w:rPr>
          <w:color w:val="231F1F"/>
          <w:spacing w:val="2"/>
          <w:sz w:val="22"/>
        </w:rPr>
        <w:t>manejo</w:t>
      </w:r>
      <w:r>
        <w:rPr>
          <w:color w:val="231F1F"/>
          <w:spacing w:val="32"/>
          <w:sz w:val="22"/>
        </w:rPr>
        <w:t> </w:t>
      </w:r>
      <w:r>
        <w:rPr>
          <w:color w:val="231F1F"/>
          <w:spacing w:val="2"/>
          <w:sz w:val="22"/>
        </w:rPr>
        <w:t>del</w:t>
      </w:r>
      <w:r>
        <w:rPr>
          <w:color w:val="231F1F"/>
          <w:spacing w:val="29"/>
          <w:sz w:val="22"/>
        </w:rPr>
        <w:t> </w:t>
      </w:r>
      <w:r>
        <w:rPr>
          <w:color w:val="231F1F"/>
          <w:spacing w:val="2"/>
          <w:sz w:val="22"/>
        </w:rPr>
        <w:t>alumbramiento</w:t>
      </w:r>
      <w:r>
        <w:rPr>
          <w:color w:val="231F1F"/>
          <w:spacing w:val="32"/>
          <w:sz w:val="22"/>
        </w:rPr>
        <w:t> </w:t>
      </w:r>
      <w:r>
        <w:rPr>
          <w:color w:val="231F1F"/>
          <w:spacing w:val="2"/>
          <w:sz w:val="22"/>
        </w:rPr>
        <w:t>influye</w:t>
      </w:r>
      <w:r>
        <w:rPr>
          <w:color w:val="231F1F"/>
          <w:spacing w:val="32"/>
          <w:sz w:val="22"/>
        </w:rPr>
        <w:t> </w:t>
      </w:r>
      <w:r>
        <w:rPr>
          <w:color w:val="231F1F"/>
          <w:spacing w:val="2"/>
          <w:sz w:val="22"/>
        </w:rPr>
        <w:t>sobre</w:t>
      </w:r>
      <w:r>
        <w:rPr>
          <w:color w:val="231F1F"/>
          <w:spacing w:val="32"/>
          <w:sz w:val="22"/>
        </w:rPr>
        <w:t> </w:t>
      </w:r>
      <w:r>
        <w:rPr>
          <w:color w:val="231F1F"/>
          <w:spacing w:val="2"/>
          <w:sz w:val="22"/>
        </w:rPr>
        <w:t>los</w:t>
      </w:r>
      <w:r>
        <w:rPr>
          <w:color w:val="231F1F"/>
          <w:spacing w:val="30"/>
          <w:sz w:val="22"/>
        </w:rPr>
        <w:t> </w:t>
      </w:r>
      <w:r>
        <w:rPr>
          <w:color w:val="231F1F"/>
          <w:spacing w:val="-2"/>
          <w:sz w:val="22"/>
        </w:rPr>
        <w:t>resultados?</w:t>
      </w:r>
    </w:p>
    <w:p>
      <w:pPr>
        <w:pStyle w:val="BodyText"/>
        <w:spacing w:before="215"/>
      </w:pPr>
    </w:p>
    <w:p>
      <w:pPr>
        <w:pStyle w:val="Heading4"/>
      </w:pPr>
      <w:r>
        <w:rPr>
          <w:color w:val="231F1F"/>
        </w:rPr>
        <w:t>Utilización</w:t>
      </w:r>
      <w:r>
        <w:rPr>
          <w:color w:val="231F1F"/>
          <w:spacing w:val="36"/>
        </w:rPr>
        <w:t> </w:t>
      </w:r>
      <w:r>
        <w:rPr>
          <w:color w:val="231F1F"/>
        </w:rPr>
        <w:t>de</w:t>
      </w:r>
      <w:r>
        <w:rPr>
          <w:color w:val="231F1F"/>
          <w:spacing w:val="41"/>
        </w:rPr>
        <w:t> </w:t>
      </w:r>
      <w:r>
        <w:rPr>
          <w:color w:val="231F1F"/>
          <w:spacing w:val="-2"/>
        </w:rPr>
        <w:t>uterotónicos</w:t>
      </w:r>
    </w:p>
    <w:p>
      <w:pPr>
        <w:pStyle w:val="ListParagraph"/>
        <w:numPr>
          <w:ilvl w:val="0"/>
          <w:numId w:val="3"/>
        </w:numPr>
        <w:tabs>
          <w:tab w:pos="665" w:val="left" w:leader="none"/>
          <w:tab w:pos="668" w:val="left" w:leader="none"/>
        </w:tabs>
        <w:spacing w:line="259" w:lineRule="auto" w:before="228" w:after="0"/>
        <w:ind w:left="668" w:right="124" w:hanging="386"/>
        <w:jc w:val="both"/>
        <w:rPr>
          <w:sz w:val="22"/>
        </w:rPr>
      </w:pPr>
      <w:r>
        <w:rPr>
          <w:color w:val="231F1F"/>
          <w:w w:val="110"/>
          <w:sz w:val="22"/>
        </w:rPr>
        <w:t>¿Qué</w:t>
      </w:r>
      <w:r>
        <w:rPr>
          <w:color w:val="231F1F"/>
          <w:spacing w:val="-10"/>
          <w:w w:val="110"/>
          <w:sz w:val="22"/>
        </w:rPr>
        <w:t> </w:t>
      </w:r>
      <w:r>
        <w:rPr>
          <w:color w:val="231F1F"/>
          <w:w w:val="110"/>
          <w:sz w:val="22"/>
        </w:rPr>
        <w:t>uterotónico</w:t>
      </w:r>
      <w:r>
        <w:rPr>
          <w:color w:val="231F1F"/>
          <w:spacing w:val="-10"/>
          <w:w w:val="110"/>
          <w:sz w:val="22"/>
        </w:rPr>
        <w:t> </w:t>
      </w:r>
      <w:r>
        <w:rPr>
          <w:color w:val="231F1F"/>
          <w:w w:val="110"/>
          <w:sz w:val="22"/>
        </w:rPr>
        <w:t>es</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más</w:t>
      </w:r>
      <w:r>
        <w:rPr>
          <w:color w:val="231F1F"/>
          <w:spacing w:val="-10"/>
          <w:w w:val="110"/>
          <w:sz w:val="22"/>
        </w:rPr>
        <w:t> </w:t>
      </w:r>
      <w:r>
        <w:rPr>
          <w:color w:val="231F1F"/>
          <w:w w:val="110"/>
          <w:sz w:val="22"/>
        </w:rPr>
        <w:t>adecuado</w:t>
      </w:r>
      <w:r>
        <w:rPr>
          <w:color w:val="231F1F"/>
          <w:spacing w:val="-9"/>
          <w:w w:val="110"/>
          <w:sz w:val="22"/>
        </w:rPr>
        <w:t> </w:t>
      </w:r>
      <w:r>
        <w:rPr>
          <w:color w:val="231F1F"/>
          <w:w w:val="110"/>
          <w:sz w:val="22"/>
        </w:rPr>
        <w:t>para</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alumbramiento</w:t>
      </w:r>
      <w:r>
        <w:rPr>
          <w:color w:val="231F1F"/>
          <w:spacing w:val="-10"/>
          <w:w w:val="110"/>
          <w:sz w:val="22"/>
        </w:rPr>
        <w:t> </w:t>
      </w:r>
      <w:r>
        <w:rPr>
          <w:color w:val="231F1F"/>
          <w:w w:val="110"/>
          <w:sz w:val="22"/>
        </w:rPr>
        <w:t>dirigido?</w:t>
      </w:r>
      <w:r>
        <w:rPr>
          <w:color w:val="231F1F"/>
          <w:spacing w:val="-10"/>
          <w:w w:val="110"/>
          <w:sz w:val="22"/>
        </w:rPr>
        <w:t> </w:t>
      </w:r>
      <w:r>
        <w:rPr>
          <w:color w:val="231F1F"/>
          <w:w w:val="110"/>
          <w:sz w:val="22"/>
        </w:rPr>
        <w:t>(oxitocina,</w:t>
      </w:r>
      <w:r>
        <w:rPr>
          <w:color w:val="231F1F"/>
          <w:spacing w:val="-10"/>
          <w:w w:val="110"/>
          <w:sz w:val="22"/>
        </w:rPr>
        <w:t> </w:t>
      </w:r>
      <w:r>
        <w:rPr>
          <w:color w:val="231F1F"/>
          <w:w w:val="110"/>
          <w:sz w:val="22"/>
        </w:rPr>
        <w:t>er- gotínicos, prostaglandinas y carbetocina)</w:t>
      </w:r>
    </w:p>
    <w:p>
      <w:pPr>
        <w:pStyle w:val="BodyText"/>
        <w:spacing w:before="167"/>
      </w:pPr>
    </w:p>
    <w:p>
      <w:pPr>
        <w:pStyle w:val="Heading4"/>
      </w:pPr>
      <w:r>
        <w:rPr>
          <w:color w:val="231F1F"/>
          <w:w w:val="105"/>
        </w:rPr>
        <w:t>Dosis</w:t>
      </w:r>
      <w:r>
        <w:rPr>
          <w:color w:val="231F1F"/>
          <w:spacing w:val="16"/>
          <w:w w:val="105"/>
        </w:rPr>
        <w:t> </w:t>
      </w:r>
      <w:r>
        <w:rPr>
          <w:color w:val="231F1F"/>
          <w:w w:val="105"/>
        </w:rPr>
        <w:t>de</w:t>
      </w:r>
      <w:r>
        <w:rPr>
          <w:color w:val="231F1F"/>
          <w:spacing w:val="17"/>
          <w:w w:val="105"/>
        </w:rPr>
        <w:t> </w:t>
      </w:r>
      <w:r>
        <w:rPr>
          <w:color w:val="231F1F"/>
          <w:w w:val="105"/>
        </w:rPr>
        <w:t>oxitocina</w:t>
      </w:r>
      <w:r>
        <w:rPr>
          <w:color w:val="231F1F"/>
          <w:spacing w:val="17"/>
          <w:w w:val="105"/>
        </w:rPr>
        <w:t> </w:t>
      </w:r>
      <w:r>
        <w:rPr>
          <w:color w:val="231F1F"/>
          <w:w w:val="105"/>
        </w:rPr>
        <w:t>(I.V.)</w:t>
      </w:r>
      <w:r>
        <w:rPr>
          <w:color w:val="231F1F"/>
          <w:spacing w:val="16"/>
          <w:w w:val="105"/>
        </w:rPr>
        <w:t> </w:t>
      </w:r>
      <w:r>
        <w:rPr>
          <w:color w:val="231F1F"/>
          <w:w w:val="105"/>
        </w:rPr>
        <w:t>para</w:t>
      </w:r>
      <w:r>
        <w:rPr>
          <w:color w:val="231F1F"/>
          <w:spacing w:val="18"/>
          <w:w w:val="105"/>
        </w:rPr>
        <w:t> </w:t>
      </w:r>
      <w:r>
        <w:rPr>
          <w:color w:val="231F1F"/>
          <w:w w:val="105"/>
        </w:rPr>
        <w:t>el</w:t>
      </w:r>
      <w:r>
        <w:rPr>
          <w:color w:val="231F1F"/>
          <w:spacing w:val="15"/>
          <w:w w:val="105"/>
        </w:rPr>
        <w:t> </w:t>
      </w:r>
      <w:r>
        <w:rPr>
          <w:color w:val="231F1F"/>
          <w:w w:val="105"/>
        </w:rPr>
        <w:t>alumbramiento</w:t>
      </w:r>
      <w:r>
        <w:rPr>
          <w:color w:val="231F1F"/>
          <w:spacing w:val="19"/>
          <w:w w:val="105"/>
        </w:rPr>
        <w:t> </w:t>
      </w:r>
      <w:r>
        <w:rPr>
          <w:color w:val="231F1F"/>
          <w:spacing w:val="-2"/>
          <w:w w:val="105"/>
        </w:rPr>
        <w:t>dirigido</w:t>
      </w:r>
    </w:p>
    <w:p>
      <w:pPr>
        <w:pStyle w:val="ListParagraph"/>
        <w:numPr>
          <w:ilvl w:val="0"/>
          <w:numId w:val="3"/>
        </w:numPr>
        <w:tabs>
          <w:tab w:pos="665" w:val="left" w:leader="none"/>
          <w:tab w:pos="668" w:val="left" w:leader="none"/>
        </w:tabs>
        <w:spacing w:line="278" w:lineRule="auto" w:before="242" w:after="0"/>
        <w:ind w:left="668" w:right="123" w:hanging="386"/>
        <w:jc w:val="both"/>
        <w:rPr>
          <w:sz w:val="22"/>
        </w:rPr>
      </w:pPr>
      <w:r>
        <w:rPr>
          <w:color w:val="231F1F"/>
          <w:sz w:val="22"/>
        </w:rPr>
        <w:t>¿Cuál</w:t>
      </w:r>
      <w:r>
        <w:rPr>
          <w:color w:val="231F1F"/>
          <w:spacing w:val="40"/>
          <w:sz w:val="22"/>
        </w:rPr>
        <w:t> </w:t>
      </w:r>
      <w:r>
        <w:rPr>
          <w:color w:val="231F1F"/>
          <w:sz w:val="22"/>
        </w:rPr>
        <w:t>sería</w:t>
      </w:r>
      <w:r>
        <w:rPr>
          <w:color w:val="231F1F"/>
          <w:spacing w:val="40"/>
          <w:sz w:val="22"/>
        </w:rPr>
        <w:t> </w:t>
      </w:r>
      <w:r>
        <w:rPr>
          <w:color w:val="231F1F"/>
          <w:sz w:val="22"/>
        </w:rPr>
        <w:t>la</w:t>
      </w:r>
      <w:r>
        <w:rPr>
          <w:color w:val="231F1F"/>
          <w:spacing w:val="40"/>
          <w:sz w:val="22"/>
        </w:rPr>
        <w:t> </w:t>
      </w:r>
      <w:r>
        <w:rPr>
          <w:color w:val="231F1F"/>
          <w:sz w:val="22"/>
        </w:rPr>
        <w:t>dosis</w:t>
      </w:r>
      <w:r>
        <w:rPr>
          <w:color w:val="231F1F"/>
          <w:spacing w:val="40"/>
          <w:sz w:val="22"/>
        </w:rPr>
        <w:t> </w:t>
      </w:r>
      <w:r>
        <w:rPr>
          <w:color w:val="231F1F"/>
          <w:sz w:val="22"/>
        </w:rPr>
        <w:t>de</w:t>
      </w:r>
      <w:r>
        <w:rPr>
          <w:color w:val="231F1F"/>
          <w:spacing w:val="40"/>
          <w:sz w:val="22"/>
        </w:rPr>
        <w:t> </w:t>
      </w:r>
      <w:r>
        <w:rPr>
          <w:color w:val="231F1F"/>
          <w:sz w:val="22"/>
        </w:rPr>
        <w:t>oxitocina</w:t>
      </w:r>
      <w:r>
        <w:rPr>
          <w:color w:val="231F1F"/>
          <w:spacing w:val="40"/>
          <w:sz w:val="22"/>
        </w:rPr>
        <w:t> </w:t>
      </w:r>
      <w:r>
        <w:rPr>
          <w:color w:val="231F1F"/>
          <w:sz w:val="22"/>
        </w:rPr>
        <w:t>intravenosa</w:t>
      </w:r>
      <w:r>
        <w:rPr>
          <w:color w:val="231F1F"/>
          <w:spacing w:val="40"/>
          <w:sz w:val="22"/>
        </w:rPr>
        <w:t> </w:t>
      </w:r>
      <w:r>
        <w:rPr>
          <w:color w:val="231F1F"/>
          <w:sz w:val="22"/>
        </w:rPr>
        <w:t>(IV)</w:t>
      </w:r>
      <w:r>
        <w:rPr>
          <w:color w:val="231F1F"/>
          <w:spacing w:val="40"/>
          <w:sz w:val="22"/>
        </w:rPr>
        <w:t> </w:t>
      </w:r>
      <w:r>
        <w:rPr>
          <w:color w:val="231F1F"/>
          <w:sz w:val="22"/>
        </w:rPr>
        <w:t>más</w:t>
      </w:r>
      <w:r>
        <w:rPr>
          <w:color w:val="231F1F"/>
          <w:spacing w:val="40"/>
          <w:sz w:val="22"/>
        </w:rPr>
        <w:t> </w:t>
      </w:r>
      <w:r>
        <w:rPr>
          <w:color w:val="231F1F"/>
          <w:sz w:val="22"/>
        </w:rPr>
        <w:t>adecuada</w:t>
      </w:r>
      <w:r>
        <w:rPr>
          <w:color w:val="231F1F"/>
          <w:spacing w:val="40"/>
          <w:sz w:val="22"/>
        </w:rPr>
        <w:t> </w:t>
      </w:r>
      <w:r>
        <w:rPr>
          <w:color w:val="231F1F"/>
          <w:sz w:val="22"/>
        </w:rPr>
        <w:t>para</w:t>
      </w:r>
      <w:r>
        <w:rPr>
          <w:color w:val="231F1F"/>
          <w:spacing w:val="40"/>
          <w:sz w:val="22"/>
        </w:rPr>
        <w:t> </w:t>
      </w:r>
      <w:r>
        <w:rPr>
          <w:color w:val="231F1F"/>
          <w:sz w:val="22"/>
        </w:rPr>
        <w:t>el</w:t>
      </w:r>
      <w:r>
        <w:rPr>
          <w:color w:val="231F1F"/>
          <w:spacing w:val="40"/>
          <w:sz w:val="22"/>
        </w:rPr>
        <w:t> </w:t>
      </w:r>
      <w:r>
        <w:rPr>
          <w:color w:val="231F1F"/>
          <w:sz w:val="22"/>
        </w:rPr>
        <w:t>alumbramien- to dirigido?</w:t>
      </w:r>
    </w:p>
    <w:p>
      <w:pPr>
        <w:pStyle w:val="ListParagraph"/>
        <w:spacing w:after="0" w:line="278" w:lineRule="auto"/>
        <w:jc w:val="both"/>
        <w:rPr>
          <w:sz w:val="22"/>
        </w:rPr>
        <w:sectPr>
          <w:pgSz w:w="11900" w:h="16840"/>
          <w:pgMar w:header="0" w:footer="622" w:top="1540" w:bottom="820" w:left="1417" w:right="1559"/>
        </w:sectPr>
      </w:pPr>
    </w:p>
    <w:p>
      <w:pPr>
        <w:pStyle w:val="Heading3"/>
        <w:numPr>
          <w:ilvl w:val="0"/>
          <w:numId w:val="2"/>
        </w:numPr>
        <w:tabs>
          <w:tab w:pos="768" w:val="left" w:leader="none"/>
        </w:tabs>
        <w:spacing w:line="240" w:lineRule="auto" w:before="76" w:after="0"/>
        <w:ind w:left="768" w:right="0" w:hanging="487"/>
        <w:jc w:val="left"/>
      </w:pPr>
      <w:r>
        <w:rPr>
          <w:color w:val="231F1F"/>
        </w:rPr>
        <w:t>Cuidados</w:t>
      </w:r>
      <w:r>
        <w:rPr>
          <w:color w:val="231F1F"/>
          <w:spacing w:val="56"/>
        </w:rPr>
        <w:t> </w:t>
      </w:r>
      <w:r>
        <w:rPr>
          <w:color w:val="231F1F"/>
        </w:rPr>
        <w:t>del</w:t>
      </w:r>
      <w:r>
        <w:rPr>
          <w:color w:val="231F1F"/>
          <w:spacing w:val="56"/>
        </w:rPr>
        <w:t> </w:t>
      </w:r>
      <w:r>
        <w:rPr>
          <w:color w:val="231F1F"/>
        </w:rPr>
        <w:t>recién</w:t>
      </w:r>
      <w:r>
        <w:rPr>
          <w:color w:val="231F1F"/>
          <w:spacing w:val="57"/>
        </w:rPr>
        <w:t> </w:t>
      </w:r>
      <w:r>
        <w:rPr>
          <w:color w:val="231F1F"/>
          <w:spacing w:val="-2"/>
        </w:rPr>
        <w:t>nacido</w:t>
      </w:r>
    </w:p>
    <w:p>
      <w:pPr>
        <w:pStyle w:val="Heading4"/>
        <w:spacing w:before="183"/>
      </w:pPr>
      <w:r>
        <w:rPr>
          <w:color w:val="231F1F"/>
          <w:w w:val="105"/>
        </w:rPr>
        <w:t>Pinzamiento</w:t>
      </w:r>
      <w:r>
        <w:rPr>
          <w:color w:val="231F1F"/>
          <w:spacing w:val="14"/>
          <w:w w:val="105"/>
        </w:rPr>
        <w:t> </w:t>
      </w:r>
      <w:r>
        <w:rPr>
          <w:color w:val="231F1F"/>
          <w:w w:val="105"/>
        </w:rPr>
        <w:t>del</w:t>
      </w:r>
      <w:r>
        <w:rPr>
          <w:color w:val="231F1F"/>
          <w:spacing w:val="16"/>
          <w:w w:val="105"/>
        </w:rPr>
        <w:t> </w:t>
      </w:r>
      <w:r>
        <w:rPr>
          <w:color w:val="231F1F"/>
          <w:w w:val="105"/>
        </w:rPr>
        <w:t>cordón</w:t>
      </w:r>
      <w:r>
        <w:rPr>
          <w:color w:val="231F1F"/>
          <w:spacing w:val="19"/>
          <w:w w:val="105"/>
        </w:rPr>
        <w:t> </w:t>
      </w:r>
      <w:r>
        <w:rPr>
          <w:color w:val="231F1F"/>
          <w:spacing w:val="-2"/>
          <w:w w:val="105"/>
        </w:rPr>
        <w:t>umbilical</w:t>
      </w:r>
    </w:p>
    <w:p>
      <w:pPr>
        <w:pStyle w:val="ListParagraph"/>
        <w:numPr>
          <w:ilvl w:val="0"/>
          <w:numId w:val="3"/>
        </w:numPr>
        <w:tabs>
          <w:tab w:pos="665" w:val="left" w:leader="none"/>
        </w:tabs>
        <w:spacing w:line="240" w:lineRule="auto" w:before="228" w:after="0"/>
        <w:ind w:left="665" w:right="0" w:hanging="383"/>
        <w:jc w:val="left"/>
        <w:rPr>
          <w:sz w:val="22"/>
        </w:rPr>
      </w:pPr>
      <w:r>
        <w:rPr>
          <w:color w:val="231F1F"/>
          <w:sz w:val="22"/>
        </w:rPr>
        <w:t>¿Cuál</w:t>
      </w:r>
      <w:r>
        <w:rPr>
          <w:color w:val="231F1F"/>
          <w:spacing w:val="32"/>
          <w:sz w:val="22"/>
        </w:rPr>
        <w:t> </w:t>
      </w:r>
      <w:r>
        <w:rPr>
          <w:color w:val="231F1F"/>
          <w:sz w:val="22"/>
        </w:rPr>
        <w:t>es</w:t>
      </w:r>
      <w:r>
        <w:rPr>
          <w:color w:val="231F1F"/>
          <w:spacing w:val="36"/>
          <w:sz w:val="22"/>
        </w:rPr>
        <w:t> </w:t>
      </w:r>
      <w:r>
        <w:rPr>
          <w:color w:val="231F1F"/>
          <w:sz w:val="22"/>
        </w:rPr>
        <w:t>el</w:t>
      </w:r>
      <w:r>
        <w:rPr>
          <w:color w:val="231F1F"/>
          <w:spacing w:val="35"/>
          <w:sz w:val="22"/>
        </w:rPr>
        <w:t> </w:t>
      </w:r>
      <w:r>
        <w:rPr>
          <w:color w:val="231F1F"/>
          <w:sz w:val="22"/>
        </w:rPr>
        <w:t>momento</w:t>
      </w:r>
      <w:r>
        <w:rPr>
          <w:color w:val="231F1F"/>
          <w:spacing w:val="36"/>
          <w:sz w:val="22"/>
        </w:rPr>
        <w:t> </w:t>
      </w:r>
      <w:r>
        <w:rPr>
          <w:color w:val="231F1F"/>
          <w:sz w:val="22"/>
        </w:rPr>
        <w:t>más</w:t>
      </w:r>
      <w:r>
        <w:rPr>
          <w:color w:val="231F1F"/>
          <w:spacing w:val="36"/>
          <w:sz w:val="22"/>
        </w:rPr>
        <w:t> </w:t>
      </w:r>
      <w:r>
        <w:rPr>
          <w:color w:val="231F1F"/>
          <w:sz w:val="22"/>
        </w:rPr>
        <w:t>adecuado</w:t>
      </w:r>
      <w:r>
        <w:rPr>
          <w:color w:val="231F1F"/>
          <w:spacing w:val="35"/>
          <w:sz w:val="22"/>
        </w:rPr>
        <w:t> </w:t>
      </w:r>
      <w:r>
        <w:rPr>
          <w:color w:val="231F1F"/>
          <w:sz w:val="22"/>
        </w:rPr>
        <w:t>para</w:t>
      </w:r>
      <w:r>
        <w:rPr>
          <w:color w:val="231F1F"/>
          <w:spacing w:val="36"/>
          <w:sz w:val="22"/>
        </w:rPr>
        <w:t> </w:t>
      </w:r>
      <w:r>
        <w:rPr>
          <w:color w:val="231F1F"/>
          <w:sz w:val="22"/>
        </w:rPr>
        <w:t>pinzar</w:t>
      </w:r>
      <w:r>
        <w:rPr>
          <w:color w:val="231F1F"/>
          <w:spacing w:val="36"/>
          <w:sz w:val="22"/>
        </w:rPr>
        <w:t> </w:t>
      </w:r>
      <w:r>
        <w:rPr>
          <w:color w:val="231F1F"/>
          <w:sz w:val="22"/>
        </w:rPr>
        <w:t>el</w:t>
      </w:r>
      <w:r>
        <w:rPr>
          <w:color w:val="231F1F"/>
          <w:spacing w:val="34"/>
          <w:sz w:val="22"/>
        </w:rPr>
        <w:t> </w:t>
      </w:r>
      <w:r>
        <w:rPr>
          <w:color w:val="231F1F"/>
          <w:sz w:val="22"/>
        </w:rPr>
        <w:t>cordón</w:t>
      </w:r>
      <w:r>
        <w:rPr>
          <w:color w:val="231F1F"/>
          <w:spacing w:val="37"/>
          <w:sz w:val="22"/>
        </w:rPr>
        <w:t> </w:t>
      </w:r>
      <w:r>
        <w:rPr>
          <w:color w:val="231F1F"/>
          <w:spacing w:val="-2"/>
          <w:sz w:val="22"/>
        </w:rPr>
        <w:t>umbilical?</w:t>
      </w:r>
    </w:p>
    <w:p>
      <w:pPr>
        <w:pStyle w:val="BodyText"/>
        <w:spacing w:before="195"/>
      </w:pPr>
    </w:p>
    <w:p>
      <w:pPr>
        <w:pStyle w:val="Heading4"/>
      </w:pPr>
      <w:r>
        <w:rPr>
          <w:color w:val="231F1F"/>
          <w:w w:val="105"/>
        </w:rPr>
        <w:t>Contacto</w:t>
      </w:r>
      <w:r>
        <w:rPr>
          <w:color w:val="231F1F"/>
          <w:spacing w:val="9"/>
          <w:w w:val="105"/>
        </w:rPr>
        <w:t> </w:t>
      </w:r>
      <w:r>
        <w:rPr>
          <w:color w:val="231F1F"/>
          <w:w w:val="105"/>
        </w:rPr>
        <w:t>piel</w:t>
      </w:r>
      <w:r>
        <w:rPr>
          <w:color w:val="231F1F"/>
          <w:spacing w:val="8"/>
          <w:w w:val="105"/>
        </w:rPr>
        <w:t> </w:t>
      </w:r>
      <w:r>
        <w:rPr>
          <w:color w:val="231F1F"/>
          <w:w w:val="105"/>
        </w:rPr>
        <w:t>con</w:t>
      </w:r>
      <w:r>
        <w:rPr>
          <w:color w:val="231F1F"/>
          <w:spacing w:val="13"/>
          <w:w w:val="105"/>
        </w:rPr>
        <w:t> </w:t>
      </w:r>
      <w:r>
        <w:rPr>
          <w:color w:val="231F1F"/>
          <w:spacing w:val="-4"/>
          <w:w w:val="105"/>
        </w:rPr>
        <w:t>piel</w:t>
      </w:r>
    </w:p>
    <w:p>
      <w:pPr>
        <w:pStyle w:val="ListParagraph"/>
        <w:numPr>
          <w:ilvl w:val="0"/>
          <w:numId w:val="3"/>
        </w:numPr>
        <w:tabs>
          <w:tab w:pos="665" w:val="left" w:leader="none"/>
        </w:tabs>
        <w:spacing w:line="240" w:lineRule="auto" w:before="233" w:after="0"/>
        <w:ind w:left="665" w:right="0" w:hanging="383"/>
        <w:jc w:val="left"/>
        <w:rPr>
          <w:sz w:val="22"/>
        </w:rPr>
      </w:pPr>
      <w:r>
        <w:rPr>
          <w:color w:val="231F1F"/>
          <w:sz w:val="22"/>
        </w:rPr>
        <w:t>¿Cuál</w:t>
      </w:r>
      <w:r>
        <w:rPr>
          <w:color w:val="231F1F"/>
          <w:spacing w:val="24"/>
          <w:sz w:val="22"/>
        </w:rPr>
        <w:t> </w:t>
      </w:r>
      <w:r>
        <w:rPr>
          <w:color w:val="231F1F"/>
          <w:sz w:val="22"/>
        </w:rPr>
        <w:t>es</w:t>
      </w:r>
      <w:r>
        <w:rPr>
          <w:color w:val="231F1F"/>
          <w:spacing w:val="26"/>
          <w:sz w:val="22"/>
        </w:rPr>
        <w:t> </w:t>
      </w:r>
      <w:r>
        <w:rPr>
          <w:color w:val="231F1F"/>
          <w:sz w:val="22"/>
        </w:rPr>
        <w:t>el</w:t>
      </w:r>
      <w:r>
        <w:rPr>
          <w:color w:val="231F1F"/>
          <w:spacing w:val="25"/>
          <w:sz w:val="22"/>
        </w:rPr>
        <w:t> </w:t>
      </w:r>
      <w:r>
        <w:rPr>
          <w:color w:val="231F1F"/>
          <w:sz w:val="22"/>
        </w:rPr>
        <w:t>beneficio</w:t>
      </w:r>
      <w:r>
        <w:rPr>
          <w:color w:val="231F1F"/>
          <w:spacing w:val="25"/>
          <w:sz w:val="22"/>
        </w:rPr>
        <w:t> </w:t>
      </w:r>
      <w:r>
        <w:rPr>
          <w:color w:val="231F1F"/>
          <w:sz w:val="22"/>
        </w:rPr>
        <w:t>del</w:t>
      </w:r>
      <w:r>
        <w:rPr>
          <w:color w:val="231F1F"/>
          <w:spacing w:val="24"/>
          <w:sz w:val="22"/>
        </w:rPr>
        <w:t> </w:t>
      </w:r>
      <w:r>
        <w:rPr>
          <w:color w:val="231F1F"/>
          <w:sz w:val="22"/>
        </w:rPr>
        <w:t>contacto</w:t>
      </w:r>
      <w:r>
        <w:rPr>
          <w:color w:val="231F1F"/>
          <w:spacing w:val="26"/>
          <w:sz w:val="22"/>
        </w:rPr>
        <w:t> </w:t>
      </w:r>
      <w:r>
        <w:rPr>
          <w:color w:val="231F1F"/>
          <w:sz w:val="22"/>
        </w:rPr>
        <w:t>piel</w:t>
      </w:r>
      <w:r>
        <w:rPr>
          <w:color w:val="231F1F"/>
          <w:spacing w:val="25"/>
          <w:sz w:val="22"/>
        </w:rPr>
        <w:t> </w:t>
      </w:r>
      <w:r>
        <w:rPr>
          <w:color w:val="231F1F"/>
          <w:sz w:val="22"/>
        </w:rPr>
        <w:t>con</w:t>
      </w:r>
      <w:r>
        <w:rPr>
          <w:color w:val="231F1F"/>
          <w:spacing w:val="25"/>
          <w:sz w:val="22"/>
        </w:rPr>
        <w:t> </w:t>
      </w:r>
      <w:r>
        <w:rPr>
          <w:color w:val="231F1F"/>
          <w:spacing w:val="-2"/>
          <w:sz w:val="22"/>
        </w:rPr>
        <w:t>piel?</w:t>
      </w:r>
    </w:p>
    <w:p>
      <w:pPr>
        <w:pStyle w:val="BodyText"/>
        <w:spacing w:before="196"/>
      </w:pPr>
    </w:p>
    <w:p>
      <w:pPr>
        <w:pStyle w:val="Heading4"/>
      </w:pPr>
      <w:r>
        <w:rPr>
          <w:color w:val="231F1F"/>
          <w:w w:val="105"/>
        </w:rPr>
        <w:t>Lactancia</w:t>
      </w:r>
      <w:r>
        <w:rPr>
          <w:color w:val="231F1F"/>
          <w:spacing w:val="9"/>
          <w:w w:val="105"/>
        </w:rPr>
        <w:t> </w:t>
      </w:r>
      <w:r>
        <w:rPr>
          <w:color w:val="231F1F"/>
          <w:spacing w:val="-2"/>
          <w:w w:val="105"/>
        </w:rPr>
        <w:t>materna</w:t>
      </w:r>
    </w:p>
    <w:p>
      <w:pPr>
        <w:pStyle w:val="ListParagraph"/>
        <w:numPr>
          <w:ilvl w:val="0"/>
          <w:numId w:val="3"/>
        </w:numPr>
        <w:tabs>
          <w:tab w:pos="665" w:val="left" w:leader="none"/>
        </w:tabs>
        <w:spacing w:line="240" w:lineRule="auto" w:before="223" w:after="0"/>
        <w:ind w:left="665" w:right="0" w:hanging="383"/>
        <w:jc w:val="left"/>
        <w:rPr>
          <w:sz w:val="22"/>
        </w:rPr>
      </w:pPr>
      <w:r>
        <w:rPr>
          <w:color w:val="231F1F"/>
          <w:sz w:val="22"/>
        </w:rPr>
        <w:t>¿Es</w:t>
      </w:r>
      <w:r>
        <w:rPr>
          <w:color w:val="231F1F"/>
          <w:spacing w:val="33"/>
          <w:sz w:val="22"/>
        </w:rPr>
        <w:t> </w:t>
      </w:r>
      <w:r>
        <w:rPr>
          <w:color w:val="231F1F"/>
          <w:sz w:val="22"/>
        </w:rPr>
        <w:t>recomendable</w:t>
      </w:r>
      <w:r>
        <w:rPr>
          <w:color w:val="231F1F"/>
          <w:spacing w:val="33"/>
          <w:sz w:val="22"/>
        </w:rPr>
        <w:t> </w:t>
      </w:r>
      <w:r>
        <w:rPr>
          <w:color w:val="231F1F"/>
          <w:sz w:val="22"/>
        </w:rPr>
        <w:t>favorecer</w:t>
      </w:r>
      <w:r>
        <w:rPr>
          <w:color w:val="231F1F"/>
          <w:spacing w:val="37"/>
          <w:sz w:val="22"/>
        </w:rPr>
        <w:t> </w:t>
      </w:r>
      <w:r>
        <w:rPr>
          <w:color w:val="231F1F"/>
          <w:sz w:val="22"/>
        </w:rPr>
        <w:t>que</w:t>
      </w:r>
      <w:r>
        <w:rPr>
          <w:color w:val="231F1F"/>
          <w:spacing w:val="33"/>
          <w:sz w:val="22"/>
        </w:rPr>
        <w:t> </w:t>
      </w:r>
      <w:r>
        <w:rPr>
          <w:color w:val="231F1F"/>
          <w:sz w:val="22"/>
        </w:rPr>
        <w:t>el</w:t>
      </w:r>
      <w:r>
        <w:rPr>
          <w:color w:val="231F1F"/>
          <w:spacing w:val="35"/>
          <w:sz w:val="22"/>
        </w:rPr>
        <w:t> </w:t>
      </w:r>
      <w:r>
        <w:rPr>
          <w:color w:val="231F1F"/>
          <w:sz w:val="22"/>
        </w:rPr>
        <w:t>RN</w:t>
      </w:r>
      <w:r>
        <w:rPr>
          <w:color w:val="231F1F"/>
          <w:spacing w:val="35"/>
          <w:sz w:val="22"/>
        </w:rPr>
        <w:t> </w:t>
      </w:r>
      <w:r>
        <w:rPr>
          <w:color w:val="231F1F"/>
          <w:sz w:val="22"/>
        </w:rPr>
        <w:t>coja</w:t>
      </w:r>
      <w:r>
        <w:rPr>
          <w:color w:val="231F1F"/>
          <w:spacing w:val="33"/>
          <w:sz w:val="22"/>
        </w:rPr>
        <w:t> </w:t>
      </w:r>
      <w:r>
        <w:rPr>
          <w:color w:val="231F1F"/>
          <w:sz w:val="22"/>
        </w:rPr>
        <w:t>el</w:t>
      </w:r>
      <w:r>
        <w:rPr>
          <w:color w:val="231F1F"/>
          <w:spacing w:val="35"/>
          <w:sz w:val="22"/>
        </w:rPr>
        <w:t> </w:t>
      </w:r>
      <w:r>
        <w:rPr>
          <w:color w:val="231F1F"/>
          <w:sz w:val="22"/>
        </w:rPr>
        <w:t>pecho</w:t>
      </w:r>
      <w:r>
        <w:rPr>
          <w:color w:val="231F1F"/>
          <w:spacing w:val="35"/>
          <w:sz w:val="22"/>
        </w:rPr>
        <w:t> </w:t>
      </w:r>
      <w:r>
        <w:rPr>
          <w:color w:val="231F1F"/>
          <w:spacing w:val="-2"/>
          <w:sz w:val="22"/>
        </w:rPr>
        <w:t>espontáneamente?</w:t>
      </w:r>
    </w:p>
    <w:p>
      <w:pPr>
        <w:pStyle w:val="BodyText"/>
        <w:spacing w:before="196"/>
      </w:pPr>
    </w:p>
    <w:p>
      <w:pPr>
        <w:pStyle w:val="Heading4"/>
      </w:pPr>
      <w:r>
        <w:rPr>
          <w:color w:val="231F1F"/>
          <w:w w:val="105"/>
        </w:rPr>
        <w:t>Baño</w:t>
      </w:r>
      <w:r>
        <w:rPr>
          <w:color w:val="231F1F"/>
          <w:spacing w:val="12"/>
          <w:w w:val="105"/>
        </w:rPr>
        <w:t> </w:t>
      </w:r>
      <w:r>
        <w:rPr>
          <w:color w:val="231F1F"/>
          <w:w w:val="105"/>
        </w:rPr>
        <w:t>del</w:t>
      </w:r>
      <w:r>
        <w:rPr>
          <w:color w:val="231F1F"/>
          <w:spacing w:val="10"/>
          <w:w w:val="105"/>
        </w:rPr>
        <w:t> </w:t>
      </w:r>
      <w:r>
        <w:rPr>
          <w:color w:val="231F1F"/>
          <w:spacing w:val="-5"/>
          <w:w w:val="105"/>
        </w:rPr>
        <w:t>RN</w:t>
      </w:r>
    </w:p>
    <w:p>
      <w:pPr>
        <w:pStyle w:val="ListParagraph"/>
        <w:numPr>
          <w:ilvl w:val="0"/>
          <w:numId w:val="3"/>
        </w:numPr>
        <w:tabs>
          <w:tab w:pos="665" w:val="left" w:leader="none"/>
        </w:tabs>
        <w:spacing w:line="240" w:lineRule="auto" w:before="223" w:after="0"/>
        <w:ind w:left="665" w:right="0" w:hanging="383"/>
        <w:jc w:val="left"/>
        <w:rPr>
          <w:sz w:val="22"/>
        </w:rPr>
      </w:pPr>
      <w:r>
        <w:rPr>
          <w:color w:val="231F1F"/>
          <w:w w:val="110"/>
          <w:sz w:val="22"/>
        </w:rPr>
        <w:t>¿Cuál</w:t>
      </w:r>
      <w:r>
        <w:rPr>
          <w:color w:val="231F1F"/>
          <w:spacing w:val="-15"/>
          <w:w w:val="110"/>
          <w:sz w:val="22"/>
        </w:rPr>
        <w:t> </w:t>
      </w:r>
      <w:r>
        <w:rPr>
          <w:color w:val="231F1F"/>
          <w:w w:val="110"/>
          <w:sz w:val="22"/>
        </w:rPr>
        <w:t>es</w:t>
      </w:r>
      <w:r>
        <w:rPr>
          <w:color w:val="231F1F"/>
          <w:spacing w:val="-12"/>
          <w:w w:val="110"/>
          <w:sz w:val="22"/>
        </w:rPr>
        <w:t> </w:t>
      </w:r>
      <w:r>
        <w:rPr>
          <w:color w:val="231F1F"/>
          <w:w w:val="110"/>
          <w:sz w:val="22"/>
        </w:rPr>
        <w:t>el</w:t>
      </w:r>
      <w:r>
        <w:rPr>
          <w:color w:val="231F1F"/>
          <w:spacing w:val="-13"/>
          <w:w w:val="110"/>
          <w:sz w:val="22"/>
        </w:rPr>
        <w:t> </w:t>
      </w:r>
      <w:r>
        <w:rPr>
          <w:color w:val="231F1F"/>
          <w:w w:val="110"/>
          <w:sz w:val="22"/>
        </w:rPr>
        <w:t>efecto</w:t>
      </w:r>
      <w:r>
        <w:rPr>
          <w:color w:val="231F1F"/>
          <w:spacing w:val="-12"/>
          <w:w w:val="110"/>
          <w:sz w:val="22"/>
        </w:rPr>
        <w:t> </w:t>
      </w:r>
      <w:r>
        <w:rPr>
          <w:color w:val="231F1F"/>
          <w:w w:val="110"/>
          <w:sz w:val="22"/>
        </w:rPr>
        <w:t>del</w:t>
      </w:r>
      <w:r>
        <w:rPr>
          <w:color w:val="231F1F"/>
          <w:spacing w:val="-15"/>
          <w:w w:val="110"/>
          <w:sz w:val="22"/>
        </w:rPr>
        <w:t> </w:t>
      </w:r>
      <w:r>
        <w:rPr>
          <w:color w:val="231F1F"/>
          <w:w w:val="110"/>
          <w:sz w:val="22"/>
        </w:rPr>
        <w:t>baño</w:t>
      </w:r>
      <w:r>
        <w:rPr>
          <w:color w:val="231F1F"/>
          <w:spacing w:val="-14"/>
          <w:w w:val="110"/>
          <w:sz w:val="22"/>
        </w:rPr>
        <w:t> </w:t>
      </w:r>
      <w:r>
        <w:rPr>
          <w:color w:val="231F1F"/>
          <w:w w:val="110"/>
          <w:sz w:val="22"/>
        </w:rPr>
        <w:t>en</w:t>
      </w:r>
      <w:r>
        <w:rPr>
          <w:color w:val="231F1F"/>
          <w:spacing w:val="-13"/>
          <w:w w:val="110"/>
          <w:sz w:val="22"/>
        </w:rPr>
        <w:t> </w:t>
      </w:r>
      <w:r>
        <w:rPr>
          <w:color w:val="231F1F"/>
          <w:w w:val="110"/>
          <w:sz w:val="22"/>
        </w:rPr>
        <w:t>el</w:t>
      </w:r>
      <w:r>
        <w:rPr>
          <w:color w:val="231F1F"/>
          <w:spacing w:val="-12"/>
          <w:w w:val="110"/>
          <w:sz w:val="22"/>
        </w:rPr>
        <w:t> </w:t>
      </w:r>
      <w:r>
        <w:rPr>
          <w:color w:val="231F1F"/>
          <w:spacing w:val="-5"/>
          <w:w w:val="110"/>
          <w:sz w:val="22"/>
        </w:rPr>
        <w:t>RN?</w:t>
      </w:r>
    </w:p>
    <w:p>
      <w:pPr>
        <w:pStyle w:val="BodyText"/>
        <w:spacing w:before="196"/>
      </w:pPr>
    </w:p>
    <w:p>
      <w:pPr>
        <w:pStyle w:val="Heading4"/>
      </w:pPr>
      <w:r>
        <w:rPr>
          <w:color w:val="231F1F"/>
          <w:w w:val="105"/>
        </w:rPr>
        <w:t>Aspiración</w:t>
      </w:r>
      <w:r>
        <w:rPr>
          <w:color w:val="231F1F"/>
          <w:spacing w:val="13"/>
          <w:w w:val="105"/>
        </w:rPr>
        <w:t> </w:t>
      </w:r>
      <w:r>
        <w:rPr>
          <w:color w:val="231F1F"/>
          <w:w w:val="105"/>
        </w:rPr>
        <w:t>nasofaríngea</w:t>
      </w:r>
      <w:r>
        <w:rPr>
          <w:color w:val="231F1F"/>
          <w:spacing w:val="14"/>
          <w:w w:val="105"/>
        </w:rPr>
        <w:t> </w:t>
      </w:r>
      <w:r>
        <w:rPr>
          <w:color w:val="231F1F"/>
          <w:w w:val="105"/>
        </w:rPr>
        <w:t>y</w:t>
      </w:r>
      <w:r>
        <w:rPr>
          <w:color w:val="231F1F"/>
          <w:spacing w:val="14"/>
          <w:w w:val="105"/>
        </w:rPr>
        <w:t> </w:t>
      </w:r>
      <w:r>
        <w:rPr>
          <w:color w:val="231F1F"/>
          <w:w w:val="105"/>
        </w:rPr>
        <w:t>sondaje</w:t>
      </w:r>
      <w:r>
        <w:rPr>
          <w:color w:val="231F1F"/>
          <w:spacing w:val="13"/>
          <w:w w:val="105"/>
        </w:rPr>
        <w:t> </w:t>
      </w:r>
      <w:r>
        <w:rPr>
          <w:color w:val="231F1F"/>
          <w:w w:val="105"/>
        </w:rPr>
        <w:t>gástrico-rectal</w:t>
      </w:r>
      <w:r>
        <w:rPr>
          <w:color w:val="231F1F"/>
          <w:spacing w:val="10"/>
          <w:w w:val="105"/>
        </w:rPr>
        <w:t> </w:t>
      </w:r>
      <w:r>
        <w:rPr>
          <w:color w:val="231F1F"/>
          <w:w w:val="105"/>
        </w:rPr>
        <w:t>en</w:t>
      </w:r>
      <w:r>
        <w:rPr>
          <w:color w:val="231F1F"/>
          <w:spacing w:val="15"/>
          <w:w w:val="105"/>
        </w:rPr>
        <w:t> </w:t>
      </w:r>
      <w:r>
        <w:rPr>
          <w:color w:val="231F1F"/>
          <w:w w:val="105"/>
        </w:rPr>
        <w:t>el</w:t>
      </w:r>
      <w:r>
        <w:rPr>
          <w:color w:val="231F1F"/>
          <w:spacing w:val="11"/>
          <w:w w:val="105"/>
        </w:rPr>
        <w:t> </w:t>
      </w:r>
      <w:r>
        <w:rPr>
          <w:color w:val="231F1F"/>
          <w:w w:val="105"/>
        </w:rPr>
        <w:t>período</w:t>
      </w:r>
      <w:r>
        <w:rPr>
          <w:color w:val="231F1F"/>
          <w:spacing w:val="14"/>
          <w:w w:val="105"/>
        </w:rPr>
        <w:t> </w:t>
      </w:r>
      <w:r>
        <w:rPr>
          <w:color w:val="231F1F"/>
          <w:spacing w:val="-2"/>
          <w:w w:val="105"/>
        </w:rPr>
        <w:t>neonatal</w:t>
      </w:r>
    </w:p>
    <w:p>
      <w:pPr>
        <w:pStyle w:val="ListParagraph"/>
        <w:numPr>
          <w:ilvl w:val="0"/>
          <w:numId w:val="3"/>
        </w:numPr>
        <w:tabs>
          <w:tab w:pos="665" w:val="left" w:leader="none"/>
          <w:tab w:pos="668" w:val="left" w:leader="none"/>
        </w:tabs>
        <w:spacing w:line="273" w:lineRule="auto" w:before="223" w:after="0"/>
        <w:ind w:left="668" w:right="225" w:hanging="386"/>
        <w:jc w:val="left"/>
        <w:rPr>
          <w:sz w:val="22"/>
        </w:rPr>
      </w:pPr>
      <w:r>
        <w:rPr>
          <w:color w:val="231F1F"/>
          <w:w w:val="110"/>
          <w:sz w:val="22"/>
        </w:rPr>
        <w:t>El</w:t>
      </w:r>
      <w:r>
        <w:rPr>
          <w:color w:val="231F1F"/>
          <w:spacing w:val="-16"/>
          <w:w w:val="110"/>
          <w:sz w:val="22"/>
        </w:rPr>
        <w:t> </w:t>
      </w:r>
      <w:r>
        <w:rPr>
          <w:color w:val="231F1F"/>
          <w:w w:val="110"/>
          <w:sz w:val="22"/>
        </w:rPr>
        <w:t>paso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sondas</w:t>
      </w:r>
      <w:r>
        <w:rPr>
          <w:color w:val="231F1F"/>
          <w:spacing w:val="-15"/>
          <w:w w:val="110"/>
          <w:sz w:val="22"/>
        </w:rPr>
        <w:t> </w:t>
      </w:r>
      <w:r>
        <w:rPr>
          <w:color w:val="231F1F"/>
          <w:w w:val="110"/>
          <w:sz w:val="22"/>
        </w:rPr>
        <w:t>gástrica-rectal</w:t>
      </w:r>
      <w:r>
        <w:rPr>
          <w:color w:val="231F1F"/>
          <w:spacing w:val="-15"/>
          <w:w w:val="110"/>
          <w:sz w:val="22"/>
        </w:rPr>
        <w:t> </w:t>
      </w:r>
      <w:r>
        <w:rPr>
          <w:color w:val="231F1F"/>
          <w:w w:val="110"/>
          <w:sz w:val="22"/>
        </w:rPr>
        <w:t>y/o</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aspiración</w:t>
      </w:r>
      <w:r>
        <w:rPr>
          <w:color w:val="231F1F"/>
          <w:spacing w:val="-15"/>
          <w:w w:val="110"/>
          <w:sz w:val="22"/>
        </w:rPr>
        <w:t> </w:t>
      </w:r>
      <w:r>
        <w:rPr>
          <w:color w:val="231F1F"/>
          <w:w w:val="110"/>
          <w:sz w:val="22"/>
        </w:rPr>
        <w:t>naso-orofaríngea</w:t>
      </w:r>
      <w:r>
        <w:rPr>
          <w:color w:val="231F1F"/>
          <w:spacing w:val="-16"/>
          <w:w w:val="110"/>
          <w:sz w:val="22"/>
        </w:rPr>
        <w:t> </w:t>
      </w:r>
      <w:r>
        <w:rPr>
          <w:color w:val="231F1F"/>
          <w:w w:val="110"/>
          <w:sz w:val="22"/>
        </w:rPr>
        <w:t>sistemática</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el período neonatal inmediato ¿mejoran o no el pronóstico neonatal?</w:t>
      </w:r>
    </w:p>
    <w:p>
      <w:pPr>
        <w:pStyle w:val="BodyText"/>
        <w:spacing w:before="156"/>
      </w:pPr>
    </w:p>
    <w:p>
      <w:pPr>
        <w:pStyle w:val="Heading4"/>
      </w:pPr>
      <w:r>
        <w:rPr>
          <w:color w:val="231F1F"/>
        </w:rPr>
        <w:t>Profilaxis</w:t>
      </w:r>
      <w:r>
        <w:rPr>
          <w:color w:val="231F1F"/>
          <w:spacing w:val="32"/>
        </w:rPr>
        <w:t> </w:t>
      </w:r>
      <w:r>
        <w:rPr>
          <w:color w:val="231F1F"/>
          <w:spacing w:val="-2"/>
        </w:rPr>
        <w:t>oftálmica</w:t>
      </w:r>
    </w:p>
    <w:p>
      <w:pPr>
        <w:pStyle w:val="ListParagraph"/>
        <w:numPr>
          <w:ilvl w:val="0"/>
          <w:numId w:val="3"/>
        </w:numPr>
        <w:tabs>
          <w:tab w:pos="665" w:val="left" w:leader="none"/>
        </w:tabs>
        <w:spacing w:line="240" w:lineRule="auto" w:before="247" w:after="0"/>
        <w:ind w:left="665" w:right="0" w:hanging="383"/>
        <w:jc w:val="left"/>
        <w:rPr>
          <w:sz w:val="22"/>
        </w:rPr>
      </w:pPr>
      <w:r>
        <w:rPr>
          <w:color w:val="231F1F"/>
          <w:sz w:val="22"/>
        </w:rPr>
        <w:t>¿Cuál</w:t>
      </w:r>
      <w:r>
        <w:rPr>
          <w:color w:val="231F1F"/>
          <w:spacing w:val="21"/>
          <w:sz w:val="22"/>
        </w:rPr>
        <w:t> </w:t>
      </w:r>
      <w:r>
        <w:rPr>
          <w:color w:val="231F1F"/>
          <w:sz w:val="22"/>
        </w:rPr>
        <w:t>es</w:t>
      </w:r>
      <w:r>
        <w:rPr>
          <w:color w:val="231F1F"/>
          <w:spacing w:val="24"/>
          <w:sz w:val="22"/>
        </w:rPr>
        <w:t> </w:t>
      </w:r>
      <w:r>
        <w:rPr>
          <w:color w:val="231F1F"/>
          <w:sz w:val="22"/>
        </w:rPr>
        <w:t>la</w:t>
      </w:r>
      <w:r>
        <w:rPr>
          <w:color w:val="231F1F"/>
          <w:spacing w:val="24"/>
          <w:sz w:val="22"/>
        </w:rPr>
        <w:t> </w:t>
      </w:r>
      <w:r>
        <w:rPr>
          <w:color w:val="231F1F"/>
          <w:sz w:val="22"/>
        </w:rPr>
        <w:t>efectividad</w:t>
      </w:r>
      <w:r>
        <w:rPr>
          <w:color w:val="231F1F"/>
          <w:spacing w:val="22"/>
          <w:sz w:val="22"/>
        </w:rPr>
        <w:t> </w:t>
      </w:r>
      <w:r>
        <w:rPr>
          <w:color w:val="231F1F"/>
          <w:sz w:val="22"/>
        </w:rPr>
        <w:t>de</w:t>
      </w:r>
      <w:r>
        <w:rPr>
          <w:color w:val="231F1F"/>
          <w:spacing w:val="24"/>
          <w:sz w:val="22"/>
        </w:rPr>
        <w:t> </w:t>
      </w:r>
      <w:r>
        <w:rPr>
          <w:color w:val="231F1F"/>
          <w:sz w:val="22"/>
        </w:rPr>
        <w:t>la</w:t>
      </w:r>
      <w:r>
        <w:rPr>
          <w:color w:val="231F1F"/>
          <w:spacing w:val="24"/>
          <w:sz w:val="22"/>
        </w:rPr>
        <w:t> </w:t>
      </w:r>
      <w:r>
        <w:rPr>
          <w:color w:val="231F1F"/>
          <w:sz w:val="22"/>
        </w:rPr>
        <w:t>profilaxis</w:t>
      </w:r>
      <w:r>
        <w:rPr>
          <w:color w:val="231F1F"/>
          <w:spacing w:val="24"/>
          <w:sz w:val="22"/>
        </w:rPr>
        <w:t> </w:t>
      </w:r>
      <w:r>
        <w:rPr>
          <w:color w:val="231F1F"/>
          <w:sz w:val="22"/>
        </w:rPr>
        <w:t>oftálmica</w:t>
      </w:r>
      <w:r>
        <w:rPr>
          <w:color w:val="231F1F"/>
          <w:spacing w:val="22"/>
          <w:sz w:val="22"/>
        </w:rPr>
        <w:t> </w:t>
      </w:r>
      <w:r>
        <w:rPr>
          <w:color w:val="231F1F"/>
          <w:sz w:val="22"/>
        </w:rPr>
        <w:t>sistemática</w:t>
      </w:r>
      <w:r>
        <w:rPr>
          <w:color w:val="231F1F"/>
          <w:spacing w:val="24"/>
          <w:sz w:val="22"/>
        </w:rPr>
        <w:t> </w:t>
      </w:r>
      <w:r>
        <w:rPr>
          <w:color w:val="231F1F"/>
          <w:sz w:val="22"/>
        </w:rPr>
        <w:t>en</w:t>
      </w:r>
      <w:r>
        <w:rPr>
          <w:color w:val="231F1F"/>
          <w:spacing w:val="24"/>
          <w:sz w:val="22"/>
        </w:rPr>
        <w:t> </w:t>
      </w:r>
      <w:r>
        <w:rPr>
          <w:color w:val="231F1F"/>
          <w:sz w:val="22"/>
        </w:rPr>
        <w:t>el</w:t>
      </w:r>
      <w:r>
        <w:rPr>
          <w:color w:val="231F1F"/>
          <w:spacing w:val="24"/>
          <w:sz w:val="22"/>
        </w:rPr>
        <w:t> </w:t>
      </w:r>
      <w:r>
        <w:rPr>
          <w:color w:val="231F1F"/>
          <w:spacing w:val="-5"/>
          <w:sz w:val="22"/>
        </w:rPr>
        <w:t>RN?</w:t>
      </w:r>
    </w:p>
    <w:p>
      <w:pPr>
        <w:pStyle w:val="ListParagraph"/>
        <w:numPr>
          <w:ilvl w:val="0"/>
          <w:numId w:val="3"/>
        </w:numPr>
        <w:tabs>
          <w:tab w:pos="665" w:val="left" w:leader="none"/>
        </w:tabs>
        <w:spacing w:line="240" w:lineRule="auto" w:before="179" w:after="0"/>
        <w:ind w:left="665" w:right="0" w:hanging="383"/>
        <w:jc w:val="left"/>
        <w:rPr>
          <w:sz w:val="22"/>
        </w:rPr>
      </w:pPr>
      <w:r>
        <w:rPr>
          <w:color w:val="231F1F"/>
          <w:sz w:val="22"/>
        </w:rPr>
        <w:t>¿Cuál</w:t>
      </w:r>
      <w:r>
        <w:rPr>
          <w:color w:val="231F1F"/>
          <w:spacing w:val="30"/>
          <w:sz w:val="22"/>
        </w:rPr>
        <w:t> </w:t>
      </w:r>
      <w:r>
        <w:rPr>
          <w:color w:val="231F1F"/>
          <w:sz w:val="22"/>
        </w:rPr>
        <w:t>es</w:t>
      </w:r>
      <w:r>
        <w:rPr>
          <w:color w:val="231F1F"/>
          <w:spacing w:val="30"/>
          <w:sz w:val="22"/>
        </w:rPr>
        <w:t> </w:t>
      </w:r>
      <w:r>
        <w:rPr>
          <w:color w:val="231F1F"/>
          <w:sz w:val="22"/>
        </w:rPr>
        <w:t>el</w:t>
      </w:r>
      <w:r>
        <w:rPr>
          <w:color w:val="231F1F"/>
          <w:spacing w:val="30"/>
          <w:sz w:val="22"/>
        </w:rPr>
        <w:t> </w:t>
      </w:r>
      <w:r>
        <w:rPr>
          <w:color w:val="231F1F"/>
          <w:sz w:val="22"/>
        </w:rPr>
        <w:t>momento</w:t>
      </w:r>
      <w:r>
        <w:rPr>
          <w:color w:val="231F1F"/>
          <w:spacing w:val="33"/>
          <w:sz w:val="22"/>
        </w:rPr>
        <w:t> </w:t>
      </w:r>
      <w:r>
        <w:rPr>
          <w:color w:val="231F1F"/>
          <w:sz w:val="22"/>
        </w:rPr>
        <w:t>idóneo</w:t>
      </w:r>
      <w:r>
        <w:rPr>
          <w:color w:val="231F1F"/>
          <w:spacing w:val="31"/>
          <w:sz w:val="22"/>
        </w:rPr>
        <w:t> </w:t>
      </w:r>
      <w:r>
        <w:rPr>
          <w:color w:val="231F1F"/>
          <w:sz w:val="22"/>
        </w:rPr>
        <w:t>para</w:t>
      </w:r>
      <w:r>
        <w:rPr>
          <w:color w:val="231F1F"/>
          <w:spacing w:val="30"/>
          <w:sz w:val="22"/>
        </w:rPr>
        <w:t> </w:t>
      </w:r>
      <w:r>
        <w:rPr>
          <w:color w:val="231F1F"/>
          <w:sz w:val="22"/>
        </w:rPr>
        <w:t>realizar</w:t>
      </w:r>
      <w:r>
        <w:rPr>
          <w:color w:val="231F1F"/>
          <w:spacing w:val="31"/>
          <w:sz w:val="22"/>
        </w:rPr>
        <w:t> </w:t>
      </w:r>
      <w:r>
        <w:rPr>
          <w:color w:val="231F1F"/>
          <w:sz w:val="22"/>
        </w:rPr>
        <w:t>la</w:t>
      </w:r>
      <w:r>
        <w:rPr>
          <w:color w:val="231F1F"/>
          <w:spacing w:val="32"/>
          <w:sz w:val="22"/>
        </w:rPr>
        <w:t> </w:t>
      </w:r>
      <w:r>
        <w:rPr>
          <w:color w:val="231F1F"/>
          <w:sz w:val="22"/>
        </w:rPr>
        <w:t>profilaxis</w:t>
      </w:r>
      <w:r>
        <w:rPr>
          <w:color w:val="231F1F"/>
          <w:spacing w:val="31"/>
          <w:sz w:val="22"/>
        </w:rPr>
        <w:t> </w:t>
      </w:r>
      <w:r>
        <w:rPr>
          <w:color w:val="231F1F"/>
          <w:sz w:val="22"/>
        </w:rPr>
        <w:t>oftálmica</w:t>
      </w:r>
      <w:r>
        <w:rPr>
          <w:color w:val="231F1F"/>
          <w:spacing w:val="30"/>
          <w:sz w:val="22"/>
        </w:rPr>
        <w:t> </w:t>
      </w:r>
      <w:r>
        <w:rPr>
          <w:color w:val="231F1F"/>
          <w:sz w:val="22"/>
        </w:rPr>
        <w:t>en</w:t>
      </w:r>
      <w:r>
        <w:rPr>
          <w:color w:val="231F1F"/>
          <w:spacing w:val="30"/>
          <w:sz w:val="22"/>
        </w:rPr>
        <w:t> </w:t>
      </w:r>
      <w:r>
        <w:rPr>
          <w:color w:val="231F1F"/>
          <w:sz w:val="22"/>
        </w:rPr>
        <w:t>el</w:t>
      </w:r>
      <w:r>
        <w:rPr>
          <w:color w:val="231F1F"/>
          <w:spacing w:val="33"/>
          <w:sz w:val="22"/>
        </w:rPr>
        <w:t> </w:t>
      </w:r>
      <w:r>
        <w:rPr>
          <w:color w:val="231F1F"/>
          <w:spacing w:val="-5"/>
          <w:sz w:val="22"/>
        </w:rPr>
        <w:t>RN?</w:t>
      </w:r>
    </w:p>
    <w:p>
      <w:pPr>
        <w:pStyle w:val="ListParagraph"/>
        <w:numPr>
          <w:ilvl w:val="0"/>
          <w:numId w:val="3"/>
        </w:numPr>
        <w:tabs>
          <w:tab w:pos="665" w:val="left" w:leader="none"/>
        </w:tabs>
        <w:spacing w:line="240" w:lineRule="auto" w:before="169" w:after="0"/>
        <w:ind w:left="665" w:right="0" w:hanging="383"/>
        <w:jc w:val="left"/>
        <w:rPr>
          <w:sz w:val="22"/>
        </w:rPr>
      </w:pPr>
      <w:r>
        <w:rPr>
          <w:color w:val="231F1F"/>
          <w:w w:val="105"/>
          <w:sz w:val="22"/>
        </w:rPr>
        <w:t>¿Cuál</w:t>
      </w:r>
      <w:r>
        <w:rPr>
          <w:color w:val="231F1F"/>
          <w:spacing w:val="-3"/>
          <w:w w:val="105"/>
          <w:sz w:val="22"/>
        </w:rPr>
        <w:t> </w:t>
      </w:r>
      <w:r>
        <w:rPr>
          <w:color w:val="231F1F"/>
          <w:w w:val="105"/>
          <w:sz w:val="22"/>
        </w:rPr>
        <w:t>es</w:t>
      </w:r>
      <w:r>
        <w:rPr>
          <w:color w:val="231F1F"/>
          <w:spacing w:val="1"/>
          <w:w w:val="105"/>
          <w:sz w:val="22"/>
        </w:rPr>
        <w:t> </w:t>
      </w:r>
      <w:r>
        <w:rPr>
          <w:color w:val="231F1F"/>
          <w:w w:val="105"/>
          <w:sz w:val="22"/>
        </w:rPr>
        <w:t>el</w:t>
      </w:r>
      <w:r>
        <w:rPr>
          <w:color w:val="231F1F"/>
          <w:spacing w:val="-1"/>
          <w:w w:val="105"/>
          <w:sz w:val="22"/>
        </w:rPr>
        <w:t> </w:t>
      </w:r>
      <w:r>
        <w:rPr>
          <w:color w:val="231F1F"/>
          <w:w w:val="105"/>
          <w:sz w:val="22"/>
        </w:rPr>
        <w:t>producto</w:t>
      </w:r>
      <w:r>
        <w:rPr>
          <w:color w:val="231F1F"/>
          <w:spacing w:val="-2"/>
          <w:w w:val="105"/>
          <w:sz w:val="22"/>
        </w:rPr>
        <w:t> </w:t>
      </w:r>
      <w:r>
        <w:rPr>
          <w:color w:val="231F1F"/>
          <w:w w:val="105"/>
          <w:sz w:val="22"/>
        </w:rPr>
        <w:t>más</w:t>
      </w:r>
      <w:r>
        <w:rPr>
          <w:color w:val="231F1F"/>
          <w:spacing w:val="1"/>
          <w:w w:val="105"/>
          <w:sz w:val="22"/>
        </w:rPr>
        <w:t> </w:t>
      </w:r>
      <w:r>
        <w:rPr>
          <w:color w:val="231F1F"/>
          <w:w w:val="105"/>
          <w:sz w:val="22"/>
        </w:rPr>
        <w:t>eficaz</w:t>
      </w:r>
      <w:r>
        <w:rPr>
          <w:color w:val="231F1F"/>
          <w:spacing w:val="1"/>
          <w:w w:val="105"/>
          <w:sz w:val="22"/>
        </w:rPr>
        <w:t> </w:t>
      </w:r>
      <w:r>
        <w:rPr>
          <w:color w:val="231F1F"/>
          <w:w w:val="105"/>
          <w:sz w:val="22"/>
        </w:rPr>
        <w:t>para</w:t>
      </w:r>
      <w:r>
        <w:rPr>
          <w:color w:val="231F1F"/>
          <w:spacing w:val="-3"/>
          <w:w w:val="105"/>
          <w:sz w:val="22"/>
        </w:rPr>
        <w:t> </w:t>
      </w:r>
      <w:r>
        <w:rPr>
          <w:color w:val="231F1F"/>
          <w:w w:val="105"/>
          <w:sz w:val="22"/>
        </w:rPr>
        <w:t>la</w:t>
      </w:r>
      <w:r>
        <w:rPr>
          <w:color w:val="231F1F"/>
          <w:spacing w:val="1"/>
          <w:w w:val="105"/>
          <w:sz w:val="22"/>
        </w:rPr>
        <w:t> </w:t>
      </w:r>
      <w:r>
        <w:rPr>
          <w:color w:val="231F1F"/>
          <w:w w:val="105"/>
          <w:sz w:val="22"/>
        </w:rPr>
        <w:t>profilaxis</w:t>
      </w:r>
      <w:r>
        <w:rPr>
          <w:color w:val="231F1F"/>
          <w:spacing w:val="-1"/>
          <w:w w:val="105"/>
          <w:sz w:val="22"/>
        </w:rPr>
        <w:t> </w:t>
      </w:r>
      <w:r>
        <w:rPr>
          <w:color w:val="231F1F"/>
          <w:w w:val="105"/>
          <w:sz w:val="22"/>
        </w:rPr>
        <w:t>oftálmica</w:t>
      </w:r>
      <w:r>
        <w:rPr>
          <w:color w:val="231F1F"/>
          <w:spacing w:val="-1"/>
          <w:w w:val="105"/>
          <w:sz w:val="22"/>
        </w:rPr>
        <w:t> </w:t>
      </w:r>
      <w:r>
        <w:rPr>
          <w:color w:val="231F1F"/>
          <w:w w:val="105"/>
          <w:sz w:val="22"/>
        </w:rPr>
        <w:t>del</w:t>
      </w:r>
      <w:r>
        <w:rPr>
          <w:color w:val="231F1F"/>
          <w:spacing w:val="-2"/>
          <w:w w:val="105"/>
          <w:sz w:val="22"/>
        </w:rPr>
        <w:t> </w:t>
      </w:r>
      <w:r>
        <w:rPr>
          <w:color w:val="231F1F"/>
          <w:spacing w:val="-5"/>
          <w:w w:val="105"/>
          <w:sz w:val="22"/>
        </w:rPr>
        <w:t>RN?</w:t>
      </w:r>
    </w:p>
    <w:p>
      <w:pPr>
        <w:pStyle w:val="BodyText"/>
        <w:spacing w:before="215"/>
      </w:pPr>
    </w:p>
    <w:p>
      <w:pPr>
        <w:pStyle w:val="Heading4"/>
      </w:pPr>
      <w:r>
        <w:rPr>
          <w:color w:val="231F1F"/>
        </w:rPr>
        <w:t>Profilaxis</w:t>
      </w:r>
      <w:r>
        <w:rPr>
          <w:color w:val="231F1F"/>
          <w:spacing w:val="43"/>
        </w:rPr>
        <w:t> </w:t>
      </w:r>
      <w:r>
        <w:rPr>
          <w:color w:val="231F1F"/>
        </w:rPr>
        <w:t>de</w:t>
      </w:r>
      <w:r>
        <w:rPr>
          <w:color w:val="231F1F"/>
          <w:spacing w:val="45"/>
        </w:rPr>
        <w:t> </w:t>
      </w:r>
      <w:r>
        <w:rPr>
          <w:color w:val="231F1F"/>
        </w:rPr>
        <w:t>la</w:t>
      </w:r>
      <w:r>
        <w:rPr>
          <w:color w:val="231F1F"/>
          <w:spacing w:val="43"/>
        </w:rPr>
        <w:t> </w:t>
      </w:r>
      <w:r>
        <w:rPr>
          <w:color w:val="231F1F"/>
        </w:rPr>
        <w:t>enfermedad</w:t>
      </w:r>
      <w:r>
        <w:rPr>
          <w:color w:val="231F1F"/>
          <w:spacing w:val="44"/>
        </w:rPr>
        <w:t> </w:t>
      </w:r>
      <w:r>
        <w:rPr>
          <w:color w:val="231F1F"/>
        </w:rPr>
        <w:t>hemorrágica</w:t>
      </w:r>
      <w:r>
        <w:rPr>
          <w:color w:val="231F1F"/>
          <w:spacing w:val="44"/>
        </w:rPr>
        <w:t> </w:t>
      </w:r>
      <w:r>
        <w:rPr>
          <w:color w:val="231F1F"/>
        </w:rPr>
        <w:t>con</w:t>
      </w:r>
      <w:r>
        <w:rPr>
          <w:color w:val="231F1F"/>
          <w:spacing w:val="44"/>
        </w:rPr>
        <w:t> </w:t>
      </w:r>
      <w:r>
        <w:rPr>
          <w:color w:val="231F1F"/>
        </w:rPr>
        <w:t>vitamina</w:t>
      </w:r>
      <w:r>
        <w:rPr>
          <w:color w:val="231F1F"/>
          <w:spacing w:val="45"/>
        </w:rPr>
        <w:t> </w:t>
      </w:r>
      <w:r>
        <w:rPr>
          <w:color w:val="231F1F"/>
          <w:spacing w:val="-10"/>
        </w:rPr>
        <w:t>K</w:t>
      </w:r>
    </w:p>
    <w:p>
      <w:pPr>
        <w:pStyle w:val="ListParagraph"/>
        <w:numPr>
          <w:ilvl w:val="0"/>
          <w:numId w:val="3"/>
        </w:numPr>
        <w:tabs>
          <w:tab w:pos="665" w:val="left" w:leader="none"/>
        </w:tabs>
        <w:spacing w:line="240" w:lineRule="auto" w:before="248" w:after="0"/>
        <w:ind w:left="665" w:right="0" w:hanging="383"/>
        <w:jc w:val="left"/>
        <w:rPr>
          <w:sz w:val="22"/>
        </w:rPr>
      </w:pPr>
      <w:r>
        <w:rPr>
          <w:color w:val="231F1F"/>
          <w:sz w:val="22"/>
        </w:rPr>
        <w:t>¿Cuál</w:t>
      </w:r>
      <w:r>
        <w:rPr>
          <w:color w:val="231F1F"/>
          <w:spacing w:val="18"/>
          <w:sz w:val="22"/>
        </w:rPr>
        <w:t> </w:t>
      </w:r>
      <w:r>
        <w:rPr>
          <w:color w:val="231F1F"/>
          <w:sz w:val="22"/>
        </w:rPr>
        <w:t>es</w:t>
      </w:r>
      <w:r>
        <w:rPr>
          <w:color w:val="231F1F"/>
          <w:spacing w:val="23"/>
          <w:sz w:val="22"/>
        </w:rPr>
        <w:t> </w:t>
      </w:r>
      <w:r>
        <w:rPr>
          <w:color w:val="231F1F"/>
          <w:sz w:val="22"/>
        </w:rPr>
        <w:t>la</w:t>
      </w:r>
      <w:r>
        <w:rPr>
          <w:color w:val="231F1F"/>
          <w:spacing w:val="24"/>
          <w:sz w:val="22"/>
        </w:rPr>
        <w:t> </w:t>
      </w:r>
      <w:r>
        <w:rPr>
          <w:color w:val="231F1F"/>
          <w:sz w:val="22"/>
        </w:rPr>
        <w:t>relación</w:t>
      </w:r>
      <w:r>
        <w:rPr>
          <w:color w:val="231F1F"/>
          <w:spacing w:val="26"/>
          <w:sz w:val="22"/>
        </w:rPr>
        <w:t> </w:t>
      </w:r>
      <w:r>
        <w:rPr>
          <w:color w:val="231F1F"/>
          <w:sz w:val="22"/>
        </w:rPr>
        <w:t>riesgo/beneficio</w:t>
      </w:r>
      <w:r>
        <w:rPr>
          <w:color w:val="231F1F"/>
          <w:spacing w:val="26"/>
          <w:sz w:val="22"/>
        </w:rPr>
        <w:t> </w:t>
      </w:r>
      <w:r>
        <w:rPr>
          <w:color w:val="231F1F"/>
          <w:sz w:val="22"/>
        </w:rPr>
        <w:t>de</w:t>
      </w:r>
      <w:r>
        <w:rPr>
          <w:color w:val="231F1F"/>
          <w:spacing w:val="24"/>
          <w:sz w:val="22"/>
        </w:rPr>
        <w:t> </w:t>
      </w:r>
      <w:r>
        <w:rPr>
          <w:color w:val="231F1F"/>
          <w:sz w:val="22"/>
        </w:rPr>
        <w:t>realizar</w:t>
      </w:r>
      <w:r>
        <w:rPr>
          <w:color w:val="231F1F"/>
          <w:spacing w:val="24"/>
          <w:sz w:val="22"/>
        </w:rPr>
        <w:t> </w:t>
      </w:r>
      <w:r>
        <w:rPr>
          <w:color w:val="231F1F"/>
          <w:sz w:val="22"/>
        </w:rPr>
        <w:t>la</w:t>
      </w:r>
      <w:r>
        <w:rPr>
          <w:color w:val="231F1F"/>
          <w:spacing w:val="24"/>
          <w:sz w:val="22"/>
        </w:rPr>
        <w:t> </w:t>
      </w:r>
      <w:r>
        <w:rPr>
          <w:color w:val="231F1F"/>
          <w:sz w:val="22"/>
        </w:rPr>
        <w:t>profilaxis</w:t>
      </w:r>
      <w:r>
        <w:rPr>
          <w:color w:val="231F1F"/>
          <w:spacing w:val="24"/>
          <w:sz w:val="22"/>
        </w:rPr>
        <w:t> </w:t>
      </w:r>
      <w:r>
        <w:rPr>
          <w:color w:val="231F1F"/>
          <w:sz w:val="22"/>
        </w:rPr>
        <w:t>neonatal</w:t>
      </w:r>
      <w:r>
        <w:rPr>
          <w:color w:val="231F1F"/>
          <w:spacing w:val="24"/>
          <w:sz w:val="22"/>
        </w:rPr>
        <w:t> </w:t>
      </w:r>
      <w:r>
        <w:rPr>
          <w:color w:val="231F1F"/>
          <w:sz w:val="22"/>
        </w:rPr>
        <w:t>con</w:t>
      </w:r>
      <w:r>
        <w:rPr>
          <w:color w:val="231F1F"/>
          <w:spacing w:val="24"/>
          <w:sz w:val="22"/>
        </w:rPr>
        <w:t> </w:t>
      </w:r>
      <w:r>
        <w:rPr>
          <w:color w:val="231F1F"/>
          <w:sz w:val="22"/>
        </w:rPr>
        <w:t>vitamina</w:t>
      </w:r>
      <w:r>
        <w:rPr>
          <w:color w:val="231F1F"/>
          <w:spacing w:val="24"/>
          <w:sz w:val="22"/>
        </w:rPr>
        <w:t> </w:t>
      </w:r>
      <w:r>
        <w:rPr>
          <w:color w:val="231F1F"/>
          <w:spacing w:val="-5"/>
          <w:sz w:val="22"/>
        </w:rPr>
        <w:t>K?</w:t>
      </w:r>
    </w:p>
    <w:p>
      <w:pPr>
        <w:pStyle w:val="ListParagraph"/>
        <w:numPr>
          <w:ilvl w:val="0"/>
          <w:numId w:val="3"/>
        </w:numPr>
        <w:tabs>
          <w:tab w:pos="665" w:val="left" w:leader="none"/>
        </w:tabs>
        <w:spacing w:line="240" w:lineRule="auto" w:before="169" w:after="0"/>
        <w:ind w:left="665" w:right="0" w:hanging="383"/>
        <w:jc w:val="left"/>
        <w:rPr>
          <w:sz w:val="22"/>
        </w:rPr>
      </w:pPr>
      <w:r>
        <w:rPr>
          <w:color w:val="231F1F"/>
          <w:w w:val="105"/>
          <w:sz w:val="22"/>
        </w:rPr>
        <w:t>¿Cuál</w:t>
      </w:r>
      <w:r>
        <w:rPr>
          <w:color w:val="231F1F"/>
          <w:spacing w:val="-5"/>
          <w:w w:val="105"/>
          <w:sz w:val="22"/>
        </w:rPr>
        <w:t> </w:t>
      </w:r>
      <w:r>
        <w:rPr>
          <w:color w:val="231F1F"/>
          <w:w w:val="105"/>
          <w:sz w:val="22"/>
        </w:rPr>
        <w:t>es la</w:t>
      </w:r>
      <w:r>
        <w:rPr>
          <w:color w:val="231F1F"/>
          <w:spacing w:val="-1"/>
          <w:w w:val="105"/>
          <w:sz w:val="22"/>
        </w:rPr>
        <w:t> </w:t>
      </w:r>
      <w:r>
        <w:rPr>
          <w:color w:val="231F1F"/>
          <w:w w:val="105"/>
          <w:sz w:val="22"/>
        </w:rPr>
        <w:t>vía</w:t>
      </w:r>
      <w:r>
        <w:rPr>
          <w:color w:val="231F1F"/>
          <w:spacing w:val="-2"/>
          <w:w w:val="105"/>
          <w:sz w:val="22"/>
        </w:rPr>
        <w:t> </w:t>
      </w:r>
      <w:r>
        <w:rPr>
          <w:color w:val="231F1F"/>
          <w:w w:val="105"/>
          <w:sz w:val="22"/>
        </w:rPr>
        <w:t>más</w:t>
      </w:r>
      <w:r>
        <w:rPr>
          <w:color w:val="231F1F"/>
          <w:spacing w:val="-1"/>
          <w:w w:val="105"/>
          <w:sz w:val="22"/>
        </w:rPr>
        <w:t> </w:t>
      </w:r>
      <w:r>
        <w:rPr>
          <w:color w:val="231F1F"/>
          <w:w w:val="105"/>
          <w:sz w:val="22"/>
        </w:rPr>
        <w:t>recomendable en</w:t>
      </w:r>
      <w:r>
        <w:rPr>
          <w:color w:val="231F1F"/>
          <w:spacing w:val="-3"/>
          <w:w w:val="105"/>
          <w:sz w:val="22"/>
        </w:rPr>
        <w:t> </w:t>
      </w:r>
      <w:r>
        <w:rPr>
          <w:color w:val="231F1F"/>
          <w:w w:val="105"/>
          <w:sz w:val="22"/>
        </w:rPr>
        <w:t>la profilaxis</w:t>
      </w:r>
      <w:r>
        <w:rPr>
          <w:color w:val="231F1F"/>
          <w:spacing w:val="-3"/>
          <w:w w:val="105"/>
          <w:sz w:val="22"/>
        </w:rPr>
        <w:t> </w:t>
      </w:r>
      <w:r>
        <w:rPr>
          <w:color w:val="231F1F"/>
          <w:w w:val="105"/>
          <w:sz w:val="22"/>
        </w:rPr>
        <w:t>con</w:t>
      </w:r>
      <w:r>
        <w:rPr>
          <w:color w:val="231F1F"/>
          <w:spacing w:val="-2"/>
          <w:w w:val="105"/>
          <w:sz w:val="22"/>
        </w:rPr>
        <w:t> </w:t>
      </w:r>
      <w:r>
        <w:rPr>
          <w:color w:val="231F1F"/>
          <w:w w:val="105"/>
          <w:sz w:val="22"/>
        </w:rPr>
        <w:t>vitamina</w:t>
      </w:r>
      <w:r>
        <w:rPr>
          <w:color w:val="231F1F"/>
          <w:spacing w:val="-1"/>
          <w:w w:val="105"/>
          <w:sz w:val="22"/>
        </w:rPr>
        <w:t> </w:t>
      </w:r>
      <w:r>
        <w:rPr>
          <w:color w:val="231F1F"/>
          <w:spacing w:val="-5"/>
          <w:w w:val="105"/>
          <w:sz w:val="22"/>
        </w:rPr>
        <w:t>K?</w:t>
      </w:r>
    </w:p>
    <w:p>
      <w:pPr>
        <w:pStyle w:val="BodyText"/>
      </w:pPr>
    </w:p>
    <w:p>
      <w:pPr>
        <w:pStyle w:val="BodyText"/>
        <w:spacing w:before="50"/>
      </w:pPr>
    </w:p>
    <w:p>
      <w:pPr>
        <w:pStyle w:val="Heading3"/>
        <w:numPr>
          <w:ilvl w:val="0"/>
          <w:numId w:val="2"/>
        </w:numPr>
        <w:tabs>
          <w:tab w:pos="891" w:val="left" w:leader="none"/>
        </w:tabs>
        <w:spacing w:line="240" w:lineRule="auto" w:before="0" w:after="0"/>
        <w:ind w:left="891" w:right="0" w:hanging="610"/>
        <w:jc w:val="left"/>
      </w:pPr>
      <w:r>
        <w:rPr>
          <w:color w:val="231F1F"/>
          <w:w w:val="110"/>
        </w:rPr>
        <w:t>Alivio</w:t>
      </w:r>
      <w:r>
        <w:rPr>
          <w:color w:val="231F1F"/>
          <w:spacing w:val="-20"/>
          <w:w w:val="110"/>
        </w:rPr>
        <w:t> </w:t>
      </w:r>
      <w:r>
        <w:rPr>
          <w:color w:val="231F1F"/>
          <w:w w:val="110"/>
        </w:rPr>
        <w:t>del</w:t>
      </w:r>
      <w:r>
        <w:rPr>
          <w:color w:val="231F1F"/>
          <w:spacing w:val="-20"/>
          <w:w w:val="110"/>
        </w:rPr>
        <w:t> </w:t>
      </w:r>
      <w:r>
        <w:rPr>
          <w:color w:val="231F1F"/>
          <w:w w:val="110"/>
        </w:rPr>
        <w:t>dolor</w:t>
      </w:r>
      <w:r>
        <w:rPr>
          <w:color w:val="231F1F"/>
          <w:spacing w:val="-18"/>
          <w:w w:val="110"/>
        </w:rPr>
        <w:t> </w:t>
      </w:r>
      <w:r>
        <w:rPr>
          <w:color w:val="231F1F"/>
          <w:w w:val="110"/>
        </w:rPr>
        <w:t>durante</w:t>
      </w:r>
      <w:r>
        <w:rPr>
          <w:color w:val="231F1F"/>
          <w:spacing w:val="-20"/>
          <w:w w:val="110"/>
        </w:rPr>
        <w:t> </w:t>
      </w:r>
      <w:r>
        <w:rPr>
          <w:color w:val="231F1F"/>
          <w:w w:val="110"/>
        </w:rPr>
        <w:t>el</w:t>
      </w:r>
      <w:r>
        <w:rPr>
          <w:color w:val="231F1F"/>
          <w:spacing w:val="-18"/>
          <w:w w:val="110"/>
        </w:rPr>
        <w:t> </w:t>
      </w:r>
      <w:r>
        <w:rPr>
          <w:color w:val="231F1F"/>
          <w:spacing w:val="-2"/>
          <w:w w:val="110"/>
        </w:rPr>
        <w:t>parto</w:t>
      </w:r>
    </w:p>
    <w:p>
      <w:pPr>
        <w:pStyle w:val="Heading4"/>
        <w:spacing w:before="183"/>
      </w:pPr>
      <w:r>
        <w:rPr>
          <w:color w:val="231F1F"/>
          <w:w w:val="105"/>
        </w:rPr>
        <w:t>Dolor,</w:t>
      </w:r>
      <w:r>
        <w:rPr>
          <w:color w:val="231F1F"/>
          <w:spacing w:val="-5"/>
          <w:w w:val="105"/>
        </w:rPr>
        <w:t> </w:t>
      </w:r>
      <w:r>
        <w:rPr>
          <w:color w:val="231F1F"/>
          <w:w w:val="105"/>
        </w:rPr>
        <w:t>analgesia</w:t>
      </w:r>
      <w:r>
        <w:rPr>
          <w:color w:val="231F1F"/>
          <w:spacing w:val="-3"/>
          <w:w w:val="105"/>
        </w:rPr>
        <w:t> </w:t>
      </w:r>
      <w:r>
        <w:rPr>
          <w:color w:val="231F1F"/>
          <w:w w:val="105"/>
        </w:rPr>
        <w:t>y</w:t>
      </w:r>
      <w:r>
        <w:rPr>
          <w:color w:val="231F1F"/>
          <w:spacing w:val="-2"/>
          <w:w w:val="105"/>
        </w:rPr>
        <w:t> </w:t>
      </w:r>
      <w:r>
        <w:rPr>
          <w:color w:val="231F1F"/>
          <w:w w:val="105"/>
        </w:rPr>
        <w:t>satisfacción</w:t>
      </w:r>
      <w:r>
        <w:rPr>
          <w:color w:val="231F1F"/>
          <w:spacing w:val="-3"/>
          <w:w w:val="105"/>
        </w:rPr>
        <w:t> </w:t>
      </w:r>
      <w:r>
        <w:rPr>
          <w:color w:val="231F1F"/>
          <w:spacing w:val="-2"/>
          <w:w w:val="105"/>
        </w:rPr>
        <w:t>materna</w:t>
      </w:r>
    </w:p>
    <w:p>
      <w:pPr>
        <w:pStyle w:val="ListParagraph"/>
        <w:numPr>
          <w:ilvl w:val="0"/>
          <w:numId w:val="3"/>
        </w:numPr>
        <w:tabs>
          <w:tab w:pos="665" w:val="left" w:leader="none"/>
        </w:tabs>
        <w:spacing w:line="240" w:lineRule="auto" w:before="228" w:after="0"/>
        <w:ind w:left="665" w:right="0" w:hanging="383"/>
        <w:jc w:val="left"/>
        <w:rPr>
          <w:sz w:val="22"/>
        </w:rPr>
      </w:pPr>
      <w:r>
        <w:rPr>
          <w:color w:val="231F1F"/>
          <w:w w:val="105"/>
          <w:sz w:val="22"/>
        </w:rPr>
        <w:t>¿Cómo influyen</w:t>
      </w:r>
      <w:r>
        <w:rPr>
          <w:color w:val="231F1F"/>
          <w:spacing w:val="-1"/>
          <w:w w:val="105"/>
          <w:sz w:val="22"/>
        </w:rPr>
        <w:t> </w:t>
      </w:r>
      <w:r>
        <w:rPr>
          <w:color w:val="231F1F"/>
          <w:w w:val="105"/>
          <w:sz w:val="22"/>
        </w:rPr>
        <w:t>el</w:t>
      </w:r>
      <w:r>
        <w:rPr>
          <w:color w:val="231F1F"/>
          <w:spacing w:val="1"/>
          <w:w w:val="105"/>
          <w:sz w:val="22"/>
        </w:rPr>
        <w:t> </w:t>
      </w:r>
      <w:r>
        <w:rPr>
          <w:color w:val="231F1F"/>
          <w:w w:val="105"/>
          <w:sz w:val="22"/>
        </w:rPr>
        <w:t>dolor</w:t>
      </w:r>
      <w:r>
        <w:rPr>
          <w:color w:val="231F1F"/>
          <w:spacing w:val="-1"/>
          <w:w w:val="105"/>
          <w:sz w:val="22"/>
        </w:rPr>
        <w:t> </w:t>
      </w:r>
      <w:r>
        <w:rPr>
          <w:color w:val="231F1F"/>
          <w:w w:val="105"/>
          <w:sz w:val="22"/>
        </w:rPr>
        <w:t>durante el parto</w:t>
      </w:r>
      <w:r>
        <w:rPr>
          <w:color w:val="231F1F"/>
          <w:spacing w:val="-2"/>
          <w:w w:val="105"/>
          <w:sz w:val="22"/>
        </w:rPr>
        <w:t> </w:t>
      </w:r>
      <w:r>
        <w:rPr>
          <w:color w:val="231F1F"/>
          <w:w w:val="105"/>
          <w:sz w:val="22"/>
        </w:rPr>
        <w:t>y</w:t>
      </w:r>
      <w:r>
        <w:rPr>
          <w:color w:val="231F1F"/>
          <w:spacing w:val="3"/>
          <w:w w:val="105"/>
          <w:sz w:val="22"/>
        </w:rPr>
        <w:t> </w:t>
      </w:r>
      <w:r>
        <w:rPr>
          <w:color w:val="231F1F"/>
          <w:w w:val="105"/>
          <w:sz w:val="22"/>
        </w:rPr>
        <w:t>su</w:t>
      </w:r>
      <w:r>
        <w:rPr>
          <w:color w:val="231F1F"/>
          <w:spacing w:val="1"/>
          <w:w w:val="105"/>
          <w:sz w:val="22"/>
        </w:rPr>
        <w:t> </w:t>
      </w:r>
      <w:r>
        <w:rPr>
          <w:color w:val="231F1F"/>
          <w:w w:val="105"/>
          <w:sz w:val="22"/>
        </w:rPr>
        <w:t>alivio</w:t>
      </w:r>
      <w:r>
        <w:rPr>
          <w:color w:val="231F1F"/>
          <w:spacing w:val="1"/>
          <w:w w:val="105"/>
          <w:sz w:val="22"/>
        </w:rPr>
        <w:t> </w:t>
      </w:r>
      <w:r>
        <w:rPr>
          <w:color w:val="231F1F"/>
          <w:w w:val="105"/>
          <w:sz w:val="22"/>
        </w:rPr>
        <w:t>en</w:t>
      </w:r>
      <w:r>
        <w:rPr>
          <w:color w:val="231F1F"/>
          <w:spacing w:val="2"/>
          <w:w w:val="105"/>
          <w:sz w:val="22"/>
        </w:rPr>
        <w:t> </w:t>
      </w:r>
      <w:r>
        <w:rPr>
          <w:color w:val="231F1F"/>
          <w:w w:val="105"/>
          <w:sz w:val="22"/>
        </w:rPr>
        <w:t>la</w:t>
      </w:r>
      <w:r>
        <w:rPr>
          <w:color w:val="231F1F"/>
          <w:spacing w:val="2"/>
          <w:w w:val="105"/>
          <w:sz w:val="22"/>
        </w:rPr>
        <w:t> </w:t>
      </w:r>
      <w:r>
        <w:rPr>
          <w:color w:val="231F1F"/>
          <w:w w:val="105"/>
          <w:sz w:val="22"/>
        </w:rPr>
        <w:t>satisfacción</w:t>
      </w:r>
      <w:r>
        <w:rPr>
          <w:color w:val="231F1F"/>
          <w:spacing w:val="-1"/>
          <w:w w:val="105"/>
          <w:sz w:val="22"/>
        </w:rPr>
        <w:t> </w:t>
      </w:r>
      <w:r>
        <w:rPr>
          <w:color w:val="231F1F"/>
          <w:w w:val="105"/>
          <w:sz w:val="22"/>
        </w:rPr>
        <w:t>de</w:t>
      </w:r>
      <w:r>
        <w:rPr>
          <w:color w:val="231F1F"/>
          <w:spacing w:val="1"/>
          <w:w w:val="105"/>
          <w:sz w:val="22"/>
        </w:rPr>
        <w:t> </w:t>
      </w:r>
      <w:r>
        <w:rPr>
          <w:color w:val="231F1F"/>
          <w:w w:val="105"/>
          <w:sz w:val="22"/>
        </w:rPr>
        <w:t>la</w:t>
      </w:r>
      <w:r>
        <w:rPr>
          <w:color w:val="231F1F"/>
          <w:spacing w:val="1"/>
          <w:w w:val="105"/>
          <w:sz w:val="22"/>
        </w:rPr>
        <w:t> </w:t>
      </w:r>
      <w:r>
        <w:rPr>
          <w:color w:val="231F1F"/>
          <w:spacing w:val="-2"/>
          <w:w w:val="105"/>
          <w:sz w:val="22"/>
        </w:rPr>
        <w:t>mujer?</w:t>
      </w:r>
    </w:p>
    <w:p>
      <w:pPr>
        <w:pStyle w:val="ListParagraph"/>
        <w:spacing w:after="0" w:line="240" w:lineRule="auto"/>
        <w:jc w:val="left"/>
        <w:rPr>
          <w:sz w:val="22"/>
        </w:rPr>
        <w:sectPr>
          <w:pgSz w:w="11900" w:h="16840"/>
          <w:pgMar w:header="0" w:footer="622" w:top="1540" w:bottom="820" w:left="1417" w:right="1559"/>
        </w:sectPr>
      </w:pPr>
    </w:p>
    <w:p>
      <w:pPr>
        <w:pStyle w:val="Heading4"/>
        <w:spacing w:before="59"/>
      </w:pPr>
      <w:r>
        <w:rPr>
          <w:color w:val="231F1F"/>
        </w:rPr>
        <w:t>Métodos</w:t>
      </w:r>
      <w:r>
        <w:rPr>
          <w:color w:val="231F1F"/>
          <w:spacing w:val="32"/>
        </w:rPr>
        <w:t> </w:t>
      </w:r>
      <w:r>
        <w:rPr>
          <w:color w:val="231F1F"/>
        </w:rPr>
        <w:t>no</w:t>
      </w:r>
      <w:r>
        <w:rPr>
          <w:color w:val="231F1F"/>
          <w:spacing w:val="36"/>
        </w:rPr>
        <w:t> </w:t>
      </w:r>
      <w:r>
        <w:rPr>
          <w:color w:val="231F1F"/>
        </w:rPr>
        <w:t>farmacológicos</w:t>
      </w:r>
      <w:r>
        <w:rPr>
          <w:color w:val="231F1F"/>
          <w:spacing w:val="35"/>
        </w:rPr>
        <w:t> </w:t>
      </w:r>
      <w:r>
        <w:rPr>
          <w:color w:val="231F1F"/>
        </w:rPr>
        <w:t>de</w:t>
      </w:r>
      <w:r>
        <w:rPr>
          <w:color w:val="231F1F"/>
          <w:spacing w:val="35"/>
        </w:rPr>
        <w:t> </w:t>
      </w:r>
      <w:r>
        <w:rPr>
          <w:color w:val="231F1F"/>
        </w:rPr>
        <w:t>alivio</w:t>
      </w:r>
      <w:r>
        <w:rPr>
          <w:color w:val="231F1F"/>
          <w:spacing w:val="37"/>
        </w:rPr>
        <w:t> </w:t>
      </w:r>
      <w:r>
        <w:rPr>
          <w:color w:val="231F1F"/>
        </w:rPr>
        <w:t>del</w:t>
      </w:r>
      <w:r>
        <w:rPr>
          <w:color w:val="231F1F"/>
          <w:spacing w:val="34"/>
        </w:rPr>
        <w:t> </w:t>
      </w:r>
      <w:r>
        <w:rPr>
          <w:color w:val="231F1F"/>
          <w:spacing w:val="-2"/>
        </w:rPr>
        <w:t>dolor</w:t>
      </w:r>
    </w:p>
    <w:p>
      <w:pPr>
        <w:pStyle w:val="ListParagraph"/>
        <w:numPr>
          <w:ilvl w:val="0"/>
          <w:numId w:val="3"/>
        </w:numPr>
        <w:tabs>
          <w:tab w:pos="665" w:val="left" w:leader="none"/>
          <w:tab w:pos="668" w:val="left" w:leader="none"/>
        </w:tabs>
        <w:spacing w:line="264" w:lineRule="auto" w:before="204" w:after="0"/>
        <w:ind w:left="668" w:right="217" w:hanging="386"/>
        <w:jc w:val="left"/>
        <w:rPr>
          <w:sz w:val="22"/>
        </w:rPr>
      </w:pPr>
      <w:r>
        <w:rPr>
          <w:color w:val="231F1F"/>
          <w:w w:val="110"/>
          <w:sz w:val="22"/>
        </w:rPr>
        <w:t>¿Cuál</w:t>
      </w:r>
      <w:r>
        <w:rPr>
          <w:color w:val="231F1F"/>
          <w:spacing w:val="-14"/>
          <w:w w:val="110"/>
          <w:sz w:val="22"/>
        </w:rPr>
        <w:t> </w:t>
      </w:r>
      <w:r>
        <w:rPr>
          <w:color w:val="231F1F"/>
          <w:w w:val="110"/>
          <w:sz w:val="22"/>
        </w:rPr>
        <w:t>es</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efectividad</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inmersión</w:t>
      </w:r>
      <w:r>
        <w:rPr>
          <w:color w:val="231F1F"/>
          <w:spacing w:val="-14"/>
          <w:w w:val="110"/>
          <w:sz w:val="22"/>
        </w:rPr>
        <w:t> </w:t>
      </w:r>
      <w:r>
        <w:rPr>
          <w:color w:val="231F1F"/>
          <w:w w:val="110"/>
          <w:sz w:val="22"/>
        </w:rPr>
        <w:t>en</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agua</w:t>
      </w:r>
      <w:r>
        <w:rPr>
          <w:color w:val="231F1F"/>
          <w:spacing w:val="-14"/>
          <w:w w:val="110"/>
          <w:sz w:val="22"/>
        </w:rPr>
        <w:t> </w:t>
      </w:r>
      <w:r>
        <w:rPr>
          <w:color w:val="231F1F"/>
          <w:w w:val="110"/>
          <w:sz w:val="22"/>
        </w:rPr>
        <w:t>durante</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período</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dilatación</w:t>
      </w:r>
      <w:r>
        <w:rPr>
          <w:color w:val="231F1F"/>
          <w:spacing w:val="-14"/>
          <w:w w:val="110"/>
          <w:sz w:val="22"/>
        </w:rPr>
        <w:t> </w:t>
      </w:r>
      <w:r>
        <w:rPr>
          <w:color w:val="231F1F"/>
          <w:w w:val="110"/>
          <w:sz w:val="22"/>
        </w:rPr>
        <w:t>en el alivio del dolor?</w:t>
      </w:r>
    </w:p>
    <w:p>
      <w:pPr>
        <w:pStyle w:val="ListParagraph"/>
        <w:numPr>
          <w:ilvl w:val="0"/>
          <w:numId w:val="3"/>
        </w:numPr>
        <w:tabs>
          <w:tab w:pos="665" w:val="left" w:leader="none"/>
        </w:tabs>
        <w:spacing w:line="240" w:lineRule="auto" w:before="115" w:after="0"/>
        <w:ind w:left="665" w:right="0" w:hanging="383"/>
        <w:jc w:val="left"/>
        <w:rPr>
          <w:sz w:val="22"/>
        </w:rPr>
      </w:pPr>
      <w:r>
        <w:rPr>
          <w:color w:val="231F1F"/>
          <w:sz w:val="22"/>
        </w:rPr>
        <w:t>¿Cuál</w:t>
      </w:r>
      <w:r>
        <w:rPr>
          <w:color w:val="231F1F"/>
          <w:spacing w:val="27"/>
          <w:sz w:val="22"/>
        </w:rPr>
        <w:t> </w:t>
      </w:r>
      <w:r>
        <w:rPr>
          <w:color w:val="231F1F"/>
          <w:sz w:val="22"/>
        </w:rPr>
        <w:t>es</w:t>
      </w:r>
      <w:r>
        <w:rPr>
          <w:color w:val="231F1F"/>
          <w:spacing w:val="30"/>
          <w:sz w:val="22"/>
        </w:rPr>
        <w:t> </w:t>
      </w:r>
      <w:r>
        <w:rPr>
          <w:color w:val="231F1F"/>
          <w:sz w:val="22"/>
        </w:rPr>
        <w:t>la</w:t>
      </w:r>
      <w:r>
        <w:rPr>
          <w:color w:val="231F1F"/>
          <w:spacing w:val="30"/>
          <w:sz w:val="22"/>
        </w:rPr>
        <w:t> </w:t>
      </w:r>
      <w:r>
        <w:rPr>
          <w:color w:val="231F1F"/>
          <w:sz w:val="22"/>
        </w:rPr>
        <w:t>efectividad</w:t>
      </w:r>
      <w:r>
        <w:rPr>
          <w:color w:val="231F1F"/>
          <w:spacing w:val="30"/>
          <w:sz w:val="22"/>
        </w:rPr>
        <w:t> </w:t>
      </w:r>
      <w:r>
        <w:rPr>
          <w:color w:val="231F1F"/>
          <w:sz w:val="22"/>
        </w:rPr>
        <w:t>del</w:t>
      </w:r>
      <w:r>
        <w:rPr>
          <w:color w:val="231F1F"/>
          <w:spacing w:val="26"/>
          <w:sz w:val="22"/>
        </w:rPr>
        <w:t> </w:t>
      </w:r>
      <w:r>
        <w:rPr>
          <w:color w:val="231F1F"/>
          <w:sz w:val="22"/>
        </w:rPr>
        <w:t>masaje</w:t>
      </w:r>
      <w:r>
        <w:rPr>
          <w:color w:val="231F1F"/>
          <w:spacing w:val="31"/>
          <w:sz w:val="22"/>
        </w:rPr>
        <w:t> </w:t>
      </w:r>
      <w:r>
        <w:rPr>
          <w:color w:val="231F1F"/>
          <w:sz w:val="22"/>
        </w:rPr>
        <w:t>para</w:t>
      </w:r>
      <w:r>
        <w:rPr>
          <w:color w:val="231F1F"/>
          <w:spacing w:val="30"/>
          <w:sz w:val="22"/>
        </w:rPr>
        <w:t> </w:t>
      </w:r>
      <w:r>
        <w:rPr>
          <w:color w:val="231F1F"/>
          <w:sz w:val="22"/>
        </w:rPr>
        <w:t>el</w:t>
      </w:r>
      <w:r>
        <w:rPr>
          <w:color w:val="231F1F"/>
          <w:spacing w:val="30"/>
          <w:sz w:val="22"/>
        </w:rPr>
        <w:t> </w:t>
      </w:r>
      <w:r>
        <w:rPr>
          <w:color w:val="231F1F"/>
          <w:sz w:val="22"/>
        </w:rPr>
        <w:t>alivio</w:t>
      </w:r>
      <w:r>
        <w:rPr>
          <w:color w:val="231F1F"/>
          <w:spacing w:val="29"/>
          <w:sz w:val="22"/>
        </w:rPr>
        <w:t> </w:t>
      </w:r>
      <w:r>
        <w:rPr>
          <w:color w:val="231F1F"/>
          <w:sz w:val="22"/>
        </w:rPr>
        <w:t>del</w:t>
      </w:r>
      <w:r>
        <w:rPr>
          <w:color w:val="231F1F"/>
          <w:spacing w:val="27"/>
          <w:sz w:val="22"/>
        </w:rPr>
        <w:t> </w:t>
      </w:r>
      <w:r>
        <w:rPr>
          <w:color w:val="231F1F"/>
          <w:sz w:val="22"/>
        </w:rPr>
        <w:t>dolor</w:t>
      </w:r>
      <w:r>
        <w:rPr>
          <w:color w:val="231F1F"/>
          <w:spacing w:val="31"/>
          <w:sz w:val="22"/>
        </w:rPr>
        <w:t> </w:t>
      </w:r>
      <w:r>
        <w:rPr>
          <w:color w:val="231F1F"/>
          <w:sz w:val="22"/>
        </w:rPr>
        <w:t>durante</w:t>
      </w:r>
      <w:r>
        <w:rPr>
          <w:color w:val="231F1F"/>
          <w:spacing w:val="30"/>
          <w:sz w:val="22"/>
        </w:rPr>
        <w:t> </w:t>
      </w:r>
      <w:r>
        <w:rPr>
          <w:color w:val="231F1F"/>
          <w:sz w:val="22"/>
        </w:rPr>
        <w:t>el</w:t>
      </w:r>
      <w:r>
        <w:rPr>
          <w:color w:val="231F1F"/>
          <w:spacing w:val="28"/>
          <w:sz w:val="22"/>
        </w:rPr>
        <w:t> </w:t>
      </w:r>
      <w:r>
        <w:rPr>
          <w:color w:val="231F1F"/>
          <w:spacing w:val="-2"/>
          <w:sz w:val="22"/>
        </w:rPr>
        <w:t>parto?</w:t>
      </w:r>
    </w:p>
    <w:p>
      <w:pPr>
        <w:pStyle w:val="ListParagraph"/>
        <w:numPr>
          <w:ilvl w:val="0"/>
          <w:numId w:val="3"/>
        </w:numPr>
        <w:tabs>
          <w:tab w:pos="665" w:val="left" w:leader="none"/>
          <w:tab w:pos="668" w:val="left" w:leader="none"/>
        </w:tabs>
        <w:spacing w:line="264" w:lineRule="auto" w:before="150" w:after="0"/>
        <w:ind w:left="668" w:right="235" w:hanging="386"/>
        <w:jc w:val="left"/>
        <w:rPr>
          <w:sz w:val="22"/>
        </w:rPr>
      </w:pPr>
      <w:r>
        <w:rPr>
          <w:color w:val="231F1F"/>
          <w:w w:val="110"/>
          <w:sz w:val="22"/>
        </w:rPr>
        <w:t>¿Cuál</w:t>
      </w:r>
      <w:r>
        <w:rPr>
          <w:color w:val="231F1F"/>
          <w:spacing w:val="-8"/>
          <w:w w:val="110"/>
          <w:sz w:val="22"/>
        </w:rPr>
        <w:t> </w:t>
      </w:r>
      <w:r>
        <w:rPr>
          <w:color w:val="231F1F"/>
          <w:w w:val="110"/>
          <w:sz w:val="22"/>
        </w:rPr>
        <w:t>es</w:t>
      </w:r>
      <w:r>
        <w:rPr>
          <w:color w:val="231F1F"/>
          <w:spacing w:val="-8"/>
          <w:w w:val="110"/>
          <w:sz w:val="22"/>
        </w:rPr>
        <w:t> </w:t>
      </w:r>
      <w:r>
        <w:rPr>
          <w:color w:val="231F1F"/>
          <w:w w:val="110"/>
          <w:sz w:val="22"/>
        </w:rPr>
        <w:t>la</w:t>
      </w:r>
      <w:r>
        <w:rPr>
          <w:color w:val="231F1F"/>
          <w:spacing w:val="-8"/>
          <w:w w:val="110"/>
          <w:sz w:val="22"/>
        </w:rPr>
        <w:t> </w:t>
      </w:r>
      <w:r>
        <w:rPr>
          <w:color w:val="231F1F"/>
          <w:w w:val="110"/>
          <w:sz w:val="22"/>
        </w:rPr>
        <w:t>efectividad</w:t>
      </w:r>
      <w:r>
        <w:rPr>
          <w:color w:val="231F1F"/>
          <w:spacing w:val="-8"/>
          <w:w w:val="110"/>
          <w:sz w:val="22"/>
        </w:rPr>
        <w:t> </w:t>
      </w:r>
      <w:r>
        <w:rPr>
          <w:color w:val="231F1F"/>
          <w:w w:val="110"/>
          <w:sz w:val="22"/>
        </w:rPr>
        <w:t>del</w:t>
      </w:r>
      <w:r>
        <w:rPr>
          <w:color w:val="231F1F"/>
          <w:spacing w:val="-10"/>
          <w:w w:val="110"/>
          <w:sz w:val="22"/>
        </w:rPr>
        <w:t> </w:t>
      </w:r>
      <w:r>
        <w:rPr>
          <w:color w:val="231F1F"/>
          <w:w w:val="110"/>
          <w:sz w:val="22"/>
        </w:rPr>
        <w:t>uso</w:t>
      </w:r>
      <w:r>
        <w:rPr>
          <w:color w:val="231F1F"/>
          <w:spacing w:val="-8"/>
          <w:w w:val="110"/>
          <w:sz w:val="22"/>
        </w:rPr>
        <w:t> </w:t>
      </w:r>
      <w:r>
        <w:rPr>
          <w:color w:val="231F1F"/>
          <w:w w:val="110"/>
          <w:sz w:val="22"/>
        </w:rPr>
        <w:t>de</w:t>
      </w:r>
      <w:r>
        <w:rPr>
          <w:color w:val="231F1F"/>
          <w:spacing w:val="-8"/>
          <w:w w:val="110"/>
          <w:sz w:val="22"/>
        </w:rPr>
        <w:t> </w:t>
      </w:r>
      <w:r>
        <w:rPr>
          <w:color w:val="231F1F"/>
          <w:w w:val="110"/>
          <w:sz w:val="22"/>
        </w:rPr>
        <w:t>pelotas</w:t>
      </w:r>
      <w:r>
        <w:rPr>
          <w:color w:val="231F1F"/>
          <w:spacing w:val="-8"/>
          <w:w w:val="110"/>
          <w:sz w:val="22"/>
        </w:rPr>
        <w:t> </w:t>
      </w:r>
      <w:r>
        <w:rPr>
          <w:color w:val="231F1F"/>
          <w:w w:val="110"/>
          <w:sz w:val="22"/>
        </w:rPr>
        <w:t>de</w:t>
      </w:r>
      <w:r>
        <w:rPr>
          <w:color w:val="231F1F"/>
          <w:spacing w:val="-8"/>
          <w:w w:val="110"/>
          <w:sz w:val="22"/>
        </w:rPr>
        <w:t> </w:t>
      </w:r>
      <w:r>
        <w:rPr>
          <w:color w:val="231F1F"/>
          <w:w w:val="110"/>
          <w:sz w:val="22"/>
        </w:rPr>
        <w:t>parto</w:t>
      </w:r>
      <w:r>
        <w:rPr>
          <w:color w:val="231F1F"/>
          <w:spacing w:val="-8"/>
          <w:w w:val="110"/>
          <w:sz w:val="22"/>
        </w:rPr>
        <w:t> </w:t>
      </w:r>
      <w:r>
        <w:rPr>
          <w:color w:val="231F1F"/>
          <w:w w:val="110"/>
          <w:sz w:val="22"/>
        </w:rPr>
        <w:t>para</w:t>
      </w:r>
      <w:r>
        <w:rPr>
          <w:color w:val="231F1F"/>
          <w:spacing w:val="-8"/>
          <w:w w:val="110"/>
          <w:sz w:val="22"/>
        </w:rPr>
        <w:t> </w:t>
      </w:r>
      <w:r>
        <w:rPr>
          <w:color w:val="231F1F"/>
          <w:w w:val="110"/>
          <w:sz w:val="22"/>
        </w:rPr>
        <w:t>el</w:t>
      </w:r>
      <w:r>
        <w:rPr>
          <w:color w:val="231F1F"/>
          <w:spacing w:val="-8"/>
          <w:w w:val="110"/>
          <w:sz w:val="22"/>
        </w:rPr>
        <w:t> </w:t>
      </w:r>
      <w:r>
        <w:rPr>
          <w:color w:val="231F1F"/>
          <w:w w:val="110"/>
          <w:sz w:val="22"/>
        </w:rPr>
        <w:t>alivio</w:t>
      </w:r>
      <w:r>
        <w:rPr>
          <w:color w:val="231F1F"/>
          <w:spacing w:val="-8"/>
          <w:w w:val="110"/>
          <w:sz w:val="22"/>
        </w:rPr>
        <w:t> </w:t>
      </w:r>
      <w:r>
        <w:rPr>
          <w:color w:val="231F1F"/>
          <w:w w:val="110"/>
          <w:sz w:val="22"/>
        </w:rPr>
        <w:t>del</w:t>
      </w:r>
      <w:r>
        <w:rPr>
          <w:color w:val="231F1F"/>
          <w:spacing w:val="-10"/>
          <w:w w:val="110"/>
          <w:sz w:val="22"/>
        </w:rPr>
        <w:t> </w:t>
      </w:r>
      <w:r>
        <w:rPr>
          <w:color w:val="231F1F"/>
          <w:w w:val="110"/>
          <w:sz w:val="22"/>
        </w:rPr>
        <w:t>dolor</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el </w:t>
      </w:r>
      <w:r>
        <w:rPr>
          <w:color w:val="231F1F"/>
          <w:spacing w:val="-2"/>
          <w:w w:val="110"/>
          <w:sz w:val="22"/>
        </w:rPr>
        <w:t>parto?</w:t>
      </w:r>
    </w:p>
    <w:p>
      <w:pPr>
        <w:pStyle w:val="ListParagraph"/>
        <w:numPr>
          <w:ilvl w:val="0"/>
          <w:numId w:val="3"/>
        </w:numPr>
        <w:tabs>
          <w:tab w:pos="665" w:val="left" w:leader="none"/>
          <w:tab w:pos="668" w:val="left" w:leader="none"/>
        </w:tabs>
        <w:spacing w:line="259" w:lineRule="auto" w:before="120" w:after="0"/>
        <w:ind w:left="668" w:right="221" w:hanging="386"/>
        <w:jc w:val="left"/>
        <w:rPr>
          <w:sz w:val="22"/>
        </w:rPr>
      </w:pPr>
      <w:r>
        <w:rPr>
          <w:color w:val="231F1F"/>
          <w:w w:val="110"/>
          <w:sz w:val="22"/>
        </w:rPr>
        <w:t>¿Cuál</w:t>
      </w:r>
      <w:r>
        <w:rPr>
          <w:color w:val="231F1F"/>
          <w:spacing w:val="-16"/>
          <w:w w:val="110"/>
          <w:sz w:val="22"/>
        </w:rPr>
        <w:t> </w:t>
      </w:r>
      <w:r>
        <w:rPr>
          <w:color w:val="231F1F"/>
          <w:w w:val="110"/>
          <w:sz w:val="22"/>
        </w:rPr>
        <w:t>es</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efectividad</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técnicas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relajación</w:t>
      </w:r>
      <w:r>
        <w:rPr>
          <w:color w:val="231F1F"/>
          <w:spacing w:val="-16"/>
          <w:w w:val="110"/>
          <w:sz w:val="22"/>
        </w:rPr>
        <w:t> </w:t>
      </w:r>
      <w:r>
        <w:rPr>
          <w:color w:val="231F1F"/>
          <w:w w:val="110"/>
          <w:sz w:val="22"/>
        </w:rPr>
        <w:t>para</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alivio</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dolor</w:t>
      </w:r>
      <w:r>
        <w:rPr>
          <w:color w:val="231F1F"/>
          <w:spacing w:val="-15"/>
          <w:w w:val="110"/>
          <w:sz w:val="22"/>
        </w:rPr>
        <w:t> </w:t>
      </w:r>
      <w:r>
        <w:rPr>
          <w:color w:val="231F1F"/>
          <w:w w:val="110"/>
          <w:sz w:val="22"/>
        </w:rPr>
        <w:t>durante</w:t>
      </w:r>
      <w:r>
        <w:rPr>
          <w:color w:val="231F1F"/>
          <w:spacing w:val="-15"/>
          <w:w w:val="110"/>
          <w:sz w:val="22"/>
        </w:rPr>
        <w:t> </w:t>
      </w:r>
      <w:r>
        <w:rPr>
          <w:color w:val="231F1F"/>
          <w:w w:val="110"/>
          <w:sz w:val="22"/>
        </w:rPr>
        <w:t>el </w:t>
      </w:r>
      <w:r>
        <w:rPr>
          <w:color w:val="231F1F"/>
          <w:spacing w:val="-2"/>
          <w:w w:val="110"/>
          <w:sz w:val="22"/>
        </w:rPr>
        <w:t>parto?</w:t>
      </w:r>
    </w:p>
    <w:p>
      <w:pPr>
        <w:pStyle w:val="ListParagraph"/>
        <w:numPr>
          <w:ilvl w:val="0"/>
          <w:numId w:val="3"/>
        </w:numPr>
        <w:tabs>
          <w:tab w:pos="555" w:val="left" w:leader="none"/>
          <w:tab w:pos="722" w:val="left" w:leader="none"/>
        </w:tabs>
        <w:spacing w:line="264" w:lineRule="auto" w:before="126" w:after="0"/>
        <w:ind w:left="722" w:right="374" w:hanging="440"/>
        <w:jc w:val="left"/>
        <w:rPr>
          <w:sz w:val="22"/>
        </w:rPr>
      </w:pPr>
      <w:r>
        <w:rPr>
          <w:color w:val="231F1F"/>
          <w:w w:val="105"/>
          <w:sz w:val="22"/>
        </w:rPr>
        <w:t>.</w:t>
      </w:r>
      <w:r>
        <w:rPr>
          <w:color w:val="231F1F"/>
          <w:spacing w:val="66"/>
          <w:w w:val="105"/>
          <w:sz w:val="22"/>
        </w:rPr>
        <w:t> </w:t>
      </w:r>
      <w:r>
        <w:rPr>
          <w:color w:val="231F1F"/>
          <w:w w:val="105"/>
          <w:sz w:val="22"/>
        </w:rPr>
        <w:t>¿Cuál</w:t>
      </w:r>
      <w:r>
        <w:rPr>
          <w:color w:val="231F1F"/>
          <w:spacing w:val="-6"/>
          <w:w w:val="105"/>
          <w:sz w:val="22"/>
        </w:rPr>
        <w:t> </w:t>
      </w:r>
      <w:r>
        <w:rPr>
          <w:color w:val="231F1F"/>
          <w:w w:val="105"/>
          <w:sz w:val="22"/>
        </w:rPr>
        <w:t>es</w:t>
      </w:r>
      <w:r>
        <w:rPr>
          <w:color w:val="231F1F"/>
          <w:spacing w:val="-5"/>
          <w:w w:val="105"/>
          <w:sz w:val="22"/>
        </w:rPr>
        <w:t> </w:t>
      </w:r>
      <w:r>
        <w:rPr>
          <w:color w:val="231F1F"/>
          <w:w w:val="105"/>
          <w:sz w:val="22"/>
        </w:rPr>
        <w:t>la</w:t>
      </w:r>
      <w:r>
        <w:rPr>
          <w:color w:val="231F1F"/>
          <w:spacing w:val="-4"/>
          <w:w w:val="105"/>
          <w:sz w:val="22"/>
        </w:rPr>
        <w:t> </w:t>
      </w:r>
      <w:r>
        <w:rPr>
          <w:color w:val="231F1F"/>
          <w:w w:val="105"/>
          <w:sz w:val="22"/>
        </w:rPr>
        <w:t>efectividad</w:t>
      </w:r>
      <w:r>
        <w:rPr>
          <w:color w:val="231F1F"/>
          <w:spacing w:val="-5"/>
          <w:w w:val="105"/>
          <w:sz w:val="22"/>
        </w:rPr>
        <w:t> </w:t>
      </w:r>
      <w:r>
        <w:rPr>
          <w:color w:val="231F1F"/>
          <w:w w:val="105"/>
          <w:sz w:val="22"/>
        </w:rPr>
        <w:t>de</w:t>
      </w:r>
      <w:r>
        <w:rPr>
          <w:color w:val="231F1F"/>
          <w:spacing w:val="-5"/>
          <w:w w:val="105"/>
          <w:sz w:val="22"/>
        </w:rPr>
        <w:t> </w:t>
      </w:r>
      <w:r>
        <w:rPr>
          <w:color w:val="231F1F"/>
          <w:w w:val="105"/>
          <w:sz w:val="22"/>
        </w:rPr>
        <w:t>la</w:t>
      </w:r>
      <w:r>
        <w:rPr>
          <w:color w:val="231F1F"/>
          <w:spacing w:val="-4"/>
          <w:w w:val="105"/>
          <w:sz w:val="22"/>
        </w:rPr>
        <w:t> </w:t>
      </w:r>
      <w:r>
        <w:rPr>
          <w:color w:val="231F1F"/>
          <w:w w:val="105"/>
          <w:sz w:val="22"/>
        </w:rPr>
        <w:t>inyección</w:t>
      </w:r>
      <w:r>
        <w:rPr>
          <w:color w:val="231F1F"/>
          <w:spacing w:val="-6"/>
          <w:w w:val="105"/>
          <w:sz w:val="22"/>
        </w:rPr>
        <w:t> </w:t>
      </w:r>
      <w:r>
        <w:rPr>
          <w:color w:val="231F1F"/>
          <w:w w:val="105"/>
          <w:sz w:val="22"/>
        </w:rPr>
        <w:t>de</w:t>
      </w:r>
      <w:r>
        <w:rPr>
          <w:color w:val="231F1F"/>
          <w:spacing w:val="-5"/>
          <w:w w:val="105"/>
          <w:sz w:val="22"/>
        </w:rPr>
        <w:t> </w:t>
      </w:r>
      <w:r>
        <w:rPr>
          <w:color w:val="231F1F"/>
          <w:w w:val="105"/>
          <w:sz w:val="22"/>
        </w:rPr>
        <w:t>agua</w:t>
      </w:r>
      <w:r>
        <w:rPr>
          <w:color w:val="231F1F"/>
          <w:spacing w:val="-4"/>
          <w:w w:val="105"/>
          <w:sz w:val="22"/>
        </w:rPr>
        <w:t> </w:t>
      </w:r>
      <w:r>
        <w:rPr>
          <w:color w:val="231F1F"/>
          <w:w w:val="105"/>
          <w:sz w:val="22"/>
        </w:rPr>
        <w:t>estéril</w:t>
      </w:r>
      <w:r>
        <w:rPr>
          <w:color w:val="231F1F"/>
          <w:spacing w:val="-5"/>
          <w:w w:val="105"/>
          <w:sz w:val="22"/>
        </w:rPr>
        <w:t> </w:t>
      </w:r>
      <w:r>
        <w:rPr>
          <w:color w:val="231F1F"/>
          <w:w w:val="105"/>
          <w:sz w:val="22"/>
        </w:rPr>
        <w:t>para</w:t>
      </w:r>
      <w:r>
        <w:rPr>
          <w:color w:val="231F1F"/>
          <w:spacing w:val="-5"/>
          <w:w w:val="105"/>
          <w:sz w:val="22"/>
        </w:rPr>
        <w:t> </w:t>
      </w:r>
      <w:r>
        <w:rPr>
          <w:color w:val="231F1F"/>
          <w:w w:val="105"/>
          <w:sz w:val="22"/>
        </w:rPr>
        <w:t>el</w:t>
      </w:r>
      <w:r>
        <w:rPr>
          <w:color w:val="231F1F"/>
          <w:spacing w:val="-6"/>
          <w:w w:val="105"/>
          <w:sz w:val="22"/>
        </w:rPr>
        <w:t> </w:t>
      </w:r>
      <w:r>
        <w:rPr>
          <w:color w:val="231F1F"/>
          <w:w w:val="105"/>
          <w:sz w:val="22"/>
        </w:rPr>
        <w:t>alivio</w:t>
      </w:r>
      <w:r>
        <w:rPr>
          <w:color w:val="231F1F"/>
          <w:spacing w:val="-5"/>
          <w:w w:val="105"/>
          <w:sz w:val="22"/>
        </w:rPr>
        <w:t> </w:t>
      </w:r>
      <w:r>
        <w:rPr>
          <w:color w:val="231F1F"/>
          <w:w w:val="105"/>
          <w:sz w:val="22"/>
        </w:rPr>
        <w:t>del</w:t>
      </w:r>
      <w:r>
        <w:rPr>
          <w:color w:val="231F1F"/>
          <w:spacing w:val="-6"/>
          <w:w w:val="105"/>
          <w:sz w:val="22"/>
        </w:rPr>
        <w:t> </w:t>
      </w:r>
      <w:r>
        <w:rPr>
          <w:color w:val="231F1F"/>
          <w:w w:val="105"/>
          <w:sz w:val="22"/>
        </w:rPr>
        <w:t>dolor</w:t>
      </w:r>
      <w:r>
        <w:rPr>
          <w:color w:val="231F1F"/>
          <w:spacing w:val="-6"/>
          <w:w w:val="105"/>
          <w:sz w:val="22"/>
        </w:rPr>
        <w:t> </w:t>
      </w:r>
      <w:r>
        <w:rPr>
          <w:color w:val="231F1F"/>
          <w:w w:val="105"/>
          <w:sz w:val="22"/>
        </w:rPr>
        <w:t>durante el parto?</w:t>
      </w:r>
    </w:p>
    <w:p>
      <w:pPr>
        <w:pStyle w:val="ListParagraph"/>
        <w:numPr>
          <w:ilvl w:val="0"/>
          <w:numId w:val="3"/>
        </w:numPr>
        <w:tabs>
          <w:tab w:pos="665" w:val="left" w:leader="none"/>
          <w:tab w:pos="668" w:val="left" w:leader="none"/>
        </w:tabs>
        <w:spacing w:line="273" w:lineRule="auto" w:before="139" w:after="0"/>
        <w:ind w:left="668" w:right="387" w:hanging="386"/>
        <w:jc w:val="left"/>
        <w:rPr>
          <w:sz w:val="22"/>
        </w:rPr>
      </w:pPr>
      <w:r>
        <w:rPr>
          <w:color w:val="231F1F"/>
          <w:sz w:val="22"/>
        </w:rPr>
        <w:t>¿Cuál</w:t>
      </w:r>
      <w:r>
        <w:rPr>
          <w:color w:val="231F1F"/>
          <w:spacing w:val="21"/>
          <w:sz w:val="22"/>
        </w:rPr>
        <w:t> </w:t>
      </w:r>
      <w:r>
        <w:rPr>
          <w:color w:val="231F1F"/>
          <w:sz w:val="22"/>
        </w:rPr>
        <w:t>es</w:t>
      </w:r>
      <w:r>
        <w:rPr>
          <w:color w:val="231F1F"/>
          <w:spacing w:val="21"/>
          <w:sz w:val="22"/>
        </w:rPr>
        <w:t> </w:t>
      </w:r>
      <w:r>
        <w:rPr>
          <w:color w:val="231F1F"/>
          <w:sz w:val="22"/>
        </w:rPr>
        <w:t>la</w:t>
      </w:r>
      <w:r>
        <w:rPr>
          <w:color w:val="231F1F"/>
          <w:spacing w:val="21"/>
          <w:sz w:val="22"/>
        </w:rPr>
        <w:t> </w:t>
      </w:r>
      <w:r>
        <w:rPr>
          <w:color w:val="231F1F"/>
          <w:sz w:val="22"/>
        </w:rPr>
        <w:t>efectividad</w:t>
      </w:r>
      <w:r>
        <w:rPr>
          <w:color w:val="231F1F"/>
          <w:spacing w:val="21"/>
          <w:sz w:val="22"/>
        </w:rPr>
        <w:t> </w:t>
      </w:r>
      <w:r>
        <w:rPr>
          <w:color w:val="231F1F"/>
          <w:sz w:val="22"/>
        </w:rPr>
        <w:t>de</w:t>
      </w:r>
      <w:r>
        <w:rPr>
          <w:color w:val="231F1F"/>
          <w:spacing w:val="21"/>
          <w:sz w:val="22"/>
        </w:rPr>
        <w:t> </w:t>
      </w:r>
      <w:r>
        <w:rPr>
          <w:color w:val="231F1F"/>
          <w:sz w:val="22"/>
        </w:rPr>
        <w:t>la</w:t>
      </w:r>
      <w:r>
        <w:rPr>
          <w:color w:val="231F1F"/>
          <w:spacing w:val="21"/>
          <w:sz w:val="22"/>
        </w:rPr>
        <w:t> </w:t>
      </w:r>
      <w:r>
        <w:rPr>
          <w:color w:val="231F1F"/>
          <w:sz w:val="22"/>
        </w:rPr>
        <w:t>estimulación</w:t>
      </w:r>
      <w:r>
        <w:rPr>
          <w:color w:val="231F1F"/>
          <w:spacing w:val="21"/>
          <w:sz w:val="22"/>
        </w:rPr>
        <w:t> </w:t>
      </w:r>
      <w:r>
        <w:rPr>
          <w:color w:val="231F1F"/>
          <w:sz w:val="22"/>
        </w:rPr>
        <w:t>eléctrica</w:t>
      </w:r>
      <w:r>
        <w:rPr>
          <w:color w:val="231F1F"/>
          <w:spacing w:val="21"/>
          <w:sz w:val="22"/>
        </w:rPr>
        <w:t> </w:t>
      </w:r>
      <w:r>
        <w:rPr>
          <w:color w:val="231F1F"/>
          <w:sz w:val="22"/>
        </w:rPr>
        <w:t>nerviosa</w:t>
      </w:r>
      <w:r>
        <w:rPr>
          <w:color w:val="231F1F"/>
          <w:spacing w:val="21"/>
          <w:sz w:val="22"/>
        </w:rPr>
        <w:t> </w:t>
      </w:r>
      <w:r>
        <w:rPr>
          <w:color w:val="231F1F"/>
          <w:sz w:val="22"/>
        </w:rPr>
        <w:t>transcutánea</w:t>
      </w:r>
      <w:r>
        <w:rPr>
          <w:color w:val="231F1F"/>
          <w:spacing w:val="23"/>
          <w:sz w:val="22"/>
        </w:rPr>
        <w:t> </w:t>
      </w:r>
      <w:r>
        <w:rPr>
          <w:color w:val="231F1F"/>
          <w:sz w:val="22"/>
        </w:rPr>
        <w:t>(TENS)</w:t>
      </w:r>
      <w:r>
        <w:rPr>
          <w:color w:val="231F1F"/>
          <w:spacing w:val="21"/>
          <w:sz w:val="22"/>
        </w:rPr>
        <w:t> </w:t>
      </w:r>
      <w:r>
        <w:rPr>
          <w:color w:val="231F1F"/>
          <w:sz w:val="22"/>
        </w:rPr>
        <w:t>para el</w:t>
      </w:r>
      <w:r>
        <w:rPr>
          <w:color w:val="231F1F"/>
          <w:spacing w:val="40"/>
          <w:sz w:val="22"/>
        </w:rPr>
        <w:t> </w:t>
      </w:r>
      <w:r>
        <w:rPr>
          <w:color w:val="231F1F"/>
          <w:sz w:val="22"/>
        </w:rPr>
        <w:t>alivio</w:t>
      </w:r>
      <w:r>
        <w:rPr>
          <w:color w:val="231F1F"/>
          <w:spacing w:val="40"/>
          <w:sz w:val="22"/>
        </w:rPr>
        <w:t> </w:t>
      </w:r>
      <w:r>
        <w:rPr>
          <w:color w:val="231F1F"/>
          <w:sz w:val="22"/>
        </w:rPr>
        <w:t>del</w:t>
      </w:r>
      <w:r>
        <w:rPr>
          <w:color w:val="231F1F"/>
          <w:spacing w:val="40"/>
          <w:sz w:val="22"/>
        </w:rPr>
        <w:t> </w:t>
      </w:r>
      <w:r>
        <w:rPr>
          <w:color w:val="231F1F"/>
          <w:sz w:val="22"/>
        </w:rPr>
        <w:t>dolor</w:t>
      </w:r>
      <w:r>
        <w:rPr>
          <w:color w:val="231F1F"/>
          <w:spacing w:val="40"/>
          <w:sz w:val="22"/>
        </w:rPr>
        <w:t> </w:t>
      </w:r>
      <w:r>
        <w:rPr>
          <w:color w:val="231F1F"/>
          <w:sz w:val="22"/>
        </w:rPr>
        <w:t>durante</w:t>
      </w:r>
      <w:r>
        <w:rPr>
          <w:color w:val="231F1F"/>
          <w:spacing w:val="40"/>
          <w:sz w:val="22"/>
        </w:rPr>
        <w:t> </w:t>
      </w:r>
      <w:r>
        <w:rPr>
          <w:color w:val="231F1F"/>
          <w:sz w:val="22"/>
        </w:rPr>
        <w:t>el</w:t>
      </w:r>
      <w:r>
        <w:rPr>
          <w:color w:val="231F1F"/>
          <w:spacing w:val="40"/>
          <w:sz w:val="22"/>
        </w:rPr>
        <w:t> </w:t>
      </w:r>
      <w:r>
        <w:rPr>
          <w:color w:val="231F1F"/>
          <w:sz w:val="22"/>
        </w:rPr>
        <w:t>parto?</w:t>
      </w:r>
    </w:p>
    <w:p>
      <w:pPr>
        <w:pStyle w:val="BodyText"/>
        <w:spacing w:before="151"/>
      </w:pPr>
    </w:p>
    <w:p>
      <w:pPr>
        <w:pStyle w:val="Heading4"/>
      </w:pPr>
      <w:r>
        <w:rPr>
          <w:color w:val="231F1F"/>
        </w:rPr>
        <w:t>Métodos</w:t>
      </w:r>
      <w:r>
        <w:rPr>
          <w:color w:val="231F1F"/>
          <w:spacing w:val="34"/>
        </w:rPr>
        <w:t> </w:t>
      </w:r>
      <w:r>
        <w:rPr>
          <w:color w:val="231F1F"/>
        </w:rPr>
        <w:t>farmacológicos</w:t>
      </w:r>
      <w:r>
        <w:rPr>
          <w:color w:val="231F1F"/>
          <w:spacing w:val="38"/>
        </w:rPr>
        <w:t> </w:t>
      </w:r>
      <w:r>
        <w:rPr>
          <w:color w:val="231F1F"/>
        </w:rPr>
        <w:t>de</w:t>
      </w:r>
      <w:r>
        <w:rPr>
          <w:color w:val="231F1F"/>
          <w:spacing w:val="39"/>
        </w:rPr>
        <w:t> </w:t>
      </w:r>
      <w:r>
        <w:rPr>
          <w:color w:val="231F1F"/>
        </w:rPr>
        <w:t>alivio</w:t>
      </w:r>
      <w:r>
        <w:rPr>
          <w:color w:val="231F1F"/>
          <w:spacing w:val="36"/>
        </w:rPr>
        <w:t> </w:t>
      </w:r>
      <w:r>
        <w:rPr>
          <w:color w:val="231F1F"/>
        </w:rPr>
        <w:t>del</w:t>
      </w:r>
      <w:r>
        <w:rPr>
          <w:color w:val="231F1F"/>
          <w:spacing w:val="39"/>
        </w:rPr>
        <w:t> </w:t>
      </w:r>
      <w:r>
        <w:rPr>
          <w:color w:val="231F1F"/>
          <w:spacing w:val="-4"/>
        </w:rPr>
        <w:t>dolor</w:t>
      </w:r>
    </w:p>
    <w:p>
      <w:pPr>
        <w:pStyle w:val="ListParagraph"/>
        <w:numPr>
          <w:ilvl w:val="0"/>
          <w:numId w:val="3"/>
        </w:numPr>
        <w:tabs>
          <w:tab w:pos="665" w:val="left" w:leader="none"/>
        </w:tabs>
        <w:spacing w:line="240" w:lineRule="auto" w:before="204" w:after="0"/>
        <w:ind w:left="665" w:right="0" w:hanging="383"/>
        <w:jc w:val="left"/>
        <w:rPr>
          <w:sz w:val="22"/>
        </w:rPr>
      </w:pPr>
      <w:r>
        <w:rPr>
          <w:color w:val="231F1F"/>
          <w:sz w:val="22"/>
        </w:rPr>
        <w:t>¿Cuál</w:t>
      </w:r>
      <w:r>
        <w:rPr>
          <w:color w:val="231F1F"/>
          <w:spacing w:val="30"/>
          <w:sz w:val="22"/>
        </w:rPr>
        <w:t> </w:t>
      </w:r>
      <w:r>
        <w:rPr>
          <w:color w:val="231F1F"/>
          <w:sz w:val="22"/>
        </w:rPr>
        <w:t>es</w:t>
      </w:r>
      <w:r>
        <w:rPr>
          <w:color w:val="231F1F"/>
          <w:spacing w:val="30"/>
          <w:sz w:val="22"/>
        </w:rPr>
        <w:t> </w:t>
      </w:r>
      <w:r>
        <w:rPr>
          <w:color w:val="231F1F"/>
          <w:sz w:val="22"/>
        </w:rPr>
        <w:t>la</w:t>
      </w:r>
      <w:r>
        <w:rPr>
          <w:color w:val="231F1F"/>
          <w:spacing w:val="30"/>
          <w:sz w:val="22"/>
        </w:rPr>
        <w:t> </w:t>
      </w:r>
      <w:r>
        <w:rPr>
          <w:color w:val="231F1F"/>
          <w:sz w:val="22"/>
        </w:rPr>
        <w:t>efectividad</w:t>
      </w:r>
      <w:r>
        <w:rPr>
          <w:color w:val="231F1F"/>
          <w:spacing w:val="30"/>
          <w:sz w:val="22"/>
        </w:rPr>
        <w:t> </w:t>
      </w:r>
      <w:r>
        <w:rPr>
          <w:color w:val="231F1F"/>
          <w:sz w:val="22"/>
        </w:rPr>
        <w:t>del</w:t>
      </w:r>
      <w:r>
        <w:rPr>
          <w:color w:val="231F1F"/>
          <w:spacing w:val="29"/>
          <w:sz w:val="22"/>
        </w:rPr>
        <w:t> </w:t>
      </w:r>
      <w:r>
        <w:rPr>
          <w:color w:val="231F1F"/>
          <w:sz w:val="22"/>
        </w:rPr>
        <w:t>óxido</w:t>
      </w:r>
      <w:r>
        <w:rPr>
          <w:color w:val="231F1F"/>
          <w:spacing w:val="30"/>
          <w:sz w:val="22"/>
        </w:rPr>
        <w:t> </w:t>
      </w:r>
      <w:r>
        <w:rPr>
          <w:color w:val="231F1F"/>
          <w:sz w:val="22"/>
        </w:rPr>
        <w:t>nitroso</w:t>
      </w:r>
      <w:r>
        <w:rPr>
          <w:color w:val="231F1F"/>
          <w:spacing w:val="30"/>
          <w:sz w:val="22"/>
        </w:rPr>
        <w:t> </w:t>
      </w:r>
      <w:r>
        <w:rPr>
          <w:color w:val="231F1F"/>
          <w:sz w:val="22"/>
        </w:rPr>
        <w:t>para</w:t>
      </w:r>
      <w:r>
        <w:rPr>
          <w:color w:val="231F1F"/>
          <w:spacing w:val="30"/>
          <w:sz w:val="22"/>
        </w:rPr>
        <w:t> </w:t>
      </w:r>
      <w:r>
        <w:rPr>
          <w:color w:val="231F1F"/>
          <w:sz w:val="22"/>
        </w:rPr>
        <w:t>el</w:t>
      </w:r>
      <w:r>
        <w:rPr>
          <w:color w:val="231F1F"/>
          <w:spacing w:val="33"/>
          <w:sz w:val="22"/>
        </w:rPr>
        <w:t> </w:t>
      </w:r>
      <w:r>
        <w:rPr>
          <w:color w:val="231F1F"/>
          <w:sz w:val="22"/>
        </w:rPr>
        <w:t>alivio</w:t>
      </w:r>
      <w:r>
        <w:rPr>
          <w:color w:val="231F1F"/>
          <w:spacing w:val="32"/>
          <w:sz w:val="22"/>
        </w:rPr>
        <w:t> </w:t>
      </w:r>
      <w:r>
        <w:rPr>
          <w:color w:val="231F1F"/>
          <w:sz w:val="22"/>
        </w:rPr>
        <w:t>del</w:t>
      </w:r>
      <w:r>
        <w:rPr>
          <w:color w:val="231F1F"/>
          <w:spacing w:val="26"/>
          <w:sz w:val="22"/>
        </w:rPr>
        <w:t> </w:t>
      </w:r>
      <w:r>
        <w:rPr>
          <w:color w:val="231F1F"/>
          <w:sz w:val="22"/>
        </w:rPr>
        <w:t>dolor</w:t>
      </w:r>
      <w:r>
        <w:rPr>
          <w:color w:val="231F1F"/>
          <w:spacing w:val="30"/>
          <w:sz w:val="22"/>
        </w:rPr>
        <w:t> </w:t>
      </w:r>
      <w:r>
        <w:rPr>
          <w:color w:val="231F1F"/>
          <w:sz w:val="22"/>
        </w:rPr>
        <w:t>durante</w:t>
      </w:r>
      <w:r>
        <w:rPr>
          <w:color w:val="231F1F"/>
          <w:spacing w:val="31"/>
          <w:sz w:val="22"/>
        </w:rPr>
        <w:t> </w:t>
      </w:r>
      <w:r>
        <w:rPr>
          <w:color w:val="231F1F"/>
          <w:sz w:val="22"/>
        </w:rPr>
        <w:t>el</w:t>
      </w:r>
      <w:r>
        <w:rPr>
          <w:color w:val="231F1F"/>
          <w:spacing w:val="30"/>
          <w:sz w:val="22"/>
        </w:rPr>
        <w:t> </w:t>
      </w:r>
      <w:r>
        <w:rPr>
          <w:color w:val="231F1F"/>
          <w:spacing w:val="-2"/>
          <w:sz w:val="22"/>
        </w:rPr>
        <w:t>parto?</w:t>
      </w:r>
    </w:p>
    <w:p>
      <w:pPr>
        <w:pStyle w:val="ListParagraph"/>
        <w:numPr>
          <w:ilvl w:val="0"/>
          <w:numId w:val="3"/>
        </w:numPr>
        <w:tabs>
          <w:tab w:pos="665" w:val="left" w:leader="none"/>
        </w:tabs>
        <w:spacing w:line="240" w:lineRule="auto" w:before="145" w:after="0"/>
        <w:ind w:left="665" w:right="0" w:hanging="383"/>
        <w:jc w:val="left"/>
        <w:rPr>
          <w:sz w:val="22"/>
        </w:rPr>
      </w:pPr>
      <w:r>
        <w:rPr>
          <w:color w:val="231F1F"/>
          <w:sz w:val="22"/>
        </w:rPr>
        <w:t>¿Cuál</w:t>
      </w:r>
      <w:r>
        <w:rPr>
          <w:color w:val="231F1F"/>
          <w:spacing w:val="29"/>
          <w:sz w:val="22"/>
        </w:rPr>
        <w:t> </w:t>
      </w:r>
      <w:r>
        <w:rPr>
          <w:color w:val="231F1F"/>
          <w:sz w:val="22"/>
        </w:rPr>
        <w:t>es</w:t>
      </w:r>
      <w:r>
        <w:rPr>
          <w:color w:val="231F1F"/>
          <w:spacing w:val="32"/>
          <w:sz w:val="22"/>
        </w:rPr>
        <w:t> </w:t>
      </w:r>
      <w:r>
        <w:rPr>
          <w:color w:val="231F1F"/>
          <w:sz w:val="22"/>
        </w:rPr>
        <w:t>la</w:t>
      </w:r>
      <w:r>
        <w:rPr>
          <w:color w:val="231F1F"/>
          <w:spacing w:val="33"/>
          <w:sz w:val="22"/>
        </w:rPr>
        <w:t> </w:t>
      </w:r>
      <w:r>
        <w:rPr>
          <w:color w:val="231F1F"/>
          <w:sz w:val="22"/>
        </w:rPr>
        <w:t>efectividad</w:t>
      </w:r>
      <w:r>
        <w:rPr>
          <w:color w:val="231F1F"/>
          <w:spacing w:val="32"/>
          <w:sz w:val="22"/>
        </w:rPr>
        <w:t> </w:t>
      </w:r>
      <w:r>
        <w:rPr>
          <w:color w:val="231F1F"/>
          <w:sz w:val="22"/>
        </w:rPr>
        <w:t>del</w:t>
      </w:r>
      <w:r>
        <w:rPr>
          <w:color w:val="231F1F"/>
          <w:spacing w:val="27"/>
          <w:sz w:val="22"/>
        </w:rPr>
        <w:t> </w:t>
      </w:r>
      <w:r>
        <w:rPr>
          <w:color w:val="231F1F"/>
          <w:sz w:val="22"/>
        </w:rPr>
        <w:t>petidina</w:t>
      </w:r>
      <w:r>
        <w:rPr>
          <w:color w:val="231F1F"/>
          <w:spacing w:val="34"/>
          <w:sz w:val="22"/>
        </w:rPr>
        <w:t> </w:t>
      </w:r>
      <w:r>
        <w:rPr>
          <w:color w:val="231F1F"/>
          <w:sz w:val="22"/>
        </w:rPr>
        <w:t>para</w:t>
      </w:r>
      <w:r>
        <w:rPr>
          <w:color w:val="231F1F"/>
          <w:spacing w:val="31"/>
          <w:sz w:val="22"/>
        </w:rPr>
        <w:t> </w:t>
      </w:r>
      <w:r>
        <w:rPr>
          <w:color w:val="231F1F"/>
          <w:sz w:val="22"/>
        </w:rPr>
        <w:t>el</w:t>
      </w:r>
      <w:r>
        <w:rPr>
          <w:color w:val="231F1F"/>
          <w:spacing w:val="30"/>
          <w:sz w:val="22"/>
        </w:rPr>
        <w:t> </w:t>
      </w:r>
      <w:r>
        <w:rPr>
          <w:color w:val="231F1F"/>
          <w:sz w:val="22"/>
        </w:rPr>
        <w:t>alivio</w:t>
      </w:r>
      <w:r>
        <w:rPr>
          <w:color w:val="231F1F"/>
          <w:spacing w:val="33"/>
          <w:sz w:val="22"/>
        </w:rPr>
        <w:t> </w:t>
      </w:r>
      <w:r>
        <w:rPr>
          <w:color w:val="231F1F"/>
          <w:sz w:val="22"/>
        </w:rPr>
        <w:t>del</w:t>
      </w:r>
      <w:r>
        <w:rPr>
          <w:color w:val="231F1F"/>
          <w:spacing w:val="28"/>
          <w:sz w:val="22"/>
        </w:rPr>
        <w:t> </w:t>
      </w:r>
      <w:r>
        <w:rPr>
          <w:color w:val="231F1F"/>
          <w:sz w:val="22"/>
        </w:rPr>
        <w:t>dolor</w:t>
      </w:r>
      <w:r>
        <w:rPr>
          <w:color w:val="231F1F"/>
          <w:spacing w:val="32"/>
          <w:sz w:val="22"/>
        </w:rPr>
        <w:t> </w:t>
      </w:r>
      <w:r>
        <w:rPr>
          <w:color w:val="231F1F"/>
          <w:sz w:val="22"/>
        </w:rPr>
        <w:t>durante</w:t>
      </w:r>
      <w:r>
        <w:rPr>
          <w:color w:val="231F1F"/>
          <w:spacing w:val="33"/>
          <w:sz w:val="22"/>
        </w:rPr>
        <w:t> </w:t>
      </w:r>
      <w:r>
        <w:rPr>
          <w:color w:val="231F1F"/>
          <w:sz w:val="22"/>
        </w:rPr>
        <w:t>el</w:t>
      </w:r>
      <w:r>
        <w:rPr>
          <w:color w:val="231F1F"/>
          <w:spacing w:val="31"/>
          <w:sz w:val="22"/>
        </w:rPr>
        <w:t> </w:t>
      </w:r>
      <w:r>
        <w:rPr>
          <w:color w:val="231F1F"/>
          <w:spacing w:val="-2"/>
          <w:sz w:val="22"/>
        </w:rPr>
        <w:t>parto?</w:t>
      </w:r>
    </w:p>
    <w:p>
      <w:pPr>
        <w:pStyle w:val="ListParagraph"/>
        <w:numPr>
          <w:ilvl w:val="0"/>
          <w:numId w:val="3"/>
        </w:numPr>
        <w:tabs>
          <w:tab w:pos="665" w:val="left" w:leader="none"/>
        </w:tabs>
        <w:spacing w:line="240" w:lineRule="auto" w:before="160" w:after="0"/>
        <w:ind w:left="665" w:right="0" w:hanging="383"/>
        <w:jc w:val="left"/>
        <w:rPr>
          <w:sz w:val="22"/>
        </w:rPr>
      </w:pPr>
      <w:r>
        <w:rPr>
          <w:color w:val="231F1F"/>
          <w:sz w:val="22"/>
        </w:rPr>
        <w:t>¿Cuál</w:t>
      </w:r>
      <w:r>
        <w:rPr>
          <w:color w:val="231F1F"/>
          <w:spacing w:val="31"/>
          <w:sz w:val="22"/>
        </w:rPr>
        <w:t> </w:t>
      </w:r>
      <w:r>
        <w:rPr>
          <w:color w:val="231F1F"/>
          <w:sz w:val="22"/>
        </w:rPr>
        <w:t>es</w:t>
      </w:r>
      <w:r>
        <w:rPr>
          <w:color w:val="231F1F"/>
          <w:spacing w:val="31"/>
          <w:sz w:val="22"/>
        </w:rPr>
        <w:t> </w:t>
      </w:r>
      <w:r>
        <w:rPr>
          <w:color w:val="231F1F"/>
          <w:sz w:val="22"/>
        </w:rPr>
        <w:t>la</w:t>
      </w:r>
      <w:r>
        <w:rPr>
          <w:color w:val="231F1F"/>
          <w:spacing w:val="31"/>
          <w:sz w:val="22"/>
        </w:rPr>
        <w:t> </w:t>
      </w:r>
      <w:r>
        <w:rPr>
          <w:color w:val="231F1F"/>
          <w:sz w:val="22"/>
        </w:rPr>
        <w:t>efectividad</w:t>
      </w:r>
      <w:r>
        <w:rPr>
          <w:color w:val="231F1F"/>
          <w:spacing w:val="32"/>
          <w:sz w:val="22"/>
        </w:rPr>
        <w:t> </w:t>
      </w:r>
      <w:r>
        <w:rPr>
          <w:color w:val="231F1F"/>
          <w:sz w:val="22"/>
        </w:rPr>
        <w:t>del</w:t>
      </w:r>
      <w:r>
        <w:rPr>
          <w:color w:val="231F1F"/>
          <w:spacing w:val="29"/>
          <w:sz w:val="22"/>
        </w:rPr>
        <w:t> </w:t>
      </w:r>
      <w:r>
        <w:rPr>
          <w:color w:val="231F1F"/>
          <w:sz w:val="22"/>
        </w:rPr>
        <w:t>pentazocina</w:t>
      </w:r>
      <w:r>
        <w:rPr>
          <w:color w:val="231F1F"/>
          <w:spacing w:val="30"/>
          <w:sz w:val="22"/>
        </w:rPr>
        <w:t> </w:t>
      </w:r>
      <w:r>
        <w:rPr>
          <w:color w:val="231F1F"/>
          <w:sz w:val="22"/>
        </w:rPr>
        <w:t>para</w:t>
      </w:r>
      <w:r>
        <w:rPr>
          <w:color w:val="231F1F"/>
          <w:spacing w:val="32"/>
          <w:sz w:val="22"/>
        </w:rPr>
        <w:t> </w:t>
      </w:r>
      <w:r>
        <w:rPr>
          <w:color w:val="231F1F"/>
          <w:sz w:val="22"/>
        </w:rPr>
        <w:t>el</w:t>
      </w:r>
      <w:r>
        <w:rPr>
          <w:color w:val="231F1F"/>
          <w:spacing w:val="31"/>
          <w:sz w:val="22"/>
        </w:rPr>
        <w:t> </w:t>
      </w:r>
      <w:r>
        <w:rPr>
          <w:color w:val="231F1F"/>
          <w:sz w:val="22"/>
        </w:rPr>
        <w:t>alivio</w:t>
      </w:r>
      <w:r>
        <w:rPr>
          <w:color w:val="231F1F"/>
          <w:spacing w:val="31"/>
          <w:sz w:val="22"/>
        </w:rPr>
        <w:t> </w:t>
      </w:r>
      <w:r>
        <w:rPr>
          <w:color w:val="231F1F"/>
          <w:sz w:val="22"/>
        </w:rPr>
        <w:t>del</w:t>
      </w:r>
      <w:r>
        <w:rPr>
          <w:color w:val="231F1F"/>
          <w:spacing w:val="30"/>
          <w:sz w:val="22"/>
        </w:rPr>
        <w:t> </w:t>
      </w:r>
      <w:r>
        <w:rPr>
          <w:color w:val="231F1F"/>
          <w:sz w:val="22"/>
        </w:rPr>
        <w:t>dolor</w:t>
      </w:r>
      <w:r>
        <w:rPr>
          <w:color w:val="231F1F"/>
          <w:spacing w:val="31"/>
          <w:sz w:val="22"/>
        </w:rPr>
        <w:t> </w:t>
      </w:r>
      <w:r>
        <w:rPr>
          <w:color w:val="231F1F"/>
          <w:sz w:val="22"/>
        </w:rPr>
        <w:t>durante</w:t>
      </w:r>
      <w:r>
        <w:rPr>
          <w:color w:val="231F1F"/>
          <w:spacing w:val="31"/>
          <w:sz w:val="22"/>
        </w:rPr>
        <w:t> </w:t>
      </w:r>
      <w:r>
        <w:rPr>
          <w:color w:val="231F1F"/>
          <w:sz w:val="22"/>
        </w:rPr>
        <w:t>el</w:t>
      </w:r>
      <w:r>
        <w:rPr>
          <w:color w:val="231F1F"/>
          <w:spacing w:val="32"/>
          <w:sz w:val="22"/>
        </w:rPr>
        <w:t> </w:t>
      </w:r>
      <w:r>
        <w:rPr>
          <w:color w:val="231F1F"/>
          <w:spacing w:val="-2"/>
          <w:sz w:val="22"/>
        </w:rPr>
        <w:t>parto?</w:t>
      </w:r>
    </w:p>
    <w:p>
      <w:pPr>
        <w:pStyle w:val="ListParagraph"/>
        <w:numPr>
          <w:ilvl w:val="0"/>
          <w:numId w:val="3"/>
        </w:numPr>
        <w:tabs>
          <w:tab w:pos="665" w:val="left" w:leader="none"/>
        </w:tabs>
        <w:spacing w:line="240" w:lineRule="auto" w:before="155" w:after="0"/>
        <w:ind w:left="665" w:right="0" w:hanging="383"/>
        <w:jc w:val="left"/>
        <w:rPr>
          <w:sz w:val="22"/>
        </w:rPr>
      </w:pPr>
      <w:r>
        <w:rPr>
          <w:color w:val="231F1F"/>
          <w:sz w:val="22"/>
        </w:rPr>
        <w:t>¿Cuál</w:t>
      </w:r>
      <w:r>
        <w:rPr>
          <w:color w:val="231F1F"/>
          <w:spacing w:val="27"/>
          <w:sz w:val="22"/>
        </w:rPr>
        <w:t> </w:t>
      </w:r>
      <w:r>
        <w:rPr>
          <w:color w:val="231F1F"/>
          <w:sz w:val="22"/>
        </w:rPr>
        <w:t>es</w:t>
      </w:r>
      <w:r>
        <w:rPr>
          <w:color w:val="231F1F"/>
          <w:spacing w:val="32"/>
          <w:sz w:val="22"/>
        </w:rPr>
        <w:t> </w:t>
      </w:r>
      <w:r>
        <w:rPr>
          <w:color w:val="231F1F"/>
          <w:sz w:val="22"/>
        </w:rPr>
        <w:t>la</w:t>
      </w:r>
      <w:r>
        <w:rPr>
          <w:color w:val="231F1F"/>
          <w:spacing w:val="32"/>
          <w:sz w:val="22"/>
        </w:rPr>
        <w:t> </w:t>
      </w:r>
      <w:r>
        <w:rPr>
          <w:color w:val="231F1F"/>
          <w:sz w:val="22"/>
        </w:rPr>
        <w:t>efectividad</w:t>
      </w:r>
      <w:r>
        <w:rPr>
          <w:color w:val="231F1F"/>
          <w:spacing w:val="31"/>
          <w:sz w:val="22"/>
        </w:rPr>
        <w:t> </w:t>
      </w:r>
      <w:r>
        <w:rPr>
          <w:color w:val="231F1F"/>
          <w:sz w:val="22"/>
        </w:rPr>
        <w:t>del</w:t>
      </w:r>
      <w:r>
        <w:rPr>
          <w:color w:val="231F1F"/>
          <w:spacing w:val="30"/>
          <w:sz w:val="22"/>
        </w:rPr>
        <w:t> </w:t>
      </w:r>
      <w:r>
        <w:rPr>
          <w:color w:val="231F1F"/>
          <w:sz w:val="22"/>
        </w:rPr>
        <w:t>remifentanilo</w:t>
      </w:r>
      <w:r>
        <w:rPr>
          <w:color w:val="231F1F"/>
          <w:spacing w:val="33"/>
          <w:sz w:val="22"/>
        </w:rPr>
        <w:t> </w:t>
      </w:r>
      <w:r>
        <w:rPr>
          <w:color w:val="231F1F"/>
          <w:sz w:val="22"/>
        </w:rPr>
        <w:t>para</w:t>
      </w:r>
      <w:r>
        <w:rPr>
          <w:color w:val="231F1F"/>
          <w:spacing w:val="31"/>
          <w:sz w:val="22"/>
        </w:rPr>
        <w:t> </w:t>
      </w:r>
      <w:r>
        <w:rPr>
          <w:color w:val="231F1F"/>
          <w:sz w:val="22"/>
        </w:rPr>
        <w:t>el</w:t>
      </w:r>
      <w:r>
        <w:rPr>
          <w:color w:val="231F1F"/>
          <w:spacing w:val="32"/>
          <w:sz w:val="22"/>
        </w:rPr>
        <w:t> </w:t>
      </w:r>
      <w:r>
        <w:rPr>
          <w:color w:val="231F1F"/>
          <w:sz w:val="22"/>
        </w:rPr>
        <w:t>alivio</w:t>
      </w:r>
      <w:r>
        <w:rPr>
          <w:color w:val="231F1F"/>
          <w:spacing w:val="31"/>
          <w:sz w:val="22"/>
        </w:rPr>
        <w:t> </w:t>
      </w:r>
      <w:r>
        <w:rPr>
          <w:color w:val="231F1F"/>
          <w:sz w:val="22"/>
        </w:rPr>
        <w:t>del</w:t>
      </w:r>
      <w:r>
        <w:rPr>
          <w:color w:val="231F1F"/>
          <w:spacing w:val="30"/>
          <w:sz w:val="22"/>
        </w:rPr>
        <w:t> </w:t>
      </w:r>
      <w:r>
        <w:rPr>
          <w:color w:val="231F1F"/>
          <w:sz w:val="22"/>
        </w:rPr>
        <w:t>dolor</w:t>
      </w:r>
      <w:r>
        <w:rPr>
          <w:color w:val="231F1F"/>
          <w:spacing w:val="32"/>
          <w:sz w:val="22"/>
        </w:rPr>
        <w:t> </w:t>
      </w:r>
      <w:r>
        <w:rPr>
          <w:color w:val="231F1F"/>
          <w:sz w:val="22"/>
        </w:rPr>
        <w:t>durante</w:t>
      </w:r>
      <w:r>
        <w:rPr>
          <w:color w:val="231F1F"/>
          <w:spacing w:val="31"/>
          <w:sz w:val="22"/>
        </w:rPr>
        <w:t> </w:t>
      </w:r>
      <w:r>
        <w:rPr>
          <w:color w:val="231F1F"/>
          <w:sz w:val="22"/>
        </w:rPr>
        <w:t>el</w:t>
      </w:r>
      <w:r>
        <w:rPr>
          <w:color w:val="231F1F"/>
          <w:spacing w:val="32"/>
          <w:sz w:val="22"/>
        </w:rPr>
        <w:t> </w:t>
      </w:r>
      <w:r>
        <w:rPr>
          <w:color w:val="231F1F"/>
          <w:spacing w:val="-2"/>
          <w:sz w:val="22"/>
        </w:rPr>
        <w:t>parto?</w:t>
      </w:r>
    </w:p>
    <w:p>
      <w:pPr>
        <w:pStyle w:val="BodyText"/>
        <w:spacing w:before="196"/>
      </w:pPr>
    </w:p>
    <w:p>
      <w:pPr>
        <w:pStyle w:val="Heading4"/>
      </w:pPr>
      <w:r>
        <w:rPr>
          <w:color w:val="231F1F"/>
        </w:rPr>
        <w:t>Analgesia</w:t>
      </w:r>
      <w:r>
        <w:rPr>
          <w:color w:val="231F1F"/>
          <w:spacing w:val="62"/>
        </w:rPr>
        <w:t> </w:t>
      </w:r>
      <w:r>
        <w:rPr>
          <w:color w:val="231F1F"/>
          <w:spacing w:val="-2"/>
        </w:rPr>
        <w:t>Neuroaxial</w:t>
      </w:r>
    </w:p>
    <w:p>
      <w:pPr>
        <w:pStyle w:val="ListParagraph"/>
        <w:numPr>
          <w:ilvl w:val="0"/>
          <w:numId w:val="3"/>
        </w:numPr>
        <w:tabs>
          <w:tab w:pos="665" w:val="left" w:leader="none"/>
        </w:tabs>
        <w:spacing w:line="240" w:lineRule="auto" w:before="218" w:after="0"/>
        <w:ind w:left="665" w:right="0" w:hanging="383"/>
        <w:jc w:val="left"/>
        <w:rPr>
          <w:sz w:val="22"/>
        </w:rPr>
      </w:pPr>
      <w:r>
        <w:rPr>
          <w:color w:val="231F1F"/>
          <w:sz w:val="22"/>
        </w:rPr>
        <w:t>¿Cuál</w:t>
      </w:r>
      <w:r>
        <w:rPr>
          <w:color w:val="231F1F"/>
          <w:spacing w:val="22"/>
          <w:sz w:val="22"/>
        </w:rPr>
        <w:t> </w:t>
      </w:r>
      <w:r>
        <w:rPr>
          <w:color w:val="231F1F"/>
          <w:sz w:val="22"/>
        </w:rPr>
        <w:t>es</w:t>
      </w:r>
      <w:r>
        <w:rPr>
          <w:color w:val="231F1F"/>
          <w:spacing w:val="23"/>
          <w:sz w:val="22"/>
        </w:rPr>
        <w:t> </w:t>
      </w:r>
      <w:r>
        <w:rPr>
          <w:color w:val="231F1F"/>
          <w:sz w:val="22"/>
        </w:rPr>
        <w:t>la</w:t>
      </w:r>
      <w:r>
        <w:rPr>
          <w:color w:val="231F1F"/>
          <w:spacing w:val="22"/>
          <w:sz w:val="22"/>
        </w:rPr>
        <w:t> </w:t>
      </w:r>
      <w:r>
        <w:rPr>
          <w:color w:val="231F1F"/>
          <w:sz w:val="22"/>
        </w:rPr>
        <w:t>efectividad</w:t>
      </w:r>
      <w:r>
        <w:rPr>
          <w:color w:val="231F1F"/>
          <w:spacing w:val="25"/>
          <w:sz w:val="22"/>
        </w:rPr>
        <w:t> </w:t>
      </w:r>
      <w:r>
        <w:rPr>
          <w:color w:val="231F1F"/>
          <w:sz w:val="22"/>
        </w:rPr>
        <w:t>de</w:t>
      </w:r>
      <w:r>
        <w:rPr>
          <w:color w:val="231F1F"/>
          <w:spacing w:val="22"/>
          <w:sz w:val="22"/>
        </w:rPr>
        <w:t> </w:t>
      </w:r>
      <w:r>
        <w:rPr>
          <w:color w:val="231F1F"/>
          <w:sz w:val="22"/>
        </w:rPr>
        <w:t>la</w:t>
      </w:r>
      <w:r>
        <w:rPr>
          <w:color w:val="231F1F"/>
          <w:spacing w:val="23"/>
          <w:sz w:val="22"/>
        </w:rPr>
        <w:t> </w:t>
      </w:r>
      <w:r>
        <w:rPr>
          <w:color w:val="231F1F"/>
          <w:sz w:val="22"/>
        </w:rPr>
        <w:t>analgesia</w:t>
      </w:r>
      <w:r>
        <w:rPr>
          <w:color w:val="231F1F"/>
          <w:spacing w:val="24"/>
          <w:sz w:val="22"/>
        </w:rPr>
        <w:t> </w:t>
      </w:r>
      <w:r>
        <w:rPr>
          <w:color w:val="231F1F"/>
          <w:spacing w:val="-2"/>
          <w:sz w:val="22"/>
        </w:rPr>
        <w:t>neuroaxial?</w:t>
      </w:r>
    </w:p>
    <w:p>
      <w:pPr>
        <w:pStyle w:val="ListParagraph"/>
        <w:numPr>
          <w:ilvl w:val="0"/>
          <w:numId w:val="3"/>
        </w:numPr>
        <w:tabs>
          <w:tab w:pos="665" w:val="left" w:leader="none"/>
          <w:tab w:pos="668" w:val="left" w:leader="none"/>
        </w:tabs>
        <w:spacing w:line="264" w:lineRule="auto" w:before="155" w:after="0"/>
        <w:ind w:left="668" w:right="221" w:hanging="386"/>
        <w:jc w:val="left"/>
        <w:rPr>
          <w:sz w:val="22"/>
        </w:rPr>
      </w:pPr>
      <w:r>
        <w:rPr>
          <w:color w:val="231F1F"/>
          <w:w w:val="110"/>
          <w:sz w:val="22"/>
        </w:rPr>
        <w:t>¿Cuál</w:t>
      </w:r>
      <w:r>
        <w:rPr>
          <w:color w:val="231F1F"/>
          <w:spacing w:val="-8"/>
          <w:w w:val="110"/>
          <w:sz w:val="22"/>
        </w:rPr>
        <w:t> </w:t>
      </w:r>
      <w:r>
        <w:rPr>
          <w:color w:val="231F1F"/>
          <w:w w:val="110"/>
          <w:sz w:val="22"/>
        </w:rPr>
        <w:t>es</w:t>
      </w:r>
      <w:r>
        <w:rPr>
          <w:color w:val="231F1F"/>
          <w:spacing w:val="-9"/>
          <w:w w:val="110"/>
          <w:sz w:val="22"/>
        </w:rPr>
        <w:t> </w:t>
      </w:r>
      <w:r>
        <w:rPr>
          <w:color w:val="231F1F"/>
          <w:w w:val="110"/>
          <w:sz w:val="22"/>
        </w:rPr>
        <w:t>la</w:t>
      </w:r>
      <w:r>
        <w:rPr>
          <w:color w:val="231F1F"/>
          <w:spacing w:val="-8"/>
          <w:w w:val="110"/>
          <w:sz w:val="22"/>
        </w:rPr>
        <w:t> </w:t>
      </w:r>
      <w:r>
        <w:rPr>
          <w:color w:val="231F1F"/>
          <w:w w:val="110"/>
          <w:sz w:val="22"/>
        </w:rPr>
        <w:t>efectividad</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las</w:t>
      </w:r>
      <w:r>
        <w:rPr>
          <w:color w:val="231F1F"/>
          <w:spacing w:val="-9"/>
          <w:w w:val="110"/>
          <w:sz w:val="22"/>
        </w:rPr>
        <w:t> </w:t>
      </w:r>
      <w:r>
        <w:rPr>
          <w:color w:val="231F1F"/>
          <w:w w:val="110"/>
          <w:sz w:val="22"/>
        </w:rPr>
        <w:t>siguientes</w:t>
      </w:r>
      <w:r>
        <w:rPr>
          <w:color w:val="231F1F"/>
          <w:spacing w:val="-10"/>
          <w:w w:val="110"/>
          <w:sz w:val="22"/>
        </w:rPr>
        <w:t> </w:t>
      </w:r>
      <w:r>
        <w:rPr>
          <w:color w:val="231F1F"/>
          <w:w w:val="110"/>
          <w:sz w:val="22"/>
        </w:rPr>
        <w:t>técnicas</w:t>
      </w:r>
      <w:r>
        <w:rPr>
          <w:color w:val="231F1F"/>
          <w:spacing w:val="-9"/>
          <w:w w:val="110"/>
          <w:sz w:val="22"/>
        </w:rPr>
        <w:t> </w:t>
      </w:r>
      <w:r>
        <w:rPr>
          <w:color w:val="231F1F"/>
          <w:w w:val="110"/>
          <w:sz w:val="22"/>
        </w:rPr>
        <w:t>de</w:t>
      </w:r>
      <w:r>
        <w:rPr>
          <w:color w:val="231F1F"/>
          <w:spacing w:val="-8"/>
          <w:w w:val="110"/>
          <w:sz w:val="22"/>
        </w:rPr>
        <w:t> </w:t>
      </w:r>
      <w:r>
        <w:rPr>
          <w:color w:val="231F1F"/>
          <w:w w:val="110"/>
          <w:sz w:val="22"/>
        </w:rPr>
        <w:t>analgesia</w:t>
      </w:r>
      <w:r>
        <w:rPr>
          <w:color w:val="231F1F"/>
          <w:spacing w:val="-8"/>
          <w:w w:val="110"/>
          <w:sz w:val="22"/>
        </w:rPr>
        <w:t> </w:t>
      </w:r>
      <w:r>
        <w:rPr>
          <w:color w:val="231F1F"/>
          <w:w w:val="110"/>
          <w:sz w:val="22"/>
        </w:rPr>
        <w:t>neuroaxial</w:t>
      </w:r>
      <w:r>
        <w:rPr>
          <w:color w:val="231F1F"/>
          <w:spacing w:val="-9"/>
          <w:w w:val="110"/>
          <w:sz w:val="22"/>
        </w:rPr>
        <w:t> </w:t>
      </w:r>
      <w:r>
        <w:rPr>
          <w:color w:val="231F1F"/>
          <w:w w:val="110"/>
          <w:sz w:val="22"/>
        </w:rPr>
        <w:t>obstétrica: Epidural tradicional vs Epidural a bajas dosis vs Combinada (intradural-epidural)?</w:t>
      </w:r>
    </w:p>
    <w:p>
      <w:pPr>
        <w:pStyle w:val="ListParagraph"/>
        <w:numPr>
          <w:ilvl w:val="0"/>
          <w:numId w:val="3"/>
        </w:numPr>
        <w:tabs>
          <w:tab w:pos="665" w:val="left" w:leader="none"/>
          <w:tab w:pos="668" w:val="left" w:leader="none"/>
        </w:tabs>
        <w:spacing w:line="264" w:lineRule="auto" w:before="116" w:after="0"/>
        <w:ind w:left="668" w:right="211" w:hanging="386"/>
        <w:jc w:val="left"/>
        <w:rPr>
          <w:sz w:val="22"/>
        </w:rPr>
      </w:pPr>
      <w:r>
        <w:rPr>
          <w:color w:val="231F1F"/>
          <w:w w:val="110"/>
          <w:sz w:val="22"/>
        </w:rPr>
        <w:t>¿Es</w:t>
      </w:r>
      <w:r>
        <w:rPr>
          <w:color w:val="231F1F"/>
          <w:spacing w:val="-11"/>
          <w:w w:val="110"/>
          <w:sz w:val="22"/>
        </w:rPr>
        <w:t> </w:t>
      </w:r>
      <w:r>
        <w:rPr>
          <w:color w:val="231F1F"/>
          <w:w w:val="110"/>
          <w:sz w:val="22"/>
        </w:rPr>
        <w:t>útil</w:t>
      </w:r>
      <w:r>
        <w:rPr>
          <w:color w:val="231F1F"/>
          <w:spacing w:val="-11"/>
          <w:w w:val="110"/>
          <w:sz w:val="22"/>
        </w:rPr>
        <w:t> </w:t>
      </w:r>
      <w:r>
        <w:rPr>
          <w:color w:val="231F1F"/>
          <w:w w:val="110"/>
          <w:sz w:val="22"/>
        </w:rPr>
        <w:t>realizar</w:t>
      </w:r>
      <w:r>
        <w:rPr>
          <w:color w:val="231F1F"/>
          <w:spacing w:val="-11"/>
          <w:w w:val="110"/>
          <w:sz w:val="22"/>
        </w:rPr>
        <w:t> </w:t>
      </w:r>
      <w:r>
        <w:rPr>
          <w:color w:val="231F1F"/>
          <w:w w:val="110"/>
          <w:sz w:val="22"/>
        </w:rPr>
        <w:t>un</w:t>
      </w:r>
      <w:r>
        <w:rPr>
          <w:color w:val="231F1F"/>
          <w:spacing w:val="-11"/>
          <w:w w:val="110"/>
          <w:sz w:val="22"/>
        </w:rPr>
        <w:t> </w:t>
      </w:r>
      <w:r>
        <w:rPr>
          <w:color w:val="231F1F"/>
          <w:w w:val="110"/>
          <w:sz w:val="22"/>
        </w:rPr>
        <w:t>estudio</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coagulación</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forma</w:t>
      </w:r>
      <w:r>
        <w:rPr>
          <w:color w:val="231F1F"/>
          <w:spacing w:val="-11"/>
          <w:w w:val="110"/>
          <w:sz w:val="22"/>
        </w:rPr>
        <w:t> </w:t>
      </w:r>
      <w:r>
        <w:rPr>
          <w:color w:val="231F1F"/>
          <w:w w:val="110"/>
          <w:sz w:val="22"/>
        </w:rPr>
        <w:t>sistemática</w:t>
      </w:r>
      <w:r>
        <w:rPr>
          <w:color w:val="231F1F"/>
          <w:spacing w:val="-13"/>
          <w:w w:val="110"/>
          <w:sz w:val="22"/>
        </w:rPr>
        <w:t> </w:t>
      </w:r>
      <w:r>
        <w:rPr>
          <w:color w:val="231F1F"/>
          <w:w w:val="110"/>
          <w:sz w:val="22"/>
        </w:rPr>
        <w:t>previo</w:t>
      </w:r>
      <w:r>
        <w:rPr>
          <w:color w:val="231F1F"/>
          <w:spacing w:val="-11"/>
          <w:w w:val="110"/>
          <w:sz w:val="22"/>
        </w:rPr>
        <w:t> </w:t>
      </w:r>
      <w:r>
        <w:rPr>
          <w:color w:val="231F1F"/>
          <w:w w:val="110"/>
          <w:sz w:val="22"/>
        </w:rPr>
        <w:t>a</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adminis- tración de una analgesia neuroaxial?</w:t>
      </w:r>
    </w:p>
    <w:p>
      <w:pPr>
        <w:pStyle w:val="ListParagraph"/>
        <w:numPr>
          <w:ilvl w:val="0"/>
          <w:numId w:val="3"/>
        </w:numPr>
        <w:tabs>
          <w:tab w:pos="665" w:val="left" w:leader="none"/>
          <w:tab w:pos="668" w:val="left" w:leader="none"/>
        </w:tabs>
        <w:spacing w:line="264" w:lineRule="auto" w:before="139" w:after="0"/>
        <w:ind w:left="668" w:right="481" w:hanging="386"/>
        <w:jc w:val="left"/>
        <w:rPr>
          <w:sz w:val="22"/>
        </w:rPr>
      </w:pPr>
      <w:r>
        <w:rPr>
          <w:color w:val="231F1F"/>
          <w:sz w:val="22"/>
        </w:rPr>
        <w:t>¿Cuál</w:t>
      </w:r>
      <w:r>
        <w:rPr>
          <w:color w:val="231F1F"/>
          <w:spacing w:val="-7"/>
          <w:sz w:val="22"/>
        </w:rPr>
        <w:t> </w:t>
      </w:r>
      <w:r>
        <w:rPr>
          <w:color w:val="231F1F"/>
          <w:sz w:val="22"/>
        </w:rPr>
        <w:t>es</w:t>
      </w:r>
      <w:r>
        <w:rPr>
          <w:color w:val="231F1F"/>
          <w:spacing w:val="-7"/>
          <w:sz w:val="22"/>
        </w:rPr>
        <w:t> </w:t>
      </w:r>
      <w:r>
        <w:rPr>
          <w:color w:val="231F1F"/>
          <w:sz w:val="22"/>
        </w:rPr>
        <w:t>la</w:t>
      </w:r>
      <w:r>
        <w:rPr>
          <w:color w:val="231F1F"/>
          <w:spacing w:val="-7"/>
          <w:sz w:val="22"/>
        </w:rPr>
        <w:t> </w:t>
      </w:r>
      <w:r>
        <w:rPr>
          <w:color w:val="231F1F"/>
          <w:sz w:val="22"/>
        </w:rPr>
        <w:t>efectividad</w:t>
      </w:r>
      <w:r>
        <w:rPr>
          <w:color w:val="231F1F"/>
          <w:spacing w:val="-7"/>
          <w:sz w:val="22"/>
        </w:rPr>
        <w:t> </w:t>
      </w:r>
      <w:r>
        <w:rPr>
          <w:color w:val="231F1F"/>
          <w:sz w:val="22"/>
        </w:rPr>
        <w:t>de</w:t>
      </w:r>
      <w:r>
        <w:rPr>
          <w:color w:val="231F1F"/>
          <w:spacing w:val="-7"/>
          <w:sz w:val="22"/>
        </w:rPr>
        <w:t> </w:t>
      </w:r>
      <w:r>
        <w:rPr>
          <w:color w:val="231F1F"/>
          <w:sz w:val="22"/>
        </w:rPr>
        <w:t>la</w:t>
      </w:r>
      <w:r>
        <w:rPr>
          <w:color w:val="231F1F"/>
          <w:spacing w:val="-7"/>
          <w:sz w:val="22"/>
        </w:rPr>
        <w:t> </w:t>
      </w:r>
      <w:r>
        <w:rPr>
          <w:color w:val="231F1F"/>
          <w:sz w:val="22"/>
        </w:rPr>
        <w:t>perfusión</w:t>
      </w:r>
      <w:r>
        <w:rPr>
          <w:color w:val="231F1F"/>
          <w:spacing w:val="-7"/>
          <w:sz w:val="22"/>
        </w:rPr>
        <w:t> </w:t>
      </w:r>
      <w:r>
        <w:rPr>
          <w:color w:val="231F1F"/>
          <w:sz w:val="22"/>
        </w:rPr>
        <w:t>de</w:t>
      </w:r>
      <w:r>
        <w:rPr>
          <w:color w:val="231F1F"/>
          <w:spacing w:val="-7"/>
          <w:sz w:val="22"/>
        </w:rPr>
        <w:t> </w:t>
      </w:r>
      <w:r>
        <w:rPr>
          <w:color w:val="231F1F"/>
          <w:sz w:val="22"/>
        </w:rPr>
        <w:t>soluciones</w:t>
      </w:r>
      <w:r>
        <w:rPr>
          <w:color w:val="231F1F"/>
          <w:spacing w:val="-6"/>
          <w:sz w:val="22"/>
        </w:rPr>
        <w:t> </w:t>
      </w:r>
      <w:r>
        <w:rPr>
          <w:color w:val="231F1F"/>
          <w:sz w:val="22"/>
        </w:rPr>
        <w:t>intravenosas</w:t>
      </w:r>
      <w:r>
        <w:rPr>
          <w:color w:val="231F1F"/>
          <w:spacing w:val="-6"/>
          <w:sz w:val="22"/>
        </w:rPr>
        <w:t> </w:t>
      </w:r>
      <w:r>
        <w:rPr>
          <w:color w:val="231F1F"/>
          <w:sz w:val="22"/>
        </w:rPr>
        <w:t>(cristaloides,</w:t>
      </w:r>
      <w:r>
        <w:rPr>
          <w:color w:val="231F1F"/>
          <w:spacing w:val="-6"/>
          <w:sz w:val="22"/>
        </w:rPr>
        <w:t> </w:t>
      </w:r>
      <w:r>
        <w:rPr>
          <w:color w:val="231F1F"/>
          <w:sz w:val="22"/>
        </w:rPr>
        <w:t>coloides) previa</w:t>
      </w:r>
      <w:r>
        <w:rPr>
          <w:color w:val="231F1F"/>
          <w:spacing w:val="80"/>
          <w:sz w:val="22"/>
        </w:rPr>
        <w:t> </w:t>
      </w:r>
      <w:r>
        <w:rPr>
          <w:color w:val="231F1F"/>
          <w:sz w:val="22"/>
        </w:rPr>
        <w:t>a</w:t>
      </w:r>
      <w:r>
        <w:rPr>
          <w:color w:val="231F1F"/>
          <w:spacing w:val="80"/>
          <w:sz w:val="22"/>
        </w:rPr>
        <w:t> </w:t>
      </w:r>
      <w:r>
        <w:rPr>
          <w:color w:val="231F1F"/>
          <w:sz w:val="22"/>
        </w:rPr>
        <w:t>la</w:t>
      </w:r>
      <w:r>
        <w:rPr>
          <w:color w:val="231F1F"/>
          <w:spacing w:val="80"/>
          <w:sz w:val="22"/>
        </w:rPr>
        <w:t> </w:t>
      </w:r>
      <w:r>
        <w:rPr>
          <w:color w:val="231F1F"/>
          <w:sz w:val="22"/>
        </w:rPr>
        <w:t>realización</w:t>
      </w:r>
      <w:r>
        <w:rPr>
          <w:color w:val="231F1F"/>
          <w:spacing w:val="80"/>
          <w:sz w:val="22"/>
        </w:rPr>
        <w:t> </w:t>
      </w:r>
      <w:r>
        <w:rPr>
          <w:color w:val="231F1F"/>
          <w:sz w:val="22"/>
        </w:rPr>
        <w:t>de</w:t>
      </w:r>
      <w:r>
        <w:rPr>
          <w:color w:val="231F1F"/>
          <w:spacing w:val="80"/>
          <w:sz w:val="22"/>
        </w:rPr>
        <w:t> </w:t>
      </w:r>
      <w:r>
        <w:rPr>
          <w:color w:val="231F1F"/>
          <w:sz w:val="22"/>
        </w:rPr>
        <w:t>una</w:t>
      </w:r>
      <w:r>
        <w:rPr>
          <w:color w:val="231F1F"/>
          <w:spacing w:val="80"/>
          <w:sz w:val="22"/>
        </w:rPr>
        <w:t> </w:t>
      </w:r>
      <w:r>
        <w:rPr>
          <w:color w:val="231F1F"/>
          <w:sz w:val="22"/>
        </w:rPr>
        <w:t>técnica</w:t>
      </w:r>
      <w:r>
        <w:rPr>
          <w:color w:val="231F1F"/>
          <w:spacing w:val="80"/>
          <w:sz w:val="22"/>
        </w:rPr>
        <w:t> </w:t>
      </w:r>
      <w:r>
        <w:rPr>
          <w:color w:val="231F1F"/>
          <w:sz w:val="22"/>
        </w:rPr>
        <w:t>de</w:t>
      </w:r>
      <w:r>
        <w:rPr>
          <w:color w:val="231F1F"/>
          <w:spacing w:val="80"/>
          <w:sz w:val="22"/>
        </w:rPr>
        <w:t> </w:t>
      </w:r>
      <w:r>
        <w:rPr>
          <w:color w:val="231F1F"/>
          <w:sz w:val="22"/>
        </w:rPr>
        <w:t>analgesia</w:t>
      </w:r>
      <w:r>
        <w:rPr>
          <w:color w:val="231F1F"/>
          <w:spacing w:val="80"/>
          <w:sz w:val="22"/>
        </w:rPr>
        <w:t> </w:t>
      </w:r>
      <w:r>
        <w:rPr>
          <w:color w:val="231F1F"/>
          <w:sz w:val="22"/>
        </w:rPr>
        <w:t>neuroaxial</w:t>
      </w:r>
      <w:r>
        <w:rPr>
          <w:color w:val="231F1F"/>
          <w:spacing w:val="80"/>
          <w:sz w:val="22"/>
        </w:rPr>
        <w:t> </w:t>
      </w:r>
      <w:r>
        <w:rPr>
          <w:color w:val="231F1F"/>
          <w:sz w:val="22"/>
        </w:rPr>
        <w:t>obstétrica?</w:t>
      </w:r>
    </w:p>
    <w:p>
      <w:pPr>
        <w:pStyle w:val="ListParagraph"/>
        <w:numPr>
          <w:ilvl w:val="0"/>
          <w:numId w:val="3"/>
        </w:numPr>
        <w:tabs>
          <w:tab w:pos="665" w:val="left" w:leader="none"/>
          <w:tab w:pos="668" w:val="left" w:leader="none"/>
        </w:tabs>
        <w:spacing w:line="259" w:lineRule="auto" w:before="121" w:after="0"/>
        <w:ind w:left="668" w:right="298" w:hanging="386"/>
        <w:jc w:val="left"/>
        <w:rPr>
          <w:sz w:val="22"/>
        </w:rPr>
      </w:pPr>
      <w:r>
        <w:rPr>
          <w:color w:val="231F1F"/>
          <w:w w:val="110"/>
          <w:sz w:val="22"/>
        </w:rPr>
        <w:t>¿Se</w:t>
      </w:r>
      <w:r>
        <w:rPr>
          <w:color w:val="231F1F"/>
          <w:spacing w:val="-8"/>
          <w:w w:val="110"/>
          <w:sz w:val="22"/>
        </w:rPr>
        <w:t> </w:t>
      </w:r>
      <w:r>
        <w:rPr>
          <w:color w:val="231F1F"/>
          <w:w w:val="110"/>
          <w:sz w:val="22"/>
        </w:rPr>
        <w:t>debe</w:t>
      </w:r>
      <w:r>
        <w:rPr>
          <w:color w:val="231F1F"/>
          <w:spacing w:val="-8"/>
          <w:w w:val="110"/>
          <w:sz w:val="22"/>
        </w:rPr>
        <w:t> </w:t>
      </w:r>
      <w:r>
        <w:rPr>
          <w:color w:val="231F1F"/>
          <w:w w:val="110"/>
          <w:sz w:val="22"/>
        </w:rPr>
        <w:t>posponer</w:t>
      </w:r>
      <w:r>
        <w:rPr>
          <w:color w:val="231F1F"/>
          <w:spacing w:val="-8"/>
          <w:w w:val="110"/>
          <w:sz w:val="22"/>
        </w:rPr>
        <w:t> </w:t>
      </w:r>
      <w:r>
        <w:rPr>
          <w:color w:val="231F1F"/>
          <w:w w:val="110"/>
          <w:sz w:val="22"/>
        </w:rPr>
        <w:t>la</w:t>
      </w:r>
      <w:r>
        <w:rPr>
          <w:color w:val="231F1F"/>
          <w:spacing w:val="-8"/>
          <w:w w:val="110"/>
          <w:sz w:val="22"/>
        </w:rPr>
        <w:t> </w:t>
      </w:r>
      <w:r>
        <w:rPr>
          <w:color w:val="231F1F"/>
          <w:w w:val="110"/>
          <w:sz w:val="22"/>
        </w:rPr>
        <w:t>instauración</w:t>
      </w:r>
      <w:r>
        <w:rPr>
          <w:color w:val="231F1F"/>
          <w:spacing w:val="-8"/>
          <w:w w:val="110"/>
          <w:sz w:val="22"/>
        </w:rPr>
        <w:t> </w:t>
      </w:r>
      <w:r>
        <w:rPr>
          <w:color w:val="231F1F"/>
          <w:w w:val="110"/>
          <w:sz w:val="22"/>
        </w:rPr>
        <w:t>de</w:t>
      </w:r>
      <w:r>
        <w:rPr>
          <w:color w:val="231F1F"/>
          <w:spacing w:val="-8"/>
          <w:w w:val="110"/>
          <w:sz w:val="22"/>
        </w:rPr>
        <w:t> </w:t>
      </w:r>
      <w:r>
        <w:rPr>
          <w:color w:val="231F1F"/>
          <w:w w:val="110"/>
          <w:sz w:val="22"/>
        </w:rPr>
        <w:t>una</w:t>
      </w:r>
      <w:r>
        <w:rPr>
          <w:color w:val="231F1F"/>
          <w:spacing w:val="-8"/>
          <w:w w:val="110"/>
          <w:sz w:val="22"/>
        </w:rPr>
        <w:t> </w:t>
      </w:r>
      <w:r>
        <w:rPr>
          <w:color w:val="231F1F"/>
          <w:w w:val="110"/>
          <w:sz w:val="22"/>
        </w:rPr>
        <w:t>analgesia</w:t>
      </w:r>
      <w:r>
        <w:rPr>
          <w:color w:val="231F1F"/>
          <w:spacing w:val="-8"/>
          <w:w w:val="110"/>
          <w:sz w:val="22"/>
        </w:rPr>
        <w:t> </w:t>
      </w:r>
      <w:r>
        <w:rPr>
          <w:color w:val="231F1F"/>
          <w:w w:val="110"/>
          <w:sz w:val="22"/>
        </w:rPr>
        <w:t>obstétrica</w:t>
      </w:r>
      <w:r>
        <w:rPr>
          <w:color w:val="231F1F"/>
          <w:spacing w:val="-8"/>
          <w:w w:val="110"/>
          <w:sz w:val="22"/>
        </w:rPr>
        <w:t> </w:t>
      </w:r>
      <w:r>
        <w:rPr>
          <w:color w:val="231F1F"/>
          <w:w w:val="110"/>
          <w:sz w:val="22"/>
        </w:rPr>
        <w:t>neuroaxial</w:t>
      </w:r>
      <w:r>
        <w:rPr>
          <w:color w:val="231F1F"/>
          <w:spacing w:val="-9"/>
          <w:w w:val="110"/>
          <w:sz w:val="22"/>
        </w:rPr>
        <w:t> </w:t>
      </w:r>
      <w:r>
        <w:rPr>
          <w:color w:val="231F1F"/>
          <w:w w:val="110"/>
          <w:sz w:val="22"/>
        </w:rPr>
        <w:t>hasta</w:t>
      </w:r>
      <w:r>
        <w:rPr>
          <w:color w:val="231F1F"/>
          <w:spacing w:val="-8"/>
          <w:w w:val="110"/>
          <w:sz w:val="22"/>
        </w:rPr>
        <w:t> </w:t>
      </w:r>
      <w:r>
        <w:rPr>
          <w:color w:val="231F1F"/>
          <w:w w:val="110"/>
          <w:sz w:val="22"/>
        </w:rPr>
        <w:t>una fase avanzada del parto?</w:t>
      </w:r>
    </w:p>
    <w:p>
      <w:pPr>
        <w:pStyle w:val="ListParagraph"/>
        <w:numPr>
          <w:ilvl w:val="0"/>
          <w:numId w:val="3"/>
        </w:numPr>
        <w:tabs>
          <w:tab w:pos="665" w:val="left" w:leader="none"/>
          <w:tab w:pos="668" w:val="left" w:leader="none"/>
        </w:tabs>
        <w:spacing w:line="254" w:lineRule="auto" w:before="130" w:after="0"/>
        <w:ind w:left="668" w:right="190" w:hanging="386"/>
        <w:jc w:val="left"/>
        <w:rPr>
          <w:sz w:val="22"/>
        </w:rPr>
      </w:pPr>
      <w:r>
        <w:rPr>
          <w:color w:val="231F1F"/>
          <w:sz w:val="22"/>
        </w:rPr>
        <w:t>¿Cómo</w:t>
      </w:r>
      <w:r>
        <w:rPr>
          <w:color w:val="231F1F"/>
          <w:spacing w:val="32"/>
          <w:sz w:val="22"/>
        </w:rPr>
        <w:t> </w:t>
      </w:r>
      <w:r>
        <w:rPr>
          <w:color w:val="231F1F"/>
          <w:sz w:val="22"/>
        </w:rPr>
        <w:t>influye</w:t>
      </w:r>
      <w:r>
        <w:rPr>
          <w:color w:val="231F1F"/>
          <w:spacing w:val="34"/>
          <w:sz w:val="22"/>
        </w:rPr>
        <w:t> </w:t>
      </w:r>
      <w:r>
        <w:rPr>
          <w:color w:val="231F1F"/>
          <w:sz w:val="22"/>
        </w:rPr>
        <w:t>el</w:t>
      </w:r>
      <w:r>
        <w:rPr>
          <w:color w:val="231F1F"/>
          <w:spacing w:val="34"/>
          <w:sz w:val="22"/>
        </w:rPr>
        <w:t> </w:t>
      </w:r>
      <w:r>
        <w:rPr>
          <w:color w:val="231F1F"/>
          <w:sz w:val="22"/>
        </w:rPr>
        <w:t>modo</w:t>
      </w:r>
      <w:r>
        <w:rPr>
          <w:color w:val="231F1F"/>
          <w:spacing w:val="34"/>
          <w:sz w:val="22"/>
        </w:rPr>
        <w:t> </w:t>
      </w:r>
      <w:r>
        <w:rPr>
          <w:color w:val="231F1F"/>
          <w:sz w:val="22"/>
        </w:rPr>
        <w:t>de</w:t>
      </w:r>
      <w:r>
        <w:rPr>
          <w:color w:val="231F1F"/>
          <w:spacing w:val="34"/>
          <w:sz w:val="22"/>
        </w:rPr>
        <w:t> </w:t>
      </w:r>
      <w:r>
        <w:rPr>
          <w:color w:val="231F1F"/>
          <w:sz w:val="22"/>
        </w:rPr>
        <w:t>administración</w:t>
      </w:r>
      <w:r>
        <w:rPr>
          <w:color w:val="231F1F"/>
          <w:spacing w:val="34"/>
          <w:sz w:val="22"/>
        </w:rPr>
        <w:t> </w:t>
      </w:r>
      <w:r>
        <w:rPr>
          <w:color w:val="231F1F"/>
          <w:sz w:val="22"/>
        </w:rPr>
        <w:t>de</w:t>
      </w:r>
      <w:r>
        <w:rPr>
          <w:color w:val="231F1F"/>
          <w:spacing w:val="34"/>
          <w:sz w:val="22"/>
        </w:rPr>
        <w:t> </w:t>
      </w:r>
      <w:r>
        <w:rPr>
          <w:color w:val="231F1F"/>
          <w:sz w:val="22"/>
        </w:rPr>
        <w:t>la</w:t>
      </w:r>
      <w:r>
        <w:rPr>
          <w:color w:val="231F1F"/>
          <w:spacing w:val="34"/>
          <w:sz w:val="22"/>
        </w:rPr>
        <w:t> </w:t>
      </w:r>
      <w:r>
        <w:rPr>
          <w:color w:val="231F1F"/>
          <w:sz w:val="22"/>
        </w:rPr>
        <w:t>analgesia</w:t>
      </w:r>
      <w:r>
        <w:rPr>
          <w:color w:val="231F1F"/>
          <w:spacing w:val="32"/>
          <w:sz w:val="22"/>
        </w:rPr>
        <w:t> </w:t>
      </w:r>
      <w:r>
        <w:rPr>
          <w:color w:val="231F1F"/>
          <w:sz w:val="22"/>
        </w:rPr>
        <w:t>sobre</w:t>
      </w:r>
      <w:r>
        <w:rPr>
          <w:color w:val="231F1F"/>
          <w:spacing w:val="34"/>
          <w:sz w:val="22"/>
        </w:rPr>
        <w:t> </w:t>
      </w:r>
      <w:r>
        <w:rPr>
          <w:color w:val="231F1F"/>
          <w:sz w:val="22"/>
        </w:rPr>
        <w:t>el</w:t>
      </w:r>
      <w:r>
        <w:rPr>
          <w:color w:val="231F1F"/>
          <w:spacing w:val="34"/>
          <w:sz w:val="22"/>
        </w:rPr>
        <w:t> </w:t>
      </w:r>
      <w:r>
        <w:rPr>
          <w:color w:val="231F1F"/>
          <w:sz w:val="22"/>
        </w:rPr>
        <w:t>parto</w:t>
      </w:r>
      <w:r>
        <w:rPr>
          <w:color w:val="231F1F"/>
          <w:spacing w:val="34"/>
          <w:sz w:val="22"/>
        </w:rPr>
        <w:t> </w:t>
      </w:r>
      <w:r>
        <w:rPr>
          <w:color w:val="231F1F"/>
          <w:sz w:val="22"/>
        </w:rPr>
        <w:t>y</w:t>
      </w:r>
      <w:r>
        <w:rPr>
          <w:color w:val="231F1F"/>
          <w:spacing w:val="34"/>
          <w:sz w:val="22"/>
        </w:rPr>
        <w:t> </w:t>
      </w:r>
      <w:r>
        <w:rPr>
          <w:color w:val="231F1F"/>
          <w:sz w:val="22"/>
        </w:rPr>
        <w:t>sus</w:t>
      </w:r>
      <w:r>
        <w:rPr>
          <w:color w:val="231F1F"/>
          <w:spacing w:val="34"/>
          <w:sz w:val="22"/>
        </w:rPr>
        <w:t> </w:t>
      </w:r>
      <w:r>
        <w:rPr>
          <w:color w:val="231F1F"/>
          <w:sz w:val="22"/>
        </w:rPr>
        <w:t>resulta- </w:t>
      </w:r>
      <w:r>
        <w:rPr>
          <w:color w:val="231F1F"/>
          <w:spacing w:val="-4"/>
          <w:w w:val="110"/>
          <w:sz w:val="22"/>
        </w:rPr>
        <w:t>dos?</w:t>
      </w:r>
    </w:p>
    <w:p>
      <w:pPr>
        <w:pStyle w:val="ListParagraph"/>
        <w:numPr>
          <w:ilvl w:val="0"/>
          <w:numId w:val="3"/>
        </w:numPr>
        <w:tabs>
          <w:tab w:pos="665" w:val="left" w:leader="none"/>
          <w:tab w:pos="668" w:val="left" w:leader="none"/>
        </w:tabs>
        <w:spacing w:line="264" w:lineRule="auto" w:before="145" w:after="0"/>
        <w:ind w:left="668" w:right="338" w:hanging="386"/>
        <w:jc w:val="left"/>
        <w:rPr>
          <w:sz w:val="22"/>
        </w:rPr>
      </w:pPr>
      <w:r>
        <w:rPr>
          <w:color w:val="231F1F"/>
          <w:sz w:val="22"/>
        </w:rPr>
        <w:t>¿Cuál</w:t>
      </w:r>
      <w:r>
        <w:rPr>
          <w:color w:val="231F1F"/>
          <w:spacing w:val="27"/>
          <w:sz w:val="22"/>
        </w:rPr>
        <w:t> </w:t>
      </w:r>
      <w:r>
        <w:rPr>
          <w:color w:val="231F1F"/>
          <w:sz w:val="22"/>
        </w:rPr>
        <w:t>es</w:t>
      </w:r>
      <w:r>
        <w:rPr>
          <w:color w:val="231F1F"/>
          <w:spacing w:val="29"/>
          <w:sz w:val="22"/>
        </w:rPr>
        <w:t> </w:t>
      </w:r>
      <w:r>
        <w:rPr>
          <w:color w:val="231F1F"/>
          <w:sz w:val="22"/>
        </w:rPr>
        <w:t>la</w:t>
      </w:r>
      <w:r>
        <w:rPr>
          <w:color w:val="231F1F"/>
          <w:spacing w:val="29"/>
          <w:sz w:val="22"/>
        </w:rPr>
        <w:t> </w:t>
      </w:r>
      <w:r>
        <w:rPr>
          <w:color w:val="231F1F"/>
          <w:sz w:val="22"/>
        </w:rPr>
        <w:t>efectividad</w:t>
      </w:r>
      <w:r>
        <w:rPr>
          <w:color w:val="231F1F"/>
          <w:spacing w:val="29"/>
          <w:sz w:val="22"/>
        </w:rPr>
        <w:t> </w:t>
      </w:r>
      <w:r>
        <w:rPr>
          <w:color w:val="231F1F"/>
          <w:sz w:val="22"/>
        </w:rPr>
        <w:t>de</w:t>
      </w:r>
      <w:r>
        <w:rPr>
          <w:color w:val="231F1F"/>
          <w:spacing w:val="29"/>
          <w:sz w:val="22"/>
        </w:rPr>
        <w:t> </w:t>
      </w:r>
      <w:r>
        <w:rPr>
          <w:color w:val="231F1F"/>
          <w:sz w:val="22"/>
        </w:rPr>
        <w:t>la</w:t>
      </w:r>
      <w:r>
        <w:rPr>
          <w:color w:val="231F1F"/>
          <w:spacing w:val="29"/>
          <w:sz w:val="22"/>
        </w:rPr>
        <w:t> </w:t>
      </w:r>
      <w:r>
        <w:rPr>
          <w:color w:val="231F1F"/>
          <w:sz w:val="22"/>
        </w:rPr>
        <w:t>vigilancia</w:t>
      </w:r>
      <w:r>
        <w:rPr>
          <w:color w:val="231F1F"/>
          <w:spacing w:val="29"/>
          <w:sz w:val="22"/>
        </w:rPr>
        <w:t> </w:t>
      </w:r>
      <w:r>
        <w:rPr>
          <w:color w:val="231F1F"/>
          <w:sz w:val="22"/>
        </w:rPr>
        <w:t>materna</w:t>
      </w:r>
      <w:r>
        <w:rPr>
          <w:color w:val="231F1F"/>
          <w:spacing w:val="29"/>
          <w:sz w:val="22"/>
        </w:rPr>
        <w:t> </w:t>
      </w:r>
      <w:r>
        <w:rPr>
          <w:color w:val="231F1F"/>
          <w:sz w:val="22"/>
        </w:rPr>
        <w:t>durante</w:t>
      </w:r>
      <w:r>
        <w:rPr>
          <w:color w:val="231F1F"/>
          <w:spacing w:val="27"/>
          <w:sz w:val="22"/>
        </w:rPr>
        <w:t> </w:t>
      </w:r>
      <w:r>
        <w:rPr>
          <w:color w:val="231F1F"/>
          <w:sz w:val="22"/>
        </w:rPr>
        <w:t>el</w:t>
      </w:r>
      <w:r>
        <w:rPr>
          <w:color w:val="231F1F"/>
          <w:spacing w:val="29"/>
          <w:sz w:val="22"/>
        </w:rPr>
        <w:t> </w:t>
      </w:r>
      <w:r>
        <w:rPr>
          <w:color w:val="231F1F"/>
          <w:sz w:val="22"/>
        </w:rPr>
        <w:t>establecimiento</w:t>
      </w:r>
      <w:r>
        <w:rPr>
          <w:color w:val="231F1F"/>
          <w:spacing w:val="29"/>
          <w:sz w:val="22"/>
        </w:rPr>
        <w:t> </w:t>
      </w:r>
      <w:r>
        <w:rPr>
          <w:color w:val="231F1F"/>
          <w:sz w:val="22"/>
        </w:rPr>
        <w:t>y</w:t>
      </w:r>
      <w:r>
        <w:rPr>
          <w:color w:val="231F1F"/>
          <w:spacing w:val="29"/>
          <w:sz w:val="22"/>
        </w:rPr>
        <w:t> </w:t>
      </w:r>
      <w:r>
        <w:rPr>
          <w:color w:val="231F1F"/>
          <w:sz w:val="22"/>
        </w:rPr>
        <w:t>manteni- miento</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analgesia</w:t>
      </w:r>
      <w:r>
        <w:rPr>
          <w:color w:val="231F1F"/>
          <w:spacing w:val="40"/>
          <w:sz w:val="22"/>
        </w:rPr>
        <w:t> </w:t>
      </w:r>
      <w:r>
        <w:rPr>
          <w:color w:val="231F1F"/>
          <w:sz w:val="22"/>
        </w:rPr>
        <w:t>neuroaxial?</w:t>
      </w:r>
    </w:p>
    <w:p>
      <w:pPr>
        <w:pStyle w:val="ListParagraph"/>
        <w:numPr>
          <w:ilvl w:val="0"/>
          <w:numId w:val="3"/>
        </w:numPr>
        <w:tabs>
          <w:tab w:pos="665" w:val="left" w:leader="none"/>
        </w:tabs>
        <w:spacing w:line="240" w:lineRule="auto" w:before="130" w:after="0"/>
        <w:ind w:left="665" w:right="0" w:hanging="383"/>
        <w:jc w:val="left"/>
        <w:rPr>
          <w:sz w:val="22"/>
        </w:rPr>
      </w:pPr>
      <w:r>
        <w:rPr>
          <w:color w:val="231F1F"/>
          <w:sz w:val="22"/>
        </w:rPr>
        <w:t>¿Cómo</w:t>
      </w:r>
      <w:r>
        <w:rPr>
          <w:color w:val="231F1F"/>
          <w:spacing w:val="33"/>
          <w:sz w:val="22"/>
        </w:rPr>
        <w:t> </w:t>
      </w:r>
      <w:r>
        <w:rPr>
          <w:color w:val="231F1F"/>
          <w:sz w:val="22"/>
        </w:rPr>
        <w:t>influye</w:t>
      </w:r>
      <w:r>
        <w:rPr>
          <w:color w:val="231F1F"/>
          <w:spacing w:val="33"/>
          <w:sz w:val="22"/>
        </w:rPr>
        <w:t> </w:t>
      </w:r>
      <w:r>
        <w:rPr>
          <w:color w:val="231F1F"/>
          <w:sz w:val="22"/>
        </w:rPr>
        <w:t>el</w:t>
      </w:r>
      <w:r>
        <w:rPr>
          <w:color w:val="231F1F"/>
          <w:spacing w:val="34"/>
          <w:sz w:val="22"/>
        </w:rPr>
        <w:t> </w:t>
      </w:r>
      <w:r>
        <w:rPr>
          <w:color w:val="231F1F"/>
          <w:sz w:val="22"/>
        </w:rPr>
        <w:t>anestésico</w:t>
      </w:r>
      <w:r>
        <w:rPr>
          <w:color w:val="231F1F"/>
          <w:spacing w:val="33"/>
          <w:sz w:val="22"/>
        </w:rPr>
        <w:t> </w:t>
      </w:r>
      <w:r>
        <w:rPr>
          <w:color w:val="231F1F"/>
          <w:sz w:val="22"/>
        </w:rPr>
        <w:t>local</w:t>
      </w:r>
      <w:r>
        <w:rPr>
          <w:color w:val="231F1F"/>
          <w:spacing w:val="34"/>
          <w:sz w:val="22"/>
        </w:rPr>
        <w:t> </w:t>
      </w:r>
      <w:r>
        <w:rPr>
          <w:color w:val="231F1F"/>
          <w:sz w:val="22"/>
        </w:rPr>
        <w:t>empleado</w:t>
      </w:r>
      <w:r>
        <w:rPr>
          <w:color w:val="231F1F"/>
          <w:spacing w:val="34"/>
          <w:sz w:val="22"/>
        </w:rPr>
        <w:t> </w:t>
      </w:r>
      <w:r>
        <w:rPr>
          <w:color w:val="231F1F"/>
          <w:sz w:val="22"/>
        </w:rPr>
        <w:t>en</w:t>
      </w:r>
      <w:r>
        <w:rPr>
          <w:color w:val="231F1F"/>
          <w:spacing w:val="33"/>
          <w:sz w:val="22"/>
        </w:rPr>
        <w:t> </w:t>
      </w:r>
      <w:r>
        <w:rPr>
          <w:color w:val="231F1F"/>
          <w:sz w:val="22"/>
        </w:rPr>
        <w:t>la</w:t>
      </w:r>
      <w:r>
        <w:rPr>
          <w:color w:val="231F1F"/>
          <w:spacing w:val="34"/>
          <w:sz w:val="22"/>
        </w:rPr>
        <w:t> </w:t>
      </w:r>
      <w:r>
        <w:rPr>
          <w:color w:val="231F1F"/>
          <w:sz w:val="22"/>
        </w:rPr>
        <w:t>analgesia</w:t>
      </w:r>
      <w:r>
        <w:rPr>
          <w:color w:val="231F1F"/>
          <w:spacing w:val="33"/>
          <w:sz w:val="22"/>
        </w:rPr>
        <w:t> </w:t>
      </w:r>
      <w:r>
        <w:rPr>
          <w:color w:val="231F1F"/>
          <w:sz w:val="22"/>
        </w:rPr>
        <w:t>neuroaxial</w:t>
      </w:r>
      <w:r>
        <w:rPr>
          <w:color w:val="231F1F"/>
          <w:spacing w:val="34"/>
          <w:sz w:val="22"/>
        </w:rPr>
        <w:t> </w:t>
      </w:r>
      <w:r>
        <w:rPr>
          <w:color w:val="231F1F"/>
          <w:spacing w:val="-2"/>
          <w:sz w:val="22"/>
        </w:rPr>
        <w:t>obstétrica?</w:t>
      </w:r>
    </w:p>
    <w:p>
      <w:pPr>
        <w:pStyle w:val="ListParagraph"/>
        <w:spacing w:after="0" w:line="240" w:lineRule="auto"/>
        <w:jc w:val="left"/>
        <w:rPr>
          <w:sz w:val="22"/>
        </w:rPr>
        <w:sectPr>
          <w:pgSz w:w="11900" w:h="16840"/>
          <w:pgMar w:header="0" w:footer="622" w:top="1580" w:bottom="820" w:left="1417" w:right="1559"/>
        </w:sectPr>
      </w:pPr>
    </w:p>
    <w:p>
      <w:pPr>
        <w:pStyle w:val="ListParagraph"/>
        <w:numPr>
          <w:ilvl w:val="0"/>
          <w:numId w:val="3"/>
        </w:numPr>
        <w:tabs>
          <w:tab w:pos="665" w:val="left" w:leader="none"/>
          <w:tab w:pos="668" w:val="left" w:leader="none"/>
        </w:tabs>
        <w:spacing w:line="264" w:lineRule="auto" w:before="73" w:after="0"/>
        <w:ind w:left="668" w:right="131" w:hanging="386"/>
        <w:jc w:val="both"/>
        <w:rPr>
          <w:sz w:val="22"/>
        </w:rPr>
      </w:pPr>
      <w:r>
        <w:rPr>
          <w:color w:val="231F1F"/>
          <w:w w:val="110"/>
          <w:sz w:val="22"/>
        </w:rPr>
        <w:t>¿Cómo influye el uso de opioides y coadyuvantes neuroaxiales sobre el parto y sus </w:t>
      </w:r>
      <w:r>
        <w:rPr>
          <w:color w:val="231F1F"/>
          <w:spacing w:val="-2"/>
          <w:w w:val="110"/>
          <w:sz w:val="22"/>
        </w:rPr>
        <w:t>resultados?</w:t>
      </w:r>
    </w:p>
    <w:p>
      <w:pPr>
        <w:pStyle w:val="ListParagraph"/>
        <w:numPr>
          <w:ilvl w:val="0"/>
          <w:numId w:val="3"/>
        </w:numPr>
        <w:tabs>
          <w:tab w:pos="665" w:val="left" w:leader="none"/>
        </w:tabs>
        <w:spacing w:line="240" w:lineRule="auto" w:before="115" w:after="0"/>
        <w:ind w:left="665" w:right="0" w:hanging="383"/>
        <w:jc w:val="left"/>
        <w:rPr>
          <w:sz w:val="22"/>
        </w:rPr>
      </w:pPr>
      <w:r>
        <w:rPr>
          <w:color w:val="231F1F"/>
          <w:w w:val="110"/>
          <w:sz w:val="22"/>
        </w:rPr>
        <w:t>¿Se</w:t>
      </w:r>
      <w:r>
        <w:rPr>
          <w:color w:val="231F1F"/>
          <w:spacing w:val="-13"/>
          <w:w w:val="110"/>
          <w:sz w:val="22"/>
        </w:rPr>
        <w:t> </w:t>
      </w:r>
      <w:r>
        <w:rPr>
          <w:color w:val="231F1F"/>
          <w:w w:val="110"/>
          <w:sz w:val="22"/>
        </w:rPr>
        <w:t>debe</w:t>
      </w:r>
      <w:r>
        <w:rPr>
          <w:color w:val="231F1F"/>
          <w:spacing w:val="-13"/>
          <w:w w:val="110"/>
          <w:sz w:val="22"/>
        </w:rPr>
        <w:t> </w:t>
      </w:r>
      <w:r>
        <w:rPr>
          <w:color w:val="231F1F"/>
          <w:w w:val="110"/>
          <w:sz w:val="22"/>
        </w:rPr>
        <w:t>mantener</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analgesia</w:t>
      </w:r>
      <w:r>
        <w:rPr>
          <w:color w:val="231F1F"/>
          <w:spacing w:val="-12"/>
          <w:w w:val="110"/>
          <w:sz w:val="22"/>
        </w:rPr>
        <w:t> </w:t>
      </w:r>
      <w:r>
        <w:rPr>
          <w:color w:val="231F1F"/>
          <w:w w:val="110"/>
          <w:sz w:val="22"/>
        </w:rPr>
        <w:t>epidural</w:t>
      </w:r>
      <w:r>
        <w:rPr>
          <w:color w:val="231F1F"/>
          <w:spacing w:val="-12"/>
          <w:w w:val="110"/>
          <w:sz w:val="22"/>
        </w:rPr>
        <w:t> </w:t>
      </w:r>
      <w:r>
        <w:rPr>
          <w:color w:val="231F1F"/>
          <w:w w:val="110"/>
          <w:sz w:val="22"/>
        </w:rPr>
        <w:t>durante</w:t>
      </w:r>
      <w:r>
        <w:rPr>
          <w:color w:val="231F1F"/>
          <w:spacing w:val="-12"/>
          <w:w w:val="110"/>
          <w:sz w:val="22"/>
        </w:rPr>
        <w:t> </w:t>
      </w:r>
      <w:r>
        <w:rPr>
          <w:color w:val="231F1F"/>
          <w:w w:val="110"/>
          <w:sz w:val="22"/>
        </w:rPr>
        <w:t>la</w:t>
      </w:r>
      <w:r>
        <w:rPr>
          <w:color w:val="231F1F"/>
          <w:spacing w:val="-11"/>
          <w:w w:val="110"/>
          <w:sz w:val="22"/>
        </w:rPr>
        <w:t> </w:t>
      </w:r>
      <w:r>
        <w:rPr>
          <w:color w:val="231F1F"/>
          <w:w w:val="110"/>
          <w:sz w:val="22"/>
        </w:rPr>
        <w:t>2ª</w:t>
      </w:r>
      <w:r>
        <w:rPr>
          <w:color w:val="231F1F"/>
          <w:spacing w:val="-14"/>
          <w:w w:val="110"/>
          <w:sz w:val="22"/>
        </w:rPr>
        <w:t> </w:t>
      </w:r>
      <w:r>
        <w:rPr>
          <w:color w:val="231F1F"/>
          <w:w w:val="110"/>
          <w:sz w:val="22"/>
        </w:rPr>
        <w:t>etapa</w:t>
      </w:r>
      <w:r>
        <w:rPr>
          <w:color w:val="231F1F"/>
          <w:spacing w:val="-12"/>
          <w:w w:val="110"/>
          <w:sz w:val="22"/>
        </w:rPr>
        <w:t> </w:t>
      </w:r>
      <w:r>
        <w:rPr>
          <w:color w:val="231F1F"/>
          <w:w w:val="110"/>
          <w:sz w:val="22"/>
        </w:rPr>
        <w:t>del</w:t>
      </w:r>
      <w:r>
        <w:rPr>
          <w:color w:val="231F1F"/>
          <w:spacing w:val="-14"/>
          <w:w w:val="110"/>
          <w:sz w:val="22"/>
        </w:rPr>
        <w:t> </w:t>
      </w:r>
      <w:r>
        <w:rPr>
          <w:color w:val="231F1F"/>
          <w:spacing w:val="-2"/>
          <w:w w:val="110"/>
          <w:sz w:val="22"/>
        </w:rPr>
        <w:t>parto?</w:t>
      </w:r>
    </w:p>
    <w:p>
      <w:pPr>
        <w:pStyle w:val="BodyText"/>
      </w:pPr>
    </w:p>
    <w:p>
      <w:pPr>
        <w:pStyle w:val="BodyText"/>
        <w:spacing w:before="26"/>
      </w:pPr>
    </w:p>
    <w:p>
      <w:pPr>
        <w:pStyle w:val="Heading3"/>
        <w:numPr>
          <w:ilvl w:val="0"/>
          <w:numId w:val="2"/>
        </w:numPr>
        <w:tabs>
          <w:tab w:pos="1015" w:val="left" w:leader="none"/>
        </w:tabs>
        <w:spacing w:line="240" w:lineRule="auto" w:before="0" w:after="0"/>
        <w:ind w:left="1015" w:right="0" w:hanging="734"/>
        <w:jc w:val="left"/>
      </w:pPr>
      <w:r>
        <w:rPr>
          <w:color w:val="231F1F"/>
          <w:w w:val="105"/>
        </w:rPr>
        <w:t>Monitorización</w:t>
      </w:r>
      <w:r>
        <w:rPr>
          <w:color w:val="231F1F"/>
          <w:spacing w:val="26"/>
          <w:w w:val="105"/>
        </w:rPr>
        <w:t> </w:t>
      </w:r>
      <w:r>
        <w:rPr>
          <w:color w:val="231F1F"/>
          <w:spacing w:val="-2"/>
          <w:w w:val="105"/>
        </w:rPr>
        <w:t>fetal</w:t>
      </w:r>
    </w:p>
    <w:p>
      <w:pPr>
        <w:pStyle w:val="ListParagraph"/>
        <w:numPr>
          <w:ilvl w:val="0"/>
          <w:numId w:val="3"/>
        </w:numPr>
        <w:tabs>
          <w:tab w:pos="665" w:val="left" w:leader="none"/>
          <w:tab w:pos="668" w:val="left" w:leader="none"/>
        </w:tabs>
        <w:spacing w:line="264" w:lineRule="auto" w:before="258" w:after="0"/>
        <w:ind w:left="668" w:right="120" w:hanging="386"/>
        <w:jc w:val="both"/>
        <w:rPr>
          <w:sz w:val="22"/>
        </w:rPr>
      </w:pPr>
      <w:r>
        <w:rPr>
          <w:color w:val="231F1F"/>
          <w:w w:val="105"/>
          <w:sz w:val="22"/>
        </w:rPr>
        <w:t>¿Cuál</w:t>
      </w:r>
      <w:r>
        <w:rPr>
          <w:color w:val="231F1F"/>
          <w:spacing w:val="-14"/>
          <w:w w:val="105"/>
          <w:sz w:val="22"/>
        </w:rPr>
        <w:t> </w:t>
      </w:r>
      <w:r>
        <w:rPr>
          <w:color w:val="231F1F"/>
          <w:w w:val="105"/>
          <w:sz w:val="22"/>
        </w:rPr>
        <w:t>es</w:t>
      </w:r>
      <w:r>
        <w:rPr>
          <w:color w:val="231F1F"/>
          <w:spacing w:val="-14"/>
          <w:w w:val="105"/>
          <w:sz w:val="22"/>
        </w:rPr>
        <w:t> </w:t>
      </w:r>
      <w:r>
        <w:rPr>
          <w:color w:val="231F1F"/>
          <w:w w:val="105"/>
          <w:sz w:val="22"/>
        </w:rPr>
        <w:t>la</w:t>
      </w:r>
      <w:r>
        <w:rPr>
          <w:color w:val="231F1F"/>
          <w:spacing w:val="-14"/>
          <w:w w:val="105"/>
          <w:sz w:val="22"/>
        </w:rPr>
        <w:t> </w:t>
      </w:r>
      <w:r>
        <w:rPr>
          <w:color w:val="231F1F"/>
          <w:w w:val="105"/>
          <w:sz w:val="22"/>
        </w:rPr>
        <w:t>efectividad</w:t>
      </w:r>
      <w:r>
        <w:rPr>
          <w:color w:val="231F1F"/>
          <w:spacing w:val="-14"/>
          <w:w w:val="105"/>
          <w:sz w:val="22"/>
        </w:rPr>
        <w:t> </w:t>
      </w:r>
      <w:r>
        <w:rPr>
          <w:color w:val="231F1F"/>
          <w:w w:val="105"/>
          <w:sz w:val="22"/>
        </w:rPr>
        <w:t>de</w:t>
      </w:r>
      <w:r>
        <w:rPr>
          <w:color w:val="231F1F"/>
          <w:spacing w:val="-14"/>
          <w:w w:val="105"/>
          <w:sz w:val="22"/>
        </w:rPr>
        <w:t> </w:t>
      </w:r>
      <w:r>
        <w:rPr>
          <w:color w:val="231F1F"/>
          <w:w w:val="105"/>
          <w:sz w:val="22"/>
        </w:rPr>
        <w:t>los</w:t>
      </w:r>
      <w:r>
        <w:rPr>
          <w:color w:val="231F1F"/>
          <w:spacing w:val="-14"/>
          <w:w w:val="105"/>
          <w:sz w:val="22"/>
        </w:rPr>
        <w:t> </w:t>
      </w:r>
      <w:r>
        <w:rPr>
          <w:color w:val="231F1F"/>
          <w:w w:val="105"/>
          <w:sz w:val="22"/>
        </w:rPr>
        <w:t>siguientes</w:t>
      </w:r>
      <w:r>
        <w:rPr>
          <w:color w:val="231F1F"/>
          <w:spacing w:val="-14"/>
          <w:w w:val="105"/>
          <w:sz w:val="22"/>
        </w:rPr>
        <w:t> </w:t>
      </w:r>
      <w:r>
        <w:rPr>
          <w:color w:val="231F1F"/>
          <w:w w:val="105"/>
          <w:sz w:val="22"/>
        </w:rPr>
        <w:t>métodos</w:t>
      </w:r>
      <w:r>
        <w:rPr>
          <w:color w:val="231F1F"/>
          <w:spacing w:val="-14"/>
          <w:w w:val="105"/>
          <w:sz w:val="22"/>
        </w:rPr>
        <w:t> </w:t>
      </w:r>
      <w:r>
        <w:rPr>
          <w:color w:val="231F1F"/>
          <w:w w:val="105"/>
          <w:sz w:val="22"/>
        </w:rPr>
        <w:t>de</w:t>
      </w:r>
      <w:r>
        <w:rPr>
          <w:color w:val="231F1F"/>
          <w:spacing w:val="-14"/>
          <w:w w:val="105"/>
          <w:sz w:val="22"/>
        </w:rPr>
        <w:t> </w:t>
      </w:r>
      <w:r>
        <w:rPr>
          <w:color w:val="231F1F"/>
          <w:w w:val="105"/>
          <w:sz w:val="22"/>
        </w:rPr>
        <w:t>monitorización</w:t>
      </w:r>
      <w:r>
        <w:rPr>
          <w:color w:val="231F1F"/>
          <w:spacing w:val="-14"/>
          <w:w w:val="105"/>
          <w:sz w:val="22"/>
        </w:rPr>
        <w:t> </w:t>
      </w:r>
      <w:r>
        <w:rPr>
          <w:color w:val="231F1F"/>
          <w:w w:val="105"/>
          <w:sz w:val="22"/>
        </w:rPr>
        <w:t>fetal:</w:t>
      </w:r>
      <w:r>
        <w:rPr>
          <w:color w:val="231F1F"/>
          <w:spacing w:val="-14"/>
          <w:w w:val="105"/>
          <w:sz w:val="22"/>
        </w:rPr>
        <w:t> </w:t>
      </w:r>
      <w:r>
        <w:rPr>
          <w:color w:val="231F1F"/>
          <w:w w:val="105"/>
          <w:sz w:val="22"/>
        </w:rPr>
        <w:t>monitorización electrónica</w:t>
      </w:r>
      <w:r>
        <w:rPr>
          <w:color w:val="231F1F"/>
          <w:w w:val="105"/>
          <w:sz w:val="22"/>
        </w:rPr>
        <w:t> fetal</w:t>
      </w:r>
      <w:r>
        <w:rPr>
          <w:color w:val="231F1F"/>
          <w:w w:val="105"/>
          <w:sz w:val="22"/>
        </w:rPr>
        <w:t> continua</w:t>
      </w:r>
      <w:r>
        <w:rPr>
          <w:color w:val="231F1F"/>
          <w:w w:val="105"/>
          <w:sz w:val="22"/>
        </w:rPr>
        <w:t> (MEFC)</w:t>
      </w:r>
      <w:r>
        <w:rPr>
          <w:color w:val="231F1F"/>
          <w:w w:val="105"/>
          <w:sz w:val="22"/>
        </w:rPr>
        <w:t> frente</w:t>
      </w:r>
      <w:r>
        <w:rPr>
          <w:color w:val="231F1F"/>
          <w:w w:val="105"/>
          <w:sz w:val="22"/>
        </w:rPr>
        <w:t> a</w:t>
      </w:r>
      <w:r>
        <w:rPr>
          <w:color w:val="231F1F"/>
          <w:w w:val="105"/>
          <w:sz w:val="22"/>
        </w:rPr>
        <w:t> auscultación</w:t>
      </w:r>
      <w:r>
        <w:rPr>
          <w:color w:val="231F1F"/>
          <w:w w:val="105"/>
          <w:sz w:val="22"/>
        </w:rPr>
        <w:t> fetal</w:t>
      </w:r>
      <w:r>
        <w:rPr>
          <w:color w:val="231F1F"/>
          <w:w w:val="105"/>
          <w:sz w:val="22"/>
        </w:rPr>
        <w:t> intermitente</w:t>
      </w:r>
      <w:r>
        <w:rPr>
          <w:color w:val="231F1F"/>
          <w:w w:val="105"/>
          <w:sz w:val="22"/>
        </w:rPr>
        <w:t> (Estetos- copio de Pinard o Doppler)?</w:t>
      </w:r>
    </w:p>
    <w:p>
      <w:pPr>
        <w:pStyle w:val="ListParagraph"/>
        <w:numPr>
          <w:ilvl w:val="0"/>
          <w:numId w:val="3"/>
        </w:numPr>
        <w:tabs>
          <w:tab w:pos="665" w:val="left" w:leader="none"/>
          <w:tab w:pos="668" w:val="left" w:leader="none"/>
        </w:tabs>
        <w:spacing w:line="268" w:lineRule="auto" w:before="116" w:after="0"/>
        <w:ind w:left="668" w:right="124" w:hanging="386"/>
        <w:jc w:val="both"/>
        <w:rPr>
          <w:sz w:val="22"/>
        </w:rPr>
      </w:pPr>
      <w:r>
        <w:rPr>
          <w:color w:val="231F1F"/>
          <w:w w:val="110"/>
          <w:sz w:val="22"/>
        </w:rPr>
        <w:t>¿Cuál</w:t>
      </w:r>
      <w:r>
        <w:rPr>
          <w:color w:val="231F1F"/>
          <w:spacing w:val="-2"/>
          <w:w w:val="110"/>
          <w:sz w:val="22"/>
        </w:rPr>
        <w:t> </w:t>
      </w:r>
      <w:r>
        <w:rPr>
          <w:color w:val="231F1F"/>
          <w:w w:val="110"/>
          <w:sz w:val="22"/>
        </w:rPr>
        <w:t>es</w:t>
      </w:r>
      <w:r>
        <w:rPr>
          <w:color w:val="231F1F"/>
          <w:spacing w:val="-1"/>
          <w:w w:val="110"/>
          <w:sz w:val="22"/>
        </w:rPr>
        <w:t> </w:t>
      </w:r>
      <w:r>
        <w:rPr>
          <w:color w:val="231F1F"/>
          <w:w w:val="110"/>
          <w:sz w:val="22"/>
        </w:rPr>
        <w:t>la</w:t>
      </w:r>
      <w:r>
        <w:rPr>
          <w:color w:val="231F1F"/>
          <w:spacing w:val="-1"/>
          <w:w w:val="110"/>
          <w:sz w:val="22"/>
        </w:rPr>
        <w:t> </w:t>
      </w:r>
      <w:r>
        <w:rPr>
          <w:color w:val="231F1F"/>
          <w:w w:val="110"/>
          <w:sz w:val="22"/>
        </w:rPr>
        <w:t>efectividad</w:t>
      </w:r>
      <w:r>
        <w:rPr>
          <w:color w:val="231F1F"/>
          <w:spacing w:val="-1"/>
          <w:w w:val="110"/>
          <w:sz w:val="22"/>
        </w:rPr>
        <w:t> </w:t>
      </w:r>
      <w:r>
        <w:rPr>
          <w:color w:val="231F1F"/>
          <w:w w:val="110"/>
          <w:sz w:val="22"/>
        </w:rPr>
        <w:t>de</w:t>
      </w:r>
      <w:r>
        <w:rPr>
          <w:color w:val="231F1F"/>
          <w:spacing w:val="-1"/>
          <w:w w:val="110"/>
          <w:sz w:val="22"/>
        </w:rPr>
        <w:t> </w:t>
      </w:r>
      <w:r>
        <w:rPr>
          <w:color w:val="231F1F"/>
          <w:w w:val="110"/>
          <w:sz w:val="22"/>
        </w:rPr>
        <w:t>los</w:t>
      </w:r>
      <w:r>
        <w:rPr>
          <w:color w:val="231F1F"/>
          <w:spacing w:val="-1"/>
          <w:w w:val="110"/>
          <w:sz w:val="22"/>
        </w:rPr>
        <w:t> </w:t>
      </w:r>
      <w:r>
        <w:rPr>
          <w:color w:val="231F1F"/>
          <w:w w:val="110"/>
          <w:sz w:val="22"/>
        </w:rPr>
        <w:t>siguientes</w:t>
      </w:r>
      <w:r>
        <w:rPr>
          <w:color w:val="231F1F"/>
          <w:spacing w:val="-2"/>
          <w:w w:val="110"/>
          <w:sz w:val="22"/>
        </w:rPr>
        <w:t> </w:t>
      </w:r>
      <w:r>
        <w:rPr>
          <w:color w:val="231F1F"/>
          <w:w w:val="110"/>
          <w:sz w:val="22"/>
        </w:rPr>
        <w:t>métodos</w:t>
      </w:r>
      <w:r>
        <w:rPr>
          <w:color w:val="231F1F"/>
          <w:spacing w:val="-1"/>
          <w:w w:val="110"/>
          <w:sz w:val="22"/>
        </w:rPr>
        <w:t> </w:t>
      </w:r>
      <w:r>
        <w:rPr>
          <w:color w:val="231F1F"/>
          <w:w w:val="110"/>
          <w:sz w:val="22"/>
        </w:rPr>
        <w:t>de</w:t>
      </w:r>
      <w:r>
        <w:rPr>
          <w:color w:val="231F1F"/>
          <w:spacing w:val="-1"/>
          <w:w w:val="110"/>
          <w:sz w:val="22"/>
        </w:rPr>
        <w:t> </w:t>
      </w:r>
      <w:r>
        <w:rPr>
          <w:color w:val="231F1F"/>
          <w:w w:val="110"/>
          <w:sz w:val="22"/>
        </w:rPr>
        <w:t>monitorización fetal:</w:t>
      </w:r>
      <w:r>
        <w:rPr>
          <w:color w:val="231F1F"/>
          <w:spacing w:val="-1"/>
          <w:w w:val="110"/>
          <w:sz w:val="22"/>
        </w:rPr>
        <w:t> </w:t>
      </w:r>
      <w:r>
        <w:rPr>
          <w:color w:val="231F1F"/>
          <w:w w:val="110"/>
          <w:sz w:val="22"/>
        </w:rPr>
        <w:t>MEFC vs monitorización electrónica intermitente (MEFI)?</w:t>
      </w:r>
    </w:p>
    <w:p>
      <w:pPr>
        <w:pStyle w:val="ListParagraph"/>
        <w:numPr>
          <w:ilvl w:val="0"/>
          <w:numId w:val="3"/>
        </w:numPr>
        <w:tabs>
          <w:tab w:pos="665" w:val="left" w:leader="none"/>
          <w:tab w:pos="668" w:val="left" w:leader="none"/>
        </w:tabs>
        <w:spacing w:line="264" w:lineRule="auto" w:before="110" w:after="0"/>
        <w:ind w:left="668" w:right="124" w:hanging="386"/>
        <w:jc w:val="both"/>
        <w:rPr>
          <w:sz w:val="22"/>
        </w:rPr>
      </w:pPr>
      <w:r>
        <w:rPr>
          <w:color w:val="231F1F"/>
          <w:w w:val="110"/>
          <w:sz w:val="22"/>
        </w:rPr>
        <w:t>¿Cuál</w:t>
      </w:r>
      <w:r>
        <w:rPr>
          <w:color w:val="231F1F"/>
          <w:spacing w:val="-13"/>
          <w:w w:val="110"/>
          <w:sz w:val="22"/>
        </w:rPr>
        <w:t> </w:t>
      </w:r>
      <w:r>
        <w:rPr>
          <w:color w:val="231F1F"/>
          <w:w w:val="110"/>
          <w:sz w:val="22"/>
        </w:rPr>
        <w:t>es</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efectividad</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siguientes</w:t>
      </w:r>
      <w:r>
        <w:rPr>
          <w:color w:val="231F1F"/>
          <w:spacing w:val="-13"/>
          <w:w w:val="110"/>
          <w:sz w:val="22"/>
        </w:rPr>
        <w:t> </w:t>
      </w:r>
      <w:r>
        <w:rPr>
          <w:color w:val="231F1F"/>
          <w:w w:val="110"/>
          <w:sz w:val="22"/>
        </w:rPr>
        <w:t>métodos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monitorización</w:t>
      </w:r>
      <w:r>
        <w:rPr>
          <w:color w:val="231F1F"/>
          <w:spacing w:val="-13"/>
          <w:w w:val="110"/>
          <w:sz w:val="22"/>
        </w:rPr>
        <w:t> </w:t>
      </w:r>
      <w:r>
        <w:rPr>
          <w:color w:val="231F1F"/>
          <w:w w:val="110"/>
          <w:sz w:val="22"/>
        </w:rPr>
        <w:t>fetal:</w:t>
      </w:r>
      <w:r>
        <w:rPr>
          <w:color w:val="231F1F"/>
          <w:spacing w:val="-13"/>
          <w:w w:val="110"/>
          <w:sz w:val="22"/>
        </w:rPr>
        <w:t> </w:t>
      </w:r>
      <w:r>
        <w:rPr>
          <w:color w:val="231F1F"/>
          <w:w w:val="110"/>
          <w:sz w:val="22"/>
        </w:rPr>
        <w:t>MEFC</w:t>
      </w:r>
      <w:r>
        <w:rPr>
          <w:color w:val="231F1F"/>
          <w:spacing w:val="-13"/>
          <w:w w:val="110"/>
          <w:sz w:val="22"/>
        </w:rPr>
        <w:t> </w:t>
      </w:r>
      <w:r>
        <w:rPr>
          <w:color w:val="231F1F"/>
          <w:w w:val="110"/>
          <w:sz w:val="22"/>
        </w:rPr>
        <w:t>con o sin pulsioximetría fetal cuando se presentan alteraciones de la FCF?</w:t>
      </w:r>
    </w:p>
    <w:p>
      <w:pPr>
        <w:pStyle w:val="ListParagraph"/>
        <w:numPr>
          <w:ilvl w:val="0"/>
          <w:numId w:val="3"/>
        </w:numPr>
        <w:tabs>
          <w:tab w:pos="665" w:val="left" w:leader="none"/>
          <w:tab w:pos="668" w:val="left" w:leader="none"/>
        </w:tabs>
        <w:spacing w:line="261" w:lineRule="auto" w:before="125" w:after="0"/>
        <w:ind w:left="668" w:right="124" w:hanging="386"/>
        <w:jc w:val="both"/>
        <w:rPr>
          <w:sz w:val="22"/>
        </w:rPr>
      </w:pPr>
      <w:r>
        <w:rPr>
          <w:color w:val="231F1F"/>
          <w:w w:val="110"/>
          <w:sz w:val="22"/>
        </w:rPr>
        <w:t>¿Cuál</w:t>
      </w:r>
      <w:r>
        <w:rPr>
          <w:color w:val="231F1F"/>
          <w:spacing w:val="-13"/>
          <w:w w:val="110"/>
          <w:sz w:val="22"/>
        </w:rPr>
        <w:t> </w:t>
      </w:r>
      <w:r>
        <w:rPr>
          <w:color w:val="231F1F"/>
          <w:w w:val="110"/>
          <w:sz w:val="22"/>
        </w:rPr>
        <w:t>es</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efectividad</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siguientes</w:t>
      </w:r>
      <w:r>
        <w:rPr>
          <w:color w:val="231F1F"/>
          <w:spacing w:val="-13"/>
          <w:w w:val="110"/>
          <w:sz w:val="22"/>
        </w:rPr>
        <w:t> </w:t>
      </w:r>
      <w:r>
        <w:rPr>
          <w:color w:val="231F1F"/>
          <w:w w:val="110"/>
          <w:sz w:val="22"/>
        </w:rPr>
        <w:t>métodos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monitorización</w:t>
      </w:r>
      <w:r>
        <w:rPr>
          <w:color w:val="231F1F"/>
          <w:spacing w:val="-13"/>
          <w:w w:val="110"/>
          <w:sz w:val="22"/>
        </w:rPr>
        <w:t> </w:t>
      </w:r>
      <w:r>
        <w:rPr>
          <w:color w:val="231F1F"/>
          <w:w w:val="110"/>
          <w:sz w:val="22"/>
        </w:rPr>
        <w:t>fetal:</w:t>
      </w:r>
      <w:r>
        <w:rPr>
          <w:color w:val="231F1F"/>
          <w:spacing w:val="-13"/>
          <w:w w:val="110"/>
          <w:sz w:val="22"/>
        </w:rPr>
        <w:t> </w:t>
      </w:r>
      <w:r>
        <w:rPr>
          <w:color w:val="231F1F"/>
          <w:w w:val="110"/>
          <w:sz w:val="22"/>
        </w:rPr>
        <w:t>MEFC</w:t>
      </w:r>
      <w:r>
        <w:rPr>
          <w:color w:val="231F1F"/>
          <w:spacing w:val="-13"/>
          <w:w w:val="110"/>
          <w:sz w:val="22"/>
        </w:rPr>
        <w:t> </w:t>
      </w:r>
      <w:r>
        <w:rPr>
          <w:color w:val="231F1F"/>
          <w:w w:val="110"/>
          <w:sz w:val="22"/>
        </w:rPr>
        <w:t>con o</w:t>
      </w:r>
      <w:r>
        <w:rPr>
          <w:color w:val="231F1F"/>
          <w:spacing w:val="-13"/>
          <w:w w:val="110"/>
          <w:sz w:val="22"/>
        </w:rPr>
        <w:t> </w:t>
      </w:r>
      <w:r>
        <w:rPr>
          <w:color w:val="231F1F"/>
          <w:w w:val="110"/>
          <w:sz w:val="22"/>
        </w:rPr>
        <w:t>sin</w:t>
      </w:r>
      <w:r>
        <w:rPr>
          <w:color w:val="231F1F"/>
          <w:spacing w:val="-13"/>
          <w:w w:val="110"/>
          <w:sz w:val="22"/>
        </w:rPr>
        <w:t> </w:t>
      </w:r>
      <w:r>
        <w:rPr>
          <w:color w:val="231F1F"/>
          <w:w w:val="110"/>
          <w:sz w:val="22"/>
        </w:rPr>
        <w:t>análisis</w:t>
      </w:r>
      <w:r>
        <w:rPr>
          <w:color w:val="231F1F"/>
          <w:spacing w:val="-13"/>
          <w:w w:val="110"/>
          <w:sz w:val="22"/>
        </w:rPr>
        <w:t> </w:t>
      </w:r>
      <w:r>
        <w:rPr>
          <w:color w:val="231F1F"/>
          <w:w w:val="110"/>
          <w:sz w:val="22"/>
        </w:rPr>
        <w:t>del</w:t>
      </w:r>
      <w:r>
        <w:rPr>
          <w:color w:val="231F1F"/>
          <w:spacing w:val="-13"/>
          <w:w w:val="110"/>
          <w:sz w:val="22"/>
        </w:rPr>
        <w:t> </w:t>
      </w:r>
      <w:r>
        <w:rPr>
          <w:color w:val="231F1F"/>
          <w:w w:val="110"/>
          <w:sz w:val="22"/>
        </w:rPr>
        <w:t>segmento</w:t>
      </w:r>
      <w:r>
        <w:rPr>
          <w:color w:val="231F1F"/>
          <w:spacing w:val="-13"/>
          <w:w w:val="110"/>
          <w:sz w:val="22"/>
        </w:rPr>
        <w:t> </w:t>
      </w:r>
      <w:r>
        <w:rPr>
          <w:color w:val="231F1F"/>
          <w:w w:val="110"/>
          <w:sz w:val="22"/>
        </w:rPr>
        <w:t>ST</w:t>
      </w:r>
      <w:r>
        <w:rPr>
          <w:color w:val="231F1F"/>
          <w:spacing w:val="-12"/>
          <w:w w:val="110"/>
          <w:sz w:val="22"/>
        </w:rPr>
        <w:t> </w:t>
      </w:r>
      <w:r>
        <w:rPr>
          <w:color w:val="231F1F"/>
          <w:w w:val="110"/>
          <w:sz w:val="22"/>
        </w:rPr>
        <w:t>(STAN)</w:t>
      </w:r>
      <w:r>
        <w:rPr>
          <w:color w:val="231F1F"/>
          <w:spacing w:val="-13"/>
          <w:w w:val="110"/>
          <w:sz w:val="22"/>
        </w:rPr>
        <w:t> </w:t>
      </w:r>
      <w:r>
        <w:rPr>
          <w:color w:val="231F1F"/>
          <w:w w:val="110"/>
          <w:sz w:val="22"/>
        </w:rPr>
        <w:t>del</w:t>
      </w:r>
      <w:r>
        <w:rPr>
          <w:color w:val="231F1F"/>
          <w:spacing w:val="-13"/>
          <w:w w:val="110"/>
          <w:sz w:val="22"/>
        </w:rPr>
        <w:t> </w:t>
      </w:r>
      <w:r>
        <w:rPr>
          <w:color w:val="231F1F"/>
          <w:w w:val="110"/>
          <w:sz w:val="22"/>
        </w:rPr>
        <w:t>ECG</w:t>
      </w:r>
      <w:r>
        <w:rPr>
          <w:color w:val="231F1F"/>
          <w:spacing w:val="-11"/>
          <w:w w:val="110"/>
          <w:sz w:val="22"/>
        </w:rPr>
        <w:t> </w:t>
      </w:r>
      <w:r>
        <w:rPr>
          <w:color w:val="231F1F"/>
          <w:w w:val="110"/>
          <w:sz w:val="22"/>
        </w:rPr>
        <w:t>fetal</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presencia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un</w:t>
      </w:r>
      <w:r>
        <w:rPr>
          <w:color w:val="231F1F"/>
          <w:spacing w:val="-13"/>
          <w:w w:val="110"/>
          <w:sz w:val="22"/>
        </w:rPr>
        <w:t> </w:t>
      </w:r>
      <w:r>
        <w:rPr>
          <w:color w:val="231F1F"/>
          <w:w w:val="110"/>
          <w:sz w:val="22"/>
        </w:rPr>
        <w:t>registro</w:t>
      </w:r>
      <w:r>
        <w:rPr>
          <w:color w:val="231F1F"/>
          <w:spacing w:val="-12"/>
          <w:w w:val="110"/>
          <w:sz w:val="22"/>
        </w:rPr>
        <w:t> </w:t>
      </w:r>
      <w:r>
        <w:rPr>
          <w:color w:val="231F1F"/>
          <w:w w:val="110"/>
          <w:sz w:val="22"/>
        </w:rPr>
        <w:t>car- diotocográfico (RCTG) patológico?</w:t>
      </w:r>
    </w:p>
    <w:p>
      <w:pPr>
        <w:pStyle w:val="ListParagraph"/>
        <w:numPr>
          <w:ilvl w:val="0"/>
          <w:numId w:val="3"/>
        </w:numPr>
        <w:tabs>
          <w:tab w:pos="665" w:val="left" w:leader="none"/>
          <w:tab w:pos="668" w:val="left" w:leader="none"/>
        </w:tabs>
        <w:spacing w:line="264" w:lineRule="auto" w:before="119" w:after="0"/>
        <w:ind w:left="668" w:right="124" w:hanging="386"/>
        <w:jc w:val="both"/>
        <w:rPr>
          <w:sz w:val="22"/>
        </w:rPr>
      </w:pPr>
      <w:r>
        <w:rPr>
          <w:color w:val="231F1F"/>
          <w:w w:val="110"/>
          <w:sz w:val="22"/>
        </w:rPr>
        <w:t>¿Cuál</w:t>
      </w:r>
      <w:r>
        <w:rPr>
          <w:color w:val="231F1F"/>
          <w:spacing w:val="-13"/>
          <w:w w:val="110"/>
          <w:sz w:val="22"/>
        </w:rPr>
        <w:t> </w:t>
      </w:r>
      <w:r>
        <w:rPr>
          <w:color w:val="231F1F"/>
          <w:w w:val="110"/>
          <w:sz w:val="22"/>
        </w:rPr>
        <w:t>es</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efectividad</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siguientes</w:t>
      </w:r>
      <w:r>
        <w:rPr>
          <w:color w:val="231F1F"/>
          <w:spacing w:val="-13"/>
          <w:w w:val="110"/>
          <w:sz w:val="22"/>
        </w:rPr>
        <w:t> </w:t>
      </w:r>
      <w:r>
        <w:rPr>
          <w:color w:val="231F1F"/>
          <w:w w:val="110"/>
          <w:sz w:val="22"/>
        </w:rPr>
        <w:t>métodos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monitorización</w:t>
      </w:r>
      <w:r>
        <w:rPr>
          <w:color w:val="231F1F"/>
          <w:spacing w:val="-13"/>
          <w:w w:val="110"/>
          <w:sz w:val="22"/>
        </w:rPr>
        <w:t> </w:t>
      </w:r>
      <w:r>
        <w:rPr>
          <w:color w:val="231F1F"/>
          <w:w w:val="110"/>
          <w:sz w:val="22"/>
        </w:rPr>
        <w:t>fetal:</w:t>
      </w:r>
      <w:r>
        <w:rPr>
          <w:color w:val="231F1F"/>
          <w:spacing w:val="-13"/>
          <w:w w:val="110"/>
          <w:sz w:val="22"/>
        </w:rPr>
        <w:t> </w:t>
      </w:r>
      <w:r>
        <w:rPr>
          <w:color w:val="231F1F"/>
          <w:w w:val="110"/>
          <w:sz w:val="22"/>
        </w:rPr>
        <w:t>MEFC</w:t>
      </w:r>
      <w:r>
        <w:rPr>
          <w:color w:val="231F1F"/>
          <w:spacing w:val="-13"/>
          <w:w w:val="110"/>
          <w:sz w:val="22"/>
        </w:rPr>
        <w:t> </w:t>
      </w:r>
      <w:r>
        <w:rPr>
          <w:color w:val="231F1F"/>
          <w:w w:val="110"/>
          <w:sz w:val="22"/>
        </w:rPr>
        <w:t>con o sin microtoma de sangre de la calota fetal (MSF)?</w:t>
      </w:r>
    </w:p>
    <w:p>
      <w:pPr>
        <w:pStyle w:val="ListParagraph"/>
        <w:numPr>
          <w:ilvl w:val="0"/>
          <w:numId w:val="3"/>
        </w:numPr>
        <w:tabs>
          <w:tab w:pos="665" w:val="left" w:leader="none"/>
          <w:tab w:pos="668" w:val="left" w:leader="none"/>
        </w:tabs>
        <w:spacing w:line="264" w:lineRule="auto" w:before="120" w:after="0"/>
        <w:ind w:left="668" w:right="124" w:hanging="386"/>
        <w:jc w:val="both"/>
        <w:rPr>
          <w:sz w:val="22"/>
        </w:rPr>
      </w:pPr>
      <w:r>
        <w:rPr>
          <w:color w:val="231F1F"/>
          <w:w w:val="110"/>
          <w:sz w:val="22"/>
        </w:rPr>
        <w:t>¿Cuál</w:t>
      </w:r>
      <w:r>
        <w:rPr>
          <w:color w:val="231F1F"/>
          <w:spacing w:val="-13"/>
          <w:w w:val="110"/>
          <w:sz w:val="22"/>
        </w:rPr>
        <w:t> </w:t>
      </w:r>
      <w:r>
        <w:rPr>
          <w:color w:val="231F1F"/>
          <w:w w:val="110"/>
          <w:sz w:val="22"/>
        </w:rPr>
        <w:t>es</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efectividad</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siguientes</w:t>
      </w:r>
      <w:r>
        <w:rPr>
          <w:color w:val="231F1F"/>
          <w:spacing w:val="-13"/>
          <w:w w:val="110"/>
          <w:sz w:val="22"/>
        </w:rPr>
        <w:t> </w:t>
      </w:r>
      <w:r>
        <w:rPr>
          <w:color w:val="231F1F"/>
          <w:w w:val="110"/>
          <w:sz w:val="22"/>
        </w:rPr>
        <w:t>métodos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monitorización</w:t>
      </w:r>
      <w:r>
        <w:rPr>
          <w:color w:val="231F1F"/>
          <w:spacing w:val="-13"/>
          <w:w w:val="110"/>
          <w:sz w:val="22"/>
        </w:rPr>
        <w:t> </w:t>
      </w:r>
      <w:r>
        <w:rPr>
          <w:color w:val="231F1F"/>
          <w:w w:val="110"/>
          <w:sz w:val="22"/>
        </w:rPr>
        <w:t>fetal:</w:t>
      </w:r>
      <w:r>
        <w:rPr>
          <w:color w:val="231F1F"/>
          <w:spacing w:val="-13"/>
          <w:w w:val="110"/>
          <w:sz w:val="22"/>
        </w:rPr>
        <w:t> </w:t>
      </w:r>
      <w:r>
        <w:rPr>
          <w:color w:val="231F1F"/>
          <w:w w:val="110"/>
          <w:sz w:val="22"/>
        </w:rPr>
        <w:t>MEFC</w:t>
      </w:r>
      <w:r>
        <w:rPr>
          <w:color w:val="231F1F"/>
          <w:spacing w:val="-13"/>
          <w:w w:val="110"/>
          <w:sz w:val="22"/>
        </w:rPr>
        <w:t> </w:t>
      </w:r>
      <w:r>
        <w:rPr>
          <w:color w:val="231F1F"/>
          <w:w w:val="110"/>
          <w:sz w:val="22"/>
        </w:rPr>
        <w:t>con o sin estimulación de la calota fetal cuando se presentan alteraciones de la FCF?</w:t>
      </w:r>
    </w:p>
    <w:p>
      <w:pPr>
        <w:pStyle w:val="ListParagraph"/>
        <w:numPr>
          <w:ilvl w:val="0"/>
          <w:numId w:val="3"/>
        </w:numPr>
        <w:tabs>
          <w:tab w:pos="665" w:val="left" w:leader="none"/>
          <w:tab w:pos="668" w:val="left" w:leader="none"/>
        </w:tabs>
        <w:spacing w:line="264" w:lineRule="auto" w:before="115" w:after="0"/>
        <w:ind w:left="668" w:right="124" w:hanging="386"/>
        <w:jc w:val="both"/>
        <w:rPr>
          <w:sz w:val="22"/>
        </w:rPr>
      </w:pPr>
      <w:r>
        <w:rPr>
          <w:color w:val="231F1F"/>
          <w:w w:val="110"/>
          <w:sz w:val="22"/>
        </w:rPr>
        <w:t>¿Cómo</w:t>
      </w:r>
      <w:r>
        <w:rPr>
          <w:color w:val="231F1F"/>
          <w:spacing w:val="-12"/>
          <w:w w:val="110"/>
          <w:sz w:val="22"/>
        </w:rPr>
        <w:t> </w:t>
      </w:r>
      <w:r>
        <w:rPr>
          <w:color w:val="231F1F"/>
          <w:w w:val="110"/>
          <w:sz w:val="22"/>
        </w:rPr>
        <w:t>influye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aplicación</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un</w:t>
      </w:r>
      <w:r>
        <w:rPr>
          <w:color w:val="231F1F"/>
          <w:spacing w:val="-12"/>
          <w:w w:val="110"/>
          <w:sz w:val="22"/>
        </w:rPr>
        <w:t> </w:t>
      </w:r>
      <w:r>
        <w:rPr>
          <w:color w:val="231F1F"/>
          <w:w w:val="110"/>
          <w:sz w:val="22"/>
        </w:rPr>
        <w:t>sistema</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categorización</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MEFC</w:t>
      </w:r>
      <w:r>
        <w:rPr>
          <w:color w:val="231F1F"/>
          <w:spacing w:val="-11"/>
          <w:w w:val="110"/>
          <w:sz w:val="22"/>
        </w:rPr>
        <w:t> </w:t>
      </w:r>
      <w:r>
        <w:rPr>
          <w:color w:val="231F1F"/>
          <w:w w:val="110"/>
          <w:sz w:val="22"/>
        </w:rPr>
        <w:t>en</w:t>
      </w:r>
      <w:r>
        <w:rPr>
          <w:color w:val="231F1F"/>
          <w:spacing w:val="-12"/>
          <w:w w:val="110"/>
          <w:sz w:val="22"/>
        </w:rPr>
        <w:t> </w:t>
      </w:r>
      <w:r>
        <w:rPr>
          <w:color w:val="231F1F"/>
          <w:w w:val="110"/>
          <w:sz w:val="22"/>
        </w:rPr>
        <w:t>el</w:t>
      </w:r>
      <w:r>
        <w:rPr>
          <w:color w:val="231F1F"/>
          <w:spacing w:val="-12"/>
          <w:w w:val="110"/>
          <w:sz w:val="22"/>
        </w:rPr>
        <w:t> </w:t>
      </w:r>
      <w:r>
        <w:rPr>
          <w:color w:val="231F1F"/>
          <w:w w:val="110"/>
          <w:sz w:val="22"/>
        </w:rPr>
        <w:t>resul- tado neonatal?</w:t>
      </w:r>
    </w:p>
    <w:p>
      <w:pPr>
        <w:pStyle w:val="ListParagraph"/>
        <w:spacing w:after="0" w:line="264" w:lineRule="auto"/>
        <w:jc w:val="both"/>
        <w:rPr>
          <w:sz w:val="22"/>
        </w:rPr>
        <w:sectPr>
          <w:pgSz w:w="11900" w:h="16840"/>
          <w:pgMar w:header="0" w:footer="622" w:top="1560" w:bottom="820" w:left="1417" w:right="1559"/>
        </w:sectPr>
      </w:pPr>
    </w:p>
    <w:p>
      <w:pPr>
        <w:pStyle w:val="Heading1"/>
        <w:spacing w:line="213" w:lineRule="auto" w:before="119"/>
      </w:pPr>
      <w:r>
        <w:rPr>
          <w:color w:val="231F1F"/>
        </w:rPr>
        <w:t>Niveles</w:t>
      </w:r>
      <w:r>
        <w:rPr>
          <w:color w:val="231F1F"/>
          <w:spacing w:val="-9"/>
        </w:rPr>
        <w:t> </w:t>
      </w:r>
      <w:r>
        <w:rPr>
          <w:color w:val="231F1F"/>
        </w:rPr>
        <w:t>de</w:t>
      </w:r>
      <w:r>
        <w:rPr>
          <w:color w:val="231F1F"/>
          <w:spacing w:val="-9"/>
        </w:rPr>
        <w:t> </w:t>
      </w:r>
      <w:r>
        <w:rPr>
          <w:color w:val="231F1F"/>
        </w:rPr>
        <w:t>evidencia</w:t>
      </w:r>
      <w:r>
        <w:rPr>
          <w:color w:val="231F1F"/>
          <w:spacing w:val="-9"/>
        </w:rPr>
        <w:t> </w:t>
      </w:r>
      <w:r>
        <w:rPr>
          <w:color w:val="231F1F"/>
        </w:rPr>
        <w:t>y</w:t>
      </w:r>
      <w:r>
        <w:rPr>
          <w:color w:val="231F1F"/>
          <w:spacing w:val="-9"/>
        </w:rPr>
        <w:t> </w:t>
      </w:r>
      <w:r>
        <w:rPr>
          <w:color w:val="231F1F"/>
        </w:rPr>
        <w:t>grados</w:t>
      </w:r>
      <w:r>
        <w:rPr>
          <w:color w:val="231F1F"/>
          <w:spacing w:val="-9"/>
        </w:rPr>
        <w:t> </w:t>
      </w:r>
      <w:r>
        <w:rPr>
          <w:color w:val="231F1F"/>
        </w:rPr>
        <w:t>de recomendación</w:t>
      </w:r>
      <w:r>
        <w:rPr>
          <w:color w:val="231F1F"/>
          <w:spacing w:val="80"/>
        </w:rPr>
        <w:t> </w:t>
      </w:r>
      <w:r>
        <w:rPr>
          <w:color w:val="231F1F"/>
        </w:rPr>
        <w:t>SIGN</w:t>
      </w:r>
    </w:p>
    <w:p>
      <w:pPr>
        <w:pStyle w:val="Heading4"/>
        <w:spacing w:before="354"/>
      </w:pPr>
      <w:r>
        <w:rPr>
          <w:color w:val="231F1F"/>
          <w:w w:val="105"/>
        </w:rPr>
        <w:t>Niveles</w:t>
      </w:r>
      <w:r>
        <w:rPr>
          <w:color w:val="231F1F"/>
          <w:spacing w:val="7"/>
          <w:w w:val="105"/>
        </w:rPr>
        <w:t> </w:t>
      </w:r>
      <w:r>
        <w:rPr>
          <w:color w:val="231F1F"/>
          <w:w w:val="105"/>
        </w:rPr>
        <w:t>de</w:t>
      </w:r>
      <w:r>
        <w:rPr>
          <w:color w:val="231F1F"/>
          <w:spacing w:val="8"/>
          <w:w w:val="105"/>
        </w:rPr>
        <w:t> </w:t>
      </w:r>
      <w:r>
        <w:rPr>
          <w:color w:val="231F1F"/>
          <w:w w:val="105"/>
        </w:rPr>
        <w:t>evidencia</w:t>
      </w:r>
      <w:r>
        <w:rPr>
          <w:color w:val="231F1F"/>
          <w:spacing w:val="8"/>
          <w:w w:val="105"/>
        </w:rPr>
        <w:t> </w:t>
      </w:r>
      <w:r>
        <w:rPr>
          <w:color w:val="231F1F"/>
          <w:w w:val="105"/>
        </w:rPr>
        <w:t>y</w:t>
      </w:r>
      <w:r>
        <w:rPr>
          <w:color w:val="231F1F"/>
          <w:spacing w:val="8"/>
          <w:w w:val="105"/>
        </w:rPr>
        <w:t> </w:t>
      </w:r>
      <w:r>
        <w:rPr>
          <w:color w:val="231F1F"/>
          <w:w w:val="105"/>
        </w:rPr>
        <w:t>grados</w:t>
      </w:r>
      <w:r>
        <w:rPr>
          <w:color w:val="231F1F"/>
          <w:spacing w:val="8"/>
          <w:w w:val="105"/>
        </w:rPr>
        <w:t> </w:t>
      </w:r>
      <w:r>
        <w:rPr>
          <w:color w:val="231F1F"/>
          <w:w w:val="105"/>
        </w:rPr>
        <w:t>de</w:t>
      </w:r>
      <w:r>
        <w:rPr>
          <w:color w:val="231F1F"/>
          <w:spacing w:val="9"/>
          <w:w w:val="105"/>
        </w:rPr>
        <w:t> </w:t>
      </w:r>
      <w:r>
        <w:rPr>
          <w:color w:val="231F1F"/>
          <w:w w:val="105"/>
        </w:rPr>
        <w:t>recomendación</w:t>
      </w:r>
      <w:r>
        <w:rPr>
          <w:color w:val="231F1F"/>
          <w:spacing w:val="8"/>
          <w:w w:val="105"/>
        </w:rPr>
        <w:t> </w:t>
      </w:r>
      <w:r>
        <w:rPr>
          <w:color w:val="231F1F"/>
          <w:w w:val="105"/>
        </w:rPr>
        <w:t>de</w:t>
      </w:r>
      <w:r>
        <w:rPr>
          <w:color w:val="231F1F"/>
          <w:spacing w:val="8"/>
          <w:w w:val="105"/>
        </w:rPr>
        <w:t> </w:t>
      </w:r>
      <w:r>
        <w:rPr>
          <w:color w:val="231F1F"/>
          <w:w w:val="105"/>
        </w:rPr>
        <w:t>SIGN</w:t>
      </w:r>
      <w:r>
        <w:rPr>
          <w:color w:val="231F1F"/>
          <w:spacing w:val="11"/>
          <w:w w:val="105"/>
        </w:rPr>
        <w:t> </w:t>
      </w:r>
      <w:r>
        <w:rPr>
          <w:color w:val="231F1F"/>
          <w:spacing w:val="-2"/>
          <w:w w:val="105"/>
        </w:rPr>
        <w:t>(1;2)</w:t>
      </w:r>
    </w:p>
    <w:p>
      <w:pPr>
        <w:pStyle w:val="BodyText"/>
        <w:spacing w:before="1" w:after="1"/>
        <w:rPr>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64" w:hRule="atLeast"/>
        </w:trPr>
        <w:tc>
          <w:tcPr>
            <w:tcW w:w="8505" w:type="dxa"/>
            <w:gridSpan w:val="2"/>
          </w:tcPr>
          <w:p>
            <w:pPr>
              <w:pStyle w:val="TableParagraph"/>
              <w:spacing w:before="71"/>
              <w:ind w:left="27" w:right="2"/>
              <w:jc w:val="center"/>
              <w:rPr>
                <w:rFonts w:ascii="Arial MT" w:hAnsi="Arial MT"/>
                <w:sz w:val="18"/>
              </w:rPr>
            </w:pPr>
            <w:r>
              <w:rPr>
                <w:rFonts w:ascii="Arial MT" w:hAnsi="Arial MT"/>
                <w:color w:val="231F1F"/>
                <w:sz w:val="18"/>
              </w:rPr>
              <w:t>Niveles</w:t>
            </w:r>
            <w:r>
              <w:rPr>
                <w:rFonts w:ascii="Arial MT" w:hAnsi="Arial MT"/>
                <w:color w:val="231F1F"/>
                <w:spacing w:val="4"/>
                <w:sz w:val="18"/>
              </w:rPr>
              <w:t> </w:t>
            </w:r>
            <w:r>
              <w:rPr>
                <w:rFonts w:ascii="Arial MT" w:hAnsi="Arial MT"/>
                <w:color w:val="231F1F"/>
                <w:sz w:val="18"/>
              </w:rPr>
              <w:t>de</w:t>
            </w:r>
            <w:r>
              <w:rPr>
                <w:rFonts w:ascii="Arial MT" w:hAnsi="Arial MT"/>
                <w:color w:val="231F1F"/>
                <w:spacing w:val="7"/>
                <w:sz w:val="18"/>
              </w:rPr>
              <w:t> </w:t>
            </w:r>
            <w:r>
              <w:rPr>
                <w:rFonts w:ascii="Arial MT" w:hAnsi="Arial MT"/>
                <w:color w:val="231F1F"/>
                <w:sz w:val="18"/>
              </w:rPr>
              <w:t>evidencia</w:t>
            </w:r>
            <w:r>
              <w:rPr>
                <w:rFonts w:ascii="Arial MT" w:hAnsi="Arial MT"/>
                <w:color w:val="231F1F"/>
                <w:spacing w:val="6"/>
                <w:sz w:val="18"/>
              </w:rPr>
              <w:t> </w:t>
            </w:r>
            <w:r>
              <w:rPr>
                <w:rFonts w:ascii="Arial MT" w:hAnsi="Arial MT"/>
                <w:color w:val="231F1F"/>
                <w:spacing w:val="-2"/>
                <w:sz w:val="18"/>
              </w:rPr>
              <w:t>científica</w:t>
            </w:r>
          </w:p>
        </w:tc>
      </w:tr>
      <w:tr>
        <w:trPr>
          <w:trHeight w:val="590" w:hRule="atLeast"/>
        </w:trPr>
        <w:tc>
          <w:tcPr>
            <w:tcW w:w="571" w:type="dxa"/>
          </w:tcPr>
          <w:p>
            <w:pPr>
              <w:pStyle w:val="TableParagraph"/>
              <w:spacing w:before="71"/>
              <w:ind w:left="46" w:right="12"/>
              <w:jc w:val="center"/>
              <w:rPr>
                <w:rFonts w:ascii="Arial MT"/>
                <w:sz w:val="18"/>
              </w:rPr>
            </w:pPr>
            <w:r>
              <w:rPr>
                <w:rFonts w:ascii="Arial MT"/>
                <w:color w:val="231F1F"/>
                <w:spacing w:val="-5"/>
                <w:sz w:val="18"/>
              </w:rPr>
              <w:t>1++</w:t>
            </w:r>
          </w:p>
        </w:tc>
        <w:tc>
          <w:tcPr>
            <w:tcW w:w="7934" w:type="dxa"/>
          </w:tcPr>
          <w:p>
            <w:pPr>
              <w:pStyle w:val="TableParagraph"/>
              <w:spacing w:line="256" w:lineRule="auto" w:before="71"/>
              <w:ind w:left="116" w:hanging="1"/>
              <w:rPr>
                <w:rFonts w:ascii="Arial MT" w:hAnsi="Arial MT"/>
                <w:sz w:val="18"/>
              </w:rPr>
            </w:pPr>
            <w:r>
              <w:rPr>
                <w:rFonts w:ascii="Arial MT" w:hAnsi="Arial MT"/>
                <w:color w:val="231F1F"/>
                <w:spacing w:val="-4"/>
                <w:sz w:val="18"/>
              </w:rPr>
              <w:t>Metaanálisis</w:t>
            </w:r>
            <w:r>
              <w:rPr>
                <w:rFonts w:ascii="Arial MT" w:hAnsi="Arial MT"/>
                <w:color w:val="231F1F"/>
                <w:spacing w:val="-16"/>
                <w:sz w:val="18"/>
              </w:rPr>
              <w:t> </w:t>
            </w:r>
            <w:r>
              <w:rPr>
                <w:rFonts w:ascii="Arial MT" w:hAnsi="Arial MT"/>
                <w:color w:val="231F1F"/>
                <w:spacing w:val="-4"/>
                <w:sz w:val="18"/>
              </w:rPr>
              <w:t>de</w:t>
            </w:r>
            <w:r>
              <w:rPr>
                <w:rFonts w:ascii="Arial MT" w:hAnsi="Arial MT"/>
                <w:color w:val="231F1F"/>
                <w:spacing w:val="-16"/>
                <w:sz w:val="18"/>
              </w:rPr>
              <w:t> </w:t>
            </w:r>
            <w:r>
              <w:rPr>
                <w:rFonts w:ascii="Arial MT" w:hAnsi="Arial MT"/>
                <w:color w:val="231F1F"/>
                <w:spacing w:val="-4"/>
                <w:sz w:val="18"/>
              </w:rPr>
              <w:t>alta</w:t>
            </w:r>
            <w:r>
              <w:rPr>
                <w:rFonts w:ascii="Arial MT" w:hAnsi="Arial MT"/>
                <w:color w:val="231F1F"/>
                <w:spacing w:val="-16"/>
                <w:sz w:val="18"/>
              </w:rPr>
              <w:t> </w:t>
            </w:r>
            <w:r>
              <w:rPr>
                <w:rFonts w:ascii="Arial MT" w:hAnsi="Arial MT"/>
                <w:color w:val="231F1F"/>
                <w:spacing w:val="-4"/>
                <w:sz w:val="18"/>
              </w:rPr>
              <w:t>calidad,</w:t>
            </w:r>
            <w:r>
              <w:rPr>
                <w:rFonts w:ascii="Arial MT" w:hAnsi="Arial MT"/>
                <w:color w:val="231F1F"/>
                <w:spacing w:val="-14"/>
                <w:sz w:val="18"/>
              </w:rPr>
              <w:t> </w:t>
            </w:r>
            <w:r>
              <w:rPr>
                <w:rFonts w:ascii="Arial MT" w:hAnsi="Arial MT"/>
                <w:color w:val="231F1F"/>
                <w:spacing w:val="-4"/>
                <w:sz w:val="18"/>
              </w:rPr>
              <w:t>revisiones</w:t>
            </w:r>
            <w:r>
              <w:rPr>
                <w:rFonts w:ascii="Arial MT" w:hAnsi="Arial MT"/>
                <w:color w:val="231F1F"/>
                <w:spacing w:val="-16"/>
                <w:sz w:val="18"/>
              </w:rPr>
              <w:t> </w:t>
            </w:r>
            <w:r>
              <w:rPr>
                <w:rFonts w:ascii="Arial MT" w:hAnsi="Arial MT"/>
                <w:color w:val="231F1F"/>
                <w:spacing w:val="-4"/>
                <w:sz w:val="18"/>
              </w:rPr>
              <w:t>sistemáticas</w:t>
            </w:r>
            <w:r>
              <w:rPr>
                <w:rFonts w:ascii="Arial MT" w:hAnsi="Arial MT"/>
                <w:color w:val="231F1F"/>
                <w:spacing w:val="-16"/>
                <w:sz w:val="18"/>
              </w:rPr>
              <w:t> </w:t>
            </w:r>
            <w:r>
              <w:rPr>
                <w:rFonts w:ascii="Arial MT" w:hAnsi="Arial MT"/>
                <w:color w:val="231F1F"/>
                <w:spacing w:val="-4"/>
                <w:sz w:val="18"/>
              </w:rPr>
              <w:t>de</w:t>
            </w:r>
            <w:r>
              <w:rPr>
                <w:rFonts w:ascii="Arial MT" w:hAnsi="Arial MT"/>
                <w:color w:val="231F1F"/>
                <w:spacing w:val="-16"/>
                <w:sz w:val="18"/>
              </w:rPr>
              <w:t> </w:t>
            </w:r>
            <w:r>
              <w:rPr>
                <w:rFonts w:ascii="Arial MT" w:hAnsi="Arial MT"/>
                <w:color w:val="231F1F"/>
                <w:spacing w:val="-4"/>
                <w:sz w:val="18"/>
              </w:rPr>
              <w:t>ensayos</w:t>
            </w:r>
            <w:r>
              <w:rPr>
                <w:rFonts w:ascii="Arial MT" w:hAnsi="Arial MT"/>
                <w:color w:val="231F1F"/>
                <w:spacing w:val="-16"/>
                <w:sz w:val="18"/>
              </w:rPr>
              <w:t> </w:t>
            </w:r>
            <w:r>
              <w:rPr>
                <w:rFonts w:ascii="Arial MT" w:hAnsi="Arial MT"/>
                <w:color w:val="231F1F"/>
                <w:spacing w:val="-4"/>
                <w:sz w:val="18"/>
              </w:rPr>
              <w:t>clínicos</w:t>
            </w:r>
            <w:r>
              <w:rPr>
                <w:rFonts w:ascii="Arial MT" w:hAnsi="Arial MT"/>
                <w:color w:val="231F1F"/>
                <w:spacing w:val="-16"/>
                <w:sz w:val="18"/>
              </w:rPr>
              <w:t> </w:t>
            </w:r>
            <w:r>
              <w:rPr>
                <w:rFonts w:ascii="Arial MT" w:hAnsi="Arial MT"/>
                <w:color w:val="231F1F"/>
                <w:spacing w:val="-4"/>
                <w:sz w:val="18"/>
              </w:rPr>
              <w:t>de</w:t>
            </w:r>
            <w:r>
              <w:rPr>
                <w:rFonts w:ascii="Arial MT" w:hAnsi="Arial MT"/>
                <w:color w:val="231F1F"/>
                <w:spacing w:val="-16"/>
                <w:sz w:val="18"/>
              </w:rPr>
              <w:t> </w:t>
            </w:r>
            <w:r>
              <w:rPr>
                <w:rFonts w:ascii="Arial MT" w:hAnsi="Arial MT"/>
                <w:color w:val="231F1F"/>
                <w:spacing w:val="-4"/>
                <w:sz w:val="18"/>
              </w:rPr>
              <w:t>alta</w:t>
            </w:r>
            <w:r>
              <w:rPr>
                <w:rFonts w:ascii="Arial MT" w:hAnsi="Arial MT"/>
                <w:color w:val="231F1F"/>
                <w:spacing w:val="-16"/>
                <w:sz w:val="18"/>
              </w:rPr>
              <w:t> </w:t>
            </w:r>
            <w:r>
              <w:rPr>
                <w:rFonts w:ascii="Arial MT" w:hAnsi="Arial MT"/>
                <w:color w:val="231F1F"/>
                <w:spacing w:val="-4"/>
                <w:sz w:val="18"/>
              </w:rPr>
              <w:t>calidad</w:t>
            </w:r>
            <w:r>
              <w:rPr>
                <w:rFonts w:ascii="Arial MT" w:hAnsi="Arial MT"/>
                <w:color w:val="231F1F"/>
                <w:spacing w:val="-16"/>
                <w:sz w:val="18"/>
              </w:rPr>
              <w:t> </w:t>
            </w:r>
            <w:r>
              <w:rPr>
                <w:rFonts w:ascii="Arial MT" w:hAnsi="Arial MT"/>
                <w:color w:val="231F1F"/>
                <w:spacing w:val="-4"/>
                <w:sz w:val="18"/>
              </w:rPr>
              <w:t>con</w:t>
            </w:r>
            <w:r>
              <w:rPr>
                <w:rFonts w:ascii="Arial MT" w:hAnsi="Arial MT"/>
                <w:color w:val="231F1F"/>
                <w:spacing w:val="-16"/>
                <w:sz w:val="18"/>
              </w:rPr>
              <w:t> </w:t>
            </w:r>
            <w:r>
              <w:rPr>
                <w:rFonts w:ascii="Arial MT" w:hAnsi="Arial MT"/>
                <w:color w:val="231F1F"/>
                <w:spacing w:val="-4"/>
                <w:sz w:val="18"/>
              </w:rPr>
              <w:t>muy</w:t>
            </w:r>
            <w:r>
              <w:rPr>
                <w:rFonts w:ascii="Arial MT" w:hAnsi="Arial MT"/>
                <w:color w:val="231F1F"/>
                <w:spacing w:val="-16"/>
                <w:sz w:val="18"/>
              </w:rPr>
              <w:t> </w:t>
            </w:r>
            <w:r>
              <w:rPr>
                <w:rFonts w:ascii="Arial MT" w:hAnsi="Arial MT"/>
                <w:color w:val="231F1F"/>
                <w:spacing w:val="-4"/>
                <w:sz w:val="18"/>
              </w:rPr>
              <w:t>poco </w:t>
            </w:r>
            <w:r>
              <w:rPr>
                <w:rFonts w:ascii="Arial MT" w:hAnsi="Arial MT"/>
                <w:color w:val="231F1F"/>
                <w:sz w:val="18"/>
              </w:rPr>
              <w:t>riesgo de sesgo.</w:t>
            </w:r>
          </w:p>
        </w:tc>
      </w:tr>
      <w:tr>
        <w:trPr>
          <w:trHeight w:val="590" w:hRule="atLeast"/>
        </w:trPr>
        <w:tc>
          <w:tcPr>
            <w:tcW w:w="571" w:type="dxa"/>
          </w:tcPr>
          <w:p>
            <w:pPr>
              <w:pStyle w:val="TableParagraph"/>
              <w:spacing w:before="71"/>
              <w:ind w:left="46" w:right="22"/>
              <w:jc w:val="center"/>
              <w:rPr>
                <w:rFonts w:ascii="Arial MT"/>
                <w:sz w:val="18"/>
              </w:rPr>
            </w:pPr>
            <w:r>
              <w:rPr>
                <w:rFonts w:ascii="Arial MT"/>
                <w:color w:val="231F1F"/>
                <w:spacing w:val="-5"/>
                <w:sz w:val="18"/>
              </w:rPr>
              <w:t>1+</w:t>
            </w:r>
          </w:p>
        </w:tc>
        <w:tc>
          <w:tcPr>
            <w:tcW w:w="7934" w:type="dxa"/>
          </w:tcPr>
          <w:p>
            <w:pPr>
              <w:pStyle w:val="TableParagraph"/>
              <w:spacing w:line="256" w:lineRule="auto" w:before="71"/>
              <w:ind w:left="116"/>
              <w:rPr>
                <w:rFonts w:ascii="Arial MT" w:hAnsi="Arial MT"/>
                <w:sz w:val="18"/>
              </w:rPr>
            </w:pPr>
            <w:r>
              <w:rPr>
                <w:rFonts w:ascii="Arial MT" w:hAnsi="Arial MT"/>
                <w:color w:val="231F1F"/>
                <w:spacing w:val="-4"/>
                <w:sz w:val="18"/>
              </w:rPr>
              <w:t>Metaanálisis</w:t>
            </w:r>
            <w:r>
              <w:rPr>
                <w:rFonts w:ascii="Arial MT" w:hAnsi="Arial MT"/>
                <w:color w:val="231F1F"/>
                <w:spacing w:val="-10"/>
                <w:sz w:val="18"/>
              </w:rPr>
              <w:t> </w:t>
            </w:r>
            <w:r>
              <w:rPr>
                <w:rFonts w:ascii="Arial MT" w:hAnsi="Arial MT"/>
                <w:color w:val="231F1F"/>
                <w:spacing w:val="-4"/>
                <w:sz w:val="18"/>
              </w:rPr>
              <w:t>bien</w:t>
            </w:r>
            <w:r>
              <w:rPr>
                <w:rFonts w:ascii="Arial MT" w:hAnsi="Arial MT"/>
                <w:color w:val="231F1F"/>
                <w:spacing w:val="-10"/>
                <w:sz w:val="18"/>
              </w:rPr>
              <w:t> </w:t>
            </w:r>
            <w:r>
              <w:rPr>
                <w:rFonts w:ascii="Arial MT" w:hAnsi="Arial MT"/>
                <w:color w:val="231F1F"/>
                <w:spacing w:val="-4"/>
                <w:sz w:val="18"/>
              </w:rPr>
              <w:t>realizados,</w:t>
            </w:r>
            <w:r>
              <w:rPr>
                <w:rFonts w:ascii="Arial MT" w:hAnsi="Arial MT"/>
                <w:color w:val="231F1F"/>
                <w:spacing w:val="-8"/>
                <w:sz w:val="18"/>
              </w:rPr>
              <w:t> </w:t>
            </w:r>
            <w:r>
              <w:rPr>
                <w:rFonts w:ascii="Arial MT" w:hAnsi="Arial MT"/>
                <w:color w:val="231F1F"/>
                <w:spacing w:val="-4"/>
                <w:sz w:val="18"/>
              </w:rPr>
              <w:t>revisiones</w:t>
            </w:r>
            <w:r>
              <w:rPr>
                <w:rFonts w:ascii="Arial MT" w:hAnsi="Arial MT"/>
                <w:color w:val="231F1F"/>
                <w:spacing w:val="-10"/>
                <w:sz w:val="18"/>
              </w:rPr>
              <w:t> </w:t>
            </w:r>
            <w:r>
              <w:rPr>
                <w:rFonts w:ascii="Arial MT" w:hAnsi="Arial MT"/>
                <w:color w:val="231F1F"/>
                <w:spacing w:val="-4"/>
                <w:sz w:val="18"/>
              </w:rPr>
              <w:t>sistemáticas</w:t>
            </w:r>
            <w:r>
              <w:rPr>
                <w:rFonts w:ascii="Arial MT" w:hAnsi="Arial MT"/>
                <w:color w:val="231F1F"/>
                <w:spacing w:val="-10"/>
                <w:sz w:val="18"/>
              </w:rPr>
              <w:t> </w:t>
            </w:r>
            <w:r>
              <w:rPr>
                <w:rFonts w:ascii="Arial MT" w:hAnsi="Arial MT"/>
                <w:color w:val="231F1F"/>
                <w:spacing w:val="-4"/>
                <w:sz w:val="18"/>
              </w:rPr>
              <w:t>de</w:t>
            </w:r>
            <w:r>
              <w:rPr>
                <w:rFonts w:ascii="Arial MT" w:hAnsi="Arial MT"/>
                <w:color w:val="231F1F"/>
                <w:spacing w:val="-10"/>
                <w:sz w:val="18"/>
              </w:rPr>
              <w:t> </w:t>
            </w:r>
            <w:r>
              <w:rPr>
                <w:rFonts w:ascii="Arial MT" w:hAnsi="Arial MT"/>
                <w:color w:val="231F1F"/>
                <w:spacing w:val="-4"/>
                <w:sz w:val="18"/>
              </w:rPr>
              <w:t>ensayos</w:t>
            </w:r>
            <w:r>
              <w:rPr>
                <w:rFonts w:ascii="Arial MT" w:hAnsi="Arial MT"/>
                <w:color w:val="231F1F"/>
                <w:spacing w:val="-10"/>
                <w:sz w:val="18"/>
              </w:rPr>
              <w:t> </w:t>
            </w:r>
            <w:r>
              <w:rPr>
                <w:rFonts w:ascii="Arial MT" w:hAnsi="Arial MT"/>
                <w:color w:val="231F1F"/>
                <w:spacing w:val="-4"/>
                <w:sz w:val="18"/>
              </w:rPr>
              <w:t>clínicos</w:t>
            </w:r>
            <w:r>
              <w:rPr>
                <w:rFonts w:ascii="Arial MT" w:hAnsi="Arial MT"/>
                <w:color w:val="231F1F"/>
                <w:spacing w:val="-10"/>
                <w:sz w:val="18"/>
              </w:rPr>
              <w:t> </w:t>
            </w:r>
            <w:r>
              <w:rPr>
                <w:rFonts w:ascii="Arial MT" w:hAnsi="Arial MT"/>
                <w:color w:val="231F1F"/>
                <w:spacing w:val="-4"/>
                <w:sz w:val="18"/>
              </w:rPr>
              <w:t>o</w:t>
            </w:r>
            <w:r>
              <w:rPr>
                <w:rFonts w:ascii="Arial MT" w:hAnsi="Arial MT"/>
                <w:color w:val="231F1F"/>
                <w:spacing w:val="-10"/>
                <w:sz w:val="18"/>
              </w:rPr>
              <w:t> </w:t>
            </w:r>
            <w:r>
              <w:rPr>
                <w:rFonts w:ascii="Arial MT" w:hAnsi="Arial MT"/>
                <w:color w:val="231F1F"/>
                <w:spacing w:val="-4"/>
                <w:sz w:val="18"/>
              </w:rPr>
              <w:t>ensayos</w:t>
            </w:r>
            <w:r>
              <w:rPr>
                <w:rFonts w:ascii="Arial MT" w:hAnsi="Arial MT"/>
                <w:color w:val="231F1F"/>
                <w:spacing w:val="-10"/>
                <w:sz w:val="18"/>
              </w:rPr>
              <w:t> </w:t>
            </w:r>
            <w:r>
              <w:rPr>
                <w:rFonts w:ascii="Arial MT" w:hAnsi="Arial MT"/>
                <w:color w:val="231F1F"/>
                <w:spacing w:val="-4"/>
                <w:sz w:val="18"/>
              </w:rPr>
              <w:t>clínicos</w:t>
            </w:r>
            <w:r>
              <w:rPr>
                <w:rFonts w:ascii="Arial MT" w:hAnsi="Arial MT"/>
                <w:color w:val="231F1F"/>
                <w:spacing w:val="-10"/>
                <w:sz w:val="18"/>
              </w:rPr>
              <w:t> </w:t>
            </w:r>
            <w:r>
              <w:rPr>
                <w:rFonts w:ascii="Arial MT" w:hAnsi="Arial MT"/>
                <w:color w:val="231F1F"/>
                <w:spacing w:val="-4"/>
                <w:sz w:val="18"/>
              </w:rPr>
              <w:t>bien</w:t>
            </w:r>
            <w:r>
              <w:rPr>
                <w:rFonts w:ascii="Arial MT" w:hAnsi="Arial MT"/>
                <w:color w:val="231F1F"/>
                <w:spacing w:val="-10"/>
                <w:sz w:val="18"/>
              </w:rPr>
              <w:t> </w:t>
            </w:r>
            <w:r>
              <w:rPr>
                <w:rFonts w:ascii="Arial MT" w:hAnsi="Arial MT"/>
                <w:color w:val="231F1F"/>
                <w:spacing w:val="-4"/>
                <w:sz w:val="18"/>
              </w:rPr>
              <w:t>re- </w:t>
            </w:r>
            <w:r>
              <w:rPr>
                <w:rFonts w:ascii="Arial MT" w:hAnsi="Arial MT"/>
                <w:color w:val="231F1F"/>
                <w:sz w:val="18"/>
              </w:rPr>
              <w:t>lizados con poco riesgo de sesgo.</w:t>
            </w:r>
          </w:p>
        </w:tc>
      </w:tr>
      <w:tr>
        <w:trPr>
          <w:trHeight w:val="369" w:hRule="atLeast"/>
        </w:trPr>
        <w:tc>
          <w:tcPr>
            <w:tcW w:w="571" w:type="dxa"/>
          </w:tcPr>
          <w:p>
            <w:pPr>
              <w:pStyle w:val="TableParagraph"/>
              <w:spacing w:before="71"/>
              <w:ind w:left="46" w:right="16"/>
              <w:jc w:val="center"/>
              <w:rPr>
                <w:rFonts w:ascii="Arial MT"/>
                <w:sz w:val="18"/>
              </w:rPr>
            </w:pPr>
            <w:r>
              <w:rPr>
                <w:rFonts w:ascii="Arial MT"/>
                <w:color w:val="231F1F"/>
                <w:spacing w:val="-5"/>
                <w:sz w:val="18"/>
              </w:rPr>
              <w:t>1-</w:t>
            </w:r>
          </w:p>
        </w:tc>
        <w:tc>
          <w:tcPr>
            <w:tcW w:w="7934" w:type="dxa"/>
          </w:tcPr>
          <w:p>
            <w:pPr>
              <w:pStyle w:val="TableParagraph"/>
              <w:spacing w:before="71"/>
              <w:ind w:left="116"/>
              <w:rPr>
                <w:rFonts w:ascii="Arial MT" w:hAnsi="Arial MT"/>
                <w:sz w:val="18"/>
              </w:rPr>
            </w:pPr>
            <w:r>
              <w:rPr>
                <w:rFonts w:ascii="Arial MT" w:hAnsi="Arial MT"/>
                <w:color w:val="231F1F"/>
                <w:spacing w:val="-6"/>
                <w:sz w:val="18"/>
              </w:rPr>
              <w:t>Metaanálisis,</w:t>
            </w:r>
            <w:r>
              <w:rPr>
                <w:rFonts w:ascii="Arial MT" w:hAnsi="Arial MT"/>
                <w:color w:val="231F1F"/>
                <w:spacing w:val="-8"/>
                <w:sz w:val="18"/>
              </w:rPr>
              <w:t> </w:t>
            </w:r>
            <w:r>
              <w:rPr>
                <w:rFonts w:ascii="Arial MT" w:hAnsi="Arial MT"/>
                <w:color w:val="231F1F"/>
                <w:spacing w:val="-6"/>
                <w:sz w:val="18"/>
              </w:rPr>
              <w:t>revisiones</w:t>
            </w:r>
            <w:r>
              <w:rPr>
                <w:rFonts w:ascii="Arial MT" w:hAnsi="Arial MT"/>
                <w:color w:val="231F1F"/>
                <w:spacing w:val="-10"/>
                <w:sz w:val="18"/>
              </w:rPr>
              <w:t> </w:t>
            </w:r>
            <w:r>
              <w:rPr>
                <w:rFonts w:ascii="Arial MT" w:hAnsi="Arial MT"/>
                <w:color w:val="231F1F"/>
                <w:spacing w:val="-6"/>
                <w:sz w:val="18"/>
              </w:rPr>
              <w:t>sistemáticas</w:t>
            </w:r>
            <w:r>
              <w:rPr>
                <w:rFonts w:ascii="Arial MT" w:hAnsi="Arial MT"/>
                <w:color w:val="231F1F"/>
                <w:spacing w:val="-10"/>
                <w:sz w:val="18"/>
              </w:rPr>
              <w:t> </w:t>
            </w:r>
            <w:r>
              <w:rPr>
                <w:rFonts w:ascii="Arial MT" w:hAnsi="Arial MT"/>
                <w:color w:val="231F1F"/>
                <w:spacing w:val="-6"/>
                <w:sz w:val="18"/>
              </w:rPr>
              <w:t>de</w:t>
            </w:r>
            <w:r>
              <w:rPr>
                <w:rFonts w:ascii="Arial MT" w:hAnsi="Arial MT"/>
                <w:color w:val="231F1F"/>
                <w:spacing w:val="-9"/>
                <w:sz w:val="18"/>
              </w:rPr>
              <w:t> </w:t>
            </w:r>
            <w:r>
              <w:rPr>
                <w:rFonts w:ascii="Arial MT" w:hAnsi="Arial MT"/>
                <w:color w:val="231F1F"/>
                <w:spacing w:val="-6"/>
                <w:sz w:val="18"/>
              </w:rPr>
              <w:t>ensayos</w:t>
            </w:r>
            <w:r>
              <w:rPr>
                <w:rFonts w:ascii="Arial MT" w:hAnsi="Arial MT"/>
                <w:color w:val="231F1F"/>
                <w:spacing w:val="-10"/>
                <w:sz w:val="18"/>
              </w:rPr>
              <w:t> </w:t>
            </w:r>
            <w:r>
              <w:rPr>
                <w:rFonts w:ascii="Arial MT" w:hAnsi="Arial MT"/>
                <w:color w:val="231F1F"/>
                <w:spacing w:val="-6"/>
                <w:sz w:val="18"/>
              </w:rPr>
              <w:t>clínicos</w:t>
            </w:r>
            <w:r>
              <w:rPr>
                <w:rFonts w:ascii="Arial MT" w:hAnsi="Arial MT"/>
                <w:color w:val="231F1F"/>
                <w:spacing w:val="-10"/>
                <w:sz w:val="18"/>
              </w:rPr>
              <w:t> </w:t>
            </w:r>
            <w:r>
              <w:rPr>
                <w:rFonts w:ascii="Arial MT" w:hAnsi="Arial MT"/>
                <w:color w:val="231F1F"/>
                <w:spacing w:val="-6"/>
                <w:sz w:val="18"/>
              </w:rPr>
              <w:t>o</w:t>
            </w:r>
            <w:r>
              <w:rPr>
                <w:rFonts w:ascii="Arial MT" w:hAnsi="Arial MT"/>
                <w:color w:val="231F1F"/>
                <w:spacing w:val="-10"/>
                <w:sz w:val="18"/>
              </w:rPr>
              <w:t> </w:t>
            </w:r>
            <w:r>
              <w:rPr>
                <w:rFonts w:ascii="Arial MT" w:hAnsi="Arial MT"/>
                <w:color w:val="231F1F"/>
                <w:spacing w:val="-6"/>
                <w:sz w:val="18"/>
              </w:rPr>
              <w:t>ensayos</w:t>
            </w:r>
            <w:r>
              <w:rPr>
                <w:rFonts w:ascii="Arial MT" w:hAnsi="Arial MT"/>
                <w:color w:val="231F1F"/>
                <w:spacing w:val="-7"/>
                <w:sz w:val="18"/>
              </w:rPr>
              <w:t> </w:t>
            </w:r>
            <w:r>
              <w:rPr>
                <w:rFonts w:ascii="Arial MT" w:hAnsi="Arial MT"/>
                <w:color w:val="231F1F"/>
                <w:spacing w:val="-6"/>
                <w:sz w:val="18"/>
              </w:rPr>
              <w:t>clínicos</w:t>
            </w:r>
            <w:r>
              <w:rPr>
                <w:rFonts w:ascii="Arial MT" w:hAnsi="Arial MT"/>
                <w:color w:val="231F1F"/>
                <w:spacing w:val="-10"/>
                <w:sz w:val="18"/>
              </w:rPr>
              <w:t> </w:t>
            </w:r>
            <w:r>
              <w:rPr>
                <w:rFonts w:ascii="Arial MT" w:hAnsi="Arial MT"/>
                <w:color w:val="231F1F"/>
                <w:spacing w:val="-6"/>
                <w:sz w:val="18"/>
              </w:rPr>
              <w:t>con</w:t>
            </w:r>
            <w:r>
              <w:rPr>
                <w:rFonts w:ascii="Arial MT" w:hAnsi="Arial MT"/>
                <w:color w:val="231F1F"/>
                <w:spacing w:val="-10"/>
                <w:sz w:val="18"/>
              </w:rPr>
              <w:t> </w:t>
            </w:r>
            <w:r>
              <w:rPr>
                <w:rFonts w:ascii="Arial MT" w:hAnsi="Arial MT"/>
                <w:color w:val="231F1F"/>
                <w:spacing w:val="-6"/>
                <w:sz w:val="18"/>
              </w:rPr>
              <w:t>alto</w:t>
            </w:r>
            <w:r>
              <w:rPr>
                <w:rFonts w:ascii="Arial MT" w:hAnsi="Arial MT"/>
                <w:color w:val="231F1F"/>
                <w:spacing w:val="-9"/>
                <w:sz w:val="18"/>
              </w:rPr>
              <w:t> </w:t>
            </w:r>
            <w:r>
              <w:rPr>
                <w:rFonts w:ascii="Arial MT" w:hAnsi="Arial MT"/>
                <w:color w:val="231F1F"/>
                <w:spacing w:val="-6"/>
                <w:sz w:val="18"/>
              </w:rPr>
              <w:t>riesgo</w:t>
            </w:r>
            <w:r>
              <w:rPr>
                <w:rFonts w:ascii="Arial MT" w:hAnsi="Arial MT"/>
                <w:color w:val="231F1F"/>
                <w:spacing w:val="-10"/>
                <w:sz w:val="18"/>
              </w:rPr>
              <w:t> </w:t>
            </w:r>
            <w:r>
              <w:rPr>
                <w:rFonts w:ascii="Arial MT" w:hAnsi="Arial MT"/>
                <w:color w:val="231F1F"/>
                <w:spacing w:val="-6"/>
                <w:sz w:val="18"/>
              </w:rPr>
              <w:t>de</w:t>
            </w:r>
            <w:r>
              <w:rPr>
                <w:rFonts w:ascii="Arial MT" w:hAnsi="Arial MT"/>
                <w:color w:val="231F1F"/>
                <w:spacing w:val="-10"/>
                <w:sz w:val="18"/>
              </w:rPr>
              <w:t> </w:t>
            </w:r>
            <w:r>
              <w:rPr>
                <w:rFonts w:ascii="Arial MT" w:hAnsi="Arial MT"/>
                <w:color w:val="231F1F"/>
                <w:spacing w:val="-6"/>
                <w:sz w:val="18"/>
              </w:rPr>
              <w:t>sesgo.</w:t>
            </w:r>
          </w:p>
        </w:tc>
      </w:tr>
      <w:tr>
        <w:trPr>
          <w:trHeight w:val="810" w:hRule="atLeast"/>
        </w:trPr>
        <w:tc>
          <w:tcPr>
            <w:tcW w:w="571" w:type="dxa"/>
          </w:tcPr>
          <w:p>
            <w:pPr>
              <w:pStyle w:val="TableParagraph"/>
              <w:spacing w:before="75"/>
              <w:ind w:left="46" w:right="10"/>
              <w:jc w:val="center"/>
              <w:rPr>
                <w:rFonts w:ascii="Arial MT"/>
                <w:sz w:val="18"/>
              </w:rPr>
            </w:pPr>
            <w:r>
              <w:rPr>
                <w:rFonts w:ascii="Arial MT"/>
                <w:color w:val="231F1F"/>
                <w:spacing w:val="-5"/>
                <w:sz w:val="18"/>
              </w:rPr>
              <w:t>2++</w:t>
            </w:r>
          </w:p>
        </w:tc>
        <w:tc>
          <w:tcPr>
            <w:tcW w:w="7934" w:type="dxa"/>
          </w:tcPr>
          <w:p>
            <w:pPr>
              <w:pStyle w:val="TableParagraph"/>
              <w:spacing w:line="254" w:lineRule="auto" w:before="75"/>
              <w:ind w:left="116" w:right="87"/>
              <w:jc w:val="both"/>
              <w:rPr>
                <w:rFonts w:ascii="Arial MT" w:hAnsi="Arial MT"/>
                <w:sz w:val="18"/>
              </w:rPr>
            </w:pPr>
            <w:r>
              <w:rPr>
                <w:rFonts w:ascii="Arial MT" w:hAnsi="Arial MT"/>
                <w:color w:val="231F1F"/>
                <w:spacing w:val="-2"/>
                <w:sz w:val="18"/>
              </w:rPr>
              <w:t>Revisiones</w:t>
            </w:r>
            <w:r>
              <w:rPr>
                <w:rFonts w:ascii="Arial MT" w:hAnsi="Arial MT"/>
                <w:color w:val="231F1F"/>
                <w:spacing w:val="-9"/>
                <w:sz w:val="18"/>
              </w:rPr>
              <w:t> </w:t>
            </w:r>
            <w:r>
              <w:rPr>
                <w:rFonts w:ascii="Arial MT" w:hAnsi="Arial MT"/>
                <w:color w:val="231F1F"/>
                <w:spacing w:val="-2"/>
                <w:sz w:val="18"/>
              </w:rPr>
              <w:t>sistemáticas</w:t>
            </w:r>
            <w:r>
              <w:rPr>
                <w:rFonts w:ascii="Arial MT" w:hAnsi="Arial MT"/>
                <w:color w:val="231F1F"/>
                <w:spacing w:val="-9"/>
                <w:sz w:val="18"/>
              </w:rPr>
              <w:t> </w:t>
            </w:r>
            <w:r>
              <w:rPr>
                <w:rFonts w:ascii="Arial MT" w:hAnsi="Arial MT"/>
                <w:color w:val="231F1F"/>
                <w:spacing w:val="-2"/>
                <w:sz w:val="18"/>
              </w:rPr>
              <w:t>de</w:t>
            </w:r>
            <w:r>
              <w:rPr>
                <w:rFonts w:ascii="Arial MT" w:hAnsi="Arial MT"/>
                <w:color w:val="231F1F"/>
                <w:spacing w:val="-9"/>
                <w:sz w:val="18"/>
              </w:rPr>
              <w:t> </w:t>
            </w:r>
            <w:r>
              <w:rPr>
                <w:rFonts w:ascii="Arial MT" w:hAnsi="Arial MT"/>
                <w:color w:val="231F1F"/>
                <w:spacing w:val="-2"/>
                <w:sz w:val="18"/>
              </w:rPr>
              <w:t>alta</w:t>
            </w:r>
            <w:r>
              <w:rPr>
                <w:rFonts w:ascii="Arial MT" w:hAnsi="Arial MT"/>
                <w:color w:val="231F1F"/>
                <w:spacing w:val="-9"/>
                <w:sz w:val="18"/>
              </w:rPr>
              <w:t> </w:t>
            </w:r>
            <w:r>
              <w:rPr>
                <w:rFonts w:ascii="Arial MT" w:hAnsi="Arial MT"/>
                <w:color w:val="231F1F"/>
                <w:spacing w:val="-2"/>
                <w:sz w:val="18"/>
              </w:rPr>
              <w:t>calidad</w:t>
            </w:r>
            <w:r>
              <w:rPr>
                <w:rFonts w:ascii="Arial MT" w:hAnsi="Arial MT"/>
                <w:color w:val="231F1F"/>
                <w:spacing w:val="-9"/>
                <w:sz w:val="18"/>
              </w:rPr>
              <w:t> </w:t>
            </w:r>
            <w:r>
              <w:rPr>
                <w:rFonts w:ascii="Arial MT" w:hAnsi="Arial MT"/>
                <w:color w:val="231F1F"/>
                <w:spacing w:val="-2"/>
                <w:sz w:val="18"/>
              </w:rPr>
              <w:t>de</w:t>
            </w:r>
            <w:r>
              <w:rPr>
                <w:rFonts w:ascii="Arial MT" w:hAnsi="Arial MT"/>
                <w:color w:val="231F1F"/>
                <w:spacing w:val="-9"/>
                <w:sz w:val="18"/>
              </w:rPr>
              <w:t> </w:t>
            </w:r>
            <w:r>
              <w:rPr>
                <w:rFonts w:ascii="Arial MT" w:hAnsi="Arial MT"/>
                <w:color w:val="231F1F"/>
                <w:spacing w:val="-2"/>
                <w:sz w:val="18"/>
              </w:rPr>
              <w:t>estudios</w:t>
            </w:r>
            <w:r>
              <w:rPr>
                <w:rFonts w:ascii="Arial MT" w:hAnsi="Arial MT"/>
                <w:color w:val="231F1F"/>
                <w:spacing w:val="-9"/>
                <w:sz w:val="18"/>
              </w:rPr>
              <w:t> </w:t>
            </w:r>
            <w:r>
              <w:rPr>
                <w:rFonts w:ascii="Arial MT" w:hAnsi="Arial MT"/>
                <w:color w:val="231F1F"/>
                <w:spacing w:val="-2"/>
                <w:sz w:val="18"/>
              </w:rPr>
              <w:t>de</w:t>
            </w:r>
            <w:r>
              <w:rPr>
                <w:rFonts w:ascii="Arial MT" w:hAnsi="Arial MT"/>
                <w:color w:val="231F1F"/>
                <w:spacing w:val="-9"/>
                <w:sz w:val="18"/>
              </w:rPr>
              <w:t> </w:t>
            </w:r>
            <w:r>
              <w:rPr>
                <w:rFonts w:ascii="Arial MT" w:hAnsi="Arial MT"/>
                <w:color w:val="231F1F"/>
                <w:spacing w:val="-2"/>
                <w:sz w:val="18"/>
              </w:rPr>
              <w:t>cohortes</w:t>
            </w:r>
            <w:r>
              <w:rPr>
                <w:rFonts w:ascii="Arial MT" w:hAnsi="Arial MT"/>
                <w:color w:val="231F1F"/>
                <w:spacing w:val="-8"/>
                <w:sz w:val="18"/>
              </w:rPr>
              <w:t> </w:t>
            </w:r>
            <w:r>
              <w:rPr>
                <w:rFonts w:ascii="Arial MT" w:hAnsi="Arial MT"/>
                <w:color w:val="231F1F"/>
                <w:spacing w:val="-2"/>
                <w:sz w:val="18"/>
              </w:rPr>
              <w:t>o</w:t>
            </w:r>
            <w:r>
              <w:rPr>
                <w:rFonts w:ascii="Arial MT" w:hAnsi="Arial MT"/>
                <w:color w:val="231F1F"/>
                <w:spacing w:val="-9"/>
                <w:sz w:val="18"/>
              </w:rPr>
              <w:t> </w:t>
            </w:r>
            <w:r>
              <w:rPr>
                <w:rFonts w:ascii="Arial MT" w:hAnsi="Arial MT"/>
                <w:color w:val="231F1F"/>
                <w:spacing w:val="-2"/>
                <w:sz w:val="18"/>
              </w:rPr>
              <w:t>de</w:t>
            </w:r>
            <w:r>
              <w:rPr>
                <w:rFonts w:ascii="Arial MT" w:hAnsi="Arial MT"/>
                <w:color w:val="231F1F"/>
                <w:spacing w:val="-9"/>
                <w:sz w:val="18"/>
              </w:rPr>
              <w:t> </w:t>
            </w:r>
            <w:r>
              <w:rPr>
                <w:rFonts w:ascii="Arial MT" w:hAnsi="Arial MT"/>
                <w:color w:val="231F1F"/>
                <w:spacing w:val="-2"/>
                <w:sz w:val="18"/>
              </w:rPr>
              <w:t>casos</w:t>
            </w:r>
            <w:r>
              <w:rPr>
                <w:rFonts w:ascii="Arial MT" w:hAnsi="Arial MT"/>
                <w:color w:val="231F1F"/>
                <w:spacing w:val="-8"/>
                <w:sz w:val="18"/>
              </w:rPr>
              <w:t> </w:t>
            </w:r>
            <w:r>
              <w:rPr>
                <w:rFonts w:ascii="Arial MT" w:hAnsi="Arial MT"/>
                <w:color w:val="231F1F"/>
                <w:spacing w:val="-2"/>
                <w:sz w:val="18"/>
              </w:rPr>
              <w:t>y</w:t>
            </w:r>
            <w:r>
              <w:rPr>
                <w:rFonts w:ascii="Arial MT" w:hAnsi="Arial MT"/>
                <w:color w:val="231F1F"/>
                <w:spacing w:val="-9"/>
                <w:sz w:val="18"/>
              </w:rPr>
              <w:t> </w:t>
            </w:r>
            <w:r>
              <w:rPr>
                <w:rFonts w:ascii="Arial MT" w:hAnsi="Arial MT"/>
                <w:color w:val="231F1F"/>
                <w:spacing w:val="-2"/>
                <w:sz w:val="18"/>
              </w:rPr>
              <w:t>controles.</w:t>
            </w:r>
            <w:r>
              <w:rPr>
                <w:rFonts w:ascii="Arial MT" w:hAnsi="Arial MT"/>
                <w:color w:val="231F1F"/>
                <w:spacing w:val="-7"/>
                <w:sz w:val="18"/>
              </w:rPr>
              <w:t> </w:t>
            </w:r>
            <w:r>
              <w:rPr>
                <w:rFonts w:ascii="Arial MT" w:hAnsi="Arial MT"/>
                <w:color w:val="231F1F"/>
                <w:spacing w:val="-2"/>
                <w:sz w:val="18"/>
              </w:rPr>
              <w:t>Estudios</w:t>
            </w:r>
            <w:r>
              <w:rPr>
                <w:rFonts w:ascii="Arial MT" w:hAnsi="Arial MT"/>
                <w:color w:val="231F1F"/>
                <w:spacing w:val="-9"/>
                <w:sz w:val="18"/>
              </w:rPr>
              <w:t> </w:t>
            </w:r>
            <w:r>
              <w:rPr>
                <w:rFonts w:ascii="Arial MT" w:hAnsi="Arial MT"/>
                <w:color w:val="231F1F"/>
                <w:spacing w:val="-2"/>
                <w:sz w:val="18"/>
              </w:rPr>
              <w:t>de cohortes</w:t>
            </w:r>
            <w:r>
              <w:rPr>
                <w:rFonts w:ascii="Arial MT" w:hAnsi="Arial MT"/>
                <w:color w:val="231F1F"/>
                <w:spacing w:val="-7"/>
                <w:sz w:val="18"/>
              </w:rPr>
              <w:t> </w:t>
            </w:r>
            <w:r>
              <w:rPr>
                <w:rFonts w:ascii="Arial MT" w:hAnsi="Arial MT"/>
                <w:color w:val="231F1F"/>
                <w:spacing w:val="-2"/>
                <w:sz w:val="18"/>
              </w:rPr>
              <w:t>o</w:t>
            </w:r>
            <w:r>
              <w:rPr>
                <w:rFonts w:ascii="Arial MT" w:hAnsi="Arial MT"/>
                <w:color w:val="231F1F"/>
                <w:spacing w:val="-7"/>
                <w:sz w:val="18"/>
              </w:rPr>
              <w:t> </w:t>
            </w:r>
            <w:r>
              <w:rPr>
                <w:rFonts w:ascii="Arial MT" w:hAnsi="Arial MT"/>
                <w:color w:val="231F1F"/>
                <w:spacing w:val="-2"/>
                <w:sz w:val="18"/>
              </w:rPr>
              <w:t>de</w:t>
            </w:r>
            <w:r>
              <w:rPr>
                <w:rFonts w:ascii="Arial MT" w:hAnsi="Arial MT"/>
                <w:color w:val="231F1F"/>
                <w:spacing w:val="-7"/>
                <w:sz w:val="18"/>
              </w:rPr>
              <w:t> </w:t>
            </w:r>
            <w:r>
              <w:rPr>
                <w:rFonts w:ascii="Arial MT" w:hAnsi="Arial MT"/>
                <w:color w:val="231F1F"/>
                <w:spacing w:val="-2"/>
                <w:sz w:val="18"/>
              </w:rPr>
              <w:t>casos</w:t>
            </w:r>
            <w:r>
              <w:rPr>
                <w:rFonts w:ascii="Arial MT" w:hAnsi="Arial MT"/>
                <w:color w:val="231F1F"/>
                <w:spacing w:val="-7"/>
                <w:sz w:val="18"/>
              </w:rPr>
              <w:t> </w:t>
            </w:r>
            <w:r>
              <w:rPr>
                <w:rFonts w:ascii="Arial MT" w:hAnsi="Arial MT"/>
                <w:color w:val="231F1F"/>
                <w:spacing w:val="-2"/>
                <w:sz w:val="18"/>
              </w:rPr>
              <w:t>y</w:t>
            </w:r>
            <w:r>
              <w:rPr>
                <w:rFonts w:ascii="Arial MT" w:hAnsi="Arial MT"/>
                <w:color w:val="231F1F"/>
                <w:spacing w:val="-7"/>
                <w:sz w:val="18"/>
              </w:rPr>
              <w:t> </w:t>
            </w:r>
            <w:r>
              <w:rPr>
                <w:rFonts w:ascii="Arial MT" w:hAnsi="Arial MT"/>
                <w:color w:val="231F1F"/>
                <w:spacing w:val="-2"/>
                <w:sz w:val="18"/>
              </w:rPr>
              <w:t>controles</w:t>
            </w:r>
            <w:r>
              <w:rPr>
                <w:rFonts w:ascii="Arial MT" w:hAnsi="Arial MT"/>
                <w:color w:val="231F1F"/>
                <w:spacing w:val="-7"/>
                <w:sz w:val="18"/>
              </w:rPr>
              <w:t> </w:t>
            </w:r>
            <w:r>
              <w:rPr>
                <w:rFonts w:ascii="Arial MT" w:hAnsi="Arial MT"/>
                <w:color w:val="231F1F"/>
                <w:spacing w:val="-2"/>
                <w:sz w:val="18"/>
              </w:rPr>
              <w:t>con</w:t>
            </w:r>
            <w:r>
              <w:rPr>
                <w:rFonts w:ascii="Arial MT" w:hAnsi="Arial MT"/>
                <w:color w:val="231F1F"/>
                <w:spacing w:val="-7"/>
                <w:sz w:val="18"/>
              </w:rPr>
              <w:t> </w:t>
            </w:r>
            <w:r>
              <w:rPr>
                <w:rFonts w:ascii="Arial MT" w:hAnsi="Arial MT"/>
                <w:color w:val="231F1F"/>
                <w:spacing w:val="-2"/>
                <w:sz w:val="18"/>
              </w:rPr>
              <w:t>riesgo</w:t>
            </w:r>
            <w:r>
              <w:rPr>
                <w:rFonts w:ascii="Arial MT" w:hAnsi="Arial MT"/>
                <w:color w:val="231F1F"/>
                <w:spacing w:val="-7"/>
                <w:sz w:val="18"/>
              </w:rPr>
              <w:t> </w:t>
            </w:r>
            <w:r>
              <w:rPr>
                <w:rFonts w:ascii="Arial MT" w:hAnsi="Arial MT"/>
                <w:color w:val="231F1F"/>
                <w:spacing w:val="-2"/>
                <w:sz w:val="18"/>
              </w:rPr>
              <w:t>muy</w:t>
            </w:r>
            <w:r>
              <w:rPr>
                <w:rFonts w:ascii="Arial MT" w:hAnsi="Arial MT"/>
                <w:color w:val="231F1F"/>
                <w:spacing w:val="-7"/>
                <w:sz w:val="18"/>
              </w:rPr>
              <w:t> </w:t>
            </w:r>
            <w:r>
              <w:rPr>
                <w:rFonts w:ascii="Arial MT" w:hAnsi="Arial MT"/>
                <w:color w:val="231F1F"/>
                <w:spacing w:val="-2"/>
                <w:sz w:val="18"/>
              </w:rPr>
              <w:t>bajo</w:t>
            </w:r>
            <w:r>
              <w:rPr>
                <w:rFonts w:ascii="Arial MT" w:hAnsi="Arial MT"/>
                <w:color w:val="231F1F"/>
                <w:spacing w:val="-7"/>
                <w:sz w:val="18"/>
              </w:rPr>
              <w:t> </w:t>
            </w:r>
            <w:r>
              <w:rPr>
                <w:rFonts w:ascii="Arial MT" w:hAnsi="Arial MT"/>
                <w:color w:val="231F1F"/>
                <w:spacing w:val="-2"/>
                <w:sz w:val="18"/>
              </w:rPr>
              <w:t>de</w:t>
            </w:r>
            <w:r>
              <w:rPr>
                <w:rFonts w:ascii="Arial MT" w:hAnsi="Arial MT"/>
                <w:color w:val="231F1F"/>
                <w:spacing w:val="-7"/>
                <w:sz w:val="18"/>
              </w:rPr>
              <w:t> </w:t>
            </w:r>
            <w:r>
              <w:rPr>
                <w:rFonts w:ascii="Arial MT" w:hAnsi="Arial MT"/>
                <w:color w:val="231F1F"/>
                <w:spacing w:val="-2"/>
                <w:sz w:val="18"/>
              </w:rPr>
              <w:t>sesgo</w:t>
            </w:r>
            <w:r>
              <w:rPr>
                <w:rFonts w:ascii="Arial MT" w:hAnsi="Arial MT"/>
                <w:color w:val="231F1F"/>
                <w:spacing w:val="-7"/>
                <w:sz w:val="18"/>
              </w:rPr>
              <w:t> </w:t>
            </w:r>
            <w:r>
              <w:rPr>
                <w:rFonts w:ascii="Arial MT" w:hAnsi="Arial MT"/>
                <w:color w:val="231F1F"/>
                <w:spacing w:val="-2"/>
                <w:sz w:val="18"/>
              </w:rPr>
              <w:t>y</w:t>
            </w:r>
            <w:r>
              <w:rPr>
                <w:rFonts w:ascii="Arial MT" w:hAnsi="Arial MT"/>
                <w:color w:val="231F1F"/>
                <w:spacing w:val="-7"/>
                <w:sz w:val="18"/>
              </w:rPr>
              <w:t> </w:t>
            </w:r>
            <w:r>
              <w:rPr>
                <w:rFonts w:ascii="Arial MT" w:hAnsi="Arial MT"/>
                <w:color w:val="231F1F"/>
                <w:spacing w:val="-2"/>
                <w:sz w:val="18"/>
              </w:rPr>
              <w:t>con</w:t>
            </w:r>
            <w:r>
              <w:rPr>
                <w:rFonts w:ascii="Arial MT" w:hAnsi="Arial MT"/>
                <w:color w:val="231F1F"/>
                <w:spacing w:val="-7"/>
                <w:sz w:val="18"/>
              </w:rPr>
              <w:t> </w:t>
            </w:r>
            <w:r>
              <w:rPr>
                <w:rFonts w:ascii="Arial MT" w:hAnsi="Arial MT"/>
                <w:color w:val="231F1F"/>
                <w:spacing w:val="-2"/>
                <w:sz w:val="18"/>
              </w:rPr>
              <w:t>alta</w:t>
            </w:r>
            <w:r>
              <w:rPr>
                <w:rFonts w:ascii="Arial MT" w:hAnsi="Arial MT"/>
                <w:color w:val="231F1F"/>
                <w:spacing w:val="-7"/>
                <w:sz w:val="18"/>
              </w:rPr>
              <w:t> </w:t>
            </w:r>
            <w:r>
              <w:rPr>
                <w:rFonts w:ascii="Arial MT" w:hAnsi="Arial MT"/>
                <w:color w:val="231F1F"/>
                <w:spacing w:val="-2"/>
                <w:sz w:val="18"/>
              </w:rPr>
              <w:t>probabilidad</w:t>
            </w:r>
            <w:r>
              <w:rPr>
                <w:rFonts w:ascii="Arial MT" w:hAnsi="Arial MT"/>
                <w:color w:val="231F1F"/>
                <w:spacing w:val="-7"/>
                <w:sz w:val="18"/>
              </w:rPr>
              <w:t> </w:t>
            </w:r>
            <w:r>
              <w:rPr>
                <w:rFonts w:ascii="Arial MT" w:hAnsi="Arial MT"/>
                <w:color w:val="231F1F"/>
                <w:spacing w:val="-2"/>
                <w:sz w:val="18"/>
              </w:rPr>
              <w:t>de</w:t>
            </w:r>
            <w:r>
              <w:rPr>
                <w:rFonts w:ascii="Arial MT" w:hAnsi="Arial MT"/>
                <w:color w:val="231F1F"/>
                <w:spacing w:val="-7"/>
                <w:sz w:val="18"/>
              </w:rPr>
              <w:t> </w:t>
            </w:r>
            <w:r>
              <w:rPr>
                <w:rFonts w:ascii="Arial MT" w:hAnsi="Arial MT"/>
                <w:color w:val="231F1F"/>
                <w:spacing w:val="-2"/>
                <w:sz w:val="18"/>
              </w:rPr>
              <w:t>establecer </w:t>
            </w:r>
            <w:r>
              <w:rPr>
                <w:rFonts w:ascii="Arial MT" w:hAnsi="Arial MT"/>
                <w:color w:val="231F1F"/>
                <w:sz w:val="18"/>
              </w:rPr>
              <w:t>una relación casual.</w:t>
            </w:r>
          </w:p>
        </w:tc>
      </w:tr>
      <w:tr>
        <w:trPr>
          <w:trHeight w:val="590" w:hRule="atLeast"/>
        </w:trPr>
        <w:tc>
          <w:tcPr>
            <w:tcW w:w="571" w:type="dxa"/>
          </w:tcPr>
          <w:p>
            <w:pPr>
              <w:pStyle w:val="TableParagraph"/>
              <w:spacing w:before="71"/>
              <w:ind w:left="46" w:right="22"/>
              <w:jc w:val="center"/>
              <w:rPr>
                <w:rFonts w:ascii="Arial MT"/>
                <w:sz w:val="18"/>
              </w:rPr>
            </w:pPr>
            <w:r>
              <w:rPr>
                <w:rFonts w:ascii="Arial MT"/>
                <w:color w:val="231F1F"/>
                <w:spacing w:val="-5"/>
                <w:sz w:val="18"/>
              </w:rPr>
              <w:t>2+</w:t>
            </w:r>
          </w:p>
        </w:tc>
        <w:tc>
          <w:tcPr>
            <w:tcW w:w="7934" w:type="dxa"/>
          </w:tcPr>
          <w:p>
            <w:pPr>
              <w:pStyle w:val="TableParagraph"/>
              <w:spacing w:line="256" w:lineRule="auto" w:before="71"/>
              <w:ind w:left="116"/>
              <w:rPr>
                <w:rFonts w:ascii="Arial MT" w:hAnsi="Arial MT"/>
                <w:sz w:val="18"/>
              </w:rPr>
            </w:pPr>
            <w:r>
              <w:rPr>
                <w:rFonts w:ascii="Arial MT" w:hAnsi="Arial MT"/>
                <w:color w:val="231F1F"/>
                <w:spacing w:val="-2"/>
                <w:sz w:val="18"/>
              </w:rPr>
              <w:t>Estudios</w:t>
            </w:r>
            <w:r>
              <w:rPr>
                <w:rFonts w:ascii="Arial MT" w:hAnsi="Arial MT"/>
                <w:color w:val="231F1F"/>
                <w:spacing w:val="-15"/>
                <w:sz w:val="18"/>
              </w:rPr>
              <w:t> </w:t>
            </w:r>
            <w:r>
              <w:rPr>
                <w:rFonts w:ascii="Arial MT" w:hAnsi="Arial MT"/>
                <w:color w:val="231F1F"/>
                <w:spacing w:val="-2"/>
                <w:sz w:val="18"/>
              </w:rPr>
              <w:t>cohortes</w:t>
            </w:r>
            <w:r>
              <w:rPr>
                <w:rFonts w:ascii="Arial MT" w:hAnsi="Arial MT"/>
                <w:color w:val="231F1F"/>
                <w:spacing w:val="-13"/>
                <w:sz w:val="18"/>
              </w:rPr>
              <w:t> </w:t>
            </w:r>
            <w:r>
              <w:rPr>
                <w:rFonts w:ascii="Arial MT" w:hAnsi="Arial MT"/>
                <w:color w:val="231F1F"/>
                <w:spacing w:val="-2"/>
                <w:sz w:val="18"/>
              </w:rPr>
              <w:t>o</w:t>
            </w:r>
            <w:r>
              <w:rPr>
                <w:rFonts w:ascii="Arial MT" w:hAnsi="Arial MT"/>
                <w:color w:val="231F1F"/>
                <w:spacing w:val="-15"/>
                <w:sz w:val="18"/>
              </w:rPr>
              <w:t> </w:t>
            </w:r>
            <w:r>
              <w:rPr>
                <w:rFonts w:ascii="Arial MT" w:hAnsi="Arial MT"/>
                <w:color w:val="231F1F"/>
                <w:spacing w:val="-2"/>
                <w:sz w:val="18"/>
              </w:rPr>
              <w:t>de</w:t>
            </w:r>
            <w:r>
              <w:rPr>
                <w:rFonts w:ascii="Arial MT" w:hAnsi="Arial MT"/>
                <w:color w:val="231F1F"/>
                <w:spacing w:val="-15"/>
                <w:sz w:val="18"/>
              </w:rPr>
              <w:t> </w:t>
            </w:r>
            <w:r>
              <w:rPr>
                <w:rFonts w:ascii="Arial MT" w:hAnsi="Arial MT"/>
                <w:color w:val="231F1F"/>
                <w:spacing w:val="-2"/>
                <w:sz w:val="18"/>
              </w:rPr>
              <w:t>casos</w:t>
            </w:r>
            <w:r>
              <w:rPr>
                <w:rFonts w:ascii="Arial MT" w:hAnsi="Arial MT"/>
                <w:color w:val="231F1F"/>
                <w:spacing w:val="-13"/>
                <w:sz w:val="18"/>
              </w:rPr>
              <w:t> </w:t>
            </w:r>
            <w:r>
              <w:rPr>
                <w:rFonts w:ascii="Arial MT" w:hAnsi="Arial MT"/>
                <w:color w:val="231F1F"/>
                <w:spacing w:val="-2"/>
                <w:sz w:val="18"/>
              </w:rPr>
              <w:t>y</w:t>
            </w:r>
            <w:r>
              <w:rPr>
                <w:rFonts w:ascii="Arial MT" w:hAnsi="Arial MT"/>
                <w:color w:val="231F1F"/>
                <w:spacing w:val="-15"/>
                <w:sz w:val="18"/>
              </w:rPr>
              <w:t> </w:t>
            </w:r>
            <w:r>
              <w:rPr>
                <w:rFonts w:ascii="Arial MT" w:hAnsi="Arial MT"/>
                <w:color w:val="231F1F"/>
                <w:spacing w:val="-2"/>
                <w:sz w:val="18"/>
              </w:rPr>
              <w:t>controles</w:t>
            </w:r>
            <w:r>
              <w:rPr>
                <w:rFonts w:ascii="Arial MT" w:hAnsi="Arial MT"/>
                <w:color w:val="231F1F"/>
                <w:spacing w:val="-13"/>
                <w:sz w:val="18"/>
              </w:rPr>
              <w:t> </w:t>
            </w:r>
            <w:r>
              <w:rPr>
                <w:rFonts w:ascii="Arial MT" w:hAnsi="Arial MT"/>
                <w:color w:val="231F1F"/>
                <w:spacing w:val="-2"/>
                <w:sz w:val="18"/>
              </w:rPr>
              <w:t>bien</w:t>
            </w:r>
            <w:r>
              <w:rPr>
                <w:rFonts w:ascii="Arial MT" w:hAnsi="Arial MT"/>
                <w:color w:val="231F1F"/>
                <w:spacing w:val="-15"/>
                <w:sz w:val="18"/>
              </w:rPr>
              <w:t> </w:t>
            </w:r>
            <w:r>
              <w:rPr>
                <w:rFonts w:ascii="Arial MT" w:hAnsi="Arial MT"/>
                <w:color w:val="231F1F"/>
                <w:spacing w:val="-2"/>
                <w:sz w:val="18"/>
              </w:rPr>
              <w:t>realizados</w:t>
            </w:r>
            <w:r>
              <w:rPr>
                <w:rFonts w:ascii="Arial MT" w:hAnsi="Arial MT"/>
                <w:color w:val="231F1F"/>
                <w:spacing w:val="-15"/>
                <w:sz w:val="18"/>
              </w:rPr>
              <w:t> </w:t>
            </w:r>
            <w:r>
              <w:rPr>
                <w:rFonts w:ascii="Arial MT" w:hAnsi="Arial MT"/>
                <w:color w:val="231F1F"/>
                <w:spacing w:val="-2"/>
                <w:sz w:val="18"/>
              </w:rPr>
              <w:t>con</w:t>
            </w:r>
            <w:r>
              <w:rPr>
                <w:rFonts w:ascii="Arial MT" w:hAnsi="Arial MT"/>
                <w:color w:val="231F1F"/>
                <w:spacing w:val="-15"/>
                <w:sz w:val="18"/>
              </w:rPr>
              <w:t> </w:t>
            </w:r>
            <w:r>
              <w:rPr>
                <w:rFonts w:ascii="Arial MT" w:hAnsi="Arial MT"/>
                <w:color w:val="231F1F"/>
                <w:spacing w:val="-2"/>
                <w:sz w:val="18"/>
              </w:rPr>
              <w:t>bajo</w:t>
            </w:r>
            <w:r>
              <w:rPr>
                <w:rFonts w:ascii="Arial MT" w:hAnsi="Arial MT"/>
                <w:color w:val="231F1F"/>
                <w:spacing w:val="-15"/>
                <w:sz w:val="18"/>
              </w:rPr>
              <w:t> </w:t>
            </w:r>
            <w:r>
              <w:rPr>
                <w:rFonts w:ascii="Arial MT" w:hAnsi="Arial MT"/>
                <w:color w:val="231F1F"/>
                <w:spacing w:val="-2"/>
                <w:sz w:val="18"/>
              </w:rPr>
              <w:t>riesgo</w:t>
            </w:r>
            <w:r>
              <w:rPr>
                <w:rFonts w:ascii="Arial MT" w:hAnsi="Arial MT"/>
                <w:color w:val="231F1F"/>
                <w:spacing w:val="-15"/>
                <w:sz w:val="18"/>
              </w:rPr>
              <w:t> </w:t>
            </w:r>
            <w:r>
              <w:rPr>
                <w:rFonts w:ascii="Arial MT" w:hAnsi="Arial MT"/>
                <w:color w:val="231F1F"/>
                <w:spacing w:val="-2"/>
                <w:sz w:val="18"/>
              </w:rPr>
              <w:t>de</w:t>
            </w:r>
            <w:r>
              <w:rPr>
                <w:rFonts w:ascii="Arial MT" w:hAnsi="Arial MT"/>
                <w:color w:val="231F1F"/>
                <w:spacing w:val="-15"/>
                <w:sz w:val="18"/>
              </w:rPr>
              <w:t> </w:t>
            </w:r>
            <w:r>
              <w:rPr>
                <w:rFonts w:ascii="Arial MT" w:hAnsi="Arial MT"/>
                <w:color w:val="231F1F"/>
                <w:spacing w:val="-2"/>
                <w:sz w:val="18"/>
              </w:rPr>
              <w:t>sesgo</w:t>
            </w:r>
            <w:r>
              <w:rPr>
                <w:rFonts w:ascii="Arial MT" w:hAnsi="Arial MT"/>
                <w:color w:val="231F1F"/>
                <w:spacing w:val="-15"/>
                <w:sz w:val="18"/>
              </w:rPr>
              <w:t> </w:t>
            </w:r>
            <w:r>
              <w:rPr>
                <w:rFonts w:ascii="Arial MT" w:hAnsi="Arial MT"/>
                <w:color w:val="231F1F"/>
                <w:spacing w:val="-2"/>
                <w:sz w:val="18"/>
              </w:rPr>
              <w:t>y</w:t>
            </w:r>
            <w:r>
              <w:rPr>
                <w:rFonts w:ascii="Arial MT" w:hAnsi="Arial MT"/>
                <w:color w:val="231F1F"/>
                <w:spacing w:val="-15"/>
                <w:sz w:val="18"/>
              </w:rPr>
              <w:t> </w:t>
            </w:r>
            <w:r>
              <w:rPr>
                <w:rFonts w:ascii="Arial MT" w:hAnsi="Arial MT"/>
                <w:color w:val="231F1F"/>
                <w:spacing w:val="-2"/>
                <w:sz w:val="18"/>
              </w:rPr>
              <w:t>con</w:t>
            </w:r>
            <w:r>
              <w:rPr>
                <w:rFonts w:ascii="Arial MT" w:hAnsi="Arial MT"/>
                <w:color w:val="231F1F"/>
                <w:spacing w:val="-15"/>
                <w:sz w:val="18"/>
              </w:rPr>
              <w:t> </w:t>
            </w:r>
            <w:r>
              <w:rPr>
                <w:rFonts w:ascii="Arial MT" w:hAnsi="Arial MT"/>
                <w:color w:val="231F1F"/>
                <w:spacing w:val="-2"/>
                <w:sz w:val="18"/>
              </w:rPr>
              <w:t>una</w:t>
            </w:r>
            <w:r>
              <w:rPr>
                <w:rFonts w:ascii="Arial MT" w:hAnsi="Arial MT"/>
                <w:color w:val="231F1F"/>
                <w:spacing w:val="-15"/>
                <w:sz w:val="18"/>
              </w:rPr>
              <w:t> </w:t>
            </w:r>
            <w:r>
              <w:rPr>
                <w:rFonts w:ascii="Arial MT" w:hAnsi="Arial MT"/>
                <w:color w:val="231F1F"/>
                <w:spacing w:val="-2"/>
                <w:sz w:val="18"/>
              </w:rPr>
              <w:t>mode- </w:t>
            </w:r>
            <w:r>
              <w:rPr>
                <w:rFonts w:ascii="Arial MT" w:hAnsi="Arial MT"/>
                <w:color w:val="231F1F"/>
                <w:sz w:val="18"/>
              </w:rPr>
              <w:t>rada probabilidad de establecer una relación casual.</w:t>
            </w:r>
          </w:p>
        </w:tc>
      </w:tr>
      <w:tr>
        <w:trPr>
          <w:trHeight w:val="590" w:hRule="atLeast"/>
        </w:trPr>
        <w:tc>
          <w:tcPr>
            <w:tcW w:w="571" w:type="dxa"/>
          </w:tcPr>
          <w:p>
            <w:pPr>
              <w:pStyle w:val="TableParagraph"/>
              <w:spacing w:before="71"/>
              <w:ind w:left="46" w:right="16"/>
              <w:jc w:val="center"/>
              <w:rPr>
                <w:rFonts w:ascii="Arial MT"/>
                <w:sz w:val="18"/>
              </w:rPr>
            </w:pPr>
            <w:r>
              <w:rPr>
                <w:rFonts w:ascii="Arial MT"/>
                <w:color w:val="231F1F"/>
                <w:spacing w:val="-5"/>
                <w:sz w:val="18"/>
              </w:rPr>
              <w:t>2-</w:t>
            </w:r>
          </w:p>
        </w:tc>
        <w:tc>
          <w:tcPr>
            <w:tcW w:w="7934" w:type="dxa"/>
          </w:tcPr>
          <w:p>
            <w:pPr>
              <w:pStyle w:val="TableParagraph"/>
              <w:spacing w:line="256" w:lineRule="auto" w:before="71"/>
              <w:ind w:left="116"/>
              <w:rPr>
                <w:rFonts w:ascii="Arial MT" w:hAnsi="Arial MT"/>
                <w:sz w:val="18"/>
              </w:rPr>
            </w:pPr>
            <w:r>
              <w:rPr>
                <w:rFonts w:ascii="Arial MT" w:hAnsi="Arial MT"/>
                <w:color w:val="231F1F"/>
                <w:spacing w:val="-2"/>
                <w:sz w:val="18"/>
              </w:rPr>
              <w:t>Estudios</w:t>
            </w:r>
            <w:r>
              <w:rPr>
                <w:rFonts w:ascii="Arial MT" w:hAnsi="Arial MT"/>
                <w:color w:val="231F1F"/>
                <w:spacing w:val="-14"/>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cohortes</w:t>
            </w:r>
            <w:r>
              <w:rPr>
                <w:rFonts w:ascii="Arial MT" w:hAnsi="Arial MT"/>
                <w:color w:val="231F1F"/>
                <w:spacing w:val="-12"/>
                <w:sz w:val="18"/>
              </w:rPr>
              <w:t> </w:t>
            </w:r>
            <w:r>
              <w:rPr>
                <w:rFonts w:ascii="Arial MT" w:hAnsi="Arial MT"/>
                <w:color w:val="231F1F"/>
                <w:spacing w:val="-2"/>
                <w:sz w:val="18"/>
              </w:rPr>
              <w:t>o</w:t>
            </w:r>
            <w:r>
              <w:rPr>
                <w:rFonts w:ascii="Arial MT" w:hAnsi="Arial MT"/>
                <w:color w:val="231F1F"/>
                <w:spacing w:val="-14"/>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casos</w:t>
            </w:r>
            <w:r>
              <w:rPr>
                <w:rFonts w:ascii="Arial MT" w:hAnsi="Arial MT"/>
                <w:color w:val="231F1F"/>
                <w:spacing w:val="-12"/>
                <w:sz w:val="18"/>
              </w:rPr>
              <w:t> </w:t>
            </w:r>
            <w:r>
              <w:rPr>
                <w:rFonts w:ascii="Arial MT" w:hAnsi="Arial MT"/>
                <w:color w:val="231F1F"/>
                <w:spacing w:val="-2"/>
                <w:sz w:val="18"/>
              </w:rPr>
              <w:t>y</w:t>
            </w:r>
            <w:r>
              <w:rPr>
                <w:rFonts w:ascii="Arial MT" w:hAnsi="Arial MT"/>
                <w:color w:val="231F1F"/>
                <w:spacing w:val="-14"/>
                <w:sz w:val="18"/>
              </w:rPr>
              <w:t> </w:t>
            </w:r>
            <w:r>
              <w:rPr>
                <w:rFonts w:ascii="Arial MT" w:hAnsi="Arial MT"/>
                <w:color w:val="231F1F"/>
                <w:spacing w:val="-2"/>
                <w:sz w:val="18"/>
              </w:rPr>
              <w:t>controles</w:t>
            </w:r>
            <w:r>
              <w:rPr>
                <w:rFonts w:ascii="Arial MT" w:hAnsi="Arial MT"/>
                <w:color w:val="231F1F"/>
                <w:spacing w:val="-12"/>
                <w:sz w:val="18"/>
              </w:rPr>
              <w:t> </w:t>
            </w:r>
            <w:r>
              <w:rPr>
                <w:rFonts w:ascii="Arial MT" w:hAnsi="Arial MT"/>
                <w:color w:val="231F1F"/>
                <w:spacing w:val="-2"/>
                <w:sz w:val="18"/>
              </w:rPr>
              <w:t>con</w:t>
            </w:r>
            <w:r>
              <w:rPr>
                <w:rFonts w:ascii="Arial MT" w:hAnsi="Arial MT"/>
                <w:color w:val="231F1F"/>
                <w:spacing w:val="-14"/>
                <w:sz w:val="18"/>
              </w:rPr>
              <w:t> </w:t>
            </w:r>
            <w:r>
              <w:rPr>
                <w:rFonts w:ascii="Arial MT" w:hAnsi="Arial MT"/>
                <w:color w:val="231F1F"/>
                <w:spacing w:val="-2"/>
                <w:sz w:val="18"/>
              </w:rPr>
              <w:t>alto</w:t>
            </w:r>
            <w:r>
              <w:rPr>
                <w:rFonts w:ascii="Arial MT" w:hAnsi="Arial MT"/>
                <w:color w:val="231F1F"/>
                <w:spacing w:val="-14"/>
                <w:sz w:val="18"/>
              </w:rPr>
              <w:t> </w:t>
            </w:r>
            <w:r>
              <w:rPr>
                <w:rFonts w:ascii="Arial MT" w:hAnsi="Arial MT"/>
                <w:color w:val="231F1F"/>
                <w:spacing w:val="-2"/>
                <w:sz w:val="18"/>
              </w:rPr>
              <w:t>riesgo</w:t>
            </w:r>
            <w:r>
              <w:rPr>
                <w:rFonts w:ascii="Arial MT" w:hAnsi="Arial MT"/>
                <w:color w:val="231F1F"/>
                <w:spacing w:val="-14"/>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sesgo</w:t>
            </w:r>
            <w:r>
              <w:rPr>
                <w:rFonts w:ascii="Arial MT" w:hAnsi="Arial MT"/>
                <w:color w:val="231F1F"/>
                <w:spacing w:val="-14"/>
                <w:sz w:val="18"/>
              </w:rPr>
              <w:t> </w:t>
            </w:r>
            <w:r>
              <w:rPr>
                <w:rFonts w:ascii="Arial MT" w:hAnsi="Arial MT"/>
                <w:color w:val="231F1F"/>
                <w:spacing w:val="-2"/>
                <w:sz w:val="18"/>
              </w:rPr>
              <w:t>y</w:t>
            </w:r>
            <w:r>
              <w:rPr>
                <w:rFonts w:ascii="Arial MT" w:hAnsi="Arial MT"/>
                <w:color w:val="231F1F"/>
                <w:spacing w:val="-14"/>
                <w:sz w:val="18"/>
              </w:rPr>
              <w:t> </w:t>
            </w:r>
            <w:r>
              <w:rPr>
                <w:rFonts w:ascii="Arial MT" w:hAnsi="Arial MT"/>
                <w:color w:val="231F1F"/>
                <w:spacing w:val="-2"/>
                <w:sz w:val="18"/>
              </w:rPr>
              <w:t>riesgo</w:t>
            </w:r>
            <w:r>
              <w:rPr>
                <w:rFonts w:ascii="Arial MT" w:hAnsi="Arial MT"/>
                <w:color w:val="231F1F"/>
                <w:spacing w:val="-14"/>
                <w:sz w:val="18"/>
              </w:rPr>
              <w:t> </w:t>
            </w:r>
            <w:r>
              <w:rPr>
                <w:rFonts w:ascii="Arial MT" w:hAnsi="Arial MT"/>
                <w:color w:val="231F1F"/>
                <w:spacing w:val="-2"/>
                <w:sz w:val="18"/>
              </w:rPr>
              <w:t>significativo</w:t>
            </w:r>
            <w:r>
              <w:rPr>
                <w:rFonts w:ascii="Arial MT" w:hAnsi="Arial MT"/>
                <w:color w:val="231F1F"/>
                <w:spacing w:val="-14"/>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que</w:t>
            </w:r>
            <w:r>
              <w:rPr>
                <w:rFonts w:ascii="Arial MT" w:hAnsi="Arial MT"/>
                <w:color w:val="231F1F"/>
                <w:spacing w:val="-14"/>
                <w:sz w:val="18"/>
              </w:rPr>
              <w:t> </w:t>
            </w:r>
            <w:r>
              <w:rPr>
                <w:rFonts w:ascii="Arial MT" w:hAnsi="Arial MT"/>
                <w:color w:val="231F1F"/>
                <w:spacing w:val="-2"/>
                <w:sz w:val="18"/>
              </w:rPr>
              <w:t>la </w:t>
            </w:r>
            <w:r>
              <w:rPr>
                <w:rFonts w:ascii="Arial MT" w:hAnsi="Arial MT"/>
                <w:color w:val="231F1F"/>
                <w:sz w:val="18"/>
              </w:rPr>
              <w:t>relación no sea casual.</w:t>
            </w:r>
          </w:p>
        </w:tc>
      </w:tr>
      <w:tr>
        <w:trPr>
          <w:trHeight w:val="369" w:hRule="atLeast"/>
        </w:trPr>
        <w:tc>
          <w:tcPr>
            <w:tcW w:w="571" w:type="dxa"/>
          </w:tcPr>
          <w:p>
            <w:pPr>
              <w:pStyle w:val="TableParagraph"/>
              <w:spacing w:before="71"/>
              <w:ind w:left="46"/>
              <w:jc w:val="center"/>
              <w:rPr>
                <w:rFonts w:ascii="Arial MT"/>
                <w:sz w:val="18"/>
              </w:rPr>
            </w:pPr>
            <w:r>
              <w:rPr>
                <w:rFonts w:ascii="Arial MT"/>
                <w:color w:val="231F1F"/>
                <w:spacing w:val="-10"/>
                <w:sz w:val="18"/>
              </w:rPr>
              <w:t>3</w:t>
            </w:r>
          </w:p>
        </w:tc>
        <w:tc>
          <w:tcPr>
            <w:tcW w:w="7934" w:type="dxa"/>
          </w:tcPr>
          <w:p>
            <w:pPr>
              <w:pStyle w:val="TableParagraph"/>
              <w:spacing w:before="71"/>
              <w:ind w:left="116"/>
              <w:rPr>
                <w:rFonts w:ascii="Arial MT" w:hAnsi="Arial MT"/>
                <w:sz w:val="18"/>
              </w:rPr>
            </w:pPr>
            <w:r>
              <w:rPr>
                <w:rFonts w:ascii="Arial MT" w:hAnsi="Arial MT"/>
                <w:color w:val="231F1F"/>
                <w:spacing w:val="-4"/>
                <w:sz w:val="18"/>
              </w:rPr>
              <w:t>Estudios</w:t>
            </w:r>
            <w:r>
              <w:rPr>
                <w:rFonts w:ascii="Arial MT" w:hAnsi="Arial MT"/>
                <w:color w:val="231F1F"/>
                <w:spacing w:val="-8"/>
                <w:sz w:val="18"/>
              </w:rPr>
              <w:t> </w:t>
            </w:r>
            <w:r>
              <w:rPr>
                <w:rFonts w:ascii="Arial MT" w:hAnsi="Arial MT"/>
                <w:color w:val="231F1F"/>
                <w:spacing w:val="-4"/>
                <w:sz w:val="18"/>
              </w:rPr>
              <w:t>no</w:t>
            </w:r>
            <w:r>
              <w:rPr>
                <w:rFonts w:ascii="Arial MT" w:hAnsi="Arial MT"/>
                <w:color w:val="231F1F"/>
                <w:spacing w:val="-6"/>
                <w:sz w:val="18"/>
              </w:rPr>
              <w:t> </w:t>
            </w:r>
            <w:r>
              <w:rPr>
                <w:rFonts w:ascii="Arial MT" w:hAnsi="Arial MT"/>
                <w:color w:val="231F1F"/>
                <w:spacing w:val="-4"/>
                <w:sz w:val="18"/>
              </w:rPr>
              <w:t>analíticos, como</w:t>
            </w:r>
            <w:r>
              <w:rPr>
                <w:rFonts w:ascii="Arial MT" w:hAnsi="Arial MT"/>
                <w:color w:val="231F1F"/>
                <w:spacing w:val="-7"/>
                <w:sz w:val="18"/>
              </w:rPr>
              <w:t> </w:t>
            </w:r>
            <w:r>
              <w:rPr>
                <w:rFonts w:ascii="Arial MT" w:hAnsi="Arial MT"/>
                <w:color w:val="231F1F"/>
                <w:spacing w:val="-4"/>
                <w:sz w:val="18"/>
              </w:rPr>
              <w:t>informes</w:t>
            </w:r>
            <w:r>
              <w:rPr>
                <w:rFonts w:ascii="Arial MT" w:hAnsi="Arial MT"/>
                <w:color w:val="231F1F"/>
                <w:spacing w:val="-7"/>
                <w:sz w:val="18"/>
              </w:rPr>
              <w:t> </w:t>
            </w:r>
            <w:r>
              <w:rPr>
                <w:rFonts w:ascii="Arial MT" w:hAnsi="Arial MT"/>
                <w:color w:val="231F1F"/>
                <w:spacing w:val="-4"/>
                <w:sz w:val="18"/>
              </w:rPr>
              <w:t>de</w:t>
            </w:r>
            <w:r>
              <w:rPr>
                <w:rFonts w:ascii="Arial MT" w:hAnsi="Arial MT"/>
                <w:color w:val="231F1F"/>
                <w:spacing w:val="-5"/>
                <w:sz w:val="18"/>
              </w:rPr>
              <w:t> </w:t>
            </w:r>
            <w:r>
              <w:rPr>
                <w:rFonts w:ascii="Arial MT" w:hAnsi="Arial MT"/>
                <w:color w:val="231F1F"/>
                <w:spacing w:val="-4"/>
                <w:sz w:val="18"/>
              </w:rPr>
              <w:t>casos y</w:t>
            </w:r>
            <w:r>
              <w:rPr>
                <w:rFonts w:ascii="Arial MT" w:hAnsi="Arial MT"/>
                <w:color w:val="231F1F"/>
                <w:spacing w:val="-8"/>
                <w:sz w:val="18"/>
              </w:rPr>
              <w:t> </w:t>
            </w:r>
            <w:r>
              <w:rPr>
                <w:rFonts w:ascii="Arial MT" w:hAnsi="Arial MT"/>
                <w:color w:val="231F1F"/>
                <w:spacing w:val="-4"/>
                <w:sz w:val="18"/>
              </w:rPr>
              <w:t>series</w:t>
            </w:r>
            <w:r>
              <w:rPr>
                <w:rFonts w:ascii="Arial MT" w:hAnsi="Arial MT"/>
                <w:color w:val="231F1F"/>
                <w:spacing w:val="-5"/>
                <w:sz w:val="18"/>
              </w:rPr>
              <w:t> </w:t>
            </w:r>
            <w:r>
              <w:rPr>
                <w:rFonts w:ascii="Arial MT" w:hAnsi="Arial MT"/>
                <w:color w:val="231F1F"/>
                <w:spacing w:val="-4"/>
                <w:sz w:val="18"/>
              </w:rPr>
              <w:t>de</w:t>
            </w:r>
            <w:r>
              <w:rPr>
                <w:rFonts w:ascii="Arial MT" w:hAnsi="Arial MT"/>
                <w:color w:val="231F1F"/>
                <w:spacing w:val="-7"/>
                <w:sz w:val="18"/>
              </w:rPr>
              <w:t> </w:t>
            </w:r>
            <w:r>
              <w:rPr>
                <w:rFonts w:ascii="Arial MT" w:hAnsi="Arial MT"/>
                <w:color w:val="231F1F"/>
                <w:spacing w:val="-4"/>
                <w:sz w:val="18"/>
              </w:rPr>
              <w:t>casos.</w:t>
            </w:r>
          </w:p>
        </w:tc>
      </w:tr>
      <w:tr>
        <w:trPr>
          <w:trHeight w:val="374" w:hRule="atLeast"/>
        </w:trPr>
        <w:tc>
          <w:tcPr>
            <w:tcW w:w="571" w:type="dxa"/>
          </w:tcPr>
          <w:p>
            <w:pPr>
              <w:pStyle w:val="TableParagraph"/>
              <w:spacing w:before="75"/>
              <w:ind w:left="46"/>
              <w:jc w:val="center"/>
              <w:rPr>
                <w:rFonts w:ascii="Arial MT"/>
                <w:sz w:val="18"/>
              </w:rPr>
            </w:pPr>
            <w:r>
              <w:rPr>
                <w:rFonts w:ascii="Arial MT"/>
                <w:color w:val="231F1F"/>
                <w:spacing w:val="-10"/>
                <w:sz w:val="18"/>
              </w:rPr>
              <w:t>4</w:t>
            </w:r>
          </w:p>
        </w:tc>
        <w:tc>
          <w:tcPr>
            <w:tcW w:w="7934" w:type="dxa"/>
          </w:tcPr>
          <w:p>
            <w:pPr>
              <w:pStyle w:val="TableParagraph"/>
              <w:spacing w:before="75"/>
              <w:ind w:left="116"/>
              <w:rPr>
                <w:rFonts w:ascii="Arial MT" w:hAnsi="Arial MT"/>
                <w:sz w:val="18"/>
              </w:rPr>
            </w:pPr>
            <w:r>
              <w:rPr>
                <w:rFonts w:ascii="Arial MT" w:hAnsi="Arial MT"/>
                <w:color w:val="231F1F"/>
                <w:spacing w:val="-2"/>
                <w:sz w:val="18"/>
              </w:rPr>
              <w:t>Opinión</w:t>
            </w:r>
            <w:r>
              <w:rPr>
                <w:rFonts w:ascii="Arial MT" w:hAnsi="Arial MT"/>
                <w:color w:val="231F1F"/>
                <w:spacing w:val="-14"/>
                <w:sz w:val="18"/>
              </w:rPr>
              <w:t> </w:t>
            </w:r>
            <w:r>
              <w:rPr>
                <w:rFonts w:ascii="Arial MT" w:hAnsi="Arial MT"/>
                <w:color w:val="231F1F"/>
                <w:spacing w:val="-2"/>
                <w:sz w:val="18"/>
              </w:rPr>
              <w:t>de</w:t>
            </w:r>
            <w:r>
              <w:rPr>
                <w:rFonts w:ascii="Arial MT" w:hAnsi="Arial MT"/>
                <w:color w:val="231F1F"/>
                <w:spacing w:val="-13"/>
                <w:sz w:val="18"/>
              </w:rPr>
              <w:t> </w:t>
            </w:r>
            <w:r>
              <w:rPr>
                <w:rFonts w:ascii="Arial MT" w:hAnsi="Arial MT"/>
                <w:color w:val="231F1F"/>
                <w:spacing w:val="-2"/>
                <w:sz w:val="18"/>
              </w:rPr>
              <w:t>expertos.</w:t>
            </w:r>
          </w:p>
        </w:tc>
      </w:tr>
      <w:tr>
        <w:trPr>
          <w:trHeight w:val="364" w:hRule="atLeast"/>
        </w:trPr>
        <w:tc>
          <w:tcPr>
            <w:tcW w:w="8505" w:type="dxa"/>
            <w:gridSpan w:val="2"/>
          </w:tcPr>
          <w:p>
            <w:pPr>
              <w:pStyle w:val="TableParagraph"/>
              <w:spacing w:before="71"/>
              <w:ind w:left="27"/>
              <w:jc w:val="center"/>
              <w:rPr>
                <w:rFonts w:ascii="Arial MT" w:hAnsi="Arial MT"/>
                <w:sz w:val="18"/>
              </w:rPr>
            </w:pPr>
            <w:r>
              <w:rPr>
                <w:rFonts w:ascii="Arial MT" w:hAnsi="Arial MT"/>
                <w:color w:val="231F1F"/>
                <w:sz w:val="18"/>
              </w:rPr>
              <w:t>Grados</w:t>
            </w:r>
            <w:r>
              <w:rPr>
                <w:rFonts w:ascii="Arial MT" w:hAnsi="Arial MT"/>
                <w:color w:val="231F1F"/>
                <w:spacing w:val="4"/>
                <w:sz w:val="18"/>
              </w:rPr>
              <w:t> </w:t>
            </w:r>
            <w:r>
              <w:rPr>
                <w:rFonts w:ascii="Arial MT" w:hAnsi="Arial MT"/>
                <w:color w:val="231F1F"/>
                <w:sz w:val="18"/>
              </w:rPr>
              <w:t>de</w:t>
            </w:r>
            <w:r>
              <w:rPr>
                <w:rFonts w:ascii="Arial MT" w:hAnsi="Arial MT"/>
                <w:color w:val="231F1F"/>
                <w:spacing w:val="6"/>
                <w:sz w:val="18"/>
              </w:rPr>
              <w:t> </w:t>
            </w:r>
            <w:r>
              <w:rPr>
                <w:rFonts w:ascii="Arial MT" w:hAnsi="Arial MT"/>
                <w:color w:val="231F1F"/>
                <w:spacing w:val="-2"/>
                <w:sz w:val="18"/>
              </w:rPr>
              <w:t>recomendación</w:t>
            </w:r>
          </w:p>
        </w:tc>
      </w:tr>
      <w:tr>
        <w:trPr>
          <w:trHeight w:val="810" w:hRule="atLeast"/>
        </w:trPr>
        <w:tc>
          <w:tcPr>
            <w:tcW w:w="571" w:type="dxa"/>
          </w:tcPr>
          <w:p>
            <w:pPr>
              <w:pStyle w:val="TableParagraph"/>
              <w:spacing w:before="71"/>
              <w:ind w:left="46"/>
              <w:jc w:val="center"/>
              <w:rPr>
                <w:rFonts w:ascii="Arial MT"/>
                <w:sz w:val="18"/>
              </w:rPr>
            </w:pPr>
            <w:r>
              <w:rPr>
                <w:rFonts w:ascii="Arial MT"/>
                <w:color w:val="231F1F"/>
                <w:spacing w:val="-10"/>
                <w:sz w:val="18"/>
              </w:rPr>
              <w:t>A</w:t>
            </w:r>
          </w:p>
        </w:tc>
        <w:tc>
          <w:tcPr>
            <w:tcW w:w="7934" w:type="dxa"/>
          </w:tcPr>
          <w:p>
            <w:pPr>
              <w:pStyle w:val="TableParagraph"/>
              <w:spacing w:line="256" w:lineRule="auto" w:before="71"/>
              <w:ind w:left="116" w:right="72"/>
              <w:jc w:val="both"/>
              <w:rPr>
                <w:rFonts w:ascii="Arial MT" w:hAnsi="Arial MT"/>
                <w:sz w:val="18"/>
              </w:rPr>
            </w:pPr>
            <w:r>
              <w:rPr>
                <w:rFonts w:ascii="Arial MT" w:hAnsi="Arial MT"/>
                <w:color w:val="231F1F"/>
                <w:spacing w:val="-2"/>
                <w:sz w:val="18"/>
              </w:rPr>
              <w:t>Al</w:t>
            </w:r>
            <w:r>
              <w:rPr>
                <w:rFonts w:ascii="Arial MT" w:hAnsi="Arial MT"/>
                <w:color w:val="231F1F"/>
                <w:spacing w:val="-11"/>
                <w:sz w:val="18"/>
              </w:rPr>
              <w:t> </w:t>
            </w:r>
            <w:r>
              <w:rPr>
                <w:rFonts w:ascii="Arial MT" w:hAnsi="Arial MT"/>
                <w:color w:val="231F1F"/>
                <w:spacing w:val="-2"/>
                <w:sz w:val="18"/>
              </w:rPr>
              <w:t>menos</w:t>
            </w:r>
            <w:r>
              <w:rPr>
                <w:rFonts w:ascii="Arial MT" w:hAnsi="Arial MT"/>
                <w:color w:val="231F1F"/>
                <w:spacing w:val="-10"/>
                <w:sz w:val="18"/>
              </w:rPr>
              <w:t> </w:t>
            </w:r>
            <w:r>
              <w:rPr>
                <w:rFonts w:ascii="Arial MT" w:hAnsi="Arial MT"/>
                <w:color w:val="231F1F"/>
                <w:spacing w:val="-2"/>
                <w:sz w:val="18"/>
              </w:rPr>
              <w:t>un</w:t>
            </w:r>
            <w:r>
              <w:rPr>
                <w:rFonts w:ascii="Arial MT" w:hAnsi="Arial MT"/>
                <w:color w:val="231F1F"/>
                <w:spacing w:val="-11"/>
                <w:sz w:val="18"/>
              </w:rPr>
              <w:t> </w:t>
            </w:r>
            <w:r>
              <w:rPr>
                <w:rFonts w:ascii="Arial MT" w:hAnsi="Arial MT"/>
                <w:color w:val="231F1F"/>
                <w:spacing w:val="-2"/>
                <w:sz w:val="18"/>
              </w:rPr>
              <w:t>metaanálisis,</w:t>
            </w:r>
            <w:r>
              <w:rPr>
                <w:rFonts w:ascii="Arial MT" w:hAnsi="Arial MT"/>
                <w:color w:val="231F1F"/>
                <w:spacing w:val="-10"/>
                <w:sz w:val="18"/>
              </w:rPr>
              <w:t> </w:t>
            </w:r>
            <w:r>
              <w:rPr>
                <w:rFonts w:ascii="Arial MT" w:hAnsi="Arial MT"/>
                <w:color w:val="231F1F"/>
                <w:spacing w:val="-2"/>
                <w:sz w:val="18"/>
              </w:rPr>
              <w:t>revisión</w:t>
            </w:r>
            <w:r>
              <w:rPr>
                <w:rFonts w:ascii="Arial MT" w:hAnsi="Arial MT"/>
                <w:color w:val="231F1F"/>
                <w:spacing w:val="-11"/>
                <w:sz w:val="18"/>
              </w:rPr>
              <w:t> </w:t>
            </w:r>
            <w:r>
              <w:rPr>
                <w:rFonts w:ascii="Arial MT" w:hAnsi="Arial MT"/>
                <w:color w:val="231F1F"/>
                <w:spacing w:val="-2"/>
                <w:sz w:val="18"/>
              </w:rPr>
              <w:t>sistemática</w:t>
            </w:r>
            <w:r>
              <w:rPr>
                <w:rFonts w:ascii="Arial MT" w:hAnsi="Arial MT"/>
                <w:color w:val="231F1F"/>
                <w:spacing w:val="-11"/>
                <w:sz w:val="18"/>
              </w:rPr>
              <w:t> </w:t>
            </w:r>
            <w:r>
              <w:rPr>
                <w:rFonts w:ascii="Arial MT" w:hAnsi="Arial MT"/>
                <w:color w:val="231F1F"/>
                <w:spacing w:val="-2"/>
                <w:sz w:val="18"/>
              </w:rPr>
              <w:t>o</w:t>
            </w:r>
            <w:r>
              <w:rPr>
                <w:rFonts w:ascii="Arial MT" w:hAnsi="Arial MT"/>
                <w:color w:val="231F1F"/>
                <w:spacing w:val="-10"/>
                <w:sz w:val="18"/>
              </w:rPr>
              <w:t> </w:t>
            </w:r>
            <w:r>
              <w:rPr>
                <w:rFonts w:ascii="Arial MT" w:hAnsi="Arial MT"/>
                <w:color w:val="231F1F"/>
                <w:spacing w:val="-2"/>
                <w:sz w:val="18"/>
              </w:rPr>
              <w:t>ensayo</w:t>
            </w:r>
            <w:r>
              <w:rPr>
                <w:rFonts w:ascii="Arial MT" w:hAnsi="Arial MT"/>
                <w:color w:val="231F1F"/>
                <w:spacing w:val="-11"/>
                <w:sz w:val="18"/>
              </w:rPr>
              <w:t> </w:t>
            </w:r>
            <w:r>
              <w:rPr>
                <w:rFonts w:ascii="Arial MT" w:hAnsi="Arial MT"/>
                <w:color w:val="231F1F"/>
                <w:spacing w:val="-2"/>
                <w:sz w:val="18"/>
              </w:rPr>
              <w:t>clínico</w:t>
            </w:r>
            <w:r>
              <w:rPr>
                <w:rFonts w:ascii="Arial MT" w:hAnsi="Arial MT"/>
                <w:color w:val="231F1F"/>
                <w:spacing w:val="-10"/>
                <w:sz w:val="18"/>
              </w:rPr>
              <w:t> </w:t>
            </w:r>
            <w:r>
              <w:rPr>
                <w:rFonts w:ascii="Arial MT" w:hAnsi="Arial MT"/>
                <w:color w:val="231F1F"/>
                <w:spacing w:val="-2"/>
                <w:sz w:val="18"/>
              </w:rPr>
              <w:t>clasificado</w:t>
            </w:r>
            <w:r>
              <w:rPr>
                <w:rFonts w:ascii="Arial MT" w:hAnsi="Arial MT"/>
                <w:color w:val="231F1F"/>
                <w:spacing w:val="-11"/>
                <w:sz w:val="18"/>
              </w:rPr>
              <w:t> </w:t>
            </w:r>
            <w:r>
              <w:rPr>
                <w:rFonts w:ascii="Arial MT" w:hAnsi="Arial MT"/>
                <w:color w:val="231F1F"/>
                <w:spacing w:val="-2"/>
                <w:sz w:val="18"/>
              </w:rPr>
              <w:t>como</w:t>
            </w:r>
            <w:r>
              <w:rPr>
                <w:rFonts w:ascii="Arial MT" w:hAnsi="Arial MT"/>
                <w:color w:val="231F1F"/>
                <w:spacing w:val="-10"/>
                <w:sz w:val="18"/>
              </w:rPr>
              <w:t> </w:t>
            </w:r>
            <w:r>
              <w:rPr>
                <w:rFonts w:ascii="Arial MT" w:hAnsi="Arial MT"/>
                <w:color w:val="231F1F"/>
                <w:spacing w:val="-2"/>
                <w:sz w:val="18"/>
              </w:rPr>
              <w:t>1++</w:t>
            </w:r>
            <w:r>
              <w:rPr>
                <w:rFonts w:ascii="Arial MT" w:hAnsi="Arial MT"/>
                <w:color w:val="231F1F"/>
                <w:spacing w:val="-11"/>
                <w:sz w:val="18"/>
              </w:rPr>
              <w:t> </w:t>
            </w:r>
            <w:r>
              <w:rPr>
                <w:rFonts w:ascii="Arial MT" w:hAnsi="Arial MT"/>
                <w:color w:val="231F1F"/>
                <w:spacing w:val="-2"/>
                <w:sz w:val="18"/>
              </w:rPr>
              <w:t>y</w:t>
            </w:r>
            <w:r>
              <w:rPr>
                <w:rFonts w:ascii="Arial MT" w:hAnsi="Arial MT"/>
                <w:color w:val="231F1F"/>
                <w:spacing w:val="-10"/>
                <w:sz w:val="18"/>
              </w:rPr>
              <w:t> </w:t>
            </w:r>
            <w:r>
              <w:rPr>
                <w:rFonts w:ascii="Arial MT" w:hAnsi="Arial MT"/>
                <w:color w:val="231F1F"/>
                <w:spacing w:val="-2"/>
                <w:sz w:val="18"/>
              </w:rPr>
              <w:t>directamente </w:t>
            </w:r>
            <w:r>
              <w:rPr>
                <w:rFonts w:ascii="Arial MT" w:hAnsi="Arial MT"/>
                <w:color w:val="231F1F"/>
                <w:spacing w:val="-4"/>
                <w:sz w:val="18"/>
              </w:rPr>
              <w:t>aplicable</w:t>
            </w:r>
            <w:r>
              <w:rPr>
                <w:rFonts w:ascii="Arial MT" w:hAnsi="Arial MT"/>
                <w:color w:val="231F1F"/>
                <w:spacing w:val="-8"/>
                <w:sz w:val="18"/>
              </w:rPr>
              <w:t> </w:t>
            </w:r>
            <w:r>
              <w:rPr>
                <w:rFonts w:ascii="Arial MT" w:hAnsi="Arial MT"/>
                <w:color w:val="231F1F"/>
                <w:spacing w:val="-4"/>
                <w:sz w:val="18"/>
              </w:rPr>
              <w:t>a</w:t>
            </w:r>
            <w:r>
              <w:rPr>
                <w:rFonts w:ascii="Arial MT" w:hAnsi="Arial MT"/>
                <w:color w:val="231F1F"/>
                <w:spacing w:val="-8"/>
                <w:sz w:val="18"/>
              </w:rPr>
              <w:t> </w:t>
            </w:r>
            <w:r>
              <w:rPr>
                <w:rFonts w:ascii="Arial MT" w:hAnsi="Arial MT"/>
                <w:color w:val="231F1F"/>
                <w:spacing w:val="-4"/>
                <w:sz w:val="18"/>
              </w:rPr>
              <w:t>la</w:t>
            </w:r>
            <w:r>
              <w:rPr>
                <w:rFonts w:ascii="Arial MT" w:hAnsi="Arial MT"/>
                <w:color w:val="231F1F"/>
                <w:spacing w:val="-8"/>
                <w:sz w:val="18"/>
              </w:rPr>
              <w:t> </w:t>
            </w:r>
            <w:r>
              <w:rPr>
                <w:rFonts w:ascii="Arial MT" w:hAnsi="Arial MT"/>
                <w:color w:val="231F1F"/>
                <w:spacing w:val="-4"/>
                <w:sz w:val="18"/>
              </w:rPr>
              <w:t>población</w:t>
            </w:r>
            <w:r>
              <w:rPr>
                <w:rFonts w:ascii="Arial MT" w:hAnsi="Arial MT"/>
                <w:color w:val="231F1F"/>
                <w:spacing w:val="-8"/>
                <w:sz w:val="18"/>
              </w:rPr>
              <w:t> </w:t>
            </w:r>
            <w:r>
              <w:rPr>
                <w:rFonts w:ascii="Arial MT" w:hAnsi="Arial MT"/>
                <w:color w:val="231F1F"/>
                <w:spacing w:val="-4"/>
                <w:sz w:val="18"/>
              </w:rPr>
              <w:t>diana</w:t>
            </w:r>
            <w:r>
              <w:rPr>
                <w:rFonts w:ascii="Arial MT" w:hAnsi="Arial MT"/>
                <w:color w:val="231F1F"/>
                <w:spacing w:val="-8"/>
                <w:sz w:val="18"/>
              </w:rPr>
              <w:t> </w:t>
            </w:r>
            <w:r>
              <w:rPr>
                <w:rFonts w:ascii="Arial MT" w:hAnsi="Arial MT"/>
                <w:color w:val="231F1F"/>
                <w:spacing w:val="-4"/>
                <w:sz w:val="18"/>
              </w:rPr>
              <w:t>de</w:t>
            </w:r>
            <w:r>
              <w:rPr>
                <w:rFonts w:ascii="Arial MT" w:hAnsi="Arial MT"/>
                <w:color w:val="231F1F"/>
                <w:spacing w:val="-8"/>
                <w:sz w:val="18"/>
              </w:rPr>
              <w:t> </w:t>
            </w:r>
            <w:r>
              <w:rPr>
                <w:rFonts w:ascii="Arial MT" w:hAnsi="Arial MT"/>
                <w:color w:val="231F1F"/>
                <w:spacing w:val="-4"/>
                <w:sz w:val="18"/>
              </w:rPr>
              <w:t>la</w:t>
            </w:r>
            <w:r>
              <w:rPr>
                <w:rFonts w:ascii="Arial MT" w:hAnsi="Arial MT"/>
                <w:color w:val="231F1F"/>
                <w:spacing w:val="-8"/>
                <w:sz w:val="18"/>
              </w:rPr>
              <w:t> </w:t>
            </w:r>
            <w:r>
              <w:rPr>
                <w:rFonts w:ascii="Arial MT" w:hAnsi="Arial MT"/>
                <w:color w:val="231F1F"/>
                <w:spacing w:val="-4"/>
                <w:sz w:val="18"/>
              </w:rPr>
              <w:t>guía;</w:t>
            </w:r>
            <w:r>
              <w:rPr>
                <w:rFonts w:ascii="Arial MT" w:hAnsi="Arial MT"/>
                <w:color w:val="231F1F"/>
                <w:spacing w:val="-8"/>
                <w:sz w:val="18"/>
              </w:rPr>
              <w:t> </w:t>
            </w:r>
            <w:r>
              <w:rPr>
                <w:rFonts w:ascii="Arial MT" w:hAnsi="Arial MT"/>
                <w:color w:val="231F1F"/>
                <w:spacing w:val="-4"/>
                <w:sz w:val="18"/>
              </w:rPr>
              <w:t>o</w:t>
            </w:r>
            <w:r>
              <w:rPr>
                <w:rFonts w:ascii="Arial MT" w:hAnsi="Arial MT"/>
                <w:color w:val="231F1F"/>
                <w:spacing w:val="-8"/>
                <w:sz w:val="18"/>
              </w:rPr>
              <w:t> </w:t>
            </w:r>
            <w:r>
              <w:rPr>
                <w:rFonts w:ascii="Arial MT" w:hAnsi="Arial MT"/>
                <w:color w:val="231F1F"/>
                <w:spacing w:val="-4"/>
                <w:sz w:val="18"/>
              </w:rPr>
              <w:t>un</w:t>
            </w:r>
            <w:r>
              <w:rPr>
                <w:rFonts w:ascii="Arial MT" w:hAnsi="Arial MT"/>
                <w:color w:val="231F1F"/>
                <w:spacing w:val="-8"/>
                <w:sz w:val="18"/>
              </w:rPr>
              <w:t> </w:t>
            </w:r>
            <w:r>
              <w:rPr>
                <w:rFonts w:ascii="Arial MT" w:hAnsi="Arial MT"/>
                <w:color w:val="231F1F"/>
                <w:spacing w:val="-4"/>
                <w:sz w:val="18"/>
              </w:rPr>
              <w:t>volumen</w:t>
            </w:r>
            <w:r>
              <w:rPr>
                <w:rFonts w:ascii="Arial MT" w:hAnsi="Arial MT"/>
                <w:color w:val="231F1F"/>
                <w:spacing w:val="-7"/>
                <w:sz w:val="18"/>
              </w:rPr>
              <w:t> </w:t>
            </w:r>
            <w:r>
              <w:rPr>
                <w:rFonts w:ascii="Arial MT" w:hAnsi="Arial MT"/>
                <w:color w:val="231F1F"/>
                <w:spacing w:val="-4"/>
                <w:sz w:val="18"/>
              </w:rPr>
              <w:t>de</w:t>
            </w:r>
            <w:r>
              <w:rPr>
                <w:rFonts w:ascii="Arial MT" w:hAnsi="Arial MT"/>
                <w:color w:val="231F1F"/>
                <w:spacing w:val="-8"/>
                <w:sz w:val="18"/>
              </w:rPr>
              <w:t> </w:t>
            </w:r>
            <w:r>
              <w:rPr>
                <w:rFonts w:ascii="Arial MT" w:hAnsi="Arial MT"/>
                <w:color w:val="231F1F"/>
                <w:spacing w:val="-4"/>
                <w:sz w:val="18"/>
              </w:rPr>
              <w:t>evidencia</w:t>
            </w:r>
            <w:r>
              <w:rPr>
                <w:rFonts w:ascii="Arial MT" w:hAnsi="Arial MT"/>
                <w:color w:val="231F1F"/>
                <w:spacing w:val="-8"/>
                <w:sz w:val="18"/>
              </w:rPr>
              <w:t> </w:t>
            </w:r>
            <w:r>
              <w:rPr>
                <w:rFonts w:ascii="Arial MT" w:hAnsi="Arial MT"/>
                <w:color w:val="231F1F"/>
                <w:spacing w:val="-4"/>
                <w:sz w:val="18"/>
              </w:rPr>
              <w:t>científica</w:t>
            </w:r>
            <w:r>
              <w:rPr>
                <w:rFonts w:ascii="Arial MT" w:hAnsi="Arial MT"/>
                <w:color w:val="231F1F"/>
                <w:spacing w:val="-8"/>
                <w:sz w:val="18"/>
              </w:rPr>
              <w:t> </w:t>
            </w:r>
            <w:r>
              <w:rPr>
                <w:rFonts w:ascii="Arial MT" w:hAnsi="Arial MT"/>
                <w:color w:val="231F1F"/>
                <w:spacing w:val="-4"/>
                <w:sz w:val="18"/>
              </w:rPr>
              <w:t>compuesto</w:t>
            </w:r>
            <w:r>
              <w:rPr>
                <w:rFonts w:ascii="Arial MT" w:hAnsi="Arial MT"/>
                <w:color w:val="231F1F"/>
                <w:spacing w:val="-7"/>
                <w:sz w:val="18"/>
              </w:rPr>
              <w:t> </w:t>
            </w:r>
            <w:r>
              <w:rPr>
                <w:rFonts w:ascii="Arial MT" w:hAnsi="Arial MT"/>
                <w:color w:val="231F1F"/>
                <w:spacing w:val="-4"/>
                <w:sz w:val="18"/>
              </w:rPr>
              <w:t>por</w:t>
            </w:r>
            <w:r>
              <w:rPr>
                <w:rFonts w:ascii="Arial MT" w:hAnsi="Arial MT"/>
                <w:color w:val="231F1F"/>
                <w:spacing w:val="-8"/>
                <w:sz w:val="18"/>
              </w:rPr>
              <w:t> </w:t>
            </w:r>
            <w:r>
              <w:rPr>
                <w:rFonts w:ascii="Arial MT" w:hAnsi="Arial MT"/>
                <w:color w:val="231F1F"/>
                <w:spacing w:val="-4"/>
                <w:sz w:val="18"/>
              </w:rPr>
              <w:t>estudios </w:t>
            </w:r>
            <w:r>
              <w:rPr>
                <w:rFonts w:ascii="Arial MT" w:hAnsi="Arial MT"/>
                <w:color w:val="231F1F"/>
                <w:sz w:val="18"/>
              </w:rPr>
              <w:t>clasificados como 1+ y con gran consistencia entre ellos.</w:t>
            </w:r>
          </w:p>
        </w:tc>
      </w:tr>
      <w:tr>
        <w:trPr>
          <w:trHeight w:val="805" w:hRule="atLeast"/>
        </w:trPr>
        <w:tc>
          <w:tcPr>
            <w:tcW w:w="571" w:type="dxa"/>
          </w:tcPr>
          <w:p>
            <w:pPr>
              <w:pStyle w:val="TableParagraph"/>
              <w:spacing w:before="71"/>
              <w:ind w:left="46"/>
              <w:jc w:val="center"/>
              <w:rPr>
                <w:rFonts w:ascii="Arial MT"/>
                <w:sz w:val="18"/>
              </w:rPr>
            </w:pPr>
            <w:r>
              <w:rPr>
                <w:rFonts w:ascii="Arial MT"/>
                <w:color w:val="231F1F"/>
                <w:spacing w:val="-10"/>
                <w:sz w:val="18"/>
              </w:rPr>
              <w:t>B</w:t>
            </w:r>
          </w:p>
        </w:tc>
        <w:tc>
          <w:tcPr>
            <w:tcW w:w="7934" w:type="dxa"/>
          </w:tcPr>
          <w:p>
            <w:pPr>
              <w:pStyle w:val="TableParagraph"/>
              <w:spacing w:line="254" w:lineRule="auto" w:before="71"/>
              <w:ind w:left="116" w:right="80"/>
              <w:jc w:val="both"/>
              <w:rPr>
                <w:rFonts w:ascii="Arial MT" w:hAnsi="Arial MT"/>
                <w:sz w:val="18"/>
              </w:rPr>
            </w:pPr>
            <w:r>
              <w:rPr>
                <w:rFonts w:ascii="Arial MT" w:hAnsi="Arial MT"/>
                <w:color w:val="231F1F"/>
                <w:sz w:val="18"/>
              </w:rPr>
              <w:t>Un</w:t>
            </w:r>
            <w:r>
              <w:rPr>
                <w:rFonts w:ascii="Arial MT" w:hAnsi="Arial MT"/>
                <w:color w:val="231F1F"/>
                <w:spacing w:val="-3"/>
                <w:sz w:val="18"/>
              </w:rPr>
              <w:t> </w:t>
            </w:r>
            <w:r>
              <w:rPr>
                <w:rFonts w:ascii="Arial MT" w:hAnsi="Arial MT"/>
                <w:color w:val="231F1F"/>
                <w:sz w:val="18"/>
              </w:rPr>
              <w:t>volumen</w:t>
            </w:r>
            <w:r>
              <w:rPr>
                <w:rFonts w:ascii="Arial MT" w:hAnsi="Arial MT"/>
                <w:color w:val="231F1F"/>
                <w:spacing w:val="-3"/>
                <w:sz w:val="18"/>
              </w:rPr>
              <w:t> </w:t>
            </w:r>
            <w:r>
              <w:rPr>
                <w:rFonts w:ascii="Arial MT" w:hAnsi="Arial MT"/>
                <w:color w:val="231F1F"/>
                <w:sz w:val="18"/>
              </w:rPr>
              <w:t>de</w:t>
            </w:r>
            <w:r>
              <w:rPr>
                <w:rFonts w:ascii="Arial MT" w:hAnsi="Arial MT"/>
                <w:color w:val="231F1F"/>
                <w:spacing w:val="-3"/>
                <w:sz w:val="18"/>
              </w:rPr>
              <w:t> </w:t>
            </w:r>
            <w:r>
              <w:rPr>
                <w:rFonts w:ascii="Arial MT" w:hAnsi="Arial MT"/>
                <w:color w:val="231F1F"/>
                <w:sz w:val="18"/>
              </w:rPr>
              <w:t>evidencia</w:t>
            </w:r>
            <w:r>
              <w:rPr>
                <w:rFonts w:ascii="Arial MT" w:hAnsi="Arial MT"/>
                <w:color w:val="231F1F"/>
                <w:spacing w:val="-4"/>
                <w:sz w:val="18"/>
              </w:rPr>
              <w:t> </w:t>
            </w:r>
            <w:r>
              <w:rPr>
                <w:rFonts w:ascii="Arial MT" w:hAnsi="Arial MT"/>
                <w:color w:val="231F1F"/>
                <w:sz w:val="18"/>
              </w:rPr>
              <w:t>científica</w:t>
            </w:r>
            <w:r>
              <w:rPr>
                <w:rFonts w:ascii="Arial MT" w:hAnsi="Arial MT"/>
                <w:color w:val="231F1F"/>
                <w:spacing w:val="-3"/>
                <w:sz w:val="18"/>
              </w:rPr>
              <w:t> </w:t>
            </w:r>
            <w:r>
              <w:rPr>
                <w:rFonts w:ascii="Arial MT" w:hAnsi="Arial MT"/>
                <w:color w:val="231F1F"/>
                <w:sz w:val="18"/>
              </w:rPr>
              <w:t>compuesta</w:t>
            </w:r>
            <w:r>
              <w:rPr>
                <w:rFonts w:ascii="Arial MT" w:hAnsi="Arial MT"/>
                <w:color w:val="231F1F"/>
                <w:spacing w:val="-3"/>
                <w:sz w:val="18"/>
              </w:rPr>
              <w:t> </w:t>
            </w:r>
            <w:r>
              <w:rPr>
                <w:rFonts w:ascii="Arial MT" w:hAnsi="Arial MT"/>
                <w:color w:val="231F1F"/>
                <w:sz w:val="18"/>
              </w:rPr>
              <w:t>por</w:t>
            </w:r>
            <w:r>
              <w:rPr>
                <w:rFonts w:ascii="Arial MT" w:hAnsi="Arial MT"/>
                <w:color w:val="231F1F"/>
                <w:spacing w:val="-3"/>
                <w:sz w:val="18"/>
              </w:rPr>
              <w:t> </w:t>
            </w:r>
            <w:r>
              <w:rPr>
                <w:rFonts w:ascii="Arial MT" w:hAnsi="Arial MT"/>
                <w:color w:val="231F1F"/>
                <w:sz w:val="18"/>
              </w:rPr>
              <w:t>estudios</w:t>
            </w:r>
            <w:r>
              <w:rPr>
                <w:rFonts w:ascii="Arial MT" w:hAnsi="Arial MT"/>
                <w:color w:val="231F1F"/>
                <w:spacing w:val="-3"/>
                <w:sz w:val="18"/>
              </w:rPr>
              <w:t> </w:t>
            </w:r>
            <w:r>
              <w:rPr>
                <w:rFonts w:ascii="Arial MT" w:hAnsi="Arial MT"/>
                <w:color w:val="231F1F"/>
                <w:sz w:val="18"/>
              </w:rPr>
              <w:t>clasificados</w:t>
            </w:r>
            <w:r>
              <w:rPr>
                <w:rFonts w:ascii="Arial MT" w:hAnsi="Arial MT"/>
                <w:color w:val="231F1F"/>
                <w:spacing w:val="-3"/>
                <w:sz w:val="18"/>
              </w:rPr>
              <w:t> </w:t>
            </w:r>
            <w:r>
              <w:rPr>
                <w:rFonts w:ascii="Arial MT" w:hAnsi="Arial MT"/>
                <w:color w:val="231F1F"/>
                <w:sz w:val="18"/>
              </w:rPr>
              <w:t>como</w:t>
            </w:r>
            <w:r>
              <w:rPr>
                <w:rFonts w:ascii="Arial MT" w:hAnsi="Arial MT"/>
                <w:color w:val="231F1F"/>
                <w:spacing w:val="-3"/>
                <w:sz w:val="18"/>
              </w:rPr>
              <w:t> </w:t>
            </w:r>
            <w:r>
              <w:rPr>
                <w:rFonts w:ascii="Arial MT" w:hAnsi="Arial MT"/>
                <w:color w:val="231F1F"/>
                <w:sz w:val="18"/>
              </w:rPr>
              <w:t>2++,</w:t>
            </w:r>
            <w:r>
              <w:rPr>
                <w:rFonts w:ascii="Arial MT" w:hAnsi="Arial MT"/>
                <w:color w:val="231F1F"/>
                <w:spacing w:val="-2"/>
                <w:sz w:val="18"/>
              </w:rPr>
              <w:t> </w:t>
            </w:r>
            <w:r>
              <w:rPr>
                <w:rFonts w:ascii="Arial MT" w:hAnsi="Arial MT"/>
                <w:color w:val="231F1F"/>
                <w:sz w:val="18"/>
              </w:rPr>
              <w:t>directamente aplicable a la población diana de la guía y demuestran gran consistencia entre ellos; o evidencia científica extrapolada desde estudios clasificados como 1++ ó 1+</w:t>
            </w:r>
          </w:p>
        </w:tc>
      </w:tr>
      <w:tr>
        <w:trPr>
          <w:trHeight w:val="810" w:hRule="atLeast"/>
        </w:trPr>
        <w:tc>
          <w:tcPr>
            <w:tcW w:w="571" w:type="dxa"/>
          </w:tcPr>
          <w:p>
            <w:pPr>
              <w:pStyle w:val="TableParagraph"/>
              <w:spacing w:before="71"/>
              <w:ind w:left="46"/>
              <w:jc w:val="center"/>
              <w:rPr>
                <w:rFonts w:ascii="Arial MT"/>
                <w:sz w:val="18"/>
              </w:rPr>
            </w:pPr>
            <w:r>
              <w:rPr>
                <w:rFonts w:ascii="Arial MT"/>
                <w:color w:val="231F1F"/>
                <w:spacing w:val="-10"/>
                <w:sz w:val="18"/>
              </w:rPr>
              <w:t>C</w:t>
            </w:r>
          </w:p>
        </w:tc>
        <w:tc>
          <w:tcPr>
            <w:tcW w:w="7934" w:type="dxa"/>
          </w:tcPr>
          <w:p>
            <w:pPr>
              <w:pStyle w:val="TableParagraph"/>
              <w:spacing w:line="256" w:lineRule="auto" w:before="71"/>
              <w:ind w:left="116" w:right="83"/>
              <w:jc w:val="both"/>
              <w:rPr>
                <w:rFonts w:ascii="Arial MT" w:hAnsi="Arial MT"/>
                <w:sz w:val="18"/>
              </w:rPr>
            </w:pPr>
            <w:r>
              <w:rPr>
                <w:rFonts w:ascii="Arial MT" w:hAnsi="Arial MT"/>
                <w:color w:val="231F1F"/>
                <w:spacing w:val="-2"/>
                <w:sz w:val="18"/>
              </w:rPr>
              <w:t>Un</w:t>
            </w:r>
            <w:r>
              <w:rPr>
                <w:rFonts w:ascii="Arial MT" w:hAnsi="Arial MT"/>
                <w:color w:val="231F1F"/>
                <w:spacing w:val="-9"/>
                <w:sz w:val="18"/>
              </w:rPr>
              <w:t> </w:t>
            </w:r>
            <w:r>
              <w:rPr>
                <w:rFonts w:ascii="Arial MT" w:hAnsi="Arial MT"/>
                <w:color w:val="231F1F"/>
                <w:spacing w:val="-2"/>
                <w:sz w:val="18"/>
              </w:rPr>
              <w:t>volumen</w:t>
            </w:r>
            <w:r>
              <w:rPr>
                <w:rFonts w:ascii="Arial MT" w:hAnsi="Arial MT"/>
                <w:color w:val="231F1F"/>
                <w:spacing w:val="-9"/>
                <w:sz w:val="18"/>
              </w:rPr>
              <w:t> </w:t>
            </w:r>
            <w:r>
              <w:rPr>
                <w:rFonts w:ascii="Arial MT" w:hAnsi="Arial MT"/>
                <w:color w:val="231F1F"/>
                <w:spacing w:val="-2"/>
                <w:sz w:val="18"/>
              </w:rPr>
              <w:t>de</w:t>
            </w:r>
            <w:r>
              <w:rPr>
                <w:rFonts w:ascii="Arial MT" w:hAnsi="Arial MT"/>
                <w:color w:val="231F1F"/>
                <w:spacing w:val="-9"/>
                <w:sz w:val="18"/>
              </w:rPr>
              <w:t> </w:t>
            </w:r>
            <w:r>
              <w:rPr>
                <w:rFonts w:ascii="Arial MT" w:hAnsi="Arial MT"/>
                <w:color w:val="231F1F"/>
                <w:spacing w:val="-2"/>
                <w:sz w:val="18"/>
              </w:rPr>
              <w:t>evidencia</w:t>
            </w:r>
            <w:r>
              <w:rPr>
                <w:rFonts w:ascii="Arial MT" w:hAnsi="Arial MT"/>
                <w:color w:val="231F1F"/>
                <w:spacing w:val="-9"/>
                <w:sz w:val="18"/>
              </w:rPr>
              <w:t> </w:t>
            </w:r>
            <w:r>
              <w:rPr>
                <w:rFonts w:ascii="Arial MT" w:hAnsi="Arial MT"/>
                <w:color w:val="231F1F"/>
                <w:spacing w:val="-2"/>
                <w:sz w:val="18"/>
              </w:rPr>
              <w:t>científica</w:t>
            </w:r>
            <w:r>
              <w:rPr>
                <w:rFonts w:ascii="Arial MT" w:hAnsi="Arial MT"/>
                <w:color w:val="231F1F"/>
                <w:spacing w:val="-9"/>
                <w:sz w:val="18"/>
              </w:rPr>
              <w:t> </w:t>
            </w:r>
            <w:r>
              <w:rPr>
                <w:rFonts w:ascii="Arial MT" w:hAnsi="Arial MT"/>
                <w:color w:val="231F1F"/>
                <w:spacing w:val="-2"/>
                <w:sz w:val="18"/>
              </w:rPr>
              <w:t>compuesta</w:t>
            </w:r>
            <w:r>
              <w:rPr>
                <w:rFonts w:ascii="Arial MT" w:hAnsi="Arial MT"/>
                <w:color w:val="231F1F"/>
                <w:spacing w:val="-9"/>
                <w:sz w:val="18"/>
              </w:rPr>
              <w:t> </w:t>
            </w:r>
            <w:r>
              <w:rPr>
                <w:rFonts w:ascii="Arial MT" w:hAnsi="Arial MT"/>
                <w:color w:val="231F1F"/>
                <w:spacing w:val="-2"/>
                <w:sz w:val="18"/>
              </w:rPr>
              <w:t>por</w:t>
            </w:r>
            <w:r>
              <w:rPr>
                <w:rFonts w:ascii="Arial MT" w:hAnsi="Arial MT"/>
                <w:color w:val="231F1F"/>
                <w:spacing w:val="-8"/>
                <w:sz w:val="18"/>
              </w:rPr>
              <w:t> </w:t>
            </w:r>
            <w:r>
              <w:rPr>
                <w:rFonts w:ascii="Arial MT" w:hAnsi="Arial MT"/>
                <w:color w:val="231F1F"/>
                <w:spacing w:val="-2"/>
                <w:sz w:val="18"/>
              </w:rPr>
              <w:t>estudios</w:t>
            </w:r>
            <w:r>
              <w:rPr>
                <w:rFonts w:ascii="Arial MT" w:hAnsi="Arial MT"/>
                <w:color w:val="231F1F"/>
                <w:spacing w:val="-9"/>
                <w:sz w:val="18"/>
              </w:rPr>
              <w:t> </w:t>
            </w:r>
            <w:r>
              <w:rPr>
                <w:rFonts w:ascii="Arial MT" w:hAnsi="Arial MT"/>
                <w:color w:val="231F1F"/>
                <w:spacing w:val="-2"/>
                <w:sz w:val="18"/>
              </w:rPr>
              <w:t>clasificados</w:t>
            </w:r>
            <w:r>
              <w:rPr>
                <w:rFonts w:ascii="Arial MT" w:hAnsi="Arial MT"/>
                <w:color w:val="231F1F"/>
                <w:spacing w:val="-8"/>
                <w:sz w:val="18"/>
              </w:rPr>
              <w:t> </w:t>
            </w:r>
            <w:r>
              <w:rPr>
                <w:rFonts w:ascii="Arial MT" w:hAnsi="Arial MT"/>
                <w:color w:val="231F1F"/>
                <w:spacing w:val="-2"/>
                <w:sz w:val="18"/>
              </w:rPr>
              <w:t>como</w:t>
            </w:r>
            <w:r>
              <w:rPr>
                <w:rFonts w:ascii="Arial MT" w:hAnsi="Arial MT"/>
                <w:color w:val="231F1F"/>
                <w:spacing w:val="-9"/>
                <w:sz w:val="18"/>
              </w:rPr>
              <w:t> </w:t>
            </w:r>
            <w:r>
              <w:rPr>
                <w:rFonts w:ascii="Arial MT" w:hAnsi="Arial MT"/>
                <w:color w:val="231F1F"/>
                <w:spacing w:val="-2"/>
                <w:sz w:val="18"/>
              </w:rPr>
              <w:t>2+</w:t>
            </w:r>
            <w:r>
              <w:rPr>
                <w:rFonts w:ascii="Arial MT" w:hAnsi="Arial MT"/>
                <w:color w:val="231F1F"/>
                <w:spacing w:val="-9"/>
                <w:sz w:val="18"/>
              </w:rPr>
              <w:t> </w:t>
            </w:r>
            <w:r>
              <w:rPr>
                <w:rFonts w:ascii="Arial MT" w:hAnsi="Arial MT"/>
                <w:color w:val="231F1F"/>
                <w:spacing w:val="-2"/>
                <w:sz w:val="18"/>
              </w:rPr>
              <w:t>directamente</w:t>
            </w:r>
            <w:r>
              <w:rPr>
                <w:rFonts w:ascii="Arial MT" w:hAnsi="Arial MT"/>
                <w:color w:val="231F1F"/>
                <w:spacing w:val="-9"/>
                <w:sz w:val="18"/>
              </w:rPr>
              <w:t> </w:t>
            </w:r>
            <w:r>
              <w:rPr>
                <w:rFonts w:ascii="Arial MT" w:hAnsi="Arial MT"/>
                <w:color w:val="231F1F"/>
                <w:spacing w:val="-2"/>
                <w:sz w:val="18"/>
              </w:rPr>
              <w:t>apli- </w:t>
            </w:r>
            <w:r>
              <w:rPr>
                <w:rFonts w:ascii="Arial MT" w:hAnsi="Arial MT"/>
                <w:color w:val="231F1F"/>
                <w:sz w:val="18"/>
              </w:rPr>
              <w:t>cables</w:t>
            </w:r>
            <w:r>
              <w:rPr>
                <w:rFonts w:ascii="Arial MT" w:hAnsi="Arial MT"/>
                <w:color w:val="231F1F"/>
                <w:spacing w:val="-10"/>
                <w:sz w:val="18"/>
              </w:rPr>
              <w:t> </w:t>
            </w:r>
            <w:r>
              <w:rPr>
                <w:rFonts w:ascii="Arial MT" w:hAnsi="Arial MT"/>
                <w:color w:val="231F1F"/>
                <w:sz w:val="18"/>
              </w:rPr>
              <w:t>a</w:t>
            </w:r>
            <w:r>
              <w:rPr>
                <w:rFonts w:ascii="Arial MT" w:hAnsi="Arial MT"/>
                <w:color w:val="231F1F"/>
                <w:spacing w:val="-11"/>
                <w:sz w:val="18"/>
              </w:rPr>
              <w:t> </w:t>
            </w:r>
            <w:r>
              <w:rPr>
                <w:rFonts w:ascii="Arial MT" w:hAnsi="Arial MT"/>
                <w:color w:val="231F1F"/>
                <w:sz w:val="18"/>
              </w:rPr>
              <w:t>la</w:t>
            </w:r>
            <w:r>
              <w:rPr>
                <w:rFonts w:ascii="Arial MT" w:hAnsi="Arial MT"/>
                <w:color w:val="231F1F"/>
                <w:spacing w:val="-11"/>
                <w:sz w:val="18"/>
              </w:rPr>
              <w:t> </w:t>
            </w:r>
            <w:r>
              <w:rPr>
                <w:rFonts w:ascii="Arial MT" w:hAnsi="Arial MT"/>
                <w:color w:val="231F1F"/>
                <w:sz w:val="18"/>
              </w:rPr>
              <w:t>población</w:t>
            </w:r>
            <w:r>
              <w:rPr>
                <w:rFonts w:ascii="Arial MT" w:hAnsi="Arial MT"/>
                <w:color w:val="231F1F"/>
                <w:spacing w:val="-11"/>
                <w:sz w:val="18"/>
              </w:rPr>
              <w:t> </w:t>
            </w:r>
            <w:r>
              <w:rPr>
                <w:rFonts w:ascii="Arial MT" w:hAnsi="Arial MT"/>
                <w:color w:val="231F1F"/>
                <w:sz w:val="18"/>
              </w:rPr>
              <w:t>diana</w:t>
            </w:r>
            <w:r>
              <w:rPr>
                <w:rFonts w:ascii="Arial MT" w:hAnsi="Arial MT"/>
                <w:color w:val="231F1F"/>
                <w:spacing w:val="-11"/>
                <w:sz w:val="18"/>
              </w:rPr>
              <w:t> </w:t>
            </w:r>
            <w:r>
              <w:rPr>
                <w:rFonts w:ascii="Arial MT" w:hAnsi="Arial MT"/>
                <w:color w:val="231F1F"/>
                <w:sz w:val="18"/>
              </w:rPr>
              <w:t>de</w:t>
            </w:r>
            <w:r>
              <w:rPr>
                <w:rFonts w:ascii="Arial MT" w:hAnsi="Arial MT"/>
                <w:color w:val="231F1F"/>
                <w:spacing w:val="-11"/>
                <w:sz w:val="18"/>
              </w:rPr>
              <w:t> </w:t>
            </w:r>
            <w:r>
              <w:rPr>
                <w:rFonts w:ascii="Arial MT" w:hAnsi="Arial MT"/>
                <w:color w:val="231F1F"/>
                <w:sz w:val="18"/>
              </w:rPr>
              <w:t>la</w:t>
            </w:r>
            <w:r>
              <w:rPr>
                <w:rFonts w:ascii="Arial MT" w:hAnsi="Arial MT"/>
                <w:color w:val="231F1F"/>
                <w:spacing w:val="-11"/>
                <w:sz w:val="18"/>
              </w:rPr>
              <w:t> </w:t>
            </w:r>
            <w:r>
              <w:rPr>
                <w:rFonts w:ascii="Arial MT" w:hAnsi="Arial MT"/>
                <w:color w:val="231F1F"/>
                <w:sz w:val="18"/>
              </w:rPr>
              <w:t>guía</w:t>
            </w:r>
            <w:r>
              <w:rPr>
                <w:rFonts w:ascii="Arial MT" w:hAnsi="Arial MT"/>
                <w:color w:val="231F1F"/>
                <w:spacing w:val="-11"/>
                <w:sz w:val="18"/>
              </w:rPr>
              <w:t> </w:t>
            </w:r>
            <w:r>
              <w:rPr>
                <w:rFonts w:ascii="Arial MT" w:hAnsi="Arial MT"/>
                <w:color w:val="231F1F"/>
                <w:sz w:val="18"/>
              </w:rPr>
              <w:t>y</w:t>
            </w:r>
            <w:r>
              <w:rPr>
                <w:rFonts w:ascii="Arial MT" w:hAnsi="Arial MT"/>
                <w:color w:val="231F1F"/>
                <w:spacing w:val="-11"/>
                <w:sz w:val="18"/>
              </w:rPr>
              <w:t> </w:t>
            </w:r>
            <w:r>
              <w:rPr>
                <w:rFonts w:ascii="Arial MT" w:hAnsi="Arial MT"/>
                <w:color w:val="231F1F"/>
                <w:sz w:val="18"/>
              </w:rPr>
              <w:t>que</w:t>
            </w:r>
            <w:r>
              <w:rPr>
                <w:rFonts w:ascii="Arial MT" w:hAnsi="Arial MT"/>
                <w:color w:val="231F1F"/>
                <w:spacing w:val="-11"/>
                <w:sz w:val="18"/>
              </w:rPr>
              <w:t> </w:t>
            </w:r>
            <w:r>
              <w:rPr>
                <w:rFonts w:ascii="Arial MT" w:hAnsi="Arial MT"/>
                <w:color w:val="231F1F"/>
                <w:sz w:val="18"/>
              </w:rPr>
              <w:t>demuestran</w:t>
            </w:r>
            <w:r>
              <w:rPr>
                <w:rFonts w:ascii="Arial MT" w:hAnsi="Arial MT"/>
                <w:color w:val="231F1F"/>
                <w:spacing w:val="-11"/>
                <w:sz w:val="18"/>
              </w:rPr>
              <w:t> </w:t>
            </w:r>
            <w:r>
              <w:rPr>
                <w:rFonts w:ascii="Arial MT" w:hAnsi="Arial MT"/>
                <w:color w:val="231F1F"/>
                <w:sz w:val="18"/>
              </w:rPr>
              <w:t>gran</w:t>
            </w:r>
            <w:r>
              <w:rPr>
                <w:rFonts w:ascii="Arial MT" w:hAnsi="Arial MT"/>
                <w:color w:val="231F1F"/>
                <w:spacing w:val="-11"/>
                <w:sz w:val="18"/>
              </w:rPr>
              <w:t> </w:t>
            </w:r>
            <w:r>
              <w:rPr>
                <w:rFonts w:ascii="Arial MT" w:hAnsi="Arial MT"/>
                <w:color w:val="231F1F"/>
                <w:sz w:val="18"/>
              </w:rPr>
              <w:t>consistencia</w:t>
            </w:r>
            <w:r>
              <w:rPr>
                <w:rFonts w:ascii="Arial MT" w:hAnsi="Arial MT"/>
                <w:color w:val="231F1F"/>
                <w:spacing w:val="-10"/>
                <w:sz w:val="18"/>
              </w:rPr>
              <w:t> </w:t>
            </w:r>
            <w:r>
              <w:rPr>
                <w:rFonts w:ascii="Arial MT" w:hAnsi="Arial MT"/>
                <w:color w:val="231F1F"/>
                <w:sz w:val="18"/>
              </w:rPr>
              <w:t>entre</w:t>
            </w:r>
            <w:r>
              <w:rPr>
                <w:rFonts w:ascii="Arial MT" w:hAnsi="Arial MT"/>
                <w:color w:val="231F1F"/>
                <w:spacing w:val="-11"/>
                <w:sz w:val="18"/>
              </w:rPr>
              <w:t> </w:t>
            </w:r>
            <w:r>
              <w:rPr>
                <w:rFonts w:ascii="Arial MT" w:hAnsi="Arial MT"/>
                <w:color w:val="231F1F"/>
                <w:sz w:val="18"/>
              </w:rPr>
              <w:t>ellos;</w:t>
            </w:r>
            <w:r>
              <w:rPr>
                <w:rFonts w:ascii="Arial MT" w:hAnsi="Arial MT"/>
                <w:color w:val="231F1F"/>
                <w:spacing w:val="-9"/>
                <w:sz w:val="18"/>
              </w:rPr>
              <w:t> </w:t>
            </w:r>
            <w:r>
              <w:rPr>
                <w:rFonts w:ascii="Arial MT" w:hAnsi="Arial MT"/>
                <w:color w:val="231F1F"/>
                <w:sz w:val="18"/>
              </w:rPr>
              <w:t>o</w:t>
            </w:r>
            <w:r>
              <w:rPr>
                <w:rFonts w:ascii="Arial MT" w:hAnsi="Arial MT"/>
                <w:color w:val="231F1F"/>
                <w:spacing w:val="-11"/>
                <w:sz w:val="18"/>
              </w:rPr>
              <w:t> </w:t>
            </w:r>
            <w:r>
              <w:rPr>
                <w:rFonts w:ascii="Arial MT" w:hAnsi="Arial MT"/>
                <w:color w:val="231F1F"/>
                <w:sz w:val="18"/>
              </w:rPr>
              <w:t>evidencia científica extrapolada desde estudios clasificados como 2++</w:t>
            </w:r>
          </w:p>
        </w:tc>
      </w:tr>
      <w:tr>
        <w:trPr>
          <w:trHeight w:val="590" w:hRule="atLeast"/>
        </w:trPr>
        <w:tc>
          <w:tcPr>
            <w:tcW w:w="571" w:type="dxa"/>
          </w:tcPr>
          <w:p>
            <w:pPr>
              <w:pStyle w:val="TableParagraph"/>
              <w:spacing w:before="71"/>
              <w:ind w:left="46"/>
              <w:jc w:val="center"/>
              <w:rPr>
                <w:rFonts w:ascii="Arial MT"/>
                <w:sz w:val="18"/>
              </w:rPr>
            </w:pPr>
            <w:r>
              <w:rPr>
                <w:rFonts w:ascii="Arial MT"/>
                <w:color w:val="231F1F"/>
                <w:spacing w:val="-10"/>
                <w:sz w:val="18"/>
              </w:rPr>
              <w:t>D</w:t>
            </w:r>
          </w:p>
        </w:tc>
        <w:tc>
          <w:tcPr>
            <w:tcW w:w="7934" w:type="dxa"/>
          </w:tcPr>
          <w:p>
            <w:pPr>
              <w:pStyle w:val="TableParagraph"/>
              <w:spacing w:line="256" w:lineRule="auto" w:before="71"/>
              <w:ind w:left="116" w:right="163"/>
              <w:rPr>
                <w:rFonts w:ascii="Arial MT" w:hAnsi="Arial MT"/>
                <w:sz w:val="18"/>
              </w:rPr>
            </w:pPr>
            <w:r>
              <w:rPr>
                <w:rFonts w:ascii="Arial MT" w:hAnsi="Arial MT"/>
                <w:color w:val="231F1F"/>
                <w:spacing w:val="-4"/>
                <w:sz w:val="18"/>
              </w:rPr>
              <w:t>Evidencia</w:t>
            </w:r>
            <w:r>
              <w:rPr>
                <w:rFonts w:ascii="Arial MT" w:hAnsi="Arial MT"/>
                <w:color w:val="231F1F"/>
                <w:spacing w:val="-15"/>
                <w:sz w:val="18"/>
              </w:rPr>
              <w:t> </w:t>
            </w:r>
            <w:r>
              <w:rPr>
                <w:rFonts w:ascii="Arial MT" w:hAnsi="Arial MT"/>
                <w:color w:val="231F1F"/>
                <w:spacing w:val="-4"/>
                <w:sz w:val="18"/>
              </w:rPr>
              <w:t>científica</w:t>
            </w:r>
            <w:r>
              <w:rPr>
                <w:rFonts w:ascii="Arial MT" w:hAnsi="Arial MT"/>
                <w:color w:val="231F1F"/>
                <w:spacing w:val="-15"/>
                <w:sz w:val="18"/>
              </w:rPr>
              <w:t> </w:t>
            </w:r>
            <w:r>
              <w:rPr>
                <w:rFonts w:ascii="Arial MT" w:hAnsi="Arial MT"/>
                <w:color w:val="231F1F"/>
                <w:spacing w:val="-4"/>
                <w:sz w:val="18"/>
              </w:rPr>
              <w:t>de</w:t>
            </w:r>
            <w:r>
              <w:rPr>
                <w:rFonts w:ascii="Arial MT" w:hAnsi="Arial MT"/>
                <w:color w:val="231F1F"/>
                <w:spacing w:val="-15"/>
                <w:sz w:val="18"/>
              </w:rPr>
              <w:t> </w:t>
            </w:r>
            <w:r>
              <w:rPr>
                <w:rFonts w:ascii="Arial MT" w:hAnsi="Arial MT"/>
                <w:color w:val="231F1F"/>
                <w:spacing w:val="-4"/>
                <w:sz w:val="18"/>
              </w:rPr>
              <w:t>nivel</w:t>
            </w:r>
            <w:r>
              <w:rPr>
                <w:rFonts w:ascii="Arial MT" w:hAnsi="Arial MT"/>
                <w:color w:val="231F1F"/>
                <w:spacing w:val="-13"/>
                <w:sz w:val="18"/>
              </w:rPr>
              <w:t> </w:t>
            </w:r>
            <w:r>
              <w:rPr>
                <w:rFonts w:ascii="Arial MT" w:hAnsi="Arial MT"/>
                <w:color w:val="231F1F"/>
                <w:spacing w:val="-4"/>
                <w:sz w:val="18"/>
              </w:rPr>
              <w:t>3</w:t>
            </w:r>
            <w:r>
              <w:rPr>
                <w:rFonts w:ascii="Arial MT" w:hAnsi="Arial MT"/>
                <w:color w:val="231F1F"/>
                <w:spacing w:val="-15"/>
                <w:sz w:val="18"/>
              </w:rPr>
              <w:t> </w:t>
            </w:r>
            <w:r>
              <w:rPr>
                <w:rFonts w:ascii="Arial MT" w:hAnsi="Arial MT"/>
                <w:color w:val="231F1F"/>
                <w:spacing w:val="-4"/>
                <w:sz w:val="18"/>
              </w:rPr>
              <w:t>ó</w:t>
            </w:r>
            <w:r>
              <w:rPr>
                <w:rFonts w:ascii="Arial MT" w:hAnsi="Arial MT"/>
                <w:color w:val="231F1F"/>
                <w:spacing w:val="-15"/>
                <w:sz w:val="18"/>
              </w:rPr>
              <w:t> </w:t>
            </w:r>
            <w:r>
              <w:rPr>
                <w:rFonts w:ascii="Arial MT" w:hAnsi="Arial MT"/>
                <w:color w:val="231F1F"/>
                <w:spacing w:val="-4"/>
                <w:sz w:val="18"/>
              </w:rPr>
              <w:t>4;</w:t>
            </w:r>
            <w:r>
              <w:rPr>
                <w:rFonts w:ascii="Arial MT" w:hAnsi="Arial MT"/>
                <w:color w:val="231F1F"/>
                <w:spacing w:val="-13"/>
                <w:sz w:val="18"/>
              </w:rPr>
              <w:t> </w:t>
            </w:r>
            <w:r>
              <w:rPr>
                <w:rFonts w:ascii="Arial MT" w:hAnsi="Arial MT"/>
                <w:color w:val="231F1F"/>
                <w:spacing w:val="-4"/>
                <w:sz w:val="18"/>
              </w:rPr>
              <w:t>o</w:t>
            </w:r>
            <w:r>
              <w:rPr>
                <w:rFonts w:ascii="Arial MT" w:hAnsi="Arial MT"/>
                <w:color w:val="231F1F"/>
                <w:spacing w:val="-15"/>
                <w:sz w:val="18"/>
              </w:rPr>
              <w:t> </w:t>
            </w:r>
            <w:r>
              <w:rPr>
                <w:rFonts w:ascii="Arial MT" w:hAnsi="Arial MT"/>
                <w:color w:val="231F1F"/>
                <w:spacing w:val="-4"/>
                <w:sz w:val="18"/>
              </w:rPr>
              <w:t>evidencia</w:t>
            </w:r>
            <w:r>
              <w:rPr>
                <w:rFonts w:ascii="Arial MT" w:hAnsi="Arial MT"/>
                <w:color w:val="231F1F"/>
                <w:spacing w:val="-15"/>
                <w:sz w:val="18"/>
              </w:rPr>
              <w:t> </w:t>
            </w:r>
            <w:r>
              <w:rPr>
                <w:rFonts w:ascii="Arial MT" w:hAnsi="Arial MT"/>
                <w:color w:val="231F1F"/>
                <w:spacing w:val="-4"/>
                <w:sz w:val="18"/>
              </w:rPr>
              <w:t>científica</w:t>
            </w:r>
            <w:r>
              <w:rPr>
                <w:rFonts w:ascii="Arial MT" w:hAnsi="Arial MT"/>
                <w:color w:val="231F1F"/>
                <w:spacing w:val="-15"/>
                <w:sz w:val="18"/>
              </w:rPr>
              <w:t> </w:t>
            </w:r>
            <w:r>
              <w:rPr>
                <w:rFonts w:ascii="Arial MT" w:hAnsi="Arial MT"/>
                <w:color w:val="231F1F"/>
                <w:spacing w:val="-4"/>
                <w:sz w:val="18"/>
              </w:rPr>
              <w:t>extrapolada</w:t>
            </w:r>
            <w:r>
              <w:rPr>
                <w:rFonts w:ascii="Arial MT" w:hAnsi="Arial MT"/>
                <w:color w:val="231F1F"/>
                <w:spacing w:val="-15"/>
                <w:sz w:val="18"/>
              </w:rPr>
              <w:t> </w:t>
            </w:r>
            <w:r>
              <w:rPr>
                <w:rFonts w:ascii="Arial MT" w:hAnsi="Arial MT"/>
                <w:color w:val="231F1F"/>
                <w:spacing w:val="-4"/>
                <w:sz w:val="18"/>
              </w:rPr>
              <w:t>desde</w:t>
            </w:r>
            <w:r>
              <w:rPr>
                <w:rFonts w:ascii="Arial MT" w:hAnsi="Arial MT"/>
                <w:color w:val="231F1F"/>
                <w:spacing w:val="-15"/>
                <w:sz w:val="18"/>
              </w:rPr>
              <w:t> </w:t>
            </w:r>
            <w:r>
              <w:rPr>
                <w:rFonts w:ascii="Arial MT" w:hAnsi="Arial MT"/>
                <w:color w:val="231F1F"/>
                <w:spacing w:val="-4"/>
                <w:sz w:val="18"/>
              </w:rPr>
              <w:t>estudios</w:t>
            </w:r>
            <w:r>
              <w:rPr>
                <w:rFonts w:ascii="Arial MT" w:hAnsi="Arial MT"/>
                <w:color w:val="231F1F"/>
                <w:spacing w:val="-15"/>
                <w:sz w:val="18"/>
              </w:rPr>
              <w:t> </w:t>
            </w:r>
            <w:r>
              <w:rPr>
                <w:rFonts w:ascii="Arial MT" w:hAnsi="Arial MT"/>
                <w:color w:val="231F1F"/>
                <w:spacing w:val="-4"/>
                <w:sz w:val="18"/>
              </w:rPr>
              <w:t>clasificados</w:t>
            </w:r>
            <w:r>
              <w:rPr>
                <w:rFonts w:ascii="Arial MT" w:hAnsi="Arial MT"/>
                <w:color w:val="231F1F"/>
                <w:spacing w:val="-13"/>
                <w:sz w:val="18"/>
              </w:rPr>
              <w:t> </w:t>
            </w:r>
            <w:r>
              <w:rPr>
                <w:rFonts w:ascii="Arial MT" w:hAnsi="Arial MT"/>
                <w:color w:val="231F1F"/>
                <w:spacing w:val="-4"/>
                <w:sz w:val="18"/>
              </w:rPr>
              <w:t>como </w:t>
            </w:r>
            <w:r>
              <w:rPr>
                <w:rFonts w:ascii="Arial MT" w:hAnsi="Arial MT"/>
                <w:color w:val="231F1F"/>
                <w:spacing w:val="-6"/>
                <w:sz w:val="18"/>
              </w:rPr>
              <w:t>2+</w:t>
            </w:r>
          </w:p>
        </w:tc>
      </w:tr>
    </w:tbl>
    <w:p>
      <w:pPr>
        <w:spacing w:line="259" w:lineRule="auto" w:before="118"/>
        <w:ind w:left="283" w:right="115" w:firstLine="0"/>
        <w:jc w:val="left"/>
        <w:rPr>
          <w:rFonts w:ascii="Arial" w:hAnsi="Arial"/>
          <w:i/>
          <w:sz w:val="17"/>
        </w:rPr>
      </w:pPr>
      <w:r>
        <w:rPr>
          <w:rFonts w:ascii="Arial" w:hAnsi="Arial"/>
          <w:i/>
          <w:color w:val="231F1F"/>
          <w:sz w:val="17"/>
        </w:rPr>
        <w:t>Los</w:t>
      </w:r>
      <w:r>
        <w:rPr>
          <w:rFonts w:ascii="Arial" w:hAnsi="Arial"/>
          <w:i/>
          <w:color w:val="231F1F"/>
          <w:spacing w:val="-11"/>
          <w:sz w:val="17"/>
        </w:rPr>
        <w:t> </w:t>
      </w:r>
      <w:r>
        <w:rPr>
          <w:rFonts w:ascii="Arial" w:hAnsi="Arial"/>
          <w:i/>
          <w:color w:val="231F1F"/>
          <w:sz w:val="17"/>
        </w:rPr>
        <w:t>estudios</w:t>
      </w:r>
      <w:r>
        <w:rPr>
          <w:rFonts w:ascii="Arial" w:hAnsi="Arial"/>
          <w:i/>
          <w:color w:val="231F1F"/>
          <w:spacing w:val="-9"/>
          <w:sz w:val="17"/>
        </w:rPr>
        <w:t> </w:t>
      </w:r>
      <w:r>
        <w:rPr>
          <w:rFonts w:ascii="Arial" w:hAnsi="Arial"/>
          <w:i/>
          <w:color w:val="231F1F"/>
          <w:sz w:val="17"/>
        </w:rPr>
        <w:t>clasificados</w:t>
      </w:r>
      <w:r>
        <w:rPr>
          <w:rFonts w:ascii="Arial" w:hAnsi="Arial"/>
          <w:i/>
          <w:color w:val="231F1F"/>
          <w:spacing w:val="-11"/>
          <w:sz w:val="17"/>
        </w:rPr>
        <w:t> </w:t>
      </w:r>
      <w:r>
        <w:rPr>
          <w:rFonts w:ascii="Arial" w:hAnsi="Arial"/>
          <w:i/>
          <w:color w:val="231F1F"/>
          <w:sz w:val="17"/>
        </w:rPr>
        <w:t>como</w:t>
      </w:r>
      <w:r>
        <w:rPr>
          <w:rFonts w:ascii="Arial" w:hAnsi="Arial"/>
          <w:i/>
          <w:color w:val="231F1F"/>
          <w:spacing w:val="-9"/>
          <w:sz w:val="17"/>
        </w:rPr>
        <w:t> </w:t>
      </w:r>
      <w:r>
        <w:rPr>
          <w:rFonts w:ascii="Arial" w:hAnsi="Arial"/>
          <w:i/>
          <w:color w:val="231F1F"/>
          <w:sz w:val="17"/>
        </w:rPr>
        <w:t>1-</w:t>
      </w:r>
      <w:r>
        <w:rPr>
          <w:rFonts w:ascii="Arial" w:hAnsi="Arial"/>
          <w:i/>
          <w:color w:val="231F1F"/>
          <w:spacing w:val="-11"/>
          <w:sz w:val="17"/>
        </w:rPr>
        <w:t> </w:t>
      </w:r>
      <w:r>
        <w:rPr>
          <w:rFonts w:ascii="Arial" w:hAnsi="Arial"/>
          <w:i/>
          <w:color w:val="231F1F"/>
          <w:sz w:val="17"/>
        </w:rPr>
        <w:t>y</w:t>
      </w:r>
      <w:r>
        <w:rPr>
          <w:rFonts w:ascii="Arial" w:hAnsi="Arial"/>
          <w:i/>
          <w:color w:val="231F1F"/>
          <w:spacing w:val="-9"/>
          <w:sz w:val="17"/>
        </w:rPr>
        <w:t> </w:t>
      </w:r>
      <w:r>
        <w:rPr>
          <w:rFonts w:ascii="Arial" w:hAnsi="Arial"/>
          <w:i/>
          <w:color w:val="231F1F"/>
          <w:sz w:val="17"/>
        </w:rPr>
        <w:t>2-</w:t>
      </w:r>
      <w:r>
        <w:rPr>
          <w:rFonts w:ascii="Arial" w:hAnsi="Arial"/>
          <w:i/>
          <w:color w:val="231F1F"/>
          <w:spacing w:val="-11"/>
          <w:sz w:val="17"/>
        </w:rPr>
        <w:t> </w:t>
      </w:r>
      <w:r>
        <w:rPr>
          <w:rFonts w:ascii="Arial" w:hAnsi="Arial"/>
          <w:i/>
          <w:color w:val="231F1F"/>
          <w:sz w:val="17"/>
        </w:rPr>
        <w:t>no</w:t>
      </w:r>
      <w:r>
        <w:rPr>
          <w:rFonts w:ascii="Arial" w:hAnsi="Arial"/>
          <w:i/>
          <w:color w:val="231F1F"/>
          <w:spacing w:val="-9"/>
          <w:sz w:val="17"/>
        </w:rPr>
        <w:t> </w:t>
      </w:r>
      <w:r>
        <w:rPr>
          <w:rFonts w:ascii="Arial" w:hAnsi="Arial"/>
          <w:i/>
          <w:color w:val="231F1F"/>
          <w:sz w:val="17"/>
        </w:rPr>
        <w:t>deben</w:t>
      </w:r>
      <w:r>
        <w:rPr>
          <w:rFonts w:ascii="Arial" w:hAnsi="Arial"/>
          <w:i/>
          <w:color w:val="231F1F"/>
          <w:spacing w:val="-9"/>
          <w:sz w:val="17"/>
        </w:rPr>
        <w:t> </w:t>
      </w:r>
      <w:r>
        <w:rPr>
          <w:rFonts w:ascii="Arial" w:hAnsi="Arial"/>
          <w:i/>
          <w:color w:val="231F1F"/>
          <w:sz w:val="17"/>
        </w:rPr>
        <w:t>usarse</w:t>
      </w:r>
      <w:r>
        <w:rPr>
          <w:rFonts w:ascii="Arial" w:hAnsi="Arial"/>
          <w:i/>
          <w:color w:val="231F1F"/>
          <w:spacing w:val="-9"/>
          <w:sz w:val="17"/>
        </w:rPr>
        <w:t> </w:t>
      </w:r>
      <w:r>
        <w:rPr>
          <w:rFonts w:ascii="Arial" w:hAnsi="Arial"/>
          <w:i/>
          <w:color w:val="231F1F"/>
          <w:sz w:val="17"/>
        </w:rPr>
        <w:t>en</w:t>
      </w:r>
      <w:r>
        <w:rPr>
          <w:rFonts w:ascii="Arial" w:hAnsi="Arial"/>
          <w:i/>
          <w:color w:val="231F1F"/>
          <w:spacing w:val="-9"/>
          <w:sz w:val="17"/>
        </w:rPr>
        <w:t> </w:t>
      </w:r>
      <w:r>
        <w:rPr>
          <w:rFonts w:ascii="Arial" w:hAnsi="Arial"/>
          <w:i/>
          <w:color w:val="231F1F"/>
          <w:sz w:val="17"/>
        </w:rPr>
        <w:t>el</w:t>
      </w:r>
      <w:r>
        <w:rPr>
          <w:rFonts w:ascii="Arial" w:hAnsi="Arial"/>
          <w:i/>
          <w:color w:val="231F1F"/>
          <w:spacing w:val="-11"/>
          <w:sz w:val="17"/>
        </w:rPr>
        <w:t> </w:t>
      </w:r>
      <w:r>
        <w:rPr>
          <w:rFonts w:ascii="Arial" w:hAnsi="Arial"/>
          <w:i/>
          <w:color w:val="231F1F"/>
          <w:sz w:val="17"/>
        </w:rPr>
        <w:t>proceso</w:t>
      </w:r>
      <w:r>
        <w:rPr>
          <w:rFonts w:ascii="Arial" w:hAnsi="Arial"/>
          <w:i/>
          <w:color w:val="231F1F"/>
          <w:spacing w:val="-9"/>
          <w:sz w:val="17"/>
        </w:rPr>
        <w:t> </w:t>
      </w:r>
      <w:r>
        <w:rPr>
          <w:rFonts w:ascii="Arial" w:hAnsi="Arial"/>
          <w:i/>
          <w:color w:val="231F1F"/>
          <w:sz w:val="17"/>
        </w:rPr>
        <w:t>de</w:t>
      </w:r>
      <w:r>
        <w:rPr>
          <w:rFonts w:ascii="Arial" w:hAnsi="Arial"/>
          <w:i/>
          <w:color w:val="231F1F"/>
          <w:spacing w:val="-9"/>
          <w:sz w:val="17"/>
        </w:rPr>
        <w:t> </w:t>
      </w:r>
      <w:r>
        <w:rPr>
          <w:rFonts w:ascii="Arial" w:hAnsi="Arial"/>
          <w:i/>
          <w:color w:val="231F1F"/>
          <w:sz w:val="17"/>
        </w:rPr>
        <w:t>elaboración</w:t>
      </w:r>
      <w:r>
        <w:rPr>
          <w:rFonts w:ascii="Arial" w:hAnsi="Arial"/>
          <w:i/>
          <w:color w:val="231F1F"/>
          <w:spacing w:val="-9"/>
          <w:sz w:val="17"/>
        </w:rPr>
        <w:t> </w:t>
      </w:r>
      <w:r>
        <w:rPr>
          <w:rFonts w:ascii="Arial" w:hAnsi="Arial"/>
          <w:i/>
          <w:color w:val="231F1F"/>
          <w:sz w:val="17"/>
        </w:rPr>
        <w:t>de</w:t>
      </w:r>
      <w:r>
        <w:rPr>
          <w:rFonts w:ascii="Arial" w:hAnsi="Arial"/>
          <w:i/>
          <w:color w:val="231F1F"/>
          <w:spacing w:val="-9"/>
          <w:sz w:val="17"/>
        </w:rPr>
        <w:t> </w:t>
      </w:r>
      <w:r>
        <w:rPr>
          <w:rFonts w:ascii="Arial" w:hAnsi="Arial"/>
          <w:i/>
          <w:color w:val="231F1F"/>
          <w:sz w:val="17"/>
        </w:rPr>
        <w:t>recomendaciones</w:t>
      </w:r>
      <w:r>
        <w:rPr>
          <w:rFonts w:ascii="Arial" w:hAnsi="Arial"/>
          <w:i/>
          <w:color w:val="231F1F"/>
          <w:spacing w:val="-11"/>
          <w:sz w:val="17"/>
        </w:rPr>
        <w:t> </w:t>
      </w:r>
      <w:r>
        <w:rPr>
          <w:rFonts w:ascii="Arial" w:hAnsi="Arial"/>
          <w:i/>
          <w:color w:val="231F1F"/>
          <w:sz w:val="17"/>
        </w:rPr>
        <w:t>por</w:t>
      </w:r>
      <w:r>
        <w:rPr>
          <w:rFonts w:ascii="Arial" w:hAnsi="Arial"/>
          <w:i/>
          <w:color w:val="231F1F"/>
          <w:spacing w:val="-11"/>
          <w:sz w:val="17"/>
        </w:rPr>
        <w:t> </w:t>
      </w:r>
      <w:r>
        <w:rPr>
          <w:rFonts w:ascii="Arial" w:hAnsi="Arial"/>
          <w:i/>
          <w:color w:val="231F1F"/>
          <w:sz w:val="17"/>
        </w:rPr>
        <w:t>su alta posibilidad de sesgo</w:t>
      </w:r>
    </w:p>
    <w:p>
      <w:pPr>
        <w:pStyle w:val="BodyText"/>
        <w:spacing w:before="194"/>
        <w:rPr>
          <w:rFonts w:ascii="Arial"/>
          <w:i/>
          <w:sz w:val="17"/>
        </w:rPr>
      </w:pPr>
    </w:p>
    <w:p>
      <w:pPr>
        <w:spacing w:before="0"/>
        <w:ind w:left="283" w:right="0" w:firstLine="0"/>
        <w:jc w:val="left"/>
        <w:rPr>
          <w:rFonts w:ascii="Arial MT" w:hAnsi="Arial MT"/>
          <w:sz w:val="18"/>
        </w:rPr>
      </w:pPr>
      <w:r>
        <w:rPr>
          <w:rFonts w:ascii="Arial MT" w:hAnsi="Arial MT"/>
          <w:color w:val="231F1F"/>
          <w:sz w:val="18"/>
        </w:rPr>
        <w:t>Buena</w:t>
      </w:r>
      <w:r>
        <w:rPr>
          <w:rFonts w:ascii="Arial MT" w:hAnsi="Arial MT"/>
          <w:color w:val="231F1F"/>
          <w:spacing w:val="10"/>
          <w:sz w:val="18"/>
        </w:rPr>
        <w:t> </w:t>
      </w:r>
      <w:r>
        <w:rPr>
          <w:rFonts w:ascii="Arial MT" w:hAnsi="Arial MT"/>
          <w:color w:val="231F1F"/>
          <w:sz w:val="18"/>
        </w:rPr>
        <w:t>prática</w:t>
      </w:r>
      <w:r>
        <w:rPr>
          <w:rFonts w:ascii="Arial MT" w:hAnsi="Arial MT"/>
          <w:color w:val="231F1F"/>
          <w:spacing w:val="11"/>
          <w:sz w:val="18"/>
        </w:rPr>
        <w:t> </w:t>
      </w:r>
      <w:r>
        <w:rPr>
          <w:rFonts w:ascii="Arial MT" w:hAnsi="Arial MT"/>
          <w:color w:val="231F1F"/>
          <w:spacing w:val="-2"/>
          <w:sz w:val="18"/>
        </w:rPr>
        <w:t>clínica</w:t>
      </w:r>
    </w:p>
    <w:p>
      <w:pPr>
        <w:pStyle w:val="BodyText"/>
        <w:spacing w:before="34"/>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590" w:hRule="atLeast"/>
        </w:trPr>
        <w:tc>
          <w:tcPr>
            <w:tcW w:w="571" w:type="dxa"/>
          </w:tcPr>
          <w:p>
            <w:pPr>
              <w:pStyle w:val="TableParagraph"/>
              <w:spacing w:before="77"/>
              <w:ind w:left="0"/>
              <w:rPr>
                <w:rFonts w:ascii="Arial MT"/>
                <w:sz w:val="10"/>
              </w:rPr>
            </w:pPr>
          </w:p>
          <w:p>
            <w:pPr>
              <w:pStyle w:val="TableParagraph"/>
              <w:ind w:left="46" w:right="13"/>
              <w:jc w:val="center"/>
              <w:rPr>
                <w:rFonts w:ascii="Arial MT" w:hAnsi="Arial MT"/>
                <w:sz w:val="10"/>
              </w:rPr>
            </w:pPr>
            <w:r>
              <w:rPr>
                <w:rFonts w:ascii="Arial MT" w:hAnsi="Arial MT"/>
                <w:color w:val="231F1F"/>
                <w:spacing w:val="-5"/>
                <w:position w:val="-3"/>
                <w:sz w:val="18"/>
              </w:rPr>
              <w:t>¥</w:t>
            </w:r>
            <w:r>
              <w:rPr>
                <w:rFonts w:ascii="Arial MT" w:hAnsi="Arial MT"/>
                <w:color w:val="231F1F"/>
                <w:spacing w:val="-5"/>
                <w:sz w:val="10"/>
              </w:rPr>
              <w:t>1</w:t>
            </w:r>
          </w:p>
        </w:tc>
        <w:tc>
          <w:tcPr>
            <w:tcW w:w="7934" w:type="dxa"/>
          </w:tcPr>
          <w:p>
            <w:pPr>
              <w:pStyle w:val="TableParagraph"/>
              <w:spacing w:before="195"/>
              <w:ind w:left="116"/>
              <w:rPr>
                <w:rFonts w:ascii="Arial MT" w:hAnsi="Arial MT"/>
                <w:sz w:val="18"/>
              </w:rPr>
            </w:pPr>
            <w:r>
              <w:rPr>
                <w:rFonts w:ascii="Arial MT" w:hAnsi="Arial MT"/>
                <w:color w:val="231F1F"/>
                <w:spacing w:val="-4"/>
                <w:sz w:val="18"/>
              </w:rPr>
              <w:t>Práctica</w:t>
            </w:r>
            <w:r>
              <w:rPr>
                <w:rFonts w:ascii="Arial MT" w:hAnsi="Arial MT"/>
                <w:color w:val="231F1F"/>
                <w:spacing w:val="-11"/>
                <w:sz w:val="18"/>
              </w:rPr>
              <w:t> </w:t>
            </w:r>
            <w:r>
              <w:rPr>
                <w:rFonts w:ascii="Arial MT" w:hAnsi="Arial MT"/>
                <w:color w:val="231F1F"/>
                <w:spacing w:val="-4"/>
                <w:sz w:val="18"/>
              </w:rPr>
              <w:t>recomendada,</w:t>
            </w:r>
            <w:r>
              <w:rPr>
                <w:rFonts w:ascii="Arial MT" w:hAnsi="Arial MT"/>
                <w:color w:val="231F1F"/>
                <w:spacing w:val="-7"/>
                <w:sz w:val="18"/>
              </w:rPr>
              <w:t> </w:t>
            </w:r>
            <w:r>
              <w:rPr>
                <w:rFonts w:ascii="Arial MT" w:hAnsi="Arial MT"/>
                <w:color w:val="231F1F"/>
                <w:spacing w:val="-4"/>
                <w:sz w:val="18"/>
              </w:rPr>
              <w:t>basada</w:t>
            </w:r>
            <w:r>
              <w:rPr>
                <w:rFonts w:ascii="Arial MT" w:hAnsi="Arial MT"/>
                <w:color w:val="231F1F"/>
                <w:spacing w:val="-9"/>
                <w:sz w:val="18"/>
              </w:rPr>
              <w:t> </w:t>
            </w:r>
            <w:r>
              <w:rPr>
                <w:rFonts w:ascii="Arial MT" w:hAnsi="Arial MT"/>
                <w:color w:val="231F1F"/>
                <w:spacing w:val="-4"/>
                <w:sz w:val="18"/>
              </w:rPr>
              <w:t>en</w:t>
            </w:r>
            <w:r>
              <w:rPr>
                <w:rFonts w:ascii="Arial MT" w:hAnsi="Arial MT"/>
                <w:color w:val="231F1F"/>
                <w:spacing w:val="-9"/>
                <w:sz w:val="18"/>
              </w:rPr>
              <w:t> </w:t>
            </w:r>
            <w:r>
              <w:rPr>
                <w:rFonts w:ascii="Arial MT" w:hAnsi="Arial MT"/>
                <w:color w:val="231F1F"/>
                <w:spacing w:val="-4"/>
                <w:sz w:val="18"/>
              </w:rPr>
              <w:t>la</w:t>
            </w:r>
            <w:r>
              <w:rPr>
                <w:rFonts w:ascii="Arial MT" w:hAnsi="Arial MT"/>
                <w:color w:val="231F1F"/>
                <w:spacing w:val="-11"/>
                <w:sz w:val="18"/>
              </w:rPr>
              <w:t> </w:t>
            </w:r>
            <w:r>
              <w:rPr>
                <w:rFonts w:ascii="Arial MT" w:hAnsi="Arial MT"/>
                <w:color w:val="231F1F"/>
                <w:spacing w:val="-4"/>
                <w:sz w:val="18"/>
              </w:rPr>
              <w:t>experiencia</w:t>
            </w:r>
            <w:r>
              <w:rPr>
                <w:rFonts w:ascii="Arial MT" w:hAnsi="Arial MT"/>
                <w:color w:val="231F1F"/>
                <w:spacing w:val="-8"/>
                <w:sz w:val="18"/>
              </w:rPr>
              <w:t> </w:t>
            </w:r>
            <w:r>
              <w:rPr>
                <w:rFonts w:ascii="Arial MT" w:hAnsi="Arial MT"/>
                <w:color w:val="231F1F"/>
                <w:spacing w:val="-4"/>
                <w:sz w:val="18"/>
              </w:rPr>
              <w:t>clínica</w:t>
            </w:r>
            <w:r>
              <w:rPr>
                <w:rFonts w:ascii="Arial MT" w:hAnsi="Arial MT"/>
                <w:color w:val="231F1F"/>
                <w:spacing w:val="-10"/>
                <w:sz w:val="18"/>
              </w:rPr>
              <w:t> </w:t>
            </w:r>
            <w:r>
              <w:rPr>
                <w:rFonts w:ascii="Arial MT" w:hAnsi="Arial MT"/>
                <w:color w:val="231F1F"/>
                <w:spacing w:val="-4"/>
                <w:sz w:val="18"/>
              </w:rPr>
              <w:t>y</w:t>
            </w:r>
            <w:r>
              <w:rPr>
                <w:rFonts w:ascii="Arial MT" w:hAnsi="Arial MT"/>
                <w:color w:val="231F1F"/>
                <w:spacing w:val="-9"/>
                <w:sz w:val="18"/>
              </w:rPr>
              <w:t> </w:t>
            </w:r>
            <w:r>
              <w:rPr>
                <w:rFonts w:ascii="Arial MT" w:hAnsi="Arial MT"/>
                <w:color w:val="231F1F"/>
                <w:spacing w:val="-4"/>
                <w:sz w:val="18"/>
              </w:rPr>
              <w:t>en</w:t>
            </w:r>
            <w:r>
              <w:rPr>
                <w:rFonts w:ascii="Arial MT" w:hAnsi="Arial MT"/>
                <w:color w:val="231F1F"/>
                <w:spacing w:val="-9"/>
                <w:sz w:val="18"/>
              </w:rPr>
              <w:t> </w:t>
            </w:r>
            <w:r>
              <w:rPr>
                <w:rFonts w:ascii="Arial MT" w:hAnsi="Arial MT"/>
                <w:color w:val="231F1F"/>
                <w:spacing w:val="-4"/>
                <w:sz w:val="18"/>
              </w:rPr>
              <w:t>el</w:t>
            </w:r>
            <w:r>
              <w:rPr>
                <w:rFonts w:ascii="Arial MT" w:hAnsi="Arial MT"/>
                <w:color w:val="231F1F"/>
                <w:spacing w:val="-8"/>
                <w:sz w:val="18"/>
              </w:rPr>
              <w:t> </w:t>
            </w:r>
            <w:r>
              <w:rPr>
                <w:rFonts w:ascii="Arial MT" w:hAnsi="Arial MT"/>
                <w:color w:val="231F1F"/>
                <w:spacing w:val="-4"/>
                <w:sz w:val="18"/>
              </w:rPr>
              <w:t>consenso</w:t>
            </w:r>
            <w:r>
              <w:rPr>
                <w:rFonts w:ascii="Arial MT" w:hAnsi="Arial MT"/>
                <w:color w:val="231F1F"/>
                <w:spacing w:val="-6"/>
                <w:sz w:val="18"/>
              </w:rPr>
              <w:t> </w:t>
            </w:r>
            <w:r>
              <w:rPr>
                <w:rFonts w:ascii="Arial MT" w:hAnsi="Arial MT"/>
                <w:color w:val="231F1F"/>
                <w:spacing w:val="-4"/>
                <w:sz w:val="18"/>
              </w:rPr>
              <w:t>del</w:t>
            </w:r>
            <w:r>
              <w:rPr>
                <w:rFonts w:ascii="Arial MT" w:hAnsi="Arial MT"/>
                <w:color w:val="231F1F"/>
                <w:spacing w:val="-7"/>
                <w:sz w:val="18"/>
              </w:rPr>
              <w:t> </w:t>
            </w:r>
            <w:r>
              <w:rPr>
                <w:rFonts w:ascii="Arial MT" w:hAnsi="Arial MT"/>
                <w:color w:val="231F1F"/>
                <w:spacing w:val="-4"/>
                <w:sz w:val="18"/>
              </w:rPr>
              <w:t>equipo</w:t>
            </w:r>
            <w:r>
              <w:rPr>
                <w:rFonts w:ascii="Arial MT" w:hAnsi="Arial MT"/>
                <w:color w:val="231F1F"/>
                <w:spacing w:val="-10"/>
                <w:sz w:val="18"/>
              </w:rPr>
              <w:t> </w:t>
            </w:r>
            <w:r>
              <w:rPr>
                <w:rFonts w:ascii="Arial MT" w:hAnsi="Arial MT"/>
                <w:color w:val="231F1F"/>
                <w:spacing w:val="-4"/>
                <w:sz w:val="18"/>
              </w:rPr>
              <w:t>redactor</w:t>
            </w:r>
          </w:p>
        </w:tc>
      </w:tr>
    </w:tbl>
    <w:p>
      <w:pPr>
        <w:spacing w:line="256" w:lineRule="auto" w:before="109"/>
        <w:ind w:left="419" w:right="113" w:hanging="138"/>
        <w:jc w:val="both"/>
        <w:rPr>
          <w:rFonts w:ascii="Arial" w:hAnsi="Arial"/>
          <w:i/>
          <w:sz w:val="17"/>
        </w:rPr>
      </w:pPr>
      <w:r>
        <w:rPr>
          <w:rFonts w:ascii="Arial" w:hAnsi="Arial"/>
          <w:i/>
          <w:color w:val="231F1F"/>
          <w:spacing w:val="-2"/>
          <w:sz w:val="17"/>
          <w:vertAlign w:val="superscript"/>
        </w:rPr>
        <w:t>1</w:t>
      </w:r>
      <w:r>
        <w:rPr>
          <w:rFonts w:ascii="Arial" w:hAnsi="Arial"/>
          <w:i/>
          <w:color w:val="231F1F"/>
          <w:spacing w:val="-2"/>
          <w:sz w:val="17"/>
          <w:vertAlign w:val="baseline"/>
        </w:rPr>
        <w:t> En</w:t>
      </w:r>
      <w:r>
        <w:rPr>
          <w:rFonts w:ascii="Arial" w:hAnsi="Arial"/>
          <w:i/>
          <w:color w:val="231F1F"/>
          <w:spacing w:val="-3"/>
          <w:sz w:val="17"/>
          <w:vertAlign w:val="baseline"/>
        </w:rPr>
        <w:t> </w:t>
      </w:r>
      <w:r>
        <w:rPr>
          <w:rFonts w:ascii="Arial" w:hAnsi="Arial"/>
          <w:i/>
          <w:color w:val="231F1F"/>
          <w:spacing w:val="-2"/>
          <w:sz w:val="17"/>
          <w:vertAlign w:val="baseline"/>
        </w:rPr>
        <w:t>ocasiones,</w:t>
      </w:r>
      <w:r>
        <w:rPr>
          <w:rFonts w:ascii="Arial" w:hAnsi="Arial"/>
          <w:i/>
          <w:color w:val="231F1F"/>
          <w:spacing w:val="-4"/>
          <w:sz w:val="17"/>
          <w:vertAlign w:val="baseline"/>
        </w:rPr>
        <w:t> </w:t>
      </w:r>
      <w:r>
        <w:rPr>
          <w:rFonts w:ascii="Arial" w:hAnsi="Arial"/>
          <w:i/>
          <w:color w:val="231F1F"/>
          <w:spacing w:val="-2"/>
          <w:sz w:val="17"/>
          <w:vertAlign w:val="baseline"/>
        </w:rPr>
        <w:t>el</w:t>
      </w:r>
      <w:r>
        <w:rPr>
          <w:rFonts w:ascii="Arial" w:hAnsi="Arial"/>
          <w:i/>
          <w:color w:val="231F1F"/>
          <w:spacing w:val="-4"/>
          <w:sz w:val="17"/>
          <w:vertAlign w:val="baseline"/>
        </w:rPr>
        <w:t> </w:t>
      </w:r>
      <w:r>
        <w:rPr>
          <w:rFonts w:ascii="Arial" w:hAnsi="Arial"/>
          <w:i/>
          <w:color w:val="231F1F"/>
          <w:spacing w:val="-2"/>
          <w:sz w:val="17"/>
          <w:vertAlign w:val="baseline"/>
        </w:rPr>
        <w:t>grupo</w:t>
      </w:r>
      <w:r>
        <w:rPr>
          <w:rFonts w:ascii="Arial" w:hAnsi="Arial"/>
          <w:i/>
          <w:color w:val="231F1F"/>
          <w:spacing w:val="-3"/>
          <w:sz w:val="17"/>
          <w:vertAlign w:val="baseline"/>
        </w:rPr>
        <w:t> </w:t>
      </w:r>
      <w:r>
        <w:rPr>
          <w:rFonts w:ascii="Arial" w:hAnsi="Arial"/>
          <w:i/>
          <w:color w:val="231F1F"/>
          <w:spacing w:val="-2"/>
          <w:sz w:val="17"/>
          <w:vertAlign w:val="baseline"/>
        </w:rPr>
        <w:t>elaborador</w:t>
      </w:r>
      <w:r>
        <w:rPr>
          <w:rFonts w:ascii="Arial" w:hAnsi="Arial"/>
          <w:i/>
          <w:color w:val="231F1F"/>
          <w:spacing w:val="-4"/>
          <w:sz w:val="17"/>
          <w:vertAlign w:val="baseline"/>
        </w:rPr>
        <w:t> </w:t>
      </w:r>
      <w:r>
        <w:rPr>
          <w:rFonts w:ascii="Arial" w:hAnsi="Arial"/>
          <w:i/>
          <w:color w:val="231F1F"/>
          <w:spacing w:val="-2"/>
          <w:sz w:val="17"/>
          <w:vertAlign w:val="baseline"/>
        </w:rPr>
        <w:t>encuentra</w:t>
      </w:r>
      <w:r>
        <w:rPr>
          <w:rFonts w:ascii="Arial" w:hAnsi="Arial"/>
          <w:i/>
          <w:color w:val="231F1F"/>
          <w:spacing w:val="-3"/>
          <w:sz w:val="17"/>
          <w:vertAlign w:val="baseline"/>
        </w:rPr>
        <w:t> </w:t>
      </w:r>
      <w:r>
        <w:rPr>
          <w:rFonts w:ascii="Arial" w:hAnsi="Arial"/>
          <w:i/>
          <w:color w:val="231F1F"/>
          <w:spacing w:val="-2"/>
          <w:sz w:val="17"/>
          <w:vertAlign w:val="baseline"/>
        </w:rPr>
        <w:t>aspectos</w:t>
      </w:r>
      <w:r>
        <w:rPr>
          <w:rFonts w:ascii="Arial" w:hAnsi="Arial"/>
          <w:i/>
          <w:color w:val="231F1F"/>
          <w:spacing w:val="-3"/>
          <w:sz w:val="17"/>
          <w:vertAlign w:val="baseline"/>
        </w:rPr>
        <w:t> </w:t>
      </w:r>
      <w:r>
        <w:rPr>
          <w:rFonts w:ascii="Arial" w:hAnsi="Arial"/>
          <w:i/>
          <w:color w:val="231F1F"/>
          <w:spacing w:val="-2"/>
          <w:sz w:val="17"/>
          <w:vertAlign w:val="baseline"/>
        </w:rPr>
        <w:t>prácticos</w:t>
      </w:r>
      <w:r>
        <w:rPr>
          <w:rFonts w:ascii="Arial" w:hAnsi="Arial"/>
          <w:i/>
          <w:color w:val="231F1F"/>
          <w:spacing w:val="-3"/>
          <w:sz w:val="17"/>
          <w:vertAlign w:val="baseline"/>
        </w:rPr>
        <w:t> </w:t>
      </w:r>
      <w:r>
        <w:rPr>
          <w:rFonts w:ascii="Arial" w:hAnsi="Arial"/>
          <w:i/>
          <w:color w:val="231F1F"/>
          <w:spacing w:val="-2"/>
          <w:sz w:val="17"/>
          <w:vertAlign w:val="baseline"/>
        </w:rPr>
        <w:t>importantes</w:t>
      </w:r>
      <w:r>
        <w:rPr>
          <w:rFonts w:ascii="Arial" w:hAnsi="Arial"/>
          <w:i/>
          <w:color w:val="231F1F"/>
          <w:spacing w:val="-3"/>
          <w:sz w:val="17"/>
          <w:vertAlign w:val="baseline"/>
        </w:rPr>
        <w:t> </w:t>
      </w:r>
      <w:r>
        <w:rPr>
          <w:rFonts w:ascii="Arial" w:hAnsi="Arial"/>
          <w:i/>
          <w:color w:val="231F1F"/>
          <w:spacing w:val="-2"/>
          <w:sz w:val="17"/>
          <w:vertAlign w:val="baseline"/>
        </w:rPr>
        <w:t>que</w:t>
      </w:r>
      <w:r>
        <w:rPr>
          <w:rFonts w:ascii="Arial" w:hAnsi="Arial"/>
          <w:i/>
          <w:color w:val="231F1F"/>
          <w:spacing w:val="-3"/>
          <w:sz w:val="17"/>
          <w:vertAlign w:val="baseline"/>
        </w:rPr>
        <w:t> </w:t>
      </w:r>
      <w:r>
        <w:rPr>
          <w:rFonts w:ascii="Arial" w:hAnsi="Arial"/>
          <w:i/>
          <w:color w:val="231F1F"/>
          <w:spacing w:val="-2"/>
          <w:sz w:val="17"/>
          <w:vertAlign w:val="baseline"/>
        </w:rPr>
        <w:t>es</w:t>
      </w:r>
      <w:r>
        <w:rPr>
          <w:rFonts w:ascii="Arial" w:hAnsi="Arial"/>
          <w:i/>
          <w:color w:val="231F1F"/>
          <w:spacing w:val="-3"/>
          <w:sz w:val="17"/>
          <w:vertAlign w:val="baseline"/>
        </w:rPr>
        <w:t> </w:t>
      </w:r>
      <w:r>
        <w:rPr>
          <w:rFonts w:ascii="Arial" w:hAnsi="Arial"/>
          <w:i/>
          <w:color w:val="231F1F"/>
          <w:spacing w:val="-2"/>
          <w:sz w:val="17"/>
          <w:vertAlign w:val="baseline"/>
        </w:rPr>
        <w:t>necesario</w:t>
      </w:r>
      <w:r>
        <w:rPr>
          <w:rFonts w:ascii="Arial" w:hAnsi="Arial"/>
          <w:i/>
          <w:color w:val="231F1F"/>
          <w:spacing w:val="-3"/>
          <w:sz w:val="17"/>
          <w:vertAlign w:val="baseline"/>
        </w:rPr>
        <w:t> </w:t>
      </w:r>
      <w:r>
        <w:rPr>
          <w:rFonts w:ascii="Arial" w:hAnsi="Arial"/>
          <w:i/>
          <w:color w:val="231F1F"/>
          <w:spacing w:val="-2"/>
          <w:sz w:val="17"/>
          <w:vertAlign w:val="baseline"/>
        </w:rPr>
        <w:t>destacar</w:t>
      </w:r>
      <w:r>
        <w:rPr>
          <w:rFonts w:ascii="Arial" w:hAnsi="Arial"/>
          <w:i/>
          <w:color w:val="231F1F"/>
          <w:spacing w:val="-4"/>
          <w:sz w:val="17"/>
          <w:vertAlign w:val="baseline"/>
        </w:rPr>
        <w:t> </w:t>
      </w:r>
      <w:r>
        <w:rPr>
          <w:rFonts w:ascii="Arial" w:hAnsi="Arial"/>
          <w:i/>
          <w:color w:val="231F1F"/>
          <w:spacing w:val="-2"/>
          <w:sz w:val="17"/>
          <w:vertAlign w:val="baseline"/>
        </w:rPr>
        <w:t>y</w:t>
      </w:r>
      <w:r>
        <w:rPr>
          <w:rFonts w:ascii="Arial" w:hAnsi="Arial"/>
          <w:i/>
          <w:color w:val="231F1F"/>
          <w:spacing w:val="-3"/>
          <w:sz w:val="17"/>
          <w:vertAlign w:val="baseline"/>
        </w:rPr>
        <w:t> </w:t>
      </w:r>
      <w:r>
        <w:rPr>
          <w:rFonts w:ascii="Arial" w:hAnsi="Arial"/>
          <w:i/>
          <w:color w:val="231F1F"/>
          <w:spacing w:val="-2"/>
          <w:sz w:val="17"/>
          <w:vertAlign w:val="baseline"/>
        </w:rPr>
        <w:t>para</w:t>
      </w:r>
      <w:r>
        <w:rPr>
          <w:rFonts w:ascii="Arial" w:hAnsi="Arial"/>
          <w:i/>
          <w:color w:val="231F1F"/>
          <w:spacing w:val="-3"/>
          <w:sz w:val="17"/>
          <w:vertAlign w:val="baseline"/>
        </w:rPr>
        <w:t> </w:t>
      </w:r>
      <w:r>
        <w:rPr>
          <w:rFonts w:ascii="Arial" w:hAnsi="Arial"/>
          <w:i/>
          <w:color w:val="231F1F"/>
          <w:spacing w:val="-2"/>
          <w:sz w:val="17"/>
          <w:vertAlign w:val="baseline"/>
        </w:rPr>
        <w:t>los </w:t>
      </w:r>
      <w:r>
        <w:rPr>
          <w:rFonts w:ascii="Arial" w:hAnsi="Arial"/>
          <w:i/>
          <w:color w:val="231F1F"/>
          <w:spacing w:val="-6"/>
          <w:sz w:val="17"/>
          <w:vertAlign w:val="baseline"/>
        </w:rPr>
        <w:t>cuales</w:t>
      </w:r>
      <w:r>
        <w:rPr>
          <w:rFonts w:ascii="Arial" w:hAnsi="Arial"/>
          <w:i/>
          <w:color w:val="231F1F"/>
          <w:sz w:val="17"/>
          <w:vertAlign w:val="baseline"/>
        </w:rPr>
        <w:t> </w:t>
      </w:r>
      <w:r>
        <w:rPr>
          <w:rFonts w:ascii="Arial" w:hAnsi="Arial"/>
          <w:i/>
          <w:color w:val="231F1F"/>
          <w:spacing w:val="-6"/>
          <w:sz w:val="17"/>
          <w:vertAlign w:val="baseline"/>
        </w:rPr>
        <w:t>no</w:t>
      </w:r>
      <w:r>
        <w:rPr>
          <w:rFonts w:ascii="Arial" w:hAnsi="Arial"/>
          <w:i/>
          <w:color w:val="231F1F"/>
          <w:sz w:val="17"/>
          <w:vertAlign w:val="baseline"/>
        </w:rPr>
        <w:t> </w:t>
      </w:r>
      <w:r>
        <w:rPr>
          <w:rFonts w:ascii="Arial" w:hAnsi="Arial"/>
          <w:i/>
          <w:color w:val="231F1F"/>
          <w:spacing w:val="-6"/>
          <w:sz w:val="17"/>
          <w:vertAlign w:val="baseline"/>
        </w:rPr>
        <w:t>se</w:t>
      </w:r>
      <w:r>
        <w:rPr>
          <w:rFonts w:ascii="Arial" w:hAnsi="Arial"/>
          <w:i/>
          <w:color w:val="231F1F"/>
          <w:sz w:val="17"/>
          <w:vertAlign w:val="baseline"/>
        </w:rPr>
        <w:t> </w:t>
      </w:r>
      <w:r>
        <w:rPr>
          <w:rFonts w:ascii="Arial" w:hAnsi="Arial"/>
          <w:i/>
          <w:color w:val="231F1F"/>
          <w:spacing w:val="-6"/>
          <w:sz w:val="17"/>
          <w:vertAlign w:val="baseline"/>
        </w:rPr>
        <w:t>ha</w:t>
      </w:r>
      <w:r>
        <w:rPr>
          <w:rFonts w:ascii="Arial" w:hAnsi="Arial"/>
          <w:i/>
          <w:color w:val="231F1F"/>
          <w:sz w:val="17"/>
          <w:vertAlign w:val="baseline"/>
        </w:rPr>
        <w:t> </w:t>
      </w:r>
      <w:r>
        <w:rPr>
          <w:rFonts w:ascii="Arial" w:hAnsi="Arial"/>
          <w:i/>
          <w:color w:val="231F1F"/>
          <w:spacing w:val="-6"/>
          <w:sz w:val="17"/>
          <w:vertAlign w:val="baseline"/>
        </w:rPr>
        <w:t>encontrado</w:t>
      </w:r>
      <w:r>
        <w:rPr>
          <w:rFonts w:ascii="Arial" w:hAnsi="Arial"/>
          <w:i/>
          <w:color w:val="231F1F"/>
          <w:sz w:val="17"/>
          <w:vertAlign w:val="baseline"/>
        </w:rPr>
        <w:t> </w:t>
      </w:r>
      <w:r>
        <w:rPr>
          <w:rFonts w:ascii="Arial" w:hAnsi="Arial"/>
          <w:i/>
          <w:color w:val="231F1F"/>
          <w:spacing w:val="-6"/>
          <w:sz w:val="17"/>
          <w:vertAlign w:val="baseline"/>
        </w:rPr>
        <w:t>ninguna</w:t>
      </w:r>
      <w:r>
        <w:rPr>
          <w:rFonts w:ascii="Arial" w:hAnsi="Arial"/>
          <w:i/>
          <w:color w:val="231F1F"/>
          <w:sz w:val="17"/>
          <w:vertAlign w:val="baseline"/>
        </w:rPr>
        <w:t> </w:t>
      </w:r>
      <w:r>
        <w:rPr>
          <w:rFonts w:ascii="Arial" w:hAnsi="Arial"/>
          <w:i/>
          <w:color w:val="231F1F"/>
          <w:spacing w:val="-6"/>
          <w:sz w:val="17"/>
          <w:vertAlign w:val="baseline"/>
        </w:rPr>
        <w:t>evidencia</w:t>
      </w:r>
      <w:r>
        <w:rPr>
          <w:rFonts w:ascii="Arial" w:hAnsi="Arial"/>
          <w:i/>
          <w:color w:val="231F1F"/>
          <w:sz w:val="17"/>
          <w:vertAlign w:val="baseline"/>
        </w:rPr>
        <w:t> </w:t>
      </w:r>
      <w:r>
        <w:rPr>
          <w:rFonts w:ascii="Arial" w:hAnsi="Arial"/>
          <w:i/>
          <w:color w:val="231F1F"/>
          <w:spacing w:val="-6"/>
          <w:sz w:val="17"/>
          <w:vertAlign w:val="baseline"/>
        </w:rPr>
        <w:t>científica.</w:t>
      </w:r>
      <w:r>
        <w:rPr>
          <w:rFonts w:ascii="Arial" w:hAnsi="Arial"/>
          <w:i/>
          <w:color w:val="231F1F"/>
          <w:spacing w:val="-1"/>
          <w:sz w:val="17"/>
          <w:vertAlign w:val="baseline"/>
        </w:rPr>
        <w:t> </w:t>
      </w:r>
      <w:r>
        <w:rPr>
          <w:rFonts w:ascii="Arial" w:hAnsi="Arial"/>
          <w:i/>
          <w:color w:val="231F1F"/>
          <w:spacing w:val="-6"/>
          <w:sz w:val="17"/>
          <w:vertAlign w:val="baseline"/>
        </w:rPr>
        <w:t>En</w:t>
      </w:r>
      <w:r>
        <w:rPr>
          <w:rFonts w:ascii="Arial" w:hAnsi="Arial"/>
          <w:i/>
          <w:color w:val="231F1F"/>
          <w:sz w:val="17"/>
          <w:vertAlign w:val="baseline"/>
        </w:rPr>
        <w:t> </w:t>
      </w:r>
      <w:r>
        <w:rPr>
          <w:rFonts w:ascii="Arial" w:hAnsi="Arial"/>
          <w:i/>
          <w:color w:val="231F1F"/>
          <w:spacing w:val="-6"/>
          <w:sz w:val="17"/>
          <w:vertAlign w:val="baseline"/>
        </w:rPr>
        <w:t>general,</w:t>
      </w:r>
      <w:r>
        <w:rPr>
          <w:rFonts w:ascii="Arial" w:hAnsi="Arial"/>
          <w:i/>
          <w:color w:val="231F1F"/>
          <w:spacing w:val="-1"/>
          <w:sz w:val="17"/>
          <w:vertAlign w:val="baseline"/>
        </w:rPr>
        <w:t> </w:t>
      </w:r>
      <w:r>
        <w:rPr>
          <w:rFonts w:ascii="Arial" w:hAnsi="Arial"/>
          <w:i/>
          <w:color w:val="231F1F"/>
          <w:spacing w:val="-6"/>
          <w:sz w:val="17"/>
          <w:vertAlign w:val="baseline"/>
        </w:rPr>
        <w:t>estos</w:t>
      </w:r>
      <w:r>
        <w:rPr>
          <w:rFonts w:ascii="Arial" w:hAnsi="Arial"/>
          <w:i/>
          <w:color w:val="231F1F"/>
          <w:sz w:val="17"/>
          <w:vertAlign w:val="baseline"/>
        </w:rPr>
        <w:t> </w:t>
      </w:r>
      <w:r>
        <w:rPr>
          <w:rFonts w:ascii="Arial" w:hAnsi="Arial"/>
          <w:i/>
          <w:color w:val="231F1F"/>
          <w:spacing w:val="-6"/>
          <w:sz w:val="17"/>
          <w:vertAlign w:val="baseline"/>
        </w:rPr>
        <w:t>casos</w:t>
      </w:r>
      <w:r>
        <w:rPr>
          <w:rFonts w:ascii="Arial" w:hAnsi="Arial"/>
          <w:i/>
          <w:color w:val="231F1F"/>
          <w:sz w:val="17"/>
          <w:vertAlign w:val="baseline"/>
        </w:rPr>
        <w:t> </w:t>
      </w:r>
      <w:r>
        <w:rPr>
          <w:rFonts w:ascii="Arial" w:hAnsi="Arial"/>
          <w:i/>
          <w:color w:val="231F1F"/>
          <w:spacing w:val="-6"/>
          <w:sz w:val="17"/>
          <w:vertAlign w:val="baseline"/>
        </w:rPr>
        <w:t>están</w:t>
      </w:r>
      <w:r>
        <w:rPr>
          <w:rFonts w:ascii="Arial" w:hAnsi="Arial"/>
          <w:i/>
          <w:color w:val="231F1F"/>
          <w:sz w:val="17"/>
          <w:vertAlign w:val="baseline"/>
        </w:rPr>
        <w:t> </w:t>
      </w:r>
      <w:r>
        <w:rPr>
          <w:rFonts w:ascii="Arial" w:hAnsi="Arial"/>
          <w:i/>
          <w:color w:val="231F1F"/>
          <w:spacing w:val="-6"/>
          <w:sz w:val="17"/>
          <w:vertAlign w:val="baseline"/>
        </w:rPr>
        <w:t>relacionados</w:t>
      </w:r>
      <w:r>
        <w:rPr>
          <w:rFonts w:ascii="Arial" w:hAnsi="Arial"/>
          <w:i/>
          <w:color w:val="231F1F"/>
          <w:spacing w:val="-1"/>
          <w:sz w:val="17"/>
          <w:vertAlign w:val="baseline"/>
        </w:rPr>
        <w:t> </w:t>
      </w:r>
      <w:r>
        <w:rPr>
          <w:rFonts w:ascii="Arial" w:hAnsi="Arial"/>
          <w:i/>
          <w:color w:val="231F1F"/>
          <w:spacing w:val="-6"/>
          <w:sz w:val="17"/>
          <w:vertAlign w:val="baseline"/>
        </w:rPr>
        <w:t>con</w:t>
      </w:r>
      <w:r>
        <w:rPr>
          <w:rFonts w:ascii="Arial" w:hAnsi="Arial"/>
          <w:i/>
          <w:color w:val="231F1F"/>
          <w:sz w:val="17"/>
          <w:vertAlign w:val="baseline"/>
        </w:rPr>
        <w:t> </w:t>
      </w:r>
      <w:r>
        <w:rPr>
          <w:rFonts w:ascii="Arial" w:hAnsi="Arial"/>
          <w:i/>
          <w:color w:val="231F1F"/>
          <w:spacing w:val="-6"/>
          <w:sz w:val="17"/>
          <w:vertAlign w:val="baseline"/>
        </w:rPr>
        <w:t>algún</w:t>
      </w:r>
      <w:r>
        <w:rPr>
          <w:rFonts w:ascii="Arial" w:hAnsi="Arial"/>
          <w:i/>
          <w:color w:val="231F1F"/>
          <w:sz w:val="17"/>
          <w:vertAlign w:val="baseline"/>
        </w:rPr>
        <w:t> </w:t>
      </w:r>
      <w:r>
        <w:rPr>
          <w:rFonts w:ascii="Arial" w:hAnsi="Arial"/>
          <w:i/>
          <w:color w:val="231F1F"/>
          <w:spacing w:val="-6"/>
          <w:sz w:val="17"/>
          <w:vertAlign w:val="baseline"/>
        </w:rPr>
        <w:t>aspec- </w:t>
      </w:r>
      <w:r>
        <w:rPr>
          <w:rFonts w:ascii="Arial" w:hAnsi="Arial"/>
          <w:i/>
          <w:color w:val="231F1F"/>
          <w:sz w:val="17"/>
          <w:vertAlign w:val="baseline"/>
        </w:rPr>
        <w:t>to</w:t>
      </w:r>
      <w:r>
        <w:rPr>
          <w:rFonts w:ascii="Arial" w:hAnsi="Arial"/>
          <w:i/>
          <w:color w:val="231F1F"/>
          <w:spacing w:val="-12"/>
          <w:sz w:val="17"/>
          <w:vertAlign w:val="baseline"/>
        </w:rPr>
        <w:t> </w:t>
      </w:r>
      <w:r>
        <w:rPr>
          <w:rFonts w:ascii="Arial" w:hAnsi="Arial"/>
          <w:i/>
          <w:color w:val="231F1F"/>
          <w:sz w:val="17"/>
          <w:vertAlign w:val="baseline"/>
        </w:rPr>
        <w:t>del</w:t>
      </w:r>
      <w:r>
        <w:rPr>
          <w:rFonts w:ascii="Arial" w:hAnsi="Arial"/>
          <w:i/>
          <w:color w:val="231F1F"/>
          <w:spacing w:val="-12"/>
          <w:sz w:val="17"/>
          <w:vertAlign w:val="baseline"/>
        </w:rPr>
        <w:t> </w:t>
      </w:r>
      <w:r>
        <w:rPr>
          <w:rFonts w:ascii="Arial" w:hAnsi="Arial"/>
          <w:i/>
          <w:color w:val="231F1F"/>
          <w:sz w:val="17"/>
          <w:vertAlign w:val="baseline"/>
        </w:rPr>
        <w:t>tratamiento</w:t>
      </w:r>
      <w:r>
        <w:rPr>
          <w:rFonts w:ascii="Arial" w:hAnsi="Arial"/>
          <w:i/>
          <w:color w:val="231F1F"/>
          <w:spacing w:val="-12"/>
          <w:sz w:val="17"/>
          <w:vertAlign w:val="baseline"/>
        </w:rPr>
        <w:t> </w:t>
      </w:r>
      <w:r>
        <w:rPr>
          <w:rFonts w:ascii="Arial" w:hAnsi="Arial"/>
          <w:i/>
          <w:color w:val="231F1F"/>
          <w:sz w:val="17"/>
          <w:vertAlign w:val="baseline"/>
        </w:rPr>
        <w:t>que</w:t>
      </w:r>
      <w:r>
        <w:rPr>
          <w:rFonts w:ascii="Arial" w:hAnsi="Arial"/>
          <w:i/>
          <w:color w:val="231F1F"/>
          <w:spacing w:val="-12"/>
          <w:sz w:val="17"/>
          <w:vertAlign w:val="baseline"/>
        </w:rPr>
        <w:t> </w:t>
      </w:r>
      <w:r>
        <w:rPr>
          <w:rFonts w:ascii="Arial" w:hAnsi="Arial"/>
          <w:i/>
          <w:color w:val="231F1F"/>
          <w:sz w:val="17"/>
          <w:vertAlign w:val="baseline"/>
        </w:rPr>
        <w:t>nadie</w:t>
      </w:r>
      <w:r>
        <w:rPr>
          <w:rFonts w:ascii="Arial" w:hAnsi="Arial"/>
          <w:i/>
          <w:color w:val="231F1F"/>
          <w:spacing w:val="-12"/>
          <w:sz w:val="17"/>
          <w:vertAlign w:val="baseline"/>
        </w:rPr>
        <w:t> </w:t>
      </w:r>
      <w:r>
        <w:rPr>
          <w:rFonts w:ascii="Arial" w:hAnsi="Arial"/>
          <w:i/>
          <w:color w:val="231F1F"/>
          <w:sz w:val="17"/>
          <w:vertAlign w:val="baseline"/>
        </w:rPr>
        <w:t>custionaría</w:t>
      </w:r>
      <w:r>
        <w:rPr>
          <w:rFonts w:ascii="Arial" w:hAnsi="Arial"/>
          <w:i/>
          <w:color w:val="231F1F"/>
          <w:spacing w:val="-11"/>
          <w:sz w:val="17"/>
          <w:vertAlign w:val="baseline"/>
        </w:rPr>
        <w:t> </w:t>
      </w:r>
      <w:r>
        <w:rPr>
          <w:rFonts w:ascii="Arial" w:hAnsi="Arial"/>
          <w:i/>
          <w:color w:val="231F1F"/>
          <w:sz w:val="17"/>
          <w:vertAlign w:val="baseline"/>
        </w:rPr>
        <w:t>habitualmente</w:t>
      </w:r>
      <w:r>
        <w:rPr>
          <w:rFonts w:ascii="Arial" w:hAnsi="Arial"/>
          <w:i/>
          <w:color w:val="231F1F"/>
          <w:spacing w:val="-11"/>
          <w:sz w:val="17"/>
          <w:vertAlign w:val="baseline"/>
        </w:rPr>
        <w:t> </w:t>
      </w:r>
      <w:r>
        <w:rPr>
          <w:rFonts w:ascii="Arial" w:hAnsi="Arial"/>
          <w:i/>
          <w:color w:val="231F1F"/>
          <w:sz w:val="17"/>
          <w:vertAlign w:val="baseline"/>
        </w:rPr>
        <w:t>y</w:t>
      </w:r>
      <w:r>
        <w:rPr>
          <w:rFonts w:ascii="Arial" w:hAnsi="Arial"/>
          <w:i/>
          <w:color w:val="231F1F"/>
          <w:spacing w:val="-12"/>
          <w:sz w:val="17"/>
          <w:vertAlign w:val="baseline"/>
        </w:rPr>
        <w:t> </w:t>
      </w:r>
      <w:r>
        <w:rPr>
          <w:rFonts w:ascii="Arial" w:hAnsi="Arial"/>
          <w:i/>
          <w:color w:val="231F1F"/>
          <w:sz w:val="17"/>
          <w:vertAlign w:val="baseline"/>
        </w:rPr>
        <w:t>son</w:t>
      </w:r>
      <w:r>
        <w:rPr>
          <w:rFonts w:ascii="Arial" w:hAnsi="Arial"/>
          <w:i/>
          <w:color w:val="231F1F"/>
          <w:spacing w:val="-11"/>
          <w:sz w:val="17"/>
          <w:vertAlign w:val="baseline"/>
        </w:rPr>
        <w:t> </w:t>
      </w:r>
      <w:r>
        <w:rPr>
          <w:rFonts w:ascii="Arial" w:hAnsi="Arial"/>
          <w:i/>
          <w:color w:val="231F1F"/>
          <w:sz w:val="17"/>
          <w:vertAlign w:val="baseline"/>
        </w:rPr>
        <w:t>valorados</w:t>
      </w:r>
      <w:r>
        <w:rPr>
          <w:rFonts w:ascii="Arial" w:hAnsi="Arial"/>
          <w:i/>
          <w:color w:val="231F1F"/>
          <w:spacing w:val="-12"/>
          <w:sz w:val="17"/>
          <w:vertAlign w:val="baseline"/>
        </w:rPr>
        <w:t> </w:t>
      </w:r>
      <w:r>
        <w:rPr>
          <w:rFonts w:ascii="Arial" w:hAnsi="Arial"/>
          <w:i/>
          <w:color w:val="231F1F"/>
          <w:sz w:val="17"/>
          <w:vertAlign w:val="baseline"/>
        </w:rPr>
        <w:t>como</w:t>
      </w:r>
      <w:r>
        <w:rPr>
          <w:rFonts w:ascii="Arial" w:hAnsi="Arial"/>
          <w:i/>
          <w:color w:val="231F1F"/>
          <w:spacing w:val="-11"/>
          <w:sz w:val="17"/>
          <w:vertAlign w:val="baseline"/>
        </w:rPr>
        <w:t> </w:t>
      </w:r>
      <w:r>
        <w:rPr>
          <w:rFonts w:ascii="Arial" w:hAnsi="Arial"/>
          <w:i/>
          <w:color w:val="231F1F"/>
          <w:sz w:val="17"/>
          <w:vertAlign w:val="baseline"/>
        </w:rPr>
        <w:t>puntos</w:t>
      </w:r>
      <w:r>
        <w:rPr>
          <w:rFonts w:ascii="Arial" w:hAnsi="Arial"/>
          <w:i/>
          <w:color w:val="231F1F"/>
          <w:spacing w:val="-12"/>
          <w:sz w:val="17"/>
          <w:vertAlign w:val="baseline"/>
        </w:rPr>
        <w:t> </w:t>
      </w:r>
      <w:r>
        <w:rPr>
          <w:rFonts w:ascii="Arial" w:hAnsi="Arial"/>
          <w:i/>
          <w:color w:val="231F1F"/>
          <w:sz w:val="17"/>
          <w:vertAlign w:val="baseline"/>
        </w:rPr>
        <w:t>de</w:t>
      </w:r>
      <w:r>
        <w:rPr>
          <w:rFonts w:ascii="Arial" w:hAnsi="Arial"/>
          <w:i/>
          <w:color w:val="231F1F"/>
          <w:spacing w:val="-11"/>
          <w:sz w:val="17"/>
          <w:vertAlign w:val="baseline"/>
        </w:rPr>
        <w:t> </w:t>
      </w:r>
      <w:r>
        <w:rPr>
          <w:rFonts w:ascii="Arial" w:hAnsi="Arial"/>
          <w:i/>
          <w:color w:val="231F1F"/>
          <w:sz w:val="17"/>
          <w:vertAlign w:val="baseline"/>
        </w:rPr>
        <w:t>«buena</w:t>
      </w:r>
      <w:r>
        <w:rPr>
          <w:rFonts w:ascii="Arial" w:hAnsi="Arial"/>
          <w:i/>
          <w:color w:val="231F1F"/>
          <w:spacing w:val="-12"/>
          <w:sz w:val="17"/>
          <w:vertAlign w:val="baseline"/>
        </w:rPr>
        <w:t> </w:t>
      </w:r>
      <w:r>
        <w:rPr>
          <w:rFonts w:ascii="Arial" w:hAnsi="Arial"/>
          <w:i/>
          <w:color w:val="231F1F"/>
          <w:sz w:val="17"/>
          <w:vertAlign w:val="baseline"/>
        </w:rPr>
        <w:t>práctica</w:t>
      </w:r>
      <w:r>
        <w:rPr>
          <w:rFonts w:ascii="Arial" w:hAnsi="Arial"/>
          <w:i/>
          <w:color w:val="231F1F"/>
          <w:spacing w:val="-11"/>
          <w:sz w:val="17"/>
          <w:vertAlign w:val="baseline"/>
        </w:rPr>
        <w:t> </w:t>
      </w:r>
      <w:r>
        <w:rPr>
          <w:rFonts w:ascii="Arial" w:hAnsi="Arial"/>
          <w:i/>
          <w:color w:val="231F1F"/>
          <w:sz w:val="17"/>
          <w:vertAlign w:val="baseline"/>
        </w:rPr>
        <w:t>clínica».</w:t>
      </w:r>
    </w:p>
    <w:p>
      <w:pPr>
        <w:spacing w:after="0" w:line="256" w:lineRule="auto"/>
        <w:jc w:val="both"/>
        <w:rPr>
          <w:rFonts w:ascii="Arial" w:hAnsi="Arial"/>
          <w:i/>
          <w:sz w:val="17"/>
        </w:rPr>
        <w:sectPr>
          <w:pgSz w:w="11900" w:h="16840"/>
          <w:pgMar w:header="0" w:footer="622" w:top="1520" w:bottom="820" w:left="1417" w:right="1559"/>
        </w:sectPr>
      </w:pPr>
    </w:p>
    <w:p>
      <w:pPr>
        <w:pStyle w:val="Heading1"/>
        <w:spacing w:line="213" w:lineRule="auto" w:before="100"/>
      </w:pPr>
      <w:r>
        <w:rPr>
          <w:color w:val="231F1F"/>
          <w:w w:val="110"/>
        </w:rPr>
        <w:t>Niveles de evidencia y grados de recomendación</w:t>
      </w:r>
      <w:r>
        <w:rPr>
          <w:color w:val="231F1F"/>
          <w:spacing w:val="-34"/>
          <w:w w:val="110"/>
        </w:rPr>
        <w:t> </w:t>
      </w:r>
      <w:r>
        <w:rPr>
          <w:color w:val="231F1F"/>
          <w:w w:val="110"/>
        </w:rPr>
        <w:t>para</w:t>
      </w:r>
      <w:r>
        <w:rPr>
          <w:color w:val="231F1F"/>
          <w:spacing w:val="-31"/>
          <w:w w:val="110"/>
        </w:rPr>
        <w:t> </w:t>
      </w:r>
      <w:r>
        <w:rPr>
          <w:color w:val="231F1F"/>
          <w:w w:val="110"/>
        </w:rPr>
        <w:t>preguntas</w:t>
      </w:r>
      <w:r>
        <w:rPr>
          <w:color w:val="231F1F"/>
          <w:spacing w:val="-31"/>
          <w:w w:val="110"/>
        </w:rPr>
        <w:t> </w:t>
      </w:r>
      <w:r>
        <w:rPr>
          <w:color w:val="231F1F"/>
          <w:w w:val="110"/>
        </w:rPr>
        <w:t>sobre </w:t>
      </w:r>
      <w:r>
        <w:rPr>
          <w:color w:val="231F1F"/>
          <w:spacing w:val="-2"/>
          <w:w w:val="110"/>
        </w:rPr>
        <w:t>diagnóstico</w:t>
      </w:r>
    </w:p>
    <w:p>
      <w:pPr>
        <w:spacing w:before="366"/>
        <w:ind w:left="283" w:right="0" w:firstLine="0"/>
        <w:jc w:val="left"/>
        <w:rPr>
          <w:sz w:val="26"/>
        </w:rPr>
      </w:pPr>
      <w:r>
        <w:rPr>
          <w:color w:val="231F1F"/>
          <w:w w:val="105"/>
          <w:sz w:val="26"/>
        </w:rPr>
        <w:t>Adaptación del NICE de los niveles de evidencia del Oxford Centre for Evidence</w:t>
      </w:r>
      <w:r>
        <w:rPr>
          <w:color w:val="231F1F"/>
          <w:spacing w:val="-5"/>
          <w:w w:val="105"/>
          <w:sz w:val="26"/>
        </w:rPr>
        <w:t> </w:t>
      </w:r>
      <w:r>
        <w:rPr>
          <w:color w:val="231F1F"/>
          <w:w w:val="105"/>
          <w:sz w:val="26"/>
        </w:rPr>
        <w:t>Based</w:t>
      </w:r>
      <w:r>
        <w:rPr>
          <w:color w:val="231F1F"/>
          <w:spacing w:val="-4"/>
          <w:w w:val="105"/>
          <w:sz w:val="26"/>
        </w:rPr>
        <w:t> </w:t>
      </w:r>
      <w:r>
        <w:rPr>
          <w:color w:val="231F1F"/>
          <w:w w:val="105"/>
          <w:sz w:val="26"/>
        </w:rPr>
        <w:t>Medicine</w:t>
      </w:r>
      <w:r>
        <w:rPr>
          <w:color w:val="231F1F"/>
          <w:spacing w:val="-5"/>
          <w:w w:val="105"/>
          <w:sz w:val="26"/>
        </w:rPr>
        <w:t> </w:t>
      </w:r>
      <w:r>
        <w:rPr>
          <w:color w:val="231F1F"/>
          <w:w w:val="105"/>
          <w:sz w:val="26"/>
        </w:rPr>
        <w:t>y</w:t>
      </w:r>
      <w:r>
        <w:rPr>
          <w:color w:val="231F1F"/>
          <w:spacing w:val="-4"/>
          <w:w w:val="105"/>
          <w:sz w:val="26"/>
        </w:rPr>
        <w:t> </w:t>
      </w:r>
      <w:r>
        <w:rPr>
          <w:color w:val="231F1F"/>
          <w:w w:val="105"/>
          <w:sz w:val="26"/>
        </w:rPr>
        <w:t>del</w:t>
      </w:r>
      <w:r>
        <w:rPr>
          <w:color w:val="231F1F"/>
          <w:spacing w:val="-5"/>
          <w:w w:val="105"/>
          <w:sz w:val="26"/>
        </w:rPr>
        <w:t> </w:t>
      </w:r>
      <w:r>
        <w:rPr>
          <w:color w:val="231F1F"/>
          <w:w w:val="105"/>
          <w:sz w:val="26"/>
        </w:rPr>
        <w:t>Centre</w:t>
      </w:r>
      <w:r>
        <w:rPr>
          <w:color w:val="231F1F"/>
          <w:spacing w:val="-5"/>
          <w:w w:val="105"/>
          <w:sz w:val="26"/>
        </w:rPr>
        <w:t> </w:t>
      </w:r>
      <w:r>
        <w:rPr>
          <w:color w:val="231F1F"/>
          <w:w w:val="105"/>
          <w:sz w:val="26"/>
        </w:rPr>
        <w:t>for</w:t>
      </w:r>
      <w:r>
        <w:rPr>
          <w:color w:val="231F1F"/>
          <w:spacing w:val="-5"/>
          <w:w w:val="105"/>
          <w:sz w:val="26"/>
        </w:rPr>
        <w:t> </w:t>
      </w:r>
      <w:r>
        <w:rPr>
          <w:color w:val="231F1F"/>
          <w:w w:val="105"/>
          <w:sz w:val="26"/>
        </w:rPr>
        <w:t>Reviews</w:t>
      </w:r>
      <w:r>
        <w:rPr>
          <w:color w:val="231F1F"/>
          <w:spacing w:val="-5"/>
          <w:w w:val="105"/>
          <w:sz w:val="26"/>
        </w:rPr>
        <w:t> </w:t>
      </w:r>
      <w:r>
        <w:rPr>
          <w:color w:val="231F1F"/>
          <w:w w:val="105"/>
          <w:sz w:val="26"/>
        </w:rPr>
        <w:t>and</w:t>
      </w:r>
      <w:r>
        <w:rPr>
          <w:color w:val="231F1F"/>
          <w:spacing w:val="-4"/>
          <w:w w:val="105"/>
          <w:sz w:val="26"/>
        </w:rPr>
        <w:t> </w:t>
      </w:r>
      <w:r>
        <w:rPr>
          <w:color w:val="231F1F"/>
          <w:w w:val="105"/>
          <w:sz w:val="26"/>
        </w:rPr>
        <w:t>Dissemination</w:t>
      </w:r>
      <w:r>
        <w:rPr>
          <w:color w:val="231F1F"/>
          <w:spacing w:val="-4"/>
          <w:w w:val="105"/>
          <w:sz w:val="26"/>
        </w:rPr>
        <w:t> </w:t>
      </w:r>
      <w:r>
        <w:rPr>
          <w:color w:val="231F1F"/>
          <w:w w:val="105"/>
          <w:sz w:val="26"/>
        </w:rPr>
        <w:t>(2;3)</w:t>
      </w:r>
    </w:p>
    <w:p>
      <w:pPr>
        <w:pStyle w:val="BodyText"/>
        <w:spacing w:before="7"/>
        <w:rPr>
          <w:sz w:val="6"/>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2270"/>
        <w:gridCol w:w="6235"/>
      </w:tblGrid>
      <w:tr>
        <w:trPr>
          <w:trHeight w:val="585" w:hRule="atLeast"/>
        </w:trPr>
        <w:tc>
          <w:tcPr>
            <w:tcW w:w="2270" w:type="dxa"/>
          </w:tcPr>
          <w:p>
            <w:pPr>
              <w:pStyle w:val="TableParagraph"/>
              <w:spacing w:line="244" w:lineRule="auto" w:before="75"/>
              <w:ind w:left="766" w:right="334" w:hanging="479"/>
              <w:rPr>
                <w:rFonts w:ascii="Arial MT" w:hAnsi="Arial MT"/>
                <w:sz w:val="18"/>
              </w:rPr>
            </w:pPr>
            <w:r>
              <w:rPr>
                <w:rFonts w:ascii="Arial MT" w:hAnsi="Arial MT"/>
                <w:color w:val="231F1F"/>
                <w:sz w:val="18"/>
              </w:rPr>
              <w:t>Niveles</w:t>
            </w:r>
            <w:r>
              <w:rPr>
                <w:rFonts w:ascii="Arial MT" w:hAnsi="Arial MT"/>
                <w:color w:val="231F1F"/>
                <w:spacing w:val="-15"/>
                <w:sz w:val="18"/>
              </w:rPr>
              <w:t> </w:t>
            </w:r>
            <w:r>
              <w:rPr>
                <w:rFonts w:ascii="Arial MT" w:hAnsi="Arial MT"/>
                <w:color w:val="231F1F"/>
                <w:sz w:val="18"/>
              </w:rPr>
              <w:t>de</w:t>
            </w:r>
            <w:r>
              <w:rPr>
                <w:rFonts w:ascii="Arial MT" w:hAnsi="Arial MT"/>
                <w:color w:val="231F1F"/>
                <w:spacing w:val="-12"/>
                <w:sz w:val="18"/>
              </w:rPr>
              <w:t> </w:t>
            </w:r>
            <w:r>
              <w:rPr>
                <w:rFonts w:ascii="Arial MT" w:hAnsi="Arial MT"/>
                <w:color w:val="231F1F"/>
                <w:sz w:val="18"/>
              </w:rPr>
              <w:t>evidencia </w:t>
            </w:r>
            <w:r>
              <w:rPr>
                <w:rFonts w:ascii="Arial MT" w:hAnsi="Arial MT"/>
                <w:color w:val="231F1F"/>
                <w:spacing w:val="-2"/>
                <w:sz w:val="18"/>
              </w:rPr>
              <w:t>científica</w:t>
            </w:r>
          </w:p>
        </w:tc>
        <w:tc>
          <w:tcPr>
            <w:tcW w:w="6235" w:type="dxa"/>
          </w:tcPr>
          <w:p>
            <w:pPr>
              <w:pStyle w:val="TableParagraph"/>
              <w:spacing w:before="181"/>
              <w:ind w:left="1992"/>
              <w:rPr>
                <w:rFonts w:ascii="Arial MT" w:hAnsi="Arial MT"/>
                <w:sz w:val="18"/>
              </w:rPr>
            </w:pPr>
            <w:r>
              <w:rPr>
                <w:rFonts w:ascii="Arial MT" w:hAnsi="Arial MT"/>
                <w:color w:val="231F1F"/>
                <w:sz w:val="18"/>
              </w:rPr>
              <w:t>Tipo</w:t>
            </w:r>
            <w:r>
              <w:rPr>
                <w:rFonts w:ascii="Arial MT" w:hAnsi="Arial MT"/>
                <w:color w:val="231F1F"/>
                <w:spacing w:val="8"/>
                <w:sz w:val="18"/>
              </w:rPr>
              <w:t> </w:t>
            </w:r>
            <w:r>
              <w:rPr>
                <w:rFonts w:ascii="Arial MT" w:hAnsi="Arial MT"/>
                <w:color w:val="231F1F"/>
                <w:sz w:val="18"/>
              </w:rPr>
              <w:t>de</w:t>
            </w:r>
            <w:r>
              <w:rPr>
                <w:rFonts w:ascii="Arial MT" w:hAnsi="Arial MT"/>
                <w:color w:val="231F1F"/>
                <w:spacing w:val="8"/>
                <w:sz w:val="18"/>
              </w:rPr>
              <w:t> </w:t>
            </w:r>
            <w:r>
              <w:rPr>
                <w:rFonts w:ascii="Arial MT" w:hAnsi="Arial MT"/>
                <w:color w:val="231F1F"/>
                <w:sz w:val="18"/>
              </w:rPr>
              <w:t>evidencia</w:t>
            </w:r>
            <w:r>
              <w:rPr>
                <w:rFonts w:ascii="Arial MT" w:hAnsi="Arial MT"/>
                <w:color w:val="231F1F"/>
                <w:spacing w:val="9"/>
                <w:sz w:val="18"/>
              </w:rPr>
              <w:t> </w:t>
            </w:r>
            <w:r>
              <w:rPr>
                <w:rFonts w:ascii="Arial MT" w:hAnsi="Arial MT"/>
                <w:color w:val="231F1F"/>
                <w:spacing w:val="-2"/>
                <w:sz w:val="18"/>
              </w:rPr>
              <w:t>científica</w:t>
            </w:r>
          </w:p>
        </w:tc>
      </w:tr>
      <w:tr>
        <w:trPr>
          <w:trHeight w:val="369" w:hRule="atLeast"/>
        </w:trPr>
        <w:tc>
          <w:tcPr>
            <w:tcW w:w="2270" w:type="dxa"/>
          </w:tcPr>
          <w:p>
            <w:pPr>
              <w:pStyle w:val="TableParagraph"/>
              <w:spacing w:before="71"/>
              <w:ind w:left="47" w:right="22"/>
              <w:jc w:val="center"/>
              <w:rPr>
                <w:rFonts w:ascii="Arial MT"/>
                <w:sz w:val="18"/>
              </w:rPr>
            </w:pPr>
            <w:r>
              <w:rPr>
                <w:rFonts w:ascii="Arial MT"/>
                <w:color w:val="231F1F"/>
                <w:spacing w:val="-5"/>
                <w:sz w:val="18"/>
              </w:rPr>
              <w:t>Ia</w:t>
            </w:r>
          </w:p>
        </w:tc>
        <w:tc>
          <w:tcPr>
            <w:tcW w:w="6235" w:type="dxa"/>
          </w:tcPr>
          <w:p>
            <w:pPr>
              <w:pStyle w:val="TableParagraph"/>
              <w:spacing w:before="56"/>
              <w:rPr>
                <w:rFonts w:ascii="Arial MT" w:hAnsi="Arial MT"/>
                <w:sz w:val="18"/>
              </w:rPr>
            </w:pPr>
            <w:r>
              <w:rPr>
                <w:rFonts w:ascii="Arial MT" w:hAnsi="Arial MT"/>
                <w:color w:val="231F1F"/>
                <w:w w:val="75"/>
                <w:sz w:val="18"/>
              </w:rPr>
              <w:t>Revisión</w:t>
            </w:r>
            <w:r>
              <w:rPr>
                <w:rFonts w:ascii="Arial MT" w:hAnsi="Arial MT"/>
                <w:color w:val="231F1F"/>
                <w:spacing w:val="-2"/>
                <w:sz w:val="18"/>
              </w:rPr>
              <w:t> </w:t>
            </w:r>
            <w:r>
              <w:rPr>
                <w:rFonts w:ascii="Arial MT" w:hAnsi="Arial MT"/>
                <w:color w:val="231F1F"/>
                <w:w w:val="75"/>
                <w:sz w:val="18"/>
              </w:rPr>
              <w:t>sistemática</w:t>
            </w:r>
            <w:r>
              <w:rPr>
                <w:rFonts w:ascii="Arial MT" w:hAnsi="Arial MT"/>
                <w:color w:val="231F1F"/>
                <w:spacing w:val="-1"/>
                <w:sz w:val="18"/>
              </w:rPr>
              <w:t> </w:t>
            </w:r>
            <w:r>
              <w:rPr>
                <w:rFonts w:ascii="Arial MT" w:hAnsi="Arial MT"/>
                <w:color w:val="231F1F"/>
                <w:w w:val="75"/>
                <w:sz w:val="18"/>
              </w:rPr>
              <w:t>con</w:t>
            </w:r>
            <w:r>
              <w:rPr>
                <w:rFonts w:ascii="Arial MT" w:hAnsi="Arial MT"/>
                <w:color w:val="231F1F"/>
                <w:sz w:val="18"/>
              </w:rPr>
              <w:t> </w:t>
            </w:r>
            <w:r>
              <w:rPr>
                <w:rFonts w:ascii="Arial MT" w:hAnsi="Arial MT"/>
                <w:color w:val="231F1F"/>
                <w:w w:val="75"/>
                <w:sz w:val="18"/>
              </w:rPr>
              <w:t>homogeneidad</w:t>
            </w:r>
            <w:r>
              <w:rPr>
                <w:rFonts w:ascii="Arial MT" w:hAnsi="Arial MT"/>
                <w:color w:val="231F1F"/>
                <w:spacing w:val="-1"/>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estudios</w:t>
            </w:r>
            <w:r>
              <w:rPr>
                <w:rFonts w:ascii="Arial MT" w:hAnsi="Arial MT"/>
                <w:color w:val="231F1F"/>
                <w:spacing w:val="1"/>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nivel</w:t>
            </w:r>
            <w:r>
              <w:rPr>
                <w:rFonts w:ascii="Arial MT" w:hAnsi="Arial MT"/>
                <w:color w:val="231F1F"/>
                <w:spacing w:val="-1"/>
                <w:sz w:val="18"/>
              </w:rPr>
              <w:t> </w:t>
            </w:r>
            <w:r>
              <w:rPr>
                <w:rFonts w:ascii="Arial MT" w:hAnsi="Arial MT"/>
                <w:color w:val="231F1F"/>
                <w:spacing w:val="-5"/>
                <w:w w:val="75"/>
                <w:sz w:val="18"/>
              </w:rPr>
              <w:t>1.</w:t>
            </w:r>
          </w:p>
        </w:tc>
      </w:tr>
      <w:tr>
        <w:trPr>
          <w:trHeight w:val="369" w:hRule="atLeast"/>
        </w:trPr>
        <w:tc>
          <w:tcPr>
            <w:tcW w:w="2270" w:type="dxa"/>
          </w:tcPr>
          <w:p>
            <w:pPr>
              <w:pStyle w:val="TableParagraph"/>
              <w:spacing w:before="71"/>
              <w:ind w:left="47" w:right="24"/>
              <w:jc w:val="center"/>
              <w:rPr>
                <w:rFonts w:ascii="Arial MT"/>
                <w:sz w:val="18"/>
              </w:rPr>
            </w:pPr>
            <w:r>
              <w:rPr>
                <w:rFonts w:ascii="Arial MT"/>
                <w:color w:val="231F1F"/>
                <w:spacing w:val="-5"/>
                <w:sz w:val="18"/>
              </w:rPr>
              <w:t>Ib</w:t>
            </w:r>
          </w:p>
        </w:tc>
        <w:tc>
          <w:tcPr>
            <w:tcW w:w="6235" w:type="dxa"/>
          </w:tcPr>
          <w:p>
            <w:pPr>
              <w:pStyle w:val="TableParagraph"/>
              <w:spacing w:before="56"/>
              <w:rPr>
                <w:rFonts w:ascii="Arial MT"/>
                <w:sz w:val="18"/>
              </w:rPr>
            </w:pPr>
            <w:r>
              <w:rPr>
                <w:rFonts w:ascii="Arial MT"/>
                <w:color w:val="231F1F"/>
                <w:w w:val="75"/>
                <w:sz w:val="18"/>
              </w:rPr>
              <w:t>Estudios</w:t>
            </w:r>
            <w:r>
              <w:rPr>
                <w:rFonts w:ascii="Arial MT"/>
                <w:color w:val="231F1F"/>
                <w:spacing w:val="-7"/>
                <w:sz w:val="18"/>
              </w:rPr>
              <w:t> </w:t>
            </w:r>
            <w:r>
              <w:rPr>
                <w:rFonts w:ascii="Arial MT"/>
                <w:color w:val="231F1F"/>
                <w:w w:val="75"/>
                <w:sz w:val="18"/>
              </w:rPr>
              <w:t>de</w:t>
            </w:r>
            <w:r>
              <w:rPr>
                <w:rFonts w:ascii="Arial MT"/>
                <w:color w:val="231F1F"/>
                <w:spacing w:val="-5"/>
                <w:sz w:val="18"/>
              </w:rPr>
              <w:t> </w:t>
            </w:r>
            <w:r>
              <w:rPr>
                <w:rFonts w:ascii="Arial MT"/>
                <w:color w:val="231F1F"/>
                <w:w w:val="75"/>
                <w:sz w:val="18"/>
              </w:rPr>
              <w:t>nivel</w:t>
            </w:r>
            <w:r>
              <w:rPr>
                <w:rFonts w:ascii="Arial MT"/>
                <w:color w:val="231F1F"/>
                <w:spacing w:val="-5"/>
                <w:sz w:val="18"/>
              </w:rPr>
              <w:t> </w:t>
            </w:r>
            <w:r>
              <w:rPr>
                <w:rFonts w:ascii="Arial MT"/>
                <w:color w:val="231F1F"/>
                <w:spacing w:val="-5"/>
                <w:w w:val="75"/>
                <w:sz w:val="18"/>
              </w:rPr>
              <w:t>1.</w:t>
            </w:r>
          </w:p>
        </w:tc>
      </w:tr>
      <w:tr>
        <w:trPr>
          <w:trHeight w:val="633" w:hRule="atLeast"/>
        </w:trPr>
        <w:tc>
          <w:tcPr>
            <w:tcW w:w="2270" w:type="dxa"/>
          </w:tcPr>
          <w:p>
            <w:pPr>
              <w:pStyle w:val="TableParagraph"/>
              <w:spacing w:before="71"/>
              <w:ind w:left="47" w:right="22"/>
              <w:jc w:val="center"/>
              <w:rPr>
                <w:rFonts w:ascii="Arial MT"/>
                <w:sz w:val="18"/>
              </w:rPr>
            </w:pPr>
            <w:r>
              <w:rPr>
                <w:rFonts w:ascii="Arial MT"/>
                <w:color w:val="231F1F"/>
                <w:spacing w:val="-5"/>
                <w:sz w:val="18"/>
              </w:rPr>
              <w:t>II</w:t>
            </w:r>
          </w:p>
        </w:tc>
        <w:tc>
          <w:tcPr>
            <w:tcW w:w="6235" w:type="dxa"/>
          </w:tcPr>
          <w:p>
            <w:pPr>
              <w:pStyle w:val="TableParagraph"/>
              <w:spacing w:before="56"/>
              <w:rPr>
                <w:rFonts w:ascii="Arial MT"/>
                <w:sz w:val="18"/>
              </w:rPr>
            </w:pPr>
            <w:r>
              <w:rPr>
                <w:rFonts w:ascii="Arial MT"/>
                <w:color w:val="231F1F"/>
                <w:w w:val="75"/>
                <w:sz w:val="18"/>
              </w:rPr>
              <w:t>Estudios</w:t>
            </w:r>
            <w:r>
              <w:rPr>
                <w:rFonts w:ascii="Arial MT"/>
                <w:color w:val="231F1F"/>
                <w:spacing w:val="-7"/>
                <w:sz w:val="18"/>
              </w:rPr>
              <w:t> </w:t>
            </w:r>
            <w:r>
              <w:rPr>
                <w:rFonts w:ascii="Arial MT"/>
                <w:color w:val="231F1F"/>
                <w:w w:val="75"/>
                <w:sz w:val="18"/>
              </w:rPr>
              <w:t>de</w:t>
            </w:r>
            <w:r>
              <w:rPr>
                <w:rFonts w:ascii="Arial MT"/>
                <w:color w:val="231F1F"/>
                <w:spacing w:val="-5"/>
                <w:sz w:val="18"/>
              </w:rPr>
              <w:t> </w:t>
            </w:r>
            <w:r>
              <w:rPr>
                <w:rFonts w:ascii="Arial MT"/>
                <w:color w:val="231F1F"/>
                <w:w w:val="75"/>
                <w:sz w:val="18"/>
              </w:rPr>
              <w:t>nivel</w:t>
            </w:r>
            <w:r>
              <w:rPr>
                <w:rFonts w:ascii="Arial MT"/>
                <w:color w:val="231F1F"/>
                <w:spacing w:val="-5"/>
                <w:sz w:val="18"/>
              </w:rPr>
              <w:t> </w:t>
            </w:r>
            <w:r>
              <w:rPr>
                <w:rFonts w:ascii="Arial MT"/>
                <w:color w:val="231F1F"/>
                <w:spacing w:val="-5"/>
                <w:w w:val="75"/>
                <w:sz w:val="18"/>
              </w:rPr>
              <w:t>2.</w:t>
            </w:r>
          </w:p>
          <w:p>
            <w:pPr>
              <w:pStyle w:val="TableParagraph"/>
              <w:spacing w:before="72"/>
              <w:rPr>
                <w:rFonts w:ascii="Arial MT" w:hAnsi="Arial MT"/>
                <w:sz w:val="18"/>
              </w:rPr>
            </w:pPr>
            <w:r>
              <w:rPr>
                <w:rFonts w:ascii="Arial MT" w:hAnsi="Arial MT"/>
                <w:color w:val="231F1F"/>
                <w:w w:val="75"/>
                <w:sz w:val="18"/>
              </w:rPr>
              <w:t>Revisión</w:t>
            </w:r>
            <w:r>
              <w:rPr>
                <w:rFonts w:ascii="Arial MT" w:hAnsi="Arial MT"/>
                <w:color w:val="231F1F"/>
                <w:spacing w:val="-3"/>
                <w:sz w:val="18"/>
              </w:rPr>
              <w:t> </w:t>
            </w:r>
            <w:r>
              <w:rPr>
                <w:rFonts w:ascii="Arial MT" w:hAnsi="Arial MT"/>
                <w:color w:val="231F1F"/>
                <w:w w:val="75"/>
                <w:sz w:val="18"/>
              </w:rPr>
              <w:t>sistemática</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estudios</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1"/>
                <w:sz w:val="18"/>
              </w:rPr>
              <w:t> </w:t>
            </w:r>
            <w:r>
              <w:rPr>
                <w:rFonts w:ascii="Arial MT" w:hAnsi="Arial MT"/>
                <w:color w:val="231F1F"/>
                <w:w w:val="75"/>
                <w:sz w:val="18"/>
              </w:rPr>
              <w:t>nivel</w:t>
            </w:r>
            <w:r>
              <w:rPr>
                <w:rFonts w:ascii="Arial MT" w:hAnsi="Arial MT"/>
                <w:color w:val="231F1F"/>
                <w:spacing w:val="-2"/>
                <w:sz w:val="18"/>
              </w:rPr>
              <w:t> </w:t>
            </w:r>
            <w:r>
              <w:rPr>
                <w:rFonts w:ascii="Arial MT" w:hAnsi="Arial MT"/>
                <w:color w:val="231F1F"/>
                <w:spacing w:val="-5"/>
                <w:w w:val="75"/>
                <w:sz w:val="18"/>
              </w:rPr>
              <w:t>2.</w:t>
            </w:r>
          </w:p>
        </w:tc>
      </w:tr>
      <w:tr>
        <w:trPr>
          <w:trHeight w:val="633" w:hRule="atLeast"/>
        </w:trPr>
        <w:tc>
          <w:tcPr>
            <w:tcW w:w="2270" w:type="dxa"/>
          </w:tcPr>
          <w:p>
            <w:pPr>
              <w:pStyle w:val="TableParagraph"/>
              <w:spacing w:before="71"/>
              <w:ind w:left="47" w:right="22"/>
              <w:jc w:val="center"/>
              <w:rPr>
                <w:rFonts w:ascii="Arial MT"/>
                <w:sz w:val="18"/>
              </w:rPr>
            </w:pPr>
            <w:r>
              <w:rPr>
                <w:rFonts w:ascii="Arial MT"/>
                <w:color w:val="231F1F"/>
                <w:spacing w:val="-5"/>
                <w:sz w:val="18"/>
              </w:rPr>
              <w:t>III</w:t>
            </w:r>
          </w:p>
        </w:tc>
        <w:tc>
          <w:tcPr>
            <w:tcW w:w="6235" w:type="dxa"/>
          </w:tcPr>
          <w:p>
            <w:pPr>
              <w:pStyle w:val="TableParagraph"/>
              <w:spacing w:before="56"/>
              <w:rPr>
                <w:rFonts w:ascii="Arial MT"/>
                <w:sz w:val="18"/>
              </w:rPr>
            </w:pPr>
            <w:r>
              <w:rPr>
                <w:rFonts w:ascii="Arial MT"/>
                <w:color w:val="231F1F"/>
                <w:w w:val="75"/>
                <w:sz w:val="18"/>
              </w:rPr>
              <w:t>Estudios</w:t>
            </w:r>
            <w:r>
              <w:rPr>
                <w:rFonts w:ascii="Arial MT"/>
                <w:color w:val="231F1F"/>
                <w:spacing w:val="-7"/>
                <w:sz w:val="18"/>
              </w:rPr>
              <w:t> </w:t>
            </w:r>
            <w:r>
              <w:rPr>
                <w:rFonts w:ascii="Arial MT"/>
                <w:color w:val="231F1F"/>
                <w:w w:val="75"/>
                <w:sz w:val="18"/>
              </w:rPr>
              <w:t>de</w:t>
            </w:r>
            <w:r>
              <w:rPr>
                <w:rFonts w:ascii="Arial MT"/>
                <w:color w:val="231F1F"/>
                <w:spacing w:val="-5"/>
                <w:sz w:val="18"/>
              </w:rPr>
              <w:t> </w:t>
            </w:r>
            <w:r>
              <w:rPr>
                <w:rFonts w:ascii="Arial MT"/>
                <w:color w:val="231F1F"/>
                <w:w w:val="75"/>
                <w:sz w:val="18"/>
              </w:rPr>
              <w:t>nivel</w:t>
            </w:r>
            <w:r>
              <w:rPr>
                <w:rFonts w:ascii="Arial MT"/>
                <w:color w:val="231F1F"/>
                <w:spacing w:val="-5"/>
                <w:sz w:val="18"/>
              </w:rPr>
              <w:t> </w:t>
            </w:r>
            <w:r>
              <w:rPr>
                <w:rFonts w:ascii="Arial MT"/>
                <w:color w:val="231F1F"/>
                <w:spacing w:val="-10"/>
                <w:w w:val="75"/>
                <w:sz w:val="18"/>
              </w:rPr>
              <w:t>3</w:t>
            </w:r>
          </w:p>
          <w:p>
            <w:pPr>
              <w:pStyle w:val="TableParagraph"/>
              <w:spacing w:before="72"/>
              <w:rPr>
                <w:rFonts w:ascii="Arial MT" w:hAnsi="Arial MT"/>
                <w:sz w:val="18"/>
              </w:rPr>
            </w:pPr>
            <w:r>
              <w:rPr>
                <w:rFonts w:ascii="Arial MT" w:hAnsi="Arial MT"/>
                <w:color w:val="231F1F"/>
                <w:w w:val="75"/>
                <w:sz w:val="18"/>
              </w:rPr>
              <w:t>Revisión</w:t>
            </w:r>
            <w:r>
              <w:rPr>
                <w:rFonts w:ascii="Arial MT" w:hAnsi="Arial MT"/>
                <w:color w:val="231F1F"/>
                <w:spacing w:val="-3"/>
                <w:sz w:val="18"/>
              </w:rPr>
              <w:t> </w:t>
            </w:r>
            <w:r>
              <w:rPr>
                <w:rFonts w:ascii="Arial MT" w:hAnsi="Arial MT"/>
                <w:color w:val="231F1F"/>
                <w:w w:val="75"/>
                <w:sz w:val="18"/>
              </w:rPr>
              <w:t>sistemática</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estudios</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1"/>
                <w:sz w:val="18"/>
              </w:rPr>
              <w:t> </w:t>
            </w:r>
            <w:r>
              <w:rPr>
                <w:rFonts w:ascii="Arial MT" w:hAnsi="Arial MT"/>
                <w:color w:val="231F1F"/>
                <w:w w:val="75"/>
                <w:sz w:val="18"/>
              </w:rPr>
              <w:t>nivel</w:t>
            </w:r>
            <w:r>
              <w:rPr>
                <w:rFonts w:ascii="Arial MT" w:hAnsi="Arial MT"/>
                <w:color w:val="231F1F"/>
                <w:spacing w:val="-2"/>
                <w:sz w:val="18"/>
              </w:rPr>
              <w:t> </w:t>
            </w:r>
            <w:r>
              <w:rPr>
                <w:rFonts w:ascii="Arial MT" w:hAnsi="Arial MT"/>
                <w:color w:val="231F1F"/>
                <w:spacing w:val="-5"/>
                <w:w w:val="75"/>
                <w:sz w:val="18"/>
              </w:rPr>
              <w:t>3.</w:t>
            </w:r>
          </w:p>
        </w:tc>
      </w:tr>
      <w:tr>
        <w:trPr>
          <w:trHeight w:val="364" w:hRule="atLeast"/>
        </w:trPr>
        <w:tc>
          <w:tcPr>
            <w:tcW w:w="2270" w:type="dxa"/>
          </w:tcPr>
          <w:p>
            <w:pPr>
              <w:pStyle w:val="TableParagraph"/>
              <w:spacing w:before="71"/>
              <w:ind w:left="47" w:right="20"/>
              <w:jc w:val="center"/>
              <w:rPr>
                <w:rFonts w:ascii="Arial MT"/>
                <w:sz w:val="18"/>
              </w:rPr>
            </w:pPr>
            <w:r>
              <w:rPr>
                <w:rFonts w:ascii="Arial MT"/>
                <w:color w:val="231F1F"/>
                <w:spacing w:val="-5"/>
                <w:sz w:val="18"/>
              </w:rPr>
              <w:t>IV</w:t>
            </w:r>
          </w:p>
        </w:tc>
        <w:tc>
          <w:tcPr>
            <w:tcW w:w="6235" w:type="dxa"/>
          </w:tcPr>
          <w:p>
            <w:pPr>
              <w:pStyle w:val="TableParagraph"/>
              <w:spacing w:before="56"/>
              <w:rPr>
                <w:rFonts w:ascii="Arial MT" w:hAnsi="Arial MT"/>
                <w:sz w:val="18"/>
              </w:rPr>
            </w:pPr>
            <w:r>
              <w:rPr>
                <w:rFonts w:ascii="Arial MT" w:hAnsi="Arial MT"/>
                <w:color w:val="231F1F"/>
                <w:w w:val="75"/>
                <w:sz w:val="18"/>
              </w:rPr>
              <w:t>Consenso,</w:t>
            </w:r>
            <w:r>
              <w:rPr>
                <w:rFonts w:ascii="Arial MT" w:hAnsi="Arial MT"/>
                <w:color w:val="231F1F"/>
                <w:spacing w:val="-1"/>
                <w:sz w:val="18"/>
              </w:rPr>
              <w:t> </w:t>
            </w:r>
            <w:r>
              <w:rPr>
                <w:rFonts w:ascii="Arial MT" w:hAnsi="Arial MT"/>
                <w:color w:val="231F1F"/>
                <w:w w:val="75"/>
                <w:sz w:val="18"/>
              </w:rPr>
              <w:t>opiniones</w:t>
            </w:r>
            <w:r>
              <w:rPr>
                <w:rFonts w:ascii="Arial MT" w:hAnsi="Arial MT"/>
                <w:color w:val="231F1F"/>
                <w:spacing w:val="-1"/>
                <w:sz w:val="18"/>
              </w:rPr>
              <w:t> </w:t>
            </w:r>
            <w:r>
              <w:rPr>
                <w:rFonts w:ascii="Arial MT" w:hAnsi="Arial MT"/>
                <w:color w:val="231F1F"/>
                <w:w w:val="75"/>
                <w:sz w:val="18"/>
              </w:rPr>
              <w:t>de</w:t>
            </w:r>
            <w:r>
              <w:rPr>
                <w:rFonts w:ascii="Arial MT" w:hAnsi="Arial MT"/>
                <w:color w:val="231F1F"/>
                <w:sz w:val="18"/>
              </w:rPr>
              <w:t> </w:t>
            </w:r>
            <w:r>
              <w:rPr>
                <w:rFonts w:ascii="Arial MT" w:hAnsi="Arial MT"/>
                <w:color w:val="231F1F"/>
                <w:w w:val="75"/>
                <w:sz w:val="18"/>
              </w:rPr>
              <w:t>expertos</w:t>
            </w:r>
            <w:r>
              <w:rPr>
                <w:rFonts w:ascii="Arial MT" w:hAnsi="Arial MT"/>
                <w:color w:val="231F1F"/>
                <w:sz w:val="18"/>
              </w:rPr>
              <w:t> </w:t>
            </w:r>
            <w:r>
              <w:rPr>
                <w:rFonts w:ascii="Arial MT" w:hAnsi="Arial MT"/>
                <w:color w:val="231F1F"/>
                <w:w w:val="75"/>
                <w:sz w:val="18"/>
              </w:rPr>
              <w:t>sin</w:t>
            </w:r>
            <w:r>
              <w:rPr>
                <w:rFonts w:ascii="Arial MT" w:hAnsi="Arial MT"/>
                <w:color w:val="231F1F"/>
                <w:spacing w:val="1"/>
                <w:sz w:val="18"/>
              </w:rPr>
              <w:t> </w:t>
            </w:r>
            <w:r>
              <w:rPr>
                <w:rFonts w:ascii="Arial MT" w:hAnsi="Arial MT"/>
                <w:color w:val="231F1F"/>
                <w:w w:val="75"/>
                <w:sz w:val="18"/>
              </w:rPr>
              <w:t>valoración</w:t>
            </w:r>
            <w:r>
              <w:rPr>
                <w:rFonts w:ascii="Arial MT" w:hAnsi="Arial MT"/>
                <w:color w:val="231F1F"/>
                <w:spacing w:val="-1"/>
                <w:sz w:val="18"/>
              </w:rPr>
              <w:t> </w:t>
            </w:r>
            <w:r>
              <w:rPr>
                <w:rFonts w:ascii="Arial MT" w:hAnsi="Arial MT"/>
                <w:color w:val="231F1F"/>
                <w:w w:val="75"/>
                <w:sz w:val="18"/>
              </w:rPr>
              <w:t>critica</w:t>
            </w:r>
            <w:r>
              <w:rPr>
                <w:rFonts w:ascii="Arial MT" w:hAnsi="Arial MT"/>
                <w:color w:val="231F1F"/>
                <w:sz w:val="18"/>
              </w:rPr>
              <w:t> </w:t>
            </w:r>
            <w:r>
              <w:rPr>
                <w:rFonts w:ascii="Arial MT" w:hAnsi="Arial MT"/>
                <w:color w:val="231F1F"/>
                <w:spacing w:val="-2"/>
                <w:w w:val="75"/>
                <w:sz w:val="18"/>
              </w:rPr>
              <w:t>explicita.</w:t>
            </w:r>
          </w:p>
        </w:tc>
      </w:tr>
      <w:tr>
        <w:trPr>
          <w:trHeight w:val="911" w:hRule="atLeast"/>
        </w:trPr>
        <w:tc>
          <w:tcPr>
            <w:tcW w:w="2270" w:type="dxa"/>
          </w:tcPr>
          <w:p>
            <w:pPr>
              <w:pStyle w:val="TableParagraph"/>
              <w:spacing w:before="71"/>
              <w:ind w:left="47"/>
              <w:jc w:val="center"/>
              <w:rPr>
                <w:rFonts w:ascii="Arial MT"/>
                <w:sz w:val="18"/>
              </w:rPr>
            </w:pPr>
            <w:r>
              <w:rPr>
                <w:rFonts w:ascii="Arial MT"/>
                <w:color w:val="231F1F"/>
                <w:sz w:val="18"/>
              </w:rPr>
              <w:t>Estudios</w:t>
            </w:r>
            <w:r>
              <w:rPr>
                <w:rFonts w:ascii="Arial MT"/>
                <w:color w:val="231F1F"/>
                <w:spacing w:val="4"/>
                <w:sz w:val="18"/>
              </w:rPr>
              <w:t> </w:t>
            </w:r>
            <w:r>
              <w:rPr>
                <w:rFonts w:ascii="Arial MT"/>
                <w:color w:val="231F1F"/>
                <w:sz w:val="18"/>
              </w:rPr>
              <w:t>de</w:t>
            </w:r>
            <w:r>
              <w:rPr>
                <w:rFonts w:ascii="Arial MT"/>
                <w:color w:val="231F1F"/>
                <w:spacing w:val="5"/>
                <w:sz w:val="18"/>
              </w:rPr>
              <w:t> </w:t>
            </w:r>
            <w:r>
              <w:rPr>
                <w:rFonts w:ascii="Arial MT"/>
                <w:color w:val="231F1F"/>
                <w:sz w:val="18"/>
              </w:rPr>
              <w:t>Nivel</w:t>
            </w:r>
            <w:r>
              <w:rPr>
                <w:rFonts w:ascii="Arial MT"/>
                <w:color w:val="231F1F"/>
                <w:spacing w:val="6"/>
                <w:sz w:val="18"/>
              </w:rPr>
              <w:t> </w:t>
            </w:r>
            <w:r>
              <w:rPr>
                <w:rFonts w:ascii="Arial MT"/>
                <w:color w:val="231F1F"/>
                <w:spacing w:val="-10"/>
                <w:sz w:val="18"/>
              </w:rPr>
              <w:t>1</w:t>
            </w:r>
          </w:p>
        </w:tc>
        <w:tc>
          <w:tcPr>
            <w:tcW w:w="6235" w:type="dxa"/>
          </w:tcPr>
          <w:p>
            <w:pPr>
              <w:pStyle w:val="TableParagraph"/>
              <w:spacing w:before="56"/>
              <w:ind w:left="122"/>
              <w:rPr>
                <w:rFonts w:ascii="Arial MT"/>
                <w:sz w:val="18"/>
              </w:rPr>
            </w:pPr>
            <w:r>
              <w:rPr>
                <w:rFonts w:ascii="Arial MT"/>
                <w:color w:val="231F1F"/>
                <w:spacing w:val="-2"/>
                <w:sz w:val="18"/>
              </w:rPr>
              <w:t>Cumplen</w:t>
            </w:r>
          </w:p>
          <w:p>
            <w:pPr>
              <w:pStyle w:val="TableParagraph"/>
              <w:numPr>
                <w:ilvl w:val="0"/>
                <w:numId w:val="4"/>
              </w:numPr>
              <w:tabs>
                <w:tab w:pos="660" w:val="left" w:leader="none"/>
              </w:tabs>
              <w:spacing w:line="240" w:lineRule="auto" w:before="74" w:after="0"/>
              <w:ind w:left="660" w:right="0" w:hanging="267"/>
              <w:jc w:val="left"/>
              <w:rPr>
                <w:rFonts w:ascii="Cambria" w:hAnsi="Cambria"/>
                <w:sz w:val="18"/>
              </w:rPr>
            </w:pPr>
            <w:r>
              <w:rPr>
                <w:rFonts w:ascii="Cambria" w:hAnsi="Cambria"/>
                <w:color w:val="231F1F"/>
                <w:w w:val="75"/>
                <w:sz w:val="18"/>
              </w:rPr>
              <w:t>Comparación</w:t>
            </w:r>
            <w:r>
              <w:rPr>
                <w:rFonts w:ascii="Cambria" w:hAnsi="Cambria"/>
                <w:color w:val="231F1F"/>
                <w:spacing w:val="18"/>
                <w:sz w:val="18"/>
              </w:rPr>
              <w:t> </w:t>
            </w:r>
            <w:r>
              <w:rPr>
                <w:rFonts w:ascii="Cambria" w:hAnsi="Cambria"/>
                <w:color w:val="231F1F"/>
                <w:w w:val="75"/>
                <w:sz w:val="18"/>
              </w:rPr>
              <w:t>enmascarada</w:t>
            </w:r>
            <w:r>
              <w:rPr>
                <w:rFonts w:ascii="Cambria" w:hAnsi="Cambria"/>
                <w:color w:val="231F1F"/>
                <w:spacing w:val="21"/>
                <w:sz w:val="18"/>
              </w:rPr>
              <w:t> </w:t>
            </w:r>
            <w:r>
              <w:rPr>
                <w:rFonts w:ascii="Cambria" w:hAnsi="Cambria"/>
                <w:color w:val="231F1F"/>
                <w:w w:val="75"/>
                <w:sz w:val="18"/>
              </w:rPr>
              <w:t>con</w:t>
            </w:r>
            <w:r>
              <w:rPr>
                <w:rFonts w:ascii="Cambria" w:hAnsi="Cambria"/>
                <w:color w:val="231F1F"/>
                <w:spacing w:val="20"/>
                <w:sz w:val="18"/>
              </w:rPr>
              <w:t> </w:t>
            </w:r>
            <w:r>
              <w:rPr>
                <w:rFonts w:ascii="Cambria" w:hAnsi="Cambria"/>
                <w:color w:val="231F1F"/>
                <w:w w:val="75"/>
                <w:sz w:val="18"/>
              </w:rPr>
              <w:t>una</w:t>
            </w:r>
            <w:r>
              <w:rPr>
                <w:rFonts w:ascii="Cambria" w:hAnsi="Cambria"/>
                <w:color w:val="231F1F"/>
                <w:spacing w:val="20"/>
                <w:sz w:val="18"/>
              </w:rPr>
              <w:t> </w:t>
            </w:r>
            <w:r>
              <w:rPr>
                <w:rFonts w:ascii="Cambria" w:hAnsi="Cambria"/>
                <w:color w:val="231F1F"/>
                <w:w w:val="75"/>
                <w:sz w:val="18"/>
              </w:rPr>
              <w:t>prueba</w:t>
            </w:r>
            <w:r>
              <w:rPr>
                <w:rFonts w:ascii="Cambria" w:hAnsi="Cambria"/>
                <w:color w:val="231F1F"/>
                <w:spacing w:val="17"/>
                <w:sz w:val="18"/>
              </w:rPr>
              <w:t> </w:t>
            </w:r>
            <w:r>
              <w:rPr>
                <w:rFonts w:ascii="Cambria" w:hAnsi="Cambria"/>
                <w:color w:val="231F1F"/>
                <w:w w:val="75"/>
                <w:sz w:val="18"/>
              </w:rPr>
              <w:t>de</w:t>
            </w:r>
            <w:r>
              <w:rPr>
                <w:rFonts w:ascii="Cambria" w:hAnsi="Cambria"/>
                <w:color w:val="231F1F"/>
                <w:spacing w:val="22"/>
                <w:sz w:val="18"/>
              </w:rPr>
              <w:t> </w:t>
            </w:r>
            <w:r>
              <w:rPr>
                <w:rFonts w:ascii="Cambria" w:hAnsi="Cambria"/>
                <w:color w:val="231F1F"/>
                <w:w w:val="75"/>
                <w:sz w:val="18"/>
              </w:rPr>
              <w:t>referencia</w:t>
            </w:r>
            <w:r>
              <w:rPr>
                <w:rFonts w:ascii="Cambria" w:hAnsi="Cambria"/>
                <w:color w:val="231F1F"/>
                <w:spacing w:val="18"/>
                <w:sz w:val="18"/>
              </w:rPr>
              <w:t> </w:t>
            </w:r>
            <w:r>
              <w:rPr>
                <w:rFonts w:ascii="Cambria" w:hAnsi="Cambria"/>
                <w:color w:val="231F1F"/>
                <w:w w:val="75"/>
                <w:sz w:val="18"/>
              </w:rPr>
              <w:t>(«patrón</w:t>
            </w:r>
            <w:r>
              <w:rPr>
                <w:rFonts w:ascii="Cambria" w:hAnsi="Cambria"/>
                <w:color w:val="231F1F"/>
                <w:spacing w:val="21"/>
                <w:sz w:val="18"/>
              </w:rPr>
              <w:t> </w:t>
            </w:r>
            <w:r>
              <w:rPr>
                <w:rFonts w:ascii="Cambria" w:hAnsi="Cambria"/>
                <w:color w:val="231F1F"/>
                <w:w w:val="75"/>
                <w:sz w:val="18"/>
              </w:rPr>
              <w:t>oro»)</w:t>
            </w:r>
            <w:r>
              <w:rPr>
                <w:rFonts w:ascii="Cambria" w:hAnsi="Cambria"/>
                <w:color w:val="231F1F"/>
                <w:spacing w:val="17"/>
                <w:sz w:val="18"/>
              </w:rPr>
              <w:t> </w:t>
            </w:r>
            <w:r>
              <w:rPr>
                <w:rFonts w:ascii="Cambria" w:hAnsi="Cambria"/>
                <w:color w:val="231F1F"/>
                <w:spacing w:val="-2"/>
                <w:w w:val="75"/>
                <w:sz w:val="18"/>
              </w:rPr>
              <w:t>válida.</w:t>
            </w:r>
          </w:p>
          <w:p>
            <w:pPr>
              <w:pStyle w:val="TableParagraph"/>
              <w:numPr>
                <w:ilvl w:val="0"/>
                <w:numId w:val="4"/>
              </w:numPr>
              <w:tabs>
                <w:tab w:pos="660" w:val="left" w:leader="none"/>
              </w:tabs>
              <w:spacing w:line="240" w:lineRule="auto" w:before="63" w:after="0"/>
              <w:ind w:left="660" w:right="0" w:hanging="267"/>
              <w:jc w:val="left"/>
              <w:rPr>
                <w:rFonts w:ascii="Cambria" w:hAnsi="Cambria"/>
                <w:sz w:val="18"/>
              </w:rPr>
            </w:pPr>
            <w:r>
              <w:rPr>
                <w:rFonts w:ascii="Cambria" w:hAnsi="Cambria"/>
                <w:color w:val="231F1F"/>
                <w:w w:val="80"/>
                <w:sz w:val="18"/>
              </w:rPr>
              <w:t>Espectro</w:t>
            </w:r>
            <w:r>
              <w:rPr>
                <w:rFonts w:ascii="Cambria" w:hAnsi="Cambria"/>
                <w:color w:val="231F1F"/>
                <w:spacing w:val="-1"/>
                <w:sz w:val="18"/>
              </w:rPr>
              <w:t> </w:t>
            </w:r>
            <w:r>
              <w:rPr>
                <w:rFonts w:ascii="Cambria" w:hAnsi="Cambria"/>
                <w:color w:val="231F1F"/>
                <w:w w:val="80"/>
                <w:sz w:val="18"/>
              </w:rPr>
              <w:t>adecuado</w:t>
            </w:r>
            <w:r>
              <w:rPr>
                <w:rFonts w:ascii="Cambria" w:hAnsi="Cambria"/>
                <w:color w:val="231F1F"/>
                <w:sz w:val="18"/>
              </w:rPr>
              <w:t> </w:t>
            </w:r>
            <w:r>
              <w:rPr>
                <w:rFonts w:ascii="Cambria" w:hAnsi="Cambria"/>
                <w:color w:val="231F1F"/>
                <w:w w:val="80"/>
                <w:sz w:val="18"/>
              </w:rPr>
              <w:t>de</w:t>
            </w:r>
            <w:r>
              <w:rPr>
                <w:rFonts w:ascii="Cambria" w:hAnsi="Cambria"/>
                <w:color w:val="231F1F"/>
                <w:spacing w:val="-1"/>
                <w:sz w:val="18"/>
              </w:rPr>
              <w:t> </w:t>
            </w:r>
            <w:r>
              <w:rPr>
                <w:rFonts w:ascii="Cambria" w:hAnsi="Cambria"/>
                <w:color w:val="231F1F"/>
                <w:spacing w:val="-2"/>
                <w:w w:val="80"/>
                <w:sz w:val="18"/>
              </w:rPr>
              <w:t>pacientes.</w:t>
            </w:r>
          </w:p>
        </w:tc>
      </w:tr>
      <w:tr>
        <w:trPr>
          <w:trHeight w:val="2121" w:hRule="atLeast"/>
        </w:trPr>
        <w:tc>
          <w:tcPr>
            <w:tcW w:w="2270" w:type="dxa"/>
          </w:tcPr>
          <w:p>
            <w:pPr>
              <w:pStyle w:val="TableParagraph"/>
              <w:spacing w:before="71"/>
              <w:ind w:left="47"/>
              <w:jc w:val="center"/>
              <w:rPr>
                <w:rFonts w:ascii="Arial MT"/>
                <w:sz w:val="18"/>
              </w:rPr>
            </w:pPr>
            <w:r>
              <w:rPr>
                <w:rFonts w:ascii="Arial MT"/>
                <w:color w:val="231F1F"/>
                <w:sz w:val="18"/>
              </w:rPr>
              <w:t>Estudios</w:t>
            </w:r>
            <w:r>
              <w:rPr>
                <w:rFonts w:ascii="Arial MT"/>
                <w:color w:val="231F1F"/>
                <w:spacing w:val="4"/>
                <w:sz w:val="18"/>
              </w:rPr>
              <w:t> </w:t>
            </w:r>
            <w:r>
              <w:rPr>
                <w:rFonts w:ascii="Arial MT"/>
                <w:color w:val="231F1F"/>
                <w:sz w:val="18"/>
              </w:rPr>
              <w:t>de</w:t>
            </w:r>
            <w:r>
              <w:rPr>
                <w:rFonts w:ascii="Arial MT"/>
                <w:color w:val="231F1F"/>
                <w:spacing w:val="5"/>
                <w:sz w:val="18"/>
              </w:rPr>
              <w:t> </w:t>
            </w:r>
            <w:r>
              <w:rPr>
                <w:rFonts w:ascii="Arial MT"/>
                <w:color w:val="231F1F"/>
                <w:sz w:val="18"/>
              </w:rPr>
              <w:t>Nivel</w:t>
            </w:r>
            <w:r>
              <w:rPr>
                <w:rFonts w:ascii="Arial MT"/>
                <w:color w:val="231F1F"/>
                <w:spacing w:val="6"/>
                <w:sz w:val="18"/>
              </w:rPr>
              <w:t> </w:t>
            </w:r>
            <w:r>
              <w:rPr>
                <w:rFonts w:ascii="Arial MT"/>
                <w:color w:val="231F1F"/>
                <w:spacing w:val="-10"/>
                <w:sz w:val="18"/>
              </w:rPr>
              <w:t>2</w:t>
            </w:r>
          </w:p>
        </w:tc>
        <w:tc>
          <w:tcPr>
            <w:tcW w:w="6235" w:type="dxa"/>
          </w:tcPr>
          <w:p>
            <w:pPr>
              <w:pStyle w:val="TableParagraph"/>
              <w:spacing w:before="56"/>
              <w:rPr>
                <w:rFonts w:ascii="Arial MT" w:hAnsi="Arial MT"/>
                <w:sz w:val="18"/>
              </w:rPr>
            </w:pPr>
            <w:r>
              <w:rPr>
                <w:rFonts w:ascii="Arial MT" w:hAnsi="Arial MT"/>
                <w:color w:val="231F1F"/>
                <w:w w:val="75"/>
                <w:sz w:val="18"/>
              </w:rPr>
              <w:t>Presentan</w:t>
            </w:r>
            <w:r>
              <w:rPr>
                <w:rFonts w:ascii="Arial MT" w:hAnsi="Arial MT"/>
                <w:color w:val="231F1F"/>
                <w:spacing w:val="-7"/>
                <w:sz w:val="18"/>
              </w:rPr>
              <w:t> </w:t>
            </w:r>
            <w:r>
              <w:rPr>
                <w:rFonts w:ascii="Arial MT" w:hAnsi="Arial MT"/>
                <w:color w:val="231F1F"/>
                <w:w w:val="75"/>
                <w:sz w:val="18"/>
              </w:rPr>
              <w:t>sólo</w:t>
            </w:r>
            <w:r>
              <w:rPr>
                <w:rFonts w:ascii="Arial MT" w:hAnsi="Arial MT"/>
                <w:color w:val="231F1F"/>
                <w:spacing w:val="-5"/>
                <w:sz w:val="18"/>
              </w:rPr>
              <w:t> </w:t>
            </w:r>
            <w:r>
              <w:rPr>
                <w:rFonts w:ascii="Arial MT" w:hAnsi="Arial MT"/>
                <w:color w:val="231F1F"/>
                <w:w w:val="75"/>
                <w:sz w:val="18"/>
              </w:rPr>
              <w:t>uno</w:t>
            </w:r>
            <w:r>
              <w:rPr>
                <w:rFonts w:ascii="Arial MT" w:hAnsi="Arial MT"/>
                <w:color w:val="231F1F"/>
                <w:spacing w:val="-5"/>
                <w:sz w:val="18"/>
              </w:rPr>
              <w:t> </w:t>
            </w:r>
            <w:r>
              <w:rPr>
                <w:rFonts w:ascii="Arial MT" w:hAnsi="Arial MT"/>
                <w:color w:val="231F1F"/>
                <w:w w:val="75"/>
                <w:sz w:val="18"/>
              </w:rPr>
              <w:t>de</w:t>
            </w:r>
            <w:r>
              <w:rPr>
                <w:rFonts w:ascii="Arial MT" w:hAnsi="Arial MT"/>
                <w:color w:val="231F1F"/>
                <w:spacing w:val="-5"/>
                <w:sz w:val="18"/>
              </w:rPr>
              <w:t> </w:t>
            </w:r>
            <w:r>
              <w:rPr>
                <w:rFonts w:ascii="Arial MT" w:hAnsi="Arial MT"/>
                <w:color w:val="231F1F"/>
                <w:w w:val="75"/>
                <w:sz w:val="18"/>
              </w:rPr>
              <w:t>estos</w:t>
            </w:r>
            <w:r>
              <w:rPr>
                <w:rFonts w:ascii="Arial MT" w:hAnsi="Arial MT"/>
                <w:color w:val="231F1F"/>
                <w:spacing w:val="-5"/>
                <w:sz w:val="18"/>
              </w:rPr>
              <w:t> </w:t>
            </w:r>
            <w:r>
              <w:rPr>
                <w:rFonts w:ascii="Arial MT" w:hAnsi="Arial MT"/>
                <w:color w:val="231F1F"/>
                <w:spacing w:val="-2"/>
                <w:w w:val="75"/>
                <w:sz w:val="18"/>
              </w:rPr>
              <w:t>sesgos:</w:t>
            </w:r>
          </w:p>
          <w:p>
            <w:pPr>
              <w:pStyle w:val="TableParagraph"/>
              <w:numPr>
                <w:ilvl w:val="0"/>
                <w:numId w:val="5"/>
              </w:numPr>
              <w:tabs>
                <w:tab w:pos="661" w:val="left" w:leader="none"/>
              </w:tabs>
              <w:spacing w:line="244" w:lineRule="auto" w:before="74" w:after="0"/>
              <w:ind w:left="661" w:right="453" w:hanging="270"/>
              <w:jc w:val="both"/>
              <w:rPr>
                <w:rFonts w:ascii="Cambria" w:hAnsi="Cambria"/>
                <w:sz w:val="18"/>
              </w:rPr>
            </w:pPr>
            <w:r>
              <w:rPr>
                <w:rFonts w:ascii="Cambria" w:hAnsi="Cambria"/>
                <w:color w:val="231F1F"/>
                <w:w w:val="75"/>
                <w:sz w:val="18"/>
              </w:rPr>
              <w:t>Población</w:t>
            </w:r>
            <w:r>
              <w:rPr>
                <w:rFonts w:ascii="Cambria" w:hAnsi="Cambria"/>
                <w:color w:val="231F1F"/>
                <w:sz w:val="18"/>
              </w:rPr>
              <w:t> </w:t>
            </w:r>
            <w:r>
              <w:rPr>
                <w:rFonts w:ascii="Cambria" w:hAnsi="Cambria"/>
                <w:color w:val="231F1F"/>
                <w:w w:val="75"/>
                <w:sz w:val="18"/>
              </w:rPr>
              <w:t>no</w:t>
            </w:r>
            <w:r>
              <w:rPr>
                <w:rFonts w:ascii="Cambria" w:hAnsi="Cambria"/>
                <w:color w:val="231F1F"/>
                <w:sz w:val="18"/>
              </w:rPr>
              <w:t> </w:t>
            </w:r>
            <w:r>
              <w:rPr>
                <w:rFonts w:ascii="Cambria" w:hAnsi="Cambria"/>
                <w:color w:val="231F1F"/>
                <w:w w:val="75"/>
                <w:sz w:val="18"/>
              </w:rPr>
              <w:t>representativa (la</w:t>
            </w:r>
            <w:r>
              <w:rPr>
                <w:rFonts w:ascii="Cambria" w:hAnsi="Cambria"/>
                <w:color w:val="231F1F"/>
                <w:sz w:val="18"/>
              </w:rPr>
              <w:t> </w:t>
            </w:r>
            <w:r>
              <w:rPr>
                <w:rFonts w:ascii="Cambria" w:hAnsi="Cambria"/>
                <w:color w:val="231F1F"/>
                <w:w w:val="75"/>
                <w:sz w:val="18"/>
              </w:rPr>
              <w:t>muestra</w:t>
            </w:r>
            <w:r>
              <w:rPr>
                <w:rFonts w:ascii="Cambria" w:hAnsi="Cambria"/>
                <w:color w:val="231F1F"/>
                <w:sz w:val="18"/>
              </w:rPr>
              <w:t> </w:t>
            </w:r>
            <w:r>
              <w:rPr>
                <w:rFonts w:ascii="Cambria" w:hAnsi="Cambria"/>
                <w:color w:val="231F1F"/>
                <w:w w:val="75"/>
                <w:sz w:val="18"/>
              </w:rPr>
              <w:t>no</w:t>
            </w:r>
            <w:r>
              <w:rPr>
                <w:rFonts w:ascii="Cambria" w:hAnsi="Cambria"/>
                <w:color w:val="231F1F"/>
                <w:sz w:val="18"/>
              </w:rPr>
              <w:t> </w:t>
            </w:r>
            <w:r>
              <w:rPr>
                <w:rFonts w:ascii="Cambria" w:hAnsi="Cambria"/>
                <w:color w:val="231F1F"/>
                <w:w w:val="75"/>
                <w:sz w:val="18"/>
              </w:rPr>
              <w:t>refleja</w:t>
            </w:r>
            <w:r>
              <w:rPr>
                <w:rFonts w:ascii="Cambria" w:hAnsi="Cambria"/>
                <w:color w:val="231F1F"/>
                <w:sz w:val="18"/>
              </w:rPr>
              <w:t> </w:t>
            </w:r>
            <w:r>
              <w:rPr>
                <w:rFonts w:ascii="Cambria" w:hAnsi="Cambria"/>
                <w:color w:val="231F1F"/>
                <w:w w:val="75"/>
                <w:sz w:val="18"/>
              </w:rPr>
              <w:t>la</w:t>
            </w:r>
            <w:r>
              <w:rPr>
                <w:rFonts w:ascii="Cambria" w:hAnsi="Cambria"/>
                <w:color w:val="231F1F"/>
                <w:sz w:val="18"/>
              </w:rPr>
              <w:t> </w:t>
            </w:r>
            <w:r>
              <w:rPr>
                <w:rFonts w:ascii="Cambria" w:hAnsi="Cambria"/>
                <w:color w:val="231F1F"/>
                <w:w w:val="75"/>
                <w:sz w:val="18"/>
              </w:rPr>
              <w:t>población</w:t>
            </w:r>
            <w:r>
              <w:rPr>
                <w:rFonts w:ascii="Cambria" w:hAnsi="Cambria"/>
                <w:color w:val="231F1F"/>
                <w:sz w:val="18"/>
              </w:rPr>
              <w:t> </w:t>
            </w:r>
            <w:r>
              <w:rPr>
                <w:rFonts w:ascii="Cambria" w:hAnsi="Cambria"/>
                <w:color w:val="231F1F"/>
                <w:w w:val="75"/>
                <w:sz w:val="18"/>
              </w:rPr>
              <w:t>donde se aplicará la</w:t>
            </w:r>
            <w:r>
              <w:rPr>
                <w:rFonts w:ascii="Cambria" w:hAnsi="Cambria"/>
                <w:color w:val="231F1F"/>
                <w:spacing w:val="40"/>
                <w:sz w:val="18"/>
              </w:rPr>
              <w:t> </w:t>
            </w:r>
            <w:r>
              <w:rPr>
                <w:rFonts w:ascii="Cambria" w:hAnsi="Cambria"/>
                <w:color w:val="231F1F"/>
                <w:spacing w:val="-2"/>
                <w:w w:val="90"/>
                <w:sz w:val="18"/>
              </w:rPr>
              <w:t>prueba).</w:t>
            </w:r>
          </w:p>
          <w:p>
            <w:pPr>
              <w:pStyle w:val="TableParagraph"/>
              <w:numPr>
                <w:ilvl w:val="0"/>
                <w:numId w:val="5"/>
              </w:numPr>
              <w:tabs>
                <w:tab w:pos="662" w:val="left" w:leader="none"/>
              </w:tabs>
              <w:spacing w:line="247" w:lineRule="auto" w:before="64" w:after="0"/>
              <w:ind w:left="662" w:right="449" w:hanging="270"/>
              <w:jc w:val="both"/>
              <w:rPr>
                <w:rFonts w:ascii="Arial MT" w:hAnsi="Arial MT"/>
                <w:sz w:val="18"/>
              </w:rPr>
            </w:pPr>
            <w:r>
              <w:rPr>
                <w:rFonts w:ascii="Cambria" w:hAnsi="Cambria"/>
                <w:color w:val="231F1F"/>
                <w:w w:val="75"/>
                <w:sz w:val="18"/>
              </w:rPr>
              <w:t>Comparación</w:t>
            </w:r>
            <w:r>
              <w:rPr>
                <w:rFonts w:ascii="Cambria" w:hAnsi="Cambria"/>
                <w:color w:val="231F1F"/>
                <w:sz w:val="18"/>
              </w:rPr>
              <w:t> </w:t>
            </w:r>
            <w:r>
              <w:rPr>
                <w:rFonts w:ascii="Cambria" w:hAnsi="Cambria"/>
                <w:color w:val="231F1F"/>
                <w:w w:val="75"/>
                <w:sz w:val="18"/>
              </w:rPr>
              <w:t>con</w:t>
            </w:r>
            <w:r>
              <w:rPr>
                <w:rFonts w:ascii="Cambria" w:hAnsi="Cambria"/>
                <w:color w:val="231F1F"/>
                <w:sz w:val="18"/>
              </w:rPr>
              <w:t> </w:t>
            </w:r>
            <w:r>
              <w:rPr>
                <w:rFonts w:ascii="Cambria" w:hAnsi="Cambria"/>
                <w:color w:val="231F1F"/>
                <w:w w:val="75"/>
                <w:sz w:val="18"/>
              </w:rPr>
              <w:t>el</w:t>
            </w:r>
            <w:r>
              <w:rPr>
                <w:rFonts w:ascii="Cambria" w:hAnsi="Cambria"/>
                <w:color w:val="231F1F"/>
                <w:sz w:val="18"/>
              </w:rPr>
              <w:t> </w:t>
            </w:r>
            <w:r>
              <w:rPr>
                <w:rFonts w:ascii="Cambria" w:hAnsi="Cambria"/>
                <w:color w:val="231F1F"/>
                <w:w w:val="75"/>
                <w:sz w:val="18"/>
              </w:rPr>
              <w:t>patrón</w:t>
            </w:r>
            <w:r>
              <w:rPr>
                <w:rFonts w:ascii="Cambria" w:hAnsi="Cambria"/>
                <w:color w:val="231F1F"/>
                <w:sz w:val="18"/>
              </w:rPr>
              <w:t> </w:t>
            </w:r>
            <w:r>
              <w:rPr>
                <w:rFonts w:ascii="Cambria" w:hAnsi="Cambria"/>
                <w:color w:val="231F1F"/>
                <w:w w:val="75"/>
                <w:sz w:val="18"/>
              </w:rPr>
              <w:t>de</w:t>
            </w:r>
            <w:r>
              <w:rPr>
                <w:rFonts w:ascii="Cambria" w:hAnsi="Cambria"/>
                <w:color w:val="231F1F"/>
                <w:sz w:val="18"/>
              </w:rPr>
              <w:t> </w:t>
            </w:r>
            <w:r>
              <w:rPr>
                <w:rFonts w:ascii="Cambria" w:hAnsi="Cambria"/>
                <w:color w:val="231F1F"/>
                <w:w w:val="75"/>
                <w:sz w:val="18"/>
              </w:rPr>
              <w:t>referencia</w:t>
            </w:r>
            <w:r>
              <w:rPr>
                <w:rFonts w:ascii="Cambria" w:hAnsi="Cambria"/>
                <w:color w:val="231F1F"/>
                <w:sz w:val="18"/>
              </w:rPr>
              <w:t> </w:t>
            </w:r>
            <w:r>
              <w:rPr>
                <w:rFonts w:ascii="Cambria" w:hAnsi="Cambria"/>
                <w:color w:val="231F1F"/>
                <w:w w:val="75"/>
                <w:sz w:val="18"/>
              </w:rPr>
              <w:t>(«patrón</w:t>
            </w:r>
            <w:r>
              <w:rPr>
                <w:rFonts w:ascii="Cambria" w:hAnsi="Cambria"/>
                <w:color w:val="231F1F"/>
                <w:sz w:val="18"/>
              </w:rPr>
              <w:t> </w:t>
            </w:r>
            <w:r>
              <w:rPr>
                <w:rFonts w:ascii="Cambria" w:hAnsi="Cambria"/>
                <w:color w:val="231F1F"/>
                <w:w w:val="75"/>
                <w:sz w:val="18"/>
              </w:rPr>
              <w:t>oro»)</w:t>
            </w:r>
            <w:r>
              <w:rPr>
                <w:rFonts w:ascii="Cambria" w:hAnsi="Cambria"/>
                <w:color w:val="231F1F"/>
                <w:sz w:val="18"/>
              </w:rPr>
              <w:t> </w:t>
            </w:r>
            <w:r>
              <w:rPr>
                <w:rFonts w:ascii="Cambria" w:hAnsi="Cambria"/>
                <w:color w:val="231F1F"/>
                <w:w w:val="75"/>
                <w:sz w:val="18"/>
              </w:rPr>
              <w:t>inadecuado</w:t>
            </w:r>
            <w:r>
              <w:rPr>
                <w:rFonts w:ascii="Cambria" w:hAnsi="Cambria"/>
                <w:color w:val="231F1F"/>
                <w:sz w:val="18"/>
              </w:rPr>
              <w:t> </w:t>
            </w:r>
            <w:r>
              <w:rPr>
                <w:rFonts w:ascii="Cambria" w:hAnsi="Cambria"/>
                <w:color w:val="231F1F"/>
                <w:w w:val="75"/>
                <w:sz w:val="18"/>
              </w:rPr>
              <w:t>(la</w:t>
            </w:r>
            <w:r>
              <w:rPr>
                <w:rFonts w:ascii="Cambria" w:hAnsi="Cambria"/>
                <w:color w:val="231F1F"/>
                <w:sz w:val="18"/>
              </w:rPr>
              <w:t> </w:t>
            </w:r>
            <w:r>
              <w:rPr>
                <w:rFonts w:ascii="Cambria" w:hAnsi="Cambria"/>
                <w:color w:val="231F1F"/>
                <w:w w:val="75"/>
                <w:sz w:val="18"/>
              </w:rPr>
              <w:t>prueba</w:t>
            </w:r>
            <w:r>
              <w:rPr>
                <w:rFonts w:ascii="Cambria" w:hAnsi="Cambria"/>
                <w:color w:val="231F1F"/>
                <w:sz w:val="18"/>
              </w:rPr>
              <w:t> </w:t>
            </w:r>
            <w:r>
              <w:rPr>
                <w:rFonts w:ascii="Cambria" w:hAnsi="Cambria"/>
                <w:color w:val="231F1F"/>
                <w:w w:val="75"/>
                <w:sz w:val="18"/>
              </w:rPr>
              <w:t>que</w:t>
            </w:r>
            <w:r>
              <w:rPr>
                <w:rFonts w:ascii="Cambria" w:hAnsi="Cambria"/>
                <w:color w:val="231F1F"/>
                <w:spacing w:val="80"/>
                <w:sz w:val="18"/>
              </w:rPr>
              <w:t> </w:t>
            </w:r>
            <w:r>
              <w:rPr>
                <w:rFonts w:ascii="Cambria" w:hAnsi="Cambria"/>
                <w:color w:val="231F1F"/>
                <w:w w:val="85"/>
                <w:sz w:val="18"/>
              </w:rPr>
              <w:t>se</w:t>
            </w:r>
            <w:r>
              <w:rPr>
                <w:rFonts w:ascii="Cambria" w:hAnsi="Cambria"/>
                <w:color w:val="231F1F"/>
                <w:spacing w:val="-3"/>
                <w:w w:val="85"/>
                <w:sz w:val="18"/>
              </w:rPr>
              <w:t> </w:t>
            </w:r>
            <w:r>
              <w:rPr>
                <w:rFonts w:ascii="Cambria" w:hAnsi="Cambria"/>
                <w:color w:val="231F1F"/>
                <w:w w:val="85"/>
                <w:sz w:val="18"/>
              </w:rPr>
              <w:t>evaluará</w:t>
            </w:r>
            <w:r>
              <w:rPr>
                <w:rFonts w:ascii="Cambria" w:hAnsi="Cambria"/>
                <w:color w:val="231F1F"/>
                <w:spacing w:val="-3"/>
                <w:w w:val="85"/>
                <w:sz w:val="18"/>
              </w:rPr>
              <w:t> </w:t>
            </w:r>
            <w:r>
              <w:rPr>
                <w:rFonts w:ascii="Cambria" w:hAnsi="Cambria"/>
                <w:color w:val="231F1F"/>
                <w:w w:val="85"/>
                <w:sz w:val="18"/>
              </w:rPr>
              <w:t>forma</w:t>
            </w:r>
            <w:r>
              <w:rPr>
                <w:rFonts w:ascii="Cambria" w:hAnsi="Cambria"/>
                <w:color w:val="231F1F"/>
                <w:spacing w:val="-3"/>
                <w:w w:val="85"/>
                <w:sz w:val="18"/>
              </w:rPr>
              <w:t> </w:t>
            </w:r>
            <w:r>
              <w:rPr>
                <w:rFonts w:ascii="Cambria" w:hAnsi="Cambria"/>
                <w:color w:val="231F1F"/>
                <w:w w:val="85"/>
                <w:sz w:val="18"/>
              </w:rPr>
              <w:t>parte</w:t>
            </w:r>
            <w:r>
              <w:rPr>
                <w:rFonts w:ascii="Cambria" w:hAnsi="Cambria"/>
                <w:color w:val="231F1F"/>
                <w:spacing w:val="-3"/>
                <w:w w:val="85"/>
                <w:sz w:val="18"/>
              </w:rPr>
              <w:t> </w:t>
            </w:r>
            <w:r>
              <w:rPr>
                <w:rFonts w:ascii="Cambria" w:hAnsi="Cambria"/>
                <w:color w:val="231F1F"/>
                <w:w w:val="85"/>
                <w:sz w:val="18"/>
              </w:rPr>
              <w:t>del</w:t>
            </w:r>
            <w:r>
              <w:rPr>
                <w:rFonts w:ascii="Cambria" w:hAnsi="Cambria"/>
                <w:color w:val="231F1F"/>
                <w:spacing w:val="-3"/>
                <w:w w:val="85"/>
                <w:sz w:val="18"/>
              </w:rPr>
              <w:t> </w:t>
            </w:r>
            <w:r>
              <w:rPr>
                <w:rFonts w:ascii="Cambria" w:hAnsi="Cambria"/>
                <w:color w:val="231F1F"/>
                <w:w w:val="85"/>
                <w:sz w:val="18"/>
              </w:rPr>
              <w:t>patrón</w:t>
            </w:r>
            <w:r>
              <w:rPr>
                <w:rFonts w:ascii="Cambria" w:hAnsi="Cambria"/>
                <w:color w:val="231F1F"/>
                <w:spacing w:val="-3"/>
                <w:w w:val="85"/>
                <w:sz w:val="18"/>
              </w:rPr>
              <w:t> </w:t>
            </w:r>
            <w:r>
              <w:rPr>
                <w:rFonts w:ascii="Cambria" w:hAnsi="Cambria"/>
                <w:color w:val="231F1F"/>
                <w:w w:val="85"/>
                <w:sz w:val="18"/>
              </w:rPr>
              <w:t>oro</w:t>
            </w:r>
            <w:r>
              <w:rPr>
                <w:rFonts w:ascii="Cambria" w:hAnsi="Cambria"/>
                <w:color w:val="231F1F"/>
                <w:spacing w:val="-3"/>
                <w:w w:val="85"/>
                <w:sz w:val="18"/>
              </w:rPr>
              <w:t> </w:t>
            </w:r>
            <w:r>
              <w:rPr>
                <w:rFonts w:ascii="Cambria" w:hAnsi="Cambria"/>
                <w:color w:val="231F1F"/>
                <w:w w:val="85"/>
                <w:sz w:val="18"/>
              </w:rPr>
              <w:t>o</w:t>
            </w:r>
            <w:r>
              <w:rPr>
                <w:rFonts w:ascii="Cambria" w:hAnsi="Cambria"/>
                <w:color w:val="231F1F"/>
                <w:spacing w:val="-3"/>
                <w:w w:val="85"/>
                <w:sz w:val="18"/>
              </w:rPr>
              <w:t> </w:t>
            </w:r>
            <w:r>
              <w:rPr>
                <w:rFonts w:ascii="Cambria" w:hAnsi="Cambria"/>
                <w:color w:val="231F1F"/>
                <w:w w:val="85"/>
                <w:sz w:val="18"/>
              </w:rPr>
              <w:t>el</w:t>
            </w:r>
            <w:r>
              <w:rPr>
                <w:rFonts w:ascii="Cambria" w:hAnsi="Cambria"/>
                <w:color w:val="231F1F"/>
                <w:spacing w:val="-3"/>
                <w:w w:val="85"/>
                <w:sz w:val="18"/>
              </w:rPr>
              <w:t> </w:t>
            </w:r>
            <w:r>
              <w:rPr>
                <w:rFonts w:ascii="Cambria" w:hAnsi="Cambria"/>
                <w:color w:val="231F1F"/>
                <w:w w:val="85"/>
                <w:sz w:val="18"/>
              </w:rPr>
              <w:t>resultado</w:t>
            </w:r>
            <w:r>
              <w:rPr>
                <w:rFonts w:ascii="Cambria" w:hAnsi="Cambria"/>
                <w:color w:val="231F1F"/>
                <w:spacing w:val="-3"/>
                <w:w w:val="85"/>
                <w:sz w:val="18"/>
              </w:rPr>
              <w:t> </w:t>
            </w:r>
            <w:r>
              <w:rPr>
                <w:rFonts w:ascii="Cambria" w:hAnsi="Cambria"/>
                <w:color w:val="231F1F"/>
                <w:w w:val="85"/>
                <w:sz w:val="18"/>
              </w:rPr>
              <w:t>de</w:t>
            </w:r>
            <w:r>
              <w:rPr>
                <w:rFonts w:ascii="Cambria" w:hAnsi="Cambria"/>
                <w:color w:val="231F1F"/>
                <w:spacing w:val="-3"/>
                <w:w w:val="85"/>
                <w:sz w:val="18"/>
              </w:rPr>
              <w:t> </w:t>
            </w:r>
            <w:r>
              <w:rPr>
                <w:rFonts w:ascii="Cambria" w:hAnsi="Cambria"/>
                <w:color w:val="231F1F"/>
                <w:w w:val="85"/>
                <w:sz w:val="18"/>
              </w:rPr>
              <w:t>la</w:t>
            </w:r>
            <w:r>
              <w:rPr>
                <w:rFonts w:ascii="Cambria" w:hAnsi="Cambria"/>
                <w:color w:val="231F1F"/>
                <w:spacing w:val="-3"/>
                <w:w w:val="85"/>
                <w:sz w:val="18"/>
              </w:rPr>
              <w:t> </w:t>
            </w:r>
            <w:r>
              <w:rPr>
                <w:rFonts w:ascii="Cambria" w:hAnsi="Cambria"/>
                <w:color w:val="231F1F"/>
                <w:w w:val="85"/>
                <w:sz w:val="18"/>
              </w:rPr>
              <w:t>prueba</w:t>
            </w:r>
            <w:r>
              <w:rPr>
                <w:rFonts w:ascii="Cambria" w:hAnsi="Cambria"/>
                <w:color w:val="231F1F"/>
                <w:spacing w:val="-3"/>
                <w:w w:val="85"/>
                <w:sz w:val="18"/>
              </w:rPr>
              <w:t> </w:t>
            </w:r>
            <w:r>
              <w:rPr>
                <w:rFonts w:ascii="Cambria" w:hAnsi="Cambria"/>
                <w:color w:val="231F1F"/>
                <w:w w:val="85"/>
                <w:sz w:val="18"/>
              </w:rPr>
              <w:t>influye</w:t>
            </w:r>
            <w:r>
              <w:rPr>
                <w:rFonts w:ascii="Cambria" w:hAnsi="Cambria"/>
                <w:color w:val="231F1F"/>
                <w:spacing w:val="-3"/>
                <w:w w:val="85"/>
                <w:sz w:val="18"/>
              </w:rPr>
              <w:t> </w:t>
            </w:r>
            <w:r>
              <w:rPr>
                <w:rFonts w:ascii="Cambria" w:hAnsi="Cambria"/>
                <w:color w:val="231F1F"/>
                <w:w w:val="85"/>
                <w:sz w:val="18"/>
              </w:rPr>
              <w:t>en</w:t>
            </w:r>
            <w:r>
              <w:rPr>
                <w:rFonts w:ascii="Cambria" w:hAnsi="Cambria"/>
                <w:color w:val="231F1F"/>
                <w:spacing w:val="-3"/>
                <w:w w:val="85"/>
                <w:sz w:val="18"/>
              </w:rPr>
              <w:t> </w:t>
            </w:r>
            <w:r>
              <w:rPr>
                <w:rFonts w:ascii="Cambria" w:hAnsi="Cambria"/>
                <w:color w:val="231F1F"/>
                <w:w w:val="85"/>
                <w:sz w:val="18"/>
              </w:rPr>
              <w:t>la</w:t>
            </w:r>
            <w:r>
              <w:rPr>
                <w:rFonts w:ascii="Cambria" w:hAnsi="Cambria"/>
                <w:color w:val="231F1F"/>
                <w:spacing w:val="40"/>
                <w:sz w:val="18"/>
              </w:rPr>
              <w:t> </w:t>
            </w:r>
            <w:r>
              <w:rPr>
                <w:rFonts w:ascii="Arial MT" w:hAnsi="Arial MT"/>
                <w:color w:val="231F1F"/>
                <w:w w:val="90"/>
                <w:sz w:val="18"/>
              </w:rPr>
              <w:t>relización del patrón oro.</w:t>
            </w:r>
          </w:p>
          <w:p>
            <w:pPr>
              <w:pStyle w:val="TableParagraph"/>
              <w:numPr>
                <w:ilvl w:val="0"/>
                <w:numId w:val="5"/>
              </w:numPr>
              <w:tabs>
                <w:tab w:pos="660" w:val="left" w:leader="none"/>
              </w:tabs>
              <w:spacing w:line="240" w:lineRule="auto" w:before="67" w:after="0"/>
              <w:ind w:left="660" w:right="0" w:hanging="267"/>
              <w:jc w:val="both"/>
              <w:rPr>
                <w:rFonts w:ascii="Cambria" w:hAnsi="Cambria"/>
                <w:sz w:val="18"/>
              </w:rPr>
            </w:pPr>
            <w:r>
              <w:rPr>
                <w:rFonts w:ascii="Cambria" w:hAnsi="Cambria"/>
                <w:color w:val="231F1F"/>
                <w:w w:val="80"/>
                <w:sz w:val="18"/>
              </w:rPr>
              <w:t>Comparación</w:t>
            </w:r>
            <w:r>
              <w:rPr>
                <w:rFonts w:ascii="Cambria" w:hAnsi="Cambria"/>
                <w:color w:val="231F1F"/>
                <w:spacing w:val="-6"/>
                <w:sz w:val="18"/>
              </w:rPr>
              <w:t> </w:t>
            </w:r>
            <w:r>
              <w:rPr>
                <w:rFonts w:ascii="Cambria" w:hAnsi="Cambria"/>
                <w:color w:val="231F1F"/>
                <w:w w:val="80"/>
                <w:sz w:val="18"/>
              </w:rPr>
              <w:t>no</w:t>
            </w:r>
            <w:r>
              <w:rPr>
                <w:rFonts w:ascii="Cambria" w:hAnsi="Cambria"/>
                <w:color w:val="231F1F"/>
                <w:spacing w:val="-4"/>
                <w:sz w:val="18"/>
              </w:rPr>
              <w:t> </w:t>
            </w:r>
            <w:r>
              <w:rPr>
                <w:rFonts w:ascii="Cambria" w:hAnsi="Cambria"/>
                <w:color w:val="231F1F"/>
                <w:spacing w:val="-2"/>
                <w:w w:val="80"/>
                <w:sz w:val="18"/>
              </w:rPr>
              <w:t>enmascarada.</w:t>
            </w:r>
          </w:p>
          <w:p>
            <w:pPr>
              <w:pStyle w:val="TableParagraph"/>
              <w:numPr>
                <w:ilvl w:val="0"/>
                <w:numId w:val="5"/>
              </w:numPr>
              <w:tabs>
                <w:tab w:pos="660" w:val="left" w:leader="none"/>
              </w:tabs>
              <w:spacing w:line="240" w:lineRule="auto" w:before="68" w:after="0"/>
              <w:ind w:left="660" w:right="0" w:hanging="267"/>
              <w:jc w:val="both"/>
              <w:rPr>
                <w:rFonts w:ascii="Cambria" w:hAnsi="Cambria"/>
                <w:sz w:val="18"/>
              </w:rPr>
            </w:pPr>
            <w:r>
              <w:rPr>
                <w:rFonts w:ascii="Cambria" w:hAnsi="Cambria"/>
                <w:color w:val="231F1F"/>
                <w:w w:val="75"/>
                <w:sz w:val="18"/>
              </w:rPr>
              <w:t>Estudios</w:t>
            </w:r>
            <w:r>
              <w:rPr>
                <w:rFonts w:ascii="Cambria" w:hAnsi="Cambria"/>
                <w:color w:val="231F1F"/>
                <w:spacing w:val="51"/>
                <w:sz w:val="18"/>
              </w:rPr>
              <w:t> </w:t>
            </w:r>
            <w:r>
              <w:rPr>
                <w:rFonts w:ascii="Cambria" w:hAnsi="Cambria"/>
                <w:color w:val="231F1F"/>
                <w:w w:val="75"/>
                <w:sz w:val="18"/>
              </w:rPr>
              <w:t>casos-</w:t>
            </w:r>
            <w:r>
              <w:rPr>
                <w:rFonts w:ascii="Cambria" w:hAnsi="Cambria"/>
                <w:color w:val="231F1F"/>
                <w:spacing w:val="-2"/>
                <w:w w:val="75"/>
                <w:sz w:val="18"/>
              </w:rPr>
              <w:t>control.</w:t>
            </w:r>
          </w:p>
        </w:tc>
      </w:tr>
      <w:tr>
        <w:trPr>
          <w:trHeight w:val="369" w:hRule="atLeast"/>
        </w:trPr>
        <w:tc>
          <w:tcPr>
            <w:tcW w:w="2270" w:type="dxa"/>
          </w:tcPr>
          <w:p>
            <w:pPr>
              <w:pStyle w:val="TableParagraph"/>
              <w:spacing w:before="71"/>
              <w:ind w:left="47"/>
              <w:jc w:val="center"/>
              <w:rPr>
                <w:rFonts w:ascii="Arial MT"/>
                <w:sz w:val="18"/>
              </w:rPr>
            </w:pPr>
            <w:r>
              <w:rPr>
                <w:rFonts w:ascii="Arial MT"/>
                <w:color w:val="231F1F"/>
                <w:sz w:val="18"/>
              </w:rPr>
              <w:t>Estudios</w:t>
            </w:r>
            <w:r>
              <w:rPr>
                <w:rFonts w:ascii="Arial MT"/>
                <w:color w:val="231F1F"/>
                <w:spacing w:val="4"/>
                <w:sz w:val="18"/>
              </w:rPr>
              <w:t> </w:t>
            </w:r>
            <w:r>
              <w:rPr>
                <w:rFonts w:ascii="Arial MT"/>
                <w:color w:val="231F1F"/>
                <w:sz w:val="18"/>
              </w:rPr>
              <w:t>de</w:t>
            </w:r>
            <w:r>
              <w:rPr>
                <w:rFonts w:ascii="Arial MT"/>
                <w:color w:val="231F1F"/>
                <w:spacing w:val="5"/>
                <w:sz w:val="18"/>
              </w:rPr>
              <w:t> </w:t>
            </w:r>
            <w:r>
              <w:rPr>
                <w:rFonts w:ascii="Arial MT"/>
                <w:color w:val="231F1F"/>
                <w:sz w:val="18"/>
              </w:rPr>
              <w:t>Nivel</w:t>
            </w:r>
            <w:r>
              <w:rPr>
                <w:rFonts w:ascii="Arial MT"/>
                <w:color w:val="231F1F"/>
                <w:spacing w:val="6"/>
                <w:sz w:val="18"/>
              </w:rPr>
              <w:t> </w:t>
            </w:r>
            <w:r>
              <w:rPr>
                <w:rFonts w:ascii="Arial MT"/>
                <w:color w:val="231F1F"/>
                <w:spacing w:val="-10"/>
                <w:sz w:val="18"/>
              </w:rPr>
              <w:t>3</w:t>
            </w:r>
          </w:p>
        </w:tc>
        <w:tc>
          <w:tcPr>
            <w:tcW w:w="6235" w:type="dxa"/>
          </w:tcPr>
          <w:p>
            <w:pPr>
              <w:pStyle w:val="TableParagraph"/>
              <w:spacing w:before="56"/>
              <w:rPr>
                <w:rFonts w:ascii="Arial MT" w:hAnsi="Arial MT"/>
                <w:sz w:val="18"/>
              </w:rPr>
            </w:pPr>
            <w:r>
              <w:rPr>
                <w:rFonts w:ascii="Arial MT" w:hAnsi="Arial MT"/>
                <w:color w:val="231F1F"/>
                <w:w w:val="75"/>
                <w:sz w:val="18"/>
              </w:rPr>
              <w:t>Presentan</w:t>
            </w:r>
            <w:r>
              <w:rPr>
                <w:rFonts w:ascii="Arial MT" w:hAnsi="Arial MT"/>
                <w:color w:val="231F1F"/>
                <w:spacing w:val="-2"/>
                <w:sz w:val="18"/>
              </w:rPr>
              <w:t> </w:t>
            </w:r>
            <w:r>
              <w:rPr>
                <w:rFonts w:ascii="Arial MT" w:hAnsi="Arial MT"/>
                <w:color w:val="231F1F"/>
                <w:w w:val="75"/>
                <w:sz w:val="18"/>
              </w:rPr>
              <w:t>dos</w:t>
            </w:r>
            <w:r>
              <w:rPr>
                <w:rFonts w:ascii="Arial MT" w:hAnsi="Arial MT"/>
                <w:color w:val="231F1F"/>
                <w:spacing w:val="-2"/>
                <w:sz w:val="18"/>
              </w:rPr>
              <w:t> </w:t>
            </w:r>
            <w:r>
              <w:rPr>
                <w:rFonts w:ascii="Arial MT" w:hAnsi="Arial MT"/>
                <w:color w:val="231F1F"/>
                <w:w w:val="75"/>
                <w:sz w:val="18"/>
              </w:rPr>
              <w:t>o</w:t>
            </w:r>
            <w:r>
              <w:rPr>
                <w:rFonts w:ascii="Arial MT" w:hAnsi="Arial MT"/>
                <w:color w:val="231F1F"/>
                <w:spacing w:val="-2"/>
                <w:sz w:val="18"/>
              </w:rPr>
              <w:t> </w:t>
            </w:r>
            <w:r>
              <w:rPr>
                <w:rFonts w:ascii="Arial MT" w:hAnsi="Arial MT"/>
                <w:color w:val="231F1F"/>
                <w:w w:val="75"/>
                <w:sz w:val="18"/>
              </w:rPr>
              <w:t>más</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los</w:t>
            </w:r>
            <w:r>
              <w:rPr>
                <w:rFonts w:ascii="Arial MT" w:hAnsi="Arial MT"/>
                <w:color w:val="231F1F"/>
                <w:spacing w:val="-2"/>
                <w:sz w:val="18"/>
              </w:rPr>
              <w:t> </w:t>
            </w:r>
            <w:r>
              <w:rPr>
                <w:rFonts w:ascii="Arial MT" w:hAnsi="Arial MT"/>
                <w:color w:val="231F1F"/>
                <w:w w:val="75"/>
                <w:sz w:val="18"/>
              </w:rPr>
              <w:t>criterios</w:t>
            </w:r>
            <w:r>
              <w:rPr>
                <w:rFonts w:ascii="Arial MT" w:hAnsi="Arial MT"/>
                <w:color w:val="231F1F"/>
                <w:sz w:val="18"/>
              </w:rPr>
              <w:t> </w:t>
            </w:r>
            <w:r>
              <w:rPr>
                <w:rFonts w:ascii="Arial MT" w:hAnsi="Arial MT"/>
                <w:color w:val="231F1F"/>
                <w:w w:val="75"/>
                <w:sz w:val="18"/>
              </w:rPr>
              <w:t>descritos</w:t>
            </w:r>
            <w:r>
              <w:rPr>
                <w:rFonts w:ascii="Arial MT" w:hAnsi="Arial MT"/>
                <w:color w:val="231F1F"/>
                <w:spacing w:val="-2"/>
                <w:sz w:val="18"/>
              </w:rPr>
              <w:t> </w:t>
            </w:r>
            <w:r>
              <w:rPr>
                <w:rFonts w:ascii="Arial MT" w:hAnsi="Arial MT"/>
                <w:color w:val="231F1F"/>
                <w:w w:val="75"/>
                <w:sz w:val="18"/>
              </w:rPr>
              <w:t>en</w:t>
            </w:r>
            <w:r>
              <w:rPr>
                <w:rFonts w:ascii="Arial MT" w:hAnsi="Arial MT"/>
                <w:color w:val="231F1F"/>
                <w:spacing w:val="-2"/>
                <w:sz w:val="18"/>
              </w:rPr>
              <w:t> </w:t>
            </w:r>
            <w:r>
              <w:rPr>
                <w:rFonts w:ascii="Arial MT" w:hAnsi="Arial MT"/>
                <w:color w:val="231F1F"/>
                <w:w w:val="75"/>
                <w:sz w:val="18"/>
              </w:rPr>
              <w:t>los</w:t>
            </w:r>
            <w:r>
              <w:rPr>
                <w:rFonts w:ascii="Arial MT" w:hAnsi="Arial MT"/>
                <w:color w:val="231F1F"/>
                <w:spacing w:val="-2"/>
                <w:sz w:val="18"/>
              </w:rPr>
              <w:t> </w:t>
            </w:r>
            <w:r>
              <w:rPr>
                <w:rFonts w:ascii="Arial MT" w:hAnsi="Arial MT"/>
                <w:color w:val="231F1F"/>
                <w:w w:val="75"/>
                <w:sz w:val="18"/>
              </w:rPr>
              <w:t>estudios</w:t>
            </w:r>
            <w:r>
              <w:rPr>
                <w:rFonts w:ascii="Arial MT" w:hAnsi="Arial MT"/>
                <w:color w:val="231F1F"/>
                <w:spacing w:val="-2"/>
                <w:sz w:val="18"/>
              </w:rPr>
              <w:t> </w:t>
            </w:r>
            <w:r>
              <w:rPr>
                <w:rFonts w:ascii="Arial MT" w:hAnsi="Arial MT"/>
                <w:color w:val="231F1F"/>
                <w:w w:val="75"/>
                <w:sz w:val="18"/>
              </w:rPr>
              <w:t>de</w:t>
            </w:r>
            <w:r>
              <w:rPr>
                <w:rFonts w:ascii="Arial MT" w:hAnsi="Arial MT"/>
                <w:color w:val="231F1F"/>
                <w:spacing w:val="-2"/>
                <w:sz w:val="18"/>
              </w:rPr>
              <w:t> </w:t>
            </w:r>
            <w:r>
              <w:rPr>
                <w:rFonts w:ascii="Arial MT" w:hAnsi="Arial MT"/>
                <w:color w:val="231F1F"/>
                <w:w w:val="75"/>
                <w:sz w:val="18"/>
              </w:rPr>
              <w:t>nivel</w:t>
            </w:r>
            <w:r>
              <w:rPr>
                <w:rFonts w:ascii="Arial MT" w:hAnsi="Arial MT"/>
                <w:color w:val="231F1F"/>
                <w:spacing w:val="-2"/>
                <w:sz w:val="18"/>
              </w:rPr>
              <w:t> </w:t>
            </w:r>
            <w:r>
              <w:rPr>
                <w:rFonts w:ascii="Arial MT" w:hAnsi="Arial MT"/>
                <w:color w:val="231F1F"/>
                <w:spacing w:val="-7"/>
                <w:w w:val="75"/>
                <w:sz w:val="18"/>
              </w:rPr>
              <w:t>2.</w:t>
            </w:r>
          </w:p>
        </w:tc>
      </w:tr>
    </w:tbl>
    <w:p>
      <w:pPr>
        <w:pStyle w:val="BodyText"/>
        <w:rPr>
          <w:sz w:val="20"/>
        </w:rPr>
      </w:pPr>
    </w:p>
    <w:p>
      <w:pPr>
        <w:pStyle w:val="BodyText"/>
        <w:spacing w:before="186"/>
        <w:rPr>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2270"/>
        <w:gridCol w:w="6235"/>
      </w:tblGrid>
      <w:tr>
        <w:trPr>
          <w:trHeight w:val="369" w:hRule="atLeast"/>
        </w:trPr>
        <w:tc>
          <w:tcPr>
            <w:tcW w:w="2270" w:type="dxa"/>
          </w:tcPr>
          <w:p>
            <w:pPr>
              <w:pStyle w:val="TableParagraph"/>
              <w:spacing w:before="71"/>
              <w:ind w:left="47" w:right="21"/>
              <w:jc w:val="center"/>
              <w:rPr>
                <w:rFonts w:ascii="Arial MT" w:hAnsi="Arial MT"/>
                <w:sz w:val="18"/>
              </w:rPr>
            </w:pPr>
            <w:r>
              <w:rPr>
                <w:rFonts w:ascii="Arial MT" w:hAnsi="Arial MT"/>
                <w:color w:val="231F1F"/>
                <w:spacing w:val="-2"/>
                <w:sz w:val="18"/>
              </w:rPr>
              <w:t>Recomendación</w:t>
            </w:r>
          </w:p>
        </w:tc>
        <w:tc>
          <w:tcPr>
            <w:tcW w:w="6235" w:type="dxa"/>
          </w:tcPr>
          <w:p>
            <w:pPr>
              <w:pStyle w:val="TableParagraph"/>
              <w:spacing w:before="71"/>
              <w:ind w:left="30"/>
              <w:jc w:val="center"/>
              <w:rPr>
                <w:rFonts w:ascii="Arial MT"/>
                <w:sz w:val="18"/>
              </w:rPr>
            </w:pPr>
            <w:r>
              <w:rPr>
                <w:rFonts w:ascii="Arial MT"/>
                <w:color w:val="231F1F"/>
                <w:spacing w:val="-2"/>
                <w:sz w:val="18"/>
              </w:rPr>
              <w:t>Evidencia</w:t>
            </w:r>
          </w:p>
        </w:tc>
      </w:tr>
      <w:tr>
        <w:trPr>
          <w:trHeight w:val="369" w:hRule="atLeast"/>
        </w:trPr>
        <w:tc>
          <w:tcPr>
            <w:tcW w:w="2270" w:type="dxa"/>
          </w:tcPr>
          <w:p>
            <w:pPr>
              <w:pStyle w:val="TableParagraph"/>
              <w:spacing w:before="71"/>
              <w:ind w:left="47"/>
              <w:jc w:val="center"/>
              <w:rPr>
                <w:rFonts w:ascii="Arial MT"/>
                <w:sz w:val="18"/>
              </w:rPr>
            </w:pPr>
            <w:r>
              <w:rPr>
                <w:rFonts w:ascii="Arial MT"/>
                <w:color w:val="231F1F"/>
                <w:spacing w:val="-10"/>
                <w:sz w:val="18"/>
              </w:rPr>
              <w:t>A</w:t>
            </w:r>
          </w:p>
        </w:tc>
        <w:tc>
          <w:tcPr>
            <w:tcW w:w="6235" w:type="dxa"/>
          </w:tcPr>
          <w:p>
            <w:pPr>
              <w:pStyle w:val="TableParagraph"/>
              <w:spacing w:before="59"/>
              <w:ind w:left="30"/>
              <w:jc w:val="center"/>
              <w:rPr>
                <w:rFonts w:ascii="Cambria"/>
                <w:sz w:val="18"/>
              </w:rPr>
            </w:pPr>
            <w:r>
              <w:rPr>
                <w:rFonts w:ascii="Cambria"/>
                <w:color w:val="231F1F"/>
                <w:spacing w:val="-2"/>
                <w:w w:val="90"/>
                <w:sz w:val="18"/>
              </w:rPr>
              <w:t>la</w:t>
            </w:r>
            <w:r>
              <w:rPr>
                <w:rFonts w:ascii="Cambria"/>
                <w:color w:val="231F1F"/>
                <w:spacing w:val="-6"/>
                <w:w w:val="90"/>
                <w:sz w:val="18"/>
              </w:rPr>
              <w:t> </w:t>
            </w:r>
            <w:r>
              <w:rPr>
                <w:rFonts w:ascii="Cambria"/>
                <w:color w:val="231F1F"/>
                <w:spacing w:val="-2"/>
                <w:w w:val="90"/>
                <w:sz w:val="18"/>
              </w:rPr>
              <w:t>o</w:t>
            </w:r>
            <w:r>
              <w:rPr>
                <w:rFonts w:ascii="Cambria"/>
                <w:color w:val="231F1F"/>
                <w:spacing w:val="-6"/>
                <w:w w:val="90"/>
                <w:sz w:val="18"/>
              </w:rPr>
              <w:t> </w:t>
            </w:r>
            <w:r>
              <w:rPr>
                <w:rFonts w:ascii="Cambria"/>
                <w:color w:val="231F1F"/>
                <w:spacing w:val="-7"/>
                <w:w w:val="90"/>
                <w:sz w:val="18"/>
              </w:rPr>
              <w:t>lb</w:t>
            </w:r>
          </w:p>
        </w:tc>
      </w:tr>
      <w:tr>
        <w:trPr>
          <w:trHeight w:val="364" w:hRule="atLeast"/>
        </w:trPr>
        <w:tc>
          <w:tcPr>
            <w:tcW w:w="2270" w:type="dxa"/>
          </w:tcPr>
          <w:p>
            <w:pPr>
              <w:pStyle w:val="TableParagraph"/>
              <w:spacing w:before="71"/>
              <w:ind w:left="47" w:right="6"/>
              <w:jc w:val="center"/>
              <w:rPr>
                <w:rFonts w:ascii="Arial MT"/>
                <w:sz w:val="18"/>
              </w:rPr>
            </w:pPr>
            <w:r>
              <w:rPr>
                <w:rFonts w:ascii="Arial MT"/>
                <w:color w:val="231F1F"/>
                <w:spacing w:val="-10"/>
                <w:sz w:val="18"/>
              </w:rPr>
              <w:t>B</w:t>
            </w:r>
          </w:p>
        </w:tc>
        <w:tc>
          <w:tcPr>
            <w:tcW w:w="6235" w:type="dxa"/>
          </w:tcPr>
          <w:p>
            <w:pPr>
              <w:pStyle w:val="TableParagraph"/>
              <w:spacing w:before="56"/>
              <w:ind w:left="30" w:right="2"/>
              <w:jc w:val="center"/>
              <w:rPr>
                <w:rFonts w:ascii="Arial MT"/>
                <w:sz w:val="18"/>
              </w:rPr>
            </w:pPr>
            <w:r>
              <w:rPr>
                <w:rFonts w:ascii="Arial MT"/>
                <w:color w:val="231F1F"/>
                <w:spacing w:val="-5"/>
                <w:w w:val="95"/>
                <w:sz w:val="18"/>
              </w:rPr>
              <w:t>II</w:t>
            </w:r>
          </w:p>
        </w:tc>
      </w:tr>
      <w:tr>
        <w:trPr>
          <w:trHeight w:val="369" w:hRule="atLeast"/>
        </w:trPr>
        <w:tc>
          <w:tcPr>
            <w:tcW w:w="2270" w:type="dxa"/>
          </w:tcPr>
          <w:p>
            <w:pPr>
              <w:pStyle w:val="TableParagraph"/>
              <w:spacing w:before="71"/>
              <w:ind w:left="47"/>
              <w:jc w:val="center"/>
              <w:rPr>
                <w:rFonts w:ascii="Arial MT"/>
                <w:sz w:val="18"/>
              </w:rPr>
            </w:pPr>
            <w:r>
              <w:rPr>
                <w:rFonts w:ascii="Arial MT"/>
                <w:color w:val="231F1F"/>
                <w:spacing w:val="-10"/>
                <w:sz w:val="18"/>
              </w:rPr>
              <w:t>C</w:t>
            </w:r>
          </w:p>
        </w:tc>
        <w:tc>
          <w:tcPr>
            <w:tcW w:w="6235" w:type="dxa"/>
          </w:tcPr>
          <w:p>
            <w:pPr>
              <w:pStyle w:val="TableParagraph"/>
              <w:spacing w:before="61"/>
              <w:ind w:left="30" w:right="2"/>
              <w:jc w:val="center"/>
              <w:rPr>
                <w:rFonts w:ascii="Arial MT"/>
                <w:sz w:val="18"/>
              </w:rPr>
            </w:pPr>
            <w:r>
              <w:rPr>
                <w:rFonts w:ascii="Arial MT"/>
                <w:color w:val="231F1F"/>
                <w:spacing w:val="-5"/>
                <w:w w:val="95"/>
                <w:sz w:val="18"/>
              </w:rPr>
              <w:t>III</w:t>
            </w:r>
          </w:p>
        </w:tc>
      </w:tr>
      <w:tr>
        <w:trPr>
          <w:trHeight w:val="369" w:hRule="atLeast"/>
        </w:trPr>
        <w:tc>
          <w:tcPr>
            <w:tcW w:w="2270" w:type="dxa"/>
          </w:tcPr>
          <w:p>
            <w:pPr>
              <w:pStyle w:val="TableParagraph"/>
              <w:spacing w:before="71"/>
              <w:ind w:left="47"/>
              <w:jc w:val="center"/>
              <w:rPr>
                <w:rFonts w:ascii="Arial MT"/>
                <w:sz w:val="18"/>
              </w:rPr>
            </w:pPr>
            <w:r>
              <w:rPr>
                <w:rFonts w:ascii="Arial MT"/>
                <w:color w:val="231F1F"/>
                <w:spacing w:val="-10"/>
                <w:sz w:val="18"/>
              </w:rPr>
              <w:t>D</w:t>
            </w:r>
          </w:p>
        </w:tc>
        <w:tc>
          <w:tcPr>
            <w:tcW w:w="6235" w:type="dxa"/>
          </w:tcPr>
          <w:p>
            <w:pPr>
              <w:pStyle w:val="TableParagraph"/>
              <w:spacing w:before="56"/>
              <w:ind w:left="30" w:right="1"/>
              <w:jc w:val="center"/>
              <w:rPr>
                <w:rFonts w:ascii="Arial MT"/>
                <w:sz w:val="18"/>
              </w:rPr>
            </w:pPr>
            <w:r>
              <w:rPr>
                <w:rFonts w:ascii="Arial MT"/>
                <w:color w:val="231F1F"/>
                <w:spacing w:val="-5"/>
                <w:sz w:val="18"/>
              </w:rPr>
              <w:t>IV</w:t>
            </w:r>
          </w:p>
        </w:tc>
      </w:tr>
    </w:tbl>
    <w:p>
      <w:pPr>
        <w:pStyle w:val="TableParagraph"/>
        <w:spacing w:after="0"/>
        <w:jc w:val="center"/>
        <w:rPr>
          <w:rFonts w:ascii="Arial MT"/>
          <w:sz w:val="18"/>
        </w:rPr>
        <w:sectPr>
          <w:pgSz w:w="11900" w:h="16840"/>
          <w:pgMar w:header="0" w:footer="622" w:top="1500" w:bottom="820" w:left="1417" w:right="1559"/>
        </w:sectPr>
      </w:pPr>
    </w:p>
    <w:p>
      <w:pPr>
        <w:pStyle w:val="Heading1"/>
        <w:spacing w:before="64"/>
      </w:pPr>
      <w:r>
        <w:rPr>
          <w:color w:val="231F1F"/>
          <w:w w:val="110"/>
        </w:rPr>
        <w:t>Resumen</w:t>
      </w:r>
      <w:r>
        <w:rPr>
          <w:color w:val="231F1F"/>
          <w:spacing w:val="-29"/>
          <w:w w:val="110"/>
        </w:rPr>
        <w:t> </w:t>
      </w:r>
      <w:r>
        <w:rPr>
          <w:color w:val="231F1F"/>
          <w:w w:val="110"/>
        </w:rPr>
        <w:t>de</w:t>
      </w:r>
      <w:r>
        <w:rPr>
          <w:color w:val="231F1F"/>
          <w:spacing w:val="-26"/>
          <w:w w:val="110"/>
        </w:rPr>
        <w:t> </w:t>
      </w:r>
      <w:r>
        <w:rPr>
          <w:color w:val="231F1F"/>
          <w:w w:val="110"/>
        </w:rPr>
        <w:t>las</w:t>
      </w:r>
      <w:r>
        <w:rPr>
          <w:color w:val="231F1F"/>
          <w:spacing w:val="-26"/>
          <w:w w:val="110"/>
        </w:rPr>
        <w:t> </w:t>
      </w:r>
      <w:r>
        <w:rPr>
          <w:color w:val="231F1F"/>
          <w:spacing w:val="-2"/>
          <w:w w:val="110"/>
        </w:rPr>
        <w:t>recomendaciones</w:t>
      </w:r>
    </w:p>
    <w:p>
      <w:pPr>
        <w:spacing w:line="415" w:lineRule="auto" w:before="289" w:after="39"/>
        <w:ind w:left="283" w:right="4541" w:firstLine="0"/>
        <w:jc w:val="left"/>
        <w:rPr>
          <w:rFonts w:ascii="Arial MT"/>
          <w:sz w:val="24"/>
        </w:rPr>
      </w:pPr>
      <w:r>
        <w:rPr>
          <w:position w:val="-3"/>
        </w:rPr>
        <w:drawing>
          <wp:inline distT="0" distB="0" distL="0" distR="0">
            <wp:extent cx="179058" cy="179069"/>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1" cstate="print"/>
                    <a:stretch>
                      <a:fillRect/>
                    </a:stretch>
                  </pic:blipFill>
                  <pic:spPr>
                    <a:xfrm>
                      <a:off x="0" y="0"/>
                      <a:ext cx="179058" cy="179069"/>
                    </a:xfrm>
                    <a:prstGeom prst="rect">
                      <a:avLst/>
                    </a:prstGeom>
                  </pic:spPr>
                </pic:pic>
              </a:graphicData>
            </a:graphic>
          </wp:inline>
        </w:drawing>
      </w:r>
      <w:r>
        <w:rPr>
          <w:position w:val="-3"/>
        </w:rPr>
      </w:r>
      <w:r>
        <w:rPr>
          <w:spacing w:val="5"/>
          <w:sz w:val="20"/>
        </w:rPr>
        <w:t> </w:t>
      </w:r>
      <w:r>
        <w:rPr>
          <w:rFonts w:ascii="Arial MT"/>
          <w:color w:val="231F1F"/>
          <w:sz w:val="24"/>
        </w:rPr>
        <w:t>Recomendaciones</w:t>
      </w:r>
      <w:r>
        <w:rPr>
          <w:rFonts w:ascii="Arial MT"/>
          <w:color w:val="231F1F"/>
          <w:spacing w:val="-17"/>
          <w:sz w:val="24"/>
        </w:rPr>
        <w:t> </w:t>
      </w:r>
      <w:r>
        <w:rPr>
          <w:rFonts w:ascii="Arial MT"/>
          <w:color w:val="231F1F"/>
          <w:sz w:val="24"/>
        </w:rPr>
        <w:t>claves </w:t>
      </w:r>
      <w:r>
        <w:rPr>
          <w:rFonts w:ascii="Arial MT"/>
          <w:color w:val="231F1F"/>
          <w:w w:val="105"/>
          <w:sz w:val="24"/>
        </w:rPr>
        <w:t>Cuidados durante el parto</w:t>
      </w: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73" w:hRule="atLeast"/>
        </w:trPr>
        <w:tc>
          <w:tcPr>
            <w:tcW w:w="8505" w:type="dxa"/>
            <w:gridSpan w:val="2"/>
          </w:tcPr>
          <w:p>
            <w:pPr>
              <w:pStyle w:val="TableParagraph"/>
              <w:spacing w:before="25"/>
              <w:rPr>
                <w:sz w:val="22"/>
              </w:rPr>
            </w:pPr>
            <w:r>
              <w:rPr>
                <w:color w:val="231F1F"/>
                <w:w w:val="105"/>
                <w:sz w:val="22"/>
              </w:rPr>
              <w:t>4.1.</w:t>
            </w:r>
            <w:r>
              <w:rPr>
                <w:color w:val="231F1F"/>
                <w:spacing w:val="-5"/>
                <w:w w:val="105"/>
                <w:sz w:val="22"/>
              </w:rPr>
              <w:t> </w:t>
            </w:r>
            <w:r>
              <w:rPr>
                <w:color w:val="231F1F"/>
                <w:w w:val="105"/>
                <w:sz w:val="22"/>
              </w:rPr>
              <w:t>Cuidados</w:t>
            </w:r>
            <w:r>
              <w:rPr>
                <w:color w:val="231F1F"/>
                <w:spacing w:val="-5"/>
                <w:w w:val="105"/>
                <w:sz w:val="22"/>
              </w:rPr>
              <w:t> </w:t>
            </w:r>
            <w:r>
              <w:rPr>
                <w:color w:val="231F1F"/>
                <w:w w:val="105"/>
                <w:sz w:val="22"/>
              </w:rPr>
              <w:t>de</w:t>
            </w:r>
            <w:r>
              <w:rPr>
                <w:color w:val="231F1F"/>
                <w:spacing w:val="-5"/>
                <w:w w:val="105"/>
                <w:sz w:val="22"/>
              </w:rPr>
              <w:t> </w:t>
            </w:r>
            <w:r>
              <w:rPr>
                <w:color w:val="231F1F"/>
                <w:w w:val="105"/>
                <w:sz w:val="22"/>
              </w:rPr>
              <w:t>profesionales</w:t>
            </w:r>
            <w:r>
              <w:rPr>
                <w:color w:val="231F1F"/>
                <w:spacing w:val="-5"/>
                <w:w w:val="105"/>
                <w:sz w:val="22"/>
              </w:rPr>
              <w:t> </w:t>
            </w:r>
            <w:r>
              <w:rPr>
                <w:color w:val="231F1F"/>
                <w:w w:val="105"/>
                <w:sz w:val="22"/>
              </w:rPr>
              <w:t>y</w:t>
            </w:r>
            <w:r>
              <w:rPr>
                <w:color w:val="231F1F"/>
                <w:spacing w:val="-3"/>
                <w:w w:val="105"/>
                <w:sz w:val="22"/>
              </w:rPr>
              <w:t> </w:t>
            </w:r>
            <w:r>
              <w:rPr>
                <w:color w:val="231F1F"/>
                <w:spacing w:val="-2"/>
                <w:w w:val="105"/>
                <w:sz w:val="22"/>
              </w:rPr>
              <w:t>acompañantes</w:t>
            </w:r>
          </w:p>
        </w:tc>
      </w:tr>
      <w:tr>
        <w:trPr>
          <w:trHeight w:val="374" w:hRule="atLeast"/>
        </w:trPr>
        <w:tc>
          <w:tcPr>
            <w:tcW w:w="8505" w:type="dxa"/>
            <w:gridSpan w:val="2"/>
          </w:tcPr>
          <w:p>
            <w:pPr>
              <w:pStyle w:val="TableParagraph"/>
              <w:spacing w:before="25"/>
              <w:rPr>
                <w:i/>
                <w:sz w:val="22"/>
              </w:rPr>
            </w:pPr>
            <w:r>
              <w:rPr>
                <w:i/>
                <w:color w:val="231F1F"/>
                <w:spacing w:val="-2"/>
                <w:w w:val="105"/>
                <w:sz w:val="22"/>
              </w:rPr>
              <w:t>4.1.1.</w:t>
            </w:r>
            <w:r>
              <w:rPr>
                <w:i/>
                <w:color w:val="231F1F"/>
                <w:spacing w:val="-7"/>
                <w:w w:val="105"/>
                <w:sz w:val="22"/>
              </w:rPr>
              <w:t> </w:t>
            </w:r>
            <w:r>
              <w:rPr>
                <w:i/>
                <w:color w:val="231F1F"/>
                <w:spacing w:val="-2"/>
                <w:w w:val="105"/>
                <w:sz w:val="22"/>
              </w:rPr>
              <w:t>Mujer</w:t>
            </w:r>
            <w:r>
              <w:rPr>
                <w:i/>
                <w:color w:val="231F1F"/>
                <w:spacing w:val="-7"/>
                <w:w w:val="105"/>
                <w:sz w:val="22"/>
              </w:rPr>
              <w:t> </w:t>
            </w:r>
            <w:r>
              <w:rPr>
                <w:i/>
                <w:color w:val="231F1F"/>
                <w:spacing w:val="-2"/>
                <w:w w:val="105"/>
                <w:sz w:val="22"/>
              </w:rPr>
              <w:t>y</w:t>
            </w:r>
            <w:r>
              <w:rPr>
                <w:i/>
                <w:color w:val="231F1F"/>
                <w:spacing w:val="-7"/>
                <w:w w:val="105"/>
                <w:sz w:val="22"/>
              </w:rPr>
              <w:t> </w:t>
            </w:r>
            <w:r>
              <w:rPr>
                <w:i/>
                <w:color w:val="231F1F"/>
                <w:spacing w:val="-2"/>
                <w:w w:val="105"/>
                <w:sz w:val="22"/>
              </w:rPr>
              <w:t>profesionales</w:t>
            </w:r>
          </w:p>
        </w:tc>
      </w:tr>
      <w:tr>
        <w:trPr>
          <w:trHeight w:val="2054" w:hRule="atLeast"/>
        </w:trPr>
        <w:tc>
          <w:tcPr>
            <w:tcW w:w="571" w:type="dxa"/>
          </w:tcPr>
          <w:p>
            <w:pPr>
              <w:pStyle w:val="TableParagraph"/>
              <w:ind w:left="0"/>
              <w:rPr>
                <w:rFonts w:ascii="Arial MT"/>
                <w:sz w:val="22"/>
              </w:rPr>
            </w:pPr>
          </w:p>
          <w:p>
            <w:pPr>
              <w:pStyle w:val="TableParagraph"/>
              <w:ind w:left="0"/>
              <w:rPr>
                <w:rFonts w:ascii="Arial MT"/>
                <w:sz w:val="22"/>
              </w:rPr>
            </w:pPr>
          </w:p>
          <w:p>
            <w:pPr>
              <w:pStyle w:val="TableParagraph"/>
              <w:spacing w:before="105"/>
              <w:ind w:left="0"/>
              <w:rPr>
                <w:rFonts w:ascii="Arial MT"/>
                <w:sz w:val="22"/>
              </w:rPr>
            </w:pPr>
          </w:p>
          <w:p>
            <w:pPr>
              <w:pStyle w:val="TableParagraph"/>
              <w:spacing w:before="1"/>
              <w:ind w:left="46" w:right="8"/>
              <w:jc w:val="center"/>
              <w:rPr>
                <w:sz w:val="22"/>
              </w:rPr>
            </w:pPr>
            <w:r>
              <w:rPr>
                <w:color w:val="231F1F"/>
                <w:spacing w:val="-10"/>
                <w:w w:val="115"/>
                <w:sz w:val="22"/>
              </w:rPr>
              <w:t>D</w:t>
            </w:r>
          </w:p>
        </w:tc>
        <w:tc>
          <w:tcPr>
            <w:tcW w:w="7934" w:type="dxa"/>
          </w:tcPr>
          <w:p>
            <w:pPr>
              <w:pStyle w:val="TableParagraph"/>
              <w:spacing w:line="247" w:lineRule="auto" w:before="29"/>
              <w:ind w:left="116" w:right="83"/>
              <w:jc w:val="both"/>
              <w:rPr>
                <w:sz w:val="22"/>
              </w:rPr>
            </w:pPr>
            <w:r>
              <w:rPr>
                <w:color w:val="231F1F"/>
                <w:w w:val="110"/>
                <w:sz w:val="22"/>
              </w:rPr>
              <w:t>Las</w:t>
            </w:r>
            <w:r>
              <w:rPr>
                <w:color w:val="231F1F"/>
                <w:spacing w:val="-12"/>
                <w:w w:val="110"/>
                <w:sz w:val="22"/>
              </w:rPr>
              <w:t> </w:t>
            </w:r>
            <w:r>
              <w:rPr>
                <w:color w:val="231F1F"/>
                <w:w w:val="110"/>
                <w:sz w:val="22"/>
              </w:rPr>
              <w:t>mujeres</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trabajo</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parto</w:t>
            </w:r>
            <w:r>
              <w:rPr>
                <w:color w:val="231F1F"/>
                <w:spacing w:val="-11"/>
                <w:w w:val="110"/>
                <w:sz w:val="22"/>
              </w:rPr>
              <w:t> </w:t>
            </w:r>
            <w:r>
              <w:rPr>
                <w:color w:val="231F1F"/>
                <w:w w:val="110"/>
                <w:sz w:val="22"/>
              </w:rPr>
              <w:t>deben</w:t>
            </w:r>
            <w:r>
              <w:rPr>
                <w:color w:val="231F1F"/>
                <w:spacing w:val="-11"/>
                <w:w w:val="110"/>
                <w:sz w:val="22"/>
              </w:rPr>
              <w:t> </w:t>
            </w:r>
            <w:r>
              <w:rPr>
                <w:color w:val="231F1F"/>
                <w:w w:val="110"/>
                <w:sz w:val="22"/>
              </w:rPr>
              <w:t>ser</w:t>
            </w:r>
            <w:r>
              <w:rPr>
                <w:color w:val="231F1F"/>
                <w:spacing w:val="-12"/>
                <w:w w:val="110"/>
                <w:sz w:val="22"/>
              </w:rPr>
              <w:t> </w:t>
            </w:r>
            <w:r>
              <w:rPr>
                <w:color w:val="231F1F"/>
                <w:w w:val="110"/>
                <w:sz w:val="22"/>
              </w:rPr>
              <w:t>tratadas</w:t>
            </w:r>
            <w:r>
              <w:rPr>
                <w:color w:val="231F1F"/>
                <w:spacing w:val="-11"/>
                <w:w w:val="110"/>
                <w:sz w:val="22"/>
              </w:rPr>
              <w:t> </w:t>
            </w:r>
            <w:r>
              <w:rPr>
                <w:color w:val="231F1F"/>
                <w:w w:val="110"/>
                <w:sz w:val="22"/>
              </w:rPr>
              <w:t>con</w:t>
            </w:r>
            <w:r>
              <w:rPr>
                <w:color w:val="231F1F"/>
                <w:spacing w:val="-11"/>
                <w:w w:val="110"/>
                <w:sz w:val="22"/>
              </w:rPr>
              <w:t> </w:t>
            </w:r>
            <w:r>
              <w:rPr>
                <w:color w:val="231F1F"/>
                <w:w w:val="110"/>
                <w:sz w:val="22"/>
              </w:rPr>
              <w:t>el</w:t>
            </w:r>
            <w:r>
              <w:rPr>
                <w:color w:val="231F1F"/>
                <w:spacing w:val="-12"/>
                <w:w w:val="110"/>
                <w:sz w:val="22"/>
              </w:rPr>
              <w:t> </w:t>
            </w:r>
            <w:r>
              <w:rPr>
                <w:color w:val="231F1F"/>
                <w:w w:val="110"/>
                <w:sz w:val="22"/>
              </w:rPr>
              <w:t>máximo</w:t>
            </w:r>
            <w:r>
              <w:rPr>
                <w:color w:val="231F1F"/>
                <w:spacing w:val="-11"/>
                <w:w w:val="110"/>
                <w:sz w:val="22"/>
              </w:rPr>
              <w:t> </w:t>
            </w:r>
            <w:r>
              <w:rPr>
                <w:color w:val="231F1F"/>
                <w:w w:val="110"/>
                <w:sz w:val="22"/>
              </w:rPr>
              <w:t>respeto,</w:t>
            </w:r>
            <w:r>
              <w:rPr>
                <w:color w:val="231F1F"/>
                <w:spacing w:val="-12"/>
                <w:w w:val="110"/>
                <w:sz w:val="22"/>
              </w:rPr>
              <w:t> </w:t>
            </w:r>
            <w:r>
              <w:rPr>
                <w:color w:val="231F1F"/>
                <w:w w:val="110"/>
                <w:sz w:val="22"/>
              </w:rPr>
              <w:t>dispo- ner</w:t>
            </w:r>
            <w:r>
              <w:rPr>
                <w:color w:val="231F1F"/>
                <w:spacing w:val="-13"/>
                <w:w w:val="110"/>
                <w:sz w:val="22"/>
              </w:rPr>
              <w:t> </w:t>
            </w:r>
            <w:r>
              <w:rPr>
                <w:color w:val="231F1F"/>
                <w:w w:val="110"/>
                <w:sz w:val="22"/>
              </w:rPr>
              <w:t>de</w:t>
            </w:r>
            <w:r>
              <w:rPr>
                <w:color w:val="231F1F"/>
                <w:spacing w:val="-12"/>
                <w:w w:val="110"/>
                <w:sz w:val="22"/>
              </w:rPr>
              <w:t> </w:t>
            </w:r>
            <w:r>
              <w:rPr>
                <w:color w:val="231F1F"/>
                <w:w w:val="110"/>
                <w:sz w:val="22"/>
              </w:rPr>
              <w:t>toda</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información</w:t>
            </w:r>
            <w:r>
              <w:rPr>
                <w:color w:val="231F1F"/>
                <w:spacing w:val="-12"/>
                <w:w w:val="110"/>
                <w:sz w:val="22"/>
              </w:rPr>
              <w:t> </w:t>
            </w:r>
            <w:r>
              <w:rPr>
                <w:color w:val="231F1F"/>
                <w:w w:val="110"/>
                <w:sz w:val="22"/>
              </w:rPr>
              <w:t>y</w:t>
            </w:r>
            <w:r>
              <w:rPr>
                <w:color w:val="231F1F"/>
                <w:spacing w:val="-12"/>
                <w:w w:val="110"/>
                <w:sz w:val="22"/>
              </w:rPr>
              <w:t> </w:t>
            </w:r>
            <w:r>
              <w:rPr>
                <w:color w:val="231F1F"/>
                <w:w w:val="110"/>
                <w:sz w:val="22"/>
              </w:rPr>
              <w:t>estar</w:t>
            </w:r>
            <w:r>
              <w:rPr>
                <w:color w:val="231F1F"/>
                <w:spacing w:val="-12"/>
                <w:w w:val="110"/>
                <w:sz w:val="22"/>
              </w:rPr>
              <w:t> </w:t>
            </w:r>
            <w:r>
              <w:rPr>
                <w:color w:val="231F1F"/>
                <w:w w:val="110"/>
                <w:sz w:val="22"/>
              </w:rPr>
              <w:t>implicadas</w:t>
            </w:r>
            <w:r>
              <w:rPr>
                <w:color w:val="231F1F"/>
                <w:spacing w:val="-12"/>
                <w:w w:val="110"/>
                <w:sz w:val="22"/>
              </w:rPr>
              <w:t> </w:t>
            </w:r>
            <w:r>
              <w:rPr>
                <w:color w:val="231F1F"/>
                <w:w w:val="110"/>
                <w:sz w:val="22"/>
              </w:rPr>
              <w:t>en</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toma</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decisiones.</w:t>
            </w:r>
            <w:r>
              <w:rPr>
                <w:color w:val="231F1F"/>
                <w:spacing w:val="-13"/>
                <w:w w:val="110"/>
                <w:sz w:val="22"/>
              </w:rPr>
              <w:t> </w:t>
            </w:r>
            <w:r>
              <w:rPr>
                <w:color w:val="231F1F"/>
                <w:w w:val="110"/>
                <w:sz w:val="22"/>
              </w:rPr>
              <w:t>Para</w:t>
            </w:r>
            <w:r>
              <w:rPr>
                <w:color w:val="231F1F"/>
                <w:spacing w:val="-12"/>
                <w:w w:val="110"/>
                <w:sz w:val="22"/>
              </w:rPr>
              <w:t> </w:t>
            </w:r>
            <w:r>
              <w:rPr>
                <w:color w:val="231F1F"/>
                <w:w w:val="110"/>
                <w:sz w:val="22"/>
              </w:rPr>
              <w:t>faci- litar</w:t>
            </w:r>
            <w:r>
              <w:rPr>
                <w:color w:val="231F1F"/>
                <w:spacing w:val="-3"/>
                <w:w w:val="110"/>
                <w:sz w:val="22"/>
              </w:rPr>
              <w:t> </w:t>
            </w:r>
            <w:r>
              <w:rPr>
                <w:color w:val="231F1F"/>
                <w:w w:val="110"/>
                <w:sz w:val="22"/>
              </w:rPr>
              <w:t>esto,</w:t>
            </w:r>
            <w:r>
              <w:rPr>
                <w:color w:val="231F1F"/>
                <w:spacing w:val="-3"/>
                <w:w w:val="110"/>
                <w:sz w:val="22"/>
              </w:rPr>
              <w:t> </w:t>
            </w:r>
            <w:r>
              <w:rPr>
                <w:color w:val="231F1F"/>
                <w:w w:val="110"/>
                <w:sz w:val="22"/>
              </w:rPr>
              <w:t>los</w:t>
            </w:r>
            <w:r>
              <w:rPr>
                <w:color w:val="231F1F"/>
                <w:spacing w:val="-3"/>
                <w:w w:val="110"/>
                <w:sz w:val="22"/>
              </w:rPr>
              <w:t> </w:t>
            </w:r>
            <w:r>
              <w:rPr>
                <w:color w:val="231F1F"/>
                <w:w w:val="110"/>
                <w:sz w:val="22"/>
              </w:rPr>
              <w:t>profesionales</w:t>
            </w:r>
            <w:r>
              <w:rPr>
                <w:color w:val="231F1F"/>
                <w:spacing w:val="-4"/>
                <w:w w:val="110"/>
                <w:sz w:val="22"/>
              </w:rPr>
              <w:t> </w:t>
            </w:r>
            <w:r>
              <w:rPr>
                <w:color w:val="231F1F"/>
                <w:w w:val="110"/>
                <w:sz w:val="22"/>
              </w:rPr>
              <w:t>sanitarios</w:t>
            </w:r>
            <w:r>
              <w:rPr>
                <w:color w:val="231F1F"/>
                <w:spacing w:val="-4"/>
                <w:w w:val="110"/>
                <w:sz w:val="22"/>
              </w:rPr>
              <w:t> </w:t>
            </w:r>
            <w:r>
              <w:rPr>
                <w:color w:val="231F1F"/>
                <w:w w:val="110"/>
                <w:sz w:val="22"/>
              </w:rPr>
              <w:t>y</w:t>
            </w:r>
            <w:r>
              <w:rPr>
                <w:color w:val="231F1F"/>
                <w:spacing w:val="-3"/>
                <w:w w:val="110"/>
                <w:sz w:val="22"/>
              </w:rPr>
              <w:t> </w:t>
            </w:r>
            <w:r>
              <w:rPr>
                <w:color w:val="231F1F"/>
                <w:w w:val="110"/>
                <w:sz w:val="22"/>
              </w:rPr>
              <w:t>el</w:t>
            </w:r>
            <w:r>
              <w:rPr>
                <w:color w:val="231F1F"/>
                <w:spacing w:val="-4"/>
                <w:w w:val="110"/>
                <w:sz w:val="22"/>
              </w:rPr>
              <w:t> </w:t>
            </w:r>
            <w:r>
              <w:rPr>
                <w:color w:val="231F1F"/>
                <w:w w:val="110"/>
                <w:sz w:val="22"/>
              </w:rPr>
              <w:t>resto</w:t>
            </w:r>
            <w:r>
              <w:rPr>
                <w:color w:val="231F1F"/>
                <w:spacing w:val="-3"/>
                <w:w w:val="110"/>
                <w:sz w:val="22"/>
              </w:rPr>
              <w:t> </w:t>
            </w:r>
            <w:r>
              <w:rPr>
                <w:color w:val="231F1F"/>
                <w:w w:val="110"/>
                <w:sz w:val="22"/>
              </w:rPr>
              <w:t>del</w:t>
            </w:r>
            <w:r>
              <w:rPr>
                <w:color w:val="231F1F"/>
                <w:spacing w:val="-4"/>
                <w:w w:val="110"/>
                <w:sz w:val="22"/>
              </w:rPr>
              <w:t> </w:t>
            </w:r>
            <w:r>
              <w:rPr>
                <w:color w:val="231F1F"/>
                <w:w w:val="110"/>
                <w:sz w:val="22"/>
              </w:rPr>
              <w:t>personal</w:t>
            </w:r>
            <w:r>
              <w:rPr>
                <w:color w:val="231F1F"/>
                <w:spacing w:val="-4"/>
                <w:w w:val="110"/>
                <w:sz w:val="22"/>
              </w:rPr>
              <w:t> </w:t>
            </w:r>
            <w:r>
              <w:rPr>
                <w:color w:val="231F1F"/>
                <w:w w:val="110"/>
                <w:sz w:val="22"/>
              </w:rPr>
              <w:t>que</w:t>
            </w:r>
            <w:r>
              <w:rPr>
                <w:color w:val="231F1F"/>
                <w:spacing w:val="-3"/>
                <w:w w:val="110"/>
                <w:sz w:val="22"/>
              </w:rPr>
              <w:t> </w:t>
            </w:r>
            <w:r>
              <w:rPr>
                <w:color w:val="231F1F"/>
                <w:w w:val="110"/>
                <w:sz w:val="22"/>
              </w:rPr>
              <w:t>le</w:t>
            </w:r>
            <w:r>
              <w:rPr>
                <w:color w:val="231F1F"/>
                <w:spacing w:val="-3"/>
                <w:w w:val="110"/>
                <w:sz w:val="22"/>
              </w:rPr>
              <w:t> </w:t>
            </w:r>
            <w:r>
              <w:rPr>
                <w:color w:val="231F1F"/>
                <w:w w:val="110"/>
                <w:sz w:val="22"/>
              </w:rPr>
              <w:t>atienden,</w:t>
            </w:r>
            <w:r>
              <w:rPr>
                <w:color w:val="231F1F"/>
                <w:spacing w:val="-4"/>
                <w:w w:val="110"/>
                <w:sz w:val="22"/>
              </w:rPr>
              <w:t> </w:t>
            </w:r>
            <w:r>
              <w:rPr>
                <w:color w:val="231F1F"/>
                <w:w w:val="110"/>
                <w:sz w:val="22"/>
              </w:rPr>
              <w:t>de- berán</w:t>
            </w:r>
            <w:r>
              <w:rPr>
                <w:color w:val="231F1F"/>
                <w:w w:val="110"/>
                <w:sz w:val="22"/>
              </w:rPr>
              <w:t> establecer</w:t>
            </w:r>
            <w:r>
              <w:rPr>
                <w:color w:val="231F1F"/>
                <w:w w:val="110"/>
                <w:sz w:val="22"/>
              </w:rPr>
              <w:t> una</w:t>
            </w:r>
            <w:r>
              <w:rPr>
                <w:color w:val="231F1F"/>
                <w:w w:val="110"/>
                <w:sz w:val="22"/>
              </w:rPr>
              <w:t> relación</w:t>
            </w:r>
            <w:r>
              <w:rPr>
                <w:color w:val="231F1F"/>
                <w:w w:val="110"/>
                <w:sz w:val="22"/>
              </w:rPr>
              <w:t> empática</w:t>
            </w:r>
            <w:r>
              <w:rPr>
                <w:color w:val="231F1F"/>
                <w:w w:val="110"/>
                <w:sz w:val="22"/>
              </w:rPr>
              <w:t> con</w:t>
            </w:r>
            <w:r>
              <w:rPr>
                <w:color w:val="231F1F"/>
                <w:w w:val="110"/>
                <w:sz w:val="22"/>
              </w:rPr>
              <w:t> las</w:t>
            </w:r>
            <w:r>
              <w:rPr>
                <w:color w:val="231F1F"/>
                <w:w w:val="110"/>
                <w:sz w:val="22"/>
              </w:rPr>
              <w:t> mujeres,</w:t>
            </w:r>
            <w:r>
              <w:rPr>
                <w:color w:val="231F1F"/>
                <w:w w:val="110"/>
                <w:sz w:val="22"/>
              </w:rPr>
              <w:t> preguntarles</w:t>
            </w:r>
            <w:r>
              <w:rPr>
                <w:color w:val="231F1F"/>
                <w:w w:val="110"/>
                <w:sz w:val="22"/>
              </w:rPr>
              <w:t> por</w:t>
            </w:r>
            <w:r>
              <w:rPr>
                <w:color w:val="231F1F"/>
                <w:w w:val="110"/>
                <w:sz w:val="22"/>
              </w:rPr>
              <w:t> sus expectativas</w:t>
            </w:r>
            <w:r>
              <w:rPr>
                <w:color w:val="231F1F"/>
                <w:spacing w:val="-10"/>
                <w:w w:val="110"/>
                <w:sz w:val="22"/>
              </w:rPr>
              <w:t> </w:t>
            </w:r>
            <w:r>
              <w:rPr>
                <w:color w:val="231F1F"/>
                <w:w w:val="110"/>
                <w:sz w:val="22"/>
              </w:rPr>
              <w:t>y</w:t>
            </w:r>
            <w:r>
              <w:rPr>
                <w:color w:val="231F1F"/>
                <w:spacing w:val="-9"/>
                <w:w w:val="110"/>
                <w:sz w:val="22"/>
              </w:rPr>
              <w:t> </w:t>
            </w:r>
            <w:r>
              <w:rPr>
                <w:color w:val="231F1F"/>
                <w:w w:val="110"/>
                <w:sz w:val="22"/>
              </w:rPr>
              <w:t>por</w:t>
            </w:r>
            <w:r>
              <w:rPr>
                <w:color w:val="231F1F"/>
                <w:spacing w:val="-10"/>
                <w:w w:val="110"/>
                <w:sz w:val="22"/>
              </w:rPr>
              <w:t> </w:t>
            </w:r>
            <w:r>
              <w:rPr>
                <w:color w:val="231F1F"/>
                <w:w w:val="110"/>
                <w:sz w:val="22"/>
              </w:rPr>
              <w:t>sus</w:t>
            </w:r>
            <w:r>
              <w:rPr>
                <w:color w:val="231F1F"/>
                <w:spacing w:val="-10"/>
                <w:w w:val="110"/>
                <w:sz w:val="22"/>
              </w:rPr>
              <w:t> </w:t>
            </w:r>
            <w:r>
              <w:rPr>
                <w:color w:val="231F1F"/>
                <w:w w:val="110"/>
                <w:sz w:val="22"/>
              </w:rPr>
              <w:t>necesidades,</w:t>
            </w:r>
            <w:r>
              <w:rPr>
                <w:color w:val="231F1F"/>
                <w:spacing w:val="-10"/>
                <w:w w:val="110"/>
                <w:sz w:val="22"/>
              </w:rPr>
              <w:t> </w:t>
            </w:r>
            <w:r>
              <w:rPr>
                <w:color w:val="231F1F"/>
                <w:w w:val="110"/>
                <w:sz w:val="22"/>
              </w:rPr>
              <w:t>para</w:t>
            </w:r>
            <w:r>
              <w:rPr>
                <w:color w:val="231F1F"/>
                <w:spacing w:val="-9"/>
                <w:w w:val="110"/>
                <w:sz w:val="22"/>
              </w:rPr>
              <w:t> </w:t>
            </w:r>
            <w:r>
              <w:rPr>
                <w:color w:val="231F1F"/>
                <w:w w:val="110"/>
                <w:sz w:val="22"/>
              </w:rPr>
              <w:t>poder</w:t>
            </w:r>
            <w:r>
              <w:rPr>
                <w:color w:val="231F1F"/>
                <w:spacing w:val="-10"/>
                <w:w w:val="110"/>
                <w:sz w:val="22"/>
              </w:rPr>
              <w:t> </w:t>
            </w:r>
            <w:r>
              <w:rPr>
                <w:color w:val="231F1F"/>
                <w:w w:val="110"/>
                <w:sz w:val="22"/>
              </w:rPr>
              <w:t>apoyarlas</w:t>
            </w:r>
            <w:r>
              <w:rPr>
                <w:color w:val="231F1F"/>
                <w:spacing w:val="-9"/>
                <w:w w:val="110"/>
                <w:sz w:val="22"/>
              </w:rPr>
              <w:t> </w:t>
            </w:r>
            <w:r>
              <w:rPr>
                <w:color w:val="231F1F"/>
                <w:w w:val="110"/>
                <w:sz w:val="22"/>
              </w:rPr>
              <w:t>y</w:t>
            </w:r>
            <w:r>
              <w:rPr>
                <w:color w:val="231F1F"/>
                <w:spacing w:val="-9"/>
                <w:w w:val="110"/>
                <w:sz w:val="22"/>
              </w:rPr>
              <w:t> </w:t>
            </w:r>
            <w:r>
              <w:rPr>
                <w:color w:val="231F1F"/>
                <w:w w:val="110"/>
                <w:sz w:val="22"/>
              </w:rPr>
              <w:t>orientarlas,</w:t>
            </w:r>
            <w:r>
              <w:rPr>
                <w:color w:val="231F1F"/>
                <w:spacing w:val="-10"/>
                <w:w w:val="110"/>
                <w:sz w:val="22"/>
              </w:rPr>
              <w:t> </w:t>
            </w:r>
            <w:r>
              <w:rPr>
                <w:color w:val="231F1F"/>
                <w:w w:val="110"/>
                <w:sz w:val="22"/>
              </w:rPr>
              <w:t>siendo</w:t>
            </w:r>
            <w:r>
              <w:rPr>
                <w:color w:val="231F1F"/>
                <w:spacing w:val="-10"/>
                <w:w w:val="110"/>
                <w:sz w:val="22"/>
              </w:rPr>
              <w:t> </w:t>
            </w:r>
            <w:r>
              <w:rPr>
                <w:color w:val="231F1F"/>
                <w:w w:val="110"/>
                <w:sz w:val="22"/>
              </w:rPr>
              <w:t>en todo momento conscientes de la importancia de su actitud, del tono de voz em- </w:t>
            </w:r>
            <w:r>
              <w:rPr>
                <w:color w:val="231F1F"/>
                <w:sz w:val="22"/>
              </w:rPr>
              <w:t>pleado, de las palabras utilizadas y de la forma en que se proporcionan los cuidados.</w:t>
            </w:r>
          </w:p>
        </w:tc>
      </w:tr>
      <w:tr>
        <w:trPr>
          <w:trHeight w:val="373" w:hRule="atLeast"/>
        </w:trPr>
        <w:tc>
          <w:tcPr>
            <w:tcW w:w="8505" w:type="dxa"/>
            <w:gridSpan w:val="2"/>
          </w:tcPr>
          <w:p>
            <w:pPr>
              <w:pStyle w:val="TableParagraph"/>
              <w:spacing w:before="25"/>
              <w:rPr>
                <w:i/>
                <w:sz w:val="22"/>
              </w:rPr>
            </w:pPr>
            <w:r>
              <w:rPr>
                <w:i/>
                <w:color w:val="231F1F"/>
                <w:spacing w:val="-4"/>
                <w:w w:val="105"/>
                <w:sz w:val="22"/>
              </w:rPr>
              <w:t>4.1.2.</w:t>
            </w:r>
            <w:r>
              <w:rPr>
                <w:i/>
                <w:color w:val="231F1F"/>
                <w:spacing w:val="-5"/>
                <w:w w:val="105"/>
                <w:sz w:val="22"/>
              </w:rPr>
              <w:t> </w:t>
            </w:r>
            <w:r>
              <w:rPr>
                <w:i/>
                <w:color w:val="231F1F"/>
                <w:spacing w:val="-4"/>
                <w:w w:val="105"/>
                <w:sz w:val="22"/>
              </w:rPr>
              <w:t>Perfil</w:t>
            </w:r>
            <w:r>
              <w:rPr>
                <w:i/>
                <w:color w:val="231F1F"/>
                <w:spacing w:val="-3"/>
                <w:w w:val="105"/>
                <w:sz w:val="22"/>
              </w:rPr>
              <w:t> </w:t>
            </w:r>
            <w:r>
              <w:rPr>
                <w:i/>
                <w:color w:val="231F1F"/>
                <w:spacing w:val="-4"/>
                <w:w w:val="105"/>
                <w:sz w:val="22"/>
              </w:rPr>
              <w:t>de</w:t>
            </w:r>
            <w:r>
              <w:rPr>
                <w:i/>
                <w:color w:val="231F1F"/>
                <w:spacing w:val="-3"/>
                <w:w w:val="105"/>
                <w:sz w:val="22"/>
              </w:rPr>
              <w:t> </w:t>
            </w:r>
            <w:r>
              <w:rPr>
                <w:i/>
                <w:color w:val="231F1F"/>
                <w:spacing w:val="-4"/>
                <w:w w:val="105"/>
                <w:sz w:val="22"/>
              </w:rPr>
              <w:t>profesionales</w:t>
            </w:r>
          </w:p>
        </w:tc>
      </w:tr>
      <w:tr>
        <w:trPr>
          <w:trHeight w:val="935" w:hRule="atLeast"/>
        </w:trPr>
        <w:tc>
          <w:tcPr>
            <w:tcW w:w="571" w:type="dxa"/>
            <w:shd w:val="clear" w:color="auto" w:fill="F2DFDF"/>
          </w:tcPr>
          <w:p>
            <w:pPr>
              <w:pStyle w:val="TableParagraph"/>
              <w:spacing w:before="55"/>
              <w:ind w:left="0"/>
              <w:rPr>
                <w:rFonts w:ascii="Arial MT"/>
                <w:sz w:val="22"/>
              </w:rPr>
            </w:pPr>
          </w:p>
          <w:p>
            <w:pPr>
              <w:pStyle w:val="TableParagraph"/>
              <w:ind w:left="46" w:right="9"/>
              <w:jc w:val="center"/>
              <w:rPr>
                <w:sz w:val="22"/>
              </w:rPr>
            </w:pPr>
            <w:r>
              <w:rPr>
                <w:color w:val="231F1F"/>
                <w:spacing w:val="-10"/>
                <w:w w:val="115"/>
                <w:sz w:val="22"/>
              </w:rPr>
              <w:t>A</w:t>
            </w:r>
          </w:p>
        </w:tc>
        <w:tc>
          <w:tcPr>
            <w:tcW w:w="7934" w:type="dxa"/>
            <w:shd w:val="clear" w:color="auto" w:fill="F2DFDF"/>
          </w:tcPr>
          <w:p>
            <w:pPr>
              <w:pStyle w:val="TableParagraph"/>
              <w:spacing w:line="247" w:lineRule="auto" w:before="29"/>
              <w:ind w:left="116" w:right="81"/>
              <w:jc w:val="both"/>
              <w:rPr>
                <w:sz w:val="22"/>
              </w:rPr>
            </w:pPr>
            <w:r>
              <w:rPr>
                <w:color w:val="231F1F"/>
                <w:w w:val="105"/>
                <w:sz w:val="22"/>
              </w:rPr>
              <w:t>Se</w:t>
            </w:r>
            <w:r>
              <w:rPr>
                <w:color w:val="231F1F"/>
                <w:w w:val="105"/>
                <w:sz w:val="22"/>
              </w:rPr>
              <w:t> recomienda</w:t>
            </w:r>
            <w:r>
              <w:rPr>
                <w:color w:val="231F1F"/>
                <w:w w:val="105"/>
                <w:sz w:val="22"/>
              </w:rPr>
              <w:t> que</w:t>
            </w:r>
            <w:r>
              <w:rPr>
                <w:color w:val="231F1F"/>
                <w:w w:val="105"/>
                <w:sz w:val="22"/>
              </w:rPr>
              <w:t> los</w:t>
            </w:r>
            <w:r>
              <w:rPr>
                <w:color w:val="231F1F"/>
                <w:w w:val="105"/>
                <w:sz w:val="22"/>
              </w:rPr>
              <w:t> equipos</w:t>
            </w:r>
            <w:r>
              <w:rPr>
                <w:color w:val="231F1F"/>
                <w:w w:val="105"/>
                <w:sz w:val="22"/>
              </w:rPr>
              <w:t> de</w:t>
            </w:r>
            <w:r>
              <w:rPr>
                <w:color w:val="231F1F"/>
                <w:w w:val="105"/>
                <w:sz w:val="22"/>
              </w:rPr>
              <w:t> atención</w:t>
            </w:r>
            <w:r>
              <w:rPr>
                <w:color w:val="231F1F"/>
                <w:w w:val="105"/>
                <w:sz w:val="22"/>
              </w:rPr>
              <w:t> al</w:t>
            </w:r>
            <w:r>
              <w:rPr>
                <w:color w:val="231F1F"/>
                <w:w w:val="105"/>
                <w:sz w:val="22"/>
              </w:rPr>
              <w:t> parto</w:t>
            </w:r>
            <w:r>
              <w:rPr>
                <w:color w:val="231F1F"/>
                <w:w w:val="105"/>
                <w:sz w:val="22"/>
              </w:rPr>
              <w:t> hospitalario</w:t>
            </w:r>
            <w:r>
              <w:rPr>
                <w:color w:val="231F1F"/>
                <w:w w:val="105"/>
                <w:sz w:val="22"/>
              </w:rPr>
              <w:t> promuevan</w:t>
            </w:r>
            <w:r>
              <w:rPr>
                <w:color w:val="231F1F"/>
                <w:w w:val="105"/>
                <w:sz w:val="22"/>
              </w:rPr>
              <w:t> la atención al parto de bajo riesgo preferiblemente por parte de las matronas, siempre y</w:t>
            </w:r>
            <w:r>
              <w:rPr>
                <w:color w:val="231F1F"/>
                <w:spacing w:val="40"/>
                <w:w w:val="105"/>
                <w:sz w:val="22"/>
              </w:rPr>
              <w:t> </w:t>
            </w:r>
            <w:r>
              <w:rPr>
                <w:color w:val="231F1F"/>
                <w:w w:val="105"/>
                <w:sz w:val="22"/>
              </w:rPr>
              <w:t>cuando</w:t>
            </w:r>
            <w:r>
              <w:rPr>
                <w:color w:val="231F1F"/>
                <w:spacing w:val="40"/>
                <w:w w:val="105"/>
                <w:sz w:val="22"/>
              </w:rPr>
              <w:t> </w:t>
            </w:r>
            <w:r>
              <w:rPr>
                <w:color w:val="231F1F"/>
                <w:w w:val="105"/>
                <w:sz w:val="22"/>
              </w:rPr>
              <w:t>éste</w:t>
            </w:r>
            <w:r>
              <w:rPr>
                <w:color w:val="231F1F"/>
                <w:spacing w:val="40"/>
                <w:w w:val="105"/>
                <w:sz w:val="22"/>
              </w:rPr>
              <w:t> </w:t>
            </w:r>
            <w:r>
              <w:rPr>
                <w:color w:val="231F1F"/>
                <w:w w:val="105"/>
                <w:sz w:val="22"/>
              </w:rPr>
              <w:t>se</w:t>
            </w:r>
            <w:r>
              <w:rPr>
                <w:color w:val="231F1F"/>
                <w:spacing w:val="40"/>
                <w:w w:val="105"/>
                <w:sz w:val="22"/>
              </w:rPr>
              <w:t> </w:t>
            </w:r>
            <w:r>
              <w:rPr>
                <w:color w:val="231F1F"/>
                <w:w w:val="105"/>
                <w:sz w:val="22"/>
              </w:rPr>
              <w:t>mantenga</w:t>
            </w:r>
            <w:r>
              <w:rPr>
                <w:color w:val="231F1F"/>
                <w:spacing w:val="40"/>
                <w:w w:val="105"/>
                <w:sz w:val="22"/>
              </w:rPr>
              <w:t> </w:t>
            </w:r>
            <w:r>
              <w:rPr>
                <w:color w:val="231F1F"/>
                <w:w w:val="105"/>
                <w:sz w:val="22"/>
              </w:rPr>
              <w:t>dentro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límites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normalidad.</w:t>
            </w:r>
          </w:p>
        </w:tc>
      </w:tr>
      <w:tr>
        <w:trPr>
          <w:trHeight w:val="373" w:hRule="atLeast"/>
        </w:trPr>
        <w:tc>
          <w:tcPr>
            <w:tcW w:w="8505" w:type="dxa"/>
            <w:gridSpan w:val="2"/>
          </w:tcPr>
          <w:p>
            <w:pPr>
              <w:pStyle w:val="TableParagraph"/>
              <w:spacing w:before="39"/>
              <w:rPr>
                <w:i/>
                <w:sz w:val="22"/>
              </w:rPr>
            </w:pPr>
            <w:r>
              <w:rPr>
                <w:i/>
                <w:color w:val="231F1F"/>
                <w:sz w:val="22"/>
              </w:rPr>
              <w:t>4.1.3.</w:t>
            </w:r>
            <w:r>
              <w:rPr>
                <w:i/>
                <w:color w:val="231F1F"/>
                <w:spacing w:val="-12"/>
                <w:sz w:val="22"/>
              </w:rPr>
              <w:t> </w:t>
            </w:r>
            <w:r>
              <w:rPr>
                <w:i/>
                <w:color w:val="231F1F"/>
                <w:spacing w:val="-2"/>
                <w:sz w:val="22"/>
              </w:rPr>
              <w:t>Acompañamiento</w:t>
            </w:r>
          </w:p>
        </w:tc>
      </w:tr>
      <w:tr>
        <w:trPr>
          <w:trHeight w:val="647" w:hRule="atLeast"/>
        </w:trPr>
        <w:tc>
          <w:tcPr>
            <w:tcW w:w="571" w:type="dxa"/>
          </w:tcPr>
          <w:p>
            <w:pPr>
              <w:pStyle w:val="TableParagraph"/>
              <w:spacing w:before="159"/>
              <w:ind w:left="46" w:right="9"/>
              <w:jc w:val="center"/>
              <w:rPr>
                <w:sz w:val="22"/>
              </w:rPr>
            </w:pPr>
            <w:r>
              <w:rPr>
                <w:color w:val="231F1F"/>
                <w:spacing w:val="-10"/>
                <w:w w:val="115"/>
                <w:sz w:val="22"/>
              </w:rPr>
              <w:t>A</w:t>
            </w:r>
          </w:p>
        </w:tc>
        <w:tc>
          <w:tcPr>
            <w:tcW w:w="7934" w:type="dxa"/>
          </w:tcPr>
          <w:p>
            <w:pPr>
              <w:pStyle w:val="TableParagraph"/>
              <w:spacing w:before="29"/>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facilitar</w:t>
            </w:r>
            <w:r>
              <w:rPr>
                <w:color w:val="231F1F"/>
                <w:spacing w:val="-8"/>
                <w:w w:val="110"/>
                <w:sz w:val="22"/>
              </w:rPr>
              <w:t> </w:t>
            </w:r>
            <w:r>
              <w:rPr>
                <w:color w:val="231F1F"/>
                <w:w w:val="110"/>
                <w:sz w:val="22"/>
              </w:rPr>
              <w:t>el</w:t>
            </w:r>
            <w:r>
              <w:rPr>
                <w:color w:val="231F1F"/>
                <w:spacing w:val="-8"/>
                <w:w w:val="110"/>
                <w:sz w:val="22"/>
              </w:rPr>
              <w:t> </w:t>
            </w:r>
            <w:r>
              <w:rPr>
                <w:color w:val="231F1F"/>
                <w:w w:val="110"/>
                <w:sz w:val="22"/>
              </w:rPr>
              <w:t>acompañamiento</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mujer</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parto</w:t>
            </w:r>
            <w:r>
              <w:rPr>
                <w:color w:val="231F1F"/>
                <w:spacing w:val="-8"/>
                <w:w w:val="110"/>
                <w:sz w:val="22"/>
              </w:rPr>
              <w:t> </w:t>
            </w:r>
            <w:r>
              <w:rPr>
                <w:color w:val="231F1F"/>
                <w:w w:val="110"/>
                <w:sz w:val="22"/>
              </w:rPr>
              <w:t>por</w:t>
            </w:r>
            <w:r>
              <w:rPr>
                <w:color w:val="231F1F"/>
                <w:spacing w:val="-8"/>
                <w:w w:val="110"/>
                <w:sz w:val="22"/>
              </w:rPr>
              <w:t> </w:t>
            </w:r>
            <w:r>
              <w:rPr>
                <w:color w:val="231F1F"/>
                <w:w w:val="110"/>
                <w:sz w:val="22"/>
              </w:rPr>
              <w:t>la persona de su elección.</w:t>
            </w:r>
          </w:p>
        </w:tc>
      </w:tr>
      <w:tr>
        <w:trPr>
          <w:trHeight w:val="374" w:hRule="atLeast"/>
        </w:trPr>
        <w:tc>
          <w:tcPr>
            <w:tcW w:w="8505" w:type="dxa"/>
            <w:gridSpan w:val="2"/>
          </w:tcPr>
          <w:p>
            <w:pPr>
              <w:pStyle w:val="TableParagraph"/>
              <w:spacing w:before="29"/>
              <w:rPr>
                <w:sz w:val="22"/>
              </w:rPr>
            </w:pPr>
            <w:r>
              <w:rPr>
                <w:color w:val="231F1F"/>
                <w:w w:val="105"/>
                <w:sz w:val="22"/>
              </w:rPr>
              <w:t>4.2.</w:t>
            </w:r>
            <w:r>
              <w:rPr>
                <w:color w:val="231F1F"/>
                <w:spacing w:val="-10"/>
                <w:w w:val="105"/>
                <w:sz w:val="22"/>
              </w:rPr>
              <w:t> </w:t>
            </w:r>
            <w:r>
              <w:rPr>
                <w:color w:val="231F1F"/>
                <w:w w:val="105"/>
                <w:sz w:val="22"/>
              </w:rPr>
              <w:t>Restricción</w:t>
            </w:r>
            <w:r>
              <w:rPr>
                <w:color w:val="231F1F"/>
                <w:spacing w:val="-7"/>
                <w:w w:val="105"/>
                <w:sz w:val="22"/>
              </w:rPr>
              <w:t> </w:t>
            </w:r>
            <w:r>
              <w:rPr>
                <w:color w:val="231F1F"/>
                <w:w w:val="105"/>
                <w:sz w:val="22"/>
              </w:rPr>
              <w:t>de</w:t>
            </w:r>
            <w:r>
              <w:rPr>
                <w:color w:val="231F1F"/>
                <w:spacing w:val="-9"/>
                <w:w w:val="105"/>
                <w:sz w:val="22"/>
              </w:rPr>
              <w:t> </w:t>
            </w:r>
            <w:r>
              <w:rPr>
                <w:color w:val="231F1F"/>
                <w:w w:val="105"/>
                <w:sz w:val="22"/>
              </w:rPr>
              <w:t>líquidos</w:t>
            </w:r>
            <w:r>
              <w:rPr>
                <w:color w:val="231F1F"/>
                <w:spacing w:val="-5"/>
                <w:w w:val="105"/>
                <w:sz w:val="22"/>
              </w:rPr>
              <w:t> </w:t>
            </w:r>
            <w:r>
              <w:rPr>
                <w:color w:val="231F1F"/>
                <w:w w:val="105"/>
                <w:sz w:val="22"/>
              </w:rPr>
              <w:t>y</w:t>
            </w:r>
            <w:r>
              <w:rPr>
                <w:color w:val="231F1F"/>
                <w:spacing w:val="-8"/>
                <w:w w:val="105"/>
                <w:sz w:val="22"/>
              </w:rPr>
              <w:t> </w:t>
            </w:r>
            <w:r>
              <w:rPr>
                <w:color w:val="231F1F"/>
                <w:spacing w:val="-2"/>
                <w:w w:val="105"/>
                <w:sz w:val="22"/>
              </w:rPr>
              <w:t>sólidos</w:t>
            </w:r>
          </w:p>
        </w:tc>
      </w:tr>
      <w:tr>
        <w:trPr>
          <w:trHeight w:val="373" w:hRule="atLeast"/>
        </w:trPr>
        <w:tc>
          <w:tcPr>
            <w:tcW w:w="8505" w:type="dxa"/>
            <w:gridSpan w:val="2"/>
          </w:tcPr>
          <w:p>
            <w:pPr>
              <w:pStyle w:val="TableParagraph"/>
              <w:spacing w:before="29"/>
              <w:rPr>
                <w:i/>
                <w:sz w:val="22"/>
              </w:rPr>
            </w:pPr>
            <w:r>
              <w:rPr>
                <w:i/>
                <w:color w:val="231F1F"/>
                <w:spacing w:val="-4"/>
                <w:w w:val="105"/>
                <w:sz w:val="22"/>
              </w:rPr>
              <w:t>4.2.1.</w:t>
            </w:r>
            <w:r>
              <w:rPr>
                <w:i/>
                <w:color w:val="231F1F"/>
                <w:spacing w:val="-3"/>
                <w:w w:val="105"/>
                <w:sz w:val="22"/>
              </w:rPr>
              <w:t> </w:t>
            </w:r>
            <w:r>
              <w:rPr>
                <w:i/>
                <w:color w:val="231F1F"/>
                <w:spacing w:val="-4"/>
                <w:w w:val="105"/>
                <w:sz w:val="22"/>
              </w:rPr>
              <w:t>Restricción</w:t>
            </w:r>
            <w:r>
              <w:rPr>
                <w:i/>
                <w:color w:val="231F1F"/>
                <w:w w:val="105"/>
                <w:sz w:val="22"/>
              </w:rPr>
              <w:t> </w:t>
            </w:r>
            <w:r>
              <w:rPr>
                <w:i/>
                <w:color w:val="231F1F"/>
                <w:spacing w:val="-4"/>
                <w:w w:val="105"/>
                <w:sz w:val="22"/>
              </w:rPr>
              <w:t>de</w:t>
            </w:r>
            <w:r>
              <w:rPr>
                <w:i/>
                <w:color w:val="231F1F"/>
                <w:spacing w:val="-3"/>
                <w:w w:val="105"/>
                <w:sz w:val="22"/>
              </w:rPr>
              <w:t> </w:t>
            </w:r>
            <w:r>
              <w:rPr>
                <w:i/>
                <w:color w:val="231F1F"/>
                <w:spacing w:val="-4"/>
                <w:w w:val="105"/>
                <w:sz w:val="22"/>
              </w:rPr>
              <w:t>alimentos</w:t>
            </w:r>
          </w:p>
        </w:tc>
      </w:tr>
      <w:tr>
        <w:trPr>
          <w:trHeight w:val="373" w:hRule="atLeast"/>
        </w:trPr>
        <w:tc>
          <w:tcPr>
            <w:tcW w:w="571" w:type="dxa"/>
          </w:tcPr>
          <w:p>
            <w:pPr>
              <w:pStyle w:val="TableParagraph"/>
              <w:spacing w:before="29"/>
              <w:ind w:left="46" w:right="9"/>
              <w:jc w:val="center"/>
              <w:rPr>
                <w:sz w:val="22"/>
              </w:rPr>
            </w:pPr>
            <w:r>
              <w:rPr>
                <w:color w:val="231F1F"/>
                <w:spacing w:val="-10"/>
                <w:w w:val="115"/>
                <w:sz w:val="22"/>
              </w:rPr>
              <w:t>A</w:t>
            </w:r>
          </w:p>
        </w:tc>
        <w:tc>
          <w:tcPr>
            <w:tcW w:w="7934" w:type="dxa"/>
          </w:tcPr>
          <w:p>
            <w:pPr>
              <w:pStyle w:val="TableParagraph"/>
              <w:spacing w:before="39"/>
              <w:ind w:left="117"/>
              <w:rPr>
                <w:sz w:val="22"/>
              </w:rPr>
            </w:pPr>
            <w:r>
              <w:rPr>
                <w:color w:val="231F1F"/>
                <w:sz w:val="22"/>
              </w:rPr>
              <w:t>Se</w:t>
            </w:r>
            <w:r>
              <w:rPr>
                <w:color w:val="231F1F"/>
                <w:spacing w:val="32"/>
                <w:sz w:val="22"/>
              </w:rPr>
              <w:t> </w:t>
            </w:r>
            <w:r>
              <w:rPr>
                <w:color w:val="231F1F"/>
                <w:sz w:val="22"/>
              </w:rPr>
              <w:t>recomienda</w:t>
            </w:r>
            <w:r>
              <w:rPr>
                <w:color w:val="231F1F"/>
                <w:spacing w:val="35"/>
                <w:sz w:val="22"/>
              </w:rPr>
              <w:t> </w:t>
            </w:r>
            <w:r>
              <w:rPr>
                <w:color w:val="231F1F"/>
                <w:sz w:val="22"/>
              </w:rPr>
              <w:t>permitir</w:t>
            </w:r>
            <w:r>
              <w:rPr>
                <w:color w:val="231F1F"/>
                <w:spacing w:val="33"/>
                <w:sz w:val="22"/>
              </w:rPr>
              <w:t> </w:t>
            </w:r>
            <w:r>
              <w:rPr>
                <w:color w:val="231F1F"/>
                <w:sz w:val="22"/>
              </w:rPr>
              <w:t>la</w:t>
            </w:r>
            <w:r>
              <w:rPr>
                <w:color w:val="231F1F"/>
                <w:spacing w:val="36"/>
                <w:sz w:val="22"/>
              </w:rPr>
              <w:t> </w:t>
            </w:r>
            <w:r>
              <w:rPr>
                <w:color w:val="231F1F"/>
                <w:sz w:val="22"/>
              </w:rPr>
              <w:t>ingesta</w:t>
            </w:r>
            <w:r>
              <w:rPr>
                <w:color w:val="231F1F"/>
                <w:spacing w:val="34"/>
                <w:sz w:val="22"/>
              </w:rPr>
              <w:t> </w:t>
            </w:r>
            <w:r>
              <w:rPr>
                <w:color w:val="231F1F"/>
                <w:sz w:val="22"/>
              </w:rPr>
              <w:t>de</w:t>
            </w:r>
            <w:r>
              <w:rPr>
                <w:color w:val="231F1F"/>
                <w:spacing w:val="33"/>
                <w:sz w:val="22"/>
              </w:rPr>
              <w:t> </w:t>
            </w:r>
            <w:r>
              <w:rPr>
                <w:color w:val="231F1F"/>
                <w:sz w:val="22"/>
              </w:rPr>
              <w:t>líquidos</w:t>
            </w:r>
            <w:r>
              <w:rPr>
                <w:color w:val="231F1F"/>
                <w:spacing w:val="37"/>
                <w:sz w:val="22"/>
              </w:rPr>
              <w:t> </w:t>
            </w:r>
            <w:r>
              <w:rPr>
                <w:color w:val="231F1F"/>
                <w:sz w:val="22"/>
              </w:rPr>
              <w:t>claros</w:t>
            </w:r>
            <w:r>
              <w:rPr>
                <w:color w:val="231F1F"/>
                <w:spacing w:val="33"/>
                <w:sz w:val="22"/>
              </w:rPr>
              <w:t> </w:t>
            </w:r>
            <w:r>
              <w:rPr>
                <w:color w:val="231F1F"/>
                <w:sz w:val="22"/>
              </w:rPr>
              <w:t>durante</w:t>
            </w:r>
            <w:r>
              <w:rPr>
                <w:color w:val="231F1F"/>
                <w:spacing w:val="33"/>
                <w:sz w:val="22"/>
              </w:rPr>
              <w:t> </w:t>
            </w:r>
            <w:r>
              <w:rPr>
                <w:color w:val="231F1F"/>
                <w:sz w:val="22"/>
              </w:rPr>
              <w:t>el</w:t>
            </w:r>
            <w:r>
              <w:rPr>
                <w:color w:val="231F1F"/>
                <w:spacing w:val="36"/>
                <w:sz w:val="22"/>
              </w:rPr>
              <w:t> </w:t>
            </w:r>
            <w:r>
              <w:rPr>
                <w:color w:val="231F1F"/>
                <w:spacing w:val="-2"/>
                <w:sz w:val="22"/>
              </w:rPr>
              <w:t>parto.</w:t>
            </w:r>
          </w:p>
        </w:tc>
      </w:tr>
      <w:tr>
        <w:trPr>
          <w:trHeight w:val="373" w:hRule="atLeast"/>
        </w:trPr>
        <w:tc>
          <w:tcPr>
            <w:tcW w:w="8505" w:type="dxa"/>
            <w:gridSpan w:val="2"/>
          </w:tcPr>
          <w:p>
            <w:pPr>
              <w:pStyle w:val="TableParagraph"/>
              <w:spacing w:before="29"/>
              <w:rPr>
                <w:i/>
                <w:sz w:val="22"/>
              </w:rPr>
            </w:pPr>
            <w:r>
              <w:rPr>
                <w:i/>
                <w:color w:val="231F1F"/>
                <w:spacing w:val="-2"/>
                <w:w w:val="105"/>
                <w:sz w:val="22"/>
              </w:rPr>
              <w:t>4.2.2.</w:t>
            </w:r>
            <w:r>
              <w:rPr>
                <w:i/>
                <w:color w:val="231F1F"/>
                <w:spacing w:val="-9"/>
                <w:w w:val="105"/>
                <w:sz w:val="22"/>
              </w:rPr>
              <w:t> </w:t>
            </w:r>
            <w:r>
              <w:rPr>
                <w:i/>
                <w:color w:val="231F1F"/>
                <w:spacing w:val="-2"/>
                <w:w w:val="105"/>
                <w:sz w:val="22"/>
              </w:rPr>
              <w:t>Prevención</w:t>
            </w:r>
            <w:r>
              <w:rPr>
                <w:i/>
                <w:color w:val="231F1F"/>
                <w:spacing w:val="-11"/>
                <w:w w:val="105"/>
                <w:sz w:val="22"/>
              </w:rPr>
              <w:t> </w:t>
            </w:r>
            <w:r>
              <w:rPr>
                <w:i/>
                <w:color w:val="231F1F"/>
                <w:spacing w:val="-2"/>
                <w:w w:val="105"/>
                <w:sz w:val="22"/>
              </w:rPr>
              <w:t>de</w:t>
            </w:r>
            <w:r>
              <w:rPr>
                <w:i/>
                <w:color w:val="231F1F"/>
                <w:spacing w:val="-8"/>
                <w:w w:val="105"/>
                <w:sz w:val="22"/>
              </w:rPr>
              <w:t> </w:t>
            </w:r>
            <w:r>
              <w:rPr>
                <w:i/>
                <w:color w:val="231F1F"/>
                <w:spacing w:val="-2"/>
                <w:w w:val="105"/>
                <w:sz w:val="22"/>
              </w:rPr>
              <w:t>la</w:t>
            </w:r>
            <w:r>
              <w:rPr>
                <w:i/>
                <w:color w:val="231F1F"/>
                <w:spacing w:val="-7"/>
                <w:w w:val="105"/>
                <w:sz w:val="22"/>
              </w:rPr>
              <w:t> </w:t>
            </w:r>
            <w:r>
              <w:rPr>
                <w:i/>
                <w:color w:val="231F1F"/>
                <w:spacing w:val="-2"/>
                <w:w w:val="105"/>
                <w:sz w:val="22"/>
              </w:rPr>
              <w:t>Cetosis</w:t>
            </w:r>
          </w:p>
        </w:tc>
      </w:tr>
      <w:tr>
        <w:trPr>
          <w:trHeight w:val="652" w:hRule="atLeast"/>
        </w:trPr>
        <w:tc>
          <w:tcPr>
            <w:tcW w:w="571" w:type="dxa"/>
          </w:tcPr>
          <w:p>
            <w:pPr>
              <w:pStyle w:val="TableParagraph"/>
              <w:spacing w:before="169"/>
              <w:ind w:left="46" w:right="9"/>
              <w:jc w:val="center"/>
              <w:rPr>
                <w:sz w:val="22"/>
              </w:rPr>
            </w:pPr>
            <w:r>
              <w:rPr>
                <w:color w:val="231F1F"/>
                <w:spacing w:val="-10"/>
                <w:w w:val="115"/>
                <w:sz w:val="22"/>
              </w:rPr>
              <w:t>A</w:t>
            </w:r>
          </w:p>
        </w:tc>
        <w:tc>
          <w:tcPr>
            <w:tcW w:w="7934" w:type="dxa"/>
          </w:tcPr>
          <w:p>
            <w:pPr>
              <w:pStyle w:val="TableParagraph"/>
              <w:spacing w:line="244" w:lineRule="auto" w:before="29"/>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que</w:t>
            </w:r>
            <w:r>
              <w:rPr>
                <w:color w:val="231F1F"/>
                <w:spacing w:val="-8"/>
                <w:w w:val="110"/>
                <w:sz w:val="22"/>
              </w:rPr>
              <w:t> </w:t>
            </w:r>
            <w:r>
              <w:rPr>
                <w:color w:val="231F1F"/>
                <w:w w:val="110"/>
                <w:sz w:val="22"/>
              </w:rPr>
              <w:t>las</w:t>
            </w:r>
            <w:r>
              <w:rPr>
                <w:color w:val="231F1F"/>
                <w:spacing w:val="-8"/>
                <w:w w:val="110"/>
                <w:sz w:val="22"/>
              </w:rPr>
              <w:t> </w:t>
            </w:r>
            <w:r>
              <w:rPr>
                <w:color w:val="231F1F"/>
                <w:w w:val="110"/>
                <w:sz w:val="22"/>
              </w:rPr>
              <w:t>mujeres</w:t>
            </w:r>
            <w:r>
              <w:rPr>
                <w:color w:val="231F1F"/>
                <w:spacing w:val="-8"/>
                <w:w w:val="110"/>
                <w:sz w:val="22"/>
              </w:rPr>
              <w:t> </w:t>
            </w:r>
            <w:r>
              <w:rPr>
                <w:color w:val="231F1F"/>
                <w:w w:val="110"/>
                <w:sz w:val="22"/>
              </w:rPr>
              <w:t>sean</w:t>
            </w:r>
            <w:r>
              <w:rPr>
                <w:color w:val="231F1F"/>
                <w:spacing w:val="-8"/>
                <w:w w:val="110"/>
                <w:sz w:val="22"/>
              </w:rPr>
              <w:t> </w:t>
            </w:r>
            <w:r>
              <w:rPr>
                <w:color w:val="231F1F"/>
                <w:w w:val="110"/>
                <w:sz w:val="22"/>
              </w:rPr>
              <w:t>informadas</w:t>
            </w:r>
            <w:r>
              <w:rPr>
                <w:color w:val="231F1F"/>
                <w:spacing w:val="-8"/>
                <w:w w:val="110"/>
                <w:sz w:val="22"/>
              </w:rPr>
              <w:t> </w:t>
            </w:r>
            <w:r>
              <w:rPr>
                <w:color w:val="231F1F"/>
                <w:w w:val="110"/>
                <w:sz w:val="22"/>
              </w:rPr>
              <w:t>que</w:t>
            </w:r>
            <w:r>
              <w:rPr>
                <w:color w:val="231F1F"/>
                <w:spacing w:val="-8"/>
                <w:w w:val="110"/>
                <w:sz w:val="22"/>
              </w:rPr>
              <w:t> </w:t>
            </w:r>
            <w:r>
              <w:rPr>
                <w:color w:val="231F1F"/>
                <w:w w:val="110"/>
                <w:sz w:val="22"/>
              </w:rPr>
              <w:t>las</w:t>
            </w:r>
            <w:r>
              <w:rPr>
                <w:color w:val="231F1F"/>
                <w:spacing w:val="-8"/>
                <w:w w:val="110"/>
                <w:sz w:val="22"/>
              </w:rPr>
              <w:t> </w:t>
            </w:r>
            <w:r>
              <w:rPr>
                <w:color w:val="231F1F"/>
                <w:w w:val="110"/>
                <w:sz w:val="22"/>
              </w:rPr>
              <w:t>bebidas</w:t>
            </w:r>
            <w:r>
              <w:rPr>
                <w:color w:val="231F1F"/>
                <w:spacing w:val="-8"/>
                <w:w w:val="110"/>
                <w:sz w:val="22"/>
              </w:rPr>
              <w:t> </w:t>
            </w:r>
            <w:r>
              <w:rPr>
                <w:color w:val="231F1F"/>
                <w:w w:val="110"/>
                <w:sz w:val="22"/>
              </w:rPr>
              <w:t>isotónicas</w:t>
            </w:r>
            <w:r>
              <w:rPr>
                <w:color w:val="231F1F"/>
                <w:spacing w:val="-8"/>
                <w:w w:val="110"/>
                <w:sz w:val="22"/>
              </w:rPr>
              <w:t> </w:t>
            </w:r>
            <w:r>
              <w:rPr>
                <w:color w:val="231F1F"/>
                <w:w w:val="110"/>
                <w:sz w:val="22"/>
              </w:rPr>
              <w:t>son eficaces para combatir la cetosis, y por ello, preferibles a la ingesta de agua.</w:t>
            </w:r>
          </w:p>
        </w:tc>
      </w:tr>
    </w:tbl>
    <w:p>
      <w:pPr>
        <w:pStyle w:val="BodyText"/>
        <w:spacing w:before="53"/>
        <w:rPr>
          <w:rFonts w:ascii="Arial MT"/>
          <w:sz w:val="24"/>
        </w:rPr>
      </w:pPr>
    </w:p>
    <w:p>
      <w:pPr>
        <w:spacing w:before="0"/>
        <w:ind w:left="283" w:right="0" w:firstLine="0"/>
        <w:jc w:val="left"/>
        <w:rPr>
          <w:rFonts w:ascii="Arial MT" w:hAnsi="Arial MT"/>
          <w:sz w:val="24"/>
        </w:rPr>
      </w:pPr>
      <w:r>
        <w:rPr>
          <w:rFonts w:ascii="Arial MT" w:hAnsi="Arial MT"/>
          <w:color w:val="231F1F"/>
          <w:sz w:val="24"/>
        </w:rPr>
        <w:t>Dilatación:</w:t>
      </w:r>
      <w:r>
        <w:rPr>
          <w:rFonts w:ascii="Arial MT" w:hAnsi="Arial MT"/>
          <w:color w:val="231F1F"/>
          <w:spacing w:val="20"/>
          <w:sz w:val="24"/>
        </w:rPr>
        <w:t> </w:t>
      </w:r>
      <w:r>
        <w:rPr>
          <w:rFonts w:ascii="Arial MT" w:hAnsi="Arial MT"/>
          <w:color w:val="231F1F"/>
          <w:sz w:val="24"/>
        </w:rPr>
        <w:t>Primera</w:t>
      </w:r>
      <w:r>
        <w:rPr>
          <w:rFonts w:ascii="Arial MT" w:hAnsi="Arial MT"/>
          <w:color w:val="231F1F"/>
          <w:spacing w:val="23"/>
          <w:sz w:val="24"/>
        </w:rPr>
        <w:t> </w:t>
      </w:r>
      <w:r>
        <w:rPr>
          <w:rFonts w:ascii="Arial MT" w:hAnsi="Arial MT"/>
          <w:color w:val="231F1F"/>
          <w:sz w:val="24"/>
        </w:rPr>
        <w:t>etapa</w:t>
      </w:r>
      <w:r>
        <w:rPr>
          <w:rFonts w:ascii="Arial MT" w:hAnsi="Arial MT"/>
          <w:color w:val="231F1F"/>
          <w:spacing w:val="22"/>
          <w:sz w:val="24"/>
        </w:rPr>
        <w:t> </w:t>
      </w:r>
      <w:r>
        <w:rPr>
          <w:rFonts w:ascii="Arial MT" w:hAnsi="Arial MT"/>
          <w:color w:val="231F1F"/>
          <w:sz w:val="24"/>
        </w:rPr>
        <w:t>del</w:t>
      </w:r>
      <w:r>
        <w:rPr>
          <w:rFonts w:ascii="Arial MT" w:hAnsi="Arial MT"/>
          <w:color w:val="231F1F"/>
          <w:spacing w:val="20"/>
          <w:sz w:val="24"/>
        </w:rPr>
        <w:t> </w:t>
      </w:r>
      <w:r>
        <w:rPr>
          <w:rFonts w:ascii="Arial MT" w:hAnsi="Arial MT"/>
          <w:color w:val="231F1F"/>
          <w:spacing w:val="-2"/>
          <w:sz w:val="24"/>
        </w:rPr>
        <w:t>parto</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402" w:hRule="atLeast"/>
        </w:trPr>
        <w:tc>
          <w:tcPr>
            <w:tcW w:w="8505" w:type="dxa"/>
            <w:gridSpan w:val="2"/>
          </w:tcPr>
          <w:p>
            <w:pPr>
              <w:pStyle w:val="TableParagraph"/>
              <w:spacing w:before="58"/>
              <w:rPr>
                <w:sz w:val="22"/>
              </w:rPr>
            </w:pPr>
            <w:r>
              <w:rPr>
                <w:color w:val="231F1F"/>
                <w:sz w:val="22"/>
              </w:rPr>
              <w:t>5.1.</w:t>
            </w:r>
            <w:r>
              <w:rPr>
                <w:color w:val="231F1F"/>
                <w:spacing w:val="-8"/>
                <w:sz w:val="22"/>
              </w:rPr>
              <w:t> </w:t>
            </w:r>
            <w:r>
              <w:rPr>
                <w:color w:val="231F1F"/>
                <w:spacing w:val="-2"/>
                <w:sz w:val="22"/>
              </w:rPr>
              <w:t>Definición</w:t>
            </w:r>
          </w:p>
        </w:tc>
      </w:tr>
      <w:tr>
        <w:trPr>
          <w:trHeight w:val="1300" w:hRule="atLeast"/>
        </w:trPr>
        <w:tc>
          <w:tcPr>
            <w:tcW w:w="571" w:type="dxa"/>
          </w:tcPr>
          <w:p>
            <w:pPr>
              <w:pStyle w:val="TableParagraph"/>
              <w:spacing w:before="250"/>
              <w:ind w:left="0"/>
              <w:rPr>
                <w:rFonts w:ascii="Arial MT"/>
                <w:sz w:val="22"/>
              </w:rPr>
            </w:pPr>
          </w:p>
          <w:p>
            <w:pPr>
              <w:pStyle w:val="TableParagraph"/>
              <w:spacing w:before="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44"/>
              <w:ind w:left="117"/>
              <w:rPr>
                <w:sz w:val="22"/>
              </w:rPr>
            </w:pPr>
            <w:r>
              <w:rPr>
                <w:color w:val="231F1F"/>
                <w:w w:val="110"/>
                <w:sz w:val="22"/>
              </w:rPr>
              <w:t>Se</w:t>
            </w:r>
            <w:r>
              <w:rPr>
                <w:color w:val="231F1F"/>
                <w:spacing w:val="-15"/>
                <w:w w:val="110"/>
                <w:sz w:val="22"/>
              </w:rPr>
              <w:t> </w:t>
            </w:r>
            <w:r>
              <w:rPr>
                <w:color w:val="231F1F"/>
                <w:w w:val="110"/>
                <w:sz w:val="22"/>
              </w:rPr>
              <w:t>recomienda</w:t>
            </w:r>
            <w:r>
              <w:rPr>
                <w:color w:val="231F1F"/>
                <w:spacing w:val="-14"/>
                <w:w w:val="110"/>
                <w:sz w:val="22"/>
              </w:rPr>
              <w:t> </w:t>
            </w:r>
            <w:r>
              <w:rPr>
                <w:color w:val="231F1F"/>
                <w:w w:val="110"/>
                <w:sz w:val="22"/>
              </w:rPr>
              <w:t>adoptar</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definición</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4"/>
                <w:w w:val="110"/>
                <w:sz w:val="22"/>
              </w:rPr>
              <w:t> </w:t>
            </w:r>
            <w:r>
              <w:rPr>
                <w:b/>
                <w:i/>
                <w:color w:val="231F1F"/>
                <w:w w:val="110"/>
                <w:sz w:val="22"/>
              </w:rPr>
              <w:t>fase</w:t>
            </w:r>
            <w:r>
              <w:rPr>
                <w:b/>
                <w:i/>
                <w:color w:val="231F1F"/>
                <w:spacing w:val="-10"/>
                <w:w w:val="110"/>
                <w:sz w:val="22"/>
              </w:rPr>
              <w:t> </w:t>
            </w:r>
            <w:r>
              <w:rPr>
                <w:b/>
                <w:i/>
                <w:color w:val="231F1F"/>
                <w:w w:val="110"/>
                <w:sz w:val="22"/>
              </w:rPr>
              <w:t>latente</w:t>
            </w:r>
            <w:r>
              <w:rPr>
                <w:b/>
                <w:i/>
                <w:color w:val="231F1F"/>
                <w:spacing w:val="-14"/>
                <w:w w:val="110"/>
                <w:sz w:val="22"/>
              </w:rPr>
              <w:t> </w:t>
            </w:r>
            <w:r>
              <w:rPr>
                <w:color w:val="231F1F"/>
                <w:w w:val="110"/>
                <w:sz w:val="22"/>
              </w:rPr>
              <w:t>como</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periodo</w:t>
            </w:r>
            <w:r>
              <w:rPr>
                <w:color w:val="231F1F"/>
                <w:spacing w:val="-14"/>
                <w:w w:val="110"/>
                <w:sz w:val="22"/>
              </w:rPr>
              <w:t> </w:t>
            </w:r>
            <w:r>
              <w:rPr>
                <w:color w:val="231F1F"/>
                <w:w w:val="110"/>
                <w:sz w:val="22"/>
              </w:rPr>
              <w:t>del</w:t>
            </w:r>
            <w:r>
              <w:rPr>
                <w:color w:val="231F1F"/>
                <w:spacing w:val="-16"/>
                <w:w w:val="110"/>
                <w:sz w:val="22"/>
              </w:rPr>
              <w:t> </w:t>
            </w:r>
            <w:r>
              <w:rPr>
                <w:color w:val="231F1F"/>
                <w:w w:val="110"/>
                <w:sz w:val="22"/>
              </w:rPr>
              <w:t>parto que transcurre entre el inicio del parto y los 4 cm. de dilatación.</w:t>
            </w:r>
          </w:p>
          <w:p>
            <w:pPr>
              <w:pStyle w:val="TableParagraph"/>
              <w:spacing w:line="254" w:lineRule="auto" w:before="65"/>
              <w:ind w:left="116" w:hanging="1"/>
              <w:rPr>
                <w:sz w:val="22"/>
              </w:rPr>
            </w:pPr>
            <w:r>
              <w:rPr>
                <w:color w:val="231F1F"/>
                <w:w w:val="105"/>
                <w:sz w:val="22"/>
              </w:rPr>
              <w:t>Se</w:t>
            </w:r>
            <w:r>
              <w:rPr>
                <w:color w:val="231F1F"/>
                <w:spacing w:val="-11"/>
                <w:w w:val="105"/>
                <w:sz w:val="22"/>
              </w:rPr>
              <w:t> </w:t>
            </w:r>
            <w:r>
              <w:rPr>
                <w:color w:val="231F1F"/>
                <w:w w:val="105"/>
                <w:sz w:val="22"/>
              </w:rPr>
              <w:t>recomienda</w:t>
            </w:r>
            <w:r>
              <w:rPr>
                <w:color w:val="231F1F"/>
                <w:spacing w:val="-10"/>
                <w:w w:val="105"/>
                <w:sz w:val="22"/>
              </w:rPr>
              <w:t> </w:t>
            </w:r>
            <w:r>
              <w:rPr>
                <w:color w:val="231F1F"/>
                <w:w w:val="105"/>
                <w:sz w:val="22"/>
              </w:rPr>
              <w:t>adoptar</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definición</w:t>
            </w:r>
            <w:r>
              <w:rPr>
                <w:color w:val="231F1F"/>
                <w:spacing w:val="-11"/>
                <w:w w:val="105"/>
                <w:sz w:val="22"/>
              </w:rPr>
              <w:t> </w:t>
            </w:r>
            <w:r>
              <w:rPr>
                <w:color w:val="231F1F"/>
                <w:w w:val="105"/>
                <w:sz w:val="22"/>
              </w:rPr>
              <w:t>de</w:t>
            </w:r>
            <w:r>
              <w:rPr>
                <w:color w:val="231F1F"/>
                <w:spacing w:val="-11"/>
                <w:w w:val="105"/>
                <w:sz w:val="22"/>
              </w:rPr>
              <w:t> </w:t>
            </w:r>
            <w:r>
              <w:rPr>
                <w:color w:val="231F1F"/>
                <w:w w:val="105"/>
                <w:sz w:val="22"/>
              </w:rPr>
              <w:t>la</w:t>
            </w:r>
            <w:r>
              <w:rPr>
                <w:color w:val="231F1F"/>
                <w:spacing w:val="-9"/>
                <w:w w:val="105"/>
                <w:sz w:val="22"/>
              </w:rPr>
              <w:t> </w:t>
            </w:r>
            <w:r>
              <w:rPr>
                <w:b/>
                <w:i/>
                <w:color w:val="231F1F"/>
                <w:w w:val="105"/>
                <w:sz w:val="22"/>
              </w:rPr>
              <w:t>fase</w:t>
            </w:r>
            <w:r>
              <w:rPr>
                <w:b/>
                <w:i/>
                <w:color w:val="231F1F"/>
                <w:spacing w:val="-3"/>
                <w:w w:val="105"/>
                <w:sz w:val="22"/>
              </w:rPr>
              <w:t> </w:t>
            </w:r>
            <w:r>
              <w:rPr>
                <w:b/>
                <w:i/>
                <w:color w:val="231F1F"/>
                <w:w w:val="105"/>
                <w:sz w:val="22"/>
              </w:rPr>
              <w:t>activa</w:t>
            </w:r>
            <w:r>
              <w:rPr>
                <w:b/>
                <w:i/>
                <w:color w:val="231F1F"/>
                <w:spacing w:val="-10"/>
                <w:w w:val="105"/>
                <w:sz w:val="22"/>
              </w:rPr>
              <w:t> </w:t>
            </w:r>
            <w:r>
              <w:rPr>
                <w:color w:val="231F1F"/>
                <w:w w:val="105"/>
                <w:sz w:val="22"/>
              </w:rPr>
              <w:t>como</w:t>
            </w:r>
            <w:r>
              <w:rPr>
                <w:color w:val="231F1F"/>
                <w:spacing w:val="-10"/>
                <w:w w:val="105"/>
                <w:sz w:val="22"/>
              </w:rPr>
              <w:t> </w:t>
            </w:r>
            <w:r>
              <w:rPr>
                <w:color w:val="231F1F"/>
                <w:w w:val="105"/>
                <w:sz w:val="22"/>
              </w:rPr>
              <w:t>el</w:t>
            </w:r>
            <w:r>
              <w:rPr>
                <w:color w:val="231F1F"/>
                <w:spacing w:val="-11"/>
                <w:w w:val="105"/>
                <w:sz w:val="22"/>
              </w:rPr>
              <w:t> </w:t>
            </w:r>
            <w:r>
              <w:rPr>
                <w:color w:val="231F1F"/>
                <w:w w:val="105"/>
                <w:sz w:val="22"/>
              </w:rPr>
              <w:t>periodo</w:t>
            </w:r>
            <w:r>
              <w:rPr>
                <w:color w:val="231F1F"/>
                <w:spacing w:val="-11"/>
                <w:w w:val="105"/>
                <w:sz w:val="22"/>
              </w:rPr>
              <w:t> </w:t>
            </w:r>
            <w:r>
              <w:rPr>
                <w:color w:val="231F1F"/>
                <w:w w:val="105"/>
                <w:sz w:val="22"/>
              </w:rPr>
              <w:t>del</w:t>
            </w:r>
            <w:r>
              <w:rPr>
                <w:color w:val="231F1F"/>
                <w:spacing w:val="-12"/>
                <w:w w:val="105"/>
                <w:sz w:val="22"/>
              </w:rPr>
              <w:t> </w:t>
            </w:r>
            <w:r>
              <w:rPr>
                <w:color w:val="231F1F"/>
                <w:w w:val="105"/>
                <w:sz w:val="22"/>
              </w:rPr>
              <w:t>parto</w:t>
            </w:r>
            <w:r>
              <w:rPr>
                <w:color w:val="231F1F"/>
                <w:spacing w:val="-11"/>
                <w:w w:val="105"/>
                <w:sz w:val="22"/>
              </w:rPr>
              <w:t> </w:t>
            </w:r>
            <w:r>
              <w:rPr>
                <w:color w:val="231F1F"/>
                <w:w w:val="105"/>
                <w:sz w:val="22"/>
              </w:rPr>
              <w:t>que transcurre</w:t>
            </w:r>
            <w:r>
              <w:rPr>
                <w:color w:val="231F1F"/>
                <w:spacing w:val="-13"/>
                <w:w w:val="105"/>
                <w:sz w:val="22"/>
              </w:rPr>
              <w:t> </w:t>
            </w:r>
            <w:r>
              <w:rPr>
                <w:color w:val="231F1F"/>
                <w:w w:val="105"/>
                <w:sz w:val="22"/>
              </w:rPr>
              <w:t>entre</w:t>
            </w:r>
            <w:r>
              <w:rPr>
                <w:color w:val="231F1F"/>
                <w:spacing w:val="-12"/>
                <w:w w:val="105"/>
                <w:sz w:val="22"/>
              </w:rPr>
              <w:t> </w:t>
            </w:r>
            <w:r>
              <w:rPr>
                <w:color w:val="231F1F"/>
                <w:w w:val="105"/>
                <w:sz w:val="22"/>
              </w:rPr>
              <w:t>los</w:t>
            </w:r>
            <w:r>
              <w:rPr>
                <w:color w:val="231F1F"/>
                <w:spacing w:val="-12"/>
                <w:w w:val="105"/>
                <w:sz w:val="22"/>
              </w:rPr>
              <w:t> </w:t>
            </w:r>
            <w:r>
              <w:rPr>
                <w:color w:val="231F1F"/>
                <w:w w:val="105"/>
                <w:sz w:val="22"/>
              </w:rPr>
              <w:t>4</w:t>
            </w:r>
            <w:r>
              <w:rPr>
                <w:color w:val="231F1F"/>
                <w:spacing w:val="-11"/>
                <w:w w:val="105"/>
                <w:sz w:val="22"/>
              </w:rPr>
              <w:t> </w:t>
            </w:r>
            <w:r>
              <w:rPr>
                <w:color w:val="231F1F"/>
                <w:w w:val="105"/>
                <w:sz w:val="22"/>
              </w:rPr>
              <w:t>y</w:t>
            </w:r>
            <w:r>
              <w:rPr>
                <w:color w:val="231F1F"/>
                <w:spacing w:val="-12"/>
                <w:w w:val="105"/>
                <w:sz w:val="22"/>
              </w:rPr>
              <w:t> </w:t>
            </w:r>
            <w:r>
              <w:rPr>
                <w:color w:val="231F1F"/>
                <w:w w:val="105"/>
                <w:sz w:val="22"/>
              </w:rPr>
              <w:t>los</w:t>
            </w:r>
            <w:r>
              <w:rPr>
                <w:color w:val="231F1F"/>
                <w:spacing w:val="-12"/>
                <w:w w:val="105"/>
                <w:sz w:val="22"/>
              </w:rPr>
              <w:t> </w:t>
            </w:r>
            <w:r>
              <w:rPr>
                <w:color w:val="231F1F"/>
                <w:w w:val="105"/>
                <w:sz w:val="22"/>
              </w:rPr>
              <w:t>10</w:t>
            </w:r>
            <w:r>
              <w:rPr>
                <w:color w:val="231F1F"/>
                <w:spacing w:val="-11"/>
                <w:w w:val="105"/>
                <w:sz w:val="22"/>
              </w:rPr>
              <w:t> </w:t>
            </w:r>
            <w:r>
              <w:rPr>
                <w:color w:val="231F1F"/>
                <w:w w:val="105"/>
                <w:sz w:val="22"/>
              </w:rPr>
              <w:t>cm.</w:t>
            </w:r>
            <w:r>
              <w:rPr>
                <w:color w:val="231F1F"/>
                <w:spacing w:val="-13"/>
                <w:w w:val="105"/>
                <w:sz w:val="22"/>
              </w:rPr>
              <w:t> </w:t>
            </w:r>
            <w:r>
              <w:rPr>
                <w:color w:val="231F1F"/>
                <w:w w:val="105"/>
                <w:sz w:val="22"/>
              </w:rPr>
              <w:t>de</w:t>
            </w:r>
            <w:r>
              <w:rPr>
                <w:color w:val="231F1F"/>
                <w:spacing w:val="-13"/>
                <w:w w:val="105"/>
                <w:sz w:val="22"/>
              </w:rPr>
              <w:t> </w:t>
            </w:r>
            <w:r>
              <w:rPr>
                <w:color w:val="231F1F"/>
                <w:w w:val="105"/>
                <w:sz w:val="22"/>
              </w:rPr>
              <w:t>dilatación</w:t>
            </w:r>
            <w:r>
              <w:rPr>
                <w:color w:val="231F1F"/>
                <w:spacing w:val="-12"/>
                <w:w w:val="105"/>
                <w:sz w:val="22"/>
              </w:rPr>
              <w:t> </w:t>
            </w:r>
            <w:r>
              <w:rPr>
                <w:color w:val="231F1F"/>
                <w:w w:val="105"/>
                <w:sz w:val="22"/>
              </w:rPr>
              <w:t>y</w:t>
            </w:r>
            <w:r>
              <w:rPr>
                <w:color w:val="231F1F"/>
                <w:spacing w:val="-12"/>
                <w:w w:val="105"/>
                <w:sz w:val="22"/>
              </w:rPr>
              <w:t> </w:t>
            </w:r>
            <w:r>
              <w:rPr>
                <w:color w:val="231F1F"/>
                <w:w w:val="105"/>
                <w:sz w:val="22"/>
              </w:rPr>
              <w:t>se</w:t>
            </w:r>
            <w:r>
              <w:rPr>
                <w:color w:val="231F1F"/>
                <w:spacing w:val="-13"/>
                <w:w w:val="105"/>
                <w:sz w:val="22"/>
              </w:rPr>
              <w:t> </w:t>
            </w:r>
            <w:r>
              <w:rPr>
                <w:color w:val="231F1F"/>
                <w:w w:val="105"/>
                <w:sz w:val="22"/>
              </w:rPr>
              <w:t>acompaña</w:t>
            </w:r>
            <w:r>
              <w:rPr>
                <w:color w:val="231F1F"/>
                <w:spacing w:val="-11"/>
                <w:w w:val="105"/>
                <w:sz w:val="22"/>
              </w:rPr>
              <w:t> </w:t>
            </w:r>
            <w:r>
              <w:rPr>
                <w:color w:val="231F1F"/>
                <w:w w:val="105"/>
                <w:sz w:val="22"/>
              </w:rPr>
              <w:t>de</w:t>
            </w:r>
            <w:r>
              <w:rPr>
                <w:color w:val="231F1F"/>
                <w:spacing w:val="-13"/>
                <w:w w:val="105"/>
                <w:sz w:val="22"/>
              </w:rPr>
              <w:t> </w:t>
            </w:r>
            <w:r>
              <w:rPr>
                <w:color w:val="231F1F"/>
                <w:w w:val="105"/>
                <w:sz w:val="22"/>
              </w:rPr>
              <w:t>dinámica</w:t>
            </w:r>
            <w:r>
              <w:rPr>
                <w:color w:val="231F1F"/>
                <w:spacing w:val="-12"/>
                <w:w w:val="105"/>
                <w:sz w:val="22"/>
              </w:rPr>
              <w:t> </w:t>
            </w:r>
            <w:r>
              <w:rPr>
                <w:color w:val="231F1F"/>
                <w:spacing w:val="-2"/>
                <w:w w:val="105"/>
                <w:sz w:val="22"/>
              </w:rPr>
              <w:t>regular.</w:t>
            </w:r>
          </w:p>
        </w:tc>
      </w:tr>
      <w:tr>
        <w:trPr>
          <w:trHeight w:val="397" w:hRule="atLeast"/>
        </w:trPr>
        <w:tc>
          <w:tcPr>
            <w:tcW w:w="8505" w:type="dxa"/>
            <w:gridSpan w:val="2"/>
          </w:tcPr>
          <w:p>
            <w:pPr>
              <w:pStyle w:val="TableParagraph"/>
              <w:spacing w:before="39"/>
              <w:rPr>
                <w:sz w:val="22"/>
              </w:rPr>
            </w:pPr>
            <w:r>
              <w:rPr>
                <w:color w:val="231F1F"/>
                <w:w w:val="105"/>
                <w:sz w:val="22"/>
              </w:rPr>
              <w:t>5.2.</w:t>
            </w:r>
            <w:r>
              <w:rPr>
                <w:color w:val="231F1F"/>
                <w:spacing w:val="-7"/>
                <w:w w:val="105"/>
                <w:sz w:val="22"/>
              </w:rPr>
              <w:t> </w:t>
            </w:r>
            <w:r>
              <w:rPr>
                <w:color w:val="231F1F"/>
                <w:w w:val="105"/>
                <w:sz w:val="22"/>
              </w:rPr>
              <w:t>Duración</w:t>
            </w:r>
            <w:r>
              <w:rPr>
                <w:color w:val="231F1F"/>
                <w:spacing w:val="-6"/>
                <w:w w:val="105"/>
                <w:sz w:val="22"/>
              </w:rPr>
              <w:t> </w:t>
            </w:r>
            <w:r>
              <w:rPr>
                <w:color w:val="231F1F"/>
                <w:w w:val="105"/>
                <w:sz w:val="22"/>
              </w:rPr>
              <w:t>y</w:t>
            </w:r>
            <w:r>
              <w:rPr>
                <w:color w:val="231F1F"/>
                <w:spacing w:val="-5"/>
                <w:w w:val="105"/>
                <w:sz w:val="22"/>
              </w:rPr>
              <w:t> </w:t>
            </w:r>
            <w:r>
              <w:rPr>
                <w:color w:val="231F1F"/>
                <w:spacing w:val="-2"/>
                <w:w w:val="105"/>
                <w:sz w:val="22"/>
              </w:rPr>
              <w:t>progreso</w:t>
            </w:r>
          </w:p>
        </w:tc>
      </w:tr>
      <w:tr>
        <w:trPr>
          <w:trHeight w:val="681" w:hRule="atLeast"/>
        </w:trPr>
        <w:tc>
          <w:tcPr>
            <w:tcW w:w="571" w:type="dxa"/>
            <w:shd w:val="clear" w:color="auto" w:fill="F2DFDF"/>
          </w:tcPr>
          <w:p>
            <w:pPr>
              <w:pStyle w:val="TableParagraph"/>
              <w:spacing w:before="196"/>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before="53"/>
              <w:ind w:left="117"/>
              <w:rPr>
                <w:sz w:val="22"/>
              </w:rPr>
            </w:pPr>
            <w:r>
              <w:rPr>
                <w:color w:val="231F1F"/>
                <w:w w:val="105"/>
                <w:sz w:val="22"/>
              </w:rPr>
              <w:t>No</w:t>
            </w:r>
            <w:r>
              <w:rPr>
                <w:color w:val="231F1F"/>
                <w:spacing w:val="-3"/>
                <w:w w:val="105"/>
                <w:sz w:val="22"/>
              </w:rPr>
              <w:t> </w:t>
            </w:r>
            <w:r>
              <w:rPr>
                <w:color w:val="231F1F"/>
                <w:w w:val="105"/>
                <w:sz w:val="22"/>
              </w:rPr>
              <w:t>es</w:t>
            </w:r>
            <w:r>
              <w:rPr>
                <w:color w:val="231F1F"/>
                <w:spacing w:val="-3"/>
                <w:w w:val="105"/>
                <w:sz w:val="22"/>
              </w:rPr>
              <w:t> </w:t>
            </w:r>
            <w:r>
              <w:rPr>
                <w:color w:val="231F1F"/>
                <w:w w:val="105"/>
                <w:sz w:val="22"/>
              </w:rPr>
              <w:t>posible</w:t>
            </w:r>
            <w:r>
              <w:rPr>
                <w:color w:val="231F1F"/>
                <w:spacing w:val="-3"/>
                <w:w w:val="105"/>
                <w:sz w:val="22"/>
              </w:rPr>
              <w:t> </w:t>
            </w:r>
            <w:r>
              <w:rPr>
                <w:color w:val="231F1F"/>
                <w:w w:val="105"/>
                <w:sz w:val="22"/>
              </w:rPr>
              <w:t>establecer</w:t>
            </w:r>
            <w:r>
              <w:rPr>
                <w:color w:val="231F1F"/>
                <w:spacing w:val="-3"/>
                <w:w w:val="105"/>
                <w:sz w:val="22"/>
              </w:rPr>
              <w:t> </w:t>
            </w:r>
            <w:r>
              <w:rPr>
                <w:color w:val="231F1F"/>
                <w:w w:val="105"/>
                <w:sz w:val="22"/>
              </w:rPr>
              <w:t>la</w:t>
            </w:r>
            <w:r>
              <w:rPr>
                <w:color w:val="231F1F"/>
                <w:spacing w:val="-3"/>
                <w:w w:val="105"/>
                <w:sz w:val="22"/>
              </w:rPr>
              <w:t> </w:t>
            </w:r>
            <w:r>
              <w:rPr>
                <w:color w:val="231F1F"/>
                <w:w w:val="105"/>
                <w:sz w:val="22"/>
              </w:rPr>
              <w:t>duración</w:t>
            </w:r>
            <w:r>
              <w:rPr>
                <w:color w:val="231F1F"/>
                <w:spacing w:val="-3"/>
                <w:w w:val="105"/>
                <w:sz w:val="22"/>
              </w:rPr>
              <w:t> </w:t>
            </w:r>
            <w:r>
              <w:rPr>
                <w:color w:val="231F1F"/>
                <w:w w:val="105"/>
                <w:sz w:val="22"/>
              </w:rPr>
              <w:t>de</w:t>
            </w:r>
            <w:r>
              <w:rPr>
                <w:color w:val="231F1F"/>
                <w:spacing w:val="-3"/>
                <w:w w:val="105"/>
                <w:sz w:val="22"/>
              </w:rPr>
              <w:t> </w:t>
            </w:r>
            <w:r>
              <w:rPr>
                <w:color w:val="231F1F"/>
                <w:w w:val="105"/>
                <w:sz w:val="22"/>
              </w:rPr>
              <w:t>la</w:t>
            </w:r>
            <w:r>
              <w:rPr>
                <w:color w:val="231F1F"/>
                <w:spacing w:val="-3"/>
                <w:w w:val="105"/>
                <w:sz w:val="22"/>
              </w:rPr>
              <w:t> </w:t>
            </w:r>
            <w:r>
              <w:rPr>
                <w:color w:val="231F1F"/>
                <w:w w:val="105"/>
                <w:sz w:val="22"/>
              </w:rPr>
              <w:t>fase</w:t>
            </w:r>
            <w:r>
              <w:rPr>
                <w:color w:val="231F1F"/>
                <w:spacing w:val="-3"/>
                <w:w w:val="105"/>
                <w:sz w:val="22"/>
              </w:rPr>
              <w:t> </w:t>
            </w:r>
            <w:r>
              <w:rPr>
                <w:color w:val="231F1F"/>
                <w:w w:val="105"/>
                <w:sz w:val="22"/>
              </w:rPr>
              <w:t>latente</w:t>
            </w:r>
            <w:r>
              <w:rPr>
                <w:color w:val="231F1F"/>
                <w:spacing w:val="-3"/>
                <w:w w:val="105"/>
                <w:sz w:val="22"/>
              </w:rPr>
              <w:t> </w:t>
            </w:r>
            <w:r>
              <w:rPr>
                <w:color w:val="231F1F"/>
                <w:w w:val="105"/>
                <w:sz w:val="22"/>
              </w:rPr>
              <w:t>de</w:t>
            </w:r>
            <w:r>
              <w:rPr>
                <w:color w:val="231F1F"/>
                <w:spacing w:val="-3"/>
                <w:w w:val="105"/>
                <w:sz w:val="22"/>
              </w:rPr>
              <w:t> </w:t>
            </w:r>
            <w:r>
              <w:rPr>
                <w:color w:val="231F1F"/>
                <w:w w:val="105"/>
                <w:sz w:val="22"/>
              </w:rPr>
              <w:t>la</w:t>
            </w:r>
            <w:r>
              <w:rPr>
                <w:color w:val="231F1F"/>
                <w:spacing w:val="-3"/>
                <w:w w:val="105"/>
                <w:sz w:val="22"/>
              </w:rPr>
              <w:t> </w:t>
            </w:r>
            <w:r>
              <w:rPr>
                <w:color w:val="231F1F"/>
                <w:w w:val="105"/>
                <w:sz w:val="22"/>
              </w:rPr>
              <w:t>primera</w:t>
            </w:r>
            <w:r>
              <w:rPr>
                <w:color w:val="231F1F"/>
                <w:spacing w:val="-3"/>
                <w:w w:val="105"/>
                <w:sz w:val="22"/>
              </w:rPr>
              <w:t> </w:t>
            </w:r>
            <w:r>
              <w:rPr>
                <w:color w:val="231F1F"/>
                <w:w w:val="105"/>
                <w:sz w:val="22"/>
              </w:rPr>
              <w:t>etapa</w:t>
            </w:r>
            <w:r>
              <w:rPr>
                <w:color w:val="231F1F"/>
                <w:spacing w:val="-3"/>
                <w:w w:val="105"/>
                <w:sz w:val="22"/>
              </w:rPr>
              <w:t> </w:t>
            </w:r>
            <w:r>
              <w:rPr>
                <w:color w:val="231F1F"/>
                <w:w w:val="105"/>
                <w:sz w:val="22"/>
              </w:rPr>
              <w:t>del</w:t>
            </w:r>
            <w:r>
              <w:rPr>
                <w:color w:val="231F1F"/>
                <w:spacing w:val="-5"/>
                <w:w w:val="105"/>
                <w:sz w:val="22"/>
              </w:rPr>
              <w:t> </w:t>
            </w:r>
            <w:r>
              <w:rPr>
                <w:color w:val="231F1F"/>
                <w:w w:val="105"/>
                <w:sz w:val="22"/>
              </w:rPr>
              <w:t>parto debido</w:t>
            </w:r>
            <w:r>
              <w:rPr>
                <w:color w:val="231F1F"/>
                <w:spacing w:val="40"/>
                <w:w w:val="105"/>
                <w:sz w:val="22"/>
              </w:rPr>
              <w:t> </w:t>
            </w:r>
            <w:r>
              <w:rPr>
                <w:color w:val="231F1F"/>
                <w:w w:val="105"/>
                <w:sz w:val="22"/>
              </w:rPr>
              <w:t>a</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dificultad</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determinar</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comienzo</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p>
        </w:tc>
      </w:tr>
    </w:tbl>
    <w:p>
      <w:pPr>
        <w:pStyle w:val="TableParagraph"/>
        <w:spacing w:after="0"/>
        <w:rPr>
          <w:sz w:val="22"/>
        </w:rPr>
        <w:sectPr>
          <w:pgSz w:w="11900" w:h="16840"/>
          <w:pgMar w:header="0" w:footer="622" w:top="1480" w:bottom="82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2457" w:hRule="atLeast"/>
        </w:trPr>
        <w:tc>
          <w:tcPr>
            <w:tcW w:w="571" w:type="dxa"/>
            <w:shd w:val="clear" w:color="auto" w:fill="F2DFDF"/>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54"/>
              <w:ind w:left="0"/>
              <w:rPr>
                <w:rFonts w:ascii="Arial MT"/>
                <w:sz w:val="22"/>
              </w:rPr>
            </w:pPr>
          </w:p>
          <w:p>
            <w:pPr>
              <w:pStyle w:val="TableParagraph"/>
              <w:ind w:left="46" w:right="7"/>
              <w:jc w:val="center"/>
              <w:rPr>
                <w:sz w:val="22"/>
              </w:rPr>
            </w:pPr>
            <w:r>
              <w:rPr>
                <w:color w:val="231F1F"/>
                <w:spacing w:val="-10"/>
                <w:w w:val="110"/>
                <w:sz w:val="22"/>
              </w:rPr>
              <w:t>C</w:t>
            </w:r>
          </w:p>
        </w:tc>
        <w:tc>
          <w:tcPr>
            <w:tcW w:w="7934" w:type="dxa"/>
            <w:shd w:val="clear" w:color="auto" w:fill="F2DFDF"/>
          </w:tcPr>
          <w:p>
            <w:pPr>
              <w:pStyle w:val="TableParagraph"/>
              <w:spacing w:line="244" w:lineRule="auto" w:before="34"/>
              <w:ind w:left="117" w:right="187"/>
              <w:rPr>
                <w:sz w:val="22"/>
              </w:rPr>
            </w:pPr>
            <w:r>
              <w:rPr>
                <w:color w:val="231F1F"/>
                <w:w w:val="110"/>
                <w:sz w:val="22"/>
              </w:rPr>
              <w:t>La</w:t>
            </w:r>
            <w:r>
              <w:rPr>
                <w:color w:val="231F1F"/>
                <w:spacing w:val="-16"/>
                <w:w w:val="110"/>
                <w:sz w:val="22"/>
              </w:rPr>
              <w:t> </w:t>
            </w:r>
            <w:r>
              <w:rPr>
                <w:color w:val="231F1F"/>
                <w:w w:val="110"/>
                <w:sz w:val="22"/>
              </w:rPr>
              <w:t>duración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fase</w:t>
            </w:r>
            <w:r>
              <w:rPr>
                <w:color w:val="231F1F"/>
                <w:spacing w:val="-15"/>
                <w:w w:val="110"/>
                <w:sz w:val="22"/>
              </w:rPr>
              <w:t> </w:t>
            </w:r>
            <w:r>
              <w:rPr>
                <w:color w:val="231F1F"/>
                <w:w w:val="110"/>
                <w:sz w:val="22"/>
              </w:rPr>
              <w:t>activa</w:t>
            </w:r>
            <w:r>
              <w:rPr>
                <w:color w:val="231F1F"/>
                <w:spacing w:val="-15"/>
                <w:w w:val="110"/>
                <w:sz w:val="22"/>
              </w:rPr>
              <w:t> </w:t>
            </w:r>
            <w:r>
              <w:rPr>
                <w:color w:val="231F1F"/>
                <w:w w:val="110"/>
                <w:sz w:val="22"/>
              </w:rPr>
              <w:t>del</w:t>
            </w:r>
            <w:r>
              <w:rPr>
                <w:color w:val="231F1F"/>
                <w:spacing w:val="-16"/>
                <w:w w:val="110"/>
                <w:sz w:val="22"/>
              </w:rPr>
              <w:t> </w:t>
            </w:r>
            <w:r>
              <w:rPr>
                <w:color w:val="231F1F"/>
                <w:w w:val="110"/>
                <w:sz w:val="22"/>
              </w:rPr>
              <w:t>parto</w:t>
            </w:r>
            <w:r>
              <w:rPr>
                <w:color w:val="231F1F"/>
                <w:spacing w:val="-15"/>
                <w:w w:val="110"/>
                <w:sz w:val="22"/>
              </w:rPr>
              <w:t> </w:t>
            </w:r>
            <w:r>
              <w:rPr>
                <w:color w:val="231F1F"/>
                <w:w w:val="110"/>
                <w:sz w:val="22"/>
              </w:rPr>
              <w:t>es</w:t>
            </w:r>
            <w:r>
              <w:rPr>
                <w:color w:val="231F1F"/>
                <w:spacing w:val="-15"/>
                <w:w w:val="110"/>
                <w:sz w:val="22"/>
              </w:rPr>
              <w:t> </w:t>
            </w:r>
            <w:r>
              <w:rPr>
                <w:color w:val="231F1F"/>
                <w:w w:val="110"/>
                <w:sz w:val="22"/>
              </w:rPr>
              <w:t>variable</w:t>
            </w:r>
            <w:r>
              <w:rPr>
                <w:color w:val="231F1F"/>
                <w:spacing w:val="-15"/>
                <w:w w:val="110"/>
                <w:sz w:val="22"/>
              </w:rPr>
              <w:t> </w:t>
            </w:r>
            <w:r>
              <w:rPr>
                <w:color w:val="231F1F"/>
                <w:w w:val="110"/>
                <w:sz w:val="22"/>
              </w:rPr>
              <w:t>entre</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mujeres</w:t>
            </w:r>
            <w:r>
              <w:rPr>
                <w:color w:val="231F1F"/>
                <w:spacing w:val="-15"/>
                <w:w w:val="110"/>
                <w:sz w:val="22"/>
              </w:rPr>
              <w:t> </w:t>
            </w:r>
            <w:r>
              <w:rPr>
                <w:color w:val="231F1F"/>
                <w:w w:val="110"/>
                <w:sz w:val="22"/>
              </w:rPr>
              <w:t>y</w:t>
            </w:r>
            <w:r>
              <w:rPr>
                <w:color w:val="231F1F"/>
                <w:spacing w:val="-16"/>
                <w:w w:val="110"/>
                <w:sz w:val="22"/>
              </w:rPr>
              <w:t> </w:t>
            </w:r>
            <w:r>
              <w:rPr>
                <w:color w:val="231F1F"/>
                <w:w w:val="110"/>
                <w:sz w:val="22"/>
              </w:rPr>
              <w:t>depende</w:t>
            </w:r>
            <w:r>
              <w:rPr>
                <w:color w:val="231F1F"/>
                <w:spacing w:val="-15"/>
                <w:w w:val="110"/>
                <w:sz w:val="22"/>
              </w:rPr>
              <w:t> </w:t>
            </w:r>
            <w:r>
              <w:rPr>
                <w:color w:val="231F1F"/>
                <w:w w:val="110"/>
                <w:sz w:val="22"/>
              </w:rPr>
              <w:t>de la paridad. Su progreso no es necesariamente lineal.</w:t>
            </w:r>
          </w:p>
          <w:p>
            <w:pPr>
              <w:pStyle w:val="TableParagraph"/>
              <w:numPr>
                <w:ilvl w:val="0"/>
                <w:numId w:val="6"/>
              </w:numPr>
              <w:tabs>
                <w:tab w:pos="788" w:val="left" w:leader="none"/>
              </w:tabs>
              <w:spacing w:line="240" w:lineRule="auto" w:before="55" w:after="0"/>
              <w:ind w:left="788" w:right="0" w:hanging="218"/>
              <w:jc w:val="left"/>
              <w:rPr>
                <w:sz w:val="22"/>
              </w:rPr>
            </w:pPr>
            <w:r>
              <w:rPr>
                <w:color w:val="231F1F"/>
                <w:w w:val="110"/>
                <w:sz w:val="22"/>
              </w:rPr>
              <w:t>En</w:t>
            </w:r>
            <w:r>
              <w:rPr>
                <w:color w:val="231F1F"/>
                <w:spacing w:val="-10"/>
                <w:w w:val="110"/>
                <w:sz w:val="22"/>
              </w:rPr>
              <w:t> </w:t>
            </w:r>
            <w:r>
              <w:rPr>
                <w:color w:val="231F1F"/>
                <w:w w:val="110"/>
                <w:sz w:val="22"/>
              </w:rPr>
              <w:t>las</w:t>
            </w:r>
            <w:r>
              <w:rPr>
                <w:color w:val="231F1F"/>
                <w:spacing w:val="-7"/>
                <w:w w:val="110"/>
                <w:sz w:val="22"/>
              </w:rPr>
              <w:t> </w:t>
            </w:r>
            <w:r>
              <w:rPr>
                <w:color w:val="231F1F"/>
                <w:spacing w:val="-2"/>
                <w:w w:val="110"/>
                <w:sz w:val="22"/>
              </w:rPr>
              <w:t>primíparas:</w:t>
            </w:r>
          </w:p>
          <w:p>
            <w:pPr>
              <w:pStyle w:val="TableParagraph"/>
              <w:numPr>
                <w:ilvl w:val="1"/>
                <w:numId w:val="6"/>
              </w:numPr>
              <w:tabs>
                <w:tab w:pos="1256" w:val="left" w:leader="none"/>
              </w:tabs>
              <w:spacing w:line="240" w:lineRule="auto" w:before="6" w:after="0"/>
              <w:ind w:left="1256" w:right="0" w:hanging="232"/>
              <w:jc w:val="left"/>
              <w:rPr>
                <w:sz w:val="22"/>
              </w:rPr>
            </w:pPr>
            <w:r>
              <w:rPr>
                <w:color w:val="231F1F"/>
                <w:w w:val="110"/>
                <w:sz w:val="22"/>
              </w:rPr>
              <w:t>El</w:t>
            </w:r>
            <w:r>
              <w:rPr>
                <w:color w:val="231F1F"/>
                <w:spacing w:val="-13"/>
                <w:w w:val="110"/>
                <w:sz w:val="22"/>
              </w:rPr>
              <w:t> </w:t>
            </w:r>
            <w:r>
              <w:rPr>
                <w:color w:val="231F1F"/>
                <w:w w:val="110"/>
                <w:sz w:val="22"/>
              </w:rPr>
              <w:t>promedio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duración</w:t>
            </w:r>
            <w:r>
              <w:rPr>
                <w:color w:val="231F1F"/>
                <w:spacing w:val="-12"/>
                <w:w w:val="110"/>
                <w:sz w:val="22"/>
              </w:rPr>
              <w:t> </w:t>
            </w:r>
            <w:r>
              <w:rPr>
                <w:color w:val="231F1F"/>
                <w:w w:val="110"/>
                <w:sz w:val="22"/>
              </w:rPr>
              <w: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8</w:t>
            </w:r>
            <w:r>
              <w:rPr>
                <w:color w:val="231F1F"/>
                <w:spacing w:val="-12"/>
                <w:w w:val="110"/>
                <w:sz w:val="22"/>
              </w:rPr>
              <w:t> </w:t>
            </w:r>
            <w:r>
              <w:rPr>
                <w:color w:val="231F1F"/>
                <w:spacing w:val="-2"/>
                <w:w w:val="110"/>
                <w:sz w:val="22"/>
              </w:rPr>
              <w:t>horas.</w:t>
            </w:r>
          </w:p>
          <w:p>
            <w:pPr>
              <w:pStyle w:val="TableParagraph"/>
              <w:numPr>
                <w:ilvl w:val="1"/>
                <w:numId w:val="6"/>
              </w:numPr>
              <w:tabs>
                <w:tab w:pos="1256" w:val="left" w:leader="none"/>
              </w:tabs>
              <w:spacing w:line="240" w:lineRule="auto" w:before="7" w:after="0"/>
              <w:ind w:left="1256" w:right="0" w:hanging="232"/>
              <w:jc w:val="left"/>
              <w:rPr>
                <w:sz w:val="22"/>
              </w:rPr>
            </w:pPr>
            <w:r>
              <w:rPr>
                <w:color w:val="231F1F"/>
                <w:sz w:val="22"/>
              </w:rPr>
              <w:t>Es</w:t>
            </w:r>
            <w:r>
              <w:rPr>
                <w:color w:val="231F1F"/>
                <w:spacing w:val="30"/>
                <w:sz w:val="22"/>
              </w:rPr>
              <w:t> </w:t>
            </w:r>
            <w:r>
              <w:rPr>
                <w:color w:val="231F1F"/>
                <w:sz w:val="22"/>
              </w:rPr>
              <w:t>improbable</w:t>
            </w:r>
            <w:r>
              <w:rPr>
                <w:color w:val="231F1F"/>
                <w:spacing w:val="30"/>
                <w:sz w:val="22"/>
              </w:rPr>
              <w:t> </w:t>
            </w:r>
            <w:r>
              <w:rPr>
                <w:color w:val="231F1F"/>
                <w:sz w:val="22"/>
              </w:rPr>
              <w:t>que</w:t>
            </w:r>
            <w:r>
              <w:rPr>
                <w:color w:val="231F1F"/>
                <w:spacing w:val="30"/>
                <w:sz w:val="22"/>
              </w:rPr>
              <w:t> </w:t>
            </w:r>
            <w:r>
              <w:rPr>
                <w:color w:val="231F1F"/>
                <w:sz w:val="22"/>
              </w:rPr>
              <w:t>dure</w:t>
            </w:r>
            <w:r>
              <w:rPr>
                <w:color w:val="231F1F"/>
                <w:spacing w:val="31"/>
                <w:sz w:val="22"/>
              </w:rPr>
              <w:t> </w:t>
            </w:r>
            <w:r>
              <w:rPr>
                <w:color w:val="231F1F"/>
                <w:sz w:val="22"/>
              </w:rPr>
              <w:t>más</w:t>
            </w:r>
            <w:r>
              <w:rPr>
                <w:color w:val="231F1F"/>
                <w:spacing w:val="30"/>
                <w:sz w:val="22"/>
              </w:rPr>
              <w:t> </w:t>
            </w:r>
            <w:r>
              <w:rPr>
                <w:color w:val="231F1F"/>
                <w:sz w:val="22"/>
              </w:rPr>
              <w:t>de</w:t>
            </w:r>
            <w:r>
              <w:rPr>
                <w:color w:val="231F1F"/>
                <w:spacing w:val="30"/>
                <w:sz w:val="22"/>
              </w:rPr>
              <w:t> </w:t>
            </w:r>
            <w:r>
              <w:rPr>
                <w:color w:val="231F1F"/>
                <w:sz w:val="22"/>
              </w:rPr>
              <w:t>18</w:t>
            </w:r>
            <w:r>
              <w:rPr>
                <w:color w:val="231F1F"/>
                <w:spacing w:val="31"/>
                <w:sz w:val="22"/>
              </w:rPr>
              <w:t> </w:t>
            </w:r>
            <w:r>
              <w:rPr>
                <w:color w:val="231F1F"/>
                <w:spacing w:val="-2"/>
                <w:sz w:val="22"/>
              </w:rPr>
              <w:t>horas.</w:t>
            </w:r>
          </w:p>
          <w:p>
            <w:pPr>
              <w:pStyle w:val="TableParagraph"/>
              <w:numPr>
                <w:ilvl w:val="0"/>
                <w:numId w:val="6"/>
              </w:numPr>
              <w:tabs>
                <w:tab w:pos="788" w:val="left" w:leader="none"/>
              </w:tabs>
              <w:spacing w:line="240" w:lineRule="auto" w:before="68" w:after="0"/>
              <w:ind w:left="788" w:right="0" w:hanging="218"/>
              <w:jc w:val="left"/>
              <w:rPr>
                <w:sz w:val="22"/>
              </w:rPr>
            </w:pPr>
            <w:r>
              <w:rPr>
                <w:color w:val="231F1F"/>
                <w:w w:val="110"/>
                <w:sz w:val="22"/>
              </w:rPr>
              <w:t>En</w:t>
            </w:r>
            <w:r>
              <w:rPr>
                <w:color w:val="231F1F"/>
                <w:spacing w:val="-10"/>
                <w:w w:val="110"/>
                <w:sz w:val="22"/>
              </w:rPr>
              <w:t> </w:t>
            </w:r>
            <w:r>
              <w:rPr>
                <w:color w:val="231F1F"/>
                <w:w w:val="110"/>
                <w:sz w:val="22"/>
              </w:rPr>
              <w:t>las</w:t>
            </w:r>
            <w:r>
              <w:rPr>
                <w:color w:val="231F1F"/>
                <w:spacing w:val="-7"/>
                <w:w w:val="110"/>
                <w:sz w:val="22"/>
              </w:rPr>
              <w:t> </w:t>
            </w:r>
            <w:r>
              <w:rPr>
                <w:color w:val="231F1F"/>
                <w:spacing w:val="-2"/>
                <w:w w:val="110"/>
                <w:sz w:val="22"/>
              </w:rPr>
              <w:t>multíparas:</w:t>
            </w:r>
          </w:p>
          <w:p>
            <w:pPr>
              <w:pStyle w:val="TableParagraph"/>
              <w:numPr>
                <w:ilvl w:val="1"/>
                <w:numId w:val="6"/>
              </w:numPr>
              <w:tabs>
                <w:tab w:pos="1256" w:val="left" w:leader="none"/>
              </w:tabs>
              <w:spacing w:line="240" w:lineRule="auto" w:before="7" w:after="0"/>
              <w:ind w:left="1256" w:right="0" w:hanging="232"/>
              <w:jc w:val="left"/>
              <w:rPr>
                <w:sz w:val="22"/>
              </w:rPr>
            </w:pPr>
            <w:r>
              <w:rPr>
                <w:color w:val="231F1F"/>
                <w:w w:val="110"/>
                <w:sz w:val="22"/>
              </w:rPr>
              <w:t>El</w:t>
            </w:r>
            <w:r>
              <w:rPr>
                <w:color w:val="231F1F"/>
                <w:spacing w:val="-13"/>
                <w:w w:val="110"/>
                <w:sz w:val="22"/>
              </w:rPr>
              <w:t> </w:t>
            </w:r>
            <w:r>
              <w:rPr>
                <w:color w:val="231F1F"/>
                <w:w w:val="110"/>
                <w:sz w:val="22"/>
              </w:rPr>
              <w:t>promedio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duración</w:t>
            </w:r>
            <w:r>
              <w:rPr>
                <w:color w:val="231F1F"/>
                <w:spacing w:val="-12"/>
                <w:w w:val="110"/>
                <w:sz w:val="22"/>
              </w:rPr>
              <w:t> </w:t>
            </w:r>
            <w:r>
              <w:rPr>
                <w:color w:val="231F1F"/>
                <w:w w:val="110"/>
                <w:sz w:val="22"/>
              </w:rPr>
              <w: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5</w:t>
            </w:r>
            <w:r>
              <w:rPr>
                <w:color w:val="231F1F"/>
                <w:spacing w:val="-12"/>
                <w:w w:val="110"/>
                <w:sz w:val="22"/>
              </w:rPr>
              <w:t> </w:t>
            </w:r>
            <w:r>
              <w:rPr>
                <w:color w:val="231F1F"/>
                <w:spacing w:val="-2"/>
                <w:w w:val="110"/>
                <w:sz w:val="22"/>
              </w:rPr>
              <w:t>horas.</w:t>
            </w:r>
          </w:p>
          <w:p>
            <w:pPr>
              <w:pStyle w:val="TableParagraph"/>
              <w:numPr>
                <w:ilvl w:val="1"/>
                <w:numId w:val="6"/>
              </w:numPr>
              <w:tabs>
                <w:tab w:pos="1256" w:val="left" w:leader="none"/>
              </w:tabs>
              <w:spacing w:line="240" w:lineRule="auto" w:before="11" w:after="0"/>
              <w:ind w:left="1256" w:right="0" w:hanging="232"/>
              <w:jc w:val="left"/>
              <w:rPr>
                <w:sz w:val="22"/>
              </w:rPr>
            </w:pPr>
            <w:r>
              <w:rPr>
                <w:color w:val="231F1F"/>
                <w:sz w:val="22"/>
              </w:rPr>
              <w:t>Es</w:t>
            </w:r>
            <w:r>
              <w:rPr>
                <w:color w:val="231F1F"/>
                <w:spacing w:val="30"/>
                <w:sz w:val="22"/>
              </w:rPr>
              <w:t> </w:t>
            </w:r>
            <w:r>
              <w:rPr>
                <w:color w:val="231F1F"/>
                <w:sz w:val="22"/>
              </w:rPr>
              <w:t>improbable</w:t>
            </w:r>
            <w:r>
              <w:rPr>
                <w:color w:val="231F1F"/>
                <w:spacing w:val="30"/>
                <w:sz w:val="22"/>
              </w:rPr>
              <w:t> </w:t>
            </w:r>
            <w:r>
              <w:rPr>
                <w:color w:val="231F1F"/>
                <w:sz w:val="22"/>
              </w:rPr>
              <w:t>que</w:t>
            </w:r>
            <w:r>
              <w:rPr>
                <w:color w:val="231F1F"/>
                <w:spacing w:val="30"/>
                <w:sz w:val="22"/>
              </w:rPr>
              <w:t> </w:t>
            </w:r>
            <w:r>
              <w:rPr>
                <w:color w:val="231F1F"/>
                <w:sz w:val="22"/>
              </w:rPr>
              <w:t>dure</w:t>
            </w:r>
            <w:r>
              <w:rPr>
                <w:color w:val="231F1F"/>
                <w:spacing w:val="31"/>
                <w:sz w:val="22"/>
              </w:rPr>
              <w:t> </w:t>
            </w:r>
            <w:r>
              <w:rPr>
                <w:color w:val="231F1F"/>
                <w:sz w:val="22"/>
              </w:rPr>
              <w:t>más</w:t>
            </w:r>
            <w:r>
              <w:rPr>
                <w:color w:val="231F1F"/>
                <w:spacing w:val="30"/>
                <w:sz w:val="22"/>
              </w:rPr>
              <w:t> </w:t>
            </w:r>
            <w:r>
              <w:rPr>
                <w:color w:val="231F1F"/>
                <w:sz w:val="22"/>
              </w:rPr>
              <w:t>de</w:t>
            </w:r>
            <w:r>
              <w:rPr>
                <w:color w:val="231F1F"/>
                <w:spacing w:val="30"/>
                <w:sz w:val="22"/>
              </w:rPr>
              <w:t> </w:t>
            </w:r>
            <w:r>
              <w:rPr>
                <w:color w:val="231F1F"/>
                <w:sz w:val="22"/>
              </w:rPr>
              <w:t>12</w:t>
            </w:r>
            <w:r>
              <w:rPr>
                <w:color w:val="231F1F"/>
                <w:spacing w:val="31"/>
                <w:sz w:val="22"/>
              </w:rPr>
              <w:t> </w:t>
            </w:r>
            <w:r>
              <w:rPr>
                <w:color w:val="231F1F"/>
                <w:spacing w:val="-2"/>
                <w:sz w:val="22"/>
              </w:rPr>
              <w:t>horas</w:t>
            </w:r>
          </w:p>
        </w:tc>
      </w:tr>
      <w:tr>
        <w:trPr>
          <w:trHeight w:val="945" w:hRule="atLeast"/>
        </w:trPr>
        <w:tc>
          <w:tcPr>
            <w:tcW w:w="571" w:type="dxa"/>
            <w:shd w:val="clear" w:color="auto" w:fill="F2DFDF"/>
          </w:tcPr>
          <w:p>
            <w:pPr>
              <w:pStyle w:val="TableParagraph"/>
              <w:spacing w:before="78"/>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34"/>
              <w:ind w:left="117" w:right="86"/>
              <w:jc w:val="both"/>
              <w:rPr>
                <w:sz w:val="22"/>
              </w:rPr>
            </w:pPr>
            <w:r>
              <w:rPr>
                <w:color w:val="231F1F"/>
                <w:w w:val="110"/>
                <w:sz w:val="22"/>
              </w:rPr>
              <w:t>La</w:t>
            </w:r>
            <w:r>
              <w:rPr>
                <w:color w:val="231F1F"/>
                <w:spacing w:val="-9"/>
                <w:w w:val="110"/>
                <w:sz w:val="22"/>
              </w:rPr>
              <w:t> </w:t>
            </w:r>
            <w:r>
              <w:rPr>
                <w:color w:val="231F1F"/>
                <w:w w:val="110"/>
                <w:sz w:val="22"/>
              </w:rPr>
              <w:t>decisión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intervenir</w:t>
            </w:r>
            <w:r>
              <w:rPr>
                <w:color w:val="231F1F"/>
                <w:spacing w:val="-10"/>
                <w:w w:val="110"/>
                <w:sz w:val="22"/>
              </w:rPr>
              <w:t> </w:t>
            </w:r>
            <w:r>
              <w:rPr>
                <w:color w:val="231F1F"/>
                <w:w w:val="110"/>
                <w:sz w:val="22"/>
              </w:rPr>
              <w:t>ante</w:t>
            </w:r>
            <w:r>
              <w:rPr>
                <w:color w:val="231F1F"/>
                <w:spacing w:val="-9"/>
                <w:w w:val="110"/>
                <w:sz w:val="22"/>
              </w:rPr>
              <w:t> </w:t>
            </w:r>
            <w:r>
              <w:rPr>
                <w:color w:val="231F1F"/>
                <w:w w:val="110"/>
                <w:sz w:val="22"/>
              </w:rPr>
              <w:t>una</w:t>
            </w:r>
            <w:r>
              <w:rPr>
                <w:color w:val="231F1F"/>
                <w:spacing w:val="-9"/>
                <w:w w:val="110"/>
                <w:sz w:val="22"/>
              </w:rPr>
              <w:t> </w:t>
            </w:r>
            <w:r>
              <w:rPr>
                <w:color w:val="231F1F"/>
                <w:w w:val="110"/>
                <w:sz w:val="22"/>
              </w:rPr>
              <w:t>supuesta</w:t>
            </w:r>
            <w:r>
              <w:rPr>
                <w:color w:val="231F1F"/>
                <w:spacing w:val="-10"/>
                <w:w w:val="110"/>
                <w:sz w:val="22"/>
              </w:rPr>
              <w:t> </w:t>
            </w:r>
            <w:r>
              <w:rPr>
                <w:color w:val="231F1F"/>
                <w:w w:val="110"/>
                <w:sz w:val="22"/>
              </w:rPr>
              <w:t>prolongación</w:t>
            </w:r>
            <w:r>
              <w:rPr>
                <w:color w:val="231F1F"/>
                <w:spacing w:val="-10"/>
                <w:w w:val="110"/>
                <w:sz w:val="22"/>
              </w:rPr>
              <w:t> </w:t>
            </w:r>
            <w:r>
              <w:rPr>
                <w:color w:val="231F1F"/>
                <w:w w:val="110"/>
                <w:sz w:val="22"/>
              </w:rPr>
              <w:t>de</w:t>
            </w:r>
            <w:r>
              <w:rPr>
                <w:color w:val="231F1F"/>
                <w:spacing w:val="-9"/>
                <w:w w:val="110"/>
                <w:sz w:val="22"/>
              </w:rPr>
              <w:t> </w:t>
            </w:r>
            <w:r>
              <w:rPr>
                <w:color w:val="231F1F"/>
                <w:w w:val="110"/>
                <w:sz w:val="22"/>
              </w:rPr>
              <w:t>la</w:t>
            </w:r>
            <w:r>
              <w:rPr>
                <w:color w:val="231F1F"/>
                <w:spacing w:val="-9"/>
                <w:w w:val="110"/>
                <w:sz w:val="22"/>
              </w:rPr>
              <w:t> </w:t>
            </w:r>
            <w:r>
              <w:rPr>
                <w:color w:val="231F1F"/>
                <w:w w:val="110"/>
                <w:sz w:val="22"/>
              </w:rPr>
              <w:t>primera</w:t>
            </w:r>
            <w:r>
              <w:rPr>
                <w:color w:val="231F1F"/>
                <w:spacing w:val="-9"/>
                <w:w w:val="110"/>
                <w:sz w:val="22"/>
              </w:rPr>
              <w:t> </w:t>
            </w:r>
            <w:r>
              <w:rPr>
                <w:color w:val="231F1F"/>
                <w:w w:val="110"/>
                <w:sz w:val="22"/>
              </w:rPr>
              <w:t>etapa</w:t>
            </w:r>
            <w:r>
              <w:rPr>
                <w:color w:val="231F1F"/>
                <w:spacing w:val="-9"/>
                <w:w w:val="110"/>
                <w:sz w:val="22"/>
              </w:rPr>
              <w:t> </w:t>
            </w:r>
            <w:r>
              <w:rPr>
                <w:color w:val="231F1F"/>
                <w:w w:val="110"/>
                <w:sz w:val="22"/>
              </w:rPr>
              <w:t>del parto</w:t>
            </w:r>
            <w:r>
              <w:rPr>
                <w:color w:val="231F1F"/>
                <w:spacing w:val="-11"/>
                <w:w w:val="110"/>
                <w:sz w:val="22"/>
              </w:rPr>
              <w:t> </w:t>
            </w:r>
            <w:r>
              <w:rPr>
                <w:color w:val="231F1F"/>
                <w:w w:val="110"/>
                <w:sz w:val="22"/>
              </w:rPr>
              <w:t>se</w:t>
            </w:r>
            <w:r>
              <w:rPr>
                <w:color w:val="231F1F"/>
                <w:spacing w:val="-11"/>
                <w:w w:val="110"/>
                <w:sz w:val="22"/>
              </w:rPr>
              <w:t> </w:t>
            </w:r>
            <w:r>
              <w:rPr>
                <w:color w:val="231F1F"/>
                <w:w w:val="110"/>
                <w:sz w:val="22"/>
              </w:rPr>
              <w:t>debe</w:t>
            </w:r>
            <w:r>
              <w:rPr>
                <w:color w:val="231F1F"/>
                <w:spacing w:val="-11"/>
                <w:w w:val="110"/>
                <w:sz w:val="22"/>
              </w:rPr>
              <w:t> </w:t>
            </w:r>
            <w:r>
              <w:rPr>
                <w:color w:val="231F1F"/>
                <w:w w:val="110"/>
                <w:sz w:val="22"/>
              </w:rPr>
              <w:t>tomar</w:t>
            </w:r>
            <w:r>
              <w:rPr>
                <w:color w:val="231F1F"/>
                <w:spacing w:val="-11"/>
                <w:w w:val="110"/>
                <w:sz w:val="22"/>
              </w:rPr>
              <w:t> </w:t>
            </w:r>
            <w:r>
              <w:rPr>
                <w:color w:val="231F1F"/>
                <w:w w:val="110"/>
                <w:sz w:val="22"/>
              </w:rPr>
              <w:t>en</w:t>
            </w:r>
            <w:r>
              <w:rPr>
                <w:color w:val="231F1F"/>
                <w:spacing w:val="-10"/>
                <w:w w:val="110"/>
                <w:sz w:val="22"/>
              </w:rPr>
              <w:t> </w:t>
            </w:r>
            <w:r>
              <w:rPr>
                <w:color w:val="231F1F"/>
                <w:w w:val="110"/>
                <w:sz w:val="22"/>
              </w:rPr>
              <w:t>función</w:t>
            </w:r>
            <w:r>
              <w:rPr>
                <w:color w:val="231F1F"/>
                <w:spacing w:val="-10"/>
                <w:w w:val="110"/>
                <w:sz w:val="22"/>
              </w:rPr>
              <w:t> </w:t>
            </w:r>
            <w:r>
              <w:rPr>
                <w:color w:val="231F1F"/>
                <w:w w:val="110"/>
                <w:sz w:val="22"/>
              </w:rPr>
              <w:t>del</w:t>
            </w:r>
            <w:r>
              <w:rPr>
                <w:color w:val="231F1F"/>
                <w:spacing w:val="-11"/>
                <w:w w:val="110"/>
                <w:sz w:val="22"/>
              </w:rPr>
              <w:t> </w:t>
            </w:r>
            <w:r>
              <w:rPr>
                <w:color w:val="231F1F"/>
                <w:w w:val="110"/>
                <w:sz w:val="22"/>
              </w:rPr>
              <w:t>progreso</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la</w:t>
            </w:r>
            <w:r>
              <w:rPr>
                <w:color w:val="231F1F"/>
                <w:spacing w:val="-10"/>
                <w:w w:val="110"/>
                <w:sz w:val="22"/>
              </w:rPr>
              <w:t> </w:t>
            </w:r>
            <w:r>
              <w:rPr>
                <w:color w:val="231F1F"/>
                <w:w w:val="110"/>
                <w:sz w:val="22"/>
              </w:rPr>
              <w:t>dilatación</w:t>
            </w:r>
            <w:r>
              <w:rPr>
                <w:color w:val="231F1F"/>
                <w:spacing w:val="-11"/>
                <w:w w:val="110"/>
                <w:sz w:val="22"/>
              </w:rPr>
              <w:t> </w:t>
            </w:r>
            <w:r>
              <w:rPr>
                <w:color w:val="231F1F"/>
                <w:w w:val="110"/>
                <w:sz w:val="22"/>
              </w:rPr>
              <w:t>y</w:t>
            </w:r>
            <w:r>
              <w:rPr>
                <w:color w:val="231F1F"/>
                <w:spacing w:val="-10"/>
                <w:w w:val="110"/>
                <w:sz w:val="22"/>
              </w:rPr>
              <w:t> </w:t>
            </w:r>
            <w:r>
              <w:rPr>
                <w:color w:val="231F1F"/>
                <w:w w:val="110"/>
                <w:sz w:val="22"/>
              </w:rPr>
              <w:t>otros</w:t>
            </w:r>
            <w:r>
              <w:rPr>
                <w:color w:val="231F1F"/>
                <w:spacing w:val="-11"/>
                <w:w w:val="110"/>
                <w:sz w:val="22"/>
              </w:rPr>
              <w:t> </w:t>
            </w:r>
            <w:r>
              <w:rPr>
                <w:color w:val="231F1F"/>
                <w:w w:val="110"/>
                <w:sz w:val="22"/>
              </w:rPr>
              <w:t>factores</w:t>
            </w:r>
            <w:r>
              <w:rPr>
                <w:color w:val="231F1F"/>
                <w:spacing w:val="-11"/>
                <w:w w:val="110"/>
                <w:sz w:val="22"/>
              </w:rPr>
              <w:t> </w:t>
            </w:r>
            <w:r>
              <w:rPr>
                <w:color w:val="231F1F"/>
                <w:w w:val="110"/>
                <w:sz w:val="22"/>
              </w:rPr>
              <w:t>obs- tétricos y no exclusivamente en base a la duración.</w:t>
            </w:r>
          </w:p>
        </w:tc>
      </w:tr>
      <w:tr>
        <w:trPr>
          <w:trHeight w:val="383" w:hRule="atLeast"/>
        </w:trPr>
        <w:tc>
          <w:tcPr>
            <w:tcW w:w="8505" w:type="dxa"/>
            <w:gridSpan w:val="2"/>
          </w:tcPr>
          <w:p>
            <w:pPr>
              <w:pStyle w:val="TableParagraph"/>
              <w:spacing w:before="53"/>
              <w:rPr>
                <w:sz w:val="22"/>
              </w:rPr>
            </w:pPr>
            <w:r>
              <w:rPr>
                <w:color w:val="231F1F"/>
                <w:sz w:val="22"/>
              </w:rPr>
              <w:t>5.3.</w:t>
            </w:r>
            <w:r>
              <w:rPr>
                <w:color w:val="231F1F"/>
                <w:spacing w:val="20"/>
                <w:sz w:val="22"/>
              </w:rPr>
              <w:t> </w:t>
            </w:r>
            <w:r>
              <w:rPr>
                <w:color w:val="231F1F"/>
                <w:sz w:val="22"/>
              </w:rPr>
              <w:t>Admisión</w:t>
            </w:r>
            <w:r>
              <w:rPr>
                <w:color w:val="231F1F"/>
                <w:spacing w:val="21"/>
                <w:sz w:val="22"/>
              </w:rPr>
              <w:t> </w:t>
            </w:r>
            <w:r>
              <w:rPr>
                <w:color w:val="231F1F"/>
                <w:sz w:val="22"/>
              </w:rPr>
              <w:t>en</w:t>
            </w:r>
            <w:r>
              <w:rPr>
                <w:color w:val="231F1F"/>
                <w:spacing w:val="23"/>
                <w:sz w:val="22"/>
              </w:rPr>
              <w:t> </w:t>
            </w:r>
            <w:r>
              <w:rPr>
                <w:color w:val="231F1F"/>
                <w:spacing w:val="-2"/>
                <w:sz w:val="22"/>
              </w:rPr>
              <w:t>maternidad</w:t>
            </w:r>
          </w:p>
        </w:tc>
      </w:tr>
      <w:tr>
        <w:trPr>
          <w:trHeight w:val="662" w:hRule="atLeast"/>
        </w:trPr>
        <w:tc>
          <w:tcPr>
            <w:tcW w:w="571" w:type="dxa"/>
          </w:tcPr>
          <w:p>
            <w:pPr>
              <w:pStyle w:val="TableParagraph"/>
              <w:spacing w:before="187"/>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9" w:lineRule="auto" w:before="34"/>
              <w:ind w:left="116"/>
              <w:rPr>
                <w:sz w:val="22"/>
              </w:rPr>
            </w:pPr>
            <w:r>
              <w:rPr>
                <w:color w:val="231F1F"/>
                <w:spacing w:val="-2"/>
                <w:w w:val="105"/>
                <w:sz w:val="22"/>
              </w:rPr>
              <w:t>Se</w:t>
            </w:r>
            <w:r>
              <w:rPr>
                <w:color w:val="231F1F"/>
                <w:spacing w:val="-8"/>
                <w:w w:val="105"/>
                <w:sz w:val="22"/>
              </w:rPr>
              <w:t> </w:t>
            </w:r>
            <w:r>
              <w:rPr>
                <w:color w:val="231F1F"/>
                <w:spacing w:val="-2"/>
                <w:w w:val="105"/>
                <w:sz w:val="22"/>
              </w:rPr>
              <w:t>recomienda</w:t>
            </w:r>
            <w:r>
              <w:rPr>
                <w:color w:val="231F1F"/>
                <w:spacing w:val="-5"/>
                <w:w w:val="105"/>
                <w:sz w:val="22"/>
              </w:rPr>
              <w:t> </w:t>
            </w:r>
            <w:r>
              <w:rPr>
                <w:color w:val="231F1F"/>
                <w:spacing w:val="-2"/>
                <w:w w:val="105"/>
                <w:sz w:val="22"/>
              </w:rPr>
              <w:t>que</w:t>
            </w:r>
            <w:r>
              <w:rPr>
                <w:color w:val="231F1F"/>
                <w:spacing w:val="-8"/>
                <w:w w:val="105"/>
                <w:sz w:val="22"/>
              </w:rPr>
              <w:t> </w:t>
            </w:r>
            <w:r>
              <w:rPr>
                <w:color w:val="231F1F"/>
                <w:spacing w:val="-2"/>
                <w:w w:val="105"/>
                <w:sz w:val="22"/>
              </w:rPr>
              <w:t>la</w:t>
            </w:r>
            <w:r>
              <w:rPr>
                <w:color w:val="231F1F"/>
                <w:spacing w:val="-5"/>
                <w:w w:val="105"/>
                <w:sz w:val="22"/>
              </w:rPr>
              <w:t> </w:t>
            </w:r>
            <w:r>
              <w:rPr>
                <w:color w:val="231F1F"/>
                <w:spacing w:val="-2"/>
                <w:w w:val="105"/>
                <w:sz w:val="22"/>
              </w:rPr>
              <w:t>admisión</w:t>
            </w:r>
            <w:r>
              <w:rPr>
                <w:color w:val="231F1F"/>
                <w:spacing w:val="-6"/>
                <w:w w:val="105"/>
                <w:sz w:val="22"/>
              </w:rPr>
              <w:t> </w:t>
            </w:r>
            <w:r>
              <w:rPr>
                <w:color w:val="231F1F"/>
                <w:spacing w:val="-2"/>
                <w:w w:val="105"/>
                <w:sz w:val="22"/>
              </w:rPr>
              <w:t>se</w:t>
            </w:r>
            <w:r>
              <w:rPr>
                <w:color w:val="231F1F"/>
                <w:spacing w:val="-6"/>
                <w:w w:val="105"/>
                <w:sz w:val="22"/>
              </w:rPr>
              <w:t> </w:t>
            </w:r>
            <w:r>
              <w:rPr>
                <w:color w:val="231F1F"/>
                <w:spacing w:val="-2"/>
                <w:w w:val="105"/>
                <w:sz w:val="22"/>
              </w:rPr>
              <w:t>realice</w:t>
            </w:r>
            <w:r>
              <w:rPr>
                <w:color w:val="231F1F"/>
                <w:spacing w:val="-6"/>
                <w:w w:val="105"/>
                <w:sz w:val="22"/>
              </w:rPr>
              <w:t> </w:t>
            </w:r>
            <w:r>
              <w:rPr>
                <w:color w:val="231F1F"/>
                <w:spacing w:val="-2"/>
                <w:w w:val="105"/>
                <w:sz w:val="22"/>
              </w:rPr>
              <w:t>cuando</w:t>
            </w:r>
            <w:r>
              <w:rPr>
                <w:color w:val="231F1F"/>
                <w:spacing w:val="-5"/>
                <w:w w:val="105"/>
                <w:sz w:val="22"/>
              </w:rPr>
              <w:t> </w:t>
            </w:r>
            <w:r>
              <w:rPr>
                <w:color w:val="231F1F"/>
                <w:spacing w:val="-2"/>
                <w:w w:val="105"/>
                <w:sz w:val="22"/>
              </w:rPr>
              <w:t>se</w:t>
            </w:r>
            <w:r>
              <w:rPr>
                <w:color w:val="231F1F"/>
                <w:spacing w:val="-6"/>
                <w:w w:val="105"/>
                <w:sz w:val="22"/>
              </w:rPr>
              <w:t> </w:t>
            </w:r>
            <w:r>
              <w:rPr>
                <w:color w:val="231F1F"/>
                <w:spacing w:val="-2"/>
                <w:w w:val="105"/>
                <w:sz w:val="22"/>
              </w:rPr>
              <w:t>cumplan</w:t>
            </w:r>
            <w:r>
              <w:rPr>
                <w:color w:val="231F1F"/>
                <w:spacing w:val="-6"/>
                <w:w w:val="105"/>
                <w:sz w:val="22"/>
              </w:rPr>
              <w:t> </w:t>
            </w:r>
            <w:r>
              <w:rPr>
                <w:color w:val="231F1F"/>
                <w:spacing w:val="-2"/>
                <w:w w:val="105"/>
                <w:sz w:val="22"/>
              </w:rPr>
              <w:t>los</w:t>
            </w:r>
            <w:r>
              <w:rPr>
                <w:color w:val="231F1F"/>
                <w:spacing w:val="-5"/>
                <w:w w:val="105"/>
                <w:sz w:val="22"/>
              </w:rPr>
              <w:t> </w:t>
            </w:r>
            <w:r>
              <w:rPr>
                <w:color w:val="231F1F"/>
                <w:spacing w:val="-2"/>
                <w:w w:val="105"/>
                <w:sz w:val="22"/>
              </w:rPr>
              <w:t>siguientes</w:t>
            </w:r>
            <w:r>
              <w:rPr>
                <w:color w:val="231F1F"/>
                <w:spacing w:val="-8"/>
                <w:w w:val="105"/>
                <w:sz w:val="22"/>
              </w:rPr>
              <w:t> </w:t>
            </w:r>
            <w:r>
              <w:rPr>
                <w:color w:val="231F1F"/>
                <w:spacing w:val="-2"/>
                <w:w w:val="105"/>
                <w:sz w:val="22"/>
              </w:rPr>
              <w:t>criterios: </w:t>
            </w:r>
            <w:r>
              <w:rPr>
                <w:color w:val="231F1F"/>
                <w:w w:val="105"/>
                <w:sz w:val="22"/>
              </w:rPr>
              <w:t>dinámica uterina regular, borramiento cervical &gt; 50% y una dilatación de 3-4 cm.</w:t>
            </w:r>
          </w:p>
        </w:tc>
      </w:tr>
      <w:tr>
        <w:trPr>
          <w:trHeight w:val="1223" w:hRule="atLeast"/>
        </w:trPr>
        <w:tc>
          <w:tcPr>
            <w:tcW w:w="571" w:type="dxa"/>
          </w:tcPr>
          <w:p>
            <w:pPr>
              <w:pStyle w:val="TableParagraph"/>
              <w:spacing w:before="217"/>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9"/>
              <w:ind w:left="117" w:right="85"/>
              <w:jc w:val="both"/>
              <w:rPr>
                <w:sz w:val="22"/>
              </w:rPr>
            </w:pPr>
            <w:r>
              <w:rPr>
                <w:color w:val="231F1F"/>
                <w:w w:val="105"/>
                <w:sz w:val="22"/>
              </w:rPr>
              <w:t>Se recomienda ofrecer apoyo individualizado a aquellas mujeres, que acudan para ser atendidas por presentar contracciones dolorosas y que no están en fase activa</w:t>
            </w:r>
            <w:r>
              <w:rPr>
                <w:color w:val="231F1F"/>
                <w:spacing w:val="80"/>
                <w:w w:val="105"/>
                <w:sz w:val="22"/>
              </w:rPr>
              <w:t> </w:t>
            </w:r>
            <w:r>
              <w:rPr>
                <w:color w:val="231F1F"/>
                <w:w w:val="105"/>
                <w:sz w:val="22"/>
              </w:rPr>
              <w:t>de</w:t>
            </w:r>
            <w:r>
              <w:rPr>
                <w:color w:val="231F1F"/>
                <w:w w:val="105"/>
                <w:sz w:val="22"/>
              </w:rPr>
              <w:t> parto,</w:t>
            </w:r>
            <w:r>
              <w:rPr>
                <w:color w:val="231F1F"/>
                <w:w w:val="105"/>
                <w:sz w:val="22"/>
              </w:rPr>
              <w:t> alentándolas</w:t>
            </w:r>
            <w:r>
              <w:rPr>
                <w:color w:val="231F1F"/>
                <w:w w:val="105"/>
                <w:sz w:val="22"/>
              </w:rPr>
              <w:t> a</w:t>
            </w:r>
            <w:r>
              <w:rPr>
                <w:color w:val="231F1F"/>
                <w:w w:val="105"/>
                <w:sz w:val="22"/>
              </w:rPr>
              <w:t> que</w:t>
            </w:r>
            <w:r>
              <w:rPr>
                <w:color w:val="231F1F"/>
                <w:w w:val="105"/>
                <w:sz w:val="22"/>
              </w:rPr>
              <w:t> retornen</w:t>
            </w:r>
            <w:r>
              <w:rPr>
                <w:color w:val="231F1F"/>
                <w:w w:val="105"/>
                <w:sz w:val="22"/>
              </w:rPr>
              <w:t> a</w:t>
            </w:r>
            <w:r>
              <w:rPr>
                <w:color w:val="231F1F"/>
                <w:w w:val="105"/>
                <w:sz w:val="22"/>
              </w:rPr>
              <w:t> sus</w:t>
            </w:r>
            <w:r>
              <w:rPr>
                <w:color w:val="231F1F"/>
                <w:w w:val="105"/>
                <w:sz w:val="22"/>
              </w:rPr>
              <w:t> domicilios</w:t>
            </w:r>
            <w:r>
              <w:rPr>
                <w:color w:val="231F1F"/>
                <w:w w:val="105"/>
                <w:sz w:val="22"/>
              </w:rPr>
              <w:t> hasta</w:t>
            </w:r>
            <w:r>
              <w:rPr>
                <w:color w:val="231F1F"/>
                <w:w w:val="105"/>
                <w:sz w:val="22"/>
              </w:rPr>
              <w:t> el</w:t>
            </w:r>
            <w:r>
              <w:rPr>
                <w:color w:val="231F1F"/>
                <w:w w:val="105"/>
                <w:sz w:val="22"/>
              </w:rPr>
              <w:t> inicio</w:t>
            </w:r>
            <w:r>
              <w:rPr>
                <w:color w:val="231F1F"/>
                <w:w w:val="105"/>
                <w:sz w:val="22"/>
              </w:rPr>
              <w:t> de</w:t>
            </w:r>
            <w:r>
              <w:rPr>
                <w:color w:val="231F1F"/>
                <w:w w:val="105"/>
                <w:sz w:val="22"/>
              </w:rPr>
              <w:t> la</w:t>
            </w:r>
            <w:r>
              <w:rPr>
                <w:color w:val="231F1F"/>
                <w:w w:val="105"/>
                <w:sz w:val="22"/>
              </w:rPr>
              <w:t> fase activa del parto.</w:t>
            </w:r>
          </w:p>
        </w:tc>
      </w:tr>
      <w:tr>
        <w:trPr>
          <w:trHeight w:val="388" w:hRule="atLeast"/>
        </w:trPr>
        <w:tc>
          <w:tcPr>
            <w:tcW w:w="8505" w:type="dxa"/>
            <w:gridSpan w:val="2"/>
          </w:tcPr>
          <w:p>
            <w:pPr>
              <w:pStyle w:val="TableParagraph"/>
              <w:spacing w:before="34"/>
              <w:rPr>
                <w:sz w:val="22"/>
              </w:rPr>
            </w:pPr>
            <w:r>
              <w:rPr>
                <w:color w:val="231F1F"/>
                <w:w w:val="105"/>
                <w:sz w:val="22"/>
              </w:rPr>
              <w:t>5.4.</w:t>
            </w:r>
            <w:r>
              <w:rPr>
                <w:color w:val="231F1F"/>
                <w:spacing w:val="-6"/>
                <w:w w:val="105"/>
                <w:sz w:val="22"/>
              </w:rPr>
              <w:t> </w:t>
            </w:r>
            <w:r>
              <w:rPr>
                <w:color w:val="231F1F"/>
                <w:w w:val="105"/>
                <w:sz w:val="22"/>
              </w:rPr>
              <w:t>Cuidados</w:t>
            </w:r>
            <w:r>
              <w:rPr>
                <w:color w:val="231F1F"/>
                <w:spacing w:val="-6"/>
                <w:w w:val="105"/>
                <w:sz w:val="22"/>
              </w:rPr>
              <w:t> </w:t>
            </w:r>
            <w:r>
              <w:rPr>
                <w:color w:val="231F1F"/>
                <w:w w:val="105"/>
                <w:sz w:val="22"/>
              </w:rPr>
              <w:t>en</w:t>
            </w:r>
            <w:r>
              <w:rPr>
                <w:color w:val="231F1F"/>
                <w:spacing w:val="-4"/>
                <w:w w:val="105"/>
                <w:sz w:val="22"/>
              </w:rPr>
              <w:t> </w:t>
            </w:r>
            <w:r>
              <w:rPr>
                <w:color w:val="231F1F"/>
                <w:w w:val="105"/>
                <w:sz w:val="22"/>
              </w:rPr>
              <w:t>admisión:</w:t>
            </w:r>
            <w:r>
              <w:rPr>
                <w:color w:val="231F1F"/>
                <w:spacing w:val="-5"/>
                <w:w w:val="105"/>
                <w:sz w:val="22"/>
              </w:rPr>
              <w:t> </w:t>
            </w:r>
            <w:r>
              <w:rPr>
                <w:color w:val="231F1F"/>
                <w:w w:val="105"/>
                <w:sz w:val="22"/>
              </w:rPr>
              <w:t>Amnioscopia</w:t>
            </w:r>
            <w:r>
              <w:rPr>
                <w:color w:val="231F1F"/>
                <w:spacing w:val="-4"/>
                <w:w w:val="105"/>
                <w:sz w:val="22"/>
              </w:rPr>
              <w:t> </w:t>
            </w:r>
            <w:r>
              <w:rPr>
                <w:color w:val="231F1F"/>
                <w:w w:val="105"/>
                <w:sz w:val="22"/>
              </w:rPr>
              <w:t>y</w:t>
            </w:r>
            <w:r>
              <w:rPr>
                <w:color w:val="231F1F"/>
                <w:spacing w:val="-4"/>
                <w:w w:val="105"/>
                <w:sz w:val="22"/>
              </w:rPr>
              <w:t> </w:t>
            </w:r>
            <w:r>
              <w:rPr>
                <w:color w:val="231F1F"/>
                <w:spacing w:val="-5"/>
                <w:w w:val="105"/>
                <w:sz w:val="22"/>
              </w:rPr>
              <w:t>CTG</w:t>
            </w:r>
          </w:p>
        </w:tc>
      </w:tr>
      <w:tr>
        <w:trPr>
          <w:trHeight w:val="662" w:hRule="atLeast"/>
        </w:trPr>
        <w:tc>
          <w:tcPr>
            <w:tcW w:w="571" w:type="dxa"/>
            <w:shd w:val="clear" w:color="auto" w:fill="F2DFDF"/>
          </w:tcPr>
          <w:p>
            <w:pPr>
              <w:pStyle w:val="TableParagraph"/>
              <w:spacing w:before="169"/>
              <w:ind w:left="46" w:right="6"/>
              <w:jc w:val="center"/>
              <w:rPr>
                <w:sz w:val="22"/>
              </w:rPr>
            </w:pPr>
            <w:r>
              <w:rPr>
                <w:color w:val="231F1F"/>
                <w:spacing w:val="-10"/>
                <w:w w:val="110"/>
                <w:sz w:val="22"/>
              </w:rPr>
              <w:t>C</w:t>
            </w:r>
          </w:p>
        </w:tc>
        <w:tc>
          <w:tcPr>
            <w:tcW w:w="7934" w:type="dxa"/>
            <w:shd w:val="clear" w:color="auto" w:fill="F2DFDF"/>
          </w:tcPr>
          <w:p>
            <w:pPr>
              <w:pStyle w:val="TableParagraph"/>
              <w:spacing w:line="254" w:lineRule="auto" w:before="53"/>
              <w:ind w:left="117" w:right="163"/>
              <w:rPr>
                <w:sz w:val="22"/>
              </w:rPr>
            </w:pPr>
            <w:r>
              <w:rPr>
                <w:color w:val="231F1F"/>
                <w:sz w:val="22"/>
              </w:rPr>
              <w:t>No</w:t>
            </w:r>
            <w:r>
              <w:rPr>
                <w:color w:val="231F1F"/>
                <w:spacing w:val="26"/>
                <w:sz w:val="22"/>
              </w:rPr>
              <w:t> </w:t>
            </w:r>
            <w:r>
              <w:rPr>
                <w:color w:val="231F1F"/>
                <w:sz w:val="22"/>
              </w:rPr>
              <w:t>se</w:t>
            </w:r>
            <w:r>
              <w:rPr>
                <w:color w:val="231F1F"/>
                <w:spacing w:val="26"/>
                <w:sz w:val="22"/>
              </w:rPr>
              <w:t> </w:t>
            </w:r>
            <w:r>
              <w:rPr>
                <w:color w:val="231F1F"/>
                <w:sz w:val="22"/>
              </w:rPr>
              <w:t>recomienda</w:t>
            </w:r>
            <w:r>
              <w:rPr>
                <w:color w:val="231F1F"/>
                <w:spacing w:val="28"/>
                <w:sz w:val="22"/>
              </w:rPr>
              <w:t> </w:t>
            </w:r>
            <w:r>
              <w:rPr>
                <w:color w:val="231F1F"/>
                <w:sz w:val="22"/>
              </w:rPr>
              <w:t>la</w:t>
            </w:r>
            <w:r>
              <w:rPr>
                <w:color w:val="231F1F"/>
                <w:spacing w:val="26"/>
                <w:sz w:val="22"/>
              </w:rPr>
              <w:t> </w:t>
            </w:r>
            <w:r>
              <w:rPr>
                <w:color w:val="231F1F"/>
                <w:sz w:val="22"/>
              </w:rPr>
              <w:t>amnioscopia</w:t>
            </w:r>
            <w:r>
              <w:rPr>
                <w:color w:val="231F1F"/>
                <w:spacing w:val="26"/>
                <w:sz w:val="22"/>
              </w:rPr>
              <w:t> </w:t>
            </w:r>
            <w:r>
              <w:rPr>
                <w:color w:val="231F1F"/>
                <w:sz w:val="22"/>
              </w:rPr>
              <w:t>en</w:t>
            </w:r>
            <w:r>
              <w:rPr>
                <w:color w:val="231F1F"/>
                <w:spacing w:val="26"/>
                <w:sz w:val="22"/>
              </w:rPr>
              <w:t> </w:t>
            </w:r>
            <w:r>
              <w:rPr>
                <w:color w:val="231F1F"/>
                <w:sz w:val="22"/>
              </w:rPr>
              <w:t>la</w:t>
            </w:r>
            <w:r>
              <w:rPr>
                <w:color w:val="231F1F"/>
                <w:spacing w:val="26"/>
                <w:sz w:val="22"/>
              </w:rPr>
              <w:t> </w:t>
            </w:r>
            <w:r>
              <w:rPr>
                <w:color w:val="231F1F"/>
                <w:sz w:val="22"/>
              </w:rPr>
              <w:t>valoración</w:t>
            </w:r>
            <w:r>
              <w:rPr>
                <w:color w:val="231F1F"/>
                <w:spacing w:val="26"/>
                <w:sz w:val="22"/>
              </w:rPr>
              <w:t> </w:t>
            </w:r>
            <w:r>
              <w:rPr>
                <w:color w:val="231F1F"/>
                <w:sz w:val="22"/>
              </w:rPr>
              <w:t>inicial</w:t>
            </w:r>
            <w:r>
              <w:rPr>
                <w:color w:val="231F1F"/>
                <w:spacing w:val="28"/>
                <w:sz w:val="22"/>
              </w:rPr>
              <w:t> </w:t>
            </w:r>
            <w:r>
              <w:rPr>
                <w:color w:val="231F1F"/>
                <w:sz w:val="22"/>
              </w:rPr>
              <w:t>de</w:t>
            </w:r>
            <w:r>
              <w:rPr>
                <w:color w:val="231F1F"/>
                <w:spacing w:val="26"/>
                <w:sz w:val="22"/>
              </w:rPr>
              <w:t> </w:t>
            </w:r>
            <w:r>
              <w:rPr>
                <w:color w:val="231F1F"/>
                <w:sz w:val="22"/>
              </w:rPr>
              <w:t>la</w:t>
            </w:r>
            <w:r>
              <w:rPr>
                <w:color w:val="231F1F"/>
                <w:spacing w:val="26"/>
                <w:sz w:val="22"/>
              </w:rPr>
              <w:t> </w:t>
            </w:r>
            <w:r>
              <w:rPr>
                <w:color w:val="231F1F"/>
                <w:sz w:val="22"/>
              </w:rPr>
              <w:t>mujer</w:t>
            </w:r>
            <w:r>
              <w:rPr>
                <w:color w:val="231F1F"/>
                <w:spacing w:val="26"/>
                <w:sz w:val="22"/>
              </w:rPr>
              <w:t> </w:t>
            </w:r>
            <w:r>
              <w:rPr>
                <w:color w:val="231F1F"/>
                <w:sz w:val="22"/>
              </w:rPr>
              <w:t>de</w:t>
            </w:r>
            <w:r>
              <w:rPr>
                <w:color w:val="231F1F"/>
                <w:spacing w:val="26"/>
                <w:sz w:val="22"/>
              </w:rPr>
              <w:t> </w:t>
            </w:r>
            <w:r>
              <w:rPr>
                <w:color w:val="231F1F"/>
                <w:sz w:val="22"/>
              </w:rPr>
              <w:t>bajo</w:t>
            </w:r>
            <w:r>
              <w:rPr>
                <w:color w:val="231F1F"/>
                <w:spacing w:val="26"/>
                <w:sz w:val="22"/>
              </w:rPr>
              <w:t> </w:t>
            </w:r>
            <w:r>
              <w:rPr>
                <w:color w:val="231F1F"/>
                <w:sz w:val="22"/>
              </w:rPr>
              <w:t>ries- go en trabajo de parto.</w:t>
            </w:r>
          </w:p>
        </w:tc>
      </w:tr>
      <w:tr>
        <w:trPr>
          <w:trHeight w:val="666" w:hRule="atLeast"/>
        </w:trPr>
        <w:tc>
          <w:tcPr>
            <w:tcW w:w="571" w:type="dxa"/>
            <w:shd w:val="clear" w:color="auto" w:fill="F2DFDF"/>
          </w:tcPr>
          <w:p>
            <w:pPr>
              <w:pStyle w:val="TableParagraph"/>
              <w:spacing w:before="173"/>
              <w:ind w:left="46" w:right="8"/>
              <w:jc w:val="center"/>
              <w:rPr>
                <w:sz w:val="22"/>
              </w:rPr>
            </w:pPr>
            <w:r>
              <w:rPr>
                <w:color w:val="231F1F"/>
                <w:spacing w:val="-10"/>
                <w:w w:val="115"/>
                <w:sz w:val="22"/>
              </w:rPr>
              <w:t>A</w:t>
            </w:r>
          </w:p>
        </w:tc>
        <w:tc>
          <w:tcPr>
            <w:tcW w:w="7934" w:type="dxa"/>
            <w:shd w:val="clear" w:color="auto" w:fill="F2DFDF"/>
          </w:tcPr>
          <w:p>
            <w:pPr>
              <w:pStyle w:val="TableParagraph"/>
              <w:spacing w:line="244" w:lineRule="auto" w:before="34"/>
              <w:ind w:left="117"/>
              <w:rPr>
                <w:sz w:val="22"/>
              </w:rPr>
            </w:pPr>
            <w:r>
              <w:rPr>
                <w:color w:val="231F1F"/>
                <w:w w:val="110"/>
                <w:sz w:val="22"/>
              </w:rPr>
              <w:t>No</w:t>
            </w:r>
            <w:r>
              <w:rPr>
                <w:color w:val="231F1F"/>
                <w:spacing w:val="-8"/>
                <w:w w:val="110"/>
                <w:sz w:val="22"/>
              </w:rPr>
              <w:t> </w:t>
            </w:r>
            <w:r>
              <w:rPr>
                <w:color w:val="231F1F"/>
                <w:w w:val="110"/>
                <w:sz w:val="22"/>
              </w:rPr>
              <w:t>se</w:t>
            </w:r>
            <w:r>
              <w:rPr>
                <w:color w:val="231F1F"/>
                <w:spacing w:val="-8"/>
                <w:w w:val="110"/>
                <w:sz w:val="22"/>
              </w:rPr>
              <w:t> </w:t>
            </w:r>
            <w:r>
              <w:rPr>
                <w:color w:val="231F1F"/>
                <w:w w:val="110"/>
                <w:sz w:val="22"/>
              </w:rPr>
              <w:t>aconseja</w:t>
            </w:r>
            <w:r>
              <w:rPr>
                <w:color w:val="231F1F"/>
                <w:spacing w:val="-8"/>
                <w:w w:val="110"/>
                <w:sz w:val="22"/>
              </w:rPr>
              <w:t> </w:t>
            </w:r>
            <w:r>
              <w:rPr>
                <w:color w:val="231F1F"/>
                <w:w w:val="110"/>
                <w:sz w:val="22"/>
              </w:rPr>
              <w:t>el</w:t>
            </w:r>
            <w:r>
              <w:rPr>
                <w:color w:val="231F1F"/>
                <w:spacing w:val="-8"/>
                <w:w w:val="110"/>
                <w:sz w:val="22"/>
              </w:rPr>
              <w:t> </w:t>
            </w:r>
            <w:r>
              <w:rPr>
                <w:color w:val="231F1F"/>
                <w:w w:val="110"/>
                <w:sz w:val="22"/>
              </w:rPr>
              <w:t>uso</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cardiotocografía</w:t>
            </w:r>
            <w:r>
              <w:rPr>
                <w:color w:val="231F1F"/>
                <w:spacing w:val="-8"/>
                <w:w w:val="110"/>
                <w:sz w:val="22"/>
              </w:rPr>
              <w:t> </w:t>
            </w:r>
            <w:r>
              <w:rPr>
                <w:color w:val="231F1F"/>
                <w:w w:val="110"/>
                <w:sz w:val="22"/>
              </w:rPr>
              <w:t>en</w:t>
            </w:r>
            <w:r>
              <w:rPr>
                <w:color w:val="231F1F"/>
                <w:spacing w:val="-8"/>
                <w:w w:val="110"/>
                <w:sz w:val="22"/>
              </w:rPr>
              <w:t> </w:t>
            </w:r>
            <w:r>
              <w:rPr>
                <w:color w:val="231F1F"/>
                <w:w w:val="110"/>
                <w:sz w:val="22"/>
              </w:rPr>
              <w:t>admisión</w:t>
            </w:r>
            <w:r>
              <w:rPr>
                <w:color w:val="231F1F"/>
                <w:spacing w:val="-8"/>
                <w:w w:val="110"/>
                <w:sz w:val="22"/>
              </w:rPr>
              <w:t> </w:t>
            </w:r>
            <w:r>
              <w:rPr>
                <w:color w:val="231F1F"/>
                <w:w w:val="110"/>
                <w:sz w:val="22"/>
              </w:rPr>
              <w:t>en</w:t>
            </w:r>
            <w:r>
              <w:rPr>
                <w:color w:val="231F1F"/>
                <w:spacing w:val="-8"/>
                <w:w w:val="110"/>
                <w:sz w:val="22"/>
              </w:rPr>
              <w:t> </w:t>
            </w:r>
            <w:r>
              <w:rPr>
                <w:color w:val="231F1F"/>
                <w:w w:val="110"/>
                <w:sz w:val="22"/>
              </w:rPr>
              <w:t>embarazos</w:t>
            </w:r>
            <w:r>
              <w:rPr>
                <w:color w:val="231F1F"/>
                <w:spacing w:val="-8"/>
                <w:w w:val="110"/>
                <w:sz w:val="22"/>
              </w:rPr>
              <w:t> </w:t>
            </w:r>
            <w:r>
              <w:rPr>
                <w:color w:val="231F1F"/>
                <w:w w:val="110"/>
                <w:sz w:val="22"/>
              </w:rPr>
              <w:t>de</w:t>
            </w:r>
            <w:r>
              <w:rPr>
                <w:color w:val="231F1F"/>
                <w:spacing w:val="-8"/>
                <w:w w:val="110"/>
                <w:sz w:val="22"/>
              </w:rPr>
              <w:t> </w:t>
            </w:r>
            <w:r>
              <w:rPr>
                <w:color w:val="231F1F"/>
                <w:w w:val="110"/>
                <w:sz w:val="22"/>
              </w:rPr>
              <w:t>bajo </w:t>
            </w:r>
            <w:r>
              <w:rPr>
                <w:color w:val="231F1F"/>
                <w:spacing w:val="-2"/>
                <w:w w:val="110"/>
                <w:sz w:val="22"/>
              </w:rPr>
              <w:t>riesgo.</w:t>
            </w:r>
          </w:p>
        </w:tc>
      </w:tr>
      <w:tr>
        <w:trPr>
          <w:trHeight w:val="383" w:hRule="atLeast"/>
        </w:trPr>
        <w:tc>
          <w:tcPr>
            <w:tcW w:w="8505" w:type="dxa"/>
            <w:gridSpan w:val="2"/>
          </w:tcPr>
          <w:p>
            <w:pPr>
              <w:pStyle w:val="TableParagraph"/>
              <w:spacing w:before="34"/>
              <w:rPr>
                <w:sz w:val="22"/>
              </w:rPr>
            </w:pPr>
            <w:r>
              <w:rPr>
                <w:color w:val="231F1F"/>
                <w:spacing w:val="2"/>
                <w:sz w:val="22"/>
              </w:rPr>
              <w:t>5.5.</w:t>
            </w:r>
            <w:r>
              <w:rPr>
                <w:color w:val="231F1F"/>
                <w:spacing w:val="64"/>
                <w:sz w:val="22"/>
              </w:rPr>
              <w:t> </w:t>
            </w:r>
            <w:r>
              <w:rPr>
                <w:color w:val="231F1F"/>
                <w:spacing w:val="2"/>
                <w:sz w:val="22"/>
              </w:rPr>
              <w:t>Intervenciones</w:t>
            </w:r>
            <w:r>
              <w:rPr>
                <w:color w:val="231F1F"/>
                <w:spacing w:val="34"/>
                <w:sz w:val="22"/>
              </w:rPr>
              <w:t> </w:t>
            </w:r>
            <w:r>
              <w:rPr>
                <w:color w:val="231F1F"/>
                <w:spacing w:val="2"/>
                <w:sz w:val="22"/>
              </w:rPr>
              <w:t>rutinarias</w:t>
            </w:r>
            <w:r>
              <w:rPr>
                <w:color w:val="231F1F"/>
                <w:spacing w:val="34"/>
                <w:sz w:val="22"/>
              </w:rPr>
              <w:t> </w:t>
            </w:r>
            <w:r>
              <w:rPr>
                <w:color w:val="231F1F"/>
                <w:spacing w:val="2"/>
                <w:sz w:val="22"/>
              </w:rPr>
              <w:t>posibles</w:t>
            </w:r>
            <w:r>
              <w:rPr>
                <w:color w:val="231F1F"/>
                <w:spacing w:val="34"/>
                <w:sz w:val="22"/>
              </w:rPr>
              <w:t> </w:t>
            </w:r>
            <w:r>
              <w:rPr>
                <w:color w:val="231F1F"/>
                <w:spacing w:val="2"/>
                <w:sz w:val="22"/>
              </w:rPr>
              <w:t>durante</w:t>
            </w:r>
            <w:r>
              <w:rPr>
                <w:color w:val="231F1F"/>
                <w:spacing w:val="34"/>
                <w:sz w:val="22"/>
              </w:rPr>
              <w:t> </w:t>
            </w:r>
            <w:r>
              <w:rPr>
                <w:color w:val="231F1F"/>
                <w:spacing w:val="2"/>
                <w:sz w:val="22"/>
              </w:rPr>
              <w:t>la</w:t>
            </w:r>
            <w:r>
              <w:rPr>
                <w:color w:val="231F1F"/>
                <w:spacing w:val="34"/>
                <w:sz w:val="22"/>
              </w:rPr>
              <w:t> </w:t>
            </w:r>
            <w:r>
              <w:rPr>
                <w:color w:val="231F1F"/>
                <w:spacing w:val="-2"/>
                <w:sz w:val="22"/>
              </w:rPr>
              <w:t>dilatación</w:t>
            </w:r>
          </w:p>
        </w:tc>
      </w:tr>
      <w:tr>
        <w:trPr>
          <w:trHeight w:val="383" w:hRule="atLeast"/>
        </w:trPr>
        <w:tc>
          <w:tcPr>
            <w:tcW w:w="8505" w:type="dxa"/>
            <w:gridSpan w:val="2"/>
          </w:tcPr>
          <w:p>
            <w:pPr>
              <w:pStyle w:val="TableParagraph"/>
              <w:spacing w:before="53"/>
              <w:rPr>
                <w:i/>
                <w:sz w:val="22"/>
              </w:rPr>
            </w:pPr>
            <w:r>
              <w:rPr>
                <w:i/>
                <w:color w:val="231F1F"/>
                <w:sz w:val="22"/>
              </w:rPr>
              <w:t>5.5.1</w:t>
            </w:r>
            <w:r>
              <w:rPr>
                <w:i/>
                <w:color w:val="231F1F"/>
                <w:spacing w:val="-10"/>
                <w:sz w:val="22"/>
              </w:rPr>
              <w:t> </w:t>
            </w:r>
            <w:r>
              <w:rPr>
                <w:i/>
                <w:color w:val="231F1F"/>
                <w:spacing w:val="-2"/>
                <w:sz w:val="22"/>
              </w:rPr>
              <w:t>Enema</w:t>
            </w:r>
          </w:p>
        </w:tc>
      </w:tr>
      <w:tr>
        <w:trPr>
          <w:trHeight w:val="388" w:hRule="atLeast"/>
        </w:trPr>
        <w:tc>
          <w:tcPr>
            <w:tcW w:w="571" w:type="dxa"/>
            <w:shd w:val="clear" w:color="auto" w:fill="F2DFDF"/>
          </w:tcPr>
          <w:p>
            <w:pPr>
              <w:pStyle w:val="TableParagraph"/>
              <w:spacing w:before="34"/>
              <w:ind w:left="46" w:right="8"/>
              <w:jc w:val="center"/>
              <w:rPr>
                <w:sz w:val="22"/>
              </w:rPr>
            </w:pPr>
            <w:r>
              <w:rPr>
                <w:color w:val="231F1F"/>
                <w:spacing w:val="-10"/>
                <w:w w:val="115"/>
                <w:sz w:val="22"/>
              </w:rPr>
              <w:t>A</w:t>
            </w:r>
          </w:p>
        </w:tc>
        <w:tc>
          <w:tcPr>
            <w:tcW w:w="7934" w:type="dxa"/>
            <w:shd w:val="clear" w:color="auto" w:fill="F2DFDF"/>
          </w:tcPr>
          <w:p>
            <w:pPr>
              <w:pStyle w:val="TableParagraph"/>
              <w:spacing w:before="34"/>
              <w:ind w:left="117"/>
              <w:rPr>
                <w:sz w:val="22"/>
              </w:rPr>
            </w:pPr>
            <w:r>
              <w:rPr>
                <w:color w:val="231F1F"/>
                <w:sz w:val="22"/>
              </w:rPr>
              <w:t>Se</w:t>
            </w:r>
            <w:r>
              <w:rPr>
                <w:color w:val="231F1F"/>
                <w:spacing w:val="35"/>
                <w:sz w:val="22"/>
              </w:rPr>
              <w:t> </w:t>
            </w:r>
            <w:r>
              <w:rPr>
                <w:color w:val="231F1F"/>
                <w:sz w:val="22"/>
              </w:rPr>
              <w:t>recomienda</w:t>
            </w:r>
            <w:r>
              <w:rPr>
                <w:color w:val="231F1F"/>
                <w:spacing w:val="38"/>
                <w:sz w:val="22"/>
              </w:rPr>
              <w:t> </w:t>
            </w:r>
            <w:r>
              <w:rPr>
                <w:color w:val="231F1F"/>
                <w:sz w:val="22"/>
              </w:rPr>
              <w:t>no</w:t>
            </w:r>
            <w:r>
              <w:rPr>
                <w:color w:val="231F1F"/>
                <w:spacing w:val="38"/>
                <w:sz w:val="22"/>
              </w:rPr>
              <w:t> </w:t>
            </w:r>
            <w:r>
              <w:rPr>
                <w:color w:val="231F1F"/>
                <w:sz w:val="22"/>
              </w:rPr>
              <w:t>utilizar</w:t>
            </w:r>
            <w:r>
              <w:rPr>
                <w:color w:val="231F1F"/>
                <w:spacing w:val="37"/>
                <w:sz w:val="22"/>
              </w:rPr>
              <w:t> </w:t>
            </w:r>
            <w:r>
              <w:rPr>
                <w:color w:val="231F1F"/>
                <w:sz w:val="22"/>
              </w:rPr>
              <w:t>el</w:t>
            </w:r>
            <w:r>
              <w:rPr>
                <w:color w:val="231F1F"/>
                <w:spacing w:val="36"/>
                <w:sz w:val="22"/>
              </w:rPr>
              <w:t> </w:t>
            </w:r>
            <w:r>
              <w:rPr>
                <w:color w:val="231F1F"/>
                <w:sz w:val="22"/>
              </w:rPr>
              <w:t>enema</w:t>
            </w:r>
            <w:r>
              <w:rPr>
                <w:color w:val="231F1F"/>
                <w:spacing w:val="40"/>
                <w:sz w:val="22"/>
              </w:rPr>
              <w:t> </w:t>
            </w:r>
            <w:r>
              <w:rPr>
                <w:color w:val="231F1F"/>
                <w:sz w:val="22"/>
              </w:rPr>
              <w:t>de</w:t>
            </w:r>
            <w:r>
              <w:rPr>
                <w:color w:val="231F1F"/>
                <w:spacing w:val="37"/>
                <w:sz w:val="22"/>
              </w:rPr>
              <w:t> </w:t>
            </w:r>
            <w:r>
              <w:rPr>
                <w:color w:val="231F1F"/>
                <w:sz w:val="22"/>
              </w:rPr>
              <w:t>forma</w:t>
            </w:r>
            <w:r>
              <w:rPr>
                <w:color w:val="231F1F"/>
                <w:spacing w:val="38"/>
                <w:sz w:val="22"/>
              </w:rPr>
              <w:t> </w:t>
            </w:r>
            <w:r>
              <w:rPr>
                <w:color w:val="231F1F"/>
                <w:sz w:val="22"/>
              </w:rPr>
              <w:t>rutinaria</w:t>
            </w:r>
            <w:r>
              <w:rPr>
                <w:color w:val="231F1F"/>
                <w:spacing w:val="38"/>
                <w:sz w:val="22"/>
              </w:rPr>
              <w:t> </w:t>
            </w:r>
            <w:r>
              <w:rPr>
                <w:color w:val="231F1F"/>
                <w:sz w:val="22"/>
              </w:rPr>
              <w:t>durante</w:t>
            </w:r>
            <w:r>
              <w:rPr>
                <w:color w:val="231F1F"/>
                <w:spacing w:val="36"/>
                <w:sz w:val="22"/>
              </w:rPr>
              <w:t> </w:t>
            </w:r>
            <w:r>
              <w:rPr>
                <w:color w:val="231F1F"/>
                <w:sz w:val="22"/>
              </w:rPr>
              <w:t>el</w:t>
            </w:r>
            <w:r>
              <w:rPr>
                <w:color w:val="231F1F"/>
                <w:spacing w:val="39"/>
                <w:sz w:val="22"/>
              </w:rPr>
              <w:t> </w:t>
            </w:r>
            <w:r>
              <w:rPr>
                <w:color w:val="231F1F"/>
                <w:spacing w:val="-2"/>
                <w:sz w:val="22"/>
              </w:rPr>
              <w:t>parto.</w:t>
            </w:r>
          </w:p>
        </w:tc>
      </w:tr>
      <w:tr>
        <w:trPr>
          <w:trHeight w:val="378" w:hRule="atLeast"/>
        </w:trPr>
        <w:tc>
          <w:tcPr>
            <w:tcW w:w="8505" w:type="dxa"/>
            <w:gridSpan w:val="2"/>
          </w:tcPr>
          <w:p>
            <w:pPr>
              <w:pStyle w:val="TableParagraph"/>
              <w:spacing w:before="29"/>
              <w:rPr>
                <w:i/>
                <w:sz w:val="22"/>
              </w:rPr>
            </w:pPr>
            <w:r>
              <w:rPr>
                <w:i/>
                <w:color w:val="231F1F"/>
                <w:spacing w:val="-2"/>
                <w:w w:val="105"/>
                <w:sz w:val="22"/>
              </w:rPr>
              <w:t>5.5.2</w:t>
            </w:r>
            <w:r>
              <w:rPr>
                <w:i/>
                <w:color w:val="231F1F"/>
                <w:spacing w:val="-7"/>
                <w:w w:val="105"/>
                <w:sz w:val="22"/>
              </w:rPr>
              <w:t> </w:t>
            </w:r>
            <w:r>
              <w:rPr>
                <w:i/>
                <w:color w:val="231F1F"/>
                <w:spacing w:val="-2"/>
                <w:w w:val="105"/>
                <w:sz w:val="22"/>
              </w:rPr>
              <w:t>Rasurado</w:t>
            </w:r>
            <w:r>
              <w:rPr>
                <w:i/>
                <w:color w:val="231F1F"/>
                <w:spacing w:val="-6"/>
                <w:w w:val="105"/>
                <w:sz w:val="22"/>
              </w:rPr>
              <w:t> </w:t>
            </w:r>
            <w:r>
              <w:rPr>
                <w:i/>
                <w:color w:val="231F1F"/>
                <w:spacing w:val="-2"/>
                <w:w w:val="105"/>
                <w:sz w:val="22"/>
              </w:rPr>
              <w:t>perineal</w:t>
            </w:r>
          </w:p>
        </w:tc>
      </w:tr>
      <w:tr>
        <w:trPr>
          <w:trHeight w:val="388" w:hRule="atLeast"/>
        </w:trPr>
        <w:tc>
          <w:tcPr>
            <w:tcW w:w="571" w:type="dxa"/>
            <w:shd w:val="clear" w:color="auto" w:fill="F2DFDF"/>
          </w:tcPr>
          <w:p>
            <w:pPr>
              <w:pStyle w:val="TableParagraph"/>
              <w:spacing w:before="52"/>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before="53"/>
              <w:ind w:left="116"/>
              <w:rPr>
                <w:sz w:val="22"/>
              </w:rPr>
            </w:pPr>
            <w:r>
              <w:rPr>
                <w:color w:val="231F1F"/>
                <w:sz w:val="22"/>
              </w:rPr>
              <w:t>No</w:t>
            </w:r>
            <w:r>
              <w:rPr>
                <w:color w:val="231F1F"/>
                <w:spacing w:val="22"/>
                <w:sz w:val="22"/>
              </w:rPr>
              <w:t> </w:t>
            </w:r>
            <w:r>
              <w:rPr>
                <w:color w:val="231F1F"/>
                <w:sz w:val="22"/>
              </w:rPr>
              <w:t>se</w:t>
            </w:r>
            <w:r>
              <w:rPr>
                <w:color w:val="231F1F"/>
                <w:spacing w:val="25"/>
                <w:sz w:val="22"/>
              </w:rPr>
              <w:t> </w:t>
            </w:r>
            <w:r>
              <w:rPr>
                <w:color w:val="231F1F"/>
                <w:sz w:val="22"/>
              </w:rPr>
              <w:t>recomienda</w:t>
            </w:r>
            <w:r>
              <w:rPr>
                <w:color w:val="231F1F"/>
                <w:spacing w:val="27"/>
                <w:sz w:val="22"/>
              </w:rPr>
              <w:t> </w:t>
            </w:r>
            <w:r>
              <w:rPr>
                <w:color w:val="231F1F"/>
                <w:sz w:val="22"/>
              </w:rPr>
              <w:t>el</w:t>
            </w:r>
            <w:r>
              <w:rPr>
                <w:color w:val="231F1F"/>
                <w:spacing w:val="25"/>
                <w:sz w:val="22"/>
              </w:rPr>
              <w:t> </w:t>
            </w:r>
            <w:r>
              <w:rPr>
                <w:color w:val="231F1F"/>
                <w:sz w:val="22"/>
              </w:rPr>
              <w:t>rasurado</w:t>
            </w:r>
            <w:r>
              <w:rPr>
                <w:color w:val="231F1F"/>
                <w:spacing w:val="25"/>
                <w:sz w:val="22"/>
              </w:rPr>
              <w:t> </w:t>
            </w:r>
            <w:r>
              <w:rPr>
                <w:color w:val="231F1F"/>
                <w:sz w:val="22"/>
              </w:rPr>
              <w:t>perineal</w:t>
            </w:r>
            <w:r>
              <w:rPr>
                <w:color w:val="231F1F"/>
                <w:spacing w:val="25"/>
                <w:sz w:val="22"/>
              </w:rPr>
              <w:t> </w:t>
            </w:r>
            <w:r>
              <w:rPr>
                <w:color w:val="231F1F"/>
                <w:sz w:val="22"/>
              </w:rPr>
              <w:t>sistemático</w:t>
            </w:r>
            <w:r>
              <w:rPr>
                <w:color w:val="231F1F"/>
                <w:spacing w:val="25"/>
                <w:sz w:val="22"/>
              </w:rPr>
              <w:t> </w:t>
            </w:r>
            <w:r>
              <w:rPr>
                <w:color w:val="231F1F"/>
                <w:sz w:val="22"/>
              </w:rPr>
              <w:t>en</w:t>
            </w:r>
            <w:r>
              <w:rPr>
                <w:color w:val="231F1F"/>
                <w:spacing w:val="26"/>
                <w:sz w:val="22"/>
              </w:rPr>
              <w:t> </w:t>
            </w:r>
            <w:r>
              <w:rPr>
                <w:color w:val="231F1F"/>
                <w:sz w:val="22"/>
              </w:rPr>
              <w:t>mujeres</w:t>
            </w:r>
            <w:r>
              <w:rPr>
                <w:color w:val="231F1F"/>
                <w:spacing w:val="25"/>
                <w:sz w:val="22"/>
              </w:rPr>
              <w:t> </w:t>
            </w:r>
            <w:r>
              <w:rPr>
                <w:color w:val="231F1F"/>
                <w:sz w:val="22"/>
              </w:rPr>
              <w:t>en</w:t>
            </w:r>
            <w:r>
              <w:rPr>
                <w:color w:val="231F1F"/>
                <w:spacing w:val="25"/>
                <w:sz w:val="22"/>
              </w:rPr>
              <w:t> </w:t>
            </w:r>
            <w:r>
              <w:rPr>
                <w:color w:val="231F1F"/>
                <w:sz w:val="22"/>
              </w:rPr>
              <w:t>trabajo</w:t>
            </w:r>
            <w:r>
              <w:rPr>
                <w:color w:val="231F1F"/>
                <w:spacing w:val="25"/>
                <w:sz w:val="22"/>
              </w:rPr>
              <w:t> </w:t>
            </w:r>
            <w:r>
              <w:rPr>
                <w:color w:val="231F1F"/>
                <w:sz w:val="22"/>
              </w:rPr>
              <w:t>de</w:t>
            </w:r>
            <w:r>
              <w:rPr>
                <w:color w:val="231F1F"/>
                <w:spacing w:val="26"/>
                <w:sz w:val="22"/>
              </w:rPr>
              <w:t> </w:t>
            </w:r>
            <w:r>
              <w:rPr>
                <w:color w:val="231F1F"/>
                <w:spacing w:val="-2"/>
                <w:sz w:val="22"/>
              </w:rPr>
              <w:t>parto.</w:t>
            </w:r>
          </w:p>
        </w:tc>
      </w:tr>
      <w:tr>
        <w:trPr>
          <w:trHeight w:val="383" w:hRule="atLeast"/>
        </w:trPr>
        <w:tc>
          <w:tcPr>
            <w:tcW w:w="8505" w:type="dxa"/>
            <w:gridSpan w:val="2"/>
          </w:tcPr>
          <w:p>
            <w:pPr>
              <w:pStyle w:val="TableParagraph"/>
              <w:spacing w:before="34"/>
              <w:rPr>
                <w:i/>
                <w:sz w:val="22"/>
              </w:rPr>
            </w:pPr>
            <w:r>
              <w:rPr>
                <w:i/>
                <w:color w:val="231F1F"/>
                <w:w w:val="105"/>
                <w:sz w:val="22"/>
              </w:rPr>
              <w:t>5.5.3</w:t>
            </w:r>
            <w:r>
              <w:rPr>
                <w:i/>
                <w:color w:val="231F1F"/>
                <w:spacing w:val="-11"/>
                <w:w w:val="105"/>
                <w:sz w:val="22"/>
              </w:rPr>
              <w:t> </w:t>
            </w:r>
            <w:r>
              <w:rPr>
                <w:i/>
                <w:color w:val="231F1F"/>
                <w:w w:val="105"/>
                <w:sz w:val="22"/>
              </w:rPr>
              <w:t>Atención</w:t>
            </w:r>
            <w:r>
              <w:rPr>
                <w:i/>
                <w:color w:val="231F1F"/>
                <w:spacing w:val="-8"/>
                <w:w w:val="105"/>
                <w:sz w:val="22"/>
              </w:rPr>
              <w:t> </w:t>
            </w:r>
            <w:r>
              <w:rPr>
                <w:i/>
                <w:color w:val="231F1F"/>
                <w:w w:val="105"/>
                <w:sz w:val="22"/>
              </w:rPr>
              <w:t>una</w:t>
            </w:r>
            <w:r>
              <w:rPr>
                <w:i/>
                <w:color w:val="231F1F"/>
                <w:spacing w:val="-9"/>
                <w:w w:val="105"/>
                <w:sz w:val="22"/>
              </w:rPr>
              <w:t> </w:t>
            </w:r>
            <w:r>
              <w:rPr>
                <w:i/>
                <w:color w:val="231F1F"/>
                <w:w w:val="105"/>
                <w:sz w:val="22"/>
              </w:rPr>
              <w:t>a</w:t>
            </w:r>
            <w:r>
              <w:rPr>
                <w:i/>
                <w:color w:val="231F1F"/>
                <w:spacing w:val="-8"/>
                <w:w w:val="105"/>
                <w:sz w:val="22"/>
              </w:rPr>
              <w:t> </w:t>
            </w:r>
            <w:r>
              <w:rPr>
                <w:i/>
                <w:color w:val="231F1F"/>
                <w:spacing w:val="-5"/>
                <w:w w:val="105"/>
                <w:sz w:val="22"/>
              </w:rPr>
              <w:t>una</w:t>
            </w:r>
          </w:p>
        </w:tc>
      </w:tr>
      <w:tr>
        <w:trPr>
          <w:trHeight w:val="666" w:hRule="atLeast"/>
        </w:trPr>
        <w:tc>
          <w:tcPr>
            <w:tcW w:w="571" w:type="dxa"/>
            <w:shd w:val="clear" w:color="auto" w:fill="F2DFDF"/>
          </w:tcPr>
          <w:p>
            <w:pPr>
              <w:pStyle w:val="TableParagraph"/>
              <w:spacing w:before="173"/>
              <w:ind w:left="46" w:right="8"/>
              <w:jc w:val="center"/>
              <w:rPr>
                <w:sz w:val="22"/>
              </w:rPr>
            </w:pPr>
            <w:r>
              <w:rPr>
                <w:color w:val="231F1F"/>
                <w:spacing w:val="-10"/>
                <w:w w:val="115"/>
                <w:sz w:val="22"/>
              </w:rPr>
              <w:t>A</w:t>
            </w:r>
          </w:p>
        </w:tc>
        <w:tc>
          <w:tcPr>
            <w:tcW w:w="7934" w:type="dxa"/>
            <w:shd w:val="clear" w:color="auto" w:fill="F2DFDF"/>
          </w:tcPr>
          <w:p>
            <w:pPr>
              <w:pStyle w:val="TableParagraph"/>
              <w:spacing w:line="244" w:lineRule="auto" w:before="44"/>
              <w:ind w:left="117" w:right="307"/>
              <w:rPr>
                <w:sz w:val="22"/>
              </w:rPr>
            </w:pPr>
            <w:r>
              <w:rPr>
                <w:color w:val="231F1F"/>
                <w:sz w:val="22"/>
              </w:rPr>
              <w:t>Se</w:t>
            </w:r>
            <w:r>
              <w:rPr>
                <w:color w:val="231F1F"/>
                <w:spacing w:val="-3"/>
                <w:sz w:val="22"/>
              </w:rPr>
              <w:t> </w:t>
            </w:r>
            <w:r>
              <w:rPr>
                <w:color w:val="231F1F"/>
                <w:sz w:val="22"/>
              </w:rPr>
              <w:t>recomienda que la mujer en trabajo de parto sea atendida individualmente desde su</w:t>
            </w:r>
            <w:r>
              <w:rPr>
                <w:color w:val="231F1F"/>
                <w:spacing w:val="40"/>
                <w:sz w:val="22"/>
              </w:rPr>
              <w:t> </w:t>
            </w:r>
            <w:r>
              <w:rPr>
                <w:color w:val="231F1F"/>
                <w:sz w:val="22"/>
              </w:rPr>
              <w:t>ingreso</w:t>
            </w:r>
            <w:r>
              <w:rPr>
                <w:color w:val="231F1F"/>
                <w:spacing w:val="40"/>
                <w:sz w:val="22"/>
              </w:rPr>
              <w:t> </w:t>
            </w:r>
            <w:r>
              <w:rPr>
                <w:color w:val="231F1F"/>
                <w:sz w:val="22"/>
              </w:rPr>
              <w:t>y</w:t>
            </w:r>
            <w:r>
              <w:rPr>
                <w:color w:val="231F1F"/>
                <w:spacing w:val="40"/>
                <w:sz w:val="22"/>
              </w:rPr>
              <w:t> </w:t>
            </w:r>
            <w:r>
              <w:rPr>
                <w:color w:val="231F1F"/>
                <w:sz w:val="22"/>
              </w:rPr>
              <w:t>de</w:t>
            </w:r>
            <w:r>
              <w:rPr>
                <w:color w:val="231F1F"/>
                <w:spacing w:val="40"/>
                <w:sz w:val="22"/>
              </w:rPr>
              <w:t> </w:t>
            </w:r>
            <w:r>
              <w:rPr>
                <w:color w:val="231F1F"/>
                <w:sz w:val="22"/>
              </w:rPr>
              <w:t>forma</w:t>
            </w:r>
            <w:r>
              <w:rPr>
                <w:color w:val="231F1F"/>
                <w:spacing w:val="40"/>
                <w:sz w:val="22"/>
              </w:rPr>
              <w:t> </w:t>
            </w:r>
            <w:r>
              <w:rPr>
                <w:color w:val="231F1F"/>
                <w:sz w:val="22"/>
              </w:rPr>
              <w:t>continua</w:t>
            </w:r>
            <w:r>
              <w:rPr>
                <w:color w:val="231F1F"/>
                <w:spacing w:val="40"/>
                <w:sz w:val="22"/>
              </w:rPr>
              <w:t> </w:t>
            </w:r>
            <w:r>
              <w:rPr>
                <w:color w:val="231F1F"/>
                <w:sz w:val="22"/>
              </w:rPr>
              <w:t>por</w:t>
            </w:r>
            <w:r>
              <w:rPr>
                <w:color w:val="231F1F"/>
                <w:spacing w:val="40"/>
                <w:sz w:val="22"/>
              </w:rPr>
              <w:t> </w:t>
            </w:r>
            <w:r>
              <w:rPr>
                <w:color w:val="231F1F"/>
                <w:sz w:val="22"/>
              </w:rPr>
              <w:t>una</w:t>
            </w:r>
            <w:r>
              <w:rPr>
                <w:color w:val="231F1F"/>
                <w:spacing w:val="40"/>
                <w:sz w:val="22"/>
              </w:rPr>
              <w:t> </w:t>
            </w:r>
            <w:r>
              <w:rPr>
                <w:color w:val="231F1F"/>
                <w:sz w:val="22"/>
              </w:rPr>
              <w:t>matrona.</w:t>
            </w:r>
          </w:p>
        </w:tc>
      </w:tr>
      <w:tr>
        <w:trPr>
          <w:trHeight w:val="662" w:hRule="atLeast"/>
        </w:trPr>
        <w:tc>
          <w:tcPr>
            <w:tcW w:w="571" w:type="dxa"/>
            <w:shd w:val="clear" w:color="auto" w:fill="F2DFDF"/>
          </w:tcPr>
          <w:p>
            <w:pPr>
              <w:pStyle w:val="TableParagraph"/>
              <w:spacing w:before="173"/>
              <w:ind w:left="46" w:right="8"/>
              <w:jc w:val="center"/>
              <w:rPr>
                <w:sz w:val="22"/>
              </w:rPr>
            </w:pPr>
            <w:r>
              <w:rPr>
                <w:color w:val="231F1F"/>
                <w:spacing w:val="-10"/>
                <w:w w:val="115"/>
                <w:sz w:val="22"/>
              </w:rPr>
              <w:t>A</w:t>
            </w:r>
          </w:p>
        </w:tc>
        <w:tc>
          <w:tcPr>
            <w:tcW w:w="7934" w:type="dxa"/>
            <w:shd w:val="clear" w:color="auto" w:fill="F2DFDF"/>
          </w:tcPr>
          <w:p>
            <w:pPr>
              <w:pStyle w:val="TableParagraph"/>
              <w:spacing w:line="244" w:lineRule="auto" w:before="34"/>
              <w:ind w:left="117"/>
              <w:rPr>
                <w:sz w:val="22"/>
              </w:rPr>
            </w:pPr>
            <w:r>
              <w:rPr>
                <w:color w:val="231F1F"/>
                <w:w w:val="110"/>
                <w:sz w:val="22"/>
              </w:rPr>
              <w:t>Una</w:t>
            </w:r>
            <w:r>
              <w:rPr>
                <w:color w:val="231F1F"/>
                <w:spacing w:val="-8"/>
                <w:w w:val="110"/>
                <w:sz w:val="22"/>
              </w:rPr>
              <w:t> </w:t>
            </w:r>
            <w:r>
              <w:rPr>
                <w:color w:val="231F1F"/>
                <w:w w:val="110"/>
                <w:sz w:val="22"/>
              </w:rPr>
              <w:t>mujer</w:t>
            </w:r>
            <w:r>
              <w:rPr>
                <w:color w:val="231F1F"/>
                <w:spacing w:val="-8"/>
                <w:w w:val="110"/>
                <w:sz w:val="22"/>
              </w:rPr>
              <w:t> </w:t>
            </w:r>
            <w:r>
              <w:rPr>
                <w:color w:val="231F1F"/>
                <w:w w:val="110"/>
                <w:sz w:val="22"/>
              </w:rPr>
              <w:t>en</w:t>
            </w:r>
            <w:r>
              <w:rPr>
                <w:color w:val="231F1F"/>
                <w:spacing w:val="-8"/>
                <w:w w:val="110"/>
                <w:sz w:val="22"/>
              </w:rPr>
              <w:t> </w:t>
            </w:r>
            <w:r>
              <w:rPr>
                <w:color w:val="231F1F"/>
                <w:w w:val="110"/>
                <w:sz w:val="22"/>
              </w:rPr>
              <w:t>fase</w:t>
            </w:r>
            <w:r>
              <w:rPr>
                <w:color w:val="231F1F"/>
                <w:spacing w:val="-8"/>
                <w:w w:val="110"/>
                <w:sz w:val="22"/>
              </w:rPr>
              <w:t> </w:t>
            </w:r>
            <w:r>
              <w:rPr>
                <w:color w:val="231F1F"/>
                <w:w w:val="110"/>
                <w:sz w:val="22"/>
              </w:rPr>
              <w:t>activa</w:t>
            </w:r>
            <w:r>
              <w:rPr>
                <w:color w:val="231F1F"/>
                <w:spacing w:val="-8"/>
                <w:w w:val="110"/>
                <w:sz w:val="22"/>
              </w:rPr>
              <w:t> </w:t>
            </w:r>
            <w:r>
              <w:rPr>
                <w:color w:val="231F1F"/>
                <w:w w:val="110"/>
                <w:sz w:val="22"/>
              </w:rPr>
              <w:t>de</w:t>
            </w:r>
            <w:r>
              <w:rPr>
                <w:color w:val="231F1F"/>
                <w:spacing w:val="-8"/>
                <w:w w:val="110"/>
                <w:sz w:val="22"/>
              </w:rPr>
              <w:t> </w:t>
            </w:r>
            <w:r>
              <w:rPr>
                <w:color w:val="231F1F"/>
                <w:w w:val="110"/>
                <w:sz w:val="22"/>
              </w:rPr>
              <w:t>parto</w:t>
            </w:r>
            <w:r>
              <w:rPr>
                <w:color w:val="231F1F"/>
                <w:spacing w:val="-8"/>
                <w:w w:val="110"/>
                <w:sz w:val="22"/>
              </w:rPr>
              <w:t> </w:t>
            </w:r>
            <w:r>
              <w:rPr>
                <w:color w:val="231F1F"/>
                <w:w w:val="110"/>
                <w:sz w:val="22"/>
              </w:rPr>
              <w:t>no</w:t>
            </w:r>
            <w:r>
              <w:rPr>
                <w:color w:val="231F1F"/>
                <w:spacing w:val="-8"/>
                <w:w w:val="110"/>
                <w:sz w:val="22"/>
              </w:rPr>
              <w:t> </w:t>
            </w:r>
            <w:r>
              <w:rPr>
                <w:color w:val="231F1F"/>
                <w:w w:val="110"/>
                <w:sz w:val="22"/>
              </w:rPr>
              <w:t>debería</w:t>
            </w:r>
            <w:r>
              <w:rPr>
                <w:color w:val="231F1F"/>
                <w:spacing w:val="-8"/>
                <w:w w:val="110"/>
                <w:sz w:val="22"/>
              </w:rPr>
              <w:t> </w:t>
            </w:r>
            <w:r>
              <w:rPr>
                <w:color w:val="231F1F"/>
                <w:w w:val="110"/>
                <w:sz w:val="22"/>
              </w:rPr>
              <w:t>dejarse</w:t>
            </w:r>
            <w:r>
              <w:rPr>
                <w:color w:val="231F1F"/>
                <w:spacing w:val="-8"/>
                <w:w w:val="110"/>
                <w:sz w:val="22"/>
              </w:rPr>
              <w:t> </w:t>
            </w:r>
            <w:r>
              <w:rPr>
                <w:color w:val="231F1F"/>
                <w:w w:val="110"/>
                <w:sz w:val="22"/>
              </w:rPr>
              <w:t>sin</w:t>
            </w:r>
            <w:r>
              <w:rPr>
                <w:color w:val="231F1F"/>
                <w:spacing w:val="-8"/>
                <w:w w:val="110"/>
                <w:sz w:val="22"/>
              </w:rPr>
              <w:t> </w:t>
            </w:r>
            <w:r>
              <w:rPr>
                <w:color w:val="231F1F"/>
                <w:w w:val="110"/>
                <w:sz w:val="22"/>
              </w:rPr>
              <w:t>atención</w:t>
            </w:r>
            <w:r>
              <w:rPr>
                <w:color w:val="231F1F"/>
                <w:spacing w:val="-8"/>
                <w:w w:val="110"/>
                <w:sz w:val="22"/>
              </w:rPr>
              <w:t> </w:t>
            </w:r>
            <w:r>
              <w:rPr>
                <w:color w:val="231F1F"/>
                <w:w w:val="110"/>
                <w:sz w:val="22"/>
              </w:rPr>
              <w:t>profesional excepto por cortos períodos de tiempo o cuando la mujer lo solicite.</w:t>
            </w:r>
          </w:p>
        </w:tc>
      </w:tr>
      <w:tr>
        <w:trPr>
          <w:trHeight w:val="388" w:hRule="atLeast"/>
        </w:trPr>
        <w:tc>
          <w:tcPr>
            <w:tcW w:w="8505" w:type="dxa"/>
            <w:gridSpan w:val="2"/>
          </w:tcPr>
          <w:p>
            <w:pPr>
              <w:pStyle w:val="TableParagraph"/>
              <w:spacing w:before="34"/>
              <w:rPr>
                <w:i/>
                <w:sz w:val="22"/>
              </w:rPr>
            </w:pPr>
            <w:r>
              <w:rPr>
                <w:i/>
                <w:color w:val="231F1F"/>
                <w:w w:val="105"/>
                <w:sz w:val="22"/>
              </w:rPr>
              <w:t>5.5.4.</w:t>
            </w:r>
            <w:r>
              <w:rPr>
                <w:i/>
                <w:color w:val="231F1F"/>
                <w:spacing w:val="-13"/>
                <w:w w:val="105"/>
                <w:sz w:val="22"/>
              </w:rPr>
              <w:t> </w:t>
            </w:r>
            <w:r>
              <w:rPr>
                <w:i/>
                <w:color w:val="231F1F"/>
                <w:w w:val="105"/>
                <w:sz w:val="22"/>
              </w:rPr>
              <w:t>Movilización</w:t>
            </w:r>
            <w:r>
              <w:rPr>
                <w:i/>
                <w:color w:val="231F1F"/>
                <w:spacing w:val="-11"/>
                <w:w w:val="105"/>
                <w:sz w:val="22"/>
              </w:rPr>
              <w:t> </w:t>
            </w:r>
            <w:r>
              <w:rPr>
                <w:i/>
                <w:color w:val="231F1F"/>
                <w:w w:val="105"/>
                <w:sz w:val="22"/>
              </w:rPr>
              <w:t>y</w:t>
            </w:r>
            <w:r>
              <w:rPr>
                <w:i/>
                <w:color w:val="231F1F"/>
                <w:spacing w:val="-11"/>
                <w:w w:val="105"/>
                <w:sz w:val="22"/>
              </w:rPr>
              <w:t> </w:t>
            </w:r>
            <w:r>
              <w:rPr>
                <w:i/>
                <w:color w:val="231F1F"/>
                <w:w w:val="105"/>
                <w:sz w:val="22"/>
              </w:rPr>
              <w:t>adopción</w:t>
            </w:r>
            <w:r>
              <w:rPr>
                <w:i/>
                <w:color w:val="231F1F"/>
                <w:spacing w:val="-14"/>
                <w:w w:val="105"/>
                <w:sz w:val="22"/>
              </w:rPr>
              <w:t> </w:t>
            </w:r>
            <w:r>
              <w:rPr>
                <w:i/>
                <w:color w:val="231F1F"/>
                <w:w w:val="105"/>
                <w:sz w:val="22"/>
              </w:rPr>
              <w:t>de</w:t>
            </w:r>
            <w:r>
              <w:rPr>
                <w:i/>
                <w:color w:val="231F1F"/>
                <w:spacing w:val="-11"/>
                <w:w w:val="105"/>
                <w:sz w:val="22"/>
              </w:rPr>
              <w:t> </w:t>
            </w:r>
            <w:r>
              <w:rPr>
                <w:i/>
                <w:color w:val="231F1F"/>
                <w:w w:val="105"/>
                <w:sz w:val="22"/>
              </w:rPr>
              <w:t>diferentes</w:t>
            </w:r>
            <w:r>
              <w:rPr>
                <w:i/>
                <w:color w:val="231F1F"/>
                <w:spacing w:val="-13"/>
                <w:w w:val="105"/>
                <w:sz w:val="22"/>
              </w:rPr>
              <w:t> </w:t>
            </w:r>
            <w:r>
              <w:rPr>
                <w:i/>
                <w:color w:val="231F1F"/>
                <w:spacing w:val="-2"/>
                <w:w w:val="105"/>
                <w:sz w:val="22"/>
              </w:rPr>
              <w:t>posiciones</w:t>
            </w:r>
          </w:p>
        </w:tc>
      </w:tr>
      <w:tr>
        <w:trPr>
          <w:trHeight w:val="1242" w:hRule="atLeast"/>
        </w:trPr>
        <w:tc>
          <w:tcPr>
            <w:tcW w:w="571" w:type="dxa"/>
            <w:shd w:val="clear" w:color="auto" w:fill="F2DFDF"/>
          </w:tcPr>
          <w:p>
            <w:pPr>
              <w:pStyle w:val="TableParagraph"/>
              <w:spacing w:before="208"/>
              <w:ind w:left="0"/>
              <w:rPr>
                <w:rFonts w:ascii="Arial MT"/>
                <w:sz w:val="22"/>
              </w:rPr>
            </w:pPr>
          </w:p>
          <w:p>
            <w:pPr>
              <w:pStyle w:val="TableParagraph"/>
              <w:ind w:left="46" w:right="8"/>
              <w:jc w:val="center"/>
              <w:rPr>
                <w:sz w:val="22"/>
              </w:rPr>
            </w:pPr>
            <w:r>
              <w:rPr>
                <w:color w:val="231F1F"/>
                <w:spacing w:val="-10"/>
                <w:w w:val="115"/>
                <w:sz w:val="22"/>
              </w:rPr>
              <w:t>A</w:t>
            </w:r>
          </w:p>
        </w:tc>
        <w:tc>
          <w:tcPr>
            <w:tcW w:w="7934" w:type="dxa"/>
            <w:shd w:val="clear" w:color="auto" w:fill="F2DFDF"/>
          </w:tcPr>
          <w:p>
            <w:pPr>
              <w:pStyle w:val="TableParagraph"/>
              <w:spacing w:line="249" w:lineRule="auto" w:before="53"/>
              <w:ind w:left="116" w:right="85"/>
              <w:jc w:val="both"/>
              <w:rPr>
                <w:sz w:val="22"/>
              </w:rPr>
            </w:pPr>
            <w:r>
              <w:rPr>
                <w:color w:val="231F1F"/>
                <w:w w:val="105"/>
                <w:sz w:val="22"/>
              </w:rPr>
              <w:t>Se</w:t>
            </w:r>
            <w:r>
              <w:rPr>
                <w:color w:val="231F1F"/>
                <w:spacing w:val="-4"/>
                <w:w w:val="105"/>
                <w:sz w:val="22"/>
              </w:rPr>
              <w:t> </w:t>
            </w:r>
            <w:r>
              <w:rPr>
                <w:color w:val="231F1F"/>
                <w:w w:val="105"/>
                <w:sz w:val="22"/>
              </w:rPr>
              <w:t>debe</w:t>
            </w:r>
            <w:r>
              <w:rPr>
                <w:color w:val="231F1F"/>
                <w:spacing w:val="-4"/>
                <w:w w:val="105"/>
                <w:sz w:val="22"/>
              </w:rPr>
              <w:t> </w:t>
            </w:r>
            <w:r>
              <w:rPr>
                <w:color w:val="231F1F"/>
                <w:w w:val="105"/>
                <w:sz w:val="22"/>
              </w:rPr>
              <w:t>alentar</w:t>
            </w:r>
            <w:r>
              <w:rPr>
                <w:color w:val="231F1F"/>
                <w:spacing w:val="-3"/>
                <w:w w:val="105"/>
                <w:sz w:val="22"/>
              </w:rPr>
              <w:t> </w:t>
            </w:r>
            <w:r>
              <w:rPr>
                <w:color w:val="231F1F"/>
                <w:w w:val="105"/>
                <w:sz w:val="22"/>
              </w:rPr>
              <w:t>y</w:t>
            </w:r>
            <w:r>
              <w:rPr>
                <w:color w:val="231F1F"/>
                <w:spacing w:val="-3"/>
                <w:w w:val="105"/>
                <w:sz w:val="22"/>
              </w:rPr>
              <w:t> </w:t>
            </w:r>
            <w:r>
              <w:rPr>
                <w:color w:val="231F1F"/>
                <w:w w:val="105"/>
                <w:sz w:val="22"/>
              </w:rPr>
              <w:t>ayudar</w:t>
            </w:r>
            <w:r>
              <w:rPr>
                <w:color w:val="231F1F"/>
                <w:spacing w:val="-3"/>
                <w:w w:val="105"/>
                <w:sz w:val="22"/>
              </w:rPr>
              <w:t> </w:t>
            </w:r>
            <w:r>
              <w:rPr>
                <w:color w:val="231F1F"/>
                <w:w w:val="105"/>
                <w:sz w:val="22"/>
              </w:rPr>
              <w:t>a</w:t>
            </w:r>
            <w:r>
              <w:rPr>
                <w:color w:val="231F1F"/>
                <w:spacing w:val="-4"/>
                <w:w w:val="105"/>
                <w:sz w:val="22"/>
              </w:rPr>
              <w:t> </w:t>
            </w:r>
            <w:r>
              <w:rPr>
                <w:color w:val="231F1F"/>
                <w:w w:val="105"/>
                <w:sz w:val="22"/>
              </w:rPr>
              <w:t>las</w:t>
            </w:r>
            <w:r>
              <w:rPr>
                <w:color w:val="231F1F"/>
                <w:spacing w:val="-4"/>
                <w:w w:val="105"/>
                <w:sz w:val="22"/>
              </w:rPr>
              <w:t> </w:t>
            </w:r>
            <w:r>
              <w:rPr>
                <w:color w:val="231F1F"/>
                <w:w w:val="105"/>
                <w:sz w:val="22"/>
              </w:rPr>
              <w:t>mujeres,</w:t>
            </w:r>
            <w:r>
              <w:rPr>
                <w:color w:val="231F1F"/>
                <w:spacing w:val="-4"/>
                <w:w w:val="105"/>
                <w:sz w:val="22"/>
              </w:rPr>
              <w:t> </w:t>
            </w:r>
            <w:r>
              <w:rPr>
                <w:color w:val="231F1F"/>
                <w:w w:val="105"/>
                <w:sz w:val="22"/>
              </w:rPr>
              <w:t>incluso</w:t>
            </w:r>
            <w:r>
              <w:rPr>
                <w:color w:val="231F1F"/>
                <w:spacing w:val="-4"/>
                <w:w w:val="105"/>
                <w:sz w:val="22"/>
              </w:rPr>
              <w:t> </w:t>
            </w:r>
            <w:r>
              <w:rPr>
                <w:color w:val="231F1F"/>
                <w:w w:val="105"/>
                <w:sz w:val="22"/>
              </w:rPr>
              <w:t>a</w:t>
            </w:r>
            <w:r>
              <w:rPr>
                <w:color w:val="231F1F"/>
                <w:spacing w:val="-4"/>
                <w:w w:val="105"/>
                <w:sz w:val="22"/>
              </w:rPr>
              <w:t> </w:t>
            </w:r>
            <w:r>
              <w:rPr>
                <w:color w:val="231F1F"/>
                <w:w w:val="105"/>
                <w:sz w:val="22"/>
              </w:rPr>
              <w:t>las</w:t>
            </w:r>
            <w:r>
              <w:rPr>
                <w:color w:val="231F1F"/>
                <w:spacing w:val="-4"/>
                <w:w w:val="105"/>
                <w:sz w:val="22"/>
              </w:rPr>
              <w:t> </w:t>
            </w:r>
            <w:r>
              <w:rPr>
                <w:color w:val="231F1F"/>
                <w:w w:val="105"/>
                <w:sz w:val="22"/>
              </w:rPr>
              <w:t>que</w:t>
            </w:r>
            <w:r>
              <w:rPr>
                <w:color w:val="231F1F"/>
                <w:spacing w:val="-4"/>
                <w:w w:val="105"/>
                <w:sz w:val="22"/>
              </w:rPr>
              <w:t> </w:t>
            </w:r>
            <w:r>
              <w:rPr>
                <w:color w:val="231F1F"/>
                <w:w w:val="105"/>
                <w:sz w:val="22"/>
              </w:rPr>
              <w:t>utilizan</w:t>
            </w:r>
            <w:r>
              <w:rPr>
                <w:color w:val="231F1F"/>
                <w:spacing w:val="-4"/>
                <w:w w:val="105"/>
                <w:sz w:val="22"/>
              </w:rPr>
              <w:t> </w:t>
            </w:r>
            <w:r>
              <w:rPr>
                <w:color w:val="231F1F"/>
                <w:w w:val="105"/>
                <w:sz w:val="22"/>
              </w:rPr>
              <w:t>analgesia</w:t>
            </w:r>
            <w:r>
              <w:rPr>
                <w:color w:val="231F1F"/>
                <w:spacing w:val="-3"/>
                <w:w w:val="105"/>
                <w:sz w:val="22"/>
              </w:rPr>
              <w:t> </w:t>
            </w:r>
            <w:r>
              <w:rPr>
                <w:color w:val="231F1F"/>
                <w:w w:val="105"/>
                <w:sz w:val="22"/>
              </w:rPr>
              <w:t>epidural, a</w:t>
            </w:r>
            <w:r>
              <w:rPr>
                <w:color w:val="231F1F"/>
                <w:w w:val="105"/>
                <w:sz w:val="22"/>
              </w:rPr>
              <w:t> adoptar</w:t>
            </w:r>
            <w:r>
              <w:rPr>
                <w:color w:val="231F1F"/>
                <w:w w:val="105"/>
                <w:sz w:val="22"/>
              </w:rPr>
              <w:t> cualquier</w:t>
            </w:r>
            <w:r>
              <w:rPr>
                <w:color w:val="231F1F"/>
                <w:w w:val="105"/>
                <w:sz w:val="22"/>
              </w:rPr>
              <w:t> posición</w:t>
            </w:r>
            <w:r>
              <w:rPr>
                <w:color w:val="231F1F"/>
                <w:w w:val="105"/>
                <w:sz w:val="22"/>
              </w:rPr>
              <w:t> que</w:t>
            </w:r>
            <w:r>
              <w:rPr>
                <w:color w:val="231F1F"/>
                <w:w w:val="105"/>
                <w:sz w:val="22"/>
              </w:rPr>
              <w:t> encuentren</w:t>
            </w:r>
            <w:r>
              <w:rPr>
                <w:color w:val="231F1F"/>
                <w:w w:val="105"/>
                <w:sz w:val="22"/>
              </w:rPr>
              <w:t> cómoda</w:t>
            </w:r>
            <w:r>
              <w:rPr>
                <w:color w:val="231F1F"/>
                <w:w w:val="105"/>
                <w:sz w:val="22"/>
              </w:rPr>
              <w:t> a</w:t>
            </w:r>
            <w:r>
              <w:rPr>
                <w:color w:val="231F1F"/>
                <w:w w:val="105"/>
                <w:sz w:val="22"/>
              </w:rPr>
              <w:t> lo</w:t>
            </w:r>
            <w:r>
              <w:rPr>
                <w:color w:val="231F1F"/>
                <w:w w:val="105"/>
                <w:sz w:val="22"/>
              </w:rPr>
              <w:t> largo</w:t>
            </w:r>
            <w:r>
              <w:rPr>
                <w:color w:val="231F1F"/>
                <w:w w:val="105"/>
                <w:sz w:val="22"/>
              </w:rPr>
              <w:t> del</w:t>
            </w:r>
            <w:r>
              <w:rPr>
                <w:color w:val="231F1F"/>
                <w:w w:val="105"/>
                <w:sz w:val="22"/>
              </w:rPr>
              <w:t> periodo</w:t>
            </w:r>
            <w:r>
              <w:rPr>
                <w:color w:val="231F1F"/>
                <w:w w:val="105"/>
                <w:sz w:val="22"/>
              </w:rPr>
              <w:t> de dilatación y a movilizarse si así lo desean, previa comprobación del bloqueo motor y propioceptivo.</w:t>
            </w:r>
          </w:p>
        </w:tc>
      </w:tr>
    </w:tbl>
    <w:p>
      <w:pPr>
        <w:pStyle w:val="TableParagraph"/>
        <w:spacing w:after="0" w:line="249" w:lineRule="auto"/>
        <w:jc w:val="both"/>
        <w:rPr>
          <w:sz w:val="22"/>
        </w:rPr>
        <w:sectPr>
          <w:type w:val="continuous"/>
          <w:pgSz w:w="11900" w:h="16840"/>
          <w:pgMar w:header="0" w:footer="622" w:top="1640" w:bottom="2173"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78" w:hRule="atLeast"/>
        </w:trPr>
        <w:tc>
          <w:tcPr>
            <w:tcW w:w="8505" w:type="dxa"/>
            <w:gridSpan w:val="2"/>
          </w:tcPr>
          <w:p>
            <w:pPr>
              <w:pStyle w:val="TableParagraph"/>
              <w:spacing w:before="29"/>
              <w:rPr>
                <w:i/>
                <w:sz w:val="22"/>
              </w:rPr>
            </w:pPr>
            <w:r>
              <w:rPr>
                <w:i/>
                <w:color w:val="231F1F"/>
                <w:w w:val="105"/>
                <w:sz w:val="22"/>
              </w:rPr>
              <w:t>5.5.5.</w:t>
            </w:r>
            <w:r>
              <w:rPr>
                <w:i/>
                <w:color w:val="231F1F"/>
                <w:spacing w:val="-8"/>
                <w:w w:val="105"/>
                <w:sz w:val="22"/>
              </w:rPr>
              <w:t> </w:t>
            </w:r>
            <w:r>
              <w:rPr>
                <w:i/>
                <w:color w:val="231F1F"/>
                <w:w w:val="105"/>
                <w:sz w:val="22"/>
              </w:rPr>
              <w:t>Amniorrexis</w:t>
            </w:r>
            <w:r>
              <w:rPr>
                <w:i/>
                <w:color w:val="231F1F"/>
                <w:spacing w:val="-10"/>
                <w:w w:val="105"/>
                <w:sz w:val="22"/>
              </w:rPr>
              <w:t> </w:t>
            </w:r>
            <w:r>
              <w:rPr>
                <w:i/>
                <w:color w:val="231F1F"/>
                <w:w w:val="105"/>
                <w:sz w:val="22"/>
              </w:rPr>
              <w:t>y</w:t>
            </w:r>
            <w:r>
              <w:rPr>
                <w:i/>
                <w:color w:val="231F1F"/>
                <w:spacing w:val="-8"/>
                <w:w w:val="105"/>
                <w:sz w:val="22"/>
              </w:rPr>
              <w:t> </w:t>
            </w:r>
            <w:r>
              <w:rPr>
                <w:i/>
                <w:color w:val="231F1F"/>
                <w:w w:val="105"/>
                <w:sz w:val="22"/>
              </w:rPr>
              <w:t>utilización</w:t>
            </w:r>
            <w:r>
              <w:rPr>
                <w:i/>
                <w:color w:val="231F1F"/>
                <w:spacing w:val="-10"/>
                <w:w w:val="105"/>
                <w:sz w:val="22"/>
              </w:rPr>
              <w:t> </w:t>
            </w:r>
            <w:r>
              <w:rPr>
                <w:i/>
                <w:color w:val="231F1F"/>
                <w:w w:val="105"/>
                <w:sz w:val="22"/>
              </w:rPr>
              <w:t>de</w:t>
            </w:r>
            <w:r>
              <w:rPr>
                <w:i/>
                <w:color w:val="231F1F"/>
                <w:spacing w:val="-7"/>
                <w:w w:val="105"/>
                <w:sz w:val="22"/>
              </w:rPr>
              <w:t> </w:t>
            </w:r>
            <w:r>
              <w:rPr>
                <w:i/>
                <w:color w:val="231F1F"/>
                <w:spacing w:val="-2"/>
                <w:w w:val="105"/>
                <w:sz w:val="22"/>
              </w:rPr>
              <w:t>oxitocina</w:t>
            </w:r>
          </w:p>
        </w:tc>
      </w:tr>
      <w:tr>
        <w:trPr>
          <w:trHeight w:val="940" w:hRule="atLeast"/>
        </w:trPr>
        <w:tc>
          <w:tcPr>
            <w:tcW w:w="571" w:type="dxa"/>
            <w:shd w:val="clear" w:color="auto" w:fill="F2DFDF"/>
          </w:tcPr>
          <w:p>
            <w:pPr>
              <w:pStyle w:val="TableParagraph"/>
              <w:spacing w:before="55"/>
              <w:ind w:left="0"/>
              <w:rPr>
                <w:rFonts w:ascii="Arial MT"/>
                <w:sz w:val="22"/>
              </w:rPr>
            </w:pPr>
          </w:p>
          <w:p>
            <w:pPr>
              <w:pStyle w:val="TableParagraph"/>
              <w:ind w:left="46" w:right="9"/>
              <w:jc w:val="center"/>
              <w:rPr>
                <w:sz w:val="22"/>
              </w:rPr>
            </w:pPr>
            <w:r>
              <w:rPr>
                <w:color w:val="231F1F"/>
                <w:spacing w:val="-10"/>
                <w:w w:val="115"/>
                <w:sz w:val="22"/>
              </w:rPr>
              <w:t>A</w:t>
            </w:r>
          </w:p>
        </w:tc>
        <w:tc>
          <w:tcPr>
            <w:tcW w:w="7934" w:type="dxa"/>
            <w:shd w:val="clear" w:color="auto" w:fill="F2DFDF"/>
          </w:tcPr>
          <w:p>
            <w:pPr>
              <w:pStyle w:val="TableParagraph"/>
              <w:spacing w:line="244" w:lineRule="auto" w:before="39"/>
              <w:ind w:left="117" w:right="87"/>
              <w:jc w:val="both"/>
              <w:rPr>
                <w:sz w:val="22"/>
              </w:rPr>
            </w:pPr>
            <w:r>
              <w:rPr>
                <w:color w:val="231F1F"/>
                <w:w w:val="105"/>
                <w:sz w:val="22"/>
              </w:rPr>
              <w:t>Se recomienda no realizar amniorrexis artificial ni perfusión de oxitocina de</w:t>
            </w:r>
            <w:r>
              <w:rPr>
                <w:color w:val="231F1F"/>
                <w:spacing w:val="-1"/>
                <w:w w:val="105"/>
                <w:sz w:val="22"/>
              </w:rPr>
              <w:t> </w:t>
            </w:r>
            <w:r>
              <w:rPr>
                <w:color w:val="231F1F"/>
                <w:w w:val="105"/>
                <w:sz w:val="22"/>
              </w:rPr>
              <w:t>forma rutinaria</w:t>
            </w:r>
            <w:r>
              <w:rPr>
                <w:color w:val="231F1F"/>
                <w:w w:val="105"/>
                <w:sz w:val="22"/>
              </w:rPr>
              <w:t> en</w:t>
            </w:r>
            <w:r>
              <w:rPr>
                <w:color w:val="231F1F"/>
                <w:w w:val="105"/>
                <w:sz w:val="22"/>
              </w:rPr>
              <w:t> partos</w:t>
            </w:r>
            <w:r>
              <w:rPr>
                <w:color w:val="231F1F"/>
                <w:w w:val="105"/>
                <w:sz w:val="22"/>
              </w:rPr>
              <w:t> vaginales</w:t>
            </w:r>
            <w:r>
              <w:rPr>
                <w:color w:val="231F1F"/>
                <w:w w:val="105"/>
                <w:sz w:val="22"/>
              </w:rPr>
              <w:t> que</w:t>
            </w:r>
            <w:r>
              <w:rPr>
                <w:color w:val="231F1F"/>
                <w:w w:val="105"/>
                <w:sz w:val="22"/>
              </w:rPr>
              <w:t> progresan</w:t>
            </w:r>
            <w:r>
              <w:rPr>
                <w:color w:val="231F1F"/>
                <w:w w:val="105"/>
                <w:sz w:val="22"/>
              </w:rPr>
              <w:t> de</w:t>
            </w:r>
            <w:r>
              <w:rPr>
                <w:color w:val="231F1F"/>
                <w:w w:val="105"/>
                <w:sz w:val="22"/>
              </w:rPr>
              <w:t> forma</w:t>
            </w:r>
            <w:r>
              <w:rPr>
                <w:color w:val="231F1F"/>
                <w:w w:val="105"/>
                <w:sz w:val="22"/>
              </w:rPr>
              <w:t> normal,</w:t>
            </w:r>
            <w:r>
              <w:rPr>
                <w:color w:val="231F1F"/>
                <w:w w:val="105"/>
                <w:sz w:val="22"/>
              </w:rPr>
              <w:t> ya</w:t>
            </w:r>
            <w:r>
              <w:rPr>
                <w:color w:val="231F1F"/>
                <w:w w:val="105"/>
                <w:sz w:val="22"/>
              </w:rPr>
              <w:t> que</w:t>
            </w:r>
            <w:r>
              <w:rPr>
                <w:color w:val="231F1F"/>
                <w:w w:val="105"/>
                <w:sz w:val="22"/>
              </w:rPr>
              <w:t> las</w:t>
            </w:r>
            <w:r>
              <w:rPr>
                <w:color w:val="231F1F"/>
                <w:w w:val="105"/>
                <w:sz w:val="22"/>
              </w:rPr>
              <w:t> pruebas muestran que esto no mejora los resultados.</w:t>
            </w:r>
          </w:p>
        </w:tc>
      </w:tr>
      <w:tr>
        <w:trPr>
          <w:trHeight w:val="374" w:hRule="atLeast"/>
        </w:trPr>
        <w:tc>
          <w:tcPr>
            <w:tcW w:w="8505" w:type="dxa"/>
            <w:gridSpan w:val="2"/>
          </w:tcPr>
          <w:p>
            <w:pPr>
              <w:pStyle w:val="TableParagraph"/>
              <w:spacing w:before="29"/>
              <w:rPr>
                <w:i/>
                <w:sz w:val="22"/>
              </w:rPr>
            </w:pPr>
            <w:r>
              <w:rPr>
                <w:i/>
                <w:color w:val="231F1F"/>
                <w:w w:val="105"/>
                <w:sz w:val="22"/>
              </w:rPr>
              <w:t>5.5.6.</w:t>
            </w:r>
            <w:r>
              <w:rPr>
                <w:i/>
                <w:color w:val="231F1F"/>
                <w:spacing w:val="-8"/>
                <w:w w:val="105"/>
                <w:sz w:val="22"/>
              </w:rPr>
              <w:t> </w:t>
            </w:r>
            <w:r>
              <w:rPr>
                <w:i/>
                <w:color w:val="231F1F"/>
                <w:w w:val="105"/>
                <w:sz w:val="22"/>
              </w:rPr>
              <w:t>Lavado</w:t>
            </w:r>
            <w:r>
              <w:rPr>
                <w:i/>
                <w:color w:val="231F1F"/>
                <w:spacing w:val="-7"/>
                <w:w w:val="105"/>
                <w:sz w:val="22"/>
              </w:rPr>
              <w:t> </w:t>
            </w:r>
            <w:r>
              <w:rPr>
                <w:i/>
                <w:color w:val="231F1F"/>
                <w:spacing w:val="-2"/>
                <w:w w:val="105"/>
                <w:sz w:val="22"/>
              </w:rPr>
              <w:t>perineal</w:t>
            </w:r>
          </w:p>
        </w:tc>
      </w:tr>
      <w:tr>
        <w:trPr>
          <w:trHeight w:val="657" w:hRule="atLeast"/>
        </w:trPr>
        <w:tc>
          <w:tcPr>
            <w:tcW w:w="571" w:type="dxa"/>
          </w:tcPr>
          <w:p>
            <w:pPr>
              <w:pStyle w:val="TableParagraph"/>
              <w:spacing w:before="169"/>
              <w:ind w:left="46" w:right="9"/>
              <w:jc w:val="center"/>
              <w:rPr>
                <w:sz w:val="22"/>
              </w:rPr>
            </w:pPr>
            <w:r>
              <w:rPr>
                <w:color w:val="231F1F"/>
                <w:spacing w:val="-10"/>
                <w:w w:val="115"/>
                <w:sz w:val="22"/>
              </w:rPr>
              <w:t>A</w:t>
            </w:r>
          </w:p>
        </w:tc>
        <w:tc>
          <w:tcPr>
            <w:tcW w:w="7934" w:type="dxa"/>
          </w:tcPr>
          <w:p>
            <w:pPr>
              <w:pStyle w:val="TableParagraph"/>
              <w:spacing w:line="244" w:lineRule="auto" w:before="29"/>
              <w:ind w:left="116"/>
              <w:rPr>
                <w:sz w:val="22"/>
              </w:rPr>
            </w:pPr>
            <w:r>
              <w:rPr>
                <w:color w:val="231F1F"/>
                <w:w w:val="105"/>
                <w:sz w:val="22"/>
              </w:rPr>
              <w:t>Se</w:t>
            </w:r>
            <w:r>
              <w:rPr>
                <w:color w:val="231F1F"/>
                <w:spacing w:val="-8"/>
                <w:w w:val="105"/>
                <w:sz w:val="22"/>
              </w:rPr>
              <w:t> </w:t>
            </w:r>
            <w:r>
              <w:rPr>
                <w:color w:val="231F1F"/>
                <w:w w:val="105"/>
                <w:sz w:val="22"/>
              </w:rPr>
              <w:t>recomienda</w:t>
            </w:r>
            <w:r>
              <w:rPr>
                <w:color w:val="231F1F"/>
                <w:spacing w:val="-7"/>
                <w:w w:val="105"/>
                <w:sz w:val="22"/>
              </w:rPr>
              <w:t> </w:t>
            </w:r>
            <w:r>
              <w:rPr>
                <w:color w:val="231F1F"/>
                <w:w w:val="105"/>
                <w:sz w:val="22"/>
              </w:rPr>
              <w:t>utilizar</w:t>
            </w:r>
            <w:r>
              <w:rPr>
                <w:color w:val="231F1F"/>
                <w:spacing w:val="-8"/>
                <w:w w:val="105"/>
                <w:sz w:val="22"/>
              </w:rPr>
              <w:t> </w:t>
            </w:r>
            <w:r>
              <w:rPr>
                <w:color w:val="231F1F"/>
                <w:w w:val="105"/>
                <w:sz w:val="22"/>
              </w:rPr>
              <w:t>agua</w:t>
            </w:r>
            <w:r>
              <w:rPr>
                <w:color w:val="231F1F"/>
                <w:spacing w:val="-7"/>
                <w:w w:val="105"/>
                <w:sz w:val="22"/>
              </w:rPr>
              <w:t> </w:t>
            </w:r>
            <w:r>
              <w:rPr>
                <w:color w:val="231F1F"/>
                <w:w w:val="105"/>
                <w:sz w:val="22"/>
              </w:rPr>
              <w:t>corriente</w:t>
            </w:r>
            <w:r>
              <w:rPr>
                <w:color w:val="231F1F"/>
                <w:spacing w:val="-7"/>
                <w:w w:val="105"/>
                <w:sz w:val="22"/>
              </w:rPr>
              <w:t> </w:t>
            </w:r>
            <w:r>
              <w:rPr>
                <w:color w:val="231F1F"/>
                <w:w w:val="105"/>
                <w:sz w:val="22"/>
              </w:rPr>
              <w:t>si</w:t>
            </w:r>
            <w:r>
              <w:rPr>
                <w:color w:val="231F1F"/>
                <w:spacing w:val="-8"/>
                <w:w w:val="105"/>
                <w:sz w:val="22"/>
              </w:rPr>
              <w:t> </w:t>
            </w:r>
            <w:r>
              <w:rPr>
                <w:color w:val="231F1F"/>
                <w:w w:val="105"/>
                <w:sz w:val="22"/>
              </w:rPr>
              <w:t>se</w:t>
            </w:r>
            <w:r>
              <w:rPr>
                <w:color w:val="231F1F"/>
                <w:spacing w:val="-8"/>
                <w:w w:val="105"/>
                <w:sz w:val="22"/>
              </w:rPr>
              <w:t> </w:t>
            </w:r>
            <w:r>
              <w:rPr>
                <w:color w:val="231F1F"/>
                <w:w w:val="105"/>
                <w:sz w:val="22"/>
              </w:rPr>
              <w:t>necesita</w:t>
            </w:r>
            <w:r>
              <w:rPr>
                <w:color w:val="231F1F"/>
                <w:spacing w:val="-8"/>
                <w:w w:val="105"/>
                <w:sz w:val="22"/>
              </w:rPr>
              <w:t> </w:t>
            </w:r>
            <w:r>
              <w:rPr>
                <w:color w:val="231F1F"/>
                <w:w w:val="105"/>
                <w:sz w:val="22"/>
              </w:rPr>
              <w:t>un</w:t>
            </w:r>
            <w:r>
              <w:rPr>
                <w:color w:val="231F1F"/>
                <w:spacing w:val="-6"/>
                <w:w w:val="105"/>
                <w:sz w:val="22"/>
              </w:rPr>
              <w:t> </w:t>
            </w:r>
            <w:r>
              <w:rPr>
                <w:color w:val="231F1F"/>
                <w:w w:val="105"/>
                <w:sz w:val="22"/>
              </w:rPr>
              <w:t>lavado</w:t>
            </w:r>
            <w:r>
              <w:rPr>
                <w:color w:val="231F1F"/>
                <w:spacing w:val="-7"/>
                <w:w w:val="105"/>
                <w:sz w:val="22"/>
              </w:rPr>
              <w:t> </w:t>
            </w:r>
            <w:r>
              <w:rPr>
                <w:color w:val="231F1F"/>
                <w:w w:val="105"/>
                <w:sz w:val="22"/>
              </w:rPr>
              <w:t>antes</w:t>
            </w:r>
            <w:r>
              <w:rPr>
                <w:color w:val="231F1F"/>
                <w:spacing w:val="-6"/>
                <w:w w:val="105"/>
                <w:sz w:val="22"/>
              </w:rPr>
              <w:t> </w:t>
            </w:r>
            <w:r>
              <w:rPr>
                <w:color w:val="231F1F"/>
                <w:w w:val="105"/>
                <w:sz w:val="22"/>
              </w:rPr>
              <w:t>de</w:t>
            </w:r>
            <w:r>
              <w:rPr>
                <w:color w:val="231F1F"/>
                <w:spacing w:val="-7"/>
                <w:w w:val="105"/>
                <w:sz w:val="22"/>
              </w:rPr>
              <w:t> </w:t>
            </w:r>
            <w:r>
              <w:rPr>
                <w:color w:val="231F1F"/>
                <w:w w:val="105"/>
                <w:sz w:val="22"/>
              </w:rPr>
              <w:t>un</w:t>
            </w:r>
            <w:r>
              <w:rPr>
                <w:color w:val="231F1F"/>
                <w:spacing w:val="-6"/>
                <w:w w:val="105"/>
                <w:sz w:val="22"/>
              </w:rPr>
              <w:t> </w:t>
            </w:r>
            <w:r>
              <w:rPr>
                <w:color w:val="231F1F"/>
                <w:w w:val="105"/>
                <w:sz w:val="22"/>
              </w:rPr>
              <w:t>examen vaginal, no siendo necesario el uso de antisépticos.</w:t>
            </w:r>
          </w:p>
        </w:tc>
      </w:tr>
      <w:tr>
        <w:trPr>
          <w:trHeight w:val="378" w:hRule="atLeast"/>
        </w:trPr>
        <w:tc>
          <w:tcPr>
            <w:tcW w:w="8505" w:type="dxa"/>
            <w:gridSpan w:val="2"/>
          </w:tcPr>
          <w:p>
            <w:pPr>
              <w:pStyle w:val="TableParagraph"/>
              <w:spacing w:before="29"/>
              <w:rPr>
                <w:i/>
                <w:sz w:val="22"/>
              </w:rPr>
            </w:pPr>
            <w:r>
              <w:rPr>
                <w:i/>
                <w:color w:val="231F1F"/>
                <w:spacing w:val="-2"/>
                <w:w w:val="105"/>
                <w:sz w:val="22"/>
              </w:rPr>
              <w:t>5.5.7.</w:t>
            </w:r>
            <w:r>
              <w:rPr>
                <w:i/>
                <w:color w:val="231F1F"/>
                <w:spacing w:val="-9"/>
                <w:w w:val="105"/>
                <w:sz w:val="22"/>
              </w:rPr>
              <w:t> </w:t>
            </w:r>
            <w:r>
              <w:rPr>
                <w:i/>
                <w:color w:val="231F1F"/>
                <w:spacing w:val="-2"/>
                <w:w w:val="105"/>
                <w:sz w:val="22"/>
              </w:rPr>
              <w:t>Utilización</w:t>
            </w:r>
            <w:r>
              <w:rPr>
                <w:i/>
                <w:color w:val="231F1F"/>
                <w:spacing w:val="-8"/>
                <w:w w:val="105"/>
                <w:sz w:val="22"/>
              </w:rPr>
              <w:t> </w:t>
            </w:r>
            <w:r>
              <w:rPr>
                <w:i/>
                <w:color w:val="231F1F"/>
                <w:spacing w:val="-2"/>
                <w:w w:val="105"/>
                <w:sz w:val="22"/>
              </w:rPr>
              <w:t>de</w:t>
            </w:r>
            <w:r>
              <w:rPr>
                <w:i/>
                <w:color w:val="231F1F"/>
                <w:spacing w:val="-9"/>
                <w:w w:val="105"/>
                <w:sz w:val="22"/>
              </w:rPr>
              <w:t> </w:t>
            </w:r>
            <w:r>
              <w:rPr>
                <w:i/>
                <w:color w:val="231F1F"/>
                <w:spacing w:val="-2"/>
                <w:w w:val="105"/>
                <w:sz w:val="22"/>
              </w:rPr>
              <w:t>partograma</w:t>
            </w:r>
          </w:p>
        </w:tc>
      </w:tr>
      <w:tr>
        <w:trPr>
          <w:trHeight w:val="378" w:hRule="atLeast"/>
        </w:trPr>
        <w:tc>
          <w:tcPr>
            <w:tcW w:w="571" w:type="dxa"/>
          </w:tcPr>
          <w:p>
            <w:pPr>
              <w:pStyle w:val="TableParagraph"/>
              <w:spacing w:before="29"/>
              <w:ind w:left="46" w:right="9"/>
              <w:jc w:val="center"/>
              <w:rPr>
                <w:sz w:val="22"/>
              </w:rPr>
            </w:pPr>
            <w:r>
              <w:rPr>
                <w:color w:val="231F1F"/>
                <w:spacing w:val="-10"/>
                <w:w w:val="115"/>
                <w:sz w:val="22"/>
              </w:rPr>
              <w:t>A</w:t>
            </w:r>
          </w:p>
        </w:tc>
        <w:tc>
          <w:tcPr>
            <w:tcW w:w="7934" w:type="dxa"/>
          </w:tcPr>
          <w:p>
            <w:pPr>
              <w:pStyle w:val="TableParagraph"/>
              <w:spacing w:before="39"/>
              <w:ind w:left="117"/>
              <w:rPr>
                <w:sz w:val="22"/>
              </w:rPr>
            </w:pPr>
            <w:r>
              <w:rPr>
                <w:color w:val="231F1F"/>
                <w:sz w:val="22"/>
              </w:rPr>
              <w:t>Si</w:t>
            </w:r>
            <w:r>
              <w:rPr>
                <w:color w:val="231F1F"/>
                <w:spacing w:val="20"/>
                <w:sz w:val="22"/>
              </w:rPr>
              <w:t> </w:t>
            </w:r>
            <w:r>
              <w:rPr>
                <w:color w:val="231F1F"/>
                <w:sz w:val="22"/>
              </w:rPr>
              <w:t>se</w:t>
            </w:r>
            <w:r>
              <w:rPr>
                <w:color w:val="231F1F"/>
                <w:spacing w:val="24"/>
                <w:sz w:val="22"/>
              </w:rPr>
              <w:t> </w:t>
            </w:r>
            <w:r>
              <w:rPr>
                <w:color w:val="231F1F"/>
                <w:sz w:val="22"/>
              </w:rPr>
              <w:t>utiliza</w:t>
            </w:r>
            <w:r>
              <w:rPr>
                <w:color w:val="231F1F"/>
                <w:spacing w:val="24"/>
                <w:sz w:val="22"/>
              </w:rPr>
              <w:t> </w:t>
            </w:r>
            <w:r>
              <w:rPr>
                <w:color w:val="231F1F"/>
                <w:sz w:val="22"/>
              </w:rPr>
              <w:t>el</w:t>
            </w:r>
            <w:r>
              <w:rPr>
                <w:color w:val="231F1F"/>
                <w:spacing w:val="24"/>
                <w:sz w:val="22"/>
              </w:rPr>
              <w:t> </w:t>
            </w:r>
            <w:r>
              <w:rPr>
                <w:color w:val="231F1F"/>
                <w:sz w:val="22"/>
              </w:rPr>
              <w:t>partograma</w:t>
            </w:r>
            <w:r>
              <w:rPr>
                <w:color w:val="231F1F"/>
                <w:spacing w:val="24"/>
                <w:sz w:val="22"/>
              </w:rPr>
              <w:t> </w:t>
            </w:r>
            <w:r>
              <w:rPr>
                <w:color w:val="231F1F"/>
                <w:sz w:val="22"/>
              </w:rPr>
              <w:t>se</w:t>
            </w:r>
            <w:r>
              <w:rPr>
                <w:color w:val="231F1F"/>
                <w:spacing w:val="23"/>
                <w:sz w:val="22"/>
              </w:rPr>
              <w:t> </w:t>
            </w:r>
            <w:r>
              <w:rPr>
                <w:color w:val="231F1F"/>
                <w:sz w:val="22"/>
              </w:rPr>
              <w:t>recomienda</w:t>
            </w:r>
            <w:r>
              <w:rPr>
                <w:color w:val="231F1F"/>
                <w:spacing w:val="26"/>
                <w:sz w:val="22"/>
              </w:rPr>
              <w:t> </w:t>
            </w:r>
            <w:r>
              <w:rPr>
                <w:color w:val="231F1F"/>
                <w:sz w:val="22"/>
              </w:rPr>
              <w:t>el</w:t>
            </w:r>
            <w:r>
              <w:rPr>
                <w:color w:val="231F1F"/>
                <w:spacing w:val="24"/>
                <w:sz w:val="22"/>
              </w:rPr>
              <w:t> </w:t>
            </w:r>
            <w:r>
              <w:rPr>
                <w:color w:val="231F1F"/>
                <w:sz w:val="22"/>
              </w:rPr>
              <w:t>de</w:t>
            </w:r>
            <w:r>
              <w:rPr>
                <w:color w:val="231F1F"/>
                <w:spacing w:val="24"/>
                <w:sz w:val="22"/>
              </w:rPr>
              <w:t> </w:t>
            </w:r>
            <w:r>
              <w:rPr>
                <w:color w:val="231F1F"/>
                <w:sz w:val="22"/>
              </w:rPr>
              <w:t>una</w:t>
            </w:r>
            <w:r>
              <w:rPr>
                <w:color w:val="231F1F"/>
                <w:spacing w:val="24"/>
                <w:sz w:val="22"/>
              </w:rPr>
              <w:t> </w:t>
            </w:r>
            <w:r>
              <w:rPr>
                <w:color w:val="231F1F"/>
                <w:sz w:val="22"/>
              </w:rPr>
              <w:t>línea</w:t>
            </w:r>
            <w:r>
              <w:rPr>
                <w:color w:val="231F1F"/>
                <w:spacing w:val="24"/>
                <w:sz w:val="22"/>
              </w:rPr>
              <w:t> </w:t>
            </w:r>
            <w:r>
              <w:rPr>
                <w:color w:val="231F1F"/>
                <w:sz w:val="22"/>
              </w:rPr>
              <w:t>de</w:t>
            </w:r>
            <w:r>
              <w:rPr>
                <w:color w:val="231F1F"/>
                <w:spacing w:val="24"/>
                <w:sz w:val="22"/>
              </w:rPr>
              <w:t> </w:t>
            </w:r>
            <w:r>
              <w:rPr>
                <w:color w:val="231F1F"/>
                <w:sz w:val="22"/>
              </w:rPr>
              <w:t>acción</w:t>
            </w:r>
            <w:r>
              <w:rPr>
                <w:color w:val="231F1F"/>
                <w:spacing w:val="24"/>
                <w:sz w:val="22"/>
              </w:rPr>
              <w:t> </w:t>
            </w:r>
            <w:r>
              <w:rPr>
                <w:color w:val="231F1F"/>
                <w:sz w:val="22"/>
              </w:rPr>
              <w:t>de</w:t>
            </w:r>
            <w:r>
              <w:rPr>
                <w:color w:val="231F1F"/>
                <w:spacing w:val="23"/>
                <w:sz w:val="22"/>
              </w:rPr>
              <w:t> </w:t>
            </w:r>
            <w:r>
              <w:rPr>
                <w:color w:val="231F1F"/>
                <w:sz w:val="22"/>
              </w:rPr>
              <w:t>4</w:t>
            </w:r>
            <w:r>
              <w:rPr>
                <w:color w:val="231F1F"/>
                <w:spacing w:val="25"/>
                <w:sz w:val="22"/>
              </w:rPr>
              <w:t> </w:t>
            </w:r>
            <w:r>
              <w:rPr>
                <w:color w:val="231F1F"/>
                <w:spacing w:val="-2"/>
                <w:sz w:val="22"/>
              </w:rPr>
              <w:t>horas.</w:t>
            </w:r>
          </w:p>
        </w:tc>
      </w:tr>
      <w:tr>
        <w:trPr>
          <w:trHeight w:val="378" w:hRule="atLeast"/>
        </w:trPr>
        <w:tc>
          <w:tcPr>
            <w:tcW w:w="8505" w:type="dxa"/>
            <w:gridSpan w:val="2"/>
          </w:tcPr>
          <w:p>
            <w:pPr>
              <w:pStyle w:val="TableParagraph"/>
              <w:spacing w:before="49"/>
              <w:rPr>
                <w:i/>
                <w:sz w:val="22"/>
              </w:rPr>
            </w:pPr>
            <w:r>
              <w:rPr>
                <w:i/>
                <w:color w:val="231F1F"/>
                <w:sz w:val="22"/>
              </w:rPr>
              <w:t>5.5.8.</w:t>
            </w:r>
            <w:r>
              <w:rPr>
                <w:i/>
                <w:color w:val="231F1F"/>
                <w:spacing w:val="-2"/>
                <w:sz w:val="22"/>
              </w:rPr>
              <w:t> </w:t>
            </w:r>
            <w:r>
              <w:rPr>
                <w:i/>
                <w:color w:val="231F1F"/>
                <w:sz w:val="22"/>
              </w:rPr>
              <w:t>Frecuencia</w:t>
            </w:r>
            <w:r>
              <w:rPr>
                <w:i/>
                <w:color w:val="231F1F"/>
                <w:spacing w:val="-2"/>
                <w:sz w:val="22"/>
              </w:rPr>
              <w:t> </w:t>
            </w:r>
            <w:r>
              <w:rPr>
                <w:i/>
                <w:color w:val="231F1F"/>
                <w:sz w:val="22"/>
              </w:rPr>
              <w:t>de</w:t>
            </w:r>
            <w:r>
              <w:rPr>
                <w:i/>
                <w:color w:val="231F1F"/>
                <w:spacing w:val="-2"/>
                <w:sz w:val="22"/>
              </w:rPr>
              <w:t> </w:t>
            </w:r>
            <w:r>
              <w:rPr>
                <w:i/>
                <w:color w:val="231F1F"/>
                <w:sz w:val="22"/>
              </w:rPr>
              <w:t>tactos </w:t>
            </w:r>
            <w:r>
              <w:rPr>
                <w:i/>
                <w:color w:val="231F1F"/>
                <w:spacing w:val="-2"/>
                <w:sz w:val="22"/>
              </w:rPr>
              <w:t>vaginales</w:t>
            </w:r>
          </w:p>
        </w:tc>
      </w:tr>
      <w:tr>
        <w:trPr>
          <w:trHeight w:val="662" w:hRule="atLeast"/>
        </w:trPr>
        <w:tc>
          <w:tcPr>
            <w:tcW w:w="571" w:type="dxa"/>
          </w:tcPr>
          <w:p>
            <w:pPr>
              <w:pStyle w:val="TableParagraph"/>
              <w:spacing w:before="187"/>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59" w:lineRule="auto" w:before="49"/>
              <w:ind w:left="117"/>
              <w:rPr>
                <w:sz w:val="22"/>
              </w:rPr>
            </w:pPr>
            <w:r>
              <w:rPr>
                <w:color w:val="231F1F"/>
                <w:sz w:val="22"/>
              </w:rPr>
              <w:t>Se</w:t>
            </w:r>
            <w:r>
              <w:rPr>
                <w:color w:val="231F1F"/>
                <w:spacing w:val="30"/>
                <w:sz w:val="22"/>
              </w:rPr>
              <w:t> </w:t>
            </w:r>
            <w:r>
              <w:rPr>
                <w:color w:val="231F1F"/>
                <w:sz w:val="22"/>
              </w:rPr>
              <w:t>recomienda</w:t>
            </w:r>
            <w:r>
              <w:rPr>
                <w:color w:val="231F1F"/>
                <w:spacing w:val="32"/>
                <w:sz w:val="22"/>
              </w:rPr>
              <w:t> </w:t>
            </w:r>
            <w:r>
              <w:rPr>
                <w:color w:val="231F1F"/>
                <w:sz w:val="22"/>
              </w:rPr>
              <w:t>que,</w:t>
            </w:r>
            <w:r>
              <w:rPr>
                <w:color w:val="231F1F"/>
                <w:spacing w:val="30"/>
                <w:sz w:val="22"/>
              </w:rPr>
              <w:t> </w:t>
            </w:r>
            <w:r>
              <w:rPr>
                <w:color w:val="231F1F"/>
                <w:sz w:val="22"/>
              </w:rPr>
              <w:t>en</w:t>
            </w:r>
            <w:r>
              <w:rPr>
                <w:color w:val="231F1F"/>
                <w:spacing w:val="30"/>
                <w:sz w:val="22"/>
              </w:rPr>
              <w:t> </w:t>
            </w:r>
            <w:r>
              <w:rPr>
                <w:color w:val="231F1F"/>
                <w:sz w:val="22"/>
              </w:rPr>
              <w:t>condiciones</w:t>
            </w:r>
            <w:r>
              <w:rPr>
                <w:color w:val="231F1F"/>
                <w:spacing w:val="30"/>
                <w:sz w:val="22"/>
              </w:rPr>
              <w:t> </w:t>
            </w:r>
            <w:r>
              <w:rPr>
                <w:color w:val="231F1F"/>
                <w:sz w:val="22"/>
              </w:rPr>
              <w:t>normales,</w:t>
            </w:r>
            <w:r>
              <w:rPr>
                <w:color w:val="231F1F"/>
                <w:spacing w:val="30"/>
                <w:sz w:val="22"/>
              </w:rPr>
              <w:t> </w:t>
            </w:r>
            <w:r>
              <w:rPr>
                <w:color w:val="231F1F"/>
                <w:sz w:val="22"/>
              </w:rPr>
              <w:t>las</w:t>
            </w:r>
            <w:r>
              <w:rPr>
                <w:color w:val="231F1F"/>
                <w:spacing w:val="30"/>
                <w:sz w:val="22"/>
              </w:rPr>
              <w:t> </w:t>
            </w:r>
            <w:r>
              <w:rPr>
                <w:color w:val="231F1F"/>
                <w:sz w:val="22"/>
              </w:rPr>
              <w:t>exploraciones</w:t>
            </w:r>
            <w:r>
              <w:rPr>
                <w:color w:val="231F1F"/>
                <w:spacing w:val="30"/>
                <w:sz w:val="22"/>
              </w:rPr>
              <w:t> </w:t>
            </w:r>
            <w:r>
              <w:rPr>
                <w:color w:val="231F1F"/>
                <w:sz w:val="22"/>
              </w:rPr>
              <w:t>vaginales</w:t>
            </w:r>
            <w:r>
              <w:rPr>
                <w:color w:val="231F1F"/>
                <w:spacing w:val="30"/>
                <w:sz w:val="22"/>
              </w:rPr>
              <w:t> </w:t>
            </w:r>
            <w:r>
              <w:rPr>
                <w:color w:val="231F1F"/>
                <w:sz w:val="22"/>
              </w:rPr>
              <w:t>se</w:t>
            </w:r>
            <w:r>
              <w:rPr>
                <w:color w:val="231F1F"/>
                <w:spacing w:val="30"/>
                <w:sz w:val="22"/>
              </w:rPr>
              <w:t> </w:t>
            </w:r>
            <w:r>
              <w:rPr>
                <w:color w:val="231F1F"/>
                <w:sz w:val="22"/>
              </w:rPr>
              <w:t>reali- cen cada 4 horas.</w:t>
            </w:r>
          </w:p>
        </w:tc>
      </w:tr>
      <w:tr>
        <w:trPr>
          <w:trHeight w:val="935" w:hRule="atLeast"/>
        </w:trPr>
        <w:tc>
          <w:tcPr>
            <w:tcW w:w="571" w:type="dxa"/>
          </w:tcPr>
          <w:p>
            <w:pPr>
              <w:pStyle w:val="TableParagraph"/>
              <w:spacing w:before="73"/>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29"/>
              <w:ind w:left="117" w:right="88"/>
              <w:jc w:val="both"/>
              <w:rPr>
                <w:sz w:val="22"/>
              </w:rPr>
            </w:pPr>
            <w:r>
              <w:rPr>
                <w:color w:val="231F1F"/>
                <w:w w:val="110"/>
                <w:sz w:val="22"/>
              </w:rPr>
              <w:t>Las</w:t>
            </w:r>
            <w:r>
              <w:rPr>
                <w:color w:val="231F1F"/>
                <w:spacing w:val="-8"/>
                <w:w w:val="110"/>
                <w:sz w:val="22"/>
              </w:rPr>
              <w:t> </w:t>
            </w:r>
            <w:r>
              <w:rPr>
                <w:color w:val="231F1F"/>
                <w:w w:val="110"/>
                <w:sz w:val="22"/>
              </w:rPr>
              <w:t>exploraciones</w:t>
            </w:r>
            <w:r>
              <w:rPr>
                <w:color w:val="231F1F"/>
                <w:spacing w:val="-7"/>
                <w:w w:val="110"/>
                <w:sz w:val="22"/>
              </w:rPr>
              <w:t> </w:t>
            </w:r>
            <w:r>
              <w:rPr>
                <w:color w:val="231F1F"/>
                <w:w w:val="110"/>
                <w:sz w:val="22"/>
              </w:rPr>
              <w:t>vaginales</w:t>
            </w:r>
            <w:r>
              <w:rPr>
                <w:color w:val="231F1F"/>
                <w:spacing w:val="-8"/>
                <w:w w:val="110"/>
                <w:sz w:val="22"/>
              </w:rPr>
              <w:t> </w:t>
            </w:r>
            <w:r>
              <w:rPr>
                <w:color w:val="231F1F"/>
                <w:w w:val="110"/>
                <w:sz w:val="22"/>
              </w:rPr>
              <w:t>antes</w:t>
            </w:r>
            <w:r>
              <w:rPr>
                <w:color w:val="231F1F"/>
                <w:spacing w:val="-8"/>
                <w:w w:val="110"/>
                <w:sz w:val="22"/>
              </w:rPr>
              <w:t> </w:t>
            </w:r>
            <w:r>
              <w:rPr>
                <w:color w:val="231F1F"/>
                <w:w w:val="110"/>
                <w:sz w:val="22"/>
              </w:rPr>
              <w:t>de</w:t>
            </w:r>
            <w:r>
              <w:rPr>
                <w:color w:val="231F1F"/>
                <w:spacing w:val="-8"/>
                <w:w w:val="110"/>
                <w:sz w:val="22"/>
              </w:rPr>
              <w:t> </w:t>
            </w:r>
            <w:r>
              <w:rPr>
                <w:color w:val="231F1F"/>
                <w:w w:val="110"/>
                <w:sz w:val="22"/>
              </w:rPr>
              <w:t>4</w:t>
            </w:r>
            <w:r>
              <w:rPr>
                <w:color w:val="231F1F"/>
                <w:spacing w:val="-7"/>
                <w:w w:val="110"/>
                <w:sz w:val="22"/>
              </w:rPr>
              <w:t> </w:t>
            </w:r>
            <w:r>
              <w:rPr>
                <w:color w:val="231F1F"/>
                <w:w w:val="110"/>
                <w:sz w:val="22"/>
              </w:rPr>
              <w:t>horas</w:t>
            </w:r>
            <w:r>
              <w:rPr>
                <w:color w:val="231F1F"/>
                <w:spacing w:val="-8"/>
                <w:w w:val="110"/>
                <w:sz w:val="22"/>
              </w:rPr>
              <w:t> </w:t>
            </w:r>
            <w:r>
              <w:rPr>
                <w:color w:val="231F1F"/>
                <w:w w:val="110"/>
                <w:sz w:val="22"/>
              </w:rPr>
              <w:t>se</w:t>
            </w:r>
            <w:r>
              <w:rPr>
                <w:color w:val="231F1F"/>
                <w:spacing w:val="-8"/>
                <w:w w:val="110"/>
                <w:sz w:val="22"/>
              </w:rPr>
              <w:t> </w:t>
            </w:r>
            <w:r>
              <w:rPr>
                <w:color w:val="231F1F"/>
                <w:w w:val="110"/>
                <w:sz w:val="22"/>
              </w:rPr>
              <w:t>realizarán</w:t>
            </w:r>
            <w:r>
              <w:rPr>
                <w:color w:val="231F1F"/>
                <w:spacing w:val="-7"/>
                <w:w w:val="110"/>
                <w:sz w:val="22"/>
              </w:rPr>
              <w:t> </w:t>
            </w:r>
            <w:r>
              <w:rPr>
                <w:color w:val="231F1F"/>
                <w:w w:val="110"/>
                <w:sz w:val="22"/>
              </w:rPr>
              <w:t>en</w:t>
            </w:r>
            <w:r>
              <w:rPr>
                <w:color w:val="231F1F"/>
                <w:spacing w:val="-7"/>
                <w:w w:val="110"/>
                <w:sz w:val="22"/>
              </w:rPr>
              <w:t> </w:t>
            </w:r>
            <w:r>
              <w:rPr>
                <w:color w:val="231F1F"/>
                <w:w w:val="110"/>
                <w:sz w:val="22"/>
              </w:rPr>
              <w:t>las</w:t>
            </w:r>
            <w:r>
              <w:rPr>
                <w:color w:val="231F1F"/>
                <w:spacing w:val="-8"/>
                <w:w w:val="110"/>
                <w:sz w:val="22"/>
              </w:rPr>
              <w:t> </w:t>
            </w:r>
            <w:r>
              <w:rPr>
                <w:color w:val="231F1F"/>
                <w:w w:val="110"/>
                <w:sz w:val="22"/>
              </w:rPr>
              <w:t>mujeres</w:t>
            </w:r>
            <w:r>
              <w:rPr>
                <w:color w:val="231F1F"/>
                <w:spacing w:val="-7"/>
                <w:w w:val="110"/>
                <w:sz w:val="22"/>
              </w:rPr>
              <w:t> </w:t>
            </w:r>
            <w:r>
              <w:rPr>
                <w:color w:val="231F1F"/>
                <w:w w:val="110"/>
                <w:sz w:val="22"/>
              </w:rPr>
              <w:t>con</w:t>
            </w:r>
            <w:r>
              <w:rPr>
                <w:color w:val="231F1F"/>
                <w:spacing w:val="-7"/>
                <w:w w:val="110"/>
                <w:sz w:val="22"/>
              </w:rPr>
              <w:t> </w:t>
            </w:r>
            <w:r>
              <w:rPr>
                <w:color w:val="231F1F"/>
                <w:w w:val="110"/>
                <w:sz w:val="22"/>
              </w:rPr>
              <w:t>un progreso</w:t>
            </w:r>
            <w:r>
              <w:rPr>
                <w:color w:val="231F1F"/>
                <w:spacing w:val="-8"/>
                <w:w w:val="110"/>
                <w:sz w:val="22"/>
              </w:rPr>
              <w:t> </w:t>
            </w:r>
            <w:r>
              <w:rPr>
                <w:color w:val="231F1F"/>
                <w:w w:val="110"/>
                <w:sz w:val="22"/>
              </w:rPr>
              <w:t>lento</w:t>
            </w:r>
            <w:r>
              <w:rPr>
                <w:color w:val="231F1F"/>
                <w:spacing w:val="-8"/>
                <w:w w:val="110"/>
                <w:sz w:val="22"/>
              </w:rPr>
              <w:t> </w:t>
            </w:r>
            <w:r>
              <w:rPr>
                <w:color w:val="231F1F"/>
                <w:w w:val="110"/>
                <w:sz w:val="22"/>
              </w:rPr>
              <w:t>del</w:t>
            </w:r>
            <w:r>
              <w:rPr>
                <w:color w:val="231F1F"/>
                <w:spacing w:val="-9"/>
                <w:w w:val="110"/>
                <w:sz w:val="22"/>
              </w:rPr>
              <w:t> </w:t>
            </w:r>
            <w:r>
              <w:rPr>
                <w:color w:val="231F1F"/>
                <w:w w:val="110"/>
                <w:sz w:val="22"/>
              </w:rPr>
              <w:t>parto,</w:t>
            </w:r>
            <w:r>
              <w:rPr>
                <w:color w:val="231F1F"/>
                <w:spacing w:val="-9"/>
                <w:w w:val="110"/>
                <w:sz w:val="22"/>
              </w:rPr>
              <w:t> </w:t>
            </w:r>
            <w:r>
              <w:rPr>
                <w:color w:val="231F1F"/>
                <w:w w:val="110"/>
                <w:sz w:val="22"/>
              </w:rPr>
              <w:t>ante</w:t>
            </w:r>
            <w:r>
              <w:rPr>
                <w:color w:val="231F1F"/>
                <w:spacing w:val="-8"/>
                <w:w w:val="110"/>
                <w:sz w:val="22"/>
              </w:rPr>
              <w:t> </w:t>
            </w:r>
            <w:r>
              <w:rPr>
                <w:color w:val="231F1F"/>
                <w:w w:val="110"/>
                <w:sz w:val="22"/>
              </w:rPr>
              <w:t>la</w:t>
            </w:r>
            <w:r>
              <w:rPr>
                <w:color w:val="231F1F"/>
                <w:spacing w:val="-8"/>
                <w:w w:val="110"/>
                <w:sz w:val="22"/>
              </w:rPr>
              <w:t> </w:t>
            </w:r>
            <w:r>
              <w:rPr>
                <w:color w:val="231F1F"/>
                <w:w w:val="110"/>
                <w:sz w:val="22"/>
              </w:rPr>
              <w:t>presencia</w:t>
            </w:r>
            <w:r>
              <w:rPr>
                <w:color w:val="231F1F"/>
                <w:spacing w:val="-9"/>
                <w:w w:val="110"/>
                <w:sz w:val="22"/>
              </w:rPr>
              <w:t> </w:t>
            </w:r>
            <w:r>
              <w:rPr>
                <w:color w:val="231F1F"/>
                <w:w w:val="110"/>
                <w:sz w:val="22"/>
              </w:rPr>
              <w:t>de</w:t>
            </w:r>
            <w:r>
              <w:rPr>
                <w:color w:val="231F1F"/>
                <w:spacing w:val="-8"/>
                <w:w w:val="110"/>
                <w:sz w:val="22"/>
              </w:rPr>
              <w:t> </w:t>
            </w:r>
            <w:r>
              <w:rPr>
                <w:color w:val="231F1F"/>
                <w:w w:val="110"/>
                <w:sz w:val="22"/>
              </w:rPr>
              <w:t>complicaciones</w:t>
            </w:r>
            <w:r>
              <w:rPr>
                <w:color w:val="231F1F"/>
                <w:spacing w:val="-8"/>
                <w:w w:val="110"/>
                <w:sz w:val="22"/>
              </w:rPr>
              <w:t> </w:t>
            </w:r>
            <w:r>
              <w:rPr>
                <w:color w:val="231F1F"/>
                <w:w w:val="110"/>
                <w:sz w:val="22"/>
              </w:rPr>
              <w:t>o</w:t>
            </w:r>
            <w:r>
              <w:rPr>
                <w:color w:val="231F1F"/>
                <w:spacing w:val="-8"/>
                <w:w w:val="110"/>
                <w:sz w:val="22"/>
              </w:rPr>
              <w:t> </w:t>
            </w:r>
            <w:r>
              <w:rPr>
                <w:color w:val="231F1F"/>
                <w:w w:val="110"/>
                <w:sz w:val="22"/>
              </w:rPr>
              <w:t>si</w:t>
            </w:r>
            <w:r>
              <w:rPr>
                <w:color w:val="231F1F"/>
                <w:spacing w:val="-9"/>
                <w:w w:val="110"/>
                <w:sz w:val="22"/>
              </w:rPr>
              <w:t> </w:t>
            </w:r>
            <w:r>
              <w:rPr>
                <w:color w:val="231F1F"/>
                <w:w w:val="110"/>
                <w:sz w:val="22"/>
              </w:rPr>
              <w:t>la</w:t>
            </w:r>
            <w:r>
              <w:rPr>
                <w:color w:val="231F1F"/>
                <w:spacing w:val="-8"/>
                <w:w w:val="110"/>
                <w:sz w:val="22"/>
              </w:rPr>
              <w:t> </w:t>
            </w:r>
            <w:r>
              <w:rPr>
                <w:color w:val="231F1F"/>
                <w:w w:val="110"/>
                <w:sz w:val="22"/>
              </w:rPr>
              <w:t>mujer</w:t>
            </w:r>
            <w:r>
              <w:rPr>
                <w:color w:val="231F1F"/>
                <w:spacing w:val="-8"/>
                <w:w w:val="110"/>
                <w:sz w:val="22"/>
              </w:rPr>
              <w:t> </w:t>
            </w:r>
            <w:r>
              <w:rPr>
                <w:color w:val="231F1F"/>
                <w:w w:val="110"/>
                <w:sz w:val="22"/>
              </w:rPr>
              <w:t>mani- fiesta sensación de pujos.</w:t>
            </w:r>
          </w:p>
        </w:tc>
      </w:tr>
      <w:tr>
        <w:trPr>
          <w:trHeight w:val="2567" w:hRule="atLeast"/>
        </w:trPr>
        <w:tc>
          <w:tcPr>
            <w:tcW w:w="571"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25"/>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29"/>
              <w:ind w:left="117"/>
              <w:rPr>
                <w:sz w:val="22"/>
              </w:rPr>
            </w:pPr>
            <w:r>
              <w:rPr>
                <w:color w:val="231F1F"/>
                <w:sz w:val="22"/>
              </w:rPr>
              <w:t>Antes</w:t>
            </w:r>
            <w:r>
              <w:rPr>
                <w:color w:val="231F1F"/>
                <w:spacing w:val="33"/>
                <w:sz w:val="22"/>
              </w:rPr>
              <w:t> </w:t>
            </w:r>
            <w:r>
              <w:rPr>
                <w:color w:val="231F1F"/>
                <w:sz w:val="22"/>
              </w:rPr>
              <w:t>de</w:t>
            </w:r>
            <w:r>
              <w:rPr>
                <w:color w:val="231F1F"/>
                <w:spacing w:val="33"/>
                <w:sz w:val="22"/>
              </w:rPr>
              <w:t> </w:t>
            </w:r>
            <w:r>
              <w:rPr>
                <w:color w:val="231F1F"/>
                <w:sz w:val="22"/>
              </w:rPr>
              <w:t>practicar</w:t>
            </w:r>
            <w:r>
              <w:rPr>
                <w:color w:val="231F1F"/>
                <w:spacing w:val="32"/>
                <w:sz w:val="22"/>
              </w:rPr>
              <w:t> </w:t>
            </w:r>
            <w:r>
              <w:rPr>
                <w:color w:val="231F1F"/>
                <w:sz w:val="22"/>
              </w:rPr>
              <w:t>un</w:t>
            </w:r>
            <w:r>
              <w:rPr>
                <w:color w:val="231F1F"/>
                <w:spacing w:val="33"/>
                <w:sz w:val="22"/>
              </w:rPr>
              <w:t> </w:t>
            </w:r>
            <w:r>
              <w:rPr>
                <w:color w:val="231F1F"/>
                <w:sz w:val="22"/>
              </w:rPr>
              <w:t>tacto</w:t>
            </w:r>
            <w:r>
              <w:rPr>
                <w:color w:val="231F1F"/>
                <w:spacing w:val="35"/>
                <w:sz w:val="22"/>
              </w:rPr>
              <w:t> </w:t>
            </w:r>
            <w:r>
              <w:rPr>
                <w:color w:val="231F1F"/>
                <w:sz w:val="22"/>
              </w:rPr>
              <w:t>vaginal,</w:t>
            </w:r>
            <w:r>
              <w:rPr>
                <w:color w:val="231F1F"/>
                <w:spacing w:val="30"/>
                <w:sz w:val="22"/>
              </w:rPr>
              <w:t> </w:t>
            </w:r>
            <w:r>
              <w:rPr>
                <w:color w:val="231F1F"/>
                <w:sz w:val="22"/>
              </w:rPr>
              <w:t>se</w:t>
            </w:r>
            <w:r>
              <w:rPr>
                <w:color w:val="231F1F"/>
                <w:spacing w:val="35"/>
                <w:sz w:val="22"/>
              </w:rPr>
              <w:t> </w:t>
            </w:r>
            <w:r>
              <w:rPr>
                <w:color w:val="231F1F"/>
                <w:spacing w:val="-2"/>
                <w:sz w:val="22"/>
              </w:rPr>
              <w:t>debería:</w:t>
            </w:r>
          </w:p>
          <w:p>
            <w:pPr>
              <w:pStyle w:val="TableParagraph"/>
              <w:numPr>
                <w:ilvl w:val="0"/>
                <w:numId w:val="7"/>
              </w:numPr>
              <w:tabs>
                <w:tab w:pos="790" w:val="left" w:leader="none"/>
              </w:tabs>
              <w:spacing w:line="244" w:lineRule="auto" w:before="69" w:after="0"/>
              <w:ind w:left="790" w:right="404" w:hanging="220"/>
              <w:jc w:val="left"/>
              <w:rPr>
                <w:sz w:val="22"/>
              </w:rPr>
            </w:pPr>
            <w:r>
              <w:rPr>
                <w:color w:val="231F1F"/>
                <w:sz w:val="22"/>
              </w:rPr>
              <w:t>confirmar</w:t>
            </w:r>
            <w:r>
              <w:rPr>
                <w:color w:val="231F1F"/>
                <w:spacing w:val="31"/>
                <w:sz w:val="22"/>
              </w:rPr>
              <w:t> </w:t>
            </w:r>
            <w:r>
              <w:rPr>
                <w:color w:val="231F1F"/>
                <w:sz w:val="22"/>
              </w:rPr>
              <w:t>que</w:t>
            </w:r>
            <w:r>
              <w:rPr>
                <w:color w:val="231F1F"/>
                <w:spacing w:val="32"/>
                <w:sz w:val="22"/>
              </w:rPr>
              <w:t> </w:t>
            </w:r>
            <w:r>
              <w:rPr>
                <w:color w:val="231F1F"/>
                <w:sz w:val="22"/>
              </w:rPr>
              <w:t>es</w:t>
            </w:r>
            <w:r>
              <w:rPr>
                <w:color w:val="231F1F"/>
                <w:spacing w:val="32"/>
                <w:sz w:val="22"/>
              </w:rPr>
              <w:t> </w:t>
            </w:r>
            <w:r>
              <w:rPr>
                <w:color w:val="231F1F"/>
                <w:sz w:val="22"/>
              </w:rPr>
              <w:t>realmente</w:t>
            </w:r>
            <w:r>
              <w:rPr>
                <w:color w:val="231F1F"/>
                <w:spacing w:val="32"/>
                <w:sz w:val="22"/>
              </w:rPr>
              <w:t> </w:t>
            </w:r>
            <w:r>
              <w:rPr>
                <w:color w:val="231F1F"/>
                <w:sz w:val="22"/>
              </w:rPr>
              <w:t>necesario</w:t>
            </w:r>
            <w:r>
              <w:rPr>
                <w:color w:val="231F1F"/>
                <w:spacing w:val="32"/>
                <w:sz w:val="22"/>
              </w:rPr>
              <w:t> </w:t>
            </w:r>
            <w:r>
              <w:rPr>
                <w:color w:val="231F1F"/>
                <w:sz w:val="22"/>
              </w:rPr>
              <w:t>y</w:t>
            </w:r>
            <w:r>
              <w:rPr>
                <w:color w:val="231F1F"/>
                <w:spacing w:val="32"/>
                <w:sz w:val="22"/>
              </w:rPr>
              <w:t> </w:t>
            </w:r>
            <w:r>
              <w:rPr>
                <w:color w:val="231F1F"/>
                <w:sz w:val="22"/>
              </w:rPr>
              <w:t>que</w:t>
            </w:r>
            <w:r>
              <w:rPr>
                <w:color w:val="231F1F"/>
                <w:spacing w:val="32"/>
                <w:sz w:val="22"/>
              </w:rPr>
              <w:t> </w:t>
            </w:r>
            <w:r>
              <w:rPr>
                <w:color w:val="231F1F"/>
                <w:sz w:val="22"/>
              </w:rPr>
              <w:t>la</w:t>
            </w:r>
            <w:r>
              <w:rPr>
                <w:color w:val="231F1F"/>
                <w:spacing w:val="32"/>
                <w:sz w:val="22"/>
              </w:rPr>
              <w:t> </w:t>
            </w:r>
            <w:r>
              <w:rPr>
                <w:color w:val="231F1F"/>
                <w:sz w:val="22"/>
              </w:rPr>
              <w:t>información</w:t>
            </w:r>
            <w:r>
              <w:rPr>
                <w:color w:val="231F1F"/>
                <w:spacing w:val="31"/>
                <w:sz w:val="22"/>
              </w:rPr>
              <w:t> </w:t>
            </w:r>
            <w:r>
              <w:rPr>
                <w:color w:val="231F1F"/>
                <w:sz w:val="22"/>
              </w:rPr>
              <w:t>que</w:t>
            </w:r>
            <w:r>
              <w:rPr>
                <w:color w:val="231F1F"/>
                <w:spacing w:val="32"/>
                <w:sz w:val="22"/>
              </w:rPr>
              <w:t> </w:t>
            </w:r>
            <w:r>
              <w:rPr>
                <w:color w:val="231F1F"/>
                <w:sz w:val="22"/>
              </w:rPr>
              <w:t>propor- </w:t>
            </w:r>
            <w:r>
              <w:rPr>
                <w:color w:val="231F1F"/>
                <w:w w:val="110"/>
                <w:sz w:val="22"/>
              </w:rPr>
              <w:t>cione será relevante en la toma de decisiones.</w:t>
            </w:r>
          </w:p>
          <w:p>
            <w:pPr>
              <w:pStyle w:val="TableParagraph"/>
              <w:numPr>
                <w:ilvl w:val="0"/>
                <w:numId w:val="7"/>
              </w:numPr>
              <w:tabs>
                <w:tab w:pos="790" w:val="left" w:leader="none"/>
              </w:tabs>
              <w:spacing w:line="273" w:lineRule="auto" w:before="69" w:after="0"/>
              <w:ind w:left="790" w:right="580" w:hanging="220"/>
              <w:jc w:val="left"/>
              <w:rPr>
                <w:sz w:val="22"/>
              </w:rPr>
            </w:pPr>
            <w:r>
              <w:rPr>
                <w:color w:val="231F1F"/>
                <w:sz w:val="22"/>
              </w:rPr>
              <w:t>Ser</w:t>
            </w:r>
            <w:r>
              <w:rPr>
                <w:color w:val="231F1F"/>
                <w:spacing w:val="31"/>
                <w:sz w:val="22"/>
              </w:rPr>
              <w:t> </w:t>
            </w:r>
            <w:r>
              <w:rPr>
                <w:color w:val="231F1F"/>
                <w:sz w:val="22"/>
              </w:rPr>
              <w:t>consciente</w:t>
            </w:r>
            <w:r>
              <w:rPr>
                <w:color w:val="231F1F"/>
                <w:spacing w:val="31"/>
                <w:sz w:val="22"/>
              </w:rPr>
              <w:t> </w:t>
            </w:r>
            <w:r>
              <w:rPr>
                <w:color w:val="231F1F"/>
                <w:sz w:val="22"/>
              </w:rPr>
              <w:t>de</w:t>
            </w:r>
            <w:r>
              <w:rPr>
                <w:color w:val="231F1F"/>
                <w:spacing w:val="31"/>
                <w:sz w:val="22"/>
              </w:rPr>
              <w:t> </w:t>
            </w:r>
            <w:r>
              <w:rPr>
                <w:color w:val="231F1F"/>
                <w:sz w:val="22"/>
              </w:rPr>
              <w:t>que</w:t>
            </w:r>
            <w:r>
              <w:rPr>
                <w:color w:val="231F1F"/>
                <w:spacing w:val="31"/>
                <w:sz w:val="22"/>
              </w:rPr>
              <w:t> </w:t>
            </w:r>
            <w:r>
              <w:rPr>
                <w:color w:val="231F1F"/>
                <w:sz w:val="22"/>
              </w:rPr>
              <w:t>el</w:t>
            </w:r>
            <w:r>
              <w:rPr>
                <w:color w:val="231F1F"/>
                <w:spacing w:val="32"/>
                <w:sz w:val="22"/>
              </w:rPr>
              <w:t> </w:t>
            </w:r>
            <w:r>
              <w:rPr>
                <w:color w:val="231F1F"/>
                <w:sz w:val="22"/>
              </w:rPr>
              <w:t>examen</w:t>
            </w:r>
            <w:r>
              <w:rPr>
                <w:color w:val="231F1F"/>
                <w:spacing w:val="31"/>
                <w:sz w:val="22"/>
              </w:rPr>
              <w:t> </w:t>
            </w:r>
            <w:r>
              <w:rPr>
                <w:color w:val="231F1F"/>
                <w:sz w:val="22"/>
              </w:rPr>
              <w:t>vaginal</w:t>
            </w:r>
            <w:r>
              <w:rPr>
                <w:color w:val="231F1F"/>
                <w:spacing w:val="31"/>
                <w:sz w:val="22"/>
              </w:rPr>
              <w:t> </w:t>
            </w:r>
            <w:r>
              <w:rPr>
                <w:color w:val="231F1F"/>
                <w:sz w:val="22"/>
              </w:rPr>
              <w:t>es</w:t>
            </w:r>
            <w:r>
              <w:rPr>
                <w:color w:val="231F1F"/>
                <w:spacing w:val="31"/>
                <w:sz w:val="22"/>
              </w:rPr>
              <w:t> </w:t>
            </w:r>
            <w:r>
              <w:rPr>
                <w:color w:val="231F1F"/>
                <w:sz w:val="22"/>
              </w:rPr>
              <w:t>una</w:t>
            </w:r>
            <w:r>
              <w:rPr>
                <w:color w:val="231F1F"/>
                <w:spacing w:val="32"/>
                <w:sz w:val="22"/>
              </w:rPr>
              <w:t> </w:t>
            </w:r>
            <w:r>
              <w:rPr>
                <w:color w:val="231F1F"/>
                <w:sz w:val="22"/>
              </w:rPr>
              <w:t>exploración</w:t>
            </w:r>
            <w:r>
              <w:rPr>
                <w:color w:val="231F1F"/>
                <w:spacing w:val="31"/>
                <w:sz w:val="22"/>
              </w:rPr>
              <w:t> </w:t>
            </w:r>
            <w:r>
              <w:rPr>
                <w:color w:val="231F1F"/>
                <w:sz w:val="22"/>
              </w:rPr>
              <w:t>molesta</w:t>
            </w:r>
            <w:r>
              <w:rPr>
                <w:color w:val="231F1F"/>
                <w:spacing w:val="31"/>
                <w:sz w:val="22"/>
              </w:rPr>
              <w:t> </w:t>
            </w:r>
            <w:r>
              <w:rPr>
                <w:color w:val="231F1F"/>
                <w:sz w:val="22"/>
              </w:rPr>
              <w:t>e invasiva,</w:t>
            </w:r>
            <w:r>
              <w:rPr>
                <w:color w:val="231F1F"/>
                <w:spacing w:val="40"/>
                <w:sz w:val="22"/>
              </w:rPr>
              <w:t> </w:t>
            </w:r>
            <w:r>
              <w:rPr>
                <w:color w:val="231F1F"/>
                <w:sz w:val="22"/>
              </w:rPr>
              <w:t>asociada</w:t>
            </w:r>
            <w:r>
              <w:rPr>
                <w:color w:val="231F1F"/>
                <w:spacing w:val="40"/>
                <w:sz w:val="22"/>
              </w:rPr>
              <w:t> </w:t>
            </w:r>
            <w:r>
              <w:rPr>
                <w:color w:val="231F1F"/>
                <w:sz w:val="22"/>
              </w:rPr>
              <w:t>a</w:t>
            </w:r>
            <w:r>
              <w:rPr>
                <w:color w:val="231F1F"/>
                <w:spacing w:val="40"/>
                <w:sz w:val="22"/>
              </w:rPr>
              <w:t> </w:t>
            </w:r>
            <w:r>
              <w:rPr>
                <w:color w:val="231F1F"/>
                <w:sz w:val="22"/>
              </w:rPr>
              <w:t>un</w:t>
            </w:r>
            <w:r>
              <w:rPr>
                <w:color w:val="231F1F"/>
                <w:spacing w:val="40"/>
                <w:sz w:val="22"/>
              </w:rPr>
              <w:t> </w:t>
            </w:r>
            <w:r>
              <w:rPr>
                <w:color w:val="231F1F"/>
                <w:sz w:val="22"/>
              </w:rPr>
              <w:t>incremento</w:t>
            </w:r>
            <w:r>
              <w:rPr>
                <w:color w:val="231F1F"/>
                <w:spacing w:val="40"/>
                <w:sz w:val="22"/>
              </w:rPr>
              <w:t> </w:t>
            </w:r>
            <w:r>
              <w:rPr>
                <w:color w:val="231F1F"/>
                <w:sz w:val="22"/>
              </w:rPr>
              <w:t>del</w:t>
            </w:r>
            <w:r>
              <w:rPr>
                <w:color w:val="231F1F"/>
                <w:spacing w:val="40"/>
                <w:sz w:val="22"/>
              </w:rPr>
              <w:t> </w:t>
            </w:r>
            <w:r>
              <w:rPr>
                <w:color w:val="231F1F"/>
                <w:sz w:val="22"/>
              </w:rPr>
              <w:t>riesgo</w:t>
            </w:r>
            <w:r>
              <w:rPr>
                <w:color w:val="231F1F"/>
                <w:spacing w:val="40"/>
                <w:sz w:val="22"/>
              </w:rPr>
              <w:t> </w:t>
            </w:r>
            <w:r>
              <w:rPr>
                <w:color w:val="231F1F"/>
                <w:sz w:val="22"/>
              </w:rPr>
              <w:t>de</w:t>
            </w:r>
            <w:r>
              <w:rPr>
                <w:color w:val="231F1F"/>
                <w:spacing w:val="40"/>
                <w:sz w:val="22"/>
              </w:rPr>
              <w:t> </w:t>
            </w:r>
            <w:r>
              <w:rPr>
                <w:color w:val="231F1F"/>
                <w:sz w:val="22"/>
              </w:rPr>
              <w:t>infección.</w:t>
            </w:r>
          </w:p>
          <w:p>
            <w:pPr>
              <w:pStyle w:val="TableParagraph"/>
              <w:numPr>
                <w:ilvl w:val="0"/>
                <w:numId w:val="7"/>
              </w:numPr>
              <w:tabs>
                <w:tab w:pos="788" w:val="left" w:leader="none"/>
              </w:tabs>
              <w:spacing w:line="240" w:lineRule="auto" w:before="24" w:after="0"/>
              <w:ind w:left="788" w:right="0" w:hanging="218"/>
              <w:jc w:val="left"/>
              <w:rPr>
                <w:sz w:val="22"/>
              </w:rPr>
            </w:pPr>
            <w:r>
              <w:rPr>
                <w:color w:val="231F1F"/>
                <w:w w:val="105"/>
                <w:sz w:val="22"/>
              </w:rPr>
              <w:t>Garantizar</w:t>
            </w:r>
            <w:r>
              <w:rPr>
                <w:color w:val="231F1F"/>
                <w:spacing w:val="2"/>
                <w:w w:val="105"/>
                <w:sz w:val="22"/>
              </w:rPr>
              <w:t> </w:t>
            </w:r>
            <w:r>
              <w:rPr>
                <w:color w:val="231F1F"/>
                <w:w w:val="105"/>
                <w:sz w:val="22"/>
              </w:rPr>
              <w:t>la</w:t>
            </w:r>
            <w:r>
              <w:rPr>
                <w:color w:val="231F1F"/>
                <w:spacing w:val="3"/>
                <w:w w:val="105"/>
                <w:sz w:val="22"/>
              </w:rPr>
              <w:t> </w:t>
            </w:r>
            <w:r>
              <w:rPr>
                <w:color w:val="231F1F"/>
                <w:w w:val="105"/>
                <w:sz w:val="22"/>
              </w:rPr>
              <w:t>privacidad,</w:t>
            </w:r>
            <w:r>
              <w:rPr>
                <w:color w:val="231F1F"/>
                <w:spacing w:val="3"/>
                <w:w w:val="105"/>
                <w:sz w:val="22"/>
              </w:rPr>
              <w:t> </w:t>
            </w:r>
            <w:r>
              <w:rPr>
                <w:color w:val="231F1F"/>
                <w:w w:val="105"/>
                <w:sz w:val="22"/>
              </w:rPr>
              <w:t>dignidad</w:t>
            </w:r>
            <w:r>
              <w:rPr>
                <w:color w:val="231F1F"/>
                <w:spacing w:val="3"/>
                <w:w w:val="105"/>
                <w:sz w:val="22"/>
              </w:rPr>
              <w:t> </w:t>
            </w:r>
            <w:r>
              <w:rPr>
                <w:color w:val="231F1F"/>
                <w:w w:val="105"/>
                <w:sz w:val="22"/>
              </w:rPr>
              <w:t>y</w:t>
            </w:r>
            <w:r>
              <w:rPr>
                <w:color w:val="231F1F"/>
                <w:spacing w:val="5"/>
                <w:w w:val="105"/>
                <w:sz w:val="22"/>
              </w:rPr>
              <w:t> </w:t>
            </w:r>
            <w:r>
              <w:rPr>
                <w:color w:val="231F1F"/>
                <w:w w:val="105"/>
                <w:sz w:val="22"/>
              </w:rPr>
              <w:t>comodidad</w:t>
            </w:r>
            <w:r>
              <w:rPr>
                <w:color w:val="231F1F"/>
                <w:spacing w:val="5"/>
                <w:w w:val="105"/>
                <w:sz w:val="22"/>
              </w:rPr>
              <w:t> </w:t>
            </w:r>
            <w:r>
              <w:rPr>
                <w:color w:val="231F1F"/>
                <w:w w:val="105"/>
                <w:sz w:val="22"/>
              </w:rPr>
              <w:t>de</w:t>
            </w:r>
            <w:r>
              <w:rPr>
                <w:color w:val="231F1F"/>
                <w:spacing w:val="4"/>
                <w:w w:val="105"/>
                <w:sz w:val="22"/>
              </w:rPr>
              <w:t> </w:t>
            </w:r>
            <w:r>
              <w:rPr>
                <w:color w:val="231F1F"/>
                <w:w w:val="105"/>
                <w:sz w:val="22"/>
              </w:rPr>
              <w:t>la</w:t>
            </w:r>
            <w:r>
              <w:rPr>
                <w:color w:val="231F1F"/>
                <w:spacing w:val="5"/>
                <w:w w:val="105"/>
                <w:sz w:val="22"/>
              </w:rPr>
              <w:t> </w:t>
            </w:r>
            <w:r>
              <w:rPr>
                <w:color w:val="231F1F"/>
                <w:spacing w:val="-2"/>
                <w:w w:val="105"/>
                <w:sz w:val="22"/>
              </w:rPr>
              <w:t>mujer.</w:t>
            </w:r>
          </w:p>
          <w:p>
            <w:pPr>
              <w:pStyle w:val="TableParagraph"/>
              <w:numPr>
                <w:ilvl w:val="0"/>
                <w:numId w:val="7"/>
              </w:numPr>
              <w:tabs>
                <w:tab w:pos="790" w:val="left" w:leader="none"/>
              </w:tabs>
              <w:spacing w:line="249" w:lineRule="auto" w:before="63" w:after="0"/>
              <w:ind w:left="790" w:right="478" w:hanging="220"/>
              <w:jc w:val="left"/>
              <w:rPr>
                <w:sz w:val="22"/>
              </w:rPr>
            </w:pPr>
            <w:r>
              <w:rPr>
                <w:color w:val="231F1F"/>
                <w:w w:val="105"/>
                <w:sz w:val="22"/>
              </w:rPr>
              <w:t>Explicar</w:t>
            </w:r>
            <w:r>
              <w:rPr>
                <w:color w:val="231F1F"/>
                <w:spacing w:val="-3"/>
                <w:w w:val="105"/>
                <w:sz w:val="22"/>
              </w:rPr>
              <w:t> </w:t>
            </w:r>
            <w:r>
              <w:rPr>
                <w:color w:val="231F1F"/>
                <w:w w:val="105"/>
                <w:sz w:val="22"/>
              </w:rPr>
              <w:t>la</w:t>
            </w:r>
            <w:r>
              <w:rPr>
                <w:color w:val="231F1F"/>
                <w:spacing w:val="-3"/>
                <w:w w:val="105"/>
                <w:sz w:val="22"/>
              </w:rPr>
              <w:t> </w:t>
            </w:r>
            <w:r>
              <w:rPr>
                <w:color w:val="231F1F"/>
                <w:w w:val="105"/>
                <w:sz w:val="22"/>
              </w:rPr>
              <w:t>razón</w:t>
            </w:r>
            <w:r>
              <w:rPr>
                <w:color w:val="231F1F"/>
                <w:spacing w:val="-3"/>
                <w:w w:val="105"/>
                <w:sz w:val="22"/>
              </w:rPr>
              <w:t> </w:t>
            </w:r>
            <w:r>
              <w:rPr>
                <w:color w:val="231F1F"/>
                <w:w w:val="105"/>
                <w:sz w:val="22"/>
              </w:rPr>
              <w:t>por</w:t>
            </w:r>
            <w:r>
              <w:rPr>
                <w:color w:val="231F1F"/>
                <w:spacing w:val="-3"/>
                <w:w w:val="105"/>
                <w:sz w:val="22"/>
              </w:rPr>
              <w:t> </w:t>
            </w:r>
            <w:r>
              <w:rPr>
                <w:color w:val="231F1F"/>
                <w:w w:val="105"/>
                <w:sz w:val="22"/>
              </w:rPr>
              <w:t>la</w:t>
            </w:r>
            <w:r>
              <w:rPr>
                <w:color w:val="231F1F"/>
                <w:spacing w:val="-3"/>
                <w:w w:val="105"/>
                <w:sz w:val="22"/>
              </w:rPr>
              <w:t> </w:t>
            </w:r>
            <w:r>
              <w:rPr>
                <w:color w:val="231F1F"/>
                <w:w w:val="105"/>
                <w:sz w:val="22"/>
              </w:rPr>
              <w:t>que</w:t>
            </w:r>
            <w:r>
              <w:rPr>
                <w:color w:val="231F1F"/>
                <w:spacing w:val="-3"/>
                <w:w w:val="105"/>
                <w:sz w:val="22"/>
              </w:rPr>
              <w:t> </w:t>
            </w:r>
            <w:r>
              <w:rPr>
                <w:color w:val="231F1F"/>
                <w:w w:val="105"/>
                <w:sz w:val="22"/>
              </w:rPr>
              <w:t>se</w:t>
            </w:r>
            <w:r>
              <w:rPr>
                <w:color w:val="231F1F"/>
                <w:spacing w:val="-3"/>
                <w:w w:val="105"/>
                <w:sz w:val="22"/>
              </w:rPr>
              <w:t> </w:t>
            </w:r>
            <w:r>
              <w:rPr>
                <w:color w:val="231F1F"/>
                <w:w w:val="105"/>
                <w:sz w:val="22"/>
              </w:rPr>
              <w:t>practica</w:t>
            </w:r>
            <w:r>
              <w:rPr>
                <w:color w:val="231F1F"/>
                <w:spacing w:val="-3"/>
                <w:w w:val="105"/>
                <w:sz w:val="22"/>
              </w:rPr>
              <w:t> </w:t>
            </w:r>
            <w:r>
              <w:rPr>
                <w:color w:val="231F1F"/>
                <w:w w:val="105"/>
                <w:sz w:val="22"/>
              </w:rPr>
              <w:t>y</w:t>
            </w:r>
            <w:r>
              <w:rPr>
                <w:color w:val="231F1F"/>
                <w:spacing w:val="-3"/>
                <w:w w:val="105"/>
                <w:sz w:val="22"/>
              </w:rPr>
              <w:t> </w:t>
            </w:r>
            <w:r>
              <w:rPr>
                <w:color w:val="231F1F"/>
                <w:w w:val="105"/>
                <w:sz w:val="22"/>
              </w:rPr>
              <w:t>los</w:t>
            </w:r>
            <w:r>
              <w:rPr>
                <w:color w:val="231F1F"/>
                <w:spacing w:val="-3"/>
                <w:w w:val="105"/>
                <w:sz w:val="22"/>
              </w:rPr>
              <w:t> </w:t>
            </w:r>
            <w:r>
              <w:rPr>
                <w:color w:val="231F1F"/>
                <w:w w:val="105"/>
                <w:sz w:val="22"/>
              </w:rPr>
              <w:t>hallazgos</w:t>
            </w:r>
            <w:r>
              <w:rPr>
                <w:color w:val="231F1F"/>
                <w:spacing w:val="-3"/>
                <w:w w:val="105"/>
                <w:sz w:val="22"/>
              </w:rPr>
              <w:t> </w:t>
            </w:r>
            <w:r>
              <w:rPr>
                <w:color w:val="231F1F"/>
                <w:w w:val="105"/>
                <w:sz w:val="22"/>
              </w:rPr>
              <w:t>encontrados,</w:t>
            </w:r>
            <w:r>
              <w:rPr>
                <w:color w:val="231F1F"/>
                <w:spacing w:val="-3"/>
                <w:w w:val="105"/>
                <w:sz w:val="22"/>
              </w:rPr>
              <w:t> </w:t>
            </w:r>
            <w:r>
              <w:rPr>
                <w:color w:val="231F1F"/>
                <w:w w:val="105"/>
                <w:sz w:val="22"/>
              </w:rPr>
              <w:t>con sensibilidad, sobre todo si no son los esperados por la mujer.</w:t>
            </w:r>
          </w:p>
        </w:tc>
      </w:tr>
      <w:tr>
        <w:trPr>
          <w:trHeight w:val="393" w:hRule="atLeast"/>
        </w:trPr>
        <w:tc>
          <w:tcPr>
            <w:tcW w:w="8505" w:type="dxa"/>
            <w:gridSpan w:val="2"/>
          </w:tcPr>
          <w:p>
            <w:pPr>
              <w:pStyle w:val="TableParagraph"/>
              <w:spacing w:before="34"/>
              <w:rPr>
                <w:i/>
                <w:sz w:val="22"/>
              </w:rPr>
            </w:pPr>
            <w:r>
              <w:rPr>
                <w:i/>
                <w:color w:val="231F1F"/>
                <w:spacing w:val="-2"/>
                <w:w w:val="105"/>
                <w:sz w:val="22"/>
              </w:rPr>
              <w:t>5.5.9.</w:t>
            </w:r>
            <w:r>
              <w:rPr>
                <w:i/>
                <w:color w:val="231F1F"/>
                <w:spacing w:val="-9"/>
                <w:w w:val="105"/>
                <w:sz w:val="22"/>
              </w:rPr>
              <w:t> </w:t>
            </w:r>
            <w:r>
              <w:rPr>
                <w:i/>
                <w:color w:val="231F1F"/>
                <w:spacing w:val="-2"/>
                <w:w w:val="105"/>
                <w:sz w:val="22"/>
              </w:rPr>
              <w:t>Tratamiento</w:t>
            </w:r>
            <w:r>
              <w:rPr>
                <w:i/>
                <w:color w:val="231F1F"/>
                <w:spacing w:val="-9"/>
                <w:w w:val="105"/>
                <w:sz w:val="22"/>
              </w:rPr>
              <w:t> </w:t>
            </w:r>
            <w:r>
              <w:rPr>
                <w:i/>
                <w:color w:val="231F1F"/>
                <w:spacing w:val="-2"/>
                <w:w w:val="105"/>
                <w:sz w:val="22"/>
              </w:rPr>
              <w:t>de</w:t>
            </w:r>
            <w:r>
              <w:rPr>
                <w:i/>
                <w:color w:val="231F1F"/>
                <w:spacing w:val="-9"/>
                <w:w w:val="105"/>
                <w:sz w:val="22"/>
              </w:rPr>
              <w:t> </w:t>
            </w:r>
            <w:r>
              <w:rPr>
                <w:i/>
                <w:color w:val="231F1F"/>
                <w:spacing w:val="-2"/>
                <w:w w:val="105"/>
                <w:sz w:val="22"/>
              </w:rPr>
              <w:t>retardo</w:t>
            </w:r>
            <w:r>
              <w:rPr>
                <w:i/>
                <w:color w:val="231F1F"/>
                <w:spacing w:val="-8"/>
                <w:w w:val="105"/>
                <w:sz w:val="22"/>
              </w:rPr>
              <w:t> </w:t>
            </w:r>
            <w:r>
              <w:rPr>
                <w:i/>
                <w:color w:val="231F1F"/>
                <w:spacing w:val="-2"/>
                <w:w w:val="105"/>
                <w:sz w:val="22"/>
              </w:rPr>
              <w:t>de</w:t>
            </w:r>
            <w:r>
              <w:rPr>
                <w:i/>
                <w:color w:val="231F1F"/>
                <w:spacing w:val="-7"/>
                <w:w w:val="105"/>
                <w:sz w:val="22"/>
              </w:rPr>
              <w:t> </w:t>
            </w:r>
            <w:r>
              <w:rPr>
                <w:i/>
                <w:color w:val="231F1F"/>
                <w:spacing w:val="-2"/>
                <w:w w:val="105"/>
                <w:sz w:val="22"/>
              </w:rPr>
              <w:t>la</w:t>
            </w:r>
            <w:r>
              <w:rPr>
                <w:i/>
                <w:color w:val="231F1F"/>
                <w:spacing w:val="-9"/>
                <w:w w:val="105"/>
                <w:sz w:val="22"/>
              </w:rPr>
              <w:t> </w:t>
            </w:r>
            <w:r>
              <w:rPr>
                <w:i/>
                <w:color w:val="231F1F"/>
                <w:spacing w:val="-2"/>
                <w:w w:val="105"/>
                <w:sz w:val="22"/>
              </w:rPr>
              <w:t>dilatación</w:t>
            </w:r>
          </w:p>
        </w:tc>
      </w:tr>
      <w:tr>
        <w:trPr>
          <w:trHeight w:val="4636" w:hRule="atLeast"/>
        </w:trPr>
        <w:tc>
          <w:tcPr>
            <w:tcW w:w="571"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50"/>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29"/>
              <w:ind w:left="117" w:right="88"/>
              <w:jc w:val="both"/>
              <w:rPr>
                <w:sz w:val="22"/>
              </w:rPr>
            </w:pPr>
            <w:r>
              <w:rPr>
                <w:color w:val="231F1F"/>
                <w:w w:val="110"/>
                <w:sz w:val="22"/>
              </w:rPr>
              <w:t>Cuando</w:t>
            </w:r>
            <w:r>
              <w:rPr>
                <w:color w:val="231F1F"/>
                <w:spacing w:val="-2"/>
                <w:w w:val="110"/>
                <w:sz w:val="22"/>
              </w:rPr>
              <w:t> </w:t>
            </w:r>
            <w:r>
              <w:rPr>
                <w:color w:val="231F1F"/>
                <w:w w:val="110"/>
                <w:sz w:val="22"/>
              </w:rPr>
              <w:t>se</w:t>
            </w:r>
            <w:r>
              <w:rPr>
                <w:color w:val="231F1F"/>
                <w:spacing w:val="-2"/>
                <w:w w:val="110"/>
                <w:sz w:val="22"/>
              </w:rPr>
              <w:t> </w:t>
            </w:r>
            <w:r>
              <w:rPr>
                <w:color w:val="231F1F"/>
                <w:w w:val="110"/>
                <w:sz w:val="22"/>
              </w:rPr>
              <w:t>sospecha</w:t>
            </w:r>
            <w:r>
              <w:rPr>
                <w:color w:val="231F1F"/>
                <w:spacing w:val="-2"/>
                <w:w w:val="110"/>
                <w:sz w:val="22"/>
              </w:rPr>
              <w:t> </w:t>
            </w:r>
            <w:r>
              <w:rPr>
                <w:color w:val="231F1F"/>
                <w:w w:val="110"/>
                <w:sz w:val="22"/>
              </w:rPr>
              <w:t>un</w:t>
            </w:r>
            <w:r>
              <w:rPr>
                <w:color w:val="231F1F"/>
                <w:spacing w:val="-1"/>
                <w:w w:val="110"/>
                <w:sz w:val="22"/>
              </w:rPr>
              <w:t> </w:t>
            </w:r>
            <w:r>
              <w:rPr>
                <w:color w:val="231F1F"/>
                <w:w w:val="110"/>
                <w:sz w:val="22"/>
              </w:rPr>
              <w:t>retardo</w:t>
            </w:r>
            <w:r>
              <w:rPr>
                <w:color w:val="231F1F"/>
                <w:spacing w:val="-1"/>
                <w:w w:val="110"/>
                <w:sz w:val="22"/>
              </w:rPr>
              <w:t> </w:t>
            </w:r>
            <w:r>
              <w:rPr>
                <w:color w:val="231F1F"/>
                <w:w w:val="110"/>
                <w:sz w:val="22"/>
              </w:rPr>
              <w:t>de</w:t>
            </w:r>
            <w:r>
              <w:rPr>
                <w:color w:val="231F1F"/>
                <w:spacing w:val="-2"/>
                <w:w w:val="110"/>
                <w:sz w:val="22"/>
              </w:rPr>
              <w:t> </w:t>
            </w:r>
            <w:r>
              <w:rPr>
                <w:color w:val="231F1F"/>
                <w:w w:val="110"/>
                <w:sz w:val="22"/>
              </w:rPr>
              <w:t>la</w:t>
            </w:r>
            <w:r>
              <w:rPr>
                <w:color w:val="231F1F"/>
                <w:spacing w:val="-2"/>
                <w:w w:val="110"/>
                <w:sz w:val="22"/>
              </w:rPr>
              <w:t> </w:t>
            </w:r>
            <w:r>
              <w:rPr>
                <w:color w:val="231F1F"/>
                <w:w w:val="110"/>
                <w:sz w:val="22"/>
              </w:rPr>
              <w:t>fase</w:t>
            </w:r>
            <w:r>
              <w:rPr>
                <w:color w:val="231F1F"/>
                <w:spacing w:val="-2"/>
                <w:w w:val="110"/>
                <w:sz w:val="22"/>
              </w:rPr>
              <w:t> </w:t>
            </w:r>
            <w:r>
              <w:rPr>
                <w:color w:val="231F1F"/>
                <w:w w:val="110"/>
                <w:sz w:val="22"/>
              </w:rPr>
              <w:t>activa</w:t>
            </w:r>
            <w:r>
              <w:rPr>
                <w:color w:val="231F1F"/>
                <w:spacing w:val="-2"/>
                <w:w w:val="110"/>
                <w:sz w:val="22"/>
              </w:rPr>
              <w:t> </w:t>
            </w:r>
            <w:r>
              <w:rPr>
                <w:color w:val="231F1F"/>
                <w:w w:val="110"/>
                <w:sz w:val="22"/>
              </w:rPr>
              <w:t>de</w:t>
            </w:r>
            <w:r>
              <w:rPr>
                <w:color w:val="231F1F"/>
                <w:spacing w:val="-2"/>
                <w:w w:val="110"/>
                <w:sz w:val="22"/>
              </w:rPr>
              <w:t> </w:t>
            </w:r>
            <w:r>
              <w:rPr>
                <w:color w:val="231F1F"/>
                <w:w w:val="110"/>
                <w:sz w:val="22"/>
              </w:rPr>
              <w:t>la</w:t>
            </w:r>
            <w:r>
              <w:rPr>
                <w:color w:val="231F1F"/>
                <w:spacing w:val="-2"/>
                <w:w w:val="110"/>
                <w:sz w:val="22"/>
              </w:rPr>
              <w:t> </w:t>
            </w:r>
            <w:r>
              <w:rPr>
                <w:color w:val="231F1F"/>
                <w:w w:val="110"/>
                <w:sz w:val="22"/>
              </w:rPr>
              <w:t>primera</w:t>
            </w:r>
            <w:r>
              <w:rPr>
                <w:color w:val="231F1F"/>
                <w:spacing w:val="-2"/>
                <w:w w:val="110"/>
                <w:sz w:val="22"/>
              </w:rPr>
              <w:t> </w:t>
            </w:r>
            <w:r>
              <w:rPr>
                <w:color w:val="231F1F"/>
                <w:w w:val="110"/>
                <w:sz w:val="22"/>
              </w:rPr>
              <w:t>etapa</w:t>
            </w:r>
            <w:r>
              <w:rPr>
                <w:color w:val="231F1F"/>
                <w:spacing w:val="-2"/>
                <w:w w:val="110"/>
                <w:sz w:val="22"/>
              </w:rPr>
              <w:t> </w:t>
            </w:r>
            <w:r>
              <w:rPr>
                <w:color w:val="231F1F"/>
                <w:w w:val="110"/>
                <w:sz w:val="22"/>
              </w:rPr>
              <w:t>del</w:t>
            </w:r>
            <w:r>
              <w:rPr>
                <w:color w:val="231F1F"/>
                <w:spacing w:val="-2"/>
                <w:w w:val="110"/>
                <w:sz w:val="22"/>
              </w:rPr>
              <w:t> </w:t>
            </w:r>
            <w:r>
              <w:rPr>
                <w:color w:val="231F1F"/>
                <w:w w:val="110"/>
                <w:sz w:val="22"/>
              </w:rPr>
              <w:t>parto</w:t>
            </w:r>
            <w:r>
              <w:rPr>
                <w:color w:val="231F1F"/>
                <w:spacing w:val="-2"/>
                <w:w w:val="110"/>
                <w:sz w:val="22"/>
              </w:rPr>
              <w:t> </w:t>
            </w:r>
            <w:r>
              <w:rPr>
                <w:color w:val="231F1F"/>
                <w:w w:val="110"/>
                <w:sz w:val="22"/>
              </w:rPr>
              <w:t>se </w:t>
            </w:r>
            <w:r>
              <w:rPr>
                <w:color w:val="231F1F"/>
                <w:spacing w:val="-2"/>
                <w:w w:val="110"/>
                <w:sz w:val="22"/>
              </w:rPr>
              <w:t>recomienda:</w:t>
            </w:r>
          </w:p>
          <w:p>
            <w:pPr>
              <w:pStyle w:val="TableParagraph"/>
              <w:numPr>
                <w:ilvl w:val="0"/>
                <w:numId w:val="8"/>
              </w:numPr>
              <w:tabs>
                <w:tab w:pos="788" w:val="left" w:leader="none"/>
                <w:tab w:pos="791" w:val="left" w:leader="none"/>
              </w:tabs>
              <w:spacing w:line="244" w:lineRule="auto" w:before="55" w:after="0"/>
              <w:ind w:left="791" w:right="119" w:hanging="221"/>
              <w:jc w:val="both"/>
              <w:rPr>
                <w:sz w:val="22"/>
              </w:rPr>
            </w:pPr>
            <w:r>
              <w:rPr>
                <w:color w:val="231F1F"/>
                <w:w w:val="110"/>
                <w:sz w:val="22"/>
              </w:rPr>
              <w:t>Ofrecer apoyo a la mujer, hidratación y un método apropiado y efectivo para el control del dolor.</w:t>
            </w:r>
          </w:p>
          <w:p>
            <w:pPr>
              <w:pStyle w:val="TableParagraph"/>
              <w:numPr>
                <w:ilvl w:val="0"/>
                <w:numId w:val="8"/>
              </w:numPr>
              <w:tabs>
                <w:tab w:pos="788" w:val="left" w:leader="none"/>
              </w:tabs>
              <w:spacing w:line="240" w:lineRule="auto" w:before="60" w:after="0"/>
              <w:ind w:left="788" w:right="0" w:hanging="218"/>
              <w:jc w:val="both"/>
              <w:rPr>
                <w:sz w:val="22"/>
              </w:rPr>
            </w:pPr>
            <w:r>
              <w:rPr>
                <w:color w:val="231F1F"/>
                <w:w w:val="105"/>
                <w:sz w:val="22"/>
              </w:rPr>
              <w:t>Si</w:t>
            </w:r>
            <w:r>
              <w:rPr>
                <w:color w:val="231F1F"/>
                <w:spacing w:val="2"/>
                <w:w w:val="105"/>
                <w:sz w:val="22"/>
              </w:rPr>
              <w:t> </w:t>
            </w:r>
            <w:r>
              <w:rPr>
                <w:color w:val="231F1F"/>
                <w:w w:val="105"/>
                <w:sz w:val="22"/>
              </w:rPr>
              <w:t>las</w:t>
            </w:r>
            <w:r>
              <w:rPr>
                <w:color w:val="231F1F"/>
                <w:spacing w:val="3"/>
                <w:w w:val="105"/>
                <w:sz w:val="22"/>
              </w:rPr>
              <w:t> </w:t>
            </w:r>
            <w:r>
              <w:rPr>
                <w:color w:val="231F1F"/>
                <w:w w:val="105"/>
                <w:sz w:val="22"/>
              </w:rPr>
              <w:t>membranas</w:t>
            </w:r>
            <w:r>
              <w:rPr>
                <w:color w:val="231F1F"/>
                <w:spacing w:val="5"/>
                <w:w w:val="105"/>
                <w:sz w:val="22"/>
              </w:rPr>
              <w:t> </w:t>
            </w:r>
            <w:r>
              <w:rPr>
                <w:color w:val="231F1F"/>
                <w:w w:val="105"/>
                <w:sz w:val="22"/>
              </w:rPr>
              <w:t>están</w:t>
            </w:r>
            <w:r>
              <w:rPr>
                <w:color w:val="231F1F"/>
                <w:spacing w:val="5"/>
                <w:w w:val="105"/>
                <w:sz w:val="22"/>
              </w:rPr>
              <w:t> </w:t>
            </w:r>
            <w:r>
              <w:rPr>
                <w:color w:val="231F1F"/>
                <w:w w:val="105"/>
                <w:sz w:val="22"/>
              </w:rPr>
              <w:t>intactas</w:t>
            </w:r>
            <w:r>
              <w:rPr>
                <w:color w:val="231F1F"/>
                <w:spacing w:val="3"/>
                <w:w w:val="105"/>
                <w:sz w:val="22"/>
              </w:rPr>
              <w:t> </w:t>
            </w:r>
            <w:r>
              <w:rPr>
                <w:color w:val="231F1F"/>
                <w:w w:val="105"/>
                <w:sz w:val="22"/>
              </w:rPr>
              <w:t>se</w:t>
            </w:r>
            <w:r>
              <w:rPr>
                <w:color w:val="231F1F"/>
                <w:spacing w:val="4"/>
                <w:w w:val="105"/>
                <w:sz w:val="22"/>
              </w:rPr>
              <w:t> </w:t>
            </w:r>
            <w:r>
              <w:rPr>
                <w:color w:val="231F1F"/>
                <w:w w:val="105"/>
                <w:sz w:val="22"/>
              </w:rPr>
              <w:t>procederá</w:t>
            </w:r>
            <w:r>
              <w:rPr>
                <w:color w:val="231F1F"/>
                <w:spacing w:val="3"/>
                <w:w w:val="105"/>
                <w:sz w:val="22"/>
              </w:rPr>
              <w:t> </w:t>
            </w:r>
            <w:r>
              <w:rPr>
                <w:color w:val="231F1F"/>
                <w:w w:val="105"/>
                <w:sz w:val="22"/>
              </w:rPr>
              <w:t>a</w:t>
            </w:r>
            <w:r>
              <w:rPr>
                <w:color w:val="231F1F"/>
                <w:spacing w:val="4"/>
                <w:w w:val="105"/>
                <w:sz w:val="22"/>
              </w:rPr>
              <w:t> </w:t>
            </w:r>
            <w:r>
              <w:rPr>
                <w:color w:val="231F1F"/>
                <w:w w:val="105"/>
                <w:sz w:val="22"/>
              </w:rPr>
              <w:t>la</w:t>
            </w:r>
            <w:r>
              <w:rPr>
                <w:color w:val="231F1F"/>
                <w:spacing w:val="4"/>
                <w:w w:val="105"/>
                <w:sz w:val="22"/>
              </w:rPr>
              <w:t> </w:t>
            </w:r>
            <w:r>
              <w:rPr>
                <w:color w:val="231F1F"/>
                <w:spacing w:val="-2"/>
                <w:w w:val="105"/>
                <w:sz w:val="22"/>
              </w:rPr>
              <w:t>amniorrexis.</w:t>
            </w:r>
          </w:p>
          <w:p>
            <w:pPr>
              <w:pStyle w:val="TableParagraph"/>
              <w:numPr>
                <w:ilvl w:val="0"/>
                <w:numId w:val="8"/>
              </w:numPr>
              <w:tabs>
                <w:tab w:pos="789" w:val="left" w:leader="none"/>
                <w:tab w:pos="792" w:val="left" w:leader="none"/>
              </w:tabs>
              <w:spacing w:line="249" w:lineRule="auto" w:before="64" w:after="0"/>
              <w:ind w:left="792" w:right="156" w:hanging="221"/>
              <w:jc w:val="both"/>
              <w:rPr>
                <w:sz w:val="22"/>
              </w:rPr>
            </w:pPr>
            <w:r>
              <w:rPr>
                <w:color w:val="231F1F"/>
                <w:w w:val="105"/>
                <w:sz w:val="22"/>
              </w:rPr>
              <w:t>Exploración</w:t>
            </w:r>
            <w:r>
              <w:rPr>
                <w:color w:val="231F1F"/>
                <w:w w:val="105"/>
                <w:sz w:val="22"/>
              </w:rPr>
              <w:t> vaginal</w:t>
            </w:r>
            <w:r>
              <w:rPr>
                <w:color w:val="231F1F"/>
                <w:w w:val="105"/>
                <w:sz w:val="22"/>
              </w:rPr>
              <w:t> 2</w:t>
            </w:r>
            <w:r>
              <w:rPr>
                <w:color w:val="231F1F"/>
                <w:w w:val="105"/>
                <w:sz w:val="22"/>
              </w:rPr>
              <w:t> horas</w:t>
            </w:r>
            <w:r>
              <w:rPr>
                <w:color w:val="231F1F"/>
                <w:w w:val="105"/>
                <w:sz w:val="22"/>
              </w:rPr>
              <w:t> después</w:t>
            </w:r>
            <w:r>
              <w:rPr>
                <w:color w:val="231F1F"/>
                <w:w w:val="105"/>
                <w:sz w:val="22"/>
              </w:rPr>
              <w:t> y</w:t>
            </w:r>
            <w:r>
              <w:rPr>
                <w:color w:val="231F1F"/>
                <w:w w:val="105"/>
                <w:sz w:val="22"/>
              </w:rPr>
              <w:t> si</w:t>
            </w:r>
            <w:r>
              <w:rPr>
                <w:color w:val="231F1F"/>
                <w:w w:val="105"/>
                <w:sz w:val="22"/>
              </w:rPr>
              <w:t> el</w:t>
            </w:r>
            <w:r>
              <w:rPr>
                <w:color w:val="231F1F"/>
                <w:w w:val="105"/>
                <w:sz w:val="22"/>
              </w:rPr>
              <w:t> progreso</w:t>
            </w:r>
            <w:r>
              <w:rPr>
                <w:color w:val="231F1F"/>
                <w:w w:val="105"/>
                <w:sz w:val="22"/>
              </w:rPr>
              <w:t> de</w:t>
            </w:r>
            <w:r>
              <w:rPr>
                <w:color w:val="231F1F"/>
                <w:w w:val="105"/>
                <w:sz w:val="22"/>
              </w:rPr>
              <w:t> la</w:t>
            </w:r>
            <w:r>
              <w:rPr>
                <w:color w:val="231F1F"/>
                <w:w w:val="105"/>
                <w:sz w:val="22"/>
              </w:rPr>
              <w:t> dilatación</w:t>
            </w:r>
            <w:r>
              <w:rPr>
                <w:color w:val="231F1F"/>
                <w:w w:val="105"/>
                <w:sz w:val="22"/>
              </w:rPr>
              <w:t> es menos de 1 cm se establece el diagnóstico de retardo de la dilatación.</w:t>
            </w:r>
          </w:p>
          <w:p>
            <w:pPr>
              <w:pStyle w:val="TableParagraph"/>
              <w:numPr>
                <w:ilvl w:val="0"/>
                <w:numId w:val="8"/>
              </w:numPr>
              <w:tabs>
                <w:tab w:pos="791" w:val="left" w:leader="none"/>
              </w:tabs>
              <w:spacing w:line="244" w:lineRule="auto" w:before="55" w:after="0"/>
              <w:ind w:left="791" w:right="142" w:hanging="219"/>
              <w:jc w:val="both"/>
              <w:rPr>
                <w:sz w:val="22"/>
              </w:rPr>
            </w:pPr>
            <w:r>
              <w:rPr>
                <w:color w:val="231F1F"/>
                <w:w w:val="110"/>
                <w:sz w:val="22"/>
              </w:rPr>
              <w:t>Una</w:t>
            </w:r>
            <w:r>
              <w:rPr>
                <w:color w:val="231F1F"/>
                <w:spacing w:val="-16"/>
                <w:w w:val="110"/>
                <w:sz w:val="22"/>
              </w:rPr>
              <w:t> </w:t>
            </w:r>
            <w:r>
              <w:rPr>
                <w:color w:val="231F1F"/>
                <w:w w:val="110"/>
                <w:sz w:val="22"/>
              </w:rPr>
              <w:t>vez</w:t>
            </w:r>
            <w:r>
              <w:rPr>
                <w:color w:val="231F1F"/>
                <w:spacing w:val="-14"/>
                <w:w w:val="110"/>
                <w:sz w:val="22"/>
              </w:rPr>
              <w:t> </w:t>
            </w:r>
            <w:r>
              <w:rPr>
                <w:color w:val="231F1F"/>
                <w:w w:val="110"/>
                <w:sz w:val="22"/>
              </w:rPr>
              <w:t>establecido</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diagnóstico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retardo</w:t>
            </w:r>
            <w:r>
              <w:rPr>
                <w:color w:val="231F1F"/>
                <w:spacing w:val="-15"/>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5"/>
                <w:w w:val="110"/>
                <w:sz w:val="22"/>
              </w:rPr>
              <w:t> </w:t>
            </w:r>
            <w:r>
              <w:rPr>
                <w:color w:val="231F1F"/>
                <w:w w:val="110"/>
                <w:sz w:val="22"/>
              </w:rPr>
              <w:t>dilatación,</w:t>
            </w:r>
            <w:r>
              <w:rPr>
                <w:color w:val="231F1F"/>
                <w:spacing w:val="-16"/>
                <w:w w:val="110"/>
                <w:sz w:val="22"/>
              </w:rPr>
              <w:t> </w:t>
            </w:r>
            <w:r>
              <w:rPr>
                <w:color w:val="231F1F"/>
                <w:w w:val="110"/>
                <w:sz w:val="22"/>
              </w:rPr>
              <w:t>se</w:t>
            </w:r>
            <w:r>
              <w:rPr>
                <w:color w:val="231F1F"/>
                <w:spacing w:val="-14"/>
                <w:w w:val="110"/>
                <w:sz w:val="22"/>
              </w:rPr>
              <w:t> </w:t>
            </w:r>
            <w:r>
              <w:rPr>
                <w:color w:val="231F1F"/>
                <w:w w:val="110"/>
                <w:sz w:val="22"/>
              </w:rPr>
              <w:t>ofrecerá la estimulación con oxitocina.</w:t>
            </w:r>
          </w:p>
          <w:p>
            <w:pPr>
              <w:pStyle w:val="TableParagraph"/>
              <w:numPr>
                <w:ilvl w:val="0"/>
                <w:numId w:val="8"/>
              </w:numPr>
              <w:tabs>
                <w:tab w:pos="787" w:val="left" w:leader="none"/>
                <w:tab w:pos="791" w:val="left" w:leader="none"/>
              </w:tabs>
              <w:spacing w:line="254" w:lineRule="auto" w:before="79" w:after="0"/>
              <w:ind w:left="791" w:right="234" w:hanging="220"/>
              <w:jc w:val="both"/>
              <w:rPr>
                <w:sz w:val="22"/>
              </w:rPr>
            </w:pPr>
            <w:r>
              <w:rPr>
                <w:color w:val="231F1F"/>
                <w:sz w:val="22"/>
              </w:rPr>
              <w:t>Se practicará monitorización continua y se ofrecerá anestesia epidural antes del uso de la oxitocina.</w:t>
            </w:r>
          </w:p>
          <w:p>
            <w:pPr>
              <w:pStyle w:val="TableParagraph"/>
              <w:numPr>
                <w:ilvl w:val="0"/>
                <w:numId w:val="8"/>
              </w:numPr>
              <w:tabs>
                <w:tab w:pos="781" w:val="left" w:leader="none"/>
              </w:tabs>
              <w:spacing w:line="264" w:lineRule="auto" w:before="68" w:after="0"/>
              <w:ind w:left="781" w:right="89" w:hanging="211"/>
              <w:jc w:val="both"/>
              <w:rPr>
                <w:sz w:val="22"/>
              </w:rPr>
            </w:pPr>
            <w:r>
              <w:rPr>
                <w:color w:val="231F1F"/>
                <w:sz w:val="22"/>
              </w:rPr>
              <w:t>Se procederá a un nuevo tacto vaginal 4 horas después de iniciada la perfusión de oxitocina. Si el progreso de la dilatación es inferior a 2 cm se reevaluará el caso tomando en consideración la posibilidad de practicar una cesárea. Si el progreso</w:t>
            </w:r>
            <w:r>
              <w:rPr>
                <w:color w:val="231F1F"/>
                <w:spacing w:val="-2"/>
                <w:sz w:val="22"/>
              </w:rPr>
              <w:t> </w:t>
            </w:r>
            <w:r>
              <w:rPr>
                <w:color w:val="231F1F"/>
                <w:sz w:val="22"/>
              </w:rPr>
              <w:t>es</w:t>
            </w:r>
            <w:r>
              <w:rPr>
                <w:color w:val="231F1F"/>
                <w:spacing w:val="-2"/>
                <w:sz w:val="22"/>
              </w:rPr>
              <w:t> </w:t>
            </w:r>
            <w:r>
              <w:rPr>
                <w:color w:val="231F1F"/>
                <w:sz w:val="22"/>
              </w:rPr>
              <w:t>superior a</w:t>
            </w:r>
            <w:r>
              <w:rPr>
                <w:color w:val="231F1F"/>
                <w:spacing w:val="-2"/>
                <w:sz w:val="22"/>
              </w:rPr>
              <w:t> </w:t>
            </w:r>
            <w:r>
              <w:rPr>
                <w:color w:val="231F1F"/>
                <w:sz w:val="22"/>
              </w:rPr>
              <w:t>2</w:t>
            </w:r>
            <w:r>
              <w:rPr>
                <w:color w:val="231F1F"/>
                <w:spacing w:val="-2"/>
                <w:sz w:val="22"/>
              </w:rPr>
              <w:t> </w:t>
            </w:r>
            <w:r>
              <w:rPr>
                <w:color w:val="231F1F"/>
                <w:sz w:val="22"/>
              </w:rPr>
              <w:t>cm</w:t>
            </w:r>
            <w:r>
              <w:rPr>
                <w:color w:val="231F1F"/>
                <w:spacing w:val="-2"/>
                <w:sz w:val="22"/>
              </w:rPr>
              <w:t> </w:t>
            </w:r>
            <w:r>
              <w:rPr>
                <w:color w:val="231F1F"/>
                <w:sz w:val="22"/>
              </w:rPr>
              <w:t>se</w:t>
            </w:r>
            <w:r>
              <w:rPr>
                <w:color w:val="231F1F"/>
                <w:spacing w:val="-2"/>
                <w:sz w:val="22"/>
              </w:rPr>
              <w:t> </w:t>
            </w:r>
            <w:r>
              <w:rPr>
                <w:color w:val="231F1F"/>
                <w:sz w:val="22"/>
              </w:rPr>
              <w:t>realizará</w:t>
            </w:r>
            <w:r>
              <w:rPr>
                <w:color w:val="231F1F"/>
                <w:spacing w:val="-2"/>
                <w:sz w:val="22"/>
              </w:rPr>
              <w:t> </w:t>
            </w:r>
            <w:r>
              <w:rPr>
                <w:color w:val="231F1F"/>
                <w:sz w:val="22"/>
              </w:rPr>
              <w:t>una</w:t>
            </w:r>
            <w:r>
              <w:rPr>
                <w:color w:val="231F1F"/>
                <w:spacing w:val="-2"/>
                <w:sz w:val="22"/>
              </w:rPr>
              <w:t> </w:t>
            </w:r>
            <w:r>
              <w:rPr>
                <w:color w:val="231F1F"/>
                <w:sz w:val="22"/>
              </w:rPr>
              <w:t>nueva</w:t>
            </w:r>
            <w:r>
              <w:rPr>
                <w:color w:val="231F1F"/>
                <w:spacing w:val="-2"/>
                <w:sz w:val="22"/>
              </w:rPr>
              <w:t> </w:t>
            </w:r>
            <w:r>
              <w:rPr>
                <w:color w:val="231F1F"/>
                <w:sz w:val="22"/>
              </w:rPr>
              <w:t>exploración</w:t>
            </w:r>
            <w:r>
              <w:rPr>
                <w:color w:val="231F1F"/>
                <w:spacing w:val="-2"/>
                <w:sz w:val="22"/>
              </w:rPr>
              <w:t> </w:t>
            </w:r>
            <w:r>
              <w:rPr>
                <w:color w:val="231F1F"/>
                <w:sz w:val="22"/>
              </w:rPr>
              <w:t>4</w:t>
            </w:r>
            <w:r>
              <w:rPr>
                <w:color w:val="231F1F"/>
                <w:spacing w:val="-2"/>
                <w:sz w:val="22"/>
              </w:rPr>
              <w:t> </w:t>
            </w:r>
            <w:r>
              <w:rPr>
                <w:color w:val="231F1F"/>
                <w:sz w:val="22"/>
              </w:rPr>
              <w:t>horas</w:t>
            </w:r>
            <w:r>
              <w:rPr>
                <w:color w:val="231F1F"/>
                <w:spacing w:val="-2"/>
                <w:sz w:val="22"/>
              </w:rPr>
              <w:t> </w:t>
            </w:r>
            <w:r>
              <w:rPr>
                <w:color w:val="231F1F"/>
                <w:sz w:val="22"/>
              </w:rPr>
              <w:t>después.</w:t>
            </w:r>
          </w:p>
        </w:tc>
      </w:tr>
    </w:tbl>
    <w:p>
      <w:pPr>
        <w:pStyle w:val="TableParagraph"/>
        <w:spacing w:after="0" w:line="264" w:lineRule="auto"/>
        <w:jc w:val="both"/>
        <w:rPr>
          <w:sz w:val="22"/>
        </w:rPr>
        <w:sectPr>
          <w:type w:val="continuous"/>
          <w:pgSz w:w="11900" w:h="16840"/>
          <w:pgMar w:header="0" w:footer="622" w:top="1640" w:bottom="820" w:left="1417" w:right="1559"/>
        </w:sectPr>
      </w:pPr>
    </w:p>
    <w:p>
      <w:pPr>
        <w:spacing w:before="82"/>
        <w:ind w:left="283" w:right="0" w:firstLine="0"/>
        <w:jc w:val="left"/>
        <w:rPr>
          <w:rFonts w:ascii="Arial MT"/>
          <w:sz w:val="24"/>
        </w:rPr>
      </w:pPr>
      <w:r>
        <w:rPr>
          <w:rFonts w:ascii="Arial MT"/>
          <w:color w:val="231F1F"/>
          <w:sz w:val="24"/>
        </w:rPr>
        <w:t>Segunda</w:t>
      </w:r>
      <w:r>
        <w:rPr>
          <w:rFonts w:ascii="Arial MT"/>
          <w:color w:val="231F1F"/>
          <w:spacing w:val="16"/>
          <w:sz w:val="24"/>
        </w:rPr>
        <w:t> </w:t>
      </w:r>
      <w:r>
        <w:rPr>
          <w:rFonts w:ascii="Arial MT"/>
          <w:color w:val="231F1F"/>
          <w:sz w:val="24"/>
        </w:rPr>
        <w:t>etapa</w:t>
      </w:r>
      <w:r>
        <w:rPr>
          <w:rFonts w:ascii="Arial MT"/>
          <w:color w:val="231F1F"/>
          <w:spacing w:val="18"/>
          <w:sz w:val="24"/>
        </w:rPr>
        <w:t> </w:t>
      </w:r>
      <w:r>
        <w:rPr>
          <w:rFonts w:ascii="Arial MT"/>
          <w:color w:val="231F1F"/>
          <w:sz w:val="24"/>
        </w:rPr>
        <w:t>del</w:t>
      </w:r>
      <w:r>
        <w:rPr>
          <w:rFonts w:ascii="Arial MT"/>
          <w:color w:val="231F1F"/>
          <w:spacing w:val="17"/>
          <w:sz w:val="24"/>
        </w:rPr>
        <w:t> </w:t>
      </w:r>
      <w:r>
        <w:rPr>
          <w:rFonts w:ascii="Arial MT"/>
          <w:color w:val="231F1F"/>
          <w:spacing w:val="-2"/>
          <w:sz w:val="24"/>
        </w:rPr>
        <w:t>parto</w:t>
      </w:r>
    </w:p>
    <w:p>
      <w:pPr>
        <w:pStyle w:val="BodyText"/>
        <w:spacing w:before="2"/>
        <w:rPr>
          <w:rFonts w:ascii="Arial MT"/>
          <w:sz w:val="15"/>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50" w:hRule="atLeast"/>
        </w:trPr>
        <w:tc>
          <w:tcPr>
            <w:tcW w:w="8505" w:type="dxa"/>
            <w:gridSpan w:val="2"/>
          </w:tcPr>
          <w:p>
            <w:pPr>
              <w:pStyle w:val="TableParagraph"/>
              <w:spacing w:before="29"/>
              <w:rPr>
                <w:sz w:val="22"/>
              </w:rPr>
            </w:pPr>
            <w:r>
              <w:rPr>
                <w:color w:val="231F1F"/>
                <w:sz w:val="22"/>
              </w:rPr>
              <w:t>6.1.</w:t>
            </w:r>
            <w:r>
              <w:rPr>
                <w:color w:val="231F1F"/>
                <w:spacing w:val="-8"/>
                <w:sz w:val="22"/>
              </w:rPr>
              <w:t> </w:t>
            </w:r>
            <w:r>
              <w:rPr>
                <w:color w:val="231F1F"/>
                <w:spacing w:val="-2"/>
                <w:sz w:val="22"/>
              </w:rPr>
              <w:t>Definición</w:t>
            </w:r>
          </w:p>
        </w:tc>
      </w:tr>
      <w:tr>
        <w:trPr>
          <w:trHeight w:val="3153" w:hRule="atLeast"/>
        </w:trPr>
        <w:tc>
          <w:tcPr>
            <w:tcW w:w="571"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70"/>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20"/>
              <w:ind w:left="117" w:right="86"/>
              <w:jc w:val="both"/>
              <w:rPr>
                <w:sz w:val="22"/>
              </w:rPr>
            </w:pPr>
            <w:r>
              <w:rPr>
                <w:color w:val="231F1F"/>
                <w:w w:val="110"/>
                <w:sz w:val="22"/>
              </w:rPr>
              <w:t>La</w:t>
            </w:r>
            <w:r>
              <w:rPr>
                <w:color w:val="231F1F"/>
                <w:spacing w:val="-11"/>
                <w:w w:val="110"/>
                <w:sz w:val="22"/>
              </w:rPr>
              <w:t> </w:t>
            </w:r>
            <w:r>
              <w:rPr>
                <w:color w:val="231F1F"/>
                <w:w w:val="110"/>
                <w:sz w:val="22"/>
              </w:rPr>
              <w:t>segunda</w:t>
            </w:r>
            <w:r>
              <w:rPr>
                <w:color w:val="231F1F"/>
                <w:spacing w:val="-11"/>
                <w:w w:val="110"/>
                <w:sz w:val="22"/>
              </w:rPr>
              <w:t> </w:t>
            </w:r>
            <w:r>
              <w:rPr>
                <w:color w:val="231F1F"/>
                <w:w w:val="110"/>
                <w:sz w:val="22"/>
              </w:rPr>
              <w:t>etapa</w:t>
            </w:r>
            <w:r>
              <w:rPr>
                <w:color w:val="231F1F"/>
                <w:spacing w:val="-11"/>
                <w:w w:val="110"/>
                <w:sz w:val="22"/>
              </w:rPr>
              <w:t> </w:t>
            </w:r>
            <w:r>
              <w:rPr>
                <w:color w:val="231F1F"/>
                <w:w w:val="110"/>
                <w:sz w:val="22"/>
              </w:rPr>
              <w:t>del</w:t>
            </w:r>
            <w:r>
              <w:rPr>
                <w:color w:val="231F1F"/>
                <w:spacing w:val="-11"/>
                <w:w w:val="110"/>
                <w:sz w:val="22"/>
              </w:rPr>
              <w:t> </w:t>
            </w:r>
            <w:r>
              <w:rPr>
                <w:color w:val="231F1F"/>
                <w:w w:val="110"/>
                <w:sz w:val="22"/>
              </w:rPr>
              <w:t>parto</w:t>
            </w:r>
            <w:r>
              <w:rPr>
                <w:color w:val="231F1F"/>
                <w:spacing w:val="-11"/>
                <w:w w:val="110"/>
                <w:sz w:val="22"/>
              </w:rPr>
              <w:t> </w:t>
            </w:r>
            <w:r>
              <w:rPr>
                <w:color w:val="231F1F"/>
                <w:w w:val="110"/>
                <w:sz w:val="22"/>
              </w:rPr>
              <w:t>o</w:t>
            </w:r>
            <w:r>
              <w:rPr>
                <w:color w:val="231F1F"/>
                <w:spacing w:val="-10"/>
                <w:w w:val="110"/>
                <w:sz w:val="22"/>
              </w:rPr>
              <w:t> </w:t>
            </w:r>
            <w:r>
              <w:rPr>
                <w:color w:val="231F1F"/>
                <w:w w:val="110"/>
                <w:sz w:val="22"/>
              </w:rPr>
              <w:t>periodo</w:t>
            </w:r>
            <w:r>
              <w:rPr>
                <w:color w:val="231F1F"/>
                <w:spacing w:val="-11"/>
                <w:w w:val="110"/>
                <w:sz w:val="22"/>
              </w:rPr>
              <w:t> </w:t>
            </w:r>
            <w:r>
              <w:rPr>
                <w:color w:val="231F1F"/>
                <w:w w:val="110"/>
                <w:sz w:val="22"/>
              </w:rPr>
              <w:t>expulsivo</w:t>
            </w:r>
            <w:r>
              <w:rPr>
                <w:color w:val="231F1F"/>
                <w:spacing w:val="-10"/>
                <w:w w:val="110"/>
                <w:sz w:val="22"/>
              </w:rPr>
              <w:t> </w:t>
            </w:r>
            <w:r>
              <w:rPr>
                <w:color w:val="231F1F"/>
                <w:w w:val="110"/>
                <w:sz w:val="22"/>
              </w:rPr>
              <w:t>es</w:t>
            </w:r>
            <w:r>
              <w:rPr>
                <w:color w:val="231F1F"/>
                <w:spacing w:val="-11"/>
                <w:w w:val="110"/>
                <w:sz w:val="22"/>
              </w:rPr>
              <w:t> </w:t>
            </w:r>
            <w:r>
              <w:rPr>
                <w:color w:val="231F1F"/>
                <w:w w:val="110"/>
                <w:sz w:val="22"/>
              </w:rPr>
              <w:t>aquella</w:t>
            </w:r>
            <w:r>
              <w:rPr>
                <w:color w:val="231F1F"/>
                <w:spacing w:val="-11"/>
                <w:w w:val="110"/>
                <w:sz w:val="22"/>
              </w:rPr>
              <w:t> </w:t>
            </w:r>
            <w:r>
              <w:rPr>
                <w:color w:val="231F1F"/>
                <w:w w:val="110"/>
                <w:sz w:val="22"/>
              </w:rPr>
              <w:t>que</w:t>
            </w:r>
            <w:r>
              <w:rPr>
                <w:color w:val="231F1F"/>
                <w:spacing w:val="-11"/>
                <w:w w:val="110"/>
                <w:sz w:val="22"/>
              </w:rPr>
              <w:t> </w:t>
            </w:r>
            <w:r>
              <w:rPr>
                <w:color w:val="231F1F"/>
                <w:w w:val="110"/>
                <w:sz w:val="22"/>
              </w:rPr>
              <w:t>transcurre</w:t>
            </w:r>
            <w:r>
              <w:rPr>
                <w:color w:val="231F1F"/>
                <w:spacing w:val="-11"/>
                <w:w w:val="110"/>
                <w:sz w:val="22"/>
              </w:rPr>
              <w:t> </w:t>
            </w:r>
            <w:r>
              <w:rPr>
                <w:color w:val="231F1F"/>
                <w:w w:val="110"/>
                <w:sz w:val="22"/>
              </w:rPr>
              <w:t>entre</w:t>
            </w:r>
            <w:r>
              <w:rPr>
                <w:color w:val="231F1F"/>
                <w:spacing w:val="-11"/>
                <w:w w:val="110"/>
                <w:sz w:val="22"/>
              </w:rPr>
              <w:t> </w:t>
            </w:r>
            <w:r>
              <w:rPr>
                <w:color w:val="231F1F"/>
                <w:w w:val="110"/>
                <w:sz w:val="22"/>
              </w:rPr>
              <w:t>el </w:t>
            </w:r>
            <w:r>
              <w:rPr>
                <w:color w:val="231F1F"/>
                <w:sz w:val="22"/>
              </w:rPr>
              <w:t>momento</w:t>
            </w:r>
            <w:r>
              <w:rPr>
                <w:color w:val="231F1F"/>
                <w:spacing w:val="33"/>
                <w:sz w:val="22"/>
              </w:rPr>
              <w:t> </w:t>
            </w:r>
            <w:r>
              <w:rPr>
                <w:color w:val="231F1F"/>
                <w:sz w:val="22"/>
              </w:rPr>
              <w:t>en</w:t>
            </w:r>
            <w:r>
              <w:rPr>
                <w:color w:val="231F1F"/>
                <w:spacing w:val="35"/>
                <w:sz w:val="22"/>
              </w:rPr>
              <w:t> </w:t>
            </w:r>
            <w:r>
              <w:rPr>
                <w:color w:val="231F1F"/>
                <w:sz w:val="22"/>
              </w:rPr>
              <w:t>que</w:t>
            </w:r>
            <w:r>
              <w:rPr>
                <w:color w:val="231F1F"/>
                <w:spacing w:val="35"/>
                <w:sz w:val="22"/>
              </w:rPr>
              <w:t> </w:t>
            </w:r>
            <w:r>
              <w:rPr>
                <w:color w:val="231F1F"/>
                <w:sz w:val="22"/>
              </w:rPr>
              <w:t>se</w:t>
            </w:r>
            <w:r>
              <w:rPr>
                <w:color w:val="231F1F"/>
                <w:spacing w:val="35"/>
                <w:sz w:val="22"/>
              </w:rPr>
              <w:t> </w:t>
            </w:r>
            <w:r>
              <w:rPr>
                <w:color w:val="231F1F"/>
                <w:sz w:val="22"/>
              </w:rPr>
              <w:t>alcanza</w:t>
            </w:r>
            <w:r>
              <w:rPr>
                <w:color w:val="231F1F"/>
                <w:spacing w:val="35"/>
                <w:sz w:val="22"/>
              </w:rPr>
              <w:t> </w:t>
            </w:r>
            <w:r>
              <w:rPr>
                <w:color w:val="231F1F"/>
                <w:sz w:val="22"/>
              </w:rPr>
              <w:t>la</w:t>
            </w:r>
            <w:r>
              <w:rPr>
                <w:color w:val="231F1F"/>
                <w:spacing w:val="35"/>
                <w:sz w:val="22"/>
              </w:rPr>
              <w:t> </w:t>
            </w:r>
            <w:r>
              <w:rPr>
                <w:color w:val="231F1F"/>
                <w:sz w:val="22"/>
              </w:rPr>
              <w:t>dilatación</w:t>
            </w:r>
            <w:r>
              <w:rPr>
                <w:color w:val="231F1F"/>
                <w:spacing w:val="35"/>
                <w:sz w:val="22"/>
              </w:rPr>
              <w:t> </w:t>
            </w:r>
            <w:r>
              <w:rPr>
                <w:color w:val="231F1F"/>
                <w:sz w:val="22"/>
              </w:rPr>
              <w:t>completa</w:t>
            </w:r>
            <w:r>
              <w:rPr>
                <w:color w:val="231F1F"/>
                <w:spacing w:val="35"/>
                <w:sz w:val="22"/>
              </w:rPr>
              <w:t> </w:t>
            </w:r>
            <w:r>
              <w:rPr>
                <w:color w:val="231F1F"/>
                <w:sz w:val="22"/>
              </w:rPr>
              <w:t>y</w:t>
            </w:r>
            <w:r>
              <w:rPr>
                <w:color w:val="231F1F"/>
                <w:spacing w:val="33"/>
                <w:sz w:val="22"/>
              </w:rPr>
              <w:t> </w:t>
            </w:r>
            <w:r>
              <w:rPr>
                <w:color w:val="231F1F"/>
                <w:sz w:val="22"/>
              </w:rPr>
              <w:t>el</w:t>
            </w:r>
            <w:r>
              <w:rPr>
                <w:color w:val="231F1F"/>
                <w:spacing w:val="33"/>
                <w:sz w:val="22"/>
              </w:rPr>
              <w:t> </w:t>
            </w:r>
            <w:r>
              <w:rPr>
                <w:color w:val="231F1F"/>
                <w:sz w:val="22"/>
              </w:rPr>
              <w:t>momento</w:t>
            </w:r>
            <w:r>
              <w:rPr>
                <w:color w:val="231F1F"/>
                <w:spacing w:val="35"/>
                <w:sz w:val="22"/>
              </w:rPr>
              <w:t> </w:t>
            </w:r>
            <w:r>
              <w:rPr>
                <w:color w:val="231F1F"/>
                <w:sz w:val="22"/>
              </w:rPr>
              <w:t>en</w:t>
            </w:r>
            <w:r>
              <w:rPr>
                <w:color w:val="231F1F"/>
                <w:spacing w:val="35"/>
                <w:sz w:val="22"/>
              </w:rPr>
              <w:t> </w:t>
            </w:r>
            <w:r>
              <w:rPr>
                <w:color w:val="231F1F"/>
                <w:sz w:val="22"/>
              </w:rPr>
              <w:t>que</w:t>
            </w:r>
            <w:r>
              <w:rPr>
                <w:color w:val="231F1F"/>
                <w:spacing w:val="35"/>
                <w:sz w:val="22"/>
              </w:rPr>
              <w:t> </w:t>
            </w:r>
            <w:r>
              <w:rPr>
                <w:color w:val="231F1F"/>
                <w:sz w:val="22"/>
              </w:rPr>
              <w:t>se</w:t>
            </w:r>
            <w:r>
              <w:rPr>
                <w:color w:val="231F1F"/>
                <w:spacing w:val="35"/>
                <w:sz w:val="22"/>
              </w:rPr>
              <w:t> </w:t>
            </w:r>
            <w:r>
              <w:rPr>
                <w:color w:val="231F1F"/>
                <w:sz w:val="22"/>
              </w:rPr>
              <w:t>produ- </w:t>
            </w:r>
            <w:r>
              <w:rPr>
                <w:color w:val="231F1F"/>
                <w:w w:val="110"/>
                <w:sz w:val="22"/>
              </w:rPr>
              <w:t>ce la expulsión fetal. A su vez se subdivide en dos fases:</w:t>
            </w:r>
          </w:p>
          <w:p>
            <w:pPr>
              <w:pStyle w:val="TableParagraph"/>
              <w:numPr>
                <w:ilvl w:val="0"/>
                <w:numId w:val="9"/>
              </w:numPr>
              <w:tabs>
                <w:tab w:pos="790" w:val="left" w:leader="none"/>
              </w:tabs>
              <w:spacing w:line="264" w:lineRule="auto" w:before="75" w:after="0"/>
              <w:ind w:left="790" w:right="766" w:hanging="220"/>
              <w:jc w:val="both"/>
              <w:rPr>
                <w:sz w:val="22"/>
              </w:rPr>
            </w:pPr>
            <w:r>
              <w:rPr>
                <w:color w:val="231F1F"/>
                <w:sz w:val="22"/>
              </w:rPr>
              <w:t>Periodo expulsivo pasivo: dilatación completa del cuello, antes o en ausencia</w:t>
            </w:r>
            <w:r>
              <w:rPr>
                <w:color w:val="231F1F"/>
                <w:spacing w:val="40"/>
                <w:sz w:val="22"/>
              </w:rPr>
              <w:t> </w:t>
            </w:r>
            <w:r>
              <w:rPr>
                <w:color w:val="231F1F"/>
                <w:sz w:val="22"/>
              </w:rPr>
              <w:t>de</w:t>
            </w:r>
            <w:r>
              <w:rPr>
                <w:color w:val="231F1F"/>
                <w:spacing w:val="40"/>
                <w:sz w:val="22"/>
              </w:rPr>
              <w:t> </w:t>
            </w:r>
            <w:r>
              <w:rPr>
                <w:color w:val="231F1F"/>
                <w:sz w:val="22"/>
              </w:rPr>
              <w:t>contracciones</w:t>
            </w:r>
            <w:r>
              <w:rPr>
                <w:color w:val="231F1F"/>
                <w:spacing w:val="40"/>
                <w:sz w:val="22"/>
              </w:rPr>
              <w:t> </w:t>
            </w:r>
            <w:r>
              <w:rPr>
                <w:color w:val="231F1F"/>
                <w:sz w:val="22"/>
              </w:rPr>
              <w:t>involuntarias</w:t>
            </w:r>
            <w:r>
              <w:rPr>
                <w:color w:val="231F1F"/>
                <w:spacing w:val="40"/>
                <w:sz w:val="22"/>
              </w:rPr>
              <w:t> </w:t>
            </w:r>
            <w:r>
              <w:rPr>
                <w:color w:val="231F1F"/>
                <w:sz w:val="22"/>
              </w:rPr>
              <w:t>de</w:t>
            </w:r>
            <w:r>
              <w:rPr>
                <w:color w:val="231F1F"/>
                <w:spacing w:val="40"/>
                <w:sz w:val="22"/>
              </w:rPr>
              <w:t> </w:t>
            </w:r>
            <w:r>
              <w:rPr>
                <w:color w:val="231F1F"/>
                <w:sz w:val="22"/>
              </w:rPr>
              <w:t>expulsivo.</w:t>
            </w:r>
          </w:p>
          <w:p>
            <w:pPr>
              <w:pStyle w:val="TableParagraph"/>
              <w:numPr>
                <w:ilvl w:val="0"/>
                <w:numId w:val="9"/>
              </w:numPr>
              <w:tabs>
                <w:tab w:pos="788" w:val="left" w:leader="none"/>
                <w:tab w:pos="1024" w:val="left" w:leader="none"/>
              </w:tabs>
              <w:spacing w:line="300" w:lineRule="auto" w:before="39" w:after="0"/>
              <w:ind w:left="1024" w:right="4033" w:hanging="454"/>
              <w:jc w:val="both"/>
              <w:rPr>
                <w:sz w:val="22"/>
              </w:rPr>
            </w:pPr>
            <w:r>
              <w:rPr>
                <w:color w:val="231F1F"/>
                <w:w w:val="105"/>
                <w:sz w:val="22"/>
              </w:rPr>
              <w:t>Periodo</w:t>
            </w:r>
            <w:r>
              <w:rPr>
                <w:color w:val="231F1F"/>
                <w:spacing w:val="-7"/>
                <w:w w:val="105"/>
                <w:sz w:val="22"/>
              </w:rPr>
              <w:t> </w:t>
            </w:r>
            <w:r>
              <w:rPr>
                <w:color w:val="231F1F"/>
                <w:w w:val="105"/>
                <w:sz w:val="22"/>
              </w:rPr>
              <w:t>expulsivo</w:t>
            </w:r>
            <w:r>
              <w:rPr>
                <w:color w:val="231F1F"/>
                <w:spacing w:val="-6"/>
                <w:w w:val="105"/>
                <w:sz w:val="22"/>
              </w:rPr>
              <w:t> </w:t>
            </w:r>
            <w:r>
              <w:rPr>
                <w:color w:val="231F1F"/>
                <w:w w:val="105"/>
                <w:sz w:val="22"/>
              </w:rPr>
              <w:t>activo</w:t>
            </w:r>
            <w:r>
              <w:rPr>
                <w:color w:val="231F1F"/>
                <w:spacing w:val="-6"/>
                <w:w w:val="105"/>
                <w:sz w:val="22"/>
              </w:rPr>
              <w:t> </w:t>
            </w:r>
            <w:r>
              <w:rPr>
                <w:color w:val="231F1F"/>
                <w:w w:val="105"/>
                <w:sz w:val="22"/>
              </w:rPr>
              <w:t>cuando, El feto es visible ó</w:t>
            </w:r>
          </w:p>
          <w:p>
            <w:pPr>
              <w:pStyle w:val="TableParagraph"/>
              <w:spacing w:before="15"/>
              <w:ind w:left="1024"/>
              <w:rPr>
                <w:sz w:val="22"/>
              </w:rPr>
            </w:pPr>
            <w:r>
              <w:rPr>
                <w:color w:val="231F1F"/>
                <w:sz w:val="22"/>
              </w:rPr>
              <w:t>Existen</w:t>
            </w:r>
            <w:r>
              <w:rPr>
                <w:color w:val="231F1F"/>
                <w:spacing w:val="-4"/>
                <w:sz w:val="22"/>
              </w:rPr>
              <w:t> </w:t>
            </w:r>
            <w:r>
              <w:rPr>
                <w:color w:val="231F1F"/>
                <w:sz w:val="22"/>
              </w:rPr>
              <w:t>contracciones de</w:t>
            </w:r>
            <w:r>
              <w:rPr>
                <w:color w:val="231F1F"/>
                <w:spacing w:val="1"/>
                <w:sz w:val="22"/>
              </w:rPr>
              <w:t> </w:t>
            </w:r>
            <w:r>
              <w:rPr>
                <w:color w:val="231F1F"/>
                <w:sz w:val="22"/>
              </w:rPr>
              <w:t>expulsivo en</w:t>
            </w:r>
            <w:r>
              <w:rPr>
                <w:color w:val="231F1F"/>
                <w:spacing w:val="1"/>
                <w:sz w:val="22"/>
              </w:rPr>
              <w:t> </w:t>
            </w:r>
            <w:r>
              <w:rPr>
                <w:color w:val="231F1F"/>
                <w:sz w:val="22"/>
              </w:rPr>
              <w:t>presencia de</w:t>
            </w:r>
            <w:r>
              <w:rPr>
                <w:color w:val="231F1F"/>
                <w:spacing w:val="1"/>
                <w:sz w:val="22"/>
              </w:rPr>
              <w:t> </w:t>
            </w:r>
            <w:r>
              <w:rPr>
                <w:color w:val="231F1F"/>
                <w:sz w:val="22"/>
              </w:rPr>
              <w:t>dilatación completa</w:t>
            </w:r>
            <w:r>
              <w:rPr>
                <w:color w:val="231F1F"/>
                <w:spacing w:val="2"/>
                <w:sz w:val="22"/>
              </w:rPr>
              <w:t> </w:t>
            </w:r>
            <w:r>
              <w:rPr>
                <w:color w:val="231F1F"/>
                <w:spacing w:val="-10"/>
                <w:sz w:val="22"/>
              </w:rPr>
              <w:t>ó</w:t>
            </w:r>
          </w:p>
          <w:p>
            <w:pPr>
              <w:pStyle w:val="TableParagraph"/>
              <w:spacing w:before="79"/>
              <w:ind w:left="1024"/>
              <w:rPr>
                <w:sz w:val="22"/>
              </w:rPr>
            </w:pPr>
            <w:r>
              <w:rPr>
                <w:color w:val="231F1F"/>
                <w:sz w:val="22"/>
              </w:rPr>
              <w:t>Pujos maternos</w:t>
            </w:r>
            <w:r>
              <w:rPr>
                <w:color w:val="231F1F"/>
                <w:spacing w:val="27"/>
                <w:sz w:val="22"/>
              </w:rPr>
              <w:t> </w:t>
            </w:r>
            <w:r>
              <w:rPr>
                <w:color w:val="231F1F"/>
                <w:sz w:val="22"/>
              </w:rPr>
              <w:t>en</w:t>
            </w:r>
            <w:r>
              <w:rPr>
                <w:color w:val="231F1F"/>
                <w:spacing w:val="27"/>
                <w:sz w:val="22"/>
              </w:rPr>
              <w:t> </w:t>
            </w:r>
            <w:r>
              <w:rPr>
                <w:color w:val="231F1F"/>
                <w:sz w:val="22"/>
              </w:rPr>
              <w:t>presencia</w:t>
            </w:r>
            <w:r>
              <w:rPr>
                <w:color w:val="231F1F"/>
                <w:spacing w:val="27"/>
                <w:sz w:val="22"/>
              </w:rPr>
              <w:t> </w:t>
            </w:r>
            <w:r>
              <w:rPr>
                <w:color w:val="231F1F"/>
                <w:sz w:val="22"/>
              </w:rPr>
              <w:t>de</w:t>
            </w:r>
            <w:r>
              <w:rPr>
                <w:color w:val="231F1F"/>
                <w:spacing w:val="27"/>
                <w:sz w:val="22"/>
              </w:rPr>
              <w:t> </w:t>
            </w:r>
            <w:r>
              <w:rPr>
                <w:color w:val="231F1F"/>
                <w:sz w:val="22"/>
              </w:rPr>
              <w:t>dilatación</w:t>
            </w:r>
            <w:r>
              <w:rPr>
                <w:color w:val="231F1F"/>
                <w:spacing w:val="27"/>
                <w:sz w:val="22"/>
              </w:rPr>
              <w:t> </w:t>
            </w:r>
            <w:r>
              <w:rPr>
                <w:color w:val="231F1F"/>
                <w:sz w:val="22"/>
              </w:rPr>
              <w:t>completa</w:t>
            </w:r>
            <w:r>
              <w:rPr>
                <w:color w:val="231F1F"/>
                <w:spacing w:val="27"/>
                <w:sz w:val="22"/>
              </w:rPr>
              <w:t> </w:t>
            </w:r>
            <w:r>
              <w:rPr>
                <w:color w:val="231F1F"/>
                <w:sz w:val="22"/>
              </w:rPr>
              <w:t>con</w:t>
            </w:r>
            <w:r>
              <w:rPr>
                <w:color w:val="231F1F"/>
                <w:spacing w:val="27"/>
                <w:sz w:val="22"/>
              </w:rPr>
              <w:t> </w:t>
            </w:r>
            <w:r>
              <w:rPr>
                <w:color w:val="231F1F"/>
                <w:sz w:val="22"/>
              </w:rPr>
              <w:t>ausencia</w:t>
            </w:r>
            <w:r>
              <w:rPr>
                <w:color w:val="231F1F"/>
                <w:spacing w:val="27"/>
                <w:sz w:val="22"/>
              </w:rPr>
              <w:t> </w:t>
            </w:r>
            <w:r>
              <w:rPr>
                <w:color w:val="231F1F"/>
                <w:sz w:val="22"/>
              </w:rPr>
              <w:t>de contracciones</w:t>
            </w:r>
            <w:r>
              <w:rPr>
                <w:color w:val="231F1F"/>
                <w:spacing w:val="40"/>
                <w:sz w:val="22"/>
              </w:rPr>
              <w:t> </w:t>
            </w:r>
            <w:r>
              <w:rPr>
                <w:color w:val="231F1F"/>
                <w:sz w:val="22"/>
              </w:rPr>
              <w:t>de</w:t>
            </w:r>
            <w:r>
              <w:rPr>
                <w:color w:val="231F1F"/>
                <w:spacing w:val="40"/>
                <w:sz w:val="22"/>
              </w:rPr>
              <w:t> </w:t>
            </w:r>
            <w:r>
              <w:rPr>
                <w:color w:val="231F1F"/>
                <w:sz w:val="22"/>
              </w:rPr>
              <w:t>expulsivo.</w:t>
            </w:r>
          </w:p>
        </w:tc>
      </w:tr>
      <w:tr>
        <w:trPr>
          <w:trHeight w:val="350" w:hRule="atLeast"/>
        </w:trPr>
        <w:tc>
          <w:tcPr>
            <w:tcW w:w="8505" w:type="dxa"/>
            <w:gridSpan w:val="2"/>
          </w:tcPr>
          <w:p>
            <w:pPr>
              <w:pStyle w:val="TableParagraph"/>
              <w:spacing w:before="34"/>
              <w:rPr>
                <w:sz w:val="22"/>
              </w:rPr>
            </w:pPr>
            <w:r>
              <w:rPr>
                <w:color w:val="231F1F"/>
                <w:sz w:val="22"/>
              </w:rPr>
              <w:t>6.2.</w:t>
            </w:r>
            <w:r>
              <w:rPr>
                <w:color w:val="231F1F"/>
                <w:spacing w:val="-8"/>
                <w:sz w:val="22"/>
              </w:rPr>
              <w:t> </w:t>
            </w:r>
            <w:r>
              <w:rPr>
                <w:color w:val="231F1F"/>
                <w:spacing w:val="-2"/>
                <w:sz w:val="22"/>
              </w:rPr>
              <w:t>Duración</w:t>
            </w:r>
          </w:p>
        </w:tc>
      </w:tr>
      <w:tr>
        <w:trPr>
          <w:trHeight w:val="633" w:hRule="atLeast"/>
        </w:trPr>
        <w:tc>
          <w:tcPr>
            <w:tcW w:w="571" w:type="dxa"/>
          </w:tcPr>
          <w:p>
            <w:pPr>
              <w:pStyle w:val="TableParagraph"/>
              <w:spacing w:before="17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9" w:lineRule="auto" w:before="25"/>
              <w:ind w:left="117" w:right="163"/>
              <w:rPr>
                <w:sz w:val="22"/>
              </w:rPr>
            </w:pPr>
            <w:r>
              <w:rPr>
                <w:color w:val="231F1F"/>
                <w:w w:val="105"/>
                <w:sz w:val="22"/>
              </w:rPr>
              <w:t>La</w:t>
            </w:r>
            <w:r>
              <w:rPr>
                <w:color w:val="231F1F"/>
                <w:w w:val="105"/>
                <w:sz w:val="22"/>
              </w:rPr>
              <w:t> duración</w:t>
            </w:r>
            <w:r>
              <w:rPr>
                <w:color w:val="231F1F"/>
                <w:w w:val="105"/>
                <w:sz w:val="22"/>
              </w:rPr>
              <w:t> normal</w:t>
            </w:r>
            <w:r>
              <w:rPr>
                <w:color w:val="231F1F"/>
                <w:w w:val="105"/>
                <w:sz w:val="22"/>
              </w:rPr>
              <w:t> de</w:t>
            </w:r>
            <w:r>
              <w:rPr>
                <w:color w:val="231F1F"/>
                <w:w w:val="105"/>
                <w:sz w:val="22"/>
              </w:rPr>
              <w:t> la</w:t>
            </w:r>
            <w:r>
              <w:rPr>
                <w:color w:val="231F1F"/>
                <w:w w:val="105"/>
                <w:sz w:val="22"/>
              </w:rPr>
              <w:t> fase</w:t>
            </w:r>
            <w:r>
              <w:rPr>
                <w:color w:val="231F1F"/>
                <w:w w:val="105"/>
                <w:sz w:val="22"/>
              </w:rPr>
              <w:t> pasiva</w:t>
            </w:r>
            <w:r>
              <w:rPr>
                <w:color w:val="231F1F"/>
                <w:w w:val="105"/>
                <w:sz w:val="22"/>
              </w:rPr>
              <w:t> de</w:t>
            </w:r>
            <w:r>
              <w:rPr>
                <w:color w:val="231F1F"/>
                <w:w w:val="105"/>
                <w:sz w:val="22"/>
              </w:rPr>
              <w:t> la</w:t>
            </w:r>
            <w:r>
              <w:rPr>
                <w:color w:val="231F1F"/>
                <w:w w:val="105"/>
                <w:sz w:val="22"/>
              </w:rPr>
              <w:t> segunda</w:t>
            </w:r>
            <w:r>
              <w:rPr>
                <w:color w:val="231F1F"/>
                <w:w w:val="105"/>
                <w:sz w:val="22"/>
              </w:rPr>
              <w:t> etapa</w:t>
            </w:r>
            <w:r>
              <w:rPr>
                <w:color w:val="231F1F"/>
                <w:w w:val="105"/>
                <w:sz w:val="22"/>
              </w:rPr>
              <w:t> del</w:t>
            </w:r>
            <w:r>
              <w:rPr>
                <w:color w:val="231F1F"/>
                <w:w w:val="105"/>
                <w:sz w:val="22"/>
              </w:rPr>
              <w:t> parto</w:t>
            </w:r>
            <w:r>
              <w:rPr>
                <w:color w:val="231F1F"/>
                <w:w w:val="105"/>
                <w:sz w:val="22"/>
              </w:rPr>
              <w:t> en</w:t>
            </w:r>
            <w:r>
              <w:rPr>
                <w:color w:val="231F1F"/>
                <w:w w:val="105"/>
                <w:sz w:val="22"/>
              </w:rPr>
              <w:t> nulíparas</w:t>
            </w:r>
            <w:r>
              <w:rPr>
                <w:color w:val="231F1F"/>
                <w:w w:val="105"/>
                <w:sz w:val="22"/>
              </w:rPr>
              <w:t> es de</w:t>
            </w:r>
            <w:r>
              <w:rPr>
                <w:color w:val="231F1F"/>
                <w:spacing w:val="39"/>
                <w:w w:val="105"/>
                <w:sz w:val="22"/>
              </w:rPr>
              <w:t> </w:t>
            </w:r>
            <w:r>
              <w:rPr>
                <w:color w:val="231F1F"/>
                <w:w w:val="105"/>
                <w:sz w:val="22"/>
              </w:rPr>
              <w:t>hasta</w:t>
            </w:r>
            <w:r>
              <w:rPr>
                <w:color w:val="231F1F"/>
                <w:spacing w:val="39"/>
                <w:w w:val="105"/>
                <w:sz w:val="22"/>
              </w:rPr>
              <w:t> </w:t>
            </w:r>
            <w:r>
              <w:rPr>
                <w:color w:val="231F1F"/>
                <w:w w:val="105"/>
                <w:sz w:val="22"/>
              </w:rPr>
              <w:t>2</w:t>
            </w:r>
            <w:r>
              <w:rPr>
                <w:color w:val="231F1F"/>
                <w:spacing w:val="39"/>
                <w:w w:val="105"/>
                <w:sz w:val="22"/>
              </w:rPr>
              <w:t> </w:t>
            </w:r>
            <w:r>
              <w:rPr>
                <w:color w:val="231F1F"/>
                <w:w w:val="105"/>
                <w:sz w:val="22"/>
              </w:rPr>
              <w:t>horas</w:t>
            </w:r>
            <w:r>
              <w:rPr>
                <w:color w:val="231F1F"/>
                <w:spacing w:val="39"/>
                <w:w w:val="105"/>
                <w:sz w:val="22"/>
              </w:rPr>
              <w:t> </w:t>
            </w:r>
            <w:r>
              <w:rPr>
                <w:color w:val="231F1F"/>
                <w:w w:val="105"/>
                <w:sz w:val="22"/>
              </w:rPr>
              <w:t>tanto</w:t>
            </w:r>
            <w:r>
              <w:rPr>
                <w:color w:val="231F1F"/>
                <w:spacing w:val="39"/>
                <w:w w:val="105"/>
                <w:sz w:val="22"/>
              </w:rPr>
              <w:t> </w:t>
            </w:r>
            <w:r>
              <w:rPr>
                <w:color w:val="231F1F"/>
                <w:w w:val="105"/>
                <w:sz w:val="22"/>
              </w:rPr>
              <w:t>si</w:t>
            </w:r>
            <w:r>
              <w:rPr>
                <w:color w:val="231F1F"/>
                <w:spacing w:val="39"/>
                <w:w w:val="105"/>
                <w:sz w:val="22"/>
              </w:rPr>
              <w:t> </w:t>
            </w:r>
            <w:r>
              <w:rPr>
                <w:color w:val="231F1F"/>
                <w:w w:val="105"/>
                <w:sz w:val="22"/>
              </w:rPr>
              <w:t>tienen</w:t>
            </w:r>
            <w:r>
              <w:rPr>
                <w:color w:val="231F1F"/>
                <w:spacing w:val="39"/>
                <w:w w:val="105"/>
                <w:sz w:val="22"/>
              </w:rPr>
              <w:t> </w:t>
            </w:r>
            <w:r>
              <w:rPr>
                <w:color w:val="231F1F"/>
                <w:w w:val="105"/>
                <w:sz w:val="22"/>
              </w:rPr>
              <w:t>como</w:t>
            </w:r>
            <w:r>
              <w:rPr>
                <w:color w:val="231F1F"/>
                <w:spacing w:val="39"/>
                <w:w w:val="105"/>
                <w:sz w:val="22"/>
              </w:rPr>
              <w:t> </w:t>
            </w:r>
            <w:r>
              <w:rPr>
                <w:color w:val="231F1F"/>
                <w:w w:val="105"/>
                <w:sz w:val="22"/>
              </w:rPr>
              <w:t>no</w:t>
            </w:r>
            <w:r>
              <w:rPr>
                <w:color w:val="231F1F"/>
                <w:spacing w:val="39"/>
                <w:w w:val="105"/>
                <w:sz w:val="22"/>
              </w:rPr>
              <w:t> </w:t>
            </w:r>
            <w:r>
              <w:rPr>
                <w:color w:val="231F1F"/>
                <w:w w:val="105"/>
                <w:sz w:val="22"/>
              </w:rPr>
              <w:t>anestesia</w:t>
            </w:r>
            <w:r>
              <w:rPr>
                <w:color w:val="231F1F"/>
                <w:spacing w:val="39"/>
                <w:w w:val="105"/>
                <w:sz w:val="22"/>
              </w:rPr>
              <w:t> </w:t>
            </w:r>
            <w:r>
              <w:rPr>
                <w:color w:val="231F1F"/>
                <w:w w:val="105"/>
                <w:sz w:val="22"/>
              </w:rPr>
              <w:t>epidural.</w:t>
            </w:r>
          </w:p>
        </w:tc>
      </w:tr>
      <w:tr>
        <w:trPr>
          <w:trHeight w:val="628" w:hRule="atLeast"/>
        </w:trPr>
        <w:tc>
          <w:tcPr>
            <w:tcW w:w="571" w:type="dxa"/>
          </w:tcPr>
          <w:p>
            <w:pPr>
              <w:pStyle w:val="TableParagraph"/>
              <w:spacing w:before="168"/>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20"/>
              <w:ind w:left="117" w:right="163"/>
              <w:rPr>
                <w:sz w:val="22"/>
              </w:rPr>
            </w:pPr>
            <w:r>
              <w:rPr>
                <w:color w:val="231F1F"/>
                <w:w w:val="110"/>
                <w:sz w:val="22"/>
              </w:rPr>
              <w:t>La</w:t>
            </w:r>
            <w:r>
              <w:rPr>
                <w:color w:val="231F1F"/>
                <w:spacing w:val="-16"/>
                <w:w w:val="110"/>
                <w:sz w:val="22"/>
              </w:rPr>
              <w:t> </w:t>
            </w:r>
            <w:r>
              <w:rPr>
                <w:color w:val="231F1F"/>
                <w:w w:val="110"/>
                <w:sz w:val="22"/>
              </w:rPr>
              <w:t>duración</w:t>
            </w:r>
            <w:r>
              <w:rPr>
                <w:color w:val="231F1F"/>
                <w:spacing w:val="-15"/>
                <w:w w:val="110"/>
                <w:sz w:val="22"/>
              </w:rPr>
              <w:t> </w:t>
            </w:r>
            <w:r>
              <w:rPr>
                <w:color w:val="231F1F"/>
                <w:w w:val="110"/>
                <w:sz w:val="22"/>
              </w:rPr>
              <w:t>normal</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fase</w:t>
            </w:r>
            <w:r>
              <w:rPr>
                <w:color w:val="231F1F"/>
                <w:spacing w:val="-15"/>
                <w:w w:val="110"/>
                <w:sz w:val="22"/>
              </w:rPr>
              <w:t> </w:t>
            </w:r>
            <w:r>
              <w:rPr>
                <w:color w:val="231F1F"/>
                <w:w w:val="110"/>
                <w:sz w:val="22"/>
              </w:rPr>
              <w:t>pasiva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segunda</w:t>
            </w:r>
            <w:r>
              <w:rPr>
                <w:color w:val="231F1F"/>
                <w:spacing w:val="-15"/>
                <w:w w:val="110"/>
                <w:sz w:val="22"/>
              </w:rPr>
              <w:t> </w:t>
            </w:r>
            <w:r>
              <w:rPr>
                <w:color w:val="231F1F"/>
                <w:w w:val="110"/>
                <w:sz w:val="22"/>
              </w:rPr>
              <w:t>etapa</w:t>
            </w:r>
            <w:r>
              <w:rPr>
                <w:color w:val="231F1F"/>
                <w:spacing w:val="-14"/>
                <w:w w:val="110"/>
                <w:sz w:val="22"/>
              </w:rPr>
              <w:t> </w:t>
            </w:r>
            <w:r>
              <w:rPr>
                <w:color w:val="231F1F"/>
                <w:w w:val="110"/>
                <w:sz w:val="22"/>
              </w:rPr>
              <w:t>del</w:t>
            </w:r>
            <w:r>
              <w:rPr>
                <w:color w:val="231F1F"/>
                <w:spacing w:val="-16"/>
                <w:w w:val="110"/>
                <w:sz w:val="22"/>
              </w:rPr>
              <w:t> </w:t>
            </w:r>
            <w:r>
              <w:rPr>
                <w:color w:val="231F1F"/>
                <w:w w:val="110"/>
                <w:sz w:val="22"/>
              </w:rPr>
              <w:t>parto</w:t>
            </w:r>
            <w:r>
              <w:rPr>
                <w:color w:val="231F1F"/>
                <w:spacing w:val="-14"/>
                <w:w w:val="110"/>
                <w:sz w:val="22"/>
              </w:rPr>
              <w:t> </w:t>
            </w:r>
            <w:r>
              <w:rPr>
                <w:color w:val="231F1F"/>
                <w:w w:val="110"/>
                <w:sz w:val="22"/>
              </w:rPr>
              <w:t>en</w:t>
            </w:r>
            <w:r>
              <w:rPr>
                <w:color w:val="231F1F"/>
                <w:spacing w:val="-15"/>
                <w:w w:val="110"/>
                <w:sz w:val="22"/>
              </w:rPr>
              <w:t> </w:t>
            </w:r>
            <w:r>
              <w:rPr>
                <w:color w:val="231F1F"/>
                <w:w w:val="110"/>
                <w:sz w:val="22"/>
              </w:rPr>
              <w:t>multíparas es de hasta 1 hora si no tienen anestesia epidural y de 2 horas si la tienen.</w:t>
            </w:r>
          </w:p>
        </w:tc>
      </w:tr>
      <w:tr>
        <w:trPr>
          <w:trHeight w:val="633" w:hRule="atLeast"/>
        </w:trPr>
        <w:tc>
          <w:tcPr>
            <w:tcW w:w="571" w:type="dxa"/>
          </w:tcPr>
          <w:p>
            <w:pPr>
              <w:pStyle w:val="TableParagraph"/>
              <w:spacing w:before="168"/>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20"/>
              <w:ind w:left="117"/>
              <w:rPr>
                <w:sz w:val="22"/>
              </w:rPr>
            </w:pPr>
            <w:r>
              <w:rPr>
                <w:color w:val="231F1F"/>
                <w:sz w:val="22"/>
              </w:rPr>
              <w:t>La</w:t>
            </w:r>
            <w:r>
              <w:rPr>
                <w:color w:val="231F1F"/>
                <w:spacing w:val="28"/>
                <w:sz w:val="22"/>
              </w:rPr>
              <w:t> </w:t>
            </w:r>
            <w:r>
              <w:rPr>
                <w:color w:val="231F1F"/>
                <w:sz w:val="22"/>
              </w:rPr>
              <w:t>duración</w:t>
            </w:r>
            <w:r>
              <w:rPr>
                <w:color w:val="231F1F"/>
                <w:spacing w:val="30"/>
                <w:sz w:val="22"/>
              </w:rPr>
              <w:t> </w:t>
            </w:r>
            <w:r>
              <w:rPr>
                <w:color w:val="231F1F"/>
                <w:sz w:val="22"/>
              </w:rPr>
              <w:t>normal</w:t>
            </w:r>
            <w:r>
              <w:rPr>
                <w:color w:val="231F1F"/>
                <w:spacing w:val="28"/>
                <w:sz w:val="22"/>
              </w:rPr>
              <w:t> </w:t>
            </w:r>
            <w:r>
              <w:rPr>
                <w:color w:val="231F1F"/>
                <w:sz w:val="22"/>
              </w:rPr>
              <w:t>de</w:t>
            </w:r>
            <w:r>
              <w:rPr>
                <w:color w:val="231F1F"/>
                <w:spacing w:val="30"/>
                <w:sz w:val="22"/>
              </w:rPr>
              <w:t> </w:t>
            </w:r>
            <w:r>
              <w:rPr>
                <w:color w:val="231F1F"/>
                <w:sz w:val="22"/>
              </w:rPr>
              <w:t>la</w:t>
            </w:r>
            <w:r>
              <w:rPr>
                <w:color w:val="231F1F"/>
                <w:spacing w:val="30"/>
                <w:sz w:val="22"/>
              </w:rPr>
              <w:t> </w:t>
            </w:r>
            <w:r>
              <w:rPr>
                <w:color w:val="231F1F"/>
                <w:sz w:val="22"/>
              </w:rPr>
              <w:t>fase</w:t>
            </w:r>
            <w:r>
              <w:rPr>
                <w:color w:val="231F1F"/>
                <w:spacing w:val="30"/>
                <w:sz w:val="22"/>
              </w:rPr>
              <w:t> </w:t>
            </w:r>
            <w:r>
              <w:rPr>
                <w:color w:val="231F1F"/>
                <w:sz w:val="22"/>
              </w:rPr>
              <w:t>activa</w:t>
            </w:r>
            <w:r>
              <w:rPr>
                <w:color w:val="231F1F"/>
                <w:spacing w:val="30"/>
                <w:sz w:val="22"/>
              </w:rPr>
              <w:t> </w:t>
            </w:r>
            <w:r>
              <w:rPr>
                <w:color w:val="231F1F"/>
                <w:sz w:val="22"/>
              </w:rPr>
              <w:t>de</w:t>
            </w:r>
            <w:r>
              <w:rPr>
                <w:color w:val="231F1F"/>
                <w:spacing w:val="30"/>
                <w:sz w:val="22"/>
              </w:rPr>
              <w:t> </w:t>
            </w:r>
            <w:r>
              <w:rPr>
                <w:color w:val="231F1F"/>
                <w:sz w:val="22"/>
              </w:rPr>
              <w:t>la</w:t>
            </w:r>
            <w:r>
              <w:rPr>
                <w:color w:val="231F1F"/>
                <w:spacing w:val="28"/>
                <w:sz w:val="22"/>
              </w:rPr>
              <w:t> </w:t>
            </w:r>
            <w:r>
              <w:rPr>
                <w:color w:val="231F1F"/>
                <w:sz w:val="22"/>
              </w:rPr>
              <w:t>segunda</w:t>
            </w:r>
            <w:r>
              <w:rPr>
                <w:color w:val="231F1F"/>
                <w:spacing w:val="30"/>
                <w:sz w:val="22"/>
              </w:rPr>
              <w:t> </w:t>
            </w:r>
            <w:r>
              <w:rPr>
                <w:color w:val="231F1F"/>
                <w:sz w:val="22"/>
              </w:rPr>
              <w:t>etapa</w:t>
            </w:r>
            <w:r>
              <w:rPr>
                <w:color w:val="231F1F"/>
                <w:spacing w:val="30"/>
                <w:sz w:val="22"/>
              </w:rPr>
              <w:t> </w:t>
            </w:r>
            <w:r>
              <w:rPr>
                <w:color w:val="231F1F"/>
                <w:sz w:val="22"/>
              </w:rPr>
              <w:t>del</w:t>
            </w:r>
            <w:r>
              <w:rPr>
                <w:color w:val="231F1F"/>
                <w:spacing w:val="28"/>
                <w:sz w:val="22"/>
              </w:rPr>
              <w:t> </w:t>
            </w:r>
            <w:r>
              <w:rPr>
                <w:color w:val="231F1F"/>
                <w:sz w:val="22"/>
              </w:rPr>
              <w:t>parto</w:t>
            </w:r>
            <w:r>
              <w:rPr>
                <w:color w:val="231F1F"/>
                <w:spacing w:val="30"/>
                <w:sz w:val="22"/>
              </w:rPr>
              <w:t> </w:t>
            </w:r>
            <w:r>
              <w:rPr>
                <w:color w:val="231F1F"/>
                <w:sz w:val="22"/>
              </w:rPr>
              <w:t>en</w:t>
            </w:r>
            <w:r>
              <w:rPr>
                <w:color w:val="231F1F"/>
                <w:spacing w:val="30"/>
                <w:sz w:val="22"/>
              </w:rPr>
              <w:t> </w:t>
            </w:r>
            <w:r>
              <w:rPr>
                <w:color w:val="231F1F"/>
                <w:sz w:val="22"/>
              </w:rPr>
              <w:t>nulíparas</w:t>
            </w:r>
            <w:r>
              <w:rPr>
                <w:color w:val="231F1F"/>
                <w:spacing w:val="30"/>
                <w:sz w:val="22"/>
              </w:rPr>
              <w:t> </w:t>
            </w:r>
            <w:r>
              <w:rPr>
                <w:color w:val="231F1F"/>
                <w:sz w:val="22"/>
              </w:rPr>
              <w:t>es </w:t>
            </w:r>
            <w:r>
              <w:rPr>
                <w:color w:val="231F1F"/>
                <w:w w:val="110"/>
                <w:sz w:val="22"/>
              </w:rPr>
              <w:t>de hasta 1 hora si no tienen anestesia epidural y de hasta 2 horas si la tienen.</w:t>
            </w:r>
          </w:p>
        </w:tc>
      </w:tr>
      <w:tr>
        <w:trPr>
          <w:trHeight w:val="628" w:hRule="atLeast"/>
        </w:trPr>
        <w:tc>
          <w:tcPr>
            <w:tcW w:w="571" w:type="dxa"/>
          </w:tcPr>
          <w:p>
            <w:pPr>
              <w:pStyle w:val="TableParagraph"/>
              <w:spacing w:before="168"/>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20"/>
              <w:ind w:left="117" w:right="163"/>
              <w:rPr>
                <w:sz w:val="22"/>
              </w:rPr>
            </w:pPr>
            <w:r>
              <w:rPr>
                <w:color w:val="231F1F"/>
                <w:w w:val="110"/>
                <w:sz w:val="22"/>
              </w:rPr>
              <w:t>La</w:t>
            </w:r>
            <w:r>
              <w:rPr>
                <w:color w:val="231F1F"/>
                <w:spacing w:val="-12"/>
                <w:w w:val="110"/>
                <w:sz w:val="22"/>
              </w:rPr>
              <w:t> </w:t>
            </w:r>
            <w:r>
              <w:rPr>
                <w:color w:val="231F1F"/>
                <w:w w:val="110"/>
                <w:sz w:val="22"/>
              </w:rPr>
              <w:t>duración</w:t>
            </w:r>
            <w:r>
              <w:rPr>
                <w:color w:val="231F1F"/>
                <w:spacing w:val="-12"/>
                <w:w w:val="110"/>
                <w:sz w:val="22"/>
              </w:rPr>
              <w:t> </w:t>
            </w:r>
            <w:r>
              <w:rPr>
                <w:color w:val="231F1F"/>
                <w:w w:val="110"/>
                <w:sz w:val="22"/>
              </w:rPr>
              <w:t>normal</w:t>
            </w:r>
            <w:r>
              <w:rPr>
                <w:color w:val="231F1F"/>
                <w:spacing w:val="-14"/>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fase</w:t>
            </w:r>
            <w:r>
              <w:rPr>
                <w:color w:val="231F1F"/>
                <w:spacing w:val="-12"/>
                <w:w w:val="110"/>
                <w:sz w:val="22"/>
              </w:rPr>
              <w:t> </w:t>
            </w:r>
            <w:r>
              <w:rPr>
                <w:color w:val="231F1F"/>
                <w:w w:val="110"/>
                <w:sz w:val="22"/>
              </w:rPr>
              <w:t>activa</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segunda</w:t>
            </w:r>
            <w:r>
              <w:rPr>
                <w:color w:val="231F1F"/>
                <w:spacing w:val="-12"/>
                <w:w w:val="110"/>
                <w:sz w:val="22"/>
              </w:rPr>
              <w:t> </w:t>
            </w:r>
            <w:r>
              <w:rPr>
                <w:color w:val="231F1F"/>
                <w:w w:val="110"/>
                <w:sz w:val="22"/>
              </w:rPr>
              <w:t>etapa</w:t>
            </w:r>
            <w:r>
              <w:rPr>
                <w:color w:val="231F1F"/>
                <w:spacing w:val="-12"/>
                <w:w w:val="110"/>
                <w:sz w:val="22"/>
              </w:rPr>
              <w:t> </w:t>
            </w:r>
            <w:r>
              <w:rPr>
                <w:color w:val="231F1F"/>
                <w:w w:val="110"/>
                <w:sz w:val="22"/>
              </w:rPr>
              <w:t>del</w:t>
            </w:r>
            <w:r>
              <w:rPr>
                <w:color w:val="231F1F"/>
                <w:spacing w:val="-14"/>
                <w:w w:val="110"/>
                <w:sz w:val="22"/>
              </w:rPr>
              <w:t> </w:t>
            </w:r>
            <w:r>
              <w:rPr>
                <w:color w:val="231F1F"/>
                <w:w w:val="110"/>
                <w:sz w:val="22"/>
              </w:rPr>
              <w:t>parto</w:t>
            </w:r>
            <w:r>
              <w:rPr>
                <w:color w:val="231F1F"/>
                <w:spacing w:val="-12"/>
                <w:w w:val="110"/>
                <w:sz w:val="22"/>
              </w:rPr>
              <w:t> </w:t>
            </w:r>
            <w:r>
              <w:rPr>
                <w:color w:val="231F1F"/>
                <w:w w:val="110"/>
                <w:sz w:val="22"/>
              </w:rPr>
              <w:t>en</w:t>
            </w:r>
            <w:r>
              <w:rPr>
                <w:color w:val="231F1F"/>
                <w:spacing w:val="-12"/>
                <w:w w:val="110"/>
                <w:sz w:val="22"/>
              </w:rPr>
              <w:t> </w:t>
            </w:r>
            <w:r>
              <w:rPr>
                <w:color w:val="231F1F"/>
                <w:w w:val="110"/>
                <w:sz w:val="22"/>
              </w:rPr>
              <w:t>multíparas es de hasta 1 hora tanto si tienen como no anestesia epidural.</w:t>
            </w:r>
          </w:p>
        </w:tc>
      </w:tr>
      <w:tr>
        <w:trPr>
          <w:trHeight w:val="350" w:hRule="atLeast"/>
        </w:trPr>
        <w:tc>
          <w:tcPr>
            <w:tcW w:w="8505" w:type="dxa"/>
            <w:gridSpan w:val="2"/>
          </w:tcPr>
          <w:p>
            <w:pPr>
              <w:pStyle w:val="TableParagraph"/>
              <w:spacing w:before="15"/>
              <w:rPr>
                <w:sz w:val="22"/>
              </w:rPr>
            </w:pPr>
            <w:r>
              <w:rPr>
                <w:color w:val="231F1F"/>
                <w:w w:val="105"/>
                <w:sz w:val="22"/>
              </w:rPr>
              <w:t>6.3.</w:t>
            </w:r>
            <w:r>
              <w:rPr>
                <w:color w:val="231F1F"/>
                <w:spacing w:val="-8"/>
                <w:w w:val="105"/>
                <w:sz w:val="22"/>
              </w:rPr>
              <w:t> </w:t>
            </w:r>
            <w:r>
              <w:rPr>
                <w:color w:val="231F1F"/>
                <w:w w:val="105"/>
                <w:sz w:val="22"/>
              </w:rPr>
              <w:t>Medidas</w:t>
            </w:r>
            <w:r>
              <w:rPr>
                <w:color w:val="231F1F"/>
                <w:spacing w:val="-8"/>
                <w:w w:val="105"/>
                <w:sz w:val="22"/>
              </w:rPr>
              <w:t> </w:t>
            </w:r>
            <w:r>
              <w:rPr>
                <w:color w:val="231F1F"/>
                <w:w w:val="105"/>
                <w:sz w:val="22"/>
              </w:rPr>
              <w:t>de</w:t>
            </w:r>
            <w:r>
              <w:rPr>
                <w:color w:val="231F1F"/>
                <w:spacing w:val="-6"/>
                <w:w w:val="105"/>
                <w:sz w:val="22"/>
              </w:rPr>
              <w:t> </w:t>
            </w:r>
            <w:r>
              <w:rPr>
                <w:color w:val="231F1F"/>
                <w:spacing w:val="-2"/>
                <w:w w:val="105"/>
                <w:sz w:val="22"/>
              </w:rPr>
              <w:t>asepsia</w:t>
            </w:r>
          </w:p>
        </w:tc>
      </w:tr>
      <w:tr>
        <w:trPr>
          <w:trHeight w:val="350" w:hRule="atLeast"/>
        </w:trPr>
        <w:tc>
          <w:tcPr>
            <w:tcW w:w="8505" w:type="dxa"/>
            <w:gridSpan w:val="2"/>
          </w:tcPr>
          <w:p>
            <w:pPr>
              <w:pStyle w:val="TableParagraph"/>
              <w:spacing w:before="20"/>
              <w:rPr>
                <w:i/>
                <w:sz w:val="22"/>
              </w:rPr>
            </w:pPr>
            <w:r>
              <w:rPr>
                <w:i/>
                <w:color w:val="231F1F"/>
                <w:w w:val="105"/>
                <w:sz w:val="22"/>
              </w:rPr>
              <w:t>Higiene</w:t>
            </w:r>
            <w:r>
              <w:rPr>
                <w:i/>
                <w:color w:val="231F1F"/>
                <w:spacing w:val="-15"/>
                <w:w w:val="105"/>
                <w:sz w:val="22"/>
              </w:rPr>
              <w:t> </w:t>
            </w:r>
            <w:r>
              <w:rPr>
                <w:i/>
                <w:color w:val="231F1F"/>
                <w:w w:val="105"/>
                <w:sz w:val="22"/>
              </w:rPr>
              <w:t>de</w:t>
            </w:r>
            <w:r>
              <w:rPr>
                <w:i/>
                <w:color w:val="231F1F"/>
                <w:spacing w:val="-11"/>
                <w:w w:val="105"/>
                <w:sz w:val="22"/>
              </w:rPr>
              <w:t> </w:t>
            </w:r>
            <w:r>
              <w:rPr>
                <w:i/>
                <w:color w:val="231F1F"/>
                <w:spacing w:val="-2"/>
                <w:w w:val="105"/>
                <w:sz w:val="22"/>
              </w:rPr>
              <w:t>manos</w:t>
            </w:r>
          </w:p>
        </w:tc>
      </w:tr>
      <w:tr>
        <w:trPr>
          <w:trHeight w:val="911" w:hRule="atLeast"/>
        </w:trPr>
        <w:tc>
          <w:tcPr>
            <w:tcW w:w="571" w:type="dxa"/>
          </w:tcPr>
          <w:p>
            <w:pPr>
              <w:pStyle w:val="TableParagraph"/>
              <w:spacing w:before="40"/>
              <w:ind w:left="0"/>
              <w:rPr>
                <w:rFonts w:ascii="Arial MT"/>
                <w:sz w:val="22"/>
              </w:rPr>
            </w:pPr>
          </w:p>
          <w:p>
            <w:pPr>
              <w:pStyle w:val="TableParagraph"/>
              <w:ind w:left="46" w:right="6"/>
              <w:jc w:val="center"/>
              <w:rPr>
                <w:sz w:val="22"/>
              </w:rPr>
            </w:pPr>
            <w:r>
              <w:rPr>
                <w:color w:val="231F1F"/>
                <w:spacing w:val="-10"/>
                <w:w w:val="110"/>
                <w:sz w:val="22"/>
              </w:rPr>
              <w:t>B</w:t>
            </w:r>
          </w:p>
        </w:tc>
        <w:tc>
          <w:tcPr>
            <w:tcW w:w="7934" w:type="dxa"/>
          </w:tcPr>
          <w:p>
            <w:pPr>
              <w:pStyle w:val="TableParagraph"/>
              <w:spacing w:line="247" w:lineRule="auto" w:before="25"/>
              <w:ind w:left="116" w:right="88"/>
              <w:jc w:val="both"/>
              <w:rPr>
                <w:sz w:val="22"/>
              </w:rPr>
            </w:pPr>
            <w:r>
              <w:rPr>
                <w:color w:val="231F1F"/>
                <w:w w:val="105"/>
                <w:sz w:val="22"/>
              </w:rPr>
              <w:t>Las</w:t>
            </w:r>
            <w:r>
              <w:rPr>
                <w:color w:val="231F1F"/>
                <w:w w:val="105"/>
                <w:sz w:val="22"/>
              </w:rPr>
              <w:t> manos</w:t>
            </w:r>
            <w:r>
              <w:rPr>
                <w:color w:val="231F1F"/>
                <w:w w:val="105"/>
                <w:sz w:val="22"/>
              </w:rPr>
              <w:t> deben</w:t>
            </w:r>
            <w:r>
              <w:rPr>
                <w:color w:val="231F1F"/>
                <w:w w:val="105"/>
                <w:sz w:val="22"/>
              </w:rPr>
              <w:t> lavarse</w:t>
            </w:r>
            <w:r>
              <w:rPr>
                <w:color w:val="231F1F"/>
                <w:w w:val="105"/>
                <w:sz w:val="22"/>
              </w:rPr>
              <w:t> inmediatamente</w:t>
            </w:r>
            <w:r>
              <w:rPr>
                <w:color w:val="231F1F"/>
                <w:w w:val="105"/>
                <w:sz w:val="22"/>
              </w:rPr>
              <w:t> antes</w:t>
            </w:r>
            <w:r>
              <w:rPr>
                <w:color w:val="231F1F"/>
                <w:w w:val="105"/>
                <w:sz w:val="22"/>
              </w:rPr>
              <w:t> de</w:t>
            </w:r>
            <w:r>
              <w:rPr>
                <w:color w:val="231F1F"/>
                <w:w w:val="105"/>
                <w:sz w:val="22"/>
              </w:rPr>
              <w:t> cada</w:t>
            </w:r>
            <w:r>
              <w:rPr>
                <w:color w:val="231F1F"/>
                <w:w w:val="105"/>
                <w:sz w:val="22"/>
              </w:rPr>
              <w:t> episodio</w:t>
            </w:r>
            <w:r>
              <w:rPr>
                <w:color w:val="231F1F"/>
                <w:w w:val="105"/>
                <w:sz w:val="22"/>
              </w:rPr>
              <w:t> de</w:t>
            </w:r>
            <w:r>
              <w:rPr>
                <w:color w:val="231F1F"/>
                <w:w w:val="105"/>
                <w:sz w:val="22"/>
              </w:rPr>
              <w:t> contacto</w:t>
            </w:r>
            <w:r>
              <w:rPr>
                <w:color w:val="231F1F"/>
                <w:w w:val="105"/>
                <w:sz w:val="22"/>
              </w:rPr>
              <w:t> di- recto con la mujer y después de cualquier actividad o contacto que pudiera resultar en una potencial contaminación de las manos.</w:t>
            </w:r>
          </w:p>
        </w:tc>
      </w:tr>
      <w:tr>
        <w:trPr>
          <w:trHeight w:val="628" w:hRule="atLeast"/>
        </w:trPr>
        <w:tc>
          <w:tcPr>
            <w:tcW w:w="571" w:type="dxa"/>
          </w:tcPr>
          <w:p>
            <w:pPr>
              <w:pStyle w:val="TableParagraph"/>
              <w:spacing w:before="154"/>
              <w:ind w:left="46" w:right="8"/>
              <w:jc w:val="center"/>
              <w:rPr>
                <w:sz w:val="22"/>
              </w:rPr>
            </w:pPr>
            <w:r>
              <w:rPr>
                <w:color w:val="231F1F"/>
                <w:spacing w:val="-10"/>
                <w:w w:val="115"/>
                <w:sz w:val="22"/>
              </w:rPr>
              <w:t>A</w:t>
            </w:r>
          </w:p>
        </w:tc>
        <w:tc>
          <w:tcPr>
            <w:tcW w:w="7934" w:type="dxa"/>
          </w:tcPr>
          <w:p>
            <w:pPr>
              <w:pStyle w:val="TableParagraph"/>
              <w:spacing w:before="29"/>
              <w:ind w:left="117" w:right="307"/>
              <w:rPr>
                <w:sz w:val="22"/>
              </w:rPr>
            </w:pPr>
            <w:r>
              <w:rPr>
                <w:color w:val="231F1F"/>
                <w:spacing w:val="-2"/>
                <w:w w:val="105"/>
                <w:sz w:val="22"/>
              </w:rPr>
              <w:t>La</w:t>
            </w:r>
            <w:r>
              <w:rPr>
                <w:color w:val="231F1F"/>
                <w:spacing w:val="7"/>
                <w:w w:val="105"/>
                <w:sz w:val="22"/>
              </w:rPr>
              <w:t> </w:t>
            </w:r>
            <w:r>
              <w:rPr>
                <w:color w:val="231F1F"/>
                <w:spacing w:val="-2"/>
                <w:w w:val="105"/>
                <w:sz w:val="22"/>
              </w:rPr>
              <w:t>manos</w:t>
            </w:r>
            <w:r>
              <w:rPr>
                <w:color w:val="231F1F"/>
                <w:spacing w:val="9"/>
                <w:w w:val="105"/>
                <w:sz w:val="22"/>
              </w:rPr>
              <w:t> </w:t>
            </w:r>
            <w:r>
              <w:rPr>
                <w:color w:val="231F1F"/>
                <w:spacing w:val="-2"/>
                <w:w w:val="105"/>
                <w:sz w:val="22"/>
              </w:rPr>
              <w:t>visiblemente</w:t>
            </w:r>
            <w:r>
              <w:rPr>
                <w:color w:val="231F1F"/>
                <w:spacing w:val="9"/>
                <w:w w:val="105"/>
                <w:sz w:val="22"/>
              </w:rPr>
              <w:t> </w:t>
            </w:r>
            <w:r>
              <w:rPr>
                <w:color w:val="231F1F"/>
                <w:spacing w:val="-2"/>
                <w:w w:val="105"/>
                <w:sz w:val="22"/>
              </w:rPr>
              <w:t>sucias</w:t>
            </w:r>
            <w:r>
              <w:rPr>
                <w:color w:val="231F1F"/>
                <w:spacing w:val="8"/>
                <w:w w:val="105"/>
                <w:sz w:val="22"/>
              </w:rPr>
              <w:t> </w:t>
            </w:r>
            <w:r>
              <w:rPr>
                <w:color w:val="231F1F"/>
                <w:spacing w:val="-2"/>
                <w:w w:val="105"/>
                <w:sz w:val="22"/>
              </w:rPr>
              <w:t>o</w:t>
            </w:r>
            <w:r>
              <w:rPr>
                <w:color w:val="231F1F"/>
                <w:spacing w:val="9"/>
                <w:w w:val="105"/>
                <w:sz w:val="22"/>
              </w:rPr>
              <w:t> </w:t>
            </w:r>
            <w:r>
              <w:rPr>
                <w:color w:val="231F1F"/>
                <w:spacing w:val="-2"/>
                <w:w w:val="105"/>
                <w:sz w:val="22"/>
              </w:rPr>
              <w:t>potencialmente</w:t>
            </w:r>
            <w:r>
              <w:rPr>
                <w:color w:val="231F1F"/>
                <w:spacing w:val="8"/>
                <w:w w:val="105"/>
                <w:sz w:val="22"/>
              </w:rPr>
              <w:t> </w:t>
            </w:r>
            <w:r>
              <w:rPr>
                <w:color w:val="231F1F"/>
                <w:spacing w:val="-2"/>
                <w:w w:val="105"/>
                <w:sz w:val="22"/>
              </w:rPr>
              <w:t>muy</w:t>
            </w:r>
            <w:r>
              <w:rPr>
                <w:color w:val="231F1F"/>
                <w:spacing w:val="9"/>
                <w:w w:val="105"/>
                <w:sz w:val="22"/>
              </w:rPr>
              <w:t> </w:t>
            </w:r>
            <w:r>
              <w:rPr>
                <w:color w:val="231F1F"/>
                <w:spacing w:val="-2"/>
                <w:w w:val="105"/>
                <w:sz w:val="22"/>
              </w:rPr>
              <w:t>contaminadas</w:t>
            </w:r>
            <w:r>
              <w:rPr>
                <w:color w:val="231F1F"/>
                <w:spacing w:val="9"/>
                <w:w w:val="105"/>
                <w:sz w:val="22"/>
              </w:rPr>
              <w:t> </w:t>
            </w:r>
            <w:r>
              <w:rPr>
                <w:color w:val="231F1F"/>
                <w:spacing w:val="-2"/>
                <w:w w:val="105"/>
                <w:sz w:val="22"/>
              </w:rPr>
              <w:t>con</w:t>
            </w:r>
            <w:r>
              <w:rPr>
                <w:color w:val="231F1F"/>
                <w:spacing w:val="8"/>
                <w:w w:val="105"/>
                <w:sz w:val="22"/>
              </w:rPr>
              <w:t> </w:t>
            </w:r>
            <w:r>
              <w:rPr>
                <w:color w:val="231F1F"/>
                <w:spacing w:val="-2"/>
                <w:w w:val="105"/>
                <w:sz w:val="22"/>
              </w:rPr>
              <w:t>suciedad </w:t>
            </w:r>
            <w:r>
              <w:rPr>
                <w:color w:val="231F1F"/>
                <w:w w:val="105"/>
                <w:sz w:val="22"/>
              </w:rPr>
              <w:t>o</w:t>
            </w:r>
            <w:r>
              <w:rPr>
                <w:color w:val="231F1F"/>
                <w:spacing w:val="40"/>
                <w:w w:val="105"/>
                <w:sz w:val="22"/>
              </w:rPr>
              <w:t> </w:t>
            </w:r>
            <w:r>
              <w:rPr>
                <w:color w:val="231F1F"/>
                <w:w w:val="105"/>
                <w:sz w:val="22"/>
              </w:rPr>
              <w:t>materia</w:t>
            </w:r>
            <w:r>
              <w:rPr>
                <w:color w:val="231F1F"/>
                <w:spacing w:val="40"/>
                <w:w w:val="105"/>
                <w:sz w:val="22"/>
              </w:rPr>
              <w:t> </w:t>
            </w:r>
            <w:r>
              <w:rPr>
                <w:color w:val="231F1F"/>
                <w:w w:val="105"/>
                <w:sz w:val="22"/>
              </w:rPr>
              <w:t>orgánica,</w:t>
            </w:r>
            <w:r>
              <w:rPr>
                <w:color w:val="231F1F"/>
                <w:spacing w:val="39"/>
                <w:w w:val="105"/>
                <w:sz w:val="22"/>
              </w:rPr>
              <w:t> </w:t>
            </w:r>
            <w:r>
              <w:rPr>
                <w:color w:val="231F1F"/>
                <w:w w:val="105"/>
                <w:sz w:val="22"/>
              </w:rPr>
              <w:t>deberán</w:t>
            </w:r>
            <w:r>
              <w:rPr>
                <w:color w:val="231F1F"/>
                <w:spacing w:val="40"/>
                <w:w w:val="105"/>
                <w:sz w:val="22"/>
              </w:rPr>
              <w:t> </w:t>
            </w:r>
            <w:r>
              <w:rPr>
                <w:color w:val="231F1F"/>
                <w:w w:val="105"/>
                <w:sz w:val="22"/>
              </w:rPr>
              <w:t>ser</w:t>
            </w:r>
            <w:r>
              <w:rPr>
                <w:color w:val="231F1F"/>
                <w:spacing w:val="40"/>
                <w:w w:val="105"/>
                <w:sz w:val="22"/>
              </w:rPr>
              <w:t> </w:t>
            </w:r>
            <w:r>
              <w:rPr>
                <w:color w:val="231F1F"/>
                <w:w w:val="105"/>
                <w:sz w:val="22"/>
              </w:rPr>
              <w:t>lavadas</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jabón</w:t>
            </w:r>
            <w:r>
              <w:rPr>
                <w:color w:val="231F1F"/>
                <w:spacing w:val="40"/>
                <w:w w:val="105"/>
                <w:sz w:val="22"/>
              </w:rPr>
              <w:t> </w:t>
            </w:r>
            <w:r>
              <w:rPr>
                <w:color w:val="231F1F"/>
                <w:w w:val="105"/>
                <w:sz w:val="22"/>
              </w:rPr>
              <w:t>líquido</w:t>
            </w:r>
            <w:r>
              <w:rPr>
                <w:color w:val="231F1F"/>
                <w:spacing w:val="40"/>
                <w:w w:val="105"/>
                <w:sz w:val="22"/>
              </w:rPr>
              <w:t> </w:t>
            </w:r>
            <w:r>
              <w:rPr>
                <w:color w:val="231F1F"/>
                <w:w w:val="105"/>
                <w:sz w:val="22"/>
              </w:rPr>
              <w:t>y</w:t>
            </w:r>
            <w:r>
              <w:rPr>
                <w:color w:val="231F1F"/>
                <w:spacing w:val="40"/>
                <w:w w:val="105"/>
                <w:sz w:val="22"/>
              </w:rPr>
              <w:t> </w:t>
            </w:r>
            <w:r>
              <w:rPr>
                <w:color w:val="231F1F"/>
                <w:w w:val="105"/>
                <w:sz w:val="22"/>
              </w:rPr>
              <w:t>agua.</w:t>
            </w:r>
          </w:p>
        </w:tc>
      </w:tr>
      <w:tr>
        <w:trPr>
          <w:trHeight w:val="911" w:hRule="atLeast"/>
        </w:trPr>
        <w:tc>
          <w:tcPr>
            <w:tcW w:w="571" w:type="dxa"/>
          </w:tcPr>
          <w:p>
            <w:pPr>
              <w:pStyle w:val="TableParagraph"/>
              <w:spacing w:before="45"/>
              <w:ind w:left="0"/>
              <w:rPr>
                <w:rFonts w:ascii="Arial MT"/>
                <w:sz w:val="22"/>
              </w:rPr>
            </w:pPr>
          </w:p>
          <w:p>
            <w:pPr>
              <w:pStyle w:val="TableParagraph"/>
              <w:ind w:left="46" w:right="8"/>
              <w:jc w:val="center"/>
              <w:rPr>
                <w:sz w:val="22"/>
              </w:rPr>
            </w:pPr>
            <w:r>
              <w:rPr>
                <w:color w:val="231F1F"/>
                <w:spacing w:val="-10"/>
                <w:w w:val="115"/>
                <w:sz w:val="22"/>
              </w:rPr>
              <w:t>A</w:t>
            </w:r>
          </w:p>
        </w:tc>
        <w:tc>
          <w:tcPr>
            <w:tcW w:w="7934" w:type="dxa"/>
          </w:tcPr>
          <w:p>
            <w:pPr>
              <w:pStyle w:val="TableParagraph"/>
              <w:spacing w:line="244" w:lineRule="auto" w:before="20"/>
              <w:ind w:left="117" w:right="88"/>
              <w:jc w:val="both"/>
              <w:rPr>
                <w:sz w:val="22"/>
              </w:rPr>
            </w:pPr>
            <w:r>
              <w:rPr>
                <w:color w:val="231F1F"/>
                <w:w w:val="110"/>
                <w:sz w:val="22"/>
              </w:rPr>
              <w:t>A</w:t>
            </w:r>
            <w:r>
              <w:rPr>
                <w:color w:val="231F1F"/>
                <w:spacing w:val="-12"/>
                <w:w w:val="110"/>
                <w:sz w:val="22"/>
              </w:rPr>
              <w:t> </w:t>
            </w:r>
            <w:r>
              <w:rPr>
                <w:color w:val="231F1F"/>
                <w:w w:val="110"/>
                <w:sz w:val="22"/>
              </w:rPr>
              <w:t>menos</w:t>
            </w:r>
            <w:r>
              <w:rPr>
                <w:color w:val="231F1F"/>
                <w:spacing w:val="-13"/>
                <w:w w:val="110"/>
                <w:sz w:val="22"/>
              </w:rPr>
              <w:t> </w:t>
            </w:r>
            <w:r>
              <w:rPr>
                <w:color w:val="231F1F"/>
                <w:w w:val="110"/>
                <w:sz w:val="22"/>
              </w:rPr>
              <w:t>que</w:t>
            </w:r>
            <w:r>
              <w:rPr>
                <w:color w:val="231F1F"/>
                <w:spacing w:val="-13"/>
                <w:w w:val="110"/>
                <w:sz w:val="22"/>
              </w:rPr>
              <w:t> </w:t>
            </w:r>
            <w:r>
              <w:rPr>
                <w:color w:val="231F1F"/>
                <w:w w:val="110"/>
                <w:sz w:val="22"/>
              </w:rPr>
              <w:t>estén</w:t>
            </w:r>
            <w:r>
              <w:rPr>
                <w:color w:val="231F1F"/>
                <w:spacing w:val="-12"/>
                <w:w w:val="110"/>
                <w:sz w:val="22"/>
              </w:rPr>
              <w:t> </w:t>
            </w:r>
            <w:r>
              <w:rPr>
                <w:color w:val="231F1F"/>
                <w:w w:val="110"/>
                <w:sz w:val="22"/>
              </w:rPr>
              <w:t>visiblemente</w:t>
            </w:r>
            <w:r>
              <w:rPr>
                <w:color w:val="231F1F"/>
                <w:spacing w:val="-13"/>
                <w:w w:val="110"/>
                <w:sz w:val="22"/>
              </w:rPr>
              <w:t> </w:t>
            </w:r>
            <w:r>
              <w:rPr>
                <w:color w:val="231F1F"/>
                <w:w w:val="110"/>
                <w:sz w:val="22"/>
              </w:rPr>
              <w:t>sucias,</w:t>
            </w:r>
            <w:r>
              <w:rPr>
                <w:color w:val="231F1F"/>
                <w:spacing w:val="-13"/>
                <w:w w:val="110"/>
                <w:sz w:val="22"/>
              </w:rPr>
              <w:t> </w:t>
            </w:r>
            <w:r>
              <w:rPr>
                <w:color w:val="231F1F"/>
                <w:w w:val="110"/>
                <w:sz w:val="22"/>
              </w:rPr>
              <w:t>las</w:t>
            </w:r>
            <w:r>
              <w:rPr>
                <w:color w:val="231F1F"/>
                <w:spacing w:val="-13"/>
                <w:w w:val="110"/>
                <w:sz w:val="22"/>
              </w:rPr>
              <w:t> </w:t>
            </w:r>
            <w:r>
              <w:rPr>
                <w:color w:val="231F1F"/>
                <w:w w:val="110"/>
                <w:sz w:val="22"/>
              </w:rPr>
              <w:t>manos</w:t>
            </w:r>
            <w:r>
              <w:rPr>
                <w:color w:val="231F1F"/>
                <w:spacing w:val="-13"/>
                <w:w w:val="110"/>
                <w:sz w:val="22"/>
              </w:rPr>
              <w:t> </w:t>
            </w:r>
            <w:r>
              <w:rPr>
                <w:color w:val="231F1F"/>
                <w:w w:val="110"/>
                <w:sz w:val="22"/>
              </w:rPr>
              <w:t>podrán</w:t>
            </w:r>
            <w:r>
              <w:rPr>
                <w:color w:val="231F1F"/>
                <w:spacing w:val="-13"/>
                <w:w w:val="110"/>
                <w:sz w:val="22"/>
              </w:rPr>
              <w:t> </w:t>
            </w:r>
            <w:r>
              <w:rPr>
                <w:color w:val="231F1F"/>
                <w:w w:val="110"/>
                <w:sz w:val="22"/>
              </w:rPr>
              <w:t>ser</w:t>
            </w:r>
            <w:r>
              <w:rPr>
                <w:color w:val="231F1F"/>
                <w:spacing w:val="-13"/>
                <w:w w:val="110"/>
                <w:sz w:val="22"/>
              </w:rPr>
              <w:t> </w:t>
            </w:r>
            <w:r>
              <w:rPr>
                <w:color w:val="231F1F"/>
                <w:w w:val="110"/>
                <w:sz w:val="22"/>
              </w:rPr>
              <w:t>lavadas</w:t>
            </w:r>
            <w:r>
              <w:rPr>
                <w:color w:val="231F1F"/>
                <w:spacing w:val="-12"/>
                <w:w w:val="110"/>
                <w:sz w:val="22"/>
              </w:rPr>
              <w:t> </w:t>
            </w:r>
            <w:r>
              <w:rPr>
                <w:color w:val="231F1F"/>
                <w:w w:val="110"/>
                <w:sz w:val="22"/>
              </w:rPr>
              <w:t>preferible- mente</w:t>
            </w:r>
            <w:r>
              <w:rPr>
                <w:color w:val="231F1F"/>
                <w:spacing w:val="-14"/>
                <w:w w:val="110"/>
                <w:sz w:val="22"/>
              </w:rPr>
              <w:t> </w:t>
            </w:r>
            <w:r>
              <w:rPr>
                <w:color w:val="231F1F"/>
                <w:w w:val="110"/>
                <w:sz w:val="22"/>
              </w:rPr>
              <w:t>mediante</w:t>
            </w:r>
            <w:r>
              <w:rPr>
                <w:color w:val="231F1F"/>
                <w:spacing w:val="-14"/>
                <w:w w:val="110"/>
                <w:sz w:val="22"/>
              </w:rPr>
              <w:t> </w:t>
            </w:r>
            <w:r>
              <w:rPr>
                <w:color w:val="231F1F"/>
                <w:w w:val="110"/>
                <w:sz w:val="22"/>
              </w:rPr>
              <w:t>fricción</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una</w:t>
            </w:r>
            <w:r>
              <w:rPr>
                <w:color w:val="231F1F"/>
                <w:spacing w:val="-14"/>
                <w:w w:val="110"/>
                <w:sz w:val="22"/>
              </w:rPr>
              <w:t> </w:t>
            </w:r>
            <w:r>
              <w:rPr>
                <w:color w:val="231F1F"/>
                <w:w w:val="110"/>
                <w:sz w:val="22"/>
              </w:rPr>
              <w:t>solución</w:t>
            </w:r>
            <w:r>
              <w:rPr>
                <w:color w:val="231F1F"/>
                <w:spacing w:val="-14"/>
                <w:w w:val="110"/>
                <w:sz w:val="22"/>
              </w:rPr>
              <w:t> </w:t>
            </w:r>
            <w:r>
              <w:rPr>
                <w:color w:val="231F1F"/>
                <w:w w:val="110"/>
                <w:sz w:val="22"/>
              </w:rPr>
              <w:t>alcohólica,</w:t>
            </w:r>
            <w:r>
              <w:rPr>
                <w:color w:val="231F1F"/>
                <w:spacing w:val="-14"/>
                <w:w w:val="110"/>
                <w:sz w:val="22"/>
              </w:rPr>
              <w:t> </w:t>
            </w:r>
            <w:r>
              <w:rPr>
                <w:color w:val="231F1F"/>
                <w:w w:val="110"/>
                <w:sz w:val="22"/>
              </w:rPr>
              <w:t>entre</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atención</w:t>
            </w:r>
            <w:r>
              <w:rPr>
                <w:color w:val="231F1F"/>
                <w:spacing w:val="-14"/>
                <w:w w:val="110"/>
                <w:sz w:val="22"/>
              </w:rPr>
              <w:t> </w:t>
            </w:r>
            <w:r>
              <w:rPr>
                <w:color w:val="231F1F"/>
                <w:w w:val="110"/>
                <w:sz w:val="22"/>
              </w:rPr>
              <w:t>a</w:t>
            </w:r>
            <w:r>
              <w:rPr>
                <w:color w:val="231F1F"/>
                <w:spacing w:val="-14"/>
                <w:w w:val="110"/>
                <w:sz w:val="22"/>
              </w:rPr>
              <w:t> </w:t>
            </w:r>
            <w:r>
              <w:rPr>
                <w:color w:val="231F1F"/>
                <w:w w:val="110"/>
                <w:sz w:val="22"/>
              </w:rPr>
              <w:t>mujeres diferentes o entre diferentes actividades de cuidado a una misma persona.</w:t>
            </w:r>
          </w:p>
        </w:tc>
      </w:tr>
      <w:tr>
        <w:trPr>
          <w:trHeight w:val="350" w:hRule="atLeast"/>
        </w:trPr>
        <w:tc>
          <w:tcPr>
            <w:tcW w:w="8505" w:type="dxa"/>
            <w:gridSpan w:val="2"/>
          </w:tcPr>
          <w:p>
            <w:pPr>
              <w:pStyle w:val="TableParagraph"/>
              <w:spacing w:before="15"/>
              <w:rPr>
                <w:i/>
                <w:sz w:val="22"/>
              </w:rPr>
            </w:pPr>
            <w:r>
              <w:rPr>
                <w:i/>
                <w:color w:val="231F1F"/>
                <w:spacing w:val="-2"/>
                <w:w w:val="105"/>
                <w:sz w:val="22"/>
              </w:rPr>
              <w:t>Vestimenta</w:t>
            </w:r>
          </w:p>
        </w:tc>
      </w:tr>
      <w:tr>
        <w:trPr>
          <w:trHeight w:val="1190" w:hRule="atLeast"/>
        </w:trPr>
        <w:tc>
          <w:tcPr>
            <w:tcW w:w="571" w:type="dxa"/>
          </w:tcPr>
          <w:p>
            <w:pPr>
              <w:pStyle w:val="TableParagraph"/>
              <w:spacing w:before="184"/>
              <w:ind w:left="0"/>
              <w:rPr>
                <w:rFonts w:ascii="Arial MT"/>
                <w:sz w:val="22"/>
              </w:rPr>
            </w:pPr>
          </w:p>
          <w:p>
            <w:pPr>
              <w:pStyle w:val="TableParagraph"/>
              <w:ind w:left="46" w:right="8"/>
              <w:jc w:val="center"/>
              <w:rPr>
                <w:sz w:val="22"/>
              </w:rPr>
            </w:pPr>
            <w:r>
              <w:rPr>
                <w:color w:val="231F1F"/>
                <w:spacing w:val="-10"/>
                <w:w w:val="115"/>
                <w:sz w:val="22"/>
              </w:rPr>
              <w:t>D</w:t>
            </w:r>
          </w:p>
        </w:tc>
        <w:tc>
          <w:tcPr>
            <w:tcW w:w="7934" w:type="dxa"/>
          </w:tcPr>
          <w:p>
            <w:pPr>
              <w:pStyle w:val="TableParagraph"/>
              <w:spacing w:line="244" w:lineRule="auto" w:before="20"/>
              <w:ind w:left="116" w:right="82"/>
              <w:jc w:val="both"/>
              <w:rPr>
                <w:sz w:val="22"/>
              </w:rPr>
            </w:pPr>
            <w:r>
              <w:rPr>
                <w:color w:val="231F1F"/>
                <w:w w:val="105"/>
                <w:sz w:val="22"/>
              </w:rPr>
              <w:t>La</w:t>
            </w:r>
            <w:r>
              <w:rPr>
                <w:color w:val="231F1F"/>
                <w:w w:val="105"/>
                <w:sz w:val="22"/>
              </w:rPr>
              <w:t> selección</w:t>
            </w:r>
            <w:r>
              <w:rPr>
                <w:color w:val="231F1F"/>
                <w:w w:val="105"/>
                <w:sz w:val="22"/>
              </w:rPr>
              <w:t> del equipo</w:t>
            </w:r>
            <w:r>
              <w:rPr>
                <w:color w:val="231F1F"/>
                <w:w w:val="105"/>
                <w:sz w:val="22"/>
              </w:rPr>
              <w:t> de</w:t>
            </w:r>
            <w:r>
              <w:rPr>
                <w:color w:val="231F1F"/>
                <w:w w:val="105"/>
                <w:sz w:val="22"/>
              </w:rPr>
              <w:t> protección</w:t>
            </w:r>
            <w:r>
              <w:rPr>
                <w:color w:val="231F1F"/>
                <w:w w:val="105"/>
                <w:sz w:val="22"/>
              </w:rPr>
              <w:t> deberá</w:t>
            </w:r>
            <w:r>
              <w:rPr>
                <w:color w:val="231F1F"/>
                <w:w w:val="105"/>
                <w:sz w:val="22"/>
              </w:rPr>
              <w:t> basarse</w:t>
            </w:r>
            <w:r>
              <w:rPr>
                <w:color w:val="231F1F"/>
                <w:w w:val="105"/>
                <w:sz w:val="22"/>
              </w:rPr>
              <w:t> en</w:t>
            </w:r>
            <w:r>
              <w:rPr>
                <w:color w:val="231F1F"/>
                <w:w w:val="105"/>
                <w:sz w:val="22"/>
              </w:rPr>
              <w:t> la</w:t>
            </w:r>
            <w:r>
              <w:rPr>
                <w:color w:val="231F1F"/>
                <w:w w:val="105"/>
                <w:sz w:val="22"/>
              </w:rPr>
              <w:t> evaluación</w:t>
            </w:r>
            <w:r>
              <w:rPr>
                <w:color w:val="231F1F"/>
                <w:w w:val="105"/>
                <w:sz w:val="22"/>
              </w:rPr>
              <w:t> del riesgo</w:t>
            </w:r>
            <w:r>
              <w:rPr>
                <w:color w:val="231F1F"/>
                <w:spacing w:val="80"/>
                <w:w w:val="105"/>
                <w:sz w:val="22"/>
              </w:rPr>
              <w:t> </w:t>
            </w:r>
            <w:r>
              <w:rPr>
                <w:color w:val="231F1F"/>
                <w:w w:val="105"/>
                <w:sz w:val="22"/>
              </w:rPr>
              <w:t>de transmisión de microorganismos a la mujer y del riesgo de contaminación de la vestimenta de los profesionales sanitarios y de la piel por la sangre, fluidos corpo- rales y excreciones o secreciones.</w:t>
            </w:r>
          </w:p>
        </w:tc>
      </w:tr>
      <w:tr>
        <w:trPr>
          <w:trHeight w:val="1194" w:hRule="atLeast"/>
        </w:trPr>
        <w:tc>
          <w:tcPr>
            <w:tcW w:w="571" w:type="dxa"/>
          </w:tcPr>
          <w:p>
            <w:pPr>
              <w:pStyle w:val="TableParagraph"/>
              <w:spacing w:before="202"/>
              <w:ind w:left="0"/>
              <w:rPr>
                <w:rFonts w:ascii="Arial MT"/>
                <w:sz w:val="22"/>
              </w:rPr>
            </w:pPr>
          </w:p>
          <w:p>
            <w:pPr>
              <w:pStyle w:val="TableParagraph"/>
              <w:spacing w:before="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9" w:lineRule="auto" w:before="25"/>
              <w:ind w:left="116" w:right="81"/>
              <w:jc w:val="both"/>
              <w:rPr>
                <w:sz w:val="22"/>
              </w:rPr>
            </w:pPr>
            <w:r>
              <w:rPr>
                <w:color w:val="231F1F"/>
                <w:w w:val="110"/>
                <w:sz w:val="22"/>
              </w:rPr>
              <w:t>Se</w:t>
            </w:r>
            <w:r>
              <w:rPr>
                <w:color w:val="231F1F"/>
                <w:w w:val="110"/>
                <w:sz w:val="22"/>
              </w:rPr>
              <w:t> recomienda</w:t>
            </w:r>
            <w:r>
              <w:rPr>
                <w:color w:val="231F1F"/>
                <w:w w:val="110"/>
                <w:sz w:val="22"/>
              </w:rPr>
              <w:t> la</w:t>
            </w:r>
            <w:r>
              <w:rPr>
                <w:color w:val="231F1F"/>
                <w:w w:val="110"/>
                <w:sz w:val="22"/>
              </w:rPr>
              <w:t> utilización</w:t>
            </w:r>
            <w:r>
              <w:rPr>
                <w:color w:val="231F1F"/>
                <w:w w:val="110"/>
                <w:sz w:val="22"/>
              </w:rPr>
              <w:t> de</w:t>
            </w:r>
            <w:r>
              <w:rPr>
                <w:color w:val="231F1F"/>
                <w:w w:val="110"/>
                <w:sz w:val="22"/>
              </w:rPr>
              <w:t> trajes</w:t>
            </w:r>
            <w:r>
              <w:rPr>
                <w:color w:val="231F1F"/>
                <w:w w:val="110"/>
                <w:sz w:val="22"/>
              </w:rPr>
              <w:t> impermeables</w:t>
            </w:r>
            <w:r>
              <w:rPr>
                <w:color w:val="231F1F"/>
                <w:w w:val="110"/>
                <w:sz w:val="22"/>
              </w:rPr>
              <w:t> de</w:t>
            </w:r>
            <w:r>
              <w:rPr>
                <w:color w:val="231F1F"/>
                <w:w w:val="110"/>
                <w:sz w:val="22"/>
              </w:rPr>
              <w:t> cuerpo</w:t>
            </w:r>
            <w:r>
              <w:rPr>
                <w:color w:val="231F1F"/>
                <w:w w:val="110"/>
                <w:sz w:val="22"/>
              </w:rPr>
              <w:t> entero</w:t>
            </w:r>
            <w:r>
              <w:rPr>
                <w:color w:val="231F1F"/>
                <w:w w:val="110"/>
                <w:sz w:val="22"/>
              </w:rPr>
              <w:t> cuando </w:t>
            </w:r>
            <w:r>
              <w:rPr>
                <w:color w:val="231F1F"/>
                <w:spacing w:val="-2"/>
                <w:w w:val="110"/>
                <w:sz w:val="22"/>
              </w:rPr>
              <w:t>exista</w:t>
            </w:r>
            <w:r>
              <w:rPr>
                <w:color w:val="231F1F"/>
                <w:spacing w:val="-7"/>
                <w:w w:val="110"/>
                <w:sz w:val="22"/>
              </w:rPr>
              <w:t> </w:t>
            </w:r>
            <w:r>
              <w:rPr>
                <w:color w:val="231F1F"/>
                <w:spacing w:val="-2"/>
                <w:w w:val="110"/>
                <w:sz w:val="22"/>
              </w:rPr>
              <w:t>riesgo</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salpicaduras</w:t>
            </w:r>
            <w:r>
              <w:rPr>
                <w:color w:val="231F1F"/>
                <w:spacing w:val="-7"/>
                <w:w w:val="110"/>
                <w:sz w:val="22"/>
              </w:rPr>
              <w:t> </w:t>
            </w:r>
            <w:r>
              <w:rPr>
                <w:color w:val="231F1F"/>
                <w:spacing w:val="-2"/>
                <w:w w:val="110"/>
                <w:sz w:val="22"/>
              </w:rPr>
              <w:t>frecuentes</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sangre,</w:t>
            </w:r>
            <w:r>
              <w:rPr>
                <w:color w:val="231F1F"/>
                <w:spacing w:val="-8"/>
                <w:w w:val="110"/>
                <w:sz w:val="22"/>
              </w:rPr>
              <w:t> </w:t>
            </w:r>
            <w:r>
              <w:rPr>
                <w:color w:val="231F1F"/>
                <w:spacing w:val="-2"/>
                <w:w w:val="110"/>
                <w:sz w:val="22"/>
              </w:rPr>
              <w:t>fluidos</w:t>
            </w:r>
            <w:r>
              <w:rPr>
                <w:color w:val="231F1F"/>
                <w:spacing w:val="-7"/>
                <w:w w:val="110"/>
                <w:sz w:val="22"/>
              </w:rPr>
              <w:t> </w:t>
            </w:r>
            <w:r>
              <w:rPr>
                <w:color w:val="231F1F"/>
                <w:spacing w:val="-2"/>
                <w:w w:val="110"/>
                <w:sz w:val="22"/>
              </w:rPr>
              <w:t>corporales,</w:t>
            </w:r>
            <w:r>
              <w:rPr>
                <w:color w:val="231F1F"/>
                <w:spacing w:val="-7"/>
                <w:w w:val="110"/>
                <w:sz w:val="22"/>
              </w:rPr>
              <w:t> </w:t>
            </w:r>
            <w:r>
              <w:rPr>
                <w:color w:val="231F1F"/>
                <w:spacing w:val="-2"/>
                <w:w w:val="110"/>
                <w:sz w:val="22"/>
              </w:rPr>
              <w:t>secreciones </w:t>
            </w:r>
            <w:r>
              <w:rPr>
                <w:color w:val="231F1F"/>
                <w:w w:val="110"/>
                <w:sz w:val="22"/>
              </w:rPr>
              <w:t>o</w:t>
            </w:r>
            <w:r>
              <w:rPr>
                <w:color w:val="231F1F"/>
                <w:spacing w:val="-16"/>
                <w:w w:val="110"/>
                <w:sz w:val="22"/>
              </w:rPr>
              <w:t> </w:t>
            </w:r>
            <w:r>
              <w:rPr>
                <w:color w:val="231F1F"/>
                <w:w w:val="110"/>
                <w:sz w:val="22"/>
              </w:rPr>
              <w:t>excreciones,</w:t>
            </w:r>
            <w:r>
              <w:rPr>
                <w:color w:val="231F1F"/>
                <w:spacing w:val="-14"/>
                <w:w w:val="110"/>
                <w:sz w:val="22"/>
              </w:rPr>
              <w:t> </w:t>
            </w:r>
            <w:r>
              <w:rPr>
                <w:color w:val="231F1F"/>
                <w:w w:val="110"/>
                <w:sz w:val="22"/>
              </w:rPr>
              <w:t>excepto</w:t>
            </w:r>
            <w:r>
              <w:rPr>
                <w:color w:val="231F1F"/>
                <w:spacing w:val="-15"/>
                <w:w w:val="110"/>
                <w:sz w:val="22"/>
              </w:rPr>
              <w:t> </w:t>
            </w:r>
            <w:r>
              <w:rPr>
                <w:color w:val="231F1F"/>
                <w:w w:val="110"/>
                <w:sz w:val="22"/>
              </w:rPr>
              <w:t>sudor,</w:t>
            </w:r>
            <w:r>
              <w:rPr>
                <w:color w:val="231F1F"/>
                <w:spacing w:val="-16"/>
                <w:w w:val="110"/>
                <w:sz w:val="22"/>
              </w:rPr>
              <w:t> </w:t>
            </w:r>
            <w:r>
              <w:rPr>
                <w:color w:val="231F1F"/>
                <w:w w:val="110"/>
                <w:sz w:val="22"/>
              </w:rPr>
              <w:t>a</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piel</w:t>
            </w:r>
            <w:r>
              <w:rPr>
                <w:color w:val="231F1F"/>
                <w:spacing w:val="-16"/>
                <w:w w:val="110"/>
                <w:sz w:val="22"/>
              </w:rPr>
              <w:t> </w:t>
            </w:r>
            <w:r>
              <w:rPr>
                <w:color w:val="231F1F"/>
                <w:w w:val="110"/>
                <w:sz w:val="22"/>
              </w:rPr>
              <w:t>o</w:t>
            </w:r>
            <w:r>
              <w:rPr>
                <w:color w:val="231F1F"/>
                <w:spacing w:val="-13"/>
                <w:w w:val="110"/>
                <w:sz w:val="22"/>
              </w:rPr>
              <w:t> </w:t>
            </w:r>
            <w:r>
              <w:rPr>
                <w:color w:val="231F1F"/>
                <w:w w:val="110"/>
                <w:sz w:val="22"/>
              </w:rPr>
              <w:t>a</w:t>
            </w:r>
            <w:r>
              <w:rPr>
                <w:color w:val="231F1F"/>
                <w:spacing w:val="-15"/>
                <w:w w:val="110"/>
                <w:sz w:val="22"/>
              </w:rPr>
              <w:t> </w:t>
            </w:r>
            <w:r>
              <w:rPr>
                <w:color w:val="231F1F"/>
                <w:w w:val="110"/>
                <w:sz w:val="22"/>
              </w:rPr>
              <w:t>la</w:t>
            </w:r>
            <w:r>
              <w:rPr>
                <w:color w:val="231F1F"/>
                <w:spacing w:val="-14"/>
                <w:w w:val="110"/>
                <w:sz w:val="22"/>
              </w:rPr>
              <w:t> </w:t>
            </w:r>
            <w:r>
              <w:rPr>
                <w:color w:val="231F1F"/>
                <w:w w:val="110"/>
                <w:sz w:val="22"/>
              </w:rPr>
              <w:t>vestimenta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profesionales</w:t>
            </w:r>
            <w:r>
              <w:rPr>
                <w:color w:val="231F1F"/>
                <w:spacing w:val="-16"/>
                <w:w w:val="110"/>
                <w:sz w:val="22"/>
              </w:rPr>
              <w:t> </w:t>
            </w:r>
            <w:r>
              <w:rPr>
                <w:color w:val="231F1F"/>
                <w:w w:val="110"/>
                <w:sz w:val="22"/>
              </w:rPr>
              <w:t>sani- tarios, como es el caso de la asistencia al parto.</w:t>
            </w:r>
          </w:p>
        </w:tc>
      </w:tr>
    </w:tbl>
    <w:p>
      <w:pPr>
        <w:pStyle w:val="TableParagraph"/>
        <w:spacing w:after="0" w:line="249" w:lineRule="auto"/>
        <w:jc w:val="both"/>
        <w:rPr>
          <w:sz w:val="22"/>
        </w:rPr>
        <w:sectPr>
          <w:pgSz w:w="11900" w:h="16840"/>
          <w:pgMar w:header="0" w:footer="622" w:top="1560" w:bottom="2122"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412" w:hRule="atLeast"/>
        </w:trPr>
        <w:tc>
          <w:tcPr>
            <w:tcW w:w="8505" w:type="dxa"/>
            <w:gridSpan w:val="2"/>
          </w:tcPr>
          <w:p>
            <w:pPr>
              <w:pStyle w:val="TableParagraph"/>
              <w:spacing w:before="49"/>
              <w:rPr>
                <w:i/>
                <w:sz w:val="22"/>
              </w:rPr>
            </w:pPr>
            <w:r>
              <w:rPr>
                <w:i/>
                <w:color w:val="231F1F"/>
                <w:w w:val="105"/>
                <w:sz w:val="22"/>
              </w:rPr>
              <w:t>Uso</w:t>
            </w:r>
            <w:r>
              <w:rPr>
                <w:i/>
                <w:color w:val="231F1F"/>
                <w:spacing w:val="-7"/>
                <w:w w:val="105"/>
                <w:sz w:val="22"/>
              </w:rPr>
              <w:t> </w:t>
            </w:r>
            <w:r>
              <w:rPr>
                <w:i/>
                <w:color w:val="231F1F"/>
                <w:w w:val="105"/>
                <w:sz w:val="22"/>
              </w:rPr>
              <w:t>de</w:t>
            </w:r>
            <w:r>
              <w:rPr>
                <w:i/>
                <w:color w:val="231F1F"/>
                <w:spacing w:val="-5"/>
                <w:w w:val="105"/>
                <w:sz w:val="22"/>
              </w:rPr>
              <w:t> </w:t>
            </w:r>
            <w:r>
              <w:rPr>
                <w:i/>
                <w:color w:val="231F1F"/>
                <w:spacing w:val="-2"/>
                <w:w w:val="105"/>
                <w:sz w:val="22"/>
              </w:rPr>
              <w:t>Guantes</w:t>
            </w:r>
          </w:p>
        </w:tc>
      </w:tr>
      <w:tr>
        <w:trPr>
          <w:trHeight w:val="1252" w:hRule="atLeast"/>
        </w:trPr>
        <w:tc>
          <w:tcPr>
            <w:tcW w:w="571" w:type="dxa"/>
          </w:tcPr>
          <w:p>
            <w:pPr>
              <w:pStyle w:val="TableParagraph"/>
              <w:spacing w:before="213"/>
              <w:ind w:left="0"/>
              <w:rPr>
                <w:rFonts w:ascii="Arial MT"/>
                <w:sz w:val="22"/>
              </w:rPr>
            </w:pPr>
          </w:p>
          <w:p>
            <w:pPr>
              <w:pStyle w:val="TableParagraph"/>
              <w:ind w:left="46" w:right="8"/>
              <w:jc w:val="center"/>
              <w:rPr>
                <w:sz w:val="22"/>
              </w:rPr>
            </w:pPr>
            <w:r>
              <w:rPr>
                <w:color w:val="231F1F"/>
                <w:spacing w:val="-10"/>
                <w:w w:val="115"/>
                <w:sz w:val="22"/>
              </w:rPr>
              <w:t>D</w:t>
            </w:r>
          </w:p>
        </w:tc>
        <w:tc>
          <w:tcPr>
            <w:tcW w:w="7934" w:type="dxa"/>
          </w:tcPr>
          <w:p>
            <w:pPr>
              <w:pStyle w:val="TableParagraph"/>
              <w:spacing w:line="252" w:lineRule="auto" w:before="49"/>
              <w:ind w:left="116" w:right="85"/>
              <w:jc w:val="both"/>
              <w:rPr>
                <w:sz w:val="22"/>
              </w:rPr>
            </w:pPr>
            <w:r>
              <w:rPr>
                <w:color w:val="231F1F"/>
                <w:w w:val="105"/>
                <w:sz w:val="22"/>
              </w:rPr>
              <w:t>Los</w:t>
            </w:r>
            <w:r>
              <w:rPr>
                <w:color w:val="231F1F"/>
                <w:w w:val="105"/>
                <w:sz w:val="22"/>
              </w:rPr>
              <w:t> guantes</w:t>
            </w:r>
            <w:r>
              <w:rPr>
                <w:color w:val="231F1F"/>
                <w:w w:val="105"/>
                <w:sz w:val="22"/>
              </w:rPr>
              <w:t> deberán</w:t>
            </w:r>
            <w:r>
              <w:rPr>
                <w:color w:val="231F1F"/>
                <w:w w:val="105"/>
                <w:sz w:val="22"/>
              </w:rPr>
              <w:t> utilizarse</w:t>
            </w:r>
            <w:r>
              <w:rPr>
                <w:color w:val="231F1F"/>
                <w:w w:val="105"/>
                <w:sz w:val="22"/>
              </w:rPr>
              <w:t> para</w:t>
            </w:r>
            <w:r>
              <w:rPr>
                <w:color w:val="231F1F"/>
                <w:w w:val="105"/>
                <w:sz w:val="22"/>
              </w:rPr>
              <w:t> los</w:t>
            </w:r>
            <w:r>
              <w:rPr>
                <w:color w:val="231F1F"/>
                <w:w w:val="105"/>
                <w:sz w:val="22"/>
              </w:rPr>
              <w:t> procedimientos</w:t>
            </w:r>
            <w:r>
              <w:rPr>
                <w:color w:val="231F1F"/>
                <w:w w:val="105"/>
                <w:sz w:val="22"/>
              </w:rPr>
              <w:t> invasivos,</w:t>
            </w:r>
            <w:r>
              <w:rPr>
                <w:color w:val="231F1F"/>
                <w:w w:val="105"/>
                <w:sz w:val="22"/>
              </w:rPr>
              <w:t> contacto</w:t>
            </w:r>
            <w:r>
              <w:rPr>
                <w:color w:val="231F1F"/>
                <w:w w:val="105"/>
                <w:sz w:val="22"/>
              </w:rPr>
              <w:t> con lugares estériles, membranas mucosas y piel no intacta, y para todas aquellas acti- vidades con riesgo de exposición a sangre, fluidos corporales, secreciones o excre- ciones, o instrumentos cortantes o contaminados.</w:t>
            </w:r>
          </w:p>
        </w:tc>
      </w:tr>
      <w:tr>
        <w:trPr>
          <w:trHeight w:val="1535" w:hRule="atLeast"/>
        </w:trPr>
        <w:tc>
          <w:tcPr>
            <w:tcW w:w="571" w:type="dxa"/>
          </w:tcPr>
          <w:p>
            <w:pPr>
              <w:pStyle w:val="TableParagraph"/>
              <w:ind w:left="0"/>
              <w:rPr>
                <w:rFonts w:ascii="Arial MT"/>
                <w:sz w:val="22"/>
              </w:rPr>
            </w:pPr>
          </w:p>
          <w:p>
            <w:pPr>
              <w:pStyle w:val="TableParagraph"/>
              <w:spacing w:before="99"/>
              <w:ind w:left="0"/>
              <w:rPr>
                <w:rFonts w:ascii="Arial MT"/>
                <w:sz w:val="22"/>
              </w:rPr>
            </w:pPr>
          </w:p>
          <w:p>
            <w:pPr>
              <w:pStyle w:val="TableParagraph"/>
              <w:ind w:left="46" w:right="8"/>
              <w:jc w:val="center"/>
              <w:rPr>
                <w:sz w:val="22"/>
              </w:rPr>
            </w:pPr>
            <w:r>
              <w:rPr>
                <w:color w:val="231F1F"/>
                <w:spacing w:val="-10"/>
                <w:w w:val="115"/>
                <w:sz w:val="22"/>
              </w:rPr>
              <w:t>D</w:t>
            </w:r>
          </w:p>
        </w:tc>
        <w:tc>
          <w:tcPr>
            <w:tcW w:w="7934" w:type="dxa"/>
          </w:tcPr>
          <w:p>
            <w:pPr>
              <w:pStyle w:val="TableParagraph"/>
              <w:spacing w:line="249" w:lineRule="auto" w:before="49"/>
              <w:ind w:left="116" w:right="79"/>
              <w:jc w:val="both"/>
              <w:rPr>
                <w:sz w:val="22"/>
              </w:rPr>
            </w:pPr>
            <w:r>
              <w:rPr>
                <w:color w:val="231F1F"/>
                <w:w w:val="110"/>
                <w:sz w:val="22"/>
              </w:rPr>
              <w:t>Los guantes serán siempre de un sólo uso y deberán colocarse inmediatamente antes</w:t>
            </w:r>
            <w:r>
              <w:rPr>
                <w:color w:val="231F1F"/>
                <w:w w:val="110"/>
                <w:sz w:val="22"/>
              </w:rPr>
              <w:t> de</w:t>
            </w:r>
            <w:r>
              <w:rPr>
                <w:color w:val="231F1F"/>
                <w:w w:val="110"/>
                <w:sz w:val="22"/>
              </w:rPr>
              <w:t> un</w:t>
            </w:r>
            <w:r>
              <w:rPr>
                <w:color w:val="231F1F"/>
                <w:w w:val="110"/>
                <w:sz w:val="22"/>
              </w:rPr>
              <w:t> episodio</w:t>
            </w:r>
            <w:r>
              <w:rPr>
                <w:color w:val="231F1F"/>
                <w:w w:val="110"/>
                <w:sz w:val="22"/>
              </w:rPr>
              <w:t> en</w:t>
            </w:r>
            <w:r>
              <w:rPr>
                <w:color w:val="231F1F"/>
                <w:w w:val="110"/>
                <w:sz w:val="22"/>
              </w:rPr>
              <w:t> el</w:t>
            </w:r>
            <w:r>
              <w:rPr>
                <w:color w:val="231F1F"/>
                <w:w w:val="110"/>
                <w:sz w:val="22"/>
              </w:rPr>
              <w:t> que</w:t>
            </w:r>
            <w:r>
              <w:rPr>
                <w:color w:val="231F1F"/>
                <w:w w:val="110"/>
                <w:sz w:val="22"/>
              </w:rPr>
              <w:t> haya</w:t>
            </w:r>
            <w:r>
              <w:rPr>
                <w:color w:val="231F1F"/>
                <w:w w:val="110"/>
                <w:sz w:val="22"/>
              </w:rPr>
              <w:t> contacto</w:t>
            </w:r>
            <w:r>
              <w:rPr>
                <w:color w:val="231F1F"/>
                <w:w w:val="110"/>
                <w:sz w:val="22"/>
              </w:rPr>
              <w:t> con</w:t>
            </w:r>
            <w:r>
              <w:rPr>
                <w:color w:val="231F1F"/>
                <w:w w:val="110"/>
                <w:sz w:val="22"/>
              </w:rPr>
              <w:t> un</w:t>
            </w:r>
            <w:r>
              <w:rPr>
                <w:color w:val="231F1F"/>
                <w:w w:val="110"/>
                <w:sz w:val="22"/>
              </w:rPr>
              <w:t> paciente</w:t>
            </w:r>
            <w:r>
              <w:rPr>
                <w:color w:val="231F1F"/>
                <w:w w:val="110"/>
                <w:sz w:val="22"/>
              </w:rPr>
              <w:t> y</w:t>
            </w:r>
            <w:r>
              <w:rPr>
                <w:color w:val="231F1F"/>
                <w:w w:val="110"/>
                <w:sz w:val="22"/>
              </w:rPr>
              <w:t> retirarse</w:t>
            </w:r>
            <w:r>
              <w:rPr>
                <w:color w:val="231F1F"/>
                <w:w w:val="110"/>
                <w:sz w:val="22"/>
              </w:rPr>
              <w:t> tan pronto</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actividad</w:t>
            </w:r>
            <w:r>
              <w:rPr>
                <w:color w:val="231F1F"/>
                <w:spacing w:val="-11"/>
                <w:w w:val="110"/>
                <w:sz w:val="22"/>
              </w:rPr>
              <w:t> </w:t>
            </w:r>
            <w:r>
              <w:rPr>
                <w:color w:val="231F1F"/>
                <w:w w:val="110"/>
                <w:sz w:val="22"/>
              </w:rPr>
              <w:t>haya</w:t>
            </w:r>
            <w:r>
              <w:rPr>
                <w:color w:val="231F1F"/>
                <w:spacing w:val="-11"/>
                <w:w w:val="110"/>
                <w:sz w:val="22"/>
              </w:rPr>
              <w:t> </w:t>
            </w:r>
            <w:r>
              <w:rPr>
                <w:color w:val="231F1F"/>
                <w:w w:val="110"/>
                <w:sz w:val="22"/>
              </w:rPr>
              <w:t>finalizado.</w:t>
            </w:r>
            <w:r>
              <w:rPr>
                <w:color w:val="231F1F"/>
                <w:spacing w:val="-10"/>
                <w:w w:val="110"/>
                <w:sz w:val="22"/>
              </w:rPr>
              <w:t> </w:t>
            </w:r>
            <w:r>
              <w:rPr>
                <w:color w:val="231F1F"/>
                <w:w w:val="110"/>
                <w:sz w:val="22"/>
              </w:rPr>
              <w:t>Los</w:t>
            </w:r>
            <w:r>
              <w:rPr>
                <w:color w:val="231F1F"/>
                <w:spacing w:val="-11"/>
                <w:w w:val="110"/>
                <w:sz w:val="22"/>
              </w:rPr>
              <w:t> </w:t>
            </w:r>
            <w:r>
              <w:rPr>
                <w:color w:val="231F1F"/>
                <w:w w:val="110"/>
                <w:sz w:val="22"/>
              </w:rPr>
              <w:t>guantes</w:t>
            </w:r>
            <w:r>
              <w:rPr>
                <w:color w:val="231F1F"/>
                <w:spacing w:val="-11"/>
                <w:w w:val="110"/>
                <w:sz w:val="22"/>
              </w:rPr>
              <w:t> </w:t>
            </w:r>
            <w:r>
              <w:rPr>
                <w:color w:val="231F1F"/>
                <w:w w:val="110"/>
                <w:sz w:val="22"/>
              </w:rPr>
              <w:t>deberán</w:t>
            </w:r>
            <w:r>
              <w:rPr>
                <w:color w:val="231F1F"/>
                <w:spacing w:val="-11"/>
                <w:w w:val="110"/>
                <w:sz w:val="22"/>
              </w:rPr>
              <w:t> </w:t>
            </w:r>
            <w:r>
              <w:rPr>
                <w:color w:val="231F1F"/>
                <w:w w:val="110"/>
                <w:sz w:val="22"/>
              </w:rPr>
              <w:t>ser</w:t>
            </w:r>
            <w:r>
              <w:rPr>
                <w:color w:val="231F1F"/>
                <w:spacing w:val="-11"/>
                <w:w w:val="110"/>
                <w:sz w:val="22"/>
              </w:rPr>
              <w:t> </w:t>
            </w:r>
            <w:r>
              <w:rPr>
                <w:color w:val="231F1F"/>
                <w:w w:val="110"/>
                <w:sz w:val="22"/>
              </w:rPr>
              <w:t>cambiados</w:t>
            </w:r>
            <w:r>
              <w:rPr>
                <w:color w:val="231F1F"/>
                <w:spacing w:val="-11"/>
                <w:w w:val="110"/>
                <w:sz w:val="22"/>
              </w:rPr>
              <w:t> </w:t>
            </w:r>
            <w:r>
              <w:rPr>
                <w:color w:val="231F1F"/>
                <w:w w:val="110"/>
                <w:sz w:val="22"/>
              </w:rPr>
              <w:t>cada</w:t>
            </w:r>
            <w:r>
              <w:rPr>
                <w:color w:val="231F1F"/>
                <w:spacing w:val="-11"/>
                <w:w w:val="110"/>
                <w:sz w:val="22"/>
              </w:rPr>
              <w:t> </w:t>
            </w:r>
            <w:r>
              <w:rPr>
                <w:color w:val="231F1F"/>
                <w:w w:val="110"/>
                <w:sz w:val="22"/>
              </w:rPr>
              <w:t>vez que se atienda a mujeres diferentes y entre actividades diferentes en un mismo </w:t>
            </w:r>
            <w:r>
              <w:rPr>
                <w:color w:val="231F1F"/>
                <w:spacing w:val="-2"/>
                <w:w w:val="110"/>
                <w:sz w:val="22"/>
              </w:rPr>
              <w:t>paciente.</w:t>
            </w:r>
          </w:p>
        </w:tc>
      </w:tr>
      <w:tr>
        <w:trPr>
          <w:trHeight w:val="407" w:hRule="atLeast"/>
        </w:trPr>
        <w:tc>
          <w:tcPr>
            <w:tcW w:w="8505" w:type="dxa"/>
            <w:gridSpan w:val="2"/>
          </w:tcPr>
          <w:p>
            <w:pPr>
              <w:pStyle w:val="TableParagraph"/>
              <w:spacing w:before="39"/>
              <w:rPr>
                <w:i/>
                <w:sz w:val="22"/>
              </w:rPr>
            </w:pPr>
            <w:r>
              <w:rPr>
                <w:i/>
                <w:color w:val="231F1F"/>
                <w:w w:val="105"/>
                <w:sz w:val="22"/>
              </w:rPr>
              <w:t>Uso</w:t>
            </w:r>
            <w:r>
              <w:rPr>
                <w:i/>
                <w:color w:val="231F1F"/>
                <w:spacing w:val="-7"/>
                <w:w w:val="105"/>
                <w:sz w:val="22"/>
              </w:rPr>
              <w:t> </w:t>
            </w:r>
            <w:r>
              <w:rPr>
                <w:i/>
                <w:color w:val="231F1F"/>
                <w:w w:val="105"/>
                <w:sz w:val="22"/>
              </w:rPr>
              <w:t>de</w:t>
            </w:r>
            <w:r>
              <w:rPr>
                <w:i/>
                <w:color w:val="231F1F"/>
                <w:spacing w:val="-5"/>
                <w:w w:val="105"/>
                <w:sz w:val="22"/>
              </w:rPr>
              <w:t> </w:t>
            </w:r>
            <w:r>
              <w:rPr>
                <w:i/>
                <w:color w:val="231F1F"/>
                <w:spacing w:val="-2"/>
                <w:w w:val="105"/>
                <w:sz w:val="22"/>
              </w:rPr>
              <w:t>mascarillas</w:t>
            </w:r>
          </w:p>
        </w:tc>
      </w:tr>
      <w:tr>
        <w:trPr>
          <w:trHeight w:val="690" w:hRule="atLeast"/>
        </w:trPr>
        <w:tc>
          <w:tcPr>
            <w:tcW w:w="571" w:type="dxa"/>
          </w:tcPr>
          <w:p>
            <w:pPr>
              <w:pStyle w:val="TableParagraph"/>
              <w:spacing w:before="188"/>
              <w:ind w:left="46" w:right="8"/>
              <w:jc w:val="center"/>
              <w:rPr>
                <w:sz w:val="22"/>
              </w:rPr>
            </w:pPr>
            <w:r>
              <w:rPr>
                <w:color w:val="231F1F"/>
                <w:spacing w:val="-10"/>
                <w:w w:val="115"/>
                <w:sz w:val="22"/>
              </w:rPr>
              <w:t>D</w:t>
            </w:r>
          </w:p>
        </w:tc>
        <w:tc>
          <w:tcPr>
            <w:tcW w:w="7934" w:type="dxa"/>
          </w:tcPr>
          <w:p>
            <w:pPr>
              <w:pStyle w:val="TableParagraph"/>
              <w:spacing w:before="53"/>
              <w:ind w:left="117"/>
              <w:rPr>
                <w:sz w:val="22"/>
              </w:rPr>
            </w:pPr>
            <w:r>
              <w:rPr>
                <w:color w:val="231F1F"/>
                <w:spacing w:val="-2"/>
                <w:w w:val="110"/>
                <w:sz w:val="22"/>
              </w:rPr>
              <w:t>Las</w:t>
            </w:r>
            <w:r>
              <w:rPr>
                <w:color w:val="231F1F"/>
                <w:spacing w:val="-14"/>
                <w:w w:val="110"/>
                <w:sz w:val="22"/>
              </w:rPr>
              <w:t> </w:t>
            </w:r>
            <w:r>
              <w:rPr>
                <w:color w:val="231F1F"/>
                <w:spacing w:val="-2"/>
                <w:w w:val="110"/>
                <w:sz w:val="22"/>
              </w:rPr>
              <w:t>mascarillas</w:t>
            </w:r>
            <w:r>
              <w:rPr>
                <w:color w:val="231F1F"/>
                <w:spacing w:val="-13"/>
                <w:w w:val="110"/>
                <w:sz w:val="22"/>
              </w:rPr>
              <w:t> </w:t>
            </w:r>
            <w:r>
              <w:rPr>
                <w:color w:val="231F1F"/>
                <w:spacing w:val="-2"/>
                <w:w w:val="110"/>
                <w:sz w:val="22"/>
              </w:rPr>
              <w:t>faciales</w:t>
            </w:r>
            <w:r>
              <w:rPr>
                <w:color w:val="231F1F"/>
                <w:spacing w:val="-13"/>
                <w:w w:val="110"/>
                <w:sz w:val="22"/>
              </w:rPr>
              <w:t> </w:t>
            </w:r>
            <w:r>
              <w:rPr>
                <w:color w:val="231F1F"/>
                <w:spacing w:val="-2"/>
                <w:w w:val="110"/>
                <w:sz w:val="22"/>
              </w:rPr>
              <w:t>y</w:t>
            </w:r>
            <w:r>
              <w:rPr>
                <w:color w:val="231F1F"/>
                <w:spacing w:val="-13"/>
                <w:w w:val="110"/>
                <w:sz w:val="22"/>
              </w:rPr>
              <w:t> </w:t>
            </w:r>
            <w:r>
              <w:rPr>
                <w:color w:val="231F1F"/>
                <w:spacing w:val="-2"/>
                <w:w w:val="110"/>
                <w:sz w:val="22"/>
              </w:rPr>
              <w:t>las</w:t>
            </w:r>
            <w:r>
              <w:rPr>
                <w:color w:val="231F1F"/>
                <w:spacing w:val="-13"/>
                <w:w w:val="110"/>
                <w:sz w:val="22"/>
              </w:rPr>
              <w:t> </w:t>
            </w:r>
            <w:r>
              <w:rPr>
                <w:color w:val="231F1F"/>
                <w:spacing w:val="-2"/>
                <w:w w:val="110"/>
                <w:sz w:val="22"/>
              </w:rPr>
              <w:t>protecciones</w:t>
            </w:r>
            <w:r>
              <w:rPr>
                <w:color w:val="231F1F"/>
                <w:spacing w:val="-13"/>
                <w:w w:val="110"/>
                <w:sz w:val="22"/>
              </w:rPr>
              <w:t> </w:t>
            </w:r>
            <w:r>
              <w:rPr>
                <w:color w:val="231F1F"/>
                <w:spacing w:val="-2"/>
                <w:w w:val="110"/>
                <w:sz w:val="22"/>
              </w:rPr>
              <w:t>oculares</w:t>
            </w:r>
            <w:r>
              <w:rPr>
                <w:color w:val="231F1F"/>
                <w:spacing w:val="-15"/>
                <w:w w:val="110"/>
                <w:sz w:val="22"/>
              </w:rPr>
              <w:t> </w:t>
            </w:r>
            <w:r>
              <w:rPr>
                <w:color w:val="231F1F"/>
                <w:spacing w:val="-2"/>
                <w:w w:val="110"/>
                <w:sz w:val="22"/>
              </w:rPr>
              <w:t>deberán</w:t>
            </w:r>
            <w:r>
              <w:rPr>
                <w:color w:val="231F1F"/>
                <w:spacing w:val="-13"/>
                <w:w w:val="110"/>
                <w:sz w:val="22"/>
              </w:rPr>
              <w:t> </w:t>
            </w:r>
            <w:r>
              <w:rPr>
                <w:color w:val="231F1F"/>
                <w:spacing w:val="-2"/>
                <w:w w:val="110"/>
                <w:sz w:val="22"/>
              </w:rPr>
              <w:t>ponerse</w:t>
            </w:r>
            <w:r>
              <w:rPr>
                <w:color w:val="231F1F"/>
                <w:spacing w:val="-13"/>
                <w:w w:val="110"/>
                <w:sz w:val="22"/>
              </w:rPr>
              <w:t> </w:t>
            </w:r>
            <w:r>
              <w:rPr>
                <w:color w:val="231F1F"/>
                <w:spacing w:val="-2"/>
                <w:w w:val="110"/>
                <w:sz w:val="22"/>
              </w:rPr>
              <w:t>cuando</w:t>
            </w:r>
            <w:r>
              <w:rPr>
                <w:color w:val="231F1F"/>
                <w:spacing w:val="-13"/>
                <w:w w:val="110"/>
                <w:sz w:val="22"/>
              </w:rPr>
              <w:t> </w:t>
            </w:r>
            <w:r>
              <w:rPr>
                <w:color w:val="231F1F"/>
                <w:spacing w:val="-2"/>
                <w:w w:val="110"/>
                <w:sz w:val="22"/>
              </w:rPr>
              <w:t>haya </w:t>
            </w:r>
            <w:r>
              <w:rPr>
                <w:color w:val="231F1F"/>
                <w:w w:val="110"/>
                <w:sz w:val="22"/>
              </w:rPr>
              <w:t>riesgo de salpicaduras de sangre y fluidos corporales en la cara o en los ojos.</w:t>
            </w:r>
          </w:p>
        </w:tc>
      </w:tr>
      <w:tr>
        <w:trPr>
          <w:trHeight w:val="412" w:hRule="atLeast"/>
        </w:trPr>
        <w:tc>
          <w:tcPr>
            <w:tcW w:w="8505" w:type="dxa"/>
            <w:gridSpan w:val="2"/>
          </w:tcPr>
          <w:p>
            <w:pPr>
              <w:pStyle w:val="TableParagraph"/>
              <w:spacing w:before="63"/>
              <w:rPr>
                <w:sz w:val="22"/>
              </w:rPr>
            </w:pPr>
            <w:r>
              <w:rPr>
                <w:color w:val="231F1F"/>
                <w:sz w:val="22"/>
              </w:rPr>
              <w:t>6.4.</w:t>
            </w:r>
            <w:r>
              <w:rPr>
                <w:color w:val="231F1F"/>
                <w:spacing w:val="-8"/>
                <w:sz w:val="22"/>
              </w:rPr>
              <w:t> </w:t>
            </w:r>
            <w:r>
              <w:rPr>
                <w:color w:val="231F1F"/>
                <w:spacing w:val="-2"/>
                <w:sz w:val="22"/>
              </w:rPr>
              <w:t>Posición</w:t>
            </w:r>
          </w:p>
        </w:tc>
      </w:tr>
      <w:tr>
        <w:trPr>
          <w:trHeight w:val="695" w:hRule="atLeast"/>
        </w:trPr>
        <w:tc>
          <w:tcPr>
            <w:tcW w:w="571" w:type="dxa"/>
            <w:shd w:val="clear" w:color="auto" w:fill="F2DFDF"/>
          </w:tcPr>
          <w:p>
            <w:pPr>
              <w:pStyle w:val="TableParagraph"/>
              <w:spacing w:before="188"/>
              <w:ind w:left="46" w:right="9"/>
              <w:jc w:val="center"/>
              <w:rPr>
                <w:sz w:val="22"/>
              </w:rPr>
            </w:pPr>
            <w:r>
              <w:rPr>
                <w:color w:val="231F1F"/>
                <w:spacing w:val="-10"/>
                <w:w w:val="115"/>
                <w:sz w:val="22"/>
              </w:rPr>
              <w:t>A</w:t>
            </w:r>
          </w:p>
        </w:tc>
        <w:tc>
          <w:tcPr>
            <w:tcW w:w="7934" w:type="dxa"/>
            <w:shd w:val="clear" w:color="auto" w:fill="F2DFDF"/>
          </w:tcPr>
          <w:p>
            <w:pPr>
              <w:pStyle w:val="TableParagraph"/>
              <w:spacing w:line="249" w:lineRule="auto" w:before="49"/>
              <w:ind w:left="117"/>
              <w:rPr>
                <w:sz w:val="22"/>
              </w:rPr>
            </w:pPr>
            <w:r>
              <w:rPr>
                <w:color w:val="231F1F"/>
                <w:w w:val="110"/>
                <w:sz w:val="22"/>
              </w:rPr>
              <w:t>Se</w:t>
            </w:r>
            <w:r>
              <w:rPr>
                <w:color w:val="231F1F"/>
                <w:spacing w:val="-7"/>
                <w:w w:val="110"/>
                <w:sz w:val="22"/>
              </w:rPr>
              <w:t> </w:t>
            </w:r>
            <w:r>
              <w:rPr>
                <w:color w:val="231F1F"/>
                <w:w w:val="110"/>
                <w:sz w:val="22"/>
              </w:rPr>
              <w:t>recomienda</w:t>
            </w:r>
            <w:r>
              <w:rPr>
                <w:color w:val="231F1F"/>
                <w:spacing w:val="-7"/>
                <w:w w:val="110"/>
                <w:sz w:val="22"/>
              </w:rPr>
              <w:t> </w:t>
            </w:r>
            <w:r>
              <w:rPr>
                <w:color w:val="231F1F"/>
                <w:w w:val="110"/>
                <w:sz w:val="22"/>
              </w:rPr>
              <w:t>que</w:t>
            </w:r>
            <w:r>
              <w:rPr>
                <w:color w:val="231F1F"/>
                <w:spacing w:val="-7"/>
                <w:w w:val="110"/>
                <w:sz w:val="22"/>
              </w:rPr>
              <w:t> </w:t>
            </w:r>
            <w:r>
              <w:rPr>
                <w:color w:val="231F1F"/>
                <w:w w:val="110"/>
                <w:sz w:val="22"/>
              </w:rPr>
              <w:t>durante</w:t>
            </w:r>
            <w:r>
              <w:rPr>
                <w:color w:val="231F1F"/>
                <w:spacing w:val="-7"/>
                <w:w w:val="110"/>
                <w:sz w:val="22"/>
              </w:rPr>
              <w:t> </w:t>
            </w:r>
            <w:r>
              <w:rPr>
                <w:color w:val="231F1F"/>
                <w:w w:val="110"/>
                <w:sz w:val="22"/>
              </w:rPr>
              <w:t>el</w:t>
            </w:r>
            <w:r>
              <w:rPr>
                <w:color w:val="231F1F"/>
                <w:spacing w:val="-7"/>
                <w:w w:val="110"/>
                <w:sz w:val="22"/>
              </w:rPr>
              <w:t> </w:t>
            </w:r>
            <w:r>
              <w:rPr>
                <w:color w:val="231F1F"/>
                <w:w w:val="110"/>
                <w:sz w:val="22"/>
              </w:rPr>
              <w:t>parto</w:t>
            </w:r>
            <w:r>
              <w:rPr>
                <w:color w:val="231F1F"/>
                <w:spacing w:val="-7"/>
                <w:w w:val="110"/>
                <w:sz w:val="22"/>
              </w:rPr>
              <w:t> </w:t>
            </w:r>
            <w:r>
              <w:rPr>
                <w:color w:val="231F1F"/>
                <w:w w:val="110"/>
                <w:sz w:val="22"/>
              </w:rPr>
              <w:t>las</w:t>
            </w:r>
            <w:r>
              <w:rPr>
                <w:color w:val="231F1F"/>
                <w:spacing w:val="-7"/>
                <w:w w:val="110"/>
                <w:sz w:val="22"/>
              </w:rPr>
              <w:t> </w:t>
            </w:r>
            <w:r>
              <w:rPr>
                <w:color w:val="231F1F"/>
                <w:w w:val="110"/>
                <w:sz w:val="22"/>
              </w:rPr>
              <w:t>mujeres</w:t>
            </w:r>
            <w:r>
              <w:rPr>
                <w:color w:val="231F1F"/>
                <w:spacing w:val="-7"/>
                <w:w w:val="110"/>
                <w:sz w:val="22"/>
              </w:rPr>
              <w:t> </w:t>
            </w:r>
            <w:r>
              <w:rPr>
                <w:color w:val="231F1F"/>
                <w:w w:val="110"/>
                <w:sz w:val="22"/>
              </w:rPr>
              <w:t>adopten</w:t>
            </w:r>
            <w:r>
              <w:rPr>
                <w:color w:val="231F1F"/>
                <w:spacing w:val="-7"/>
                <w:w w:val="110"/>
                <w:sz w:val="22"/>
              </w:rPr>
              <w:t> </w:t>
            </w:r>
            <w:r>
              <w:rPr>
                <w:color w:val="231F1F"/>
                <w:w w:val="110"/>
                <w:sz w:val="22"/>
              </w:rPr>
              <w:t>la</w:t>
            </w:r>
            <w:r>
              <w:rPr>
                <w:color w:val="231F1F"/>
                <w:spacing w:val="-7"/>
                <w:w w:val="110"/>
                <w:sz w:val="22"/>
              </w:rPr>
              <w:t> </w:t>
            </w:r>
            <w:r>
              <w:rPr>
                <w:color w:val="231F1F"/>
                <w:w w:val="110"/>
                <w:sz w:val="22"/>
              </w:rPr>
              <w:t>posición</w:t>
            </w:r>
            <w:r>
              <w:rPr>
                <w:color w:val="231F1F"/>
                <w:spacing w:val="-7"/>
                <w:w w:val="110"/>
                <w:sz w:val="22"/>
              </w:rPr>
              <w:t> </w:t>
            </w:r>
            <w:r>
              <w:rPr>
                <w:color w:val="231F1F"/>
                <w:w w:val="110"/>
                <w:sz w:val="22"/>
              </w:rPr>
              <w:t>que</w:t>
            </w:r>
            <w:r>
              <w:rPr>
                <w:color w:val="231F1F"/>
                <w:spacing w:val="-7"/>
                <w:w w:val="110"/>
                <w:sz w:val="22"/>
              </w:rPr>
              <w:t> </w:t>
            </w:r>
            <w:r>
              <w:rPr>
                <w:color w:val="231F1F"/>
                <w:w w:val="110"/>
                <w:sz w:val="22"/>
              </w:rPr>
              <w:t>les</w:t>
            </w:r>
            <w:r>
              <w:rPr>
                <w:color w:val="231F1F"/>
                <w:spacing w:val="-7"/>
                <w:w w:val="110"/>
                <w:sz w:val="22"/>
              </w:rPr>
              <w:t> </w:t>
            </w:r>
            <w:r>
              <w:rPr>
                <w:color w:val="231F1F"/>
                <w:w w:val="110"/>
                <w:sz w:val="22"/>
              </w:rPr>
              <w:t>sea más cómoda.</w:t>
            </w:r>
          </w:p>
        </w:tc>
      </w:tr>
      <w:tr>
        <w:trPr>
          <w:trHeight w:val="412" w:hRule="atLeast"/>
        </w:trPr>
        <w:tc>
          <w:tcPr>
            <w:tcW w:w="8505" w:type="dxa"/>
            <w:gridSpan w:val="2"/>
          </w:tcPr>
          <w:p>
            <w:pPr>
              <w:pStyle w:val="TableParagraph"/>
              <w:spacing w:before="49"/>
              <w:rPr>
                <w:sz w:val="22"/>
              </w:rPr>
            </w:pPr>
            <w:r>
              <w:rPr>
                <w:color w:val="231F1F"/>
                <w:w w:val="105"/>
                <w:sz w:val="22"/>
              </w:rPr>
              <w:t>6.5.</w:t>
            </w:r>
            <w:r>
              <w:rPr>
                <w:color w:val="231F1F"/>
                <w:spacing w:val="-7"/>
                <w:w w:val="105"/>
                <w:sz w:val="22"/>
              </w:rPr>
              <w:t> </w:t>
            </w:r>
            <w:r>
              <w:rPr>
                <w:color w:val="231F1F"/>
                <w:w w:val="105"/>
                <w:sz w:val="22"/>
              </w:rPr>
              <w:t>Pujos</w:t>
            </w:r>
            <w:r>
              <w:rPr>
                <w:color w:val="231F1F"/>
                <w:spacing w:val="-5"/>
                <w:w w:val="105"/>
                <w:sz w:val="22"/>
              </w:rPr>
              <w:t> </w:t>
            </w:r>
            <w:r>
              <w:rPr>
                <w:color w:val="231F1F"/>
                <w:w w:val="105"/>
                <w:sz w:val="22"/>
              </w:rPr>
              <w:t>maternos</w:t>
            </w:r>
            <w:r>
              <w:rPr>
                <w:color w:val="231F1F"/>
                <w:spacing w:val="-4"/>
                <w:w w:val="105"/>
                <w:sz w:val="22"/>
              </w:rPr>
              <w:t> </w:t>
            </w:r>
            <w:r>
              <w:rPr>
                <w:color w:val="231F1F"/>
                <w:w w:val="105"/>
                <w:sz w:val="22"/>
              </w:rPr>
              <w:t>y</w:t>
            </w:r>
            <w:r>
              <w:rPr>
                <w:color w:val="231F1F"/>
                <w:spacing w:val="-3"/>
                <w:w w:val="105"/>
                <w:sz w:val="22"/>
              </w:rPr>
              <w:t> </w:t>
            </w:r>
            <w:r>
              <w:rPr>
                <w:color w:val="231F1F"/>
                <w:w w:val="105"/>
                <w:sz w:val="22"/>
              </w:rPr>
              <w:t>pujos</w:t>
            </w:r>
            <w:r>
              <w:rPr>
                <w:color w:val="231F1F"/>
                <w:spacing w:val="-4"/>
                <w:w w:val="105"/>
                <w:sz w:val="22"/>
              </w:rPr>
              <w:t> </w:t>
            </w:r>
            <w:r>
              <w:rPr>
                <w:color w:val="231F1F"/>
                <w:spacing w:val="-2"/>
                <w:w w:val="105"/>
                <w:sz w:val="22"/>
              </w:rPr>
              <w:t>dirigidos</w:t>
            </w:r>
          </w:p>
        </w:tc>
      </w:tr>
      <w:tr>
        <w:trPr>
          <w:trHeight w:val="973" w:hRule="atLeast"/>
        </w:trPr>
        <w:tc>
          <w:tcPr>
            <w:tcW w:w="571" w:type="dxa"/>
          </w:tcPr>
          <w:p>
            <w:pPr>
              <w:pStyle w:val="TableParagraph"/>
              <w:spacing w:before="74"/>
              <w:ind w:left="0"/>
              <w:rPr>
                <w:rFonts w:ascii="Arial MT"/>
                <w:sz w:val="22"/>
              </w:rPr>
            </w:pPr>
          </w:p>
          <w:p>
            <w:pPr>
              <w:pStyle w:val="TableParagraph"/>
              <w:ind w:left="46" w:right="9"/>
              <w:jc w:val="center"/>
              <w:rPr>
                <w:sz w:val="22"/>
              </w:rPr>
            </w:pPr>
            <w:r>
              <w:rPr>
                <w:color w:val="231F1F"/>
                <w:spacing w:val="-10"/>
                <w:w w:val="115"/>
                <w:sz w:val="22"/>
              </w:rPr>
              <w:t>A</w:t>
            </w:r>
          </w:p>
        </w:tc>
        <w:tc>
          <w:tcPr>
            <w:tcW w:w="7934" w:type="dxa"/>
          </w:tcPr>
          <w:p>
            <w:pPr>
              <w:pStyle w:val="TableParagraph"/>
              <w:spacing w:line="247" w:lineRule="auto" w:before="58"/>
              <w:ind w:left="117" w:right="78"/>
              <w:jc w:val="both"/>
              <w:rPr>
                <w:sz w:val="22"/>
              </w:rPr>
            </w:pPr>
            <w:r>
              <w:rPr>
                <w:color w:val="231F1F"/>
                <w:w w:val="105"/>
                <w:sz w:val="22"/>
              </w:rPr>
              <w:t>Se recomienda el pujo espontáneo. En ausencia de sensación de pujo, se recomien- da</w:t>
            </w:r>
            <w:r>
              <w:rPr>
                <w:color w:val="231F1F"/>
                <w:w w:val="105"/>
                <w:sz w:val="22"/>
              </w:rPr>
              <w:t> no</w:t>
            </w:r>
            <w:r>
              <w:rPr>
                <w:color w:val="231F1F"/>
                <w:w w:val="105"/>
                <w:sz w:val="22"/>
              </w:rPr>
              <w:t> dirigirlo</w:t>
            </w:r>
            <w:r>
              <w:rPr>
                <w:color w:val="231F1F"/>
                <w:w w:val="105"/>
                <w:sz w:val="22"/>
              </w:rPr>
              <w:t> hasta</w:t>
            </w:r>
            <w:r>
              <w:rPr>
                <w:color w:val="231F1F"/>
                <w:w w:val="105"/>
                <w:sz w:val="22"/>
              </w:rPr>
              <w:t> que</w:t>
            </w:r>
            <w:r>
              <w:rPr>
                <w:color w:val="231F1F"/>
                <w:w w:val="105"/>
                <w:sz w:val="22"/>
              </w:rPr>
              <w:t> haya</w:t>
            </w:r>
            <w:r>
              <w:rPr>
                <w:color w:val="231F1F"/>
                <w:w w:val="105"/>
                <w:sz w:val="22"/>
              </w:rPr>
              <w:t> concluido</w:t>
            </w:r>
            <w:r>
              <w:rPr>
                <w:color w:val="231F1F"/>
                <w:w w:val="105"/>
                <w:sz w:val="22"/>
              </w:rPr>
              <w:t> la</w:t>
            </w:r>
            <w:r>
              <w:rPr>
                <w:color w:val="231F1F"/>
                <w:w w:val="105"/>
                <w:sz w:val="22"/>
              </w:rPr>
              <w:t> fase</w:t>
            </w:r>
            <w:r>
              <w:rPr>
                <w:color w:val="231F1F"/>
                <w:w w:val="105"/>
                <w:sz w:val="22"/>
              </w:rPr>
              <w:t> pasiva</w:t>
            </w:r>
            <w:r>
              <w:rPr>
                <w:color w:val="231F1F"/>
                <w:w w:val="105"/>
                <w:sz w:val="22"/>
              </w:rPr>
              <w:t> de</w:t>
            </w:r>
            <w:r>
              <w:rPr>
                <w:color w:val="231F1F"/>
                <w:w w:val="105"/>
                <w:sz w:val="22"/>
              </w:rPr>
              <w:t> la</w:t>
            </w:r>
            <w:r>
              <w:rPr>
                <w:color w:val="231F1F"/>
                <w:w w:val="105"/>
                <w:sz w:val="22"/>
              </w:rPr>
              <w:t> segunda</w:t>
            </w:r>
            <w:r>
              <w:rPr>
                <w:color w:val="231F1F"/>
                <w:w w:val="105"/>
                <w:sz w:val="22"/>
              </w:rPr>
              <w:t> etapa</w:t>
            </w:r>
            <w:r>
              <w:rPr>
                <w:color w:val="231F1F"/>
                <w:w w:val="105"/>
                <w:sz w:val="22"/>
              </w:rPr>
              <w:t> del </w:t>
            </w:r>
            <w:r>
              <w:rPr>
                <w:color w:val="231F1F"/>
                <w:spacing w:val="-2"/>
                <w:w w:val="105"/>
                <w:sz w:val="22"/>
              </w:rPr>
              <w:t>parto.</w:t>
            </w:r>
          </w:p>
        </w:tc>
      </w:tr>
      <w:tr>
        <w:trPr>
          <w:trHeight w:val="690" w:hRule="atLeast"/>
        </w:trPr>
        <w:tc>
          <w:tcPr>
            <w:tcW w:w="571" w:type="dxa"/>
          </w:tcPr>
          <w:p>
            <w:pPr>
              <w:pStyle w:val="TableParagraph"/>
              <w:spacing w:before="188"/>
              <w:ind w:left="46" w:right="9"/>
              <w:jc w:val="center"/>
              <w:rPr>
                <w:sz w:val="22"/>
              </w:rPr>
            </w:pPr>
            <w:r>
              <w:rPr>
                <w:color w:val="231F1F"/>
                <w:spacing w:val="-10"/>
                <w:w w:val="115"/>
                <w:sz w:val="22"/>
              </w:rPr>
              <w:t>A</w:t>
            </w:r>
          </w:p>
        </w:tc>
        <w:tc>
          <w:tcPr>
            <w:tcW w:w="7934" w:type="dxa"/>
          </w:tcPr>
          <w:p>
            <w:pPr>
              <w:pStyle w:val="TableParagraph"/>
              <w:spacing w:line="244" w:lineRule="auto" w:before="58"/>
              <w:ind w:left="117"/>
              <w:rPr>
                <w:sz w:val="22"/>
              </w:rPr>
            </w:pPr>
            <w:r>
              <w:rPr>
                <w:color w:val="231F1F"/>
                <w:w w:val="105"/>
                <w:sz w:val="22"/>
              </w:rPr>
              <w:t>En</w:t>
            </w:r>
            <w:r>
              <w:rPr>
                <w:color w:val="231F1F"/>
                <w:spacing w:val="-1"/>
                <w:w w:val="105"/>
                <w:sz w:val="22"/>
              </w:rPr>
              <w:t> </w:t>
            </w:r>
            <w:r>
              <w:rPr>
                <w:color w:val="231F1F"/>
                <w:w w:val="105"/>
                <w:sz w:val="22"/>
              </w:rPr>
              <w:t>mujeres</w:t>
            </w:r>
            <w:r>
              <w:rPr>
                <w:color w:val="231F1F"/>
                <w:spacing w:val="-2"/>
                <w:w w:val="105"/>
                <w:sz w:val="22"/>
              </w:rPr>
              <w:t> </w:t>
            </w:r>
            <w:r>
              <w:rPr>
                <w:color w:val="231F1F"/>
                <w:w w:val="105"/>
                <w:sz w:val="22"/>
              </w:rPr>
              <w:t>con</w:t>
            </w:r>
            <w:r>
              <w:rPr>
                <w:color w:val="231F1F"/>
                <w:spacing w:val="-1"/>
                <w:w w:val="105"/>
                <w:sz w:val="22"/>
              </w:rPr>
              <w:t> </w:t>
            </w:r>
            <w:r>
              <w:rPr>
                <w:color w:val="231F1F"/>
                <w:w w:val="105"/>
                <w:sz w:val="22"/>
              </w:rPr>
              <w:t>analgesia</w:t>
            </w:r>
            <w:r>
              <w:rPr>
                <w:color w:val="231F1F"/>
                <w:spacing w:val="-1"/>
                <w:w w:val="105"/>
                <w:sz w:val="22"/>
              </w:rPr>
              <w:t> </w:t>
            </w:r>
            <w:r>
              <w:rPr>
                <w:color w:val="231F1F"/>
                <w:w w:val="105"/>
                <w:sz w:val="22"/>
              </w:rPr>
              <w:t>neuroaxial</w:t>
            </w:r>
            <w:r>
              <w:rPr>
                <w:color w:val="231F1F"/>
                <w:spacing w:val="-2"/>
                <w:w w:val="105"/>
                <w:sz w:val="22"/>
              </w:rPr>
              <w:t> </w:t>
            </w:r>
            <w:r>
              <w:rPr>
                <w:color w:val="231F1F"/>
                <w:w w:val="105"/>
                <w:sz w:val="22"/>
              </w:rPr>
              <w:t>se</w:t>
            </w:r>
            <w:r>
              <w:rPr>
                <w:color w:val="231F1F"/>
                <w:spacing w:val="-2"/>
                <w:w w:val="105"/>
                <w:sz w:val="22"/>
              </w:rPr>
              <w:t> </w:t>
            </w:r>
            <w:r>
              <w:rPr>
                <w:color w:val="231F1F"/>
                <w:w w:val="105"/>
                <w:sz w:val="22"/>
              </w:rPr>
              <w:t>recomienda dirigir</w:t>
            </w:r>
            <w:r>
              <w:rPr>
                <w:color w:val="231F1F"/>
                <w:spacing w:val="-2"/>
                <w:w w:val="105"/>
                <w:sz w:val="22"/>
              </w:rPr>
              <w:t> </w:t>
            </w:r>
            <w:r>
              <w:rPr>
                <w:color w:val="231F1F"/>
                <w:w w:val="105"/>
                <w:sz w:val="22"/>
              </w:rPr>
              <w:t>los</w:t>
            </w:r>
            <w:r>
              <w:rPr>
                <w:color w:val="231F1F"/>
                <w:spacing w:val="-1"/>
                <w:w w:val="105"/>
                <w:sz w:val="22"/>
              </w:rPr>
              <w:t> </w:t>
            </w:r>
            <w:r>
              <w:rPr>
                <w:color w:val="231F1F"/>
                <w:w w:val="105"/>
                <w:sz w:val="22"/>
              </w:rPr>
              <w:t>pujos</w:t>
            </w:r>
            <w:r>
              <w:rPr>
                <w:color w:val="231F1F"/>
                <w:spacing w:val="-1"/>
                <w:w w:val="105"/>
                <w:sz w:val="22"/>
              </w:rPr>
              <w:t> </w:t>
            </w:r>
            <w:r>
              <w:rPr>
                <w:color w:val="231F1F"/>
                <w:w w:val="105"/>
                <w:sz w:val="22"/>
              </w:rPr>
              <w:t>una</w:t>
            </w:r>
            <w:r>
              <w:rPr>
                <w:color w:val="231F1F"/>
                <w:spacing w:val="-2"/>
                <w:w w:val="105"/>
                <w:sz w:val="22"/>
              </w:rPr>
              <w:t> </w:t>
            </w:r>
            <w:r>
              <w:rPr>
                <w:color w:val="231F1F"/>
                <w:w w:val="105"/>
                <w:sz w:val="22"/>
              </w:rPr>
              <w:t>vez</w:t>
            </w:r>
            <w:r>
              <w:rPr>
                <w:color w:val="231F1F"/>
                <w:spacing w:val="-2"/>
                <w:w w:val="105"/>
                <w:sz w:val="22"/>
              </w:rPr>
              <w:t> </w:t>
            </w:r>
            <w:r>
              <w:rPr>
                <w:color w:val="231F1F"/>
                <w:w w:val="105"/>
                <w:sz w:val="22"/>
              </w:rPr>
              <w:t>com- pletada</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fase</w:t>
            </w:r>
            <w:r>
              <w:rPr>
                <w:color w:val="231F1F"/>
                <w:spacing w:val="40"/>
                <w:w w:val="105"/>
                <w:sz w:val="22"/>
              </w:rPr>
              <w:t> </w:t>
            </w:r>
            <w:r>
              <w:rPr>
                <w:color w:val="231F1F"/>
                <w:w w:val="105"/>
                <w:sz w:val="22"/>
              </w:rPr>
              <w:t>pasiva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segunda</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p>
        </w:tc>
      </w:tr>
      <w:tr>
        <w:trPr>
          <w:trHeight w:val="412" w:hRule="atLeast"/>
        </w:trPr>
        <w:tc>
          <w:tcPr>
            <w:tcW w:w="8505" w:type="dxa"/>
            <w:gridSpan w:val="2"/>
          </w:tcPr>
          <w:p>
            <w:pPr>
              <w:pStyle w:val="TableParagraph"/>
              <w:spacing w:before="68"/>
              <w:rPr>
                <w:sz w:val="22"/>
              </w:rPr>
            </w:pPr>
            <w:r>
              <w:rPr>
                <w:color w:val="231F1F"/>
                <w:sz w:val="22"/>
              </w:rPr>
              <w:t>6.6.</w:t>
            </w:r>
            <w:r>
              <w:rPr>
                <w:color w:val="231F1F"/>
                <w:spacing w:val="32"/>
                <w:sz w:val="22"/>
              </w:rPr>
              <w:t> </w:t>
            </w:r>
            <w:r>
              <w:rPr>
                <w:color w:val="231F1F"/>
                <w:sz w:val="22"/>
              </w:rPr>
              <w:t>Prevención</w:t>
            </w:r>
            <w:r>
              <w:rPr>
                <w:color w:val="231F1F"/>
                <w:spacing w:val="32"/>
                <w:sz w:val="22"/>
              </w:rPr>
              <w:t> </w:t>
            </w:r>
            <w:r>
              <w:rPr>
                <w:color w:val="231F1F"/>
                <w:sz w:val="22"/>
              </w:rPr>
              <w:t>del</w:t>
            </w:r>
            <w:r>
              <w:rPr>
                <w:color w:val="231F1F"/>
                <w:spacing w:val="32"/>
                <w:sz w:val="22"/>
              </w:rPr>
              <w:t> </w:t>
            </w:r>
            <w:r>
              <w:rPr>
                <w:color w:val="231F1F"/>
                <w:sz w:val="22"/>
              </w:rPr>
              <w:t>trauma</w:t>
            </w:r>
            <w:r>
              <w:rPr>
                <w:color w:val="231F1F"/>
                <w:spacing w:val="34"/>
                <w:sz w:val="22"/>
              </w:rPr>
              <w:t> </w:t>
            </w:r>
            <w:r>
              <w:rPr>
                <w:color w:val="231F1F"/>
                <w:spacing w:val="-2"/>
                <w:sz w:val="22"/>
              </w:rPr>
              <w:t>genital</w:t>
            </w:r>
          </w:p>
        </w:tc>
      </w:tr>
      <w:tr>
        <w:trPr>
          <w:trHeight w:val="407" w:hRule="atLeast"/>
        </w:trPr>
        <w:tc>
          <w:tcPr>
            <w:tcW w:w="571" w:type="dxa"/>
          </w:tcPr>
          <w:p>
            <w:pPr>
              <w:pStyle w:val="TableParagraph"/>
              <w:spacing w:before="44"/>
              <w:ind w:left="46" w:right="9"/>
              <w:jc w:val="center"/>
              <w:rPr>
                <w:sz w:val="22"/>
              </w:rPr>
            </w:pPr>
            <w:r>
              <w:rPr>
                <w:color w:val="231F1F"/>
                <w:spacing w:val="-10"/>
                <w:w w:val="115"/>
                <w:sz w:val="22"/>
              </w:rPr>
              <w:t>A</w:t>
            </w:r>
          </w:p>
        </w:tc>
        <w:tc>
          <w:tcPr>
            <w:tcW w:w="7934" w:type="dxa"/>
          </w:tcPr>
          <w:p>
            <w:pPr>
              <w:pStyle w:val="TableParagraph"/>
              <w:spacing w:before="63"/>
              <w:ind w:left="116"/>
              <w:rPr>
                <w:sz w:val="22"/>
              </w:rPr>
            </w:pPr>
            <w:r>
              <w:rPr>
                <w:color w:val="231F1F"/>
                <w:sz w:val="22"/>
              </w:rPr>
              <w:t>No</w:t>
            </w:r>
            <w:r>
              <w:rPr>
                <w:color w:val="231F1F"/>
                <w:spacing w:val="17"/>
                <w:sz w:val="22"/>
              </w:rPr>
              <w:t> </w:t>
            </w:r>
            <w:r>
              <w:rPr>
                <w:color w:val="231F1F"/>
                <w:sz w:val="22"/>
              </w:rPr>
              <w:t>se</w:t>
            </w:r>
            <w:r>
              <w:rPr>
                <w:color w:val="231F1F"/>
                <w:spacing w:val="18"/>
                <w:sz w:val="22"/>
              </w:rPr>
              <w:t> </w:t>
            </w:r>
            <w:r>
              <w:rPr>
                <w:color w:val="231F1F"/>
                <w:sz w:val="22"/>
              </w:rPr>
              <w:t>recomienda</w:t>
            </w:r>
            <w:r>
              <w:rPr>
                <w:color w:val="231F1F"/>
                <w:spacing w:val="19"/>
                <w:sz w:val="22"/>
              </w:rPr>
              <w:t> </w:t>
            </w:r>
            <w:r>
              <w:rPr>
                <w:color w:val="231F1F"/>
                <w:sz w:val="22"/>
              </w:rPr>
              <w:t>la</w:t>
            </w:r>
            <w:r>
              <w:rPr>
                <w:color w:val="231F1F"/>
                <w:spacing w:val="18"/>
                <w:sz w:val="22"/>
              </w:rPr>
              <w:t> </w:t>
            </w:r>
            <w:r>
              <w:rPr>
                <w:color w:val="231F1F"/>
                <w:sz w:val="22"/>
              </w:rPr>
              <w:t>realización</w:t>
            </w:r>
            <w:r>
              <w:rPr>
                <w:color w:val="231F1F"/>
                <w:spacing w:val="19"/>
                <w:sz w:val="22"/>
              </w:rPr>
              <w:t> </w:t>
            </w:r>
            <w:r>
              <w:rPr>
                <w:color w:val="231F1F"/>
                <w:sz w:val="22"/>
              </w:rPr>
              <w:t>del</w:t>
            </w:r>
            <w:r>
              <w:rPr>
                <w:color w:val="231F1F"/>
                <w:spacing w:val="18"/>
                <w:sz w:val="22"/>
              </w:rPr>
              <w:t> </w:t>
            </w:r>
            <w:r>
              <w:rPr>
                <w:b/>
                <w:i/>
                <w:color w:val="231F1F"/>
                <w:sz w:val="22"/>
              </w:rPr>
              <w:t>masaje</w:t>
            </w:r>
            <w:r>
              <w:rPr>
                <w:b/>
                <w:i/>
                <w:color w:val="231F1F"/>
                <w:spacing w:val="27"/>
                <w:sz w:val="22"/>
              </w:rPr>
              <w:t> </w:t>
            </w:r>
            <w:r>
              <w:rPr>
                <w:b/>
                <w:i/>
                <w:color w:val="231F1F"/>
                <w:sz w:val="22"/>
              </w:rPr>
              <w:t>perineal</w:t>
            </w:r>
            <w:r>
              <w:rPr>
                <w:b/>
                <w:i/>
                <w:color w:val="231F1F"/>
                <w:spacing w:val="17"/>
                <w:sz w:val="22"/>
              </w:rPr>
              <w:t> </w:t>
            </w:r>
            <w:r>
              <w:rPr>
                <w:color w:val="231F1F"/>
                <w:sz w:val="22"/>
              </w:rPr>
              <w:t>durante</w:t>
            </w:r>
            <w:r>
              <w:rPr>
                <w:color w:val="231F1F"/>
                <w:spacing w:val="18"/>
                <w:sz w:val="22"/>
              </w:rPr>
              <w:t> </w:t>
            </w:r>
            <w:r>
              <w:rPr>
                <w:color w:val="231F1F"/>
                <w:sz w:val="22"/>
              </w:rPr>
              <w:t>la</w:t>
            </w:r>
            <w:r>
              <w:rPr>
                <w:color w:val="231F1F"/>
                <w:spacing w:val="17"/>
                <w:sz w:val="22"/>
              </w:rPr>
              <w:t> </w:t>
            </w:r>
            <w:r>
              <w:rPr>
                <w:color w:val="231F1F"/>
                <w:sz w:val="22"/>
              </w:rPr>
              <w:t>2.ª</w:t>
            </w:r>
            <w:r>
              <w:rPr>
                <w:color w:val="231F1F"/>
                <w:spacing w:val="18"/>
                <w:sz w:val="22"/>
              </w:rPr>
              <w:t> </w:t>
            </w:r>
            <w:r>
              <w:rPr>
                <w:color w:val="231F1F"/>
                <w:sz w:val="22"/>
              </w:rPr>
              <w:t>etapa</w:t>
            </w:r>
            <w:r>
              <w:rPr>
                <w:color w:val="231F1F"/>
                <w:spacing w:val="17"/>
                <w:sz w:val="22"/>
              </w:rPr>
              <w:t> </w:t>
            </w:r>
            <w:r>
              <w:rPr>
                <w:color w:val="231F1F"/>
                <w:sz w:val="22"/>
              </w:rPr>
              <w:t>del</w:t>
            </w:r>
            <w:r>
              <w:rPr>
                <w:color w:val="231F1F"/>
                <w:spacing w:val="20"/>
                <w:sz w:val="22"/>
              </w:rPr>
              <w:t> </w:t>
            </w:r>
            <w:r>
              <w:rPr>
                <w:color w:val="231F1F"/>
                <w:spacing w:val="-2"/>
                <w:sz w:val="22"/>
              </w:rPr>
              <w:t>parto.</w:t>
            </w:r>
          </w:p>
        </w:tc>
      </w:tr>
      <w:tr>
        <w:trPr>
          <w:trHeight w:val="695" w:hRule="atLeast"/>
        </w:trPr>
        <w:tc>
          <w:tcPr>
            <w:tcW w:w="571" w:type="dxa"/>
          </w:tcPr>
          <w:p>
            <w:pPr>
              <w:pStyle w:val="TableParagraph"/>
              <w:spacing w:before="188"/>
              <w:ind w:left="46" w:right="9"/>
              <w:jc w:val="center"/>
              <w:rPr>
                <w:sz w:val="22"/>
              </w:rPr>
            </w:pPr>
            <w:r>
              <w:rPr>
                <w:color w:val="231F1F"/>
                <w:spacing w:val="-10"/>
                <w:w w:val="115"/>
                <w:sz w:val="22"/>
              </w:rPr>
              <w:t>A</w:t>
            </w:r>
          </w:p>
        </w:tc>
        <w:tc>
          <w:tcPr>
            <w:tcW w:w="7934" w:type="dxa"/>
          </w:tcPr>
          <w:p>
            <w:pPr>
              <w:pStyle w:val="TableParagraph"/>
              <w:spacing w:line="254" w:lineRule="auto" w:before="77"/>
              <w:ind w:left="117" w:right="307"/>
              <w:rPr>
                <w:sz w:val="22"/>
              </w:rPr>
            </w:pPr>
            <w:r>
              <w:rPr>
                <w:color w:val="231F1F"/>
                <w:sz w:val="22"/>
              </w:rPr>
              <w:t>Se recomienda</w:t>
            </w:r>
            <w:r>
              <w:rPr>
                <w:color w:val="231F1F"/>
                <w:spacing w:val="27"/>
                <w:sz w:val="22"/>
              </w:rPr>
              <w:t> </w:t>
            </w:r>
            <w:r>
              <w:rPr>
                <w:color w:val="231F1F"/>
                <w:sz w:val="22"/>
              </w:rPr>
              <w:t>posibilitar la aplicación de compresas calientes durante la 2.ª etapa</w:t>
            </w:r>
            <w:r>
              <w:rPr>
                <w:color w:val="231F1F"/>
                <w:spacing w:val="40"/>
                <w:sz w:val="22"/>
              </w:rPr>
              <w:t> </w:t>
            </w:r>
            <w:r>
              <w:rPr>
                <w:color w:val="231F1F"/>
                <w:sz w:val="22"/>
              </w:rPr>
              <w:t>del parto.</w:t>
            </w:r>
          </w:p>
        </w:tc>
      </w:tr>
      <w:tr>
        <w:trPr>
          <w:trHeight w:val="690" w:hRule="atLeast"/>
        </w:trPr>
        <w:tc>
          <w:tcPr>
            <w:tcW w:w="571" w:type="dxa"/>
          </w:tcPr>
          <w:p>
            <w:pPr>
              <w:pStyle w:val="TableParagraph"/>
              <w:spacing w:before="188"/>
              <w:ind w:left="46" w:right="7"/>
              <w:jc w:val="center"/>
              <w:rPr>
                <w:sz w:val="22"/>
              </w:rPr>
            </w:pPr>
            <w:r>
              <w:rPr>
                <w:color w:val="231F1F"/>
                <w:spacing w:val="-10"/>
                <w:w w:val="110"/>
                <w:sz w:val="22"/>
              </w:rPr>
              <w:t>B</w:t>
            </w:r>
          </w:p>
        </w:tc>
        <w:tc>
          <w:tcPr>
            <w:tcW w:w="7934" w:type="dxa"/>
          </w:tcPr>
          <w:p>
            <w:pPr>
              <w:pStyle w:val="TableParagraph"/>
              <w:spacing w:line="244" w:lineRule="auto" w:before="49"/>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la</w:t>
            </w:r>
            <w:r>
              <w:rPr>
                <w:color w:val="231F1F"/>
                <w:spacing w:val="-8"/>
                <w:w w:val="110"/>
                <w:sz w:val="22"/>
              </w:rPr>
              <w:t> </w:t>
            </w:r>
            <w:r>
              <w:rPr>
                <w:color w:val="231F1F"/>
                <w:w w:val="110"/>
                <w:sz w:val="22"/>
              </w:rPr>
              <w:t>protección</w:t>
            </w:r>
            <w:r>
              <w:rPr>
                <w:color w:val="231F1F"/>
                <w:spacing w:val="-8"/>
                <w:w w:val="110"/>
                <w:sz w:val="22"/>
              </w:rPr>
              <w:t> </w:t>
            </w:r>
            <w:r>
              <w:rPr>
                <w:color w:val="231F1F"/>
                <w:w w:val="110"/>
                <w:sz w:val="22"/>
              </w:rPr>
              <w:t>activa</w:t>
            </w:r>
            <w:r>
              <w:rPr>
                <w:color w:val="231F1F"/>
                <w:spacing w:val="-8"/>
                <w:w w:val="110"/>
                <w:sz w:val="22"/>
              </w:rPr>
              <w:t> </w:t>
            </w:r>
            <w:r>
              <w:rPr>
                <w:color w:val="231F1F"/>
                <w:w w:val="110"/>
                <w:sz w:val="22"/>
              </w:rPr>
              <w:t>del</w:t>
            </w:r>
            <w:r>
              <w:rPr>
                <w:color w:val="231F1F"/>
                <w:spacing w:val="-9"/>
                <w:w w:val="110"/>
                <w:sz w:val="22"/>
              </w:rPr>
              <w:t> </w:t>
            </w:r>
            <w:r>
              <w:rPr>
                <w:color w:val="231F1F"/>
                <w:w w:val="110"/>
                <w:sz w:val="22"/>
              </w:rPr>
              <w:t>periné</w:t>
            </w:r>
            <w:r>
              <w:rPr>
                <w:color w:val="231F1F"/>
                <w:spacing w:val="-8"/>
                <w:w w:val="110"/>
                <w:sz w:val="22"/>
              </w:rPr>
              <w:t> </w:t>
            </w:r>
            <w:r>
              <w:rPr>
                <w:color w:val="231F1F"/>
                <w:w w:val="110"/>
                <w:sz w:val="22"/>
              </w:rPr>
              <w:t>mediante</w:t>
            </w:r>
            <w:r>
              <w:rPr>
                <w:color w:val="231F1F"/>
                <w:spacing w:val="-8"/>
                <w:w w:val="110"/>
                <w:sz w:val="22"/>
              </w:rPr>
              <w:t> </w:t>
            </w:r>
            <w:r>
              <w:rPr>
                <w:color w:val="231F1F"/>
                <w:w w:val="110"/>
                <w:sz w:val="22"/>
              </w:rPr>
              <w:t>la</w:t>
            </w:r>
            <w:r>
              <w:rPr>
                <w:color w:val="231F1F"/>
                <w:spacing w:val="-8"/>
                <w:w w:val="110"/>
                <w:sz w:val="22"/>
              </w:rPr>
              <w:t> </w:t>
            </w:r>
            <w:r>
              <w:rPr>
                <w:color w:val="231F1F"/>
                <w:w w:val="110"/>
                <w:sz w:val="22"/>
              </w:rPr>
              <w:t>técnica</w:t>
            </w:r>
            <w:r>
              <w:rPr>
                <w:color w:val="231F1F"/>
                <w:spacing w:val="-8"/>
                <w:w w:val="110"/>
                <w:sz w:val="22"/>
              </w:rPr>
              <w:t> </w:t>
            </w:r>
            <w:r>
              <w:rPr>
                <w:color w:val="231F1F"/>
                <w:w w:val="110"/>
                <w:sz w:val="22"/>
              </w:rPr>
              <w:t>de</w:t>
            </w:r>
            <w:r>
              <w:rPr>
                <w:color w:val="231F1F"/>
                <w:spacing w:val="-11"/>
                <w:w w:val="110"/>
                <w:sz w:val="22"/>
              </w:rPr>
              <w:t> </w:t>
            </w:r>
            <w:r>
              <w:rPr>
                <w:b/>
                <w:color w:val="231F1F"/>
                <w:w w:val="110"/>
                <w:sz w:val="22"/>
              </w:rPr>
              <w:t>deflexión controlada de la cabeza fetal </w:t>
            </w:r>
            <w:r>
              <w:rPr>
                <w:color w:val="231F1F"/>
                <w:w w:val="110"/>
                <w:sz w:val="22"/>
              </w:rPr>
              <w:t>y pidiendo a la mujer que no empuje.</w:t>
            </w:r>
          </w:p>
        </w:tc>
      </w:tr>
      <w:tr>
        <w:trPr>
          <w:trHeight w:val="695" w:hRule="atLeast"/>
        </w:trPr>
        <w:tc>
          <w:tcPr>
            <w:tcW w:w="571" w:type="dxa"/>
          </w:tcPr>
          <w:p>
            <w:pPr>
              <w:pStyle w:val="TableParagraph"/>
              <w:spacing w:before="188"/>
              <w:ind w:left="46" w:right="9"/>
              <w:jc w:val="center"/>
              <w:rPr>
                <w:sz w:val="22"/>
              </w:rPr>
            </w:pPr>
            <w:r>
              <w:rPr>
                <w:color w:val="231F1F"/>
                <w:spacing w:val="-10"/>
                <w:w w:val="115"/>
                <w:sz w:val="22"/>
              </w:rPr>
              <w:t>A</w:t>
            </w:r>
          </w:p>
        </w:tc>
        <w:tc>
          <w:tcPr>
            <w:tcW w:w="7934" w:type="dxa"/>
          </w:tcPr>
          <w:p>
            <w:pPr>
              <w:pStyle w:val="TableParagraph"/>
              <w:spacing w:line="249" w:lineRule="auto" w:before="58"/>
              <w:ind w:left="117"/>
              <w:rPr>
                <w:sz w:val="22"/>
              </w:rPr>
            </w:pPr>
            <w:r>
              <w:rPr>
                <w:color w:val="231F1F"/>
                <w:w w:val="105"/>
                <w:sz w:val="22"/>
              </w:rPr>
              <w:t>Se</w:t>
            </w:r>
            <w:r>
              <w:rPr>
                <w:color w:val="231F1F"/>
                <w:spacing w:val="-8"/>
                <w:w w:val="105"/>
                <w:sz w:val="22"/>
              </w:rPr>
              <w:t> </w:t>
            </w:r>
            <w:r>
              <w:rPr>
                <w:color w:val="231F1F"/>
                <w:w w:val="105"/>
                <w:sz w:val="22"/>
              </w:rPr>
              <w:t>recomienda</w:t>
            </w:r>
            <w:r>
              <w:rPr>
                <w:color w:val="231F1F"/>
                <w:spacing w:val="-6"/>
                <w:w w:val="105"/>
                <w:sz w:val="22"/>
              </w:rPr>
              <w:t> </w:t>
            </w:r>
            <w:r>
              <w:rPr>
                <w:color w:val="231F1F"/>
                <w:w w:val="105"/>
                <w:sz w:val="22"/>
              </w:rPr>
              <w:t>no</w:t>
            </w:r>
            <w:r>
              <w:rPr>
                <w:color w:val="231F1F"/>
                <w:spacing w:val="-7"/>
                <w:w w:val="105"/>
                <w:sz w:val="22"/>
              </w:rPr>
              <w:t> </w:t>
            </w:r>
            <w:r>
              <w:rPr>
                <w:color w:val="231F1F"/>
                <w:w w:val="105"/>
                <w:sz w:val="22"/>
              </w:rPr>
              <w:t>utilizar</w:t>
            </w:r>
            <w:r>
              <w:rPr>
                <w:color w:val="231F1F"/>
                <w:spacing w:val="-8"/>
                <w:w w:val="105"/>
                <w:sz w:val="22"/>
              </w:rPr>
              <w:t> </w:t>
            </w:r>
            <w:r>
              <w:rPr>
                <w:color w:val="231F1F"/>
                <w:w w:val="105"/>
                <w:sz w:val="22"/>
              </w:rPr>
              <w:t>la</w:t>
            </w:r>
            <w:r>
              <w:rPr>
                <w:color w:val="231F1F"/>
                <w:spacing w:val="-7"/>
                <w:w w:val="105"/>
                <w:sz w:val="22"/>
              </w:rPr>
              <w:t> </w:t>
            </w:r>
            <w:r>
              <w:rPr>
                <w:b/>
                <w:i/>
                <w:color w:val="231F1F"/>
                <w:w w:val="105"/>
                <w:sz w:val="22"/>
              </w:rPr>
              <w:t>aplicación</w:t>
            </w:r>
            <w:r>
              <w:rPr>
                <w:b/>
                <w:i/>
                <w:color w:val="231F1F"/>
                <w:spacing w:val="-1"/>
                <w:w w:val="105"/>
                <w:sz w:val="22"/>
              </w:rPr>
              <w:t> </w:t>
            </w:r>
            <w:r>
              <w:rPr>
                <w:b/>
                <w:i/>
                <w:color w:val="231F1F"/>
                <w:w w:val="105"/>
                <w:sz w:val="22"/>
              </w:rPr>
              <w:t>de</w:t>
            </w:r>
            <w:r>
              <w:rPr>
                <w:b/>
                <w:i/>
                <w:color w:val="231F1F"/>
                <w:spacing w:val="-1"/>
                <w:w w:val="105"/>
                <w:sz w:val="22"/>
              </w:rPr>
              <w:t> </w:t>
            </w:r>
            <w:r>
              <w:rPr>
                <w:b/>
                <w:i/>
                <w:color w:val="231F1F"/>
                <w:w w:val="105"/>
                <w:sz w:val="22"/>
              </w:rPr>
              <w:t>anestésico</w:t>
            </w:r>
            <w:r>
              <w:rPr>
                <w:b/>
                <w:i/>
                <w:color w:val="231F1F"/>
                <w:spacing w:val="-2"/>
                <w:w w:val="105"/>
                <w:sz w:val="22"/>
              </w:rPr>
              <w:t> </w:t>
            </w:r>
            <w:r>
              <w:rPr>
                <w:b/>
                <w:i/>
                <w:color w:val="231F1F"/>
                <w:w w:val="105"/>
                <w:sz w:val="22"/>
              </w:rPr>
              <w:t>local</w:t>
            </w:r>
            <w:r>
              <w:rPr>
                <w:b/>
                <w:i/>
                <w:color w:val="231F1F"/>
                <w:spacing w:val="-7"/>
                <w:w w:val="105"/>
                <w:sz w:val="22"/>
              </w:rPr>
              <w:t> </w:t>
            </w:r>
            <w:r>
              <w:rPr>
                <w:color w:val="231F1F"/>
                <w:w w:val="105"/>
                <w:sz w:val="22"/>
              </w:rPr>
              <w:t>en</w:t>
            </w:r>
            <w:r>
              <w:rPr>
                <w:color w:val="231F1F"/>
                <w:spacing w:val="-6"/>
                <w:w w:val="105"/>
                <w:sz w:val="22"/>
              </w:rPr>
              <w:t> </w:t>
            </w:r>
            <w:r>
              <w:rPr>
                <w:color w:val="231F1F"/>
                <w:w w:val="105"/>
                <w:sz w:val="22"/>
              </w:rPr>
              <w:t>spray</w:t>
            </w:r>
            <w:r>
              <w:rPr>
                <w:color w:val="231F1F"/>
                <w:spacing w:val="-8"/>
                <w:w w:val="105"/>
                <w:sz w:val="22"/>
              </w:rPr>
              <w:t> </w:t>
            </w:r>
            <w:r>
              <w:rPr>
                <w:color w:val="231F1F"/>
                <w:w w:val="105"/>
                <w:sz w:val="22"/>
              </w:rPr>
              <w:t>como</w:t>
            </w:r>
            <w:r>
              <w:rPr>
                <w:color w:val="231F1F"/>
                <w:spacing w:val="-7"/>
                <w:w w:val="105"/>
                <w:sz w:val="22"/>
              </w:rPr>
              <w:t> </w:t>
            </w:r>
            <w:r>
              <w:rPr>
                <w:color w:val="231F1F"/>
                <w:w w:val="105"/>
                <w:sz w:val="22"/>
              </w:rPr>
              <w:t>método para</w:t>
            </w:r>
            <w:r>
              <w:rPr>
                <w:color w:val="231F1F"/>
                <w:spacing w:val="40"/>
                <w:w w:val="105"/>
                <w:sz w:val="22"/>
              </w:rPr>
              <w:t> </w:t>
            </w:r>
            <w:r>
              <w:rPr>
                <w:color w:val="231F1F"/>
                <w:w w:val="105"/>
                <w:sz w:val="22"/>
              </w:rPr>
              <w:t>reducir</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dolor</w:t>
            </w:r>
            <w:r>
              <w:rPr>
                <w:color w:val="231F1F"/>
                <w:spacing w:val="40"/>
                <w:w w:val="105"/>
                <w:sz w:val="22"/>
              </w:rPr>
              <w:t> </w:t>
            </w:r>
            <w:r>
              <w:rPr>
                <w:color w:val="231F1F"/>
                <w:w w:val="105"/>
                <w:sz w:val="22"/>
              </w:rPr>
              <w:t>perineal</w:t>
            </w:r>
            <w:r>
              <w:rPr>
                <w:color w:val="231F1F"/>
                <w:spacing w:val="40"/>
                <w:w w:val="105"/>
                <w:sz w:val="22"/>
              </w:rPr>
              <w:t> </w:t>
            </w:r>
            <w:r>
              <w:rPr>
                <w:color w:val="231F1F"/>
                <w:w w:val="105"/>
                <w:sz w:val="22"/>
              </w:rPr>
              <w:t>durante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2.ª</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p>
        </w:tc>
      </w:tr>
      <w:tr>
        <w:trPr>
          <w:trHeight w:val="412" w:hRule="atLeast"/>
        </w:trPr>
        <w:tc>
          <w:tcPr>
            <w:tcW w:w="8505" w:type="dxa"/>
            <w:gridSpan w:val="2"/>
          </w:tcPr>
          <w:p>
            <w:pPr>
              <w:pStyle w:val="TableParagraph"/>
              <w:spacing w:before="68"/>
              <w:rPr>
                <w:sz w:val="22"/>
              </w:rPr>
            </w:pPr>
            <w:r>
              <w:rPr>
                <w:color w:val="231F1F"/>
                <w:sz w:val="22"/>
              </w:rPr>
              <w:t>6.7.</w:t>
            </w:r>
            <w:r>
              <w:rPr>
                <w:color w:val="231F1F"/>
                <w:spacing w:val="-8"/>
                <w:sz w:val="22"/>
              </w:rPr>
              <w:t> </w:t>
            </w:r>
            <w:r>
              <w:rPr>
                <w:color w:val="231F1F"/>
                <w:spacing w:val="-2"/>
                <w:sz w:val="22"/>
              </w:rPr>
              <w:t>Episiotomía</w:t>
            </w:r>
          </w:p>
        </w:tc>
      </w:tr>
      <w:tr>
        <w:trPr>
          <w:trHeight w:val="412" w:hRule="atLeast"/>
        </w:trPr>
        <w:tc>
          <w:tcPr>
            <w:tcW w:w="571" w:type="dxa"/>
            <w:shd w:val="clear" w:color="auto" w:fill="F2DFDF"/>
          </w:tcPr>
          <w:p>
            <w:pPr>
              <w:pStyle w:val="TableParagraph"/>
              <w:spacing w:before="49"/>
              <w:ind w:left="46" w:right="9"/>
              <w:jc w:val="center"/>
              <w:rPr>
                <w:sz w:val="22"/>
              </w:rPr>
            </w:pPr>
            <w:r>
              <w:rPr>
                <w:color w:val="231F1F"/>
                <w:spacing w:val="-10"/>
                <w:w w:val="115"/>
                <w:sz w:val="22"/>
              </w:rPr>
              <w:t>A</w:t>
            </w:r>
          </w:p>
        </w:tc>
        <w:tc>
          <w:tcPr>
            <w:tcW w:w="7934" w:type="dxa"/>
            <w:shd w:val="clear" w:color="auto" w:fill="F2DFDF"/>
          </w:tcPr>
          <w:p>
            <w:pPr>
              <w:pStyle w:val="TableParagraph"/>
              <w:spacing w:before="49"/>
              <w:ind w:left="117"/>
              <w:rPr>
                <w:sz w:val="22"/>
              </w:rPr>
            </w:pPr>
            <w:r>
              <w:rPr>
                <w:color w:val="231F1F"/>
                <w:w w:val="110"/>
                <w:sz w:val="22"/>
              </w:rPr>
              <w:t>No</w:t>
            </w:r>
            <w:r>
              <w:rPr>
                <w:color w:val="231F1F"/>
                <w:spacing w:val="-15"/>
                <w:w w:val="110"/>
                <w:sz w:val="22"/>
              </w:rPr>
              <w:t> </w:t>
            </w:r>
            <w:r>
              <w:rPr>
                <w:color w:val="231F1F"/>
                <w:w w:val="110"/>
                <w:sz w:val="22"/>
              </w:rPr>
              <w:t>debe</w:t>
            </w:r>
            <w:r>
              <w:rPr>
                <w:color w:val="231F1F"/>
                <w:spacing w:val="-13"/>
                <w:w w:val="110"/>
                <w:sz w:val="22"/>
              </w:rPr>
              <w:t> </w:t>
            </w:r>
            <w:r>
              <w:rPr>
                <w:color w:val="231F1F"/>
                <w:w w:val="110"/>
                <w:sz w:val="22"/>
              </w:rPr>
              <w:t>practicarse</w:t>
            </w:r>
            <w:r>
              <w:rPr>
                <w:color w:val="231F1F"/>
                <w:spacing w:val="-12"/>
                <w:w w:val="110"/>
                <w:sz w:val="22"/>
              </w:rPr>
              <w:t> </w:t>
            </w:r>
            <w:r>
              <w:rPr>
                <w:color w:val="231F1F"/>
                <w:w w:val="110"/>
                <w:sz w:val="22"/>
              </w:rPr>
              <w:t>episiotomía</w:t>
            </w:r>
            <w:r>
              <w:rPr>
                <w:color w:val="231F1F"/>
                <w:spacing w:val="-15"/>
                <w:w w:val="110"/>
                <w:sz w:val="22"/>
              </w:rPr>
              <w:t> </w:t>
            </w:r>
            <w:r>
              <w:rPr>
                <w:color w:val="231F1F"/>
                <w:w w:val="110"/>
                <w:sz w:val="22"/>
              </w:rPr>
              <w:t>de</w:t>
            </w:r>
            <w:r>
              <w:rPr>
                <w:color w:val="231F1F"/>
                <w:spacing w:val="-13"/>
                <w:w w:val="110"/>
                <w:sz w:val="22"/>
              </w:rPr>
              <w:t> </w:t>
            </w:r>
            <w:r>
              <w:rPr>
                <w:color w:val="231F1F"/>
                <w:w w:val="110"/>
                <w:sz w:val="22"/>
              </w:rPr>
              <w:t>rutina</w:t>
            </w:r>
            <w:r>
              <w:rPr>
                <w:color w:val="231F1F"/>
                <w:spacing w:val="-12"/>
                <w:w w:val="110"/>
                <w:sz w:val="22"/>
              </w:rPr>
              <w:t> </w:t>
            </w:r>
            <w:r>
              <w:rPr>
                <w:color w:val="231F1F"/>
                <w:w w:val="110"/>
                <w:sz w:val="22"/>
              </w:rPr>
              <w:t>en</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parto</w:t>
            </w:r>
            <w:r>
              <w:rPr>
                <w:color w:val="231F1F"/>
                <w:spacing w:val="-13"/>
                <w:w w:val="110"/>
                <w:sz w:val="22"/>
              </w:rPr>
              <w:t> </w:t>
            </w:r>
            <w:r>
              <w:rPr>
                <w:color w:val="231F1F"/>
                <w:spacing w:val="-2"/>
                <w:w w:val="110"/>
                <w:sz w:val="22"/>
              </w:rPr>
              <w:t>espontáneo.</w:t>
            </w:r>
          </w:p>
        </w:tc>
      </w:tr>
      <w:tr>
        <w:trPr>
          <w:trHeight w:val="695" w:hRule="atLeast"/>
        </w:trPr>
        <w:tc>
          <w:tcPr>
            <w:tcW w:w="571" w:type="dxa"/>
            <w:shd w:val="clear" w:color="auto" w:fill="F2DFDF"/>
          </w:tcPr>
          <w:p>
            <w:pPr>
              <w:pStyle w:val="TableParagraph"/>
              <w:spacing w:before="206"/>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49"/>
              <w:ind w:left="117"/>
              <w:rPr>
                <w:sz w:val="22"/>
              </w:rPr>
            </w:pPr>
            <w:r>
              <w:rPr>
                <w:color w:val="231F1F"/>
                <w:w w:val="110"/>
                <w:sz w:val="22"/>
              </w:rPr>
              <w:t>La</w:t>
            </w:r>
            <w:r>
              <w:rPr>
                <w:color w:val="231F1F"/>
                <w:spacing w:val="-11"/>
                <w:w w:val="110"/>
                <w:sz w:val="22"/>
              </w:rPr>
              <w:t> </w:t>
            </w:r>
            <w:r>
              <w:rPr>
                <w:color w:val="231F1F"/>
                <w:w w:val="110"/>
                <w:sz w:val="22"/>
              </w:rPr>
              <w:t>episiotomía</w:t>
            </w:r>
            <w:r>
              <w:rPr>
                <w:color w:val="231F1F"/>
                <w:spacing w:val="-11"/>
                <w:w w:val="110"/>
                <w:sz w:val="22"/>
              </w:rPr>
              <w:t> </w:t>
            </w:r>
            <w:r>
              <w:rPr>
                <w:color w:val="231F1F"/>
                <w:w w:val="110"/>
                <w:sz w:val="22"/>
              </w:rPr>
              <w:t>deberá</w:t>
            </w:r>
            <w:r>
              <w:rPr>
                <w:color w:val="231F1F"/>
                <w:spacing w:val="-11"/>
                <w:w w:val="110"/>
                <w:sz w:val="22"/>
              </w:rPr>
              <w:t> </w:t>
            </w:r>
            <w:r>
              <w:rPr>
                <w:color w:val="231F1F"/>
                <w:w w:val="110"/>
                <w:sz w:val="22"/>
              </w:rPr>
              <w:t>realizarse</w:t>
            </w:r>
            <w:r>
              <w:rPr>
                <w:color w:val="231F1F"/>
                <w:spacing w:val="-11"/>
                <w:w w:val="110"/>
                <w:sz w:val="22"/>
              </w:rPr>
              <w:t> </w:t>
            </w:r>
            <w:r>
              <w:rPr>
                <w:color w:val="231F1F"/>
                <w:w w:val="110"/>
                <w:sz w:val="22"/>
              </w:rPr>
              <w:t>si</w:t>
            </w:r>
            <w:r>
              <w:rPr>
                <w:color w:val="231F1F"/>
                <w:spacing w:val="-13"/>
                <w:w w:val="110"/>
                <w:sz w:val="22"/>
              </w:rPr>
              <w:t> </w:t>
            </w:r>
            <w:r>
              <w:rPr>
                <w:color w:val="231F1F"/>
                <w:w w:val="110"/>
                <w:sz w:val="22"/>
              </w:rPr>
              <w:t>hay</w:t>
            </w:r>
            <w:r>
              <w:rPr>
                <w:color w:val="231F1F"/>
                <w:spacing w:val="-11"/>
                <w:w w:val="110"/>
                <w:sz w:val="22"/>
              </w:rPr>
              <w:t> </w:t>
            </w:r>
            <w:r>
              <w:rPr>
                <w:color w:val="231F1F"/>
                <w:w w:val="110"/>
                <w:sz w:val="22"/>
              </w:rPr>
              <w:t>necesidad</w:t>
            </w:r>
            <w:r>
              <w:rPr>
                <w:color w:val="231F1F"/>
                <w:spacing w:val="-11"/>
                <w:w w:val="110"/>
                <w:sz w:val="22"/>
              </w:rPr>
              <w:t> </w:t>
            </w:r>
            <w:r>
              <w:rPr>
                <w:color w:val="231F1F"/>
                <w:w w:val="110"/>
                <w:sz w:val="22"/>
              </w:rPr>
              <w:t>clínica,</w:t>
            </w:r>
            <w:r>
              <w:rPr>
                <w:color w:val="231F1F"/>
                <w:spacing w:val="-13"/>
                <w:w w:val="110"/>
                <w:sz w:val="22"/>
              </w:rPr>
              <w:t> </w:t>
            </w:r>
            <w:r>
              <w:rPr>
                <w:color w:val="231F1F"/>
                <w:w w:val="110"/>
                <w:sz w:val="22"/>
              </w:rPr>
              <w:t>como</w:t>
            </w:r>
            <w:r>
              <w:rPr>
                <w:color w:val="231F1F"/>
                <w:spacing w:val="-11"/>
                <w:w w:val="110"/>
                <w:sz w:val="22"/>
              </w:rPr>
              <w:t> </w:t>
            </w:r>
            <w:r>
              <w:rPr>
                <w:color w:val="231F1F"/>
                <w:w w:val="110"/>
                <w:sz w:val="22"/>
              </w:rPr>
              <w:t>un</w:t>
            </w:r>
            <w:r>
              <w:rPr>
                <w:color w:val="231F1F"/>
                <w:spacing w:val="-11"/>
                <w:w w:val="110"/>
                <w:sz w:val="22"/>
              </w:rPr>
              <w:t> </w:t>
            </w:r>
            <w:r>
              <w:rPr>
                <w:color w:val="231F1F"/>
                <w:w w:val="110"/>
                <w:sz w:val="22"/>
              </w:rPr>
              <w:t>parto</w:t>
            </w:r>
            <w:r>
              <w:rPr>
                <w:color w:val="231F1F"/>
                <w:spacing w:val="-11"/>
                <w:w w:val="110"/>
                <w:sz w:val="22"/>
              </w:rPr>
              <w:t> </w:t>
            </w:r>
            <w:r>
              <w:rPr>
                <w:color w:val="231F1F"/>
                <w:w w:val="110"/>
                <w:sz w:val="22"/>
              </w:rPr>
              <w:t>instru- mental o sospecha de compromiso fetal.</w:t>
            </w:r>
          </w:p>
        </w:tc>
      </w:tr>
      <w:tr>
        <w:trPr>
          <w:trHeight w:val="690" w:hRule="atLeast"/>
        </w:trPr>
        <w:tc>
          <w:tcPr>
            <w:tcW w:w="571" w:type="dxa"/>
            <w:shd w:val="clear" w:color="auto" w:fill="F2DFDF"/>
          </w:tcPr>
          <w:p>
            <w:pPr>
              <w:pStyle w:val="TableParagraph"/>
              <w:spacing w:before="201"/>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49"/>
              <w:ind w:left="117"/>
              <w:rPr>
                <w:sz w:val="22"/>
              </w:rPr>
            </w:pPr>
            <w:r>
              <w:rPr>
                <w:color w:val="231F1F"/>
                <w:w w:val="110"/>
                <w:sz w:val="22"/>
              </w:rPr>
              <w:t>Antes</w:t>
            </w:r>
            <w:r>
              <w:rPr>
                <w:color w:val="231F1F"/>
                <w:spacing w:val="-8"/>
                <w:w w:val="110"/>
                <w:sz w:val="22"/>
              </w:rPr>
              <w:t> </w:t>
            </w:r>
            <w:r>
              <w:rPr>
                <w:color w:val="231F1F"/>
                <w:w w:val="110"/>
                <w:sz w:val="22"/>
              </w:rPr>
              <w:t>de</w:t>
            </w:r>
            <w:r>
              <w:rPr>
                <w:color w:val="231F1F"/>
                <w:spacing w:val="-8"/>
                <w:w w:val="110"/>
                <w:sz w:val="22"/>
              </w:rPr>
              <w:t> </w:t>
            </w:r>
            <w:r>
              <w:rPr>
                <w:color w:val="231F1F"/>
                <w:w w:val="110"/>
                <w:sz w:val="22"/>
              </w:rPr>
              <w:t>llevar</w:t>
            </w:r>
            <w:r>
              <w:rPr>
                <w:color w:val="231F1F"/>
                <w:spacing w:val="-8"/>
                <w:w w:val="110"/>
                <w:sz w:val="22"/>
              </w:rPr>
              <w:t> </w:t>
            </w:r>
            <w:r>
              <w:rPr>
                <w:color w:val="231F1F"/>
                <w:w w:val="110"/>
                <w:sz w:val="22"/>
              </w:rPr>
              <w:t>a</w:t>
            </w:r>
            <w:r>
              <w:rPr>
                <w:color w:val="231F1F"/>
                <w:spacing w:val="-8"/>
                <w:w w:val="110"/>
                <w:sz w:val="22"/>
              </w:rPr>
              <w:t> </w:t>
            </w:r>
            <w:r>
              <w:rPr>
                <w:color w:val="231F1F"/>
                <w:w w:val="110"/>
                <w:sz w:val="22"/>
              </w:rPr>
              <w:t>cabo</w:t>
            </w:r>
            <w:r>
              <w:rPr>
                <w:color w:val="231F1F"/>
                <w:spacing w:val="-8"/>
                <w:w w:val="110"/>
                <w:sz w:val="22"/>
              </w:rPr>
              <w:t> </w:t>
            </w:r>
            <w:r>
              <w:rPr>
                <w:color w:val="231F1F"/>
                <w:w w:val="110"/>
                <w:sz w:val="22"/>
              </w:rPr>
              <w:t>una</w:t>
            </w:r>
            <w:r>
              <w:rPr>
                <w:color w:val="231F1F"/>
                <w:spacing w:val="-8"/>
                <w:w w:val="110"/>
                <w:sz w:val="22"/>
              </w:rPr>
              <w:t> </w:t>
            </w:r>
            <w:r>
              <w:rPr>
                <w:color w:val="231F1F"/>
                <w:w w:val="110"/>
                <w:sz w:val="22"/>
              </w:rPr>
              <w:t>episiotomía</w:t>
            </w:r>
            <w:r>
              <w:rPr>
                <w:color w:val="231F1F"/>
                <w:spacing w:val="-8"/>
                <w:w w:val="110"/>
                <w:sz w:val="22"/>
              </w:rPr>
              <w:t> </w:t>
            </w:r>
            <w:r>
              <w:rPr>
                <w:color w:val="231F1F"/>
                <w:w w:val="110"/>
                <w:sz w:val="22"/>
              </w:rPr>
              <w:t>deberá</w:t>
            </w:r>
            <w:r>
              <w:rPr>
                <w:color w:val="231F1F"/>
                <w:spacing w:val="-8"/>
                <w:w w:val="110"/>
                <w:sz w:val="22"/>
              </w:rPr>
              <w:t> </w:t>
            </w:r>
            <w:r>
              <w:rPr>
                <w:color w:val="231F1F"/>
                <w:w w:val="110"/>
                <w:sz w:val="22"/>
              </w:rPr>
              <w:t>realizarse</w:t>
            </w:r>
            <w:r>
              <w:rPr>
                <w:color w:val="231F1F"/>
                <w:spacing w:val="-8"/>
                <w:w w:val="110"/>
                <w:sz w:val="22"/>
              </w:rPr>
              <w:t> </w:t>
            </w:r>
            <w:r>
              <w:rPr>
                <w:color w:val="231F1F"/>
                <w:w w:val="110"/>
                <w:sz w:val="22"/>
              </w:rPr>
              <w:t>una</w:t>
            </w:r>
            <w:r>
              <w:rPr>
                <w:color w:val="231F1F"/>
                <w:spacing w:val="-8"/>
                <w:w w:val="110"/>
                <w:sz w:val="22"/>
              </w:rPr>
              <w:t> </w:t>
            </w:r>
            <w:r>
              <w:rPr>
                <w:color w:val="231F1F"/>
                <w:w w:val="110"/>
                <w:sz w:val="22"/>
              </w:rPr>
              <w:t>analgesia</w:t>
            </w:r>
            <w:r>
              <w:rPr>
                <w:color w:val="231F1F"/>
                <w:spacing w:val="-8"/>
                <w:w w:val="110"/>
                <w:sz w:val="22"/>
              </w:rPr>
              <w:t> </w:t>
            </w:r>
            <w:r>
              <w:rPr>
                <w:color w:val="231F1F"/>
                <w:w w:val="110"/>
                <w:sz w:val="22"/>
              </w:rPr>
              <w:t>eficaz, excepto en una emergencia debida a un compromiso fetal agudo.</w:t>
            </w:r>
          </w:p>
        </w:tc>
      </w:tr>
    </w:tbl>
    <w:p>
      <w:pPr>
        <w:pStyle w:val="TableParagraph"/>
        <w:spacing w:after="0" w:line="244" w:lineRule="auto"/>
        <w:rPr>
          <w:sz w:val="22"/>
        </w:rPr>
        <w:sectPr>
          <w:type w:val="continuous"/>
          <w:pgSz w:w="11900" w:h="16840"/>
          <w:pgMar w:header="0" w:footer="622" w:top="1640" w:bottom="1792"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1242" w:hRule="atLeast"/>
        </w:trPr>
        <w:tc>
          <w:tcPr>
            <w:tcW w:w="571" w:type="dxa"/>
            <w:shd w:val="clear" w:color="auto" w:fill="F2DFDF"/>
          </w:tcPr>
          <w:p>
            <w:pPr>
              <w:pStyle w:val="TableParagraph"/>
              <w:spacing w:before="208"/>
              <w:ind w:left="0"/>
              <w:rPr>
                <w:rFonts w:ascii="Arial MT"/>
                <w:sz w:val="22"/>
              </w:rPr>
            </w:pPr>
          </w:p>
          <w:p>
            <w:pPr>
              <w:pStyle w:val="TableParagraph"/>
              <w:ind w:left="46" w:right="9"/>
              <w:jc w:val="center"/>
              <w:rPr>
                <w:sz w:val="22"/>
              </w:rPr>
            </w:pPr>
            <w:r>
              <w:rPr>
                <w:color w:val="231F1F"/>
                <w:spacing w:val="-10"/>
                <w:w w:val="115"/>
                <w:sz w:val="22"/>
              </w:rPr>
              <w:t>D</w:t>
            </w:r>
          </w:p>
        </w:tc>
        <w:tc>
          <w:tcPr>
            <w:tcW w:w="7934" w:type="dxa"/>
            <w:shd w:val="clear" w:color="auto" w:fill="F2DFDF"/>
          </w:tcPr>
          <w:p>
            <w:pPr>
              <w:pStyle w:val="TableParagraph"/>
              <w:spacing w:line="249" w:lineRule="auto" w:before="44"/>
              <w:ind w:left="116" w:right="82"/>
              <w:jc w:val="both"/>
              <w:rPr>
                <w:sz w:val="22"/>
              </w:rPr>
            </w:pPr>
            <w:r>
              <w:rPr>
                <w:color w:val="231F1F"/>
                <w:w w:val="110"/>
                <w:sz w:val="22"/>
              </w:rPr>
              <w:t>Cuando</w:t>
            </w:r>
            <w:r>
              <w:rPr>
                <w:color w:val="231F1F"/>
                <w:spacing w:val="-1"/>
                <w:w w:val="110"/>
                <w:sz w:val="22"/>
              </w:rPr>
              <w:t> </w:t>
            </w:r>
            <w:r>
              <w:rPr>
                <w:color w:val="231F1F"/>
                <w:w w:val="110"/>
                <w:sz w:val="22"/>
              </w:rPr>
              <w:t>se</w:t>
            </w:r>
            <w:r>
              <w:rPr>
                <w:color w:val="231F1F"/>
                <w:spacing w:val="-1"/>
                <w:w w:val="110"/>
                <w:sz w:val="22"/>
              </w:rPr>
              <w:t> </w:t>
            </w:r>
            <w:r>
              <w:rPr>
                <w:color w:val="231F1F"/>
                <w:w w:val="110"/>
                <w:sz w:val="22"/>
              </w:rPr>
              <w:t>realiza</w:t>
            </w:r>
            <w:r>
              <w:rPr>
                <w:color w:val="231F1F"/>
                <w:spacing w:val="-1"/>
                <w:w w:val="110"/>
                <w:sz w:val="22"/>
              </w:rPr>
              <w:t> </w:t>
            </w:r>
            <w:r>
              <w:rPr>
                <w:color w:val="231F1F"/>
                <w:w w:val="110"/>
                <w:sz w:val="22"/>
              </w:rPr>
              <w:t>una</w:t>
            </w:r>
            <w:r>
              <w:rPr>
                <w:color w:val="231F1F"/>
                <w:spacing w:val="-1"/>
                <w:w w:val="110"/>
                <w:sz w:val="22"/>
              </w:rPr>
              <w:t> </w:t>
            </w:r>
            <w:r>
              <w:rPr>
                <w:color w:val="231F1F"/>
                <w:w w:val="110"/>
                <w:sz w:val="22"/>
              </w:rPr>
              <w:t>episiotomía,</w:t>
            </w:r>
            <w:r>
              <w:rPr>
                <w:color w:val="231F1F"/>
                <w:spacing w:val="-1"/>
                <w:w w:val="110"/>
                <w:sz w:val="22"/>
              </w:rPr>
              <w:t> </w:t>
            </w:r>
            <w:r>
              <w:rPr>
                <w:color w:val="231F1F"/>
                <w:w w:val="110"/>
                <w:sz w:val="22"/>
              </w:rPr>
              <w:t>la</w:t>
            </w:r>
            <w:r>
              <w:rPr>
                <w:color w:val="231F1F"/>
                <w:spacing w:val="-1"/>
                <w:w w:val="110"/>
                <w:sz w:val="22"/>
              </w:rPr>
              <w:t> </w:t>
            </w:r>
            <w:r>
              <w:rPr>
                <w:color w:val="231F1F"/>
                <w:w w:val="110"/>
                <w:sz w:val="22"/>
              </w:rPr>
              <w:t>técnica</w:t>
            </w:r>
            <w:r>
              <w:rPr>
                <w:color w:val="231F1F"/>
                <w:spacing w:val="-1"/>
                <w:w w:val="110"/>
                <w:sz w:val="22"/>
              </w:rPr>
              <w:t> </w:t>
            </w:r>
            <w:r>
              <w:rPr>
                <w:color w:val="231F1F"/>
                <w:w w:val="110"/>
                <w:sz w:val="22"/>
              </w:rPr>
              <w:t>recomendada</w:t>
            </w:r>
            <w:r>
              <w:rPr>
                <w:color w:val="231F1F"/>
                <w:spacing w:val="-1"/>
                <w:w w:val="110"/>
                <w:sz w:val="22"/>
              </w:rPr>
              <w:t> </w:t>
            </w:r>
            <w:r>
              <w:rPr>
                <w:color w:val="231F1F"/>
                <w:w w:val="110"/>
                <w:sz w:val="22"/>
              </w:rPr>
              <w:t>es</w:t>
            </w:r>
            <w:r>
              <w:rPr>
                <w:color w:val="231F1F"/>
                <w:spacing w:val="-1"/>
                <w:w w:val="110"/>
                <w:sz w:val="22"/>
              </w:rPr>
              <w:t> </w:t>
            </w:r>
            <w:r>
              <w:rPr>
                <w:color w:val="231F1F"/>
                <w:w w:val="110"/>
                <w:sz w:val="22"/>
              </w:rPr>
              <w:t>la</w:t>
            </w:r>
            <w:r>
              <w:rPr>
                <w:color w:val="231F1F"/>
                <w:spacing w:val="-1"/>
                <w:w w:val="110"/>
                <w:sz w:val="22"/>
              </w:rPr>
              <w:t> </w:t>
            </w:r>
            <w:r>
              <w:rPr>
                <w:color w:val="231F1F"/>
                <w:w w:val="110"/>
                <w:sz w:val="22"/>
              </w:rPr>
              <w:t>de</w:t>
            </w:r>
            <w:r>
              <w:rPr>
                <w:color w:val="231F1F"/>
                <w:spacing w:val="-1"/>
                <w:w w:val="110"/>
                <w:sz w:val="22"/>
              </w:rPr>
              <w:t> </w:t>
            </w:r>
            <w:r>
              <w:rPr>
                <w:color w:val="231F1F"/>
                <w:w w:val="110"/>
                <w:sz w:val="22"/>
              </w:rPr>
              <w:t>episiotomía </w:t>
            </w:r>
            <w:r>
              <w:rPr>
                <w:color w:val="231F1F"/>
                <w:spacing w:val="-2"/>
                <w:w w:val="110"/>
                <w:sz w:val="22"/>
              </w:rPr>
              <w:t>mediolateral,</w:t>
            </w:r>
            <w:r>
              <w:rPr>
                <w:color w:val="231F1F"/>
                <w:spacing w:val="-10"/>
                <w:w w:val="110"/>
                <w:sz w:val="22"/>
              </w:rPr>
              <w:t> </w:t>
            </w:r>
            <w:r>
              <w:rPr>
                <w:color w:val="231F1F"/>
                <w:spacing w:val="-2"/>
                <w:w w:val="110"/>
                <w:sz w:val="22"/>
              </w:rPr>
              <w:t>comenzándola</w:t>
            </w:r>
            <w:r>
              <w:rPr>
                <w:color w:val="231F1F"/>
                <w:spacing w:val="-10"/>
                <w:w w:val="110"/>
                <w:sz w:val="22"/>
              </w:rPr>
              <w:t> </w:t>
            </w:r>
            <w:r>
              <w:rPr>
                <w:color w:val="231F1F"/>
                <w:spacing w:val="-2"/>
                <w:w w:val="110"/>
                <w:sz w:val="22"/>
              </w:rPr>
              <w:t>en</w:t>
            </w:r>
            <w:r>
              <w:rPr>
                <w:color w:val="231F1F"/>
                <w:spacing w:val="-10"/>
                <w:w w:val="110"/>
                <w:sz w:val="22"/>
              </w:rPr>
              <w:t> </w:t>
            </w:r>
            <w:r>
              <w:rPr>
                <w:color w:val="231F1F"/>
                <w:spacing w:val="-2"/>
                <w:w w:val="110"/>
                <w:sz w:val="22"/>
              </w:rPr>
              <w:t>la</w:t>
            </w:r>
            <w:r>
              <w:rPr>
                <w:color w:val="231F1F"/>
                <w:spacing w:val="-10"/>
                <w:w w:val="110"/>
                <w:sz w:val="22"/>
              </w:rPr>
              <w:t> </w:t>
            </w:r>
            <w:r>
              <w:rPr>
                <w:color w:val="231F1F"/>
                <w:spacing w:val="-2"/>
                <w:w w:val="110"/>
                <w:sz w:val="22"/>
              </w:rPr>
              <w:t>comisura</w:t>
            </w:r>
            <w:r>
              <w:rPr>
                <w:color w:val="231F1F"/>
                <w:spacing w:val="-10"/>
                <w:w w:val="110"/>
                <w:sz w:val="22"/>
              </w:rPr>
              <w:t> </w:t>
            </w:r>
            <w:r>
              <w:rPr>
                <w:color w:val="231F1F"/>
                <w:spacing w:val="-2"/>
                <w:w w:val="110"/>
                <w:sz w:val="22"/>
              </w:rPr>
              <w:t>posterior</w:t>
            </w:r>
            <w:r>
              <w:rPr>
                <w:color w:val="231F1F"/>
                <w:spacing w:val="-10"/>
                <w:w w:val="110"/>
                <w:sz w:val="22"/>
              </w:rPr>
              <w:t> </w:t>
            </w:r>
            <w:r>
              <w:rPr>
                <w:color w:val="231F1F"/>
                <w:spacing w:val="-2"/>
                <w:w w:val="110"/>
                <w:sz w:val="22"/>
              </w:rPr>
              <w:t>de</w:t>
            </w:r>
            <w:r>
              <w:rPr>
                <w:color w:val="231F1F"/>
                <w:spacing w:val="-10"/>
                <w:w w:val="110"/>
                <w:sz w:val="22"/>
              </w:rPr>
              <w:t> </w:t>
            </w:r>
            <w:r>
              <w:rPr>
                <w:color w:val="231F1F"/>
                <w:spacing w:val="-2"/>
                <w:w w:val="110"/>
                <w:sz w:val="22"/>
              </w:rPr>
              <w:t>los</w:t>
            </w:r>
            <w:r>
              <w:rPr>
                <w:color w:val="231F1F"/>
                <w:spacing w:val="-10"/>
                <w:w w:val="110"/>
                <w:sz w:val="22"/>
              </w:rPr>
              <w:t> </w:t>
            </w:r>
            <w:r>
              <w:rPr>
                <w:color w:val="231F1F"/>
                <w:spacing w:val="-2"/>
                <w:w w:val="110"/>
                <w:sz w:val="22"/>
              </w:rPr>
              <w:t>labios</w:t>
            </w:r>
            <w:r>
              <w:rPr>
                <w:color w:val="231F1F"/>
                <w:spacing w:val="-10"/>
                <w:w w:val="110"/>
                <w:sz w:val="22"/>
              </w:rPr>
              <w:t> </w:t>
            </w:r>
            <w:r>
              <w:rPr>
                <w:color w:val="231F1F"/>
                <w:spacing w:val="-2"/>
                <w:w w:val="110"/>
                <w:sz w:val="22"/>
              </w:rPr>
              <w:t>menores</w:t>
            </w:r>
            <w:r>
              <w:rPr>
                <w:color w:val="231F1F"/>
                <w:spacing w:val="-10"/>
                <w:w w:val="110"/>
                <w:sz w:val="22"/>
              </w:rPr>
              <w:t> </w:t>
            </w:r>
            <w:r>
              <w:rPr>
                <w:color w:val="231F1F"/>
                <w:spacing w:val="-2"/>
                <w:w w:val="110"/>
                <w:sz w:val="22"/>
              </w:rPr>
              <w:t>y</w:t>
            </w:r>
            <w:r>
              <w:rPr>
                <w:color w:val="231F1F"/>
                <w:spacing w:val="-10"/>
                <w:w w:val="110"/>
                <w:sz w:val="22"/>
              </w:rPr>
              <w:t> </w:t>
            </w:r>
            <w:r>
              <w:rPr>
                <w:color w:val="231F1F"/>
                <w:spacing w:val="-2"/>
                <w:w w:val="110"/>
                <w:sz w:val="22"/>
              </w:rPr>
              <w:t>diri- </w:t>
            </w:r>
            <w:r>
              <w:rPr>
                <w:color w:val="231F1F"/>
                <w:w w:val="110"/>
                <w:sz w:val="22"/>
              </w:rPr>
              <w:t>gida</w:t>
            </w:r>
            <w:r>
              <w:rPr>
                <w:color w:val="231F1F"/>
                <w:spacing w:val="-4"/>
                <w:w w:val="110"/>
                <w:sz w:val="22"/>
              </w:rPr>
              <w:t> </w:t>
            </w:r>
            <w:r>
              <w:rPr>
                <w:color w:val="231F1F"/>
                <w:w w:val="110"/>
                <w:sz w:val="22"/>
              </w:rPr>
              <w:t>habitualmente</w:t>
            </w:r>
            <w:r>
              <w:rPr>
                <w:color w:val="231F1F"/>
                <w:spacing w:val="-5"/>
                <w:w w:val="110"/>
                <w:sz w:val="22"/>
              </w:rPr>
              <w:t> </w:t>
            </w:r>
            <w:r>
              <w:rPr>
                <w:color w:val="231F1F"/>
                <w:w w:val="110"/>
                <w:sz w:val="22"/>
              </w:rPr>
              <w:t>hacia</w:t>
            </w:r>
            <w:r>
              <w:rPr>
                <w:color w:val="231F1F"/>
                <w:spacing w:val="-4"/>
                <w:w w:val="110"/>
                <w:sz w:val="22"/>
              </w:rPr>
              <w:t> </w:t>
            </w:r>
            <w:r>
              <w:rPr>
                <w:color w:val="231F1F"/>
                <w:w w:val="110"/>
                <w:sz w:val="22"/>
              </w:rPr>
              <w:t>el</w:t>
            </w:r>
            <w:r>
              <w:rPr>
                <w:color w:val="231F1F"/>
                <w:spacing w:val="-5"/>
                <w:w w:val="110"/>
                <w:sz w:val="22"/>
              </w:rPr>
              <w:t> </w:t>
            </w:r>
            <w:r>
              <w:rPr>
                <w:color w:val="231F1F"/>
                <w:w w:val="110"/>
                <w:sz w:val="22"/>
              </w:rPr>
              <w:t>lado</w:t>
            </w:r>
            <w:r>
              <w:rPr>
                <w:color w:val="231F1F"/>
                <w:spacing w:val="-4"/>
                <w:w w:val="110"/>
                <w:sz w:val="22"/>
              </w:rPr>
              <w:t> </w:t>
            </w:r>
            <w:r>
              <w:rPr>
                <w:color w:val="231F1F"/>
                <w:w w:val="110"/>
                <w:sz w:val="22"/>
              </w:rPr>
              <w:t>derecho.</w:t>
            </w:r>
            <w:r>
              <w:rPr>
                <w:color w:val="231F1F"/>
                <w:spacing w:val="-5"/>
                <w:w w:val="110"/>
                <w:sz w:val="22"/>
              </w:rPr>
              <w:t> </w:t>
            </w:r>
            <w:r>
              <w:rPr>
                <w:color w:val="231F1F"/>
                <w:w w:val="110"/>
                <w:sz w:val="22"/>
              </w:rPr>
              <w:t>El</w:t>
            </w:r>
            <w:r>
              <w:rPr>
                <w:color w:val="231F1F"/>
                <w:spacing w:val="-5"/>
                <w:w w:val="110"/>
                <w:sz w:val="22"/>
              </w:rPr>
              <w:t> </w:t>
            </w:r>
            <w:r>
              <w:rPr>
                <w:color w:val="231F1F"/>
                <w:w w:val="110"/>
                <w:sz w:val="22"/>
              </w:rPr>
              <w:t>ángulo</w:t>
            </w:r>
            <w:r>
              <w:rPr>
                <w:color w:val="231F1F"/>
                <w:spacing w:val="-4"/>
                <w:w w:val="110"/>
                <w:sz w:val="22"/>
              </w:rPr>
              <w:t> </w:t>
            </w:r>
            <w:r>
              <w:rPr>
                <w:color w:val="231F1F"/>
                <w:w w:val="110"/>
                <w:sz w:val="22"/>
              </w:rPr>
              <w:t>respecto</w:t>
            </w:r>
            <w:r>
              <w:rPr>
                <w:color w:val="231F1F"/>
                <w:spacing w:val="-4"/>
                <w:w w:val="110"/>
                <w:sz w:val="22"/>
              </w:rPr>
              <w:t> </w:t>
            </w:r>
            <w:r>
              <w:rPr>
                <w:color w:val="231F1F"/>
                <w:w w:val="110"/>
                <w:sz w:val="22"/>
              </w:rPr>
              <w:t>del</w:t>
            </w:r>
            <w:r>
              <w:rPr>
                <w:color w:val="231F1F"/>
                <w:spacing w:val="-5"/>
                <w:w w:val="110"/>
                <w:sz w:val="22"/>
              </w:rPr>
              <w:t> </w:t>
            </w:r>
            <w:r>
              <w:rPr>
                <w:color w:val="231F1F"/>
                <w:w w:val="110"/>
                <w:sz w:val="22"/>
              </w:rPr>
              <w:t>eje</w:t>
            </w:r>
            <w:r>
              <w:rPr>
                <w:color w:val="231F1F"/>
                <w:spacing w:val="-4"/>
                <w:w w:val="110"/>
                <w:sz w:val="22"/>
              </w:rPr>
              <w:t> </w:t>
            </w:r>
            <w:r>
              <w:rPr>
                <w:color w:val="231F1F"/>
                <w:w w:val="110"/>
                <w:sz w:val="22"/>
              </w:rPr>
              <w:t>vertical</w:t>
            </w:r>
            <w:r>
              <w:rPr>
                <w:color w:val="231F1F"/>
                <w:spacing w:val="-5"/>
                <w:w w:val="110"/>
                <w:sz w:val="22"/>
              </w:rPr>
              <w:t> </w:t>
            </w:r>
            <w:r>
              <w:rPr>
                <w:color w:val="231F1F"/>
                <w:w w:val="110"/>
                <w:sz w:val="22"/>
              </w:rPr>
              <w:t>de- berá estar entre 45 y 60 grados de realizar la episiotomía.</w:t>
            </w:r>
          </w:p>
        </w:tc>
      </w:tr>
      <w:tr>
        <w:trPr>
          <w:trHeight w:val="681" w:hRule="atLeast"/>
        </w:trPr>
        <w:tc>
          <w:tcPr>
            <w:tcW w:w="571" w:type="dxa"/>
            <w:shd w:val="clear" w:color="auto" w:fill="F2DFDF"/>
          </w:tcPr>
          <w:p>
            <w:pPr>
              <w:pStyle w:val="TableParagraph"/>
              <w:spacing w:before="192"/>
              <w:ind w:left="46" w:right="3"/>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44"/>
              <w:ind w:left="117" w:right="163"/>
              <w:rPr>
                <w:sz w:val="22"/>
              </w:rPr>
            </w:pPr>
            <w:r>
              <w:rPr>
                <w:color w:val="231F1F"/>
                <w:w w:val="110"/>
                <w:sz w:val="22"/>
              </w:rPr>
              <w:t>La</w:t>
            </w:r>
            <w:r>
              <w:rPr>
                <w:color w:val="231F1F"/>
                <w:spacing w:val="-16"/>
                <w:w w:val="110"/>
                <w:sz w:val="22"/>
              </w:rPr>
              <w:t> </w:t>
            </w:r>
            <w:r>
              <w:rPr>
                <w:color w:val="231F1F"/>
                <w:w w:val="110"/>
                <w:sz w:val="22"/>
              </w:rPr>
              <w:t>episiotomía</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debe</w:t>
            </w:r>
            <w:r>
              <w:rPr>
                <w:color w:val="231F1F"/>
                <w:spacing w:val="-15"/>
                <w:w w:val="110"/>
                <w:sz w:val="22"/>
              </w:rPr>
              <w:t> </w:t>
            </w:r>
            <w:r>
              <w:rPr>
                <w:color w:val="231F1F"/>
                <w:w w:val="110"/>
                <w:sz w:val="22"/>
              </w:rPr>
              <w:t>ser</w:t>
            </w:r>
            <w:r>
              <w:rPr>
                <w:color w:val="231F1F"/>
                <w:spacing w:val="-15"/>
                <w:w w:val="110"/>
                <w:sz w:val="22"/>
              </w:rPr>
              <w:t> </w:t>
            </w:r>
            <w:r>
              <w:rPr>
                <w:color w:val="231F1F"/>
                <w:w w:val="110"/>
                <w:sz w:val="22"/>
              </w:rPr>
              <w:t>realizada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forma</w:t>
            </w:r>
            <w:r>
              <w:rPr>
                <w:color w:val="231F1F"/>
                <w:spacing w:val="-15"/>
                <w:w w:val="110"/>
                <w:sz w:val="22"/>
              </w:rPr>
              <w:t> </w:t>
            </w:r>
            <w:r>
              <w:rPr>
                <w:color w:val="231F1F"/>
                <w:w w:val="110"/>
                <w:sz w:val="22"/>
              </w:rPr>
              <w:t>rutinaria</w:t>
            </w:r>
            <w:r>
              <w:rPr>
                <w:color w:val="231F1F"/>
                <w:spacing w:val="-16"/>
                <w:w w:val="110"/>
                <w:sz w:val="22"/>
              </w:rPr>
              <w:t> </w:t>
            </w:r>
            <w:r>
              <w:rPr>
                <w:color w:val="231F1F"/>
                <w:w w:val="110"/>
                <w:sz w:val="22"/>
              </w:rPr>
              <w:t>durante</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vaginal en mujeres con desgarros de tercer o cuarto grado en partos anteriores.</w:t>
            </w:r>
          </w:p>
        </w:tc>
      </w:tr>
      <w:tr>
        <w:trPr>
          <w:trHeight w:val="397" w:hRule="atLeast"/>
        </w:trPr>
        <w:tc>
          <w:tcPr>
            <w:tcW w:w="8505" w:type="dxa"/>
            <w:gridSpan w:val="2"/>
          </w:tcPr>
          <w:p>
            <w:pPr>
              <w:pStyle w:val="TableParagraph"/>
              <w:spacing w:before="49"/>
              <w:rPr>
                <w:sz w:val="22"/>
              </w:rPr>
            </w:pPr>
            <w:r>
              <w:rPr>
                <w:color w:val="231F1F"/>
                <w:sz w:val="22"/>
              </w:rPr>
              <w:t>6.8.</w:t>
            </w:r>
            <w:r>
              <w:rPr>
                <w:color w:val="231F1F"/>
                <w:spacing w:val="25"/>
                <w:sz w:val="22"/>
              </w:rPr>
              <w:t> </w:t>
            </w:r>
            <w:r>
              <w:rPr>
                <w:color w:val="231F1F"/>
                <w:sz w:val="22"/>
              </w:rPr>
              <w:t>Método</w:t>
            </w:r>
            <w:r>
              <w:rPr>
                <w:color w:val="231F1F"/>
                <w:spacing w:val="29"/>
                <w:sz w:val="22"/>
              </w:rPr>
              <w:t> </w:t>
            </w:r>
            <w:r>
              <w:rPr>
                <w:color w:val="231F1F"/>
                <w:sz w:val="22"/>
              </w:rPr>
              <w:t>y</w:t>
            </w:r>
            <w:r>
              <w:rPr>
                <w:color w:val="231F1F"/>
                <w:spacing w:val="29"/>
                <w:sz w:val="22"/>
              </w:rPr>
              <w:t> </w:t>
            </w:r>
            <w:r>
              <w:rPr>
                <w:color w:val="231F1F"/>
                <w:sz w:val="22"/>
              </w:rPr>
              <w:t>material</w:t>
            </w:r>
            <w:r>
              <w:rPr>
                <w:color w:val="231F1F"/>
                <w:spacing w:val="27"/>
                <w:sz w:val="22"/>
              </w:rPr>
              <w:t> </w:t>
            </w:r>
            <w:r>
              <w:rPr>
                <w:color w:val="231F1F"/>
                <w:sz w:val="22"/>
              </w:rPr>
              <w:t>de</w:t>
            </w:r>
            <w:r>
              <w:rPr>
                <w:color w:val="231F1F"/>
                <w:spacing w:val="29"/>
                <w:sz w:val="22"/>
              </w:rPr>
              <w:t> </w:t>
            </w:r>
            <w:r>
              <w:rPr>
                <w:color w:val="231F1F"/>
                <w:sz w:val="22"/>
              </w:rPr>
              <w:t>sutura</w:t>
            </w:r>
            <w:r>
              <w:rPr>
                <w:color w:val="231F1F"/>
                <w:spacing w:val="29"/>
                <w:sz w:val="22"/>
              </w:rPr>
              <w:t> </w:t>
            </w:r>
            <w:r>
              <w:rPr>
                <w:color w:val="231F1F"/>
                <w:sz w:val="22"/>
              </w:rPr>
              <w:t>en</w:t>
            </w:r>
            <w:r>
              <w:rPr>
                <w:color w:val="231F1F"/>
                <w:spacing w:val="28"/>
                <w:sz w:val="22"/>
              </w:rPr>
              <w:t> </w:t>
            </w:r>
            <w:r>
              <w:rPr>
                <w:color w:val="231F1F"/>
                <w:sz w:val="22"/>
              </w:rPr>
              <w:t>la</w:t>
            </w:r>
            <w:r>
              <w:rPr>
                <w:color w:val="231F1F"/>
                <w:spacing w:val="29"/>
                <w:sz w:val="22"/>
              </w:rPr>
              <w:t> </w:t>
            </w:r>
            <w:r>
              <w:rPr>
                <w:color w:val="231F1F"/>
                <w:sz w:val="22"/>
              </w:rPr>
              <w:t>reparación</w:t>
            </w:r>
            <w:r>
              <w:rPr>
                <w:color w:val="231F1F"/>
                <w:spacing w:val="30"/>
                <w:sz w:val="22"/>
              </w:rPr>
              <w:t> </w:t>
            </w:r>
            <w:r>
              <w:rPr>
                <w:color w:val="231F1F"/>
                <w:spacing w:val="-2"/>
                <w:sz w:val="22"/>
              </w:rPr>
              <w:t>perineal</w:t>
            </w:r>
          </w:p>
        </w:tc>
      </w:tr>
      <w:tr>
        <w:trPr>
          <w:trHeight w:val="402" w:hRule="atLeast"/>
        </w:trPr>
        <w:tc>
          <w:tcPr>
            <w:tcW w:w="8505" w:type="dxa"/>
            <w:gridSpan w:val="2"/>
          </w:tcPr>
          <w:p>
            <w:pPr>
              <w:pStyle w:val="TableParagraph"/>
              <w:spacing w:before="44"/>
              <w:rPr>
                <w:i/>
                <w:sz w:val="22"/>
              </w:rPr>
            </w:pPr>
            <w:r>
              <w:rPr>
                <w:i/>
                <w:color w:val="231F1F"/>
                <w:spacing w:val="-2"/>
                <w:w w:val="105"/>
                <w:sz w:val="22"/>
              </w:rPr>
              <w:t>6.8.1.</w:t>
            </w:r>
            <w:r>
              <w:rPr>
                <w:i/>
                <w:color w:val="231F1F"/>
                <w:spacing w:val="-9"/>
                <w:w w:val="105"/>
                <w:sz w:val="22"/>
              </w:rPr>
              <w:t> </w:t>
            </w:r>
            <w:r>
              <w:rPr>
                <w:i/>
                <w:color w:val="231F1F"/>
                <w:spacing w:val="-2"/>
                <w:w w:val="105"/>
                <w:sz w:val="22"/>
              </w:rPr>
              <w:t>Método</w:t>
            </w:r>
            <w:r>
              <w:rPr>
                <w:i/>
                <w:color w:val="231F1F"/>
                <w:spacing w:val="-7"/>
                <w:w w:val="105"/>
                <w:sz w:val="22"/>
              </w:rPr>
              <w:t> </w:t>
            </w:r>
            <w:r>
              <w:rPr>
                <w:i/>
                <w:color w:val="231F1F"/>
                <w:spacing w:val="-2"/>
                <w:w w:val="105"/>
                <w:sz w:val="22"/>
              </w:rPr>
              <w:t>y</w:t>
            </w:r>
            <w:r>
              <w:rPr>
                <w:i/>
                <w:color w:val="231F1F"/>
                <w:spacing w:val="-5"/>
                <w:w w:val="105"/>
                <w:sz w:val="22"/>
              </w:rPr>
              <w:t> </w:t>
            </w:r>
            <w:r>
              <w:rPr>
                <w:i/>
                <w:color w:val="231F1F"/>
                <w:spacing w:val="-2"/>
                <w:w w:val="105"/>
                <w:sz w:val="22"/>
              </w:rPr>
              <w:t>material</w:t>
            </w:r>
            <w:r>
              <w:rPr>
                <w:i/>
                <w:color w:val="231F1F"/>
                <w:spacing w:val="-7"/>
                <w:w w:val="105"/>
                <w:sz w:val="22"/>
              </w:rPr>
              <w:t> </w:t>
            </w:r>
            <w:r>
              <w:rPr>
                <w:i/>
                <w:color w:val="231F1F"/>
                <w:spacing w:val="-2"/>
                <w:w w:val="105"/>
                <w:sz w:val="22"/>
              </w:rPr>
              <w:t>de</w:t>
            </w:r>
            <w:r>
              <w:rPr>
                <w:i/>
                <w:color w:val="231F1F"/>
                <w:spacing w:val="-6"/>
                <w:w w:val="105"/>
                <w:sz w:val="22"/>
              </w:rPr>
              <w:t> </w:t>
            </w:r>
            <w:r>
              <w:rPr>
                <w:i/>
                <w:color w:val="231F1F"/>
                <w:spacing w:val="-2"/>
                <w:w w:val="105"/>
                <w:sz w:val="22"/>
              </w:rPr>
              <w:t>sutura</w:t>
            </w:r>
            <w:r>
              <w:rPr>
                <w:i/>
                <w:color w:val="231F1F"/>
                <w:spacing w:val="-7"/>
                <w:w w:val="105"/>
                <w:sz w:val="22"/>
              </w:rPr>
              <w:t> </w:t>
            </w:r>
            <w:r>
              <w:rPr>
                <w:i/>
                <w:color w:val="231F1F"/>
                <w:spacing w:val="-2"/>
                <w:w w:val="105"/>
                <w:sz w:val="22"/>
              </w:rPr>
              <w:t>en</w:t>
            </w:r>
            <w:r>
              <w:rPr>
                <w:i/>
                <w:color w:val="231F1F"/>
                <w:spacing w:val="-7"/>
                <w:w w:val="105"/>
                <w:sz w:val="22"/>
              </w:rPr>
              <w:t> </w:t>
            </w:r>
            <w:r>
              <w:rPr>
                <w:i/>
                <w:color w:val="231F1F"/>
                <w:spacing w:val="-2"/>
                <w:w w:val="105"/>
                <w:sz w:val="22"/>
              </w:rPr>
              <w:t>la</w:t>
            </w:r>
            <w:r>
              <w:rPr>
                <w:i/>
                <w:color w:val="231F1F"/>
                <w:spacing w:val="-7"/>
                <w:w w:val="105"/>
                <w:sz w:val="22"/>
              </w:rPr>
              <w:t> </w:t>
            </w:r>
            <w:r>
              <w:rPr>
                <w:i/>
                <w:color w:val="231F1F"/>
                <w:spacing w:val="-2"/>
                <w:w w:val="105"/>
                <w:sz w:val="22"/>
              </w:rPr>
              <w:t>reparación</w:t>
            </w:r>
            <w:r>
              <w:rPr>
                <w:i/>
                <w:color w:val="231F1F"/>
                <w:spacing w:val="-8"/>
                <w:w w:val="105"/>
                <w:sz w:val="22"/>
              </w:rPr>
              <w:t> </w:t>
            </w:r>
            <w:r>
              <w:rPr>
                <w:i/>
                <w:color w:val="231F1F"/>
                <w:spacing w:val="-2"/>
                <w:w w:val="105"/>
                <w:sz w:val="22"/>
              </w:rPr>
              <w:t>perineal</w:t>
            </w:r>
          </w:p>
        </w:tc>
      </w:tr>
      <w:tr>
        <w:trPr>
          <w:trHeight w:val="959" w:hRule="atLeast"/>
        </w:trPr>
        <w:tc>
          <w:tcPr>
            <w:tcW w:w="571" w:type="dxa"/>
          </w:tcPr>
          <w:p>
            <w:pPr>
              <w:pStyle w:val="TableParagraph"/>
              <w:spacing w:before="64"/>
              <w:ind w:left="0"/>
              <w:rPr>
                <w:rFonts w:ascii="Arial MT"/>
                <w:sz w:val="22"/>
              </w:rPr>
            </w:pPr>
          </w:p>
          <w:p>
            <w:pPr>
              <w:pStyle w:val="TableParagraph"/>
              <w:ind w:left="46" w:right="9"/>
              <w:jc w:val="center"/>
              <w:rPr>
                <w:sz w:val="22"/>
              </w:rPr>
            </w:pPr>
            <w:r>
              <w:rPr>
                <w:color w:val="231F1F"/>
                <w:spacing w:val="-10"/>
                <w:w w:val="115"/>
                <w:sz w:val="22"/>
              </w:rPr>
              <w:t>A</w:t>
            </w:r>
          </w:p>
        </w:tc>
        <w:tc>
          <w:tcPr>
            <w:tcW w:w="7934" w:type="dxa"/>
          </w:tcPr>
          <w:p>
            <w:pPr>
              <w:pStyle w:val="TableParagraph"/>
              <w:spacing w:line="244" w:lineRule="auto" w:before="44"/>
              <w:ind w:left="117" w:right="85"/>
              <w:jc w:val="both"/>
              <w:rPr>
                <w:sz w:val="22"/>
              </w:rPr>
            </w:pPr>
            <w:r>
              <w:rPr>
                <w:color w:val="231F1F"/>
                <w:w w:val="110"/>
                <w:sz w:val="22"/>
              </w:rPr>
              <w:t>Se recomienda realizar la sutura de los desgarros de primer grado con el fin de mejorar</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curación,</w:t>
            </w:r>
            <w:r>
              <w:rPr>
                <w:color w:val="231F1F"/>
                <w:spacing w:val="-11"/>
                <w:w w:val="110"/>
                <w:sz w:val="22"/>
              </w:rPr>
              <w:t> </w:t>
            </w:r>
            <w:r>
              <w:rPr>
                <w:color w:val="231F1F"/>
                <w:w w:val="110"/>
                <w:sz w:val="22"/>
              </w:rPr>
              <w:t>a</w:t>
            </w:r>
            <w:r>
              <w:rPr>
                <w:color w:val="231F1F"/>
                <w:spacing w:val="-11"/>
                <w:w w:val="110"/>
                <w:sz w:val="22"/>
              </w:rPr>
              <w:t> </w:t>
            </w:r>
            <w:r>
              <w:rPr>
                <w:color w:val="231F1F"/>
                <w:w w:val="110"/>
                <w:sz w:val="22"/>
              </w:rPr>
              <w:t>menos</w:t>
            </w:r>
            <w:r>
              <w:rPr>
                <w:color w:val="231F1F"/>
                <w:spacing w:val="-11"/>
                <w:w w:val="110"/>
                <w:sz w:val="22"/>
              </w:rPr>
              <w:t> </w:t>
            </w:r>
            <w:r>
              <w:rPr>
                <w:color w:val="231F1F"/>
                <w:w w:val="110"/>
                <w:sz w:val="22"/>
              </w:rPr>
              <w:t>que</w:t>
            </w:r>
            <w:r>
              <w:rPr>
                <w:color w:val="231F1F"/>
                <w:spacing w:val="-11"/>
                <w:w w:val="110"/>
                <w:sz w:val="22"/>
              </w:rPr>
              <w:t> </w:t>
            </w:r>
            <w:r>
              <w:rPr>
                <w:color w:val="231F1F"/>
                <w:w w:val="110"/>
                <w:sz w:val="22"/>
              </w:rPr>
              <w:t>los</w:t>
            </w:r>
            <w:r>
              <w:rPr>
                <w:color w:val="231F1F"/>
                <w:spacing w:val="-11"/>
                <w:w w:val="110"/>
                <w:sz w:val="22"/>
              </w:rPr>
              <w:t> </w:t>
            </w:r>
            <w:r>
              <w:rPr>
                <w:color w:val="231F1F"/>
                <w:w w:val="110"/>
                <w:sz w:val="22"/>
              </w:rPr>
              <w:t>bordes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piel</w:t>
            </w:r>
            <w:r>
              <w:rPr>
                <w:color w:val="231F1F"/>
                <w:spacing w:val="-12"/>
                <w:w w:val="110"/>
                <w:sz w:val="22"/>
              </w:rPr>
              <w:t> </w:t>
            </w:r>
            <w:r>
              <w:rPr>
                <w:color w:val="231F1F"/>
                <w:w w:val="110"/>
                <w:sz w:val="22"/>
              </w:rPr>
              <w:t>se</w:t>
            </w:r>
            <w:r>
              <w:rPr>
                <w:color w:val="231F1F"/>
                <w:spacing w:val="-11"/>
                <w:w w:val="110"/>
                <w:sz w:val="22"/>
              </w:rPr>
              <w:t> </w:t>
            </w:r>
            <w:r>
              <w:rPr>
                <w:color w:val="231F1F"/>
                <w:w w:val="110"/>
                <w:sz w:val="22"/>
              </w:rPr>
              <w:t>encuentren</w:t>
            </w:r>
            <w:r>
              <w:rPr>
                <w:color w:val="231F1F"/>
                <w:spacing w:val="-11"/>
                <w:w w:val="110"/>
                <w:sz w:val="22"/>
              </w:rPr>
              <w:t> </w:t>
            </w:r>
            <w:r>
              <w:rPr>
                <w:color w:val="231F1F"/>
                <w:w w:val="110"/>
                <w:sz w:val="22"/>
              </w:rPr>
              <w:t>bien</w:t>
            </w:r>
            <w:r>
              <w:rPr>
                <w:color w:val="231F1F"/>
                <w:spacing w:val="-11"/>
                <w:w w:val="110"/>
                <w:sz w:val="22"/>
              </w:rPr>
              <w:t> </w:t>
            </w:r>
            <w:r>
              <w:rPr>
                <w:color w:val="231F1F"/>
                <w:w w:val="110"/>
                <w:sz w:val="22"/>
              </w:rPr>
              <w:t>aproxi- </w:t>
            </w:r>
            <w:r>
              <w:rPr>
                <w:color w:val="231F1F"/>
                <w:spacing w:val="-2"/>
                <w:w w:val="110"/>
                <w:sz w:val="22"/>
              </w:rPr>
              <w:t>mados.</w:t>
            </w:r>
          </w:p>
        </w:tc>
      </w:tr>
      <w:tr>
        <w:trPr>
          <w:trHeight w:val="681" w:hRule="atLeast"/>
        </w:trPr>
        <w:tc>
          <w:tcPr>
            <w:tcW w:w="571" w:type="dxa"/>
          </w:tcPr>
          <w:p>
            <w:pPr>
              <w:pStyle w:val="TableParagraph"/>
              <w:spacing w:before="178"/>
              <w:ind w:left="46" w:right="9"/>
              <w:jc w:val="center"/>
              <w:rPr>
                <w:sz w:val="22"/>
              </w:rPr>
            </w:pPr>
            <w:r>
              <w:rPr>
                <w:color w:val="231F1F"/>
                <w:spacing w:val="-10"/>
                <w:w w:val="115"/>
                <w:sz w:val="22"/>
              </w:rPr>
              <w:t>A</w:t>
            </w:r>
          </w:p>
        </w:tc>
        <w:tc>
          <w:tcPr>
            <w:tcW w:w="7934" w:type="dxa"/>
          </w:tcPr>
          <w:p>
            <w:pPr>
              <w:pStyle w:val="TableParagraph"/>
              <w:spacing w:line="244" w:lineRule="auto" w:before="53"/>
              <w:ind w:left="117" w:right="163"/>
              <w:rPr>
                <w:sz w:val="22"/>
              </w:rPr>
            </w:pPr>
            <w:r>
              <w:rPr>
                <w:color w:val="231F1F"/>
                <w:sz w:val="22"/>
              </w:rPr>
              <w:t>Se</w:t>
            </w:r>
            <w:r>
              <w:rPr>
                <w:color w:val="231F1F"/>
                <w:spacing w:val="27"/>
                <w:sz w:val="22"/>
              </w:rPr>
              <w:t> </w:t>
            </w:r>
            <w:r>
              <w:rPr>
                <w:color w:val="231F1F"/>
                <w:sz w:val="22"/>
              </w:rPr>
              <w:t>recomienda</w:t>
            </w:r>
            <w:r>
              <w:rPr>
                <w:color w:val="231F1F"/>
                <w:spacing w:val="30"/>
                <w:sz w:val="22"/>
              </w:rPr>
              <w:t> </w:t>
            </w:r>
            <w:r>
              <w:rPr>
                <w:color w:val="231F1F"/>
                <w:sz w:val="22"/>
              </w:rPr>
              <w:t>la</w:t>
            </w:r>
            <w:r>
              <w:rPr>
                <w:color w:val="231F1F"/>
                <w:spacing w:val="29"/>
                <w:sz w:val="22"/>
              </w:rPr>
              <w:t> </w:t>
            </w:r>
            <w:r>
              <w:rPr>
                <w:color w:val="231F1F"/>
                <w:sz w:val="22"/>
              </w:rPr>
              <w:t>reparación</w:t>
            </w:r>
            <w:r>
              <w:rPr>
                <w:color w:val="231F1F"/>
                <w:spacing w:val="30"/>
                <w:sz w:val="22"/>
              </w:rPr>
              <w:t> </w:t>
            </w:r>
            <w:r>
              <w:rPr>
                <w:color w:val="231F1F"/>
                <w:sz w:val="22"/>
              </w:rPr>
              <w:t>perineal</w:t>
            </w:r>
            <w:r>
              <w:rPr>
                <w:color w:val="231F1F"/>
                <w:spacing w:val="27"/>
                <w:sz w:val="22"/>
              </w:rPr>
              <w:t> </w:t>
            </w:r>
            <w:r>
              <w:rPr>
                <w:color w:val="231F1F"/>
                <w:sz w:val="22"/>
              </w:rPr>
              <w:t>de</w:t>
            </w:r>
            <w:r>
              <w:rPr>
                <w:color w:val="231F1F"/>
                <w:spacing w:val="29"/>
                <w:sz w:val="22"/>
              </w:rPr>
              <w:t> </w:t>
            </w:r>
            <w:r>
              <w:rPr>
                <w:color w:val="231F1F"/>
                <w:sz w:val="22"/>
              </w:rPr>
              <w:t>los</w:t>
            </w:r>
            <w:r>
              <w:rPr>
                <w:color w:val="231F1F"/>
                <w:spacing w:val="29"/>
                <w:sz w:val="22"/>
              </w:rPr>
              <w:t> </w:t>
            </w:r>
            <w:r>
              <w:rPr>
                <w:color w:val="231F1F"/>
                <w:sz w:val="22"/>
              </w:rPr>
              <w:t>desgarros</w:t>
            </w:r>
            <w:r>
              <w:rPr>
                <w:color w:val="231F1F"/>
                <w:spacing w:val="29"/>
                <w:sz w:val="22"/>
              </w:rPr>
              <w:t> </w:t>
            </w:r>
            <w:r>
              <w:rPr>
                <w:color w:val="231F1F"/>
                <w:sz w:val="22"/>
              </w:rPr>
              <w:t>de</w:t>
            </w:r>
            <w:r>
              <w:rPr>
                <w:color w:val="231F1F"/>
                <w:spacing w:val="27"/>
                <w:sz w:val="22"/>
              </w:rPr>
              <w:t> </w:t>
            </w:r>
            <w:r>
              <w:rPr>
                <w:color w:val="231F1F"/>
                <w:sz w:val="22"/>
              </w:rPr>
              <w:t>segundo</w:t>
            </w:r>
            <w:r>
              <w:rPr>
                <w:color w:val="231F1F"/>
                <w:spacing w:val="29"/>
                <w:sz w:val="22"/>
              </w:rPr>
              <w:t> </w:t>
            </w:r>
            <w:r>
              <w:rPr>
                <w:color w:val="231F1F"/>
                <w:sz w:val="22"/>
              </w:rPr>
              <w:t>grado</w:t>
            </w:r>
            <w:r>
              <w:rPr>
                <w:color w:val="231F1F"/>
                <w:spacing w:val="29"/>
                <w:sz w:val="22"/>
              </w:rPr>
              <w:t> </w:t>
            </w:r>
            <w:r>
              <w:rPr>
                <w:color w:val="231F1F"/>
                <w:sz w:val="22"/>
              </w:rPr>
              <w:t>utilizan- do</w:t>
            </w:r>
            <w:r>
              <w:rPr>
                <w:color w:val="231F1F"/>
                <w:spacing w:val="40"/>
                <w:sz w:val="22"/>
              </w:rPr>
              <w:t> </w:t>
            </w:r>
            <w:r>
              <w:rPr>
                <w:color w:val="231F1F"/>
                <w:sz w:val="22"/>
              </w:rPr>
              <w:t>la</w:t>
            </w:r>
            <w:r>
              <w:rPr>
                <w:color w:val="231F1F"/>
                <w:spacing w:val="40"/>
                <w:sz w:val="22"/>
              </w:rPr>
              <w:t> </w:t>
            </w:r>
            <w:r>
              <w:rPr>
                <w:color w:val="231F1F"/>
                <w:sz w:val="22"/>
              </w:rPr>
              <w:t>técnica</w:t>
            </w:r>
            <w:r>
              <w:rPr>
                <w:color w:val="231F1F"/>
                <w:spacing w:val="40"/>
                <w:sz w:val="22"/>
              </w:rPr>
              <w:t> </w:t>
            </w:r>
            <w:r>
              <w:rPr>
                <w:color w:val="231F1F"/>
                <w:sz w:val="22"/>
              </w:rPr>
              <w:t>de</w:t>
            </w:r>
            <w:r>
              <w:rPr>
                <w:color w:val="231F1F"/>
                <w:spacing w:val="40"/>
                <w:sz w:val="22"/>
              </w:rPr>
              <w:t> </w:t>
            </w:r>
            <w:r>
              <w:rPr>
                <w:color w:val="231F1F"/>
                <w:sz w:val="22"/>
              </w:rPr>
              <w:t>sutura</w:t>
            </w:r>
            <w:r>
              <w:rPr>
                <w:color w:val="231F1F"/>
                <w:spacing w:val="40"/>
                <w:sz w:val="22"/>
              </w:rPr>
              <w:t> </w:t>
            </w:r>
            <w:r>
              <w:rPr>
                <w:color w:val="231F1F"/>
                <w:sz w:val="22"/>
              </w:rPr>
              <w:t>continua.</w:t>
            </w:r>
          </w:p>
        </w:tc>
      </w:tr>
      <w:tr>
        <w:trPr>
          <w:trHeight w:val="964" w:hRule="atLeast"/>
        </w:trPr>
        <w:tc>
          <w:tcPr>
            <w:tcW w:w="571" w:type="dxa"/>
          </w:tcPr>
          <w:p>
            <w:pPr>
              <w:pStyle w:val="TableParagraph"/>
              <w:spacing w:before="69"/>
              <w:ind w:left="0"/>
              <w:rPr>
                <w:rFonts w:ascii="Arial MT"/>
                <w:sz w:val="22"/>
              </w:rPr>
            </w:pPr>
          </w:p>
          <w:p>
            <w:pPr>
              <w:pStyle w:val="TableParagraph"/>
              <w:ind w:left="46" w:right="9"/>
              <w:jc w:val="center"/>
              <w:rPr>
                <w:sz w:val="22"/>
              </w:rPr>
            </w:pPr>
            <w:r>
              <w:rPr>
                <w:color w:val="231F1F"/>
                <w:spacing w:val="-10"/>
                <w:w w:val="115"/>
                <w:sz w:val="22"/>
              </w:rPr>
              <w:t>A</w:t>
            </w:r>
          </w:p>
        </w:tc>
        <w:tc>
          <w:tcPr>
            <w:tcW w:w="7934" w:type="dxa"/>
          </w:tcPr>
          <w:p>
            <w:pPr>
              <w:pStyle w:val="TableParagraph"/>
              <w:spacing w:line="247" w:lineRule="auto" w:before="53"/>
              <w:ind w:left="117" w:right="86"/>
              <w:jc w:val="both"/>
              <w:rPr>
                <w:sz w:val="22"/>
              </w:rPr>
            </w:pPr>
            <w:r>
              <w:rPr>
                <w:color w:val="231F1F"/>
                <w:w w:val="105"/>
                <w:sz w:val="22"/>
              </w:rPr>
              <w:t>Si después de la sutura muscular de un desgarro de segundo grado la piel está</w:t>
            </w:r>
            <w:r>
              <w:rPr>
                <w:color w:val="231F1F"/>
                <w:spacing w:val="-1"/>
                <w:w w:val="105"/>
                <w:sz w:val="22"/>
              </w:rPr>
              <w:t> </w:t>
            </w:r>
            <w:r>
              <w:rPr>
                <w:color w:val="231F1F"/>
                <w:w w:val="105"/>
                <w:sz w:val="22"/>
              </w:rPr>
              <w:t>bien aproximada,</w:t>
            </w:r>
            <w:r>
              <w:rPr>
                <w:color w:val="231F1F"/>
                <w:w w:val="105"/>
                <w:sz w:val="22"/>
              </w:rPr>
              <w:t> no</w:t>
            </w:r>
            <w:r>
              <w:rPr>
                <w:color w:val="231F1F"/>
                <w:w w:val="105"/>
                <w:sz w:val="22"/>
              </w:rPr>
              <w:t> es</w:t>
            </w:r>
            <w:r>
              <w:rPr>
                <w:color w:val="231F1F"/>
                <w:w w:val="105"/>
                <w:sz w:val="22"/>
              </w:rPr>
              <w:t> necesario</w:t>
            </w:r>
            <w:r>
              <w:rPr>
                <w:color w:val="231F1F"/>
                <w:w w:val="105"/>
                <w:sz w:val="22"/>
              </w:rPr>
              <w:t> suturarla.</w:t>
            </w:r>
            <w:r>
              <w:rPr>
                <w:color w:val="231F1F"/>
                <w:w w:val="105"/>
                <w:sz w:val="22"/>
              </w:rPr>
              <w:t> Si</w:t>
            </w:r>
            <w:r>
              <w:rPr>
                <w:color w:val="231F1F"/>
                <w:w w:val="105"/>
                <w:sz w:val="22"/>
              </w:rPr>
              <w:t> la</w:t>
            </w:r>
            <w:r>
              <w:rPr>
                <w:color w:val="231F1F"/>
                <w:w w:val="105"/>
                <w:sz w:val="22"/>
              </w:rPr>
              <w:t> piel</w:t>
            </w:r>
            <w:r>
              <w:rPr>
                <w:color w:val="231F1F"/>
                <w:w w:val="105"/>
                <w:sz w:val="22"/>
              </w:rPr>
              <w:t> requiere</w:t>
            </w:r>
            <w:r>
              <w:rPr>
                <w:color w:val="231F1F"/>
                <w:w w:val="105"/>
                <w:sz w:val="22"/>
              </w:rPr>
              <w:t> aproximación</w:t>
            </w:r>
            <w:r>
              <w:rPr>
                <w:color w:val="231F1F"/>
                <w:w w:val="105"/>
                <w:sz w:val="22"/>
              </w:rPr>
              <w:t> se</w:t>
            </w:r>
            <w:r>
              <w:rPr>
                <w:color w:val="231F1F"/>
                <w:w w:val="105"/>
                <w:sz w:val="22"/>
              </w:rPr>
              <w:t> reco- mienda</w:t>
            </w:r>
            <w:r>
              <w:rPr>
                <w:color w:val="231F1F"/>
                <w:spacing w:val="40"/>
                <w:w w:val="105"/>
                <w:sz w:val="22"/>
              </w:rPr>
              <w:t> </w:t>
            </w:r>
            <w:r>
              <w:rPr>
                <w:color w:val="231F1F"/>
                <w:w w:val="105"/>
                <w:sz w:val="22"/>
              </w:rPr>
              <w:t>realizarla</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una</w:t>
            </w:r>
            <w:r>
              <w:rPr>
                <w:color w:val="231F1F"/>
                <w:spacing w:val="40"/>
                <w:w w:val="105"/>
                <w:sz w:val="22"/>
              </w:rPr>
              <w:t> </w:t>
            </w:r>
            <w:r>
              <w:rPr>
                <w:color w:val="231F1F"/>
                <w:w w:val="105"/>
                <w:sz w:val="22"/>
              </w:rPr>
              <w:t>técnica</w:t>
            </w:r>
            <w:r>
              <w:rPr>
                <w:color w:val="231F1F"/>
                <w:spacing w:val="40"/>
                <w:w w:val="105"/>
                <w:sz w:val="22"/>
              </w:rPr>
              <w:t> </w:t>
            </w:r>
            <w:r>
              <w:rPr>
                <w:color w:val="231F1F"/>
                <w:w w:val="105"/>
                <w:sz w:val="22"/>
              </w:rPr>
              <w:t>intradérmica</w:t>
            </w:r>
            <w:r>
              <w:rPr>
                <w:color w:val="231F1F"/>
                <w:spacing w:val="40"/>
                <w:w w:val="105"/>
                <w:sz w:val="22"/>
              </w:rPr>
              <w:t> </w:t>
            </w:r>
            <w:r>
              <w:rPr>
                <w:color w:val="231F1F"/>
                <w:w w:val="105"/>
                <w:sz w:val="22"/>
              </w:rPr>
              <w:t>continua.</w:t>
            </w:r>
          </w:p>
        </w:tc>
      </w:tr>
      <w:tr>
        <w:trPr>
          <w:trHeight w:val="402" w:hRule="atLeast"/>
        </w:trPr>
        <w:tc>
          <w:tcPr>
            <w:tcW w:w="8505" w:type="dxa"/>
            <w:gridSpan w:val="2"/>
          </w:tcPr>
          <w:p>
            <w:pPr>
              <w:pStyle w:val="TableParagraph"/>
              <w:spacing w:before="39"/>
              <w:rPr>
                <w:i/>
                <w:sz w:val="22"/>
              </w:rPr>
            </w:pPr>
            <w:r>
              <w:rPr>
                <w:i/>
                <w:color w:val="231F1F"/>
                <w:spacing w:val="-4"/>
                <w:w w:val="105"/>
                <w:sz w:val="22"/>
              </w:rPr>
              <w:t>6.8.2.</w:t>
            </w:r>
            <w:r>
              <w:rPr>
                <w:i/>
                <w:color w:val="231F1F"/>
                <w:spacing w:val="-1"/>
                <w:sz w:val="22"/>
              </w:rPr>
              <w:t> </w:t>
            </w:r>
            <w:r>
              <w:rPr>
                <w:i/>
                <w:color w:val="231F1F"/>
                <w:spacing w:val="-4"/>
                <w:w w:val="105"/>
                <w:sz w:val="22"/>
              </w:rPr>
              <w:t>Material</w:t>
            </w:r>
            <w:r>
              <w:rPr>
                <w:i/>
                <w:color w:val="231F1F"/>
                <w:spacing w:val="-3"/>
                <w:w w:val="105"/>
                <w:sz w:val="22"/>
              </w:rPr>
              <w:t> </w:t>
            </w:r>
            <w:r>
              <w:rPr>
                <w:i/>
                <w:color w:val="231F1F"/>
                <w:spacing w:val="-4"/>
                <w:w w:val="105"/>
                <w:sz w:val="22"/>
              </w:rPr>
              <w:t>de</w:t>
            </w:r>
            <w:r>
              <w:rPr>
                <w:i/>
                <w:color w:val="231F1F"/>
                <w:spacing w:val="-1"/>
                <w:w w:val="105"/>
                <w:sz w:val="22"/>
              </w:rPr>
              <w:t> </w:t>
            </w:r>
            <w:r>
              <w:rPr>
                <w:i/>
                <w:color w:val="231F1F"/>
                <w:spacing w:val="-4"/>
                <w:w w:val="105"/>
                <w:sz w:val="22"/>
              </w:rPr>
              <w:t>sutura</w:t>
            </w:r>
            <w:r>
              <w:rPr>
                <w:i/>
                <w:color w:val="231F1F"/>
                <w:spacing w:val="-1"/>
                <w:sz w:val="22"/>
              </w:rPr>
              <w:t> </w:t>
            </w:r>
            <w:r>
              <w:rPr>
                <w:i/>
                <w:color w:val="231F1F"/>
                <w:spacing w:val="-4"/>
                <w:w w:val="105"/>
                <w:sz w:val="22"/>
              </w:rPr>
              <w:t>en</w:t>
            </w:r>
            <w:r>
              <w:rPr>
                <w:i/>
                <w:color w:val="231F1F"/>
                <w:spacing w:val="-2"/>
                <w:w w:val="105"/>
                <w:sz w:val="22"/>
              </w:rPr>
              <w:t> </w:t>
            </w:r>
            <w:r>
              <w:rPr>
                <w:i/>
                <w:color w:val="231F1F"/>
                <w:spacing w:val="-4"/>
                <w:w w:val="105"/>
                <w:sz w:val="22"/>
              </w:rPr>
              <w:t>la</w:t>
            </w:r>
            <w:r>
              <w:rPr>
                <w:i/>
                <w:color w:val="231F1F"/>
                <w:spacing w:val="-2"/>
                <w:w w:val="105"/>
                <w:sz w:val="22"/>
              </w:rPr>
              <w:t> </w:t>
            </w:r>
            <w:r>
              <w:rPr>
                <w:i/>
                <w:color w:val="231F1F"/>
                <w:spacing w:val="-4"/>
                <w:w w:val="105"/>
                <w:sz w:val="22"/>
              </w:rPr>
              <w:t>reparación</w:t>
            </w:r>
            <w:r>
              <w:rPr>
                <w:i/>
                <w:color w:val="231F1F"/>
                <w:spacing w:val="-6"/>
                <w:w w:val="105"/>
                <w:sz w:val="22"/>
              </w:rPr>
              <w:t> </w:t>
            </w:r>
            <w:r>
              <w:rPr>
                <w:i/>
                <w:color w:val="231F1F"/>
                <w:spacing w:val="-4"/>
                <w:w w:val="105"/>
                <w:sz w:val="22"/>
              </w:rPr>
              <w:t>perineal</w:t>
            </w:r>
          </w:p>
        </w:tc>
      </w:tr>
      <w:tr>
        <w:trPr>
          <w:trHeight w:val="681" w:hRule="atLeast"/>
        </w:trPr>
        <w:tc>
          <w:tcPr>
            <w:tcW w:w="571" w:type="dxa"/>
          </w:tcPr>
          <w:p>
            <w:pPr>
              <w:pStyle w:val="TableParagraph"/>
              <w:spacing w:before="178"/>
              <w:ind w:left="46" w:right="9"/>
              <w:jc w:val="center"/>
              <w:rPr>
                <w:sz w:val="22"/>
              </w:rPr>
            </w:pPr>
            <w:r>
              <w:rPr>
                <w:color w:val="231F1F"/>
                <w:spacing w:val="-10"/>
                <w:w w:val="115"/>
                <w:sz w:val="22"/>
              </w:rPr>
              <w:t>A</w:t>
            </w:r>
          </w:p>
        </w:tc>
        <w:tc>
          <w:tcPr>
            <w:tcW w:w="7934" w:type="dxa"/>
          </w:tcPr>
          <w:p>
            <w:pPr>
              <w:pStyle w:val="TableParagraph"/>
              <w:spacing w:line="244" w:lineRule="auto" w:before="44"/>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la</w:t>
            </w:r>
            <w:r>
              <w:rPr>
                <w:color w:val="231F1F"/>
                <w:spacing w:val="-8"/>
                <w:w w:val="110"/>
                <w:sz w:val="22"/>
              </w:rPr>
              <w:t> </w:t>
            </w:r>
            <w:r>
              <w:rPr>
                <w:color w:val="231F1F"/>
                <w:w w:val="110"/>
                <w:sz w:val="22"/>
              </w:rPr>
              <w:t>utilización</w:t>
            </w:r>
            <w:r>
              <w:rPr>
                <w:color w:val="231F1F"/>
                <w:spacing w:val="-8"/>
                <w:w w:val="110"/>
                <w:sz w:val="22"/>
              </w:rPr>
              <w:t> </w:t>
            </w:r>
            <w:r>
              <w:rPr>
                <w:color w:val="231F1F"/>
                <w:w w:val="110"/>
                <w:sz w:val="22"/>
              </w:rPr>
              <w:t>de</w:t>
            </w:r>
            <w:r>
              <w:rPr>
                <w:color w:val="231F1F"/>
                <w:spacing w:val="-8"/>
                <w:w w:val="110"/>
                <w:sz w:val="22"/>
              </w:rPr>
              <w:t> </w:t>
            </w:r>
            <w:r>
              <w:rPr>
                <w:color w:val="231F1F"/>
                <w:w w:val="110"/>
                <w:sz w:val="22"/>
              </w:rPr>
              <w:t>material</w:t>
            </w:r>
            <w:r>
              <w:rPr>
                <w:color w:val="231F1F"/>
                <w:spacing w:val="-8"/>
                <w:w w:val="110"/>
                <w:sz w:val="22"/>
              </w:rPr>
              <w:t> </w:t>
            </w:r>
            <w:r>
              <w:rPr>
                <w:color w:val="231F1F"/>
                <w:w w:val="110"/>
                <w:sz w:val="22"/>
              </w:rPr>
              <w:t>sintético</w:t>
            </w:r>
            <w:r>
              <w:rPr>
                <w:color w:val="231F1F"/>
                <w:spacing w:val="-8"/>
                <w:w w:val="110"/>
                <w:sz w:val="22"/>
              </w:rPr>
              <w:t> </w:t>
            </w:r>
            <w:r>
              <w:rPr>
                <w:color w:val="231F1F"/>
                <w:w w:val="110"/>
                <w:sz w:val="22"/>
              </w:rPr>
              <w:t>de</w:t>
            </w:r>
            <w:r>
              <w:rPr>
                <w:color w:val="231F1F"/>
                <w:spacing w:val="-8"/>
                <w:w w:val="110"/>
                <w:sz w:val="22"/>
              </w:rPr>
              <w:t> </w:t>
            </w:r>
            <w:r>
              <w:rPr>
                <w:color w:val="231F1F"/>
                <w:w w:val="110"/>
                <w:sz w:val="22"/>
              </w:rPr>
              <w:t>absorción</w:t>
            </w:r>
            <w:r>
              <w:rPr>
                <w:color w:val="231F1F"/>
                <w:spacing w:val="-8"/>
                <w:w w:val="110"/>
                <w:sz w:val="22"/>
              </w:rPr>
              <w:t> </w:t>
            </w:r>
            <w:r>
              <w:rPr>
                <w:color w:val="231F1F"/>
                <w:w w:val="110"/>
                <w:sz w:val="22"/>
              </w:rPr>
              <w:t>normal</w:t>
            </w:r>
            <w:r>
              <w:rPr>
                <w:color w:val="231F1F"/>
                <w:spacing w:val="-9"/>
                <w:w w:val="110"/>
                <w:sz w:val="22"/>
              </w:rPr>
              <w:t> </w:t>
            </w:r>
            <w:r>
              <w:rPr>
                <w:color w:val="231F1F"/>
                <w:w w:val="110"/>
                <w:sz w:val="22"/>
              </w:rPr>
              <w:t>para</w:t>
            </w:r>
            <w:r>
              <w:rPr>
                <w:color w:val="231F1F"/>
                <w:spacing w:val="-8"/>
                <w:w w:val="110"/>
                <w:sz w:val="22"/>
              </w:rPr>
              <w:t> </w:t>
            </w:r>
            <w:r>
              <w:rPr>
                <w:color w:val="231F1F"/>
                <w:w w:val="110"/>
                <w:sz w:val="22"/>
              </w:rPr>
              <w:t>la sutura de la herida perineal.</w:t>
            </w:r>
          </w:p>
        </w:tc>
      </w:tr>
      <w:tr>
        <w:trPr>
          <w:trHeight w:val="959" w:hRule="atLeast"/>
        </w:trPr>
        <w:tc>
          <w:tcPr>
            <w:tcW w:w="571" w:type="dxa"/>
          </w:tcPr>
          <w:p>
            <w:pPr>
              <w:pStyle w:val="TableParagraph"/>
              <w:spacing w:before="82"/>
              <w:ind w:left="0"/>
              <w:rPr>
                <w:rFonts w:ascii="Arial MT"/>
                <w:sz w:val="22"/>
              </w:rPr>
            </w:pPr>
          </w:p>
          <w:p>
            <w:pPr>
              <w:pStyle w:val="TableParagraph"/>
              <w:spacing w:before="1"/>
              <w:ind w:left="46" w:right="3"/>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4"/>
              <w:ind w:left="117" w:right="84"/>
              <w:jc w:val="both"/>
              <w:rPr>
                <w:sz w:val="22"/>
              </w:rPr>
            </w:pPr>
            <w:r>
              <w:rPr>
                <w:color w:val="231F1F"/>
                <w:w w:val="110"/>
                <w:sz w:val="22"/>
              </w:rPr>
              <w:t>Debe llevarse a cabo un examen rectal después de completar la reparación para garantizar que el material de sutura no se ha insertado accidentalmente a través de la mucosa rectal.</w:t>
            </w:r>
          </w:p>
        </w:tc>
      </w:tr>
      <w:tr>
        <w:trPr>
          <w:trHeight w:val="402" w:hRule="atLeast"/>
        </w:trPr>
        <w:tc>
          <w:tcPr>
            <w:tcW w:w="8505" w:type="dxa"/>
            <w:gridSpan w:val="2"/>
          </w:tcPr>
          <w:p>
            <w:pPr>
              <w:pStyle w:val="TableParagraph"/>
              <w:spacing w:before="58"/>
              <w:rPr>
                <w:sz w:val="22"/>
              </w:rPr>
            </w:pPr>
            <w:r>
              <w:rPr>
                <w:color w:val="231F1F"/>
                <w:sz w:val="22"/>
              </w:rPr>
              <w:t>6.9.</w:t>
            </w:r>
            <w:r>
              <w:rPr>
                <w:color w:val="231F1F"/>
                <w:spacing w:val="22"/>
                <w:sz w:val="22"/>
              </w:rPr>
              <w:t> </w:t>
            </w:r>
            <w:r>
              <w:rPr>
                <w:color w:val="231F1F"/>
                <w:sz w:val="22"/>
              </w:rPr>
              <w:t>Maniobra</w:t>
            </w:r>
            <w:r>
              <w:rPr>
                <w:color w:val="231F1F"/>
                <w:spacing w:val="21"/>
                <w:sz w:val="22"/>
              </w:rPr>
              <w:t> </w:t>
            </w:r>
            <w:r>
              <w:rPr>
                <w:color w:val="231F1F"/>
                <w:sz w:val="22"/>
              </w:rPr>
              <w:t>de</w:t>
            </w:r>
            <w:r>
              <w:rPr>
                <w:color w:val="231F1F"/>
                <w:spacing w:val="23"/>
                <w:sz w:val="22"/>
              </w:rPr>
              <w:t> </w:t>
            </w:r>
            <w:r>
              <w:rPr>
                <w:color w:val="231F1F"/>
                <w:spacing w:val="-2"/>
                <w:sz w:val="22"/>
              </w:rPr>
              <w:t>Kristeller</w:t>
            </w:r>
          </w:p>
        </w:tc>
      </w:tr>
      <w:tr>
        <w:trPr>
          <w:trHeight w:val="397" w:hRule="atLeast"/>
        </w:trPr>
        <w:tc>
          <w:tcPr>
            <w:tcW w:w="571" w:type="dxa"/>
            <w:shd w:val="clear" w:color="auto" w:fill="F2DFDF"/>
          </w:tcPr>
          <w:p>
            <w:pPr>
              <w:pStyle w:val="TableParagraph"/>
              <w:spacing w:before="39"/>
              <w:ind w:left="46" w:right="9"/>
              <w:jc w:val="center"/>
              <w:rPr>
                <w:sz w:val="22"/>
              </w:rPr>
            </w:pPr>
            <w:r>
              <w:rPr>
                <w:color w:val="231F1F"/>
                <w:spacing w:val="-10"/>
                <w:w w:val="115"/>
                <w:sz w:val="22"/>
              </w:rPr>
              <w:t>A</w:t>
            </w:r>
          </w:p>
        </w:tc>
        <w:tc>
          <w:tcPr>
            <w:tcW w:w="7934" w:type="dxa"/>
            <w:shd w:val="clear" w:color="auto" w:fill="F2DFDF"/>
          </w:tcPr>
          <w:p>
            <w:pPr>
              <w:pStyle w:val="TableParagraph"/>
              <w:spacing w:before="39"/>
              <w:ind w:left="117"/>
              <w:rPr>
                <w:sz w:val="22"/>
              </w:rPr>
            </w:pPr>
            <w:r>
              <w:rPr>
                <w:color w:val="231F1F"/>
                <w:sz w:val="22"/>
              </w:rPr>
              <w:t>Se</w:t>
            </w:r>
            <w:r>
              <w:rPr>
                <w:color w:val="231F1F"/>
                <w:spacing w:val="33"/>
                <w:sz w:val="22"/>
              </w:rPr>
              <w:t> </w:t>
            </w:r>
            <w:r>
              <w:rPr>
                <w:color w:val="231F1F"/>
                <w:sz w:val="22"/>
              </w:rPr>
              <w:t>recomienda</w:t>
            </w:r>
            <w:r>
              <w:rPr>
                <w:color w:val="231F1F"/>
                <w:spacing w:val="38"/>
                <w:sz w:val="22"/>
              </w:rPr>
              <w:t> </w:t>
            </w:r>
            <w:r>
              <w:rPr>
                <w:color w:val="231F1F"/>
                <w:sz w:val="22"/>
              </w:rPr>
              <w:t>no</w:t>
            </w:r>
            <w:r>
              <w:rPr>
                <w:color w:val="231F1F"/>
                <w:spacing w:val="35"/>
                <w:sz w:val="22"/>
              </w:rPr>
              <w:t> </w:t>
            </w:r>
            <w:r>
              <w:rPr>
                <w:color w:val="231F1F"/>
                <w:sz w:val="22"/>
              </w:rPr>
              <w:t>realizar</w:t>
            </w:r>
            <w:r>
              <w:rPr>
                <w:color w:val="231F1F"/>
                <w:spacing w:val="38"/>
                <w:sz w:val="22"/>
              </w:rPr>
              <w:t> </w:t>
            </w:r>
            <w:r>
              <w:rPr>
                <w:color w:val="231F1F"/>
                <w:sz w:val="22"/>
              </w:rPr>
              <w:t>la</w:t>
            </w:r>
            <w:r>
              <w:rPr>
                <w:color w:val="231F1F"/>
                <w:spacing w:val="33"/>
                <w:sz w:val="22"/>
              </w:rPr>
              <w:t> </w:t>
            </w:r>
            <w:r>
              <w:rPr>
                <w:color w:val="231F1F"/>
                <w:sz w:val="22"/>
              </w:rPr>
              <w:t>maniobra</w:t>
            </w:r>
            <w:r>
              <w:rPr>
                <w:color w:val="231F1F"/>
                <w:spacing w:val="38"/>
                <w:sz w:val="22"/>
              </w:rPr>
              <w:t> </w:t>
            </w:r>
            <w:r>
              <w:rPr>
                <w:color w:val="231F1F"/>
                <w:sz w:val="22"/>
              </w:rPr>
              <w:t>de</w:t>
            </w:r>
            <w:r>
              <w:rPr>
                <w:color w:val="231F1F"/>
                <w:spacing w:val="36"/>
                <w:sz w:val="22"/>
              </w:rPr>
              <w:t> </w:t>
            </w:r>
            <w:r>
              <w:rPr>
                <w:color w:val="231F1F"/>
                <w:spacing w:val="-2"/>
                <w:sz w:val="22"/>
              </w:rPr>
              <w:t>Kristeller.</w:t>
            </w:r>
          </w:p>
        </w:tc>
      </w:tr>
    </w:tbl>
    <w:p>
      <w:pPr>
        <w:pStyle w:val="BodyText"/>
        <w:spacing w:before="145"/>
        <w:rPr>
          <w:rFonts w:ascii="Arial MT"/>
          <w:sz w:val="24"/>
        </w:rPr>
      </w:pPr>
    </w:p>
    <w:p>
      <w:pPr>
        <w:spacing w:before="1"/>
        <w:ind w:left="283" w:right="0" w:firstLine="0"/>
        <w:jc w:val="left"/>
        <w:rPr>
          <w:rFonts w:ascii="Arial MT"/>
          <w:sz w:val="24"/>
        </w:rPr>
      </w:pPr>
      <w:r>
        <w:rPr>
          <w:rFonts w:ascii="Arial MT"/>
          <w:color w:val="231F1F"/>
          <w:sz w:val="24"/>
        </w:rPr>
        <w:t>Alumbramiento:</w:t>
      </w:r>
      <w:r>
        <w:rPr>
          <w:rFonts w:ascii="Arial MT"/>
          <w:color w:val="231F1F"/>
          <w:spacing w:val="23"/>
          <w:sz w:val="24"/>
        </w:rPr>
        <w:t> </w:t>
      </w:r>
      <w:r>
        <w:rPr>
          <w:rFonts w:ascii="Arial MT"/>
          <w:color w:val="231F1F"/>
          <w:sz w:val="24"/>
        </w:rPr>
        <w:t>Tercera</w:t>
      </w:r>
      <w:r>
        <w:rPr>
          <w:rFonts w:ascii="Arial MT"/>
          <w:color w:val="231F1F"/>
          <w:spacing w:val="28"/>
          <w:sz w:val="24"/>
        </w:rPr>
        <w:t> </w:t>
      </w:r>
      <w:r>
        <w:rPr>
          <w:rFonts w:ascii="Arial MT"/>
          <w:color w:val="231F1F"/>
          <w:sz w:val="24"/>
        </w:rPr>
        <w:t>etapa</w:t>
      </w:r>
      <w:r>
        <w:rPr>
          <w:rFonts w:ascii="Arial MT"/>
          <w:color w:val="231F1F"/>
          <w:spacing w:val="27"/>
          <w:sz w:val="24"/>
        </w:rPr>
        <w:t> </w:t>
      </w:r>
      <w:r>
        <w:rPr>
          <w:rFonts w:ascii="Arial MT"/>
          <w:color w:val="231F1F"/>
          <w:sz w:val="24"/>
        </w:rPr>
        <w:t>del</w:t>
      </w:r>
      <w:r>
        <w:rPr>
          <w:rFonts w:ascii="Arial MT"/>
          <w:color w:val="231F1F"/>
          <w:spacing w:val="26"/>
          <w:sz w:val="24"/>
        </w:rPr>
        <w:t> </w:t>
      </w:r>
      <w:r>
        <w:rPr>
          <w:rFonts w:ascii="Arial MT"/>
          <w:color w:val="231F1F"/>
          <w:spacing w:val="-2"/>
          <w:sz w:val="24"/>
        </w:rPr>
        <w:t>parto</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402" w:hRule="atLeast"/>
        </w:trPr>
        <w:tc>
          <w:tcPr>
            <w:tcW w:w="8505" w:type="dxa"/>
            <w:gridSpan w:val="2"/>
          </w:tcPr>
          <w:p>
            <w:pPr>
              <w:pStyle w:val="TableParagraph"/>
              <w:spacing w:before="49"/>
              <w:rPr>
                <w:sz w:val="22"/>
              </w:rPr>
            </w:pPr>
            <w:r>
              <w:rPr>
                <w:color w:val="231F1F"/>
                <w:sz w:val="22"/>
              </w:rPr>
              <w:t>7.1.</w:t>
            </w:r>
            <w:r>
              <w:rPr>
                <w:color w:val="231F1F"/>
                <w:spacing w:val="30"/>
                <w:sz w:val="22"/>
              </w:rPr>
              <w:t> </w:t>
            </w:r>
            <w:r>
              <w:rPr>
                <w:color w:val="231F1F"/>
                <w:sz w:val="22"/>
              </w:rPr>
              <w:t>Duración</w:t>
            </w:r>
            <w:r>
              <w:rPr>
                <w:color w:val="231F1F"/>
                <w:spacing w:val="33"/>
                <w:sz w:val="22"/>
              </w:rPr>
              <w:t> </w:t>
            </w:r>
            <w:r>
              <w:rPr>
                <w:color w:val="231F1F"/>
                <w:sz w:val="22"/>
              </w:rPr>
              <w:t>del</w:t>
            </w:r>
            <w:r>
              <w:rPr>
                <w:color w:val="231F1F"/>
                <w:spacing w:val="30"/>
                <w:sz w:val="22"/>
              </w:rPr>
              <w:t> </w:t>
            </w:r>
            <w:r>
              <w:rPr>
                <w:color w:val="231F1F"/>
                <w:sz w:val="22"/>
              </w:rPr>
              <w:t>periodo</w:t>
            </w:r>
            <w:r>
              <w:rPr>
                <w:color w:val="231F1F"/>
                <w:spacing w:val="33"/>
                <w:sz w:val="22"/>
              </w:rPr>
              <w:t> </w:t>
            </w:r>
            <w:r>
              <w:rPr>
                <w:color w:val="231F1F"/>
                <w:sz w:val="22"/>
              </w:rPr>
              <w:t>de</w:t>
            </w:r>
            <w:r>
              <w:rPr>
                <w:color w:val="231F1F"/>
                <w:spacing w:val="33"/>
                <w:sz w:val="22"/>
              </w:rPr>
              <w:t> </w:t>
            </w:r>
            <w:r>
              <w:rPr>
                <w:color w:val="231F1F"/>
                <w:spacing w:val="-2"/>
                <w:sz w:val="22"/>
              </w:rPr>
              <w:t>alumbramiento</w:t>
            </w:r>
          </w:p>
        </w:tc>
      </w:tr>
      <w:tr>
        <w:trPr>
          <w:trHeight w:val="959" w:hRule="atLeast"/>
        </w:trPr>
        <w:tc>
          <w:tcPr>
            <w:tcW w:w="571" w:type="dxa"/>
          </w:tcPr>
          <w:p>
            <w:pPr>
              <w:pStyle w:val="TableParagraph"/>
              <w:spacing w:before="64"/>
              <w:ind w:left="0"/>
              <w:rPr>
                <w:rFonts w:ascii="Arial MT"/>
                <w:sz w:val="22"/>
              </w:rPr>
            </w:pPr>
          </w:p>
          <w:p>
            <w:pPr>
              <w:pStyle w:val="TableParagraph"/>
              <w:ind w:left="46" w:right="8"/>
              <w:jc w:val="center"/>
              <w:rPr>
                <w:sz w:val="22"/>
              </w:rPr>
            </w:pPr>
            <w:r>
              <w:rPr>
                <w:color w:val="231F1F"/>
                <w:spacing w:val="-10"/>
                <w:w w:val="115"/>
                <w:sz w:val="22"/>
              </w:rPr>
              <w:t>D</w:t>
            </w:r>
          </w:p>
        </w:tc>
        <w:tc>
          <w:tcPr>
            <w:tcW w:w="7934" w:type="dxa"/>
          </w:tcPr>
          <w:p>
            <w:pPr>
              <w:pStyle w:val="TableParagraph"/>
              <w:spacing w:line="259" w:lineRule="auto" w:before="63"/>
              <w:ind w:left="116" w:right="87"/>
              <w:jc w:val="both"/>
              <w:rPr>
                <w:sz w:val="22"/>
              </w:rPr>
            </w:pPr>
            <w:r>
              <w:rPr>
                <w:color w:val="231F1F"/>
                <w:sz w:val="22"/>
              </w:rPr>
              <w:t>La</w:t>
            </w:r>
            <w:r>
              <w:rPr>
                <w:color w:val="231F1F"/>
                <w:spacing w:val="34"/>
                <w:sz w:val="22"/>
              </w:rPr>
              <w:t> </w:t>
            </w:r>
            <w:r>
              <w:rPr>
                <w:color w:val="231F1F"/>
                <w:sz w:val="22"/>
              </w:rPr>
              <w:t>duración</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4"/>
                <w:sz w:val="22"/>
              </w:rPr>
              <w:t> </w:t>
            </w:r>
            <w:r>
              <w:rPr>
                <w:color w:val="231F1F"/>
                <w:sz w:val="22"/>
              </w:rPr>
              <w:t>tercera</w:t>
            </w:r>
            <w:r>
              <w:rPr>
                <w:color w:val="231F1F"/>
                <w:spacing w:val="34"/>
                <w:sz w:val="22"/>
              </w:rPr>
              <w:t> </w:t>
            </w:r>
            <w:r>
              <w:rPr>
                <w:color w:val="231F1F"/>
                <w:sz w:val="22"/>
              </w:rPr>
              <w:t>etapa</w:t>
            </w:r>
            <w:r>
              <w:rPr>
                <w:color w:val="231F1F"/>
                <w:spacing w:val="33"/>
                <w:sz w:val="22"/>
              </w:rPr>
              <w:t> </w:t>
            </w:r>
            <w:r>
              <w:rPr>
                <w:color w:val="231F1F"/>
                <w:sz w:val="22"/>
              </w:rPr>
              <w:t>del</w:t>
            </w:r>
            <w:r>
              <w:rPr>
                <w:color w:val="231F1F"/>
                <w:spacing w:val="34"/>
                <w:sz w:val="22"/>
              </w:rPr>
              <w:t> </w:t>
            </w:r>
            <w:r>
              <w:rPr>
                <w:color w:val="231F1F"/>
                <w:sz w:val="22"/>
              </w:rPr>
              <w:t>parto</w:t>
            </w:r>
            <w:r>
              <w:rPr>
                <w:color w:val="231F1F"/>
                <w:spacing w:val="33"/>
                <w:sz w:val="22"/>
              </w:rPr>
              <w:t> </w:t>
            </w:r>
            <w:r>
              <w:rPr>
                <w:color w:val="231F1F"/>
                <w:sz w:val="22"/>
              </w:rPr>
              <w:t>se</w:t>
            </w:r>
            <w:r>
              <w:rPr>
                <w:color w:val="231F1F"/>
                <w:spacing w:val="33"/>
                <w:sz w:val="22"/>
              </w:rPr>
              <w:t> </w:t>
            </w:r>
            <w:r>
              <w:rPr>
                <w:color w:val="231F1F"/>
                <w:sz w:val="22"/>
              </w:rPr>
              <w:t>considera</w:t>
            </w:r>
            <w:r>
              <w:rPr>
                <w:color w:val="231F1F"/>
                <w:spacing w:val="33"/>
                <w:sz w:val="22"/>
              </w:rPr>
              <w:t> </w:t>
            </w:r>
            <w:r>
              <w:rPr>
                <w:color w:val="231F1F"/>
                <w:sz w:val="22"/>
              </w:rPr>
              <w:t>prolongada</w:t>
            </w:r>
            <w:r>
              <w:rPr>
                <w:color w:val="231F1F"/>
                <w:spacing w:val="33"/>
                <w:sz w:val="22"/>
              </w:rPr>
              <w:t> </w:t>
            </w:r>
            <w:r>
              <w:rPr>
                <w:color w:val="231F1F"/>
                <w:sz w:val="22"/>
              </w:rPr>
              <w:t>si</w:t>
            </w:r>
            <w:r>
              <w:rPr>
                <w:color w:val="231F1F"/>
                <w:spacing w:val="34"/>
                <w:sz w:val="22"/>
              </w:rPr>
              <w:t> </w:t>
            </w:r>
            <w:r>
              <w:rPr>
                <w:color w:val="231F1F"/>
                <w:sz w:val="22"/>
              </w:rPr>
              <w:t>no</w:t>
            </w:r>
            <w:r>
              <w:rPr>
                <w:color w:val="231F1F"/>
                <w:spacing w:val="33"/>
                <w:sz w:val="22"/>
              </w:rPr>
              <w:t> </w:t>
            </w:r>
            <w:r>
              <w:rPr>
                <w:color w:val="231F1F"/>
                <w:sz w:val="22"/>
              </w:rPr>
              <w:t>se</w:t>
            </w:r>
            <w:r>
              <w:rPr>
                <w:color w:val="231F1F"/>
                <w:spacing w:val="33"/>
                <w:sz w:val="22"/>
              </w:rPr>
              <w:t> </w:t>
            </w:r>
            <w:r>
              <w:rPr>
                <w:color w:val="231F1F"/>
                <w:sz w:val="22"/>
              </w:rPr>
              <w:t>comple- ta en los 30 minutos posteriores al nacimiento del neonato con manejo activo y 60 minutos</w:t>
            </w:r>
            <w:r>
              <w:rPr>
                <w:color w:val="231F1F"/>
                <w:spacing w:val="40"/>
                <w:sz w:val="22"/>
              </w:rPr>
              <w:t> </w:t>
            </w:r>
            <w:r>
              <w:rPr>
                <w:color w:val="231F1F"/>
                <w:sz w:val="22"/>
              </w:rPr>
              <w:t>con</w:t>
            </w:r>
            <w:r>
              <w:rPr>
                <w:color w:val="231F1F"/>
                <w:spacing w:val="40"/>
                <w:sz w:val="22"/>
              </w:rPr>
              <w:t> </w:t>
            </w:r>
            <w:r>
              <w:rPr>
                <w:color w:val="231F1F"/>
                <w:sz w:val="22"/>
              </w:rPr>
              <w:t>el</w:t>
            </w:r>
            <w:r>
              <w:rPr>
                <w:color w:val="231F1F"/>
                <w:spacing w:val="40"/>
                <w:sz w:val="22"/>
              </w:rPr>
              <w:t> </w:t>
            </w:r>
            <w:r>
              <w:rPr>
                <w:color w:val="231F1F"/>
                <w:sz w:val="22"/>
              </w:rPr>
              <w:t>alumbramiento</w:t>
            </w:r>
            <w:r>
              <w:rPr>
                <w:color w:val="231F1F"/>
                <w:spacing w:val="40"/>
                <w:sz w:val="22"/>
              </w:rPr>
              <w:t> </w:t>
            </w:r>
            <w:r>
              <w:rPr>
                <w:color w:val="231F1F"/>
                <w:sz w:val="22"/>
              </w:rPr>
              <w:t>espontáneo.</w:t>
            </w:r>
          </w:p>
        </w:tc>
      </w:tr>
      <w:tr>
        <w:trPr>
          <w:trHeight w:val="398" w:hRule="atLeast"/>
        </w:trPr>
        <w:tc>
          <w:tcPr>
            <w:tcW w:w="8505" w:type="dxa"/>
            <w:gridSpan w:val="2"/>
          </w:tcPr>
          <w:p>
            <w:pPr>
              <w:pStyle w:val="TableParagraph"/>
              <w:spacing w:before="58"/>
              <w:rPr>
                <w:sz w:val="22"/>
              </w:rPr>
            </w:pPr>
            <w:r>
              <w:rPr>
                <w:color w:val="231F1F"/>
                <w:sz w:val="22"/>
              </w:rPr>
              <w:t>7.2.</w:t>
            </w:r>
            <w:r>
              <w:rPr>
                <w:color w:val="231F1F"/>
                <w:spacing w:val="18"/>
                <w:sz w:val="22"/>
              </w:rPr>
              <w:t> </w:t>
            </w:r>
            <w:r>
              <w:rPr>
                <w:color w:val="231F1F"/>
                <w:sz w:val="22"/>
              </w:rPr>
              <w:t>Manejo</w:t>
            </w:r>
            <w:r>
              <w:rPr>
                <w:color w:val="231F1F"/>
                <w:spacing w:val="20"/>
                <w:sz w:val="22"/>
              </w:rPr>
              <w:t> </w:t>
            </w:r>
            <w:r>
              <w:rPr>
                <w:color w:val="231F1F"/>
                <w:sz w:val="22"/>
              </w:rPr>
              <w:t>del</w:t>
            </w:r>
            <w:r>
              <w:rPr>
                <w:color w:val="231F1F"/>
                <w:spacing w:val="20"/>
                <w:sz w:val="22"/>
              </w:rPr>
              <w:t> </w:t>
            </w:r>
            <w:r>
              <w:rPr>
                <w:color w:val="231F1F"/>
                <w:spacing w:val="-2"/>
                <w:sz w:val="22"/>
              </w:rPr>
              <w:t>alumbramiento</w:t>
            </w:r>
          </w:p>
        </w:tc>
      </w:tr>
      <w:tr>
        <w:trPr>
          <w:trHeight w:val="402" w:hRule="atLeast"/>
        </w:trPr>
        <w:tc>
          <w:tcPr>
            <w:tcW w:w="571" w:type="dxa"/>
          </w:tcPr>
          <w:p>
            <w:pPr>
              <w:pStyle w:val="TableParagraph"/>
              <w:spacing w:before="44"/>
              <w:ind w:left="46" w:right="9"/>
              <w:jc w:val="center"/>
              <w:rPr>
                <w:sz w:val="22"/>
              </w:rPr>
            </w:pPr>
            <w:r>
              <w:rPr>
                <w:color w:val="231F1F"/>
                <w:spacing w:val="-10"/>
                <w:w w:val="115"/>
                <w:sz w:val="22"/>
              </w:rPr>
              <w:t>A</w:t>
            </w:r>
          </w:p>
        </w:tc>
        <w:tc>
          <w:tcPr>
            <w:tcW w:w="7934" w:type="dxa"/>
          </w:tcPr>
          <w:p>
            <w:pPr>
              <w:pStyle w:val="TableParagraph"/>
              <w:spacing w:before="49"/>
              <w:ind w:left="117"/>
              <w:rPr>
                <w:sz w:val="22"/>
              </w:rPr>
            </w:pPr>
            <w:r>
              <w:rPr>
                <w:color w:val="231F1F"/>
                <w:sz w:val="22"/>
              </w:rPr>
              <w:t>Se</w:t>
            </w:r>
            <w:r>
              <w:rPr>
                <w:color w:val="231F1F"/>
                <w:spacing w:val="30"/>
                <w:sz w:val="22"/>
              </w:rPr>
              <w:t> </w:t>
            </w:r>
            <w:r>
              <w:rPr>
                <w:color w:val="231F1F"/>
                <w:sz w:val="22"/>
              </w:rPr>
              <w:t>recomienda</w:t>
            </w:r>
            <w:r>
              <w:rPr>
                <w:color w:val="231F1F"/>
                <w:spacing w:val="31"/>
                <w:sz w:val="22"/>
              </w:rPr>
              <w:t> </w:t>
            </w:r>
            <w:r>
              <w:rPr>
                <w:color w:val="231F1F"/>
                <w:sz w:val="22"/>
              </w:rPr>
              <w:t>el</w:t>
            </w:r>
            <w:r>
              <w:rPr>
                <w:color w:val="231F1F"/>
                <w:spacing w:val="30"/>
                <w:sz w:val="22"/>
              </w:rPr>
              <w:t> </w:t>
            </w:r>
            <w:r>
              <w:rPr>
                <w:color w:val="231F1F"/>
                <w:sz w:val="22"/>
              </w:rPr>
              <w:t>manejo</w:t>
            </w:r>
            <w:r>
              <w:rPr>
                <w:color w:val="231F1F"/>
                <w:spacing w:val="30"/>
                <w:sz w:val="22"/>
              </w:rPr>
              <w:t> </w:t>
            </w:r>
            <w:r>
              <w:rPr>
                <w:color w:val="231F1F"/>
                <w:sz w:val="22"/>
              </w:rPr>
              <w:t>activo</w:t>
            </w:r>
            <w:r>
              <w:rPr>
                <w:color w:val="231F1F"/>
                <w:spacing w:val="30"/>
                <w:sz w:val="22"/>
              </w:rPr>
              <w:t> </w:t>
            </w:r>
            <w:r>
              <w:rPr>
                <w:color w:val="231F1F"/>
                <w:sz w:val="22"/>
              </w:rPr>
              <w:t>del</w:t>
            </w:r>
            <w:r>
              <w:rPr>
                <w:color w:val="231F1F"/>
                <w:spacing w:val="29"/>
                <w:sz w:val="22"/>
              </w:rPr>
              <w:t> </w:t>
            </w:r>
            <w:r>
              <w:rPr>
                <w:color w:val="231F1F"/>
                <w:spacing w:val="-2"/>
                <w:sz w:val="22"/>
              </w:rPr>
              <w:t>alumbramiento.</w:t>
            </w:r>
          </w:p>
        </w:tc>
      </w:tr>
      <w:tr>
        <w:trPr>
          <w:trHeight w:val="959" w:hRule="atLeast"/>
        </w:trPr>
        <w:tc>
          <w:tcPr>
            <w:tcW w:w="571" w:type="dxa"/>
          </w:tcPr>
          <w:p>
            <w:pPr>
              <w:pStyle w:val="TableParagraph"/>
              <w:spacing w:before="87"/>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4"/>
              <w:ind w:left="117" w:right="87"/>
              <w:jc w:val="both"/>
              <w:rPr>
                <w:sz w:val="22"/>
              </w:rPr>
            </w:pPr>
            <w:r>
              <w:rPr>
                <w:color w:val="231F1F"/>
                <w:w w:val="110"/>
                <w:sz w:val="22"/>
              </w:rPr>
              <w:t>Las</w:t>
            </w:r>
            <w:r>
              <w:rPr>
                <w:color w:val="231F1F"/>
                <w:spacing w:val="-8"/>
                <w:w w:val="110"/>
                <w:sz w:val="22"/>
              </w:rPr>
              <w:t> </w:t>
            </w:r>
            <w:r>
              <w:rPr>
                <w:color w:val="231F1F"/>
                <w:w w:val="110"/>
                <w:sz w:val="22"/>
              </w:rPr>
              <w:t>mujeres</w:t>
            </w:r>
            <w:r>
              <w:rPr>
                <w:color w:val="231F1F"/>
                <w:spacing w:val="-8"/>
                <w:w w:val="110"/>
                <w:sz w:val="22"/>
              </w:rPr>
              <w:t> </w:t>
            </w:r>
            <w:r>
              <w:rPr>
                <w:color w:val="231F1F"/>
                <w:w w:val="110"/>
                <w:sz w:val="22"/>
              </w:rPr>
              <w:t>deben</w:t>
            </w:r>
            <w:r>
              <w:rPr>
                <w:color w:val="231F1F"/>
                <w:spacing w:val="-8"/>
                <w:w w:val="110"/>
                <w:sz w:val="22"/>
              </w:rPr>
              <w:t> </w:t>
            </w:r>
            <w:r>
              <w:rPr>
                <w:color w:val="231F1F"/>
                <w:w w:val="110"/>
                <w:sz w:val="22"/>
              </w:rPr>
              <w:t>ser</w:t>
            </w:r>
            <w:r>
              <w:rPr>
                <w:color w:val="231F1F"/>
                <w:spacing w:val="-9"/>
                <w:w w:val="110"/>
                <w:sz w:val="22"/>
              </w:rPr>
              <w:t> </w:t>
            </w:r>
            <w:r>
              <w:rPr>
                <w:color w:val="231F1F"/>
                <w:w w:val="110"/>
                <w:sz w:val="22"/>
              </w:rPr>
              <w:t>informadas</w:t>
            </w:r>
            <w:r>
              <w:rPr>
                <w:color w:val="231F1F"/>
                <w:spacing w:val="-8"/>
                <w:w w:val="110"/>
                <w:sz w:val="22"/>
              </w:rPr>
              <w:t> </w:t>
            </w:r>
            <w:r>
              <w:rPr>
                <w:color w:val="231F1F"/>
                <w:w w:val="110"/>
                <w:sz w:val="22"/>
              </w:rPr>
              <w:t>(preferiblemente</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la</w:t>
            </w:r>
            <w:r>
              <w:rPr>
                <w:color w:val="231F1F"/>
                <w:spacing w:val="-8"/>
                <w:w w:val="110"/>
                <w:sz w:val="22"/>
              </w:rPr>
              <w:t> </w:t>
            </w:r>
            <w:r>
              <w:rPr>
                <w:color w:val="231F1F"/>
                <w:w w:val="110"/>
                <w:sz w:val="22"/>
              </w:rPr>
              <w:t>gestación)</w:t>
            </w:r>
            <w:r>
              <w:rPr>
                <w:color w:val="231F1F"/>
                <w:spacing w:val="-8"/>
                <w:w w:val="110"/>
                <w:sz w:val="22"/>
              </w:rPr>
              <w:t> </w:t>
            </w:r>
            <w:r>
              <w:rPr>
                <w:color w:val="231F1F"/>
                <w:w w:val="110"/>
                <w:sz w:val="22"/>
              </w:rPr>
              <w:t>de</w:t>
            </w:r>
            <w:r>
              <w:rPr>
                <w:color w:val="231F1F"/>
                <w:spacing w:val="-8"/>
                <w:w w:val="110"/>
                <w:sz w:val="22"/>
              </w:rPr>
              <w:t> </w:t>
            </w:r>
            <w:r>
              <w:rPr>
                <w:color w:val="231F1F"/>
                <w:w w:val="110"/>
                <w:sz w:val="22"/>
              </w:rPr>
              <w:t>que el manejo activo de la tercera etapa del parto acorta su duración, disminuye el riesgo de hemorragia posparto y la necesidad de oxitocina terapéutica.</w:t>
            </w:r>
          </w:p>
        </w:tc>
      </w:tr>
      <w:tr>
        <w:trPr>
          <w:trHeight w:val="407" w:hRule="atLeast"/>
        </w:trPr>
        <w:tc>
          <w:tcPr>
            <w:tcW w:w="571" w:type="dxa"/>
          </w:tcPr>
          <w:p>
            <w:pPr>
              <w:pStyle w:val="TableParagraph"/>
              <w:spacing w:before="6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53"/>
              <w:ind w:left="117"/>
              <w:rPr>
                <w:sz w:val="22"/>
              </w:rPr>
            </w:pPr>
            <w:r>
              <w:rPr>
                <w:color w:val="231F1F"/>
                <w:sz w:val="22"/>
              </w:rPr>
              <w:t>El</w:t>
            </w:r>
            <w:r>
              <w:rPr>
                <w:color w:val="231F1F"/>
                <w:spacing w:val="27"/>
                <w:sz w:val="22"/>
              </w:rPr>
              <w:t> </w:t>
            </w:r>
            <w:r>
              <w:rPr>
                <w:color w:val="231F1F"/>
                <w:sz w:val="22"/>
              </w:rPr>
              <w:t>alumbramiento</w:t>
            </w:r>
            <w:r>
              <w:rPr>
                <w:color w:val="231F1F"/>
                <w:spacing w:val="30"/>
                <w:sz w:val="22"/>
              </w:rPr>
              <w:t> </w:t>
            </w:r>
            <w:r>
              <w:rPr>
                <w:color w:val="231F1F"/>
                <w:sz w:val="22"/>
              </w:rPr>
              <w:t>espontáneo</w:t>
            </w:r>
            <w:r>
              <w:rPr>
                <w:color w:val="231F1F"/>
                <w:spacing w:val="32"/>
                <w:sz w:val="22"/>
              </w:rPr>
              <w:t> </w:t>
            </w:r>
            <w:r>
              <w:rPr>
                <w:color w:val="231F1F"/>
                <w:sz w:val="22"/>
              </w:rPr>
              <w:t>o</w:t>
            </w:r>
            <w:r>
              <w:rPr>
                <w:color w:val="231F1F"/>
                <w:spacing w:val="30"/>
                <w:sz w:val="22"/>
              </w:rPr>
              <w:t> </w:t>
            </w:r>
            <w:r>
              <w:rPr>
                <w:color w:val="231F1F"/>
                <w:sz w:val="22"/>
              </w:rPr>
              <w:t>fisiológico</w:t>
            </w:r>
            <w:r>
              <w:rPr>
                <w:color w:val="231F1F"/>
                <w:spacing w:val="35"/>
                <w:sz w:val="22"/>
              </w:rPr>
              <w:t> </w:t>
            </w:r>
            <w:r>
              <w:rPr>
                <w:color w:val="231F1F"/>
                <w:sz w:val="22"/>
              </w:rPr>
              <w:t>es</w:t>
            </w:r>
            <w:r>
              <w:rPr>
                <w:color w:val="231F1F"/>
                <w:spacing w:val="30"/>
                <w:sz w:val="22"/>
              </w:rPr>
              <w:t> </w:t>
            </w:r>
            <w:r>
              <w:rPr>
                <w:color w:val="231F1F"/>
                <w:sz w:val="22"/>
              </w:rPr>
              <w:t>una</w:t>
            </w:r>
            <w:r>
              <w:rPr>
                <w:color w:val="231F1F"/>
                <w:spacing w:val="31"/>
                <w:sz w:val="22"/>
              </w:rPr>
              <w:t> </w:t>
            </w:r>
            <w:r>
              <w:rPr>
                <w:color w:val="231F1F"/>
                <w:sz w:val="22"/>
              </w:rPr>
              <w:t>opción</w:t>
            </w:r>
            <w:r>
              <w:rPr>
                <w:color w:val="231F1F"/>
                <w:spacing w:val="30"/>
                <w:sz w:val="22"/>
              </w:rPr>
              <w:t> </w:t>
            </w:r>
            <w:r>
              <w:rPr>
                <w:color w:val="231F1F"/>
                <w:sz w:val="22"/>
              </w:rPr>
              <w:t>si</w:t>
            </w:r>
            <w:r>
              <w:rPr>
                <w:color w:val="231F1F"/>
                <w:spacing w:val="28"/>
                <w:sz w:val="22"/>
              </w:rPr>
              <w:t> </w:t>
            </w:r>
            <w:r>
              <w:rPr>
                <w:color w:val="231F1F"/>
                <w:sz w:val="22"/>
              </w:rPr>
              <w:t>la</w:t>
            </w:r>
            <w:r>
              <w:rPr>
                <w:color w:val="231F1F"/>
                <w:spacing w:val="32"/>
                <w:sz w:val="22"/>
              </w:rPr>
              <w:t> </w:t>
            </w:r>
            <w:r>
              <w:rPr>
                <w:color w:val="231F1F"/>
                <w:sz w:val="22"/>
              </w:rPr>
              <w:t>mujer</w:t>
            </w:r>
            <w:r>
              <w:rPr>
                <w:color w:val="231F1F"/>
                <w:spacing w:val="30"/>
                <w:sz w:val="22"/>
              </w:rPr>
              <w:t> </w:t>
            </w:r>
            <w:r>
              <w:rPr>
                <w:color w:val="231F1F"/>
                <w:sz w:val="22"/>
              </w:rPr>
              <w:t>lo</w:t>
            </w:r>
            <w:r>
              <w:rPr>
                <w:color w:val="231F1F"/>
                <w:spacing w:val="33"/>
                <w:sz w:val="22"/>
              </w:rPr>
              <w:t> </w:t>
            </w:r>
            <w:r>
              <w:rPr>
                <w:color w:val="231F1F"/>
                <w:spacing w:val="-2"/>
                <w:sz w:val="22"/>
              </w:rPr>
              <w:t>solicita.</w:t>
            </w:r>
          </w:p>
        </w:tc>
      </w:tr>
    </w:tbl>
    <w:p>
      <w:pPr>
        <w:pStyle w:val="TableParagraph"/>
        <w:spacing w:after="0"/>
        <w:rPr>
          <w:sz w:val="22"/>
        </w:rPr>
        <w:sectPr>
          <w:type w:val="continuous"/>
          <w:pgSz w:w="11900" w:h="16840"/>
          <w:pgMar w:header="0" w:footer="622" w:top="1640" w:bottom="2174"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402" w:hRule="atLeast"/>
        </w:trPr>
        <w:tc>
          <w:tcPr>
            <w:tcW w:w="8505" w:type="dxa"/>
            <w:gridSpan w:val="2"/>
          </w:tcPr>
          <w:p>
            <w:pPr>
              <w:pStyle w:val="TableParagraph"/>
              <w:spacing w:before="39"/>
              <w:rPr>
                <w:sz w:val="22"/>
              </w:rPr>
            </w:pPr>
            <w:r>
              <w:rPr>
                <w:color w:val="231F1F"/>
                <w:w w:val="105"/>
                <w:sz w:val="22"/>
              </w:rPr>
              <w:t>7.3.</w:t>
            </w:r>
            <w:r>
              <w:rPr>
                <w:color w:val="231F1F"/>
                <w:spacing w:val="-10"/>
                <w:w w:val="105"/>
                <w:sz w:val="22"/>
              </w:rPr>
              <w:t> </w:t>
            </w:r>
            <w:r>
              <w:rPr>
                <w:color w:val="231F1F"/>
                <w:w w:val="105"/>
                <w:sz w:val="22"/>
              </w:rPr>
              <w:t>Utilización</w:t>
            </w:r>
            <w:r>
              <w:rPr>
                <w:color w:val="231F1F"/>
                <w:spacing w:val="-8"/>
                <w:w w:val="105"/>
                <w:sz w:val="22"/>
              </w:rPr>
              <w:t> </w:t>
            </w:r>
            <w:r>
              <w:rPr>
                <w:color w:val="231F1F"/>
                <w:w w:val="105"/>
                <w:sz w:val="22"/>
              </w:rPr>
              <w:t>de</w:t>
            </w:r>
            <w:r>
              <w:rPr>
                <w:color w:val="231F1F"/>
                <w:spacing w:val="-9"/>
                <w:w w:val="105"/>
                <w:sz w:val="22"/>
              </w:rPr>
              <w:t> </w:t>
            </w:r>
            <w:r>
              <w:rPr>
                <w:color w:val="231F1F"/>
                <w:spacing w:val="-2"/>
                <w:w w:val="105"/>
                <w:sz w:val="22"/>
              </w:rPr>
              <w:t>uterotónicos</w:t>
            </w:r>
          </w:p>
        </w:tc>
      </w:tr>
      <w:tr>
        <w:trPr>
          <w:trHeight w:val="681" w:hRule="atLeast"/>
        </w:trPr>
        <w:tc>
          <w:tcPr>
            <w:tcW w:w="571" w:type="dxa"/>
          </w:tcPr>
          <w:p>
            <w:pPr>
              <w:pStyle w:val="TableParagraph"/>
              <w:spacing w:before="178"/>
              <w:ind w:left="46" w:right="9"/>
              <w:jc w:val="center"/>
              <w:rPr>
                <w:sz w:val="22"/>
              </w:rPr>
            </w:pPr>
            <w:r>
              <w:rPr>
                <w:color w:val="231F1F"/>
                <w:spacing w:val="-10"/>
                <w:w w:val="115"/>
                <w:sz w:val="22"/>
              </w:rPr>
              <w:t>A</w:t>
            </w:r>
          </w:p>
        </w:tc>
        <w:tc>
          <w:tcPr>
            <w:tcW w:w="7934" w:type="dxa"/>
          </w:tcPr>
          <w:p>
            <w:pPr>
              <w:pStyle w:val="TableParagraph"/>
              <w:spacing w:line="244" w:lineRule="auto" w:before="53"/>
              <w:ind w:left="117" w:right="163"/>
              <w:rPr>
                <w:sz w:val="22"/>
              </w:rPr>
            </w:pPr>
            <w:r>
              <w:rPr>
                <w:color w:val="231F1F"/>
                <w:sz w:val="22"/>
              </w:rPr>
              <w:t>Se</w:t>
            </w:r>
            <w:r>
              <w:rPr>
                <w:color w:val="231F1F"/>
                <w:spacing w:val="28"/>
                <w:sz w:val="22"/>
              </w:rPr>
              <w:t> </w:t>
            </w:r>
            <w:r>
              <w:rPr>
                <w:color w:val="231F1F"/>
                <w:sz w:val="22"/>
              </w:rPr>
              <w:t>recomienda</w:t>
            </w:r>
            <w:r>
              <w:rPr>
                <w:color w:val="231F1F"/>
                <w:spacing w:val="31"/>
                <w:sz w:val="22"/>
              </w:rPr>
              <w:t> </w:t>
            </w:r>
            <w:r>
              <w:rPr>
                <w:color w:val="231F1F"/>
                <w:sz w:val="22"/>
              </w:rPr>
              <w:t>la</w:t>
            </w:r>
            <w:r>
              <w:rPr>
                <w:color w:val="231F1F"/>
                <w:spacing w:val="30"/>
                <w:sz w:val="22"/>
              </w:rPr>
              <w:t> </w:t>
            </w:r>
            <w:r>
              <w:rPr>
                <w:color w:val="231F1F"/>
                <w:sz w:val="22"/>
              </w:rPr>
              <w:t>utilización</w:t>
            </w:r>
            <w:r>
              <w:rPr>
                <w:color w:val="231F1F"/>
                <w:spacing w:val="30"/>
                <w:sz w:val="22"/>
              </w:rPr>
              <w:t> </w:t>
            </w:r>
            <w:r>
              <w:rPr>
                <w:color w:val="231F1F"/>
                <w:sz w:val="22"/>
              </w:rPr>
              <w:t>rutinaria</w:t>
            </w:r>
            <w:r>
              <w:rPr>
                <w:color w:val="231F1F"/>
                <w:spacing w:val="30"/>
                <w:sz w:val="22"/>
              </w:rPr>
              <w:t> </w:t>
            </w:r>
            <w:r>
              <w:rPr>
                <w:color w:val="231F1F"/>
                <w:sz w:val="22"/>
              </w:rPr>
              <w:t>de</w:t>
            </w:r>
            <w:r>
              <w:rPr>
                <w:color w:val="231F1F"/>
                <w:spacing w:val="30"/>
                <w:sz w:val="22"/>
              </w:rPr>
              <w:t> </w:t>
            </w:r>
            <w:r>
              <w:rPr>
                <w:color w:val="231F1F"/>
                <w:sz w:val="22"/>
              </w:rPr>
              <w:t>oxitocina</w:t>
            </w:r>
            <w:r>
              <w:rPr>
                <w:color w:val="231F1F"/>
                <w:spacing w:val="30"/>
                <w:sz w:val="22"/>
              </w:rPr>
              <w:t> </w:t>
            </w:r>
            <w:r>
              <w:rPr>
                <w:color w:val="231F1F"/>
                <w:sz w:val="22"/>
              </w:rPr>
              <w:t>en</w:t>
            </w:r>
            <w:r>
              <w:rPr>
                <w:color w:val="231F1F"/>
                <w:spacing w:val="30"/>
                <w:sz w:val="22"/>
              </w:rPr>
              <w:t> </w:t>
            </w:r>
            <w:r>
              <w:rPr>
                <w:color w:val="231F1F"/>
                <w:sz w:val="22"/>
              </w:rPr>
              <w:t>el</w:t>
            </w:r>
            <w:r>
              <w:rPr>
                <w:color w:val="231F1F"/>
                <w:spacing w:val="28"/>
                <w:sz w:val="22"/>
              </w:rPr>
              <w:t> </w:t>
            </w:r>
            <w:r>
              <w:rPr>
                <w:color w:val="231F1F"/>
                <w:sz w:val="22"/>
              </w:rPr>
              <w:t>manejo</w:t>
            </w:r>
            <w:r>
              <w:rPr>
                <w:color w:val="231F1F"/>
                <w:spacing w:val="30"/>
                <w:sz w:val="22"/>
              </w:rPr>
              <w:t> </w:t>
            </w:r>
            <w:r>
              <w:rPr>
                <w:color w:val="231F1F"/>
                <w:sz w:val="22"/>
              </w:rPr>
              <w:t>de</w:t>
            </w:r>
            <w:r>
              <w:rPr>
                <w:color w:val="231F1F"/>
                <w:spacing w:val="30"/>
                <w:sz w:val="22"/>
              </w:rPr>
              <w:t> </w:t>
            </w:r>
            <w:r>
              <w:rPr>
                <w:color w:val="231F1F"/>
                <w:sz w:val="22"/>
              </w:rPr>
              <w:t>la</w:t>
            </w:r>
            <w:r>
              <w:rPr>
                <w:color w:val="231F1F"/>
                <w:spacing w:val="30"/>
                <w:sz w:val="22"/>
              </w:rPr>
              <w:t> </w:t>
            </w:r>
            <w:r>
              <w:rPr>
                <w:color w:val="231F1F"/>
                <w:sz w:val="22"/>
              </w:rPr>
              <w:t>tercera</w:t>
            </w:r>
            <w:r>
              <w:rPr>
                <w:color w:val="231F1F"/>
                <w:spacing w:val="30"/>
                <w:sz w:val="22"/>
              </w:rPr>
              <w:t> </w:t>
            </w:r>
            <w:r>
              <w:rPr>
                <w:color w:val="231F1F"/>
                <w:sz w:val="22"/>
              </w:rPr>
              <w:t>fase del parto.</w:t>
            </w:r>
          </w:p>
        </w:tc>
      </w:tr>
      <w:tr>
        <w:trPr>
          <w:trHeight w:val="397" w:hRule="atLeast"/>
        </w:trPr>
        <w:tc>
          <w:tcPr>
            <w:tcW w:w="8505" w:type="dxa"/>
            <w:gridSpan w:val="2"/>
          </w:tcPr>
          <w:p>
            <w:pPr>
              <w:pStyle w:val="TableParagraph"/>
              <w:spacing w:before="49"/>
              <w:rPr>
                <w:sz w:val="22"/>
              </w:rPr>
            </w:pPr>
            <w:r>
              <w:rPr>
                <w:color w:val="231F1F"/>
                <w:sz w:val="22"/>
              </w:rPr>
              <w:t>7.4.</w:t>
            </w:r>
            <w:r>
              <w:rPr>
                <w:color w:val="231F1F"/>
                <w:spacing w:val="32"/>
                <w:sz w:val="22"/>
              </w:rPr>
              <w:t> </w:t>
            </w:r>
            <w:r>
              <w:rPr>
                <w:color w:val="231F1F"/>
                <w:sz w:val="22"/>
              </w:rPr>
              <w:t>Dosis</w:t>
            </w:r>
            <w:r>
              <w:rPr>
                <w:color w:val="231F1F"/>
                <w:spacing w:val="35"/>
                <w:sz w:val="22"/>
              </w:rPr>
              <w:t> </w:t>
            </w:r>
            <w:r>
              <w:rPr>
                <w:color w:val="231F1F"/>
                <w:sz w:val="22"/>
              </w:rPr>
              <w:t>de</w:t>
            </w:r>
            <w:r>
              <w:rPr>
                <w:color w:val="231F1F"/>
                <w:spacing w:val="35"/>
                <w:sz w:val="22"/>
              </w:rPr>
              <w:t> </w:t>
            </w:r>
            <w:r>
              <w:rPr>
                <w:color w:val="231F1F"/>
                <w:sz w:val="22"/>
              </w:rPr>
              <w:t>oxitocina</w:t>
            </w:r>
            <w:r>
              <w:rPr>
                <w:color w:val="231F1F"/>
                <w:spacing w:val="35"/>
                <w:sz w:val="22"/>
              </w:rPr>
              <w:t> </w:t>
            </w:r>
            <w:r>
              <w:rPr>
                <w:color w:val="231F1F"/>
                <w:sz w:val="22"/>
              </w:rPr>
              <w:t>para</w:t>
            </w:r>
            <w:r>
              <w:rPr>
                <w:color w:val="231F1F"/>
                <w:spacing w:val="34"/>
                <w:sz w:val="22"/>
              </w:rPr>
              <w:t> </w:t>
            </w:r>
            <w:r>
              <w:rPr>
                <w:color w:val="231F1F"/>
                <w:sz w:val="22"/>
              </w:rPr>
              <w:t>el</w:t>
            </w:r>
            <w:r>
              <w:rPr>
                <w:color w:val="231F1F"/>
                <w:spacing w:val="37"/>
                <w:sz w:val="22"/>
              </w:rPr>
              <w:t> </w:t>
            </w:r>
            <w:r>
              <w:rPr>
                <w:color w:val="231F1F"/>
                <w:sz w:val="22"/>
              </w:rPr>
              <w:t>alumbramiento</w:t>
            </w:r>
            <w:r>
              <w:rPr>
                <w:color w:val="231F1F"/>
                <w:spacing w:val="35"/>
                <w:sz w:val="22"/>
              </w:rPr>
              <w:t> </w:t>
            </w:r>
            <w:r>
              <w:rPr>
                <w:color w:val="231F1F"/>
                <w:spacing w:val="-2"/>
                <w:sz w:val="22"/>
              </w:rPr>
              <w:t>dirigido</w:t>
            </w:r>
          </w:p>
        </w:tc>
      </w:tr>
      <w:tr>
        <w:trPr>
          <w:trHeight w:val="686" w:hRule="atLeast"/>
        </w:trPr>
        <w:tc>
          <w:tcPr>
            <w:tcW w:w="571" w:type="dxa"/>
          </w:tcPr>
          <w:p>
            <w:pPr>
              <w:pStyle w:val="TableParagraph"/>
              <w:spacing w:before="196"/>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49"/>
              <w:ind w:left="117" w:right="177"/>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administración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10</w:t>
            </w:r>
            <w:r>
              <w:rPr>
                <w:color w:val="231F1F"/>
                <w:spacing w:val="-15"/>
                <w:w w:val="110"/>
                <w:sz w:val="22"/>
              </w:rPr>
              <w:t> </w:t>
            </w:r>
            <w:r>
              <w:rPr>
                <w:color w:val="231F1F"/>
                <w:w w:val="110"/>
                <w:sz w:val="22"/>
              </w:rPr>
              <w:t>UI</w:t>
            </w:r>
            <w:r>
              <w:rPr>
                <w:color w:val="231F1F"/>
                <w:spacing w:val="-15"/>
                <w:w w:val="110"/>
                <w:sz w:val="22"/>
              </w:rPr>
              <w:t> </w:t>
            </w:r>
            <w:r>
              <w:rPr>
                <w:color w:val="231F1F"/>
                <w:w w:val="110"/>
                <w:sz w:val="22"/>
              </w:rPr>
              <w:t>IV</w:t>
            </w:r>
            <w:r>
              <w:rPr>
                <w:color w:val="231F1F"/>
                <w:spacing w:val="-15"/>
                <w:w w:val="110"/>
                <w:sz w:val="22"/>
              </w:rPr>
              <w:t> </w:t>
            </w:r>
            <w:r>
              <w:rPr>
                <w:color w:val="231F1F"/>
                <w:w w:val="110"/>
                <w:sz w:val="22"/>
              </w:rPr>
              <w:t>lenta</w:t>
            </w:r>
            <w:r>
              <w:rPr>
                <w:color w:val="231F1F"/>
                <w:spacing w:val="-16"/>
                <w:w w:val="110"/>
                <w:sz w:val="22"/>
              </w:rPr>
              <w:t> </w:t>
            </w:r>
            <w:r>
              <w:rPr>
                <w:color w:val="231F1F"/>
                <w:w w:val="110"/>
                <w:sz w:val="22"/>
              </w:rPr>
              <w:t>para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profilaxis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hemo- rragia posparto.</w:t>
            </w:r>
          </w:p>
        </w:tc>
      </w:tr>
    </w:tbl>
    <w:p>
      <w:pPr>
        <w:pStyle w:val="BodyText"/>
        <w:spacing w:before="183"/>
        <w:rPr>
          <w:rFonts w:ascii="Arial MT"/>
          <w:sz w:val="24"/>
        </w:rPr>
      </w:pPr>
    </w:p>
    <w:p>
      <w:pPr>
        <w:spacing w:before="0"/>
        <w:ind w:left="283" w:right="0" w:firstLine="0"/>
        <w:jc w:val="left"/>
        <w:rPr>
          <w:rFonts w:ascii="Arial MT" w:hAnsi="Arial MT"/>
          <w:sz w:val="24"/>
        </w:rPr>
      </w:pPr>
      <w:r>
        <w:rPr>
          <w:rFonts w:ascii="Arial MT" w:hAnsi="Arial MT"/>
          <w:color w:val="231F1F"/>
          <w:w w:val="105"/>
          <w:sz w:val="24"/>
        </w:rPr>
        <w:t>Cuidados</w:t>
      </w:r>
      <w:r>
        <w:rPr>
          <w:rFonts w:ascii="Arial MT" w:hAnsi="Arial MT"/>
          <w:color w:val="231F1F"/>
          <w:spacing w:val="-12"/>
          <w:w w:val="105"/>
          <w:sz w:val="24"/>
        </w:rPr>
        <w:t> </w:t>
      </w:r>
      <w:r>
        <w:rPr>
          <w:rFonts w:ascii="Arial MT" w:hAnsi="Arial MT"/>
          <w:color w:val="231F1F"/>
          <w:w w:val="105"/>
          <w:sz w:val="24"/>
        </w:rPr>
        <w:t>del</w:t>
      </w:r>
      <w:r>
        <w:rPr>
          <w:rFonts w:ascii="Arial MT" w:hAnsi="Arial MT"/>
          <w:color w:val="231F1F"/>
          <w:spacing w:val="-14"/>
          <w:w w:val="105"/>
          <w:sz w:val="24"/>
        </w:rPr>
        <w:t> </w:t>
      </w:r>
      <w:r>
        <w:rPr>
          <w:rFonts w:ascii="Arial MT" w:hAnsi="Arial MT"/>
          <w:color w:val="231F1F"/>
          <w:w w:val="105"/>
          <w:sz w:val="24"/>
        </w:rPr>
        <w:t>recién</w:t>
      </w:r>
      <w:r>
        <w:rPr>
          <w:rFonts w:ascii="Arial MT" w:hAnsi="Arial MT"/>
          <w:color w:val="231F1F"/>
          <w:spacing w:val="-12"/>
          <w:w w:val="105"/>
          <w:sz w:val="24"/>
        </w:rPr>
        <w:t> </w:t>
      </w:r>
      <w:r>
        <w:rPr>
          <w:rFonts w:ascii="Arial MT" w:hAnsi="Arial MT"/>
          <w:color w:val="231F1F"/>
          <w:spacing w:val="-2"/>
          <w:w w:val="105"/>
          <w:sz w:val="24"/>
        </w:rPr>
        <w:t>nacido</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88" w:hRule="atLeast"/>
        </w:trPr>
        <w:tc>
          <w:tcPr>
            <w:tcW w:w="8505" w:type="dxa"/>
            <w:gridSpan w:val="2"/>
          </w:tcPr>
          <w:p>
            <w:pPr>
              <w:pStyle w:val="TableParagraph"/>
              <w:spacing w:before="34"/>
              <w:rPr>
                <w:sz w:val="22"/>
              </w:rPr>
            </w:pPr>
            <w:r>
              <w:rPr>
                <w:color w:val="231F1F"/>
                <w:w w:val="105"/>
                <w:sz w:val="22"/>
              </w:rPr>
              <w:t>8.1.</w:t>
            </w:r>
            <w:r>
              <w:rPr>
                <w:color w:val="231F1F"/>
                <w:spacing w:val="-3"/>
                <w:w w:val="105"/>
                <w:sz w:val="22"/>
              </w:rPr>
              <w:t> </w:t>
            </w:r>
            <w:r>
              <w:rPr>
                <w:color w:val="231F1F"/>
                <w:w w:val="105"/>
                <w:sz w:val="22"/>
              </w:rPr>
              <w:t>Pinzamiento del</w:t>
            </w:r>
            <w:r>
              <w:rPr>
                <w:color w:val="231F1F"/>
                <w:spacing w:val="-2"/>
                <w:w w:val="105"/>
                <w:sz w:val="22"/>
              </w:rPr>
              <w:t> </w:t>
            </w:r>
            <w:r>
              <w:rPr>
                <w:color w:val="231F1F"/>
                <w:w w:val="105"/>
                <w:sz w:val="22"/>
              </w:rPr>
              <w:t>cordón</w:t>
            </w:r>
            <w:r>
              <w:rPr>
                <w:color w:val="231F1F"/>
                <w:spacing w:val="-1"/>
                <w:w w:val="105"/>
                <w:sz w:val="22"/>
              </w:rPr>
              <w:t> </w:t>
            </w:r>
            <w:r>
              <w:rPr>
                <w:color w:val="231F1F"/>
                <w:spacing w:val="-2"/>
                <w:w w:val="105"/>
                <w:sz w:val="22"/>
              </w:rPr>
              <w:t>umbilical</w:t>
            </w:r>
          </w:p>
        </w:tc>
      </w:tr>
      <w:tr>
        <w:trPr>
          <w:trHeight w:val="393" w:hRule="atLeast"/>
        </w:trPr>
        <w:tc>
          <w:tcPr>
            <w:tcW w:w="571" w:type="dxa"/>
            <w:shd w:val="clear" w:color="auto" w:fill="F2DFDF"/>
          </w:tcPr>
          <w:p>
            <w:pPr>
              <w:pStyle w:val="TableParagraph"/>
              <w:spacing w:before="34"/>
              <w:ind w:left="46" w:right="9"/>
              <w:jc w:val="center"/>
              <w:rPr>
                <w:sz w:val="22"/>
              </w:rPr>
            </w:pPr>
            <w:r>
              <w:rPr>
                <w:color w:val="231F1F"/>
                <w:spacing w:val="-10"/>
                <w:w w:val="115"/>
                <w:sz w:val="22"/>
              </w:rPr>
              <w:t>A</w:t>
            </w:r>
          </w:p>
        </w:tc>
        <w:tc>
          <w:tcPr>
            <w:tcW w:w="7934" w:type="dxa"/>
            <w:shd w:val="clear" w:color="auto" w:fill="F2DFDF"/>
          </w:tcPr>
          <w:p>
            <w:pPr>
              <w:pStyle w:val="TableParagraph"/>
              <w:spacing w:before="44"/>
              <w:ind w:left="117"/>
              <w:rPr>
                <w:sz w:val="22"/>
              </w:rPr>
            </w:pPr>
            <w:r>
              <w:rPr>
                <w:color w:val="231F1F"/>
                <w:sz w:val="22"/>
              </w:rPr>
              <w:t>Se</w:t>
            </w:r>
            <w:r>
              <w:rPr>
                <w:color w:val="231F1F"/>
                <w:spacing w:val="39"/>
                <w:sz w:val="22"/>
              </w:rPr>
              <w:t> </w:t>
            </w:r>
            <w:r>
              <w:rPr>
                <w:color w:val="231F1F"/>
                <w:sz w:val="22"/>
              </w:rPr>
              <w:t>recomienda</w:t>
            </w:r>
            <w:r>
              <w:rPr>
                <w:color w:val="231F1F"/>
                <w:spacing w:val="44"/>
                <w:sz w:val="22"/>
              </w:rPr>
              <w:t> </w:t>
            </w:r>
            <w:r>
              <w:rPr>
                <w:color w:val="231F1F"/>
                <w:sz w:val="22"/>
              </w:rPr>
              <w:t>el</w:t>
            </w:r>
            <w:r>
              <w:rPr>
                <w:color w:val="231F1F"/>
                <w:spacing w:val="41"/>
                <w:sz w:val="22"/>
              </w:rPr>
              <w:t> </w:t>
            </w:r>
            <w:r>
              <w:rPr>
                <w:color w:val="231F1F"/>
                <w:sz w:val="22"/>
              </w:rPr>
              <w:t>pinzamiento</w:t>
            </w:r>
            <w:r>
              <w:rPr>
                <w:color w:val="231F1F"/>
                <w:spacing w:val="42"/>
                <w:sz w:val="22"/>
              </w:rPr>
              <w:t> </w:t>
            </w:r>
            <w:r>
              <w:rPr>
                <w:color w:val="231F1F"/>
                <w:sz w:val="22"/>
              </w:rPr>
              <w:t>tardío</w:t>
            </w:r>
            <w:r>
              <w:rPr>
                <w:color w:val="231F1F"/>
                <w:spacing w:val="41"/>
                <w:sz w:val="22"/>
              </w:rPr>
              <w:t> </w:t>
            </w:r>
            <w:r>
              <w:rPr>
                <w:color w:val="231F1F"/>
                <w:sz w:val="22"/>
              </w:rPr>
              <w:t>del</w:t>
            </w:r>
            <w:r>
              <w:rPr>
                <w:color w:val="231F1F"/>
                <w:spacing w:val="40"/>
                <w:sz w:val="22"/>
              </w:rPr>
              <w:t> </w:t>
            </w:r>
            <w:r>
              <w:rPr>
                <w:color w:val="231F1F"/>
                <w:sz w:val="22"/>
              </w:rPr>
              <w:t>cordón</w:t>
            </w:r>
            <w:r>
              <w:rPr>
                <w:color w:val="231F1F"/>
                <w:spacing w:val="43"/>
                <w:sz w:val="22"/>
              </w:rPr>
              <w:t> </w:t>
            </w:r>
            <w:r>
              <w:rPr>
                <w:color w:val="231F1F"/>
                <w:spacing w:val="-2"/>
                <w:sz w:val="22"/>
              </w:rPr>
              <w:t>umbilical.</w:t>
            </w:r>
          </w:p>
        </w:tc>
      </w:tr>
      <w:tr>
        <w:trPr>
          <w:trHeight w:val="671" w:hRule="atLeast"/>
        </w:trPr>
        <w:tc>
          <w:tcPr>
            <w:tcW w:w="571" w:type="dxa"/>
            <w:shd w:val="clear" w:color="auto" w:fill="F2DFDF"/>
          </w:tcPr>
          <w:p>
            <w:pPr>
              <w:pStyle w:val="TableParagraph"/>
              <w:spacing w:before="173"/>
              <w:ind w:left="46" w:right="7"/>
              <w:jc w:val="center"/>
              <w:rPr>
                <w:sz w:val="22"/>
              </w:rPr>
            </w:pPr>
            <w:r>
              <w:rPr>
                <w:color w:val="231F1F"/>
                <w:spacing w:val="-10"/>
                <w:w w:val="110"/>
                <w:sz w:val="22"/>
              </w:rPr>
              <w:t>B</w:t>
            </w:r>
          </w:p>
        </w:tc>
        <w:tc>
          <w:tcPr>
            <w:tcW w:w="7934" w:type="dxa"/>
            <w:shd w:val="clear" w:color="auto" w:fill="F2DFDF"/>
          </w:tcPr>
          <w:p>
            <w:pPr>
              <w:pStyle w:val="TableParagraph"/>
              <w:spacing w:line="244" w:lineRule="auto" w:before="39"/>
              <w:ind w:left="117"/>
              <w:rPr>
                <w:sz w:val="22"/>
              </w:rPr>
            </w:pPr>
            <w:r>
              <w:rPr>
                <w:color w:val="231F1F"/>
                <w:sz w:val="22"/>
              </w:rPr>
              <w:t>Se</w:t>
            </w:r>
            <w:r>
              <w:rPr>
                <w:color w:val="231F1F"/>
                <w:spacing w:val="35"/>
                <w:sz w:val="22"/>
              </w:rPr>
              <w:t> </w:t>
            </w:r>
            <w:r>
              <w:rPr>
                <w:color w:val="231F1F"/>
                <w:sz w:val="22"/>
              </w:rPr>
              <w:t>sugiere</w:t>
            </w:r>
            <w:r>
              <w:rPr>
                <w:color w:val="231F1F"/>
                <w:spacing w:val="35"/>
                <w:sz w:val="22"/>
              </w:rPr>
              <w:t> </w:t>
            </w:r>
            <w:r>
              <w:rPr>
                <w:color w:val="231F1F"/>
                <w:sz w:val="22"/>
              </w:rPr>
              <w:t>como</w:t>
            </w:r>
            <w:r>
              <w:rPr>
                <w:color w:val="231F1F"/>
                <w:spacing w:val="35"/>
                <w:sz w:val="22"/>
              </w:rPr>
              <w:t> </w:t>
            </w:r>
            <w:r>
              <w:rPr>
                <w:color w:val="231F1F"/>
                <w:sz w:val="22"/>
              </w:rPr>
              <w:t>conveniente</w:t>
            </w:r>
            <w:r>
              <w:rPr>
                <w:color w:val="231F1F"/>
                <w:spacing w:val="35"/>
                <w:sz w:val="22"/>
              </w:rPr>
              <w:t> </w:t>
            </w:r>
            <w:r>
              <w:rPr>
                <w:color w:val="231F1F"/>
                <w:sz w:val="22"/>
              </w:rPr>
              <w:t>el</w:t>
            </w:r>
            <w:r>
              <w:rPr>
                <w:color w:val="231F1F"/>
                <w:spacing w:val="35"/>
                <w:sz w:val="22"/>
              </w:rPr>
              <w:t> </w:t>
            </w:r>
            <w:r>
              <w:rPr>
                <w:color w:val="231F1F"/>
                <w:sz w:val="22"/>
              </w:rPr>
              <w:t>pinzamiento</w:t>
            </w:r>
            <w:r>
              <w:rPr>
                <w:color w:val="231F1F"/>
                <w:spacing w:val="35"/>
                <w:sz w:val="22"/>
              </w:rPr>
              <w:t> </w:t>
            </w:r>
            <w:r>
              <w:rPr>
                <w:color w:val="231F1F"/>
                <w:sz w:val="22"/>
              </w:rPr>
              <w:t>del</w:t>
            </w:r>
            <w:r>
              <w:rPr>
                <w:color w:val="231F1F"/>
                <w:spacing w:val="31"/>
                <w:sz w:val="22"/>
              </w:rPr>
              <w:t> </w:t>
            </w:r>
            <w:r>
              <w:rPr>
                <w:color w:val="231F1F"/>
                <w:sz w:val="22"/>
              </w:rPr>
              <w:t>cordón</w:t>
            </w:r>
            <w:r>
              <w:rPr>
                <w:color w:val="231F1F"/>
                <w:spacing w:val="35"/>
                <w:sz w:val="22"/>
              </w:rPr>
              <w:t> </w:t>
            </w:r>
            <w:r>
              <w:rPr>
                <w:color w:val="231F1F"/>
                <w:sz w:val="22"/>
              </w:rPr>
              <w:t>a</w:t>
            </w:r>
            <w:r>
              <w:rPr>
                <w:color w:val="231F1F"/>
                <w:spacing w:val="35"/>
                <w:sz w:val="22"/>
              </w:rPr>
              <w:t> </w:t>
            </w:r>
            <w:r>
              <w:rPr>
                <w:color w:val="231F1F"/>
                <w:sz w:val="22"/>
              </w:rPr>
              <w:t>partir</w:t>
            </w:r>
            <w:r>
              <w:rPr>
                <w:color w:val="231F1F"/>
                <w:spacing w:val="35"/>
                <w:sz w:val="22"/>
              </w:rPr>
              <w:t> </w:t>
            </w:r>
            <w:r>
              <w:rPr>
                <w:color w:val="231F1F"/>
                <w:sz w:val="22"/>
              </w:rPr>
              <w:t>del</w:t>
            </w:r>
            <w:r>
              <w:rPr>
                <w:color w:val="231F1F"/>
                <w:spacing w:val="31"/>
                <w:sz w:val="22"/>
              </w:rPr>
              <w:t> </w:t>
            </w:r>
            <w:r>
              <w:rPr>
                <w:color w:val="231F1F"/>
                <w:sz w:val="22"/>
              </w:rPr>
              <w:t>segundo</w:t>
            </w:r>
            <w:r>
              <w:rPr>
                <w:color w:val="231F1F"/>
                <w:spacing w:val="35"/>
                <w:sz w:val="22"/>
              </w:rPr>
              <w:t> </w:t>
            </w:r>
            <w:r>
              <w:rPr>
                <w:color w:val="231F1F"/>
                <w:sz w:val="22"/>
              </w:rPr>
              <w:t>mi- </w:t>
            </w:r>
            <w:r>
              <w:rPr>
                <w:color w:val="231F1F"/>
                <w:w w:val="110"/>
                <w:sz w:val="22"/>
              </w:rPr>
              <w:t>nuto o tras el cese del latido de cordón umbilical.</w:t>
            </w:r>
          </w:p>
        </w:tc>
      </w:tr>
      <w:tr>
        <w:trPr>
          <w:trHeight w:val="388" w:hRule="atLeast"/>
        </w:trPr>
        <w:tc>
          <w:tcPr>
            <w:tcW w:w="8505" w:type="dxa"/>
            <w:gridSpan w:val="2"/>
          </w:tcPr>
          <w:p>
            <w:pPr>
              <w:pStyle w:val="TableParagraph"/>
              <w:spacing w:before="49"/>
              <w:rPr>
                <w:sz w:val="22"/>
              </w:rPr>
            </w:pPr>
            <w:r>
              <w:rPr>
                <w:color w:val="231F1F"/>
                <w:sz w:val="22"/>
              </w:rPr>
              <w:t>8.2.</w:t>
            </w:r>
            <w:r>
              <w:rPr>
                <w:color w:val="231F1F"/>
                <w:spacing w:val="21"/>
                <w:sz w:val="22"/>
              </w:rPr>
              <w:t> </w:t>
            </w:r>
            <w:r>
              <w:rPr>
                <w:color w:val="231F1F"/>
                <w:sz w:val="22"/>
              </w:rPr>
              <w:t>Contacto</w:t>
            </w:r>
            <w:r>
              <w:rPr>
                <w:color w:val="231F1F"/>
                <w:spacing w:val="21"/>
                <w:sz w:val="22"/>
              </w:rPr>
              <w:t> </w:t>
            </w:r>
            <w:r>
              <w:rPr>
                <w:color w:val="231F1F"/>
                <w:sz w:val="22"/>
              </w:rPr>
              <w:t>piel</w:t>
            </w:r>
            <w:r>
              <w:rPr>
                <w:color w:val="231F1F"/>
                <w:spacing w:val="21"/>
                <w:sz w:val="22"/>
              </w:rPr>
              <w:t> </w:t>
            </w:r>
            <w:r>
              <w:rPr>
                <w:color w:val="231F1F"/>
                <w:sz w:val="22"/>
              </w:rPr>
              <w:t>con</w:t>
            </w:r>
            <w:r>
              <w:rPr>
                <w:color w:val="231F1F"/>
                <w:spacing w:val="23"/>
                <w:sz w:val="22"/>
              </w:rPr>
              <w:t> </w:t>
            </w:r>
            <w:r>
              <w:rPr>
                <w:color w:val="231F1F"/>
                <w:spacing w:val="-4"/>
                <w:sz w:val="22"/>
              </w:rPr>
              <w:t>piel</w:t>
            </w:r>
          </w:p>
        </w:tc>
      </w:tr>
      <w:tr>
        <w:trPr>
          <w:trHeight w:val="666" w:hRule="atLeast"/>
        </w:trPr>
        <w:tc>
          <w:tcPr>
            <w:tcW w:w="571" w:type="dxa"/>
            <w:shd w:val="clear" w:color="auto" w:fill="F2DFDF"/>
          </w:tcPr>
          <w:p>
            <w:pPr>
              <w:pStyle w:val="TableParagraph"/>
              <w:spacing w:before="169"/>
              <w:ind w:left="46" w:right="9"/>
              <w:jc w:val="center"/>
              <w:rPr>
                <w:sz w:val="22"/>
              </w:rPr>
            </w:pPr>
            <w:r>
              <w:rPr>
                <w:color w:val="231F1F"/>
                <w:spacing w:val="-10"/>
                <w:w w:val="115"/>
                <w:sz w:val="22"/>
              </w:rPr>
              <w:t>A</w:t>
            </w:r>
          </w:p>
        </w:tc>
        <w:tc>
          <w:tcPr>
            <w:tcW w:w="7934" w:type="dxa"/>
            <w:shd w:val="clear" w:color="auto" w:fill="F2DFDF"/>
          </w:tcPr>
          <w:p>
            <w:pPr>
              <w:pStyle w:val="TableParagraph"/>
              <w:spacing w:line="244" w:lineRule="auto" w:before="49"/>
              <w:ind w:left="117"/>
              <w:rPr>
                <w:sz w:val="22"/>
              </w:rPr>
            </w:pPr>
            <w:r>
              <w:rPr>
                <w:color w:val="231F1F"/>
                <w:sz w:val="22"/>
              </w:rPr>
              <w:t>Se</w:t>
            </w:r>
            <w:r>
              <w:rPr>
                <w:color w:val="231F1F"/>
                <w:spacing w:val="28"/>
                <w:sz w:val="22"/>
              </w:rPr>
              <w:t> </w:t>
            </w:r>
            <w:r>
              <w:rPr>
                <w:color w:val="231F1F"/>
                <w:sz w:val="22"/>
              </w:rPr>
              <w:t>recomienda</w:t>
            </w:r>
            <w:r>
              <w:rPr>
                <w:color w:val="231F1F"/>
                <w:spacing w:val="31"/>
                <w:sz w:val="22"/>
              </w:rPr>
              <w:t> </w:t>
            </w:r>
            <w:r>
              <w:rPr>
                <w:color w:val="231F1F"/>
                <w:sz w:val="22"/>
              </w:rPr>
              <w:t>que</w:t>
            </w:r>
            <w:r>
              <w:rPr>
                <w:color w:val="231F1F"/>
                <w:spacing w:val="30"/>
                <w:sz w:val="22"/>
              </w:rPr>
              <w:t> </w:t>
            </w:r>
            <w:r>
              <w:rPr>
                <w:color w:val="231F1F"/>
                <w:sz w:val="22"/>
              </w:rPr>
              <w:t>las</w:t>
            </w:r>
            <w:r>
              <w:rPr>
                <w:color w:val="231F1F"/>
                <w:spacing w:val="30"/>
                <w:sz w:val="22"/>
              </w:rPr>
              <w:t> </w:t>
            </w:r>
            <w:r>
              <w:rPr>
                <w:color w:val="231F1F"/>
                <w:sz w:val="22"/>
              </w:rPr>
              <w:t>mujeres</w:t>
            </w:r>
            <w:r>
              <w:rPr>
                <w:color w:val="231F1F"/>
                <w:spacing w:val="30"/>
                <w:sz w:val="22"/>
              </w:rPr>
              <w:t> </w:t>
            </w:r>
            <w:r>
              <w:rPr>
                <w:color w:val="231F1F"/>
                <w:sz w:val="22"/>
              </w:rPr>
              <w:t>mantengan</w:t>
            </w:r>
            <w:r>
              <w:rPr>
                <w:color w:val="231F1F"/>
                <w:spacing w:val="30"/>
                <w:sz w:val="22"/>
              </w:rPr>
              <w:t> </w:t>
            </w:r>
            <w:r>
              <w:rPr>
                <w:color w:val="231F1F"/>
                <w:sz w:val="22"/>
              </w:rPr>
              <w:t>el</w:t>
            </w:r>
            <w:r>
              <w:rPr>
                <w:color w:val="231F1F"/>
                <w:spacing w:val="30"/>
                <w:sz w:val="22"/>
              </w:rPr>
              <w:t> </w:t>
            </w:r>
            <w:r>
              <w:rPr>
                <w:color w:val="231F1F"/>
                <w:sz w:val="22"/>
              </w:rPr>
              <w:t>contacto</w:t>
            </w:r>
            <w:r>
              <w:rPr>
                <w:color w:val="231F1F"/>
                <w:spacing w:val="30"/>
                <w:sz w:val="22"/>
              </w:rPr>
              <w:t> </w:t>
            </w:r>
            <w:r>
              <w:rPr>
                <w:color w:val="231F1F"/>
                <w:sz w:val="22"/>
              </w:rPr>
              <w:t>piel</w:t>
            </w:r>
            <w:r>
              <w:rPr>
                <w:color w:val="231F1F"/>
                <w:spacing w:val="27"/>
                <w:sz w:val="22"/>
              </w:rPr>
              <w:t> </w:t>
            </w:r>
            <w:r>
              <w:rPr>
                <w:color w:val="231F1F"/>
                <w:sz w:val="22"/>
              </w:rPr>
              <w:t>con</w:t>
            </w:r>
            <w:r>
              <w:rPr>
                <w:color w:val="231F1F"/>
                <w:spacing w:val="30"/>
                <w:sz w:val="22"/>
              </w:rPr>
              <w:t> </w:t>
            </w:r>
            <w:r>
              <w:rPr>
                <w:color w:val="231F1F"/>
                <w:sz w:val="22"/>
              </w:rPr>
              <w:t>piel</w:t>
            </w:r>
            <w:r>
              <w:rPr>
                <w:color w:val="231F1F"/>
                <w:spacing w:val="28"/>
                <w:sz w:val="22"/>
              </w:rPr>
              <w:t> </w:t>
            </w:r>
            <w:r>
              <w:rPr>
                <w:color w:val="231F1F"/>
                <w:sz w:val="22"/>
              </w:rPr>
              <w:t>con</w:t>
            </w:r>
            <w:r>
              <w:rPr>
                <w:color w:val="231F1F"/>
                <w:spacing w:val="30"/>
                <w:sz w:val="22"/>
              </w:rPr>
              <w:t> </w:t>
            </w:r>
            <w:r>
              <w:rPr>
                <w:color w:val="231F1F"/>
                <w:sz w:val="22"/>
              </w:rPr>
              <w:t>sus</w:t>
            </w:r>
            <w:r>
              <w:rPr>
                <w:color w:val="231F1F"/>
                <w:spacing w:val="30"/>
                <w:sz w:val="22"/>
              </w:rPr>
              <w:t> </w:t>
            </w:r>
            <w:r>
              <w:rPr>
                <w:color w:val="231F1F"/>
                <w:sz w:val="22"/>
              </w:rPr>
              <w:t>bebés inmediatamente</w:t>
            </w:r>
            <w:r>
              <w:rPr>
                <w:color w:val="231F1F"/>
                <w:spacing w:val="53"/>
                <w:sz w:val="22"/>
              </w:rPr>
              <w:t> </w:t>
            </w:r>
            <w:r>
              <w:rPr>
                <w:color w:val="231F1F"/>
                <w:sz w:val="22"/>
              </w:rPr>
              <w:t>después</w:t>
            </w:r>
            <w:r>
              <w:rPr>
                <w:color w:val="231F1F"/>
                <w:spacing w:val="53"/>
                <w:sz w:val="22"/>
              </w:rPr>
              <w:t> </w:t>
            </w:r>
            <w:r>
              <w:rPr>
                <w:color w:val="231F1F"/>
                <w:sz w:val="22"/>
              </w:rPr>
              <w:t>del</w:t>
            </w:r>
            <w:r>
              <w:rPr>
                <w:color w:val="231F1F"/>
                <w:spacing w:val="53"/>
                <w:sz w:val="22"/>
              </w:rPr>
              <w:t> </w:t>
            </w:r>
            <w:r>
              <w:rPr>
                <w:color w:val="231F1F"/>
                <w:sz w:val="22"/>
              </w:rPr>
              <w:t>nacimiento.</w:t>
            </w:r>
          </w:p>
        </w:tc>
      </w:tr>
      <w:tr>
        <w:trPr>
          <w:trHeight w:val="950" w:hRule="atLeast"/>
        </w:trPr>
        <w:tc>
          <w:tcPr>
            <w:tcW w:w="571" w:type="dxa"/>
            <w:shd w:val="clear" w:color="auto" w:fill="F2DFDF"/>
          </w:tcPr>
          <w:p>
            <w:pPr>
              <w:pStyle w:val="TableParagraph"/>
              <w:spacing w:before="82"/>
              <w:ind w:left="0"/>
              <w:rPr>
                <w:rFonts w:ascii="Arial MT"/>
                <w:sz w:val="22"/>
              </w:rPr>
            </w:pPr>
          </w:p>
          <w:p>
            <w:pPr>
              <w:pStyle w:val="TableParagraph"/>
              <w:spacing w:before="1"/>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9" w:lineRule="auto" w:before="39"/>
              <w:ind w:left="116" w:right="88"/>
              <w:jc w:val="both"/>
              <w:rPr>
                <w:sz w:val="22"/>
              </w:rPr>
            </w:pPr>
            <w:r>
              <w:rPr>
                <w:color w:val="231F1F"/>
                <w:w w:val="105"/>
                <w:sz w:val="22"/>
              </w:rPr>
              <w:t>Para mantener caliente al bebé, se recomienda cubrirlo y secarlo con una manta o toalla, previamente calentadas, al tiempo que se mantiene el contacto piel con piel con la madre.</w:t>
            </w:r>
          </w:p>
        </w:tc>
      </w:tr>
      <w:tr>
        <w:trPr>
          <w:trHeight w:val="1794" w:hRule="atLeast"/>
        </w:trPr>
        <w:tc>
          <w:tcPr>
            <w:tcW w:w="571" w:type="dxa"/>
            <w:shd w:val="clear" w:color="auto" w:fill="F2DFDF"/>
          </w:tcPr>
          <w:p>
            <w:pPr>
              <w:pStyle w:val="TableParagraph"/>
              <w:ind w:left="0"/>
              <w:rPr>
                <w:rFonts w:ascii="Arial MT"/>
                <w:sz w:val="22"/>
              </w:rPr>
            </w:pPr>
          </w:p>
          <w:p>
            <w:pPr>
              <w:pStyle w:val="TableParagraph"/>
              <w:spacing w:before="247"/>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9" w:lineRule="auto" w:before="44"/>
              <w:ind w:left="116" w:right="88"/>
              <w:jc w:val="both"/>
              <w:rPr>
                <w:sz w:val="22"/>
              </w:rPr>
            </w:pPr>
            <w:r>
              <w:rPr>
                <w:color w:val="231F1F"/>
                <w:w w:val="105"/>
                <w:sz w:val="22"/>
              </w:rPr>
              <w:t>Se recomienda evitar la separación de la madre y el bebé dentro de la primera hora de vida y hasta que haya finalizado la primera toma. Durante este periodo se reco- mienda que la matrona mantenga una vigilancia con observación periódica que in- terfiera</w:t>
            </w:r>
            <w:r>
              <w:rPr>
                <w:color w:val="231F1F"/>
                <w:spacing w:val="-11"/>
                <w:w w:val="105"/>
                <w:sz w:val="22"/>
              </w:rPr>
              <w:t> </w:t>
            </w:r>
            <w:r>
              <w:rPr>
                <w:color w:val="231F1F"/>
                <w:w w:val="105"/>
                <w:sz w:val="22"/>
              </w:rPr>
              <w:t>lo</w:t>
            </w:r>
            <w:r>
              <w:rPr>
                <w:color w:val="231F1F"/>
                <w:spacing w:val="-10"/>
                <w:w w:val="105"/>
                <w:sz w:val="22"/>
              </w:rPr>
              <w:t> </w:t>
            </w:r>
            <w:r>
              <w:rPr>
                <w:color w:val="231F1F"/>
                <w:w w:val="105"/>
                <w:sz w:val="22"/>
              </w:rPr>
              <w:t>menos</w:t>
            </w:r>
            <w:r>
              <w:rPr>
                <w:color w:val="231F1F"/>
                <w:spacing w:val="-10"/>
                <w:w w:val="105"/>
                <w:sz w:val="22"/>
              </w:rPr>
              <w:t> </w:t>
            </w:r>
            <w:r>
              <w:rPr>
                <w:color w:val="231F1F"/>
                <w:w w:val="105"/>
                <w:sz w:val="22"/>
              </w:rPr>
              <w:t>posible</w:t>
            </w:r>
            <w:r>
              <w:rPr>
                <w:color w:val="231F1F"/>
                <w:spacing w:val="-10"/>
                <w:w w:val="105"/>
                <w:sz w:val="22"/>
              </w:rPr>
              <w:t> </w:t>
            </w:r>
            <w:r>
              <w:rPr>
                <w:color w:val="231F1F"/>
                <w:w w:val="105"/>
                <w:sz w:val="22"/>
              </w:rPr>
              <w:t>en</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relación</w:t>
            </w:r>
            <w:r>
              <w:rPr>
                <w:color w:val="231F1F"/>
                <w:spacing w:val="-10"/>
                <w:w w:val="105"/>
                <w:sz w:val="22"/>
              </w:rPr>
              <w:t> </w:t>
            </w:r>
            <w:r>
              <w:rPr>
                <w:color w:val="231F1F"/>
                <w:w w:val="105"/>
                <w:sz w:val="22"/>
              </w:rPr>
              <w:t>entre</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madre</w:t>
            </w:r>
            <w:r>
              <w:rPr>
                <w:color w:val="231F1F"/>
                <w:spacing w:val="-10"/>
                <w:w w:val="105"/>
                <w:sz w:val="22"/>
              </w:rPr>
              <w:t> </w:t>
            </w:r>
            <w:r>
              <w:rPr>
                <w:color w:val="231F1F"/>
                <w:w w:val="105"/>
                <w:sz w:val="22"/>
              </w:rPr>
              <w:t>y</w:t>
            </w:r>
            <w:r>
              <w:rPr>
                <w:color w:val="231F1F"/>
                <w:spacing w:val="-10"/>
                <w:w w:val="105"/>
                <w:sz w:val="22"/>
              </w:rPr>
              <w:t> </w:t>
            </w:r>
            <w:r>
              <w:rPr>
                <w:color w:val="231F1F"/>
                <w:w w:val="105"/>
                <w:sz w:val="22"/>
              </w:rPr>
              <w:t>el</w:t>
            </w:r>
            <w:r>
              <w:rPr>
                <w:color w:val="231F1F"/>
                <w:spacing w:val="-10"/>
                <w:w w:val="105"/>
                <w:sz w:val="22"/>
              </w:rPr>
              <w:t> </w:t>
            </w:r>
            <w:r>
              <w:rPr>
                <w:color w:val="231F1F"/>
                <w:w w:val="105"/>
                <w:sz w:val="22"/>
              </w:rPr>
              <w:t>RN</w:t>
            </w:r>
            <w:r>
              <w:rPr>
                <w:color w:val="231F1F"/>
                <w:spacing w:val="-10"/>
                <w:w w:val="105"/>
                <w:sz w:val="22"/>
              </w:rPr>
              <w:t> </w:t>
            </w:r>
            <w:r>
              <w:rPr>
                <w:color w:val="231F1F"/>
                <w:w w:val="105"/>
                <w:sz w:val="22"/>
              </w:rPr>
              <w:t>con</w:t>
            </w:r>
            <w:r>
              <w:rPr>
                <w:color w:val="231F1F"/>
                <w:spacing w:val="-10"/>
                <w:w w:val="105"/>
                <w:sz w:val="22"/>
              </w:rPr>
              <w:t> </w:t>
            </w:r>
            <w:r>
              <w:rPr>
                <w:color w:val="231F1F"/>
                <w:w w:val="105"/>
                <w:sz w:val="22"/>
              </w:rPr>
              <w:t>registro</w:t>
            </w:r>
            <w:r>
              <w:rPr>
                <w:color w:val="231F1F"/>
                <w:spacing w:val="-10"/>
                <w:w w:val="105"/>
                <w:sz w:val="22"/>
              </w:rPr>
              <w:t> </w:t>
            </w:r>
            <w:r>
              <w:rPr>
                <w:color w:val="231F1F"/>
                <w:w w:val="105"/>
                <w:sz w:val="22"/>
              </w:rPr>
              <w:t>de</w:t>
            </w:r>
            <w:r>
              <w:rPr>
                <w:color w:val="231F1F"/>
                <w:spacing w:val="-10"/>
                <w:w w:val="105"/>
                <w:sz w:val="22"/>
              </w:rPr>
              <w:t> </w:t>
            </w:r>
            <w:r>
              <w:rPr>
                <w:color w:val="231F1F"/>
                <w:w w:val="105"/>
                <w:sz w:val="22"/>
              </w:rPr>
              <w:t>signos vitales</w:t>
            </w:r>
            <w:r>
              <w:rPr>
                <w:color w:val="231F1F"/>
                <w:spacing w:val="-4"/>
                <w:w w:val="105"/>
                <w:sz w:val="22"/>
              </w:rPr>
              <w:t> </w:t>
            </w:r>
            <w:r>
              <w:rPr>
                <w:color w:val="231F1F"/>
                <w:w w:val="105"/>
                <w:sz w:val="22"/>
              </w:rPr>
              <w:t>de</w:t>
            </w:r>
            <w:r>
              <w:rPr>
                <w:color w:val="231F1F"/>
                <w:spacing w:val="-4"/>
                <w:w w:val="105"/>
                <w:sz w:val="22"/>
              </w:rPr>
              <w:t> </w:t>
            </w:r>
            <w:r>
              <w:rPr>
                <w:color w:val="231F1F"/>
                <w:w w:val="105"/>
                <w:sz w:val="22"/>
              </w:rPr>
              <w:t>los</w:t>
            </w:r>
            <w:r>
              <w:rPr>
                <w:color w:val="231F1F"/>
                <w:spacing w:val="-4"/>
                <w:w w:val="105"/>
                <w:sz w:val="22"/>
              </w:rPr>
              <w:t> </w:t>
            </w:r>
            <w:r>
              <w:rPr>
                <w:color w:val="231F1F"/>
                <w:w w:val="105"/>
                <w:sz w:val="22"/>
              </w:rPr>
              <w:t>RN</w:t>
            </w:r>
            <w:r>
              <w:rPr>
                <w:color w:val="231F1F"/>
                <w:spacing w:val="-4"/>
                <w:w w:val="105"/>
                <w:sz w:val="22"/>
              </w:rPr>
              <w:t> </w:t>
            </w:r>
            <w:r>
              <w:rPr>
                <w:color w:val="231F1F"/>
                <w:w w:val="105"/>
                <w:sz w:val="22"/>
              </w:rPr>
              <w:t>(color,</w:t>
            </w:r>
            <w:r>
              <w:rPr>
                <w:color w:val="231F1F"/>
                <w:spacing w:val="-4"/>
                <w:w w:val="105"/>
                <w:sz w:val="22"/>
              </w:rPr>
              <w:t> </w:t>
            </w:r>
            <w:r>
              <w:rPr>
                <w:color w:val="231F1F"/>
                <w:w w:val="105"/>
                <w:sz w:val="22"/>
              </w:rPr>
              <w:t>movimientos</w:t>
            </w:r>
            <w:r>
              <w:rPr>
                <w:color w:val="231F1F"/>
                <w:spacing w:val="-4"/>
                <w:w w:val="105"/>
                <w:sz w:val="22"/>
              </w:rPr>
              <w:t> </w:t>
            </w:r>
            <w:r>
              <w:rPr>
                <w:color w:val="231F1F"/>
                <w:w w:val="105"/>
                <w:sz w:val="22"/>
              </w:rPr>
              <w:t>respiratorios,</w:t>
            </w:r>
            <w:r>
              <w:rPr>
                <w:color w:val="231F1F"/>
                <w:spacing w:val="-3"/>
                <w:w w:val="105"/>
                <w:sz w:val="22"/>
              </w:rPr>
              <w:t> </w:t>
            </w:r>
            <w:r>
              <w:rPr>
                <w:color w:val="231F1F"/>
                <w:w w:val="105"/>
                <w:sz w:val="22"/>
              </w:rPr>
              <w:t>tono</w:t>
            </w:r>
            <w:r>
              <w:rPr>
                <w:color w:val="231F1F"/>
                <w:spacing w:val="-4"/>
                <w:w w:val="105"/>
                <w:sz w:val="22"/>
              </w:rPr>
              <w:t> </w:t>
            </w:r>
            <w:r>
              <w:rPr>
                <w:color w:val="231F1F"/>
                <w:w w:val="105"/>
                <w:sz w:val="22"/>
              </w:rPr>
              <w:t>y,</w:t>
            </w:r>
            <w:r>
              <w:rPr>
                <w:color w:val="231F1F"/>
                <w:spacing w:val="-4"/>
                <w:w w:val="105"/>
                <w:sz w:val="22"/>
              </w:rPr>
              <w:t> </w:t>
            </w:r>
            <w:r>
              <w:rPr>
                <w:color w:val="231F1F"/>
                <w:w w:val="105"/>
                <w:sz w:val="22"/>
              </w:rPr>
              <w:t>si</w:t>
            </w:r>
            <w:r>
              <w:rPr>
                <w:color w:val="231F1F"/>
                <w:spacing w:val="-4"/>
                <w:w w:val="105"/>
                <w:sz w:val="22"/>
              </w:rPr>
              <w:t> </w:t>
            </w:r>
            <w:r>
              <w:rPr>
                <w:color w:val="231F1F"/>
                <w:w w:val="105"/>
                <w:sz w:val="22"/>
              </w:rPr>
              <w:t>es</w:t>
            </w:r>
            <w:r>
              <w:rPr>
                <w:color w:val="231F1F"/>
                <w:spacing w:val="-4"/>
                <w:w w:val="105"/>
                <w:sz w:val="22"/>
              </w:rPr>
              <w:t> </w:t>
            </w:r>
            <w:r>
              <w:rPr>
                <w:color w:val="231F1F"/>
                <w:w w:val="105"/>
                <w:sz w:val="22"/>
              </w:rPr>
              <w:t>preciso</w:t>
            </w:r>
            <w:r>
              <w:rPr>
                <w:color w:val="231F1F"/>
                <w:spacing w:val="-4"/>
                <w:w w:val="105"/>
                <w:sz w:val="22"/>
              </w:rPr>
              <w:t> </w:t>
            </w:r>
            <w:r>
              <w:rPr>
                <w:color w:val="231F1F"/>
                <w:w w:val="105"/>
                <w:sz w:val="22"/>
              </w:rPr>
              <w:t>la</w:t>
            </w:r>
            <w:r>
              <w:rPr>
                <w:color w:val="231F1F"/>
                <w:spacing w:val="-4"/>
                <w:w w:val="105"/>
                <w:sz w:val="22"/>
              </w:rPr>
              <w:t> </w:t>
            </w:r>
            <w:r>
              <w:rPr>
                <w:color w:val="231F1F"/>
                <w:w w:val="105"/>
                <w:sz w:val="22"/>
              </w:rPr>
              <w:t>frecuen- cia cardiaca) alertando al especialista de cualquier cambio cardiorrespiratorio.</w:t>
            </w:r>
          </w:p>
        </w:tc>
      </w:tr>
      <w:tr>
        <w:trPr>
          <w:trHeight w:val="388" w:hRule="atLeast"/>
        </w:trPr>
        <w:tc>
          <w:tcPr>
            <w:tcW w:w="8505" w:type="dxa"/>
            <w:gridSpan w:val="2"/>
          </w:tcPr>
          <w:p>
            <w:pPr>
              <w:pStyle w:val="TableParagraph"/>
              <w:spacing w:before="53"/>
              <w:rPr>
                <w:sz w:val="22"/>
              </w:rPr>
            </w:pPr>
            <w:r>
              <w:rPr>
                <w:color w:val="231F1F"/>
                <w:sz w:val="22"/>
              </w:rPr>
              <w:t>8.3.</w:t>
            </w:r>
            <w:r>
              <w:rPr>
                <w:color w:val="231F1F"/>
                <w:spacing w:val="20"/>
                <w:sz w:val="22"/>
              </w:rPr>
              <w:t> </w:t>
            </w:r>
            <w:r>
              <w:rPr>
                <w:color w:val="231F1F"/>
                <w:sz w:val="22"/>
              </w:rPr>
              <w:t>Lactancia</w:t>
            </w:r>
            <w:r>
              <w:rPr>
                <w:color w:val="231F1F"/>
                <w:spacing w:val="22"/>
                <w:sz w:val="22"/>
              </w:rPr>
              <w:t> </w:t>
            </w:r>
            <w:r>
              <w:rPr>
                <w:color w:val="231F1F"/>
                <w:spacing w:val="-2"/>
                <w:sz w:val="22"/>
              </w:rPr>
              <w:t>materna</w:t>
            </w:r>
          </w:p>
        </w:tc>
      </w:tr>
      <w:tr>
        <w:trPr>
          <w:trHeight w:val="671" w:hRule="atLeast"/>
        </w:trPr>
        <w:tc>
          <w:tcPr>
            <w:tcW w:w="571" w:type="dxa"/>
            <w:shd w:val="clear" w:color="auto" w:fill="F2DFDF"/>
          </w:tcPr>
          <w:p>
            <w:pPr>
              <w:pStyle w:val="TableParagraph"/>
              <w:spacing w:before="173"/>
              <w:ind w:left="46" w:right="9"/>
              <w:jc w:val="center"/>
              <w:rPr>
                <w:sz w:val="22"/>
              </w:rPr>
            </w:pPr>
            <w:r>
              <w:rPr>
                <w:color w:val="231F1F"/>
                <w:spacing w:val="-10"/>
                <w:w w:val="115"/>
                <w:sz w:val="22"/>
              </w:rPr>
              <w:t>A</w:t>
            </w:r>
          </w:p>
        </w:tc>
        <w:tc>
          <w:tcPr>
            <w:tcW w:w="7934" w:type="dxa"/>
            <w:shd w:val="clear" w:color="auto" w:fill="F2DFDF"/>
          </w:tcPr>
          <w:p>
            <w:pPr>
              <w:pStyle w:val="TableParagraph"/>
              <w:spacing w:line="244" w:lineRule="auto" w:before="39"/>
              <w:ind w:left="117"/>
              <w:rPr>
                <w:sz w:val="22"/>
              </w:rPr>
            </w:pPr>
            <w:r>
              <w:rPr>
                <w:color w:val="231F1F"/>
                <w:w w:val="110"/>
                <w:sz w:val="22"/>
              </w:rPr>
              <w:t>La</w:t>
            </w:r>
            <w:r>
              <w:rPr>
                <w:color w:val="231F1F"/>
                <w:spacing w:val="-9"/>
                <w:w w:val="110"/>
                <w:sz w:val="22"/>
              </w:rPr>
              <w:t> </w:t>
            </w:r>
            <w:r>
              <w:rPr>
                <w:color w:val="231F1F"/>
                <w:w w:val="110"/>
                <w:sz w:val="22"/>
              </w:rPr>
              <w:t>iniciación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la</w:t>
            </w:r>
            <w:r>
              <w:rPr>
                <w:color w:val="231F1F"/>
                <w:spacing w:val="-9"/>
                <w:w w:val="110"/>
                <w:sz w:val="22"/>
              </w:rPr>
              <w:t> </w:t>
            </w:r>
            <w:r>
              <w:rPr>
                <w:color w:val="231F1F"/>
                <w:w w:val="110"/>
                <w:sz w:val="22"/>
              </w:rPr>
              <w:t>lactancia</w:t>
            </w:r>
            <w:r>
              <w:rPr>
                <w:color w:val="231F1F"/>
                <w:spacing w:val="-9"/>
                <w:w w:val="110"/>
                <w:sz w:val="22"/>
              </w:rPr>
              <w:t> </w:t>
            </w:r>
            <w:r>
              <w:rPr>
                <w:color w:val="231F1F"/>
                <w:w w:val="110"/>
                <w:sz w:val="22"/>
              </w:rPr>
              <w:t>materna</w:t>
            </w:r>
            <w:r>
              <w:rPr>
                <w:color w:val="231F1F"/>
                <w:spacing w:val="-9"/>
                <w:w w:val="110"/>
                <w:sz w:val="22"/>
              </w:rPr>
              <w:t> </w:t>
            </w:r>
            <w:r>
              <w:rPr>
                <w:color w:val="231F1F"/>
                <w:w w:val="110"/>
                <w:sz w:val="22"/>
              </w:rPr>
              <w:t>debe</w:t>
            </w:r>
            <w:r>
              <w:rPr>
                <w:color w:val="231F1F"/>
                <w:spacing w:val="-9"/>
                <w:w w:val="110"/>
                <w:sz w:val="22"/>
              </w:rPr>
              <w:t> </w:t>
            </w:r>
            <w:r>
              <w:rPr>
                <w:color w:val="231F1F"/>
                <w:w w:val="110"/>
                <w:sz w:val="22"/>
              </w:rPr>
              <w:t>ser</w:t>
            </w:r>
            <w:r>
              <w:rPr>
                <w:color w:val="231F1F"/>
                <w:spacing w:val="-10"/>
                <w:w w:val="110"/>
                <w:sz w:val="22"/>
              </w:rPr>
              <w:t> </w:t>
            </w:r>
            <w:r>
              <w:rPr>
                <w:color w:val="231F1F"/>
                <w:w w:val="110"/>
                <w:sz w:val="22"/>
              </w:rPr>
              <w:t>alentada</w:t>
            </w:r>
            <w:r>
              <w:rPr>
                <w:color w:val="231F1F"/>
                <w:spacing w:val="-9"/>
                <w:w w:val="110"/>
                <w:sz w:val="22"/>
              </w:rPr>
              <w:t> </w:t>
            </w:r>
            <w:r>
              <w:rPr>
                <w:color w:val="231F1F"/>
                <w:w w:val="110"/>
                <w:sz w:val="22"/>
              </w:rPr>
              <w:t>lo</w:t>
            </w:r>
            <w:r>
              <w:rPr>
                <w:color w:val="231F1F"/>
                <w:spacing w:val="-9"/>
                <w:w w:val="110"/>
                <w:sz w:val="22"/>
              </w:rPr>
              <w:t> </w:t>
            </w:r>
            <w:r>
              <w:rPr>
                <w:color w:val="231F1F"/>
                <w:w w:val="110"/>
                <w:sz w:val="22"/>
              </w:rPr>
              <w:t>antes</w:t>
            </w:r>
            <w:r>
              <w:rPr>
                <w:color w:val="231F1F"/>
                <w:spacing w:val="-9"/>
                <w:w w:val="110"/>
                <w:sz w:val="22"/>
              </w:rPr>
              <w:t> </w:t>
            </w:r>
            <w:r>
              <w:rPr>
                <w:color w:val="231F1F"/>
                <w:w w:val="110"/>
                <w:sz w:val="22"/>
              </w:rPr>
              <w:t>posible</w:t>
            </w:r>
            <w:r>
              <w:rPr>
                <w:color w:val="231F1F"/>
                <w:spacing w:val="-9"/>
                <w:w w:val="110"/>
                <w:sz w:val="22"/>
              </w:rPr>
              <w:t> </w:t>
            </w:r>
            <w:r>
              <w:rPr>
                <w:color w:val="231F1F"/>
                <w:w w:val="110"/>
                <w:sz w:val="22"/>
              </w:rPr>
              <w:t>después del nacimiento, preferentemente dentro de la primera hora.</w:t>
            </w:r>
          </w:p>
        </w:tc>
      </w:tr>
      <w:tr>
        <w:trPr>
          <w:trHeight w:val="1233" w:hRule="atLeast"/>
        </w:trPr>
        <w:tc>
          <w:tcPr>
            <w:tcW w:w="571" w:type="dxa"/>
            <w:shd w:val="clear" w:color="auto" w:fill="F2DFDF"/>
          </w:tcPr>
          <w:p>
            <w:pPr>
              <w:pStyle w:val="TableParagraph"/>
              <w:spacing w:before="222"/>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39"/>
              <w:ind w:left="117" w:right="80"/>
              <w:jc w:val="both"/>
              <w:rPr>
                <w:sz w:val="22"/>
              </w:rPr>
            </w:pPr>
            <w:r>
              <w:rPr>
                <w:color w:val="231F1F"/>
                <w:w w:val="110"/>
                <w:sz w:val="22"/>
              </w:rPr>
              <w:t>Debe</w:t>
            </w:r>
            <w:r>
              <w:rPr>
                <w:color w:val="231F1F"/>
                <w:spacing w:val="-7"/>
                <w:w w:val="110"/>
                <w:sz w:val="22"/>
              </w:rPr>
              <w:t> </w:t>
            </w:r>
            <w:r>
              <w:rPr>
                <w:color w:val="231F1F"/>
                <w:w w:val="110"/>
                <w:sz w:val="22"/>
              </w:rPr>
              <w:t>indicarse</w:t>
            </w:r>
            <w:r>
              <w:rPr>
                <w:color w:val="231F1F"/>
                <w:spacing w:val="-7"/>
                <w:w w:val="110"/>
                <w:sz w:val="22"/>
              </w:rPr>
              <w:t> </w:t>
            </w:r>
            <w:r>
              <w:rPr>
                <w:color w:val="231F1F"/>
                <w:w w:val="110"/>
                <w:sz w:val="22"/>
              </w:rPr>
              <w:t>a</w:t>
            </w:r>
            <w:r>
              <w:rPr>
                <w:color w:val="231F1F"/>
                <w:spacing w:val="-7"/>
                <w:w w:val="110"/>
                <w:sz w:val="22"/>
              </w:rPr>
              <w:t> </w:t>
            </w:r>
            <w:r>
              <w:rPr>
                <w:color w:val="231F1F"/>
                <w:w w:val="110"/>
                <w:sz w:val="22"/>
              </w:rPr>
              <w:t>las</w:t>
            </w:r>
            <w:r>
              <w:rPr>
                <w:color w:val="231F1F"/>
                <w:spacing w:val="-7"/>
                <w:w w:val="110"/>
                <w:sz w:val="22"/>
              </w:rPr>
              <w:t> </w:t>
            </w:r>
            <w:r>
              <w:rPr>
                <w:color w:val="231F1F"/>
                <w:w w:val="110"/>
                <w:sz w:val="22"/>
              </w:rPr>
              <w:t>mujeres</w:t>
            </w:r>
            <w:r>
              <w:rPr>
                <w:color w:val="231F1F"/>
                <w:spacing w:val="-7"/>
                <w:w w:val="110"/>
                <w:sz w:val="22"/>
              </w:rPr>
              <w:t> </w:t>
            </w:r>
            <w:r>
              <w:rPr>
                <w:color w:val="231F1F"/>
                <w:w w:val="110"/>
                <w:sz w:val="22"/>
              </w:rPr>
              <w:t>que</w:t>
            </w:r>
            <w:r>
              <w:rPr>
                <w:color w:val="231F1F"/>
                <w:spacing w:val="-7"/>
                <w:w w:val="110"/>
                <w:sz w:val="22"/>
              </w:rPr>
              <w:t> </w:t>
            </w:r>
            <w:r>
              <w:rPr>
                <w:color w:val="231F1F"/>
                <w:w w:val="110"/>
                <w:sz w:val="22"/>
              </w:rPr>
              <w:t>si</w:t>
            </w:r>
            <w:r>
              <w:rPr>
                <w:color w:val="231F1F"/>
                <w:spacing w:val="-8"/>
                <w:w w:val="110"/>
                <w:sz w:val="22"/>
              </w:rPr>
              <w:t> </w:t>
            </w:r>
            <w:r>
              <w:rPr>
                <w:color w:val="231F1F"/>
                <w:w w:val="110"/>
                <w:sz w:val="22"/>
              </w:rPr>
              <w:t>el</w:t>
            </w:r>
            <w:r>
              <w:rPr>
                <w:color w:val="231F1F"/>
                <w:spacing w:val="-8"/>
                <w:w w:val="110"/>
                <w:sz w:val="22"/>
              </w:rPr>
              <w:t> </w:t>
            </w:r>
            <w:r>
              <w:rPr>
                <w:color w:val="231F1F"/>
                <w:w w:val="110"/>
                <w:sz w:val="22"/>
              </w:rPr>
              <w:t>RN</w:t>
            </w:r>
            <w:r>
              <w:rPr>
                <w:color w:val="231F1F"/>
                <w:spacing w:val="-6"/>
                <w:w w:val="110"/>
                <w:sz w:val="22"/>
              </w:rPr>
              <w:t> </w:t>
            </w:r>
            <w:r>
              <w:rPr>
                <w:color w:val="231F1F"/>
                <w:w w:val="110"/>
                <w:sz w:val="22"/>
              </w:rPr>
              <w:t>no</w:t>
            </w:r>
            <w:r>
              <w:rPr>
                <w:color w:val="231F1F"/>
                <w:spacing w:val="-7"/>
                <w:w w:val="110"/>
                <w:sz w:val="22"/>
              </w:rPr>
              <w:t> </w:t>
            </w:r>
            <w:r>
              <w:rPr>
                <w:color w:val="231F1F"/>
                <w:w w:val="110"/>
                <w:sz w:val="22"/>
              </w:rPr>
              <w:t>está</w:t>
            </w:r>
            <w:r>
              <w:rPr>
                <w:color w:val="231F1F"/>
                <w:spacing w:val="-7"/>
                <w:w w:val="110"/>
                <w:sz w:val="22"/>
              </w:rPr>
              <w:t> </w:t>
            </w:r>
            <w:r>
              <w:rPr>
                <w:color w:val="231F1F"/>
                <w:w w:val="110"/>
                <w:sz w:val="22"/>
              </w:rPr>
              <w:t>intentando</w:t>
            </w:r>
            <w:r>
              <w:rPr>
                <w:color w:val="231F1F"/>
                <w:spacing w:val="-7"/>
                <w:w w:val="110"/>
                <w:sz w:val="22"/>
              </w:rPr>
              <w:t> </w:t>
            </w:r>
            <w:r>
              <w:rPr>
                <w:color w:val="231F1F"/>
                <w:w w:val="110"/>
                <w:sz w:val="22"/>
              </w:rPr>
              <w:t>mamar,</w:t>
            </w:r>
            <w:r>
              <w:rPr>
                <w:color w:val="231F1F"/>
                <w:spacing w:val="-7"/>
                <w:w w:val="110"/>
                <w:sz w:val="22"/>
              </w:rPr>
              <w:t> </w:t>
            </w:r>
            <w:r>
              <w:rPr>
                <w:color w:val="231F1F"/>
                <w:w w:val="110"/>
                <w:sz w:val="22"/>
              </w:rPr>
              <w:t>se</w:t>
            </w:r>
            <w:r>
              <w:rPr>
                <w:color w:val="231F1F"/>
                <w:spacing w:val="-7"/>
                <w:w w:val="110"/>
                <w:sz w:val="22"/>
              </w:rPr>
              <w:t> </w:t>
            </w:r>
            <w:r>
              <w:rPr>
                <w:color w:val="231F1F"/>
                <w:w w:val="110"/>
                <w:sz w:val="22"/>
              </w:rPr>
              <w:t>le</w:t>
            </w:r>
            <w:r>
              <w:rPr>
                <w:color w:val="231F1F"/>
                <w:spacing w:val="-7"/>
                <w:w w:val="110"/>
                <w:sz w:val="22"/>
              </w:rPr>
              <w:t> </w:t>
            </w:r>
            <w:r>
              <w:rPr>
                <w:color w:val="231F1F"/>
                <w:w w:val="110"/>
                <w:sz w:val="22"/>
              </w:rPr>
              <w:t>puede colocar</w:t>
            </w:r>
            <w:r>
              <w:rPr>
                <w:color w:val="231F1F"/>
                <w:spacing w:val="-11"/>
                <w:w w:val="110"/>
                <w:sz w:val="22"/>
              </w:rPr>
              <w:t> </w:t>
            </w:r>
            <w:r>
              <w:rPr>
                <w:color w:val="231F1F"/>
                <w:w w:val="110"/>
                <w:sz w:val="22"/>
              </w:rPr>
              <w:t>enfrente</w:t>
            </w:r>
            <w:r>
              <w:rPr>
                <w:color w:val="231F1F"/>
                <w:spacing w:val="-11"/>
                <w:w w:val="110"/>
                <w:sz w:val="22"/>
              </w:rPr>
              <w:t> </w:t>
            </w:r>
            <w:r>
              <w:rPr>
                <w:color w:val="231F1F"/>
                <w:w w:val="110"/>
                <w:sz w:val="22"/>
              </w:rPr>
              <w:t>del</w:t>
            </w:r>
            <w:r>
              <w:rPr>
                <w:color w:val="231F1F"/>
                <w:spacing w:val="-12"/>
                <w:w w:val="110"/>
                <w:sz w:val="22"/>
              </w:rPr>
              <w:t> </w:t>
            </w:r>
            <w:r>
              <w:rPr>
                <w:color w:val="231F1F"/>
                <w:w w:val="110"/>
                <w:sz w:val="22"/>
              </w:rPr>
              <w:t>pecho</w:t>
            </w:r>
            <w:r>
              <w:rPr>
                <w:color w:val="231F1F"/>
                <w:spacing w:val="-11"/>
                <w:w w:val="110"/>
                <w:sz w:val="22"/>
              </w:rPr>
              <w:t> </w:t>
            </w:r>
            <w:r>
              <w:rPr>
                <w:color w:val="231F1F"/>
                <w:w w:val="110"/>
                <w:sz w:val="22"/>
              </w:rPr>
              <w:t>para</w:t>
            </w:r>
            <w:r>
              <w:rPr>
                <w:color w:val="231F1F"/>
                <w:spacing w:val="-11"/>
                <w:w w:val="110"/>
                <w:sz w:val="22"/>
              </w:rPr>
              <w:t> </w:t>
            </w:r>
            <w:r>
              <w:rPr>
                <w:color w:val="231F1F"/>
                <w:w w:val="110"/>
                <w:sz w:val="22"/>
              </w:rPr>
              <w:t>facilitar</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puesta</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marcha</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los</w:t>
            </w:r>
            <w:r>
              <w:rPr>
                <w:color w:val="231F1F"/>
                <w:spacing w:val="-12"/>
                <w:w w:val="110"/>
                <w:sz w:val="22"/>
              </w:rPr>
              <w:t> </w:t>
            </w:r>
            <w:r>
              <w:rPr>
                <w:color w:val="231F1F"/>
                <w:w w:val="110"/>
                <w:sz w:val="22"/>
              </w:rPr>
              <w:t>reflejos</w:t>
            </w:r>
            <w:r>
              <w:rPr>
                <w:color w:val="231F1F"/>
                <w:spacing w:val="-11"/>
                <w:w w:val="110"/>
                <w:sz w:val="22"/>
              </w:rPr>
              <w:t> </w:t>
            </w:r>
            <w:r>
              <w:rPr>
                <w:color w:val="231F1F"/>
                <w:w w:val="110"/>
                <w:sz w:val="22"/>
              </w:rPr>
              <w:t>nece- sarios para conseguir un agarre adecuado, pero que no es recomendable forzar esta primera toma.</w:t>
            </w:r>
          </w:p>
        </w:tc>
      </w:tr>
      <w:tr>
        <w:trPr>
          <w:trHeight w:val="388" w:hRule="atLeast"/>
        </w:trPr>
        <w:tc>
          <w:tcPr>
            <w:tcW w:w="8505" w:type="dxa"/>
            <w:gridSpan w:val="2"/>
          </w:tcPr>
          <w:p>
            <w:pPr>
              <w:pStyle w:val="TableParagraph"/>
              <w:spacing w:before="53"/>
              <w:rPr>
                <w:sz w:val="22"/>
              </w:rPr>
            </w:pPr>
            <w:r>
              <w:rPr>
                <w:color w:val="231F1F"/>
                <w:sz w:val="22"/>
              </w:rPr>
              <w:t>8.4.</w:t>
            </w:r>
            <w:r>
              <w:rPr>
                <w:color w:val="231F1F"/>
                <w:spacing w:val="15"/>
                <w:sz w:val="22"/>
              </w:rPr>
              <w:t> </w:t>
            </w:r>
            <w:r>
              <w:rPr>
                <w:color w:val="231F1F"/>
                <w:sz w:val="22"/>
              </w:rPr>
              <w:t>Baño</w:t>
            </w:r>
            <w:r>
              <w:rPr>
                <w:color w:val="231F1F"/>
                <w:spacing w:val="16"/>
                <w:sz w:val="22"/>
              </w:rPr>
              <w:t> </w:t>
            </w:r>
            <w:r>
              <w:rPr>
                <w:color w:val="231F1F"/>
                <w:sz w:val="22"/>
              </w:rPr>
              <w:t>del</w:t>
            </w:r>
            <w:r>
              <w:rPr>
                <w:color w:val="231F1F"/>
                <w:spacing w:val="17"/>
                <w:sz w:val="22"/>
              </w:rPr>
              <w:t> </w:t>
            </w:r>
            <w:r>
              <w:rPr>
                <w:color w:val="231F1F"/>
                <w:spacing w:val="-5"/>
                <w:sz w:val="22"/>
              </w:rPr>
              <w:t>RN</w:t>
            </w:r>
          </w:p>
        </w:tc>
      </w:tr>
      <w:tr>
        <w:trPr>
          <w:trHeight w:val="671" w:hRule="atLeast"/>
        </w:trPr>
        <w:tc>
          <w:tcPr>
            <w:tcW w:w="571" w:type="dxa"/>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39"/>
              <w:ind w:left="117"/>
              <w:rPr>
                <w:sz w:val="22"/>
              </w:rPr>
            </w:pPr>
            <w:r>
              <w:rPr>
                <w:color w:val="231F1F"/>
                <w:w w:val="110"/>
                <w:sz w:val="22"/>
              </w:rPr>
              <w:t>Se</w:t>
            </w:r>
            <w:r>
              <w:rPr>
                <w:color w:val="231F1F"/>
                <w:spacing w:val="-13"/>
                <w:w w:val="110"/>
                <w:sz w:val="22"/>
              </w:rPr>
              <w:t> </w:t>
            </w:r>
            <w:r>
              <w:rPr>
                <w:color w:val="231F1F"/>
                <w:w w:val="110"/>
                <w:sz w:val="22"/>
              </w:rPr>
              <w:t>recomienda</w:t>
            </w:r>
            <w:r>
              <w:rPr>
                <w:color w:val="231F1F"/>
                <w:spacing w:val="-13"/>
                <w:w w:val="110"/>
                <w:sz w:val="22"/>
              </w:rPr>
              <w:t> </w:t>
            </w:r>
            <w:r>
              <w:rPr>
                <w:color w:val="231F1F"/>
                <w:w w:val="110"/>
                <w:sz w:val="22"/>
              </w:rPr>
              <w:t>no</w:t>
            </w:r>
            <w:r>
              <w:rPr>
                <w:color w:val="231F1F"/>
                <w:spacing w:val="-13"/>
                <w:w w:val="110"/>
                <w:sz w:val="22"/>
              </w:rPr>
              <w:t> </w:t>
            </w:r>
            <w:r>
              <w:rPr>
                <w:color w:val="231F1F"/>
                <w:w w:val="110"/>
                <w:sz w:val="22"/>
              </w:rPr>
              <w:t>bañar</w:t>
            </w:r>
            <w:r>
              <w:rPr>
                <w:color w:val="231F1F"/>
                <w:spacing w:val="-13"/>
                <w:w w:val="110"/>
                <w:sz w:val="22"/>
              </w:rPr>
              <w:t> </w:t>
            </w:r>
            <w:r>
              <w:rPr>
                <w:color w:val="231F1F"/>
                <w:w w:val="110"/>
                <w:sz w:val="22"/>
              </w:rPr>
              <w:t>rutinariamente</w:t>
            </w:r>
            <w:r>
              <w:rPr>
                <w:color w:val="231F1F"/>
                <w:spacing w:val="-13"/>
                <w:w w:val="110"/>
                <w:sz w:val="22"/>
              </w:rPr>
              <w:t> </w:t>
            </w:r>
            <w:r>
              <w:rPr>
                <w:color w:val="231F1F"/>
                <w:w w:val="110"/>
                <w:sz w:val="22"/>
              </w:rPr>
              <w:t>al</w:t>
            </w:r>
            <w:r>
              <w:rPr>
                <w:color w:val="231F1F"/>
                <w:spacing w:val="-13"/>
                <w:w w:val="110"/>
                <w:sz w:val="22"/>
              </w:rPr>
              <w:t> </w:t>
            </w:r>
            <w:r>
              <w:rPr>
                <w:color w:val="231F1F"/>
                <w:w w:val="110"/>
                <w:sz w:val="22"/>
              </w:rPr>
              <w:t>RN</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las</w:t>
            </w:r>
            <w:r>
              <w:rPr>
                <w:color w:val="231F1F"/>
                <w:spacing w:val="-13"/>
                <w:w w:val="110"/>
                <w:sz w:val="22"/>
              </w:rPr>
              <w:t> </w:t>
            </w:r>
            <w:r>
              <w:rPr>
                <w:color w:val="231F1F"/>
                <w:w w:val="110"/>
                <w:sz w:val="22"/>
              </w:rPr>
              <w:t>primeras</w:t>
            </w:r>
            <w:r>
              <w:rPr>
                <w:color w:val="231F1F"/>
                <w:spacing w:val="-13"/>
                <w:w w:val="110"/>
                <w:sz w:val="22"/>
              </w:rPr>
              <w:t> </w:t>
            </w:r>
            <w:r>
              <w:rPr>
                <w:color w:val="231F1F"/>
                <w:w w:val="110"/>
                <w:sz w:val="22"/>
              </w:rPr>
              <w:t>horas</w:t>
            </w:r>
            <w:r>
              <w:rPr>
                <w:color w:val="231F1F"/>
                <w:spacing w:val="-13"/>
                <w:w w:val="110"/>
                <w:sz w:val="22"/>
              </w:rPr>
              <w:t> </w:t>
            </w:r>
            <w:r>
              <w:rPr>
                <w:color w:val="231F1F"/>
                <w:w w:val="110"/>
                <w:sz w:val="22"/>
              </w:rPr>
              <w:t>después</w:t>
            </w:r>
            <w:r>
              <w:rPr>
                <w:color w:val="231F1F"/>
                <w:spacing w:val="-13"/>
                <w:w w:val="110"/>
                <w:sz w:val="22"/>
              </w:rPr>
              <w:t> </w:t>
            </w:r>
            <w:r>
              <w:rPr>
                <w:color w:val="231F1F"/>
                <w:w w:val="110"/>
                <w:sz w:val="22"/>
              </w:rPr>
              <w:t>del </w:t>
            </w:r>
            <w:r>
              <w:rPr>
                <w:color w:val="231F1F"/>
                <w:spacing w:val="-2"/>
                <w:w w:val="110"/>
                <w:sz w:val="22"/>
              </w:rPr>
              <w:t>nacimiento.</w:t>
            </w:r>
          </w:p>
        </w:tc>
      </w:tr>
      <w:tr>
        <w:trPr>
          <w:trHeight w:val="964" w:hRule="atLeast"/>
        </w:trPr>
        <w:tc>
          <w:tcPr>
            <w:tcW w:w="571" w:type="dxa"/>
          </w:tcPr>
          <w:p>
            <w:pPr>
              <w:pStyle w:val="TableParagraph"/>
              <w:spacing w:before="82"/>
              <w:ind w:left="0"/>
              <w:rPr>
                <w:rFonts w:ascii="Arial MT"/>
                <w:sz w:val="22"/>
              </w:rPr>
            </w:pPr>
          </w:p>
          <w:p>
            <w:pPr>
              <w:pStyle w:val="TableParagraph"/>
              <w:spacing w:before="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7" w:lineRule="auto" w:before="44"/>
              <w:ind w:left="116" w:right="80"/>
              <w:jc w:val="both"/>
              <w:rPr>
                <w:sz w:val="22"/>
              </w:rPr>
            </w:pPr>
            <w:r>
              <w:rPr>
                <w:color w:val="231F1F"/>
                <w:w w:val="105"/>
                <w:sz w:val="22"/>
              </w:rPr>
              <w:t>Si la madre lo solicitara, el baño sería una opción aceptable siempre que se haya alcanzado la estabilidad térmica del neonato y sin interferir en el tiempo recomen- dado de contacto piel con piel.</w:t>
            </w:r>
          </w:p>
        </w:tc>
      </w:tr>
    </w:tbl>
    <w:p>
      <w:pPr>
        <w:pStyle w:val="TableParagraph"/>
        <w:spacing w:after="0" w:line="247" w:lineRule="auto"/>
        <w:jc w:val="both"/>
        <w:rPr>
          <w:sz w:val="22"/>
        </w:rPr>
        <w:sectPr>
          <w:type w:val="continuous"/>
          <w:pgSz w:w="11900" w:h="16840"/>
          <w:pgMar w:header="0" w:footer="622" w:top="1640" w:bottom="2119"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93" w:hRule="atLeast"/>
        </w:trPr>
        <w:tc>
          <w:tcPr>
            <w:tcW w:w="8505" w:type="dxa"/>
            <w:gridSpan w:val="2"/>
          </w:tcPr>
          <w:p>
            <w:pPr>
              <w:pStyle w:val="TableParagraph"/>
              <w:spacing w:before="58"/>
              <w:rPr>
                <w:sz w:val="22"/>
              </w:rPr>
            </w:pPr>
            <w:r>
              <w:rPr>
                <w:color w:val="231F1F"/>
                <w:sz w:val="22"/>
              </w:rPr>
              <w:t>8.5.</w:t>
            </w:r>
            <w:r>
              <w:rPr>
                <w:color w:val="231F1F"/>
                <w:spacing w:val="32"/>
                <w:sz w:val="22"/>
              </w:rPr>
              <w:t> </w:t>
            </w:r>
            <w:r>
              <w:rPr>
                <w:color w:val="231F1F"/>
                <w:sz w:val="22"/>
              </w:rPr>
              <w:t>Aspiración</w:t>
            </w:r>
            <w:r>
              <w:rPr>
                <w:color w:val="231F1F"/>
                <w:spacing w:val="34"/>
                <w:sz w:val="22"/>
              </w:rPr>
              <w:t> </w:t>
            </w:r>
            <w:r>
              <w:rPr>
                <w:color w:val="231F1F"/>
                <w:sz w:val="22"/>
              </w:rPr>
              <w:t>nasofaríngea</w:t>
            </w:r>
            <w:r>
              <w:rPr>
                <w:color w:val="231F1F"/>
                <w:spacing w:val="36"/>
                <w:sz w:val="22"/>
              </w:rPr>
              <w:t> </w:t>
            </w:r>
            <w:r>
              <w:rPr>
                <w:color w:val="231F1F"/>
                <w:sz w:val="22"/>
              </w:rPr>
              <w:t>y</w:t>
            </w:r>
            <w:r>
              <w:rPr>
                <w:color w:val="231F1F"/>
                <w:spacing w:val="34"/>
                <w:sz w:val="22"/>
              </w:rPr>
              <w:t> </w:t>
            </w:r>
            <w:r>
              <w:rPr>
                <w:color w:val="231F1F"/>
                <w:sz w:val="22"/>
              </w:rPr>
              <w:t>sondaje</w:t>
            </w:r>
            <w:r>
              <w:rPr>
                <w:color w:val="231F1F"/>
                <w:spacing w:val="36"/>
                <w:sz w:val="22"/>
              </w:rPr>
              <w:t> </w:t>
            </w:r>
            <w:r>
              <w:rPr>
                <w:color w:val="231F1F"/>
                <w:sz w:val="22"/>
              </w:rPr>
              <w:t>gástrico-rectal</w:t>
            </w:r>
            <w:r>
              <w:rPr>
                <w:color w:val="231F1F"/>
                <w:spacing w:val="38"/>
                <w:sz w:val="22"/>
              </w:rPr>
              <w:t> </w:t>
            </w:r>
            <w:r>
              <w:rPr>
                <w:color w:val="231F1F"/>
                <w:sz w:val="22"/>
              </w:rPr>
              <w:t>en</w:t>
            </w:r>
            <w:r>
              <w:rPr>
                <w:color w:val="231F1F"/>
                <w:spacing w:val="34"/>
                <w:sz w:val="22"/>
              </w:rPr>
              <w:t> </w:t>
            </w:r>
            <w:r>
              <w:rPr>
                <w:color w:val="231F1F"/>
                <w:sz w:val="22"/>
              </w:rPr>
              <w:t>el</w:t>
            </w:r>
            <w:r>
              <w:rPr>
                <w:color w:val="231F1F"/>
                <w:spacing w:val="35"/>
                <w:sz w:val="22"/>
              </w:rPr>
              <w:t> </w:t>
            </w:r>
            <w:r>
              <w:rPr>
                <w:color w:val="231F1F"/>
                <w:sz w:val="22"/>
              </w:rPr>
              <w:t>período</w:t>
            </w:r>
            <w:r>
              <w:rPr>
                <w:color w:val="231F1F"/>
                <w:spacing w:val="36"/>
                <w:sz w:val="22"/>
              </w:rPr>
              <w:t> </w:t>
            </w:r>
            <w:r>
              <w:rPr>
                <w:color w:val="231F1F"/>
                <w:spacing w:val="-2"/>
                <w:sz w:val="22"/>
              </w:rPr>
              <w:t>neonatal</w:t>
            </w:r>
          </w:p>
        </w:tc>
      </w:tr>
      <w:tr>
        <w:trPr>
          <w:trHeight w:val="393" w:hRule="atLeast"/>
        </w:trPr>
        <w:tc>
          <w:tcPr>
            <w:tcW w:w="571" w:type="dxa"/>
            <w:shd w:val="clear" w:color="auto" w:fill="F2DFDF"/>
          </w:tcPr>
          <w:p>
            <w:pPr>
              <w:pStyle w:val="TableParagraph"/>
              <w:spacing w:before="39"/>
              <w:ind w:left="46" w:right="9"/>
              <w:jc w:val="center"/>
              <w:rPr>
                <w:sz w:val="22"/>
              </w:rPr>
            </w:pPr>
            <w:r>
              <w:rPr>
                <w:color w:val="231F1F"/>
                <w:spacing w:val="-10"/>
                <w:w w:val="115"/>
                <w:sz w:val="22"/>
              </w:rPr>
              <w:t>A</w:t>
            </w:r>
          </w:p>
        </w:tc>
        <w:tc>
          <w:tcPr>
            <w:tcW w:w="7934" w:type="dxa"/>
            <w:shd w:val="clear" w:color="auto" w:fill="F2DFDF"/>
          </w:tcPr>
          <w:p>
            <w:pPr>
              <w:pStyle w:val="TableParagraph"/>
              <w:spacing w:before="58"/>
              <w:ind w:left="116"/>
              <w:rPr>
                <w:sz w:val="22"/>
              </w:rPr>
            </w:pPr>
            <w:r>
              <w:rPr>
                <w:color w:val="231F1F"/>
                <w:sz w:val="22"/>
              </w:rPr>
              <w:t>No</w:t>
            </w:r>
            <w:r>
              <w:rPr>
                <w:color w:val="231F1F"/>
                <w:spacing w:val="31"/>
                <w:sz w:val="22"/>
              </w:rPr>
              <w:t> </w:t>
            </w:r>
            <w:r>
              <w:rPr>
                <w:color w:val="231F1F"/>
                <w:sz w:val="22"/>
              </w:rPr>
              <w:t>se</w:t>
            </w:r>
            <w:r>
              <w:rPr>
                <w:color w:val="231F1F"/>
                <w:spacing w:val="38"/>
                <w:sz w:val="22"/>
              </w:rPr>
              <w:t> </w:t>
            </w:r>
            <w:r>
              <w:rPr>
                <w:color w:val="231F1F"/>
                <w:sz w:val="22"/>
              </w:rPr>
              <w:t>recomienda</w:t>
            </w:r>
            <w:r>
              <w:rPr>
                <w:color w:val="231F1F"/>
                <w:spacing w:val="38"/>
                <w:sz w:val="22"/>
              </w:rPr>
              <w:t> </w:t>
            </w:r>
            <w:r>
              <w:rPr>
                <w:color w:val="231F1F"/>
                <w:sz w:val="22"/>
              </w:rPr>
              <w:t>la</w:t>
            </w:r>
            <w:r>
              <w:rPr>
                <w:color w:val="231F1F"/>
                <w:spacing w:val="36"/>
                <w:sz w:val="22"/>
              </w:rPr>
              <w:t> </w:t>
            </w:r>
            <w:r>
              <w:rPr>
                <w:color w:val="231F1F"/>
                <w:sz w:val="22"/>
              </w:rPr>
              <w:t>aspiración</w:t>
            </w:r>
            <w:r>
              <w:rPr>
                <w:color w:val="231F1F"/>
                <w:spacing w:val="37"/>
                <w:sz w:val="22"/>
              </w:rPr>
              <w:t> </w:t>
            </w:r>
            <w:r>
              <w:rPr>
                <w:color w:val="231F1F"/>
                <w:sz w:val="22"/>
              </w:rPr>
              <w:t>sistemática</w:t>
            </w:r>
            <w:r>
              <w:rPr>
                <w:color w:val="231F1F"/>
                <w:spacing w:val="37"/>
                <w:sz w:val="22"/>
              </w:rPr>
              <w:t> </w:t>
            </w:r>
            <w:r>
              <w:rPr>
                <w:color w:val="231F1F"/>
                <w:sz w:val="22"/>
              </w:rPr>
              <w:t>orofaríngea</w:t>
            </w:r>
            <w:r>
              <w:rPr>
                <w:color w:val="231F1F"/>
                <w:spacing w:val="36"/>
                <w:sz w:val="22"/>
              </w:rPr>
              <w:t> </w:t>
            </w:r>
            <w:r>
              <w:rPr>
                <w:color w:val="231F1F"/>
                <w:sz w:val="22"/>
              </w:rPr>
              <w:t>ni</w:t>
            </w:r>
            <w:r>
              <w:rPr>
                <w:color w:val="231F1F"/>
                <w:spacing w:val="37"/>
                <w:sz w:val="22"/>
              </w:rPr>
              <w:t> </w:t>
            </w:r>
            <w:r>
              <w:rPr>
                <w:color w:val="231F1F"/>
                <w:sz w:val="22"/>
              </w:rPr>
              <w:t>nasofaríngea</w:t>
            </w:r>
            <w:r>
              <w:rPr>
                <w:color w:val="231F1F"/>
                <w:spacing w:val="37"/>
                <w:sz w:val="22"/>
              </w:rPr>
              <w:t> </w:t>
            </w:r>
            <w:r>
              <w:rPr>
                <w:color w:val="231F1F"/>
                <w:sz w:val="22"/>
              </w:rPr>
              <w:t>del</w:t>
            </w:r>
            <w:r>
              <w:rPr>
                <w:color w:val="231F1F"/>
                <w:spacing w:val="37"/>
                <w:sz w:val="22"/>
              </w:rPr>
              <w:t> </w:t>
            </w:r>
            <w:r>
              <w:rPr>
                <w:color w:val="231F1F"/>
                <w:spacing w:val="-5"/>
                <w:sz w:val="22"/>
              </w:rPr>
              <w:t>RN.</w:t>
            </w:r>
          </w:p>
        </w:tc>
      </w:tr>
      <w:tr>
        <w:trPr>
          <w:trHeight w:val="671" w:hRule="atLeast"/>
        </w:trPr>
        <w:tc>
          <w:tcPr>
            <w:tcW w:w="571" w:type="dxa"/>
            <w:shd w:val="clear" w:color="auto" w:fill="F2DFDF"/>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54" w:lineRule="auto" w:before="58"/>
              <w:ind w:left="117"/>
              <w:rPr>
                <w:sz w:val="22"/>
              </w:rPr>
            </w:pPr>
            <w:r>
              <w:rPr>
                <w:color w:val="231F1F"/>
                <w:sz w:val="22"/>
              </w:rPr>
              <w:t>No</w:t>
            </w:r>
            <w:r>
              <w:rPr>
                <w:color w:val="231F1F"/>
                <w:spacing w:val="29"/>
                <w:sz w:val="22"/>
              </w:rPr>
              <w:t> </w:t>
            </w:r>
            <w:r>
              <w:rPr>
                <w:color w:val="231F1F"/>
                <w:sz w:val="22"/>
              </w:rPr>
              <w:t>se</w:t>
            </w:r>
            <w:r>
              <w:rPr>
                <w:color w:val="231F1F"/>
                <w:spacing w:val="29"/>
                <w:sz w:val="22"/>
              </w:rPr>
              <w:t> </w:t>
            </w:r>
            <w:r>
              <w:rPr>
                <w:color w:val="231F1F"/>
                <w:sz w:val="22"/>
              </w:rPr>
              <w:t>recomienda</w:t>
            </w:r>
            <w:r>
              <w:rPr>
                <w:color w:val="231F1F"/>
                <w:spacing w:val="31"/>
                <w:sz w:val="22"/>
              </w:rPr>
              <w:t> </w:t>
            </w:r>
            <w:r>
              <w:rPr>
                <w:color w:val="231F1F"/>
                <w:sz w:val="22"/>
              </w:rPr>
              <w:t>realizar</w:t>
            </w:r>
            <w:r>
              <w:rPr>
                <w:color w:val="231F1F"/>
                <w:spacing w:val="31"/>
                <w:sz w:val="22"/>
              </w:rPr>
              <w:t> </w:t>
            </w:r>
            <w:r>
              <w:rPr>
                <w:color w:val="231F1F"/>
                <w:sz w:val="22"/>
              </w:rPr>
              <w:t>el</w:t>
            </w:r>
            <w:r>
              <w:rPr>
                <w:color w:val="231F1F"/>
                <w:spacing w:val="29"/>
                <w:sz w:val="22"/>
              </w:rPr>
              <w:t> </w:t>
            </w:r>
            <w:r>
              <w:rPr>
                <w:color w:val="231F1F"/>
                <w:sz w:val="22"/>
              </w:rPr>
              <w:t>paso</w:t>
            </w:r>
            <w:r>
              <w:rPr>
                <w:color w:val="231F1F"/>
                <w:spacing w:val="29"/>
                <w:sz w:val="22"/>
              </w:rPr>
              <w:t> </w:t>
            </w:r>
            <w:r>
              <w:rPr>
                <w:color w:val="231F1F"/>
                <w:sz w:val="22"/>
              </w:rPr>
              <w:t>sistemático</w:t>
            </w:r>
            <w:r>
              <w:rPr>
                <w:color w:val="231F1F"/>
                <w:spacing w:val="29"/>
                <w:sz w:val="22"/>
              </w:rPr>
              <w:t> </w:t>
            </w:r>
            <w:r>
              <w:rPr>
                <w:color w:val="231F1F"/>
                <w:sz w:val="22"/>
              </w:rPr>
              <w:t>de</w:t>
            </w:r>
            <w:r>
              <w:rPr>
                <w:color w:val="231F1F"/>
                <w:spacing w:val="29"/>
                <w:sz w:val="22"/>
              </w:rPr>
              <w:t> </w:t>
            </w:r>
            <w:r>
              <w:rPr>
                <w:color w:val="231F1F"/>
                <w:sz w:val="22"/>
              </w:rPr>
              <w:t>sonda</w:t>
            </w:r>
            <w:r>
              <w:rPr>
                <w:color w:val="231F1F"/>
                <w:spacing w:val="29"/>
                <w:sz w:val="22"/>
              </w:rPr>
              <w:t> </w:t>
            </w:r>
            <w:r>
              <w:rPr>
                <w:color w:val="231F1F"/>
                <w:sz w:val="22"/>
              </w:rPr>
              <w:t>nasogástrica</w:t>
            </w:r>
            <w:r>
              <w:rPr>
                <w:color w:val="231F1F"/>
                <w:spacing w:val="29"/>
                <w:sz w:val="22"/>
              </w:rPr>
              <w:t> </w:t>
            </w:r>
            <w:r>
              <w:rPr>
                <w:color w:val="231F1F"/>
                <w:sz w:val="22"/>
              </w:rPr>
              <w:t>ni</w:t>
            </w:r>
            <w:r>
              <w:rPr>
                <w:color w:val="231F1F"/>
                <w:spacing w:val="29"/>
                <w:sz w:val="22"/>
              </w:rPr>
              <w:t> </w:t>
            </w:r>
            <w:r>
              <w:rPr>
                <w:color w:val="231F1F"/>
                <w:sz w:val="22"/>
              </w:rPr>
              <w:t>rectal</w:t>
            </w:r>
            <w:r>
              <w:rPr>
                <w:color w:val="231F1F"/>
                <w:spacing w:val="31"/>
                <w:sz w:val="22"/>
              </w:rPr>
              <w:t> </w:t>
            </w:r>
            <w:r>
              <w:rPr>
                <w:color w:val="231F1F"/>
                <w:sz w:val="22"/>
              </w:rPr>
              <w:t>para descartar</w:t>
            </w:r>
            <w:r>
              <w:rPr>
                <w:color w:val="231F1F"/>
                <w:spacing w:val="40"/>
                <w:sz w:val="22"/>
              </w:rPr>
              <w:t> </w:t>
            </w:r>
            <w:r>
              <w:rPr>
                <w:color w:val="231F1F"/>
                <w:sz w:val="22"/>
              </w:rPr>
              <w:t>atresias</w:t>
            </w:r>
            <w:r>
              <w:rPr>
                <w:color w:val="231F1F"/>
                <w:spacing w:val="40"/>
                <w:sz w:val="22"/>
              </w:rPr>
              <w:t> </w:t>
            </w:r>
            <w:r>
              <w:rPr>
                <w:color w:val="231F1F"/>
                <w:sz w:val="22"/>
              </w:rPr>
              <w:t>en</w:t>
            </w:r>
            <w:r>
              <w:rPr>
                <w:color w:val="231F1F"/>
                <w:spacing w:val="40"/>
                <w:sz w:val="22"/>
              </w:rPr>
              <w:t> </w:t>
            </w:r>
            <w:r>
              <w:rPr>
                <w:color w:val="231F1F"/>
                <w:sz w:val="22"/>
              </w:rPr>
              <w:t>el</w:t>
            </w:r>
            <w:r>
              <w:rPr>
                <w:color w:val="231F1F"/>
                <w:spacing w:val="40"/>
                <w:sz w:val="22"/>
              </w:rPr>
              <w:t> </w:t>
            </w:r>
            <w:r>
              <w:rPr>
                <w:color w:val="231F1F"/>
                <w:sz w:val="22"/>
              </w:rPr>
              <w:t>RN</w:t>
            </w:r>
            <w:r>
              <w:rPr>
                <w:color w:val="231F1F"/>
                <w:spacing w:val="40"/>
                <w:sz w:val="22"/>
              </w:rPr>
              <w:t> </w:t>
            </w:r>
            <w:r>
              <w:rPr>
                <w:color w:val="231F1F"/>
                <w:sz w:val="22"/>
              </w:rPr>
              <w:t>sano.</w:t>
            </w:r>
          </w:p>
        </w:tc>
      </w:tr>
      <w:tr>
        <w:trPr>
          <w:trHeight w:val="393" w:hRule="atLeast"/>
        </w:trPr>
        <w:tc>
          <w:tcPr>
            <w:tcW w:w="8505" w:type="dxa"/>
            <w:gridSpan w:val="2"/>
          </w:tcPr>
          <w:p>
            <w:pPr>
              <w:pStyle w:val="TableParagraph"/>
              <w:spacing w:before="49"/>
              <w:rPr>
                <w:sz w:val="22"/>
              </w:rPr>
            </w:pPr>
            <w:r>
              <w:rPr>
                <w:color w:val="231F1F"/>
                <w:sz w:val="22"/>
              </w:rPr>
              <w:t>8.6.</w:t>
            </w:r>
            <w:r>
              <w:rPr>
                <w:color w:val="231F1F"/>
                <w:spacing w:val="7"/>
                <w:sz w:val="22"/>
              </w:rPr>
              <w:t> </w:t>
            </w:r>
            <w:r>
              <w:rPr>
                <w:color w:val="231F1F"/>
                <w:sz w:val="22"/>
              </w:rPr>
              <w:t>Profilaxis</w:t>
            </w:r>
            <w:r>
              <w:rPr>
                <w:color w:val="231F1F"/>
                <w:spacing w:val="8"/>
                <w:sz w:val="22"/>
              </w:rPr>
              <w:t> </w:t>
            </w:r>
            <w:r>
              <w:rPr>
                <w:color w:val="231F1F"/>
                <w:spacing w:val="-2"/>
                <w:sz w:val="22"/>
              </w:rPr>
              <w:t>oftálmica</w:t>
            </w:r>
          </w:p>
        </w:tc>
      </w:tr>
      <w:tr>
        <w:trPr>
          <w:trHeight w:val="393" w:hRule="atLeast"/>
        </w:trPr>
        <w:tc>
          <w:tcPr>
            <w:tcW w:w="8505" w:type="dxa"/>
            <w:gridSpan w:val="2"/>
          </w:tcPr>
          <w:p>
            <w:pPr>
              <w:pStyle w:val="TableParagraph"/>
              <w:spacing w:before="39"/>
              <w:rPr>
                <w:i/>
                <w:sz w:val="22"/>
              </w:rPr>
            </w:pPr>
            <w:r>
              <w:rPr>
                <w:i/>
                <w:color w:val="231F1F"/>
                <w:spacing w:val="-4"/>
                <w:w w:val="105"/>
                <w:sz w:val="22"/>
              </w:rPr>
              <w:t>8.6.1.</w:t>
            </w:r>
            <w:r>
              <w:rPr>
                <w:i/>
                <w:color w:val="231F1F"/>
                <w:spacing w:val="-2"/>
                <w:w w:val="105"/>
                <w:sz w:val="22"/>
              </w:rPr>
              <w:t> </w:t>
            </w:r>
            <w:r>
              <w:rPr>
                <w:i/>
                <w:color w:val="231F1F"/>
                <w:spacing w:val="-4"/>
                <w:w w:val="105"/>
                <w:sz w:val="22"/>
              </w:rPr>
              <w:t>Profilaxis</w:t>
            </w:r>
            <w:r>
              <w:rPr>
                <w:i/>
                <w:color w:val="231F1F"/>
                <w:spacing w:val="1"/>
                <w:w w:val="105"/>
                <w:sz w:val="22"/>
              </w:rPr>
              <w:t> </w:t>
            </w:r>
            <w:r>
              <w:rPr>
                <w:i/>
                <w:color w:val="231F1F"/>
                <w:spacing w:val="-4"/>
                <w:w w:val="105"/>
                <w:sz w:val="22"/>
              </w:rPr>
              <w:t>oftálmica</w:t>
            </w:r>
            <w:r>
              <w:rPr>
                <w:i/>
                <w:color w:val="231F1F"/>
                <w:spacing w:val="-1"/>
                <w:w w:val="105"/>
                <w:sz w:val="22"/>
              </w:rPr>
              <w:t> </w:t>
            </w:r>
            <w:r>
              <w:rPr>
                <w:i/>
                <w:color w:val="231F1F"/>
                <w:spacing w:val="-4"/>
                <w:w w:val="105"/>
                <w:sz w:val="22"/>
              </w:rPr>
              <w:t>sistemática</w:t>
            </w:r>
            <w:r>
              <w:rPr>
                <w:i/>
                <w:color w:val="231F1F"/>
                <w:spacing w:val="1"/>
                <w:w w:val="105"/>
                <w:sz w:val="22"/>
              </w:rPr>
              <w:t> </w:t>
            </w:r>
            <w:r>
              <w:rPr>
                <w:i/>
                <w:color w:val="231F1F"/>
                <w:spacing w:val="-4"/>
                <w:w w:val="105"/>
                <w:sz w:val="22"/>
              </w:rPr>
              <w:t>en</w:t>
            </w:r>
            <w:r>
              <w:rPr>
                <w:i/>
                <w:color w:val="231F1F"/>
                <w:spacing w:val="1"/>
                <w:w w:val="105"/>
                <w:sz w:val="22"/>
              </w:rPr>
              <w:t> </w:t>
            </w:r>
            <w:r>
              <w:rPr>
                <w:i/>
                <w:color w:val="231F1F"/>
                <w:spacing w:val="-4"/>
                <w:w w:val="105"/>
                <w:sz w:val="22"/>
              </w:rPr>
              <w:t>el</w:t>
            </w:r>
            <w:r>
              <w:rPr>
                <w:i/>
                <w:color w:val="231F1F"/>
                <w:spacing w:val="1"/>
                <w:w w:val="105"/>
                <w:sz w:val="22"/>
              </w:rPr>
              <w:t> </w:t>
            </w:r>
            <w:r>
              <w:rPr>
                <w:i/>
                <w:color w:val="231F1F"/>
                <w:spacing w:val="-5"/>
                <w:w w:val="105"/>
                <w:sz w:val="22"/>
              </w:rPr>
              <w:t>RN</w:t>
            </w:r>
          </w:p>
        </w:tc>
      </w:tr>
      <w:tr>
        <w:trPr>
          <w:trHeight w:val="666" w:hRule="atLeast"/>
        </w:trPr>
        <w:tc>
          <w:tcPr>
            <w:tcW w:w="571" w:type="dxa"/>
          </w:tcPr>
          <w:p>
            <w:pPr>
              <w:pStyle w:val="TableParagraph"/>
              <w:spacing w:before="178"/>
              <w:ind w:left="46" w:right="7"/>
              <w:jc w:val="center"/>
              <w:rPr>
                <w:sz w:val="22"/>
              </w:rPr>
            </w:pPr>
            <w:r>
              <w:rPr>
                <w:color w:val="231F1F"/>
                <w:spacing w:val="-10"/>
                <w:w w:val="110"/>
                <w:sz w:val="22"/>
              </w:rPr>
              <w:t>B</w:t>
            </w:r>
          </w:p>
        </w:tc>
        <w:tc>
          <w:tcPr>
            <w:tcW w:w="7934" w:type="dxa"/>
          </w:tcPr>
          <w:p>
            <w:pPr>
              <w:pStyle w:val="TableParagraph"/>
              <w:spacing w:line="244" w:lineRule="auto" w:before="39"/>
              <w:ind w:left="117"/>
              <w:rPr>
                <w:sz w:val="22"/>
              </w:rPr>
            </w:pPr>
            <w:r>
              <w:rPr>
                <w:color w:val="231F1F"/>
                <w:sz w:val="22"/>
              </w:rPr>
              <w:t>Se</w:t>
            </w:r>
            <w:r>
              <w:rPr>
                <w:color w:val="231F1F"/>
                <w:spacing w:val="33"/>
                <w:sz w:val="22"/>
              </w:rPr>
              <w:t> </w:t>
            </w:r>
            <w:r>
              <w:rPr>
                <w:color w:val="231F1F"/>
                <w:sz w:val="22"/>
              </w:rPr>
              <w:t>recomienda</w:t>
            </w:r>
            <w:r>
              <w:rPr>
                <w:color w:val="231F1F"/>
                <w:spacing w:val="33"/>
                <w:sz w:val="22"/>
              </w:rPr>
              <w:t> </w:t>
            </w:r>
            <w:r>
              <w:rPr>
                <w:color w:val="231F1F"/>
                <w:sz w:val="22"/>
              </w:rPr>
              <w:t>la</w:t>
            </w:r>
            <w:r>
              <w:rPr>
                <w:color w:val="231F1F"/>
                <w:spacing w:val="33"/>
                <w:sz w:val="22"/>
              </w:rPr>
              <w:t> </w:t>
            </w:r>
            <w:r>
              <w:rPr>
                <w:color w:val="231F1F"/>
                <w:sz w:val="22"/>
              </w:rPr>
              <w:t>realización</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profilaxis</w:t>
            </w:r>
            <w:r>
              <w:rPr>
                <w:color w:val="231F1F"/>
                <w:spacing w:val="33"/>
                <w:sz w:val="22"/>
              </w:rPr>
              <w:t> </w:t>
            </w:r>
            <w:r>
              <w:rPr>
                <w:color w:val="231F1F"/>
                <w:sz w:val="22"/>
              </w:rPr>
              <w:t>oftálmica</w:t>
            </w:r>
            <w:r>
              <w:rPr>
                <w:color w:val="231F1F"/>
                <w:spacing w:val="33"/>
                <w:sz w:val="22"/>
              </w:rPr>
              <w:t> </w:t>
            </w:r>
            <w:r>
              <w:rPr>
                <w:color w:val="231F1F"/>
                <w:sz w:val="22"/>
              </w:rPr>
              <w:t>en</w:t>
            </w:r>
            <w:r>
              <w:rPr>
                <w:color w:val="231F1F"/>
                <w:spacing w:val="33"/>
                <w:sz w:val="22"/>
              </w:rPr>
              <w:t> </w:t>
            </w:r>
            <w:r>
              <w:rPr>
                <w:color w:val="231F1F"/>
                <w:sz w:val="22"/>
              </w:rPr>
              <w:t>la</w:t>
            </w:r>
            <w:r>
              <w:rPr>
                <w:color w:val="231F1F"/>
                <w:spacing w:val="33"/>
                <w:sz w:val="22"/>
              </w:rPr>
              <w:t> </w:t>
            </w:r>
            <w:r>
              <w:rPr>
                <w:color w:val="231F1F"/>
                <w:sz w:val="22"/>
              </w:rPr>
              <w:t>atención</w:t>
            </w:r>
            <w:r>
              <w:rPr>
                <w:color w:val="231F1F"/>
                <w:spacing w:val="33"/>
                <w:sz w:val="22"/>
              </w:rPr>
              <w:t> </w:t>
            </w:r>
            <w:r>
              <w:rPr>
                <w:color w:val="231F1F"/>
                <w:sz w:val="22"/>
              </w:rPr>
              <w:t>rutinaria</w:t>
            </w:r>
            <w:r>
              <w:rPr>
                <w:color w:val="231F1F"/>
                <w:spacing w:val="33"/>
                <w:sz w:val="22"/>
              </w:rPr>
              <w:t> </w:t>
            </w:r>
            <w:r>
              <w:rPr>
                <w:color w:val="231F1F"/>
                <w:sz w:val="22"/>
              </w:rPr>
              <w:t>al </w:t>
            </w:r>
            <w:r>
              <w:rPr>
                <w:color w:val="231F1F"/>
                <w:spacing w:val="-4"/>
                <w:w w:val="110"/>
                <w:sz w:val="22"/>
              </w:rPr>
              <w:t>RN.</w:t>
            </w:r>
          </w:p>
        </w:tc>
      </w:tr>
      <w:tr>
        <w:trPr>
          <w:trHeight w:val="393" w:hRule="atLeast"/>
        </w:trPr>
        <w:tc>
          <w:tcPr>
            <w:tcW w:w="8505" w:type="dxa"/>
            <w:gridSpan w:val="2"/>
          </w:tcPr>
          <w:p>
            <w:pPr>
              <w:pStyle w:val="TableParagraph"/>
              <w:spacing w:before="39"/>
              <w:rPr>
                <w:i/>
                <w:sz w:val="22"/>
              </w:rPr>
            </w:pPr>
            <w:r>
              <w:rPr>
                <w:i/>
                <w:color w:val="231F1F"/>
                <w:w w:val="105"/>
                <w:sz w:val="22"/>
              </w:rPr>
              <w:t>8.6.2.</w:t>
            </w:r>
            <w:r>
              <w:rPr>
                <w:i/>
                <w:color w:val="231F1F"/>
                <w:spacing w:val="-13"/>
                <w:w w:val="105"/>
                <w:sz w:val="22"/>
              </w:rPr>
              <w:t> </w:t>
            </w:r>
            <w:r>
              <w:rPr>
                <w:i/>
                <w:color w:val="231F1F"/>
                <w:w w:val="105"/>
                <w:sz w:val="22"/>
              </w:rPr>
              <w:t>Momento</w:t>
            </w:r>
            <w:r>
              <w:rPr>
                <w:i/>
                <w:color w:val="231F1F"/>
                <w:spacing w:val="-12"/>
                <w:w w:val="105"/>
                <w:sz w:val="22"/>
              </w:rPr>
              <w:t> </w:t>
            </w:r>
            <w:r>
              <w:rPr>
                <w:i/>
                <w:color w:val="231F1F"/>
                <w:w w:val="105"/>
                <w:sz w:val="22"/>
              </w:rPr>
              <w:t>idóneo</w:t>
            </w:r>
            <w:r>
              <w:rPr>
                <w:i/>
                <w:color w:val="231F1F"/>
                <w:spacing w:val="-12"/>
                <w:w w:val="105"/>
                <w:sz w:val="22"/>
              </w:rPr>
              <w:t> </w:t>
            </w:r>
            <w:r>
              <w:rPr>
                <w:i/>
                <w:color w:val="231F1F"/>
                <w:w w:val="105"/>
                <w:sz w:val="22"/>
              </w:rPr>
              <w:t>para</w:t>
            </w:r>
            <w:r>
              <w:rPr>
                <w:i/>
                <w:color w:val="231F1F"/>
                <w:spacing w:val="-12"/>
                <w:w w:val="105"/>
                <w:sz w:val="22"/>
              </w:rPr>
              <w:t> </w:t>
            </w:r>
            <w:r>
              <w:rPr>
                <w:i/>
                <w:color w:val="231F1F"/>
                <w:w w:val="105"/>
                <w:sz w:val="22"/>
              </w:rPr>
              <w:t>la</w:t>
            </w:r>
            <w:r>
              <w:rPr>
                <w:i/>
                <w:color w:val="231F1F"/>
                <w:spacing w:val="-12"/>
                <w:w w:val="105"/>
                <w:sz w:val="22"/>
              </w:rPr>
              <w:t> </w:t>
            </w:r>
            <w:r>
              <w:rPr>
                <w:i/>
                <w:color w:val="231F1F"/>
                <w:w w:val="105"/>
                <w:sz w:val="22"/>
              </w:rPr>
              <w:t>profilaxis</w:t>
            </w:r>
            <w:r>
              <w:rPr>
                <w:i/>
                <w:color w:val="231F1F"/>
                <w:spacing w:val="-13"/>
                <w:w w:val="105"/>
                <w:sz w:val="22"/>
              </w:rPr>
              <w:t> </w:t>
            </w:r>
            <w:r>
              <w:rPr>
                <w:i/>
                <w:color w:val="231F1F"/>
                <w:spacing w:val="-2"/>
                <w:w w:val="105"/>
                <w:sz w:val="22"/>
              </w:rPr>
              <w:t>oftálmica</w:t>
            </w:r>
          </w:p>
        </w:tc>
      </w:tr>
      <w:tr>
        <w:trPr>
          <w:trHeight w:val="676" w:hRule="atLeast"/>
        </w:trPr>
        <w:tc>
          <w:tcPr>
            <w:tcW w:w="571" w:type="dxa"/>
          </w:tcPr>
          <w:p>
            <w:pPr>
              <w:pStyle w:val="TableParagraph"/>
              <w:spacing w:before="196"/>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9" w:lineRule="auto" w:before="39"/>
              <w:ind w:left="117"/>
              <w:rPr>
                <w:sz w:val="22"/>
              </w:rPr>
            </w:pPr>
            <w:r>
              <w:rPr>
                <w:color w:val="231F1F"/>
                <w:w w:val="110"/>
                <w:sz w:val="22"/>
              </w:rPr>
              <w:t>El</w:t>
            </w:r>
            <w:r>
              <w:rPr>
                <w:color w:val="231F1F"/>
                <w:spacing w:val="-10"/>
                <w:w w:val="110"/>
                <w:sz w:val="22"/>
              </w:rPr>
              <w:t> </w:t>
            </w:r>
            <w:r>
              <w:rPr>
                <w:color w:val="231F1F"/>
                <w:w w:val="110"/>
                <w:sz w:val="22"/>
              </w:rPr>
              <w:t>tiempo</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administración</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profilaxis</w:t>
            </w:r>
            <w:r>
              <w:rPr>
                <w:color w:val="231F1F"/>
                <w:spacing w:val="-10"/>
                <w:w w:val="110"/>
                <w:sz w:val="22"/>
              </w:rPr>
              <w:t> </w:t>
            </w:r>
            <w:r>
              <w:rPr>
                <w:color w:val="231F1F"/>
                <w:w w:val="110"/>
                <w:sz w:val="22"/>
              </w:rPr>
              <w:t>oftálmica</w:t>
            </w:r>
            <w:r>
              <w:rPr>
                <w:color w:val="231F1F"/>
                <w:spacing w:val="-10"/>
                <w:w w:val="110"/>
                <w:sz w:val="22"/>
              </w:rPr>
              <w:t> </w:t>
            </w:r>
            <w:r>
              <w:rPr>
                <w:color w:val="231F1F"/>
                <w:w w:val="110"/>
                <w:sz w:val="22"/>
              </w:rPr>
              <w:t>puede</w:t>
            </w:r>
            <w:r>
              <w:rPr>
                <w:color w:val="231F1F"/>
                <w:spacing w:val="-10"/>
                <w:w w:val="110"/>
                <w:sz w:val="22"/>
              </w:rPr>
              <w:t> </w:t>
            </w:r>
            <w:r>
              <w:rPr>
                <w:color w:val="231F1F"/>
                <w:w w:val="110"/>
                <w:sz w:val="22"/>
              </w:rPr>
              <w:t>ampliarse</w:t>
            </w:r>
            <w:r>
              <w:rPr>
                <w:color w:val="231F1F"/>
                <w:spacing w:val="-10"/>
                <w:w w:val="110"/>
                <w:sz w:val="22"/>
              </w:rPr>
              <w:t> </w:t>
            </w:r>
            <w:r>
              <w:rPr>
                <w:color w:val="231F1F"/>
                <w:w w:val="110"/>
                <w:sz w:val="22"/>
              </w:rPr>
              <w:t>hasta</w:t>
            </w:r>
            <w:r>
              <w:rPr>
                <w:color w:val="231F1F"/>
                <w:spacing w:val="-10"/>
                <w:w w:val="110"/>
                <w:sz w:val="22"/>
              </w:rPr>
              <w:t> </w:t>
            </w:r>
            <w:r>
              <w:rPr>
                <w:color w:val="231F1F"/>
                <w:w w:val="110"/>
                <w:sz w:val="22"/>
              </w:rPr>
              <w:t>las</w:t>
            </w:r>
            <w:r>
              <w:rPr>
                <w:color w:val="231F1F"/>
                <w:spacing w:val="-10"/>
                <w:w w:val="110"/>
                <w:sz w:val="22"/>
              </w:rPr>
              <w:t> </w:t>
            </w:r>
            <w:r>
              <w:rPr>
                <w:color w:val="231F1F"/>
                <w:w w:val="110"/>
                <w:sz w:val="22"/>
              </w:rPr>
              <w:t>4 horas tras el nacimiento.</w:t>
            </w:r>
          </w:p>
        </w:tc>
      </w:tr>
      <w:tr>
        <w:trPr>
          <w:trHeight w:val="393" w:hRule="atLeast"/>
        </w:trPr>
        <w:tc>
          <w:tcPr>
            <w:tcW w:w="8505" w:type="dxa"/>
            <w:gridSpan w:val="2"/>
          </w:tcPr>
          <w:p>
            <w:pPr>
              <w:pStyle w:val="TableParagraph"/>
              <w:spacing w:before="34"/>
              <w:rPr>
                <w:i/>
                <w:sz w:val="22"/>
              </w:rPr>
            </w:pPr>
            <w:r>
              <w:rPr>
                <w:i/>
                <w:color w:val="231F1F"/>
                <w:spacing w:val="-2"/>
                <w:w w:val="105"/>
                <w:sz w:val="22"/>
              </w:rPr>
              <w:t>8.6.3.</w:t>
            </w:r>
            <w:r>
              <w:rPr>
                <w:i/>
                <w:color w:val="231F1F"/>
                <w:spacing w:val="-6"/>
                <w:w w:val="105"/>
                <w:sz w:val="22"/>
              </w:rPr>
              <w:t> </w:t>
            </w:r>
            <w:r>
              <w:rPr>
                <w:i/>
                <w:color w:val="231F1F"/>
                <w:spacing w:val="-2"/>
                <w:w w:val="105"/>
                <w:sz w:val="22"/>
              </w:rPr>
              <w:t>Producto</w:t>
            </w:r>
            <w:r>
              <w:rPr>
                <w:i/>
                <w:color w:val="231F1F"/>
                <w:spacing w:val="-4"/>
                <w:w w:val="105"/>
                <w:sz w:val="22"/>
              </w:rPr>
              <w:t> </w:t>
            </w:r>
            <w:r>
              <w:rPr>
                <w:i/>
                <w:color w:val="231F1F"/>
                <w:spacing w:val="-2"/>
                <w:w w:val="105"/>
                <w:sz w:val="22"/>
              </w:rPr>
              <w:t>más</w:t>
            </w:r>
            <w:r>
              <w:rPr>
                <w:i/>
                <w:color w:val="231F1F"/>
                <w:spacing w:val="-5"/>
                <w:w w:val="105"/>
                <w:sz w:val="22"/>
              </w:rPr>
              <w:t> </w:t>
            </w:r>
            <w:r>
              <w:rPr>
                <w:i/>
                <w:color w:val="231F1F"/>
                <w:spacing w:val="-2"/>
                <w:w w:val="105"/>
                <w:sz w:val="22"/>
              </w:rPr>
              <w:t>eficaz</w:t>
            </w:r>
            <w:r>
              <w:rPr>
                <w:i/>
                <w:color w:val="231F1F"/>
                <w:spacing w:val="-4"/>
                <w:w w:val="105"/>
                <w:sz w:val="22"/>
              </w:rPr>
              <w:t> </w:t>
            </w:r>
            <w:r>
              <w:rPr>
                <w:i/>
                <w:color w:val="231F1F"/>
                <w:spacing w:val="-2"/>
                <w:w w:val="105"/>
                <w:sz w:val="22"/>
              </w:rPr>
              <w:t>para</w:t>
            </w:r>
            <w:r>
              <w:rPr>
                <w:i/>
                <w:color w:val="231F1F"/>
                <w:spacing w:val="-4"/>
                <w:w w:val="105"/>
                <w:sz w:val="22"/>
              </w:rPr>
              <w:t> </w:t>
            </w:r>
            <w:r>
              <w:rPr>
                <w:i/>
                <w:color w:val="231F1F"/>
                <w:spacing w:val="-2"/>
                <w:w w:val="105"/>
                <w:sz w:val="22"/>
              </w:rPr>
              <w:t>la</w:t>
            </w:r>
            <w:r>
              <w:rPr>
                <w:i/>
                <w:color w:val="231F1F"/>
                <w:spacing w:val="-4"/>
                <w:w w:val="105"/>
                <w:sz w:val="22"/>
              </w:rPr>
              <w:t> </w:t>
            </w:r>
            <w:r>
              <w:rPr>
                <w:i/>
                <w:color w:val="231F1F"/>
                <w:spacing w:val="-2"/>
                <w:w w:val="105"/>
                <w:sz w:val="22"/>
              </w:rPr>
              <w:t>profilaxis</w:t>
            </w:r>
            <w:r>
              <w:rPr>
                <w:i/>
                <w:color w:val="231F1F"/>
                <w:spacing w:val="-6"/>
                <w:w w:val="105"/>
                <w:sz w:val="22"/>
              </w:rPr>
              <w:t> </w:t>
            </w:r>
            <w:r>
              <w:rPr>
                <w:i/>
                <w:color w:val="231F1F"/>
                <w:spacing w:val="-2"/>
                <w:w w:val="105"/>
                <w:sz w:val="22"/>
              </w:rPr>
              <w:t>oftálmica</w:t>
            </w:r>
            <w:r>
              <w:rPr>
                <w:i/>
                <w:color w:val="231F1F"/>
                <w:spacing w:val="-7"/>
                <w:w w:val="105"/>
                <w:sz w:val="22"/>
              </w:rPr>
              <w:t> </w:t>
            </w:r>
            <w:r>
              <w:rPr>
                <w:i/>
                <w:color w:val="231F1F"/>
                <w:spacing w:val="-2"/>
                <w:w w:val="105"/>
                <w:sz w:val="22"/>
              </w:rPr>
              <w:t>del</w:t>
            </w:r>
            <w:r>
              <w:rPr>
                <w:i/>
                <w:color w:val="231F1F"/>
                <w:spacing w:val="-4"/>
                <w:w w:val="105"/>
                <w:sz w:val="22"/>
              </w:rPr>
              <w:t> </w:t>
            </w:r>
            <w:r>
              <w:rPr>
                <w:i/>
                <w:color w:val="231F1F"/>
                <w:spacing w:val="-5"/>
                <w:w w:val="105"/>
                <w:sz w:val="22"/>
              </w:rPr>
              <w:t>RN</w:t>
            </w:r>
          </w:p>
        </w:tc>
      </w:tr>
      <w:tr>
        <w:trPr>
          <w:trHeight w:val="1233" w:hRule="atLeast"/>
        </w:trPr>
        <w:tc>
          <w:tcPr>
            <w:tcW w:w="571" w:type="dxa"/>
          </w:tcPr>
          <w:p>
            <w:pPr>
              <w:pStyle w:val="TableParagraph"/>
              <w:spacing w:before="222"/>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39"/>
              <w:ind w:left="117" w:right="88"/>
              <w:jc w:val="both"/>
              <w:rPr>
                <w:sz w:val="22"/>
              </w:rPr>
            </w:pPr>
            <w:r>
              <w:rPr>
                <w:color w:val="231F1F"/>
                <w:w w:val="110"/>
                <w:sz w:val="22"/>
              </w:rPr>
              <w:t>Se</w:t>
            </w:r>
            <w:r>
              <w:rPr>
                <w:color w:val="231F1F"/>
                <w:spacing w:val="-13"/>
                <w:w w:val="110"/>
                <w:sz w:val="22"/>
              </w:rPr>
              <w:t> </w:t>
            </w:r>
            <w:r>
              <w:rPr>
                <w:color w:val="231F1F"/>
                <w:w w:val="110"/>
                <w:sz w:val="22"/>
              </w:rPr>
              <w:t>recomienda</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utilización</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pomada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eritromicina</w:t>
            </w:r>
            <w:r>
              <w:rPr>
                <w:color w:val="231F1F"/>
                <w:spacing w:val="-14"/>
                <w:w w:val="110"/>
                <w:sz w:val="22"/>
              </w:rPr>
              <w:t> </w:t>
            </w:r>
            <w:r>
              <w:rPr>
                <w:color w:val="231F1F"/>
                <w:w w:val="110"/>
                <w:sz w:val="22"/>
              </w:rPr>
              <w:t>al</w:t>
            </w:r>
            <w:r>
              <w:rPr>
                <w:color w:val="231F1F"/>
                <w:spacing w:val="-13"/>
                <w:w w:val="110"/>
                <w:sz w:val="22"/>
              </w:rPr>
              <w:t> </w:t>
            </w:r>
            <w:r>
              <w:rPr>
                <w:color w:val="231F1F"/>
                <w:w w:val="110"/>
                <w:sz w:val="22"/>
              </w:rPr>
              <w:t>0.5%,</w:t>
            </w:r>
            <w:r>
              <w:rPr>
                <w:color w:val="231F1F"/>
                <w:spacing w:val="-14"/>
                <w:w w:val="110"/>
                <w:sz w:val="22"/>
              </w:rPr>
              <w:t> </w:t>
            </w:r>
            <w:r>
              <w:rPr>
                <w:color w:val="231F1F"/>
                <w:w w:val="110"/>
                <w:sz w:val="22"/>
              </w:rPr>
              <w:t>y</w:t>
            </w:r>
            <w:r>
              <w:rPr>
                <w:color w:val="231F1F"/>
                <w:spacing w:val="-13"/>
                <w:w w:val="110"/>
                <w:sz w:val="22"/>
              </w:rPr>
              <w:t> </w:t>
            </w:r>
            <w:r>
              <w:rPr>
                <w:color w:val="231F1F"/>
                <w:w w:val="110"/>
                <w:sz w:val="22"/>
              </w:rPr>
              <w:t>como</w:t>
            </w:r>
            <w:r>
              <w:rPr>
                <w:color w:val="231F1F"/>
                <w:spacing w:val="-13"/>
                <w:w w:val="110"/>
                <w:sz w:val="22"/>
              </w:rPr>
              <w:t> </w:t>
            </w:r>
            <w:r>
              <w:rPr>
                <w:color w:val="231F1F"/>
                <w:w w:val="110"/>
                <w:sz w:val="22"/>
              </w:rPr>
              <w:t>alterna- tiva</w:t>
            </w:r>
            <w:r>
              <w:rPr>
                <w:color w:val="231F1F"/>
                <w:spacing w:val="-2"/>
                <w:w w:val="110"/>
                <w:sz w:val="22"/>
              </w:rPr>
              <w:t> </w:t>
            </w:r>
            <w:r>
              <w:rPr>
                <w:color w:val="231F1F"/>
                <w:w w:val="110"/>
                <w:sz w:val="22"/>
              </w:rPr>
              <w:t>tetraciclina</w:t>
            </w:r>
            <w:r>
              <w:rPr>
                <w:color w:val="231F1F"/>
                <w:spacing w:val="-1"/>
                <w:w w:val="110"/>
                <w:sz w:val="22"/>
              </w:rPr>
              <w:t> </w:t>
            </w:r>
            <w:r>
              <w:rPr>
                <w:color w:val="231F1F"/>
                <w:w w:val="110"/>
                <w:sz w:val="22"/>
              </w:rPr>
              <w:t>al</w:t>
            </w:r>
            <w:r>
              <w:rPr>
                <w:color w:val="231F1F"/>
                <w:spacing w:val="-3"/>
                <w:w w:val="110"/>
                <w:sz w:val="22"/>
              </w:rPr>
              <w:t> </w:t>
            </w:r>
            <w:r>
              <w:rPr>
                <w:color w:val="231F1F"/>
                <w:w w:val="110"/>
                <w:sz w:val="22"/>
              </w:rPr>
              <w:t>1%,</w:t>
            </w:r>
            <w:r>
              <w:rPr>
                <w:color w:val="231F1F"/>
                <w:spacing w:val="-3"/>
                <w:w w:val="110"/>
                <w:sz w:val="22"/>
              </w:rPr>
              <w:t> </w:t>
            </w:r>
            <w:r>
              <w:rPr>
                <w:color w:val="231F1F"/>
                <w:w w:val="110"/>
                <w:sz w:val="22"/>
              </w:rPr>
              <w:t>para</w:t>
            </w:r>
            <w:r>
              <w:rPr>
                <w:color w:val="231F1F"/>
                <w:spacing w:val="-2"/>
                <w:w w:val="110"/>
                <w:sz w:val="22"/>
              </w:rPr>
              <w:t> </w:t>
            </w:r>
            <w:r>
              <w:rPr>
                <w:color w:val="231F1F"/>
                <w:w w:val="110"/>
                <w:sz w:val="22"/>
              </w:rPr>
              <w:t>la</w:t>
            </w:r>
            <w:r>
              <w:rPr>
                <w:color w:val="231F1F"/>
                <w:spacing w:val="-2"/>
                <w:w w:val="110"/>
                <w:sz w:val="22"/>
              </w:rPr>
              <w:t> </w:t>
            </w:r>
            <w:r>
              <w:rPr>
                <w:color w:val="231F1F"/>
                <w:w w:val="110"/>
                <w:sz w:val="22"/>
              </w:rPr>
              <w:t>realización</w:t>
            </w:r>
            <w:r>
              <w:rPr>
                <w:color w:val="231F1F"/>
                <w:spacing w:val="-1"/>
                <w:w w:val="110"/>
                <w:sz w:val="22"/>
              </w:rPr>
              <w:t> </w:t>
            </w:r>
            <w:r>
              <w:rPr>
                <w:color w:val="231F1F"/>
                <w:w w:val="110"/>
                <w:sz w:val="22"/>
              </w:rPr>
              <w:t>de</w:t>
            </w:r>
            <w:r>
              <w:rPr>
                <w:color w:val="231F1F"/>
                <w:spacing w:val="-2"/>
                <w:w w:val="110"/>
                <w:sz w:val="22"/>
              </w:rPr>
              <w:t> </w:t>
            </w:r>
            <w:r>
              <w:rPr>
                <w:color w:val="231F1F"/>
                <w:w w:val="110"/>
                <w:sz w:val="22"/>
              </w:rPr>
              <w:t>profilaxis</w:t>
            </w:r>
            <w:r>
              <w:rPr>
                <w:color w:val="231F1F"/>
                <w:spacing w:val="-3"/>
                <w:w w:val="110"/>
                <w:sz w:val="22"/>
              </w:rPr>
              <w:t> </w:t>
            </w:r>
            <w:r>
              <w:rPr>
                <w:color w:val="231F1F"/>
                <w:w w:val="110"/>
                <w:sz w:val="22"/>
              </w:rPr>
              <w:t>oftálmica.</w:t>
            </w:r>
            <w:r>
              <w:rPr>
                <w:color w:val="231F1F"/>
                <w:spacing w:val="-3"/>
                <w:w w:val="110"/>
                <w:sz w:val="22"/>
              </w:rPr>
              <w:t> </w:t>
            </w:r>
            <w:r>
              <w:rPr>
                <w:color w:val="231F1F"/>
                <w:w w:val="110"/>
                <w:sz w:val="22"/>
              </w:rPr>
              <w:t>Solamente</w:t>
            </w:r>
            <w:r>
              <w:rPr>
                <w:color w:val="231F1F"/>
                <w:spacing w:val="-3"/>
                <w:w w:val="110"/>
                <w:sz w:val="22"/>
              </w:rPr>
              <w:t> </w:t>
            </w:r>
            <w:r>
              <w:rPr>
                <w:color w:val="231F1F"/>
                <w:w w:val="110"/>
                <w:sz w:val="22"/>
              </w:rPr>
              <w:t>en caso</w:t>
            </w:r>
            <w:r>
              <w:rPr>
                <w:color w:val="231F1F"/>
                <w:spacing w:val="-4"/>
                <w:w w:val="110"/>
                <w:sz w:val="22"/>
              </w:rPr>
              <w:t> </w:t>
            </w:r>
            <w:r>
              <w:rPr>
                <w:color w:val="231F1F"/>
                <w:w w:val="110"/>
                <w:sz w:val="22"/>
              </w:rPr>
              <w:t>de</w:t>
            </w:r>
            <w:r>
              <w:rPr>
                <w:color w:val="231F1F"/>
                <w:spacing w:val="-5"/>
                <w:w w:val="110"/>
                <w:sz w:val="22"/>
              </w:rPr>
              <w:t> </w:t>
            </w:r>
            <w:r>
              <w:rPr>
                <w:color w:val="231F1F"/>
                <w:w w:val="110"/>
                <w:sz w:val="22"/>
              </w:rPr>
              <w:t>no</w:t>
            </w:r>
            <w:r>
              <w:rPr>
                <w:color w:val="231F1F"/>
                <w:spacing w:val="-4"/>
                <w:w w:val="110"/>
                <w:sz w:val="22"/>
              </w:rPr>
              <w:t> </w:t>
            </w:r>
            <w:r>
              <w:rPr>
                <w:color w:val="231F1F"/>
                <w:w w:val="110"/>
                <w:sz w:val="22"/>
              </w:rPr>
              <w:t>disponer</w:t>
            </w:r>
            <w:r>
              <w:rPr>
                <w:color w:val="231F1F"/>
                <w:spacing w:val="-5"/>
                <w:w w:val="110"/>
                <w:sz w:val="22"/>
              </w:rPr>
              <w:t> </w:t>
            </w:r>
            <w:r>
              <w:rPr>
                <w:color w:val="231F1F"/>
                <w:w w:val="110"/>
                <w:sz w:val="22"/>
              </w:rPr>
              <w:t>de</w:t>
            </w:r>
            <w:r>
              <w:rPr>
                <w:color w:val="231F1F"/>
                <w:spacing w:val="-5"/>
                <w:w w:val="110"/>
                <w:sz w:val="22"/>
              </w:rPr>
              <w:t> </w:t>
            </w:r>
            <w:r>
              <w:rPr>
                <w:color w:val="231F1F"/>
                <w:w w:val="110"/>
                <w:sz w:val="22"/>
              </w:rPr>
              <w:t>eritromicina</w:t>
            </w:r>
            <w:r>
              <w:rPr>
                <w:color w:val="231F1F"/>
                <w:spacing w:val="-5"/>
                <w:w w:val="110"/>
                <w:sz w:val="22"/>
              </w:rPr>
              <w:t> </w:t>
            </w:r>
            <w:r>
              <w:rPr>
                <w:color w:val="231F1F"/>
                <w:w w:val="110"/>
                <w:sz w:val="22"/>
              </w:rPr>
              <w:t>o</w:t>
            </w:r>
            <w:r>
              <w:rPr>
                <w:color w:val="231F1F"/>
                <w:spacing w:val="-4"/>
                <w:w w:val="110"/>
                <w:sz w:val="22"/>
              </w:rPr>
              <w:t> </w:t>
            </w:r>
            <w:r>
              <w:rPr>
                <w:color w:val="231F1F"/>
                <w:w w:val="110"/>
                <w:sz w:val="22"/>
              </w:rPr>
              <w:t>tetraciclina</w:t>
            </w:r>
            <w:r>
              <w:rPr>
                <w:color w:val="231F1F"/>
                <w:spacing w:val="-4"/>
                <w:w w:val="110"/>
                <w:sz w:val="22"/>
              </w:rPr>
              <w:t> </w:t>
            </w:r>
            <w:r>
              <w:rPr>
                <w:color w:val="231F1F"/>
                <w:w w:val="110"/>
                <w:sz w:val="22"/>
              </w:rPr>
              <w:t>se</w:t>
            </w:r>
            <w:r>
              <w:rPr>
                <w:color w:val="231F1F"/>
                <w:spacing w:val="-5"/>
                <w:w w:val="110"/>
                <w:sz w:val="22"/>
              </w:rPr>
              <w:t> </w:t>
            </w:r>
            <w:r>
              <w:rPr>
                <w:color w:val="231F1F"/>
                <w:w w:val="110"/>
                <w:sz w:val="22"/>
              </w:rPr>
              <w:t>recomendaría</w:t>
            </w:r>
            <w:r>
              <w:rPr>
                <w:color w:val="231F1F"/>
                <w:spacing w:val="-5"/>
                <w:w w:val="110"/>
                <w:sz w:val="22"/>
              </w:rPr>
              <w:t> </w:t>
            </w:r>
            <w:r>
              <w:rPr>
                <w:color w:val="231F1F"/>
                <w:w w:val="110"/>
                <w:sz w:val="22"/>
              </w:rPr>
              <w:t>la</w:t>
            </w:r>
            <w:r>
              <w:rPr>
                <w:color w:val="231F1F"/>
                <w:spacing w:val="-4"/>
                <w:w w:val="110"/>
                <w:sz w:val="22"/>
              </w:rPr>
              <w:t> </w:t>
            </w:r>
            <w:r>
              <w:rPr>
                <w:color w:val="231F1F"/>
                <w:w w:val="110"/>
                <w:sz w:val="22"/>
              </w:rPr>
              <w:t>utilización de nitrato de plata al 1%.</w:t>
            </w:r>
          </w:p>
        </w:tc>
      </w:tr>
      <w:tr>
        <w:trPr>
          <w:trHeight w:val="393" w:hRule="atLeast"/>
        </w:trPr>
        <w:tc>
          <w:tcPr>
            <w:tcW w:w="8505" w:type="dxa"/>
            <w:gridSpan w:val="2"/>
          </w:tcPr>
          <w:p>
            <w:pPr>
              <w:pStyle w:val="TableParagraph"/>
              <w:spacing w:before="53"/>
              <w:rPr>
                <w:sz w:val="22"/>
              </w:rPr>
            </w:pPr>
            <w:r>
              <w:rPr>
                <w:color w:val="231F1F"/>
                <w:sz w:val="22"/>
              </w:rPr>
              <w:t>8.7.</w:t>
            </w:r>
            <w:r>
              <w:rPr>
                <w:color w:val="231F1F"/>
                <w:spacing w:val="29"/>
                <w:sz w:val="22"/>
              </w:rPr>
              <w:t> </w:t>
            </w:r>
            <w:r>
              <w:rPr>
                <w:color w:val="231F1F"/>
                <w:sz w:val="22"/>
              </w:rPr>
              <w:t>Profilaxis</w:t>
            </w:r>
            <w:r>
              <w:rPr>
                <w:color w:val="231F1F"/>
                <w:spacing w:val="31"/>
                <w:sz w:val="22"/>
              </w:rPr>
              <w:t> </w:t>
            </w:r>
            <w:r>
              <w:rPr>
                <w:color w:val="231F1F"/>
                <w:sz w:val="22"/>
              </w:rPr>
              <w:t>de</w:t>
            </w:r>
            <w:r>
              <w:rPr>
                <w:color w:val="231F1F"/>
                <w:spacing w:val="31"/>
                <w:sz w:val="22"/>
              </w:rPr>
              <w:t> </w:t>
            </w:r>
            <w:r>
              <w:rPr>
                <w:color w:val="231F1F"/>
                <w:sz w:val="22"/>
              </w:rPr>
              <w:t>la</w:t>
            </w:r>
            <w:r>
              <w:rPr>
                <w:color w:val="231F1F"/>
                <w:spacing w:val="31"/>
                <w:sz w:val="22"/>
              </w:rPr>
              <w:t> </w:t>
            </w:r>
            <w:r>
              <w:rPr>
                <w:color w:val="231F1F"/>
                <w:sz w:val="22"/>
              </w:rPr>
              <w:t>enfermedad</w:t>
            </w:r>
            <w:r>
              <w:rPr>
                <w:color w:val="231F1F"/>
                <w:spacing w:val="29"/>
                <w:sz w:val="22"/>
              </w:rPr>
              <w:t> </w:t>
            </w:r>
            <w:r>
              <w:rPr>
                <w:color w:val="231F1F"/>
                <w:sz w:val="22"/>
              </w:rPr>
              <w:t>hemorrágica</w:t>
            </w:r>
            <w:r>
              <w:rPr>
                <w:color w:val="231F1F"/>
                <w:spacing w:val="31"/>
                <w:sz w:val="22"/>
              </w:rPr>
              <w:t> </w:t>
            </w:r>
            <w:r>
              <w:rPr>
                <w:color w:val="231F1F"/>
                <w:sz w:val="22"/>
              </w:rPr>
              <w:t>con</w:t>
            </w:r>
            <w:r>
              <w:rPr>
                <w:color w:val="231F1F"/>
                <w:spacing w:val="31"/>
                <w:sz w:val="22"/>
              </w:rPr>
              <w:t> </w:t>
            </w:r>
            <w:r>
              <w:rPr>
                <w:color w:val="231F1F"/>
                <w:sz w:val="22"/>
              </w:rPr>
              <w:t>vitamina</w:t>
            </w:r>
            <w:r>
              <w:rPr>
                <w:color w:val="231F1F"/>
                <w:spacing w:val="31"/>
                <w:sz w:val="22"/>
              </w:rPr>
              <w:t> </w:t>
            </w:r>
            <w:r>
              <w:rPr>
                <w:color w:val="231F1F"/>
                <w:spacing w:val="-10"/>
                <w:sz w:val="22"/>
              </w:rPr>
              <w:t>K</w:t>
            </w:r>
          </w:p>
        </w:tc>
      </w:tr>
      <w:tr>
        <w:trPr>
          <w:trHeight w:val="388" w:hRule="atLeast"/>
        </w:trPr>
        <w:tc>
          <w:tcPr>
            <w:tcW w:w="8505" w:type="dxa"/>
            <w:gridSpan w:val="2"/>
          </w:tcPr>
          <w:p>
            <w:pPr>
              <w:pStyle w:val="TableParagraph"/>
              <w:spacing w:before="34"/>
              <w:rPr>
                <w:i/>
                <w:sz w:val="22"/>
              </w:rPr>
            </w:pPr>
            <w:r>
              <w:rPr>
                <w:i/>
                <w:color w:val="231F1F"/>
                <w:spacing w:val="-2"/>
                <w:w w:val="105"/>
                <w:sz w:val="22"/>
              </w:rPr>
              <w:t>8.7.1.</w:t>
            </w:r>
            <w:r>
              <w:rPr>
                <w:i/>
                <w:color w:val="231F1F"/>
                <w:spacing w:val="-7"/>
                <w:w w:val="105"/>
                <w:sz w:val="22"/>
              </w:rPr>
              <w:t> </w:t>
            </w:r>
            <w:r>
              <w:rPr>
                <w:i/>
                <w:color w:val="231F1F"/>
                <w:spacing w:val="-2"/>
                <w:w w:val="105"/>
                <w:sz w:val="22"/>
              </w:rPr>
              <w:t>Profilaxis</w:t>
            </w:r>
            <w:r>
              <w:rPr>
                <w:i/>
                <w:color w:val="231F1F"/>
                <w:spacing w:val="-6"/>
                <w:w w:val="105"/>
                <w:sz w:val="22"/>
              </w:rPr>
              <w:t> </w:t>
            </w:r>
            <w:r>
              <w:rPr>
                <w:i/>
                <w:color w:val="231F1F"/>
                <w:spacing w:val="-2"/>
                <w:w w:val="105"/>
                <w:sz w:val="22"/>
              </w:rPr>
              <w:t>neonatal</w:t>
            </w:r>
            <w:r>
              <w:rPr>
                <w:i/>
                <w:color w:val="231F1F"/>
                <w:spacing w:val="-7"/>
                <w:w w:val="105"/>
                <w:sz w:val="22"/>
              </w:rPr>
              <w:t> </w:t>
            </w:r>
            <w:r>
              <w:rPr>
                <w:i/>
                <w:color w:val="231F1F"/>
                <w:spacing w:val="-2"/>
                <w:w w:val="105"/>
                <w:sz w:val="22"/>
              </w:rPr>
              <w:t>con</w:t>
            </w:r>
            <w:r>
              <w:rPr>
                <w:i/>
                <w:color w:val="231F1F"/>
                <w:spacing w:val="-6"/>
                <w:w w:val="105"/>
                <w:sz w:val="22"/>
              </w:rPr>
              <w:t> </w:t>
            </w:r>
            <w:r>
              <w:rPr>
                <w:i/>
                <w:color w:val="231F1F"/>
                <w:spacing w:val="-2"/>
                <w:w w:val="105"/>
                <w:sz w:val="22"/>
              </w:rPr>
              <w:t>vitamina</w:t>
            </w:r>
            <w:r>
              <w:rPr>
                <w:i/>
                <w:color w:val="231F1F"/>
                <w:spacing w:val="-5"/>
                <w:w w:val="105"/>
                <w:sz w:val="22"/>
              </w:rPr>
              <w:t> </w:t>
            </w:r>
            <w:r>
              <w:rPr>
                <w:i/>
                <w:color w:val="231F1F"/>
                <w:spacing w:val="-10"/>
                <w:w w:val="105"/>
                <w:sz w:val="22"/>
              </w:rPr>
              <w:t>K</w:t>
            </w:r>
          </w:p>
        </w:tc>
      </w:tr>
      <w:tr>
        <w:trPr>
          <w:trHeight w:val="676" w:hRule="atLeast"/>
        </w:trPr>
        <w:tc>
          <w:tcPr>
            <w:tcW w:w="571" w:type="dxa"/>
          </w:tcPr>
          <w:p>
            <w:pPr>
              <w:pStyle w:val="TableParagraph"/>
              <w:spacing w:before="183"/>
              <w:ind w:left="46" w:right="9"/>
              <w:jc w:val="center"/>
              <w:rPr>
                <w:sz w:val="22"/>
              </w:rPr>
            </w:pPr>
            <w:r>
              <w:rPr>
                <w:color w:val="231F1F"/>
                <w:spacing w:val="-10"/>
                <w:w w:val="115"/>
                <w:sz w:val="22"/>
              </w:rPr>
              <w:t>A</w:t>
            </w:r>
          </w:p>
        </w:tc>
        <w:tc>
          <w:tcPr>
            <w:tcW w:w="7934" w:type="dxa"/>
          </w:tcPr>
          <w:p>
            <w:pPr>
              <w:pStyle w:val="TableParagraph"/>
              <w:spacing w:line="244" w:lineRule="auto" w:before="53"/>
              <w:ind w:left="117"/>
              <w:rPr>
                <w:sz w:val="22"/>
              </w:rPr>
            </w:pPr>
            <w:r>
              <w:rPr>
                <w:color w:val="231F1F"/>
                <w:w w:val="105"/>
                <w:sz w:val="22"/>
              </w:rPr>
              <w:t>La</w:t>
            </w:r>
            <w:r>
              <w:rPr>
                <w:color w:val="231F1F"/>
                <w:w w:val="105"/>
                <w:sz w:val="22"/>
              </w:rPr>
              <w:t> profilaxis</w:t>
            </w:r>
            <w:r>
              <w:rPr>
                <w:color w:val="231F1F"/>
                <w:w w:val="105"/>
                <w:sz w:val="22"/>
              </w:rPr>
              <w:t> con</w:t>
            </w:r>
            <w:r>
              <w:rPr>
                <w:color w:val="231F1F"/>
                <w:w w:val="105"/>
                <w:sz w:val="22"/>
              </w:rPr>
              <w:t> vitamina</w:t>
            </w:r>
            <w:r>
              <w:rPr>
                <w:color w:val="231F1F"/>
                <w:w w:val="105"/>
                <w:sz w:val="22"/>
              </w:rPr>
              <w:t> K</w:t>
            </w:r>
            <w:r>
              <w:rPr>
                <w:color w:val="231F1F"/>
                <w:w w:val="105"/>
                <w:sz w:val="22"/>
              </w:rPr>
              <w:t> de</w:t>
            </w:r>
            <w:r>
              <w:rPr>
                <w:color w:val="231F1F"/>
                <w:w w:val="105"/>
                <w:sz w:val="22"/>
              </w:rPr>
              <w:t> los</w:t>
            </w:r>
            <w:r>
              <w:rPr>
                <w:color w:val="231F1F"/>
                <w:w w:val="105"/>
                <w:sz w:val="22"/>
              </w:rPr>
              <w:t> RN</w:t>
            </w:r>
            <w:r>
              <w:rPr>
                <w:color w:val="231F1F"/>
                <w:w w:val="105"/>
                <w:sz w:val="22"/>
              </w:rPr>
              <w:t> debería</w:t>
            </w:r>
            <w:r>
              <w:rPr>
                <w:color w:val="231F1F"/>
                <w:w w:val="105"/>
                <w:sz w:val="22"/>
              </w:rPr>
              <w:t> ser</w:t>
            </w:r>
            <w:r>
              <w:rPr>
                <w:color w:val="231F1F"/>
                <w:w w:val="105"/>
                <w:sz w:val="22"/>
              </w:rPr>
              <w:t> ofrecida</w:t>
            </w:r>
            <w:r>
              <w:rPr>
                <w:color w:val="231F1F"/>
                <w:w w:val="105"/>
                <w:sz w:val="22"/>
              </w:rPr>
              <w:t> para</w:t>
            </w:r>
            <w:r>
              <w:rPr>
                <w:color w:val="231F1F"/>
                <w:w w:val="105"/>
                <w:sz w:val="22"/>
              </w:rPr>
              <w:t> prevenir</w:t>
            </w:r>
            <w:r>
              <w:rPr>
                <w:color w:val="231F1F"/>
                <w:w w:val="105"/>
                <w:sz w:val="22"/>
              </w:rPr>
              <w:t> el</w:t>
            </w:r>
            <w:r>
              <w:rPr>
                <w:color w:val="231F1F"/>
                <w:w w:val="105"/>
                <w:sz w:val="22"/>
              </w:rPr>
              <w:t> raro, aunque</w:t>
            </w:r>
            <w:r>
              <w:rPr>
                <w:color w:val="231F1F"/>
                <w:spacing w:val="15"/>
                <w:w w:val="105"/>
                <w:sz w:val="22"/>
              </w:rPr>
              <w:t> </w:t>
            </w:r>
            <w:r>
              <w:rPr>
                <w:color w:val="231F1F"/>
                <w:w w:val="105"/>
                <w:sz w:val="22"/>
              </w:rPr>
              <w:t>grave</w:t>
            </w:r>
            <w:r>
              <w:rPr>
                <w:color w:val="231F1F"/>
                <w:spacing w:val="17"/>
                <w:w w:val="105"/>
                <w:sz w:val="22"/>
              </w:rPr>
              <w:t> </w:t>
            </w:r>
            <w:r>
              <w:rPr>
                <w:color w:val="231F1F"/>
                <w:w w:val="105"/>
                <w:sz w:val="22"/>
              </w:rPr>
              <w:t>y</w:t>
            </w:r>
            <w:r>
              <w:rPr>
                <w:color w:val="231F1F"/>
                <w:spacing w:val="18"/>
                <w:w w:val="105"/>
                <w:sz w:val="22"/>
              </w:rPr>
              <w:t> </w:t>
            </w:r>
            <w:r>
              <w:rPr>
                <w:color w:val="231F1F"/>
                <w:w w:val="105"/>
                <w:sz w:val="22"/>
              </w:rPr>
              <w:t>a</w:t>
            </w:r>
            <w:r>
              <w:rPr>
                <w:color w:val="231F1F"/>
                <w:spacing w:val="17"/>
                <w:w w:val="105"/>
                <w:sz w:val="22"/>
              </w:rPr>
              <w:t> </w:t>
            </w:r>
            <w:r>
              <w:rPr>
                <w:color w:val="231F1F"/>
                <w:w w:val="105"/>
                <w:sz w:val="22"/>
              </w:rPr>
              <w:t>veces</w:t>
            </w:r>
            <w:r>
              <w:rPr>
                <w:color w:val="231F1F"/>
                <w:spacing w:val="17"/>
                <w:w w:val="105"/>
                <w:sz w:val="22"/>
              </w:rPr>
              <w:t> </w:t>
            </w:r>
            <w:r>
              <w:rPr>
                <w:color w:val="231F1F"/>
                <w:w w:val="105"/>
                <w:sz w:val="22"/>
              </w:rPr>
              <w:t>fatal</w:t>
            </w:r>
            <w:r>
              <w:rPr>
                <w:color w:val="231F1F"/>
                <w:spacing w:val="17"/>
                <w:w w:val="105"/>
                <w:sz w:val="22"/>
              </w:rPr>
              <w:t> </w:t>
            </w:r>
            <w:r>
              <w:rPr>
                <w:color w:val="231F1F"/>
                <w:w w:val="105"/>
                <w:sz w:val="22"/>
              </w:rPr>
              <w:t>síndrome</w:t>
            </w:r>
            <w:r>
              <w:rPr>
                <w:color w:val="231F1F"/>
                <w:spacing w:val="17"/>
                <w:w w:val="105"/>
                <w:sz w:val="22"/>
              </w:rPr>
              <w:t> </w:t>
            </w:r>
            <w:r>
              <w:rPr>
                <w:color w:val="231F1F"/>
                <w:w w:val="105"/>
                <w:sz w:val="22"/>
              </w:rPr>
              <w:t>de</w:t>
            </w:r>
            <w:r>
              <w:rPr>
                <w:color w:val="231F1F"/>
                <w:spacing w:val="18"/>
                <w:w w:val="105"/>
                <w:sz w:val="22"/>
              </w:rPr>
              <w:t> </w:t>
            </w:r>
            <w:r>
              <w:rPr>
                <w:color w:val="231F1F"/>
                <w:w w:val="105"/>
                <w:sz w:val="22"/>
              </w:rPr>
              <w:t>hemorragia</w:t>
            </w:r>
            <w:r>
              <w:rPr>
                <w:color w:val="231F1F"/>
                <w:spacing w:val="17"/>
                <w:w w:val="105"/>
                <w:sz w:val="22"/>
              </w:rPr>
              <w:t> </w:t>
            </w:r>
            <w:r>
              <w:rPr>
                <w:color w:val="231F1F"/>
                <w:w w:val="105"/>
                <w:sz w:val="22"/>
              </w:rPr>
              <w:t>por</w:t>
            </w:r>
            <w:r>
              <w:rPr>
                <w:color w:val="231F1F"/>
                <w:spacing w:val="17"/>
                <w:w w:val="105"/>
                <w:sz w:val="22"/>
              </w:rPr>
              <w:t> </w:t>
            </w:r>
            <w:r>
              <w:rPr>
                <w:color w:val="231F1F"/>
                <w:w w:val="105"/>
                <w:sz w:val="22"/>
              </w:rPr>
              <w:t>déficit</w:t>
            </w:r>
            <w:r>
              <w:rPr>
                <w:color w:val="231F1F"/>
                <w:spacing w:val="14"/>
                <w:w w:val="105"/>
                <w:sz w:val="22"/>
              </w:rPr>
              <w:t> </w:t>
            </w:r>
            <w:r>
              <w:rPr>
                <w:color w:val="231F1F"/>
                <w:w w:val="105"/>
                <w:sz w:val="22"/>
              </w:rPr>
              <w:t>de</w:t>
            </w:r>
            <w:r>
              <w:rPr>
                <w:color w:val="231F1F"/>
                <w:spacing w:val="17"/>
                <w:w w:val="105"/>
                <w:sz w:val="22"/>
              </w:rPr>
              <w:t> </w:t>
            </w:r>
            <w:r>
              <w:rPr>
                <w:color w:val="231F1F"/>
                <w:w w:val="105"/>
                <w:sz w:val="22"/>
              </w:rPr>
              <w:t>vitamina</w:t>
            </w:r>
            <w:r>
              <w:rPr>
                <w:color w:val="231F1F"/>
                <w:spacing w:val="18"/>
                <w:w w:val="105"/>
                <w:sz w:val="22"/>
              </w:rPr>
              <w:t> </w:t>
            </w:r>
            <w:r>
              <w:rPr>
                <w:color w:val="231F1F"/>
                <w:spacing w:val="-5"/>
                <w:w w:val="105"/>
                <w:sz w:val="22"/>
              </w:rPr>
              <w:t>K.</w:t>
            </w:r>
          </w:p>
        </w:tc>
      </w:tr>
      <w:tr>
        <w:trPr>
          <w:trHeight w:val="393" w:hRule="atLeast"/>
        </w:trPr>
        <w:tc>
          <w:tcPr>
            <w:tcW w:w="8505" w:type="dxa"/>
            <w:gridSpan w:val="2"/>
          </w:tcPr>
          <w:p>
            <w:pPr>
              <w:pStyle w:val="TableParagraph"/>
              <w:spacing w:before="39"/>
              <w:rPr>
                <w:i/>
                <w:sz w:val="22"/>
              </w:rPr>
            </w:pPr>
            <w:r>
              <w:rPr>
                <w:i/>
                <w:color w:val="231F1F"/>
                <w:w w:val="105"/>
                <w:sz w:val="22"/>
              </w:rPr>
              <w:t>8.7.2.</w:t>
            </w:r>
            <w:r>
              <w:rPr>
                <w:i/>
                <w:color w:val="231F1F"/>
                <w:spacing w:val="-14"/>
                <w:w w:val="105"/>
                <w:sz w:val="22"/>
              </w:rPr>
              <w:t> </w:t>
            </w:r>
            <w:r>
              <w:rPr>
                <w:i/>
                <w:color w:val="231F1F"/>
                <w:w w:val="105"/>
                <w:sz w:val="22"/>
              </w:rPr>
              <w:t>Modo</w:t>
            </w:r>
            <w:r>
              <w:rPr>
                <w:i/>
                <w:color w:val="231F1F"/>
                <w:spacing w:val="-11"/>
                <w:w w:val="105"/>
                <w:sz w:val="22"/>
              </w:rPr>
              <w:t> </w:t>
            </w:r>
            <w:r>
              <w:rPr>
                <w:i/>
                <w:color w:val="231F1F"/>
                <w:w w:val="105"/>
                <w:sz w:val="22"/>
              </w:rPr>
              <w:t>de</w:t>
            </w:r>
            <w:r>
              <w:rPr>
                <w:i/>
                <w:color w:val="231F1F"/>
                <w:spacing w:val="-14"/>
                <w:w w:val="105"/>
                <w:sz w:val="22"/>
              </w:rPr>
              <w:t> </w:t>
            </w:r>
            <w:r>
              <w:rPr>
                <w:i/>
                <w:color w:val="231F1F"/>
                <w:w w:val="105"/>
                <w:sz w:val="22"/>
              </w:rPr>
              <w:t>administración</w:t>
            </w:r>
            <w:r>
              <w:rPr>
                <w:i/>
                <w:color w:val="231F1F"/>
                <w:spacing w:val="-13"/>
                <w:w w:val="105"/>
                <w:sz w:val="22"/>
              </w:rPr>
              <w:t> </w:t>
            </w:r>
            <w:r>
              <w:rPr>
                <w:i/>
                <w:color w:val="231F1F"/>
                <w:w w:val="105"/>
                <w:sz w:val="22"/>
              </w:rPr>
              <w:t>de</w:t>
            </w:r>
            <w:r>
              <w:rPr>
                <w:i/>
                <w:color w:val="231F1F"/>
                <w:spacing w:val="-14"/>
                <w:w w:val="105"/>
                <w:sz w:val="22"/>
              </w:rPr>
              <w:t> </w:t>
            </w:r>
            <w:r>
              <w:rPr>
                <w:i/>
                <w:color w:val="231F1F"/>
                <w:w w:val="105"/>
                <w:sz w:val="22"/>
              </w:rPr>
              <w:t>la</w:t>
            </w:r>
            <w:r>
              <w:rPr>
                <w:i/>
                <w:color w:val="231F1F"/>
                <w:spacing w:val="-11"/>
                <w:w w:val="105"/>
                <w:sz w:val="22"/>
              </w:rPr>
              <w:t> </w:t>
            </w:r>
            <w:r>
              <w:rPr>
                <w:i/>
                <w:color w:val="231F1F"/>
                <w:w w:val="105"/>
                <w:sz w:val="22"/>
              </w:rPr>
              <w:t>profilaxis</w:t>
            </w:r>
            <w:r>
              <w:rPr>
                <w:i/>
                <w:color w:val="231F1F"/>
                <w:spacing w:val="-14"/>
                <w:w w:val="105"/>
                <w:sz w:val="22"/>
              </w:rPr>
              <w:t> </w:t>
            </w:r>
            <w:r>
              <w:rPr>
                <w:i/>
                <w:color w:val="231F1F"/>
                <w:w w:val="105"/>
                <w:sz w:val="22"/>
              </w:rPr>
              <w:t>con</w:t>
            </w:r>
            <w:r>
              <w:rPr>
                <w:i/>
                <w:color w:val="231F1F"/>
                <w:spacing w:val="-13"/>
                <w:w w:val="105"/>
                <w:sz w:val="22"/>
              </w:rPr>
              <w:t> </w:t>
            </w:r>
            <w:r>
              <w:rPr>
                <w:i/>
                <w:color w:val="231F1F"/>
                <w:w w:val="105"/>
                <w:sz w:val="22"/>
              </w:rPr>
              <w:t>vitamina</w:t>
            </w:r>
            <w:r>
              <w:rPr>
                <w:i/>
                <w:color w:val="231F1F"/>
                <w:spacing w:val="-12"/>
                <w:w w:val="105"/>
                <w:sz w:val="22"/>
              </w:rPr>
              <w:t> </w:t>
            </w:r>
            <w:r>
              <w:rPr>
                <w:i/>
                <w:color w:val="231F1F"/>
                <w:spacing w:val="-10"/>
                <w:w w:val="105"/>
                <w:sz w:val="22"/>
              </w:rPr>
              <w:t>K</w:t>
            </w:r>
          </w:p>
        </w:tc>
      </w:tr>
      <w:tr>
        <w:trPr>
          <w:trHeight w:val="671" w:hRule="atLeast"/>
        </w:trPr>
        <w:tc>
          <w:tcPr>
            <w:tcW w:w="571" w:type="dxa"/>
          </w:tcPr>
          <w:p>
            <w:pPr>
              <w:pStyle w:val="TableParagraph"/>
              <w:spacing w:before="178"/>
              <w:ind w:left="46" w:right="9"/>
              <w:jc w:val="center"/>
              <w:rPr>
                <w:sz w:val="22"/>
              </w:rPr>
            </w:pPr>
            <w:r>
              <w:rPr>
                <w:color w:val="231F1F"/>
                <w:spacing w:val="-10"/>
                <w:w w:val="115"/>
                <w:sz w:val="22"/>
              </w:rPr>
              <w:t>A</w:t>
            </w:r>
          </w:p>
        </w:tc>
        <w:tc>
          <w:tcPr>
            <w:tcW w:w="7934" w:type="dxa"/>
          </w:tcPr>
          <w:p>
            <w:pPr>
              <w:pStyle w:val="TableParagraph"/>
              <w:spacing w:line="244" w:lineRule="auto" w:before="49"/>
              <w:ind w:left="117"/>
              <w:rPr>
                <w:sz w:val="22"/>
              </w:rPr>
            </w:pPr>
            <w:r>
              <w:rPr>
                <w:color w:val="231F1F"/>
                <w:w w:val="105"/>
                <w:sz w:val="22"/>
              </w:rPr>
              <w:t>Se</w:t>
            </w:r>
            <w:r>
              <w:rPr>
                <w:color w:val="231F1F"/>
                <w:w w:val="105"/>
                <w:sz w:val="22"/>
              </w:rPr>
              <w:t> recomienda</w:t>
            </w:r>
            <w:r>
              <w:rPr>
                <w:color w:val="231F1F"/>
                <w:w w:val="105"/>
                <w:sz w:val="22"/>
              </w:rPr>
              <w:t> administrar</w:t>
            </w:r>
            <w:r>
              <w:rPr>
                <w:color w:val="231F1F"/>
                <w:w w:val="105"/>
                <w:sz w:val="22"/>
              </w:rPr>
              <w:t> la</w:t>
            </w:r>
            <w:r>
              <w:rPr>
                <w:color w:val="231F1F"/>
                <w:w w:val="105"/>
                <w:sz w:val="22"/>
              </w:rPr>
              <w:t> vitamina</w:t>
            </w:r>
            <w:r>
              <w:rPr>
                <w:color w:val="231F1F"/>
                <w:w w:val="105"/>
                <w:sz w:val="22"/>
              </w:rPr>
              <w:t> K</w:t>
            </w:r>
            <w:r>
              <w:rPr>
                <w:color w:val="231F1F"/>
                <w:w w:val="105"/>
                <w:sz w:val="22"/>
              </w:rPr>
              <w:t> en</w:t>
            </w:r>
            <w:r>
              <w:rPr>
                <w:color w:val="231F1F"/>
                <w:w w:val="105"/>
                <w:sz w:val="22"/>
              </w:rPr>
              <w:t> dosis</w:t>
            </w:r>
            <w:r>
              <w:rPr>
                <w:color w:val="231F1F"/>
                <w:w w:val="105"/>
                <w:sz w:val="22"/>
              </w:rPr>
              <w:t> única por</w:t>
            </w:r>
            <w:r>
              <w:rPr>
                <w:color w:val="231F1F"/>
                <w:w w:val="105"/>
                <w:sz w:val="22"/>
              </w:rPr>
              <w:t> vía</w:t>
            </w:r>
            <w:r>
              <w:rPr>
                <w:color w:val="231F1F"/>
                <w:w w:val="105"/>
                <w:sz w:val="22"/>
              </w:rPr>
              <w:t> IM</w:t>
            </w:r>
            <w:r>
              <w:rPr>
                <w:color w:val="231F1F"/>
                <w:w w:val="105"/>
                <w:sz w:val="22"/>
              </w:rPr>
              <w:t> (1</w:t>
            </w:r>
            <w:r>
              <w:rPr>
                <w:color w:val="231F1F"/>
                <w:w w:val="105"/>
                <w:sz w:val="22"/>
              </w:rPr>
              <w:t> mg)</w:t>
            </w:r>
            <w:r>
              <w:rPr>
                <w:color w:val="231F1F"/>
                <w:w w:val="105"/>
                <w:sz w:val="22"/>
              </w:rPr>
              <w:t> ya</w:t>
            </w:r>
            <w:r>
              <w:rPr>
                <w:color w:val="231F1F"/>
                <w:w w:val="105"/>
                <w:sz w:val="22"/>
              </w:rPr>
              <w:t> que este</w:t>
            </w:r>
            <w:r>
              <w:rPr>
                <w:color w:val="231F1F"/>
                <w:spacing w:val="40"/>
                <w:w w:val="105"/>
                <w:sz w:val="22"/>
              </w:rPr>
              <w:t> </w:t>
            </w:r>
            <w:r>
              <w:rPr>
                <w:color w:val="231F1F"/>
                <w:w w:val="105"/>
                <w:sz w:val="22"/>
              </w:rPr>
              <w:t>es</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método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administración</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presenta</w:t>
            </w:r>
            <w:r>
              <w:rPr>
                <w:color w:val="231F1F"/>
                <w:spacing w:val="40"/>
                <w:w w:val="105"/>
                <w:sz w:val="22"/>
              </w:rPr>
              <w:t> </w:t>
            </w:r>
            <w:r>
              <w:rPr>
                <w:color w:val="231F1F"/>
                <w:w w:val="105"/>
                <w:sz w:val="22"/>
              </w:rPr>
              <w:t>mejores</w:t>
            </w:r>
            <w:r>
              <w:rPr>
                <w:color w:val="231F1F"/>
                <w:spacing w:val="40"/>
                <w:w w:val="105"/>
                <w:sz w:val="22"/>
              </w:rPr>
              <w:t> </w:t>
            </w:r>
            <w:r>
              <w:rPr>
                <w:color w:val="231F1F"/>
                <w:w w:val="105"/>
                <w:sz w:val="22"/>
              </w:rPr>
              <w:t>resultados</w:t>
            </w:r>
            <w:r>
              <w:rPr>
                <w:color w:val="231F1F"/>
                <w:spacing w:val="40"/>
                <w:w w:val="105"/>
                <w:sz w:val="22"/>
              </w:rPr>
              <w:t> </w:t>
            </w:r>
            <w:r>
              <w:rPr>
                <w:color w:val="231F1F"/>
                <w:w w:val="105"/>
                <w:sz w:val="22"/>
              </w:rPr>
              <w:t>clínicos.</w:t>
            </w:r>
          </w:p>
        </w:tc>
      </w:tr>
      <w:tr>
        <w:trPr>
          <w:trHeight w:val="1233" w:hRule="atLeast"/>
        </w:trPr>
        <w:tc>
          <w:tcPr>
            <w:tcW w:w="571" w:type="dxa"/>
          </w:tcPr>
          <w:p>
            <w:pPr>
              <w:pStyle w:val="TableParagraph"/>
              <w:spacing w:before="222"/>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9"/>
              <w:ind w:left="117" w:right="84"/>
              <w:jc w:val="both"/>
              <w:rPr>
                <w:sz w:val="22"/>
              </w:rPr>
            </w:pPr>
            <w:r>
              <w:rPr>
                <w:color w:val="231F1F"/>
                <w:w w:val="105"/>
                <w:sz w:val="22"/>
              </w:rPr>
              <w:t>Si los padres rechazan la vía IM de la vitamina K, puede ofertarse la vía oral como segunda</w:t>
            </w:r>
            <w:r>
              <w:rPr>
                <w:color w:val="231F1F"/>
                <w:spacing w:val="23"/>
                <w:w w:val="105"/>
                <w:sz w:val="22"/>
              </w:rPr>
              <w:t> </w:t>
            </w:r>
            <w:r>
              <w:rPr>
                <w:color w:val="231F1F"/>
                <w:w w:val="105"/>
                <w:sz w:val="22"/>
              </w:rPr>
              <w:t>opción</w:t>
            </w:r>
            <w:r>
              <w:rPr>
                <w:color w:val="231F1F"/>
                <w:spacing w:val="23"/>
                <w:w w:val="105"/>
                <w:sz w:val="22"/>
              </w:rPr>
              <w:t> </w:t>
            </w:r>
            <w:r>
              <w:rPr>
                <w:color w:val="231F1F"/>
                <w:w w:val="105"/>
                <w:sz w:val="22"/>
              </w:rPr>
              <w:t>terapéutica,</w:t>
            </w:r>
            <w:r>
              <w:rPr>
                <w:color w:val="231F1F"/>
                <w:spacing w:val="23"/>
                <w:w w:val="105"/>
                <w:sz w:val="22"/>
              </w:rPr>
              <w:t> </w:t>
            </w:r>
            <w:r>
              <w:rPr>
                <w:color w:val="231F1F"/>
                <w:w w:val="105"/>
                <w:sz w:val="22"/>
              </w:rPr>
              <w:t>informándoles</w:t>
            </w:r>
            <w:r>
              <w:rPr>
                <w:color w:val="231F1F"/>
                <w:spacing w:val="23"/>
                <w:w w:val="105"/>
                <w:sz w:val="22"/>
              </w:rPr>
              <w:t> </w:t>
            </w:r>
            <w:r>
              <w:rPr>
                <w:color w:val="231F1F"/>
                <w:w w:val="105"/>
                <w:sz w:val="22"/>
              </w:rPr>
              <w:t>que</w:t>
            </w:r>
            <w:r>
              <w:rPr>
                <w:color w:val="231F1F"/>
                <w:spacing w:val="23"/>
                <w:w w:val="105"/>
                <w:sz w:val="22"/>
              </w:rPr>
              <w:t> </w:t>
            </w:r>
            <w:r>
              <w:rPr>
                <w:color w:val="231F1F"/>
                <w:w w:val="105"/>
                <w:sz w:val="22"/>
              </w:rPr>
              <w:t>requerirá</w:t>
            </w:r>
            <w:r>
              <w:rPr>
                <w:color w:val="231F1F"/>
                <w:spacing w:val="24"/>
                <w:w w:val="105"/>
                <w:sz w:val="22"/>
              </w:rPr>
              <w:t> </w:t>
            </w:r>
            <w:r>
              <w:rPr>
                <w:color w:val="231F1F"/>
                <w:w w:val="105"/>
                <w:sz w:val="22"/>
              </w:rPr>
              <w:t>dosis</w:t>
            </w:r>
            <w:r>
              <w:rPr>
                <w:color w:val="231F1F"/>
                <w:spacing w:val="23"/>
                <w:w w:val="105"/>
                <w:sz w:val="22"/>
              </w:rPr>
              <w:t> </w:t>
            </w:r>
            <w:r>
              <w:rPr>
                <w:color w:val="231F1F"/>
                <w:w w:val="105"/>
                <w:sz w:val="22"/>
              </w:rPr>
              <w:t>de</w:t>
            </w:r>
            <w:r>
              <w:rPr>
                <w:color w:val="231F1F"/>
                <w:spacing w:val="24"/>
                <w:w w:val="105"/>
                <w:sz w:val="22"/>
              </w:rPr>
              <w:t> </w:t>
            </w:r>
            <w:r>
              <w:rPr>
                <w:color w:val="231F1F"/>
                <w:w w:val="105"/>
                <w:sz w:val="22"/>
              </w:rPr>
              <w:t>1</w:t>
            </w:r>
            <w:r>
              <w:rPr>
                <w:color w:val="231F1F"/>
                <w:spacing w:val="24"/>
                <w:w w:val="105"/>
                <w:sz w:val="22"/>
              </w:rPr>
              <w:t> </w:t>
            </w:r>
            <w:r>
              <w:rPr>
                <w:color w:val="231F1F"/>
                <w:w w:val="105"/>
                <w:sz w:val="22"/>
              </w:rPr>
              <w:t>mg</w:t>
            </w:r>
            <w:r>
              <w:rPr>
                <w:color w:val="231F1F"/>
                <w:spacing w:val="24"/>
                <w:w w:val="105"/>
                <w:sz w:val="22"/>
              </w:rPr>
              <w:t> </w:t>
            </w:r>
            <w:r>
              <w:rPr>
                <w:color w:val="231F1F"/>
                <w:w w:val="105"/>
                <w:sz w:val="22"/>
              </w:rPr>
              <w:t>al</w:t>
            </w:r>
            <w:r>
              <w:rPr>
                <w:color w:val="231F1F"/>
                <w:spacing w:val="23"/>
                <w:w w:val="105"/>
                <w:sz w:val="22"/>
              </w:rPr>
              <w:t> </w:t>
            </w:r>
            <w:r>
              <w:rPr>
                <w:color w:val="231F1F"/>
                <w:w w:val="105"/>
                <w:sz w:val="22"/>
              </w:rPr>
              <w:t>nacer, a</w:t>
            </w:r>
            <w:r>
              <w:rPr>
                <w:color w:val="231F1F"/>
                <w:w w:val="105"/>
                <w:sz w:val="22"/>
              </w:rPr>
              <w:t> la</w:t>
            </w:r>
            <w:r>
              <w:rPr>
                <w:color w:val="231F1F"/>
                <w:w w:val="105"/>
                <w:sz w:val="22"/>
              </w:rPr>
              <w:t> semana</w:t>
            </w:r>
            <w:r>
              <w:rPr>
                <w:color w:val="231F1F"/>
                <w:w w:val="105"/>
                <w:sz w:val="22"/>
              </w:rPr>
              <w:t> y</w:t>
            </w:r>
            <w:r>
              <w:rPr>
                <w:color w:val="231F1F"/>
                <w:w w:val="105"/>
                <w:sz w:val="22"/>
              </w:rPr>
              <w:t> al</w:t>
            </w:r>
            <w:r>
              <w:rPr>
                <w:color w:val="231F1F"/>
                <w:w w:val="105"/>
                <w:sz w:val="22"/>
              </w:rPr>
              <w:t> mes.</w:t>
            </w:r>
            <w:r>
              <w:rPr>
                <w:color w:val="231F1F"/>
                <w:w w:val="105"/>
                <w:sz w:val="22"/>
              </w:rPr>
              <w:t> En</w:t>
            </w:r>
            <w:r>
              <w:rPr>
                <w:color w:val="231F1F"/>
                <w:w w:val="105"/>
                <w:sz w:val="22"/>
              </w:rPr>
              <w:t> caso</w:t>
            </w:r>
            <w:r>
              <w:rPr>
                <w:color w:val="231F1F"/>
                <w:w w:val="105"/>
                <w:sz w:val="22"/>
              </w:rPr>
              <w:t> de</w:t>
            </w:r>
            <w:r>
              <w:rPr>
                <w:color w:val="231F1F"/>
                <w:w w:val="105"/>
                <w:sz w:val="22"/>
              </w:rPr>
              <w:t> lactancia</w:t>
            </w:r>
            <w:r>
              <w:rPr>
                <w:color w:val="231F1F"/>
                <w:w w:val="105"/>
                <w:sz w:val="22"/>
              </w:rPr>
              <w:t> materna</w:t>
            </w:r>
            <w:r>
              <w:rPr>
                <w:color w:val="231F1F"/>
                <w:w w:val="105"/>
                <w:sz w:val="22"/>
              </w:rPr>
              <w:t> exclusiva,</w:t>
            </w:r>
            <w:r>
              <w:rPr>
                <w:color w:val="231F1F"/>
                <w:w w:val="105"/>
                <w:sz w:val="22"/>
              </w:rPr>
              <w:t> se</w:t>
            </w:r>
            <w:r>
              <w:rPr>
                <w:color w:val="231F1F"/>
                <w:w w:val="105"/>
                <w:sz w:val="22"/>
              </w:rPr>
              <w:t> administrarán dosis adicionales.</w:t>
            </w:r>
          </w:p>
        </w:tc>
      </w:tr>
    </w:tbl>
    <w:p>
      <w:pPr>
        <w:pStyle w:val="BodyText"/>
        <w:spacing w:before="124"/>
        <w:rPr>
          <w:rFonts w:ascii="Arial MT"/>
          <w:sz w:val="24"/>
        </w:rPr>
      </w:pPr>
    </w:p>
    <w:p>
      <w:pPr>
        <w:spacing w:before="0"/>
        <w:ind w:left="283" w:right="0" w:firstLine="0"/>
        <w:jc w:val="left"/>
        <w:rPr>
          <w:rFonts w:ascii="Arial MT"/>
          <w:sz w:val="24"/>
        </w:rPr>
      </w:pPr>
      <w:r>
        <w:rPr>
          <w:rFonts w:ascii="Arial MT"/>
          <w:color w:val="231F1F"/>
          <w:w w:val="105"/>
          <w:sz w:val="24"/>
        </w:rPr>
        <w:t>Alivio</w:t>
      </w:r>
      <w:r>
        <w:rPr>
          <w:rFonts w:ascii="Arial MT"/>
          <w:color w:val="231F1F"/>
          <w:spacing w:val="-9"/>
          <w:w w:val="105"/>
          <w:sz w:val="24"/>
        </w:rPr>
        <w:t> </w:t>
      </w:r>
      <w:r>
        <w:rPr>
          <w:rFonts w:ascii="Arial MT"/>
          <w:color w:val="231F1F"/>
          <w:w w:val="105"/>
          <w:sz w:val="24"/>
        </w:rPr>
        <w:t>del</w:t>
      </w:r>
      <w:r>
        <w:rPr>
          <w:rFonts w:ascii="Arial MT"/>
          <w:color w:val="231F1F"/>
          <w:spacing w:val="-10"/>
          <w:w w:val="105"/>
          <w:sz w:val="24"/>
        </w:rPr>
        <w:t> </w:t>
      </w:r>
      <w:r>
        <w:rPr>
          <w:rFonts w:ascii="Arial MT"/>
          <w:color w:val="231F1F"/>
          <w:w w:val="105"/>
          <w:sz w:val="24"/>
        </w:rPr>
        <w:t>dolor</w:t>
      </w:r>
      <w:r>
        <w:rPr>
          <w:rFonts w:ascii="Arial MT"/>
          <w:color w:val="231F1F"/>
          <w:spacing w:val="-8"/>
          <w:w w:val="105"/>
          <w:sz w:val="24"/>
        </w:rPr>
        <w:t> </w:t>
      </w:r>
      <w:r>
        <w:rPr>
          <w:rFonts w:ascii="Arial MT"/>
          <w:color w:val="231F1F"/>
          <w:w w:val="105"/>
          <w:sz w:val="24"/>
        </w:rPr>
        <w:t>durante</w:t>
      </w:r>
      <w:r>
        <w:rPr>
          <w:rFonts w:ascii="Arial MT"/>
          <w:color w:val="231F1F"/>
          <w:spacing w:val="-8"/>
          <w:w w:val="105"/>
          <w:sz w:val="24"/>
        </w:rPr>
        <w:t> </w:t>
      </w:r>
      <w:r>
        <w:rPr>
          <w:rFonts w:ascii="Arial MT"/>
          <w:color w:val="231F1F"/>
          <w:w w:val="105"/>
          <w:sz w:val="24"/>
        </w:rPr>
        <w:t>el</w:t>
      </w:r>
      <w:r>
        <w:rPr>
          <w:rFonts w:ascii="Arial MT"/>
          <w:color w:val="231F1F"/>
          <w:spacing w:val="-8"/>
          <w:w w:val="105"/>
          <w:sz w:val="24"/>
        </w:rPr>
        <w:t> </w:t>
      </w:r>
      <w:r>
        <w:rPr>
          <w:rFonts w:ascii="Arial MT"/>
          <w:color w:val="231F1F"/>
          <w:spacing w:val="-2"/>
          <w:w w:val="105"/>
          <w:sz w:val="24"/>
        </w:rPr>
        <w:t>parto</w:t>
      </w:r>
    </w:p>
    <w:p>
      <w:pPr>
        <w:pStyle w:val="BodyText"/>
        <w:spacing w:before="4"/>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69" w:hRule="atLeast"/>
        </w:trPr>
        <w:tc>
          <w:tcPr>
            <w:tcW w:w="8505" w:type="dxa"/>
            <w:gridSpan w:val="2"/>
          </w:tcPr>
          <w:p>
            <w:pPr>
              <w:pStyle w:val="TableParagraph"/>
              <w:spacing w:before="25"/>
              <w:rPr>
                <w:sz w:val="22"/>
              </w:rPr>
            </w:pPr>
            <w:r>
              <w:rPr>
                <w:color w:val="231F1F"/>
                <w:w w:val="105"/>
                <w:sz w:val="22"/>
              </w:rPr>
              <w:t>9.1.</w:t>
            </w:r>
            <w:r>
              <w:rPr>
                <w:color w:val="231F1F"/>
                <w:spacing w:val="-13"/>
                <w:w w:val="105"/>
                <w:sz w:val="22"/>
              </w:rPr>
              <w:t> </w:t>
            </w:r>
            <w:r>
              <w:rPr>
                <w:color w:val="231F1F"/>
                <w:w w:val="105"/>
                <w:sz w:val="22"/>
              </w:rPr>
              <w:t>Dolor,</w:t>
            </w:r>
            <w:r>
              <w:rPr>
                <w:color w:val="231F1F"/>
                <w:spacing w:val="-10"/>
                <w:w w:val="105"/>
                <w:sz w:val="22"/>
              </w:rPr>
              <w:t> </w:t>
            </w:r>
            <w:r>
              <w:rPr>
                <w:color w:val="231F1F"/>
                <w:w w:val="105"/>
                <w:sz w:val="22"/>
              </w:rPr>
              <w:t>analgesia</w:t>
            </w:r>
            <w:r>
              <w:rPr>
                <w:color w:val="231F1F"/>
                <w:spacing w:val="-10"/>
                <w:w w:val="105"/>
                <w:sz w:val="22"/>
              </w:rPr>
              <w:t> </w:t>
            </w:r>
            <w:r>
              <w:rPr>
                <w:color w:val="231F1F"/>
                <w:w w:val="105"/>
                <w:sz w:val="22"/>
              </w:rPr>
              <w:t>y</w:t>
            </w:r>
            <w:r>
              <w:rPr>
                <w:color w:val="231F1F"/>
                <w:spacing w:val="-9"/>
                <w:w w:val="105"/>
                <w:sz w:val="22"/>
              </w:rPr>
              <w:t> </w:t>
            </w:r>
            <w:r>
              <w:rPr>
                <w:color w:val="231F1F"/>
                <w:w w:val="105"/>
                <w:sz w:val="22"/>
              </w:rPr>
              <w:t>satisfacción</w:t>
            </w:r>
            <w:r>
              <w:rPr>
                <w:color w:val="231F1F"/>
                <w:spacing w:val="-11"/>
                <w:w w:val="105"/>
                <w:sz w:val="22"/>
              </w:rPr>
              <w:t> </w:t>
            </w:r>
            <w:r>
              <w:rPr>
                <w:color w:val="231F1F"/>
                <w:spacing w:val="-2"/>
                <w:w w:val="105"/>
                <w:sz w:val="22"/>
              </w:rPr>
              <w:t>materna</w:t>
            </w:r>
          </w:p>
        </w:tc>
      </w:tr>
      <w:tr>
        <w:trPr>
          <w:trHeight w:val="647" w:hRule="atLeast"/>
        </w:trPr>
        <w:tc>
          <w:tcPr>
            <w:tcW w:w="571" w:type="dxa"/>
          </w:tcPr>
          <w:p>
            <w:pPr>
              <w:pStyle w:val="TableParagraph"/>
              <w:spacing w:before="169"/>
              <w:ind w:left="46" w:right="7"/>
              <w:jc w:val="center"/>
              <w:rPr>
                <w:sz w:val="22"/>
              </w:rPr>
            </w:pPr>
            <w:r>
              <w:rPr>
                <w:color w:val="231F1F"/>
                <w:spacing w:val="-10"/>
                <w:w w:val="110"/>
                <w:sz w:val="22"/>
              </w:rPr>
              <w:t>B</w:t>
            </w:r>
          </w:p>
        </w:tc>
        <w:tc>
          <w:tcPr>
            <w:tcW w:w="7934" w:type="dxa"/>
          </w:tcPr>
          <w:p>
            <w:pPr>
              <w:pStyle w:val="TableParagraph"/>
              <w:spacing w:line="244" w:lineRule="auto" w:before="39"/>
              <w:ind w:left="117" w:right="163"/>
              <w:rPr>
                <w:sz w:val="22"/>
              </w:rPr>
            </w:pPr>
            <w:r>
              <w:rPr>
                <w:color w:val="231F1F"/>
                <w:sz w:val="22"/>
              </w:rPr>
              <w:t>Se</w:t>
            </w:r>
            <w:r>
              <w:rPr>
                <w:color w:val="231F1F"/>
                <w:spacing w:val="30"/>
                <w:sz w:val="22"/>
              </w:rPr>
              <w:t> </w:t>
            </w:r>
            <w:r>
              <w:rPr>
                <w:color w:val="231F1F"/>
                <w:sz w:val="22"/>
              </w:rPr>
              <w:t>recomienda</w:t>
            </w:r>
            <w:r>
              <w:rPr>
                <w:color w:val="231F1F"/>
                <w:spacing w:val="31"/>
                <w:sz w:val="22"/>
              </w:rPr>
              <w:t> </w:t>
            </w:r>
            <w:r>
              <w:rPr>
                <w:color w:val="231F1F"/>
                <w:sz w:val="22"/>
              </w:rPr>
              <w:t>satisfacer,</w:t>
            </w:r>
            <w:r>
              <w:rPr>
                <w:color w:val="231F1F"/>
                <w:spacing w:val="29"/>
                <w:sz w:val="22"/>
              </w:rPr>
              <w:t> </w:t>
            </w:r>
            <w:r>
              <w:rPr>
                <w:color w:val="231F1F"/>
                <w:sz w:val="22"/>
              </w:rPr>
              <w:t>en</w:t>
            </w:r>
            <w:r>
              <w:rPr>
                <w:color w:val="231F1F"/>
                <w:spacing w:val="30"/>
                <w:sz w:val="22"/>
              </w:rPr>
              <w:t> </w:t>
            </w:r>
            <w:r>
              <w:rPr>
                <w:color w:val="231F1F"/>
                <w:sz w:val="22"/>
              </w:rPr>
              <w:t>la</w:t>
            </w:r>
            <w:r>
              <w:rPr>
                <w:color w:val="231F1F"/>
                <w:spacing w:val="30"/>
                <w:sz w:val="22"/>
              </w:rPr>
              <w:t> </w:t>
            </w:r>
            <w:r>
              <w:rPr>
                <w:color w:val="231F1F"/>
                <w:sz w:val="22"/>
              </w:rPr>
              <w:t>medida</w:t>
            </w:r>
            <w:r>
              <w:rPr>
                <w:color w:val="231F1F"/>
                <w:spacing w:val="30"/>
                <w:sz w:val="22"/>
              </w:rPr>
              <w:t> </w:t>
            </w:r>
            <w:r>
              <w:rPr>
                <w:color w:val="231F1F"/>
                <w:sz w:val="22"/>
              </w:rPr>
              <w:t>de</w:t>
            </w:r>
            <w:r>
              <w:rPr>
                <w:color w:val="231F1F"/>
                <w:spacing w:val="30"/>
                <w:sz w:val="22"/>
              </w:rPr>
              <w:t> </w:t>
            </w:r>
            <w:r>
              <w:rPr>
                <w:color w:val="231F1F"/>
                <w:sz w:val="22"/>
              </w:rPr>
              <w:t>lo</w:t>
            </w:r>
            <w:r>
              <w:rPr>
                <w:color w:val="231F1F"/>
                <w:spacing w:val="30"/>
                <w:sz w:val="22"/>
              </w:rPr>
              <w:t> </w:t>
            </w:r>
            <w:r>
              <w:rPr>
                <w:color w:val="231F1F"/>
                <w:sz w:val="22"/>
              </w:rPr>
              <w:t>posible,</w:t>
            </w:r>
            <w:r>
              <w:rPr>
                <w:color w:val="231F1F"/>
                <w:spacing w:val="30"/>
                <w:sz w:val="22"/>
              </w:rPr>
              <w:t> </w:t>
            </w:r>
            <w:r>
              <w:rPr>
                <w:color w:val="231F1F"/>
                <w:sz w:val="22"/>
              </w:rPr>
              <w:t>las</w:t>
            </w:r>
            <w:r>
              <w:rPr>
                <w:color w:val="231F1F"/>
                <w:spacing w:val="30"/>
                <w:sz w:val="22"/>
              </w:rPr>
              <w:t> </w:t>
            </w:r>
            <w:r>
              <w:rPr>
                <w:color w:val="231F1F"/>
                <w:sz w:val="22"/>
              </w:rPr>
              <w:t>expectativas</w:t>
            </w:r>
            <w:r>
              <w:rPr>
                <w:color w:val="231F1F"/>
                <w:spacing w:val="30"/>
                <w:sz w:val="22"/>
              </w:rPr>
              <w:t> </w:t>
            </w:r>
            <w:r>
              <w:rPr>
                <w:color w:val="231F1F"/>
                <w:sz w:val="22"/>
              </w:rPr>
              <w:t>de</w:t>
            </w:r>
            <w:r>
              <w:rPr>
                <w:color w:val="231F1F"/>
                <w:spacing w:val="30"/>
                <w:sz w:val="22"/>
              </w:rPr>
              <w:t> </w:t>
            </w:r>
            <w:r>
              <w:rPr>
                <w:color w:val="231F1F"/>
                <w:sz w:val="22"/>
              </w:rPr>
              <w:t>la</w:t>
            </w:r>
            <w:r>
              <w:rPr>
                <w:color w:val="231F1F"/>
                <w:spacing w:val="30"/>
                <w:sz w:val="22"/>
              </w:rPr>
              <w:t> </w:t>
            </w:r>
            <w:r>
              <w:rPr>
                <w:color w:val="231F1F"/>
                <w:sz w:val="22"/>
              </w:rPr>
              <w:t>mujer en</w:t>
            </w:r>
            <w:r>
              <w:rPr>
                <w:color w:val="231F1F"/>
                <w:spacing w:val="40"/>
                <w:sz w:val="22"/>
              </w:rPr>
              <w:t> </w:t>
            </w:r>
            <w:r>
              <w:rPr>
                <w:color w:val="231F1F"/>
                <w:sz w:val="22"/>
              </w:rPr>
              <w:t>relación</w:t>
            </w:r>
            <w:r>
              <w:rPr>
                <w:color w:val="231F1F"/>
                <w:spacing w:val="40"/>
                <w:sz w:val="22"/>
              </w:rPr>
              <w:t> </w:t>
            </w:r>
            <w:r>
              <w:rPr>
                <w:color w:val="231F1F"/>
                <w:sz w:val="22"/>
              </w:rPr>
              <w:t>con</w:t>
            </w:r>
            <w:r>
              <w:rPr>
                <w:color w:val="231F1F"/>
                <w:spacing w:val="40"/>
                <w:sz w:val="22"/>
              </w:rPr>
              <w:t> </w:t>
            </w:r>
            <w:r>
              <w:rPr>
                <w:color w:val="231F1F"/>
                <w:sz w:val="22"/>
              </w:rPr>
              <w:t>el</w:t>
            </w:r>
            <w:r>
              <w:rPr>
                <w:color w:val="231F1F"/>
                <w:spacing w:val="40"/>
                <w:sz w:val="22"/>
              </w:rPr>
              <w:t> </w:t>
            </w:r>
            <w:r>
              <w:rPr>
                <w:color w:val="231F1F"/>
                <w:sz w:val="22"/>
              </w:rPr>
              <w:t>alivio</w:t>
            </w:r>
            <w:r>
              <w:rPr>
                <w:color w:val="231F1F"/>
                <w:spacing w:val="40"/>
                <w:sz w:val="22"/>
              </w:rPr>
              <w:t> </w:t>
            </w:r>
            <w:r>
              <w:rPr>
                <w:color w:val="231F1F"/>
                <w:sz w:val="22"/>
              </w:rPr>
              <w:t>del</w:t>
            </w:r>
            <w:r>
              <w:rPr>
                <w:color w:val="231F1F"/>
                <w:spacing w:val="40"/>
                <w:sz w:val="22"/>
              </w:rPr>
              <w:t> </w:t>
            </w:r>
            <w:r>
              <w:rPr>
                <w:color w:val="231F1F"/>
                <w:sz w:val="22"/>
              </w:rPr>
              <w:t>dolor</w:t>
            </w:r>
            <w:r>
              <w:rPr>
                <w:color w:val="231F1F"/>
                <w:spacing w:val="40"/>
                <w:sz w:val="22"/>
              </w:rPr>
              <w:t> </w:t>
            </w:r>
            <w:r>
              <w:rPr>
                <w:color w:val="231F1F"/>
                <w:sz w:val="22"/>
              </w:rPr>
              <w:t>durante</w:t>
            </w:r>
            <w:r>
              <w:rPr>
                <w:color w:val="231F1F"/>
                <w:spacing w:val="40"/>
                <w:sz w:val="22"/>
              </w:rPr>
              <w:t> </w:t>
            </w:r>
            <w:r>
              <w:rPr>
                <w:color w:val="231F1F"/>
                <w:sz w:val="22"/>
              </w:rPr>
              <w:t>el</w:t>
            </w:r>
            <w:r>
              <w:rPr>
                <w:color w:val="231F1F"/>
                <w:spacing w:val="40"/>
                <w:sz w:val="22"/>
              </w:rPr>
              <w:t> </w:t>
            </w:r>
            <w:r>
              <w:rPr>
                <w:color w:val="231F1F"/>
                <w:sz w:val="22"/>
              </w:rPr>
              <w:t>parto.</w:t>
            </w:r>
          </w:p>
        </w:tc>
      </w:tr>
      <w:tr>
        <w:trPr>
          <w:trHeight w:val="369" w:hRule="atLeast"/>
        </w:trPr>
        <w:tc>
          <w:tcPr>
            <w:tcW w:w="8505" w:type="dxa"/>
            <w:gridSpan w:val="2"/>
          </w:tcPr>
          <w:p>
            <w:pPr>
              <w:pStyle w:val="TableParagraph"/>
              <w:spacing w:before="25"/>
              <w:rPr>
                <w:sz w:val="22"/>
              </w:rPr>
            </w:pPr>
            <w:r>
              <w:rPr>
                <w:color w:val="231F1F"/>
                <w:w w:val="105"/>
                <w:sz w:val="22"/>
              </w:rPr>
              <w:t>9.2.</w:t>
            </w:r>
            <w:r>
              <w:rPr>
                <w:color w:val="231F1F"/>
                <w:spacing w:val="-7"/>
                <w:w w:val="105"/>
                <w:sz w:val="22"/>
              </w:rPr>
              <w:t> </w:t>
            </w:r>
            <w:r>
              <w:rPr>
                <w:color w:val="231F1F"/>
                <w:w w:val="105"/>
                <w:sz w:val="22"/>
              </w:rPr>
              <w:t>Métodos</w:t>
            </w:r>
            <w:r>
              <w:rPr>
                <w:color w:val="231F1F"/>
                <w:spacing w:val="-5"/>
                <w:w w:val="105"/>
                <w:sz w:val="22"/>
              </w:rPr>
              <w:t> </w:t>
            </w:r>
            <w:r>
              <w:rPr>
                <w:color w:val="231F1F"/>
                <w:w w:val="105"/>
                <w:sz w:val="22"/>
              </w:rPr>
              <w:t>no</w:t>
            </w:r>
            <w:r>
              <w:rPr>
                <w:color w:val="231F1F"/>
                <w:spacing w:val="-5"/>
                <w:w w:val="105"/>
                <w:sz w:val="22"/>
              </w:rPr>
              <w:t> </w:t>
            </w:r>
            <w:r>
              <w:rPr>
                <w:color w:val="231F1F"/>
                <w:w w:val="105"/>
                <w:sz w:val="22"/>
              </w:rPr>
              <w:t>farmacológicos</w:t>
            </w:r>
            <w:r>
              <w:rPr>
                <w:color w:val="231F1F"/>
                <w:spacing w:val="-6"/>
                <w:w w:val="105"/>
                <w:sz w:val="22"/>
              </w:rPr>
              <w:t> </w:t>
            </w:r>
            <w:r>
              <w:rPr>
                <w:color w:val="231F1F"/>
                <w:w w:val="105"/>
                <w:sz w:val="22"/>
              </w:rPr>
              <w:t>de</w:t>
            </w:r>
            <w:r>
              <w:rPr>
                <w:color w:val="231F1F"/>
                <w:spacing w:val="-5"/>
                <w:w w:val="105"/>
                <w:sz w:val="22"/>
              </w:rPr>
              <w:t> </w:t>
            </w:r>
            <w:r>
              <w:rPr>
                <w:color w:val="231F1F"/>
                <w:w w:val="105"/>
                <w:sz w:val="22"/>
              </w:rPr>
              <w:t>alivio</w:t>
            </w:r>
            <w:r>
              <w:rPr>
                <w:color w:val="231F1F"/>
                <w:spacing w:val="-3"/>
                <w:w w:val="105"/>
                <w:sz w:val="22"/>
              </w:rPr>
              <w:t> </w:t>
            </w:r>
            <w:r>
              <w:rPr>
                <w:color w:val="231F1F"/>
                <w:w w:val="105"/>
                <w:sz w:val="22"/>
              </w:rPr>
              <w:t>del</w:t>
            </w:r>
            <w:r>
              <w:rPr>
                <w:color w:val="231F1F"/>
                <w:spacing w:val="-6"/>
                <w:w w:val="105"/>
                <w:sz w:val="22"/>
              </w:rPr>
              <w:t> </w:t>
            </w:r>
            <w:r>
              <w:rPr>
                <w:color w:val="231F1F"/>
                <w:spacing w:val="-4"/>
                <w:w w:val="105"/>
                <w:sz w:val="22"/>
              </w:rPr>
              <w:t>dolor</w:t>
            </w:r>
          </w:p>
        </w:tc>
      </w:tr>
      <w:tr>
        <w:trPr>
          <w:trHeight w:val="369" w:hRule="atLeast"/>
        </w:trPr>
        <w:tc>
          <w:tcPr>
            <w:tcW w:w="8505" w:type="dxa"/>
            <w:gridSpan w:val="2"/>
          </w:tcPr>
          <w:p>
            <w:pPr>
              <w:pStyle w:val="TableParagraph"/>
              <w:spacing w:before="25"/>
              <w:rPr>
                <w:i/>
                <w:sz w:val="22"/>
              </w:rPr>
            </w:pPr>
            <w:r>
              <w:rPr>
                <w:i/>
                <w:color w:val="231F1F"/>
                <w:spacing w:val="-2"/>
                <w:w w:val="105"/>
                <w:sz w:val="22"/>
              </w:rPr>
              <w:t>9.2.1.</w:t>
            </w:r>
            <w:r>
              <w:rPr>
                <w:i/>
                <w:color w:val="231F1F"/>
                <w:spacing w:val="-6"/>
                <w:w w:val="105"/>
                <w:sz w:val="22"/>
              </w:rPr>
              <w:t> </w:t>
            </w:r>
            <w:r>
              <w:rPr>
                <w:i/>
                <w:color w:val="231F1F"/>
                <w:spacing w:val="-2"/>
                <w:w w:val="105"/>
                <w:sz w:val="22"/>
              </w:rPr>
              <w:t>Inmersión</w:t>
            </w:r>
            <w:r>
              <w:rPr>
                <w:i/>
                <w:color w:val="231F1F"/>
                <w:spacing w:val="-6"/>
                <w:w w:val="105"/>
                <w:sz w:val="22"/>
              </w:rPr>
              <w:t> </w:t>
            </w:r>
            <w:r>
              <w:rPr>
                <w:i/>
                <w:color w:val="231F1F"/>
                <w:spacing w:val="-2"/>
                <w:w w:val="105"/>
                <w:sz w:val="22"/>
              </w:rPr>
              <w:t>en</w:t>
            </w:r>
            <w:r>
              <w:rPr>
                <w:i/>
                <w:color w:val="231F1F"/>
                <w:spacing w:val="-5"/>
                <w:w w:val="105"/>
                <w:sz w:val="22"/>
              </w:rPr>
              <w:t> </w:t>
            </w:r>
            <w:r>
              <w:rPr>
                <w:i/>
                <w:color w:val="231F1F"/>
                <w:spacing w:val="-2"/>
                <w:w w:val="105"/>
                <w:sz w:val="22"/>
              </w:rPr>
              <w:t>agua</w:t>
            </w:r>
            <w:r>
              <w:rPr>
                <w:i/>
                <w:color w:val="231F1F"/>
                <w:spacing w:val="-4"/>
                <w:w w:val="105"/>
                <w:sz w:val="22"/>
              </w:rPr>
              <w:t> </w:t>
            </w:r>
            <w:r>
              <w:rPr>
                <w:i/>
                <w:color w:val="231F1F"/>
                <w:spacing w:val="-2"/>
                <w:w w:val="105"/>
                <w:sz w:val="22"/>
              </w:rPr>
              <w:t>caliente</w:t>
            </w:r>
          </w:p>
        </w:tc>
      </w:tr>
      <w:tr>
        <w:trPr>
          <w:trHeight w:val="647" w:hRule="atLeast"/>
        </w:trPr>
        <w:tc>
          <w:tcPr>
            <w:tcW w:w="571" w:type="dxa"/>
            <w:shd w:val="clear" w:color="auto" w:fill="F2DFDF"/>
          </w:tcPr>
          <w:p>
            <w:pPr>
              <w:pStyle w:val="TableParagraph"/>
              <w:spacing w:before="159"/>
              <w:ind w:left="46" w:right="9"/>
              <w:jc w:val="center"/>
              <w:rPr>
                <w:sz w:val="22"/>
              </w:rPr>
            </w:pPr>
            <w:r>
              <w:rPr>
                <w:color w:val="231F1F"/>
                <w:spacing w:val="-10"/>
                <w:w w:val="115"/>
                <w:sz w:val="22"/>
              </w:rPr>
              <w:t>A</w:t>
            </w:r>
          </w:p>
        </w:tc>
        <w:tc>
          <w:tcPr>
            <w:tcW w:w="7934" w:type="dxa"/>
            <w:shd w:val="clear" w:color="auto" w:fill="F2DFDF"/>
          </w:tcPr>
          <w:p>
            <w:pPr>
              <w:pStyle w:val="TableParagraph"/>
              <w:spacing w:line="244" w:lineRule="auto" w:before="29"/>
              <w:ind w:left="117"/>
              <w:rPr>
                <w:sz w:val="22"/>
              </w:rPr>
            </w:pPr>
            <w:r>
              <w:rPr>
                <w:color w:val="231F1F"/>
                <w:sz w:val="22"/>
              </w:rPr>
              <w:t>Se</w:t>
            </w:r>
            <w:r>
              <w:rPr>
                <w:color w:val="231F1F"/>
                <w:spacing w:val="33"/>
                <w:sz w:val="22"/>
              </w:rPr>
              <w:t> </w:t>
            </w:r>
            <w:r>
              <w:rPr>
                <w:color w:val="231F1F"/>
                <w:sz w:val="22"/>
              </w:rPr>
              <w:t>recomienda</w:t>
            </w:r>
            <w:r>
              <w:rPr>
                <w:color w:val="231F1F"/>
                <w:spacing w:val="33"/>
                <w:sz w:val="22"/>
              </w:rPr>
              <w:t> </w:t>
            </w:r>
            <w:r>
              <w:rPr>
                <w:color w:val="231F1F"/>
                <w:sz w:val="22"/>
              </w:rPr>
              <w:t>la</w:t>
            </w:r>
            <w:r>
              <w:rPr>
                <w:color w:val="231F1F"/>
                <w:spacing w:val="33"/>
                <w:sz w:val="22"/>
              </w:rPr>
              <w:t> </w:t>
            </w:r>
            <w:r>
              <w:rPr>
                <w:color w:val="231F1F"/>
                <w:sz w:val="22"/>
              </w:rPr>
              <w:t>inmersión</w:t>
            </w:r>
            <w:r>
              <w:rPr>
                <w:color w:val="231F1F"/>
                <w:spacing w:val="33"/>
                <w:sz w:val="22"/>
              </w:rPr>
              <w:t> </w:t>
            </w:r>
            <w:r>
              <w:rPr>
                <w:color w:val="231F1F"/>
                <w:sz w:val="22"/>
              </w:rPr>
              <w:t>en</w:t>
            </w:r>
            <w:r>
              <w:rPr>
                <w:color w:val="231F1F"/>
                <w:spacing w:val="33"/>
                <w:sz w:val="22"/>
              </w:rPr>
              <w:t> </w:t>
            </w:r>
            <w:r>
              <w:rPr>
                <w:color w:val="231F1F"/>
                <w:sz w:val="22"/>
              </w:rPr>
              <w:t>agua</w:t>
            </w:r>
            <w:r>
              <w:rPr>
                <w:color w:val="231F1F"/>
                <w:spacing w:val="33"/>
                <w:sz w:val="22"/>
              </w:rPr>
              <w:t> </w:t>
            </w:r>
            <w:r>
              <w:rPr>
                <w:color w:val="231F1F"/>
                <w:sz w:val="22"/>
              </w:rPr>
              <w:t>caliente</w:t>
            </w:r>
            <w:r>
              <w:rPr>
                <w:color w:val="231F1F"/>
                <w:spacing w:val="33"/>
                <w:sz w:val="22"/>
              </w:rPr>
              <w:t> </w:t>
            </w:r>
            <w:r>
              <w:rPr>
                <w:color w:val="231F1F"/>
                <w:sz w:val="22"/>
              </w:rPr>
              <w:t>como</w:t>
            </w:r>
            <w:r>
              <w:rPr>
                <w:color w:val="231F1F"/>
                <w:spacing w:val="33"/>
                <w:sz w:val="22"/>
              </w:rPr>
              <w:t> </w:t>
            </w:r>
            <w:r>
              <w:rPr>
                <w:color w:val="231F1F"/>
                <w:sz w:val="22"/>
              </w:rPr>
              <w:t>un</w:t>
            </w:r>
            <w:r>
              <w:rPr>
                <w:color w:val="231F1F"/>
                <w:spacing w:val="33"/>
                <w:sz w:val="22"/>
              </w:rPr>
              <w:t> </w:t>
            </w:r>
            <w:r>
              <w:rPr>
                <w:color w:val="231F1F"/>
                <w:sz w:val="22"/>
              </w:rPr>
              <w:t>método</w:t>
            </w:r>
            <w:r>
              <w:rPr>
                <w:color w:val="231F1F"/>
                <w:spacing w:val="33"/>
                <w:sz w:val="22"/>
              </w:rPr>
              <w:t> </w:t>
            </w:r>
            <w:r>
              <w:rPr>
                <w:color w:val="231F1F"/>
                <w:sz w:val="22"/>
              </w:rPr>
              <w:t>eficaz</w:t>
            </w:r>
            <w:r>
              <w:rPr>
                <w:color w:val="231F1F"/>
                <w:spacing w:val="33"/>
                <w:sz w:val="22"/>
              </w:rPr>
              <w:t> </w:t>
            </w:r>
            <w:r>
              <w:rPr>
                <w:color w:val="231F1F"/>
                <w:sz w:val="22"/>
              </w:rPr>
              <w:t>de</w:t>
            </w:r>
            <w:r>
              <w:rPr>
                <w:color w:val="231F1F"/>
                <w:spacing w:val="33"/>
                <w:sz w:val="22"/>
              </w:rPr>
              <w:t> </w:t>
            </w:r>
            <w:r>
              <w:rPr>
                <w:color w:val="231F1F"/>
                <w:sz w:val="22"/>
              </w:rPr>
              <w:t>alivio</w:t>
            </w:r>
            <w:r>
              <w:rPr>
                <w:color w:val="231F1F"/>
                <w:spacing w:val="33"/>
                <w:sz w:val="22"/>
              </w:rPr>
              <w:t> </w:t>
            </w:r>
            <w:r>
              <w:rPr>
                <w:color w:val="231F1F"/>
                <w:sz w:val="22"/>
              </w:rPr>
              <w:t>de </w:t>
            </w:r>
            <w:r>
              <w:rPr>
                <w:color w:val="231F1F"/>
                <w:w w:val="110"/>
                <w:sz w:val="22"/>
              </w:rPr>
              <w:t>dolor durante la fase tardía de la primera etapa del parto.</w:t>
            </w:r>
          </w:p>
        </w:tc>
      </w:tr>
    </w:tbl>
    <w:p>
      <w:pPr>
        <w:pStyle w:val="TableParagraph"/>
        <w:spacing w:after="0" w:line="244" w:lineRule="auto"/>
        <w:rPr>
          <w:sz w:val="22"/>
        </w:rPr>
        <w:sectPr>
          <w:type w:val="continuous"/>
          <w:pgSz w:w="11900" w:h="16840"/>
          <w:pgMar w:header="0" w:footer="622" w:top="1640" w:bottom="2112"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98" w:hRule="atLeast"/>
        </w:trPr>
        <w:tc>
          <w:tcPr>
            <w:tcW w:w="8505" w:type="dxa"/>
            <w:gridSpan w:val="2"/>
          </w:tcPr>
          <w:p>
            <w:pPr>
              <w:pStyle w:val="TableParagraph"/>
              <w:spacing w:before="58"/>
              <w:rPr>
                <w:i/>
                <w:sz w:val="22"/>
              </w:rPr>
            </w:pPr>
            <w:r>
              <w:rPr>
                <w:i/>
                <w:color w:val="231F1F"/>
                <w:sz w:val="22"/>
              </w:rPr>
              <w:t>9.2.2.</w:t>
            </w:r>
            <w:r>
              <w:rPr>
                <w:i/>
                <w:color w:val="231F1F"/>
                <w:spacing w:val="-14"/>
                <w:sz w:val="22"/>
              </w:rPr>
              <w:t> </w:t>
            </w:r>
            <w:r>
              <w:rPr>
                <w:i/>
                <w:color w:val="231F1F"/>
                <w:spacing w:val="-2"/>
                <w:sz w:val="22"/>
              </w:rPr>
              <w:t>Masaje</w:t>
            </w:r>
          </w:p>
        </w:tc>
      </w:tr>
      <w:tr>
        <w:trPr>
          <w:trHeight w:val="681" w:hRule="atLeast"/>
        </w:trPr>
        <w:tc>
          <w:tcPr>
            <w:tcW w:w="571" w:type="dxa"/>
            <w:shd w:val="clear" w:color="auto" w:fill="F2DFDF"/>
          </w:tcPr>
          <w:p>
            <w:pPr>
              <w:pStyle w:val="TableParagraph"/>
              <w:spacing w:before="178"/>
              <w:ind w:left="46" w:right="7"/>
              <w:jc w:val="center"/>
              <w:rPr>
                <w:sz w:val="22"/>
              </w:rPr>
            </w:pPr>
            <w:r>
              <w:rPr>
                <w:color w:val="231F1F"/>
                <w:spacing w:val="-10"/>
                <w:w w:val="110"/>
                <w:sz w:val="22"/>
              </w:rPr>
              <w:t>B</w:t>
            </w:r>
          </w:p>
        </w:tc>
        <w:tc>
          <w:tcPr>
            <w:tcW w:w="7934" w:type="dxa"/>
            <w:shd w:val="clear" w:color="auto" w:fill="F2DFDF"/>
          </w:tcPr>
          <w:p>
            <w:pPr>
              <w:pStyle w:val="TableParagraph"/>
              <w:spacing w:line="244" w:lineRule="auto" w:before="39"/>
              <w:ind w:left="117"/>
              <w:rPr>
                <w:sz w:val="22"/>
              </w:rPr>
            </w:pPr>
            <w:r>
              <w:rPr>
                <w:color w:val="231F1F"/>
                <w:w w:val="110"/>
                <w:sz w:val="22"/>
              </w:rPr>
              <w:t>Se</w:t>
            </w:r>
            <w:r>
              <w:rPr>
                <w:color w:val="231F1F"/>
                <w:spacing w:val="-10"/>
                <w:w w:val="110"/>
                <w:sz w:val="22"/>
              </w:rPr>
              <w:t> </w:t>
            </w:r>
            <w:r>
              <w:rPr>
                <w:color w:val="231F1F"/>
                <w:w w:val="110"/>
                <w:sz w:val="22"/>
              </w:rPr>
              <w:t>recomienda</w:t>
            </w:r>
            <w:r>
              <w:rPr>
                <w:color w:val="231F1F"/>
                <w:spacing w:val="-10"/>
                <w:w w:val="110"/>
                <w:sz w:val="22"/>
              </w:rPr>
              <w:t> </w:t>
            </w:r>
            <w:r>
              <w:rPr>
                <w:color w:val="231F1F"/>
                <w:w w:val="110"/>
                <w:sz w:val="22"/>
              </w:rPr>
              <w:t>el</w:t>
            </w:r>
            <w:r>
              <w:rPr>
                <w:color w:val="231F1F"/>
                <w:spacing w:val="-10"/>
                <w:w w:val="110"/>
                <w:sz w:val="22"/>
              </w:rPr>
              <w:t> </w:t>
            </w:r>
            <w:r>
              <w:rPr>
                <w:color w:val="231F1F"/>
                <w:w w:val="110"/>
                <w:sz w:val="22"/>
              </w:rPr>
              <w:t>masaje</w:t>
            </w:r>
            <w:r>
              <w:rPr>
                <w:color w:val="231F1F"/>
                <w:spacing w:val="-10"/>
                <w:w w:val="110"/>
                <w:sz w:val="22"/>
              </w:rPr>
              <w:t> </w:t>
            </w:r>
            <w:r>
              <w:rPr>
                <w:color w:val="231F1F"/>
                <w:w w:val="110"/>
                <w:sz w:val="22"/>
              </w:rPr>
              <w:t>y</w:t>
            </w:r>
            <w:r>
              <w:rPr>
                <w:color w:val="231F1F"/>
                <w:spacing w:val="-10"/>
                <w:w w:val="110"/>
                <w:sz w:val="22"/>
              </w:rPr>
              <w:t> </w:t>
            </w:r>
            <w:r>
              <w:rPr>
                <w:color w:val="231F1F"/>
                <w:w w:val="110"/>
                <w:sz w:val="22"/>
              </w:rPr>
              <w:t>el</w:t>
            </w:r>
            <w:r>
              <w:rPr>
                <w:color w:val="231F1F"/>
                <w:spacing w:val="-10"/>
                <w:w w:val="110"/>
                <w:sz w:val="22"/>
              </w:rPr>
              <w:t> </w:t>
            </w:r>
            <w:r>
              <w:rPr>
                <w:color w:val="231F1F"/>
                <w:w w:val="110"/>
                <w:sz w:val="22"/>
              </w:rPr>
              <w:t>contacto</w:t>
            </w:r>
            <w:r>
              <w:rPr>
                <w:color w:val="231F1F"/>
                <w:spacing w:val="-10"/>
                <w:w w:val="110"/>
                <w:sz w:val="22"/>
              </w:rPr>
              <w:t> </w:t>
            </w:r>
            <w:r>
              <w:rPr>
                <w:color w:val="231F1F"/>
                <w:w w:val="110"/>
                <w:sz w:val="22"/>
              </w:rPr>
              <w:t>físico</w:t>
            </w:r>
            <w:r>
              <w:rPr>
                <w:color w:val="231F1F"/>
                <w:spacing w:val="-10"/>
                <w:w w:val="110"/>
                <w:sz w:val="22"/>
              </w:rPr>
              <w:t> </w:t>
            </w:r>
            <w:r>
              <w:rPr>
                <w:color w:val="231F1F"/>
                <w:w w:val="110"/>
                <w:sz w:val="22"/>
              </w:rPr>
              <w:t>tranquilizador</w:t>
            </w:r>
            <w:r>
              <w:rPr>
                <w:color w:val="231F1F"/>
                <w:spacing w:val="-10"/>
                <w:w w:val="110"/>
                <w:sz w:val="22"/>
              </w:rPr>
              <w:t> </w:t>
            </w:r>
            <w:r>
              <w:rPr>
                <w:color w:val="231F1F"/>
                <w:w w:val="110"/>
                <w:sz w:val="22"/>
              </w:rPr>
              <w:t>como</w:t>
            </w:r>
            <w:r>
              <w:rPr>
                <w:color w:val="231F1F"/>
                <w:spacing w:val="-10"/>
                <w:w w:val="110"/>
                <w:sz w:val="22"/>
              </w:rPr>
              <w:t> </w:t>
            </w:r>
            <w:r>
              <w:rPr>
                <w:color w:val="231F1F"/>
                <w:w w:val="110"/>
                <w:sz w:val="22"/>
              </w:rPr>
              <w:t>un</w:t>
            </w:r>
            <w:r>
              <w:rPr>
                <w:color w:val="231F1F"/>
                <w:spacing w:val="-10"/>
                <w:w w:val="110"/>
                <w:sz w:val="22"/>
              </w:rPr>
              <w:t> </w:t>
            </w:r>
            <w:r>
              <w:rPr>
                <w:color w:val="231F1F"/>
                <w:w w:val="110"/>
                <w:sz w:val="22"/>
              </w:rPr>
              <w:t>método</w:t>
            </w:r>
            <w:r>
              <w:rPr>
                <w:color w:val="231F1F"/>
                <w:spacing w:val="-10"/>
                <w:w w:val="110"/>
                <w:sz w:val="22"/>
              </w:rPr>
              <w:t> </w:t>
            </w:r>
            <w:r>
              <w:rPr>
                <w:color w:val="231F1F"/>
                <w:w w:val="110"/>
                <w:sz w:val="22"/>
              </w:rPr>
              <w:t>de alivio del dolor durante la primera y la segunda etapa del parto.</w:t>
            </w:r>
          </w:p>
        </w:tc>
      </w:tr>
      <w:tr>
        <w:trPr>
          <w:trHeight w:val="393" w:hRule="atLeast"/>
        </w:trPr>
        <w:tc>
          <w:tcPr>
            <w:tcW w:w="8505" w:type="dxa"/>
            <w:gridSpan w:val="2"/>
          </w:tcPr>
          <w:p>
            <w:pPr>
              <w:pStyle w:val="TableParagraph"/>
              <w:spacing w:before="34"/>
              <w:rPr>
                <w:i/>
                <w:sz w:val="22"/>
              </w:rPr>
            </w:pPr>
            <w:r>
              <w:rPr>
                <w:i/>
                <w:color w:val="231F1F"/>
                <w:spacing w:val="-2"/>
                <w:w w:val="105"/>
                <w:sz w:val="22"/>
              </w:rPr>
              <w:t>9.2.3.</w:t>
            </w:r>
            <w:r>
              <w:rPr>
                <w:i/>
                <w:color w:val="231F1F"/>
                <w:spacing w:val="-11"/>
                <w:w w:val="105"/>
                <w:sz w:val="22"/>
              </w:rPr>
              <w:t> </w:t>
            </w:r>
            <w:r>
              <w:rPr>
                <w:i/>
                <w:color w:val="231F1F"/>
                <w:spacing w:val="-2"/>
                <w:w w:val="105"/>
                <w:sz w:val="22"/>
              </w:rPr>
              <w:t>Uso</w:t>
            </w:r>
            <w:r>
              <w:rPr>
                <w:i/>
                <w:color w:val="231F1F"/>
                <w:spacing w:val="-9"/>
                <w:w w:val="105"/>
                <w:sz w:val="22"/>
              </w:rPr>
              <w:t> </w:t>
            </w:r>
            <w:r>
              <w:rPr>
                <w:i/>
                <w:color w:val="231F1F"/>
                <w:spacing w:val="-2"/>
                <w:w w:val="105"/>
                <w:sz w:val="22"/>
              </w:rPr>
              <w:t>de</w:t>
            </w:r>
            <w:r>
              <w:rPr>
                <w:i/>
                <w:color w:val="231F1F"/>
                <w:spacing w:val="-10"/>
                <w:w w:val="105"/>
                <w:sz w:val="22"/>
              </w:rPr>
              <w:t> </w:t>
            </w:r>
            <w:r>
              <w:rPr>
                <w:i/>
                <w:color w:val="231F1F"/>
                <w:spacing w:val="-2"/>
                <w:w w:val="105"/>
                <w:sz w:val="22"/>
              </w:rPr>
              <w:t>pelotas</w:t>
            </w:r>
          </w:p>
        </w:tc>
      </w:tr>
      <w:tr>
        <w:trPr>
          <w:trHeight w:val="676" w:hRule="atLeast"/>
        </w:trPr>
        <w:tc>
          <w:tcPr>
            <w:tcW w:w="571" w:type="dxa"/>
            <w:shd w:val="clear" w:color="auto" w:fill="F2DFDF"/>
          </w:tcPr>
          <w:p>
            <w:pPr>
              <w:pStyle w:val="TableParagraph"/>
              <w:spacing w:before="196"/>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49"/>
              <w:ind w:left="117"/>
              <w:rPr>
                <w:sz w:val="22"/>
              </w:rPr>
            </w:pPr>
            <w:r>
              <w:rPr>
                <w:color w:val="231F1F"/>
                <w:w w:val="105"/>
                <w:sz w:val="22"/>
              </w:rPr>
              <w:t>Las</w:t>
            </w:r>
            <w:r>
              <w:rPr>
                <w:color w:val="231F1F"/>
                <w:spacing w:val="-4"/>
                <w:w w:val="105"/>
                <w:sz w:val="22"/>
              </w:rPr>
              <w:t> </w:t>
            </w:r>
            <w:r>
              <w:rPr>
                <w:color w:val="231F1F"/>
                <w:w w:val="105"/>
                <w:sz w:val="22"/>
              </w:rPr>
              <w:t>mujeres</w:t>
            </w:r>
            <w:r>
              <w:rPr>
                <w:color w:val="231F1F"/>
                <w:spacing w:val="-4"/>
                <w:w w:val="105"/>
                <w:sz w:val="22"/>
              </w:rPr>
              <w:t> </w:t>
            </w:r>
            <w:r>
              <w:rPr>
                <w:color w:val="231F1F"/>
                <w:w w:val="105"/>
                <w:sz w:val="22"/>
              </w:rPr>
              <w:t>que</w:t>
            </w:r>
            <w:r>
              <w:rPr>
                <w:color w:val="231F1F"/>
                <w:spacing w:val="-4"/>
                <w:w w:val="105"/>
                <w:sz w:val="22"/>
              </w:rPr>
              <w:t> </w:t>
            </w:r>
            <w:r>
              <w:rPr>
                <w:color w:val="231F1F"/>
                <w:w w:val="105"/>
                <w:sz w:val="22"/>
              </w:rPr>
              <w:t>elijan</w:t>
            </w:r>
            <w:r>
              <w:rPr>
                <w:color w:val="231F1F"/>
                <w:spacing w:val="-4"/>
                <w:w w:val="105"/>
                <w:sz w:val="22"/>
              </w:rPr>
              <w:t> </w:t>
            </w:r>
            <w:r>
              <w:rPr>
                <w:color w:val="231F1F"/>
                <w:w w:val="105"/>
                <w:sz w:val="22"/>
              </w:rPr>
              <w:t>usar</w:t>
            </w:r>
            <w:r>
              <w:rPr>
                <w:color w:val="231F1F"/>
                <w:spacing w:val="-4"/>
                <w:w w:val="105"/>
                <w:sz w:val="22"/>
              </w:rPr>
              <w:t> </w:t>
            </w:r>
            <w:r>
              <w:rPr>
                <w:color w:val="231F1F"/>
                <w:w w:val="105"/>
                <w:sz w:val="22"/>
              </w:rPr>
              <w:t>las</w:t>
            </w:r>
            <w:r>
              <w:rPr>
                <w:color w:val="231F1F"/>
                <w:spacing w:val="-4"/>
                <w:w w:val="105"/>
                <w:sz w:val="22"/>
              </w:rPr>
              <w:t> </w:t>
            </w:r>
            <w:r>
              <w:rPr>
                <w:color w:val="231F1F"/>
                <w:w w:val="105"/>
                <w:sz w:val="22"/>
              </w:rPr>
              <w:t>pelotas</w:t>
            </w:r>
            <w:r>
              <w:rPr>
                <w:color w:val="231F1F"/>
                <w:spacing w:val="-4"/>
                <w:w w:val="105"/>
                <w:sz w:val="22"/>
              </w:rPr>
              <w:t> </w:t>
            </w:r>
            <w:r>
              <w:rPr>
                <w:color w:val="231F1F"/>
                <w:w w:val="105"/>
                <w:sz w:val="22"/>
              </w:rPr>
              <w:t>de</w:t>
            </w:r>
            <w:r>
              <w:rPr>
                <w:color w:val="231F1F"/>
                <w:spacing w:val="-4"/>
                <w:w w:val="105"/>
                <w:sz w:val="22"/>
              </w:rPr>
              <w:t> </w:t>
            </w:r>
            <w:r>
              <w:rPr>
                <w:color w:val="231F1F"/>
                <w:w w:val="105"/>
                <w:sz w:val="22"/>
              </w:rPr>
              <w:t>goma</w:t>
            </w:r>
            <w:r>
              <w:rPr>
                <w:color w:val="231F1F"/>
                <w:spacing w:val="-4"/>
                <w:w w:val="105"/>
                <w:sz w:val="22"/>
              </w:rPr>
              <w:t> </w:t>
            </w:r>
            <w:r>
              <w:rPr>
                <w:color w:val="231F1F"/>
                <w:w w:val="105"/>
                <w:sz w:val="22"/>
              </w:rPr>
              <w:t>deben</w:t>
            </w:r>
            <w:r>
              <w:rPr>
                <w:color w:val="231F1F"/>
                <w:spacing w:val="-4"/>
                <w:w w:val="105"/>
                <w:sz w:val="22"/>
              </w:rPr>
              <w:t> </w:t>
            </w:r>
            <w:r>
              <w:rPr>
                <w:color w:val="231F1F"/>
                <w:w w:val="105"/>
                <w:sz w:val="22"/>
              </w:rPr>
              <w:t>ser</w:t>
            </w:r>
            <w:r>
              <w:rPr>
                <w:color w:val="231F1F"/>
                <w:spacing w:val="-5"/>
                <w:w w:val="105"/>
                <w:sz w:val="22"/>
              </w:rPr>
              <w:t> </w:t>
            </w:r>
            <w:r>
              <w:rPr>
                <w:color w:val="231F1F"/>
                <w:w w:val="105"/>
                <w:sz w:val="22"/>
              </w:rPr>
              <w:t>animadas</w:t>
            </w:r>
            <w:r>
              <w:rPr>
                <w:color w:val="231F1F"/>
                <w:spacing w:val="-4"/>
                <w:w w:val="105"/>
                <w:sz w:val="22"/>
              </w:rPr>
              <w:t> </w:t>
            </w:r>
            <w:r>
              <w:rPr>
                <w:color w:val="231F1F"/>
                <w:w w:val="105"/>
                <w:sz w:val="22"/>
              </w:rPr>
              <w:t>a</w:t>
            </w:r>
            <w:r>
              <w:rPr>
                <w:color w:val="231F1F"/>
                <w:spacing w:val="-4"/>
                <w:w w:val="105"/>
                <w:sz w:val="22"/>
              </w:rPr>
              <w:t> </w:t>
            </w:r>
            <w:r>
              <w:rPr>
                <w:color w:val="231F1F"/>
                <w:w w:val="105"/>
                <w:sz w:val="22"/>
              </w:rPr>
              <w:t>hacerlo</w:t>
            </w:r>
            <w:r>
              <w:rPr>
                <w:color w:val="231F1F"/>
                <w:spacing w:val="-4"/>
                <w:w w:val="105"/>
                <w:sz w:val="22"/>
              </w:rPr>
              <w:t> </w:t>
            </w:r>
            <w:r>
              <w:rPr>
                <w:color w:val="231F1F"/>
                <w:w w:val="105"/>
                <w:sz w:val="22"/>
              </w:rPr>
              <w:t>para buscar posturas más confortables.</w:t>
            </w:r>
          </w:p>
        </w:tc>
      </w:tr>
      <w:tr>
        <w:trPr>
          <w:trHeight w:val="402" w:hRule="atLeast"/>
        </w:trPr>
        <w:tc>
          <w:tcPr>
            <w:tcW w:w="8505" w:type="dxa"/>
            <w:gridSpan w:val="2"/>
          </w:tcPr>
          <w:p>
            <w:pPr>
              <w:pStyle w:val="TableParagraph"/>
              <w:spacing w:before="39"/>
              <w:rPr>
                <w:i/>
                <w:sz w:val="22"/>
              </w:rPr>
            </w:pPr>
            <w:r>
              <w:rPr>
                <w:i/>
                <w:color w:val="231F1F"/>
                <w:spacing w:val="-4"/>
                <w:w w:val="105"/>
                <w:sz w:val="22"/>
              </w:rPr>
              <w:t>9.2.4.</w:t>
            </w:r>
            <w:r>
              <w:rPr>
                <w:i/>
                <w:color w:val="231F1F"/>
                <w:spacing w:val="-1"/>
                <w:sz w:val="22"/>
              </w:rPr>
              <w:t> </w:t>
            </w:r>
            <w:r>
              <w:rPr>
                <w:i/>
                <w:color w:val="231F1F"/>
                <w:spacing w:val="-4"/>
                <w:w w:val="105"/>
                <w:sz w:val="22"/>
              </w:rPr>
              <w:t>Técnicas</w:t>
            </w:r>
            <w:r>
              <w:rPr>
                <w:i/>
                <w:color w:val="231F1F"/>
                <w:spacing w:val="-3"/>
                <w:w w:val="105"/>
                <w:sz w:val="22"/>
              </w:rPr>
              <w:t> </w:t>
            </w:r>
            <w:r>
              <w:rPr>
                <w:i/>
                <w:color w:val="231F1F"/>
                <w:spacing w:val="-4"/>
                <w:w w:val="105"/>
                <w:sz w:val="22"/>
              </w:rPr>
              <w:t>de</w:t>
            </w:r>
            <w:r>
              <w:rPr>
                <w:i/>
                <w:color w:val="231F1F"/>
                <w:spacing w:val="-2"/>
                <w:w w:val="105"/>
                <w:sz w:val="22"/>
              </w:rPr>
              <w:t> </w:t>
            </w:r>
            <w:r>
              <w:rPr>
                <w:i/>
                <w:color w:val="231F1F"/>
                <w:spacing w:val="-4"/>
                <w:w w:val="105"/>
                <w:sz w:val="22"/>
              </w:rPr>
              <w:t>relajación</w:t>
            </w:r>
          </w:p>
        </w:tc>
      </w:tr>
      <w:tr>
        <w:trPr>
          <w:trHeight w:val="676" w:hRule="atLeast"/>
        </w:trPr>
        <w:tc>
          <w:tcPr>
            <w:tcW w:w="571" w:type="dxa"/>
            <w:shd w:val="clear" w:color="auto" w:fill="F2DFDF"/>
          </w:tcPr>
          <w:p>
            <w:pPr>
              <w:pStyle w:val="TableParagraph"/>
              <w:spacing w:before="196"/>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44" w:lineRule="auto" w:before="39"/>
              <w:ind w:left="117"/>
              <w:rPr>
                <w:sz w:val="22"/>
              </w:rPr>
            </w:pPr>
            <w:r>
              <w:rPr>
                <w:color w:val="231F1F"/>
                <w:w w:val="110"/>
                <w:sz w:val="22"/>
              </w:rPr>
              <w:t>Las</w:t>
            </w:r>
            <w:r>
              <w:rPr>
                <w:color w:val="231F1F"/>
                <w:spacing w:val="-8"/>
                <w:w w:val="110"/>
                <w:sz w:val="22"/>
              </w:rPr>
              <w:t> </w:t>
            </w:r>
            <w:r>
              <w:rPr>
                <w:color w:val="231F1F"/>
                <w:w w:val="110"/>
                <w:sz w:val="22"/>
              </w:rPr>
              <w:t>mujeres</w:t>
            </w:r>
            <w:r>
              <w:rPr>
                <w:color w:val="231F1F"/>
                <w:spacing w:val="-8"/>
                <w:w w:val="110"/>
                <w:sz w:val="22"/>
              </w:rPr>
              <w:t> </w:t>
            </w:r>
            <w:r>
              <w:rPr>
                <w:color w:val="231F1F"/>
                <w:w w:val="110"/>
                <w:sz w:val="22"/>
              </w:rPr>
              <w:t>que</w:t>
            </w:r>
            <w:r>
              <w:rPr>
                <w:color w:val="231F1F"/>
                <w:spacing w:val="-8"/>
                <w:w w:val="110"/>
                <w:sz w:val="22"/>
              </w:rPr>
              <w:t> </w:t>
            </w:r>
            <w:r>
              <w:rPr>
                <w:color w:val="231F1F"/>
                <w:w w:val="110"/>
                <w:sz w:val="22"/>
              </w:rPr>
              <w:t>elijan</w:t>
            </w:r>
            <w:r>
              <w:rPr>
                <w:color w:val="231F1F"/>
                <w:spacing w:val="-8"/>
                <w:w w:val="110"/>
                <w:sz w:val="22"/>
              </w:rPr>
              <w:t> </w:t>
            </w:r>
            <w:r>
              <w:rPr>
                <w:color w:val="231F1F"/>
                <w:w w:val="110"/>
                <w:sz w:val="22"/>
              </w:rPr>
              <w:t>utilizar</w:t>
            </w:r>
            <w:r>
              <w:rPr>
                <w:color w:val="231F1F"/>
                <w:spacing w:val="-8"/>
                <w:w w:val="110"/>
                <w:sz w:val="22"/>
              </w:rPr>
              <w:t> </w:t>
            </w:r>
            <w:r>
              <w:rPr>
                <w:color w:val="231F1F"/>
                <w:w w:val="110"/>
                <w:sz w:val="22"/>
              </w:rPr>
              <w:t>técnicas</w:t>
            </w:r>
            <w:r>
              <w:rPr>
                <w:color w:val="231F1F"/>
                <w:spacing w:val="-8"/>
                <w:w w:val="110"/>
                <w:sz w:val="22"/>
              </w:rPr>
              <w:t> </w:t>
            </w:r>
            <w:r>
              <w:rPr>
                <w:color w:val="231F1F"/>
                <w:w w:val="110"/>
                <w:sz w:val="22"/>
              </w:rPr>
              <w:t>de</w:t>
            </w:r>
            <w:r>
              <w:rPr>
                <w:color w:val="231F1F"/>
                <w:spacing w:val="-8"/>
                <w:w w:val="110"/>
                <w:sz w:val="22"/>
              </w:rPr>
              <w:t> </w:t>
            </w:r>
            <w:r>
              <w:rPr>
                <w:color w:val="231F1F"/>
                <w:w w:val="110"/>
                <w:sz w:val="22"/>
              </w:rPr>
              <w:t>respiración</w:t>
            </w:r>
            <w:r>
              <w:rPr>
                <w:color w:val="231F1F"/>
                <w:spacing w:val="-8"/>
                <w:w w:val="110"/>
                <w:sz w:val="22"/>
              </w:rPr>
              <w:t> </w:t>
            </w:r>
            <w:r>
              <w:rPr>
                <w:color w:val="231F1F"/>
                <w:w w:val="110"/>
                <w:sz w:val="22"/>
              </w:rPr>
              <w:t>o</w:t>
            </w:r>
            <w:r>
              <w:rPr>
                <w:color w:val="231F1F"/>
                <w:spacing w:val="-8"/>
                <w:w w:val="110"/>
                <w:sz w:val="22"/>
              </w:rPr>
              <w:t> </w:t>
            </w:r>
            <w:r>
              <w:rPr>
                <w:color w:val="231F1F"/>
                <w:w w:val="110"/>
                <w:sz w:val="22"/>
              </w:rPr>
              <w:t>relajación</w:t>
            </w:r>
            <w:r>
              <w:rPr>
                <w:color w:val="231F1F"/>
                <w:spacing w:val="-8"/>
                <w:w w:val="110"/>
                <w:sz w:val="22"/>
              </w:rPr>
              <w:t> </w:t>
            </w:r>
            <w:r>
              <w:rPr>
                <w:color w:val="231F1F"/>
                <w:w w:val="110"/>
                <w:sz w:val="22"/>
              </w:rPr>
              <w:t>debieran</w:t>
            </w:r>
            <w:r>
              <w:rPr>
                <w:color w:val="231F1F"/>
                <w:spacing w:val="-8"/>
                <w:w w:val="110"/>
                <w:sz w:val="22"/>
              </w:rPr>
              <w:t> </w:t>
            </w:r>
            <w:r>
              <w:rPr>
                <w:color w:val="231F1F"/>
                <w:w w:val="110"/>
                <w:sz w:val="22"/>
              </w:rPr>
              <w:t>ser apoyadas en su elección.</w:t>
            </w:r>
          </w:p>
        </w:tc>
      </w:tr>
      <w:tr>
        <w:trPr>
          <w:trHeight w:val="397" w:hRule="atLeast"/>
        </w:trPr>
        <w:tc>
          <w:tcPr>
            <w:tcW w:w="8505" w:type="dxa"/>
            <w:gridSpan w:val="2"/>
          </w:tcPr>
          <w:p>
            <w:pPr>
              <w:pStyle w:val="TableParagraph"/>
              <w:spacing w:before="39"/>
              <w:rPr>
                <w:i/>
                <w:sz w:val="22"/>
              </w:rPr>
            </w:pPr>
            <w:r>
              <w:rPr>
                <w:i/>
                <w:color w:val="231F1F"/>
                <w:spacing w:val="-2"/>
                <w:w w:val="105"/>
                <w:sz w:val="22"/>
              </w:rPr>
              <w:t>9.2.5.</w:t>
            </w:r>
            <w:r>
              <w:rPr>
                <w:i/>
                <w:color w:val="231F1F"/>
                <w:spacing w:val="-8"/>
                <w:w w:val="105"/>
                <w:sz w:val="22"/>
              </w:rPr>
              <w:t> </w:t>
            </w:r>
            <w:r>
              <w:rPr>
                <w:i/>
                <w:color w:val="231F1F"/>
                <w:spacing w:val="-2"/>
                <w:w w:val="105"/>
                <w:sz w:val="22"/>
              </w:rPr>
              <w:t>Inyección</w:t>
            </w:r>
            <w:r>
              <w:rPr>
                <w:i/>
                <w:color w:val="231F1F"/>
                <w:spacing w:val="-7"/>
                <w:w w:val="105"/>
                <w:sz w:val="22"/>
              </w:rPr>
              <w:t> </w:t>
            </w:r>
            <w:r>
              <w:rPr>
                <w:i/>
                <w:color w:val="231F1F"/>
                <w:spacing w:val="-2"/>
                <w:w w:val="105"/>
                <w:sz w:val="22"/>
              </w:rPr>
              <w:t>de</w:t>
            </w:r>
            <w:r>
              <w:rPr>
                <w:i/>
                <w:color w:val="231F1F"/>
                <w:spacing w:val="-8"/>
                <w:w w:val="105"/>
                <w:sz w:val="22"/>
              </w:rPr>
              <w:t> </w:t>
            </w:r>
            <w:r>
              <w:rPr>
                <w:i/>
                <w:color w:val="231F1F"/>
                <w:spacing w:val="-2"/>
                <w:w w:val="105"/>
                <w:sz w:val="22"/>
              </w:rPr>
              <w:t>agua</w:t>
            </w:r>
            <w:r>
              <w:rPr>
                <w:i/>
                <w:color w:val="231F1F"/>
                <w:spacing w:val="-7"/>
                <w:w w:val="105"/>
                <w:sz w:val="22"/>
              </w:rPr>
              <w:t> </w:t>
            </w:r>
            <w:r>
              <w:rPr>
                <w:i/>
                <w:color w:val="231F1F"/>
                <w:spacing w:val="-2"/>
                <w:w w:val="105"/>
                <w:sz w:val="22"/>
              </w:rPr>
              <w:t>estéril</w:t>
            </w:r>
          </w:p>
        </w:tc>
      </w:tr>
      <w:tr>
        <w:trPr>
          <w:trHeight w:val="959" w:hRule="atLeast"/>
        </w:trPr>
        <w:tc>
          <w:tcPr>
            <w:tcW w:w="571" w:type="dxa"/>
            <w:shd w:val="clear" w:color="auto" w:fill="F2DFDF"/>
          </w:tcPr>
          <w:p>
            <w:pPr>
              <w:pStyle w:val="TableParagraph"/>
              <w:spacing w:before="69"/>
              <w:ind w:left="0"/>
              <w:rPr>
                <w:rFonts w:ascii="Arial MT"/>
                <w:sz w:val="22"/>
              </w:rPr>
            </w:pPr>
          </w:p>
          <w:p>
            <w:pPr>
              <w:pStyle w:val="TableParagraph"/>
              <w:ind w:left="46" w:right="7"/>
              <w:jc w:val="center"/>
              <w:rPr>
                <w:sz w:val="22"/>
              </w:rPr>
            </w:pPr>
            <w:r>
              <w:rPr>
                <w:color w:val="231F1F"/>
                <w:spacing w:val="-10"/>
                <w:w w:val="110"/>
                <w:sz w:val="22"/>
              </w:rPr>
              <w:t>B</w:t>
            </w:r>
          </w:p>
        </w:tc>
        <w:tc>
          <w:tcPr>
            <w:tcW w:w="7934" w:type="dxa"/>
            <w:shd w:val="clear" w:color="auto" w:fill="F2DFDF"/>
          </w:tcPr>
          <w:p>
            <w:pPr>
              <w:pStyle w:val="TableParagraph"/>
              <w:spacing w:line="244" w:lineRule="auto" w:before="53"/>
              <w:ind w:left="117" w:right="88"/>
              <w:jc w:val="both"/>
              <w:rPr>
                <w:sz w:val="22"/>
              </w:rPr>
            </w:pPr>
            <w:r>
              <w:rPr>
                <w:color w:val="231F1F"/>
                <w:w w:val="105"/>
                <w:sz w:val="22"/>
              </w:rPr>
              <w:t>Se recomienda la inyección de agua esteril durante el parto como un método eficaz de</w:t>
            </w:r>
            <w:r>
              <w:rPr>
                <w:color w:val="231F1F"/>
                <w:w w:val="105"/>
                <w:sz w:val="22"/>
              </w:rPr>
              <w:t> alivio</w:t>
            </w:r>
            <w:r>
              <w:rPr>
                <w:color w:val="231F1F"/>
                <w:w w:val="105"/>
                <w:sz w:val="22"/>
              </w:rPr>
              <w:t> del</w:t>
            </w:r>
            <w:r>
              <w:rPr>
                <w:color w:val="231F1F"/>
                <w:w w:val="105"/>
                <w:sz w:val="22"/>
              </w:rPr>
              <w:t> dolor</w:t>
            </w:r>
            <w:r>
              <w:rPr>
                <w:color w:val="231F1F"/>
                <w:w w:val="105"/>
                <w:sz w:val="22"/>
              </w:rPr>
              <w:t> lumbar</w:t>
            </w:r>
            <w:r>
              <w:rPr>
                <w:color w:val="231F1F"/>
                <w:w w:val="105"/>
                <w:sz w:val="22"/>
              </w:rPr>
              <w:t> ,</w:t>
            </w:r>
            <w:r>
              <w:rPr>
                <w:color w:val="231F1F"/>
                <w:w w:val="105"/>
                <w:sz w:val="22"/>
              </w:rPr>
              <w:t> informando</w:t>
            </w:r>
            <w:r>
              <w:rPr>
                <w:color w:val="231F1F"/>
                <w:w w:val="105"/>
                <w:sz w:val="22"/>
              </w:rPr>
              <w:t> que</w:t>
            </w:r>
            <w:r>
              <w:rPr>
                <w:color w:val="231F1F"/>
                <w:w w:val="105"/>
                <w:sz w:val="22"/>
              </w:rPr>
              <w:t> la</w:t>
            </w:r>
            <w:r>
              <w:rPr>
                <w:color w:val="231F1F"/>
                <w:w w:val="105"/>
                <w:sz w:val="22"/>
              </w:rPr>
              <w:t> inyección</w:t>
            </w:r>
            <w:r>
              <w:rPr>
                <w:color w:val="231F1F"/>
                <w:w w:val="105"/>
                <w:sz w:val="22"/>
              </w:rPr>
              <w:t> intradérmica</w:t>
            </w:r>
            <w:r>
              <w:rPr>
                <w:color w:val="231F1F"/>
                <w:w w:val="105"/>
                <w:sz w:val="22"/>
              </w:rPr>
              <w:t> produce escozor y dolor intenso momentáneos</w:t>
            </w:r>
          </w:p>
        </w:tc>
      </w:tr>
      <w:tr>
        <w:trPr>
          <w:trHeight w:val="402" w:hRule="atLeast"/>
        </w:trPr>
        <w:tc>
          <w:tcPr>
            <w:tcW w:w="8505" w:type="dxa"/>
            <w:gridSpan w:val="2"/>
          </w:tcPr>
          <w:p>
            <w:pPr>
              <w:pStyle w:val="TableParagraph"/>
              <w:spacing w:before="58"/>
              <w:rPr>
                <w:i/>
                <w:sz w:val="22"/>
              </w:rPr>
            </w:pPr>
            <w:r>
              <w:rPr>
                <w:i/>
                <w:color w:val="231F1F"/>
                <w:spacing w:val="-2"/>
                <w:sz w:val="22"/>
              </w:rPr>
              <w:t>9.2.6. </w:t>
            </w:r>
            <w:r>
              <w:rPr>
                <w:i/>
                <w:color w:val="231F1F"/>
                <w:spacing w:val="-4"/>
                <w:sz w:val="22"/>
              </w:rPr>
              <w:t>TENS</w:t>
            </w:r>
          </w:p>
        </w:tc>
      </w:tr>
      <w:tr>
        <w:trPr>
          <w:trHeight w:val="398" w:hRule="atLeast"/>
        </w:trPr>
        <w:tc>
          <w:tcPr>
            <w:tcW w:w="571" w:type="dxa"/>
            <w:shd w:val="clear" w:color="auto" w:fill="F2DFDF"/>
          </w:tcPr>
          <w:p>
            <w:pPr>
              <w:pStyle w:val="TableParagraph"/>
              <w:spacing w:before="34"/>
              <w:ind w:left="46" w:right="9"/>
              <w:jc w:val="center"/>
              <w:rPr>
                <w:sz w:val="22"/>
              </w:rPr>
            </w:pPr>
            <w:r>
              <w:rPr>
                <w:color w:val="231F1F"/>
                <w:spacing w:val="-10"/>
                <w:w w:val="115"/>
                <w:sz w:val="22"/>
              </w:rPr>
              <w:t>A</w:t>
            </w:r>
          </w:p>
        </w:tc>
        <w:tc>
          <w:tcPr>
            <w:tcW w:w="7934" w:type="dxa"/>
            <w:shd w:val="clear" w:color="auto" w:fill="F2DFDF"/>
          </w:tcPr>
          <w:p>
            <w:pPr>
              <w:pStyle w:val="TableParagraph"/>
              <w:spacing w:before="34"/>
              <w:ind w:left="117"/>
              <w:rPr>
                <w:sz w:val="22"/>
              </w:rPr>
            </w:pPr>
            <w:r>
              <w:rPr>
                <w:color w:val="231F1F"/>
                <w:w w:val="110"/>
                <w:sz w:val="22"/>
              </w:rPr>
              <w:t>El</w:t>
            </w:r>
            <w:r>
              <w:rPr>
                <w:color w:val="231F1F"/>
                <w:spacing w:val="-14"/>
                <w:w w:val="110"/>
                <w:sz w:val="22"/>
              </w:rPr>
              <w:t> </w:t>
            </w:r>
            <w:r>
              <w:rPr>
                <w:color w:val="231F1F"/>
                <w:w w:val="110"/>
                <w:sz w:val="22"/>
              </w:rPr>
              <w:t>método</w:t>
            </w:r>
            <w:r>
              <w:rPr>
                <w:color w:val="231F1F"/>
                <w:spacing w:val="-12"/>
                <w:w w:val="110"/>
                <w:sz w:val="22"/>
              </w:rPr>
              <w:t> </w:t>
            </w:r>
            <w:r>
              <w:rPr>
                <w:color w:val="231F1F"/>
                <w:w w:val="110"/>
                <w:sz w:val="22"/>
              </w:rPr>
              <w:t>TENS</w:t>
            </w:r>
            <w:r>
              <w:rPr>
                <w:color w:val="231F1F"/>
                <w:spacing w:val="-14"/>
                <w:w w:val="110"/>
                <w:sz w:val="22"/>
              </w:rPr>
              <w:t> </w:t>
            </w:r>
            <w:r>
              <w:rPr>
                <w:color w:val="231F1F"/>
                <w:w w:val="110"/>
                <w:sz w:val="22"/>
              </w:rPr>
              <w:t>no</w:t>
            </w:r>
            <w:r>
              <w:rPr>
                <w:color w:val="231F1F"/>
                <w:spacing w:val="-12"/>
                <w:w w:val="110"/>
                <w:sz w:val="22"/>
              </w:rPr>
              <w:t> </w:t>
            </w:r>
            <w:r>
              <w:rPr>
                <w:color w:val="231F1F"/>
                <w:w w:val="110"/>
                <w:sz w:val="22"/>
              </w:rPr>
              <w:t>debiera</w:t>
            </w:r>
            <w:r>
              <w:rPr>
                <w:color w:val="231F1F"/>
                <w:spacing w:val="-13"/>
                <w:w w:val="110"/>
                <w:sz w:val="22"/>
              </w:rPr>
              <w:t> </w:t>
            </w:r>
            <w:r>
              <w:rPr>
                <w:color w:val="231F1F"/>
                <w:w w:val="110"/>
                <w:sz w:val="22"/>
              </w:rPr>
              <w:t>ser</w:t>
            </w:r>
            <w:r>
              <w:rPr>
                <w:color w:val="231F1F"/>
                <w:spacing w:val="-15"/>
                <w:w w:val="110"/>
                <w:sz w:val="22"/>
              </w:rPr>
              <w:t> </w:t>
            </w:r>
            <w:r>
              <w:rPr>
                <w:color w:val="231F1F"/>
                <w:w w:val="110"/>
                <w:sz w:val="22"/>
              </w:rPr>
              <w:t>ofrecida</w:t>
            </w:r>
            <w:r>
              <w:rPr>
                <w:color w:val="231F1F"/>
                <w:spacing w:val="-12"/>
                <w:w w:val="110"/>
                <w:sz w:val="22"/>
              </w:rPr>
              <w:t> </w:t>
            </w:r>
            <w:r>
              <w:rPr>
                <w:color w:val="231F1F"/>
                <w:w w:val="110"/>
                <w:sz w:val="22"/>
              </w:rPr>
              <w:t>a</w:t>
            </w:r>
            <w:r>
              <w:rPr>
                <w:color w:val="231F1F"/>
                <w:spacing w:val="-12"/>
                <w:w w:val="110"/>
                <w:sz w:val="22"/>
              </w:rPr>
              <w:t> </w:t>
            </w:r>
            <w:r>
              <w:rPr>
                <w:color w:val="231F1F"/>
                <w:w w:val="110"/>
                <w:sz w:val="22"/>
              </w:rPr>
              <w:t>las</w:t>
            </w:r>
            <w:r>
              <w:rPr>
                <w:color w:val="231F1F"/>
                <w:spacing w:val="-14"/>
                <w:w w:val="110"/>
                <w:sz w:val="22"/>
              </w:rPr>
              <w:t> </w:t>
            </w:r>
            <w:r>
              <w:rPr>
                <w:color w:val="231F1F"/>
                <w:w w:val="110"/>
                <w:sz w:val="22"/>
              </w:rPr>
              <w:t>mujeres</w:t>
            </w:r>
            <w:r>
              <w:rPr>
                <w:color w:val="231F1F"/>
                <w:spacing w:val="-12"/>
                <w:w w:val="110"/>
                <w:sz w:val="22"/>
              </w:rPr>
              <w:t> </w:t>
            </w:r>
            <w:r>
              <w:rPr>
                <w:color w:val="231F1F"/>
                <w:w w:val="110"/>
                <w:sz w:val="22"/>
              </w:rPr>
              <w:t>con</w:t>
            </w:r>
            <w:r>
              <w:rPr>
                <w:color w:val="231F1F"/>
                <w:spacing w:val="-14"/>
                <w:w w:val="110"/>
                <w:sz w:val="22"/>
              </w:rPr>
              <w:t> </w:t>
            </w:r>
            <w:r>
              <w:rPr>
                <w:color w:val="231F1F"/>
                <w:w w:val="110"/>
                <w:sz w:val="22"/>
              </w:rPr>
              <w:t>parto</w:t>
            </w:r>
            <w:r>
              <w:rPr>
                <w:color w:val="231F1F"/>
                <w:spacing w:val="-11"/>
                <w:w w:val="110"/>
                <w:sz w:val="22"/>
              </w:rPr>
              <w:t> </w:t>
            </w:r>
            <w:r>
              <w:rPr>
                <w:color w:val="231F1F"/>
                <w:spacing w:val="-2"/>
                <w:w w:val="110"/>
                <w:sz w:val="22"/>
              </w:rPr>
              <w:t>establecido.</w:t>
            </w:r>
          </w:p>
        </w:tc>
      </w:tr>
      <w:tr>
        <w:trPr>
          <w:trHeight w:val="393" w:hRule="atLeast"/>
        </w:trPr>
        <w:tc>
          <w:tcPr>
            <w:tcW w:w="8505" w:type="dxa"/>
            <w:gridSpan w:val="2"/>
          </w:tcPr>
          <w:p>
            <w:pPr>
              <w:pStyle w:val="TableParagraph"/>
              <w:spacing w:before="39"/>
              <w:rPr>
                <w:sz w:val="22"/>
              </w:rPr>
            </w:pPr>
            <w:r>
              <w:rPr>
                <w:color w:val="231F1F"/>
                <w:w w:val="105"/>
                <w:sz w:val="22"/>
              </w:rPr>
              <w:t>9.3.</w:t>
            </w:r>
            <w:r>
              <w:rPr>
                <w:color w:val="231F1F"/>
                <w:spacing w:val="-10"/>
                <w:w w:val="105"/>
                <w:sz w:val="22"/>
              </w:rPr>
              <w:t> </w:t>
            </w:r>
            <w:r>
              <w:rPr>
                <w:color w:val="231F1F"/>
                <w:w w:val="105"/>
                <w:sz w:val="22"/>
              </w:rPr>
              <w:t>Métodos</w:t>
            </w:r>
            <w:r>
              <w:rPr>
                <w:color w:val="231F1F"/>
                <w:spacing w:val="-7"/>
                <w:w w:val="105"/>
                <w:sz w:val="22"/>
              </w:rPr>
              <w:t> </w:t>
            </w:r>
            <w:r>
              <w:rPr>
                <w:color w:val="231F1F"/>
                <w:w w:val="105"/>
                <w:sz w:val="22"/>
              </w:rPr>
              <w:t>farmacológicos</w:t>
            </w:r>
            <w:r>
              <w:rPr>
                <w:color w:val="231F1F"/>
                <w:spacing w:val="-7"/>
                <w:w w:val="105"/>
                <w:sz w:val="22"/>
              </w:rPr>
              <w:t> </w:t>
            </w:r>
            <w:r>
              <w:rPr>
                <w:color w:val="231F1F"/>
                <w:w w:val="105"/>
                <w:sz w:val="22"/>
              </w:rPr>
              <w:t>de</w:t>
            </w:r>
            <w:r>
              <w:rPr>
                <w:color w:val="231F1F"/>
                <w:spacing w:val="-7"/>
                <w:w w:val="105"/>
                <w:sz w:val="22"/>
              </w:rPr>
              <w:t> </w:t>
            </w:r>
            <w:r>
              <w:rPr>
                <w:color w:val="231F1F"/>
                <w:w w:val="105"/>
                <w:sz w:val="22"/>
              </w:rPr>
              <w:t>alivio</w:t>
            </w:r>
            <w:r>
              <w:rPr>
                <w:color w:val="231F1F"/>
                <w:spacing w:val="-7"/>
                <w:w w:val="105"/>
                <w:sz w:val="22"/>
              </w:rPr>
              <w:t> </w:t>
            </w:r>
            <w:r>
              <w:rPr>
                <w:color w:val="231F1F"/>
                <w:w w:val="105"/>
                <w:sz w:val="22"/>
              </w:rPr>
              <w:t>del</w:t>
            </w:r>
            <w:r>
              <w:rPr>
                <w:color w:val="231F1F"/>
                <w:spacing w:val="-7"/>
                <w:w w:val="105"/>
                <w:sz w:val="22"/>
              </w:rPr>
              <w:t> </w:t>
            </w:r>
            <w:r>
              <w:rPr>
                <w:color w:val="231F1F"/>
                <w:spacing w:val="-2"/>
                <w:w w:val="105"/>
                <w:sz w:val="22"/>
              </w:rPr>
              <w:t>dolor</w:t>
            </w:r>
          </w:p>
        </w:tc>
      </w:tr>
      <w:tr>
        <w:trPr>
          <w:trHeight w:val="397" w:hRule="atLeast"/>
        </w:trPr>
        <w:tc>
          <w:tcPr>
            <w:tcW w:w="8505" w:type="dxa"/>
            <w:gridSpan w:val="2"/>
          </w:tcPr>
          <w:p>
            <w:pPr>
              <w:pStyle w:val="TableParagraph"/>
              <w:spacing w:before="39"/>
              <w:rPr>
                <w:i/>
                <w:sz w:val="22"/>
              </w:rPr>
            </w:pPr>
            <w:r>
              <w:rPr>
                <w:i/>
                <w:color w:val="231F1F"/>
                <w:w w:val="105"/>
                <w:sz w:val="22"/>
              </w:rPr>
              <w:t>9.3.1.</w:t>
            </w:r>
            <w:r>
              <w:rPr>
                <w:i/>
                <w:color w:val="231F1F"/>
                <w:spacing w:val="-11"/>
                <w:w w:val="105"/>
                <w:sz w:val="22"/>
              </w:rPr>
              <w:t> </w:t>
            </w:r>
            <w:r>
              <w:rPr>
                <w:i/>
                <w:color w:val="231F1F"/>
                <w:w w:val="105"/>
                <w:sz w:val="22"/>
              </w:rPr>
              <w:t>Óxido</w:t>
            </w:r>
            <w:r>
              <w:rPr>
                <w:i/>
                <w:color w:val="231F1F"/>
                <w:spacing w:val="-9"/>
                <w:w w:val="105"/>
                <w:sz w:val="22"/>
              </w:rPr>
              <w:t> </w:t>
            </w:r>
            <w:r>
              <w:rPr>
                <w:i/>
                <w:color w:val="231F1F"/>
                <w:spacing w:val="-2"/>
                <w:w w:val="105"/>
                <w:sz w:val="22"/>
              </w:rPr>
              <w:t>Nitroso</w:t>
            </w:r>
          </w:p>
        </w:tc>
      </w:tr>
      <w:tr>
        <w:trPr>
          <w:trHeight w:val="959" w:hRule="atLeast"/>
        </w:trPr>
        <w:tc>
          <w:tcPr>
            <w:tcW w:w="571" w:type="dxa"/>
            <w:shd w:val="clear" w:color="auto" w:fill="F2DFDF"/>
          </w:tcPr>
          <w:p>
            <w:pPr>
              <w:pStyle w:val="TableParagraph"/>
              <w:spacing w:before="64"/>
              <w:ind w:left="0"/>
              <w:rPr>
                <w:rFonts w:ascii="Arial MT"/>
                <w:sz w:val="22"/>
              </w:rPr>
            </w:pPr>
          </w:p>
          <w:p>
            <w:pPr>
              <w:pStyle w:val="TableParagraph"/>
              <w:ind w:left="46" w:right="7"/>
              <w:jc w:val="center"/>
              <w:rPr>
                <w:sz w:val="22"/>
              </w:rPr>
            </w:pPr>
            <w:r>
              <w:rPr>
                <w:color w:val="231F1F"/>
                <w:spacing w:val="-10"/>
                <w:w w:val="110"/>
                <w:sz w:val="22"/>
              </w:rPr>
              <w:t>B</w:t>
            </w:r>
          </w:p>
        </w:tc>
        <w:tc>
          <w:tcPr>
            <w:tcW w:w="7934" w:type="dxa"/>
            <w:shd w:val="clear" w:color="auto" w:fill="F2DFDF"/>
          </w:tcPr>
          <w:p>
            <w:pPr>
              <w:pStyle w:val="TableParagraph"/>
              <w:spacing w:line="247" w:lineRule="auto" w:before="39"/>
              <w:ind w:left="116" w:right="82"/>
              <w:jc w:val="both"/>
              <w:rPr>
                <w:sz w:val="22"/>
              </w:rPr>
            </w:pPr>
            <w:r>
              <w:rPr>
                <w:color w:val="231F1F"/>
                <w:w w:val="105"/>
                <w:sz w:val="22"/>
              </w:rPr>
              <w:t>Se recomienda la inhalación de oxido nitroso durante el parto como un método de alivio</w:t>
            </w:r>
            <w:r>
              <w:rPr>
                <w:color w:val="231F1F"/>
                <w:w w:val="105"/>
                <w:sz w:val="22"/>
              </w:rPr>
              <w:t> del</w:t>
            </w:r>
            <w:r>
              <w:rPr>
                <w:color w:val="231F1F"/>
                <w:w w:val="105"/>
                <w:sz w:val="22"/>
              </w:rPr>
              <w:t> dolor,</w:t>
            </w:r>
            <w:r>
              <w:rPr>
                <w:color w:val="231F1F"/>
                <w:w w:val="105"/>
                <w:sz w:val="22"/>
              </w:rPr>
              <w:t> informando</w:t>
            </w:r>
            <w:r>
              <w:rPr>
                <w:color w:val="231F1F"/>
                <w:w w:val="105"/>
                <w:sz w:val="22"/>
              </w:rPr>
              <w:t> que</w:t>
            </w:r>
            <w:r>
              <w:rPr>
                <w:color w:val="231F1F"/>
                <w:w w:val="105"/>
                <w:sz w:val="22"/>
              </w:rPr>
              <w:t> su</w:t>
            </w:r>
            <w:r>
              <w:rPr>
                <w:color w:val="231F1F"/>
                <w:w w:val="105"/>
                <w:sz w:val="22"/>
              </w:rPr>
              <w:t> efecto</w:t>
            </w:r>
            <w:r>
              <w:rPr>
                <w:color w:val="231F1F"/>
                <w:w w:val="105"/>
                <w:sz w:val="22"/>
              </w:rPr>
              <w:t> analgésico</w:t>
            </w:r>
            <w:r>
              <w:rPr>
                <w:color w:val="231F1F"/>
                <w:w w:val="105"/>
                <w:sz w:val="22"/>
              </w:rPr>
              <w:t> es</w:t>
            </w:r>
            <w:r>
              <w:rPr>
                <w:color w:val="231F1F"/>
                <w:w w:val="105"/>
                <w:sz w:val="22"/>
              </w:rPr>
              <w:t> moderado</w:t>
            </w:r>
            <w:r>
              <w:rPr>
                <w:color w:val="231F1F"/>
                <w:w w:val="105"/>
                <w:sz w:val="22"/>
              </w:rPr>
              <w:t> y</w:t>
            </w:r>
            <w:r>
              <w:rPr>
                <w:color w:val="231F1F"/>
                <w:w w:val="105"/>
                <w:sz w:val="22"/>
              </w:rPr>
              <w:t> que</w:t>
            </w:r>
            <w:r>
              <w:rPr>
                <w:color w:val="231F1F"/>
                <w:w w:val="105"/>
                <w:sz w:val="22"/>
              </w:rPr>
              <w:t> puede provocar náuseas y vómitos, somnolencia y alteración del recuerdo.</w:t>
            </w:r>
          </w:p>
        </w:tc>
      </w:tr>
      <w:tr>
        <w:trPr>
          <w:trHeight w:val="397" w:hRule="atLeast"/>
        </w:trPr>
        <w:tc>
          <w:tcPr>
            <w:tcW w:w="8505" w:type="dxa"/>
            <w:gridSpan w:val="2"/>
          </w:tcPr>
          <w:p>
            <w:pPr>
              <w:pStyle w:val="TableParagraph"/>
              <w:spacing w:before="39"/>
              <w:rPr>
                <w:i/>
                <w:sz w:val="22"/>
              </w:rPr>
            </w:pPr>
            <w:r>
              <w:rPr>
                <w:i/>
                <w:color w:val="231F1F"/>
                <w:spacing w:val="-2"/>
                <w:w w:val="105"/>
                <w:sz w:val="22"/>
              </w:rPr>
              <w:t>9.3.2.</w:t>
            </w:r>
            <w:r>
              <w:rPr>
                <w:i/>
                <w:color w:val="231F1F"/>
                <w:spacing w:val="-8"/>
                <w:w w:val="105"/>
                <w:sz w:val="22"/>
              </w:rPr>
              <w:t> </w:t>
            </w:r>
            <w:r>
              <w:rPr>
                <w:i/>
                <w:color w:val="231F1F"/>
                <w:spacing w:val="-2"/>
                <w:w w:val="105"/>
                <w:sz w:val="22"/>
              </w:rPr>
              <w:t>Opioides:</w:t>
            </w:r>
            <w:r>
              <w:rPr>
                <w:i/>
                <w:color w:val="231F1F"/>
                <w:spacing w:val="-6"/>
                <w:w w:val="105"/>
                <w:sz w:val="22"/>
              </w:rPr>
              <w:t> </w:t>
            </w:r>
            <w:r>
              <w:rPr>
                <w:i/>
                <w:color w:val="231F1F"/>
                <w:spacing w:val="-2"/>
                <w:w w:val="105"/>
                <w:sz w:val="22"/>
              </w:rPr>
              <w:t>Petidina,</w:t>
            </w:r>
            <w:r>
              <w:rPr>
                <w:i/>
                <w:color w:val="231F1F"/>
                <w:spacing w:val="-8"/>
                <w:w w:val="105"/>
                <w:sz w:val="22"/>
              </w:rPr>
              <w:t> </w:t>
            </w:r>
            <w:r>
              <w:rPr>
                <w:i/>
                <w:color w:val="231F1F"/>
                <w:spacing w:val="-2"/>
                <w:w w:val="105"/>
                <w:sz w:val="22"/>
              </w:rPr>
              <w:t>Pentazocina</w:t>
            </w:r>
            <w:r>
              <w:rPr>
                <w:i/>
                <w:color w:val="231F1F"/>
                <w:spacing w:val="-8"/>
                <w:w w:val="105"/>
                <w:sz w:val="22"/>
              </w:rPr>
              <w:t> </w:t>
            </w:r>
            <w:r>
              <w:rPr>
                <w:i/>
                <w:color w:val="231F1F"/>
                <w:spacing w:val="-2"/>
                <w:w w:val="105"/>
                <w:sz w:val="22"/>
              </w:rPr>
              <w:t>y</w:t>
            </w:r>
            <w:r>
              <w:rPr>
                <w:i/>
                <w:color w:val="231F1F"/>
                <w:spacing w:val="-7"/>
                <w:w w:val="105"/>
                <w:sz w:val="22"/>
              </w:rPr>
              <w:t> </w:t>
            </w:r>
            <w:r>
              <w:rPr>
                <w:i/>
                <w:color w:val="231F1F"/>
                <w:spacing w:val="-2"/>
                <w:w w:val="105"/>
                <w:sz w:val="22"/>
              </w:rPr>
              <w:t>Remifentanilo</w:t>
            </w:r>
          </w:p>
        </w:tc>
      </w:tr>
      <w:tr>
        <w:trPr>
          <w:trHeight w:val="959" w:hRule="atLeast"/>
        </w:trPr>
        <w:tc>
          <w:tcPr>
            <w:tcW w:w="571" w:type="dxa"/>
            <w:shd w:val="clear" w:color="auto" w:fill="F2DFDF"/>
          </w:tcPr>
          <w:p>
            <w:pPr>
              <w:pStyle w:val="TableParagraph"/>
              <w:spacing w:before="64"/>
              <w:ind w:left="0"/>
              <w:rPr>
                <w:rFonts w:ascii="Arial MT"/>
                <w:sz w:val="22"/>
              </w:rPr>
            </w:pPr>
          </w:p>
          <w:p>
            <w:pPr>
              <w:pStyle w:val="TableParagraph"/>
              <w:ind w:left="46" w:right="9"/>
              <w:jc w:val="center"/>
              <w:rPr>
                <w:sz w:val="22"/>
              </w:rPr>
            </w:pPr>
            <w:r>
              <w:rPr>
                <w:color w:val="231F1F"/>
                <w:spacing w:val="-10"/>
                <w:w w:val="115"/>
                <w:sz w:val="22"/>
              </w:rPr>
              <w:t>A</w:t>
            </w:r>
          </w:p>
        </w:tc>
        <w:tc>
          <w:tcPr>
            <w:tcW w:w="7934" w:type="dxa"/>
            <w:shd w:val="clear" w:color="auto" w:fill="F2DFDF"/>
          </w:tcPr>
          <w:p>
            <w:pPr>
              <w:pStyle w:val="TableParagraph"/>
              <w:spacing w:line="252" w:lineRule="auto" w:before="39"/>
              <w:ind w:left="116" w:right="84"/>
              <w:jc w:val="both"/>
              <w:rPr>
                <w:sz w:val="22"/>
              </w:rPr>
            </w:pPr>
            <w:r>
              <w:rPr>
                <w:color w:val="231F1F"/>
                <w:w w:val="105"/>
                <w:sz w:val="22"/>
              </w:rPr>
              <w:t>Si se elije la administración de opioides parenterales como método analgésico, se recomienda informar que éstos tienen un efecto analgésico limitado y que pueden provocar náuseas y vómitos.</w:t>
            </w:r>
          </w:p>
        </w:tc>
      </w:tr>
      <w:tr>
        <w:trPr>
          <w:trHeight w:val="681" w:hRule="atLeast"/>
        </w:trPr>
        <w:tc>
          <w:tcPr>
            <w:tcW w:w="571" w:type="dxa"/>
            <w:shd w:val="clear" w:color="auto" w:fill="F2DFDF"/>
          </w:tcPr>
          <w:p>
            <w:pPr>
              <w:pStyle w:val="TableParagraph"/>
              <w:spacing w:before="178"/>
              <w:ind w:left="46" w:right="9"/>
              <w:jc w:val="center"/>
              <w:rPr>
                <w:sz w:val="22"/>
              </w:rPr>
            </w:pPr>
            <w:r>
              <w:rPr>
                <w:color w:val="231F1F"/>
                <w:spacing w:val="-10"/>
                <w:w w:val="115"/>
                <w:sz w:val="22"/>
              </w:rPr>
              <w:t>A</w:t>
            </w:r>
          </w:p>
        </w:tc>
        <w:tc>
          <w:tcPr>
            <w:tcW w:w="7934" w:type="dxa"/>
            <w:shd w:val="clear" w:color="auto" w:fill="F2DFDF"/>
          </w:tcPr>
          <w:p>
            <w:pPr>
              <w:pStyle w:val="TableParagraph"/>
              <w:spacing w:line="259" w:lineRule="auto" w:before="58"/>
              <w:ind w:left="117"/>
              <w:rPr>
                <w:sz w:val="22"/>
              </w:rPr>
            </w:pPr>
            <w:r>
              <w:rPr>
                <w:color w:val="231F1F"/>
                <w:sz w:val="22"/>
              </w:rPr>
              <w:t>Se</w:t>
            </w:r>
            <w:r>
              <w:rPr>
                <w:color w:val="231F1F"/>
                <w:spacing w:val="-4"/>
                <w:sz w:val="22"/>
              </w:rPr>
              <w:t> </w:t>
            </w:r>
            <w:r>
              <w:rPr>
                <w:color w:val="231F1F"/>
                <w:sz w:val="22"/>
              </w:rPr>
              <w:t>recomienda</w:t>
            </w:r>
            <w:r>
              <w:rPr>
                <w:color w:val="231F1F"/>
                <w:spacing w:val="-4"/>
                <w:sz w:val="22"/>
              </w:rPr>
              <w:t> </w:t>
            </w:r>
            <w:r>
              <w:rPr>
                <w:color w:val="231F1F"/>
                <w:sz w:val="22"/>
              </w:rPr>
              <w:t>la</w:t>
            </w:r>
            <w:r>
              <w:rPr>
                <w:color w:val="231F1F"/>
                <w:spacing w:val="-4"/>
                <w:sz w:val="22"/>
              </w:rPr>
              <w:t> </w:t>
            </w:r>
            <w:r>
              <w:rPr>
                <w:color w:val="231F1F"/>
                <w:sz w:val="22"/>
              </w:rPr>
              <w:t>administración</w:t>
            </w:r>
            <w:r>
              <w:rPr>
                <w:color w:val="231F1F"/>
                <w:spacing w:val="-4"/>
                <w:sz w:val="22"/>
              </w:rPr>
              <w:t> </w:t>
            </w:r>
            <w:r>
              <w:rPr>
                <w:color w:val="231F1F"/>
                <w:sz w:val="22"/>
              </w:rPr>
              <w:t>de</w:t>
            </w:r>
            <w:r>
              <w:rPr>
                <w:color w:val="231F1F"/>
                <w:spacing w:val="-4"/>
                <w:sz w:val="22"/>
              </w:rPr>
              <w:t> </w:t>
            </w:r>
            <w:r>
              <w:rPr>
                <w:color w:val="231F1F"/>
                <w:sz w:val="22"/>
              </w:rPr>
              <w:t>antieméticos</w:t>
            </w:r>
            <w:r>
              <w:rPr>
                <w:color w:val="231F1F"/>
                <w:spacing w:val="-4"/>
                <w:sz w:val="22"/>
              </w:rPr>
              <w:t> </w:t>
            </w:r>
            <w:r>
              <w:rPr>
                <w:color w:val="231F1F"/>
                <w:sz w:val="22"/>
              </w:rPr>
              <w:t>cuando</w:t>
            </w:r>
            <w:r>
              <w:rPr>
                <w:color w:val="231F1F"/>
                <w:spacing w:val="-4"/>
                <w:sz w:val="22"/>
              </w:rPr>
              <w:t> </w:t>
            </w:r>
            <w:r>
              <w:rPr>
                <w:color w:val="231F1F"/>
                <w:sz w:val="22"/>
              </w:rPr>
              <w:t>se</w:t>
            </w:r>
            <w:r>
              <w:rPr>
                <w:color w:val="231F1F"/>
                <w:spacing w:val="-4"/>
                <w:sz w:val="22"/>
              </w:rPr>
              <w:t> </w:t>
            </w:r>
            <w:r>
              <w:rPr>
                <w:color w:val="231F1F"/>
                <w:sz w:val="22"/>
              </w:rPr>
              <w:t>utilizan</w:t>
            </w:r>
            <w:r>
              <w:rPr>
                <w:color w:val="231F1F"/>
                <w:spacing w:val="-4"/>
                <w:sz w:val="22"/>
              </w:rPr>
              <w:t> </w:t>
            </w:r>
            <w:r>
              <w:rPr>
                <w:color w:val="231F1F"/>
                <w:sz w:val="22"/>
              </w:rPr>
              <w:t>opiodes</w:t>
            </w:r>
            <w:r>
              <w:rPr>
                <w:color w:val="231F1F"/>
                <w:spacing w:val="-4"/>
                <w:sz w:val="22"/>
              </w:rPr>
              <w:t> </w:t>
            </w:r>
            <w:r>
              <w:rPr>
                <w:color w:val="231F1F"/>
                <w:sz w:val="22"/>
              </w:rPr>
              <w:t>intra- venosos</w:t>
            </w:r>
            <w:r>
              <w:rPr>
                <w:color w:val="231F1F"/>
                <w:spacing w:val="40"/>
                <w:sz w:val="22"/>
              </w:rPr>
              <w:t> </w:t>
            </w:r>
            <w:r>
              <w:rPr>
                <w:color w:val="231F1F"/>
                <w:sz w:val="22"/>
              </w:rPr>
              <w:t>o</w:t>
            </w:r>
            <w:r>
              <w:rPr>
                <w:color w:val="231F1F"/>
                <w:spacing w:val="40"/>
                <w:sz w:val="22"/>
              </w:rPr>
              <w:t> </w:t>
            </w:r>
            <w:r>
              <w:rPr>
                <w:color w:val="231F1F"/>
                <w:sz w:val="22"/>
              </w:rPr>
              <w:t>intramusculares.</w:t>
            </w:r>
          </w:p>
        </w:tc>
      </w:tr>
      <w:tr>
        <w:trPr>
          <w:trHeight w:val="676" w:hRule="atLeast"/>
        </w:trPr>
        <w:tc>
          <w:tcPr>
            <w:tcW w:w="571" w:type="dxa"/>
            <w:shd w:val="clear" w:color="auto" w:fill="F2DFDF"/>
          </w:tcPr>
          <w:p>
            <w:pPr>
              <w:pStyle w:val="TableParagraph"/>
              <w:spacing w:before="178"/>
              <w:ind w:left="46" w:right="9"/>
              <w:jc w:val="center"/>
              <w:rPr>
                <w:sz w:val="22"/>
              </w:rPr>
            </w:pPr>
            <w:r>
              <w:rPr>
                <w:color w:val="231F1F"/>
                <w:spacing w:val="-10"/>
                <w:w w:val="115"/>
                <w:sz w:val="22"/>
              </w:rPr>
              <w:t>A</w:t>
            </w:r>
          </w:p>
        </w:tc>
        <w:tc>
          <w:tcPr>
            <w:tcW w:w="7934" w:type="dxa"/>
            <w:shd w:val="clear" w:color="auto" w:fill="F2DFDF"/>
          </w:tcPr>
          <w:p>
            <w:pPr>
              <w:pStyle w:val="TableParagraph"/>
              <w:spacing w:line="208" w:lineRule="auto" w:before="57"/>
              <w:ind w:left="117" w:right="163" w:hanging="1"/>
              <w:rPr>
                <w:sz w:val="22"/>
              </w:rPr>
            </w:pPr>
            <w:r>
              <w:rPr>
                <w:color w:val="231F1F"/>
                <w:spacing w:val="-2"/>
                <w:w w:val="110"/>
                <w:sz w:val="22"/>
              </w:rPr>
              <w:t>Se</w:t>
            </w:r>
            <w:r>
              <w:rPr>
                <w:color w:val="231F1F"/>
                <w:spacing w:val="-14"/>
                <w:w w:val="110"/>
                <w:sz w:val="22"/>
              </w:rPr>
              <w:t> </w:t>
            </w:r>
            <w:r>
              <w:rPr>
                <w:color w:val="231F1F"/>
                <w:spacing w:val="-2"/>
                <w:w w:val="110"/>
                <w:sz w:val="22"/>
              </w:rPr>
              <w:t>recomienda</w:t>
            </w:r>
            <w:r>
              <w:rPr>
                <w:color w:val="231F1F"/>
                <w:spacing w:val="-13"/>
                <w:w w:val="110"/>
                <w:sz w:val="22"/>
              </w:rPr>
              <w:t> </w:t>
            </w:r>
            <w:r>
              <w:rPr>
                <w:color w:val="231F1F"/>
                <w:spacing w:val="-2"/>
                <w:w w:val="110"/>
                <w:sz w:val="22"/>
              </w:rPr>
              <w:t>monitorizar</w:t>
            </w:r>
            <w:r>
              <w:rPr>
                <w:color w:val="231F1F"/>
                <w:spacing w:val="-13"/>
                <w:w w:val="110"/>
                <w:sz w:val="22"/>
              </w:rPr>
              <w:t> </w:t>
            </w:r>
            <w:r>
              <w:rPr>
                <w:color w:val="231F1F"/>
                <w:spacing w:val="-2"/>
                <w:w w:val="110"/>
                <w:sz w:val="22"/>
              </w:rPr>
              <w:t>la</w:t>
            </w:r>
            <w:r>
              <w:rPr>
                <w:color w:val="231F1F"/>
                <w:spacing w:val="-13"/>
                <w:w w:val="110"/>
                <w:sz w:val="22"/>
              </w:rPr>
              <w:t> </w:t>
            </w:r>
            <w:r>
              <w:rPr>
                <w:color w:val="231F1F"/>
                <w:spacing w:val="-2"/>
                <w:w w:val="110"/>
                <w:sz w:val="22"/>
              </w:rPr>
              <w:t>SaO</w:t>
            </w:r>
            <w:r>
              <w:rPr>
                <w:color w:val="231F1F"/>
                <w:spacing w:val="-2"/>
                <w:w w:val="110"/>
                <w:position w:val="-4"/>
                <w:sz w:val="12"/>
              </w:rPr>
              <w:t>2</w:t>
            </w:r>
            <w:r>
              <w:rPr>
                <w:color w:val="231F1F"/>
                <w:spacing w:val="6"/>
                <w:w w:val="110"/>
                <w:position w:val="-4"/>
                <w:sz w:val="12"/>
              </w:rPr>
              <w:t> </w:t>
            </w:r>
            <w:r>
              <w:rPr>
                <w:color w:val="231F1F"/>
                <w:spacing w:val="-2"/>
                <w:w w:val="110"/>
                <w:sz w:val="22"/>
              </w:rPr>
              <w:t>materna</w:t>
            </w:r>
            <w:r>
              <w:rPr>
                <w:color w:val="231F1F"/>
                <w:spacing w:val="-13"/>
                <w:w w:val="110"/>
                <w:sz w:val="22"/>
              </w:rPr>
              <w:t> </w:t>
            </w:r>
            <w:r>
              <w:rPr>
                <w:color w:val="231F1F"/>
                <w:spacing w:val="-2"/>
                <w:w w:val="110"/>
                <w:sz w:val="22"/>
              </w:rPr>
              <w:t>y</w:t>
            </w:r>
            <w:r>
              <w:rPr>
                <w:color w:val="231F1F"/>
                <w:spacing w:val="-13"/>
                <w:w w:val="110"/>
                <w:sz w:val="22"/>
              </w:rPr>
              <w:t> </w:t>
            </w:r>
            <w:r>
              <w:rPr>
                <w:color w:val="231F1F"/>
                <w:spacing w:val="-2"/>
                <w:w w:val="110"/>
                <w:sz w:val="22"/>
              </w:rPr>
              <w:t>administrar</w:t>
            </w:r>
            <w:r>
              <w:rPr>
                <w:color w:val="231F1F"/>
                <w:spacing w:val="-14"/>
                <w:w w:val="110"/>
                <w:sz w:val="22"/>
              </w:rPr>
              <w:t> </w:t>
            </w:r>
            <w:r>
              <w:rPr>
                <w:color w:val="231F1F"/>
                <w:spacing w:val="-2"/>
                <w:w w:val="110"/>
                <w:sz w:val="22"/>
              </w:rPr>
              <w:t>oxígeno</w:t>
            </w:r>
            <w:r>
              <w:rPr>
                <w:color w:val="231F1F"/>
                <w:spacing w:val="-13"/>
                <w:w w:val="110"/>
                <w:sz w:val="22"/>
              </w:rPr>
              <w:t> </w:t>
            </w:r>
            <w:r>
              <w:rPr>
                <w:color w:val="231F1F"/>
                <w:spacing w:val="-2"/>
                <w:w w:val="110"/>
                <w:sz w:val="22"/>
              </w:rPr>
              <w:t>suplementario </w:t>
            </w:r>
            <w:r>
              <w:rPr>
                <w:color w:val="231F1F"/>
                <w:w w:val="110"/>
                <w:sz w:val="22"/>
              </w:rPr>
              <w:t>a las mujeres que reciban remifentanilo.</w:t>
            </w:r>
          </w:p>
        </w:tc>
      </w:tr>
      <w:tr>
        <w:trPr>
          <w:trHeight w:val="398" w:hRule="atLeast"/>
        </w:trPr>
        <w:tc>
          <w:tcPr>
            <w:tcW w:w="8505" w:type="dxa"/>
            <w:gridSpan w:val="2"/>
          </w:tcPr>
          <w:p>
            <w:pPr>
              <w:pStyle w:val="TableParagraph"/>
              <w:spacing w:before="39"/>
              <w:rPr>
                <w:sz w:val="22"/>
              </w:rPr>
            </w:pPr>
            <w:r>
              <w:rPr>
                <w:color w:val="231F1F"/>
                <w:w w:val="105"/>
                <w:sz w:val="22"/>
              </w:rPr>
              <w:t>9.4.</w:t>
            </w:r>
            <w:r>
              <w:rPr>
                <w:color w:val="231F1F"/>
                <w:spacing w:val="-12"/>
                <w:w w:val="105"/>
                <w:sz w:val="22"/>
              </w:rPr>
              <w:t> </w:t>
            </w:r>
            <w:r>
              <w:rPr>
                <w:color w:val="231F1F"/>
                <w:w w:val="105"/>
                <w:sz w:val="22"/>
              </w:rPr>
              <w:t>Analgesia</w:t>
            </w:r>
            <w:r>
              <w:rPr>
                <w:color w:val="231F1F"/>
                <w:spacing w:val="-10"/>
                <w:w w:val="105"/>
                <w:sz w:val="22"/>
              </w:rPr>
              <w:t> </w:t>
            </w:r>
            <w:r>
              <w:rPr>
                <w:color w:val="231F1F"/>
                <w:spacing w:val="-2"/>
                <w:w w:val="105"/>
                <w:sz w:val="22"/>
              </w:rPr>
              <w:t>neuroaxial</w:t>
            </w:r>
          </w:p>
        </w:tc>
      </w:tr>
      <w:tr>
        <w:trPr>
          <w:trHeight w:val="402" w:hRule="atLeast"/>
        </w:trPr>
        <w:tc>
          <w:tcPr>
            <w:tcW w:w="8505" w:type="dxa"/>
            <w:gridSpan w:val="2"/>
          </w:tcPr>
          <w:p>
            <w:pPr>
              <w:pStyle w:val="TableParagraph"/>
              <w:spacing w:before="39"/>
              <w:rPr>
                <w:i/>
                <w:sz w:val="22"/>
              </w:rPr>
            </w:pPr>
            <w:r>
              <w:rPr>
                <w:i/>
                <w:color w:val="231F1F"/>
                <w:spacing w:val="-2"/>
                <w:w w:val="105"/>
                <w:sz w:val="22"/>
              </w:rPr>
              <w:t>9.4.1.</w:t>
            </w:r>
            <w:r>
              <w:rPr>
                <w:i/>
                <w:color w:val="231F1F"/>
                <w:spacing w:val="-11"/>
                <w:w w:val="105"/>
                <w:sz w:val="22"/>
              </w:rPr>
              <w:t> </w:t>
            </w:r>
            <w:r>
              <w:rPr>
                <w:i/>
                <w:color w:val="231F1F"/>
                <w:spacing w:val="-2"/>
                <w:w w:val="105"/>
                <w:sz w:val="22"/>
              </w:rPr>
              <w:t>Analgesia</w:t>
            </w:r>
            <w:r>
              <w:rPr>
                <w:i/>
                <w:color w:val="231F1F"/>
                <w:spacing w:val="-10"/>
                <w:w w:val="105"/>
                <w:sz w:val="22"/>
              </w:rPr>
              <w:t> </w:t>
            </w:r>
            <w:r>
              <w:rPr>
                <w:i/>
                <w:color w:val="231F1F"/>
                <w:spacing w:val="-2"/>
                <w:w w:val="105"/>
                <w:sz w:val="22"/>
              </w:rPr>
              <w:t>neuroaxial</w:t>
            </w:r>
            <w:r>
              <w:rPr>
                <w:i/>
                <w:color w:val="231F1F"/>
                <w:spacing w:val="-10"/>
                <w:w w:val="105"/>
                <w:sz w:val="22"/>
              </w:rPr>
              <w:t> </w:t>
            </w:r>
            <w:r>
              <w:rPr>
                <w:i/>
                <w:color w:val="231F1F"/>
                <w:spacing w:val="-2"/>
                <w:w w:val="105"/>
                <w:sz w:val="22"/>
              </w:rPr>
              <w:t>frente</w:t>
            </w:r>
            <w:r>
              <w:rPr>
                <w:i/>
                <w:color w:val="231F1F"/>
                <w:spacing w:val="-10"/>
                <w:w w:val="105"/>
                <w:sz w:val="22"/>
              </w:rPr>
              <w:t> </w:t>
            </w:r>
            <w:r>
              <w:rPr>
                <w:i/>
                <w:color w:val="231F1F"/>
                <w:spacing w:val="-2"/>
                <w:w w:val="105"/>
                <w:sz w:val="22"/>
              </w:rPr>
              <w:t>a</w:t>
            </w:r>
            <w:r>
              <w:rPr>
                <w:i/>
                <w:color w:val="231F1F"/>
                <w:spacing w:val="-10"/>
                <w:w w:val="105"/>
                <w:sz w:val="22"/>
              </w:rPr>
              <w:t> </w:t>
            </w:r>
            <w:r>
              <w:rPr>
                <w:i/>
                <w:color w:val="231F1F"/>
                <w:spacing w:val="-2"/>
                <w:w w:val="105"/>
                <w:sz w:val="22"/>
              </w:rPr>
              <w:t>no</w:t>
            </w:r>
            <w:r>
              <w:rPr>
                <w:i/>
                <w:color w:val="231F1F"/>
                <w:spacing w:val="-9"/>
                <w:w w:val="105"/>
                <w:sz w:val="22"/>
              </w:rPr>
              <w:t> </w:t>
            </w:r>
            <w:r>
              <w:rPr>
                <w:i/>
                <w:color w:val="231F1F"/>
                <w:spacing w:val="-2"/>
                <w:w w:val="105"/>
                <w:sz w:val="22"/>
              </w:rPr>
              <w:t>analgesia</w:t>
            </w:r>
            <w:r>
              <w:rPr>
                <w:i/>
                <w:color w:val="231F1F"/>
                <w:spacing w:val="-11"/>
                <w:w w:val="105"/>
                <w:sz w:val="22"/>
              </w:rPr>
              <w:t> </w:t>
            </w:r>
            <w:r>
              <w:rPr>
                <w:i/>
                <w:color w:val="231F1F"/>
                <w:spacing w:val="-2"/>
                <w:w w:val="105"/>
                <w:sz w:val="22"/>
              </w:rPr>
              <w:t>y</w:t>
            </w:r>
            <w:r>
              <w:rPr>
                <w:i/>
                <w:color w:val="231F1F"/>
                <w:spacing w:val="-10"/>
                <w:w w:val="105"/>
                <w:sz w:val="22"/>
              </w:rPr>
              <w:t> </w:t>
            </w:r>
            <w:r>
              <w:rPr>
                <w:i/>
                <w:color w:val="231F1F"/>
                <w:spacing w:val="-2"/>
                <w:w w:val="105"/>
                <w:sz w:val="22"/>
              </w:rPr>
              <w:t>frente</w:t>
            </w:r>
            <w:r>
              <w:rPr>
                <w:i/>
                <w:color w:val="231F1F"/>
                <w:spacing w:val="-10"/>
                <w:w w:val="105"/>
                <w:sz w:val="22"/>
              </w:rPr>
              <w:t> </w:t>
            </w:r>
            <w:r>
              <w:rPr>
                <w:i/>
                <w:color w:val="231F1F"/>
                <w:spacing w:val="-2"/>
                <w:w w:val="105"/>
                <w:sz w:val="22"/>
              </w:rPr>
              <w:t>a</w:t>
            </w:r>
            <w:r>
              <w:rPr>
                <w:i/>
                <w:color w:val="231F1F"/>
                <w:spacing w:val="-9"/>
                <w:w w:val="105"/>
                <w:sz w:val="22"/>
              </w:rPr>
              <w:t> </w:t>
            </w:r>
            <w:r>
              <w:rPr>
                <w:i/>
                <w:color w:val="231F1F"/>
                <w:spacing w:val="-2"/>
                <w:w w:val="105"/>
                <w:sz w:val="22"/>
              </w:rPr>
              <w:t>analgesia</w:t>
            </w:r>
            <w:r>
              <w:rPr>
                <w:i/>
                <w:color w:val="231F1F"/>
                <w:spacing w:val="-11"/>
                <w:w w:val="105"/>
                <w:sz w:val="22"/>
              </w:rPr>
              <w:t> </w:t>
            </w:r>
            <w:r>
              <w:rPr>
                <w:i/>
                <w:color w:val="231F1F"/>
                <w:spacing w:val="-2"/>
                <w:w w:val="105"/>
                <w:sz w:val="22"/>
              </w:rPr>
              <w:t>con</w:t>
            </w:r>
            <w:r>
              <w:rPr>
                <w:i/>
                <w:color w:val="231F1F"/>
                <w:spacing w:val="-10"/>
                <w:w w:val="105"/>
                <w:sz w:val="22"/>
              </w:rPr>
              <w:t> </w:t>
            </w:r>
            <w:r>
              <w:rPr>
                <w:i/>
                <w:color w:val="231F1F"/>
                <w:spacing w:val="-2"/>
                <w:w w:val="105"/>
                <w:sz w:val="22"/>
              </w:rPr>
              <w:t>opioides</w:t>
            </w:r>
          </w:p>
        </w:tc>
      </w:tr>
      <w:tr>
        <w:trPr>
          <w:trHeight w:val="1238" w:hRule="atLeast"/>
        </w:trPr>
        <w:tc>
          <w:tcPr>
            <w:tcW w:w="571" w:type="dxa"/>
            <w:shd w:val="clear" w:color="auto" w:fill="F2DFDF"/>
          </w:tcPr>
          <w:p>
            <w:pPr>
              <w:pStyle w:val="TableParagraph"/>
              <w:spacing w:before="203"/>
              <w:ind w:left="0"/>
              <w:rPr>
                <w:rFonts w:ascii="Arial MT"/>
                <w:sz w:val="22"/>
              </w:rPr>
            </w:pPr>
          </w:p>
          <w:p>
            <w:pPr>
              <w:pStyle w:val="TableParagraph"/>
              <w:spacing w:before="1"/>
              <w:ind w:left="46" w:right="9"/>
              <w:jc w:val="center"/>
              <w:rPr>
                <w:sz w:val="22"/>
              </w:rPr>
            </w:pPr>
            <w:r>
              <w:rPr>
                <w:color w:val="231F1F"/>
                <w:spacing w:val="-10"/>
                <w:w w:val="115"/>
                <w:sz w:val="22"/>
              </w:rPr>
              <w:t>A</w:t>
            </w:r>
          </w:p>
        </w:tc>
        <w:tc>
          <w:tcPr>
            <w:tcW w:w="7934" w:type="dxa"/>
            <w:shd w:val="clear" w:color="auto" w:fill="F2DFDF"/>
          </w:tcPr>
          <w:p>
            <w:pPr>
              <w:pStyle w:val="TableParagraph"/>
              <w:spacing w:line="249" w:lineRule="auto" w:before="49"/>
              <w:ind w:left="116" w:right="84"/>
              <w:jc w:val="both"/>
              <w:rPr>
                <w:sz w:val="22"/>
              </w:rPr>
            </w:pPr>
            <w:r>
              <w:rPr>
                <w:color w:val="231F1F"/>
                <w:w w:val="105"/>
                <w:sz w:val="22"/>
              </w:rPr>
              <w:t>Se recomienda informar a las mujeres de que la analgesia neuroaxial es el método más</w:t>
            </w:r>
            <w:r>
              <w:rPr>
                <w:color w:val="231F1F"/>
                <w:w w:val="105"/>
                <w:sz w:val="22"/>
              </w:rPr>
              <w:t> eficaz</w:t>
            </w:r>
            <w:r>
              <w:rPr>
                <w:color w:val="231F1F"/>
                <w:w w:val="105"/>
                <w:sz w:val="22"/>
              </w:rPr>
              <w:t> para</w:t>
            </w:r>
            <w:r>
              <w:rPr>
                <w:color w:val="231F1F"/>
                <w:w w:val="105"/>
                <w:sz w:val="22"/>
              </w:rPr>
              <w:t> el</w:t>
            </w:r>
            <w:r>
              <w:rPr>
                <w:color w:val="231F1F"/>
                <w:w w:val="105"/>
                <w:sz w:val="22"/>
              </w:rPr>
              <w:t> alivio</w:t>
            </w:r>
            <w:r>
              <w:rPr>
                <w:color w:val="231F1F"/>
                <w:w w:val="105"/>
                <w:sz w:val="22"/>
              </w:rPr>
              <w:t> del</w:t>
            </w:r>
            <w:r>
              <w:rPr>
                <w:color w:val="231F1F"/>
                <w:w w:val="105"/>
                <w:sz w:val="22"/>
              </w:rPr>
              <w:t> dolor,</w:t>
            </w:r>
            <w:r>
              <w:rPr>
                <w:color w:val="231F1F"/>
                <w:w w:val="105"/>
                <w:sz w:val="22"/>
              </w:rPr>
              <w:t> pero</w:t>
            </w:r>
            <w:r>
              <w:rPr>
                <w:color w:val="231F1F"/>
                <w:w w:val="105"/>
                <w:sz w:val="22"/>
              </w:rPr>
              <w:t> que</w:t>
            </w:r>
            <w:r>
              <w:rPr>
                <w:color w:val="231F1F"/>
                <w:w w:val="105"/>
                <w:sz w:val="22"/>
              </w:rPr>
              <w:t> puede</w:t>
            </w:r>
            <w:r>
              <w:rPr>
                <w:color w:val="231F1F"/>
                <w:w w:val="105"/>
                <w:sz w:val="22"/>
              </w:rPr>
              <w:t> producir</w:t>
            </w:r>
            <w:r>
              <w:rPr>
                <w:color w:val="231F1F"/>
                <w:w w:val="105"/>
                <w:sz w:val="22"/>
              </w:rPr>
              <w:t> hipotensión,</w:t>
            </w:r>
            <w:r>
              <w:rPr>
                <w:color w:val="231F1F"/>
                <w:w w:val="105"/>
                <w:sz w:val="22"/>
              </w:rPr>
              <w:t> altera- ciones de la frecuencia cardiaca fetal, retención urinaria, prurito, fiebre y alarga la segunda</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incrementando</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riesgo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instrumental.</w:t>
            </w:r>
          </w:p>
        </w:tc>
      </w:tr>
      <w:tr>
        <w:trPr>
          <w:trHeight w:val="676" w:hRule="atLeast"/>
        </w:trPr>
        <w:tc>
          <w:tcPr>
            <w:tcW w:w="571" w:type="dxa"/>
            <w:shd w:val="clear" w:color="auto" w:fill="F2DFDF"/>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shd w:val="clear" w:color="auto" w:fill="F2DFDF"/>
          </w:tcPr>
          <w:p>
            <w:pPr>
              <w:pStyle w:val="TableParagraph"/>
              <w:spacing w:line="254" w:lineRule="auto" w:before="58"/>
              <w:ind w:left="117" w:right="163"/>
              <w:rPr>
                <w:sz w:val="22"/>
              </w:rPr>
            </w:pPr>
            <w:r>
              <w:rPr>
                <w:color w:val="231F1F"/>
                <w:sz w:val="22"/>
              </w:rPr>
              <w:t>Se</w:t>
            </w:r>
            <w:r>
              <w:rPr>
                <w:color w:val="231F1F"/>
                <w:spacing w:val="23"/>
                <w:sz w:val="22"/>
              </w:rPr>
              <w:t> </w:t>
            </w:r>
            <w:r>
              <w:rPr>
                <w:color w:val="231F1F"/>
                <w:sz w:val="22"/>
              </w:rPr>
              <w:t>recomienda</w:t>
            </w:r>
            <w:r>
              <w:rPr>
                <w:color w:val="231F1F"/>
                <w:spacing w:val="25"/>
                <w:sz w:val="22"/>
              </w:rPr>
              <w:t> </w:t>
            </w:r>
            <w:r>
              <w:rPr>
                <w:color w:val="231F1F"/>
                <w:sz w:val="22"/>
              </w:rPr>
              <w:t>informar</w:t>
            </w:r>
            <w:r>
              <w:rPr>
                <w:color w:val="231F1F"/>
                <w:spacing w:val="25"/>
                <w:sz w:val="22"/>
              </w:rPr>
              <w:t> </w:t>
            </w:r>
            <w:r>
              <w:rPr>
                <w:color w:val="231F1F"/>
                <w:sz w:val="22"/>
              </w:rPr>
              <w:t>a</w:t>
            </w:r>
            <w:r>
              <w:rPr>
                <w:color w:val="231F1F"/>
                <w:spacing w:val="23"/>
                <w:sz w:val="22"/>
              </w:rPr>
              <w:t> </w:t>
            </w:r>
            <w:r>
              <w:rPr>
                <w:color w:val="231F1F"/>
                <w:sz w:val="22"/>
              </w:rPr>
              <w:t>la</w:t>
            </w:r>
            <w:r>
              <w:rPr>
                <w:color w:val="231F1F"/>
                <w:spacing w:val="23"/>
                <w:sz w:val="22"/>
              </w:rPr>
              <w:t> </w:t>
            </w:r>
            <w:r>
              <w:rPr>
                <w:color w:val="231F1F"/>
                <w:sz w:val="22"/>
              </w:rPr>
              <w:t>mujer</w:t>
            </w:r>
            <w:r>
              <w:rPr>
                <w:color w:val="231F1F"/>
                <w:spacing w:val="23"/>
                <w:sz w:val="22"/>
              </w:rPr>
              <w:t> </w:t>
            </w:r>
            <w:r>
              <w:rPr>
                <w:color w:val="231F1F"/>
                <w:sz w:val="22"/>
              </w:rPr>
              <w:t>de</w:t>
            </w:r>
            <w:r>
              <w:rPr>
                <w:color w:val="231F1F"/>
                <w:spacing w:val="23"/>
                <w:sz w:val="22"/>
              </w:rPr>
              <w:t> </w:t>
            </w:r>
            <w:r>
              <w:rPr>
                <w:color w:val="231F1F"/>
                <w:sz w:val="22"/>
              </w:rPr>
              <w:t>los</w:t>
            </w:r>
            <w:r>
              <w:rPr>
                <w:color w:val="231F1F"/>
                <w:spacing w:val="23"/>
                <w:sz w:val="22"/>
              </w:rPr>
              <w:t> </w:t>
            </w:r>
            <w:r>
              <w:rPr>
                <w:color w:val="231F1F"/>
                <w:sz w:val="22"/>
              </w:rPr>
              <w:t>riesgos,</w:t>
            </w:r>
            <w:r>
              <w:rPr>
                <w:color w:val="231F1F"/>
                <w:spacing w:val="23"/>
                <w:sz w:val="22"/>
              </w:rPr>
              <w:t> </w:t>
            </w:r>
            <w:r>
              <w:rPr>
                <w:color w:val="231F1F"/>
                <w:sz w:val="22"/>
              </w:rPr>
              <w:t>beneficios</w:t>
            </w:r>
            <w:r>
              <w:rPr>
                <w:color w:val="231F1F"/>
                <w:spacing w:val="23"/>
                <w:sz w:val="22"/>
              </w:rPr>
              <w:t> </w:t>
            </w:r>
            <w:r>
              <w:rPr>
                <w:color w:val="231F1F"/>
                <w:sz w:val="22"/>
              </w:rPr>
              <w:t>e</w:t>
            </w:r>
            <w:r>
              <w:rPr>
                <w:color w:val="231F1F"/>
                <w:spacing w:val="23"/>
                <w:sz w:val="22"/>
              </w:rPr>
              <w:t> </w:t>
            </w:r>
            <w:r>
              <w:rPr>
                <w:color w:val="231F1F"/>
                <w:sz w:val="22"/>
              </w:rPr>
              <w:t>implicaciones</w:t>
            </w:r>
            <w:r>
              <w:rPr>
                <w:color w:val="231F1F"/>
                <w:spacing w:val="25"/>
                <w:sz w:val="22"/>
              </w:rPr>
              <w:t> </w:t>
            </w:r>
            <w:r>
              <w:rPr>
                <w:color w:val="231F1F"/>
                <w:sz w:val="22"/>
              </w:rPr>
              <w:t>sobre el</w:t>
            </w:r>
            <w:r>
              <w:rPr>
                <w:color w:val="231F1F"/>
                <w:spacing w:val="40"/>
                <w:sz w:val="22"/>
              </w:rPr>
              <w:t> </w:t>
            </w:r>
            <w:r>
              <w:rPr>
                <w:color w:val="231F1F"/>
                <w:sz w:val="22"/>
              </w:rPr>
              <w:t>parto</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analgesia</w:t>
            </w:r>
            <w:r>
              <w:rPr>
                <w:color w:val="231F1F"/>
                <w:spacing w:val="40"/>
                <w:sz w:val="22"/>
              </w:rPr>
              <w:t> </w:t>
            </w:r>
            <w:r>
              <w:rPr>
                <w:color w:val="231F1F"/>
                <w:sz w:val="22"/>
              </w:rPr>
              <w:t>neuroaxial.</w:t>
            </w:r>
          </w:p>
        </w:tc>
      </w:tr>
    </w:tbl>
    <w:p>
      <w:pPr>
        <w:pStyle w:val="TableParagraph"/>
        <w:spacing w:after="0" w:line="254" w:lineRule="auto"/>
        <w:rPr>
          <w:sz w:val="22"/>
        </w:rPr>
        <w:sectPr>
          <w:type w:val="continuous"/>
          <w:pgSz w:w="11900" w:h="16840"/>
          <w:pgMar w:header="0" w:footer="622" w:top="1640" w:bottom="2227"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88" w:hRule="atLeast"/>
        </w:trPr>
        <w:tc>
          <w:tcPr>
            <w:tcW w:w="8505" w:type="dxa"/>
            <w:gridSpan w:val="2"/>
          </w:tcPr>
          <w:p>
            <w:pPr>
              <w:pStyle w:val="TableParagraph"/>
              <w:spacing w:before="34"/>
              <w:rPr>
                <w:i/>
                <w:sz w:val="22"/>
              </w:rPr>
            </w:pPr>
            <w:r>
              <w:rPr>
                <w:i/>
                <w:color w:val="231F1F"/>
                <w:spacing w:val="-2"/>
                <w:w w:val="105"/>
                <w:sz w:val="22"/>
              </w:rPr>
              <w:t>9.4.2.</w:t>
            </w:r>
            <w:r>
              <w:rPr>
                <w:i/>
                <w:color w:val="231F1F"/>
                <w:spacing w:val="-12"/>
                <w:w w:val="105"/>
                <w:sz w:val="22"/>
              </w:rPr>
              <w:t> </w:t>
            </w:r>
            <w:r>
              <w:rPr>
                <w:i/>
                <w:color w:val="231F1F"/>
                <w:spacing w:val="-2"/>
                <w:w w:val="105"/>
                <w:sz w:val="22"/>
              </w:rPr>
              <w:t>Analgesia</w:t>
            </w:r>
            <w:r>
              <w:rPr>
                <w:i/>
                <w:color w:val="231F1F"/>
                <w:spacing w:val="-9"/>
                <w:w w:val="105"/>
                <w:sz w:val="22"/>
              </w:rPr>
              <w:t> </w:t>
            </w:r>
            <w:r>
              <w:rPr>
                <w:i/>
                <w:color w:val="231F1F"/>
                <w:spacing w:val="-2"/>
                <w:w w:val="105"/>
                <w:sz w:val="22"/>
              </w:rPr>
              <w:t>epidural</w:t>
            </w:r>
            <w:r>
              <w:rPr>
                <w:i/>
                <w:color w:val="231F1F"/>
                <w:spacing w:val="-10"/>
                <w:w w:val="105"/>
                <w:sz w:val="22"/>
              </w:rPr>
              <w:t> </w:t>
            </w:r>
            <w:r>
              <w:rPr>
                <w:i/>
                <w:color w:val="231F1F"/>
                <w:spacing w:val="-2"/>
                <w:w w:val="105"/>
                <w:sz w:val="22"/>
              </w:rPr>
              <w:t>tradicional</w:t>
            </w:r>
            <w:r>
              <w:rPr>
                <w:i/>
                <w:color w:val="231F1F"/>
                <w:spacing w:val="-8"/>
                <w:w w:val="105"/>
                <w:sz w:val="22"/>
              </w:rPr>
              <w:t> </w:t>
            </w:r>
            <w:r>
              <w:rPr>
                <w:i/>
                <w:color w:val="231F1F"/>
                <w:spacing w:val="-2"/>
                <w:w w:val="105"/>
                <w:sz w:val="22"/>
              </w:rPr>
              <w:t>vs</w:t>
            </w:r>
            <w:r>
              <w:rPr>
                <w:i/>
                <w:color w:val="231F1F"/>
                <w:spacing w:val="-10"/>
                <w:w w:val="105"/>
                <w:sz w:val="22"/>
              </w:rPr>
              <w:t> </w:t>
            </w:r>
            <w:r>
              <w:rPr>
                <w:i/>
                <w:color w:val="231F1F"/>
                <w:spacing w:val="-2"/>
                <w:w w:val="105"/>
                <w:sz w:val="22"/>
              </w:rPr>
              <w:t>epidural</w:t>
            </w:r>
            <w:r>
              <w:rPr>
                <w:i/>
                <w:color w:val="231F1F"/>
                <w:spacing w:val="-9"/>
                <w:w w:val="105"/>
                <w:sz w:val="22"/>
              </w:rPr>
              <w:t> </w:t>
            </w:r>
            <w:r>
              <w:rPr>
                <w:i/>
                <w:color w:val="231F1F"/>
                <w:spacing w:val="-2"/>
                <w:w w:val="105"/>
                <w:sz w:val="22"/>
              </w:rPr>
              <w:t>a</w:t>
            </w:r>
            <w:r>
              <w:rPr>
                <w:i/>
                <w:color w:val="231F1F"/>
                <w:spacing w:val="-10"/>
                <w:w w:val="105"/>
                <w:sz w:val="22"/>
              </w:rPr>
              <w:t> </w:t>
            </w:r>
            <w:r>
              <w:rPr>
                <w:i/>
                <w:color w:val="231F1F"/>
                <w:spacing w:val="-2"/>
                <w:w w:val="105"/>
                <w:sz w:val="22"/>
              </w:rPr>
              <w:t>bajas</w:t>
            </w:r>
            <w:r>
              <w:rPr>
                <w:i/>
                <w:color w:val="231F1F"/>
                <w:spacing w:val="-10"/>
                <w:w w:val="105"/>
                <w:sz w:val="22"/>
              </w:rPr>
              <w:t> </w:t>
            </w:r>
            <w:r>
              <w:rPr>
                <w:i/>
                <w:color w:val="231F1F"/>
                <w:spacing w:val="-2"/>
                <w:w w:val="105"/>
                <w:sz w:val="22"/>
              </w:rPr>
              <w:t>dosis</w:t>
            </w:r>
            <w:r>
              <w:rPr>
                <w:i/>
                <w:color w:val="231F1F"/>
                <w:spacing w:val="-10"/>
                <w:w w:val="105"/>
                <w:sz w:val="22"/>
              </w:rPr>
              <w:t> </w:t>
            </w:r>
            <w:r>
              <w:rPr>
                <w:i/>
                <w:color w:val="231F1F"/>
                <w:spacing w:val="-2"/>
                <w:w w:val="105"/>
                <w:sz w:val="22"/>
              </w:rPr>
              <w:t>vs</w:t>
            </w:r>
            <w:r>
              <w:rPr>
                <w:i/>
                <w:color w:val="231F1F"/>
                <w:spacing w:val="-9"/>
                <w:w w:val="105"/>
                <w:sz w:val="22"/>
              </w:rPr>
              <w:t> </w:t>
            </w:r>
            <w:r>
              <w:rPr>
                <w:i/>
                <w:color w:val="231F1F"/>
                <w:spacing w:val="-2"/>
                <w:w w:val="105"/>
                <w:sz w:val="22"/>
              </w:rPr>
              <w:t>combinada</w:t>
            </w:r>
          </w:p>
        </w:tc>
      </w:tr>
      <w:tr>
        <w:trPr>
          <w:trHeight w:val="666"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44" w:lineRule="auto" w:before="34"/>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cualquiera</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las</w:t>
            </w:r>
            <w:r>
              <w:rPr>
                <w:color w:val="231F1F"/>
                <w:spacing w:val="-8"/>
                <w:w w:val="110"/>
                <w:sz w:val="22"/>
              </w:rPr>
              <w:t> </w:t>
            </w:r>
            <w:r>
              <w:rPr>
                <w:color w:val="231F1F"/>
                <w:w w:val="110"/>
                <w:sz w:val="22"/>
              </w:rPr>
              <w:t>técnicas</w:t>
            </w:r>
            <w:r>
              <w:rPr>
                <w:color w:val="231F1F"/>
                <w:spacing w:val="-8"/>
                <w:w w:val="110"/>
                <w:sz w:val="22"/>
              </w:rPr>
              <w:t> </w:t>
            </w:r>
            <w:r>
              <w:rPr>
                <w:color w:val="231F1F"/>
                <w:w w:val="110"/>
                <w:sz w:val="22"/>
              </w:rPr>
              <w:t>neuroaxiales</w:t>
            </w:r>
            <w:r>
              <w:rPr>
                <w:color w:val="231F1F"/>
                <w:spacing w:val="-9"/>
                <w:w w:val="110"/>
                <w:sz w:val="22"/>
              </w:rPr>
              <w:t> </w:t>
            </w:r>
            <w:r>
              <w:rPr>
                <w:color w:val="231F1F"/>
                <w:w w:val="110"/>
                <w:sz w:val="22"/>
              </w:rPr>
              <w:t>a</w:t>
            </w:r>
            <w:r>
              <w:rPr>
                <w:color w:val="231F1F"/>
                <w:spacing w:val="-8"/>
                <w:w w:val="110"/>
                <w:sz w:val="22"/>
              </w:rPr>
              <w:t> </w:t>
            </w:r>
            <w:r>
              <w:rPr>
                <w:color w:val="231F1F"/>
                <w:w w:val="110"/>
                <w:sz w:val="22"/>
              </w:rPr>
              <w:t>bajas</w:t>
            </w:r>
            <w:r>
              <w:rPr>
                <w:color w:val="231F1F"/>
                <w:spacing w:val="-8"/>
                <w:w w:val="110"/>
                <w:sz w:val="22"/>
              </w:rPr>
              <w:t> </w:t>
            </w:r>
            <w:r>
              <w:rPr>
                <w:color w:val="231F1F"/>
                <w:w w:val="110"/>
                <w:sz w:val="22"/>
              </w:rPr>
              <w:t>dosis:</w:t>
            </w:r>
            <w:r>
              <w:rPr>
                <w:color w:val="231F1F"/>
                <w:spacing w:val="-8"/>
                <w:w w:val="110"/>
                <w:sz w:val="22"/>
              </w:rPr>
              <w:t> </w:t>
            </w:r>
            <w:r>
              <w:rPr>
                <w:color w:val="231F1F"/>
                <w:w w:val="110"/>
                <w:sz w:val="22"/>
              </w:rPr>
              <w:t>epidural</w:t>
            </w:r>
            <w:r>
              <w:rPr>
                <w:color w:val="231F1F"/>
                <w:spacing w:val="-8"/>
                <w:w w:val="110"/>
                <w:sz w:val="22"/>
              </w:rPr>
              <w:t> </w:t>
            </w:r>
            <w:r>
              <w:rPr>
                <w:color w:val="231F1F"/>
                <w:w w:val="110"/>
                <w:sz w:val="22"/>
              </w:rPr>
              <w:t>o </w:t>
            </w:r>
            <w:r>
              <w:rPr>
                <w:color w:val="231F1F"/>
                <w:spacing w:val="-2"/>
                <w:w w:val="110"/>
                <w:sz w:val="22"/>
              </w:rPr>
              <w:t>combinada.</w:t>
            </w:r>
          </w:p>
        </w:tc>
      </w:tr>
      <w:tr>
        <w:trPr>
          <w:trHeight w:val="662"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59" w:lineRule="auto" w:before="53"/>
              <w:ind w:left="117" w:right="307"/>
              <w:rPr>
                <w:sz w:val="22"/>
              </w:rPr>
            </w:pPr>
            <w:r>
              <w:rPr>
                <w:color w:val="231F1F"/>
                <w:sz w:val="22"/>
              </w:rPr>
              <w:t>Si se precisa un rápido establecimiento de la analgesia se recomienda</w:t>
            </w:r>
            <w:r>
              <w:rPr>
                <w:color w:val="231F1F"/>
                <w:spacing w:val="23"/>
                <w:sz w:val="22"/>
              </w:rPr>
              <w:t> </w:t>
            </w:r>
            <w:r>
              <w:rPr>
                <w:color w:val="231F1F"/>
                <w:sz w:val="22"/>
              </w:rPr>
              <w:t>la utilización</w:t>
            </w:r>
            <w:r>
              <w:rPr>
                <w:color w:val="231F1F"/>
                <w:spacing w:val="80"/>
                <w:sz w:val="22"/>
              </w:rPr>
              <w:t> </w:t>
            </w:r>
            <w:r>
              <w:rPr>
                <w:color w:val="231F1F"/>
                <w:sz w:val="22"/>
              </w:rPr>
              <w:t>de</w:t>
            </w:r>
            <w:r>
              <w:rPr>
                <w:color w:val="231F1F"/>
                <w:spacing w:val="40"/>
                <w:sz w:val="22"/>
              </w:rPr>
              <w:t> </w:t>
            </w:r>
            <w:r>
              <w:rPr>
                <w:color w:val="231F1F"/>
                <w:sz w:val="22"/>
              </w:rPr>
              <w:t>epidural</w:t>
            </w:r>
            <w:r>
              <w:rPr>
                <w:color w:val="231F1F"/>
                <w:spacing w:val="40"/>
                <w:sz w:val="22"/>
              </w:rPr>
              <w:t> </w:t>
            </w:r>
            <w:r>
              <w:rPr>
                <w:color w:val="231F1F"/>
                <w:sz w:val="22"/>
              </w:rPr>
              <w:t>combinada</w:t>
            </w:r>
            <w:r>
              <w:rPr>
                <w:color w:val="231F1F"/>
                <w:spacing w:val="40"/>
                <w:sz w:val="22"/>
              </w:rPr>
              <w:t> </w:t>
            </w:r>
            <w:r>
              <w:rPr>
                <w:color w:val="231F1F"/>
                <w:sz w:val="22"/>
              </w:rPr>
              <w:t>(epidural-intradural).</w:t>
            </w:r>
          </w:p>
        </w:tc>
      </w:tr>
      <w:tr>
        <w:trPr>
          <w:trHeight w:val="388" w:hRule="atLeast"/>
        </w:trPr>
        <w:tc>
          <w:tcPr>
            <w:tcW w:w="8505" w:type="dxa"/>
            <w:gridSpan w:val="2"/>
          </w:tcPr>
          <w:p>
            <w:pPr>
              <w:pStyle w:val="TableParagraph"/>
              <w:spacing w:before="34"/>
              <w:rPr>
                <w:i/>
                <w:sz w:val="22"/>
              </w:rPr>
            </w:pPr>
            <w:r>
              <w:rPr>
                <w:i/>
                <w:color w:val="231F1F"/>
                <w:w w:val="105"/>
                <w:sz w:val="22"/>
              </w:rPr>
              <w:t>9.4.3.</w:t>
            </w:r>
            <w:r>
              <w:rPr>
                <w:i/>
                <w:color w:val="231F1F"/>
                <w:spacing w:val="-13"/>
                <w:w w:val="105"/>
                <w:sz w:val="22"/>
              </w:rPr>
              <w:t> </w:t>
            </w:r>
            <w:r>
              <w:rPr>
                <w:i/>
                <w:color w:val="231F1F"/>
                <w:w w:val="105"/>
                <w:sz w:val="22"/>
              </w:rPr>
              <w:t>Estudio</w:t>
            </w:r>
            <w:r>
              <w:rPr>
                <w:i/>
                <w:color w:val="231F1F"/>
                <w:spacing w:val="-12"/>
                <w:w w:val="105"/>
                <w:sz w:val="22"/>
              </w:rPr>
              <w:t> </w:t>
            </w:r>
            <w:r>
              <w:rPr>
                <w:i/>
                <w:color w:val="231F1F"/>
                <w:w w:val="105"/>
                <w:sz w:val="22"/>
              </w:rPr>
              <w:t>de</w:t>
            </w:r>
            <w:r>
              <w:rPr>
                <w:i/>
                <w:color w:val="231F1F"/>
                <w:spacing w:val="-12"/>
                <w:w w:val="105"/>
                <w:sz w:val="22"/>
              </w:rPr>
              <w:t> </w:t>
            </w:r>
            <w:r>
              <w:rPr>
                <w:i/>
                <w:color w:val="231F1F"/>
                <w:spacing w:val="-2"/>
                <w:w w:val="105"/>
                <w:sz w:val="22"/>
              </w:rPr>
              <w:t>coagulación</w:t>
            </w:r>
          </w:p>
        </w:tc>
      </w:tr>
      <w:tr>
        <w:trPr>
          <w:trHeight w:val="671" w:hRule="atLeast"/>
        </w:trPr>
        <w:tc>
          <w:tcPr>
            <w:tcW w:w="571" w:type="dxa"/>
          </w:tcPr>
          <w:p>
            <w:pPr>
              <w:pStyle w:val="TableParagraph"/>
              <w:spacing w:before="173"/>
              <w:ind w:left="46" w:right="7"/>
              <w:jc w:val="center"/>
              <w:rPr>
                <w:sz w:val="22"/>
              </w:rPr>
            </w:pPr>
            <w:r>
              <w:rPr>
                <w:color w:val="231F1F"/>
                <w:spacing w:val="-10"/>
                <w:w w:val="110"/>
                <w:sz w:val="22"/>
              </w:rPr>
              <w:t>B</w:t>
            </w:r>
          </w:p>
        </w:tc>
        <w:tc>
          <w:tcPr>
            <w:tcW w:w="7934" w:type="dxa"/>
          </w:tcPr>
          <w:p>
            <w:pPr>
              <w:pStyle w:val="TableParagraph"/>
              <w:spacing w:line="249" w:lineRule="auto" w:before="44"/>
              <w:ind w:left="117" w:right="163"/>
              <w:rPr>
                <w:sz w:val="22"/>
              </w:rPr>
            </w:pPr>
            <w:r>
              <w:rPr>
                <w:color w:val="231F1F"/>
                <w:sz w:val="22"/>
              </w:rPr>
              <w:t>No</w:t>
            </w:r>
            <w:r>
              <w:rPr>
                <w:color w:val="231F1F"/>
                <w:spacing w:val="27"/>
                <w:sz w:val="22"/>
              </w:rPr>
              <w:t> </w:t>
            </w:r>
            <w:r>
              <w:rPr>
                <w:color w:val="231F1F"/>
                <w:sz w:val="22"/>
              </w:rPr>
              <w:t>se</w:t>
            </w:r>
            <w:r>
              <w:rPr>
                <w:color w:val="231F1F"/>
                <w:spacing w:val="29"/>
                <w:sz w:val="22"/>
              </w:rPr>
              <w:t> </w:t>
            </w:r>
            <w:r>
              <w:rPr>
                <w:color w:val="231F1F"/>
                <w:sz w:val="22"/>
              </w:rPr>
              <w:t>recomienda</w:t>
            </w:r>
            <w:r>
              <w:rPr>
                <w:color w:val="231F1F"/>
                <w:spacing w:val="30"/>
                <w:sz w:val="22"/>
              </w:rPr>
              <w:t> </w:t>
            </w:r>
            <w:r>
              <w:rPr>
                <w:color w:val="231F1F"/>
                <w:sz w:val="22"/>
              </w:rPr>
              <w:t>realizar</w:t>
            </w:r>
            <w:r>
              <w:rPr>
                <w:color w:val="231F1F"/>
                <w:spacing w:val="30"/>
                <w:sz w:val="22"/>
              </w:rPr>
              <w:t> </w:t>
            </w:r>
            <w:r>
              <w:rPr>
                <w:color w:val="231F1F"/>
                <w:sz w:val="22"/>
              </w:rPr>
              <w:t>un</w:t>
            </w:r>
            <w:r>
              <w:rPr>
                <w:color w:val="231F1F"/>
                <w:spacing w:val="29"/>
                <w:sz w:val="22"/>
              </w:rPr>
              <w:t> </w:t>
            </w:r>
            <w:r>
              <w:rPr>
                <w:color w:val="231F1F"/>
                <w:sz w:val="22"/>
              </w:rPr>
              <w:t>estudio</w:t>
            </w:r>
            <w:r>
              <w:rPr>
                <w:color w:val="231F1F"/>
                <w:spacing w:val="29"/>
                <w:sz w:val="22"/>
              </w:rPr>
              <w:t> </w:t>
            </w:r>
            <w:r>
              <w:rPr>
                <w:color w:val="231F1F"/>
                <w:sz w:val="22"/>
              </w:rPr>
              <w:t>de</w:t>
            </w:r>
            <w:r>
              <w:rPr>
                <w:color w:val="231F1F"/>
                <w:spacing w:val="29"/>
                <w:sz w:val="22"/>
              </w:rPr>
              <w:t> </w:t>
            </w:r>
            <w:r>
              <w:rPr>
                <w:color w:val="231F1F"/>
                <w:sz w:val="22"/>
              </w:rPr>
              <w:t>coagulación</w:t>
            </w:r>
            <w:r>
              <w:rPr>
                <w:color w:val="231F1F"/>
                <w:spacing w:val="29"/>
                <w:sz w:val="22"/>
              </w:rPr>
              <w:t> </w:t>
            </w:r>
            <w:r>
              <w:rPr>
                <w:color w:val="231F1F"/>
                <w:sz w:val="22"/>
              </w:rPr>
              <w:t>rutinario</w:t>
            </w:r>
            <w:r>
              <w:rPr>
                <w:color w:val="231F1F"/>
                <w:spacing w:val="28"/>
                <w:sz w:val="22"/>
              </w:rPr>
              <w:t> </w:t>
            </w:r>
            <w:r>
              <w:rPr>
                <w:color w:val="231F1F"/>
                <w:sz w:val="22"/>
              </w:rPr>
              <w:t>previo</w:t>
            </w:r>
            <w:r>
              <w:rPr>
                <w:color w:val="231F1F"/>
                <w:spacing w:val="29"/>
                <w:sz w:val="22"/>
              </w:rPr>
              <w:t> </w:t>
            </w:r>
            <w:r>
              <w:rPr>
                <w:color w:val="231F1F"/>
                <w:sz w:val="22"/>
              </w:rPr>
              <w:t>a</w:t>
            </w:r>
            <w:r>
              <w:rPr>
                <w:color w:val="231F1F"/>
                <w:spacing w:val="29"/>
                <w:sz w:val="22"/>
              </w:rPr>
              <w:t> </w:t>
            </w:r>
            <w:r>
              <w:rPr>
                <w:color w:val="231F1F"/>
                <w:sz w:val="22"/>
              </w:rPr>
              <w:t>la</w:t>
            </w:r>
            <w:r>
              <w:rPr>
                <w:color w:val="231F1F"/>
                <w:spacing w:val="29"/>
                <w:sz w:val="22"/>
              </w:rPr>
              <w:t> </w:t>
            </w:r>
            <w:r>
              <w:rPr>
                <w:color w:val="231F1F"/>
                <w:sz w:val="22"/>
              </w:rPr>
              <w:t>analge- sia</w:t>
            </w:r>
            <w:r>
              <w:rPr>
                <w:color w:val="231F1F"/>
                <w:spacing w:val="40"/>
                <w:sz w:val="22"/>
              </w:rPr>
              <w:t> </w:t>
            </w:r>
            <w:r>
              <w:rPr>
                <w:color w:val="231F1F"/>
                <w:sz w:val="22"/>
              </w:rPr>
              <w:t>neuroaxial</w:t>
            </w:r>
            <w:r>
              <w:rPr>
                <w:color w:val="231F1F"/>
                <w:spacing w:val="40"/>
                <w:sz w:val="22"/>
              </w:rPr>
              <w:t> </w:t>
            </w:r>
            <w:r>
              <w:rPr>
                <w:color w:val="231F1F"/>
                <w:sz w:val="22"/>
              </w:rPr>
              <w:t>en</w:t>
            </w:r>
            <w:r>
              <w:rPr>
                <w:color w:val="231F1F"/>
                <w:spacing w:val="40"/>
                <w:sz w:val="22"/>
              </w:rPr>
              <w:t> </w:t>
            </w:r>
            <w:r>
              <w:rPr>
                <w:color w:val="231F1F"/>
                <w:sz w:val="22"/>
              </w:rPr>
              <w:t>mujeres</w:t>
            </w:r>
            <w:r>
              <w:rPr>
                <w:color w:val="231F1F"/>
                <w:spacing w:val="40"/>
                <w:sz w:val="22"/>
              </w:rPr>
              <w:t> </w:t>
            </w:r>
            <w:r>
              <w:rPr>
                <w:color w:val="231F1F"/>
                <w:sz w:val="22"/>
              </w:rPr>
              <w:t>sanas</w:t>
            </w:r>
            <w:r>
              <w:rPr>
                <w:color w:val="231F1F"/>
                <w:spacing w:val="40"/>
                <w:sz w:val="22"/>
              </w:rPr>
              <w:t> </w:t>
            </w:r>
            <w:r>
              <w:rPr>
                <w:color w:val="231F1F"/>
                <w:sz w:val="22"/>
              </w:rPr>
              <w:t>de</w:t>
            </w:r>
            <w:r>
              <w:rPr>
                <w:color w:val="231F1F"/>
                <w:spacing w:val="40"/>
                <w:sz w:val="22"/>
              </w:rPr>
              <w:t> </w:t>
            </w:r>
            <w:r>
              <w:rPr>
                <w:color w:val="231F1F"/>
                <w:sz w:val="22"/>
              </w:rPr>
              <w:t>parto.</w:t>
            </w:r>
          </w:p>
        </w:tc>
      </w:tr>
      <w:tr>
        <w:trPr>
          <w:trHeight w:val="666" w:hRule="atLeast"/>
        </w:trPr>
        <w:tc>
          <w:tcPr>
            <w:tcW w:w="571" w:type="dxa"/>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39"/>
              <w:ind w:left="117" w:right="163"/>
              <w:rPr>
                <w:sz w:val="22"/>
              </w:rPr>
            </w:pPr>
            <w:r>
              <w:rPr>
                <w:color w:val="231F1F"/>
                <w:w w:val="110"/>
                <w:sz w:val="22"/>
              </w:rPr>
              <w:t>No</w:t>
            </w:r>
            <w:r>
              <w:rPr>
                <w:color w:val="231F1F"/>
                <w:spacing w:val="-14"/>
                <w:w w:val="110"/>
                <w:sz w:val="22"/>
              </w:rPr>
              <w:t> </w:t>
            </w:r>
            <w:r>
              <w:rPr>
                <w:color w:val="231F1F"/>
                <w:w w:val="110"/>
                <w:sz w:val="22"/>
              </w:rPr>
              <w:t>se</w:t>
            </w:r>
            <w:r>
              <w:rPr>
                <w:color w:val="231F1F"/>
                <w:spacing w:val="-14"/>
                <w:w w:val="110"/>
                <w:sz w:val="22"/>
              </w:rPr>
              <w:t> </w:t>
            </w:r>
            <w:r>
              <w:rPr>
                <w:color w:val="231F1F"/>
                <w:w w:val="110"/>
                <w:sz w:val="22"/>
              </w:rPr>
              <w:t>recomienda</w:t>
            </w:r>
            <w:r>
              <w:rPr>
                <w:color w:val="231F1F"/>
                <w:spacing w:val="-14"/>
                <w:w w:val="110"/>
                <w:sz w:val="22"/>
              </w:rPr>
              <w:t> </w:t>
            </w:r>
            <w:r>
              <w:rPr>
                <w:color w:val="231F1F"/>
                <w:w w:val="110"/>
                <w:sz w:val="22"/>
              </w:rPr>
              <w:t>realizar</w:t>
            </w:r>
            <w:r>
              <w:rPr>
                <w:color w:val="231F1F"/>
                <w:spacing w:val="-14"/>
                <w:w w:val="110"/>
                <w:sz w:val="22"/>
              </w:rPr>
              <w:t> </w:t>
            </w:r>
            <w:r>
              <w:rPr>
                <w:color w:val="231F1F"/>
                <w:w w:val="110"/>
                <w:sz w:val="22"/>
              </w:rPr>
              <w:t>un</w:t>
            </w:r>
            <w:r>
              <w:rPr>
                <w:color w:val="231F1F"/>
                <w:spacing w:val="-14"/>
                <w:w w:val="110"/>
                <w:sz w:val="22"/>
              </w:rPr>
              <w:t> </w:t>
            </w:r>
            <w:r>
              <w:rPr>
                <w:color w:val="231F1F"/>
                <w:w w:val="110"/>
                <w:sz w:val="22"/>
              </w:rPr>
              <w:t>recuento</w:t>
            </w:r>
            <w:r>
              <w:rPr>
                <w:color w:val="231F1F"/>
                <w:spacing w:val="-14"/>
                <w:w w:val="110"/>
                <w:sz w:val="22"/>
              </w:rPr>
              <w:t> </w:t>
            </w:r>
            <w:r>
              <w:rPr>
                <w:color w:val="231F1F"/>
                <w:w w:val="110"/>
                <w:sz w:val="22"/>
              </w:rPr>
              <w:t>intraparto</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plaquetas</w:t>
            </w:r>
            <w:r>
              <w:rPr>
                <w:color w:val="231F1F"/>
                <w:spacing w:val="-16"/>
                <w:w w:val="110"/>
                <w:sz w:val="22"/>
              </w:rPr>
              <w:t> </w:t>
            </w:r>
            <w:r>
              <w:rPr>
                <w:color w:val="231F1F"/>
                <w:w w:val="110"/>
                <w:sz w:val="22"/>
              </w:rPr>
              <w:t>rutinario</w:t>
            </w:r>
            <w:r>
              <w:rPr>
                <w:color w:val="231F1F"/>
                <w:spacing w:val="-13"/>
                <w:w w:val="110"/>
                <w:sz w:val="22"/>
              </w:rPr>
              <w:t> </w:t>
            </w:r>
            <w:r>
              <w:rPr>
                <w:color w:val="231F1F"/>
                <w:w w:val="110"/>
                <w:sz w:val="22"/>
              </w:rPr>
              <w:t>previo</w:t>
            </w:r>
            <w:r>
              <w:rPr>
                <w:color w:val="231F1F"/>
                <w:spacing w:val="-14"/>
                <w:w w:val="110"/>
                <w:sz w:val="22"/>
              </w:rPr>
              <w:t> </w:t>
            </w:r>
            <w:r>
              <w:rPr>
                <w:color w:val="231F1F"/>
                <w:w w:val="110"/>
                <w:sz w:val="22"/>
              </w:rPr>
              <w:t>a la analgesia neuroaxial en mujeres sanas de parto.</w:t>
            </w:r>
          </w:p>
        </w:tc>
      </w:tr>
      <w:tr>
        <w:trPr>
          <w:trHeight w:val="945" w:hRule="atLeast"/>
        </w:trPr>
        <w:tc>
          <w:tcPr>
            <w:tcW w:w="571" w:type="dxa"/>
          </w:tcPr>
          <w:p>
            <w:pPr>
              <w:pStyle w:val="TableParagraph"/>
              <w:spacing w:before="78"/>
              <w:ind w:left="0"/>
              <w:rPr>
                <w:rFonts w:ascii="Arial MT"/>
                <w:sz w:val="22"/>
              </w:rPr>
            </w:pPr>
          </w:p>
          <w:p>
            <w:pPr>
              <w:pStyle w:val="TableParagraph"/>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39"/>
              <w:ind w:left="116" w:right="82"/>
              <w:jc w:val="both"/>
              <w:rPr>
                <w:sz w:val="22"/>
              </w:rPr>
            </w:pPr>
            <w:r>
              <w:rPr>
                <w:color w:val="231F1F"/>
                <w:w w:val="105"/>
                <w:sz w:val="22"/>
              </w:rPr>
              <w:t>La decisión de realizar un recuento de plaquetas y un test de coagulación debe ser individualizada y basada en la historia de la mujer, el examen físico y los signos </w:t>
            </w:r>
            <w:r>
              <w:rPr>
                <w:color w:val="231F1F"/>
                <w:spacing w:val="-2"/>
                <w:w w:val="105"/>
                <w:sz w:val="22"/>
              </w:rPr>
              <w:t>clínicos.</w:t>
            </w:r>
          </w:p>
        </w:tc>
      </w:tr>
      <w:tr>
        <w:trPr>
          <w:trHeight w:val="388" w:hRule="atLeast"/>
        </w:trPr>
        <w:tc>
          <w:tcPr>
            <w:tcW w:w="8505" w:type="dxa"/>
            <w:gridSpan w:val="2"/>
          </w:tcPr>
          <w:p>
            <w:pPr>
              <w:pStyle w:val="TableParagraph"/>
              <w:spacing w:before="53"/>
              <w:rPr>
                <w:i/>
                <w:sz w:val="22"/>
              </w:rPr>
            </w:pPr>
            <w:r>
              <w:rPr>
                <w:i/>
                <w:color w:val="231F1F"/>
                <w:sz w:val="22"/>
              </w:rPr>
              <w:t>9.4.4.</w:t>
            </w:r>
            <w:r>
              <w:rPr>
                <w:i/>
                <w:color w:val="231F1F"/>
                <w:spacing w:val="2"/>
                <w:sz w:val="22"/>
              </w:rPr>
              <w:t> </w:t>
            </w:r>
            <w:r>
              <w:rPr>
                <w:i/>
                <w:color w:val="231F1F"/>
                <w:sz w:val="22"/>
              </w:rPr>
              <w:t>Precarga</w:t>
            </w:r>
            <w:r>
              <w:rPr>
                <w:i/>
                <w:color w:val="231F1F"/>
                <w:spacing w:val="4"/>
                <w:sz w:val="22"/>
              </w:rPr>
              <w:t> </w:t>
            </w:r>
            <w:r>
              <w:rPr>
                <w:i/>
                <w:color w:val="231F1F"/>
                <w:sz w:val="22"/>
              </w:rPr>
              <w:t>de</w:t>
            </w:r>
            <w:r>
              <w:rPr>
                <w:i/>
                <w:color w:val="231F1F"/>
                <w:spacing w:val="2"/>
                <w:sz w:val="22"/>
              </w:rPr>
              <w:t> </w:t>
            </w:r>
            <w:r>
              <w:rPr>
                <w:i/>
                <w:color w:val="231F1F"/>
                <w:sz w:val="22"/>
              </w:rPr>
              <w:t>soluciones</w:t>
            </w:r>
            <w:r>
              <w:rPr>
                <w:i/>
                <w:color w:val="231F1F"/>
                <w:spacing w:val="7"/>
                <w:sz w:val="22"/>
              </w:rPr>
              <w:t> </w:t>
            </w:r>
            <w:r>
              <w:rPr>
                <w:i/>
                <w:color w:val="231F1F"/>
                <w:spacing w:val="-2"/>
                <w:sz w:val="22"/>
              </w:rPr>
              <w:t>intravenosas</w:t>
            </w:r>
          </w:p>
        </w:tc>
      </w:tr>
      <w:tr>
        <w:trPr>
          <w:trHeight w:val="671" w:hRule="atLeast"/>
        </w:trPr>
        <w:tc>
          <w:tcPr>
            <w:tcW w:w="571" w:type="dxa"/>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9"/>
              <w:ind w:left="117"/>
              <w:rPr>
                <w:sz w:val="22"/>
              </w:rPr>
            </w:pPr>
            <w:r>
              <w:rPr>
                <w:color w:val="231F1F"/>
                <w:sz w:val="22"/>
              </w:rPr>
              <w:t>Se</w:t>
            </w:r>
            <w:r>
              <w:rPr>
                <w:color w:val="231F1F"/>
                <w:spacing w:val="27"/>
                <w:sz w:val="22"/>
              </w:rPr>
              <w:t> </w:t>
            </w:r>
            <w:r>
              <w:rPr>
                <w:color w:val="231F1F"/>
                <w:sz w:val="22"/>
              </w:rPr>
              <w:t>recomienda</w:t>
            </w:r>
            <w:r>
              <w:rPr>
                <w:color w:val="231F1F"/>
                <w:spacing w:val="30"/>
                <w:sz w:val="22"/>
              </w:rPr>
              <w:t> </w:t>
            </w:r>
            <w:r>
              <w:rPr>
                <w:color w:val="231F1F"/>
                <w:sz w:val="22"/>
              </w:rPr>
              <w:t>asegurar</w:t>
            </w:r>
            <w:r>
              <w:rPr>
                <w:color w:val="231F1F"/>
                <w:spacing w:val="29"/>
                <w:sz w:val="22"/>
              </w:rPr>
              <w:t> </w:t>
            </w:r>
            <w:r>
              <w:rPr>
                <w:color w:val="231F1F"/>
                <w:sz w:val="22"/>
              </w:rPr>
              <w:t>un</w:t>
            </w:r>
            <w:r>
              <w:rPr>
                <w:color w:val="231F1F"/>
                <w:spacing w:val="29"/>
                <w:sz w:val="22"/>
              </w:rPr>
              <w:t> </w:t>
            </w:r>
            <w:r>
              <w:rPr>
                <w:color w:val="231F1F"/>
                <w:sz w:val="22"/>
              </w:rPr>
              <w:t>acceso</w:t>
            </w:r>
            <w:r>
              <w:rPr>
                <w:color w:val="231F1F"/>
                <w:spacing w:val="29"/>
                <w:sz w:val="22"/>
              </w:rPr>
              <w:t> </w:t>
            </w:r>
            <w:r>
              <w:rPr>
                <w:color w:val="231F1F"/>
                <w:sz w:val="22"/>
              </w:rPr>
              <w:t>por</w:t>
            </w:r>
            <w:r>
              <w:rPr>
                <w:color w:val="231F1F"/>
                <w:spacing w:val="29"/>
                <w:sz w:val="22"/>
              </w:rPr>
              <w:t> </w:t>
            </w:r>
            <w:r>
              <w:rPr>
                <w:color w:val="231F1F"/>
                <w:sz w:val="22"/>
              </w:rPr>
              <w:t>vía</w:t>
            </w:r>
            <w:r>
              <w:rPr>
                <w:color w:val="231F1F"/>
                <w:spacing w:val="29"/>
                <w:sz w:val="22"/>
              </w:rPr>
              <w:t> </w:t>
            </w:r>
            <w:r>
              <w:rPr>
                <w:color w:val="231F1F"/>
                <w:sz w:val="22"/>
              </w:rPr>
              <w:t>intravenosa</w:t>
            </w:r>
            <w:r>
              <w:rPr>
                <w:color w:val="231F1F"/>
                <w:spacing w:val="30"/>
                <w:sz w:val="22"/>
              </w:rPr>
              <w:t> </w:t>
            </w:r>
            <w:r>
              <w:rPr>
                <w:color w:val="231F1F"/>
                <w:sz w:val="22"/>
              </w:rPr>
              <w:t>antes</w:t>
            </w:r>
            <w:r>
              <w:rPr>
                <w:color w:val="231F1F"/>
                <w:spacing w:val="27"/>
                <w:sz w:val="22"/>
              </w:rPr>
              <w:t> </w:t>
            </w:r>
            <w:r>
              <w:rPr>
                <w:color w:val="231F1F"/>
                <w:sz w:val="22"/>
              </w:rPr>
              <w:t>de</w:t>
            </w:r>
            <w:r>
              <w:rPr>
                <w:color w:val="231F1F"/>
                <w:spacing w:val="29"/>
                <w:sz w:val="22"/>
              </w:rPr>
              <w:t> </w:t>
            </w:r>
            <w:r>
              <w:rPr>
                <w:color w:val="231F1F"/>
                <w:sz w:val="22"/>
              </w:rPr>
              <w:t>comenzar</w:t>
            </w:r>
            <w:r>
              <w:rPr>
                <w:color w:val="231F1F"/>
                <w:spacing w:val="29"/>
                <w:sz w:val="22"/>
              </w:rPr>
              <w:t> </w:t>
            </w:r>
            <w:r>
              <w:rPr>
                <w:color w:val="231F1F"/>
                <w:sz w:val="22"/>
              </w:rPr>
              <w:t>la</w:t>
            </w:r>
            <w:r>
              <w:rPr>
                <w:color w:val="231F1F"/>
                <w:spacing w:val="29"/>
                <w:sz w:val="22"/>
              </w:rPr>
              <w:t> </w:t>
            </w:r>
            <w:r>
              <w:rPr>
                <w:color w:val="231F1F"/>
                <w:sz w:val="22"/>
              </w:rPr>
              <w:t>anal- gesia neuroaxial.</w:t>
            </w:r>
          </w:p>
        </w:tc>
      </w:tr>
      <w:tr>
        <w:trPr>
          <w:trHeight w:val="945" w:hRule="atLeast"/>
        </w:trPr>
        <w:tc>
          <w:tcPr>
            <w:tcW w:w="571" w:type="dxa"/>
          </w:tcPr>
          <w:p>
            <w:pPr>
              <w:pStyle w:val="TableParagraph"/>
              <w:spacing w:before="59"/>
              <w:ind w:left="0"/>
              <w:rPr>
                <w:rFonts w:ascii="Arial MT"/>
                <w:sz w:val="22"/>
              </w:rPr>
            </w:pPr>
          </w:p>
          <w:p>
            <w:pPr>
              <w:pStyle w:val="TableParagraph"/>
              <w:spacing w:before="1"/>
              <w:ind w:left="46" w:right="9"/>
              <w:jc w:val="center"/>
              <w:rPr>
                <w:sz w:val="22"/>
              </w:rPr>
            </w:pPr>
            <w:r>
              <w:rPr>
                <w:color w:val="231F1F"/>
                <w:spacing w:val="-10"/>
                <w:w w:val="115"/>
                <w:sz w:val="22"/>
              </w:rPr>
              <w:t>A</w:t>
            </w:r>
          </w:p>
        </w:tc>
        <w:tc>
          <w:tcPr>
            <w:tcW w:w="7934" w:type="dxa"/>
          </w:tcPr>
          <w:p>
            <w:pPr>
              <w:pStyle w:val="TableParagraph"/>
              <w:spacing w:line="249" w:lineRule="auto" w:before="39"/>
              <w:ind w:left="116" w:right="86"/>
              <w:jc w:val="both"/>
              <w:rPr>
                <w:sz w:val="22"/>
              </w:rPr>
            </w:pPr>
            <w:r>
              <w:rPr>
                <w:color w:val="231F1F"/>
                <w:w w:val="105"/>
                <w:sz w:val="22"/>
              </w:rPr>
              <w:t>La precarga por vía intravenosa no necesita ser administrada rutinariamente antes de la anestesia epidural con dosis bajas o con anestesia intradural-epidural combi- </w:t>
            </w:r>
            <w:r>
              <w:rPr>
                <w:color w:val="231F1F"/>
                <w:spacing w:val="-2"/>
                <w:w w:val="105"/>
                <w:sz w:val="22"/>
              </w:rPr>
              <w:t>nadas.</w:t>
            </w:r>
          </w:p>
        </w:tc>
      </w:tr>
      <w:tr>
        <w:trPr>
          <w:trHeight w:val="388" w:hRule="atLeast"/>
        </w:trPr>
        <w:tc>
          <w:tcPr>
            <w:tcW w:w="8505" w:type="dxa"/>
            <w:gridSpan w:val="2"/>
          </w:tcPr>
          <w:p>
            <w:pPr>
              <w:pStyle w:val="TableParagraph"/>
              <w:spacing w:before="53"/>
              <w:rPr>
                <w:i/>
                <w:sz w:val="22"/>
              </w:rPr>
            </w:pPr>
            <w:r>
              <w:rPr>
                <w:i/>
                <w:color w:val="231F1F"/>
                <w:sz w:val="22"/>
              </w:rPr>
              <w:t>9.4.5.</w:t>
            </w:r>
            <w:r>
              <w:rPr>
                <w:i/>
                <w:color w:val="231F1F"/>
                <w:spacing w:val="4"/>
                <w:sz w:val="22"/>
              </w:rPr>
              <w:t> </w:t>
            </w:r>
            <w:r>
              <w:rPr>
                <w:i/>
                <w:color w:val="231F1F"/>
                <w:sz w:val="22"/>
              </w:rPr>
              <w:t>Instauración</w:t>
            </w:r>
            <w:r>
              <w:rPr>
                <w:i/>
                <w:color w:val="231F1F"/>
                <w:spacing w:val="8"/>
                <w:sz w:val="22"/>
              </w:rPr>
              <w:t> </w:t>
            </w:r>
            <w:r>
              <w:rPr>
                <w:i/>
                <w:color w:val="231F1F"/>
                <w:sz w:val="22"/>
              </w:rPr>
              <w:t>de</w:t>
            </w:r>
            <w:r>
              <w:rPr>
                <w:i/>
                <w:color w:val="231F1F"/>
                <w:spacing w:val="5"/>
                <w:sz w:val="22"/>
              </w:rPr>
              <w:t> </w:t>
            </w:r>
            <w:r>
              <w:rPr>
                <w:i/>
                <w:color w:val="231F1F"/>
                <w:sz w:val="22"/>
              </w:rPr>
              <w:t>la</w:t>
            </w:r>
            <w:r>
              <w:rPr>
                <w:i/>
                <w:color w:val="231F1F"/>
                <w:spacing w:val="7"/>
                <w:sz w:val="22"/>
              </w:rPr>
              <w:t> </w:t>
            </w:r>
            <w:r>
              <w:rPr>
                <w:i/>
                <w:color w:val="231F1F"/>
                <w:spacing w:val="-2"/>
                <w:sz w:val="22"/>
              </w:rPr>
              <w:t>analgesia</w:t>
            </w:r>
          </w:p>
        </w:tc>
      </w:tr>
      <w:tr>
        <w:trPr>
          <w:trHeight w:val="661"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59" w:lineRule="auto" w:before="53"/>
              <w:ind w:left="117" w:right="163"/>
              <w:rPr>
                <w:sz w:val="22"/>
              </w:rPr>
            </w:pPr>
            <w:r>
              <w:rPr>
                <w:color w:val="231F1F"/>
                <w:sz w:val="22"/>
              </w:rPr>
              <w:t>La analgesia regional puede proporcionarse cuando la mujer lo solicite, incluso en</w:t>
            </w:r>
            <w:r>
              <w:rPr>
                <w:color w:val="231F1F"/>
                <w:spacing w:val="40"/>
                <w:sz w:val="22"/>
              </w:rPr>
              <w:t> </w:t>
            </w:r>
            <w:r>
              <w:rPr>
                <w:color w:val="231F1F"/>
                <w:sz w:val="22"/>
              </w:rPr>
              <w:t>fases</w:t>
            </w:r>
            <w:r>
              <w:rPr>
                <w:color w:val="231F1F"/>
                <w:spacing w:val="40"/>
                <w:sz w:val="22"/>
              </w:rPr>
              <w:t> </w:t>
            </w:r>
            <w:r>
              <w:rPr>
                <w:color w:val="231F1F"/>
                <w:sz w:val="22"/>
              </w:rPr>
              <w:t>tempranas</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primera</w:t>
            </w:r>
            <w:r>
              <w:rPr>
                <w:color w:val="231F1F"/>
                <w:spacing w:val="40"/>
                <w:sz w:val="22"/>
              </w:rPr>
              <w:t> </w:t>
            </w:r>
            <w:r>
              <w:rPr>
                <w:color w:val="231F1F"/>
                <w:sz w:val="22"/>
              </w:rPr>
              <w:t>etapa</w:t>
            </w:r>
            <w:r>
              <w:rPr>
                <w:color w:val="231F1F"/>
                <w:spacing w:val="40"/>
                <w:sz w:val="22"/>
              </w:rPr>
              <w:t> </w:t>
            </w:r>
            <w:r>
              <w:rPr>
                <w:color w:val="231F1F"/>
                <w:sz w:val="22"/>
              </w:rPr>
              <w:t>del</w:t>
            </w:r>
            <w:r>
              <w:rPr>
                <w:color w:val="231F1F"/>
                <w:spacing w:val="40"/>
                <w:sz w:val="22"/>
              </w:rPr>
              <w:t> </w:t>
            </w:r>
            <w:r>
              <w:rPr>
                <w:color w:val="231F1F"/>
                <w:sz w:val="22"/>
              </w:rPr>
              <w:t>parto.</w:t>
            </w:r>
          </w:p>
        </w:tc>
      </w:tr>
      <w:tr>
        <w:trPr>
          <w:trHeight w:val="388" w:hRule="atLeast"/>
        </w:trPr>
        <w:tc>
          <w:tcPr>
            <w:tcW w:w="8505" w:type="dxa"/>
            <w:gridSpan w:val="2"/>
          </w:tcPr>
          <w:p>
            <w:pPr>
              <w:pStyle w:val="TableParagraph"/>
              <w:spacing w:before="53"/>
              <w:rPr>
                <w:i/>
                <w:sz w:val="22"/>
              </w:rPr>
            </w:pPr>
            <w:r>
              <w:rPr>
                <w:i/>
                <w:color w:val="231F1F"/>
                <w:sz w:val="22"/>
              </w:rPr>
              <w:t>9.4.6.</w:t>
            </w:r>
            <w:r>
              <w:rPr>
                <w:i/>
                <w:color w:val="231F1F"/>
                <w:spacing w:val="2"/>
                <w:sz w:val="22"/>
              </w:rPr>
              <w:t> </w:t>
            </w:r>
            <w:r>
              <w:rPr>
                <w:i/>
                <w:color w:val="231F1F"/>
                <w:sz w:val="22"/>
              </w:rPr>
              <w:t>Vigilancia</w:t>
            </w:r>
            <w:r>
              <w:rPr>
                <w:i/>
                <w:color w:val="231F1F"/>
                <w:spacing w:val="2"/>
                <w:sz w:val="22"/>
              </w:rPr>
              <w:t> </w:t>
            </w:r>
            <w:r>
              <w:rPr>
                <w:i/>
                <w:color w:val="231F1F"/>
                <w:spacing w:val="-2"/>
                <w:sz w:val="22"/>
              </w:rPr>
              <w:t>materna</w:t>
            </w:r>
          </w:p>
        </w:tc>
      </w:tr>
      <w:tr>
        <w:trPr>
          <w:trHeight w:val="666" w:hRule="atLeast"/>
        </w:trPr>
        <w:tc>
          <w:tcPr>
            <w:tcW w:w="571" w:type="dxa"/>
          </w:tcPr>
          <w:p>
            <w:pPr>
              <w:pStyle w:val="TableParagraph"/>
              <w:spacing w:before="192"/>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39"/>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el</w:t>
            </w:r>
            <w:r>
              <w:rPr>
                <w:color w:val="231F1F"/>
                <w:spacing w:val="-8"/>
                <w:w w:val="110"/>
                <w:sz w:val="22"/>
              </w:rPr>
              <w:t> </w:t>
            </w:r>
            <w:r>
              <w:rPr>
                <w:color w:val="231F1F"/>
                <w:w w:val="110"/>
                <w:sz w:val="22"/>
              </w:rPr>
              <w:t>control</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tensión</w:t>
            </w:r>
            <w:r>
              <w:rPr>
                <w:color w:val="231F1F"/>
                <w:spacing w:val="-8"/>
                <w:w w:val="110"/>
                <w:sz w:val="22"/>
              </w:rPr>
              <w:t> </w:t>
            </w:r>
            <w:r>
              <w:rPr>
                <w:color w:val="231F1F"/>
                <w:w w:val="110"/>
                <w:sz w:val="22"/>
              </w:rPr>
              <w:t>arterial</w:t>
            </w:r>
            <w:r>
              <w:rPr>
                <w:color w:val="231F1F"/>
                <w:spacing w:val="-9"/>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establecimiento</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 analgesia neuroaxial y tras la administración de cada nueva dosis.</w:t>
            </w:r>
          </w:p>
        </w:tc>
      </w:tr>
      <w:tr>
        <w:trPr>
          <w:trHeight w:val="950" w:hRule="atLeast"/>
        </w:trPr>
        <w:tc>
          <w:tcPr>
            <w:tcW w:w="571" w:type="dxa"/>
          </w:tcPr>
          <w:p>
            <w:pPr>
              <w:pStyle w:val="TableParagraph"/>
              <w:spacing w:before="82"/>
              <w:ind w:left="0"/>
              <w:rPr>
                <w:rFonts w:ascii="Arial MT"/>
                <w:sz w:val="22"/>
              </w:rPr>
            </w:pPr>
          </w:p>
          <w:p>
            <w:pPr>
              <w:pStyle w:val="TableParagraph"/>
              <w:spacing w:before="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4"/>
              <w:ind w:left="117" w:right="87"/>
              <w:jc w:val="both"/>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MEC</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FCF</w:t>
            </w:r>
            <w:r>
              <w:rPr>
                <w:color w:val="231F1F"/>
                <w:spacing w:val="-15"/>
                <w:w w:val="110"/>
                <w:sz w:val="22"/>
              </w:rPr>
              <w:t> </w:t>
            </w:r>
            <w:r>
              <w:rPr>
                <w:color w:val="231F1F"/>
                <w:w w:val="110"/>
                <w:sz w:val="22"/>
              </w:rPr>
              <w:t>durante</w:t>
            </w:r>
            <w:r>
              <w:rPr>
                <w:color w:val="231F1F"/>
                <w:spacing w:val="-15"/>
                <w:w w:val="110"/>
                <w:sz w:val="22"/>
              </w:rPr>
              <w:t> </w:t>
            </w:r>
            <w:r>
              <w:rPr>
                <w:color w:val="231F1F"/>
                <w:w w:val="110"/>
                <w:sz w:val="22"/>
              </w:rPr>
              <w:t>los</w:t>
            </w:r>
            <w:r>
              <w:rPr>
                <w:color w:val="231F1F"/>
                <w:spacing w:val="-16"/>
                <w:w w:val="110"/>
                <w:sz w:val="22"/>
              </w:rPr>
              <w:t> </w:t>
            </w:r>
            <w:r>
              <w:rPr>
                <w:color w:val="231F1F"/>
                <w:w w:val="110"/>
                <w:sz w:val="22"/>
              </w:rPr>
              <w:t>primeros</w:t>
            </w:r>
            <w:r>
              <w:rPr>
                <w:color w:val="231F1F"/>
                <w:spacing w:val="-15"/>
                <w:w w:val="110"/>
                <w:sz w:val="22"/>
              </w:rPr>
              <w:t> </w:t>
            </w:r>
            <w:r>
              <w:rPr>
                <w:color w:val="231F1F"/>
                <w:w w:val="110"/>
                <w:sz w:val="22"/>
              </w:rPr>
              <w:t>30</w:t>
            </w:r>
            <w:r>
              <w:rPr>
                <w:color w:val="231F1F"/>
                <w:spacing w:val="-15"/>
                <w:w w:val="110"/>
                <w:sz w:val="22"/>
              </w:rPr>
              <w:t> </w:t>
            </w:r>
            <w:r>
              <w:rPr>
                <w:color w:val="231F1F"/>
                <w:w w:val="110"/>
                <w:sz w:val="22"/>
              </w:rPr>
              <w:t>min</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establecimien- to</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analgesia</w:t>
            </w:r>
            <w:r>
              <w:rPr>
                <w:color w:val="231F1F"/>
                <w:spacing w:val="-15"/>
                <w:w w:val="110"/>
                <w:sz w:val="22"/>
              </w:rPr>
              <w:t> </w:t>
            </w:r>
            <w:r>
              <w:rPr>
                <w:color w:val="231F1F"/>
                <w:w w:val="110"/>
                <w:sz w:val="22"/>
              </w:rPr>
              <w:t>neuroaxial</w:t>
            </w:r>
            <w:r>
              <w:rPr>
                <w:color w:val="231F1F"/>
                <w:spacing w:val="-15"/>
                <w:w w:val="110"/>
                <w:sz w:val="22"/>
              </w:rPr>
              <w:t> </w:t>
            </w:r>
            <w:r>
              <w:rPr>
                <w:color w:val="231F1F"/>
                <w:w w:val="110"/>
                <w:sz w:val="22"/>
              </w:rPr>
              <w:t>y</w:t>
            </w:r>
            <w:r>
              <w:rPr>
                <w:color w:val="231F1F"/>
                <w:spacing w:val="-15"/>
                <w:w w:val="110"/>
                <w:sz w:val="22"/>
              </w:rPr>
              <w:t> </w:t>
            </w:r>
            <w:r>
              <w:rPr>
                <w:color w:val="231F1F"/>
                <w:w w:val="110"/>
                <w:sz w:val="22"/>
              </w:rPr>
              <w:t>tras</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administración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cada</w:t>
            </w:r>
            <w:r>
              <w:rPr>
                <w:color w:val="231F1F"/>
                <w:spacing w:val="-15"/>
                <w:w w:val="110"/>
                <w:sz w:val="22"/>
              </w:rPr>
              <w:t> </w:t>
            </w:r>
            <w:r>
              <w:rPr>
                <w:color w:val="231F1F"/>
                <w:w w:val="110"/>
                <w:sz w:val="22"/>
              </w:rPr>
              <w:t>siguiente</w:t>
            </w:r>
            <w:r>
              <w:rPr>
                <w:color w:val="231F1F"/>
                <w:spacing w:val="-15"/>
                <w:w w:val="110"/>
                <w:sz w:val="22"/>
              </w:rPr>
              <w:t> </w:t>
            </w:r>
            <w:r>
              <w:rPr>
                <w:color w:val="231F1F"/>
                <w:w w:val="110"/>
                <w:sz w:val="22"/>
              </w:rPr>
              <w:t>bolo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10 ml o más.</w:t>
            </w:r>
          </w:p>
        </w:tc>
      </w:tr>
      <w:tr>
        <w:trPr>
          <w:trHeight w:val="388" w:hRule="atLeast"/>
        </w:trPr>
        <w:tc>
          <w:tcPr>
            <w:tcW w:w="8505" w:type="dxa"/>
            <w:gridSpan w:val="2"/>
          </w:tcPr>
          <w:p>
            <w:pPr>
              <w:pStyle w:val="TableParagraph"/>
              <w:spacing w:before="34"/>
              <w:rPr>
                <w:i/>
                <w:sz w:val="22"/>
              </w:rPr>
            </w:pPr>
            <w:r>
              <w:rPr>
                <w:i/>
                <w:color w:val="231F1F"/>
                <w:spacing w:val="-2"/>
                <w:w w:val="105"/>
                <w:sz w:val="22"/>
              </w:rPr>
              <w:t>9.4.7.</w:t>
            </w:r>
            <w:r>
              <w:rPr>
                <w:i/>
                <w:color w:val="231F1F"/>
                <w:spacing w:val="-8"/>
                <w:w w:val="105"/>
                <w:sz w:val="22"/>
              </w:rPr>
              <w:t> </w:t>
            </w:r>
            <w:r>
              <w:rPr>
                <w:i/>
                <w:color w:val="231F1F"/>
                <w:spacing w:val="-2"/>
                <w:w w:val="105"/>
                <w:sz w:val="22"/>
              </w:rPr>
              <w:t>Modo</w:t>
            </w:r>
            <w:r>
              <w:rPr>
                <w:i/>
                <w:color w:val="231F1F"/>
                <w:spacing w:val="-6"/>
                <w:w w:val="105"/>
                <w:sz w:val="22"/>
              </w:rPr>
              <w:t> </w:t>
            </w:r>
            <w:r>
              <w:rPr>
                <w:i/>
                <w:color w:val="231F1F"/>
                <w:spacing w:val="-2"/>
                <w:w w:val="105"/>
                <w:sz w:val="22"/>
              </w:rPr>
              <w:t>de</w:t>
            </w:r>
            <w:r>
              <w:rPr>
                <w:i/>
                <w:color w:val="231F1F"/>
                <w:spacing w:val="-8"/>
                <w:w w:val="105"/>
                <w:sz w:val="22"/>
              </w:rPr>
              <w:t> </w:t>
            </w:r>
            <w:r>
              <w:rPr>
                <w:i/>
                <w:color w:val="231F1F"/>
                <w:spacing w:val="-2"/>
                <w:w w:val="105"/>
                <w:sz w:val="22"/>
              </w:rPr>
              <w:t>administración</w:t>
            </w:r>
            <w:r>
              <w:rPr>
                <w:i/>
                <w:color w:val="231F1F"/>
                <w:spacing w:val="-9"/>
                <w:w w:val="105"/>
                <w:sz w:val="22"/>
              </w:rPr>
              <w:t> </w:t>
            </w:r>
            <w:r>
              <w:rPr>
                <w:i/>
                <w:color w:val="231F1F"/>
                <w:spacing w:val="-2"/>
                <w:w w:val="105"/>
                <w:sz w:val="22"/>
              </w:rPr>
              <w:t>de</w:t>
            </w:r>
            <w:r>
              <w:rPr>
                <w:i/>
                <w:color w:val="231F1F"/>
                <w:spacing w:val="-7"/>
                <w:w w:val="105"/>
                <w:sz w:val="22"/>
              </w:rPr>
              <w:t> </w:t>
            </w:r>
            <w:r>
              <w:rPr>
                <w:i/>
                <w:color w:val="231F1F"/>
                <w:spacing w:val="-2"/>
                <w:w w:val="105"/>
                <w:sz w:val="22"/>
              </w:rPr>
              <w:t>analgesia</w:t>
            </w:r>
            <w:r>
              <w:rPr>
                <w:i/>
                <w:color w:val="231F1F"/>
                <w:spacing w:val="-9"/>
                <w:w w:val="105"/>
                <w:sz w:val="22"/>
              </w:rPr>
              <w:t> </w:t>
            </w:r>
            <w:r>
              <w:rPr>
                <w:i/>
                <w:color w:val="231F1F"/>
                <w:spacing w:val="-2"/>
                <w:w w:val="105"/>
                <w:sz w:val="22"/>
              </w:rPr>
              <w:t>epidural</w:t>
            </w:r>
          </w:p>
        </w:tc>
      </w:tr>
      <w:tr>
        <w:trPr>
          <w:trHeight w:val="666"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54" w:lineRule="auto" w:before="39"/>
              <w:ind w:left="116"/>
              <w:rPr>
                <w:sz w:val="22"/>
              </w:rPr>
            </w:pPr>
            <w:r>
              <w:rPr>
                <w:color w:val="231F1F"/>
                <w:w w:val="105"/>
                <w:sz w:val="22"/>
              </w:rPr>
              <w:t>Se recomienda la administración de PCEA. La PC y los bolos administrados por personal</w:t>
            </w:r>
            <w:r>
              <w:rPr>
                <w:color w:val="231F1F"/>
                <w:spacing w:val="-7"/>
                <w:w w:val="105"/>
                <w:sz w:val="22"/>
              </w:rPr>
              <w:t> </w:t>
            </w:r>
            <w:r>
              <w:rPr>
                <w:color w:val="231F1F"/>
                <w:w w:val="105"/>
                <w:sz w:val="22"/>
              </w:rPr>
              <w:t>hospitalario</w:t>
            </w:r>
            <w:r>
              <w:rPr>
                <w:color w:val="231F1F"/>
                <w:spacing w:val="-7"/>
                <w:w w:val="105"/>
                <w:sz w:val="22"/>
              </w:rPr>
              <w:t> </w:t>
            </w:r>
            <w:r>
              <w:rPr>
                <w:color w:val="231F1F"/>
                <w:w w:val="105"/>
                <w:sz w:val="22"/>
              </w:rPr>
              <w:t>son</w:t>
            </w:r>
            <w:r>
              <w:rPr>
                <w:color w:val="231F1F"/>
                <w:spacing w:val="-6"/>
                <w:w w:val="105"/>
                <w:sz w:val="22"/>
              </w:rPr>
              <w:t> </w:t>
            </w:r>
            <w:r>
              <w:rPr>
                <w:color w:val="231F1F"/>
                <w:w w:val="105"/>
                <w:sz w:val="22"/>
              </w:rPr>
              <w:t>alternativas</w:t>
            </w:r>
            <w:r>
              <w:rPr>
                <w:color w:val="231F1F"/>
                <w:spacing w:val="-6"/>
                <w:w w:val="105"/>
                <w:sz w:val="22"/>
              </w:rPr>
              <w:t> </w:t>
            </w:r>
            <w:r>
              <w:rPr>
                <w:color w:val="231F1F"/>
                <w:w w:val="105"/>
                <w:sz w:val="22"/>
              </w:rPr>
              <w:t>válidas</w:t>
            </w:r>
            <w:r>
              <w:rPr>
                <w:color w:val="231F1F"/>
                <w:spacing w:val="-7"/>
                <w:w w:val="105"/>
                <w:sz w:val="22"/>
              </w:rPr>
              <w:t> </w:t>
            </w:r>
            <w:r>
              <w:rPr>
                <w:color w:val="231F1F"/>
                <w:w w:val="105"/>
                <w:sz w:val="22"/>
              </w:rPr>
              <w:t>en</w:t>
            </w:r>
            <w:r>
              <w:rPr>
                <w:color w:val="231F1F"/>
                <w:spacing w:val="-6"/>
                <w:w w:val="105"/>
                <w:sz w:val="22"/>
              </w:rPr>
              <w:t> </w:t>
            </w:r>
            <w:r>
              <w:rPr>
                <w:color w:val="231F1F"/>
                <w:w w:val="105"/>
                <w:sz w:val="22"/>
              </w:rPr>
              <w:t>función</w:t>
            </w:r>
            <w:r>
              <w:rPr>
                <w:color w:val="231F1F"/>
                <w:spacing w:val="-6"/>
                <w:w w:val="105"/>
                <w:sz w:val="22"/>
              </w:rPr>
              <w:t> </w:t>
            </w:r>
            <w:r>
              <w:rPr>
                <w:color w:val="231F1F"/>
                <w:w w:val="105"/>
                <w:sz w:val="22"/>
              </w:rPr>
              <w:t>de</w:t>
            </w:r>
            <w:r>
              <w:rPr>
                <w:color w:val="231F1F"/>
                <w:spacing w:val="-7"/>
                <w:w w:val="105"/>
                <w:sz w:val="22"/>
              </w:rPr>
              <w:t> </w:t>
            </w:r>
            <w:r>
              <w:rPr>
                <w:color w:val="231F1F"/>
                <w:w w:val="105"/>
                <w:sz w:val="22"/>
              </w:rPr>
              <w:t>los</w:t>
            </w:r>
            <w:r>
              <w:rPr>
                <w:color w:val="231F1F"/>
                <w:spacing w:val="-6"/>
                <w:w w:val="105"/>
                <w:sz w:val="22"/>
              </w:rPr>
              <w:t> </w:t>
            </w:r>
            <w:r>
              <w:rPr>
                <w:color w:val="231F1F"/>
                <w:w w:val="105"/>
                <w:sz w:val="22"/>
              </w:rPr>
              <w:t>diferentes</w:t>
            </w:r>
            <w:r>
              <w:rPr>
                <w:color w:val="231F1F"/>
                <w:spacing w:val="-7"/>
                <w:w w:val="105"/>
                <w:sz w:val="22"/>
              </w:rPr>
              <w:t> </w:t>
            </w:r>
            <w:r>
              <w:rPr>
                <w:color w:val="231F1F"/>
                <w:w w:val="105"/>
                <w:sz w:val="22"/>
              </w:rPr>
              <w:t>recursos.</w:t>
            </w:r>
          </w:p>
        </w:tc>
      </w:tr>
      <w:tr>
        <w:trPr>
          <w:trHeight w:val="388" w:hRule="atLeast"/>
        </w:trPr>
        <w:tc>
          <w:tcPr>
            <w:tcW w:w="8505" w:type="dxa"/>
            <w:gridSpan w:val="2"/>
          </w:tcPr>
          <w:p>
            <w:pPr>
              <w:pStyle w:val="TableParagraph"/>
              <w:spacing w:before="53"/>
              <w:rPr>
                <w:i/>
                <w:sz w:val="22"/>
              </w:rPr>
            </w:pPr>
            <w:r>
              <w:rPr>
                <w:i/>
                <w:color w:val="231F1F"/>
                <w:sz w:val="22"/>
              </w:rPr>
              <w:t>9.4.8.</w:t>
            </w:r>
            <w:r>
              <w:rPr>
                <w:i/>
                <w:color w:val="231F1F"/>
                <w:spacing w:val="2"/>
                <w:sz w:val="22"/>
              </w:rPr>
              <w:t> </w:t>
            </w:r>
            <w:r>
              <w:rPr>
                <w:i/>
                <w:color w:val="231F1F"/>
                <w:sz w:val="22"/>
              </w:rPr>
              <w:t>Anestésico</w:t>
            </w:r>
            <w:r>
              <w:rPr>
                <w:i/>
                <w:color w:val="231F1F"/>
                <w:spacing w:val="2"/>
                <w:sz w:val="22"/>
              </w:rPr>
              <w:t> </w:t>
            </w:r>
            <w:r>
              <w:rPr>
                <w:i/>
                <w:color w:val="231F1F"/>
                <w:sz w:val="22"/>
              </w:rPr>
              <w:t>local</w:t>
            </w:r>
            <w:r>
              <w:rPr>
                <w:i/>
                <w:color w:val="231F1F"/>
                <w:spacing w:val="5"/>
                <w:sz w:val="22"/>
              </w:rPr>
              <w:t> </w:t>
            </w:r>
            <w:r>
              <w:rPr>
                <w:i/>
                <w:color w:val="231F1F"/>
                <w:sz w:val="22"/>
              </w:rPr>
              <w:t>en</w:t>
            </w:r>
            <w:r>
              <w:rPr>
                <w:i/>
                <w:color w:val="231F1F"/>
                <w:spacing w:val="3"/>
                <w:sz w:val="22"/>
              </w:rPr>
              <w:t> </w:t>
            </w:r>
            <w:r>
              <w:rPr>
                <w:i/>
                <w:color w:val="231F1F"/>
                <w:sz w:val="22"/>
              </w:rPr>
              <w:t>la</w:t>
            </w:r>
            <w:r>
              <w:rPr>
                <w:i/>
                <w:color w:val="231F1F"/>
                <w:spacing w:val="2"/>
                <w:sz w:val="22"/>
              </w:rPr>
              <w:t> </w:t>
            </w:r>
            <w:r>
              <w:rPr>
                <w:i/>
                <w:color w:val="231F1F"/>
                <w:sz w:val="22"/>
              </w:rPr>
              <w:t>analgesia</w:t>
            </w:r>
            <w:r>
              <w:rPr>
                <w:i/>
                <w:color w:val="231F1F"/>
                <w:spacing w:val="4"/>
                <w:sz w:val="22"/>
              </w:rPr>
              <w:t> </w:t>
            </w:r>
            <w:r>
              <w:rPr>
                <w:i/>
                <w:color w:val="231F1F"/>
                <w:spacing w:val="-2"/>
                <w:sz w:val="22"/>
              </w:rPr>
              <w:t>epidural</w:t>
            </w:r>
          </w:p>
        </w:tc>
      </w:tr>
      <w:tr>
        <w:trPr>
          <w:trHeight w:val="666"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44" w:lineRule="auto" w:before="49"/>
              <w:ind w:left="117" w:right="163"/>
              <w:rPr>
                <w:sz w:val="22"/>
              </w:rPr>
            </w:pPr>
            <w:r>
              <w:rPr>
                <w:color w:val="231F1F"/>
                <w:sz w:val="22"/>
              </w:rPr>
              <w:t>No hay diferencias importantes que permitan recomendar un anestésico local sobre </w:t>
            </w:r>
            <w:r>
              <w:rPr>
                <w:color w:val="231F1F"/>
                <w:spacing w:val="-2"/>
                <w:sz w:val="22"/>
              </w:rPr>
              <w:t>otro.</w:t>
            </w:r>
          </w:p>
        </w:tc>
      </w:tr>
      <w:tr>
        <w:trPr>
          <w:trHeight w:val="388" w:hRule="atLeast"/>
        </w:trPr>
        <w:tc>
          <w:tcPr>
            <w:tcW w:w="8505" w:type="dxa"/>
            <w:gridSpan w:val="2"/>
          </w:tcPr>
          <w:p>
            <w:pPr>
              <w:pStyle w:val="TableParagraph"/>
              <w:spacing w:before="53"/>
              <w:rPr>
                <w:i/>
                <w:sz w:val="22"/>
              </w:rPr>
            </w:pPr>
            <w:r>
              <w:rPr>
                <w:i/>
                <w:color w:val="231F1F"/>
                <w:sz w:val="22"/>
              </w:rPr>
              <w:t>9.4.9. Opioides</w:t>
            </w:r>
            <w:r>
              <w:rPr>
                <w:i/>
                <w:color w:val="231F1F"/>
                <w:spacing w:val="5"/>
                <w:sz w:val="22"/>
              </w:rPr>
              <w:t> </w:t>
            </w:r>
            <w:r>
              <w:rPr>
                <w:i/>
                <w:color w:val="231F1F"/>
                <w:sz w:val="22"/>
              </w:rPr>
              <w:t>en</w:t>
            </w:r>
            <w:r>
              <w:rPr>
                <w:i/>
                <w:color w:val="231F1F"/>
                <w:spacing w:val="3"/>
                <w:sz w:val="22"/>
              </w:rPr>
              <w:t> </w:t>
            </w:r>
            <w:r>
              <w:rPr>
                <w:i/>
                <w:color w:val="231F1F"/>
                <w:sz w:val="22"/>
              </w:rPr>
              <w:t>la</w:t>
            </w:r>
            <w:r>
              <w:rPr>
                <w:i/>
                <w:color w:val="231F1F"/>
                <w:spacing w:val="5"/>
                <w:sz w:val="22"/>
              </w:rPr>
              <w:t> </w:t>
            </w:r>
            <w:r>
              <w:rPr>
                <w:i/>
                <w:color w:val="231F1F"/>
                <w:sz w:val="22"/>
              </w:rPr>
              <w:t>analgesia</w:t>
            </w:r>
            <w:r>
              <w:rPr>
                <w:i/>
                <w:color w:val="231F1F"/>
                <w:spacing w:val="5"/>
                <w:sz w:val="22"/>
              </w:rPr>
              <w:t> </w:t>
            </w:r>
            <w:r>
              <w:rPr>
                <w:i/>
                <w:color w:val="231F1F"/>
                <w:spacing w:val="-2"/>
                <w:sz w:val="22"/>
              </w:rPr>
              <w:t>epidural</w:t>
            </w:r>
          </w:p>
        </w:tc>
      </w:tr>
      <w:tr>
        <w:trPr>
          <w:trHeight w:val="671" w:hRule="atLeast"/>
        </w:trPr>
        <w:tc>
          <w:tcPr>
            <w:tcW w:w="571" w:type="dxa"/>
          </w:tcPr>
          <w:p>
            <w:pPr>
              <w:pStyle w:val="TableParagraph"/>
              <w:spacing w:before="173"/>
              <w:ind w:left="46" w:right="9"/>
              <w:jc w:val="center"/>
              <w:rPr>
                <w:sz w:val="22"/>
              </w:rPr>
            </w:pPr>
            <w:r>
              <w:rPr>
                <w:color w:val="231F1F"/>
                <w:spacing w:val="-10"/>
                <w:w w:val="115"/>
                <w:sz w:val="22"/>
              </w:rPr>
              <w:t>A</w:t>
            </w:r>
          </w:p>
        </w:tc>
        <w:tc>
          <w:tcPr>
            <w:tcW w:w="7934" w:type="dxa"/>
          </w:tcPr>
          <w:p>
            <w:pPr>
              <w:pStyle w:val="TableParagraph"/>
              <w:spacing w:line="244" w:lineRule="auto" w:before="49"/>
              <w:ind w:left="117"/>
              <w:rPr>
                <w:sz w:val="22"/>
              </w:rPr>
            </w:pPr>
            <w:r>
              <w:rPr>
                <w:color w:val="231F1F"/>
                <w:sz w:val="22"/>
              </w:rPr>
              <w:t>Se</w:t>
            </w:r>
            <w:r>
              <w:rPr>
                <w:color w:val="231F1F"/>
                <w:spacing w:val="27"/>
                <w:sz w:val="22"/>
              </w:rPr>
              <w:t> </w:t>
            </w:r>
            <w:r>
              <w:rPr>
                <w:color w:val="231F1F"/>
                <w:sz w:val="22"/>
              </w:rPr>
              <w:t>recomienda</w:t>
            </w:r>
            <w:r>
              <w:rPr>
                <w:color w:val="231F1F"/>
                <w:spacing w:val="30"/>
                <w:sz w:val="22"/>
              </w:rPr>
              <w:t> </w:t>
            </w:r>
            <w:r>
              <w:rPr>
                <w:color w:val="231F1F"/>
                <w:sz w:val="22"/>
              </w:rPr>
              <w:t>la</w:t>
            </w:r>
            <w:r>
              <w:rPr>
                <w:color w:val="231F1F"/>
                <w:spacing w:val="29"/>
                <w:sz w:val="22"/>
              </w:rPr>
              <w:t> </w:t>
            </w:r>
            <w:r>
              <w:rPr>
                <w:color w:val="231F1F"/>
                <w:sz w:val="22"/>
              </w:rPr>
              <w:t>utilización</w:t>
            </w:r>
            <w:r>
              <w:rPr>
                <w:color w:val="231F1F"/>
                <w:spacing w:val="29"/>
                <w:sz w:val="22"/>
              </w:rPr>
              <w:t> </w:t>
            </w:r>
            <w:r>
              <w:rPr>
                <w:color w:val="231F1F"/>
                <w:sz w:val="22"/>
              </w:rPr>
              <w:t>de</w:t>
            </w:r>
            <w:r>
              <w:rPr>
                <w:color w:val="231F1F"/>
                <w:spacing w:val="29"/>
                <w:sz w:val="22"/>
              </w:rPr>
              <w:t> </w:t>
            </w:r>
            <w:r>
              <w:rPr>
                <w:color w:val="231F1F"/>
                <w:sz w:val="22"/>
              </w:rPr>
              <w:t>bajas</w:t>
            </w:r>
            <w:r>
              <w:rPr>
                <w:color w:val="231F1F"/>
                <w:spacing w:val="29"/>
                <w:sz w:val="22"/>
              </w:rPr>
              <w:t> </w:t>
            </w:r>
            <w:r>
              <w:rPr>
                <w:color w:val="231F1F"/>
                <w:sz w:val="22"/>
              </w:rPr>
              <w:t>dosis</w:t>
            </w:r>
            <w:r>
              <w:rPr>
                <w:color w:val="231F1F"/>
                <w:spacing w:val="29"/>
                <w:sz w:val="22"/>
              </w:rPr>
              <w:t> </w:t>
            </w:r>
            <w:r>
              <w:rPr>
                <w:color w:val="231F1F"/>
                <w:sz w:val="22"/>
              </w:rPr>
              <w:t>de</w:t>
            </w:r>
            <w:r>
              <w:rPr>
                <w:color w:val="231F1F"/>
                <w:spacing w:val="29"/>
                <w:sz w:val="22"/>
              </w:rPr>
              <w:t> </w:t>
            </w:r>
            <w:r>
              <w:rPr>
                <w:color w:val="231F1F"/>
                <w:sz w:val="22"/>
              </w:rPr>
              <w:t>anestésico</w:t>
            </w:r>
            <w:r>
              <w:rPr>
                <w:color w:val="231F1F"/>
                <w:spacing w:val="27"/>
                <w:sz w:val="22"/>
              </w:rPr>
              <w:t> </w:t>
            </w:r>
            <w:r>
              <w:rPr>
                <w:color w:val="231F1F"/>
                <w:sz w:val="22"/>
              </w:rPr>
              <w:t>local</w:t>
            </w:r>
            <w:r>
              <w:rPr>
                <w:color w:val="231F1F"/>
                <w:spacing w:val="30"/>
                <w:sz w:val="22"/>
              </w:rPr>
              <w:t> </w:t>
            </w:r>
            <w:r>
              <w:rPr>
                <w:color w:val="231F1F"/>
                <w:sz w:val="22"/>
              </w:rPr>
              <w:t>junto</w:t>
            </w:r>
            <w:r>
              <w:rPr>
                <w:color w:val="231F1F"/>
                <w:spacing w:val="29"/>
                <w:sz w:val="22"/>
              </w:rPr>
              <w:t> </w:t>
            </w:r>
            <w:r>
              <w:rPr>
                <w:color w:val="231F1F"/>
                <w:sz w:val="22"/>
              </w:rPr>
              <w:t>con</w:t>
            </w:r>
            <w:r>
              <w:rPr>
                <w:color w:val="231F1F"/>
                <w:spacing w:val="29"/>
                <w:sz w:val="22"/>
              </w:rPr>
              <w:t> </w:t>
            </w:r>
            <w:r>
              <w:rPr>
                <w:color w:val="231F1F"/>
                <w:sz w:val="22"/>
              </w:rPr>
              <w:t>opioides para</w:t>
            </w:r>
            <w:r>
              <w:rPr>
                <w:color w:val="231F1F"/>
                <w:spacing w:val="40"/>
                <w:sz w:val="22"/>
              </w:rPr>
              <w:t> </w:t>
            </w:r>
            <w:r>
              <w:rPr>
                <w:color w:val="231F1F"/>
                <w:sz w:val="22"/>
              </w:rPr>
              <w:t>la</w:t>
            </w:r>
            <w:r>
              <w:rPr>
                <w:color w:val="231F1F"/>
                <w:spacing w:val="40"/>
                <w:sz w:val="22"/>
              </w:rPr>
              <w:t> </w:t>
            </w:r>
            <w:r>
              <w:rPr>
                <w:color w:val="231F1F"/>
                <w:sz w:val="22"/>
              </w:rPr>
              <w:t>analgesia</w:t>
            </w:r>
            <w:r>
              <w:rPr>
                <w:color w:val="231F1F"/>
                <w:spacing w:val="40"/>
                <w:sz w:val="22"/>
              </w:rPr>
              <w:t> </w:t>
            </w:r>
            <w:r>
              <w:rPr>
                <w:color w:val="231F1F"/>
                <w:sz w:val="22"/>
              </w:rPr>
              <w:t>epidural.</w:t>
            </w:r>
          </w:p>
        </w:tc>
      </w:tr>
    </w:tbl>
    <w:p>
      <w:pPr>
        <w:pStyle w:val="TableParagraph"/>
        <w:spacing w:after="0" w:line="244" w:lineRule="auto"/>
        <w:rPr>
          <w:sz w:val="22"/>
        </w:rPr>
        <w:sectPr>
          <w:type w:val="continuous"/>
          <w:pgSz w:w="11900" w:h="16840"/>
          <w:pgMar w:header="0" w:footer="622" w:top="1640" w:bottom="2185"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369" w:hRule="atLeast"/>
        </w:trPr>
        <w:tc>
          <w:tcPr>
            <w:tcW w:w="8505" w:type="dxa"/>
            <w:gridSpan w:val="2"/>
          </w:tcPr>
          <w:p>
            <w:pPr>
              <w:pStyle w:val="TableParagraph"/>
              <w:spacing w:before="25"/>
              <w:rPr>
                <w:i/>
                <w:sz w:val="22"/>
              </w:rPr>
            </w:pPr>
            <w:r>
              <w:rPr>
                <w:i/>
                <w:color w:val="231F1F"/>
                <w:spacing w:val="-2"/>
                <w:w w:val="105"/>
                <w:sz w:val="22"/>
              </w:rPr>
              <w:t>9.4.10.</w:t>
            </w:r>
            <w:r>
              <w:rPr>
                <w:i/>
                <w:color w:val="231F1F"/>
                <w:spacing w:val="-12"/>
                <w:w w:val="105"/>
                <w:sz w:val="22"/>
              </w:rPr>
              <w:t> </w:t>
            </w:r>
            <w:r>
              <w:rPr>
                <w:i/>
                <w:color w:val="231F1F"/>
                <w:spacing w:val="-2"/>
                <w:w w:val="105"/>
                <w:sz w:val="22"/>
              </w:rPr>
              <w:t>Mantenimiento</w:t>
            </w:r>
            <w:r>
              <w:rPr>
                <w:i/>
                <w:color w:val="231F1F"/>
                <w:spacing w:val="-11"/>
                <w:w w:val="105"/>
                <w:sz w:val="22"/>
              </w:rPr>
              <w:t> </w:t>
            </w:r>
            <w:r>
              <w:rPr>
                <w:i/>
                <w:color w:val="231F1F"/>
                <w:spacing w:val="-2"/>
                <w:w w:val="105"/>
                <w:sz w:val="22"/>
              </w:rPr>
              <w:t>de</w:t>
            </w:r>
            <w:r>
              <w:rPr>
                <w:i/>
                <w:color w:val="231F1F"/>
                <w:spacing w:val="-11"/>
                <w:w w:val="105"/>
                <w:sz w:val="22"/>
              </w:rPr>
              <w:t> </w:t>
            </w:r>
            <w:r>
              <w:rPr>
                <w:i/>
                <w:color w:val="231F1F"/>
                <w:spacing w:val="-2"/>
                <w:w w:val="105"/>
                <w:sz w:val="22"/>
              </w:rPr>
              <w:t>la</w:t>
            </w:r>
            <w:r>
              <w:rPr>
                <w:i/>
                <w:color w:val="231F1F"/>
                <w:spacing w:val="-9"/>
                <w:w w:val="105"/>
                <w:sz w:val="22"/>
              </w:rPr>
              <w:t> </w:t>
            </w:r>
            <w:r>
              <w:rPr>
                <w:i/>
                <w:color w:val="231F1F"/>
                <w:spacing w:val="-2"/>
                <w:w w:val="105"/>
                <w:sz w:val="22"/>
              </w:rPr>
              <w:t>analgesia</w:t>
            </w:r>
            <w:r>
              <w:rPr>
                <w:i/>
                <w:color w:val="231F1F"/>
                <w:spacing w:val="-12"/>
                <w:w w:val="105"/>
                <w:sz w:val="22"/>
              </w:rPr>
              <w:t> </w:t>
            </w:r>
            <w:r>
              <w:rPr>
                <w:i/>
                <w:color w:val="231F1F"/>
                <w:spacing w:val="-2"/>
                <w:w w:val="105"/>
                <w:sz w:val="22"/>
              </w:rPr>
              <w:t>epidural</w:t>
            </w:r>
            <w:r>
              <w:rPr>
                <w:i/>
                <w:color w:val="231F1F"/>
                <w:spacing w:val="-10"/>
                <w:w w:val="105"/>
                <w:sz w:val="22"/>
              </w:rPr>
              <w:t> </w:t>
            </w:r>
            <w:r>
              <w:rPr>
                <w:i/>
                <w:color w:val="231F1F"/>
                <w:spacing w:val="-2"/>
                <w:w w:val="105"/>
                <w:sz w:val="22"/>
              </w:rPr>
              <w:t>en</w:t>
            </w:r>
            <w:r>
              <w:rPr>
                <w:i/>
                <w:color w:val="231F1F"/>
                <w:spacing w:val="-10"/>
                <w:w w:val="105"/>
                <w:sz w:val="22"/>
              </w:rPr>
              <w:t> </w:t>
            </w:r>
            <w:r>
              <w:rPr>
                <w:i/>
                <w:color w:val="231F1F"/>
                <w:spacing w:val="-2"/>
                <w:w w:val="105"/>
                <w:sz w:val="22"/>
              </w:rPr>
              <w:t>el</w:t>
            </w:r>
            <w:r>
              <w:rPr>
                <w:i/>
                <w:color w:val="231F1F"/>
                <w:spacing w:val="-9"/>
                <w:w w:val="105"/>
                <w:sz w:val="22"/>
              </w:rPr>
              <w:t> </w:t>
            </w:r>
            <w:r>
              <w:rPr>
                <w:i/>
                <w:color w:val="231F1F"/>
                <w:spacing w:val="-2"/>
                <w:w w:val="105"/>
                <w:sz w:val="22"/>
              </w:rPr>
              <w:t>expulsivo</w:t>
            </w:r>
          </w:p>
        </w:tc>
      </w:tr>
      <w:tr>
        <w:trPr>
          <w:trHeight w:val="647" w:hRule="atLeast"/>
        </w:trPr>
        <w:tc>
          <w:tcPr>
            <w:tcW w:w="571" w:type="dxa"/>
          </w:tcPr>
          <w:p>
            <w:pPr>
              <w:pStyle w:val="TableParagraph"/>
              <w:spacing w:before="164"/>
              <w:ind w:left="199"/>
              <w:rPr>
                <w:sz w:val="22"/>
              </w:rPr>
            </w:pPr>
            <w:r>
              <w:rPr>
                <w:color w:val="231F1F"/>
                <w:spacing w:val="-10"/>
                <w:w w:val="115"/>
                <w:sz w:val="22"/>
              </w:rPr>
              <w:t>A</w:t>
            </w:r>
          </w:p>
        </w:tc>
        <w:tc>
          <w:tcPr>
            <w:tcW w:w="7934" w:type="dxa"/>
          </w:tcPr>
          <w:p>
            <w:pPr>
              <w:pStyle w:val="TableParagraph"/>
              <w:spacing w:line="244" w:lineRule="auto" w:before="25"/>
              <w:ind w:left="117"/>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mantener</w:t>
            </w:r>
            <w:r>
              <w:rPr>
                <w:color w:val="231F1F"/>
                <w:spacing w:val="-8"/>
                <w:w w:val="110"/>
                <w:sz w:val="22"/>
              </w:rPr>
              <w:t> </w:t>
            </w:r>
            <w:r>
              <w:rPr>
                <w:color w:val="231F1F"/>
                <w:w w:val="110"/>
                <w:sz w:val="22"/>
              </w:rPr>
              <w:t>la</w:t>
            </w:r>
            <w:r>
              <w:rPr>
                <w:color w:val="231F1F"/>
                <w:spacing w:val="-8"/>
                <w:w w:val="110"/>
                <w:sz w:val="22"/>
              </w:rPr>
              <w:t> </w:t>
            </w:r>
            <w:r>
              <w:rPr>
                <w:color w:val="231F1F"/>
                <w:w w:val="110"/>
                <w:sz w:val="22"/>
              </w:rPr>
              <w:t>analgesia</w:t>
            </w:r>
            <w:r>
              <w:rPr>
                <w:color w:val="231F1F"/>
                <w:spacing w:val="-8"/>
                <w:w w:val="110"/>
                <w:sz w:val="22"/>
              </w:rPr>
              <w:t> </w:t>
            </w:r>
            <w:r>
              <w:rPr>
                <w:color w:val="231F1F"/>
                <w:w w:val="110"/>
                <w:sz w:val="22"/>
              </w:rPr>
              <w:t>epidural</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periodo</w:t>
            </w:r>
            <w:r>
              <w:rPr>
                <w:color w:val="231F1F"/>
                <w:spacing w:val="-8"/>
                <w:w w:val="110"/>
                <w:sz w:val="22"/>
              </w:rPr>
              <w:t> </w:t>
            </w:r>
            <w:r>
              <w:rPr>
                <w:color w:val="231F1F"/>
                <w:w w:val="110"/>
                <w:sz w:val="22"/>
              </w:rPr>
              <w:t>expulsivo,</w:t>
            </w:r>
            <w:r>
              <w:rPr>
                <w:color w:val="231F1F"/>
                <w:spacing w:val="-8"/>
                <w:w w:val="110"/>
                <w:sz w:val="22"/>
              </w:rPr>
              <w:t> </w:t>
            </w:r>
            <w:r>
              <w:rPr>
                <w:color w:val="231F1F"/>
                <w:w w:val="110"/>
                <w:sz w:val="22"/>
              </w:rPr>
              <w:t>el alumbramiento y la reparación del periné si se precisa.</w:t>
            </w:r>
          </w:p>
        </w:tc>
      </w:tr>
    </w:tbl>
    <w:p>
      <w:pPr>
        <w:pStyle w:val="BodyText"/>
        <w:spacing w:before="177"/>
        <w:rPr>
          <w:rFonts w:ascii="Arial MT"/>
          <w:sz w:val="24"/>
        </w:rPr>
      </w:pPr>
    </w:p>
    <w:p>
      <w:pPr>
        <w:spacing w:before="0"/>
        <w:ind w:left="283" w:right="0" w:firstLine="0"/>
        <w:jc w:val="left"/>
        <w:rPr>
          <w:rFonts w:ascii="Arial MT" w:hAnsi="Arial MT"/>
          <w:sz w:val="24"/>
        </w:rPr>
      </w:pPr>
      <w:r>
        <w:rPr>
          <w:rFonts w:ascii="Arial MT" w:hAnsi="Arial MT"/>
          <w:color w:val="231F1F"/>
          <w:w w:val="105"/>
          <w:sz w:val="24"/>
        </w:rPr>
        <w:t>Monitorización</w:t>
      </w:r>
      <w:r>
        <w:rPr>
          <w:rFonts w:ascii="Arial MT" w:hAnsi="Arial MT"/>
          <w:color w:val="231F1F"/>
          <w:spacing w:val="-1"/>
          <w:w w:val="105"/>
          <w:sz w:val="24"/>
        </w:rPr>
        <w:t> </w:t>
      </w:r>
      <w:r>
        <w:rPr>
          <w:rFonts w:ascii="Arial MT" w:hAnsi="Arial MT"/>
          <w:color w:val="231F1F"/>
          <w:spacing w:val="-4"/>
          <w:w w:val="105"/>
          <w:sz w:val="24"/>
        </w:rPr>
        <w:t>fetal</w:t>
      </w:r>
    </w:p>
    <w:p>
      <w:pPr>
        <w:pStyle w:val="BodyText"/>
        <w:spacing w:before="3"/>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571"/>
        <w:gridCol w:w="7934"/>
      </w:tblGrid>
      <w:tr>
        <w:trPr>
          <w:trHeight w:val="402" w:hRule="atLeast"/>
        </w:trPr>
        <w:tc>
          <w:tcPr>
            <w:tcW w:w="8505" w:type="dxa"/>
            <w:gridSpan w:val="2"/>
          </w:tcPr>
          <w:p>
            <w:pPr>
              <w:pStyle w:val="TableParagraph"/>
              <w:spacing w:before="39"/>
              <w:rPr>
                <w:sz w:val="22"/>
              </w:rPr>
            </w:pPr>
            <w:r>
              <w:rPr>
                <w:color w:val="231F1F"/>
                <w:w w:val="105"/>
                <w:sz w:val="22"/>
              </w:rPr>
              <w:t>10.</w:t>
            </w:r>
            <w:r>
              <w:rPr>
                <w:color w:val="231F1F"/>
                <w:spacing w:val="-6"/>
                <w:w w:val="105"/>
                <w:sz w:val="22"/>
              </w:rPr>
              <w:t> </w:t>
            </w:r>
            <w:r>
              <w:rPr>
                <w:color w:val="231F1F"/>
                <w:w w:val="105"/>
                <w:sz w:val="22"/>
              </w:rPr>
              <w:t>Monitorización</w:t>
            </w:r>
            <w:r>
              <w:rPr>
                <w:color w:val="231F1F"/>
                <w:spacing w:val="-7"/>
                <w:w w:val="105"/>
                <w:sz w:val="22"/>
              </w:rPr>
              <w:t> </w:t>
            </w:r>
            <w:r>
              <w:rPr>
                <w:color w:val="231F1F"/>
                <w:spacing w:val="-2"/>
                <w:w w:val="105"/>
                <w:sz w:val="22"/>
              </w:rPr>
              <w:t>fetal</w:t>
            </w:r>
          </w:p>
        </w:tc>
      </w:tr>
      <w:tr>
        <w:trPr>
          <w:trHeight w:val="681" w:hRule="atLeast"/>
        </w:trPr>
        <w:tc>
          <w:tcPr>
            <w:tcW w:w="8505" w:type="dxa"/>
            <w:gridSpan w:val="2"/>
          </w:tcPr>
          <w:p>
            <w:pPr>
              <w:pStyle w:val="TableParagraph"/>
              <w:spacing w:line="254" w:lineRule="auto" w:before="63"/>
              <w:ind w:left="616" w:right="178" w:hanging="495"/>
              <w:rPr>
                <w:sz w:val="22"/>
              </w:rPr>
            </w:pPr>
            <w:r>
              <w:rPr>
                <w:color w:val="231F1F"/>
                <w:sz w:val="22"/>
              </w:rPr>
              <w:t>10.1.</w:t>
            </w:r>
            <w:r>
              <w:rPr>
                <w:color w:val="231F1F"/>
                <w:spacing w:val="26"/>
                <w:sz w:val="22"/>
              </w:rPr>
              <w:t> </w:t>
            </w:r>
            <w:r>
              <w:rPr>
                <w:color w:val="231F1F"/>
                <w:sz w:val="22"/>
              </w:rPr>
              <w:t>Monitorización</w:t>
            </w:r>
            <w:r>
              <w:rPr>
                <w:color w:val="231F1F"/>
                <w:spacing w:val="-9"/>
                <w:sz w:val="22"/>
              </w:rPr>
              <w:t> </w:t>
            </w:r>
            <w:r>
              <w:rPr>
                <w:color w:val="231F1F"/>
                <w:sz w:val="22"/>
              </w:rPr>
              <w:t>electrónica</w:t>
            </w:r>
            <w:r>
              <w:rPr>
                <w:color w:val="231F1F"/>
                <w:spacing w:val="-9"/>
                <w:sz w:val="22"/>
              </w:rPr>
              <w:t> </w:t>
            </w:r>
            <w:r>
              <w:rPr>
                <w:color w:val="231F1F"/>
                <w:sz w:val="22"/>
              </w:rPr>
              <w:t>fetal</w:t>
            </w:r>
            <w:r>
              <w:rPr>
                <w:color w:val="231F1F"/>
                <w:spacing w:val="-9"/>
                <w:sz w:val="22"/>
              </w:rPr>
              <w:t> </w:t>
            </w:r>
            <w:r>
              <w:rPr>
                <w:color w:val="231F1F"/>
                <w:sz w:val="22"/>
              </w:rPr>
              <w:t>continua</w:t>
            </w:r>
            <w:r>
              <w:rPr>
                <w:color w:val="231F1F"/>
                <w:spacing w:val="-9"/>
                <w:sz w:val="22"/>
              </w:rPr>
              <w:t> </w:t>
            </w:r>
            <w:r>
              <w:rPr>
                <w:color w:val="231F1F"/>
                <w:sz w:val="22"/>
              </w:rPr>
              <w:t>(MEFC)</w:t>
            </w:r>
            <w:r>
              <w:rPr>
                <w:color w:val="231F1F"/>
                <w:spacing w:val="-9"/>
                <w:sz w:val="22"/>
              </w:rPr>
              <w:t> </w:t>
            </w:r>
            <w:r>
              <w:rPr>
                <w:color w:val="231F1F"/>
                <w:sz w:val="22"/>
              </w:rPr>
              <w:t>vs</w:t>
            </w:r>
            <w:r>
              <w:rPr>
                <w:color w:val="231F1F"/>
                <w:spacing w:val="-9"/>
                <w:sz w:val="22"/>
              </w:rPr>
              <w:t> </w:t>
            </w:r>
            <w:r>
              <w:rPr>
                <w:color w:val="231F1F"/>
                <w:sz w:val="22"/>
              </w:rPr>
              <w:t>auscultación</w:t>
            </w:r>
            <w:r>
              <w:rPr>
                <w:color w:val="231F1F"/>
                <w:spacing w:val="-9"/>
                <w:sz w:val="22"/>
              </w:rPr>
              <w:t> </w:t>
            </w:r>
            <w:r>
              <w:rPr>
                <w:color w:val="231F1F"/>
                <w:sz w:val="22"/>
              </w:rPr>
              <w:t>fetal</w:t>
            </w:r>
            <w:r>
              <w:rPr>
                <w:color w:val="231F1F"/>
                <w:spacing w:val="-9"/>
                <w:sz w:val="22"/>
              </w:rPr>
              <w:t> </w:t>
            </w:r>
            <w:r>
              <w:rPr>
                <w:color w:val="231F1F"/>
                <w:sz w:val="22"/>
              </w:rPr>
              <w:t>intermitente </w:t>
            </w:r>
            <w:r>
              <w:rPr>
                <w:color w:val="231F1F"/>
                <w:spacing w:val="-4"/>
                <w:sz w:val="22"/>
              </w:rPr>
              <w:t>(AI)</w:t>
            </w:r>
          </w:p>
        </w:tc>
      </w:tr>
      <w:tr>
        <w:trPr>
          <w:trHeight w:val="681" w:hRule="atLeast"/>
        </w:trPr>
        <w:tc>
          <w:tcPr>
            <w:tcW w:w="571" w:type="dxa"/>
          </w:tcPr>
          <w:p>
            <w:pPr>
              <w:pStyle w:val="TableParagraph"/>
              <w:spacing w:before="178"/>
              <w:ind w:left="46" w:right="7"/>
              <w:jc w:val="center"/>
              <w:rPr>
                <w:sz w:val="22"/>
              </w:rPr>
            </w:pPr>
            <w:r>
              <w:rPr>
                <w:color w:val="231F1F"/>
                <w:spacing w:val="-10"/>
                <w:w w:val="110"/>
                <w:sz w:val="22"/>
              </w:rPr>
              <w:t>B</w:t>
            </w:r>
          </w:p>
        </w:tc>
        <w:tc>
          <w:tcPr>
            <w:tcW w:w="7934" w:type="dxa"/>
          </w:tcPr>
          <w:p>
            <w:pPr>
              <w:pStyle w:val="TableParagraph"/>
              <w:spacing w:line="244" w:lineRule="auto" w:before="44"/>
              <w:ind w:left="117"/>
              <w:rPr>
                <w:sz w:val="22"/>
              </w:rPr>
            </w:pPr>
            <w:r>
              <w:rPr>
                <w:color w:val="231F1F"/>
                <w:w w:val="110"/>
                <w:sz w:val="22"/>
              </w:rPr>
              <w:t>Tanto</w:t>
            </w:r>
            <w:r>
              <w:rPr>
                <w:color w:val="231F1F"/>
                <w:spacing w:val="-7"/>
                <w:w w:val="110"/>
                <w:sz w:val="22"/>
              </w:rPr>
              <w:t> </w:t>
            </w:r>
            <w:r>
              <w:rPr>
                <w:color w:val="231F1F"/>
                <w:w w:val="110"/>
                <w:sz w:val="22"/>
              </w:rPr>
              <w:t>la</w:t>
            </w:r>
            <w:r>
              <w:rPr>
                <w:color w:val="231F1F"/>
                <w:spacing w:val="-7"/>
                <w:w w:val="110"/>
                <w:sz w:val="22"/>
              </w:rPr>
              <w:t> </w:t>
            </w:r>
            <w:r>
              <w:rPr>
                <w:color w:val="231F1F"/>
                <w:w w:val="110"/>
                <w:sz w:val="22"/>
              </w:rPr>
              <w:t>MEFC</w:t>
            </w:r>
            <w:r>
              <w:rPr>
                <w:color w:val="231F1F"/>
                <w:spacing w:val="-7"/>
                <w:w w:val="110"/>
                <w:sz w:val="22"/>
              </w:rPr>
              <w:t> </w:t>
            </w:r>
            <w:r>
              <w:rPr>
                <w:color w:val="231F1F"/>
                <w:w w:val="110"/>
                <w:sz w:val="22"/>
              </w:rPr>
              <w:t>como</w:t>
            </w:r>
            <w:r>
              <w:rPr>
                <w:color w:val="231F1F"/>
                <w:spacing w:val="-7"/>
                <w:w w:val="110"/>
                <w:sz w:val="22"/>
              </w:rPr>
              <w:t> </w:t>
            </w:r>
            <w:r>
              <w:rPr>
                <w:color w:val="231F1F"/>
                <w:w w:val="110"/>
                <w:sz w:val="22"/>
              </w:rPr>
              <w:t>la</w:t>
            </w:r>
            <w:r>
              <w:rPr>
                <w:color w:val="231F1F"/>
                <w:spacing w:val="-7"/>
                <w:w w:val="110"/>
                <w:sz w:val="22"/>
              </w:rPr>
              <w:t> </w:t>
            </w:r>
            <w:r>
              <w:rPr>
                <w:color w:val="231F1F"/>
                <w:w w:val="110"/>
                <w:sz w:val="22"/>
              </w:rPr>
              <w:t>AI</w:t>
            </w:r>
            <w:r>
              <w:rPr>
                <w:color w:val="231F1F"/>
                <w:spacing w:val="-7"/>
                <w:w w:val="110"/>
                <w:sz w:val="22"/>
              </w:rPr>
              <w:t> </w:t>
            </w:r>
            <w:r>
              <w:rPr>
                <w:color w:val="231F1F"/>
                <w:w w:val="110"/>
                <w:sz w:val="22"/>
              </w:rPr>
              <w:t>son</w:t>
            </w:r>
            <w:r>
              <w:rPr>
                <w:color w:val="231F1F"/>
                <w:spacing w:val="-7"/>
                <w:w w:val="110"/>
                <w:sz w:val="22"/>
              </w:rPr>
              <w:t> </w:t>
            </w:r>
            <w:r>
              <w:rPr>
                <w:color w:val="231F1F"/>
                <w:w w:val="110"/>
                <w:sz w:val="22"/>
              </w:rPr>
              <w:t>dos</w:t>
            </w:r>
            <w:r>
              <w:rPr>
                <w:color w:val="231F1F"/>
                <w:spacing w:val="-7"/>
                <w:w w:val="110"/>
                <w:sz w:val="22"/>
              </w:rPr>
              <w:t> </w:t>
            </w:r>
            <w:r>
              <w:rPr>
                <w:color w:val="231F1F"/>
                <w:w w:val="110"/>
                <w:sz w:val="22"/>
              </w:rPr>
              <w:t>métodos</w:t>
            </w:r>
            <w:r>
              <w:rPr>
                <w:color w:val="231F1F"/>
                <w:spacing w:val="-7"/>
                <w:w w:val="110"/>
                <w:sz w:val="22"/>
              </w:rPr>
              <w:t> </w:t>
            </w:r>
            <w:r>
              <w:rPr>
                <w:color w:val="231F1F"/>
                <w:w w:val="110"/>
                <w:sz w:val="22"/>
              </w:rPr>
              <w:t>válidos</w:t>
            </w:r>
            <w:r>
              <w:rPr>
                <w:color w:val="231F1F"/>
                <w:spacing w:val="-7"/>
                <w:w w:val="110"/>
                <w:sz w:val="22"/>
              </w:rPr>
              <w:t> </w:t>
            </w:r>
            <w:r>
              <w:rPr>
                <w:color w:val="231F1F"/>
                <w:w w:val="110"/>
                <w:sz w:val="22"/>
              </w:rPr>
              <w:t>y</w:t>
            </w:r>
            <w:r>
              <w:rPr>
                <w:color w:val="231F1F"/>
                <w:spacing w:val="-7"/>
                <w:w w:val="110"/>
                <w:sz w:val="22"/>
              </w:rPr>
              <w:t> </w:t>
            </w:r>
            <w:r>
              <w:rPr>
                <w:color w:val="231F1F"/>
                <w:w w:val="110"/>
                <w:sz w:val="22"/>
              </w:rPr>
              <w:t>recomendables</w:t>
            </w:r>
            <w:r>
              <w:rPr>
                <w:color w:val="231F1F"/>
                <w:spacing w:val="-7"/>
                <w:w w:val="110"/>
                <w:sz w:val="22"/>
              </w:rPr>
              <w:t> </w:t>
            </w:r>
            <w:r>
              <w:rPr>
                <w:color w:val="231F1F"/>
                <w:w w:val="110"/>
                <w:sz w:val="22"/>
              </w:rPr>
              <w:t>para</w:t>
            </w:r>
            <w:r>
              <w:rPr>
                <w:color w:val="231F1F"/>
                <w:spacing w:val="-7"/>
                <w:w w:val="110"/>
                <w:sz w:val="22"/>
              </w:rPr>
              <w:t> </w:t>
            </w:r>
            <w:r>
              <w:rPr>
                <w:color w:val="231F1F"/>
                <w:w w:val="110"/>
                <w:sz w:val="22"/>
              </w:rPr>
              <w:t>el control del bienestar fetal durante el parto.</w:t>
            </w:r>
          </w:p>
        </w:tc>
      </w:tr>
      <w:tr>
        <w:trPr>
          <w:trHeight w:val="402" w:hRule="atLeast"/>
        </w:trPr>
        <w:tc>
          <w:tcPr>
            <w:tcW w:w="571" w:type="dxa"/>
          </w:tcPr>
          <w:p>
            <w:pPr>
              <w:pStyle w:val="TableParagraph"/>
              <w:spacing w:before="57"/>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before="44"/>
              <w:ind w:left="117"/>
              <w:rPr>
                <w:sz w:val="22"/>
              </w:rPr>
            </w:pPr>
            <w:r>
              <w:rPr>
                <w:color w:val="231F1F"/>
                <w:w w:val="110"/>
                <w:sz w:val="22"/>
              </w:rPr>
              <w:t>La</w:t>
            </w:r>
            <w:r>
              <w:rPr>
                <w:color w:val="231F1F"/>
                <w:spacing w:val="-16"/>
                <w:w w:val="110"/>
                <w:sz w:val="22"/>
              </w:rPr>
              <w:t> </w:t>
            </w:r>
            <w:r>
              <w:rPr>
                <w:color w:val="231F1F"/>
                <w:w w:val="110"/>
                <w:sz w:val="22"/>
              </w:rPr>
              <w:t>AI</w:t>
            </w:r>
            <w:r>
              <w:rPr>
                <w:color w:val="231F1F"/>
                <w:spacing w:val="-13"/>
                <w:w w:val="110"/>
                <w:sz w:val="22"/>
              </w:rPr>
              <w:t> </w:t>
            </w:r>
            <w:r>
              <w:rPr>
                <w:color w:val="231F1F"/>
                <w:w w:val="110"/>
                <w:sz w:val="22"/>
              </w:rPr>
              <w:t>se</w:t>
            </w:r>
            <w:r>
              <w:rPr>
                <w:color w:val="231F1F"/>
                <w:spacing w:val="-13"/>
                <w:w w:val="110"/>
                <w:sz w:val="22"/>
              </w:rPr>
              <w:t> </w:t>
            </w:r>
            <w:r>
              <w:rPr>
                <w:color w:val="231F1F"/>
                <w:w w:val="110"/>
                <w:sz w:val="22"/>
              </w:rPr>
              <w:t>puede</w:t>
            </w:r>
            <w:r>
              <w:rPr>
                <w:color w:val="231F1F"/>
                <w:spacing w:val="-13"/>
                <w:w w:val="110"/>
                <w:sz w:val="22"/>
              </w:rPr>
              <w:t> </w:t>
            </w:r>
            <w:r>
              <w:rPr>
                <w:color w:val="231F1F"/>
                <w:w w:val="110"/>
                <w:sz w:val="22"/>
              </w:rPr>
              <w:t>realizar</w:t>
            </w:r>
            <w:r>
              <w:rPr>
                <w:color w:val="231F1F"/>
                <w:spacing w:val="-14"/>
                <w:w w:val="110"/>
                <w:sz w:val="22"/>
              </w:rPr>
              <w:t> </w:t>
            </w:r>
            <w:r>
              <w:rPr>
                <w:color w:val="231F1F"/>
                <w:w w:val="110"/>
                <w:sz w:val="22"/>
              </w:rPr>
              <w:t>tanto</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ultrasonidos</w:t>
            </w:r>
            <w:r>
              <w:rPr>
                <w:color w:val="231F1F"/>
                <w:spacing w:val="-14"/>
                <w:w w:val="110"/>
                <w:sz w:val="22"/>
              </w:rPr>
              <w:t> </w:t>
            </w:r>
            <w:r>
              <w:rPr>
                <w:color w:val="231F1F"/>
                <w:w w:val="110"/>
                <w:sz w:val="22"/>
              </w:rPr>
              <w:t>Doppler</w:t>
            </w:r>
            <w:r>
              <w:rPr>
                <w:color w:val="231F1F"/>
                <w:spacing w:val="-14"/>
                <w:w w:val="110"/>
                <w:sz w:val="22"/>
              </w:rPr>
              <w:t> </w:t>
            </w:r>
            <w:r>
              <w:rPr>
                <w:color w:val="231F1F"/>
                <w:w w:val="110"/>
                <w:sz w:val="22"/>
              </w:rPr>
              <w:t>como</w:t>
            </w:r>
            <w:r>
              <w:rPr>
                <w:color w:val="231F1F"/>
                <w:spacing w:val="-14"/>
                <w:w w:val="110"/>
                <w:sz w:val="22"/>
              </w:rPr>
              <w:t> </w:t>
            </w:r>
            <w:r>
              <w:rPr>
                <w:color w:val="231F1F"/>
                <w:w w:val="110"/>
                <w:sz w:val="22"/>
              </w:rPr>
              <w:t>con</w:t>
            </w:r>
            <w:r>
              <w:rPr>
                <w:color w:val="231F1F"/>
                <w:spacing w:val="-13"/>
                <w:w w:val="110"/>
                <w:sz w:val="22"/>
              </w:rPr>
              <w:t> </w:t>
            </w:r>
            <w:r>
              <w:rPr>
                <w:color w:val="231F1F"/>
                <w:spacing w:val="-2"/>
                <w:w w:val="110"/>
                <w:sz w:val="22"/>
              </w:rPr>
              <w:t>estetoscopio.</w:t>
            </w:r>
          </w:p>
        </w:tc>
      </w:tr>
      <w:tr>
        <w:trPr>
          <w:trHeight w:val="398" w:hRule="atLeast"/>
        </w:trPr>
        <w:tc>
          <w:tcPr>
            <w:tcW w:w="8505" w:type="dxa"/>
            <w:gridSpan w:val="2"/>
          </w:tcPr>
          <w:p>
            <w:pPr>
              <w:pStyle w:val="TableParagraph"/>
              <w:spacing w:before="53"/>
              <w:rPr>
                <w:sz w:val="22"/>
              </w:rPr>
            </w:pPr>
            <w:r>
              <w:rPr>
                <w:color w:val="231F1F"/>
                <w:sz w:val="22"/>
              </w:rPr>
              <w:t>10.2.</w:t>
            </w:r>
            <w:r>
              <w:rPr>
                <w:color w:val="231F1F"/>
                <w:spacing w:val="38"/>
                <w:sz w:val="22"/>
              </w:rPr>
              <w:t> </w:t>
            </w:r>
            <w:r>
              <w:rPr>
                <w:color w:val="231F1F"/>
                <w:sz w:val="22"/>
              </w:rPr>
              <w:t>MEFC</w:t>
            </w:r>
            <w:r>
              <w:rPr>
                <w:color w:val="231F1F"/>
                <w:spacing w:val="41"/>
                <w:sz w:val="22"/>
              </w:rPr>
              <w:t> </w:t>
            </w:r>
            <w:r>
              <w:rPr>
                <w:color w:val="231F1F"/>
                <w:sz w:val="22"/>
              </w:rPr>
              <w:t>vs</w:t>
            </w:r>
            <w:r>
              <w:rPr>
                <w:color w:val="231F1F"/>
                <w:spacing w:val="42"/>
                <w:sz w:val="22"/>
              </w:rPr>
              <w:t> </w:t>
            </w:r>
            <w:r>
              <w:rPr>
                <w:color w:val="231F1F"/>
                <w:sz w:val="22"/>
              </w:rPr>
              <w:t>Monitorización</w:t>
            </w:r>
            <w:r>
              <w:rPr>
                <w:color w:val="231F1F"/>
                <w:spacing w:val="41"/>
                <w:sz w:val="22"/>
              </w:rPr>
              <w:t> </w:t>
            </w:r>
            <w:r>
              <w:rPr>
                <w:color w:val="231F1F"/>
                <w:sz w:val="22"/>
              </w:rPr>
              <w:t>electrónica</w:t>
            </w:r>
            <w:r>
              <w:rPr>
                <w:color w:val="231F1F"/>
                <w:spacing w:val="41"/>
                <w:sz w:val="22"/>
              </w:rPr>
              <w:t> </w:t>
            </w:r>
            <w:r>
              <w:rPr>
                <w:color w:val="231F1F"/>
                <w:sz w:val="22"/>
              </w:rPr>
              <w:t>fetal</w:t>
            </w:r>
            <w:r>
              <w:rPr>
                <w:color w:val="231F1F"/>
                <w:spacing w:val="42"/>
                <w:sz w:val="22"/>
              </w:rPr>
              <w:t> </w:t>
            </w:r>
            <w:r>
              <w:rPr>
                <w:color w:val="231F1F"/>
                <w:sz w:val="22"/>
              </w:rPr>
              <w:t>intermitente</w:t>
            </w:r>
            <w:r>
              <w:rPr>
                <w:color w:val="231F1F"/>
                <w:spacing w:val="44"/>
                <w:sz w:val="22"/>
              </w:rPr>
              <w:t> </w:t>
            </w:r>
            <w:r>
              <w:rPr>
                <w:color w:val="231F1F"/>
                <w:spacing w:val="-2"/>
                <w:sz w:val="22"/>
              </w:rPr>
              <w:t>(MEFI).</w:t>
            </w:r>
          </w:p>
        </w:tc>
      </w:tr>
      <w:tr>
        <w:trPr>
          <w:trHeight w:val="681" w:hRule="atLeast"/>
        </w:trPr>
        <w:tc>
          <w:tcPr>
            <w:tcW w:w="571" w:type="dxa"/>
          </w:tcPr>
          <w:p>
            <w:pPr>
              <w:pStyle w:val="TableParagraph"/>
              <w:spacing w:before="178"/>
              <w:ind w:left="46" w:right="9"/>
              <w:jc w:val="center"/>
              <w:rPr>
                <w:sz w:val="22"/>
              </w:rPr>
            </w:pPr>
            <w:r>
              <w:rPr>
                <w:color w:val="231F1F"/>
                <w:spacing w:val="-10"/>
                <w:w w:val="115"/>
                <w:sz w:val="22"/>
              </w:rPr>
              <w:t>A</w:t>
            </w:r>
          </w:p>
        </w:tc>
        <w:tc>
          <w:tcPr>
            <w:tcW w:w="7934" w:type="dxa"/>
          </w:tcPr>
          <w:p>
            <w:pPr>
              <w:pStyle w:val="TableParagraph"/>
              <w:spacing w:line="244" w:lineRule="auto" w:before="44"/>
              <w:ind w:left="117"/>
              <w:rPr>
                <w:sz w:val="22"/>
              </w:rPr>
            </w:pPr>
            <w:r>
              <w:rPr>
                <w:color w:val="231F1F"/>
                <w:w w:val="110"/>
                <w:sz w:val="22"/>
              </w:rPr>
              <w:t>Tanto</w:t>
            </w:r>
            <w:r>
              <w:rPr>
                <w:color w:val="231F1F"/>
                <w:spacing w:val="-8"/>
                <w:w w:val="110"/>
                <w:sz w:val="22"/>
              </w:rPr>
              <w:t> </w:t>
            </w:r>
            <w:r>
              <w:rPr>
                <w:color w:val="231F1F"/>
                <w:w w:val="110"/>
                <w:sz w:val="22"/>
              </w:rPr>
              <w:t>la</w:t>
            </w:r>
            <w:r>
              <w:rPr>
                <w:color w:val="231F1F"/>
                <w:spacing w:val="-8"/>
                <w:w w:val="110"/>
                <w:sz w:val="22"/>
              </w:rPr>
              <w:t> </w:t>
            </w:r>
            <w:r>
              <w:rPr>
                <w:color w:val="231F1F"/>
                <w:w w:val="110"/>
                <w:sz w:val="22"/>
              </w:rPr>
              <w:t>MEFC</w:t>
            </w:r>
            <w:r>
              <w:rPr>
                <w:color w:val="231F1F"/>
                <w:spacing w:val="-8"/>
                <w:w w:val="110"/>
                <w:sz w:val="22"/>
              </w:rPr>
              <w:t> </w:t>
            </w:r>
            <w:r>
              <w:rPr>
                <w:color w:val="231F1F"/>
                <w:w w:val="110"/>
                <w:sz w:val="22"/>
              </w:rPr>
              <w:t>como</w:t>
            </w:r>
            <w:r>
              <w:rPr>
                <w:color w:val="231F1F"/>
                <w:spacing w:val="-8"/>
                <w:w w:val="110"/>
                <w:sz w:val="22"/>
              </w:rPr>
              <w:t> </w:t>
            </w:r>
            <w:r>
              <w:rPr>
                <w:color w:val="231F1F"/>
                <w:w w:val="110"/>
                <w:sz w:val="22"/>
              </w:rPr>
              <w:t>la</w:t>
            </w:r>
            <w:r>
              <w:rPr>
                <w:color w:val="231F1F"/>
                <w:spacing w:val="-8"/>
                <w:w w:val="110"/>
                <w:sz w:val="22"/>
              </w:rPr>
              <w:t> </w:t>
            </w:r>
            <w:r>
              <w:rPr>
                <w:color w:val="231F1F"/>
                <w:w w:val="110"/>
                <w:sz w:val="22"/>
              </w:rPr>
              <w:t>MEFI</w:t>
            </w:r>
            <w:r>
              <w:rPr>
                <w:color w:val="231F1F"/>
                <w:spacing w:val="-8"/>
                <w:w w:val="110"/>
                <w:sz w:val="22"/>
              </w:rPr>
              <w:t> </w:t>
            </w:r>
            <w:r>
              <w:rPr>
                <w:color w:val="231F1F"/>
                <w:w w:val="110"/>
                <w:sz w:val="22"/>
              </w:rPr>
              <w:t>acompañado</w:t>
            </w:r>
            <w:r>
              <w:rPr>
                <w:color w:val="231F1F"/>
                <w:spacing w:val="-8"/>
                <w:w w:val="110"/>
                <w:sz w:val="22"/>
              </w:rPr>
              <w:t> </w:t>
            </w:r>
            <w:r>
              <w:rPr>
                <w:color w:val="231F1F"/>
                <w:w w:val="110"/>
                <w:sz w:val="22"/>
              </w:rPr>
              <w:t>de</w:t>
            </w:r>
            <w:r>
              <w:rPr>
                <w:color w:val="231F1F"/>
                <w:spacing w:val="-8"/>
                <w:w w:val="110"/>
                <w:sz w:val="22"/>
              </w:rPr>
              <w:t> </w:t>
            </w:r>
            <w:r>
              <w:rPr>
                <w:color w:val="231F1F"/>
                <w:w w:val="110"/>
                <w:sz w:val="22"/>
              </w:rPr>
              <w:t>AI</w:t>
            </w:r>
            <w:r>
              <w:rPr>
                <w:color w:val="231F1F"/>
                <w:spacing w:val="-8"/>
                <w:w w:val="110"/>
                <w:sz w:val="22"/>
              </w:rPr>
              <w:t> </w:t>
            </w:r>
            <w:r>
              <w:rPr>
                <w:color w:val="231F1F"/>
                <w:w w:val="110"/>
                <w:sz w:val="22"/>
              </w:rPr>
              <w:t>son</w:t>
            </w:r>
            <w:r>
              <w:rPr>
                <w:color w:val="231F1F"/>
                <w:spacing w:val="-8"/>
                <w:w w:val="110"/>
                <w:sz w:val="22"/>
              </w:rPr>
              <w:t> </w:t>
            </w:r>
            <w:r>
              <w:rPr>
                <w:color w:val="231F1F"/>
                <w:w w:val="110"/>
                <w:sz w:val="22"/>
              </w:rPr>
              <w:t>dos</w:t>
            </w:r>
            <w:r>
              <w:rPr>
                <w:color w:val="231F1F"/>
                <w:spacing w:val="-8"/>
                <w:w w:val="110"/>
                <w:sz w:val="22"/>
              </w:rPr>
              <w:t> </w:t>
            </w:r>
            <w:r>
              <w:rPr>
                <w:color w:val="231F1F"/>
                <w:w w:val="110"/>
                <w:sz w:val="22"/>
              </w:rPr>
              <w:t>métodos</w:t>
            </w:r>
            <w:r>
              <w:rPr>
                <w:color w:val="231F1F"/>
                <w:spacing w:val="-8"/>
                <w:w w:val="110"/>
                <w:sz w:val="22"/>
              </w:rPr>
              <w:t> </w:t>
            </w:r>
            <w:r>
              <w:rPr>
                <w:color w:val="231F1F"/>
                <w:w w:val="110"/>
                <w:sz w:val="22"/>
              </w:rPr>
              <w:t>válidos</w:t>
            </w:r>
            <w:r>
              <w:rPr>
                <w:color w:val="231F1F"/>
                <w:spacing w:val="-8"/>
                <w:w w:val="110"/>
                <w:sz w:val="22"/>
              </w:rPr>
              <w:t> </w:t>
            </w:r>
            <w:r>
              <w:rPr>
                <w:color w:val="231F1F"/>
                <w:w w:val="110"/>
                <w:sz w:val="22"/>
              </w:rPr>
              <w:t>y recomendables para el control del bienestar fetal durante el parto.</w:t>
            </w:r>
          </w:p>
        </w:tc>
      </w:tr>
      <w:tr>
        <w:trPr>
          <w:trHeight w:val="402" w:hRule="atLeast"/>
        </w:trPr>
        <w:tc>
          <w:tcPr>
            <w:tcW w:w="8505" w:type="dxa"/>
            <w:gridSpan w:val="2"/>
          </w:tcPr>
          <w:p>
            <w:pPr>
              <w:pStyle w:val="TableParagraph"/>
              <w:spacing w:before="39"/>
              <w:rPr>
                <w:sz w:val="22"/>
              </w:rPr>
            </w:pPr>
            <w:r>
              <w:rPr>
                <w:color w:val="231F1F"/>
                <w:w w:val="105"/>
                <w:sz w:val="22"/>
              </w:rPr>
              <w:t>10.3.</w:t>
            </w:r>
            <w:r>
              <w:rPr>
                <w:color w:val="231F1F"/>
                <w:spacing w:val="-10"/>
                <w:w w:val="105"/>
                <w:sz w:val="22"/>
              </w:rPr>
              <w:t> </w:t>
            </w:r>
            <w:r>
              <w:rPr>
                <w:color w:val="231F1F"/>
                <w:w w:val="105"/>
                <w:sz w:val="22"/>
              </w:rPr>
              <w:t>MEFC</w:t>
            </w:r>
            <w:r>
              <w:rPr>
                <w:color w:val="231F1F"/>
                <w:spacing w:val="-6"/>
                <w:w w:val="105"/>
                <w:sz w:val="22"/>
              </w:rPr>
              <w:t> </w:t>
            </w:r>
            <w:r>
              <w:rPr>
                <w:color w:val="231F1F"/>
                <w:w w:val="105"/>
                <w:sz w:val="22"/>
              </w:rPr>
              <w:t>con</w:t>
            </w:r>
            <w:r>
              <w:rPr>
                <w:color w:val="231F1F"/>
                <w:spacing w:val="-6"/>
                <w:w w:val="105"/>
                <w:sz w:val="22"/>
              </w:rPr>
              <w:t> </w:t>
            </w:r>
            <w:r>
              <w:rPr>
                <w:color w:val="231F1F"/>
                <w:spacing w:val="-2"/>
                <w:w w:val="105"/>
                <w:sz w:val="22"/>
              </w:rPr>
              <w:t>pulsioximetría.</w:t>
            </w:r>
          </w:p>
        </w:tc>
      </w:tr>
      <w:tr>
        <w:trPr>
          <w:trHeight w:val="402" w:hRule="atLeast"/>
        </w:trPr>
        <w:tc>
          <w:tcPr>
            <w:tcW w:w="571" w:type="dxa"/>
          </w:tcPr>
          <w:p>
            <w:pPr>
              <w:pStyle w:val="TableParagraph"/>
              <w:spacing w:before="39"/>
              <w:ind w:left="46" w:right="9"/>
              <w:jc w:val="center"/>
              <w:rPr>
                <w:sz w:val="22"/>
              </w:rPr>
            </w:pPr>
            <w:r>
              <w:rPr>
                <w:color w:val="231F1F"/>
                <w:spacing w:val="-10"/>
                <w:w w:val="115"/>
                <w:sz w:val="22"/>
              </w:rPr>
              <w:t>A</w:t>
            </w:r>
          </w:p>
        </w:tc>
        <w:tc>
          <w:tcPr>
            <w:tcW w:w="7934" w:type="dxa"/>
          </w:tcPr>
          <w:p>
            <w:pPr>
              <w:pStyle w:val="TableParagraph"/>
              <w:spacing w:before="49"/>
              <w:ind w:left="117"/>
              <w:rPr>
                <w:sz w:val="22"/>
              </w:rPr>
            </w:pPr>
            <w:r>
              <w:rPr>
                <w:color w:val="231F1F"/>
                <w:sz w:val="22"/>
              </w:rPr>
              <w:t>No</w:t>
            </w:r>
            <w:r>
              <w:rPr>
                <w:color w:val="231F1F"/>
                <w:spacing w:val="31"/>
                <w:sz w:val="22"/>
              </w:rPr>
              <w:t> </w:t>
            </w:r>
            <w:r>
              <w:rPr>
                <w:color w:val="231F1F"/>
                <w:sz w:val="22"/>
              </w:rPr>
              <w:t>se</w:t>
            </w:r>
            <w:r>
              <w:rPr>
                <w:color w:val="231F1F"/>
                <w:spacing w:val="32"/>
                <w:sz w:val="22"/>
              </w:rPr>
              <w:t> </w:t>
            </w:r>
            <w:r>
              <w:rPr>
                <w:color w:val="231F1F"/>
                <w:sz w:val="22"/>
              </w:rPr>
              <w:t>recomienda</w:t>
            </w:r>
            <w:r>
              <w:rPr>
                <w:color w:val="231F1F"/>
                <w:spacing w:val="35"/>
                <w:sz w:val="22"/>
              </w:rPr>
              <w:t> </w:t>
            </w:r>
            <w:r>
              <w:rPr>
                <w:color w:val="231F1F"/>
                <w:sz w:val="22"/>
              </w:rPr>
              <w:t>el</w:t>
            </w:r>
            <w:r>
              <w:rPr>
                <w:color w:val="231F1F"/>
                <w:spacing w:val="32"/>
                <w:sz w:val="22"/>
              </w:rPr>
              <w:t> </w:t>
            </w:r>
            <w:r>
              <w:rPr>
                <w:color w:val="231F1F"/>
                <w:sz w:val="22"/>
              </w:rPr>
              <w:t>uso</w:t>
            </w:r>
            <w:r>
              <w:rPr>
                <w:color w:val="231F1F"/>
                <w:spacing w:val="32"/>
                <w:sz w:val="22"/>
              </w:rPr>
              <w:t> </w:t>
            </w:r>
            <w:r>
              <w:rPr>
                <w:color w:val="231F1F"/>
                <w:sz w:val="22"/>
              </w:rPr>
              <w:t>rutinario</w:t>
            </w:r>
            <w:r>
              <w:rPr>
                <w:color w:val="231F1F"/>
                <w:spacing w:val="35"/>
                <w:sz w:val="22"/>
              </w:rPr>
              <w:t> </w:t>
            </w:r>
            <w:r>
              <w:rPr>
                <w:color w:val="231F1F"/>
                <w:sz w:val="22"/>
              </w:rPr>
              <w:t>de</w:t>
            </w:r>
            <w:r>
              <w:rPr>
                <w:color w:val="231F1F"/>
                <w:spacing w:val="32"/>
                <w:sz w:val="22"/>
              </w:rPr>
              <w:t> </w:t>
            </w:r>
            <w:r>
              <w:rPr>
                <w:color w:val="231F1F"/>
                <w:sz w:val="22"/>
              </w:rPr>
              <w:t>la</w:t>
            </w:r>
            <w:r>
              <w:rPr>
                <w:color w:val="231F1F"/>
                <w:spacing w:val="32"/>
                <w:sz w:val="22"/>
              </w:rPr>
              <w:t> </w:t>
            </w:r>
            <w:r>
              <w:rPr>
                <w:color w:val="231F1F"/>
                <w:sz w:val="22"/>
              </w:rPr>
              <w:t>pulsioximetría</w:t>
            </w:r>
            <w:r>
              <w:rPr>
                <w:color w:val="231F1F"/>
                <w:spacing w:val="33"/>
                <w:sz w:val="22"/>
              </w:rPr>
              <w:t> </w:t>
            </w:r>
            <w:r>
              <w:rPr>
                <w:color w:val="231F1F"/>
                <w:spacing w:val="-2"/>
                <w:sz w:val="22"/>
              </w:rPr>
              <w:t>fetal.</w:t>
            </w:r>
          </w:p>
        </w:tc>
      </w:tr>
      <w:tr>
        <w:trPr>
          <w:trHeight w:val="402" w:hRule="atLeast"/>
        </w:trPr>
        <w:tc>
          <w:tcPr>
            <w:tcW w:w="8505" w:type="dxa"/>
            <w:gridSpan w:val="2"/>
          </w:tcPr>
          <w:p>
            <w:pPr>
              <w:pStyle w:val="TableParagraph"/>
              <w:spacing w:before="58"/>
              <w:rPr>
                <w:sz w:val="22"/>
              </w:rPr>
            </w:pPr>
            <w:r>
              <w:rPr>
                <w:color w:val="231F1F"/>
                <w:sz w:val="22"/>
              </w:rPr>
              <w:t>10.4.</w:t>
            </w:r>
            <w:r>
              <w:rPr>
                <w:color w:val="231F1F"/>
                <w:spacing w:val="27"/>
                <w:sz w:val="22"/>
              </w:rPr>
              <w:t> </w:t>
            </w:r>
            <w:r>
              <w:rPr>
                <w:color w:val="231F1F"/>
                <w:sz w:val="22"/>
              </w:rPr>
              <w:t>MEFC</w:t>
            </w:r>
            <w:r>
              <w:rPr>
                <w:color w:val="231F1F"/>
                <w:spacing w:val="4"/>
                <w:sz w:val="22"/>
              </w:rPr>
              <w:t> </w:t>
            </w:r>
            <w:r>
              <w:rPr>
                <w:color w:val="231F1F"/>
                <w:sz w:val="22"/>
              </w:rPr>
              <w:t>con</w:t>
            </w:r>
            <w:r>
              <w:rPr>
                <w:color w:val="231F1F"/>
                <w:spacing w:val="4"/>
                <w:sz w:val="22"/>
              </w:rPr>
              <w:t> </w:t>
            </w:r>
            <w:r>
              <w:rPr>
                <w:color w:val="231F1F"/>
                <w:sz w:val="22"/>
              </w:rPr>
              <w:t>análisis</w:t>
            </w:r>
            <w:r>
              <w:rPr>
                <w:color w:val="231F1F"/>
                <w:spacing w:val="4"/>
                <w:sz w:val="22"/>
              </w:rPr>
              <w:t> </w:t>
            </w:r>
            <w:r>
              <w:rPr>
                <w:color w:val="231F1F"/>
                <w:sz w:val="22"/>
              </w:rPr>
              <w:t>del</w:t>
            </w:r>
            <w:r>
              <w:rPr>
                <w:color w:val="231F1F"/>
                <w:spacing w:val="4"/>
                <w:sz w:val="22"/>
              </w:rPr>
              <w:t> </w:t>
            </w:r>
            <w:r>
              <w:rPr>
                <w:color w:val="231F1F"/>
                <w:sz w:val="22"/>
              </w:rPr>
              <w:t>segmento</w:t>
            </w:r>
            <w:r>
              <w:rPr>
                <w:color w:val="231F1F"/>
                <w:spacing w:val="6"/>
                <w:sz w:val="22"/>
              </w:rPr>
              <w:t> </w:t>
            </w:r>
            <w:r>
              <w:rPr>
                <w:color w:val="231F1F"/>
                <w:sz w:val="22"/>
              </w:rPr>
              <w:t>ST</w:t>
            </w:r>
            <w:r>
              <w:rPr>
                <w:color w:val="231F1F"/>
                <w:spacing w:val="4"/>
                <w:sz w:val="22"/>
              </w:rPr>
              <w:t> </w:t>
            </w:r>
            <w:r>
              <w:rPr>
                <w:color w:val="231F1F"/>
                <w:sz w:val="22"/>
              </w:rPr>
              <w:t>(STAN)</w:t>
            </w:r>
            <w:r>
              <w:rPr>
                <w:color w:val="231F1F"/>
                <w:spacing w:val="4"/>
                <w:sz w:val="22"/>
              </w:rPr>
              <w:t> </w:t>
            </w:r>
            <w:r>
              <w:rPr>
                <w:color w:val="231F1F"/>
                <w:sz w:val="22"/>
              </w:rPr>
              <w:t>del</w:t>
            </w:r>
            <w:r>
              <w:rPr>
                <w:color w:val="231F1F"/>
                <w:spacing w:val="4"/>
                <w:sz w:val="22"/>
              </w:rPr>
              <w:t> </w:t>
            </w:r>
            <w:r>
              <w:rPr>
                <w:color w:val="231F1F"/>
                <w:sz w:val="22"/>
              </w:rPr>
              <w:t>ECG</w:t>
            </w:r>
            <w:r>
              <w:rPr>
                <w:color w:val="231F1F"/>
                <w:spacing w:val="4"/>
                <w:sz w:val="22"/>
              </w:rPr>
              <w:t> </w:t>
            </w:r>
            <w:r>
              <w:rPr>
                <w:color w:val="231F1F"/>
                <w:sz w:val="22"/>
              </w:rPr>
              <w:t>fetal</w:t>
            </w:r>
            <w:r>
              <w:rPr>
                <w:color w:val="231F1F"/>
                <w:spacing w:val="4"/>
                <w:sz w:val="22"/>
              </w:rPr>
              <w:t> </w:t>
            </w:r>
            <w:r>
              <w:rPr>
                <w:color w:val="231F1F"/>
                <w:sz w:val="22"/>
              </w:rPr>
              <w:t>de</w:t>
            </w:r>
            <w:r>
              <w:rPr>
                <w:color w:val="231F1F"/>
                <w:spacing w:val="4"/>
                <w:sz w:val="22"/>
              </w:rPr>
              <w:t> </w:t>
            </w:r>
            <w:r>
              <w:rPr>
                <w:color w:val="231F1F"/>
                <w:sz w:val="22"/>
              </w:rPr>
              <w:t>un</w:t>
            </w:r>
            <w:r>
              <w:rPr>
                <w:color w:val="231F1F"/>
                <w:spacing w:val="4"/>
                <w:sz w:val="22"/>
              </w:rPr>
              <w:t> </w:t>
            </w:r>
            <w:r>
              <w:rPr>
                <w:color w:val="231F1F"/>
                <w:sz w:val="22"/>
              </w:rPr>
              <w:t>RCTG</w:t>
            </w:r>
            <w:r>
              <w:rPr>
                <w:color w:val="231F1F"/>
                <w:spacing w:val="4"/>
                <w:sz w:val="22"/>
              </w:rPr>
              <w:t> </w:t>
            </w:r>
            <w:r>
              <w:rPr>
                <w:color w:val="231F1F"/>
                <w:spacing w:val="-2"/>
                <w:sz w:val="22"/>
              </w:rPr>
              <w:t>patológico.</w:t>
            </w:r>
          </w:p>
        </w:tc>
      </w:tr>
      <w:tr>
        <w:trPr>
          <w:trHeight w:val="681" w:hRule="atLeast"/>
        </w:trPr>
        <w:tc>
          <w:tcPr>
            <w:tcW w:w="571" w:type="dxa"/>
          </w:tcPr>
          <w:p>
            <w:pPr>
              <w:pStyle w:val="TableParagraph"/>
              <w:spacing w:before="183"/>
              <w:ind w:left="46" w:right="9"/>
              <w:jc w:val="center"/>
              <w:rPr>
                <w:sz w:val="22"/>
              </w:rPr>
            </w:pPr>
            <w:r>
              <w:rPr>
                <w:color w:val="231F1F"/>
                <w:spacing w:val="-10"/>
                <w:w w:val="115"/>
                <w:sz w:val="22"/>
              </w:rPr>
              <w:t>A</w:t>
            </w:r>
          </w:p>
        </w:tc>
        <w:tc>
          <w:tcPr>
            <w:tcW w:w="7934" w:type="dxa"/>
          </w:tcPr>
          <w:p>
            <w:pPr>
              <w:pStyle w:val="TableParagraph"/>
              <w:spacing w:line="244" w:lineRule="auto" w:before="44"/>
              <w:ind w:left="117"/>
              <w:rPr>
                <w:sz w:val="22"/>
              </w:rPr>
            </w:pPr>
            <w:r>
              <w:rPr>
                <w:color w:val="231F1F"/>
                <w:w w:val="110"/>
                <w:sz w:val="22"/>
              </w:rPr>
              <w:t>No</w:t>
            </w:r>
            <w:r>
              <w:rPr>
                <w:color w:val="231F1F"/>
                <w:spacing w:val="-8"/>
                <w:w w:val="110"/>
                <w:sz w:val="22"/>
              </w:rPr>
              <w:t> </w:t>
            </w:r>
            <w:r>
              <w:rPr>
                <w:color w:val="231F1F"/>
                <w:w w:val="110"/>
                <w:sz w:val="22"/>
              </w:rPr>
              <w:t>se</w:t>
            </w:r>
            <w:r>
              <w:rPr>
                <w:color w:val="231F1F"/>
                <w:spacing w:val="-9"/>
                <w:w w:val="110"/>
                <w:sz w:val="22"/>
              </w:rPr>
              <w:t> </w:t>
            </w:r>
            <w:r>
              <w:rPr>
                <w:color w:val="231F1F"/>
                <w:w w:val="110"/>
                <w:sz w:val="22"/>
              </w:rPr>
              <w:t>recomienda</w:t>
            </w:r>
            <w:r>
              <w:rPr>
                <w:color w:val="231F1F"/>
                <w:spacing w:val="-8"/>
                <w:w w:val="110"/>
                <w:sz w:val="22"/>
              </w:rPr>
              <w:t> </w:t>
            </w:r>
            <w:r>
              <w:rPr>
                <w:color w:val="231F1F"/>
                <w:w w:val="110"/>
                <w:sz w:val="22"/>
              </w:rPr>
              <w:t>la</w:t>
            </w:r>
            <w:r>
              <w:rPr>
                <w:color w:val="231F1F"/>
                <w:spacing w:val="-9"/>
                <w:w w:val="110"/>
                <w:sz w:val="22"/>
              </w:rPr>
              <w:t> </w:t>
            </w:r>
            <w:r>
              <w:rPr>
                <w:color w:val="231F1F"/>
                <w:w w:val="110"/>
                <w:sz w:val="22"/>
              </w:rPr>
              <w:t>utilización</w:t>
            </w:r>
            <w:r>
              <w:rPr>
                <w:color w:val="231F1F"/>
                <w:spacing w:val="-8"/>
                <w:w w:val="110"/>
                <w:sz w:val="22"/>
              </w:rPr>
              <w:t> </w:t>
            </w:r>
            <w:r>
              <w:rPr>
                <w:color w:val="231F1F"/>
                <w:w w:val="110"/>
                <w:sz w:val="22"/>
              </w:rPr>
              <w:t>rutinaria</w:t>
            </w:r>
            <w:r>
              <w:rPr>
                <w:color w:val="231F1F"/>
                <w:spacing w:val="-9"/>
                <w:w w:val="110"/>
                <w:sz w:val="22"/>
              </w:rPr>
              <w:t> </w:t>
            </w:r>
            <w:r>
              <w:rPr>
                <w:color w:val="231F1F"/>
                <w:w w:val="110"/>
                <w:sz w:val="22"/>
              </w:rPr>
              <w:t>del</w:t>
            </w:r>
            <w:r>
              <w:rPr>
                <w:color w:val="231F1F"/>
                <w:spacing w:val="-10"/>
                <w:w w:val="110"/>
                <w:sz w:val="22"/>
              </w:rPr>
              <w:t> </w:t>
            </w:r>
            <w:r>
              <w:rPr>
                <w:color w:val="231F1F"/>
                <w:w w:val="110"/>
                <w:sz w:val="22"/>
              </w:rPr>
              <w:t>análisis</w:t>
            </w:r>
            <w:r>
              <w:rPr>
                <w:color w:val="231F1F"/>
                <w:spacing w:val="-8"/>
                <w:w w:val="110"/>
                <w:sz w:val="22"/>
              </w:rPr>
              <w:t> </w:t>
            </w:r>
            <w:r>
              <w:rPr>
                <w:color w:val="231F1F"/>
                <w:w w:val="110"/>
                <w:sz w:val="22"/>
              </w:rPr>
              <w:t>del</w:t>
            </w:r>
            <w:r>
              <w:rPr>
                <w:color w:val="231F1F"/>
                <w:spacing w:val="-10"/>
                <w:w w:val="110"/>
                <w:sz w:val="22"/>
              </w:rPr>
              <w:t> </w:t>
            </w:r>
            <w:r>
              <w:rPr>
                <w:color w:val="231F1F"/>
                <w:w w:val="110"/>
                <w:sz w:val="22"/>
              </w:rPr>
              <w:t>segmento</w:t>
            </w:r>
            <w:r>
              <w:rPr>
                <w:color w:val="231F1F"/>
                <w:spacing w:val="-8"/>
                <w:w w:val="110"/>
                <w:sz w:val="22"/>
              </w:rPr>
              <w:t> </w:t>
            </w:r>
            <w:r>
              <w:rPr>
                <w:color w:val="231F1F"/>
                <w:w w:val="110"/>
                <w:sz w:val="22"/>
              </w:rPr>
              <w:t>ST</w:t>
            </w:r>
            <w:r>
              <w:rPr>
                <w:color w:val="231F1F"/>
                <w:spacing w:val="-9"/>
                <w:w w:val="110"/>
                <w:sz w:val="22"/>
              </w:rPr>
              <w:t> </w:t>
            </w:r>
            <w:r>
              <w:rPr>
                <w:color w:val="231F1F"/>
                <w:w w:val="110"/>
                <w:sz w:val="22"/>
              </w:rPr>
              <w:t>del</w:t>
            </w:r>
            <w:r>
              <w:rPr>
                <w:color w:val="231F1F"/>
                <w:spacing w:val="-10"/>
                <w:w w:val="110"/>
                <w:sz w:val="22"/>
              </w:rPr>
              <w:t> </w:t>
            </w:r>
            <w:r>
              <w:rPr>
                <w:color w:val="231F1F"/>
                <w:w w:val="110"/>
                <w:sz w:val="22"/>
              </w:rPr>
              <w:t>ECG fetal en el parto normal.</w:t>
            </w:r>
          </w:p>
        </w:tc>
      </w:tr>
      <w:tr>
        <w:trPr>
          <w:trHeight w:val="681" w:hRule="atLeast"/>
        </w:trPr>
        <w:tc>
          <w:tcPr>
            <w:tcW w:w="571" w:type="dxa"/>
          </w:tcPr>
          <w:p>
            <w:pPr>
              <w:pStyle w:val="TableParagraph"/>
              <w:spacing w:before="183"/>
              <w:ind w:left="46" w:right="7"/>
              <w:jc w:val="center"/>
              <w:rPr>
                <w:sz w:val="22"/>
              </w:rPr>
            </w:pPr>
            <w:r>
              <w:rPr>
                <w:color w:val="231F1F"/>
                <w:spacing w:val="-10"/>
                <w:w w:val="110"/>
                <w:sz w:val="22"/>
              </w:rPr>
              <w:t>B</w:t>
            </w:r>
          </w:p>
        </w:tc>
        <w:tc>
          <w:tcPr>
            <w:tcW w:w="7934" w:type="dxa"/>
          </w:tcPr>
          <w:p>
            <w:pPr>
              <w:pStyle w:val="TableParagraph"/>
              <w:spacing w:line="244" w:lineRule="auto" w:before="53"/>
              <w:ind w:left="117"/>
              <w:rPr>
                <w:sz w:val="22"/>
              </w:rPr>
            </w:pPr>
            <w:r>
              <w:rPr>
                <w:color w:val="231F1F"/>
                <w:w w:val="105"/>
                <w:sz w:val="22"/>
              </w:rPr>
              <w:t>En</w:t>
            </w:r>
            <w:r>
              <w:rPr>
                <w:color w:val="231F1F"/>
                <w:spacing w:val="-3"/>
                <w:w w:val="105"/>
                <w:sz w:val="22"/>
              </w:rPr>
              <w:t> </w:t>
            </w:r>
            <w:r>
              <w:rPr>
                <w:color w:val="231F1F"/>
                <w:w w:val="105"/>
                <w:sz w:val="22"/>
              </w:rPr>
              <w:t>las</w:t>
            </w:r>
            <w:r>
              <w:rPr>
                <w:color w:val="231F1F"/>
                <w:spacing w:val="-3"/>
                <w:w w:val="105"/>
                <w:sz w:val="22"/>
              </w:rPr>
              <w:t> </w:t>
            </w:r>
            <w:r>
              <w:rPr>
                <w:color w:val="231F1F"/>
                <w:w w:val="105"/>
                <w:sz w:val="22"/>
              </w:rPr>
              <w:t>maternidades</w:t>
            </w:r>
            <w:r>
              <w:rPr>
                <w:color w:val="231F1F"/>
                <w:spacing w:val="-3"/>
                <w:w w:val="105"/>
                <w:sz w:val="22"/>
              </w:rPr>
              <w:t> </w:t>
            </w:r>
            <w:r>
              <w:rPr>
                <w:color w:val="231F1F"/>
                <w:w w:val="105"/>
                <w:sz w:val="22"/>
              </w:rPr>
              <w:t>hospitalarias</w:t>
            </w:r>
            <w:r>
              <w:rPr>
                <w:color w:val="231F1F"/>
                <w:spacing w:val="-3"/>
                <w:w w:val="105"/>
                <w:sz w:val="22"/>
              </w:rPr>
              <w:t> </w:t>
            </w:r>
            <w:r>
              <w:rPr>
                <w:color w:val="231F1F"/>
                <w:w w:val="105"/>
                <w:sz w:val="22"/>
              </w:rPr>
              <w:t>donde</w:t>
            </w:r>
            <w:r>
              <w:rPr>
                <w:color w:val="231F1F"/>
                <w:spacing w:val="-3"/>
                <w:w w:val="105"/>
                <w:sz w:val="22"/>
              </w:rPr>
              <w:t> </w:t>
            </w:r>
            <w:r>
              <w:rPr>
                <w:color w:val="231F1F"/>
                <w:w w:val="105"/>
                <w:sz w:val="22"/>
              </w:rPr>
              <w:t>el</w:t>
            </w:r>
            <w:r>
              <w:rPr>
                <w:color w:val="231F1F"/>
                <w:spacing w:val="-4"/>
                <w:w w:val="105"/>
                <w:sz w:val="22"/>
              </w:rPr>
              <w:t> </w:t>
            </w:r>
            <w:r>
              <w:rPr>
                <w:color w:val="231F1F"/>
                <w:w w:val="105"/>
                <w:sz w:val="22"/>
              </w:rPr>
              <w:t>análisis</w:t>
            </w:r>
            <w:r>
              <w:rPr>
                <w:color w:val="231F1F"/>
                <w:spacing w:val="-3"/>
                <w:w w:val="105"/>
                <w:sz w:val="22"/>
              </w:rPr>
              <w:t> </w:t>
            </w:r>
            <w:r>
              <w:rPr>
                <w:color w:val="231F1F"/>
                <w:w w:val="105"/>
                <w:sz w:val="22"/>
              </w:rPr>
              <w:t>del</w:t>
            </w:r>
            <w:r>
              <w:rPr>
                <w:color w:val="231F1F"/>
                <w:spacing w:val="-4"/>
                <w:w w:val="105"/>
                <w:sz w:val="22"/>
              </w:rPr>
              <w:t> </w:t>
            </w:r>
            <w:r>
              <w:rPr>
                <w:color w:val="231F1F"/>
                <w:w w:val="105"/>
                <w:sz w:val="22"/>
              </w:rPr>
              <w:t>segmento</w:t>
            </w:r>
            <w:r>
              <w:rPr>
                <w:color w:val="231F1F"/>
                <w:spacing w:val="-3"/>
                <w:w w:val="105"/>
                <w:sz w:val="22"/>
              </w:rPr>
              <w:t> </w:t>
            </w:r>
            <w:r>
              <w:rPr>
                <w:color w:val="231F1F"/>
                <w:w w:val="105"/>
                <w:sz w:val="22"/>
              </w:rPr>
              <w:t>ST</w:t>
            </w:r>
            <w:r>
              <w:rPr>
                <w:color w:val="231F1F"/>
                <w:spacing w:val="-3"/>
                <w:w w:val="105"/>
                <w:sz w:val="22"/>
              </w:rPr>
              <w:t> </w:t>
            </w:r>
            <w:r>
              <w:rPr>
                <w:color w:val="231F1F"/>
                <w:w w:val="105"/>
                <w:sz w:val="22"/>
              </w:rPr>
              <w:t>del</w:t>
            </w:r>
            <w:r>
              <w:rPr>
                <w:color w:val="231F1F"/>
                <w:spacing w:val="-4"/>
                <w:w w:val="105"/>
                <w:sz w:val="22"/>
              </w:rPr>
              <w:t> </w:t>
            </w:r>
            <w:r>
              <w:rPr>
                <w:color w:val="231F1F"/>
                <w:w w:val="105"/>
                <w:sz w:val="22"/>
              </w:rPr>
              <w:t>ECG</w:t>
            </w:r>
            <w:r>
              <w:rPr>
                <w:color w:val="231F1F"/>
                <w:spacing w:val="-3"/>
                <w:w w:val="105"/>
                <w:sz w:val="22"/>
              </w:rPr>
              <w:t> </w:t>
            </w:r>
            <w:r>
              <w:rPr>
                <w:color w:val="231F1F"/>
                <w:w w:val="105"/>
                <w:sz w:val="22"/>
              </w:rPr>
              <w:t>fetal está</w:t>
            </w:r>
            <w:r>
              <w:rPr>
                <w:color w:val="231F1F"/>
                <w:spacing w:val="12"/>
                <w:w w:val="105"/>
                <w:sz w:val="22"/>
              </w:rPr>
              <w:t> </w:t>
            </w:r>
            <w:r>
              <w:rPr>
                <w:color w:val="231F1F"/>
                <w:w w:val="105"/>
                <w:sz w:val="22"/>
              </w:rPr>
              <w:t>disponible,</w:t>
            </w:r>
            <w:r>
              <w:rPr>
                <w:color w:val="231F1F"/>
                <w:spacing w:val="12"/>
                <w:w w:val="105"/>
                <w:sz w:val="22"/>
              </w:rPr>
              <w:t> </w:t>
            </w:r>
            <w:r>
              <w:rPr>
                <w:color w:val="231F1F"/>
                <w:w w:val="105"/>
                <w:sz w:val="22"/>
              </w:rPr>
              <w:t>se</w:t>
            </w:r>
            <w:r>
              <w:rPr>
                <w:color w:val="231F1F"/>
                <w:spacing w:val="13"/>
                <w:w w:val="105"/>
                <w:sz w:val="22"/>
              </w:rPr>
              <w:t> </w:t>
            </w:r>
            <w:r>
              <w:rPr>
                <w:color w:val="231F1F"/>
                <w:w w:val="105"/>
                <w:sz w:val="22"/>
              </w:rPr>
              <w:t>recomienda</w:t>
            </w:r>
            <w:r>
              <w:rPr>
                <w:color w:val="231F1F"/>
                <w:spacing w:val="14"/>
                <w:w w:val="105"/>
                <w:sz w:val="22"/>
              </w:rPr>
              <w:t> </w:t>
            </w:r>
            <w:r>
              <w:rPr>
                <w:color w:val="231F1F"/>
                <w:w w:val="105"/>
                <w:sz w:val="22"/>
              </w:rPr>
              <w:t>su</w:t>
            </w:r>
            <w:r>
              <w:rPr>
                <w:color w:val="231F1F"/>
                <w:spacing w:val="14"/>
                <w:w w:val="105"/>
                <w:sz w:val="22"/>
              </w:rPr>
              <w:t> </w:t>
            </w:r>
            <w:r>
              <w:rPr>
                <w:color w:val="231F1F"/>
                <w:w w:val="105"/>
                <w:sz w:val="22"/>
              </w:rPr>
              <w:t>utilización</w:t>
            </w:r>
            <w:r>
              <w:rPr>
                <w:color w:val="231F1F"/>
                <w:spacing w:val="13"/>
                <w:w w:val="105"/>
                <w:sz w:val="22"/>
              </w:rPr>
              <w:t> </w:t>
            </w:r>
            <w:r>
              <w:rPr>
                <w:color w:val="231F1F"/>
                <w:w w:val="105"/>
                <w:sz w:val="22"/>
              </w:rPr>
              <w:t>sólo</w:t>
            </w:r>
            <w:r>
              <w:rPr>
                <w:color w:val="231F1F"/>
                <w:spacing w:val="13"/>
                <w:w w:val="105"/>
                <w:sz w:val="22"/>
              </w:rPr>
              <w:t> </w:t>
            </w:r>
            <w:r>
              <w:rPr>
                <w:color w:val="231F1F"/>
                <w:w w:val="105"/>
                <w:sz w:val="22"/>
              </w:rPr>
              <w:t>en</w:t>
            </w:r>
            <w:r>
              <w:rPr>
                <w:color w:val="231F1F"/>
                <w:spacing w:val="14"/>
                <w:w w:val="105"/>
                <w:sz w:val="22"/>
              </w:rPr>
              <w:t> </w:t>
            </w:r>
            <w:r>
              <w:rPr>
                <w:color w:val="231F1F"/>
                <w:w w:val="105"/>
                <w:sz w:val="22"/>
              </w:rPr>
              <w:t>mujeres</w:t>
            </w:r>
            <w:r>
              <w:rPr>
                <w:color w:val="231F1F"/>
                <w:spacing w:val="13"/>
                <w:w w:val="105"/>
                <w:sz w:val="22"/>
              </w:rPr>
              <w:t> </w:t>
            </w:r>
            <w:r>
              <w:rPr>
                <w:color w:val="231F1F"/>
                <w:w w:val="105"/>
                <w:sz w:val="22"/>
              </w:rPr>
              <w:t>con</w:t>
            </w:r>
            <w:r>
              <w:rPr>
                <w:color w:val="231F1F"/>
                <w:spacing w:val="14"/>
                <w:w w:val="105"/>
                <w:sz w:val="22"/>
              </w:rPr>
              <w:t> </w:t>
            </w:r>
            <w:r>
              <w:rPr>
                <w:color w:val="231F1F"/>
                <w:w w:val="105"/>
                <w:sz w:val="22"/>
              </w:rPr>
              <w:t>CTG</w:t>
            </w:r>
            <w:r>
              <w:rPr>
                <w:color w:val="231F1F"/>
                <w:spacing w:val="15"/>
                <w:w w:val="105"/>
                <w:sz w:val="22"/>
              </w:rPr>
              <w:t> </w:t>
            </w:r>
            <w:r>
              <w:rPr>
                <w:color w:val="231F1F"/>
                <w:spacing w:val="-2"/>
                <w:w w:val="105"/>
                <w:sz w:val="22"/>
              </w:rPr>
              <w:t>anormal.</w:t>
            </w:r>
          </w:p>
        </w:tc>
      </w:tr>
      <w:tr>
        <w:trPr>
          <w:trHeight w:val="402" w:hRule="atLeast"/>
        </w:trPr>
        <w:tc>
          <w:tcPr>
            <w:tcW w:w="8505" w:type="dxa"/>
            <w:gridSpan w:val="2"/>
          </w:tcPr>
          <w:p>
            <w:pPr>
              <w:pStyle w:val="TableParagraph"/>
              <w:spacing w:before="49"/>
              <w:rPr>
                <w:sz w:val="22"/>
              </w:rPr>
            </w:pPr>
            <w:r>
              <w:rPr>
                <w:color w:val="231F1F"/>
                <w:sz w:val="22"/>
              </w:rPr>
              <w:t>10.5.</w:t>
            </w:r>
            <w:r>
              <w:rPr>
                <w:color w:val="231F1F"/>
                <w:spacing w:val="25"/>
                <w:sz w:val="22"/>
              </w:rPr>
              <w:t> </w:t>
            </w:r>
            <w:r>
              <w:rPr>
                <w:color w:val="231F1F"/>
                <w:sz w:val="22"/>
              </w:rPr>
              <w:t>MEFC</w:t>
            </w:r>
            <w:r>
              <w:rPr>
                <w:color w:val="231F1F"/>
                <w:spacing w:val="29"/>
                <w:sz w:val="22"/>
              </w:rPr>
              <w:t> </w:t>
            </w:r>
            <w:r>
              <w:rPr>
                <w:color w:val="231F1F"/>
                <w:sz w:val="22"/>
              </w:rPr>
              <w:t>con</w:t>
            </w:r>
            <w:r>
              <w:rPr>
                <w:color w:val="231F1F"/>
                <w:spacing w:val="27"/>
                <w:sz w:val="22"/>
              </w:rPr>
              <w:t> </w:t>
            </w:r>
            <w:r>
              <w:rPr>
                <w:color w:val="231F1F"/>
                <w:sz w:val="22"/>
              </w:rPr>
              <w:t>microtoma</w:t>
            </w:r>
            <w:r>
              <w:rPr>
                <w:color w:val="231F1F"/>
                <w:spacing w:val="28"/>
                <w:sz w:val="22"/>
              </w:rPr>
              <w:t> </w:t>
            </w:r>
            <w:r>
              <w:rPr>
                <w:color w:val="231F1F"/>
                <w:sz w:val="22"/>
              </w:rPr>
              <w:t>de</w:t>
            </w:r>
            <w:r>
              <w:rPr>
                <w:color w:val="231F1F"/>
                <w:spacing w:val="29"/>
                <w:sz w:val="22"/>
              </w:rPr>
              <w:t> </w:t>
            </w:r>
            <w:r>
              <w:rPr>
                <w:color w:val="231F1F"/>
                <w:sz w:val="22"/>
              </w:rPr>
              <w:t>sangre</w:t>
            </w:r>
            <w:r>
              <w:rPr>
                <w:color w:val="231F1F"/>
                <w:spacing w:val="25"/>
                <w:sz w:val="22"/>
              </w:rPr>
              <w:t> </w:t>
            </w:r>
            <w:r>
              <w:rPr>
                <w:color w:val="231F1F"/>
                <w:sz w:val="22"/>
              </w:rPr>
              <w:t>de</w:t>
            </w:r>
            <w:r>
              <w:rPr>
                <w:color w:val="231F1F"/>
                <w:spacing w:val="29"/>
                <w:sz w:val="22"/>
              </w:rPr>
              <w:t> </w:t>
            </w:r>
            <w:r>
              <w:rPr>
                <w:color w:val="231F1F"/>
                <w:sz w:val="22"/>
              </w:rPr>
              <w:t>la</w:t>
            </w:r>
            <w:r>
              <w:rPr>
                <w:color w:val="231F1F"/>
                <w:spacing w:val="27"/>
                <w:sz w:val="22"/>
              </w:rPr>
              <w:t> </w:t>
            </w:r>
            <w:r>
              <w:rPr>
                <w:color w:val="231F1F"/>
                <w:sz w:val="22"/>
              </w:rPr>
              <w:t>calota</w:t>
            </w:r>
            <w:r>
              <w:rPr>
                <w:color w:val="231F1F"/>
                <w:spacing w:val="29"/>
                <w:sz w:val="22"/>
              </w:rPr>
              <w:t> </w:t>
            </w:r>
            <w:r>
              <w:rPr>
                <w:color w:val="231F1F"/>
                <w:sz w:val="22"/>
              </w:rPr>
              <w:t>fetal</w:t>
            </w:r>
            <w:r>
              <w:rPr>
                <w:color w:val="231F1F"/>
                <w:spacing w:val="28"/>
                <w:sz w:val="22"/>
              </w:rPr>
              <w:t> </w:t>
            </w:r>
            <w:r>
              <w:rPr>
                <w:color w:val="231F1F"/>
                <w:spacing w:val="-2"/>
                <w:sz w:val="22"/>
              </w:rPr>
              <w:t>(MSF).</w:t>
            </w:r>
          </w:p>
        </w:tc>
      </w:tr>
      <w:tr>
        <w:trPr>
          <w:trHeight w:val="397" w:hRule="atLeast"/>
        </w:trPr>
        <w:tc>
          <w:tcPr>
            <w:tcW w:w="571" w:type="dxa"/>
          </w:tcPr>
          <w:p>
            <w:pPr>
              <w:pStyle w:val="TableParagraph"/>
              <w:spacing w:before="39"/>
              <w:ind w:left="46" w:right="7"/>
              <w:jc w:val="center"/>
              <w:rPr>
                <w:sz w:val="22"/>
              </w:rPr>
            </w:pPr>
            <w:r>
              <w:rPr>
                <w:color w:val="231F1F"/>
                <w:spacing w:val="-10"/>
                <w:w w:val="110"/>
                <w:sz w:val="22"/>
              </w:rPr>
              <w:t>B</w:t>
            </w:r>
          </w:p>
        </w:tc>
        <w:tc>
          <w:tcPr>
            <w:tcW w:w="7934" w:type="dxa"/>
          </w:tcPr>
          <w:p>
            <w:pPr>
              <w:pStyle w:val="TableParagraph"/>
              <w:spacing w:before="49"/>
              <w:ind w:left="117"/>
              <w:rPr>
                <w:sz w:val="22"/>
              </w:rPr>
            </w:pPr>
            <w:r>
              <w:rPr>
                <w:color w:val="231F1F"/>
                <w:sz w:val="22"/>
              </w:rPr>
              <w:t>Se</w:t>
            </w:r>
            <w:r>
              <w:rPr>
                <w:color w:val="231F1F"/>
                <w:spacing w:val="27"/>
                <w:sz w:val="22"/>
              </w:rPr>
              <w:t> </w:t>
            </w:r>
            <w:r>
              <w:rPr>
                <w:color w:val="231F1F"/>
                <w:sz w:val="22"/>
              </w:rPr>
              <w:t>recomienda</w:t>
            </w:r>
            <w:r>
              <w:rPr>
                <w:color w:val="231F1F"/>
                <w:spacing w:val="32"/>
                <w:sz w:val="22"/>
              </w:rPr>
              <w:t> </w:t>
            </w:r>
            <w:r>
              <w:rPr>
                <w:color w:val="231F1F"/>
                <w:sz w:val="22"/>
              </w:rPr>
              <w:t>la</w:t>
            </w:r>
            <w:r>
              <w:rPr>
                <w:color w:val="231F1F"/>
                <w:spacing w:val="32"/>
                <w:sz w:val="22"/>
              </w:rPr>
              <w:t> </w:t>
            </w:r>
            <w:r>
              <w:rPr>
                <w:color w:val="231F1F"/>
                <w:sz w:val="22"/>
              </w:rPr>
              <w:t>recogida</w:t>
            </w:r>
            <w:r>
              <w:rPr>
                <w:color w:val="231F1F"/>
                <w:spacing w:val="32"/>
                <w:sz w:val="22"/>
              </w:rPr>
              <w:t> </w:t>
            </w:r>
            <w:r>
              <w:rPr>
                <w:color w:val="231F1F"/>
                <w:sz w:val="22"/>
              </w:rPr>
              <w:t>de</w:t>
            </w:r>
            <w:r>
              <w:rPr>
                <w:color w:val="231F1F"/>
                <w:spacing w:val="30"/>
                <w:sz w:val="22"/>
              </w:rPr>
              <w:t> </w:t>
            </w:r>
            <w:r>
              <w:rPr>
                <w:color w:val="231F1F"/>
                <w:sz w:val="22"/>
              </w:rPr>
              <w:t>MSF</w:t>
            </w:r>
            <w:r>
              <w:rPr>
                <w:color w:val="231F1F"/>
                <w:spacing w:val="33"/>
                <w:sz w:val="22"/>
              </w:rPr>
              <w:t> </w:t>
            </w:r>
            <w:r>
              <w:rPr>
                <w:color w:val="231F1F"/>
                <w:sz w:val="22"/>
              </w:rPr>
              <w:t>en</w:t>
            </w:r>
            <w:r>
              <w:rPr>
                <w:color w:val="231F1F"/>
                <w:spacing w:val="31"/>
                <w:sz w:val="22"/>
              </w:rPr>
              <w:t> </w:t>
            </w:r>
            <w:r>
              <w:rPr>
                <w:color w:val="231F1F"/>
                <w:sz w:val="22"/>
              </w:rPr>
              <w:t>presencia</w:t>
            </w:r>
            <w:r>
              <w:rPr>
                <w:color w:val="231F1F"/>
                <w:spacing w:val="30"/>
                <w:sz w:val="22"/>
              </w:rPr>
              <w:t> </w:t>
            </w:r>
            <w:r>
              <w:rPr>
                <w:color w:val="231F1F"/>
                <w:sz w:val="22"/>
              </w:rPr>
              <w:t>de</w:t>
            </w:r>
            <w:r>
              <w:rPr>
                <w:color w:val="231F1F"/>
                <w:spacing w:val="33"/>
                <w:sz w:val="22"/>
              </w:rPr>
              <w:t> </w:t>
            </w:r>
            <w:r>
              <w:rPr>
                <w:color w:val="231F1F"/>
                <w:sz w:val="22"/>
              </w:rPr>
              <w:t>un</w:t>
            </w:r>
            <w:r>
              <w:rPr>
                <w:color w:val="231F1F"/>
                <w:spacing w:val="30"/>
                <w:sz w:val="22"/>
              </w:rPr>
              <w:t> </w:t>
            </w:r>
            <w:r>
              <w:rPr>
                <w:color w:val="231F1F"/>
                <w:sz w:val="22"/>
              </w:rPr>
              <w:t>registro</w:t>
            </w:r>
            <w:r>
              <w:rPr>
                <w:color w:val="231F1F"/>
                <w:spacing w:val="31"/>
                <w:sz w:val="22"/>
              </w:rPr>
              <w:t> </w:t>
            </w:r>
            <w:r>
              <w:rPr>
                <w:color w:val="231F1F"/>
                <w:sz w:val="22"/>
              </w:rPr>
              <w:t>CTG</w:t>
            </w:r>
            <w:r>
              <w:rPr>
                <w:color w:val="231F1F"/>
                <w:spacing w:val="32"/>
                <w:sz w:val="22"/>
              </w:rPr>
              <w:t> </w:t>
            </w:r>
            <w:r>
              <w:rPr>
                <w:color w:val="231F1F"/>
                <w:spacing w:val="-2"/>
                <w:sz w:val="22"/>
              </w:rPr>
              <w:t>patológico.</w:t>
            </w:r>
          </w:p>
        </w:tc>
      </w:tr>
      <w:tr>
        <w:trPr>
          <w:trHeight w:val="402" w:hRule="atLeast"/>
        </w:trPr>
        <w:tc>
          <w:tcPr>
            <w:tcW w:w="8505" w:type="dxa"/>
            <w:gridSpan w:val="2"/>
          </w:tcPr>
          <w:p>
            <w:pPr>
              <w:pStyle w:val="TableParagraph"/>
              <w:spacing w:before="49"/>
              <w:rPr>
                <w:sz w:val="22"/>
              </w:rPr>
            </w:pPr>
            <w:r>
              <w:rPr>
                <w:color w:val="231F1F"/>
                <w:sz w:val="22"/>
              </w:rPr>
              <w:t>10.6.</w:t>
            </w:r>
            <w:r>
              <w:rPr>
                <w:color w:val="231F1F"/>
                <w:spacing w:val="29"/>
                <w:sz w:val="22"/>
              </w:rPr>
              <w:t> </w:t>
            </w:r>
            <w:r>
              <w:rPr>
                <w:color w:val="231F1F"/>
                <w:sz w:val="22"/>
              </w:rPr>
              <w:t>MEFC</w:t>
            </w:r>
            <w:r>
              <w:rPr>
                <w:color w:val="231F1F"/>
                <w:spacing w:val="33"/>
                <w:sz w:val="22"/>
              </w:rPr>
              <w:t> </w:t>
            </w:r>
            <w:r>
              <w:rPr>
                <w:color w:val="231F1F"/>
                <w:sz w:val="22"/>
              </w:rPr>
              <w:t>estimulación</w:t>
            </w:r>
            <w:r>
              <w:rPr>
                <w:color w:val="231F1F"/>
                <w:spacing w:val="32"/>
                <w:sz w:val="22"/>
              </w:rPr>
              <w:t> </w:t>
            </w:r>
            <w:r>
              <w:rPr>
                <w:color w:val="231F1F"/>
                <w:sz w:val="22"/>
              </w:rPr>
              <w:t>de</w:t>
            </w:r>
            <w:r>
              <w:rPr>
                <w:color w:val="231F1F"/>
                <w:spacing w:val="32"/>
                <w:sz w:val="22"/>
              </w:rPr>
              <w:t> </w:t>
            </w:r>
            <w:r>
              <w:rPr>
                <w:color w:val="231F1F"/>
                <w:sz w:val="22"/>
              </w:rPr>
              <w:t>la</w:t>
            </w:r>
            <w:r>
              <w:rPr>
                <w:color w:val="231F1F"/>
                <w:spacing w:val="33"/>
                <w:sz w:val="22"/>
              </w:rPr>
              <w:t> </w:t>
            </w:r>
            <w:r>
              <w:rPr>
                <w:color w:val="231F1F"/>
                <w:sz w:val="22"/>
              </w:rPr>
              <w:t>calota</w:t>
            </w:r>
            <w:r>
              <w:rPr>
                <w:color w:val="231F1F"/>
                <w:spacing w:val="34"/>
                <w:sz w:val="22"/>
              </w:rPr>
              <w:t> </w:t>
            </w:r>
            <w:r>
              <w:rPr>
                <w:color w:val="231F1F"/>
                <w:sz w:val="22"/>
              </w:rPr>
              <w:t>fetal</w:t>
            </w:r>
            <w:r>
              <w:rPr>
                <w:color w:val="231F1F"/>
                <w:spacing w:val="32"/>
                <w:sz w:val="22"/>
              </w:rPr>
              <w:t> </w:t>
            </w:r>
            <w:r>
              <w:rPr>
                <w:color w:val="231F1F"/>
                <w:sz w:val="22"/>
              </w:rPr>
              <w:t>cuando</w:t>
            </w:r>
            <w:r>
              <w:rPr>
                <w:color w:val="231F1F"/>
                <w:spacing w:val="33"/>
                <w:sz w:val="22"/>
              </w:rPr>
              <w:t> </w:t>
            </w:r>
            <w:r>
              <w:rPr>
                <w:color w:val="231F1F"/>
                <w:sz w:val="22"/>
              </w:rPr>
              <w:t>se</w:t>
            </w:r>
            <w:r>
              <w:rPr>
                <w:color w:val="231F1F"/>
                <w:spacing w:val="32"/>
                <w:sz w:val="22"/>
              </w:rPr>
              <w:t> </w:t>
            </w:r>
            <w:r>
              <w:rPr>
                <w:color w:val="231F1F"/>
                <w:sz w:val="22"/>
              </w:rPr>
              <w:t>presentan</w:t>
            </w:r>
            <w:r>
              <w:rPr>
                <w:color w:val="231F1F"/>
                <w:spacing w:val="33"/>
                <w:sz w:val="22"/>
              </w:rPr>
              <w:t> </w:t>
            </w:r>
            <w:r>
              <w:rPr>
                <w:color w:val="231F1F"/>
                <w:sz w:val="22"/>
              </w:rPr>
              <w:t>alteraciones</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pacing w:val="-5"/>
                <w:sz w:val="22"/>
              </w:rPr>
              <w:t>FCF</w:t>
            </w:r>
          </w:p>
        </w:tc>
      </w:tr>
      <w:tr>
        <w:trPr>
          <w:trHeight w:val="681" w:hRule="atLeast"/>
        </w:trPr>
        <w:tc>
          <w:tcPr>
            <w:tcW w:w="571" w:type="dxa"/>
          </w:tcPr>
          <w:p>
            <w:pPr>
              <w:pStyle w:val="TableParagraph"/>
              <w:spacing w:before="20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53"/>
              <w:ind w:left="117"/>
              <w:rPr>
                <w:sz w:val="22"/>
              </w:rPr>
            </w:pPr>
            <w:r>
              <w:rPr>
                <w:color w:val="231F1F"/>
                <w:w w:val="105"/>
                <w:sz w:val="22"/>
              </w:rPr>
              <w:t>Se</w:t>
            </w:r>
            <w:r>
              <w:rPr>
                <w:color w:val="231F1F"/>
                <w:spacing w:val="-3"/>
                <w:w w:val="105"/>
                <w:sz w:val="22"/>
              </w:rPr>
              <w:t> </w:t>
            </w:r>
            <w:r>
              <w:rPr>
                <w:color w:val="231F1F"/>
                <w:w w:val="105"/>
                <w:sz w:val="22"/>
              </w:rPr>
              <w:t>recomienda</w:t>
            </w:r>
            <w:r>
              <w:rPr>
                <w:color w:val="231F1F"/>
                <w:spacing w:val="-1"/>
                <w:w w:val="105"/>
                <w:sz w:val="22"/>
              </w:rPr>
              <w:t> </w:t>
            </w:r>
            <w:r>
              <w:rPr>
                <w:color w:val="231F1F"/>
                <w:w w:val="105"/>
                <w:sz w:val="22"/>
              </w:rPr>
              <w:t>la</w:t>
            </w:r>
            <w:r>
              <w:rPr>
                <w:color w:val="231F1F"/>
                <w:spacing w:val="-1"/>
                <w:w w:val="105"/>
                <w:sz w:val="22"/>
              </w:rPr>
              <w:t> </w:t>
            </w:r>
            <w:r>
              <w:rPr>
                <w:color w:val="231F1F"/>
                <w:w w:val="105"/>
                <w:sz w:val="22"/>
              </w:rPr>
              <w:t>estimulación</w:t>
            </w:r>
            <w:r>
              <w:rPr>
                <w:color w:val="231F1F"/>
                <w:spacing w:val="-1"/>
                <w:w w:val="105"/>
                <w:sz w:val="22"/>
              </w:rPr>
              <w:t> </w:t>
            </w:r>
            <w:r>
              <w:rPr>
                <w:color w:val="231F1F"/>
                <w:w w:val="105"/>
                <w:sz w:val="22"/>
              </w:rPr>
              <w:t>digital</w:t>
            </w:r>
            <w:r>
              <w:rPr>
                <w:color w:val="231F1F"/>
                <w:spacing w:val="-2"/>
                <w:w w:val="105"/>
                <w:sz w:val="22"/>
              </w:rPr>
              <w:t> </w:t>
            </w:r>
            <w:r>
              <w:rPr>
                <w:color w:val="231F1F"/>
                <w:w w:val="105"/>
                <w:sz w:val="22"/>
              </w:rPr>
              <w:t>de</w:t>
            </w:r>
            <w:r>
              <w:rPr>
                <w:color w:val="231F1F"/>
                <w:spacing w:val="-2"/>
                <w:w w:val="105"/>
                <w:sz w:val="22"/>
              </w:rPr>
              <w:t> </w:t>
            </w:r>
            <w:r>
              <w:rPr>
                <w:color w:val="231F1F"/>
                <w:w w:val="105"/>
                <w:sz w:val="22"/>
              </w:rPr>
              <w:t>la</w:t>
            </w:r>
            <w:r>
              <w:rPr>
                <w:color w:val="231F1F"/>
                <w:spacing w:val="-1"/>
                <w:w w:val="105"/>
                <w:sz w:val="22"/>
              </w:rPr>
              <w:t> </w:t>
            </w:r>
            <w:r>
              <w:rPr>
                <w:color w:val="231F1F"/>
                <w:w w:val="105"/>
                <w:sz w:val="22"/>
              </w:rPr>
              <w:t>calota</w:t>
            </w:r>
            <w:r>
              <w:rPr>
                <w:color w:val="231F1F"/>
                <w:spacing w:val="-1"/>
                <w:w w:val="105"/>
                <w:sz w:val="22"/>
              </w:rPr>
              <w:t> </w:t>
            </w:r>
            <w:r>
              <w:rPr>
                <w:color w:val="231F1F"/>
                <w:w w:val="105"/>
                <w:sz w:val="22"/>
              </w:rPr>
              <w:t>fetal</w:t>
            </w:r>
            <w:r>
              <w:rPr>
                <w:color w:val="231F1F"/>
                <w:spacing w:val="-3"/>
                <w:w w:val="105"/>
                <w:sz w:val="22"/>
              </w:rPr>
              <w:t> </w:t>
            </w:r>
            <w:r>
              <w:rPr>
                <w:color w:val="231F1F"/>
                <w:w w:val="105"/>
                <w:sz w:val="22"/>
              </w:rPr>
              <w:t>como</w:t>
            </w:r>
            <w:r>
              <w:rPr>
                <w:color w:val="231F1F"/>
                <w:spacing w:val="-1"/>
                <w:w w:val="105"/>
                <w:sz w:val="22"/>
              </w:rPr>
              <w:t> </w:t>
            </w:r>
            <w:r>
              <w:rPr>
                <w:color w:val="231F1F"/>
                <w:w w:val="105"/>
                <w:sz w:val="22"/>
              </w:rPr>
              <w:t>método</w:t>
            </w:r>
            <w:r>
              <w:rPr>
                <w:color w:val="231F1F"/>
                <w:spacing w:val="-1"/>
                <w:w w:val="105"/>
                <w:sz w:val="22"/>
              </w:rPr>
              <w:t> </w:t>
            </w:r>
            <w:r>
              <w:rPr>
                <w:color w:val="231F1F"/>
                <w:w w:val="105"/>
                <w:sz w:val="22"/>
              </w:rPr>
              <w:t>diagnóstico complementario</w:t>
            </w:r>
            <w:r>
              <w:rPr>
                <w:color w:val="231F1F"/>
                <w:spacing w:val="40"/>
                <w:w w:val="105"/>
                <w:sz w:val="22"/>
              </w:rPr>
              <w:t> </w:t>
            </w:r>
            <w:r>
              <w:rPr>
                <w:color w:val="231F1F"/>
                <w:w w:val="105"/>
                <w:sz w:val="22"/>
              </w:rPr>
              <w:t>ante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presencia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un</w:t>
            </w:r>
            <w:r>
              <w:rPr>
                <w:color w:val="231F1F"/>
                <w:spacing w:val="40"/>
                <w:w w:val="105"/>
                <w:sz w:val="22"/>
              </w:rPr>
              <w:t> </w:t>
            </w:r>
            <w:r>
              <w:rPr>
                <w:color w:val="231F1F"/>
                <w:w w:val="105"/>
                <w:sz w:val="22"/>
              </w:rPr>
              <w:t>registro</w:t>
            </w:r>
            <w:r>
              <w:rPr>
                <w:color w:val="231F1F"/>
                <w:spacing w:val="40"/>
                <w:w w:val="105"/>
                <w:sz w:val="22"/>
              </w:rPr>
              <w:t> </w:t>
            </w:r>
            <w:r>
              <w:rPr>
                <w:color w:val="231F1F"/>
                <w:w w:val="105"/>
                <w:sz w:val="22"/>
              </w:rPr>
              <w:t>CTG</w:t>
            </w:r>
            <w:r>
              <w:rPr>
                <w:color w:val="231F1F"/>
                <w:spacing w:val="40"/>
                <w:w w:val="105"/>
                <w:sz w:val="22"/>
              </w:rPr>
              <w:t> </w:t>
            </w:r>
            <w:r>
              <w:rPr>
                <w:color w:val="231F1F"/>
                <w:w w:val="105"/>
                <w:sz w:val="22"/>
              </w:rPr>
              <w:t>patológico.</w:t>
            </w:r>
          </w:p>
        </w:tc>
      </w:tr>
      <w:tr>
        <w:trPr>
          <w:trHeight w:val="402" w:hRule="atLeast"/>
        </w:trPr>
        <w:tc>
          <w:tcPr>
            <w:tcW w:w="8505" w:type="dxa"/>
            <w:gridSpan w:val="2"/>
          </w:tcPr>
          <w:p>
            <w:pPr>
              <w:pStyle w:val="TableParagraph"/>
              <w:spacing w:before="39"/>
              <w:rPr>
                <w:sz w:val="22"/>
              </w:rPr>
            </w:pPr>
            <w:r>
              <w:rPr>
                <w:color w:val="231F1F"/>
                <w:w w:val="105"/>
                <w:sz w:val="22"/>
              </w:rPr>
              <w:t>10.7.</w:t>
            </w:r>
            <w:r>
              <w:rPr>
                <w:color w:val="231F1F"/>
                <w:spacing w:val="-5"/>
                <w:w w:val="105"/>
                <w:sz w:val="22"/>
              </w:rPr>
              <w:t> </w:t>
            </w:r>
            <w:r>
              <w:rPr>
                <w:color w:val="231F1F"/>
                <w:w w:val="105"/>
                <w:sz w:val="22"/>
              </w:rPr>
              <w:t>Aplicación</w:t>
            </w:r>
            <w:r>
              <w:rPr>
                <w:color w:val="231F1F"/>
                <w:spacing w:val="-3"/>
                <w:w w:val="105"/>
                <w:sz w:val="22"/>
              </w:rPr>
              <w:t> </w:t>
            </w:r>
            <w:r>
              <w:rPr>
                <w:color w:val="231F1F"/>
                <w:w w:val="105"/>
                <w:sz w:val="22"/>
              </w:rPr>
              <w:t>de</w:t>
            </w:r>
            <w:r>
              <w:rPr>
                <w:color w:val="231F1F"/>
                <w:spacing w:val="-3"/>
                <w:w w:val="105"/>
                <w:sz w:val="22"/>
              </w:rPr>
              <w:t> </w:t>
            </w:r>
            <w:r>
              <w:rPr>
                <w:color w:val="231F1F"/>
                <w:w w:val="105"/>
                <w:sz w:val="22"/>
              </w:rPr>
              <w:t>un</w:t>
            </w:r>
            <w:r>
              <w:rPr>
                <w:color w:val="231F1F"/>
                <w:spacing w:val="-3"/>
                <w:w w:val="105"/>
                <w:sz w:val="22"/>
              </w:rPr>
              <w:t> </w:t>
            </w:r>
            <w:r>
              <w:rPr>
                <w:color w:val="231F1F"/>
                <w:w w:val="105"/>
                <w:sz w:val="22"/>
              </w:rPr>
              <w:t>sistema</w:t>
            </w:r>
            <w:r>
              <w:rPr>
                <w:color w:val="231F1F"/>
                <w:spacing w:val="-2"/>
                <w:w w:val="105"/>
                <w:sz w:val="22"/>
              </w:rPr>
              <w:t> </w:t>
            </w:r>
            <w:r>
              <w:rPr>
                <w:color w:val="231F1F"/>
                <w:w w:val="105"/>
                <w:sz w:val="22"/>
              </w:rPr>
              <w:t>de</w:t>
            </w:r>
            <w:r>
              <w:rPr>
                <w:color w:val="231F1F"/>
                <w:spacing w:val="-5"/>
                <w:w w:val="105"/>
                <w:sz w:val="22"/>
              </w:rPr>
              <w:t> </w:t>
            </w:r>
            <w:r>
              <w:rPr>
                <w:color w:val="231F1F"/>
                <w:w w:val="105"/>
                <w:sz w:val="22"/>
              </w:rPr>
              <w:t>categorización</w:t>
            </w:r>
            <w:r>
              <w:rPr>
                <w:color w:val="231F1F"/>
                <w:spacing w:val="-1"/>
                <w:w w:val="105"/>
                <w:sz w:val="22"/>
              </w:rPr>
              <w:t> </w:t>
            </w:r>
            <w:r>
              <w:rPr>
                <w:color w:val="231F1F"/>
                <w:w w:val="105"/>
                <w:sz w:val="22"/>
              </w:rPr>
              <w:t>de</w:t>
            </w:r>
            <w:r>
              <w:rPr>
                <w:color w:val="231F1F"/>
                <w:spacing w:val="-3"/>
                <w:w w:val="105"/>
                <w:sz w:val="22"/>
              </w:rPr>
              <w:t> </w:t>
            </w:r>
            <w:r>
              <w:rPr>
                <w:color w:val="231F1F"/>
                <w:w w:val="105"/>
                <w:sz w:val="22"/>
              </w:rPr>
              <w:t>la</w:t>
            </w:r>
            <w:r>
              <w:rPr>
                <w:color w:val="231F1F"/>
                <w:spacing w:val="-2"/>
                <w:w w:val="105"/>
                <w:sz w:val="22"/>
              </w:rPr>
              <w:t> </w:t>
            </w:r>
            <w:r>
              <w:rPr>
                <w:color w:val="231F1F"/>
                <w:spacing w:val="-4"/>
                <w:w w:val="105"/>
                <w:sz w:val="22"/>
              </w:rPr>
              <w:t>MEFC</w:t>
            </w:r>
          </w:p>
        </w:tc>
      </w:tr>
      <w:tr>
        <w:trPr>
          <w:trHeight w:val="681" w:hRule="atLeast"/>
        </w:trPr>
        <w:tc>
          <w:tcPr>
            <w:tcW w:w="571" w:type="dxa"/>
          </w:tcPr>
          <w:p>
            <w:pPr>
              <w:pStyle w:val="TableParagraph"/>
              <w:spacing w:before="201"/>
              <w:ind w:left="46" w:right="2"/>
              <w:jc w:val="center"/>
              <w:rPr>
                <w:rFonts w:ascii="Arial MT" w:hAnsi="Arial MT"/>
                <w:sz w:val="22"/>
              </w:rPr>
            </w:pPr>
            <w:r>
              <w:rPr>
                <w:rFonts w:ascii="Arial MT" w:hAnsi="Arial MT"/>
                <w:color w:val="231F1F"/>
                <w:spacing w:val="-10"/>
                <w:sz w:val="22"/>
              </w:rPr>
              <w:t>¥</w:t>
            </w:r>
          </w:p>
        </w:tc>
        <w:tc>
          <w:tcPr>
            <w:tcW w:w="7934" w:type="dxa"/>
          </w:tcPr>
          <w:p>
            <w:pPr>
              <w:pStyle w:val="TableParagraph"/>
              <w:spacing w:line="244" w:lineRule="auto" w:before="44"/>
              <w:ind w:left="117"/>
              <w:rPr>
                <w:sz w:val="22"/>
              </w:rPr>
            </w:pPr>
            <w:r>
              <w:rPr>
                <w:color w:val="231F1F"/>
                <w:w w:val="110"/>
                <w:sz w:val="22"/>
              </w:rPr>
              <w:t>Se</w:t>
            </w:r>
            <w:r>
              <w:rPr>
                <w:color w:val="231F1F"/>
                <w:spacing w:val="-13"/>
                <w:w w:val="110"/>
                <w:sz w:val="22"/>
              </w:rPr>
              <w:t> </w:t>
            </w:r>
            <w:r>
              <w:rPr>
                <w:color w:val="231F1F"/>
                <w:w w:val="110"/>
                <w:sz w:val="22"/>
              </w:rPr>
              <w:t>recomienda</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utilización</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clasificación</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CTG</w:t>
            </w:r>
            <w:r>
              <w:rPr>
                <w:color w:val="231F1F"/>
                <w:spacing w:val="-13"/>
                <w:w w:val="110"/>
                <w:sz w:val="22"/>
              </w:rPr>
              <w:t> </w:t>
            </w:r>
            <w:r>
              <w:rPr>
                <w:color w:val="231F1F"/>
                <w:w w:val="110"/>
                <w:sz w:val="22"/>
              </w:rPr>
              <w:t>aportada</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Anexo </w:t>
            </w:r>
            <w:r>
              <w:rPr>
                <w:color w:val="231F1F"/>
                <w:spacing w:val="-2"/>
                <w:w w:val="110"/>
                <w:sz w:val="22"/>
              </w:rPr>
              <w:t>3.3.2.</w:t>
            </w:r>
          </w:p>
        </w:tc>
      </w:tr>
    </w:tbl>
    <w:p>
      <w:pPr>
        <w:pStyle w:val="TableParagraph"/>
        <w:spacing w:after="0" w:line="244" w:lineRule="auto"/>
        <w:rPr>
          <w:sz w:val="22"/>
        </w:rPr>
        <w:sectPr>
          <w:type w:val="continuous"/>
          <w:pgSz w:w="11900" w:h="16840"/>
          <w:pgMar w:header="0" w:footer="622" w:top="1640" w:bottom="820" w:left="1417" w:right="1559"/>
        </w:sectPr>
      </w:pPr>
    </w:p>
    <w:p>
      <w:pPr>
        <w:pStyle w:val="BodyText"/>
        <w:spacing w:before="4"/>
        <w:rPr>
          <w:rFonts w:ascii="Arial MT"/>
          <w:sz w:val="17"/>
        </w:rPr>
      </w:pPr>
    </w:p>
    <w:p>
      <w:pPr>
        <w:pStyle w:val="BodyText"/>
        <w:spacing w:after="0"/>
        <w:rPr>
          <w:rFonts w:ascii="Arial MT"/>
          <w:sz w:val="17"/>
        </w:rPr>
        <w:sectPr>
          <w:footerReference w:type="even" r:id="rId32"/>
          <w:pgSz w:w="11900" w:h="16840"/>
          <w:pgMar w:header="0" w:footer="0" w:top="1940" w:bottom="28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52" w:id="4"/>
      <w:bookmarkEnd w:id="4"/>
      <w:r>
        <w:rPr>
          <w:color w:val="231F1F"/>
          <w:spacing w:val="-2"/>
          <w:w w:val="110"/>
        </w:rPr>
        <w:t>Introducción</w:t>
      </w:r>
    </w:p>
    <w:p>
      <w:pPr>
        <w:pStyle w:val="BodyText"/>
        <w:spacing w:before="81"/>
        <w:rPr>
          <w:sz w:val="50"/>
        </w:rPr>
      </w:pPr>
    </w:p>
    <w:p>
      <w:pPr>
        <w:pStyle w:val="BodyText"/>
        <w:ind w:left="283"/>
      </w:pPr>
      <w:r>
        <w:rPr>
          <w:color w:val="231F1F"/>
          <w:w w:val="105"/>
        </w:rPr>
        <w:t>El</w:t>
      </w:r>
      <w:r>
        <w:rPr>
          <w:color w:val="231F1F"/>
          <w:spacing w:val="-4"/>
          <w:w w:val="105"/>
        </w:rPr>
        <w:t> </w:t>
      </w:r>
      <w:r>
        <w:rPr>
          <w:color w:val="231F1F"/>
          <w:w w:val="105"/>
        </w:rPr>
        <w:t>parto</w:t>
      </w:r>
      <w:r>
        <w:rPr>
          <w:color w:val="231F1F"/>
          <w:spacing w:val="-3"/>
          <w:w w:val="105"/>
        </w:rPr>
        <w:t> </w:t>
      </w:r>
      <w:r>
        <w:rPr>
          <w:color w:val="231F1F"/>
          <w:w w:val="105"/>
        </w:rPr>
        <w:t>y</w:t>
      </w:r>
      <w:r>
        <w:rPr>
          <w:color w:val="231F1F"/>
          <w:spacing w:val="-3"/>
          <w:w w:val="105"/>
        </w:rPr>
        <w:t> </w:t>
      </w:r>
      <w:r>
        <w:rPr>
          <w:color w:val="231F1F"/>
          <w:w w:val="105"/>
        </w:rPr>
        <w:t>el</w:t>
      </w:r>
      <w:r>
        <w:rPr>
          <w:color w:val="231F1F"/>
          <w:spacing w:val="-4"/>
          <w:w w:val="105"/>
        </w:rPr>
        <w:t> </w:t>
      </w:r>
      <w:r>
        <w:rPr>
          <w:color w:val="231F1F"/>
          <w:w w:val="105"/>
        </w:rPr>
        <w:t>nacimiento</w:t>
      </w:r>
      <w:r>
        <w:rPr>
          <w:color w:val="231F1F"/>
          <w:spacing w:val="-3"/>
          <w:w w:val="105"/>
        </w:rPr>
        <w:t> </w:t>
      </w:r>
      <w:r>
        <w:rPr>
          <w:color w:val="231F1F"/>
          <w:w w:val="105"/>
        </w:rPr>
        <w:t>son</w:t>
      </w:r>
      <w:r>
        <w:rPr>
          <w:color w:val="231F1F"/>
          <w:spacing w:val="-3"/>
          <w:w w:val="105"/>
        </w:rPr>
        <w:t> </w:t>
      </w:r>
      <w:r>
        <w:rPr>
          <w:color w:val="231F1F"/>
          <w:w w:val="105"/>
        </w:rPr>
        <w:t>experiencias</w:t>
      </w:r>
      <w:r>
        <w:rPr>
          <w:color w:val="231F1F"/>
          <w:spacing w:val="-3"/>
          <w:w w:val="105"/>
        </w:rPr>
        <w:t> </w:t>
      </w:r>
      <w:r>
        <w:rPr>
          <w:color w:val="231F1F"/>
          <w:w w:val="105"/>
        </w:rPr>
        <w:t>profundas</w:t>
      </w:r>
      <w:r>
        <w:rPr>
          <w:color w:val="231F1F"/>
          <w:spacing w:val="-3"/>
          <w:w w:val="105"/>
        </w:rPr>
        <w:t> </w:t>
      </w:r>
      <w:r>
        <w:rPr>
          <w:color w:val="231F1F"/>
          <w:w w:val="105"/>
        </w:rPr>
        <w:t>y</w:t>
      </w:r>
      <w:r>
        <w:rPr>
          <w:color w:val="231F1F"/>
          <w:spacing w:val="-3"/>
          <w:w w:val="105"/>
        </w:rPr>
        <w:t> </w:t>
      </w:r>
      <w:r>
        <w:rPr>
          <w:color w:val="231F1F"/>
          <w:w w:val="105"/>
        </w:rPr>
        <w:t>únicas</w:t>
      </w:r>
      <w:r>
        <w:rPr>
          <w:color w:val="231F1F"/>
          <w:spacing w:val="-3"/>
          <w:w w:val="105"/>
        </w:rPr>
        <w:t> </w:t>
      </w:r>
      <w:r>
        <w:rPr>
          <w:color w:val="231F1F"/>
          <w:w w:val="105"/>
        </w:rPr>
        <w:t>y,</w:t>
      </w:r>
      <w:r>
        <w:rPr>
          <w:color w:val="231F1F"/>
          <w:spacing w:val="-3"/>
          <w:w w:val="105"/>
        </w:rPr>
        <w:t> </w:t>
      </w:r>
      <w:r>
        <w:rPr>
          <w:color w:val="231F1F"/>
          <w:w w:val="105"/>
        </w:rPr>
        <w:t>al</w:t>
      </w:r>
      <w:r>
        <w:rPr>
          <w:color w:val="231F1F"/>
          <w:spacing w:val="-4"/>
          <w:w w:val="105"/>
        </w:rPr>
        <w:t> </w:t>
      </w:r>
      <w:r>
        <w:rPr>
          <w:color w:val="231F1F"/>
          <w:w w:val="105"/>
        </w:rPr>
        <w:t>mismo</w:t>
      </w:r>
      <w:r>
        <w:rPr>
          <w:color w:val="231F1F"/>
          <w:spacing w:val="-3"/>
          <w:w w:val="105"/>
        </w:rPr>
        <w:t> </w:t>
      </w:r>
      <w:r>
        <w:rPr>
          <w:color w:val="231F1F"/>
          <w:w w:val="105"/>
        </w:rPr>
        <w:t>tiempo,</w:t>
      </w:r>
      <w:r>
        <w:rPr>
          <w:color w:val="231F1F"/>
          <w:spacing w:val="-3"/>
          <w:w w:val="105"/>
        </w:rPr>
        <w:t> </w:t>
      </w:r>
      <w:r>
        <w:rPr>
          <w:color w:val="231F1F"/>
          <w:w w:val="105"/>
        </w:rPr>
        <w:t>procesos fisiológicos complejos.</w:t>
      </w:r>
    </w:p>
    <w:p>
      <w:pPr>
        <w:pStyle w:val="BodyText"/>
        <w:spacing w:line="247" w:lineRule="auto" w:before="152"/>
        <w:ind w:left="283" w:right="115" w:firstLine="453"/>
        <w:jc w:val="both"/>
      </w:pPr>
      <w:r>
        <w:rPr>
          <w:color w:val="231F1F"/>
          <w:w w:val="105"/>
        </w:rPr>
        <w:t>El deseo de que el parto culmine con el nacimiento de una criatura sana, sin menos- cabo de la salud materna, ha propiciado la institucionalización de los partos, su dirección médica sistemática y el que se realicen intervenciones médicas y quirúrgicas sin disponer</w:t>
      </w:r>
      <w:r>
        <w:rPr>
          <w:color w:val="231F1F"/>
          <w:spacing w:val="80"/>
          <w:w w:val="105"/>
        </w:rPr>
        <w:t> </w:t>
      </w:r>
      <w:r>
        <w:rPr>
          <w:color w:val="231F1F"/>
          <w:w w:val="105"/>
        </w:rPr>
        <w:t>de la suficiente evidencia sobre su seguridad y eficacia. Así, en las últimas décadas, se ha producido una rápida expansión en el desarrollo y uso de un abanico de prácticas ideadas para</w:t>
      </w:r>
      <w:r>
        <w:rPr>
          <w:color w:val="231F1F"/>
          <w:w w:val="105"/>
        </w:rPr>
        <w:t> iniciar,</w:t>
      </w:r>
      <w:r>
        <w:rPr>
          <w:color w:val="231F1F"/>
          <w:w w:val="105"/>
        </w:rPr>
        <w:t> aumentar,</w:t>
      </w:r>
      <w:r>
        <w:rPr>
          <w:color w:val="231F1F"/>
          <w:w w:val="105"/>
        </w:rPr>
        <w:t> acelerar,</w:t>
      </w:r>
      <w:r>
        <w:rPr>
          <w:color w:val="231F1F"/>
          <w:w w:val="105"/>
        </w:rPr>
        <w:t> regular</w:t>
      </w:r>
      <w:r>
        <w:rPr>
          <w:color w:val="231F1F"/>
          <w:w w:val="105"/>
        </w:rPr>
        <w:t> o</w:t>
      </w:r>
      <w:r>
        <w:rPr>
          <w:color w:val="231F1F"/>
          <w:w w:val="105"/>
        </w:rPr>
        <w:t> monitorizar</w:t>
      </w:r>
      <w:r>
        <w:rPr>
          <w:color w:val="231F1F"/>
          <w:w w:val="105"/>
        </w:rPr>
        <w:t> el</w:t>
      </w:r>
      <w:r>
        <w:rPr>
          <w:color w:val="231F1F"/>
          <w:w w:val="105"/>
        </w:rPr>
        <w:t> proceso</w:t>
      </w:r>
      <w:r>
        <w:rPr>
          <w:color w:val="231F1F"/>
          <w:w w:val="105"/>
        </w:rPr>
        <w:t> del</w:t>
      </w:r>
      <w:r>
        <w:rPr>
          <w:color w:val="231F1F"/>
          <w:w w:val="105"/>
        </w:rPr>
        <w:t> parto,</w:t>
      </w:r>
      <w:r>
        <w:rPr>
          <w:color w:val="231F1F"/>
          <w:w w:val="105"/>
        </w:rPr>
        <w:t> con</w:t>
      </w:r>
      <w:r>
        <w:rPr>
          <w:color w:val="231F1F"/>
          <w:w w:val="105"/>
        </w:rPr>
        <w:t> el</w:t>
      </w:r>
      <w:r>
        <w:rPr>
          <w:color w:val="231F1F"/>
          <w:w w:val="105"/>
        </w:rPr>
        <w:t> propó-</w:t>
      </w:r>
      <w:r>
        <w:rPr>
          <w:color w:val="231F1F"/>
          <w:spacing w:val="40"/>
          <w:w w:val="105"/>
        </w:rPr>
        <w:t> </w:t>
      </w:r>
      <w:r>
        <w:rPr>
          <w:color w:val="231F1F"/>
          <w:w w:val="105"/>
        </w:rPr>
        <w:t>sito de mejorar el desenlace para las madres y sus hijos e hijas, habiendo llegado a conver- tirse en prácticas habituales y rutinarias, incluso en partos de mujeres sanas sin complica- </w:t>
      </w:r>
      <w:r>
        <w:rPr>
          <w:color w:val="231F1F"/>
          <w:spacing w:val="-2"/>
          <w:w w:val="105"/>
        </w:rPr>
        <w:t>ciones.</w:t>
      </w:r>
    </w:p>
    <w:p>
      <w:pPr>
        <w:pStyle w:val="BodyText"/>
        <w:spacing w:line="244" w:lineRule="auto" w:before="127"/>
        <w:ind w:left="283" w:right="117" w:firstLine="453"/>
        <w:jc w:val="both"/>
      </w:pPr>
      <w:r>
        <w:rPr>
          <w:color w:val="231F1F"/>
          <w:w w:val="105"/>
        </w:rPr>
        <w:t>Ese</w:t>
      </w:r>
      <w:r>
        <w:rPr>
          <w:color w:val="231F1F"/>
          <w:w w:val="105"/>
        </w:rPr>
        <w:t> deseo</w:t>
      </w:r>
      <w:r>
        <w:rPr>
          <w:color w:val="231F1F"/>
          <w:w w:val="105"/>
        </w:rPr>
        <w:t> de</w:t>
      </w:r>
      <w:r>
        <w:rPr>
          <w:color w:val="231F1F"/>
          <w:w w:val="105"/>
        </w:rPr>
        <w:t> garantizar</w:t>
      </w:r>
      <w:r>
        <w:rPr>
          <w:color w:val="231F1F"/>
          <w:w w:val="105"/>
        </w:rPr>
        <w:t> los</w:t>
      </w:r>
      <w:r>
        <w:rPr>
          <w:color w:val="231F1F"/>
          <w:w w:val="105"/>
        </w:rPr>
        <w:t> mejores</w:t>
      </w:r>
      <w:r>
        <w:rPr>
          <w:color w:val="231F1F"/>
          <w:w w:val="105"/>
        </w:rPr>
        <w:t> resultados,</w:t>
      </w:r>
      <w:r>
        <w:rPr>
          <w:color w:val="231F1F"/>
          <w:w w:val="105"/>
        </w:rPr>
        <w:t> ha</w:t>
      </w:r>
      <w:r>
        <w:rPr>
          <w:color w:val="231F1F"/>
          <w:w w:val="105"/>
        </w:rPr>
        <w:t> dificultado</w:t>
      </w:r>
      <w:r>
        <w:rPr>
          <w:color w:val="231F1F"/>
          <w:w w:val="105"/>
        </w:rPr>
        <w:t> el</w:t>
      </w:r>
      <w:r>
        <w:rPr>
          <w:color w:val="231F1F"/>
          <w:w w:val="105"/>
        </w:rPr>
        <w:t> que</w:t>
      </w:r>
      <w:r>
        <w:rPr>
          <w:color w:val="231F1F"/>
          <w:w w:val="105"/>
        </w:rPr>
        <w:t> se</w:t>
      </w:r>
      <w:r>
        <w:rPr>
          <w:color w:val="231F1F"/>
          <w:w w:val="105"/>
        </w:rPr>
        <w:t> prestara</w:t>
      </w:r>
      <w:r>
        <w:rPr>
          <w:color w:val="231F1F"/>
          <w:w w:val="105"/>
        </w:rPr>
        <w:t> la necesaria</w:t>
      </w:r>
      <w:r>
        <w:rPr>
          <w:color w:val="231F1F"/>
          <w:spacing w:val="22"/>
          <w:w w:val="105"/>
        </w:rPr>
        <w:t> </w:t>
      </w:r>
      <w:r>
        <w:rPr>
          <w:color w:val="231F1F"/>
          <w:w w:val="105"/>
        </w:rPr>
        <w:t>atención</w:t>
      </w:r>
      <w:r>
        <w:rPr>
          <w:color w:val="231F1F"/>
          <w:spacing w:val="23"/>
          <w:w w:val="105"/>
        </w:rPr>
        <w:t> </w:t>
      </w:r>
      <w:r>
        <w:rPr>
          <w:color w:val="231F1F"/>
          <w:w w:val="105"/>
        </w:rPr>
        <w:t>a</w:t>
      </w:r>
      <w:r>
        <w:rPr>
          <w:color w:val="231F1F"/>
          <w:spacing w:val="22"/>
          <w:w w:val="105"/>
        </w:rPr>
        <w:t> </w:t>
      </w:r>
      <w:r>
        <w:rPr>
          <w:color w:val="231F1F"/>
          <w:w w:val="105"/>
        </w:rPr>
        <w:t>la</w:t>
      </w:r>
      <w:r>
        <w:rPr>
          <w:color w:val="231F1F"/>
          <w:spacing w:val="22"/>
          <w:w w:val="105"/>
        </w:rPr>
        <w:t> </w:t>
      </w:r>
      <w:r>
        <w:rPr>
          <w:color w:val="231F1F"/>
          <w:w w:val="105"/>
        </w:rPr>
        <w:t>importancia</w:t>
      </w:r>
      <w:r>
        <w:rPr>
          <w:color w:val="231F1F"/>
          <w:spacing w:val="22"/>
          <w:w w:val="105"/>
        </w:rPr>
        <w:t> </w:t>
      </w:r>
      <w:r>
        <w:rPr>
          <w:color w:val="231F1F"/>
          <w:w w:val="105"/>
        </w:rPr>
        <w:t>que</w:t>
      </w:r>
      <w:r>
        <w:rPr>
          <w:color w:val="231F1F"/>
          <w:spacing w:val="22"/>
          <w:w w:val="105"/>
        </w:rPr>
        <w:t> </w:t>
      </w:r>
      <w:r>
        <w:rPr>
          <w:color w:val="231F1F"/>
          <w:w w:val="105"/>
        </w:rPr>
        <w:t>el</w:t>
      </w:r>
      <w:r>
        <w:rPr>
          <w:color w:val="231F1F"/>
          <w:spacing w:val="22"/>
          <w:w w:val="105"/>
        </w:rPr>
        <w:t> </w:t>
      </w:r>
      <w:r>
        <w:rPr>
          <w:color w:val="231F1F"/>
          <w:w w:val="105"/>
        </w:rPr>
        <w:t>proceso</w:t>
      </w:r>
      <w:r>
        <w:rPr>
          <w:color w:val="231F1F"/>
          <w:spacing w:val="22"/>
          <w:w w:val="105"/>
        </w:rPr>
        <w:t> </w:t>
      </w:r>
      <w:r>
        <w:rPr>
          <w:color w:val="231F1F"/>
          <w:w w:val="105"/>
        </w:rPr>
        <w:t>del</w:t>
      </w:r>
      <w:r>
        <w:rPr>
          <w:color w:val="231F1F"/>
          <w:spacing w:val="22"/>
          <w:w w:val="105"/>
        </w:rPr>
        <w:t> </w:t>
      </w:r>
      <w:r>
        <w:rPr>
          <w:color w:val="231F1F"/>
          <w:w w:val="105"/>
        </w:rPr>
        <w:t>parto</w:t>
      </w:r>
      <w:r>
        <w:rPr>
          <w:color w:val="231F1F"/>
          <w:spacing w:val="22"/>
          <w:w w:val="105"/>
        </w:rPr>
        <w:t> </w:t>
      </w:r>
      <w:r>
        <w:rPr>
          <w:color w:val="231F1F"/>
          <w:w w:val="105"/>
        </w:rPr>
        <w:t>tiene</w:t>
      </w:r>
      <w:r>
        <w:rPr>
          <w:color w:val="231F1F"/>
          <w:spacing w:val="22"/>
          <w:w w:val="105"/>
        </w:rPr>
        <w:t> </w:t>
      </w:r>
      <w:r>
        <w:rPr>
          <w:color w:val="231F1F"/>
          <w:w w:val="105"/>
        </w:rPr>
        <w:t>en</w:t>
      </w:r>
      <w:r>
        <w:rPr>
          <w:color w:val="231F1F"/>
          <w:spacing w:val="22"/>
          <w:w w:val="105"/>
        </w:rPr>
        <w:t> </w:t>
      </w:r>
      <w:r>
        <w:rPr>
          <w:color w:val="231F1F"/>
          <w:w w:val="105"/>
        </w:rPr>
        <w:t>la</w:t>
      </w:r>
      <w:r>
        <w:rPr>
          <w:color w:val="231F1F"/>
          <w:spacing w:val="22"/>
          <w:w w:val="105"/>
        </w:rPr>
        <w:t> </w:t>
      </w:r>
      <w:r>
        <w:rPr>
          <w:color w:val="231F1F"/>
          <w:w w:val="105"/>
        </w:rPr>
        <w:t>vida</w:t>
      </w:r>
      <w:r>
        <w:rPr>
          <w:color w:val="231F1F"/>
          <w:spacing w:val="22"/>
          <w:w w:val="105"/>
        </w:rPr>
        <w:t> </w:t>
      </w:r>
      <w:r>
        <w:rPr>
          <w:color w:val="231F1F"/>
          <w:w w:val="105"/>
        </w:rPr>
        <w:t>de</w:t>
      </w:r>
      <w:r>
        <w:rPr>
          <w:color w:val="231F1F"/>
          <w:spacing w:val="22"/>
          <w:w w:val="105"/>
        </w:rPr>
        <w:t> </w:t>
      </w:r>
      <w:r>
        <w:rPr>
          <w:color w:val="231F1F"/>
          <w:w w:val="105"/>
        </w:rPr>
        <w:t>la</w:t>
      </w:r>
      <w:r>
        <w:rPr>
          <w:color w:val="231F1F"/>
          <w:spacing w:val="22"/>
          <w:w w:val="105"/>
        </w:rPr>
        <w:t> </w:t>
      </w:r>
      <w:r>
        <w:rPr>
          <w:color w:val="231F1F"/>
          <w:w w:val="105"/>
        </w:rPr>
        <w:t>mujer, en su bienestar emocional y adaptación a la maternidad, así como en el establecimiento del vínculo con su hijo o hija, en el éxito de la lactancia, en el estilo de crianza y en el desarro- llo posterior de los niños y niñas.</w:t>
      </w:r>
    </w:p>
    <w:p>
      <w:pPr>
        <w:pStyle w:val="BodyText"/>
        <w:spacing w:line="249" w:lineRule="auto" w:before="150"/>
        <w:ind w:left="283" w:right="117" w:firstLine="453"/>
        <w:jc w:val="both"/>
      </w:pPr>
      <w:r>
        <w:rPr>
          <w:color w:val="231F1F"/>
          <w:w w:val="105"/>
        </w:rPr>
        <w:t>Afortunadamente,</w:t>
      </w:r>
      <w:r>
        <w:rPr>
          <w:color w:val="231F1F"/>
          <w:spacing w:val="30"/>
          <w:w w:val="105"/>
        </w:rPr>
        <w:t> </w:t>
      </w:r>
      <w:r>
        <w:rPr>
          <w:color w:val="231F1F"/>
          <w:w w:val="105"/>
        </w:rPr>
        <w:t>hoy</w:t>
      </w:r>
      <w:r>
        <w:rPr>
          <w:color w:val="231F1F"/>
          <w:spacing w:val="31"/>
          <w:w w:val="105"/>
        </w:rPr>
        <w:t> </w:t>
      </w:r>
      <w:r>
        <w:rPr>
          <w:color w:val="231F1F"/>
          <w:w w:val="105"/>
        </w:rPr>
        <w:t>sabemos</w:t>
      </w:r>
      <w:r>
        <w:rPr>
          <w:color w:val="231F1F"/>
          <w:spacing w:val="30"/>
          <w:w w:val="105"/>
        </w:rPr>
        <w:t> </w:t>
      </w:r>
      <w:r>
        <w:rPr>
          <w:color w:val="231F1F"/>
          <w:w w:val="105"/>
        </w:rPr>
        <w:t>que</w:t>
      </w:r>
      <w:r>
        <w:rPr>
          <w:color w:val="231F1F"/>
          <w:spacing w:val="30"/>
          <w:w w:val="105"/>
        </w:rPr>
        <w:t> </w:t>
      </w:r>
      <w:r>
        <w:rPr>
          <w:color w:val="231F1F"/>
          <w:w w:val="105"/>
        </w:rPr>
        <w:t>con</w:t>
      </w:r>
      <w:r>
        <w:rPr>
          <w:color w:val="231F1F"/>
          <w:spacing w:val="31"/>
          <w:w w:val="105"/>
        </w:rPr>
        <w:t> </w:t>
      </w:r>
      <w:r>
        <w:rPr>
          <w:color w:val="231F1F"/>
          <w:w w:val="105"/>
        </w:rPr>
        <w:t>la</w:t>
      </w:r>
      <w:r>
        <w:rPr>
          <w:color w:val="231F1F"/>
          <w:spacing w:val="30"/>
          <w:w w:val="105"/>
        </w:rPr>
        <w:t> </w:t>
      </w:r>
      <w:r>
        <w:rPr>
          <w:color w:val="231F1F"/>
          <w:w w:val="105"/>
        </w:rPr>
        <w:t>atención</w:t>
      </w:r>
      <w:r>
        <w:rPr>
          <w:color w:val="231F1F"/>
          <w:spacing w:val="31"/>
          <w:w w:val="105"/>
        </w:rPr>
        <w:t> </w:t>
      </w:r>
      <w:r>
        <w:rPr>
          <w:color w:val="231F1F"/>
          <w:w w:val="105"/>
        </w:rPr>
        <w:t>y</w:t>
      </w:r>
      <w:r>
        <w:rPr>
          <w:color w:val="231F1F"/>
          <w:spacing w:val="31"/>
          <w:w w:val="105"/>
        </w:rPr>
        <w:t> </w:t>
      </w:r>
      <w:r>
        <w:rPr>
          <w:color w:val="231F1F"/>
          <w:w w:val="105"/>
        </w:rPr>
        <w:t>apoyo</w:t>
      </w:r>
      <w:r>
        <w:rPr>
          <w:color w:val="231F1F"/>
          <w:spacing w:val="32"/>
          <w:w w:val="105"/>
        </w:rPr>
        <w:t> </w:t>
      </w:r>
      <w:r>
        <w:rPr>
          <w:color w:val="231F1F"/>
          <w:w w:val="105"/>
        </w:rPr>
        <w:t>adecuados,</w:t>
      </w:r>
      <w:r>
        <w:rPr>
          <w:color w:val="231F1F"/>
          <w:spacing w:val="32"/>
          <w:w w:val="105"/>
        </w:rPr>
        <w:t> </w:t>
      </w:r>
      <w:r>
        <w:rPr>
          <w:color w:val="231F1F"/>
          <w:w w:val="105"/>
        </w:rPr>
        <w:t>la</w:t>
      </w:r>
      <w:r>
        <w:rPr>
          <w:color w:val="231F1F"/>
          <w:spacing w:val="30"/>
          <w:w w:val="105"/>
        </w:rPr>
        <w:t> </w:t>
      </w:r>
      <w:r>
        <w:rPr>
          <w:color w:val="231F1F"/>
          <w:w w:val="105"/>
        </w:rPr>
        <w:t>mayoría de las mujeres sanas pueden dar a luz con un mínimo de procedimientos médicos sin poner en</w:t>
      </w:r>
      <w:r>
        <w:rPr>
          <w:color w:val="231F1F"/>
          <w:w w:val="105"/>
        </w:rPr>
        <w:t> riesgo</w:t>
      </w:r>
      <w:r>
        <w:rPr>
          <w:color w:val="231F1F"/>
          <w:w w:val="105"/>
        </w:rPr>
        <w:t> la</w:t>
      </w:r>
      <w:r>
        <w:rPr>
          <w:color w:val="231F1F"/>
          <w:w w:val="105"/>
        </w:rPr>
        <w:t> seguridad</w:t>
      </w:r>
      <w:r>
        <w:rPr>
          <w:color w:val="231F1F"/>
          <w:w w:val="105"/>
        </w:rPr>
        <w:t> del</w:t>
      </w:r>
      <w:r>
        <w:rPr>
          <w:color w:val="231F1F"/>
          <w:w w:val="105"/>
        </w:rPr>
        <w:t> proceso.</w:t>
      </w:r>
      <w:r>
        <w:rPr>
          <w:color w:val="231F1F"/>
          <w:w w:val="105"/>
        </w:rPr>
        <w:t> Para</w:t>
      </w:r>
      <w:r>
        <w:rPr>
          <w:color w:val="231F1F"/>
          <w:w w:val="105"/>
        </w:rPr>
        <w:t> ello</w:t>
      </w:r>
      <w:r>
        <w:rPr>
          <w:color w:val="231F1F"/>
          <w:w w:val="105"/>
        </w:rPr>
        <w:t> es</w:t>
      </w:r>
      <w:r>
        <w:rPr>
          <w:color w:val="231F1F"/>
          <w:w w:val="105"/>
        </w:rPr>
        <w:t> necesario</w:t>
      </w:r>
      <w:r>
        <w:rPr>
          <w:color w:val="231F1F"/>
          <w:w w:val="105"/>
        </w:rPr>
        <w:t> que</w:t>
      </w:r>
      <w:r>
        <w:rPr>
          <w:color w:val="231F1F"/>
          <w:w w:val="105"/>
        </w:rPr>
        <w:t> las</w:t>
      </w:r>
      <w:r>
        <w:rPr>
          <w:color w:val="231F1F"/>
          <w:w w:val="105"/>
        </w:rPr>
        <w:t> mujeres</w:t>
      </w:r>
      <w:r>
        <w:rPr>
          <w:color w:val="231F1F"/>
          <w:w w:val="105"/>
        </w:rPr>
        <w:t> recuperen</w:t>
      </w:r>
      <w:r>
        <w:rPr>
          <w:color w:val="231F1F"/>
          <w:w w:val="105"/>
        </w:rPr>
        <w:t> la confianza</w:t>
      </w:r>
      <w:r>
        <w:rPr>
          <w:color w:val="231F1F"/>
          <w:w w:val="105"/>
        </w:rPr>
        <w:t> en</w:t>
      </w:r>
      <w:r>
        <w:rPr>
          <w:color w:val="231F1F"/>
          <w:w w:val="105"/>
        </w:rPr>
        <w:t> sus</w:t>
      </w:r>
      <w:r>
        <w:rPr>
          <w:color w:val="231F1F"/>
          <w:w w:val="105"/>
        </w:rPr>
        <w:t> posibilidades</w:t>
      </w:r>
      <w:r>
        <w:rPr>
          <w:color w:val="231F1F"/>
          <w:w w:val="105"/>
        </w:rPr>
        <w:t> de</w:t>
      </w:r>
      <w:r>
        <w:rPr>
          <w:color w:val="231F1F"/>
          <w:w w:val="105"/>
        </w:rPr>
        <w:t> afrontar</w:t>
      </w:r>
      <w:r>
        <w:rPr>
          <w:color w:val="231F1F"/>
          <w:w w:val="105"/>
        </w:rPr>
        <w:t> el</w:t>
      </w:r>
      <w:r>
        <w:rPr>
          <w:color w:val="231F1F"/>
          <w:w w:val="105"/>
        </w:rPr>
        <w:t> parto</w:t>
      </w:r>
      <w:r>
        <w:rPr>
          <w:color w:val="231F1F"/>
          <w:w w:val="105"/>
        </w:rPr>
        <w:t> y</w:t>
      </w:r>
      <w:r>
        <w:rPr>
          <w:color w:val="231F1F"/>
          <w:w w:val="105"/>
        </w:rPr>
        <w:t> que</w:t>
      </w:r>
      <w:r>
        <w:rPr>
          <w:color w:val="231F1F"/>
          <w:w w:val="105"/>
        </w:rPr>
        <w:t> los</w:t>
      </w:r>
      <w:r>
        <w:rPr>
          <w:color w:val="231F1F"/>
          <w:w w:val="105"/>
        </w:rPr>
        <w:t> profesionales</w:t>
      </w:r>
      <w:r>
        <w:rPr>
          <w:color w:val="231F1F"/>
          <w:w w:val="105"/>
        </w:rPr>
        <w:t> comprendan cuáles</w:t>
      </w:r>
      <w:r>
        <w:rPr>
          <w:color w:val="231F1F"/>
          <w:spacing w:val="-11"/>
          <w:w w:val="105"/>
        </w:rPr>
        <w:t> </w:t>
      </w:r>
      <w:r>
        <w:rPr>
          <w:color w:val="231F1F"/>
          <w:w w:val="105"/>
        </w:rPr>
        <w:t>son</w:t>
      </w:r>
      <w:r>
        <w:rPr>
          <w:color w:val="231F1F"/>
          <w:spacing w:val="-11"/>
          <w:w w:val="105"/>
        </w:rPr>
        <w:t> </w:t>
      </w:r>
      <w:r>
        <w:rPr>
          <w:color w:val="231F1F"/>
          <w:w w:val="105"/>
        </w:rPr>
        <w:t>las</w:t>
      </w:r>
      <w:r>
        <w:rPr>
          <w:color w:val="231F1F"/>
          <w:spacing w:val="-11"/>
          <w:w w:val="105"/>
        </w:rPr>
        <w:t> </w:t>
      </w:r>
      <w:r>
        <w:rPr>
          <w:color w:val="231F1F"/>
          <w:w w:val="105"/>
        </w:rPr>
        <w:t>necesidades</w:t>
      </w:r>
      <w:r>
        <w:rPr>
          <w:color w:val="231F1F"/>
          <w:spacing w:val="-12"/>
          <w:w w:val="105"/>
        </w:rPr>
        <w:t> </w:t>
      </w:r>
      <w:r>
        <w:rPr>
          <w:color w:val="231F1F"/>
          <w:w w:val="105"/>
        </w:rPr>
        <w:t>básicas</w:t>
      </w:r>
      <w:r>
        <w:rPr>
          <w:color w:val="231F1F"/>
          <w:spacing w:val="-11"/>
          <w:w w:val="105"/>
        </w:rPr>
        <w:t> </w:t>
      </w:r>
      <w:r>
        <w:rPr>
          <w:color w:val="231F1F"/>
          <w:w w:val="105"/>
        </w:rPr>
        <w:t>de</w:t>
      </w:r>
      <w:r>
        <w:rPr>
          <w:color w:val="231F1F"/>
          <w:spacing w:val="-11"/>
          <w:w w:val="105"/>
        </w:rPr>
        <w:t> </w:t>
      </w:r>
      <w:r>
        <w:rPr>
          <w:color w:val="231F1F"/>
          <w:w w:val="105"/>
        </w:rPr>
        <w:t>las</w:t>
      </w:r>
      <w:r>
        <w:rPr>
          <w:color w:val="231F1F"/>
          <w:spacing w:val="-11"/>
          <w:w w:val="105"/>
        </w:rPr>
        <w:t> </w:t>
      </w:r>
      <w:r>
        <w:rPr>
          <w:color w:val="231F1F"/>
          <w:w w:val="105"/>
        </w:rPr>
        <w:t>mujeres</w:t>
      </w:r>
      <w:r>
        <w:rPr>
          <w:color w:val="231F1F"/>
          <w:spacing w:val="-11"/>
          <w:w w:val="105"/>
        </w:rPr>
        <w:t> </w:t>
      </w:r>
      <w:r>
        <w:rPr>
          <w:color w:val="231F1F"/>
          <w:w w:val="105"/>
        </w:rPr>
        <w:t>durante</w:t>
      </w:r>
      <w:r>
        <w:rPr>
          <w:color w:val="231F1F"/>
          <w:spacing w:val="-12"/>
          <w:w w:val="105"/>
        </w:rPr>
        <w:t> </w:t>
      </w:r>
      <w:r>
        <w:rPr>
          <w:color w:val="231F1F"/>
          <w:w w:val="105"/>
        </w:rPr>
        <w:t>este</w:t>
      </w:r>
      <w:r>
        <w:rPr>
          <w:color w:val="231F1F"/>
          <w:spacing w:val="-11"/>
          <w:w w:val="105"/>
        </w:rPr>
        <w:t> </w:t>
      </w:r>
      <w:r>
        <w:rPr>
          <w:color w:val="231F1F"/>
          <w:w w:val="105"/>
        </w:rPr>
        <w:t>proceso</w:t>
      </w:r>
      <w:r>
        <w:rPr>
          <w:color w:val="231F1F"/>
          <w:spacing w:val="-12"/>
          <w:w w:val="105"/>
        </w:rPr>
        <w:t> </w:t>
      </w:r>
      <w:r>
        <w:rPr>
          <w:color w:val="231F1F"/>
          <w:w w:val="105"/>
        </w:rPr>
        <w:t>fisiológico</w:t>
      </w:r>
      <w:r>
        <w:rPr>
          <w:color w:val="231F1F"/>
          <w:spacing w:val="-11"/>
          <w:w w:val="105"/>
        </w:rPr>
        <w:t> </w:t>
      </w:r>
      <w:r>
        <w:rPr>
          <w:color w:val="231F1F"/>
          <w:w w:val="105"/>
        </w:rPr>
        <w:t>(seguridad, tranquilidad, privacidad, etc.) y ofrezcan una atención diferente que satisfaga a las mujeres, garantizando su seguridad y la del bebé.</w:t>
      </w:r>
    </w:p>
    <w:p>
      <w:pPr>
        <w:pStyle w:val="BodyText"/>
        <w:spacing w:line="244" w:lineRule="auto" w:before="136"/>
        <w:ind w:left="283" w:right="122" w:firstLine="453"/>
        <w:jc w:val="both"/>
      </w:pPr>
      <w:r>
        <w:rPr>
          <w:color w:val="231F1F"/>
          <w:w w:val="110"/>
        </w:rPr>
        <w:t>También,</w:t>
      </w:r>
      <w:r>
        <w:rPr>
          <w:color w:val="231F1F"/>
          <w:spacing w:val="-15"/>
          <w:w w:val="110"/>
        </w:rPr>
        <w:t> </w:t>
      </w:r>
      <w:r>
        <w:rPr>
          <w:color w:val="231F1F"/>
          <w:w w:val="110"/>
        </w:rPr>
        <w:t>somos</w:t>
      </w:r>
      <w:r>
        <w:rPr>
          <w:color w:val="231F1F"/>
          <w:spacing w:val="-15"/>
          <w:w w:val="110"/>
        </w:rPr>
        <w:t> </w:t>
      </w:r>
      <w:r>
        <w:rPr>
          <w:color w:val="231F1F"/>
          <w:w w:val="110"/>
        </w:rPr>
        <w:t>cada</w:t>
      </w:r>
      <w:r>
        <w:rPr>
          <w:color w:val="231F1F"/>
          <w:spacing w:val="-14"/>
          <w:w w:val="110"/>
        </w:rPr>
        <w:t> </w:t>
      </w:r>
      <w:r>
        <w:rPr>
          <w:color w:val="231F1F"/>
          <w:w w:val="110"/>
        </w:rPr>
        <w:t>vez</w:t>
      </w:r>
      <w:r>
        <w:rPr>
          <w:color w:val="231F1F"/>
          <w:spacing w:val="-15"/>
          <w:w w:val="110"/>
        </w:rPr>
        <w:t> </w:t>
      </w:r>
      <w:r>
        <w:rPr>
          <w:color w:val="231F1F"/>
          <w:w w:val="110"/>
        </w:rPr>
        <w:t>más</w:t>
      </w:r>
      <w:r>
        <w:rPr>
          <w:color w:val="231F1F"/>
          <w:spacing w:val="-15"/>
          <w:w w:val="110"/>
        </w:rPr>
        <w:t> </w:t>
      </w:r>
      <w:r>
        <w:rPr>
          <w:color w:val="231F1F"/>
          <w:w w:val="110"/>
        </w:rPr>
        <w:t>conscientes</w:t>
      </w:r>
      <w:r>
        <w:rPr>
          <w:color w:val="231F1F"/>
          <w:spacing w:val="-14"/>
          <w:w w:val="110"/>
        </w:rPr>
        <w:t> </w:t>
      </w:r>
      <w:r>
        <w:rPr>
          <w:color w:val="231F1F"/>
          <w:w w:val="110"/>
        </w:rPr>
        <w:t>de</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parto</w:t>
      </w:r>
      <w:r>
        <w:rPr>
          <w:color w:val="231F1F"/>
          <w:spacing w:val="-14"/>
          <w:w w:val="110"/>
        </w:rPr>
        <w:t> </w:t>
      </w:r>
      <w:r>
        <w:rPr>
          <w:color w:val="231F1F"/>
          <w:w w:val="110"/>
        </w:rPr>
        <w:t>es</w:t>
      </w:r>
      <w:r>
        <w:rPr>
          <w:color w:val="231F1F"/>
          <w:spacing w:val="-15"/>
          <w:w w:val="110"/>
        </w:rPr>
        <w:t> </w:t>
      </w:r>
      <w:r>
        <w:rPr>
          <w:color w:val="231F1F"/>
          <w:w w:val="110"/>
        </w:rPr>
        <w:t>un</w:t>
      </w:r>
      <w:r>
        <w:rPr>
          <w:color w:val="231F1F"/>
          <w:spacing w:val="-14"/>
          <w:w w:val="110"/>
        </w:rPr>
        <w:t> </w:t>
      </w:r>
      <w:r>
        <w:rPr>
          <w:color w:val="231F1F"/>
          <w:w w:val="110"/>
        </w:rPr>
        <w:t>acontecimiento</w:t>
      </w:r>
      <w:r>
        <w:rPr>
          <w:color w:val="231F1F"/>
          <w:spacing w:val="-15"/>
          <w:w w:val="110"/>
        </w:rPr>
        <w:t> </w:t>
      </w:r>
      <w:r>
        <w:rPr>
          <w:color w:val="231F1F"/>
          <w:w w:val="110"/>
        </w:rPr>
        <w:t>tras- cendental en la vida de las mujeres y de que el tipo de atención que se les preste tiene importantes</w:t>
      </w:r>
      <w:r>
        <w:rPr>
          <w:color w:val="231F1F"/>
          <w:spacing w:val="-15"/>
          <w:w w:val="110"/>
        </w:rPr>
        <w:t> </w:t>
      </w:r>
      <w:r>
        <w:rPr>
          <w:color w:val="231F1F"/>
          <w:w w:val="110"/>
        </w:rPr>
        <w:t>efectos</w:t>
      </w:r>
      <w:r>
        <w:rPr>
          <w:color w:val="231F1F"/>
          <w:spacing w:val="-15"/>
          <w:w w:val="110"/>
        </w:rPr>
        <w:t> </w:t>
      </w:r>
      <w:r>
        <w:rPr>
          <w:color w:val="231F1F"/>
          <w:w w:val="110"/>
        </w:rPr>
        <w:t>en</w:t>
      </w:r>
      <w:r>
        <w:rPr>
          <w:color w:val="231F1F"/>
          <w:spacing w:val="-14"/>
          <w:w w:val="110"/>
        </w:rPr>
        <w:t> </w:t>
      </w:r>
      <w:r>
        <w:rPr>
          <w:color w:val="231F1F"/>
          <w:w w:val="110"/>
        </w:rPr>
        <w:t>ellas</w:t>
      </w:r>
      <w:r>
        <w:rPr>
          <w:color w:val="231F1F"/>
          <w:spacing w:val="-15"/>
          <w:w w:val="110"/>
        </w:rPr>
        <w:t> </w:t>
      </w:r>
      <w:r>
        <w:rPr>
          <w:color w:val="231F1F"/>
          <w:w w:val="110"/>
        </w:rPr>
        <w:t>y</w:t>
      </w:r>
      <w:r>
        <w:rPr>
          <w:color w:val="231F1F"/>
          <w:spacing w:val="-15"/>
          <w:w w:val="110"/>
        </w:rPr>
        <w:t> </w:t>
      </w:r>
      <w:r>
        <w:rPr>
          <w:color w:val="231F1F"/>
          <w:w w:val="110"/>
        </w:rPr>
        <w:t>en</w:t>
      </w:r>
      <w:r>
        <w:rPr>
          <w:color w:val="231F1F"/>
          <w:spacing w:val="-14"/>
          <w:w w:val="110"/>
        </w:rPr>
        <w:t> </w:t>
      </w:r>
      <w:r>
        <w:rPr>
          <w:color w:val="231F1F"/>
          <w:w w:val="110"/>
        </w:rPr>
        <w:t>sus</w:t>
      </w:r>
      <w:r>
        <w:rPr>
          <w:color w:val="231F1F"/>
          <w:spacing w:val="-15"/>
          <w:w w:val="110"/>
        </w:rPr>
        <w:t> </w:t>
      </w:r>
      <w:r>
        <w:rPr>
          <w:color w:val="231F1F"/>
          <w:w w:val="110"/>
        </w:rPr>
        <w:t>hijos</w:t>
      </w:r>
      <w:r>
        <w:rPr>
          <w:color w:val="231F1F"/>
          <w:spacing w:val="-15"/>
          <w:w w:val="110"/>
        </w:rPr>
        <w:t> </w:t>
      </w:r>
      <w:r>
        <w:rPr>
          <w:color w:val="231F1F"/>
          <w:w w:val="110"/>
        </w:rPr>
        <w:t>e</w:t>
      </w:r>
      <w:r>
        <w:rPr>
          <w:color w:val="231F1F"/>
          <w:spacing w:val="-15"/>
          <w:w w:val="110"/>
        </w:rPr>
        <w:t> </w:t>
      </w:r>
      <w:r>
        <w:rPr>
          <w:color w:val="231F1F"/>
          <w:w w:val="110"/>
        </w:rPr>
        <w:t>hijas,</w:t>
      </w:r>
      <w:r>
        <w:rPr>
          <w:color w:val="231F1F"/>
          <w:spacing w:val="-15"/>
          <w:w w:val="110"/>
        </w:rPr>
        <w:t> </w:t>
      </w:r>
      <w:r>
        <w:rPr>
          <w:color w:val="231F1F"/>
          <w:w w:val="110"/>
        </w:rPr>
        <w:t>tanto</w:t>
      </w:r>
      <w:r>
        <w:rPr>
          <w:color w:val="231F1F"/>
          <w:spacing w:val="-14"/>
          <w:w w:val="110"/>
        </w:rPr>
        <w:t> </w:t>
      </w:r>
      <w:r>
        <w:rPr>
          <w:color w:val="231F1F"/>
          <w:w w:val="110"/>
        </w:rPr>
        <w:t>físicos</w:t>
      </w:r>
      <w:r>
        <w:rPr>
          <w:color w:val="231F1F"/>
          <w:spacing w:val="-15"/>
          <w:w w:val="110"/>
        </w:rPr>
        <w:t> </w:t>
      </w:r>
      <w:r>
        <w:rPr>
          <w:color w:val="231F1F"/>
          <w:w w:val="110"/>
        </w:rPr>
        <w:t>como</w:t>
      </w:r>
      <w:r>
        <w:rPr>
          <w:color w:val="231F1F"/>
          <w:spacing w:val="-15"/>
          <w:w w:val="110"/>
        </w:rPr>
        <w:t> </w:t>
      </w:r>
      <w:r>
        <w:rPr>
          <w:color w:val="231F1F"/>
          <w:w w:val="110"/>
        </w:rPr>
        <w:t>emocionales,</w:t>
      </w:r>
      <w:r>
        <w:rPr>
          <w:color w:val="231F1F"/>
          <w:spacing w:val="-15"/>
          <w:w w:val="110"/>
        </w:rPr>
        <w:t> </w:t>
      </w:r>
      <w:r>
        <w:rPr>
          <w:color w:val="231F1F"/>
          <w:w w:val="110"/>
        </w:rPr>
        <w:t>a</w:t>
      </w:r>
      <w:r>
        <w:rPr>
          <w:color w:val="231F1F"/>
          <w:spacing w:val="-15"/>
          <w:w w:val="110"/>
        </w:rPr>
        <w:t> </w:t>
      </w:r>
      <w:r>
        <w:rPr>
          <w:color w:val="231F1F"/>
          <w:w w:val="110"/>
        </w:rPr>
        <w:t>corto y</w:t>
      </w:r>
      <w:r>
        <w:rPr>
          <w:color w:val="231F1F"/>
          <w:spacing w:val="-16"/>
          <w:w w:val="110"/>
        </w:rPr>
        <w:t> </w:t>
      </w:r>
      <w:r>
        <w:rPr>
          <w:color w:val="231F1F"/>
          <w:w w:val="110"/>
        </w:rPr>
        <w:t>a</w:t>
      </w:r>
      <w:r>
        <w:rPr>
          <w:color w:val="231F1F"/>
          <w:spacing w:val="-13"/>
          <w:w w:val="110"/>
        </w:rPr>
        <w:t> </w:t>
      </w:r>
      <w:r>
        <w:rPr>
          <w:color w:val="231F1F"/>
          <w:w w:val="110"/>
        </w:rPr>
        <w:t>largo</w:t>
      </w:r>
      <w:r>
        <w:rPr>
          <w:color w:val="231F1F"/>
          <w:spacing w:val="-15"/>
          <w:w w:val="110"/>
        </w:rPr>
        <w:t> </w:t>
      </w:r>
      <w:r>
        <w:rPr>
          <w:color w:val="231F1F"/>
          <w:w w:val="110"/>
        </w:rPr>
        <w:t>plazo,</w:t>
      </w:r>
      <w:r>
        <w:rPr>
          <w:color w:val="231F1F"/>
          <w:spacing w:val="-16"/>
          <w:w w:val="110"/>
        </w:rPr>
        <w:t> </w:t>
      </w:r>
      <w:r>
        <w:rPr>
          <w:color w:val="231F1F"/>
          <w:w w:val="110"/>
        </w:rPr>
        <w:t>en</w:t>
      </w:r>
      <w:r>
        <w:rPr>
          <w:color w:val="231F1F"/>
          <w:spacing w:val="-13"/>
          <w:w w:val="110"/>
        </w:rPr>
        <w:t> </w:t>
      </w:r>
      <w:r>
        <w:rPr>
          <w:color w:val="231F1F"/>
          <w:w w:val="110"/>
        </w:rPr>
        <w:t>particular</w:t>
      </w:r>
      <w:r>
        <w:rPr>
          <w:color w:val="231F1F"/>
          <w:spacing w:val="-16"/>
          <w:w w:val="110"/>
        </w:rPr>
        <w:t> </w:t>
      </w:r>
      <w:r>
        <w:rPr>
          <w:color w:val="231F1F"/>
          <w:w w:val="110"/>
        </w:rPr>
        <w:t>en</w:t>
      </w:r>
      <w:r>
        <w:rPr>
          <w:color w:val="231F1F"/>
          <w:spacing w:val="-13"/>
          <w:w w:val="110"/>
        </w:rPr>
        <w:t> </w:t>
      </w:r>
      <w:r>
        <w:rPr>
          <w:color w:val="231F1F"/>
          <w:w w:val="110"/>
        </w:rPr>
        <w:t>el</w:t>
      </w:r>
      <w:r>
        <w:rPr>
          <w:color w:val="231F1F"/>
          <w:spacing w:val="-15"/>
          <w:w w:val="110"/>
        </w:rPr>
        <w:t> </w:t>
      </w:r>
      <w:r>
        <w:rPr>
          <w:color w:val="231F1F"/>
          <w:w w:val="110"/>
        </w:rPr>
        <w:t>caso</w:t>
      </w:r>
      <w:r>
        <w:rPr>
          <w:color w:val="231F1F"/>
          <w:spacing w:val="-15"/>
          <w:w w:val="110"/>
        </w:rPr>
        <w:t> </w:t>
      </w:r>
      <w:r>
        <w:rPr>
          <w:color w:val="231F1F"/>
          <w:w w:val="110"/>
        </w:rPr>
        <w:t>de</w:t>
      </w:r>
      <w:r>
        <w:rPr>
          <w:color w:val="231F1F"/>
          <w:spacing w:val="-15"/>
          <w:w w:val="110"/>
        </w:rPr>
        <w:t> </w:t>
      </w:r>
      <w:r>
        <w:rPr>
          <w:color w:val="231F1F"/>
          <w:w w:val="110"/>
        </w:rPr>
        <w:t>aquellas</w:t>
      </w:r>
      <w:r>
        <w:rPr>
          <w:color w:val="231F1F"/>
          <w:spacing w:val="-15"/>
          <w:w w:val="110"/>
        </w:rPr>
        <w:t> </w:t>
      </w:r>
      <w:r>
        <w:rPr>
          <w:color w:val="231F1F"/>
          <w:w w:val="110"/>
        </w:rPr>
        <w:t>que</w:t>
      </w:r>
      <w:r>
        <w:rPr>
          <w:color w:val="231F1F"/>
          <w:spacing w:val="-15"/>
          <w:w w:val="110"/>
        </w:rPr>
        <w:t> </w:t>
      </w:r>
      <w:r>
        <w:rPr>
          <w:color w:val="231F1F"/>
          <w:w w:val="110"/>
        </w:rPr>
        <w:t>consideran</w:t>
      </w:r>
      <w:r>
        <w:rPr>
          <w:color w:val="231F1F"/>
          <w:spacing w:val="-14"/>
          <w:w w:val="110"/>
        </w:rPr>
        <w:t> </w:t>
      </w:r>
      <w:r>
        <w:rPr>
          <w:color w:val="231F1F"/>
          <w:w w:val="110"/>
        </w:rPr>
        <w:t>fundamental</w:t>
      </w:r>
      <w:r>
        <w:rPr>
          <w:color w:val="231F1F"/>
          <w:spacing w:val="-15"/>
          <w:w w:val="110"/>
        </w:rPr>
        <w:t> </w:t>
      </w:r>
      <w:r>
        <w:rPr>
          <w:color w:val="231F1F"/>
          <w:w w:val="110"/>
        </w:rPr>
        <w:t>ser</w:t>
      </w:r>
      <w:r>
        <w:rPr>
          <w:color w:val="231F1F"/>
          <w:spacing w:val="-16"/>
          <w:w w:val="110"/>
        </w:rPr>
        <w:t> </w:t>
      </w:r>
      <w:r>
        <w:rPr>
          <w:color w:val="231F1F"/>
          <w:w w:val="110"/>
        </w:rPr>
        <w:t>prota- gonistas de su propio parto.</w:t>
      </w:r>
    </w:p>
    <w:p>
      <w:pPr>
        <w:pStyle w:val="BodyText"/>
        <w:spacing w:line="244" w:lineRule="auto" w:before="149"/>
        <w:ind w:left="283" w:right="123" w:firstLine="453"/>
        <w:jc w:val="both"/>
      </w:pPr>
      <w:r>
        <w:rPr>
          <w:color w:val="231F1F"/>
          <w:w w:val="110"/>
        </w:rPr>
        <w:t>En</w:t>
      </w:r>
      <w:r>
        <w:rPr>
          <w:color w:val="231F1F"/>
          <w:spacing w:val="-12"/>
          <w:w w:val="110"/>
        </w:rPr>
        <w:t> </w:t>
      </w:r>
      <w:r>
        <w:rPr>
          <w:color w:val="231F1F"/>
          <w:w w:val="110"/>
        </w:rPr>
        <w:t>este</w:t>
      </w:r>
      <w:r>
        <w:rPr>
          <w:color w:val="231F1F"/>
          <w:spacing w:val="-12"/>
          <w:w w:val="110"/>
        </w:rPr>
        <w:t> </w:t>
      </w:r>
      <w:r>
        <w:rPr>
          <w:color w:val="231F1F"/>
          <w:w w:val="110"/>
        </w:rPr>
        <w:t>sentido,</w:t>
      </w:r>
      <w:r>
        <w:rPr>
          <w:color w:val="231F1F"/>
          <w:spacing w:val="-13"/>
          <w:w w:val="110"/>
        </w:rPr>
        <w:t> </w:t>
      </w:r>
      <w:r>
        <w:rPr>
          <w:color w:val="231F1F"/>
          <w:w w:val="110"/>
        </w:rPr>
        <w:t>ya</w:t>
      </w:r>
      <w:r>
        <w:rPr>
          <w:color w:val="231F1F"/>
          <w:spacing w:val="-13"/>
          <w:w w:val="110"/>
        </w:rPr>
        <w:t> </w:t>
      </w:r>
      <w:r>
        <w:rPr>
          <w:color w:val="231F1F"/>
          <w:w w:val="110"/>
        </w:rPr>
        <w:t>en</w:t>
      </w:r>
      <w:r>
        <w:rPr>
          <w:color w:val="231F1F"/>
          <w:spacing w:val="-12"/>
          <w:w w:val="110"/>
        </w:rPr>
        <w:t> </w:t>
      </w:r>
      <w:r>
        <w:rPr>
          <w:color w:val="231F1F"/>
          <w:w w:val="110"/>
        </w:rPr>
        <w:t>1985,</w:t>
      </w:r>
      <w:r>
        <w:rPr>
          <w:color w:val="231F1F"/>
          <w:spacing w:val="-13"/>
          <w:w w:val="110"/>
        </w:rPr>
        <w:t> </w:t>
      </w:r>
      <w:r>
        <w:rPr>
          <w:color w:val="231F1F"/>
          <w:w w:val="110"/>
        </w:rPr>
        <w:t>en</w:t>
      </w:r>
      <w:r>
        <w:rPr>
          <w:color w:val="231F1F"/>
          <w:spacing w:val="-12"/>
          <w:w w:val="110"/>
        </w:rPr>
        <w:t> </w:t>
      </w:r>
      <w:r>
        <w:rPr>
          <w:color w:val="231F1F"/>
          <w:w w:val="110"/>
        </w:rPr>
        <w:t>una</w:t>
      </w:r>
      <w:r>
        <w:rPr>
          <w:color w:val="231F1F"/>
          <w:spacing w:val="-13"/>
          <w:w w:val="110"/>
        </w:rPr>
        <w:t> </w:t>
      </w:r>
      <w:r>
        <w:rPr>
          <w:color w:val="231F1F"/>
          <w:w w:val="110"/>
        </w:rPr>
        <w:t>reunión</w:t>
      </w:r>
      <w:r>
        <w:rPr>
          <w:color w:val="231F1F"/>
          <w:spacing w:val="-12"/>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Región</w:t>
      </w:r>
      <w:r>
        <w:rPr>
          <w:color w:val="231F1F"/>
          <w:spacing w:val="-13"/>
          <w:w w:val="110"/>
        </w:rPr>
        <w:t> </w:t>
      </w:r>
      <w:r>
        <w:rPr>
          <w:color w:val="231F1F"/>
          <w:w w:val="110"/>
        </w:rPr>
        <w:t>Europea</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OMS,</w:t>
      </w:r>
      <w:r>
        <w:rPr>
          <w:color w:val="231F1F"/>
          <w:spacing w:val="-13"/>
          <w:w w:val="110"/>
        </w:rPr>
        <w:t> </w:t>
      </w:r>
      <w:r>
        <w:rPr>
          <w:color w:val="231F1F"/>
          <w:w w:val="110"/>
        </w:rPr>
        <w:t>la</w:t>
      </w:r>
      <w:r>
        <w:rPr>
          <w:color w:val="231F1F"/>
          <w:spacing w:val="-13"/>
          <w:w w:val="110"/>
        </w:rPr>
        <w:t> </w:t>
      </w:r>
      <w:r>
        <w:rPr>
          <w:color w:val="231F1F"/>
          <w:w w:val="110"/>
        </w:rPr>
        <w:t>Ofi- cina</w:t>
      </w:r>
      <w:r>
        <w:rPr>
          <w:color w:val="231F1F"/>
          <w:spacing w:val="-9"/>
          <w:w w:val="110"/>
        </w:rPr>
        <w:t> </w:t>
      </w:r>
      <w:r>
        <w:rPr>
          <w:color w:val="231F1F"/>
          <w:w w:val="110"/>
        </w:rPr>
        <w:t>Regional</w:t>
      </w:r>
      <w:r>
        <w:rPr>
          <w:color w:val="231F1F"/>
          <w:spacing w:val="-10"/>
          <w:w w:val="110"/>
        </w:rPr>
        <w:t> </w:t>
      </w:r>
      <w:r>
        <w:rPr>
          <w:color w:val="231F1F"/>
          <w:w w:val="110"/>
        </w:rPr>
        <w:t>de</w:t>
      </w:r>
      <w:r>
        <w:rPr>
          <w:color w:val="231F1F"/>
          <w:spacing w:val="-9"/>
          <w:w w:val="110"/>
        </w:rPr>
        <w:t> </w:t>
      </w:r>
      <w:r>
        <w:rPr>
          <w:color w:val="231F1F"/>
          <w:w w:val="110"/>
        </w:rPr>
        <w:t>América</w:t>
      </w:r>
      <w:r>
        <w:rPr>
          <w:color w:val="231F1F"/>
          <w:spacing w:val="-9"/>
          <w:w w:val="110"/>
        </w:rPr>
        <w:t> </w:t>
      </w:r>
      <w:r>
        <w:rPr>
          <w:color w:val="231F1F"/>
          <w:w w:val="110"/>
        </w:rPr>
        <w:t>y</w:t>
      </w:r>
      <w:r>
        <w:rPr>
          <w:color w:val="231F1F"/>
          <w:spacing w:val="-9"/>
          <w:w w:val="110"/>
        </w:rPr>
        <w:t> </w:t>
      </w:r>
      <w:r>
        <w:rPr>
          <w:color w:val="231F1F"/>
          <w:w w:val="110"/>
        </w:rPr>
        <w:t>la</w:t>
      </w:r>
      <w:r>
        <w:rPr>
          <w:color w:val="231F1F"/>
          <w:spacing w:val="-9"/>
          <w:w w:val="110"/>
        </w:rPr>
        <w:t> </w:t>
      </w:r>
      <w:r>
        <w:rPr>
          <w:color w:val="231F1F"/>
          <w:w w:val="110"/>
        </w:rPr>
        <w:t>Organización</w:t>
      </w:r>
      <w:r>
        <w:rPr>
          <w:color w:val="231F1F"/>
          <w:spacing w:val="-9"/>
          <w:w w:val="110"/>
        </w:rPr>
        <w:t> </w:t>
      </w:r>
      <w:r>
        <w:rPr>
          <w:color w:val="231F1F"/>
          <w:w w:val="110"/>
        </w:rPr>
        <w:t>Panamericana</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Salud</w:t>
      </w:r>
      <w:r>
        <w:rPr>
          <w:color w:val="231F1F"/>
          <w:spacing w:val="-9"/>
          <w:w w:val="110"/>
        </w:rPr>
        <w:t> </w:t>
      </w:r>
      <w:r>
        <w:rPr>
          <w:color w:val="231F1F"/>
          <w:w w:val="110"/>
        </w:rPr>
        <w:t>que</w:t>
      </w:r>
      <w:r>
        <w:rPr>
          <w:color w:val="231F1F"/>
          <w:spacing w:val="-9"/>
          <w:w w:val="110"/>
        </w:rPr>
        <w:t> </w:t>
      </w:r>
      <w:r>
        <w:rPr>
          <w:color w:val="231F1F"/>
          <w:w w:val="110"/>
        </w:rPr>
        <w:t>tuvo</w:t>
      </w:r>
      <w:r>
        <w:rPr>
          <w:color w:val="231F1F"/>
          <w:spacing w:val="-9"/>
          <w:w w:val="110"/>
        </w:rPr>
        <w:t> </w:t>
      </w:r>
      <w:r>
        <w:rPr>
          <w:color w:val="231F1F"/>
          <w:w w:val="110"/>
        </w:rPr>
        <w:t>lugar</w:t>
      </w:r>
      <w:r>
        <w:rPr>
          <w:color w:val="231F1F"/>
          <w:spacing w:val="-9"/>
          <w:w w:val="110"/>
        </w:rPr>
        <w:t> </w:t>
      </w:r>
      <w:r>
        <w:rPr>
          <w:color w:val="231F1F"/>
          <w:w w:val="110"/>
        </w:rPr>
        <w:t>en Fortaleza,</w:t>
      </w:r>
      <w:r>
        <w:rPr>
          <w:color w:val="231F1F"/>
          <w:spacing w:val="-12"/>
          <w:w w:val="110"/>
        </w:rPr>
        <w:t> </w:t>
      </w:r>
      <w:r>
        <w:rPr>
          <w:color w:val="231F1F"/>
          <w:w w:val="110"/>
        </w:rPr>
        <w:t>Brasil,</w:t>
      </w:r>
      <w:r>
        <w:rPr>
          <w:color w:val="231F1F"/>
          <w:spacing w:val="-12"/>
          <w:w w:val="110"/>
        </w:rPr>
        <w:t> </w:t>
      </w:r>
      <w:r>
        <w:rPr>
          <w:color w:val="231F1F"/>
          <w:w w:val="110"/>
        </w:rPr>
        <w:t>se</w:t>
      </w:r>
      <w:r>
        <w:rPr>
          <w:color w:val="231F1F"/>
          <w:spacing w:val="-11"/>
          <w:w w:val="110"/>
        </w:rPr>
        <w:t> </w:t>
      </w:r>
      <w:r>
        <w:rPr>
          <w:color w:val="231F1F"/>
          <w:w w:val="110"/>
        </w:rPr>
        <w:t>establecieron</w:t>
      </w:r>
      <w:r>
        <w:rPr>
          <w:color w:val="231F1F"/>
          <w:spacing w:val="-11"/>
          <w:w w:val="110"/>
        </w:rPr>
        <w:t> </w:t>
      </w:r>
      <w:r>
        <w:rPr>
          <w:color w:val="231F1F"/>
          <w:w w:val="110"/>
        </w:rPr>
        <w:t>una</w:t>
      </w:r>
      <w:r>
        <w:rPr>
          <w:color w:val="231F1F"/>
          <w:spacing w:val="-11"/>
          <w:w w:val="110"/>
        </w:rPr>
        <w:t> </w:t>
      </w:r>
      <w:r>
        <w:rPr>
          <w:color w:val="231F1F"/>
          <w:w w:val="110"/>
        </w:rPr>
        <w:t>serie</w:t>
      </w:r>
      <w:r>
        <w:rPr>
          <w:color w:val="231F1F"/>
          <w:spacing w:val="-12"/>
          <w:w w:val="110"/>
        </w:rPr>
        <w:t> </w:t>
      </w:r>
      <w:r>
        <w:rPr>
          <w:color w:val="231F1F"/>
          <w:w w:val="110"/>
        </w:rPr>
        <w:t>de</w:t>
      </w:r>
      <w:r>
        <w:rPr>
          <w:color w:val="231F1F"/>
          <w:spacing w:val="-11"/>
          <w:w w:val="110"/>
        </w:rPr>
        <w:t> </w:t>
      </w:r>
      <w:r>
        <w:rPr>
          <w:color w:val="231F1F"/>
          <w:w w:val="110"/>
        </w:rPr>
        <w:t>recomendaciones</w:t>
      </w:r>
      <w:r>
        <w:rPr>
          <w:color w:val="231F1F"/>
          <w:spacing w:val="-11"/>
          <w:w w:val="110"/>
        </w:rPr>
        <w:t> </w:t>
      </w:r>
      <w:r>
        <w:rPr>
          <w:color w:val="231F1F"/>
          <w:w w:val="110"/>
        </w:rPr>
        <w:t>sobre</w:t>
      </w:r>
      <w:r>
        <w:rPr>
          <w:color w:val="231F1F"/>
          <w:spacing w:val="-11"/>
          <w:w w:val="110"/>
        </w:rPr>
        <w:t> </w:t>
      </w:r>
      <w:r>
        <w:rPr>
          <w:color w:val="231F1F"/>
          <w:w w:val="110"/>
        </w:rPr>
        <w:t>el</w:t>
      </w:r>
      <w:r>
        <w:rPr>
          <w:color w:val="231F1F"/>
          <w:spacing w:val="-12"/>
          <w:w w:val="110"/>
        </w:rPr>
        <w:t> </w:t>
      </w:r>
      <w:r>
        <w:rPr>
          <w:color w:val="231F1F"/>
          <w:w w:val="110"/>
        </w:rPr>
        <w:t>uso</w:t>
      </w:r>
      <w:r>
        <w:rPr>
          <w:color w:val="231F1F"/>
          <w:spacing w:val="-11"/>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tecno- logía</w:t>
      </w:r>
      <w:r>
        <w:rPr>
          <w:color w:val="231F1F"/>
          <w:spacing w:val="-16"/>
          <w:w w:val="110"/>
        </w:rPr>
        <w:t> </w:t>
      </w:r>
      <w:r>
        <w:rPr>
          <w:color w:val="231F1F"/>
          <w:w w:val="110"/>
        </w:rPr>
        <w:t>apropiada</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partos</w:t>
      </w:r>
      <w:r>
        <w:rPr>
          <w:color w:val="231F1F"/>
          <w:spacing w:val="-15"/>
          <w:w w:val="110"/>
        </w:rPr>
        <w:t> </w:t>
      </w:r>
      <w:r>
        <w:rPr>
          <w:color w:val="231F1F"/>
          <w:w w:val="110"/>
        </w:rPr>
        <w:t>.</w:t>
      </w:r>
      <w:r>
        <w:rPr>
          <w:color w:val="231F1F"/>
          <w:spacing w:val="-15"/>
          <w:w w:val="110"/>
        </w:rPr>
        <w:t> </w:t>
      </w:r>
      <w:r>
        <w:rPr>
          <w:color w:val="231F1F"/>
          <w:w w:val="110"/>
        </w:rPr>
        <w:t>Posteriormente,</w:t>
      </w:r>
      <w:r>
        <w:rPr>
          <w:color w:val="231F1F"/>
          <w:spacing w:val="-15"/>
          <w:w w:val="110"/>
        </w:rPr>
        <w:t> </w:t>
      </w:r>
      <w:r>
        <w:rPr>
          <w:color w:val="231F1F"/>
          <w:w w:val="110"/>
        </w:rPr>
        <w:t>en</w:t>
      </w:r>
      <w:r>
        <w:rPr>
          <w:color w:val="231F1F"/>
          <w:spacing w:val="-15"/>
          <w:w w:val="110"/>
        </w:rPr>
        <w:t> </w:t>
      </w:r>
      <w:r>
        <w:rPr>
          <w:color w:val="231F1F"/>
          <w:w w:val="110"/>
        </w:rPr>
        <w:t>1996</w:t>
      </w:r>
      <w:r>
        <w:rPr>
          <w:color w:val="231F1F"/>
          <w:spacing w:val="-16"/>
          <w:w w:val="110"/>
        </w:rPr>
        <w:t> </w:t>
      </w:r>
      <w:r>
        <w:rPr>
          <w:color w:val="231F1F"/>
          <w:w w:val="110"/>
        </w:rPr>
        <w:t>la</w:t>
      </w:r>
      <w:r>
        <w:rPr>
          <w:color w:val="231F1F"/>
          <w:spacing w:val="-15"/>
          <w:w w:val="110"/>
        </w:rPr>
        <w:t> </w:t>
      </w:r>
      <w:r>
        <w:rPr>
          <w:color w:val="231F1F"/>
          <w:w w:val="110"/>
        </w:rPr>
        <w:t>OMS</w:t>
      </w:r>
      <w:r>
        <w:rPr>
          <w:color w:val="231F1F"/>
          <w:spacing w:val="-15"/>
          <w:w w:val="110"/>
        </w:rPr>
        <w:t> </w:t>
      </w:r>
      <w:r>
        <w:rPr>
          <w:color w:val="231F1F"/>
          <w:w w:val="110"/>
        </w:rPr>
        <w:t>elaboró</w:t>
      </w:r>
      <w:r>
        <w:rPr>
          <w:color w:val="231F1F"/>
          <w:spacing w:val="-15"/>
          <w:w w:val="110"/>
        </w:rPr>
        <w:t> </w:t>
      </w:r>
      <w:r>
        <w:rPr>
          <w:color w:val="231F1F"/>
          <w:w w:val="110"/>
        </w:rPr>
        <w:t>una</w:t>
      </w:r>
      <w:r>
        <w:rPr>
          <w:color w:val="231F1F"/>
          <w:spacing w:val="-15"/>
          <w:w w:val="110"/>
        </w:rPr>
        <w:t> </w:t>
      </w:r>
      <w:r>
        <w:rPr>
          <w:color w:val="231F1F"/>
          <w:w w:val="110"/>
        </w:rPr>
        <w:t>Guía</w:t>
      </w:r>
      <w:r>
        <w:rPr>
          <w:color w:val="231F1F"/>
          <w:spacing w:val="-15"/>
          <w:w w:val="110"/>
        </w:rPr>
        <w:t> </w:t>
      </w:r>
      <w:r>
        <w:rPr>
          <w:color w:val="231F1F"/>
          <w:w w:val="110"/>
        </w:rPr>
        <w:t>Práctica sobre los cuidados en el Parto Normal (4).</w:t>
      </w:r>
    </w:p>
    <w:p>
      <w:pPr>
        <w:pStyle w:val="BodyText"/>
        <w:spacing w:line="249" w:lineRule="auto" w:before="145"/>
        <w:ind w:left="283" w:right="112" w:firstLine="453"/>
        <w:jc w:val="both"/>
      </w:pPr>
      <w:r>
        <w:rPr>
          <w:color w:val="231F1F"/>
          <w:w w:val="105"/>
        </w:rPr>
        <w:t>Además, la medicina basada en la evidencia, ha puesto de manifiesto que la adopción de toda una serie de intervenciones que se han revelado inútiles, inoportunas, inapropiadas y/o innecesarias, ha constituido un grave error en el que se ha incurrido al tratar de mejorar los servicios de maternidad (4) .</w:t>
      </w:r>
    </w:p>
    <w:p>
      <w:pPr>
        <w:pStyle w:val="BodyText"/>
        <w:spacing w:after="0" w:line="249" w:lineRule="auto"/>
        <w:jc w:val="both"/>
        <w:sectPr>
          <w:footerReference w:type="default" r:id="rId33"/>
          <w:footerReference w:type="even" r:id="rId34"/>
          <w:pgSz w:w="11900" w:h="16840"/>
          <w:pgMar w:header="0" w:footer="622" w:top="1500" w:bottom="820" w:left="1417" w:right="1559"/>
          <w:pgNumType w:start="35"/>
        </w:sectPr>
      </w:pPr>
    </w:p>
    <w:p>
      <w:pPr>
        <w:pStyle w:val="BodyText"/>
        <w:spacing w:line="249" w:lineRule="auto" w:before="73"/>
        <w:ind w:left="283" w:right="116" w:firstLine="453"/>
        <w:jc w:val="both"/>
      </w:pPr>
      <w:r>
        <w:rPr>
          <w:color w:val="231F1F"/>
          <w:w w:val="110"/>
        </w:rPr>
        <w:t>En</w:t>
      </w:r>
      <w:r>
        <w:rPr>
          <w:color w:val="231F1F"/>
          <w:spacing w:val="-15"/>
          <w:w w:val="110"/>
        </w:rPr>
        <w:t> </w:t>
      </w:r>
      <w:r>
        <w:rPr>
          <w:color w:val="231F1F"/>
          <w:w w:val="110"/>
        </w:rPr>
        <w:t>nuestro</w:t>
      </w:r>
      <w:r>
        <w:rPr>
          <w:color w:val="231F1F"/>
          <w:spacing w:val="-15"/>
          <w:w w:val="110"/>
        </w:rPr>
        <w:t> </w:t>
      </w:r>
      <w:r>
        <w:rPr>
          <w:color w:val="231F1F"/>
          <w:w w:val="110"/>
        </w:rPr>
        <w:t>país,</w:t>
      </w:r>
      <w:r>
        <w:rPr>
          <w:color w:val="231F1F"/>
          <w:spacing w:val="-15"/>
          <w:w w:val="110"/>
        </w:rPr>
        <w:t> </w:t>
      </w:r>
      <w:r>
        <w:rPr>
          <w:color w:val="231F1F"/>
          <w:w w:val="110"/>
        </w:rPr>
        <w:t>la</w:t>
      </w:r>
      <w:r>
        <w:rPr>
          <w:color w:val="231F1F"/>
          <w:spacing w:val="-14"/>
          <w:w w:val="110"/>
        </w:rPr>
        <w:t> </w:t>
      </w:r>
      <w:r>
        <w:rPr>
          <w:color w:val="231F1F"/>
          <w:w w:val="110"/>
        </w:rPr>
        <w:t>Estrategia</w:t>
      </w:r>
      <w:r>
        <w:rPr>
          <w:color w:val="231F1F"/>
          <w:spacing w:val="-15"/>
          <w:w w:val="110"/>
        </w:rPr>
        <w:t> </w:t>
      </w:r>
      <w:r>
        <w:rPr>
          <w:color w:val="231F1F"/>
          <w:w w:val="110"/>
        </w:rPr>
        <w:t>de</w:t>
      </w:r>
      <w:r>
        <w:rPr>
          <w:color w:val="231F1F"/>
          <w:spacing w:val="-15"/>
          <w:w w:val="110"/>
        </w:rPr>
        <w:t> </w:t>
      </w:r>
      <w:r>
        <w:rPr>
          <w:color w:val="231F1F"/>
          <w:w w:val="110"/>
        </w:rPr>
        <w:t>Atención</w:t>
      </w:r>
      <w:r>
        <w:rPr>
          <w:color w:val="231F1F"/>
          <w:spacing w:val="-15"/>
          <w:w w:val="110"/>
        </w:rPr>
        <w:t> </w:t>
      </w:r>
      <w:r>
        <w:rPr>
          <w:color w:val="231F1F"/>
          <w:w w:val="110"/>
        </w:rPr>
        <w:t>al</w:t>
      </w:r>
      <w:r>
        <w:rPr>
          <w:color w:val="231F1F"/>
          <w:spacing w:val="-15"/>
          <w:w w:val="110"/>
        </w:rPr>
        <w:t> </w:t>
      </w:r>
      <w:r>
        <w:rPr>
          <w:color w:val="231F1F"/>
          <w:w w:val="110"/>
        </w:rPr>
        <w:t>Parto</w:t>
      </w:r>
      <w:r>
        <w:rPr>
          <w:color w:val="231F1F"/>
          <w:spacing w:val="-15"/>
          <w:w w:val="110"/>
        </w:rPr>
        <w:t> </w:t>
      </w:r>
      <w:r>
        <w:rPr>
          <w:color w:val="231F1F"/>
          <w:w w:val="110"/>
        </w:rPr>
        <w:t>Normal</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Sistema</w:t>
      </w:r>
      <w:r>
        <w:rPr>
          <w:color w:val="231F1F"/>
          <w:spacing w:val="-15"/>
          <w:w w:val="110"/>
        </w:rPr>
        <w:t> </w:t>
      </w:r>
      <w:r>
        <w:rPr>
          <w:color w:val="231F1F"/>
          <w:w w:val="110"/>
        </w:rPr>
        <w:t>Nacional</w:t>
      </w:r>
      <w:r>
        <w:rPr>
          <w:color w:val="231F1F"/>
          <w:spacing w:val="-15"/>
          <w:w w:val="110"/>
        </w:rPr>
        <w:t> </w:t>
      </w:r>
      <w:r>
        <w:rPr>
          <w:color w:val="231F1F"/>
          <w:w w:val="110"/>
        </w:rPr>
        <w:t>de Salud, consensuada por todas las CCAA, está impulsando una profunda transformación en</w:t>
      </w:r>
      <w:r>
        <w:rPr>
          <w:color w:val="231F1F"/>
          <w:spacing w:val="-15"/>
          <w:w w:val="110"/>
        </w:rPr>
        <w:t> </w:t>
      </w:r>
      <w:r>
        <w:rPr>
          <w:color w:val="231F1F"/>
          <w:w w:val="110"/>
        </w:rPr>
        <w:t>el</w:t>
      </w:r>
      <w:r>
        <w:rPr>
          <w:color w:val="231F1F"/>
          <w:spacing w:val="-15"/>
          <w:w w:val="110"/>
        </w:rPr>
        <w:t> </w:t>
      </w:r>
      <w:r>
        <w:rPr>
          <w:color w:val="231F1F"/>
          <w:w w:val="110"/>
        </w:rPr>
        <w:t>modelo</w:t>
      </w:r>
      <w:r>
        <w:rPr>
          <w:color w:val="231F1F"/>
          <w:spacing w:val="-15"/>
          <w:w w:val="110"/>
        </w:rPr>
        <w:t> </w:t>
      </w:r>
      <w:r>
        <w:rPr>
          <w:color w:val="231F1F"/>
          <w:w w:val="110"/>
        </w:rPr>
        <w:t>de</w:t>
      </w:r>
      <w:r>
        <w:rPr>
          <w:color w:val="231F1F"/>
          <w:spacing w:val="-15"/>
          <w:w w:val="110"/>
        </w:rPr>
        <w:t> </w:t>
      </w:r>
      <w:r>
        <w:rPr>
          <w:color w:val="231F1F"/>
          <w:w w:val="110"/>
        </w:rPr>
        <w:t>atención</w:t>
      </w:r>
      <w:r>
        <w:rPr>
          <w:color w:val="231F1F"/>
          <w:spacing w:val="-15"/>
          <w:w w:val="110"/>
        </w:rPr>
        <w:t> </w:t>
      </w:r>
      <w:r>
        <w:rPr>
          <w:color w:val="231F1F"/>
          <w:w w:val="110"/>
        </w:rPr>
        <w:t>al</w:t>
      </w:r>
      <w:r>
        <w:rPr>
          <w:color w:val="231F1F"/>
          <w:spacing w:val="-15"/>
          <w:w w:val="110"/>
        </w:rPr>
        <w:t> </w:t>
      </w:r>
      <w:r>
        <w:rPr>
          <w:color w:val="231F1F"/>
          <w:w w:val="110"/>
        </w:rPr>
        <w:t>parto</w:t>
      </w:r>
      <w:r>
        <w:rPr>
          <w:color w:val="231F1F"/>
          <w:spacing w:val="-15"/>
          <w:w w:val="110"/>
        </w:rPr>
        <w:t> </w:t>
      </w:r>
      <w:r>
        <w:rPr>
          <w:color w:val="231F1F"/>
          <w:w w:val="110"/>
        </w:rPr>
        <w:t>(5).</w:t>
      </w:r>
      <w:r>
        <w:rPr>
          <w:color w:val="231F1F"/>
          <w:spacing w:val="-15"/>
          <w:w w:val="110"/>
        </w:rPr>
        <w:t> </w:t>
      </w:r>
      <w:r>
        <w:rPr>
          <w:color w:val="231F1F"/>
          <w:w w:val="110"/>
        </w:rPr>
        <w:t>Este</w:t>
      </w:r>
      <w:r>
        <w:rPr>
          <w:color w:val="231F1F"/>
          <w:spacing w:val="-15"/>
          <w:w w:val="110"/>
        </w:rPr>
        <w:t> </w:t>
      </w:r>
      <w:r>
        <w:rPr>
          <w:color w:val="231F1F"/>
          <w:w w:val="110"/>
        </w:rPr>
        <w:t>cambio,</w:t>
      </w:r>
      <w:r>
        <w:rPr>
          <w:color w:val="231F1F"/>
          <w:spacing w:val="-15"/>
          <w:w w:val="110"/>
        </w:rPr>
        <w:t> </w:t>
      </w:r>
      <w:r>
        <w:rPr>
          <w:color w:val="231F1F"/>
          <w:w w:val="110"/>
        </w:rPr>
        <w:t>que</w:t>
      </w:r>
      <w:r>
        <w:rPr>
          <w:color w:val="231F1F"/>
          <w:spacing w:val="-15"/>
          <w:w w:val="110"/>
        </w:rPr>
        <w:t> </w:t>
      </w:r>
      <w:r>
        <w:rPr>
          <w:color w:val="231F1F"/>
          <w:w w:val="110"/>
        </w:rPr>
        <w:t>podríamos</w:t>
      </w:r>
      <w:r>
        <w:rPr>
          <w:color w:val="231F1F"/>
          <w:spacing w:val="-15"/>
          <w:w w:val="110"/>
        </w:rPr>
        <w:t> </w:t>
      </w:r>
      <w:r>
        <w:rPr>
          <w:color w:val="231F1F"/>
          <w:w w:val="110"/>
        </w:rPr>
        <w:t>denominar</w:t>
      </w:r>
      <w:r>
        <w:rPr>
          <w:color w:val="231F1F"/>
          <w:spacing w:val="-15"/>
          <w:w w:val="110"/>
        </w:rPr>
        <w:t> </w:t>
      </w:r>
      <w:r>
        <w:rPr>
          <w:color w:val="231F1F"/>
          <w:w w:val="110"/>
        </w:rPr>
        <w:t>paradigmá- </w:t>
      </w:r>
      <w:r>
        <w:rPr>
          <w:color w:val="231F1F"/>
          <w:spacing w:val="-2"/>
          <w:w w:val="110"/>
        </w:rPr>
        <w:t>tico,</w:t>
      </w:r>
      <w:r>
        <w:rPr>
          <w:color w:val="231F1F"/>
          <w:spacing w:val="-8"/>
          <w:w w:val="110"/>
        </w:rPr>
        <w:t> </w:t>
      </w:r>
      <w:r>
        <w:rPr>
          <w:color w:val="231F1F"/>
          <w:spacing w:val="-2"/>
          <w:w w:val="110"/>
        </w:rPr>
        <w:t>pretende</w:t>
      </w:r>
      <w:r>
        <w:rPr>
          <w:color w:val="231F1F"/>
          <w:spacing w:val="-8"/>
          <w:w w:val="110"/>
        </w:rPr>
        <w:t> </w:t>
      </w:r>
      <w:r>
        <w:rPr>
          <w:color w:val="231F1F"/>
          <w:spacing w:val="-2"/>
          <w:w w:val="110"/>
        </w:rPr>
        <w:t>un</w:t>
      </w:r>
      <w:r>
        <w:rPr>
          <w:color w:val="231F1F"/>
          <w:spacing w:val="-7"/>
          <w:w w:val="110"/>
        </w:rPr>
        <w:t> </w:t>
      </w:r>
      <w:r>
        <w:rPr>
          <w:color w:val="231F1F"/>
          <w:spacing w:val="-2"/>
          <w:w w:val="110"/>
        </w:rPr>
        <w:t>nuevo</w:t>
      </w:r>
      <w:r>
        <w:rPr>
          <w:color w:val="231F1F"/>
          <w:spacing w:val="-7"/>
          <w:w w:val="110"/>
        </w:rPr>
        <w:t> </w:t>
      </w:r>
      <w:r>
        <w:rPr>
          <w:color w:val="231F1F"/>
          <w:spacing w:val="-2"/>
          <w:w w:val="110"/>
        </w:rPr>
        <w:t>modelo</w:t>
      </w:r>
      <w:r>
        <w:rPr>
          <w:color w:val="231F1F"/>
          <w:spacing w:val="-7"/>
          <w:w w:val="110"/>
        </w:rPr>
        <w:t> </w:t>
      </w:r>
      <w:r>
        <w:rPr>
          <w:color w:val="231F1F"/>
          <w:spacing w:val="-2"/>
          <w:w w:val="110"/>
        </w:rPr>
        <w:t>cuyos</w:t>
      </w:r>
      <w:r>
        <w:rPr>
          <w:color w:val="231F1F"/>
          <w:spacing w:val="-7"/>
          <w:w w:val="110"/>
        </w:rPr>
        <w:t> </w:t>
      </w:r>
      <w:r>
        <w:rPr>
          <w:color w:val="231F1F"/>
          <w:spacing w:val="-2"/>
          <w:w w:val="110"/>
        </w:rPr>
        <w:t>principios</w:t>
      </w:r>
      <w:r>
        <w:rPr>
          <w:color w:val="231F1F"/>
          <w:spacing w:val="-8"/>
          <w:w w:val="110"/>
        </w:rPr>
        <w:t> </w:t>
      </w:r>
      <w:r>
        <w:rPr>
          <w:color w:val="231F1F"/>
          <w:spacing w:val="-2"/>
          <w:w w:val="110"/>
        </w:rPr>
        <w:t>rectores</w:t>
      </w:r>
      <w:r>
        <w:rPr>
          <w:color w:val="231F1F"/>
          <w:spacing w:val="-8"/>
          <w:w w:val="110"/>
        </w:rPr>
        <w:t> </w:t>
      </w:r>
      <w:r>
        <w:rPr>
          <w:color w:val="231F1F"/>
          <w:spacing w:val="-2"/>
          <w:w w:val="110"/>
        </w:rPr>
        <w:t>serían</w:t>
      </w:r>
      <w:r>
        <w:rPr>
          <w:color w:val="231F1F"/>
          <w:spacing w:val="-8"/>
          <w:w w:val="110"/>
        </w:rPr>
        <w:t> </w:t>
      </w:r>
      <w:r>
        <w:rPr>
          <w:color w:val="231F1F"/>
          <w:spacing w:val="-2"/>
          <w:w w:val="110"/>
        </w:rPr>
        <w:t>la</w:t>
      </w:r>
      <w:r>
        <w:rPr>
          <w:color w:val="231F1F"/>
          <w:spacing w:val="-7"/>
          <w:w w:val="110"/>
        </w:rPr>
        <w:t> </w:t>
      </w:r>
      <w:r>
        <w:rPr>
          <w:color w:val="231F1F"/>
          <w:spacing w:val="-2"/>
          <w:w w:val="110"/>
        </w:rPr>
        <w:t>consideración</w:t>
      </w:r>
      <w:r>
        <w:rPr>
          <w:color w:val="231F1F"/>
          <w:spacing w:val="-7"/>
          <w:w w:val="110"/>
        </w:rPr>
        <w:t> </w:t>
      </w:r>
      <w:r>
        <w:rPr>
          <w:color w:val="231F1F"/>
          <w:spacing w:val="-2"/>
          <w:w w:val="110"/>
        </w:rPr>
        <w:t>del</w:t>
      </w:r>
      <w:r>
        <w:rPr>
          <w:color w:val="231F1F"/>
          <w:spacing w:val="-8"/>
          <w:w w:val="110"/>
        </w:rPr>
        <w:t> </w:t>
      </w:r>
      <w:r>
        <w:rPr>
          <w:color w:val="231F1F"/>
          <w:spacing w:val="-2"/>
          <w:w w:val="110"/>
        </w:rPr>
        <w:t>parto </w:t>
      </w:r>
      <w:r>
        <w:rPr>
          <w:color w:val="231F1F"/>
          <w:w w:val="110"/>
        </w:rPr>
        <w:t>como</w:t>
      </w:r>
      <w:r>
        <w:rPr>
          <w:color w:val="231F1F"/>
          <w:spacing w:val="-14"/>
          <w:w w:val="110"/>
        </w:rPr>
        <w:t> </w:t>
      </w:r>
      <w:r>
        <w:rPr>
          <w:color w:val="231F1F"/>
          <w:w w:val="110"/>
        </w:rPr>
        <w:t>un</w:t>
      </w:r>
      <w:r>
        <w:rPr>
          <w:color w:val="231F1F"/>
          <w:spacing w:val="-14"/>
          <w:w w:val="110"/>
        </w:rPr>
        <w:t> </w:t>
      </w:r>
      <w:r>
        <w:rPr>
          <w:color w:val="231F1F"/>
          <w:w w:val="110"/>
        </w:rPr>
        <w:t>proceso</w:t>
      </w:r>
      <w:r>
        <w:rPr>
          <w:color w:val="231F1F"/>
          <w:spacing w:val="-14"/>
          <w:w w:val="110"/>
        </w:rPr>
        <w:t> </w:t>
      </w:r>
      <w:r>
        <w:rPr>
          <w:color w:val="231F1F"/>
          <w:w w:val="110"/>
        </w:rPr>
        <w:t>generalmente</w:t>
      </w:r>
      <w:r>
        <w:rPr>
          <w:color w:val="231F1F"/>
          <w:spacing w:val="-15"/>
          <w:w w:val="110"/>
        </w:rPr>
        <w:t> </w:t>
      </w:r>
      <w:r>
        <w:rPr>
          <w:color w:val="231F1F"/>
          <w:w w:val="110"/>
        </w:rPr>
        <w:t>fisiológico</w:t>
      </w:r>
      <w:r>
        <w:rPr>
          <w:color w:val="231F1F"/>
          <w:spacing w:val="-14"/>
          <w:w w:val="110"/>
        </w:rPr>
        <w:t> </w:t>
      </w:r>
      <w:r>
        <w:rPr>
          <w:color w:val="231F1F"/>
          <w:w w:val="110"/>
        </w:rPr>
        <w:t>y</w:t>
      </w:r>
      <w:r>
        <w:rPr>
          <w:color w:val="231F1F"/>
          <w:spacing w:val="-14"/>
          <w:w w:val="110"/>
        </w:rPr>
        <w:t> </w:t>
      </w:r>
      <w:r>
        <w:rPr>
          <w:color w:val="231F1F"/>
          <w:w w:val="110"/>
        </w:rPr>
        <w:t>la</w:t>
      </w:r>
      <w:r>
        <w:rPr>
          <w:color w:val="231F1F"/>
          <w:spacing w:val="-14"/>
          <w:w w:val="110"/>
        </w:rPr>
        <w:t> </w:t>
      </w:r>
      <w:r>
        <w:rPr>
          <w:color w:val="231F1F"/>
          <w:w w:val="110"/>
        </w:rPr>
        <w:t>pertinencia</w:t>
      </w:r>
      <w:r>
        <w:rPr>
          <w:color w:val="231F1F"/>
          <w:spacing w:val="-15"/>
          <w:w w:val="110"/>
        </w:rPr>
        <w:t> </w:t>
      </w:r>
      <w:r>
        <w:rPr>
          <w:color w:val="231F1F"/>
          <w:w w:val="110"/>
        </w:rPr>
        <w:t>de</w:t>
      </w:r>
      <w:r>
        <w:rPr>
          <w:color w:val="231F1F"/>
          <w:spacing w:val="-14"/>
          <w:w w:val="110"/>
        </w:rPr>
        <w:t> </w:t>
      </w:r>
      <w:r>
        <w:rPr>
          <w:color w:val="231F1F"/>
          <w:w w:val="110"/>
        </w:rPr>
        <w:t>ofrecer</w:t>
      </w:r>
      <w:r>
        <w:rPr>
          <w:color w:val="231F1F"/>
          <w:spacing w:val="-15"/>
          <w:w w:val="110"/>
        </w:rPr>
        <w:t> </w:t>
      </w:r>
      <w:r>
        <w:rPr>
          <w:color w:val="231F1F"/>
          <w:w w:val="110"/>
        </w:rPr>
        <w:t>una</w:t>
      </w:r>
      <w:r>
        <w:rPr>
          <w:color w:val="231F1F"/>
          <w:spacing w:val="-14"/>
          <w:w w:val="110"/>
        </w:rPr>
        <w:t> </w:t>
      </w:r>
      <w:r>
        <w:rPr>
          <w:color w:val="231F1F"/>
          <w:w w:val="110"/>
        </w:rPr>
        <w:t>atención</w:t>
      </w:r>
      <w:r>
        <w:rPr>
          <w:color w:val="231F1F"/>
          <w:spacing w:val="-14"/>
          <w:w w:val="110"/>
        </w:rPr>
        <w:t> </w:t>
      </w:r>
      <w:r>
        <w:rPr>
          <w:color w:val="231F1F"/>
          <w:w w:val="110"/>
        </w:rPr>
        <w:t>perso- nalizada e integral que contemple tanto los aspectos biológicos como los emocionales</w:t>
      </w:r>
      <w:r>
        <w:rPr>
          <w:color w:val="231F1F"/>
          <w:spacing w:val="-2"/>
          <w:w w:val="110"/>
        </w:rPr>
        <w:t> </w:t>
      </w:r>
      <w:r>
        <w:rPr>
          <w:color w:val="231F1F"/>
          <w:w w:val="110"/>
        </w:rPr>
        <w:t>y </w:t>
      </w:r>
      <w:r>
        <w:rPr>
          <w:color w:val="231F1F"/>
          <w:spacing w:val="-2"/>
          <w:w w:val="110"/>
        </w:rPr>
        <w:t>familiares,</w:t>
      </w:r>
      <w:r>
        <w:rPr>
          <w:color w:val="231F1F"/>
          <w:spacing w:val="-10"/>
          <w:w w:val="110"/>
        </w:rPr>
        <w:t> </w:t>
      </w:r>
      <w:r>
        <w:rPr>
          <w:color w:val="231F1F"/>
          <w:spacing w:val="-2"/>
          <w:w w:val="110"/>
        </w:rPr>
        <w:t>basada</w:t>
      </w:r>
      <w:r>
        <w:rPr>
          <w:color w:val="231F1F"/>
          <w:spacing w:val="-10"/>
          <w:w w:val="110"/>
        </w:rPr>
        <w:t> </w:t>
      </w:r>
      <w:r>
        <w:rPr>
          <w:color w:val="231F1F"/>
          <w:spacing w:val="-2"/>
          <w:w w:val="110"/>
        </w:rPr>
        <w:t>en</w:t>
      </w:r>
      <w:r>
        <w:rPr>
          <w:color w:val="231F1F"/>
          <w:spacing w:val="-10"/>
          <w:w w:val="110"/>
        </w:rPr>
        <w:t> </w:t>
      </w:r>
      <w:r>
        <w:rPr>
          <w:color w:val="231F1F"/>
          <w:spacing w:val="-2"/>
          <w:w w:val="110"/>
        </w:rPr>
        <w:t>la</w:t>
      </w:r>
      <w:r>
        <w:rPr>
          <w:color w:val="231F1F"/>
          <w:spacing w:val="-10"/>
          <w:w w:val="110"/>
        </w:rPr>
        <w:t> </w:t>
      </w:r>
      <w:r>
        <w:rPr>
          <w:color w:val="231F1F"/>
          <w:spacing w:val="-2"/>
          <w:w w:val="110"/>
        </w:rPr>
        <w:t>evidencia</w:t>
      </w:r>
      <w:r>
        <w:rPr>
          <w:color w:val="231F1F"/>
          <w:spacing w:val="-10"/>
          <w:w w:val="110"/>
        </w:rPr>
        <w:t> </w:t>
      </w:r>
      <w:r>
        <w:rPr>
          <w:color w:val="231F1F"/>
          <w:spacing w:val="-2"/>
          <w:w w:val="110"/>
        </w:rPr>
        <w:t>científica</w:t>
      </w:r>
      <w:r>
        <w:rPr>
          <w:color w:val="231F1F"/>
          <w:spacing w:val="-10"/>
          <w:w w:val="110"/>
        </w:rPr>
        <w:t> </w:t>
      </w:r>
      <w:r>
        <w:rPr>
          <w:color w:val="231F1F"/>
          <w:spacing w:val="-2"/>
          <w:w w:val="110"/>
        </w:rPr>
        <w:t>y</w:t>
      </w:r>
      <w:r>
        <w:rPr>
          <w:color w:val="231F1F"/>
          <w:spacing w:val="-10"/>
          <w:w w:val="110"/>
        </w:rPr>
        <w:t> </w:t>
      </w:r>
      <w:r>
        <w:rPr>
          <w:color w:val="231F1F"/>
          <w:spacing w:val="-2"/>
          <w:w w:val="110"/>
        </w:rPr>
        <w:t>respetuosa</w:t>
      </w:r>
      <w:r>
        <w:rPr>
          <w:color w:val="231F1F"/>
          <w:spacing w:val="-9"/>
          <w:w w:val="110"/>
        </w:rPr>
        <w:t> </w:t>
      </w:r>
      <w:r>
        <w:rPr>
          <w:color w:val="231F1F"/>
          <w:spacing w:val="-2"/>
          <w:w w:val="110"/>
        </w:rPr>
        <w:t>con</w:t>
      </w:r>
      <w:r>
        <w:rPr>
          <w:color w:val="231F1F"/>
          <w:spacing w:val="-9"/>
          <w:w w:val="110"/>
        </w:rPr>
        <w:t> </w:t>
      </w:r>
      <w:r>
        <w:rPr>
          <w:color w:val="231F1F"/>
          <w:spacing w:val="-2"/>
          <w:w w:val="110"/>
        </w:rPr>
        <w:t>el</w:t>
      </w:r>
      <w:r>
        <w:rPr>
          <w:color w:val="231F1F"/>
          <w:spacing w:val="-10"/>
          <w:w w:val="110"/>
        </w:rPr>
        <w:t> </w:t>
      </w:r>
      <w:r>
        <w:rPr>
          <w:color w:val="231F1F"/>
          <w:spacing w:val="-2"/>
          <w:w w:val="110"/>
        </w:rPr>
        <w:t>protagonismo</w:t>
      </w:r>
      <w:r>
        <w:rPr>
          <w:color w:val="231F1F"/>
          <w:spacing w:val="-10"/>
          <w:w w:val="110"/>
        </w:rPr>
        <w:t> </w:t>
      </w:r>
      <w:r>
        <w:rPr>
          <w:color w:val="231F1F"/>
          <w:spacing w:val="-2"/>
          <w:w w:val="110"/>
        </w:rPr>
        <w:t>y</w:t>
      </w:r>
      <w:r>
        <w:rPr>
          <w:color w:val="231F1F"/>
          <w:spacing w:val="-10"/>
          <w:w w:val="110"/>
        </w:rPr>
        <w:t> </w:t>
      </w:r>
      <w:r>
        <w:rPr>
          <w:color w:val="231F1F"/>
          <w:spacing w:val="-2"/>
          <w:w w:val="110"/>
        </w:rPr>
        <w:t>el</w:t>
      </w:r>
      <w:r>
        <w:rPr>
          <w:color w:val="231F1F"/>
          <w:spacing w:val="-10"/>
          <w:w w:val="110"/>
        </w:rPr>
        <w:t> </w:t>
      </w:r>
      <w:r>
        <w:rPr>
          <w:color w:val="231F1F"/>
          <w:spacing w:val="-2"/>
          <w:w w:val="110"/>
        </w:rPr>
        <w:t>derecho </w:t>
      </w:r>
      <w:r>
        <w:rPr>
          <w:color w:val="231F1F"/>
          <w:w w:val="110"/>
        </w:rPr>
        <w:t>a la información y a la toma de decisiones informadas que la legislación reconoce a las </w:t>
      </w:r>
      <w:r>
        <w:rPr>
          <w:color w:val="231F1F"/>
          <w:spacing w:val="-2"/>
          <w:w w:val="110"/>
        </w:rPr>
        <w:t>mujeres.</w:t>
      </w:r>
    </w:p>
    <w:p>
      <w:pPr>
        <w:pStyle w:val="BodyText"/>
        <w:spacing w:line="249" w:lineRule="auto" w:before="137"/>
        <w:ind w:left="283" w:right="118" w:firstLine="453"/>
        <w:jc w:val="both"/>
      </w:pPr>
      <w:r>
        <w:rPr>
          <w:color w:val="231F1F"/>
          <w:w w:val="105"/>
        </w:rPr>
        <w:t>Esta guía va a examinar la evidencia a favor o en contra de las prácticas más comunes relacionadas con la atención al parto normal. Se ha elaborado con el propósito de orientar sobre los mejores cuidados a proporcionar a las mujeres sanas y sus bebés durante el parto</w:t>
      </w:r>
      <w:r>
        <w:rPr>
          <w:color w:val="231F1F"/>
          <w:spacing w:val="80"/>
          <w:w w:val="105"/>
        </w:rPr>
        <w:t> </w:t>
      </w:r>
      <w:r>
        <w:rPr>
          <w:color w:val="231F1F"/>
          <w:w w:val="105"/>
        </w:rPr>
        <w:t>y</w:t>
      </w:r>
      <w:r>
        <w:rPr>
          <w:color w:val="231F1F"/>
          <w:w w:val="105"/>
        </w:rPr>
        <w:t> el</w:t>
      </w:r>
      <w:r>
        <w:rPr>
          <w:color w:val="231F1F"/>
          <w:w w:val="105"/>
        </w:rPr>
        <w:t> nacimiento,</w:t>
      </w:r>
      <w:r>
        <w:rPr>
          <w:color w:val="231F1F"/>
          <w:w w:val="105"/>
        </w:rPr>
        <w:t> estableciendo</w:t>
      </w:r>
      <w:r>
        <w:rPr>
          <w:color w:val="231F1F"/>
          <w:w w:val="105"/>
        </w:rPr>
        <w:t> recomendaciones</w:t>
      </w:r>
      <w:r>
        <w:rPr>
          <w:color w:val="231F1F"/>
          <w:w w:val="105"/>
        </w:rPr>
        <w:t> basadas</w:t>
      </w:r>
      <w:r>
        <w:rPr>
          <w:color w:val="231F1F"/>
          <w:w w:val="105"/>
        </w:rPr>
        <w:t> en</w:t>
      </w:r>
      <w:r>
        <w:rPr>
          <w:color w:val="231F1F"/>
          <w:w w:val="105"/>
        </w:rPr>
        <w:t> la</w:t>
      </w:r>
      <w:r>
        <w:rPr>
          <w:color w:val="231F1F"/>
          <w:w w:val="105"/>
        </w:rPr>
        <w:t> evidencia</w:t>
      </w:r>
      <w:r>
        <w:rPr>
          <w:color w:val="231F1F"/>
          <w:w w:val="105"/>
        </w:rPr>
        <w:t> y</w:t>
      </w:r>
      <w:r>
        <w:rPr>
          <w:color w:val="231F1F"/>
          <w:w w:val="105"/>
        </w:rPr>
        <w:t> su</w:t>
      </w:r>
      <w:r>
        <w:rPr>
          <w:color w:val="231F1F"/>
          <w:w w:val="105"/>
        </w:rPr>
        <w:t> evaluación razonada.</w:t>
      </w:r>
      <w:r>
        <w:rPr>
          <w:color w:val="231F1F"/>
          <w:spacing w:val="40"/>
          <w:w w:val="105"/>
        </w:rPr>
        <w:t> </w:t>
      </w:r>
      <w:r>
        <w:rPr>
          <w:color w:val="231F1F"/>
          <w:w w:val="105"/>
        </w:rPr>
        <w:t>En</w:t>
      </w:r>
      <w:r>
        <w:rPr>
          <w:color w:val="231F1F"/>
          <w:spacing w:val="40"/>
          <w:w w:val="105"/>
        </w:rPr>
        <w:t> </w:t>
      </w:r>
      <w:r>
        <w:rPr>
          <w:color w:val="231F1F"/>
          <w:w w:val="105"/>
        </w:rPr>
        <w:t>ningún</w:t>
      </w:r>
      <w:r>
        <w:rPr>
          <w:color w:val="231F1F"/>
          <w:spacing w:val="40"/>
          <w:w w:val="105"/>
        </w:rPr>
        <w:t> </w:t>
      </w:r>
      <w:r>
        <w:rPr>
          <w:color w:val="231F1F"/>
          <w:w w:val="105"/>
        </w:rPr>
        <w:t>caso</w:t>
      </w:r>
      <w:r>
        <w:rPr>
          <w:color w:val="231F1F"/>
          <w:spacing w:val="40"/>
          <w:w w:val="105"/>
        </w:rPr>
        <w:t> </w:t>
      </w:r>
      <w:r>
        <w:rPr>
          <w:color w:val="231F1F"/>
          <w:w w:val="105"/>
        </w:rPr>
        <w:t>pretende</w:t>
      </w:r>
      <w:r>
        <w:rPr>
          <w:color w:val="231F1F"/>
          <w:spacing w:val="40"/>
          <w:w w:val="105"/>
        </w:rPr>
        <w:t> </w:t>
      </w:r>
      <w:r>
        <w:rPr>
          <w:color w:val="231F1F"/>
          <w:w w:val="105"/>
        </w:rPr>
        <w:t>sustituir</w:t>
      </w:r>
      <w:r>
        <w:rPr>
          <w:color w:val="231F1F"/>
          <w:spacing w:val="40"/>
          <w:w w:val="105"/>
        </w:rPr>
        <w:t> </w:t>
      </w:r>
      <w:r>
        <w:rPr>
          <w:color w:val="231F1F"/>
          <w:w w:val="105"/>
        </w:rPr>
        <w:t>el</w:t>
      </w:r>
      <w:r>
        <w:rPr>
          <w:color w:val="231F1F"/>
          <w:spacing w:val="40"/>
          <w:w w:val="105"/>
        </w:rPr>
        <w:t> </w:t>
      </w:r>
      <w:r>
        <w:rPr>
          <w:color w:val="231F1F"/>
          <w:w w:val="105"/>
        </w:rPr>
        <w:t>juicio</w:t>
      </w:r>
      <w:r>
        <w:rPr>
          <w:color w:val="231F1F"/>
          <w:spacing w:val="40"/>
          <w:w w:val="105"/>
        </w:rPr>
        <w:t> </w:t>
      </w:r>
      <w:r>
        <w:rPr>
          <w:color w:val="231F1F"/>
          <w:w w:val="105"/>
        </w:rPr>
        <w:t>clínico</w:t>
      </w:r>
      <w:r>
        <w:rPr>
          <w:color w:val="231F1F"/>
          <w:spacing w:val="40"/>
          <w:w w:val="105"/>
        </w:rPr>
        <w:t> </w:t>
      </w:r>
      <w:r>
        <w:rPr>
          <w:color w:val="231F1F"/>
          <w:w w:val="105"/>
        </w:rPr>
        <w:t>de</w:t>
      </w:r>
      <w:r>
        <w:rPr>
          <w:color w:val="231F1F"/>
          <w:spacing w:val="40"/>
          <w:w w:val="105"/>
        </w:rPr>
        <w:t> </w:t>
      </w:r>
      <w:r>
        <w:rPr>
          <w:color w:val="231F1F"/>
          <w:w w:val="105"/>
        </w:rPr>
        <w:t>los</w:t>
      </w:r>
      <w:r>
        <w:rPr>
          <w:color w:val="231F1F"/>
          <w:spacing w:val="40"/>
          <w:w w:val="105"/>
        </w:rPr>
        <w:t> </w:t>
      </w:r>
      <w:r>
        <w:rPr>
          <w:color w:val="231F1F"/>
          <w:w w:val="105"/>
        </w:rPr>
        <w:t>profesionales.</w:t>
      </w:r>
    </w:p>
    <w:p>
      <w:pPr>
        <w:pStyle w:val="BodyText"/>
        <w:spacing w:after="0" w:line="249" w:lineRule="auto"/>
        <w:jc w:val="both"/>
        <w:sectPr>
          <w:pgSz w:w="11900" w:h="16840"/>
          <w:pgMar w:header="0" w:footer="622" w:top="1560" w:bottom="82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51" w:id="5"/>
      <w:r>
        <w:rPr>
          <w:color w:val="231F1F"/>
          <w:w w:val="105"/>
        </w:rPr>
        <w:t>Alcance</w:t>
      </w:r>
      <w:r>
        <w:rPr>
          <w:color w:val="231F1F"/>
          <w:spacing w:val="-3"/>
          <w:w w:val="105"/>
        </w:rPr>
        <w:t> </w:t>
      </w:r>
      <w:r>
        <w:rPr>
          <w:color w:val="231F1F"/>
          <w:w w:val="105"/>
        </w:rPr>
        <w:t>y</w:t>
      </w:r>
      <w:r>
        <w:rPr>
          <w:color w:val="231F1F"/>
          <w:spacing w:val="-1"/>
          <w:w w:val="105"/>
        </w:rPr>
        <w:t> </w:t>
      </w:r>
      <w:bookmarkEnd w:id="5"/>
      <w:r>
        <w:rPr>
          <w:color w:val="231F1F"/>
          <w:spacing w:val="-2"/>
          <w:w w:val="105"/>
        </w:rPr>
        <w:t>objetivos</w:t>
      </w:r>
    </w:p>
    <w:p>
      <w:pPr>
        <w:pStyle w:val="BodyText"/>
        <w:spacing w:before="81"/>
        <w:rPr>
          <w:sz w:val="50"/>
        </w:rPr>
      </w:pPr>
    </w:p>
    <w:p>
      <w:pPr>
        <w:pStyle w:val="BodyText"/>
        <w:spacing w:line="252" w:lineRule="auto"/>
        <w:ind w:left="283" w:right="122"/>
        <w:jc w:val="both"/>
      </w:pPr>
      <w:r>
        <w:rPr>
          <w:color w:val="231F1F"/>
          <w:w w:val="110"/>
        </w:rPr>
        <w:t>El</w:t>
      </w:r>
      <w:r>
        <w:rPr>
          <w:color w:val="231F1F"/>
          <w:spacing w:val="-12"/>
          <w:w w:val="110"/>
        </w:rPr>
        <w:t> </w:t>
      </w:r>
      <w:r>
        <w:rPr>
          <w:color w:val="231F1F"/>
          <w:w w:val="110"/>
        </w:rPr>
        <w:t>Alcance</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1"/>
          <w:w w:val="110"/>
        </w:rPr>
        <w:t> </w:t>
      </w:r>
      <w:r>
        <w:rPr>
          <w:color w:val="231F1F"/>
          <w:w w:val="110"/>
        </w:rPr>
        <w:t>Guía</w:t>
      </w:r>
      <w:r>
        <w:rPr>
          <w:color w:val="231F1F"/>
          <w:spacing w:val="-11"/>
          <w:w w:val="110"/>
        </w:rPr>
        <w:t> </w:t>
      </w:r>
      <w:r>
        <w:rPr>
          <w:color w:val="231F1F"/>
          <w:w w:val="110"/>
        </w:rPr>
        <w:t>ha</w:t>
      </w:r>
      <w:r>
        <w:rPr>
          <w:color w:val="231F1F"/>
          <w:spacing w:val="-12"/>
          <w:w w:val="110"/>
        </w:rPr>
        <w:t> </w:t>
      </w:r>
      <w:r>
        <w:rPr>
          <w:color w:val="231F1F"/>
          <w:w w:val="110"/>
        </w:rPr>
        <w:t>venido</w:t>
      </w:r>
      <w:r>
        <w:rPr>
          <w:color w:val="231F1F"/>
          <w:spacing w:val="-12"/>
          <w:w w:val="110"/>
        </w:rPr>
        <w:t> </w:t>
      </w:r>
      <w:r>
        <w:rPr>
          <w:color w:val="231F1F"/>
          <w:w w:val="110"/>
        </w:rPr>
        <w:t>dado</w:t>
      </w:r>
      <w:r>
        <w:rPr>
          <w:color w:val="231F1F"/>
          <w:spacing w:val="-12"/>
          <w:w w:val="110"/>
        </w:rPr>
        <w:t> </w:t>
      </w:r>
      <w:r>
        <w:rPr>
          <w:color w:val="231F1F"/>
          <w:w w:val="110"/>
        </w:rPr>
        <w:t>por</w:t>
      </w:r>
      <w:r>
        <w:rPr>
          <w:color w:val="231F1F"/>
          <w:spacing w:val="-12"/>
          <w:w w:val="110"/>
        </w:rPr>
        <w:t> </w:t>
      </w:r>
      <w:r>
        <w:rPr>
          <w:color w:val="231F1F"/>
          <w:w w:val="110"/>
        </w:rPr>
        <w:t>la</w:t>
      </w:r>
      <w:r>
        <w:rPr>
          <w:color w:val="231F1F"/>
          <w:spacing w:val="-12"/>
          <w:w w:val="110"/>
        </w:rPr>
        <w:t> </w:t>
      </w:r>
      <w:r>
        <w:rPr>
          <w:color w:val="231F1F"/>
          <w:w w:val="110"/>
        </w:rPr>
        <w:t>Estrategia</w:t>
      </w:r>
      <w:r>
        <w:rPr>
          <w:color w:val="231F1F"/>
          <w:spacing w:val="-11"/>
          <w:w w:val="110"/>
        </w:rPr>
        <w:t> </w:t>
      </w:r>
      <w:r>
        <w:rPr>
          <w:color w:val="231F1F"/>
          <w:w w:val="110"/>
        </w:rPr>
        <w:t>de</w:t>
      </w:r>
      <w:r>
        <w:rPr>
          <w:color w:val="231F1F"/>
          <w:spacing w:val="-12"/>
          <w:w w:val="110"/>
        </w:rPr>
        <w:t> </w:t>
      </w:r>
      <w:r>
        <w:rPr>
          <w:color w:val="231F1F"/>
          <w:w w:val="110"/>
        </w:rPr>
        <w:t>Atención</w:t>
      </w:r>
      <w:r>
        <w:rPr>
          <w:color w:val="231F1F"/>
          <w:spacing w:val="-11"/>
          <w:w w:val="110"/>
        </w:rPr>
        <w:t> </w:t>
      </w:r>
      <w:r>
        <w:rPr>
          <w:color w:val="231F1F"/>
          <w:w w:val="110"/>
        </w:rPr>
        <w:t>al</w:t>
      </w:r>
      <w:r>
        <w:rPr>
          <w:color w:val="231F1F"/>
          <w:spacing w:val="-12"/>
          <w:w w:val="110"/>
        </w:rPr>
        <w:t> </w:t>
      </w:r>
      <w:r>
        <w:rPr>
          <w:color w:val="231F1F"/>
          <w:w w:val="110"/>
        </w:rPr>
        <w:t>Parto</w:t>
      </w:r>
      <w:r>
        <w:rPr>
          <w:color w:val="231F1F"/>
          <w:spacing w:val="-11"/>
          <w:w w:val="110"/>
        </w:rPr>
        <w:t> </w:t>
      </w:r>
      <w:r>
        <w:rPr>
          <w:color w:val="231F1F"/>
          <w:w w:val="110"/>
        </w:rPr>
        <w:t>Normal</w:t>
      </w:r>
      <w:r>
        <w:rPr>
          <w:color w:val="231F1F"/>
          <w:spacing w:val="-12"/>
          <w:w w:val="110"/>
        </w:rPr>
        <w:t> </w:t>
      </w:r>
      <w:r>
        <w:rPr>
          <w:color w:val="231F1F"/>
          <w:w w:val="110"/>
        </w:rPr>
        <w:t>en</w:t>
      </w:r>
      <w:r>
        <w:rPr>
          <w:color w:val="231F1F"/>
          <w:spacing w:val="-11"/>
          <w:w w:val="110"/>
        </w:rPr>
        <w:t> </w:t>
      </w:r>
      <w:r>
        <w:rPr>
          <w:color w:val="231F1F"/>
          <w:w w:val="110"/>
        </w:rPr>
        <w:t>el Sistema</w:t>
      </w:r>
      <w:r>
        <w:rPr>
          <w:color w:val="231F1F"/>
          <w:spacing w:val="-5"/>
          <w:w w:val="110"/>
        </w:rPr>
        <w:t> </w:t>
      </w:r>
      <w:r>
        <w:rPr>
          <w:color w:val="231F1F"/>
          <w:w w:val="110"/>
        </w:rPr>
        <w:t>Nacional</w:t>
      </w:r>
      <w:r>
        <w:rPr>
          <w:color w:val="231F1F"/>
          <w:spacing w:val="-5"/>
          <w:w w:val="110"/>
        </w:rPr>
        <w:t> </w:t>
      </w:r>
      <w:r>
        <w:rPr>
          <w:color w:val="231F1F"/>
          <w:w w:val="110"/>
        </w:rPr>
        <w:t>de</w:t>
      </w:r>
      <w:r>
        <w:rPr>
          <w:color w:val="231F1F"/>
          <w:spacing w:val="-5"/>
          <w:w w:val="110"/>
        </w:rPr>
        <w:t> </w:t>
      </w:r>
      <w:r>
        <w:rPr>
          <w:color w:val="231F1F"/>
          <w:w w:val="110"/>
        </w:rPr>
        <w:t>Salud</w:t>
      </w:r>
      <w:r>
        <w:rPr>
          <w:color w:val="231F1F"/>
          <w:spacing w:val="-5"/>
          <w:w w:val="110"/>
        </w:rPr>
        <w:t> </w:t>
      </w:r>
      <w:r>
        <w:rPr>
          <w:color w:val="231F1F"/>
          <w:w w:val="110"/>
        </w:rPr>
        <w:t>(SNS)(5)</w:t>
      </w:r>
      <w:r>
        <w:rPr>
          <w:color w:val="231F1F"/>
          <w:spacing w:val="-5"/>
          <w:w w:val="110"/>
        </w:rPr>
        <w:t> </w:t>
      </w:r>
      <w:r>
        <w:rPr>
          <w:color w:val="231F1F"/>
          <w:w w:val="110"/>
        </w:rPr>
        <w:t>elaborada</w:t>
      </w:r>
      <w:r>
        <w:rPr>
          <w:color w:val="231F1F"/>
          <w:spacing w:val="-4"/>
          <w:w w:val="110"/>
        </w:rPr>
        <w:t> </w:t>
      </w:r>
      <w:r>
        <w:rPr>
          <w:color w:val="231F1F"/>
          <w:w w:val="110"/>
        </w:rPr>
        <w:t>por</w:t>
      </w:r>
      <w:r>
        <w:rPr>
          <w:color w:val="231F1F"/>
          <w:spacing w:val="-5"/>
          <w:w w:val="110"/>
        </w:rPr>
        <w:t> </w:t>
      </w:r>
      <w:r>
        <w:rPr>
          <w:color w:val="231F1F"/>
          <w:w w:val="110"/>
        </w:rPr>
        <w:t>el</w:t>
      </w:r>
      <w:r>
        <w:rPr>
          <w:color w:val="231F1F"/>
          <w:spacing w:val="-5"/>
          <w:w w:val="110"/>
        </w:rPr>
        <w:t> </w:t>
      </w:r>
      <w:r>
        <w:rPr>
          <w:color w:val="231F1F"/>
          <w:w w:val="110"/>
        </w:rPr>
        <w:t>Ministerio</w:t>
      </w:r>
      <w:r>
        <w:rPr>
          <w:color w:val="231F1F"/>
          <w:spacing w:val="-5"/>
          <w:w w:val="110"/>
        </w:rPr>
        <w:t> </w:t>
      </w:r>
      <w:r>
        <w:rPr>
          <w:color w:val="231F1F"/>
          <w:w w:val="110"/>
        </w:rPr>
        <w:t>de</w:t>
      </w:r>
      <w:r>
        <w:rPr>
          <w:color w:val="231F1F"/>
          <w:spacing w:val="-5"/>
          <w:w w:val="110"/>
        </w:rPr>
        <w:t> </w:t>
      </w:r>
      <w:r>
        <w:rPr>
          <w:color w:val="231F1F"/>
          <w:w w:val="110"/>
        </w:rPr>
        <w:t>Sanidad</w:t>
      </w:r>
      <w:r>
        <w:rPr>
          <w:color w:val="231F1F"/>
          <w:spacing w:val="-5"/>
          <w:w w:val="110"/>
        </w:rPr>
        <w:t> </w:t>
      </w:r>
      <w:r>
        <w:rPr>
          <w:color w:val="231F1F"/>
          <w:w w:val="110"/>
        </w:rPr>
        <w:t>y</w:t>
      </w:r>
      <w:r>
        <w:rPr>
          <w:color w:val="231F1F"/>
          <w:spacing w:val="-4"/>
          <w:w w:val="110"/>
        </w:rPr>
        <w:t> </w:t>
      </w:r>
      <w:r>
        <w:rPr>
          <w:color w:val="231F1F"/>
          <w:w w:val="110"/>
        </w:rPr>
        <w:t>Consumo </w:t>
      </w:r>
      <w:r>
        <w:rPr>
          <w:color w:val="231F1F"/>
        </w:rPr>
        <w:t>en</w:t>
      </w:r>
      <w:r>
        <w:rPr>
          <w:color w:val="231F1F"/>
          <w:spacing w:val="40"/>
        </w:rPr>
        <w:t> </w:t>
      </w:r>
      <w:r>
        <w:rPr>
          <w:color w:val="231F1F"/>
        </w:rPr>
        <w:t>colaboración</w:t>
      </w:r>
      <w:r>
        <w:rPr>
          <w:color w:val="231F1F"/>
          <w:spacing w:val="40"/>
        </w:rPr>
        <w:t> </w:t>
      </w:r>
      <w:r>
        <w:rPr>
          <w:color w:val="231F1F"/>
        </w:rPr>
        <w:t>con</w:t>
      </w:r>
      <w:r>
        <w:rPr>
          <w:color w:val="231F1F"/>
          <w:spacing w:val="40"/>
        </w:rPr>
        <w:t> </w:t>
      </w:r>
      <w:r>
        <w:rPr>
          <w:color w:val="231F1F"/>
        </w:rPr>
        <w:t>las</w:t>
      </w:r>
      <w:r>
        <w:rPr>
          <w:color w:val="231F1F"/>
          <w:spacing w:val="40"/>
        </w:rPr>
        <w:t> </w:t>
      </w:r>
      <w:r>
        <w:rPr>
          <w:color w:val="231F1F"/>
        </w:rPr>
        <w:t>Comunidades</w:t>
      </w:r>
      <w:r>
        <w:rPr>
          <w:color w:val="231F1F"/>
          <w:spacing w:val="40"/>
        </w:rPr>
        <w:t> </w:t>
      </w:r>
      <w:r>
        <w:rPr>
          <w:color w:val="231F1F"/>
        </w:rPr>
        <w:t>Autónomas,</w:t>
      </w:r>
      <w:r>
        <w:rPr>
          <w:color w:val="231F1F"/>
          <w:spacing w:val="40"/>
        </w:rPr>
        <w:t> </w:t>
      </w:r>
      <w:r>
        <w:rPr>
          <w:color w:val="231F1F"/>
        </w:rPr>
        <w:t>Sociedades</w:t>
      </w:r>
      <w:r>
        <w:rPr>
          <w:color w:val="231F1F"/>
          <w:spacing w:val="40"/>
        </w:rPr>
        <w:t> </w:t>
      </w:r>
      <w:r>
        <w:rPr>
          <w:color w:val="231F1F"/>
        </w:rPr>
        <w:t>Científicas</w:t>
      </w:r>
      <w:r>
        <w:rPr>
          <w:color w:val="231F1F"/>
          <w:spacing w:val="40"/>
        </w:rPr>
        <w:t> </w:t>
      </w:r>
      <w:r>
        <w:rPr>
          <w:color w:val="231F1F"/>
        </w:rPr>
        <w:t>y</w:t>
      </w:r>
      <w:r>
        <w:rPr>
          <w:color w:val="231F1F"/>
          <w:spacing w:val="40"/>
        </w:rPr>
        <w:t> </w:t>
      </w:r>
      <w:r>
        <w:rPr>
          <w:color w:val="231F1F"/>
        </w:rPr>
        <w:t>con</w:t>
      </w:r>
      <w:r>
        <w:rPr>
          <w:color w:val="231F1F"/>
          <w:spacing w:val="40"/>
        </w:rPr>
        <w:t> </w:t>
      </w:r>
      <w:r>
        <w:rPr>
          <w:color w:val="231F1F"/>
        </w:rPr>
        <w:t>el</w:t>
      </w:r>
      <w:r>
        <w:rPr>
          <w:color w:val="231F1F"/>
          <w:spacing w:val="40"/>
        </w:rPr>
        <w:t> </w:t>
      </w:r>
      <w:r>
        <w:rPr>
          <w:color w:val="231F1F"/>
        </w:rPr>
        <w:t>soporte </w:t>
      </w:r>
      <w:r>
        <w:rPr>
          <w:color w:val="231F1F"/>
          <w:w w:val="110"/>
        </w:rPr>
        <w:t>del Observatorio de Salud de la Mujer.</w:t>
      </w:r>
    </w:p>
    <w:p>
      <w:pPr>
        <w:pStyle w:val="BodyText"/>
        <w:spacing w:line="249" w:lineRule="auto" w:before="133"/>
        <w:ind w:left="283" w:right="118" w:firstLine="453"/>
        <w:jc w:val="both"/>
      </w:pPr>
      <w:r>
        <w:rPr>
          <w:color w:val="231F1F"/>
          <w:w w:val="105"/>
        </w:rPr>
        <w:t>Una de sus directrices fue la elaboración de una Guía de Práctica Clínica basada en la evidencia científica con participación amplia de profesionales, Sociedades Científicas y de mujeres</w:t>
      </w:r>
      <w:r>
        <w:rPr>
          <w:color w:val="231F1F"/>
          <w:spacing w:val="40"/>
          <w:w w:val="105"/>
        </w:rPr>
        <w:t> </w:t>
      </w:r>
      <w:r>
        <w:rPr>
          <w:color w:val="231F1F"/>
          <w:w w:val="105"/>
        </w:rPr>
        <w:t>a</w:t>
      </w:r>
      <w:r>
        <w:rPr>
          <w:color w:val="231F1F"/>
          <w:spacing w:val="40"/>
          <w:w w:val="105"/>
        </w:rPr>
        <w:t> </w:t>
      </w:r>
      <w:r>
        <w:rPr>
          <w:color w:val="231F1F"/>
          <w:w w:val="105"/>
        </w:rPr>
        <w:t>través</w:t>
      </w:r>
      <w:r>
        <w:rPr>
          <w:color w:val="231F1F"/>
          <w:spacing w:val="40"/>
          <w:w w:val="105"/>
        </w:rPr>
        <w:t> </w:t>
      </w:r>
      <w:r>
        <w:rPr>
          <w:color w:val="231F1F"/>
          <w:w w:val="105"/>
        </w:rPr>
        <w:t>de</w:t>
      </w:r>
      <w:r>
        <w:rPr>
          <w:color w:val="231F1F"/>
          <w:spacing w:val="40"/>
          <w:w w:val="105"/>
        </w:rPr>
        <w:t> </w:t>
      </w:r>
      <w:r>
        <w:rPr>
          <w:color w:val="231F1F"/>
          <w:w w:val="105"/>
        </w:rPr>
        <w:t>las</w:t>
      </w:r>
      <w:r>
        <w:rPr>
          <w:color w:val="231F1F"/>
          <w:spacing w:val="40"/>
          <w:w w:val="105"/>
        </w:rPr>
        <w:t> </w:t>
      </w:r>
      <w:r>
        <w:rPr>
          <w:color w:val="231F1F"/>
          <w:w w:val="105"/>
        </w:rPr>
        <w:t>asociaciones</w:t>
      </w:r>
      <w:r>
        <w:rPr>
          <w:color w:val="231F1F"/>
          <w:spacing w:val="40"/>
          <w:w w:val="105"/>
        </w:rPr>
        <w:t> </w:t>
      </w:r>
      <w:r>
        <w:rPr>
          <w:color w:val="231F1F"/>
          <w:w w:val="105"/>
        </w:rPr>
        <w:t>que</w:t>
      </w:r>
      <w:r>
        <w:rPr>
          <w:color w:val="231F1F"/>
          <w:spacing w:val="40"/>
          <w:w w:val="105"/>
        </w:rPr>
        <w:t> </w:t>
      </w:r>
      <w:r>
        <w:rPr>
          <w:color w:val="231F1F"/>
          <w:w w:val="105"/>
        </w:rPr>
        <w:t>las</w:t>
      </w:r>
      <w:r>
        <w:rPr>
          <w:color w:val="231F1F"/>
          <w:spacing w:val="40"/>
          <w:w w:val="105"/>
        </w:rPr>
        <w:t> </w:t>
      </w:r>
      <w:r>
        <w:rPr>
          <w:color w:val="231F1F"/>
          <w:w w:val="105"/>
        </w:rPr>
        <w:t>representan.</w:t>
      </w:r>
    </w:p>
    <w:p>
      <w:pPr>
        <w:pStyle w:val="BodyText"/>
        <w:spacing w:line="252" w:lineRule="auto" w:before="147"/>
        <w:ind w:left="283" w:right="121" w:firstLine="453"/>
        <w:jc w:val="both"/>
      </w:pPr>
      <w:r>
        <w:rPr>
          <w:color w:val="231F1F"/>
          <w:spacing w:val="-2"/>
          <w:w w:val="110"/>
        </w:rPr>
        <w:t>Sumándose</w:t>
      </w:r>
      <w:r>
        <w:rPr>
          <w:color w:val="231F1F"/>
          <w:spacing w:val="-12"/>
          <w:w w:val="110"/>
        </w:rPr>
        <w:t> </w:t>
      </w:r>
      <w:r>
        <w:rPr>
          <w:color w:val="231F1F"/>
          <w:spacing w:val="-2"/>
          <w:w w:val="110"/>
        </w:rPr>
        <w:t>a</w:t>
      </w:r>
      <w:r>
        <w:rPr>
          <w:color w:val="231F1F"/>
          <w:spacing w:val="-11"/>
          <w:w w:val="110"/>
        </w:rPr>
        <w:t> </w:t>
      </w:r>
      <w:r>
        <w:rPr>
          <w:color w:val="231F1F"/>
          <w:spacing w:val="-2"/>
          <w:w w:val="110"/>
        </w:rPr>
        <w:t>esta</w:t>
      </w:r>
      <w:r>
        <w:rPr>
          <w:color w:val="231F1F"/>
          <w:spacing w:val="-11"/>
          <w:w w:val="110"/>
        </w:rPr>
        <w:t> </w:t>
      </w:r>
      <w:r>
        <w:rPr>
          <w:color w:val="231F1F"/>
          <w:spacing w:val="-2"/>
          <w:w w:val="110"/>
        </w:rPr>
        <w:t>Estrategia</w:t>
      </w:r>
      <w:r>
        <w:rPr>
          <w:color w:val="231F1F"/>
          <w:spacing w:val="-11"/>
          <w:w w:val="110"/>
        </w:rPr>
        <w:t> </w:t>
      </w:r>
      <w:r>
        <w:rPr>
          <w:color w:val="231F1F"/>
          <w:spacing w:val="-2"/>
          <w:w w:val="110"/>
        </w:rPr>
        <w:t>y</w:t>
      </w:r>
      <w:r>
        <w:rPr>
          <w:color w:val="231F1F"/>
          <w:spacing w:val="-11"/>
          <w:w w:val="110"/>
        </w:rPr>
        <w:t> </w:t>
      </w:r>
      <w:r>
        <w:rPr>
          <w:color w:val="231F1F"/>
          <w:spacing w:val="-2"/>
          <w:w w:val="110"/>
        </w:rPr>
        <w:t>en</w:t>
      </w:r>
      <w:r>
        <w:rPr>
          <w:color w:val="231F1F"/>
          <w:spacing w:val="-11"/>
          <w:w w:val="110"/>
        </w:rPr>
        <w:t> </w:t>
      </w:r>
      <w:r>
        <w:rPr>
          <w:color w:val="231F1F"/>
          <w:spacing w:val="-2"/>
          <w:w w:val="110"/>
        </w:rPr>
        <w:t>el</w:t>
      </w:r>
      <w:r>
        <w:rPr>
          <w:color w:val="231F1F"/>
          <w:spacing w:val="-12"/>
          <w:w w:val="110"/>
        </w:rPr>
        <w:t> </w:t>
      </w:r>
      <w:r>
        <w:rPr>
          <w:color w:val="231F1F"/>
          <w:spacing w:val="-2"/>
          <w:w w:val="110"/>
        </w:rPr>
        <w:t>marco</w:t>
      </w:r>
      <w:r>
        <w:rPr>
          <w:color w:val="231F1F"/>
          <w:spacing w:val="-11"/>
          <w:w w:val="110"/>
        </w:rPr>
        <w:t> </w:t>
      </w:r>
      <w:r>
        <w:rPr>
          <w:color w:val="231F1F"/>
          <w:spacing w:val="-2"/>
          <w:w w:val="110"/>
        </w:rPr>
        <w:t>del</w:t>
      </w:r>
      <w:r>
        <w:rPr>
          <w:color w:val="231F1F"/>
          <w:spacing w:val="-12"/>
          <w:w w:val="110"/>
        </w:rPr>
        <w:t> </w:t>
      </w:r>
      <w:r>
        <w:rPr>
          <w:color w:val="231F1F"/>
          <w:spacing w:val="-2"/>
          <w:w w:val="110"/>
        </w:rPr>
        <w:t>Plan</w:t>
      </w:r>
      <w:r>
        <w:rPr>
          <w:color w:val="231F1F"/>
          <w:spacing w:val="-11"/>
          <w:w w:val="110"/>
        </w:rPr>
        <w:t> </w:t>
      </w:r>
      <w:r>
        <w:rPr>
          <w:color w:val="231F1F"/>
          <w:spacing w:val="-2"/>
          <w:w w:val="110"/>
        </w:rPr>
        <w:t>de</w:t>
      </w:r>
      <w:r>
        <w:rPr>
          <w:color w:val="231F1F"/>
          <w:spacing w:val="-11"/>
          <w:w w:val="110"/>
        </w:rPr>
        <w:t> </w:t>
      </w:r>
      <w:r>
        <w:rPr>
          <w:color w:val="231F1F"/>
          <w:spacing w:val="-2"/>
          <w:w w:val="110"/>
        </w:rPr>
        <w:t>Calidad</w:t>
      </w:r>
      <w:r>
        <w:rPr>
          <w:color w:val="231F1F"/>
          <w:spacing w:val="-11"/>
          <w:w w:val="110"/>
        </w:rPr>
        <w:t> </w:t>
      </w:r>
      <w:r>
        <w:rPr>
          <w:color w:val="231F1F"/>
          <w:spacing w:val="-2"/>
          <w:w w:val="110"/>
        </w:rPr>
        <w:t>para</w:t>
      </w:r>
      <w:r>
        <w:rPr>
          <w:color w:val="231F1F"/>
          <w:spacing w:val="-11"/>
          <w:w w:val="110"/>
        </w:rPr>
        <w:t> </w:t>
      </w:r>
      <w:r>
        <w:rPr>
          <w:color w:val="231F1F"/>
          <w:spacing w:val="-2"/>
          <w:w w:val="110"/>
        </w:rPr>
        <w:t>el</w:t>
      </w:r>
      <w:r>
        <w:rPr>
          <w:color w:val="231F1F"/>
          <w:spacing w:val="-12"/>
          <w:w w:val="110"/>
        </w:rPr>
        <w:t> </w:t>
      </w:r>
      <w:r>
        <w:rPr>
          <w:color w:val="231F1F"/>
          <w:spacing w:val="-2"/>
          <w:w w:val="110"/>
        </w:rPr>
        <w:t>Sistema</w:t>
      </w:r>
      <w:r>
        <w:rPr>
          <w:color w:val="231F1F"/>
          <w:spacing w:val="-12"/>
          <w:w w:val="110"/>
        </w:rPr>
        <w:t> </w:t>
      </w:r>
      <w:r>
        <w:rPr>
          <w:color w:val="231F1F"/>
          <w:spacing w:val="-2"/>
          <w:w w:val="110"/>
        </w:rPr>
        <w:t>Nacio- </w:t>
      </w:r>
      <w:r>
        <w:rPr>
          <w:color w:val="231F1F"/>
          <w:w w:val="110"/>
        </w:rPr>
        <w:t>nal</w:t>
      </w:r>
      <w:r>
        <w:rPr>
          <w:color w:val="231F1F"/>
          <w:spacing w:val="-12"/>
          <w:w w:val="110"/>
        </w:rPr>
        <w:t> </w:t>
      </w:r>
      <w:r>
        <w:rPr>
          <w:color w:val="231F1F"/>
          <w:w w:val="110"/>
        </w:rPr>
        <w:t>de</w:t>
      </w:r>
      <w:r>
        <w:rPr>
          <w:color w:val="231F1F"/>
          <w:spacing w:val="-11"/>
          <w:w w:val="110"/>
        </w:rPr>
        <w:t> </w:t>
      </w:r>
      <w:r>
        <w:rPr>
          <w:color w:val="231F1F"/>
          <w:w w:val="110"/>
        </w:rPr>
        <w:t>Salud</w:t>
      </w:r>
      <w:r>
        <w:rPr>
          <w:color w:val="231F1F"/>
          <w:spacing w:val="-11"/>
          <w:w w:val="110"/>
        </w:rPr>
        <w:t> </w:t>
      </w:r>
      <w:r>
        <w:rPr>
          <w:color w:val="231F1F"/>
          <w:w w:val="110"/>
        </w:rPr>
        <w:t>del</w:t>
      </w:r>
      <w:r>
        <w:rPr>
          <w:color w:val="231F1F"/>
          <w:spacing w:val="-12"/>
          <w:w w:val="110"/>
        </w:rPr>
        <w:t> </w:t>
      </w:r>
      <w:r>
        <w:rPr>
          <w:color w:val="231F1F"/>
          <w:w w:val="110"/>
        </w:rPr>
        <w:t>Ministerio</w:t>
      </w:r>
      <w:r>
        <w:rPr>
          <w:color w:val="231F1F"/>
          <w:spacing w:val="-11"/>
          <w:w w:val="110"/>
        </w:rPr>
        <w:t> </w:t>
      </w:r>
      <w:r>
        <w:rPr>
          <w:color w:val="231F1F"/>
          <w:w w:val="110"/>
        </w:rPr>
        <w:t>de</w:t>
      </w:r>
      <w:r>
        <w:rPr>
          <w:color w:val="231F1F"/>
          <w:spacing w:val="-11"/>
          <w:w w:val="110"/>
        </w:rPr>
        <w:t> </w:t>
      </w:r>
      <w:r>
        <w:rPr>
          <w:color w:val="231F1F"/>
          <w:w w:val="110"/>
        </w:rPr>
        <w:t>Sanidad</w:t>
      </w:r>
      <w:r>
        <w:rPr>
          <w:color w:val="231F1F"/>
          <w:spacing w:val="-11"/>
          <w:w w:val="110"/>
        </w:rPr>
        <w:t> </w:t>
      </w:r>
      <w:r>
        <w:rPr>
          <w:color w:val="231F1F"/>
          <w:w w:val="110"/>
        </w:rPr>
        <w:t>y</w:t>
      </w:r>
      <w:r>
        <w:rPr>
          <w:color w:val="231F1F"/>
          <w:spacing w:val="-11"/>
          <w:w w:val="110"/>
        </w:rPr>
        <w:t> </w:t>
      </w:r>
      <w:r>
        <w:rPr>
          <w:color w:val="231F1F"/>
          <w:w w:val="110"/>
        </w:rPr>
        <w:t>Consumo</w:t>
      </w:r>
      <w:r>
        <w:rPr>
          <w:color w:val="231F1F"/>
          <w:spacing w:val="-11"/>
          <w:w w:val="110"/>
        </w:rPr>
        <w:t> </w:t>
      </w:r>
      <w:r>
        <w:rPr>
          <w:color w:val="231F1F"/>
          <w:w w:val="110"/>
        </w:rPr>
        <w:t>se</w:t>
      </w:r>
      <w:r>
        <w:rPr>
          <w:color w:val="231F1F"/>
          <w:spacing w:val="-11"/>
          <w:w w:val="110"/>
        </w:rPr>
        <w:t> </w:t>
      </w:r>
      <w:r>
        <w:rPr>
          <w:color w:val="231F1F"/>
          <w:w w:val="110"/>
        </w:rPr>
        <w:t>inició</w:t>
      </w:r>
      <w:r>
        <w:rPr>
          <w:color w:val="231F1F"/>
          <w:spacing w:val="-11"/>
          <w:w w:val="110"/>
        </w:rPr>
        <w:t> </w:t>
      </w:r>
      <w:r>
        <w:rPr>
          <w:color w:val="231F1F"/>
          <w:w w:val="110"/>
        </w:rPr>
        <w:t>en</w:t>
      </w:r>
      <w:r>
        <w:rPr>
          <w:color w:val="231F1F"/>
          <w:spacing w:val="-11"/>
          <w:w w:val="110"/>
        </w:rPr>
        <w:t> </w:t>
      </w:r>
      <w:r>
        <w:rPr>
          <w:color w:val="231F1F"/>
          <w:w w:val="110"/>
        </w:rPr>
        <w:t>2006</w:t>
      </w:r>
      <w:r>
        <w:rPr>
          <w:color w:val="231F1F"/>
          <w:spacing w:val="-11"/>
          <w:w w:val="110"/>
        </w:rPr>
        <w:t> </w:t>
      </w:r>
      <w:r>
        <w:rPr>
          <w:color w:val="231F1F"/>
          <w:w w:val="110"/>
        </w:rPr>
        <w:t>un</w:t>
      </w:r>
      <w:r>
        <w:rPr>
          <w:color w:val="231F1F"/>
          <w:spacing w:val="-11"/>
          <w:w w:val="110"/>
        </w:rPr>
        <w:t> </w:t>
      </w:r>
      <w:r>
        <w:rPr>
          <w:color w:val="231F1F"/>
          <w:w w:val="110"/>
        </w:rPr>
        <w:t>Programa</w:t>
      </w:r>
      <w:r>
        <w:rPr>
          <w:color w:val="231F1F"/>
          <w:spacing w:val="-11"/>
          <w:w w:val="110"/>
        </w:rPr>
        <w:t> </w:t>
      </w:r>
      <w:r>
        <w:rPr>
          <w:color w:val="231F1F"/>
          <w:w w:val="110"/>
        </w:rPr>
        <w:t>de</w:t>
      </w:r>
      <w:r>
        <w:rPr>
          <w:color w:val="231F1F"/>
          <w:spacing w:val="-11"/>
          <w:w w:val="110"/>
        </w:rPr>
        <w:t> </w:t>
      </w:r>
      <w:r>
        <w:rPr>
          <w:color w:val="231F1F"/>
          <w:w w:val="110"/>
        </w:rPr>
        <w:t>ela- boración de Guías de Práctica Clínica (GPC) basadas en la evidencia para la ayuda a la toma</w:t>
      </w:r>
      <w:r>
        <w:rPr>
          <w:color w:val="231F1F"/>
          <w:spacing w:val="-11"/>
          <w:w w:val="110"/>
        </w:rPr>
        <w:t> </w:t>
      </w:r>
      <w:r>
        <w:rPr>
          <w:color w:val="231F1F"/>
          <w:w w:val="110"/>
        </w:rPr>
        <w:t>de</w:t>
      </w:r>
      <w:r>
        <w:rPr>
          <w:color w:val="231F1F"/>
          <w:spacing w:val="-11"/>
          <w:w w:val="110"/>
        </w:rPr>
        <w:t> </w:t>
      </w:r>
      <w:r>
        <w:rPr>
          <w:color w:val="231F1F"/>
          <w:w w:val="110"/>
        </w:rPr>
        <w:t>decisiones</w:t>
      </w:r>
      <w:r>
        <w:rPr>
          <w:color w:val="231F1F"/>
          <w:spacing w:val="-12"/>
          <w:w w:val="110"/>
        </w:rPr>
        <w:t> </w:t>
      </w:r>
      <w:r>
        <w:rPr>
          <w:color w:val="231F1F"/>
          <w:w w:val="110"/>
        </w:rPr>
        <w:t>clínicas</w:t>
      </w:r>
      <w:r>
        <w:rPr>
          <w:color w:val="231F1F"/>
          <w:spacing w:val="-12"/>
          <w:w w:val="110"/>
        </w:rPr>
        <w:t> </w:t>
      </w:r>
      <w:r>
        <w:rPr>
          <w:color w:val="231F1F"/>
          <w:w w:val="110"/>
        </w:rPr>
        <w:t>en</w:t>
      </w:r>
      <w:r>
        <w:rPr>
          <w:color w:val="231F1F"/>
          <w:spacing w:val="-11"/>
          <w:w w:val="110"/>
        </w:rPr>
        <w:t> </w:t>
      </w:r>
      <w:r>
        <w:rPr>
          <w:color w:val="231F1F"/>
          <w:w w:val="110"/>
        </w:rPr>
        <w:t>el</w:t>
      </w:r>
      <w:r>
        <w:rPr>
          <w:color w:val="231F1F"/>
          <w:spacing w:val="-12"/>
          <w:w w:val="110"/>
        </w:rPr>
        <w:t> </w:t>
      </w:r>
      <w:r>
        <w:rPr>
          <w:color w:val="231F1F"/>
          <w:w w:val="110"/>
        </w:rPr>
        <w:t>SNS.</w:t>
      </w:r>
      <w:r>
        <w:rPr>
          <w:color w:val="231F1F"/>
          <w:spacing w:val="-12"/>
          <w:w w:val="110"/>
        </w:rPr>
        <w:t> </w:t>
      </w:r>
      <w:r>
        <w:rPr>
          <w:color w:val="231F1F"/>
          <w:w w:val="110"/>
        </w:rPr>
        <w:t>El</w:t>
      </w:r>
      <w:r>
        <w:rPr>
          <w:color w:val="231F1F"/>
          <w:spacing w:val="-12"/>
          <w:w w:val="110"/>
        </w:rPr>
        <w:t> </w:t>
      </w:r>
      <w:r>
        <w:rPr>
          <w:color w:val="231F1F"/>
          <w:w w:val="110"/>
        </w:rPr>
        <w:t>Departamento</w:t>
      </w:r>
      <w:r>
        <w:rPr>
          <w:color w:val="231F1F"/>
          <w:spacing w:val="-11"/>
          <w:w w:val="110"/>
        </w:rPr>
        <w:t> </w:t>
      </w:r>
      <w:r>
        <w:rPr>
          <w:color w:val="231F1F"/>
          <w:w w:val="110"/>
        </w:rPr>
        <w:t>de</w:t>
      </w:r>
      <w:r>
        <w:rPr>
          <w:color w:val="231F1F"/>
          <w:spacing w:val="-11"/>
          <w:w w:val="110"/>
        </w:rPr>
        <w:t> </w:t>
      </w:r>
      <w:r>
        <w:rPr>
          <w:color w:val="231F1F"/>
          <w:w w:val="110"/>
        </w:rPr>
        <w:t>Sanidad</w:t>
      </w:r>
      <w:r>
        <w:rPr>
          <w:color w:val="231F1F"/>
          <w:spacing w:val="-12"/>
          <w:w w:val="110"/>
        </w:rPr>
        <w:t> </w:t>
      </w:r>
      <w:r>
        <w:rPr>
          <w:color w:val="231F1F"/>
          <w:w w:val="110"/>
        </w:rPr>
        <w:t>del</w:t>
      </w:r>
      <w:r>
        <w:rPr>
          <w:color w:val="231F1F"/>
          <w:spacing w:val="-12"/>
          <w:w w:val="110"/>
        </w:rPr>
        <w:t> </w:t>
      </w:r>
      <w:r>
        <w:rPr>
          <w:color w:val="231F1F"/>
          <w:w w:val="110"/>
        </w:rPr>
        <w:t>Gobierno</w:t>
      </w:r>
      <w:r>
        <w:rPr>
          <w:color w:val="231F1F"/>
          <w:spacing w:val="-11"/>
          <w:w w:val="110"/>
        </w:rPr>
        <w:t> </w:t>
      </w:r>
      <w:r>
        <w:rPr>
          <w:color w:val="231F1F"/>
          <w:w w:val="110"/>
        </w:rPr>
        <w:t>Vasco, de quien depende la Agencia de Evaluación de Tecnologías Sanitarias del País Vasco- </w:t>
      </w:r>
      <w:r>
        <w:rPr>
          <w:color w:val="231F1F"/>
          <w:spacing w:val="-2"/>
          <w:w w:val="110"/>
        </w:rPr>
        <w:t>Osteba</w:t>
      </w:r>
      <w:r>
        <w:rPr>
          <w:color w:val="231F1F"/>
          <w:spacing w:val="-10"/>
          <w:w w:val="110"/>
        </w:rPr>
        <w:t> </w:t>
      </w:r>
      <w:r>
        <w:rPr>
          <w:color w:val="231F1F"/>
          <w:spacing w:val="-2"/>
          <w:w w:val="110"/>
        </w:rPr>
        <w:t>y</w:t>
      </w:r>
      <w:r>
        <w:rPr>
          <w:color w:val="231F1F"/>
          <w:spacing w:val="-10"/>
          <w:w w:val="110"/>
        </w:rPr>
        <w:t> </w:t>
      </w:r>
      <w:r>
        <w:rPr>
          <w:color w:val="231F1F"/>
          <w:spacing w:val="-2"/>
          <w:w w:val="110"/>
        </w:rPr>
        <w:t>la</w:t>
      </w:r>
      <w:r>
        <w:rPr>
          <w:color w:val="231F1F"/>
          <w:spacing w:val="-10"/>
          <w:w w:val="110"/>
        </w:rPr>
        <w:t> </w:t>
      </w:r>
      <w:r>
        <w:rPr>
          <w:color w:val="231F1F"/>
          <w:spacing w:val="-2"/>
          <w:w w:val="110"/>
        </w:rPr>
        <w:t>Axencia</w:t>
      </w:r>
      <w:r>
        <w:rPr>
          <w:color w:val="231F1F"/>
          <w:spacing w:val="-10"/>
          <w:w w:val="110"/>
        </w:rPr>
        <w:t> </w:t>
      </w:r>
      <w:r>
        <w:rPr>
          <w:color w:val="231F1F"/>
          <w:spacing w:val="-2"/>
          <w:w w:val="110"/>
        </w:rPr>
        <w:t>de</w:t>
      </w:r>
      <w:r>
        <w:rPr>
          <w:color w:val="231F1F"/>
          <w:spacing w:val="-10"/>
          <w:w w:val="110"/>
        </w:rPr>
        <w:t> </w:t>
      </w:r>
      <w:r>
        <w:rPr>
          <w:color w:val="231F1F"/>
          <w:spacing w:val="-2"/>
          <w:w w:val="110"/>
        </w:rPr>
        <w:t>Avaliación</w:t>
      </w:r>
      <w:r>
        <w:rPr>
          <w:color w:val="231F1F"/>
          <w:spacing w:val="-11"/>
          <w:w w:val="110"/>
        </w:rPr>
        <w:t> </w:t>
      </w:r>
      <w:r>
        <w:rPr>
          <w:color w:val="231F1F"/>
          <w:spacing w:val="-2"/>
          <w:w w:val="110"/>
        </w:rPr>
        <w:t>de</w:t>
      </w:r>
      <w:r>
        <w:rPr>
          <w:color w:val="231F1F"/>
          <w:spacing w:val="-10"/>
          <w:w w:val="110"/>
        </w:rPr>
        <w:t> </w:t>
      </w:r>
      <w:r>
        <w:rPr>
          <w:color w:val="231F1F"/>
          <w:spacing w:val="-2"/>
          <w:w w:val="110"/>
        </w:rPr>
        <w:t>Tecnoloxías</w:t>
      </w:r>
      <w:r>
        <w:rPr>
          <w:color w:val="231F1F"/>
          <w:spacing w:val="-11"/>
          <w:w w:val="110"/>
        </w:rPr>
        <w:t> </w:t>
      </w:r>
      <w:r>
        <w:rPr>
          <w:color w:val="231F1F"/>
          <w:spacing w:val="-2"/>
          <w:w w:val="110"/>
        </w:rPr>
        <w:t>Sanitarias</w:t>
      </w:r>
      <w:r>
        <w:rPr>
          <w:color w:val="231F1F"/>
          <w:spacing w:val="-10"/>
          <w:w w:val="110"/>
        </w:rPr>
        <w:t> </w:t>
      </w:r>
      <w:r>
        <w:rPr>
          <w:color w:val="231F1F"/>
          <w:spacing w:val="-2"/>
          <w:w w:val="110"/>
        </w:rPr>
        <w:t>de</w:t>
      </w:r>
      <w:r>
        <w:rPr>
          <w:color w:val="231F1F"/>
          <w:spacing w:val="-10"/>
          <w:w w:val="110"/>
        </w:rPr>
        <w:t> </w:t>
      </w:r>
      <w:r>
        <w:rPr>
          <w:color w:val="231F1F"/>
          <w:spacing w:val="-2"/>
          <w:w w:val="110"/>
        </w:rPr>
        <w:t>Galicia-Avalia-t</w:t>
      </w:r>
      <w:r>
        <w:rPr>
          <w:color w:val="231F1F"/>
          <w:spacing w:val="-10"/>
          <w:w w:val="110"/>
        </w:rPr>
        <w:t> </w:t>
      </w:r>
      <w:r>
        <w:rPr>
          <w:color w:val="231F1F"/>
          <w:spacing w:val="-2"/>
          <w:w w:val="110"/>
        </w:rPr>
        <w:t>firmaron </w:t>
      </w:r>
      <w:r>
        <w:rPr>
          <w:color w:val="231F1F"/>
          <w:w w:val="110"/>
        </w:rPr>
        <w:t>un convenio de colaboración para el desarrollo de esta guía.</w:t>
      </w:r>
    </w:p>
    <w:p>
      <w:pPr>
        <w:pStyle w:val="BodyText"/>
        <w:spacing w:line="244" w:lineRule="auto" w:before="113"/>
        <w:ind w:left="283" w:right="122" w:firstLine="453"/>
        <w:jc w:val="both"/>
      </w:pPr>
      <w:r>
        <w:rPr>
          <w:color w:val="231F1F"/>
          <w:w w:val="110"/>
        </w:rPr>
        <w:t>Es</w:t>
      </w:r>
      <w:r>
        <w:rPr>
          <w:color w:val="231F1F"/>
          <w:spacing w:val="-14"/>
          <w:w w:val="110"/>
        </w:rPr>
        <w:t> </w:t>
      </w:r>
      <w:r>
        <w:rPr>
          <w:color w:val="231F1F"/>
          <w:w w:val="110"/>
        </w:rPr>
        <w:t>por</w:t>
      </w:r>
      <w:r>
        <w:rPr>
          <w:color w:val="231F1F"/>
          <w:spacing w:val="-14"/>
          <w:w w:val="110"/>
        </w:rPr>
        <w:t> </w:t>
      </w:r>
      <w:r>
        <w:rPr>
          <w:color w:val="231F1F"/>
          <w:w w:val="110"/>
        </w:rPr>
        <w:t>ello</w:t>
      </w:r>
      <w:r>
        <w:rPr>
          <w:color w:val="231F1F"/>
          <w:spacing w:val="-14"/>
          <w:w w:val="110"/>
        </w:rPr>
        <w:t> </w:t>
      </w:r>
      <w:r>
        <w:rPr>
          <w:color w:val="231F1F"/>
          <w:w w:val="110"/>
        </w:rPr>
        <w:t>que</w:t>
      </w:r>
      <w:r>
        <w:rPr>
          <w:color w:val="231F1F"/>
          <w:spacing w:val="-14"/>
          <w:w w:val="110"/>
        </w:rPr>
        <w:t> </w:t>
      </w:r>
      <w:r>
        <w:rPr>
          <w:color w:val="231F1F"/>
          <w:w w:val="110"/>
        </w:rPr>
        <w:t>el</w:t>
      </w:r>
      <w:r>
        <w:rPr>
          <w:color w:val="231F1F"/>
          <w:spacing w:val="-15"/>
          <w:w w:val="110"/>
        </w:rPr>
        <w:t> </w:t>
      </w:r>
      <w:r>
        <w:rPr>
          <w:color w:val="231F1F"/>
          <w:w w:val="110"/>
        </w:rPr>
        <w:t>alcance</w:t>
      </w:r>
      <w:r>
        <w:rPr>
          <w:color w:val="231F1F"/>
          <w:spacing w:val="-14"/>
          <w:w w:val="110"/>
        </w:rPr>
        <w:t> </w:t>
      </w:r>
      <w:r>
        <w:rPr>
          <w:color w:val="231F1F"/>
          <w:w w:val="110"/>
        </w:rPr>
        <w:t>en</w:t>
      </w:r>
      <w:r>
        <w:rPr>
          <w:color w:val="231F1F"/>
          <w:spacing w:val="-14"/>
          <w:w w:val="110"/>
        </w:rPr>
        <w:t> </w:t>
      </w:r>
      <w:r>
        <w:rPr>
          <w:color w:val="231F1F"/>
          <w:w w:val="110"/>
        </w:rPr>
        <w:t>términos</w:t>
      </w:r>
      <w:r>
        <w:rPr>
          <w:color w:val="231F1F"/>
          <w:spacing w:val="-14"/>
          <w:w w:val="110"/>
        </w:rPr>
        <w:t> </w:t>
      </w:r>
      <w:r>
        <w:rPr>
          <w:color w:val="231F1F"/>
          <w:w w:val="110"/>
        </w:rPr>
        <w:t>de</w:t>
      </w:r>
      <w:r>
        <w:rPr>
          <w:color w:val="231F1F"/>
          <w:spacing w:val="-14"/>
          <w:w w:val="110"/>
        </w:rPr>
        <w:t> </w:t>
      </w:r>
      <w:r>
        <w:rPr>
          <w:color w:val="231F1F"/>
          <w:w w:val="110"/>
        </w:rPr>
        <w:t>condición</w:t>
      </w:r>
      <w:r>
        <w:rPr>
          <w:color w:val="231F1F"/>
          <w:spacing w:val="-14"/>
          <w:w w:val="110"/>
        </w:rPr>
        <w:t> </w:t>
      </w:r>
      <w:r>
        <w:rPr>
          <w:color w:val="231F1F"/>
          <w:w w:val="110"/>
        </w:rPr>
        <w:t>clínica</w:t>
      </w:r>
      <w:r>
        <w:rPr>
          <w:color w:val="231F1F"/>
          <w:spacing w:val="-14"/>
          <w:w w:val="110"/>
        </w:rPr>
        <w:t> </w:t>
      </w:r>
      <w:r>
        <w:rPr>
          <w:color w:val="231F1F"/>
          <w:w w:val="110"/>
        </w:rPr>
        <w:t>a</w:t>
      </w:r>
      <w:r>
        <w:rPr>
          <w:color w:val="231F1F"/>
          <w:spacing w:val="-14"/>
          <w:w w:val="110"/>
        </w:rPr>
        <w:t> </w:t>
      </w:r>
      <w:r>
        <w:rPr>
          <w:color w:val="231F1F"/>
          <w:w w:val="110"/>
        </w:rPr>
        <w:t>trabajar</w:t>
      </w:r>
      <w:r>
        <w:rPr>
          <w:color w:val="231F1F"/>
          <w:spacing w:val="-14"/>
          <w:w w:val="110"/>
        </w:rPr>
        <w:t> </w:t>
      </w:r>
      <w:r>
        <w:rPr>
          <w:color w:val="231F1F"/>
          <w:w w:val="110"/>
        </w:rPr>
        <w:t>se</w:t>
      </w:r>
      <w:r>
        <w:rPr>
          <w:color w:val="231F1F"/>
          <w:spacing w:val="-14"/>
          <w:w w:val="110"/>
        </w:rPr>
        <w:t> </w:t>
      </w:r>
      <w:r>
        <w:rPr>
          <w:color w:val="231F1F"/>
          <w:w w:val="110"/>
        </w:rPr>
        <w:t>ha</w:t>
      </w:r>
      <w:r>
        <w:rPr>
          <w:color w:val="231F1F"/>
          <w:spacing w:val="-14"/>
          <w:w w:val="110"/>
        </w:rPr>
        <w:t> </w:t>
      </w:r>
      <w:r>
        <w:rPr>
          <w:color w:val="231F1F"/>
          <w:w w:val="110"/>
        </w:rPr>
        <w:t>limitado</w:t>
      </w:r>
      <w:r>
        <w:rPr>
          <w:color w:val="231F1F"/>
          <w:spacing w:val="-14"/>
          <w:w w:val="110"/>
        </w:rPr>
        <w:t> </w:t>
      </w:r>
      <w:r>
        <w:rPr>
          <w:color w:val="231F1F"/>
          <w:w w:val="110"/>
        </w:rPr>
        <w:t>a la</w:t>
      </w:r>
      <w:r>
        <w:rPr>
          <w:color w:val="231F1F"/>
          <w:spacing w:val="-9"/>
          <w:w w:val="110"/>
        </w:rPr>
        <w:t> </w:t>
      </w:r>
      <w:r>
        <w:rPr>
          <w:color w:val="231F1F"/>
          <w:w w:val="110"/>
        </w:rPr>
        <w:t>asistencia</w:t>
      </w:r>
      <w:r>
        <w:rPr>
          <w:color w:val="231F1F"/>
          <w:spacing w:val="-9"/>
          <w:w w:val="110"/>
        </w:rPr>
        <w:t> </w:t>
      </w:r>
      <w:r>
        <w:rPr>
          <w:color w:val="231F1F"/>
          <w:w w:val="110"/>
        </w:rPr>
        <w:t>a</w:t>
      </w:r>
      <w:r>
        <w:rPr>
          <w:color w:val="231F1F"/>
          <w:spacing w:val="-9"/>
          <w:w w:val="110"/>
        </w:rPr>
        <w:t> </w:t>
      </w:r>
      <w:r>
        <w:rPr>
          <w:color w:val="231F1F"/>
          <w:w w:val="110"/>
        </w:rPr>
        <w:t>mujeres</w:t>
      </w:r>
      <w:r>
        <w:rPr>
          <w:color w:val="231F1F"/>
          <w:spacing w:val="-9"/>
          <w:w w:val="110"/>
        </w:rPr>
        <w:t> </w:t>
      </w:r>
      <w:r>
        <w:rPr>
          <w:color w:val="231F1F"/>
          <w:w w:val="110"/>
        </w:rPr>
        <w:t>sanas</w:t>
      </w:r>
      <w:r>
        <w:rPr>
          <w:color w:val="231F1F"/>
          <w:spacing w:val="-10"/>
          <w:w w:val="110"/>
        </w:rPr>
        <w:t> </w:t>
      </w:r>
      <w:r>
        <w:rPr>
          <w:color w:val="231F1F"/>
          <w:w w:val="110"/>
        </w:rPr>
        <w:t>en</w:t>
      </w:r>
      <w:r>
        <w:rPr>
          <w:color w:val="231F1F"/>
          <w:spacing w:val="-9"/>
          <w:w w:val="110"/>
        </w:rPr>
        <w:t> </w:t>
      </w:r>
      <w:r>
        <w:rPr>
          <w:color w:val="231F1F"/>
          <w:w w:val="110"/>
        </w:rPr>
        <w:t>partos</w:t>
      </w:r>
      <w:r>
        <w:rPr>
          <w:color w:val="231F1F"/>
          <w:spacing w:val="-9"/>
          <w:w w:val="110"/>
        </w:rPr>
        <w:t> </w:t>
      </w:r>
      <w:r>
        <w:rPr>
          <w:color w:val="231F1F"/>
          <w:w w:val="110"/>
        </w:rPr>
        <w:t>normales.</w:t>
      </w:r>
      <w:r>
        <w:rPr>
          <w:color w:val="231F1F"/>
          <w:spacing w:val="-10"/>
          <w:w w:val="110"/>
        </w:rPr>
        <w:t> </w:t>
      </w:r>
      <w:r>
        <w:rPr>
          <w:color w:val="231F1F"/>
          <w:w w:val="110"/>
        </w:rPr>
        <w:t>Conviene,</w:t>
      </w:r>
      <w:r>
        <w:rPr>
          <w:color w:val="231F1F"/>
          <w:spacing w:val="-10"/>
          <w:w w:val="110"/>
        </w:rPr>
        <w:t> </w:t>
      </w:r>
      <w:r>
        <w:rPr>
          <w:color w:val="231F1F"/>
          <w:w w:val="110"/>
        </w:rPr>
        <w:t>pues</w:t>
      </w:r>
      <w:r>
        <w:rPr>
          <w:color w:val="231F1F"/>
          <w:spacing w:val="-9"/>
          <w:w w:val="110"/>
        </w:rPr>
        <w:t> </w:t>
      </w:r>
      <w:r>
        <w:rPr>
          <w:color w:val="231F1F"/>
          <w:w w:val="110"/>
        </w:rPr>
        <w:t>definir</w:t>
      </w:r>
      <w:r>
        <w:rPr>
          <w:color w:val="231F1F"/>
          <w:spacing w:val="-9"/>
          <w:w w:val="110"/>
        </w:rPr>
        <w:t> </w:t>
      </w:r>
      <w:r>
        <w:rPr>
          <w:color w:val="231F1F"/>
          <w:w w:val="110"/>
        </w:rPr>
        <w:t>qué</w:t>
      </w:r>
      <w:r>
        <w:rPr>
          <w:color w:val="231F1F"/>
          <w:spacing w:val="-9"/>
          <w:w w:val="110"/>
        </w:rPr>
        <w:t> </w:t>
      </w:r>
      <w:r>
        <w:rPr>
          <w:color w:val="231F1F"/>
          <w:w w:val="110"/>
        </w:rPr>
        <w:t>entendemos por </w:t>
      </w:r>
      <w:r>
        <w:rPr>
          <w:i/>
          <w:color w:val="231F1F"/>
          <w:w w:val="110"/>
        </w:rPr>
        <w:t>parto normal y mujer sana</w:t>
      </w:r>
      <w:r>
        <w:rPr>
          <w:color w:val="231F1F"/>
          <w:w w:val="110"/>
        </w:rPr>
        <w:t>.</w:t>
      </w:r>
    </w:p>
    <w:p>
      <w:pPr>
        <w:pStyle w:val="BodyText"/>
        <w:spacing w:line="247" w:lineRule="auto" w:before="152"/>
        <w:ind w:left="283" w:right="116" w:firstLine="453"/>
        <w:jc w:val="both"/>
      </w:pPr>
      <w:r>
        <w:rPr>
          <w:color w:val="231F1F"/>
          <w:w w:val="105"/>
        </w:rPr>
        <w:t>Definir el parto normal comporta alguna dificultad, ya que el concepto de normalidad en</w:t>
      </w:r>
      <w:r>
        <w:rPr>
          <w:color w:val="231F1F"/>
          <w:spacing w:val="36"/>
          <w:w w:val="105"/>
        </w:rPr>
        <w:t> </w:t>
      </w:r>
      <w:r>
        <w:rPr>
          <w:color w:val="231F1F"/>
          <w:w w:val="105"/>
        </w:rPr>
        <w:t>el</w:t>
      </w:r>
      <w:r>
        <w:rPr>
          <w:color w:val="231F1F"/>
          <w:spacing w:val="36"/>
          <w:w w:val="105"/>
        </w:rPr>
        <w:t> </w:t>
      </w:r>
      <w:r>
        <w:rPr>
          <w:color w:val="231F1F"/>
          <w:w w:val="105"/>
        </w:rPr>
        <w:t>parto</w:t>
      </w:r>
      <w:r>
        <w:rPr>
          <w:color w:val="231F1F"/>
          <w:spacing w:val="36"/>
          <w:w w:val="105"/>
        </w:rPr>
        <w:t> </w:t>
      </w:r>
      <w:r>
        <w:rPr>
          <w:color w:val="231F1F"/>
          <w:w w:val="105"/>
        </w:rPr>
        <w:t>y</w:t>
      </w:r>
      <w:r>
        <w:rPr>
          <w:color w:val="231F1F"/>
          <w:spacing w:val="36"/>
          <w:w w:val="105"/>
        </w:rPr>
        <w:t> </w:t>
      </w:r>
      <w:r>
        <w:rPr>
          <w:color w:val="231F1F"/>
          <w:w w:val="105"/>
        </w:rPr>
        <w:t>el</w:t>
      </w:r>
      <w:r>
        <w:rPr>
          <w:color w:val="231F1F"/>
          <w:spacing w:val="36"/>
          <w:w w:val="105"/>
        </w:rPr>
        <w:t> </w:t>
      </w:r>
      <w:r>
        <w:rPr>
          <w:color w:val="231F1F"/>
          <w:w w:val="105"/>
        </w:rPr>
        <w:t>nacimiento</w:t>
      </w:r>
      <w:r>
        <w:rPr>
          <w:color w:val="231F1F"/>
          <w:spacing w:val="36"/>
          <w:w w:val="105"/>
        </w:rPr>
        <w:t> </w:t>
      </w:r>
      <w:r>
        <w:rPr>
          <w:color w:val="231F1F"/>
          <w:w w:val="105"/>
        </w:rPr>
        <w:t>no</w:t>
      </w:r>
      <w:r>
        <w:rPr>
          <w:color w:val="231F1F"/>
          <w:spacing w:val="36"/>
          <w:w w:val="105"/>
        </w:rPr>
        <w:t> </w:t>
      </w:r>
      <w:r>
        <w:rPr>
          <w:color w:val="231F1F"/>
          <w:w w:val="105"/>
        </w:rPr>
        <w:t>está</w:t>
      </w:r>
      <w:r>
        <w:rPr>
          <w:color w:val="231F1F"/>
          <w:spacing w:val="36"/>
          <w:w w:val="105"/>
        </w:rPr>
        <w:t> </w:t>
      </w:r>
      <w:r>
        <w:rPr>
          <w:color w:val="231F1F"/>
          <w:w w:val="105"/>
        </w:rPr>
        <w:t>estandarizado.</w:t>
      </w:r>
      <w:r>
        <w:rPr>
          <w:color w:val="231F1F"/>
          <w:spacing w:val="36"/>
          <w:w w:val="105"/>
        </w:rPr>
        <w:t> </w:t>
      </w:r>
      <w:r>
        <w:rPr>
          <w:color w:val="231F1F"/>
          <w:w w:val="105"/>
        </w:rPr>
        <w:t>El</w:t>
      </w:r>
      <w:r>
        <w:rPr>
          <w:color w:val="231F1F"/>
          <w:spacing w:val="36"/>
          <w:w w:val="105"/>
        </w:rPr>
        <w:t> </w:t>
      </w:r>
      <w:r>
        <w:rPr>
          <w:color w:val="231F1F"/>
          <w:w w:val="105"/>
        </w:rPr>
        <w:t>criterio,</w:t>
      </w:r>
      <w:r>
        <w:rPr>
          <w:color w:val="231F1F"/>
          <w:spacing w:val="36"/>
          <w:w w:val="105"/>
        </w:rPr>
        <w:t> </w:t>
      </w:r>
      <w:r>
        <w:rPr>
          <w:color w:val="231F1F"/>
          <w:w w:val="105"/>
        </w:rPr>
        <w:t>sumamente</w:t>
      </w:r>
      <w:r>
        <w:rPr>
          <w:color w:val="231F1F"/>
          <w:spacing w:val="36"/>
          <w:w w:val="105"/>
        </w:rPr>
        <w:t> </w:t>
      </w:r>
      <w:r>
        <w:rPr>
          <w:color w:val="231F1F"/>
          <w:w w:val="105"/>
        </w:rPr>
        <w:t>extendido,</w:t>
      </w:r>
      <w:r>
        <w:rPr>
          <w:color w:val="231F1F"/>
          <w:spacing w:val="36"/>
          <w:w w:val="105"/>
        </w:rPr>
        <w:t> </w:t>
      </w:r>
      <w:r>
        <w:rPr>
          <w:color w:val="231F1F"/>
          <w:w w:val="105"/>
        </w:rPr>
        <w:t>de que</w:t>
      </w:r>
      <w:r>
        <w:rPr>
          <w:color w:val="231F1F"/>
          <w:w w:val="105"/>
        </w:rPr>
        <w:t> el</w:t>
      </w:r>
      <w:r>
        <w:rPr>
          <w:color w:val="231F1F"/>
          <w:w w:val="105"/>
        </w:rPr>
        <w:t> parto</w:t>
      </w:r>
      <w:r>
        <w:rPr>
          <w:color w:val="231F1F"/>
          <w:w w:val="105"/>
        </w:rPr>
        <w:t> sólo</w:t>
      </w:r>
      <w:r>
        <w:rPr>
          <w:color w:val="231F1F"/>
          <w:w w:val="105"/>
        </w:rPr>
        <w:t> puede</w:t>
      </w:r>
      <w:r>
        <w:rPr>
          <w:color w:val="231F1F"/>
          <w:w w:val="105"/>
        </w:rPr>
        <w:t> considerarse</w:t>
      </w:r>
      <w:r>
        <w:rPr>
          <w:color w:val="231F1F"/>
          <w:w w:val="105"/>
        </w:rPr>
        <w:t> normal</w:t>
      </w:r>
      <w:r>
        <w:rPr>
          <w:color w:val="231F1F"/>
          <w:w w:val="105"/>
        </w:rPr>
        <w:t> de</w:t>
      </w:r>
      <w:r>
        <w:rPr>
          <w:color w:val="231F1F"/>
          <w:w w:val="105"/>
        </w:rPr>
        <w:t> forma</w:t>
      </w:r>
      <w:r>
        <w:rPr>
          <w:color w:val="231F1F"/>
          <w:w w:val="105"/>
        </w:rPr>
        <w:t> retrospectiva,</w:t>
      </w:r>
      <w:r>
        <w:rPr>
          <w:color w:val="231F1F"/>
          <w:w w:val="105"/>
        </w:rPr>
        <w:t> ha</w:t>
      </w:r>
      <w:r>
        <w:rPr>
          <w:color w:val="231F1F"/>
          <w:w w:val="105"/>
        </w:rPr>
        <w:t> conducido,</w:t>
      </w:r>
      <w:r>
        <w:rPr>
          <w:color w:val="231F1F"/>
          <w:w w:val="105"/>
        </w:rPr>
        <w:t> junto</w:t>
      </w:r>
      <w:r>
        <w:rPr>
          <w:color w:val="231F1F"/>
          <w:spacing w:val="40"/>
          <w:w w:val="105"/>
        </w:rPr>
        <w:t> </w:t>
      </w:r>
      <w:r>
        <w:rPr>
          <w:color w:val="231F1F"/>
          <w:w w:val="105"/>
        </w:rPr>
        <w:t>con otros factores, a proporcionar a los partos normales cuidados muy similares a los que necesitan los partos complicados, transformando un acontecimiento fisiológico en un pro- cedimiento médico quirúrgico.</w:t>
      </w:r>
    </w:p>
    <w:p>
      <w:pPr>
        <w:spacing w:line="244" w:lineRule="auto" w:before="146"/>
        <w:ind w:left="283" w:right="120" w:firstLine="453"/>
        <w:jc w:val="both"/>
        <w:rPr>
          <w:i/>
          <w:sz w:val="22"/>
        </w:rPr>
      </w:pPr>
      <w:r>
        <w:rPr>
          <w:color w:val="231F1F"/>
          <w:w w:val="105"/>
          <w:sz w:val="22"/>
        </w:rPr>
        <w:t>A</w:t>
      </w:r>
      <w:r>
        <w:rPr>
          <w:color w:val="231F1F"/>
          <w:w w:val="105"/>
          <w:sz w:val="22"/>
        </w:rPr>
        <w:t> efectos</w:t>
      </w:r>
      <w:r>
        <w:rPr>
          <w:color w:val="231F1F"/>
          <w:w w:val="105"/>
          <w:sz w:val="22"/>
        </w:rPr>
        <w:t> de</w:t>
      </w:r>
      <w:r>
        <w:rPr>
          <w:color w:val="231F1F"/>
          <w:w w:val="105"/>
          <w:sz w:val="22"/>
        </w:rPr>
        <w:t> la</w:t>
      </w:r>
      <w:r>
        <w:rPr>
          <w:color w:val="231F1F"/>
          <w:w w:val="105"/>
          <w:sz w:val="22"/>
        </w:rPr>
        <w:t> presente</w:t>
      </w:r>
      <w:r>
        <w:rPr>
          <w:color w:val="231F1F"/>
          <w:w w:val="105"/>
          <w:sz w:val="22"/>
        </w:rPr>
        <w:t> guía</w:t>
      </w:r>
      <w:r>
        <w:rPr>
          <w:color w:val="231F1F"/>
          <w:w w:val="105"/>
          <w:sz w:val="22"/>
        </w:rPr>
        <w:t> definimos</w:t>
      </w:r>
      <w:r>
        <w:rPr>
          <w:color w:val="231F1F"/>
          <w:w w:val="105"/>
          <w:sz w:val="22"/>
        </w:rPr>
        <w:t> </w:t>
      </w:r>
      <w:r>
        <w:rPr>
          <w:i/>
          <w:color w:val="231F1F"/>
          <w:w w:val="105"/>
          <w:sz w:val="22"/>
        </w:rPr>
        <w:t>parto</w:t>
      </w:r>
      <w:r>
        <w:rPr>
          <w:i/>
          <w:color w:val="231F1F"/>
          <w:w w:val="105"/>
          <w:sz w:val="22"/>
        </w:rPr>
        <w:t> normal</w:t>
      </w:r>
      <w:r>
        <w:rPr>
          <w:i/>
          <w:color w:val="231F1F"/>
          <w:w w:val="105"/>
          <w:sz w:val="22"/>
        </w:rPr>
        <w:t> </w:t>
      </w:r>
      <w:r>
        <w:rPr>
          <w:color w:val="231F1F"/>
          <w:w w:val="105"/>
          <w:sz w:val="22"/>
        </w:rPr>
        <w:t>como:</w:t>
      </w:r>
      <w:r>
        <w:rPr>
          <w:color w:val="231F1F"/>
          <w:w w:val="105"/>
          <w:sz w:val="22"/>
        </w:rPr>
        <w:t> </w:t>
      </w:r>
      <w:r>
        <w:rPr>
          <w:i/>
          <w:color w:val="231F1F"/>
          <w:w w:val="105"/>
          <w:sz w:val="22"/>
        </w:rPr>
        <w:t>El</w:t>
      </w:r>
      <w:r>
        <w:rPr>
          <w:i/>
          <w:color w:val="231F1F"/>
          <w:w w:val="105"/>
          <w:sz w:val="22"/>
        </w:rPr>
        <w:t> parto</w:t>
      </w:r>
      <w:r>
        <w:rPr>
          <w:i/>
          <w:color w:val="231F1F"/>
          <w:w w:val="105"/>
          <w:sz w:val="22"/>
        </w:rPr>
        <w:t> de</w:t>
      </w:r>
      <w:r>
        <w:rPr>
          <w:i/>
          <w:color w:val="231F1F"/>
          <w:w w:val="105"/>
          <w:sz w:val="22"/>
        </w:rPr>
        <w:t> comienzo espontáneo, que presenta un bajo riesgo al comienzo y que se mantiene como tal hasta el alumbramiento.</w:t>
      </w:r>
      <w:r>
        <w:rPr>
          <w:i/>
          <w:color w:val="231F1F"/>
          <w:spacing w:val="-12"/>
          <w:w w:val="105"/>
          <w:sz w:val="22"/>
        </w:rPr>
        <w:t> </w:t>
      </w:r>
      <w:r>
        <w:rPr>
          <w:i/>
          <w:color w:val="231F1F"/>
          <w:w w:val="105"/>
          <w:sz w:val="22"/>
        </w:rPr>
        <w:t>El</w:t>
      </w:r>
      <w:r>
        <w:rPr>
          <w:i/>
          <w:color w:val="231F1F"/>
          <w:spacing w:val="-12"/>
          <w:w w:val="105"/>
          <w:sz w:val="22"/>
        </w:rPr>
        <w:t> </w:t>
      </w:r>
      <w:r>
        <w:rPr>
          <w:i/>
          <w:color w:val="231F1F"/>
          <w:w w:val="105"/>
          <w:sz w:val="22"/>
        </w:rPr>
        <w:t>niño</w:t>
      </w:r>
      <w:r>
        <w:rPr>
          <w:i/>
          <w:color w:val="231F1F"/>
          <w:spacing w:val="-12"/>
          <w:w w:val="105"/>
          <w:sz w:val="22"/>
        </w:rPr>
        <w:t> </w:t>
      </w:r>
      <w:r>
        <w:rPr>
          <w:i/>
          <w:color w:val="231F1F"/>
          <w:w w:val="105"/>
          <w:sz w:val="22"/>
        </w:rPr>
        <w:t>o</w:t>
      </w:r>
      <w:r>
        <w:rPr>
          <w:i/>
          <w:color w:val="231F1F"/>
          <w:spacing w:val="-12"/>
          <w:w w:val="105"/>
          <w:sz w:val="22"/>
        </w:rPr>
        <w:t> </w:t>
      </w:r>
      <w:r>
        <w:rPr>
          <w:i/>
          <w:color w:val="231F1F"/>
          <w:w w:val="105"/>
          <w:sz w:val="22"/>
        </w:rPr>
        <w:t>niña</w:t>
      </w:r>
      <w:r>
        <w:rPr>
          <w:i/>
          <w:color w:val="231F1F"/>
          <w:spacing w:val="-12"/>
          <w:w w:val="105"/>
          <w:sz w:val="22"/>
        </w:rPr>
        <w:t> </w:t>
      </w:r>
      <w:r>
        <w:rPr>
          <w:i/>
          <w:color w:val="231F1F"/>
          <w:w w:val="105"/>
          <w:sz w:val="22"/>
        </w:rPr>
        <w:t>nace</w:t>
      </w:r>
      <w:r>
        <w:rPr>
          <w:i/>
          <w:color w:val="231F1F"/>
          <w:spacing w:val="-12"/>
          <w:w w:val="105"/>
          <w:sz w:val="22"/>
        </w:rPr>
        <w:t> </w:t>
      </w:r>
      <w:r>
        <w:rPr>
          <w:i/>
          <w:color w:val="231F1F"/>
          <w:w w:val="105"/>
          <w:sz w:val="22"/>
        </w:rPr>
        <w:t>espontáneamente</w:t>
      </w:r>
      <w:r>
        <w:rPr>
          <w:i/>
          <w:color w:val="231F1F"/>
          <w:spacing w:val="-12"/>
          <w:w w:val="105"/>
          <w:sz w:val="22"/>
        </w:rPr>
        <w:t> </w:t>
      </w:r>
      <w:r>
        <w:rPr>
          <w:i/>
          <w:color w:val="231F1F"/>
          <w:w w:val="105"/>
          <w:sz w:val="22"/>
        </w:rPr>
        <w:t>en</w:t>
      </w:r>
      <w:r>
        <w:rPr>
          <w:i/>
          <w:color w:val="231F1F"/>
          <w:spacing w:val="-12"/>
          <w:w w:val="105"/>
          <w:sz w:val="22"/>
        </w:rPr>
        <w:t> </w:t>
      </w:r>
      <w:r>
        <w:rPr>
          <w:i/>
          <w:color w:val="231F1F"/>
          <w:w w:val="105"/>
          <w:sz w:val="22"/>
        </w:rPr>
        <w:t>posición</w:t>
      </w:r>
      <w:r>
        <w:rPr>
          <w:i/>
          <w:color w:val="231F1F"/>
          <w:spacing w:val="-13"/>
          <w:w w:val="105"/>
          <w:sz w:val="22"/>
        </w:rPr>
        <w:t> </w:t>
      </w:r>
      <w:r>
        <w:rPr>
          <w:i/>
          <w:color w:val="231F1F"/>
          <w:w w:val="105"/>
          <w:sz w:val="22"/>
        </w:rPr>
        <w:t>cefálica</w:t>
      </w:r>
      <w:r>
        <w:rPr>
          <w:i/>
          <w:color w:val="231F1F"/>
          <w:spacing w:val="-12"/>
          <w:w w:val="105"/>
          <w:sz w:val="22"/>
        </w:rPr>
        <w:t> </w:t>
      </w:r>
      <w:r>
        <w:rPr>
          <w:i/>
          <w:color w:val="231F1F"/>
          <w:w w:val="105"/>
          <w:sz w:val="22"/>
        </w:rPr>
        <w:t>entre</w:t>
      </w:r>
      <w:r>
        <w:rPr>
          <w:i/>
          <w:color w:val="231F1F"/>
          <w:spacing w:val="-12"/>
          <w:w w:val="105"/>
          <w:sz w:val="22"/>
        </w:rPr>
        <w:t> </w:t>
      </w:r>
      <w:r>
        <w:rPr>
          <w:i/>
          <w:color w:val="231F1F"/>
          <w:w w:val="105"/>
          <w:sz w:val="22"/>
        </w:rPr>
        <w:t>las</w:t>
      </w:r>
      <w:r>
        <w:rPr>
          <w:i/>
          <w:color w:val="231F1F"/>
          <w:spacing w:val="-12"/>
          <w:w w:val="105"/>
          <w:sz w:val="22"/>
        </w:rPr>
        <w:t> </w:t>
      </w:r>
      <w:r>
        <w:rPr>
          <w:i/>
          <w:color w:val="231F1F"/>
          <w:w w:val="105"/>
          <w:sz w:val="22"/>
        </w:rPr>
        <w:t>semanas 37 a 42 completas. Después de dar a luz, tanto la madre y su bebé se encuentran en buenas </w:t>
      </w:r>
      <w:r>
        <w:rPr>
          <w:i/>
          <w:color w:val="231F1F"/>
          <w:spacing w:val="-2"/>
          <w:w w:val="105"/>
          <w:sz w:val="22"/>
        </w:rPr>
        <w:t>condiciones.</w:t>
      </w:r>
    </w:p>
    <w:p>
      <w:pPr>
        <w:spacing w:line="244" w:lineRule="auto" w:before="140"/>
        <w:ind w:left="283" w:right="122" w:firstLine="453"/>
        <w:jc w:val="both"/>
        <w:rPr>
          <w:i/>
          <w:sz w:val="22"/>
        </w:rPr>
      </w:pPr>
      <w:r>
        <w:rPr>
          <w:color w:val="231F1F"/>
          <w:w w:val="105"/>
          <w:sz w:val="22"/>
        </w:rPr>
        <w:t>Entendemos</w:t>
      </w:r>
      <w:r>
        <w:rPr>
          <w:color w:val="231F1F"/>
          <w:w w:val="105"/>
          <w:sz w:val="22"/>
        </w:rPr>
        <w:t> por</w:t>
      </w:r>
      <w:r>
        <w:rPr>
          <w:color w:val="231F1F"/>
          <w:w w:val="105"/>
          <w:sz w:val="22"/>
        </w:rPr>
        <w:t> </w:t>
      </w:r>
      <w:r>
        <w:rPr>
          <w:i/>
          <w:color w:val="231F1F"/>
          <w:w w:val="105"/>
          <w:sz w:val="22"/>
        </w:rPr>
        <w:t>mujer sana </w:t>
      </w:r>
      <w:r>
        <w:rPr>
          <w:color w:val="231F1F"/>
          <w:w w:val="105"/>
          <w:sz w:val="22"/>
        </w:rPr>
        <w:t>aquella</w:t>
      </w:r>
      <w:r>
        <w:rPr>
          <w:color w:val="231F1F"/>
          <w:w w:val="105"/>
          <w:sz w:val="22"/>
        </w:rPr>
        <w:t> que:</w:t>
      </w:r>
      <w:r>
        <w:rPr>
          <w:color w:val="231F1F"/>
          <w:w w:val="105"/>
          <w:sz w:val="22"/>
        </w:rPr>
        <w:t> </w:t>
      </w:r>
      <w:r>
        <w:rPr>
          <w:i/>
          <w:color w:val="231F1F"/>
          <w:w w:val="105"/>
          <w:sz w:val="22"/>
        </w:rPr>
        <w:t>no padece una enfermedad o presenta una complicación del embarazo, tales como parto pretérmino, estados hipertensivos del emba- razo,</w:t>
      </w:r>
      <w:r>
        <w:rPr>
          <w:i/>
          <w:color w:val="231F1F"/>
          <w:spacing w:val="-6"/>
          <w:w w:val="105"/>
          <w:sz w:val="22"/>
        </w:rPr>
        <w:t> </w:t>
      </w:r>
      <w:r>
        <w:rPr>
          <w:i/>
          <w:color w:val="231F1F"/>
          <w:w w:val="105"/>
          <w:sz w:val="22"/>
        </w:rPr>
        <w:t>crecimiento</w:t>
      </w:r>
      <w:r>
        <w:rPr>
          <w:i/>
          <w:color w:val="231F1F"/>
          <w:spacing w:val="-6"/>
          <w:w w:val="105"/>
          <w:sz w:val="22"/>
        </w:rPr>
        <w:t> </w:t>
      </w:r>
      <w:r>
        <w:rPr>
          <w:i/>
          <w:color w:val="231F1F"/>
          <w:w w:val="105"/>
          <w:sz w:val="22"/>
        </w:rPr>
        <w:t>intrauterino</w:t>
      </w:r>
      <w:r>
        <w:rPr>
          <w:i/>
          <w:color w:val="231F1F"/>
          <w:spacing w:val="-5"/>
          <w:w w:val="105"/>
          <w:sz w:val="22"/>
        </w:rPr>
        <w:t> </w:t>
      </w:r>
      <w:r>
        <w:rPr>
          <w:i/>
          <w:color w:val="231F1F"/>
          <w:w w:val="105"/>
          <w:sz w:val="22"/>
        </w:rPr>
        <w:t>restringido,</w:t>
      </w:r>
      <w:r>
        <w:rPr>
          <w:i/>
          <w:color w:val="231F1F"/>
          <w:spacing w:val="-6"/>
          <w:w w:val="105"/>
          <w:sz w:val="22"/>
        </w:rPr>
        <w:t> </w:t>
      </w:r>
      <w:r>
        <w:rPr>
          <w:i/>
          <w:color w:val="231F1F"/>
          <w:w w:val="105"/>
          <w:sz w:val="22"/>
        </w:rPr>
        <w:t>embarazo</w:t>
      </w:r>
      <w:r>
        <w:rPr>
          <w:i/>
          <w:color w:val="231F1F"/>
          <w:spacing w:val="-5"/>
          <w:w w:val="105"/>
          <w:sz w:val="22"/>
        </w:rPr>
        <w:t> </w:t>
      </w:r>
      <w:r>
        <w:rPr>
          <w:i/>
          <w:color w:val="231F1F"/>
          <w:w w:val="105"/>
          <w:sz w:val="22"/>
        </w:rPr>
        <w:t>múltiple,</w:t>
      </w:r>
      <w:r>
        <w:rPr>
          <w:i/>
          <w:color w:val="231F1F"/>
          <w:spacing w:val="-6"/>
          <w:w w:val="105"/>
          <w:sz w:val="22"/>
        </w:rPr>
        <w:t> </w:t>
      </w:r>
      <w:r>
        <w:rPr>
          <w:i/>
          <w:color w:val="231F1F"/>
          <w:w w:val="105"/>
          <w:sz w:val="22"/>
        </w:rPr>
        <w:t>inducción</w:t>
      </w:r>
      <w:r>
        <w:rPr>
          <w:i/>
          <w:color w:val="231F1F"/>
          <w:spacing w:val="-5"/>
          <w:w w:val="105"/>
          <w:sz w:val="22"/>
        </w:rPr>
        <w:t> </w:t>
      </w:r>
      <w:r>
        <w:rPr>
          <w:i/>
          <w:color w:val="231F1F"/>
          <w:w w:val="105"/>
          <w:sz w:val="22"/>
        </w:rPr>
        <w:t>del</w:t>
      </w:r>
      <w:r>
        <w:rPr>
          <w:i/>
          <w:color w:val="231F1F"/>
          <w:spacing w:val="-5"/>
          <w:w w:val="105"/>
          <w:sz w:val="22"/>
        </w:rPr>
        <w:t> </w:t>
      </w:r>
      <w:r>
        <w:rPr>
          <w:i/>
          <w:color w:val="231F1F"/>
          <w:w w:val="105"/>
          <w:sz w:val="22"/>
        </w:rPr>
        <w:t>parto,</w:t>
      </w:r>
      <w:r>
        <w:rPr>
          <w:i/>
          <w:color w:val="231F1F"/>
          <w:spacing w:val="-6"/>
          <w:w w:val="105"/>
          <w:sz w:val="22"/>
        </w:rPr>
        <w:t> </w:t>
      </w:r>
      <w:r>
        <w:rPr>
          <w:i/>
          <w:color w:val="231F1F"/>
          <w:w w:val="105"/>
          <w:sz w:val="22"/>
        </w:rPr>
        <w:t>etc.,</w:t>
      </w:r>
      <w:r>
        <w:rPr>
          <w:i/>
          <w:color w:val="231F1F"/>
          <w:spacing w:val="-6"/>
          <w:w w:val="105"/>
          <w:sz w:val="22"/>
        </w:rPr>
        <w:t> </w:t>
      </w:r>
      <w:r>
        <w:rPr>
          <w:i/>
          <w:color w:val="231F1F"/>
          <w:w w:val="105"/>
          <w:sz w:val="22"/>
        </w:rPr>
        <w:t>que hagan recomendable recurrir a cuidados o intervenciones específicas.</w:t>
      </w:r>
    </w:p>
    <w:p>
      <w:pPr>
        <w:pStyle w:val="BodyText"/>
        <w:spacing w:line="244" w:lineRule="auto" w:before="168"/>
        <w:ind w:left="283" w:right="119" w:firstLine="453"/>
        <w:jc w:val="both"/>
      </w:pPr>
      <w:r>
        <w:rPr>
          <w:color w:val="231F1F"/>
        </w:rPr>
        <w:t>Resumiendo, podemos decir que en el parto normal debe existir una razón válida para interferir</w:t>
      </w:r>
      <w:r>
        <w:rPr>
          <w:color w:val="231F1F"/>
          <w:spacing w:val="40"/>
        </w:rPr>
        <w:t> </w:t>
      </w:r>
      <w:r>
        <w:rPr>
          <w:color w:val="231F1F"/>
        </w:rPr>
        <w:t>con</w:t>
      </w:r>
      <w:r>
        <w:rPr>
          <w:color w:val="231F1F"/>
          <w:spacing w:val="40"/>
        </w:rPr>
        <w:t> </w:t>
      </w:r>
      <w:r>
        <w:rPr>
          <w:color w:val="231F1F"/>
        </w:rPr>
        <w:t>el</w:t>
      </w:r>
      <w:r>
        <w:rPr>
          <w:color w:val="231F1F"/>
          <w:spacing w:val="40"/>
        </w:rPr>
        <w:t> </w:t>
      </w:r>
      <w:r>
        <w:rPr>
          <w:color w:val="231F1F"/>
        </w:rPr>
        <w:t>proceso</w:t>
      </w:r>
      <w:r>
        <w:rPr>
          <w:color w:val="231F1F"/>
          <w:spacing w:val="40"/>
        </w:rPr>
        <w:t> </w:t>
      </w:r>
      <w:r>
        <w:rPr>
          <w:color w:val="231F1F"/>
        </w:rPr>
        <w:t>natural.</w:t>
      </w:r>
    </w:p>
    <w:p>
      <w:pPr>
        <w:pStyle w:val="BodyText"/>
        <w:spacing w:line="249" w:lineRule="auto" w:before="146"/>
        <w:ind w:left="283" w:right="119" w:firstLine="453"/>
        <w:jc w:val="both"/>
      </w:pPr>
      <w:r>
        <w:rPr>
          <w:color w:val="231F1F"/>
          <w:w w:val="105"/>
        </w:rPr>
        <w:t>Sin embargo, como el parto y alumbramiento de muchas gestantes con problemas de salud o complicaciones durante su embarazo tienen un curso normal, numerosas recomen- daciones</w:t>
      </w:r>
      <w:r>
        <w:rPr>
          <w:color w:val="231F1F"/>
          <w:spacing w:val="40"/>
          <w:w w:val="105"/>
        </w:rPr>
        <w:t> </w:t>
      </w:r>
      <w:r>
        <w:rPr>
          <w:color w:val="231F1F"/>
          <w:w w:val="105"/>
        </w:rPr>
        <w:t>de</w:t>
      </w:r>
      <w:r>
        <w:rPr>
          <w:color w:val="231F1F"/>
          <w:spacing w:val="40"/>
          <w:w w:val="105"/>
        </w:rPr>
        <w:t> </w:t>
      </w:r>
      <w:r>
        <w:rPr>
          <w:color w:val="231F1F"/>
          <w:w w:val="105"/>
        </w:rPr>
        <w:t>este</w:t>
      </w:r>
      <w:r>
        <w:rPr>
          <w:color w:val="231F1F"/>
          <w:spacing w:val="40"/>
          <w:w w:val="105"/>
        </w:rPr>
        <w:t> </w:t>
      </w:r>
      <w:r>
        <w:rPr>
          <w:color w:val="231F1F"/>
          <w:w w:val="105"/>
        </w:rPr>
        <w:t>estudio</w:t>
      </w:r>
      <w:r>
        <w:rPr>
          <w:color w:val="231F1F"/>
          <w:spacing w:val="40"/>
          <w:w w:val="105"/>
        </w:rPr>
        <w:t> </w:t>
      </w:r>
      <w:r>
        <w:rPr>
          <w:color w:val="231F1F"/>
          <w:w w:val="105"/>
        </w:rPr>
        <w:t>pueden</w:t>
      </w:r>
      <w:r>
        <w:rPr>
          <w:color w:val="231F1F"/>
          <w:spacing w:val="40"/>
          <w:w w:val="105"/>
        </w:rPr>
        <w:t> </w:t>
      </w:r>
      <w:r>
        <w:rPr>
          <w:color w:val="231F1F"/>
          <w:w w:val="105"/>
        </w:rPr>
        <w:t>ser</w:t>
      </w:r>
      <w:r>
        <w:rPr>
          <w:color w:val="231F1F"/>
          <w:spacing w:val="40"/>
          <w:w w:val="105"/>
        </w:rPr>
        <w:t> </w:t>
      </w:r>
      <w:r>
        <w:rPr>
          <w:color w:val="231F1F"/>
          <w:w w:val="105"/>
        </w:rPr>
        <w:t>aplicadas</w:t>
      </w:r>
      <w:r>
        <w:rPr>
          <w:color w:val="231F1F"/>
          <w:spacing w:val="40"/>
          <w:w w:val="105"/>
        </w:rPr>
        <w:t> </w:t>
      </w:r>
      <w:r>
        <w:rPr>
          <w:color w:val="231F1F"/>
          <w:w w:val="105"/>
        </w:rPr>
        <w:t>al</w:t>
      </w:r>
      <w:r>
        <w:rPr>
          <w:color w:val="231F1F"/>
          <w:spacing w:val="40"/>
          <w:w w:val="105"/>
        </w:rPr>
        <w:t> </w:t>
      </w:r>
      <w:r>
        <w:rPr>
          <w:color w:val="231F1F"/>
          <w:w w:val="105"/>
        </w:rPr>
        <w:t>cuidado</w:t>
      </w:r>
      <w:r>
        <w:rPr>
          <w:color w:val="231F1F"/>
          <w:spacing w:val="40"/>
          <w:w w:val="105"/>
        </w:rPr>
        <w:t> </w:t>
      </w:r>
      <w:r>
        <w:rPr>
          <w:color w:val="231F1F"/>
          <w:w w:val="105"/>
        </w:rPr>
        <w:t>de</w:t>
      </w:r>
      <w:r>
        <w:rPr>
          <w:color w:val="231F1F"/>
          <w:spacing w:val="40"/>
          <w:w w:val="105"/>
        </w:rPr>
        <w:t> </w:t>
      </w:r>
      <w:r>
        <w:rPr>
          <w:color w:val="231F1F"/>
          <w:w w:val="105"/>
        </w:rPr>
        <w:t>estas</w:t>
      </w:r>
      <w:r>
        <w:rPr>
          <w:color w:val="231F1F"/>
          <w:spacing w:val="40"/>
          <w:w w:val="105"/>
        </w:rPr>
        <w:t> </w:t>
      </w:r>
      <w:r>
        <w:rPr>
          <w:color w:val="231F1F"/>
          <w:w w:val="105"/>
        </w:rPr>
        <w:t>mujeres.</w:t>
      </w:r>
    </w:p>
    <w:p>
      <w:pPr>
        <w:pStyle w:val="BodyText"/>
        <w:spacing w:after="0" w:line="249" w:lineRule="auto"/>
        <w:jc w:val="both"/>
        <w:sectPr>
          <w:pgSz w:w="11900" w:h="16840"/>
          <w:pgMar w:header="0" w:footer="622" w:top="1500" w:bottom="820" w:left="1417" w:right="1559"/>
        </w:sectPr>
      </w:pPr>
    </w:p>
    <w:p>
      <w:pPr>
        <w:pStyle w:val="BodyText"/>
        <w:spacing w:line="244" w:lineRule="auto" w:before="73"/>
        <w:ind w:left="283" w:right="121" w:firstLine="453"/>
        <w:jc w:val="both"/>
      </w:pPr>
      <w:r>
        <w:rPr>
          <w:color w:val="231F1F"/>
          <w:w w:val="110"/>
        </w:rPr>
        <w:t>El</w:t>
      </w:r>
      <w:r>
        <w:rPr>
          <w:color w:val="231F1F"/>
          <w:spacing w:val="-11"/>
          <w:w w:val="110"/>
        </w:rPr>
        <w:t> </w:t>
      </w:r>
      <w:r>
        <w:rPr>
          <w:color w:val="231F1F"/>
          <w:w w:val="110"/>
        </w:rPr>
        <w:t>contexto</w:t>
      </w:r>
      <w:r>
        <w:rPr>
          <w:color w:val="231F1F"/>
          <w:spacing w:val="-11"/>
          <w:w w:val="110"/>
        </w:rPr>
        <w:t> </w:t>
      </w:r>
      <w:r>
        <w:rPr>
          <w:color w:val="231F1F"/>
          <w:w w:val="110"/>
        </w:rPr>
        <w:t>de</w:t>
      </w:r>
      <w:r>
        <w:rPr>
          <w:color w:val="231F1F"/>
          <w:spacing w:val="-11"/>
          <w:w w:val="110"/>
        </w:rPr>
        <w:t> </w:t>
      </w:r>
      <w:r>
        <w:rPr>
          <w:color w:val="231F1F"/>
          <w:w w:val="110"/>
        </w:rPr>
        <w:t>aplicación</w:t>
      </w:r>
      <w:r>
        <w:rPr>
          <w:color w:val="231F1F"/>
          <w:spacing w:val="-11"/>
          <w:w w:val="110"/>
        </w:rPr>
        <w:t> </w:t>
      </w:r>
      <w:r>
        <w:rPr>
          <w:color w:val="231F1F"/>
          <w:w w:val="110"/>
        </w:rPr>
        <w:t>de</w:t>
      </w:r>
      <w:r>
        <w:rPr>
          <w:color w:val="231F1F"/>
          <w:spacing w:val="-11"/>
          <w:w w:val="110"/>
        </w:rPr>
        <w:t> </w:t>
      </w:r>
      <w:r>
        <w:rPr>
          <w:color w:val="231F1F"/>
          <w:w w:val="110"/>
        </w:rPr>
        <w:t>esta</w:t>
      </w:r>
      <w:r>
        <w:rPr>
          <w:color w:val="231F1F"/>
          <w:spacing w:val="-11"/>
          <w:w w:val="110"/>
        </w:rPr>
        <w:t> </w:t>
      </w:r>
      <w:r>
        <w:rPr>
          <w:color w:val="231F1F"/>
          <w:w w:val="110"/>
        </w:rPr>
        <w:t>guía</w:t>
      </w:r>
      <w:r>
        <w:rPr>
          <w:color w:val="231F1F"/>
          <w:spacing w:val="-11"/>
          <w:w w:val="110"/>
        </w:rPr>
        <w:t> </w:t>
      </w:r>
      <w:r>
        <w:rPr>
          <w:color w:val="231F1F"/>
          <w:w w:val="110"/>
        </w:rPr>
        <w:t>es</w:t>
      </w:r>
      <w:r>
        <w:rPr>
          <w:color w:val="231F1F"/>
          <w:spacing w:val="-11"/>
          <w:w w:val="110"/>
        </w:rPr>
        <w:t> </w:t>
      </w:r>
      <w:r>
        <w:rPr>
          <w:color w:val="231F1F"/>
          <w:w w:val="110"/>
        </w:rPr>
        <w:t>el</w:t>
      </w:r>
      <w:r>
        <w:rPr>
          <w:color w:val="231F1F"/>
          <w:spacing w:val="-11"/>
          <w:w w:val="110"/>
        </w:rPr>
        <w:t> </w:t>
      </w:r>
      <w:r>
        <w:rPr>
          <w:color w:val="231F1F"/>
          <w:w w:val="110"/>
        </w:rPr>
        <w:t>parto</w:t>
      </w:r>
      <w:r>
        <w:rPr>
          <w:color w:val="231F1F"/>
          <w:spacing w:val="-11"/>
          <w:w w:val="110"/>
        </w:rPr>
        <w:t> </w:t>
      </w:r>
      <w:r>
        <w:rPr>
          <w:color w:val="231F1F"/>
          <w:w w:val="110"/>
        </w:rPr>
        <w:t>realizado</w:t>
      </w:r>
      <w:r>
        <w:rPr>
          <w:color w:val="231F1F"/>
          <w:spacing w:val="-10"/>
          <w:w w:val="110"/>
        </w:rPr>
        <w:t> </w:t>
      </w:r>
      <w:r>
        <w:rPr>
          <w:color w:val="231F1F"/>
          <w:w w:val="110"/>
        </w:rPr>
        <w:t>en</w:t>
      </w:r>
      <w:r>
        <w:rPr>
          <w:color w:val="231F1F"/>
          <w:spacing w:val="-11"/>
          <w:w w:val="110"/>
        </w:rPr>
        <w:t> </w:t>
      </w:r>
      <w:r>
        <w:rPr>
          <w:color w:val="231F1F"/>
          <w:w w:val="110"/>
        </w:rPr>
        <w:t>centros</w:t>
      </w:r>
      <w:r>
        <w:rPr>
          <w:color w:val="231F1F"/>
          <w:spacing w:val="-11"/>
          <w:w w:val="110"/>
        </w:rPr>
        <w:t> </w:t>
      </w:r>
      <w:r>
        <w:rPr>
          <w:color w:val="231F1F"/>
          <w:w w:val="110"/>
        </w:rPr>
        <w:t>sanitarios</w:t>
      </w:r>
      <w:r>
        <w:rPr>
          <w:color w:val="231F1F"/>
          <w:spacing w:val="-12"/>
          <w:w w:val="110"/>
        </w:rPr>
        <w:t> </w:t>
      </w:r>
      <w:r>
        <w:rPr>
          <w:color w:val="231F1F"/>
          <w:w w:val="110"/>
        </w:rPr>
        <w:t>hos- pitalarios. No es objeto de esta guía plantear respuestas a las necesidades derivadas del parto en casa o casas de partos.</w:t>
      </w:r>
    </w:p>
    <w:p>
      <w:pPr>
        <w:pStyle w:val="BodyText"/>
        <w:spacing w:line="244" w:lineRule="auto" w:before="142"/>
        <w:ind w:left="283" w:right="125" w:firstLine="453"/>
        <w:jc w:val="both"/>
      </w:pPr>
      <w:r>
        <w:rPr>
          <w:color w:val="231F1F"/>
          <w:w w:val="110"/>
        </w:rPr>
        <w:t>Esta</w:t>
      </w:r>
      <w:r>
        <w:rPr>
          <w:color w:val="231F1F"/>
          <w:spacing w:val="-1"/>
          <w:w w:val="110"/>
        </w:rPr>
        <w:t> </w:t>
      </w:r>
      <w:r>
        <w:rPr>
          <w:color w:val="231F1F"/>
          <w:w w:val="110"/>
        </w:rPr>
        <w:t>Guía</w:t>
      </w:r>
      <w:r>
        <w:rPr>
          <w:color w:val="231F1F"/>
          <w:spacing w:val="-1"/>
          <w:w w:val="110"/>
        </w:rPr>
        <w:t> </w:t>
      </w:r>
      <w:r>
        <w:rPr>
          <w:color w:val="231F1F"/>
          <w:w w:val="110"/>
        </w:rPr>
        <w:t>Clínica</w:t>
      </w:r>
      <w:r>
        <w:rPr>
          <w:color w:val="231F1F"/>
          <w:spacing w:val="-1"/>
          <w:w w:val="110"/>
        </w:rPr>
        <w:t> </w:t>
      </w:r>
      <w:r>
        <w:rPr>
          <w:color w:val="231F1F"/>
          <w:w w:val="110"/>
        </w:rPr>
        <w:t>pretende</w:t>
      </w:r>
      <w:r>
        <w:rPr>
          <w:color w:val="231F1F"/>
          <w:spacing w:val="-1"/>
          <w:w w:val="110"/>
        </w:rPr>
        <w:t> </w:t>
      </w:r>
      <w:r>
        <w:rPr>
          <w:color w:val="231F1F"/>
          <w:w w:val="110"/>
        </w:rPr>
        <w:t>contribuir</w:t>
      </w:r>
      <w:r>
        <w:rPr>
          <w:color w:val="231F1F"/>
          <w:spacing w:val="-1"/>
          <w:w w:val="110"/>
        </w:rPr>
        <w:t> </w:t>
      </w:r>
      <w:r>
        <w:rPr>
          <w:color w:val="231F1F"/>
          <w:w w:val="110"/>
        </w:rPr>
        <w:t>a</w:t>
      </w:r>
      <w:r>
        <w:rPr>
          <w:color w:val="231F1F"/>
          <w:spacing w:val="-1"/>
          <w:w w:val="110"/>
        </w:rPr>
        <w:t> </w:t>
      </w:r>
      <w:r>
        <w:rPr>
          <w:color w:val="231F1F"/>
          <w:w w:val="110"/>
        </w:rPr>
        <w:t>la</w:t>
      </w:r>
      <w:r>
        <w:rPr>
          <w:color w:val="231F1F"/>
          <w:spacing w:val="-1"/>
          <w:w w:val="110"/>
        </w:rPr>
        <w:t> </w:t>
      </w:r>
      <w:r>
        <w:rPr>
          <w:color w:val="231F1F"/>
          <w:w w:val="110"/>
        </w:rPr>
        <w:t>transformación</w:t>
      </w:r>
      <w:r>
        <w:rPr>
          <w:color w:val="231F1F"/>
          <w:spacing w:val="-1"/>
          <w:w w:val="110"/>
        </w:rPr>
        <w:t> </w:t>
      </w:r>
      <w:r>
        <w:rPr>
          <w:color w:val="231F1F"/>
          <w:w w:val="110"/>
        </w:rPr>
        <w:t>en</w:t>
      </w:r>
      <w:r>
        <w:rPr>
          <w:color w:val="231F1F"/>
          <w:spacing w:val="-1"/>
          <w:w w:val="110"/>
        </w:rPr>
        <w:t> </w:t>
      </w:r>
      <w:r>
        <w:rPr>
          <w:color w:val="231F1F"/>
          <w:w w:val="110"/>
        </w:rPr>
        <w:t>el</w:t>
      </w:r>
      <w:r>
        <w:rPr>
          <w:color w:val="231F1F"/>
          <w:spacing w:val="-1"/>
          <w:w w:val="110"/>
        </w:rPr>
        <w:t> </w:t>
      </w:r>
      <w:r>
        <w:rPr>
          <w:color w:val="231F1F"/>
          <w:w w:val="110"/>
        </w:rPr>
        <w:t>modelo</w:t>
      </w:r>
      <w:r>
        <w:rPr>
          <w:color w:val="231F1F"/>
          <w:spacing w:val="-1"/>
          <w:w w:val="110"/>
        </w:rPr>
        <w:t> </w:t>
      </w:r>
      <w:r>
        <w:rPr>
          <w:color w:val="231F1F"/>
          <w:w w:val="110"/>
        </w:rPr>
        <w:t>de</w:t>
      </w:r>
      <w:r>
        <w:rPr>
          <w:color w:val="231F1F"/>
          <w:spacing w:val="-1"/>
          <w:w w:val="110"/>
        </w:rPr>
        <w:t> </w:t>
      </w:r>
      <w:r>
        <w:rPr>
          <w:color w:val="231F1F"/>
          <w:w w:val="110"/>
        </w:rPr>
        <w:t>atención al</w:t>
      </w:r>
      <w:r>
        <w:rPr>
          <w:color w:val="231F1F"/>
          <w:spacing w:val="-11"/>
          <w:w w:val="110"/>
        </w:rPr>
        <w:t> </w:t>
      </w:r>
      <w:r>
        <w:rPr>
          <w:color w:val="231F1F"/>
          <w:w w:val="110"/>
        </w:rPr>
        <w:t>parto</w:t>
      </w:r>
      <w:r>
        <w:rPr>
          <w:color w:val="231F1F"/>
          <w:spacing w:val="-11"/>
          <w:w w:val="110"/>
        </w:rPr>
        <w:t> </w:t>
      </w:r>
      <w:r>
        <w:rPr>
          <w:color w:val="231F1F"/>
          <w:w w:val="110"/>
        </w:rPr>
        <w:t>en</w:t>
      </w:r>
      <w:r>
        <w:rPr>
          <w:color w:val="231F1F"/>
          <w:spacing w:val="-10"/>
          <w:w w:val="110"/>
        </w:rPr>
        <w:t> </w:t>
      </w:r>
      <w:r>
        <w:rPr>
          <w:color w:val="231F1F"/>
          <w:w w:val="110"/>
        </w:rPr>
        <w:t>nuestro</w:t>
      </w:r>
      <w:r>
        <w:rPr>
          <w:color w:val="231F1F"/>
          <w:spacing w:val="-10"/>
          <w:w w:val="110"/>
        </w:rPr>
        <w:t> </w:t>
      </w:r>
      <w:r>
        <w:rPr>
          <w:color w:val="231F1F"/>
          <w:w w:val="110"/>
        </w:rPr>
        <w:t>sistema</w:t>
      </w:r>
      <w:r>
        <w:rPr>
          <w:color w:val="231F1F"/>
          <w:spacing w:val="-11"/>
          <w:w w:val="110"/>
        </w:rPr>
        <w:t> </w:t>
      </w:r>
      <w:r>
        <w:rPr>
          <w:color w:val="231F1F"/>
          <w:w w:val="110"/>
        </w:rPr>
        <w:t>sanitario</w:t>
      </w:r>
      <w:r>
        <w:rPr>
          <w:color w:val="231F1F"/>
          <w:spacing w:val="-11"/>
          <w:w w:val="110"/>
        </w:rPr>
        <w:t> </w:t>
      </w:r>
      <w:r>
        <w:rPr>
          <w:color w:val="231F1F"/>
          <w:w w:val="110"/>
        </w:rPr>
        <w:t>de</w:t>
      </w:r>
      <w:r>
        <w:rPr>
          <w:color w:val="231F1F"/>
          <w:spacing w:val="-11"/>
          <w:w w:val="110"/>
        </w:rPr>
        <w:t> </w:t>
      </w:r>
      <w:r>
        <w:rPr>
          <w:color w:val="231F1F"/>
          <w:w w:val="110"/>
        </w:rPr>
        <w:t>forma</w:t>
      </w:r>
      <w:r>
        <w:rPr>
          <w:color w:val="231F1F"/>
          <w:spacing w:val="-11"/>
          <w:w w:val="110"/>
        </w:rPr>
        <w:t> </w:t>
      </w:r>
      <w:r>
        <w:rPr>
          <w:color w:val="231F1F"/>
          <w:w w:val="110"/>
        </w:rPr>
        <w:t>que</w:t>
      </w:r>
      <w:r>
        <w:rPr>
          <w:color w:val="231F1F"/>
          <w:spacing w:val="-11"/>
          <w:w w:val="110"/>
        </w:rPr>
        <w:t> </w:t>
      </w:r>
      <w:r>
        <w:rPr>
          <w:color w:val="231F1F"/>
          <w:w w:val="110"/>
        </w:rPr>
        <w:t>se</w:t>
      </w:r>
      <w:r>
        <w:rPr>
          <w:color w:val="231F1F"/>
          <w:spacing w:val="-11"/>
          <w:w w:val="110"/>
        </w:rPr>
        <w:t> </w:t>
      </w:r>
      <w:r>
        <w:rPr>
          <w:color w:val="231F1F"/>
          <w:w w:val="110"/>
        </w:rPr>
        <w:t>ofrezca</w:t>
      </w:r>
      <w:r>
        <w:rPr>
          <w:color w:val="231F1F"/>
          <w:spacing w:val="-11"/>
          <w:w w:val="110"/>
        </w:rPr>
        <w:t> </w:t>
      </w:r>
      <w:r>
        <w:rPr>
          <w:color w:val="231F1F"/>
          <w:w w:val="110"/>
        </w:rPr>
        <w:t>una</w:t>
      </w:r>
      <w:r>
        <w:rPr>
          <w:color w:val="231F1F"/>
          <w:spacing w:val="-11"/>
          <w:w w:val="110"/>
        </w:rPr>
        <w:t> </w:t>
      </w:r>
      <w:r>
        <w:rPr>
          <w:color w:val="231F1F"/>
          <w:w w:val="110"/>
        </w:rPr>
        <w:t>atención</w:t>
      </w:r>
      <w:r>
        <w:rPr>
          <w:color w:val="231F1F"/>
          <w:spacing w:val="-11"/>
          <w:w w:val="110"/>
        </w:rPr>
        <w:t> </w:t>
      </w:r>
      <w:r>
        <w:rPr>
          <w:color w:val="231F1F"/>
          <w:w w:val="110"/>
        </w:rPr>
        <w:t>más</w:t>
      </w:r>
      <w:r>
        <w:rPr>
          <w:color w:val="231F1F"/>
          <w:spacing w:val="-11"/>
          <w:w w:val="110"/>
        </w:rPr>
        <w:t> </w:t>
      </w:r>
      <w:r>
        <w:rPr>
          <w:color w:val="231F1F"/>
          <w:w w:val="110"/>
        </w:rPr>
        <w:t>eficaz,</w:t>
      </w:r>
      <w:r>
        <w:rPr>
          <w:color w:val="231F1F"/>
          <w:spacing w:val="-11"/>
          <w:w w:val="110"/>
        </w:rPr>
        <w:t> </w:t>
      </w:r>
      <w:r>
        <w:rPr>
          <w:color w:val="231F1F"/>
          <w:w w:val="110"/>
        </w:rPr>
        <w:t>se- gura y personalizada.</w:t>
      </w:r>
    </w:p>
    <w:p>
      <w:pPr>
        <w:pStyle w:val="BodyText"/>
        <w:spacing w:line="244" w:lineRule="auto" w:before="143"/>
        <w:ind w:left="283" w:right="124" w:firstLine="453"/>
        <w:jc w:val="both"/>
      </w:pPr>
      <w:r>
        <w:rPr>
          <w:color w:val="231F1F"/>
          <w:w w:val="110"/>
        </w:rPr>
        <w:t>Su</w:t>
      </w:r>
      <w:r>
        <w:rPr>
          <w:color w:val="231F1F"/>
          <w:spacing w:val="-3"/>
          <w:w w:val="110"/>
        </w:rPr>
        <w:t> </w:t>
      </w:r>
      <w:r>
        <w:rPr>
          <w:color w:val="231F1F"/>
          <w:w w:val="110"/>
        </w:rPr>
        <w:t>objetivo</w:t>
      </w:r>
      <w:r>
        <w:rPr>
          <w:color w:val="231F1F"/>
          <w:spacing w:val="-3"/>
          <w:w w:val="110"/>
        </w:rPr>
        <w:t> </w:t>
      </w:r>
      <w:r>
        <w:rPr>
          <w:color w:val="231F1F"/>
          <w:w w:val="110"/>
        </w:rPr>
        <w:t>es</w:t>
      </w:r>
      <w:r>
        <w:rPr>
          <w:color w:val="231F1F"/>
          <w:spacing w:val="-3"/>
          <w:w w:val="110"/>
        </w:rPr>
        <w:t> </w:t>
      </w:r>
      <w:r>
        <w:rPr>
          <w:color w:val="231F1F"/>
          <w:w w:val="110"/>
        </w:rPr>
        <w:t>ofrecer</w:t>
      </w:r>
      <w:r>
        <w:rPr>
          <w:color w:val="231F1F"/>
          <w:spacing w:val="-4"/>
          <w:w w:val="110"/>
        </w:rPr>
        <w:t> </w:t>
      </w:r>
      <w:r>
        <w:rPr>
          <w:color w:val="231F1F"/>
          <w:w w:val="110"/>
        </w:rPr>
        <w:t>a</w:t>
      </w:r>
      <w:r>
        <w:rPr>
          <w:color w:val="231F1F"/>
          <w:spacing w:val="-3"/>
          <w:w w:val="110"/>
        </w:rPr>
        <w:t> </w:t>
      </w:r>
      <w:r>
        <w:rPr>
          <w:color w:val="231F1F"/>
          <w:w w:val="110"/>
        </w:rPr>
        <w:t>las</w:t>
      </w:r>
      <w:r>
        <w:rPr>
          <w:color w:val="231F1F"/>
          <w:spacing w:val="-3"/>
          <w:w w:val="110"/>
        </w:rPr>
        <w:t> </w:t>
      </w:r>
      <w:r>
        <w:rPr>
          <w:color w:val="231F1F"/>
          <w:w w:val="110"/>
        </w:rPr>
        <w:t>personas</w:t>
      </w:r>
      <w:r>
        <w:rPr>
          <w:color w:val="231F1F"/>
          <w:spacing w:val="-4"/>
          <w:w w:val="110"/>
        </w:rPr>
        <w:t> </w:t>
      </w:r>
      <w:r>
        <w:rPr>
          <w:color w:val="231F1F"/>
          <w:w w:val="110"/>
        </w:rPr>
        <w:t>usuarias</w:t>
      </w:r>
      <w:r>
        <w:rPr>
          <w:color w:val="231F1F"/>
          <w:spacing w:val="-4"/>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guía</w:t>
      </w:r>
      <w:r>
        <w:rPr>
          <w:color w:val="231F1F"/>
          <w:spacing w:val="-3"/>
          <w:w w:val="110"/>
        </w:rPr>
        <w:t> </w:t>
      </w:r>
      <w:r>
        <w:rPr>
          <w:color w:val="231F1F"/>
          <w:w w:val="110"/>
        </w:rPr>
        <w:t>una</w:t>
      </w:r>
      <w:r>
        <w:rPr>
          <w:color w:val="231F1F"/>
          <w:spacing w:val="-3"/>
          <w:w w:val="110"/>
        </w:rPr>
        <w:t> </w:t>
      </w:r>
      <w:r>
        <w:rPr>
          <w:color w:val="231F1F"/>
          <w:w w:val="110"/>
        </w:rPr>
        <w:t>información</w:t>
      </w:r>
      <w:r>
        <w:rPr>
          <w:color w:val="231F1F"/>
          <w:spacing w:val="-3"/>
          <w:w w:val="110"/>
        </w:rPr>
        <w:t> </w:t>
      </w:r>
      <w:r>
        <w:rPr>
          <w:color w:val="231F1F"/>
          <w:w w:val="110"/>
        </w:rPr>
        <w:t>rigurosa</w:t>
      </w:r>
      <w:r>
        <w:rPr>
          <w:color w:val="231F1F"/>
          <w:spacing w:val="-3"/>
          <w:w w:val="110"/>
        </w:rPr>
        <w:t> </w:t>
      </w:r>
      <w:r>
        <w:rPr>
          <w:color w:val="231F1F"/>
          <w:w w:val="110"/>
        </w:rPr>
        <w:t>y actualizada</w:t>
      </w:r>
      <w:r>
        <w:rPr>
          <w:color w:val="231F1F"/>
          <w:spacing w:val="-16"/>
          <w:w w:val="110"/>
        </w:rPr>
        <w:t> </w:t>
      </w:r>
      <w:r>
        <w:rPr>
          <w:color w:val="231F1F"/>
          <w:w w:val="110"/>
        </w:rPr>
        <w:t>que</w:t>
      </w:r>
      <w:r>
        <w:rPr>
          <w:color w:val="231F1F"/>
          <w:spacing w:val="-15"/>
          <w:w w:val="110"/>
        </w:rPr>
        <w:t> </w:t>
      </w:r>
      <w:r>
        <w:rPr>
          <w:color w:val="231F1F"/>
          <w:w w:val="110"/>
        </w:rPr>
        <w:t>permita</w:t>
      </w:r>
      <w:r>
        <w:rPr>
          <w:color w:val="231F1F"/>
          <w:spacing w:val="-15"/>
          <w:w w:val="110"/>
        </w:rPr>
        <w:t> </w:t>
      </w:r>
      <w:r>
        <w:rPr>
          <w:color w:val="231F1F"/>
          <w:w w:val="110"/>
        </w:rPr>
        <w:t>tomar</w:t>
      </w:r>
      <w:r>
        <w:rPr>
          <w:color w:val="231F1F"/>
          <w:spacing w:val="-15"/>
          <w:w w:val="110"/>
        </w:rPr>
        <w:t> </w:t>
      </w:r>
      <w:r>
        <w:rPr>
          <w:color w:val="231F1F"/>
          <w:w w:val="110"/>
        </w:rPr>
        <w:t>decisiones</w:t>
      </w:r>
      <w:r>
        <w:rPr>
          <w:color w:val="231F1F"/>
          <w:spacing w:val="-15"/>
          <w:w w:val="110"/>
        </w:rPr>
        <w:t> </w:t>
      </w:r>
      <w:r>
        <w:rPr>
          <w:color w:val="231F1F"/>
          <w:w w:val="110"/>
        </w:rPr>
        <w:t>compartidas</w:t>
      </w:r>
      <w:r>
        <w:rPr>
          <w:color w:val="231F1F"/>
          <w:spacing w:val="-15"/>
          <w:w w:val="110"/>
        </w:rPr>
        <w:t> </w:t>
      </w:r>
      <w:r>
        <w:rPr>
          <w:color w:val="231F1F"/>
          <w:w w:val="110"/>
        </w:rPr>
        <w:t>entre</w:t>
      </w:r>
      <w:r>
        <w:rPr>
          <w:color w:val="231F1F"/>
          <w:spacing w:val="-15"/>
          <w:w w:val="110"/>
        </w:rPr>
        <w:t> </w:t>
      </w:r>
      <w:r>
        <w:rPr>
          <w:color w:val="231F1F"/>
          <w:w w:val="110"/>
        </w:rPr>
        <w:t>profesionales</w:t>
      </w:r>
      <w:r>
        <w:rPr>
          <w:color w:val="231F1F"/>
          <w:spacing w:val="-15"/>
          <w:w w:val="110"/>
        </w:rPr>
        <w:t> </w:t>
      </w:r>
      <w:r>
        <w:rPr>
          <w:color w:val="231F1F"/>
          <w:w w:val="110"/>
        </w:rPr>
        <w:t>y</w:t>
      </w:r>
      <w:r>
        <w:rPr>
          <w:color w:val="231F1F"/>
          <w:spacing w:val="-16"/>
          <w:w w:val="110"/>
        </w:rPr>
        <w:t> </w:t>
      </w:r>
      <w:r>
        <w:rPr>
          <w:color w:val="231F1F"/>
          <w:w w:val="110"/>
        </w:rPr>
        <w:t>mujeres</w:t>
      </w:r>
      <w:r>
        <w:rPr>
          <w:color w:val="231F1F"/>
          <w:spacing w:val="-15"/>
          <w:w w:val="110"/>
        </w:rPr>
        <w:t> </w:t>
      </w:r>
      <w:r>
        <w:rPr>
          <w:color w:val="231F1F"/>
          <w:w w:val="110"/>
        </w:rPr>
        <w:t>en</w:t>
      </w:r>
      <w:r>
        <w:rPr>
          <w:color w:val="231F1F"/>
          <w:spacing w:val="-15"/>
          <w:w w:val="110"/>
        </w:rPr>
        <w:t> </w:t>
      </w:r>
      <w:r>
        <w:rPr>
          <w:color w:val="231F1F"/>
          <w:w w:val="110"/>
        </w:rPr>
        <w:t>la atención durante el parto.</w:t>
      </w:r>
    </w:p>
    <w:p>
      <w:pPr>
        <w:pStyle w:val="BodyText"/>
        <w:spacing w:line="249" w:lineRule="auto" w:before="143"/>
        <w:ind w:left="283" w:right="119" w:firstLine="453"/>
        <w:jc w:val="both"/>
      </w:pPr>
      <w:r>
        <w:rPr>
          <w:color w:val="231F1F"/>
          <w:w w:val="105"/>
        </w:rPr>
        <w:t>Esta</w:t>
      </w:r>
      <w:r>
        <w:rPr>
          <w:color w:val="231F1F"/>
          <w:w w:val="105"/>
        </w:rPr>
        <w:t> guía</w:t>
      </w:r>
      <w:r>
        <w:rPr>
          <w:color w:val="231F1F"/>
          <w:w w:val="105"/>
        </w:rPr>
        <w:t> va</w:t>
      </w:r>
      <w:r>
        <w:rPr>
          <w:color w:val="231F1F"/>
          <w:w w:val="105"/>
        </w:rPr>
        <w:t> destinada</w:t>
      </w:r>
      <w:r>
        <w:rPr>
          <w:color w:val="231F1F"/>
          <w:w w:val="105"/>
        </w:rPr>
        <w:t> fundamentalmente</w:t>
      </w:r>
      <w:r>
        <w:rPr>
          <w:color w:val="231F1F"/>
          <w:w w:val="105"/>
        </w:rPr>
        <w:t> a</w:t>
      </w:r>
      <w:r>
        <w:rPr>
          <w:color w:val="231F1F"/>
          <w:w w:val="105"/>
        </w:rPr>
        <w:t> obstetras,</w:t>
      </w:r>
      <w:r>
        <w:rPr>
          <w:color w:val="231F1F"/>
          <w:w w:val="105"/>
        </w:rPr>
        <w:t> matronas,</w:t>
      </w:r>
      <w:r>
        <w:rPr>
          <w:color w:val="231F1F"/>
          <w:w w:val="105"/>
        </w:rPr>
        <w:t> pediatras,</w:t>
      </w:r>
      <w:r>
        <w:rPr>
          <w:color w:val="231F1F"/>
          <w:w w:val="105"/>
        </w:rPr>
        <w:t> anestesis- tas de obstetricia y personal sanitario responsable de la atención al parto y al recién nacido en el entorno de un centro sanitario. También va dirigida a responsables de la planificación y gestión de los servicios de maternidad y a las mujeres embarazadas y sus familias a quie- nes se ofrece una versión adaptada de la guía con el fin de informar adecuadamente y fa- vorecer</w:t>
      </w:r>
      <w:r>
        <w:rPr>
          <w:color w:val="231F1F"/>
          <w:spacing w:val="40"/>
          <w:w w:val="105"/>
        </w:rPr>
        <w:t> </w:t>
      </w:r>
      <w:r>
        <w:rPr>
          <w:color w:val="231F1F"/>
          <w:w w:val="105"/>
        </w:rPr>
        <w:t>una</w:t>
      </w:r>
      <w:r>
        <w:rPr>
          <w:color w:val="231F1F"/>
          <w:spacing w:val="40"/>
          <w:w w:val="105"/>
        </w:rPr>
        <w:t> </w:t>
      </w:r>
      <w:r>
        <w:rPr>
          <w:color w:val="231F1F"/>
          <w:w w:val="105"/>
        </w:rPr>
        <w:t>mejor</w:t>
      </w:r>
      <w:r>
        <w:rPr>
          <w:color w:val="231F1F"/>
          <w:spacing w:val="40"/>
          <w:w w:val="105"/>
        </w:rPr>
        <w:t> </w:t>
      </w:r>
      <w:r>
        <w:rPr>
          <w:color w:val="231F1F"/>
          <w:w w:val="105"/>
        </w:rPr>
        <w:t>comunicación</w:t>
      </w:r>
      <w:r>
        <w:rPr>
          <w:color w:val="231F1F"/>
          <w:spacing w:val="40"/>
          <w:w w:val="105"/>
        </w:rPr>
        <w:t> </w:t>
      </w:r>
      <w:r>
        <w:rPr>
          <w:color w:val="231F1F"/>
          <w:w w:val="105"/>
        </w:rPr>
        <w:t>con</w:t>
      </w:r>
      <w:r>
        <w:rPr>
          <w:color w:val="231F1F"/>
          <w:spacing w:val="40"/>
          <w:w w:val="105"/>
        </w:rPr>
        <w:t> </w:t>
      </w:r>
      <w:r>
        <w:rPr>
          <w:color w:val="231F1F"/>
          <w:w w:val="105"/>
        </w:rPr>
        <w:t>quien</w:t>
      </w:r>
      <w:r>
        <w:rPr>
          <w:color w:val="231F1F"/>
          <w:spacing w:val="40"/>
          <w:w w:val="105"/>
        </w:rPr>
        <w:t> </w:t>
      </w:r>
      <w:r>
        <w:rPr>
          <w:color w:val="231F1F"/>
          <w:w w:val="105"/>
        </w:rPr>
        <w:t>les</w:t>
      </w:r>
      <w:r>
        <w:rPr>
          <w:color w:val="231F1F"/>
          <w:spacing w:val="40"/>
          <w:w w:val="105"/>
        </w:rPr>
        <w:t> </w:t>
      </w:r>
      <w:r>
        <w:rPr>
          <w:color w:val="231F1F"/>
          <w:w w:val="105"/>
        </w:rPr>
        <w:t>atiende.</w:t>
      </w:r>
    </w:p>
    <w:p>
      <w:pPr>
        <w:pStyle w:val="BodyText"/>
        <w:spacing w:after="0" w:line="249" w:lineRule="auto"/>
        <w:jc w:val="both"/>
        <w:sectPr>
          <w:pgSz w:w="11900" w:h="16840"/>
          <w:pgMar w:header="0" w:footer="622" w:top="1560" w:bottom="820" w:left="1417" w:right="1559"/>
        </w:sectPr>
      </w:pPr>
    </w:p>
    <w:p>
      <w:pPr>
        <w:pStyle w:val="Heading1"/>
        <w:numPr>
          <w:ilvl w:val="1"/>
          <w:numId w:val="2"/>
        </w:numPr>
        <w:tabs>
          <w:tab w:pos="906" w:val="left" w:leader="none"/>
        </w:tabs>
        <w:spacing w:line="240" w:lineRule="auto" w:before="63" w:after="0"/>
        <w:ind w:left="906" w:right="0" w:hanging="623"/>
        <w:jc w:val="left"/>
        <w:rPr>
          <w:color w:val="231F1F"/>
        </w:rPr>
      </w:pPr>
      <w:bookmarkStart w:name="_TOC_250050" w:id="6"/>
      <w:r>
        <w:rPr>
          <w:color w:val="231F1F"/>
        </w:rPr>
        <w:t>Metodología</w:t>
      </w:r>
      <w:r>
        <w:rPr>
          <w:color w:val="231F1F"/>
          <w:spacing w:val="74"/>
        </w:rPr>
        <w:t> </w:t>
      </w:r>
      <w:r>
        <w:rPr>
          <w:color w:val="231F1F"/>
        </w:rPr>
        <w:t>de</w:t>
      </w:r>
      <w:r>
        <w:rPr>
          <w:color w:val="231F1F"/>
          <w:spacing w:val="73"/>
        </w:rPr>
        <w:t> </w:t>
      </w:r>
      <w:r>
        <w:rPr>
          <w:color w:val="231F1F"/>
        </w:rPr>
        <w:t>la</w:t>
      </w:r>
      <w:r>
        <w:rPr>
          <w:color w:val="231F1F"/>
          <w:spacing w:val="76"/>
        </w:rPr>
        <w:t> </w:t>
      </w:r>
      <w:bookmarkEnd w:id="6"/>
      <w:r>
        <w:rPr>
          <w:color w:val="231F1F"/>
          <w:spacing w:val="-4"/>
        </w:rPr>
        <w:t>guía</w:t>
      </w:r>
    </w:p>
    <w:p>
      <w:pPr>
        <w:pStyle w:val="BodyText"/>
        <w:spacing w:before="80"/>
        <w:rPr>
          <w:sz w:val="50"/>
        </w:rPr>
      </w:pPr>
    </w:p>
    <w:p>
      <w:pPr>
        <w:pStyle w:val="BodyText"/>
        <w:spacing w:line="249" w:lineRule="auto" w:before="1"/>
        <w:ind w:left="283" w:right="118"/>
        <w:jc w:val="both"/>
      </w:pPr>
      <w:r>
        <w:rPr>
          <w:color w:val="231F1F"/>
          <w:w w:val="105"/>
        </w:rPr>
        <w:t>Para</w:t>
      </w:r>
      <w:r>
        <w:rPr>
          <w:color w:val="231F1F"/>
          <w:w w:val="105"/>
        </w:rPr>
        <w:t> la</w:t>
      </w:r>
      <w:r>
        <w:rPr>
          <w:color w:val="231F1F"/>
          <w:w w:val="105"/>
        </w:rPr>
        <w:t> elaboración</w:t>
      </w:r>
      <w:r>
        <w:rPr>
          <w:color w:val="231F1F"/>
          <w:w w:val="105"/>
        </w:rPr>
        <w:t> de</w:t>
      </w:r>
      <w:r>
        <w:rPr>
          <w:color w:val="231F1F"/>
          <w:w w:val="105"/>
        </w:rPr>
        <w:t> la</w:t>
      </w:r>
      <w:r>
        <w:rPr>
          <w:color w:val="231F1F"/>
          <w:w w:val="105"/>
        </w:rPr>
        <w:t> GPC</w:t>
      </w:r>
      <w:r>
        <w:rPr>
          <w:color w:val="231F1F"/>
          <w:w w:val="105"/>
        </w:rPr>
        <w:t> se</w:t>
      </w:r>
      <w:r>
        <w:rPr>
          <w:color w:val="231F1F"/>
          <w:w w:val="105"/>
        </w:rPr>
        <w:t> ha</w:t>
      </w:r>
      <w:r>
        <w:rPr>
          <w:color w:val="231F1F"/>
          <w:w w:val="105"/>
        </w:rPr>
        <w:t> seguido</w:t>
      </w:r>
      <w:r>
        <w:rPr>
          <w:color w:val="231F1F"/>
          <w:w w:val="105"/>
        </w:rPr>
        <w:t> el</w:t>
      </w:r>
      <w:r>
        <w:rPr>
          <w:color w:val="231F1F"/>
          <w:w w:val="105"/>
        </w:rPr>
        <w:t> Manual</w:t>
      </w:r>
      <w:r>
        <w:rPr>
          <w:color w:val="231F1F"/>
          <w:w w:val="105"/>
        </w:rPr>
        <w:t> Metodológico</w:t>
      </w:r>
      <w:r>
        <w:rPr>
          <w:color w:val="231F1F"/>
          <w:w w:val="105"/>
        </w:rPr>
        <w:t> «Elaboración</w:t>
      </w:r>
      <w:r>
        <w:rPr>
          <w:color w:val="231F1F"/>
          <w:w w:val="105"/>
        </w:rPr>
        <w:t> de Guías de Práctica Clínica en el Sistema Nacional de Salud».(2) Puede ser consultado en la página</w:t>
      </w:r>
      <w:r>
        <w:rPr>
          <w:color w:val="231F1F"/>
          <w:spacing w:val="40"/>
          <w:w w:val="105"/>
        </w:rPr>
        <w:t> </w:t>
      </w:r>
      <w:r>
        <w:rPr>
          <w:color w:val="231F1F"/>
          <w:w w:val="105"/>
        </w:rPr>
        <w:t>Web</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Biblioteca</w:t>
      </w:r>
      <w:r>
        <w:rPr>
          <w:color w:val="231F1F"/>
          <w:spacing w:val="40"/>
          <w:w w:val="105"/>
        </w:rPr>
        <w:t> </w:t>
      </w:r>
      <w:r>
        <w:rPr>
          <w:color w:val="231F1F"/>
          <w:w w:val="105"/>
        </w:rPr>
        <w:t>de</w:t>
      </w:r>
      <w:r>
        <w:rPr>
          <w:color w:val="231F1F"/>
          <w:spacing w:val="40"/>
          <w:w w:val="105"/>
        </w:rPr>
        <w:t> </w:t>
      </w:r>
      <w:r>
        <w:rPr>
          <w:color w:val="231F1F"/>
          <w:w w:val="105"/>
        </w:rPr>
        <w:t>GPC</w:t>
      </w:r>
      <w:r>
        <w:rPr>
          <w:color w:val="231F1F"/>
          <w:spacing w:val="40"/>
          <w:w w:val="105"/>
        </w:rPr>
        <w:t> </w:t>
      </w:r>
      <w:r>
        <w:rPr>
          <w:color w:val="231F1F"/>
          <w:w w:val="105"/>
        </w:rPr>
        <w:t>del</w:t>
      </w:r>
      <w:r>
        <w:rPr>
          <w:color w:val="231F1F"/>
          <w:spacing w:val="40"/>
          <w:w w:val="105"/>
        </w:rPr>
        <w:t> </w:t>
      </w:r>
      <w:r>
        <w:rPr>
          <w:color w:val="231F1F"/>
          <w:w w:val="105"/>
        </w:rPr>
        <w:t>SNS,</w:t>
      </w:r>
      <w:r>
        <w:rPr>
          <w:color w:val="231F1F"/>
          <w:spacing w:val="40"/>
          <w:w w:val="105"/>
        </w:rPr>
        <w:t> </w:t>
      </w:r>
      <w:r>
        <w:rPr>
          <w:color w:val="231F1F"/>
          <w:w w:val="105"/>
        </w:rPr>
        <w:t>GuíaSalud.</w:t>
      </w:r>
    </w:p>
    <w:p>
      <w:pPr>
        <w:pStyle w:val="BodyText"/>
        <w:spacing w:line="244" w:lineRule="auto" w:before="137"/>
        <w:ind w:left="283" w:right="116" w:firstLine="453"/>
        <w:jc w:val="both"/>
      </w:pPr>
      <w:r>
        <w:rPr>
          <w:color w:val="231F1F"/>
          <w:w w:val="110"/>
        </w:rPr>
        <w:t>Se</w:t>
      </w:r>
      <w:r>
        <w:rPr>
          <w:color w:val="231F1F"/>
          <w:w w:val="110"/>
        </w:rPr>
        <w:t> ha</w:t>
      </w:r>
      <w:r>
        <w:rPr>
          <w:color w:val="231F1F"/>
          <w:w w:val="110"/>
        </w:rPr>
        <w:t> utilizado</w:t>
      </w:r>
      <w:r>
        <w:rPr>
          <w:color w:val="231F1F"/>
          <w:w w:val="110"/>
        </w:rPr>
        <w:t> una</w:t>
      </w:r>
      <w:r>
        <w:rPr>
          <w:color w:val="231F1F"/>
          <w:w w:val="110"/>
        </w:rPr>
        <w:t> metodología</w:t>
      </w:r>
      <w:r>
        <w:rPr>
          <w:color w:val="231F1F"/>
          <w:w w:val="110"/>
        </w:rPr>
        <w:t> mixta,</w:t>
      </w:r>
      <w:r>
        <w:rPr>
          <w:color w:val="231F1F"/>
          <w:w w:val="110"/>
        </w:rPr>
        <w:t> utilizando</w:t>
      </w:r>
      <w:r>
        <w:rPr>
          <w:color w:val="231F1F"/>
          <w:w w:val="110"/>
        </w:rPr>
        <w:t> estrategias</w:t>
      </w:r>
      <w:r>
        <w:rPr>
          <w:color w:val="231F1F"/>
          <w:w w:val="110"/>
        </w:rPr>
        <w:t> de</w:t>
      </w:r>
      <w:r>
        <w:rPr>
          <w:color w:val="231F1F"/>
          <w:w w:val="110"/>
        </w:rPr>
        <w:t> actualización</w:t>
      </w:r>
      <w:r>
        <w:rPr>
          <w:color w:val="231F1F"/>
          <w:w w:val="110"/>
        </w:rPr>
        <w:t> y adaptación</w:t>
      </w:r>
      <w:r>
        <w:rPr>
          <w:color w:val="231F1F"/>
          <w:spacing w:val="-2"/>
          <w:w w:val="110"/>
        </w:rPr>
        <w:t> </w:t>
      </w:r>
      <w:r>
        <w:rPr>
          <w:color w:val="231F1F"/>
          <w:w w:val="110"/>
        </w:rPr>
        <w:t>para</w:t>
      </w:r>
      <w:r>
        <w:rPr>
          <w:color w:val="231F1F"/>
          <w:spacing w:val="-2"/>
          <w:w w:val="110"/>
        </w:rPr>
        <w:t> </w:t>
      </w:r>
      <w:r>
        <w:rPr>
          <w:color w:val="231F1F"/>
          <w:w w:val="110"/>
        </w:rPr>
        <w:t>las</w:t>
      </w:r>
      <w:r>
        <w:rPr>
          <w:color w:val="231F1F"/>
          <w:spacing w:val="-2"/>
          <w:w w:val="110"/>
        </w:rPr>
        <w:t> </w:t>
      </w:r>
      <w:r>
        <w:rPr>
          <w:color w:val="231F1F"/>
          <w:w w:val="110"/>
        </w:rPr>
        <w:t>preguntas</w:t>
      </w:r>
      <w:r>
        <w:rPr>
          <w:color w:val="231F1F"/>
          <w:spacing w:val="-3"/>
          <w:w w:val="110"/>
        </w:rPr>
        <w:t> </w:t>
      </w:r>
      <w:r>
        <w:rPr>
          <w:color w:val="231F1F"/>
          <w:w w:val="110"/>
        </w:rPr>
        <w:t>que</w:t>
      </w:r>
      <w:r>
        <w:rPr>
          <w:color w:val="231F1F"/>
          <w:spacing w:val="-2"/>
          <w:w w:val="110"/>
        </w:rPr>
        <w:t> </w:t>
      </w:r>
      <w:r>
        <w:rPr>
          <w:color w:val="231F1F"/>
          <w:w w:val="110"/>
        </w:rPr>
        <w:t>están</w:t>
      </w:r>
      <w:r>
        <w:rPr>
          <w:color w:val="231F1F"/>
          <w:spacing w:val="-2"/>
          <w:w w:val="110"/>
        </w:rPr>
        <w:t> </w:t>
      </w:r>
      <w:r>
        <w:rPr>
          <w:color w:val="231F1F"/>
          <w:w w:val="110"/>
        </w:rPr>
        <w:t>contestadas</w:t>
      </w:r>
      <w:r>
        <w:rPr>
          <w:color w:val="231F1F"/>
          <w:spacing w:val="-2"/>
          <w:w w:val="110"/>
        </w:rPr>
        <w:t> </w:t>
      </w:r>
      <w:r>
        <w:rPr>
          <w:color w:val="231F1F"/>
          <w:w w:val="110"/>
        </w:rPr>
        <w:t>en</w:t>
      </w:r>
      <w:r>
        <w:rPr>
          <w:color w:val="231F1F"/>
          <w:spacing w:val="-2"/>
          <w:w w:val="110"/>
        </w:rPr>
        <w:t> </w:t>
      </w:r>
      <w:r>
        <w:rPr>
          <w:color w:val="231F1F"/>
          <w:w w:val="110"/>
        </w:rPr>
        <w:t>la</w:t>
      </w:r>
      <w:r>
        <w:rPr>
          <w:color w:val="231F1F"/>
          <w:spacing w:val="-2"/>
          <w:w w:val="110"/>
        </w:rPr>
        <w:t> </w:t>
      </w:r>
      <w:r>
        <w:rPr>
          <w:color w:val="231F1F"/>
          <w:w w:val="110"/>
        </w:rPr>
        <w:t>GPC</w:t>
      </w:r>
      <w:r>
        <w:rPr>
          <w:color w:val="231F1F"/>
          <w:spacing w:val="-2"/>
          <w:w w:val="110"/>
        </w:rPr>
        <w:t> </w:t>
      </w:r>
      <w:r>
        <w:rPr>
          <w:color w:val="231F1F"/>
          <w:w w:val="110"/>
        </w:rPr>
        <w:t>NICE</w:t>
      </w:r>
      <w:r>
        <w:rPr>
          <w:color w:val="231F1F"/>
          <w:spacing w:val="-1"/>
          <w:w w:val="110"/>
        </w:rPr>
        <w:t> </w:t>
      </w:r>
      <w:r>
        <w:rPr>
          <w:color w:val="231F1F"/>
          <w:w w:val="110"/>
        </w:rPr>
        <w:t>(10),</w:t>
      </w:r>
      <w:r>
        <w:rPr>
          <w:color w:val="231F1F"/>
          <w:spacing w:val="-3"/>
          <w:w w:val="110"/>
        </w:rPr>
        <w:t> </w:t>
      </w:r>
      <w:r>
        <w:rPr>
          <w:color w:val="231F1F"/>
          <w:w w:val="110"/>
        </w:rPr>
        <w:t>seleccionada previamente</w:t>
      </w:r>
      <w:r>
        <w:rPr>
          <w:color w:val="231F1F"/>
          <w:w w:val="110"/>
        </w:rPr>
        <w:t> mediante</w:t>
      </w:r>
      <w:r>
        <w:rPr>
          <w:color w:val="231F1F"/>
          <w:w w:val="110"/>
        </w:rPr>
        <w:t> el</w:t>
      </w:r>
      <w:r>
        <w:rPr>
          <w:color w:val="231F1F"/>
          <w:w w:val="110"/>
        </w:rPr>
        <w:t> instrumento</w:t>
      </w:r>
      <w:r>
        <w:rPr>
          <w:color w:val="231F1F"/>
          <w:w w:val="110"/>
        </w:rPr>
        <w:t> AGREE</w:t>
      </w:r>
      <w:r>
        <w:rPr>
          <w:color w:val="231F1F"/>
          <w:w w:val="110"/>
        </w:rPr>
        <w:t> por</w:t>
      </w:r>
      <w:r>
        <w:rPr>
          <w:color w:val="231F1F"/>
          <w:w w:val="110"/>
        </w:rPr>
        <w:t> su</w:t>
      </w:r>
      <w:r>
        <w:rPr>
          <w:color w:val="231F1F"/>
          <w:w w:val="110"/>
        </w:rPr>
        <w:t> mayor</w:t>
      </w:r>
      <w:r>
        <w:rPr>
          <w:color w:val="231F1F"/>
          <w:w w:val="110"/>
        </w:rPr>
        <w:t> calidad.</w:t>
      </w:r>
      <w:r>
        <w:rPr>
          <w:color w:val="231F1F"/>
          <w:w w:val="110"/>
        </w:rPr>
        <w:t> Se</w:t>
      </w:r>
      <w:r>
        <w:rPr>
          <w:color w:val="231F1F"/>
          <w:w w:val="110"/>
        </w:rPr>
        <w:t> ha</w:t>
      </w:r>
      <w:r>
        <w:rPr>
          <w:color w:val="231F1F"/>
          <w:w w:val="110"/>
        </w:rPr>
        <w:t> seguido</w:t>
      </w:r>
      <w:r>
        <w:rPr>
          <w:color w:val="231F1F"/>
          <w:w w:val="110"/>
        </w:rPr>
        <w:t> el método de elaboración «de novo» para aquellas preguntas que no están respondidas en dicha Guía (6;7)</w:t>
      </w:r>
    </w:p>
    <w:p>
      <w:pPr>
        <w:pStyle w:val="BodyText"/>
        <w:spacing w:before="150"/>
        <w:ind w:left="736"/>
        <w:jc w:val="both"/>
      </w:pPr>
      <w:r>
        <w:rPr>
          <w:color w:val="231F1F"/>
        </w:rPr>
        <w:t>Los</w:t>
      </w:r>
      <w:r>
        <w:rPr>
          <w:color w:val="231F1F"/>
          <w:spacing w:val="23"/>
        </w:rPr>
        <w:t> </w:t>
      </w:r>
      <w:r>
        <w:rPr>
          <w:color w:val="231F1F"/>
        </w:rPr>
        <w:t>pasos</w:t>
      </w:r>
      <w:r>
        <w:rPr>
          <w:color w:val="231F1F"/>
          <w:spacing w:val="24"/>
        </w:rPr>
        <w:t> </w:t>
      </w:r>
      <w:r>
        <w:rPr>
          <w:color w:val="231F1F"/>
        </w:rPr>
        <w:t>que</w:t>
      </w:r>
      <w:r>
        <w:rPr>
          <w:color w:val="231F1F"/>
          <w:spacing w:val="25"/>
        </w:rPr>
        <w:t> </w:t>
      </w:r>
      <w:r>
        <w:rPr>
          <w:color w:val="231F1F"/>
        </w:rPr>
        <w:t>se</w:t>
      </w:r>
      <w:r>
        <w:rPr>
          <w:color w:val="231F1F"/>
          <w:spacing w:val="25"/>
        </w:rPr>
        <w:t> </w:t>
      </w:r>
      <w:r>
        <w:rPr>
          <w:color w:val="231F1F"/>
        </w:rPr>
        <w:t>han</w:t>
      </w:r>
      <w:r>
        <w:rPr>
          <w:color w:val="231F1F"/>
          <w:spacing w:val="24"/>
        </w:rPr>
        <w:t> </w:t>
      </w:r>
      <w:r>
        <w:rPr>
          <w:color w:val="231F1F"/>
        </w:rPr>
        <w:t>seguido</w:t>
      </w:r>
      <w:r>
        <w:rPr>
          <w:color w:val="231F1F"/>
          <w:spacing w:val="25"/>
        </w:rPr>
        <w:t> </w:t>
      </w:r>
      <w:r>
        <w:rPr>
          <w:color w:val="231F1F"/>
          <w:spacing w:val="-4"/>
        </w:rPr>
        <w:t>son:</w:t>
      </w:r>
    </w:p>
    <w:p>
      <w:pPr>
        <w:pStyle w:val="BodyText"/>
        <w:spacing w:before="208"/>
      </w:pPr>
    </w:p>
    <w:p>
      <w:pPr>
        <w:spacing w:before="0"/>
        <w:ind w:left="283" w:right="0" w:firstLine="0"/>
        <w:jc w:val="left"/>
        <w:rPr>
          <w:rFonts w:ascii="Arial MT" w:hAnsi="Arial MT"/>
          <w:sz w:val="24"/>
        </w:rPr>
      </w:pPr>
      <w:r>
        <w:rPr>
          <w:rFonts w:ascii="Arial MT" w:hAnsi="Arial MT"/>
          <w:color w:val="231F1F"/>
          <w:w w:val="105"/>
          <w:sz w:val="24"/>
        </w:rPr>
        <w:t>Constitución</w:t>
      </w:r>
      <w:r>
        <w:rPr>
          <w:rFonts w:ascii="Arial MT" w:hAnsi="Arial MT"/>
          <w:color w:val="231F1F"/>
          <w:spacing w:val="-1"/>
          <w:w w:val="105"/>
          <w:sz w:val="24"/>
        </w:rPr>
        <w:t> </w:t>
      </w:r>
      <w:r>
        <w:rPr>
          <w:rFonts w:ascii="Arial MT" w:hAnsi="Arial MT"/>
          <w:color w:val="231F1F"/>
          <w:w w:val="105"/>
          <w:sz w:val="24"/>
        </w:rPr>
        <w:t>del</w:t>
      </w:r>
      <w:r>
        <w:rPr>
          <w:rFonts w:ascii="Arial MT" w:hAnsi="Arial MT"/>
          <w:color w:val="231F1F"/>
          <w:spacing w:val="-5"/>
          <w:w w:val="105"/>
          <w:sz w:val="24"/>
        </w:rPr>
        <w:t> </w:t>
      </w:r>
      <w:r>
        <w:rPr>
          <w:rFonts w:ascii="Arial MT" w:hAnsi="Arial MT"/>
          <w:color w:val="231F1F"/>
          <w:w w:val="105"/>
          <w:sz w:val="24"/>
        </w:rPr>
        <w:t>grupo</w:t>
      </w:r>
      <w:r>
        <w:rPr>
          <w:rFonts w:ascii="Arial MT" w:hAnsi="Arial MT"/>
          <w:color w:val="231F1F"/>
          <w:spacing w:val="-3"/>
          <w:w w:val="105"/>
          <w:sz w:val="24"/>
        </w:rPr>
        <w:t> </w:t>
      </w:r>
      <w:r>
        <w:rPr>
          <w:rFonts w:ascii="Arial MT" w:hAnsi="Arial MT"/>
          <w:color w:val="231F1F"/>
          <w:spacing w:val="-2"/>
          <w:w w:val="105"/>
          <w:sz w:val="24"/>
        </w:rPr>
        <w:t>elaborador</w:t>
      </w:r>
    </w:p>
    <w:p>
      <w:pPr>
        <w:pStyle w:val="BodyText"/>
        <w:spacing w:line="252" w:lineRule="auto" w:before="210"/>
        <w:ind w:left="283" w:right="119"/>
        <w:jc w:val="both"/>
      </w:pPr>
      <w:r>
        <w:rPr>
          <w:color w:val="231F1F"/>
          <w:w w:val="110"/>
        </w:rPr>
        <w:t>De la guía, integrado por profesionales de diferentes centros sanitarios y comunidades </w:t>
      </w:r>
      <w:r>
        <w:rPr>
          <w:color w:val="231F1F"/>
          <w:spacing w:val="-2"/>
          <w:w w:val="110"/>
        </w:rPr>
        <w:t>autónomas: por obstetras, matronas, pediatras, anestesistas de obstetricia, especialistas en </w:t>
      </w:r>
      <w:r>
        <w:rPr>
          <w:color w:val="231F1F"/>
        </w:rPr>
        <w:t>metodología pertenecientes a las Agencias de evaluación de tecnologías sanitarias del País </w:t>
      </w:r>
      <w:r>
        <w:rPr>
          <w:color w:val="231F1F"/>
          <w:w w:val="110"/>
        </w:rPr>
        <w:t>Vasco y Galicia y mujeres pertenecientes asociaciones sobre el parto.</w:t>
      </w:r>
    </w:p>
    <w:p>
      <w:pPr>
        <w:pStyle w:val="BodyText"/>
        <w:spacing w:before="127"/>
        <w:ind w:left="736"/>
        <w:jc w:val="both"/>
      </w:pPr>
      <w:r>
        <w:rPr>
          <w:color w:val="231F1F"/>
        </w:rPr>
        <w:t>La</w:t>
      </w:r>
      <w:r>
        <w:rPr>
          <w:color w:val="231F1F"/>
          <w:spacing w:val="26"/>
        </w:rPr>
        <w:t> </w:t>
      </w:r>
      <w:r>
        <w:rPr>
          <w:color w:val="231F1F"/>
        </w:rPr>
        <w:t>RS</w:t>
      </w:r>
      <w:r>
        <w:rPr>
          <w:color w:val="231F1F"/>
          <w:spacing w:val="27"/>
        </w:rPr>
        <w:t> </w:t>
      </w:r>
      <w:r>
        <w:rPr>
          <w:color w:val="231F1F"/>
        </w:rPr>
        <w:t>se</w:t>
      </w:r>
      <w:r>
        <w:rPr>
          <w:color w:val="231F1F"/>
          <w:spacing w:val="27"/>
        </w:rPr>
        <w:t> </w:t>
      </w:r>
      <w:r>
        <w:rPr>
          <w:color w:val="231F1F"/>
        </w:rPr>
        <w:t>desarrolló</w:t>
      </w:r>
      <w:r>
        <w:rPr>
          <w:color w:val="231F1F"/>
          <w:spacing w:val="27"/>
        </w:rPr>
        <w:t> </w:t>
      </w:r>
      <w:r>
        <w:rPr>
          <w:color w:val="231F1F"/>
        </w:rPr>
        <w:t>en</w:t>
      </w:r>
      <w:r>
        <w:rPr>
          <w:color w:val="231F1F"/>
          <w:spacing w:val="27"/>
        </w:rPr>
        <w:t> </w:t>
      </w:r>
      <w:r>
        <w:rPr>
          <w:color w:val="231F1F"/>
        </w:rPr>
        <w:t>varias</w:t>
      </w:r>
      <w:r>
        <w:rPr>
          <w:color w:val="231F1F"/>
          <w:spacing w:val="28"/>
        </w:rPr>
        <w:t> </w:t>
      </w:r>
      <w:r>
        <w:rPr>
          <w:color w:val="231F1F"/>
          <w:spacing w:val="-2"/>
        </w:rPr>
        <w:t>fases:</w:t>
      </w:r>
    </w:p>
    <w:p>
      <w:pPr>
        <w:pStyle w:val="BodyText"/>
        <w:spacing w:before="209"/>
      </w:pPr>
    </w:p>
    <w:p>
      <w:pPr>
        <w:spacing w:before="0"/>
        <w:ind w:left="283" w:right="0" w:firstLine="0"/>
        <w:jc w:val="left"/>
        <w:rPr>
          <w:rFonts w:ascii="Arial MT" w:hAnsi="Arial MT"/>
          <w:sz w:val="24"/>
        </w:rPr>
      </w:pPr>
      <w:r>
        <w:rPr>
          <w:rFonts w:ascii="Arial MT" w:hAnsi="Arial MT"/>
          <w:color w:val="231F1F"/>
          <w:sz w:val="24"/>
        </w:rPr>
        <w:t>Formulación</w:t>
      </w:r>
      <w:r>
        <w:rPr>
          <w:rFonts w:ascii="Arial MT" w:hAnsi="Arial MT"/>
          <w:color w:val="231F1F"/>
          <w:spacing w:val="28"/>
          <w:sz w:val="24"/>
        </w:rPr>
        <w:t> </w:t>
      </w:r>
      <w:r>
        <w:rPr>
          <w:rFonts w:ascii="Arial MT" w:hAnsi="Arial MT"/>
          <w:color w:val="231F1F"/>
          <w:sz w:val="24"/>
        </w:rPr>
        <w:t>de</w:t>
      </w:r>
      <w:r>
        <w:rPr>
          <w:rFonts w:ascii="Arial MT" w:hAnsi="Arial MT"/>
          <w:color w:val="231F1F"/>
          <w:spacing w:val="31"/>
          <w:sz w:val="24"/>
        </w:rPr>
        <w:t> </w:t>
      </w:r>
      <w:r>
        <w:rPr>
          <w:rFonts w:ascii="Arial MT" w:hAnsi="Arial MT"/>
          <w:color w:val="231F1F"/>
          <w:sz w:val="24"/>
        </w:rPr>
        <w:t>preguntas</w:t>
      </w:r>
      <w:r>
        <w:rPr>
          <w:rFonts w:ascii="Arial MT" w:hAnsi="Arial MT"/>
          <w:color w:val="231F1F"/>
          <w:spacing w:val="29"/>
          <w:sz w:val="24"/>
        </w:rPr>
        <w:t> </w:t>
      </w:r>
      <w:r>
        <w:rPr>
          <w:rFonts w:ascii="Arial MT" w:hAnsi="Arial MT"/>
          <w:color w:val="231F1F"/>
          <w:spacing w:val="-2"/>
          <w:sz w:val="24"/>
        </w:rPr>
        <w:t>clínicas</w:t>
      </w:r>
    </w:p>
    <w:p>
      <w:pPr>
        <w:pStyle w:val="BodyText"/>
        <w:spacing w:before="214"/>
        <w:ind w:left="283" w:right="120"/>
        <w:jc w:val="both"/>
      </w:pPr>
      <w:r>
        <w:rPr>
          <w:color w:val="231F1F"/>
          <w:w w:val="110"/>
        </w:rPr>
        <w:t>Siguiendo</w:t>
      </w:r>
      <w:r>
        <w:rPr>
          <w:color w:val="231F1F"/>
          <w:w w:val="110"/>
        </w:rPr>
        <w:t> el</w:t>
      </w:r>
      <w:r>
        <w:rPr>
          <w:color w:val="231F1F"/>
          <w:w w:val="110"/>
        </w:rPr>
        <w:t> formato</w:t>
      </w:r>
      <w:r>
        <w:rPr>
          <w:color w:val="231F1F"/>
          <w:w w:val="110"/>
        </w:rPr>
        <w:t> PICO:</w:t>
      </w:r>
      <w:r>
        <w:rPr>
          <w:color w:val="231F1F"/>
          <w:w w:val="110"/>
        </w:rPr>
        <w:t> P</w:t>
      </w:r>
      <w:r>
        <w:rPr>
          <w:color w:val="231F1F"/>
          <w:w w:val="110"/>
        </w:rPr>
        <w:t> (pacientes),</w:t>
      </w:r>
      <w:r>
        <w:rPr>
          <w:color w:val="231F1F"/>
          <w:w w:val="110"/>
        </w:rPr>
        <w:t> I</w:t>
      </w:r>
      <w:r>
        <w:rPr>
          <w:color w:val="231F1F"/>
          <w:w w:val="110"/>
        </w:rPr>
        <w:t> (intervenciones),</w:t>
      </w:r>
      <w:r>
        <w:rPr>
          <w:color w:val="231F1F"/>
          <w:w w:val="110"/>
        </w:rPr>
        <w:t> C</w:t>
      </w:r>
      <w:r>
        <w:rPr>
          <w:color w:val="231F1F"/>
          <w:w w:val="110"/>
        </w:rPr>
        <w:t> (comparaciones)</w:t>
      </w:r>
      <w:r>
        <w:rPr>
          <w:color w:val="231F1F"/>
          <w:w w:val="110"/>
        </w:rPr>
        <w:t> y</w:t>
      </w:r>
      <w:r>
        <w:rPr>
          <w:color w:val="231F1F"/>
          <w:w w:val="110"/>
        </w:rPr>
        <w:t> O (outcomes o resultados).</w:t>
      </w:r>
    </w:p>
    <w:p>
      <w:pPr>
        <w:pStyle w:val="BodyText"/>
        <w:spacing w:before="172"/>
      </w:pPr>
    </w:p>
    <w:p>
      <w:pPr>
        <w:spacing w:before="0"/>
        <w:ind w:left="283" w:right="0" w:firstLine="0"/>
        <w:jc w:val="left"/>
        <w:rPr>
          <w:rFonts w:ascii="Arial MT" w:hAnsi="Arial MT"/>
          <w:sz w:val="24"/>
        </w:rPr>
      </w:pPr>
      <w:r>
        <w:rPr>
          <w:rFonts w:ascii="Arial MT" w:hAnsi="Arial MT"/>
          <w:color w:val="231F1F"/>
          <w:sz w:val="24"/>
        </w:rPr>
        <w:t>Búsqueda</w:t>
      </w:r>
      <w:r>
        <w:rPr>
          <w:rFonts w:ascii="Arial MT" w:hAnsi="Arial MT"/>
          <w:color w:val="231F1F"/>
          <w:spacing w:val="37"/>
          <w:sz w:val="24"/>
        </w:rPr>
        <w:t> </w:t>
      </w:r>
      <w:r>
        <w:rPr>
          <w:rFonts w:ascii="Arial MT" w:hAnsi="Arial MT"/>
          <w:color w:val="231F1F"/>
          <w:spacing w:val="-2"/>
          <w:sz w:val="24"/>
        </w:rPr>
        <w:t>bibliográfica</w:t>
      </w:r>
    </w:p>
    <w:p>
      <w:pPr>
        <w:pStyle w:val="BodyText"/>
        <w:spacing w:line="237" w:lineRule="auto" w:before="216"/>
        <w:ind w:left="283" w:right="124"/>
        <w:jc w:val="both"/>
      </w:pPr>
      <w:r>
        <w:rPr>
          <w:b/>
          <w:color w:val="231F1F"/>
          <w:w w:val="105"/>
        </w:rPr>
        <w:t>Búsqueda</w:t>
      </w:r>
      <w:r>
        <w:rPr>
          <w:b/>
          <w:color w:val="231F1F"/>
          <w:spacing w:val="-7"/>
          <w:w w:val="105"/>
        </w:rPr>
        <w:t> </w:t>
      </w:r>
      <w:r>
        <w:rPr>
          <w:b/>
          <w:color w:val="231F1F"/>
          <w:w w:val="105"/>
        </w:rPr>
        <w:t>de</w:t>
      </w:r>
      <w:r>
        <w:rPr>
          <w:b/>
          <w:color w:val="231F1F"/>
          <w:spacing w:val="-6"/>
          <w:w w:val="105"/>
        </w:rPr>
        <w:t> </w:t>
      </w:r>
      <w:r>
        <w:rPr>
          <w:b/>
          <w:color w:val="231F1F"/>
          <w:w w:val="105"/>
        </w:rPr>
        <w:t>GPCs.</w:t>
      </w:r>
      <w:r>
        <w:rPr>
          <w:b/>
          <w:color w:val="231F1F"/>
          <w:spacing w:val="-6"/>
          <w:w w:val="105"/>
        </w:rPr>
        <w:t> </w:t>
      </w:r>
      <w:r>
        <w:rPr>
          <w:color w:val="231F1F"/>
          <w:w w:val="105"/>
        </w:rPr>
        <w:t>Período</w:t>
      </w:r>
      <w:r>
        <w:rPr>
          <w:color w:val="231F1F"/>
          <w:spacing w:val="-6"/>
          <w:w w:val="105"/>
        </w:rPr>
        <w:t> </w:t>
      </w:r>
      <w:r>
        <w:rPr>
          <w:color w:val="231F1F"/>
          <w:w w:val="105"/>
        </w:rPr>
        <w:t>de</w:t>
      </w:r>
      <w:r>
        <w:rPr>
          <w:color w:val="231F1F"/>
          <w:spacing w:val="-6"/>
          <w:w w:val="105"/>
        </w:rPr>
        <w:t> </w:t>
      </w:r>
      <w:r>
        <w:rPr>
          <w:color w:val="231F1F"/>
          <w:w w:val="105"/>
        </w:rPr>
        <w:t>búsqueda</w:t>
      </w:r>
      <w:r>
        <w:rPr>
          <w:color w:val="231F1F"/>
          <w:spacing w:val="-7"/>
          <w:w w:val="105"/>
        </w:rPr>
        <w:t> </w:t>
      </w:r>
      <w:r>
        <w:rPr>
          <w:color w:val="231F1F"/>
          <w:w w:val="105"/>
        </w:rPr>
        <w:t>de</w:t>
      </w:r>
      <w:r>
        <w:rPr>
          <w:color w:val="231F1F"/>
          <w:spacing w:val="-6"/>
          <w:w w:val="105"/>
        </w:rPr>
        <w:t> </w:t>
      </w:r>
      <w:r>
        <w:rPr>
          <w:color w:val="231F1F"/>
          <w:w w:val="105"/>
        </w:rPr>
        <w:t>1998</w:t>
      </w:r>
      <w:r>
        <w:rPr>
          <w:color w:val="231F1F"/>
          <w:spacing w:val="-6"/>
          <w:w w:val="105"/>
        </w:rPr>
        <w:t> </w:t>
      </w:r>
      <w:r>
        <w:rPr>
          <w:color w:val="231F1F"/>
          <w:w w:val="105"/>
        </w:rPr>
        <w:t>a</w:t>
      </w:r>
      <w:r>
        <w:rPr>
          <w:color w:val="231F1F"/>
          <w:spacing w:val="-6"/>
          <w:w w:val="105"/>
        </w:rPr>
        <w:t> </w:t>
      </w:r>
      <w:r>
        <w:rPr>
          <w:color w:val="231F1F"/>
          <w:w w:val="105"/>
        </w:rPr>
        <w:t>2008.</w:t>
      </w:r>
      <w:r>
        <w:rPr>
          <w:color w:val="231F1F"/>
          <w:spacing w:val="-6"/>
          <w:w w:val="105"/>
        </w:rPr>
        <w:t> </w:t>
      </w:r>
      <w:r>
        <w:rPr>
          <w:color w:val="231F1F"/>
          <w:w w:val="105"/>
        </w:rPr>
        <w:t>Idiomas:</w:t>
      </w:r>
      <w:r>
        <w:rPr>
          <w:color w:val="231F1F"/>
          <w:spacing w:val="-6"/>
          <w:w w:val="105"/>
        </w:rPr>
        <w:t> </w:t>
      </w:r>
      <w:r>
        <w:rPr>
          <w:color w:val="231F1F"/>
          <w:w w:val="105"/>
        </w:rPr>
        <w:t>Español,</w:t>
      </w:r>
      <w:r>
        <w:rPr>
          <w:color w:val="231F1F"/>
          <w:spacing w:val="-7"/>
          <w:w w:val="105"/>
        </w:rPr>
        <w:t> </w:t>
      </w:r>
      <w:r>
        <w:rPr>
          <w:color w:val="231F1F"/>
          <w:w w:val="105"/>
        </w:rPr>
        <w:t>Inglés</w:t>
      </w:r>
      <w:r>
        <w:rPr>
          <w:color w:val="231F1F"/>
          <w:spacing w:val="-6"/>
          <w:w w:val="105"/>
        </w:rPr>
        <w:t> </w:t>
      </w:r>
      <w:r>
        <w:rPr>
          <w:color w:val="231F1F"/>
          <w:w w:val="105"/>
        </w:rPr>
        <w:t>y</w:t>
      </w:r>
      <w:r>
        <w:rPr>
          <w:color w:val="231F1F"/>
          <w:spacing w:val="-6"/>
          <w:w w:val="105"/>
        </w:rPr>
        <w:t> </w:t>
      </w:r>
      <w:r>
        <w:rPr>
          <w:color w:val="231F1F"/>
          <w:w w:val="105"/>
        </w:rPr>
        <w:t>Fran- </w:t>
      </w:r>
      <w:r>
        <w:rPr>
          <w:color w:val="231F1F"/>
          <w:spacing w:val="-4"/>
          <w:w w:val="105"/>
        </w:rPr>
        <w:t>cés.</w:t>
      </w:r>
    </w:p>
    <w:p>
      <w:pPr>
        <w:pStyle w:val="BodyText"/>
        <w:spacing w:line="249" w:lineRule="auto" w:before="145"/>
        <w:ind w:left="283" w:right="112" w:firstLine="453"/>
        <w:jc w:val="both"/>
      </w:pPr>
      <w:r>
        <w:rPr>
          <w:color w:val="231F1F"/>
          <w:w w:val="110"/>
        </w:rPr>
        <w:t>Se buscó en bases de datos específicas de guías: Tripdatabase, Pubgle, GuiaSalud, Fisterra y en bases de datos generales: MEDLINE (Pubmed) y EMBASE (Elsevier).</w:t>
      </w:r>
    </w:p>
    <w:p>
      <w:pPr>
        <w:spacing w:line="244" w:lineRule="auto" w:before="132"/>
        <w:ind w:left="283" w:right="123" w:firstLine="453"/>
        <w:jc w:val="both"/>
        <w:rPr>
          <w:sz w:val="22"/>
        </w:rPr>
      </w:pPr>
      <w:r>
        <w:rPr>
          <w:b/>
          <w:color w:val="231F1F"/>
          <w:w w:val="110"/>
          <w:sz w:val="22"/>
        </w:rPr>
        <w:t>Búsqueda de RS y ECAs. </w:t>
      </w:r>
      <w:r>
        <w:rPr>
          <w:color w:val="231F1F"/>
          <w:w w:val="110"/>
          <w:sz w:val="22"/>
        </w:rPr>
        <w:t>Período de búsqueda. De 2006 en adelante (incluyendo </w:t>
      </w:r>
      <w:r>
        <w:rPr>
          <w:color w:val="231F1F"/>
          <w:spacing w:val="-2"/>
          <w:w w:val="110"/>
          <w:sz w:val="22"/>
        </w:rPr>
        <w:t>alertas).</w:t>
      </w:r>
    </w:p>
    <w:p>
      <w:pPr>
        <w:pStyle w:val="BodyText"/>
        <w:spacing w:line="249" w:lineRule="auto" w:before="146"/>
        <w:ind w:left="283" w:right="112" w:firstLine="453"/>
        <w:jc w:val="both"/>
      </w:pPr>
      <w:r>
        <w:rPr>
          <w:color w:val="231F1F"/>
          <w:w w:val="105"/>
        </w:rPr>
        <w:t>Tras</w:t>
      </w:r>
      <w:r>
        <w:rPr>
          <w:color w:val="231F1F"/>
          <w:w w:val="105"/>
        </w:rPr>
        <w:t> la</w:t>
      </w:r>
      <w:r>
        <w:rPr>
          <w:color w:val="231F1F"/>
          <w:w w:val="105"/>
        </w:rPr>
        <w:t> identificación</w:t>
      </w:r>
      <w:r>
        <w:rPr>
          <w:color w:val="231F1F"/>
          <w:w w:val="105"/>
        </w:rPr>
        <w:t> y</w:t>
      </w:r>
      <w:r>
        <w:rPr>
          <w:color w:val="231F1F"/>
          <w:w w:val="105"/>
        </w:rPr>
        <w:t> selección</w:t>
      </w:r>
      <w:r>
        <w:rPr>
          <w:color w:val="231F1F"/>
          <w:w w:val="105"/>
        </w:rPr>
        <w:t> de</w:t>
      </w:r>
      <w:r>
        <w:rPr>
          <w:color w:val="231F1F"/>
          <w:w w:val="105"/>
        </w:rPr>
        <w:t> GPCs</w:t>
      </w:r>
      <w:r>
        <w:rPr>
          <w:color w:val="231F1F"/>
          <w:w w:val="105"/>
        </w:rPr>
        <w:t> se</w:t>
      </w:r>
      <w:r>
        <w:rPr>
          <w:color w:val="231F1F"/>
          <w:w w:val="105"/>
        </w:rPr>
        <w:t> desarrolló</w:t>
      </w:r>
      <w:r>
        <w:rPr>
          <w:color w:val="231F1F"/>
          <w:w w:val="105"/>
        </w:rPr>
        <w:t> una</w:t>
      </w:r>
      <w:r>
        <w:rPr>
          <w:color w:val="231F1F"/>
          <w:w w:val="105"/>
        </w:rPr>
        <w:t> búsqueda</w:t>
      </w:r>
      <w:r>
        <w:rPr>
          <w:color w:val="231F1F"/>
          <w:w w:val="105"/>
        </w:rPr>
        <w:t> específica</w:t>
      </w:r>
      <w:r>
        <w:rPr>
          <w:color w:val="231F1F"/>
          <w:w w:val="105"/>
        </w:rPr>
        <w:t> de Revisiones</w:t>
      </w:r>
      <w:r>
        <w:rPr>
          <w:color w:val="231F1F"/>
          <w:spacing w:val="-7"/>
          <w:w w:val="105"/>
        </w:rPr>
        <w:t> </w:t>
      </w:r>
      <w:r>
        <w:rPr>
          <w:color w:val="231F1F"/>
          <w:w w:val="105"/>
        </w:rPr>
        <w:t>sistemáticas</w:t>
      </w:r>
      <w:r>
        <w:rPr>
          <w:color w:val="231F1F"/>
          <w:spacing w:val="-6"/>
          <w:w w:val="105"/>
        </w:rPr>
        <w:t> </w:t>
      </w:r>
      <w:r>
        <w:rPr>
          <w:color w:val="231F1F"/>
          <w:w w:val="105"/>
        </w:rPr>
        <w:t>(RS)</w:t>
      </w:r>
      <w:r>
        <w:rPr>
          <w:color w:val="231F1F"/>
          <w:spacing w:val="-6"/>
          <w:w w:val="105"/>
        </w:rPr>
        <w:t> </w:t>
      </w:r>
      <w:r>
        <w:rPr>
          <w:color w:val="231F1F"/>
          <w:w w:val="105"/>
        </w:rPr>
        <w:t>y</w:t>
      </w:r>
      <w:r>
        <w:rPr>
          <w:color w:val="231F1F"/>
          <w:spacing w:val="-6"/>
          <w:w w:val="105"/>
        </w:rPr>
        <w:t> </w:t>
      </w:r>
      <w:r>
        <w:rPr>
          <w:color w:val="231F1F"/>
          <w:w w:val="105"/>
        </w:rPr>
        <w:t>meta</w:t>
      </w:r>
      <w:r>
        <w:rPr>
          <w:color w:val="231F1F"/>
          <w:spacing w:val="-6"/>
          <w:w w:val="105"/>
        </w:rPr>
        <w:t> </w:t>
      </w:r>
      <w:r>
        <w:rPr>
          <w:color w:val="231F1F"/>
          <w:w w:val="105"/>
        </w:rPr>
        <w:t>análisis</w:t>
      </w:r>
      <w:r>
        <w:rPr>
          <w:color w:val="231F1F"/>
          <w:spacing w:val="-6"/>
          <w:w w:val="105"/>
        </w:rPr>
        <w:t> </w:t>
      </w:r>
      <w:r>
        <w:rPr>
          <w:color w:val="231F1F"/>
          <w:w w:val="105"/>
        </w:rPr>
        <w:t>para</w:t>
      </w:r>
      <w:r>
        <w:rPr>
          <w:color w:val="231F1F"/>
          <w:spacing w:val="-6"/>
          <w:w w:val="105"/>
        </w:rPr>
        <w:t> </w:t>
      </w:r>
      <w:r>
        <w:rPr>
          <w:color w:val="231F1F"/>
          <w:w w:val="105"/>
        </w:rPr>
        <w:t>cada</w:t>
      </w:r>
      <w:r>
        <w:rPr>
          <w:color w:val="231F1F"/>
          <w:spacing w:val="-6"/>
          <w:w w:val="105"/>
        </w:rPr>
        <w:t> </w:t>
      </w:r>
      <w:r>
        <w:rPr>
          <w:color w:val="231F1F"/>
          <w:w w:val="105"/>
        </w:rPr>
        <w:t>pregunta</w:t>
      </w:r>
      <w:r>
        <w:rPr>
          <w:color w:val="231F1F"/>
          <w:spacing w:val="-6"/>
          <w:w w:val="105"/>
        </w:rPr>
        <w:t> </w:t>
      </w:r>
      <w:r>
        <w:rPr>
          <w:color w:val="231F1F"/>
          <w:w w:val="105"/>
        </w:rPr>
        <w:t>clínica</w:t>
      </w:r>
      <w:r>
        <w:rPr>
          <w:color w:val="231F1F"/>
          <w:spacing w:val="-6"/>
          <w:w w:val="105"/>
        </w:rPr>
        <w:t> </w:t>
      </w:r>
      <w:r>
        <w:rPr>
          <w:color w:val="231F1F"/>
          <w:w w:val="105"/>
        </w:rPr>
        <w:t>en</w:t>
      </w:r>
      <w:r>
        <w:rPr>
          <w:color w:val="231F1F"/>
          <w:spacing w:val="-6"/>
          <w:w w:val="105"/>
        </w:rPr>
        <w:t> </w:t>
      </w:r>
      <w:r>
        <w:rPr>
          <w:color w:val="231F1F"/>
          <w:w w:val="105"/>
        </w:rPr>
        <w:t>Cochrane</w:t>
      </w:r>
      <w:r>
        <w:rPr>
          <w:color w:val="231F1F"/>
          <w:spacing w:val="-6"/>
          <w:w w:val="105"/>
        </w:rPr>
        <w:t> </w:t>
      </w:r>
      <w:r>
        <w:rPr>
          <w:color w:val="231F1F"/>
          <w:w w:val="105"/>
        </w:rPr>
        <w:t>Library Plus y la base de datos del National Health Service (NHS) Centre for Reviews and Disse- mination, que incluye a su vez la base de datos HTA (Health Technology Assessment) de informes de evaluación y la base DARE de revisiones de efectividad. También se utilizaron bases</w:t>
      </w:r>
      <w:r>
        <w:rPr>
          <w:color w:val="231F1F"/>
          <w:spacing w:val="40"/>
          <w:w w:val="105"/>
        </w:rPr>
        <w:t> </w:t>
      </w:r>
      <w:r>
        <w:rPr>
          <w:color w:val="231F1F"/>
          <w:w w:val="105"/>
        </w:rPr>
        <w:t>de</w:t>
      </w:r>
      <w:r>
        <w:rPr>
          <w:color w:val="231F1F"/>
          <w:spacing w:val="40"/>
          <w:w w:val="105"/>
        </w:rPr>
        <w:t> </w:t>
      </w:r>
      <w:r>
        <w:rPr>
          <w:color w:val="231F1F"/>
          <w:w w:val="105"/>
        </w:rPr>
        <w:t>datos</w:t>
      </w:r>
      <w:r>
        <w:rPr>
          <w:color w:val="231F1F"/>
          <w:spacing w:val="40"/>
          <w:w w:val="105"/>
        </w:rPr>
        <w:t> </w:t>
      </w:r>
      <w:r>
        <w:rPr>
          <w:color w:val="231F1F"/>
          <w:w w:val="105"/>
        </w:rPr>
        <w:t>generales</w:t>
      </w:r>
      <w:r>
        <w:rPr>
          <w:color w:val="231F1F"/>
          <w:spacing w:val="40"/>
          <w:w w:val="105"/>
        </w:rPr>
        <w:t> </w:t>
      </w:r>
      <w:r>
        <w:rPr>
          <w:color w:val="231F1F"/>
          <w:w w:val="105"/>
        </w:rPr>
        <w:t>como</w:t>
      </w:r>
      <w:r>
        <w:rPr>
          <w:color w:val="231F1F"/>
          <w:spacing w:val="40"/>
          <w:w w:val="105"/>
        </w:rPr>
        <w:t> </w:t>
      </w:r>
      <w:r>
        <w:rPr>
          <w:color w:val="231F1F"/>
          <w:w w:val="105"/>
        </w:rPr>
        <w:t>MEDLINE</w:t>
      </w:r>
      <w:r>
        <w:rPr>
          <w:color w:val="231F1F"/>
          <w:spacing w:val="40"/>
          <w:w w:val="105"/>
        </w:rPr>
        <w:t> </w:t>
      </w:r>
      <w:r>
        <w:rPr>
          <w:color w:val="231F1F"/>
          <w:w w:val="105"/>
        </w:rPr>
        <w:t>(Pubmed)</w:t>
      </w:r>
      <w:r>
        <w:rPr>
          <w:color w:val="231F1F"/>
          <w:spacing w:val="40"/>
          <w:w w:val="105"/>
        </w:rPr>
        <w:t> </w:t>
      </w:r>
      <w:r>
        <w:rPr>
          <w:color w:val="231F1F"/>
          <w:w w:val="105"/>
        </w:rPr>
        <w:t>y</w:t>
      </w:r>
      <w:r>
        <w:rPr>
          <w:color w:val="231F1F"/>
          <w:spacing w:val="40"/>
          <w:w w:val="105"/>
        </w:rPr>
        <w:t> </w:t>
      </w:r>
      <w:r>
        <w:rPr>
          <w:color w:val="231F1F"/>
          <w:w w:val="105"/>
        </w:rPr>
        <w:t>EMBASE</w:t>
      </w:r>
      <w:r>
        <w:rPr>
          <w:color w:val="231F1F"/>
          <w:spacing w:val="40"/>
          <w:w w:val="105"/>
        </w:rPr>
        <w:t> </w:t>
      </w:r>
      <w:r>
        <w:rPr>
          <w:color w:val="231F1F"/>
          <w:w w:val="105"/>
        </w:rPr>
        <w:t>(Elsevier)</w:t>
      </w:r>
    </w:p>
    <w:p>
      <w:pPr>
        <w:pStyle w:val="BodyText"/>
        <w:spacing w:after="0" w:line="249" w:lineRule="auto"/>
        <w:jc w:val="both"/>
        <w:sectPr>
          <w:pgSz w:w="11900" w:h="16840"/>
          <w:pgMar w:header="0" w:footer="622" w:top="1520" w:bottom="820" w:left="1417" w:right="1559"/>
        </w:sectPr>
      </w:pPr>
    </w:p>
    <w:p>
      <w:pPr>
        <w:pStyle w:val="BodyText"/>
        <w:spacing w:line="254" w:lineRule="auto" w:before="72"/>
        <w:ind w:left="283" w:right="120" w:firstLine="453"/>
        <w:jc w:val="both"/>
      </w:pPr>
      <w:r>
        <w:rPr>
          <w:color w:val="231F1F"/>
        </w:rPr>
        <w:t>Para la Búsqueda de ECA se utilizaron las siguientes bases de datos: Cochrane Library Plus,</w:t>
      </w:r>
      <w:r>
        <w:rPr>
          <w:color w:val="231F1F"/>
          <w:spacing w:val="40"/>
        </w:rPr>
        <w:t> </w:t>
      </w:r>
      <w:r>
        <w:rPr>
          <w:color w:val="231F1F"/>
        </w:rPr>
        <w:t>MEDLINE</w:t>
      </w:r>
      <w:r>
        <w:rPr>
          <w:color w:val="231F1F"/>
          <w:spacing w:val="40"/>
        </w:rPr>
        <w:t> </w:t>
      </w:r>
      <w:r>
        <w:rPr>
          <w:color w:val="231F1F"/>
        </w:rPr>
        <w:t>y</w:t>
      </w:r>
      <w:r>
        <w:rPr>
          <w:color w:val="231F1F"/>
          <w:spacing w:val="40"/>
        </w:rPr>
        <w:t> </w:t>
      </w:r>
      <w:r>
        <w:rPr>
          <w:color w:val="231F1F"/>
        </w:rPr>
        <w:t>EMBASE.</w:t>
      </w:r>
    </w:p>
    <w:p>
      <w:pPr>
        <w:pStyle w:val="BodyText"/>
        <w:spacing w:line="244" w:lineRule="auto" w:before="136"/>
        <w:ind w:left="283" w:right="124" w:firstLine="453"/>
        <w:jc w:val="both"/>
      </w:pPr>
      <w:r>
        <w:rPr>
          <w:color w:val="231F1F"/>
          <w:w w:val="105"/>
        </w:rPr>
        <w:t>Para tener referencias sobre el alcance del tema a tratar se buscaron también ECA en curso no publicados en las bases de datos HSRProj (Health Services Research Projects in Progress) y en clinicaltrials.gov.</w:t>
      </w:r>
    </w:p>
    <w:p>
      <w:pPr>
        <w:pStyle w:val="BodyText"/>
        <w:spacing w:line="244" w:lineRule="auto" w:before="137"/>
        <w:ind w:left="283" w:right="125" w:firstLine="453"/>
        <w:jc w:val="both"/>
      </w:pPr>
      <w:r>
        <w:rPr>
          <w:color w:val="231F1F"/>
          <w:w w:val="110"/>
        </w:rPr>
        <w:t>Todo</w:t>
      </w:r>
      <w:r>
        <w:rPr>
          <w:color w:val="231F1F"/>
          <w:spacing w:val="-1"/>
          <w:w w:val="110"/>
        </w:rPr>
        <w:t> </w:t>
      </w:r>
      <w:r>
        <w:rPr>
          <w:color w:val="231F1F"/>
          <w:w w:val="110"/>
        </w:rPr>
        <w:t>este</w:t>
      </w:r>
      <w:r>
        <w:rPr>
          <w:color w:val="231F1F"/>
          <w:spacing w:val="-1"/>
          <w:w w:val="110"/>
        </w:rPr>
        <w:t> </w:t>
      </w:r>
      <w:r>
        <w:rPr>
          <w:color w:val="231F1F"/>
          <w:w w:val="110"/>
        </w:rPr>
        <w:t>proceso</w:t>
      </w:r>
      <w:r>
        <w:rPr>
          <w:color w:val="231F1F"/>
          <w:spacing w:val="-1"/>
          <w:w w:val="110"/>
        </w:rPr>
        <w:t> </w:t>
      </w:r>
      <w:r>
        <w:rPr>
          <w:color w:val="231F1F"/>
          <w:w w:val="110"/>
        </w:rPr>
        <w:t>se</w:t>
      </w:r>
      <w:r>
        <w:rPr>
          <w:color w:val="231F1F"/>
          <w:spacing w:val="-1"/>
          <w:w w:val="110"/>
        </w:rPr>
        <w:t> </w:t>
      </w:r>
      <w:r>
        <w:rPr>
          <w:color w:val="231F1F"/>
          <w:w w:val="110"/>
        </w:rPr>
        <w:t>completó</w:t>
      </w:r>
      <w:r>
        <w:rPr>
          <w:color w:val="231F1F"/>
          <w:spacing w:val="-1"/>
          <w:w w:val="110"/>
        </w:rPr>
        <w:t> </w:t>
      </w:r>
      <w:r>
        <w:rPr>
          <w:color w:val="231F1F"/>
          <w:w w:val="110"/>
        </w:rPr>
        <w:t>mediante</w:t>
      </w:r>
      <w:r>
        <w:rPr>
          <w:color w:val="231F1F"/>
          <w:spacing w:val="-1"/>
          <w:w w:val="110"/>
        </w:rPr>
        <w:t> </w:t>
      </w:r>
      <w:r>
        <w:rPr>
          <w:color w:val="231F1F"/>
          <w:w w:val="110"/>
        </w:rPr>
        <w:t>una</w:t>
      </w:r>
      <w:r>
        <w:rPr>
          <w:color w:val="231F1F"/>
          <w:spacing w:val="-1"/>
          <w:w w:val="110"/>
        </w:rPr>
        <w:t> </w:t>
      </w:r>
      <w:r>
        <w:rPr>
          <w:color w:val="231F1F"/>
          <w:w w:val="110"/>
        </w:rPr>
        <w:t>búsqueda</w:t>
      </w:r>
      <w:r>
        <w:rPr>
          <w:color w:val="231F1F"/>
          <w:spacing w:val="-1"/>
          <w:w w:val="110"/>
        </w:rPr>
        <w:t> </w:t>
      </w:r>
      <w:r>
        <w:rPr>
          <w:color w:val="231F1F"/>
          <w:w w:val="110"/>
        </w:rPr>
        <w:t>general</w:t>
      </w:r>
      <w:r>
        <w:rPr>
          <w:color w:val="231F1F"/>
          <w:spacing w:val="-2"/>
          <w:w w:val="110"/>
        </w:rPr>
        <w:t> </w:t>
      </w:r>
      <w:r>
        <w:rPr>
          <w:color w:val="231F1F"/>
          <w:w w:val="110"/>
        </w:rPr>
        <w:t>en</w:t>
      </w:r>
      <w:r>
        <w:rPr>
          <w:color w:val="231F1F"/>
          <w:spacing w:val="-1"/>
          <w:w w:val="110"/>
        </w:rPr>
        <w:t> </w:t>
      </w:r>
      <w:r>
        <w:rPr>
          <w:color w:val="231F1F"/>
          <w:w w:val="110"/>
        </w:rPr>
        <w:t>Internet</w:t>
      </w:r>
      <w:r>
        <w:rPr>
          <w:color w:val="231F1F"/>
          <w:spacing w:val="-1"/>
          <w:w w:val="110"/>
        </w:rPr>
        <w:t> </w:t>
      </w:r>
      <w:r>
        <w:rPr>
          <w:color w:val="231F1F"/>
          <w:w w:val="110"/>
        </w:rPr>
        <w:t>(organi- zaciones y sociedades científicas) con el fin de localizar otra información de interés.</w:t>
      </w:r>
    </w:p>
    <w:p>
      <w:pPr>
        <w:pStyle w:val="BodyText"/>
        <w:spacing w:line="244" w:lineRule="auto" w:before="152"/>
        <w:ind w:left="283" w:right="123" w:firstLine="453"/>
        <w:jc w:val="both"/>
      </w:pPr>
      <w:r>
        <w:rPr>
          <w:color w:val="231F1F"/>
          <w:w w:val="105"/>
        </w:rPr>
        <w:t>Las estrategias de las búsquedas bibliográficas se recogen en el documento «Material metodológico»</w:t>
      </w:r>
      <w:r>
        <w:rPr>
          <w:color w:val="231F1F"/>
          <w:w w:val="105"/>
        </w:rPr>
        <w:t> disponible</w:t>
      </w:r>
      <w:r>
        <w:rPr>
          <w:color w:val="231F1F"/>
          <w:w w:val="105"/>
        </w:rPr>
        <w:t> en</w:t>
      </w:r>
      <w:r>
        <w:rPr>
          <w:color w:val="231F1F"/>
          <w:w w:val="105"/>
        </w:rPr>
        <w:t> la</w:t>
      </w:r>
      <w:r>
        <w:rPr>
          <w:color w:val="231F1F"/>
          <w:w w:val="105"/>
        </w:rPr>
        <w:t> página</w:t>
      </w:r>
      <w:r>
        <w:rPr>
          <w:color w:val="231F1F"/>
          <w:w w:val="105"/>
        </w:rPr>
        <w:t> Web</w:t>
      </w:r>
      <w:r>
        <w:rPr>
          <w:color w:val="231F1F"/>
          <w:w w:val="105"/>
        </w:rPr>
        <w:t> del</w:t>
      </w:r>
      <w:r>
        <w:rPr>
          <w:color w:val="231F1F"/>
          <w:w w:val="105"/>
        </w:rPr>
        <w:t> Portal</w:t>
      </w:r>
      <w:r>
        <w:rPr>
          <w:color w:val="231F1F"/>
          <w:w w:val="105"/>
        </w:rPr>
        <w:t> GuiaSalud:</w:t>
      </w:r>
      <w:r>
        <w:rPr>
          <w:color w:val="231F1F"/>
          <w:w w:val="105"/>
        </w:rPr>
        <w:t> </w:t>
      </w:r>
      <w:r>
        <w:rPr>
          <w:color w:val="A30046"/>
          <w:w w:val="105"/>
        </w:rPr>
        <w:t>http://www.guiasalud. </w:t>
      </w:r>
      <w:r>
        <w:rPr>
          <w:color w:val="A30046"/>
          <w:spacing w:val="-2"/>
          <w:w w:val="105"/>
        </w:rPr>
        <w:t>es/egpc/index.html</w:t>
      </w:r>
      <w:r>
        <w:rPr>
          <w:color w:val="231F1F"/>
          <w:spacing w:val="-2"/>
          <w:w w:val="105"/>
        </w:rPr>
        <w:t>.</w:t>
      </w:r>
    </w:p>
    <w:p>
      <w:pPr>
        <w:pStyle w:val="BodyText"/>
        <w:spacing w:before="167"/>
      </w:pPr>
    </w:p>
    <w:p>
      <w:pPr>
        <w:spacing w:before="0"/>
        <w:ind w:left="283" w:right="0" w:firstLine="0"/>
        <w:jc w:val="left"/>
        <w:rPr>
          <w:rFonts w:ascii="Arial MT" w:hAnsi="Arial MT"/>
          <w:sz w:val="24"/>
        </w:rPr>
      </w:pPr>
      <w:r>
        <w:rPr>
          <w:rFonts w:ascii="Arial MT" w:hAnsi="Arial MT"/>
          <w:color w:val="231F1F"/>
          <w:w w:val="105"/>
          <w:sz w:val="24"/>
        </w:rPr>
        <w:t>Evaluación</w:t>
      </w:r>
      <w:r>
        <w:rPr>
          <w:rFonts w:ascii="Arial MT" w:hAnsi="Arial MT"/>
          <w:color w:val="231F1F"/>
          <w:spacing w:val="-14"/>
          <w:w w:val="105"/>
          <w:sz w:val="24"/>
        </w:rPr>
        <w:t> </w:t>
      </w:r>
      <w:r>
        <w:rPr>
          <w:rFonts w:ascii="Arial MT" w:hAnsi="Arial MT"/>
          <w:color w:val="231F1F"/>
          <w:w w:val="105"/>
          <w:sz w:val="24"/>
        </w:rPr>
        <w:t>de</w:t>
      </w:r>
      <w:r>
        <w:rPr>
          <w:rFonts w:ascii="Arial MT" w:hAnsi="Arial MT"/>
          <w:color w:val="231F1F"/>
          <w:spacing w:val="-13"/>
          <w:w w:val="105"/>
          <w:sz w:val="24"/>
        </w:rPr>
        <w:t> </w:t>
      </w:r>
      <w:r>
        <w:rPr>
          <w:rFonts w:ascii="Arial MT" w:hAnsi="Arial MT"/>
          <w:color w:val="231F1F"/>
          <w:w w:val="105"/>
          <w:sz w:val="24"/>
        </w:rPr>
        <w:t>la</w:t>
      </w:r>
      <w:r>
        <w:rPr>
          <w:rFonts w:ascii="Arial MT" w:hAnsi="Arial MT"/>
          <w:color w:val="231F1F"/>
          <w:spacing w:val="-14"/>
          <w:w w:val="105"/>
          <w:sz w:val="24"/>
        </w:rPr>
        <w:t> </w:t>
      </w:r>
      <w:r>
        <w:rPr>
          <w:rFonts w:ascii="Arial MT" w:hAnsi="Arial MT"/>
          <w:color w:val="231F1F"/>
          <w:w w:val="105"/>
          <w:sz w:val="24"/>
        </w:rPr>
        <w:t>calidad</w:t>
      </w:r>
      <w:r>
        <w:rPr>
          <w:rFonts w:ascii="Arial MT" w:hAnsi="Arial MT"/>
          <w:color w:val="231F1F"/>
          <w:spacing w:val="-15"/>
          <w:w w:val="105"/>
          <w:sz w:val="24"/>
        </w:rPr>
        <w:t> </w:t>
      </w:r>
      <w:r>
        <w:rPr>
          <w:rFonts w:ascii="Arial MT" w:hAnsi="Arial MT"/>
          <w:color w:val="231F1F"/>
          <w:spacing w:val="-2"/>
          <w:w w:val="105"/>
          <w:sz w:val="24"/>
        </w:rPr>
        <w:t>metodológica</w:t>
      </w:r>
    </w:p>
    <w:p>
      <w:pPr>
        <w:pStyle w:val="BodyText"/>
        <w:spacing w:line="244" w:lineRule="auto" w:before="210"/>
        <w:ind w:left="283" w:right="123"/>
        <w:jc w:val="both"/>
      </w:pPr>
      <w:r>
        <w:rPr>
          <w:color w:val="231F1F"/>
          <w:w w:val="110"/>
        </w:rPr>
        <w:t>Se</w:t>
      </w:r>
      <w:r>
        <w:rPr>
          <w:color w:val="231F1F"/>
          <w:spacing w:val="-11"/>
          <w:w w:val="110"/>
        </w:rPr>
        <w:t> </w:t>
      </w:r>
      <w:r>
        <w:rPr>
          <w:color w:val="231F1F"/>
          <w:w w:val="110"/>
        </w:rPr>
        <w:t>procedió</w:t>
      </w:r>
      <w:r>
        <w:rPr>
          <w:color w:val="231F1F"/>
          <w:spacing w:val="-11"/>
          <w:w w:val="110"/>
        </w:rPr>
        <w:t> </w:t>
      </w:r>
      <w:r>
        <w:rPr>
          <w:color w:val="231F1F"/>
          <w:w w:val="110"/>
        </w:rPr>
        <w:t>a</w:t>
      </w:r>
      <w:r>
        <w:rPr>
          <w:color w:val="231F1F"/>
          <w:spacing w:val="-11"/>
          <w:w w:val="110"/>
        </w:rPr>
        <w:t> </w:t>
      </w:r>
      <w:r>
        <w:rPr>
          <w:color w:val="231F1F"/>
          <w:w w:val="110"/>
        </w:rPr>
        <w:t>evaluar</w:t>
      </w:r>
      <w:r>
        <w:rPr>
          <w:color w:val="231F1F"/>
          <w:spacing w:val="-11"/>
          <w:w w:val="110"/>
        </w:rPr>
        <w:t> </w:t>
      </w:r>
      <w:r>
        <w:rPr>
          <w:color w:val="231F1F"/>
          <w:w w:val="110"/>
        </w:rPr>
        <w:t>la</w:t>
      </w:r>
      <w:r>
        <w:rPr>
          <w:color w:val="231F1F"/>
          <w:spacing w:val="-11"/>
          <w:w w:val="110"/>
        </w:rPr>
        <w:t> </w:t>
      </w:r>
      <w:r>
        <w:rPr>
          <w:color w:val="231F1F"/>
          <w:w w:val="110"/>
        </w:rPr>
        <w:t>calidad</w:t>
      </w:r>
      <w:r>
        <w:rPr>
          <w:color w:val="231F1F"/>
          <w:spacing w:val="-11"/>
          <w:w w:val="110"/>
        </w:rPr>
        <w:t> </w:t>
      </w:r>
      <w:r>
        <w:rPr>
          <w:color w:val="231F1F"/>
          <w:w w:val="110"/>
        </w:rPr>
        <w:t>metodológica</w:t>
      </w:r>
      <w:r>
        <w:rPr>
          <w:color w:val="231F1F"/>
          <w:spacing w:val="-11"/>
          <w:w w:val="110"/>
        </w:rPr>
        <w:t> </w:t>
      </w:r>
      <w:r>
        <w:rPr>
          <w:color w:val="231F1F"/>
          <w:w w:val="110"/>
        </w:rPr>
        <w:t>de</w:t>
      </w:r>
      <w:r>
        <w:rPr>
          <w:color w:val="231F1F"/>
          <w:spacing w:val="-11"/>
          <w:w w:val="110"/>
        </w:rPr>
        <w:t> </w:t>
      </w:r>
      <w:r>
        <w:rPr>
          <w:color w:val="231F1F"/>
          <w:w w:val="110"/>
        </w:rPr>
        <w:t>las</w:t>
      </w:r>
      <w:r>
        <w:rPr>
          <w:color w:val="231F1F"/>
          <w:spacing w:val="-11"/>
          <w:w w:val="110"/>
        </w:rPr>
        <w:t> </w:t>
      </w:r>
      <w:r>
        <w:rPr>
          <w:color w:val="231F1F"/>
          <w:w w:val="110"/>
        </w:rPr>
        <w:t>GPC</w:t>
      </w:r>
      <w:r>
        <w:rPr>
          <w:color w:val="231F1F"/>
          <w:spacing w:val="-11"/>
          <w:w w:val="110"/>
        </w:rPr>
        <w:t> </w:t>
      </w:r>
      <w:r>
        <w:rPr>
          <w:color w:val="231F1F"/>
          <w:w w:val="110"/>
        </w:rPr>
        <w:t>localizadas</w:t>
      </w:r>
      <w:r>
        <w:rPr>
          <w:color w:val="231F1F"/>
          <w:spacing w:val="-11"/>
          <w:w w:val="110"/>
        </w:rPr>
        <w:t> </w:t>
      </w:r>
      <w:r>
        <w:rPr>
          <w:color w:val="231F1F"/>
          <w:w w:val="110"/>
        </w:rPr>
        <w:t>mediante</w:t>
      </w:r>
      <w:r>
        <w:rPr>
          <w:color w:val="231F1F"/>
          <w:spacing w:val="-11"/>
          <w:w w:val="110"/>
        </w:rPr>
        <w:t> </w:t>
      </w:r>
      <w:r>
        <w:rPr>
          <w:color w:val="231F1F"/>
          <w:w w:val="110"/>
        </w:rPr>
        <w:t>el</w:t>
      </w:r>
      <w:r>
        <w:rPr>
          <w:color w:val="231F1F"/>
          <w:spacing w:val="-12"/>
          <w:w w:val="110"/>
        </w:rPr>
        <w:t> </w:t>
      </w:r>
      <w:r>
        <w:rPr>
          <w:color w:val="231F1F"/>
          <w:w w:val="110"/>
        </w:rPr>
        <w:t>instru- mento AGREE (4), y se seleccionó la guía con mayor puntuación, que se consideró de </w:t>
      </w:r>
      <w:r>
        <w:rPr>
          <w:color w:val="231F1F"/>
          <w:spacing w:val="-2"/>
          <w:w w:val="110"/>
        </w:rPr>
        <w:t>referencia.</w:t>
      </w:r>
    </w:p>
    <w:p>
      <w:pPr>
        <w:pStyle w:val="BodyText"/>
        <w:spacing w:line="252" w:lineRule="auto" w:before="142"/>
        <w:ind w:left="283" w:right="119" w:firstLine="453"/>
        <w:jc w:val="both"/>
      </w:pPr>
      <w:r>
        <w:rPr>
          <w:color w:val="231F1F"/>
          <w:w w:val="110"/>
        </w:rPr>
        <w:t>En</w:t>
      </w:r>
      <w:r>
        <w:rPr>
          <w:color w:val="231F1F"/>
          <w:spacing w:val="-13"/>
          <w:w w:val="110"/>
        </w:rPr>
        <w:t> </w:t>
      </w:r>
      <w:r>
        <w:rPr>
          <w:color w:val="231F1F"/>
          <w:w w:val="110"/>
        </w:rPr>
        <w:t>las</w:t>
      </w:r>
      <w:r>
        <w:rPr>
          <w:color w:val="231F1F"/>
          <w:spacing w:val="-14"/>
          <w:w w:val="110"/>
        </w:rPr>
        <w:t> </w:t>
      </w:r>
      <w:r>
        <w:rPr>
          <w:color w:val="231F1F"/>
          <w:w w:val="110"/>
        </w:rPr>
        <w:t>preguntas</w:t>
      </w:r>
      <w:r>
        <w:rPr>
          <w:color w:val="231F1F"/>
          <w:spacing w:val="-14"/>
          <w:w w:val="110"/>
        </w:rPr>
        <w:t> </w:t>
      </w:r>
      <w:r>
        <w:rPr>
          <w:color w:val="231F1F"/>
          <w:w w:val="110"/>
        </w:rPr>
        <w:t>que</w:t>
      </w:r>
      <w:r>
        <w:rPr>
          <w:color w:val="231F1F"/>
          <w:spacing w:val="-14"/>
          <w:w w:val="110"/>
        </w:rPr>
        <w:t> </w:t>
      </w:r>
      <w:r>
        <w:rPr>
          <w:color w:val="231F1F"/>
          <w:w w:val="110"/>
        </w:rPr>
        <w:t>no</w:t>
      </w:r>
      <w:r>
        <w:rPr>
          <w:color w:val="231F1F"/>
          <w:spacing w:val="-13"/>
          <w:w w:val="110"/>
        </w:rPr>
        <w:t> </w:t>
      </w:r>
      <w:r>
        <w:rPr>
          <w:color w:val="231F1F"/>
          <w:w w:val="110"/>
        </w:rPr>
        <w:t>eran</w:t>
      </w:r>
      <w:r>
        <w:rPr>
          <w:color w:val="231F1F"/>
          <w:spacing w:val="-13"/>
          <w:w w:val="110"/>
        </w:rPr>
        <w:t> </w:t>
      </w:r>
      <w:r>
        <w:rPr>
          <w:color w:val="231F1F"/>
          <w:w w:val="110"/>
        </w:rPr>
        <w:t>contestadas</w:t>
      </w:r>
      <w:r>
        <w:rPr>
          <w:color w:val="231F1F"/>
          <w:spacing w:val="-13"/>
          <w:w w:val="110"/>
        </w:rPr>
        <w:t> </w:t>
      </w:r>
      <w:r>
        <w:rPr>
          <w:color w:val="231F1F"/>
          <w:w w:val="110"/>
        </w:rPr>
        <w:t>por</w:t>
      </w:r>
      <w:r>
        <w:rPr>
          <w:color w:val="231F1F"/>
          <w:spacing w:val="-14"/>
          <w:w w:val="110"/>
        </w:rPr>
        <w:t> </w:t>
      </w:r>
      <w:r>
        <w:rPr>
          <w:color w:val="231F1F"/>
          <w:w w:val="110"/>
        </w:rPr>
        <w:t>la</w:t>
      </w:r>
      <w:r>
        <w:rPr>
          <w:color w:val="231F1F"/>
          <w:spacing w:val="-13"/>
          <w:w w:val="110"/>
        </w:rPr>
        <w:t> </w:t>
      </w:r>
      <w:r>
        <w:rPr>
          <w:color w:val="231F1F"/>
          <w:w w:val="110"/>
        </w:rPr>
        <w:t>guía</w:t>
      </w:r>
      <w:r>
        <w:rPr>
          <w:color w:val="231F1F"/>
          <w:spacing w:val="-13"/>
          <w:w w:val="110"/>
        </w:rPr>
        <w:t> </w:t>
      </w:r>
      <w:r>
        <w:rPr>
          <w:color w:val="231F1F"/>
          <w:w w:val="110"/>
        </w:rPr>
        <w:t>seleccionada</w:t>
      </w:r>
      <w:r>
        <w:rPr>
          <w:color w:val="231F1F"/>
          <w:spacing w:val="-14"/>
          <w:w w:val="110"/>
        </w:rPr>
        <w:t> </w:t>
      </w:r>
      <w:r>
        <w:rPr>
          <w:color w:val="231F1F"/>
          <w:w w:val="110"/>
        </w:rPr>
        <w:t>ni</w:t>
      </w:r>
      <w:r>
        <w:rPr>
          <w:color w:val="231F1F"/>
          <w:spacing w:val="-14"/>
          <w:w w:val="110"/>
        </w:rPr>
        <w:t> </w:t>
      </w:r>
      <w:r>
        <w:rPr>
          <w:color w:val="231F1F"/>
          <w:w w:val="110"/>
        </w:rPr>
        <w:t>por</w:t>
      </w:r>
      <w:r>
        <w:rPr>
          <w:color w:val="231F1F"/>
          <w:spacing w:val="-14"/>
          <w:w w:val="110"/>
        </w:rPr>
        <w:t> </w:t>
      </w:r>
      <w:r>
        <w:rPr>
          <w:color w:val="231F1F"/>
          <w:w w:val="110"/>
        </w:rPr>
        <w:t>las</w:t>
      </w:r>
      <w:r>
        <w:rPr>
          <w:color w:val="231F1F"/>
          <w:spacing w:val="-14"/>
          <w:w w:val="110"/>
        </w:rPr>
        <w:t> </w:t>
      </w:r>
      <w:r>
        <w:rPr>
          <w:color w:val="231F1F"/>
          <w:w w:val="110"/>
        </w:rPr>
        <w:t>RS</w:t>
      </w:r>
      <w:r>
        <w:rPr>
          <w:color w:val="231F1F"/>
          <w:spacing w:val="-13"/>
          <w:w w:val="110"/>
        </w:rPr>
        <w:t> </w:t>
      </w:r>
      <w:r>
        <w:rPr>
          <w:color w:val="231F1F"/>
          <w:w w:val="110"/>
        </w:rPr>
        <w:t>loca- lizadas</w:t>
      </w:r>
      <w:r>
        <w:rPr>
          <w:color w:val="231F1F"/>
          <w:spacing w:val="-13"/>
          <w:w w:val="110"/>
        </w:rPr>
        <w:t> </w:t>
      </w:r>
      <w:r>
        <w:rPr>
          <w:color w:val="231F1F"/>
          <w:w w:val="110"/>
        </w:rPr>
        <w:t>o</w:t>
      </w:r>
      <w:r>
        <w:rPr>
          <w:color w:val="231F1F"/>
          <w:spacing w:val="-14"/>
          <w:w w:val="110"/>
        </w:rPr>
        <w:t> </w:t>
      </w:r>
      <w:r>
        <w:rPr>
          <w:color w:val="231F1F"/>
          <w:w w:val="110"/>
        </w:rPr>
        <w:t>que</w:t>
      </w:r>
      <w:r>
        <w:rPr>
          <w:color w:val="231F1F"/>
          <w:spacing w:val="-13"/>
          <w:w w:val="110"/>
        </w:rPr>
        <w:t> </w:t>
      </w:r>
      <w:r>
        <w:rPr>
          <w:color w:val="231F1F"/>
          <w:w w:val="110"/>
        </w:rPr>
        <w:t>no</w:t>
      </w:r>
      <w:r>
        <w:rPr>
          <w:color w:val="231F1F"/>
          <w:spacing w:val="-14"/>
          <w:w w:val="110"/>
        </w:rPr>
        <w:t> </w:t>
      </w:r>
      <w:r>
        <w:rPr>
          <w:color w:val="231F1F"/>
          <w:w w:val="110"/>
        </w:rPr>
        <w:t>alcanzaban</w:t>
      </w:r>
      <w:r>
        <w:rPr>
          <w:color w:val="231F1F"/>
          <w:spacing w:val="-13"/>
          <w:w w:val="110"/>
        </w:rPr>
        <w:t> </w:t>
      </w:r>
      <w:r>
        <w:rPr>
          <w:color w:val="231F1F"/>
          <w:w w:val="110"/>
        </w:rPr>
        <w:t>el</w:t>
      </w:r>
      <w:r>
        <w:rPr>
          <w:color w:val="231F1F"/>
          <w:spacing w:val="-13"/>
          <w:w w:val="110"/>
        </w:rPr>
        <w:t> </w:t>
      </w:r>
      <w:r>
        <w:rPr>
          <w:color w:val="231F1F"/>
          <w:w w:val="110"/>
        </w:rPr>
        <w:t>nivel</w:t>
      </w:r>
      <w:r>
        <w:rPr>
          <w:color w:val="231F1F"/>
          <w:spacing w:val="-14"/>
          <w:w w:val="110"/>
        </w:rPr>
        <w:t> </w:t>
      </w:r>
      <w:r>
        <w:rPr>
          <w:color w:val="231F1F"/>
          <w:w w:val="110"/>
        </w:rPr>
        <w:t>de</w:t>
      </w:r>
      <w:r>
        <w:rPr>
          <w:color w:val="231F1F"/>
          <w:spacing w:val="-13"/>
          <w:w w:val="110"/>
        </w:rPr>
        <w:t> </w:t>
      </w:r>
      <w:r>
        <w:rPr>
          <w:color w:val="231F1F"/>
          <w:w w:val="110"/>
        </w:rPr>
        <w:t>evidencia</w:t>
      </w:r>
      <w:r>
        <w:rPr>
          <w:color w:val="231F1F"/>
          <w:spacing w:val="-14"/>
          <w:w w:val="110"/>
        </w:rPr>
        <w:t> </w:t>
      </w:r>
      <w:r>
        <w:rPr>
          <w:color w:val="231F1F"/>
          <w:w w:val="110"/>
        </w:rPr>
        <w:t>(NE)</w:t>
      </w:r>
      <w:r>
        <w:rPr>
          <w:color w:val="231F1F"/>
          <w:spacing w:val="-13"/>
          <w:w w:val="110"/>
        </w:rPr>
        <w:t> </w:t>
      </w:r>
      <w:r>
        <w:rPr>
          <w:color w:val="231F1F"/>
          <w:w w:val="110"/>
        </w:rPr>
        <w:t>de</w:t>
      </w:r>
      <w:r>
        <w:rPr>
          <w:color w:val="231F1F"/>
          <w:spacing w:val="-14"/>
          <w:w w:val="110"/>
        </w:rPr>
        <w:t> </w:t>
      </w:r>
      <w:r>
        <w:rPr>
          <w:color w:val="231F1F"/>
          <w:w w:val="110"/>
        </w:rPr>
        <w:t>1+,</w:t>
      </w:r>
      <w:r>
        <w:rPr>
          <w:color w:val="231F1F"/>
          <w:spacing w:val="-13"/>
          <w:w w:val="110"/>
        </w:rPr>
        <w:t> </w:t>
      </w:r>
      <w:r>
        <w:rPr>
          <w:color w:val="231F1F"/>
          <w:w w:val="110"/>
        </w:rPr>
        <w:t>se</w:t>
      </w:r>
      <w:r>
        <w:rPr>
          <w:color w:val="231F1F"/>
          <w:spacing w:val="-14"/>
          <w:w w:val="110"/>
        </w:rPr>
        <w:t> </w:t>
      </w:r>
      <w:r>
        <w:rPr>
          <w:color w:val="231F1F"/>
          <w:w w:val="110"/>
        </w:rPr>
        <w:t>realizaba</w:t>
      </w:r>
      <w:r>
        <w:rPr>
          <w:color w:val="231F1F"/>
          <w:spacing w:val="-13"/>
          <w:w w:val="110"/>
        </w:rPr>
        <w:t> </w:t>
      </w:r>
      <w:r>
        <w:rPr>
          <w:color w:val="231F1F"/>
          <w:w w:val="110"/>
        </w:rPr>
        <w:t>una</w:t>
      </w:r>
      <w:r>
        <w:rPr>
          <w:color w:val="231F1F"/>
          <w:spacing w:val="-14"/>
          <w:w w:val="110"/>
        </w:rPr>
        <w:t> </w:t>
      </w:r>
      <w:r>
        <w:rPr>
          <w:color w:val="231F1F"/>
          <w:w w:val="110"/>
        </w:rPr>
        <w:t>nueva</w:t>
      </w:r>
      <w:r>
        <w:rPr>
          <w:color w:val="231F1F"/>
          <w:spacing w:val="-13"/>
          <w:w w:val="110"/>
        </w:rPr>
        <w:t> </w:t>
      </w:r>
      <w:r>
        <w:rPr>
          <w:color w:val="231F1F"/>
          <w:w w:val="110"/>
        </w:rPr>
        <w:t>bús- </w:t>
      </w:r>
      <w:r>
        <w:rPr>
          <w:color w:val="231F1F"/>
        </w:rPr>
        <w:t>queda de ensayos clínicos aleatorizados (ECA). Se utilizó el sistema propuesto por SIGN(1) </w:t>
      </w:r>
      <w:r>
        <w:rPr>
          <w:color w:val="231F1F"/>
          <w:w w:val="110"/>
        </w:rPr>
        <w:t>para la evaluación de la calidad metodológica de los estudios.</w:t>
      </w:r>
    </w:p>
    <w:p>
      <w:pPr>
        <w:spacing w:line="386" w:lineRule="auto" w:before="152"/>
        <w:ind w:left="736" w:right="2111" w:firstLine="0"/>
        <w:jc w:val="both"/>
        <w:rPr>
          <w:sz w:val="22"/>
        </w:rPr>
      </w:pPr>
      <w:r>
        <w:rPr>
          <w:b/>
          <w:color w:val="231F1F"/>
          <w:sz w:val="22"/>
        </w:rPr>
        <w:t>Extracción de datos </w:t>
      </w:r>
      <w:r>
        <w:rPr>
          <w:color w:val="231F1F"/>
          <w:sz w:val="22"/>
        </w:rPr>
        <w:t>realizada por dos revisores independientes. Elaboración</w:t>
      </w:r>
      <w:r>
        <w:rPr>
          <w:color w:val="231F1F"/>
          <w:spacing w:val="40"/>
          <w:sz w:val="22"/>
        </w:rPr>
        <w:t> </w:t>
      </w:r>
      <w:r>
        <w:rPr>
          <w:color w:val="231F1F"/>
          <w:sz w:val="22"/>
        </w:rPr>
        <w:t>de</w:t>
      </w:r>
      <w:r>
        <w:rPr>
          <w:color w:val="231F1F"/>
          <w:spacing w:val="40"/>
          <w:sz w:val="22"/>
        </w:rPr>
        <w:t> </w:t>
      </w:r>
      <w:r>
        <w:rPr>
          <w:color w:val="231F1F"/>
          <w:sz w:val="22"/>
        </w:rPr>
        <w:t>tablas</w:t>
      </w:r>
      <w:r>
        <w:rPr>
          <w:color w:val="231F1F"/>
          <w:spacing w:val="40"/>
          <w:sz w:val="22"/>
        </w:rPr>
        <w:t> </w:t>
      </w:r>
      <w:r>
        <w:rPr>
          <w:color w:val="231F1F"/>
          <w:sz w:val="22"/>
        </w:rPr>
        <w:t>de</w:t>
      </w:r>
      <w:r>
        <w:rPr>
          <w:color w:val="231F1F"/>
          <w:spacing w:val="40"/>
          <w:sz w:val="22"/>
        </w:rPr>
        <w:t> </w:t>
      </w:r>
      <w:r>
        <w:rPr>
          <w:color w:val="231F1F"/>
          <w:sz w:val="22"/>
        </w:rPr>
        <w:t>evidencia</w:t>
      </w:r>
    </w:p>
    <w:p>
      <w:pPr>
        <w:pStyle w:val="BodyText"/>
        <w:spacing w:line="242" w:lineRule="auto"/>
        <w:ind w:left="283" w:right="125"/>
        <w:jc w:val="both"/>
      </w:pPr>
      <w:r>
        <w:rPr>
          <w:color w:val="231F1F"/>
          <w:w w:val="110"/>
        </w:rPr>
        <w:t>Las</w:t>
      </w:r>
      <w:r>
        <w:rPr>
          <w:color w:val="231F1F"/>
          <w:spacing w:val="-11"/>
          <w:w w:val="110"/>
        </w:rPr>
        <w:t> </w:t>
      </w:r>
      <w:r>
        <w:rPr>
          <w:color w:val="231F1F"/>
          <w:w w:val="110"/>
        </w:rPr>
        <w:t>tablas</w:t>
      </w:r>
      <w:r>
        <w:rPr>
          <w:color w:val="231F1F"/>
          <w:spacing w:val="-10"/>
          <w:w w:val="110"/>
        </w:rPr>
        <w:t> </w:t>
      </w:r>
      <w:r>
        <w:rPr>
          <w:color w:val="231F1F"/>
          <w:w w:val="110"/>
        </w:rPr>
        <w:t>de</w:t>
      </w:r>
      <w:r>
        <w:rPr>
          <w:color w:val="231F1F"/>
          <w:spacing w:val="-10"/>
          <w:w w:val="110"/>
        </w:rPr>
        <w:t> </w:t>
      </w:r>
      <w:r>
        <w:rPr>
          <w:color w:val="231F1F"/>
          <w:w w:val="110"/>
        </w:rPr>
        <w:t>evidencia</w:t>
      </w:r>
      <w:r>
        <w:rPr>
          <w:color w:val="231F1F"/>
          <w:spacing w:val="-10"/>
          <w:w w:val="110"/>
        </w:rPr>
        <w:t> </w:t>
      </w:r>
      <w:r>
        <w:rPr>
          <w:color w:val="231F1F"/>
          <w:w w:val="110"/>
        </w:rPr>
        <w:t>se</w:t>
      </w:r>
      <w:r>
        <w:rPr>
          <w:color w:val="231F1F"/>
          <w:spacing w:val="-10"/>
          <w:w w:val="110"/>
        </w:rPr>
        <w:t> </w:t>
      </w:r>
      <w:r>
        <w:rPr>
          <w:color w:val="231F1F"/>
          <w:w w:val="110"/>
        </w:rPr>
        <w:t>recogen</w:t>
      </w:r>
      <w:r>
        <w:rPr>
          <w:color w:val="231F1F"/>
          <w:spacing w:val="-10"/>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documento</w:t>
      </w:r>
      <w:r>
        <w:rPr>
          <w:color w:val="231F1F"/>
          <w:spacing w:val="-11"/>
          <w:w w:val="110"/>
        </w:rPr>
        <w:t> </w:t>
      </w:r>
      <w:r>
        <w:rPr>
          <w:color w:val="231F1F"/>
          <w:w w:val="110"/>
        </w:rPr>
        <w:t>«Material</w:t>
      </w:r>
      <w:r>
        <w:rPr>
          <w:color w:val="231F1F"/>
          <w:spacing w:val="-11"/>
          <w:w w:val="110"/>
        </w:rPr>
        <w:t> </w:t>
      </w:r>
      <w:r>
        <w:rPr>
          <w:color w:val="231F1F"/>
          <w:w w:val="110"/>
        </w:rPr>
        <w:t>metodológico»</w:t>
      </w:r>
      <w:r>
        <w:rPr>
          <w:color w:val="231F1F"/>
          <w:spacing w:val="-10"/>
          <w:w w:val="110"/>
        </w:rPr>
        <w:t> </w:t>
      </w:r>
      <w:r>
        <w:rPr>
          <w:color w:val="231F1F"/>
          <w:w w:val="110"/>
        </w:rPr>
        <w:t>disponible en la página Web del Portal GuiaSalud: </w:t>
      </w:r>
      <w:hyperlink r:id="rId35">
        <w:r>
          <w:rPr>
            <w:color w:val="A30046"/>
            <w:w w:val="110"/>
          </w:rPr>
          <w:t>http://www.guiasalud.es/egpc/index.html</w:t>
        </w:r>
        <w:r>
          <w:rPr>
            <w:color w:val="231F1F"/>
            <w:w w:val="110"/>
          </w:rPr>
          <w:t>.</w:t>
        </w:r>
      </w:hyperlink>
    </w:p>
    <w:p>
      <w:pPr>
        <w:pStyle w:val="BodyText"/>
        <w:spacing w:line="244" w:lineRule="auto" w:before="134"/>
        <w:ind w:left="283" w:right="120" w:firstLine="453"/>
        <w:jc w:val="both"/>
      </w:pPr>
      <w:r>
        <w:rPr>
          <w:color w:val="231F1F"/>
          <w:w w:val="110"/>
        </w:rPr>
        <w:t>La descripción detallada de la metodología seguida en la realización de la RS está descrita</w:t>
      </w:r>
      <w:r>
        <w:rPr>
          <w:color w:val="231F1F"/>
          <w:spacing w:val="-16"/>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Informe</w:t>
      </w:r>
      <w:r>
        <w:rPr>
          <w:color w:val="231F1F"/>
          <w:spacing w:val="-15"/>
          <w:w w:val="110"/>
        </w:rPr>
        <w:t> </w:t>
      </w:r>
      <w:r>
        <w:rPr>
          <w:color w:val="231F1F"/>
          <w:w w:val="110"/>
        </w:rPr>
        <w:t>«La</w:t>
      </w:r>
      <w:r>
        <w:rPr>
          <w:color w:val="231F1F"/>
          <w:spacing w:val="-15"/>
          <w:w w:val="110"/>
        </w:rPr>
        <w:t> </w:t>
      </w:r>
      <w:r>
        <w:rPr>
          <w:color w:val="231F1F"/>
          <w:w w:val="110"/>
        </w:rPr>
        <w:t>asistencia</w:t>
      </w:r>
      <w:r>
        <w:rPr>
          <w:color w:val="231F1F"/>
          <w:spacing w:val="-15"/>
          <w:w w:val="110"/>
        </w:rPr>
        <w:t> </w:t>
      </w:r>
      <w:r>
        <w:rPr>
          <w:color w:val="231F1F"/>
          <w:w w:val="110"/>
        </w:rPr>
        <w:t>al</w:t>
      </w:r>
      <w:r>
        <w:rPr>
          <w:color w:val="231F1F"/>
          <w:spacing w:val="-15"/>
          <w:w w:val="110"/>
        </w:rPr>
        <w:t> </w:t>
      </w:r>
      <w:r>
        <w:rPr>
          <w:color w:val="231F1F"/>
          <w:w w:val="110"/>
        </w:rPr>
        <w:t>parto</w:t>
      </w:r>
      <w:r>
        <w:rPr>
          <w:color w:val="231F1F"/>
          <w:spacing w:val="-15"/>
          <w:w w:val="110"/>
        </w:rPr>
        <w:t> </w:t>
      </w:r>
      <w:r>
        <w:rPr>
          <w:color w:val="231F1F"/>
          <w:w w:val="110"/>
        </w:rPr>
        <w:t>de</w:t>
      </w:r>
      <w:r>
        <w:rPr>
          <w:color w:val="231F1F"/>
          <w:spacing w:val="-16"/>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sanas:</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variabilidad y revisión sistemática» (8).</w:t>
      </w:r>
    </w:p>
    <w:p>
      <w:pPr>
        <w:pStyle w:val="BodyText"/>
        <w:spacing w:before="167"/>
      </w:pPr>
    </w:p>
    <w:p>
      <w:pPr>
        <w:spacing w:before="0"/>
        <w:ind w:left="283" w:right="0" w:firstLine="0"/>
        <w:jc w:val="left"/>
        <w:rPr>
          <w:rFonts w:ascii="Arial MT" w:hAnsi="Arial MT"/>
          <w:sz w:val="24"/>
        </w:rPr>
      </w:pPr>
      <w:r>
        <w:rPr>
          <w:rFonts w:ascii="Arial MT" w:hAnsi="Arial MT"/>
          <w:color w:val="231F1F"/>
          <w:w w:val="105"/>
          <w:sz w:val="24"/>
        </w:rPr>
        <w:t>Clasificación</w:t>
      </w:r>
      <w:r>
        <w:rPr>
          <w:rFonts w:ascii="Arial MT" w:hAnsi="Arial MT"/>
          <w:color w:val="231F1F"/>
          <w:spacing w:val="-8"/>
          <w:w w:val="105"/>
          <w:sz w:val="24"/>
        </w:rPr>
        <w:t> </w:t>
      </w:r>
      <w:r>
        <w:rPr>
          <w:rFonts w:ascii="Arial MT" w:hAnsi="Arial MT"/>
          <w:color w:val="231F1F"/>
          <w:w w:val="105"/>
          <w:sz w:val="24"/>
        </w:rPr>
        <w:t>de</w:t>
      </w:r>
      <w:r>
        <w:rPr>
          <w:rFonts w:ascii="Arial MT" w:hAnsi="Arial MT"/>
          <w:color w:val="231F1F"/>
          <w:spacing w:val="-8"/>
          <w:w w:val="105"/>
          <w:sz w:val="24"/>
        </w:rPr>
        <w:t> </w:t>
      </w:r>
      <w:r>
        <w:rPr>
          <w:rFonts w:ascii="Arial MT" w:hAnsi="Arial MT"/>
          <w:color w:val="231F1F"/>
          <w:w w:val="105"/>
          <w:sz w:val="24"/>
        </w:rPr>
        <w:t>la</w:t>
      </w:r>
      <w:r>
        <w:rPr>
          <w:rFonts w:ascii="Arial MT" w:hAnsi="Arial MT"/>
          <w:color w:val="231F1F"/>
          <w:spacing w:val="-8"/>
          <w:w w:val="105"/>
          <w:sz w:val="24"/>
        </w:rPr>
        <w:t> </w:t>
      </w:r>
      <w:r>
        <w:rPr>
          <w:rFonts w:ascii="Arial MT" w:hAnsi="Arial MT"/>
          <w:color w:val="231F1F"/>
          <w:w w:val="105"/>
          <w:sz w:val="24"/>
        </w:rPr>
        <w:t>calidad</w:t>
      </w:r>
      <w:r>
        <w:rPr>
          <w:rFonts w:ascii="Arial MT" w:hAnsi="Arial MT"/>
          <w:color w:val="231F1F"/>
          <w:spacing w:val="-8"/>
          <w:w w:val="105"/>
          <w:sz w:val="24"/>
        </w:rPr>
        <w:t> </w:t>
      </w:r>
      <w:r>
        <w:rPr>
          <w:rFonts w:ascii="Arial MT" w:hAnsi="Arial MT"/>
          <w:color w:val="231F1F"/>
          <w:w w:val="105"/>
          <w:sz w:val="24"/>
        </w:rPr>
        <w:t>de</w:t>
      </w:r>
      <w:r>
        <w:rPr>
          <w:rFonts w:ascii="Arial MT" w:hAnsi="Arial MT"/>
          <w:color w:val="231F1F"/>
          <w:spacing w:val="-10"/>
          <w:w w:val="105"/>
          <w:sz w:val="24"/>
        </w:rPr>
        <w:t> </w:t>
      </w:r>
      <w:r>
        <w:rPr>
          <w:rFonts w:ascii="Arial MT" w:hAnsi="Arial MT"/>
          <w:color w:val="231F1F"/>
          <w:w w:val="105"/>
          <w:sz w:val="24"/>
        </w:rPr>
        <w:t>los</w:t>
      </w:r>
      <w:r>
        <w:rPr>
          <w:rFonts w:ascii="Arial MT" w:hAnsi="Arial MT"/>
          <w:color w:val="231F1F"/>
          <w:spacing w:val="-8"/>
          <w:w w:val="105"/>
          <w:sz w:val="24"/>
        </w:rPr>
        <w:t> </w:t>
      </w:r>
      <w:r>
        <w:rPr>
          <w:rFonts w:ascii="Arial MT" w:hAnsi="Arial MT"/>
          <w:color w:val="231F1F"/>
          <w:spacing w:val="-2"/>
          <w:w w:val="105"/>
          <w:sz w:val="24"/>
        </w:rPr>
        <w:t>estudios</w:t>
      </w:r>
    </w:p>
    <w:p>
      <w:pPr>
        <w:pStyle w:val="BodyText"/>
        <w:spacing w:line="244" w:lineRule="auto" w:before="205"/>
        <w:ind w:left="283" w:right="115" w:firstLine="453"/>
        <w:jc w:val="both"/>
      </w:pP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clasificación</w:t>
      </w:r>
      <w:r>
        <w:rPr>
          <w:color w:val="231F1F"/>
          <w:spacing w:val="-15"/>
          <w:w w:val="110"/>
        </w:rPr>
        <w:t> </w:t>
      </w:r>
      <w:r>
        <w:rPr>
          <w:color w:val="231F1F"/>
          <w:w w:val="110"/>
        </w:rPr>
        <w:t>de</w:t>
      </w:r>
      <w:r>
        <w:rPr>
          <w:color w:val="231F1F"/>
          <w:spacing w:val="-15"/>
          <w:w w:val="110"/>
        </w:rPr>
        <w:t> </w:t>
      </w:r>
      <w:r>
        <w:rPr>
          <w:color w:val="231F1F"/>
          <w:w w:val="110"/>
        </w:rPr>
        <w:t>los</w:t>
      </w:r>
      <w:r>
        <w:rPr>
          <w:color w:val="231F1F"/>
          <w:spacing w:val="-15"/>
          <w:w w:val="110"/>
        </w:rPr>
        <w:t> </w:t>
      </w:r>
      <w:r>
        <w:rPr>
          <w:color w:val="231F1F"/>
          <w:w w:val="110"/>
        </w:rPr>
        <w:t>niveles</w:t>
      </w:r>
      <w:r>
        <w:rPr>
          <w:color w:val="231F1F"/>
          <w:spacing w:val="-15"/>
          <w:w w:val="110"/>
        </w:rPr>
        <w:t> </w:t>
      </w:r>
      <w:r>
        <w:rPr>
          <w:color w:val="231F1F"/>
          <w:w w:val="110"/>
        </w:rPr>
        <w:t>de</w:t>
      </w:r>
      <w:r>
        <w:rPr>
          <w:color w:val="231F1F"/>
          <w:spacing w:val="-15"/>
          <w:w w:val="110"/>
        </w:rPr>
        <w:t> </w:t>
      </w:r>
      <w:r>
        <w:rPr>
          <w:color w:val="231F1F"/>
          <w:w w:val="110"/>
        </w:rPr>
        <w:t>evidencia</w:t>
      </w:r>
      <w:r>
        <w:rPr>
          <w:color w:val="231F1F"/>
          <w:spacing w:val="-15"/>
          <w:w w:val="110"/>
        </w:rPr>
        <w:t> </w:t>
      </w:r>
      <w:r>
        <w:rPr>
          <w:color w:val="231F1F"/>
          <w:w w:val="110"/>
        </w:rPr>
        <w:t>y</w:t>
      </w:r>
      <w:r>
        <w:rPr>
          <w:color w:val="231F1F"/>
          <w:spacing w:val="-15"/>
          <w:w w:val="110"/>
        </w:rPr>
        <w:t> </w:t>
      </w:r>
      <w:r>
        <w:rPr>
          <w:color w:val="231F1F"/>
          <w:w w:val="110"/>
        </w:rPr>
        <w:t>graduación</w:t>
      </w:r>
      <w:r>
        <w:rPr>
          <w:color w:val="231F1F"/>
          <w:spacing w:val="-15"/>
          <w:w w:val="110"/>
        </w:rPr>
        <w:t> </w:t>
      </w:r>
      <w:r>
        <w:rPr>
          <w:color w:val="231F1F"/>
          <w:w w:val="110"/>
        </w:rPr>
        <w:t>de</w:t>
      </w:r>
      <w:r>
        <w:rPr>
          <w:color w:val="231F1F"/>
          <w:spacing w:val="-15"/>
          <w:w w:val="110"/>
        </w:rPr>
        <w:t> </w:t>
      </w:r>
      <w:r>
        <w:rPr>
          <w:color w:val="231F1F"/>
          <w:w w:val="110"/>
        </w:rPr>
        <w:t>recomendaciones</w:t>
      </w:r>
      <w:r>
        <w:rPr>
          <w:color w:val="231F1F"/>
          <w:spacing w:val="-15"/>
          <w:w w:val="110"/>
        </w:rPr>
        <w:t> </w:t>
      </w:r>
      <w:r>
        <w:rPr>
          <w:color w:val="231F1F"/>
          <w:w w:val="110"/>
        </w:rPr>
        <w:t>se ha</w:t>
      </w:r>
      <w:r>
        <w:rPr>
          <w:color w:val="231F1F"/>
          <w:spacing w:val="-2"/>
          <w:w w:val="110"/>
        </w:rPr>
        <w:t> </w:t>
      </w:r>
      <w:r>
        <w:rPr>
          <w:color w:val="231F1F"/>
          <w:w w:val="110"/>
        </w:rPr>
        <w:t>utilizado</w:t>
      </w:r>
      <w:r>
        <w:rPr>
          <w:color w:val="231F1F"/>
          <w:spacing w:val="-2"/>
          <w:w w:val="110"/>
        </w:rPr>
        <w:t> </w:t>
      </w:r>
      <w:r>
        <w:rPr>
          <w:color w:val="231F1F"/>
          <w:w w:val="110"/>
        </w:rPr>
        <w:t>la</w:t>
      </w:r>
      <w:r>
        <w:rPr>
          <w:color w:val="231F1F"/>
          <w:spacing w:val="-2"/>
          <w:w w:val="110"/>
        </w:rPr>
        <w:t> </w:t>
      </w:r>
      <w:r>
        <w:rPr>
          <w:color w:val="231F1F"/>
          <w:w w:val="110"/>
        </w:rPr>
        <w:t>escala</w:t>
      </w:r>
      <w:r>
        <w:rPr>
          <w:color w:val="231F1F"/>
          <w:spacing w:val="-2"/>
          <w:w w:val="110"/>
        </w:rPr>
        <w:t> </w:t>
      </w:r>
      <w:r>
        <w:rPr>
          <w:color w:val="231F1F"/>
          <w:w w:val="110"/>
        </w:rPr>
        <w:t>de</w:t>
      </w:r>
      <w:r>
        <w:rPr>
          <w:color w:val="231F1F"/>
          <w:spacing w:val="-2"/>
          <w:w w:val="110"/>
        </w:rPr>
        <w:t> </w:t>
      </w:r>
      <w:r>
        <w:rPr>
          <w:color w:val="231F1F"/>
          <w:w w:val="110"/>
        </w:rPr>
        <w:t>SIGN(1)</w:t>
      </w:r>
      <w:r>
        <w:rPr>
          <w:color w:val="231F1F"/>
          <w:spacing w:val="-2"/>
          <w:w w:val="110"/>
        </w:rPr>
        <w:t> </w:t>
      </w:r>
      <w:r>
        <w:rPr>
          <w:color w:val="231F1F"/>
          <w:w w:val="110"/>
        </w:rPr>
        <w:t>para</w:t>
      </w:r>
      <w:r>
        <w:rPr>
          <w:color w:val="231F1F"/>
          <w:spacing w:val="-2"/>
          <w:w w:val="110"/>
        </w:rPr>
        <w:t> </w:t>
      </w:r>
      <w:r>
        <w:rPr>
          <w:color w:val="231F1F"/>
          <w:w w:val="110"/>
        </w:rPr>
        <w:t>preguntas</w:t>
      </w:r>
      <w:r>
        <w:rPr>
          <w:color w:val="231F1F"/>
          <w:spacing w:val="-3"/>
          <w:w w:val="110"/>
        </w:rPr>
        <w:t> </w:t>
      </w:r>
      <w:r>
        <w:rPr>
          <w:color w:val="231F1F"/>
          <w:w w:val="110"/>
        </w:rPr>
        <w:t>de</w:t>
      </w:r>
      <w:r>
        <w:rPr>
          <w:color w:val="231F1F"/>
          <w:spacing w:val="-2"/>
          <w:w w:val="110"/>
        </w:rPr>
        <w:t> </w:t>
      </w:r>
      <w:r>
        <w:rPr>
          <w:color w:val="231F1F"/>
          <w:w w:val="110"/>
        </w:rPr>
        <w:t>efectividad</w:t>
      </w:r>
      <w:r>
        <w:rPr>
          <w:color w:val="231F1F"/>
          <w:spacing w:val="-2"/>
          <w:w w:val="110"/>
        </w:rPr>
        <w:t> </w:t>
      </w:r>
      <w:r>
        <w:rPr>
          <w:color w:val="231F1F"/>
          <w:w w:val="110"/>
        </w:rPr>
        <w:t>y</w:t>
      </w:r>
      <w:r>
        <w:rPr>
          <w:color w:val="231F1F"/>
          <w:spacing w:val="-2"/>
          <w:w w:val="110"/>
        </w:rPr>
        <w:t> </w:t>
      </w:r>
      <w:r>
        <w:rPr>
          <w:color w:val="231F1F"/>
          <w:w w:val="110"/>
        </w:rPr>
        <w:t>seguridad</w:t>
      </w:r>
      <w:r>
        <w:rPr>
          <w:color w:val="231F1F"/>
          <w:spacing w:val="-3"/>
          <w:w w:val="110"/>
        </w:rPr>
        <w:t> </w:t>
      </w:r>
      <w:r>
        <w:rPr>
          <w:color w:val="231F1F"/>
          <w:w w:val="110"/>
        </w:rPr>
        <w:t>de</w:t>
      </w:r>
      <w:r>
        <w:rPr>
          <w:color w:val="231F1F"/>
          <w:spacing w:val="-2"/>
          <w:w w:val="110"/>
        </w:rPr>
        <w:t> </w:t>
      </w:r>
      <w:r>
        <w:rPr>
          <w:color w:val="231F1F"/>
          <w:w w:val="110"/>
        </w:rPr>
        <w:t>las</w:t>
      </w:r>
      <w:r>
        <w:rPr>
          <w:color w:val="231F1F"/>
          <w:spacing w:val="-2"/>
          <w:w w:val="110"/>
        </w:rPr>
        <w:t> </w:t>
      </w:r>
      <w:r>
        <w:rPr>
          <w:color w:val="231F1F"/>
          <w:w w:val="110"/>
        </w:rPr>
        <w:t>inter- venciones o tratamientos y la de OXFORD(3;9) para las preguntas de diagnóstico (ver apartado escalas de niveles de evidencia y grados de recomendación (pg 21-22).</w:t>
      </w:r>
    </w:p>
    <w:p>
      <w:pPr>
        <w:pStyle w:val="BodyText"/>
        <w:spacing w:before="164"/>
      </w:pPr>
    </w:p>
    <w:p>
      <w:pPr>
        <w:spacing w:before="0"/>
        <w:ind w:left="283" w:right="0" w:firstLine="0"/>
        <w:jc w:val="left"/>
        <w:rPr>
          <w:rFonts w:ascii="Arial MT" w:hAnsi="Arial MT"/>
          <w:sz w:val="24"/>
        </w:rPr>
      </w:pPr>
      <w:r>
        <w:rPr>
          <w:rFonts w:ascii="Arial MT" w:hAnsi="Arial MT"/>
          <w:color w:val="231F1F"/>
          <w:sz w:val="24"/>
        </w:rPr>
        <w:t>Formulación</w:t>
      </w:r>
      <w:r>
        <w:rPr>
          <w:rFonts w:ascii="Arial MT" w:hAnsi="Arial MT"/>
          <w:color w:val="231F1F"/>
          <w:spacing w:val="25"/>
          <w:sz w:val="24"/>
        </w:rPr>
        <w:t> </w:t>
      </w:r>
      <w:r>
        <w:rPr>
          <w:rFonts w:ascii="Arial MT" w:hAnsi="Arial MT"/>
          <w:color w:val="231F1F"/>
          <w:sz w:val="24"/>
        </w:rPr>
        <w:t>de</w:t>
      </w:r>
      <w:r>
        <w:rPr>
          <w:rFonts w:ascii="Arial MT" w:hAnsi="Arial MT"/>
          <w:color w:val="231F1F"/>
          <w:spacing w:val="28"/>
          <w:sz w:val="24"/>
        </w:rPr>
        <w:t> </w:t>
      </w:r>
      <w:r>
        <w:rPr>
          <w:rFonts w:ascii="Arial MT" w:hAnsi="Arial MT"/>
          <w:color w:val="231F1F"/>
          <w:spacing w:val="-2"/>
          <w:sz w:val="24"/>
        </w:rPr>
        <w:t>recomendaciones</w:t>
      </w:r>
    </w:p>
    <w:p>
      <w:pPr>
        <w:pStyle w:val="BodyText"/>
        <w:spacing w:line="244" w:lineRule="auto" w:before="214"/>
        <w:ind w:left="283" w:right="126"/>
        <w:jc w:val="both"/>
      </w:pPr>
      <w:r>
        <w:rPr>
          <w:color w:val="231F1F"/>
          <w:w w:val="105"/>
        </w:rPr>
        <w:t>La elaboración y formulación de las recomendaciones se realizó en sesiones de trabajo con la participación de los miembros del GEG de cada subgrupo de preguntas y los profesio- nales de perfil metodológico.</w:t>
      </w:r>
    </w:p>
    <w:p>
      <w:pPr>
        <w:pStyle w:val="BodyText"/>
        <w:spacing w:after="0" w:line="244" w:lineRule="auto"/>
        <w:jc w:val="both"/>
        <w:sectPr>
          <w:pgSz w:w="11900" w:h="16840"/>
          <w:pgMar w:header="0" w:footer="622" w:top="1580" w:bottom="820" w:left="1417" w:right="1559"/>
        </w:sectPr>
      </w:pPr>
    </w:p>
    <w:p>
      <w:pPr>
        <w:pStyle w:val="BodyText"/>
        <w:spacing w:line="244" w:lineRule="auto" w:before="73"/>
        <w:ind w:left="283" w:right="124" w:firstLine="453"/>
        <w:jc w:val="both"/>
      </w:pPr>
      <w:r>
        <w:rPr>
          <w:color w:val="231F1F"/>
          <w:w w:val="110"/>
        </w:rPr>
        <w:t>Partiendo</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evaluación</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calidad</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evidencia</w:t>
      </w:r>
      <w:r>
        <w:rPr>
          <w:color w:val="231F1F"/>
          <w:spacing w:val="-3"/>
          <w:w w:val="110"/>
        </w:rPr>
        <w:t> </w:t>
      </w:r>
      <w:r>
        <w:rPr>
          <w:color w:val="231F1F"/>
          <w:w w:val="110"/>
        </w:rPr>
        <w:t>se</w:t>
      </w:r>
      <w:r>
        <w:rPr>
          <w:color w:val="231F1F"/>
          <w:spacing w:val="-3"/>
          <w:w w:val="110"/>
        </w:rPr>
        <w:t> </w:t>
      </w:r>
      <w:r>
        <w:rPr>
          <w:color w:val="231F1F"/>
          <w:w w:val="110"/>
        </w:rPr>
        <w:t>trabajó</w:t>
      </w:r>
      <w:r>
        <w:rPr>
          <w:color w:val="231F1F"/>
          <w:spacing w:val="-2"/>
          <w:w w:val="110"/>
        </w:rPr>
        <w:t> </w:t>
      </w:r>
      <w:r>
        <w:rPr>
          <w:color w:val="231F1F"/>
          <w:w w:val="110"/>
        </w:rPr>
        <w:t>en</w:t>
      </w:r>
      <w:r>
        <w:rPr>
          <w:color w:val="231F1F"/>
          <w:spacing w:val="-3"/>
          <w:w w:val="110"/>
        </w:rPr>
        <w:t> </w:t>
      </w:r>
      <w:r>
        <w:rPr>
          <w:color w:val="231F1F"/>
          <w:w w:val="110"/>
        </w:rPr>
        <w:t>la</w:t>
      </w:r>
      <w:r>
        <w:rPr>
          <w:color w:val="231F1F"/>
          <w:spacing w:val="-3"/>
          <w:w w:val="110"/>
        </w:rPr>
        <w:t> </w:t>
      </w:r>
      <w:r>
        <w:rPr>
          <w:color w:val="231F1F"/>
          <w:w w:val="110"/>
        </w:rPr>
        <w:t>redacción</w:t>
      </w:r>
      <w:r>
        <w:rPr>
          <w:color w:val="231F1F"/>
          <w:spacing w:val="-2"/>
          <w:w w:val="110"/>
        </w:rPr>
        <w:t> </w:t>
      </w:r>
      <w:r>
        <w:rPr>
          <w:color w:val="231F1F"/>
          <w:w w:val="110"/>
        </w:rPr>
        <w:t>y graduación de las recomendaciones.</w:t>
      </w:r>
    </w:p>
    <w:p>
      <w:pPr>
        <w:pStyle w:val="BodyText"/>
        <w:spacing w:line="249" w:lineRule="auto" w:before="151"/>
        <w:ind w:left="283" w:right="120" w:firstLine="453"/>
        <w:jc w:val="both"/>
      </w:pPr>
      <w:r>
        <w:rPr>
          <w:color w:val="231F1F"/>
          <w:w w:val="105"/>
        </w:rPr>
        <w:t>En las discusiones, cuando se analizó la evidencia se tuvo en cuenta la importancia de las variables de resultado desde el punto de vista de los pacientes</w:t>
      </w:r>
      <w:r>
        <w:rPr>
          <w:color w:val="231F1F"/>
          <w:w w:val="105"/>
        </w:rPr>
        <w:t> y para graduar las reco- mendaciones</w:t>
      </w:r>
      <w:r>
        <w:rPr>
          <w:color w:val="231F1F"/>
          <w:w w:val="105"/>
        </w:rPr>
        <w:t> se</w:t>
      </w:r>
      <w:r>
        <w:rPr>
          <w:color w:val="231F1F"/>
          <w:w w:val="105"/>
        </w:rPr>
        <w:t> valoró</w:t>
      </w:r>
      <w:r>
        <w:rPr>
          <w:color w:val="231F1F"/>
          <w:w w:val="105"/>
        </w:rPr>
        <w:t> si</w:t>
      </w:r>
      <w:r>
        <w:rPr>
          <w:color w:val="231F1F"/>
          <w:w w:val="105"/>
        </w:rPr>
        <w:t> la</w:t>
      </w:r>
      <w:r>
        <w:rPr>
          <w:color w:val="231F1F"/>
          <w:w w:val="105"/>
        </w:rPr>
        <w:t> recomendación</w:t>
      </w:r>
      <w:r>
        <w:rPr>
          <w:color w:val="231F1F"/>
          <w:w w:val="105"/>
        </w:rPr>
        <w:t> conllevaba</w:t>
      </w:r>
      <w:r>
        <w:rPr>
          <w:color w:val="231F1F"/>
          <w:w w:val="105"/>
        </w:rPr>
        <w:t> más</w:t>
      </w:r>
      <w:r>
        <w:rPr>
          <w:color w:val="231F1F"/>
          <w:w w:val="105"/>
        </w:rPr>
        <w:t> beneficios</w:t>
      </w:r>
      <w:r>
        <w:rPr>
          <w:color w:val="231F1F"/>
          <w:w w:val="105"/>
        </w:rPr>
        <w:t> que</w:t>
      </w:r>
      <w:r>
        <w:rPr>
          <w:color w:val="231F1F"/>
          <w:w w:val="105"/>
        </w:rPr>
        <w:t> riesgos.</w:t>
      </w:r>
      <w:r>
        <w:rPr>
          <w:color w:val="231F1F"/>
          <w:w w:val="105"/>
        </w:rPr>
        <w:t> Este proceso se realizó siguiendo el sistema «Evaluación formal» o «Juicio razonado» propues- to</w:t>
      </w:r>
      <w:r>
        <w:rPr>
          <w:color w:val="231F1F"/>
          <w:spacing w:val="40"/>
          <w:w w:val="105"/>
        </w:rPr>
        <w:t> </w:t>
      </w:r>
      <w:r>
        <w:rPr>
          <w:color w:val="231F1F"/>
          <w:w w:val="105"/>
        </w:rPr>
        <w:t>por</w:t>
      </w:r>
      <w:r>
        <w:rPr>
          <w:color w:val="231F1F"/>
          <w:spacing w:val="40"/>
          <w:w w:val="105"/>
        </w:rPr>
        <w:t> </w:t>
      </w:r>
      <w:r>
        <w:rPr>
          <w:color w:val="231F1F"/>
          <w:w w:val="105"/>
        </w:rPr>
        <w:t>SIGN</w:t>
      </w:r>
      <w:r>
        <w:rPr>
          <w:color w:val="231F1F"/>
          <w:spacing w:val="40"/>
          <w:w w:val="105"/>
        </w:rPr>
        <w:t> </w:t>
      </w:r>
      <w:r>
        <w:rPr>
          <w:color w:val="231F1F"/>
          <w:w w:val="105"/>
        </w:rPr>
        <w:t>que</w:t>
      </w:r>
      <w:r>
        <w:rPr>
          <w:color w:val="231F1F"/>
          <w:spacing w:val="40"/>
          <w:w w:val="105"/>
        </w:rPr>
        <w:t> </w:t>
      </w:r>
      <w:r>
        <w:rPr>
          <w:color w:val="231F1F"/>
          <w:w w:val="105"/>
        </w:rPr>
        <w:t>valora</w:t>
      </w:r>
      <w:r>
        <w:rPr>
          <w:color w:val="231F1F"/>
          <w:spacing w:val="40"/>
          <w:w w:val="105"/>
        </w:rPr>
        <w:t> </w:t>
      </w:r>
      <w:r>
        <w:rPr>
          <w:color w:val="231F1F"/>
          <w:w w:val="105"/>
        </w:rPr>
        <w:t>los</w:t>
      </w:r>
      <w:r>
        <w:rPr>
          <w:color w:val="231F1F"/>
          <w:spacing w:val="40"/>
          <w:w w:val="105"/>
        </w:rPr>
        <w:t> </w:t>
      </w:r>
      <w:r>
        <w:rPr>
          <w:color w:val="231F1F"/>
          <w:w w:val="105"/>
        </w:rPr>
        <w:t>siguientes</w:t>
      </w:r>
      <w:r>
        <w:rPr>
          <w:color w:val="231F1F"/>
          <w:spacing w:val="40"/>
          <w:w w:val="105"/>
        </w:rPr>
        <w:t> </w:t>
      </w:r>
      <w:r>
        <w:rPr>
          <w:color w:val="231F1F"/>
          <w:w w:val="105"/>
        </w:rPr>
        <w:t>aspectos</w:t>
      </w:r>
      <w:r>
        <w:rPr>
          <w:color w:val="231F1F"/>
          <w:spacing w:val="40"/>
          <w:w w:val="105"/>
        </w:rPr>
        <w:t> </w:t>
      </w:r>
      <w:r>
        <w:rPr>
          <w:color w:val="231F1F"/>
          <w:w w:val="105"/>
        </w:rPr>
        <w:t>clave:</w:t>
      </w:r>
    </w:p>
    <w:p>
      <w:pPr>
        <w:pStyle w:val="ListParagraph"/>
        <w:numPr>
          <w:ilvl w:val="0"/>
          <w:numId w:val="10"/>
        </w:numPr>
        <w:tabs>
          <w:tab w:pos="953" w:val="left" w:leader="none"/>
        </w:tabs>
        <w:spacing w:line="240" w:lineRule="auto" w:before="129" w:after="0"/>
        <w:ind w:left="953" w:right="0" w:hanging="218"/>
        <w:jc w:val="both"/>
        <w:rPr>
          <w:sz w:val="22"/>
        </w:rPr>
      </w:pPr>
      <w:r>
        <w:rPr>
          <w:color w:val="231F1F"/>
          <w:w w:val="105"/>
          <w:sz w:val="22"/>
        </w:rPr>
        <w:t>Cantidad,</w:t>
      </w:r>
      <w:r>
        <w:rPr>
          <w:color w:val="231F1F"/>
          <w:spacing w:val="-4"/>
          <w:w w:val="105"/>
          <w:sz w:val="22"/>
        </w:rPr>
        <w:t> </w:t>
      </w:r>
      <w:r>
        <w:rPr>
          <w:color w:val="231F1F"/>
          <w:w w:val="105"/>
          <w:sz w:val="22"/>
        </w:rPr>
        <w:t>calidad</w:t>
      </w:r>
      <w:r>
        <w:rPr>
          <w:color w:val="231F1F"/>
          <w:spacing w:val="1"/>
          <w:w w:val="105"/>
          <w:sz w:val="22"/>
        </w:rPr>
        <w:t> </w:t>
      </w:r>
      <w:r>
        <w:rPr>
          <w:color w:val="231F1F"/>
          <w:w w:val="105"/>
          <w:sz w:val="22"/>
        </w:rPr>
        <w:t>y consistencia</w:t>
      </w:r>
      <w:r>
        <w:rPr>
          <w:color w:val="231F1F"/>
          <w:spacing w:val="-1"/>
          <w:w w:val="105"/>
          <w:sz w:val="22"/>
        </w:rPr>
        <w:t> </w:t>
      </w:r>
      <w:r>
        <w:rPr>
          <w:color w:val="231F1F"/>
          <w:w w:val="105"/>
          <w:sz w:val="22"/>
        </w:rPr>
        <w:t>de</w:t>
      </w:r>
      <w:r>
        <w:rPr>
          <w:color w:val="231F1F"/>
          <w:spacing w:val="-2"/>
          <w:w w:val="105"/>
          <w:sz w:val="22"/>
        </w:rPr>
        <w:t> </w:t>
      </w:r>
      <w:r>
        <w:rPr>
          <w:color w:val="231F1F"/>
          <w:w w:val="105"/>
          <w:sz w:val="22"/>
        </w:rPr>
        <w:t>la</w:t>
      </w:r>
      <w:r>
        <w:rPr>
          <w:color w:val="231F1F"/>
          <w:spacing w:val="1"/>
          <w:w w:val="105"/>
          <w:sz w:val="22"/>
        </w:rPr>
        <w:t> </w:t>
      </w:r>
      <w:r>
        <w:rPr>
          <w:color w:val="231F1F"/>
          <w:w w:val="105"/>
          <w:sz w:val="22"/>
        </w:rPr>
        <w:t>evidencia</w:t>
      </w:r>
      <w:r>
        <w:rPr>
          <w:color w:val="231F1F"/>
          <w:spacing w:val="-2"/>
          <w:w w:val="105"/>
          <w:sz w:val="22"/>
        </w:rPr>
        <w:t> científica</w:t>
      </w:r>
    </w:p>
    <w:p>
      <w:pPr>
        <w:pStyle w:val="ListParagraph"/>
        <w:numPr>
          <w:ilvl w:val="0"/>
          <w:numId w:val="10"/>
        </w:numPr>
        <w:tabs>
          <w:tab w:pos="953" w:val="left" w:leader="none"/>
        </w:tabs>
        <w:spacing w:line="240" w:lineRule="auto" w:before="160" w:after="0"/>
        <w:ind w:left="953" w:right="0" w:hanging="218"/>
        <w:jc w:val="both"/>
        <w:rPr>
          <w:sz w:val="22"/>
        </w:rPr>
      </w:pPr>
      <w:r>
        <w:rPr>
          <w:color w:val="231F1F"/>
          <w:sz w:val="22"/>
        </w:rPr>
        <w:t>Generalización</w:t>
      </w:r>
      <w:r>
        <w:rPr>
          <w:color w:val="231F1F"/>
          <w:spacing w:val="38"/>
          <w:sz w:val="22"/>
        </w:rPr>
        <w:t> </w:t>
      </w:r>
      <w:r>
        <w:rPr>
          <w:color w:val="231F1F"/>
          <w:sz w:val="22"/>
        </w:rPr>
        <w:t>de</w:t>
      </w:r>
      <w:r>
        <w:rPr>
          <w:color w:val="231F1F"/>
          <w:spacing w:val="41"/>
          <w:sz w:val="22"/>
        </w:rPr>
        <w:t> </w:t>
      </w:r>
      <w:r>
        <w:rPr>
          <w:color w:val="231F1F"/>
          <w:sz w:val="22"/>
        </w:rPr>
        <w:t>los</w:t>
      </w:r>
      <w:r>
        <w:rPr>
          <w:color w:val="231F1F"/>
          <w:spacing w:val="40"/>
          <w:sz w:val="22"/>
        </w:rPr>
        <w:t> </w:t>
      </w:r>
      <w:r>
        <w:rPr>
          <w:color w:val="231F1F"/>
          <w:spacing w:val="-2"/>
          <w:sz w:val="22"/>
        </w:rPr>
        <w:t>resultados</w:t>
      </w:r>
    </w:p>
    <w:p>
      <w:pPr>
        <w:pStyle w:val="ListParagraph"/>
        <w:numPr>
          <w:ilvl w:val="0"/>
          <w:numId w:val="10"/>
        </w:numPr>
        <w:tabs>
          <w:tab w:pos="953" w:val="left" w:leader="none"/>
        </w:tabs>
        <w:spacing w:line="240" w:lineRule="auto" w:before="145" w:after="0"/>
        <w:ind w:left="953" w:right="0" w:hanging="218"/>
        <w:jc w:val="both"/>
        <w:rPr>
          <w:sz w:val="22"/>
        </w:rPr>
      </w:pPr>
      <w:r>
        <w:rPr>
          <w:color w:val="231F1F"/>
          <w:spacing w:val="-2"/>
          <w:w w:val="110"/>
          <w:sz w:val="22"/>
        </w:rPr>
        <w:t>Aplicabilidad</w:t>
      </w:r>
    </w:p>
    <w:p>
      <w:pPr>
        <w:pStyle w:val="ListParagraph"/>
        <w:numPr>
          <w:ilvl w:val="0"/>
          <w:numId w:val="10"/>
        </w:numPr>
        <w:tabs>
          <w:tab w:pos="953" w:val="left" w:leader="none"/>
        </w:tabs>
        <w:spacing w:line="240" w:lineRule="auto" w:before="151" w:after="0"/>
        <w:ind w:left="953" w:right="0" w:hanging="218"/>
        <w:jc w:val="both"/>
        <w:rPr>
          <w:sz w:val="22"/>
        </w:rPr>
      </w:pPr>
      <w:r>
        <w:rPr>
          <w:color w:val="231F1F"/>
          <w:w w:val="105"/>
          <w:sz w:val="22"/>
        </w:rPr>
        <w:t>Impacto</w:t>
      </w:r>
      <w:r>
        <w:rPr>
          <w:color w:val="231F1F"/>
          <w:spacing w:val="19"/>
          <w:w w:val="105"/>
          <w:sz w:val="22"/>
        </w:rPr>
        <w:t> </w:t>
      </w:r>
      <w:r>
        <w:rPr>
          <w:color w:val="231F1F"/>
          <w:spacing w:val="-2"/>
          <w:w w:val="105"/>
          <w:sz w:val="22"/>
        </w:rPr>
        <w:t>clínico</w:t>
      </w:r>
    </w:p>
    <w:p>
      <w:pPr>
        <w:pStyle w:val="BodyText"/>
      </w:pPr>
    </w:p>
    <w:p>
      <w:pPr>
        <w:pStyle w:val="BodyText"/>
        <w:spacing w:before="8"/>
      </w:pPr>
    </w:p>
    <w:p>
      <w:pPr>
        <w:spacing w:before="0"/>
        <w:ind w:left="283" w:right="0" w:firstLine="0"/>
        <w:jc w:val="left"/>
        <w:rPr>
          <w:rFonts w:ascii="Arial MT" w:hAnsi="Arial MT"/>
          <w:sz w:val="24"/>
        </w:rPr>
      </w:pPr>
      <w:r>
        <w:rPr>
          <w:rFonts w:ascii="Arial MT" w:hAnsi="Arial MT"/>
          <w:color w:val="231F1F"/>
          <w:w w:val="105"/>
          <w:sz w:val="24"/>
        </w:rPr>
        <w:t>Edición</w:t>
      </w:r>
      <w:r>
        <w:rPr>
          <w:rFonts w:ascii="Arial MT" w:hAnsi="Arial MT"/>
          <w:color w:val="231F1F"/>
          <w:spacing w:val="-11"/>
          <w:w w:val="105"/>
          <w:sz w:val="24"/>
        </w:rPr>
        <w:t> </w:t>
      </w:r>
      <w:r>
        <w:rPr>
          <w:rFonts w:ascii="Arial MT" w:hAnsi="Arial MT"/>
          <w:color w:val="231F1F"/>
          <w:w w:val="105"/>
          <w:sz w:val="24"/>
        </w:rPr>
        <w:t>de</w:t>
      </w:r>
      <w:r>
        <w:rPr>
          <w:rFonts w:ascii="Arial MT" w:hAnsi="Arial MT"/>
          <w:color w:val="231F1F"/>
          <w:spacing w:val="-10"/>
          <w:w w:val="105"/>
          <w:sz w:val="24"/>
        </w:rPr>
        <w:t> </w:t>
      </w:r>
      <w:r>
        <w:rPr>
          <w:rFonts w:ascii="Arial MT" w:hAnsi="Arial MT"/>
          <w:color w:val="231F1F"/>
          <w:w w:val="105"/>
          <w:sz w:val="24"/>
        </w:rPr>
        <w:t>la</w:t>
      </w:r>
      <w:r>
        <w:rPr>
          <w:rFonts w:ascii="Arial MT" w:hAnsi="Arial MT"/>
          <w:color w:val="231F1F"/>
          <w:spacing w:val="-10"/>
          <w:w w:val="105"/>
          <w:sz w:val="24"/>
        </w:rPr>
        <w:t> </w:t>
      </w:r>
      <w:r>
        <w:rPr>
          <w:rFonts w:ascii="Arial MT" w:hAnsi="Arial MT"/>
          <w:color w:val="231F1F"/>
          <w:spacing w:val="-4"/>
          <w:w w:val="105"/>
          <w:sz w:val="24"/>
        </w:rPr>
        <w:t>Guía</w:t>
      </w:r>
    </w:p>
    <w:p>
      <w:pPr>
        <w:pStyle w:val="BodyText"/>
        <w:spacing w:before="205"/>
        <w:ind w:left="283"/>
      </w:pPr>
      <w:r>
        <w:rPr>
          <w:color w:val="231F1F"/>
          <w:w w:val="110"/>
        </w:rPr>
        <w:t>A</w:t>
      </w:r>
      <w:r>
        <w:rPr>
          <w:color w:val="231F1F"/>
          <w:spacing w:val="-8"/>
          <w:w w:val="110"/>
        </w:rPr>
        <w:t> </w:t>
      </w:r>
      <w:r>
        <w:rPr>
          <w:color w:val="231F1F"/>
          <w:w w:val="110"/>
        </w:rPr>
        <w:t>lo</w:t>
      </w:r>
      <w:r>
        <w:rPr>
          <w:color w:val="231F1F"/>
          <w:spacing w:val="-8"/>
          <w:w w:val="110"/>
        </w:rPr>
        <w:t> </w:t>
      </w:r>
      <w:r>
        <w:rPr>
          <w:color w:val="231F1F"/>
          <w:w w:val="110"/>
        </w:rPr>
        <w:t>largo</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8"/>
          <w:w w:val="110"/>
        </w:rPr>
        <w:t> </w:t>
      </w:r>
      <w:r>
        <w:rPr>
          <w:color w:val="231F1F"/>
          <w:w w:val="110"/>
        </w:rPr>
        <w:t>esta</w:t>
      </w:r>
      <w:r>
        <w:rPr>
          <w:color w:val="231F1F"/>
          <w:spacing w:val="-7"/>
          <w:w w:val="110"/>
        </w:rPr>
        <w:t> </w:t>
      </w:r>
      <w:r>
        <w:rPr>
          <w:color w:val="231F1F"/>
          <w:w w:val="110"/>
        </w:rPr>
        <w:t>GPC</w:t>
      </w:r>
      <w:r>
        <w:rPr>
          <w:color w:val="231F1F"/>
          <w:spacing w:val="-7"/>
          <w:w w:val="110"/>
        </w:rPr>
        <w:t> </w:t>
      </w:r>
      <w:r>
        <w:rPr>
          <w:color w:val="231F1F"/>
          <w:w w:val="110"/>
        </w:rPr>
        <w:t>se</w:t>
      </w:r>
      <w:r>
        <w:rPr>
          <w:color w:val="231F1F"/>
          <w:spacing w:val="-6"/>
          <w:w w:val="110"/>
        </w:rPr>
        <w:t> </w:t>
      </w:r>
      <w:r>
        <w:rPr>
          <w:color w:val="231F1F"/>
          <w:w w:val="110"/>
        </w:rPr>
        <w:t>encontrarán</w:t>
      </w:r>
      <w:r>
        <w:rPr>
          <w:color w:val="231F1F"/>
          <w:spacing w:val="-8"/>
          <w:w w:val="110"/>
        </w:rPr>
        <w:t> </w:t>
      </w:r>
      <w:r>
        <w:rPr>
          <w:color w:val="231F1F"/>
          <w:w w:val="110"/>
        </w:rPr>
        <w:t>recomendaciones</w:t>
      </w:r>
      <w:r>
        <w:rPr>
          <w:color w:val="231F1F"/>
          <w:spacing w:val="-7"/>
          <w:w w:val="110"/>
        </w:rPr>
        <w:t> </w:t>
      </w:r>
      <w:r>
        <w:rPr>
          <w:color w:val="231F1F"/>
          <w:w w:val="110"/>
        </w:rPr>
        <w:t>basadas</w:t>
      </w:r>
      <w:r>
        <w:rPr>
          <w:color w:val="231F1F"/>
          <w:spacing w:val="-7"/>
          <w:w w:val="110"/>
        </w:rPr>
        <w:t> </w:t>
      </w:r>
      <w:r>
        <w:rPr>
          <w:color w:val="231F1F"/>
          <w:w w:val="110"/>
        </w:rPr>
        <w:t>en</w:t>
      </w:r>
      <w:r>
        <w:rPr>
          <w:color w:val="231F1F"/>
          <w:spacing w:val="-7"/>
          <w:w w:val="110"/>
        </w:rPr>
        <w:t> </w:t>
      </w:r>
      <w:r>
        <w:rPr>
          <w:color w:val="231F1F"/>
          <w:w w:val="110"/>
        </w:rPr>
        <w:t>publicaciones</w:t>
      </w:r>
      <w:r>
        <w:rPr>
          <w:color w:val="231F1F"/>
          <w:spacing w:val="-9"/>
          <w:w w:val="110"/>
        </w:rPr>
        <w:t> </w:t>
      </w:r>
      <w:r>
        <w:rPr>
          <w:color w:val="231F1F"/>
          <w:spacing w:val="-5"/>
          <w:w w:val="110"/>
        </w:rPr>
        <w:t>de</w:t>
      </w:r>
    </w:p>
    <w:p>
      <w:pPr>
        <w:pStyle w:val="BodyText"/>
        <w:spacing w:before="6"/>
        <w:ind w:left="283"/>
      </w:pPr>
      <w:r>
        <w:rPr>
          <w:color w:val="231F1F"/>
          <w:w w:val="105"/>
        </w:rPr>
        <w:t>«opinión de</w:t>
      </w:r>
      <w:r>
        <w:rPr>
          <w:color w:val="231F1F"/>
          <w:spacing w:val="-2"/>
          <w:w w:val="105"/>
        </w:rPr>
        <w:t> </w:t>
      </w:r>
      <w:r>
        <w:rPr>
          <w:color w:val="231F1F"/>
          <w:w w:val="105"/>
        </w:rPr>
        <w:t>expertos» calificadas con</w:t>
      </w:r>
      <w:r>
        <w:rPr>
          <w:color w:val="231F1F"/>
          <w:spacing w:val="1"/>
          <w:w w:val="105"/>
        </w:rPr>
        <w:t> </w:t>
      </w:r>
      <w:r>
        <w:rPr>
          <w:color w:val="231F1F"/>
          <w:w w:val="105"/>
        </w:rPr>
        <w:t>la letra</w:t>
      </w:r>
      <w:r>
        <w:rPr>
          <w:color w:val="231F1F"/>
          <w:spacing w:val="-2"/>
          <w:w w:val="105"/>
        </w:rPr>
        <w:t> </w:t>
      </w:r>
      <w:r>
        <w:rPr>
          <w:color w:val="231F1F"/>
          <w:spacing w:val="-4"/>
          <w:w w:val="105"/>
        </w:rPr>
        <w:t>«D».</w:t>
      </w:r>
    </w:p>
    <w:p>
      <w:pPr>
        <w:pStyle w:val="BodyText"/>
        <w:spacing w:line="244" w:lineRule="auto" w:before="173"/>
        <w:ind w:left="283" w:right="120" w:firstLine="453"/>
        <w:jc w:val="both"/>
      </w:pPr>
      <w:r>
        <w:rPr>
          <w:color w:val="231F1F"/>
          <w:w w:val="110"/>
        </w:rPr>
        <w:t>También</w:t>
      </w:r>
      <w:r>
        <w:rPr>
          <w:color w:val="231F1F"/>
          <w:spacing w:val="-12"/>
          <w:w w:val="110"/>
        </w:rPr>
        <w:t> </w:t>
      </w:r>
      <w:r>
        <w:rPr>
          <w:color w:val="231F1F"/>
          <w:w w:val="110"/>
        </w:rPr>
        <w:t>se</w:t>
      </w:r>
      <w:r>
        <w:rPr>
          <w:color w:val="231F1F"/>
          <w:spacing w:val="-12"/>
          <w:w w:val="110"/>
        </w:rPr>
        <w:t> </w:t>
      </w:r>
      <w:r>
        <w:rPr>
          <w:color w:val="231F1F"/>
          <w:w w:val="110"/>
        </w:rPr>
        <w:t>utiliza</w:t>
      </w:r>
      <w:r>
        <w:rPr>
          <w:color w:val="231F1F"/>
          <w:spacing w:val="-12"/>
          <w:w w:val="110"/>
        </w:rPr>
        <w:t> </w:t>
      </w:r>
      <w:r>
        <w:rPr>
          <w:color w:val="231F1F"/>
          <w:w w:val="110"/>
        </w:rPr>
        <w:t>el</w:t>
      </w:r>
      <w:r>
        <w:rPr>
          <w:color w:val="231F1F"/>
          <w:spacing w:val="-12"/>
          <w:w w:val="110"/>
        </w:rPr>
        <w:t> </w:t>
      </w:r>
      <w:r>
        <w:rPr>
          <w:color w:val="231F1F"/>
          <w:w w:val="110"/>
        </w:rPr>
        <w:t>símbolo</w:t>
      </w:r>
      <w:r>
        <w:rPr>
          <w:color w:val="231F1F"/>
          <w:spacing w:val="-12"/>
          <w:w w:val="110"/>
        </w:rPr>
        <w:t> </w:t>
      </w:r>
      <w:r>
        <w:rPr>
          <w:color w:val="231F1F"/>
          <w:w w:val="110"/>
        </w:rPr>
        <w:t>«</w:t>
      </w:r>
      <w:r>
        <w:rPr>
          <w:rFonts w:ascii="Arial MT" w:hAnsi="Arial MT"/>
          <w:color w:val="231F1F"/>
          <w:w w:val="110"/>
        </w:rPr>
        <w:t>¥</w:t>
      </w:r>
      <w:r>
        <w:rPr>
          <w:color w:val="231F1F"/>
          <w:w w:val="110"/>
        </w:rPr>
        <w:t>»,</w:t>
      </w:r>
      <w:r>
        <w:rPr>
          <w:color w:val="231F1F"/>
          <w:spacing w:val="-12"/>
          <w:w w:val="110"/>
        </w:rPr>
        <w:t> </w:t>
      </w:r>
      <w:r>
        <w:rPr>
          <w:color w:val="231F1F"/>
          <w:w w:val="110"/>
        </w:rPr>
        <w:t>definido</w:t>
      </w:r>
      <w:r>
        <w:rPr>
          <w:color w:val="231F1F"/>
          <w:spacing w:val="-12"/>
          <w:w w:val="110"/>
        </w:rPr>
        <w:t> </w:t>
      </w:r>
      <w:r>
        <w:rPr>
          <w:color w:val="231F1F"/>
          <w:w w:val="110"/>
        </w:rPr>
        <w:t>como</w:t>
      </w:r>
      <w:r>
        <w:rPr>
          <w:color w:val="231F1F"/>
          <w:spacing w:val="-12"/>
          <w:w w:val="110"/>
        </w:rPr>
        <w:t> </w:t>
      </w:r>
      <w:r>
        <w:rPr>
          <w:color w:val="231F1F"/>
          <w:w w:val="110"/>
        </w:rPr>
        <w:t>«consenso</w:t>
      </w:r>
      <w:r>
        <w:rPr>
          <w:color w:val="231F1F"/>
          <w:spacing w:val="-12"/>
          <w:w w:val="110"/>
        </w:rPr>
        <w:t> </w:t>
      </w:r>
      <w:r>
        <w:rPr>
          <w:color w:val="231F1F"/>
          <w:w w:val="110"/>
        </w:rPr>
        <w:t>del</w:t>
      </w:r>
      <w:r>
        <w:rPr>
          <w:color w:val="231F1F"/>
          <w:spacing w:val="-12"/>
          <w:w w:val="110"/>
        </w:rPr>
        <w:t> </w:t>
      </w:r>
      <w:r>
        <w:rPr>
          <w:color w:val="231F1F"/>
          <w:w w:val="110"/>
        </w:rPr>
        <w:t>grupo</w:t>
      </w:r>
      <w:r>
        <w:rPr>
          <w:color w:val="231F1F"/>
          <w:spacing w:val="-12"/>
          <w:w w:val="110"/>
        </w:rPr>
        <w:t> </w:t>
      </w:r>
      <w:r>
        <w:rPr>
          <w:color w:val="231F1F"/>
          <w:w w:val="110"/>
        </w:rPr>
        <w:t>elaborador». </w:t>
      </w:r>
      <w:r>
        <w:rPr>
          <w:color w:val="231F1F"/>
          <w:spacing w:val="-2"/>
          <w:w w:val="110"/>
        </w:rPr>
        <w:t>Este</w:t>
      </w:r>
      <w:r>
        <w:rPr>
          <w:color w:val="231F1F"/>
          <w:spacing w:val="-8"/>
          <w:w w:val="110"/>
        </w:rPr>
        <w:t> </w:t>
      </w:r>
      <w:r>
        <w:rPr>
          <w:color w:val="231F1F"/>
          <w:spacing w:val="-2"/>
          <w:w w:val="110"/>
        </w:rPr>
        <w:t>último</w:t>
      </w:r>
      <w:r>
        <w:rPr>
          <w:color w:val="231F1F"/>
          <w:spacing w:val="-8"/>
          <w:w w:val="110"/>
        </w:rPr>
        <w:t> </w:t>
      </w:r>
      <w:r>
        <w:rPr>
          <w:color w:val="231F1F"/>
          <w:spacing w:val="-2"/>
          <w:w w:val="110"/>
        </w:rPr>
        <w:t>grado</w:t>
      </w:r>
      <w:r>
        <w:rPr>
          <w:color w:val="231F1F"/>
          <w:spacing w:val="-8"/>
          <w:w w:val="110"/>
        </w:rPr>
        <w:t> </w:t>
      </w:r>
      <w:r>
        <w:rPr>
          <w:color w:val="231F1F"/>
          <w:spacing w:val="-2"/>
          <w:w w:val="110"/>
        </w:rPr>
        <w:t>de</w:t>
      </w:r>
      <w:r>
        <w:rPr>
          <w:color w:val="231F1F"/>
          <w:spacing w:val="-8"/>
          <w:w w:val="110"/>
        </w:rPr>
        <w:t> </w:t>
      </w:r>
      <w:r>
        <w:rPr>
          <w:color w:val="231F1F"/>
          <w:spacing w:val="-2"/>
          <w:w w:val="110"/>
        </w:rPr>
        <w:t>recomendación</w:t>
      </w:r>
      <w:r>
        <w:rPr>
          <w:color w:val="231F1F"/>
          <w:spacing w:val="-8"/>
          <w:w w:val="110"/>
        </w:rPr>
        <w:t> </w:t>
      </w:r>
      <w:r>
        <w:rPr>
          <w:color w:val="231F1F"/>
          <w:spacing w:val="-2"/>
          <w:w w:val="110"/>
        </w:rPr>
        <w:t>se</w:t>
      </w:r>
      <w:r>
        <w:rPr>
          <w:color w:val="231F1F"/>
          <w:spacing w:val="-8"/>
          <w:w w:val="110"/>
        </w:rPr>
        <w:t> </w:t>
      </w:r>
      <w:r>
        <w:rPr>
          <w:color w:val="231F1F"/>
          <w:spacing w:val="-2"/>
          <w:w w:val="110"/>
        </w:rPr>
        <w:t>utiliza</w:t>
      </w:r>
      <w:r>
        <w:rPr>
          <w:color w:val="231F1F"/>
          <w:spacing w:val="-8"/>
          <w:w w:val="110"/>
        </w:rPr>
        <w:t> </w:t>
      </w:r>
      <w:r>
        <w:rPr>
          <w:color w:val="231F1F"/>
          <w:spacing w:val="-2"/>
          <w:w w:val="110"/>
        </w:rPr>
        <w:t>en</w:t>
      </w:r>
      <w:r>
        <w:rPr>
          <w:color w:val="231F1F"/>
          <w:spacing w:val="-8"/>
          <w:w w:val="110"/>
        </w:rPr>
        <w:t> </w:t>
      </w:r>
      <w:r>
        <w:rPr>
          <w:color w:val="231F1F"/>
          <w:spacing w:val="-2"/>
          <w:w w:val="110"/>
        </w:rPr>
        <w:t>aquellos</w:t>
      </w:r>
      <w:r>
        <w:rPr>
          <w:color w:val="231F1F"/>
          <w:spacing w:val="-8"/>
          <w:w w:val="110"/>
        </w:rPr>
        <w:t> </w:t>
      </w:r>
      <w:r>
        <w:rPr>
          <w:color w:val="231F1F"/>
          <w:spacing w:val="-2"/>
          <w:w w:val="110"/>
        </w:rPr>
        <w:t>casos</w:t>
      </w:r>
      <w:r>
        <w:rPr>
          <w:color w:val="231F1F"/>
          <w:spacing w:val="-8"/>
          <w:w w:val="110"/>
        </w:rPr>
        <w:t> </w:t>
      </w:r>
      <w:r>
        <w:rPr>
          <w:color w:val="231F1F"/>
          <w:spacing w:val="-2"/>
          <w:w w:val="110"/>
        </w:rPr>
        <w:t>donde</w:t>
      </w:r>
      <w:r>
        <w:rPr>
          <w:color w:val="231F1F"/>
          <w:spacing w:val="-8"/>
          <w:w w:val="110"/>
        </w:rPr>
        <w:t> </w:t>
      </w:r>
      <w:r>
        <w:rPr>
          <w:color w:val="231F1F"/>
          <w:spacing w:val="-2"/>
          <w:w w:val="110"/>
        </w:rPr>
        <w:t>no</w:t>
      </w:r>
      <w:r>
        <w:rPr>
          <w:color w:val="231F1F"/>
          <w:spacing w:val="-8"/>
          <w:w w:val="110"/>
        </w:rPr>
        <w:t> </w:t>
      </w:r>
      <w:r>
        <w:rPr>
          <w:color w:val="231F1F"/>
          <w:spacing w:val="-2"/>
          <w:w w:val="110"/>
        </w:rPr>
        <w:t>hay</w:t>
      </w:r>
      <w:r>
        <w:rPr>
          <w:color w:val="231F1F"/>
          <w:spacing w:val="-8"/>
          <w:w w:val="110"/>
        </w:rPr>
        <w:t> </w:t>
      </w:r>
      <w:r>
        <w:rPr>
          <w:color w:val="231F1F"/>
          <w:spacing w:val="-2"/>
          <w:w w:val="110"/>
        </w:rPr>
        <w:t>publicacio- </w:t>
      </w:r>
      <w:r>
        <w:rPr>
          <w:color w:val="231F1F"/>
          <w:w w:val="110"/>
        </w:rPr>
        <w:t>nes</w:t>
      </w:r>
      <w:r>
        <w:rPr>
          <w:color w:val="231F1F"/>
          <w:spacing w:val="-6"/>
          <w:w w:val="110"/>
        </w:rPr>
        <w:t> </w:t>
      </w:r>
      <w:r>
        <w:rPr>
          <w:color w:val="231F1F"/>
          <w:w w:val="110"/>
        </w:rPr>
        <w:t>o</w:t>
      </w:r>
      <w:r>
        <w:rPr>
          <w:color w:val="231F1F"/>
          <w:spacing w:val="-6"/>
          <w:w w:val="110"/>
        </w:rPr>
        <w:t> </w:t>
      </w:r>
      <w:r>
        <w:rPr>
          <w:color w:val="231F1F"/>
          <w:w w:val="110"/>
        </w:rPr>
        <w:t>cuando</w:t>
      </w:r>
      <w:r>
        <w:rPr>
          <w:color w:val="231F1F"/>
          <w:spacing w:val="-5"/>
          <w:w w:val="110"/>
        </w:rPr>
        <w:t> </w:t>
      </w:r>
      <w:r>
        <w:rPr>
          <w:color w:val="231F1F"/>
          <w:w w:val="110"/>
        </w:rPr>
        <w:t>aún</w:t>
      </w:r>
      <w:r>
        <w:rPr>
          <w:color w:val="231F1F"/>
          <w:spacing w:val="-5"/>
          <w:w w:val="110"/>
        </w:rPr>
        <w:t> </w:t>
      </w:r>
      <w:r>
        <w:rPr>
          <w:color w:val="231F1F"/>
          <w:w w:val="110"/>
        </w:rPr>
        <w:t>habiendo</w:t>
      </w:r>
      <w:r>
        <w:rPr>
          <w:color w:val="231F1F"/>
          <w:spacing w:val="-6"/>
          <w:w w:val="110"/>
        </w:rPr>
        <w:t> </w:t>
      </w:r>
      <w:r>
        <w:rPr>
          <w:color w:val="231F1F"/>
          <w:w w:val="110"/>
        </w:rPr>
        <w:t>estudios,</w:t>
      </w:r>
      <w:r>
        <w:rPr>
          <w:color w:val="231F1F"/>
          <w:spacing w:val="-6"/>
          <w:w w:val="110"/>
        </w:rPr>
        <w:t> </w:t>
      </w:r>
      <w:r>
        <w:rPr>
          <w:color w:val="231F1F"/>
          <w:w w:val="110"/>
        </w:rPr>
        <w:t>la</w:t>
      </w:r>
      <w:r>
        <w:rPr>
          <w:color w:val="231F1F"/>
          <w:spacing w:val="-6"/>
          <w:w w:val="110"/>
        </w:rPr>
        <w:t> </w:t>
      </w:r>
      <w:r>
        <w:rPr>
          <w:color w:val="231F1F"/>
          <w:w w:val="110"/>
        </w:rPr>
        <w:t>evidencia</w:t>
      </w:r>
      <w:r>
        <w:rPr>
          <w:color w:val="231F1F"/>
          <w:spacing w:val="-6"/>
          <w:w w:val="110"/>
        </w:rPr>
        <w:t> </w:t>
      </w:r>
      <w:r>
        <w:rPr>
          <w:color w:val="231F1F"/>
          <w:w w:val="110"/>
        </w:rPr>
        <w:t>debe</w:t>
      </w:r>
      <w:r>
        <w:rPr>
          <w:color w:val="231F1F"/>
          <w:spacing w:val="-6"/>
          <w:w w:val="110"/>
        </w:rPr>
        <w:t> </w:t>
      </w:r>
      <w:r>
        <w:rPr>
          <w:color w:val="231F1F"/>
          <w:w w:val="110"/>
        </w:rPr>
        <w:t>ser</w:t>
      </w:r>
      <w:r>
        <w:rPr>
          <w:color w:val="231F1F"/>
          <w:spacing w:val="-6"/>
          <w:w w:val="110"/>
        </w:rPr>
        <w:t> </w:t>
      </w:r>
      <w:r>
        <w:rPr>
          <w:color w:val="231F1F"/>
          <w:w w:val="110"/>
        </w:rPr>
        <w:t>adaptada</w:t>
      </w:r>
      <w:r>
        <w:rPr>
          <w:color w:val="231F1F"/>
          <w:spacing w:val="-6"/>
          <w:w w:val="110"/>
        </w:rPr>
        <w:t> </w:t>
      </w:r>
      <w:r>
        <w:rPr>
          <w:color w:val="231F1F"/>
          <w:w w:val="110"/>
        </w:rPr>
        <w:t>debido</w:t>
      </w:r>
      <w:r>
        <w:rPr>
          <w:color w:val="231F1F"/>
          <w:spacing w:val="-6"/>
          <w:w w:val="110"/>
        </w:rPr>
        <w:t> </w:t>
      </w:r>
      <w:r>
        <w:rPr>
          <w:color w:val="231F1F"/>
          <w:w w:val="110"/>
        </w:rPr>
        <w:t>a</w:t>
      </w:r>
      <w:r>
        <w:rPr>
          <w:color w:val="231F1F"/>
          <w:spacing w:val="-6"/>
          <w:w w:val="110"/>
        </w:rPr>
        <w:t> </w:t>
      </w:r>
      <w:r>
        <w:rPr>
          <w:color w:val="231F1F"/>
          <w:w w:val="110"/>
        </w:rPr>
        <w:t>al</w:t>
      </w:r>
      <w:r>
        <w:rPr>
          <w:color w:val="231F1F"/>
          <w:spacing w:val="-6"/>
          <w:w w:val="110"/>
        </w:rPr>
        <w:t> </w:t>
      </w:r>
      <w:r>
        <w:rPr>
          <w:color w:val="231F1F"/>
          <w:w w:val="110"/>
        </w:rPr>
        <w:t>contexto de aplicación.</w:t>
      </w:r>
    </w:p>
    <w:p>
      <w:pPr>
        <w:pStyle w:val="BodyText"/>
        <w:spacing w:line="244" w:lineRule="auto" w:before="149"/>
        <w:ind w:left="283" w:right="123" w:firstLine="453"/>
        <w:jc w:val="both"/>
      </w:pPr>
      <w:r>
        <w:rPr>
          <w:color w:val="231F1F"/>
          <w:w w:val="105"/>
        </w:rPr>
        <w:t>A lo largo del texto, en el margen derecho se indica el tipo de estudio y y el nivel de evidencia que refleja la posibilidad de sesgos de la bibliografía revisada.</w:t>
      </w:r>
    </w:p>
    <w:p>
      <w:pPr>
        <w:pStyle w:val="BodyText"/>
        <w:spacing w:line="244" w:lineRule="auto" w:before="137"/>
        <w:ind w:left="283" w:right="115" w:firstLine="453"/>
        <w:jc w:val="both"/>
      </w:pPr>
      <w:r>
        <w:rPr>
          <w:color w:val="231F1F"/>
          <w:w w:val="110"/>
        </w:rPr>
        <w:t>El</w:t>
      </w:r>
      <w:r>
        <w:rPr>
          <w:color w:val="231F1F"/>
          <w:spacing w:val="-5"/>
          <w:w w:val="110"/>
        </w:rPr>
        <w:t> </w:t>
      </w:r>
      <w:r>
        <w:rPr>
          <w:color w:val="231F1F"/>
          <w:w w:val="110"/>
        </w:rPr>
        <w:t>texto</w:t>
      </w:r>
      <w:r>
        <w:rPr>
          <w:color w:val="231F1F"/>
          <w:spacing w:val="-4"/>
          <w:w w:val="110"/>
        </w:rPr>
        <w:t> </w:t>
      </w:r>
      <w:r>
        <w:rPr>
          <w:color w:val="231F1F"/>
          <w:w w:val="110"/>
        </w:rPr>
        <w:t>ha</w:t>
      </w:r>
      <w:r>
        <w:rPr>
          <w:color w:val="231F1F"/>
          <w:spacing w:val="-5"/>
          <w:w w:val="110"/>
        </w:rPr>
        <w:t> </w:t>
      </w:r>
      <w:r>
        <w:rPr>
          <w:color w:val="231F1F"/>
          <w:w w:val="110"/>
        </w:rPr>
        <w:t>sido</w:t>
      </w:r>
      <w:r>
        <w:rPr>
          <w:color w:val="231F1F"/>
          <w:spacing w:val="-4"/>
          <w:w w:val="110"/>
        </w:rPr>
        <w:t> </w:t>
      </w:r>
      <w:r>
        <w:rPr>
          <w:color w:val="231F1F"/>
          <w:w w:val="110"/>
        </w:rPr>
        <w:t>sometido</w:t>
      </w:r>
      <w:r>
        <w:rPr>
          <w:color w:val="231F1F"/>
          <w:spacing w:val="-5"/>
          <w:w w:val="110"/>
        </w:rPr>
        <w:t> </w:t>
      </w:r>
      <w:r>
        <w:rPr>
          <w:color w:val="231F1F"/>
          <w:w w:val="110"/>
        </w:rPr>
        <w:t>a</w:t>
      </w:r>
      <w:r>
        <w:rPr>
          <w:color w:val="231F1F"/>
          <w:spacing w:val="-4"/>
          <w:w w:val="110"/>
        </w:rPr>
        <w:t> </w:t>
      </w:r>
      <w:r>
        <w:rPr>
          <w:color w:val="231F1F"/>
          <w:w w:val="110"/>
        </w:rPr>
        <w:t>revisión</w:t>
      </w:r>
      <w:r>
        <w:rPr>
          <w:color w:val="231F1F"/>
          <w:spacing w:val="-4"/>
          <w:w w:val="110"/>
        </w:rPr>
        <w:t> </w:t>
      </w:r>
      <w:r>
        <w:rPr>
          <w:color w:val="231F1F"/>
          <w:w w:val="110"/>
        </w:rPr>
        <w:t>externa</w:t>
      </w:r>
      <w:r>
        <w:rPr>
          <w:color w:val="231F1F"/>
          <w:spacing w:val="-4"/>
          <w:w w:val="110"/>
        </w:rPr>
        <w:t> </w:t>
      </w:r>
      <w:r>
        <w:rPr>
          <w:color w:val="231F1F"/>
          <w:w w:val="110"/>
        </w:rPr>
        <w:t>por</w:t>
      </w:r>
      <w:r>
        <w:rPr>
          <w:color w:val="231F1F"/>
          <w:spacing w:val="-5"/>
          <w:w w:val="110"/>
        </w:rPr>
        <w:t> </w:t>
      </w:r>
      <w:r>
        <w:rPr>
          <w:color w:val="231F1F"/>
          <w:w w:val="110"/>
        </w:rPr>
        <w:t>un</w:t>
      </w:r>
      <w:r>
        <w:rPr>
          <w:color w:val="231F1F"/>
          <w:spacing w:val="-4"/>
          <w:w w:val="110"/>
        </w:rPr>
        <w:t> </w:t>
      </w:r>
      <w:r>
        <w:rPr>
          <w:color w:val="231F1F"/>
          <w:w w:val="110"/>
        </w:rPr>
        <w:t>grupo</w:t>
      </w:r>
      <w:r>
        <w:rPr>
          <w:color w:val="231F1F"/>
          <w:spacing w:val="-5"/>
          <w:w w:val="110"/>
        </w:rPr>
        <w:t> </w:t>
      </w:r>
      <w:r>
        <w:rPr>
          <w:color w:val="231F1F"/>
          <w:w w:val="110"/>
        </w:rPr>
        <w:t>multidisciplinar</w:t>
      </w:r>
      <w:r>
        <w:rPr>
          <w:color w:val="231F1F"/>
          <w:spacing w:val="-4"/>
          <w:w w:val="110"/>
        </w:rPr>
        <w:t> </w:t>
      </w:r>
      <w:r>
        <w:rPr>
          <w:color w:val="231F1F"/>
          <w:w w:val="110"/>
        </w:rPr>
        <w:t>de</w:t>
      </w:r>
      <w:r>
        <w:rPr>
          <w:color w:val="231F1F"/>
          <w:spacing w:val="-5"/>
          <w:w w:val="110"/>
        </w:rPr>
        <w:t> </w:t>
      </w:r>
      <w:r>
        <w:rPr>
          <w:color w:val="231F1F"/>
          <w:w w:val="110"/>
        </w:rPr>
        <w:t>profe- sionales. La versión final del texto de la guía ha sido revisada y aprobada por el grupo </w:t>
      </w:r>
      <w:r>
        <w:rPr>
          <w:color w:val="231F1F"/>
          <w:spacing w:val="-2"/>
          <w:w w:val="110"/>
        </w:rPr>
        <w:t>elaborador.</w:t>
      </w:r>
    </w:p>
    <w:p>
      <w:pPr>
        <w:pStyle w:val="BodyText"/>
        <w:spacing w:line="244" w:lineRule="auto" w:before="147"/>
        <w:ind w:left="283" w:right="121" w:firstLine="453"/>
        <w:jc w:val="both"/>
      </w:pPr>
      <w:r>
        <w:rPr>
          <w:color w:val="231F1F"/>
          <w:w w:val="110"/>
        </w:rPr>
        <w:t>Se</w:t>
      </w:r>
      <w:r>
        <w:rPr>
          <w:color w:val="231F1F"/>
          <w:spacing w:val="-10"/>
          <w:w w:val="110"/>
        </w:rPr>
        <w:t> </w:t>
      </w:r>
      <w:r>
        <w:rPr>
          <w:color w:val="231F1F"/>
          <w:w w:val="110"/>
        </w:rPr>
        <w:t>ha</w:t>
      </w:r>
      <w:r>
        <w:rPr>
          <w:color w:val="231F1F"/>
          <w:spacing w:val="-9"/>
          <w:w w:val="110"/>
        </w:rPr>
        <w:t> </w:t>
      </w:r>
      <w:r>
        <w:rPr>
          <w:color w:val="231F1F"/>
          <w:w w:val="110"/>
        </w:rPr>
        <w:t>contactado</w:t>
      </w:r>
      <w:r>
        <w:rPr>
          <w:color w:val="231F1F"/>
          <w:spacing w:val="-9"/>
          <w:w w:val="110"/>
        </w:rPr>
        <w:t> </w:t>
      </w:r>
      <w:r>
        <w:rPr>
          <w:color w:val="231F1F"/>
          <w:w w:val="110"/>
        </w:rPr>
        <w:t>con</w:t>
      </w:r>
      <w:r>
        <w:rPr>
          <w:color w:val="231F1F"/>
          <w:spacing w:val="-9"/>
          <w:w w:val="110"/>
        </w:rPr>
        <w:t> </w:t>
      </w:r>
      <w:r>
        <w:rPr>
          <w:color w:val="231F1F"/>
          <w:w w:val="110"/>
        </w:rPr>
        <w:t>las</w:t>
      </w:r>
      <w:r>
        <w:rPr>
          <w:color w:val="231F1F"/>
          <w:spacing w:val="-10"/>
          <w:w w:val="110"/>
        </w:rPr>
        <w:t> </w:t>
      </w:r>
      <w:r>
        <w:rPr>
          <w:color w:val="231F1F"/>
          <w:w w:val="110"/>
        </w:rPr>
        <w:t>distintas</w:t>
      </w:r>
      <w:r>
        <w:rPr>
          <w:color w:val="231F1F"/>
          <w:spacing w:val="-10"/>
          <w:w w:val="110"/>
        </w:rPr>
        <w:t> </w:t>
      </w:r>
      <w:r>
        <w:rPr>
          <w:color w:val="231F1F"/>
          <w:w w:val="110"/>
        </w:rPr>
        <w:t>Sociedades</w:t>
      </w:r>
      <w:r>
        <w:rPr>
          <w:color w:val="231F1F"/>
          <w:spacing w:val="-10"/>
          <w:w w:val="110"/>
        </w:rPr>
        <w:t> </w:t>
      </w:r>
      <w:r>
        <w:rPr>
          <w:color w:val="231F1F"/>
          <w:w w:val="110"/>
        </w:rPr>
        <w:t>Científicas</w:t>
      </w:r>
      <w:r>
        <w:rPr>
          <w:color w:val="231F1F"/>
          <w:spacing w:val="-10"/>
          <w:w w:val="110"/>
        </w:rPr>
        <w:t> </w:t>
      </w:r>
      <w:r>
        <w:rPr>
          <w:color w:val="231F1F"/>
          <w:w w:val="110"/>
        </w:rPr>
        <w:t>implicadas</w:t>
      </w:r>
      <w:r>
        <w:rPr>
          <w:color w:val="231F1F"/>
          <w:spacing w:val="-9"/>
          <w:w w:val="110"/>
        </w:rPr>
        <w:t> </w:t>
      </w:r>
      <w:r>
        <w:rPr>
          <w:color w:val="231F1F"/>
          <w:w w:val="110"/>
        </w:rPr>
        <w:t>(Federación</w:t>
      </w:r>
      <w:r>
        <w:rPr>
          <w:color w:val="231F1F"/>
          <w:spacing w:val="-9"/>
          <w:w w:val="110"/>
        </w:rPr>
        <w:t> </w:t>
      </w:r>
      <w:r>
        <w:rPr>
          <w:color w:val="231F1F"/>
          <w:w w:val="110"/>
        </w:rPr>
        <w:t>de </w:t>
      </w:r>
      <w:r>
        <w:rPr>
          <w:color w:val="231F1F"/>
          <w:spacing w:val="-2"/>
          <w:w w:val="110"/>
        </w:rPr>
        <w:t>Asociaciones</w:t>
      </w:r>
      <w:r>
        <w:rPr>
          <w:color w:val="231F1F"/>
          <w:spacing w:val="-8"/>
          <w:w w:val="110"/>
        </w:rPr>
        <w:t> </w:t>
      </w:r>
      <w:r>
        <w:rPr>
          <w:color w:val="231F1F"/>
          <w:spacing w:val="-2"/>
          <w:w w:val="110"/>
        </w:rPr>
        <w:t>de</w:t>
      </w:r>
      <w:r>
        <w:rPr>
          <w:color w:val="231F1F"/>
          <w:spacing w:val="-7"/>
          <w:w w:val="110"/>
        </w:rPr>
        <w:t> </w:t>
      </w:r>
      <w:r>
        <w:rPr>
          <w:color w:val="231F1F"/>
          <w:spacing w:val="-2"/>
          <w:w w:val="110"/>
        </w:rPr>
        <w:t>Matronas</w:t>
      </w:r>
      <w:r>
        <w:rPr>
          <w:color w:val="231F1F"/>
          <w:spacing w:val="-8"/>
          <w:w w:val="110"/>
        </w:rPr>
        <w:t> </w:t>
      </w:r>
      <w:r>
        <w:rPr>
          <w:color w:val="231F1F"/>
          <w:spacing w:val="-2"/>
          <w:w w:val="110"/>
        </w:rPr>
        <w:t>de</w:t>
      </w:r>
      <w:r>
        <w:rPr>
          <w:color w:val="231F1F"/>
          <w:spacing w:val="-7"/>
          <w:w w:val="110"/>
        </w:rPr>
        <w:t> </w:t>
      </w:r>
      <w:r>
        <w:rPr>
          <w:color w:val="231F1F"/>
          <w:spacing w:val="-2"/>
          <w:w w:val="110"/>
        </w:rPr>
        <w:t>España</w:t>
      </w:r>
      <w:r>
        <w:rPr>
          <w:color w:val="231F1F"/>
          <w:spacing w:val="-7"/>
          <w:w w:val="110"/>
        </w:rPr>
        <w:t> </w:t>
      </w:r>
      <w:r>
        <w:rPr>
          <w:color w:val="231F1F"/>
          <w:spacing w:val="-2"/>
          <w:w w:val="110"/>
        </w:rPr>
        <w:t>(FAME),</w:t>
      </w:r>
      <w:r>
        <w:rPr>
          <w:color w:val="231F1F"/>
          <w:spacing w:val="-8"/>
          <w:w w:val="110"/>
        </w:rPr>
        <w:t> </w:t>
      </w:r>
      <w:r>
        <w:rPr>
          <w:color w:val="231F1F"/>
          <w:spacing w:val="-2"/>
          <w:w w:val="110"/>
        </w:rPr>
        <w:t>Sociedad</w:t>
      </w:r>
      <w:r>
        <w:rPr>
          <w:color w:val="231F1F"/>
          <w:spacing w:val="-7"/>
          <w:w w:val="110"/>
        </w:rPr>
        <w:t> </w:t>
      </w:r>
      <w:r>
        <w:rPr>
          <w:color w:val="231F1F"/>
          <w:spacing w:val="-2"/>
          <w:w w:val="110"/>
        </w:rPr>
        <w:t>Española</w:t>
      </w:r>
      <w:r>
        <w:rPr>
          <w:color w:val="231F1F"/>
          <w:spacing w:val="-7"/>
          <w:w w:val="110"/>
        </w:rPr>
        <w:t> </w:t>
      </w:r>
      <w:r>
        <w:rPr>
          <w:color w:val="231F1F"/>
          <w:spacing w:val="-2"/>
          <w:w w:val="110"/>
        </w:rPr>
        <w:t>de</w:t>
      </w:r>
      <w:r>
        <w:rPr>
          <w:color w:val="231F1F"/>
          <w:spacing w:val="-8"/>
          <w:w w:val="110"/>
        </w:rPr>
        <w:t> </w:t>
      </w:r>
      <w:r>
        <w:rPr>
          <w:color w:val="231F1F"/>
          <w:spacing w:val="-2"/>
          <w:w w:val="110"/>
        </w:rPr>
        <w:t>Ginecología</w:t>
      </w:r>
      <w:r>
        <w:rPr>
          <w:color w:val="231F1F"/>
          <w:spacing w:val="-7"/>
          <w:w w:val="110"/>
        </w:rPr>
        <w:t> </w:t>
      </w:r>
      <w:r>
        <w:rPr>
          <w:color w:val="231F1F"/>
          <w:spacing w:val="-2"/>
          <w:w w:val="110"/>
        </w:rPr>
        <w:t>y</w:t>
      </w:r>
      <w:r>
        <w:rPr>
          <w:color w:val="231F1F"/>
          <w:spacing w:val="-7"/>
          <w:w w:val="110"/>
        </w:rPr>
        <w:t> </w:t>
      </w:r>
      <w:r>
        <w:rPr>
          <w:color w:val="231F1F"/>
          <w:spacing w:val="-2"/>
          <w:w w:val="110"/>
        </w:rPr>
        <w:t>Obs- </w:t>
      </w:r>
      <w:r>
        <w:rPr>
          <w:color w:val="231F1F"/>
          <w:w w:val="110"/>
        </w:rPr>
        <w:t>tetricia</w:t>
      </w:r>
      <w:r>
        <w:rPr>
          <w:color w:val="231F1F"/>
          <w:spacing w:val="-15"/>
          <w:w w:val="110"/>
        </w:rPr>
        <w:t> </w:t>
      </w:r>
      <w:r>
        <w:rPr>
          <w:color w:val="231F1F"/>
          <w:w w:val="110"/>
        </w:rPr>
        <w:t>(SEGO),</w:t>
      </w:r>
      <w:r>
        <w:rPr>
          <w:color w:val="231F1F"/>
          <w:spacing w:val="-15"/>
          <w:w w:val="110"/>
        </w:rPr>
        <w:t> </w:t>
      </w:r>
      <w:r>
        <w:rPr>
          <w:color w:val="231F1F"/>
          <w:w w:val="110"/>
        </w:rPr>
        <w:t>Sección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SEGO</w:t>
      </w:r>
      <w:r>
        <w:rPr>
          <w:color w:val="231F1F"/>
          <w:spacing w:val="-14"/>
          <w:w w:val="110"/>
        </w:rPr>
        <w:t> </w:t>
      </w:r>
      <w:r>
        <w:rPr>
          <w:color w:val="231F1F"/>
          <w:w w:val="110"/>
        </w:rPr>
        <w:t>de</w:t>
      </w:r>
      <w:r>
        <w:rPr>
          <w:color w:val="231F1F"/>
          <w:spacing w:val="-15"/>
          <w:w w:val="110"/>
        </w:rPr>
        <w:t> </w:t>
      </w:r>
      <w:r>
        <w:rPr>
          <w:color w:val="231F1F"/>
          <w:w w:val="110"/>
        </w:rPr>
        <w:t>Medicina</w:t>
      </w:r>
      <w:r>
        <w:rPr>
          <w:color w:val="231F1F"/>
          <w:spacing w:val="-15"/>
          <w:w w:val="110"/>
        </w:rPr>
        <w:t> </w:t>
      </w:r>
      <w:r>
        <w:rPr>
          <w:color w:val="231F1F"/>
          <w:w w:val="110"/>
        </w:rPr>
        <w:t>Perinatal</w:t>
      </w:r>
      <w:r>
        <w:rPr>
          <w:color w:val="231F1F"/>
          <w:spacing w:val="-16"/>
          <w:w w:val="110"/>
        </w:rPr>
        <w:t> </w:t>
      </w:r>
      <w:r>
        <w:rPr>
          <w:color w:val="231F1F"/>
          <w:w w:val="110"/>
        </w:rPr>
        <w:t>(SEMPE),</w:t>
      </w:r>
      <w:r>
        <w:rPr>
          <w:color w:val="231F1F"/>
          <w:spacing w:val="-14"/>
          <w:w w:val="110"/>
        </w:rPr>
        <w:t> </w:t>
      </w:r>
      <w:r>
        <w:rPr>
          <w:color w:val="231F1F"/>
          <w:w w:val="110"/>
        </w:rPr>
        <w:t>Asociación</w:t>
      </w:r>
      <w:r>
        <w:rPr>
          <w:color w:val="231F1F"/>
          <w:spacing w:val="-15"/>
          <w:w w:val="110"/>
        </w:rPr>
        <w:t> </w:t>
      </w:r>
      <w:r>
        <w:rPr>
          <w:color w:val="231F1F"/>
          <w:w w:val="110"/>
        </w:rPr>
        <w:t>Espa- ñola</w:t>
      </w:r>
      <w:r>
        <w:rPr>
          <w:color w:val="231F1F"/>
          <w:spacing w:val="-16"/>
          <w:w w:val="110"/>
        </w:rPr>
        <w:t> </w:t>
      </w:r>
      <w:r>
        <w:rPr>
          <w:color w:val="231F1F"/>
          <w:w w:val="110"/>
        </w:rPr>
        <w:t>de</w:t>
      </w:r>
      <w:r>
        <w:rPr>
          <w:color w:val="231F1F"/>
          <w:spacing w:val="-15"/>
          <w:w w:val="110"/>
        </w:rPr>
        <w:t> </w:t>
      </w:r>
      <w:r>
        <w:rPr>
          <w:color w:val="231F1F"/>
          <w:w w:val="110"/>
        </w:rPr>
        <w:t>Pediatría</w:t>
      </w:r>
      <w:r>
        <w:rPr>
          <w:color w:val="231F1F"/>
          <w:spacing w:val="-15"/>
          <w:w w:val="110"/>
        </w:rPr>
        <w:t> </w:t>
      </w:r>
      <w:r>
        <w:rPr>
          <w:color w:val="231F1F"/>
          <w:w w:val="110"/>
        </w:rPr>
        <w:t>(AEP),</w:t>
      </w:r>
      <w:r>
        <w:rPr>
          <w:color w:val="231F1F"/>
          <w:spacing w:val="-15"/>
          <w:w w:val="110"/>
        </w:rPr>
        <w:t> </w:t>
      </w:r>
      <w:r>
        <w:rPr>
          <w:color w:val="231F1F"/>
          <w:w w:val="110"/>
        </w:rPr>
        <w:t>Sociedad</w:t>
      </w:r>
      <w:r>
        <w:rPr>
          <w:color w:val="231F1F"/>
          <w:spacing w:val="-15"/>
          <w:w w:val="110"/>
        </w:rPr>
        <w:t> </w:t>
      </w:r>
      <w:r>
        <w:rPr>
          <w:color w:val="231F1F"/>
          <w:w w:val="110"/>
        </w:rPr>
        <w:t>Española</w:t>
      </w:r>
      <w:r>
        <w:rPr>
          <w:color w:val="231F1F"/>
          <w:spacing w:val="-15"/>
          <w:w w:val="110"/>
        </w:rPr>
        <w:t> </w:t>
      </w:r>
      <w:r>
        <w:rPr>
          <w:color w:val="231F1F"/>
          <w:w w:val="110"/>
        </w:rPr>
        <w:t>de</w:t>
      </w:r>
      <w:r>
        <w:rPr>
          <w:color w:val="231F1F"/>
          <w:spacing w:val="-15"/>
          <w:w w:val="110"/>
        </w:rPr>
        <w:t> </w:t>
      </w:r>
      <w:r>
        <w:rPr>
          <w:color w:val="231F1F"/>
          <w:w w:val="110"/>
        </w:rPr>
        <w:t>Neonatología</w:t>
      </w:r>
      <w:r>
        <w:rPr>
          <w:color w:val="231F1F"/>
          <w:spacing w:val="-15"/>
          <w:w w:val="110"/>
        </w:rPr>
        <w:t> </w:t>
      </w:r>
      <w:r>
        <w:rPr>
          <w:color w:val="231F1F"/>
          <w:w w:val="110"/>
        </w:rPr>
        <w:t>(SEN),</w:t>
      </w:r>
      <w:r>
        <w:rPr>
          <w:color w:val="231F1F"/>
          <w:spacing w:val="-16"/>
          <w:w w:val="110"/>
        </w:rPr>
        <w:t> </w:t>
      </w:r>
      <w:r>
        <w:rPr>
          <w:color w:val="231F1F"/>
          <w:w w:val="110"/>
        </w:rPr>
        <w:t>Asociación</w:t>
      </w:r>
      <w:r>
        <w:rPr>
          <w:color w:val="231F1F"/>
          <w:spacing w:val="-15"/>
          <w:w w:val="110"/>
        </w:rPr>
        <w:t> </w:t>
      </w:r>
      <w:r>
        <w:rPr>
          <w:color w:val="231F1F"/>
          <w:w w:val="110"/>
        </w:rPr>
        <w:t>El</w:t>
      </w:r>
      <w:r>
        <w:rPr>
          <w:color w:val="231F1F"/>
          <w:spacing w:val="-15"/>
          <w:w w:val="110"/>
        </w:rPr>
        <w:t> </w:t>
      </w:r>
      <w:r>
        <w:rPr>
          <w:color w:val="231F1F"/>
          <w:w w:val="110"/>
        </w:rPr>
        <w:t>Parto es</w:t>
      </w:r>
      <w:r>
        <w:rPr>
          <w:color w:val="231F1F"/>
          <w:spacing w:val="-10"/>
          <w:w w:val="110"/>
        </w:rPr>
        <w:t> </w:t>
      </w:r>
      <w:r>
        <w:rPr>
          <w:color w:val="231F1F"/>
          <w:w w:val="110"/>
        </w:rPr>
        <w:t>Nuestro</w:t>
      </w:r>
      <w:r>
        <w:rPr>
          <w:color w:val="231F1F"/>
          <w:spacing w:val="-10"/>
          <w:w w:val="110"/>
        </w:rPr>
        <w:t> </w:t>
      </w:r>
      <w:r>
        <w:rPr>
          <w:color w:val="231F1F"/>
          <w:w w:val="110"/>
        </w:rPr>
        <w:t>y</w:t>
      </w:r>
      <w:r>
        <w:rPr>
          <w:color w:val="231F1F"/>
          <w:spacing w:val="-10"/>
          <w:w w:val="110"/>
        </w:rPr>
        <w:t> </w:t>
      </w:r>
      <w:r>
        <w:rPr>
          <w:color w:val="231F1F"/>
          <w:w w:val="110"/>
        </w:rPr>
        <w:t>Asociación</w:t>
      </w:r>
      <w:r>
        <w:rPr>
          <w:color w:val="231F1F"/>
          <w:spacing w:val="-10"/>
          <w:w w:val="110"/>
        </w:rPr>
        <w:t> </w:t>
      </w:r>
      <w:r>
        <w:rPr>
          <w:color w:val="231F1F"/>
          <w:w w:val="110"/>
        </w:rPr>
        <w:t>Haurdun</w:t>
      </w:r>
      <w:r>
        <w:rPr>
          <w:color w:val="231F1F"/>
          <w:spacing w:val="-10"/>
          <w:w w:val="110"/>
        </w:rPr>
        <w:t> </w:t>
      </w:r>
      <w:r>
        <w:rPr>
          <w:color w:val="231F1F"/>
          <w:w w:val="110"/>
        </w:rPr>
        <w:t>que</w:t>
      </w:r>
      <w:r>
        <w:rPr>
          <w:color w:val="231F1F"/>
          <w:spacing w:val="-10"/>
          <w:w w:val="110"/>
        </w:rPr>
        <w:t> </w:t>
      </w:r>
      <w:r>
        <w:rPr>
          <w:color w:val="231F1F"/>
          <w:w w:val="110"/>
        </w:rPr>
        <w:t>además</w:t>
      </w:r>
      <w:r>
        <w:rPr>
          <w:color w:val="231F1F"/>
          <w:spacing w:val="-10"/>
          <w:w w:val="110"/>
        </w:rPr>
        <w:t> </w:t>
      </w:r>
      <w:r>
        <w:rPr>
          <w:color w:val="231F1F"/>
          <w:w w:val="110"/>
        </w:rPr>
        <w:t>están</w:t>
      </w:r>
      <w:r>
        <w:rPr>
          <w:color w:val="231F1F"/>
          <w:spacing w:val="-10"/>
          <w:w w:val="110"/>
        </w:rPr>
        <w:t> </w:t>
      </w:r>
      <w:r>
        <w:rPr>
          <w:color w:val="231F1F"/>
          <w:w w:val="110"/>
        </w:rPr>
        <w:t>representadas</w:t>
      </w:r>
      <w:r>
        <w:rPr>
          <w:color w:val="231F1F"/>
          <w:spacing w:val="-10"/>
          <w:w w:val="110"/>
        </w:rPr>
        <w:t> </w:t>
      </w:r>
      <w:r>
        <w:rPr>
          <w:color w:val="231F1F"/>
          <w:w w:val="110"/>
        </w:rPr>
        <w:t>a</w:t>
      </w:r>
      <w:r>
        <w:rPr>
          <w:color w:val="231F1F"/>
          <w:spacing w:val="-10"/>
          <w:w w:val="110"/>
        </w:rPr>
        <w:t> </w:t>
      </w:r>
      <w:r>
        <w:rPr>
          <w:color w:val="231F1F"/>
          <w:w w:val="110"/>
        </w:rPr>
        <w:t>través</w:t>
      </w:r>
      <w:r>
        <w:rPr>
          <w:color w:val="231F1F"/>
          <w:spacing w:val="-10"/>
          <w:w w:val="110"/>
        </w:rPr>
        <w:t> </w:t>
      </w:r>
      <w:r>
        <w:rPr>
          <w:color w:val="231F1F"/>
          <w:w w:val="110"/>
        </w:rPr>
        <w:t>del</w:t>
      </w:r>
      <w:r>
        <w:rPr>
          <w:color w:val="231F1F"/>
          <w:spacing w:val="-11"/>
          <w:w w:val="110"/>
        </w:rPr>
        <w:t> </w:t>
      </w:r>
      <w:r>
        <w:rPr>
          <w:color w:val="231F1F"/>
          <w:w w:val="110"/>
        </w:rPr>
        <w:t>grupo</w:t>
      </w:r>
      <w:r>
        <w:rPr>
          <w:color w:val="231F1F"/>
          <w:spacing w:val="-10"/>
          <w:w w:val="110"/>
        </w:rPr>
        <w:t> </w:t>
      </w:r>
      <w:r>
        <w:rPr>
          <w:color w:val="231F1F"/>
          <w:w w:val="110"/>
        </w:rPr>
        <w:t>ela- borador y la revisión externa.</w:t>
      </w:r>
    </w:p>
    <w:p>
      <w:pPr>
        <w:pStyle w:val="BodyText"/>
        <w:spacing w:line="249" w:lineRule="auto" w:before="156"/>
        <w:ind w:left="283" w:right="119" w:firstLine="453"/>
        <w:jc w:val="both"/>
      </w:pPr>
      <w:r>
        <w:rPr>
          <w:color w:val="231F1F"/>
          <w:w w:val="105"/>
        </w:rPr>
        <w:t>El presente documento constituye la GPC «completa» sobre Atención al parto normal. La</w:t>
      </w:r>
      <w:r>
        <w:rPr>
          <w:color w:val="231F1F"/>
          <w:w w:val="105"/>
        </w:rPr>
        <w:t> GPC</w:t>
      </w:r>
      <w:r>
        <w:rPr>
          <w:color w:val="231F1F"/>
          <w:w w:val="105"/>
        </w:rPr>
        <w:t> está</w:t>
      </w:r>
      <w:r>
        <w:rPr>
          <w:color w:val="231F1F"/>
          <w:w w:val="105"/>
        </w:rPr>
        <w:t> estructurada</w:t>
      </w:r>
      <w:r>
        <w:rPr>
          <w:color w:val="231F1F"/>
          <w:w w:val="105"/>
        </w:rPr>
        <w:t> por</w:t>
      </w:r>
      <w:r>
        <w:rPr>
          <w:color w:val="231F1F"/>
          <w:w w:val="105"/>
        </w:rPr>
        <w:t> capítulos</w:t>
      </w:r>
      <w:r>
        <w:rPr>
          <w:color w:val="231F1F"/>
          <w:w w:val="105"/>
        </w:rPr>
        <w:t> en</w:t>
      </w:r>
      <w:r>
        <w:rPr>
          <w:color w:val="231F1F"/>
          <w:w w:val="105"/>
        </w:rPr>
        <w:t> los</w:t>
      </w:r>
      <w:r>
        <w:rPr>
          <w:color w:val="231F1F"/>
          <w:w w:val="105"/>
        </w:rPr>
        <w:t> que</w:t>
      </w:r>
      <w:r>
        <w:rPr>
          <w:color w:val="231F1F"/>
          <w:w w:val="105"/>
        </w:rPr>
        <w:t> se</w:t>
      </w:r>
      <w:r>
        <w:rPr>
          <w:color w:val="231F1F"/>
          <w:w w:val="105"/>
        </w:rPr>
        <w:t> da</w:t>
      </w:r>
      <w:r>
        <w:rPr>
          <w:color w:val="231F1F"/>
          <w:w w:val="105"/>
        </w:rPr>
        <w:t> respuesta</w:t>
      </w:r>
      <w:r>
        <w:rPr>
          <w:color w:val="231F1F"/>
          <w:w w:val="105"/>
        </w:rPr>
        <w:t> a</w:t>
      </w:r>
      <w:r>
        <w:rPr>
          <w:color w:val="231F1F"/>
          <w:w w:val="105"/>
        </w:rPr>
        <w:t> las</w:t>
      </w:r>
      <w:r>
        <w:rPr>
          <w:color w:val="231F1F"/>
          <w:w w:val="105"/>
        </w:rPr>
        <w:t> preguntas</w:t>
      </w:r>
      <w:r>
        <w:rPr>
          <w:color w:val="231F1F"/>
          <w:w w:val="105"/>
        </w:rPr>
        <w:t> que aparecen</w:t>
      </w:r>
      <w:r>
        <w:rPr>
          <w:color w:val="231F1F"/>
          <w:w w:val="105"/>
        </w:rPr>
        <w:t> al</w:t>
      </w:r>
      <w:r>
        <w:rPr>
          <w:color w:val="231F1F"/>
          <w:w w:val="105"/>
        </w:rPr>
        <w:t> inicio</w:t>
      </w:r>
      <w:r>
        <w:rPr>
          <w:color w:val="231F1F"/>
          <w:w w:val="105"/>
        </w:rPr>
        <w:t> del</w:t>
      </w:r>
      <w:r>
        <w:rPr>
          <w:color w:val="231F1F"/>
          <w:w w:val="105"/>
        </w:rPr>
        <w:t> mismo.</w:t>
      </w:r>
      <w:r>
        <w:rPr>
          <w:color w:val="231F1F"/>
          <w:w w:val="105"/>
        </w:rPr>
        <w:t> Un</w:t>
      </w:r>
      <w:r>
        <w:rPr>
          <w:color w:val="231F1F"/>
          <w:w w:val="105"/>
        </w:rPr>
        <w:t> resumen</w:t>
      </w:r>
      <w:r>
        <w:rPr>
          <w:color w:val="231F1F"/>
          <w:w w:val="105"/>
        </w:rPr>
        <w:t> de</w:t>
      </w:r>
      <w:r>
        <w:rPr>
          <w:color w:val="231F1F"/>
          <w:w w:val="105"/>
        </w:rPr>
        <w:t> la</w:t>
      </w:r>
      <w:r>
        <w:rPr>
          <w:color w:val="231F1F"/>
          <w:w w:val="105"/>
        </w:rPr>
        <w:t> evidencia</w:t>
      </w:r>
      <w:r>
        <w:rPr>
          <w:color w:val="231F1F"/>
          <w:w w:val="105"/>
        </w:rPr>
        <w:t> y</w:t>
      </w:r>
      <w:r>
        <w:rPr>
          <w:color w:val="231F1F"/>
          <w:w w:val="105"/>
        </w:rPr>
        <w:t> las</w:t>
      </w:r>
      <w:r>
        <w:rPr>
          <w:color w:val="231F1F"/>
          <w:w w:val="105"/>
        </w:rPr>
        <w:t> recomendaciones</w:t>
      </w:r>
      <w:r>
        <w:rPr>
          <w:color w:val="231F1F"/>
          <w:w w:val="105"/>
        </w:rPr>
        <w:t> se</w:t>
      </w:r>
      <w:r>
        <w:rPr>
          <w:color w:val="231F1F"/>
          <w:w w:val="105"/>
        </w:rPr>
        <w:t> pre- sentan al final de cada capítulo. Existe una versión «resumida» de la GPC de menor exten- sión y con los principales anexos de la GPC «completa» y una versión de la GPC con in- formación para las mujeres.</w:t>
      </w:r>
    </w:p>
    <w:p>
      <w:pPr>
        <w:pStyle w:val="BodyText"/>
        <w:spacing w:line="244" w:lineRule="auto" w:before="130"/>
        <w:ind w:left="283" w:right="129" w:firstLine="453"/>
        <w:jc w:val="both"/>
      </w:pPr>
      <w:r>
        <w:rPr>
          <w:color w:val="231F1F"/>
          <w:w w:val="105"/>
        </w:rPr>
        <w:t>En</w:t>
      </w:r>
      <w:r>
        <w:rPr>
          <w:color w:val="231F1F"/>
          <w:w w:val="105"/>
        </w:rPr>
        <w:t> </w:t>
      </w:r>
      <w:hyperlink r:id="rId35">
        <w:r>
          <w:rPr>
            <w:color w:val="A30046"/>
            <w:w w:val="105"/>
          </w:rPr>
          <w:t>http://www.guiasalud.es/egpc/index.html</w:t>
        </w:r>
      </w:hyperlink>
      <w:r>
        <w:rPr>
          <w:color w:val="A30046"/>
          <w:w w:val="105"/>
        </w:rPr>
        <w:t> </w:t>
      </w:r>
      <w:r>
        <w:rPr>
          <w:color w:val="231F1F"/>
          <w:w w:val="105"/>
        </w:rPr>
        <w:t>está</w:t>
      </w:r>
      <w:r>
        <w:rPr>
          <w:color w:val="231F1F"/>
          <w:w w:val="105"/>
        </w:rPr>
        <w:t> disponible</w:t>
      </w:r>
      <w:r>
        <w:rPr>
          <w:color w:val="231F1F"/>
          <w:w w:val="105"/>
        </w:rPr>
        <w:t> las</w:t>
      </w:r>
      <w:r>
        <w:rPr>
          <w:color w:val="231F1F"/>
          <w:w w:val="105"/>
        </w:rPr>
        <w:t> diferentes</w:t>
      </w:r>
      <w:r>
        <w:rPr>
          <w:color w:val="231F1F"/>
          <w:w w:val="105"/>
        </w:rPr>
        <w:t> versiones</w:t>
      </w:r>
      <w:r>
        <w:rPr>
          <w:color w:val="231F1F"/>
          <w:spacing w:val="80"/>
          <w:w w:val="105"/>
        </w:rPr>
        <w:t> </w:t>
      </w:r>
      <w:r>
        <w:rPr>
          <w:color w:val="231F1F"/>
          <w:w w:val="105"/>
        </w:rPr>
        <w:t>de la GPC y el material metodológico donde se presenta de forma detallada la información</w:t>
      </w:r>
    </w:p>
    <w:p>
      <w:pPr>
        <w:pStyle w:val="BodyText"/>
        <w:spacing w:after="0" w:line="244" w:lineRule="auto"/>
        <w:jc w:val="both"/>
        <w:sectPr>
          <w:pgSz w:w="11900" w:h="16840"/>
          <w:pgMar w:header="0" w:footer="622" w:top="1560" w:bottom="820" w:left="1417" w:right="1559"/>
        </w:sectPr>
      </w:pPr>
    </w:p>
    <w:p>
      <w:pPr>
        <w:pStyle w:val="BodyText"/>
        <w:spacing w:line="244" w:lineRule="auto" w:before="73"/>
        <w:ind w:left="283"/>
      </w:pPr>
      <w:r>
        <w:rPr>
          <w:color w:val="231F1F"/>
          <w:w w:val="110"/>
        </w:rPr>
        <w:t>con</w:t>
      </w:r>
      <w:r>
        <w:rPr>
          <w:color w:val="231F1F"/>
          <w:spacing w:val="-7"/>
          <w:w w:val="110"/>
        </w:rPr>
        <w:t> </w:t>
      </w:r>
      <w:r>
        <w:rPr>
          <w:color w:val="231F1F"/>
          <w:w w:val="110"/>
        </w:rPr>
        <w:t>el</w:t>
      </w:r>
      <w:r>
        <w:rPr>
          <w:color w:val="231F1F"/>
          <w:spacing w:val="-7"/>
          <w:w w:val="110"/>
        </w:rPr>
        <w:t> </w:t>
      </w:r>
      <w:r>
        <w:rPr>
          <w:color w:val="231F1F"/>
          <w:w w:val="110"/>
        </w:rPr>
        <w:t>proceso</w:t>
      </w:r>
      <w:r>
        <w:rPr>
          <w:color w:val="231F1F"/>
          <w:spacing w:val="-7"/>
          <w:w w:val="110"/>
        </w:rPr>
        <w:t> </w:t>
      </w:r>
      <w:r>
        <w:rPr>
          <w:color w:val="231F1F"/>
          <w:w w:val="110"/>
        </w:rPr>
        <w:t>de</w:t>
      </w:r>
      <w:r>
        <w:rPr>
          <w:color w:val="231F1F"/>
          <w:spacing w:val="-7"/>
          <w:w w:val="110"/>
        </w:rPr>
        <w:t> </w:t>
      </w:r>
      <w:r>
        <w:rPr>
          <w:color w:val="231F1F"/>
          <w:w w:val="110"/>
        </w:rPr>
        <w:t>elaboración</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GPC,</w:t>
      </w:r>
      <w:r>
        <w:rPr>
          <w:color w:val="231F1F"/>
          <w:spacing w:val="-8"/>
          <w:w w:val="110"/>
        </w:rPr>
        <w:t> </w:t>
      </w:r>
      <w:r>
        <w:rPr>
          <w:color w:val="231F1F"/>
          <w:w w:val="110"/>
        </w:rPr>
        <w:t>la</w:t>
      </w:r>
      <w:r>
        <w:rPr>
          <w:color w:val="231F1F"/>
          <w:spacing w:val="-7"/>
          <w:w w:val="110"/>
        </w:rPr>
        <w:t> </w:t>
      </w:r>
      <w:r>
        <w:rPr>
          <w:color w:val="231F1F"/>
          <w:w w:val="110"/>
        </w:rPr>
        <w:t>estrategia</w:t>
      </w:r>
      <w:r>
        <w:rPr>
          <w:color w:val="231F1F"/>
          <w:spacing w:val="-7"/>
          <w:w w:val="110"/>
        </w:rPr>
        <w:t> </w:t>
      </w:r>
      <w:r>
        <w:rPr>
          <w:color w:val="231F1F"/>
          <w:w w:val="110"/>
        </w:rPr>
        <w:t>de</w:t>
      </w:r>
      <w:r>
        <w:rPr>
          <w:color w:val="231F1F"/>
          <w:spacing w:val="-7"/>
          <w:w w:val="110"/>
        </w:rPr>
        <w:t> </w:t>
      </w:r>
      <w:r>
        <w:rPr>
          <w:color w:val="231F1F"/>
          <w:w w:val="110"/>
        </w:rPr>
        <w:t>búsqueda</w:t>
      </w:r>
      <w:r>
        <w:rPr>
          <w:color w:val="231F1F"/>
          <w:spacing w:val="-7"/>
          <w:w w:val="110"/>
        </w:rPr>
        <w:t> </w:t>
      </w:r>
      <w:r>
        <w:rPr>
          <w:color w:val="231F1F"/>
          <w:w w:val="110"/>
        </w:rPr>
        <w:t>para</w:t>
      </w:r>
      <w:r>
        <w:rPr>
          <w:color w:val="231F1F"/>
          <w:spacing w:val="-7"/>
          <w:w w:val="110"/>
        </w:rPr>
        <w:t> </w:t>
      </w:r>
      <w:r>
        <w:rPr>
          <w:color w:val="231F1F"/>
          <w:w w:val="110"/>
        </w:rPr>
        <w:t>cada</w:t>
      </w:r>
      <w:r>
        <w:rPr>
          <w:color w:val="231F1F"/>
          <w:spacing w:val="-7"/>
          <w:w w:val="110"/>
        </w:rPr>
        <w:t> </w:t>
      </w:r>
      <w:r>
        <w:rPr>
          <w:color w:val="231F1F"/>
          <w:w w:val="110"/>
        </w:rPr>
        <w:t>pregunta clínica y las tablas de evidencia.</w:t>
      </w:r>
    </w:p>
    <w:p>
      <w:pPr>
        <w:pStyle w:val="BodyText"/>
        <w:spacing w:before="151"/>
        <w:ind w:left="736"/>
      </w:pPr>
      <w:r>
        <w:rPr>
          <w:color w:val="231F1F"/>
        </w:rPr>
        <w:t>Esta</w:t>
      </w:r>
      <w:r>
        <w:rPr>
          <w:color w:val="231F1F"/>
          <w:spacing w:val="61"/>
        </w:rPr>
        <w:t> </w:t>
      </w:r>
      <w:r>
        <w:rPr>
          <w:color w:val="231F1F"/>
        </w:rPr>
        <w:t>guía</w:t>
      </w:r>
      <w:r>
        <w:rPr>
          <w:color w:val="231F1F"/>
          <w:spacing w:val="61"/>
        </w:rPr>
        <w:t> </w:t>
      </w:r>
      <w:r>
        <w:rPr>
          <w:color w:val="231F1F"/>
        </w:rPr>
        <w:t>está</w:t>
      </w:r>
      <w:r>
        <w:rPr>
          <w:color w:val="231F1F"/>
          <w:spacing w:val="61"/>
        </w:rPr>
        <w:t> </w:t>
      </w:r>
      <w:r>
        <w:rPr>
          <w:color w:val="231F1F"/>
        </w:rPr>
        <w:t>disponible</w:t>
      </w:r>
      <w:r>
        <w:rPr>
          <w:color w:val="231F1F"/>
          <w:spacing w:val="62"/>
        </w:rPr>
        <w:t> </w:t>
      </w:r>
      <w:r>
        <w:rPr>
          <w:color w:val="231F1F"/>
        </w:rPr>
        <w:t>en:</w:t>
      </w:r>
      <w:r>
        <w:rPr>
          <w:color w:val="231F1F"/>
          <w:spacing w:val="61"/>
        </w:rPr>
        <w:t> </w:t>
      </w:r>
      <w:hyperlink r:id="rId36">
        <w:r>
          <w:rPr>
            <w:color w:val="A30046"/>
            <w:spacing w:val="-2"/>
          </w:rPr>
          <w:t>http://www.guiasalud.es/newCatalogo.asp</w:t>
        </w:r>
        <w:r>
          <w:rPr>
            <w:color w:val="231F1F"/>
            <w:spacing w:val="-2"/>
          </w:rPr>
          <w:t>.</w:t>
        </w:r>
      </w:hyperlink>
    </w:p>
    <w:p>
      <w:pPr>
        <w:pStyle w:val="BodyText"/>
        <w:spacing w:line="252" w:lineRule="auto" w:before="150"/>
        <w:ind w:left="283" w:right="122" w:firstLine="453"/>
        <w:jc w:val="both"/>
      </w:pPr>
      <w:r>
        <w:rPr>
          <w:color w:val="231F1F"/>
          <w:w w:val="110"/>
        </w:rPr>
        <w:t>La</w:t>
      </w:r>
      <w:r>
        <w:rPr>
          <w:color w:val="231F1F"/>
          <w:spacing w:val="-9"/>
          <w:w w:val="110"/>
        </w:rPr>
        <w:t> </w:t>
      </w:r>
      <w:r>
        <w:rPr>
          <w:color w:val="231F1F"/>
          <w:w w:val="110"/>
        </w:rPr>
        <w:t>actualización</w:t>
      </w:r>
      <w:r>
        <w:rPr>
          <w:color w:val="231F1F"/>
          <w:spacing w:val="-10"/>
          <w:w w:val="110"/>
        </w:rPr>
        <w:t> </w:t>
      </w:r>
      <w:r>
        <w:rPr>
          <w:color w:val="231F1F"/>
          <w:w w:val="110"/>
        </w:rPr>
        <w:t>está</w:t>
      </w:r>
      <w:r>
        <w:rPr>
          <w:color w:val="231F1F"/>
          <w:spacing w:val="-9"/>
          <w:w w:val="110"/>
        </w:rPr>
        <w:t> </w:t>
      </w:r>
      <w:r>
        <w:rPr>
          <w:color w:val="231F1F"/>
          <w:w w:val="110"/>
        </w:rPr>
        <w:t>prevista</w:t>
      </w:r>
      <w:r>
        <w:rPr>
          <w:color w:val="231F1F"/>
          <w:spacing w:val="-10"/>
          <w:w w:val="110"/>
        </w:rPr>
        <w:t> </w:t>
      </w:r>
      <w:r>
        <w:rPr>
          <w:color w:val="231F1F"/>
          <w:w w:val="110"/>
        </w:rPr>
        <w:t>cada</w:t>
      </w:r>
      <w:r>
        <w:rPr>
          <w:color w:val="231F1F"/>
          <w:spacing w:val="-9"/>
          <w:w w:val="110"/>
        </w:rPr>
        <w:t> </w:t>
      </w:r>
      <w:r>
        <w:rPr>
          <w:color w:val="231F1F"/>
          <w:w w:val="110"/>
        </w:rPr>
        <w:t>cinco</w:t>
      </w:r>
      <w:r>
        <w:rPr>
          <w:color w:val="231F1F"/>
          <w:spacing w:val="-9"/>
          <w:w w:val="110"/>
        </w:rPr>
        <w:t> </w:t>
      </w:r>
      <w:r>
        <w:rPr>
          <w:color w:val="231F1F"/>
          <w:w w:val="110"/>
        </w:rPr>
        <w:t>años</w:t>
      </w:r>
      <w:r>
        <w:rPr>
          <w:color w:val="231F1F"/>
          <w:spacing w:val="-9"/>
          <w:w w:val="110"/>
        </w:rPr>
        <w:t> </w:t>
      </w:r>
      <w:r>
        <w:rPr>
          <w:color w:val="231F1F"/>
          <w:w w:val="110"/>
        </w:rPr>
        <w:t>sin</w:t>
      </w:r>
      <w:r>
        <w:rPr>
          <w:color w:val="231F1F"/>
          <w:spacing w:val="-9"/>
          <w:w w:val="110"/>
        </w:rPr>
        <w:t> </w:t>
      </w:r>
      <w:r>
        <w:rPr>
          <w:color w:val="231F1F"/>
          <w:w w:val="110"/>
        </w:rPr>
        <w:t>que</w:t>
      </w:r>
      <w:r>
        <w:rPr>
          <w:color w:val="231F1F"/>
          <w:spacing w:val="-10"/>
          <w:w w:val="110"/>
        </w:rPr>
        <w:t> </w:t>
      </w:r>
      <w:r>
        <w:rPr>
          <w:color w:val="231F1F"/>
          <w:w w:val="110"/>
        </w:rPr>
        <w:t>se</w:t>
      </w:r>
      <w:r>
        <w:rPr>
          <w:color w:val="231F1F"/>
          <w:spacing w:val="-10"/>
          <w:w w:val="110"/>
        </w:rPr>
        <w:t> </w:t>
      </w:r>
      <w:r>
        <w:rPr>
          <w:color w:val="231F1F"/>
          <w:w w:val="110"/>
        </w:rPr>
        <w:t>descarte,</w:t>
      </w:r>
      <w:r>
        <w:rPr>
          <w:color w:val="231F1F"/>
          <w:spacing w:val="-10"/>
          <w:w w:val="110"/>
        </w:rPr>
        <w:t> </w:t>
      </w:r>
      <w:r>
        <w:rPr>
          <w:color w:val="231F1F"/>
          <w:w w:val="110"/>
        </w:rPr>
        <w:t>en</w:t>
      </w:r>
      <w:r>
        <w:rPr>
          <w:color w:val="231F1F"/>
          <w:spacing w:val="-9"/>
          <w:w w:val="110"/>
        </w:rPr>
        <w:t> </w:t>
      </w:r>
      <w:r>
        <w:rPr>
          <w:color w:val="231F1F"/>
          <w:w w:val="110"/>
        </w:rPr>
        <w:t>caso</w:t>
      </w:r>
      <w:r>
        <w:rPr>
          <w:color w:val="231F1F"/>
          <w:spacing w:val="-9"/>
          <w:w w:val="110"/>
        </w:rPr>
        <w:t> </w:t>
      </w:r>
      <w:r>
        <w:rPr>
          <w:color w:val="231F1F"/>
          <w:w w:val="110"/>
        </w:rPr>
        <w:t>de</w:t>
      </w:r>
      <w:r>
        <w:rPr>
          <w:color w:val="231F1F"/>
          <w:spacing w:val="-10"/>
          <w:w w:val="110"/>
        </w:rPr>
        <w:t> </w:t>
      </w:r>
      <w:r>
        <w:rPr>
          <w:color w:val="231F1F"/>
          <w:w w:val="110"/>
        </w:rPr>
        <w:t>ser</w:t>
      </w:r>
      <w:r>
        <w:rPr>
          <w:color w:val="231F1F"/>
          <w:spacing w:val="-10"/>
          <w:w w:val="110"/>
        </w:rPr>
        <w:t> </w:t>
      </w:r>
      <w:r>
        <w:rPr>
          <w:color w:val="231F1F"/>
          <w:w w:val="110"/>
        </w:rPr>
        <w:t>ne- cesario,</w:t>
      </w:r>
      <w:r>
        <w:rPr>
          <w:color w:val="231F1F"/>
          <w:spacing w:val="-16"/>
          <w:w w:val="110"/>
        </w:rPr>
        <w:t> </w:t>
      </w:r>
      <w:r>
        <w:rPr>
          <w:color w:val="231F1F"/>
          <w:w w:val="110"/>
        </w:rPr>
        <w:t>una</w:t>
      </w:r>
      <w:r>
        <w:rPr>
          <w:color w:val="231F1F"/>
          <w:spacing w:val="-15"/>
          <w:w w:val="110"/>
        </w:rPr>
        <w:t> </w:t>
      </w:r>
      <w:r>
        <w:rPr>
          <w:color w:val="231F1F"/>
          <w:w w:val="110"/>
        </w:rPr>
        <w:t>actualización</w:t>
      </w:r>
      <w:r>
        <w:rPr>
          <w:color w:val="231F1F"/>
          <w:spacing w:val="-15"/>
          <w:w w:val="110"/>
        </w:rPr>
        <w:t> </w:t>
      </w:r>
      <w:r>
        <w:rPr>
          <w:color w:val="231F1F"/>
          <w:w w:val="110"/>
        </w:rPr>
        <w:t>de</w:t>
      </w:r>
      <w:r>
        <w:rPr>
          <w:color w:val="231F1F"/>
          <w:spacing w:val="-15"/>
          <w:w w:val="110"/>
        </w:rPr>
        <w:t> </w:t>
      </w:r>
      <w:r>
        <w:rPr>
          <w:color w:val="231F1F"/>
          <w:w w:val="110"/>
        </w:rPr>
        <w:t>su</w:t>
      </w:r>
      <w:r>
        <w:rPr>
          <w:color w:val="231F1F"/>
          <w:spacing w:val="-15"/>
          <w:w w:val="110"/>
        </w:rPr>
        <w:t> </w:t>
      </w:r>
      <w:r>
        <w:rPr>
          <w:color w:val="231F1F"/>
          <w:w w:val="110"/>
        </w:rPr>
        <w:t>versión</w:t>
      </w:r>
      <w:r>
        <w:rPr>
          <w:color w:val="231F1F"/>
          <w:spacing w:val="-15"/>
          <w:w w:val="110"/>
        </w:rPr>
        <w:t> </w:t>
      </w:r>
      <w:r>
        <w:rPr>
          <w:color w:val="231F1F"/>
          <w:w w:val="110"/>
        </w:rPr>
        <w:t>electrónica</w:t>
      </w:r>
      <w:r>
        <w:rPr>
          <w:color w:val="231F1F"/>
          <w:spacing w:val="-15"/>
          <w:w w:val="110"/>
        </w:rPr>
        <w:t> </w:t>
      </w:r>
      <w:r>
        <w:rPr>
          <w:color w:val="231F1F"/>
          <w:w w:val="110"/>
        </w:rPr>
        <w:t>más</w:t>
      </w:r>
      <w:r>
        <w:rPr>
          <w:color w:val="231F1F"/>
          <w:spacing w:val="-15"/>
          <w:w w:val="110"/>
        </w:rPr>
        <w:t> </w:t>
      </w:r>
      <w:r>
        <w:rPr>
          <w:color w:val="231F1F"/>
          <w:w w:val="110"/>
        </w:rPr>
        <w:t>frecuente.</w:t>
      </w:r>
      <w:r>
        <w:rPr>
          <w:color w:val="231F1F"/>
          <w:spacing w:val="-16"/>
          <w:w w:val="110"/>
        </w:rPr>
        <w:t> </w:t>
      </w:r>
      <w:r>
        <w:rPr>
          <w:color w:val="231F1F"/>
          <w:w w:val="110"/>
        </w:rPr>
        <w:t>Para</w:t>
      </w:r>
      <w:r>
        <w:rPr>
          <w:color w:val="231F1F"/>
          <w:spacing w:val="-15"/>
          <w:w w:val="110"/>
        </w:rPr>
        <w:t> </w:t>
      </w:r>
      <w:r>
        <w:rPr>
          <w:color w:val="231F1F"/>
          <w:w w:val="110"/>
        </w:rPr>
        <w:t>ello</w:t>
      </w:r>
      <w:r>
        <w:rPr>
          <w:color w:val="231F1F"/>
          <w:spacing w:val="-15"/>
          <w:w w:val="110"/>
        </w:rPr>
        <w:t> </w:t>
      </w:r>
      <w:r>
        <w:rPr>
          <w:color w:val="231F1F"/>
          <w:w w:val="110"/>
        </w:rPr>
        <w:t>se</w:t>
      </w:r>
      <w:r>
        <w:rPr>
          <w:color w:val="231F1F"/>
          <w:spacing w:val="-15"/>
          <w:w w:val="110"/>
        </w:rPr>
        <w:t> </w:t>
      </w:r>
      <w:r>
        <w:rPr>
          <w:color w:val="231F1F"/>
          <w:w w:val="110"/>
        </w:rPr>
        <w:t>utilizará</w:t>
      </w:r>
      <w:r>
        <w:rPr>
          <w:color w:val="231F1F"/>
          <w:spacing w:val="-15"/>
          <w:w w:val="110"/>
        </w:rPr>
        <w:t> </w:t>
      </w:r>
      <w:r>
        <w:rPr>
          <w:color w:val="231F1F"/>
          <w:w w:val="110"/>
        </w:rPr>
        <w:t>el </w:t>
      </w:r>
      <w:r>
        <w:rPr>
          <w:color w:val="231F1F"/>
        </w:rPr>
        <w:t>Manual</w:t>
      </w:r>
      <w:r>
        <w:rPr>
          <w:color w:val="231F1F"/>
          <w:spacing w:val="40"/>
        </w:rPr>
        <w:t> </w:t>
      </w:r>
      <w:r>
        <w:rPr>
          <w:color w:val="231F1F"/>
        </w:rPr>
        <w:t>Metodológico</w:t>
      </w:r>
      <w:r>
        <w:rPr>
          <w:color w:val="231F1F"/>
          <w:spacing w:val="40"/>
        </w:rPr>
        <w:t> </w:t>
      </w:r>
      <w:r>
        <w:rPr>
          <w:color w:val="231F1F"/>
        </w:rPr>
        <w:t>«Actualización</w:t>
      </w:r>
      <w:r>
        <w:rPr>
          <w:color w:val="231F1F"/>
          <w:spacing w:val="40"/>
        </w:rPr>
        <w:t> </w:t>
      </w:r>
      <w:r>
        <w:rPr>
          <w:color w:val="231F1F"/>
        </w:rPr>
        <w:t>de</w:t>
      </w:r>
      <w:r>
        <w:rPr>
          <w:color w:val="231F1F"/>
          <w:spacing w:val="40"/>
        </w:rPr>
        <w:t> </w:t>
      </w:r>
      <w:r>
        <w:rPr>
          <w:color w:val="231F1F"/>
        </w:rPr>
        <w:t>Guías</w:t>
      </w:r>
      <w:r>
        <w:rPr>
          <w:color w:val="231F1F"/>
          <w:spacing w:val="40"/>
        </w:rPr>
        <w:t> </w:t>
      </w:r>
      <w:r>
        <w:rPr>
          <w:color w:val="231F1F"/>
        </w:rPr>
        <w:t>de</w:t>
      </w:r>
      <w:r>
        <w:rPr>
          <w:color w:val="231F1F"/>
          <w:spacing w:val="40"/>
        </w:rPr>
        <w:t> </w:t>
      </w:r>
      <w:r>
        <w:rPr>
          <w:color w:val="231F1F"/>
        </w:rPr>
        <w:t>Práctica</w:t>
      </w:r>
      <w:r>
        <w:rPr>
          <w:color w:val="231F1F"/>
          <w:spacing w:val="40"/>
        </w:rPr>
        <w:t> </w:t>
      </w:r>
      <w:r>
        <w:rPr>
          <w:color w:val="231F1F"/>
        </w:rPr>
        <w:t>Clínica</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Sistema</w:t>
      </w:r>
      <w:r>
        <w:rPr>
          <w:color w:val="231F1F"/>
          <w:spacing w:val="40"/>
        </w:rPr>
        <w:t> </w:t>
      </w:r>
      <w:r>
        <w:rPr>
          <w:color w:val="231F1F"/>
        </w:rPr>
        <w:t>Nacional </w:t>
      </w:r>
      <w:r>
        <w:rPr>
          <w:color w:val="231F1F"/>
          <w:w w:val="110"/>
        </w:rPr>
        <w:t>de</w:t>
      </w:r>
      <w:r>
        <w:rPr>
          <w:color w:val="231F1F"/>
          <w:spacing w:val="-1"/>
          <w:w w:val="110"/>
        </w:rPr>
        <w:t> </w:t>
      </w:r>
      <w:r>
        <w:rPr>
          <w:color w:val="231F1F"/>
          <w:w w:val="110"/>
        </w:rPr>
        <w:t>Salud»,</w:t>
      </w:r>
      <w:r>
        <w:rPr>
          <w:color w:val="231F1F"/>
          <w:spacing w:val="-2"/>
          <w:w w:val="110"/>
        </w:rPr>
        <w:t> </w:t>
      </w:r>
      <w:r>
        <w:rPr>
          <w:color w:val="231F1F"/>
          <w:w w:val="110"/>
        </w:rPr>
        <w:t>disponible</w:t>
      </w:r>
      <w:r>
        <w:rPr>
          <w:color w:val="231F1F"/>
          <w:spacing w:val="-1"/>
          <w:w w:val="110"/>
        </w:rPr>
        <w:t> </w:t>
      </w:r>
      <w:r>
        <w:rPr>
          <w:color w:val="231F1F"/>
          <w:w w:val="110"/>
        </w:rPr>
        <w:t>en</w:t>
      </w:r>
      <w:r>
        <w:rPr>
          <w:color w:val="231F1F"/>
          <w:spacing w:val="-1"/>
          <w:w w:val="110"/>
        </w:rPr>
        <w:t> </w:t>
      </w:r>
      <w:r>
        <w:rPr>
          <w:color w:val="231F1F"/>
          <w:w w:val="110"/>
        </w:rPr>
        <w:t>la</w:t>
      </w:r>
      <w:r>
        <w:rPr>
          <w:color w:val="231F1F"/>
          <w:spacing w:val="-1"/>
          <w:w w:val="110"/>
        </w:rPr>
        <w:t> </w:t>
      </w:r>
      <w:r>
        <w:rPr>
          <w:color w:val="231F1F"/>
          <w:w w:val="110"/>
        </w:rPr>
        <w:t>página</w:t>
      </w:r>
      <w:r>
        <w:rPr>
          <w:color w:val="231F1F"/>
          <w:spacing w:val="-2"/>
          <w:w w:val="110"/>
        </w:rPr>
        <w:t> </w:t>
      </w:r>
      <w:r>
        <w:rPr>
          <w:color w:val="231F1F"/>
          <w:w w:val="110"/>
        </w:rPr>
        <w:t>Web</w:t>
      </w:r>
      <w:r>
        <w:rPr>
          <w:color w:val="231F1F"/>
          <w:spacing w:val="-1"/>
          <w:w w:val="110"/>
        </w:rPr>
        <w:t> </w:t>
      </w:r>
      <w:r>
        <w:rPr>
          <w:color w:val="231F1F"/>
          <w:w w:val="110"/>
        </w:rPr>
        <w:t>del</w:t>
      </w:r>
      <w:r>
        <w:rPr>
          <w:color w:val="231F1F"/>
          <w:spacing w:val="-2"/>
          <w:w w:val="110"/>
        </w:rPr>
        <w:t> </w:t>
      </w:r>
      <w:r>
        <w:rPr>
          <w:color w:val="231F1F"/>
          <w:w w:val="110"/>
        </w:rPr>
        <w:t>portal</w:t>
      </w:r>
      <w:r>
        <w:rPr>
          <w:color w:val="231F1F"/>
          <w:spacing w:val="-2"/>
          <w:w w:val="110"/>
        </w:rPr>
        <w:t> </w:t>
      </w:r>
      <w:r>
        <w:rPr>
          <w:color w:val="231F1F"/>
          <w:w w:val="110"/>
        </w:rPr>
        <w:t>GuiaSalud:</w:t>
      </w:r>
      <w:r>
        <w:rPr>
          <w:color w:val="231F1F"/>
          <w:spacing w:val="-2"/>
          <w:w w:val="110"/>
        </w:rPr>
        <w:t> </w:t>
      </w:r>
      <w:hyperlink r:id="rId37">
        <w:r>
          <w:rPr>
            <w:color w:val="A30046"/>
            <w:w w:val="110"/>
          </w:rPr>
          <w:t>http://portal.guiasalud.es/</w:t>
        </w:r>
      </w:hyperlink>
      <w:r>
        <w:rPr>
          <w:color w:val="A30046"/>
          <w:w w:val="110"/>
        </w:rPr>
        <w:t> </w:t>
      </w:r>
      <w:r>
        <w:rPr>
          <w:color w:val="A30046"/>
          <w:spacing w:val="-2"/>
          <w:w w:val="110"/>
        </w:rPr>
        <w:t>emanuales/actualizacion/index.html.</w:t>
      </w:r>
    </w:p>
    <w:p>
      <w:pPr>
        <w:pStyle w:val="BodyText"/>
        <w:spacing w:after="0" w:line="252" w:lineRule="auto"/>
        <w:jc w:val="both"/>
        <w:sectPr>
          <w:pgSz w:w="11900" w:h="16840"/>
          <w:pgMar w:header="0" w:footer="622" w:top="1560" w:bottom="82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49" w:id="7"/>
      <w:r>
        <w:rPr>
          <w:color w:val="231F1F"/>
          <w:w w:val="110"/>
        </w:rPr>
        <w:t>Cuidados</w:t>
      </w:r>
      <w:r>
        <w:rPr>
          <w:color w:val="231F1F"/>
          <w:spacing w:val="-23"/>
          <w:w w:val="110"/>
        </w:rPr>
        <w:t> </w:t>
      </w:r>
      <w:r>
        <w:rPr>
          <w:color w:val="231F1F"/>
          <w:w w:val="110"/>
        </w:rPr>
        <w:t>durante</w:t>
      </w:r>
      <w:r>
        <w:rPr>
          <w:color w:val="231F1F"/>
          <w:spacing w:val="-22"/>
          <w:w w:val="110"/>
        </w:rPr>
        <w:t> </w:t>
      </w:r>
      <w:r>
        <w:rPr>
          <w:color w:val="231F1F"/>
          <w:w w:val="110"/>
        </w:rPr>
        <w:t>el</w:t>
      </w:r>
      <w:r>
        <w:rPr>
          <w:color w:val="231F1F"/>
          <w:spacing w:val="-22"/>
          <w:w w:val="110"/>
        </w:rPr>
        <w:t> </w:t>
      </w:r>
      <w:bookmarkEnd w:id="7"/>
      <w:r>
        <w:rPr>
          <w:color w:val="231F1F"/>
          <w:spacing w:val="-2"/>
          <w:w w:val="110"/>
        </w:rPr>
        <w:t>parto</w:t>
      </w:r>
    </w:p>
    <w:p>
      <w:pPr>
        <w:pStyle w:val="Heading2"/>
        <w:numPr>
          <w:ilvl w:val="2"/>
          <w:numId w:val="2"/>
        </w:numPr>
        <w:tabs>
          <w:tab w:pos="1004" w:val="left" w:leader="none"/>
        </w:tabs>
        <w:spacing w:line="240" w:lineRule="auto" w:before="516" w:after="0"/>
        <w:ind w:left="1004" w:right="0" w:hanging="721"/>
        <w:jc w:val="left"/>
      </w:pPr>
      <w:bookmarkStart w:name="_TOC_250048" w:id="8"/>
      <w:r>
        <w:rPr>
          <w:color w:val="231F1F"/>
        </w:rPr>
        <w:t>Cuidados</w:t>
      </w:r>
      <w:r>
        <w:rPr>
          <w:color w:val="231F1F"/>
          <w:spacing w:val="77"/>
        </w:rPr>
        <w:t> </w:t>
      </w:r>
      <w:r>
        <w:rPr>
          <w:color w:val="231F1F"/>
        </w:rPr>
        <w:t>de</w:t>
      </w:r>
      <w:r>
        <w:rPr>
          <w:color w:val="231F1F"/>
          <w:spacing w:val="37"/>
          <w:w w:val="150"/>
        </w:rPr>
        <w:t> </w:t>
      </w:r>
      <w:r>
        <w:rPr>
          <w:color w:val="231F1F"/>
        </w:rPr>
        <w:t>profesionales</w:t>
      </w:r>
      <w:r>
        <w:rPr>
          <w:color w:val="231F1F"/>
          <w:spacing w:val="37"/>
          <w:w w:val="150"/>
        </w:rPr>
        <w:t> </w:t>
      </w:r>
      <w:r>
        <w:rPr>
          <w:color w:val="231F1F"/>
        </w:rPr>
        <w:t>y</w:t>
      </w:r>
      <w:r>
        <w:rPr>
          <w:color w:val="231F1F"/>
          <w:spacing w:val="38"/>
          <w:w w:val="150"/>
        </w:rPr>
        <w:t> </w:t>
      </w:r>
      <w:bookmarkEnd w:id="8"/>
      <w:r>
        <w:rPr>
          <w:color w:val="231F1F"/>
          <w:spacing w:val="-2"/>
        </w:rPr>
        <w:t>acompañantes</w:t>
      </w:r>
    </w:p>
    <w:p>
      <w:pPr>
        <w:pStyle w:val="Heading3"/>
        <w:numPr>
          <w:ilvl w:val="3"/>
          <w:numId w:val="2"/>
        </w:numPr>
        <w:tabs>
          <w:tab w:pos="1158" w:val="left" w:leader="none"/>
        </w:tabs>
        <w:spacing w:line="240" w:lineRule="auto" w:before="411" w:after="0"/>
        <w:ind w:left="1158" w:right="0" w:hanging="875"/>
        <w:jc w:val="left"/>
      </w:pPr>
      <w:r>
        <w:rPr>
          <w:color w:val="231F1F"/>
        </w:rPr>
        <w:t>Mujer</w:t>
      </w:r>
      <w:r>
        <w:rPr>
          <w:color w:val="231F1F"/>
          <w:spacing w:val="43"/>
        </w:rPr>
        <w:t> </w:t>
      </w:r>
      <w:r>
        <w:rPr>
          <w:color w:val="231F1F"/>
        </w:rPr>
        <w:t>y</w:t>
      </w:r>
      <w:r>
        <w:rPr>
          <w:color w:val="231F1F"/>
          <w:spacing w:val="46"/>
        </w:rPr>
        <w:t> </w:t>
      </w:r>
      <w:r>
        <w:rPr>
          <w:color w:val="231F1F"/>
        </w:rPr>
        <w:t>profesionales</w:t>
      </w:r>
      <w:r>
        <w:rPr>
          <w:color w:val="231F1F"/>
          <w:spacing w:val="46"/>
        </w:rPr>
        <w:t> </w:t>
      </w:r>
      <w:r>
        <w:rPr>
          <w:color w:val="231F1F"/>
        </w:rPr>
        <w:t>que</w:t>
      </w:r>
      <w:r>
        <w:rPr>
          <w:color w:val="231F1F"/>
          <w:spacing w:val="45"/>
        </w:rPr>
        <w:t> </w:t>
      </w:r>
      <w:r>
        <w:rPr>
          <w:color w:val="231F1F"/>
        </w:rPr>
        <w:t>la</w:t>
      </w:r>
      <w:r>
        <w:rPr>
          <w:color w:val="231F1F"/>
          <w:spacing w:val="46"/>
        </w:rPr>
        <w:t> </w:t>
      </w:r>
      <w:r>
        <w:rPr>
          <w:color w:val="231F1F"/>
          <w:spacing w:val="-2"/>
        </w:rPr>
        <w:t>atienden</w:t>
      </w:r>
    </w:p>
    <w:p>
      <w:pPr>
        <w:pStyle w:val="BodyText"/>
        <w:spacing w:before="20"/>
        <w:rPr>
          <w:sz w:val="20"/>
        </w:rPr>
      </w:pPr>
      <w:r>
        <w:rPr>
          <w:sz w:val="20"/>
        </w:rPr>
        <mc:AlternateContent>
          <mc:Choice Requires="wps">
            <w:drawing>
              <wp:anchor distT="0" distB="0" distL="0" distR="0" allowOverlap="1" layoutInCell="1" locked="0" behindDoc="1" simplePos="0" relativeHeight="487596544">
                <wp:simplePos x="0" y="0"/>
                <wp:positionH relativeFrom="page">
                  <wp:posOffset>1082675</wp:posOffset>
                </wp:positionH>
                <wp:positionV relativeFrom="paragraph">
                  <wp:posOffset>177238</wp:posOffset>
                </wp:positionV>
                <wp:extent cx="5400040" cy="440055"/>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5400040" cy="440055"/>
                        </a:xfrm>
                        <a:prstGeom prst="rect">
                          <a:avLst/>
                        </a:prstGeom>
                        <a:ln w="6350">
                          <a:solidFill>
                            <a:srgbClr val="A30046"/>
                          </a:solidFill>
                          <a:prstDash val="solid"/>
                        </a:ln>
                      </wps:spPr>
                      <wps:txbx>
                        <w:txbxContent>
                          <w:p>
                            <w:pPr>
                              <w:pStyle w:val="BodyText"/>
                              <w:numPr>
                                <w:ilvl w:val="0"/>
                                <w:numId w:val="11"/>
                              </w:numPr>
                              <w:tabs>
                                <w:tab w:pos="323" w:val="left" w:leader="none"/>
                              </w:tabs>
                              <w:spacing w:line="259" w:lineRule="auto" w:before="41" w:after="0"/>
                              <w:ind w:left="323" w:right="211" w:hanging="219"/>
                              <w:jc w:val="left"/>
                            </w:pPr>
                            <w:r>
                              <w:rPr>
                                <w:color w:val="231F1F"/>
                                <w:w w:val="105"/>
                              </w:rPr>
                              <w:t>¿Cómo</w:t>
                            </w:r>
                            <w:r>
                              <w:rPr>
                                <w:color w:val="231F1F"/>
                                <w:spacing w:val="30"/>
                                <w:w w:val="105"/>
                              </w:rPr>
                              <w:t> </w:t>
                            </w:r>
                            <w:r>
                              <w:rPr>
                                <w:color w:val="231F1F"/>
                                <w:w w:val="105"/>
                              </w:rPr>
                              <w:t>influye</w:t>
                            </w:r>
                            <w:r>
                              <w:rPr>
                                <w:color w:val="231F1F"/>
                                <w:spacing w:val="29"/>
                                <w:w w:val="105"/>
                              </w:rPr>
                              <w:t> </w:t>
                            </w:r>
                            <w:r>
                              <w:rPr>
                                <w:color w:val="231F1F"/>
                                <w:w w:val="105"/>
                              </w:rPr>
                              <w:t>la</w:t>
                            </w:r>
                            <w:r>
                              <w:rPr>
                                <w:color w:val="231F1F"/>
                                <w:spacing w:val="31"/>
                                <w:w w:val="105"/>
                              </w:rPr>
                              <w:t> </w:t>
                            </w:r>
                            <w:r>
                              <w:rPr>
                                <w:color w:val="231F1F"/>
                                <w:w w:val="105"/>
                              </w:rPr>
                              <w:t>relación</w:t>
                            </w:r>
                            <w:r>
                              <w:rPr>
                                <w:color w:val="231F1F"/>
                                <w:spacing w:val="30"/>
                                <w:w w:val="105"/>
                              </w:rPr>
                              <w:t> </w:t>
                            </w:r>
                            <w:r>
                              <w:rPr>
                                <w:color w:val="231F1F"/>
                                <w:w w:val="105"/>
                              </w:rPr>
                              <w:t>entre</w:t>
                            </w:r>
                            <w:r>
                              <w:rPr>
                                <w:color w:val="231F1F"/>
                                <w:spacing w:val="31"/>
                                <w:w w:val="105"/>
                              </w:rPr>
                              <w:t> </w:t>
                            </w:r>
                            <w:r>
                              <w:rPr>
                                <w:color w:val="231F1F"/>
                                <w:w w:val="105"/>
                              </w:rPr>
                              <w:t>la</w:t>
                            </w:r>
                            <w:r>
                              <w:rPr>
                                <w:color w:val="231F1F"/>
                                <w:spacing w:val="30"/>
                                <w:w w:val="105"/>
                              </w:rPr>
                              <w:t> </w:t>
                            </w:r>
                            <w:r>
                              <w:rPr>
                                <w:color w:val="231F1F"/>
                                <w:w w:val="105"/>
                              </w:rPr>
                              <w:t>mujer</w:t>
                            </w:r>
                            <w:r>
                              <w:rPr>
                                <w:color w:val="231F1F"/>
                                <w:spacing w:val="29"/>
                                <w:w w:val="105"/>
                              </w:rPr>
                              <w:t> </w:t>
                            </w:r>
                            <w:r>
                              <w:rPr>
                                <w:color w:val="231F1F"/>
                                <w:w w:val="105"/>
                              </w:rPr>
                              <w:t>y</w:t>
                            </w:r>
                            <w:r>
                              <w:rPr>
                                <w:color w:val="231F1F"/>
                                <w:spacing w:val="31"/>
                                <w:w w:val="105"/>
                              </w:rPr>
                              <w:t> </w:t>
                            </w:r>
                            <w:r>
                              <w:rPr>
                                <w:color w:val="231F1F"/>
                                <w:w w:val="105"/>
                              </w:rPr>
                              <w:t>los</w:t>
                            </w:r>
                            <w:r>
                              <w:rPr>
                                <w:color w:val="231F1F"/>
                                <w:spacing w:val="30"/>
                                <w:w w:val="105"/>
                              </w:rPr>
                              <w:t> </w:t>
                            </w:r>
                            <w:r>
                              <w:rPr>
                                <w:color w:val="231F1F"/>
                                <w:w w:val="105"/>
                              </w:rPr>
                              <w:t>profesionales</w:t>
                            </w:r>
                            <w:r>
                              <w:rPr>
                                <w:color w:val="231F1F"/>
                                <w:spacing w:val="30"/>
                                <w:w w:val="105"/>
                              </w:rPr>
                              <w:t> </w:t>
                            </w:r>
                            <w:r>
                              <w:rPr>
                                <w:color w:val="231F1F"/>
                                <w:w w:val="105"/>
                              </w:rPr>
                              <w:t>que</w:t>
                            </w:r>
                            <w:r>
                              <w:rPr>
                                <w:color w:val="231F1F"/>
                                <w:spacing w:val="29"/>
                                <w:w w:val="105"/>
                              </w:rPr>
                              <w:t> </w:t>
                            </w:r>
                            <w:r>
                              <w:rPr>
                                <w:color w:val="231F1F"/>
                                <w:w w:val="105"/>
                              </w:rPr>
                              <w:t>la</w:t>
                            </w:r>
                            <w:r>
                              <w:rPr>
                                <w:color w:val="231F1F"/>
                                <w:spacing w:val="31"/>
                                <w:w w:val="105"/>
                              </w:rPr>
                              <w:t> </w:t>
                            </w:r>
                            <w:r>
                              <w:rPr>
                                <w:color w:val="231F1F"/>
                                <w:w w:val="105"/>
                              </w:rPr>
                              <w:t>atienden</w:t>
                            </w:r>
                            <w:r>
                              <w:rPr>
                                <w:color w:val="231F1F"/>
                                <w:spacing w:val="30"/>
                                <w:w w:val="105"/>
                              </w:rPr>
                              <w:t> </w:t>
                            </w:r>
                            <w:r>
                              <w:rPr>
                                <w:color w:val="231F1F"/>
                                <w:w w:val="105"/>
                              </w:rPr>
                              <w:t>en</w:t>
                            </w:r>
                            <w:r>
                              <w:rPr>
                                <w:color w:val="231F1F"/>
                                <w:spacing w:val="30"/>
                                <w:w w:val="105"/>
                              </w:rPr>
                              <w:t> </w:t>
                            </w:r>
                            <w:r>
                              <w:rPr>
                                <w:color w:val="231F1F"/>
                                <w:w w:val="105"/>
                              </w:rPr>
                              <w:t>la evolución del parto y en su satisfacción con la experiencia del parto?</w:t>
                            </w:r>
                          </w:p>
                        </w:txbxContent>
                      </wps:txbx>
                      <wps:bodyPr wrap="square" lIns="0" tIns="0" rIns="0" bIns="0" rtlCol="0">
                        <a:noAutofit/>
                      </wps:bodyPr>
                    </wps:wsp>
                  </a:graphicData>
                </a:graphic>
              </wp:anchor>
            </w:drawing>
          </mc:Choice>
          <mc:Fallback>
            <w:pict>
              <v:shape style="position:absolute;margin-left:85.25pt;margin-top:13.955762pt;width:425.2pt;height:34.65pt;mso-position-horizontal-relative:page;mso-position-vertical-relative:paragraph;z-index:-15719936;mso-wrap-distance-left:0;mso-wrap-distance-right:0" type="#_x0000_t202" id="docshape40" filled="false" stroked="true" strokeweight=".5pt" strokecolor="#a30046">
                <v:textbox inset="0,0,0,0">
                  <w:txbxContent>
                    <w:p>
                      <w:pPr>
                        <w:pStyle w:val="BodyText"/>
                        <w:numPr>
                          <w:ilvl w:val="0"/>
                          <w:numId w:val="11"/>
                        </w:numPr>
                        <w:tabs>
                          <w:tab w:pos="323" w:val="left" w:leader="none"/>
                        </w:tabs>
                        <w:spacing w:line="259" w:lineRule="auto" w:before="41" w:after="0"/>
                        <w:ind w:left="323" w:right="211" w:hanging="219"/>
                        <w:jc w:val="left"/>
                      </w:pPr>
                      <w:r>
                        <w:rPr>
                          <w:color w:val="231F1F"/>
                          <w:w w:val="105"/>
                        </w:rPr>
                        <w:t>¿Cómo</w:t>
                      </w:r>
                      <w:r>
                        <w:rPr>
                          <w:color w:val="231F1F"/>
                          <w:spacing w:val="30"/>
                          <w:w w:val="105"/>
                        </w:rPr>
                        <w:t> </w:t>
                      </w:r>
                      <w:r>
                        <w:rPr>
                          <w:color w:val="231F1F"/>
                          <w:w w:val="105"/>
                        </w:rPr>
                        <w:t>influye</w:t>
                      </w:r>
                      <w:r>
                        <w:rPr>
                          <w:color w:val="231F1F"/>
                          <w:spacing w:val="29"/>
                          <w:w w:val="105"/>
                        </w:rPr>
                        <w:t> </w:t>
                      </w:r>
                      <w:r>
                        <w:rPr>
                          <w:color w:val="231F1F"/>
                          <w:w w:val="105"/>
                        </w:rPr>
                        <w:t>la</w:t>
                      </w:r>
                      <w:r>
                        <w:rPr>
                          <w:color w:val="231F1F"/>
                          <w:spacing w:val="31"/>
                          <w:w w:val="105"/>
                        </w:rPr>
                        <w:t> </w:t>
                      </w:r>
                      <w:r>
                        <w:rPr>
                          <w:color w:val="231F1F"/>
                          <w:w w:val="105"/>
                        </w:rPr>
                        <w:t>relación</w:t>
                      </w:r>
                      <w:r>
                        <w:rPr>
                          <w:color w:val="231F1F"/>
                          <w:spacing w:val="30"/>
                          <w:w w:val="105"/>
                        </w:rPr>
                        <w:t> </w:t>
                      </w:r>
                      <w:r>
                        <w:rPr>
                          <w:color w:val="231F1F"/>
                          <w:w w:val="105"/>
                        </w:rPr>
                        <w:t>entre</w:t>
                      </w:r>
                      <w:r>
                        <w:rPr>
                          <w:color w:val="231F1F"/>
                          <w:spacing w:val="31"/>
                          <w:w w:val="105"/>
                        </w:rPr>
                        <w:t> </w:t>
                      </w:r>
                      <w:r>
                        <w:rPr>
                          <w:color w:val="231F1F"/>
                          <w:w w:val="105"/>
                        </w:rPr>
                        <w:t>la</w:t>
                      </w:r>
                      <w:r>
                        <w:rPr>
                          <w:color w:val="231F1F"/>
                          <w:spacing w:val="30"/>
                          <w:w w:val="105"/>
                        </w:rPr>
                        <w:t> </w:t>
                      </w:r>
                      <w:r>
                        <w:rPr>
                          <w:color w:val="231F1F"/>
                          <w:w w:val="105"/>
                        </w:rPr>
                        <w:t>mujer</w:t>
                      </w:r>
                      <w:r>
                        <w:rPr>
                          <w:color w:val="231F1F"/>
                          <w:spacing w:val="29"/>
                          <w:w w:val="105"/>
                        </w:rPr>
                        <w:t> </w:t>
                      </w:r>
                      <w:r>
                        <w:rPr>
                          <w:color w:val="231F1F"/>
                          <w:w w:val="105"/>
                        </w:rPr>
                        <w:t>y</w:t>
                      </w:r>
                      <w:r>
                        <w:rPr>
                          <w:color w:val="231F1F"/>
                          <w:spacing w:val="31"/>
                          <w:w w:val="105"/>
                        </w:rPr>
                        <w:t> </w:t>
                      </w:r>
                      <w:r>
                        <w:rPr>
                          <w:color w:val="231F1F"/>
                          <w:w w:val="105"/>
                        </w:rPr>
                        <w:t>los</w:t>
                      </w:r>
                      <w:r>
                        <w:rPr>
                          <w:color w:val="231F1F"/>
                          <w:spacing w:val="30"/>
                          <w:w w:val="105"/>
                        </w:rPr>
                        <w:t> </w:t>
                      </w:r>
                      <w:r>
                        <w:rPr>
                          <w:color w:val="231F1F"/>
                          <w:w w:val="105"/>
                        </w:rPr>
                        <w:t>profesionales</w:t>
                      </w:r>
                      <w:r>
                        <w:rPr>
                          <w:color w:val="231F1F"/>
                          <w:spacing w:val="30"/>
                          <w:w w:val="105"/>
                        </w:rPr>
                        <w:t> </w:t>
                      </w:r>
                      <w:r>
                        <w:rPr>
                          <w:color w:val="231F1F"/>
                          <w:w w:val="105"/>
                        </w:rPr>
                        <w:t>que</w:t>
                      </w:r>
                      <w:r>
                        <w:rPr>
                          <w:color w:val="231F1F"/>
                          <w:spacing w:val="29"/>
                          <w:w w:val="105"/>
                        </w:rPr>
                        <w:t> </w:t>
                      </w:r>
                      <w:r>
                        <w:rPr>
                          <w:color w:val="231F1F"/>
                          <w:w w:val="105"/>
                        </w:rPr>
                        <w:t>la</w:t>
                      </w:r>
                      <w:r>
                        <w:rPr>
                          <w:color w:val="231F1F"/>
                          <w:spacing w:val="31"/>
                          <w:w w:val="105"/>
                        </w:rPr>
                        <w:t> </w:t>
                      </w:r>
                      <w:r>
                        <w:rPr>
                          <w:color w:val="231F1F"/>
                          <w:w w:val="105"/>
                        </w:rPr>
                        <w:t>atienden</w:t>
                      </w:r>
                      <w:r>
                        <w:rPr>
                          <w:color w:val="231F1F"/>
                          <w:spacing w:val="30"/>
                          <w:w w:val="105"/>
                        </w:rPr>
                        <w:t> </w:t>
                      </w:r>
                      <w:r>
                        <w:rPr>
                          <w:color w:val="231F1F"/>
                          <w:w w:val="105"/>
                        </w:rPr>
                        <w:t>en</w:t>
                      </w:r>
                      <w:r>
                        <w:rPr>
                          <w:color w:val="231F1F"/>
                          <w:spacing w:val="30"/>
                          <w:w w:val="105"/>
                        </w:rPr>
                        <w:t> </w:t>
                      </w:r>
                      <w:r>
                        <w:rPr>
                          <w:color w:val="231F1F"/>
                          <w:w w:val="105"/>
                        </w:rPr>
                        <w:t>la evolución del parto y en su satisfacción con la experiencia del parto?</w:t>
                      </w:r>
                    </w:p>
                  </w:txbxContent>
                </v:textbox>
                <v:stroke dashstyle="solid"/>
                <w10:wrap type="topAndBottom"/>
              </v:shape>
            </w:pict>
          </mc:Fallback>
        </mc:AlternateContent>
      </w:r>
    </w:p>
    <w:p>
      <w:pPr>
        <w:pStyle w:val="BodyText"/>
        <w:spacing w:line="252" w:lineRule="auto" w:before="323"/>
        <w:ind w:left="281" w:right="121"/>
        <w:jc w:val="both"/>
      </w:pPr>
      <w:r>
        <w:rPr>
          <w:color w:val="231F1F"/>
          <w:w w:val="105"/>
        </w:rPr>
        <w:t>Una adecuada comunicación entre las mujeres y los profesionales responsables de su cui- dado, contribuye de manera decisiva a que el parto constituya para las mujeres y sus fami- liares</w:t>
      </w:r>
      <w:r>
        <w:rPr>
          <w:color w:val="231F1F"/>
          <w:w w:val="105"/>
        </w:rPr>
        <w:t> una</w:t>
      </w:r>
      <w:r>
        <w:rPr>
          <w:color w:val="231F1F"/>
          <w:w w:val="105"/>
        </w:rPr>
        <w:t> experiencia</w:t>
      </w:r>
      <w:r>
        <w:rPr>
          <w:color w:val="231F1F"/>
          <w:w w:val="105"/>
        </w:rPr>
        <w:t> positiva.</w:t>
      </w:r>
      <w:r>
        <w:rPr>
          <w:color w:val="231F1F"/>
          <w:w w:val="105"/>
        </w:rPr>
        <w:t> Disipar</w:t>
      </w:r>
      <w:r>
        <w:rPr>
          <w:color w:val="231F1F"/>
          <w:w w:val="105"/>
        </w:rPr>
        <w:t> miedos</w:t>
      </w:r>
      <w:r>
        <w:rPr>
          <w:color w:val="231F1F"/>
          <w:w w:val="105"/>
        </w:rPr>
        <w:t> y</w:t>
      </w:r>
      <w:r>
        <w:rPr>
          <w:color w:val="231F1F"/>
          <w:w w:val="105"/>
        </w:rPr>
        <w:t> dudas,</w:t>
      </w:r>
      <w:r>
        <w:rPr>
          <w:color w:val="231F1F"/>
          <w:w w:val="105"/>
        </w:rPr>
        <w:t> infundir</w:t>
      </w:r>
      <w:r>
        <w:rPr>
          <w:color w:val="231F1F"/>
          <w:w w:val="105"/>
        </w:rPr>
        <w:t> seguridad,</w:t>
      </w:r>
      <w:r>
        <w:rPr>
          <w:color w:val="231F1F"/>
          <w:w w:val="105"/>
        </w:rPr>
        <w:t> proporcionar una información amplia y detallada, atender el bienestar físico y emocional, estar disponi- ble, mostrar comprensión, apoyo y respeto, procurar intimidad y permanecer en un segun- do</w:t>
      </w:r>
      <w:r>
        <w:rPr>
          <w:color w:val="231F1F"/>
          <w:w w:val="105"/>
        </w:rPr>
        <w:t> plano,</w:t>
      </w:r>
      <w:r>
        <w:rPr>
          <w:color w:val="231F1F"/>
          <w:w w:val="105"/>
        </w:rPr>
        <w:t> se</w:t>
      </w:r>
      <w:r>
        <w:rPr>
          <w:color w:val="231F1F"/>
          <w:w w:val="105"/>
        </w:rPr>
        <w:t> han</w:t>
      </w:r>
      <w:r>
        <w:rPr>
          <w:color w:val="231F1F"/>
          <w:w w:val="105"/>
        </w:rPr>
        <w:t> revelado</w:t>
      </w:r>
      <w:r>
        <w:rPr>
          <w:color w:val="231F1F"/>
          <w:w w:val="105"/>
        </w:rPr>
        <w:t> como</w:t>
      </w:r>
      <w:r>
        <w:rPr>
          <w:color w:val="231F1F"/>
          <w:w w:val="105"/>
        </w:rPr>
        <w:t> elementos</w:t>
      </w:r>
      <w:r>
        <w:rPr>
          <w:color w:val="231F1F"/>
          <w:w w:val="105"/>
        </w:rPr>
        <w:t> de</w:t>
      </w:r>
      <w:r>
        <w:rPr>
          <w:color w:val="231F1F"/>
          <w:w w:val="105"/>
        </w:rPr>
        <w:t> la</w:t>
      </w:r>
      <w:r>
        <w:rPr>
          <w:color w:val="231F1F"/>
          <w:w w:val="105"/>
        </w:rPr>
        <w:t> atención</w:t>
      </w:r>
      <w:r>
        <w:rPr>
          <w:color w:val="231F1F"/>
          <w:w w:val="105"/>
        </w:rPr>
        <w:t> sumamente</w:t>
      </w:r>
      <w:r>
        <w:rPr>
          <w:color w:val="231F1F"/>
          <w:w w:val="105"/>
        </w:rPr>
        <w:t> apreciados</w:t>
      </w:r>
      <w:r>
        <w:rPr>
          <w:color w:val="231F1F"/>
          <w:w w:val="105"/>
        </w:rPr>
        <w:t> por</w:t>
      </w:r>
      <w:r>
        <w:rPr>
          <w:color w:val="231F1F"/>
          <w:w w:val="105"/>
        </w:rPr>
        <w:t> las mujeres</w:t>
      </w:r>
      <w:r>
        <w:rPr>
          <w:color w:val="231F1F"/>
          <w:spacing w:val="-4"/>
          <w:w w:val="105"/>
        </w:rPr>
        <w:t> </w:t>
      </w:r>
      <w:r>
        <w:rPr>
          <w:color w:val="231F1F"/>
          <w:w w:val="105"/>
        </w:rPr>
        <w:t>y</w:t>
      </w:r>
      <w:r>
        <w:rPr>
          <w:color w:val="231F1F"/>
          <w:spacing w:val="-3"/>
          <w:w w:val="105"/>
        </w:rPr>
        <w:t> </w:t>
      </w:r>
      <w:r>
        <w:rPr>
          <w:color w:val="231F1F"/>
          <w:w w:val="105"/>
        </w:rPr>
        <w:t>que</w:t>
      </w:r>
      <w:r>
        <w:rPr>
          <w:color w:val="231F1F"/>
          <w:spacing w:val="-4"/>
          <w:w w:val="105"/>
        </w:rPr>
        <w:t> </w:t>
      </w:r>
      <w:r>
        <w:rPr>
          <w:color w:val="231F1F"/>
          <w:w w:val="105"/>
        </w:rPr>
        <w:t>contribuyen</w:t>
      </w:r>
      <w:r>
        <w:rPr>
          <w:color w:val="231F1F"/>
          <w:spacing w:val="-3"/>
          <w:w w:val="105"/>
        </w:rPr>
        <w:t> </w:t>
      </w:r>
      <w:r>
        <w:rPr>
          <w:color w:val="231F1F"/>
          <w:w w:val="105"/>
        </w:rPr>
        <w:t>de</w:t>
      </w:r>
      <w:r>
        <w:rPr>
          <w:color w:val="231F1F"/>
          <w:spacing w:val="-4"/>
          <w:w w:val="105"/>
        </w:rPr>
        <w:t> </w:t>
      </w:r>
      <w:r>
        <w:rPr>
          <w:color w:val="231F1F"/>
          <w:w w:val="105"/>
        </w:rPr>
        <w:t>manera</w:t>
      </w:r>
      <w:r>
        <w:rPr>
          <w:color w:val="231F1F"/>
          <w:spacing w:val="-3"/>
          <w:w w:val="105"/>
        </w:rPr>
        <w:t> </w:t>
      </w:r>
      <w:r>
        <w:rPr>
          <w:color w:val="231F1F"/>
          <w:w w:val="105"/>
        </w:rPr>
        <w:t>decisiva</w:t>
      </w:r>
      <w:r>
        <w:rPr>
          <w:color w:val="231F1F"/>
          <w:spacing w:val="-4"/>
          <w:w w:val="105"/>
        </w:rPr>
        <w:t> </w:t>
      </w:r>
      <w:r>
        <w:rPr>
          <w:color w:val="231F1F"/>
          <w:w w:val="105"/>
        </w:rPr>
        <w:t>a</w:t>
      </w:r>
      <w:r>
        <w:rPr>
          <w:color w:val="231F1F"/>
          <w:spacing w:val="-4"/>
          <w:w w:val="105"/>
        </w:rPr>
        <w:t> </w:t>
      </w:r>
      <w:r>
        <w:rPr>
          <w:color w:val="231F1F"/>
          <w:w w:val="105"/>
        </w:rPr>
        <w:t>su</w:t>
      </w:r>
      <w:r>
        <w:rPr>
          <w:color w:val="231F1F"/>
          <w:spacing w:val="-3"/>
          <w:w w:val="105"/>
        </w:rPr>
        <w:t> </w:t>
      </w:r>
      <w:r>
        <w:rPr>
          <w:color w:val="231F1F"/>
          <w:w w:val="105"/>
        </w:rPr>
        <w:t>satisfacción</w:t>
      </w:r>
      <w:r>
        <w:rPr>
          <w:color w:val="231F1F"/>
          <w:spacing w:val="-4"/>
          <w:w w:val="105"/>
        </w:rPr>
        <w:t> </w:t>
      </w:r>
      <w:r>
        <w:rPr>
          <w:color w:val="231F1F"/>
          <w:w w:val="105"/>
        </w:rPr>
        <w:t>con</w:t>
      </w:r>
      <w:r>
        <w:rPr>
          <w:color w:val="231F1F"/>
          <w:spacing w:val="-3"/>
          <w:w w:val="105"/>
        </w:rPr>
        <w:t> </w:t>
      </w:r>
      <w:r>
        <w:rPr>
          <w:color w:val="231F1F"/>
          <w:w w:val="105"/>
        </w:rPr>
        <w:t>la</w:t>
      </w:r>
      <w:r>
        <w:rPr>
          <w:color w:val="231F1F"/>
          <w:spacing w:val="-4"/>
          <w:w w:val="105"/>
        </w:rPr>
        <w:t> </w:t>
      </w:r>
      <w:r>
        <w:rPr>
          <w:color w:val="231F1F"/>
          <w:w w:val="105"/>
        </w:rPr>
        <w:t>experiencia</w:t>
      </w:r>
      <w:r>
        <w:rPr>
          <w:color w:val="231F1F"/>
          <w:spacing w:val="-3"/>
          <w:w w:val="105"/>
        </w:rPr>
        <w:t> </w:t>
      </w:r>
      <w:r>
        <w:rPr>
          <w:color w:val="231F1F"/>
          <w:w w:val="105"/>
        </w:rPr>
        <w:t>del</w:t>
      </w:r>
      <w:r>
        <w:rPr>
          <w:color w:val="231F1F"/>
          <w:spacing w:val="-4"/>
          <w:w w:val="105"/>
        </w:rPr>
        <w:t> </w:t>
      </w:r>
      <w:r>
        <w:rPr>
          <w:color w:val="231F1F"/>
          <w:w w:val="105"/>
        </w:rPr>
        <w:t>parto.</w:t>
      </w:r>
    </w:p>
    <w:p>
      <w:pPr>
        <w:pStyle w:val="BodyText"/>
        <w:spacing w:line="249" w:lineRule="auto" w:before="118"/>
        <w:ind w:left="281" w:right="113" w:firstLine="453"/>
        <w:jc w:val="both"/>
      </w:pPr>
      <w:r>
        <w:rPr>
          <w:color w:val="231F1F"/>
          <w:w w:val="105"/>
        </w:rPr>
        <w:t>El cumplimiento de las expectativas de cada mujer, el sentirse implicada, poder deci- dir y mantener el control sobre el proceso del parto son factores que se relacionan con la satisfacción. Por ello, es importante que los profesionales conozcan esas expectativas, ex- presadas verbalmente o en planes de parto, para satisfacerlas en la medida de lo posible y para, mediante un proceso de comunicación y de soporte emocional contribuir, cuando sea necesario, a limitar el desajuste que puede producirse entre las expectativas y el desarrollo concreto de cada parto.</w:t>
      </w:r>
    </w:p>
    <w:p>
      <w:pPr>
        <w:pStyle w:val="BodyText"/>
        <w:spacing w:before="160"/>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4"/>
        <w:ind w:left="283" w:right="1371"/>
        <w:jc w:val="both"/>
      </w:pPr>
      <w:r>
        <w:rPr>
          <w:color w:val="231F1F"/>
          <w:w w:val="110"/>
        </w:rPr>
        <w:t>La guía NICE (10) aborda este punto formulando la pregunta: ¿Qué efecto tiene</w:t>
      </w:r>
      <w:r>
        <w:rPr>
          <w:color w:val="231F1F"/>
          <w:spacing w:val="-4"/>
          <w:w w:val="110"/>
        </w:rPr>
        <w:t> </w:t>
      </w:r>
      <w:r>
        <w:rPr>
          <w:color w:val="231F1F"/>
          <w:w w:val="110"/>
        </w:rPr>
        <w:t>la</w:t>
      </w:r>
      <w:r>
        <w:rPr>
          <w:color w:val="231F1F"/>
          <w:spacing w:val="-4"/>
          <w:w w:val="110"/>
        </w:rPr>
        <w:t> </w:t>
      </w:r>
      <w:r>
        <w:rPr>
          <w:color w:val="231F1F"/>
          <w:w w:val="110"/>
        </w:rPr>
        <w:t>comunicación</w:t>
      </w:r>
      <w:r>
        <w:rPr>
          <w:color w:val="231F1F"/>
          <w:spacing w:val="-4"/>
          <w:w w:val="110"/>
        </w:rPr>
        <w:t> </w:t>
      </w: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percepción</w:t>
      </w:r>
      <w:r>
        <w:rPr>
          <w:color w:val="231F1F"/>
          <w:spacing w:val="-5"/>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mujer</w:t>
      </w:r>
      <w:r>
        <w:rPr>
          <w:color w:val="231F1F"/>
          <w:spacing w:val="-5"/>
          <w:w w:val="110"/>
        </w:rPr>
        <w:t> </w:t>
      </w:r>
      <w:r>
        <w:rPr>
          <w:color w:val="231F1F"/>
          <w:w w:val="110"/>
        </w:rPr>
        <w:t>sobre</w:t>
      </w:r>
      <w:r>
        <w:rPr>
          <w:color w:val="231F1F"/>
          <w:spacing w:val="-5"/>
          <w:w w:val="110"/>
        </w:rPr>
        <w:t> </w:t>
      </w:r>
      <w:r>
        <w:rPr>
          <w:color w:val="231F1F"/>
          <w:w w:val="110"/>
        </w:rPr>
        <w:t>la</w:t>
      </w:r>
      <w:r>
        <w:rPr>
          <w:color w:val="231F1F"/>
          <w:spacing w:val="-4"/>
          <w:w w:val="110"/>
        </w:rPr>
        <w:t> </w:t>
      </w:r>
      <w:r>
        <w:rPr>
          <w:color w:val="231F1F"/>
          <w:w w:val="110"/>
        </w:rPr>
        <w:t>experiencia</w:t>
      </w:r>
      <w:r>
        <w:rPr>
          <w:color w:val="231F1F"/>
          <w:spacing w:val="-4"/>
          <w:w w:val="110"/>
        </w:rPr>
        <w:t> </w:t>
      </w:r>
      <w:r>
        <w:rPr>
          <w:color w:val="231F1F"/>
          <w:w w:val="110"/>
        </w:rPr>
        <w:t>del </w:t>
      </w:r>
      <w:r>
        <w:rPr>
          <w:color w:val="231F1F"/>
          <w:spacing w:val="-2"/>
          <w:w w:val="110"/>
        </w:rPr>
        <w:t>parto?</w:t>
      </w:r>
    </w:p>
    <w:p>
      <w:pPr>
        <w:pStyle w:val="BodyText"/>
        <w:spacing w:line="247" w:lineRule="auto" w:before="143"/>
        <w:ind w:left="283" w:right="1367" w:firstLine="453"/>
        <w:jc w:val="both"/>
      </w:pPr>
      <w:r>
        <w:rPr>
          <w:color w:val="231F1F"/>
          <w:w w:val="110"/>
        </w:rPr>
        <w:t>En</w:t>
      </w:r>
      <w:r>
        <w:rPr>
          <w:color w:val="231F1F"/>
          <w:spacing w:val="-14"/>
          <w:w w:val="110"/>
        </w:rPr>
        <w:t> </w:t>
      </w:r>
      <w:r>
        <w:rPr>
          <w:color w:val="231F1F"/>
          <w:w w:val="110"/>
        </w:rPr>
        <w:t>la</w:t>
      </w:r>
      <w:r>
        <w:rPr>
          <w:color w:val="231F1F"/>
          <w:spacing w:val="-15"/>
          <w:w w:val="110"/>
        </w:rPr>
        <w:t> </w:t>
      </w:r>
      <w:r>
        <w:rPr>
          <w:color w:val="231F1F"/>
          <w:w w:val="110"/>
        </w:rPr>
        <w:t>guía</w:t>
      </w:r>
      <w:r>
        <w:rPr>
          <w:color w:val="231F1F"/>
          <w:spacing w:val="-14"/>
          <w:w w:val="110"/>
        </w:rPr>
        <w:t> </w:t>
      </w:r>
      <w:r>
        <w:rPr>
          <w:color w:val="231F1F"/>
          <w:w w:val="110"/>
        </w:rPr>
        <w:t>se</w:t>
      </w:r>
      <w:r>
        <w:rPr>
          <w:color w:val="231F1F"/>
          <w:spacing w:val="-15"/>
          <w:w w:val="110"/>
        </w:rPr>
        <w:t> </w:t>
      </w:r>
      <w:r>
        <w:rPr>
          <w:color w:val="231F1F"/>
          <w:w w:val="110"/>
        </w:rPr>
        <w:t>incluyeron</w:t>
      </w:r>
      <w:r>
        <w:rPr>
          <w:color w:val="231F1F"/>
          <w:spacing w:val="-14"/>
          <w:w w:val="110"/>
        </w:rPr>
        <w:t> </w:t>
      </w:r>
      <w:r>
        <w:rPr>
          <w:color w:val="231F1F"/>
          <w:w w:val="110"/>
        </w:rPr>
        <w:t>19</w:t>
      </w:r>
      <w:r>
        <w:rPr>
          <w:color w:val="231F1F"/>
          <w:spacing w:val="-15"/>
          <w:w w:val="110"/>
        </w:rPr>
        <w:t> </w:t>
      </w:r>
      <w:r>
        <w:rPr>
          <w:color w:val="231F1F"/>
          <w:w w:val="110"/>
        </w:rPr>
        <w:t>estudios</w:t>
      </w:r>
      <w:r>
        <w:rPr>
          <w:color w:val="231F1F"/>
          <w:spacing w:val="-14"/>
          <w:w w:val="110"/>
        </w:rPr>
        <w:t> </w:t>
      </w:r>
      <w:r>
        <w:rPr>
          <w:color w:val="231F1F"/>
          <w:w w:val="110"/>
        </w:rPr>
        <w:t>llevados</w:t>
      </w:r>
      <w:r>
        <w:rPr>
          <w:color w:val="231F1F"/>
          <w:spacing w:val="-15"/>
          <w:w w:val="110"/>
        </w:rPr>
        <w:t> </w:t>
      </w:r>
      <w:r>
        <w:rPr>
          <w:color w:val="231F1F"/>
          <w:w w:val="110"/>
        </w:rPr>
        <w:t>a</w:t>
      </w:r>
      <w:r>
        <w:rPr>
          <w:color w:val="231F1F"/>
          <w:spacing w:val="-14"/>
          <w:w w:val="110"/>
        </w:rPr>
        <w:t> </w:t>
      </w:r>
      <w:r>
        <w:rPr>
          <w:color w:val="231F1F"/>
          <w:w w:val="110"/>
        </w:rPr>
        <w:t>cabo</w:t>
      </w:r>
      <w:r>
        <w:rPr>
          <w:color w:val="231F1F"/>
          <w:spacing w:val="-15"/>
          <w:w w:val="110"/>
        </w:rPr>
        <w:t> </w:t>
      </w:r>
      <w:r>
        <w:rPr>
          <w:color w:val="231F1F"/>
          <w:w w:val="110"/>
        </w:rPr>
        <w:t>en</w:t>
      </w:r>
      <w:r>
        <w:rPr>
          <w:color w:val="231F1F"/>
          <w:spacing w:val="-14"/>
          <w:w w:val="110"/>
        </w:rPr>
        <w:t> </w:t>
      </w:r>
      <w:r>
        <w:rPr>
          <w:color w:val="231F1F"/>
          <w:w w:val="110"/>
        </w:rPr>
        <w:t>contextos</w:t>
      </w:r>
      <w:r>
        <w:rPr>
          <w:color w:val="231F1F"/>
          <w:spacing w:val="-15"/>
          <w:w w:val="110"/>
        </w:rPr>
        <w:t> </w:t>
      </w:r>
      <w:r>
        <w:rPr>
          <w:color w:val="231F1F"/>
          <w:w w:val="110"/>
        </w:rPr>
        <w:t>cultu- rales similares al del Reino Unido. La mayoría eran estudios de cohortes, </w:t>
      </w:r>
      <w:r>
        <w:rPr>
          <w:color w:val="231F1F"/>
        </w:rPr>
        <w:t>prospectivos</w:t>
      </w:r>
      <w:r>
        <w:rPr>
          <w:color w:val="231F1F"/>
          <w:spacing w:val="39"/>
        </w:rPr>
        <w:t> </w:t>
      </w:r>
      <w:r>
        <w:rPr>
          <w:color w:val="231F1F"/>
        </w:rPr>
        <w:t>y</w:t>
      </w:r>
      <w:r>
        <w:rPr>
          <w:color w:val="231F1F"/>
          <w:spacing w:val="40"/>
        </w:rPr>
        <w:t> </w:t>
      </w:r>
      <w:r>
        <w:rPr>
          <w:color w:val="231F1F"/>
        </w:rPr>
        <w:t>cualitativos</w:t>
      </w:r>
      <w:r>
        <w:rPr>
          <w:color w:val="231F1F"/>
          <w:spacing w:val="39"/>
        </w:rPr>
        <w:t> </w:t>
      </w:r>
      <w:r>
        <w:rPr>
          <w:color w:val="231F1F"/>
        </w:rPr>
        <w:t>que</w:t>
      </w:r>
      <w:r>
        <w:rPr>
          <w:color w:val="231F1F"/>
          <w:spacing w:val="40"/>
        </w:rPr>
        <w:t> </w:t>
      </w:r>
      <w:r>
        <w:rPr>
          <w:color w:val="231F1F"/>
        </w:rPr>
        <w:t>se</w:t>
      </w:r>
      <w:r>
        <w:rPr>
          <w:color w:val="231F1F"/>
          <w:spacing w:val="40"/>
        </w:rPr>
        <w:t> </w:t>
      </w:r>
      <w:r>
        <w:rPr>
          <w:color w:val="231F1F"/>
        </w:rPr>
        <w:t>realizaron</w:t>
      </w:r>
      <w:r>
        <w:rPr>
          <w:color w:val="231F1F"/>
          <w:spacing w:val="40"/>
        </w:rPr>
        <w:t> </w:t>
      </w:r>
      <w:r>
        <w:rPr>
          <w:color w:val="231F1F"/>
        </w:rPr>
        <w:t>mediante</w:t>
      </w:r>
      <w:r>
        <w:rPr>
          <w:color w:val="231F1F"/>
          <w:spacing w:val="40"/>
        </w:rPr>
        <w:t> </w:t>
      </w:r>
      <w:r>
        <w:rPr>
          <w:color w:val="231F1F"/>
        </w:rPr>
        <w:t>encuestas</w:t>
      </w:r>
      <w:r>
        <w:rPr>
          <w:color w:val="231F1F"/>
          <w:spacing w:val="40"/>
        </w:rPr>
        <w:t> </w:t>
      </w:r>
      <w:r>
        <w:rPr>
          <w:color w:val="231F1F"/>
        </w:rPr>
        <w:t>y</w:t>
      </w:r>
      <w:r>
        <w:rPr>
          <w:color w:val="231F1F"/>
          <w:spacing w:val="40"/>
        </w:rPr>
        <w:t> </w:t>
      </w:r>
      <w:r>
        <w:rPr>
          <w:color w:val="231F1F"/>
        </w:rPr>
        <w:t>entrevistas, </w:t>
      </w:r>
      <w:r>
        <w:rPr>
          <w:color w:val="231F1F"/>
          <w:w w:val="110"/>
        </w:rPr>
        <w:t>y que fueron especialmente diseñados para describir las relaciones entre el comportamiento</w:t>
      </w:r>
      <w:r>
        <w:rPr>
          <w:color w:val="231F1F"/>
          <w:spacing w:val="-7"/>
          <w:w w:val="110"/>
        </w:rPr>
        <w:t> </w:t>
      </w:r>
      <w:r>
        <w:rPr>
          <w:color w:val="231F1F"/>
          <w:w w:val="110"/>
        </w:rPr>
        <w:t>de</w:t>
      </w:r>
      <w:r>
        <w:rPr>
          <w:color w:val="231F1F"/>
          <w:spacing w:val="-7"/>
          <w:w w:val="110"/>
        </w:rPr>
        <w:t> </w:t>
      </w:r>
      <w:r>
        <w:rPr>
          <w:color w:val="231F1F"/>
          <w:w w:val="110"/>
        </w:rPr>
        <w:t>las</w:t>
      </w:r>
      <w:r>
        <w:rPr>
          <w:color w:val="231F1F"/>
          <w:spacing w:val="-7"/>
          <w:w w:val="110"/>
        </w:rPr>
        <w:t> </w:t>
      </w:r>
      <w:r>
        <w:rPr>
          <w:color w:val="231F1F"/>
          <w:w w:val="110"/>
        </w:rPr>
        <w:t>personas</w:t>
      </w:r>
      <w:r>
        <w:rPr>
          <w:color w:val="231F1F"/>
          <w:spacing w:val="-8"/>
          <w:w w:val="110"/>
        </w:rPr>
        <w:t> </w:t>
      </w:r>
      <w:r>
        <w:rPr>
          <w:color w:val="231F1F"/>
          <w:w w:val="110"/>
        </w:rPr>
        <w:t>que</w:t>
      </w:r>
      <w:r>
        <w:rPr>
          <w:color w:val="231F1F"/>
          <w:spacing w:val="-7"/>
          <w:w w:val="110"/>
        </w:rPr>
        <w:t> </w:t>
      </w:r>
      <w:r>
        <w:rPr>
          <w:color w:val="231F1F"/>
          <w:w w:val="110"/>
        </w:rPr>
        <w:t>atienden</w:t>
      </w:r>
      <w:r>
        <w:rPr>
          <w:color w:val="231F1F"/>
          <w:spacing w:val="-7"/>
          <w:w w:val="110"/>
        </w:rPr>
        <w:t> </w:t>
      </w:r>
      <w:r>
        <w:rPr>
          <w:color w:val="231F1F"/>
          <w:w w:val="110"/>
        </w:rPr>
        <w:t>a</w:t>
      </w:r>
      <w:r>
        <w:rPr>
          <w:color w:val="231F1F"/>
          <w:spacing w:val="-7"/>
          <w:w w:val="110"/>
        </w:rPr>
        <w:t> </w:t>
      </w:r>
      <w:r>
        <w:rPr>
          <w:color w:val="231F1F"/>
          <w:w w:val="110"/>
        </w:rPr>
        <w:t>las</w:t>
      </w:r>
      <w:r>
        <w:rPr>
          <w:color w:val="231F1F"/>
          <w:spacing w:val="-7"/>
          <w:w w:val="110"/>
        </w:rPr>
        <w:t> </w:t>
      </w:r>
      <w:r>
        <w:rPr>
          <w:color w:val="231F1F"/>
          <w:w w:val="110"/>
        </w:rPr>
        <w:t>mujeres</w:t>
      </w:r>
      <w:r>
        <w:rPr>
          <w:color w:val="231F1F"/>
          <w:spacing w:val="-7"/>
          <w:w w:val="110"/>
        </w:rPr>
        <w:t> </w:t>
      </w:r>
      <w:r>
        <w:rPr>
          <w:color w:val="231F1F"/>
          <w:w w:val="110"/>
        </w:rPr>
        <w:t>durante</w:t>
      </w:r>
      <w:r>
        <w:rPr>
          <w:color w:val="231F1F"/>
          <w:spacing w:val="-8"/>
          <w:w w:val="110"/>
        </w:rPr>
        <w:t> </w:t>
      </w:r>
      <w:r>
        <w:rPr>
          <w:color w:val="231F1F"/>
          <w:w w:val="110"/>
        </w:rPr>
        <w:t>el</w:t>
      </w:r>
      <w:r>
        <w:rPr>
          <w:color w:val="231F1F"/>
          <w:spacing w:val="-8"/>
          <w:w w:val="110"/>
        </w:rPr>
        <w:t> </w:t>
      </w:r>
      <w:r>
        <w:rPr>
          <w:color w:val="231F1F"/>
          <w:w w:val="110"/>
        </w:rPr>
        <w:t>parto y</w:t>
      </w:r>
      <w:r>
        <w:rPr>
          <w:color w:val="231F1F"/>
          <w:spacing w:val="-9"/>
          <w:w w:val="110"/>
        </w:rPr>
        <w:t> </w:t>
      </w:r>
      <w:r>
        <w:rPr>
          <w:color w:val="231F1F"/>
          <w:w w:val="110"/>
        </w:rPr>
        <w:t>los</w:t>
      </w:r>
      <w:r>
        <w:rPr>
          <w:color w:val="231F1F"/>
          <w:spacing w:val="-10"/>
          <w:w w:val="110"/>
        </w:rPr>
        <w:t> </w:t>
      </w:r>
      <w:r>
        <w:rPr>
          <w:color w:val="231F1F"/>
          <w:w w:val="110"/>
        </w:rPr>
        <w:t>desenlaces</w:t>
      </w:r>
      <w:r>
        <w:rPr>
          <w:color w:val="231F1F"/>
          <w:spacing w:val="-10"/>
          <w:w w:val="110"/>
        </w:rPr>
        <w:t> </w:t>
      </w:r>
      <w:r>
        <w:rPr>
          <w:color w:val="231F1F"/>
          <w:w w:val="110"/>
        </w:rPr>
        <w:t>psicosociales</w:t>
      </w:r>
      <w:r>
        <w:rPr>
          <w:color w:val="231F1F"/>
          <w:spacing w:val="-10"/>
          <w:w w:val="110"/>
        </w:rPr>
        <w:t> </w:t>
      </w:r>
      <w:r>
        <w:rPr>
          <w:color w:val="231F1F"/>
          <w:w w:val="110"/>
        </w:rPr>
        <w:t>de</w:t>
      </w:r>
      <w:r>
        <w:rPr>
          <w:color w:val="231F1F"/>
          <w:spacing w:val="-9"/>
          <w:w w:val="110"/>
        </w:rPr>
        <w:t> </w:t>
      </w:r>
      <w:r>
        <w:rPr>
          <w:color w:val="231F1F"/>
          <w:w w:val="110"/>
        </w:rPr>
        <w:t>ellas.</w:t>
      </w:r>
      <w:r>
        <w:rPr>
          <w:color w:val="231F1F"/>
          <w:spacing w:val="-10"/>
          <w:w w:val="110"/>
        </w:rPr>
        <w:t> </w:t>
      </w:r>
      <w:r>
        <w:rPr>
          <w:color w:val="231F1F"/>
          <w:w w:val="110"/>
        </w:rPr>
        <w:t>Otro</w:t>
      </w:r>
      <w:r>
        <w:rPr>
          <w:color w:val="231F1F"/>
          <w:spacing w:val="-9"/>
          <w:w w:val="110"/>
        </w:rPr>
        <w:t> </w:t>
      </w:r>
      <w:r>
        <w:rPr>
          <w:color w:val="231F1F"/>
          <w:w w:val="110"/>
        </w:rPr>
        <w:t>de</w:t>
      </w:r>
      <w:r>
        <w:rPr>
          <w:color w:val="231F1F"/>
          <w:spacing w:val="-9"/>
          <w:w w:val="110"/>
        </w:rPr>
        <w:t> </w:t>
      </w:r>
      <w:r>
        <w:rPr>
          <w:color w:val="231F1F"/>
          <w:w w:val="110"/>
        </w:rPr>
        <w:t>los</w:t>
      </w:r>
      <w:r>
        <w:rPr>
          <w:color w:val="231F1F"/>
          <w:spacing w:val="-10"/>
          <w:w w:val="110"/>
        </w:rPr>
        <w:t> </w:t>
      </w:r>
      <w:r>
        <w:rPr>
          <w:color w:val="231F1F"/>
          <w:w w:val="110"/>
        </w:rPr>
        <w:t>estudios</w:t>
      </w:r>
      <w:r>
        <w:rPr>
          <w:color w:val="231F1F"/>
          <w:spacing w:val="-9"/>
          <w:w w:val="110"/>
        </w:rPr>
        <w:t> </w:t>
      </w:r>
      <w:r>
        <w:rPr>
          <w:color w:val="231F1F"/>
          <w:w w:val="110"/>
        </w:rPr>
        <w:t>era</w:t>
      </w:r>
      <w:r>
        <w:rPr>
          <w:color w:val="231F1F"/>
          <w:spacing w:val="-9"/>
          <w:w w:val="110"/>
        </w:rPr>
        <w:t> </w:t>
      </w:r>
      <w:r>
        <w:rPr>
          <w:color w:val="231F1F"/>
          <w:w w:val="110"/>
        </w:rPr>
        <w:t>una</w:t>
      </w:r>
      <w:r>
        <w:rPr>
          <w:color w:val="231F1F"/>
          <w:spacing w:val="-9"/>
          <w:w w:val="110"/>
        </w:rPr>
        <w:t> </w:t>
      </w:r>
      <w:r>
        <w:rPr>
          <w:color w:val="231F1F"/>
          <w:w w:val="110"/>
        </w:rPr>
        <w:t>revisión sistemática</w:t>
      </w:r>
      <w:r>
        <w:rPr>
          <w:color w:val="231F1F"/>
          <w:spacing w:val="-16"/>
          <w:w w:val="110"/>
        </w:rPr>
        <w:t> </w:t>
      </w:r>
      <w:r>
        <w:rPr>
          <w:color w:val="231F1F"/>
          <w:w w:val="110"/>
        </w:rPr>
        <w:t>(RS)</w:t>
      </w:r>
      <w:r>
        <w:rPr>
          <w:color w:val="231F1F"/>
          <w:spacing w:val="-15"/>
          <w:w w:val="110"/>
        </w:rPr>
        <w:t> </w:t>
      </w:r>
      <w:r>
        <w:rPr>
          <w:color w:val="231F1F"/>
          <w:w w:val="110"/>
        </w:rPr>
        <w:t>(11)</w:t>
      </w:r>
      <w:r>
        <w:rPr>
          <w:color w:val="231F1F"/>
          <w:spacing w:val="-15"/>
          <w:w w:val="110"/>
        </w:rPr>
        <w:t> </w:t>
      </w:r>
      <w:r>
        <w:rPr>
          <w:color w:val="231F1F"/>
          <w:w w:val="110"/>
        </w:rPr>
        <w:t>que</w:t>
      </w:r>
      <w:r>
        <w:rPr>
          <w:color w:val="231F1F"/>
          <w:spacing w:val="-15"/>
          <w:w w:val="110"/>
        </w:rPr>
        <w:t> </w:t>
      </w:r>
      <w:r>
        <w:rPr>
          <w:color w:val="231F1F"/>
          <w:w w:val="110"/>
        </w:rPr>
        <w:t>evaluaba</w:t>
      </w:r>
      <w:r>
        <w:rPr>
          <w:color w:val="231F1F"/>
          <w:spacing w:val="-15"/>
          <w:w w:val="110"/>
        </w:rPr>
        <w:t> </w:t>
      </w:r>
      <w:r>
        <w:rPr>
          <w:color w:val="231F1F"/>
          <w:w w:val="110"/>
        </w:rPr>
        <w:t>dicha</w:t>
      </w:r>
      <w:r>
        <w:rPr>
          <w:color w:val="231F1F"/>
          <w:spacing w:val="-15"/>
          <w:w w:val="110"/>
        </w:rPr>
        <w:t> </w:t>
      </w:r>
      <w:r>
        <w:rPr>
          <w:color w:val="231F1F"/>
          <w:w w:val="110"/>
        </w:rPr>
        <w:t>relación</w:t>
      </w:r>
      <w:r>
        <w:rPr>
          <w:color w:val="231F1F"/>
          <w:spacing w:val="-15"/>
          <w:w w:val="110"/>
        </w:rPr>
        <w:t> </w:t>
      </w:r>
      <w:r>
        <w:rPr>
          <w:color w:val="231F1F"/>
          <w:w w:val="110"/>
        </w:rPr>
        <w:t>(Ver</w:t>
      </w:r>
      <w:r>
        <w:rPr>
          <w:color w:val="231F1F"/>
          <w:spacing w:val="-15"/>
          <w:w w:val="110"/>
        </w:rPr>
        <w:t> </w:t>
      </w:r>
      <w:r>
        <w:rPr>
          <w:color w:val="231F1F"/>
          <w:w w:val="110"/>
        </w:rPr>
        <w:t>tabla</w:t>
      </w:r>
      <w:r>
        <w:rPr>
          <w:color w:val="231F1F"/>
          <w:spacing w:val="-16"/>
          <w:w w:val="110"/>
        </w:rPr>
        <w:t> </w:t>
      </w:r>
      <w:r>
        <w:rPr>
          <w:color w:val="231F1F"/>
          <w:w w:val="110"/>
        </w:rPr>
        <w:t>de</w:t>
      </w:r>
      <w:r>
        <w:rPr>
          <w:color w:val="231F1F"/>
          <w:spacing w:val="-15"/>
          <w:w w:val="110"/>
        </w:rPr>
        <w:t> </w:t>
      </w:r>
      <w:r>
        <w:rPr>
          <w:color w:val="231F1F"/>
          <w:w w:val="110"/>
        </w:rPr>
        <w:t>evidencia</w:t>
      </w:r>
      <w:r>
        <w:rPr>
          <w:color w:val="231F1F"/>
          <w:spacing w:val="-15"/>
          <w:w w:val="110"/>
        </w:rPr>
        <w:t> </w:t>
      </w:r>
      <w:r>
        <w:rPr>
          <w:color w:val="231F1F"/>
          <w:w w:val="110"/>
        </w:rPr>
        <w:t>en el anexo del Informe de Avalia-t (8)).</w:t>
      </w:r>
    </w:p>
    <w:p>
      <w:pPr>
        <w:pStyle w:val="BodyText"/>
        <w:spacing w:before="138"/>
        <w:ind w:left="283" w:right="1367" w:firstLine="453"/>
        <w:jc w:val="both"/>
      </w:pPr>
      <w:r>
        <w:rPr>
          <w:color w:val="231F1F"/>
          <w:w w:val="110"/>
        </w:rPr>
        <w:t>La</w:t>
      </w:r>
      <w:r>
        <w:rPr>
          <w:color w:val="231F1F"/>
          <w:spacing w:val="-1"/>
          <w:w w:val="110"/>
        </w:rPr>
        <w:t> </w:t>
      </w:r>
      <w:r>
        <w:rPr>
          <w:color w:val="231F1F"/>
          <w:w w:val="110"/>
        </w:rPr>
        <w:t>RS</w:t>
      </w:r>
      <w:r>
        <w:rPr>
          <w:color w:val="231F1F"/>
          <w:spacing w:val="-1"/>
          <w:w w:val="110"/>
        </w:rPr>
        <w:t> </w:t>
      </w:r>
      <w:r>
        <w:rPr>
          <w:color w:val="231F1F"/>
          <w:w w:val="110"/>
        </w:rPr>
        <w:t>(11)</w:t>
      </w:r>
      <w:r>
        <w:rPr>
          <w:color w:val="231F1F"/>
          <w:spacing w:val="-1"/>
          <w:w w:val="110"/>
        </w:rPr>
        <w:t> </w:t>
      </w:r>
      <w:r>
        <w:rPr>
          <w:color w:val="231F1F"/>
          <w:w w:val="110"/>
        </w:rPr>
        <w:t>incluía</w:t>
      </w:r>
      <w:r>
        <w:rPr>
          <w:color w:val="231F1F"/>
          <w:spacing w:val="-1"/>
          <w:w w:val="110"/>
        </w:rPr>
        <w:t> </w:t>
      </w:r>
      <w:r>
        <w:rPr>
          <w:color w:val="231F1F"/>
          <w:w w:val="110"/>
        </w:rPr>
        <w:t>137</w:t>
      </w:r>
      <w:r>
        <w:rPr>
          <w:color w:val="231F1F"/>
          <w:spacing w:val="-1"/>
          <w:w w:val="110"/>
        </w:rPr>
        <w:t> </w:t>
      </w:r>
      <w:r>
        <w:rPr>
          <w:color w:val="231F1F"/>
          <w:w w:val="110"/>
        </w:rPr>
        <w:t>estudios</w:t>
      </w:r>
      <w:r>
        <w:rPr>
          <w:color w:val="231F1F"/>
          <w:spacing w:val="-1"/>
          <w:w w:val="110"/>
        </w:rPr>
        <w:t> </w:t>
      </w:r>
      <w:r>
        <w:rPr>
          <w:color w:val="231F1F"/>
          <w:w w:val="110"/>
        </w:rPr>
        <w:t>que</w:t>
      </w:r>
      <w:r>
        <w:rPr>
          <w:color w:val="231F1F"/>
          <w:spacing w:val="-1"/>
          <w:w w:val="110"/>
        </w:rPr>
        <w:t> </w:t>
      </w:r>
      <w:r>
        <w:rPr>
          <w:color w:val="231F1F"/>
          <w:w w:val="110"/>
        </w:rPr>
        <w:t>mostraban variaciones</w:t>
      </w:r>
      <w:r>
        <w:rPr>
          <w:color w:val="231F1F"/>
          <w:spacing w:val="-1"/>
          <w:w w:val="110"/>
        </w:rPr>
        <w:t> </w:t>
      </w:r>
      <w:r>
        <w:rPr>
          <w:color w:val="231F1F"/>
          <w:w w:val="110"/>
        </w:rPr>
        <w:t>tanto</w:t>
      </w:r>
      <w:r>
        <w:rPr>
          <w:color w:val="231F1F"/>
          <w:spacing w:val="-1"/>
          <w:w w:val="110"/>
        </w:rPr>
        <w:t> </w:t>
      </w:r>
      <w:r>
        <w:rPr>
          <w:color w:val="231F1F"/>
          <w:w w:val="110"/>
        </w:rPr>
        <w:t>en</w:t>
      </w:r>
      <w:r>
        <w:rPr>
          <w:color w:val="231F1F"/>
          <w:spacing w:val="-1"/>
          <w:w w:val="110"/>
        </w:rPr>
        <w:t> </w:t>
      </w:r>
      <w:r>
        <w:rPr>
          <w:color w:val="231F1F"/>
          <w:w w:val="110"/>
        </w:rPr>
        <w:t>la </w:t>
      </w:r>
      <w:r>
        <w:rPr>
          <w:color w:val="231F1F"/>
          <w:spacing w:val="-2"/>
          <w:w w:val="110"/>
        </w:rPr>
        <w:t>metodología</w:t>
      </w:r>
      <w:r>
        <w:rPr>
          <w:color w:val="231F1F"/>
          <w:spacing w:val="-7"/>
          <w:w w:val="110"/>
        </w:rPr>
        <w:t> </w:t>
      </w:r>
      <w:r>
        <w:rPr>
          <w:color w:val="231F1F"/>
          <w:spacing w:val="-2"/>
          <w:w w:val="110"/>
        </w:rPr>
        <w:t>como</w:t>
      </w:r>
      <w:r>
        <w:rPr>
          <w:color w:val="231F1F"/>
          <w:spacing w:val="-7"/>
          <w:w w:val="110"/>
        </w:rPr>
        <w:t> </w:t>
      </w:r>
      <w:r>
        <w:rPr>
          <w:color w:val="231F1F"/>
          <w:spacing w:val="-2"/>
          <w:w w:val="110"/>
        </w:rPr>
        <w:t>en</w:t>
      </w:r>
      <w:r>
        <w:rPr>
          <w:color w:val="231F1F"/>
          <w:spacing w:val="-7"/>
          <w:w w:val="110"/>
        </w:rPr>
        <w:t> </w:t>
      </w:r>
      <w:r>
        <w:rPr>
          <w:color w:val="231F1F"/>
          <w:spacing w:val="-2"/>
          <w:w w:val="110"/>
        </w:rPr>
        <w:t>el</w:t>
      </w:r>
      <w:r>
        <w:rPr>
          <w:color w:val="231F1F"/>
          <w:spacing w:val="-7"/>
          <w:w w:val="110"/>
        </w:rPr>
        <w:t> </w:t>
      </w:r>
      <w:r>
        <w:rPr>
          <w:color w:val="231F1F"/>
          <w:spacing w:val="-2"/>
          <w:w w:val="110"/>
        </w:rPr>
        <w:t>análisis</w:t>
      </w:r>
      <w:r>
        <w:rPr>
          <w:color w:val="231F1F"/>
          <w:spacing w:val="-7"/>
          <w:w w:val="110"/>
        </w:rPr>
        <w:t> </w:t>
      </w:r>
      <w:r>
        <w:rPr>
          <w:color w:val="231F1F"/>
          <w:spacing w:val="-2"/>
          <w:w w:val="110"/>
        </w:rPr>
        <w:t>empleado.</w:t>
      </w:r>
      <w:r>
        <w:rPr>
          <w:color w:val="231F1F"/>
          <w:spacing w:val="-7"/>
          <w:w w:val="110"/>
        </w:rPr>
        <w:t> </w:t>
      </w:r>
      <w:r>
        <w:rPr>
          <w:color w:val="231F1F"/>
          <w:spacing w:val="-2"/>
          <w:w w:val="110"/>
        </w:rPr>
        <w:t>Aún</w:t>
      </w:r>
      <w:r>
        <w:rPr>
          <w:color w:val="231F1F"/>
          <w:spacing w:val="-7"/>
          <w:w w:val="110"/>
        </w:rPr>
        <w:t> </w:t>
      </w:r>
      <w:r>
        <w:rPr>
          <w:color w:val="231F1F"/>
          <w:spacing w:val="-2"/>
          <w:w w:val="110"/>
        </w:rPr>
        <w:t>así,</w:t>
      </w:r>
      <w:r>
        <w:rPr>
          <w:color w:val="231F1F"/>
          <w:spacing w:val="-7"/>
          <w:w w:val="110"/>
        </w:rPr>
        <w:t> </w:t>
      </w:r>
      <w:r>
        <w:rPr>
          <w:color w:val="231F1F"/>
          <w:spacing w:val="-2"/>
          <w:w w:val="110"/>
        </w:rPr>
        <w:t>se</w:t>
      </w:r>
      <w:r>
        <w:rPr>
          <w:color w:val="231F1F"/>
          <w:spacing w:val="-7"/>
          <w:w w:val="110"/>
        </w:rPr>
        <w:t> </w:t>
      </w:r>
      <w:r>
        <w:rPr>
          <w:color w:val="231F1F"/>
          <w:spacing w:val="-2"/>
          <w:w w:val="110"/>
        </w:rPr>
        <w:t>identificó</w:t>
      </w:r>
      <w:r>
        <w:rPr>
          <w:color w:val="231F1F"/>
          <w:spacing w:val="-7"/>
          <w:w w:val="110"/>
        </w:rPr>
        <w:t> </w:t>
      </w:r>
      <w:r>
        <w:rPr>
          <w:color w:val="231F1F"/>
          <w:spacing w:val="-2"/>
          <w:w w:val="110"/>
        </w:rPr>
        <w:t>que</w:t>
      </w:r>
      <w:r>
        <w:rPr>
          <w:color w:val="231F1F"/>
          <w:spacing w:val="-7"/>
          <w:w w:val="110"/>
        </w:rPr>
        <w:t> </w:t>
      </w:r>
      <w:r>
        <w:rPr>
          <w:color w:val="231F1F"/>
          <w:spacing w:val="-2"/>
          <w:w w:val="110"/>
        </w:rPr>
        <w:t>la</w:t>
      </w:r>
      <w:r>
        <w:rPr>
          <w:color w:val="231F1F"/>
          <w:spacing w:val="-7"/>
          <w:w w:val="110"/>
        </w:rPr>
        <w:t> </w:t>
      </w:r>
      <w:r>
        <w:rPr>
          <w:color w:val="231F1F"/>
          <w:spacing w:val="-2"/>
          <w:w w:val="110"/>
        </w:rPr>
        <w:t>rela- </w:t>
      </w:r>
      <w:r>
        <w:rPr>
          <w:color w:val="231F1F"/>
          <w:w w:val="110"/>
        </w:rPr>
        <w:t>ción</w:t>
      </w:r>
      <w:r>
        <w:rPr>
          <w:color w:val="231F1F"/>
          <w:spacing w:val="-16"/>
          <w:w w:val="110"/>
        </w:rPr>
        <w:t> </w:t>
      </w:r>
      <w:r>
        <w:rPr>
          <w:color w:val="231F1F"/>
          <w:w w:val="110"/>
        </w:rPr>
        <w:t>entre</w:t>
      </w:r>
      <w:r>
        <w:rPr>
          <w:color w:val="231F1F"/>
          <w:spacing w:val="-15"/>
          <w:w w:val="110"/>
        </w:rPr>
        <w:t> </w:t>
      </w:r>
      <w:r>
        <w:rPr>
          <w:color w:val="231F1F"/>
          <w:w w:val="110"/>
        </w:rPr>
        <w:t>la</w:t>
      </w:r>
      <w:r>
        <w:rPr>
          <w:color w:val="231F1F"/>
          <w:spacing w:val="-15"/>
          <w:w w:val="110"/>
        </w:rPr>
        <w:t> </w:t>
      </w:r>
      <w:r>
        <w:rPr>
          <w:color w:val="231F1F"/>
          <w:w w:val="110"/>
        </w:rPr>
        <w:t>mujer</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persona</w:t>
      </w:r>
      <w:r>
        <w:rPr>
          <w:color w:val="231F1F"/>
          <w:spacing w:val="-15"/>
          <w:w w:val="110"/>
        </w:rPr>
        <w:t> </w:t>
      </w:r>
      <w:r>
        <w:rPr>
          <w:color w:val="231F1F"/>
          <w:w w:val="110"/>
        </w:rPr>
        <w:t>que</w:t>
      </w:r>
      <w:r>
        <w:rPr>
          <w:color w:val="231F1F"/>
          <w:spacing w:val="-15"/>
          <w:w w:val="110"/>
        </w:rPr>
        <w:t> </w:t>
      </w:r>
      <w:r>
        <w:rPr>
          <w:color w:val="231F1F"/>
          <w:w w:val="110"/>
        </w:rPr>
        <w:t>atiende</w:t>
      </w:r>
      <w:r>
        <w:rPr>
          <w:color w:val="231F1F"/>
          <w:spacing w:val="-16"/>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tiene</w:t>
      </w:r>
      <w:r>
        <w:rPr>
          <w:color w:val="231F1F"/>
          <w:spacing w:val="-15"/>
          <w:w w:val="110"/>
        </w:rPr>
        <w:t> </w:t>
      </w:r>
      <w:r>
        <w:rPr>
          <w:color w:val="231F1F"/>
          <w:w w:val="110"/>
        </w:rPr>
        <w:t>una</w:t>
      </w:r>
      <w:r>
        <w:rPr>
          <w:color w:val="231F1F"/>
          <w:spacing w:val="-15"/>
          <w:w w:val="110"/>
        </w:rPr>
        <w:t> </w:t>
      </w:r>
      <w:r>
        <w:rPr>
          <w:color w:val="231F1F"/>
          <w:w w:val="110"/>
        </w:rPr>
        <w:t>fuerte</w:t>
      </w:r>
      <w:r>
        <w:rPr>
          <w:color w:val="231F1F"/>
          <w:spacing w:val="-15"/>
          <w:w w:val="110"/>
        </w:rPr>
        <w:t> </w:t>
      </w:r>
      <w:r>
        <w:rPr>
          <w:color w:val="231F1F"/>
          <w:w w:val="110"/>
        </w:rPr>
        <w:t>influen- cia sobre la experiencia de las mujeres.</w:t>
      </w:r>
    </w:p>
    <w:p>
      <w:pPr>
        <w:pStyle w:val="BodyText"/>
        <w:spacing w:after="0"/>
        <w:jc w:val="both"/>
        <w:sectPr>
          <w:pgSz w:w="11900" w:h="16840"/>
          <w:pgMar w:header="0" w:footer="622" w:top="1500" w:bottom="820" w:left="1417" w:right="1559"/>
        </w:sectPr>
      </w:pPr>
    </w:p>
    <w:p>
      <w:pPr>
        <w:pStyle w:val="BodyText"/>
        <w:tabs>
          <w:tab w:pos="7870" w:val="left" w:leader="none"/>
          <w:tab w:pos="8088" w:val="left" w:leader="none"/>
          <w:tab w:pos="8309" w:val="right" w:leader="none"/>
        </w:tabs>
        <w:spacing w:line="232" w:lineRule="auto" w:before="74"/>
        <w:ind w:left="283" w:right="254" w:firstLine="446"/>
        <w:rPr>
          <w:rFonts w:ascii="Arial MT" w:hAnsi="Arial MT"/>
          <w:position w:val="10"/>
          <w:sz w:val="18"/>
        </w:rPr>
      </w:pPr>
      <w:r>
        <w:rPr>
          <w:color w:val="231F1F"/>
          <w:w w:val="105"/>
        </w:rPr>
        <w:t>En resumen, lo más destacado por las mujeres fue el hecho de ser trata-</w:t>
      </w:r>
      <w:r>
        <w:rPr>
          <w:color w:val="231F1F"/>
        </w:rPr>
        <w:tab/>
        <w:tab/>
      </w:r>
      <w:r>
        <w:rPr>
          <w:rFonts w:ascii="Arial MT" w:hAnsi="Arial MT"/>
          <w:color w:val="231F1F"/>
          <w:spacing w:val="-6"/>
          <w:w w:val="105"/>
          <w:sz w:val="18"/>
        </w:rPr>
        <w:t>RS</w:t>
      </w:r>
      <w:r>
        <w:rPr>
          <w:rFonts w:ascii="Arial MT" w:hAnsi="Arial MT"/>
          <w:color w:val="231F1F"/>
          <w:spacing w:val="40"/>
          <w:w w:val="105"/>
          <w:sz w:val="18"/>
        </w:rPr>
        <w:t> </w:t>
      </w:r>
      <w:r>
        <w:rPr>
          <w:color w:val="231F1F"/>
          <w:w w:val="105"/>
        </w:rPr>
        <w:t>das</w:t>
      </w:r>
      <w:r>
        <w:rPr>
          <w:color w:val="231F1F"/>
          <w:spacing w:val="36"/>
          <w:w w:val="105"/>
        </w:rPr>
        <w:t> </w:t>
      </w:r>
      <w:r>
        <w:rPr>
          <w:color w:val="231F1F"/>
          <w:w w:val="105"/>
        </w:rPr>
        <w:t>de</w:t>
      </w:r>
      <w:r>
        <w:rPr>
          <w:color w:val="231F1F"/>
          <w:spacing w:val="36"/>
          <w:w w:val="105"/>
        </w:rPr>
        <w:t> </w:t>
      </w:r>
      <w:r>
        <w:rPr>
          <w:color w:val="231F1F"/>
          <w:w w:val="105"/>
        </w:rPr>
        <w:t>manera</w:t>
      </w:r>
      <w:r>
        <w:rPr>
          <w:color w:val="231F1F"/>
          <w:spacing w:val="36"/>
          <w:w w:val="105"/>
        </w:rPr>
        <w:t> </w:t>
      </w:r>
      <w:r>
        <w:rPr>
          <w:color w:val="231F1F"/>
          <w:w w:val="105"/>
        </w:rPr>
        <w:t>individualizada,</w:t>
      </w:r>
      <w:r>
        <w:rPr>
          <w:color w:val="231F1F"/>
          <w:spacing w:val="36"/>
          <w:w w:val="105"/>
        </w:rPr>
        <w:t> </w:t>
      </w:r>
      <w:r>
        <w:rPr>
          <w:color w:val="231F1F"/>
          <w:w w:val="105"/>
        </w:rPr>
        <w:t>con</w:t>
      </w:r>
      <w:r>
        <w:rPr>
          <w:color w:val="231F1F"/>
          <w:spacing w:val="36"/>
          <w:w w:val="105"/>
        </w:rPr>
        <w:t> </w:t>
      </w:r>
      <w:r>
        <w:rPr>
          <w:color w:val="231F1F"/>
          <w:w w:val="105"/>
        </w:rPr>
        <w:t>respeto</w:t>
      </w:r>
      <w:r>
        <w:rPr>
          <w:color w:val="231F1F"/>
          <w:spacing w:val="36"/>
          <w:w w:val="105"/>
        </w:rPr>
        <w:t> </w:t>
      </w:r>
      <w:r>
        <w:rPr>
          <w:color w:val="231F1F"/>
          <w:w w:val="105"/>
        </w:rPr>
        <w:t>y</w:t>
      </w:r>
      <w:r>
        <w:rPr>
          <w:color w:val="231F1F"/>
          <w:spacing w:val="36"/>
          <w:w w:val="105"/>
        </w:rPr>
        <w:t> </w:t>
      </w:r>
      <w:r>
        <w:rPr>
          <w:color w:val="231F1F"/>
          <w:w w:val="105"/>
        </w:rPr>
        <w:t>afecto.</w:t>
      </w:r>
      <w:r>
        <w:rPr>
          <w:color w:val="231F1F"/>
          <w:spacing w:val="36"/>
          <w:w w:val="105"/>
        </w:rPr>
        <w:t> </w:t>
      </w:r>
      <w:r>
        <w:rPr>
          <w:color w:val="231F1F"/>
          <w:w w:val="105"/>
        </w:rPr>
        <w:t>En</w:t>
      </w:r>
      <w:r>
        <w:rPr>
          <w:color w:val="231F1F"/>
          <w:spacing w:val="36"/>
          <w:w w:val="105"/>
        </w:rPr>
        <w:t> </w:t>
      </w:r>
      <w:r>
        <w:rPr>
          <w:color w:val="231F1F"/>
          <w:w w:val="105"/>
        </w:rPr>
        <w:t>segundo</w:t>
      </w:r>
      <w:r>
        <w:rPr>
          <w:color w:val="231F1F"/>
          <w:spacing w:val="36"/>
          <w:w w:val="105"/>
        </w:rPr>
        <w:t> </w:t>
      </w:r>
      <w:r>
        <w:rPr>
          <w:color w:val="231F1F"/>
          <w:w w:val="105"/>
        </w:rPr>
        <w:t>lugar,</w:t>
      </w:r>
      <w:r>
        <w:rPr>
          <w:color w:val="231F1F"/>
          <w:spacing w:val="36"/>
          <w:w w:val="105"/>
        </w:rPr>
        <w:t> </w:t>
      </w:r>
      <w:r>
        <w:rPr>
          <w:color w:val="231F1F"/>
          <w:w w:val="105"/>
        </w:rPr>
        <w:t>la</w:t>
      </w:r>
      <w:r>
        <w:rPr>
          <w:color w:val="231F1F"/>
          <w:spacing w:val="80"/>
          <w:w w:val="105"/>
        </w:rPr>
        <w:t> </w:t>
      </w:r>
      <w:r>
        <w:rPr>
          <w:rFonts w:ascii="Arial MT" w:hAnsi="Arial MT"/>
          <w:color w:val="231F1F"/>
          <w:w w:val="105"/>
          <w:position w:val="3"/>
          <w:sz w:val="18"/>
        </w:rPr>
        <w:t>E.</w:t>
      </w:r>
      <w:r>
        <w:rPr>
          <w:rFonts w:ascii="Arial MT" w:hAnsi="Arial MT"/>
          <w:color w:val="231F1F"/>
          <w:spacing w:val="-12"/>
          <w:w w:val="105"/>
          <w:position w:val="3"/>
          <w:sz w:val="18"/>
        </w:rPr>
        <w:t> </w:t>
      </w:r>
      <w:r>
        <w:rPr>
          <w:rFonts w:ascii="Arial MT" w:hAnsi="Arial MT"/>
          <w:color w:val="231F1F"/>
          <w:w w:val="105"/>
          <w:position w:val="3"/>
          <w:sz w:val="18"/>
        </w:rPr>
        <w:t>Observa- </w:t>
      </w:r>
      <w:r>
        <w:rPr>
          <w:color w:val="231F1F"/>
          <w:w w:val="105"/>
        </w:rPr>
        <w:t>mayoría necesitaba información y la interpretación de dicha información para</w:t>
      </w:r>
      <w:r>
        <w:rPr>
          <w:color w:val="231F1F"/>
        </w:rPr>
        <w:tab/>
      </w:r>
      <w:r>
        <w:rPr>
          <w:rFonts w:ascii="Arial MT" w:hAnsi="Arial MT"/>
          <w:color w:val="231F1F"/>
          <w:spacing w:val="-2"/>
          <w:w w:val="105"/>
          <w:position w:val="2"/>
          <w:sz w:val="18"/>
        </w:rPr>
        <w:t>cionales </w:t>
      </w:r>
      <w:r>
        <w:rPr>
          <w:color w:val="231F1F"/>
          <w:w w:val="105"/>
        </w:rPr>
        <w:t>sentirse guiadas y apoyadas a lo largo del parto. Los estudios presentaban los</w:t>
      </w:r>
      <w:r>
        <w:rPr>
          <w:color w:val="231F1F"/>
        </w:rPr>
        <w:tab/>
        <w:tab/>
        <w:tab/>
      </w:r>
      <w:r>
        <w:rPr>
          <w:rFonts w:ascii="Arial MT" w:hAnsi="Arial MT"/>
          <w:color w:val="231F1F"/>
          <w:spacing w:val="-10"/>
          <w:w w:val="90"/>
          <w:position w:val="10"/>
          <w:sz w:val="18"/>
        </w:rPr>
        <w:t>3</w:t>
      </w:r>
    </w:p>
    <w:p>
      <w:pPr>
        <w:pStyle w:val="BodyText"/>
        <w:spacing w:line="242" w:lineRule="auto" w:before="10"/>
        <w:ind w:left="283" w:right="1366"/>
        <w:jc w:val="both"/>
      </w:pPr>
      <w:r>
        <w:rPr>
          <w:color w:val="231F1F"/>
          <w:w w:val="105"/>
        </w:rPr>
        <w:t>resultados</w:t>
      </w:r>
      <w:r>
        <w:rPr>
          <w:color w:val="231F1F"/>
          <w:w w:val="105"/>
        </w:rPr>
        <w:t> en</w:t>
      </w:r>
      <w:r>
        <w:rPr>
          <w:color w:val="231F1F"/>
          <w:w w:val="105"/>
        </w:rPr>
        <w:t> forma</w:t>
      </w:r>
      <w:r>
        <w:rPr>
          <w:color w:val="231F1F"/>
          <w:w w:val="105"/>
        </w:rPr>
        <w:t> de</w:t>
      </w:r>
      <w:r>
        <w:rPr>
          <w:color w:val="231F1F"/>
          <w:w w:val="105"/>
        </w:rPr>
        <w:t> una</w:t>
      </w:r>
      <w:r>
        <w:rPr>
          <w:color w:val="231F1F"/>
          <w:w w:val="105"/>
        </w:rPr>
        <w:t> lista</w:t>
      </w:r>
      <w:r>
        <w:rPr>
          <w:color w:val="231F1F"/>
          <w:w w:val="105"/>
        </w:rPr>
        <w:t> de</w:t>
      </w:r>
      <w:r>
        <w:rPr>
          <w:color w:val="231F1F"/>
          <w:w w:val="105"/>
        </w:rPr>
        <w:t> palabras</w:t>
      </w:r>
      <w:r>
        <w:rPr>
          <w:color w:val="231F1F"/>
          <w:w w:val="105"/>
        </w:rPr>
        <w:t> utilizadas</w:t>
      </w:r>
      <w:r>
        <w:rPr>
          <w:color w:val="231F1F"/>
          <w:w w:val="105"/>
        </w:rPr>
        <w:t> por</w:t>
      </w:r>
      <w:r>
        <w:rPr>
          <w:color w:val="231F1F"/>
          <w:w w:val="105"/>
        </w:rPr>
        <w:t> las</w:t>
      </w:r>
      <w:r>
        <w:rPr>
          <w:color w:val="231F1F"/>
          <w:w w:val="105"/>
        </w:rPr>
        <w:t> mujeres</w:t>
      </w:r>
      <w:r>
        <w:rPr>
          <w:color w:val="231F1F"/>
          <w:w w:val="105"/>
        </w:rPr>
        <w:t> para describir tanto a las matronas como los sentimientos implicados en una expe- riencia positiva del parto. Estas palabras fueron: afecto, consideración, com- prensión,</w:t>
      </w:r>
      <w:r>
        <w:rPr>
          <w:color w:val="231F1F"/>
          <w:w w:val="105"/>
        </w:rPr>
        <w:t> competencia</w:t>
      </w:r>
      <w:r>
        <w:rPr>
          <w:color w:val="231F1F"/>
          <w:w w:val="105"/>
        </w:rPr>
        <w:t> profesional,</w:t>
      </w:r>
      <w:r>
        <w:rPr>
          <w:color w:val="231F1F"/>
          <w:w w:val="105"/>
        </w:rPr>
        <w:t> confianza,</w:t>
      </w:r>
      <w:r>
        <w:rPr>
          <w:color w:val="231F1F"/>
          <w:w w:val="105"/>
        </w:rPr>
        <w:t> empatía,</w:t>
      </w:r>
      <w:r>
        <w:rPr>
          <w:color w:val="231F1F"/>
          <w:w w:val="105"/>
        </w:rPr>
        <w:t> ternura,</w:t>
      </w:r>
      <w:r>
        <w:rPr>
          <w:color w:val="231F1F"/>
          <w:w w:val="105"/>
        </w:rPr>
        <w:t> amabilidad, amigable/amigabilidad,</w:t>
      </w:r>
      <w:r>
        <w:rPr>
          <w:color w:val="231F1F"/>
          <w:w w:val="105"/>
        </w:rPr>
        <w:t> tranquilidad,</w:t>
      </w:r>
      <w:r>
        <w:rPr>
          <w:color w:val="231F1F"/>
          <w:w w:val="105"/>
        </w:rPr>
        <w:t> atención,</w:t>
      </w:r>
      <w:r>
        <w:rPr>
          <w:color w:val="231F1F"/>
          <w:w w:val="105"/>
        </w:rPr>
        <w:t> pacífico,</w:t>
      </w:r>
      <w:r>
        <w:rPr>
          <w:color w:val="231F1F"/>
          <w:w w:val="105"/>
        </w:rPr>
        <w:t> especialización</w:t>
      </w:r>
      <w:r>
        <w:rPr>
          <w:color w:val="231F1F"/>
          <w:w w:val="105"/>
        </w:rPr>
        <w:t> pro- fesional y pausado.</w:t>
      </w:r>
    </w:p>
    <w:p>
      <w:pPr>
        <w:pStyle w:val="BodyText"/>
        <w:spacing w:before="60"/>
        <w:ind w:left="283" w:right="1371" w:firstLine="453"/>
        <w:jc w:val="both"/>
      </w:pPr>
      <w:r>
        <w:rPr>
          <w:color w:val="231F1F"/>
        </w:rPr>
        <w:t>Las mujeres quieren recibir información y ayuda, para ser participes del </w:t>
      </w:r>
      <w:r>
        <w:rPr>
          <w:color w:val="231F1F"/>
          <w:w w:val="110"/>
        </w:rPr>
        <w:t>proceso y sentirse seguras.</w:t>
      </w:r>
    </w:p>
    <w:p>
      <w:pPr>
        <w:pStyle w:val="BodyText"/>
        <w:spacing w:before="210"/>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5"/>
          <w:sz w:val="24"/>
        </w:rPr>
        <w:t> </w:t>
      </w:r>
      <w:r>
        <w:rPr>
          <w:rFonts w:ascii="Arial MT" w:hAnsi="Arial MT"/>
          <w:color w:val="231F1F"/>
          <w:sz w:val="24"/>
        </w:rPr>
        <w:t>(2006</w:t>
      </w:r>
      <w:r>
        <w:rPr>
          <w:rFonts w:ascii="Arial MT" w:hAnsi="Arial MT"/>
          <w:color w:val="231F1F"/>
          <w:spacing w:val="17"/>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abril</w:t>
      </w:r>
      <w:r>
        <w:rPr>
          <w:rFonts w:ascii="Arial MT" w:hAnsi="Arial MT"/>
          <w:color w:val="231F1F"/>
          <w:spacing w:val="17"/>
          <w:sz w:val="24"/>
        </w:rPr>
        <w:t> </w:t>
      </w:r>
      <w:r>
        <w:rPr>
          <w:rFonts w:ascii="Arial MT" w:hAnsi="Arial MT"/>
          <w:color w:val="231F1F"/>
          <w:spacing w:val="-2"/>
          <w:sz w:val="24"/>
        </w:rPr>
        <w:t>2008)</w:t>
      </w:r>
    </w:p>
    <w:p>
      <w:pPr>
        <w:pStyle w:val="BodyText"/>
        <w:spacing w:line="244" w:lineRule="auto" w:before="205"/>
        <w:ind w:left="283" w:right="1369"/>
        <w:jc w:val="both"/>
      </w:pP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búsqueda</w:t>
      </w:r>
      <w:r>
        <w:rPr>
          <w:color w:val="231F1F"/>
          <w:spacing w:val="-12"/>
          <w:w w:val="110"/>
        </w:rPr>
        <w:t> </w:t>
      </w:r>
      <w:r>
        <w:rPr>
          <w:color w:val="231F1F"/>
          <w:w w:val="110"/>
        </w:rPr>
        <w:t>bibliográfica</w:t>
      </w:r>
      <w:r>
        <w:rPr>
          <w:color w:val="231F1F"/>
          <w:spacing w:val="-13"/>
          <w:w w:val="110"/>
        </w:rPr>
        <w:t> </w:t>
      </w:r>
      <w:r>
        <w:rPr>
          <w:color w:val="231F1F"/>
          <w:w w:val="110"/>
        </w:rPr>
        <w:t>se</w:t>
      </w:r>
      <w:r>
        <w:rPr>
          <w:color w:val="231F1F"/>
          <w:spacing w:val="-12"/>
          <w:w w:val="110"/>
        </w:rPr>
        <w:t> </w:t>
      </w:r>
      <w:r>
        <w:rPr>
          <w:color w:val="231F1F"/>
          <w:w w:val="110"/>
        </w:rPr>
        <w:t>han</w:t>
      </w:r>
      <w:r>
        <w:rPr>
          <w:color w:val="231F1F"/>
          <w:spacing w:val="-12"/>
          <w:w w:val="110"/>
        </w:rPr>
        <w:t> </w:t>
      </w:r>
      <w:r>
        <w:rPr>
          <w:color w:val="231F1F"/>
          <w:w w:val="110"/>
        </w:rPr>
        <w:t>encontrado</w:t>
      </w:r>
      <w:r>
        <w:rPr>
          <w:color w:val="231F1F"/>
          <w:spacing w:val="-12"/>
          <w:w w:val="110"/>
        </w:rPr>
        <w:t> </w:t>
      </w:r>
      <w:r>
        <w:rPr>
          <w:color w:val="231F1F"/>
          <w:w w:val="110"/>
        </w:rPr>
        <w:t>siete</w:t>
      </w:r>
      <w:r>
        <w:rPr>
          <w:color w:val="231F1F"/>
          <w:spacing w:val="-12"/>
          <w:w w:val="110"/>
        </w:rPr>
        <w:t> </w:t>
      </w:r>
      <w:r>
        <w:rPr>
          <w:color w:val="231F1F"/>
          <w:w w:val="110"/>
        </w:rPr>
        <w:t>estudios</w:t>
      </w:r>
      <w:r>
        <w:rPr>
          <w:color w:val="231F1F"/>
          <w:spacing w:val="-12"/>
          <w:w w:val="110"/>
        </w:rPr>
        <w:t> </w:t>
      </w:r>
      <w:r>
        <w:rPr>
          <w:color w:val="231F1F"/>
          <w:w w:val="110"/>
        </w:rPr>
        <w:t>que</w:t>
      </w:r>
      <w:r>
        <w:rPr>
          <w:color w:val="231F1F"/>
          <w:spacing w:val="-12"/>
          <w:w w:val="110"/>
        </w:rPr>
        <w:t> </w:t>
      </w:r>
      <w:r>
        <w:rPr>
          <w:color w:val="231F1F"/>
          <w:w w:val="110"/>
        </w:rPr>
        <w:t>finalmen- te</w:t>
      </w:r>
      <w:r>
        <w:rPr>
          <w:color w:val="231F1F"/>
          <w:spacing w:val="-9"/>
          <w:w w:val="110"/>
        </w:rPr>
        <w:t> </w:t>
      </w:r>
      <w:r>
        <w:rPr>
          <w:color w:val="231F1F"/>
          <w:w w:val="110"/>
        </w:rPr>
        <w:t>no</w:t>
      </w:r>
      <w:r>
        <w:rPr>
          <w:color w:val="231F1F"/>
          <w:spacing w:val="-8"/>
          <w:w w:val="110"/>
        </w:rPr>
        <w:t> </w:t>
      </w:r>
      <w:r>
        <w:rPr>
          <w:color w:val="231F1F"/>
          <w:w w:val="110"/>
        </w:rPr>
        <w:t>fueron</w:t>
      </w:r>
      <w:r>
        <w:rPr>
          <w:color w:val="231F1F"/>
          <w:spacing w:val="-8"/>
          <w:w w:val="110"/>
        </w:rPr>
        <w:t> </w:t>
      </w:r>
      <w:r>
        <w:rPr>
          <w:color w:val="231F1F"/>
          <w:w w:val="110"/>
        </w:rPr>
        <w:t>seleccionados</w:t>
      </w:r>
      <w:r>
        <w:rPr>
          <w:color w:val="231F1F"/>
          <w:spacing w:val="-9"/>
          <w:w w:val="110"/>
        </w:rPr>
        <w:t> </w:t>
      </w:r>
      <w:r>
        <w:rPr>
          <w:color w:val="231F1F"/>
          <w:w w:val="110"/>
        </w:rPr>
        <w:t>por</w:t>
      </w:r>
      <w:r>
        <w:rPr>
          <w:color w:val="231F1F"/>
          <w:spacing w:val="-9"/>
          <w:w w:val="110"/>
        </w:rPr>
        <w:t> </w:t>
      </w:r>
      <w:r>
        <w:rPr>
          <w:color w:val="231F1F"/>
          <w:w w:val="110"/>
        </w:rPr>
        <w:t>no</w:t>
      </w:r>
      <w:r>
        <w:rPr>
          <w:color w:val="231F1F"/>
          <w:spacing w:val="-8"/>
          <w:w w:val="110"/>
        </w:rPr>
        <w:t> </w:t>
      </w:r>
      <w:r>
        <w:rPr>
          <w:color w:val="231F1F"/>
          <w:w w:val="110"/>
        </w:rPr>
        <w:t>cumplir</w:t>
      </w:r>
      <w:r>
        <w:rPr>
          <w:color w:val="231F1F"/>
          <w:spacing w:val="-9"/>
          <w:w w:val="110"/>
        </w:rPr>
        <w:t> </w:t>
      </w:r>
      <w:r>
        <w:rPr>
          <w:color w:val="231F1F"/>
          <w:w w:val="110"/>
        </w:rPr>
        <w:t>los</w:t>
      </w:r>
      <w:r>
        <w:rPr>
          <w:color w:val="231F1F"/>
          <w:spacing w:val="-9"/>
          <w:w w:val="110"/>
        </w:rPr>
        <w:t> </w:t>
      </w:r>
      <w:r>
        <w:rPr>
          <w:color w:val="231F1F"/>
          <w:w w:val="110"/>
        </w:rPr>
        <w:t>criterios</w:t>
      </w:r>
      <w:r>
        <w:rPr>
          <w:color w:val="231F1F"/>
          <w:spacing w:val="-9"/>
          <w:w w:val="110"/>
        </w:rPr>
        <w:t> </w:t>
      </w:r>
      <w:r>
        <w:rPr>
          <w:color w:val="231F1F"/>
          <w:w w:val="110"/>
        </w:rPr>
        <w:t>de</w:t>
      </w:r>
      <w:r>
        <w:rPr>
          <w:color w:val="231F1F"/>
          <w:spacing w:val="-9"/>
          <w:w w:val="110"/>
        </w:rPr>
        <w:t> </w:t>
      </w:r>
      <w:r>
        <w:rPr>
          <w:color w:val="231F1F"/>
          <w:w w:val="110"/>
        </w:rPr>
        <w:t>inclusión</w:t>
      </w:r>
      <w:r>
        <w:rPr>
          <w:color w:val="231F1F"/>
          <w:spacing w:val="-8"/>
          <w:w w:val="110"/>
        </w:rPr>
        <w:t> </w:t>
      </w:r>
      <w:r>
        <w:rPr>
          <w:color w:val="231F1F"/>
          <w:w w:val="110"/>
        </w:rPr>
        <w:t>estable- </w:t>
      </w:r>
      <w:r>
        <w:rPr>
          <w:color w:val="231F1F"/>
          <w:spacing w:val="-2"/>
          <w:w w:val="110"/>
        </w:rPr>
        <w:t>cidos.</w:t>
      </w:r>
    </w:p>
    <w:p>
      <w:pPr>
        <w:pStyle w:val="BodyText"/>
        <w:spacing w:line="254" w:lineRule="auto" w:before="162"/>
        <w:ind w:left="283" w:right="1369" w:firstLine="453"/>
        <w:jc w:val="both"/>
      </w:pPr>
      <w:r>
        <w:rPr>
          <w:color w:val="231F1F"/>
        </w:rPr>
        <w:t>Por ello, la evidencia, amplia en volumen pero con un nivel de evidencia bajo,</w:t>
      </w:r>
      <w:r>
        <w:rPr>
          <w:color w:val="231F1F"/>
          <w:spacing w:val="40"/>
        </w:rPr>
        <w:t> </w:t>
      </w:r>
      <w:r>
        <w:rPr>
          <w:color w:val="231F1F"/>
        </w:rPr>
        <w:t>es</w:t>
      </w:r>
      <w:r>
        <w:rPr>
          <w:color w:val="231F1F"/>
          <w:spacing w:val="40"/>
        </w:rPr>
        <w:t> </w:t>
      </w:r>
      <w:r>
        <w:rPr>
          <w:color w:val="231F1F"/>
        </w:rPr>
        <w:t>aportada</w:t>
      </w:r>
      <w:r>
        <w:rPr>
          <w:color w:val="231F1F"/>
          <w:spacing w:val="40"/>
        </w:rPr>
        <w:t> </w:t>
      </w:r>
      <w:r>
        <w:rPr>
          <w:color w:val="231F1F"/>
        </w:rPr>
        <w:t>por</w:t>
      </w:r>
      <w:r>
        <w:rPr>
          <w:color w:val="231F1F"/>
          <w:spacing w:val="40"/>
        </w:rPr>
        <w:t> </w:t>
      </w:r>
      <w:r>
        <w:rPr>
          <w:color w:val="231F1F"/>
        </w:rPr>
        <w:t>la</w:t>
      </w:r>
      <w:r>
        <w:rPr>
          <w:color w:val="231F1F"/>
          <w:spacing w:val="40"/>
        </w:rPr>
        <w:t> </w:t>
      </w:r>
      <w:r>
        <w:rPr>
          <w:color w:val="231F1F"/>
        </w:rPr>
        <w:t>guía</w:t>
      </w:r>
      <w:r>
        <w:rPr>
          <w:color w:val="231F1F"/>
          <w:spacing w:val="40"/>
        </w:rPr>
        <w:t> </w:t>
      </w:r>
      <w:r>
        <w:rPr>
          <w:color w:val="231F1F"/>
        </w:rPr>
        <w:t>NICE</w:t>
      </w:r>
      <w:r>
        <w:rPr>
          <w:color w:val="231F1F"/>
          <w:spacing w:val="40"/>
        </w:rPr>
        <w:t> </w:t>
      </w:r>
      <w:r>
        <w:rPr>
          <w:color w:val="231F1F"/>
        </w:rPr>
        <w:t>(10).</w:t>
      </w:r>
    </w:p>
    <w:p>
      <w:pPr>
        <w:pStyle w:val="BodyText"/>
        <w:spacing w:line="249" w:lineRule="auto" w:before="131"/>
        <w:ind w:left="283" w:right="1363" w:firstLine="453"/>
        <w:jc w:val="both"/>
      </w:pPr>
      <w:r>
        <w:rPr>
          <w:color w:val="231F1F"/>
          <w:w w:val="105"/>
        </w:rPr>
        <w:t>En</w:t>
      </w:r>
      <w:r>
        <w:rPr>
          <w:color w:val="231F1F"/>
          <w:w w:val="105"/>
        </w:rPr>
        <w:t> resumen,</w:t>
      </w:r>
      <w:r>
        <w:rPr>
          <w:color w:val="231F1F"/>
          <w:w w:val="105"/>
        </w:rPr>
        <w:t> se</w:t>
      </w:r>
      <w:r>
        <w:rPr>
          <w:color w:val="231F1F"/>
          <w:w w:val="105"/>
        </w:rPr>
        <w:t> han</w:t>
      </w:r>
      <w:r>
        <w:rPr>
          <w:color w:val="231F1F"/>
          <w:w w:val="105"/>
        </w:rPr>
        <w:t> encontrado</w:t>
      </w:r>
      <w:r>
        <w:rPr>
          <w:color w:val="231F1F"/>
          <w:w w:val="105"/>
        </w:rPr>
        <w:t> estudios</w:t>
      </w:r>
      <w:r>
        <w:rPr>
          <w:color w:val="231F1F"/>
          <w:w w:val="105"/>
        </w:rPr>
        <w:t> descriptivos</w:t>
      </w:r>
      <w:r>
        <w:rPr>
          <w:color w:val="231F1F"/>
          <w:w w:val="105"/>
        </w:rPr>
        <w:t> que</w:t>
      </w:r>
      <w:r>
        <w:rPr>
          <w:color w:val="231F1F"/>
          <w:w w:val="105"/>
        </w:rPr>
        <w:t> analizan</w:t>
      </w:r>
      <w:r>
        <w:rPr>
          <w:color w:val="231F1F"/>
          <w:w w:val="105"/>
        </w:rPr>
        <w:t> la percepción</w:t>
      </w:r>
      <w:r>
        <w:rPr>
          <w:color w:val="231F1F"/>
          <w:spacing w:val="-6"/>
          <w:w w:val="105"/>
        </w:rPr>
        <w:t> </w:t>
      </w:r>
      <w:r>
        <w:rPr>
          <w:color w:val="231F1F"/>
          <w:w w:val="105"/>
        </w:rPr>
        <w:t>y</w:t>
      </w:r>
      <w:r>
        <w:rPr>
          <w:color w:val="231F1F"/>
          <w:spacing w:val="-5"/>
          <w:w w:val="105"/>
        </w:rPr>
        <w:t> </w:t>
      </w:r>
      <w:r>
        <w:rPr>
          <w:color w:val="231F1F"/>
          <w:w w:val="105"/>
        </w:rPr>
        <w:t>valoración</w:t>
      </w:r>
      <w:r>
        <w:rPr>
          <w:color w:val="231F1F"/>
          <w:spacing w:val="-6"/>
          <w:w w:val="105"/>
        </w:rPr>
        <w:t> </w:t>
      </w:r>
      <w:r>
        <w:rPr>
          <w:color w:val="231F1F"/>
          <w:w w:val="105"/>
        </w:rPr>
        <w:t>de</w:t>
      </w:r>
      <w:r>
        <w:rPr>
          <w:color w:val="231F1F"/>
          <w:spacing w:val="-5"/>
          <w:w w:val="105"/>
        </w:rPr>
        <w:t> </w:t>
      </w:r>
      <w:r>
        <w:rPr>
          <w:color w:val="231F1F"/>
          <w:w w:val="105"/>
        </w:rPr>
        <w:t>las</w:t>
      </w:r>
      <w:r>
        <w:rPr>
          <w:color w:val="231F1F"/>
          <w:spacing w:val="-5"/>
          <w:w w:val="105"/>
        </w:rPr>
        <w:t> </w:t>
      </w:r>
      <w:r>
        <w:rPr>
          <w:color w:val="231F1F"/>
          <w:w w:val="105"/>
        </w:rPr>
        <w:t>mujeres</w:t>
      </w:r>
      <w:r>
        <w:rPr>
          <w:color w:val="231F1F"/>
          <w:spacing w:val="-5"/>
          <w:w w:val="105"/>
        </w:rPr>
        <w:t> </w:t>
      </w:r>
      <w:r>
        <w:rPr>
          <w:color w:val="231F1F"/>
          <w:w w:val="105"/>
        </w:rPr>
        <w:t>sobre</w:t>
      </w:r>
      <w:r>
        <w:rPr>
          <w:color w:val="231F1F"/>
          <w:spacing w:val="-6"/>
          <w:w w:val="105"/>
        </w:rPr>
        <w:t> </w:t>
      </w:r>
      <w:r>
        <w:rPr>
          <w:color w:val="231F1F"/>
          <w:w w:val="105"/>
        </w:rPr>
        <w:t>su</w:t>
      </w:r>
      <w:r>
        <w:rPr>
          <w:color w:val="231F1F"/>
          <w:spacing w:val="-5"/>
          <w:w w:val="105"/>
        </w:rPr>
        <w:t> </w:t>
      </w:r>
      <w:r>
        <w:rPr>
          <w:color w:val="231F1F"/>
          <w:w w:val="105"/>
        </w:rPr>
        <w:t>relación</w:t>
      </w:r>
      <w:r>
        <w:rPr>
          <w:color w:val="231F1F"/>
          <w:spacing w:val="-5"/>
          <w:w w:val="105"/>
        </w:rPr>
        <w:t> </w:t>
      </w:r>
      <w:r>
        <w:rPr>
          <w:color w:val="231F1F"/>
          <w:w w:val="105"/>
        </w:rPr>
        <w:t>con</w:t>
      </w:r>
      <w:r>
        <w:rPr>
          <w:color w:val="231F1F"/>
          <w:spacing w:val="-5"/>
          <w:w w:val="105"/>
        </w:rPr>
        <w:t> </w:t>
      </w:r>
      <w:r>
        <w:rPr>
          <w:color w:val="231F1F"/>
          <w:w w:val="105"/>
        </w:rPr>
        <w:t>los</w:t>
      </w:r>
      <w:r>
        <w:rPr>
          <w:color w:val="231F1F"/>
          <w:spacing w:val="-5"/>
          <w:w w:val="105"/>
        </w:rPr>
        <w:t> </w:t>
      </w:r>
      <w:r>
        <w:rPr>
          <w:color w:val="231F1F"/>
          <w:w w:val="105"/>
        </w:rPr>
        <w:t>profesionales. No</w:t>
      </w:r>
      <w:r>
        <w:rPr>
          <w:color w:val="231F1F"/>
          <w:w w:val="105"/>
        </w:rPr>
        <w:t> se</w:t>
      </w:r>
      <w:r>
        <w:rPr>
          <w:color w:val="231F1F"/>
          <w:w w:val="105"/>
        </w:rPr>
        <w:t> han</w:t>
      </w:r>
      <w:r>
        <w:rPr>
          <w:color w:val="231F1F"/>
          <w:w w:val="105"/>
        </w:rPr>
        <w:t> encontrado</w:t>
      </w:r>
      <w:r>
        <w:rPr>
          <w:color w:val="231F1F"/>
          <w:w w:val="105"/>
        </w:rPr>
        <w:t> estudios</w:t>
      </w:r>
      <w:r>
        <w:rPr>
          <w:color w:val="231F1F"/>
          <w:w w:val="105"/>
        </w:rPr>
        <w:t> que</w:t>
      </w:r>
      <w:r>
        <w:rPr>
          <w:color w:val="231F1F"/>
          <w:w w:val="105"/>
        </w:rPr>
        <w:t> investiguen</w:t>
      </w:r>
      <w:r>
        <w:rPr>
          <w:color w:val="231F1F"/>
          <w:w w:val="105"/>
        </w:rPr>
        <w:t> como</w:t>
      </w:r>
      <w:r>
        <w:rPr>
          <w:color w:val="231F1F"/>
          <w:w w:val="105"/>
        </w:rPr>
        <w:t> influye</w:t>
      </w:r>
      <w:r>
        <w:rPr>
          <w:color w:val="231F1F"/>
          <w:w w:val="105"/>
        </w:rPr>
        <w:t> dicha</w:t>
      </w:r>
      <w:r>
        <w:rPr>
          <w:color w:val="231F1F"/>
          <w:w w:val="105"/>
        </w:rPr>
        <w:t> relación</w:t>
      </w:r>
      <w:r>
        <w:rPr>
          <w:color w:val="231F1F"/>
          <w:spacing w:val="80"/>
          <w:w w:val="105"/>
        </w:rPr>
        <w:t> </w:t>
      </w:r>
      <w:r>
        <w:rPr>
          <w:color w:val="231F1F"/>
          <w:w w:val="105"/>
        </w:rPr>
        <w:t>en la propia evolución del parto.</w:t>
      </w:r>
    </w:p>
    <w:p>
      <w:pPr>
        <w:pStyle w:val="BodyText"/>
        <w:spacing w:before="128"/>
        <w:ind w:left="736"/>
        <w:jc w:val="both"/>
      </w:pPr>
      <w:r>
        <w:rPr>
          <w:color w:val="231F1F"/>
          <w:w w:val="110"/>
        </w:rPr>
        <w:t>Ver</w:t>
      </w:r>
      <w:r>
        <w:rPr>
          <w:color w:val="231F1F"/>
          <w:spacing w:val="-12"/>
          <w:w w:val="110"/>
        </w:rPr>
        <w:t> </w:t>
      </w:r>
      <w:r>
        <w:rPr>
          <w:color w:val="231F1F"/>
          <w:w w:val="110"/>
        </w:rPr>
        <w:t>Anexo</w:t>
      </w:r>
      <w:r>
        <w:rPr>
          <w:color w:val="231F1F"/>
          <w:spacing w:val="-10"/>
          <w:w w:val="110"/>
        </w:rPr>
        <w:t> 2</w:t>
      </w:r>
    </w:p>
    <w:p>
      <w:pPr>
        <w:pStyle w:val="BodyText"/>
        <w:spacing w:before="213"/>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38" w:hRule="atLeast"/>
        </w:trPr>
        <w:tc>
          <w:tcPr>
            <w:tcW w:w="7373" w:type="dxa"/>
          </w:tcPr>
          <w:p>
            <w:pPr>
              <w:pStyle w:val="TableParagraph"/>
              <w:spacing w:line="254" w:lineRule="auto" w:before="44"/>
              <w:ind w:right="138"/>
              <w:jc w:val="both"/>
              <w:rPr>
                <w:sz w:val="22"/>
              </w:rPr>
            </w:pPr>
            <w:r>
              <w:rPr>
                <w:color w:val="231F1F"/>
                <w:w w:val="105"/>
                <w:sz w:val="22"/>
              </w:rPr>
              <w:t>La relación entre la mujer y la persona que atiende el parto, tiene una fuer-</w:t>
            </w:r>
            <w:r>
              <w:rPr>
                <w:color w:val="231F1F"/>
                <w:spacing w:val="40"/>
                <w:w w:val="105"/>
                <w:sz w:val="22"/>
              </w:rPr>
              <w:t> </w:t>
            </w:r>
            <w:r>
              <w:rPr>
                <w:color w:val="231F1F"/>
                <w:w w:val="105"/>
                <w:sz w:val="22"/>
              </w:rPr>
              <w:t>te</w:t>
            </w:r>
            <w:r>
              <w:rPr>
                <w:color w:val="231F1F"/>
                <w:w w:val="105"/>
                <w:sz w:val="22"/>
              </w:rPr>
              <w:t> influencia</w:t>
            </w:r>
            <w:r>
              <w:rPr>
                <w:color w:val="231F1F"/>
                <w:w w:val="105"/>
                <w:sz w:val="22"/>
              </w:rPr>
              <w:t> sobre</w:t>
            </w:r>
            <w:r>
              <w:rPr>
                <w:color w:val="231F1F"/>
                <w:w w:val="105"/>
                <w:sz w:val="22"/>
              </w:rPr>
              <w:t> su</w:t>
            </w:r>
            <w:r>
              <w:rPr>
                <w:color w:val="231F1F"/>
                <w:w w:val="105"/>
                <w:sz w:val="22"/>
              </w:rPr>
              <w:t> experiencia</w:t>
            </w:r>
            <w:r>
              <w:rPr>
                <w:color w:val="231F1F"/>
                <w:w w:val="105"/>
                <w:sz w:val="22"/>
              </w:rPr>
              <w:t> en</w:t>
            </w:r>
            <w:r>
              <w:rPr>
                <w:color w:val="231F1F"/>
                <w:w w:val="105"/>
                <w:sz w:val="22"/>
              </w:rPr>
              <w:t> el</w:t>
            </w:r>
            <w:r>
              <w:rPr>
                <w:color w:val="231F1F"/>
                <w:w w:val="105"/>
                <w:sz w:val="22"/>
              </w:rPr>
              <w:t> parto.</w:t>
            </w:r>
            <w:r>
              <w:rPr>
                <w:color w:val="231F1F"/>
                <w:w w:val="105"/>
                <w:sz w:val="22"/>
              </w:rPr>
              <w:t> Las</w:t>
            </w:r>
            <w:r>
              <w:rPr>
                <w:color w:val="231F1F"/>
                <w:w w:val="105"/>
                <w:sz w:val="22"/>
              </w:rPr>
              <w:t> mujeres</w:t>
            </w:r>
            <w:r>
              <w:rPr>
                <w:color w:val="231F1F"/>
                <w:w w:val="105"/>
                <w:sz w:val="22"/>
              </w:rPr>
              <w:t> consideran</w:t>
            </w:r>
            <w:r>
              <w:rPr>
                <w:color w:val="231F1F"/>
                <w:w w:val="105"/>
                <w:sz w:val="22"/>
              </w:rPr>
              <w:t> el hecho</w:t>
            </w:r>
            <w:r>
              <w:rPr>
                <w:color w:val="231F1F"/>
                <w:spacing w:val="-1"/>
                <w:w w:val="105"/>
                <w:sz w:val="22"/>
              </w:rPr>
              <w:t> </w:t>
            </w:r>
            <w:r>
              <w:rPr>
                <w:color w:val="231F1F"/>
                <w:w w:val="105"/>
                <w:sz w:val="22"/>
              </w:rPr>
              <w:t>de ser</w:t>
            </w:r>
            <w:r>
              <w:rPr>
                <w:color w:val="231F1F"/>
                <w:spacing w:val="-1"/>
                <w:w w:val="105"/>
                <w:sz w:val="22"/>
              </w:rPr>
              <w:t> </w:t>
            </w:r>
            <w:r>
              <w:rPr>
                <w:color w:val="231F1F"/>
                <w:w w:val="105"/>
                <w:sz w:val="22"/>
              </w:rPr>
              <w:t>tratadas de</w:t>
            </w:r>
            <w:r>
              <w:rPr>
                <w:color w:val="231F1F"/>
                <w:spacing w:val="-1"/>
                <w:w w:val="105"/>
                <w:sz w:val="22"/>
              </w:rPr>
              <w:t> </w:t>
            </w:r>
            <w:r>
              <w:rPr>
                <w:color w:val="231F1F"/>
                <w:w w:val="105"/>
                <w:sz w:val="22"/>
              </w:rPr>
              <w:t>manera individualizada, con</w:t>
            </w:r>
            <w:r>
              <w:rPr>
                <w:color w:val="231F1F"/>
                <w:spacing w:val="-1"/>
                <w:w w:val="105"/>
                <w:sz w:val="22"/>
              </w:rPr>
              <w:t> </w:t>
            </w:r>
            <w:r>
              <w:rPr>
                <w:color w:val="231F1F"/>
                <w:w w:val="105"/>
                <w:sz w:val="22"/>
              </w:rPr>
              <w:t>respeto y afecto lo más importante (11).</w:t>
            </w:r>
          </w:p>
        </w:tc>
        <w:tc>
          <w:tcPr>
            <w:tcW w:w="1133" w:type="dxa"/>
          </w:tcPr>
          <w:p>
            <w:pPr>
              <w:pStyle w:val="TableParagraph"/>
              <w:spacing w:before="227"/>
              <w:ind w:left="0"/>
              <w:rPr>
                <w:rFonts w:ascii="Arial MT"/>
                <w:sz w:val="22"/>
              </w:rPr>
            </w:pPr>
          </w:p>
          <w:p>
            <w:pPr>
              <w:pStyle w:val="TableParagraph"/>
              <w:spacing w:before="1"/>
              <w:ind w:left="49"/>
              <w:jc w:val="center"/>
              <w:rPr>
                <w:sz w:val="22"/>
              </w:rPr>
            </w:pPr>
            <w:r>
              <w:rPr>
                <w:color w:val="231F1F"/>
                <w:spacing w:val="-10"/>
                <w:sz w:val="22"/>
              </w:rPr>
              <w:t>3</w:t>
            </w:r>
          </w:p>
        </w:tc>
      </w:tr>
    </w:tbl>
    <w:p>
      <w:pPr>
        <w:pStyle w:val="BodyText"/>
        <w:spacing w:before="156"/>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2082" w:hRule="atLeast"/>
        </w:trPr>
        <w:tc>
          <w:tcPr>
            <w:tcW w:w="456" w:type="dxa"/>
          </w:tcPr>
          <w:p>
            <w:pPr>
              <w:pStyle w:val="TableParagraph"/>
              <w:ind w:left="0"/>
              <w:rPr>
                <w:rFonts w:ascii="Arial MT"/>
                <w:sz w:val="22"/>
              </w:rPr>
            </w:pPr>
          </w:p>
          <w:p>
            <w:pPr>
              <w:pStyle w:val="TableParagraph"/>
              <w:ind w:left="0"/>
              <w:rPr>
                <w:rFonts w:ascii="Arial MT"/>
                <w:sz w:val="22"/>
              </w:rPr>
            </w:pPr>
          </w:p>
          <w:p>
            <w:pPr>
              <w:pStyle w:val="TableParagraph"/>
              <w:spacing w:before="120"/>
              <w:ind w:left="0"/>
              <w:rPr>
                <w:rFonts w:ascii="Arial MT"/>
                <w:sz w:val="22"/>
              </w:rPr>
            </w:pPr>
          </w:p>
          <w:p>
            <w:pPr>
              <w:pStyle w:val="TableParagraph"/>
              <w:ind w:left="143"/>
              <w:rPr>
                <w:sz w:val="22"/>
              </w:rPr>
            </w:pPr>
            <w:r>
              <w:rPr>
                <w:color w:val="231F1F"/>
                <w:spacing w:val="-10"/>
                <w:w w:val="115"/>
                <w:sz w:val="22"/>
              </w:rPr>
              <w:t>D</w:t>
            </w:r>
          </w:p>
        </w:tc>
        <w:tc>
          <w:tcPr>
            <w:tcW w:w="8050" w:type="dxa"/>
          </w:tcPr>
          <w:p>
            <w:pPr>
              <w:pStyle w:val="TableParagraph"/>
              <w:spacing w:line="247" w:lineRule="auto" w:before="49"/>
              <w:ind w:right="81"/>
              <w:jc w:val="both"/>
              <w:rPr>
                <w:sz w:val="22"/>
              </w:rPr>
            </w:pPr>
            <w:r>
              <w:rPr>
                <w:color w:val="231F1F"/>
                <w:spacing w:val="-2"/>
                <w:w w:val="110"/>
                <w:sz w:val="22"/>
              </w:rPr>
              <w:t>Las</w:t>
            </w:r>
            <w:r>
              <w:rPr>
                <w:color w:val="231F1F"/>
                <w:spacing w:val="-10"/>
                <w:w w:val="110"/>
                <w:sz w:val="22"/>
              </w:rPr>
              <w:t> </w:t>
            </w:r>
            <w:r>
              <w:rPr>
                <w:color w:val="231F1F"/>
                <w:spacing w:val="-2"/>
                <w:w w:val="110"/>
                <w:sz w:val="22"/>
              </w:rPr>
              <w:t>mujeres</w:t>
            </w:r>
            <w:r>
              <w:rPr>
                <w:color w:val="231F1F"/>
                <w:spacing w:val="-9"/>
                <w:w w:val="110"/>
                <w:sz w:val="22"/>
              </w:rPr>
              <w:t> </w:t>
            </w:r>
            <w:r>
              <w:rPr>
                <w:color w:val="231F1F"/>
                <w:spacing w:val="-2"/>
                <w:w w:val="110"/>
                <w:sz w:val="22"/>
              </w:rPr>
              <w:t>en</w:t>
            </w:r>
            <w:r>
              <w:rPr>
                <w:color w:val="231F1F"/>
                <w:spacing w:val="-9"/>
                <w:w w:val="110"/>
                <w:sz w:val="22"/>
              </w:rPr>
              <w:t> </w:t>
            </w:r>
            <w:r>
              <w:rPr>
                <w:color w:val="231F1F"/>
                <w:spacing w:val="-2"/>
                <w:w w:val="110"/>
                <w:sz w:val="22"/>
              </w:rPr>
              <w:t>trabajo</w:t>
            </w:r>
            <w:r>
              <w:rPr>
                <w:color w:val="231F1F"/>
                <w:spacing w:val="-9"/>
                <w:w w:val="110"/>
                <w:sz w:val="22"/>
              </w:rPr>
              <w:t> </w:t>
            </w:r>
            <w:r>
              <w:rPr>
                <w:color w:val="231F1F"/>
                <w:spacing w:val="-2"/>
                <w:w w:val="110"/>
                <w:sz w:val="22"/>
              </w:rPr>
              <w:t>de</w:t>
            </w:r>
            <w:r>
              <w:rPr>
                <w:color w:val="231F1F"/>
                <w:spacing w:val="-9"/>
                <w:w w:val="110"/>
                <w:sz w:val="22"/>
              </w:rPr>
              <w:t> </w:t>
            </w:r>
            <w:r>
              <w:rPr>
                <w:color w:val="231F1F"/>
                <w:spacing w:val="-2"/>
                <w:w w:val="110"/>
                <w:sz w:val="22"/>
              </w:rPr>
              <w:t>parto</w:t>
            </w:r>
            <w:r>
              <w:rPr>
                <w:color w:val="231F1F"/>
                <w:spacing w:val="-9"/>
                <w:w w:val="110"/>
                <w:sz w:val="22"/>
              </w:rPr>
              <w:t> </w:t>
            </w:r>
            <w:r>
              <w:rPr>
                <w:color w:val="231F1F"/>
                <w:spacing w:val="-2"/>
                <w:w w:val="110"/>
                <w:sz w:val="22"/>
              </w:rPr>
              <w:t>deben</w:t>
            </w:r>
            <w:r>
              <w:rPr>
                <w:color w:val="231F1F"/>
                <w:spacing w:val="-9"/>
                <w:w w:val="110"/>
                <w:sz w:val="22"/>
              </w:rPr>
              <w:t> </w:t>
            </w:r>
            <w:r>
              <w:rPr>
                <w:color w:val="231F1F"/>
                <w:spacing w:val="-2"/>
                <w:w w:val="110"/>
                <w:sz w:val="22"/>
              </w:rPr>
              <w:t>ser</w:t>
            </w:r>
            <w:r>
              <w:rPr>
                <w:color w:val="231F1F"/>
                <w:spacing w:val="-10"/>
                <w:w w:val="110"/>
                <w:sz w:val="22"/>
              </w:rPr>
              <w:t> </w:t>
            </w:r>
            <w:r>
              <w:rPr>
                <w:color w:val="231F1F"/>
                <w:spacing w:val="-2"/>
                <w:w w:val="110"/>
                <w:sz w:val="22"/>
              </w:rPr>
              <w:t>tratadas</w:t>
            </w:r>
            <w:r>
              <w:rPr>
                <w:color w:val="231F1F"/>
                <w:spacing w:val="-9"/>
                <w:w w:val="110"/>
                <w:sz w:val="22"/>
              </w:rPr>
              <w:t> </w:t>
            </w:r>
            <w:r>
              <w:rPr>
                <w:color w:val="231F1F"/>
                <w:spacing w:val="-2"/>
                <w:w w:val="110"/>
                <w:sz w:val="22"/>
              </w:rPr>
              <w:t>con</w:t>
            </w:r>
            <w:r>
              <w:rPr>
                <w:color w:val="231F1F"/>
                <w:spacing w:val="-9"/>
                <w:w w:val="110"/>
                <w:sz w:val="22"/>
              </w:rPr>
              <w:t> </w:t>
            </w:r>
            <w:r>
              <w:rPr>
                <w:color w:val="231F1F"/>
                <w:spacing w:val="-2"/>
                <w:w w:val="110"/>
                <w:sz w:val="22"/>
              </w:rPr>
              <w:t>el</w:t>
            </w:r>
            <w:r>
              <w:rPr>
                <w:color w:val="231F1F"/>
                <w:spacing w:val="-10"/>
                <w:w w:val="110"/>
                <w:sz w:val="22"/>
              </w:rPr>
              <w:t> </w:t>
            </w:r>
            <w:r>
              <w:rPr>
                <w:color w:val="231F1F"/>
                <w:spacing w:val="-2"/>
                <w:w w:val="110"/>
                <w:sz w:val="22"/>
              </w:rPr>
              <w:t>máximo</w:t>
            </w:r>
            <w:r>
              <w:rPr>
                <w:color w:val="231F1F"/>
                <w:spacing w:val="-9"/>
                <w:w w:val="110"/>
                <w:sz w:val="22"/>
              </w:rPr>
              <w:t> </w:t>
            </w:r>
            <w:r>
              <w:rPr>
                <w:color w:val="231F1F"/>
                <w:spacing w:val="-2"/>
                <w:w w:val="110"/>
                <w:sz w:val="22"/>
              </w:rPr>
              <w:t>respeto,</w:t>
            </w:r>
            <w:r>
              <w:rPr>
                <w:color w:val="231F1F"/>
                <w:spacing w:val="-10"/>
                <w:w w:val="110"/>
                <w:sz w:val="22"/>
              </w:rPr>
              <w:t> </w:t>
            </w:r>
            <w:r>
              <w:rPr>
                <w:color w:val="231F1F"/>
                <w:spacing w:val="-2"/>
                <w:w w:val="110"/>
                <w:sz w:val="22"/>
              </w:rPr>
              <w:t>disponer </w:t>
            </w:r>
            <w:r>
              <w:rPr>
                <w:color w:val="231F1F"/>
                <w:w w:val="110"/>
                <w:sz w:val="22"/>
              </w:rPr>
              <w:t>de toda la información y estar implicadas en la toma de decisiones. Para facilitar esto, los profesionales sanitarios y el resto del personal que le atienden, deberán </w:t>
            </w:r>
            <w:r>
              <w:rPr>
                <w:color w:val="231F1F"/>
                <w:spacing w:val="-2"/>
                <w:w w:val="110"/>
                <w:sz w:val="22"/>
              </w:rPr>
              <w:t>establecer</w:t>
            </w:r>
            <w:r>
              <w:rPr>
                <w:color w:val="231F1F"/>
                <w:spacing w:val="-10"/>
                <w:w w:val="110"/>
                <w:sz w:val="22"/>
              </w:rPr>
              <w:t> </w:t>
            </w:r>
            <w:r>
              <w:rPr>
                <w:color w:val="231F1F"/>
                <w:spacing w:val="-2"/>
                <w:w w:val="110"/>
                <w:sz w:val="22"/>
              </w:rPr>
              <w:t>una</w:t>
            </w:r>
            <w:r>
              <w:rPr>
                <w:color w:val="231F1F"/>
                <w:spacing w:val="-10"/>
                <w:w w:val="110"/>
                <w:sz w:val="22"/>
              </w:rPr>
              <w:t> </w:t>
            </w:r>
            <w:r>
              <w:rPr>
                <w:color w:val="231F1F"/>
                <w:spacing w:val="-2"/>
                <w:w w:val="110"/>
                <w:sz w:val="22"/>
              </w:rPr>
              <w:t>relación</w:t>
            </w:r>
            <w:r>
              <w:rPr>
                <w:color w:val="231F1F"/>
                <w:spacing w:val="-10"/>
                <w:w w:val="110"/>
                <w:sz w:val="22"/>
              </w:rPr>
              <w:t> </w:t>
            </w:r>
            <w:r>
              <w:rPr>
                <w:color w:val="231F1F"/>
                <w:spacing w:val="-2"/>
                <w:w w:val="110"/>
                <w:sz w:val="22"/>
              </w:rPr>
              <w:t>empática</w:t>
            </w:r>
            <w:r>
              <w:rPr>
                <w:color w:val="231F1F"/>
                <w:spacing w:val="-10"/>
                <w:w w:val="110"/>
                <w:sz w:val="22"/>
              </w:rPr>
              <w:t> </w:t>
            </w:r>
            <w:r>
              <w:rPr>
                <w:color w:val="231F1F"/>
                <w:spacing w:val="-2"/>
                <w:w w:val="110"/>
                <w:sz w:val="22"/>
              </w:rPr>
              <w:t>con</w:t>
            </w:r>
            <w:r>
              <w:rPr>
                <w:color w:val="231F1F"/>
                <w:spacing w:val="-10"/>
                <w:w w:val="110"/>
                <w:sz w:val="22"/>
              </w:rPr>
              <w:t> </w:t>
            </w:r>
            <w:r>
              <w:rPr>
                <w:color w:val="231F1F"/>
                <w:spacing w:val="-2"/>
                <w:w w:val="110"/>
                <w:sz w:val="22"/>
              </w:rPr>
              <w:t>las</w:t>
            </w:r>
            <w:r>
              <w:rPr>
                <w:color w:val="231F1F"/>
                <w:spacing w:val="-10"/>
                <w:w w:val="110"/>
                <w:sz w:val="22"/>
              </w:rPr>
              <w:t> </w:t>
            </w:r>
            <w:r>
              <w:rPr>
                <w:color w:val="231F1F"/>
                <w:spacing w:val="-2"/>
                <w:w w:val="110"/>
                <w:sz w:val="22"/>
              </w:rPr>
              <w:t>mujeres,</w:t>
            </w:r>
            <w:r>
              <w:rPr>
                <w:color w:val="231F1F"/>
                <w:spacing w:val="-10"/>
                <w:w w:val="110"/>
                <w:sz w:val="22"/>
              </w:rPr>
              <w:t> </w:t>
            </w:r>
            <w:r>
              <w:rPr>
                <w:color w:val="231F1F"/>
                <w:spacing w:val="-2"/>
                <w:w w:val="110"/>
                <w:sz w:val="22"/>
              </w:rPr>
              <w:t>preguntarles</w:t>
            </w:r>
            <w:r>
              <w:rPr>
                <w:color w:val="231F1F"/>
                <w:spacing w:val="-10"/>
                <w:w w:val="110"/>
                <w:sz w:val="22"/>
              </w:rPr>
              <w:t> </w:t>
            </w:r>
            <w:r>
              <w:rPr>
                <w:color w:val="231F1F"/>
                <w:spacing w:val="-2"/>
                <w:w w:val="110"/>
                <w:sz w:val="22"/>
              </w:rPr>
              <w:t>por</w:t>
            </w:r>
            <w:r>
              <w:rPr>
                <w:color w:val="231F1F"/>
                <w:spacing w:val="-10"/>
                <w:w w:val="110"/>
                <w:sz w:val="22"/>
              </w:rPr>
              <w:t> </w:t>
            </w:r>
            <w:r>
              <w:rPr>
                <w:color w:val="231F1F"/>
                <w:spacing w:val="-2"/>
                <w:w w:val="110"/>
                <w:sz w:val="22"/>
              </w:rPr>
              <w:t>sus</w:t>
            </w:r>
            <w:r>
              <w:rPr>
                <w:color w:val="231F1F"/>
                <w:spacing w:val="-10"/>
                <w:w w:val="110"/>
                <w:sz w:val="22"/>
              </w:rPr>
              <w:t> </w:t>
            </w:r>
            <w:r>
              <w:rPr>
                <w:color w:val="231F1F"/>
                <w:spacing w:val="-2"/>
                <w:w w:val="110"/>
                <w:sz w:val="22"/>
              </w:rPr>
              <w:t>expectativas </w:t>
            </w:r>
            <w:r>
              <w:rPr>
                <w:color w:val="231F1F"/>
                <w:w w:val="110"/>
                <w:sz w:val="22"/>
              </w:rPr>
              <w:t>y</w:t>
            </w:r>
            <w:r>
              <w:rPr>
                <w:color w:val="231F1F"/>
                <w:spacing w:val="-16"/>
                <w:w w:val="110"/>
                <w:sz w:val="22"/>
              </w:rPr>
              <w:t> </w:t>
            </w:r>
            <w:r>
              <w:rPr>
                <w:color w:val="231F1F"/>
                <w:w w:val="110"/>
                <w:sz w:val="22"/>
              </w:rPr>
              <w:t>por</w:t>
            </w:r>
            <w:r>
              <w:rPr>
                <w:color w:val="231F1F"/>
                <w:spacing w:val="-15"/>
                <w:w w:val="110"/>
                <w:sz w:val="22"/>
              </w:rPr>
              <w:t> </w:t>
            </w:r>
            <w:r>
              <w:rPr>
                <w:color w:val="231F1F"/>
                <w:w w:val="110"/>
                <w:sz w:val="22"/>
              </w:rPr>
              <w:t>sus</w:t>
            </w:r>
            <w:r>
              <w:rPr>
                <w:color w:val="231F1F"/>
                <w:spacing w:val="-15"/>
                <w:w w:val="110"/>
                <w:sz w:val="22"/>
              </w:rPr>
              <w:t> </w:t>
            </w:r>
            <w:r>
              <w:rPr>
                <w:color w:val="231F1F"/>
                <w:w w:val="110"/>
                <w:sz w:val="22"/>
              </w:rPr>
              <w:t>necesidades,</w:t>
            </w:r>
            <w:r>
              <w:rPr>
                <w:color w:val="231F1F"/>
                <w:spacing w:val="-15"/>
                <w:w w:val="110"/>
                <w:sz w:val="22"/>
              </w:rPr>
              <w:t> </w:t>
            </w:r>
            <w:r>
              <w:rPr>
                <w:color w:val="231F1F"/>
                <w:w w:val="110"/>
                <w:sz w:val="22"/>
              </w:rPr>
              <w:t>para</w:t>
            </w:r>
            <w:r>
              <w:rPr>
                <w:color w:val="231F1F"/>
                <w:spacing w:val="-15"/>
                <w:w w:val="110"/>
                <w:sz w:val="22"/>
              </w:rPr>
              <w:t> </w:t>
            </w:r>
            <w:r>
              <w:rPr>
                <w:color w:val="231F1F"/>
                <w:w w:val="110"/>
                <w:sz w:val="22"/>
              </w:rPr>
              <w:t>poder</w:t>
            </w:r>
            <w:r>
              <w:rPr>
                <w:color w:val="231F1F"/>
                <w:spacing w:val="-15"/>
                <w:w w:val="110"/>
                <w:sz w:val="22"/>
              </w:rPr>
              <w:t> </w:t>
            </w:r>
            <w:r>
              <w:rPr>
                <w:color w:val="231F1F"/>
                <w:w w:val="110"/>
                <w:sz w:val="22"/>
              </w:rPr>
              <w:t>apoyarlas</w:t>
            </w:r>
            <w:r>
              <w:rPr>
                <w:color w:val="231F1F"/>
                <w:spacing w:val="-15"/>
                <w:w w:val="110"/>
                <w:sz w:val="22"/>
              </w:rPr>
              <w:t> </w:t>
            </w:r>
            <w:r>
              <w:rPr>
                <w:color w:val="231F1F"/>
                <w:w w:val="110"/>
                <w:sz w:val="22"/>
              </w:rPr>
              <w:t>y</w:t>
            </w:r>
            <w:r>
              <w:rPr>
                <w:color w:val="231F1F"/>
                <w:spacing w:val="-15"/>
                <w:w w:val="110"/>
                <w:sz w:val="22"/>
              </w:rPr>
              <w:t> </w:t>
            </w:r>
            <w:r>
              <w:rPr>
                <w:color w:val="231F1F"/>
                <w:w w:val="110"/>
                <w:sz w:val="22"/>
              </w:rPr>
              <w:t>orientarlas,</w:t>
            </w:r>
            <w:r>
              <w:rPr>
                <w:color w:val="231F1F"/>
                <w:spacing w:val="-16"/>
                <w:w w:val="110"/>
                <w:sz w:val="22"/>
              </w:rPr>
              <w:t> </w:t>
            </w:r>
            <w:r>
              <w:rPr>
                <w:color w:val="231F1F"/>
                <w:w w:val="110"/>
                <w:sz w:val="22"/>
              </w:rPr>
              <w:t>siendo</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todo</w:t>
            </w:r>
            <w:r>
              <w:rPr>
                <w:color w:val="231F1F"/>
                <w:spacing w:val="-15"/>
                <w:w w:val="110"/>
                <w:sz w:val="22"/>
              </w:rPr>
              <w:t> </w:t>
            </w:r>
            <w:r>
              <w:rPr>
                <w:color w:val="231F1F"/>
                <w:w w:val="110"/>
                <w:sz w:val="22"/>
              </w:rPr>
              <w:t>momento conscientes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importancia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su</w:t>
            </w:r>
            <w:r>
              <w:rPr>
                <w:color w:val="231F1F"/>
                <w:spacing w:val="-13"/>
                <w:w w:val="110"/>
                <w:sz w:val="22"/>
              </w:rPr>
              <w:t> </w:t>
            </w:r>
            <w:r>
              <w:rPr>
                <w:color w:val="231F1F"/>
                <w:w w:val="110"/>
                <w:sz w:val="22"/>
              </w:rPr>
              <w:t>actitud,</w:t>
            </w:r>
            <w:r>
              <w:rPr>
                <w:color w:val="231F1F"/>
                <w:spacing w:val="-14"/>
                <w:w w:val="110"/>
                <w:sz w:val="22"/>
              </w:rPr>
              <w:t> </w:t>
            </w:r>
            <w:r>
              <w:rPr>
                <w:color w:val="231F1F"/>
                <w:w w:val="110"/>
                <w:sz w:val="22"/>
              </w:rPr>
              <w:t>del</w:t>
            </w:r>
            <w:r>
              <w:rPr>
                <w:color w:val="231F1F"/>
                <w:spacing w:val="-14"/>
                <w:w w:val="110"/>
                <w:sz w:val="22"/>
              </w:rPr>
              <w:t> </w:t>
            </w:r>
            <w:r>
              <w:rPr>
                <w:color w:val="231F1F"/>
                <w:w w:val="110"/>
                <w:sz w:val="22"/>
              </w:rPr>
              <w:t>tono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voz</w:t>
            </w:r>
            <w:r>
              <w:rPr>
                <w:color w:val="231F1F"/>
                <w:spacing w:val="-13"/>
                <w:w w:val="110"/>
                <w:sz w:val="22"/>
              </w:rPr>
              <w:t> </w:t>
            </w:r>
            <w:r>
              <w:rPr>
                <w:color w:val="231F1F"/>
                <w:w w:val="110"/>
                <w:sz w:val="22"/>
              </w:rPr>
              <w:t>empleado,</w:t>
            </w:r>
            <w:r>
              <w:rPr>
                <w:color w:val="231F1F"/>
                <w:spacing w:val="-14"/>
                <w:w w:val="110"/>
                <w:sz w:val="22"/>
              </w:rPr>
              <w:t> </w:t>
            </w:r>
            <w:r>
              <w:rPr>
                <w:color w:val="231F1F"/>
                <w:w w:val="110"/>
                <w:sz w:val="22"/>
              </w:rPr>
              <w:t>de</w:t>
            </w:r>
            <w:r>
              <w:rPr>
                <w:color w:val="231F1F"/>
                <w:spacing w:val="-13"/>
                <w:w w:val="110"/>
                <w:sz w:val="22"/>
              </w:rPr>
              <w:t> </w:t>
            </w:r>
            <w:r>
              <w:rPr>
                <w:color w:val="231F1F"/>
                <w:w w:val="110"/>
                <w:sz w:val="22"/>
              </w:rPr>
              <w:t>las</w:t>
            </w:r>
            <w:r>
              <w:rPr>
                <w:color w:val="231F1F"/>
                <w:spacing w:val="-13"/>
                <w:w w:val="110"/>
                <w:sz w:val="22"/>
              </w:rPr>
              <w:t> </w:t>
            </w:r>
            <w:r>
              <w:rPr>
                <w:color w:val="231F1F"/>
                <w:w w:val="110"/>
                <w:sz w:val="22"/>
              </w:rPr>
              <w:t>pala- bras utilizadas y de la forma en que se proporcionan los cuidados.</w:t>
            </w:r>
          </w:p>
        </w:tc>
      </w:tr>
    </w:tbl>
    <w:p>
      <w:pPr>
        <w:pStyle w:val="TableParagraph"/>
        <w:spacing w:after="0" w:line="247" w:lineRule="auto"/>
        <w:jc w:val="both"/>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Perfil</w:t>
      </w:r>
      <w:r>
        <w:rPr>
          <w:color w:val="231F1F"/>
          <w:spacing w:val="31"/>
        </w:rPr>
        <w:t> </w:t>
      </w:r>
      <w:r>
        <w:rPr>
          <w:color w:val="231F1F"/>
        </w:rPr>
        <w:t>de</w:t>
      </w:r>
      <w:r>
        <w:rPr>
          <w:color w:val="231F1F"/>
          <w:spacing w:val="36"/>
        </w:rPr>
        <w:t> </w:t>
      </w:r>
      <w:r>
        <w:rPr>
          <w:color w:val="231F1F"/>
          <w:spacing w:val="-2"/>
        </w:rPr>
        <w:t>profesionales</w:t>
      </w:r>
    </w:p>
    <w:p>
      <w:pPr>
        <w:pStyle w:val="BodyText"/>
        <w:spacing w:before="8"/>
        <w:rPr>
          <w:sz w:val="20"/>
        </w:rPr>
      </w:pPr>
      <w:r>
        <w:rPr>
          <w:sz w:val="20"/>
        </w:rPr>
        <mc:AlternateContent>
          <mc:Choice Requires="wps">
            <w:drawing>
              <wp:anchor distT="0" distB="0" distL="0" distR="0" allowOverlap="1" layoutInCell="1" locked="0" behindDoc="1" simplePos="0" relativeHeight="487597056">
                <wp:simplePos x="0" y="0"/>
                <wp:positionH relativeFrom="page">
                  <wp:posOffset>1082675</wp:posOffset>
                </wp:positionH>
                <wp:positionV relativeFrom="paragraph">
                  <wp:posOffset>169564</wp:posOffset>
                </wp:positionV>
                <wp:extent cx="5400040" cy="240665"/>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5400040" cy="240665"/>
                        </a:xfrm>
                        <a:prstGeom prst="rect">
                          <a:avLst/>
                        </a:prstGeom>
                        <a:ln w="6350">
                          <a:solidFill>
                            <a:srgbClr val="A30046"/>
                          </a:solidFill>
                          <a:prstDash val="solid"/>
                        </a:ln>
                      </wps:spPr>
                      <wps:txbx>
                        <w:txbxContent>
                          <w:p>
                            <w:pPr>
                              <w:pStyle w:val="BodyText"/>
                              <w:numPr>
                                <w:ilvl w:val="0"/>
                                <w:numId w:val="12"/>
                              </w:numPr>
                              <w:tabs>
                                <w:tab w:pos="322" w:val="left" w:leader="none"/>
                              </w:tabs>
                              <w:spacing w:line="240" w:lineRule="auto" w:before="43" w:after="0"/>
                              <w:ind w:left="322" w:right="0" w:hanging="218"/>
                              <w:jc w:val="left"/>
                            </w:pPr>
                            <w:r>
                              <w:rPr>
                                <w:color w:val="231F1F"/>
                              </w:rPr>
                              <w:t>¿Cómo</w:t>
                            </w:r>
                            <w:r>
                              <w:rPr>
                                <w:color w:val="231F1F"/>
                                <w:spacing w:val="23"/>
                              </w:rPr>
                              <w:t> </w:t>
                            </w:r>
                            <w:r>
                              <w:rPr>
                                <w:color w:val="231F1F"/>
                              </w:rPr>
                              <w:t>influye</w:t>
                            </w:r>
                            <w:r>
                              <w:rPr>
                                <w:color w:val="231F1F"/>
                                <w:spacing w:val="28"/>
                              </w:rPr>
                              <w:t> </w:t>
                            </w:r>
                            <w:r>
                              <w:rPr>
                                <w:color w:val="231F1F"/>
                              </w:rPr>
                              <w:t>el</w:t>
                            </w:r>
                            <w:r>
                              <w:rPr>
                                <w:color w:val="231F1F"/>
                                <w:spacing w:val="28"/>
                              </w:rPr>
                              <w:t> </w:t>
                            </w:r>
                            <w:r>
                              <w:rPr>
                                <w:color w:val="231F1F"/>
                              </w:rPr>
                              <w:t>perfil</w:t>
                            </w:r>
                            <w:r>
                              <w:rPr>
                                <w:color w:val="231F1F"/>
                                <w:spacing w:val="27"/>
                              </w:rPr>
                              <w:t> </w:t>
                            </w:r>
                            <w:r>
                              <w:rPr>
                                <w:color w:val="231F1F"/>
                              </w:rPr>
                              <w:t>del</w:t>
                            </w:r>
                            <w:r>
                              <w:rPr>
                                <w:color w:val="231F1F"/>
                                <w:spacing w:val="27"/>
                              </w:rPr>
                              <w:t> </w:t>
                            </w:r>
                            <w:r>
                              <w:rPr>
                                <w:color w:val="231F1F"/>
                              </w:rPr>
                              <w:t>profesional</w:t>
                            </w:r>
                            <w:r>
                              <w:rPr>
                                <w:color w:val="231F1F"/>
                                <w:spacing w:val="26"/>
                              </w:rPr>
                              <w:t> </w:t>
                            </w:r>
                            <w:r>
                              <w:rPr>
                                <w:color w:val="231F1F"/>
                              </w:rPr>
                              <w:t>en</w:t>
                            </w:r>
                            <w:r>
                              <w:rPr>
                                <w:color w:val="231F1F"/>
                                <w:spacing w:val="27"/>
                              </w:rPr>
                              <w:t> </w:t>
                            </w:r>
                            <w:r>
                              <w:rPr>
                                <w:color w:val="231F1F"/>
                              </w:rPr>
                              <w:t>los</w:t>
                            </w:r>
                            <w:r>
                              <w:rPr>
                                <w:color w:val="231F1F"/>
                                <w:spacing w:val="28"/>
                              </w:rPr>
                              <w:t> </w:t>
                            </w:r>
                            <w:r>
                              <w:rPr>
                                <w:color w:val="231F1F"/>
                              </w:rPr>
                              <w:t>resultados</w:t>
                            </w:r>
                            <w:r>
                              <w:rPr>
                                <w:color w:val="231F1F"/>
                                <w:spacing w:val="29"/>
                              </w:rPr>
                              <w:t> </w:t>
                            </w:r>
                            <w:r>
                              <w:rPr>
                                <w:color w:val="231F1F"/>
                              </w:rPr>
                              <w:t>del</w:t>
                            </w:r>
                            <w:r>
                              <w:rPr>
                                <w:color w:val="231F1F"/>
                                <w:spacing w:val="27"/>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351563pt;width:425.2pt;height:18.95pt;mso-position-horizontal-relative:page;mso-position-vertical-relative:paragraph;z-index:-15719424;mso-wrap-distance-left:0;mso-wrap-distance-right:0" type="#_x0000_t202" id="docshape41" filled="false" stroked="true" strokeweight=".5pt" strokecolor="#a30046">
                <v:textbox inset="0,0,0,0">
                  <w:txbxContent>
                    <w:p>
                      <w:pPr>
                        <w:pStyle w:val="BodyText"/>
                        <w:numPr>
                          <w:ilvl w:val="0"/>
                          <w:numId w:val="12"/>
                        </w:numPr>
                        <w:tabs>
                          <w:tab w:pos="322" w:val="left" w:leader="none"/>
                        </w:tabs>
                        <w:spacing w:line="240" w:lineRule="auto" w:before="43" w:after="0"/>
                        <w:ind w:left="322" w:right="0" w:hanging="218"/>
                        <w:jc w:val="left"/>
                      </w:pPr>
                      <w:r>
                        <w:rPr>
                          <w:color w:val="231F1F"/>
                        </w:rPr>
                        <w:t>¿Cómo</w:t>
                      </w:r>
                      <w:r>
                        <w:rPr>
                          <w:color w:val="231F1F"/>
                          <w:spacing w:val="23"/>
                        </w:rPr>
                        <w:t> </w:t>
                      </w:r>
                      <w:r>
                        <w:rPr>
                          <w:color w:val="231F1F"/>
                        </w:rPr>
                        <w:t>influye</w:t>
                      </w:r>
                      <w:r>
                        <w:rPr>
                          <w:color w:val="231F1F"/>
                          <w:spacing w:val="28"/>
                        </w:rPr>
                        <w:t> </w:t>
                      </w:r>
                      <w:r>
                        <w:rPr>
                          <w:color w:val="231F1F"/>
                        </w:rPr>
                        <w:t>el</w:t>
                      </w:r>
                      <w:r>
                        <w:rPr>
                          <w:color w:val="231F1F"/>
                          <w:spacing w:val="28"/>
                        </w:rPr>
                        <w:t> </w:t>
                      </w:r>
                      <w:r>
                        <w:rPr>
                          <w:color w:val="231F1F"/>
                        </w:rPr>
                        <w:t>perfil</w:t>
                      </w:r>
                      <w:r>
                        <w:rPr>
                          <w:color w:val="231F1F"/>
                          <w:spacing w:val="27"/>
                        </w:rPr>
                        <w:t> </w:t>
                      </w:r>
                      <w:r>
                        <w:rPr>
                          <w:color w:val="231F1F"/>
                        </w:rPr>
                        <w:t>del</w:t>
                      </w:r>
                      <w:r>
                        <w:rPr>
                          <w:color w:val="231F1F"/>
                          <w:spacing w:val="27"/>
                        </w:rPr>
                        <w:t> </w:t>
                      </w:r>
                      <w:r>
                        <w:rPr>
                          <w:color w:val="231F1F"/>
                        </w:rPr>
                        <w:t>profesional</w:t>
                      </w:r>
                      <w:r>
                        <w:rPr>
                          <w:color w:val="231F1F"/>
                          <w:spacing w:val="26"/>
                        </w:rPr>
                        <w:t> </w:t>
                      </w:r>
                      <w:r>
                        <w:rPr>
                          <w:color w:val="231F1F"/>
                        </w:rPr>
                        <w:t>en</w:t>
                      </w:r>
                      <w:r>
                        <w:rPr>
                          <w:color w:val="231F1F"/>
                          <w:spacing w:val="27"/>
                        </w:rPr>
                        <w:t> </w:t>
                      </w:r>
                      <w:r>
                        <w:rPr>
                          <w:color w:val="231F1F"/>
                        </w:rPr>
                        <w:t>los</w:t>
                      </w:r>
                      <w:r>
                        <w:rPr>
                          <w:color w:val="231F1F"/>
                          <w:spacing w:val="28"/>
                        </w:rPr>
                        <w:t> </w:t>
                      </w:r>
                      <w:r>
                        <w:rPr>
                          <w:color w:val="231F1F"/>
                        </w:rPr>
                        <w:t>resultados</w:t>
                      </w:r>
                      <w:r>
                        <w:rPr>
                          <w:color w:val="231F1F"/>
                          <w:spacing w:val="29"/>
                        </w:rPr>
                        <w:t> </w:t>
                      </w:r>
                      <w:r>
                        <w:rPr>
                          <w:color w:val="231F1F"/>
                        </w:rPr>
                        <w:t>del</w:t>
                      </w:r>
                      <w:r>
                        <w:rPr>
                          <w:color w:val="231F1F"/>
                          <w:spacing w:val="27"/>
                        </w:rPr>
                        <w:t> </w:t>
                      </w:r>
                      <w:r>
                        <w:rPr>
                          <w:color w:val="231F1F"/>
                          <w:spacing w:val="-2"/>
                        </w:rPr>
                        <w:t>parto?</w:t>
                      </w:r>
                    </w:p>
                  </w:txbxContent>
                </v:textbox>
                <v:stroke dashstyle="solid"/>
                <w10:wrap type="topAndBottom"/>
              </v:shape>
            </w:pict>
          </mc:Fallback>
        </mc:AlternateContent>
      </w:r>
    </w:p>
    <w:p>
      <w:pPr>
        <w:pStyle w:val="BodyText"/>
        <w:spacing w:line="244" w:lineRule="auto" w:before="217"/>
        <w:ind w:left="283" w:right="123"/>
        <w:jc w:val="both"/>
      </w:pPr>
      <w:r>
        <w:rPr>
          <w:color w:val="231F1F"/>
          <w:w w:val="105"/>
        </w:rPr>
        <w:t>Existen</w:t>
      </w:r>
      <w:r>
        <w:rPr>
          <w:color w:val="231F1F"/>
          <w:w w:val="105"/>
        </w:rPr>
        <w:t> diferentes</w:t>
      </w:r>
      <w:r>
        <w:rPr>
          <w:color w:val="231F1F"/>
          <w:w w:val="105"/>
        </w:rPr>
        <w:t> modelos</w:t>
      </w:r>
      <w:r>
        <w:rPr>
          <w:color w:val="231F1F"/>
          <w:w w:val="105"/>
        </w:rPr>
        <w:t> de</w:t>
      </w:r>
      <w:r>
        <w:rPr>
          <w:color w:val="231F1F"/>
          <w:w w:val="105"/>
        </w:rPr>
        <w:t> atención</w:t>
      </w:r>
      <w:r>
        <w:rPr>
          <w:color w:val="231F1F"/>
          <w:w w:val="105"/>
        </w:rPr>
        <w:t> a</w:t>
      </w:r>
      <w:r>
        <w:rPr>
          <w:color w:val="231F1F"/>
          <w:w w:val="105"/>
        </w:rPr>
        <w:t> las</w:t>
      </w:r>
      <w:r>
        <w:rPr>
          <w:color w:val="231F1F"/>
          <w:w w:val="105"/>
        </w:rPr>
        <w:t> mujeres</w:t>
      </w:r>
      <w:r>
        <w:rPr>
          <w:color w:val="231F1F"/>
          <w:w w:val="105"/>
        </w:rPr>
        <w:t> con</w:t>
      </w:r>
      <w:r>
        <w:rPr>
          <w:color w:val="231F1F"/>
          <w:w w:val="105"/>
        </w:rPr>
        <w:t> partos</w:t>
      </w:r>
      <w:r>
        <w:rPr>
          <w:color w:val="231F1F"/>
          <w:w w:val="105"/>
        </w:rPr>
        <w:t> de</w:t>
      </w:r>
      <w:r>
        <w:rPr>
          <w:color w:val="231F1F"/>
          <w:w w:val="105"/>
        </w:rPr>
        <w:t> bajo</w:t>
      </w:r>
      <w:r>
        <w:rPr>
          <w:color w:val="231F1F"/>
          <w:w w:val="105"/>
        </w:rPr>
        <w:t> riesgo:</w:t>
      </w:r>
      <w:r>
        <w:rPr>
          <w:color w:val="231F1F"/>
          <w:w w:val="105"/>
        </w:rPr>
        <w:t> el</w:t>
      </w:r>
      <w:r>
        <w:rPr>
          <w:color w:val="231F1F"/>
          <w:w w:val="105"/>
        </w:rPr>
        <w:t> de</w:t>
      </w:r>
      <w:r>
        <w:rPr>
          <w:color w:val="231F1F"/>
          <w:w w:val="105"/>
        </w:rPr>
        <w:t> aten- ción</w:t>
      </w:r>
      <w:r>
        <w:rPr>
          <w:color w:val="231F1F"/>
          <w:spacing w:val="40"/>
          <w:w w:val="105"/>
        </w:rPr>
        <w:t> </w:t>
      </w:r>
      <w:r>
        <w:rPr>
          <w:color w:val="231F1F"/>
          <w:w w:val="105"/>
        </w:rPr>
        <w:t>por</w:t>
      </w:r>
      <w:r>
        <w:rPr>
          <w:color w:val="231F1F"/>
          <w:spacing w:val="40"/>
          <w:w w:val="105"/>
        </w:rPr>
        <w:t> </w:t>
      </w:r>
      <w:r>
        <w:rPr>
          <w:color w:val="231F1F"/>
          <w:w w:val="105"/>
        </w:rPr>
        <w:t>matronas,</w:t>
      </w:r>
      <w:r>
        <w:rPr>
          <w:color w:val="231F1F"/>
          <w:spacing w:val="40"/>
          <w:w w:val="105"/>
        </w:rPr>
        <w:t> </w:t>
      </w:r>
      <w:r>
        <w:rPr>
          <w:color w:val="231F1F"/>
          <w:w w:val="105"/>
        </w:rPr>
        <w:t>la</w:t>
      </w:r>
      <w:r>
        <w:rPr>
          <w:color w:val="231F1F"/>
          <w:spacing w:val="40"/>
          <w:w w:val="105"/>
        </w:rPr>
        <w:t> </w:t>
      </w:r>
      <w:r>
        <w:rPr>
          <w:color w:val="231F1F"/>
          <w:w w:val="105"/>
        </w:rPr>
        <w:t>proporcionada</w:t>
      </w:r>
      <w:r>
        <w:rPr>
          <w:color w:val="231F1F"/>
          <w:spacing w:val="40"/>
          <w:w w:val="105"/>
        </w:rPr>
        <w:t> </w:t>
      </w:r>
      <w:r>
        <w:rPr>
          <w:color w:val="231F1F"/>
          <w:w w:val="105"/>
        </w:rPr>
        <w:t>por</w:t>
      </w:r>
      <w:r>
        <w:rPr>
          <w:color w:val="231F1F"/>
          <w:spacing w:val="40"/>
          <w:w w:val="105"/>
        </w:rPr>
        <w:t> </w:t>
      </w:r>
      <w:r>
        <w:rPr>
          <w:color w:val="231F1F"/>
          <w:w w:val="105"/>
        </w:rPr>
        <w:t>obstetras</w:t>
      </w:r>
      <w:r>
        <w:rPr>
          <w:color w:val="231F1F"/>
          <w:spacing w:val="40"/>
          <w:w w:val="105"/>
        </w:rPr>
        <w:t> </w:t>
      </w:r>
      <w:r>
        <w:rPr>
          <w:color w:val="231F1F"/>
          <w:w w:val="105"/>
        </w:rPr>
        <w:t>y</w:t>
      </w:r>
      <w:r>
        <w:rPr>
          <w:color w:val="231F1F"/>
          <w:spacing w:val="40"/>
          <w:w w:val="105"/>
        </w:rPr>
        <w:t> </w:t>
      </w:r>
      <w:r>
        <w:rPr>
          <w:color w:val="231F1F"/>
          <w:w w:val="105"/>
        </w:rPr>
        <w:t>los</w:t>
      </w:r>
      <w:r>
        <w:rPr>
          <w:color w:val="231F1F"/>
          <w:spacing w:val="40"/>
          <w:w w:val="105"/>
        </w:rPr>
        <w:t> </w:t>
      </w:r>
      <w:r>
        <w:rPr>
          <w:color w:val="231F1F"/>
          <w:w w:val="105"/>
        </w:rPr>
        <w:t>modelos</w:t>
      </w:r>
      <w:r>
        <w:rPr>
          <w:color w:val="231F1F"/>
          <w:spacing w:val="40"/>
          <w:w w:val="105"/>
        </w:rPr>
        <w:t> </w:t>
      </w:r>
      <w:r>
        <w:rPr>
          <w:color w:val="231F1F"/>
          <w:w w:val="105"/>
        </w:rPr>
        <w:t>mixtos.</w:t>
      </w:r>
    </w:p>
    <w:p>
      <w:pPr>
        <w:pStyle w:val="BodyText"/>
        <w:spacing w:line="244" w:lineRule="auto" w:before="122"/>
        <w:ind w:left="283" w:right="115" w:firstLine="453"/>
        <w:jc w:val="both"/>
      </w:pPr>
      <w:r>
        <w:rPr>
          <w:color w:val="231F1F"/>
          <w:w w:val="110"/>
        </w:rPr>
        <w:t>El modelo de atención por matronas se basa en la premisa de que el embarazo y el parto</w:t>
      </w:r>
      <w:r>
        <w:rPr>
          <w:color w:val="231F1F"/>
          <w:spacing w:val="-11"/>
          <w:w w:val="110"/>
        </w:rPr>
        <w:t> </w:t>
      </w:r>
      <w:r>
        <w:rPr>
          <w:color w:val="231F1F"/>
          <w:w w:val="110"/>
        </w:rPr>
        <w:t>son</w:t>
      </w:r>
      <w:r>
        <w:rPr>
          <w:color w:val="231F1F"/>
          <w:spacing w:val="-11"/>
          <w:w w:val="110"/>
        </w:rPr>
        <w:t> </w:t>
      </w:r>
      <w:r>
        <w:rPr>
          <w:color w:val="231F1F"/>
          <w:w w:val="110"/>
        </w:rPr>
        <w:t>eventos</w:t>
      </w:r>
      <w:r>
        <w:rPr>
          <w:color w:val="231F1F"/>
          <w:spacing w:val="-11"/>
          <w:w w:val="110"/>
        </w:rPr>
        <w:t> </w:t>
      </w:r>
      <w:r>
        <w:rPr>
          <w:color w:val="231F1F"/>
          <w:w w:val="110"/>
        </w:rPr>
        <w:t>vitales</w:t>
      </w:r>
      <w:r>
        <w:rPr>
          <w:color w:val="231F1F"/>
          <w:spacing w:val="-12"/>
          <w:w w:val="110"/>
        </w:rPr>
        <w:t> </w:t>
      </w:r>
      <w:r>
        <w:rPr>
          <w:color w:val="231F1F"/>
          <w:w w:val="110"/>
        </w:rPr>
        <w:t>normales</w:t>
      </w:r>
      <w:r>
        <w:rPr>
          <w:color w:val="231F1F"/>
          <w:spacing w:val="-12"/>
          <w:w w:val="110"/>
        </w:rPr>
        <w:t> </w:t>
      </w:r>
      <w:r>
        <w:rPr>
          <w:color w:val="231F1F"/>
          <w:w w:val="110"/>
        </w:rPr>
        <w:t>centrados</w:t>
      </w:r>
      <w:r>
        <w:rPr>
          <w:color w:val="231F1F"/>
          <w:spacing w:val="-11"/>
          <w:w w:val="110"/>
        </w:rPr>
        <w:t> </w:t>
      </w:r>
      <w:r>
        <w:rPr>
          <w:color w:val="231F1F"/>
          <w:w w:val="110"/>
        </w:rPr>
        <w:t>en</w:t>
      </w:r>
      <w:r>
        <w:rPr>
          <w:color w:val="231F1F"/>
          <w:spacing w:val="-11"/>
          <w:w w:val="110"/>
        </w:rPr>
        <w:t> </w:t>
      </w:r>
      <w:r>
        <w:rPr>
          <w:color w:val="231F1F"/>
          <w:w w:val="110"/>
        </w:rPr>
        <w:t>la</w:t>
      </w:r>
      <w:r>
        <w:rPr>
          <w:color w:val="231F1F"/>
          <w:spacing w:val="-11"/>
          <w:w w:val="110"/>
        </w:rPr>
        <w:t> </w:t>
      </w:r>
      <w:r>
        <w:rPr>
          <w:color w:val="231F1F"/>
          <w:w w:val="110"/>
        </w:rPr>
        <w:t>mujer.</w:t>
      </w:r>
      <w:r>
        <w:rPr>
          <w:color w:val="231F1F"/>
          <w:spacing w:val="-12"/>
          <w:w w:val="110"/>
        </w:rPr>
        <w:t> </w:t>
      </w:r>
      <w:r>
        <w:rPr>
          <w:color w:val="231F1F"/>
          <w:w w:val="110"/>
        </w:rPr>
        <w:t>Las</w:t>
      </w:r>
      <w:r>
        <w:rPr>
          <w:color w:val="231F1F"/>
          <w:spacing w:val="-12"/>
          <w:w w:val="110"/>
        </w:rPr>
        <w:t> </w:t>
      </w:r>
      <w:r>
        <w:rPr>
          <w:color w:val="231F1F"/>
          <w:w w:val="110"/>
        </w:rPr>
        <w:t>diferencias</w:t>
      </w:r>
      <w:r>
        <w:rPr>
          <w:color w:val="231F1F"/>
          <w:spacing w:val="-12"/>
          <w:w w:val="110"/>
        </w:rPr>
        <w:t> </w:t>
      </w:r>
      <w:r>
        <w:rPr>
          <w:color w:val="231F1F"/>
          <w:w w:val="110"/>
        </w:rPr>
        <w:t>entre</w:t>
      </w:r>
      <w:r>
        <w:rPr>
          <w:color w:val="231F1F"/>
          <w:spacing w:val="-11"/>
          <w:w w:val="110"/>
        </w:rPr>
        <w:t> </w:t>
      </w:r>
      <w:r>
        <w:rPr>
          <w:color w:val="231F1F"/>
          <w:w w:val="110"/>
        </w:rPr>
        <w:t>el</w:t>
      </w:r>
      <w:r>
        <w:rPr>
          <w:color w:val="231F1F"/>
          <w:spacing w:val="-12"/>
          <w:w w:val="110"/>
        </w:rPr>
        <w:t> </w:t>
      </w:r>
      <w:r>
        <w:rPr>
          <w:color w:val="231F1F"/>
          <w:w w:val="110"/>
        </w:rPr>
        <w:t>modelo de</w:t>
      </w:r>
      <w:r>
        <w:rPr>
          <w:color w:val="231F1F"/>
          <w:spacing w:val="-7"/>
          <w:w w:val="110"/>
        </w:rPr>
        <w:t> </w:t>
      </w:r>
      <w:r>
        <w:rPr>
          <w:color w:val="231F1F"/>
          <w:w w:val="110"/>
        </w:rPr>
        <w:t>atención</w:t>
      </w:r>
      <w:r>
        <w:rPr>
          <w:color w:val="231F1F"/>
          <w:spacing w:val="-7"/>
          <w:w w:val="110"/>
        </w:rPr>
        <w:t> </w:t>
      </w:r>
      <w:r>
        <w:rPr>
          <w:color w:val="231F1F"/>
          <w:w w:val="110"/>
        </w:rPr>
        <w:t>por</w:t>
      </w:r>
      <w:r>
        <w:rPr>
          <w:color w:val="231F1F"/>
          <w:spacing w:val="-7"/>
          <w:w w:val="110"/>
        </w:rPr>
        <w:t> </w:t>
      </w:r>
      <w:r>
        <w:rPr>
          <w:color w:val="231F1F"/>
          <w:w w:val="110"/>
        </w:rPr>
        <w:t>matronas</w:t>
      </w:r>
      <w:r>
        <w:rPr>
          <w:color w:val="231F1F"/>
          <w:spacing w:val="-7"/>
          <w:w w:val="110"/>
        </w:rPr>
        <w:t> </w:t>
      </w:r>
      <w:r>
        <w:rPr>
          <w:color w:val="231F1F"/>
          <w:w w:val="110"/>
        </w:rPr>
        <w:t>y</w:t>
      </w:r>
      <w:r>
        <w:rPr>
          <w:color w:val="231F1F"/>
          <w:spacing w:val="-6"/>
          <w:w w:val="110"/>
        </w:rPr>
        <w:t> </w:t>
      </w:r>
      <w:r>
        <w:rPr>
          <w:color w:val="231F1F"/>
          <w:w w:val="110"/>
        </w:rPr>
        <w:t>otros</w:t>
      </w:r>
      <w:r>
        <w:rPr>
          <w:color w:val="231F1F"/>
          <w:spacing w:val="-7"/>
          <w:w w:val="110"/>
        </w:rPr>
        <w:t> </w:t>
      </w:r>
      <w:r>
        <w:rPr>
          <w:color w:val="231F1F"/>
          <w:w w:val="110"/>
        </w:rPr>
        <w:t>modelos</w:t>
      </w:r>
      <w:r>
        <w:rPr>
          <w:color w:val="231F1F"/>
          <w:spacing w:val="-7"/>
          <w:w w:val="110"/>
        </w:rPr>
        <w:t> </w:t>
      </w:r>
      <w:r>
        <w:rPr>
          <w:color w:val="231F1F"/>
          <w:w w:val="110"/>
        </w:rPr>
        <w:t>de</w:t>
      </w:r>
      <w:r>
        <w:rPr>
          <w:color w:val="231F1F"/>
          <w:spacing w:val="-7"/>
          <w:w w:val="110"/>
        </w:rPr>
        <w:t> </w:t>
      </w:r>
      <w:r>
        <w:rPr>
          <w:color w:val="231F1F"/>
          <w:w w:val="110"/>
        </w:rPr>
        <w:t>atención</w:t>
      </w:r>
      <w:r>
        <w:rPr>
          <w:color w:val="231F1F"/>
          <w:spacing w:val="-7"/>
          <w:w w:val="110"/>
        </w:rPr>
        <w:t> </w:t>
      </w:r>
      <w:r>
        <w:rPr>
          <w:color w:val="231F1F"/>
          <w:w w:val="110"/>
        </w:rPr>
        <w:t>a</w:t>
      </w:r>
      <w:r>
        <w:rPr>
          <w:color w:val="231F1F"/>
          <w:spacing w:val="-7"/>
          <w:w w:val="110"/>
        </w:rPr>
        <w:t> </w:t>
      </w:r>
      <w:r>
        <w:rPr>
          <w:color w:val="231F1F"/>
          <w:w w:val="110"/>
        </w:rPr>
        <w:t>menudo</w:t>
      </w:r>
      <w:r>
        <w:rPr>
          <w:color w:val="231F1F"/>
          <w:spacing w:val="-7"/>
          <w:w w:val="110"/>
        </w:rPr>
        <w:t> </w:t>
      </w:r>
      <w:r>
        <w:rPr>
          <w:color w:val="231F1F"/>
          <w:w w:val="110"/>
        </w:rPr>
        <w:t>incluyen</w:t>
      </w:r>
      <w:r>
        <w:rPr>
          <w:color w:val="231F1F"/>
          <w:spacing w:val="-6"/>
          <w:w w:val="110"/>
        </w:rPr>
        <w:t> </w:t>
      </w:r>
      <w:r>
        <w:rPr>
          <w:color w:val="231F1F"/>
          <w:w w:val="110"/>
        </w:rPr>
        <w:t>variaciones</w:t>
      </w:r>
      <w:r>
        <w:rPr>
          <w:color w:val="231F1F"/>
          <w:spacing w:val="-7"/>
          <w:w w:val="110"/>
        </w:rPr>
        <w:t> </w:t>
      </w:r>
      <w:r>
        <w:rPr>
          <w:color w:val="231F1F"/>
          <w:w w:val="110"/>
        </w:rPr>
        <w:t>en la</w:t>
      </w:r>
      <w:r>
        <w:rPr>
          <w:color w:val="231F1F"/>
          <w:spacing w:val="-16"/>
          <w:w w:val="110"/>
        </w:rPr>
        <w:t> </w:t>
      </w:r>
      <w:r>
        <w:rPr>
          <w:color w:val="231F1F"/>
          <w:w w:val="110"/>
        </w:rPr>
        <w:t>filosofía,</w:t>
      </w:r>
      <w:r>
        <w:rPr>
          <w:color w:val="231F1F"/>
          <w:spacing w:val="-14"/>
          <w:w w:val="110"/>
        </w:rPr>
        <w:t> </w:t>
      </w:r>
      <w:r>
        <w:rPr>
          <w:color w:val="231F1F"/>
          <w:w w:val="110"/>
        </w:rPr>
        <w:t>el</w:t>
      </w:r>
      <w:r>
        <w:rPr>
          <w:color w:val="231F1F"/>
          <w:spacing w:val="-16"/>
          <w:w w:val="110"/>
        </w:rPr>
        <w:t> </w:t>
      </w:r>
      <w:r>
        <w:rPr>
          <w:color w:val="231F1F"/>
          <w:w w:val="110"/>
        </w:rPr>
        <w:t>enfoque,</w:t>
      </w:r>
      <w:r>
        <w:rPr>
          <w:color w:val="231F1F"/>
          <w:spacing w:val="-13"/>
          <w:w w:val="110"/>
        </w:rPr>
        <w:t> </w:t>
      </w:r>
      <w:r>
        <w:rPr>
          <w:color w:val="231F1F"/>
          <w:w w:val="110"/>
        </w:rPr>
        <w:t>la</w:t>
      </w:r>
      <w:r>
        <w:rPr>
          <w:color w:val="231F1F"/>
          <w:spacing w:val="-15"/>
          <w:w w:val="110"/>
        </w:rPr>
        <w:t> </w:t>
      </w:r>
      <w:r>
        <w:rPr>
          <w:color w:val="231F1F"/>
          <w:w w:val="110"/>
        </w:rPr>
        <w:t>relación</w:t>
      </w:r>
      <w:r>
        <w:rPr>
          <w:color w:val="231F1F"/>
          <w:spacing w:val="-15"/>
          <w:w w:val="110"/>
        </w:rPr>
        <w:t> </w:t>
      </w:r>
      <w:r>
        <w:rPr>
          <w:color w:val="231F1F"/>
          <w:w w:val="110"/>
        </w:rPr>
        <w:t>con</w:t>
      </w:r>
      <w:r>
        <w:rPr>
          <w:color w:val="231F1F"/>
          <w:spacing w:val="-15"/>
          <w:w w:val="110"/>
        </w:rPr>
        <w:t> </w:t>
      </w:r>
      <w:r>
        <w:rPr>
          <w:color w:val="231F1F"/>
          <w:w w:val="110"/>
        </w:rPr>
        <w:t>el</w:t>
      </w:r>
      <w:r>
        <w:rPr>
          <w:color w:val="231F1F"/>
          <w:spacing w:val="-15"/>
          <w:w w:val="110"/>
        </w:rPr>
        <w:t> </w:t>
      </w:r>
      <w:r>
        <w:rPr>
          <w:color w:val="231F1F"/>
          <w:w w:val="110"/>
        </w:rPr>
        <w:t>profesional</w:t>
      </w:r>
      <w:r>
        <w:rPr>
          <w:color w:val="231F1F"/>
          <w:spacing w:val="-16"/>
          <w:w w:val="110"/>
        </w:rPr>
        <w:t> </w:t>
      </w:r>
      <w:r>
        <w:rPr>
          <w:color w:val="231F1F"/>
          <w:w w:val="110"/>
        </w:rPr>
        <w:t>y</w:t>
      </w:r>
      <w:r>
        <w:rPr>
          <w:color w:val="231F1F"/>
          <w:spacing w:val="-14"/>
          <w:w w:val="110"/>
        </w:rPr>
        <w:t> </w:t>
      </w:r>
      <w:r>
        <w:rPr>
          <w:color w:val="231F1F"/>
          <w:w w:val="110"/>
        </w:rPr>
        <w:t>el</w:t>
      </w:r>
      <w:r>
        <w:rPr>
          <w:color w:val="231F1F"/>
          <w:spacing w:val="-15"/>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intervenciones</w:t>
      </w:r>
      <w:r>
        <w:rPr>
          <w:color w:val="231F1F"/>
          <w:spacing w:val="-15"/>
          <w:w w:val="110"/>
        </w:rPr>
        <w:t> </w:t>
      </w:r>
      <w:r>
        <w:rPr>
          <w:color w:val="231F1F"/>
          <w:w w:val="110"/>
        </w:rPr>
        <w:t>durante</w:t>
      </w:r>
      <w:r>
        <w:rPr>
          <w:color w:val="231F1F"/>
          <w:spacing w:val="-15"/>
          <w:w w:val="110"/>
        </w:rPr>
        <w:t> </w:t>
      </w:r>
      <w:r>
        <w:rPr>
          <w:color w:val="231F1F"/>
          <w:w w:val="110"/>
        </w:rPr>
        <w:t>el parto.</w:t>
      </w:r>
      <w:r>
        <w:rPr>
          <w:color w:val="231F1F"/>
          <w:spacing w:val="-1"/>
          <w:w w:val="110"/>
        </w:rPr>
        <w:t> </w:t>
      </w:r>
      <w:r>
        <w:rPr>
          <w:color w:val="231F1F"/>
          <w:w w:val="110"/>
        </w:rPr>
        <w:t>Se</w:t>
      </w:r>
      <w:r>
        <w:rPr>
          <w:color w:val="231F1F"/>
          <w:spacing w:val="-2"/>
          <w:w w:val="110"/>
        </w:rPr>
        <w:t> </w:t>
      </w:r>
      <w:r>
        <w:rPr>
          <w:color w:val="231F1F"/>
          <w:w w:val="110"/>
        </w:rPr>
        <w:t>supone</w:t>
      </w:r>
      <w:r>
        <w:rPr>
          <w:color w:val="231F1F"/>
          <w:spacing w:val="-1"/>
          <w:w w:val="110"/>
        </w:rPr>
        <w:t> </w:t>
      </w:r>
      <w:r>
        <w:rPr>
          <w:color w:val="231F1F"/>
          <w:w w:val="110"/>
        </w:rPr>
        <w:t>que</w:t>
      </w:r>
      <w:r>
        <w:rPr>
          <w:color w:val="231F1F"/>
          <w:spacing w:val="-2"/>
          <w:w w:val="110"/>
        </w:rPr>
        <w:t> </w:t>
      </w:r>
      <w:r>
        <w:rPr>
          <w:color w:val="231F1F"/>
          <w:w w:val="110"/>
        </w:rPr>
        <w:t>la</w:t>
      </w:r>
      <w:r>
        <w:rPr>
          <w:color w:val="231F1F"/>
          <w:spacing w:val="-1"/>
          <w:w w:val="110"/>
        </w:rPr>
        <w:t> </w:t>
      </w:r>
      <w:r>
        <w:rPr>
          <w:color w:val="231F1F"/>
          <w:w w:val="110"/>
        </w:rPr>
        <w:t>filosofía</w:t>
      </w:r>
      <w:r>
        <w:rPr>
          <w:color w:val="231F1F"/>
          <w:spacing w:val="-1"/>
          <w:w w:val="110"/>
        </w:rPr>
        <w:t> </w:t>
      </w:r>
      <w:r>
        <w:rPr>
          <w:color w:val="231F1F"/>
          <w:w w:val="110"/>
        </w:rPr>
        <w:t>de</w:t>
      </w:r>
      <w:r>
        <w:rPr>
          <w:color w:val="231F1F"/>
          <w:spacing w:val="-1"/>
          <w:w w:val="110"/>
        </w:rPr>
        <w:t> </w:t>
      </w:r>
      <w:r>
        <w:rPr>
          <w:color w:val="231F1F"/>
          <w:w w:val="110"/>
        </w:rPr>
        <w:t>base</w:t>
      </w:r>
      <w:r>
        <w:rPr>
          <w:color w:val="231F1F"/>
          <w:spacing w:val="-2"/>
          <w:w w:val="110"/>
        </w:rPr>
        <w:t> </w:t>
      </w:r>
      <w:r>
        <w:rPr>
          <w:color w:val="231F1F"/>
          <w:w w:val="110"/>
        </w:rPr>
        <w:t>de</w:t>
      </w:r>
      <w:r>
        <w:rPr>
          <w:color w:val="231F1F"/>
          <w:spacing w:val="-1"/>
          <w:w w:val="110"/>
        </w:rPr>
        <w:t> </w:t>
      </w:r>
      <w:r>
        <w:rPr>
          <w:color w:val="231F1F"/>
          <w:w w:val="110"/>
        </w:rPr>
        <w:t>un</w:t>
      </w:r>
      <w:r>
        <w:rPr>
          <w:color w:val="231F1F"/>
          <w:spacing w:val="-2"/>
          <w:w w:val="110"/>
        </w:rPr>
        <w:t> </w:t>
      </w:r>
      <w:r>
        <w:rPr>
          <w:color w:val="231F1F"/>
          <w:w w:val="110"/>
        </w:rPr>
        <w:t>modelo</w:t>
      </w:r>
      <w:r>
        <w:rPr>
          <w:color w:val="231F1F"/>
          <w:spacing w:val="-1"/>
          <w:w w:val="110"/>
        </w:rPr>
        <w:t> </w:t>
      </w:r>
      <w:r>
        <w:rPr>
          <w:color w:val="231F1F"/>
          <w:w w:val="110"/>
        </w:rPr>
        <w:t>de</w:t>
      </w:r>
      <w:r>
        <w:rPr>
          <w:color w:val="231F1F"/>
          <w:spacing w:val="-2"/>
          <w:w w:val="110"/>
        </w:rPr>
        <w:t> </w:t>
      </w:r>
      <w:r>
        <w:rPr>
          <w:color w:val="231F1F"/>
          <w:w w:val="110"/>
        </w:rPr>
        <w:t>atención</w:t>
      </w:r>
      <w:r>
        <w:rPr>
          <w:color w:val="231F1F"/>
          <w:spacing w:val="-1"/>
          <w:w w:val="110"/>
        </w:rPr>
        <w:t> </w:t>
      </w:r>
      <w:r>
        <w:rPr>
          <w:color w:val="231F1F"/>
          <w:w w:val="110"/>
        </w:rPr>
        <w:t>por</w:t>
      </w:r>
      <w:r>
        <w:rPr>
          <w:color w:val="231F1F"/>
          <w:spacing w:val="-2"/>
          <w:w w:val="110"/>
        </w:rPr>
        <w:t> </w:t>
      </w:r>
      <w:r>
        <w:rPr>
          <w:color w:val="231F1F"/>
          <w:w w:val="110"/>
        </w:rPr>
        <w:t>matronas</w:t>
      </w:r>
      <w:r>
        <w:rPr>
          <w:color w:val="231F1F"/>
          <w:spacing w:val="-1"/>
          <w:w w:val="110"/>
        </w:rPr>
        <w:t> </w:t>
      </w:r>
      <w:r>
        <w:rPr>
          <w:color w:val="231F1F"/>
          <w:w w:val="110"/>
        </w:rPr>
        <w:t>está</w:t>
      </w:r>
      <w:r>
        <w:rPr>
          <w:color w:val="231F1F"/>
          <w:spacing w:val="-2"/>
          <w:w w:val="110"/>
        </w:rPr>
        <w:t> </w:t>
      </w:r>
      <w:r>
        <w:rPr>
          <w:color w:val="231F1F"/>
          <w:w w:val="110"/>
        </w:rPr>
        <w:t>en la</w:t>
      </w:r>
      <w:r>
        <w:rPr>
          <w:color w:val="231F1F"/>
          <w:spacing w:val="-3"/>
          <w:w w:val="110"/>
        </w:rPr>
        <w:t> </w:t>
      </w:r>
      <w:r>
        <w:rPr>
          <w:color w:val="231F1F"/>
          <w:w w:val="110"/>
        </w:rPr>
        <w:t>normalidad</w:t>
      </w:r>
      <w:r>
        <w:rPr>
          <w:color w:val="231F1F"/>
          <w:spacing w:val="-3"/>
          <w:w w:val="110"/>
        </w:rPr>
        <w:t> </w:t>
      </w:r>
      <w:r>
        <w:rPr>
          <w:color w:val="231F1F"/>
          <w:w w:val="110"/>
        </w:rPr>
        <w:t>y</w:t>
      </w:r>
      <w:r>
        <w:rPr>
          <w:color w:val="231F1F"/>
          <w:spacing w:val="-3"/>
          <w:w w:val="110"/>
        </w:rPr>
        <w:t> </w:t>
      </w:r>
      <w:r>
        <w:rPr>
          <w:color w:val="231F1F"/>
          <w:w w:val="110"/>
        </w:rPr>
        <w:t>la</w:t>
      </w:r>
      <w:r>
        <w:rPr>
          <w:color w:val="231F1F"/>
          <w:spacing w:val="-3"/>
          <w:w w:val="110"/>
        </w:rPr>
        <w:t> </w:t>
      </w:r>
      <w:r>
        <w:rPr>
          <w:color w:val="231F1F"/>
          <w:w w:val="110"/>
        </w:rPr>
        <w:t>capacidad</w:t>
      </w:r>
      <w:r>
        <w:rPr>
          <w:color w:val="231F1F"/>
          <w:spacing w:val="-3"/>
          <w:w w:val="110"/>
        </w:rPr>
        <w:t> </w:t>
      </w:r>
      <w:r>
        <w:rPr>
          <w:color w:val="231F1F"/>
          <w:w w:val="110"/>
        </w:rPr>
        <w:t>natural</w:t>
      </w:r>
      <w:r>
        <w:rPr>
          <w:color w:val="231F1F"/>
          <w:spacing w:val="-4"/>
          <w:w w:val="110"/>
        </w:rPr>
        <w:t> </w:t>
      </w:r>
      <w:r>
        <w:rPr>
          <w:color w:val="231F1F"/>
          <w:w w:val="110"/>
        </w:rPr>
        <w:t>de</w:t>
      </w:r>
      <w:r>
        <w:rPr>
          <w:color w:val="231F1F"/>
          <w:spacing w:val="-3"/>
          <w:w w:val="110"/>
        </w:rPr>
        <w:t> </w:t>
      </w:r>
      <w:r>
        <w:rPr>
          <w:color w:val="231F1F"/>
          <w:w w:val="110"/>
        </w:rPr>
        <w:t>las</w:t>
      </w:r>
      <w:r>
        <w:rPr>
          <w:color w:val="231F1F"/>
          <w:spacing w:val="-3"/>
          <w:w w:val="110"/>
        </w:rPr>
        <w:t> </w:t>
      </w:r>
      <w:r>
        <w:rPr>
          <w:color w:val="231F1F"/>
          <w:w w:val="110"/>
        </w:rPr>
        <w:t>mujeres</w:t>
      </w:r>
      <w:r>
        <w:rPr>
          <w:color w:val="231F1F"/>
          <w:spacing w:val="-3"/>
          <w:w w:val="110"/>
        </w:rPr>
        <w:t> </w:t>
      </w:r>
      <w:r>
        <w:rPr>
          <w:color w:val="231F1F"/>
          <w:w w:val="110"/>
        </w:rPr>
        <w:t>de</w:t>
      </w:r>
      <w:r>
        <w:rPr>
          <w:color w:val="231F1F"/>
          <w:spacing w:val="-3"/>
          <w:w w:val="110"/>
        </w:rPr>
        <w:t> </w:t>
      </w:r>
      <w:r>
        <w:rPr>
          <w:color w:val="231F1F"/>
          <w:w w:val="110"/>
        </w:rPr>
        <w:t>experimentar</w:t>
      </w:r>
      <w:r>
        <w:rPr>
          <w:color w:val="231F1F"/>
          <w:spacing w:val="-4"/>
          <w:w w:val="110"/>
        </w:rPr>
        <w:t> </w:t>
      </w:r>
      <w:r>
        <w:rPr>
          <w:color w:val="231F1F"/>
          <w:w w:val="110"/>
        </w:rPr>
        <w:t>el</w:t>
      </w:r>
      <w:r>
        <w:rPr>
          <w:color w:val="231F1F"/>
          <w:spacing w:val="-4"/>
          <w:w w:val="110"/>
        </w:rPr>
        <w:t> </w:t>
      </w:r>
      <w:r>
        <w:rPr>
          <w:color w:val="231F1F"/>
          <w:w w:val="110"/>
        </w:rPr>
        <w:t>parto</w:t>
      </w:r>
      <w:r>
        <w:rPr>
          <w:color w:val="231F1F"/>
          <w:spacing w:val="-3"/>
          <w:w w:val="110"/>
        </w:rPr>
        <w:t> </w:t>
      </w:r>
      <w:r>
        <w:rPr>
          <w:color w:val="231F1F"/>
          <w:w w:val="110"/>
        </w:rPr>
        <w:t>con</w:t>
      </w:r>
      <w:r>
        <w:rPr>
          <w:color w:val="231F1F"/>
          <w:spacing w:val="-3"/>
          <w:w w:val="110"/>
        </w:rPr>
        <w:t> </w:t>
      </w:r>
      <w:r>
        <w:rPr>
          <w:color w:val="231F1F"/>
          <w:w w:val="110"/>
        </w:rPr>
        <w:t>una</w:t>
      </w:r>
      <w:r>
        <w:rPr>
          <w:color w:val="231F1F"/>
          <w:spacing w:val="-3"/>
          <w:w w:val="110"/>
        </w:rPr>
        <w:t> </w:t>
      </w:r>
      <w:r>
        <w:rPr>
          <w:color w:val="231F1F"/>
          <w:w w:val="110"/>
        </w:rPr>
        <w:t>in- tervención</w:t>
      </w:r>
      <w:r>
        <w:rPr>
          <w:color w:val="231F1F"/>
          <w:spacing w:val="-5"/>
          <w:w w:val="110"/>
        </w:rPr>
        <w:t> </w:t>
      </w:r>
      <w:r>
        <w:rPr>
          <w:color w:val="231F1F"/>
          <w:w w:val="110"/>
        </w:rPr>
        <w:t>mínima</w:t>
      </w:r>
      <w:r>
        <w:rPr>
          <w:color w:val="231F1F"/>
          <w:spacing w:val="-6"/>
          <w:w w:val="110"/>
        </w:rPr>
        <w:t> </w:t>
      </w:r>
      <w:r>
        <w:rPr>
          <w:color w:val="231F1F"/>
          <w:w w:val="110"/>
        </w:rPr>
        <w:t>o</w:t>
      </w:r>
      <w:r>
        <w:rPr>
          <w:color w:val="231F1F"/>
          <w:spacing w:val="-5"/>
          <w:w w:val="110"/>
        </w:rPr>
        <w:t> </w:t>
      </w:r>
      <w:r>
        <w:rPr>
          <w:color w:val="231F1F"/>
          <w:w w:val="110"/>
        </w:rPr>
        <w:t>sin</w:t>
      </w:r>
      <w:r>
        <w:rPr>
          <w:color w:val="231F1F"/>
          <w:spacing w:val="-6"/>
          <w:w w:val="110"/>
        </w:rPr>
        <w:t> </w:t>
      </w:r>
      <w:r>
        <w:rPr>
          <w:color w:val="231F1F"/>
          <w:w w:val="110"/>
        </w:rPr>
        <w:t>una</w:t>
      </w:r>
      <w:r>
        <w:rPr>
          <w:color w:val="231F1F"/>
          <w:spacing w:val="-6"/>
          <w:w w:val="110"/>
        </w:rPr>
        <w:t> </w:t>
      </w:r>
      <w:r>
        <w:rPr>
          <w:color w:val="231F1F"/>
          <w:w w:val="110"/>
        </w:rPr>
        <w:t>intervención</w:t>
      </w:r>
      <w:r>
        <w:rPr>
          <w:color w:val="231F1F"/>
          <w:spacing w:val="-5"/>
          <w:w w:val="110"/>
        </w:rPr>
        <w:t> </w:t>
      </w:r>
      <w:r>
        <w:rPr>
          <w:color w:val="231F1F"/>
          <w:w w:val="110"/>
        </w:rPr>
        <w:t>habitual,</w:t>
      </w:r>
      <w:r>
        <w:rPr>
          <w:color w:val="231F1F"/>
          <w:spacing w:val="-6"/>
          <w:w w:val="110"/>
        </w:rPr>
        <w:t> </w:t>
      </w:r>
      <w:r>
        <w:rPr>
          <w:color w:val="231F1F"/>
          <w:w w:val="110"/>
        </w:rPr>
        <w:t>por</w:t>
      </w:r>
      <w:r>
        <w:rPr>
          <w:color w:val="231F1F"/>
          <w:spacing w:val="-6"/>
          <w:w w:val="110"/>
        </w:rPr>
        <w:t> </w:t>
      </w:r>
      <w:r>
        <w:rPr>
          <w:color w:val="231F1F"/>
          <w:w w:val="110"/>
        </w:rPr>
        <w:t>lo</w:t>
      </w:r>
      <w:r>
        <w:rPr>
          <w:color w:val="231F1F"/>
          <w:spacing w:val="-5"/>
          <w:w w:val="110"/>
        </w:rPr>
        <w:t> </w:t>
      </w:r>
      <w:r>
        <w:rPr>
          <w:color w:val="231F1F"/>
          <w:w w:val="110"/>
        </w:rPr>
        <w:t>tanto,</w:t>
      </w:r>
      <w:r>
        <w:rPr>
          <w:color w:val="231F1F"/>
          <w:spacing w:val="-6"/>
          <w:w w:val="110"/>
        </w:rPr>
        <w:t> </w:t>
      </w:r>
      <w:r>
        <w:rPr>
          <w:color w:val="231F1F"/>
          <w:w w:val="110"/>
        </w:rPr>
        <w:t>los</w:t>
      </w:r>
      <w:r>
        <w:rPr>
          <w:color w:val="231F1F"/>
          <w:spacing w:val="-6"/>
          <w:w w:val="110"/>
        </w:rPr>
        <w:t> </w:t>
      </w:r>
      <w:r>
        <w:rPr>
          <w:color w:val="231F1F"/>
          <w:w w:val="110"/>
        </w:rPr>
        <w:t>modelos</w:t>
      </w:r>
      <w:r>
        <w:rPr>
          <w:color w:val="231F1F"/>
          <w:spacing w:val="-6"/>
          <w:w w:val="110"/>
        </w:rPr>
        <w:t> </w:t>
      </w:r>
      <w:r>
        <w:rPr>
          <w:color w:val="231F1F"/>
          <w:w w:val="110"/>
        </w:rPr>
        <w:t>de</w:t>
      </w:r>
      <w:r>
        <w:rPr>
          <w:color w:val="231F1F"/>
          <w:spacing w:val="-6"/>
          <w:w w:val="110"/>
        </w:rPr>
        <w:t> </w:t>
      </w:r>
      <w:r>
        <w:rPr>
          <w:color w:val="231F1F"/>
          <w:w w:val="110"/>
        </w:rPr>
        <w:t>atención </w:t>
      </w:r>
      <w:r>
        <w:rPr>
          <w:color w:val="231F1F"/>
          <w:spacing w:val="-2"/>
          <w:w w:val="110"/>
        </w:rPr>
        <w:t>por</w:t>
      </w:r>
      <w:r>
        <w:rPr>
          <w:color w:val="231F1F"/>
          <w:spacing w:val="-8"/>
          <w:w w:val="110"/>
        </w:rPr>
        <w:t> </w:t>
      </w:r>
      <w:r>
        <w:rPr>
          <w:color w:val="231F1F"/>
          <w:spacing w:val="-2"/>
          <w:w w:val="110"/>
        </w:rPr>
        <w:t>matronas</w:t>
      </w:r>
      <w:r>
        <w:rPr>
          <w:color w:val="231F1F"/>
          <w:spacing w:val="-7"/>
          <w:w w:val="110"/>
        </w:rPr>
        <w:t> </w:t>
      </w:r>
      <w:r>
        <w:rPr>
          <w:color w:val="231F1F"/>
          <w:spacing w:val="-2"/>
          <w:w w:val="110"/>
        </w:rPr>
        <w:t>tienen</w:t>
      </w:r>
      <w:r>
        <w:rPr>
          <w:color w:val="231F1F"/>
          <w:spacing w:val="-7"/>
          <w:w w:val="110"/>
        </w:rPr>
        <w:t> </w:t>
      </w:r>
      <w:r>
        <w:rPr>
          <w:color w:val="231F1F"/>
          <w:spacing w:val="-2"/>
          <w:w w:val="110"/>
        </w:rPr>
        <w:t>como</w:t>
      </w:r>
      <w:r>
        <w:rPr>
          <w:color w:val="231F1F"/>
          <w:spacing w:val="-7"/>
          <w:w w:val="110"/>
        </w:rPr>
        <w:t> </w:t>
      </w:r>
      <w:r>
        <w:rPr>
          <w:color w:val="231F1F"/>
          <w:spacing w:val="-2"/>
          <w:w w:val="110"/>
        </w:rPr>
        <w:t>objetivo</w:t>
      </w:r>
      <w:r>
        <w:rPr>
          <w:color w:val="231F1F"/>
          <w:spacing w:val="-7"/>
          <w:w w:val="110"/>
        </w:rPr>
        <w:t> </w:t>
      </w:r>
      <w:r>
        <w:rPr>
          <w:color w:val="231F1F"/>
          <w:spacing w:val="-2"/>
          <w:w w:val="110"/>
        </w:rPr>
        <w:t>proporcionar</w:t>
      </w:r>
      <w:r>
        <w:rPr>
          <w:color w:val="231F1F"/>
          <w:spacing w:val="-8"/>
          <w:w w:val="110"/>
        </w:rPr>
        <w:t> </w:t>
      </w:r>
      <w:r>
        <w:rPr>
          <w:color w:val="231F1F"/>
          <w:spacing w:val="-2"/>
          <w:w w:val="110"/>
        </w:rPr>
        <w:t>atención</w:t>
      </w:r>
      <w:r>
        <w:rPr>
          <w:color w:val="231F1F"/>
          <w:spacing w:val="-7"/>
          <w:w w:val="110"/>
        </w:rPr>
        <w:t> </w:t>
      </w:r>
      <w:r>
        <w:rPr>
          <w:color w:val="231F1F"/>
          <w:spacing w:val="-2"/>
          <w:w w:val="110"/>
        </w:rPr>
        <w:t>durante</w:t>
      </w:r>
      <w:r>
        <w:rPr>
          <w:color w:val="231F1F"/>
          <w:spacing w:val="-7"/>
          <w:w w:val="110"/>
        </w:rPr>
        <w:t> </w:t>
      </w:r>
      <w:r>
        <w:rPr>
          <w:color w:val="231F1F"/>
          <w:spacing w:val="-2"/>
          <w:w w:val="110"/>
        </w:rPr>
        <w:t>el</w:t>
      </w:r>
      <w:r>
        <w:rPr>
          <w:color w:val="231F1F"/>
          <w:spacing w:val="-8"/>
          <w:w w:val="110"/>
        </w:rPr>
        <w:t> </w:t>
      </w:r>
      <w:r>
        <w:rPr>
          <w:color w:val="231F1F"/>
          <w:spacing w:val="-2"/>
          <w:w w:val="110"/>
        </w:rPr>
        <w:t>parto</w:t>
      </w:r>
      <w:r>
        <w:rPr>
          <w:color w:val="231F1F"/>
          <w:spacing w:val="-7"/>
          <w:w w:val="110"/>
        </w:rPr>
        <w:t> </w:t>
      </w:r>
      <w:r>
        <w:rPr>
          <w:color w:val="231F1F"/>
          <w:spacing w:val="-2"/>
          <w:w w:val="110"/>
        </w:rPr>
        <w:t>a</w:t>
      </w:r>
      <w:r>
        <w:rPr>
          <w:color w:val="231F1F"/>
          <w:spacing w:val="-7"/>
          <w:w w:val="110"/>
        </w:rPr>
        <w:t> </w:t>
      </w:r>
      <w:r>
        <w:rPr>
          <w:color w:val="231F1F"/>
          <w:spacing w:val="-2"/>
          <w:w w:val="110"/>
        </w:rPr>
        <w:t>mujeres</w:t>
      </w:r>
      <w:r>
        <w:rPr>
          <w:color w:val="231F1F"/>
          <w:spacing w:val="-7"/>
          <w:w w:val="110"/>
        </w:rPr>
        <w:t> </w:t>
      </w:r>
      <w:r>
        <w:rPr>
          <w:color w:val="231F1F"/>
          <w:spacing w:val="-2"/>
          <w:w w:val="110"/>
        </w:rPr>
        <w:t>sanas </w:t>
      </w:r>
      <w:r>
        <w:rPr>
          <w:color w:val="231F1F"/>
          <w:w w:val="110"/>
        </w:rPr>
        <w:t>con embarazos sin complicaciones o «de bajo riesgo».</w:t>
      </w:r>
    </w:p>
    <w:p>
      <w:pPr>
        <w:pStyle w:val="BodyText"/>
        <w:spacing w:line="252" w:lineRule="auto" w:before="116"/>
        <w:ind w:left="283" w:right="116" w:firstLine="453"/>
        <w:jc w:val="both"/>
      </w:pPr>
      <w:r>
        <w:rPr>
          <w:color w:val="231F1F"/>
          <w:w w:val="110"/>
        </w:rPr>
        <w:t>En</w:t>
      </w:r>
      <w:r>
        <w:rPr>
          <w:color w:val="231F1F"/>
          <w:spacing w:val="-1"/>
          <w:w w:val="110"/>
        </w:rPr>
        <w:t> </w:t>
      </w:r>
      <w:r>
        <w:rPr>
          <w:color w:val="231F1F"/>
          <w:w w:val="110"/>
        </w:rPr>
        <w:t>los</w:t>
      </w:r>
      <w:r>
        <w:rPr>
          <w:color w:val="231F1F"/>
          <w:spacing w:val="-2"/>
          <w:w w:val="110"/>
        </w:rPr>
        <w:t> </w:t>
      </w:r>
      <w:r>
        <w:rPr>
          <w:color w:val="231F1F"/>
          <w:w w:val="110"/>
        </w:rPr>
        <w:t>otros</w:t>
      </w:r>
      <w:r>
        <w:rPr>
          <w:color w:val="231F1F"/>
          <w:spacing w:val="-2"/>
          <w:w w:val="110"/>
        </w:rPr>
        <w:t> </w:t>
      </w:r>
      <w:r>
        <w:rPr>
          <w:color w:val="231F1F"/>
          <w:w w:val="110"/>
        </w:rPr>
        <w:t>modelos,</w:t>
      </w:r>
      <w:r>
        <w:rPr>
          <w:color w:val="231F1F"/>
          <w:spacing w:val="-2"/>
          <w:w w:val="110"/>
        </w:rPr>
        <w:t> </w:t>
      </w:r>
      <w:r>
        <w:rPr>
          <w:color w:val="231F1F"/>
          <w:w w:val="110"/>
        </w:rPr>
        <w:t>la</w:t>
      </w:r>
      <w:r>
        <w:rPr>
          <w:color w:val="231F1F"/>
          <w:spacing w:val="-1"/>
          <w:w w:val="110"/>
        </w:rPr>
        <w:t> </w:t>
      </w:r>
      <w:r>
        <w:rPr>
          <w:color w:val="231F1F"/>
          <w:w w:val="110"/>
        </w:rPr>
        <w:t>atención</w:t>
      </w:r>
      <w:r>
        <w:rPr>
          <w:color w:val="231F1F"/>
          <w:spacing w:val="-1"/>
          <w:w w:val="110"/>
        </w:rPr>
        <w:t> </w:t>
      </w:r>
      <w:r>
        <w:rPr>
          <w:color w:val="231F1F"/>
          <w:w w:val="110"/>
        </w:rPr>
        <w:t>es</w:t>
      </w:r>
      <w:r>
        <w:rPr>
          <w:color w:val="231F1F"/>
          <w:spacing w:val="-1"/>
          <w:w w:val="110"/>
        </w:rPr>
        <w:t> </w:t>
      </w:r>
      <w:r>
        <w:rPr>
          <w:color w:val="231F1F"/>
          <w:w w:val="110"/>
        </w:rPr>
        <w:t>compartida</w:t>
      </w:r>
      <w:r>
        <w:rPr>
          <w:color w:val="231F1F"/>
          <w:spacing w:val="-1"/>
          <w:w w:val="110"/>
        </w:rPr>
        <w:t> </w:t>
      </w:r>
      <w:r>
        <w:rPr>
          <w:color w:val="231F1F"/>
          <w:w w:val="110"/>
        </w:rPr>
        <w:t>por</w:t>
      </w:r>
      <w:r>
        <w:rPr>
          <w:color w:val="231F1F"/>
          <w:spacing w:val="-2"/>
          <w:w w:val="110"/>
        </w:rPr>
        <w:t> </w:t>
      </w:r>
      <w:r>
        <w:rPr>
          <w:color w:val="231F1F"/>
          <w:w w:val="110"/>
        </w:rPr>
        <w:t>matronas</w:t>
      </w:r>
      <w:r>
        <w:rPr>
          <w:color w:val="231F1F"/>
          <w:spacing w:val="-1"/>
          <w:w w:val="110"/>
        </w:rPr>
        <w:t> </w:t>
      </w:r>
      <w:r>
        <w:rPr>
          <w:color w:val="231F1F"/>
          <w:w w:val="110"/>
        </w:rPr>
        <w:t>y</w:t>
      </w:r>
      <w:r>
        <w:rPr>
          <w:color w:val="231F1F"/>
          <w:spacing w:val="-1"/>
          <w:w w:val="110"/>
        </w:rPr>
        <w:t> </w:t>
      </w:r>
      <w:r>
        <w:rPr>
          <w:color w:val="231F1F"/>
          <w:w w:val="110"/>
        </w:rPr>
        <w:t>obstetras,</w:t>
      </w:r>
      <w:r>
        <w:rPr>
          <w:color w:val="231F1F"/>
          <w:spacing w:val="-2"/>
          <w:w w:val="110"/>
        </w:rPr>
        <w:t> </w:t>
      </w:r>
      <w:r>
        <w:rPr>
          <w:color w:val="231F1F"/>
          <w:w w:val="110"/>
        </w:rPr>
        <w:t>con</w:t>
      </w:r>
      <w:r>
        <w:rPr>
          <w:color w:val="231F1F"/>
          <w:spacing w:val="-1"/>
          <w:w w:val="110"/>
        </w:rPr>
        <w:t> </w:t>
      </w:r>
      <w:r>
        <w:rPr>
          <w:color w:val="231F1F"/>
          <w:w w:val="110"/>
        </w:rPr>
        <w:t>dife- </w:t>
      </w:r>
      <w:r>
        <w:rPr>
          <w:color w:val="231F1F"/>
        </w:rPr>
        <w:t>rentes</w:t>
      </w:r>
      <w:r>
        <w:rPr>
          <w:color w:val="231F1F"/>
          <w:spacing w:val="32"/>
        </w:rPr>
        <w:t> </w:t>
      </w:r>
      <w:r>
        <w:rPr>
          <w:color w:val="231F1F"/>
        </w:rPr>
        <w:t>niveles</w:t>
      </w:r>
      <w:r>
        <w:rPr>
          <w:color w:val="231F1F"/>
          <w:spacing w:val="31"/>
        </w:rPr>
        <w:t> </w:t>
      </w:r>
      <w:r>
        <w:rPr>
          <w:color w:val="231F1F"/>
        </w:rPr>
        <w:t>de</w:t>
      </w:r>
      <w:r>
        <w:rPr>
          <w:color w:val="231F1F"/>
          <w:spacing w:val="31"/>
        </w:rPr>
        <w:t> </w:t>
      </w:r>
      <w:r>
        <w:rPr>
          <w:color w:val="231F1F"/>
        </w:rPr>
        <w:t>implicación.</w:t>
      </w:r>
      <w:r>
        <w:rPr>
          <w:color w:val="231F1F"/>
          <w:spacing w:val="33"/>
        </w:rPr>
        <w:t> </w:t>
      </w:r>
      <w:r>
        <w:rPr>
          <w:color w:val="231F1F"/>
        </w:rPr>
        <w:t>En</w:t>
      </w:r>
      <w:r>
        <w:rPr>
          <w:color w:val="231F1F"/>
          <w:spacing w:val="31"/>
        </w:rPr>
        <w:t> </w:t>
      </w:r>
      <w:r>
        <w:rPr>
          <w:color w:val="231F1F"/>
        </w:rPr>
        <w:t>algunos</w:t>
      </w:r>
      <w:r>
        <w:rPr>
          <w:color w:val="231F1F"/>
          <w:spacing w:val="31"/>
        </w:rPr>
        <w:t> </w:t>
      </w:r>
      <w:r>
        <w:rPr>
          <w:color w:val="231F1F"/>
        </w:rPr>
        <w:t>países</w:t>
      </w:r>
      <w:r>
        <w:rPr>
          <w:color w:val="231F1F"/>
          <w:spacing w:val="31"/>
        </w:rPr>
        <w:t> </w:t>
      </w:r>
      <w:r>
        <w:rPr>
          <w:color w:val="231F1F"/>
        </w:rPr>
        <w:t>(p.ej.,</w:t>
      </w:r>
      <w:r>
        <w:rPr>
          <w:color w:val="231F1F"/>
          <w:spacing w:val="32"/>
        </w:rPr>
        <w:t> </w:t>
      </w:r>
      <w:r>
        <w:rPr>
          <w:color w:val="231F1F"/>
        </w:rPr>
        <w:t>Canadá</w:t>
      </w:r>
      <w:r>
        <w:rPr>
          <w:color w:val="231F1F"/>
          <w:spacing w:val="31"/>
        </w:rPr>
        <w:t> </w:t>
      </w:r>
      <w:r>
        <w:rPr>
          <w:color w:val="231F1F"/>
        </w:rPr>
        <w:t>y</w:t>
      </w:r>
      <w:r>
        <w:rPr>
          <w:color w:val="231F1F"/>
          <w:spacing w:val="31"/>
        </w:rPr>
        <w:t> </w:t>
      </w:r>
      <w:r>
        <w:rPr>
          <w:color w:val="231F1F"/>
        </w:rPr>
        <w:t>los</w:t>
      </w:r>
      <w:r>
        <w:rPr>
          <w:color w:val="231F1F"/>
          <w:spacing w:val="32"/>
        </w:rPr>
        <w:t> </w:t>
      </w:r>
      <w:r>
        <w:rPr>
          <w:color w:val="231F1F"/>
        </w:rPr>
        <w:t>Países</w:t>
      </w:r>
      <w:r>
        <w:rPr>
          <w:color w:val="231F1F"/>
          <w:spacing w:val="31"/>
        </w:rPr>
        <w:t> </w:t>
      </w:r>
      <w:r>
        <w:rPr>
          <w:color w:val="231F1F"/>
        </w:rPr>
        <w:t>Bajos)</w:t>
      </w:r>
      <w:r>
        <w:rPr>
          <w:color w:val="231F1F"/>
          <w:spacing w:val="31"/>
        </w:rPr>
        <w:t> </w:t>
      </w:r>
      <w:r>
        <w:rPr>
          <w:color w:val="231F1F"/>
        </w:rPr>
        <w:t>el</w:t>
      </w:r>
      <w:r>
        <w:rPr>
          <w:color w:val="231F1F"/>
          <w:spacing w:val="32"/>
        </w:rPr>
        <w:t> </w:t>
      </w:r>
      <w:r>
        <w:rPr>
          <w:color w:val="231F1F"/>
        </w:rPr>
        <w:t>alcan- </w:t>
      </w:r>
      <w:r>
        <w:rPr>
          <w:color w:val="231F1F"/>
          <w:w w:val="110"/>
        </w:rPr>
        <w:t>ce de la práctica de las matronas se limita a la atención de las mujeres que presentan un embarazo sin complicaciones, mientras que en otros países (p.ej. Reino Unido, Francia, Australia</w:t>
      </w:r>
      <w:r>
        <w:rPr>
          <w:color w:val="231F1F"/>
          <w:spacing w:val="-16"/>
          <w:w w:val="110"/>
        </w:rPr>
        <w:t> </w:t>
      </w:r>
      <w:r>
        <w:rPr>
          <w:color w:val="231F1F"/>
          <w:w w:val="110"/>
        </w:rPr>
        <w:t>y</w:t>
      </w:r>
      <w:r>
        <w:rPr>
          <w:color w:val="231F1F"/>
          <w:spacing w:val="-15"/>
          <w:w w:val="110"/>
        </w:rPr>
        <w:t> </w:t>
      </w:r>
      <w:r>
        <w:rPr>
          <w:color w:val="231F1F"/>
          <w:w w:val="110"/>
        </w:rPr>
        <w:t>Nueva</w:t>
      </w:r>
      <w:r>
        <w:rPr>
          <w:color w:val="231F1F"/>
          <w:spacing w:val="-15"/>
          <w:w w:val="110"/>
        </w:rPr>
        <w:t> </w:t>
      </w:r>
      <w:r>
        <w:rPr>
          <w:color w:val="231F1F"/>
          <w:w w:val="110"/>
        </w:rPr>
        <w:t>Zelanda)</w:t>
      </w:r>
      <w:r>
        <w:rPr>
          <w:color w:val="231F1F"/>
          <w:spacing w:val="-15"/>
          <w:w w:val="110"/>
        </w:rPr>
        <w:t> </w:t>
      </w:r>
      <w:r>
        <w:rPr>
          <w:color w:val="231F1F"/>
          <w:w w:val="110"/>
        </w:rPr>
        <w:t>las</w:t>
      </w:r>
      <w:r>
        <w:rPr>
          <w:color w:val="231F1F"/>
          <w:spacing w:val="-15"/>
          <w:w w:val="110"/>
        </w:rPr>
        <w:t> </w:t>
      </w:r>
      <w:r>
        <w:rPr>
          <w:color w:val="231F1F"/>
          <w:w w:val="110"/>
        </w:rPr>
        <w:t>matronas</w:t>
      </w:r>
      <w:r>
        <w:rPr>
          <w:color w:val="231F1F"/>
          <w:spacing w:val="-15"/>
          <w:w w:val="110"/>
        </w:rPr>
        <w:t> </w:t>
      </w:r>
      <w:r>
        <w:rPr>
          <w:color w:val="231F1F"/>
          <w:w w:val="110"/>
        </w:rPr>
        <w:t>proporcionan</w:t>
      </w:r>
      <w:r>
        <w:rPr>
          <w:color w:val="231F1F"/>
          <w:spacing w:val="-15"/>
          <w:w w:val="110"/>
        </w:rPr>
        <w:t> </w:t>
      </w:r>
      <w:r>
        <w:rPr>
          <w:color w:val="231F1F"/>
          <w:w w:val="110"/>
        </w:rPr>
        <w:t>atención</w:t>
      </w:r>
      <w:r>
        <w:rPr>
          <w:color w:val="231F1F"/>
          <w:spacing w:val="-15"/>
          <w:w w:val="110"/>
        </w:rPr>
        <w:t> </w:t>
      </w:r>
      <w:r>
        <w:rPr>
          <w:color w:val="231F1F"/>
          <w:w w:val="110"/>
        </w:rPr>
        <w:t>a</w:t>
      </w:r>
      <w:r>
        <w:rPr>
          <w:color w:val="231F1F"/>
          <w:spacing w:val="-16"/>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que</w:t>
      </w:r>
      <w:r>
        <w:rPr>
          <w:color w:val="231F1F"/>
          <w:spacing w:val="-15"/>
          <w:w w:val="110"/>
        </w:rPr>
        <w:t> </w:t>
      </w:r>
      <w:r>
        <w:rPr>
          <w:color w:val="231F1F"/>
          <w:w w:val="110"/>
        </w:rPr>
        <w:t>presen- </w:t>
      </w:r>
      <w:r>
        <w:rPr>
          <w:color w:val="231F1F"/>
        </w:rPr>
        <w:t>tan complicaciones médicas y obstétricas, conjuntamente con colegas médicos. Además, la </w:t>
      </w:r>
      <w:r>
        <w:rPr>
          <w:color w:val="231F1F"/>
          <w:w w:val="110"/>
        </w:rPr>
        <w:t>atención médica de la madre en algunos países (p.ej. la República de Irlanda, Irán y el Líbano)</w:t>
      </w:r>
      <w:r>
        <w:rPr>
          <w:color w:val="231F1F"/>
          <w:spacing w:val="-1"/>
          <w:w w:val="110"/>
        </w:rPr>
        <w:t> </w:t>
      </w:r>
      <w:r>
        <w:rPr>
          <w:color w:val="231F1F"/>
          <w:w w:val="110"/>
        </w:rPr>
        <w:t>la proporciona principalmente una comadrona pero es</w:t>
      </w:r>
      <w:r>
        <w:rPr>
          <w:color w:val="231F1F"/>
          <w:spacing w:val="-1"/>
          <w:w w:val="110"/>
        </w:rPr>
        <w:t> </w:t>
      </w:r>
      <w:r>
        <w:rPr>
          <w:color w:val="231F1F"/>
          <w:w w:val="110"/>
        </w:rPr>
        <w:t>dirigida por</w:t>
      </w:r>
      <w:r>
        <w:rPr>
          <w:color w:val="231F1F"/>
          <w:spacing w:val="-1"/>
          <w:w w:val="110"/>
        </w:rPr>
        <w:t> </w:t>
      </w:r>
      <w:r>
        <w:rPr>
          <w:color w:val="231F1F"/>
          <w:w w:val="110"/>
        </w:rPr>
        <w:t>el</w:t>
      </w:r>
      <w:r>
        <w:rPr>
          <w:color w:val="231F1F"/>
          <w:spacing w:val="-1"/>
          <w:w w:val="110"/>
        </w:rPr>
        <w:t> </w:t>
      </w:r>
      <w:r>
        <w:rPr>
          <w:color w:val="231F1F"/>
          <w:w w:val="110"/>
        </w:rPr>
        <w:t>obstetra</w:t>
      </w:r>
      <w:r>
        <w:rPr>
          <w:color w:val="231F1F"/>
          <w:spacing w:val="-1"/>
          <w:w w:val="110"/>
        </w:rPr>
        <w:t> </w:t>
      </w:r>
      <w:r>
        <w:rPr>
          <w:color w:val="231F1F"/>
          <w:w w:val="110"/>
        </w:rPr>
        <w:t>y </w:t>
      </w:r>
      <w:r>
        <w:rPr>
          <w:color w:val="231F1F"/>
          <w:spacing w:val="-2"/>
          <w:w w:val="110"/>
        </w:rPr>
        <w:t>la</w:t>
      </w:r>
      <w:r>
        <w:rPr>
          <w:color w:val="231F1F"/>
          <w:spacing w:val="-14"/>
          <w:w w:val="110"/>
        </w:rPr>
        <w:t> </w:t>
      </w:r>
      <w:r>
        <w:rPr>
          <w:color w:val="231F1F"/>
          <w:spacing w:val="-2"/>
          <w:w w:val="110"/>
        </w:rPr>
        <w:t>matrona</w:t>
      </w:r>
      <w:r>
        <w:rPr>
          <w:color w:val="231F1F"/>
          <w:spacing w:val="-13"/>
          <w:w w:val="110"/>
        </w:rPr>
        <w:t> </w:t>
      </w:r>
      <w:r>
        <w:rPr>
          <w:color w:val="231F1F"/>
          <w:spacing w:val="-2"/>
          <w:w w:val="110"/>
        </w:rPr>
        <w:t>puede</w:t>
      </w:r>
      <w:r>
        <w:rPr>
          <w:color w:val="231F1F"/>
          <w:spacing w:val="-13"/>
          <w:w w:val="110"/>
        </w:rPr>
        <w:t> </w:t>
      </w:r>
      <w:r>
        <w:rPr>
          <w:color w:val="231F1F"/>
          <w:spacing w:val="-2"/>
          <w:w w:val="110"/>
        </w:rPr>
        <w:t>proporcionar</w:t>
      </w:r>
      <w:r>
        <w:rPr>
          <w:color w:val="231F1F"/>
          <w:spacing w:val="-13"/>
          <w:w w:val="110"/>
        </w:rPr>
        <w:t> </w:t>
      </w:r>
      <w:r>
        <w:rPr>
          <w:color w:val="231F1F"/>
          <w:spacing w:val="-2"/>
          <w:w w:val="110"/>
        </w:rPr>
        <w:t>una</w:t>
      </w:r>
      <w:r>
        <w:rPr>
          <w:color w:val="231F1F"/>
          <w:spacing w:val="-13"/>
          <w:w w:val="110"/>
        </w:rPr>
        <w:t> </w:t>
      </w:r>
      <w:r>
        <w:rPr>
          <w:color w:val="231F1F"/>
          <w:spacing w:val="-2"/>
          <w:w w:val="110"/>
        </w:rPr>
        <w:t>atención</w:t>
      </w:r>
      <w:r>
        <w:rPr>
          <w:color w:val="231F1F"/>
          <w:spacing w:val="-13"/>
          <w:w w:val="110"/>
        </w:rPr>
        <w:t> </w:t>
      </w:r>
      <w:r>
        <w:rPr>
          <w:color w:val="231F1F"/>
          <w:spacing w:val="-2"/>
          <w:w w:val="110"/>
        </w:rPr>
        <w:t>real,</w:t>
      </w:r>
      <w:r>
        <w:rPr>
          <w:color w:val="231F1F"/>
          <w:spacing w:val="-13"/>
          <w:w w:val="110"/>
        </w:rPr>
        <w:t> </w:t>
      </w:r>
      <w:r>
        <w:rPr>
          <w:color w:val="231F1F"/>
          <w:spacing w:val="-2"/>
          <w:w w:val="110"/>
        </w:rPr>
        <w:t>pero</w:t>
      </w:r>
      <w:r>
        <w:rPr>
          <w:color w:val="231F1F"/>
          <w:spacing w:val="-13"/>
          <w:w w:val="110"/>
        </w:rPr>
        <w:t> </w:t>
      </w:r>
      <w:r>
        <w:rPr>
          <w:color w:val="231F1F"/>
          <w:spacing w:val="-2"/>
          <w:w w:val="110"/>
        </w:rPr>
        <w:t>el</w:t>
      </w:r>
      <w:r>
        <w:rPr>
          <w:color w:val="231F1F"/>
          <w:spacing w:val="-13"/>
          <w:w w:val="110"/>
        </w:rPr>
        <w:t> </w:t>
      </w:r>
      <w:r>
        <w:rPr>
          <w:color w:val="231F1F"/>
          <w:spacing w:val="-2"/>
          <w:w w:val="110"/>
        </w:rPr>
        <w:t>obstetra</w:t>
      </w:r>
      <w:r>
        <w:rPr>
          <w:color w:val="231F1F"/>
          <w:spacing w:val="-13"/>
          <w:w w:val="110"/>
        </w:rPr>
        <w:t> </w:t>
      </w:r>
      <w:r>
        <w:rPr>
          <w:color w:val="231F1F"/>
          <w:spacing w:val="-2"/>
          <w:w w:val="110"/>
        </w:rPr>
        <w:t>asume</w:t>
      </w:r>
      <w:r>
        <w:rPr>
          <w:color w:val="231F1F"/>
          <w:spacing w:val="-13"/>
          <w:w w:val="110"/>
        </w:rPr>
        <w:t> </w:t>
      </w:r>
      <w:r>
        <w:rPr>
          <w:color w:val="231F1F"/>
          <w:spacing w:val="-2"/>
          <w:w w:val="110"/>
        </w:rPr>
        <w:t>la</w:t>
      </w:r>
      <w:r>
        <w:rPr>
          <w:color w:val="231F1F"/>
          <w:spacing w:val="-13"/>
          <w:w w:val="110"/>
        </w:rPr>
        <w:t> </w:t>
      </w:r>
      <w:r>
        <w:rPr>
          <w:color w:val="231F1F"/>
          <w:spacing w:val="-2"/>
          <w:w w:val="110"/>
        </w:rPr>
        <w:t>responsabilidad </w:t>
      </w:r>
      <w:r>
        <w:rPr>
          <w:color w:val="231F1F"/>
          <w:w w:val="110"/>
        </w:rPr>
        <w:t>de la atención proporcionada a la mujer durante el parto.</w:t>
      </w:r>
    </w:p>
    <w:p>
      <w:pPr>
        <w:pStyle w:val="BodyText"/>
        <w:spacing w:line="252" w:lineRule="auto" w:before="89"/>
        <w:ind w:left="283" w:right="115" w:firstLine="453"/>
        <w:jc w:val="both"/>
      </w:pPr>
      <w:r>
        <w:rPr>
          <w:color w:val="231F1F"/>
          <w:w w:val="110"/>
        </w:rPr>
        <w:t>Se han descrito beneficios en el modelo de atención por matronas, como son tasas </w:t>
      </w:r>
      <w:r>
        <w:rPr>
          <w:color w:val="231F1F"/>
        </w:rPr>
        <w:t>menores de analgesia intraparto y de aceleración del trabajo de parto, una mayor movilidad </w:t>
      </w:r>
      <w:r>
        <w:rPr>
          <w:color w:val="231F1F"/>
          <w:w w:val="110"/>
        </w:rPr>
        <w:t>durante el parto, mayores tasas de parto vaginal espontáneo y menores tasas de cesárea, episiotomía, lesión perineal grave e ingreso en la unidad neonatal.</w:t>
      </w:r>
    </w:p>
    <w:p>
      <w:pPr>
        <w:pStyle w:val="BodyText"/>
        <w:spacing w:line="261" w:lineRule="auto" w:before="123"/>
        <w:ind w:left="283" w:right="119" w:firstLine="453"/>
        <w:jc w:val="both"/>
      </w:pPr>
      <w:r>
        <w:rPr>
          <w:color w:val="231F1F"/>
        </w:rPr>
        <w:t>Sin embargo, también se ha encontrado una tendencia hacia tasas mayores de mortalidad perinatal</w:t>
      </w:r>
      <w:r>
        <w:rPr>
          <w:color w:val="231F1F"/>
          <w:spacing w:val="40"/>
        </w:rPr>
        <w:t> </w:t>
      </w:r>
      <w:r>
        <w:rPr>
          <w:color w:val="231F1F"/>
        </w:rPr>
        <w:t>y</w:t>
      </w:r>
      <w:r>
        <w:rPr>
          <w:color w:val="231F1F"/>
          <w:spacing w:val="40"/>
        </w:rPr>
        <w:t> </w:t>
      </w:r>
      <w:r>
        <w:rPr>
          <w:color w:val="231F1F"/>
        </w:rPr>
        <w:t>morbimortalidad</w:t>
      </w:r>
      <w:r>
        <w:rPr>
          <w:color w:val="231F1F"/>
          <w:spacing w:val="40"/>
        </w:rPr>
        <w:t> </w:t>
      </w:r>
      <w:r>
        <w:rPr>
          <w:color w:val="231F1F"/>
        </w:rPr>
        <w:t>neonatal.</w:t>
      </w:r>
      <w:r>
        <w:rPr>
          <w:color w:val="231F1F"/>
          <w:spacing w:val="40"/>
        </w:rPr>
        <w:t> </w:t>
      </w:r>
      <w:r>
        <w:rPr>
          <w:color w:val="231F1F"/>
        </w:rPr>
        <w:t>Se</w:t>
      </w:r>
      <w:r>
        <w:rPr>
          <w:color w:val="231F1F"/>
          <w:spacing w:val="40"/>
        </w:rPr>
        <w:t> </w:t>
      </w:r>
      <w:r>
        <w:rPr>
          <w:color w:val="231F1F"/>
        </w:rPr>
        <w:t>ha</w:t>
      </w:r>
      <w:r>
        <w:rPr>
          <w:color w:val="231F1F"/>
          <w:spacing w:val="40"/>
        </w:rPr>
        <w:t> </w:t>
      </w:r>
      <w:r>
        <w:rPr>
          <w:color w:val="231F1F"/>
        </w:rPr>
        <w:t>indicado</w:t>
      </w:r>
      <w:r>
        <w:rPr>
          <w:color w:val="231F1F"/>
          <w:spacing w:val="40"/>
        </w:rPr>
        <w:t> </w:t>
      </w:r>
      <w:r>
        <w:rPr>
          <w:color w:val="231F1F"/>
        </w:rPr>
        <w:t>que</w:t>
      </w:r>
      <w:r>
        <w:rPr>
          <w:color w:val="231F1F"/>
          <w:spacing w:val="40"/>
        </w:rPr>
        <w:t> </w:t>
      </w:r>
      <w:r>
        <w:rPr>
          <w:color w:val="231F1F"/>
        </w:rPr>
        <w:t>lo</w:t>
      </w:r>
      <w:r>
        <w:rPr>
          <w:color w:val="231F1F"/>
          <w:spacing w:val="40"/>
        </w:rPr>
        <w:t> </w:t>
      </w:r>
      <w:r>
        <w:rPr>
          <w:color w:val="231F1F"/>
        </w:rPr>
        <w:t>anterior</w:t>
      </w:r>
      <w:r>
        <w:rPr>
          <w:color w:val="231F1F"/>
          <w:spacing w:val="40"/>
        </w:rPr>
        <w:t> </w:t>
      </w:r>
      <w:r>
        <w:rPr>
          <w:color w:val="231F1F"/>
        </w:rPr>
        <w:t>pudiera</w:t>
      </w:r>
      <w:r>
        <w:rPr>
          <w:color w:val="231F1F"/>
          <w:spacing w:val="40"/>
        </w:rPr>
        <w:t> </w:t>
      </w:r>
      <w:r>
        <w:rPr>
          <w:color w:val="231F1F"/>
        </w:rPr>
        <w:t>ser</w:t>
      </w:r>
      <w:r>
        <w:rPr>
          <w:color w:val="231F1F"/>
          <w:spacing w:val="40"/>
        </w:rPr>
        <w:t> </w:t>
      </w:r>
      <w:r>
        <w:rPr>
          <w:color w:val="231F1F"/>
        </w:rPr>
        <w:t>resultado del retardo o fracaso en la detección de las complicaciones o del inicio de acciones apropiadas.</w:t>
      </w:r>
    </w:p>
    <w:p>
      <w:pPr>
        <w:pStyle w:val="BodyText"/>
        <w:spacing w:line="244" w:lineRule="auto" w:before="99"/>
        <w:ind w:left="283" w:right="120" w:firstLine="453"/>
        <w:jc w:val="both"/>
      </w:pPr>
      <w:r>
        <w:rPr>
          <w:color w:val="231F1F"/>
          <w:w w:val="110"/>
        </w:rPr>
        <w:t>Además, existe mucho debate acerca del coste clínico y el coste-efectividad de los diferentes</w:t>
      </w:r>
      <w:r>
        <w:rPr>
          <w:color w:val="231F1F"/>
          <w:spacing w:val="-16"/>
          <w:w w:val="110"/>
        </w:rPr>
        <w:t> </w:t>
      </w:r>
      <w:r>
        <w:rPr>
          <w:color w:val="231F1F"/>
          <w:w w:val="110"/>
        </w:rPr>
        <w:t>modelos</w:t>
      </w:r>
      <w:r>
        <w:rPr>
          <w:color w:val="231F1F"/>
          <w:spacing w:val="-14"/>
          <w:w w:val="110"/>
        </w:rPr>
        <w:t> </w:t>
      </w:r>
      <w:r>
        <w:rPr>
          <w:color w:val="231F1F"/>
          <w:w w:val="110"/>
        </w:rPr>
        <w:t>de</w:t>
      </w:r>
      <w:r>
        <w:rPr>
          <w:color w:val="231F1F"/>
          <w:spacing w:val="-15"/>
          <w:w w:val="110"/>
        </w:rPr>
        <w:t> </w:t>
      </w:r>
      <w:r>
        <w:rPr>
          <w:color w:val="231F1F"/>
          <w:w w:val="110"/>
        </w:rPr>
        <w:t>atención</w:t>
      </w:r>
      <w:r>
        <w:rPr>
          <w:color w:val="231F1F"/>
          <w:spacing w:val="-15"/>
          <w:w w:val="110"/>
        </w:rPr>
        <w:t> </w:t>
      </w:r>
      <w:r>
        <w:rPr>
          <w:color w:val="231F1F"/>
          <w:w w:val="110"/>
        </w:rPr>
        <w:t>médica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madre,</w:t>
      </w:r>
      <w:r>
        <w:rPr>
          <w:color w:val="231F1F"/>
          <w:spacing w:val="-15"/>
          <w:w w:val="110"/>
        </w:rPr>
        <w:t> </w:t>
      </w:r>
      <w:r>
        <w:rPr>
          <w:color w:val="231F1F"/>
          <w:w w:val="110"/>
        </w:rPr>
        <w:t>por</w:t>
      </w:r>
      <w:r>
        <w:rPr>
          <w:color w:val="231F1F"/>
          <w:spacing w:val="-15"/>
          <w:w w:val="110"/>
        </w:rPr>
        <w:t> </w:t>
      </w:r>
      <w:r>
        <w:rPr>
          <w:color w:val="231F1F"/>
          <w:w w:val="110"/>
        </w:rPr>
        <w:t>lo</w:t>
      </w:r>
      <w:r>
        <w:rPr>
          <w:color w:val="231F1F"/>
          <w:spacing w:val="-15"/>
          <w:w w:val="110"/>
        </w:rPr>
        <w:t> </w:t>
      </w:r>
      <w:r>
        <w:rPr>
          <w:color w:val="231F1F"/>
          <w:w w:val="110"/>
        </w:rPr>
        <w:t>que</w:t>
      </w:r>
      <w:r>
        <w:rPr>
          <w:color w:val="231F1F"/>
          <w:spacing w:val="-15"/>
          <w:w w:val="110"/>
        </w:rPr>
        <w:t> </w:t>
      </w:r>
      <w:r>
        <w:rPr>
          <w:color w:val="231F1F"/>
          <w:w w:val="110"/>
        </w:rPr>
        <w:t>continúa</w:t>
      </w:r>
      <w:r>
        <w:rPr>
          <w:color w:val="231F1F"/>
          <w:spacing w:val="-15"/>
          <w:w w:val="110"/>
        </w:rPr>
        <w:t> </w:t>
      </w:r>
      <w:r>
        <w:rPr>
          <w:color w:val="231F1F"/>
          <w:w w:val="110"/>
        </w:rPr>
        <w:t>el</w:t>
      </w:r>
      <w:r>
        <w:rPr>
          <w:color w:val="231F1F"/>
          <w:spacing w:val="-15"/>
          <w:w w:val="110"/>
        </w:rPr>
        <w:t> </w:t>
      </w:r>
      <w:r>
        <w:rPr>
          <w:color w:val="231F1F"/>
          <w:w w:val="110"/>
        </w:rPr>
        <w:t>debate</w:t>
      </w:r>
      <w:r>
        <w:rPr>
          <w:color w:val="231F1F"/>
          <w:spacing w:val="-15"/>
          <w:w w:val="110"/>
        </w:rPr>
        <w:t> </w:t>
      </w:r>
      <w:r>
        <w:rPr>
          <w:color w:val="231F1F"/>
          <w:w w:val="110"/>
        </w:rPr>
        <w:t>sobre</w:t>
      </w:r>
      <w:r>
        <w:rPr>
          <w:color w:val="231F1F"/>
          <w:spacing w:val="-15"/>
          <w:w w:val="110"/>
        </w:rPr>
        <w:t> </w:t>
      </w:r>
      <w:r>
        <w:rPr>
          <w:color w:val="231F1F"/>
          <w:w w:val="110"/>
        </w:rPr>
        <w:t>el modelo óptimo para la atención al parto de las mujeres sanas.</w:t>
      </w:r>
    </w:p>
    <w:p>
      <w:pPr>
        <w:pStyle w:val="BodyText"/>
        <w:spacing w:before="139"/>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176"/>
        <w:ind w:left="283"/>
        <w:jc w:val="both"/>
      </w:pPr>
      <w:r>
        <w:rPr>
          <w:color w:val="231F1F"/>
          <w:w w:val="110"/>
        </w:rPr>
        <w:t>La</w:t>
      </w:r>
      <w:r>
        <w:rPr>
          <w:color w:val="231F1F"/>
          <w:spacing w:val="-15"/>
          <w:w w:val="110"/>
        </w:rPr>
        <w:t> </w:t>
      </w:r>
      <w:r>
        <w:rPr>
          <w:color w:val="231F1F"/>
          <w:w w:val="110"/>
        </w:rPr>
        <w:t>guía</w:t>
      </w:r>
      <w:r>
        <w:rPr>
          <w:color w:val="231F1F"/>
          <w:spacing w:val="-13"/>
          <w:w w:val="110"/>
        </w:rPr>
        <w:t> </w:t>
      </w:r>
      <w:r>
        <w:rPr>
          <w:color w:val="231F1F"/>
          <w:w w:val="110"/>
        </w:rPr>
        <w:t>NICE</w:t>
      </w:r>
      <w:r>
        <w:rPr>
          <w:color w:val="231F1F"/>
          <w:spacing w:val="-11"/>
          <w:w w:val="110"/>
        </w:rPr>
        <w:t> </w:t>
      </w:r>
      <w:r>
        <w:rPr>
          <w:color w:val="231F1F"/>
          <w:w w:val="110"/>
        </w:rPr>
        <w:t>(10)</w:t>
      </w:r>
      <w:r>
        <w:rPr>
          <w:color w:val="231F1F"/>
          <w:spacing w:val="-13"/>
          <w:w w:val="110"/>
        </w:rPr>
        <w:t> </w:t>
      </w:r>
      <w:r>
        <w:rPr>
          <w:color w:val="231F1F"/>
          <w:w w:val="110"/>
        </w:rPr>
        <w:t>no</w:t>
      </w:r>
      <w:r>
        <w:rPr>
          <w:color w:val="231F1F"/>
          <w:spacing w:val="-11"/>
          <w:w w:val="110"/>
        </w:rPr>
        <w:t> </w:t>
      </w:r>
      <w:r>
        <w:rPr>
          <w:color w:val="231F1F"/>
          <w:w w:val="110"/>
        </w:rPr>
        <w:t>aborda</w:t>
      </w:r>
      <w:r>
        <w:rPr>
          <w:color w:val="231F1F"/>
          <w:spacing w:val="-13"/>
          <w:w w:val="110"/>
        </w:rPr>
        <w:t> </w:t>
      </w:r>
      <w:r>
        <w:rPr>
          <w:color w:val="231F1F"/>
          <w:w w:val="110"/>
        </w:rPr>
        <w:t>esta</w:t>
      </w:r>
      <w:r>
        <w:rPr>
          <w:color w:val="231F1F"/>
          <w:spacing w:val="-13"/>
          <w:w w:val="110"/>
        </w:rPr>
        <w:t> </w:t>
      </w:r>
      <w:r>
        <w:rPr>
          <w:color w:val="231F1F"/>
          <w:spacing w:val="-2"/>
          <w:w w:val="110"/>
        </w:rPr>
        <w:t>pregunta.</w:t>
      </w:r>
    </w:p>
    <w:p>
      <w:pPr>
        <w:pStyle w:val="BodyText"/>
        <w:spacing w:before="156"/>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30"/>
          <w:sz w:val="24"/>
        </w:rPr>
        <w:t> </w:t>
      </w:r>
      <w:r>
        <w:rPr>
          <w:rFonts w:ascii="Arial MT" w:hAnsi="Arial MT"/>
          <w:color w:val="231F1F"/>
          <w:sz w:val="24"/>
        </w:rPr>
        <w:t>(hasta</w:t>
      </w:r>
      <w:r>
        <w:rPr>
          <w:rFonts w:ascii="Arial MT" w:hAnsi="Arial MT"/>
          <w:color w:val="231F1F"/>
          <w:spacing w:val="33"/>
          <w:sz w:val="24"/>
        </w:rPr>
        <w:t> </w:t>
      </w:r>
      <w:r>
        <w:rPr>
          <w:rFonts w:ascii="Arial MT" w:hAnsi="Arial MT"/>
          <w:color w:val="231F1F"/>
          <w:sz w:val="24"/>
        </w:rPr>
        <w:t>febrero</w:t>
      </w:r>
      <w:r>
        <w:rPr>
          <w:rFonts w:ascii="Arial MT" w:hAnsi="Arial MT"/>
          <w:color w:val="231F1F"/>
          <w:spacing w:val="33"/>
          <w:sz w:val="24"/>
        </w:rPr>
        <w:t> </w:t>
      </w:r>
      <w:r>
        <w:rPr>
          <w:rFonts w:ascii="Arial MT" w:hAnsi="Arial MT"/>
          <w:color w:val="231F1F"/>
          <w:spacing w:val="-2"/>
          <w:sz w:val="24"/>
        </w:rPr>
        <w:t>2009)</w:t>
      </w:r>
    </w:p>
    <w:p>
      <w:pPr>
        <w:pStyle w:val="BodyText"/>
        <w:spacing w:before="176"/>
        <w:ind w:left="283" w:right="1386"/>
      </w:pPr>
      <w:r>
        <w:rPr>
          <w:color w:val="231F1F"/>
          <w:w w:val="105"/>
        </w:rPr>
        <w:t>En</w:t>
      </w:r>
      <w:r>
        <w:rPr>
          <w:color w:val="231F1F"/>
          <w:spacing w:val="-8"/>
          <w:w w:val="105"/>
        </w:rPr>
        <w:t> </w:t>
      </w:r>
      <w:r>
        <w:rPr>
          <w:color w:val="231F1F"/>
          <w:w w:val="105"/>
        </w:rPr>
        <w:t>la</w:t>
      </w:r>
      <w:r>
        <w:rPr>
          <w:color w:val="231F1F"/>
          <w:spacing w:val="-8"/>
          <w:w w:val="105"/>
        </w:rPr>
        <w:t> </w:t>
      </w:r>
      <w:r>
        <w:rPr>
          <w:color w:val="231F1F"/>
          <w:w w:val="105"/>
        </w:rPr>
        <w:t>búsqueda</w:t>
      </w:r>
      <w:r>
        <w:rPr>
          <w:color w:val="231F1F"/>
          <w:spacing w:val="-9"/>
          <w:w w:val="105"/>
        </w:rPr>
        <w:t> </w:t>
      </w:r>
      <w:r>
        <w:rPr>
          <w:color w:val="231F1F"/>
          <w:w w:val="105"/>
        </w:rPr>
        <w:t>realizada</w:t>
      </w:r>
      <w:r>
        <w:rPr>
          <w:color w:val="231F1F"/>
          <w:spacing w:val="-7"/>
          <w:w w:val="105"/>
        </w:rPr>
        <w:t> </w:t>
      </w:r>
      <w:r>
        <w:rPr>
          <w:color w:val="231F1F"/>
          <w:w w:val="105"/>
        </w:rPr>
        <w:t>se</w:t>
      </w:r>
      <w:r>
        <w:rPr>
          <w:color w:val="231F1F"/>
          <w:spacing w:val="-9"/>
          <w:w w:val="105"/>
        </w:rPr>
        <w:t> </w:t>
      </w:r>
      <w:r>
        <w:rPr>
          <w:color w:val="231F1F"/>
          <w:w w:val="105"/>
        </w:rPr>
        <w:t>ha</w:t>
      </w:r>
      <w:r>
        <w:rPr>
          <w:color w:val="231F1F"/>
          <w:spacing w:val="-9"/>
          <w:w w:val="105"/>
        </w:rPr>
        <w:t> </w:t>
      </w:r>
      <w:r>
        <w:rPr>
          <w:color w:val="231F1F"/>
          <w:w w:val="105"/>
        </w:rPr>
        <w:t>seleccionado</w:t>
      </w:r>
      <w:r>
        <w:rPr>
          <w:color w:val="231F1F"/>
          <w:spacing w:val="-8"/>
          <w:w w:val="105"/>
        </w:rPr>
        <w:t> </w:t>
      </w:r>
      <w:r>
        <w:rPr>
          <w:color w:val="231F1F"/>
          <w:w w:val="105"/>
        </w:rPr>
        <w:t>una</w:t>
      </w:r>
      <w:r>
        <w:rPr>
          <w:color w:val="231F1F"/>
          <w:spacing w:val="-9"/>
          <w:w w:val="105"/>
        </w:rPr>
        <w:t> </w:t>
      </w:r>
      <w:r>
        <w:rPr>
          <w:color w:val="231F1F"/>
          <w:w w:val="105"/>
        </w:rPr>
        <w:t>RS</w:t>
      </w:r>
      <w:r>
        <w:rPr>
          <w:color w:val="231F1F"/>
          <w:spacing w:val="-8"/>
          <w:w w:val="105"/>
        </w:rPr>
        <w:t> </w:t>
      </w:r>
      <w:r>
        <w:rPr>
          <w:color w:val="231F1F"/>
          <w:w w:val="105"/>
        </w:rPr>
        <w:t>Cochrane</w:t>
      </w:r>
      <w:r>
        <w:rPr>
          <w:color w:val="231F1F"/>
          <w:spacing w:val="-9"/>
          <w:w w:val="105"/>
        </w:rPr>
        <w:t> </w:t>
      </w:r>
      <w:r>
        <w:rPr>
          <w:color w:val="231F1F"/>
          <w:w w:val="105"/>
        </w:rPr>
        <w:t>de</w:t>
      </w:r>
      <w:r>
        <w:rPr>
          <w:color w:val="231F1F"/>
          <w:spacing w:val="-8"/>
          <w:w w:val="105"/>
        </w:rPr>
        <w:t> </w:t>
      </w:r>
      <w:r>
        <w:rPr>
          <w:color w:val="231F1F"/>
          <w:w w:val="105"/>
        </w:rPr>
        <w:t>alta</w:t>
      </w:r>
      <w:r>
        <w:rPr>
          <w:color w:val="231F1F"/>
          <w:spacing w:val="-8"/>
          <w:w w:val="105"/>
        </w:rPr>
        <w:t> </w:t>
      </w:r>
      <w:r>
        <w:rPr>
          <w:color w:val="231F1F"/>
          <w:w w:val="105"/>
        </w:rPr>
        <w:t>calidad, NE=1+.</w:t>
      </w:r>
      <w:r>
        <w:rPr>
          <w:color w:val="231F1F"/>
          <w:spacing w:val="25"/>
          <w:w w:val="105"/>
        </w:rPr>
        <w:t> </w:t>
      </w:r>
      <w:r>
        <w:rPr>
          <w:color w:val="231F1F"/>
          <w:w w:val="105"/>
        </w:rPr>
        <w:t>El</w:t>
      </w:r>
      <w:r>
        <w:rPr>
          <w:color w:val="231F1F"/>
          <w:spacing w:val="27"/>
          <w:w w:val="105"/>
        </w:rPr>
        <w:t> </w:t>
      </w:r>
      <w:r>
        <w:rPr>
          <w:color w:val="231F1F"/>
          <w:w w:val="105"/>
        </w:rPr>
        <w:t>Objetivo</w:t>
      </w:r>
      <w:r>
        <w:rPr>
          <w:color w:val="231F1F"/>
          <w:spacing w:val="28"/>
          <w:w w:val="105"/>
        </w:rPr>
        <w:t> </w:t>
      </w:r>
      <w:r>
        <w:rPr>
          <w:color w:val="231F1F"/>
          <w:w w:val="105"/>
        </w:rPr>
        <w:t>de</w:t>
      </w:r>
      <w:r>
        <w:rPr>
          <w:color w:val="231F1F"/>
          <w:spacing w:val="26"/>
          <w:w w:val="105"/>
        </w:rPr>
        <w:t> </w:t>
      </w:r>
      <w:r>
        <w:rPr>
          <w:color w:val="231F1F"/>
          <w:w w:val="105"/>
        </w:rPr>
        <w:t>esta</w:t>
      </w:r>
      <w:r>
        <w:rPr>
          <w:color w:val="231F1F"/>
          <w:spacing w:val="28"/>
          <w:w w:val="105"/>
        </w:rPr>
        <w:t> </w:t>
      </w:r>
      <w:r>
        <w:rPr>
          <w:color w:val="231F1F"/>
          <w:w w:val="105"/>
        </w:rPr>
        <w:t>RS</w:t>
      </w:r>
      <w:r>
        <w:rPr>
          <w:color w:val="231F1F"/>
          <w:spacing w:val="26"/>
          <w:w w:val="105"/>
        </w:rPr>
        <w:t> </w:t>
      </w:r>
      <w:r>
        <w:rPr>
          <w:color w:val="231F1F"/>
          <w:w w:val="105"/>
        </w:rPr>
        <w:t>publicada</w:t>
      </w:r>
      <w:r>
        <w:rPr>
          <w:color w:val="231F1F"/>
          <w:spacing w:val="27"/>
          <w:w w:val="105"/>
        </w:rPr>
        <w:t> </w:t>
      </w:r>
      <w:r>
        <w:rPr>
          <w:color w:val="231F1F"/>
          <w:w w:val="105"/>
        </w:rPr>
        <w:t>en</w:t>
      </w:r>
      <w:r>
        <w:rPr>
          <w:color w:val="231F1F"/>
          <w:spacing w:val="28"/>
          <w:w w:val="105"/>
        </w:rPr>
        <w:t> </w:t>
      </w:r>
      <w:r>
        <w:rPr>
          <w:color w:val="231F1F"/>
          <w:w w:val="105"/>
        </w:rPr>
        <w:t>2008</w:t>
      </w:r>
      <w:r>
        <w:rPr>
          <w:color w:val="231F1F"/>
          <w:spacing w:val="27"/>
          <w:w w:val="105"/>
        </w:rPr>
        <w:t> </w:t>
      </w:r>
      <w:r>
        <w:rPr>
          <w:color w:val="231F1F"/>
          <w:w w:val="105"/>
        </w:rPr>
        <w:t>(12),</w:t>
      </w:r>
      <w:r>
        <w:rPr>
          <w:color w:val="231F1F"/>
          <w:spacing w:val="28"/>
          <w:w w:val="105"/>
        </w:rPr>
        <w:t> </w:t>
      </w:r>
      <w:r>
        <w:rPr>
          <w:color w:val="231F1F"/>
          <w:w w:val="105"/>
        </w:rPr>
        <w:t>fue</w:t>
      </w:r>
      <w:r>
        <w:rPr>
          <w:color w:val="231F1F"/>
          <w:spacing w:val="27"/>
          <w:w w:val="105"/>
        </w:rPr>
        <w:t> </w:t>
      </w:r>
      <w:r>
        <w:rPr>
          <w:color w:val="231F1F"/>
          <w:w w:val="105"/>
        </w:rPr>
        <w:t>comparar</w:t>
      </w:r>
      <w:r>
        <w:rPr>
          <w:color w:val="231F1F"/>
          <w:spacing w:val="27"/>
          <w:w w:val="105"/>
        </w:rPr>
        <w:t> </w:t>
      </w:r>
      <w:r>
        <w:rPr>
          <w:color w:val="231F1F"/>
          <w:spacing w:val="-5"/>
          <w:w w:val="105"/>
        </w:rPr>
        <w:t>los</w:t>
      </w:r>
    </w:p>
    <w:p>
      <w:pPr>
        <w:pStyle w:val="BodyText"/>
        <w:spacing w:after="0"/>
        <w:sectPr>
          <w:pgSz w:w="11900" w:h="16840"/>
          <w:pgMar w:header="0" w:footer="622" w:top="1560" w:bottom="820" w:left="1417" w:right="1559"/>
        </w:sectPr>
      </w:pPr>
    </w:p>
    <w:p>
      <w:pPr>
        <w:pStyle w:val="BodyText"/>
        <w:spacing w:line="237" w:lineRule="auto" w:before="75"/>
        <w:ind w:left="283" w:right="5"/>
        <w:jc w:val="both"/>
      </w:pPr>
      <w:r>
        <w:rPr>
          <w:color w:val="231F1F"/>
          <w:w w:val="110"/>
        </w:rPr>
        <w:t>modelos</w:t>
      </w:r>
      <w:r>
        <w:rPr>
          <w:color w:val="231F1F"/>
          <w:spacing w:val="-16"/>
          <w:w w:val="110"/>
        </w:rPr>
        <w:t> </w:t>
      </w:r>
      <w:r>
        <w:rPr>
          <w:color w:val="231F1F"/>
          <w:w w:val="110"/>
        </w:rPr>
        <w:t>de</w:t>
      </w:r>
      <w:r>
        <w:rPr>
          <w:color w:val="231F1F"/>
          <w:spacing w:val="-15"/>
          <w:w w:val="110"/>
        </w:rPr>
        <w:t> </w:t>
      </w:r>
      <w:r>
        <w:rPr>
          <w:color w:val="231F1F"/>
          <w:w w:val="110"/>
        </w:rPr>
        <w:t>atención</w:t>
      </w:r>
      <w:r>
        <w:rPr>
          <w:color w:val="231F1F"/>
          <w:spacing w:val="-15"/>
          <w:w w:val="110"/>
        </w:rPr>
        <w:t> </w:t>
      </w:r>
      <w:r>
        <w:rPr>
          <w:color w:val="231F1F"/>
          <w:w w:val="110"/>
        </w:rPr>
        <w:t>del</w:t>
      </w:r>
      <w:r>
        <w:rPr>
          <w:color w:val="231F1F"/>
          <w:spacing w:val="-15"/>
          <w:w w:val="110"/>
        </w:rPr>
        <w:t> </w:t>
      </w:r>
      <w:r>
        <w:rPr>
          <w:color w:val="231F1F"/>
          <w:w w:val="110"/>
        </w:rPr>
        <w:t>embarazo,</w:t>
      </w:r>
      <w:r>
        <w:rPr>
          <w:color w:val="231F1F"/>
          <w:spacing w:val="-15"/>
          <w:w w:val="110"/>
        </w:rPr>
        <w:t> </w:t>
      </w:r>
      <w:r>
        <w:rPr>
          <w:color w:val="231F1F"/>
          <w:w w:val="110"/>
        </w:rPr>
        <w:t>parto</w:t>
      </w:r>
      <w:r>
        <w:rPr>
          <w:color w:val="231F1F"/>
          <w:spacing w:val="-15"/>
          <w:w w:val="110"/>
        </w:rPr>
        <w:t> </w:t>
      </w:r>
      <w:r>
        <w:rPr>
          <w:color w:val="231F1F"/>
          <w:w w:val="110"/>
        </w:rPr>
        <w:t>y</w:t>
      </w:r>
      <w:r>
        <w:rPr>
          <w:color w:val="231F1F"/>
          <w:spacing w:val="-15"/>
          <w:w w:val="110"/>
        </w:rPr>
        <w:t> </w:t>
      </w:r>
      <w:r>
        <w:rPr>
          <w:color w:val="231F1F"/>
          <w:w w:val="110"/>
        </w:rPr>
        <w:t>puerperio</w:t>
      </w:r>
      <w:r>
        <w:rPr>
          <w:color w:val="231F1F"/>
          <w:spacing w:val="-15"/>
          <w:w w:val="110"/>
        </w:rPr>
        <w:t> </w:t>
      </w:r>
      <w:r>
        <w:rPr>
          <w:color w:val="231F1F"/>
          <w:w w:val="110"/>
        </w:rPr>
        <w:t>dirigidos</w:t>
      </w:r>
      <w:r>
        <w:rPr>
          <w:color w:val="231F1F"/>
          <w:spacing w:val="-16"/>
          <w:w w:val="110"/>
        </w:rPr>
        <w:t> </w:t>
      </w:r>
      <w:r>
        <w:rPr>
          <w:color w:val="231F1F"/>
          <w:w w:val="110"/>
        </w:rPr>
        <w:t>por</w:t>
      </w:r>
      <w:r>
        <w:rPr>
          <w:color w:val="231F1F"/>
          <w:spacing w:val="-15"/>
          <w:w w:val="110"/>
        </w:rPr>
        <w:t> </w:t>
      </w:r>
      <w:r>
        <w:rPr>
          <w:color w:val="231F1F"/>
          <w:w w:val="110"/>
        </w:rPr>
        <w:t>matronas con otros modelos de atención.</w:t>
      </w:r>
    </w:p>
    <w:p>
      <w:pPr>
        <w:pStyle w:val="BodyText"/>
        <w:spacing w:line="242" w:lineRule="auto" w:before="174"/>
        <w:ind w:left="283" w:firstLine="453"/>
        <w:jc w:val="both"/>
      </w:pPr>
      <w:r>
        <w:rPr>
          <w:color w:val="231F1F"/>
          <w:w w:val="105"/>
        </w:rPr>
        <w:t>De</w:t>
      </w:r>
      <w:r>
        <w:rPr>
          <w:color w:val="231F1F"/>
          <w:spacing w:val="-7"/>
          <w:w w:val="105"/>
        </w:rPr>
        <w:t> </w:t>
      </w:r>
      <w:r>
        <w:rPr>
          <w:color w:val="231F1F"/>
          <w:w w:val="105"/>
        </w:rPr>
        <w:t>un</w:t>
      </w:r>
      <w:r>
        <w:rPr>
          <w:color w:val="231F1F"/>
          <w:spacing w:val="-7"/>
          <w:w w:val="105"/>
        </w:rPr>
        <w:t> </w:t>
      </w:r>
      <w:r>
        <w:rPr>
          <w:color w:val="231F1F"/>
          <w:w w:val="105"/>
        </w:rPr>
        <w:t>total</w:t>
      </w:r>
      <w:r>
        <w:rPr>
          <w:color w:val="231F1F"/>
          <w:spacing w:val="-8"/>
          <w:w w:val="105"/>
        </w:rPr>
        <w:t> </w:t>
      </w:r>
      <w:r>
        <w:rPr>
          <w:color w:val="231F1F"/>
          <w:w w:val="105"/>
        </w:rPr>
        <w:t>de</w:t>
      </w:r>
      <w:r>
        <w:rPr>
          <w:color w:val="231F1F"/>
          <w:spacing w:val="-7"/>
          <w:w w:val="105"/>
        </w:rPr>
        <w:t> </w:t>
      </w:r>
      <w:r>
        <w:rPr>
          <w:color w:val="231F1F"/>
          <w:w w:val="105"/>
        </w:rPr>
        <w:t>31</w:t>
      </w:r>
      <w:r>
        <w:rPr>
          <w:color w:val="231F1F"/>
          <w:spacing w:val="-7"/>
          <w:w w:val="105"/>
        </w:rPr>
        <w:t> </w:t>
      </w:r>
      <w:r>
        <w:rPr>
          <w:color w:val="231F1F"/>
          <w:w w:val="105"/>
        </w:rPr>
        <w:t>estudios</w:t>
      </w:r>
      <w:r>
        <w:rPr>
          <w:color w:val="231F1F"/>
          <w:spacing w:val="-7"/>
          <w:w w:val="105"/>
        </w:rPr>
        <w:t> </w:t>
      </w:r>
      <w:r>
        <w:rPr>
          <w:color w:val="231F1F"/>
          <w:w w:val="105"/>
        </w:rPr>
        <w:t>identificados</w:t>
      </w:r>
      <w:r>
        <w:rPr>
          <w:color w:val="231F1F"/>
          <w:spacing w:val="-8"/>
          <w:w w:val="105"/>
        </w:rPr>
        <w:t> </w:t>
      </w:r>
      <w:r>
        <w:rPr>
          <w:color w:val="231F1F"/>
          <w:w w:val="105"/>
        </w:rPr>
        <w:t>en</w:t>
      </w:r>
      <w:r>
        <w:rPr>
          <w:color w:val="231F1F"/>
          <w:spacing w:val="-7"/>
          <w:w w:val="105"/>
        </w:rPr>
        <w:t> </w:t>
      </w:r>
      <w:r>
        <w:rPr>
          <w:color w:val="231F1F"/>
          <w:w w:val="105"/>
        </w:rPr>
        <w:t>la</w:t>
      </w:r>
      <w:r>
        <w:rPr>
          <w:color w:val="231F1F"/>
          <w:spacing w:val="-7"/>
          <w:w w:val="105"/>
        </w:rPr>
        <w:t> </w:t>
      </w:r>
      <w:r>
        <w:rPr>
          <w:color w:val="231F1F"/>
          <w:w w:val="105"/>
        </w:rPr>
        <w:t>RS</w:t>
      </w:r>
      <w:r>
        <w:rPr>
          <w:color w:val="231F1F"/>
          <w:spacing w:val="-7"/>
          <w:w w:val="105"/>
        </w:rPr>
        <w:t> </w:t>
      </w:r>
      <w:r>
        <w:rPr>
          <w:color w:val="231F1F"/>
          <w:w w:val="105"/>
        </w:rPr>
        <w:t>(12),</w:t>
      </w:r>
      <w:r>
        <w:rPr>
          <w:color w:val="231F1F"/>
          <w:spacing w:val="-7"/>
          <w:w w:val="105"/>
        </w:rPr>
        <w:t> </w:t>
      </w:r>
      <w:r>
        <w:rPr>
          <w:color w:val="231F1F"/>
          <w:w w:val="105"/>
        </w:rPr>
        <w:t>se</w:t>
      </w:r>
      <w:r>
        <w:rPr>
          <w:color w:val="231F1F"/>
          <w:spacing w:val="-7"/>
          <w:w w:val="105"/>
        </w:rPr>
        <w:t> </w:t>
      </w:r>
      <w:r>
        <w:rPr>
          <w:color w:val="231F1F"/>
          <w:w w:val="105"/>
        </w:rPr>
        <w:t>seleccionaron</w:t>
      </w:r>
      <w:r>
        <w:rPr>
          <w:color w:val="231F1F"/>
          <w:spacing w:val="-8"/>
          <w:w w:val="105"/>
        </w:rPr>
        <w:t> </w:t>
      </w:r>
      <w:r>
        <w:rPr>
          <w:color w:val="231F1F"/>
          <w:w w:val="105"/>
        </w:rPr>
        <w:t>11 ECAs</w:t>
      </w:r>
      <w:r>
        <w:rPr>
          <w:color w:val="231F1F"/>
          <w:spacing w:val="-5"/>
          <w:w w:val="105"/>
        </w:rPr>
        <w:t> </w:t>
      </w:r>
      <w:r>
        <w:rPr>
          <w:color w:val="231F1F"/>
          <w:w w:val="105"/>
        </w:rPr>
        <w:t>que</w:t>
      </w:r>
      <w:r>
        <w:rPr>
          <w:color w:val="231F1F"/>
          <w:spacing w:val="-5"/>
          <w:w w:val="105"/>
        </w:rPr>
        <w:t> </w:t>
      </w:r>
      <w:r>
        <w:rPr>
          <w:color w:val="231F1F"/>
          <w:w w:val="105"/>
        </w:rPr>
        <w:t>incluyeron</w:t>
      </w:r>
      <w:r>
        <w:rPr>
          <w:color w:val="231F1F"/>
          <w:spacing w:val="-6"/>
          <w:w w:val="105"/>
        </w:rPr>
        <w:t> </w:t>
      </w:r>
      <w:r>
        <w:rPr>
          <w:color w:val="231F1F"/>
          <w:w w:val="105"/>
        </w:rPr>
        <w:t>12.276</w:t>
      </w:r>
      <w:r>
        <w:rPr>
          <w:color w:val="231F1F"/>
          <w:spacing w:val="-5"/>
          <w:w w:val="105"/>
        </w:rPr>
        <w:t> </w:t>
      </w:r>
      <w:r>
        <w:rPr>
          <w:color w:val="231F1F"/>
          <w:w w:val="105"/>
        </w:rPr>
        <w:t>mujeres.</w:t>
      </w:r>
      <w:r>
        <w:rPr>
          <w:color w:val="231F1F"/>
          <w:spacing w:val="-5"/>
          <w:w w:val="105"/>
        </w:rPr>
        <w:t> </w:t>
      </w:r>
      <w:r>
        <w:rPr>
          <w:color w:val="231F1F"/>
          <w:w w:val="105"/>
        </w:rPr>
        <w:t>De</w:t>
      </w:r>
      <w:r>
        <w:rPr>
          <w:color w:val="231F1F"/>
          <w:spacing w:val="-5"/>
          <w:w w:val="105"/>
        </w:rPr>
        <w:t> </w:t>
      </w:r>
      <w:r>
        <w:rPr>
          <w:color w:val="231F1F"/>
          <w:w w:val="105"/>
        </w:rPr>
        <w:t>los</w:t>
      </w:r>
      <w:r>
        <w:rPr>
          <w:color w:val="231F1F"/>
          <w:spacing w:val="-5"/>
          <w:w w:val="105"/>
        </w:rPr>
        <w:t> </w:t>
      </w:r>
      <w:r>
        <w:rPr>
          <w:color w:val="231F1F"/>
          <w:w w:val="105"/>
        </w:rPr>
        <w:t>11</w:t>
      </w:r>
      <w:r>
        <w:rPr>
          <w:color w:val="231F1F"/>
          <w:spacing w:val="-5"/>
          <w:w w:val="105"/>
        </w:rPr>
        <w:t> </w:t>
      </w:r>
      <w:r>
        <w:rPr>
          <w:color w:val="231F1F"/>
          <w:w w:val="105"/>
        </w:rPr>
        <w:t>estudios,</w:t>
      </w:r>
      <w:r>
        <w:rPr>
          <w:color w:val="231F1F"/>
          <w:spacing w:val="-5"/>
          <w:w w:val="105"/>
        </w:rPr>
        <w:t> </w:t>
      </w:r>
      <w:r>
        <w:rPr>
          <w:color w:val="231F1F"/>
          <w:w w:val="105"/>
        </w:rPr>
        <w:t>siete</w:t>
      </w:r>
      <w:r>
        <w:rPr>
          <w:color w:val="231F1F"/>
          <w:spacing w:val="-5"/>
          <w:w w:val="105"/>
        </w:rPr>
        <w:t> </w:t>
      </w:r>
      <w:r>
        <w:rPr>
          <w:color w:val="231F1F"/>
          <w:w w:val="105"/>
        </w:rPr>
        <w:t>compararon</w:t>
      </w:r>
      <w:r>
        <w:rPr>
          <w:color w:val="231F1F"/>
          <w:spacing w:val="-5"/>
          <w:w w:val="105"/>
        </w:rPr>
        <w:t> </w:t>
      </w:r>
      <w:r>
        <w:rPr>
          <w:color w:val="231F1F"/>
          <w:w w:val="105"/>
        </w:rPr>
        <w:t>un modelo</w:t>
      </w:r>
      <w:r>
        <w:rPr>
          <w:color w:val="231F1F"/>
          <w:spacing w:val="-4"/>
          <w:w w:val="105"/>
        </w:rPr>
        <w:t> </w:t>
      </w:r>
      <w:r>
        <w:rPr>
          <w:color w:val="231F1F"/>
          <w:w w:val="105"/>
        </w:rPr>
        <w:t>de</w:t>
      </w:r>
      <w:r>
        <w:rPr>
          <w:color w:val="231F1F"/>
          <w:spacing w:val="-4"/>
          <w:w w:val="105"/>
        </w:rPr>
        <w:t> </w:t>
      </w:r>
      <w:r>
        <w:rPr>
          <w:color w:val="231F1F"/>
          <w:w w:val="105"/>
        </w:rPr>
        <w:t>atención</w:t>
      </w:r>
      <w:r>
        <w:rPr>
          <w:color w:val="231F1F"/>
          <w:spacing w:val="-4"/>
          <w:w w:val="105"/>
        </w:rPr>
        <w:t> </w:t>
      </w:r>
      <w:r>
        <w:rPr>
          <w:color w:val="231F1F"/>
          <w:w w:val="105"/>
        </w:rPr>
        <w:t>al</w:t>
      </w:r>
      <w:r>
        <w:rPr>
          <w:color w:val="231F1F"/>
          <w:spacing w:val="-4"/>
          <w:w w:val="105"/>
        </w:rPr>
        <w:t> </w:t>
      </w:r>
      <w:r>
        <w:rPr>
          <w:color w:val="231F1F"/>
          <w:w w:val="105"/>
        </w:rPr>
        <w:t>embarazo,</w:t>
      </w:r>
      <w:r>
        <w:rPr>
          <w:color w:val="231F1F"/>
          <w:spacing w:val="-3"/>
          <w:w w:val="105"/>
        </w:rPr>
        <w:t> </w:t>
      </w:r>
      <w:r>
        <w:rPr>
          <w:color w:val="231F1F"/>
          <w:w w:val="105"/>
        </w:rPr>
        <w:t>parto</w:t>
      </w:r>
      <w:r>
        <w:rPr>
          <w:color w:val="231F1F"/>
          <w:spacing w:val="-4"/>
          <w:w w:val="105"/>
        </w:rPr>
        <w:t> </w:t>
      </w:r>
      <w:r>
        <w:rPr>
          <w:color w:val="231F1F"/>
          <w:w w:val="105"/>
        </w:rPr>
        <w:t>y</w:t>
      </w:r>
      <w:r>
        <w:rPr>
          <w:color w:val="231F1F"/>
          <w:spacing w:val="-4"/>
          <w:w w:val="105"/>
        </w:rPr>
        <w:t> </w:t>
      </w:r>
      <w:r>
        <w:rPr>
          <w:color w:val="231F1F"/>
          <w:w w:val="105"/>
        </w:rPr>
        <w:t>puerperio</w:t>
      </w:r>
      <w:r>
        <w:rPr>
          <w:color w:val="231F1F"/>
          <w:spacing w:val="-4"/>
          <w:w w:val="105"/>
        </w:rPr>
        <w:t> </w:t>
      </w:r>
      <w:r>
        <w:rPr>
          <w:color w:val="231F1F"/>
          <w:w w:val="105"/>
        </w:rPr>
        <w:t>dirigido</w:t>
      </w:r>
      <w:r>
        <w:rPr>
          <w:color w:val="231F1F"/>
          <w:spacing w:val="-4"/>
          <w:w w:val="105"/>
        </w:rPr>
        <w:t> </w:t>
      </w:r>
      <w:r>
        <w:rPr>
          <w:color w:val="231F1F"/>
          <w:w w:val="105"/>
        </w:rPr>
        <w:t>por</w:t>
      </w:r>
      <w:r>
        <w:rPr>
          <w:color w:val="231F1F"/>
          <w:spacing w:val="-4"/>
          <w:w w:val="105"/>
        </w:rPr>
        <w:t> </w:t>
      </w:r>
      <w:r>
        <w:rPr>
          <w:color w:val="231F1F"/>
          <w:w w:val="105"/>
        </w:rPr>
        <w:t>matronas</w:t>
      </w:r>
      <w:r>
        <w:rPr>
          <w:color w:val="231F1F"/>
          <w:spacing w:val="-4"/>
          <w:w w:val="105"/>
        </w:rPr>
        <w:t> </w:t>
      </w:r>
      <w:r>
        <w:rPr>
          <w:color w:val="231F1F"/>
          <w:w w:val="105"/>
        </w:rPr>
        <w:t>fren- te a un modelo de atención compartida (profesionales matronas, de obstetricia y</w:t>
      </w:r>
      <w:r>
        <w:rPr>
          <w:color w:val="231F1F"/>
          <w:spacing w:val="-3"/>
          <w:w w:val="105"/>
        </w:rPr>
        <w:t> </w:t>
      </w:r>
      <w:r>
        <w:rPr>
          <w:color w:val="231F1F"/>
          <w:w w:val="105"/>
        </w:rPr>
        <w:t>de</w:t>
      </w:r>
      <w:r>
        <w:rPr>
          <w:color w:val="231F1F"/>
          <w:spacing w:val="-3"/>
          <w:w w:val="105"/>
        </w:rPr>
        <w:t> </w:t>
      </w:r>
      <w:r>
        <w:rPr>
          <w:color w:val="231F1F"/>
          <w:w w:val="105"/>
        </w:rPr>
        <w:t>medicina</w:t>
      </w:r>
      <w:r>
        <w:rPr>
          <w:color w:val="231F1F"/>
          <w:spacing w:val="-3"/>
          <w:w w:val="105"/>
        </w:rPr>
        <w:t> </w:t>
      </w:r>
      <w:r>
        <w:rPr>
          <w:color w:val="231F1F"/>
          <w:w w:val="105"/>
        </w:rPr>
        <w:t>de</w:t>
      </w:r>
      <w:r>
        <w:rPr>
          <w:color w:val="231F1F"/>
          <w:spacing w:val="-3"/>
          <w:w w:val="105"/>
        </w:rPr>
        <w:t> </w:t>
      </w:r>
      <w:r>
        <w:rPr>
          <w:color w:val="231F1F"/>
          <w:w w:val="105"/>
        </w:rPr>
        <w:t>atención</w:t>
      </w:r>
      <w:r>
        <w:rPr>
          <w:color w:val="231F1F"/>
          <w:spacing w:val="-2"/>
          <w:w w:val="105"/>
        </w:rPr>
        <w:t> </w:t>
      </w:r>
      <w:r>
        <w:rPr>
          <w:color w:val="231F1F"/>
          <w:w w:val="105"/>
        </w:rPr>
        <w:t>primaria),</w:t>
      </w:r>
      <w:r>
        <w:rPr>
          <w:color w:val="231F1F"/>
          <w:spacing w:val="-3"/>
          <w:w w:val="105"/>
        </w:rPr>
        <w:t> </w:t>
      </w:r>
      <w:r>
        <w:rPr>
          <w:color w:val="231F1F"/>
          <w:w w:val="105"/>
        </w:rPr>
        <w:t>tres</w:t>
      </w:r>
      <w:r>
        <w:rPr>
          <w:color w:val="231F1F"/>
          <w:spacing w:val="-3"/>
          <w:w w:val="105"/>
        </w:rPr>
        <w:t> </w:t>
      </w:r>
      <w:r>
        <w:rPr>
          <w:color w:val="231F1F"/>
          <w:w w:val="105"/>
        </w:rPr>
        <w:t>estudios</w:t>
      </w:r>
      <w:r>
        <w:rPr>
          <w:color w:val="231F1F"/>
          <w:spacing w:val="-2"/>
          <w:w w:val="105"/>
        </w:rPr>
        <w:t> </w:t>
      </w:r>
      <w:r>
        <w:rPr>
          <w:color w:val="231F1F"/>
          <w:w w:val="105"/>
        </w:rPr>
        <w:t>compararon</w:t>
      </w:r>
      <w:r>
        <w:rPr>
          <w:color w:val="231F1F"/>
          <w:spacing w:val="-3"/>
          <w:w w:val="105"/>
        </w:rPr>
        <w:t> </w:t>
      </w:r>
      <w:r>
        <w:rPr>
          <w:color w:val="231F1F"/>
          <w:w w:val="105"/>
        </w:rPr>
        <w:t>un</w:t>
      </w:r>
      <w:r>
        <w:rPr>
          <w:color w:val="231F1F"/>
          <w:spacing w:val="-3"/>
          <w:w w:val="105"/>
        </w:rPr>
        <w:t> </w:t>
      </w:r>
      <w:r>
        <w:rPr>
          <w:color w:val="231F1F"/>
          <w:w w:val="105"/>
        </w:rPr>
        <w:t>modelo</w:t>
      </w:r>
      <w:r>
        <w:rPr>
          <w:color w:val="231F1F"/>
          <w:spacing w:val="-3"/>
          <w:w w:val="105"/>
        </w:rPr>
        <w:t> </w:t>
      </w:r>
      <w:r>
        <w:rPr>
          <w:color w:val="231F1F"/>
          <w:w w:val="105"/>
        </w:rPr>
        <w:t>diri- gido</w:t>
      </w:r>
      <w:r>
        <w:rPr>
          <w:color w:val="231F1F"/>
          <w:w w:val="105"/>
        </w:rPr>
        <w:t> por</w:t>
      </w:r>
      <w:r>
        <w:rPr>
          <w:color w:val="231F1F"/>
          <w:w w:val="105"/>
        </w:rPr>
        <w:t> matronas</w:t>
      </w:r>
      <w:r>
        <w:rPr>
          <w:color w:val="231F1F"/>
          <w:w w:val="105"/>
        </w:rPr>
        <w:t> frente</w:t>
      </w:r>
      <w:r>
        <w:rPr>
          <w:color w:val="231F1F"/>
          <w:w w:val="105"/>
        </w:rPr>
        <w:t> a</w:t>
      </w:r>
      <w:r>
        <w:rPr>
          <w:color w:val="231F1F"/>
          <w:w w:val="105"/>
        </w:rPr>
        <w:t> modelos</w:t>
      </w:r>
      <w:r>
        <w:rPr>
          <w:color w:val="231F1F"/>
          <w:w w:val="105"/>
        </w:rPr>
        <w:t> de</w:t>
      </w:r>
      <w:r>
        <w:rPr>
          <w:color w:val="231F1F"/>
          <w:w w:val="105"/>
        </w:rPr>
        <w:t> atención</w:t>
      </w:r>
      <w:r>
        <w:rPr>
          <w:color w:val="231F1F"/>
          <w:w w:val="105"/>
        </w:rPr>
        <w:t> médica</w:t>
      </w:r>
      <w:r>
        <w:rPr>
          <w:color w:val="231F1F"/>
          <w:w w:val="105"/>
        </w:rPr>
        <w:t> y</w:t>
      </w:r>
      <w:r>
        <w:rPr>
          <w:color w:val="231F1F"/>
          <w:w w:val="105"/>
        </w:rPr>
        <w:t> un</w:t>
      </w:r>
      <w:r>
        <w:rPr>
          <w:color w:val="231F1F"/>
          <w:w w:val="105"/>
        </w:rPr>
        <w:t> último</w:t>
      </w:r>
      <w:r>
        <w:rPr>
          <w:color w:val="231F1F"/>
          <w:w w:val="105"/>
        </w:rPr>
        <w:t> estudio comparó</w:t>
      </w:r>
      <w:r>
        <w:rPr>
          <w:color w:val="231F1F"/>
          <w:w w:val="105"/>
        </w:rPr>
        <w:t> la</w:t>
      </w:r>
      <w:r>
        <w:rPr>
          <w:color w:val="231F1F"/>
          <w:w w:val="105"/>
        </w:rPr>
        <w:t> atención</w:t>
      </w:r>
      <w:r>
        <w:rPr>
          <w:color w:val="231F1F"/>
          <w:w w:val="105"/>
        </w:rPr>
        <w:t> dirigida</w:t>
      </w:r>
      <w:r>
        <w:rPr>
          <w:color w:val="231F1F"/>
          <w:w w:val="105"/>
        </w:rPr>
        <w:t> por</w:t>
      </w:r>
      <w:r>
        <w:rPr>
          <w:color w:val="231F1F"/>
          <w:w w:val="105"/>
        </w:rPr>
        <w:t> matronas</w:t>
      </w:r>
      <w:r>
        <w:rPr>
          <w:color w:val="231F1F"/>
          <w:w w:val="105"/>
        </w:rPr>
        <w:t> con</w:t>
      </w:r>
      <w:r>
        <w:rPr>
          <w:color w:val="231F1F"/>
          <w:w w:val="105"/>
        </w:rPr>
        <w:t> varias</w:t>
      </w:r>
      <w:r>
        <w:rPr>
          <w:color w:val="231F1F"/>
          <w:w w:val="105"/>
        </w:rPr>
        <w:t> opciones</w:t>
      </w:r>
      <w:r>
        <w:rPr>
          <w:color w:val="231F1F"/>
          <w:w w:val="105"/>
        </w:rPr>
        <w:t> de</w:t>
      </w:r>
      <w:r>
        <w:rPr>
          <w:color w:val="231F1F"/>
          <w:w w:val="105"/>
        </w:rPr>
        <w:t> atención estándar, incluyendo modelo de atención médica y de atención compartida.</w:t>
      </w:r>
    </w:p>
    <w:p>
      <w:pPr>
        <w:pStyle w:val="BodyText"/>
        <w:spacing w:before="106"/>
        <w:ind w:left="283" w:firstLine="453"/>
        <w:jc w:val="both"/>
      </w:pPr>
      <w:r>
        <w:rPr>
          <w:color w:val="231F1F"/>
          <w:w w:val="105"/>
        </w:rPr>
        <w:t>Los resultados del metaanálisis realizado mostraron que las mujeres que fueron</w:t>
      </w:r>
      <w:r>
        <w:rPr>
          <w:color w:val="231F1F"/>
          <w:w w:val="105"/>
        </w:rPr>
        <w:t> atendidas</w:t>
      </w:r>
      <w:r>
        <w:rPr>
          <w:color w:val="231F1F"/>
          <w:w w:val="105"/>
        </w:rPr>
        <w:t> mediante</w:t>
      </w:r>
      <w:r>
        <w:rPr>
          <w:color w:val="231F1F"/>
          <w:w w:val="105"/>
        </w:rPr>
        <w:t> modelos</w:t>
      </w:r>
      <w:r>
        <w:rPr>
          <w:color w:val="231F1F"/>
          <w:w w:val="105"/>
        </w:rPr>
        <w:t> dirigidos</w:t>
      </w:r>
      <w:r>
        <w:rPr>
          <w:color w:val="231F1F"/>
          <w:w w:val="105"/>
        </w:rPr>
        <w:t> por</w:t>
      </w:r>
      <w:r>
        <w:rPr>
          <w:color w:val="231F1F"/>
          <w:w w:val="105"/>
        </w:rPr>
        <w:t> matronas,</w:t>
      </w:r>
      <w:r>
        <w:rPr>
          <w:color w:val="231F1F"/>
          <w:w w:val="105"/>
        </w:rPr>
        <w:t> en</w:t>
      </w:r>
      <w:r>
        <w:rPr>
          <w:color w:val="231F1F"/>
          <w:w w:val="105"/>
        </w:rPr>
        <w:t> comparación con</w:t>
      </w:r>
      <w:r>
        <w:rPr>
          <w:color w:val="231F1F"/>
          <w:w w:val="105"/>
        </w:rPr>
        <w:t> las</w:t>
      </w:r>
      <w:r>
        <w:rPr>
          <w:color w:val="231F1F"/>
          <w:w w:val="105"/>
        </w:rPr>
        <w:t> mujeres</w:t>
      </w:r>
      <w:r>
        <w:rPr>
          <w:color w:val="231F1F"/>
          <w:w w:val="105"/>
        </w:rPr>
        <w:t> que</w:t>
      </w:r>
      <w:r>
        <w:rPr>
          <w:color w:val="231F1F"/>
          <w:w w:val="105"/>
        </w:rPr>
        <w:t> fueron</w:t>
      </w:r>
      <w:r>
        <w:rPr>
          <w:color w:val="231F1F"/>
          <w:w w:val="105"/>
        </w:rPr>
        <w:t> atendidas</w:t>
      </w:r>
      <w:r>
        <w:rPr>
          <w:color w:val="231F1F"/>
          <w:w w:val="105"/>
        </w:rPr>
        <w:t> en</w:t>
      </w:r>
      <w:r>
        <w:rPr>
          <w:color w:val="231F1F"/>
          <w:w w:val="105"/>
        </w:rPr>
        <w:t> otros</w:t>
      </w:r>
      <w:r>
        <w:rPr>
          <w:color w:val="231F1F"/>
          <w:w w:val="105"/>
        </w:rPr>
        <w:t> modelos,</w:t>
      </w:r>
      <w:r>
        <w:rPr>
          <w:color w:val="231F1F"/>
          <w:w w:val="105"/>
        </w:rPr>
        <w:t> fueron</w:t>
      </w:r>
      <w:r>
        <w:rPr>
          <w:color w:val="231F1F"/>
          <w:w w:val="105"/>
        </w:rPr>
        <w:t> menos</w:t>
      </w:r>
      <w:r>
        <w:rPr>
          <w:color w:val="231F1F"/>
          <w:w w:val="105"/>
        </w:rPr>
        <w:t> pro- pensas a ser ingresadas en el hospital durante el embarazo: RR 0,90 [IC 95% 0,81</w:t>
      </w:r>
      <w:r>
        <w:rPr>
          <w:color w:val="231F1F"/>
          <w:spacing w:val="-10"/>
          <w:w w:val="105"/>
        </w:rPr>
        <w:t> </w:t>
      </w:r>
      <w:r>
        <w:rPr>
          <w:color w:val="231F1F"/>
          <w:w w:val="105"/>
        </w:rPr>
        <w:t>a</w:t>
      </w:r>
      <w:r>
        <w:rPr>
          <w:color w:val="231F1F"/>
          <w:spacing w:val="-10"/>
          <w:w w:val="105"/>
        </w:rPr>
        <w:t> </w:t>
      </w:r>
      <w:r>
        <w:rPr>
          <w:color w:val="231F1F"/>
          <w:w w:val="105"/>
        </w:rPr>
        <w:t>0,99],</w:t>
      </w:r>
      <w:r>
        <w:rPr>
          <w:color w:val="231F1F"/>
          <w:spacing w:val="-11"/>
          <w:w w:val="105"/>
        </w:rPr>
        <w:t> </w:t>
      </w:r>
      <w:r>
        <w:rPr>
          <w:color w:val="231F1F"/>
          <w:w w:val="105"/>
        </w:rPr>
        <w:t>a</w:t>
      </w:r>
      <w:r>
        <w:rPr>
          <w:color w:val="231F1F"/>
          <w:spacing w:val="-10"/>
          <w:w w:val="105"/>
        </w:rPr>
        <w:t> </w:t>
      </w:r>
      <w:r>
        <w:rPr>
          <w:color w:val="231F1F"/>
          <w:w w:val="105"/>
        </w:rPr>
        <w:t>recibir</w:t>
      </w:r>
      <w:r>
        <w:rPr>
          <w:color w:val="231F1F"/>
          <w:spacing w:val="-10"/>
          <w:w w:val="105"/>
        </w:rPr>
        <w:t> </w:t>
      </w:r>
      <w:r>
        <w:rPr>
          <w:color w:val="231F1F"/>
          <w:w w:val="105"/>
        </w:rPr>
        <w:t>analgésicos</w:t>
      </w:r>
      <w:r>
        <w:rPr>
          <w:color w:val="231F1F"/>
          <w:spacing w:val="-10"/>
          <w:w w:val="105"/>
        </w:rPr>
        <w:t> </w:t>
      </w:r>
      <w:r>
        <w:rPr>
          <w:color w:val="231F1F"/>
          <w:w w:val="105"/>
        </w:rPr>
        <w:t>regionales</w:t>
      </w:r>
      <w:r>
        <w:rPr>
          <w:color w:val="231F1F"/>
          <w:spacing w:val="-10"/>
          <w:w w:val="105"/>
        </w:rPr>
        <w:t> </w:t>
      </w:r>
      <w:r>
        <w:rPr>
          <w:color w:val="231F1F"/>
          <w:w w:val="105"/>
        </w:rPr>
        <w:t>durante</w:t>
      </w:r>
      <w:r>
        <w:rPr>
          <w:color w:val="231F1F"/>
          <w:spacing w:val="-11"/>
          <w:w w:val="105"/>
        </w:rPr>
        <w:t> </w:t>
      </w:r>
      <w:r>
        <w:rPr>
          <w:color w:val="231F1F"/>
          <w:w w:val="105"/>
        </w:rPr>
        <w:t>el</w:t>
      </w:r>
      <w:r>
        <w:rPr>
          <w:color w:val="231F1F"/>
          <w:spacing w:val="-11"/>
          <w:w w:val="105"/>
        </w:rPr>
        <w:t> </w:t>
      </w:r>
      <w:r>
        <w:rPr>
          <w:color w:val="231F1F"/>
          <w:w w:val="105"/>
        </w:rPr>
        <w:t>parto:</w:t>
      </w:r>
      <w:r>
        <w:rPr>
          <w:color w:val="231F1F"/>
          <w:spacing w:val="-11"/>
          <w:w w:val="105"/>
        </w:rPr>
        <w:t> </w:t>
      </w:r>
      <w:r>
        <w:rPr>
          <w:color w:val="231F1F"/>
          <w:w w:val="105"/>
        </w:rPr>
        <w:t>RR</w:t>
      </w:r>
      <w:r>
        <w:rPr>
          <w:color w:val="231F1F"/>
          <w:spacing w:val="-10"/>
          <w:w w:val="105"/>
        </w:rPr>
        <w:t> </w:t>
      </w:r>
      <w:r>
        <w:rPr>
          <w:color w:val="231F1F"/>
          <w:w w:val="105"/>
        </w:rPr>
        <w:t>0,81</w:t>
      </w:r>
      <w:r>
        <w:rPr>
          <w:color w:val="231F1F"/>
          <w:spacing w:val="-10"/>
          <w:w w:val="105"/>
        </w:rPr>
        <w:t> </w:t>
      </w:r>
      <w:r>
        <w:rPr>
          <w:color w:val="231F1F"/>
          <w:w w:val="105"/>
        </w:rPr>
        <w:t>[IC</w:t>
      </w:r>
      <w:r>
        <w:rPr>
          <w:color w:val="231F1F"/>
          <w:spacing w:val="-10"/>
          <w:w w:val="105"/>
        </w:rPr>
        <w:t> </w:t>
      </w:r>
      <w:r>
        <w:rPr>
          <w:color w:val="231F1F"/>
          <w:w w:val="105"/>
        </w:rPr>
        <w:t>95%</w:t>
      </w:r>
    </w:p>
    <w:p>
      <w:pPr>
        <w:pStyle w:val="BodyText"/>
        <w:spacing w:before="2"/>
        <w:ind w:left="283"/>
        <w:jc w:val="both"/>
      </w:pPr>
      <w:r>
        <w:rPr>
          <w:color w:val="231F1F"/>
          <w:w w:val="105"/>
        </w:rPr>
        <w:t>0.73 a 0,91], y a requerir una episiotomía: RR 0,82 [IC 95% 0,77 a 0,88]. Las mujeres</w:t>
      </w:r>
      <w:r>
        <w:rPr>
          <w:color w:val="231F1F"/>
          <w:w w:val="105"/>
        </w:rPr>
        <w:t> atendidas</w:t>
      </w:r>
      <w:r>
        <w:rPr>
          <w:color w:val="231F1F"/>
          <w:w w:val="105"/>
        </w:rPr>
        <w:t> en</w:t>
      </w:r>
      <w:r>
        <w:rPr>
          <w:color w:val="231F1F"/>
          <w:w w:val="105"/>
        </w:rPr>
        <w:t> modelos</w:t>
      </w:r>
      <w:r>
        <w:rPr>
          <w:color w:val="231F1F"/>
          <w:w w:val="105"/>
        </w:rPr>
        <w:t> dirigidas</w:t>
      </w:r>
      <w:r>
        <w:rPr>
          <w:color w:val="231F1F"/>
          <w:w w:val="105"/>
        </w:rPr>
        <w:t> por</w:t>
      </w:r>
      <w:r>
        <w:rPr>
          <w:color w:val="231F1F"/>
          <w:w w:val="105"/>
        </w:rPr>
        <w:t> matronas</w:t>
      </w:r>
      <w:r>
        <w:rPr>
          <w:color w:val="231F1F"/>
          <w:w w:val="105"/>
        </w:rPr>
        <w:t> eran</w:t>
      </w:r>
      <w:r>
        <w:rPr>
          <w:color w:val="231F1F"/>
          <w:w w:val="105"/>
        </w:rPr>
        <w:t> más</w:t>
      </w:r>
      <w:r>
        <w:rPr>
          <w:color w:val="231F1F"/>
          <w:w w:val="105"/>
        </w:rPr>
        <w:t> propensas</w:t>
      </w:r>
      <w:r>
        <w:rPr>
          <w:color w:val="231F1F"/>
          <w:w w:val="105"/>
        </w:rPr>
        <w:t> a tener un parto vaginal espontáneo: RR 1,04 [IC 95% 01,02 a 01,06], con una mayor sensación de control durante el parto: RR 1,74 [IC 95% 1,32 a 2,30], a ser</w:t>
      </w:r>
      <w:r>
        <w:rPr>
          <w:color w:val="231F1F"/>
          <w:w w:val="105"/>
        </w:rPr>
        <w:t> atendidas</w:t>
      </w:r>
      <w:r>
        <w:rPr>
          <w:color w:val="231F1F"/>
          <w:w w:val="105"/>
        </w:rPr>
        <w:t> por</w:t>
      </w:r>
      <w:r>
        <w:rPr>
          <w:color w:val="231F1F"/>
          <w:w w:val="105"/>
        </w:rPr>
        <w:t> matronas</w:t>
      </w:r>
      <w:r>
        <w:rPr>
          <w:color w:val="231F1F"/>
          <w:w w:val="105"/>
        </w:rPr>
        <w:t> conocidas:</w:t>
      </w:r>
      <w:r>
        <w:rPr>
          <w:color w:val="231F1F"/>
          <w:w w:val="105"/>
        </w:rPr>
        <w:t> RR</w:t>
      </w:r>
      <w:r>
        <w:rPr>
          <w:color w:val="231F1F"/>
          <w:w w:val="105"/>
        </w:rPr>
        <w:t> 7,84</w:t>
      </w:r>
      <w:r>
        <w:rPr>
          <w:color w:val="231F1F"/>
          <w:w w:val="105"/>
        </w:rPr>
        <w:t> [IC</w:t>
      </w:r>
      <w:r>
        <w:rPr>
          <w:color w:val="231F1F"/>
          <w:w w:val="105"/>
        </w:rPr>
        <w:t> 95%</w:t>
      </w:r>
      <w:r>
        <w:rPr>
          <w:color w:val="231F1F"/>
          <w:w w:val="105"/>
        </w:rPr>
        <w:t> 4,15</w:t>
      </w:r>
      <w:r>
        <w:rPr>
          <w:color w:val="231F1F"/>
          <w:w w:val="105"/>
        </w:rPr>
        <w:t> a</w:t>
      </w:r>
      <w:r>
        <w:rPr>
          <w:color w:val="231F1F"/>
          <w:w w:val="105"/>
        </w:rPr>
        <w:t> 14,81],</w:t>
      </w:r>
      <w:r>
        <w:rPr>
          <w:color w:val="231F1F"/>
          <w:w w:val="105"/>
        </w:rPr>
        <w:t> y</w:t>
      </w:r>
      <w:r>
        <w:rPr>
          <w:color w:val="231F1F"/>
          <w:w w:val="105"/>
        </w:rPr>
        <w:t> a iniciar</w:t>
      </w:r>
      <w:r>
        <w:rPr>
          <w:color w:val="231F1F"/>
          <w:spacing w:val="-1"/>
          <w:w w:val="105"/>
        </w:rPr>
        <w:t> </w:t>
      </w:r>
      <w:r>
        <w:rPr>
          <w:color w:val="231F1F"/>
          <w:w w:val="105"/>
        </w:rPr>
        <w:t>la</w:t>
      </w:r>
      <w:r>
        <w:rPr>
          <w:color w:val="231F1F"/>
          <w:spacing w:val="-1"/>
          <w:w w:val="105"/>
        </w:rPr>
        <w:t> </w:t>
      </w:r>
      <w:r>
        <w:rPr>
          <w:color w:val="231F1F"/>
          <w:w w:val="105"/>
        </w:rPr>
        <w:t>lactancia</w:t>
      </w:r>
      <w:r>
        <w:rPr>
          <w:color w:val="231F1F"/>
          <w:spacing w:val="-2"/>
          <w:w w:val="105"/>
        </w:rPr>
        <w:t> </w:t>
      </w:r>
      <w:r>
        <w:rPr>
          <w:color w:val="231F1F"/>
          <w:w w:val="105"/>
        </w:rPr>
        <w:t>materna:</w:t>
      </w:r>
      <w:r>
        <w:rPr>
          <w:color w:val="231F1F"/>
          <w:spacing w:val="-1"/>
          <w:w w:val="105"/>
        </w:rPr>
        <w:t> </w:t>
      </w:r>
      <w:r>
        <w:rPr>
          <w:color w:val="231F1F"/>
          <w:w w:val="105"/>
        </w:rPr>
        <w:t>RR</w:t>
      </w:r>
      <w:r>
        <w:rPr>
          <w:color w:val="231F1F"/>
          <w:spacing w:val="-1"/>
          <w:w w:val="105"/>
        </w:rPr>
        <w:t> </w:t>
      </w:r>
      <w:r>
        <w:rPr>
          <w:color w:val="231F1F"/>
          <w:w w:val="105"/>
        </w:rPr>
        <w:t>1,35</w:t>
      </w:r>
      <w:r>
        <w:rPr>
          <w:color w:val="231F1F"/>
          <w:spacing w:val="-1"/>
          <w:w w:val="105"/>
        </w:rPr>
        <w:t> </w:t>
      </w:r>
      <w:r>
        <w:rPr>
          <w:color w:val="231F1F"/>
          <w:w w:val="105"/>
        </w:rPr>
        <w:t>[IC</w:t>
      </w:r>
      <w:r>
        <w:rPr>
          <w:color w:val="231F1F"/>
          <w:spacing w:val="-1"/>
          <w:w w:val="105"/>
        </w:rPr>
        <w:t> </w:t>
      </w:r>
      <w:r>
        <w:rPr>
          <w:color w:val="231F1F"/>
          <w:w w:val="105"/>
        </w:rPr>
        <w:t>95%</w:t>
      </w:r>
      <w:r>
        <w:rPr>
          <w:color w:val="231F1F"/>
          <w:spacing w:val="-1"/>
          <w:w w:val="105"/>
        </w:rPr>
        <w:t> </w:t>
      </w:r>
      <w:r>
        <w:rPr>
          <w:color w:val="231F1F"/>
          <w:w w:val="105"/>
        </w:rPr>
        <w:t>1,03</w:t>
      </w:r>
      <w:r>
        <w:rPr>
          <w:color w:val="231F1F"/>
          <w:spacing w:val="-1"/>
          <w:w w:val="105"/>
        </w:rPr>
        <w:t> </w:t>
      </w:r>
      <w:r>
        <w:rPr>
          <w:color w:val="231F1F"/>
          <w:w w:val="105"/>
        </w:rPr>
        <w:t>a</w:t>
      </w:r>
      <w:r>
        <w:rPr>
          <w:color w:val="231F1F"/>
          <w:spacing w:val="-1"/>
          <w:w w:val="105"/>
        </w:rPr>
        <w:t> </w:t>
      </w:r>
      <w:r>
        <w:rPr>
          <w:color w:val="231F1F"/>
          <w:w w:val="105"/>
        </w:rPr>
        <w:t>1,76].</w:t>
      </w:r>
      <w:r>
        <w:rPr>
          <w:color w:val="231F1F"/>
          <w:spacing w:val="-1"/>
          <w:w w:val="105"/>
        </w:rPr>
        <w:t> </w:t>
      </w:r>
      <w:r>
        <w:rPr>
          <w:color w:val="231F1F"/>
          <w:w w:val="105"/>
        </w:rPr>
        <w:t>Además,</w:t>
      </w:r>
      <w:r>
        <w:rPr>
          <w:color w:val="231F1F"/>
          <w:spacing w:val="-1"/>
          <w:w w:val="105"/>
        </w:rPr>
        <w:t> </w:t>
      </w:r>
      <w:r>
        <w:rPr>
          <w:color w:val="231F1F"/>
          <w:w w:val="105"/>
        </w:rPr>
        <w:t>las</w:t>
      </w:r>
      <w:r>
        <w:rPr>
          <w:color w:val="231F1F"/>
          <w:spacing w:val="-1"/>
          <w:w w:val="105"/>
        </w:rPr>
        <w:t> </w:t>
      </w:r>
      <w:r>
        <w:rPr>
          <w:color w:val="231F1F"/>
          <w:w w:val="105"/>
        </w:rPr>
        <w:t>muje- res</w:t>
      </w:r>
      <w:r>
        <w:rPr>
          <w:color w:val="231F1F"/>
          <w:spacing w:val="31"/>
          <w:w w:val="105"/>
        </w:rPr>
        <w:t> </w:t>
      </w:r>
      <w:r>
        <w:rPr>
          <w:color w:val="231F1F"/>
          <w:w w:val="105"/>
        </w:rPr>
        <w:t>que</w:t>
      </w:r>
      <w:r>
        <w:rPr>
          <w:color w:val="231F1F"/>
          <w:spacing w:val="31"/>
          <w:w w:val="105"/>
        </w:rPr>
        <w:t> </w:t>
      </w:r>
      <w:r>
        <w:rPr>
          <w:color w:val="231F1F"/>
          <w:w w:val="105"/>
        </w:rPr>
        <w:t>recibieron</w:t>
      </w:r>
      <w:r>
        <w:rPr>
          <w:color w:val="231F1F"/>
          <w:spacing w:val="32"/>
          <w:w w:val="105"/>
        </w:rPr>
        <w:t> </w:t>
      </w:r>
      <w:r>
        <w:rPr>
          <w:color w:val="231F1F"/>
          <w:w w:val="105"/>
        </w:rPr>
        <w:t>atención</w:t>
      </w:r>
      <w:r>
        <w:rPr>
          <w:color w:val="231F1F"/>
          <w:spacing w:val="31"/>
          <w:w w:val="105"/>
        </w:rPr>
        <w:t> </w:t>
      </w:r>
      <w:r>
        <w:rPr>
          <w:color w:val="231F1F"/>
          <w:w w:val="105"/>
        </w:rPr>
        <w:t>dirigidas</w:t>
      </w:r>
      <w:r>
        <w:rPr>
          <w:color w:val="231F1F"/>
          <w:spacing w:val="31"/>
          <w:w w:val="105"/>
        </w:rPr>
        <w:t> </w:t>
      </w:r>
      <w:r>
        <w:rPr>
          <w:color w:val="231F1F"/>
          <w:w w:val="105"/>
        </w:rPr>
        <w:t>por</w:t>
      </w:r>
      <w:r>
        <w:rPr>
          <w:color w:val="231F1F"/>
          <w:spacing w:val="31"/>
          <w:w w:val="105"/>
        </w:rPr>
        <w:t> </w:t>
      </w:r>
      <w:r>
        <w:rPr>
          <w:color w:val="231F1F"/>
          <w:w w:val="105"/>
        </w:rPr>
        <w:t>matronas</w:t>
      </w:r>
      <w:r>
        <w:rPr>
          <w:color w:val="231F1F"/>
          <w:spacing w:val="31"/>
          <w:w w:val="105"/>
        </w:rPr>
        <w:t> </w:t>
      </w:r>
      <w:r>
        <w:rPr>
          <w:color w:val="231F1F"/>
          <w:w w:val="105"/>
        </w:rPr>
        <w:t>fueron</w:t>
      </w:r>
      <w:r>
        <w:rPr>
          <w:color w:val="231F1F"/>
          <w:spacing w:val="31"/>
          <w:w w:val="105"/>
        </w:rPr>
        <w:t> </w:t>
      </w:r>
      <w:r>
        <w:rPr>
          <w:color w:val="231F1F"/>
          <w:w w:val="105"/>
        </w:rPr>
        <w:t>menos</w:t>
      </w:r>
      <w:r>
        <w:rPr>
          <w:color w:val="231F1F"/>
          <w:spacing w:val="31"/>
          <w:w w:val="105"/>
        </w:rPr>
        <w:t> </w:t>
      </w:r>
      <w:r>
        <w:rPr>
          <w:color w:val="231F1F"/>
          <w:w w:val="105"/>
        </w:rPr>
        <w:t>propensos a tener una perdida fetal antes de las 24 semanas de gestación: RR 0,79 [IC 95% 0,65 a 0,97] y tuvieron una estancia hospitalaria más corta: DMP</w:t>
      </w:r>
      <w:r>
        <w:rPr>
          <w:color w:val="231F1F"/>
          <w:spacing w:val="-3"/>
          <w:w w:val="105"/>
        </w:rPr>
        <w:t> </w:t>
      </w:r>
      <w:r>
        <w:rPr>
          <w:color w:val="231F1F"/>
          <w:w w:val="105"/>
        </w:rPr>
        <w:t>-2 días, [IC</w:t>
      </w:r>
      <w:r>
        <w:rPr>
          <w:color w:val="231F1F"/>
          <w:w w:val="105"/>
        </w:rPr>
        <w:t> 95%</w:t>
      </w:r>
      <w:r>
        <w:rPr>
          <w:color w:val="231F1F"/>
          <w:w w:val="105"/>
        </w:rPr>
        <w:t> -1,85</w:t>
      </w:r>
      <w:r>
        <w:rPr>
          <w:color w:val="231F1F"/>
          <w:w w:val="105"/>
        </w:rPr>
        <w:t> a</w:t>
      </w:r>
      <w:r>
        <w:rPr>
          <w:color w:val="231F1F"/>
          <w:w w:val="105"/>
        </w:rPr>
        <w:t> -2,15].</w:t>
      </w:r>
      <w:r>
        <w:rPr>
          <w:color w:val="231F1F"/>
          <w:w w:val="105"/>
        </w:rPr>
        <w:t> No</w:t>
      </w:r>
      <w:r>
        <w:rPr>
          <w:color w:val="231F1F"/>
          <w:w w:val="105"/>
        </w:rPr>
        <w:t> hubo</w:t>
      </w:r>
      <w:r>
        <w:rPr>
          <w:color w:val="231F1F"/>
          <w:w w:val="105"/>
        </w:rPr>
        <w:t> diferencias</w:t>
      </w:r>
      <w:r>
        <w:rPr>
          <w:color w:val="231F1F"/>
          <w:w w:val="105"/>
        </w:rPr>
        <w:t> estadísticamente</w:t>
      </w:r>
      <w:r>
        <w:rPr>
          <w:color w:val="231F1F"/>
          <w:w w:val="105"/>
        </w:rPr>
        <w:t> significativas, entre los modelos comparados, en relación a los resultados sobre muerte fetal y neonatal general: RR 0,83 [IC 95% 0,70-1,00].</w:t>
      </w:r>
    </w:p>
    <w:p>
      <w:pPr>
        <w:pStyle w:val="BodyText"/>
        <w:spacing w:before="51"/>
        <w:ind w:left="283" w:firstLine="453"/>
        <w:jc w:val="both"/>
      </w:pPr>
      <w:r>
        <w:rPr>
          <w:color w:val="231F1F"/>
          <w:spacing w:val="-2"/>
          <w:w w:val="110"/>
        </w:rPr>
        <w:t>Para</w:t>
      </w:r>
      <w:r>
        <w:rPr>
          <w:color w:val="231F1F"/>
          <w:spacing w:val="-9"/>
          <w:w w:val="110"/>
        </w:rPr>
        <w:t> </w:t>
      </w:r>
      <w:r>
        <w:rPr>
          <w:color w:val="231F1F"/>
          <w:spacing w:val="-2"/>
          <w:w w:val="110"/>
        </w:rPr>
        <w:t>investigar</w:t>
      </w:r>
      <w:r>
        <w:rPr>
          <w:color w:val="231F1F"/>
          <w:spacing w:val="-9"/>
          <w:w w:val="110"/>
        </w:rPr>
        <w:t> </w:t>
      </w:r>
      <w:r>
        <w:rPr>
          <w:color w:val="231F1F"/>
          <w:spacing w:val="-2"/>
          <w:w w:val="110"/>
        </w:rPr>
        <w:t>las</w:t>
      </w:r>
      <w:r>
        <w:rPr>
          <w:color w:val="231F1F"/>
          <w:spacing w:val="-9"/>
          <w:w w:val="110"/>
        </w:rPr>
        <w:t> </w:t>
      </w:r>
      <w:r>
        <w:rPr>
          <w:color w:val="231F1F"/>
          <w:spacing w:val="-2"/>
          <w:w w:val="110"/>
        </w:rPr>
        <w:t>posibles</w:t>
      </w:r>
      <w:r>
        <w:rPr>
          <w:color w:val="231F1F"/>
          <w:spacing w:val="-8"/>
          <w:w w:val="110"/>
        </w:rPr>
        <w:t> </w:t>
      </w:r>
      <w:r>
        <w:rPr>
          <w:color w:val="231F1F"/>
          <w:spacing w:val="-2"/>
          <w:w w:val="110"/>
        </w:rPr>
        <w:t>fuentes</w:t>
      </w:r>
      <w:r>
        <w:rPr>
          <w:color w:val="231F1F"/>
          <w:spacing w:val="-8"/>
          <w:w w:val="110"/>
        </w:rPr>
        <w:t> </w:t>
      </w:r>
      <w:r>
        <w:rPr>
          <w:color w:val="231F1F"/>
          <w:spacing w:val="-2"/>
          <w:w w:val="110"/>
        </w:rPr>
        <w:t>de</w:t>
      </w:r>
      <w:r>
        <w:rPr>
          <w:color w:val="231F1F"/>
          <w:spacing w:val="-9"/>
          <w:w w:val="110"/>
        </w:rPr>
        <w:t> </w:t>
      </w:r>
      <w:r>
        <w:rPr>
          <w:color w:val="231F1F"/>
          <w:spacing w:val="-2"/>
          <w:w w:val="110"/>
        </w:rPr>
        <w:t>heterogeneidad</w:t>
      </w:r>
      <w:r>
        <w:rPr>
          <w:color w:val="231F1F"/>
          <w:spacing w:val="-9"/>
          <w:w w:val="110"/>
        </w:rPr>
        <w:t> </w:t>
      </w:r>
      <w:r>
        <w:rPr>
          <w:color w:val="231F1F"/>
          <w:spacing w:val="-2"/>
          <w:w w:val="110"/>
        </w:rPr>
        <w:t>se</w:t>
      </w:r>
      <w:r>
        <w:rPr>
          <w:color w:val="231F1F"/>
          <w:spacing w:val="-9"/>
          <w:w w:val="110"/>
        </w:rPr>
        <w:t> </w:t>
      </w:r>
      <w:r>
        <w:rPr>
          <w:color w:val="231F1F"/>
          <w:spacing w:val="-2"/>
          <w:w w:val="110"/>
        </w:rPr>
        <w:t>realizaron</w:t>
      </w:r>
      <w:r>
        <w:rPr>
          <w:color w:val="231F1F"/>
          <w:spacing w:val="-9"/>
          <w:w w:val="110"/>
        </w:rPr>
        <w:t> </w:t>
      </w:r>
      <w:r>
        <w:rPr>
          <w:color w:val="231F1F"/>
          <w:spacing w:val="-2"/>
          <w:w w:val="110"/>
        </w:rPr>
        <w:t>aná- </w:t>
      </w:r>
      <w:r>
        <w:rPr>
          <w:color w:val="231F1F"/>
          <w:w w:val="110"/>
        </w:rPr>
        <w:t>lisis</w:t>
      </w:r>
      <w:r>
        <w:rPr>
          <w:color w:val="231F1F"/>
          <w:w w:val="110"/>
        </w:rPr>
        <w:t> de</w:t>
      </w:r>
      <w:r>
        <w:rPr>
          <w:color w:val="231F1F"/>
          <w:w w:val="110"/>
        </w:rPr>
        <w:t> subgrupos</w:t>
      </w:r>
      <w:r>
        <w:rPr>
          <w:color w:val="231F1F"/>
          <w:w w:val="110"/>
        </w:rPr>
        <w:t> entre:</w:t>
      </w:r>
      <w:r>
        <w:rPr>
          <w:color w:val="231F1F"/>
          <w:w w:val="110"/>
        </w:rPr>
        <w:t> a)</w:t>
      </w:r>
      <w:r>
        <w:rPr>
          <w:color w:val="231F1F"/>
          <w:w w:val="110"/>
        </w:rPr>
        <w:t> diferentes</w:t>
      </w:r>
      <w:r>
        <w:rPr>
          <w:color w:val="231F1F"/>
          <w:w w:val="110"/>
        </w:rPr>
        <w:t> modelos</w:t>
      </w:r>
      <w:r>
        <w:rPr>
          <w:color w:val="231F1F"/>
          <w:w w:val="110"/>
        </w:rPr>
        <w:t> de</w:t>
      </w:r>
      <w:r>
        <w:rPr>
          <w:color w:val="231F1F"/>
          <w:w w:val="110"/>
        </w:rPr>
        <w:t> atención</w:t>
      </w:r>
      <w:r>
        <w:rPr>
          <w:color w:val="231F1F"/>
          <w:w w:val="110"/>
        </w:rPr>
        <w:t> por</w:t>
      </w:r>
      <w:r>
        <w:rPr>
          <w:color w:val="231F1F"/>
          <w:w w:val="110"/>
        </w:rPr>
        <w:t> matronas (modelos</w:t>
      </w:r>
      <w:r>
        <w:rPr>
          <w:color w:val="231F1F"/>
          <w:spacing w:val="-16"/>
          <w:w w:val="110"/>
        </w:rPr>
        <w:t> </w:t>
      </w:r>
      <w:r>
        <w:rPr>
          <w:color w:val="231F1F"/>
          <w:w w:val="110"/>
        </w:rPr>
        <w:t>de</w:t>
      </w:r>
      <w:r>
        <w:rPr>
          <w:color w:val="231F1F"/>
          <w:spacing w:val="-15"/>
          <w:w w:val="110"/>
        </w:rPr>
        <w:t> </w:t>
      </w:r>
      <w:r>
        <w:rPr>
          <w:color w:val="231F1F"/>
          <w:w w:val="110"/>
        </w:rPr>
        <w:t>gestión</w:t>
      </w:r>
      <w:r>
        <w:rPr>
          <w:color w:val="231F1F"/>
          <w:spacing w:val="-15"/>
          <w:w w:val="110"/>
        </w:rPr>
        <w:t> </w:t>
      </w:r>
      <w:r>
        <w:rPr>
          <w:color w:val="231F1F"/>
          <w:w w:val="110"/>
        </w:rPr>
        <w:t>de</w:t>
      </w:r>
      <w:r>
        <w:rPr>
          <w:color w:val="231F1F"/>
          <w:spacing w:val="-15"/>
          <w:w w:val="110"/>
        </w:rPr>
        <w:t> </w:t>
      </w:r>
      <w:r>
        <w:rPr>
          <w:color w:val="231F1F"/>
          <w:w w:val="110"/>
        </w:rPr>
        <w:t>casos</w:t>
      </w:r>
      <w:r>
        <w:rPr>
          <w:color w:val="231F1F"/>
          <w:spacing w:val="-15"/>
          <w:w w:val="110"/>
        </w:rPr>
        <w:t> </w:t>
      </w:r>
      <w:r>
        <w:rPr>
          <w:color w:val="231F1F"/>
          <w:w w:val="110"/>
        </w:rPr>
        <w:t>por</w:t>
      </w:r>
      <w:r>
        <w:rPr>
          <w:color w:val="231F1F"/>
          <w:spacing w:val="-15"/>
          <w:w w:val="110"/>
        </w:rPr>
        <w:t> </w:t>
      </w:r>
      <w:r>
        <w:rPr>
          <w:color w:val="231F1F"/>
          <w:w w:val="110"/>
        </w:rPr>
        <w:t>2-3</w:t>
      </w:r>
      <w:r>
        <w:rPr>
          <w:color w:val="231F1F"/>
          <w:spacing w:val="-15"/>
          <w:w w:val="110"/>
        </w:rPr>
        <w:t> </w:t>
      </w:r>
      <w:r>
        <w:rPr>
          <w:color w:val="231F1F"/>
          <w:w w:val="110"/>
        </w:rPr>
        <w:t>matronas</w:t>
      </w:r>
      <w:r>
        <w:rPr>
          <w:color w:val="231F1F"/>
          <w:spacing w:val="-15"/>
          <w:w w:val="110"/>
        </w:rPr>
        <w:t> </w:t>
      </w:r>
      <w:r>
        <w:rPr>
          <w:color w:val="231F1F"/>
          <w:w w:val="110"/>
        </w:rPr>
        <w:t>y</w:t>
      </w:r>
      <w:r>
        <w:rPr>
          <w:color w:val="231F1F"/>
          <w:spacing w:val="-16"/>
          <w:w w:val="110"/>
        </w:rPr>
        <w:t> </w:t>
      </w:r>
      <w:r>
        <w:rPr>
          <w:color w:val="231F1F"/>
          <w:w w:val="110"/>
        </w:rPr>
        <w:t>modelos</w:t>
      </w:r>
      <w:r>
        <w:rPr>
          <w:color w:val="231F1F"/>
          <w:spacing w:val="-15"/>
          <w:w w:val="110"/>
        </w:rPr>
        <w:t> </w:t>
      </w:r>
      <w:r>
        <w:rPr>
          <w:color w:val="231F1F"/>
          <w:w w:val="110"/>
        </w:rPr>
        <w:t>de</w:t>
      </w:r>
      <w:r>
        <w:rPr>
          <w:color w:val="231F1F"/>
          <w:spacing w:val="-15"/>
          <w:w w:val="110"/>
        </w:rPr>
        <w:t> </w:t>
      </w:r>
      <w:r>
        <w:rPr>
          <w:color w:val="231F1F"/>
          <w:w w:val="110"/>
        </w:rPr>
        <w:t>equipos</w:t>
      </w:r>
      <w:r>
        <w:rPr>
          <w:color w:val="231F1F"/>
          <w:spacing w:val="-15"/>
          <w:w w:val="110"/>
        </w:rPr>
        <w:t> </w:t>
      </w:r>
      <w:r>
        <w:rPr>
          <w:color w:val="231F1F"/>
          <w:w w:val="110"/>
        </w:rPr>
        <w:t>de</w:t>
      </w:r>
      <w:r>
        <w:rPr>
          <w:color w:val="231F1F"/>
          <w:spacing w:val="-15"/>
          <w:w w:val="110"/>
        </w:rPr>
        <w:t> </w:t>
      </w:r>
      <w:r>
        <w:rPr>
          <w:color w:val="231F1F"/>
          <w:w w:val="110"/>
        </w:rPr>
        <w:t>ma- tronas), b) variaciones de riesgo maternal (bajo riesgo frente a mixto) y c) diferentes entornos (atención comunitaria frente a hospitalaria).</w:t>
      </w:r>
    </w:p>
    <w:p>
      <w:pPr>
        <w:pStyle w:val="BodyText"/>
        <w:spacing w:before="132"/>
        <w:ind w:left="283" w:firstLine="453"/>
        <w:jc w:val="both"/>
      </w:pPr>
      <w:r>
        <w:rPr>
          <w:color w:val="231F1F"/>
          <w:w w:val="110"/>
        </w:rPr>
        <w:t>Los</w:t>
      </w:r>
      <w:r>
        <w:rPr>
          <w:color w:val="231F1F"/>
          <w:spacing w:val="-12"/>
          <w:w w:val="110"/>
        </w:rPr>
        <w:t> </w:t>
      </w:r>
      <w:r>
        <w:rPr>
          <w:color w:val="231F1F"/>
          <w:w w:val="110"/>
        </w:rPr>
        <w:t>tres</w:t>
      </w:r>
      <w:r>
        <w:rPr>
          <w:color w:val="231F1F"/>
          <w:spacing w:val="-13"/>
          <w:w w:val="110"/>
        </w:rPr>
        <w:t> </w:t>
      </w:r>
      <w:r>
        <w:rPr>
          <w:color w:val="231F1F"/>
          <w:w w:val="110"/>
        </w:rPr>
        <w:t>análisis</w:t>
      </w:r>
      <w:r>
        <w:rPr>
          <w:color w:val="231F1F"/>
          <w:spacing w:val="-13"/>
          <w:w w:val="110"/>
        </w:rPr>
        <w:t> </w:t>
      </w:r>
      <w:r>
        <w:rPr>
          <w:color w:val="231F1F"/>
          <w:w w:val="110"/>
        </w:rPr>
        <w:t>de</w:t>
      </w:r>
      <w:r>
        <w:rPr>
          <w:color w:val="231F1F"/>
          <w:spacing w:val="-12"/>
          <w:w w:val="110"/>
        </w:rPr>
        <w:t> </w:t>
      </w:r>
      <w:r>
        <w:rPr>
          <w:color w:val="231F1F"/>
          <w:w w:val="110"/>
        </w:rPr>
        <w:t>subgrupos</w:t>
      </w:r>
      <w:r>
        <w:rPr>
          <w:color w:val="231F1F"/>
          <w:spacing w:val="-13"/>
          <w:w w:val="110"/>
        </w:rPr>
        <w:t> </w:t>
      </w:r>
      <w:r>
        <w:rPr>
          <w:color w:val="231F1F"/>
          <w:w w:val="110"/>
        </w:rPr>
        <w:t>no</w:t>
      </w:r>
      <w:r>
        <w:rPr>
          <w:color w:val="231F1F"/>
          <w:spacing w:val="-12"/>
          <w:w w:val="110"/>
        </w:rPr>
        <w:t> </w:t>
      </w:r>
      <w:r>
        <w:rPr>
          <w:color w:val="231F1F"/>
          <w:w w:val="110"/>
        </w:rPr>
        <w:t>explicaron</w:t>
      </w:r>
      <w:r>
        <w:rPr>
          <w:color w:val="231F1F"/>
          <w:spacing w:val="-12"/>
          <w:w w:val="110"/>
        </w:rPr>
        <w:t> </w:t>
      </w:r>
      <w:r>
        <w:rPr>
          <w:color w:val="231F1F"/>
          <w:w w:val="110"/>
        </w:rPr>
        <w:t>la</w:t>
      </w:r>
      <w:r>
        <w:rPr>
          <w:color w:val="231F1F"/>
          <w:spacing w:val="-12"/>
          <w:w w:val="110"/>
        </w:rPr>
        <w:t> </w:t>
      </w:r>
      <w:r>
        <w:rPr>
          <w:color w:val="231F1F"/>
          <w:w w:val="110"/>
        </w:rPr>
        <w:t>gran</w:t>
      </w:r>
      <w:r>
        <w:rPr>
          <w:color w:val="231F1F"/>
          <w:spacing w:val="-12"/>
          <w:w w:val="110"/>
        </w:rPr>
        <w:t> </w:t>
      </w:r>
      <w:r>
        <w:rPr>
          <w:color w:val="231F1F"/>
          <w:w w:val="110"/>
        </w:rPr>
        <w:t>heterogeneidad</w:t>
      </w:r>
      <w:r>
        <w:rPr>
          <w:color w:val="231F1F"/>
          <w:spacing w:val="-13"/>
          <w:w w:val="110"/>
        </w:rPr>
        <w:t> </w:t>
      </w:r>
      <w:r>
        <w:rPr>
          <w:color w:val="231F1F"/>
          <w:w w:val="110"/>
        </w:rPr>
        <w:t>es- tadística</w:t>
      </w:r>
      <w:r>
        <w:rPr>
          <w:color w:val="231F1F"/>
          <w:spacing w:val="-16"/>
          <w:w w:val="110"/>
        </w:rPr>
        <w:t> </w:t>
      </w:r>
      <w:r>
        <w:rPr>
          <w:color w:val="231F1F"/>
          <w:w w:val="110"/>
        </w:rPr>
        <w:t>(I</w:t>
      </w:r>
      <w:r>
        <w:rPr>
          <w:color w:val="231F1F"/>
          <w:w w:val="110"/>
          <w:position w:val="7"/>
          <w:sz w:val="12"/>
        </w:rPr>
        <w:t>2</w:t>
      </w:r>
      <w:r>
        <w:rPr>
          <w:color w:val="231F1F"/>
          <w:spacing w:val="-8"/>
          <w:w w:val="110"/>
          <w:position w:val="7"/>
          <w:sz w:val="12"/>
        </w:rPr>
        <w:t> </w:t>
      </w:r>
      <w:r>
        <w:rPr>
          <w:color w:val="231F1F"/>
          <w:w w:val="110"/>
        </w:rPr>
        <w:t>superior</w:t>
      </w:r>
      <w:r>
        <w:rPr>
          <w:color w:val="231F1F"/>
          <w:spacing w:val="-15"/>
          <w:w w:val="110"/>
        </w:rPr>
        <w:t> </w:t>
      </w:r>
      <w:r>
        <w:rPr>
          <w:color w:val="231F1F"/>
          <w:w w:val="110"/>
        </w:rPr>
        <w:t>al</w:t>
      </w:r>
      <w:r>
        <w:rPr>
          <w:color w:val="231F1F"/>
          <w:spacing w:val="-15"/>
          <w:w w:val="110"/>
        </w:rPr>
        <w:t> </w:t>
      </w:r>
      <w:r>
        <w:rPr>
          <w:color w:val="231F1F"/>
          <w:w w:val="110"/>
        </w:rPr>
        <w:t>50%)</w:t>
      </w:r>
      <w:r>
        <w:rPr>
          <w:color w:val="231F1F"/>
          <w:spacing w:val="-15"/>
          <w:w w:val="110"/>
        </w:rPr>
        <w:t> </w:t>
      </w:r>
      <w:r>
        <w:rPr>
          <w:color w:val="231F1F"/>
          <w:w w:val="110"/>
        </w:rPr>
        <w:t>encontrada</w:t>
      </w:r>
      <w:r>
        <w:rPr>
          <w:color w:val="231F1F"/>
          <w:spacing w:val="-15"/>
          <w:w w:val="110"/>
        </w:rPr>
        <w:t> </w:t>
      </w:r>
      <w:r>
        <w:rPr>
          <w:color w:val="231F1F"/>
          <w:w w:val="110"/>
        </w:rPr>
        <w:t>en</w:t>
      </w:r>
      <w:r>
        <w:rPr>
          <w:color w:val="231F1F"/>
          <w:spacing w:val="-15"/>
          <w:w w:val="110"/>
        </w:rPr>
        <w:t> </w:t>
      </w:r>
      <w:r>
        <w:rPr>
          <w:color w:val="231F1F"/>
          <w:w w:val="110"/>
        </w:rPr>
        <w:t>algunos</w:t>
      </w:r>
      <w:r>
        <w:rPr>
          <w:color w:val="231F1F"/>
          <w:spacing w:val="-14"/>
          <w:w w:val="110"/>
        </w:rPr>
        <w:t> </w:t>
      </w:r>
      <w:r>
        <w:rPr>
          <w:color w:val="231F1F"/>
          <w:w w:val="110"/>
        </w:rPr>
        <w:t>resultados</w:t>
      </w:r>
      <w:r>
        <w:rPr>
          <w:color w:val="231F1F"/>
          <w:spacing w:val="-15"/>
          <w:w w:val="110"/>
        </w:rPr>
        <w:t> </w:t>
      </w:r>
      <w:r>
        <w:rPr>
          <w:color w:val="231F1F"/>
          <w:w w:val="110"/>
        </w:rPr>
        <w:t>(ingreso</w:t>
      </w:r>
      <w:r>
        <w:rPr>
          <w:color w:val="231F1F"/>
          <w:spacing w:val="-14"/>
          <w:w w:val="110"/>
        </w:rPr>
        <w:t> </w:t>
      </w:r>
      <w:r>
        <w:rPr>
          <w:color w:val="231F1F"/>
          <w:w w:val="110"/>
        </w:rPr>
        <w:t>en</w:t>
      </w:r>
      <w:r>
        <w:rPr>
          <w:color w:val="231F1F"/>
          <w:spacing w:val="-15"/>
          <w:w w:val="110"/>
        </w:rPr>
        <w:t> </w:t>
      </w:r>
      <w:r>
        <w:rPr>
          <w:color w:val="231F1F"/>
          <w:w w:val="110"/>
        </w:rPr>
        <w:t>el </w:t>
      </w:r>
      <w:r>
        <w:rPr>
          <w:color w:val="231F1F"/>
        </w:rPr>
        <w:t>hospital</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embarazo,</w:t>
      </w:r>
      <w:r>
        <w:rPr>
          <w:color w:val="231F1F"/>
          <w:spacing w:val="40"/>
        </w:rPr>
        <w:t> </w:t>
      </w:r>
      <w:r>
        <w:rPr>
          <w:color w:val="231F1F"/>
        </w:rPr>
        <w:t>utilización</w:t>
      </w:r>
      <w:r>
        <w:rPr>
          <w:color w:val="231F1F"/>
          <w:spacing w:val="39"/>
        </w:rPr>
        <w:t> </w:t>
      </w:r>
      <w:r>
        <w:rPr>
          <w:color w:val="231F1F"/>
        </w:rPr>
        <w:t>de</w:t>
      </w:r>
      <w:r>
        <w:rPr>
          <w:color w:val="231F1F"/>
          <w:spacing w:val="40"/>
        </w:rPr>
        <w:t> </w:t>
      </w:r>
      <w:r>
        <w:rPr>
          <w:color w:val="231F1F"/>
        </w:rPr>
        <w:t>analgésicos</w:t>
      </w:r>
      <w:r>
        <w:rPr>
          <w:color w:val="231F1F"/>
          <w:spacing w:val="40"/>
        </w:rPr>
        <w:t> </w:t>
      </w:r>
      <w:r>
        <w:rPr>
          <w:color w:val="231F1F"/>
        </w:rPr>
        <w:t>regionales,</w:t>
      </w:r>
      <w:r>
        <w:rPr>
          <w:color w:val="231F1F"/>
          <w:spacing w:val="40"/>
        </w:rPr>
        <w:t> </w:t>
      </w:r>
      <w:r>
        <w:rPr>
          <w:color w:val="231F1F"/>
        </w:rPr>
        <w:t>utilización </w:t>
      </w:r>
      <w:r>
        <w:rPr>
          <w:color w:val="231F1F"/>
          <w:w w:val="110"/>
        </w:rPr>
        <w:t>de</w:t>
      </w:r>
      <w:r>
        <w:rPr>
          <w:color w:val="231F1F"/>
          <w:w w:val="110"/>
        </w:rPr>
        <w:t> analgesia</w:t>
      </w:r>
      <w:r>
        <w:rPr>
          <w:color w:val="231F1F"/>
          <w:w w:val="110"/>
        </w:rPr>
        <w:t> opioide,</w:t>
      </w:r>
      <w:r>
        <w:rPr>
          <w:color w:val="231F1F"/>
          <w:w w:val="110"/>
        </w:rPr>
        <w:t> episiotomía,</w:t>
      </w:r>
      <w:r>
        <w:rPr>
          <w:color w:val="231F1F"/>
          <w:w w:val="110"/>
        </w:rPr>
        <w:t> parto</w:t>
      </w:r>
      <w:r>
        <w:rPr>
          <w:color w:val="231F1F"/>
          <w:w w:val="110"/>
        </w:rPr>
        <w:t> vaginal</w:t>
      </w:r>
      <w:r>
        <w:rPr>
          <w:color w:val="231F1F"/>
          <w:w w:val="110"/>
        </w:rPr>
        <w:t> espontáneo,</w:t>
      </w:r>
      <w:r>
        <w:rPr>
          <w:color w:val="231F1F"/>
          <w:w w:val="110"/>
        </w:rPr>
        <w:t> atención</w:t>
      </w:r>
      <w:r>
        <w:rPr>
          <w:color w:val="231F1F"/>
          <w:w w:val="110"/>
        </w:rPr>
        <w:t> por matronas</w:t>
      </w:r>
      <w:r>
        <w:rPr>
          <w:color w:val="231F1F"/>
          <w:spacing w:val="-16"/>
          <w:w w:val="110"/>
        </w:rPr>
        <w:t> </w:t>
      </w:r>
      <w:r>
        <w:rPr>
          <w:color w:val="231F1F"/>
          <w:w w:val="110"/>
        </w:rPr>
        <w:t>conocidas</w:t>
      </w:r>
      <w:r>
        <w:rPr>
          <w:color w:val="231F1F"/>
          <w:spacing w:val="-15"/>
          <w:w w:val="110"/>
        </w:rPr>
        <w:t> </w:t>
      </w:r>
      <w:r>
        <w:rPr>
          <w:color w:val="231F1F"/>
          <w:w w:val="110"/>
        </w:rPr>
        <w:t>y</w:t>
      </w:r>
      <w:r>
        <w:rPr>
          <w:color w:val="231F1F"/>
          <w:spacing w:val="-15"/>
          <w:w w:val="110"/>
        </w:rPr>
        <w:t> </w:t>
      </w:r>
      <w:r>
        <w:rPr>
          <w:color w:val="231F1F"/>
          <w:w w:val="110"/>
        </w:rPr>
        <w:t>estancia</w:t>
      </w:r>
      <w:r>
        <w:rPr>
          <w:color w:val="231F1F"/>
          <w:spacing w:val="-15"/>
          <w:w w:val="110"/>
        </w:rPr>
        <w:t> </w:t>
      </w:r>
      <w:r>
        <w:rPr>
          <w:color w:val="231F1F"/>
          <w:w w:val="110"/>
        </w:rPr>
        <w:t>hospitalaria</w:t>
      </w:r>
      <w:r>
        <w:rPr>
          <w:color w:val="231F1F"/>
          <w:spacing w:val="-15"/>
          <w:w w:val="110"/>
        </w:rPr>
        <w:t> </w:t>
      </w:r>
      <w:r>
        <w:rPr>
          <w:color w:val="231F1F"/>
          <w:w w:val="110"/>
        </w:rPr>
        <w:t>más</w:t>
      </w:r>
      <w:r>
        <w:rPr>
          <w:color w:val="231F1F"/>
          <w:spacing w:val="-15"/>
          <w:w w:val="110"/>
        </w:rPr>
        <w:t> </w:t>
      </w:r>
      <w:r>
        <w:rPr>
          <w:color w:val="231F1F"/>
          <w:w w:val="110"/>
        </w:rPr>
        <w:t>corta),</w:t>
      </w:r>
      <w:r>
        <w:rPr>
          <w:color w:val="231F1F"/>
          <w:spacing w:val="-15"/>
          <w:w w:val="110"/>
        </w:rPr>
        <w:t> </w:t>
      </w:r>
      <w:r>
        <w:rPr>
          <w:color w:val="231F1F"/>
          <w:w w:val="110"/>
        </w:rPr>
        <w:t>excepto</w:t>
      </w:r>
      <w:r>
        <w:rPr>
          <w:color w:val="231F1F"/>
          <w:spacing w:val="-15"/>
          <w:w w:val="110"/>
        </w:rPr>
        <w:t> </w:t>
      </w:r>
      <w:r>
        <w:rPr>
          <w:color w:val="231F1F"/>
          <w:w w:val="110"/>
        </w:rPr>
        <w:t>para</w:t>
      </w:r>
      <w:r>
        <w:rPr>
          <w:color w:val="231F1F"/>
          <w:spacing w:val="-16"/>
          <w:w w:val="110"/>
        </w:rPr>
        <w:t> </w:t>
      </w:r>
      <w:r>
        <w:rPr>
          <w:color w:val="231F1F"/>
          <w:w w:val="110"/>
        </w:rPr>
        <w:t>el</w:t>
      </w:r>
      <w:r>
        <w:rPr>
          <w:color w:val="231F1F"/>
          <w:spacing w:val="-15"/>
          <w:w w:val="110"/>
        </w:rPr>
        <w:t> </w:t>
      </w:r>
      <w:r>
        <w:rPr>
          <w:color w:val="231F1F"/>
          <w:w w:val="110"/>
        </w:rPr>
        <w:t>resul- tado</w:t>
      </w:r>
      <w:r>
        <w:rPr>
          <w:color w:val="231F1F"/>
          <w:spacing w:val="-8"/>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utilización</w:t>
      </w:r>
      <w:r>
        <w:rPr>
          <w:color w:val="231F1F"/>
          <w:spacing w:val="-8"/>
          <w:w w:val="110"/>
        </w:rPr>
        <w:t> </w:t>
      </w:r>
      <w:r>
        <w:rPr>
          <w:color w:val="231F1F"/>
          <w:w w:val="110"/>
        </w:rPr>
        <w:t>de</w:t>
      </w:r>
      <w:r>
        <w:rPr>
          <w:color w:val="231F1F"/>
          <w:spacing w:val="-8"/>
          <w:w w:val="110"/>
        </w:rPr>
        <w:t> </w:t>
      </w:r>
      <w:r>
        <w:rPr>
          <w:color w:val="231F1F"/>
          <w:w w:val="110"/>
        </w:rPr>
        <w:t>analgesia</w:t>
      </w:r>
      <w:r>
        <w:rPr>
          <w:color w:val="231F1F"/>
          <w:spacing w:val="-8"/>
          <w:w w:val="110"/>
        </w:rPr>
        <w:t> </w:t>
      </w:r>
      <w:r>
        <w:rPr>
          <w:color w:val="231F1F"/>
          <w:w w:val="110"/>
        </w:rPr>
        <w:t>opioide,</w:t>
      </w:r>
      <w:r>
        <w:rPr>
          <w:color w:val="231F1F"/>
          <w:spacing w:val="-9"/>
          <w:w w:val="110"/>
        </w:rPr>
        <w:t> </w:t>
      </w:r>
      <w:r>
        <w:rPr>
          <w:color w:val="231F1F"/>
          <w:w w:val="110"/>
        </w:rPr>
        <w:t>que</w:t>
      </w:r>
      <w:r>
        <w:rPr>
          <w:color w:val="231F1F"/>
          <w:spacing w:val="-8"/>
          <w:w w:val="110"/>
        </w:rPr>
        <w:t> </w:t>
      </w:r>
      <w:r>
        <w:rPr>
          <w:color w:val="231F1F"/>
          <w:w w:val="110"/>
        </w:rPr>
        <w:t>muestra</w:t>
      </w:r>
      <w:r>
        <w:rPr>
          <w:color w:val="231F1F"/>
          <w:spacing w:val="-8"/>
          <w:w w:val="110"/>
        </w:rPr>
        <w:t> </w:t>
      </w:r>
      <w:r>
        <w:rPr>
          <w:color w:val="231F1F"/>
          <w:w w:val="110"/>
        </w:rPr>
        <w:t>una</w:t>
      </w:r>
      <w:r>
        <w:rPr>
          <w:color w:val="231F1F"/>
          <w:spacing w:val="-8"/>
          <w:w w:val="110"/>
        </w:rPr>
        <w:t> </w:t>
      </w:r>
      <w:r>
        <w:rPr>
          <w:color w:val="231F1F"/>
          <w:w w:val="110"/>
        </w:rPr>
        <w:t>heterogeneidad que podría estar influenciada por los diferentes entornos asistenciales.</w:t>
      </w:r>
    </w:p>
    <w:p>
      <w:pPr>
        <w:pStyle w:val="BodyText"/>
        <w:spacing w:before="178"/>
      </w:pPr>
    </w:p>
    <w:p>
      <w:pPr>
        <w:pStyle w:val="Heading5"/>
        <w:spacing w:before="1"/>
        <w:jc w:val="both"/>
      </w:pPr>
      <w:r>
        <w:rPr>
          <w:color w:val="231F1F"/>
        </w:rPr>
        <w:t>Satisfacción</w:t>
      </w:r>
      <w:r>
        <w:rPr>
          <w:color w:val="231F1F"/>
          <w:spacing w:val="-9"/>
        </w:rPr>
        <w:t> </w:t>
      </w:r>
      <w:r>
        <w:rPr>
          <w:color w:val="231F1F"/>
          <w:spacing w:val="-2"/>
        </w:rPr>
        <w:t>materna</w:t>
      </w:r>
    </w:p>
    <w:p>
      <w:pPr>
        <w:pStyle w:val="BodyText"/>
        <w:spacing w:before="199"/>
        <w:ind w:left="283" w:right="4"/>
        <w:jc w:val="both"/>
      </w:pPr>
      <w:r>
        <w:rPr>
          <w:color w:val="231F1F"/>
          <w:w w:val="105"/>
        </w:rPr>
        <w:t>Nueve estudios evaluaron la satisfacción materna midiendo diferentes com- ponentes</w:t>
      </w:r>
      <w:r>
        <w:rPr>
          <w:color w:val="231F1F"/>
          <w:w w:val="105"/>
        </w:rPr>
        <w:t> de</w:t>
      </w:r>
      <w:r>
        <w:rPr>
          <w:color w:val="231F1F"/>
          <w:w w:val="105"/>
        </w:rPr>
        <w:t> la</w:t>
      </w:r>
      <w:r>
        <w:rPr>
          <w:color w:val="231F1F"/>
          <w:w w:val="105"/>
        </w:rPr>
        <w:t> experiencia</w:t>
      </w:r>
      <w:r>
        <w:rPr>
          <w:color w:val="231F1F"/>
          <w:w w:val="105"/>
        </w:rPr>
        <w:t> del</w:t>
      </w:r>
      <w:r>
        <w:rPr>
          <w:color w:val="231F1F"/>
          <w:w w:val="105"/>
        </w:rPr>
        <w:t> nacimiento:</w:t>
      </w:r>
      <w:r>
        <w:rPr>
          <w:color w:val="231F1F"/>
          <w:w w:val="105"/>
        </w:rPr>
        <w:t> la</w:t>
      </w:r>
      <w:r>
        <w:rPr>
          <w:color w:val="231F1F"/>
          <w:w w:val="105"/>
        </w:rPr>
        <w:t> información</w:t>
      </w:r>
      <w:r>
        <w:rPr>
          <w:color w:val="231F1F"/>
          <w:w w:val="105"/>
        </w:rPr>
        <w:t> recibida,</w:t>
      </w:r>
      <w:r>
        <w:rPr>
          <w:color w:val="231F1F"/>
          <w:w w:val="105"/>
        </w:rPr>
        <w:t> el</w:t>
      </w:r>
      <w:r>
        <w:rPr>
          <w:color w:val="231F1F"/>
          <w:w w:val="105"/>
        </w:rPr>
        <w:t> aseso- ramiento, las explicaciones, el lugar del parto, la preparación al parto y naci-</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278" w:lineRule="auto" w:before="0"/>
        <w:ind w:left="13" w:right="79" w:firstLine="0"/>
        <w:jc w:val="center"/>
        <w:rPr>
          <w:rFonts w:ascii="Arial MT"/>
          <w:sz w:val="18"/>
        </w:rPr>
      </w:pPr>
      <w:r>
        <w:rPr>
          <w:rFonts w:ascii="Arial MT"/>
          <w:color w:val="231F1F"/>
          <w:spacing w:val="-2"/>
          <w:sz w:val="18"/>
        </w:rPr>
        <w:t>RS-</w:t>
      </w:r>
      <w:r>
        <w:rPr>
          <w:rFonts w:ascii="Arial MT"/>
          <w:color w:val="231F1F"/>
          <w:spacing w:val="-16"/>
          <w:sz w:val="18"/>
        </w:rPr>
        <w:t> </w:t>
      </w:r>
      <w:r>
        <w:rPr>
          <w:rFonts w:ascii="Arial MT"/>
          <w:color w:val="231F1F"/>
          <w:spacing w:val="-2"/>
          <w:sz w:val="18"/>
        </w:rPr>
        <w:t>MA</w:t>
      </w:r>
      <w:r>
        <w:rPr>
          <w:rFonts w:ascii="Arial MT"/>
          <w:color w:val="231F1F"/>
          <w:spacing w:val="-14"/>
          <w:sz w:val="18"/>
        </w:rPr>
        <w:t> </w:t>
      </w:r>
      <w:r>
        <w:rPr>
          <w:rFonts w:ascii="Arial MT"/>
          <w:color w:val="231F1F"/>
          <w:spacing w:val="-2"/>
          <w:sz w:val="18"/>
        </w:rPr>
        <w:t>de </w:t>
      </w:r>
      <w:r>
        <w:rPr>
          <w:rFonts w:ascii="Arial MT"/>
          <w:color w:val="231F1F"/>
          <w:spacing w:val="-4"/>
          <w:sz w:val="18"/>
        </w:rPr>
        <w:t>ECAs</w:t>
      </w:r>
    </w:p>
    <w:p>
      <w:pPr>
        <w:spacing w:line="202" w:lineRule="exact" w:before="0"/>
        <w:ind w:left="15" w:right="79" w:firstLine="0"/>
        <w:jc w:val="center"/>
        <w:rPr>
          <w:rFonts w:ascii="Arial MT"/>
          <w:sz w:val="18"/>
        </w:rPr>
      </w:pPr>
      <w:r>
        <w:rPr>
          <w:rFonts w:ascii="Arial MT"/>
          <w:color w:val="231F1F"/>
          <w:spacing w:val="-5"/>
          <w:sz w:val="18"/>
        </w:rPr>
        <w:t>1+</w:t>
      </w:r>
    </w:p>
    <w:p>
      <w:pPr>
        <w:spacing w:after="0" w:line="202" w:lineRule="exact"/>
        <w:jc w:val="center"/>
        <w:rPr>
          <w:rFonts w:ascii="Arial MT"/>
          <w:sz w:val="18"/>
        </w:rPr>
        <w:sectPr>
          <w:pgSz w:w="11900" w:h="16840"/>
          <w:pgMar w:header="0" w:footer="622" w:top="1560" w:bottom="820" w:left="1417" w:right="1559"/>
          <w:cols w:num="2" w:equalWidth="0">
            <w:col w:w="7551" w:space="40"/>
            <w:col w:w="1333"/>
          </w:cols>
        </w:sectPr>
      </w:pPr>
    </w:p>
    <w:p>
      <w:pPr>
        <w:pStyle w:val="BodyText"/>
        <w:spacing w:line="244" w:lineRule="auto" w:before="62"/>
        <w:ind w:left="283" w:right="1386"/>
      </w:pPr>
      <w:r>
        <w:rPr>
          <w:color w:val="231F1F"/>
          <w:w w:val="105"/>
        </w:rPr>
        <w:t>miento,</w:t>
      </w:r>
      <w:r>
        <w:rPr>
          <w:color w:val="231F1F"/>
          <w:spacing w:val="-4"/>
          <w:w w:val="105"/>
        </w:rPr>
        <w:t> </w:t>
      </w:r>
      <w:r>
        <w:rPr>
          <w:color w:val="231F1F"/>
          <w:w w:val="105"/>
        </w:rPr>
        <w:t>el</w:t>
      </w:r>
      <w:r>
        <w:rPr>
          <w:color w:val="231F1F"/>
          <w:spacing w:val="-4"/>
          <w:w w:val="105"/>
        </w:rPr>
        <w:t> </w:t>
      </w:r>
      <w:r>
        <w:rPr>
          <w:color w:val="231F1F"/>
          <w:w w:val="105"/>
        </w:rPr>
        <w:t>dolor,</w:t>
      </w:r>
      <w:r>
        <w:rPr>
          <w:color w:val="231F1F"/>
          <w:spacing w:val="-4"/>
          <w:w w:val="105"/>
        </w:rPr>
        <w:t> </w:t>
      </w:r>
      <w:r>
        <w:rPr>
          <w:color w:val="231F1F"/>
          <w:w w:val="105"/>
        </w:rPr>
        <w:t>así</w:t>
      </w:r>
      <w:r>
        <w:rPr>
          <w:color w:val="231F1F"/>
          <w:spacing w:val="-4"/>
          <w:w w:val="105"/>
        </w:rPr>
        <w:t> </w:t>
      </w:r>
      <w:r>
        <w:rPr>
          <w:color w:val="231F1F"/>
          <w:w w:val="105"/>
        </w:rPr>
        <w:t>como</w:t>
      </w:r>
      <w:r>
        <w:rPr>
          <w:color w:val="231F1F"/>
          <w:spacing w:val="-3"/>
          <w:w w:val="105"/>
        </w:rPr>
        <w:t> </w:t>
      </w:r>
      <w:r>
        <w:rPr>
          <w:color w:val="231F1F"/>
          <w:w w:val="105"/>
        </w:rPr>
        <w:t>la</w:t>
      </w:r>
      <w:r>
        <w:rPr>
          <w:color w:val="231F1F"/>
          <w:spacing w:val="-4"/>
          <w:w w:val="105"/>
        </w:rPr>
        <w:t> </w:t>
      </w:r>
      <w:r>
        <w:rPr>
          <w:color w:val="231F1F"/>
          <w:w w:val="105"/>
        </w:rPr>
        <w:t>percepción</w:t>
      </w:r>
      <w:r>
        <w:rPr>
          <w:color w:val="231F1F"/>
          <w:spacing w:val="-3"/>
          <w:w w:val="105"/>
        </w:rPr>
        <w:t> </w:t>
      </w:r>
      <w:r>
        <w:rPr>
          <w:color w:val="231F1F"/>
          <w:w w:val="105"/>
        </w:rPr>
        <w:t>de</w:t>
      </w:r>
      <w:r>
        <w:rPr>
          <w:color w:val="231F1F"/>
          <w:spacing w:val="-4"/>
          <w:w w:val="105"/>
        </w:rPr>
        <w:t> </w:t>
      </w:r>
      <w:r>
        <w:rPr>
          <w:color w:val="231F1F"/>
          <w:w w:val="105"/>
        </w:rPr>
        <w:t>la</w:t>
      </w:r>
      <w:r>
        <w:rPr>
          <w:color w:val="231F1F"/>
          <w:spacing w:val="-4"/>
          <w:w w:val="105"/>
        </w:rPr>
        <w:t> </w:t>
      </w:r>
      <w:r>
        <w:rPr>
          <w:color w:val="231F1F"/>
          <w:w w:val="105"/>
        </w:rPr>
        <w:t>elección</w:t>
      </w:r>
      <w:r>
        <w:rPr>
          <w:color w:val="231F1F"/>
          <w:spacing w:val="-3"/>
          <w:w w:val="105"/>
        </w:rPr>
        <w:t> </w:t>
      </w:r>
      <w:r>
        <w:rPr>
          <w:color w:val="231F1F"/>
          <w:w w:val="105"/>
        </w:rPr>
        <w:t>del</w:t>
      </w:r>
      <w:r>
        <w:rPr>
          <w:color w:val="231F1F"/>
          <w:spacing w:val="-4"/>
          <w:w w:val="105"/>
        </w:rPr>
        <w:t> </w:t>
      </w:r>
      <w:r>
        <w:rPr>
          <w:color w:val="231F1F"/>
          <w:w w:val="105"/>
        </w:rPr>
        <w:t>método</w:t>
      </w:r>
      <w:r>
        <w:rPr>
          <w:color w:val="231F1F"/>
          <w:spacing w:val="-3"/>
          <w:w w:val="105"/>
        </w:rPr>
        <w:t> </w:t>
      </w:r>
      <w:r>
        <w:rPr>
          <w:color w:val="231F1F"/>
          <w:w w:val="105"/>
        </w:rPr>
        <w:t>de</w:t>
      </w:r>
      <w:r>
        <w:rPr>
          <w:color w:val="231F1F"/>
          <w:spacing w:val="-4"/>
          <w:w w:val="105"/>
        </w:rPr>
        <w:t> </w:t>
      </w:r>
      <w:r>
        <w:rPr>
          <w:color w:val="231F1F"/>
          <w:w w:val="105"/>
        </w:rPr>
        <w:t>alivio</w:t>
      </w:r>
      <w:r>
        <w:rPr>
          <w:color w:val="231F1F"/>
          <w:spacing w:val="-3"/>
          <w:w w:val="105"/>
        </w:rPr>
        <w:t> </w:t>
      </w:r>
      <w:r>
        <w:rPr>
          <w:color w:val="231F1F"/>
          <w:w w:val="105"/>
        </w:rPr>
        <w:t>y la</w:t>
      </w:r>
      <w:r>
        <w:rPr>
          <w:color w:val="231F1F"/>
          <w:spacing w:val="40"/>
          <w:w w:val="105"/>
        </w:rPr>
        <w:t> </w:t>
      </w:r>
      <w:r>
        <w:rPr>
          <w:color w:val="231F1F"/>
          <w:w w:val="105"/>
        </w:rPr>
        <w:t>evaluación</w:t>
      </w:r>
      <w:r>
        <w:rPr>
          <w:color w:val="231F1F"/>
          <w:spacing w:val="40"/>
          <w:w w:val="105"/>
        </w:rPr>
        <w:t> </w:t>
      </w:r>
      <w:r>
        <w:rPr>
          <w:color w:val="231F1F"/>
          <w:w w:val="105"/>
        </w:rPr>
        <w:t>del</w:t>
      </w:r>
      <w:r>
        <w:rPr>
          <w:color w:val="231F1F"/>
          <w:spacing w:val="40"/>
          <w:w w:val="105"/>
        </w:rPr>
        <w:t> </w:t>
      </w:r>
      <w:r>
        <w:rPr>
          <w:color w:val="231F1F"/>
          <w:w w:val="105"/>
        </w:rPr>
        <w:t>comportamiento</w:t>
      </w:r>
      <w:r>
        <w:rPr>
          <w:color w:val="231F1F"/>
          <w:spacing w:val="40"/>
          <w:w w:val="105"/>
        </w:rPr>
        <w:t> </w:t>
      </w:r>
      <w:r>
        <w:rPr>
          <w:color w:val="231F1F"/>
          <w:w w:val="105"/>
        </w:rPr>
        <w:t>del</w:t>
      </w:r>
      <w:r>
        <w:rPr>
          <w:color w:val="231F1F"/>
          <w:spacing w:val="40"/>
          <w:w w:val="105"/>
        </w:rPr>
        <w:t> </w:t>
      </w:r>
      <w:r>
        <w:rPr>
          <w:color w:val="231F1F"/>
          <w:w w:val="105"/>
        </w:rPr>
        <w:t>profesional</w:t>
      </w:r>
      <w:r>
        <w:rPr>
          <w:color w:val="231F1F"/>
          <w:spacing w:val="40"/>
          <w:w w:val="105"/>
        </w:rPr>
        <w:t> </w:t>
      </w:r>
      <w:r>
        <w:rPr>
          <w:color w:val="231F1F"/>
          <w:w w:val="105"/>
        </w:rPr>
        <w:t>que</w:t>
      </w:r>
      <w:r>
        <w:rPr>
          <w:color w:val="231F1F"/>
          <w:spacing w:val="40"/>
          <w:w w:val="105"/>
        </w:rPr>
        <w:t> </w:t>
      </w:r>
      <w:r>
        <w:rPr>
          <w:color w:val="231F1F"/>
          <w:w w:val="105"/>
        </w:rPr>
        <w:t>la</w:t>
      </w:r>
      <w:r>
        <w:rPr>
          <w:color w:val="231F1F"/>
          <w:spacing w:val="40"/>
          <w:w w:val="105"/>
        </w:rPr>
        <w:t> </w:t>
      </w:r>
      <w:r>
        <w:rPr>
          <w:color w:val="231F1F"/>
          <w:w w:val="105"/>
        </w:rPr>
        <w:t>atiende.</w:t>
      </w:r>
    </w:p>
    <w:p>
      <w:pPr>
        <w:pStyle w:val="BodyText"/>
        <w:tabs>
          <w:tab w:pos="7988" w:val="left" w:leader="none"/>
          <w:tab w:pos="8068" w:val="left" w:leader="none"/>
        </w:tabs>
        <w:spacing w:line="252" w:lineRule="auto" w:before="118"/>
        <w:ind w:left="281" w:right="451" w:firstLine="484"/>
      </w:pPr>
      <w:r>
        <w:rPr>
          <w:color w:val="231F1F"/>
        </w:rPr>
        <w:t>Debido a la falta de consistencia entre los diferentes estudios en relación</w:t>
        <w:tab/>
      </w:r>
      <w:r>
        <w:rPr>
          <w:color w:val="231F1F"/>
          <w:spacing w:val="-49"/>
        </w:rPr>
        <w:t> </w:t>
      </w:r>
      <w:r>
        <w:rPr>
          <w:rFonts w:ascii="Arial MT" w:hAnsi="Arial MT"/>
          <w:color w:val="231F1F"/>
          <w:spacing w:val="-4"/>
          <w:sz w:val="18"/>
        </w:rPr>
        <w:t>RS</w:t>
      </w:r>
      <w:r>
        <w:rPr>
          <w:rFonts w:ascii="Arial MT" w:hAnsi="Arial MT"/>
          <w:color w:val="231F1F"/>
          <w:spacing w:val="-16"/>
          <w:sz w:val="18"/>
        </w:rPr>
        <w:t> </w:t>
      </w:r>
      <w:r>
        <w:rPr>
          <w:rFonts w:ascii="Arial MT" w:hAnsi="Arial MT"/>
          <w:color w:val="231F1F"/>
          <w:spacing w:val="-4"/>
          <w:sz w:val="18"/>
        </w:rPr>
        <w:t>de </w:t>
      </w:r>
      <w:r>
        <w:rPr>
          <w:color w:val="231F1F"/>
        </w:rPr>
        <w:t>a la conceptualización y medición de la experiencia de la mujer y su satisfacción</w:t>
        <w:tab/>
      </w:r>
      <w:r>
        <w:rPr>
          <w:rFonts w:ascii="Arial MT" w:hAnsi="Arial MT"/>
          <w:color w:val="231F1F"/>
          <w:spacing w:val="-4"/>
          <w:position w:val="4"/>
          <w:sz w:val="18"/>
        </w:rPr>
        <w:t>ECAs </w:t>
      </w:r>
      <w:r>
        <w:rPr>
          <w:color w:val="231F1F"/>
        </w:rPr>
        <w:t>con la atención, no se llevó a cabo el metaanálisis de los resultados de satis-</w:t>
        <w:tab/>
        <w:tab/>
      </w:r>
      <w:r>
        <w:rPr>
          <w:rFonts w:ascii="Arial MT" w:hAnsi="Arial MT"/>
          <w:color w:val="231F1F"/>
          <w:spacing w:val="-6"/>
          <w:position w:val="8"/>
          <w:sz w:val="18"/>
        </w:rPr>
        <w:t>1+ </w:t>
      </w:r>
      <w:r>
        <w:rPr>
          <w:color w:val="231F1F"/>
        </w:rPr>
        <w:t>facción</w:t>
      </w:r>
      <w:r>
        <w:rPr>
          <w:color w:val="231F1F"/>
          <w:spacing w:val="40"/>
        </w:rPr>
        <w:t> </w:t>
      </w:r>
      <w:r>
        <w:rPr>
          <w:color w:val="231F1F"/>
        </w:rPr>
        <w:t>materna.</w:t>
      </w:r>
      <w:r>
        <w:rPr>
          <w:color w:val="231F1F"/>
          <w:spacing w:val="40"/>
        </w:rPr>
        <w:t> </w:t>
      </w:r>
      <w:r>
        <w:rPr>
          <w:color w:val="231F1F"/>
        </w:rPr>
        <w:t>Aun</w:t>
      </w:r>
      <w:r>
        <w:rPr>
          <w:color w:val="231F1F"/>
          <w:spacing w:val="40"/>
        </w:rPr>
        <w:t> </w:t>
      </w:r>
      <w:r>
        <w:rPr>
          <w:color w:val="231F1F"/>
        </w:rPr>
        <w:t>así,</w:t>
      </w:r>
      <w:r>
        <w:rPr>
          <w:color w:val="231F1F"/>
          <w:spacing w:val="40"/>
        </w:rPr>
        <w:t> </w:t>
      </w:r>
      <w:r>
        <w:rPr>
          <w:color w:val="231F1F"/>
        </w:rPr>
        <w:t>los</w:t>
      </w:r>
      <w:r>
        <w:rPr>
          <w:color w:val="231F1F"/>
          <w:spacing w:val="40"/>
        </w:rPr>
        <w:t> </w:t>
      </w:r>
      <w:r>
        <w:rPr>
          <w:color w:val="231F1F"/>
        </w:rPr>
        <w:t>resultados</w:t>
      </w:r>
      <w:r>
        <w:rPr>
          <w:color w:val="231F1F"/>
          <w:spacing w:val="40"/>
        </w:rPr>
        <w:t> </w:t>
      </w:r>
      <w:r>
        <w:rPr>
          <w:color w:val="231F1F"/>
        </w:rPr>
        <w:t>de</w:t>
      </w:r>
      <w:r>
        <w:rPr>
          <w:color w:val="231F1F"/>
          <w:spacing w:val="40"/>
        </w:rPr>
        <w:t> </w:t>
      </w:r>
      <w:r>
        <w:rPr>
          <w:color w:val="231F1F"/>
        </w:rPr>
        <w:t>estudios</w:t>
      </w:r>
      <w:r>
        <w:rPr>
          <w:color w:val="231F1F"/>
          <w:spacing w:val="40"/>
        </w:rPr>
        <w:t> </w:t>
      </w:r>
      <w:r>
        <w:rPr>
          <w:color w:val="231F1F"/>
        </w:rPr>
        <w:t>individuales</w:t>
      </w:r>
      <w:r>
        <w:rPr>
          <w:color w:val="231F1F"/>
          <w:spacing w:val="40"/>
        </w:rPr>
        <w:t> </w:t>
      </w:r>
      <w:r>
        <w:rPr>
          <w:color w:val="231F1F"/>
        </w:rPr>
        <w:t>sugieren</w:t>
      </w:r>
      <w:r>
        <w:rPr>
          <w:color w:val="231F1F"/>
          <w:spacing w:val="40"/>
        </w:rPr>
        <w:t> </w:t>
      </w:r>
      <w:r>
        <w:rPr>
          <w:color w:val="231F1F"/>
        </w:rPr>
        <w:t>que</w:t>
      </w:r>
    </w:p>
    <w:p>
      <w:pPr>
        <w:pStyle w:val="BodyText"/>
        <w:spacing w:line="244" w:lineRule="auto"/>
        <w:ind w:left="283" w:right="1386"/>
      </w:pPr>
      <w:r>
        <w:rPr>
          <w:color w:val="231F1F"/>
          <w:w w:val="110"/>
        </w:rPr>
        <w:t>la</w:t>
      </w:r>
      <w:r>
        <w:rPr>
          <w:color w:val="231F1F"/>
          <w:spacing w:val="-9"/>
          <w:w w:val="110"/>
        </w:rPr>
        <w:t> </w:t>
      </w:r>
      <w:r>
        <w:rPr>
          <w:color w:val="231F1F"/>
          <w:w w:val="110"/>
        </w:rPr>
        <w:t>satisfacción</w:t>
      </w:r>
      <w:r>
        <w:rPr>
          <w:color w:val="231F1F"/>
          <w:spacing w:val="-10"/>
          <w:w w:val="110"/>
        </w:rPr>
        <w:t> </w:t>
      </w:r>
      <w:r>
        <w:rPr>
          <w:color w:val="231F1F"/>
          <w:w w:val="110"/>
        </w:rPr>
        <w:t>parece</w:t>
      </w:r>
      <w:r>
        <w:rPr>
          <w:color w:val="231F1F"/>
          <w:spacing w:val="-9"/>
          <w:w w:val="110"/>
        </w:rPr>
        <w:t> </w:t>
      </w:r>
      <w:r>
        <w:rPr>
          <w:color w:val="231F1F"/>
          <w:w w:val="110"/>
        </w:rPr>
        <w:t>ser</w:t>
      </w:r>
      <w:r>
        <w:rPr>
          <w:color w:val="231F1F"/>
          <w:spacing w:val="-10"/>
          <w:w w:val="110"/>
        </w:rPr>
        <w:t> </w:t>
      </w:r>
      <w:r>
        <w:rPr>
          <w:color w:val="231F1F"/>
          <w:w w:val="110"/>
        </w:rPr>
        <w:t>mayor</w:t>
      </w:r>
      <w:r>
        <w:rPr>
          <w:color w:val="231F1F"/>
          <w:spacing w:val="-9"/>
          <w:w w:val="110"/>
        </w:rPr>
        <w:t> </w:t>
      </w:r>
      <w:r>
        <w:rPr>
          <w:color w:val="231F1F"/>
          <w:w w:val="110"/>
        </w:rPr>
        <w:t>en</w:t>
      </w:r>
      <w:r>
        <w:rPr>
          <w:color w:val="231F1F"/>
          <w:spacing w:val="-8"/>
          <w:w w:val="110"/>
        </w:rPr>
        <w:t> </w:t>
      </w:r>
      <w:r>
        <w:rPr>
          <w:color w:val="231F1F"/>
          <w:w w:val="110"/>
        </w:rPr>
        <w:t>mujeres</w:t>
      </w:r>
      <w:r>
        <w:rPr>
          <w:color w:val="231F1F"/>
          <w:spacing w:val="-8"/>
          <w:w w:val="110"/>
        </w:rPr>
        <w:t> </w:t>
      </w:r>
      <w:r>
        <w:rPr>
          <w:color w:val="231F1F"/>
          <w:w w:val="110"/>
        </w:rPr>
        <w:t>atendidas</w:t>
      </w:r>
      <w:r>
        <w:rPr>
          <w:color w:val="231F1F"/>
          <w:spacing w:val="-9"/>
          <w:w w:val="110"/>
        </w:rPr>
        <w:t> </w:t>
      </w:r>
      <w:r>
        <w:rPr>
          <w:color w:val="231F1F"/>
          <w:w w:val="110"/>
        </w:rPr>
        <w:t>en</w:t>
      </w:r>
      <w:r>
        <w:rPr>
          <w:color w:val="231F1F"/>
          <w:spacing w:val="-8"/>
          <w:w w:val="110"/>
        </w:rPr>
        <w:t> </w:t>
      </w:r>
      <w:r>
        <w:rPr>
          <w:color w:val="231F1F"/>
          <w:w w:val="110"/>
        </w:rPr>
        <w:t>modelos</w:t>
      </w:r>
      <w:r>
        <w:rPr>
          <w:color w:val="231F1F"/>
          <w:spacing w:val="-9"/>
          <w:w w:val="110"/>
        </w:rPr>
        <w:t> </w:t>
      </w:r>
      <w:r>
        <w:rPr>
          <w:color w:val="231F1F"/>
          <w:w w:val="110"/>
        </w:rPr>
        <w:t>dirigidos por matronas.</w:t>
      </w:r>
    </w:p>
    <w:p>
      <w:pPr>
        <w:pStyle w:val="BodyText"/>
        <w:spacing w:line="242" w:lineRule="auto" w:before="45"/>
        <w:ind w:left="283" w:right="1363" w:firstLine="453"/>
        <w:jc w:val="both"/>
      </w:pPr>
      <w:r>
        <w:rPr>
          <w:color w:val="231F1F"/>
          <w:w w:val="110"/>
        </w:rPr>
        <w:t>En resumen se observa que la atención al embarazo parto y puerperio </w:t>
      </w:r>
      <w:r>
        <w:rPr>
          <w:color w:val="231F1F"/>
        </w:rPr>
        <w:t>por modelos dirigidos por matronas proporciona mayores beneficios que otros </w:t>
      </w:r>
      <w:r>
        <w:rPr>
          <w:color w:val="231F1F"/>
          <w:w w:val="110"/>
        </w:rPr>
        <w:t>modelos médicos o de atención compartida y sin efectos adversos, ya que </w:t>
      </w:r>
      <w:r>
        <w:rPr>
          <w:color w:val="231F1F"/>
          <w:spacing w:val="-2"/>
          <w:w w:val="110"/>
        </w:rPr>
        <w:t>disminuye</w:t>
      </w:r>
      <w:r>
        <w:rPr>
          <w:color w:val="231F1F"/>
          <w:spacing w:val="-7"/>
          <w:w w:val="110"/>
        </w:rPr>
        <w:t> </w:t>
      </w:r>
      <w:r>
        <w:rPr>
          <w:color w:val="231F1F"/>
          <w:spacing w:val="-2"/>
          <w:w w:val="110"/>
        </w:rPr>
        <w:t>la</w:t>
      </w:r>
      <w:r>
        <w:rPr>
          <w:color w:val="231F1F"/>
          <w:spacing w:val="-7"/>
          <w:w w:val="110"/>
        </w:rPr>
        <w:t> </w:t>
      </w:r>
      <w:r>
        <w:rPr>
          <w:color w:val="231F1F"/>
          <w:spacing w:val="-2"/>
          <w:w w:val="110"/>
        </w:rPr>
        <w:t>utilización</w:t>
      </w:r>
      <w:r>
        <w:rPr>
          <w:color w:val="231F1F"/>
          <w:spacing w:val="-7"/>
          <w:w w:val="110"/>
        </w:rPr>
        <w:t> </w:t>
      </w:r>
      <w:r>
        <w:rPr>
          <w:color w:val="231F1F"/>
          <w:spacing w:val="-2"/>
          <w:w w:val="110"/>
        </w:rPr>
        <w:t>de</w:t>
      </w:r>
      <w:r>
        <w:rPr>
          <w:color w:val="231F1F"/>
          <w:spacing w:val="-7"/>
          <w:w w:val="110"/>
        </w:rPr>
        <w:t> </w:t>
      </w:r>
      <w:r>
        <w:rPr>
          <w:color w:val="231F1F"/>
          <w:spacing w:val="-2"/>
          <w:w w:val="110"/>
        </w:rPr>
        <w:t>analgesia</w:t>
      </w:r>
      <w:r>
        <w:rPr>
          <w:color w:val="231F1F"/>
          <w:spacing w:val="-7"/>
          <w:w w:val="110"/>
        </w:rPr>
        <w:t> </w:t>
      </w:r>
      <w:r>
        <w:rPr>
          <w:color w:val="231F1F"/>
          <w:spacing w:val="-2"/>
          <w:w w:val="110"/>
        </w:rPr>
        <w:t>regional</w:t>
      </w:r>
      <w:r>
        <w:rPr>
          <w:color w:val="231F1F"/>
          <w:spacing w:val="-7"/>
          <w:w w:val="110"/>
        </w:rPr>
        <w:t> </w:t>
      </w:r>
      <w:r>
        <w:rPr>
          <w:color w:val="231F1F"/>
          <w:spacing w:val="-2"/>
          <w:w w:val="110"/>
        </w:rPr>
        <w:t>y</w:t>
      </w:r>
      <w:r>
        <w:rPr>
          <w:color w:val="231F1F"/>
          <w:spacing w:val="-7"/>
          <w:w w:val="110"/>
        </w:rPr>
        <w:t> </w:t>
      </w:r>
      <w:r>
        <w:rPr>
          <w:color w:val="231F1F"/>
          <w:spacing w:val="-2"/>
          <w:w w:val="110"/>
        </w:rPr>
        <w:t>episiotomía</w:t>
      </w:r>
      <w:r>
        <w:rPr>
          <w:color w:val="231F1F"/>
          <w:spacing w:val="-7"/>
          <w:w w:val="110"/>
        </w:rPr>
        <w:t> </w:t>
      </w:r>
      <w:r>
        <w:rPr>
          <w:color w:val="231F1F"/>
          <w:spacing w:val="-2"/>
          <w:w w:val="110"/>
        </w:rPr>
        <w:t>durante</w:t>
      </w:r>
      <w:r>
        <w:rPr>
          <w:color w:val="231F1F"/>
          <w:spacing w:val="-7"/>
          <w:w w:val="110"/>
        </w:rPr>
        <w:t> </w:t>
      </w:r>
      <w:r>
        <w:rPr>
          <w:color w:val="231F1F"/>
          <w:spacing w:val="-2"/>
          <w:w w:val="110"/>
        </w:rPr>
        <w:t>el</w:t>
      </w:r>
      <w:r>
        <w:rPr>
          <w:color w:val="231F1F"/>
          <w:spacing w:val="-7"/>
          <w:w w:val="110"/>
        </w:rPr>
        <w:t> </w:t>
      </w:r>
      <w:r>
        <w:rPr>
          <w:color w:val="231F1F"/>
          <w:spacing w:val="-2"/>
          <w:w w:val="110"/>
        </w:rPr>
        <w:t>parto, </w:t>
      </w:r>
      <w:r>
        <w:rPr>
          <w:color w:val="231F1F"/>
          <w:w w:val="110"/>
        </w:rPr>
        <w:t>aumenta la tasa de parto vaginal espontáneo con una mayor sensación de control</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mujer</w:t>
      </w:r>
      <w:r>
        <w:rPr>
          <w:color w:val="231F1F"/>
          <w:spacing w:val="-13"/>
          <w:w w:val="110"/>
        </w:rPr>
        <w:t> </w:t>
      </w:r>
      <w:r>
        <w:rPr>
          <w:color w:val="231F1F"/>
          <w:w w:val="110"/>
        </w:rPr>
        <w:t>y</w:t>
      </w:r>
      <w:r>
        <w:rPr>
          <w:color w:val="231F1F"/>
          <w:spacing w:val="-13"/>
          <w:w w:val="110"/>
        </w:rPr>
        <w:t> </w:t>
      </w:r>
      <w:r>
        <w:rPr>
          <w:color w:val="231F1F"/>
          <w:w w:val="110"/>
        </w:rPr>
        <w:t>con</w:t>
      </w:r>
      <w:r>
        <w:rPr>
          <w:color w:val="231F1F"/>
          <w:spacing w:val="-12"/>
          <w:w w:val="110"/>
        </w:rPr>
        <w:t> </w:t>
      </w:r>
      <w:r>
        <w:rPr>
          <w:color w:val="231F1F"/>
          <w:w w:val="110"/>
        </w:rPr>
        <w:t>una</w:t>
      </w:r>
      <w:r>
        <w:rPr>
          <w:color w:val="231F1F"/>
          <w:spacing w:val="-13"/>
          <w:w w:val="110"/>
        </w:rPr>
        <w:t> </w:t>
      </w:r>
      <w:r>
        <w:rPr>
          <w:color w:val="231F1F"/>
          <w:w w:val="110"/>
        </w:rPr>
        <w:t>mayor</w:t>
      </w:r>
      <w:r>
        <w:rPr>
          <w:color w:val="231F1F"/>
          <w:spacing w:val="-13"/>
          <w:w w:val="110"/>
        </w:rPr>
        <w:t> </w:t>
      </w:r>
      <w:r>
        <w:rPr>
          <w:color w:val="231F1F"/>
          <w:w w:val="110"/>
        </w:rPr>
        <w:t>probabilidad</w:t>
      </w:r>
      <w:r>
        <w:rPr>
          <w:color w:val="231F1F"/>
          <w:spacing w:val="-13"/>
          <w:w w:val="110"/>
        </w:rPr>
        <w:t> </w:t>
      </w:r>
      <w:r>
        <w:rPr>
          <w:color w:val="231F1F"/>
          <w:w w:val="110"/>
        </w:rPr>
        <w:t>de</w:t>
      </w:r>
      <w:r>
        <w:rPr>
          <w:color w:val="231F1F"/>
          <w:spacing w:val="-13"/>
          <w:w w:val="110"/>
        </w:rPr>
        <w:t> </w:t>
      </w:r>
      <w:r>
        <w:rPr>
          <w:color w:val="231F1F"/>
          <w:w w:val="110"/>
        </w:rPr>
        <w:t>ser</w:t>
      </w:r>
      <w:r>
        <w:rPr>
          <w:color w:val="231F1F"/>
          <w:spacing w:val="-13"/>
          <w:w w:val="110"/>
        </w:rPr>
        <w:t> </w:t>
      </w:r>
      <w:r>
        <w:rPr>
          <w:color w:val="231F1F"/>
          <w:w w:val="110"/>
        </w:rPr>
        <w:t>atendida</w:t>
      </w:r>
      <w:r>
        <w:rPr>
          <w:color w:val="231F1F"/>
          <w:spacing w:val="-13"/>
          <w:w w:val="110"/>
        </w:rPr>
        <w:t> </w:t>
      </w:r>
      <w:r>
        <w:rPr>
          <w:color w:val="231F1F"/>
          <w:w w:val="110"/>
        </w:rPr>
        <w:t>por</w:t>
      </w:r>
      <w:r>
        <w:rPr>
          <w:color w:val="231F1F"/>
          <w:spacing w:val="-13"/>
          <w:w w:val="110"/>
        </w:rPr>
        <w:t> </w:t>
      </w:r>
      <w:r>
        <w:rPr>
          <w:color w:val="231F1F"/>
          <w:w w:val="110"/>
        </w:rPr>
        <w:t>matro- nas</w:t>
      </w:r>
      <w:r>
        <w:rPr>
          <w:color w:val="231F1F"/>
          <w:spacing w:val="-15"/>
          <w:w w:val="110"/>
        </w:rPr>
        <w:t> </w:t>
      </w:r>
      <w:r>
        <w:rPr>
          <w:color w:val="231F1F"/>
          <w:w w:val="110"/>
        </w:rPr>
        <w:t>conocidas,</w:t>
      </w:r>
      <w:r>
        <w:rPr>
          <w:color w:val="231F1F"/>
          <w:spacing w:val="-15"/>
          <w:w w:val="110"/>
        </w:rPr>
        <w:t> </w:t>
      </w:r>
      <w:r>
        <w:rPr>
          <w:color w:val="231F1F"/>
          <w:w w:val="110"/>
        </w:rPr>
        <w:t>así</w:t>
      </w:r>
      <w:r>
        <w:rPr>
          <w:color w:val="231F1F"/>
          <w:spacing w:val="-14"/>
          <w:w w:val="110"/>
        </w:rPr>
        <w:t> </w:t>
      </w:r>
      <w:r>
        <w:rPr>
          <w:color w:val="231F1F"/>
          <w:w w:val="110"/>
        </w:rPr>
        <w:t>como</w:t>
      </w:r>
      <w:r>
        <w:rPr>
          <w:color w:val="231F1F"/>
          <w:spacing w:val="-15"/>
          <w:w w:val="110"/>
        </w:rPr>
        <w:t> </w:t>
      </w:r>
      <w:r>
        <w:rPr>
          <w:color w:val="231F1F"/>
          <w:w w:val="110"/>
        </w:rPr>
        <w:t>una</w:t>
      </w:r>
      <w:r>
        <w:rPr>
          <w:color w:val="231F1F"/>
          <w:spacing w:val="-15"/>
          <w:w w:val="110"/>
        </w:rPr>
        <w:t> </w:t>
      </w:r>
      <w:r>
        <w:rPr>
          <w:color w:val="231F1F"/>
          <w:w w:val="110"/>
        </w:rPr>
        <w:t>mayor</w:t>
      </w:r>
      <w:r>
        <w:rPr>
          <w:color w:val="231F1F"/>
          <w:spacing w:val="-15"/>
          <w:w w:val="110"/>
        </w:rPr>
        <w:t> </w:t>
      </w:r>
      <w:r>
        <w:rPr>
          <w:color w:val="231F1F"/>
          <w:w w:val="110"/>
        </w:rPr>
        <w:t>tasa</w:t>
      </w:r>
      <w:r>
        <w:rPr>
          <w:color w:val="231F1F"/>
          <w:spacing w:val="-15"/>
          <w:w w:val="110"/>
        </w:rPr>
        <w:t> </w:t>
      </w:r>
      <w:r>
        <w:rPr>
          <w:color w:val="231F1F"/>
          <w:w w:val="110"/>
        </w:rPr>
        <w:t>de</w:t>
      </w:r>
      <w:r>
        <w:rPr>
          <w:color w:val="231F1F"/>
          <w:spacing w:val="-15"/>
          <w:w w:val="110"/>
        </w:rPr>
        <w:t> </w:t>
      </w:r>
      <w:r>
        <w:rPr>
          <w:color w:val="231F1F"/>
          <w:w w:val="110"/>
        </w:rPr>
        <w:t>inicio</w:t>
      </w:r>
      <w:r>
        <w:rPr>
          <w:color w:val="231F1F"/>
          <w:spacing w:val="-14"/>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lactancia</w:t>
      </w:r>
      <w:r>
        <w:rPr>
          <w:color w:val="231F1F"/>
          <w:spacing w:val="-14"/>
          <w:w w:val="110"/>
        </w:rPr>
        <w:t> </w:t>
      </w:r>
      <w:r>
        <w:rPr>
          <w:color w:val="231F1F"/>
          <w:w w:val="110"/>
        </w:rPr>
        <w:t>materna.</w:t>
      </w:r>
      <w:r>
        <w:rPr>
          <w:color w:val="231F1F"/>
          <w:spacing w:val="-15"/>
          <w:w w:val="110"/>
        </w:rPr>
        <w:t> </w:t>
      </w:r>
      <w:r>
        <w:rPr>
          <w:color w:val="231F1F"/>
          <w:w w:val="110"/>
        </w:rPr>
        <w:t>La tasa</w:t>
      </w:r>
      <w:r>
        <w:rPr>
          <w:color w:val="231F1F"/>
          <w:spacing w:val="-16"/>
          <w:w w:val="110"/>
        </w:rPr>
        <w:t> </w:t>
      </w:r>
      <w:r>
        <w:rPr>
          <w:color w:val="231F1F"/>
          <w:w w:val="110"/>
        </w:rPr>
        <w:t>de</w:t>
      </w:r>
      <w:r>
        <w:rPr>
          <w:color w:val="231F1F"/>
          <w:spacing w:val="-15"/>
          <w:w w:val="110"/>
        </w:rPr>
        <w:t> </w:t>
      </w:r>
      <w:r>
        <w:rPr>
          <w:color w:val="231F1F"/>
          <w:w w:val="110"/>
        </w:rPr>
        <w:t>cesáreas</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muerte</w:t>
      </w:r>
      <w:r>
        <w:rPr>
          <w:color w:val="231F1F"/>
          <w:spacing w:val="-15"/>
          <w:w w:val="110"/>
        </w:rPr>
        <w:t> </w:t>
      </w:r>
      <w:r>
        <w:rPr>
          <w:color w:val="231F1F"/>
          <w:w w:val="110"/>
        </w:rPr>
        <w:t>fetal</w:t>
      </w:r>
      <w:r>
        <w:rPr>
          <w:color w:val="231F1F"/>
          <w:spacing w:val="-15"/>
          <w:w w:val="110"/>
        </w:rPr>
        <w:t> </w:t>
      </w:r>
      <w:r>
        <w:rPr>
          <w:color w:val="231F1F"/>
          <w:w w:val="110"/>
        </w:rPr>
        <w:t>y</w:t>
      </w:r>
      <w:r>
        <w:rPr>
          <w:color w:val="231F1F"/>
          <w:spacing w:val="-15"/>
          <w:w w:val="110"/>
        </w:rPr>
        <w:t> </w:t>
      </w:r>
      <w:r>
        <w:rPr>
          <w:color w:val="231F1F"/>
          <w:w w:val="110"/>
        </w:rPr>
        <w:t>neonatal</w:t>
      </w:r>
      <w:r>
        <w:rPr>
          <w:color w:val="231F1F"/>
          <w:spacing w:val="-16"/>
          <w:w w:val="110"/>
        </w:rPr>
        <w:t> </w:t>
      </w:r>
      <w:r>
        <w:rPr>
          <w:color w:val="231F1F"/>
          <w:w w:val="110"/>
        </w:rPr>
        <w:t>general</w:t>
      </w:r>
      <w:r>
        <w:rPr>
          <w:color w:val="231F1F"/>
          <w:spacing w:val="-15"/>
          <w:w w:val="110"/>
        </w:rPr>
        <w:t> </w:t>
      </w:r>
      <w:r>
        <w:rPr>
          <w:color w:val="231F1F"/>
          <w:w w:val="110"/>
        </w:rPr>
        <w:t>es</w:t>
      </w:r>
      <w:r>
        <w:rPr>
          <w:color w:val="231F1F"/>
          <w:spacing w:val="-15"/>
          <w:w w:val="110"/>
        </w:rPr>
        <w:t> </w:t>
      </w:r>
      <w:r>
        <w:rPr>
          <w:color w:val="231F1F"/>
          <w:w w:val="110"/>
        </w:rPr>
        <w:t>similar</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diferen- tes modelos de atención, además la satisfacción parece mayor.</w:t>
      </w:r>
    </w:p>
    <w:p>
      <w:pPr>
        <w:pStyle w:val="BodyText"/>
        <w:spacing w:before="124"/>
        <w:ind w:left="283" w:right="1363" w:firstLine="453"/>
        <w:jc w:val="both"/>
      </w:pPr>
      <w:r>
        <w:rPr>
          <w:color w:val="231F1F"/>
          <w:w w:val="110"/>
        </w:rPr>
        <w:t>Hay que</w:t>
      </w:r>
      <w:r>
        <w:rPr>
          <w:color w:val="231F1F"/>
          <w:w w:val="110"/>
        </w:rPr>
        <w:t> tener en cuenta</w:t>
      </w:r>
      <w:r>
        <w:rPr>
          <w:color w:val="231F1F"/>
          <w:w w:val="110"/>
        </w:rPr>
        <w:t> que</w:t>
      </w:r>
      <w:r>
        <w:rPr>
          <w:color w:val="231F1F"/>
          <w:w w:val="110"/>
        </w:rPr>
        <w:t> los beneficios observados provienen de modelos</w:t>
      </w:r>
      <w:r>
        <w:rPr>
          <w:color w:val="231F1F"/>
          <w:spacing w:val="-12"/>
          <w:w w:val="110"/>
        </w:rPr>
        <w:t> </w:t>
      </w:r>
      <w:r>
        <w:rPr>
          <w:color w:val="231F1F"/>
          <w:w w:val="110"/>
        </w:rPr>
        <w:t>en</w:t>
      </w:r>
      <w:r>
        <w:rPr>
          <w:color w:val="231F1F"/>
          <w:spacing w:val="-12"/>
          <w:w w:val="110"/>
        </w:rPr>
        <w:t> </w:t>
      </w:r>
      <w:r>
        <w:rPr>
          <w:color w:val="231F1F"/>
          <w:w w:val="110"/>
        </w:rPr>
        <w:t>los</w:t>
      </w:r>
      <w:r>
        <w:rPr>
          <w:color w:val="231F1F"/>
          <w:spacing w:val="-12"/>
          <w:w w:val="110"/>
        </w:rPr>
        <w:t> </w:t>
      </w:r>
      <w:r>
        <w:rPr>
          <w:color w:val="231F1F"/>
          <w:w w:val="110"/>
        </w:rPr>
        <w:t>que</w:t>
      </w:r>
      <w:r>
        <w:rPr>
          <w:color w:val="231F1F"/>
          <w:spacing w:val="-12"/>
          <w:w w:val="110"/>
        </w:rPr>
        <w:t> </w:t>
      </w:r>
      <w:r>
        <w:rPr>
          <w:color w:val="231F1F"/>
          <w:w w:val="110"/>
        </w:rPr>
        <w:t>las</w:t>
      </w:r>
      <w:r>
        <w:rPr>
          <w:color w:val="231F1F"/>
          <w:spacing w:val="-12"/>
          <w:w w:val="110"/>
        </w:rPr>
        <w:t> </w:t>
      </w:r>
      <w:r>
        <w:rPr>
          <w:color w:val="231F1F"/>
          <w:w w:val="110"/>
        </w:rPr>
        <w:t>matronas</w:t>
      </w:r>
      <w:r>
        <w:rPr>
          <w:color w:val="231F1F"/>
          <w:spacing w:val="-12"/>
          <w:w w:val="110"/>
        </w:rPr>
        <w:t> </w:t>
      </w:r>
      <w:r>
        <w:rPr>
          <w:color w:val="231F1F"/>
          <w:w w:val="110"/>
        </w:rPr>
        <w:t>ofrecen</w:t>
      </w:r>
      <w:r>
        <w:rPr>
          <w:color w:val="231F1F"/>
          <w:spacing w:val="-13"/>
          <w:w w:val="110"/>
        </w:rPr>
        <w:t> </w:t>
      </w:r>
      <w:r>
        <w:rPr>
          <w:color w:val="231F1F"/>
          <w:w w:val="110"/>
        </w:rPr>
        <w:t>atención</w:t>
      </w:r>
      <w:r>
        <w:rPr>
          <w:color w:val="231F1F"/>
          <w:spacing w:val="-12"/>
          <w:w w:val="110"/>
        </w:rPr>
        <w:t> </w:t>
      </w:r>
      <w:r>
        <w:rPr>
          <w:color w:val="231F1F"/>
          <w:w w:val="110"/>
        </w:rPr>
        <w:t>prenatal,</w:t>
      </w:r>
      <w:r>
        <w:rPr>
          <w:color w:val="231F1F"/>
          <w:spacing w:val="-13"/>
          <w:w w:val="110"/>
        </w:rPr>
        <w:t> </w:t>
      </w:r>
      <w:r>
        <w:rPr>
          <w:color w:val="231F1F"/>
          <w:w w:val="110"/>
        </w:rPr>
        <w:t>intraparto</w:t>
      </w:r>
      <w:r>
        <w:rPr>
          <w:color w:val="231F1F"/>
          <w:spacing w:val="-12"/>
          <w:w w:val="110"/>
        </w:rPr>
        <w:t> </w:t>
      </w:r>
      <w:r>
        <w:rPr>
          <w:color w:val="231F1F"/>
          <w:w w:val="110"/>
        </w:rPr>
        <w:t>y</w:t>
      </w:r>
      <w:r>
        <w:rPr>
          <w:color w:val="231F1F"/>
          <w:spacing w:val="-12"/>
          <w:w w:val="110"/>
        </w:rPr>
        <w:t> </w:t>
      </w:r>
      <w:r>
        <w:rPr>
          <w:color w:val="231F1F"/>
          <w:w w:val="110"/>
        </w:rPr>
        <w:t>pos- parto,</w:t>
      </w:r>
      <w:r>
        <w:rPr>
          <w:color w:val="231F1F"/>
          <w:spacing w:val="-1"/>
          <w:w w:val="110"/>
        </w:rPr>
        <w:t> </w:t>
      </w:r>
      <w:r>
        <w:rPr>
          <w:color w:val="231F1F"/>
          <w:w w:val="110"/>
        </w:rPr>
        <w:t>tanto en atención primaria como en el</w:t>
      </w:r>
      <w:r>
        <w:rPr>
          <w:color w:val="231F1F"/>
          <w:spacing w:val="-1"/>
          <w:w w:val="110"/>
        </w:rPr>
        <w:t> </w:t>
      </w:r>
      <w:r>
        <w:rPr>
          <w:color w:val="231F1F"/>
          <w:w w:val="110"/>
        </w:rPr>
        <w:t>hospital.</w:t>
      </w:r>
      <w:r>
        <w:rPr>
          <w:color w:val="231F1F"/>
          <w:spacing w:val="-1"/>
          <w:w w:val="110"/>
        </w:rPr>
        <w:t> </w:t>
      </w:r>
      <w:r>
        <w:rPr>
          <w:color w:val="231F1F"/>
          <w:w w:val="110"/>
        </w:rPr>
        <w:t>Atendiendo a los be- neficios observados con modelos de matronas en partos de bajo riesgo, el </w:t>
      </w:r>
      <w:r>
        <w:rPr>
          <w:color w:val="231F1F"/>
          <w:spacing w:val="-2"/>
          <w:w w:val="110"/>
        </w:rPr>
        <w:t>GEG</w:t>
      </w:r>
      <w:r>
        <w:rPr>
          <w:color w:val="231F1F"/>
          <w:spacing w:val="-7"/>
          <w:w w:val="110"/>
        </w:rPr>
        <w:t> </w:t>
      </w:r>
      <w:r>
        <w:rPr>
          <w:color w:val="231F1F"/>
          <w:spacing w:val="-2"/>
          <w:w w:val="110"/>
        </w:rPr>
        <w:t>considera</w:t>
      </w:r>
      <w:r>
        <w:rPr>
          <w:color w:val="231F1F"/>
          <w:spacing w:val="-7"/>
          <w:w w:val="110"/>
        </w:rPr>
        <w:t> </w:t>
      </w:r>
      <w:r>
        <w:rPr>
          <w:color w:val="231F1F"/>
          <w:spacing w:val="-2"/>
          <w:w w:val="110"/>
        </w:rPr>
        <w:t>que</w:t>
      </w:r>
      <w:r>
        <w:rPr>
          <w:color w:val="231F1F"/>
          <w:spacing w:val="-8"/>
          <w:w w:val="110"/>
        </w:rPr>
        <w:t> </w:t>
      </w:r>
      <w:r>
        <w:rPr>
          <w:color w:val="231F1F"/>
          <w:spacing w:val="-2"/>
          <w:w w:val="110"/>
        </w:rPr>
        <w:t>los</w:t>
      </w:r>
      <w:r>
        <w:rPr>
          <w:color w:val="231F1F"/>
          <w:spacing w:val="-8"/>
          <w:w w:val="110"/>
        </w:rPr>
        <w:t> </w:t>
      </w:r>
      <w:r>
        <w:rPr>
          <w:color w:val="231F1F"/>
          <w:spacing w:val="-2"/>
          <w:w w:val="110"/>
        </w:rPr>
        <w:t>profesionales</w:t>
      </w:r>
      <w:r>
        <w:rPr>
          <w:color w:val="231F1F"/>
          <w:spacing w:val="-9"/>
          <w:w w:val="110"/>
        </w:rPr>
        <w:t> </w:t>
      </w:r>
      <w:r>
        <w:rPr>
          <w:color w:val="231F1F"/>
          <w:spacing w:val="-2"/>
          <w:w w:val="110"/>
        </w:rPr>
        <w:t>de</w:t>
      </w:r>
      <w:r>
        <w:rPr>
          <w:color w:val="231F1F"/>
          <w:spacing w:val="-8"/>
          <w:w w:val="110"/>
        </w:rPr>
        <w:t> </w:t>
      </w:r>
      <w:r>
        <w:rPr>
          <w:color w:val="231F1F"/>
          <w:spacing w:val="-2"/>
          <w:w w:val="110"/>
        </w:rPr>
        <w:t>obstetricia</w:t>
      </w:r>
      <w:r>
        <w:rPr>
          <w:color w:val="231F1F"/>
          <w:spacing w:val="-8"/>
          <w:w w:val="110"/>
        </w:rPr>
        <w:t> </w:t>
      </w:r>
      <w:r>
        <w:rPr>
          <w:color w:val="231F1F"/>
          <w:spacing w:val="-2"/>
          <w:w w:val="110"/>
        </w:rPr>
        <w:t>deberían</w:t>
      </w:r>
      <w:r>
        <w:rPr>
          <w:color w:val="231F1F"/>
          <w:spacing w:val="-8"/>
          <w:w w:val="110"/>
        </w:rPr>
        <w:t> </w:t>
      </w:r>
      <w:r>
        <w:rPr>
          <w:color w:val="231F1F"/>
          <w:spacing w:val="-2"/>
          <w:w w:val="110"/>
        </w:rPr>
        <w:t>actuar</w:t>
      </w:r>
      <w:r>
        <w:rPr>
          <w:color w:val="231F1F"/>
          <w:spacing w:val="-8"/>
          <w:w w:val="110"/>
        </w:rPr>
        <w:t> </w:t>
      </w:r>
      <w:r>
        <w:rPr>
          <w:color w:val="231F1F"/>
          <w:spacing w:val="-2"/>
          <w:w w:val="110"/>
        </w:rPr>
        <w:t>de</w:t>
      </w:r>
      <w:r>
        <w:rPr>
          <w:color w:val="231F1F"/>
          <w:spacing w:val="-8"/>
          <w:w w:val="110"/>
        </w:rPr>
        <w:t> </w:t>
      </w:r>
      <w:r>
        <w:rPr>
          <w:color w:val="231F1F"/>
          <w:spacing w:val="-2"/>
          <w:w w:val="110"/>
        </w:rPr>
        <w:t>super- </w:t>
      </w:r>
      <w:r>
        <w:rPr>
          <w:color w:val="231F1F"/>
        </w:rPr>
        <w:t>visores e intervenir solamente en caso de que se surgiera alguna complicación </w:t>
      </w:r>
      <w:r>
        <w:rPr>
          <w:color w:val="231F1F"/>
          <w:w w:val="110"/>
        </w:rPr>
        <w:t>fuera de los límites de la normalidad.</w:t>
      </w:r>
    </w:p>
    <w:p>
      <w:pPr>
        <w:pStyle w:val="BodyText"/>
        <w:spacing w:before="164"/>
      </w:pPr>
    </w:p>
    <w:p>
      <w:pPr>
        <w:spacing w:before="1"/>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2361" w:hRule="atLeast"/>
        </w:trPr>
        <w:tc>
          <w:tcPr>
            <w:tcW w:w="7373" w:type="dxa"/>
          </w:tcPr>
          <w:p>
            <w:pPr>
              <w:pStyle w:val="TableParagraph"/>
              <w:spacing w:line="259" w:lineRule="auto" w:before="39"/>
              <w:ind w:right="156"/>
              <w:rPr>
                <w:sz w:val="22"/>
              </w:rPr>
            </w:pPr>
            <w:r>
              <w:rPr>
                <w:color w:val="231F1F"/>
                <w:w w:val="110"/>
                <w:sz w:val="22"/>
              </w:rPr>
              <w:t>La</w:t>
            </w:r>
            <w:r>
              <w:rPr>
                <w:color w:val="231F1F"/>
                <w:spacing w:val="-13"/>
                <w:w w:val="110"/>
                <w:sz w:val="22"/>
              </w:rPr>
              <w:t> </w:t>
            </w:r>
            <w:r>
              <w:rPr>
                <w:color w:val="231F1F"/>
                <w:w w:val="110"/>
                <w:sz w:val="22"/>
              </w:rPr>
              <w:t>atención</w:t>
            </w:r>
            <w:r>
              <w:rPr>
                <w:color w:val="231F1F"/>
                <w:spacing w:val="-13"/>
                <w:w w:val="110"/>
                <w:sz w:val="22"/>
              </w:rPr>
              <w:t> </w:t>
            </w:r>
            <w:r>
              <w:rPr>
                <w:color w:val="231F1F"/>
                <w:w w:val="110"/>
                <w:sz w:val="22"/>
              </w:rPr>
              <w:t>al</w:t>
            </w:r>
            <w:r>
              <w:rPr>
                <w:color w:val="231F1F"/>
                <w:spacing w:val="-13"/>
                <w:w w:val="110"/>
                <w:sz w:val="22"/>
              </w:rPr>
              <w:t> </w:t>
            </w:r>
            <w:r>
              <w:rPr>
                <w:color w:val="231F1F"/>
                <w:w w:val="110"/>
                <w:sz w:val="22"/>
              </w:rPr>
              <w:t>embarazo,</w:t>
            </w:r>
            <w:r>
              <w:rPr>
                <w:color w:val="231F1F"/>
                <w:spacing w:val="-13"/>
                <w:w w:val="110"/>
                <w:sz w:val="22"/>
              </w:rPr>
              <w:t> </w:t>
            </w:r>
            <w:r>
              <w:rPr>
                <w:color w:val="231F1F"/>
                <w:w w:val="110"/>
                <w:sz w:val="22"/>
              </w:rPr>
              <w:t>parto</w:t>
            </w:r>
            <w:r>
              <w:rPr>
                <w:color w:val="231F1F"/>
                <w:spacing w:val="-13"/>
                <w:w w:val="110"/>
                <w:sz w:val="22"/>
              </w:rPr>
              <w:t> </w:t>
            </w:r>
            <w:r>
              <w:rPr>
                <w:color w:val="231F1F"/>
                <w:w w:val="110"/>
                <w:sz w:val="22"/>
              </w:rPr>
              <w:t>y</w:t>
            </w:r>
            <w:r>
              <w:rPr>
                <w:color w:val="231F1F"/>
                <w:spacing w:val="-13"/>
                <w:w w:val="110"/>
                <w:sz w:val="22"/>
              </w:rPr>
              <w:t> </w:t>
            </w:r>
            <w:r>
              <w:rPr>
                <w:color w:val="231F1F"/>
                <w:w w:val="110"/>
                <w:sz w:val="22"/>
              </w:rPr>
              <w:t>puerperio</w:t>
            </w:r>
            <w:r>
              <w:rPr>
                <w:color w:val="231F1F"/>
                <w:spacing w:val="-13"/>
                <w:w w:val="110"/>
                <w:sz w:val="22"/>
              </w:rPr>
              <w:t> </w:t>
            </w:r>
            <w:r>
              <w:rPr>
                <w:color w:val="231F1F"/>
                <w:w w:val="110"/>
                <w:sz w:val="22"/>
              </w:rPr>
              <w:t>por</w:t>
            </w:r>
            <w:r>
              <w:rPr>
                <w:color w:val="231F1F"/>
                <w:spacing w:val="-13"/>
                <w:w w:val="110"/>
                <w:sz w:val="22"/>
              </w:rPr>
              <w:t> </w:t>
            </w:r>
            <w:r>
              <w:rPr>
                <w:color w:val="231F1F"/>
                <w:w w:val="110"/>
                <w:sz w:val="22"/>
              </w:rPr>
              <w:t>matronas</w:t>
            </w:r>
            <w:r>
              <w:rPr>
                <w:color w:val="231F1F"/>
                <w:spacing w:val="-13"/>
                <w:w w:val="110"/>
                <w:sz w:val="22"/>
              </w:rPr>
              <w:t> </w:t>
            </w:r>
            <w:r>
              <w:rPr>
                <w:color w:val="231F1F"/>
                <w:w w:val="110"/>
                <w:sz w:val="22"/>
              </w:rPr>
              <w:t>proporciona</w:t>
            </w:r>
            <w:r>
              <w:rPr>
                <w:color w:val="231F1F"/>
                <w:spacing w:val="-13"/>
                <w:w w:val="110"/>
                <w:sz w:val="22"/>
              </w:rPr>
              <w:t> </w:t>
            </w:r>
            <w:r>
              <w:rPr>
                <w:color w:val="231F1F"/>
                <w:w w:val="110"/>
                <w:sz w:val="22"/>
              </w:rPr>
              <w:t>ma- yores</w:t>
            </w:r>
            <w:r>
              <w:rPr>
                <w:color w:val="231F1F"/>
                <w:spacing w:val="-16"/>
                <w:w w:val="110"/>
                <w:sz w:val="22"/>
              </w:rPr>
              <w:t> </w:t>
            </w:r>
            <w:r>
              <w:rPr>
                <w:color w:val="231F1F"/>
                <w:w w:val="110"/>
                <w:sz w:val="22"/>
              </w:rPr>
              <w:t>beneficios</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otros</w:t>
            </w:r>
            <w:r>
              <w:rPr>
                <w:color w:val="231F1F"/>
                <w:spacing w:val="-15"/>
                <w:w w:val="110"/>
                <w:sz w:val="22"/>
              </w:rPr>
              <w:t> </w:t>
            </w:r>
            <w:r>
              <w:rPr>
                <w:color w:val="231F1F"/>
                <w:w w:val="110"/>
                <w:sz w:val="22"/>
              </w:rPr>
              <w:t>modelos</w:t>
            </w:r>
            <w:r>
              <w:rPr>
                <w:color w:val="231F1F"/>
                <w:spacing w:val="-15"/>
                <w:w w:val="110"/>
                <w:sz w:val="22"/>
              </w:rPr>
              <w:t> </w:t>
            </w:r>
            <w:r>
              <w:rPr>
                <w:color w:val="231F1F"/>
                <w:w w:val="110"/>
                <w:sz w:val="22"/>
              </w:rPr>
              <w:t>médicos</w:t>
            </w:r>
            <w:r>
              <w:rPr>
                <w:color w:val="231F1F"/>
                <w:spacing w:val="-15"/>
                <w:w w:val="110"/>
                <w:sz w:val="22"/>
              </w:rPr>
              <w:t> </w:t>
            </w:r>
            <w:r>
              <w:rPr>
                <w:color w:val="231F1F"/>
                <w:w w:val="110"/>
                <w:sz w:val="22"/>
              </w:rPr>
              <w:t>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atención</w:t>
            </w:r>
            <w:r>
              <w:rPr>
                <w:color w:val="231F1F"/>
                <w:spacing w:val="-16"/>
                <w:w w:val="110"/>
                <w:sz w:val="22"/>
              </w:rPr>
              <w:t> </w:t>
            </w:r>
            <w:r>
              <w:rPr>
                <w:color w:val="231F1F"/>
                <w:w w:val="110"/>
                <w:sz w:val="22"/>
              </w:rPr>
              <w:t>compartida,</w:t>
            </w:r>
            <w:r>
              <w:rPr>
                <w:color w:val="231F1F"/>
                <w:spacing w:val="-15"/>
                <w:w w:val="110"/>
                <w:sz w:val="22"/>
              </w:rPr>
              <w:t> </w:t>
            </w:r>
            <w:r>
              <w:rPr>
                <w:color w:val="231F1F"/>
                <w:w w:val="110"/>
                <w:sz w:val="22"/>
              </w:rPr>
              <w:t>sin </w:t>
            </w:r>
            <w:r>
              <w:rPr>
                <w:color w:val="231F1F"/>
                <w:sz w:val="22"/>
              </w:rPr>
              <w:t>efectos adversos: disminuye la utilización de analgesia regional y episiotomía </w:t>
            </w:r>
            <w:r>
              <w:rPr>
                <w:color w:val="231F1F"/>
                <w:w w:val="110"/>
                <w:sz w:val="22"/>
              </w:rPr>
              <w:t>durante</w:t>
            </w:r>
            <w:r>
              <w:rPr>
                <w:color w:val="231F1F"/>
                <w:spacing w:val="-9"/>
                <w:w w:val="110"/>
                <w:sz w:val="22"/>
              </w:rPr>
              <w:t> </w:t>
            </w:r>
            <w:r>
              <w:rPr>
                <w:color w:val="231F1F"/>
                <w:w w:val="110"/>
                <w:sz w:val="22"/>
              </w:rPr>
              <w:t>el</w:t>
            </w:r>
            <w:r>
              <w:rPr>
                <w:color w:val="231F1F"/>
                <w:spacing w:val="-9"/>
                <w:w w:val="110"/>
                <w:sz w:val="22"/>
              </w:rPr>
              <w:t> </w:t>
            </w:r>
            <w:r>
              <w:rPr>
                <w:color w:val="231F1F"/>
                <w:w w:val="110"/>
                <w:sz w:val="22"/>
              </w:rPr>
              <w:t>parto,</w:t>
            </w:r>
            <w:r>
              <w:rPr>
                <w:color w:val="231F1F"/>
                <w:spacing w:val="-9"/>
                <w:w w:val="110"/>
                <w:sz w:val="22"/>
              </w:rPr>
              <w:t> </w:t>
            </w:r>
            <w:r>
              <w:rPr>
                <w:color w:val="231F1F"/>
                <w:w w:val="110"/>
                <w:sz w:val="22"/>
              </w:rPr>
              <w:t>aumenta</w:t>
            </w:r>
            <w:r>
              <w:rPr>
                <w:color w:val="231F1F"/>
                <w:spacing w:val="-9"/>
                <w:w w:val="110"/>
                <w:sz w:val="22"/>
              </w:rPr>
              <w:t> </w:t>
            </w:r>
            <w:r>
              <w:rPr>
                <w:color w:val="231F1F"/>
                <w:w w:val="110"/>
                <w:sz w:val="22"/>
              </w:rPr>
              <w:t>la</w:t>
            </w:r>
            <w:r>
              <w:rPr>
                <w:color w:val="231F1F"/>
                <w:spacing w:val="-8"/>
                <w:w w:val="110"/>
                <w:sz w:val="22"/>
              </w:rPr>
              <w:t> </w:t>
            </w:r>
            <w:r>
              <w:rPr>
                <w:color w:val="231F1F"/>
                <w:w w:val="110"/>
                <w:sz w:val="22"/>
              </w:rPr>
              <w:t>tasa</w:t>
            </w:r>
            <w:r>
              <w:rPr>
                <w:color w:val="231F1F"/>
                <w:spacing w:val="-9"/>
                <w:w w:val="110"/>
                <w:sz w:val="22"/>
              </w:rPr>
              <w:t> </w:t>
            </w:r>
            <w:r>
              <w:rPr>
                <w:color w:val="231F1F"/>
                <w:w w:val="110"/>
                <w:sz w:val="22"/>
              </w:rPr>
              <w:t>de</w:t>
            </w:r>
            <w:r>
              <w:rPr>
                <w:color w:val="231F1F"/>
                <w:spacing w:val="-9"/>
                <w:w w:val="110"/>
                <w:sz w:val="22"/>
              </w:rPr>
              <w:t> </w:t>
            </w:r>
            <w:r>
              <w:rPr>
                <w:color w:val="231F1F"/>
                <w:w w:val="110"/>
                <w:sz w:val="22"/>
              </w:rPr>
              <w:t>parto</w:t>
            </w:r>
            <w:r>
              <w:rPr>
                <w:color w:val="231F1F"/>
                <w:spacing w:val="-8"/>
                <w:w w:val="110"/>
                <w:sz w:val="22"/>
              </w:rPr>
              <w:t> </w:t>
            </w:r>
            <w:r>
              <w:rPr>
                <w:color w:val="231F1F"/>
                <w:w w:val="110"/>
                <w:sz w:val="22"/>
              </w:rPr>
              <w:t>vaginal</w:t>
            </w:r>
            <w:r>
              <w:rPr>
                <w:color w:val="231F1F"/>
                <w:spacing w:val="-9"/>
                <w:w w:val="110"/>
                <w:sz w:val="22"/>
              </w:rPr>
              <w:t> </w:t>
            </w:r>
            <w:r>
              <w:rPr>
                <w:color w:val="231F1F"/>
                <w:w w:val="110"/>
                <w:sz w:val="22"/>
              </w:rPr>
              <w:t>espontáneo,</w:t>
            </w:r>
            <w:r>
              <w:rPr>
                <w:color w:val="231F1F"/>
                <w:spacing w:val="-9"/>
                <w:w w:val="110"/>
                <w:sz w:val="22"/>
              </w:rPr>
              <w:t> </w:t>
            </w:r>
            <w:r>
              <w:rPr>
                <w:color w:val="231F1F"/>
                <w:w w:val="110"/>
                <w:sz w:val="22"/>
              </w:rPr>
              <w:t>las</w:t>
            </w:r>
            <w:r>
              <w:rPr>
                <w:color w:val="231F1F"/>
                <w:spacing w:val="-9"/>
                <w:w w:val="110"/>
                <w:sz w:val="22"/>
              </w:rPr>
              <w:t> </w:t>
            </w:r>
            <w:r>
              <w:rPr>
                <w:color w:val="231F1F"/>
                <w:w w:val="110"/>
                <w:sz w:val="22"/>
              </w:rPr>
              <w:t>mujeres tienen una sensación mayor de control y una mayor probabilidad de ser atendida</w:t>
            </w:r>
            <w:r>
              <w:rPr>
                <w:color w:val="231F1F"/>
                <w:spacing w:val="-8"/>
                <w:w w:val="110"/>
                <w:sz w:val="22"/>
              </w:rPr>
              <w:t> </w:t>
            </w:r>
            <w:r>
              <w:rPr>
                <w:color w:val="231F1F"/>
                <w:w w:val="110"/>
                <w:sz w:val="22"/>
              </w:rPr>
              <w:t>por</w:t>
            </w:r>
            <w:r>
              <w:rPr>
                <w:color w:val="231F1F"/>
                <w:spacing w:val="-8"/>
                <w:w w:val="110"/>
                <w:sz w:val="22"/>
              </w:rPr>
              <w:t> </w:t>
            </w:r>
            <w:r>
              <w:rPr>
                <w:color w:val="231F1F"/>
                <w:w w:val="110"/>
                <w:sz w:val="22"/>
              </w:rPr>
              <w:t>matronas</w:t>
            </w:r>
            <w:r>
              <w:rPr>
                <w:color w:val="231F1F"/>
                <w:spacing w:val="-7"/>
                <w:w w:val="110"/>
                <w:sz w:val="22"/>
              </w:rPr>
              <w:t> </w:t>
            </w:r>
            <w:r>
              <w:rPr>
                <w:color w:val="231F1F"/>
                <w:w w:val="110"/>
                <w:sz w:val="22"/>
              </w:rPr>
              <w:t>conocidas,</w:t>
            </w:r>
            <w:r>
              <w:rPr>
                <w:color w:val="231F1F"/>
                <w:spacing w:val="-8"/>
                <w:w w:val="110"/>
                <w:sz w:val="22"/>
              </w:rPr>
              <w:t> </w:t>
            </w:r>
            <w:r>
              <w:rPr>
                <w:color w:val="231F1F"/>
                <w:w w:val="110"/>
                <w:sz w:val="22"/>
              </w:rPr>
              <w:t>así</w:t>
            </w:r>
            <w:r>
              <w:rPr>
                <w:color w:val="231F1F"/>
                <w:spacing w:val="-7"/>
                <w:w w:val="110"/>
                <w:sz w:val="22"/>
              </w:rPr>
              <w:t> </w:t>
            </w:r>
            <w:r>
              <w:rPr>
                <w:color w:val="231F1F"/>
                <w:w w:val="110"/>
                <w:sz w:val="22"/>
              </w:rPr>
              <w:t>como</w:t>
            </w:r>
            <w:r>
              <w:rPr>
                <w:color w:val="231F1F"/>
                <w:spacing w:val="-8"/>
                <w:w w:val="110"/>
                <w:sz w:val="22"/>
              </w:rPr>
              <w:t> </w:t>
            </w:r>
            <w:r>
              <w:rPr>
                <w:color w:val="231F1F"/>
                <w:w w:val="110"/>
                <w:sz w:val="22"/>
              </w:rPr>
              <w:t>una</w:t>
            </w:r>
            <w:r>
              <w:rPr>
                <w:color w:val="231F1F"/>
                <w:spacing w:val="-8"/>
                <w:w w:val="110"/>
                <w:sz w:val="22"/>
              </w:rPr>
              <w:t> </w:t>
            </w:r>
            <w:r>
              <w:rPr>
                <w:color w:val="231F1F"/>
                <w:w w:val="110"/>
                <w:sz w:val="22"/>
              </w:rPr>
              <w:t>mayor</w:t>
            </w:r>
            <w:r>
              <w:rPr>
                <w:color w:val="231F1F"/>
                <w:spacing w:val="-7"/>
                <w:w w:val="110"/>
                <w:sz w:val="22"/>
              </w:rPr>
              <w:t> </w:t>
            </w:r>
            <w:r>
              <w:rPr>
                <w:color w:val="231F1F"/>
                <w:w w:val="110"/>
                <w:sz w:val="22"/>
              </w:rPr>
              <w:t>tasa</w:t>
            </w:r>
            <w:r>
              <w:rPr>
                <w:color w:val="231F1F"/>
                <w:spacing w:val="-8"/>
                <w:w w:val="110"/>
                <w:sz w:val="22"/>
              </w:rPr>
              <w:t> </w:t>
            </w:r>
            <w:r>
              <w:rPr>
                <w:color w:val="231F1F"/>
                <w:w w:val="110"/>
                <w:sz w:val="22"/>
              </w:rPr>
              <w:t>de</w:t>
            </w:r>
            <w:r>
              <w:rPr>
                <w:color w:val="231F1F"/>
                <w:spacing w:val="-7"/>
                <w:w w:val="110"/>
                <w:sz w:val="22"/>
              </w:rPr>
              <w:t> </w:t>
            </w:r>
            <w:r>
              <w:rPr>
                <w:color w:val="231F1F"/>
                <w:w w:val="110"/>
                <w:sz w:val="22"/>
              </w:rPr>
              <w:t>inicio</w:t>
            </w:r>
            <w:r>
              <w:rPr>
                <w:color w:val="231F1F"/>
                <w:spacing w:val="-8"/>
                <w:w w:val="110"/>
                <w:sz w:val="22"/>
              </w:rPr>
              <w:t> </w:t>
            </w:r>
            <w:r>
              <w:rPr>
                <w:color w:val="231F1F"/>
                <w:w w:val="110"/>
                <w:sz w:val="22"/>
              </w:rPr>
              <w:t>de</w:t>
            </w:r>
            <w:r>
              <w:rPr>
                <w:color w:val="231F1F"/>
                <w:spacing w:val="-7"/>
                <w:w w:val="110"/>
                <w:sz w:val="22"/>
              </w:rPr>
              <w:t> </w:t>
            </w:r>
            <w:r>
              <w:rPr>
                <w:color w:val="231F1F"/>
                <w:w w:val="110"/>
                <w:sz w:val="22"/>
              </w:rPr>
              <w:t>la </w:t>
            </w:r>
            <w:r>
              <w:rPr>
                <w:color w:val="231F1F"/>
                <w:spacing w:val="-2"/>
                <w:w w:val="110"/>
                <w:sz w:val="22"/>
              </w:rPr>
              <w:t>lactancia</w:t>
            </w:r>
            <w:r>
              <w:rPr>
                <w:color w:val="231F1F"/>
                <w:spacing w:val="-10"/>
                <w:w w:val="110"/>
                <w:sz w:val="22"/>
              </w:rPr>
              <w:t> </w:t>
            </w:r>
            <w:r>
              <w:rPr>
                <w:color w:val="231F1F"/>
                <w:spacing w:val="-2"/>
                <w:w w:val="110"/>
                <w:sz w:val="22"/>
              </w:rPr>
              <w:t>materna.</w:t>
            </w:r>
            <w:r>
              <w:rPr>
                <w:color w:val="231F1F"/>
                <w:spacing w:val="-10"/>
                <w:w w:val="110"/>
                <w:sz w:val="22"/>
              </w:rPr>
              <w:t> </w:t>
            </w:r>
            <w:r>
              <w:rPr>
                <w:color w:val="231F1F"/>
                <w:spacing w:val="-2"/>
                <w:w w:val="110"/>
                <w:sz w:val="22"/>
              </w:rPr>
              <w:t>La</w:t>
            </w:r>
            <w:r>
              <w:rPr>
                <w:color w:val="231F1F"/>
                <w:spacing w:val="-10"/>
                <w:w w:val="110"/>
                <w:sz w:val="22"/>
              </w:rPr>
              <w:t> </w:t>
            </w:r>
            <w:r>
              <w:rPr>
                <w:color w:val="231F1F"/>
                <w:spacing w:val="-2"/>
                <w:w w:val="110"/>
                <w:sz w:val="22"/>
              </w:rPr>
              <w:t>muerte</w:t>
            </w:r>
            <w:r>
              <w:rPr>
                <w:color w:val="231F1F"/>
                <w:spacing w:val="-10"/>
                <w:w w:val="110"/>
                <w:sz w:val="22"/>
              </w:rPr>
              <w:t> </w:t>
            </w:r>
            <w:r>
              <w:rPr>
                <w:color w:val="231F1F"/>
                <w:spacing w:val="-2"/>
                <w:w w:val="110"/>
                <w:sz w:val="22"/>
              </w:rPr>
              <w:t>fetal</w:t>
            </w:r>
            <w:r>
              <w:rPr>
                <w:color w:val="231F1F"/>
                <w:spacing w:val="-10"/>
                <w:w w:val="110"/>
                <w:sz w:val="22"/>
              </w:rPr>
              <w:t> </w:t>
            </w:r>
            <w:r>
              <w:rPr>
                <w:color w:val="231F1F"/>
                <w:spacing w:val="-2"/>
                <w:w w:val="110"/>
                <w:sz w:val="22"/>
              </w:rPr>
              <w:t>y</w:t>
            </w:r>
            <w:r>
              <w:rPr>
                <w:color w:val="231F1F"/>
                <w:spacing w:val="-10"/>
                <w:w w:val="110"/>
                <w:sz w:val="22"/>
              </w:rPr>
              <w:t> </w:t>
            </w:r>
            <w:r>
              <w:rPr>
                <w:color w:val="231F1F"/>
                <w:spacing w:val="-2"/>
                <w:w w:val="110"/>
                <w:sz w:val="22"/>
              </w:rPr>
              <w:t>neonatal</w:t>
            </w:r>
            <w:r>
              <w:rPr>
                <w:color w:val="231F1F"/>
                <w:spacing w:val="-11"/>
                <w:w w:val="110"/>
                <w:sz w:val="22"/>
              </w:rPr>
              <w:t> </w:t>
            </w:r>
            <w:r>
              <w:rPr>
                <w:color w:val="231F1F"/>
                <w:spacing w:val="-2"/>
                <w:w w:val="110"/>
                <w:sz w:val="22"/>
              </w:rPr>
              <w:t>general</w:t>
            </w:r>
            <w:r>
              <w:rPr>
                <w:color w:val="231F1F"/>
                <w:spacing w:val="-11"/>
                <w:w w:val="110"/>
                <w:sz w:val="22"/>
              </w:rPr>
              <w:t> </w:t>
            </w:r>
            <w:r>
              <w:rPr>
                <w:color w:val="231F1F"/>
                <w:spacing w:val="-2"/>
                <w:w w:val="110"/>
                <w:sz w:val="22"/>
              </w:rPr>
              <w:t>es</w:t>
            </w:r>
            <w:r>
              <w:rPr>
                <w:color w:val="231F1F"/>
                <w:spacing w:val="-9"/>
                <w:w w:val="110"/>
                <w:sz w:val="22"/>
              </w:rPr>
              <w:t> </w:t>
            </w:r>
            <w:r>
              <w:rPr>
                <w:color w:val="231F1F"/>
                <w:spacing w:val="-2"/>
                <w:w w:val="110"/>
                <w:sz w:val="22"/>
              </w:rPr>
              <w:t>similar</w:t>
            </w:r>
            <w:r>
              <w:rPr>
                <w:color w:val="231F1F"/>
                <w:spacing w:val="-10"/>
                <w:w w:val="110"/>
                <w:sz w:val="22"/>
              </w:rPr>
              <w:t> </w:t>
            </w:r>
            <w:r>
              <w:rPr>
                <w:color w:val="231F1F"/>
                <w:spacing w:val="-2"/>
                <w:w w:val="110"/>
                <w:sz w:val="22"/>
              </w:rPr>
              <w:t>en</w:t>
            </w:r>
            <w:r>
              <w:rPr>
                <w:color w:val="231F1F"/>
                <w:spacing w:val="-10"/>
                <w:w w:val="110"/>
                <w:sz w:val="22"/>
              </w:rPr>
              <w:t> </w:t>
            </w:r>
            <w:r>
              <w:rPr>
                <w:color w:val="231F1F"/>
                <w:spacing w:val="-2"/>
                <w:w w:val="110"/>
                <w:sz w:val="22"/>
              </w:rPr>
              <w:t>los</w:t>
            </w:r>
            <w:r>
              <w:rPr>
                <w:color w:val="231F1F"/>
                <w:spacing w:val="-10"/>
                <w:w w:val="110"/>
                <w:sz w:val="22"/>
              </w:rPr>
              <w:t> </w:t>
            </w:r>
            <w:r>
              <w:rPr>
                <w:color w:val="231F1F"/>
                <w:spacing w:val="-2"/>
                <w:w w:val="110"/>
                <w:sz w:val="22"/>
              </w:rPr>
              <w:t>dife- </w:t>
            </w:r>
            <w:r>
              <w:rPr>
                <w:color w:val="231F1F"/>
                <w:sz w:val="22"/>
              </w:rPr>
              <w:t>rentes</w:t>
            </w:r>
            <w:r>
              <w:rPr>
                <w:color w:val="231F1F"/>
                <w:spacing w:val="40"/>
                <w:sz w:val="22"/>
              </w:rPr>
              <w:t> </w:t>
            </w:r>
            <w:r>
              <w:rPr>
                <w:color w:val="231F1F"/>
                <w:sz w:val="22"/>
              </w:rPr>
              <w:t>modelos</w:t>
            </w:r>
            <w:r>
              <w:rPr>
                <w:color w:val="231F1F"/>
                <w:spacing w:val="40"/>
                <w:sz w:val="22"/>
              </w:rPr>
              <w:t> </w:t>
            </w:r>
            <w:r>
              <w:rPr>
                <w:color w:val="231F1F"/>
                <w:sz w:val="22"/>
              </w:rPr>
              <w:t>de</w:t>
            </w:r>
            <w:r>
              <w:rPr>
                <w:color w:val="231F1F"/>
                <w:spacing w:val="40"/>
                <w:sz w:val="22"/>
              </w:rPr>
              <w:t> </w:t>
            </w:r>
            <w:r>
              <w:rPr>
                <w:color w:val="231F1F"/>
                <w:sz w:val="22"/>
              </w:rPr>
              <w:t>atención,</w:t>
            </w:r>
            <w:r>
              <w:rPr>
                <w:color w:val="231F1F"/>
                <w:spacing w:val="40"/>
                <w:sz w:val="22"/>
              </w:rPr>
              <w:t> </w:t>
            </w:r>
            <w:r>
              <w:rPr>
                <w:color w:val="231F1F"/>
                <w:sz w:val="22"/>
              </w:rPr>
              <w:t>además</w:t>
            </w:r>
            <w:r>
              <w:rPr>
                <w:color w:val="231F1F"/>
                <w:spacing w:val="40"/>
                <w:sz w:val="22"/>
              </w:rPr>
              <w:t> </w:t>
            </w:r>
            <w:r>
              <w:rPr>
                <w:color w:val="231F1F"/>
                <w:sz w:val="22"/>
              </w:rPr>
              <w:t>la</w:t>
            </w:r>
            <w:r>
              <w:rPr>
                <w:color w:val="231F1F"/>
                <w:spacing w:val="40"/>
                <w:sz w:val="22"/>
              </w:rPr>
              <w:t> </w:t>
            </w:r>
            <w:r>
              <w:rPr>
                <w:color w:val="231F1F"/>
                <w:sz w:val="22"/>
              </w:rPr>
              <w:t>satisfacción</w:t>
            </w:r>
            <w:r>
              <w:rPr>
                <w:color w:val="231F1F"/>
                <w:spacing w:val="40"/>
                <w:sz w:val="22"/>
              </w:rPr>
              <w:t> </w:t>
            </w:r>
            <w:r>
              <w:rPr>
                <w:color w:val="231F1F"/>
                <w:sz w:val="22"/>
              </w:rPr>
              <w:t>parece</w:t>
            </w:r>
            <w:r>
              <w:rPr>
                <w:color w:val="231F1F"/>
                <w:spacing w:val="40"/>
                <w:sz w:val="22"/>
              </w:rPr>
              <w:t> </w:t>
            </w:r>
            <w:r>
              <w:rPr>
                <w:color w:val="231F1F"/>
                <w:sz w:val="22"/>
              </w:rPr>
              <w:t>mayor</w:t>
            </w:r>
            <w:r>
              <w:rPr>
                <w:color w:val="231F1F"/>
                <w:spacing w:val="40"/>
                <w:sz w:val="22"/>
              </w:rPr>
              <w:t> </w:t>
            </w:r>
            <w:r>
              <w:rPr>
                <w:color w:val="231F1F"/>
                <w:sz w:val="22"/>
              </w:rPr>
              <w:t>(12).</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6"/>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64" w:hRule="atLeast"/>
        </w:trPr>
        <w:tc>
          <w:tcPr>
            <w:tcW w:w="456" w:type="dxa"/>
          </w:tcPr>
          <w:p>
            <w:pPr>
              <w:pStyle w:val="TableParagraph"/>
              <w:spacing w:before="69"/>
              <w:ind w:left="0"/>
              <w:rPr>
                <w:rFonts w:ascii="Arial MT"/>
                <w:sz w:val="22"/>
              </w:rPr>
            </w:pPr>
          </w:p>
          <w:p>
            <w:pPr>
              <w:pStyle w:val="TableParagraph"/>
              <w:rPr>
                <w:sz w:val="22"/>
              </w:rPr>
            </w:pPr>
            <w:r>
              <w:rPr>
                <w:color w:val="231F1F"/>
                <w:spacing w:val="-10"/>
                <w:w w:val="115"/>
                <w:sz w:val="22"/>
              </w:rPr>
              <w:t>A</w:t>
            </w:r>
          </w:p>
        </w:tc>
        <w:tc>
          <w:tcPr>
            <w:tcW w:w="8050" w:type="dxa"/>
          </w:tcPr>
          <w:p>
            <w:pPr>
              <w:pStyle w:val="TableParagraph"/>
              <w:spacing w:line="244" w:lineRule="auto" w:before="49"/>
              <w:ind w:right="77"/>
              <w:jc w:val="both"/>
              <w:rPr>
                <w:sz w:val="22"/>
              </w:rPr>
            </w:pPr>
            <w:r>
              <w:rPr>
                <w:color w:val="231F1F"/>
                <w:w w:val="110"/>
                <w:sz w:val="22"/>
              </w:rPr>
              <w:t>Se</w:t>
            </w:r>
            <w:r>
              <w:rPr>
                <w:color w:val="231F1F"/>
                <w:w w:val="110"/>
                <w:sz w:val="22"/>
              </w:rPr>
              <w:t> recomienda</w:t>
            </w:r>
            <w:r>
              <w:rPr>
                <w:color w:val="231F1F"/>
                <w:w w:val="110"/>
                <w:sz w:val="22"/>
              </w:rPr>
              <w:t> que</w:t>
            </w:r>
            <w:r>
              <w:rPr>
                <w:color w:val="231F1F"/>
                <w:w w:val="110"/>
                <w:sz w:val="22"/>
              </w:rPr>
              <w:t> los</w:t>
            </w:r>
            <w:r>
              <w:rPr>
                <w:color w:val="231F1F"/>
                <w:w w:val="110"/>
                <w:sz w:val="22"/>
              </w:rPr>
              <w:t> equipos</w:t>
            </w:r>
            <w:r>
              <w:rPr>
                <w:color w:val="231F1F"/>
                <w:w w:val="110"/>
                <w:sz w:val="22"/>
              </w:rPr>
              <w:t> de</w:t>
            </w:r>
            <w:r>
              <w:rPr>
                <w:color w:val="231F1F"/>
                <w:w w:val="110"/>
                <w:sz w:val="22"/>
              </w:rPr>
              <w:t> atención</w:t>
            </w:r>
            <w:r>
              <w:rPr>
                <w:color w:val="231F1F"/>
                <w:w w:val="110"/>
                <w:sz w:val="22"/>
              </w:rPr>
              <w:t> al</w:t>
            </w:r>
            <w:r>
              <w:rPr>
                <w:color w:val="231F1F"/>
                <w:w w:val="110"/>
                <w:sz w:val="22"/>
              </w:rPr>
              <w:t> parto</w:t>
            </w:r>
            <w:r>
              <w:rPr>
                <w:color w:val="231F1F"/>
                <w:w w:val="110"/>
                <w:sz w:val="22"/>
              </w:rPr>
              <w:t> hospitalario</w:t>
            </w:r>
            <w:r>
              <w:rPr>
                <w:color w:val="231F1F"/>
                <w:w w:val="110"/>
                <w:sz w:val="22"/>
              </w:rPr>
              <w:t> promuevan</w:t>
            </w:r>
            <w:r>
              <w:rPr>
                <w:color w:val="231F1F"/>
                <w:w w:val="110"/>
                <w:sz w:val="22"/>
              </w:rPr>
              <w:t> la atención</w:t>
            </w:r>
            <w:r>
              <w:rPr>
                <w:color w:val="231F1F"/>
                <w:spacing w:val="-16"/>
                <w:w w:val="110"/>
                <w:sz w:val="22"/>
              </w:rPr>
              <w:t> </w:t>
            </w:r>
            <w:r>
              <w:rPr>
                <w:color w:val="231F1F"/>
                <w:w w:val="110"/>
                <w:sz w:val="22"/>
              </w:rPr>
              <w:t>al</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bajo</w:t>
            </w:r>
            <w:r>
              <w:rPr>
                <w:color w:val="231F1F"/>
                <w:spacing w:val="-15"/>
                <w:w w:val="110"/>
                <w:sz w:val="22"/>
              </w:rPr>
              <w:t> </w:t>
            </w:r>
            <w:r>
              <w:rPr>
                <w:color w:val="231F1F"/>
                <w:w w:val="110"/>
                <w:sz w:val="22"/>
              </w:rPr>
              <w:t>riesgo</w:t>
            </w:r>
            <w:r>
              <w:rPr>
                <w:color w:val="231F1F"/>
                <w:spacing w:val="-15"/>
                <w:w w:val="110"/>
                <w:sz w:val="22"/>
              </w:rPr>
              <w:t> </w:t>
            </w:r>
            <w:r>
              <w:rPr>
                <w:color w:val="231F1F"/>
                <w:w w:val="110"/>
                <w:sz w:val="22"/>
              </w:rPr>
              <w:t>preferiblemente</w:t>
            </w:r>
            <w:r>
              <w:rPr>
                <w:color w:val="231F1F"/>
                <w:spacing w:val="-15"/>
                <w:w w:val="110"/>
                <w:sz w:val="22"/>
              </w:rPr>
              <w:t> </w:t>
            </w:r>
            <w:r>
              <w:rPr>
                <w:color w:val="231F1F"/>
                <w:w w:val="110"/>
                <w:sz w:val="22"/>
              </w:rPr>
              <w:t>por</w:t>
            </w:r>
            <w:r>
              <w:rPr>
                <w:color w:val="231F1F"/>
                <w:spacing w:val="-15"/>
                <w:w w:val="110"/>
                <w:sz w:val="22"/>
              </w:rPr>
              <w:t> </w:t>
            </w:r>
            <w:r>
              <w:rPr>
                <w:color w:val="231F1F"/>
                <w:w w:val="110"/>
                <w:sz w:val="22"/>
              </w:rPr>
              <w:t>parte</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matronas,</w:t>
            </w:r>
            <w:r>
              <w:rPr>
                <w:color w:val="231F1F"/>
                <w:spacing w:val="-15"/>
                <w:w w:val="110"/>
                <w:sz w:val="22"/>
              </w:rPr>
              <w:t> </w:t>
            </w:r>
            <w:r>
              <w:rPr>
                <w:color w:val="231F1F"/>
                <w:w w:val="110"/>
                <w:sz w:val="22"/>
              </w:rPr>
              <w:t>siempre y cuando éste se mantenga dentro de los límites de la normalidad.</w:t>
            </w:r>
          </w:p>
        </w:tc>
      </w:tr>
    </w:tbl>
    <w:p>
      <w:pPr>
        <w:pStyle w:val="TableParagraph"/>
        <w:spacing w:after="0" w:line="244" w:lineRule="auto"/>
        <w:jc w:val="both"/>
        <w:rPr>
          <w:sz w:val="22"/>
        </w:rPr>
        <w:sectPr>
          <w:pgSz w:w="11900" w:h="16840"/>
          <w:pgMar w:header="0" w:footer="622" w:top="158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spacing w:val="-2"/>
          <w:w w:val="110"/>
        </w:rPr>
        <w:t>Acompañamiento</w:t>
      </w:r>
    </w:p>
    <w:p>
      <w:pPr>
        <w:pStyle w:val="BodyText"/>
        <w:spacing w:before="20"/>
        <w:rPr>
          <w:sz w:val="20"/>
        </w:rPr>
      </w:pPr>
      <w:r>
        <w:rPr>
          <w:sz w:val="20"/>
        </w:rPr>
        <mc:AlternateContent>
          <mc:Choice Requires="wps">
            <w:drawing>
              <wp:anchor distT="0" distB="0" distL="0" distR="0" allowOverlap="1" layoutInCell="1" locked="0" behindDoc="1" simplePos="0" relativeHeight="487597568">
                <wp:simplePos x="0" y="0"/>
                <wp:positionH relativeFrom="page">
                  <wp:posOffset>1082675</wp:posOffset>
                </wp:positionH>
                <wp:positionV relativeFrom="paragraph">
                  <wp:posOffset>177184</wp:posOffset>
                </wp:positionV>
                <wp:extent cx="5400040" cy="298450"/>
                <wp:effectExtent l="0" t="0" r="0" b="0"/>
                <wp:wrapTopAndBottom/>
                <wp:docPr id="53" name="Textbox 53"/>
                <wp:cNvGraphicFramePr>
                  <a:graphicFrameLocks/>
                </wp:cNvGraphicFramePr>
                <a:graphic>
                  <a:graphicData uri="http://schemas.microsoft.com/office/word/2010/wordprocessingShape">
                    <wps:wsp>
                      <wps:cNvPr id="53" name="Textbox 53"/>
                      <wps:cNvSpPr txBox="1"/>
                      <wps:spPr>
                        <a:xfrm>
                          <a:off x="0" y="0"/>
                          <a:ext cx="5400040" cy="298450"/>
                        </a:xfrm>
                        <a:prstGeom prst="rect">
                          <a:avLst/>
                        </a:prstGeom>
                        <a:ln w="6350">
                          <a:solidFill>
                            <a:srgbClr val="A30046"/>
                          </a:solidFill>
                          <a:prstDash val="solid"/>
                        </a:ln>
                      </wps:spPr>
                      <wps:txbx>
                        <w:txbxContent>
                          <w:p>
                            <w:pPr>
                              <w:pStyle w:val="BodyText"/>
                              <w:numPr>
                                <w:ilvl w:val="0"/>
                                <w:numId w:val="13"/>
                              </w:numPr>
                              <w:tabs>
                                <w:tab w:pos="322" w:val="left" w:leader="none"/>
                              </w:tabs>
                              <w:spacing w:line="240" w:lineRule="auto" w:before="75" w:after="0"/>
                              <w:ind w:left="322" w:right="0" w:hanging="218"/>
                              <w:jc w:val="left"/>
                            </w:pPr>
                            <w:r>
                              <w:rPr>
                                <w:color w:val="231F1F"/>
                              </w:rPr>
                              <w:t>¿Cuál</w:t>
                            </w:r>
                            <w:r>
                              <w:rPr>
                                <w:color w:val="231F1F"/>
                                <w:spacing w:val="30"/>
                              </w:rPr>
                              <w:t> </w:t>
                            </w:r>
                            <w:r>
                              <w:rPr>
                                <w:color w:val="231F1F"/>
                              </w:rPr>
                              <w:t>es</w:t>
                            </w:r>
                            <w:r>
                              <w:rPr>
                                <w:color w:val="231F1F"/>
                                <w:spacing w:val="32"/>
                              </w:rPr>
                              <w:t> </w:t>
                            </w:r>
                            <w:r>
                              <w:rPr>
                                <w:color w:val="231F1F"/>
                              </w:rPr>
                              <w:t>la</w:t>
                            </w:r>
                            <w:r>
                              <w:rPr>
                                <w:color w:val="231F1F"/>
                                <w:spacing w:val="32"/>
                              </w:rPr>
                              <w:t> </w:t>
                            </w:r>
                            <w:r>
                              <w:rPr>
                                <w:color w:val="231F1F"/>
                              </w:rPr>
                              <w:t>efectividad</w:t>
                            </w:r>
                            <w:r>
                              <w:rPr>
                                <w:color w:val="231F1F"/>
                                <w:spacing w:val="33"/>
                              </w:rPr>
                              <w:t> </w:t>
                            </w:r>
                            <w:r>
                              <w:rPr>
                                <w:color w:val="231F1F"/>
                              </w:rPr>
                              <w:t>de</w:t>
                            </w:r>
                            <w:r>
                              <w:rPr>
                                <w:color w:val="231F1F"/>
                                <w:spacing w:val="32"/>
                              </w:rPr>
                              <w:t> </w:t>
                            </w:r>
                            <w:r>
                              <w:rPr>
                                <w:color w:val="231F1F"/>
                              </w:rPr>
                              <w:t>acompañar</w:t>
                            </w:r>
                            <w:r>
                              <w:rPr>
                                <w:color w:val="231F1F"/>
                                <w:spacing w:val="32"/>
                              </w:rPr>
                              <w:t> </w:t>
                            </w:r>
                            <w:r>
                              <w:rPr>
                                <w:color w:val="231F1F"/>
                              </w:rPr>
                              <w:t>a</w:t>
                            </w:r>
                            <w:r>
                              <w:rPr>
                                <w:color w:val="231F1F"/>
                                <w:spacing w:val="32"/>
                              </w:rPr>
                              <w:t> </w:t>
                            </w:r>
                            <w:r>
                              <w:rPr>
                                <w:color w:val="231F1F"/>
                              </w:rPr>
                              <w:t>la</w:t>
                            </w:r>
                            <w:r>
                              <w:rPr>
                                <w:color w:val="231F1F"/>
                                <w:spacing w:val="32"/>
                              </w:rPr>
                              <w:t> </w:t>
                            </w:r>
                            <w:r>
                              <w:rPr>
                                <w:color w:val="231F1F"/>
                              </w:rPr>
                              <w:t>mujer</w:t>
                            </w:r>
                            <w:r>
                              <w:rPr>
                                <w:color w:val="231F1F"/>
                                <w:spacing w:val="33"/>
                              </w:rPr>
                              <w:t> </w:t>
                            </w:r>
                            <w:r>
                              <w:rPr>
                                <w:color w:val="231F1F"/>
                              </w:rPr>
                              <w:t>durante</w:t>
                            </w:r>
                            <w:r>
                              <w:rPr>
                                <w:color w:val="231F1F"/>
                                <w:spacing w:val="34"/>
                              </w:rPr>
                              <w:t> </w:t>
                            </w:r>
                            <w:r>
                              <w:rPr>
                                <w:color w:val="231F1F"/>
                              </w:rPr>
                              <w:t>el</w:t>
                            </w:r>
                            <w:r>
                              <w:rPr>
                                <w:color w:val="231F1F"/>
                                <w:spacing w:val="32"/>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951563pt;width:425.2pt;height:23.5pt;mso-position-horizontal-relative:page;mso-position-vertical-relative:paragraph;z-index:-15718912;mso-wrap-distance-left:0;mso-wrap-distance-right:0" type="#_x0000_t202" id="docshape42" filled="false" stroked="true" strokeweight=".5pt" strokecolor="#a30046">
                <v:textbox inset="0,0,0,0">
                  <w:txbxContent>
                    <w:p>
                      <w:pPr>
                        <w:pStyle w:val="BodyText"/>
                        <w:numPr>
                          <w:ilvl w:val="0"/>
                          <w:numId w:val="13"/>
                        </w:numPr>
                        <w:tabs>
                          <w:tab w:pos="322" w:val="left" w:leader="none"/>
                        </w:tabs>
                        <w:spacing w:line="240" w:lineRule="auto" w:before="75" w:after="0"/>
                        <w:ind w:left="322" w:right="0" w:hanging="218"/>
                        <w:jc w:val="left"/>
                      </w:pPr>
                      <w:r>
                        <w:rPr>
                          <w:color w:val="231F1F"/>
                        </w:rPr>
                        <w:t>¿Cuál</w:t>
                      </w:r>
                      <w:r>
                        <w:rPr>
                          <w:color w:val="231F1F"/>
                          <w:spacing w:val="30"/>
                        </w:rPr>
                        <w:t> </w:t>
                      </w:r>
                      <w:r>
                        <w:rPr>
                          <w:color w:val="231F1F"/>
                        </w:rPr>
                        <w:t>es</w:t>
                      </w:r>
                      <w:r>
                        <w:rPr>
                          <w:color w:val="231F1F"/>
                          <w:spacing w:val="32"/>
                        </w:rPr>
                        <w:t> </w:t>
                      </w:r>
                      <w:r>
                        <w:rPr>
                          <w:color w:val="231F1F"/>
                        </w:rPr>
                        <w:t>la</w:t>
                      </w:r>
                      <w:r>
                        <w:rPr>
                          <w:color w:val="231F1F"/>
                          <w:spacing w:val="32"/>
                        </w:rPr>
                        <w:t> </w:t>
                      </w:r>
                      <w:r>
                        <w:rPr>
                          <w:color w:val="231F1F"/>
                        </w:rPr>
                        <w:t>efectividad</w:t>
                      </w:r>
                      <w:r>
                        <w:rPr>
                          <w:color w:val="231F1F"/>
                          <w:spacing w:val="33"/>
                        </w:rPr>
                        <w:t> </w:t>
                      </w:r>
                      <w:r>
                        <w:rPr>
                          <w:color w:val="231F1F"/>
                        </w:rPr>
                        <w:t>de</w:t>
                      </w:r>
                      <w:r>
                        <w:rPr>
                          <w:color w:val="231F1F"/>
                          <w:spacing w:val="32"/>
                        </w:rPr>
                        <w:t> </w:t>
                      </w:r>
                      <w:r>
                        <w:rPr>
                          <w:color w:val="231F1F"/>
                        </w:rPr>
                        <w:t>acompañar</w:t>
                      </w:r>
                      <w:r>
                        <w:rPr>
                          <w:color w:val="231F1F"/>
                          <w:spacing w:val="32"/>
                        </w:rPr>
                        <w:t> </w:t>
                      </w:r>
                      <w:r>
                        <w:rPr>
                          <w:color w:val="231F1F"/>
                        </w:rPr>
                        <w:t>a</w:t>
                      </w:r>
                      <w:r>
                        <w:rPr>
                          <w:color w:val="231F1F"/>
                          <w:spacing w:val="32"/>
                        </w:rPr>
                        <w:t> </w:t>
                      </w:r>
                      <w:r>
                        <w:rPr>
                          <w:color w:val="231F1F"/>
                        </w:rPr>
                        <w:t>la</w:t>
                      </w:r>
                      <w:r>
                        <w:rPr>
                          <w:color w:val="231F1F"/>
                          <w:spacing w:val="32"/>
                        </w:rPr>
                        <w:t> </w:t>
                      </w:r>
                      <w:r>
                        <w:rPr>
                          <w:color w:val="231F1F"/>
                        </w:rPr>
                        <w:t>mujer</w:t>
                      </w:r>
                      <w:r>
                        <w:rPr>
                          <w:color w:val="231F1F"/>
                          <w:spacing w:val="33"/>
                        </w:rPr>
                        <w:t> </w:t>
                      </w:r>
                      <w:r>
                        <w:rPr>
                          <w:color w:val="231F1F"/>
                        </w:rPr>
                        <w:t>durante</w:t>
                      </w:r>
                      <w:r>
                        <w:rPr>
                          <w:color w:val="231F1F"/>
                          <w:spacing w:val="34"/>
                        </w:rPr>
                        <w:t> </w:t>
                      </w:r>
                      <w:r>
                        <w:rPr>
                          <w:color w:val="231F1F"/>
                        </w:rPr>
                        <w:t>el</w:t>
                      </w:r>
                      <w:r>
                        <w:rPr>
                          <w:color w:val="231F1F"/>
                          <w:spacing w:val="32"/>
                        </w:rPr>
                        <w:t> </w:t>
                      </w:r>
                      <w:r>
                        <w:rPr>
                          <w:color w:val="231F1F"/>
                          <w:spacing w:val="-2"/>
                        </w:rPr>
                        <w:t>parto?</w:t>
                      </w:r>
                    </w:p>
                  </w:txbxContent>
                </v:textbox>
                <v:stroke dashstyle="solid"/>
                <w10:wrap type="topAndBottom"/>
              </v:shape>
            </w:pict>
          </mc:Fallback>
        </mc:AlternateContent>
      </w:r>
    </w:p>
    <w:p>
      <w:pPr>
        <w:pStyle w:val="BodyText"/>
        <w:spacing w:before="9"/>
        <w:rPr>
          <w:sz w:val="32"/>
        </w:rPr>
      </w:pPr>
    </w:p>
    <w:p>
      <w:pPr>
        <w:pStyle w:val="BodyText"/>
        <w:spacing w:line="254" w:lineRule="auto" w:before="1"/>
        <w:ind w:left="283" w:right="122"/>
        <w:jc w:val="both"/>
      </w:pPr>
      <w:r>
        <w:rPr>
          <w:color w:val="231F1F"/>
          <w:w w:val="110"/>
        </w:rPr>
        <w:t>En el ámbito hospitalario, durante un parto normal, la mujer es atendida por matronas, aunque</w:t>
      </w:r>
      <w:r>
        <w:rPr>
          <w:color w:val="231F1F"/>
          <w:spacing w:val="-16"/>
          <w:w w:val="110"/>
        </w:rPr>
        <w:t> </w:t>
      </w:r>
      <w:r>
        <w:rPr>
          <w:color w:val="231F1F"/>
          <w:w w:val="110"/>
        </w:rPr>
        <w:t>su</w:t>
      </w:r>
      <w:r>
        <w:rPr>
          <w:color w:val="231F1F"/>
          <w:spacing w:val="-15"/>
          <w:w w:val="110"/>
        </w:rPr>
        <w:t> </w:t>
      </w:r>
      <w:r>
        <w:rPr>
          <w:color w:val="231F1F"/>
          <w:w w:val="110"/>
        </w:rPr>
        <w:t>presencia</w:t>
      </w:r>
      <w:r>
        <w:rPr>
          <w:color w:val="231F1F"/>
          <w:spacing w:val="-15"/>
          <w:w w:val="110"/>
        </w:rPr>
        <w:t> </w:t>
      </w:r>
      <w:r>
        <w:rPr>
          <w:color w:val="231F1F"/>
          <w:w w:val="110"/>
        </w:rPr>
        <w:t>no</w:t>
      </w:r>
      <w:r>
        <w:rPr>
          <w:color w:val="231F1F"/>
          <w:spacing w:val="-15"/>
          <w:w w:val="110"/>
        </w:rPr>
        <w:t> </w:t>
      </w:r>
      <w:r>
        <w:rPr>
          <w:color w:val="231F1F"/>
          <w:w w:val="110"/>
        </w:rPr>
        <w:t>es</w:t>
      </w:r>
      <w:r>
        <w:rPr>
          <w:color w:val="231F1F"/>
          <w:spacing w:val="-15"/>
          <w:w w:val="110"/>
        </w:rPr>
        <w:t> </w:t>
      </w:r>
      <w:r>
        <w:rPr>
          <w:color w:val="231F1F"/>
          <w:w w:val="110"/>
        </w:rPr>
        <w:t>continuada,</w:t>
      </w:r>
      <w:r>
        <w:rPr>
          <w:color w:val="231F1F"/>
          <w:spacing w:val="-15"/>
          <w:w w:val="110"/>
        </w:rPr>
        <w:t> </w:t>
      </w:r>
      <w:r>
        <w:rPr>
          <w:color w:val="231F1F"/>
          <w:w w:val="110"/>
        </w:rPr>
        <w:t>ya</w:t>
      </w:r>
      <w:r>
        <w:rPr>
          <w:color w:val="231F1F"/>
          <w:spacing w:val="-15"/>
          <w:w w:val="110"/>
        </w:rPr>
        <w:t> </w:t>
      </w:r>
      <w:r>
        <w:rPr>
          <w:color w:val="231F1F"/>
          <w:w w:val="110"/>
        </w:rPr>
        <w:t>que</w:t>
      </w:r>
      <w:r>
        <w:rPr>
          <w:color w:val="231F1F"/>
          <w:spacing w:val="-15"/>
          <w:w w:val="110"/>
        </w:rPr>
        <w:t> </w:t>
      </w:r>
      <w:r>
        <w:rPr>
          <w:color w:val="231F1F"/>
          <w:w w:val="110"/>
        </w:rPr>
        <w:t>cada</w:t>
      </w:r>
      <w:r>
        <w:rPr>
          <w:color w:val="231F1F"/>
          <w:spacing w:val="-16"/>
          <w:w w:val="110"/>
        </w:rPr>
        <w:t> </w:t>
      </w:r>
      <w:r>
        <w:rPr>
          <w:color w:val="231F1F"/>
          <w:w w:val="110"/>
        </w:rPr>
        <w:t>profesional</w:t>
      </w:r>
      <w:r>
        <w:rPr>
          <w:color w:val="231F1F"/>
          <w:spacing w:val="-15"/>
          <w:w w:val="110"/>
        </w:rPr>
        <w:t> </w:t>
      </w:r>
      <w:r>
        <w:rPr>
          <w:color w:val="231F1F"/>
          <w:w w:val="110"/>
        </w:rPr>
        <w:t>puede</w:t>
      </w:r>
      <w:r>
        <w:rPr>
          <w:color w:val="231F1F"/>
          <w:spacing w:val="-15"/>
          <w:w w:val="110"/>
        </w:rPr>
        <w:t> </w:t>
      </w:r>
      <w:r>
        <w:rPr>
          <w:color w:val="231F1F"/>
          <w:w w:val="110"/>
        </w:rPr>
        <w:t>estar</w:t>
      </w:r>
      <w:r>
        <w:rPr>
          <w:color w:val="231F1F"/>
          <w:spacing w:val="-15"/>
          <w:w w:val="110"/>
        </w:rPr>
        <w:t> </w:t>
      </w:r>
      <w:r>
        <w:rPr>
          <w:color w:val="231F1F"/>
          <w:w w:val="110"/>
        </w:rPr>
        <w:t>ocupándose</w:t>
      </w:r>
      <w:r>
        <w:rPr>
          <w:color w:val="231F1F"/>
          <w:spacing w:val="-15"/>
          <w:w w:val="110"/>
        </w:rPr>
        <w:t> </w:t>
      </w:r>
      <w:r>
        <w:rPr>
          <w:color w:val="231F1F"/>
          <w:w w:val="110"/>
        </w:rPr>
        <w:t>de </w:t>
      </w:r>
      <w:r>
        <w:rPr>
          <w:color w:val="231F1F"/>
          <w:spacing w:val="-2"/>
          <w:w w:val="110"/>
        </w:rPr>
        <w:t>más</w:t>
      </w:r>
      <w:r>
        <w:rPr>
          <w:color w:val="231F1F"/>
          <w:spacing w:val="-12"/>
          <w:w w:val="110"/>
        </w:rPr>
        <w:t> </w:t>
      </w:r>
      <w:r>
        <w:rPr>
          <w:color w:val="231F1F"/>
          <w:spacing w:val="-2"/>
          <w:w w:val="110"/>
        </w:rPr>
        <w:t>de</w:t>
      </w:r>
      <w:r>
        <w:rPr>
          <w:color w:val="231F1F"/>
          <w:spacing w:val="-12"/>
          <w:w w:val="110"/>
        </w:rPr>
        <w:t> </w:t>
      </w:r>
      <w:r>
        <w:rPr>
          <w:color w:val="231F1F"/>
          <w:spacing w:val="-2"/>
          <w:w w:val="110"/>
        </w:rPr>
        <w:t>una</w:t>
      </w:r>
      <w:r>
        <w:rPr>
          <w:color w:val="231F1F"/>
          <w:spacing w:val="-12"/>
          <w:w w:val="110"/>
        </w:rPr>
        <w:t> </w:t>
      </w:r>
      <w:r>
        <w:rPr>
          <w:color w:val="231F1F"/>
          <w:spacing w:val="-2"/>
          <w:w w:val="110"/>
        </w:rPr>
        <w:t>mujer</w:t>
      </w:r>
      <w:r>
        <w:rPr>
          <w:color w:val="231F1F"/>
          <w:spacing w:val="-12"/>
          <w:w w:val="110"/>
        </w:rPr>
        <w:t> </w:t>
      </w:r>
      <w:r>
        <w:rPr>
          <w:color w:val="231F1F"/>
          <w:spacing w:val="-2"/>
          <w:w w:val="110"/>
        </w:rPr>
        <w:t>de</w:t>
      </w:r>
      <w:r>
        <w:rPr>
          <w:color w:val="231F1F"/>
          <w:spacing w:val="-12"/>
          <w:w w:val="110"/>
        </w:rPr>
        <w:t> </w:t>
      </w:r>
      <w:r>
        <w:rPr>
          <w:color w:val="231F1F"/>
          <w:spacing w:val="-2"/>
          <w:w w:val="110"/>
        </w:rPr>
        <w:t>parto.</w:t>
      </w:r>
      <w:r>
        <w:rPr>
          <w:color w:val="231F1F"/>
          <w:spacing w:val="-12"/>
          <w:w w:val="110"/>
        </w:rPr>
        <w:t> </w:t>
      </w:r>
      <w:r>
        <w:rPr>
          <w:color w:val="231F1F"/>
          <w:spacing w:val="-2"/>
          <w:w w:val="110"/>
        </w:rPr>
        <w:t>En</w:t>
      </w:r>
      <w:r>
        <w:rPr>
          <w:color w:val="231F1F"/>
          <w:spacing w:val="-12"/>
          <w:w w:val="110"/>
        </w:rPr>
        <w:t> </w:t>
      </w:r>
      <w:r>
        <w:rPr>
          <w:color w:val="231F1F"/>
          <w:spacing w:val="-2"/>
          <w:w w:val="110"/>
        </w:rPr>
        <w:t>algunos</w:t>
      </w:r>
      <w:r>
        <w:rPr>
          <w:color w:val="231F1F"/>
          <w:spacing w:val="-12"/>
          <w:w w:val="110"/>
        </w:rPr>
        <w:t> </w:t>
      </w:r>
      <w:r>
        <w:rPr>
          <w:color w:val="231F1F"/>
          <w:spacing w:val="-2"/>
          <w:w w:val="110"/>
        </w:rPr>
        <w:t>países,</w:t>
      </w:r>
      <w:r>
        <w:rPr>
          <w:color w:val="231F1F"/>
          <w:spacing w:val="-12"/>
          <w:w w:val="110"/>
        </w:rPr>
        <w:t> </w:t>
      </w:r>
      <w:r>
        <w:rPr>
          <w:color w:val="231F1F"/>
          <w:spacing w:val="-2"/>
          <w:w w:val="110"/>
        </w:rPr>
        <w:t>sin</w:t>
      </w:r>
      <w:r>
        <w:rPr>
          <w:color w:val="231F1F"/>
          <w:spacing w:val="-12"/>
          <w:w w:val="110"/>
        </w:rPr>
        <w:t> </w:t>
      </w:r>
      <w:r>
        <w:rPr>
          <w:color w:val="231F1F"/>
          <w:spacing w:val="-2"/>
          <w:w w:val="110"/>
        </w:rPr>
        <w:t>embargo,</w:t>
      </w:r>
      <w:r>
        <w:rPr>
          <w:color w:val="231F1F"/>
          <w:spacing w:val="-12"/>
          <w:w w:val="110"/>
        </w:rPr>
        <w:t> </w:t>
      </w:r>
      <w:r>
        <w:rPr>
          <w:color w:val="231F1F"/>
          <w:spacing w:val="-2"/>
          <w:w w:val="110"/>
        </w:rPr>
        <w:t>se</w:t>
      </w:r>
      <w:r>
        <w:rPr>
          <w:color w:val="231F1F"/>
          <w:spacing w:val="-12"/>
          <w:w w:val="110"/>
        </w:rPr>
        <w:t> </w:t>
      </w:r>
      <w:r>
        <w:rPr>
          <w:color w:val="231F1F"/>
          <w:spacing w:val="-2"/>
          <w:w w:val="110"/>
        </w:rPr>
        <w:t>está</w:t>
      </w:r>
      <w:r>
        <w:rPr>
          <w:color w:val="231F1F"/>
          <w:spacing w:val="-12"/>
          <w:w w:val="110"/>
        </w:rPr>
        <w:t> </w:t>
      </w:r>
      <w:r>
        <w:rPr>
          <w:color w:val="231F1F"/>
          <w:spacing w:val="-2"/>
          <w:w w:val="110"/>
        </w:rPr>
        <w:t>promoviendo</w:t>
      </w:r>
      <w:r>
        <w:rPr>
          <w:color w:val="231F1F"/>
          <w:spacing w:val="-12"/>
          <w:w w:val="110"/>
        </w:rPr>
        <w:t> </w:t>
      </w:r>
      <w:r>
        <w:rPr>
          <w:color w:val="231F1F"/>
          <w:spacing w:val="-2"/>
          <w:w w:val="110"/>
        </w:rPr>
        <w:t>un</w:t>
      </w:r>
      <w:r>
        <w:rPr>
          <w:color w:val="231F1F"/>
          <w:spacing w:val="-12"/>
          <w:w w:val="110"/>
        </w:rPr>
        <w:t> </w:t>
      </w:r>
      <w:r>
        <w:rPr>
          <w:color w:val="231F1F"/>
          <w:spacing w:val="-2"/>
          <w:w w:val="110"/>
        </w:rPr>
        <w:t>apoyo </w:t>
      </w:r>
      <w:r>
        <w:rPr>
          <w:color w:val="231F1F"/>
          <w:w w:val="110"/>
        </w:rPr>
        <w:t>continuo y lo que se ha denominado cuidado una a una.</w:t>
      </w:r>
    </w:p>
    <w:p>
      <w:pPr>
        <w:pStyle w:val="BodyText"/>
        <w:spacing w:line="244" w:lineRule="auto" w:before="122"/>
        <w:ind w:left="283" w:right="126"/>
        <w:jc w:val="both"/>
      </w:pPr>
      <w:r>
        <w:rPr>
          <w:color w:val="231F1F"/>
          <w:w w:val="110"/>
        </w:rPr>
        <w:t>Lo</w:t>
      </w:r>
      <w:r>
        <w:rPr>
          <w:color w:val="231F1F"/>
          <w:spacing w:val="-3"/>
          <w:w w:val="110"/>
        </w:rPr>
        <w:t> </w:t>
      </w:r>
      <w:r>
        <w:rPr>
          <w:color w:val="231F1F"/>
          <w:w w:val="110"/>
        </w:rPr>
        <w:t>que</w:t>
      </w:r>
      <w:r>
        <w:rPr>
          <w:color w:val="231F1F"/>
          <w:spacing w:val="-3"/>
          <w:w w:val="110"/>
        </w:rPr>
        <w:t> </w:t>
      </w:r>
      <w:r>
        <w:rPr>
          <w:color w:val="231F1F"/>
          <w:w w:val="110"/>
        </w:rPr>
        <w:t>sí</w:t>
      </w:r>
      <w:r>
        <w:rPr>
          <w:color w:val="231F1F"/>
          <w:spacing w:val="-3"/>
          <w:w w:val="110"/>
        </w:rPr>
        <w:t> </w:t>
      </w:r>
      <w:r>
        <w:rPr>
          <w:color w:val="231F1F"/>
          <w:w w:val="110"/>
        </w:rPr>
        <w:t>se</w:t>
      </w:r>
      <w:r>
        <w:rPr>
          <w:color w:val="231F1F"/>
          <w:spacing w:val="-3"/>
          <w:w w:val="110"/>
        </w:rPr>
        <w:t> </w:t>
      </w:r>
      <w:r>
        <w:rPr>
          <w:color w:val="231F1F"/>
          <w:w w:val="110"/>
        </w:rPr>
        <w:t>ha</w:t>
      </w:r>
      <w:r>
        <w:rPr>
          <w:color w:val="231F1F"/>
          <w:spacing w:val="-3"/>
          <w:w w:val="110"/>
        </w:rPr>
        <w:t> </w:t>
      </w:r>
      <w:r>
        <w:rPr>
          <w:color w:val="231F1F"/>
          <w:w w:val="110"/>
        </w:rPr>
        <w:t>impulsado</w:t>
      </w:r>
      <w:r>
        <w:rPr>
          <w:color w:val="231F1F"/>
          <w:spacing w:val="-3"/>
          <w:w w:val="110"/>
        </w:rPr>
        <w:t> </w:t>
      </w:r>
      <w:r>
        <w:rPr>
          <w:color w:val="231F1F"/>
          <w:w w:val="110"/>
        </w:rPr>
        <w:t>en</w:t>
      </w:r>
      <w:r>
        <w:rPr>
          <w:color w:val="231F1F"/>
          <w:spacing w:val="-3"/>
          <w:w w:val="110"/>
        </w:rPr>
        <w:t> </w:t>
      </w:r>
      <w:r>
        <w:rPr>
          <w:color w:val="231F1F"/>
          <w:w w:val="110"/>
        </w:rPr>
        <w:t>nuestro</w:t>
      </w:r>
      <w:r>
        <w:rPr>
          <w:color w:val="231F1F"/>
          <w:spacing w:val="-3"/>
          <w:w w:val="110"/>
        </w:rPr>
        <w:t> </w:t>
      </w:r>
      <w:r>
        <w:rPr>
          <w:color w:val="231F1F"/>
          <w:w w:val="110"/>
        </w:rPr>
        <w:t>contexto</w:t>
      </w:r>
      <w:r>
        <w:rPr>
          <w:color w:val="231F1F"/>
          <w:spacing w:val="-3"/>
          <w:w w:val="110"/>
        </w:rPr>
        <w:t> </w:t>
      </w:r>
      <w:r>
        <w:rPr>
          <w:color w:val="231F1F"/>
          <w:w w:val="110"/>
        </w:rPr>
        <w:t>es</w:t>
      </w:r>
      <w:r>
        <w:rPr>
          <w:color w:val="231F1F"/>
          <w:spacing w:val="-3"/>
          <w:w w:val="110"/>
        </w:rPr>
        <w:t> </w:t>
      </w:r>
      <w:r>
        <w:rPr>
          <w:color w:val="231F1F"/>
          <w:w w:val="110"/>
        </w:rPr>
        <w:t>el</w:t>
      </w:r>
      <w:r>
        <w:rPr>
          <w:color w:val="231F1F"/>
          <w:spacing w:val="-3"/>
          <w:w w:val="110"/>
        </w:rPr>
        <w:t> </w:t>
      </w:r>
      <w:r>
        <w:rPr>
          <w:color w:val="231F1F"/>
          <w:w w:val="110"/>
        </w:rPr>
        <w:t>acompañamiento</w:t>
      </w:r>
      <w:r>
        <w:rPr>
          <w:color w:val="231F1F"/>
          <w:spacing w:val="-3"/>
          <w:w w:val="110"/>
        </w:rPr>
        <w:t> </w:t>
      </w:r>
      <w:r>
        <w:rPr>
          <w:color w:val="231F1F"/>
          <w:w w:val="110"/>
        </w:rPr>
        <w:t>por</w:t>
      </w:r>
      <w:r>
        <w:rPr>
          <w:color w:val="231F1F"/>
          <w:spacing w:val="-3"/>
          <w:w w:val="110"/>
        </w:rPr>
        <w:t> </w:t>
      </w:r>
      <w:r>
        <w:rPr>
          <w:color w:val="231F1F"/>
          <w:w w:val="110"/>
        </w:rPr>
        <w:t>parte</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pa- reja, familiar o persona elegida por la mujer, considerándose un factor que aumenta su bienestar y parece mejorar los resultados del parto.</w:t>
      </w:r>
    </w:p>
    <w:p>
      <w:pPr>
        <w:pStyle w:val="BodyText"/>
        <w:spacing w:before="201"/>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2" w:lineRule="auto" w:before="214"/>
        <w:ind w:left="283" w:right="1370"/>
        <w:jc w:val="both"/>
      </w:pPr>
      <w:r>
        <w:rPr>
          <w:color w:val="231F1F"/>
          <w:w w:val="110"/>
        </w:rPr>
        <w:t>La</w:t>
      </w:r>
      <w:r>
        <w:rPr>
          <w:color w:val="231F1F"/>
          <w:spacing w:val="-9"/>
          <w:w w:val="110"/>
        </w:rPr>
        <w:t> </w:t>
      </w:r>
      <w:r>
        <w:rPr>
          <w:color w:val="231F1F"/>
          <w:w w:val="110"/>
        </w:rPr>
        <w:t>evidencia</w:t>
      </w:r>
      <w:r>
        <w:rPr>
          <w:color w:val="231F1F"/>
          <w:spacing w:val="-9"/>
          <w:w w:val="110"/>
        </w:rPr>
        <w:t> </w:t>
      </w:r>
      <w:r>
        <w:rPr>
          <w:color w:val="231F1F"/>
          <w:w w:val="110"/>
        </w:rPr>
        <w:t>publicada</w:t>
      </w:r>
      <w:r>
        <w:rPr>
          <w:color w:val="231F1F"/>
          <w:spacing w:val="-9"/>
          <w:w w:val="110"/>
        </w:rPr>
        <w:t> </w:t>
      </w:r>
      <w:r>
        <w:rPr>
          <w:color w:val="231F1F"/>
          <w:w w:val="110"/>
        </w:rPr>
        <w:t>en</w:t>
      </w:r>
      <w:r>
        <w:rPr>
          <w:color w:val="231F1F"/>
          <w:spacing w:val="-9"/>
          <w:w w:val="110"/>
        </w:rPr>
        <w:t> </w:t>
      </w:r>
      <w:r>
        <w:rPr>
          <w:color w:val="231F1F"/>
          <w:w w:val="110"/>
        </w:rPr>
        <w:t>la</w:t>
      </w:r>
      <w:r>
        <w:rPr>
          <w:color w:val="231F1F"/>
          <w:spacing w:val="-9"/>
          <w:w w:val="110"/>
        </w:rPr>
        <w:t> </w:t>
      </w:r>
      <w:r>
        <w:rPr>
          <w:color w:val="231F1F"/>
          <w:w w:val="110"/>
        </w:rPr>
        <w:t>guía</w:t>
      </w:r>
      <w:r>
        <w:rPr>
          <w:color w:val="231F1F"/>
          <w:spacing w:val="-9"/>
          <w:w w:val="110"/>
        </w:rPr>
        <w:t> </w:t>
      </w:r>
      <w:r>
        <w:rPr>
          <w:color w:val="231F1F"/>
          <w:w w:val="110"/>
        </w:rPr>
        <w:t>NICE</w:t>
      </w:r>
      <w:r>
        <w:rPr>
          <w:color w:val="231F1F"/>
          <w:spacing w:val="-9"/>
          <w:w w:val="110"/>
        </w:rPr>
        <w:t> </w:t>
      </w:r>
      <w:r>
        <w:rPr>
          <w:color w:val="231F1F"/>
          <w:w w:val="110"/>
        </w:rPr>
        <w:t>(10)</w:t>
      </w:r>
      <w:r>
        <w:rPr>
          <w:color w:val="231F1F"/>
          <w:spacing w:val="-9"/>
          <w:w w:val="110"/>
        </w:rPr>
        <w:t> </w:t>
      </w:r>
      <w:r>
        <w:rPr>
          <w:color w:val="231F1F"/>
          <w:w w:val="110"/>
        </w:rPr>
        <w:t>para</w:t>
      </w:r>
      <w:r>
        <w:rPr>
          <w:color w:val="231F1F"/>
          <w:spacing w:val="-9"/>
          <w:w w:val="110"/>
        </w:rPr>
        <w:t> </w:t>
      </w:r>
      <w:r>
        <w:rPr>
          <w:color w:val="231F1F"/>
          <w:w w:val="110"/>
        </w:rPr>
        <w:t>responder</w:t>
      </w:r>
      <w:r>
        <w:rPr>
          <w:color w:val="231F1F"/>
          <w:spacing w:val="-9"/>
          <w:w w:val="110"/>
        </w:rPr>
        <w:t> </w:t>
      </w:r>
      <w:r>
        <w:rPr>
          <w:color w:val="231F1F"/>
          <w:w w:val="110"/>
        </w:rPr>
        <w:t>a</w:t>
      </w:r>
      <w:r>
        <w:rPr>
          <w:color w:val="231F1F"/>
          <w:spacing w:val="-9"/>
          <w:w w:val="110"/>
        </w:rPr>
        <w:t> </w:t>
      </w:r>
      <w:r>
        <w:rPr>
          <w:color w:val="231F1F"/>
          <w:w w:val="110"/>
        </w:rPr>
        <w:t>esta</w:t>
      </w:r>
      <w:r>
        <w:rPr>
          <w:color w:val="231F1F"/>
          <w:spacing w:val="-9"/>
          <w:w w:val="110"/>
        </w:rPr>
        <w:t> </w:t>
      </w:r>
      <w:r>
        <w:rPr>
          <w:color w:val="231F1F"/>
          <w:w w:val="110"/>
        </w:rPr>
        <w:t>pregunta proviene</w:t>
      </w:r>
      <w:r>
        <w:rPr>
          <w:color w:val="231F1F"/>
          <w:spacing w:val="-5"/>
          <w:w w:val="110"/>
        </w:rPr>
        <w:t> </w:t>
      </w:r>
      <w:r>
        <w:rPr>
          <w:color w:val="231F1F"/>
          <w:w w:val="110"/>
        </w:rPr>
        <w:t>de</w:t>
      </w:r>
      <w:r>
        <w:rPr>
          <w:color w:val="231F1F"/>
          <w:spacing w:val="-4"/>
          <w:w w:val="110"/>
        </w:rPr>
        <w:t> </w:t>
      </w:r>
      <w:r>
        <w:rPr>
          <w:color w:val="231F1F"/>
          <w:w w:val="110"/>
        </w:rPr>
        <w:t>una</w:t>
      </w:r>
      <w:r>
        <w:rPr>
          <w:color w:val="231F1F"/>
          <w:spacing w:val="-4"/>
          <w:w w:val="110"/>
        </w:rPr>
        <w:t> </w:t>
      </w:r>
      <w:r>
        <w:rPr>
          <w:color w:val="231F1F"/>
          <w:w w:val="110"/>
        </w:rPr>
        <w:t>RS</w:t>
      </w:r>
      <w:r>
        <w:rPr>
          <w:color w:val="231F1F"/>
          <w:spacing w:val="-4"/>
          <w:w w:val="110"/>
        </w:rPr>
        <w:t> </w:t>
      </w:r>
      <w:r>
        <w:rPr>
          <w:color w:val="231F1F"/>
          <w:w w:val="110"/>
        </w:rPr>
        <w:t>Cochrane</w:t>
      </w:r>
      <w:r>
        <w:rPr>
          <w:color w:val="231F1F"/>
          <w:spacing w:val="-4"/>
          <w:w w:val="110"/>
        </w:rPr>
        <w:t> </w:t>
      </w:r>
      <w:r>
        <w:rPr>
          <w:color w:val="231F1F"/>
          <w:w w:val="110"/>
        </w:rPr>
        <w:t>(13)</w:t>
      </w:r>
      <w:r>
        <w:rPr>
          <w:color w:val="231F1F"/>
          <w:spacing w:val="-5"/>
          <w:w w:val="110"/>
        </w:rPr>
        <w:t> </w:t>
      </w:r>
      <w:r>
        <w:rPr>
          <w:color w:val="231F1F"/>
          <w:w w:val="110"/>
        </w:rPr>
        <w:t>que</w:t>
      </w:r>
      <w:r>
        <w:rPr>
          <w:color w:val="231F1F"/>
          <w:spacing w:val="-4"/>
          <w:w w:val="110"/>
        </w:rPr>
        <w:t> </w:t>
      </w:r>
      <w:r>
        <w:rPr>
          <w:color w:val="231F1F"/>
          <w:w w:val="110"/>
        </w:rPr>
        <w:t>ya</w:t>
      </w:r>
      <w:r>
        <w:rPr>
          <w:color w:val="231F1F"/>
          <w:spacing w:val="-4"/>
          <w:w w:val="110"/>
        </w:rPr>
        <w:t> </w:t>
      </w:r>
      <w:r>
        <w:rPr>
          <w:color w:val="231F1F"/>
          <w:w w:val="110"/>
        </w:rPr>
        <w:t>había</w:t>
      </w:r>
      <w:r>
        <w:rPr>
          <w:color w:val="231F1F"/>
          <w:spacing w:val="-5"/>
          <w:w w:val="110"/>
        </w:rPr>
        <w:t> </w:t>
      </w:r>
      <w:r>
        <w:rPr>
          <w:color w:val="231F1F"/>
          <w:w w:val="110"/>
        </w:rPr>
        <w:t>sido</w:t>
      </w:r>
      <w:r>
        <w:rPr>
          <w:color w:val="231F1F"/>
          <w:spacing w:val="-4"/>
          <w:w w:val="110"/>
        </w:rPr>
        <w:t> </w:t>
      </w:r>
      <w:r>
        <w:rPr>
          <w:color w:val="231F1F"/>
          <w:w w:val="110"/>
        </w:rPr>
        <w:t>incluida</w:t>
      </w:r>
      <w:r>
        <w:rPr>
          <w:color w:val="231F1F"/>
          <w:spacing w:val="-4"/>
          <w:w w:val="110"/>
        </w:rPr>
        <w:t> </w:t>
      </w: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GPC</w:t>
      </w:r>
      <w:r>
        <w:rPr>
          <w:color w:val="231F1F"/>
          <w:spacing w:val="-4"/>
          <w:w w:val="110"/>
        </w:rPr>
        <w:t> </w:t>
      </w:r>
      <w:r>
        <w:rPr>
          <w:color w:val="231F1F"/>
          <w:w w:val="110"/>
        </w:rPr>
        <w:t>de Cesárea de NICE 2004 (65) y que fue actualizada en la GPC de Cuidados intraparto de NICE, (10)</w:t>
      </w:r>
    </w:p>
    <w:p>
      <w:pPr>
        <w:pStyle w:val="BodyText"/>
        <w:spacing w:line="244" w:lineRule="auto" w:before="150"/>
        <w:ind w:left="283" w:right="1367" w:firstLine="453"/>
        <w:jc w:val="both"/>
      </w:pPr>
      <w:r>
        <w:rPr>
          <w:color w:val="231F1F"/>
          <w:w w:val="105"/>
        </w:rPr>
        <w:t>En 2006 esta revisión que incluía 15 ensayos y 12.791 mujeres, no había identificado ningún estudio que específicamente investigara la efectividad del apoyo</w:t>
      </w:r>
      <w:r>
        <w:rPr>
          <w:color w:val="231F1F"/>
          <w:spacing w:val="40"/>
          <w:w w:val="105"/>
        </w:rPr>
        <w:t> </w:t>
      </w:r>
      <w:r>
        <w:rPr>
          <w:color w:val="231F1F"/>
          <w:w w:val="105"/>
        </w:rPr>
        <w:t>continuo</w:t>
      </w:r>
      <w:r>
        <w:rPr>
          <w:color w:val="231F1F"/>
          <w:spacing w:val="40"/>
          <w:w w:val="105"/>
        </w:rPr>
        <w:t> </w:t>
      </w:r>
      <w:r>
        <w:rPr>
          <w:color w:val="231F1F"/>
          <w:w w:val="105"/>
        </w:rPr>
        <w:t>por</w:t>
      </w:r>
      <w:r>
        <w:rPr>
          <w:color w:val="231F1F"/>
          <w:spacing w:val="40"/>
          <w:w w:val="105"/>
        </w:rPr>
        <w:t> </w:t>
      </w:r>
      <w:r>
        <w:rPr>
          <w:color w:val="231F1F"/>
          <w:w w:val="105"/>
        </w:rPr>
        <w:t>parte</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pareja</w:t>
      </w:r>
      <w:r>
        <w:rPr>
          <w:color w:val="231F1F"/>
          <w:spacing w:val="40"/>
          <w:w w:val="105"/>
        </w:rPr>
        <w:t> </w:t>
      </w:r>
      <w:r>
        <w:rPr>
          <w:color w:val="231F1F"/>
          <w:w w:val="105"/>
        </w:rPr>
        <w:t>o</w:t>
      </w:r>
      <w:r>
        <w:rPr>
          <w:color w:val="231F1F"/>
          <w:spacing w:val="40"/>
          <w:w w:val="105"/>
        </w:rPr>
        <w:t> </w:t>
      </w:r>
      <w:r>
        <w:rPr>
          <w:color w:val="231F1F"/>
          <w:w w:val="105"/>
        </w:rPr>
        <w:t>la</w:t>
      </w:r>
      <w:r>
        <w:rPr>
          <w:color w:val="231F1F"/>
          <w:spacing w:val="40"/>
          <w:w w:val="105"/>
        </w:rPr>
        <w:t> </w:t>
      </w:r>
      <w:r>
        <w:rPr>
          <w:color w:val="231F1F"/>
          <w:w w:val="105"/>
        </w:rPr>
        <w:t>persona</w:t>
      </w:r>
      <w:r>
        <w:rPr>
          <w:color w:val="231F1F"/>
          <w:spacing w:val="40"/>
          <w:w w:val="105"/>
        </w:rPr>
        <w:t> </w:t>
      </w:r>
      <w:r>
        <w:rPr>
          <w:color w:val="231F1F"/>
          <w:w w:val="105"/>
        </w:rPr>
        <w:t>elegida</w:t>
      </w:r>
      <w:r>
        <w:rPr>
          <w:color w:val="231F1F"/>
          <w:spacing w:val="40"/>
          <w:w w:val="105"/>
        </w:rPr>
        <w:t> </w:t>
      </w:r>
      <w:r>
        <w:rPr>
          <w:color w:val="231F1F"/>
          <w:w w:val="105"/>
        </w:rPr>
        <w:t>por</w:t>
      </w:r>
      <w:r>
        <w:rPr>
          <w:color w:val="231F1F"/>
          <w:spacing w:val="40"/>
          <w:w w:val="105"/>
        </w:rPr>
        <w:t> </w:t>
      </w:r>
      <w:r>
        <w:rPr>
          <w:color w:val="231F1F"/>
          <w:w w:val="105"/>
        </w:rPr>
        <w:t>la</w:t>
      </w:r>
      <w:r>
        <w:rPr>
          <w:color w:val="231F1F"/>
          <w:spacing w:val="40"/>
          <w:w w:val="105"/>
        </w:rPr>
        <w:t> </w:t>
      </w:r>
      <w:r>
        <w:rPr>
          <w:color w:val="231F1F"/>
          <w:w w:val="105"/>
        </w:rPr>
        <w:t>mujer.</w:t>
      </w:r>
    </w:p>
    <w:p>
      <w:pPr>
        <w:pStyle w:val="BodyText"/>
        <w:spacing w:before="201"/>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junio</w:t>
      </w:r>
      <w:r>
        <w:rPr>
          <w:rFonts w:ascii="Arial MT" w:hAnsi="Arial MT"/>
          <w:color w:val="231F1F"/>
          <w:spacing w:val="18"/>
          <w:sz w:val="24"/>
        </w:rPr>
        <w:t> </w:t>
      </w:r>
      <w:r>
        <w:rPr>
          <w:rFonts w:ascii="Arial MT" w:hAnsi="Arial MT"/>
          <w:color w:val="231F1F"/>
          <w:spacing w:val="-2"/>
          <w:sz w:val="24"/>
        </w:rPr>
        <w:t>2008)</w:t>
      </w:r>
    </w:p>
    <w:p>
      <w:pPr>
        <w:pStyle w:val="BodyText"/>
        <w:spacing w:line="249" w:lineRule="auto" w:before="214"/>
        <w:ind w:left="283" w:right="1363"/>
        <w:jc w:val="both"/>
      </w:pPr>
      <w:r>
        <w:rPr>
          <w:color w:val="231F1F"/>
          <w:w w:val="105"/>
        </w:rPr>
        <w:t>En nuestra actualización se ha seleccionado de nuevo, la misma RS Cochra-</w:t>
      </w:r>
      <w:r>
        <w:rPr>
          <w:color w:val="231F1F"/>
          <w:spacing w:val="40"/>
          <w:w w:val="105"/>
        </w:rPr>
        <w:t> </w:t>
      </w:r>
      <w:r>
        <w:rPr>
          <w:color w:val="231F1F"/>
          <w:w w:val="105"/>
        </w:rPr>
        <w:t>ne</w:t>
      </w:r>
      <w:r>
        <w:rPr>
          <w:color w:val="231F1F"/>
          <w:spacing w:val="26"/>
          <w:w w:val="105"/>
        </w:rPr>
        <w:t> </w:t>
      </w:r>
      <w:r>
        <w:rPr>
          <w:color w:val="231F1F"/>
          <w:w w:val="105"/>
        </w:rPr>
        <w:t>actualizada</w:t>
      </w:r>
      <w:r>
        <w:rPr>
          <w:color w:val="231F1F"/>
          <w:spacing w:val="26"/>
          <w:w w:val="105"/>
        </w:rPr>
        <w:t> </w:t>
      </w:r>
      <w:r>
        <w:rPr>
          <w:color w:val="231F1F"/>
          <w:w w:val="105"/>
        </w:rPr>
        <w:t>en</w:t>
      </w:r>
      <w:r>
        <w:rPr>
          <w:color w:val="231F1F"/>
          <w:spacing w:val="26"/>
          <w:w w:val="105"/>
        </w:rPr>
        <w:t> </w:t>
      </w:r>
      <w:r>
        <w:rPr>
          <w:color w:val="231F1F"/>
          <w:w w:val="105"/>
        </w:rPr>
        <w:t>el</w:t>
      </w:r>
      <w:r>
        <w:rPr>
          <w:color w:val="231F1F"/>
          <w:spacing w:val="25"/>
          <w:w w:val="105"/>
        </w:rPr>
        <w:t> </w:t>
      </w:r>
      <w:r>
        <w:rPr>
          <w:color w:val="231F1F"/>
          <w:w w:val="105"/>
        </w:rPr>
        <w:t>2007</w:t>
      </w:r>
      <w:r>
        <w:rPr>
          <w:color w:val="231F1F"/>
          <w:spacing w:val="26"/>
          <w:w w:val="105"/>
        </w:rPr>
        <w:t> </w:t>
      </w:r>
      <w:r>
        <w:rPr>
          <w:color w:val="231F1F"/>
          <w:w w:val="105"/>
        </w:rPr>
        <w:t>(14).</w:t>
      </w:r>
      <w:r>
        <w:rPr>
          <w:color w:val="231F1F"/>
          <w:spacing w:val="25"/>
          <w:w w:val="105"/>
        </w:rPr>
        <w:t> </w:t>
      </w:r>
      <w:r>
        <w:rPr>
          <w:color w:val="231F1F"/>
          <w:w w:val="105"/>
        </w:rPr>
        <w:t>En</w:t>
      </w:r>
      <w:r>
        <w:rPr>
          <w:color w:val="231F1F"/>
          <w:spacing w:val="26"/>
          <w:w w:val="105"/>
        </w:rPr>
        <w:t> </w:t>
      </w:r>
      <w:r>
        <w:rPr>
          <w:color w:val="231F1F"/>
          <w:w w:val="105"/>
        </w:rPr>
        <w:t>ella</w:t>
      </w:r>
      <w:r>
        <w:rPr>
          <w:color w:val="231F1F"/>
          <w:spacing w:val="25"/>
          <w:w w:val="105"/>
        </w:rPr>
        <w:t> </w:t>
      </w:r>
      <w:r>
        <w:rPr>
          <w:color w:val="231F1F"/>
          <w:w w:val="105"/>
        </w:rPr>
        <w:t>se</w:t>
      </w:r>
      <w:r>
        <w:rPr>
          <w:color w:val="231F1F"/>
          <w:spacing w:val="26"/>
          <w:w w:val="105"/>
        </w:rPr>
        <w:t> </w:t>
      </w:r>
      <w:r>
        <w:rPr>
          <w:color w:val="231F1F"/>
          <w:w w:val="105"/>
        </w:rPr>
        <w:t>incluyen</w:t>
      </w:r>
      <w:r>
        <w:rPr>
          <w:color w:val="231F1F"/>
          <w:spacing w:val="25"/>
          <w:w w:val="105"/>
        </w:rPr>
        <w:t> </w:t>
      </w:r>
      <w:r>
        <w:rPr>
          <w:color w:val="231F1F"/>
          <w:w w:val="105"/>
        </w:rPr>
        <w:t>16</w:t>
      </w:r>
      <w:r>
        <w:rPr>
          <w:color w:val="231F1F"/>
          <w:spacing w:val="26"/>
          <w:w w:val="105"/>
        </w:rPr>
        <w:t> </w:t>
      </w:r>
      <w:r>
        <w:rPr>
          <w:color w:val="231F1F"/>
          <w:w w:val="105"/>
        </w:rPr>
        <w:t>ensayos</w:t>
      </w:r>
      <w:r>
        <w:rPr>
          <w:color w:val="231F1F"/>
          <w:spacing w:val="26"/>
          <w:w w:val="105"/>
        </w:rPr>
        <w:t> </w:t>
      </w:r>
      <w:r>
        <w:rPr>
          <w:color w:val="231F1F"/>
          <w:w w:val="105"/>
        </w:rPr>
        <w:t>con</w:t>
      </w:r>
      <w:r>
        <w:rPr>
          <w:color w:val="231F1F"/>
          <w:spacing w:val="26"/>
          <w:w w:val="105"/>
        </w:rPr>
        <w:t> </w:t>
      </w:r>
      <w:r>
        <w:rPr>
          <w:color w:val="231F1F"/>
          <w:w w:val="105"/>
        </w:rPr>
        <w:t>un</w:t>
      </w:r>
      <w:r>
        <w:rPr>
          <w:color w:val="231F1F"/>
          <w:spacing w:val="25"/>
          <w:w w:val="105"/>
        </w:rPr>
        <w:t> </w:t>
      </w:r>
      <w:r>
        <w:rPr>
          <w:color w:val="231F1F"/>
          <w:w w:val="105"/>
        </w:rPr>
        <w:t>total de 13.391 mujeres, tanto de países con ingresos altos como bajos. En diez de los ensayos, la política del hospital permitía a las mujeres estar acompañadas por</w:t>
      </w:r>
      <w:r>
        <w:rPr>
          <w:color w:val="231F1F"/>
          <w:w w:val="105"/>
        </w:rPr>
        <w:t> sus</w:t>
      </w:r>
      <w:r>
        <w:rPr>
          <w:color w:val="231F1F"/>
          <w:w w:val="105"/>
        </w:rPr>
        <w:t> maridos,</w:t>
      </w:r>
      <w:r>
        <w:rPr>
          <w:color w:val="231F1F"/>
          <w:w w:val="105"/>
        </w:rPr>
        <w:t> parejas</w:t>
      </w:r>
      <w:r>
        <w:rPr>
          <w:color w:val="231F1F"/>
          <w:w w:val="105"/>
        </w:rPr>
        <w:t> u</w:t>
      </w:r>
      <w:r>
        <w:rPr>
          <w:color w:val="231F1F"/>
          <w:w w:val="105"/>
        </w:rPr>
        <w:t> otros</w:t>
      </w:r>
      <w:r>
        <w:rPr>
          <w:color w:val="231F1F"/>
          <w:w w:val="105"/>
        </w:rPr>
        <w:t> miembros</w:t>
      </w:r>
      <w:r>
        <w:rPr>
          <w:color w:val="231F1F"/>
          <w:w w:val="105"/>
        </w:rPr>
        <w:t> de</w:t>
      </w:r>
      <w:r>
        <w:rPr>
          <w:color w:val="231F1F"/>
          <w:w w:val="105"/>
        </w:rPr>
        <w:t> familia</w:t>
      </w:r>
      <w:r>
        <w:rPr>
          <w:color w:val="231F1F"/>
          <w:w w:val="105"/>
        </w:rPr>
        <w:t> durante</w:t>
      </w:r>
      <w:r>
        <w:rPr>
          <w:color w:val="231F1F"/>
          <w:w w:val="105"/>
        </w:rPr>
        <w:t> el</w:t>
      </w:r>
      <w:r>
        <w:rPr>
          <w:color w:val="231F1F"/>
          <w:w w:val="105"/>
        </w:rPr>
        <w:t> trabajo</w:t>
      </w:r>
      <w:r>
        <w:rPr>
          <w:color w:val="231F1F"/>
          <w:w w:val="105"/>
        </w:rPr>
        <w:t> de parto,</w:t>
      </w:r>
      <w:r>
        <w:rPr>
          <w:color w:val="231F1F"/>
          <w:w w:val="105"/>
        </w:rPr>
        <w:t> mientras</w:t>
      </w:r>
      <w:r>
        <w:rPr>
          <w:color w:val="231F1F"/>
          <w:w w:val="105"/>
        </w:rPr>
        <w:t> que</w:t>
      </w:r>
      <w:r>
        <w:rPr>
          <w:color w:val="231F1F"/>
          <w:w w:val="105"/>
        </w:rPr>
        <w:t> en</w:t>
      </w:r>
      <w:r>
        <w:rPr>
          <w:color w:val="231F1F"/>
          <w:w w:val="105"/>
        </w:rPr>
        <w:t> los</w:t>
      </w:r>
      <w:r>
        <w:rPr>
          <w:color w:val="231F1F"/>
          <w:w w:val="105"/>
        </w:rPr>
        <w:t> otros</w:t>
      </w:r>
      <w:r>
        <w:rPr>
          <w:color w:val="231F1F"/>
          <w:w w:val="105"/>
        </w:rPr>
        <w:t> seis</w:t>
      </w:r>
      <w:r>
        <w:rPr>
          <w:color w:val="231F1F"/>
          <w:w w:val="105"/>
        </w:rPr>
        <w:t> ensayos</w:t>
      </w:r>
      <w:r>
        <w:rPr>
          <w:color w:val="231F1F"/>
          <w:w w:val="105"/>
        </w:rPr>
        <w:t> no</w:t>
      </w:r>
      <w:r>
        <w:rPr>
          <w:color w:val="231F1F"/>
          <w:w w:val="105"/>
        </w:rPr>
        <w:t> se</w:t>
      </w:r>
      <w:r>
        <w:rPr>
          <w:color w:val="231F1F"/>
          <w:w w:val="105"/>
        </w:rPr>
        <w:t> permitió</w:t>
      </w:r>
      <w:r>
        <w:rPr>
          <w:color w:val="231F1F"/>
          <w:w w:val="105"/>
        </w:rPr>
        <w:t> el</w:t>
      </w:r>
      <w:r>
        <w:rPr>
          <w:color w:val="231F1F"/>
          <w:w w:val="105"/>
        </w:rPr>
        <w:t> acompaña- </w:t>
      </w:r>
      <w:r>
        <w:rPr>
          <w:color w:val="231F1F"/>
          <w:spacing w:val="-2"/>
          <w:w w:val="105"/>
        </w:rPr>
        <w:t>miento.</w:t>
      </w:r>
    </w:p>
    <w:p>
      <w:pPr>
        <w:pStyle w:val="BodyText"/>
        <w:spacing w:line="247" w:lineRule="auto" w:before="131"/>
        <w:ind w:left="283" w:right="1362" w:firstLine="453"/>
        <w:jc w:val="both"/>
      </w:pPr>
      <w:r>
        <w:rPr>
          <w:color w:val="231F1F"/>
          <w:w w:val="110"/>
        </w:rPr>
        <w:t>El</w:t>
      </w:r>
      <w:r>
        <w:rPr>
          <w:color w:val="231F1F"/>
          <w:spacing w:val="-16"/>
          <w:w w:val="110"/>
        </w:rPr>
        <w:t> </w:t>
      </w:r>
      <w:r>
        <w:rPr>
          <w:color w:val="231F1F"/>
          <w:w w:val="110"/>
        </w:rPr>
        <w:t>objetivo</w:t>
      </w:r>
      <w:r>
        <w:rPr>
          <w:color w:val="231F1F"/>
          <w:spacing w:val="-15"/>
          <w:w w:val="110"/>
        </w:rPr>
        <w:t> </w:t>
      </w:r>
      <w:r>
        <w:rPr>
          <w:color w:val="231F1F"/>
          <w:w w:val="110"/>
        </w:rPr>
        <w:t>principal</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revisión</w:t>
      </w:r>
      <w:r>
        <w:rPr>
          <w:color w:val="231F1F"/>
          <w:spacing w:val="-15"/>
          <w:w w:val="110"/>
        </w:rPr>
        <w:t> </w:t>
      </w:r>
      <w:r>
        <w:rPr>
          <w:color w:val="231F1F"/>
          <w:w w:val="110"/>
        </w:rPr>
        <w:t>fue</w:t>
      </w:r>
      <w:r>
        <w:rPr>
          <w:color w:val="231F1F"/>
          <w:spacing w:val="-15"/>
          <w:w w:val="110"/>
        </w:rPr>
        <w:t> </w:t>
      </w:r>
      <w:r>
        <w:rPr>
          <w:color w:val="231F1F"/>
          <w:w w:val="110"/>
        </w:rPr>
        <w:t>evaluar</w:t>
      </w:r>
      <w:r>
        <w:rPr>
          <w:color w:val="231F1F"/>
          <w:spacing w:val="-15"/>
          <w:w w:val="110"/>
        </w:rPr>
        <w:t> </w:t>
      </w:r>
      <w:r>
        <w:rPr>
          <w:color w:val="231F1F"/>
          <w:w w:val="110"/>
        </w:rPr>
        <w:t>los</w:t>
      </w:r>
      <w:r>
        <w:rPr>
          <w:color w:val="231F1F"/>
          <w:spacing w:val="-16"/>
          <w:w w:val="110"/>
        </w:rPr>
        <w:t> </w:t>
      </w:r>
      <w:r>
        <w:rPr>
          <w:color w:val="231F1F"/>
          <w:w w:val="110"/>
        </w:rPr>
        <w:t>efectos</w:t>
      </w:r>
      <w:r>
        <w:rPr>
          <w:color w:val="231F1F"/>
          <w:spacing w:val="-15"/>
          <w:w w:val="110"/>
        </w:rPr>
        <w:t> </w:t>
      </w:r>
      <w:r>
        <w:rPr>
          <w:color w:val="231F1F"/>
          <w:w w:val="110"/>
        </w:rPr>
        <w:t>del</w:t>
      </w:r>
      <w:r>
        <w:rPr>
          <w:color w:val="231F1F"/>
          <w:spacing w:val="-15"/>
          <w:w w:val="110"/>
        </w:rPr>
        <w:t> </w:t>
      </w:r>
      <w:r>
        <w:rPr>
          <w:color w:val="231F1F"/>
          <w:w w:val="110"/>
        </w:rPr>
        <w:t>apoyo</w:t>
      </w:r>
      <w:r>
        <w:rPr>
          <w:color w:val="231F1F"/>
          <w:spacing w:val="-15"/>
          <w:w w:val="110"/>
        </w:rPr>
        <w:t> </w:t>
      </w:r>
      <w:r>
        <w:rPr>
          <w:color w:val="231F1F"/>
          <w:w w:val="110"/>
        </w:rPr>
        <w:t>du- rante</w:t>
      </w:r>
      <w:r>
        <w:rPr>
          <w:color w:val="231F1F"/>
          <w:w w:val="110"/>
        </w:rPr>
        <w:t> el</w:t>
      </w:r>
      <w:r>
        <w:rPr>
          <w:color w:val="231F1F"/>
          <w:w w:val="110"/>
        </w:rPr>
        <w:t> parto,</w:t>
      </w:r>
      <w:r>
        <w:rPr>
          <w:color w:val="231F1F"/>
          <w:w w:val="110"/>
        </w:rPr>
        <w:t> comparando</w:t>
      </w:r>
      <w:r>
        <w:rPr>
          <w:color w:val="231F1F"/>
          <w:w w:val="110"/>
        </w:rPr>
        <w:t> el</w:t>
      </w:r>
      <w:r>
        <w:rPr>
          <w:color w:val="231F1F"/>
          <w:w w:val="110"/>
        </w:rPr>
        <w:t> acompañamiento</w:t>
      </w:r>
      <w:r>
        <w:rPr>
          <w:color w:val="231F1F"/>
          <w:w w:val="110"/>
        </w:rPr>
        <w:t> continuo</w:t>
      </w:r>
      <w:r>
        <w:rPr>
          <w:color w:val="231F1F"/>
          <w:w w:val="110"/>
        </w:rPr>
        <w:t> con</w:t>
      </w:r>
      <w:r>
        <w:rPr>
          <w:color w:val="231F1F"/>
          <w:w w:val="110"/>
        </w:rPr>
        <w:t> la</w:t>
      </w:r>
      <w:r>
        <w:rPr>
          <w:color w:val="231F1F"/>
          <w:w w:val="110"/>
        </w:rPr>
        <w:t> atención </w:t>
      </w:r>
      <w:r>
        <w:rPr>
          <w:color w:val="231F1F"/>
          <w:spacing w:val="-2"/>
          <w:w w:val="110"/>
        </w:rPr>
        <w:t>habitual.</w:t>
      </w:r>
      <w:r>
        <w:rPr>
          <w:color w:val="231F1F"/>
          <w:spacing w:val="-11"/>
          <w:w w:val="110"/>
        </w:rPr>
        <w:t> </w:t>
      </w:r>
      <w:r>
        <w:rPr>
          <w:color w:val="231F1F"/>
          <w:spacing w:val="-2"/>
          <w:w w:val="110"/>
        </w:rPr>
        <w:t>En</w:t>
      </w:r>
      <w:r>
        <w:rPr>
          <w:color w:val="231F1F"/>
          <w:spacing w:val="-10"/>
          <w:w w:val="110"/>
        </w:rPr>
        <w:t> </w:t>
      </w:r>
      <w:r>
        <w:rPr>
          <w:color w:val="231F1F"/>
          <w:spacing w:val="-2"/>
          <w:w w:val="110"/>
        </w:rPr>
        <w:t>el</w:t>
      </w:r>
      <w:r>
        <w:rPr>
          <w:color w:val="231F1F"/>
          <w:spacing w:val="-11"/>
          <w:w w:val="110"/>
        </w:rPr>
        <w:t> </w:t>
      </w:r>
      <w:r>
        <w:rPr>
          <w:color w:val="231F1F"/>
          <w:spacing w:val="-2"/>
          <w:w w:val="110"/>
        </w:rPr>
        <w:t>grupo</w:t>
      </w:r>
      <w:r>
        <w:rPr>
          <w:color w:val="231F1F"/>
          <w:spacing w:val="-10"/>
          <w:w w:val="110"/>
        </w:rPr>
        <w:t> </w:t>
      </w:r>
      <w:r>
        <w:rPr>
          <w:color w:val="231F1F"/>
          <w:spacing w:val="-2"/>
          <w:w w:val="110"/>
        </w:rPr>
        <w:t>intervención,</w:t>
      </w:r>
      <w:r>
        <w:rPr>
          <w:color w:val="231F1F"/>
          <w:spacing w:val="-11"/>
          <w:w w:val="110"/>
        </w:rPr>
        <w:t> </w:t>
      </w:r>
      <w:r>
        <w:rPr>
          <w:color w:val="231F1F"/>
          <w:spacing w:val="-2"/>
          <w:w w:val="110"/>
        </w:rPr>
        <w:t>la</w:t>
      </w:r>
      <w:r>
        <w:rPr>
          <w:color w:val="231F1F"/>
          <w:spacing w:val="-10"/>
          <w:w w:val="110"/>
        </w:rPr>
        <w:t> </w:t>
      </w:r>
      <w:r>
        <w:rPr>
          <w:color w:val="231F1F"/>
          <w:spacing w:val="-2"/>
          <w:w w:val="110"/>
        </w:rPr>
        <w:t>persona</w:t>
      </w:r>
      <w:r>
        <w:rPr>
          <w:color w:val="231F1F"/>
          <w:spacing w:val="-10"/>
          <w:w w:val="110"/>
        </w:rPr>
        <w:t> </w:t>
      </w:r>
      <w:r>
        <w:rPr>
          <w:color w:val="231F1F"/>
          <w:spacing w:val="-2"/>
          <w:w w:val="110"/>
        </w:rPr>
        <w:t>que</w:t>
      </w:r>
      <w:r>
        <w:rPr>
          <w:color w:val="231F1F"/>
          <w:spacing w:val="-10"/>
          <w:w w:val="110"/>
        </w:rPr>
        <w:t> </w:t>
      </w:r>
      <w:r>
        <w:rPr>
          <w:color w:val="231F1F"/>
          <w:spacing w:val="-2"/>
          <w:w w:val="110"/>
        </w:rPr>
        <w:t>prestaba</w:t>
      </w:r>
      <w:r>
        <w:rPr>
          <w:color w:val="231F1F"/>
          <w:spacing w:val="-10"/>
          <w:w w:val="110"/>
        </w:rPr>
        <w:t> </w:t>
      </w:r>
      <w:r>
        <w:rPr>
          <w:color w:val="231F1F"/>
          <w:spacing w:val="-2"/>
          <w:w w:val="110"/>
        </w:rPr>
        <w:t>el</w:t>
      </w:r>
      <w:r>
        <w:rPr>
          <w:color w:val="231F1F"/>
          <w:spacing w:val="-11"/>
          <w:w w:val="110"/>
        </w:rPr>
        <w:t> </w:t>
      </w:r>
      <w:r>
        <w:rPr>
          <w:color w:val="231F1F"/>
          <w:spacing w:val="-2"/>
          <w:w w:val="110"/>
        </w:rPr>
        <w:t>apoyo</w:t>
      </w:r>
      <w:r>
        <w:rPr>
          <w:color w:val="231F1F"/>
          <w:spacing w:val="-10"/>
          <w:w w:val="110"/>
        </w:rPr>
        <w:t> </w:t>
      </w:r>
      <w:r>
        <w:rPr>
          <w:color w:val="231F1F"/>
          <w:spacing w:val="-2"/>
          <w:w w:val="110"/>
        </w:rPr>
        <w:t>continuo </w:t>
      </w:r>
      <w:r>
        <w:rPr>
          <w:color w:val="231F1F"/>
          <w:w w:val="110"/>
        </w:rPr>
        <w:t>podía</w:t>
      </w:r>
      <w:r>
        <w:rPr>
          <w:color w:val="231F1F"/>
          <w:w w:val="110"/>
        </w:rPr>
        <w:t> ser</w:t>
      </w:r>
      <w:r>
        <w:rPr>
          <w:color w:val="231F1F"/>
          <w:w w:val="110"/>
        </w:rPr>
        <w:t> profesional</w:t>
      </w:r>
      <w:r>
        <w:rPr>
          <w:color w:val="231F1F"/>
          <w:w w:val="110"/>
        </w:rPr>
        <w:t> de</w:t>
      </w:r>
      <w:r>
        <w:rPr>
          <w:color w:val="231F1F"/>
          <w:w w:val="110"/>
        </w:rPr>
        <w:t> la</w:t>
      </w:r>
      <w:r>
        <w:rPr>
          <w:color w:val="231F1F"/>
          <w:w w:val="110"/>
        </w:rPr>
        <w:t> asistencia</w:t>
      </w:r>
      <w:r>
        <w:rPr>
          <w:color w:val="231F1F"/>
          <w:w w:val="110"/>
        </w:rPr>
        <w:t> sanitaria</w:t>
      </w:r>
      <w:r>
        <w:rPr>
          <w:color w:val="231F1F"/>
          <w:w w:val="110"/>
        </w:rPr>
        <w:t> (enfermera,</w:t>
      </w:r>
      <w:r>
        <w:rPr>
          <w:color w:val="231F1F"/>
          <w:w w:val="110"/>
        </w:rPr>
        <w:t> partera),</w:t>
      </w:r>
      <w:r>
        <w:rPr>
          <w:color w:val="231F1F"/>
          <w:w w:val="110"/>
        </w:rPr>
        <w:t> tener capacitación</w:t>
      </w:r>
      <w:r>
        <w:rPr>
          <w:color w:val="231F1F"/>
          <w:spacing w:val="-5"/>
          <w:w w:val="110"/>
        </w:rPr>
        <w:t> </w:t>
      </w:r>
      <w:r>
        <w:rPr>
          <w:color w:val="231F1F"/>
          <w:w w:val="110"/>
        </w:rPr>
        <w:t>como</w:t>
      </w:r>
      <w:r>
        <w:rPr>
          <w:color w:val="231F1F"/>
          <w:spacing w:val="-5"/>
          <w:w w:val="110"/>
        </w:rPr>
        <w:t> </w:t>
      </w:r>
      <w:r>
        <w:rPr>
          <w:color w:val="231F1F"/>
          <w:w w:val="110"/>
        </w:rPr>
        <w:t>«doula»</w:t>
      </w:r>
      <w:r>
        <w:rPr>
          <w:color w:val="231F1F"/>
          <w:spacing w:val="-5"/>
          <w:w w:val="110"/>
        </w:rPr>
        <w:t> </w:t>
      </w:r>
      <w:r>
        <w:rPr>
          <w:color w:val="231F1F"/>
          <w:w w:val="110"/>
        </w:rPr>
        <w:t>o</w:t>
      </w:r>
      <w:r>
        <w:rPr>
          <w:color w:val="231F1F"/>
          <w:spacing w:val="-5"/>
          <w:w w:val="110"/>
        </w:rPr>
        <w:t> </w:t>
      </w:r>
      <w:r>
        <w:rPr>
          <w:color w:val="231F1F"/>
          <w:w w:val="110"/>
        </w:rPr>
        <w:t>educador</w:t>
      </w:r>
      <w:r>
        <w:rPr>
          <w:color w:val="231F1F"/>
          <w:spacing w:val="-4"/>
          <w:w w:val="110"/>
        </w:rPr>
        <w:t> </w:t>
      </w:r>
      <w:r>
        <w:rPr>
          <w:color w:val="231F1F"/>
          <w:w w:val="110"/>
        </w:rPr>
        <w:t>de</w:t>
      </w:r>
      <w:r>
        <w:rPr>
          <w:color w:val="231F1F"/>
          <w:spacing w:val="-5"/>
          <w:w w:val="110"/>
        </w:rPr>
        <w:t> </w:t>
      </w:r>
      <w:r>
        <w:rPr>
          <w:color w:val="231F1F"/>
          <w:w w:val="110"/>
        </w:rPr>
        <w:t>parto,</w:t>
      </w:r>
      <w:r>
        <w:rPr>
          <w:color w:val="231F1F"/>
          <w:spacing w:val="-6"/>
          <w:w w:val="110"/>
        </w:rPr>
        <w:t> </w:t>
      </w:r>
      <w:r>
        <w:rPr>
          <w:color w:val="231F1F"/>
          <w:w w:val="110"/>
        </w:rPr>
        <w:t>o</w:t>
      </w:r>
      <w:r>
        <w:rPr>
          <w:color w:val="231F1F"/>
          <w:spacing w:val="-5"/>
          <w:w w:val="110"/>
        </w:rPr>
        <w:t> </w:t>
      </w:r>
      <w:r>
        <w:rPr>
          <w:color w:val="231F1F"/>
          <w:w w:val="110"/>
        </w:rPr>
        <w:t>ser</w:t>
      </w:r>
      <w:r>
        <w:rPr>
          <w:color w:val="231F1F"/>
          <w:spacing w:val="-6"/>
          <w:w w:val="110"/>
        </w:rPr>
        <w:t> </w:t>
      </w:r>
      <w:r>
        <w:rPr>
          <w:color w:val="231F1F"/>
          <w:w w:val="110"/>
        </w:rPr>
        <w:t>un</w:t>
      </w:r>
      <w:r>
        <w:rPr>
          <w:color w:val="231F1F"/>
          <w:spacing w:val="-5"/>
          <w:w w:val="110"/>
        </w:rPr>
        <w:t> </w:t>
      </w:r>
      <w:r>
        <w:rPr>
          <w:color w:val="231F1F"/>
          <w:w w:val="110"/>
        </w:rPr>
        <w:t>miembro</w:t>
      </w:r>
      <w:r>
        <w:rPr>
          <w:color w:val="231F1F"/>
          <w:spacing w:val="-4"/>
          <w:w w:val="110"/>
        </w:rPr>
        <w:t> </w:t>
      </w:r>
      <w:r>
        <w:rPr>
          <w:color w:val="231F1F"/>
          <w:w w:val="110"/>
        </w:rPr>
        <w:t>de</w:t>
      </w:r>
      <w:r>
        <w:rPr>
          <w:color w:val="231F1F"/>
          <w:spacing w:val="-5"/>
          <w:w w:val="110"/>
        </w:rPr>
        <w:t> </w:t>
      </w:r>
      <w:r>
        <w:rPr>
          <w:color w:val="231F1F"/>
          <w:w w:val="110"/>
        </w:rPr>
        <w:t>la</w:t>
      </w:r>
      <w:r>
        <w:rPr>
          <w:color w:val="231F1F"/>
          <w:spacing w:val="-5"/>
          <w:w w:val="110"/>
        </w:rPr>
        <w:t> </w:t>
      </w:r>
      <w:r>
        <w:rPr>
          <w:color w:val="231F1F"/>
          <w:w w:val="110"/>
        </w:rPr>
        <w:t>fa- milia,</w:t>
      </w:r>
      <w:r>
        <w:rPr>
          <w:color w:val="231F1F"/>
          <w:spacing w:val="-15"/>
          <w:w w:val="110"/>
        </w:rPr>
        <w:t> </w:t>
      </w:r>
      <w:r>
        <w:rPr>
          <w:color w:val="231F1F"/>
          <w:w w:val="110"/>
        </w:rPr>
        <w:t>amigo</w:t>
      </w:r>
      <w:r>
        <w:rPr>
          <w:color w:val="231F1F"/>
          <w:spacing w:val="-15"/>
          <w:w w:val="110"/>
        </w:rPr>
        <w:t> </w:t>
      </w:r>
      <w:r>
        <w:rPr>
          <w:color w:val="231F1F"/>
          <w:w w:val="110"/>
        </w:rPr>
        <w:t>o</w:t>
      </w:r>
      <w:r>
        <w:rPr>
          <w:color w:val="231F1F"/>
          <w:spacing w:val="-14"/>
          <w:w w:val="110"/>
        </w:rPr>
        <w:t> </w:t>
      </w:r>
      <w:r>
        <w:rPr>
          <w:color w:val="231F1F"/>
          <w:w w:val="110"/>
        </w:rPr>
        <w:t>un</w:t>
      </w:r>
      <w:r>
        <w:rPr>
          <w:color w:val="231F1F"/>
          <w:spacing w:val="-14"/>
          <w:w w:val="110"/>
        </w:rPr>
        <w:t> </w:t>
      </w:r>
      <w:r>
        <w:rPr>
          <w:color w:val="231F1F"/>
          <w:w w:val="110"/>
        </w:rPr>
        <w:t>desconocido</w:t>
      </w:r>
      <w:r>
        <w:rPr>
          <w:color w:val="231F1F"/>
          <w:spacing w:val="-15"/>
          <w:w w:val="110"/>
        </w:rPr>
        <w:t> </w:t>
      </w:r>
      <w:r>
        <w:rPr>
          <w:color w:val="231F1F"/>
          <w:w w:val="110"/>
        </w:rPr>
        <w:t>sin</w:t>
      </w:r>
      <w:r>
        <w:rPr>
          <w:color w:val="231F1F"/>
          <w:spacing w:val="-15"/>
          <w:w w:val="110"/>
        </w:rPr>
        <w:t> </w:t>
      </w:r>
      <w:r>
        <w:rPr>
          <w:color w:val="231F1F"/>
          <w:w w:val="110"/>
        </w:rPr>
        <w:t>capacitación</w:t>
      </w:r>
      <w:r>
        <w:rPr>
          <w:color w:val="231F1F"/>
          <w:spacing w:val="-15"/>
          <w:w w:val="110"/>
        </w:rPr>
        <w:t> </w:t>
      </w:r>
      <w:r>
        <w:rPr>
          <w:color w:val="231F1F"/>
          <w:w w:val="110"/>
        </w:rPr>
        <w:t>especial</w:t>
      </w:r>
      <w:r>
        <w:rPr>
          <w:color w:val="231F1F"/>
          <w:spacing w:val="-15"/>
          <w:w w:val="110"/>
        </w:rPr>
        <w:t> </w:t>
      </w:r>
      <w:r>
        <w:rPr>
          <w:color w:val="231F1F"/>
          <w:w w:val="110"/>
        </w:rPr>
        <w:t>en</w:t>
      </w:r>
      <w:r>
        <w:rPr>
          <w:color w:val="231F1F"/>
          <w:spacing w:val="-14"/>
          <w:w w:val="110"/>
        </w:rPr>
        <w:t> </w:t>
      </w:r>
      <w:r>
        <w:rPr>
          <w:color w:val="231F1F"/>
          <w:w w:val="110"/>
        </w:rPr>
        <w:t>apoyo</w:t>
      </w:r>
      <w:r>
        <w:rPr>
          <w:color w:val="231F1F"/>
          <w:spacing w:val="-14"/>
          <w:w w:val="110"/>
        </w:rPr>
        <w:t> </w:t>
      </w:r>
      <w:r>
        <w:rPr>
          <w:color w:val="231F1F"/>
          <w:w w:val="110"/>
        </w:rPr>
        <w:t>de</w:t>
      </w:r>
      <w:r>
        <w:rPr>
          <w:color w:val="231F1F"/>
          <w:spacing w:val="-15"/>
          <w:w w:val="110"/>
        </w:rPr>
        <w:t> </w:t>
      </w:r>
      <w:r>
        <w:rPr>
          <w:color w:val="231F1F"/>
          <w:w w:val="110"/>
        </w:rPr>
        <w:t>trabajo de parto. El grupo control recibió atención habitual que, de acuerdo con la </w:t>
      </w:r>
      <w:r>
        <w:rPr>
          <w:color w:val="231F1F"/>
        </w:rPr>
        <w:t>definición</w:t>
      </w:r>
      <w:r>
        <w:rPr>
          <w:color w:val="231F1F"/>
          <w:spacing w:val="38"/>
        </w:rPr>
        <w:t> </w:t>
      </w:r>
      <w:r>
        <w:rPr>
          <w:color w:val="231F1F"/>
        </w:rPr>
        <w:t>de</w:t>
      </w:r>
      <w:r>
        <w:rPr>
          <w:color w:val="231F1F"/>
          <w:spacing w:val="39"/>
        </w:rPr>
        <w:t> </w:t>
      </w:r>
      <w:r>
        <w:rPr>
          <w:color w:val="231F1F"/>
        </w:rPr>
        <w:t>los</w:t>
      </w:r>
      <w:r>
        <w:rPr>
          <w:color w:val="231F1F"/>
          <w:spacing w:val="39"/>
        </w:rPr>
        <w:t> </w:t>
      </w:r>
      <w:r>
        <w:rPr>
          <w:color w:val="231F1F"/>
        </w:rPr>
        <w:t>investigadores,</w:t>
      </w:r>
      <w:r>
        <w:rPr>
          <w:color w:val="231F1F"/>
          <w:spacing w:val="40"/>
        </w:rPr>
        <w:t> </w:t>
      </w:r>
      <w:r>
        <w:rPr>
          <w:color w:val="231F1F"/>
        </w:rPr>
        <w:t>no</w:t>
      </w:r>
      <w:r>
        <w:rPr>
          <w:color w:val="231F1F"/>
          <w:spacing w:val="38"/>
        </w:rPr>
        <w:t> </w:t>
      </w:r>
      <w:r>
        <w:rPr>
          <w:color w:val="231F1F"/>
        </w:rPr>
        <w:t>ofrecía</w:t>
      </w:r>
      <w:r>
        <w:rPr>
          <w:color w:val="231F1F"/>
          <w:spacing w:val="38"/>
        </w:rPr>
        <w:t> </w:t>
      </w:r>
      <w:r>
        <w:rPr>
          <w:color w:val="231F1F"/>
        </w:rPr>
        <w:t>el</w:t>
      </w:r>
      <w:r>
        <w:rPr>
          <w:color w:val="231F1F"/>
          <w:spacing w:val="39"/>
        </w:rPr>
        <w:t> </w:t>
      </w:r>
      <w:r>
        <w:rPr>
          <w:color w:val="231F1F"/>
        </w:rPr>
        <w:t>acompañamiento</w:t>
      </w:r>
      <w:r>
        <w:rPr>
          <w:color w:val="231F1F"/>
          <w:spacing w:val="38"/>
        </w:rPr>
        <w:t> </w:t>
      </w:r>
      <w:r>
        <w:rPr>
          <w:color w:val="231F1F"/>
        </w:rPr>
        <w:t>continuo,</w:t>
      </w:r>
      <w:r>
        <w:rPr>
          <w:color w:val="231F1F"/>
          <w:spacing w:val="38"/>
        </w:rPr>
        <w:t> </w:t>
      </w:r>
      <w:r>
        <w:rPr>
          <w:color w:val="231F1F"/>
        </w:rPr>
        <w:t>pero </w:t>
      </w:r>
      <w:r>
        <w:rPr>
          <w:color w:val="231F1F"/>
          <w:w w:val="110"/>
        </w:rPr>
        <w:t>si</w:t>
      </w:r>
      <w:r>
        <w:rPr>
          <w:color w:val="231F1F"/>
          <w:spacing w:val="-16"/>
          <w:w w:val="110"/>
        </w:rPr>
        <w:t> </w:t>
      </w:r>
      <w:r>
        <w:rPr>
          <w:color w:val="231F1F"/>
          <w:w w:val="110"/>
        </w:rPr>
        <w:t>podía</w:t>
      </w:r>
      <w:r>
        <w:rPr>
          <w:color w:val="231F1F"/>
          <w:spacing w:val="-15"/>
          <w:w w:val="110"/>
        </w:rPr>
        <w:t> </w:t>
      </w:r>
      <w:r>
        <w:rPr>
          <w:color w:val="231F1F"/>
          <w:w w:val="110"/>
        </w:rPr>
        <w:t>incluir</w:t>
      </w:r>
      <w:r>
        <w:rPr>
          <w:color w:val="231F1F"/>
          <w:spacing w:val="-15"/>
          <w:w w:val="110"/>
        </w:rPr>
        <w:t> </w:t>
      </w:r>
      <w:r>
        <w:rPr>
          <w:color w:val="231F1F"/>
          <w:w w:val="110"/>
        </w:rPr>
        <w:t>otras</w:t>
      </w:r>
      <w:r>
        <w:rPr>
          <w:color w:val="231F1F"/>
          <w:spacing w:val="-15"/>
          <w:w w:val="110"/>
        </w:rPr>
        <w:t> </w:t>
      </w:r>
      <w:r>
        <w:rPr>
          <w:color w:val="231F1F"/>
          <w:w w:val="110"/>
        </w:rPr>
        <w:t>medidas,</w:t>
      </w:r>
      <w:r>
        <w:rPr>
          <w:color w:val="231F1F"/>
          <w:spacing w:val="-15"/>
          <w:w w:val="110"/>
        </w:rPr>
        <w:t> </w:t>
      </w:r>
      <w:r>
        <w:rPr>
          <w:color w:val="231F1F"/>
          <w:w w:val="110"/>
        </w:rPr>
        <w:t>como</w:t>
      </w:r>
      <w:r>
        <w:rPr>
          <w:color w:val="231F1F"/>
          <w:spacing w:val="-15"/>
          <w:w w:val="110"/>
        </w:rPr>
        <w:t> </w:t>
      </w:r>
      <w:r>
        <w:rPr>
          <w:color w:val="231F1F"/>
          <w:w w:val="110"/>
        </w:rPr>
        <w:t>analgesia</w:t>
      </w:r>
      <w:r>
        <w:rPr>
          <w:color w:val="231F1F"/>
          <w:spacing w:val="-15"/>
          <w:w w:val="110"/>
        </w:rPr>
        <w:t> </w:t>
      </w:r>
      <w:r>
        <w:rPr>
          <w:color w:val="231F1F"/>
          <w:w w:val="110"/>
        </w:rPr>
        <w:t>epidural</w:t>
      </w:r>
      <w:r>
        <w:rPr>
          <w:color w:val="231F1F"/>
          <w:spacing w:val="-15"/>
          <w:w w:val="110"/>
        </w:rPr>
        <w:t> </w:t>
      </w:r>
      <w:r>
        <w:rPr>
          <w:color w:val="231F1F"/>
          <w:w w:val="110"/>
        </w:rPr>
        <w:t>u</w:t>
      </w:r>
      <w:r>
        <w:rPr>
          <w:color w:val="231F1F"/>
          <w:spacing w:val="-16"/>
          <w:w w:val="110"/>
        </w:rPr>
        <w:t> </w:t>
      </w:r>
      <w:r>
        <w:rPr>
          <w:color w:val="231F1F"/>
          <w:w w:val="110"/>
        </w:rPr>
        <w:t>otra</w:t>
      </w:r>
      <w:r>
        <w:rPr>
          <w:color w:val="231F1F"/>
          <w:spacing w:val="-15"/>
          <w:w w:val="110"/>
        </w:rPr>
        <w:t> </w:t>
      </w:r>
      <w:r>
        <w:rPr>
          <w:color w:val="231F1F"/>
          <w:w w:val="110"/>
        </w:rPr>
        <w:t>ayuda</w:t>
      </w:r>
      <w:r>
        <w:rPr>
          <w:color w:val="231F1F"/>
          <w:spacing w:val="-15"/>
          <w:w w:val="110"/>
        </w:rPr>
        <w:t> </w:t>
      </w:r>
      <w:r>
        <w:rPr>
          <w:color w:val="231F1F"/>
          <w:w w:val="110"/>
        </w:rPr>
        <w:t>habitual para afrontar el trabajo de parto.</w:t>
      </w:r>
    </w:p>
    <w:p>
      <w:pPr>
        <w:pStyle w:val="BodyText"/>
        <w:spacing w:after="0" w:line="247" w:lineRule="auto"/>
        <w:jc w:val="both"/>
        <w:sectPr>
          <w:pgSz w:w="11900" w:h="16840"/>
          <w:pgMar w:header="0" w:footer="622" w:top="1560" w:bottom="820" w:left="1417" w:right="1559"/>
        </w:sectPr>
      </w:pPr>
    </w:p>
    <w:p>
      <w:pPr>
        <w:pStyle w:val="BodyText"/>
        <w:spacing w:line="247" w:lineRule="auto" w:before="72"/>
        <w:ind w:left="283" w:firstLine="453"/>
        <w:jc w:val="both"/>
      </w:pPr>
      <w:r>
        <w:rPr>
          <w:color w:val="231F1F"/>
        </w:rPr>
        <w:t>Los resultados de la revisión muestran que las mujeres que recibían apoyo </w:t>
      </w:r>
      <w:r>
        <w:rPr>
          <w:color w:val="231F1F"/>
          <w:w w:val="110"/>
        </w:rPr>
        <w:t>continuo</w:t>
      </w:r>
      <w:r>
        <w:rPr>
          <w:color w:val="231F1F"/>
          <w:spacing w:val="-16"/>
          <w:w w:val="110"/>
        </w:rPr>
        <w:t> </w:t>
      </w:r>
      <w:r>
        <w:rPr>
          <w:color w:val="231F1F"/>
          <w:w w:val="110"/>
        </w:rPr>
        <w:t>y</w:t>
      </w:r>
      <w:r>
        <w:rPr>
          <w:color w:val="231F1F"/>
          <w:spacing w:val="-15"/>
          <w:w w:val="110"/>
        </w:rPr>
        <w:t> </w:t>
      </w:r>
      <w:r>
        <w:rPr>
          <w:color w:val="231F1F"/>
          <w:w w:val="110"/>
        </w:rPr>
        <w:t>personal</w:t>
      </w:r>
      <w:r>
        <w:rPr>
          <w:color w:val="231F1F"/>
          <w:spacing w:val="-15"/>
          <w:w w:val="110"/>
        </w:rPr>
        <w:t> </w:t>
      </w:r>
      <w:r>
        <w:rPr>
          <w:color w:val="231F1F"/>
          <w:w w:val="110"/>
        </w:rPr>
        <w:t>durante</w:t>
      </w:r>
      <w:r>
        <w:rPr>
          <w:color w:val="231F1F"/>
          <w:spacing w:val="-15"/>
          <w:w w:val="110"/>
        </w:rPr>
        <w:t> </w:t>
      </w:r>
      <w:r>
        <w:rPr>
          <w:color w:val="231F1F"/>
          <w:w w:val="110"/>
        </w:rPr>
        <w:t>el</w:t>
      </w:r>
      <w:r>
        <w:rPr>
          <w:color w:val="231F1F"/>
          <w:spacing w:val="-15"/>
          <w:w w:val="110"/>
        </w:rPr>
        <w:t> </w:t>
      </w:r>
      <w:r>
        <w:rPr>
          <w:color w:val="231F1F"/>
          <w:w w:val="110"/>
        </w:rPr>
        <w:t>trabajo</w:t>
      </w:r>
      <w:r>
        <w:rPr>
          <w:color w:val="231F1F"/>
          <w:spacing w:val="-15"/>
          <w:w w:val="110"/>
        </w:rPr>
        <w:t> </w:t>
      </w:r>
      <w:r>
        <w:rPr>
          <w:color w:val="231F1F"/>
          <w:w w:val="110"/>
        </w:rPr>
        <w:t>de</w:t>
      </w:r>
      <w:r>
        <w:rPr>
          <w:color w:val="231F1F"/>
          <w:spacing w:val="-15"/>
          <w:w w:val="110"/>
        </w:rPr>
        <w:t> </w:t>
      </w:r>
      <w:r>
        <w:rPr>
          <w:color w:val="231F1F"/>
          <w:w w:val="110"/>
        </w:rPr>
        <w:t>parto</w:t>
      </w:r>
      <w:r>
        <w:rPr>
          <w:color w:val="231F1F"/>
          <w:spacing w:val="-15"/>
          <w:w w:val="110"/>
        </w:rPr>
        <w:t> </w:t>
      </w:r>
      <w:r>
        <w:rPr>
          <w:color w:val="231F1F"/>
          <w:w w:val="110"/>
        </w:rPr>
        <w:t>tenían</w:t>
      </w:r>
      <w:r>
        <w:rPr>
          <w:color w:val="231F1F"/>
          <w:spacing w:val="-16"/>
          <w:w w:val="110"/>
        </w:rPr>
        <w:t> </w:t>
      </w:r>
      <w:r>
        <w:rPr>
          <w:color w:val="231F1F"/>
          <w:w w:val="110"/>
        </w:rPr>
        <w:t>mayor</w:t>
      </w:r>
      <w:r>
        <w:rPr>
          <w:color w:val="231F1F"/>
          <w:spacing w:val="-15"/>
          <w:w w:val="110"/>
        </w:rPr>
        <w:t> </w:t>
      </w:r>
      <w:r>
        <w:rPr>
          <w:color w:val="231F1F"/>
          <w:w w:val="110"/>
        </w:rPr>
        <w:t>probabilidad</w:t>
      </w:r>
      <w:r>
        <w:rPr>
          <w:color w:val="231F1F"/>
          <w:spacing w:val="-15"/>
          <w:w w:val="110"/>
        </w:rPr>
        <w:t> </w:t>
      </w:r>
      <w:r>
        <w:rPr>
          <w:color w:val="231F1F"/>
          <w:w w:val="110"/>
        </w:rPr>
        <w:t>de parto</w:t>
      </w:r>
      <w:r>
        <w:rPr>
          <w:color w:val="231F1F"/>
          <w:spacing w:val="-5"/>
          <w:w w:val="110"/>
        </w:rPr>
        <w:t> </w:t>
      </w:r>
      <w:r>
        <w:rPr>
          <w:color w:val="231F1F"/>
          <w:w w:val="110"/>
        </w:rPr>
        <w:t>vaginal</w:t>
      </w:r>
      <w:r>
        <w:rPr>
          <w:color w:val="231F1F"/>
          <w:spacing w:val="-6"/>
          <w:w w:val="110"/>
        </w:rPr>
        <w:t> </w:t>
      </w:r>
      <w:r>
        <w:rPr>
          <w:color w:val="231F1F"/>
          <w:w w:val="110"/>
        </w:rPr>
        <w:t>espontáneo;</w:t>
      </w:r>
      <w:r>
        <w:rPr>
          <w:color w:val="231F1F"/>
          <w:spacing w:val="-5"/>
          <w:w w:val="110"/>
        </w:rPr>
        <w:t> </w:t>
      </w:r>
      <w:r>
        <w:rPr>
          <w:color w:val="231F1F"/>
          <w:w w:val="110"/>
        </w:rPr>
        <w:t>(15</w:t>
      </w:r>
      <w:r>
        <w:rPr>
          <w:color w:val="231F1F"/>
          <w:spacing w:val="-5"/>
          <w:w w:val="110"/>
        </w:rPr>
        <w:t> </w:t>
      </w:r>
      <w:r>
        <w:rPr>
          <w:color w:val="231F1F"/>
          <w:w w:val="110"/>
        </w:rPr>
        <w:t>ensayos</w:t>
      </w:r>
      <w:r>
        <w:rPr>
          <w:color w:val="231F1F"/>
          <w:spacing w:val="-4"/>
          <w:w w:val="110"/>
        </w:rPr>
        <w:t> </w:t>
      </w:r>
      <w:r>
        <w:rPr>
          <w:color w:val="231F1F"/>
          <w:w w:val="110"/>
        </w:rPr>
        <w:t>con</w:t>
      </w:r>
      <w:r>
        <w:rPr>
          <w:color w:val="231F1F"/>
          <w:spacing w:val="-5"/>
          <w:w w:val="110"/>
        </w:rPr>
        <w:t> </w:t>
      </w:r>
      <w:r>
        <w:rPr>
          <w:color w:val="231F1F"/>
          <w:w w:val="110"/>
        </w:rPr>
        <w:t>n=13.357)</w:t>
      </w:r>
      <w:r>
        <w:rPr>
          <w:color w:val="231F1F"/>
          <w:spacing w:val="-5"/>
          <w:w w:val="110"/>
        </w:rPr>
        <w:t> </w:t>
      </w:r>
      <w:r>
        <w:rPr>
          <w:color w:val="231F1F"/>
          <w:w w:val="110"/>
        </w:rPr>
        <w:t>RR</w:t>
      </w:r>
      <w:r>
        <w:rPr>
          <w:color w:val="231F1F"/>
          <w:spacing w:val="-4"/>
          <w:w w:val="110"/>
        </w:rPr>
        <w:t> </w:t>
      </w:r>
      <w:r>
        <w:rPr>
          <w:color w:val="231F1F"/>
          <w:w w:val="110"/>
        </w:rPr>
        <w:t>1,07</w:t>
      </w:r>
      <w:r>
        <w:rPr>
          <w:color w:val="231F1F"/>
          <w:spacing w:val="-5"/>
          <w:w w:val="110"/>
        </w:rPr>
        <w:t> </w:t>
      </w:r>
      <w:r>
        <w:rPr>
          <w:color w:val="231F1F"/>
          <w:w w:val="110"/>
        </w:rPr>
        <w:t>[IC</w:t>
      </w:r>
      <w:r>
        <w:rPr>
          <w:color w:val="231F1F"/>
          <w:spacing w:val="-4"/>
          <w:w w:val="110"/>
        </w:rPr>
        <w:t> </w:t>
      </w:r>
      <w:r>
        <w:rPr>
          <w:color w:val="231F1F"/>
          <w:w w:val="110"/>
        </w:rPr>
        <w:t>del</w:t>
      </w:r>
      <w:r>
        <w:rPr>
          <w:color w:val="231F1F"/>
          <w:spacing w:val="-6"/>
          <w:w w:val="110"/>
        </w:rPr>
        <w:t> </w:t>
      </w:r>
      <w:r>
        <w:rPr>
          <w:color w:val="231F1F"/>
          <w:w w:val="110"/>
        </w:rPr>
        <w:t>95% 1,04 a 1,12], y menor probabilidad de:</w:t>
      </w:r>
    </w:p>
    <w:p>
      <w:pPr>
        <w:pStyle w:val="ListParagraph"/>
        <w:numPr>
          <w:ilvl w:val="0"/>
          <w:numId w:val="14"/>
        </w:numPr>
        <w:tabs>
          <w:tab w:pos="956" w:val="left" w:leader="none"/>
        </w:tabs>
        <w:spacing w:line="244" w:lineRule="auto" w:before="153" w:after="0"/>
        <w:ind w:left="956" w:right="51" w:hanging="220"/>
        <w:jc w:val="left"/>
        <w:rPr>
          <w:sz w:val="22"/>
        </w:rPr>
      </w:pPr>
      <w:r>
        <w:rPr>
          <w:color w:val="231F1F"/>
          <w:w w:val="110"/>
          <w:sz w:val="22"/>
        </w:rPr>
        <w:t>Recibir</w:t>
      </w:r>
      <w:r>
        <w:rPr>
          <w:color w:val="231F1F"/>
          <w:spacing w:val="-16"/>
          <w:w w:val="110"/>
          <w:sz w:val="22"/>
        </w:rPr>
        <w:t> </w:t>
      </w:r>
      <w:r>
        <w:rPr>
          <w:color w:val="231F1F"/>
          <w:w w:val="110"/>
          <w:sz w:val="22"/>
        </w:rPr>
        <w:t>analgesia/anestesia</w:t>
      </w:r>
      <w:r>
        <w:rPr>
          <w:color w:val="231F1F"/>
          <w:spacing w:val="-15"/>
          <w:w w:val="110"/>
          <w:sz w:val="22"/>
        </w:rPr>
        <w:t> </w:t>
      </w:r>
      <w:r>
        <w:rPr>
          <w:color w:val="231F1F"/>
          <w:w w:val="110"/>
          <w:sz w:val="22"/>
        </w:rPr>
        <w:t>regional</w:t>
      </w:r>
      <w:r>
        <w:rPr>
          <w:color w:val="231F1F"/>
          <w:spacing w:val="-15"/>
          <w:w w:val="110"/>
          <w:sz w:val="22"/>
        </w:rPr>
        <w:t> </w:t>
      </w:r>
      <w:r>
        <w:rPr>
          <w:color w:val="231F1F"/>
          <w:w w:val="110"/>
          <w:sz w:val="22"/>
        </w:rPr>
        <w:t>(7</w:t>
      </w:r>
      <w:r>
        <w:rPr>
          <w:color w:val="231F1F"/>
          <w:spacing w:val="-15"/>
          <w:w w:val="110"/>
          <w:sz w:val="22"/>
        </w:rPr>
        <w:t> </w:t>
      </w:r>
      <w:r>
        <w:rPr>
          <w:color w:val="231F1F"/>
          <w:w w:val="110"/>
          <w:sz w:val="22"/>
        </w:rPr>
        <w:t>ensayos;</w:t>
      </w:r>
      <w:r>
        <w:rPr>
          <w:color w:val="231F1F"/>
          <w:spacing w:val="-15"/>
          <w:w w:val="110"/>
          <w:sz w:val="22"/>
        </w:rPr>
        <w:t> </w:t>
      </w:r>
      <w:r>
        <w:rPr>
          <w:color w:val="231F1F"/>
          <w:w w:val="110"/>
          <w:sz w:val="22"/>
        </w:rPr>
        <w:t>n=10.648);</w:t>
      </w:r>
      <w:r>
        <w:rPr>
          <w:color w:val="231F1F"/>
          <w:spacing w:val="-15"/>
          <w:w w:val="110"/>
          <w:sz w:val="22"/>
        </w:rPr>
        <w:t> </w:t>
      </w:r>
      <w:r>
        <w:rPr>
          <w:color w:val="231F1F"/>
          <w:w w:val="110"/>
          <w:sz w:val="22"/>
        </w:rPr>
        <w:t>RR</w:t>
      </w:r>
      <w:r>
        <w:rPr>
          <w:color w:val="231F1F"/>
          <w:spacing w:val="-15"/>
          <w:w w:val="110"/>
          <w:sz w:val="22"/>
        </w:rPr>
        <w:t> </w:t>
      </w:r>
      <w:r>
        <w:rPr>
          <w:color w:val="231F1F"/>
          <w:w w:val="110"/>
          <w:sz w:val="22"/>
        </w:rPr>
        <w:t>0,92 [IC</w:t>
      </w:r>
      <w:r>
        <w:rPr>
          <w:color w:val="231F1F"/>
          <w:spacing w:val="-4"/>
          <w:w w:val="110"/>
          <w:sz w:val="22"/>
        </w:rPr>
        <w:t> </w:t>
      </w:r>
      <w:r>
        <w:rPr>
          <w:color w:val="231F1F"/>
          <w:w w:val="110"/>
          <w:sz w:val="22"/>
        </w:rPr>
        <w:t>del</w:t>
      </w:r>
      <w:r>
        <w:rPr>
          <w:color w:val="231F1F"/>
          <w:spacing w:val="-6"/>
          <w:w w:val="110"/>
          <w:sz w:val="22"/>
        </w:rPr>
        <w:t> </w:t>
      </w:r>
      <w:r>
        <w:rPr>
          <w:color w:val="231F1F"/>
          <w:w w:val="110"/>
          <w:sz w:val="22"/>
        </w:rPr>
        <w:t>95%</w:t>
      </w:r>
      <w:r>
        <w:rPr>
          <w:color w:val="231F1F"/>
          <w:spacing w:val="-3"/>
          <w:w w:val="110"/>
          <w:sz w:val="22"/>
        </w:rPr>
        <w:t> </w:t>
      </w:r>
      <w:r>
        <w:rPr>
          <w:color w:val="231F1F"/>
          <w:w w:val="110"/>
          <w:sz w:val="22"/>
        </w:rPr>
        <w:t>0,85</w:t>
      </w:r>
      <w:r>
        <w:rPr>
          <w:color w:val="231F1F"/>
          <w:spacing w:val="-4"/>
          <w:w w:val="110"/>
          <w:sz w:val="22"/>
        </w:rPr>
        <w:t> </w:t>
      </w:r>
      <w:r>
        <w:rPr>
          <w:color w:val="231F1F"/>
          <w:w w:val="110"/>
          <w:sz w:val="22"/>
        </w:rPr>
        <w:t>a</w:t>
      </w:r>
      <w:r>
        <w:rPr>
          <w:color w:val="231F1F"/>
          <w:spacing w:val="-4"/>
          <w:w w:val="110"/>
          <w:sz w:val="22"/>
        </w:rPr>
        <w:t> </w:t>
      </w:r>
      <w:r>
        <w:rPr>
          <w:color w:val="231F1F"/>
          <w:w w:val="110"/>
          <w:sz w:val="22"/>
        </w:rPr>
        <w:t>0,99]</w:t>
      </w:r>
      <w:r>
        <w:rPr>
          <w:color w:val="231F1F"/>
          <w:spacing w:val="-4"/>
          <w:w w:val="110"/>
          <w:sz w:val="22"/>
        </w:rPr>
        <w:t> </w:t>
      </w:r>
      <w:r>
        <w:rPr>
          <w:color w:val="231F1F"/>
          <w:w w:val="110"/>
          <w:sz w:val="22"/>
        </w:rPr>
        <w:t>y</w:t>
      </w:r>
      <w:r>
        <w:rPr>
          <w:color w:val="231F1F"/>
          <w:spacing w:val="-4"/>
          <w:w w:val="110"/>
          <w:sz w:val="22"/>
        </w:rPr>
        <w:t> </w:t>
      </w:r>
      <w:r>
        <w:rPr>
          <w:color w:val="231F1F"/>
          <w:w w:val="110"/>
          <w:sz w:val="22"/>
        </w:rPr>
        <w:t>cualquier</w:t>
      </w:r>
      <w:r>
        <w:rPr>
          <w:color w:val="231F1F"/>
          <w:spacing w:val="-4"/>
          <w:w w:val="110"/>
          <w:sz w:val="22"/>
        </w:rPr>
        <w:t> </w:t>
      </w:r>
      <w:r>
        <w:rPr>
          <w:color w:val="231F1F"/>
          <w:w w:val="110"/>
          <w:sz w:val="22"/>
        </w:rPr>
        <w:t>tipo</w:t>
      </w:r>
      <w:r>
        <w:rPr>
          <w:color w:val="231F1F"/>
          <w:spacing w:val="-4"/>
          <w:w w:val="110"/>
          <w:sz w:val="22"/>
        </w:rPr>
        <w:t> </w:t>
      </w:r>
      <w:r>
        <w:rPr>
          <w:color w:val="231F1F"/>
          <w:w w:val="110"/>
          <w:sz w:val="22"/>
        </w:rPr>
        <w:t>de</w:t>
      </w:r>
      <w:r>
        <w:rPr>
          <w:color w:val="231F1F"/>
          <w:spacing w:val="-4"/>
          <w:w w:val="110"/>
          <w:sz w:val="22"/>
        </w:rPr>
        <w:t> </w:t>
      </w:r>
      <w:r>
        <w:rPr>
          <w:color w:val="231F1F"/>
          <w:w w:val="110"/>
          <w:sz w:val="22"/>
        </w:rPr>
        <w:t>analgesia/anestesia</w:t>
      </w:r>
      <w:r>
        <w:rPr>
          <w:color w:val="231F1F"/>
          <w:spacing w:val="-4"/>
          <w:w w:val="110"/>
          <w:sz w:val="22"/>
        </w:rPr>
        <w:t> </w:t>
      </w:r>
      <w:r>
        <w:rPr>
          <w:color w:val="231F1F"/>
          <w:w w:val="110"/>
          <w:sz w:val="22"/>
        </w:rPr>
        <w:t>(12</w:t>
      </w:r>
    </w:p>
    <w:p>
      <w:pPr>
        <w:pStyle w:val="BodyText"/>
        <w:spacing w:before="7"/>
        <w:ind w:left="955"/>
      </w:pPr>
      <w:r>
        <w:rPr>
          <w:color w:val="231F1F"/>
          <w:w w:val="105"/>
        </w:rPr>
        <w:t>ensayos;</w:t>
      </w:r>
      <w:r>
        <w:rPr>
          <w:color w:val="231F1F"/>
          <w:spacing w:val="-12"/>
          <w:w w:val="105"/>
        </w:rPr>
        <w:t> </w:t>
      </w:r>
      <w:r>
        <w:rPr>
          <w:color w:val="231F1F"/>
          <w:w w:val="105"/>
        </w:rPr>
        <w:t>n=11.651);</w:t>
      </w:r>
      <w:r>
        <w:rPr>
          <w:color w:val="231F1F"/>
          <w:spacing w:val="-11"/>
          <w:w w:val="105"/>
        </w:rPr>
        <w:t> </w:t>
      </w:r>
      <w:r>
        <w:rPr>
          <w:color w:val="231F1F"/>
          <w:w w:val="105"/>
        </w:rPr>
        <w:t>RR</w:t>
      </w:r>
      <w:r>
        <w:rPr>
          <w:color w:val="231F1F"/>
          <w:spacing w:val="-11"/>
          <w:w w:val="105"/>
        </w:rPr>
        <w:t> </w:t>
      </w:r>
      <w:r>
        <w:rPr>
          <w:color w:val="231F1F"/>
          <w:w w:val="105"/>
        </w:rPr>
        <w:t>0,89</w:t>
      </w:r>
      <w:r>
        <w:rPr>
          <w:color w:val="231F1F"/>
          <w:spacing w:val="-11"/>
          <w:w w:val="105"/>
        </w:rPr>
        <w:t> </w:t>
      </w:r>
      <w:r>
        <w:rPr>
          <w:color w:val="231F1F"/>
          <w:w w:val="105"/>
        </w:rPr>
        <w:t>[IC</w:t>
      </w:r>
      <w:r>
        <w:rPr>
          <w:color w:val="231F1F"/>
          <w:spacing w:val="-10"/>
          <w:w w:val="105"/>
        </w:rPr>
        <w:t> </w:t>
      </w:r>
      <w:r>
        <w:rPr>
          <w:color w:val="231F1F"/>
          <w:w w:val="105"/>
        </w:rPr>
        <w:t>del</w:t>
      </w:r>
      <w:r>
        <w:rPr>
          <w:color w:val="231F1F"/>
          <w:spacing w:val="-12"/>
          <w:w w:val="105"/>
        </w:rPr>
        <w:t> </w:t>
      </w:r>
      <w:r>
        <w:rPr>
          <w:color w:val="231F1F"/>
          <w:w w:val="105"/>
        </w:rPr>
        <w:t>95%</w:t>
      </w:r>
      <w:r>
        <w:rPr>
          <w:color w:val="231F1F"/>
          <w:spacing w:val="-10"/>
          <w:w w:val="105"/>
        </w:rPr>
        <w:t> </w:t>
      </w:r>
      <w:r>
        <w:rPr>
          <w:color w:val="231F1F"/>
          <w:w w:val="105"/>
        </w:rPr>
        <w:t>0,82</w:t>
      </w:r>
      <w:r>
        <w:rPr>
          <w:color w:val="231F1F"/>
          <w:spacing w:val="-11"/>
          <w:w w:val="105"/>
        </w:rPr>
        <w:t> </w:t>
      </w:r>
      <w:r>
        <w:rPr>
          <w:color w:val="231F1F"/>
          <w:w w:val="105"/>
        </w:rPr>
        <w:t>a</w:t>
      </w:r>
      <w:r>
        <w:rPr>
          <w:color w:val="231F1F"/>
          <w:spacing w:val="-10"/>
          <w:w w:val="105"/>
        </w:rPr>
        <w:t> </w:t>
      </w:r>
      <w:r>
        <w:rPr>
          <w:color w:val="231F1F"/>
          <w:spacing w:val="-2"/>
          <w:w w:val="105"/>
        </w:rPr>
        <w:t>0,96]</w:t>
      </w:r>
    </w:p>
    <w:p>
      <w:pPr>
        <w:pStyle w:val="ListParagraph"/>
        <w:numPr>
          <w:ilvl w:val="0"/>
          <w:numId w:val="14"/>
        </w:numPr>
        <w:tabs>
          <w:tab w:pos="956" w:val="left" w:leader="none"/>
        </w:tabs>
        <w:spacing w:line="259" w:lineRule="auto" w:before="169" w:after="0"/>
        <w:ind w:left="956" w:right="151" w:hanging="220"/>
        <w:jc w:val="left"/>
        <w:rPr>
          <w:sz w:val="22"/>
        </w:rPr>
      </w:pPr>
      <w:r>
        <w:rPr>
          <w:color w:val="231F1F"/>
          <w:sz w:val="22"/>
        </w:rPr>
        <w:t>Tener</w:t>
      </w:r>
      <w:r>
        <w:rPr>
          <w:color w:val="231F1F"/>
          <w:spacing w:val="30"/>
          <w:sz w:val="22"/>
        </w:rPr>
        <w:t> </w:t>
      </w:r>
      <w:r>
        <w:rPr>
          <w:color w:val="231F1F"/>
          <w:sz w:val="22"/>
        </w:rPr>
        <w:t>un</w:t>
      </w:r>
      <w:r>
        <w:rPr>
          <w:color w:val="231F1F"/>
          <w:spacing w:val="30"/>
          <w:sz w:val="22"/>
        </w:rPr>
        <w:t> </w:t>
      </w:r>
      <w:r>
        <w:rPr>
          <w:color w:val="231F1F"/>
          <w:sz w:val="22"/>
        </w:rPr>
        <w:t>parto</w:t>
      </w:r>
      <w:r>
        <w:rPr>
          <w:color w:val="231F1F"/>
          <w:spacing w:val="30"/>
          <w:sz w:val="22"/>
        </w:rPr>
        <w:t> </w:t>
      </w:r>
      <w:r>
        <w:rPr>
          <w:color w:val="231F1F"/>
          <w:sz w:val="22"/>
        </w:rPr>
        <w:t>vaginal</w:t>
      </w:r>
      <w:r>
        <w:rPr>
          <w:color w:val="231F1F"/>
          <w:spacing w:val="30"/>
          <w:sz w:val="22"/>
        </w:rPr>
        <w:t> </w:t>
      </w:r>
      <w:r>
        <w:rPr>
          <w:color w:val="231F1F"/>
          <w:sz w:val="22"/>
        </w:rPr>
        <w:t>instrumental</w:t>
      </w:r>
      <w:r>
        <w:rPr>
          <w:color w:val="231F1F"/>
          <w:spacing w:val="32"/>
          <w:sz w:val="22"/>
        </w:rPr>
        <w:t> </w:t>
      </w:r>
      <w:r>
        <w:rPr>
          <w:color w:val="231F1F"/>
          <w:sz w:val="22"/>
        </w:rPr>
        <w:t>(15</w:t>
      </w:r>
      <w:r>
        <w:rPr>
          <w:color w:val="231F1F"/>
          <w:spacing w:val="30"/>
          <w:sz w:val="22"/>
        </w:rPr>
        <w:t> </w:t>
      </w:r>
      <w:r>
        <w:rPr>
          <w:color w:val="231F1F"/>
          <w:sz w:val="22"/>
        </w:rPr>
        <w:t>ensayos;</w:t>
      </w:r>
      <w:r>
        <w:rPr>
          <w:color w:val="231F1F"/>
          <w:spacing w:val="30"/>
          <w:sz w:val="22"/>
        </w:rPr>
        <w:t> </w:t>
      </w:r>
      <w:r>
        <w:rPr>
          <w:color w:val="231F1F"/>
          <w:sz w:val="22"/>
        </w:rPr>
        <w:t>n=13.357);</w:t>
      </w:r>
      <w:r>
        <w:rPr>
          <w:color w:val="231F1F"/>
          <w:spacing w:val="30"/>
          <w:sz w:val="22"/>
        </w:rPr>
        <w:t> </w:t>
      </w:r>
      <w:r>
        <w:rPr>
          <w:color w:val="231F1F"/>
          <w:sz w:val="22"/>
        </w:rPr>
        <w:t>RR</w:t>
      </w:r>
      <w:r>
        <w:rPr>
          <w:color w:val="231F1F"/>
          <w:spacing w:val="30"/>
          <w:sz w:val="22"/>
        </w:rPr>
        <w:t> </w:t>
      </w:r>
      <w:r>
        <w:rPr>
          <w:color w:val="231F1F"/>
          <w:sz w:val="22"/>
        </w:rPr>
        <w:t>0,89 [IC</w:t>
      </w:r>
      <w:r>
        <w:rPr>
          <w:color w:val="231F1F"/>
          <w:spacing w:val="40"/>
          <w:sz w:val="22"/>
        </w:rPr>
        <w:t> </w:t>
      </w:r>
      <w:r>
        <w:rPr>
          <w:color w:val="231F1F"/>
          <w:sz w:val="22"/>
        </w:rPr>
        <w:t>del 95%</w:t>
      </w:r>
      <w:r>
        <w:rPr>
          <w:color w:val="231F1F"/>
          <w:spacing w:val="40"/>
          <w:sz w:val="22"/>
        </w:rPr>
        <w:t> </w:t>
      </w:r>
      <w:r>
        <w:rPr>
          <w:color w:val="231F1F"/>
          <w:sz w:val="22"/>
        </w:rPr>
        <w:t>0,82</w:t>
      </w:r>
      <w:r>
        <w:rPr>
          <w:color w:val="231F1F"/>
          <w:spacing w:val="40"/>
          <w:sz w:val="22"/>
        </w:rPr>
        <w:t> </w:t>
      </w:r>
      <w:r>
        <w:rPr>
          <w:color w:val="231F1F"/>
          <w:sz w:val="22"/>
        </w:rPr>
        <w:t>a</w:t>
      </w:r>
      <w:r>
        <w:rPr>
          <w:color w:val="231F1F"/>
          <w:spacing w:val="40"/>
          <w:sz w:val="22"/>
        </w:rPr>
        <w:t> </w:t>
      </w:r>
      <w:r>
        <w:rPr>
          <w:color w:val="231F1F"/>
          <w:sz w:val="22"/>
        </w:rPr>
        <w:t>0,96]</w:t>
      </w:r>
    </w:p>
    <w:p>
      <w:pPr>
        <w:pStyle w:val="ListParagraph"/>
        <w:numPr>
          <w:ilvl w:val="0"/>
          <w:numId w:val="14"/>
        </w:numPr>
        <w:tabs>
          <w:tab w:pos="956" w:val="left" w:leader="none"/>
        </w:tabs>
        <w:spacing w:line="240" w:lineRule="auto" w:before="145" w:after="0"/>
        <w:ind w:left="956" w:right="102" w:hanging="220"/>
        <w:jc w:val="both"/>
        <w:rPr>
          <w:sz w:val="22"/>
        </w:rPr>
      </w:pPr>
      <w:r>
        <w:rPr>
          <w:color w:val="231F1F"/>
          <w:w w:val="110"/>
          <w:sz w:val="22"/>
        </w:rPr>
        <w:t>Tener</w:t>
      </w:r>
      <w:r>
        <w:rPr>
          <w:color w:val="231F1F"/>
          <w:spacing w:val="-13"/>
          <w:w w:val="110"/>
          <w:sz w:val="22"/>
        </w:rPr>
        <w:t> </w:t>
      </w:r>
      <w:r>
        <w:rPr>
          <w:color w:val="231F1F"/>
          <w:w w:val="110"/>
          <w:sz w:val="22"/>
        </w:rPr>
        <w:t>un</w:t>
      </w:r>
      <w:r>
        <w:rPr>
          <w:color w:val="231F1F"/>
          <w:spacing w:val="-13"/>
          <w:w w:val="110"/>
          <w:sz w:val="22"/>
        </w:rPr>
        <w:t> </w:t>
      </w:r>
      <w:r>
        <w:rPr>
          <w:color w:val="231F1F"/>
          <w:w w:val="110"/>
          <w:sz w:val="22"/>
        </w:rPr>
        <w:t>parto</w:t>
      </w:r>
      <w:r>
        <w:rPr>
          <w:color w:val="231F1F"/>
          <w:spacing w:val="-13"/>
          <w:w w:val="110"/>
          <w:sz w:val="22"/>
        </w:rPr>
        <w:t> </w:t>
      </w:r>
      <w:r>
        <w:rPr>
          <w:color w:val="231F1F"/>
          <w:w w:val="110"/>
          <w:sz w:val="22"/>
        </w:rPr>
        <w:t>por</w:t>
      </w:r>
      <w:r>
        <w:rPr>
          <w:color w:val="231F1F"/>
          <w:spacing w:val="-13"/>
          <w:w w:val="110"/>
          <w:sz w:val="22"/>
        </w:rPr>
        <w:t> </w:t>
      </w:r>
      <w:r>
        <w:rPr>
          <w:color w:val="231F1F"/>
          <w:w w:val="110"/>
          <w:sz w:val="22"/>
        </w:rPr>
        <w:t>cesárea</w:t>
      </w:r>
      <w:r>
        <w:rPr>
          <w:color w:val="231F1F"/>
          <w:spacing w:val="-13"/>
          <w:w w:val="110"/>
          <w:sz w:val="22"/>
        </w:rPr>
        <w:t> </w:t>
      </w:r>
      <w:r>
        <w:rPr>
          <w:color w:val="231F1F"/>
          <w:w w:val="110"/>
          <w:sz w:val="22"/>
        </w:rPr>
        <w:t>(16</w:t>
      </w:r>
      <w:r>
        <w:rPr>
          <w:color w:val="231F1F"/>
          <w:spacing w:val="-13"/>
          <w:w w:val="110"/>
          <w:sz w:val="22"/>
        </w:rPr>
        <w:t> </w:t>
      </w:r>
      <w:r>
        <w:rPr>
          <w:color w:val="231F1F"/>
          <w:w w:val="110"/>
          <w:sz w:val="22"/>
        </w:rPr>
        <w:t>ensayos;</w:t>
      </w:r>
      <w:r>
        <w:rPr>
          <w:color w:val="231F1F"/>
          <w:spacing w:val="-13"/>
          <w:w w:val="110"/>
          <w:sz w:val="22"/>
        </w:rPr>
        <w:t> </w:t>
      </w:r>
      <w:r>
        <w:rPr>
          <w:color w:val="231F1F"/>
          <w:w w:val="110"/>
          <w:sz w:val="22"/>
        </w:rPr>
        <w:t>n=13.391);</w:t>
      </w:r>
      <w:r>
        <w:rPr>
          <w:color w:val="231F1F"/>
          <w:spacing w:val="-13"/>
          <w:w w:val="110"/>
          <w:sz w:val="22"/>
        </w:rPr>
        <w:t> </w:t>
      </w:r>
      <w:r>
        <w:rPr>
          <w:color w:val="231F1F"/>
          <w:w w:val="110"/>
          <w:sz w:val="22"/>
        </w:rPr>
        <w:t>RR</w:t>
      </w:r>
      <w:r>
        <w:rPr>
          <w:color w:val="231F1F"/>
          <w:spacing w:val="-13"/>
          <w:w w:val="110"/>
          <w:sz w:val="22"/>
        </w:rPr>
        <w:t> </w:t>
      </w:r>
      <w:r>
        <w:rPr>
          <w:color w:val="231F1F"/>
          <w:w w:val="110"/>
          <w:sz w:val="22"/>
        </w:rPr>
        <w:t>0,91</w:t>
      </w:r>
      <w:r>
        <w:rPr>
          <w:color w:val="231F1F"/>
          <w:spacing w:val="-13"/>
          <w:w w:val="110"/>
          <w:sz w:val="22"/>
        </w:rPr>
        <w:t> </w:t>
      </w:r>
      <w:r>
        <w:rPr>
          <w:color w:val="231F1F"/>
          <w:w w:val="110"/>
          <w:sz w:val="22"/>
        </w:rPr>
        <w:t>[IC</w:t>
      </w:r>
      <w:r>
        <w:rPr>
          <w:color w:val="231F1F"/>
          <w:spacing w:val="-13"/>
          <w:w w:val="110"/>
          <w:sz w:val="22"/>
        </w:rPr>
        <w:t> </w:t>
      </w:r>
      <w:r>
        <w:rPr>
          <w:color w:val="231F1F"/>
          <w:w w:val="110"/>
          <w:sz w:val="22"/>
        </w:rPr>
        <w:t>del 95% 0,83 a 0,99]</w:t>
      </w:r>
    </w:p>
    <w:p>
      <w:pPr>
        <w:pStyle w:val="ListParagraph"/>
        <w:numPr>
          <w:ilvl w:val="0"/>
          <w:numId w:val="14"/>
        </w:numPr>
        <w:tabs>
          <w:tab w:pos="955" w:val="left" w:leader="none"/>
        </w:tabs>
        <w:spacing w:line="244" w:lineRule="auto" w:before="166" w:after="0"/>
        <w:ind w:left="955" w:right="294" w:hanging="220"/>
        <w:jc w:val="left"/>
        <w:rPr>
          <w:sz w:val="22"/>
        </w:rPr>
      </w:pPr>
      <w:r>
        <w:rPr>
          <w:color w:val="231F1F"/>
          <w:w w:val="105"/>
          <w:sz w:val="22"/>
        </w:rPr>
        <w:t>Informar</w:t>
      </w:r>
      <w:r>
        <w:rPr>
          <w:color w:val="231F1F"/>
          <w:spacing w:val="28"/>
          <w:w w:val="105"/>
          <w:sz w:val="22"/>
        </w:rPr>
        <w:t> </w:t>
      </w:r>
      <w:r>
        <w:rPr>
          <w:color w:val="231F1F"/>
          <w:w w:val="105"/>
          <w:sz w:val="22"/>
        </w:rPr>
        <w:t>insatisfacción</w:t>
      </w:r>
      <w:r>
        <w:rPr>
          <w:color w:val="231F1F"/>
          <w:spacing w:val="28"/>
          <w:w w:val="105"/>
          <w:sz w:val="22"/>
        </w:rPr>
        <w:t> </w:t>
      </w:r>
      <w:r>
        <w:rPr>
          <w:color w:val="231F1F"/>
          <w:w w:val="105"/>
          <w:sz w:val="22"/>
        </w:rPr>
        <w:t>con</w:t>
      </w:r>
      <w:r>
        <w:rPr>
          <w:color w:val="231F1F"/>
          <w:spacing w:val="30"/>
          <w:w w:val="105"/>
          <w:sz w:val="22"/>
        </w:rPr>
        <w:t> </w:t>
      </w:r>
      <w:r>
        <w:rPr>
          <w:color w:val="231F1F"/>
          <w:w w:val="105"/>
          <w:sz w:val="22"/>
        </w:rPr>
        <w:t>la</w:t>
      </w:r>
      <w:r>
        <w:rPr>
          <w:color w:val="231F1F"/>
          <w:spacing w:val="30"/>
          <w:w w:val="105"/>
          <w:sz w:val="22"/>
        </w:rPr>
        <w:t> </w:t>
      </w:r>
      <w:r>
        <w:rPr>
          <w:color w:val="231F1F"/>
          <w:w w:val="105"/>
          <w:sz w:val="22"/>
        </w:rPr>
        <w:t>experiencia</w:t>
      </w:r>
      <w:r>
        <w:rPr>
          <w:color w:val="231F1F"/>
          <w:spacing w:val="30"/>
          <w:w w:val="105"/>
          <w:sz w:val="22"/>
        </w:rPr>
        <w:t> </w:t>
      </w:r>
      <w:r>
        <w:rPr>
          <w:color w:val="231F1F"/>
          <w:w w:val="105"/>
          <w:sz w:val="22"/>
        </w:rPr>
        <w:t>de</w:t>
      </w:r>
      <w:r>
        <w:rPr>
          <w:color w:val="231F1F"/>
          <w:spacing w:val="28"/>
          <w:w w:val="105"/>
          <w:sz w:val="22"/>
        </w:rPr>
        <w:t> </w:t>
      </w:r>
      <w:r>
        <w:rPr>
          <w:color w:val="231F1F"/>
          <w:w w:val="105"/>
          <w:sz w:val="22"/>
        </w:rPr>
        <w:t>parto</w:t>
      </w:r>
      <w:r>
        <w:rPr>
          <w:color w:val="231F1F"/>
          <w:spacing w:val="28"/>
          <w:w w:val="105"/>
          <w:sz w:val="22"/>
        </w:rPr>
        <w:t> </w:t>
      </w:r>
      <w:r>
        <w:rPr>
          <w:color w:val="231F1F"/>
          <w:w w:val="105"/>
          <w:sz w:val="22"/>
        </w:rPr>
        <w:t>(seis</w:t>
      </w:r>
      <w:r>
        <w:rPr>
          <w:color w:val="231F1F"/>
          <w:spacing w:val="30"/>
          <w:w w:val="105"/>
          <w:sz w:val="22"/>
        </w:rPr>
        <w:t> </w:t>
      </w:r>
      <w:r>
        <w:rPr>
          <w:color w:val="231F1F"/>
          <w:w w:val="105"/>
          <w:sz w:val="22"/>
        </w:rPr>
        <w:t>ensayos; n=9.824); RR 0,73 [IC del 95% 0,65 a 0,83]</w:t>
      </w:r>
    </w:p>
    <w:p>
      <w:pPr>
        <w:pStyle w:val="ListParagraph"/>
        <w:numPr>
          <w:ilvl w:val="0"/>
          <w:numId w:val="14"/>
        </w:numPr>
        <w:tabs>
          <w:tab w:pos="955" w:val="left" w:leader="none"/>
        </w:tabs>
        <w:spacing w:line="240" w:lineRule="auto" w:before="166" w:after="0"/>
        <w:ind w:left="955" w:right="50" w:hanging="220"/>
        <w:jc w:val="both"/>
        <w:rPr>
          <w:sz w:val="22"/>
        </w:rPr>
      </w:pPr>
      <w:r>
        <w:rPr>
          <w:color w:val="231F1F"/>
          <w:w w:val="105"/>
          <w:sz w:val="22"/>
        </w:rPr>
        <w:t>Duración</w:t>
      </w:r>
      <w:r>
        <w:rPr>
          <w:color w:val="231F1F"/>
          <w:w w:val="105"/>
          <w:sz w:val="22"/>
        </w:rPr>
        <w:t> algo</w:t>
      </w:r>
      <w:r>
        <w:rPr>
          <w:color w:val="231F1F"/>
          <w:w w:val="105"/>
          <w:sz w:val="22"/>
        </w:rPr>
        <w:t> menor</w:t>
      </w:r>
      <w:r>
        <w:rPr>
          <w:color w:val="231F1F"/>
          <w:w w:val="105"/>
          <w:sz w:val="22"/>
        </w:rPr>
        <w:t> del</w:t>
      </w:r>
      <w:r>
        <w:rPr>
          <w:color w:val="231F1F"/>
          <w:w w:val="105"/>
          <w:sz w:val="22"/>
        </w:rPr>
        <w:t> trabajo</w:t>
      </w:r>
      <w:r>
        <w:rPr>
          <w:color w:val="231F1F"/>
          <w:w w:val="105"/>
          <w:sz w:val="22"/>
        </w:rPr>
        <w:t> de</w:t>
      </w:r>
      <w:r>
        <w:rPr>
          <w:color w:val="231F1F"/>
          <w:w w:val="105"/>
          <w:sz w:val="22"/>
        </w:rPr>
        <w:t> parto</w:t>
      </w:r>
      <w:r>
        <w:rPr>
          <w:color w:val="231F1F"/>
          <w:w w:val="105"/>
          <w:sz w:val="22"/>
        </w:rPr>
        <w:t> (10</w:t>
      </w:r>
      <w:r>
        <w:rPr>
          <w:color w:val="231F1F"/>
          <w:w w:val="105"/>
          <w:sz w:val="22"/>
        </w:rPr>
        <w:t> ensayos;</w:t>
      </w:r>
      <w:r>
        <w:rPr>
          <w:color w:val="231F1F"/>
          <w:w w:val="105"/>
          <w:sz w:val="22"/>
        </w:rPr>
        <w:t> n</w:t>
      </w:r>
      <w:r>
        <w:rPr>
          <w:color w:val="231F1F"/>
          <w:w w:val="105"/>
          <w:sz w:val="22"/>
        </w:rPr>
        <w:t> =</w:t>
      </w:r>
      <w:r>
        <w:rPr>
          <w:color w:val="231F1F"/>
          <w:w w:val="105"/>
          <w:sz w:val="22"/>
        </w:rPr>
        <w:t> 10.922); DMP -0,43 horas; [IC del 95%: -0,83 a -0,04].</w:t>
      </w:r>
    </w:p>
    <w:p>
      <w:pPr>
        <w:pStyle w:val="BodyText"/>
        <w:spacing w:line="249" w:lineRule="auto" w:before="84"/>
        <w:ind w:left="283" w:firstLine="453"/>
        <w:jc w:val="both"/>
      </w:pPr>
      <w:r>
        <w:rPr>
          <w:color w:val="231F1F"/>
        </w:rPr>
        <w:t>Uno de los objetivos secundarios del estudio era determinar si los efectos</w:t>
      </w:r>
      <w:r>
        <w:rPr>
          <w:color w:val="231F1F"/>
          <w:spacing w:val="80"/>
          <w:w w:val="150"/>
        </w:rPr>
        <w:t> </w:t>
      </w:r>
      <w:r>
        <w:rPr>
          <w:color w:val="231F1F"/>
        </w:rPr>
        <w:t>del</w:t>
      </w:r>
      <w:r>
        <w:rPr>
          <w:color w:val="231F1F"/>
          <w:spacing w:val="32"/>
        </w:rPr>
        <w:t> </w:t>
      </w:r>
      <w:r>
        <w:rPr>
          <w:color w:val="231F1F"/>
        </w:rPr>
        <w:t>apoyo</w:t>
      </w:r>
      <w:r>
        <w:rPr>
          <w:color w:val="231F1F"/>
          <w:spacing w:val="32"/>
        </w:rPr>
        <w:t> </w:t>
      </w:r>
      <w:r>
        <w:rPr>
          <w:color w:val="231F1F"/>
        </w:rPr>
        <w:t>continuo</w:t>
      </w:r>
      <w:r>
        <w:rPr>
          <w:color w:val="231F1F"/>
          <w:spacing w:val="31"/>
        </w:rPr>
        <w:t> </w:t>
      </w:r>
      <w:r>
        <w:rPr>
          <w:color w:val="231F1F"/>
        </w:rPr>
        <w:t>son</w:t>
      </w:r>
      <w:r>
        <w:rPr>
          <w:color w:val="231F1F"/>
          <w:spacing w:val="32"/>
        </w:rPr>
        <w:t> </w:t>
      </w:r>
      <w:r>
        <w:rPr>
          <w:color w:val="231F1F"/>
        </w:rPr>
        <w:t>influidos</w:t>
      </w:r>
      <w:r>
        <w:rPr>
          <w:color w:val="231F1F"/>
          <w:spacing w:val="33"/>
        </w:rPr>
        <w:t> </w:t>
      </w:r>
      <w:r>
        <w:rPr>
          <w:color w:val="231F1F"/>
        </w:rPr>
        <w:t>por</w:t>
      </w:r>
      <w:r>
        <w:rPr>
          <w:color w:val="231F1F"/>
          <w:spacing w:val="32"/>
        </w:rPr>
        <w:t> </w:t>
      </w:r>
      <w:r>
        <w:rPr>
          <w:color w:val="231F1F"/>
        </w:rPr>
        <w:t>las</w:t>
      </w:r>
      <w:r>
        <w:rPr>
          <w:color w:val="231F1F"/>
          <w:spacing w:val="32"/>
        </w:rPr>
        <w:t> </w:t>
      </w:r>
      <w:r>
        <w:rPr>
          <w:color w:val="231F1F"/>
        </w:rPr>
        <w:t>prácticas</w:t>
      </w:r>
      <w:r>
        <w:rPr>
          <w:color w:val="231F1F"/>
          <w:spacing w:val="32"/>
        </w:rPr>
        <w:t> </w:t>
      </w:r>
      <w:r>
        <w:rPr>
          <w:color w:val="231F1F"/>
        </w:rPr>
        <w:t>y</w:t>
      </w:r>
      <w:r>
        <w:rPr>
          <w:color w:val="231F1F"/>
          <w:spacing w:val="32"/>
        </w:rPr>
        <w:t> </w:t>
      </w:r>
      <w:r>
        <w:rPr>
          <w:color w:val="231F1F"/>
        </w:rPr>
        <w:t>las</w:t>
      </w:r>
      <w:r>
        <w:rPr>
          <w:color w:val="231F1F"/>
          <w:spacing w:val="32"/>
        </w:rPr>
        <w:t> </w:t>
      </w:r>
      <w:r>
        <w:rPr>
          <w:color w:val="231F1F"/>
        </w:rPr>
        <w:t>políticas</w:t>
      </w:r>
      <w:r>
        <w:rPr>
          <w:color w:val="231F1F"/>
          <w:spacing w:val="32"/>
        </w:rPr>
        <w:t> </w:t>
      </w:r>
      <w:r>
        <w:rPr>
          <w:color w:val="231F1F"/>
        </w:rPr>
        <w:t>habituales</w:t>
      </w:r>
      <w:r>
        <w:rPr>
          <w:color w:val="231F1F"/>
          <w:spacing w:val="31"/>
        </w:rPr>
        <w:t> </w:t>
      </w:r>
      <w:r>
        <w:rPr>
          <w:color w:val="231F1F"/>
        </w:rPr>
        <w:t>en </w:t>
      </w:r>
      <w:r>
        <w:rPr>
          <w:color w:val="231F1F"/>
          <w:w w:val="110"/>
        </w:rPr>
        <w:t>el ámbito de parto que pueden afectar a la autonomía, la libertad de movi- miento</w:t>
      </w:r>
      <w:r>
        <w:rPr>
          <w:color w:val="231F1F"/>
          <w:spacing w:val="-16"/>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capacidad</w:t>
      </w:r>
      <w:r>
        <w:rPr>
          <w:color w:val="231F1F"/>
          <w:spacing w:val="-15"/>
          <w:w w:val="110"/>
        </w:rPr>
        <w:t> </w:t>
      </w:r>
      <w:r>
        <w:rPr>
          <w:color w:val="231F1F"/>
          <w:w w:val="110"/>
        </w:rPr>
        <w:t>de</w:t>
      </w:r>
      <w:r>
        <w:rPr>
          <w:color w:val="231F1F"/>
          <w:spacing w:val="-15"/>
          <w:w w:val="110"/>
        </w:rPr>
        <w:t> </w:t>
      </w:r>
      <w:r>
        <w:rPr>
          <w:color w:val="231F1F"/>
          <w:w w:val="110"/>
        </w:rPr>
        <w:t>enfrentar</w:t>
      </w:r>
      <w:r>
        <w:rPr>
          <w:color w:val="231F1F"/>
          <w:spacing w:val="-15"/>
          <w:w w:val="110"/>
        </w:rPr>
        <w:t> </w:t>
      </w:r>
      <w:r>
        <w:rPr>
          <w:color w:val="231F1F"/>
          <w:w w:val="110"/>
        </w:rPr>
        <w:t>el</w:t>
      </w:r>
      <w:r>
        <w:rPr>
          <w:color w:val="231F1F"/>
          <w:spacing w:val="-15"/>
          <w:w w:val="110"/>
        </w:rPr>
        <w:t> </w:t>
      </w:r>
      <w:r>
        <w:rPr>
          <w:color w:val="231F1F"/>
          <w:w w:val="110"/>
        </w:rPr>
        <w:t>trabajo</w:t>
      </w:r>
      <w:r>
        <w:rPr>
          <w:color w:val="231F1F"/>
          <w:spacing w:val="-15"/>
          <w:w w:val="110"/>
        </w:rPr>
        <w:t> </w:t>
      </w:r>
      <w:r>
        <w:rPr>
          <w:color w:val="231F1F"/>
          <w:w w:val="110"/>
        </w:rPr>
        <w:t>de</w:t>
      </w:r>
      <w:r>
        <w:rPr>
          <w:color w:val="231F1F"/>
          <w:spacing w:val="-16"/>
          <w:w w:val="110"/>
        </w:rPr>
        <w:t> </w:t>
      </w:r>
      <w:r>
        <w:rPr>
          <w:color w:val="231F1F"/>
          <w:w w:val="110"/>
        </w:rPr>
        <w:t>parto</w:t>
      </w:r>
      <w:r>
        <w:rPr>
          <w:color w:val="231F1F"/>
          <w:spacing w:val="-15"/>
          <w:w w:val="110"/>
        </w:rPr>
        <w:t> </w:t>
      </w:r>
      <w:r>
        <w:rPr>
          <w:color w:val="231F1F"/>
          <w:w w:val="110"/>
        </w:rPr>
        <w:t>de</w:t>
      </w:r>
      <w:r>
        <w:rPr>
          <w:color w:val="231F1F"/>
          <w:spacing w:val="-15"/>
          <w:w w:val="110"/>
        </w:rPr>
        <w:t> </w:t>
      </w:r>
      <w:r>
        <w:rPr>
          <w:color w:val="231F1F"/>
          <w:w w:val="110"/>
        </w:rPr>
        <w:t>una</w:t>
      </w:r>
      <w:r>
        <w:rPr>
          <w:color w:val="231F1F"/>
          <w:spacing w:val="-15"/>
          <w:w w:val="110"/>
        </w:rPr>
        <w:t> </w:t>
      </w:r>
      <w:r>
        <w:rPr>
          <w:color w:val="231F1F"/>
          <w:w w:val="110"/>
        </w:rPr>
        <w:t>mujer.</w:t>
      </w:r>
      <w:r>
        <w:rPr>
          <w:color w:val="231F1F"/>
          <w:spacing w:val="-15"/>
          <w:w w:val="110"/>
        </w:rPr>
        <w:t> </w:t>
      </w:r>
      <w:r>
        <w:rPr>
          <w:color w:val="231F1F"/>
          <w:w w:val="110"/>
        </w:rPr>
        <w:t>Para</w:t>
      </w:r>
      <w:r>
        <w:rPr>
          <w:color w:val="231F1F"/>
          <w:spacing w:val="-15"/>
          <w:w w:val="110"/>
        </w:rPr>
        <w:t> </w:t>
      </w:r>
      <w:r>
        <w:rPr>
          <w:color w:val="231F1F"/>
          <w:w w:val="110"/>
        </w:rPr>
        <w:t>ello se realizó un análisis de subgrupos de centros en los que se permitía a las mujeres contar con el acompañamiento de personas de su propia elección durante el parto, frente a centros en los que no se les permitía contar con personas de apoyo de su elección.</w:t>
      </w:r>
    </w:p>
    <w:p>
      <w:pPr>
        <w:pStyle w:val="BodyText"/>
        <w:spacing w:line="244" w:lineRule="auto" w:before="127"/>
        <w:ind w:left="283" w:right="7" w:firstLine="453"/>
        <w:jc w:val="both"/>
      </w:pPr>
      <w:r>
        <w:rPr>
          <w:color w:val="231F1F"/>
          <w:w w:val="110"/>
        </w:rPr>
        <w:t>En</w:t>
      </w:r>
      <w:r>
        <w:rPr>
          <w:color w:val="231F1F"/>
          <w:spacing w:val="-8"/>
          <w:w w:val="110"/>
        </w:rPr>
        <w:t> </w:t>
      </w:r>
      <w:r>
        <w:rPr>
          <w:color w:val="231F1F"/>
          <w:w w:val="110"/>
        </w:rPr>
        <w:t>el</w:t>
      </w:r>
      <w:r>
        <w:rPr>
          <w:color w:val="231F1F"/>
          <w:spacing w:val="-8"/>
          <w:w w:val="110"/>
        </w:rPr>
        <w:t> </w:t>
      </w:r>
      <w:r>
        <w:rPr>
          <w:color w:val="231F1F"/>
          <w:w w:val="110"/>
        </w:rPr>
        <w:t>análisis</w:t>
      </w:r>
      <w:r>
        <w:rPr>
          <w:color w:val="231F1F"/>
          <w:spacing w:val="-8"/>
          <w:w w:val="110"/>
        </w:rPr>
        <w:t> </w:t>
      </w:r>
      <w:r>
        <w:rPr>
          <w:color w:val="231F1F"/>
          <w:w w:val="110"/>
        </w:rPr>
        <w:t>de</w:t>
      </w:r>
      <w:r>
        <w:rPr>
          <w:color w:val="231F1F"/>
          <w:spacing w:val="-8"/>
          <w:w w:val="110"/>
        </w:rPr>
        <w:t> </w:t>
      </w:r>
      <w:r>
        <w:rPr>
          <w:color w:val="231F1F"/>
          <w:w w:val="110"/>
        </w:rPr>
        <w:t>subgrupos</w:t>
      </w:r>
      <w:r>
        <w:rPr>
          <w:color w:val="231F1F"/>
          <w:spacing w:val="-9"/>
          <w:w w:val="110"/>
        </w:rPr>
        <w:t> </w:t>
      </w:r>
      <w:r>
        <w:rPr>
          <w:color w:val="231F1F"/>
          <w:w w:val="110"/>
        </w:rPr>
        <w:t>por</w:t>
      </w:r>
      <w:r>
        <w:rPr>
          <w:color w:val="231F1F"/>
          <w:spacing w:val="-8"/>
          <w:w w:val="110"/>
        </w:rPr>
        <w:t> </w:t>
      </w:r>
      <w:r>
        <w:rPr>
          <w:color w:val="231F1F"/>
          <w:w w:val="110"/>
        </w:rPr>
        <w:t>centros</w:t>
      </w:r>
      <w:r>
        <w:rPr>
          <w:color w:val="231F1F"/>
          <w:spacing w:val="-8"/>
          <w:w w:val="110"/>
        </w:rPr>
        <w:t> </w:t>
      </w:r>
      <w:r>
        <w:rPr>
          <w:color w:val="231F1F"/>
          <w:w w:val="110"/>
        </w:rPr>
        <w:t>donde</w:t>
      </w:r>
      <w:r>
        <w:rPr>
          <w:color w:val="231F1F"/>
          <w:spacing w:val="-8"/>
          <w:w w:val="110"/>
        </w:rPr>
        <w:t> </w:t>
      </w:r>
      <w:r>
        <w:rPr>
          <w:color w:val="231F1F"/>
          <w:w w:val="110"/>
        </w:rPr>
        <w:t>se</w:t>
      </w:r>
      <w:r>
        <w:rPr>
          <w:color w:val="231F1F"/>
          <w:spacing w:val="-8"/>
          <w:w w:val="110"/>
        </w:rPr>
        <w:t> </w:t>
      </w:r>
      <w:r>
        <w:rPr>
          <w:color w:val="231F1F"/>
          <w:w w:val="110"/>
        </w:rPr>
        <w:t>permite</w:t>
      </w:r>
      <w:r>
        <w:rPr>
          <w:color w:val="231F1F"/>
          <w:spacing w:val="-8"/>
          <w:w w:val="110"/>
        </w:rPr>
        <w:t> </w:t>
      </w:r>
      <w:r>
        <w:rPr>
          <w:color w:val="231F1F"/>
          <w:w w:val="110"/>
        </w:rPr>
        <w:t>o</w:t>
      </w:r>
      <w:r>
        <w:rPr>
          <w:color w:val="231F1F"/>
          <w:spacing w:val="-8"/>
          <w:w w:val="110"/>
        </w:rPr>
        <w:t> </w:t>
      </w:r>
      <w:r>
        <w:rPr>
          <w:color w:val="231F1F"/>
          <w:w w:val="110"/>
        </w:rPr>
        <w:t>no</w:t>
      </w:r>
      <w:r>
        <w:rPr>
          <w:color w:val="231F1F"/>
          <w:spacing w:val="-8"/>
          <w:w w:val="110"/>
        </w:rPr>
        <w:t> </w:t>
      </w:r>
      <w:r>
        <w:rPr>
          <w:color w:val="231F1F"/>
          <w:w w:val="110"/>
        </w:rPr>
        <w:t>el</w:t>
      </w:r>
      <w:r>
        <w:rPr>
          <w:color w:val="231F1F"/>
          <w:spacing w:val="-8"/>
          <w:w w:val="110"/>
        </w:rPr>
        <w:t> </w:t>
      </w:r>
      <w:r>
        <w:rPr>
          <w:color w:val="231F1F"/>
          <w:w w:val="110"/>
        </w:rPr>
        <w:t>acom- pañamiento</w:t>
      </w:r>
      <w:r>
        <w:rPr>
          <w:color w:val="231F1F"/>
          <w:spacing w:val="-16"/>
          <w:w w:val="110"/>
        </w:rPr>
        <w:t> </w:t>
      </w:r>
      <w:r>
        <w:rPr>
          <w:color w:val="231F1F"/>
          <w:w w:val="110"/>
        </w:rPr>
        <w:t>la</w:t>
      </w:r>
      <w:r>
        <w:rPr>
          <w:color w:val="231F1F"/>
          <w:spacing w:val="-15"/>
          <w:w w:val="110"/>
        </w:rPr>
        <w:t> </w:t>
      </w:r>
      <w:r>
        <w:rPr>
          <w:color w:val="231F1F"/>
          <w:w w:val="110"/>
        </w:rPr>
        <w:t>comparación</w:t>
      </w:r>
      <w:r>
        <w:rPr>
          <w:color w:val="231F1F"/>
          <w:spacing w:val="-15"/>
          <w:w w:val="110"/>
        </w:rPr>
        <w:t> </w:t>
      </w:r>
      <w:r>
        <w:rPr>
          <w:color w:val="231F1F"/>
          <w:w w:val="110"/>
        </w:rPr>
        <w:t>entre</w:t>
      </w:r>
      <w:r>
        <w:rPr>
          <w:color w:val="231F1F"/>
          <w:spacing w:val="-15"/>
          <w:w w:val="110"/>
        </w:rPr>
        <w:t> </w:t>
      </w:r>
      <w:r>
        <w:rPr>
          <w:color w:val="231F1F"/>
          <w:w w:val="110"/>
        </w:rPr>
        <w:t>mujeres</w:t>
      </w:r>
      <w:r>
        <w:rPr>
          <w:color w:val="231F1F"/>
          <w:spacing w:val="-15"/>
          <w:w w:val="110"/>
        </w:rPr>
        <w:t> </w:t>
      </w:r>
      <w:r>
        <w:rPr>
          <w:color w:val="231F1F"/>
          <w:w w:val="110"/>
        </w:rPr>
        <w:t>que</w:t>
      </w:r>
      <w:r>
        <w:rPr>
          <w:color w:val="231F1F"/>
          <w:spacing w:val="-15"/>
          <w:w w:val="110"/>
        </w:rPr>
        <w:t> </w:t>
      </w:r>
      <w:r>
        <w:rPr>
          <w:color w:val="231F1F"/>
          <w:w w:val="110"/>
        </w:rPr>
        <w:t>recibían</w:t>
      </w:r>
      <w:r>
        <w:rPr>
          <w:color w:val="231F1F"/>
          <w:spacing w:val="-15"/>
          <w:w w:val="110"/>
        </w:rPr>
        <w:t> </w:t>
      </w:r>
      <w:r>
        <w:rPr>
          <w:color w:val="231F1F"/>
          <w:w w:val="110"/>
        </w:rPr>
        <w:t>apoyo</w:t>
      </w:r>
      <w:r>
        <w:rPr>
          <w:color w:val="231F1F"/>
          <w:spacing w:val="-15"/>
          <w:w w:val="110"/>
        </w:rPr>
        <w:t> </w:t>
      </w:r>
      <w:r>
        <w:rPr>
          <w:color w:val="231F1F"/>
          <w:w w:val="110"/>
        </w:rPr>
        <w:t>continuo</w:t>
      </w:r>
      <w:r>
        <w:rPr>
          <w:color w:val="231F1F"/>
          <w:spacing w:val="-16"/>
          <w:w w:val="110"/>
        </w:rPr>
        <w:t> </w:t>
      </w:r>
      <w:r>
        <w:rPr>
          <w:color w:val="231F1F"/>
          <w:w w:val="110"/>
        </w:rPr>
        <w:t>fren- te al habitual mostraba los siguientes resultados:</w:t>
      </w:r>
    </w:p>
    <w:p>
      <w:pPr>
        <w:pStyle w:val="BodyText"/>
        <w:spacing w:line="254" w:lineRule="auto" w:before="143"/>
        <w:ind w:left="283" w:right="1" w:firstLine="453"/>
        <w:jc w:val="both"/>
      </w:pPr>
      <w:r>
        <w:rPr>
          <w:color w:val="231F1F"/>
          <w:w w:val="105"/>
        </w:rPr>
        <w:t>En centros que permitían acompañamiento, la probabilidad de recibir anestesia</w:t>
      </w:r>
      <w:r>
        <w:rPr>
          <w:color w:val="231F1F"/>
          <w:spacing w:val="-12"/>
          <w:w w:val="105"/>
        </w:rPr>
        <w:t> </w:t>
      </w:r>
      <w:r>
        <w:rPr>
          <w:color w:val="231F1F"/>
          <w:w w:val="105"/>
        </w:rPr>
        <w:t>durante</w:t>
      </w:r>
      <w:r>
        <w:rPr>
          <w:color w:val="231F1F"/>
          <w:spacing w:val="-13"/>
          <w:w w:val="105"/>
        </w:rPr>
        <w:t> </w:t>
      </w:r>
      <w:r>
        <w:rPr>
          <w:color w:val="231F1F"/>
          <w:w w:val="105"/>
        </w:rPr>
        <w:t>el</w:t>
      </w:r>
      <w:r>
        <w:rPr>
          <w:color w:val="231F1F"/>
          <w:spacing w:val="-13"/>
          <w:w w:val="105"/>
        </w:rPr>
        <w:t> </w:t>
      </w:r>
      <w:r>
        <w:rPr>
          <w:color w:val="231F1F"/>
          <w:w w:val="105"/>
        </w:rPr>
        <w:t>parto</w:t>
      </w:r>
      <w:r>
        <w:rPr>
          <w:color w:val="231F1F"/>
          <w:spacing w:val="-13"/>
          <w:w w:val="105"/>
        </w:rPr>
        <w:t> </w:t>
      </w:r>
      <w:r>
        <w:rPr>
          <w:color w:val="231F1F"/>
          <w:w w:val="105"/>
        </w:rPr>
        <w:t>fue:</w:t>
      </w:r>
      <w:r>
        <w:rPr>
          <w:color w:val="231F1F"/>
          <w:spacing w:val="-13"/>
          <w:w w:val="105"/>
        </w:rPr>
        <w:t> </w:t>
      </w:r>
      <w:r>
        <w:rPr>
          <w:color w:val="231F1F"/>
          <w:w w:val="105"/>
        </w:rPr>
        <w:t>RR</w:t>
      </w:r>
      <w:r>
        <w:rPr>
          <w:color w:val="231F1F"/>
          <w:spacing w:val="-13"/>
          <w:w w:val="105"/>
        </w:rPr>
        <w:t> </w:t>
      </w:r>
      <w:r>
        <w:rPr>
          <w:color w:val="231F1F"/>
          <w:w w:val="105"/>
        </w:rPr>
        <w:t>0,97</w:t>
      </w:r>
      <w:r>
        <w:rPr>
          <w:color w:val="231F1F"/>
          <w:spacing w:val="-13"/>
          <w:w w:val="105"/>
        </w:rPr>
        <w:t> </w:t>
      </w:r>
      <w:r>
        <w:rPr>
          <w:color w:val="231F1F"/>
          <w:w w:val="105"/>
        </w:rPr>
        <w:t>[IC</w:t>
      </w:r>
      <w:r>
        <w:rPr>
          <w:color w:val="231F1F"/>
          <w:spacing w:val="-13"/>
          <w:w w:val="105"/>
        </w:rPr>
        <w:t> </w:t>
      </w:r>
      <w:r>
        <w:rPr>
          <w:color w:val="231F1F"/>
          <w:w w:val="105"/>
        </w:rPr>
        <w:t>del</w:t>
      </w:r>
      <w:r>
        <w:rPr>
          <w:color w:val="231F1F"/>
          <w:spacing w:val="-13"/>
          <w:w w:val="105"/>
        </w:rPr>
        <w:t> </w:t>
      </w:r>
      <w:r>
        <w:rPr>
          <w:color w:val="231F1F"/>
          <w:w w:val="105"/>
        </w:rPr>
        <w:t>95%</w:t>
      </w:r>
      <w:r>
        <w:rPr>
          <w:color w:val="231F1F"/>
          <w:spacing w:val="-13"/>
          <w:w w:val="105"/>
        </w:rPr>
        <w:t> </w:t>
      </w:r>
      <w:r>
        <w:rPr>
          <w:color w:val="231F1F"/>
          <w:w w:val="105"/>
        </w:rPr>
        <w:t>0,96</w:t>
      </w:r>
      <w:r>
        <w:rPr>
          <w:color w:val="231F1F"/>
          <w:spacing w:val="-13"/>
          <w:w w:val="105"/>
        </w:rPr>
        <w:t> </w:t>
      </w:r>
      <w:r>
        <w:rPr>
          <w:color w:val="231F1F"/>
          <w:w w:val="105"/>
        </w:rPr>
        <w:t>a</w:t>
      </w:r>
      <w:r>
        <w:rPr>
          <w:color w:val="231F1F"/>
          <w:spacing w:val="-13"/>
          <w:w w:val="105"/>
        </w:rPr>
        <w:t> </w:t>
      </w:r>
      <w:r>
        <w:rPr>
          <w:color w:val="231F1F"/>
          <w:w w:val="105"/>
        </w:rPr>
        <w:t>0,99]</w:t>
      </w:r>
      <w:r>
        <w:rPr>
          <w:color w:val="231F1F"/>
          <w:spacing w:val="-13"/>
          <w:w w:val="105"/>
        </w:rPr>
        <w:t> </w:t>
      </w:r>
      <w:r>
        <w:rPr>
          <w:color w:val="231F1F"/>
          <w:w w:val="105"/>
        </w:rPr>
        <w:t>y</w:t>
      </w:r>
      <w:r>
        <w:rPr>
          <w:color w:val="231F1F"/>
          <w:spacing w:val="-13"/>
          <w:w w:val="105"/>
        </w:rPr>
        <w:t> </w:t>
      </w:r>
      <w:r>
        <w:rPr>
          <w:color w:val="231F1F"/>
          <w:w w:val="105"/>
        </w:rPr>
        <w:t>en</w:t>
      </w:r>
      <w:r>
        <w:rPr>
          <w:color w:val="231F1F"/>
          <w:spacing w:val="-13"/>
          <w:w w:val="105"/>
        </w:rPr>
        <w:t> </w:t>
      </w:r>
      <w:r>
        <w:rPr>
          <w:color w:val="231F1F"/>
          <w:w w:val="105"/>
        </w:rPr>
        <w:t>los</w:t>
      </w:r>
      <w:r>
        <w:rPr>
          <w:color w:val="231F1F"/>
          <w:spacing w:val="-13"/>
          <w:w w:val="105"/>
        </w:rPr>
        <w:t> </w:t>
      </w:r>
      <w:r>
        <w:rPr>
          <w:color w:val="231F1F"/>
          <w:w w:val="105"/>
        </w:rPr>
        <w:t>centros que no permitían acompañamiento: RR 0,72 [IC del 95% 0,49 a 1,05]. La di- </w:t>
      </w:r>
      <w:r>
        <w:rPr>
          <w:color w:val="231F1F"/>
        </w:rPr>
        <w:t>ferencia entre subgrupos no fue estadísticamente significativa (x2=3,33; p=0,07).</w:t>
      </w:r>
    </w:p>
    <w:p>
      <w:pPr>
        <w:pStyle w:val="BodyText"/>
        <w:spacing w:line="247" w:lineRule="auto" w:before="89"/>
        <w:ind w:left="283" w:right="3" w:firstLine="453"/>
        <w:jc w:val="both"/>
      </w:pPr>
      <w:r>
        <w:rPr>
          <w:color w:val="231F1F"/>
          <w:w w:val="110"/>
        </w:rPr>
        <w:t>La probabilidad de tener un </w:t>
      </w:r>
      <w:r>
        <w:rPr>
          <w:i/>
          <w:color w:val="231F1F"/>
          <w:w w:val="110"/>
        </w:rPr>
        <w:t>parto vaginal espontáneo </w:t>
      </w:r>
      <w:r>
        <w:rPr>
          <w:color w:val="231F1F"/>
          <w:w w:val="110"/>
        </w:rPr>
        <w:t>en centros que permitían acompañamiento de la persona de elección de la mujer: RR 1,03 </w:t>
      </w:r>
      <w:r>
        <w:rPr>
          <w:color w:val="231F1F"/>
          <w:spacing w:val="-2"/>
          <w:w w:val="110"/>
        </w:rPr>
        <w:t>[IC</w:t>
      </w:r>
      <w:r>
        <w:rPr>
          <w:color w:val="231F1F"/>
          <w:spacing w:val="-8"/>
          <w:w w:val="110"/>
        </w:rPr>
        <w:t> </w:t>
      </w:r>
      <w:r>
        <w:rPr>
          <w:color w:val="231F1F"/>
          <w:spacing w:val="-2"/>
          <w:w w:val="110"/>
        </w:rPr>
        <w:t>del</w:t>
      </w:r>
      <w:r>
        <w:rPr>
          <w:color w:val="231F1F"/>
          <w:spacing w:val="-10"/>
          <w:w w:val="110"/>
        </w:rPr>
        <w:t> </w:t>
      </w:r>
      <w:r>
        <w:rPr>
          <w:color w:val="231F1F"/>
          <w:spacing w:val="-2"/>
          <w:w w:val="110"/>
        </w:rPr>
        <w:t>95%</w:t>
      </w:r>
      <w:r>
        <w:rPr>
          <w:color w:val="231F1F"/>
          <w:spacing w:val="-8"/>
          <w:w w:val="110"/>
        </w:rPr>
        <w:t> </w:t>
      </w:r>
      <w:r>
        <w:rPr>
          <w:color w:val="231F1F"/>
          <w:spacing w:val="-2"/>
          <w:w w:val="110"/>
        </w:rPr>
        <w:t>1,00</w:t>
      </w:r>
      <w:r>
        <w:rPr>
          <w:color w:val="231F1F"/>
          <w:spacing w:val="-9"/>
          <w:w w:val="110"/>
        </w:rPr>
        <w:t> </w:t>
      </w:r>
      <w:r>
        <w:rPr>
          <w:color w:val="231F1F"/>
          <w:spacing w:val="-2"/>
          <w:w w:val="110"/>
        </w:rPr>
        <w:t>a</w:t>
      </w:r>
      <w:r>
        <w:rPr>
          <w:color w:val="231F1F"/>
          <w:spacing w:val="-9"/>
          <w:w w:val="110"/>
        </w:rPr>
        <w:t> </w:t>
      </w:r>
      <w:r>
        <w:rPr>
          <w:color w:val="231F1F"/>
          <w:spacing w:val="-2"/>
          <w:w w:val="110"/>
        </w:rPr>
        <w:t>1,06]</w:t>
      </w:r>
      <w:r>
        <w:rPr>
          <w:color w:val="231F1F"/>
          <w:spacing w:val="-9"/>
          <w:w w:val="110"/>
        </w:rPr>
        <w:t> </w:t>
      </w:r>
      <w:r>
        <w:rPr>
          <w:color w:val="231F1F"/>
          <w:spacing w:val="-2"/>
          <w:w w:val="110"/>
        </w:rPr>
        <w:t>fue</w:t>
      </w:r>
      <w:r>
        <w:rPr>
          <w:color w:val="231F1F"/>
          <w:spacing w:val="-9"/>
          <w:w w:val="110"/>
        </w:rPr>
        <w:t> </w:t>
      </w:r>
      <w:r>
        <w:rPr>
          <w:color w:val="231F1F"/>
          <w:spacing w:val="-2"/>
          <w:w w:val="110"/>
        </w:rPr>
        <w:t>menor</w:t>
      </w:r>
      <w:r>
        <w:rPr>
          <w:color w:val="231F1F"/>
          <w:spacing w:val="-9"/>
          <w:w w:val="110"/>
        </w:rPr>
        <w:t> </w:t>
      </w:r>
      <w:r>
        <w:rPr>
          <w:color w:val="231F1F"/>
          <w:spacing w:val="-2"/>
          <w:w w:val="110"/>
        </w:rPr>
        <w:t>que</w:t>
      </w:r>
      <w:r>
        <w:rPr>
          <w:color w:val="231F1F"/>
          <w:spacing w:val="-9"/>
          <w:w w:val="110"/>
        </w:rPr>
        <w:t> </w:t>
      </w:r>
      <w:r>
        <w:rPr>
          <w:color w:val="231F1F"/>
          <w:spacing w:val="-2"/>
          <w:w w:val="110"/>
        </w:rPr>
        <w:t>la</w:t>
      </w:r>
      <w:r>
        <w:rPr>
          <w:color w:val="231F1F"/>
          <w:spacing w:val="-9"/>
          <w:w w:val="110"/>
        </w:rPr>
        <w:t> </w:t>
      </w:r>
      <w:r>
        <w:rPr>
          <w:color w:val="231F1F"/>
          <w:spacing w:val="-2"/>
          <w:w w:val="110"/>
        </w:rPr>
        <w:t>probabilidad</w:t>
      </w:r>
      <w:r>
        <w:rPr>
          <w:color w:val="231F1F"/>
          <w:spacing w:val="-9"/>
          <w:w w:val="110"/>
        </w:rPr>
        <w:t> </w:t>
      </w:r>
      <w:r>
        <w:rPr>
          <w:color w:val="231F1F"/>
          <w:spacing w:val="-2"/>
          <w:w w:val="110"/>
        </w:rPr>
        <w:t>observada</w:t>
      </w:r>
      <w:r>
        <w:rPr>
          <w:color w:val="231F1F"/>
          <w:spacing w:val="-9"/>
          <w:w w:val="110"/>
        </w:rPr>
        <w:t> </w:t>
      </w:r>
      <w:r>
        <w:rPr>
          <w:color w:val="231F1F"/>
          <w:spacing w:val="-2"/>
          <w:w w:val="110"/>
        </w:rPr>
        <w:t>en</w:t>
      </w:r>
      <w:r>
        <w:rPr>
          <w:color w:val="231F1F"/>
          <w:spacing w:val="-9"/>
          <w:w w:val="110"/>
        </w:rPr>
        <w:t> </w:t>
      </w:r>
      <w:r>
        <w:rPr>
          <w:color w:val="231F1F"/>
          <w:spacing w:val="-2"/>
          <w:w w:val="110"/>
        </w:rPr>
        <w:t>centros </w:t>
      </w:r>
      <w:r>
        <w:rPr>
          <w:color w:val="231F1F"/>
          <w:w w:val="110"/>
        </w:rPr>
        <w:t>que</w:t>
      </w:r>
      <w:r>
        <w:rPr>
          <w:color w:val="231F1F"/>
          <w:spacing w:val="-16"/>
          <w:w w:val="110"/>
        </w:rPr>
        <w:t> </w:t>
      </w:r>
      <w:r>
        <w:rPr>
          <w:color w:val="231F1F"/>
          <w:w w:val="110"/>
        </w:rPr>
        <w:t>no</w:t>
      </w:r>
      <w:r>
        <w:rPr>
          <w:color w:val="231F1F"/>
          <w:spacing w:val="-15"/>
          <w:w w:val="110"/>
        </w:rPr>
        <w:t> </w:t>
      </w:r>
      <w:r>
        <w:rPr>
          <w:color w:val="231F1F"/>
          <w:w w:val="110"/>
        </w:rPr>
        <w:t>permitían</w:t>
      </w:r>
      <w:r>
        <w:rPr>
          <w:color w:val="231F1F"/>
          <w:spacing w:val="-15"/>
          <w:w w:val="110"/>
        </w:rPr>
        <w:t> </w:t>
      </w:r>
      <w:r>
        <w:rPr>
          <w:color w:val="231F1F"/>
          <w:w w:val="110"/>
        </w:rPr>
        <w:t>dicho</w:t>
      </w:r>
      <w:r>
        <w:rPr>
          <w:color w:val="231F1F"/>
          <w:spacing w:val="-15"/>
          <w:w w:val="110"/>
        </w:rPr>
        <w:t> </w:t>
      </w:r>
      <w:r>
        <w:rPr>
          <w:color w:val="231F1F"/>
          <w:w w:val="110"/>
        </w:rPr>
        <w:t>acompañamiento:</w:t>
      </w:r>
      <w:r>
        <w:rPr>
          <w:color w:val="231F1F"/>
          <w:spacing w:val="-15"/>
          <w:w w:val="110"/>
        </w:rPr>
        <w:t> </w:t>
      </w:r>
      <w:r>
        <w:rPr>
          <w:color w:val="231F1F"/>
          <w:w w:val="110"/>
        </w:rPr>
        <w:t>RR</w:t>
      </w:r>
      <w:r>
        <w:rPr>
          <w:color w:val="231F1F"/>
          <w:spacing w:val="-14"/>
          <w:w w:val="110"/>
        </w:rPr>
        <w:t> </w:t>
      </w:r>
      <w:r>
        <w:rPr>
          <w:color w:val="231F1F"/>
          <w:w w:val="110"/>
        </w:rPr>
        <w:t>1,11</w:t>
      </w:r>
      <w:r>
        <w:rPr>
          <w:color w:val="231F1F"/>
          <w:spacing w:val="-15"/>
          <w:w w:val="110"/>
        </w:rPr>
        <w:t> </w:t>
      </w:r>
      <w:r>
        <w:rPr>
          <w:color w:val="231F1F"/>
          <w:w w:val="110"/>
        </w:rPr>
        <w:t>[IC</w:t>
      </w:r>
      <w:r>
        <w:rPr>
          <w:color w:val="231F1F"/>
          <w:spacing w:val="-14"/>
          <w:w w:val="110"/>
        </w:rPr>
        <w:t> </w:t>
      </w:r>
      <w:r>
        <w:rPr>
          <w:color w:val="231F1F"/>
          <w:w w:val="110"/>
        </w:rPr>
        <w:t>del</w:t>
      </w:r>
      <w:r>
        <w:rPr>
          <w:color w:val="231F1F"/>
          <w:spacing w:val="-16"/>
          <w:w w:val="110"/>
        </w:rPr>
        <w:t> </w:t>
      </w:r>
      <w:r>
        <w:rPr>
          <w:color w:val="231F1F"/>
          <w:w w:val="110"/>
        </w:rPr>
        <w:t>95%</w:t>
      </w:r>
      <w:r>
        <w:rPr>
          <w:color w:val="231F1F"/>
          <w:spacing w:val="-13"/>
          <w:w w:val="110"/>
        </w:rPr>
        <w:t> </w:t>
      </w:r>
      <w:r>
        <w:rPr>
          <w:color w:val="231F1F"/>
          <w:w w:val="110"/>
        </w:rPr>
        <w:t>1,04</w:t>
      </w:r>
      <w:r>
        <w:rPr>
          <w:color w:val="231F1F"/>
          <w:spacing w:val="-15"/>
          <w:w w:val="110"/>
        </w:rPr>
        <w:t> </w:t>
      </w:r>
      <w:r>
        <w:rPr>
          <w:color w:val="231F1F"/>
          <w:w w:val="110"/>
        </w:rPr>
        <w:t>a</w:t>
      </w:r>
      <w:r>
        <w:rPr>
          <w:color w:val="231F1F"/>
          <w:spacing w:val="-15"/>
          <w:w w:val="110"/>
        </w:rPr>
        <w:t> </w:t>
      </w:r>
      <w:r>
        <w:rPr>
          <w:color w:val="231F1F"/>
          <w:w w:val="110"/>
        </w:rPr>
        <w:t>1,19]. El</w:t>
      </w:r>
      <w:r>
        <w:rPr>
          <w:color w:val="231F1F"/>
          <w:spacing w:val="-13"/>
          <w:w w:val="110"/>
        </w:rPr>
        <w:t> </w:t>
      </w:r>
      <w:r>
        <w:rPr>
          <w:color w:val="231F1F"/>
          <w:w w:val="110"/>
        </w:rPr>
        <w:t>efecto</w:t>
      </w:r>
      <w:r>
        <w:rPr>
          <w:color w:val="231F1F"/>
          <w:spacing w:val="-12"/>
          <w:w w:val="110"/>
        </w:rPr>
        <w:t> </w:t>
      </w:r>
      <w:r>
        <w:rPr>
          <w:color w:val="231F1F"/>
          <w:w w:val="110"/>
        </w:rPr>
        <w:t>del</w:t>
      </w:r>
      <w:r>
        <w:rPr>
          <w:color w:val="231F1F"/>
          <w:spacing w:val="-13"/>
          <w:w w:val="110"/>
        </w:rPr>
        <w:t> </w:t>
      </w:r>
      <w:r>
        <w:rPr>
          <w:color w:val="231F1F"/>
          <w:w w:val="110"/>
        </w:rPr>
        <w:t>apoyo</w:t>
      </w:r>
      <w:r>
        <w:rPr>
          <w:color w:val="231F1F"/>
          <w:spacing w:val="-11"/>
          <w:w w:val="110"/>
        </w:rPr>
        <w:t> </w:t>
      </w:r>
      <w:r>
        <w:rPr>
          <w:color w:val="231F1F"/>
          <w:w w:val="110"/>
        </w:rPr>
        <w:t>continuo</w:t>
      </w:r>
      <w:r>
        <w:rPr>
          <w:color w:val="231F1F"/>
          <w:spacing w:val="-12"/>
          <w:w w:val="110"/>
        </w:rPr>
        <w:t> </w:t>
      </w:r>
      <w:r>
        <w:rPr>
          <w:color w:val="231F1F"/>
          <w:w w:val="110"/>
        </w:rPr>
        <w:t>parece</w:t>
      </w:r>
      <w:r>
        <w:rPr>
          <w:color w:val="231F1F"/>
          <w:spacing w:val="-13"/>
          <w:w w:val="110"/>
        </w:rPr>
        <w:t> </w:t>
      </w:r>
      <w:r>
        <w:rPr>
          <w:color w:val="231F1F"/>
          <w:w w:val="110"/>
        </w:rPr>
        <w:t>ser</w:t>
      </w:r>
      <w:r>
        <w:rPr>
          <w:color w:val="231F1F"/>
          <w:spacing w:val="-13"/>
          <w:w w:val="110"/>
        </w:rPr>
        <w:t> </w:t>
      </w:r>
      <w:r>
        <w:rPr>
          <w:color w:val="231F1F"/>
          <w:w w:val="110"/>
        </w:rPr>
        <w:t>más</w:t>
      </w:r>
      <w:r>
        <w:rPr>
          <w:color w:val="231F1F"/>
          <w:spacing w:val="-12"/>
          <w:w w:val="110"/>
        </w:rPr>
        <w:t> </w:t>
      </w:r>
      <w:r>
        <w:rPr>
          <w:color w:val="231F1F"/>
          <w:w w:val="110"/>
        </w:rPr>
        <w:t>fuerte</w:t>
      </w:r>
      <w:r>
        <w:rPr>
          <w:color w:val="231F1F"/>
          <w:spacing w:val="-12"/>
          <w:w w:val="110"/>
        </w:rPr>
        <w:t> </w:t>
      </w:r>
      <w:r>
        <w:rPr>
          <w:color w:val="231F1F"/>
          <w:w w:val="110"/>
        </w:rPr>
        <w:t>en</w:t>
      </w:r>
      <w:r>
        <w:rPr>
          <w:color w:val="231F1F"/>
          <w:spacing w:val="-12"/>
          <w:w w:val="110"/>
        </w:rPr>
        <w:t> </w:t>
      </w:r>
      <w:r>
        <w:rPr>
          <w:color w:val="231F1F"/>
          <w:w w:val="110"/>
        </w:rPr>
        <w:t>los</w:t>
      </w:r>
      <w:r>
        <w:rPr>
          <w:color w:val="231F1F"/>
          <w:spacing w:val="-12"/>
          <w:w w:val="110"/>
        </w:rPr>
        <w:t> </w:t>
      </w:r>
      <w:r>
        <w:rPr>
          <w:color w:val="231F1F"/>
          <w:w w:val="110"/>
        </w:rPr>
        <w:t>ámbitos</w:t>
      </w:r>
      <w:r>
        <w:rPr>
          <w:color w:val="231F1F"/>
          <w:spacing w:val="-13"/>
          <w:w w:val="110"/>
        </w:rPr>
        <w:t> </w:t>
      </w:r>
      <w:r>
        <w:rPr>
          <w:color w:val="231F1F"/>
          <w:w w:val="110"/>
        </w:rPr>
        <w:t>en</w:t>
      </w:r>
      <w:r>
        <w:rPr>
          <w:color w:val="231F1F"/>
          <w:spacing w:val="-12"/>
          <w:w w:val="110"/>
        </w:rPr>
        <w:t> </w:t>
      </w:r>
      <w:r>
        <w:rPr>
          <w:color w:val="231F1F"/>
          <w:w w:val="110"/>
        </w:rPr>
        <w:t>los</w:t>
      </w:r>
      <w:r>
        <w:rPr>
          <w:color w:val="231F1F"/>
          <w:spacing w:val="-12"/>
          <w:w w:val="110"/>
        </w:rPr>
        <w:t> </w:t>
      </w:r>
      <w:r>
        <w:rPr>
          <w:color w:val="231F1F"/>
          <w:w w:val="110"/>
        </w:rPr>
        <w:t>que no se permitió el acompañamiento por otras personas (x2=9,89; p&lt;0,01).</w:t>
      </w:r>
    </w:p>
    <w:p>
      <w:pPr>
        <w:pStyle w:val="BodyText"/>
        <w:spacing w:line="244" w:lineRule="auto" w:before="83"/>
        <w:ind w:left="283" w:firstLine="453"/>
        <w:jc w:val="both"/>
      </w:pPr>
      <w:r>
        <w:rPr>
          <w:color w:val="231F1F"/>
          <w:w w:val="110"/>
        </w:rPr>
        <w:t>La</w:t>
      </w:r>
      <w:r>
        <w:rPr>
          <w:color w:val="231F1F"/>
          <w:w w:val="110"/>
        </w:rPr>
        <w:t> comparación</w:t>
      </w:r>
      <w:r>
        <w:rPr>
          <w:color w:val="231F1F"/>
          <w:w w:val="110"/>
        </w:rPr>
        <w:t> de</w:t>
      </w:r>
      <w:r>
        <w:rPr>
          <w:color w:val="231F1F"/>
          <w:w w:val="110"/>
        </w:rPr>
        <w:t> la</w:t>
      </w:r>
      <w:r>
        <w:rPr>
          <w:color w:val="231F1F"/>
          <w:w w:val="110"/>
        </w:rPr>
        <w:t> probabilidad</w:t>
      </w:r>
      <w:r>
        <w:rPr>
          <w:color w:val="231F1F"/>
          <w:w w:val="110"/>
        </w:rPr>
        <w:t> de</w:t>
      </w:r>
      <w:r>
        <w:rPr>
          <w:color w:val="231F1F"/>
          <w:w w:val="110"/>
        </w:rPr>
        <w:t> tener</w:t>
      </w:r>
      <w:r>
        <w:rPr>
          <w:color w:val="231F1F"/>
          <w:w w:val="110"/>
        </w:rPr>
        <w:t> un</w:t>
      </w:r>
      <w:r>
        <w:rPr>
          <w:color w:val="231F1F"/>
          <w:w w:val="110"/>
        </w:rPr>
        <w:t> </w:t>
      </w:r>
      <w:r>
        <w:rPr>
          <w:i/>
          <w:color w:val="231F1F"/>
          <w:w w:val="110"/>
        </w:rPr>
        <w:t>parto vaginal instru- mentado</w:t>
      </w:r>
      <w:r>
        <w:rPr>
          <w:i/>
          <w:color w:val="231F1F"/>
          <w:spacing w:val="-10"/>
          <w:w w:val="110"/>
        </w:rPr>
        <w:t> </w:t>
      </w:r>
      <w:r>
        <w:rPr>
          <w:color w:val="231F1F"/>
          <w:w w:val="110"/>
        </w:rPr>
        <w:t>en centros que permitían acompañamiento: RR 0,90 [IC del 95% 0,84</w:t>
      </w:r>
      <w:r>
        <w:rPr>
          <w:color w:val="231F1F"/>
          <w:w w:val="110"/>
        </w:rPr>
        <w:t> a</w:t>
      </w:r>
      <w:r>
        <w:rPr>
          <w:color w:val="231F1F"/>
          <w:w w:val="110"/>
        </w:rPr>
        <w:t> 0,97]</w:t>
      </w:r>
      <w:r>
        <w:rPr>
          <w:color w:val="231F1F"/>
          <w:w w:val="110"/>
        </w:rPr>
        <w:t> frente</w:t>
      </w:r>
      <w:r>
        <w:rPr>
          <w:color w:val="231F1F"/>
          <w:w w:val="110"/>
        </w:rPr>
        <w:t> a</w:t>
      </w:r>
      <w:r>
        <w:rPr>
          <w:color w:val="231F1F"/>
          <w:w w:val="110"/>
        </w:rPr>
        <w:t> la</w:t>
      </w:r>
      <w:r>
        <w:rPr>
          <w:color w:val="231F1F"/>
          <w:w w:val="110"/>
        </w:rPr>
        <w:t> probabilidad</w:t>
      </w:r>
      <w:r>
        <w:rPr>
          <w:color w:val="231F1F"/>
          <w:w w:val="110"/>
        </w:rPr>
        <w:t> en</w:t>
      </w:r>
      <w:r>
        <w:rPr>
          <w:color w:val="231F1F"/>
          <w:w w:val="110"/>
        </w:rPr>
        <w:t> centros</w:t>
      </w:r>
      <w:r>
        <w:rPr>
          <w:color w:val="231F1F"/>
          <w:w w:val="110"/>
        </w:rPr>
        <w:t> que</w:t>
      </w:r>
      <w:r>
        <w:rPr>
          <w:color w:val="231F1F"/>
          <w:w w:val="110"/>
        </w:rPr>
        <w:t> no</w:t>
      </w:r>
      <w:r>
        <w:rPr>
          <w:color w:val="231F1F"/>
          <w:w w:val="110"/>
        </w:rPr>
        <w:t> lo</w:t>
      </w:r>
      <w:r>
        <w:rPr>
          <w:color w:val="231F1F"/>
          <w:w w:val="110"/>
        </w:rPr>
        <w:t> permitían:</w:t>
      </w:r>
      <w:r>
        <w:rPr>
          <w:color w:val="231F1F"/>
          <w:w w:val="110"/>
        </w:rPr>
        <w:t> RR 0,68 [IC del 95% 0,42 a 1,10], no fue estadísticamente diferente (x2=1,25; </w:t>
      </w:r>
      <w:r>
        <w:rPr>
          <w:color w:val="231F1F"/>
          <w:spacing w:val="-2"/>
          <w:w w:val="110"/>
        </w:rPr>
        <w:t>p=0,26).</w:t>
      </w:r>
    </w:p>
    <w:p>
      <w:pPr>
        <w:spacing w:line="278" w:lineRule="auto" w:before="104"/>
        <w:ind w:left="397" w:right="0" w:hanging="199"/>
        <w:jc w:val="left"/>
        <w:rPr>
          <w:rFonts w:ascii="Arial MT"/>
          <w:sz w:val="18"/>
        </w:rPr>
      </w:pPr>
      <w:r>
        <w:rPr/>
        <w:br w:type="column"/>
      </w: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0" w:right="6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2"/>
        <w:rPr>
          <w:rFonts w:ascii="Arial MT"/>
          <w:sz w:val="18"/>
        </w:rPr>
      </w:pPr>
    </w:p>
    <w:p>
      <w:pPr>
        <w:spacing w:line="278" w:lineRule="auto" w:before="0"/>
        <w:ind w:left="397" w:right="0" w:hanging="199"/>
        <w:jc w:val="left"/>
        <w:rPr>
          <w:rFonts w:ascii="Arial MT"/>
          <w:sz w:val="18"/>
        </w:rPr>
      </w:pP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0" w:right="6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9"/>
        <w:rPr>
          <w:rFonts w:ascii="Arial MT"/>
          <w:sz w:val="18"/>
        </w:rPr>
      </w:pPr>
    </w:p>
    <w:p>
      <w:pPr>
        <w:spacing w:line="283" w:lineRule="auto" w:before="0"/>
        <w:ind w:left="397" w:right="0" w:hanging="199"/>
        <w:jc w:val="left"/>
        <w:rPr>
          <w:rFonts w:ascii="Arial MT"/>
          <w:sz w:val="18"/>
        </w:rPr>
      </w:pP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189" w:lineRule="exact" w:before="0"/>
        <w:ind w:left="0" w:right="63" w:firstLine="0"/>
        <w:jc w:val="center"/>
        <w:rPr>
          <w:rFonts w:ascii="Arial MT"/>
          <w:sz w:val="18"/>
        </w:rPr>
      </w:pPr>
      <w:r>
        <w:rPr>
          <w:rFonts w:ascii="Arial MT"/>
          <w:color w:val="231F1F"/>
          <w:spacing w:val="-5"/>
          <w:sz w:val="18"/>
        </w:rPr>
        <w:t>1+</w:t>
      </w:r>
    </w:p>
    <w:p>
      <w:pPr>
        <w:spacing w:after="0" w:line="189" w:lineRule="exact"/>
        <w:jc w:val="center"/>
        <w:rPr>
          <w:rFonts w:ascii="Arial MT"/>
          <w:sz w:val="18"/>
        </w:rPr>
        <w:sectPr>
          <w:pgSz w:w="11900" w:h="16840"/>
          <w:pgMar w:header="0" w:footer="622" w:top="1580" w:bottom="820" w:left="1417" w:right="1559"/>
          <w:cols w:num="2" w:equalWidth="0">
            <w:col w:w="7556" w:space="40"/>
            <w:col w:w="1328"/>
          </w:cols>
        </w:sectPr>
      </w:pPr>
    </w:p>
    <w:p>
      <w:pPr>
        <w:pStyle w:val="BodyText"/>
        <w:tabs>
          <w:tab w:pos="7791" w:val="left" w:leader="none"/>
          <w:tab w:pos="7989" w:val="left" w:leader="none"/>
          <w:tab w:pos="8114" w:val="left" w:leader="none"/>
        </w:tabs>
        <w:spacing w:line="247" w:lineRule="auto" w:before="78"/>
        <w:ind w:left="283" w:right="312" w:firstLine="453"/>
      </w:pPr>
      <w:r>
        <w:rPr>
          <w:color w:val="231F1F"/>
          <w:w w:val="110"/>
        </w:rPr>
        <w:t>La comparación de la probabilidad de tener un </w:t>
      </w:r>
      <w:r>
        <w:rPr>
          <w:i/>
          <w:color w:val="231F1F"/>
          <w:w w:val="110"/>
        </w:rPr>
        <w:t>parto por cesárea </w:t>
      </w:r>
      <w:r>
        <w:rPr>
          <w:color w:val="231F1F"/>
          <w:w w:val="110"/>
        </w:rPr>
        <w:t>en</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centros que permitían acompañamiento: RR 0,97 [IC del 95% 0,88 a 1,07]</w:t>
      </w:r>
      <w:r>
        <w:rPr>
          <w:color w:val="231F1F"/>
        </w:rPr>
        <w:tab/>
        <w:tab/>
      </w:r>
      <w:r>
        <w:rPr>
          <w:rFonts w:ascii="Arial MT" w:hAnsi="Arial MT"/>
          <w:color w:val="231F1F"/>
          <w:spacing w:val="-4"/>
          <w:w w:val="110"/>
          <w:position w:val="4"/>
          <w:sz w:val="18"/>
        </w:rPr>
        <w:t>ECAs </w:t>
      </w:r>
      <w:r>
        <w:rPr>
          <w:color w:val="231F1F"/>
          <w:w w:val="110"/>
        </w:rPr>
        <w:t>frente a la probabilidad de los centros que no lo permitían: RR 0,71 [IC del</w:t>
      </w:r>
      <w:r>
        <w:rPr>
          <w:color w:val="231F1F"/>
        </w:rPr>
        <w:tab/>
        <w:tab/>
        <w:tab/>
      </w:r>
      <w:r>
        <w:rPr>
          <w:rFonts w:ascii="Arial MT" w:hAnsi="Arial MT"/>
          <w:color w:val="231F1F"/>
          <w:spacing w:val="-6"/>
          <w:w w:val="110"/>
          <w:position w:val="8"/>
          <w:sz w:val="18"/>
        </w:rPr>
        <w:t>1+ </w:t>
      </w:r>
      <w:r>
        <w:rPr>
          <w:color w:val="231F1F"/>
          <w:w w:val="110"/>
        </w:rPr>
        <w:t>95% 0,54 a 0,93] no mostró diferencias estadísticamente significativas, y el</w:t>
      </w:r>
    </w:p>
    <w:p>
      <w:pPr>
        <w:pStyle w:val="BodyText"/>
        <w:spacing w:line="252" w:lineRule="auto" w:before="10"/>
        <w:ind w:left="283" w:right="1331"/>
        <w:jc w:val="both"/>
      </w:pPr>
      <w:r>
        <w:rPr>
          <w:color w:val="231F1F"/>
          <w:w w:val="105"/>
        </w:rPr>
        <w:t>efecto del apoyo continuo parece ser más fuerte en los ámbitos en los que no</w:t>
      </w:r>
      <w:r>
        <w:rPr>
          <w:color w:val="231F1F"/>
          <w:spacing w:val="40"/>
          <w:w w:val="105"/>
        </w:rPr>
        <w:t> </w:t>
      </w:r>
      <w:r>
        <w:rPr>
          <w:color w:val="231F1F"/>
          <w:w w:val="105"/>
        </w:rPr>
        <w:t>se</w:t>
      </w:r>
      <w:r>
        <w:rPr>
          <w:color w:val="231F1F"/>
          <w:w w:val="105"/>
        </w:rPr>
        <w:t> permitía</w:t>
      </w:r>
      <w:r>
        <w:rPr>
          <w:color w:val="231F1F"/>
          <w:w w:val="105"/>
        </w:rPr>
        <w:t> la</w:t>
      </w:r>
      <w:r>
        <w:rPr>
          <w:color w:val="231F1F"/>
          <w:w w:val="105"/>
        </w:rPr>
        <w:t> presencia</w:t>
      </w:r>
      <w:r>
        <w:rPr>
          <w:color w:val="231F1F"/>
          <w:w w:val="105"/>
        </w:rPr>
        <w:t> de</w:t>
      </w:r>
      <w:r>
        <w:rPr>
          <w:color w:val="231F1F"/>
          <w:w w:val="105"/>
        </w:rPr>
        <w:t> otras</w:t>
      </w:r>
      <w:r>
        <w:rPr>
          <w:color w:val="231F1F"/>
          <w:w w:val="105"/>
        </w:rPr>
        <w:t> personas</w:t>
      </w:r>
      <w:r>
        <w:rPr>
          <w:color w:val="231F1F"/>
          <w:w w:val="105"/>
        </w:rPr>
        <w:t> de</w:t>
      </w:r>
      <w:r>
        <w:rPr>
          <w:color w:val="231F1F"/>
          <w:w w:val="105"/>
        </w:rPr>
        <w:t> apoyo</w:t>
      </w:r>
      <w:r>
        <w:rPr>
          <w:color w:val="231F1F"/>
          <w:w w:val="105"/>
        </w:rPr>
        <w:t> (x2=4,83;</w:t>
      </w:r>
      <w:r>
        <w:rPr>
          <w:color w:val="231F1F"/>
          <w:w w:val="105"/>
        </w:rPr>
        <w:t> p=0,03),</w:t>
      </w:r>
      <w:r>
        <w:rPr>
          <w:color w:val="231F1F"/>
          <w:w w:val="105"/>
        </w:rPr>
        <w:t> ya</w:t>
      </w:r>
      <w:r>
        <w:rPr>
          <w:color w:val="231F1F"/>
          <w:w w:val="105"/>
        </w:rPr>
        <w:t> que mostró una tendencia menor de tasas de cesáreas.</w:t>
      </w:r>
    </w:p>
    <w:p>
      <w:pPr>
        <w:pStyle w:val="BodyText"/>
        <w:tabs>
          <w:tab w:pos="7989" w:val="left" w:leader="none"/>
          <w:tab w:pos="8114" w:val="left" w:leader="none"/>
        </w:tabs>
        <w:spacing w:line="249" w:lineRule="auto" w:before="100"/>
        <w:ind w:left="283" w:right="326" w:firstLine="453"/>
      </w:pPr>
      <w:r>
        <w:rPr>
          <w:color w:val="231F1F"/>
          <w:w w:val="110"/>
        </w:rPr>
        <w:t>La</w:t>
      </w:r>
      <w:r>
        <w:rPr>
          <w:color w:val="231F1F"/>
          <w:spacing w:val="-16"/>
          <w:w w:val="110"/>
        </w:rPr>
        <w:t> </w:t>
      </w:r>
      <w:r>
        <w:rPr>
          <w:color w:val="231F1F"/>
          <w:w w:val="110"/>
        </w:rPr>
        <w:t>comparación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probabilidad</w:t>
      </w:r>
      <w:r>
        <w:rPr>
          <w:color w:val="231F1F"/>
          <w:spacing w:val="-15"/>
          <w:w w:val="110"/>
        </w:rPr>
        <w:t> </w:t>
      </w:r>
      <w:r>
        <w:rPr>
          <w:color w:val="231F1F"/>
          <w:w w:val="110"/>
        </w:rPr>
        <w:t>de</w:t>
      </w:r>
      <w:r>
        <w:rPr>
          <w:color w:val="231F1F"/>
          <w:spacing w:val="-16"/>
          <w:w w:val="110"/>
        </w:rPr>
        <w:t> </w:t>
      </w:r>
      <w:r>
        <w:rPr>
          <w:color w:val="231F1F"/>
          <w:w w:val="110"/>
        </w:rPr>
        <w:t>informar</w:t>
      </w:r>
      <w:r>
        <w:rPr>
          <w:color w:val="231F1F"/>
          <w:spacing w:val="-15"/>
          <w:w w:val="110"/>
        </w:rPr>
        <w:t> </w:t>
      </w:r>
      <w:r>
        <w:rPr>
          <w:i/>
          <w:color w:val="231F1F"/>
          <w:w w:val="110"/>
        </w:rPr>
        <w:t>insatisfacción</w:t>
      </w:r>
      <w:r>
        <w:rPr>
          <w:i/>
          <w:color w:val="231F1F"/>
          <w:spacing w:val="-15"/>
          <w:w w:val="110"/>
        </w:rPr>
        <w:t> </w:t>
      </w:r>
      <w:r>
        <w:rPr>
          <w:color w:val="231F1F"/>
          <w:w w:val="110"/>
        </w:rPr>
        <w:t>en</w:t>
      </w:r>
      <w:r>
        <w:rPr>
          <w:color w:val="231F1F"/>
          <w:spacing w:val="-15"/>
          <w:w w:val="110"/>
        </w:rPr>
        <w:t> </w:t>
      </w:r>
      <w:r>
        <w:rPr>
          <w:color w:val="231F1F"/>
          <w:w w:val="110"/>
        </w:rPr>
        <w:t>centros</w:t>
      </w:r>
      <w:r>
        <w:rPr>
          <w:color w:val="231F1F"/>
          <w:spacing w:val="-15"/>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que permitían acompañamiento: RR 0,83 [IC del 95% 0,67 a 1,02] frente a</w:t>
      </w:r>
      <w:r>
        <w:rPr>
          <w:color w:val="231F1F"/>
        </w:rPr>
        <w:tab/>
      </w:r>
      <w:r>
        <w:rPr>
          <w:rFonts w:ascii="Arial MT" w:hAnsi="Arial MT"/>
          <w:color w:val="231F1F"/>
          <w:spacing w:val="-4"/>
          <w:w w:val="110"/>
          <w:position w:val="4"/>
          <w:sz w:val="18"/>
        </w:rPr>
        <w:t>ECAs </w:t>
      </w:r>
      <w:r>
        <w:rPr>
          <w:color w:val="231F1F"/>
          <w:w w:val="110"/>
        </w:rPr>
        <w:t>centros que no lo permitían: RR 0,67 [IC del 95% 0,58 a 0,78], mostró una</w:t>
      </w:r>
      <w:r>
        <w:rPr>
          <w:color w:val="231F1F"/>
        </w:rPr>
        <w:tab/>
        <w:tab/>
      </w:r>
      <w:r>
        <w:rPr>
          <w:rFonts w:ascii="Arial MT" w:hAnsi="Arial MT"/>
          <w:color w:val="231F1F"/>
          <w:spacing w:val="-6"/>
          <w:w w:val="110"/>
          <w:position w:val="8"/>
          <w:sz w:val="18"/>
        </w:rPr>
        <w:t>1+ </w:t>
      </w:r>
      <w:r>
        <w:rPr>
          <w:color w:val="231F1F"/>
          <w:w w:val="110"/>
        </w:rPr>
        <w:t>mayor</w:t>
      </w:r>
      <w:r>
        <w:rPr>
          <w:color w:val="231F1F"/>
          <w:spacing w:val="-16"/>
          <w:w w:val="110"/>
        </w:rPr>
        <w:t> </w:t>
      </w:r>
      <w:r>
        <w:rPr>
          <w:color w:val="231F1F"/>
          <w:w w:val="110"/>
        </w:rPr>
        <w:t>tendencia</w:t>
      </w:r>
      <w:r>
        <w:rPr>
          <w:color w:val="231F1F"/>
          <w:spacing w:val="-15"/>
          <w:w w:val="110"/>
        </w:rPr>
        <w:t> </w:t>
      </w:r>
      <w:r>
        <w:rPr>
          <w:color w:val="231F1F"/>
          <w:w w:val="110"/>
        </w:rPr>
        <w:t>de</w:t>
      </w:r>
      <w:r>
        <w:rPr>
          <w:color w:val="231F1F"/>
          <w:spacing w:val="-15"/>
          <w:w w:val="110"/>
        </w:rPr>
        <w:t> </w:t>
      </w:r>
      <w:r>
        <w:rPr>
          <w:color w:val="231F1F"/>
          <w:w w:val="110"/>
        </w:rPr>
        <w:t>insatisfacción</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ámbitos</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6"/>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permitía</w:t>
      </w:r>
      <w:r>
        <w:rPr>
          <w:color w:val="231F1F"/>
          <w:spacing w:val="-15"/>
          <w:w w:val="110"/>
        </w:rPr>
        <w:t> </w:t>
      </w:r>
      <w:r>
        <w:rPr>
          <w:color w:val="231F1F"/>
          <w:w w:val="110"/>
        </w:rPr>
        <w:t>la</w:t>
      </w:r>
    </w:p>
    <w:p>
      <w:pPr>
        <w:pStyle w:val="BodyText"/>
        <w:spacing w:line="254" w:lineRule="auto"/>
        <w:ind w:left="283" w:right="1386"/>
      </w:pPr>
      <w:r>
        <w:rPr>
          <w:color w:val="231F1F"/>
          <w:spacing w:val="-2"/>
          <w:w w:val="105"/>
        </w:rPr>
        <w:t>presencia</w:t>
      </w:r>
      <w:r>
        <w:rPr>
          <w:color w:val="231F1F"/>
          <w:spacing w:val="-13"/>
          <w:w w:val="105"/>
        </w:rPr>
        <w:t> </w:t>
      </w:r>
      <w:r>
        <w:rPr>
          <w:color w:val="231F1F"/>
          <w:spacing w:val="-2"/>
          <w:w w:val="105"/>
        </w:rPr>
        <w:t>de</w:t>
      </w:r>
      <w:r>
        <w:rPr>
          <w:color w:val="231F1F"/>
          <w:spacing w:val="-13"/>
          <w:w w:val="105"/>
        </w:rPr>
        <w:t> </w:t>
      </w:r>
      <w:r>
        <w:rPr>
          <w:color w:val="231F1F"/>
          <w:spacing w:val="-2"/>
          <w:w w:val="105"/>
        </w:rPr>
        <w:t>otras</w:t>
      </w:r>
      <w:r>
        <w:rPr>
          <w:color w:val="231F1F"/>
          <w:spacing w:val="-13"/>
          <w:w w:val="105"/>
        </w:rPr>
        <w:t> </w:t>
      </w:r>
      <w:r>
        <w:rPr>
          <w:color w:val="231F1F"/>
          <w:spacing w:val="-2"/>
          <w:w w:val="105"/>
        </w:rPr>
        <w:t>personas</w:t>
      </w:r>
      <w:r>
        <w:rPr>
          <w:color w:val="231F1F"/>
          <w:spacing w:val="-12"/>
          <w:w w:val="105"/>
        </w:rPr>
        <w:t> </w:t>
      </w:r>
      <w:r>
        <w:rPr>
          <w:color w:val="231F1F"/>
          <w:spacing w:val="-2"/>
          <w:w w:val="105"/>
        </w:rPr>
        <w:t>de</w:t>
      </w:r>
      <w:r>
        <w:rPr>
          <w:color w:val="231F1F"/>
          <w:spacing w:val="-13"/>
          <w:w w:val="105"/>
        </w:rPr>
        <w:t> </w:t>
      </w:r>
      <w:r>
        <w:rPr>
          <w:color w:val="231F1F"/>
          <w:spacing w:val="-2"/>
          <w:w w:val="105"/>
        </w:rPr>
        <w:t>apoyo</w:t>
      </w:r>
      <w:r>
        <w:rPr>
          <w:color w:val="231F1F"/>
          <w:spacing w:val="-12"/>
          <w:w w:val="105"/>
        </w:rPr>
        <w:t> </w:t>
      </w:r>
      <w:r>
        <w:rPr>
          <w:color w:val="231F1F"/>
          <w:spacing w:val="-2"/>
          <w:w w:val="105"/>
        </w:rPr>
        <w:t>(x2=3,09;</w:t>
      </w:r>
      <w:r>
        <w:rPr>
          <w:color w:val="231F1F"/>
          <w:spacing w:val="-13"/>
          <w:w w:val="105"/>
        </w:rPr>
        <w:t> </w:t>
      </w:r>
      <w:r>
        <w:rPr>
          <w:color w:val="231F1F"/>
          <w:spacing w:val="-2"/>
          <w:w w:val="105"/>
        </w:rPr>
        <w:t>p=0,08),</w:t>
      </w:r>
      <w:r>
        <w:rPr>
          <w:color w:val="231F1F"/>
          <w:spacing w:val="-13"/>
          <w:w w:val="105"/>
        </w:rPr>
        <w:t> </w:t>
      </w:r>
      <w:r>
        <w:rPr>
          <w:color w:val="231F1F"/>
          <w:spacing w:val="-2"/>
          <w:w w:val="105"/>
        </w:rPr>
        <w:t>aunque</w:t>
      </w:r>
      <w:r>
        <w:rPr>
          <w:color w:val="231F1F"/>
          <w:spacing w:val="-12"/>
          <w:w w:val="105"/>
        </w:rPr>
        <w:t> </w:t>
      </w:r>
      <w:r>
        <w:rPr>
          <w:color w:val="231F1F"/>
          <w:spacing w:val="-2"/>
          <w:w w:val="105"/>
        </w:rPr>
        <w:t>las</w:t>
      </w:r>
      <w:r>
        <w:rPr>
          <w:color w:val="231F1F"/>
          <w:spacing w:val="-12"/>
          <w:w w:val="105"/>
        </w:rPr>
        <w:t> </w:t>
      </w:r>
      <w:r>
        <w:rPr>
          <w:color w:val="231F1F"/>
          <w:spacing w:val="-2"/>
          <w:w w:val="105"/>
        </w:rPr>
        <w:t>diferencias </w:t>
      </w:r>
      <w:r>
        <w:rPr>
          <w:color w:val="231F1F"/>
          <w:w w:val="105"/>
        </w:rPr>
        <w:t>no fueron estadísticamente significativas.</w:t>
      </w:r>
    </w:p>
    <w:p>
      <w:pPr>
        <w:pStyle w:val="BodyText"/>
        <w:tabs>
          <w:tab w:pos="7791" w:val="left" w:leader="none"/>
          <w:tab w:pos="7989" w:val="left" w:leader="none"/>
          <w:tab w:pos="8114" w:val="left" w:leader="none"/>
        </w:tabs>
        <w:spacing w:line="249" w:lineRule="auto" w:before="88"/>
        <w:ind w:left="283" w:right="312" w:firstLine="453"/>
      </w:pPr>
      <w:r>
        <w:rPr>
          <w:color w:val="231F1F"/>
          <w:w w:val="110"/>
        </w:rPr>
        <w:t>En resumen, los resultados globales de la revisión muestran el efecto</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beneficioso del acompañamiento continuo. Por otro lado, el análisis de</w:t>
      </w:r>
      <w:r>
        <w:rPr>
          <w:color w:val="231F1F"/>
        </w:rPr>
        <w:tab/>
        <w:tab/>
      </w:r>
      <w:r>
        <w:rPr>
          <w:rFonts w:ascii="Arial MT" w:hAnsi="Arial MT"/>
          <w:color w:val="231F1F"/>
          <w:spacing w:val="-4"/>
          <w:w w:val="110"/>
          <w:position w:val="4"/>
          <w:sz w:val="18"/>
        </w:rPr>
        <w:t>ECAs </w:t>
      </w:r>
      <w:r>
        <w:rPr>
          <w:color w:val="231F1F"/>
          <w:w w:val="110"/>
        </w:rPr>
        <w:t>subgrupos, realizado para valorar la influencia de las prácticas y las polí-</w:t>
      </w:r>
      <w:r>
        <w:rPr>
          <w:color w:val="231F1F"/>
        </w:rPr>
        <w:tab/>
        <w:tab/>
        <w:tab/>
      </w:r>
      <w:r>
        <w:rPr>
          <w:rFonts w:ascii="Arial MT" w:hAnsi="Arial MT"/>
          <w:color w:val="231F1F"/>
          <w:spacing w:val="-6"/>
          <w:w w:val="110"/>
          <w:position w:val="8"/>
          <w:sz w:val="18"/>
        </w:rPr>
        <w:t>1+ </w:t>
      </w:r>
      <w:r>
        <w:rPr>
          <w:color w:val="231F1F"/>
          <w:w w:val="110"/>
        </w:rPr>
        <w:t>ticas</w:t>
      </w:r>
      <w:r>
        <w:rPr>
          <w:color w:val="231F1F"/>
          <w:spacing w:val="40"/>
          <w:w w:val="110"/>
        </w:rPr>
        <w:t> </w:t>
      </w:r>
      <w:r>
        <w:rPr>
          <w:color w:val="231F1F"/>
          <w:w w:val="110"/>
        </w:rPr>
        <w:t>de</w:t>
      </w:r>
      <w:r>
        <w:rPr>
          <w:color w:val="231F1F"/>
          <w:spacing w:val="40"/>
          <w:w w:val="110"/>
        </w:rPr>
        <w:t> </w:t>
      </w:r>
      <w:r>
        <w:rPr>
          <w:color w:val="231F1F"/>
          <w:w w:val="110"/>
        </w:rPr>
        <w:t>diferentes</w:t>
      </w:r>
      <w:r>
        <w:rPr>
          <w:color w:val="231F1F"/>
          <w:spacing w:val="38"/>
          <w:w w:val="110"/>
        </w:rPr>
        <w:t> </w:t>
      </w:r>
      <w:r>
        <w:rPr>
          <w:color w:val="231F1F"/>
          <w:w w:val="110"/>
        </w:rPr>
        <w:t>centros,</w:t>
      </w:r>
      <w:r>
        <w:rPr>
          <w:color w:val="231F1F"/>
          <w:spacing w:val="40"/>
          <w:w w:val="110"/>
        </w:rPr>
        <w:t> </w:t>
      </w:r>
      <w:r>
        <w:rPr>
          <w:color w:val="231F1F"/>
          <w:w w:val="110"/>
        </w:rPr>
        <w:t>muestra</w:t>
      </w:r>
      <w:r>
        <w:rPr>
          <w:color w:val="231F1F"/>
          <w:spacing w:val="40"/>
          <w:w w:val="110"/>
        </w:rPr>
        <w:t> </w:t>
      </w:r>
      <w:r>
        <w:rPr>
          <w:color w:val="231F1F"/>
          <w:w w:val="110"/>
        </w:rPr>
        <w:t>que</w:t>
      </w:r>
      <w:r>
        <w:rPr>
          <w:color w:val="231F1F"/>
          <w:spacing w:val="40"/>
          <w:w w:val="110"/>
        </w:rPr>
        <w:t> </w:t>
      </w:r>
      <w:r>
        <w:rPr>
          <w:color w:val="231F1F"/>
          <w:w w:val="110"/>
        </w:rPr>
        <w:t>el</w:t>
      </w:r>
      <w:r>
        <w:rPr>
          <w:color w:val="231F1F"/>
          <w:spacing w:val="40"/>
          <w:w w:val="110"/>
        </w:rPr>
        <w:t> </w:t>
      </w:r>
      <w:r>
        <w:rPr>
          <w:color w:val="231F1F"/>
          <w:w w:val="110"/>
        </w:rPr>
        <w:t>efecto</w:t>
      </w:r>
      <w:r>
        <w:rPr>
          <w:color w:val="231F1F"/>
          <w:spacing w:val="40"/>
          <w:w w:val="110"/>
        </w:rPr>
        <w:t> </w:t>
      </w:r>
      <w:r>
        <w:rPr>
          <w:color w:val="231F1F"/>
          <w:w w:val="110"/>
        </w:rPr>
        <w:t>del</w:t>
      </w:r>
      <w:r>
        <w:rPr>
          <w:color w:val="231F1F"/>
          <w:spacing w:val="38"/>
          <w:w w:val="110"/>
        </w:rPr>
        <w:t> </w:t>
      </w:r>
      <w:r>
        <w:rPr>
          <w:color w:val="231F1F"/>
          <w:w w:val="110"/>
        </w:rPr>
        <w:t>apoyo</w:t>
      </w:r>
      <w:r>
        <w:rPr>
          <w:color w:val="231F1F"/>
          <w:spacing w:val="40"/>
          <w:w w:val="110"/>
        </w:rPr>
        <w:t> </w:t>
      </w:r>
      <w:r>
        <w:rPr>
          <w:color w:val="231F1F"/>
          <w:w w:val="110"/>
        </w:rPr>
        <w:t>continuo</w:t>
      </w:r>
      <w:r>
        <w:rPr>
          <w:color w:val="231F1F"/>
          <w:spacing w:val="40"/>
          <w:w w:val="110"/>
        </w:rPr>
        <w:t> </w:t>
      </w:r>
      <w:r>
        <w:rPr>
          <w:color w:val="231F1F"/>
          <w:w w:val="110"/>
        </w:rPr>
        <w:t>aun</w:t>
      </w:r>
    </w:p>
    <w:p>
      <w:pPr>
        <w:pStyle w:val="BodyText"/>
        <w:spacing w:line="247" w:lineRule="auto"/>
        <w:ind w:left="283" w:right="1386"/>
      </w:pPr>
      <w:r>
        <w:rPr>
          <w:color w:val="231F1F"/>
          <w:w w:val="110"/>
        </w:rPr>
        <w:t>siendo</w:t>
      </w:r>
      <w:r>
        <w:rPr>
          <w:color w:val="231F1F"/>
          <w:spacing w:val="-1"/>
          <w:w w:val="110"/>
        </w:rPr>
        <w:t> </w:t>
      </w:r>
      <w:r>
        <w:rPr>
          <w:color w:val="231F1F"/>
          <w:w w:val="110"/>
        </w:rPr>
        <w:t>siempre</w:t>
      </w:r>
      <w:r>
        <w:rPr>
          <w:color w:val="231F1F"/>
          <w:spacing w:val="-1"/>
          <w:w w:val="110"/>
        </w:rPr>
        <w:t> </w:t>
      </w:r>
      <w:r>
        <w:rPr>
          <w:color w:val="231F1F"/>
          <w:w w:val="110"/>
        </w:rPr>
        <w:t>beneficioso,</w:t>
      </w:r>
      <w:r>
        <w:rPr>
          <w:color w:val="231F1F"/>
          <w:spacing w:val="-1"/>
          <w:w w:val="110"/>
        </w:rPr>
        <w:t> </w:t>
      </w:r>
      <w:r>
        <w:rPr>
          <w:color w:val="231F1F"/>
          <w:w w:val="110"/>
        </w:rPr>
        <w:t>lo</w:t>
      </w:r>
      <w:r>
        <w:rPr>
          <w:color w:val="231F1F"/>
          <w:spacing w:val="-1"/>
          <w:w w:val="110"/>
        </w:rPr>
        <w:t> </w:t>
      </w:r>
      <w:r>
        <w:rPr>
          <w:color w:val="231F1F"/>
          <w:w w:val="110"/>
        </w:rPr>
        <w:t>es</w:t>
      </w:r>
      <w:r>
        <w:rPr>
          <w:color w:val="231F1F"/>
          <w:spacing w:val="-1"/>
          <w:w w:val="110"/>
        </w:rPr>
        <w:t> </w:t>
      </w:r>
      <w:r>
        <w:rPr>
          <w:color w:val="231F1F"/>
          <w:w w:val="110"/>
        </w:rPr>
        <w:t>más</w:t>
      </w:r>
      <w:r>
        <w:rPr>
          <w:color w:val="231F1F"/>
          <w:spacing w:val="-1"/>
          <w:w w:val="110"/>
        </w:rPr>
        <w:t> </w:t>
      </w:r>
      <w:r>
        <w:rPr>
          <w:color w:val="231F1F"/>
          <w:w w:val="110"/>
        </w:rPr>
        <w:t>en</w:t>
      </w:r>
      <w:r>
        <w:rPr>
          <w:color w:val="231F1F"/>
          <w:spacing w:val="-1"/>
          <w:w w:val="110"/>
        </w:rPr>
        <w:t> </w:t>
      </w:r>
      <w:r>
        <w:rPr>
          <w:color w:val="231F1F"/>
          <w:w w:val="110"/>
        </w:rPr>
        <w:t>los</w:t>
      </w:r>
      <w:r>
        <w:rPr>
          <w:color w:val="231F1F"/>
          <w:spacing w:val="-1"/>
          <w:w w:val="110"/>
        </w:rPr>
        <w:t> </w:t>
      </w:r>
      <w:r>
        <w:rPr>
          <w:color w:val="231F1F"/>
          <w:w w:val="110"/>
        </w:rPr>
        <w:t>centros</w:t>
      </w:r>
      <w:r>
        <w:rPr>
          <w:color w:val="231F1F"/>
          <w:spacing w:val="-1"/>
          <w:w w:val="110"/>
        </w:rPr>
        <w:t> </w:t>
      </w:r>
      <w:r>
        <w:rPr>
          <w:color w:val="231F1F"/>
          <w:w w:val="110"/>
        </w:rPr>
        <w:t>en</w:t>
      </w:r>
      <w:r>
        <w:rPr>
          <w:color w:val="231F1F"/>
          <w:spacing w:val="-1"/>
          <w:w w:val="110"/>
        </w:rPr>
        <w:t> </w:t>
      </w:r>
      <w:r>
        <w:rPr>
          <w:color w:val="231F1F"/>
          <w:w w:val="110"/>
        </w:rPr>
        <w:t>los</w:t>
      </w:r>
      <w:r>
        <w:rPr>
          <w:color w:val="231F1F"/>
          <w:spacing w:val="-1"/>
          <w:w w:val="110"/>
        </w:rPr>
        <w:t> </w:t>
      </w:r>
      <w:r>
        <w:rPr>
          <w:color w:val="231F1F"/>
          <w:w w:val="110"/>
        </w:rPr>
        <w:t>que</w:t>
      </w:r>
      <w:r>
        <w:rPr>
          <w:color w:val="231F1F"/>
          <w:spacing w:val="-1"/>
          <w:w w:val="110"/>
        </w:rPr>
        <w:t> </w:t>
      </w:r>
      <w:r>
        <w:rPr>
          <w:color w:val="231F1F"/>
          <w:w w:val="110"/>
        </w:rPr>
        <w:t>no</w:t>
      </w:r>
      <w:r>
        <w:rPr>
          <w:color w:val="231F1F"/>
          <w:spacing w:val="-1"/>
          <w:w w:val="110"/>
        </w:rPr>
        <w:t> </w:t>
      </w:r>
      <w:r>
        <w:rPr>
          <w:color w:val="231F1F"/>
          <w:w w:val="110"/>
        </w:rPr>
        <w:t>tenían políticas</w:t>
      </w:r>
      <w:r>
        <w:rPr>
          <w:color w:val="231F1F"/>
          <w:spacing w:val="-5"/>
          <w:w w:val="110"/>
        </w:rPr>
        <w:t> </w:t>
      </w:r>
      <w:r>
        <w:rPr>
          <w:color w:val="231F1F"/>
          <w:w w:val="110"/>
        </w:rPr>
        <w:t>de</w:t>
      </w:r>
      <w:r>
        <w:rPr>
          <w:color w:val="231F1F"/>
          <w:spacing w:val="-5"/>
          <w:w w:val="110"/>
        </w:rPr>
        <w:t> </w:t>
      </w:r>
      <w:r>
        <w:rPr>
          <w:color w:val="231F1F"/>
          <w:w w:val="110"/>
        </w:rPr>
        <w:t>acompañamiento.</w:t>
      </w:r>
      <w:r>
        <w:rPr>
          <w:color w:val="231F1F"/>
          <w:spacing w:val="-6"/>
          <w:w w:val="110"/>
        </w:rPr>
        <w:t> </w:t>
      </w:r>
      <w:r>
        <w:rPr>
          <w:color w:val="231F1F"/>
          <w:w w:val="110"/>
        </w:rPr>
        <w:t>Este</w:t>
      </w:r>
      <w:r>
        <w:rPr>
          <w:color w:val="231F1F"/>
          <w:spacing w:val="-5"/>
          <w:w w:val="110"/>
        </w:rPr>
        <w:t> </w:t>
      </w:r>
      <w:r>
        <w:rPr>
          <w:color w:val="231F1F"/>
          <w:w w:val="110"/>
        </w:rPr>
        <w:t>hecho</w:t>
      </w:r>
      <w:r>
        <w:rPr>
          <w:color w:val="231F1F"/>
          <w:spacing w:val="-5"/>
          <w:w w:val="110"/>
        </w:rPr>
        <w:t> </w:t>
      </w:r>
      <w:r>
        <w:rPr>
          <w:color w:val="231F1F"/>
          <w:w w:val="110"/>
        </w:rPr>
        <w:t>sugiere</w:t>
      </w:r>
      <w:r>
        <w:rPr>
          <w:color w:val="231F1F"/>
          <w:spacing w:val="-5"/>
          <w:w w:val="110"/>
        </w:rPr>
        <w:t> </w:t>
      </w:r>
      <w:r>
        <w:rPr>
          <w:color w:val="231F1F"/>
          <w:w w:val="110"/>
        </w:rPr>
        <w:t>la</w:t>
      </w:r>
      <w:r>
        <w:rPr>
          <w:color w:val="231F1F"/>
          <w:spacing w:val="-5"/>
          <w:w w:val="110"/>
        </w:rPr>
        <w:t> </w:t>
      </w:r>
      <w:r>
        <w:rPr>
          <w:color w:val="231F1F"/>
          <w:w w:val="110"/>
        </w:rPr>
        <w:t>necesidad</w:t>
      </w:r>
      <w:r>
        <w:rPr>
          <w:color w:val="231F1F"/>
          <w:spacing w:val="-5"/>
          <w:w w:val="110"/>
        </w:rPr>
        <w:t> </w:t>
      </w:r>
      <w:r>
        <w:rPr>
          <w:color w:val="231F1F"/>
          <w:w w:val="110"/>
        </w:rPr>
        <w:t>de</w:t>
      </w:r>
      <w:r>
        <w:rPr>
          <w:color w:val="231F1F"/>
          <w:spacing w:val="-5"/>
          <w:w w:val="110"/>
        </w:rPr>
        <w:t> </w:t>
      </w:r>
      <w:r>
        <w:rPr>
          <w:color w:val="231F1F"/>
          <w:w w:val="110"/>
        </w:rPr>
        <w:t>propor- cionar un apoyo continuado sobre todo en centros sin políticas de acom- </w:t>
      </w:r>
      <w:r>
        <w:rPr>
          <w:color w:val="231F1F"/>
          <w:spacing w:val="-2"/>
          <w:w w:val="110"/>
        </w:rPr>
        <w:t>pañamiento.</w:t>
      </w:r>
    </w:p>
    <w:p>
      <w:pPr>
        <w:pStyle w:val="BodyText"/>
        <w:spacing w:before="67"/>
      </w:pPr>
    </w:p>
    <w:p>
      <w:pPr>
        <w:spacing w:before="0"/>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526" w:hRule="atLeast"/>
        </w:trPr>
        <w:tc>
          <w:tcPr>
            <w:tcW w:w="7373" w:type="dxa"/>
          </w:tcPr>
          <w:p>
            <w:pPr>
              <w:pStyle w:val="TableParagraph"/>
              <w:spacing w:line="244" w:lineRule="auto" w:before="49"/>
              <w:ind w:right="91"/>
              <w:jc w:val="both"/>
              <w:rPr>
                <w:sz w:val="22"/>
              </w:rPr>
            </w:pPr>
            <w:r>
              <w:rPr>
                <w:color w:val="231F1F"/>
                <w:w w:val="110"/>
                <w:sz w:val="22"/>
              </w:rPr>
              <w:t>Las</w:t>
            </w:r>
            <w:r>
              <w:rPr>
                <w:color w:val="231F1F"/>
                <w:spacing w:val="-7"/>
                <w:w w:val="110"/>
                <w:sz w:val="22"/>
              </w:rPr>
              <w:t> </w:t>
            </w:r>
            <w:r>
              <w:rPr>
                <w:color w:val="231F1F"/>
                <w:w w:val="110"/>
                <w:sz w:val="22"/>
              </w:rPr>
              <w:t>mujeres</w:t>
            </w:r>
            <w:r>
              <w:rPr>
                <w:color w:val="231F1F"/>
                <w:spacing w:val="-7"/>
                <w:w w:val="110"/>
                <w:sz w:val="22"/>
              </w:rPr>
              <w:t> </w:t>
            </w:r>
            <w:r>
              <w:rPr>
                <w:color w:val="231F1F"/>
                <w:w w:val="110"/>
                <w:sz w:val="22"/>
              </w:rPr>
              <w:t>que</w:t>
            </w:r>
            <w:r>
              <w:rPr>
                <w:color w:val="231F1F"/>
                <w:spacing w:val="-7"/>
                <w:w w:val="110"/>
                <w:sz w:val="22"/>
              </w:rPr>
              <w:t> </w:t>
            </w:r>
            <w:r>
              <w:rPr>
                <w:color w:val="231F1F"/>
                <w:w w:val="110"/>
                <w:sz w:val="22"/>
              </w:rPr>
              <w:t>recibían</w:t>
            </w:r>
            <w:r>
              <w:rPr>
                <w:color w:val="231F1F"/>
                <w:spacing w:val="-7"/>
                <w:w w:val="110"/>
                <w:sz w:val="22"/>
              </w:rPr>
              <w:t> </w:t>
            </w:r>
            <w:r>
              <w:rPr>
                <w:color w:val="231F1F"/>
                <w:w w:val="110"/>
                <w:sz w:val="22"/>
              </w:rPr>
              <w:t>apoyo</w:t>
            </w:r>
            <w:r>
              <w:rPr>
                <w:color w:val="231F1F"/>
                <w:spacing w:val="-6"/>
                <w:w w:val="110"/>
                <w:sz w:val="22"/>
              </w:rPr>
              <w:t> </w:t>
            </w:r>
            <w:r>
              <w:rPr>
                <w:color w:val="231F1F"/>
                <w:w w:val="110"/>
                <w:sz w:val="22"/>
              </w:rPr>
              <w:t>continuo</w:t>
            </w:r>
            <w:r>
              <w:rPr>
                <w:color w:val="231F1F"/>
                <w:spacing w:val="-7"/>
                <w:w w:val="110"/>
                <w:sz w:val="22"/>
              </w:rPr>
              <w:t> </w:t>
            </w:r>
            <w:r>
              <w:rPr>
                <w:color w:val="231F1F"/>
                <w:w w:val="110"/>
                <w:sz w:val="22"/>
              </w:rPr>
              <w:t>profesional</w:t>
            </w:r>
            <w:r>
              <w:rPr>
                <w:color w:val="231F1F"/>
                <w:spacing w:val="-8"/>
                <w:w w:val="110"/>
                <w:sz w:val="22"/>
              </w:rPr>
              <w:t> </w:t>
            </w:r>
            <w:r>
              <w:rPr>
                <w:color w:val="231F1F"/>
                <w:w w:val="110"/>
                <w:sz w:val="22"/>
              </w:rPr>
              <w:t>durante</w:t>
            </w:r>
            <w:r>
              <w:rPr>
                <w:color w:val="231F1F"/>
                <w:spacing w:val="-7"/>
                <w:w w:val="110"/>
                <w:sz w:val="22"/>
              </w:rPr>
              <w:t> </w:t>
            </w:r>
            <w:r>
              <w:rPr>
                <w:color w:val="231F1F"/>
                <w:w w:val="110"/>
                <w:sz w:val="22"/>
              </w:rPr>
              <w:t>el</w:t>
            </w:r>
            <w:r>
              <w:rPr>
                <w:color w:val="231F1F"/>
                <w:spacing w:val="-8"/>
                <w:w w:val="110"/>
                <w:sz w:val="22"/>
              </w:rPr>
              <w:t> </w:t>
            </w:r>
            <w:r>
              <w:rPr>
                <w:color w:val="231F1F"/>
                <w:w w:val="110"/>
                <w:sz w:val="22"/>
              </w:rPr>
              <w:t>trabajo</w:t>
            </w:r>
            <w:r>
              <w:rPr>
                <w:color w:val="231F1F"/>
                <w:spacing w:val="-7"/>
                <w:w w:val="110"/>
                <w:sz w:val="22"/>
              </w:rPr>
              <w:t> </w:t>
            </w:r>
            <w:r>
              <w:rPr>
                <w:color w:val="231F1F"/>
                <w:w w:val="110"/>
                <w:sz w:val="22"/>
              </w:rPr>
              <w:t>de parto</w:t>
            </w:r>
            <w:r>
              <w:rPr>
                <w:color w:val="231F1F"/>
                <w:spacing w:val="-10"/>
                <w:w w:val="110"/>
                <w:sz w:val="22"/>
              </w:rPr>
              <w:t> </w:t>
            </w:r>
            <w:r>
              <w:rPr>
                <w:color w:val="231F1F"/>
                <w:w w:val="110"/>
                <w:sz w:val="22"/>
              </w:rPr>
              <w:t>tenían</w:t>
            </w:r>
            <w:r>
              <w:rPr>
                <w:color w:val="231F1F"/>
                <w:spacing w:val="-9"/>
                <w:w w:val="110"/>
                <w:sz w:val="22"/>
              </w:rPr>
              <w:t> </w:t>
            </w:r>
            <w:r>
              <w:rPr>
                <w:color w:val="231F1F"/>
                <w:w w:val="110"/>
                <w:sz w:val="22"/>
              </w:rPr>
              <w:t>mayor</w:t>
            </w:r>
            <w:r>
              <w:rPr>
                <w:color w:val="231F1F"/>
                <w:spacing w:val="-10"/>
                <w:w w:val="110"/>
                <w:sz w:val="22"/>
              </w:rPr>
              <w:t> </w:t>
            </w:r>
            <w:r>
              <w:rPr>
                <w:color w:val="231F1F"/>
                <w:w w:val="110"/>
                <w:sz w:val="22"/>
              </w:rPr>
              <w:t>probabilidad</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parto</w:t>
            </w:r>
            <w:r>
              <w:rPr>
                <w:color w:val="231F1F"/>
                <w:spacing w:val="-10"/>
                <w:w w:val="110"/>
                <w:sz w:val="22"/>
              </w:rPr>
              <w:t> </w:t>
            </w:r>
            <w:r>
              <w:rPr>
                <w:color w:val="231F1F"/>
                <w:w w:val="110"/>
                <w:sz w:val="22"/>
              </w:rPr>
              <w:t>vaginal</w:t>
            </w:r>
            <w:r>
              <w:rPr>
                <w:color w:val="231F1F"/>
                <w:spacing w:val="-10"/>
                <w:w w:val="110"/>
                <w:sz w:val="22"/>
              </w:rPr>
              <w:t> </w:t>
            </w:r>
            <w:r>
              <w:rPr>
                <w:color w:val="231F1F"/>
                <w:w w:val="110"/>
                <w:sz w:val="22"/>
              </w:rPr>
              <w:t>espontáneo</w:t>
            </w:r>
            <w:r>
              <w:rPr>
                <w:color w:val="231F1F"/>
                <w:spacing w:val="-9"/>
                <w:w w:val="110"/>
                <w:sz w:val="22"/>
              </w:rPr>
              <w:t> </w:t>
            </w:r>
            <w:r>
              <w:rPr>
                <w:color w:val="231F1F"/>
                <w:w w:val="110"/>
                <w:sz w:val="22"/>
              </w:rPr>
              <w:t>y</w:t>
            </w:r>
            <w:r>
              <w:rPr>
                <w:color w:val="231F1F"/>
                <w:spacing w:val="-10"/>
                <w:w w:val="110"/>
                <w:sz w:val="22"/>
              </w:rPr>
              <w:t> </w:t>
            </w:r>
            <w:r>
              <w:rPr>
                <w:color w:val="231F1F"/>
                <w:w w:val="110"/>
                <w:sz w:val="22"/>
              </w:rPr>
              <w:t>menor</w:t>
            </w:r>
            <w:r>
              <w:rPr>
                <w:color w:val="231F1F"/>
                <w:spacing w:val="-10"/>
                <w:w w:val="110"/>
                <w:sz w:val="22"/>
              </w:rPr>
              <w:t> </w:t>
            </w:r>
            <w:r>
              <w:rPr>
                <w:color w:val="231F1F"/>
                <w:w w:val="110"/>
                <w:sz w:val="22"/>
              </w:rPr>
              <w:t>pro- babilidad</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recibir</w:t>
            </w:r>
            <w:r>
              <w:rPr>
                <w:color w:val="231F1F"/>
                <w:spacing w:val="-15"/>
                <w:w w:val="110"/>
                <w:sz w:val="22"/>
              </w:rPr>
              <w:t> </w:t>
            </w:r>
            <w:r>
              <w:rPr>
                <w:color w:val="231F1F"/>
                <w:w w:val="110"/>
                <w:sz w:val="22"/>
              </w:rPr>
              <w:t>analgesia</w:t>
            </w:r>
            <w:r>
              <w:rPr>
                <w:color w:val="231F1F"/>
                <w:spacing w:val="-15"/>
                <w:w w:val="110"/>
                <w:sz w:val="22"/>
              </w:rPr>
              <w:t> </w:t>
            </w:r>
            <w:r>
              <w:rPr>
                <w:color w:val="231F1F"/>
                <w:w w:val="110"/>
                <w:sz w:val="22"/>
              </w:rPr>
              <w:t>regional,</w:t>
            </w:r>
            <w:r>
              <w:rPr>
                <w:color w:val="231F1F"/>
                <w:spacing w:val="-15"/>
                <w:w w:val="110"/>
                <w:sz w:val="22"/>
              </w:rPr>
              <w:t> </w:t>
            </w:r>
            <w:r>
              <w:rPr>
                <w:color w:val="231F1F"/>
                <w:w w:val="110"/>
                <w:sz w:val="22"/>
              </w:rPr>
              <w:t>tener</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vaginal</w:t>
            </w:r>
            <w:r>
              <w:rPr>
                <w:color w:val="231F1F"/>
                <w:spacing w:val="-16"/>
                <w:w w:val="110"/>
                <w:sz w:val="22"/>
              </w:rPr>
              <w:t> </w:t>
            </w:r>
            <w:r>
              <w:rPr>
                <w:color w:val="231F1F"/>
                <w:w w:val="110"/>
                <w:sz w:val="22"/>
              </w:rPr>
              <w:t>instrumental, tener un parto por cesárea e informar insatisfacción con la experiencia de parto (14).</w:t>
            </w:r>
          </w:p>
        </w:tc>
        <w:tc>
          <w:tcPr>
            <w:tcW w:w="1133" w:type="dxa"/>
          </w:tcPr>
          <w:p>
            <w:pPr>
              <w:pStyle w:val="TableParagraph"/>
              <w:ind w:left="0"/>
              <w:rPr>
                <w:rFonts w:ascii="Arial MT"/>
                <w:sz w:val="22"/>
              </w:rPr>
            </w:pPr>
          </w:p>
          <w:p>
            <w:pPr>
              <w:pStyle w:val="TableParagraph"/>
              <w:spacing w:before="94"/>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954" w:hRule="atLeast"/>
        </w:trPr>
        <w:tc>
          <w:tcPr>
            <w:tcW w:w="7373" w:type="dxa"/>
          </w:tcPr>
          <w:p>
            <w:pPr>
              <w:pStyle w:val="TableParagraph"/>
              <w:spacing w:line="244" w:lineRule="auto" w:before="44"/>
              <w:ind w:right="81"/>
              <w:jc w:val="both"/>
              <w:rPr>
                <w:sz w:val="22"/>
              </w:rPr>
            </w:pPr>
            <w:r>
              <w:rPr>
                <w:color w:val="231F1F"/>
                <w:w w:val="110"/>
                <w:sz w:val="22"/>
              </w:rPr>
              <w:t>El</w:t>
            </w:r>
            <w:r>
              <w:rPr>
                <w:color w:val="231F1F"/>
                <w:w w:val="110"/>
                <w:sz w:val="22"/>
              </w:rPr>
              <w:t> efecto</w:t>
            </w:r>
            <w:r>
              <w:rPr>
                <w:color w:val="231F1F"/>
                <w:w w:val="110"/>
                <w:sz w:val="22"/>
              </w:rPr>
              <w:t> del</w:t>
            </w:r>
            <w:r>
              <w:rPr>
                <w:color w:val="231F1F"/>
                <w:w w:val="110"/>
                <w:sz w:val="22"/>
              </w:rPr>
              <w:t> apoyo</w:t>
            </w:r>
            <w:r>
              <w:rPr>
                <w:color w:val="231F1F"/>
                <w:w w:val="110"/>
                <w:sz w:val="22"/>
              </w:rPr>
              <w:t> continuo</w:t>
            </w:r>
            <w:r>
              <w:rPr>
                <w:color w:val="231F1F"/>
                <w:w w:val="110"/>
                <w:sz w:val="22"/>
              </w:rPr>
              <w:t> profesional,</w:t>
            </w:r>
            <w:r>
              <w:rPr>
                <w:color w:val="231F1F"/>
                <w:w w:val="110"/>
                <w:sz w:val="22"/>
              </w:rPr>
              <w:t> aun</w:t>
            </w:r>
            <w:r>
              <w:rPr>
                <w:color w:val="231F1F"/>
                <w:w w:val="110"/>
                <w:sz w:val="22"/>
              </w:rPr>
              <w:t> siendo</w:t>
            </w:r>
            <w:r>
              <w:rPr>
                <w:color w:val="231F1F"/>
                <w:w w:val="110"/>
                <w:sz w:val="22"/>
              </w:rPr>
              <w:t> siempre</w:t>
            </w:r>
            <w:r>
              <w:rPr>
                <w:color w:val="231F1F"/>
                <w:w w:val="110"/>
                <w:sz w:val="22"/>
              </w:rPr>
              <w:t> beneficio- so,</w:t>
            </w:r>
            <w:r>
              <w:rPr>
                <w:color w:val="231F1F"/>
                <w:w w:val="110"/>
                <w:sz w:val="22"/>
              </w:rPr>
              <w:t> lo</w:t>
            </w:r>
            <w:r>
              <w:rPr>
                <w:color w:val="231F1F"/>
                <w:w w:val="110"/>
                <w:sz w:val="22"/>
              </w:rPr>
              <w:t> es</w:t>
            </w:r>
            <w:r>
              <w:rPr>
                <w:color w:val="231F1F"/>
                <w:w w:val="110"/>
                <w:sz w:val="22"/>
              </w:rPr>
              <w:t> más</w:t>
            </w:r>
            <w:r>
              <w:rPr>
                <w:color w:val="231F1F"/>
                <w:w w:val="110"/>
                <w:sz w:val="22"/>
              </w:rPr>
              <w:t> en</w:t>
            </w:r>
            <w:r>
              <w:rPr>
                <w:color w:val="231F1F"/>
                <w:w w:val="110"/>
                <w:sz w:val="22"/>
              </w:rPr>
              <w:t> los</w:t>
            </w:r>
            <w:r>
              <w:rPr>
                <w:color w:val="231F1F"/>
                <w:w w:val="110"/>
                <w:sz w:val="22"/>
              </w:rPr>
              <w:t> centros</w:t>
            </w:r>
            <w:r>
              <w:rPr>
                <w:color w:val="231F1F"/>
                <w:w w:val="110"/>
                <w:sz w:val="22"/>
              </w:rPr>
              <w:t> que</w:t>
            </w:r>
            <w:r>
              <w:rPr>
                <w:color w:val="231F1F"/>
                <w:w w:val="110"/>
                <w:sz w:val="22"/>
              </w:rPr>
              <w:t> no</w:t>
            </w:r>
            <w:r>
              <w:rPr>
                <w:color w:val="231F1F"/>
                <w:w w:val="110"/>
                <w:sz w:val="22"/>
              </w:rPr>
              <w:t> tienen</w:t>
            </w:r>
            <w:r>
              <w:rPr>
                <w:color w:val="231F1F"/>
                <w:w w:val="110"/>
                <w:sz w:val="22"/>
              </w:rPr>
              <w:t> políticas</w:t>
            </w:r>
            <w:r>
              <w:rPr>
                <w:color w:val="231F1F"/>
                <w:w w:val="110"/>
                <w:sz w:val="22"/>
              </w:rPr>
              <w:t> de</w:t>
            </w:r>
            <w:r>
              <w:rPr>
                <w:color w:val="231F1F"/>
                <w:w w:val="110"/>
                <w:sz w:val="22"/>
              </w:rPr>
              <w:t> acompañamiento </w:t>
            </w:r>
            <w:r>
              <w:rPr>
                <w:color w:val="231F1F"/>
                <w:spacing w:val="-4"/>
                <w:w w:val="110"/>
                <w:sz w:val="22"/>
              </w:rPr>
              <w:t>(14).</w:t>
            </w:r>
          </w:p>
        </w:tc>
        <w:tc>
          <w:tcPr>
            <w:tcW w:w="1133" w:type="dxa"/>
          </w:tcPr>
          <w:p>
            <w:pPr>
              <w:pStyle w:val="TableParagraph"/>
              <w:spacing w:before="59"/>
              <w:ind w:left="0"/>
              <w:rPr>
                <w:rFonts w:ascii="Arial MT"/>
                <w:sz w:val="22"/>
              </w:rPr>
            </w:pPr>
          </w:p>
          <w:p>
            <w:pPr>
              <w:pStyle w:val="TableParagraph"/>
              <w:spacing w:before="1"/>
              <w:ind w:left="49" w:right="22"/>
              <w:jc w:val="center"/>
              <w:rPr>
                <w:sz w:val="22"/>
              </w:rPr>
            </w:pPr>
            <w:r>
              <w:rPr>
                <w:color w:val="231F1F"/>
                <w:spacing w:val="-5"/>
                <w:w w:val="105"/>
                <w:sz w:val="22"/>
              </w:rPr>
              <w:t>1+</w:t>
            </w:r>
          </w:p>
        </w:tc>
      </w:tr>
    </w:tbl>
    <w:p>
      <w:pPr>
        <w:pStyle w:val="BodyText"/>
        <w:spacing w:before="12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142"/>
              <w:rPr>
                <w:sz w:val="22"/>
              </w:rPr>
            </w:pPr>
            <w:r>
              <w:rPr>
                <w:color w:val="231F1F"/>
                <w:spacing w:val="-10"/>
                <w:w w:val="115"/>
                <w:sz w:val="22"/>
              </w:rPr>
              <w:t>A</w:t>
            </w:r>
          </w:p>
        </w:tc>
        <w:tc>
          <w:tcPr>
            <w:tcW w:w="8050" w:type="dxa"/>
          </w:tcPr>
          <w:p>
            <w:pPr>
              <w:pStyle w:val="TableParagraph"/>
              <w:spacing w:line="244" w:lineRule="auto" w:before="44"/>
              <w:ind w:left="120" w:right="155"/>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facilitar</w:t>
            </w:r>
            <w:r>
              <w:rPr>
                <w:color w:val="231F1F"/>
                <w:spacing w:val="-8"/>
                <w:w w:val="110"/>
                <w:sz w:val="22"/>
              </w:rPr>
              <w:t> </w:t>
            </w:r>
            <w:r>
              <w:rPr>
                <w:color w:val="231F1F"/>
                <w:w w:val="110"/>
                <w:sz w:val="22"/>
              </w:rPr>
              <w:t>el</w:t>
            </w:r>
            <w:r>
              <w:rPr>
                <w:color w:val="231F1F"/>
                <w:spacing w:val="-8"/>
                <w:w w:val="110"/>
                <w:sz w:val="22"/>
              </w:rPr>
              <w:t> </w:t>
            </w:r>
            <w:r>
              <w:rPr>
                <w:color w:val="231F1F"/>
                <w:w w:val="110"/>
                <w:sz w:val="22"/>
              </w:rPr>
              <w:t>acompañamiento</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mujer</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parto</w:t>
            </w:r>
            <w:r>
              <w:rPr>
                <w:color w:val="231F1F"/>
                <w:spacing w:val="-8"/>
                <w:w w:val="110"/>
                <w:sz w:val="22"/>
              </w:rPr>
              <w:t> </w:t>
            </w:r>
            <w:r>
              <w:rPr>
                <w:color w:val="231F1F"/>
                <w:w w:val="110"/>
                <w:sz w:val="22"/>
              </w:rPr>
              <w:t>por</w:t>
            </w:r>
            <w:r>
              <w:rPr>
                <w:color w:val="231F1F"/>
                <w:spacing w:val="-8"/>
                <w:w w:val="110"/>
                <w:sz w:val="22"/>
              </w:rPr>
              <w:t> </w:t>
            </w:r>
            <w:r>
              <w:rPr>
                <w:color w:val="231F1F"/>
                <w:w w:val="110"/>
                <w:sz w:val="22"/>
              </w:rPr>
              <w:t>la persona de su elección.</w:t>
            </w:r>
          </w:p>
        </w:tc>
      </w:tr>
    </w:tbl>
    <w:p>
      <w:pPr>
        <w:pStyle w:val="TableParagraph"/>
        <w:spacing w:after="0" w:line="244" w:lineRule="auto"/>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r>
        <w:rPr>
          <w:color w:val="231F1F"/>
        </w:rPr>
        <w:t>Restricción</w:t>
      </w:r>
      <w:r>
        <w:rPr>
          <w:color w:val="231F1F"/>
          <w:spacing w:val="48"/>
        </w:rPr>
        <w:t> </w:t>
      </w:r>
      <w:r>
        <w:rPr>
          <w:color w:val="231F1F"/>
        </w:rPr>
        <w:t>de</w:t>
      </w:r>
      <w:r>
        <w:rPr>
          <w:color w:val="231F1F"/>
          <w:spacing w:val="49"/>
        </w:rPr>
        <w:t> </w:t>
      </w:r>
      <w:r>
        <w:rPr>
          <w:color w:val="231F1F"/>
        </w:rPr>
        <w:t>líquidos</w:t>
      </w:r>
      <w:r>
        <w:rPr>
          <w:color w:val="231F1F"/>
          <w:spacing w:val="49"/>
        </w:rPr>
        <w:t> </w:t>
      </w:r>
      <w:r>
        <w:rPr>
          <w:color w:val="231F1F"/>
        </w:rPr>
        <w:t>y</w:t>
      </w:r>
      <w:r>
        <w:rPr>
          <w:color w:val="231F1F"/>
          <w:spacing w:val="52"/>
        </w:rPr>
        <w:t> </w:t>
      </w:r>
      <w:r>
        <w:rPr>
          <w:color w:val="231F1F"/>
          <w:spacing w:val="-2"/>
        </w:rPr>
        <w:t>sólidos</w:t>
      </w:r>
    </w:p>
    <w:p>
      <w:pPr>
        <w:pStyle w:val="BodyText"/>
        <w:spacing w:before="35"/>
        <w:rPr>
          <w:sz w:val="36"/>
        </w:rPr>
      </w:pPr>
    </w:p>
    <w:p>
      <w:pPr>
        <w:pStyle w:val="Heading3"/>
        <w:numPr>
          <w:ilvl w:val="3"/>
          <w:numId w:val="2"/>
        </w:numPr>
        <w:tabs>
          <w:tab w:pos="1158" w:val="left" w:leader="none"/>
        </w:tabs>
        <w:spacing w:line="240" w:lineRule="auto" w:before="0" w:after="0"/>
        <w:ind w:left="1158" w:right="0" w:hanging="875"/>
        <w:jc w:val="left"/>
      </w:pPr>
      <w:r>
        <w:rPr>
          <w:color w:val="231F1F"/>
        </w:rPr>
        <w:t>Restricción</w:t>
      </w:r>
      <w:r>
        <w:rPr>
          <w:color w:val="231F1F"/>
          <w:spacing w:val="55"/>
        </w:rPr>
        <w:t> </w:t>
      </w:r>
      <w:r>
        <w:rPr>
          <w:color w:val="231F1F"/>
        </w:rPr>
        <w:t>de</w:t>
      </w:r>
      <w:r>
        <w:rPr>
          <w:color w:val="231F1F"/>
          <w:spacing w:val="63"/>
        </w:rPr>
        <w:t> </w:t>
      </w:r>
      <w:r>
        <w:rPr>
          <w:color w:val="231F1F"/>
          <w:spacing w:val="-2"/>
        </w:rPr>
        <w:t>alimentos</w:t>
      </w:r>
    </w:p>
    <w:p>
      <w:pPr>
        <w:pStyle w:val="BodyText"/>
        <w:spacing w:before="18"/>
        <w:rPr>
          <w:sz w:val="20"/>
        </w:rPr>
      </w:pPr>
      <w:r>
        <w:rPr>
          <w:sz w:val="20"/>
        </w:rPr>
        <mc:AlternateContent>
          <mc:Choice Requires="wps">
            <w:drawing>
              <wp:anchor distT="0" distB="0" distL="0" distR="0" allowOverlap="1" layoutInCell="1" locked="0" behindDoc="1" simplePos="0" relativeHeight="487598080">
                <wp:simplePos x="0" y="0"/>
                <wp:positionH relativeFrom="page">
                  <wp:posOffset>1082675</wp:posOffset>
                </wp:positionH>
                <wp:positionV relativeFrom="paragraph">
                  <wp:posOffset>175959</wp:posOffset>
                </wp:positionV>
                <wp:extent cx="5400040" cy="298450"/>
                <wp:effectExtent l="0" t="0" r="0" b="0"/>
                <wp:wrapTopAndBottom/>
                <wp:docPr id="54" name="Textbox 54"/>
                <wp:cNvGraphicFramePr>
                  <a:graphicFrameLocks/>
                </wp:cNvGraphicFramePr>
                <a:graphic>
                  <a:graphicData uri="http://schemas.microsoft.com/office/word/2010/wordprocessingShape">
                    <wps:wsp>
                      <wps:cNvPr id="54" name="Textbox 54"/>
                      <wps:cNvSpPr txBox="1"/>
                      <wps:spPr>
                        <a:xfrm>
                          <a:off x="0" y="0"/>
                          <a:ext cx="5400040" cy="298450"/>
                        </a:xfrm>
                        <a:prstGeom prst="rect">
                          <a:avLst/>
                        </a:prstGeom>
                        <a:ln w="6350">
                          <a:solidFill>
                            <a:srgbClr val="A30046"/>
                          </a:solidFill>
                          <a:prstDash val="solid"/>
                        </a:ln>
                      </wps:spPr>
                      <wps:txbx>
                        <w:txbxContent>
                          <w:p>
                            <w:pPr>
                              <w:pStyle w:val="BodyText"/>
                              <w:numPr>
                                <w:ilvl w:val="0"/>
                                <w:numId w:val="15"/>
                              </w:numPr>
                              <w:tabs>
                                <w:tab w:pos="322" w:val="left" w:leader="none"/>
                              </w:tabs>
                              <w:spacing w:line="240" w:lineRule="auto" w:before="67" w:after="0"/>
                              <w:ind w:left="322" w:right="0" w:hanging="218"/>
                              <w:jc w:val="left"/>
                            </w:pPr>
                            <w:r>
                              <w:rPr>
                                <w:color w:val="231F1F"/>
                                <w:w w:val="105"/>
                              </w:rPr>
                              <w:t>¿Cuál</w:t>
                            </w:r>
                            <w:r>
                              <w:rPr>
                                <w:color w:val="231F1F"/>
                                <w:spacing w:val="-2"/>
                                <w:w w:val="105"/>
                              </w:rPr>
                              <w:t> </w:t>
                            </w:r>
                            <w:r>
                              <w:rPr>
                                <w:color w:val="231F1F"/>
                                <w:w w:val="105"/>
                              </w:rPr>
                              <w:t>es la efectividad</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restricción</w:t>
                            </w:r>
                            <w:r>
                              <w:rPr>
                                <w:color w:val="231F1F"/>
                                <w:spacing w:val="1"/>
                                <w:w w:val="105"/>
                              </w:rPr>
                              <w:t> </w:t>
                            </w:r>
                            <w:r>
                              <w:rPr>
                                <w:color w:val="231F1F"/>
                                <w:w w:val="105"/>
                              </w:rPr>
                              <w:t>de</w:t>
                            </w:r>
                            <w:r>
                              <w:rPr>
                                <w:color w:val="231F1F"/>
                                <w:spacing w:val="-1"/>
                                <w:w w:val="105"/>
                              </w:rPr>
                              <w:t> </w:t>
                            </w:r>
                            <w:r>
                              <w:rPr>
                                <w:color w:val="231F1F"/>
                                <w:w w:val="105"/>
                              </w:rPr>
                              <w:t>líquidos y</w:t>
                            </w:r>
                            <w:r>
                              <w:rPr>
                                <w:color w:val="231F1F"/>
                                <w:spacing w:val="1"/>
                                <w:w w:val="105"/>
                              </w:rPr>
                              <w:t> </w:t>
                            </w:r>
                            <w:r>
                              <w:rPr>
                                <w:color w:val="231F1F"/>
                                <w:w w:val="105"/>
                              </w:rPr>
                              <w:t>sólidos</w:t>
                            </w:r>
                            <w:r>
                              <w:rPr>
                                <w:color w:val="231F1F"/>
                                <w:spacing w:val="1"/>
                                <w:w w:val="105"/>
                              </w:rPr>
                              <w:t> </w:t>
                            </w:r>
                            <w:r>
                              <w:rPr>
                                <w:color w:val="231F1F"/>
                                <w:w w:val="105"/>
                              </w:rPr>
                              <w:t>durante</w:t>
                            </w:r>
                            <w:r>
                              <w:rPr>
                                <w:color w:val="231F1F"/>
                                <w:spacing w:val="-1"/>
                                <w:w w:val="105"/>
                              </w:rPr>
                              <w:t> </w:t>
                            </w:r>
                            <w:r>
                              <w:rPr>
                                <w:color w:val="231F1F"/>
                                <w:w w:val="105"/>
                              </w:rPr>
                              <w:t>el</w:t>
                            </w:r>
                            <w:r>
                              <w:rPr>
                                <w:color w:val="231F1F"/>
                                <w:spacing w:val="-1"/>
                                <w:w w:val="105"/>
                              </w:rPr>
                              <w:t> </w:t>
                            </w:r>
                            <w:r>
                              <w:rPr>
                                <w:color w:val="231F1F"/>
                                <w:spacing w:val="-2"/>
                                <w:w w:val="105"/>
                              </w:rPr>
                              <w:t>parto?</w:t>
                            </w:r>
                          </w:p>
                        </w:txbxContent>
                      </wps:txbx>
                      <wps:bodyPr wrap="square" lIns="0" tIns="0" rIns="0" bIns="0" rtlCol="0">
                        <a:noAutofit/>
                      </wps:bodyPr>
                    </wps:wsp>
                  </a:graphicData>
                </a:graphic>
              </wp:anchor>
            </w:drawing>
          </mc:Choice>
          <mc:Fallback>
            <w:pict>
              <v:shape style="position:absolute;margin-left:85.25pt;margin-top:13.855078pt;width:425.2pt;height:23.5pt;mso-position-horizontal-relative:page;mso-position-vertical-relative:paragraph;z-index:-15718400;mso-wrap-distance-left:0;mso-wrap-distance-right:0" type="#_x0000_t202" id="docshape43" filled="false" stroked="true" strokeweight=".5pt" strokecolor="#a30046">
                <v:textbox inset="0,0,0,0">
                  <w:txbxContent>
                    <w:p>
                      <w:pPr>
                        <w:pStyle w:val="BodyText"/>
                        <w:numPr>
                          <w:ilvl w:val="0"/>
                          <w:numId w:val="15"/>
                        </w:numPr>
                        <w:tabs>
                          <w:tab w:pos="322" w:val="left" w:leader="none"/>
                        </w:tabs>
                        <w:spacing w:line="240" w:lineRule="auto" w:before="67" w:after="0"/>
                        <w:ind w:left="322" w:right="0" w:hanging="218"/>
                        <w:jc w:val="left"/>
                      </w:pPr>
                      <w:r>
                        <w:rPr>
                          <w:color w:val="231F1F"/>
                          <w:w w:val="105"/>
                        </w:rPr>
                        <w:t>¿Cuál</w:t>
                      </w:r>
                      <w:r>
                        <w:rPr>
                          <w:color w:val="231F1F"/>
                          <w:spacing w:val="-2"/>
                          <w:w w:val="105"/>
                        </w:rPr>
                        <w:t> </w:t>
                      </w:r>
                      <w:r>
                        <w:rPr>
                          <w:color w:val="231F1F"/>
                          <w:w w:val="105"/>
                        </w:rPr>
                        <w:t>es la efectividad</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restricción</w:t>
                      </w:r>
                      <w:r>
                        <w:rPr>
                          <w:color w:val="231F1F"/>
                          <w:spacing w:val="1"/>
                          <w:w w:val="105"/>
                        </w:rPr>
                        <w:t> </w:t>
                      </w:r>
                      <w:r>
                        <w:rPr>
                          <w:color w:val="231F1F"/>
                          <w:w w:val="105"/>
                        </w:rPr>
                        <w:t>de</w:t>
                      </w:r>
                      <w:r>
                        <w:rPr>
                          <w:color w:val="231F1F"/>
                          <w:spacing w:val="-1"/>
                          <w:w w:val="105"/>
                        </w:rPr>
                        <w:t> </w:t>
                      </w:r>
                      <w:r>
                        <w:rPr>
                          <w:color w:val="231F1F"/>
                          <w:w w:val="105"/>
                        </w:rPr>
                        <w:t>líquidos y</w:t>
                      </w:r>
                      <w:r>
                        <w:rPr>
                          <w:color w:val="231F1F"/>
                          <w:spacing w:val="1"/>
                          <w:w w:val="105"/>
                        </w:rPr>
                        <w:t> </w:t>
                      </w:r>
                      <w:r>
                        <w:rPr>
                          <w:color w:val="231F1F"/>
                          <w:w w:val="105"/>
                        </w:rPr>
                        <w:t>sólidos</w:t>
                      </w:r>
                      <w:r>
                        <w:rPr>
                          <w:color w:val="231F1F"/>
                          <w:spacing w:val="1"/>
                          <w:w w:val="105"/>
                        </w:rPr>
                        <w:t> </w:t>
                      </w:r>
                      <w:r>
                        <w:rPr>
                          <w:color w:val="231F1F"/>
                          <w:w w:val="105"/>
                        </w:rPr>
                        <w:t>durante</w:t>
                      </w:r>
                      <w:r>
                        <w:rPr>
                          <w:color w:val="231F1F"/>
                          <w:spacing w:val="-1"/>
                          <w:w w:val="105"/>
                        </w:rPr>
                        <w:t> </w:t>
                      </w:r>
                      <w:r>
                        <w:rPr>
                          <w:color w:val="231F1F"/>
                          <w:w w:val="105"/>
                        </w:rPr>
                        <w:t>el</w:t>
                      </w:r>
                      <w:r>
                        <w:rPr>
                          <w:color w:val="231F1F"/>
                          <w:spacing w:val="-1"/>
                          <w:w w:val="105"/>
                        </w:rPr>
                        <w:t> </w:t>
                      </w:r>
                      <w:r>
                        <w:rPr>
                          <w:color w:val="231F1F"/>
                          <w:spacing w:val="-2"/>
                          <w:w w:val="105"/>
                        </w:rPr>
                        <w:t>parto?</w:t>
                      </w:r>
                    </w:p>
                  </w:txbxContent>
                </v:textbox>
                <v:stroke dashstyle="solid"/>
                <w10:wrap type="topAndBottom"/>
              </v:shape>
            </w:pict>
          </mc:Fallback>
        </mc:AlternateContent>
      </w:r>
    </w:p>
    <w:p>
      <w:pPr>
        <w:pStyle w:val="BodyText"/>
        <w:spacing w:before="7"/>
        <w:rPr>
          <w:sz w:val="32"/>
        </w:rPr>
      </w:pPr>
    </w:p>
    <w:p>
      <w:pPr>
        <w:pStyle w:val="BodyText"/>
        <w:spacing w:line="247" w:lineRule="auto"/>
        <w:ind w:left="283" w:right="121"/>
        <w:jc w:val="both"/>
      </w:pPr>
      <w:r>
        <w:rPr>
          <w:color w:val="231F1F"/>
          <w:w w:val="110"/>
        </w:rPr>
        <w:t>La</w:t>
      </w:r>
      <w:r>
        <w:rPr>
          <w:color w:val="231F1F"/>
          <w:spacing w:val="-4"/>
          <w:w w:val="110"/>
        </w:rPr>
        <w:t> </w:t>
      </w:r>
      <w:r>
        <w:rPr>
          <w:color w:val="231F1F"/>
          <w:w w:val="110"/>
        </w:rPr>
        <w:t>restricción</w:t>
      </w:r>
      <w:r>
        <w:rPr>
          <w:color w:val="231F1F"/>
          <w:spacing w:val="-3"/>
          <w:w w:val="110"/>
        </w:rPr>
        <w:t> </w:t>
      </w:r>
      <w:r>
        <w:rPr>
          <w:color w:val="231F1F"/>
          <w:w w:val="110"/>
        </w:rPr>
        <w:t>de</w:t>
      </w:r>
      <w:r>
        <w:rPr>
          <w:color w:val="231F1F"/>
          <w:spacing w:val="-4"/>
          <w:w w:val="110"/>
        </w:rPr>
        <w:t> </w:t>
      </w:r>
      <w:r>
        <w:rPr>
          <w:color w:val="231F1F"/>
          <w:w w:val="110"/>
        </w:rPr>
        <w:t>líquidos</w:t>
      </w:r>
      <w:r>
        <w:rPr>
          <w:color w:val="231F1F"/>
          <w:spacing w:val="-4"/>
          <w:w w:val="110"/>
        </w:rPr>
        <w:t> </w:t>
      </w:r>
      <w:r>
        <w:rPr>
          <w:color w:val="231F1F"/>
          <w:w w:val="110"/>
        </w:rPr>
        <w:t>y</w:t>
      </w:r>
      <w:r>
        <w:rPr>
          <w:color w:val="231F1F"/>
          <w:spacing w:val="-4"/>
          <w:w w:val="110"/>
        </w:rPr>
        <w:t> </w:t>
      </w:r>
      <w:r>
        <w:rPr>
          <w:color w:val="231F1F"/>
          <w:w w:val="110"/>
        </w:rPr>
        <w:t>sólidos</w:t>
      </w:r>
      <w:r>
        <w:rPr>
          <w:color w:val="231F1F"/>
          <w:spacing w:val="-4"/>
          <w:w w:val="110"/>
        </w:rPr>
        <w:t> </w:t>
      </w:r>
      <w:r>
        <w:rPr>
          <w:color w:val="231F1F"/>
          <w:w w:val="110"/>
        </w:rPr>
        <w:t>durante</w:t>
      </w:r>
      <w:r>
        <w:rPr>
          <w:color w:val="231F1F"/>
          <w:spacing w:val="-4"/>
          <w:w w:val="110"/>
        </w:rPr>
        <w:t> </w:t>
      </w:r>
      <w:r>
        <w:rPr>
          <w:color w:val="231F1F"/>
          <w:w w:val="110"/>
        </w:rPr>
        <w:t>el</w:t>
      </w:r>
      <w:r>
        <w:rPr>
          <w:color w:val="231F1F"/>
          <w:spacing w:val="-4"/>
          <w:w w:val="110"/>
        </w:rPr>
        <w:t> </w:t>
      </w:r>
      <w:r>
        <w:rPr>
          <w:color w:val="231F1F"/>
          <w:w w:val="110"/>
        </w:rPr>
        <w:t>parto</w:t>
      </w:r>
      <w:r>
        <w:rPr>
          <w:color w:val="231F1F"/>
          <w:spacing w:val="-4"/>
          <w:w w:val="110"/>
        </w:rPr>
        <w:t> </w:t>
      </w:r>
      <w:r>
        <w:rPr>
          <w:color w:val="231F1F"/>
          <w:w w:val="110"/>
        </w:rPr>
        <w:t>es</w:t>
      </w:r>
      <w:r>
        <w:rPr>
          <w:color w:val="231F1F"/>
          <w:spacing w:val="-4"/>
          <w:w w:val="110"/>
        </w:rPr>
        <w:t> </w:t>
      </w:r>
      <w:r>
        <w:rPr>
          <w:color w:val="231F1F"/>
          <w:w w:val="110"/>
        </w:rPr>
        <w:t>una</w:t>
      </w:r>
      <w:r>
        <w:rPr>
          <w:color w:val="231F1F"/>
          <w:spacing w:val="-4"/>
          <w:w w:val="110"/>
        </w:rPr>
        <w:t> </w:t>
      </w:r>
      <w:r>
        <w:rPr>
          <w:color w:val="231F1F"/>
          <w:w w:val="110"/>
        </w:rPr>
        <w:t>rutina</w:t>
      </w:r>
      <w:r>
        <w:rPr>
          <w:color w:val="231F1F"/>
          <w:spacing w:val="-3"/>
          <w:w w:val="110"/>
        </w:rPr>
        <w:t> </w:t>
      </w:r>
      <w:r>
        <w:rPr>
          <w:color w:val="231F1F"/>
          <w:w w:val="110"/>
        </w:rPr>
        <w:t>asistencial</w:t>
      </w:r>
      <w:r>
        <w:rPr>
          <w:color w:val="231F1F"/>
          <w:spacing w:val="-4"/>
          <w:w w:val="110"/>
        </w:rPr>
        <w:t> </w:t>
      </w:r>
      <w:r>
        <w:rPr>
          <w:color w:val="231F1F"/>
          <w:w w:val="110"/>
        </w:rPr>
        <w:t>que</w:t>
      </w:r>
      <w:r>
        <w:rPr>
          <w:color w:val="231F1F"/>
          <w:spacing w:val="-4"/>
          <w:w w:val="110"/>
        </w:rPr>
        <w:t> </w:t>
      </w:r>
      <w:r>
        <w:rPr>
          <w:color w:val="231F1F"/>
          <w:w w:val="110"/>
        </w:rPr>
        <w:t>trata</w:t>
      </w:r>
      <w:r>
        <w:rPr>
          <w:color w:val="231F1F"/>
          <w:spacing w:val="-4"/>
          <w:w w:val="110"/>
        </w:rPr>
        <w:t> </w:t>
      </w:r>
      <w:r>
        <w:rPr>
          <w:color w:val="231F1F"/>
          <w:w w:val="110"/>
        </w:rPr>
        <w:t>de </w:t>
      </w:r>
      <w:r>
        <w:rPr>
          <w:color w:val="231F1F"/>
        </w:rPr>
        <w:t>prevenir</w:t>
      </w:r>
      <w:r>
        <w:rPr>
          <w:color w:val="231F1F"/>
          <w:spacing w:val="33"/>
        </w:rPr>
        <w:t> </w:t>
      </w:r>
      <w:r>
        <w:rPr>
          <w:color w:val="231F1F"/>
        </w:rPr>
        <w:t>el</w:t>
      </w:r>
      <w:r>
        <w:rPr>
          <w:color w:val="231F1F"/>
          <w:spacing w:val="35"/>
        </w:rPr>
        <w:t> </w:t>
      </w:r>
      <w:r>
        <w:rPr>
          <w:color w:val="231F1F"/>
        </w:rPr>
        <w:t>riesgo</w:t>
      </w:r>
      <w:r>
        <w:rPr>
          <w:color w:val="231F1F"/>
          <w:spacing w:val="35"/>
        </w:rPr>
        <w:t> </w:t>
      </w:r>
      <w:r>
        <w:rPr>
          <w:color w:val="231F1F"/>
        </w:rPr>
        <w:t>de</w:t>
      </w:r>
      <w:r>
        <w:rPr>
          <w:color w:val="231F1F"/>
          <w:spacing w:val="35"/>
        </w:rPr>
        <w:t> </w:t>
      </w:r>
      <w:r>
        <w:rPr>
          <w:color w:val="231F1F"/>
        </w:rPr>
        <w:t>aspiración</w:t>
      </w:r>
      <w:r>
        <w:rPr>
          <w:color w:val="231F1F"/>
          <w:spacing w:val="35"/>
        </w:rPr>
        <w:t> </w:t>
      </w:r>
      <w:r>
        <w:rPr>
          <w:color w:val="231F1F"/>
        </w:rPr>
        <w:t>gástrica</w:t>
      </w:r>
      <w:r>
        <w:rPr>
          <w:color w:val="231F1F"/>
          <w:spacing w:val="35"/>
        </w:rPr>
        <w:t> </w:t>
      </w:r>
      <w:r>
        <w:rPr>
          <w:color w:val="231F1F"/>
        </w:rPr>
        <w:t>en</w:t>
      </w:r>
      <w:r>
        <w:rPr>
          <w:color w:val="231F1F"/>
          <w:spacing w:val="35"/>
        </w:rPr>
        <w:t> </w:t>
      </w:r>
      <w:r>
        <w:rPr>
          <w:color w:val="231F1F"/>
        </w:rPr>
        <w:t>caso</w:t>
      </w:r>
      <w:r>
        <w:rPr>
          <w:color w:val="231F1F"/>
          <w:spacing w:val="35"/>
        </w:rPr>
        <w:t> </w:t>
      </w:r>
      <w:r>
        <w:rPr>
          <w:color w:val="231F1F"/>
        </w:rPr>
        <w:t>de</w:t>
      </w:r>
      <w:r>
        <w:rPr>
          <w:color w:val="231F1F"/>
          <w:spacing w:val="33"/>
        </w:rPr>
        <w:t> </w:t>
      </w:r>
      <w:r>
        <w:rPr>
          <w:color w:val="231F1F"/>
        </w:rPr>
        <w:t>una</w:t>
      </w:r>
      <w:r>
        <w:rPr>
          <w:color w:val="231F1F"/>
          <w:spacing w:val="35"/>
        </w:rPr>
        <w:t> </w:t>
      </w:r>
      <w:r>
        <w:rPr>
          <w:color w:val="231F1F"/>
        </w:rPr>
        <w:t>intervención</w:t>
      </w:r>
      <w:r>
        <w:rPr>
          <w:color w:val="231F1F"/>
          <w:spacing w:val="35"/>
        </w:rPr>
        <w:t> </w:t>
      </w:r>
      <w:r>
        <w:rPr>
          <w:color w:val="231F1F"/>
        </w:rPr>
        <w:t>quirúrgica</w:t>
      </w:r>
      <w:r>
        <w:rPr>
          <w:color w:val="231F1F"/>
          <w:spacing w:val="35"/>
        </w:rPr>
        <w:t> </w:t>
      </w:r>
      <w:r>
        <w:rPr>
          <w:color w:val="231F1F"/>
        </w:rPr>
        <w:t>bajo</w:t>
      </w:r>
      <w:r>
        <w:rPr>
          <w:color w:val="231F1F"/>
          <w:spacing w:val="35"/>
        </w:rPr>
        <w:t> </w:t>
      </w:r>
      <w:r>
        <w:rPr>
          <w:color w:val="231F1F"/>
        </w:rPr>
        <w:t>anes- </w:t>
      </w:r>
      <w:r>
        <w:rPr>
          <w:color w:val="231F1F"/>
          <w:w w:val="110"/>
        </w:rPr>
        <w:t>tesia</w:t>
      </w:r>
      <w:r>
        <w:rPr>
          <w:color w:val="231F1F"/>
          <w:spacing w:val="-15"/>
          <w:w w:val="110"/>
        </w:rPr>
        <w:t> </w:t>
      </w:r>
      <w:r>
        <w:rPr>
          <w:color w:val="231F1F"/>
          <w:w w:val="110"/>
        </w:rPr>
        <w:t>general,</w:t>
      </w:r>
      <w:r>
        <w:rPr>
          <w:color w:val="231F1F"/>
          <w:spacing w:val="-15"/>
          <w:w w:val="110"/>
        </w:rPr>
        <w:t> </w:t>
      </w:r>
      <w:r>
        <w:rPr>
          <w:color w:val="231F1F"/>
          <w:w w:val="110"/>
        </w:rPr>
        <w:t>aunque</w:t>
      </w:r>
      <w:r>
        <w:rPr>
          <w:color w:val="231F1F"/>
          <w:spacing w:val="-14"/>
          <w:w w:val="110"/>
        </w:rPr>
        <w:t> </w:t>
      </w:r>
      <w:r>
        <w:rPr>
          <w:color w:val="231F1F"/>
          <w:w w:val="110"/>
        </w:rPr>
        <w:t>se</w:t>
      </w:r>
      <w:r>
        <w:rPr>
          <w:color w:val="231F1F"/>
          <w:spacing w:val="-15"/>
          <w:w w:val="110"/>
        </w:rPr>
        <w:t> </w:t>
      </w:r>
      <w:r>
        <w:rPr>
          <w:color w:val="231F1F"/>
          <w:w w:val="110"/>
        </w:rPr>
        <w:t>conoce</w:t>
      </w:r>
      <w:r>
        <w:rPr>
          <w:color w:val="231F1F"/>
          <w:spacing w:val="-14"/>
          <w:w w:val="110"/>
        </w:rPr>
        <w:t> </w:t>
      </w:r>
      <w:r>
        <w:rPr>
          <w:color w:val="231F1F"/>
          <w:w w:val="110"/>
        </w:rPr>
        <w:t>que</w:t>
      </w:r>
      <w:r>
        <w:rPr>
          <w:color w:val="231F1F"/>
          <w:spacing w:val="-15"/>
          <w:w w:val="110"/>
        </w:rPr>
        <w:t> </w:t>
      </w:r>
      <w:r>
        <w:rPr>
          <w:color w:val="231F1F"/>
          <w:w w:val="110"/>
        </w:rPr>
        <w:t>no</w:t>
      </w:r>
      <w:r>
        <w:rPr>
          <w:color w:val="231F1F"/>
          <w:spacing w:val="-15"/>
          <w:w w:val="110"/>
        </w:rPr>
        <w:t> </w:t>
      </w:r>
      <w:r>
        <w:rPr>
          <w:color w:val="231F1F"/>
          <w:w w:val="110"/>
        </w:rPr>
        <w:t>garantiza</w:t>
      </w:r>
      <w:r>
        <w:rPr>
          <w:color w:val="231F1F"/>
          <w:spacing w:val="-15"/>
          <w:w w:val="110"/>
        </w:rPr>
        <w:t> </w:t>
      </w:r>
      <w:r>
        <w:rPr>
          <w:color w:val="231F1F"/>
          <w:w w:val="110"/>
        </w:rPr>
        <w:t>la</w:t>
      </w:r>
      <w:r>
        <w:rPr>
          <w:color w:val="231F1F"/>
          <w:spacing w:val="-15"/>
          <w:w w:val="110"/>
        </w:rPr>
        <w:t> </w:t>
      </w:r>
      <w:r>
        <w:rPr>
          <w:color w:val="231F1F"/>
          <w:w w:val="110"/>
        </w:rPr>
        <w:t>reducción</w:t>
      </w:r>
      <w:r>
        <w:rPr>
          <w:color w:val="231F1F"/>
          <w:spacing w:val="-14"/>
          <w:w w:val="110"/>
        </w:rPr>
        <w:t> </w:t>
      </w:r>
      <w:r>
        <w:rPr>
          <w:color w:val="231F1F"/>
          <w:w w:val="110"/>
        </w:rPr>
        <w:t>de</w:t>
      </w:r>
      <w:r>
        <w:rPr>
          <w:color w:val="231F1F"/>
          <w:spacing w:val="-15"/>
          <w:w w:val="110"/>
        </w:rPr>
        <w:t> </w:t>
      </w:r>
      <w:r>
        <w:rPr>
          <w:color w:val="231F1F"/>
          <w:w w:val="110"/>
        </w:rPr>
        <w:t>contenido</w:t>
      </w:r>
      <w:r>
        <w:rPr>
          <w:color w:val="231F1F"/>
          <w:spacing w:val="-15"/>
          <w:w w:val="110"/>
        </w:rPr>
        <w:t> </w:t>
      </w:r>
      <w:r>
        <w:rPr>
          <w:color w:val="231F1F"/>
          <w:w w:val="110"/>
        </w:rPr>
        <w:t>estomacal</w:t>
      </w:r>
      <w:r>
        <w:rPr>
          <w:color w:val="231F1F"/>
          <w:spacing w:val="-15"/>
          <w:w w:val="110"/>
        </w:rPr>
        <w:t> </w:t>
      </w:r>
      <w:r>
        <w:rPr>
          <w:color w:val="231F1F"/>
          <w:w w:val="110"/>
        </w:rPr>
        <w:t>por vaciamiento</w:t>
      </w:r>
      <w:r>
        <w:rPr>
          <w:color w:val="231F1F"/>
          <w:spacing w:val="-7"/>
          <w:w w:val="110"/>
        </w:rPr>
        <w:t> </w:t>
      </w:r>
      <w:r>
        <w:rPr>
          <w:color w:val="231F1F"/>
          <w:w w:val="110"/>
        </w:rPr>
        <w:t>y</w:t>
      </w:r>
      <w:r>
        <w:rPr>
          <w:color w:val="231F1F"/>
          <w:spacing w:val="-6"/>
          <w:w w:val="110"/>
        </w:rPr>
        <w:t> </w:t>
      </w:r>
      <w:r>
        <w:rPr>
          <w:color w:val="231F1F"/>
          <w:w w:val="110"/>
        </w:rPr>
        <w:t>que</w:t>
      </w:r>
      <w:r>
        <w:rPr>
          <w:color w:val="231F1F"/>
          <w:spacing w:val="-6"/>
          <w:w w:val="110"/>
        </w:rPr>
        <w:t> </w:t>
      </w:r>
      <w:r>
        <w:rPr>
          <w:color w:val="231F1F"/>
          <w:w w:val="110"/>
        </w:rPr>
        <w:t>el</w:t>
      </w:r>
      <w:r>
        <w:rPr>
          <w:color w:val="231F1F"/>
          <w:spacing w:val="-7"/>
          <w:w w:val="110"/>
        </w:rPr>
        <w:t> </w:t>
      </w:r>
      <w:r>
        <w:rPr>
          <w:color w:val="231F1F"/>
          <w:w w:val="110"/>
        </w:rPr>
        <w:t>bienestar</w:t>
      </w:r>
      <w:r>
        <w:rPr>
          <w:color w:val="231F1F"/>
          <w:spacing w:val="-7"/>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mujer</w:t>
      </w:r>
      <w:r>
        <w:rPr>
          <w:color w:val="231F1F"/>
          <w:spacing w:val="-7"/>
          <w:w w:val="110"/>
        </w:rPr>
        <w:t> </w:t>
      </w:r>
      <w:r>
        <w:rPr>
          <w:color w:val="231F1F"/>
          <w:w w:val="110"/>
        </w:rPr>
        <w:t>puede</w:t>
      </w:r>
      <w:r>
        <w:rPr>
          <w:color w:val="231F1F"/>
          <w:spacing w:val="-7"/>
          <w:w w:val="110"/>
        </w:rPr>
        <w:t> </w:t>
      </w:r>
      <w:r>
        <w:rPr>
          <w:color w:val="231F1F"/>
          <w:w w:val="110"/>
        </w:rPr>
        <w:t>verse</w:t>
      </w:r>
      <w:r>
        <w:rPr>
          <w:color w:val="231F1F"/>
          <w:spacing w:val="-7"/>
          <w:w w:val="110"/>
        </w:rPr>
        <w:t> </w:t>
      </w:r>
      <w:r>
        <w:rPr>
          <w:color w:val="231F1F"/>
          <w:w w:val="110"/>
        </w:rPr>
        <w:t>afectado</w:t>
      </w:r>
      <w:r>
        <w:rPr>
          <w:color w:val="231F1F"/>
          <w:spacing w:val="-6"/>
          <w:w w:val="110"/>
        </w:rPr>
        <w:t> </w:t>
      </w:r>
      <w:r>
        <w:rPr>
          <w:color w:val="231F1F"/>
          <w:w w:val="110"/>
        </w:rPr>
        <w:t>ante</w:t>
      </w:r>
      <w:r>
        <w:rPr>
          <w:color w:val="231F1F"/>
          <w:spacing w:val="-6"/>
          <w:w w:val="110"/>
        </w:rPr>
        <w:t> </w:t>
      </w:r>
      <w:r>
        <w:rPr>
          <w:color w:val="231F1F"/>
          <w:w w:val="110"/>
        </w:rPr>
        <w:t>la</w:t>
      </w:r>
      <w:r>
        <w:rPr>
          <w:color w:val="231F1F"/>
          <w:spacing w:val="-6"/>
          <w:w w:val="110"/>
        </w:rPr>
        <w:t> </w:t>
      </w:r>
      <w:r>
        <w:rPr>
          <w:color w:val="231F1F"/>
          <w:w w:val="110"/>
        </w:rPr>
        <w:t>imposibilidad</w:t>
      </w:r>
      <w:r>
        <w:rPr>
          <w:color w:val="231F1F"/>
          <w:spacing w:val="-6"/>
          <w:w w:val="110"/>
        </w:rPr>
        <w:t> </w:t>
      </w:r>
      <w:r>
        <w:rPr>
          <w:color w:val="231F1F"/>
          <w:w w:val="110"/>
        </w:rPr>
        <w:t>de beber o de ingerir alimentos.</w:t>
      </w:r>
    </w:p>
    <w:p>
      <w:pPr>
        <w:pStyle w:val="BodyText"/>
        <w:spacing w:line="244" w:lineRule="auto" w:before="137"/>
        <w:ind w:left="283" w:right="124" w:firstLine="453"/>
        <w:jc w:val="both"/>
      </w:pPr>
      <w:r>
        <w:rPr>
          <w:color w:val="231F1F"/>
          <w:w w:val="110"/>
        </w:rPr>
        <w:t>En</w:t>
      </w:r>
      <w:r>
        <w:rPr>
          <w:color w:val="231F1F"/>
          <w:spacing w:val="-16"/>
          <w:w w:val="110"/>
        </w:rPr>
        <w:t> </w:t>
      </w:r>
      <w:r>
        <w:rPr>
          <w:color w:val="231F1F"/>
          <w:w w:val="110"/>
        </w:rPr>
        <w:t>la</w:t>
      </w:r>
      <w:r>
        <w:rPr>
          <w:color w:val="231F1F"/>
          <w:spacing w:val="-15"/>
          <w:w w:val="110"/>
        </w:rPr>
        <w:t> </w:t>
      </w:r>
      <w:r>
        <w:rPr>
          <w:color w:val="231F1F"/>
          <w:w w:val="110"/>
        </w:rPr>
        <w:t>actualidad,</w:t>
      </w:r>
      <w:r>
        <w:rPr>
          <w:color w:val="231F1F"/>
          <w:spacing w:val="-15"/>
          <w:w w:val="110"/>
        </w:rPr>
        <w:t> </w:t>
      </w:r>
      <w:r>
        <w:rPr>
          <w:color w:val="231F1F"/>
          <w:w w:val="110"/>
        </w:rPr>
        <w:t>la</w:t>
      </w:r>
      <w:r>
        <w:rPr>
          <w:color w:val="231F1F"/>
          <w:spacing w:val="-15"/>
          <w:w w:val="110"/>
        </w:rPr>
        <w:t> </w:t>
      </w:r>
      <w:r>
        <w:rPr>
          <w:color w:val="231F1F"/>
          <w:w w:val="110"/>
        </w:rPr>
        <w:t>anestesia</w:t>
      </w:r>
      <w:r>
        <w:rPr>
          <w:color w:val="231F1F"/>
          <w:spacing w:val="-15"/>
          <w:w w:val="110"/>
        </w:rPr>
        <w:t> </w:t>
      </w:r>
      <w:r>
        <w:rPr>
          <w:color w:val="231F1F"/>
          <w:w w:val="110"/>
        </w:rPr>
        <w:t>general</w:t>
      </w:r>
      <w:r>
        <w:rPr>
          <w:color w:val="231F1F"/>
          <w:spacing w:val="-15"/>
          <w:w w:val="110"/>
        </w:rPr>
        <w:t> </w:t>
      </w:r>
      <w:r>
        <w:rPr>
          <w:color w:val="231F1F"/>
          <w:w w:val="110"/>
        </w:rPr>
        <w:t>en</w:t>
      </w:r>
      <w:r>
        <w:rPr>
          <w:color w:val="231F1F"/>
          <w:spacing w:val="-15"/>
          <w:w w:val="110"/>
        </w:rPr>
        <w:t> </w:t>
      </w:r>
      <w:r>
        <w:rPr>
          <w:color w:val="231F1F"/>
          <w:w w:val="110"/>
        </w:rPr>
        <w:t>obstetricia</w:t>
      </w:r>
      <w:r>
        <w:rPr>
          <w:color w:val="231F1F"/>
          <w:spacing w:val="-15"/>
          <w:w w:val="110"/>
        </w:rPr>
        <w:t> </w:t>
      </w:r>
      <w:r>
        <w:rPr>
          <w:color w:val="231F1F"/>
          <w:w w:val="110"/>
        </w:rPr>
        <w:t>ha</w:t>
      </w:r>
      <w:r>
        <w:rPr>
          <w:color w:val="231F1F"/>
          <w:spacing w:val="-16"/>
          <w:w w:val="110"/>
        </w:rPr>
        <w:t> </w:t>
      </w:r>
      <w:r>
        <w:rPr>
          <w:color w:val="231F1F"/>
          <w:w w:val="110"/>
        </w:rPr>
        <w:t>dejado</w:t>
      </w:r>
      <w:r>
        <w:rPr>
          <w:color w:val="231F1F"/>
          <w:spacing w:val="-15"/>
          <w:w w:val="110"/>
        </w:rPr>
        <w:t> </w:t>
      </w:r>
      <w:r>
        <w:rPr>
          <w:color w:val="231F1F"/>
          <w:w w:val="110"/>
        </w:rPr>
        <w:t>paso</w:t>
      </w:r>
      <w:r>
        <w:rPr>
          <w:color w:val="231F1F"/>
          <w:spacing w:val="-15"/>
          <w:w w:val="110"/>
        </w:rPr>
        <w:t> </w:t>
      </w:r>
      <w:r>
        <w:rPr>
          <w:color w:val="231F1F"/>
          <w:w w:val="110"/>
        </w:rPr>
        <w:t>a</w:t>
      </w:r>
      <w:r>
        <w:rPr>
          <w:color w:val="231F1F"/>
          <w:spacing w:val="-15"/>
          <w:w w:val="110"/>
        </w:rPr>
        <w:t> </w:t>
      </w:r>
      <w:r>
        <w:rPr>
          <w:color w:val="231F1F"/>
          <w:w w:val="110"/>
        </w:rPr>
        <w:t>las</w:t>
      </w:r>
      <w:r>
        <w:rPr>
          <w:color w:val="231F1F"/>
          <w:spacing w:val="-15"/>
          <w:w w:val="110"/>
        </w:rPr>
        <w:t> </w:t>
      </w:r>
      <w:r>
        <w:rPr>
          <w:color w:val="231F1F"/>
          <w:w w:val="110"/>
        </w:rPr>
        <w:t>técnicas</w:t>
      </w:r>
      <w:r>
        <w:rPr>
          <w:color w:val="231F1F"/>
          <w:spacing w:val="-15"/>
          <w:w w:val="110"/>
        </w:rPr>
        <w:t> </w:t>
      </w:r>
      <w:r>
        <w:rPr>
          <w:color w:val="231F1F"/>
          <w:w w:val="110"/>
        </w:rPr>
        <w:t>neu- roaxiales,</w:t>
      </w:r>
      <w:r>
        <w:rPr>
          <w:color w:val="231F1F"/>
          <w:spacing w:val="-11"/>
          <w:w w:val="110"/>
        </w:rPr>
        <w:t> </w:t>
      </w:r>
      <w:r>
        <w:rPr>
          <w:color w:val="231F1F"/>
          <w:w w:val="110"/>
        </w:rPr>
        <w:t>que</w:t>
      </w:r>
      <w:r>
        <w:rPr>
          <w:color w:val="231F1F"/>
          <w:spacing w:val="-11"/>
          <w:w w:val="110"/>
        </w:rPr>
        <w:t> </w:t>
      </w:r>
      <w:r>
        <w:rPr>
          <w:color w:val="231F1F"/>
          <w:w w:val="110"/>
        </w:rPr>
        <w:t>son</w:t>
      </w:r>
      <w:r>
        <w:rPr>
          <w:color w:val="231F1F"/>
          <w:spacing w:val="-11"/>
          <w:w w:val="110"/>
        </w:rPr>
        <w:t> </w:t>
      </w:r>
      <w:r>
        <w:rPr>
          <w:color w:val="231F1F"/>
          <w:w w:val="110"/>
        </w:rPr>
        <w:t>las</w:t>
      </w:r>
      <w:r>
        <w:rPr>
          <w:color w:val="231F1F"/>
          <w:spacing w:val="-11"/>
          <w:w w:val="110"/>
        </w:rPr>
        <w:t> </w:t>
      </w:r>
      <w:r>
        <w:rPr>
          <w:color w:val="231F1F"/>
          <w:w w:val="110"/>
        </w:rPr>
        <w:t>que</w:t>
      </w:r>
      <w:r>
        <w:rPr>
          <w:color w:val="231F1F"/>
          <w:spacing w:val="-11"/>
          <w:w w:val="110"/>
        </w:rPr>
        <w:t> </w:t>
      </w:r>
      <w:r>
        <w:rPr>
          <w:color w:val="231F1F"/>
          <w:w w:val="110"/>
        </w:rPr>
        <w:t>habitualmente</w:t>
      </w:r>
      <w:r>
        <w:rPr>
          <w:color w:val="231F1F"/>
          <w:spacing w:val="-11"/>
          <w:w w:val="110"/>
        </w:rPr>
        <w:t> </w:t>
      </w:r>
      <w:r>
        <w:rPr>
          <w:color w:val="231F1F"/>
          <w:w w:val="110"/>
        </w:rPr>
        <w:t>se</w:t>
      </w:r>
      <w:r>
        <w:rPr>
          <w:color w:val="231F1F"/>
          <w:spacing w:val="-11"/>
          <w:w w:val="110"/>
        </w:rPr>
        <w:t> </w:t>
      </w:r>
      <w:r>
        <w:rPr>
          <w:color w:val="231F1F"/>
          <w:w w:val="110"/>
        </w:rPr>
        <w:t>emplean</w:t>
      </w:r>
      <w:r>
        <w:rPr>
          <w:color w:val="231F1F"/>
          <w:spacing w:val="-11"/>
          <w:w w:val="110"/>
        </w:rPr>
        <w:t> </w:t>
      </w:r>
      <w:r>
        <w:rPr>
          <w:color w:val="231F1F"/>
          <w:w w:val="110"/>
        </w:rPr>
        <w:t>en</w:t>
      </w:r>
      <w:r>
        <w:rPr>
          <w:color w:val="231F1F"/>
          <w:spacing w:val="-11"/>
          <w:w w:val="110"/>
        </w:rPr>
        <w:t> </w:t>
      </w:r>
      <w:r>
        <w:rPr>
          <w:color w:val="231F1F"/>
          <w:w w:val="110"/>
        </w:rPr>
        <w:t>el</w:t>
      </w:r>
      <w:r>
        <w:rPr>
          <w:color w:val="231F1F"/>
          <w:spacing w:val="-11"/>
          <w:w w:val="110"/>
        </w:rPr>
        <w:t> </w:t>
      </w:r>
      <w:r>
        <w:rPr>
          <w:color w:val="231F1F"/>
          <w:w w:val="110"/>
        </w:rPr>
        <w:t>transcurso</w:t>
      </w:r>
      <w:r>
        <w:rPr>
          <w:color w:val="231F1F"/>
          <w:spacing w:val="-11"/>
          <w:w w:val="110"/>
        </w:rPr>
        <w:t> </w:t>
      </w:r>
      <w:r>
        <w:rPr>
          <w:color w:val="231F1F"/>
          <w:w w:val="110"/>
        </w:rPr>
        <w:t>de</w:t>
      </w:r>
      <w:r>
        <w:rPr>
          <w:color w:val="231F1F"/>
          <w:spacing w:val="-11"/>
          <w:w w:val="110"/>
        </w:rPr>
        <w:t> </w:t>
      </w:r>
      <w:r>
        <w:rPr>
          <w:color w:val="231F1F"/>
          <w:w w:val="110"/>
        </w:rPr>
        <w:t>partos</w:t>
      </w:r>
      <w:r>
        <w:rPr>
          <w:color w:val="231F1F"/>
          <w:spacing w:val="-11"/>
          <w:w w:val="110"/>
        </w:rPr>
        <w:t> </w:t>
      </w:r>
      <w:r>
        <w:rPr>
          <w:color w:val="231F1F"/>
          <w:w w:val="110"/>
        </w:rPr>
        <w:t>y</w:t>
      </w:r>
      <w:r>
        <w:rPr>
          <w:color w:val="231F1F"/>
          <w:spacing w:val="-11"/>
          <w:w w:val="110"/>
        </w:rPr>
        <w:t> </w:t>
      </w:r>
      <w:r>
        <w:rPr>
          <w:color w:val="231F1F"/>
          <w:w w:val="110"/>
        </w:rPr>
        <w:t>cesáreas y,</w:t>
      </w:r>
      <w:r>
        <w:rPr>
          <w:color w:val="231F1F"/>
          <w:spacing w:val="-16"/>
          <w:w w:val="110"/>
        </w:rPr>
        <w:t> </w:t>
      </w:r>
      <w:r>
        <w:rPr>
          <w:color w:val="231F1F"/>
          <w:w w:val="110"/>
        </w:rPr>
        <w:t>además,</w:t>
      </w:r>
      <w:r>
        <w:rPr>
          <w:color w:val="231F1F"/>
          <w:spacing w:val="-15"/>
          <w:w w:val="110"/>
        </w:rPr>
        <w:t> </w:t>
      </w:r>
      <w:r>
        <w:rPr>
          <w:color w:val="231F1F"/>
          <w:w w:val="110"/>
        </w:rPr>
        <w:t>guías</w:t>
      </w:r>
      <w:r>
        <w:rPr>
          <w:color w:val="231F1F"/>
          <w:spacing w:val="-15"/>
          <w:w w:val="110"/>
        </w:rPr>
        <w:t> </w:t>
      </w:r>
      <w:r>
        <w:rPr>
          <w:color w:val="231F1F"/>
          <w:w w:val="110"/>
        </w:rPr>
        <w:t>como</w:t>
      </w:r>
      <w:r>
        <w:rPr>
          <w:color w:val="231F1F"/>
          <w:spacing w:val="-15"/>
          <w:w w:val="110"/>
        </w:rPr>
        <w:t> </w:t>
      </w:r>
      <w:r>
        <w:rPr>
          <w:color w:val="231F1F"/>
          <w:w w:val="110"/>
        </w:rPr>
        <w:t>la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OMS</w:t>
      </w:r>
      <w:r>
        <w:rPr>
          <w:color w:val="231F1F"/>
          <w:spacing w:val="-15"/>
          <w:w w:val="110"/>
        </w:rPr>
        <w:t> </w:t>
      </w:r>
      <w:r>
        <w:rPr>
          <w:color w:val="231F1F"/>
          <w:w w:val="110"/>
        </w:rPr>
        <w:t>(4)</w:t>
      </w:r>
      <w:r>
        <w:rPr>
          <w:color w:val="231F1F"/>
          <w:spacing w:val="-16"/>
          <w:w w:val="110"/>
        </w:rPr>
        <w:t> </w:t>
      </w:r>
      <w:r>
        <w:rPr>
          <w:color w:val="231F1F"/>
          <w:w w:val="110"/>
        </w:rPr>
        <w:t>promueven</w:t>
      </w:r>
      <w:r>
        <w:rPr>
          <w:color w:val="231F1F"/>
          <w:spacing w:val="-15"/>
          <w:w w:val="110"/>
        </w:rPr>
        <w:t> </w:t>
      </w:r>
      <w:r>
        <w:rPr>
          <w:color w:val="231F1F"/>
          <w:w w:val="110"/>
        </w:rPr>
        <w:t>el</w:t>
      </w:r>
      <w:r>
        <w:rPr>
          <w:color w:val="231F1F"/>
          <w:spacing w:val="-15"/>
          <w:w w:val="110"/>
        </w:rPr>
        <w:t> </w:t>
      </w:r>
      <w:r>
        <w:rPr>
          <w:color w:val="231F1F"/>
          <w:w w:val="110"/>
        </w:rPr>
        <w:t>ofrecer</w:t>
      </w:r>
      <w:r>
        <w:rPr>
          <w:color w:val="231F1F"/>
          <w:spacing w:val="-15"/>
          <w:w w:val="110"/>
        </w:rPr>
        <w:t> </w:t>
      </w:r>
      <w:r>
        <w:rPr>
          <w:color w:val="231F1F"/>
          <w:w w:val="110"/>
        </w:rPr>
        <w:t>líquidos</w:t>
      </w:r>
      <w:r>
        <w:rPr>
          <w:color w:val="231F1F"/>
          <w:spacing w:val="-15"/>
          <w:w w:val="110"/>
        </w:rPr>
        <w:t> </w:t>
      </w:r>
      <w:r>
        <w:rPr>
          <w:color w:val="231F1F"/>
          <w:w w:val="110"/>
        </w:rPr>
        <w:t>por</w:t>
      </w:r>
      <w:r>
        <w:rPr>
          <w:color w:val="231F1F"/>
          <w:spacing w:val="-15"/>
          <w:w w:val="110"/>
        </w:rPr>
        <w:t> </w:t>
      </w:r>
      <w:r>
        <w:rPr>
          <w:color w:val="231F1F"/>
          <w:w w:val="110"/>
        </w:rPr>
        <w:t>vía</w:t>
      </w:r>
      <w:r>
        <w:rPr>
          <w:color w:val="231F1F"/>
          <w:spacing w:val="-15"/>
          <w:w w:val="110"/>
        </w:rPr>
        <w:t> </w:t>
      </w:r>
      <w:r>
        <w:rPr>
          <w:color w:val="231F1F"/>
          <w:w w:val="110"/>
        </w:rPr>
        <w:t>oral</w:t>
      </w:r>
      <w:r>
        <w:rPr>
          <w:color w:val="231F1F"/>
          <w:spacing w:val="-15"/>
          <w:w w:val="110"/>
        </w:rPr>
        <w:t> </w:t>
      </w:r>
      <w:r>
        <w:rPr>
          <w:color w:val="231F1F"/>
          <w:w w:val="110"/>
        </w:rPr>
        <w:t>duran- te el parto, lo que ha llevado a replantearse la necesidad de dicha restricción.</w:t>
      </w:r>
    </w:p>
    <w:p>
      <w:pPr>
        <w:pStyle w:val="BodyText"/>
        <w:spacing w:before="193"/>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tabs>
          <w:tab w:pos="8049" w:val="left" w:leader="none"/>
          <w:tab w:pos="8128" w:val="left" w:leader="none"/>
        </w:tabs>
        <w:spacing w:line="254" w:lineRule="auto" w:before="176"/>
        <w:ind w:left="287" w:right="511"/>
      </w:pPr>
      <w:r>
        <w:rPr>
          <w:color w:val="231F1F"/>
          <w:w w:val="105"/>
        </w:rPr>
        <w:t>La GPC NICE (10) emplea un ensayo controlado y aleatorizado (15) publi-</w:t>
      </w:r>
      <w:r>
        <w:rPr>
          <w:color w:val="231F1F"/>
        </w:rPr>
        <w:tab/>
      </w:r>
      <w:r>
        <w:rPr>
          <w:rFonts w:ascii="Arial MT" w:hAnsi="Arial MT"/>
          <w:color w:val="231F1F"/>
          <w:spacing w:val="-12"/>
          <w:w w:val="105"/>
          <w:sz w:val="18"/>
        </w:rPr>
        <w:t>ECA </w:t>
      </w:r>
      <w:r>
        <w:rPr>
          <w:color w:val="231F1F"/>
          <w:w w:val="105"/>
        </w:rPr>
        <w:t>cado en 1999 en el que la población a estudio eran 88 mujeres con 37 o más</w:t>
      </w:r>
      <w:r>
        <w:rPr>
          <w:color w:val="231F1F"/>
        </w:rPr>
        <w:tab/>
        <w:tab/>
      </w:r>
      <w:r>
        <w:rPr>
          <w:rFonts w:ascii="Arial MT" w:hAnsi="Arial MT"/>
          <w:color w:val="231F1F"/>
          <w:spacing w:val="-6"/>
          <w:w w:val="105"/>
          <w:position w:val="4"/>
          <w:sz w:val="18"/>
        </w:rPr>
        <w:t>1+ </w:t>
      </w:r>
      <w:r>
        <w:rPr>
          <w:color w:val="231F1F"/>
          <w:w w:val="105"/>
        </w:rPr>
        <w:t>semanas de gestación y el feto en presentación cefálica, en las que se preten-</w:t>
      </w:r>
    </w:p>
    <w:p>
      <w:pPr>
        <w:pStyle w:val="BodyText"/>
        <w:spacing w:line="256" w:lineRule="auto" w:before="8"/>
        <w:ind w:left="287" w:right="1472"/>
      </w:pPr>
      <w:r>
        <w:rPr>
          <w:color w:val="231F1F"/>
          <w:w w:val="110"/>
        </w:rPr>
        <w:t>día evaluar intervenciones de prevención de cetosis durante el parto. La </w:t>
      </w:r>
      <w:r>
        <w:rPr>
          <w:color w:val="231F1F"/>
        </w:rPr>
        <w:t>intervención</w:t>
      </w:r>
      <w:r>
        <w:rPr>
          <w:color w:val="231F1F"/>
          <w:spacing w:val="40"/>
        </w:rPr>
        <w:t> </w:t>
      </w:r>
      <w:r>
        <w:rPr>
          <w:color w:val="231F1F"/>
        </w:rPr>
        <w:t>consistió</w:t>
      </w:r>
      <w:r>
        <w:rPr>
          <w:color w:val="231F1F"/>
          <w:spacing w:val="40"/>
        </w:rPr>
        <w:t> </w:t>
      </w:r>
      <w:r>
        <w:rPr>
          <w:color w:val="231F1F"/>
        </w:rPr>
        <w:t>en</w:t>
      </w:r>
      <w:r>
        <w:rPr>
          <w:color w:val="231F1F"/>
          <w:spacing w:val="40"/>
        </w:rPr>
        <w:t> </w:t>
      </w:r>
      <w:r>
        <w:rPr>
          <w:color w:val="231F1F"/>
        </w:rPr>
        <w:t>dieta</w:t>
      </w:r>
      <w:r>
        <w:rPr>
          <w:color w:val="231F1F"/>
          <w:spacing w:val="40"/>
        </w:rPr>
        <w:t> </w:t>
      </w:r>
      <w:r>
        <w:rPr>
          <w:color w:val="231F1F"/>
        </w:rPr>
        <w:t>baja</w:t>
      </w:r>
      <w:r>
        <w:rPr>
          <w:color w:val="231F1F"/>
          <w:spacing w:val="40"/>
        </w:rPr>
        <w:t> </w:t>
      </w:r>
      <w:r>
        <w:rPr>
          <w:color w:val="231F1F"/>
        </w:rPr>
        <w:t>en</w:t>
      </w:r>
      <w:r>
        <w:rPr>
          <w:color w:val="231F1F"/>
          <w:spacing w:val="40"/>
        </w:rPr>
        <w:t> </w:t>
      </w:r>
      <w:r>
        <w:rPr>
          <w:color w:val="231F1F"/>
        </w:rPr>
        <w:t>residuos</w:t>
      </w:r>
      <w:r>
        <w:rPr>
          <w:color w:val="231F1F"/>
          <w:spacing w:val="40"/>
        </w:rPr>
        <w:t> </w:t>
      </w:r>
      <w:r>
        <w:rPr>
          <w:color w:val="231F1F"/>
        </w:rPr>
        <w:t>(n=45)</w:t>
      </w:r>
      <w:r>
        <w:rPr>
          <w:color w:val="231F1F"/>
          <w:spacing w:val="40"/>
        </w:rPr>
        <w:t> </w:t>
      </w:r>
      <w:r>
        <w:rPr>
          <w:color w:val="231F1F"/>
        </w:rPr>
        <w:t>frente</w:t>
      </w:r>
      <w:r>
        <w:rPr>
          <w:color w:val="231F1F"/>
          <w:spacing w:val="40"/>
        </w:rPr>
        <w:t> </w:t>
      </w:r>
      <w:r>
        <w:rPr>
          <w:color w:val="231F1F"/>
        </w:rPr>
        <w:t>a</w:t>
      </w:r>
      <w:r>
        <w:rPr>
          <w:color w:val="231F1F"/>
          <w:spacing w:val="40"/>
        </w:rPr>
        <w:t> </w:t>
      </w:r>
      <w:r>
        <w:rPr>
          <w:color w:val="231F1F"/>
        </w:rPr>
        <w:t>ayuno</w:t>
      </w:r>
      <w:r>
        <w:rPr>
          <w:color w:val="231F1F"/>
          <w:spacing w:val="40"/>
        </w:rPr>
        <w:t> </w:t>
      </w:r>
      <w:r>
        <w:rPr>
          <w:color w:val="231F1F"/>
        </w:rPr>
        <w:t>(agua </w:t>
      </w:r>
      <w:r>
        <w:rPr>
          <w:color w:val="231F1F"/>
          <w:w w:val="110"/>
        </w:rPr>
        <w:t>únicamente,</w:t>
      </w:r>
      <w:r>
        <w:rPr>
          <w:color w:val="231F1F"/>
          <w:spacing w:val="-16"/>
          <w:w w:val="110"/>
        </w:rPr>
        <w:t> </w:t>
      </w:r>
      <w:r>
        <w:rPr>
          <w:color w:val="231F1F"/>
          <w:w w:val="110"/>
        </w:rPr>
        <w:t>n=43).</w:t>
      </w:r>
      <w:r>
        <w:rPr>
          <w:color w:val="231F1F"/>
          <w:spacing w:val="-14"/>
          <w:w w:val="110"/>
        </w:rPr>
        <w:t> </w:t>
      </w:r>
      <w:r>
        <w:rPr>
          <w:color w:val="231F1F"/>
          <w:w w:val="110"/>
        </w:rPr>
        <w:t>Los</w:t>
      </w:r>
      <w:r>
        <w:rPr>
          <w:color w:val="231F1F"/>
          <w:spacing w:val="-14"/>
          <w:w w:val="110"/>
        </w:rPr>
        <w:t> </w:t>
      </w:r>
      <w:r>
        <w:rPr>
          <w:color w:val="231F1F"/>
          <w:w w:val="110"/>
        </w:rPr>
        <w:t>resultados</w:t>
      </w:r>
      <w:r>
        <w:rPr>
          <w:color w:val="231F1F"/>
          <w:spacing w:val="-14"/>
          <w:w w:val="110"/>
        </w:rPr>
        <w:t> </w:t>
      </w:r>
      <w:r>
        <w:rPr>
          <w:color w:val="231F1F"/>
          <w:w w:val="110"/>
        </w:rPr>
        <w:t>de</w:t>
      </w:r>
      <w:r>
        <w:rPr>
          <w:color w:val="231F1F"/>
          <w:spacing w:val="-14"/>
          <w:w w:val="110"/>
        </w:rPr>
        <w:t> </w:t>
      </w:r>
      <w:r>
        <w:rPr>
          <w:color w:val="231F1F"/>
          <w:w w:val="110"/>
        </w:rPr>
        <w:t>este</w:t>
      </w:r>
      <w:r>
        <w:rPr>
          <w:color w:val="231F1F"/>
          <w:spacing w:val="-14"/>
          <w:w w:val="110"/>
        </w:rPr>
        <w:t> </w:t>
      </w:r>
      <w:r>
        <w:rPr>
          <w:color w:val="231F1F"/>
          <w:w w:val="110"/>
        </w:rPr>
        <w:t>estudio</w:t>
      </w:r>
      <w:r>
        <w:rPr>
          <w:color w:val="231F1F"/>
          <w:spacing w:val="-14"/>
          <w:w w:val="110"/>
        </w:rPr>
        <w:t> </w:t>
      </w:r>
      <w:r>
        <w:rPr>
          <w:color w:val="231F1F"/>
          <w:w w:val="110"/>
        </w:rPr>
        <w:t>mostraron</w:t>
      </w:r>
      <w:r>
        <w:rPr>
          <w:color w:val="231F1F"/>
          <w:spacing w:val="-14"/>
          <w:w w:val="110"/>
        </w:rPr>
        <w:t> </w:t>
      </w:r>
      <w:r>
        <w:rPr>
          <w:color w:val="231F1F"/>
          <w:w w:val="110"/>
        </w:rPr>
        <w:t>que</w:t>
      </w:r>
      <w:r>
        <w:rPr>
          <w:color w:val="231F1F"/>
          <w:spacing w:val="-14"/>
          <w:w w:val="110"/>
        </w:rPr>
        <w:t> </w:t>
      </w:r>
      <w:r>
        <w:rPr>
          <w:color w:val="231F1F"/>
          <w:w w:val="110"/>
        </w:rPr>
        <w:t>la</w:t>
      </w:r>
      <w:r>
        <w:rPr>
          <w:color w:val="231F1F"/>
          <w:spacing w:val="-14"/>
          <w:w w:val="110"/>
        </w:rPr>
        <w:t> </w:t>
      </w:r>
      <w:r>
        <w:rPr>
          <w:color w:val="231F1F"/>
          <w:w w:val="110"/>
        </w:rPr>
        <w:t>restric- ción</w:t>
      </w:r>
      <w:r>
        <w:rPr>
          <w:color w:val="231F1F"/>
          <w:spacing w:val="-15"/>
          <w:w w:val="110"/>
        </w:rPr>
        <w:t> </w:t>
      </w:r>
      <w:r>
        <w:rPr>
          <w:color w:val="231F1F"/>
          <w:w w:val="110"/>
        </w:rPr>
        <w:t>de</w:t>
      </w:r>
      <w:r>
        <w:rPr>
          <w:color w:val="231F1F"/>
          <w:spacing w:val="-15"/>
          <w:w w:val="110"/>
        </w:rPr>
        <w:t> </w:t>
      </w:r>
      <w:r>
        <w:rPr>
          <w:color w:val="231F1F"/>
          <w:w w:val="110"/>
        </w:rPr>
        <w:t>comida</w:t>
      </w:r>
      <w:r>
        <w:rPr>
          <w:color w:val="231F1F"/>
          <w:spacing w:val="-15"/>
          <w:w w:val="110"/>
        </w:rPr>
        <w:t> </w:t>
      </w:r>
      <w:r>
        <w:rPr>
          <w:color w:val="231F1F"/>
          <w:w w:val="110"/>
        </w:rPr>
        <w:t>durante</w:t>
      </w:r>
      <w:r>
        <w:rPr>
          <w:color w:val="231F1F"/>
          <w:spacing w:val="-15"/>
          <w:w w:val="110"/>
        </w:rPr>
        <w:t> </w:t>
      </w:r>
      <w:r>
        <w:rPr>
          <w:color w:val="231F1F"/>
          <w:w w:val="110"/>
        </w:rPr>
        <w:t>el</w:t>
      </w:r>
      <w:r>
        <w:rPr>
          <w:color w:val="231F1F"/>
          <w:spacing w:val="-15"/>
          <w:w w:val="110"/>
        </w:rPr>
        <w:t> </w:t>
      </w:r>
      <w:r>
        <w:rPr>
          <w:color w:val="231F1F"/>
          <w:w w:val="110"/>
        </w:rPr>
        <w:t>transcurso</w:t>
      </w:r>
      <w:r>
        <w:rPr>
          <w:color w:val="231F1F"/>
          <w:spacing w:val="-15"/>
          <w:w w:val="110"/>
        </w:rPr>
        <w:t> </w:t>
      </w:r>
      <w:r>
        <w:rPr>
          <w:color w:val="231F1F"/>
          <w:w w:val="110"/>
        </w:rPr>
        <w:t>del</w:t>
      </w:r>
      <w:r>
        <w:rPr>
          <w:color w:val="231F1F"/>
          <w:spacing w:val="-16"/>
          <w:w w:val="110"/>
        </w:rPr>
        <w:t> </w:t>
      </w:r>
      <w:r>
        <w:rPr>
          <w:color w:val="231F1F"/>
          <w:w w:val="110"/>
        </w:rPr>
        <w:t>parto</w:t>
      </w:r>
      <w:r>
        <w:rPr>
          <w:color w:val="231F1F"/>
          <w:spacing w:val="-13"/>
          <w:w w:val="110"/>
        </w:rPr>
        <w:t> </w:t>
      </w:r>
      <w:r>
        <w:rPr>
          <w:color w:val="231F1F"/>
          <w:w w:val="110"/>
        </w:rPr>
        <w:t>podía</w:t>
      </w:r>
      <w:r>
        <w:rPr>
          <w:color w:val="231F1F"/>
          <w:spacing w:val="-15"/>
          <w:w w:val="110"/>
        </w:rPr>
        <w:t> </w:t>
      </w:r>
      <w:r>
        <w:rPr>
          <w:color w:val="231F1F"/>
          <w:w w:val="110"/>
        </w:rPr>
        <w:t>inducir</w:t>
      </w:r>
      <w:r>
        <w:rPr>
          <w:color w:val="231F1F"/>
          <w:spacing w:val="-15"/>
          <w:w w:val="110"/>
        </w:rPr>
        <w:t> </w:t>
      </w:r>
      <w:r>
        <w:rPr>
          <w:color w:val="231F1F"/>
          <w:w w:val="110"/>
        </w:rPr>
        <w:t>cetosis,</w:t>
      </w:r>
      <w:r>
        <w:rPr>
          <w:color w:val="231F1F"/>
          <w:spacing w:val="-15"/>
          <w:w w:val="110"/>
        </w:rPr>
        <w:t> </w:t>
      </w:r>
      <w:r>
        <w:rPr>
          <w:color w:val="231F1F"/>
          <w:w w:val="110"/>
        </w:rPr>
        <w:t>ya</w:t>
      </w:r>
      <w:r>
        <w:rPr>
          <w:color w:val="231F1F"/>
          <w:spacing w:val="-15"/>
          <w:w w:val="110"/>
        </w:rPr>
        <w:t> </w:t>
      </w:r>
      <w:r>
        <w:rPr>
          <w:color w:val="231F1F"/>
          <w:w w:val="110"/>
        </w:rPr>
        <w:t>que provoca</w:t>
      </w:r>
      <w:r>
        <w:rPr>
          <w:color w:val="231F1F"/>
          <w:spacing w:val="58"/>
          <w:w w:val="150"/>
        </w:rPr>
        <w:t> </w:t>
      </w:r>
      <w:r>
        <w:rPr>
          <w:color w:val="231F1F"/>
          <w:w w:val="110"/>
        </w:rPr>
        <w:t>un</w:t>
      </w:r>
      <w:r>
        <w:rPr>
          <w:color w:val="231F1F"/>
          <w:spacing w:val="72"/>
          <w:w w:val="110"/>
        </w:rPr>
        <w:t> </w:t>
      </w:r>
      <w:r>
        <w:rPr>
          <w:color w:val="231F1F"/>
          <w:w w:val="110"/>
        </w:rPr>
        <w:t>incremento</w:t>
      </w:r>
      <w:r>
        <w:rPr>
          <w:color w:val="231F1F"/>
          <w:spacing w:val="59"/>
          <w:w w:val="150"/>
        </w:rPr>
        <w:t> </w:t>
      </w:r>
      <w:r>
        <w:rPr>
          <w:color w:val="231F1F"/>
          <w:spacing w:val="9"/>
          <w:w w:val="110"/>
        </w:rPr>
        <w:t>significativo</w:t>
      </w:r>
      <w:r>
        <w:rPr>
          <w:color w:val="231F1F"/>
          <w:spacing w:val="71"/>
          <w:w w:val="150"/>
        </w:rPr>
        <w:t> </w:t>
      </w:r>
      <w:r>
        <w:rPr>
          <w:color w:val="231F1F"/>
          <w:w w:val="110"/>
        </w:rPr>
        <w:t>en</w:t>
      </w:r>
      <w:r>
        <w:rPr>
          <w:color w:val="231F1F"/>
          <w:spacing w:val="73"/>
          <w:w w:val="110"/>
        </w:rPr>
        <w:t> </w:t>
      </w:r>
      <w:r>
        <w:rPr>
          <w:color w:val="231F1F"/>
          <w:w w:val="110"/>
        </w:rPr>
        <w:t>los</w:t>
      </w:r>
      <w:r>
        <w:rPr>
          <w:color w:val="231F1F"/>
          <w:spacing w:val="72"/>
          <w:w w:val="110"/>
        </w:rPr>
        <w:t> </w:t>
      </w:r>
      <w:r>
        <w:rPr>
          <w:color w:val="231F1F"/>
          <w:w w:val="110"/>
        </w:rPr>
        <w:t>niveles</w:t>
      </w:r>
      <w:r>
        <w:rPr>
          <w:color w:val="231F1F"/>
          <w:spacing w:val="58"/>
          <w:w w:val="150"/>
        </w:rPr>
        <w:t> </w:t>
      </w:r>
      <w:r>
        <w:rPr>
          <w:color w:val="231F1F"/>
          <w:w w:val="110"/>
        </w:rPr>
        <w:t>plasmáticos</w:t>
      </w:r>
      <w:r>
        <w:rPr>
          <w:color w:val="231F1F"/>
          <w:spacing w:val="69"/>
          <w:w w:val="150"/>
        </w:rPr>
        <w:t> </w:t>
      </w:r>
      <w:r>
        <w:rPr>
          <w:color w:val="231F1F"/>
          <w:spacing w:val="-5"/>
          <w:w w:val="110"/>
        </w:rPr>
        <w:t>de</w:t>
      </w:r>
    </w:p>
    <w:p>
      <w:pPr>
        <w:pStyle w:val="BodyText"/>
        <w:spacing w:line="254" w:lineRule="auto" w:before="3"/>
        <w:ind w:left="287" w:right="1513" w:hanging="1"/>
      </w:pPr>
      <w:r>
        <w:rPr>
          <w:rFonts w:ascii="Symbol" w:hAnsi="Symbol"/>
          <w:color w:val="231F1F"/>
          <w:w w:val="105"/>
        </w:rPr>
        <w:t></w:t>
      </w:r>
      <w:r>
        <w:rPr>
          <w:color w:val="231F1F"/>
          <w:w w:val="105"/>
        </w:rPr>
        <w:t>-hidroxibutirato</w:t>
      </w:r>
      <w:r>
        <w:rPr>
          <w:color w:val="231F1F"/>
          <w:spacing w:val="-12"/>
          <w:w w:val="105"/>
        </w:rPr>
        <w:t> </w:t>
      </w:r>
      <w:r>
        <w:rPr>
          <w:color w:val="231F1F"/>
          <w:w w:val="105"/>
        </w:rPr>
        <w:t>(p&lt;0,001)</w:t>
      </w:r>
      <w:r>
        <w:rPr>
          <w:color w:val="231F1F"/>
          <w:spacing w:val="-10"/>
          <w:w w:val="105"/>
        </w:rPr>
        <w:t> </w:t>
      </w:r>
      <w:r>
        <w:rPr>
          <w:color w:val="231F1F"/>
          <w:w w:val="105"/>
        </w:rPr>
        <w:t>y</w:t>
      </w:r>
      <w:r>
        <w:rPr>
          <w:color w:val="231F1F"/>
          <w:spacing w:val="-10"/>
          <w:w w:val="105"/>
        </w:rPr>
        <w:t> </w:t>
      </w:r>
      <w:r>
        <w:rPr>
          <w:color w:val="231F1F"/>
          <w:w w:val="105"/>
        </w:rPr>
        <w:t>en</w:t>
      </w:r>
      <w:r>
        <w:rPr>
          <w:color w:val="231F1F"/>
          <w:spacing w:val="-10"/>
          <w:w w:val="105"/>
        </w:rPr>
        <w:t> </w:t>
      </w:r>
      <w:r>
        <w:rPr>
          <w:color w:val="231F1F"/>
          <w:w w:val="105"/>
        </w:rPr>
        <w:t>los</w:t>
      </w:r>
      <w:r>
        <w:rPr>
          <w:color w:val="231F1F"/>
          <w:spacing w:val="-10"/>
          <w:w w:val="105"/>
        </w:rPr>
        <w:t> </w:t>
      </w:r>
      <w:r>
        <w:rPr>
          <w:color w:val="231F1F"/>
          <w:w w:val="105"/>
        </w:rPr>
        <w:t>ácidos</w:t>
      </w:r>
      <w:r>
        <w:rPr>
          <w:color w:val="231F1F"/>
          <w:spacing w:val="-10"/>
          <w:w w:val="105"/>
        </w:rPr>
        <w:t> </w:t>
      </w:r>
      <w:r>
        <w:rPr>
          <w:color w:val="231F1F"/>
          <w:w w:val="105"/>
        </w:rPr>
        <w:t>grasos</w:t>
      </w:r>
      <w:r>
        <w:rPr>
          <w:color w:val="231F1F"/>
          <w:spacing w:val="-10"/>
          <w:w w:val="105"/>
        </w:rPr>
        <w:t> </w:t>
      </w:r>
      <w:r>
        <w:rPr>
          <w:color w:val="231F1F"/>
          <w:w w:val="105"/>
        </w:rPr>
        <w:t>no</w:t>
      </w:r>
      <w:r>
        <w:rPr>
          <w:color w:val="231F1F"/>
          <w:spacing w:val="-10"/>
          <w:w w:val="105"/>
        </w:rPr>
        <w:t> </w:t>
      </w:r>
      <w:r>
        <w:rPr>
          <w:color w:val="231F1F"/>
          <w:w w:val="105"/>
        </w:rPr>
        <w:t>esterificados</w:t>
      </w:r>
      <w:r>
        <w:rPr>
          <w:color w:val="231F1F"/>
          <w:spacing w:val="-10"/>
          <w:w w:val="105"/>
        </w:rPr>
        <w:t> </w:t>
      </w:r>
      <w:r>
        <w:rPr>
          <w:color w:val="231F1F"/>
          <w:w w:val="105"/>
        </w:rPr>
        <w:t>(p&lt;0,001), en</w:t>
      </w:r>
      <w:r>
        <w:rPr>
          <w:color w:val="231F1F"/>
          <w:spacing w:val="-1"/>
          <w:w w:val="105"/>
        </w:rPr>
        <w:t> </w:t>
      </w:r>
      <w:r>
        <w:rPr>
          <w:color w:val="231F1F"/>
          <w:w w:val="105"/>
        </w:rPr>
        <w:t>comparación</w:t>
      </w:r>
      <w:r>
        <w:rPr>
          <w:color w:val="231F1F"/>
          <w:spacing w:val="-1"/>
          <w:w w:val="105"/>
        </w:rPr>
        <w:t> </w:t>
      </w:r>
      <w:r>
        <w:rPr>
          <w:color w:val="231F1F"/>
          <w:w w:val="105"/>
        </w:rPr>
        <w:t>con</w:t>
      </w:r>
      <w:r>
        <w:rPr>
          <w:color w:val="231F1F"/>
          <w:spacing w:val="-1"/>
          <w:w w:val="105"/>
        </w:rPr>
        <w:t> </w:t>
      </w:r>
      <w:r>
        <w:rPr>
          <w:color w:val="231F1F"/>
          <w:w w:val="105"/>
        </w:rPr>
        <w:t>la administración</w:t>
      </w:r>
      <w:r>
        <w:rPr>
          <w:color w:val="231F1F"/>
          <w:spacing w:val="-1"/>
          <w:w w:val="105"/>
        </w:rPr>
        <w:t> </w:t>
      </w:r>
      <w:r>
        <w:rPr>
          <w:color w:val="231F1F"/>
          <w:w w:val="105"/>
        </w:rPr>
        <w:t>de una dieta de bajo</w:t>
      </w:r>
      <w:r>
        <w:rPr>
          <w:color w:val="231F1F"/>
          <w:spacing w:val="-1"/>
          <w:w w:val="105"/>
        </w:rPr>
        <w:t> </w:t>
      </w:r>
      <w:r>
        <w:rPr>
          <w:color w:val="231F1F"/>
          <w:w w:val="105"/>
        </w:rPr>
        <w:t>residuo.</w:t>
      </w:r>
      <w:r>
        <w:rPr>
          <w:color w:val="231F1F"/>
          <w:spacing w:val="-1"/>
          <w:w w:val="105"/>
        </w:rPr>
        <w:t> </w:t>
      </w:r>
      <w:r>
        <w:rPr>
          <w:color w:val="231F1F"/>
          <w:w w:val="105"/>
        </w:rPr>
        <w:t>También se observó un incremento significativo en la glucosa plasmática (p=0,003) y en la insulina en plasma (p=0,017) en el grupo sin restricción de comida con respecto al grupo</w:t>
      </w:r>
      <w:r>
        <w:rPr>
          <w:color w:val="231F1F"/>
          <w:spacing w:val="21"/>
          <w:w w:val="105"/>
        </w:rPr>
        <w:t> </w:t>
      </w:r>
      <w:r>
        <w:rPr>
          <w:color w:val="231F1F"/>
          <w:w w:val="105"/>
        </w:rPr>
        <w:t>de ayuno.</w:t>
      </w:r>
      <w:r>
        <w:rPr>
          <w:color w:val="231F1F"/>
          <w:spacing w:val="21"/>
          <w:w w:val="105"/>
        </w:rPr>
        <w:t> </w:t>
      </w:r>
      <w:r>
        <w:rPr>
          <w:color w:val="231F1F"/>
          <w:w w:val="105"/>
        </w:rPr>
        <w:t>El área transversal del antro gástrico dentro de</w:t>
      </w:r>
      <w:r>
        <w:rPr>
          <w:color w:val="231F1F"/>
          <w:spacing w:val="40"/>
          <w:w w:val="105"/>
        </w:rPr>
        <w:t> </w:t>
      </w:r>
      <w:r>
        <w:rPr>
          <w:color w:val="231F1F"/>
          <w:w w:val="105"/>
        </w:rPr>
        <w:t>la primera hora de trabajo de parto fue significativamente mayor en el grupo sin</w:t>
      </w:r>
      <w:r>
        <w:rPr>
          <w:color w:val="231F1F"/>
          <w:spacing w:val="30"/>
          <w:w w:val="105"/>
        </w:rPr>
        <w:t> </w:t>
      </w:r>
      <w:r>
        <w:rPr>
          <w:color w:val="231F1F"/>
          <w:w w:val="105"/>
        </w:rPr>
        <w:t>restricción</w:t>
      </w:r>
      <w:r>
        <w:rPr>
          <w:color w:val="231F1F"/>
          <w:spacing w:val="30"/>
          <w:w w:val="105"/>
        </w:rPr>
        <w:t> </w:t>
      </w:r>
      <w:r>
        <w:rPr>
          <w:color w:val="231F1F"/>
          <w:w w:val="105"/>
        </w:rPr>
        <w:t>de</w:t>
      </w:r>
      <w:r>
        <w:rPr>
          <w:color w:val="231F1F"/>
          <w:spacing w:val="30"/>
          <w:w w:val="105"/>
        </w:rPr>
        <w:t> </w:t>
      </w:r>
      <w:r>
        <w:rPr>
          <w:color w:val="231F1F"/>
          <w:w w:val="105"/>
        </w:rPr>
        <w:t>comida</w:t>
      </w:r>
      <w:r>
        <w:rPr>
          <w:color w:val="231F1F"/>
          <w:spacing w:val="30"/>
          <w:w w:val="105"/>
        </w:rPr>
        <w:t> </w:t>
      </w:r>
      <w:r>
        <w:rPr>
          <w:color w:val="231F1F"/>
          <w:w w:val="105"/>
        </w:rPr>
        <w:t>(p=0,001),</w:t>
      </w:r>
      <w:r>
        <w:rPr>
          <w:color w:val="231F1F"/>
          <w:spacing w:val="31"/>
          <w:w w:val="105"/>
        </w:rPr>
        <w:t> </w:t>
      </w:r>
      <w:r>
        <w:rPr>
          <w:color w:val="231F1F"/>
          <w:w w:val="105"/>
        </w:rPr>
        <w:t>teniendo</w:t>
      </w:r>
      <w:r>
        <w:rPr>
          <w:color w:val="231F1F"/>
          <w:spacing w:val="29"/>
          <w:w w:val="105"/>
        </w:rPr>
        <w:t> </w:t>
      </w:r>
      <w:r>
        <w:rPr>
          <w:color w:val="231F1F"/>
          <w:w w:val="105"/>
        </w:rPr>
        <w:t>estas</w:t>
      </w:r>
      <w:r>
        <w:rPr>
          <w:color w:val="231F1F"/>
          <w:spacing w:val="31"/>
          <w:w w:val="105"/>
        </w:rPr>
        <w:t> </w:t>
      </w:r>
      <w:r>
        <w:rPr>
          <w:color w:val="231F1F"/>
          <w:w w:val="105"/>
        </w:rPr>
        <w:t>mujeres</w:t>
      </w:r>
      <w:r>
        <w:rPr>
          <w:color w:val="231F1F"/>
          <w:spacing w:val="30"/>
          <w:w w:val="105"/>
        </w:rPr>
        <w:t> </w:t>
      </w:r>
      <w:r>
        <w:rPr>
          <w:color w:val="231F1F"/>
          <w:w w:val="105"/>
        </w:rPr>
        <w:t>un</w:t>
      </w:r>
      <w:r>
        <w:rPr>
          <w:color w:val="231F1F"/>
          <w:spacing w:val="30"/>
          <w:w w:val="105"/>
        </w:rPr>
        <w:t> </w:t>
      </w:r>
      <w:r>
        <w:rPr>
          <w:color w:val="231F1F"/>
          <w:w w:val="105"/>
        </w:rPr>
        <w:t>riesgo</w:t>
      </w:r>
      <w:r>
        <w:rPr>
          <w:color w:val="231F1F"/>
          <w:spacing w:val="31"/>
          <w:w w:val="105"/>
        </w:rPr>
        <w:t> </w:t>
      </w:r>
      <w:r>
        <w:rPr>
          <w:color w:val="231F1F"/>
          <w:w w:val="105"/>
        </w:rPr>
        <w:t>dos veces mayor de sufrir vómitos en el momento de dar a luz (p=0,046) y sien- do los volúmenes vomitados significativamente mayores (p=0,001). Los ni- veles de ácido láctico fueron similares en ambos grupos. En el estudio no se observaron diferencias significativas en resultados maternos (duración de la primera</w:t>
      </w:r>
      <w:r>
        <w:rPr>
          <w:color w:val="231F1F"/>
          <w:spacing w:val="37"/>
          <w:w w:val="105"/>
        </w:rPr>
        <w:t> </w:t>
      </w:r>
      <w:r>
        <w:rPr>
          <w:color w:val="231F1F"/>
          <w:w w:val="105"/>
        </w:rPr>
        <w:t>y</w:t>
      </w:r>
      <w:r>
        <w:rPr>
          <w:color w:val="231F1F"/>
          <w:spacing w:val="38"/>
          <w:w w:val="105"/>
        </w:rPr>
        <w:t> </w:t>
      </w:r>
      <w:r>
        <w:rPr>
          <w:color w:val="231F1F"/>
          <w:w w:val="105"/>
        </w:rPr>
        <w:t>segunda</w:t>
      </w:r>
      <w:r>
        <w:rPr>
          <w:color w:val="231F1F"/>
          <w:spacing w:val="37"/>
          <w:w w:val="105"/>
        </w:rPr>
        <w:t> </w:t>
      </w:r>
      <w:r>
        <w:rPr>
          <w:color w:val="231F1F"/>
          <w:w w:val="105"/>
        </w:rPr>
        <w:t>etapa</w:t>
      </w:r>
      <w:r>
        <w:rPr>
          <w:color w:val="231F1F"/>
          <w:spacing w:val="38"/>
          <w:w w:val="105"/>
        </w:rPr>
        <w:t> </w:t>
      </w:r>
      <w:r>
        <w:rPr>
          <w:color w:val="231F1F"/>
          <w:w w:val="105"/>
        </w:rPr>
        <w:t>del</w:t>
      </w:r>
      <w:r>
        <w:rPr>
          <w:color w:val="231F1F"/>
          <w:spacing w:val="36"/>
          <w:w w:val="105"/>
        </w:rPr>
        <w:t> </w:t>
      </w:r>
      <w:r>
        <w:rPr>
          <w:color w:val="231F1F"/>
          <w:w w:val="105"/>
        </w:rPr>
        <w:t>parto,</w:t>
      </w:r>
      <w:r>
        <w:rPr>
          <w:color w:val="231F1F"/>
          <w:spacing w:val="37"/>
          <w:w w:val="105"/>
        </w:rPr>
        <w:t> </w:t>
      </w:r>
      <w:r>
        <w:rPr>
          <w:color w:val="231F1F"/>
          <w:w w:val="105"/>
        </w:rPr>
        <w:t>requerimientos</w:t>
      </w:r>
      <w:r>
        <w:rPr>
          <w:color w:val="231F1F"/>
          <w:spacing w:val="38"/>
          <w:w w:val="105"/>
        </w:rPr>
        <w:t> </w:t>
      </w:r>
      <w:r>
        <w:rPr>
          <w:color w:val="231F1F"/>
          <w:w w:val="105"/>
        </w:rPr>
        <w:t>de</w:t>
      </w:r>
      <w:r>
        <w:rPr>
          <w:color w:val="231F1F"/>
          <w:spacing w:val="37"/>
          <w:w w:val="105"/>
        </w:rPr>
        <w:t> </w:t>
      </w:r>
      <w:r>
        <w:rPr>
          <w:color w:val="231F1F"/>
          <w:w w:val="105"/>
        </w:rPr>
        <w:t>oxitocina</w:t>
      </w:r>
      <w:r>
        <w:rPr>
          <w:color w:val="231F1F"/>
          <w:spacing w:val="37"/>
          <w:w w:val="105"/>
        </w:rPr>
        <w:t> </w:t>
      </w:r>
      <w:r>
        <w:rPr>
          <w:color w:val="231F1F"/>
          <w:w w:val="105"/>
        </w:rPr>
        <w:t>o</w:t>
      </w:r>
      <w:r>
        <w:rPr>
          <w:color w:val="231F1F"/>
          <w:spacing w:val="38"/>
          <w:w w:val="105"/>
        </w:rPr>
        <w:t> </w:t>
      </w:r>
      <w:r>
        <w:rPr>
          <w:color w:val="231F1F"/>
          <w:w w:val="105"/>
        </w:rPr>
        <w:t>tipo</w:t>
      </w:r>
      <w:r>
        <w:rPr>
          <w:color w:val="231F1F"/>
          <w:spacing w:val="38"/>
          <w:w w:val="105"/>
        </w:rPr>
        <w:t> </w:t>
      </w:r>
      <w:r>
        <w:rPr>
          <w:color w:val="231F1F"/>
          <w:w w:val="105"/>
        </w:rPr>
        <w:t>de parto) o neonatales (puntuación de Apgar, gases en sangre umbilical arterial y venosa) entre los dos grupos.</w:t>
      </w:r>
    </w:p>
    <w:p>
      <w:pPr>
        <w:pStyle w:val="BodyText"/>
        <w:spacing w:after="0" w:line="254" w:lineRule="auto"/>
        <w:sectPr>
          <w:pgSz w:w="11900" w:h="16840"/>
          <w:pgMar w:header="0" w:footer="622" w:top="1560" w:bottom="820" w:left="1417" w:right="1559"/>
        </w:sectPr>
      </w:pPr>
    </w:p>
    <w:p>
      <w:pPr>
        <w:spacing w:before="82"/>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3"/>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pacing w:val="-2"/>
          <w:sz w:val="24"/>
        </w:rPr>
        <w:t>2008)</w:t>
      </w:r>
    </w:p>
    <w:p>
      <w:pPr>
        <w:pStyle w:val="BodyText"/>
        <w:spacing w:line="247" w:lineRule="auto" w:before="171"/>
        <w:ind w:left="283" w:right="1"/>
        <w:jc w:val="both"/>
      </w:pPr>
      <w:r>
        <w:rPr>
          <w:color w:val="231F1F"/>
          <w:w w:val="110"/>
        </w:rPr>
        <w:t>En la actualización se seleccionó la GPC para la anestesia obstétrica de la ASA Task Force (16). Se trata de una GPC basada en opinión de expertos. En</w:t>
      </w:r>
      <w:r>
        <w:rPr>
          <w:color w:val="231F1F"/>
          <w:spacing w:val="-11"/>
          <w:w w:val="110"/>
        </w:rPr>
        <w:t> </w:t>
      </w:r>
      <w:r>
        <w:rPr>
          <w:color w:val="231F1F"/>
          <w:w w:val="110"/>
        </w:rPr>
        <w:t>ella</w:t>
      </w:r>
      <w:r>
        <w:rPr>
          <w:color w:val="231F1F"/>
          <w:spacing w:val="-12"/>
          <w:w w:val="110"/>
        </w:rPr>
        <w:t> </w:t>
      </w:r>
      <w:r>
        <w:rPr>
          <w:color w:val="231F1F"/>
          <w:w w:val="110"/>
        </w:rPr>
        <w:t>se</w:t>
      </w:r>
      <w:r>
        <w:rPr>
          <w:color w:val="231F1F"/>
          <w:spacing w:val="-11"/>
          <w:w w:val="110"/>
        </w:rPr>
        <w:t> </w:t>
      </w:r>
      <w:r>
        <w:rPr>
          <w:color w:val="231F1F"/>
          <w:w w:val="110"/>
        </w:rPr>
        <w:t>evalúa</w:t>
      </w:r>
      <w:r>
        <w:rPr>
          <w:color w:val="231F1F"/>
          <w:spacing w:val="-11"/>
          <w:w w:val="110"/>
        </w:rPr>
        <w:t> </w:t>
      </w:r>
      <w:r>
        <w:rPr>
          <w:color w:val="231F1F"/>
          <w:w w:val="110"/>
        </w:rPr>
        <w:t>la</w:t>
      </w:r>
      <w:r>
        <w:rPr>
          <w:color w:val="231F1F"/>
          <w:spacing w:val="-11"/>
          <w:w w:val="110"/>
        </w:rPr>
        <w:t> </w:t>
      </w:r>
      <w:r>
        <w:rPr>
          <w:color w:val="231F1F"/>
          <w:w w:val="110"/>
        </w:rPr>
        <w:t>restricción</w:t>
      </w:r>
      <w:r>
        <w:rPr>
          <w:color w:val="231F1F"/>
          <w:spacing w:val="-11"/>
          <w:w w:val="110"/>
        </w:rPr>
        <w:t> </w:t>
      </w:r>
      <w:r>
        <w:rPr>
          <w:color w:val="231F1F"/>
          <w:w w:val="110"/>
        </w:rPr>
        <w:t>de</w:t>
      </w:r>
      <w:r>
        <w:rPr>
          <w:color w:val="231F1F"/>
          <w:spacing w:val="-11"/>
          <w:w w:val="110"/>
        </w:rPr>
        <w:t> </w:t>
      </w:r>
      <w:r>
        <w:rPr>
          <w:color w:val="231F1F"/>
          <w:w w:val="110"/>
        </w:rPr>
        <w:t>líquidos</w:t>
      </w:r>
      <w:r>
        <w:rPr>
          <w:color w:val="231F1F"/>
          <w:spacing w:val="-12"/>
          <w:w w:val="110"/>
        </w:rPr>
        <w:t> </w:t>
      </w:r>
      <w:r>
        <w:rPr>
          <w:color w:val="231F1F"/>
          <w:w w:val="110"/>
        </w:rPr>
        <w:t>y</w:t>
      </w:r>
      <w:r>
        <w:rPr>
          <w:color w:val="231F1F"/>
          <w:spacing w:val="-11"/>
          <w:w w:val="110"/>
        </w:rPr>
        <w:t> </w:t>
      </w:r>
      <w:r>
        <w:rPr>
          <w:color w:val="231F1F"/>
          <w:w w:val="110"/>
        </w:rPr>
        <w:t>sólidos</w:t>
      </w:r>
      <w:r>
        <w:rPr>
          <w:color w:val="231F1F"/>
          <w:spacing w:val="-12"/>
          <w:w w:val="110"/>
        </w:rPr>
        <w:t> </w:t>
      </w:r>
      <w:r>
        <w:rPr>
          <w:color w:val="231F1F"/>
          <w:w w:val="110"/>
        </w:rPr>
        <w:t>para</w:t>
      </w:r>
      <w:r>
        <w:rPr>
          <w:color w:val="231F1F"/>
          <w:spacing w:val="-12"/>
          <w:w w:val="110"/>
        </w:rPr>
        <w:t> </w:t>
      </w:r>
      <w:r>
        <w:rPr>
          <w:color w:val="231F1F"/>
          <w:w w:val="110"/>
        </w:rPr>
        <w:t>la</w:t>
      </w:r>
      <w:r>
        <w:rPr>
          <w:color w:val="231F1F"/>
          <w:spacing w:val="-11"/>
          <w:w w:val="110"/>
        </w:rPr>
        <w:t> </w:t>
      </w:r>
      <w:r>
        <w:rPr>
          <w:color w:val="231F1F"/>
          <w:w w:val="110"/>
        </w:rPr>
        <w:t>prevención</w:t>
      </w:r>
      <w:r>
        <w:rPr>
          <w:color w:val="231F1F"/>
          <w:spacing w:val="-12"/>
          <w:w w:val="110"/>
        </w:rPr>
        <w:t> </w:t>
      </w:r>
      <w:r>
        <w:rPr>
          <w:color w:val="231F1F"/>
          <w:w w:val="110"/>
        </w:rPr>
        <w:t>de</w:t>
      </w:r>
      <w:r>
        <w:rPr>
          <w:color w:val="231F1F"/>
          <w:spacing w:val="-11"/>
          <w:w w:val="110"/>
        </w:rPr>
        <w:t> </w:t>
      </w:r>
      <w:r>
        <w:rPr>
          <w:color w:val="231F1F"/>
          <w:w w:val="110"/>
        </w:rPr>
        <w:t>la aspiración en mujeres que pudieran terminar utilizando anestesia. El GEG de</w:t>
      </w:r>
      <w:r>
        <w:rPr>
          <w:color w:val="231F1F"/>
          <w:spacing w:val="-16"/>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de</w:t>
      </w:r>
      <w:r>
        <w:rPr>
          <w:color w:val="231F1F"/>
          <w:spacing w:val="-15"/>
          <w:w w:val="110"/>
        </w:rPr>
        <w:t> </w:t>
      </w:r>
      <w:r>
        <w:rPr>
          <w:color w:val="231F1F"/>
          <w:w w:val="110"/>
        </w:rPr>
        <w:t>Task</w:t>
      </w:r>
      <w:r>
        <w:rPr>
          <w:color w:val="231F1F"/>
          <w:spacing w:val="-15"/>
          <w:w w:val="110"/>
        </w:rPr>
        <w:t> </w:t>
      </w:r>
      <w:r>
        <w:rPr>
          <w:color w:val="231F1F"/>
          <w:w w:val="110"/>
        </w:rPr>
        <w:t>Force</w:t>
      </w:r>
      <w:r>
        <w:rPr>
          <w:color w:val="231F1F"/>
          <w:spacing w:val="-15"/>
          <w:w w:val="110"/>
        </w:rPr>
        <w:t> </w:t>
      </w:r>
      <w:r>
        <w:rPr>
          <w:color w:val="231F1F"/>
          <w:w w:val="110"/>
        </w:rPr>
        <w:t>consensúa</w:t>
      </w:r>
      <w:r>
        <w:rPr>
          <w:color w:val="231F1F"/>
          <w:spacing w:val="-14"/>
          <w:w w:val="110"/>
        </w:rPr>
        <w:t> </w:t>
      </w:r>
      <w:r>
        <w:rPr>
          <w:color w:val="231F1F"/>
          <w:w w:val="110"/>
        </w:rPr>
        <w:t>que</w:t>
      </w:r>
      <w:r>
        <w:rPr>
          <w:color w:val="231F1F"/>
          <w:spacing w:val="-11"/>
          <w:w w:val="110"/>
        </w:rPr>
        <w:t> </w:t>
      </w:r>
      <w:r>
        <w:rPr>
          <w:color w:val="231F1F"/>
          <w:w w:val="110"/>
        </w:rPr>
        <w:t>la</w:t>
      </w:r>
      <w:r>
        <w:rPr>
          <w:color w:val="231F1F"/>
          <w:spacing w:val="-11"/>
          <w:w w:val="110"/>
        </w:rPr>
        <w:t> </w:t>
      </w:r>
      <w:r>
        <w:rPr>
          <w:i/>
          <w:color w:val="231F1F"/>
          <w:w w:val="110"/>
        </w:rPr>
        <w:t>ingesta</w:t>
      </w:r>
      <w:r>
        <w:rPr>
          <w:i/>
          <w:color w:val="231F1F"/>
          <w:spacing w:val="-16"/>
          <w:w w:val="110"/>
        </w:rPr>
        <w:t> </w:t>
      </w:r>
      <w:r>
        <w:rPr>
          <w:i/>
          <w:color w:val="231F1F"/>
          <w:w w:val="110"/>
        </w:rPr>
        <w:t>de</w:t>
      </w:r>
      <w:r>
        <w:rPr>
          <w:i/>
          <w:color w:val="231F1F"/>
          <w:spacing w:val="-15"/>
          <w:w w:val="110"/>
        </w:rPr>
        <w:t> </w:t>
      </w:r>
      <w:r>
        <w:rPr>
          <w:i/>
          <w:color w:val="231F1F"/>
          <w:w w:val="110"/>
        </w:rPr>
        <w:t>líquidos</w:t>
      </w:r>
      <w:r>
        <w:rPr>
          <w:i/>
          <w:color w:val="231F1F"/>
          <w:spacing w:val="-15"/>
          <w:w w:val="110"/>
        </w:rPr>
        <w:t> </w:t>
      </w:r>
      <w:r>
        <w:rPr>
          <w:i/>
          <w:color w:val="231F1F"/>
          <w:w w:val="110"/>
        </w:rPr>
        <w:t>claros</w:t>
      </w:r>
      <w:r>
        <w:rPr>
          <w:i/>
          <w:color w:val="231F1F"/>
          <w:spacing w:val="-15"/>
          <w:w w:val="110"/>
        </w:rPr>
        <w:t> </w:t>
      </w:r>
      <w:r>
        <w:rPr>
          <w:color w:val="231F1F"/>
          <w:w w:val="110"/>
        </w:rPr>
        <w:t>durante el</w:t>
      </w:r>
      <w:r>
        <w:rPr>
          <w:color w:val="231F1F"/>
          <w:spacing w:val="-5"/>
          <w:w w:val="110"/>
        </w:rPr>
        <w:t> </w:t>
      </w:r>
      <w:r>
        <w:rPr>
          <w:color w:val="231F1F"/>
          <w:w w:val="110"/>
        </w:rPr>
        <w:t>parto</w:t>
      </w:r>
      <w:r>
        <w:rPr>
          <w:color w:val="231F1F"/>
          <w:spacing w:val="-4"/>
          <w:w w:val="110"/>
        </w:rPr>
        <w:t> </w:t>
      </w:r>
      <w:r>
        <w:rPr>
          <w:color w:val="231F1F"/>
          <w:w w:val="110"/>
        </w:rPr>
        <w:t>mejora</w:t>
      </w:r>
      <w:r>
        <w:rPr>
          <w:color w:val="231F1F"/>
          <w:spacing w:val="-4"/>
          <w:w w:val="110"/>
        </w:rPr>
        <w:t> </w:t>
      </w:r>
      <w:r>
        <w:rPr>
          <w:color w:val="231F1F"/>
          <w:w w:val="110"/>
        </w:rPr>
        <w:t>el</w:t>
      </w:r>
      <w:r>
        <w:rPr>
          <w:color w:val="231F1F"/>
          <w:spacing w:val="-5"/>
          <w:w w:val="110"/>
        </w:rPr>
        <w:t> </w:t>
      </w:r>
      <w:r>
        <w:rPr>
          <w:color w:val="231F1F"/>
          <w:w w:val="110"/>
        </w:rPr>
        <w:t>confort</w:t>
      </w:r>
      <w:r>
        <w:rPr>
          <w:color w:val="231F1F"/>
          <w:spacing w:val="-4"/>
          <w:w w:val="110"/>
        </w:rPr>
        <w:t> </w:t>
      </w:r>
      <w:r>
        <w:rPr>
          <w:color w:val="231F1F"/>
          <w:w w:val="110"/>
        </w:rPr>
        <w:t>y</w:t>
      </w:r>
      <w:r>
        <w:rPr>
          <w:color w:val="231F1F"/>
          <w:spacing w:val="-4"/>
          <w:w w:val="110"/>
        </w:rPr>
        <w:t> </w:t>
      </w:r>
      <w:r>
        <w:rPr>
          <w:color w:val="231F1F"/>
          <w:w w:val="110"/>
        </w:rPr>
        <w:t>la</w:t>
      </w:r>
      <w:r>
        <w:rPr>
          <w:color w:val="231F1F"/>
          <w:spacing w:val="-4"/>
          <w:w w:val="110"/>
        </w:rPr>
        <w:t> </w:t>
      </w:r>
      <w:r>
        <w:rPr>
          <w:color w:val="231F1F"/>
          <w:w w:val="110"/>
        </w:rPr>
        <w:t>satisfacción</w:t>
      </w:r>
      <w:r>
        <w:rPr>
          <w:color w:val="231F1F"/>
          <w:spacing w:val="-5"/>
          <w:w w:val="110"/>
        </w:rPr>
        <w:t> </w:t>
      </w:r>
      <w:r>
        <w:rPr>
          <w:color w:val="231F1F"/>
          <w:w w:val="110"/>
        </w:rPr>
        <w:t>materna</w:t>
      </w:r>
      <w:r>
        <w:rPr>
          <w:color w:val="231F1F"/>
          <w:spacing w:val="-4"/>
          <w:w w:val="110"/>
        </w:rPr>
        <w:t> </w:t>
      </w:r>
      <w:r>
        <w:rPr>
          <w:color w:val="231F1F"/>
          <w:w w:val="110"/>
        </w:rPr>
        <w:t>y</w:t>
      </w:r>
      <w:r>
        <w:rPr>
          <w:color w:val="231F1F"/>
          <w:spacing w:val="-4"/>
          <w:w w:val="110"/>
        </w:rPr>
        <w:t> </w:t>
      </w:r>
      <w:r>
        <w:rPr>
          <w:color w:val="231F1F"/>
          <w:w w:val="110"/>
        </w:rPr>
        <w:t>que</w:t>
      </w:r>
      <w:r>
        <w:rPr>
          <w:color w:val="231F1F"/>
          <w:spacing w:val="-4"/>
          <w:w w:val="110"/>
        </w:rPr>
        <w:t> </w:t>
      </w:r>
      <w:r>
        <w:rPr>
          <w:color w:val="231F1F"/>
          <w:w w:val="110"/>
        </w:rPr>
        <w:t>no</w:t>
      </w:r>
      <w:r>
        <w:rPr>
          <w:color w:val="231F1F"/>
          <w:spacing w:val="-4"/>
          <w:w w:val="110"/>
        </w:rPr>
        <w:t> </w:t>
      </w:r>
      <w:r>
        <w:rPr>
          <w:color w:val="231F1F"/>
          <w:w w:val="110"/>
        </w:rPr>
        <w:t>incrementa</w:t>
      </w:r>
      <w:r>
        <w:rPr>
          <w:color w:val="231F1F"/>
          <w:spacing w:val="-4"/>
          <w:w w:val="110"/>
        </w:rPr>
        <w:t> </w:t>
      </w:r>
      <w:r>
        <w:rPr>
          <w:color w:val="231F1F"/>
          <w:w w:val="110"/>
        </w:rPr>
        <w:t>las </w:t>
      </w:r>
      <w:r>
        <w:rPr>
          <w:color w:val="231F1F"/>
          <w:spacing w:val="-2"/>
          <w:w w:val="110"/>
        </w:rPr>
        <w:t>complicaciones</w:t>
      </w:r>
      <w:r>
        <w:rPr>
          <w:color w:val="231F1F"/>
          <w:spacing w:val="-6"/>
          <w:w w:val="110"/>
        </w:rPr>
        <w:t> </w:t>
      </w:r>
      <w:r>
        <w:rPr>
          <w:color w:val="231F1F"/>
          <w:spacing w:val="-2"/>
          <w:w w:val="110"/>
        </w:rPr>
        <w:t>maternas.</w:t>
      </w:r>
      <w:r>
        <w:rPr>
          <w:color w:val="231F1F"/>
          <w:spacing w:val="-6"/>
          <w:w w:val="110"/>
        </w:rPr>
        <w:t> </w:t>
      </w:r>
      <w:r>
        <w:rPr>
          <w:color w:val="231F1F"/>
          <w:spacing w:val="-2"/>
          <w:w w:val="110"/>
        </w:rPr>
        <w:t>Sin</w:t>
      </w:r>
      <w:r>
        <w:rPr>
          <w:color w:val="231F1F"/>
          <w:spacing w:val="-6"/>
          <w:w w:val="110"/>
        </w:rPr>
        <w:t> </w:t>
      </w:r>
      <w:r>
        <w:rPr>
          <w:color w:val="231F1F"/>
          <w:spacing w:val="-2"/>
          <w:w w:val="110"/>
        </w:rPr>
        <w:t>embargo,</w:t>
      </w:r>
      <w:r>
        <w:rPr>
          <w:color w:val="231F1F"/>
          <w:spacing w:val="-7"/>
          <w:w w:val="110"/>
        </w:rPr>
        <w:t> </w:t>
      </w:r>
      <w:r>
        <w:rPr>
          <w:color w:val="231F1F"/>
          <w:spacing w:val="-2"/>
          <w:w w:val="110"/>
        </w:rPr>
        <w:t>no</w:t>
      </w:r>
      <w:r>
        <w:rPr>
          <w:color w:val="231F1F"/>
          <w:spacing w:val="-6"/>
          <w:w w:val="110"/>
        </w:rPr>
        <w:t> </w:t>
      </w:r>
      <w:r>
        <w:rPr>
          <w:color w:val="231F1F"/>
          <w:spacing w:val="-2"/>
          <w:w w:val="110"/>
        </w:rPr>
        <w:t>se</w:t>
      </w:r>
      <w:r>
        <w:rPr>
          <w:color w:val="231F1F"/>
          <w:spacing w:val="-6"/>
          <w:w w:val="110"/>
        </w:rPr>
        <w:t> </w:t>
      </w:r>
      <w:r>
        <w:rPr>
          <w:color w:val="231F1F"/>
          <w:spacing w:val="-2"/>
          <w:w w:val="110"/>
        </w:rPr>
        <w:t>encuentra</w:t>
      </w:r>
      <w:r>
        <w:rPr>
          <w:color w:val="231F1F"/>
          <w:spacing w:val="-6"/>
          <w:w w:val="110"/>
        </w:rPr>
        <w:t> </w:t>
      </w:r>
      <w:r>
        <w:rPr>
          <w:color w:val="231F1F"/>
          <w:spacing w:val="-2"/>
          <w:w w:val="110"/>
        </w:rPr>
        <w:t>suficiente</w:t>
      </w:r>
      <w:r>
        <w:rPr>
          <w:color w:val="231F1F"/>
          <w:spacing w:val="-6"/>
          <w:w w:val="110"/>
        </w:rPr>
        <w:t> </w:t>
      </w:r>
      <w:r>
        <w:rPr>
          <w:color w:val="231F1F"/>
          <w:spacing w:val="-2"/>
          <w:w w:val="110"/>
        </w:rPr>
        <w:t>evidencia para</w:t>
      </w:r>
      <w:r>
        <w:rPr>
          <w:color w:val="231F1F"/>
          <w:spacing w:val="-8"/>
          <w:w w:val="110"/>
        </w:rPr>
        <w:t> </w:t>
      </w:r>
      <w:r>
        <w:rPr>
          <w:color w:val="231F1F"/>
          <w:spacing w:val="-2"/>
          <w:w w:val="110"/>
        </w:rPr>
        <w:t>extraer</w:t>
      </w:r>
      <w:r>
        <w:rPr>
          <w:color w:val="231F1F"/>
          <w:spacing w:val="-8"/>
          <w:w w:val="110"/>
        </w:rPr>
        <w:t> </w:t>
      </w:r>
      <w:r>
        <w:rPr>
          <w:color w:val="231F1F"/>
          <w:spacing w:val="-2"/>
          <w:w w:val="110"/>
        </w:rPr>
        <w:t>conclusiones</w:t>
      </w:r>
      <w:r>
        <w:rPr>
          <w:color w:val="231F1F"/>
          <w:spacing w:val="-8"/>
          <w:w w:val="110"/>
        </w:rPr>
        <w:t> </w:t>
      </w:r>
      <w:r>
        <w:rPr>
          <w:color w:val="231F1F"/>
          <w:spacing w:val="-2"/>
          <w:w w:val="110"/>
        </w:rPr>
        <w:t>sobre</w:t>
      </w:r>
      <w:r>
        <w:rPr>
          <w:color w:val="231F1F"/>
          <w:spacing w:val="-8"/>
          <w:w w:val="110"/>
        </w:rPr>
        <w:t> </w:t>
      </w:r>
      <w:r>
        <w:rPr>
          <w:color w:val="231F1F"/>
          <w:spacing w:val="-2"/>
          <w:w w:val="110"/>
        </w:rPr>
        <w:t>la</w:t>
      </w:r>
      <w:r>
        <w:rPr>
          <w:color w:val="231F1F"/>
          <w:spacing w:val="-8"/>
          <w:w w:val="110"/>
        </w:rPr>
        <w:t> </w:t>
      </w:r>
      <w:r>
        <w:rPr>
          <w:color w:val="231F1F"/>
          <w:spacing w:val="-2"/>
          <w:w w:val="110"/>
        </w:rPr>
        <w:t>relación</w:t>
      </w:r>
      <w:r>
        <w:rPr>
          <w:color w:val="231F1F"/>
          <w:spacing w:val="-8"/>
          <w:w w:val="110"/>
        </w:rPr>
        <w:t> </w:t>
      </w:r>
      <w:r>
        <w:rPr>
          <w:color w:val="231F1F"/>
          <w:spacing w:val="-2"/>
          <w:w w:val="110"/>
        </w:rPr>
        <w:t>entre</w:t>
      </w:r>
      <w:r>
        <w:rPr>
          <w:color w:val="231F1F"/>
          <w:spacing w:val="-8"/>
          <w:w w:val="110"/>
        </w:rPr>
        <w:t> </w:t>
      </w:r>
      <w:r>
        <w:rPr>
          <w:color w:val="231F1F"/>
          <w:spacing w:val="-2"/>
          <w:w w:val="110"/>
        </w:rPr>
        <w:t>el</w:t>
      </w:r>
      <w:r>
        <w:rPr>
          <w:color w:val="231F1F"/>
          <w:spacing w:val="-8"/>
          <w:w w:val="110"/>
        </w:rPr>
        <w:t> </w:t>
      </w:r>
      <w:r>
        <w:rPr>
          <w:color w:val="231F1F"/>
          <w:spacing w:val="-2"/>
          <w:w w:val="110"/>
        </w:rPr>
        <w:t>tiempo</w:t>
      </w:r>
      <w:r>
        <w:rPr>
          <w:color w:val="231F1F"/>
          <w:spacing w:val="-8"/>
          <w:w w:val="110"/>
        </w:rPr>
        <w:t> </w:t>
      </w:r>
      <w:r>
        <w:rPr>
          <w:color w:val="231F1F"/>
          <w:spacing w:val="-2"/>
          <w:w w:val="110"/>
        </w:rPr>
        <w:t>de</w:t>
      </w:r>
      <w:r>
        <w:rPr>
          <w:color w:val="231F1F"/>
          <w:spacing w:val="-8"/>
          <w:w w:val="110"/>
        </w:rPr>
        <w:t> </w:t>
      </w:r>
      <w:r>
        <w:rPr>
          <w:color w:val="231F1F"/>
          <w:spacing w:val="-2"/>
          <w:w w:val="110"/>
        </w:rPr>
        <w:t>ayuno</w:t>
      </w:r>
      <w:r>
        <w:rPr>
          <w:color w:val="231F1F"/>
          <w:spacing w:val="-8"/>
          <w:w w:val="110"/>
        </w:rPr>
        <w:t> </w:t>
      </w:r>
      <w:r>
        <w:rPr>
          <w:color w:val="231F1F"/>
          <w:spacing w:val="-2"/>
          <w:w w:val="110"/>
        </w:rPr>
        <w:t>de</w:t>
      </w:r>
      <w:r>
        <w:rPr>
          <w:color w:val="231F1F"/>
          <w:spacing w:val="-8"/>
          <w:w w:val="110"/>
        </w:rPr>
        <w:t> </w:t>
      </w:r>
      <w:r>
        <w:rPr>
          <w:color w:val="231F1F"/>
          <w:spacing w:val="-2"/>
          <w:w w:val="110"/>
        </w:rPr>
        <w:t>líqui- </w:t>
      </w:r>
      <w:r>
        <w:rPr>
          <w:color w:val="231F1F"/>
          <w:w w:val="110"/>
        </w:rPr>
        <w:t>dos</w:t>
      </w:r>
      <w:r>
        <w:rPr>
          <w:color w:val="231F1F"/>
          <w:spacing w:val="-6"/>
          <w:w w:val="110"/>
        </w:rPr>
        <w:t> </w:t>
      </w:r>
      <w:r>
        <w:rPr>
          <w:color w:val="231F1F"/>
          <w:w w:val="110"/>
        </w:rPr>
        <w:t>claros</w:t>
      </w:r>
      <w:r>
        <w:rPr>
          <w:color w:val="231F1F"/>
          <w:spacing w:val="-6"/>
          <w:w w:val="110"/>
        </w:rPr>
        <w:t> </w:t>
      </w:r>
      <w:r>
        <w:rPr>
          <w:color w:val="231F1F"/>
          <w:w w:val="110"/>
        </w:rPr>
        <w:t>y</w:t>
      </w:r>
      <w:r>
        <w:rPr>
          <w:color w:val="231F1F"/>
          <w:spacing w:val="-6"/>
          <w:w w:val="110"/>
        </w:rPr>
        <w:t> </w:t>
      </w:r>
      <w:r>
        <w:rPr>
          <w:color w:val="231F1F"/>
          <w:w w:val="110"/>
        </w:rPr>
        <w:t>el</w:t>
      </w:r>
      <w:r>
        <w:rPr>
          <w:color w:val="231F1F"/>
          <w:spacing w:val="-6"/>
          <w:w w:val="110"/>
        </w:rPr>
        <w:t> </w:t>
      </w:r>
      <w:r>
        <w:rPr>
          <w:color w:val="231F1F"/>
          <w:w w:val="110"/>
        </w:rPr>
        <w:t>riesgo</w:t>
      </w:r>
      <w:r>
        <w:rPr>
          <w:color w:val="231F1F"/>
          <w:spacing w:val="-5"/>
          <w:w w:val="110"/>
        </w:rPr>
        <w:t> </w:t>
      </w:r>
      <w:r>
        <w:rPr>
          <w:color w:val="231F1F"/>
          <w:w w:val="110"/>
        </w:rPr>
        <w:t>de</w:t>
      </w:r>
      <w:r>
        <w:rPr>
          <w:color w:val="231F1F"/>
          <w:spacing w:val="-6"/>
          <w:w w:val="110"/>
        </w:rPr>
        <w:t> </w:t>
      </w:r>
      <w:r>
        <w:rPr>
          <w:color w:val="231F1F"/>
          <w:w w:val="110"/>
        </w:rPr>
        <w:t>reflujo</w:t>
      </w:r>
      <w:r>
        <w:rPr>
          <w:color w:val="231F1F"/>
          <w:spacing w:val="-5"/>
          <w:w w:val="110"/>
        </w:rPr>
        <w:t> </w:t>
      </w:r>
      <w:r>
        <w:rPr>
          <w:color w:val="231F1F"/>
          <w:w w:val="110"/>
        </w:rPr>
        <w:t>o</w:t>
      </w:r>
      <w:r>
        <w:rPr>
          <w:color w:val="231F1F"/>
          <w:spacing w:val="-6"/>
          <w:w w:val="110"/>
        </w:rPr>
        <w:t> </w:t>
      </w:r>
      <w:r>
        <w:rPr>
          <w:color w:val="231F1F"/>
          <w:w w:val="110"/>
        </w:rPr>
        <w:t>aspiración</w:t>
      </w:r>
      <w:r>
        <w:rPr>
          <w:color w:val="231F1F"/>
          <w:spacing w:val="-6"/>
          <w:w w:val="110"/>
        </w:rPr>
        <w:t> </w:t>
      </w:r>
      <w:r>
        <w:rPr>
          <w:color w:val="231F1F"/>
          <w:w w:val="110"/>
        </w:rPr>
        <w:t>pulmonar</w:t>
      </w:r>
      <w:r>
        <w:rPr>
          <w:color w:val="231F1F"/>
          <w:spacing w:val="-6"/>
          <w:w w:val="110"/>
        </w:rPr>
        <w:t> </w:t>
      </w:r>
      <w:r>
        <w:rPr>
          <w:color w:val="231F1F"/>
          <w:w w:val="110"/>
        </w:rPr>
        <w:t>durante</w:t>
      </w:r>
      <w:r>
        <w:rPr>
          <w:color w:val="231F1F"/>
          <w:spacing w:val="-6"/>
          <w:w w:val="110"/>
        </w:rPr>
        <w:t> </w:t>
      </w:r>
      <w:r>
        <w:rPr>
          <w:color w:val="231F1F"/>
          <w:w w:val="110"/>
        </w:rPr>
        <w:t>el</w:t>
      </w:r>
      <w:r>
        <w:rPr>
          <w:color w:val="231F1F"/>
          <w:spacing w:val="-6"/>
          <w:w w:val="110"/>
        </w:rPr>
        <w:t> </w:t>
      </w:r>
      <w:r>
        <w:rPr>
          <w:color w:val="231F1F"/>
          <w:w w:val="110"/>
        </w:rPr>
        <w:t>parto.</w:t>
      </w:r>
      <w:r>
        <w:rPr>
          <w:color w:val="231F1F"/>
          <w:spacing w:val="-6"/>
          <w:w w:val="110"/>
        </w:rPr>
        <w:t> </w:t>
      </w:r>
      <w:r>
        <w:rPr>
          <w:color w:val="231F1F"/>
          <w:w w:val="110"/>
        </w:rPr>
        <w:t>Por otro lado,</w:t>
      </w:r>
      <w:r>
        <w:rPr>
          <w:color w:val="231F1F"/>
          <w:spacing w:val="-1"/>
          <w:w w:val="110"/>
        </w:rPr>
        <w:t> </w:t>
      </w:r>
      <w:r>
        <w:rPr>
          <w:color w:val="231F1F"/>
          <w:w w:val="110"/>
        </w:rPr>
        <w:t>el</w:t>
      </w:r>
      <w:r>
        <w:rPr>
          <w:color w:val="231F1F"/>
          <w:spacing w:val="-1"/>
          <w:w w:val="110"/>
        </w:rPr>
        <w:t> </w:t>
      </w:r>
      <w:r>
        <w:rPr>
          <w:color w:val="231F1F"/>
          <w:w w:val="110"/>
        </w:rPr>
        <w:t>grupo elaborador de la guía americana</w:t>
      </w:r>
      <w:r>
        <w:rPr>
          <w:color w:val="231F1F"/>
          <w:spacing w:val="-1"/>
          <w:w w:val="110"/>
        </w:rPr>
        <w:t> </w:t>
      </w:r>
      <w:r>
        <w:rPr>
          <w:color w:val="231F1F"/>
          <w:w w:val="110"/>
        </w:rPr>
        <w:t>establece que,</w:t>
      </w:r>
      <w:r>
        <w:rPr>
          <w:color w:val="231F1F"/>
          <w:spacing w:val="-1"/>
          <w:w w:val="110"/>
        </w:rPr>
        <w:t> </w:t>
      </w:r>
      <w:r>
        <w:rPr>
          <w:color w:val="231F1F"/>
          <w:w w:val="110"/>
        </w:rPr>
        <w:t>por</w:t>
      </w:r>
      <w:r>
        <w:rPr>
          <w:color w:val="231F1F"/>
          <w:spacing w:val="-1"/>
          <w:w w:val="110"/>
        </w:rPr>
        <w:t> </w:t>
      </w:r>
      <w:r>
        <w:rPr>
          <w:color w:val="231F1F"/>
          <w:w w:val="110"/>
        </w:rPr>
        <w:t>falta </w:t>
      </w:r>
      <w:r>
        <w:rPr>
          <w:color w:val="231F1F"/>
          <w:spacing w:val="-2"/>
          <w:w w:val="110"/>
        </w:rPr>
        <w:t>de</w:t>
      </w:r>
      <w:r>
        <w:rPr>
          <w:color w:val="231F1F"/>
          <w:spacing w:val="-6"/>
          <w:w w:val="110"/>
        </w:rPr>
        <w:t> </w:t>
      </w:r>
      <w:r>
        <w:rPr>
          <w:color w:val="231F1F"/>
          <w:spacing w:val="-2"/>
          <w:w w:val="110"/>
        </w:rPr>
        <w:t>pruebas,</w:t>
      </w:r>
      <w:r>
        <w:rPr>
          <w:color w:val="231F1F"/>
          <w:spacing w:val="-6"/>
          <w:w w:val="110"/>
        </w:rPr>
        <w:t> </w:t>
      </w:r>
      <w:r>
        <w:rPr>
          <w:color w:val="231F1F"/>
          <w:spacing w:val="-2"/>
          <w:w w:val="110"/>
        </w:rPr>
        <w:t>tampoco</w:t>
      </w:r>
      <w:r>
        <w:rPr>
          <w:color w:val="231F1F"/>
          <w:spacing w:val="-6"/>
          <w:w w:val="110"/>
        </w:rPr>
        <w:t> </w:t>
      </w:r>
      <w:r>
        <w:rPr>
          <w:color w:val="231F1F"/>
          <w:spacing w:val="-2"/>
          <w:w w:val="110"/>
        </w:rPr>
        <w:t>es</w:t>
      </w:r>
      <w:r>
        <w:rPr>
          <w:color w:val="231F1F"/>
          <w:spacing w:val="-6"/>
          <w:w w:val="110"/>
        </w:rPr>
        <w:t> </w:t>
      </w:r>
      <w:r>
        <w:rPr>
          <w:color w:val="231F1F"/>
          <w:spacing w:val="-2"/>
          <w:w w:val="110"/>
        </w:rPr>
        <w:t>posible</w:t>
      </w:r>
      <w:r>
        <w:rPr>
          <w:color w:val="231F1F"/>
          <w:spacing w:val="-6"/>
          <w:w w:val="110"/>
        </w:rPr>
        <w:t> </w:t>
      </w:r>
      <w:r>
        <w:rPr>
          <w:color w:val="231F1F"/>
          <w:spacing w:val="-2"/>
          <w:w w:val="110"/>
        </w:rPr>
        <w:t>establecer</w:t>
      </w:r>
      <w:r>
        <w:rPr>
          <w:color w:val="231F1F"/>
          <w:spacing w:val="-6"/>
          <w:w w:val="110"/>
        </w:rPr>
        <w:t> </w:t>
      </w:r>
      <w:r>
        <w:rPr>
          <w:color w:val="231F1F"/>
          <w:spacing w:val="-2"/>
          <w:w w:val="110"/>
        </w:rPr>
        <w:t>un</w:t>
      </w:r>
      <w:r>
        <w:rPr>
          <w:color w:val="231F1F"/>
          <w:spacing w:val="-6"/>
          <w:w w:val="110"/>
        </w:rPr>
        <w:t> </w:t>
      </w:r>
      <w:r>
        <w:rPr>
          <w:color w:val="231F1F"/>
          <w:spacing w:val="-2"/>
          <w:w w:val="110"/>
        </w:rPr>
        <w:t>periodo</w:t>
      </w:r>
      <w:r>
        <w:rPr>
          <w:color w:val="231F1F"/>
          <w:spacing w:val="-6"/>
          <w:w w:val="110"/>
        </w:rPr>
        <w:t> </w:t>
      </w:r>
      <w:r>
        <w:rPr>
          <w:color w:val="231F1F"/>
          <w:spacing w:val="-2"/>
          <w:w w:val="110"/>
        </w:rPr>
        <w:t>determinado</w:t>
      </w:r>
      <w:r>
        <w:rPr>
          <w:color w:val="231F1F"/>
          <w:spacing w:val="-6"/>
          <w:w w:val="110"/>
        </w:rPr>
        <w:t> </w:t>
      </w:r>
      <w:r>
        <w:rPr>
          <w:color w:val="231F1F"/>
          <w:spacing w:val="-2"/>
          <w:w w:val="110"/>
        </w:rPr>
        <w:t>seguro</w:t>
      </w:r>
      <w:r>
        <w:rPr>
          <w:color w:val="231F1F"/>
          <w:spacing w:val="-6"/>
          <w:w w:val="110"/>
        </w:rPr>
        <w:t> </w:t>
      </w:r>
      <w:r>
        <w:rPr>
          <w:color w:val="231F1F"/>
          <w:spacing w:val="-2"/>
          <w:w w:val="110"/>
        </w:rPr>
        <w:t>de </w:t>
      </w:r>
      <w:r>
        <w:rPr>
          <w:color w:val="231F1F"/>
          <w:w w:val="110"/>
        </w:rPr>
        <w:t>ayuno</w:t>
      </w:r>
      <w:r>
        <w:rPr>
          <w:color w:val="231F1F"/>
          <w:spacing w:val="-3"/>
          <w:w w:val="110"/>
        </w:rPr>
        <w:t> </w:t>
      </w:r>
      <w:r>
        <w:rPr>
          <w:color w:val="231F1F"/>
          <w:w w:val="110"/>
        </w:rPr>
        <w:t>previo</w:t>
      </w:r>
      <w:r>
        <w:rPr>
          <w:color w:val="231F1F"/>
          <w:spacing w:val="-4"/>
          <w:w w:val="110"/>
        </w:rPr>
        <w:t> </w:t>
      </w:r>
      <w:r>
        <w:rPr>
          <w:color w:val="231F1F"/>
          <w:w w:val="110"/>
        </w:rPr>
        <w:t>intervenciones</w:t>
      </w:r>
      <w:r>
        <w:rPr>
          <w:color w:val="231F1F"/>
          <w:spacing w:val="-4"/>
          <w:w w:val="110"/>
        </w:rPr>
        <w:t> </w:t>
      </w:r>
      <w:r>
        <w:rPr>
          <w:color w:val="231F1F"/>
          <w:w w:val="110"/>
        </w:rPr>
        <w:t>quirúrgicas</w:t>
      </w:r>
      <w:r>
        <w:rPr>
          <w:color w:val="231F1F"/>
          <w:spacing w:val="-4"/>
          <w:w w:val="110"/>
        </w:rPr>
        <w:t> </w:t>
      </w:r>
      <w:r>
        <w:rPr>
          <w:color w:val="231F1F"/>
          <w:w w:val="110"/>
        </w:rPr>
        <w:t>no</w:t>
      </w:r>
      <w:r>
        <w:rPr>
          <w:color w:val="231F1F"/>
          <w:spacing w:val="-3"/>
          <w:w w:val="110"/>
        </w:rPr>
        <w:t> </w:t>
      </w:r>
      <w:r>
        <w:rPr>
          <w:color w:val="231F1F"/>
          <w:w w:val="110"/>
        </w:rPr>
        <w:t>programadas.</w:t>
      </w:r>
      <w:r>
        <w:rPr>
          <w:color w:val="231F1F"/>
          <w:spacing w:val="-4"/>
          <w:w w:val="110"/>
        </w:rPr>
        <w:t> </w:t>
      </w:r>
      <w:r>
        <w:rPr>
          <w:color w:val="231F1F"/>
          <w:w w:val="110"/>
        </w:rPr>
        <w:t>Considera</w:t>
      </w:r>
      <w:r>
        <w:rPr>
          <w:color w:val="231F1F"/>
          <w:spacing w:val="-4"/>
          <w:w w:val="110"/>
        </w:rPr>
        <w:t> </w:t>
      </w:r>
      <w:r>
        <w:rPr>
          <w:color w:val="231F1F"/>
          <w:w w:val="110"/>
        </w:rPr>
        <w:t>que</w:t>
      </w:r>
      <w:r>
        <w:rPr>
          <w:color w:val="231F1F"/>
          <w:spacing w:val="-4"/>
          <w:w w:val="110"/>
        </w:rPr>
        <w:t> </w:t>
      </w:r>
      <w:r>
        <w:rPr>
          <w:color w:val="231F1F"/>
          <w:w w:val="110"/>
        </w:rPr>
        <w:t>la </w:t>
      </w:r>
      <w:r>
        <w:rPr>
          <w:i/>
          <w:color w:val="231F1F"/>
        </w:rPr>
        <w:t>ingesta oral de sólidos </w:t>
      </w:r>
      <w:r>
        <w:rPr>
          <w:color w:val="231F1F"/>
        </w:rPr>
        <w:t>incrementa las complicaciones maternas y acuerdan no </w:t>
      </w:r>
      <w:r>
        <w:rPr>
          <w:color w:val="231F1F"/>
          <w:w w:val="110"/>
        </w:rPr>
        <w:t>recomendar la ingesta de sólidos durante el parto.</w:t>
      </w:r>
    </w:p>
    <w:p>
      <w:pPr>
        <w:pStyle w:val="BodyText"/>
        <w:spacing w:line="247" w:lineRule="auto" w:before="57"/>
        <w:ind w:left="283" w:right="1" w:firstLine="453"/>
        <w:jc w:val="both"/>
      </w:pPr>
      <w:r>
        <w:rPr>
          <w:color w:val="231F1F"/>
          <w:w w:val="105"/>
        </w:rPr>
        <w:t>En</w:t>
      </w:r>
      <w:r>
        <w:rPr>
          <w:color w:val="231F1F"/>
          <w:spacing w:val="-9"/>
          <w:w w:val="105"/>
        </w:rPr>
        <w:t> </w:t>
      </w:r>
      <w:r>
        <w:rPr>
          <w:color w:val="231F1F"/>
          <w:w w:val="105"/>
        </w:rPr>
        <w:t>la</w:t>
      </w:r>
      <w:r>
        <w:rPr>
          <w:color w:val="231F1F"/>
          <w:spacing w:val="-9"/>
          <w:w w:val="105"/>
        </w:rPr>
        <w:t> </w:t>
      </w:r>
      <w:r>
        <w:rPr>
          <w:color w:val="231F1F"/>
          <w:w w:val="105"/>
        </w:rPr>
        <w:t>actualización</w:t>
      </w:r>
      <w:r>
        <w:rPr>
          <w:color w:val="231F1F"/>
          <w:spacing w:val="-8"/>
          <w:w w:val="105"/>
        </w:rPr>
        <w:t> </w:t>
      </w:r>
      <w:r>
        <w:rPr>
          <w:color w:val="231F1F"/>
          <w:w w:val="105"/>
        </w:rPr>
        <w:t>también</w:t>
      </w:r>
      <w:r>
        <w:rPr>
          <w:color w:val="231F1F"/>
          <w:spacing w:val="-9"/>
          <w:w w:val="105"/>
        </w:rPr>
        <w:t> </w:t>
      </w:r>
      <w:r>
        <w:rPr>
          <w:color w:val="231F1F"/>
          <w:w w:val="105"/>
        </w:rPr>
        <w:t>se</w:t>
      </w:r>
      <w:r>
        <w:rPr>
          <w:color w:val="231F1F"/>
          <w:spacing w:val="-9"/>
          <w:w w:val="105"/>
        </w:rPr>
        <w:t> </w:t>
      </w:r>
      <w:r>
        <w:rPr>
          <w:color w:val="231F1F"/>
          <w:w w:val="105"/>
        </w:rPr>
        <w:t>ha</w:t>
      </w:r>
      <w:r>
        <w:rPr>
          <w:color w:val="231F1F"/>
          <w:spacing w:val="-9"/>
          <w:w w:val="105"/>
        </w:rPr>
        <w:t> </w:t>
      </w:r>
      <w:r>
        <w:rPr>
          <w:color w:val="231F1F"/>
          <w:w w:val="105"/>
        </w:rPr>
        <w:t>seleccionado</w:t>
      </w:r>
      <w:r>
        <w:rPr>
          <w:color w:val="231F1F"/>
          <w:spacing w:val="-9"/>
          <w:w w:val="105"/>
        </w:rPr>
        <w:t> </w:t>
      </w:r>
      <w:r>
        <w:rPr>
          <w:color w:val="231F1F"/>
          <w:w w:val="105"/>
        </w:rPr>
        <w:t>el</w:t>
      </w:r>
      <w:r>
        <w:rPr>
          <w:color w:val="231F1F"/>
          <w:spacing w:val="-9"/>
          <w:w w:val="105"/>
        </w:rPr>
        <w:t> </w:t>
      </w:r>
      <w:r>
        <w:rPr>
          <w:color w:val="231F1F"/>
          <w:w w:val="105"/>
        </w:rPr>
        <w:t>ECA</w:t>
      </w:r>
      <w:r>
        <w:rPr>
          <w:color w:val="231F1F"/>
          <w:spacing w:val="-8"/>
          <w:w w:val="105"/>
        </w:rPr>
        <w:t> </w:t>
      </w:r>
      <w:r>
        <w:rPr>
          <w:color w:val="231F1F"/>
          <w:w w:val="105"/>
        </w:rPr>
        <w:t>(17)</w:t>
      </w:r>
      <w:r>
        <w:rPr>
          <w:color w:val="231F1F"/>
          <w:spacing w:val="-9"/>
          <w:w w:val="105"/>
        </w:rPr>
        <w:t> </w:t>
      </w:r>
      <w:r>
        <w:rPr>
          <w:color w:val="231F1F"/>
          <w:w w:val="105"/>
        </w:rPr>
        <w:t>de</w:t>
      </w:r>
      <w:r>
        <w:rPr>
          <w:color w:val="231F1F"/>
          <w:spacing w:val="-9"/>
          <w:w w:val="105"/>
        </w:rPr>
        <w:t> </w:t>
      </w:r>
      <w:r>
        <w:rPr>
          <w:color w:val="231F1F"/>
          <w:w w:val="105"/>
        </w:rPr>
        <w:t>O’Sullivan (2009), gracias las alertas establecidas en las estrategias de búsqueda realiza- das para la actualización. El ECA pretendía evaluar el efecto de la alimenta- ción</w:t>
      </w:r>
      <w:r>
        <w:rPr>
          <w:color w:val="231F1F"/>
          <w:w w:val="105"/>
        </w:rPr>
        <w:t> durante</w:t>
      </w:r>
      <w:r>
        <w:rPr>
          <w:color w:val="231F1F"/>
          <w:w w:val="105"/>
        </w:rPr>
        <w:t> el</w:t>
      </w:r>
      <w:r>
        <w:rPr>
          <w:color w:val="231F1F"/>
          <w:w w:val="105"/>
        </w:rPr>
        <w:t> parto</w:t>
      </w:r>
      <w:r>
        <w:rPr>
          <w:color w:val="231F1F"/>
          <w:w w:val="105"/>
        </w:rPr>
        <w:t> sobre</w:t>
      </w:r>
      <w:r>
        <w:rPr>
          <w:color w:val="231F1F"/>
          <w:w w:val="105"/>
        </w:rPr>
        <w:t> los</w:t>
      </w:r>
      <w:r>
        <w:rPr>
          <w:color w:val="231F1F"/>
          <w:w w:val="105"/>
        </w:rPr>
        <w:t> resultados</w:t>
      </w:r>
      <w:r>
        <w:rPr>
          <w:color w:val="231F1F"/>
          <w:w w:val="105"/>
        </w:rPr>
        <w:t> obstétricos</w:t>
      </w:r>
      <w:r>
        <w:rPr>
          <w:color w:val="231F1F"/>
          <w:w w:val="105"/>
        </w:rPr>
        <w:t> y</w:t>
      </w:r>
      <w:r>
        <w:rPr>
          <w:color w:val="231F1F"/>
          <w:w w:val="105"/>
        </w:rPr>
        <w:t> neonatales.</w:t>
      </w:r>
      <w:r>
        <w:rPr>
          <w:color w:val="231F1F"/>
          <w:w w:val="105"/>
        </w:rPr>
        <w:t> En</w:t>
      </w:r>
      <w:r>
        <w:rPr>
          <w:color w:val="231F1F"/>
          <w:w w:val="105"/>
        </w:rPr>
        <w:t> él</w:t>
      </w:r>
      <w:r>
        <w:rPr>
          <w:color w:val="231F1F"/>
          <w:w w:val="105"/>
        </w:rPr>
        <w:t> se incluyeron a 2.443 mujeres nulíparas sin complicaciones clínicas, con 36 se- manas</w:t>
      </w:r>
      <w:r>
        <w:rPr>
          <w:color w:val="231F1F"/>
          <w:w w:val="105"/>
        </w:rPr>
        <w:t> de</w:t>
      </w:r>
      <w:r>
        <w:rPr>
          <w:color w:val="231F1F"/>
          <w:w w:val="105"/>
        </w:rPr>
        <w:t> gestación</w:t>
      </w:r>
      <w:r>
        <w:rPr>
          <w:color w:val="231F1F"/>
          <w:w w:val="105"/>
        </w:rPr>
        <w:t> o</w:t>
      </w:r>
      <w:r>
        <w:rPr>
          <w:color w:val="231F1F"/>
          <w:w w:val="105"/>
        </w:rPr>
        <w:t> más</w:t>
      </w:r>
      <w:r>
        <w:rPr>
          <w:color w:val="231F1F"/>
          <w:w w:val="105"/>
        </w:rPr>
        <w:t> y</w:t>
      </w:r>
      <w:r>
        <w:rPr>
          <w:color w:val="231F1F"/>
          <w:w w:val="105"/>
        </w:rPr>
        <w:t> con</w:t>
      </w:r>
      <w:r>
        <w:rPr>
          <w:color w:val="231F1F"/>
          <w:w w:val="105"/>
        </w:rPr>
        <w:t> una</w:t>
      </w:r>
      <w:r>
        <w:rPr>
          <w:color w:val="231F1F"/>
          <w:w w:val="105"/>
        </w:rPr>
        <w:t> dilatación</w:t>
      </w:r>
      <w:r>
        <w:rPr>
          <w:color w:val="231F1F"/>
          <w:w w:val="105"/>
        </w:rPr>
        <w:t> cervical</w:t>
      </w:r>
      <w:r>
        <w:rPr>
          <w:color w:val="231F1F"/>
          <w:w w:val="105"/>
        </w:rPr>
        <w:t> de</w:t>
      </w:r>
      <w:r>
        <w:rPr>
          <w:color w:val="231F1F"/>
          <w:w w:val="105"/>
        </w:rPr>
        <w:t> hasta</w:t>
      </w:r>
      <w:r>
        <w:rPr>
          <w:color w:val="231F1F"/>
          <w:w w:val="105"/>
        </w:rPr>
        <w:t> 6</w:t>
      </w:r>
      <w:r>
        <w:rPr>
          <w:color w:val="231F1F"/>
          <w:w w:val="105"/>
        </w:rPr>
        <w:t> cm.</w:t>
      </w:r>
      <w:r>
        <w:rPr>
          <w:color w:val="231F1F"/>
          <w:w w:val="105"/>
        </w:rPr>
        <w:t> Las mujeres</w:t>
      </w:r>
      <w:r>
        <w:rPr>
          <w:color w:val="231F1F"/>
          <w:spacing w:val="17"/>
          <w:w w:val="105"/>
        </w:rPr>
        <w:t> </w:t>
      </w:r>
      <w:r>
        <w:rPr>
          <w:color w:val="231F1F"/>
          <w:w w:val="105"/>
        </w:rPr>
        <w:t>fueron</w:t>
      </w:r>
      <w:r>
        <w:rPr>
          <w:color w:val="231F1F"/>
          <w:spacing w:val="17"/>
          <w:w w:val="105"/>
        </w:rPr>
        <w:t> </w:t>
      </w:r>
      <w:r>
        <w:rPr>
          <w:color w:val="231F1F"/>
          <w:w w:val="105"/>
        </w:rPr>
        <w:t>aleatorizadas</w:t>
      </w:r>
      <w:r>
        <w:rPr>
          <w:color w:val="231F1F"/>
          <w:spacing w:val="18"/>
          <w:w w:val="105"/>
        </w:rPr>
        <w:t> </w:t>
      </w:r>
      <w:r>
        <w:rPr>
          <w:color w:val="231F1F"/>
          <w:w w:val="105"/>
        </w:rPr>
        <w:t>a</w:t>
      </w:r>
      <w:r>
        <w:rPr>
          <w:color w:val="231F1F"/>
          <w:spacing w:val="17"/>
          <w:w w:val="105"/>
        </w:rPr>
        <w:t> </w:t>
      </w:r>
      <w:r>
        <w:rPr>
          <w:color w:val="231F1F"/>
          <w:w w:val="105"/>
        </w:rPr>
        <w:t>un</w:t>
      </w:r>
      <w:r>
        <w:rPr>
          <w:color w:val="231F1F"/>
          <w:spacing w:val="17"/>
          <w:w w:val="105"/>
        </w:rPr>
        <w:t> </w:t>
      </w:r>
      <w:r>
        <w:rPr>
          <w:color w:val="231F1F"/>
          <w:w w:val="105"/>
        </w:rPr>
        <w:t>grupo</w:t>
      </w:r>
      <w:r>
        <w:rPr>
          <w:color w:val="231F1F"/>
          <w:spacing w:val="17"/>
          <w:w w:val="105"/>
        </w:rPr>
        <w:t> </w:t>
      </w:r>
      <w:r>
        <w:rPr>
          <w:color w:val="231F1F"/>
          <w:w w:val="105"/>
        </w:rPr>
        <w:t>en</w:t>
      </w:r>
      <w:r>
        <w:rPr>
          <w:color w:val="231F1F"/>
          <w:spacing w:val="17"/>
          <w:w w:val="105"/>
        </w:rPr>
        <w:t> </w:t>
      </w:r>
      <w:r>
        <w:rPr>
          <w:color w:val="231F1F"/>
          <w:w w:val="105"/>
        </w:rPr>
        <w:t>el</w:t>
      </w:r>
      <w:r>
        <w:rPr>
          <w:color w:val="231F1F"/>
          <w:spacing w:val="17"/>
          <w:w w:val="105"/>
        </w:rPr>
        <w:t> </w:t>
      </w:r>
      <w:r>
        <w:rPr>
          <w:color w:val="231F1F"/>
          <w:w w:val="105"/>
        </w:rPr>
        <w:t>que</w:t>
      </w:r>
      <w:r>
        <w:rPr>
          <w:color w:val="231F1F"/>
          <w:spacing w:val="17"/>
          <w:w w:val="105"/>
        </w:rPr>
        <w:t> </w:t>
      </w:r>
      <w:r>
        <w:rPr>
          <w:color w:val="231F1F"/>
          <w:w w:val="105"/>
        </w:rPr>
        <w:t>se</w:t>
      </w:r>
      <w:r>
        <w:rPr>
          <w:color w:val="231F1F"/>
          <w:spacing w:val="17"/>
          <w:w w:val="105"/>
        </w:rPr>
        <w:t> </w:t>
      </w:r>
      <w:r>
        <w:rPr>
          <w:color w:val="231F1F"/>
          <w:w w:val="105"/>
        </w:rPr>
        <w:t>les</w:t>
      </w:r>
      <w:r>
        <w:rPr>
          <w:color w:val="231F1F"/>
          <w:spacing w:val="17"/>
          <w:w w:val="105"/>
        </w:rPr>
        <w:t> </w:t>
      </w:r>
      <w:r>
        <w:rPr>
          <w:color w:val="231F1F"/>
          <w:w w:val="105"/>
        </w:rPr>
        <w:t>permitía</w:t>
      </w:r>
      <w:r>
        <w:rPr>
          <w:color w:val="231F1F"/>
          <w:spacing w:val="17"/>
          <w:w w:val="105"/>
        </w:rPr>
        <w:t> </w:t>
      </w:r>
      <w:r>
        <w:rPr>
          <w:color w:val="231F1F"/>
          <w:w w:val="105"/>
        </w:rPr>
        <w:t>y</w:t>
      </w:r>
      <w:r>
        <w:rPr>
          <w:color w:val="231F1F"/>
          <w:spacing w:val="17"/>
          <w:w w:val="105"/>
        </w:rPr>
        <w:t> </w:t>
      </w:r>
      <w:r>
        <w:rPr>
          <w:color w:val="231F1F"/>
          <w:w w:val="105"/>
        </w:rPr>
        <w:t>animaba a</w:t>
      </w:r>
      <w:r>
        <w:rPr>
          <w:color w:val="231F1F"/>
          <w:spacing w:val="-12"/>
          <w:w w:val="105"/>
        </w:rPr>
        <w:t> </w:t>
      </w:r>
      <w:r>
        <w:rPr>
          <w:color w:val="231F1F"/>
          <w:w w:val="105"/>
        </w:rPr>
        <w:t>comer</w:t>
      </w:r>
      <w:r>
        <w:rPr>
          <w:color w:val="231F1F"/>
          <w:spacing w:val="-12"/>
          <w:w w:val="105"/>
        </w:rPr>
        <w:t> </w:t>
      </w:r>
      <w:r>
        <w:rPr>
          <w:color w:val="231F1F"/>
          <w:w w:val="105"/>
        </w:rPr>
        <w:t>una</w:t>
      </w:r>
      <w:r>
        <w:rPr>
          <w:color w:val="231F1F"/>
          <w:spacing w:val="-12"/>
          <w:w w:val="105"/>
        </w:rPr>
        <w:t> </w:t>
      </w:r>
      <w:r>
        <w:rPr>
          <w:color w:val="231F1F"/>
          <w:w w:val="105"/>
        </w:rPr>
        <w:t>dieta</w:t>
      </w:r>
      <w:r>
        <w:rPr>
          <w:color w:val="231F1F"/>
          <w:spacing w:val="-12"/>
          <w:w w:val="105"/>
        </w:rPr>
        <w:t> </w:t>
      </w:r>
      <w:r>
        <w:rPr>
          <w:color w:val="231F1F"/>
          <w:w w:val="105"/>
        </w:rPr>
        <w:t>baja</w:t>
      </w:r>
      <w:r>
        <w:rPr>
          <w:color w:val="231F1F"/>
          <w:spacing w:val="-12"/>
          <w:w w:val="105"/>
        </w:rPr>
        <w:t> </w:t>
      </w:r>
      <w:r>
        <w:rPr>
          <w:color w:val="231F1F"/>
          <w:w w:val="105"/>
        </w:rPr>
        <w:t>en</w:t>
      </w:r>
      <w:r>
        <w:rPr>
          <w:color w:val="231F1F"/>
          <w:spacing w:val="-12"/>
          <w:w w:val="105"/>
        </w:rPr>
        <w:t> </w:t>
      </w:r>
      <w:r>
        <w:rPr>
          <w:color w:val="231F1F"/>
          <w:w w:val="105"/>
        </w:rPr>
        <w:t>residuos</w:t>
      </w:r>
      <w:r>
        <w:rPr>
          <w:color w:val="231F1F"/>
          <w:spacing w:val="-11"/>
          <w:w w:val="105"/>
        </w:rPr>
        <w:t> </w:t>
      </w:r>
      <w:r>
        <w:rPr>
          <w:color w:val="231F1F"/>
          <w:w w:val="105"/>
        </w:rPr>
        <w:t>en</w:t>
      </w:r>
      <w:r>
        <w:rPr>
          <w:color w:val="231F1F"/>
          <w:spacing w:val="-12"/>
          <w:w w:val="105"/>
        </w:rPr>
        <w:t> </w:t>
      </w:r>
      <w:r>
        <w:rPr>
          <w:color w:val="231F1F"/>
          <w:w w:val="105"/>
        </w:rPr>
        <w:t>pequeñas</w:t>
      </w:r>
      <w:r>
        <w:rPr>
          <w:color w:val="231F1F"/>
          <w:spacing w:val="-12"/>
          <w:w w:val="105"/>
        </w:rPr>
        <w:t> </w:t>
      </w:r>
      <w:r>
        <w:rPr>
          <w:color w:val="231F1F"/>
          <w:w w:val="105"/>
        </w:rPr>
        <w:t>cantidades</w:t>
      </w:r>
      <w:r>
        <w:rPr>
          <w:color w:val="231F1F"/>
          <w:spacing w:val="-11"/>
          <w:w w:val="105"/>
        </w:rPr>
        <w:t> </w:t>
      </w:r>
      <w:r>
        <w:rPr>
          <w:color w:val="231F1F"/>
          <w:w w:val="105"/>
        </w:rPr>
        <w:t>regulares</w:t>
      </w:r>
      <w:r>
        <w:rPr>
          <w:color w:val="231F1F"/>
          <w:spacing w:val="-11"/>
          <w:w w:val="105"/>
        </w:rPr>
        <w:t> </w:t>
      </w:r>
      <w:r>
        <w:rPr>
          <w:color w:val="231F1F"/>
          <w:w w:val="105"/>
        </w:rPr>
        <w:t>(n=1.227), y a otro grupo en el que sólo se les permitía bebér agua (práctica habitual en</w:t>
      </w:r>
      <w:r>
        <w:rPr>
          <w:color w:val="231F1F"/>
          <w:spacing w:val="80"/>
          <w:w w:val="105"/>
        </w:rPr>
        <w:t> </w:t>
      </w:r>
      <w:r>
        <w:rPr>
          <w:color w:val="231F1F"/>
          <w:w w:val="105"/>
        </w:rPr>
        <w:t>el hospital donde se realizó el ensayo). Todas las mujeres tuvieron opción a diferentes</w:t>
      </w:r>
      <w:r>
        <w:rPr>
          <w:color w:val="231F1F"/>
          <w:w w:val="105"/>
        </w:rPr>
        <w:t> técnicas</w:t>
      </w:r>
      <w:r>
        <w:rPr>
          <w:color w:val="231F1F"/>
          <w:w w:val="105"/>
        </w:rPr>
        <w:t> analgésicas</w:t>
      </w:r>
      <w:r>
        <w:rPr>
          <w:color w:val="231F1F"/>
          <w:w w:val="105"/>
        </w:rPr>
        <w:t> como</w:t>
      </w:r>
      <w:r>
        <w:rPr>
          <w:color w:val="231F1F"/>
          <w:w w:val="105"/>
        </w:rPr>
        <w:t> la</w:t>
      </w:r>
      <w:r>
        <w:rPr>
          <w:color w:val="231F1F"/>
          <w:w w:val="105"/>
        </w:rPr>
        <w:t> inmersión</w:t>
      </w:r>
      <w:r>
        <w:rPr>
          <w:color w:val="231F1F"/>
          <w:w w:val="105"/>
        </w:rPr>
        <w:t> en</w:t>
      </w:r>
      <w:r>
        <w:rPr>
          <w:color w:val="231F1F"/>
          <w:w w:val="105"/>
        </w:rPr>
        <w:t> agua,</w:t>
      </w:r>
      <w:r>
        <w:rPr>
          <w:color w:val="231F1F"/>
          <w:w w:val="105"/>
        </w:rPr>
        <w:t> la</w:t>
      </w:r>
      <w:r>
        <w:rPr>
          <w:color w:val="231F1F"/>
          <w:w w:val="105"/>
        </w:rPr>
        <w:t> inhalación</w:t>
      </w:r>
      <w:r>
        <w:rPr>
          <w:color w:val="231F1F"/>
          <w:w w:val="105"/>
        </w:rPr>
        <w:t> de Entonox®</w:t>
      </w:r>
      <w:r>
        <w:rPr>
          <w:color w:val="231F1F"/>
          <w:spacing w:val="-2"/>
          <w:w w:val="105"/>
        </w:rPr>
        <w:t> </w:t>
      </w:r>
      <w:r>
        <w:rPr>
          <w:color w:val="231F1F"/>
          <w:w w:val="105"/>
        </w:rPr>
        <w:t>(mezcla</w:t>
      </w:r>
      <w:r>
        <w:rPr>
          <w:color w:val="231F1F"/>
          <w:spacing w:val="-2"/>
          <w:w w:val="105"/>
        </w:rPr>
        <w:t> </w:t>
      </w:r>
      <w:r>
        <w:rPr>
          <w:color w:val="231F1F"/>
          <w:w w:val="105"/>
        </w:rPr>
        <w:t>de</w:t>
      </w:r>
      <w:r>
        <w:rPr>
          <w:color w:val="231F1F"/>
          <w:spacing w:val="-2"/>
          <w:w w:val="105"/>
        </w:rPr>
        <w:t> </w:t>
      </w:r>
      <w:r>
        <w:rPr>
          <w:color w:val="231F1F"/>
          <w:w w:val="105"/>
        </w:rPr>
        <w:t>óxido</w:t>
      </w:r>
      <w:r>
        <w:rPr>
          <w:color w:val="231F1F"/>
          <w:spacing w:val="-2"/>
          <w:w w:val="105"/>
        </w:rPr>
        <w:t> </w:t>
      </w:r>
      <w:r>
        <w:rPr>
          <w:color w:val="231F1F"/>
          <w:w w:val="105"/>
        </w:rPr>
        <w:t>nitroso</w:t>
      </w:r>
      <w:r>
        <w:rPr>
          <w:color w:val="231F1F"/>
          <w:spacing w:val="-2"/>
          <w:w w:val="105"/>
        </w:rPr>
        <w:t> </w:t>
      </w:r>
      <w:r>
        <w:rPr>
          <w:color w:val="231F1F"/>
          <w:w w:val="105"/>
        </w:rPr>
        <w:t>y</w:t>
      </w:r>
      <w:r>
        <w:rPr>
          <w:color w:val="231F1F"/>
          <w:spacing w:val="-2"/>
          <w:w w:val="105"/>
        </w:rPr>
        <w:t> </w:t>
      </w:r>
      <w:r>
        <w:rPr>
          <w:color w:val="231F1F"/>
          <w:w w:val="105"/>
        </w:rPr>
        <w:t>oxígeno</w:t>
      </w:r>
      <w:r>
        <w:rPr>
          <w:color w:val="231F1F"/>
          <w:spacing w:val="-2"/>
          <w:w w:val="105"/>
        </w:rPr>
        <w:t> </w:t>
      </w:r>
      <w:r>
        <w:rPr>
          <w:color w:val="231F1F"/>
          <w:w w:val="105"/>
        </w:rPr>
        <w:t>50:50)</w:t>
      </w:r>
      <w:r>
        <w:rPr>
          <w:color w:val="231F1F"/>
          <w:spacing w:val="-2"/>
          <w:w w:val="105"/>
        </w:rPr>
        <w:t> </w:t>
      </w:r>
      <w:r>
        <w:rPr>
          <w:color w:val="231F1F"/>
          <w:w w:val="105"/>
        </w:rPr>
        <w:t>y</w:t>
      </w:r>
      <w:r>
        <w:rPr>
          <w:color w:val="231F1F"/>
          <w:spacing w:val="-2"/>
          <w:w w:val="105"/>
        </w:rPr>
        <w:t> </w:t>
      </w:r>
      <w:r>
        <w:rPr>
          <w:color w:val="231F1F"/>
          <w:w w:val="105"/>
        </w:rPr>
        <w:t>analgesia</w:t>
      </w:r>
      <w:r>
        <w:rPr>
          <w:color w:val="231F1F"/>
          <w:spacing w:val="-2"/>
          <w:w w:val="105"/>
        </w:rPr>
        <w:t> </w:t>
      </w:r>
      <w:r>
        <w:rPr>
          <w:color w:val="231F1F"/>
          <w:w w:val="105"/>
        </w:rPr>
        <w:t>epidural</w:t>
      </w:r>
      <w:r>
        <w:rPr>
          <w:color w:val="231F1F"/>
          <w:spacing w:val="-2"/>
          <w:w w:val="105"/>
        </w:rPr>
        <w:t> </w:t>
      </w:r>
      <w:r>
        <w:rPr>
          <w:color w:val="231F1F"/>
          <w:w w:val="105"/>
        </w:rPr>
        <w:t>con régimen moderno de bajas dosis. Sin embargo, la utilización de opioides pa- renterales</w:t>
      </w:r>
      <w:r>
        <w:rPr>
          <w:color w:val="231F1F"/>
          <w:w w:val="105"/>
        </w:rPr>
        <w:t> fue</w:t>
      </w:r>
      <w:r>
        <w:rPr>
          <w:color w:val="231F1F"/>
          <w:w w:val="105"/>
        </w:rPr>
        <w:t> un</w:t>
      </w:r>
      <w:r>
        <w:rPr>
          <w:color w:val="231F1F"/>
          <w:w w:val="105"/>
        </w:rPr>
        <w:t> criterio</w:t>
      </w:r>
      <w:r>
        <w:rPr>
          <w:color w:val="231F1F"/>
          <w:w w:val="105"/>
        </w:rPr>
        <w:t> de</w:t>
      </w:r>
      <w:r>
        <w:rPr>
          <w:color w:val="231F1F"/>
          <w:w w:val="105"/>
        </w:rPr>
        <w:t> exclusión</w:t>
      </w:r>
      <w:r>
        <w:rPr>
          <w:color w:val="231F1F"/>
          <w:w w:val="105"/>
        </w:rPr>
        <w:t> del</w:t>
      </w:r>
      <w:r>
        <w:rPr>
          <w:color w:val="231F1F"/>
          <w:w w:val="105"/>
        </w:rPr>
        <w:t> ensayo,</w:t>
      </w:r>
      <w:r>
        <w:rPr>
          <w:color w:val="231F1F"/>
          <w:w w:val="105"/>
        </w:rPr>
        <w:t> ya</w:t>
      </w:r>
      <w:r>
        <w:rPr>
          <w:color w:val="231F1F"/>
          <w:w w:val="105"/>
        </w:rPr>
        <w:t> que</w:t>
      </w:r>
      <w:r>
        <w:rPr>
          <w:color w:val="231F1F"/>
          <w:w w:val="105"/>
        </w:rPr>
        <w:t> éstos</w:t>
      </w:r>
      <w:r>
        <w:rPr>
          <w:color w:val="231F1F"/>
          <w:w w:val="105"/>
        </w:rPr>
        <w:t> causan</w:t>
      </w:r>
      <w:r>
        <w:rPr>
          <w:color w:val="231F1F"/>
          <w:w w:val="105"/>
        </w:rPr>
        <w:t> un retraso en el vaciamiento gástrico, aumentando el riesgo de vómitos.</w:t>
      </w:r>
    </w:p>
    <w:p>
      <w:pPr>
        <w:pStyle w:val="BodyText"/>
        <w:spacing w:line="252" w:lineRule="auto" w:before="66"/>
        <w:ind w:left="283" w:right="1" w:firstLine="453"/>
        <w:jc w:val="both"/>
      </w:pPr>
      <w:r>
        <w:rPr>
          <w:color w:val="231F1F"/>
          <w:w w:val="105"/>
        </w:rPr>
        <w:t>Este</w:t>
      </w:r>
      <w:r>
        <w:rPr>
          <w:color w:val="231F1F"/>
          <w:w w:val="105"/>
        </w:rPr>
        <w:t> ECA</w:t>
      </w:r>
      <w:r>
        <w:rPr>
          <w:color w:val="231F1F"/>
          <w:w w:val="105"/>
        </w:rPr>
        <w:t> (17)</w:t>
      </w:r>
      <w:r>
        <w:rPr>
          <w:color w:val="231F1F"/>
          <w:w w:val="105"/>
        </w:rPr>
        <w:t> sugería</w:t>
      </w:r>
      <w:r>
        <w:rPr>
          <w:color w:val="231F1F"/>
          <w:w w:val="105"/>
        </w:rPr>
        <w:t> que</w:t>
      </w:r>
      <w:r>
        <w:rPr>
          <w:color w:val="231F1F"/>
          <w:w w:val="105"/>
        </w:rPr>
        <w:t> una</w:t>
      </w:r>
      <w:r>
        <w:rPr>
          <w:color w:val="231F1F"/>
          <w:w w:val="105"/>
        </w:rPr>
        <w:t> dieta</w:t>
      </w:r>
      <w:r>
        <w:rPr>
          <w:color w:val="231F1F"/>
          <w:w w:val="105"/>
        </w:rPr>
        <w:t> baja</w:t>
      </w:r>
      <w:r>
        <w:rPr>
          <w:color w:val="231F1F"/>
          <w:w w:val="105"/>
        </w:rPr>
        <w:t> en</w:t>
      </w:r>
      <w:r>
        <w:rPr>
          <w:color w:val="231F1F"/>
          <w:w w:val="105"/>
        </w:rPr>
        <w:t> residuos</w:t>
      </w:r>
      <w:r>
        <w:rPr>
          <w:color w:val="231F1F"/>
          <w:w w:val="105"/>
        </w:rPr>
        <w:t> no</w:t>
      </w:r>
      <w:r>
        <w:rPr>
          <w:color w:val="231F1F"/>
          <w:w w:val="105"/>
        </w:rPr>
        <w:t> afecta</w:t>
      </w:r>
      <w:r>
        <w:rPr>
          <w:color w:val="231F1F"/>
          <w:w w:val="105"/>
        </w:rPr>
        <w:t> a</w:t>
      </w:r>
      <w:r>
        <w:rPr>
          <w:color w:val="231F1F"/>
          <w:w w:val="105"/>
        </w:rPr>
        <w:t> los resultados</w:t>
      </w:r>
      <w:r>
        <w:rPr>
          <w:color w:val="231F1F"/>
          <w:w w:val="105"/>
        </w:rPr>
        <w:t> neonatales</w:t>
      </w:r>
      <w:r>
        <w:rPr>
          <w:color w:val="231F1F"/>
          <w:w w:val="105"/>
        </w:rPr>
        <w:t> (Apgar,</w:t>
      </w:r>
      <w:r>
        <w:rPr>
          <w:color w:val="231F1F"/>
          <w:w w:val="105"/>
        </w:rPr>
        <w:t> ingreso</w:t>
      </w:r>
      <w:r>
        <w:rPr>
          <w:color w:val="231F1F"/>
          <w:w w:val="105"/>
        </w:rPr>
        <w:t> en</w:t>
      </w:r>
      <w:r>
        <w:rPr>
          <w:color w:val="231F1F"/>
          <w:w w:val="105"/>
        </w:rPr>
        <w:t> UCIN)</w:t>
      </w:r>
      <w:r>
        <w:rPr>
          <w:color w:val="231F1F"/>
          <w:w w:val="105"/>
        </w:rPr>
        <w:t> ni</w:t>
      </w:r>
      <w:r>
        <w:rPr>
          <w:color w:val="231F1F"/>
          <w:w w:val="105"/>
        </w:rPr>
        <w:t> obstétricos</w:t>
      </w:r>
      <w:r>
        <w:rPr>
          <w:color w:val="231F1F"/>
          <w:w w:val="105"/>
        </w:rPr>
        <w:t> como</w:t>
      </w:r>
      <w:r>
        <w:rPr>
          <w:color w:val="231F1F"/>
          <w:w w:val="105"/>
        </w:rPr>
        <w:t> la</w:t>
      </w:r>
      <w:r>
        <w:rPr>
          <w:color w:val="231F1F"/>
          <w:w w:val="105"/>
        </w:rPr>
        <w:t> tasa</w:t>
      </w:r>
      <w:r>
        <w:rPr>
          <w:color w:val="231F1F"/>
          <w:spacing w:val="80"/>
          <w:w w:val="105"/>
        </w:rPr>
        <w:t> </w:t>
      </w:r>
      <w:r>
        <w:rPr>
          <w:color w:val="231F1F"/>
          <w:w w:val="105"/>
        </w:rPr>
        <w:t>de</w:t>
      </w:r>
      <w:r>
        <w:rPr>
          <w:color w:val="231F1F"/>
          <w:spacing w:val="-12"/>
          <w:w w:val="105"/>
        </w:rPr>
        <w:t> </w:t>
      </w:r>
      <w:r>
        <w:rPr>
          <w:color w:val="231F1F"/>
          <w:w w:val="105"/>
        </w:rPr>
        <w:t>partos</w:t>
      </w:r>
      <w:r>
        <w:rPr>
          <w:color w:val="231F1F"/>
          <w:spacing w:val="-12"/>
          <w:w w:val="105"/>
        </w:rPr>
        <w:t> </w:t>
      </w:r>
      <w:r>
        <w:rPr>
          <w:color w:val="231F1F"/>
          <w:w w:val="105"/>
        </w:rPr>
        <w:t>espontáneos:</w:t>
      </w:r>
      <w:r>
        <w:rPr>
          <w:color w:val="231F1F"/>
          <w:spacing w:val="-11"/>
          <w:w w:val="105"/>
        </w:rPr>
        <w:t> </w:t>
      </w:r>
      <w:r>
        <w:rPr>
          <w:color w:val="231F1F"/>
          <w:w w:val="105"/>
        </w:rPr>
        <w:t>RR</w:t>
      </w:r>
      <w:r>
        <w:rPr>
          <w:color w:val="231F1F"/>
          <w:spacing w:val="-12"/>
          <w:w w:val="105"/>
        </w:rPr>
        <w:t> </w:t>
      </w:r>
      <w:r>
        <w:rPr>
          <w:color w:val="231F1F"/>
          <w:w w:val="105"/>
        </w:rPr>
        <w:t>0,99</w:t>
      </w:r>
      <w:r>
        <w:rPr>
          <w:color w:val="231F1F"/>
          <w:spacing w:val="-12"/>
          <w:w w:val="105"/>
        </w:rPr>
        <w:t> </w:t>
      </w:r>
      <w:r>
        <w:rPr>
          <w:color w:val="231F1F"/>
          <w:w w:val="105"/>
        </w:rPr>
        <w:t>[IC</w:t>
      </w:r>
      <w:r>
        <w:rPr>
          <w:color w:val="231F1F"/>
          <w:spacing w:val="-12"/>
          <w:w w:val="105"/>
        </w:rPr>
        <w:t> </w:t>
      </w:r>
      <w:r>
        <w:rPr>
          <w:color w:val="231F1F"/>
          <w:w w:val="105"/>
        </w:rPr>
        <w:t>95%</w:t>
      </w:r>
      <w:r>
        <w:rPr>
          <w:color w:val="231F1F"/>
          <w:spacing w:val="-11"/>
          <w:w w:val="105"/>
        </w:rPr>
        <w:t> </w:t>
      </w:r>
      <w:r>
        <w:rPr>
          <w:color w:val="231F1F"/>
          <w:w w:val="105"/>
        </w:rPr>
        <w:t>0,90</w:t>
      </w:r>
      <w:r>
        <w:rPr>
          <w:color w:val="231F1F"/>
          <w:spacing w:val="-12"/>
          <w:w w:val="105"/>
        </w:rPr>
        <w:t> </w:t>
      </w:r>
      <w:r>
        <w:rPr>
          <w:color w:val="231F1F"/>
          <w:w w:val="105"/>
        </w:rPr>
        <w:t>a</w:t>
      </w:r>
      <w:r>
        <w:rPr>
          <w:color w:val="231F1F"/>
          <w:spacing w:val="-12"/>
          <w:w w:val="105"/>
        </w:rPr>
        <w:t> </w:t>
      </w:r>
      <w:r>
        <w:rPr>
          <w:color w:val="231F1F"/>
          <w:w w:val="105"/>
        </w:rPr>
        <w:t>1,06],</w:t>
      </w:r>
      <w:r>
        <w:rPr>
          <w:color w:val="231F1F"/>
          <w:spacing w:val="-12"/>
          <w:w w:val="105"/>
        </w:rPr>
        <w:t> </w:t>
      </w:r>
      <w:r>
        <w:rPr>
          <w:color w:val="231F1F"/>
          <w:w w:val="105"/>
        </w:rPr>
        <w:t>duración</w:t>
      </w:r>
      <w:r>
        <w:rPr>
          <w:color w:val="231F1F"/>
          <w:spacing w:val="-12"/>
          <w:w w:val="105"/>
        </w:rPr>
        <w:t> </w:t>
      </w:r>
      <w:r>
        <w:rPr>
          <w:color w:val="231F1F"/>
          <w:w w:val="105"/>
        </w:rPr>
        <w:t>del</w:t>
      </w:r>
      <w:r>
        <w:rPr>
          <w:color w:val="231F1F"/>
          <w:spacing w:val="-12"/>
          <w:w w:val="105"/>
        </w:rPr>
        <w:t> </w:t>
      </w:r>
      <w:r>
        <w:rPr>
          <w:color w:val="231F1F"/>
          <w:w w:val="105"/>
        </w:rPr>
        <w:t>parto:</w:t>
      </w:r>
      <w:r>
        <w:rPr>
          <w:color w:val="231F1F"/>
          <w:spacing w:val="-12"/>
          <w:w w:val="105"/>
        </w:rPr>
        <w:t> </w:t>
      </w:r>
      <w:r>
        <w:rPr>
          <w:color w:val="231F1F"/>
          <w:w w:val="105"/>
        </w:rPr>
        <w:t>RMG (razón de medias geométricas) 0,97 [IC 95% 0,92 a 1,02], tasa de partos ins- trumentales:</w:t>
      </w:r>
      <w:r>
        <w:rPr>
          <w:color w:val="231F1F"/>
          <w:spacing w:val="-6"/>
          <w:w w:val="105"/>
        </w:rPr>
        <w:t> </w:t>
      </w:r>
      <w:r>
        <w:rPr>
          <w:color w:val="231F1F"/>
          <w:w w:val="105"/>
        </w:rPr>
        <w:t>RR</w:t>
      </w:r>
      <w:r>
        <w:rPr>
          <w:color w:val="231F1F"/>
          <w:spacing w:val="-5"/>
          <w:w w:val="105"/>
        </w:rPr>
        <w:t> </w:t>
      </w:r>
      <w:r>
        <w:rPr>
          <w:color w:val="231F1F"/>
          <w:w w:val="105"/>
        </w:rPr>
        <w:t>1,04</w:t>
      </w:r>
      <w:r>
        <w:rPr>
          <w:color w:val="231F1F"/>
          <w:spacing w:val="-7"/>
          <w:w w:val="105"/>
        </w:rPr>
        <w:t> </w:t>
      </w:r>
      <w:r>
        <w:rPr>
          <w:color w:val="231F1F"/>
          <w:w w:val="105"/>
        </w:rPr>
        <w:t>[IC</w:t>
      </w:r>
      <w:r>
        <w:rPr>
          <w:color w:val="231F1F"/>
          <w:spacing w:val="-5"/>
          <w:w w:val="105"/>
        </w:rPr>
        <w:t> </w:t>
      </w:r>
      <w:r>
        <w:rPr>
          <w:color w:val="231F1F"/>
          <w:w w:val="105"/>
        </w:rPr>
        <w:t>95%</w:t>
      </w:r>
      <w:r>
        <w:rPr>
          <w:color w:val="231F1F"/>
          <w:spacing w:val="-6"/>
          <w:w w:val="105"/>
        </w:rPr>
        <w:t> </w:t>
      </w:r>
      <w:r>
        <w:rPr>
          <w:color w:val="231F1F"/>
          <w:w w:val="105"/>
        </w:rPr>
        <w:t>0,91</w:t>
      </w:r>
      <w:r>
        <w:rPr>
          <w:color w:val="231F1F"/>
          <w:spacing w:val="-5"/>
          <w:w w:val="105"/>
        </w:rPr>
        <w:t> </w:t>
      </w:r>
      <w:r>
        <w:rPr>
          <w:color w:val="231F1F"/>
          <w:w w:val="105"/>
        </w:rPr>
        <w:t>a</w:t>
      </w:r>
      <w:r>
        <w:rPr>
          <w:color w:val="231F1F"/>
          <w:spacing w:val="-6"/>
          <w:w w:val="105"/>
        </w:rPr>
        <w:t> </w:t>
      </w:r>
      <w:r>
        <w:rPr>
          <w:color w:val="231F1F"/>
          <w:w w:val="105"/>
        </w:rPr>
        <w:t>1,19],</w:t>
      </w:r>
      <w:r>
        <w:rPr>
          <w:color w:val="231F1F"/>
          <w:spacing w:val="-6"/>
          <w:w w:val="105"/>
        </w:rPr>
        <w:t> </w:t>
      </w:r>
      <w:r>
        <w:rPr>
          <w:color w:val="231F1F"/>
          <w:w w:val="105"/>
        </w:rPr>
        <w:t>tasa</w:t>
      </w:r>
      <w:r>
        <w:rPr>
          <w:color w:val="231F1F"/>
          <w:spacing w:val="-7"/>
          <w:w w:val="105"/>
        </w:rPr>
        <w:t> </w:t>
      </w:r>
      <w:r>
        <w:rPr>
          <w:color w:val="231F1F"/>
          <w:w w:val="105"/>
        </w:rPr>
        <w:t>de</w:t>
      </w:r>
      <w:r>
        <w:rPr>
          <w:color w:val="231F1F"/>
          <w:spacing w:val="-5"/>
          <w:w w:val="105"/>
        </w:rPr>
        <w:t> </w:t>
      </w:r>
      <w:r>
        <w:rPr>
          <w:color w:val="231F1F"/>
          <w:w w:val="105"/>
        </w:rPr>
        <w:t>cesáreas:</w:t>
      </w:r>
      <w:r>
        <w:rPr>
          <w:color w:val="231F1F"/>
          <w:spacing w:val="-7"/>
          <w:w w:val="105"/>
        </w:rPr>
        <w:t> </w:t>
      </w:r>
      <w:r>
        <w:rPr>
          <w:color w:val="231F1F"/>
          <w:w w:val="105"/>
        </w:rPr>
        <w:t>RR</w:t>
      </w:r>
      <w:r>
        <w:rPr>
          <w:color w:val="231F1F"/>
          <w:spacing w:val="-5"/>
          <w:w w:val="105"/>
        </w:rPr>
        <w:t> </w:t>
      </w:r>
      <w:r>
        <w:rPr>
          <w:color w:val="231F1F"/>
          <w:w w:val="105"/>
        </w:rPr>
        <w:t>0,98</w:t>
      </w:r>
      <w:r>
        <w:rPr>
          <w:color w:val="231F1F"/>
          <w:spacing w:val="-6"/>
          <w:w w:val="105"/>
        </w:rPr>
        <w:t> </w:t>
      </w:r>
      <w:r>
        <w:rPr>
          <w:color w:val="231F1F"/>
          <w:w w:val="105"/>
        </w:rPr>
        <w:t>[IC</w:t>
      </w:r>
      <w:r>
        <w:rPr>
          <w:color w:val="231F1F"/>
          <w:spacing w:val="-5"/>
          <w:w w:val="105"/>
        </w:rPr>
        <w:t> </w:t>
      </w:r>
      <w:r>
        <w:rPr>
          <w:color w:val="231F1F"/>
          <w:w w:val="105"/>
        </w:rPr>
        <w:t>95%</w:t>
      </w:r>
    </w:p>
    <w:p>
      <w:pPr>
        <w:pStyle w:val="BodyText"/>
        <w:spacing w:line="244" w:lineRule="auto"/>
        <w:ind w:left="283"/>
        <w:jc w:val="both"/>
      </w:pPr>
      <w:r>
        <w:rPr>
          <w:color w:val="231F1F"/>
          <w:w w:val="105"/>
        </w:rPr>
        <w:t>0,87</w:t>
      </w:r>
      <w:r>
        <w:rPr>
          <w:color w:val="231F1F"/>
          <w:spacing w:val="-4"/>
          <w:w w:val="105"/>
        </w:rPr>
        <w:t> </w:t>
      </w:r>
      <w:r>
        <w:rPr>
          <w:color w:val="231F1F"/>
          <w:w w:val="105"/>
        </w:rPr>
        <w:t>a</w:t>
      </w:r>
      <w:r>
        <w:rPr>
          <w:color w:val="231F1F"/>
          <w:spacing w:val="-4"/>
          <w:w w:val="105"/>
        </w:rPr>
        <w:t> </w:t>
      </w:r>
      <w:r>
        <w:rPr>
          <w:color w:val="231F1F"/>
          <w:w w:val="105"/>
        </w:rPr>
        <w:t>1,12]</w:t>
      </w:r>
      <w:r>
        <w:rPr>
          <w:color w:val="231F1F"/>
          <w:spacing w:val="-4"/>
          <w:w w:val="105"/>
        </w:rPr>
        <w:t> </w:t>
      </w:r>
      <w:r>
        <w:rPr>
          <w:color w:val="231F1F"/>
          <w:w w:val="105"/>
        </w:rPr>
        <w:t>y</w:t>
      </w:r>
      <w:r>
        <w:rPr>
          <w:color w:val="231F1F"/>
          <w:spacing w:val="-4"/>
          <w:w w:val="105"/>
        </w:rPr>
        <w:t> </w:t>
      </w:r>
      <w:r>
        <w:rPr>
          <w:color w:val="231F1F"/>
          <w:w w:val="105"/>
        </w:rPr>
        <w:t>vómitos:</w:t>
      </w:r>
      <w:r>
        <w:rPr>
          <w:color w:val="231F1F"/>
          <w:spacing w:val="-4"/>
          <w:w w:val="105"/>
        </w:rPr>
        <w:t> </w:t>
      </w:r>
      <w:r>
        <w:rPr>
          <w:color w:val="231F1F"/>
          <w:w w:val="105"/>
        </w:rPr>
        <w:t>RR</w:t>
      </w:r>
      <w:r>
        <w:rPr>
          <w:color w:val="231F1F"/>
          <w:spacing w:val="-4"/>
          <w:w w:val="105"/>
        </w:rPr>
        <w:t> </w:t>
      </w:r>
      <w:r>
        <w:rPr>
          <w:color w:val="231F1F"/>
          <w:w w:val="105"/>
        </w:rPr>
        <w:t>1,05</w:t>
      </w:r>
      <w:r>
        <w:rPr>
          <w:color w:val="231F1F"/>
          <w:spacing w:val="-4"/>
          <w:w w:val="105"/>
        </w:rPr>
        <w:t> </w:t>
      </w:r>
      <w:r>
        <w:rPr>
          <w:color w:val="231F1F"/>
          <w:w w:val="105"/>
        </w:rPr>
        <w:t>[IC</w:t>
      </w:r>
      <w:r>
        <w:rPr>
          <w:color w:val="231F1F"/>
          <w:spacing w:val="-4"/>
          <w:w w:val="105"/>
        </w:rPr>
        <w:t> </w:t>
      </w:r>
      <w:r>
        <w:rPr>
          <w:color w:val="231F1F"/>
          <w:w w:val="105"/>
        </w:rPr>
        <w:t>95%</w:t>
      </w:r>
      <w:r>
        <w:rPr>
          <w:color w:val="231F1F"/>
          <w:spacing w:val="-4"/>
          <w:w w:val="105"/>
        </w:rPr>
        <w:t> </w:t>
      </w:r>
      <w:r>
        <w:rPr>
          <w:color w:val="231F1F"/>
          <w:w w:val="105"/>
        </w:rPr>
        <w:t>0,94</w:t>
      </w:r>
      <w:r>
        <w:rPr>
          <w:color w:val="231F1F"/>
          <w:spacing w:val="-4"/>
          <w:w w:val="105"/>
        </w:rPr>
        <w:t> </w:t>
      </w:r>
      <w:r>
        <w:rPr>
          <w:color w:val="231F1F"/>
          <w:w w:val="105"/>
        </w:rPr>
        <w:t>a</w:t>
      </w:r>
      <w:r>
        <w:rPr>
          <w:color w:val="231F1F"/>
          <w:spacing w:val="-4"/>
          <w:w w:val="105"/>
        </w:rPr>
        <w:t> </w:t>
      </w:r>
      <w:r>
        <w:rPr>
          <w:color w:val="231F1F"/>
          <w:w w:val="105"/>
        </w:rPr>
        <w:t>1,17].</w:t>
      </w:r>
      <w:r>
        <w:rPr>
          <w:color w:val="231F1F"/>
          <w:spacing w:val="-4"/>
          <w:w w:val="105"/>
        </w:rPr>
        <w:t> </w:t>
      </w:r>
      <w:r>
        <w:rPr>
          <w:color w:val="231F1F"/>
          <w:w w:val="105"/>
        </w:rPr>
        <w:t>Sin</w:t>
      </w:r>
      <w:r>
        <w:rPr>
          <w:color w:val="231F1F"/>
          <w:spacing w:val="-4"/>
          <w:w w:val="105"/>
        </w:rPr>
        <w:t> </w:t>
      </w:r>
      <w:r>
        <w:rPr>
          <w:color w:val="231F1F"/>
          <w:w w:val="105"/>
        </w:rPr>
        <w:t>embargo</w:t>
      </w:r>
      <w:r>
        <w:rPr>
          <w:color w:val="231F1F"/>
          <w:spacing w:val="-4"/>
          <w:w w:val="105"/>
        </w:rPr>
        <w:t> </w:t>
      </w:r>
      <w:r>
        <w:rPr>
          <w:color w:val="231F1F"/>
          <w:w w:val="105"/>
        </w:rPr>
        <w:t>y</w:t>
      </w:r>
      <w:r>
        <w:rPr>
          <w:color w:val="231F1F"/>
          <w:spacing w:val="-4"/>
          <w:w w:val="105"/>
        </w:rPr>
        <w:t> </w:t>
      </w:r>
      <w:r>
        <w:rPr>
          <w:color w:val="231F1F"/>
          <w:w w:val="105"/>
        </w:rPr>
        <w:t>debido</w:t>
      </w:r>
      <w:r>
        <w:rPr>
          <w:color w:val="231F1F"/>
          <w:spacing w:val="-4"/>
          <w:w w:val="105"/>
        </w:rPr>
        <w:t> </w:t>
      </w:r>
      <w:r>
        <w:rPr>
          <w:color w:val="231F1F"/>
          <w:w w:val="105"/>
        </w:rPr>
        <w:t>a la extremadamente baja prevalencia de la aspiración ácida pulmonar en obs- tetricia,</w:t>
      </w:r>
      <w:r>
        <w:rPr>
          <w:color w:val="231F1F"/>
          <w:w w:val="105"/>
        </w:rPr>
        <w:t> el</w:t>
      </w:r>
      <w:r>
        <w:rPr>
          <w:color w:val="231F1F"/>
          <w:w w:val="105"/>
        </w:rPr>
        <w:t> estudio</w:t>
      </w:r>
      <w:r>
        <w:rPr>
          <w:color w:val="231F1F"/>
          <w:w w:val="105"/>
        </w:rPr>
        <w:t> no</w:t>
      </w:r>
      <w:r>
        <w:rPr>
          <w:color w:val="231F1F"/>
          <w:w w:val="105"/>
        </w:rPr>
        <w:t> obtuvo</w:t>
      </w:r>
      <w:r>
        <w:rPr>
          <w:color w:val="231F1F"/>
          <w:w w:val="105"/>
        </w:rPr>
        <w:t> el</w:t>
      </w:r>
      <w:r>
        <w:rPr>
          <w:color w:val="231F1F"/>
          <w:w w:val="105"/>
        </w:rPr>
        <w:t> poder</w:t>
      </w:r>
      <w:r>
        <w:rPr>
          <w:color w:val="231F1F"/>
          <w:w w:val="105"/>
        </w:rPr>
        <w:t> estadístico</w:t>
      </w:r>
      <w:r>
        <w:rPr>
          <w:color w:val="231F1F"/>
          <w:w w:val="105"/>
        </w:rPr>
        <w:t> necesario</w:t>
      </w:r>
      <w:r>
        <w:rPr>
          <w:color w:val="231F1F"/>
          <w:w w:val="105"/>
        </w:rPr>
        <w:t> para</w:t>
      </w:r>
      <w:r>
        <w:rPr>
          <w:color w:val="231F1F"/>
          <w:w w:val="105"/>
        </w:rPr>
        <w:t> evaluar</w:t>
      </w:r>
      <w:r>
        <w:rPr>
          <w:color w:val="231F1F"/>
          <w:w w:val="105"/>
        </w:rPr>
        <w:t> la seguridad</w:t>
      </w:r>
      <w:r>
        <w:rPr>
          <w:color w:val="231F1F"/>
          <w:spacing w:val="40"/>
          <w:w w:val="105"/>
        </w:rPr>
        <w:t> </w:t>
      </w:r>
      <w:r>
        <w:rPr>
          <w:color w:val="231F1F"/>
          <w:w w:val="105"/>
        </w:rPr>
        <w:t>de</w:t>
      </w:r>
      <w:r>
        <w:rPr>
          <w:color w:val="231F1F"/>
          <w:spacing w:val="40"/>
          <w:w w:val="105"/>
        </w:rPr>
        <w:t> </w:t>
      </w:r>
      <w:r>
        <w:rPr>
          <w:color w:val="231F1F"/>
          <w:w w:val="105"/>
        </w:rPr>
        <w:t>esta</w:t>
      </w:r>
      <w:r>
        <w:rPr>
          <w:color w:val="231F1F"/>
          <w:spacing w:val="40"/>
          <w:w w:val="105"/>
        </w:rPr>
        <w:t> </w:t>
      </w:r>
      <w:r>
        <w:rPr>
          <w:color w:val="231F1F"/>
          <w:w w:val="105"/>
        </w:rPr>
        <w:t>práctica</w:t>
      </w:r>
      <w:r>
        <w:rPr>
          <w:color w:val="231F1F"/>
          <w:spacing w:val="40"/>
          <w:w w:val="105"/>
        </w:rPr>
        <w:t> </w:t>
      </w:r>
      <w:r>
        <w:rPr>
          <w:color w:val="231F1F"/>
          <w:w w:val="105"/>
        </w:rPr>
        <w:t>en</w:t>
      </w:r>
      <w:r>
        <w:rPr>
          <w:color w:val="231F1F"/>
          <w:spacing w:val="40"/>
          <w:w w:val="105"/>
        </w:rPr>
        <w:t> </w:t>
      </w:r>
      <w:r>
        <w:rPr>
          <w:color w:val="231F1F"/>
          <w:w w:val="105"/>
        </w:rPr>
        <w:t>relación</w:t>
      </w:r>
      <w:r>
        <w:rPr>
          <w:color w:val="231F1F"/>
          <w:spacing w:val="40"/>
          <w:w w:val="105"/>
        </w:rPr>
        <w:t> </w:t>
      </w:r>
      <w:r>
        <w:rPr>
          <w:color w:val="231F1F"/>
          <w:w w:val="105"/>
        </w:rPr>
        <w:t>a</w:t>
      </w:r>
      <w:r>
        <w:rPr>
          <w:color w:val="231F1F"/>
          <w:spacing w:val="40"/>
          <w:w w:val="105"/>
        </w:rPr>
        <w:t> </w:t>
      </w:r>
      <w:r>
        <w:rPr>
          <w:color w:val="231F1F"/>
          <w:w w:val="105"/>
        </w:rPr>
        <w:t>la</w:t>
      </w:r>
      <w:r>
        <w:rPr>
          <w:color w:val="231F1F"/>
          <w:spacing w:val="40"/>
          <w:w w:val="105"/>
        </w:rPr>
        <w:t> </w:t>
      </w:r>
      <w:r>
        <w:rPr>
          <w:color w:val="231F1F"/>
          <w:w w:val="105"/>
        </w:rPr>
        <w:t>aspiración.</w:t>
      </w:r>
    </w:p>
    <w:p>
      <w:pPr>
        <w:pStyle w:val="BodyText"/>
        <w:spacing w:line="249" w:lineRule="auto" w:before="54"/>
        <w:ind w:left="283" w:right="1" w:firstLine="453"/>
        <w:jc w:val="both"/>
      </w:pPr>
      <w:r>
        <w:rPr>
          <w:color w:val="231F1F"/>
          <w:w w:val="110"/>
        </w:rPr>
        <w:t>Otro</w:t>
      </w:r>
      <w:r>
        <w:rPr>
          <w:color w:val="231F1F"/>
          <w:spacing w:val="-3"/>
          <w:w w:val="110"/>
        </w:rPr>
        <w:t> </w:t>
      </w:r>
      <w:r>
        <w:rPr>
          <w:color w:val="231F1F"/>
          <w:w w:val="110"/>
        </w:rPr>
        <w:t>de</w:t>
      </w:r>
      <w:r>
        <w:rPr>
          <w:color w:val="231F1F"/>
          <w:spacing w:val="-3"/>
          <w:w w:val="110"/>
        </w:rPr>
        <w:t> </w:t>
      </w:r>
      <w:r>
        <w:rPr>
          <w:color w:val="231F1F"/>
          <w:w w:val="110"/>
        </w:rPr>
        <w:t>los</w:t>
      </w:r>
      <w:r>
        <w:rPr>
          <w:color w:val="231F1F"/>
          <w:spacing w:val="-3"/>
          <w:w w:val="110"/>
        </w:rPr>
        <w:t> </w:t>
      </w:r>
      <w:r>
        <w:rPr>
          <w:color w:val="231F1F"/>
          <w:w w:val="110"/>
        </w:rPr>
        <w:t>estudios</w:t>
      </w:r>
      <w:r>
        <w:rPr>
          <w:color w:val="231F1F"/>
          <w:spacing w:val="-3"/>
          <w:w w:val="110"/>
        </w:rPr>
        <w:t> </w:t>
      </w:r>
      <w:r>
        <w:rPr>
          <w:color w:val="231F1F"/>
          <w:w w:val="110"/>
        </w:rPr>
        <w:t>seleccionado</w:t>
      </w:r>
      <w:r>
        <w:rPr>
          <w:color w:val="231F1F"/>
          <w:spacing w:val="-4"/>
          <w:w w:val="110"/>
        </w:rPr>
        <w:t> </w:t>
      </w:r>
      <w:r>
        <w:rPr>
          <w:color w:val="231F1F"/>
          <w:w w:val="110"/>
        </w:rPr>
        <w:t>gracias</w:t>
      </w:r>
      <w:r>
        <w:rPr>
          <w:color w:val="231F1F"/>
          <w:spacing w:val="-4"/>
          <w:w w:val="110"/>
        </w:rPr>
        <w:t> </w:t>
      </w:r>
      <w:r>
        <w:rPr>
          <w:color w:val="231F1F"/>
          <w:w w:val="110"/>
        </w:rPr>
        <w:t>a</w:t>
      </w:r>
      <w:r>
        <w:rPr>
          <w:color w:val="231F1F"/>
          <w:spacing w:val="-3"/>
          <w:w w:val="110"/>
        </w:rPr>
        <w:t> </w:t>
      </w:r>
      <w:r>
        <w:rPr>
          <w:color w:val="231F1F"/>
          <w:w w:val="110"/>
        </w:rPr>
        <w:t>las</w:t>
      </w:r>
      <w:r>
        <w:rPr>
          <w:color w:val="231F1F"/>
          <w:spacing w:val="-3"/>
          <w:w w:val="110"/>
        </w:rPr>
        <w:t> </w:t>
      </w:r>
      <w:r>
        <w:rPr>
          <w:color w:val="231F1F"/>
          <w:w w:val="110"/>
        </w:rPr>
        <w:t>alertas</w:t>
      </w:r>
      <w:r>
        <w:rPr>
          <w:color w:val="231F1F"/>
          <w:spacing w:val="-4"/>
          <w:w w:val="110"/>
        </w:rPr>
        <w:t> </w:t>
      </w:r>
      <w:r>
        <w:rPr>
          <w:color w:val="231F1F"/>
          <w:w w:val="110"/>
        </w:rPr>
        <w:t>de</w:t>
      </w:r>
      <w:r>
        <w:rPr>
          <w:color w:val="231F1F"/>
          <w:spacing w:val="-3"/>
          <w:w w:val="110"/>
        </w:rPr>
        <w:t> </w:t>
      </w:r>
      <w:r>
        <w:rPr>
          <w:color w:val="231F1F"/>
          <w:w w:val="110"/>
        </w:rPr>
        <w:t>actualización </w:t>
      </w:r>
      <w:r>
        <w:rPr>
          <w:color w:val="231F1F"/>
          <w:spacing w:val="-2"/>
          <w:w w:val="110"/>
        </w:rPr>
        <w:t>utilizadas</w:t>
      </w:r>
      <w:r>
        <w:rPr>
          <w:color w:val="231F1F"/>
          <w:spacing w:val="-11"/>
          <w:w w:val="110"/>
        </w:rPr>
        <w:t> </w:t>
      </w:r>
      <w:r>
        <w:rPr>
          <w:color w:val="231F1F"/>
          <w:spacing w:val="-2"/>
          <w:w w:val="110"/>
        </w:rPr>
        <w:t>en</w:t>
      </w:r>
      <w:r>
        <w:rPr>
          <w:color w:val="231F1F"/>
          <w:spacing w:val="-11"/>
          <w:w w:val="110"/>
        </w:rPr>
        <w:t> </w:t>
      </w:r>
      <w:r>
        <w:rPr>
          <w:color w:val="231F1F"/>
          <w:spacing w:val="-2"/>
          <w:w w:val="110"/>
        </w:rPr>
        <w:t>las</w:t>
      </w:r>
      <w:r>
        <w:rPr>
          <w:color w:val="231F1F"/>
          <w:spacing w:val="-11"/>
          <w:w w:val="110"/>
        </w:rPr>
        <w:t> </w:t>
      </w:r>
      <w:r>
        <w:rPr>
          <w:color w:val="231F1F"/>
          <w:spacing w:val="-2"/>
          <w:w w:val="110"/>
        </w:rPr>
        <w:t>estrategias</w:t>
      </w:r>
      <w:r>
        <w:rPr>
          <w:color w:val="231F1F"/>
          <w:spacing w:val="-12"/>
          <w:w w:val="110"/>
        </w:rPr>
        <w:t> </w:t>
      </w:r>
      <w:r>
        <w:rPr>
          <w:color w:val="231F1F"/>
          <w:spacing w:val="-2"/>
          <w:w w:val="110"/>
        </w:rPr>
        <w:t>de</w:t>
      </w:r>
      <w:r>
        <w:rPr>
          <w:color w:val="231F1F"/>
          <w:spacing w:val="-11"/>
          <w:w w:val="110"/>
        </w:rPr>
        <w:t> </w:t>
      </w:r>
      <w:r>
        <w:rPr>
          <w:color w:val="231F1F"/>
          <w:spacing w:val="-2"/>
          <w:w w:val="110"/>
        </w:rPr>
        <w:t>búsqueda,</w:t>
      </w:r>
      <w:r>
        <w:rPr>
          <w:color w:val="231F1F"/>
          <w:spacing w:val="-12"/>
          <w:w w:val="110"/>
        </w:rPr>
        <w:t> </w:t>
      </w:r>
      <w:r>
        <w:rPr>
          <w:color w:val="231F1F"/>
          <w:spacing w:val="-2"/>
          <w:w w:val="110"/>
        </w:rPr>
        <w:t>es</w:t>
      </w:r>
      <w:r>
        <w:rPr>
          <w:color w:val="231F1F"/>
          <w:spacing w:val="-11"/>
          <w:w w:val="110"/>
        </w:rPr>
        <w:t> </w:t>
      </w:r>
      <w:r>
        <w:rPr>
          <w:color w:val="231F1F"/>
          <w:spacing w:val="-2"/>
          <w:w w:val="110"/>
        </w:rPr>
        <w:t>una</w:t>
      </w:r>
      <w:r>
        <w:rPr>
          <w:color w:val="231F1F"/>
          <w:spacing w:val="-11"/>
          <w:w w:val="110"/>
        </w:rPr>
        <w:t> </w:t>
      </w:r>
      <w:r>
        <w:rPr>
          <w:color w:val="231F1F"/>
          <w:spacing w:val="-2"/>
          <w:w w:val="110"/>
        </w:rPr>
        <w:t>nueva</w:t>
      </w:r>
      <w:r>
        <w:rPr>
          <w:color w:val="231F1F"/>
          <w:spacing w:val="-11"/>
          <w:w w:val="110"/>
        </w:rPr>
        <w:t> </w:t>
      </w:r>
      <w:r>
        <w:rPr>
          <w:color w:val="231F1F"/>
          <w:spacing w:val="-2"/>
          <w:w w:val="110"/>
        </w:rPr>
        <w:t>RS</w:t>
      </w:r>
      <w:r>
        <w:rPr>
          <w:color w:val="231F1F"/>
          <w:spacing w:val="-11"/>
          <w:w w:val="110"/>
        </w:rPr>
        <w:t> </w:t>
      </w:r>
      <w:r>
        <w:rPr>
          <w:color w:val="231F1F"/>
          <w:spacing w:val="-2"/>
          <w:w w:val="110"/>
        </w:rPr>
        <w:t>Cochrane</w:t>
      </w:r>
      <w:r>
        <w:rPr>
          <w:color w:val="231F1F"/>
          <w:spacing w:val="-11"/>
          <w:w w:val="110"/>
        </w:rPr>
        <w:t> </w:t>
      </w:r>
      <w:r>
        <w:rPr>
          <w:color w:val="231F1F"/>
          <w:spacing w:val="-2"/>
          <w:w w:val="110"/>
        </w:rPr>
        <w:t>(18)</w:t>
      </w:r>
      <w:r>
        <w:rPr>
          <w:color w:val="231F1F"/>
          <w:spacing w:val="-11"/>
          <w:w w:val="110"/>
        </w:rPr>
        <w:t> </w:t>
      </w:r>
      <w:r>
        <w:rPr>
          <w:color w:val="231F1F"/>
          <w:spacing w:val="-2"/>
          <w:w w:val="110"/>
        </w:rPr>
        <w:t>que </w:t>
      </w:r>
      <w:r>
        <w:rPr>
          <w:color w:val="231F1F"/>
          <w:w w:val="110"/>
        </w:rPr>
        <w:t>pretende</w:t>
      </w:r>
      <w:r>
        <w:rPr>
          <w:color w:val="231F1F"/>
          <w:spacing w:val="-11"/>
          <w:w w:val="110"/>
        </w:rPr>
        <w:t> </w:t>
      </w:r>
      <w:r>
        <w:rPr>
          <w:color w:val="231F1F"/>
          <w:w w:val="110"/>
        </w:rPr>
        <w:t>dar</w:t>
      </w:r>
      <w:r>
        <w:rPr>
          <w:color w:val="231F1F"/>
          <w:spacing w:val="-11"/>
          <w:w w:val="110"/>
        </w:rPr>
        <w:t> </w:t>
      </w:r>
      <w:r>
        <w:rPr>
          <w:color w:val="231F1F"/>
          <w:w w:val="110"/>
        </w:rPr>
        <w:t>respuesta</w:t>
      </w:r>
      <w:r>
        <w:rPr>
          <w:color w:val="231F1F"/>
          <w:spacing w:val="-10"/>
          <w:w w:val="110"/>
        </w:rPr>
        <w:t> </w:t>
      </w:r>
      <w:r>
        <w:rPr>
          <w:color w:val="231F1F"/>
          <w:w w:val="110"/>
        </w:rPr>
        <w:t>a</w:t>
      </w:r>
      <w:r>
        <w:rPr>
          <w:color w:val="231F1F"/>
          <w:spacing w:val="-11"/>
          <w:w w:val="110"/>
        </w:rPr>
        <w:t> </w:t>
      </w:r>
      <w:r>
        <w:rPr>
          <w:color w:val="231F1F"/>
          <w:w w:val="110"/>
        </w:rPr>
        <w:t>esta</w:t>
      </w:r>
      <w:r>
        <w:rPr>
          <w:color w:val="231F1F"/>
          <w:spacing w:val="-11"/>
          <w:w w:val="110"/>
        </w:rPr>
        <w:t> </w:t>
      </w:r>
      <w:r>
        <w:rPr>
          <w:color w:val="231F1F"/>
          <w:w w:val="110"/>
        </w:rPr>
        <w:t>pregunta,</w:t>
      </w:r>
      <w:r>
        <w:rPr>
          <w:color w:val="231F1F"/>
          <w:spacing w:val="-12"/>
          <w:w w:val="110"/>
        </w:rPr>
        <w:t> </w:t>
      </w:r>
      <w:r>
        <w:rPr>
          <w:color w:val="231F1F"/>
          <w:w w:val="110"/>
        </w:rPr>
        <w:t>determinando</w:t>
      </w:r>
      <w:r>
        <w:rPr>
          <w:color w:val="231F1F"/>
          <w:spacing w:val="-11"/>
          <w:w w:val="110"/>
        </w:rPr>
        <w:t> </w:t>
      </w:r>
      <w:r>
        <w:rPr>
          <w:color w:val="231F1F"/>
          <w:w w:val="110"/>
        </w:rPr>
        <w:t>los</w:t>
      </w:r>
      <w:r>
        <w:rPr>
          <w:color w:val="231F1F"/>
          <w:spacing w:val="-11"/>
          <w:w w:val="110"/>
        </w:rPr>
        <w:t> </w:t>
      </w:r>
      <w:r>
        <w:rPr>
          <w:color w:val="231F1F"/>
          <w:w w:val="110"/>
        </w:rPr>
        <w:t>beneficios</w:t>
      </w:r>
      <w:r>
        <w:rPr>
          <w:color w:val="231F1F"/>
          <w:spacing w:val="-11"/>
          <w:w w:val="110"/>
        </w:rPr>
        <w:t> </w:t>
      </w:r>
      <w:r>
        <w:rPr>
          <w:color w:val="231F1F"/>
          <w:w w:val="110"/>
        </w:rPr>
        <w:t>y</w:t>
      </w:r>
      <w:r>
        <w:rPr>
          <w:color w:val="231F1F"/>
          <w:spacing w:val="-11"/>
          <w:w w:val="110"/>
        </w:rPr>
        <w:t> </w:t>
      </w:r>
      <w:r>
        <w:rPr>
          <w:color w:val="231F1F"/>
          <w:w w:val="110"/>
        </w:rPr>
        <w:t>daños de</w:t>
      </w:r>
      <w:r>
        <w:rPr>
          <w:color w:val="231F1F"/>
          <w:spacing w:val="-3"/>
          <w:w w:val="110"/>
        </w:rPr>
        <w:t> </w:t>
      </w:r>
      <w:r>
        <w:rPr>
          <w:color w:val="231F1F"/>
          <w:w w:val="110"/>
        </w:rPr>
        <w:t>ingesta</w:t>
      </w:r>
      <w:r>
        <w:rPr>
          <w:color w:val="231F1F"/>
          <w:spacing w:val="-3"/>
          <w:w w:val="110"/>
        </w:rPr>
        <w:t> </w:t>
      </w:r>
      <w:r>
        <w:rPr>
          <w:color w:val="231F1F"/>
          <w:w w:val="110"/>
        </w:rPr>
        <w:t>de</w:t>
      </w:r>
      <w:r>
        <w:rPr>
          <w:color w:val="231F1F"/>
          <w:spacing w:val="-3"/>
          <w:w w:val="110"/>
        </w:rPr>
        <w:t> </w:t>
      </w:r>
      <w:r>
        <w:rPr>
          <w:color w:val="231F1F"/>
          <w:w w:val="110"/>
        </w:rPr>
        <w:t>líquidos</w:t>
      </w:r>
      <w:r>
        <w:rPr>
          <w:color w:val="231F1F"/>
          <w:spacing w:val="-3"/>
          <w:w w:val="110"/>
        </w:rPr>
        <w:t> </w:t>
      </w:r>
      <w:r>
        <w:rPr>
          <w:color w:val="231F1F"/>
          <w:w w:val="110"/>
        </w:rPr>
        <w:t>o</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restricción</w:t>
      </w:r>
      <w:r>
        <w:rPr>
          <w:color w:val="231F1F"/>
          <w:spacing w:val="-2"/>
          <w:w w:val="110"/>
        </w:rPr>
        <w:t> </w:t>
      </w:r>
      <w:r>
        <w:rPr>
          <w:color w:val="231F1F"/>
          <w:w w:val="110"/>
        </w:rPr>
        <w:t>alimenticia</w:t>
      </w:r>
      <w:r>
        <w:rPr>
          <w:color w:val="231F1F"/>
          <w:spacing w:val="-3"/>
          <w:w w:val="110"/>
        </w:rPr>
        <w:t> </w:t>
      </w:r>
      <w:r>
        <w:rPr>
          <w:color w:val="231F1F"/>
          <w:w w:val="110"/>
        </w:rPr>
        <w:t>durante</w:t>
      </w:r>
      <w:r>
        <w:rPr>
          <w:color w:val="231F1F"/>
          <w:spacing w:val="-3"/>
          <w:w w:val="110"/>
        </w:rPr>
        <w:t> </w:t>
      </w:r>
      <w:r>
        <w:rPr>
          <w:color w:val="231F1F"/>
          <w:w w:val="110"/>
        </w:rPr>
        <w:t>el</w:t>
      </w:r>
      <w:r>
        <w:rPr>
          <w:color w:val="231F1F"/>
          <w:spacing w:val="-3"/>
          <w:w w:val="110"/>
        </w:rPr>
        <w:t> </w:t>
      </w:r>
      <w:r>
        <w:rPr>
          <w:color w:val="231F1F"/>
          <w:w w:val="110"/>
        </w:rPr>
        <w:t>parto,</w:t>
      </w:r>
      <w:r>
        <w:rPr>
          <w:color w:val="231F1F"/>
          <w:spacing w:val="-3"/>
          <w:w w:val="110"/>
        </w:rPr>
        <w:t> </w:t>
      </w:r>
      <w:r>
        <w:rPr>
          <w:color w:val="231F1F"/>
          <w:w w:val="110"/>
        </w:rPr>
        <w:t>con</w:t>
      </w:r>
      <w:r>
        <w:rPr>
          <w:color w:val="231F1F"/>
          <w:spacing w:val="-2"/>
          <w:w w:val="110"/>
        </w:rPr>
        <w:t> </w:t>
      </w:r>
      <w:r>
        <w:rPr>
          <w:color w:val="231F1F"/>
          <w:w w:val="110"/>
        </w:rPr>
        <w:t>o sin hidratación intravenosa.</w:t>
      </w:r>
    </w:p>
    <w:p>
      <w:pPr>
        <w:spacing w:line="240" w:lineRule="auto" w:before="0"/>
        <w:rPr>
          <w:sz w:val="18"/>
        </w:rPr>
      </w:pPr>
      <w:r>
        <w:rPr/>
        <w:br w:type="column"/>
      </w:r>
      <w:r>
        <w:rPr>
          <w:sz w:val="18"/>
        </w:rPr>
      </w:r>
    </w:p>
    <w:p>
      <w:pPr>
        <w:pStyle w:val="BodyText"/>
        <w:spacing w:before="161"/>
        <w:rPr>
          <w:sz w:val="18"/>
        </w:rPr>
      </w:pPr>
    </w:p>
    <w:p>
      <w:pPr>
        <w:spacing w:before="0"/>
        <w:ind w:left="105" w:right="153" w:firstLine="0"/>
        <w:jc w:val="center"/>
        <w:rPr>
          <w:rFonts w:ascii="Arial MT"/>
          <w:sz w:val="18"/>
        </w:rPr>
      </w:pPr>
      <w:r>
        <w:rPr>
          <w:rFonts w:ascii="Arial MT"/>
          <w:color w:val="231F1F"/>
          <w:spacing w:val="-5"/>
          <w:sz w:val="18"/>
        </w:rPr>
        <w:t>GPC</w:t>
      </w:r>
    </w:p>
    <w:p>
      <w:pPr>
        <w:spacing w:line="278" w:lineRule="auto" w:before="38"/>
        <w:ind w:left="224" w:right="286" w:firstLine="0"/>
        <w:jc w:val="center"/>
        <w:rPr>
          <w:rFonts w:ascii="Arial MT" w:hAnsi="Arial MT"/>
          <w:sz w:val="18"/>
        </w:rPr>
      </w:pPr>
      <w:r>
        <w:rPr>
          <w:rFonts w:ascii="Arial MT" w:hAnsi="Arial MT"/>
          <w:color w:val="231F1F"/>
          <w:spacing w:val="-2"/>
          <w:sz w:val="18"/>
        </w:rPr>
        <w:t>opinión</w:t>
      </w:r>
      <w:r>
        <w:rPr>
          <w:rFonts w:ascii="Arial MT" w:hAnsi="Arial MT"/>
          <w:color w:val="231F1F"/>
          <w:spacing w:val="-14"/>
          <w:sz w:val="18"/>
        </w:rPr>
        <w:t> </w:t>
      </w:r>
      <w:r>
        <w:rPr>
          <w:rFonts w:ascii="Arial MT" w:hAnsi="Arial MT"/>
          <w:color w:val="231F1F"/>
          <w:spacing w:val="-2"/>
          <w:sz w:val="18"/>
        </w:rPr>
        <w:t>de expertos</w:t>
      </w:r>
      <w:r>
        <w:rPr>
          <w:rFonts w:ascii="Arial MT" w:hAnsi="Arial MT"/>
          <w:color w:val="231F1F"/>
          <w:spacing w:val="80"/>
          <w:sz w:val="18"/>
        </w:rPr>
        <w:t> </w:t>
      </w:r>
      <w:r>
        <w:rPr>
          <w:rFonts w:ascii="Arial MT" w:hAnsi="Arial MT"/>
          <w:color w:val="231F1F"/>
          <w:spacing w:val="-10"/>
          <w:sz w:val="18"/>
        </w:rPr>
        <w:t>4</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5"/>
        <w:rPr>
          <w:rFonts w:ascii="Arial MT"/>
          <w:sz w:val="18"/>
        </w:rPr>
      </w:pPr>
    </w:p>
    <w:p>
      <w:pPr>
        <w:spacing w:line="278" w:lineRule="auto" w:before="0"/>
        <w:ind w:left="388" w:right="438" w:firstLine="0"/>
        <w:jc w:val="center"/>
        <w:rPr>
          <w:rFonts w:ascii="Arial MT"/>
          <w:sz w:val="18"/>
        </w:rPr>
      </w:pPr>
      <w:r>
        <w:rPr>
          <w:rFonts w:ascii="Arial MT"/>
          <w:color w:val="231F1F"/>
          <w:spacing w:val="-6"/>
          <w:sz w:val="18"/>
        </w:rPr>
        <w:t>ECA 1+</w:t>
      </w:r>
    </w:p>
    <w:p>
      <w:pPr>
        <w:spacing w:after="0" w:line="278" w:lineRule="auto"/>
        <w:jc w:val="center"/>
        <w:rPr>
          <w:rFonts w:ascii="Arial MT"/>
          <w:sz w:val="18"/>
        </w:rPr>
        <w:sectPr>
          <w:pgSz w:w="11900" w:h="16840"/>
          <w:pgMar w:header="0" w:footer="622" w:top="1560" w:bottom="820" w:left="1417" w:right="1559"/>
          <w:cols w:num="2" w:equalWidth="0">
            <w:col w:w="7551" w:space="40"/>
            <w:col w:w="1333"/>
          </w:cols>
        </w:sectPr>
      </w:pPr>
    </w:p>
    <w:p>
      <w:pPr>
        <w:pStyle w:val="BodyText"/>
        <w:spacing w:line="247" w:lineRule="auto" w:before="72"/>
        <w:ind w:left="283" w:right="1364" w:firstLine="453"/>
        <w:jc w:val="both"/>
      </w:pPr>
      <w:r>
        <w:rPr>
          <w:color w:val="231F1F"/>
        </w:rPr>
        <w:t>La RS (18) incluyó cinco estudios con un total de 3.130 mujeres con bajo </w:t>
      </w:r>
      <w:r>
        <w:rPr>
          <w:color w:val="231F1F"/>
          <w:w w:val="110"/>
        </w:rPr>
        <w:t>riesgo y que pudieran requerir una anestesia general durante el parto (por ejemplo</w:t>
      </w:r>
      <w:r>
        <w:rPr>
          <w:color w:val="231F1F"/>
          <w:w w:val="110"/>
        </w:rPr>
        <w:t> en</w:t>
      </w:r>
      <w:r>
        <w:rPr>
          <w:color w:val="231F1F"/>
          <w:w w:val="110"/>
        </w:rPr>
        <w:t> una</w:t>
      </w:r>
      <w:r>
        <w:rPr>
          <w:color w:val="231F1F"/>
          <w:w w:val="110"/>
        </w:rPr>
        <w:t> cesárea).</w:t>
      </w:r>
      <w:r>
        <w:rPr>
          <w:color w:val="231F1F"/>
          <w:w w:val="110"/>
        </w:rPr>
        <w:t> Uno</w:t>
      </w:r>
      <w:r>
        <w:rPr>
          <w:color w:val="231F1F"/>
          <w:w w:val="110"/>
        </w:rPr>
        <w:t> de</w:t>
      </w:r>
      <w:r>
        <w:rPr>
          <w:color w:val="231F1F"/>
          <w:w w:val="110"/>
        </w:rPr>
        <w:t> los</w:t>
      </w:r>
      <w:r>
        <w:rPr>
          <w:color w:val="231F1F"/>
          <w:w w:val="110"/>
        </w:rPr>
        <w:t> estudio</w:t>
      </w:r>
      <w:r>
        <w:rPr>
          <w:color w:val="231F1F"/>
          <w:w w:val="110"/>
        </w:rPr>
        <w:t> comparó</w:t>
      </w:r>
      <w:r>
        <w:rPr>
          <w:color w:val="231F1F"/>
          <w:w w:val="110"/>
        </w:rPr>
        <w:t> la</w:t>
      </w:r>
      <w:r>
        <w:rPr>
          <w:color w:val="231F1F"/>
          <w:w w:val="110"/>
        </w:rPr>
        <w:t> restricción</w:t>
      </w:r>
      <w:r>
        <w:rPr>
          <w:color w:val="231F1F"/>
          <w:w w:val="110"/>
        </w:rPr>
        <w:t> total frente</w:t>
      </w:r>
      <w:r>
        <w:rPr>
          <w:color w:val="231F1F"/>
          <w:spacing w:val="-1"/>
          <w:w w:val="110"/>
        </w:rPr>
        <w:t> </w:t>
      </w:r>
      <w:r>
        <w:rPr>
          <w:color w:val="231F1F"/>
          <w:w w:val="110"/>
        </w:rPr>
        <w:t>a</w:t>
      </w:r>
      <w:r>
        <w:rPr>
          <w:color w:val="231F1F"/>
          <w:spacing w:val="-1"/>
          <w:w w:val="110"/>
        </w:rPr>
        <w:t> </w:t>
      </w:r>
      <w:r>
        <w:rPr>
          <w:color w:val="231F1F"/>
          <w:w w:val="110"/>
        </w:rPr>
        <w:t>la</w:t>
      </w:r>
      <w:r>
        <w:rPr>
          <w:color w:val="231F1F"/>
          <w:spacing w:val="-1"/>
          <w:w w:val="110"/>
        </w:rPr>
        <w:t> </w:t>
      </w:r>
      <w:r>
        <w:rPr>
          <w:color w:val="231F1F"/>
          <w:w w:val="110"/>
        </w:rPr>
        <w:t>libertad</w:t>
      </w:r>
      <w:r>
        <w:rPr>
          <w:color w:val="231F1F"/>
          <w:spacing w:val="-1"/>
          <w:w w:val="110"/>
        </w:rPr>
        <w:t> </w:t>
      </w:r>
      <w:r>
        <w:rPr>
          <w:color w:val="231F1F"/>
          <w:w w:val="110"/>
        </w:rPr>
        <w:t>para</w:t>
      </w:r>
      <w:r>
        <w:rPr>
          <w:color w:val="231F1F"/>
          <w:spacing w:val="-2"/>
          <w:w w:val="110"/>
        </w:rPr>
        <w:t> </w:t>
      </w:r>
      <w:r>
        <w:rPr>
          <w:color w:val="231F1F"/>
          <w:w w:val="110"/>
        </w:rPr>
        <w:t>comer</w:t>
      </w:r>
      <w:r>
        <w:rPr>
          <w:color w:val="231F1F"/>
          <w:spacing w:val="-2"/>
          <w:w w:val="110"/>
        </w:rPr>
        <w:t> </w:t>
      </w:r>
      <w:r>
        <w:rPr>
          <w:color w:val="231F1F"/>
          <w:w w:val="110"/>
        </w:rPr>
        <w:t>y</w:t>
      </w:r>
      <w:r>
        <w:rPr>
          <w:color w:val="231F1F"/>
          <w:spacing w:val="-1"/>
          <w:w w:val="110"/>
        </w:rPr>
        <w:t> </w:t>
      </w:r>
      <w:r>
        <w:rPr>
          <w:color w:val="231F1F"/>
          <w:w w:val="110"/>
        </w:rPr>
        <w:t>beber</w:t>
      </w:r>
      <w:r>
        <w:rPr>
          <w:color w:val="231F1F"/>
          <w:spacing w:val="-2"/>
          <w:w w:val="110"/>
        </w:rPr>
        <w:t> </w:t>
      </w:r>
      <w:r>
        <w:rPr>
          <w:color w:val="231F1F"/>
          <w:w w:val="110"/>
        </w:rPr>
        <w:t>a</w:t>
      </w:r>
      <w:r>
        <w:rPr>
          <w:color w:val="231F1F"/>
          <w:spacing w:val="-1"/>
          <w:w w:val="110"/>
        </w:rPr>
        <w:t> </w:t>
      </w:r>
      <w:r>
        <w:rPr>
          <w:color w:val="231F1F"/>
          <w:w w:val="110"/>
        </w:rPr>
        <w:t>voluntad;</w:t>
      </w:r>
      <w:r>
        <w:rPr>
          <w:color w:val="231F1F"/>
          <w:spacing w:val="-2"/>
          <w:w w:val="110"/>
        </w:rPr>
        <w:t> </w:t>
      </w:r>
      <w:r>
        <w:rPr>
          <w:color w:val="231F1F"/>
          <w:w w:val="110"/>
        </w:rPr>
        <w:t>otros</w:t>
      </w:r>
      <w:r>
        <w:rPr>
          <w:color w:val="231F1F"/>
          <w:spacing w:val="-2"/>
          <w:w w:val="110"/>
        </w:rPr>
        <w:t> </w:t>
      </w:r>
      <w:r>
        <w:rPr>
          <w:color w:val="231F1F"/>
          <w:w w:val="110"/>
        </w:rPr>
        <w:t>dos</w:t>
      </w:r>
      <w:r>
        <w:rPr>
          <w:color w:val="231F1F"/>
          <w:spacing w:val="-2"/>
          <w:w w:val="110"/>
        </w:rPr>
        <w:t> </w:t>
      </w:r>
      <w:r>
        <w:rPr>
          <w:color w:val="231F1F"/>
          <w:w w:val="110"/>
        </w:rPr>
        <w:t>estudios</w:t>
      </w:r>
      <w:r>
        <w:rPr>
          <w:color w:val="231F1F"/>
          <w:spacing w:val="-1"/>
          <w:w w:val="110"/>
        </w:rPr>
        <w:t> </w:t>
      </w:r>
      <w:r>
        <w:rPr>
          <w:color w:val="231F1F"/>
          <w:w w:val="110"/>
        </w:rPr>
        <w:t>(entre </w:t>
      </w:r>
      <w:r>
        <w:rPr>
          <w:color w:val="231F1F"/>
        </w:rPr>
        <w:t>los que se incluyen el estudio de O’Sullivan (17) seleccionado en la actualiza- </w:t>
      </w:r>
      <w:r>
        <w:rPr>
          <w:color w:val="231F1F"/>
          <w:w w:val="110"/>
        </w:rPr>
        <w:t>ción</w:t>
      </w:r>
      <w:r>
        <w:rPr>
          <w:color w:val="231F1F"/>
          <w:spacing w:val="-2"/>
          <w:w w:val="110"/>
        </w:rPr>
        <w:t> </w:t>
      </w:r>
      <w:r>
        <w:rPr>
          <w:color w:val="231F1F"/>
          <w:w w:val="110"/>
        </w:rPr>
        <w:t>y</w:t>
      </w:r>
      <w:r>
        <w:rPr>
          <w:color w:val="231F1F"/>
          <w:spacing w:val="-2"/>
          <w:w w:val="110"/>
        </w:rPr>
        <w:t> </w:t>
      </w:r>
      <w:r>
        <w:rPr>
          <w:color w:val="231F1F"/>
          <w:w w:val="110"/>
        </w:rPr>
        <w:t>el</w:t>
      </w:r>
      <w:r>
        <w:rPr>
          <w:color w:val="231F1F"/>
          <w:spacing w:val="-3"/>
          <w:w w:val="110"/>
        </w:rPr>
        <w:t> </w:t>
      </w:r>
      <w:r>
        <w:rPr>
          <w:color w:val="231F1F"/>
          <w:w w:val="110"/>
        </w:rPr>
        <w:t>seleccionado</w:t>
      </w:r>
      <w:r>
        <w:rPr>
          <w:color w:val="231F1F"/>
          <w:spacing w:val="-4"/>
          <w:w w:val="110"/>
        </w:rPr>
        <w:t> </w:t>
      </w:r>
      <w:r>
        <w:rPr>
          <w:color w:val="231F1F"/>
          <w:w w:val="110"/>
        </w:rPr>
        <w:t>en</w:t>
      </w:r>
      <w:r>
        <w:rPr>
          <w:color w:val="231F1F"/>
          <w:spacing w:val="-2"/>
          <w:w w:val="110"/>
        </w:rPr>
        <w:t> </w:t>
      </w:r>
      <w:r>
        <w:rPr>
          <w:color w:val="231F1F"/>
          <w:w w:val="110"/>
        </w:rPr>
        <w:t>la</w:t>
      </w:r>
      <w:r>
        <w:rPr>
          <w:color w:val="231F1F"/>
          <w:spacing w:val="-2"/>
          <w:w w:val="110"/>
        </w:rPr>
        <w:t> </w:t>
      </w:r>
      <w:r>
        <w:rPr>
          <w:color w:val="231F1F"/>
          <w:w w:val="110"/>
        </w:rPr>
        <w:t>guía</w:t>
      </w:r>
      <w:r>
        <w:rPr>
          <w:color w:val="231F1F"/>
          <w:spacing w:val="-3"/>
          <w:w w:val="110"/>
        </w:rPr>
        <w:t> </w:t>
      </w:r>
      <w:r>
        <w:rPr>
          <w:color w:val="231F1F"/>
          <w:w w:val="110"/>
        </w:rPr>
        <w:t>NICE</w:t>
      </w:r>
      <w:r>
        <w:rPr>
          <w:color w:val="231F1F"/>
          <w:spacing w:val="-2"/>
          <w:w w:val="110"/>
        </w:rPr>
        <w:t> </w:t>
      </w:r>
      <w:r>
        <w:rPr>
          <w:color w:val="231F1F"/>
          <w:w w:val="110"/>
        </w:rPr>
        <w:t>(15))</w:t>
      </w:r>
      <w:r>
        <w:rPr>
          <w:color w:val="231F1F"/>
          <w:spacing w:val="-3"/>
          <w:w w:val="110"/>
        </w:rPr>
        <w:t> </w:t>
      </w:r>
      <w:r>
        <w:rPr>
          <w:color w:val="231F1F"/>
          <w:w w:val="110"/>
        </w:rPr>
        <w:t>compararon</w:t>
      </w:r>
      <w:r>
        <w:rPr>
          <w:color w:val="231F1F"/>
          <w:spacing w:val="-2"/>
          <w:w w:val="110"/>
        </w:rPr>
        <w:t> </w:t>
      </w:r>
      <w:r>
        <w:rPr>
          <w:color w:val="231F1F"/>
          <w:w w:val="110"/>
        </w:rPr>
        <w:t>la</w:t>
      </w:r>
      <w:r>
        <w:rPr>
          <w:color w:val="231F1F"/>
          <w:spacing w:val="-2"/>
          <w:w w:val="110"/>
        </w:rPr>
        <w:t> </w:t>
      </w:r>
      <w:r>
        <w:rPr>
          <w:color w:val="231F1F"/>
          <w:w w:val="110"/>
        </w:rPr>
        <w:t>ingesta</w:t>
      </w:r>
      <w:r>
        <w:rPr>
          <w:color w:val="231F1F"/>
          <w:spacing w:val="-2"/>
          <w:w w:val="110"/>
        </w:rPr>
        <w:t> </w:t>
      </w:r>
      <w:r>
        <w:rPr>
          <w:color w:val="231F1F"/>
          <w:w w:val="110"/>
        </w:rPr>
        <w:t>de</w:t>
      </w:r>
      <w:r>
        <w:rPr>
          <w:color w:val="231F1F"/>
          <w:spacing w:val="-2"/>
          <w:w w:val="110"/>
        </w:rPr>
        <w:t> </w:t>
      </w:r>
      <w:r>
        <w:rPr>
          <w:color w:val="231F1F"/>
          <w:w w:val="110"/>
        </w:rPr>
        <w:t>sólo agua</w:t>
      </w:r>
      <w:r>
        <w:rPr>
          <w:color w:val="231F1F"/>
          <w:spacing w:val="-6"/>
          <w:w w:val="110"/>
        </w:rPr>
        <w:t> </w:t>
      </w:r>
      <w:r>
        <w:rPr>
          <w:color w:val="231F1F"/>
          <w:w w:val="110"/>
        </w:rPr>
        <w:t>frente</w:t>
      </w:r>
      <w:r>
        <w:rPr>
          <w:color w:val="231F1F"/>
          <w:spacing w:val="-7"/>
          <w:w w:val="110"/>
        </w:rPr>
        <w:t> </w:t>
      </w:r>
      <w:r>
        <w:rPr>
          <w:color w:val="231F1F"/>
          <w:w w:val="110"/>
        </w:rPr>
        <w:t>a</w:t>
      </w:r>
      <w:r>
        <w:rPr>
          <w:color w:val="231F1F"/>
          <w:spacing w:val="-7"/>
          <w:w w:val="110"/>
        </w:rPr>
        <w:t> </w:t>
      </w:r>
      <w:r>
        <w:rPr>
          <w:color w:val="231F1F"/>
          <w:w w:val="110"/>
        </w:rPr>
        <w:t>ingesta</w:t>
      </w:r>
      <w:r>
        <w:rPr>
          <w:color w:val="231F1F"/>
          <w:spacing w:val="-7"/>
          <w:w w:val="110"/>
        </w:rPr>
        <w:t> </w:t>
      </w:r>
      <w:r>
        <w:rPr>
          <w:color w:val="231F1F"/>
          <w:w w:val="110"/>
        </w:rPr>
        <w:t>de</w:t>
      </w:r>
      <w:r>
        <w:rPr>
          <w:color w:val="231F1F"/>
          <w:spacing w:val="-7"/>
          <w:w w:val="110"/>
        </w:rPr>
        <w:t> </w:t>
      </w:r>
      <w:r>
        <w:rPr>
          <w:color w:val="231F1F"/>
          <w:w w:val="110"/>
        </w:rPr>
        <w:t>líquidos</w:t>
      </w:r>
      <w:r>
        <w:rPr>
          <w:color w:val="231F1F"/>
          <w:spacing w:val="-7"/>
          <w:w w:val="110"/>
        </w:rPr>
        <w:t> </w:t>
      </w:r>
      <w:r>
        <w:rPr>
          <w:color w:val="231F1F"/>
          <w:w w:val="110"/>
        </w:rPr>
        <w:t>y</w:t>
      </w:r>
      <w:r>
        <w:rPr>
          <w:color w:val="231F1F"/>
          <w:spacing w:val="-7"/>
          <w:w w:val="110"/>
        </w:rPr>
        <w:t> </w:t>
      </w:r>
      <w:r>
        <w:rPr>
          <w:color w:val="231F1F"/>
          <w:w w:val="110"/>
        </w:rPr>
        <w:t>dieta</w:t>
      </w:r>
      <w:r>
        <w:rPr>
          <w:color w:val="231F1F"/>
          <w:spacing w:val="-7"/>
          <w:w w:val="110"/>
        </w:rPr>
        <w:t> </w:t>
      </w:r>
      <w:r>
        <w:rPr>
          <w:color w:val="231F1F"/>
          <w:w w:val="110"/>
        </w:rPr>
        <w:t>baja</w:t>
      </w:r>
      <w:r>
        <w:rPr>
          <w:color w:val="231F1F"/>
          <w:spacing w:val="-7"/>
          <w:w w:val="110"/>
        </w:rPr>
        <w:t> </w:t>
      </w:r>
      <w:r>
        <w:rPr>
          <w:color w:val="231F1F"/>
          <w:w w:val="110"/>
        </w:rPr>
        <w:t>en</w:t>
      </w:r>
      <w:r>
        <w:rPr>
          <w:color w:val="231F1F"/>
          <w:spacing w:val="-7"/>
          <w:w w:val="110"/>
        </w:rPr>
        <w:t> </w:t>
      </w:r>
      <w:r>
        <w:rPr>
          <w:color w:val="231F1F"/>
          <w:w w:val="110"/>
        </w:rPr>
        <w:t>residuos</w:t>
      </w:r>
      <w:r>
        <w:rPr>
          <w:color w:val="231F1F"/>
          <w:spacing w:val="-7"/>
          <w:w w:val="110"/>
        </w:rPr>
        <w:t> </w:t>
      </w:r>
      <w:r>
        <w:rPr>
          <w:color w:val="231F1F"/>
          <w:w w:val="110"/>
        </w:rPr>
        <w:t>en</w:t>
      </w:r>
      <w:r>
        <w:rPr>
          <w:color w:val="231F1F"/>
          <w:spacing w:val="-7"/>
          <w:w w:val="110"/>
        </w:rPr>
        <w:t> </w:t>
      </w:r>
      <w:r>
        <w:rPr>
          <w:color w:val="231F1F"/>
          <w:w w:val="110"/>
        </w:rPr>
        <w:t>pequeñas</w:t>
      </w:r>
      <w:r>
        <w:rPr>
          <w:color w:val="231F1F"/>
          <w:spacing w:val="-7"/>
          <w:w w:val="110"/>
        </w:rPr>
        <w:t> </w:t>
      </w:r>
      <w:r>
        <w:rPr>
          <w:color w:val="231F1F"/>
          <w:w w:val="110"/>
        </w:rPr>
        <w:t>canti- dades</w:t>
      </w:r>
      <w:r>
        <w:rPr>
          <w:color w:val="231F1F"/>
          <w:spacing w:val="-3"/>
          <w:w w:val="110"/>
        </w:rPr>
        <w:t> </w:t>
      </w:r>
      <w:r>
        <w:rPr>
          <w:color w:val="231F1F"/>
          <w:w w:val="110"/>
        </w:rPr>
        <w:t>regulares;</w:t>
      </w:r>
      <w:r>
        <w:rPr>
          <w:color w:val="231F1F"/>
          <w:spacing w:val="-3"/>
          <w:w w:val="110"/>
        </w:rPr>
        <w:t> </w:t>
      </w:r>
      <w:r>
        <w:rPr>
          <w:color w:val="231F1F"/>
          <w:w w:val="110"/>
        </w:rPr>
        <w:t>y</w:t>
      </w:r>
      <w:r>
        <w:rPr>
          <w:color w:val="231F1F"/>
          <w:spacing w:val="-3"/>
          <w:w w:val="110"/>
        </w:rPr>
        <w:t> </w:t>
      </w:r>
      <w:r>
        <w:rPr>
          <w:color w:val="231F1F"/>
          <w:w w:val="110"/>
        </w:rPr>
        <w:t>los</w:t>
      </w:r>
      <w:r>
        <w:rPr>
          <w:color w:val="231F1F"/>
          <w:spacing w:val="-3"/>
          <w:w w:val="110"/>
        </w:rPr>
        <w:t> </w:t>
      </w:r>
      <w:r>
        <w:rPr>
          <w:color w:val="231F1F"/>
          <w:w w:val="110"/>
        </w:rPr>
        <w:t>dos</w:t>
      </w:r>
      <w:r>
        <w:rPr>
          <w:color w:val="231F1F"/>
          <w:spacing w:val="-3"/>
          <w:w w:val="110"/>
        </w:rPr>
        <w:t> </w:t>
      </w:r>
      <w:r>
        <w:rPr>
          <w:color w:val="231F1F"/>
          <w:w w:val="110"/>
        </w:rPr>
        <w:t>estudios</w:t>
      </w:r>
      <w:r>
        <w:rPr>
          <w:color w:val="231F1F"/>
          <w:spacing w:val="-3"/>
          <w:w w:val="110"/>
        </w:rPr>
        <w:t> </w:t>
      </w:r>
      <w:r>
        <w:rPr>
          <w:color w:val="231F1F"/>
          <w:w w:val="110"/>
        </w:rPr>
        <w:t>restantes,</w:t>
      </w:r>
      <w:r>
        <w:rPr>
          <w:color w:val="231F1F"/>
          <w:spacing w:val="-3"/>
          <w:w w:val="110"/>
        </w:rPr>
        <w:t> </w:t>
      </w:r>
      <w:r>
        <w:rPr>
          <w:color w:val="231F1F"/>
          <w:w w:val="110"/>
        </w:rPr>
        <w:t>compararon</w:t>
      </w:r>
      <w:r>
        <w:rPr>
          <w:color w:val="231F1F"/>
          <w:spacing w:val="-2"/>
          <w:w w:val="110"/>
        </w:rPr>
        <w:t> </w:t>
      </w:r>
      <w:r>
        <w:rPr>
          <w:color w:val="231F1F"/>
          <w:w w:val="110"/>
        </w:rPr>
        <w:t>la</w:t>
      </w:r>
      <w:r>
        <w:rPr>
          <w:color w:val="231F1F"/>
          <w:spacing w:val="-3"/>
          <w:w w:val="110"/>
        </w:rPr>
        <w:t> </w:t>
      </w:r>
      <w:r>
        <w:rPr>
          <w:color w:val="231F1F"/>
          <w:w w:val="110"/>
        </w:rPr>
        <w:t>ingesta</w:t>
      </w:r>
      <w:r>
        <w:rPr>
          <w:color w:val="231F1F"/>
          <w:spacing w:val="-3"/>
          <w:w w:val="110"/>
        </w:rPr>
        <w:t> </w:t>
      </w:r>
      <w:r>
        <w:rPr>
          <w:color w:val="231F1F"/>
          <w:w w:val="110"/>
        </w:rPr>
        <w:t>de</w:t>
      </w:r>
      <w:r>
        <w:rPr>
          <w:color w:val="231F1F"/>
          <w:spacing w:val="-3"/>
          <w:w w:val="110"/>
        </w:rPr>
        <w:t> </w:t>
      </w:r>
      <w:r>
        <w:rPr>
          <w:color w:val="231F1F"/>
          <w:w w:val="110"/>
        </w:rPr>
        <w:t>sólo agua frente a ingesta de bebidas carbohidratadas.</w:t>
      </w:r>
    </w:p>
    <w:p>
      <w:pPr>
        <w:pStyle w:val="BodyText"/>
        <w:tabs>
          <w:tab w:pos="7791" w:val="left" w:leader="none"/>
          <w:tab w:pos="7989" w:val="left" w:leader="none"/>
          <w:tab w:pos="8114" w:val="left" w:leader="none"/>
        </w:tabs>
        <w:spacing w:line="247" w:lineRule="auto" w:before="84"/>
        <w:ind w:left="283" w:right="312" w:firstLine="453"/>
      </w:pPr>
      <w:r>
        <w:rPr>
          <w:color w:val="231F1F"/>
        </w:rPr>
        <w:t>Al comparar cualquier restricción de líquidos y alimentos frente a la</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ingesta de algún tipo de nutrición durante el parto, el metaanálisis, que fue</w:t>
      </w:r>
      <w:r>
        <w:rPr>
          <w:color w:val="231F1F"/>
        </w:rPr>
        <w:tab/>
        <w:tab/>
      </w:r>
      <w:r>
        <w:rPr>
          <w:rFonts w:ascii="Arial MT" w:hAnsi="Arial MT"/>
          <w:color w:val="231F1F"/>
          <w:spacing w:val="-4"/>
          <w:w w:val="105"/>
          <w:position w:val="4"/>
          <w:sz w:val="18"/>
        </w:rPr>
        <w:t>ECAs </w:t>
      </w:r>
      <w:r>
        <w:rPr>
          <w:color w:val="231F1F"/>
          <w:w w:val="105"/>
        </w:rPr>
        <w:t>dominado por un estudio (17) realizado en un entorno altamente medicaliza-</w:t>
      </w:r>
      <w:r>
        <w:rPr>
          <w:color w:val="231F1F"/>
        </w:rPr>
        <w:tab/>
        <w:tab/>
        <w:tab/>
      </w:r>
      <w:r>
        <w:rPr>
          <w:rFonts w:ascii="Arial MT" w:hAnsi="Arial MT"/>
          <w:color w:val="231F1F"/>
          <w:spacing w:val="-6"/>
          <w:w w:val="105"/>
          <w:position w:val="8"/>
          <w:sz w:val="18"/>
        </w:rPr>
        <w:t>1+ </w:t>
      </w:r>
      <w:r>
        <w:rPr>
          <w:color w:val="231F1F"/>
          <w:w w:val="105"/>
        </w:rPr>
        <w:t>do, no mostró diferencias estadísticamente significativas en relación a: cesárea</w:t>
      </w:r>
    </w:p>
    <w:p>
      <w:pPr>
        <w:pStyle w:val="BodyText"/>
        <w:spacing w:line="249" w:lineRule="exact"/>
        <w:ind w:left="283"/>
        <w:jc w:val="both"/>
      </w:pPr>
      <w:r>
        <w:rPr>
          <w:color w:val="231F1F"/>
          <w:w w:val="105"/>
        </w:rPr>
        <w:t>(5</w:t>
      </w:r>
      <w:r>
        <w:rPr>
          <w:color w:val="231F1F"/>
          <w:spacing w:val="-6"/>
          <w:w w:val="105"/>
        </w:rPr>
        <w:t> </w:t>
      </w:r>
      <w:r>
        <w:rPr>
          <w:color w:val="231F1F"/>
          <w:w w:val="105"/>
        </w:rPr>
        <w:t>estudios,</w:t>
      </w:r>
      <w:r>
        <w:rPr>
          <w:color w:val="231F1F"/>
          <w:spacing w:val="-5"/>
          <w:w w:val="105"/>
        </w:rPr>
        <w:t> </w:t>
      </w:r>
      <w:r>
        <w:rPr>
          <w:color w:val="231F1F"/>
          <w:w w:val="105"/>
        </w:rPr>
        <w:t>3.103</w:t>
      </w:r>
      <w:r>
        <w:rPr>
          <w:color w:val="231F1F"/>
          <w:spacing w:val="-6"/>
          <w:w w:val="105"/>
        </w:rPr>
        <w:t> </w:t>
      </w:r>
      <w:r>
        <w:rPr>
          <w:color w:val="231F1F"/>
          <w:w w:val="105"/>
        </w:rPr>
        <w:t>mujeres):</w:t>
      </w:r>
      <w:r>
        <w:rPr>
          <w:color w:val="231F1F"/>
          <w:spacing w:val="-5"/>
          <w:w w:val="105"/>
        </w:rPr>
        <w:t> </w:t>
      </w:r>
      <w:r>
        <w:rPr>
          <w:color w:val="231F1F"/>
          <w:w w:val="105"/>
        </w:rPr>
        <w:t>RR</w:t>
      </w:r>
      <w:r>
        <w:rPr>
          <w:color w:val="231F1F"/>
          <w:spacing w:val="-4"/>
          <w:w w:val="105"/>
        </w:rPr>
        <w:t> </w:t>
      </w:r>
      <w:r>
        <w:rPr>
          <w:color w:val="231F1F"/>
          <w:w w:val="105"/>
        </w:rPr>
        <w:t>0,89</w:t>
      </w:r>
      <w:r>
        <w:rPr>
          <w:color w:val="231F1F"/>
          <w:spacing w:val="-6"/>
          <w:w w:val="105"/>
        </w:rPr>
        <w:t> </w:t>
      </w:r>
      <w:r>
        <w:rPr>
          <w:color w:val="231F1F"/>
          <w:w w:val="105"/>
        </w:rPr>
        <w:t>[IC</w:t>
      </w:r>
      <w:r>
        <w:rPr>
          <w:color w:val="231F1F"/>
          <w:spacing w:val="-4"/>
          <w:w w:val="105"/>
        </w:rPr>
        <w:t> </w:t>
      </w:r>
      <w:r>
        <w:rPr>
          <w:color w:val="231F1F"/>
          <w:w w:val="105"/>
        </w:rPr>
        <w:t>95%</w:t>
      </w:r>
      <w:r>
        <w:rPr>
          <w:color w:val="231F1F"/>
          <w:spacing w:val="-5"/>
          <w:w w:val="105"/>
        </w:rPr>
        <w:t> </w:t>
      </w:r>
      <w:r>
        <w:rPr>
          <w:color w:val="231F1F"/>
          <w:w w:val="105"/>
        </w:rPr>
        <w:t>0,63</w:t>
      </w:r>
      <w:r>
        <w:rPr>
          <w:color w:val="231F1F"/>
          <w:spacing w:val="-5"/>
          <w:w w:val="105"/>
        </w:rPr>
        <w:t> </w:t>
      </w:r>
      <w:r>
        <w:rPr>
          <w:color w:val="231F1F"/>
          <w:w w:val="105"/>
        </w:rPr>
        <w:t>a</w:t>
      </w:r>
      <w:r>
        <w:rPr>
          <w:color w:val="231F1F"/>
          <w:spacing w:val="-4"/>
          <w:w w:val="105"/>
        </w:rPr>
        <w:t> </w:t>
      </w:r>
      <w:r>
        <w:rPr>
          <w:color w:val="231F1F"/>
          <w:w w:val="105"/>
        </w:rPr>
        <w:t>1,25],</w:t>
      </w:r>
      <w:r>
        <w:rPr>
          <w:color w:val="231F1F"/>
          <w:spacing w:val="-6"/>
          <w:w w:val="105"/>
        </w:rPr>
        <w:t> </w:t>
      </w:r>
      <w:r>
        <w:rPr>
          <w:color w:val="231F1F"/>
          <w:w w:val="105"/>
        </w:rPr>
        <w:t>partos</w:t>
      </w:r>
      <w:r>
        <w:rPr>
          <w:color w:val="231F1F"/>
          <w:spacing w:val="-5"/>
          <w:w w:val="105"/>
        </w:rPr>
        <w:t> </w:t>
      </w:r>
      <w:r>
        <w:rPr>
          <w:color w:val="231F1F"/>
          <w:w w:val="105"/>
        </w:rPr>
        <w:t>vaginales</w:t>
      </w:r>
      <w:r>
        <w:rPr>
          <w:color w:val="231F1F"/>
          <w:spacing w:val="-5"/>
          <w:w w:val="105"/>
        </w:rPr>
        <w:t> (5</w:t>
      </w:r>
    </w:p>
    <w:p>
      <w:pPr>
        <w:pStyle w:val="BodyText"/>
        <w:spacing w:line="249" w:lineRule="auto" w:before="20"/>
        <w:ind w:left="283" w:right="1366"/>
        <w:jc w:val="both"/>
      </w:pPr>
      <w:r>
        <w:rPr>
          <w:color w:val="231F1F"/>
          <w:w w:val="105"/>
        </w:rPr>
        <w:t>estudios,</w:t>
      </w:r>
      <w:r>
        <w:rPr>
          <w:color w:val="231F1F"/>
          <w:spacing w:val="-15"/>
          <w:w w:val="105"/>
        </w:rPr>
        <w:t> </w:t>
      </w:r>
      <w:r>
        <w:rPr>
          <w:color w:val="231F1F"/>
          <w:w w:val="105"/>
        </w:rPr>
        <w:t>3.103</w:t>
      </w:r>
      <w:r>
        <w:rPr>
          <w:color w:val="231F1F"/>
          <w:spacing w:val="-13"/>
          <w:w w:val="105"/>
        </w:rPr>
        <w:t> </w:t>
      </w:r>
      <w:r>
        <w:rPr>
          <w:color w:val="231F1F"/>
          <w:w w:val="105"/>
        </w:rPr>
        <w:t>mujeres):</w:t>
      </w:r>
      <w:r>
        <w:rPr>
          <w:color w:val="231F1F"/>
          <w:spacing w:val="-15"/>
          <w:w w:val="105"/>
        </w:rPr>
        <w:t> </w:t>
      </w:r>
      <w:r>
        <w:rPr>
          <w:color w:val="231F1F"/>
          <w:w w:val="105"/>
        </w:rPr>
        <w:t>RR</w:t>
      </w:r>
      <w:r>
        <w:rPr>
          <w:color w:val="231F1F"/>
          <w:spacing w:val="-14"/>
          <w:w w:val="105"/>
        </w:rPr>
        <w:t> </w:t>
      </w:r>
      <w:r>
        <w:rPr>
          <w:color w:val="231F1F"/>
          <w:w w:val="105"/>
        </w:rPr>
        <w:t>0,98</w:t>
      </w:r>
      <w:r>
        <w:rPr>
          <w:color w:val="231F1F"/>
          <w:spacing w:val="-14"/>
          <w:w w:val="105"/>
        </w:rPr>
        <w:t> </w:t>
      </w:r>
      <w:r>
        <w:rPr>
          <w:color w:val="231F1F"/>
          <w:w w:val="105"/>
        </w:rPr>
        <w:t>[IC</w:t>
      </w:r>
      <w:r>
        <w:rPr>
          <w:color w:val="231F1F"/>
          <w:spacing w:val="-14"/>
          <w:w w:val="105"/>
        </w:rPr>
        <w:t> </w:t>
      </w:r>
      <w:r>
        <w:rPr>
          <w:color w:val="231F1F"/>
          <w:w w:val="105"/>
        </w:rPr>
        <w:t>95%</w:t>
      </w:r>
      <w:r>
        <w:rPr>
          <w:color w:val="231F1F"/>
          <w:spacing w:val="-15"/>
          <w:w w:val="105"/>
        </w:rPr>
        <w:t> </w:t>
      </w:r>
      <w:r>
        <w:rPr>
          <w:color w:val="231F1F"/>
          <w:w w:val="105"/>
        </w:rPr>
        <w:t>0,88</w:t>
      </w:r>
      <w:r>
        <w:rPr>
          <w:color w:val="231F1F"/>
          <w:spacing w:val="-13"/>
          <w:w w:val="105"/>
        </w:rPr>
        <w:t> </w:t>
      </w:r>
      <w:r>
        <w:rPr>
          <w:color w:val="231F1F"/>
          <w:w w:val="105"/>
        </w:rPr>
        <w:t>a</w:t>
      </w:r>
      <w:r>
        <w:rPr>
          <w:color w:val="231F1F"/>
          <w:spacing w:val="-14"/>
          <w:w w:val="105"/>
        </w:rPr>
        <w:t> </w:t>
      </w:r>
      <w:r>
        <w:rPr>
          <w:color w:val="231F1F"/>
          <w:w w:val="105"/>
        </w:rPr>
        <w:t>1,10],</w:t>
      </w:r>
      <w:r>
        <w:rPr>
          <w:color w:val="231F1F"/>
          <w:spacing w:val="-15"/>
          <w:w w:val="105"/>
        </w:rPr>
        <w:t> </w:t>
      </w:r>
      <w:r>
        <w:rPr>
          <w:color w:val="231F1F"/>
          <w:w w:val="105"/>
        </w:rPr>
        <w:t>puntuaciones</w:t>
      </w:r>
      <w:r>
        <w:rPr>
          <w:color w:val="231F1F"/>
          <w:spacing w:val="-14"/>
          <w:w w:val="105"/>
        </w:rPr>
        <w:t> </w:t>
      </w:r>
      <w:r>
        <w:rPr>
          <w:color w:val="231F1F"/>
          <w:w w:val="105"/>
        </w:rPr>
        <w:t>de</w:t>
      </w:r>
      <w:r>
        <w:rPr>
          <w:color w:val="231F1F"/>
          <w:spacing w:val="-15"/>
          <w:w w:val="105"/>
        </w:rPr>
        <w:t> </w:t>
      </w:r>
      <w:r>
        <w:rPr>
          <w:color w:val="231F1F"/>
          <w:w w:val="105"/>
        </w:rPr>
        <w:t>Apgar menor a siete a los cinco minutos (3 estudios, 2.574 neonatos): RR 1,43 [IC 95%</w:t>
      </w:r>
      <w:r>
        <w:rPr>
          <w:color w:val="231F1F"/>
          <w:spacing w:val="-1"/>
          <w:w w:val="105"/>
        </w:rPr>
        <w:t> </w:t>
      </w:r>
      <w:r>
        <w:rPr>
          <w:color w:val="231F1F"/>
          <w:w w:val="105"/>
        </w:rPr>
        <w:t>0,77</w:t>
      </w:r>
      <w:r>
        <w:rPr>
          <w:color w:val="231F1F"/>
          <w:spacing w:val="-2"/>
          <w:w w:val="105"/>
        </w:rPr>
        <w:t> </w:t>
      </w:r>
      <w:r>
        <w:rPr>
          <w:color w:val="231F1F"/>
          <w:w w:val="105"/>
        </w:rPr>
        <w:t>a</w:t>
      </w:r>
      <w:r>
        <w:rPr>
          <w:color w:val="231F1F"/>
          <w:spacing w:val="-2"/>
          <w:w w:val="105"/>
        </w:rPr>
        <w:t> </w:t>
      </w:r>
      <w:r>
        <w:rPr>
          <w:color w:val="231F1F"/>
          <w:w w:val="105"/>
        </w:rPr>
        <w:t>2,68],</w:t>
      </w:r>
      <w:r>
        <w:rPr>
          <w:color w:val="231F1F"/>
          <w:spacing w:val="-1"/>
          <w:w w:val="105"/>
        </w:rPr>
        <w:t> </w:t>
      </w:r>
      <w:r>
        <w:rPr>
          <w:color w:val="231F1F"/>
          <w:w w:val="105"/>
        </w:rPr>
        <w:t>ni</w:t>
      </w:r>
      <w:r>
        <w:rPr>
          <w:color w:val="231F1F"/>
          <w:spacing w:val="-1"/>
          <w:w w:val="105"/>
        </w:rPr>
        <w:t> </w:t>
      </w:r>
      <w:r>
        <w:rPr>
          <w:color w:val="231F1F"/>
          <w:w w:val="105"/>
        </w:rPr>
        <w:t>en</w:t>
      </w:r>
      <w:r>
        <w:rPr>
          <w:color w:val="231F1F"/>
          <w:spacing w:val="-2"/>
          <w:w w:val="105"/>
        </w:rPr>
        <w:t> </w:t>
      </w:r>
      <w:r>
        <w:rPr>
          <w:color w:val="231F1F"/>
          <w:w w:val="105"/>
        </w:rPr>
        <w:t>ninguno</w:t>
      </w:r>
      <w:r>
        <w:rPr>
          <w:color w:val="231F1F"/>
          <w:spacing w:val="-2"/>
          <w:w w:val="105"/>
        </w:rPr>
        <w:t> </w:t>
      </w:r>
      <w:r>
        <w:rPr>
          <w:color w:val="231F1F"/>
          <w:w w:val="105"/>
        </w:rPr>
        <w:t>de</w:t>
      </w:r>
      <w:r>
        <w:rPr>
          <w:color w:val="231F1F"/>
          <w:spacing w:val="-2"/>
          <w:w w:val="105"/>
        </w:rPr>
        <w:t> </w:t>
      </w:r>
      <w:r>
        <w:rPr>
          <w:color w:val="231F1F"/>
          <w:w w:val="105"/>
        </w:rPr>
        <w:t>los</w:t>
      </w:r>
      <w:r>
        <w:rPr>
          <w:color w:val="231F1F"/>
          <w:spacing w:val="-1"/>
          <w:w w:val="105"/>
        </w:rPr>
        <w:t> </w:t>
      </w:r>
      <w:r>
        <w:rPr>
          <w:color w:val="231F1F"/>
          <w:w w:val="105"/>
        </w:rPr>
        <w:t>otros</w:t>
      </w:r>
      <w:r>
        <w:rPr>
          <w:color w:val="231F1F"/>
          <w:spacing w:val="-1"/>
          <w:w w:val="105"/>
        </w:rPr>
        <w:t> </w:t>
      </w:r>
      <w:r>
        <w:rPr>
          <w:color w:val="231F1F"/>
          <w:w w:val="105"/>
        </w:rPr>
        <w:t>resultados</w:t>
      </w:r>
      <w:r>
        <w:rPr>
          <w:color w:val="231F1F"/>
          <w:spacing w:val="-1"/>
          <w:w w:val="105"/>
        </w:rPr>
        <w:t> </w:t>
      </w:r>
      <w:r>
        <w:rPr>
          <w:color w:val="231F1F"/>
          <w:w w:val="105"/>
        </w:rPr>
        <w:t>evaluados.</w:t>
      </w:r>
      <w:r>
        <w:rPr>
          <w:color w:val="231F1F"/>
          <w:spacing w:val="-1"/>
          <w:w w:val="105"/>
        </w:rPr>
        <w:t> </w:t>
      </w:r>
      <w:r>
        <w:rPr>
          <w:color w:val="231F1F"/>
          <w:w w:val="105"/>
        </w:rPr>
        <w:t>Las</w:t>
      </w:r>
      <w:r>
        <w:rPr>
          <w:color w:val="231F1F"/>
          <w:spacing w:val="-1"/>
          <w:w w:val="105"/>
        </w:rPr>
        <w:t> </w:t>
      </w:r>
      <w:r>
        <w:rPr>
          <w:color w:val="231F1F"/>
          <w:w w:val="105"/>
        </w:rPr>
        <w:t>opinio- nes</w:t>
      </w:r>
      <w:r>
        <w:rPr>
          <w:color w:val="231F1F"/>
          <w:w w:val="105"/>
        </w:rPr>
        <w:t> de</w:t>
      </w:r>
      <w:r>
        <w:rPr>
          <w:color w:val="231F1F"/>
          <w:w w:val="105"/>
        </w:rPr>
        <w:t> las</w:t>
      </w:r>
      <w:r>
        <w:rPr>
          <w:color w:val="231F1F"/>
          <w:w w:val="105"/>
        </w:rPr>
        <w:t> mujeres</w:t>
      </w:r>
      <w:r>
        <w:rPr>
          <w:color w:val="231F1F"/>
          <w:w w:val="105"/>
        </w:rPr>
        <w:t> no</w:t>
      </w:r>
      <w:r>
        <w:rPr>
          <w:color w:val="231F1F"/>
          <w:w w:val="105"/>
        </w:rPr>
        <w:t> fueron</w:t>
      </w:r>
      <w:r>
        <w:rPr>
          <w:color w:val="231F1F"/>
          <w:w w:val="105"/>
        </w:rPr>
        <w:t> evaluadas.</w:t>
      </w:r>
      <w:r>
        <w:rPr>
          <w:color w:val="231F1F"/>
          <w:w w:val="105"/>
        </w:rPr>
        <w:t> Los</w:t>
      </w:r>
      <w:r>
        <w:rPr>
          <w:color w:val="231F1F"/>
          <w:w w:val="105"/>
        </w:rPr>
        <w:t> datos</w:t>
      </w:r>
      <w:r>
        <w:rPr>
          <w:color w:val="231F1F"/>
          <w:w w:val="105"/>
        </w:rPr>
        <w:t> agrupados</w:t>
      </w:r>
      <w:r>
        <w:rPr>
          <w:color w:val="231F1F"/>
          <w:w w:val="105"/>
        </w:rPr>
        <w:t> fueron</w:t>
      </w:r>
      <w:r>
        <w:rPr>
          <w:color w:val="231F1F"/>
          <w:w w:val="105"/>
        </w:rPr>
        <w:t> insufi- cientes</w:t>
      </w:r>
      <w:r>
        <w:rPr>
          <w:color w:val="231F1F"/>
          <w:w w:val="105"/>
        </w:rPr>
        <w:t> para</w:t>
      </w:r>
      <w:r>
        <w:rPr>
          <w:color w:val="231F1F"/>
          <w:w w:val="105"/>
        </w:rPr>
        <w:t> evaluar</w:t>
      </w:r>
      <w:r>
        <w:rPr>
          <w:color w:val="231F1F"/>
          <w:w w:val="105"/>
        </w:rPr>
        <w:t> la</w:t>
      </w:r>
      <w:r>
        <w:rPr>
          <w:color w:val="231F1F"/>
          <w:w w:val="105"/>
        </w:rPr>
        <w:t> incidencia</w:t>
      </w:r>
      <w:r>
        <w:rPr>
          <w:color w:val="231F1F"/>
          <w:w w:val="105"/>
        </w:rPr>
        <w:t> del</w:t>
      </w:r>
      <w:r>
        <w:rPr>
          <w:color w:val="231F1F"/>
          <w:w w:val="105"/>
        </w:rPr>
        <w:t> síndrome</w:t>
      </w:r>
      <w:r>
        <w:rPr>
          <w:color w:val="231F1F"/>
          <w:w w:val="105"/>
        </w:rPr>
        <w:t> de</w:t>
      </w:r>
      <w:r>
        <w:rPr>
          <w:color w:val="231F1F"/>
          <w:w w:val="105"/>
        </w:rPr>
        <w:t> Mendelson,</w:t>
      </w:r>
      <w:r>
        <w:rPr>
          <w:color w:val="231F1F"/>
          <w:w w:val="105"/>
        </w:rPr>
        <w:t> un</w:t>
      </w:r>
      <w:r>
        <w:rPr>
          <w:color w:val="231F1F"/>
          <w:w w:val="105"/>
        </w:rPr>
        <w:t> resultado grave y extremadamente raro. Por ello el GEG no propone ninguna recomen- dación sobre la ingesta de sólidos.</w:t>
      </w:r>
    </w:p>
    <w:p>
      <w:pPr>
        <w:pStyle w:val="BodyText"/>
        <w:spacing w:line="244" w:lineRule="auto" w:before="31"/>
        <w:ind w:left="283" w:right="1367" w:firstLine="453"/>
        <w:jc w:val="both"/>
      </w:pPr>
      <w:r>
        <w:rPr>
          <w:color w:val="231F1F"/>
          <w:w w:val="105"/>
        </w:rPr>
        <w:t>En</w:t>
      </w:r>
      <w:r>
        <w:rPr>
          <w:color w:val="231F1F"/>
          <w:w w:val="105"/>
        </w:rPr>
        <w:t> la</w:t>
      </w:r>
      <w:r>
        <w:rPr>
          <w:color w:val="231F1F"/>
          <w:w w:val="105"/>
        </w:rPr>
        <w:t> RS,</w:t>
      </w:r>
      <w:r>
        <w:rPr>
          <w:color w:val="231F1F"/>
          <w:w w:val="105"/>
        </w:rPr>
        <w:t> así</w:t>
      </w:r>
      <w:r>
        <w:rPr>
          <w:color w:val="231F1F"/>
          <w:w w:val="105"/>
        </w:rPr>
        <w:t> como</w:t>
      </w:r>
      <w:r>
        <w:rPr>
          <w:color w:val="231F1F"/>
          <w:w w:val="105"/>
        </w:rPr>
        <w:t> en</w:t>
      </w:r>
      <w:r>
        <w:rPr>
          <w:color w:val="231F1F"/>
          <w:w w:val="105"/>
        </w:rPr>
        <w:t> el</w:t>
      </w:r>
      <w:r>
        <w:rPr>
          <w:color w:val="231F1F"/>
          <w:w w:val="105"/>
        </w:rPr>
        <w:t> Grupo</w:t>
      </w:r>
      <w:r>
        <w:rPr>
          <w:color w:val="231F1F"/>
          <w:w w:val="105"/>
        </w:rPr>
        <w:t> Elaborador</w:t>
      </w:r>
      <w:r>
        <w:rPr>
          <w:color w:val="231F1F"/>
          <w:w w:val="105"/>
        </w:rPr>
        <w:t> de</w:t>
      </w:r>
      <w:r>
        <w:rPr>
          <w:color w:val="231F1F"/>
          <w:w w:val="105"/>
        </w:rPr>
        <w:t> la</w:t>
      </w:r>
      <w:r>
        <w:rPr>
          <w:color w:val="231F1F"/>
          <w:w w:val="105"/>
        </w:rPr>
        <w:t> Guía</w:t>
      </w:r>
      <w:r>
        <w:rPr>
          <w:color w:val="231F1F"/>
          <w:w w:val="105"/>
        </w:rPr>
        <w:t> (GEG)</w:t>
      </w:r>
      <w:r>
        <w:rPr>
          <w:color w:val="231F1F"/>
          <w:w w:val="105"/>
        </w:rPr>
        <w:t> se</w:t>
      </w:r>
      <w:r>
        <w:rPr>
          <w:color w:val="231F1F"/>
          <w:w w:val="105"/>
        </w:rPr>
        <w:t> con- cluye que dado que la evidencia no muestra beneficios o daños, no hay nin- guna</w:t>
      </w:r>
      <w:r>
        <w:rPr>
          <w:color w:val="231F1F"/>
          <w:spacing w:val="27"/>
          <w:w w:val="105"/>
        </w:rPr>
        <w:t> </w:t>
      </w:r>
      <w:r>
        <w:rPr>
          <w:color w:val="231F1F"/>
          <w:w w:val="105"/>
        </w:rPr>
        <w:t>justificación</w:t>
      </w:r>
      <w:r>
        <w:rPr>
          <w:color w:val="231F1F"/>
          <w:spacing w:val="27"/>
          <w:w w:val="105"/>
        </w:rPr>
        <w:t> </w:t>
      </w:r>
      <w:r>
        <w:rPr>
          <w:color w:val="231F1F"/>
          <w:w w:val="105"/>
        </w:rPr>
        <w:t>para</w:t>
      </w:r>
      <w:r>
        <w:rPr>
          <w:color w:val="231F1F"/>
          <w:spacing w:val="27"/>
          <w:w w:val="105"/>
        </w:rPr>
        <w:t> </w:t>
      </w:r>
      <w:r>
        <w:rPr>
          <w:color w:val="231F1F"/>
          <w:w w:val="105"/>
        </w:rPr>
        <w:t>la</w:t>
      </w:r>
      <w:r>
        <w:rPr>
          <w:color w:val="231F1F"/>
          <w:spacing w:val="27"/>
          <w:w w:val="105"/>
        </w:rPr>
        <w:t> </w:t>
      </w:r>
      <w:r>
        <w:rPr>
          <w:color w:val="231F1F"/>
          <w:w w:val="105"/>
        </w:rPr>
        <w:t>restricción</w:t>
      </w:r>
      <w:r>
        <w:rPr>
          <w:color w:val="231F1F"/>
          <w:spacing w:val="28"/>
          <w:w w:val="105"/>
        </w:rPr>
        <w:t> </w:t>
      </w:r>
      <w:r>
        <w:rPr>
          <w:color w:val="231F1F"/>
          <w:w w:val="105"/>
        </w:rPr>
        <w:t>de</w:t>
      </w:r>
      <w:r>
        <w:rPr>
          <w:color w:val="231F1F"/>
          <w:spacing w:val="27"/>
          <w:w w:val="105"/>
        </w:rPr>
        <w:t> </w:t>
      </w:r>
      <w:r>
        <w:rPr>
          <w:color w:val="231F1F"/>
          <w:w w:val="105"/>
        </w:rPr>
        <w:t>líquidos</w:t>
      </w:r>
      <w:r>
        <w:rPr>
          <w:color w:val="231F1F"/>
          <w:spacing w:val="28"/>
          <w:w w:val="105"/>
        </w:rPr>
        <w:t> </w:t>
      </w:r>
      <w:r>
        <w:rPr>
          <w:color w:val="231F1F"/>
          <w:w w:val="105"/>
        </w:rPr>
        <w:t>en</w:t>
      </w:r>
      <w:r>
        <w:rPr>
          <w:color w:val="231F1F"/>
          <w:spacing w:val="28"/>
          <w:w w:val="105"/>
        </w:rPr>
        <w:t> </w:t>
      </w:r>
      <w:r>
        <w:rPr>
          <w:color w:val="231F1F"/>
          <w:w w:val="105"/>
        </w:rPr>
        <w:t>el</w:t>
      </w:r>
      <w:r>
        <w:rPr>
          <w:color w:val="231F1F"/>
          <w:spacing w:val="27"/>
          <w:w w:val="105"/>
        </w:rPr>
        <w:t> </w:t>
      </w:r>
      <w:r>
        <w:rPr>
          <w:color w:val="231F1F"/>
          <w:w w:val="105"/>
        </w:rPr>
        <w:t>trabajo</w:t>
      </w:r>
      <w:r>
        <w:rPr>
          <w:color w:val="231F1F"/>
          <w:spacing w:val="27"/>
          <w:w w:val="105"/>
        </w:rPr>
        <w:t> </w:t>
      </w:r>
      <w:r>
        <w:rPr>
          <w:color w:val="231F1F"/>
          <w:w w:val="105"/>
        </w:rPr>
        <w:t>de</w:t>
      </w:r>
      <w:r>
        <w:rPr>
          <w:color w:val="231F1F"/>
          <w:spacing w:val="27"/>
          <w:w w:val="105"/>
        </w:rPr>
        <w:t> </w:t>
      </w:r>
      <w:r>
        <w:rPr>
          <w:color w:val="231F1F"/>
          <w:w w:val="105"/>
        </w:rPr>
        <w:t>parto</w:t>
      </w:r>
      <w:r>
        <w:rPr>
          <w:color w:val="231F1F"/>
          <w:spacing w:val="27"/>
          <w:w w:val="105"/>
        </w:rPr>
        <w:t> </w:t>
      </w:r>
      <w:r>
        <w:rPr>
          <w:color w:val="231F1F"/>
          <w:w w:val="105"/>
        </w:rPr>
        <w:t>para las mujeres en bajo riesgo de complicaciones.</w:t>
      </w:r>
    </w:p>
    <w:p>
      <w:pPr>
        <w:pStyle w:val="BodyText"/>
        <w:spacing w:before="139"/>
      </w:pPr>
    </w:p>
    <w:p>
      <w:pPr>
        <w:spacing w:before="0"/>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8" w:after="1"/>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57" w:hRule="atLeast"/>
        </w:trPr>
        <w:tc>
          <w:tcPr>
            <w:tcW w:w="7373" w:type="dxa"/>
          </w:tcPr>
          <w:p>
            <w:pPr>
              <w:pStyle w:val="TableParagraph"/>
              <w:spacing w:line="249" w:lineRule="auto" w:before="29"/>
              <w:ind w:right="156"/>
              <w:rPr>
                <w:sz w:val="22"/>
              </w:rPr>
            </w:pPr>
            <w:r>
              <w:rPr>
                <w:color w:val="231F1F"/>
                <w:sz w:val="22"/>
              </w:rPr>
              <w:t>No</w:t>
            </w:r>
            <w:r>
              <w:rPr>
                <w:color w:val="231F1F"/>
                <w:spacing w:val="31"/>
                <w:sz w:val="22"/>
              </w:rPr>
              <w:t> </w:t>
            </w:r>
            <w:r>
              <w:rPr>
                <w:color w:val="231F1F"/>
                <w:sz w:val="22"/>
              </w:rPr>
              <w:t>hay</w:t>
            </w:r>
            <w:r>
              <w:rPr>
                <w:color w:val="231F1F"/>
                <w:spacing w:val="33"/>
                <w:sz w:val="22"/>
              </w:rPr>
              <w:t> </w:t>
            </w:r>
            <w:r>
              <w:rPr>
                <w:color w:val="231F1F"/>
                <w:sz w:val="22"/>
              </w:rPr>
              <w:t>evidencia</w:t>
            </w:r>
            <w:r>
              <w:rPr>
                <w:color w:val="231F1F"/>
                <w:spacing w:val="33"/>
                <w:sz w:val="22"/>
              </w:rPr>
              <w:t> </w:t>
            </w:r>
            <w:r>
              <w:rPr>
                <w:color w:val="231F1F"/>
                <w:sz w:val="22"/>
              </w:rPr>
              <w:t>para</w:t>
            </w:r>
            <w:r>
              <w:rPr>
                <w:color w:val="231F1F"/>
                <w:spacing w:val="33"/>
                <w:sz w:val="22"/>
              </w:rPr>
              <w:t> </w:t>
            </w:r>
            <w:r>
              <w:rPr>
                <w:color w:val="231F1F"/>
                <w:sz w:val="22"/>
              </w:rPr>
              <w:t>valorar</w:t>
            </w:r>
            <w:r>
              <w:rPr>
                <w:color w:val="231F1F"/>
                <w:spacing w:val="31"/>
                <w:sz w:val="22"/>
              </w:rPr>
              <w:t> </w:t>
            </w:r>
            <w:r>
              <w:rPr>
                <w:color w:val="231F1F"/>
                <w:sz w:val="22"/>
              </w:rPr>
              <w:t>el</w:t>
            </w:r>
            <w:r>
              <w:rPr>
                <w:color w:val="231F1F"/>
                <w:spacing w:val="33"/>
                <w:sz w:val="22"/>
              </w:rPr>
              <w:t> </w:t>
            </w:r>
            <w:r>
              <w:rPr>
                <w:color w:val="231F1F"/>
                <w:sz w:val="22"/>
              </w:rPr>
              <w:t>tiempo</w:t>
            </w:r>
            <w:r>
              <w:rPr>
                <w:color w:val="231F1F"/>
                <w:spacing w:val="33"/>
                <w:sz w:val="22"/>
              </w:rPr>
              <w:t> </w:t>
            </w:r>
            <w:r>
              <w:rPr>
                <w:color w:val="231F1F"/>
                <w:sz w:val="22"/>
              </w:rPr>
              <w:t>de</w:t>
            </w:r>
            <w:r>
              <w:rPr>
                <w:color w:val="231F1F"/>
                <w:spacing w:val="33"/>
                <w:sz w:val="22"/>
              </w:rPr>
              <w:t> </w:t>
            </w:r>
            <w:r>
              <w:rPr>
                <w:color w:val="231F1F"/>
                <w:sz w:val="22"/>
              </w:rPr>
              <w:t>ayuno</w:t>
            </w:r>
            <w:r>
              <w:rPr>
                <w:color w:val="231F1F"/>
                <w:spacing w:val="31"/>
                <w:sz w:val="22"/>
              </w:rPr>
              <w:t> </w:t>
            </w:r>
            <w:r>
              <w:rPr>
                <w:color w:val="231F1F"/>
                <w:sz w:val="22"/>
              </w:rPr>
              <w:t>seguro,</w:t>
            </w:r>
            <w:r>
              <w:rPr>
                <w:color w:val="231F1F"/>
                <w:spacing w:val="31"/>
                <w:sz w:val="22"/>
              </w:rPr>
              <w:t> </w:t>
            </w:r>
            <w:r>
              <w:rPr>
                <w:color w:val="231F1F"/>
                <w:sz w:val="22"/>
              </w:rPr>
              <w:t>tras</w:t>
            </w:r>
            <w:r>
              <w:rPr>
                <w:color w:val="231F1F"/>
                <w:spacing w:val="33"/>
                <w:sz w:val="22"/>
              </w:rPr>
              <w:t> </w:t>
            </w:r>
            <w:r>
              <w:rPr>
                <w:color w:val="231F1F"/>
                <w:sz w:val="22"/>
              </w:rPr>
              <w:t>la</w:t>
            </w:r>
            <w:r>
              <w:rPr>
                <w:color w:val="231F1F"/>
                <w:spacing w:val="33"/>
                <w:sz w:val="22"/>
              </w:rPr>
              <w:t> </w:t>
            </w:r>
            <w:r>
              <w:rPr>
                <w:color w:val="231F1F"/>
                <w:sz w:val="22"/>
              </w:rPr>
              <w:t>ingesta</w:t>
            </w:r>
            <w:r>
              <w:rPr>
                <w:color w:val="231F1F"/>
                <w:spacing w:val="33"/>
                <w:sz w:val="22"/>
              </w:rPr>
              <w:t> </w:t>
            </w:r>
            <w:r>
              <w:rPr>
                <w:color w:val="231F1F"/>
                <w:sz w:val="22"/>
              </w:rPr>
              <w:t>de </w:t>
            </w:r>
            <w:r>
              <w:rPr>
                <w:color w:val="231F1F"/>
                <w:w w:val="110"/>
                <w:sz w:val="22"/>
              </w:rPr>
              <w:t>sólidos en mujeres (16).</w:t>
            </w:r>
          </w:p>
        </w:tc>
        <w:tc>
          <w:tcPr>
            <w:tcW w:w="1133" w:type="dxa"/>
          </w:tcPr>
          <w:p>
            <w:pPr>
              <w:pStyle w:val="TableParagraph"/>
              <w:spacing w:before="188"/>
              <w:ind w:left="49"/>
              <w:jc w:val="center"/>
              <w:rPr>
                <w:sz w:val="22"/>
              </w:rPr>
            </w:pPr>
            <w:r>
              <w:rPr>
                <w:color w:val="231F1F"/>
                <w:spacing w:val="-10"/>
                <w:sz w:val="22"/>
              </w:rPr>
              <w:t>4</w:t>
            </w:r>
          </w:p>
        </w:tc>
      </w:tr>
      <w:tr>
        <w:trPr>
          <w:trHeight w:val="1497" w:hRule="atLeast"/>
        </w:trPr>
        <w:tc>
          <w:tcPr>
            <w:tcW w:w="7373" w:type="dxa"/>
          </w:tcPr>
          <w:p>
            <w:pPr>
              <w:pStyle w:val="TableParagraph"/>
              <w:spacing w:line="244" w:lineRule="auto" w:before="44"/>
              <w:ind w:right="83"/>
              <w:jc w:val="both"/>
              <w:rPr>
                <w:sz w:val="22"/>
              </w:rPr>
            </w:pPr>
            <w:r>
              <w:rPr>
                <w:color w:val="231F1F"/>
                <w:spacing w:val="-2"/>
                <w:w w:val="110"/>
                <w:sz w:val="22"/>
              </w:rPr>
              <w:t>No</w:t>
            </w:r>
            <w:r>
              <w:rPr>
                <w:color w:val="231F1F"/>
                <w:spacing w:val="-9"/>
                <w:w w:val="110"/>
                <w:sz w:val="22"/>
              </w:rPr>
              <w:t> </w:t>
            </w:r>
            <w:r>
              <w:rPr>
                <w:color w:val="231F1F"/>
                <w:spacing w:val="-2"/>
                <w:w w:val="110"/>
                <w:sz w:val="22"/>
              </w:rPr>
              <w:t>se</w:t>
            </w:r>
            <w:r>
              <w:rPr>
                <w:color w:val="231F1F"/>
                <w:spacing w:val="-9"/>
                <w:w w:val="110"/>
                <w:sz w:val="22"/>
              </w:rPr>
              <w:t> </w:t>
            </w:r>
            <w:r>
              <w:rPr>
                <w:color w:val="231F1F"/>
                <w:spacing w:val="-2"/>
                <w:w w:val="110"/>
                <w:sz w:val="22"/>
              </w:rPr>
              <w:t>ha</w:t>
            </w:r>
            <w:r>
              <w:rPr>
                <w:color w:val="231F1F"/>
                <w:spacing w:val="-9"/>
                <w:w w:val="110"/>
                <w:sz w:val="22"/>
              </w:rPr>
              <w:t> </w:t>
            </w:r>
            <w:r>
              <w:rPr>
                <w:color w:val="231F1F"/>
                <w:spacing w:val="-2"/>
                <w:w w:val="110"/>
                <w:sz w:val="22"/>
              </w:rPr>
              <w:t>encontrado</w:t>
            </w:r>
            <w:r>
              <w:rPr>
                <w:color w:val="231F1F"/>
                <w:spacing w:val="-9"/>
                <w:w w:val="110"/>
                <w:sz w:val="22"/>
              </w:rPr>
              <w:t> </w:t>
            </w:r>
            <w:r>
              <w:rPr>
                <w:color w:val="231F1F"/>
                <w:spacing w:val="-2"/>
                <w:w w:val="110"/>
                <w:sz w:val="22"/>
              </w:rPr>
              <w:t>que</w:t>
            </w:r>
            <w:r>
              <w:rPr>
                <w:color w:val="231F1F"/>
                <w:spacing w:val="-9"/>
                <w:w w:val="110"/>
                <w:sz w:val="22"/>
              </w:rPr>
              <w:t> </w:t>
            </w:r>
            <w:r>
              <w:rPr>
                <w:color w:val="231F1F"/>
                <w:spacing w:val="-2"/>
                <w:w w:val="110"/>
                <w:sz w:val="22"/>
              </w:rPr>
              <w:t>la</w:t>
            </w:r>
            <w:r>
              <w:rPr>
                <w:color w:val="231F1F"/>
                <w:spacing w:val="-9"/>
                <w:w w:val="110"/>
                <w:sz w:val="22"/>
              </w:rPr>
              <w:t> </w:t>
            </w:r>
            <w:r>
              <w:rPr>
                <w:color w:val="231F1F"/>
                <w:spacing w:val="-2"/>
                <w:w w:val="110"/>
                <w:sz w:val="22"/>
              </w:rPr>
              <w:t>ingesta</w:t>
            </w:r>
            <w:r>
              <w:rPr>
                <w:color w:val="231F1F"/>
                <w:spacing w:val="-9"/>
                <w:w w:val="110"/>
                <w:sz w:val="22"/>
              </w:rPr>
              <w:t> </w:t>
            </w:r>
            <w:r>
              <w:rPr>
                <w:color w:val="231F1F"/>
                <w:spacing w:val="-2"/>
                <w:w w:val="110"/>
                <w:sz w:val="22"/>
              </w:rPr>
              <w:t>de</w:t>
            </w:r>
            <w:r>
              <w:rPr>
                <w:color w:val="231F1F"/>
                <w:spacing w:val="-9"/>
                <w:w w:val="110"/>
                <w:sz w:val="22"/>
              </w:rPr>
              <w:t> </w:t>
            </w:r>
            <w:r>
              <w:rPr>
                <w:color w:val="231F1F"/>
                <w:spacing w:val="-2"/>
                <w:w w:val="110"/>
                <w:sz w:val="22"/>
              </w:rPr>
              <w:t>sólidos</w:t>
            </w:r>
            <w:r>
              <w:rPr>
                <w:color w:val="231F1F"/>
                <w:spacing w:val="-9"/>
                <w:w w:val="110"/>
                <w:sz w:val="22"/>
              </w:rPr>
              <w:t> </w:t>
            </w:r>
            <w:r>
              <w:rPr>
                <w:color w:val="231F1F"/>
                <w:spacing w:val="-2"/>
                <w:w w:val="110"/>
                <w:sz w:val="22"/>
              </w:rPr>
              <w:t>durante</w:t>
            </w:r>
            <w:r>
              <w:rPr>
                <w:color w:val="231F1F"/>
                <w:spacing w:val="-9"/>
                <w:w w:val="110"/>
                <w:sz w:val="22"/>
              </w:rPr>
              <w:t> </w:t>
            </w:r>
            <w:r>
              <w:rPr>
                <w:color w:val="231F1F"/>
                <w:spacing w:val="-2"/>
                <w:w w:val="110"/>
                <w:sz w:val="22"/>
              </w:rPr>
              <w:t>el</w:t>
            </w:r>
            <w:r>
              <w:rPr>
                <w:color w:val="231F1F"/>
                <w:spacing w:val="-9"/>
                <w:w w:val="110"/>
                <w:sz w:val="22"/>
              </w:rPr>
              <w:t> </w:t>
            </w:r>
            <w:r>
              <w:rPr>
                <w:color w:val="231F1F"/>
                <w:spacing w:val="-2"/>
                <w:w w:val="110"/>
                <w:sz w:val="22"/>
              </w:rPr>
              <w:t>parto</w:t>
            </w:r>
            <w:r>
              <w:rPr>
                <w:color w:val="231F1F"/>
                <w:spacing w:val="-9"/>
                <w:w w:val="110"/>
                <w:sz w:val="22"/>
              </w:rPr>
              <w:t> </w:t>
            </w:r>
            <w:r>
              <w:rPr>
                <w:color w:val="231F1F"/>
                <w:spacing w:val="-2"/>
                <w:w w:val="110"/>
                <w:sz w:val="22"/>
              </w:rPr>
              <w:t>influya</w:t>
            </w:r>
            <w:r>
              <w:rPr>
                <w:color w:val="231F1F"/>
                <w:spacing w:val="-9"/>
                <w:w w:val="110"/>
                <w:sz w:val="22"/>
              </w:rPr>
              <w:t> </w:t>
            </w:r>
            <w:r>
              <w:rPr>
                <w:color w:val="231F1F"/>
                <w:spacing w:val="-2"/>
                <w:w w:val="110"/>
                <w:sz w:val="22"/>
              </w:rPr>
              <w:t>en</w:t>
            </w:r>
            <w:r>
              <w:rPr>
                <w:color w:val="231F1F"/>
                <w:spacing w:val="-9"/>
                <w:w w:val="110"/>
                <w:sz w:val="22"/>
              </w:rPr>
              <w:t> </w:t>
            </w:r>
            <w:r>
              <w:rPr>
                <w:color w:val="231F1F"/>
                <w:spacing w:val="-2"/>
                <w:w w:val="110"/>
                <w:sz w:val="22"/>
              </w:rPr>
              <w:t>los </w:t>
            </w:r>
            <w:r>
              <w:rPr>
                <w:color w:val="231F1F"/>
                <w:w w:val="110"/>
                <w:sz w:val="22"/>
              </w:rPr>
              <w:t>resultados obstétricos (tipo de nacimiento y duración del parto) ni en los neonatales.</w:t>
            </w:r>
            <w:r>
              <w:rPr>
                <w:color w:val="231F1F"/>
                <w:w w:val="110"/>
                <w:sz w:val="22"/>
              </w:rPr>
              <w:t> Los</w:t>
            </w:r>
            <w:r>
              <w:rPr>
                <w:color w:val="231F1F"/>
                <w:w w:val="110"/>
                <w:sz w:val="22"/>
              </w:rPr>
              <w:t> estudios</w:t>
            </w:r>
            <w:r>
              <w:rPr>
                <w:color w:val="231F1F"/>
                <w:w w:val="110"/>
                <w:sz w:val="22"/>
              </w:rPr>
              <w:t> no</w:t>
            </w:r>
            <w:r>
              <w:rPr>
                <w:color w:val="231F1F"/>
                <w:w w:val="110"/>
                <w:sz w:val="22"/>
              </w:rPr>
              <w:t> tienen</w:t>
            </w:r>
            <w:r>
              <w:rPr>
                <w:color w:val="231F1F"/>
                <w:w w:val="110"/>
                <w:sz w:val="22"/>
              </w:rPr>
              <w:t> suficiente</w:t>
            </w:r>
            <w:r>
              <w:rPr>
                <w:color w:val="231F1F"/>
                <w:w w:val="110"/>
                <w:sz w:val="22"/>
              </w:rPr>
              <w:t> potencia</w:t>
            </w:r>
            <w:r>
              <w:rPr>
                <w:color w:val="231F1F"/>
                <w:w w:val="110"/>
                <w:sz w:val="22"/>
              </w:rPr>
              <w:t> como</w:t>
            </w:r>
            <w:r>
              <w:rPr>
                <w:color w:val="231F1F"/>
                <w:w w:val="110"/>
                <w:sz w:val="22"/>
              </w:rPr>
              <w:t> para</w:t>
            </w:r>
            <w:r>
              <w:rPr>
                <w:color w:val="231F1F"/>
                <w:w w:val="110"/>
                <w:sz w:val="22"/>
              </w:rPr>
              <w:t> poder evaluar la seguridad materna frente a eventos y complicaciones graves y extremadamente raros como el síndrome de Mendelson (17;18).</w:t>
            </w:r>
          </w:p>
        </w:tc>
        <w:tc>
          <w:tcPr>
            <w:tcW w:w="1133" w:type="dxa"/>
          </w:tcPr>
          <w:p>
            <w:pPr>
              <w:pStyle w:val="TableParagraph"/>
              <w:ind w:left="0"/>
              <w:rPr>
                <w:rFonts w:ascii="Arial MT"/>
                <w:sz w:val="22"/>
              </w:rPr>
            </w:pPr>
          </w:p>
          <w:p>
            <w:pPr>
              <w:pStyle w:val="TableParagraph"/>
              <w:spacing w:before="85"/>
              <w:ind w:left="0"/>
              <w:rPr>
                <w:rFonts w:ascii="Arial MT"/>
                <w:sz w:val="22"/>
              </w:rPr>
            </w:pPr>
          </w:p>
          <w:p>
            <w:pPr>
              <w:pStyle w:val="TableParagraph"/>
              <w:ind w:left="49" w:right="22"/>
              <w:jc w:val="center"/>
              <w:rPr>
                <w:sz w:val="22"/>
              </w:rPr>
            </w:pPr>
            <w:r>
              <w:rPr>
                <w:color w:val="231F1F"/>
                <w:spacing w:val="-5"/>
                <w:w w:val="105"/>
                <w:sz w:val="22"/>
              </w:rPr>
              <w:t>1+</w:t>
            </w:r>
          </w:p>
        </w:tc>
      </w:tr>
      <w:tr>
        <w:trPr>
          <w:trHeight w:val="1218" w:hRule="atLeast"/>
        </w:trPr>
        <w:tc>
          <w:tcPr>
            <w:tcW w:w="7373" w:type="dxa"/>
          </w:tcPr>
          <w:p>
            <w:pPr>
              <w:pStyle w:val="TableParagraph"/>
              <w:spacing w:line="244" w:lineRule="auto" w:before="34"/>
              <w:ind w:right="83"/>
              <w:jc w:val="both"/>
              <w:rPr>
                <w:sz w:val="22"/>
              </w:rPr>
            </w:pPr>
            <w:r>
              <w:rPr>
                <w:color w:val="231F1F"/>
                <w:w w:val="105"/>
                <w:sz w:val="22"/>
              </w:rPr>
              <w:t>La ingesta de líquidos claros durante el parto no influye sobre la evolución del mismo, tipo de parto, duración y empleo de oxitocina, ni sobre los resul- tados</w:t>
            </w:r>
            <w:r>
              <w:rPr>
                <w:color w:val="231F1F"/>
                <w:w w:val="105"/>
                <w:sz w:val="22"/>
              </w:rPr>
              <w:t> del</w:t>
            </w:r>
            <w:r>
              <w:rPr>
                <w:color w:val="231F1F"/>
                <w:w w:val="105"/>
                <w:sz w:val="22"/>
              </w:rPr>
              <w:t> RN.</w:t>
            </w:r>
            <w:r>
              <w:rPr>
                <w:color w:val="231F1F"/>
                <w:w w:val="105"/>
                <w:sz w:val="22"/>
              </w:rPr>
              <w:t> Además</w:t>
            </w:r>
            <w:r>
              <w:rPr>
                <w:color w:val="231F1F"/>
                <w:w w:val="105"/>
                <w:sz w:val="22"/>
              </w:rPr>
              <w:t> se</w:t>
            </w:r>
            <w:r>
              <w:rPr>
                <w:color w:val="231F1F"/>
                <w:w w:val="105"/>
                <w:sz w:val="22"/>
              </w:rPr>
              <w:t> considera</w:t>
            </w:r>
            <w:r>
              <w:rPr>
                <w:color w:val="231F1F"/>
                <w:w w:val="105"/>
                <w:sz w:val="22"/>
              </w:rPr>
              <w:t> que</w:t>
            </w:r>
            <w:r>
              <w:rPr>
                <w:color w:val="231F1F"/>
                <w:w w:val="105"/>
                <w:sz w:val="22"/>
              </w:rPr>
              <w:t> mejora</w:t>
            </w:r>
            <w:r>
              <w:rPr>
                <w:color w:val="231F1F"/>
                <w:w w:val="105"/>
                <w:sz w:val="22"/>
              </w:rPr>
              <w:t> el</w:t>
            </w:r>
            <w:r>
              <w:rPr>
                <w:color w:val="231F1F"/>
                <w:w w:val="105"/>
                <w:sz w:val="22"/>
              </w:rPr>
              <w:t> confort</w:t>
            </w:r>
            <w:r>
              <w:rPr>
                <w:color w:val="231F1F"/>
                <w:w w:val="105"/>
                <w:sz w:val="22"/>
              </w:rPr>
              <w:t> y</w:t>
            </w:r>
            <w:r>
              <w:rPr>
                <w:color w:val="231F1F"/>
                <w:w w:val="105"/>
                <w:sz w:val="22"/>
              </w:rPr>
              <w:t> la</w:t>
            </w:r>
            <w:r>
              <w:rPr>
                <w:color w:val="231F1F"/>
                <w:w w:val="105"/>
                <w:sz w:val="22"/>
              </w:rPr>
              <w:t> satisfacción materna y no incrementan las complicaciones maternas (17;18).</w:t>
            </w:r>
          </w:p>
        </w:tc>
        <w:tc>
          <w:tcPr>
            <w:tcW w:w="1133" w:type="dxa"/>
          </w:tcPr>
          <w:p>
            <w:pPr>
              <w:pStyle w:val="TableParagraph"/>
              <w:spacing w:before="194"/>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42"/>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6" w:hRule="atLeast"/>
        </w:trPr>
        <w:tc>
          <w:tcPr>
            <w:tcW w:w="456" w:type="dxa"/>
          </w:tcPr>
          <w:p>
            <w:pPr>
              <w:pStyle w:val="TableParagraph"/>
              <w:spacing w:before="178"/>
              <w:ind w:left="142"/>
              <w:rPr>
                <w:sz w:val="22"/>
              </w:rPr>
            </w:pPr>
            <w:r>
              <w:rPr>
                <w:color w:val="231F1F"/>
                <w:spacing w:val="-10"/>
                <w:w w:val="115"/>
                <w:sz w:val="22"/>
              </w:rPr>
              <w:t>A</w:t>
            </w:r>
          </w:p>
        </w:tc>
        <w:tc>
          <w:tcPr>
            <w:tcW w:w="8050" w:type="dxa"/>
          </w:tcPr>
          <w:p>
            <w:pPr>
              <w:pStyle w:val="TableParagraph"/>
              <w:spacing w:line="254" w:lineRule="auto" w:before="63"/>
              <w:ind w:left="120" w:right="155"/>
              <w:rPr>
                <w:sz w:val="22"/>
              </w:rPr>
            </w:pPr>
            <w:r>
              <w:rPr>
                <w:color w:val="231F1F"/>
                <w:sz w:val="22"/>
              </w:rPr>
              <w:t>Se</w:t>
            </w:r>
            <w:r>
              <w:rPr>
                <w:color w:val="231F1F"/>
                <w:spacing w:val="32"/>
                <w:sz w:val="22"/>
              </w:rPr>
              <w:t> </w:t>
            </w:r>
            <w:r>
              <w:rPr>
                <w:color w:val="231F1F"/>
                <w:sz w:val="22"/>
              </w:rPr>
              <w:t>recomienda</w:t>
            </w:r>
            <w:r>
              <w:rPr>
                <w:color w:val="231F1F"/>
                <w:spacing w:val="34"/>
                <w:sz w:val="22"/>
              </w:rPr>
              <w:t> </w:t>
            </w:r>
            <w:r>
              <w:rPr>
                <w:color w:val="231F1F"/>
                <w:sz w:val="22"/>
              </w:rPr>
              <w:t>permitir</w:t>
            </w:r>
            <w:r>
              <w:rPr>
                <w:color w:val="231F1F"/>
                <w:spacing w:val="32"/>
                <w:sz w:val="22"/>
              </w:rPr>
              <w:t> </w:t>
            </w:r>
            <w:r>
              <w:rPr>
                <w:color w:val="231F1F"/>
                <w:sz w:val="22"/>
              </w:rPr>
              <w:t>la</w:t>
            </w:r>
            <w:r>
              <w:rPr>
                <w:color w:val="231F1F"/>
                <w:spacing w:val="32"/>
                <w:sz w:val="22"/>
              </w:rPr>
              <w:t> </w:t>
            </w:r>
            <w:r>
              <w:rPr>
                <w:color w:val="231F1F"/>
                <w:sz w:val="22"/>
              </w:rPr>
              <w:t>ingesta</w:t>
            </w:r>
            <w:r>
              <w:rPr>
                <w:color w:val="231F1F"/>
                <w:spacing w:val="32"/>
                <w:sz w:val="22"/>
              </w:rPr>
              <w:t> </w:t>
            </w:r>
            <w:r>
              <w:rPr>
                <w:color w:val="231F1F"/>
                <w:sz w:val="22"/>
              </w:rPr>
              <w:t>de</w:t>
            </w:r>
            <w:r>
              <w:rPr>
                <w:color w:val="231F1F"/>
                <w:spacing w:val="32"/>
                <w:sz w:val="22"/>
              </w:rPr>
              <w:t> </w:t>
            </w:r>
            <w:r>
              <w:rPr>
                <w:color w:val="231F1F"/>
                <w:sz w:val="22"/>
              </w:rPr>
              <w:t>líquidos</w:t>
            </w:r>
            <w:r>
              <w:rPr>
                <w:color w:val="231F1F"/>
                <w:spacing w:val="34"/>
                <w:sz w:val="22"/>
              </w:rPr>
              <w:t> </w:t>
            </w:r>
            <w:r>
              <w:rPr>
                <w:color w:val="231F1F"/>
                <w:sz w:val="22"/>
              </w:rPr>
              <w:t>claros</w:t>
            </w:r>
            <w:r>
              <w:rPr>
                <w:color w:val="231F1F"/>
                <w:spacing w:val="32"/>
                <w:sz w:val="22"/>
              </w:rPr>
              <w:t> </w:t>
            </w:r>
            <w:r>
              <w:rPr>
                <w:color w:val="231F1F"/>
                <w:sz w:val="22"/>
              </w:rPr>
              <w:t>durante</w:t>
            </w:r>
            <w:r>
              <w:rPr>
                <w:color w:val="231F1F"/>
                <w:spacing w:val="32"/>
                <w:sz w:val="22"/>
              </w:rPr>
              <w:t> </w:t>
            </w:r>
            <w:r>
              <w:rPr>
                <w:color w:val="231F1F"/>
                <w:sz w:val="22"/>
              </w:rPr>
              <w:t>el</w:t>
            </w:r>
            <w:r>
              <w:rPr>
                <w:color w:val="231F1F"/>
                <w:spacing w:val="32"/>
                <w:sz w:val="22"/>
              </w:rPr>
              <w:t> </w:t>
            </w:r>
            <w:r>
              <w:rPr>
                <w:color w:val="231F1F"/>
                <w:sz w:val="22"/>
              </w:rPr>
              <w:t>parto.4.2.2.</w:t>
            </w:r>
            <w:r>
              <w:rPr>
                <w:color w:val="231F1F"/>
                <w:spacing w:val="32"/>
                <w:sz w:val="22"/>
              </w:rPr>
              <w:t> </w:t>
            </w:r>
            <w:r>
              <w:rPr>
                <w:color w:val="231F1F"/>
                <w:sz w:val="22"/>
              </w:rPr>
              <w:t>Preven- ción de la Cetosis</w:t>
            </w:r>
          </w:p>
        </w:tc>
      </w:tr>
    </w:tbl>
    <w:p>
      <w:pPr>
        <w:pStyle w:val="TableParagraph"/>
        <w:spacing w:after="0" w:line="254" w:lineRule="auto"/>
        <w:rPr>
          <w:sz w:val="22"/>
        </w:rPr>
        <w:sectPr>
          <w:pgSz w:w="11900" w:h="16840"/>
          <w:pgMar w:header="0" w:footer="622" w:top="158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Prevención</w:t>
      </w:r>
      <w:r>
        <w:rPr>
          <w:color w:val="231F1F"/>
          <w:spacing w:val="47"/>
        </w:rPr>
        <w:t> </w:t>
      </w:r>
      <w:r>
        <w:rPr>
          <w:color w:val="231F1F"/>
        </w:rPr>
        <w:t>de</w:t>
      </w:r>
      <w:r>
        <w:rPr>
          <w:color w:val="231F1F"/>
          <w:spacing w:val="45"/>
        </w:rPr>
        <w:t> </w:t>
      </w:r>
      <w:r>
        <w:rPr>
          <w:color w:val="231F1F"/>
        </w:rPr>
        <w:t>la</w:t>
      </w:r>
      <w:r>
        <w:rPr>
          <w:color w:val="231F1F"/>
          <w:spacing w:val="47"/>
        </w:rPr>
        <w:t> </w:t>
      </w:r>
      <w:r>
        <w:rPr>
          <w:color w:val="231F1F"/>
          <w:spacing w:val="-2"/>
        </w:rPr>
        <w:t>Cetosis</w:t>
      </w:r>
    </w:p>
    <w:p>
      <w:pPr>
        <w:pStyle w:val="BodyText"/>
        <w:spacing w:before="20"/>
        <w:rPr>
          <w:sz w:val="20"/>
        </w:rPr>
      </w:pPr>
      <w:r>
        <w:rPr>
          <w:sz w:val="20"/>
        </w:rPr>
        <mc:AlternateContent>
          <mc:Choice Requires="wps">
            <w:drawing>
              <wp:anchor distT="0" distB="0" distL="0" distR="0" allowOverlap="1" layoutInCell="1" locked="0" behindDoc="1" simplePos="0" relativeHeight="487598592">
                <wp:simplePos x="0" y="0"/>
                <wp:positionH relativeFrom="page">
                  <wp:posOffset>1082675</wp:posOffset>
                </wp:positionH>
                <wp:positionV relativeFrom="paragraph">
                  <wp:posOffset>177184</wp:posOffset>
                </wp:positionV>
                <wp:extent cx="5400040" cy="262255"/>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5400040" cy="262255"/>
                        </a:xfrm>
                        <a:prstGeom prst="rect">
                          <a:avLst/>
                        </a:prstGeom>
                        <a:ln w="6350">
                          <a:solidFill>
                            <a:srgbClr val="A30046"/>
                          </a:solidFill>
                          <a:prstDash val="solid"/>
                        </a:ln>
                      </wps:spPr>
                      <wps:txbx>
                        <w:txbxContent>
                          <w:p>
                            <w:pPr>
                              <w:pStyle w:val="BodyText"/>
                              <w:numPr>
                                <w:ilvl w:val="0"/>
                                <w:numId w:val="16"/>
                              </w:numPr>
                              <w:tabs>
                                <w:tab w:pos="322" w:val="left" w:leader="none"/>
                              </w:tabs>
                              <w:spacing w:line="240" w:lineRule="auto" w:before="46" w:after="0"/>
                              <w:ind w:left="322" w:right="0" w:hanging="218"/>
                              <w:jc w:val="left"/>
                            </w:pPr>
                            <w:r>
                              <w:rPr>
                                <w:color w:val="231F1F"/>
                              </w:rPr>
                              <w:t>¿Qué</w:t>
                            </w:r>
                            <w:r>
                              <w:rPr>
                                <w:color w:val="231F1F"/>
                                <w:spacing w:val="37"/>
                              </w:rPr>
                              <w:t> </w:t>
                            </w:r>
                            <w:r>
                              <w:rPr>
                                <w:color w:val="231F1F"/>
                              </w:rPr>
                              <w:t>es</w:t>
                            </w:r>
                            <w:r>
                              <w:rPr>
                                <w:color w:val="231F1F"/>
                                <w:spacing w:val="40"/>
                              </w:rPr>
                              <w:t> </w:t>
                            </w:r>
                            <w:r>
                              <w:rPr>
                                <w:color w:val="231F1F"/>
                              </w:rPr>
                              <w:t>aconsejable</w:t>
                            </w:r>
                            <w:r>
                              <w:rPr>
                                <w:color w:val="231F1F"/>
                                <w:spacing w:val="41"/>
                              </w:rPr>
                              <w:t> </w:t>
                            </w:r>
                            <w:r>
                              <w:rPr>
                                <w:color w:val="231F1F"/>
                              </w:rPr>
                              <w:t>para</w:t>
                            </w:r>
                            <w:r>
                              <w:rPr>
                                <w:color w:val="231F1F"/>
                                <w:spacing w:val="38"/>
                              </w:rPr>
                              <w:t> </w:t>
                            </w:r>
                            <w:r>
                              <w:rPr>
                                <w:color w:val="231F1F"/>
                              </w:rPr>
                              <w:t>prevenir</w:t>
                            </w:r>
                            <w:r>
                              <w:rPr>
                                <w:color w:val="231F1F"/>
                                <w:spacing w:val="38"/>
                              </w:rPr>
                              <w:t> </w:t>
                            </w:r>
                            <w:r>
                              <w:rPr>
                                <w:color w:val="231F1F"/>
                              </w:rPr>
                              <w:t>la</w:t>
                            </w:r>
                            <w:r>
                              <w:rPr>
                                <w:color w:val="231F1F"/>
                                <w:spacing w:val="39"/>
                              </w:rPr>
                              <w:t> </w:t>
                            </w:r>
                            <w:r>
                              <w:rPr>
                                <w:color w:val="231F1F"/>
                              </w:rPr>
                              <w:t>cetosis</w:t>
                            </w:r>
                            <w:r>
                              <w:rPr>
                                <w:color w:val="231F1F"/>
                                <w:spacing w:val="40"/>
                              </w:rPr>
                              <w:t> </w:t>
                            </w:r>
                            <w:r>
                              <w:rPr>
                                <w:color w:val="231F1F"/>
                              </w:rPr>
                              <w:t>durante</w:t>
                            </w:r>
                            <w:r>
                              <w:rPr>
                                <w:color w:val="231F1F"/>
                                <w:spacing w:val="39"/>
                              </w:rPr>
                              <w:t> </w:t>
                            </w:r>
                            <w:r>
                              <w:rPr>
                                <w:color w:val="231F1F"/>
                              </w:rPr>
                              <w:t>el</w:t>
                            </w:r>
                            <w:r>
                              <w:rPr>
                                <w:color w:val="231F1F"/>
                                <w:spacing w:val="40"/>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717888;mso-wrap-distance-left:0;mso-wrap-distance-right:0" type="#_x0000_t202" id="docshape44" filled="false" stroked="true" strokeweight=".5pt" strokecolor="#a30046">
                <v:textbox inset="0,0,0,0">
                  <w:txbxContent>
                    <w:p>
                      <w:pPr>
                        <w:pStyle w:val="BodyText"/>
                        <w:numPr>
                          <w:ilvl w:val="0"/>
                          <w:numId w:val="16"/>
                        </w:numPr>
                        <w:tabs>
                          <w:tab w:pos="322" w:val="left" w:leader="none"/>
                        </w:tabs>
                        <w:spacing w:line="240" w:lineRule="auto" w:before="46" w:after="0"/>
                        <w:ind w:left="322" w:right="0" w:hanging="218"/>
                        <w:jc w:val="left"/>
                      </w:pPr>
                      <w:r>
                        <w:rPr>
                          <w:color w:val="231F1F"/>
                        </w:rPr>
                        <w:t>¿Qué</w:t>
                      </w:r>
                      <w:r>
                        <w:rPr>
                          <w:color w:val="231F1F"/>
                          <w:spacing w:val="37"/>
                        </w:rPr>
                        <w:t> </w:t>
                      </w:r>
                      <w:r>
                        <w:rPr>
                          <w:color w:val="231F1F"/>
                        </w:rPr>
                        <w:t>es</w:t>
                      </w:r>
                      <w:r>
                        <w:rPr>
                          <w:color w:val="231F1F"/>
                          <w:spacing w:val="40"/>
                        </w:rPr>
                        <w:t> </w:t>
                      </w:r>
                      <w:r>
                        <w:rPr>
                          <w:color w:val="231F1F"/>
                        </w:rPr>
                        <w:t>aconsejable</w:t>
                      </w:r>
                      <w:r>
                        <w:rPr>
                          <w:color w:val="231F1F"/>
                          <w:spacing w:val="41"/>
                        </w:rPr>
                        <w:t> </w:t>
                      </w:r>
                      <w:r>
                        <w:rPr>
                          <w:color w:val="231F1F"/>
                        </w:rPr>
                        <w:t>para</w:t>
                      </w:r>
                      <w:r>
                        <w:rPr>
                          <w:color w:val="231F1F"/>
                          <w:spacing w:val="38"/>
                        </w:rPr>
                        <w:t> </w:t>
                      </w:r>
                      <w:r>
                        <w:rPr>
                          <w:color w:val="231F1F"/>
                        </w:rPr>
                        <w:t>prevenir</w:t>
                      </w:r>
                      <w:r>
                        <w:rPr>
                          <w:color w:val="231F1F"/>
                          <w:spacing w:val="38"/>
                        </w:rPr>
                        <w:t> </w:t>
                      </w:r>
                      <w:r>
                        <w:rPr>
                          <w:color w:val="231F1F"/>
                        </w:rPr>
                        <w:t>la</w:t>
                      </w:r>
                      <w:r>
                        <w:rPr>
                          <w:color w:val="231F1F"/>
                          <w:spacing w:val="39"/>
                        </w:rPr>
                        <w:t> </w:t>
                      </w:r>
                      <w:r>
                        <w:rPr>
                          <w:color w:val="231F1F"/>
                        </w:rPr>
                        <w:t>cetosis</w:t>
                      </w:r>
                      <w:r>
                        <w:rPr>
                          <w:color w:val="231F1F"/>
                          <w:spacing w:val="40"/>
                        </w:rPr>
                        <w:t> </w:t>
                      </w:r>
                      <w:r>
                        <w:rPr>
                          <w:color w:val="231F1F"/>
                        </w:rPr>
                        <w:t>durante</w:t>
                      </w:r>
                      <w:r>
                        <w:rPr>
                          <w:color w:val="231F1F"/>
                          <w:spacing w:val="39"/>
                        </w:rPr>
                        <w:t> </w:t>
                      </w:r>
                      <w:r>
                        <w:rPr>
                          <w:color w:val="231F1F"/>
                        </w:rPr>
                        <w:t>el</w:t>
                      </w:r>
                      <w:r>
                        <w:rPr>
                          <w:color w:val="231F1F"/>
                          <w:spacing w:val="40"/>
                        </w:rPr>
                        <w:t> </w:t>
                      </w:r>
                      <w:r>
                        <w:rPr>
                          <w:color w:val="231F1F"/>
                          <w:spacing w:val="-2"/>
                        </w:rPr>
                        <w:t>parto</w:t>
                      </w:r>
                    </w:p>
                  </w:txbxContent>
                </v:textbox>
                <v:stroke dashstyle="solid"/>
                <w10:wrap type="topAndBottom"/>
              </v:shape>
            </w:pict>
          </mc:Fallback>
        </mc:AlternateContent>
      </w:r>
    </w:p>
    <w:p>
      <w:pPr>
        <w:pStyle w:val="BodyText"/>
        <w:spacing w:line="244" w:lineRule="auto" w:before="324"/>
        <w:ind w:left="283" w:right="117"/>
        <w:jc w:val="both"/>
      </w:pPr>
      <w:r>
        <w:rPr>
          <w:color w:val="231F1F"/>
          <w:w w:val="110"/>
        </w:rPr>
        <w:t>El desarrollo de cetosis durante el parto es motivo de preocupación ya que se cree que puede ocasionar náuseas, vómitos y cefaleas y ser causa de agotamiento materno. Se ha sugerido que una dieta ligera o la ingesta de fluidos con carbohidratos durante el parto puede reducir la producción de cuerpos cetónicos, aunque el aumento del volumen del contenido gástrico puede producir malestar.</w:t>
      </w:r>
    </w:p>
    <w:p>
      <w:pPr>
        <w:pStyle w:val="BodyText"/>
        <w:spacing w:before="165"/>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spacing w:line="244" w:lineRule="auto" w:before="210"/>
        <w:ind w:left="283" w:right="1369" w:firstLine="0"/>
        <w:jc w:val="both"/>
        <w:rPr>
          <w:sz w:val="22"/>
        </w:rPr>
      </w:pPr>
      <w:r>
        <w:rPr>
          <w:color w:val="231F1F"/>
          <w:w w:val="105"/>
          <w:sz w:val="22"/>
        </w:rPr>
        <w:t>La</w:t>
      </w:r>
      <w:r>
        <w:rPr>
          <w:color w:val="231F1F"/>
          <w:spacing w:val="22"/>
          <w:w w:val="105"/>
          <w:sz w:val="22"/>
        </w:rPr>
        <w:t> </w:t>
      </w:r>
      <w:r>
        <w:rPr>
          <w:color w:val="231F1F"/>
          <w:w w:val="105"/>
          <w:sz w:val="22"/>
        </w:rPr>
        <w:t>evidencia</w:t>
      </w:r>
      <w:r>
        <w:rPr>
          <w:color w:val="231F1F"/>
          <w:spacing w:val="22"/>
          <w:w w:val="105"/>
          <w:sz w:val="22"/>
        </w:rPr>
        <w:t> </w:t>
      </w:r>
      <w:r>
        <w:rPr>
          <w:color w:val="231F1F"/>
          <w:w w:val="105"/>
          <w:sz w:val="22"/>
        </w:rPr>
        <w:t>publicada</w:t>
      </w:r>
      <w:r>
        <w:rPr>
          <w:color w:val="231F1F"/>
          <w:spacing w:val="21"/>
          <w:w w:val="105"/>
          <w:sz w:val="22"/>
        </w:rPr>
        <w:t> </w:t>
      </w:r>
      <w:r>
        <w:rPr>
          <w:color w:val="231F1F"/>
          <w:w w:val="105"/>
          <w:sz w:val="22"/>
        </w:rPr>
        <w:t>en</w:t>
      </w:r>
      <w:r>
        <w:rPr>
          <w:color w:val="231F1F"/>
          <w:spacing w:val="22"/>
          <w:w w:val="105"/>
          <w:sz w:val="22"/>
        </w:rPr>
        <w:t> </w:t>
      </w:r>
      <w:r>
        <w:rPr>
          <w:color w:val="231F1F"/>
          <w:w w:val="105"/>
          <w:sz w:val="22"/>
        </w:rPr>
        <w:t>la</w:t>
      </w:r>
      <w:r>
        <w:rPr>
          <w:color w:val="231F1F"/>
          <w:spacing w:val="21"/>
          <w:w w:val="105"/>
          <w:sz w:val="22"/>
        </w:rPr>
        <w:t> </w:t>
      </w:r>
      <w:r>
        <w:rPr>
          <w:color w:val="231F1F"/>
          <w:w w:val="105"/>
          <w:sz w:val="22"/>
        </w:rPr>
        <w:t>guía</w:t>
      </w:r>
      <w:r>
        <w:rPr>
          <w:color w:val="231F1F"/>
          <w:spacing w:val="22"/>
          <w:w w:val="105"/>
          <w:sz w:val="22"/>
        </w:rPr>
        <w:t> </w:t>
      </w:r>
      <w:r>
        <w:rPr>
          <w:color w:val="231F1F"/>
          <w:w w:val="105"/>
          <w:sz w:val="22"/>
        </w:rPr>
        <w:t>NICE</w:t>
      </w:r>
      <w:r>
        <w:rPr>
          <w:color w:val="231F1F"/>
          <w:spacing w:val="22"/>
          <w:w w:val="105"/>
          <w:sz w:val="22"/>
        </w:rPr>
        <w:t> </w:t>
      </w:r>
      <w:r>
        <w:rPr>
          <w:color w:val="231F1F"/>
          <w:w w:val="105"/>
          <w:sz w:val="22"/>
        </w:rPr>
        <w:t>(10)</w:t>
      </w:r>
      <w:r>
        <w:rPr>
          <w:color w:val="231F1F"/>
          <w:spacing w:val="21"/>
          <w:w w:val="105"/>
          <w:sz w:val="22"/>
        </w:rPr>
        <w:t> </w:t>
      </w:r>
      <w:r>
        <w:rPr>
          <w:color w:val="231F1F"/>
          <w:w w:val="105"/>
          <w:sz w:val="22"/>
        </w:rPr>
        <w:t>recoge</w:t>
      </w:r>
      <w:r>
        <w:rPr>
          <w:color w:val="231F1F"/>
          <w:spacing w:val="22"/>
          <w:w w:val="105"/>
          <w:sz w:val="22"/>
        </w:rPr>
        <w:t> </w:t>
      </w:r>
      <w:r>
        <w:rPr>
          <w:color w:val="231F1F"/>
          <w:w w:val="105"/>
          <w:sz w:val="22"/>
        </w:rPr>
        <w:t>estudios</w:t>
      </w:r>
      <w:r>
        <w:rPr>
          <w:color w:val="231F1F"/>
          <w:spacing w:val="22"/>
          <w:w w:val="105"/>
          <w:sz w:val="22"/>
        </w:rPr>
        <w:t> </w:t>
      </w:r>
      <w:r>
        <w:rPr>
          <w:color w:val="231F1F"/>
          <w:w w:val="105"/>
          <w:sz w:val="22"/>
        </w:rPr>
        <w:t>que</w:t>
      </w:r>
      <w:r>
        <w:rPr>
          <w:color w:val="231F1F"/>
          <w:spacing w:val="22"/>
          <w:w w:val="105"/>
          <w:sz w:val="22"/>
        </w:rPr>
        <w:t> </w:t>
      </w:r>
      <w:r>
        <w:rPr>
          <w:color w:val="231F1F"/>
          <w:w w:val="105"/>
          <w:sz w:val="22"/>
        </w:rPr>
        <w:t>comparan el efecto de la </w:t>
      </w:r>
      <w:r>
        <w:rPr>
          <w:i/>
          <w:color w:val="231F1F"/>
          <w:w w:val="105"/>
          <w:sz w:val="22"/>
        </w:rPr>
        <w:t>ingesta</w:t>
      </w:r>
      <w:r>
        <w:rPr>
          <w:i/>
          <w:color w:val="231F1F"/>
          <w:spacing w:val="-1"/>
          <w:w w:val="105"/>
          <w:sz w:val="22"/>
        </w:rPr>
        <w:t> </w:t>
      </w:r>
      <w:r>
        <w:rPr>
          <w:i/>
          <w:color w:val="231F1F"/>
          <w:w w:val="105"/>
          <w:sz w:val="22"/>
        </w:rPr>
        <w:t>de</w:t>
      </w:r>
      <w:r>
        <w:rPr>
          <w:i/>
          <w:color w:val="231F1F"/>
          <w:spacing w:val="-1"/>
          <w:w w:val="105"/>
          <w:sz w:val="22"/>
        </w:rPr>
        <w:t> </w:t>
      </w:r>
      <w:r>
        <w:rPr>
          <w:i/>
          <w:color w:val="231F1F"/>
          <w:w w:val="105"/>
          <w:sz w:val="22"/>
        </w:rPr>
        <w:t>soluciones</w:t>
      </w:r>
      <w:r>
        <w:rPr>
          <w:i/>
          <w:color w:val="231F1F"/>
          <w:spacing w:val="-1"/>
          <w:w w:val="105"/>
          <w:sz w:val="22"/>
        </w:rPr>
        <w:t> </w:t>
      </w:r>
      <w:r>
        <w:rPr>
          <w:i/>
          <w:color w:val="231F1F"/>
          <w:w w:val="105"/>
          <w:sz w:val="22"/>
        </w:rPr>
        <w:t>carbohidratadas</w:t>
      </w:r>
      <w:r>
        <w:rPr>
          <w:i/>
          <w:color w:val="231F1F"/>
          <w:spacing w:val="-1"/>
          <w:w w:val="105"/>
          <w:sz w:val="22"/>
        </w:rPr>
        <w:t> </w:t>
      </w:r>
      <w:r>
        <w:rPr>
          <w:i/>
          <w:color w:val="231F1F"/>
          <w:w w:val="105"/>
          <w:sz w:val="22"/>
        </w:rPr>
        <w:t>frente</w:t>
      </w:r>
      <w:r>
        <w:rPr>
          <w:i/>
          <w:color w:val="231F1F"/>
          <w:spacing w:val="-1"/>
          <w:w w:val="105"/>
          <w:sz w:val="22"/>
        </w:rPr>
        <w:t> </w:t>
      </w:r>
      <w:r>
        <w:rPr>
          <w:i/>
          <w:color w:val="231F1F"/>
          <w:w w:val="105"/>
          <w:sz w:val="22"/>
        </w:rPr>
        <w:t>a</w:t>
      </w:r>
      <w:r>
        <w:rPr>
          <w:i/>
          <w:color w:val="231F1F"/>
          <w:spacing w:val="-1"/>
          <w:w w:val="105"/>
          <w:sz w:val="22"/>
        </w:rPr>
        <w:t> </w:t>
      </w:r>
      <w:r>
        <w:rPr>
          <w:i/>
          <w:color w:val="231F1F"/>
          <w:w w:val="105"/>
          <w:sz w:val="22"/>
        </w:rPr>
        <w:t>placebo</w:t>
      </w:r>
      <w:r>
        <w:rPr>
          <w:i/>
          <w:color w:val="231F1F"/>
          <w:spacing w:val="-1"/>
          <w:w w:val="105"/>
          <w:sz w:val="22"/>
        </w:rPr>
        <w:t> </w:t>
      </w:r>
      <w:r>
        <w:rPr>
          <w:color w:val="231F1F"/>
          <w:w w:val="105"/>
          <w:sz w:val="22"/>
        </w:rPr>
        <w:t>y de la ingesta de las </w:t>
      </w:r>
      <w:r>
        <w:rPr>
          <w:i/>
          <w:color w:val="231F1F"/>
          <w:w w:val="105"/>
          <w:sz w:val="22"/>
        </w:rPr>
        <w:t>bebidas</w:t>
      </w:r>
      <w:r>
        <w:rPr>
          <w:i/>
          <w:color w:val="231F1F"/>
          <w:spacing w:val="-6"/>
          <w:w w:val="105"/>
          <w:sz w:val="22"/>
        </w:rPr>
        <w:t> </w:t>
      </w:r>
      <w:r>
        <w:rPr>
          <w:i/>
          <w:color w:val="231F1F"/>
          <w:w w:val="105"/>
          <w:sz w:val="22"/>
        </w:rPr>
        <w:t>isotónicas</w:t>
      </w:r>
      <w:r>
        <w:rPr>
          <w:i/>
          <w:color w:val="231F1F"/>
          <w:spacing w:val="-6"/>
          <w:w w:val="105"/>
          <w:sz w:val="22"/>
        </w:rPr>
        <w:t> </w:t>
      </w:r>
      <w:r>
        <w:rPr>
          <w:i/>
          <w:color w:val="231F1F"/>
          <w:w w:val="105"/>
          <w:sz w:val="22"/>
        </w:rPr>
        <w:t>frente</w:t>
      </w:r>
      <w:r>
        <w:rPr>
          <w:i/>
          <w:color w:val="231F1F"/>
          <w:spacing w:val="-6"/>
          <w:w w:val="105"/>
          <w:sz w:val="22"/>
        </w:rPr>
        <w:t> </w:t>
      </w:r>
      <w:r>
        <w:rPr>
          <w:i/>
          <w:color w:val="231F1F"/>
          <w:w w:val="105"/>
          <w:sz w:val="22"/>
        </w:rPr>
        <w:t>a</w:t>
      </w:r>
      <w:r>
        <w:rPr>
          <w:i/>
          <w:color w:val="231F1F"/>
          <w:spacing w:val="-6"/>
          <w:w w:val="105"/>
          <w:sz w:val="22"/>
        </w:rPr>
        <w:t> </w:t>
      </w:r>
      <w:r>
        <w:rPr>
          <w:i/>
          <w:color w:val="231F1F"/>
          <w:w w:val="105"/>
          <w:sz w:val="22"/>
        </w:rPr>
        <w:t>agua.</w:t>
      </w:r>
      <w:r>
        <w:rPr>
          <w:i/>
          <w:color w:val="231F1F"/>
          <w:spacing w:val="-7"/>
          <w:w w:val="105"/>
          <w:sz w:val="22"/>
        </w:rPr>
        <w:t> </w:t>
      </w:r>
      <w:r>
        <w:rPr>
          <w:color w:val="231F1F"/>
          <w:w w:val="105"/>
          <w:sz w:val="22"/>
        </w:rPr>
        <w:t>Las medidas de resultado fue- ron</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balance</w:t>
      </w:r>
      <w:r>
        <w:rPr>
          <w:color w:val="231F1F"/>
          <w:spacing w:val="40"/>
          <w:w w:val="105"/>
          <w:sz w:val="22"/>
        </w:rPr>
        <w:t> </w:t>
      </w:r>
      <w:r>
        <w:rPr>
          <w:color w:val="231F1F"/>
          <w:w w:val="105"/>
          <w:sz w:val="22"/>
        </w:rPr>
        <w:t>ácido-base</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feto</w:t>
      </w:r>
      <w:r>
        <w:rPr>
          <w:color w:val="231F1F"/>
          <w:spacing w:val="40"/>
          <w:w w:val="105"/>
          <w:sz w:val="22"/>
        </w:rPr>
        <w:t> </w:t>
      </w:r>
      <w:r>
        <w:rPr>
          <w:color w:val="231F1F"/>
          <w:w w:val="105"/>
          <w:sz w:val="22"/>
        </w:rPr>
        <w:t>y</w:t>
      </w:r>
      <w:r>
        <w:rPr>
          <w:color w:val="231F1F"/>
          <w:spacing w:val="40"/>
          <w:w w:val="105"/>
          <w:sz w:val="22"/>
        </w:rPr>
        <w:t> </w:t>
      </w:r>
      <w:r>
        <w:rPr>
          <w:color w:val="231F1F"/>
          <w:w w:val="105"/>
          <w:sz w:val="22"/>
        </w:rPr>
        <w:t>neonato,</w:t>
      </w:r>
      <w:r>
        <w:rPr>
          <w:color w:val="231F1F"/>
          <w:spacing w:val="40"/>
          <w:w w:val="105"/>
          <w:sz w:val="22"/>
        </w:rPr>
        <w:t> </w:t>
      </w:r>
      <w:r>
        <w:rPr>
          <w:color w:val="231F1F"/>
          <w:w w:val="105"/>
          <w:sz w:val="22"/>
        </w:rPr>
        <w:t>y</w:t>
      </w:r>
      <w:r>
        <w:rPr>
          <w:color w:val="231F1F"/>
          <w:spacing w:val="40"/>
          <w:w w:val="105"/>
          <w:sz w:val="22"/>
        </w:rPr>
        <w:t> </w:t>
      </w:r>
      <w:r>
        <w:rPr>
          <w:color w:val="231F1F"/>
          <w:w w:val="105"/>
          <w:sz w:val="22"/>
        </w:rPr>
        <w:t>resultados</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p>
    <w:p>
      <w:pPr>
        <w:pStyle w:val="BodyText"/>
        <w:spacing w:before="163"/>
      </w:pPr>
    </w:p>
    <w:p>
      <w:pPr>
        <w:spacing w:before="1"/>
        <w:ind w:left="283" w:right="0" w:firstLine="0"/>
        <w:jc w:val="both"/>
        <w:rPr>
          <w:rFonts w:ascii="Arial MT"/>
          <w:sz w:val="24"/>
        </w:rPr>
      </w:pPr>
      <w:r>
        <w:rPr>
          <w:rFonts w:ascii="Arial MT"/>
          <w:color w:val="231F1F"/>
          <w:w w:val="105"/>
          <w:sz w:val="24"/>
        </w:rPr>
        <w:t>Soluciones</w:t>
      </w:r>
      <w:r>
        <w:rPr>
          <w:rFonts w:ascii="Arial MT"/>
          <w:color w:val="231F1F"/>
          <w:spacing w:val="-12"/>
          <w:w w:val="105"/>
          <w:sz w:val="24"/>
        </w:rPr>
        <w:t> </w:t>
      </w:r>
      <w:r>
        <w:rPr>
          <w:rFonts w:ascii="Arial MT"/>
          <w:color w:val="231F1F"/>
          <w:w w:val="105"/>
          <w:sz w:val="24"/>
        </w:rPr>
        <w:t>de</w:t>
      </w:r>
      <w:r>
        <w:rPr>
          <w:rFonts w:ascii="Arial MT"/>
          <w:color w:val="231F1F"/>
          <w:spacing w:val="-9"/>
          <w:w w:val="105"/>
          <w:sz w:val="24"/>
        </w:rPr>
        <w:t> </w:t>
      </w:r>
      <w:r>
        <w:rPr>
          <w:rFonts w:ascii="Arial MT"/>
          <w:color w:val="231F1F"/>
          <w:w w:val="105"/>
          <w:sz w:val="24"/>
        </w:rPr>
        <w:t>carbohidratos</w:t>
      </w:r>
      <w:r>
        <w:rPr>
          <w:rFonts w:ascii="Arial MT"/>
          <w:color w:val="231F1F"/>
          <w:spacing w:val="-10"/>
          <w:w w:val="105"/>
          <w:sz w:val="24"/>
        </w:rPr>
        <w:t> </w:t>
      </w:r>
      <w:r>
        <w:rPr>
          <w:rFonts w:ascii="Arial MT"/>
          <w:color w:val="231F1F"/>
          <w:w w:val="105"/>
          <w:sz w:val="24"/>
        </w:rPr>
        <w:t>vs</w:t>
      </w:r>
      <w:r>
        <w:rPr>
          <w:rFonts w:ascii="Arial MT"/>
          <w:color w:val="231F1F"/>
          <w:spacing w:val="-9"/>
          <w:w w:val="105"/>
          <w:sz w:val="24"/>
        </w:rPr>
        <w:t> </w:t>
      </w:r>
      <w:r>
        <w:rPr>
          <w:rFonts w:ascii="Arial MT"/>
          <w:color w:val="231F1F"/>
          <w:spacing w:val="-2"/>
          <w:w w:val="105"/>
          <w:sz w:val="24"/>
        </w:rPr>
        <w:t>placebo</w:t>
      </w:r>
    </w:p>
    <w:p>
      <w:pPr>
        <w:pStyle w:val="BodyText"/>
        <w:spacing w:line="247" w:lineRule="auto" w:before="214"/>
        <w:ind w:left="283" w:right="1357"/>
        <w:jc w:val="both"/>
      </w:pPr>
      <w:r>
        <w:rPr>
          <w:color w:val="231F1F"/>
          <w:w w:val="110"/>
        </w:rPr>
        <w:t>Para</w:t>
      </w:r>
      <w:r>
        <w:rPr>
          <w:color w:val="231F1F"/>
          <w:w w:val="110"/>
        </w:rPr>
        <w:t> responder</w:t>
      </w:r>
      <w:r>
        <w:rPr>
          <w:color w:val="231F1F"/>
          <w:w w:val="110"/>
        </w:rPr>
        <w:t> este</w:t>
      </w:r>
      <w:r>
        <w:rPr>
          <w:color w:val="231F1F"/>
          <w:w w:val="110"/>
        </w:rPr>
        <w:t> apartado</w:t>
      </w:r>
      <w:r>
        <w:rPr>
          <w:color w:val="231F1F"/>
          <w:w w:val="110"/>
        </w:rPr>
        <w:t> se</w:t>
      </w:r>
      <w:r>
        <w:rPr>
          <w:color w:val="231F1F"/>
          <w:w w:val="110"/>
        </w:rPr>
        <w:t> incluyeron</w:t>
      </w:r>
      <w:r>
        <w:rPr>
          <w:color w:val="231F1F"/>
          <w:w w:val="110"/>
        </w:rPr>
        <w:t> tres</w:t>
      </w:r>
      <w:r>
        <w:rPr>
          <w:color w:val="231F1F"/>
          <w:w w:val="110"/>
        </w:rPr>
        <w:t> ensayos</w:t>
      </w:r>
      <w:r>
        <w:rPr>
          <w:color w:val="231F1F"/>
          <w:w w:val="110"/>
        </w:rPr>
        <w:t> controlados</w:t>
      </w:r>
      <w:r>
        <w:rPr>
          <w:color w:val="231F1F"/>
          <w:w w:val="110"/>
        </w:rPr>
        <w:t> y aleatorizados</w:t>
      </w:r>
      <w:r>
        <w:rPr>
          <w:color w:val="231F1F"/>
          <w:spacing w:val="-16"/>
          <w:w w:val="110"/>
        </w:rPr>
        <w:t> </w:t>
      </w:r>
      <w:r>
        <w:rPr>
          <w:color w:val="231F1F"/>
          <w:w w:val="110"/>
        </w:rPr>
        <w:t>(19-21),</w:t>
      </w:r>
      <w:r>
        <w:rPr>
          <w:color w:val="231F1F"/>
          <w:spacing w:val="-15"/>
          <w:w w:val="110"/>
        </w:rPr>
        <w:t> </w:t>
      </w:r>
      <w:r>
        <w:rPr>
          <w:color w:val="231F1F"/>
          <w:w w:val="110"/>
        </w:rPr>
        <w:t>realizados</w:t>
      </w:r>
      <w:r>
        <w:rPr>
          <w:color w:val="231F1F"/>
          <w:spacing w:val="-15"/>
          <w:w w:val="110"/>
        </w:rPr>
        <w:t> </w:t>
      </w:r>
      <w:r>
        <w:rPr>
          <w:color w:val="231F1F"/>
          <w:w w:val="110"/>
        </w:rPr>
        <w:t>por</w:t>
      </w:r>
      <w:r>
        <w:rPr>
          <w:color w:val="231F1F"/>
          <w:spacing w:val="-15"/>
          <w:w w:val="110"/>
        </w:rPr>
        <w:t> </w:t>
      </w:r>
      <w:r>
        <w:rPr>
          <w:color w:val="231F1F"/>
          <w:w w:val="110"/>
        </w:rPr>
        <w:t>los</w:t>
      </w:r>
      <w:r>
        <w:rPr>
          <w:color w:val="231F1F"/>
          <w:spacing w:val="-15"/>
          <w:w w:val="110"/>
        </w:rPr>
        <w:t> </w:t>
      </w:r>
      <w:r>
        <w:rPr>
          <w:color w:val="231F1F"/>
          <w:w w:val="110"/>
        </w:rPr>
        <w:t>mismos</w:t>
      </w:r>
      <w:r>
        <w:rPr>
          <w:color w:val="231F1F"/>
          <w:spacing w:val="-15"/>
          <w:w w:val="110"/>
        </w:rPr>
        <w:t> </w:t>
      </w:r>
      <w:r>
        <w:rPr>
          <w:color w:val="231F1F"/>
          <w:w w:val="110"/>
        </w:rPr>
        <w:t>investigadores</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6"/>
          <w:w w:val="110"/>
        </w:rPr>
        <w:t> </w:t>
      </w:r>
      <w:r>
        <w:rPr>
          <w:color w:val="231F1F"/>
          <w:w w:val="110"/>
        </w:rPr>
        <w:t>mismo hospital</w:t>
      </w:r>
      <w:r>
        <w:rPr>
          <w:color w:val="231F1F"/>
          <w:w w:val="110"/>
        </w:rPr>
        <w:t> de</w:t>
      </w:r>
      <w:r>
        <w:rPr>
          <w:color w:val="231F1F"/>
          <w:w w:val="110"/>
        </w:rPr>
        <w:t> Holanda</w:t>
      </w:r>
      <w:r>
        <w:rPr>
          <w:color w:val="231F1F"/>
          <w:w w:val="110"/>
        </w:rPr>
        <w:t> (Leyenburg</w:t>
      </w:r>
      <w:r>
        <w:rPr>
          <w:color w:val="231F1F"/>
          <w:w w:val="110"/>
        </w:rPr>
        <w:t> Hospital).</w:t>
      </w:r>
      <w:r>
        <w:rPr>
          <w:color w:val="231F1F"/>
          <w:w w:val="110"/>
        </w:rPr>
        <w:t> En</w:t>
      </w:r>
      <w:r>
        <w:rPr>
          <w:color w:val="231F1F"/>
          <w:w w:val="110"/>
        </w:rPr>
        <w:t> el</w:t>
      </w:r>
      <w:r>
        <w:rPr>
          <w:color w:val="231F1F"/>
          <w:w w:val="110"/>
        </w:rPr>
        <w:t> primero</w:t>
      </w:r>
      <w:r>
        <w:rPr>
          <w:color w:val="231F1F"/>
          <w:w w:val="110"/>
        </w:rPr>
        <w:t> (19)</w:t>
      </w:r>
      <w:r>
        <w:rPr>
          <w:color w:val="231F1F"/>
          <w:w w:val="110"/>
        </w:rPr>
        <w:t> (incluido también en el metaanálisis de Cochrane seleccionado en la pregunta ante- rior (18)) se incluyeron 201 mujeres nulíparas con una dilatación cervical de 2-4 cm</w:t>
      </w:r>
      <w:r>
        <w:rPr>
          <w:color w:val="231F1F"/>
          <w:w w:val="110"/>
        </w:rPr>
        <w:t> aleatorizándolas a dos grupos de estudio (solución de carbohi- dratos n=102; placebo n=99). Las mujeres podían consumir pequeñas can- tidades</w:t>
      </w:r>
      <w:r>
        <w:rPr>
          <w:color w:val="231F1F"/>
          <w:spacing w:val="-16"/>
          <w:w w:val="110"/>
        </w:rPr>
        <w:t> </w:t>
      </w:r>
      <w:r>
        <w:rPr>
          <w:color w:val="231F1F"/>
          <w:w w:val="110"/>
        </w:rPr>
        <w:t>estandarizadas</w:t>
      </w:r>
      <w:r>
        <w:rPr>
          <w:color w:val="231F1F"/>
          <w:spacing w:val="-15"/>
          <w:w w:val="110"/>
        </w:rPr>
        <w:t> </w:t>
      </w:r>
      <w:r>
        <w:rPr>
          <w:color w:val="231F1F"/>
          <w:w w:val="110"/>
        </w:rPr>
        <w:t>de</w:t>
      </w:r>
      <w:r>
        <w:rPr>
          <w:color w:val="231F1F"/>
          <w:spacing w:val="-15"/>
          <w:w w:val="110"/>
        </w:rPr>
        <w:t> </w:t>
      </w:r>
      <w:r>
        <w:rPr>
          <w:color w:val="231F1F"/>
          <w:w w:val="110"/>
        </w:rPr>
        <w:t>comida</w:t>
      </w:r>
      <w:r>
        <w:rPr>
          <w:color w:val="231F1F"/>
          <w:spacing w:val="-15"/>
          <w:w w:val="110"/>
        </w:rPr>
        <w:t> </w:t>
      </w:r>
      <w:r>
        <w:rPr>
          <w:color w:val="231F1F"/>
          <w:w w:val="110"/>
        </w:rPr>
        <w:t>y</w:t>
      </w:r>
      <w:r>
        <w:rPr>
          <w:color w:val="231F1F"/>
          <w:spacing w:val="-15"/>
          <w:w w:val="110"/>
        </w:rPr>
        <w:t> </w:t>
      </w:r>
      <w:r>
        <w:rPr>
          <w:color w:val="231F1F"/>
          <w:w w:val="110"/>
        </w:rPr>
        <w:t>bebida</w:t>
      </w:r>
      <w:r>
        <w:rPr>
          <w:color w:val="231F1F"/>
          <w:spacing w:val="-15"/>
          <w:w w:val="110"/>
        </w:rPr>
        <w:t> </w:t>
      </w:r>
      <w:r>
        <w:rPr>
          <w:color w:val="231F1F"/>
          <w:w w:val="110"/>
        </w:rPr>
        <w:t>a</w:t>
      </w:r>
      <w:r>
        <w:rPr>
          <w:color w:val="231F1F"/>
          <w:spacing w:val="-15"/>
          <w:w w:val="110"/>
        </w:rPr>
        <w:t> </w:t>
      </w:r>
      <w:r>
        <w:rPr>
          <w:color w:val="231F1F"/>
          <w:w w:val="110"/>
        </w:rPr>
        <w:t>petición,</w:t>
      </w:r>
      <w:r>
        <w:rPr>
          <w:color w:val="231F1F"/>
          <w:spacing w:val="-15"/>
          <w:w w:val="110"/>
        </w:rPr>
        <w:t> </w:t>
      </w:r>
      <w:r>
        <w:rPr>
          <w:color w:val="231F1F"/>
          <w:w w:val="110"/>
        </w:rPr>
        <w:t>calculando</w:t>
      </w:r>
      <w:r>
        <w:rPr>
          <w:color w:val="231F1F"/>
          <w:spacing w:val="-16"/>
          <w:w w:val="110"/>
        </w:rPr>
        <w:t> </w:t>
      </w:r>
      <w:r>
        <w:rPr>
          <w:color w:val="231F1F"/>
          <w:w w:val="110"/>
        </w:rPr>
        <w:t>la</w:t>
      </w:r>
      <w:r>
        <w:rPr>
          <w:color w:val="231F1F"/>
          <w:spacing w:val="-15"/>
          <w:w w:val="110"/>
        </w:rPr>
        <w:t> </w:t>
      </w:r>
      <w:r>
        <w:rPr>
          <w:color w:val="231F1F"/>
          <w:w w:val="110"/>
        </w:rPr>
        <w:t>cantidad total</w:t>
      </w:r>
      <w:r>
        <w:rPr>
          <w:color w:val="231F1F"/>
          <w:w w:val="110"/>
        </w:rPr>
        <w:t> de</w:t>
      </w:r>
      <w:r>
        <w:rPr>
          <w:color w:val="231F1F"/>
          <w:w w:val="110"/>
        </w:rPr>
        <w:t> kilojulios</w:t>
      </w:r>
      <w:r>
        <w:rPr>
          <w:color w:val="231F1F"/>
          <w:w w:val="110"/>
        </w:rPr>
        <w:t> consumidos</w:t>
      </w:r>
      <w:r>
        <w:rPr>
          <w:color w:val="231F1F"/>
          <w:w w:val="110"/>
        </w:rPr>
        <w:t> para</w:t>
      </w:r>
      <w:r>
        <w:rPr>
          <w:color w:val="231F1F"/>
          <w:w w:val="110"/>
        </w:rPr>
        <w:t> cada</w:t>
      </w:r>
      <w:r>
        <w:rPr>
          <w:color w:val="231F1F"/>
          <w:w w:val="110"/>
        </w:rPr>
        <w:t> mujer</w:t>
      </w:r>
      <w:r>
        <w:rPr>
          <w:color w:val="231F1F"/>
          <w:w w:val="110"/>
        </w:rPr>
        <w:t> al</w:t>
      </w:r>
      <w:r>
        <w:rPr>
          <w:color w:val="231F1F"/>
          <w:w w:val="110"/>
        </w:rPr>
        <w:t> final</w:t>
      </w:r>
      <w:r>
        <w:rPr>
          <w:color w:val="231F1F"/>
          <w:w w:val="110"/>
        </w:rPr>
        <w:t> del</w:t>
      </w:r>
      <w:r>
        <w:rPr>
          <w:color w:val="231F1F"/>
          <w:w w:val="110"/>
        </w:rPr>
        <w:t> estudio.</w:t>
      </w:r>
      <w:r>
        <w:rPr>
          <w:color w:val="231F1F"/>
          <w:w w:val="110"/>
        </w:rPr>
        <w:t> En</w:t>
      </w:r>
      <w:r>
        <w:rPr>
          <w:color w:val="231F1F"/>
          <w:w w:val="110"/>
        </w:rPr>
        <w:t> el segundo (20) reclutaron 202 mujeres nulíparas con una dilatación cervical de</w:t>
      </w:r>
      <w:r>
        <w:rPr>
          <w:color w:val="231F1F"/>
          <w:spacing w:val="-8"/>
          <w:w w:val="110"/>
        </w:rPr>
        <w:t> </w:t>
      </w:r>
      <w:r>
        <w:rPr>
          <w:color w:val="231F1F"/>
          <w:w w:val="110"/>
        </w:rPr>
        <w:t>8-10</w:t>
      </w:r>
      <w:r>
        <w:rPr>
          <w:color w:val="231F1F"/>
          <w:spacing w:val="-9"/>
          <w:w w:val="110"/>
        </w:rPr>
        <w:t> </w:t>
      </w:r>
      <w:r>
        <w:rPr>
          <w:color w:val="231F1F"/>
          <w:w w:val="110"/>
        </w:rPr>
        <w:t>cm</w:t>
      </w:r>
      <w:r>
        <w:rPr>
          <w:color w:val="231F1F"/>
          <w:spacing w:val="-8"/>
          <w:w w:val="110"/>
        </w:rPr>
        <w:t> </w:t>
      </w:r>
      <w:r>
        <w:rPr>
          <w:color w:val="231F1F"/>
          <w:w w:val="110"/>
        </w:rPr>
        <w:t>(solución</w:t>
      </w:r>
      <w:r>
        <w:rPr>
          <w:color w:val="231F1F"/>
          <w:spacing w:val="-9"/>
          <w:w w:val="110"/>
        </w:rPr>
        <w:t> </w:t>
      </w:r>
      <w:r>
        <w:rPr>
          <w:color w:val="231F1F"/>
          <w:w w:val="110"/>
        </w:rPr>
        <w:t>de</w:t>
      </w:r>
      <w:r>
        <w:rPr>
          <w:color w:val="231F1F"/>
          <w:spacing w:val="-8"/>
          <w:w w:val="110"/>
        </w:rPr>
        <w:t> </w:t>
      </w:r>
      <w:r>
        <w:rPr>
          <w:color w:val="231F1F"/>
          <w:w w:val="110"/>
        </w:rPr>
        <w:t>carbohidratos</w:t>
      </w:r>
      <w:r>
        <w:rPr>
          <w:color w:val="231F1F"/>
          <w:spacing w:val="-9"/>
          <w:w w:val="110"/>
        </w:rPr>
        <w:t> </w:t>
      </w:r>
      <w:r>
        <w:rPr>
          <w:color w:val="231F1F"/>
          <w:w w:val="110"/>
        </w:rPr>
        <w:t>n=100;</w:t>
      </w:r>
      <w:r>
        <w:rPr>
          <w:color w:val="231F1F"/>
          <w:spacing w:val="-9"/>
          <w:w w:val="110"/>
        </w:rPr>
        <w:t> </w:t>
      </w:r>
      <w:r>
        <w:rPr>
          <w:color w:val="231F1F"/>
          <w:w w:val="110"/>
        </w:rPr>
        <w:t>placebo</w:t>
      </w:r>
      <w:r>
        <w:rPr>
          <w:color w:val="231F1F"/>
          <w:spacing w:val="-9"/>
          <w:w w:val="110"/>
        </w:rPr>
        <w:t> </w:t>
      </w:r>
      <w:r>
        <w:rPr>
          <w:color w:val="231F1F"/>
          <w:w w:val="110"/>
        </w:rPr>
        <w:t>n=102)</w:t>
      </w:r>
      <w:r>
        <w:rPr>
          <w:color w:val="231F1F"/>
          <w:spacing w:val="-9"/>
          <w:w w:val="110"/>
        </w:rPr>
        <w:t> </w:t>
      </w:r>
      <w:r>
        <w:rPr>
          <w:color w:val="231F1F"/>
          <w:w w:val="110"/>
        </w:rPr>
        <w:t>y</w:t>
      </w:r>
      <w:r>
        <w:rPr>
          <w:color w:val="231F1F"/>
          <w:spacing w:val="-8"/>
          <w:w w:val="110"/>
        </w:rPr>
        <w:t> </w:t>
      </w:r>
      <w:r>
        <w:rPr>
          <w:color w:val="231F1F"/>
          <w:w w:val="110"/>
        </w:rPr>
        <w:t>a</w:t>
      </w:r>
      <w:r>
        <w:rPr>
          <w:color w:val="231F1F"/>
          <w:spacing w:val="-9"/>
          <w:w w:val="110"/>
        </w:rPr>
        <w:t> </w:t>
      </w:r>
      <w:r>
        <w:rPr>
          <w:color w:val="231F1F"/>
          <w:w w:val="110"/>
        </w:rPr>
        <w:t>las</w:t>
      </w:r>
      <w:r>
        <w:rPr>
          <w:color w:val="231F1F"/>
          <w:spacing w:val="-8"/>
          <w:w w:val="110"/>
        </w:rPr>
        <w:t> </w:t>
      </w:r>
      <w:r>
        <w:rPr>
          <w:color w:val="231F1F"/>
          <w:w w:val="110"/>
        </w:rPr>
        <w:t>muje- res</w:t>
      </w:r>
      <w:r>
        <w:rPr>
          <w:color w:val="231F1F"/>
          <w:w w:val="110"/>
        </w:rPr>
        <w:t> no</w:t>
      </w:r>
      <w:r>
        <w:rPr>
          <w:color w:val="231F1F"/>
          <w:w w:val="110"/>
        </w:rPr>
        <w:t> se</w:t>
      </w:r>
      <w:r>
        <w:rPr>
          <w:color w:val="231F1F"/>
          <w:w w:val="110"/>
        </w:rPr>
        <w:t> les</w:t>
      </w:r>
      <w:r>
        <w:rPr>
          <w:color w:val="231F1F"/>
          <w:w w:val="110"/>
        </w:rPr>
        <w:t> permitía</w:t>
      </w:r>
      <w:r>
        <w:rPr>
          <w:color w:val="231F1F"/>
          <w:w w:val="110"/>
        </w:rPr>
        <w:t> tomar</w:t>
      </w:r>
      <w:r>
        <w:rPr>
          <w:color w:val="231F1F"/>
          <w:w w:val="110"/>
        </w:rPr>
        <w:t> ninguna</w:t>
      </w:r>
      <w:r>
        <w:rPr>
          <w:color w:val="231F1F"/>
          <w:w w:val="110"/>
        </w:rPr>
        <w:t> otra</w:t>
      </w:r>
      <w:r>
        <w:rPr>
          <w:color w:val="231F1F"/>
          <w:w w:val="110"/>
        </w:rPr>
        <w:t> solución.</w:t>
      </w:r>
      <w:r>
        <w:rPr>
          <w:color w:val="231F1F"/>
          <w:w w:val="110"/>
        </w:rPr>
        <w:t> En</w:t>
      </w:r>
      <w:r>
        <w:rPr>
          <w:color w:val="231F1F"/>
          <w:w w:val="110"/>
        </w:rPr>
        <w:t> el</w:t>
      </w:r>
      <w:r>
        <w:rPr>
          <w:color w:val="231F1F"/>
          <w:w w:val="110"/>
        </w:rPr>
        <w:t> último</w:t>
      </w:r>
      <w:r>
        <w:rPr>
          <w:color w:val="231F1F"/>
          <w:w w:val="110"/>
        </w:rPr>
        <w:t> estudio (21), incluyeron 100 mujeres nulíparas con una dilatación cervical de 8-10 cm. aleatorizadas a solución de carbohidratos (n=50) o placebo (n=50). En este</w:t>
      </w:r>
      <w:r>
        <w:rPr>
          <w:color w:val="231F1F"/>
          <w:w w:val="110"/>
        </w:rPr>
        <w:t> estudio,</w:t>
      </w:r>
      <w:r>
        <w:rPr>
          <w:color w:val="231F1F"/>
          <w:w w:val="110"/>
        </w:rPr>
        <w:t> a</w:t>
      </w:r>
      <w:r>
        <w:rPr>
          <w:color w:val="231F1F"/>
          <w:w w:val="110"/>
        </w:rPr>
        <w:t> diferencia</w:t>
      </w:r>
      <w:r>
        <w:rPr>
          <w:color w:val="231F1F"/>
          <w:w w:val="110"/>
        </w:rPr>
        <w:t> de</w:t>
      </w:r>
      <w:r>
        <w:rPr>
          <w:color w:val="231F1F"/>
          <w:w w:val="110"/>
        </w:rPr>
        <w:t> los</w:t>
      </w:r>
      <w:r>
        <w:rPr>
          <w:color w:val="231F1F"/>
          <w:w w:val="110"/>
        </w:rPr>
        <w:t> anteriores,</w:t>
      </w:r>
      <w:r>
        <w:rPr>
          <w:color w:val="231F1F"/>
          <w:w w:val="110"/>
        </w:rPr>
        <w:t> a</w:t>
      </w:r>
      <w:r>
        <w:rPr>
          <w:color w:val="231F1F"/>
          <w:w w:val="110"/>
        </w:rPr>
        <w:t> las</w:t>
      </w:r>
      <w:r>
        <w:rPr>
          <w:color w:val="231F1F"/>
          <w:w w:val="110"/>
        </w:rPr>
        <w:t> mujeres</w:t>
      </w:r>
      <w:r>
        <w:rPr>
          <w:color w:val="231F1F"/>
          <w:w w:val="110"/>
        </w:rPr>
        <w:t> se</w:t>
      </w:r>
      <w:r>
        <w:rPr>
          <w:color w:val="231F1F"/>
          <w:w w:val="110"/>
        </w:rPr>
        <w:t> les</w:t>
      </w:r>
      <w:r>
        <w:rPr>
          <w:color w:val="231F1F"/>
          <w:w w:val="110"/>
        </w:rPr>
        <w:t> permitía tomar</w:t>
      </w:r>
      <w:r>
        <w:rPr>
          <w:color w:val="231F1F"/>
          <w:spacing w:val="-3"/>
          <w:w w:val="110"/>
        </w:rPr>
        <w:t> </w:t>
      </w:r>
      <w:r>
        <w:rPr>
          <w:color w:val="231F1F"/>
          <w:w w:val="110"/>
        </w:rPr>
        <w:t>agua</w:t>
      </w:r>
      <w:r>
        <w:rPr>
          <w:color w:val="231F1F"/>
          <w:spacing w:val="-3"/>
          <w:w w:val="110"/>
        </w:rPr>
        <w:t> </w:t>
      </w:r>
      <w:r>
        <w:rPr>
          <w:color w:val="231F1F"/>
          <w:w w:val="110"/>
        </w:rPr>
        <w:t>además</w:t>
      </w:r>
      <w:r>
        <w:rPr>
          <w:color w:val="231F1F"/>
          <w:spacing w:val="-3"/>
          <w:w w:val="110"/>
        </w:rPr>
        <w:t> </w:t>
      </w:r>
      <w:r>
        <w:rPr>
          <w:color w:val="231F1F"/>
          <w:w w:val="110"/>
        </w:rPr>
        <w:t>de</w:t>
      </w:r>
      <w:r>
        <w:rPr>
          <w:color w:val="231F1F"/>
          <w:spacing w:val="-3"/>
          <w:w w:val="110"/>
        </w:rPr>
        <w:t> </w:t>
      </w:r>
      <w:r>
        <w:rPr>
          <w:color w:val="231F1F"/>
          <w:w w:val="110"/>
        </w:rPr>
        <w:t>las</w:t>
      </w:r>
      <w:r>
        <w:rPr>
          <w:color w:val="231F1F"/>
          <w:spacing w:val="-3"/>
          <w:w w:val="110"/>
        </w:rPr>
        <w:t> </w:t>
      </w:r>
      <w:r>
        <w:rPr>
          <w:color w:val="231F1F"/>
          <w:w w:val="110"/>
        </w:rPr>
        <w:t>soluciones</w:t>
      </w:r>
      <w:r>
        <w:rPr>
          <w:color w:val="231F1F"/>
          <w:spacing w:val="-3"/>
          <w:w w:val="110"/>
        </w:rPr>
        <w:t> </w:t>
      </w:r>
      <w:r>
        <w:rPr>
          <w:color w:val="231F1F"/>
          <w:w w:val="110"/>
        </w:rPr>
        <w:t>a</w:t>
      </w:r>
      <w:r>
        <w:rPr>
          <w:color w:val="231F1F"/>
          <w:spacing w:val="-3"/>
          <w:w w:val="110"/>
        </w:rPr>
        <w:t> </w:t>
      </w:r>
      <w:r>
        <w:rPr>
          <w:color w:val="231F1F"/>
          <w:w w:val="110"/>
        </w:rPr>
        <w:t>estudio.</w:t>
      </w:r>
      <w:r>
        <w:rPr>
          <w:color w:val="231F1F"/>
          <w:spacing w:val="-3"/>
          <w:w w:val="110"/>
        </w:rPr>
        <w:t> </w:t>
      </w:r>
      <w:r>
        <w:rPr>
          <w:color w:val="231F1F"/>
          <w:w w:val="110"/>
        </w:rPr>
        <w:t>Como</w:t>
      </w:r>
      <w:r>
        <w:rPr>
          <w:color w:val="231F1F"/>
          <w:spacing w:val="-3"/>
          <w:w w:val="110"/>
        </w:rPr>
        <w:t> </w:t>
      </w:r>
      <w:r>
        <w:rPr>
          <w:color w:val="231F1F"/>
          <w:w w:val="110"/>
        </w:rPr>
        <w:t>placebo</w:t>
      </w:r>
      <w:r>
        <w:rPr>
          <w:color w:val="231F1F"/>
          <w:spacing w:val="-3"/>
          <w:w w:val="110"/>
        </w:rPr>
        <w:t> </w:t>
      </w:r>
      <w:r>
        <w:rPr>
          <w:color w:val="231F1F"/>
          <w:w w:val="110"/>
        </w:rPr>
        <w:t>se</w:t>
      </w:r>
      <w:r>
        <w:rPr>
          <w:color w:val="231F1F"/>
          <w:spacing w:val="-3"/>
          <w:w w:val="110"/>
        </w:rPr>
        <w:t> </w:t>
      </w:r>
      <w:r>
        <w:rPr>
          <w:color w:val="231F1F"/>
          <w:w w:val="110"/>
        </w:rPr>
        <w:t>empleaba agua con aroma y edulcorantes artificiales. En ningún estudio se encontró diferencias</w:t>
      </w:r>
      <w:r>
        <w:rPr>
          <w:color w:val="231F1F"/>
          <w:w w:val="110"/>
        </w:rPr>
        <w:t> significativas</w:t>
      </w:r>
      <w:r>
        <w:rPr>
          <w:color w:val="231F1F"/>
          <w:w w:val="110"/>
        </w:rPr>
        <w:t> entre</w:t>
      </w:r>
      <w:r>
        <w:rPr>
          <w:color w:val="231F1F"/>
          <w:w w:val="110"/>
        </w:rPr>
        <w:t> los</w:t>
      </w:r>
      <w:r>
        <w:rPr>
          <w:color w:val="231F1F"/>
          <w:w w:val="110"/>
        </w:rPr>
        <w:t> grupos</w:t>
      </w:r>
      <w:r>
        <w:rPr>
          <w:color w:val="231F1F"/>
          <w:w w:val="110"/>
        </w:rPr>
        <w:t> de</w:t>
      </w:r>
      <w:r>
        <w:rPr>
          <w:color w:val="231F1F"/>
          <w:w w:val="110"/>
        </w:rPr>
        <w:t> intervención</w:t>
      </w:r>
      <w:r>
        <w:rPr>
          <w:color w:val="231F1F"/>
          <w:w w:val="110"/>
        </w:rPr>
        <w:t> en</w:t>
      </w:r>
      <w:r>
        <w:rPr>
          <w:color w:val="231F1F"/>
          <w:w w:val="110"/>
        </w:rPr>
        <w:t> resultados relativos</w:t>
      </w:r>
      <w:r>
        <w:rPr>
          <w:color w:val="231F1F"/>
          <w:spacing w:val="-5"/>
          <w:w w:val="110"/>
        </w:rPr>
        <w:t> </w:t>
      </w:r>
      <w:r>
        <w:rPr>
          <w:color w:val="231F1F"/>
          <w:w w:val="110"/>
        </w:rPr>
        <w:t>al</w:t>
      </w:r>
      <w:r>
        <w:rPr>
          <w:color w:val="231F1F"/>
          <w:spacing w:val="-6"/>
          <w:w w:val="110"/>
        </w:rPr>
        <w:t> </w:t>
      </w:r>
      <w:r>
        <w:rPr>
          <w:color w:val="231F1F"/>
          <w:w w:val="110"/>
        </w:rPr>
        <w:t>balance</w:t>
      </w:r>
      <w:r>
        <w:rPr>
          <w:color w:val="231F1F"/>
          <w:spacing w:val="-6"/>
          <w:w w:val="110"/>
        </w:rPr>
        <w:t> </w:t>
      </w:r>
      <w:r>
        <w:rPr>
          <w:color w:val="231F1F"/>
          <w:w w:val="110"/>
        </w:rPr>
        <w:t>ácido-base</w:t>
      </w:r>
      <w:r>
        <w:rPr>
          <w:color w:val="231F1F"/>
          <w:spacing w:val="-5"/>
          <w:w w:val="110"/>
        </w:rPr>
        <w:t> </w:t>
      </w:r>
      <w:r>
        <w:rPr>
          <w:color w:val="231F1F"/>
          <w:w w:val="110"/>
        </w:rPr>
        <w:t>del</w:t>
      </w:r>
      <w:r>
        <w:rPr>
          <w:color w:val="231F1F"/>
          <w:spacing w:val="-6"/>
          <w:w w:val="110"/>
        </w:rPr>
        <w:t> </w:t>
      </w:r>
      <w:r>
        <w:rPr>
          <w:color w:val="231F1F"/>
          <w:w w:val="110"/>
        </w:rPr>
        <w:t>feto</w:t>
      </w:r>
      <w:r>
        <w:rPr>
          <w:color w:val="231F1F"/>
          <w:spacing w:val="-5"/>
          <w:w w:val="110"/>
        </w:rPr>
        <w:t> </w:t>
      </w:r>
      <w:r>
        <w:rPr>
          <w:color w:val="231F1F"/>
          <w:w w:val="110"/>
        </w:rPr>
        <w:t>y</w:t>
      </w:r>
      <w:r>
        <w:rPr>
          <w:color w:val="231F1F"/>
          <w:spacing w:val="-5"/>
          <w:w w:val="110"/>
        </w:rPr>
        <w:t> </w:t>
      </w:r>
      <w:r>
        <w:rPr>
          <w:color w:val="231F1F"/>
          <w:w w:val="110"/>
        </w:rPr>
        <w:t>neonato.</w:t>
      </w:r>
      <w:r>
        <w:rPr>
          <w:color w:val="231F1F"/>
          <w:spacing w:val="-7"/>
          <w:w w:val="110"/>
        </w:rPr>
        <w:t> </w:t>
      </w:r>
      <w:r>
        <w:rPr>
          <w:color w:val="231F1F"/>
          <w:w w:val="110"/>
        </w:rPr>
        <w:t>Sin</w:t>
      </w:r>
      <w:r>
        <w:rPr>
          <w:color w:val="231F1F"/>
          <w:spacing w:val="-5"/>
          <w:w w:val="110"/>
        </w:rPr>
        <w:t> </w:t>
      </w:r>
      <w:r>
        <w:rPr>
          <w:color w:val="231F1F"/>
          <w:w w:val="110"/>
        </w:rPr>
        <w:t>embargo,</w:t>
      </w:r>
      <w:r>
        <w:rPr>
          <w:color w:val="231F1F"/>
          <w:spacing w:val="-6"/>
          <w:w w:val="110"/>
        </w:rPr>
        <w:t> </w:t>
      </w:r>
      <w:r>
        <w:rPr>
          <w:color w:val="231F1F"/>
          <w:w w:val="110"/>
        </w:rPr>
        <w:t>en</w:t>
      </w:r>
      <w:r>
        <w:rPr>
          <w:color w:val="231F1F"/>
          <w:spacing w:val="-5"/>
          <w:w w:val="110"/>
        </w:rPr>
        <w:t> </w:t>
      </w:r>
      <w:r>
        <w:rPr>
          <w:color w:val="231F1F"/>
          <w:w w:val="110"/>
        </w:rPr>
        <w:t>relación al tipo de nacimiento, en el primer estudio (19) se observó que la ingesta</w:t>
      </w:r>
      <w:r>
        <w:rPr>
          <w:color w:val="231F1F"/>
          <w:spacing w:val="40"/>
          <w:w w:val="110"/>
        </w:rPr>
        <w:t> </w:t>
      </w:r>
      <w:r>
        <w:rPr>
          <w:color w:val="231F1F"/>
          <w:w w:val="110"/>
        </w:rPr>
        <w:t>de</w:t>
      </w:r>
      <w:r>
        <w:rPr>
          <w:color w:val="231F1F"/>
          <w:w w:val="110"/>
        </w:rPr>
        <w:t> soluciones</w:t>
      </w:r>
      <w:r>
        <w:rPr>
          <w:color w:val="231F1F"/>
          <w:w w:val="110"/>
        </w:rPr>
        <w:t> carbohidratadas</w:t>
      </w:r>
      <w:r>
        <w:rPr>
          <w:color w:val="231F1F"/>
          <w:w w:val="110"/>
        </w:rPr>
        <w:t> a</w:t>
      </w:r>
      <w:r>
        <w:rPr>
          <w:color w:val="231F1F"/>
          <w:w w:val="110"/>
        </w:rPr>
        <w:t> petición,</w:t>
      </w:r>
      <w:r>
        <w:rPr>
          <w:color w:val="231F1F"/>
          <w:w w:val="110"/>
        </w:rPr>
        <w:t> podría</w:t>
      </w:r>
      <w:r>
        <w:rPr>
          <w:color w:val="231F1F"/>
          <w:w w:val="110"/>
        </w:rPr>
        <w:t> incrementar</w:t>
      </w:r>
      <w:r>
        <w:rPr>
          <w:color w:val="231F1F"/>
          <w:w w:val="110"/>
        </w:rPr>
        <w:t> el</w:t>
      </w:r>
      <w:r>
        <w:rPr>
          <w:color w:val="231F1F"/>
          <w:w w:val="110"/>
        </w:rPr>
        <w:t> riesgo</w:t>
      </w:r>
      <w:r>
        <w:rPr>
          <w:color w:val="231F1F"/>
          <w:w w:val="110"/>
        </w:rPr>
        <w:t> de cesáreas: RR 2,9 [IC 95% 1,29 a 6,54], pero estos resultados deben inter- pretarse con cautela, ya que el tamaño de muestra fue pequeño. El estudio concluye</w:t>
      </w:r>
      <w:r>
        <w:rPr>
          <w:color w:val="231F1F"/>
          <w:w w:val="110"/>
        </w:rPr>
        <w:t> que</w:t>
      </w:r>
      <w:r>
        <w:rPr>
          <w:color w:val="231F1F"/>
          <w:w w:val="110"/>
        </w:rPr>
        <w:t> la</w:t>
      </w:r>
      <w:r>
        <w:rPr>
          <w:color w:val="231F1F"/>
          <w:w w:val="110"/>
        </w:rPr>
        <w:t> ingesta</w:t>
      </w:r>
      <w:r>
        <w:rPr>
          <w:color w:val="231F1F"/>
          <w:w w:val="110"/>
        </w:rPr>
        <w:t> de</w:t>
      </w:r>
      <w:r>
        <w:rPr>
          <w:color w:val="231F1F"/>
          <w:w w:val="110"/>
        </w:rPr>
        <w:t> soluciones</w:t>
      </w:r>
      <w:r>
        <w:rPr>
          <w:color w:val="231F1F"/>
          <w:w w:val="110"/>
        </w:rPr>
        <w:t> carbohidratadas</w:t>
      </w:r>
      <w:r>
        <w:rPr>
          <w:color w:val="231F1F"/>
          <w:w w:val="110"/>
        </w:rPr>
        <w:t> durante</w:t>
      </w:r>
      <w:r>
        <w:rPr>
          <w:color w:val="231F1F"/>
          <w:w w:val="110"/>
        </w:rPr>
        <w:t> la</w:t>
      </w:r>
      <w:r>
        <w:rPr>
          <w:color w:val="231F1F"/>
          <w:w w:val="110"/>
        </w:rPr>
        <w:t> primera etapa del parto, podría tener un efecto negativo en la progresión y desen- laces del parto, aunque se atribuyen estos resultados a posibles factores de</w:t>
      </w:r>
    </w:p>
    <w:p>
      <w:pPr>
        <w:pStyle w:val="BodyText"/>
        <w:spacing w:after="0" w:line="247" w:lineRule="auto"/>
        <w:jc w:val="both"/>
        <w:sectPr>
          <w:pgSz w:w="11900" w:h="16840"/>
          <w:pgMar w:header="0" w:footer="622" w:top="1560" w:bottom="820" w:left="1417" w:right="1559"/>
        </w:sectPr>
      </w:pPr>
    </w:p>
    <w:p>
      <w:pPr>
        <w:pStyle w:val="BodyText"/>
        <w:spacing w:line="244" w:lineRule="auto" w:before="73"/>
        <w:ind w:left="283" w:right="1367"/>
        <w:jc w:val="both"/>
      </w:pPr>
      <w:r>
        <w:rPr>
          <w:color w:val="231F1F"/>
          <w:w w:val="110"/>
        </w:rPr>
        <w:t>confusión. Por ello, consideran que los efectos de estas bebidas han de ser evaluadas</w:t>
      </w:r>
      <w:r>
        <w:rPr>
          <w:color w:val="231F1F"/>
          <w:w w:val="110"/>
        </w:rPr>
        <w:t> y</w:t>
      </w:r>
      <w:r>
        <w:rPr>
          <w:color w:val="231F1F"/>
          <w:w w:val="110"/>
        </w:rPr>
        <w:t> que</w:t>
      </w:r>
      <w:r>
        <w:rPr>
          <w:color w:val="231F1F"/>
          <w:w w:val="110"/>
        </w:rPr>
        <w:t> son</w:t>
      </w:r>
      <w:r>
        <w:rPr>
          <w:color w:val="231F1F"/>
          <w:w w:val="110"/>
        </w:rPr>
        <w:t> necesarios</w:t>
      </w:r>
      <w:r>
        <w:rPr>
          <w:color w:val="231F1F"/>
          <w:w w:val="110"/>
        </w:rPr>
        <w:t> nuevos</w:t>
      </w:r>
      <w:r>
        <w:rPr>
          <w:color w:val="231F1F"/>
          <w:w w:val="110"/>
        </w:rPr>
        <w:t> estudios,</w:t>
      </w:r>
      <w:r>
        <w:rPr>
          <w:color w:val="231F1F"/>
          <w:w w:val="110"/>
        </w:rPr>
        <w:t> antes</w:t>
      </w:r>
      <w:r>
        <w:rPr>
          <w:color w:val="231F1F"/>
          <w:w w:val="110"/>
        </w:rPr>
        <w:t> de</w:t>
      </w:r>
      <w:r>
        <w:rPr>
          <w:color w:val="231F1F"/>
          <w:w w:val="110"/>
        </w:rPr>
        <w:t> poder</w:t>
      </w:r>
      <w:r>
        <w:rPr>
          <w:color w:val="231F1F"/>
          <w:w w:val="110"/>
        </w:rPr>
        <w:t> realizar afirmaciones concluyentes.</w:t>
      </w:r>
    </w:p>
    <w:p>
      <w:pPr>
        <w:pStyle w:val="BodyText"/>
        <w:spacing w:line="244" w:lineRule="auto" w:before="147"/>
        <w:ind w:left="283" w:right="1367" w:firstLine="453"/>
        <w:jc w:val="both"/>
      </w:pPr>
      <w:r>
        <w:rPr>
          <w:color w:val="231F1F"/>
          <w:w w:val="110"/>
        </w:rPr>
        <w:t>El</w:t>
      </w:r>
      <w:r>
        <w:rPr>
          <w:color w:val="231F1F"/>
          <w:spacing w:val="-16"/>
          <w:w w:val="110"/>
        </w:rPr>
        <w:t> </w:t>
      </w:r>
      <w:r>
        <w:rPr>
          <w:color w:val="231F1F"/>
          <w:w w:val="110"/>
        </w:rPr>
        <w:t>hecho</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80%</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muestra</w:t>
      </w:r>
      <w:r>
        <w:rPr>
          <w:color w:val="231F1F"/>
          <w:spacing w:val="-15"/>
          <w:w w:val="110"/>
        </w:rPr>
        <w:t> </w:t>
      </w:r>
      <w:r>
        <w:rPr>
          <w:color w:val="231F1F"/>
          <w:w w:val="110"/>
        </w:rPr>
        <w:t>incluida</w:t>
      </w:r>
      <w:r>
        <w:rPr>
          <w:color w:val="231F1F"/>
          <w:spacing w:val="-16"/>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estudio</w:t>
      </w:r>
      <w:r>
        <w:rPr>
          <w:color w:val="231F1F"/>
          <w:spacing w:val="-15"/>
          <w:w w:val="110"/>
        </w:rPr>
        <w:t> </w:t>
      </w:r>
      <w:r>
        <w:rPr>
          <w:color w:val="231F1F"/>
          <w:w w:val="110"/>
        </w:rPr>
        <w:t>fueran</w:t>
      </w:r>
      <w:r>
        <w:rPr>
          <w:color w:val="231F1F"/>
          <w:spacing w:val="-15"/>
          <w:w w:val="110"/>
        </w:rPr>
        <w:t> </w:t>
      </w:r>
      <w:r>
        <w:rPr>
          <w:color w:val="231F1F"/>
          <w:w w:val="110"/>
        </w:rPr>
        <w:t>mujeres </w:t>
      </w:r>
      <w:r>
        <w:rPr>
          <w:color w:val="231F1F"/>
          <w:spacing w:val="-2"/>
          <w:w w:val="110"/>
        </w:rPr>
        <w:t>de</w:t>
      </w:r>
      <w:r>
        <w:rPr>
          <w:color w:val="231F1F"/>
          <w:spacing w:val="-7"/>
          <w:w w:val="110"/>
        </w:rPr>
        <w:t> </w:t>
      </w:r>
      <w:r>
        <w:rPr>
          <w:color w:val="231F1F"/>
          <w:spacing w:val="-2"/>
          <w:w w:val="110"/>
        </w:rPr>
        <w:t>alto</w:t>
      </w:r>
      <w:r>
        <w:rPr>
          <w:color w:val="231F1F"/>
          <w:spacing w:val="-7"/>
          <w:w w:val="110"/>
        </w:rPr>
        <w:t> </w:t>
      </w:r>
      <w:r>
        <w:rPr>
          <w:color w:val="231F1F"/>
          <w:spacing w:val="-2"/>
          <w:w w:val="110"/>
        </w:rPr>
        <w:t>riesgo</w:t>
      </w:r>
      <w:r>
        <w:rPr>
          <w:color w:val="231F1F"/>
          <w:spacing w:val="-7"/>
          <w:w w:val="110"/>
        </w:rPr>
        <w:t> </w:t>
      </w:r>
      <w:r>
        <w:rPr>
          <w:color w:val="231F1F"/>
          <w:spacing w:val="-2"/>
          <w:w w:val="110"/>
        </w:rPr>
        <w:t>nos</w:t>
      </w:r>
      <w:r>
        <w:rPr>
          <w:color w:val="231F1F"/>
          <w:spacing w:val="-7"/>
          <w:w w:val="110"/>
        </w:rPr>
        <w:t> </w:t>
      </w:r>
      <w:r>
        <w:rPr>
          <w:color w:val="231F1F"/>
          <w:spacing w:val="-2"/>
          <w:w w:val="110"/>
        </w:rPr>
        <w:t>impide</w:t>
      </w:r>
      <w:r>
        <w:rPr>
          <w:color w:val="231F1F"/>
          <w:spacing w:val="-7"/>
          <w:w w:val="110"/>
        </w:rPr>
        <w:t> </w:t>
      </w:r>
      <w:r>
        <w:rPr>
          <w:color w:val="231F1F"/>
          <w:spacing w:val="-2"/>
          <w:w w:val="110"/>
        </w:rPr>
        <w:t>aplicar</w:t>
      </w:r>
      <w:r>
        <w:rPr>
          <w:color w:val="231F1F"/>
          <w:spacing w:val="-8"/>
          <w:w w:val="110"/>
        </w:rPr>
        <w:t> </w:t>
      </w:r>
      <w:r>
        <w:rPr>
          <w:color w:val="231F1F"/>
          <w:spacing w:val="-2"/>
          <w:w w:val="110"/>
        </w:rPr>
        <w:t>estos</w:t>
      </w:r>
      <w:r>
        <w:rPr>
          <w:color w:val="231F1F"/>
          <w:spacing w:val="-7"/>
          <w:w w:val="110"/>
        </w:rPr>
        <w:t> </w:t>
      </w:r>
      <w:r>
        <w:rPr>
          <w:color w:val="231F1F"/>
          <w:spacing w:val="-2"/>
          <w:w w:val="110"/>
        </w:rPr>
        <w:t>resultados</w:t>
      </w:r>
      <w:r>
        <w:rPr>
          <w:color w:val="231F1F"/>
          <w:spacing w:val="-7"/>
          <w:w w:val="110"/>
        </w:rPr>
        <w:t> </w:t>
      </w:r>
      <w:r>
        <w:rPr>
          <w:color w:val="231F1F"/>
          <w:spacing w:val="-2"/>
          <w:w w:val="110"/>
        </w:rPr>
        <w:t>a</w:t>
      </w:r>
      <w:r>
        <w:rPr>
          <w:color w:val="231F1F"/>
          <w:spacing w:val="-7"/>
          <w:w w:val="110"/>
        </w:rPr>
        <w:t> </w:t>
      </w:r>
      <w:r>
        <w:rPr>
          <w:color w:val="231F1F"/>
          <w:spacing w:val="-2"/>
          <w:w w:val="110"/>
        </w:rPr>
        <w:t>una</w:t>
      </w:r>
      <w:r>
        <w:rPr>
          <w:color w:val="231F1F"/>
          <w:spacing w:val="-7"/>
          <w:w w:val="110"/>
        </w:rPr>
        <w:t> </w:t>
      </w:r>
      <w:r>
        <w:rPr>
          <w:color w:val="231F1F"/>
          <w:spacing w:val="-2"/>
          <w:w w:val="110"/>
        </w:rPr>
        <w:t>población</w:t>
      </w:r>
      <w:r>
        <w:rPr>
          <w:color w:val="231F1F"/>
          <w:spacing w:val="-7"/>
          <w:w w:val="110"/>
        </w:rPr>
        <w:t> </w:t>
      </w:r>
      <w:r>
        <w:rPr>
          <w:color w:val="231F1F"/>
          <w:spacing w:val="-2"/>
          <w:w w:val="110"/>
        </w:rPr>
        <w:t>de</w:t>
      </w:r>
      <w:r>
        <w:rPr>
          <w:color w:val="231F1F"/>
          <w:spacing w:val="-7"/>
          <w:w w:val="110"/>
        </w:rPr>
        <w:t> </w:t>
      </w:r>
      <w:r>
        <w:rPr>
          <w:color w:val="231F1F"/>
          <w:spacing w:val="-2"/>
          <w:w w:val="110"/>
        </w:rPr>
        <w:t>mujeres sanas.</w:t>
      </w:r>
    </w:p>
    <w:p>
      <w:pPr>
        <w:pStyle w:val="BodyText"/>
        <w:spacing w:before="201"/>
      </w:pPr>
    </w:p>
    <w:p>
      <w:pPr>
        <w:spacing w:before="0"/>
        <w:ind w:left="283" w:right="0" w:firstLine="0"/>
        <w:jc w:val="both"/>
        <w:rPr>
          <w:rFonts w:ascii="Arial MT" w:hAnsi="Arial MT"/>
          <w:sz w:val="24"/>
        </w:rPr>
      </w:pPr>
      <w:r>
        <w:rPr>
          <w:rFonts w:ascii="Arial MT" w:hAnsi="Arial MT"/>
          <w:color w:val="231F1F"/>
          <w:w w:val="105"/>
          <w:sz w:val="24"/>
        </w:rPr>
        <w:t>Bebidas</w:t>
      </w:r>
      <w:r>
        <w:rPr>
          <w:rFonts w:ascii="Arial MT" w:hAnsi="Arial MT"/>
          <w:color w:val="231F1F"/>
          <w:spacing w:val="-7"/>
          <w:w w:val="105"/>
          <w:sz w:val="24"/>
        </w:rPr>
        <w:t> </w:t>
      </w:r>
      <w:r>
        <w:rPr>
          <w:rFonts w:ascii="Arial MT" w:hAnsi="Arial MT"/>
          <w:color w:val="231F1F"/>
          <w:w w:val="105"/>
          <w:sz w:val="24"/>
        </w:rPr>
        <w:t>isotónicas</w:t>
      </w:r>
      <w:r>
        <w:rPr>
          <w:rFonts w:ascii="Arial MT" w:hAnsi="Arial MT"/>
          <w:color w:val="231F1F"/>
          <w:spacing w:val="-6"/>
          <w:w w:val="105"/>
          <w:sz w:val="24"/>
        </w:rPr>
        <w:t> </w:t>
      </w:r>
      <w:r>
        <w:rPr>
          <w:rFonts w:ascii="Arial MT" w:hAnsi="Arial MT"/>
          <w:color w:val="231F1F"/>
          <w:w w:val="105"/>
          <w:sz w:val="24"/>
        </w:rPr>
        <w:t>vs</w:t>
      </w:r>
      <w:r>
        <w:rPr>
          <w:rFonts w:ascii="Arial MT" w:hAnsi="Arial MT"/>
          <w:color w:val="231F1F"/>
          <w:spacing w:val="-5"/>
          <w:w w:val="105"/>
          <w:sz w:val="24"/>
        </w:rPr>
        <w:t> </w:t>
      </w:r>
      <w:r>
        <w:rPr>
          <w:rFonts w:ascii="Arial MT" w:hAnsi="Arial MT"/>
          <w:color w:val="231F1F"/>
          <w:spacing w:val="-4"/>
          <w:w w:val="105"/>
          <w:sz w:val="24"/>
        </w:rPr>
        <w:t>Agua</w:t>
      </w:r>
    </w:p>
    <w:p>
      <w:pPr>
        <w:pStyle w:val="BodyText"/>
        <w:spacing w:line="261" w:lineRule="auto" w:before="224"/>
        <w:ind w:left="283" w:right="1365"/>
        <w:jc w:val="both"/>
      </w:pPr>
      <w:r>
        <w:rPr>
          <w:color w:val="231F1F"/>
        </w:rPr>
        <w:t>En</w:t>
      </w:r>
      <w:r>
        <w:rPr>
          <w:color w:val="231F1F"/>
          <w:spacing w:val="40"/>
        </w:rPr>
        <w:t> </w:t>
      </w:r>
      <w:r>
        <w:rPr>
          <w:color w:val="231F1F"/>
        </w:rPr>
        <w:t>este</w:t>
      </w:r>
      <w:r>
        <w:rPr>
          <w:color w:val="231F1F"/>
          <w:spacing w:val="40"/>
        </w:rPr>
        <w:t> </w:t>
      </w:r>
      <w:r>
        <w:rPr>
          <w:color w:val="231F1F"/>
        </w:rPr>
        <w:t>apartado</w:t>
      </w:r>
      <w:r>
        <w:rPr>
          <w:color w:val="231F1F"/>
          <w:spacing w:val="40"/>
        </w:rPr>
        <w:t> </w:t>
      </w:r>
      <w:r>
        <w:rPr>
          <w:color w:val="231F1F"/>
        </w:rPr>
        <w:t>se</w:t>
      </w:r>
      <w:r>
        <w:rPr>
          <w:color w:val="231F1F"/>
          <w:spacing w:val="40"/>
        </w:rPr>
        <w:t> </w:t>
      </w:r>
      <w:r>
        <w:rPr>
          <w:color w:val="231F1F"/>
        </w:rPr>
        <w:t>consideró</w:t>
      </w:r>
      <w:r>
        <w:rPr>
          <w:color w:val="231F1F"/>
          <w:spacing w:val="40"/>
        </w:rPr>
        <w:t> </w:t>
      </w:r>
      <w:r>
        <w:rPr>
          <w:color w:val="231F1F"/>
        </w:rPr>
        <w:t>un</w:t>
      </w:r>
      <w:r>
        <w:rPr>
          <w:color w:val="231F1F"/>
          <w:spacing w:val="40"/>
        </w:rPr>
        <w:t> </w:t>
      </w:r>
      <w:r>
        <w:rPr>
          <w:color w:val="231F1F"/>
        </w:rPr>
        <w:t>estudio</w:t>
      </w:r>
      <w:r>
        <w:rPr>
          <w:color w:val="231F1F"/>
          <w:spacing w:val="40"/>
        </w:rPr>
        <w:t> </w:t>
      </w:r>
      <w:r>
        <w:rPr>
          <w:color w:val="231F1F"/>
        </w:rPr>
        <w:t>controlado</w:t>
      </w:r>
      <w:r>
        <w:rPr>
          <w:color w:val="231F1F"/>
          <w:spacing w:val="40"/>
        </w:rPr>
        <w:t> </w:t>
      </w:r>
      <w:r>
        <w:rPr>
          <w:color w:val="231F1F"/>
        </w:rPr>
        <w:t>y</w:t>
      </w:r>
      <w:r>
        <w:rPr>
          <w:color w:val="231F1F"/>
          <w:spacing w:val="40"/>
        </w:rPr>
        <w:t> </w:t>
      </w:r>
      <w:r>
        <w:rPr>
          <w:color w:val="231F1F"/>
        </w:rPr>
        <w:t>aleatorizado</w:t>
      </w:r>
      <w:r>
        <w:rPr>
          <w:color w:val="231F1F"/>
          <w:spacing w:val="40"/>
        </w:rPr>
        <w:t> </w:t>
      </w:r>
      <w:r>
        <w:rPr>
          <w:color w:val="231F1F"/>
        </w:rPr>
        <w:t>realizado en</w:t>
      </w:r>
      <w:r>
        <w:rPr>
          <w:color w:val="231F1F"/>
          <w:spacing w:val="30"/>
        </w:rPr>
        <w:t> </w:t>
      </w:r>
      <w:r>
        <w:rPr>
          <w:color w:val="231F1F"/>
        </w:rPr>
        <w:t>Gran</w:t>
      </w:r>
      <w:r>
        <w:rPr>
          <w:color w:val="231F1F"/>
          <w:spacing w:val="29"/>
        </w:rPr>
        <w:t> </w:t>
      </w:r>
      <w:r>
        <w:rPr>
          <w:color w:val="231F1F"/>
        </w:rPr>
        <w:t>Bretaña</w:t>
      </w:r>
      <w:r>
        <w:rPr>
          <w:color w:val="231F1F"/>
          <w:spacing w:val="29"/>
        </w:rPr>
        <w:t> </w:t>
      </w:r>
      <w:r>
        <w:rPr>
          <w:color w:val="231F1F"/>
        </w:rPr>
        <w:t>y</w:t>
      </w:r>
      <w:r>
        <w:rPr>
          <w:color w:val="231F1F"/>
          <w:spacing w:val="30"/>
        </w:rPr>
        <w:t> </w:t>
      </w:r>
      <w:r>
        <w:rPr>
          <w:color w:val="231F1F"/>
        </w:rPr>
        <w:t>publicado</w:t>
      </w:r>
      <w:r>
        <w:rPr>
          <w:color w:val="231F1F"/>
          <w:spacing w:val="29"/>
        </w:rPr>
        <w:t> </w:t>
      </w:r>
      <w:r>
        <w:rPr>
          <w:color w:val="231F1F"/>
        </w:rPr>
        <w:t>en</w:t>
      </w:r>
      <w:r>
        <w:rPr>
          <w:color w:val="231F1F"/>
          <w:spacing w:val="30"/>
        </w:rPr>
        <w:t> </w:t>
      </w:r>
      <w:r>
        <w:rPr>
          <w:color w:val="231F1F"/>
        </w:rPr>
        <w:t>2002</w:t>
      </w:r>
      <w:r>
        <w:rPr>
          <w:color w:val="231F1F"/>
          <w:spacing w:val="30"/>
        </w:rPr>
        <w:t> </w:t>
      </w:r>
      <w:r>
        <w:rPr>
          <w:color w:val="231F1F"/>
        </w:rPr>
        <w:t>(22)</w:t>
      </w:r>
      <w:r>
        <w:rPr>
          <w:color w:val="231F1F"/>
          <w:spacing w:val="30"/>
        </w:rPr>
        <w:t> </w:t>
      </w:r>
      <w:r>
        <w:rPr>
          <w:color w:val="231F1F"/>
        </w:rPr>
        <w:t>en</w:t>
      </w:r>
      <w:r>
        <w:rPr>
          <w:color w:val="231F1F"/>
          <w:spacing w:val="30"/>
        </w:rPr>
        <w:t> </w:t>
      </w:r>
      <w:r>
        <w:rPr>
          <w:color w:val="231F1F"/>
        </w:rPr>
        <w:t>el</w:t>
      </w:r>
      <w:r>
        <w:rPr>
          <w:color w:val="231F1F"/>
          <w:spacing w:val="30"/>
        </w:rPr>
        <w:t> </w:t>
      </w:r>
      <w:r>
        <w:rPr>
          <w:color w:val="231F1F"/>
        </w:rPr>
        <w:t>que</w:t>
      </w:r>
      <w:r>
        <w:rPr>
          <w:color w:val="231F1F"/>
          <w:spacing w:val="30"/>
        </w:rPr>
        <w:t> </w:t>
      </w:r>
      <w:r>
        <w:rPr>
          <w:color w:val="231F1F"/>
        </w:rPr>
        <w:t>se</w:t>
      </w:r>
      <w:r>
        <w:rPr>
          <w:color w:val="231F1F"/>
          <w:spacing w:val="29"/>
        </w:rPr>
        <w:t> </w:t>
      </w:r>
      <w:r>
        <w:rPr>
          <w:color w:val="231F1F"/>
        </w:rPr>
        <w:t>incluyeron</w:t>
      </w:r>
      <w:r>
        <w:rPr>
          <w:color w:val="231F1F"/>
          <w:spacing w:val="31"/>
        </w:rPr>
        <w:t> </w:t>
      </w:r>
      <w:r>
        <w:rPr>
          <w:color w:val="231F1F"/>
        </w:rPr>
        <w:t>60</w:t>
      </w:r>
      <w:r>
        <w:rPr>
          <w:color w:val="231F1F"/>
          <w:spacing w:val="29"/>
        </w:rPr>
        <w:t> </w:t>
      </w:r>
      <w:r>
        <w:rPr>
          <w:color w:val="231F1F"/>
        </w:rPr>
        <w:t>mujeres de 37 o más semanas de gestación, con un único feto en posición cefálica, aleatorizándose dos grupos: grupo que tomó bebidas isotónicas (n=30) y grupo</w:t>
      </w:r>
      <w:r>
        <w:rPr>
          <w:color w:val="231F1F"/>
          <w:spacing w:val="40"/>
        </w:rPr>
        <w:t> </w:t>
      </w:r>
      <w:r>
        <w:rPr>
          <w:color w:val="231F1F"/>
        </w:rPr>
        <w:t>que</w:t>
      </w:r>
      <w:r>
        <w:rPr>
          <w:color w:val="231F1F"/>
          <w:spacing w:val="31"/>
        </w:rPr>
        <w:t> </w:t>
      </w:r>
      <w:r>
        <w:rPr>
          <w:color w:val="231F1F"/>
        </w:rPr>
        <w:t>tomó</w:t>
      </w:r>
      <w:r>
        <w:rPr>
          <w:color w:val="231F1F"/>
          <w:spacing w:val="31"/>
        </w:rPr>
        <w:t> </w:t>
      </w:r>
      <w:r>
        <w:rPr>
          <w:color w:val="231F1F"/>
        </w:rPr>
        <w:t>agua</w:t>
      </w:r>
      <w:r>
        <w:rPr>
          <w:color w:val="231F1F"/>
          <w:spacing w:val="31"/>
        </w:rPr>
        <w:t> </w:t>
      </w:r>
      <w:r>
        <w:rPr>
          <w:color w:val="231F1F"/>
        </w:rPr>
        <w:t>(n=30);</w:t>
      </w:r>
      <w:r>
        <w:rPr>
          <w:color w:val="231F1F"/>
          <w:spacing w:val="32"/>
        </w:rPr>
        <w:t> </w:t>
      </w:r>
      <w:r>
        <w:rPr>
          <w:color w:val="231F1F"/>
        </w:rPr>
        <w:t>estudio</w:t>
      </w:r>
      <w:r>
        <w:rPr>
          <w:color w:val="231F1F"/>
          <w:spacing w:val="30"/>
        </w:rPr>
        <w:t> </w:t>
      </w:r>
      <w:r>
        <w:rPr>
          <w:color w:val="231F1F"/>
        </w:rPr>
        <w:t>incluido</w:t>
      </w:r>
      <w:r>
        <w:rPr>
          <w:color w:val="231F1F"/>
          <w:spacing w:val="32"/>
        </w:rPr>
        <w:t> </w:t>
      </w:r>
      <w:r>
        <w:rPr>
          <w:color w:val="231F1F"/>
        </w:rPr>
        <w:t>también</w:t>
      </w:r>
      <w:r>
        <w:rPr>
          <w:color w:val="231F1F"/>
          <w:spacing w:val="32"/>
        </w:rPr>
        <w:t> </w:t>
      </w:r>
      <w:r>
        <w:rPr>
          <w:color w:val="231F1F"/>
        </w:rPr>
        <w:t>en</w:t>
      </w:r>
      <w:r>
        <w:rPr>
          <w:color w:val="231F1F"/>
          <w:spacing w:val="31"/>
        </w:rPr>
        <w:t> </w:t>
      </w:r>
      <w:r>
        <w:rPr>
          <w:color w:val="231F1F"/>
        </w:rPr>
        <w:t>el</w:t>
      </w:r>
      <w:r>
        <w:rPr>
          <w:color w:val="231F1F"/>
          <w:spacing w:val="31"/>
        </w:rPr>
        <w:t> </w:t>
      </w:r>
      <w:r>
        <w:rPr>
          <w:color w:val="231F1F"/>
        </w:rPr>
        <w:t>metaanálisis</w:t>
      </w:r>
      <w:r>
        <w:rPr>
          <w:color w:val="231F1F"/>
          <w:spacing w:val="31"/>
        </w:rPr>
        <w:t> </w:t>
      </w:r>
      <w:r>
        <w:rPr>
          <w:color w:val="231F1F"/>
        </w:rPr>
        <w:t>de</w:t>
      </w:r>
      <w:r>
        <w:rPr>
          <w:color w:val="231F1F"/>
          <w:spacing w:val="31"/>
        </w:rPr>
        <w:t> </w:t>
      </w:r>
      <w:r>
        <w:rPr>
          <w:color w:val="231F1F"/>
        </w:rPr>
        <w:t>Cochra- ne (18).</w:t>
      </w:r>
    </w:p>
    <w:p>
      <w:pPr>
        <w:pStyle w:val="BodyText"/>
        <w:tabs>
          <w:tab w:pos="8036" w:val="left" w:leader="none"/>
          <w:tab w:pos="8114" w:val="left" w:leader="none"/>
        </w:tabs>
        <w:spacing w:line="244" w:lineRule="auto" w:before="74"/>
        <w:ind w:left="283" w:right="524" w:firstLine="453"/>
      </w:pPr>
      <w:r>
        <w:rPr>
          <w:color w:val="231F1F"/>
          <w:w w:val="110"/>
        </w:rPr>
        <w:t>En el grupo de bebidas isotónicas se observó una disminución significa-</w:t>
      </w:r>
      <w:r>
        <w:rPr>
          <w:color w:val="231F1F"/>
        </w:rPr>
        <w:tab/>
      </w:r>
      <w:r>
        <w:rPr>
          <w:rFonts w:ascii="Arial MT" w:hAnsi="Arial MT"/>
          <w:color w:val="231F1F"/>
          <w:spacing w:val="-12"/>
          <w:w w:val="105"/>
          <w:sz w:val="18"/>
        </w:rPr>
        <w:t>ECA </w:t>
      </w:r>
      <w:r>
        <w:rPr>
          <w:color w:val="231F1F"/>
          <w:w w:val="110"/>
        </w:rPr>
        <w:t>tiva en los niveles de </w:t>
      </w:r>
      <w:r>
        <w:rPr>
          <w:rFonts w:ascii="Symbol" w:hAnsi="Symbol"/>
          <w:color w:val="231F1F"/>
          <w:w w:val="110"/>
        </w:rPr>
        <w:t></w:t>
      </w:r>
      <w:r>
        <w:rPr>
          <w:color w:val="231F1F"/>
          <w:w w:val="110"/>
        </w:rPr>
        <w:t>-hidroxibutirato y de ácidos grasos no esterificados con</w:t>
      </w:r>
      <w:r>
        <w:rPr>
          <w:color w:val="231F1F"/>
        </w:rPr>
        <w:tab/>
        <w:tab/>
      </w:r>
      <w:r>
        <w:rPr>
          <w:rFonts w:ascii="Arial MT" w:hAnsi="Arial MT"/>
          <w:color w:val="231F1F"/>
          <w:spacing w:val="-6"/>
          <w:w w:val="110"/>
          <w:position w:val="4"/>
          <w:sz w:val="18"/>
        </w:rPr>
        <w:t>1+ </w:t>
      </w:r>
      <w:r>
        <w:rPr>
          <w:color w:val="231F1F"/>
          <w:w w:val="110"/>
        </w:rPr>
        <w:t>respecto al grupo que consumía agua. La media de glucosa plasmática perma-</w:t>
      </w:r>
    </w:p>
    <w:p>
      <w:pPr>
        <w:pStyle w:val="BodyText"/>
        <w:spacing w:line="252" w:lineRule="auto" w:before="1"/>
        <w:ind w:left="283" w:right="1367"/>
        <w:jc w:val="both"/>
      </w:pPr>
      <w:r>
        <w:rPr>
          <w:color w:val="231F1F"/>
          <w:w w:val="110"/>
        </w:rPr>
        <w:t>neció</w:t>
      </w:r>
      <w:r>
        <w:rPr>
          <w:color w:val="231F1F"/>
          <w:spacing w:val="-16"/>
          <w:w w:val="110"/>
        </w:rPr>
        <w:t> </w:t>
      </w:r>
      <w:r>
        <w:rPr>
          <w:color w:val="231F1F"/>
          <w:w w:val="110"/>
        </w:rPr>
        <w:t>invariable</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5"/>
          <w:w w:val="110"/>
        </w:rPr>
        <w:t> </w:t>
      </w:r>
      <w:r>
        <w:rPr>
          <w:color w:val="231F1F"/>
          <w:w w:val="110"/>
        </w:rPr>
        <w:t>con</w:t>
      </w:r>
      <w:r>
        <w:rPr>
          <w:color w:val="231F1F"/>
          <w:spacing w:val="-15"/>
          <w:w w:val="110"/>
        </w:rPr>
        <w:t> </w:t>
      </w:r>
      <w:r>
        <w:rPr>
          <w:color w:val="231F1F"/>
          <w:w w:val="110"/>
        </w:rPr>
        <w:t>bebidas</w:t>
      </w:r>
      <w:r>
        <w:rPr>
          <w:color w:val="231F1F"/>
          <w:spacing w:val="-15"/>
          <w:w w:val="110"/>
        </w:rPr>
        <w:t> </w:t>
      </w:r>
      <w:r>
        <w:rPr>
          <w:color w:val="231F1F"/>
          <w:w w:val="110"/>
        </w:rPr>
        <w:t>isotónicas</w:t>
      </w:r>
      <w:r>
        <w:rPr>
          <w:color w:val="231F1F"/>
          <w:spacing w:val="-15"/>
          <w:w w:val="110"/>
        </w:rPr>
        <w:t> </w:t>
      </w:r>
      <w:r>
        <w:rPr>
          <w:color w:val="231F1F"/>
          <w:w w:val="110"/>
        </w:rPr>
        <w:t>y</w:t>
      </w:r>
      <w:r>
        <w:rPr>
          <w:color w:val="231F1F"/>
          <w:spacing w:val="-15"/>
          <w:w w:val="110"/>
        </w:rPr>
        <w:t> </w:t>
      </w:r>
      <w:r>
        <w:rPr>
          <w:color w:val="231F1F"/>
          <w:w w:val="110"/>
        </w:rPr>
        <w:t>se</w:t>
      </w:r>
      <w:r>
        <w:rPr>
          <w:color w:val="231F1F"/>
          <w:spacing w:val="-15"/>
          <w:w w:val="110"/>
        </w:rPr>
        <w:t> </w:t>
      </w:r>
      <w:r>
        <w:rPr>
          <w:color w:val="231F1F"/>
          <w:w w:val="110"/>
        </w:rPr>
        <w:t>redujo</w:t>
      </w:r>
      <w:r>
        <w:rPr>
          <w:color w:val="231F1F"/>
          <w:spacing w:val="-15"/>
          <w:w w:val="110"/>
        </w:rPr>
        <w:t> </w:t>
      </w:r>
      <w:r>
        <w:rPr>
          <w:color w:val="231F1F"/>
          <w:w w:val="110"/>
        </w:rPr>
        <w:t>significativa- mente</w:t>
      </w:r>
      <w:r>
        <w:rPr>
          <w:color w:val="231F1F"/>
          <w:spacing w:val="-14"/>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4"/>
          <w:w w:val="110"/>
        </w:rPr>
        <w:t> </w:t>
      </w:r>
      <w:r>
        <w:rPr>
          <w:color w:val="231F1F"/>
          <w:w w:val="110"/>
        </w:rPr>
        <w:t>que</w:t>
      </w:r>
      <w:r>
        <w:rPr>
          <w:color w:val="231F1F"/>
          <w:spacing w:val="-15"/>
          <w:w w:val="110"/>
        </w:rPr>
        <w:t> </w:t>
      </w:r>
      <w:r>
        <w:rPr>
          <w:color w:val="231F1F"/>
          <w:w w:val="110"/>
        </w:rPr>
        <w:t>ingería</w:t>
      </w:r>
      <w:r>
        <w:rPr>
          <w:color w:val="231F1F"/>
          <w:spacing w:val="-14"/>
          <w:w w:val="110"/>
        </w:rPr>
        <w:t> </w:t>
      </w:r>
      <w:r>
        <w:rPr>
          <w:color w:val="231F1F"/>
          <w:w w:val="110"/>
        </w:rPr>
        <w:t>agua.</w:t>
      </w:r>
      <w:r>
        <w:rPr>
          <w:color w:val="231F1F"/>
          <w:spacing w:val="-15"/>
          <w:w w:val="110"/>
        </w:rPr>
        <w:t> </w:t>
      </w:r>
      <w:r>
        <w:rPr>
          <w:color w:val="231F1F"/>
          <w:w w:val="110"/>
        </w:rPr>
        <w:t>La</w:t>
      </w:r>
      <w:r>
        <w:rPr>
          <w:color w:val="231F1F"/>
          <w:spacing w:val="-14"/>
          <w:w w:val="110"/>
        </w:rPr>
        <w:t> </w:t>
      </w:r>
      <w:r>
        <w:rPr>
          <w:color w:val="231F1F"/>
          <w:w w:val="110"/>
        </w:rPr>
        <w:t>cantidad</w:t>
      </w:r>
      <w:r>
        <w:rPr>
          <w:color w:val="231F1F"/>
          <w:spacing w:val="-15"/>
          <w:w w:val="110"/>
        </w:rPr>
        <w:t> </w:t>
      </w:r>
      <w:r>
        <w:rPr>
          <w:color w:val="231F1F"/>
          <w:w w:val="110"/>
        </w:rPr>
        <w:t>total</w:t>
      </w:r>
      <w:r>
        <w:rPr>
          <w:color w:val="231F1F"/>
          <w:spacing w:val="-15"/>
          <w:w w:val="110"/>
        </w:rPr>
        <w:t> </w:t>
      </w:r>
      <w:r>
        <w:rPr>
          <w:color w:val="231F1F"/>
          <w:w w:val="110"/>
        </w:rPr>
        <w:t>de</w:t>
      </w:r>
      <w:r>
        <w:rPr>
          <w:color w:val="231F1F"/>
          <w:spacing w:val="-14"/>
          <w:w w:val="110"/>
        </w:rPr>
        <w:t> </w:t>
      </w:r>
      <w:r>
        <w:rPr>
          <w:color w:val="231F1F"/>
          <w:w w:val="110"/>
        </w:rPr>
        <w:t>líquido</w:t>
      </w:r>
      <w:r>
        <w:rPr>
          <w:color w:val="231F1F"/>
          <w:spacing w:val="-15"/>
          <w:w w:val="110"/>
        </w:rPr>
        <w:t> </w:t>
      </w:r>
      <w:r>
        <w:rPr>
          <w:color w:val="231F1F"/>
          <w:w w:val="110"/>
        </w:rPr>
        <w:t>ingerido</w:t>
      </w:r>
      <w:r>
        <w:rPr>
          <w:color w:val="231F1F"/>
          <w:spacing w:val="-14"/>
          <w:w w:val="110"/>
        </w:rPr>
        <w:t> </w:t>
      </w:r>
      <w:r>
        <w:rPr>
          <w:color w:val="231F1F"/>
          <w:w w:val="110"/>
        </w:rPr>
        <w:t>fue mayor</w:t>
      </w:r>
      <w:r>
        <w:rPr>
          <w:color w:val="231F1F"/>
          <w:spacing w:val="-1"/>
          <w:w w:val="110"/>
        </w:rPr>
        <w:t> </w:t>
      </w:r>
      <w:r>
        <w:rPr>
          <w:color w:val="231F1F"/>
          <w:w w:val="110"/>
        </w:rPr>
        <w:t>en el</w:t>
      </w:r>
      <w:r>
        <w:rPr>
          <w:color w:val="231F1F"/>
          <w:spacing w:val="-1"/>
          <w:w w:val="110"/>
        </w:rPr>
        <w:t> </w:t>
      </w:r>
      <w:r>
        <w:rPr>
          <w:color w:val="231F1F"/>
          <w:w w:val="110"/>
        </w:rPr>
        <w:t>grupo con bebidas</w:t>
      </w:r>
      <w:r>
        <w:rPr>
          <w:color w:val="231F1F"/>
          <w:spacing w:val="-1"/>
          <w:w w:val="110"/>
        </w:rPr>
        <w:t> </w:t>
      </w:r>
      <w:r>
        <w:rPr>
          <w:color w:val="231F1F"/>
          <w:w w:val="110"/>
        </w:rPr>
        <w:t>isotónicas</w:t>
      </w:r>
      <w:r>
        <w:rPr>
          <w:color w:val="231F1F"/>
          <w:spacing w:val="-1"/>
          <w:w w:val="110"/>
        </w:rPr>
        <w:t> </w:t>
      </w:r>
      <w:r>
        <w:rPr>
          <w:color w:val="231F1F"/>
          <w:w w:val="110"/>
        </w:rPr>
        <w:t>(p=0,001) y también la media de </w:t>
      </w:r>
      <w:r>
        <w:rPr>
          <w:color w:val="231F1F"/>
        </w:rPr>
        <w:t>calorías</w:t>
      </w:r>
      <w:r>
        <w:rPr>
          <w:color w:val="231F1F"/>
          <w:spacing w:val="40"/>
        </w:rPr>
        <w:t> </w:t>
      </w:r>
      <w:r>
        <w:rPr>
          <w:color w:val="231F1F"/>
        </w:rPr>
        <w:t>ingeridas</w:t>
      </w:r>
      <w:r>
        <w:rPr>
          <w:color w:val="231F1F"/>
          <w:spacing w:val="40"/>
        </w:rPr>
        <w:t> </w:t>
      </w:r>
      <w:r>
        <w:rPr>
          <w:color w:val="231F1F"/>
        </w:rPr>
        <w:t>(47</w:t>
      </w:r>
      <w:r>
        <w:rPr>
          <w:color w:val="231F1F"/>
          <w:spacing w:val="40"/>
        </w:rPr>
        <w:t> </w:t>
      </w:r>
      <w:r>
        <w:rPr>
          <w:color w:val="231F1F"/>
        </w:rPr>
        <w:t>kcal/hora)</w:t>
      </w:r>
      <w:r>
        <w:rPr>
          <w:color w:val="231F1F"/>
          <w:spacing w:val="40"/>
        </w:rPr>
        <w:t> </w:t>
      </w:r>
      <w:r>
        <w:rPr>
          <w:color w:val="231F1F"/>
        </w:rPr>
        <w:t>en</w:t>
      </w:r>
      <w:r>
        <w:rPr>
          <w:color w:val="231F1F"/>
          <w:spacing w:val="40"/>
        </w:rPr>
        <w:t> </w:t>
      </w:r>
      <w:r>
        <w:rPr>
          <w:color w:val="231F1F"/>
        </w:rPr>
        <w:t>comparación</w:t>
      </w:r>
      <w:r>
        <w:rPr>
          <w:color w:val="231F1F"/>
          <w:spacing w:val="40"/>
        </w:rPr>
        <w:t> </w:t>
      </w:r>
      <w:r>
        <w:rPr>
          <w:color w:val="231F1F"/>
        </w:rPr>
        <w:t>con</w:t>
      </w:r>
      <w:r>
        <w:rPr>
          <w:color w:val="231F1F"/>
          <w:spacing w:val="40"/>
        </w:rPr>
        <w:t> </w:t>
      </w:r>
      <w:r>
        <w:rPr>
          <w:color w:val="231F1F"/>
        </w:rPr>
        <w:t>el</w:t>
      </w:r>
      <w:r>
        <w:rPr>
          <w:color w:val="231F1F"/>
          <w:spacing w:val="40"/>
        </w:rPr>
        <w:t> </w:t>
      </w:r>
      <w:r>
        <w:rPr>
          <w:color w:val="231F1F"/>
        </w:rPr>
        <w:t>grupo</w:t>
      </w:r>
      <w:r>
        <w:rPr>
          <w:color w:val="231F1F"/>
          <w:spacing w:val="40"/>
        </w:rPr>
        <w:t> </w:t>
      </w:r>
      <w:r>
        <w:rPr>
          <w:color w:val="231F1F"/>
        </w:rPr>
        <w:t>que</w:t>
      </w:r>
      <w:r>
        <w:rPr>
          <w:color w:val="231F1F"/>
          <w:spacing w:val="40"/>
        </w:rPr>
        <w:t> </w:t>
      </w:r>
      <w:r>
        <w:rPr>
          <w:color w:val="231F1F"/>
        </w:rPr>
        <w:t>únicamen- </w:t>
      </w:r>
      <w:r>
        <w:rPr>
          <w:color w:val="231F1F"/>
          <w:w w:val="110"/>
        </w:rPr>
        <w:t>te</w:t>
      </w:r>
      <w:r>
        <w:rPr>
          <w:color w:val="231F1F"/>
          <w:w w:val="110"/>
        </w:rPr>
        <w:t> bebía</w:t>
      </w:r>
      <w:r>
        <w:rPr>
          <w:color w:val="231F1F"/>
          <w:w w:val="110"/>
        </w:rPr>
        <w:t> agua</w:t>
      </w:r>
      <w:r>
        <w:rPr>
          <w:color w:val="231F1F"/>
          <w:w w:val="110"/>
        </w:rPr>
        <w:t> (0</w:t>
      </w:r>
      <w:r>
        <w:rPr>
          <w:color w:val="231F1F"/>
          <w:w w:val="110"/>
        </w:rPr>
        <w:t> kcal/hora).</w:t>
      </w:r>
      <w:r>
        <w:rPr>
          <w:color w:val="231F1F"/>
          <w:w w:val="110"/>
        </w:rPr>
        <w:t> Sin</w:t>
      </w:r>
      <w:r>
        <w:rPr>
          <w:color w:val="231F1F"/>
          <w:w w:val="110"/>
        </w:rPr>
        <w:t> embargo,</w:t>
      </w:r>
      <w:r>
        <w:rPr>
          <w:color w:val="231F1F"/>
          <w:w w:val="110"/>
        </w:rPr>
        <w:t> no</w:t>
      </w:r>
      <w:r>
        <w:rPr>
          <w:color w:val="231F1F"/>
          <w:w w:val="110"/>
        </w:rPr>
        <w:t> existieron</w:t>
      </w:r>
      <w:r>
        <w:rPr>
          <w:color w:val="231F1F"/>
          <w:w w:val="110"/>
        </w:rPr>
        <w:t> diferencias</w:t>
      </w:r>
      <w:r>
        <w:rPr>
          <w:color w:val="231F1F"/>
          <w:w w:val="110"/>
        </w:rPr>
        <w:t> entre </w:t>
      </w:r>
      <w:r>
        <w:rPr>
          <w:color w:val="231F1F"/>
        </w:rPr>
        <w:t>grupos</w:t>
      </w:r>
      <w:r>
        <w:rPr>
          <w:color w:val="231F1F"/>
          <w:spacing w:val="28"/>
        </w:rPr>
        <w:t> </w:t>
      </w:r>
      <w:r>
        <w:rPr>
          <w:color w:val="231F1F"/>
        </w:rPr>
        <w:t>en</w:t>
      </w:r>
      <w:r>
        <w:rPr>
          <w:color w:val="231F1F"/>
          <w:spacing w:val="28"/>
        </w:rPr>
        <w:t> </w:t>
      </w:r>
      <w:r>
        <w:rPr>
          <w:color w:val="231F1F"/>
        </w:rPr>
        <w:t>el</w:t>
      </w:r>
      <w:r>
        <w:rPr>
          <w:color w:val="231F1F"/>
          <w:spacing w:val="28"/>
        </w:rPr>
        <w:t> </w:t>
      </w:r>
      <w:r>
        <w:rPr>
          <w:color w:val="231F1F"/>
        </w:rPr>
        <w:t>área</w:t>
      </w:r>
      <w:r>
        <w:rPr>
          <w:color w:val="231F1F"/>
          <w:spacing w:val="28"/>
        </w:rPr>
        <w:t> </w:t>
      </w:r>
      <w:r>
        <w:rPr>
          <w:color w:val="231F1F"/>
        </w:rPr>
        <w:t>del</w:t>
      </w:r>
      <w:r>
        <w:rPr>
          <w:color w:val="231F1F"/>
          <w:spacing w:val="28"/>
        </w:rPr>
        <w:t> </w:t>
      </w:r>
      <w:r>
        <w:rPr>
          <w:color w:val="231F1F"/>
        </w:rPr>
        <w:t>antro</w:t>
      </w:r>
      <w:r>
        <w:rPr>
          <w:color w:val="231F1F"/>
          <w:spacing w:val="28"/>
        </w:rPr>
        <w:t> </w:t>
      </w:r>
      <w:r>
        <w:rPr>
          <w:color w:val="231F1F"/>
        </w:rPr>
        <w:t>gástrico,</w:t>
      </w:r>
      <w:r>
        <w:rPr>
          <w:color w:val="231F1F"/>
          <w:spacing w:val="28"/>
        </w:rPr>
        <w:t> </w:t>
      </w:r>
      <w:r>
        <w:rPr>
          <w:color w:val="231F1F"/>
        </w:rPr>
        <w:t>volumen</w:t>
      </w:r>
      <w:r>
        <w:rPr>
          <w:color w:val="231F1F"/>
          <w:spacing w:val="28"/>
        </w:rPr>
        <w:t> </w:t>
      </w:r>
      <w:r>
        <w:rPr>
          <w:color w:val="231F1F"/>
        </w:rPr>
        <w:t>vomitado</w:t>
      </w:r>
      <w:r>
        <w:rPr>
          <w:color w:val="231F1F"/>
          <w:spacing w:val="28"/>
        </w:rPr>
        <w:t> </w:t>
      </w:r>
      <w:r>
        <w:rPr>
          <w:color w:val="231F1F"/>
        </w:rPr>
        <w:t>tras</w:t>
      </w:r>
      <w:r>
        <w:rPr>
          <w:color w:val="231F1F"/>
          <w:spacing w:val="28"/>
        </w:rPr>
        <w:t> </w:t>
      </w:r>
      <w:r>
        <w:rPr>
          <w:color w:val="231F1F"/>
        </w:rPr>
        <w:t>una</w:t>
      </w:r>
      <w:r>
        <w:rPr>
          <w:color w:val="231F1F"/>
          <w:spacing w:val="28"/>
        </w:rPr>
        <w:t> </w:t>
      </w:r>
      <w:r>
        <w:rPr>
          <w:color w:val="231F1F"/>
        </w:rPr>
        <w:t>hora</w:t>
      </w:r>
      <w:r>
        <w:rPr>
          <w:color w:val="231F1F"/>
          <w:spacing w:val="28"/>
        </w:rPr>
        <w:t> </w:t>
      </w:r>
      <w:r>
        <w:rPr>
          <w:color w:val="231F1F"/>
        </w:rPr>
        <w:t>del</w:t>
      </w:r>
      <w:r>
        <w:rPr>
          <w:color w:val="231F1F"/>
          <w:spacing w:val="28"/>
        </w:rPr>
        <w:t> </w:t>
      </w:r>
      <w:r>
        <w:rPr>
          <w:color w:val="231F1F"/>
        </w:rPr>
        <w:t>parto </w:t>
      </w:r>
      <w:r>
        <w:rPr>
          <w:color w:val="231F1F"/>
          <w:w w:val="110"/>
        </w:rPr>
        <w:t>o</w:t>
      </w:r>
      <w:r>
        <w:rPr>
          <w:color w:val="231F1F"/>
          <w:spacing w:val="-4"/>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volumen</w:t>
      </w:r>
      <w:r>
        <w:rPr>
          <w:color w:val="231F1F"/>
          <w:spacing w:val="-5"/>
          <w:w w:val="110"/>
        </w:rPr>
        <w:t> </w:t>
      </w:r>
      <w:r>
        <w:rPr>
          <w:color w:val="231F1F"/>
          <w:w w:val="110"/>
        </w:rPr>
        <w:t>vomitado</w:t>
      </w:r>
      <w:r>
        <w:rPr>
          <w:color w:val="231F1F"/>
          <w:spacing w:val="-4"/>
          <w:w w:val="110"/>
        </w:rPr>
        <w:t> </w:t>
      </w:r>
      <w:r>
        <w:rPr>
          <w:color w:val="231F1F"/>
          <w:w w:val="110"/>
        </w:rPr>
        <w:t>a</w:t>
      </w:r>
      <w:r>
        <w:rPr>
          <w:color w:val="231F1F"/>
          <w:spacing w:val="-4"/>
          <w:w w:val="110"/>
        </w:rPr>
        <w:t> </w:t>
      </w:r>
      <w:r>
        <w:rPr>
          <w:color w:val="231F1F"/>
          <w:w w:val="110"/>
        </w:rPr>
        <w:t>lo</w:t>
      </w:r>
      <w:r>
        <w:rPr>
          <w:color w:val="231F1F"/>
          <w:spacing w:val="-4"/>
          <w:w w:val="110"/>
        </w:rPr>
        <w:t> </w:t>
      </w:r>
      <w:r>
        <w:rPr>
          <w:color w:val="231F1F"/>
          <w:w w:val="110"/>
        </w:rPr>
        <w:t>largo</w:t>
      </w:r>
      <w:r>
        <w:rPr>
          <w:color w:val="231F1F"/>
          <w:spacing w:val="-4"/>
          <w:w w:val="110"/>
        </w:rPr>
        <w:t> </w:t>
      </w:r>
      <w:r>
        <w:rPr>
          <w:color w:val="231F1F"/>
          <w:w w:val="110"/>
        </w:rPr>
        <w:t>de</w:t>
      </w:r>
      <w:r>
        <w:rPr>
          <w:color w:val="231F1F"/>
          <w:spacing w:val="-4"/>
          <w:w w:val="110"/>
        </w:rPr>
        <w:t> </w:t>
      </w:r>
      <w:r>
        <w:rPr>
          <w:color w:val="231F1F"/>
          <w:w w:val="110"/>
        </w:rPr>
        <w:t>las</w:t>
      </w:r>
      <w:r>
        <w:rPr>
          <w:color w:val="231F1F"/>
          <w:spacing w:val="-5"/>
          <w:w w:val="110"/>
        </w:rPr>
        <w:t> </w:t>
      </w:r>
      <w:r>
        <w:rPr>
          <w:color w:val="231F1F"/>
          <w:w w:val="110"/>
        </w:rPr>
        <w:t>labores</w:t>
      </w:r>
      <w:r>
        <w:rPr>
          <w:color w:val="231F1F"/>
          <w:spacing w:val="-5"/>
          <w:w w:val="110"/>
        </w:rPr>
        <w:t> </w:t>
      </w:r>
      <w:r>
        <w:rPr>
          <w:color w:val="231F1F"/>
          <w:w w:val="110"/>
        </w:rPr>
        <w:t>de</w:t>
      </w:r>
      <w:r>
        <w:rPr>
          <w:color w:val="231F1F"/>
          <w:spacing w:val="-5"/>
          <w:w w:val="110"/>
        </w:rPr>
        <w:t> </w:t>
      </w:r>
      <w:r>
        <w:rPr>
          <w:color w:val="231F1F"/>
          <w:w w:val="110"/>
        </w:rPr>
        <w:t>parto.</w:t>
      </w:r>
      <w:r>
        <w:rPr>
          <w:color w:val="231F1F"/>
          <w:spacing w:val="-5"/>
          <w:w w:val="110"/>
        </w:rPr>
        <w:t> </w:t>
      </w:r>
      <w:r>
        <w:rPr>
          <w:color w:val="231F1F"/>
          <w:w w:val="110"/>
        </w:rPr>
        <w:t>Tampoco</w:t>
      </w:r>
      <w:r>
        <w:rPr>
          <w:color w:val="231F1F"/>
          <w:spacing w:val="-4"/>
          <w:w w:val="110"/>
        </w:rPr>
        <w:t> </w:t>
      </w:r>
      <w:r>
        <w:rPr>
          <w:color w:val="231F1F"/>
          <w:w w:val="110"/>
        </w:rPr>
        <w:t>exis- tieron</w:t>
      </w:r>
      <w:r>
        <w:rPr>
          <w:color w:val="231F1F"/>
          <w:spacing w:val="-2"/>
          <w:w w:val="110"/>
        </w:rPr>
        <w:t> </w:t>
      </w:r>
      <w:r>
        <w:rPr>
          <w:color w:val="231F1F"/>
          <w:w w:val="110"/>
        </w:rPr>
        <w:t>diferencias</w:t>
      </w:r>
      <w:r>
        <w:rPr>
          <w:color w:val="231F1F"/>
          <w:spacing w:val="-2"/>
          <w:w w:val="110"/>
        </w:rPr>
        <w:t> </w:t>
      </w:r>
      <w:r>
        <w:rPr>
          <w:color w:val="231F1F"/>
          <w:w w:val="110"/>
        </w:rPr>
        <w:t>entre</w:t>
      </w:r>
      <w:r>
        <w:rPr>
          <w:color w:val="231F1F"/>
          <w:spacing w:val="-2"/>
          <w:w w:val="110"/>
        </w:rPr>
        <w:t> </w:t>
      </w:r>
      <w:r>
        <w:rPr>
          <w:color w:val="231F1F"/>
          <w:w w:val="110"/>
        </w:rPr>
        <w:t>los</w:t>
      </w:r>
      <w:r>
        <w:rPr>
          <w:color w:val="231F1F"/>
          <w:spacing w:val="-2"/>
          <w:w w:val="110"/>
        </w:rPr>
        <w:t> </w:t>
      </w:r>
      <w:r>
        <w:rPr>
          <w:color w:val="231F1F"/>
          <w:w w:val="110"/>
        </w:rPr>
        <w:t>dos</w:t>
      </w:r>
      <w:r>
        <w:rPr>
          <w:color w:val="231F1F"/>
          <w:spacing w:val="-2"/>
          <w:w w:val="110"/>
        </w:rPr>
        <w:t> </w:t>
      </w:r>
      <w:r>
        <w:rPr>
          <w:color w:val="231F1F"/>
          <w:w w:val="110"/>
        </w:rPr>
        <w:t>grupos</w:t>
      </w:r>
      <w:r>
        <w:rPr>
          <w:color w:val="231F1F"/>
          <w:spacing w:val="-2"/>
          <w:w w:val="110"/>
        </w:rPr>
        <w:t> </w:t>
      </w:r>
      <w:r>
        <w:rPr>
          <w:color w:val="231F1F"/>
          <w:w w:val="110"/>
        </w:rPr>
        <w:t>con</w:t>
      </w:r>
      <w:r>
        <w:rPr>
          <w:color w:val="231F1F"/>
          <w:spacing w:val="-2"/>
          <w:w w:val="110"/>
        </w:rPr>
        <w:t> </w:t>
      </w:r>
      <w:r>
        <w:rPr>
          <w:color w:val="231F1F"/>
          <w:w w:val="110"/>
        </w:rPr>
        <w:t>respecto</w:t>
      </w:r>
      <w:r>
        <w:rPr>
          <w:color w:val="231F1F"/>
          <w:spacing w:val="-2"/>
          <w:w w:val="110"/>
        </w:rPr>
        <w:t> </w:t>
      </w:r>
      <w:r>
        <w:rPr>
          <w:color w:val="231F1F"/>
          <w:w w:val="110"/>
        </w:rPr>
        <w:t>a</w:t>
      </w:r>
      <w:r>
        <w:rPr>
          <w:color w:val="231F1F"/>
          <w:spacing w:val="-2"/>
          <w:w w:val="110"/>
        </w:rPr>
        <w:t> </w:t>
      </w:r>
      <w:r>
        <w:rPr>
          <w:color w:val="231F1F"/>
          <w:w w:val="110"/>
        </w:rPr>
        <w:t>la</w:t>
      </w:r>
      <w:r>
        <w:rPr>
          <w:color w:val="231F1F"/>
          <w:spacing w:val="-2"/>
          <w:w w:val="110"/>
        </w:rPr>
        <w:t> </w:t>
      </w:r>
      <w:r>
        <w:rPr>
          <w:color w:val="231F1F"/>
          <w:w w:val="110"/>
        </w:rPr>
        <w:t>duración</w:t>
      </w:r>
      <w:r>
        <w:rPr>
          <w:color w:val="231F1F"/>
          <w:spacing w:val="-2"/>
          <w:w w:val="110"/>
        </w:rPr>
        <w:t> </w:t>
      </w:r>
      <w:r>
        <w:rPr>
          <w:color w:val="231F1F"/>
          <w:w w:val="110"/>
        </w:rPr>
        <w:t>del</w:t>
      </w:r>
      <w:r>
        <w:rPr>
          <w:color w:val="231F1F"/>
          <w:spacing w:val="-2"/>
          <w:w w:val="110"/>
        </w:rPr>
        <w:t> </w:t>
      </w:r>
      <w:r>
        <w:rPr>
          <w:color w:val="231F1F"/>
          <w:w w:val="110"/>
        </w:rPr>
        <w:t>parto, uso</w:t>
      </w:r>
      <w:r>
        <w:rPr>
          <w:color w:val="231F1F"/>
          <w:spacing w:val="-1"/>
          <w:w w:val="110"/>
        </w:rPr>
        <w:t> </w:t>
      </w:r>
      <w:r>
        <w:rPr>
          <w:color w:val="231F1F"/>
          <w:w w:val="110"/>
        </w:rPr>
        <w:t>de</w:t>
      </w:r>
      <w:r>
        <w:rPr>
          <w:color w:val="231F1F"/>
          <w:spacing w:val="-1"/>
          <w:w w:val="110"/>
        </w:rPr>
        <w:t> </w:t>
      </w:r>
      <w:r>
        <w:rPr>
          <w:color w:val="231F1F"/>
          <w:w w:val="110"/>
        </w:rPr>
        <w:t>oxitocina,</w:t>
      </w:r>
      <w:r>
        <w:rPr>
          <w:color w:val="231F1F"/>
          <w:spacing w:val="-2"/>
          <w:w w:val="110"/>
        </w:rPr>
        <w:t> </w:t>
      </w:r>
      <w:r>
        <w:rPr>
          <w:color w:val="231F1F"/>
          <w:w w:val="110"/>
        </w:rPr>
        <w:t>modo</w:t>
      </w:r>
      <w:r>
        <w:rPr>
          <w:color w:val="231F1F"/>
          <w:spacing w:val="-1"/>
          <w:w w:val="110"/>
        </w:rPr>
        <w:t> </w:t>
      </w:r>
      <w:r>
        <w:rPr>
          <w:color w:val="231F1F"/>
          <w:w w:val="110"/>
        </w:rPr>
        <w:t>de</w:t>
      </w:r>
      <w:r>
        <w:rPr>
          <w:color w:val="231F1F"/>
          <w:spacing w:val="-1"/>
          <w:w w:val="110"/>
        </w:rPr>
        <w:t> </w:t>
      </w:r>
      <w:r>
        <w:rPr>
          <w:color w:val="231F1F"/>
          <w:w w:val="110"/>
        </w:rPr>
        <w:t>dar</w:t>
      </w:r>
      <w:r>
        <w:rPr>
          <w:color w:val="231F1F"/>
          <w:spacing w:val="-2"/>
          <w:w w:val="110"/>
        </w:rPr>
        <w:t> </w:t>
      </w:r>
      <w:r>
        <w:rPr>
          <w:color w:val="231F1F"/>
          <w:w w:val="110"/>
        </w:rPr>
        <w:t>a</w:t>
      </w:r>
      <w:r>
        <w:rPr>
          <w:color w:val="231F1F"/>
          <w:spacing w:val="-1"/>
          <w:w w:val="110"/>
        </w:rPr>
        <w:t> </w:t>
      </w:r>
      <w:r>
        <w:rPr>
          <w:color w:val="231F1F"/>
          <w:w w:val="110"/>
        </w:rPr>
        <w:t>luz</w:t>
      </w:r>
      <w:r>
        <w:rPr>
          <w:color w:val="231F1F"/>
          <w:spacing w:val="-1"/>
          <w:w w:val="110"/>
        </w:rPr>
        <w:t> </w:t>
      </w:r>
      <w:r>
        <w:rPr>
          <w:color w:val="231F1F"/>
          <w:w w:val="110"/>
        </w:rPr>
        <w:t>o</w:t>
      </w:r>
      <w:r>
        <w:rPr>
          <w:color w:val="231F1F"/>
          <w:spacing w:val="-1"/>
          <w:w w:val="110"/>
        </w:rPr>
        <w:t> </w:t>
      </w:r>
      <w:r>
        <w:rPr>
          <w:color w:val="231F1F"/>
          <w:w w:val="110"/>
        </w:rPr>
        <w:t>uso</w:t>
      </w:r>
      <w:r>
        <w:rPr>
          <w:color w:val="231F1F"/>
          <w:spacing w:val="-1"/>
          <w:w w:val="110"/>
        </w:rPr>
        <w:t> </w:t>
      </w:r>
      <w:r>
        <w:rPr>
          <w:color w:val="231F1F"/>
          <w:w w:val="110"/>
        </w:rPr>
        <w:t>de</w:t>
      </w:r>
      <w:r>
        <w:rPr>
          <w:color w:val="231F1F"/>
          <w:spacing w:val="-1"/>
          <w:w w:val="110"/>
        </w:rPr>
        <w:t> </w:t>
      </w:r>
      <w:r>
        <w:rPr>
          <w:color w:val="231F1F"/>
          <w:w w:val="110"/>
        </w:rPr>
        <w:t>analgesia</w:t>
      </w:r>
      <w:r>
        <w:rPr>
          <w:color w:val="231F1F"/>
          <w:spacing w:val="-1"/>
          <w:w w:val="110"/>
        </w:rPr>
        <w:t> </w:t>
      </w:r>
      <w:r>
        <w:rPr>
          <w:color w:val="231F1F"/>
          <w:w w:val="110"/>
        </w:rPr>
        <w:t>epidural.</w:t>
      </w:r>
      <w:r>
        <w:rPr>
          <w:color w:val="231F1F"/>
          <w:spacing w:val="-2"/>
          <w:w w:val="110"/>
        </w:rPr>
        <w:t> </w:t>
      </w:r>
      <w:r>
        <w:rPr>
          <w:color w:val="231F1F"/>
          <w:w w:val="110"/>
        </w:rPr>
        <w:t>Aunque</w:t>
      </w:r>
      <w:r>
        <w:rPr>
          <w:color w:val="231F1F"/>
          <w:spacing w:val="-1"/>
          <w:w w:val="110"/>
        </w:rPr>
        <w:t> </w:t>
      </w:r>
      <w:r>
        <w:rPr>
          <w:color w:val="231F1F"/>
          <w:w w:val="110"/>
        </w:rPr>
        <w:t>el estudio</w:t>
      </w:r>
      <w:r>
        <w:rPr>
          <w:color w:val="231F1F"/>
          <w:spacing w:val="-11"/>
          <w:w w:val="110"/>
        </w:rPr>
        <w:t> </w:t>
      </w:r>
      <w:r>
        <w:rPr>
          <w:color w:val="231F1F"/>
          <w:w w:val="110"/>
        </w:rPr>
        <w:t>presenta</w:t>
      </w:r>
      <w:r>
        <w:rPr>
          <w:color w:val="231F1F"/>
          <w:spacing w:val="-11"/>
          <w:w w:val="110"/>
        </w:rPr>
        <w:t> </w:t>
      </w:r>
      <w:r>
        <w:rPr>
          <w:color w:val="231F1F"/>
          <w:w w:val="110"/>
        </w:rPr>
        <w:t>los</w:t>
      </w:r>
      <w:r>
        <w:rPr>
          <w:color w:val="231F1F"/>
          <w:spacing w:val="-11"/>
          <w:w w:val="110"/>
        </w:rPr>
        <w:t> </w:t>
      </w:r>
      <w:r>
        <w:rPr>
          <w:color w:val="231F1F"/>
          <w:w w:val="110"/>
        </w:rPr>
        <w:t>datos</w:t>
      </w:r>
      <w:r>
        <w:rPr>
          <w:color w:val="231F1F"/>
          <w:spacing w:val="-11"/>
          <w:w w:val="110"/>
        </w:rPr>
        <w:t> </w:t>
      </w:r>
      <w:r>
        <w:rPr>
          <w:color w:val="231F1F"/>
          <w:w w:val="110"/>
        </w:rPr>
        <w:t>únicamente</w:t>
      </w:r>
      <w:r>
        <w:rPr>
          <w:color w:val="231F1F"/>
          <w:spacing w:val="-11"/>
          <w:w w:val="110"/>
        </w:rPr>
        <w:t> </w:t>
      </w:r>
      <w:r>
        <w:rPr>
          <w:color w:val="231F1F"/>
          <w:w w:val="110"/>
        </w:rPr>
        <w:t>con</w:t>
      </w:r>
      <w:r>
        <w:rPr>
          <w:color w:val="231F1F"/>
          <w:spacing w:val="-11"/>
          <w:w w:val="110"/>
        </w:rPr>
        <w:t> </w:t>
      </w:r>
      <w:r>
        <w:rPr>
          <w:color w:val="231F1F"/>
          <w:w w:val="110"/>
        </w:rPr>
        <w:t>medias</w:t>
      </w:r>
      <w:r>
        <w:rPr>
          <w:color w:val="231F1F"/>
          <w:spacing w:val="-11"/>
          <w:w w:val="110"/>
        </w:rPr>
        <w:t> </w:t>
      </w:r>
      <w:r>
        <w:rPr>
          <w:color w:val="231F1F"/>
          <w:w w:val="110"/>
        </w:rPr>
        <w:t>o</w:t>
      </w:r>
      <w:r>
        <w:rPr>
          <w:color w:val="231F1F"/>
          <w:spacing w:val="-11"/>
          <w:w w:val="110"/>
        </w:rPr>
        <w:t> </w:t>
      </w:r>
      <w:r>
        <w:rPr>
          <w:color w:val="231F1F"/>
          <w:w w:val="110"/>
        </w:rPr>
        <w:t>proporciones</w:t>
      </w:r>
      <w:r>
        <w:rPr>
          <w:color w:val="231F1F"/>
          <w:spacing w:val="-11"/>
          <w:w w:val="110"/>
        </w:rPr>
        <w:t> </w:t>
      </w:r>
      <w:r>
        <w:rPr>
          <w:color w:val="231F1F"/>
          <w:w w:val="110"/>
        </w:rPr>
        <w:t>y</w:t>
      </w:r>
      <w:r>
        <w:rPr>
          <w:color w:val="231F1F"/>
          <w:spacing w:val="-11"/>
          <w:w w:val="110"/>
        </w:rPr>
        <w:t> </w:t>
      </w:r>
      <w:r>
        <w:rPr>
          <w:color w:val="231F1F"/>
          <w:w w:val="110"/>
        </w:rPr>
        <w:t>advierte que</w:t>
      </w:r>
      <w:r>
        <w:rPr>
          <w:color w:val="231F1F"/>
          <w:spacing w:val="-7"/>
          <w:w w:val="110"/>
        </w:rPr>
        <w:t> </w:t>
      </w:r>
      <w:r>
        <w:rPr>
          <w:color w:val="231F1F"/>
          <w:w w:val="110"/>
        </w:rPr>
        <w:t>todos</w:t>
      </w:r>
      <w:r>
        <w:rPr>
          <w:color w:val="231F1F"/>
          <w:spacing w:val="-7"/>
          <w:w w:val="110"/>
        </w:rPr>
        <w:t> </w:t>
      </w:r>
      <w:r>
        <w:rPr>
          <w:color w:val="231F1F"/>
          <w:w w:val="110"/>
        </w:rPr>
        <w:t>los</w:t>
      </w:r>
      <w:r>
        <w:rPr>
          <w:color w:val="231F1F"/>
          <w:spacing w:val="-7"/>
          <w:w w:val="110"/>
        </w:rPr>
        <w:t> </w:t>
      </w:r>
      <w:r>
        <w:rPr>
          <w:color w:val="231F1F"/>
          <w:w w:val="110"/>
        </w:rPr>
        <w:t>resultados</w:t>
      </w:r>
      <w:r>
        <w:rPr>
          <w:color w:val="231F1F"/>
          <w:spacing w:val="-6"/>
          <w:w w:val="110"/>
        </w:rPr>
        <w:t> </w:t>
      </w:r>
      <w:r>
        <w:rPr>
          <w:color w:val="231F1F"/>
          <w:w w:val="110"/>
        </w:rPr>
        <w:t>fueron</w:t>
      </w:r>
      <w:r>
        <w:rPr>
          <w:color w:val="231F1F"/>
          <w:spacing w:val="-6"/>
          <w:w w:val="110"/>
        </w:rPr>
        <w:t> </w:t>
      </w:r>
      <w:r>
        <w:rPr>
          <w:color w:val="231F1F"/>
          <w:w w:val="110"/>
        </w:rPr>
        <w:t>no</w:t>
      </w:r>
      <w:r>
        <w:rPr>
          <w:color w:val="231F1F"/>
          <w:spacing w:val="-6"/>
          <w:w w:val="110"/>
        </w:rPr>
        <w:t> </w:t>
      </w:r>
      <w:r>
        <w:rPr>
          <w:color w:val="231F1F"/>
          <w:w w:val="110"/>
        </w:rPr>
        <w:t>significativos,</w:t>
      </w:r>
      <w:r>
        <w:rPr>
          <w:color w:val="231F1F"/>
          <w:spacing w:val="-8"/>
          <w:w w:val="110"/>
        </w:rPr>
        <w:t> </w:t>
      </w:r>
      <w:r>
        <w:rPr>
          <w:color w:val="231F1F"/>
          <w:w w:val="110"/>
        </w:rPr>
        <w:t>se</w:t>
      </w:r>
      <w:r>
        <w:rPr>
          <w:color w:val="231F1F"/>
          <w:spacing w:val="-7"/>
          <w:w w:val="110"/>
        </w:rPr>
        <w:t> </w:t>
      </w:r>
      <w:r>
        <w:rPr>
          <w:color w:val="231F1F"/>
          <w:w w:val="110"/>
        </w:rPr>
        <w:t>concluye</w:t>
      </w:r>
      <w:r>
        <w:rPr>
          <w:color w:val="231F1F"/>
          <w:spacing w:val="-6"/>
          <w:w w:val="110"/>
        </w:rPr>
        <w:t> </w:t>
      </w:r>
      <w:r>
        <w:rPr>
          <w:color w:val="231F1F"/>
          <w:w w:val="110"/>
        </w:rPr>
        <w:t>que</w:t>
      </w:r>
      <w:r>
        <w:rPr>
          <w:color w:val="231F1F"/>
          <w:spacing w:val="-7"/>
          <w:w w:val="110"/>
        </w:rPr>
        <w:t> </w:t>
      </w:r>
      <w:r>
        <w:rPr>
          <w:color w:val="231F1F"/>
          <w:w w:val="110"/>
        </w:rPr>
        <w:t>la</w:t>
      </w:r>
      <w:r>
        <w:rPr>
          <w:color w:val="231F1F"/>
          <w:spacing w:val="-6"/>
          <w:w w:val="110"/>
        </w:rPr>
        <w:t> </w:t>
      </w:r>
      <w:r>
        <w:rPr>
          <w:color w:val="231F1F"/>
          <w:w w:val="110"/>
        </w:rPr>
        <w:t>cetosis </w:t>
      </w:r>
      <w:r>
        <w:rPr>
          <w:color w:val="231F1F"/>
        </w:rPr>
        <w:t>podría prevenirse con una ingesta relativamente pequeña de calorías suminis- </w:t>
      </w:r>
      <w:r>
        <w:rPr>
          <w:color w:val="231F1F"/>
          <w:w w:val="110"/>
        </w:rPr>
        <w:t>tradas mediante la toma de bebidas isotónicas.</w:t>
      </w:r>
    </w:p>
    <w:p>
      <w:pPr>
        <w:pStyle w:val="BodyText"/>
        <w:spacing w:before="94"/>
      </w:pPr>
    </w:p>
    <w:p>
      <w:pPr>
        <w:spacing w:before="1"/>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junio</w:t>
      </w:r>
      <w:r>
        <w:rPr>
          <w:rFonts w:ascii="Arial MT" w:hAnsi="Arial MT"/>
          <w:color w:val="231F1F"/>
          <w:spacing w:val="18"/>
          <w:sz w:val="24"/>
        </w:rPr>
        <w:t> </w:t>
      </w:r>
      <w:r>
        <w:rPr>
          <w:rFonts w:ascii="Arial MT" w:hAnsi="Arial MT"/>
          <w:color w:val="231F1F"/>
          <w:spacing w:val="-2"/>
          <w:sz w:val="24"/>
        </w:rPr>
        <w:t>2008)</w:t>
      </w:r>
    </w:p>
    <w:p>
      <w:pPr>
        <w:pStyle w:val="BodyText"/>
        <w:spacing w:line="244" w:lineRule="auto" w:before="209"/>
        <w:ind w:left="283" w:right="1369"/>
        <w:jc w:val="both"/>
      </w:pPr>
      <w:r>
        <w:rPr>
          <w:color w:val="231F1F"/>
          <w:w w:val="105"/>
        </w:rPr>
        <w:t>Se encontraron siete estudios que no fueron seleccionados por no cumplir los criterios de inclusión establecidos, por lo que el volumen y calidad de la evi- dencia es aportada por la guía NICE (10).</w:t>
      </w:r>
    </w:p>
    <w:p>
      <w:pPr>
        <w:pStyle w:val="BodyText"/>
        <w:spacing w:line="252" w:lineRule="auto" w:before="138"/>
        <w:ind w:left="283" w:right="1368" w:firstLine="453"/>
        <w:jc w:val="both"/>
      </w:pPr>
      <w:r>
        <w:rPr>
          <w:color w:val="231F1F"/>
          <w:w w:val="110"/>
        </w:rPr>
        <w:t>En</w:t>
      </w:r>
      <w:r>
        <w:rPr>
          <w:color w:val="231F1F"/>
          <w:spacing w:val="-10"/>
          <w:w w:val="110"/>
        </w:rPr>
        <w:t> </w:t>
      </w:r>
      <w:r>
        <w:rPr>
          <w:color w:val="231F1F"/>
          <w:w w:val="110"/>
        </w:rPr>
        <w:t>resumen</w:t>
      </w:r>
      <w:r>
        <w:rPr>
          <w:color w:val="231F1F"/>
          <w:spacing w:val="-11"/>
          <w:w w:val="110"/>
        </w:rPr>
        <w:t> </w:t>
      </w:r>
      <w:r>
        <w:rPr>
          <w:color w:val="231F1F"/>
          <w:w w:val="110"/>
        </w:rPr>
        <w:t>existe</w:t>
      </w:r>
      <w:r>
        <w:rPr>
          <w:color w:val="231F1F"/>
          <w:spacing w:val="-10"/>
          <w:w w:val="110"/>
        </w:rPr>
        <w:t> </w:t>
      </w:r>
      <w:r>
        <w:rPr>
          <w:color w:val="231F1F"/>
          <w:w w:val="110"/>
        </w:rPr>
        <w:t>evidencia</w:t>
      </w:r>
      <w:r>
        <w:rPr>
          <w:color w:val="231F1F"/>
          <w:spacing w:val="-11"/>
          <w:w w:val="110"/>
        </w:rPr>
        <w:t> </w:t>
      </w:r>
      <w:r>
        <w:rPr>
          <w:color w:val="231F1F"/>
          <w:w w:val="110"/>
        </w:rPr>
        <w:t>que</w:t>
      </w:r>
      <w:r>
        <w:rPr>
          <w:color w:val="231F1F"/>
          <w:spacing w:val="-10"/>
          <w:w w:val="110"/>
        </w:rPr>
        <w:t> </w:t>
      </w:r>
      <w:r>
        <w:rPr>
          <w:color w:val="231F1F"/>
          <w:w w:val="110"/>
        </w:rPr>
        <w:t>apoya</w:t>
      </w:r>
      <w:r>
        <w:rPr>
          <w:color w:val="231F1F"/>
          <w:spacing w:val="-11"/>
          <w:w w:val="110"/>
        </w:rPr>
        <w:t> </w:t>
      </w:r>
      <w:r>
        <w:rPr>
          <w:color w:val="231F1F"/>
          <w:w w:val="110"/>
        </w:rPr>
        <w:t>que</w:t>
      </w:r>
      <w:r>
        <w:rPr>
          <w:color w:val="231F1F"/>
          <w:spacing w:val="-10"/>
          <w:w w:val="110"/>
        </w:rPr>
        <w:t> </w:t>
      </w:r>
      <w:r>
        <w:rPr>
          <w:color w:val="231F1F"/>
          <w:w w:val="110"/>
        </w:rPr>
        <w:t>la</w:t>
      </w:r>
      <w:r>
        <w:rPr>
          <w:color w:val="231F1F"/>
          <w:spacing w:val="-11"/>
          <w:w w:val="110"/>
        </w:rPr>
        <w:t> </w:t>
      </w:r>
      <w:r>
        <w:rPr>
          <w:color w:val="231F1F"/>
          <w:w w:val="110"/>
        </w:rPr>
        <w:t>cetosis</w:t>
      </w:r>
      <w:r>
        <w:rPr>
          <w:color w:val="231F1F"/>
          <w:spacing w:val="-10"/>
          <w:w w:val="110"/>
        </w:rPr>
        <w:t> </w:t>
      </w:r>
      <w:r>
        <w:rPr>
          <w:color w:val="231F1F"/>
          <w:w w:val="110"/>
        </w:rPr>
        <w:t>puede</w:t>
      </w:r>
      <w:r>
        <w:rPr>
          <w:color w:val="231F1F"/>
          <w:spacing w:val="-11"/>
          <w:w w:val="110"/>
        </w:rPr>
        <w:t> </w:t>
      </w:r>
      <w:r>
        <w:rPr>
          <w:color w:val="231F1F"/>
          <w:w w:val="110"/>
        </w:rPr>
        <w:t>prevenirse </w:t>
      </w:r>
      <w:r>
        <w:rPr>
          <w:color w:val="231F1F"/>
        </w:rPr>
        <w:t>con ingestas calóricas relativamente pequeñas suministradas mediante bebidas </w:t>
      </w:r>
      <w:r>
        <w:rPr>
          <w:color w:val="231F1F"/>
          <w:w w:val="110"/>
        </w:rPr>
        <w:t>isotónicas.</w:t>
      </w:r>
      <w:r>
        <w:rPr>
          <w:color w:val="231F1F"/>
          <w:spacing w:val="-8"/>
          <w:w w:val="110"/>
        </w:rPr>
        <w:t> </w:t>
      </w:r>
      <w:r>
        <w:rPr>
          <w:color w:val="231F1F"/>
          <w:w w:val="110"/>
        </w:rPr>
        <w:t>Por</w:t>
      </w:r>
      <w:r>
        <w:rPr>
          <w:color w:val="231F1F"/>
          <w:spacing w:val="-8"/>
          <w:w w:val="110"/>
        </w:rPr>
        <w:t> </w:t>
      </w:r>
      <w:r>
        <w:rPr>
          <w:color w:val="231F1F"/>
          <w:w w:val="110"/>
        </w:rPr>
        <w:t>otro</w:t>
      </w:r>
      <w:r>
        <w:rPr>
          <w:color w:val="231F1F"/>
          <w:spacing w:val="-7"/>
          <w:w w:val="110"/>
        </w:rPr>
        <w:t> </w:t>
      </w:r>
      <w:r>
        <w:rPr>
          <w:color w:val="231F1F"/>
          <w:w w:val="110"/>
        </w:rPr>
        <w:t>lado,</w:t>
      </w:r>
      <w:r>
        <w:rPr>
          <w:color w:val="231F1F"/>
          <w:spacing w:val="-8"/>
          <w:w w:val="110"/>
        </w:rPr>
        <w:t> </w:t>
      </w:r>
      <w:r>
        <w:rPr>
          <w:color w:val="231F1F"/>
          <w:w w:val="110"/>
        </w:rPr>
        <w:t>no</w:t>
      </w:r>
      <w:r>
        <w:rPr>
          <w:color w:val="231F1F"/>
          <w:spacing w:val="-7"/>
          <w:w w:val="110"/>
        </w:rPr>
        <w:t> </w:t>
      </w:r>
      <w:r>
        <w:rPr>
          <w:color w:val="231F1F"/>
          <w:w w:val="110"/>
        </w:rPr>
        <w:t>esta</w:t>
      </w:r>
      <w:r>
        <w:rPr>
          <w:color w:val="231F1F"/>
          <w:spacing w:val="-7"/>
          <w:w w:val="110"/>
        </w:rPr>
        <w:t> </w:t>
      </w:r>
      <w:r>
        <w:rPr>
          <w:color w:val="231F1F"/>
          <w:w w:val="110"/>
        </w:rPr>
        <w:t>claro</w:t>
      </w:r>
      <w:r>
        <w:rPr>
          <w:color w:val="231F1F"/>
          <w:spacing w:val="-7"/>
          <w:w w:val="110"/>
        </w:rPr>
        <w:t> </w:t>
      </w:r>
      <w:r>
        <w:rPr>
          <w:color w:val="231F1F"/>
          <w:w w:val="110"/>
        </w:rPr>
        <w:t>si</w:t>
      </w:r>
      <w:r>
        <w:rPr>
          <w:color w:val="231F1F"/>
          <w:spacing w:val="-8"/>
          <w:w w:val="110"/>
        </w:rPr>
        <w:t> </w:t>
      </w:r>
      <w:r>
        <w:rPr>
          <w:color w:val="231F1F"/>
          <w:w w:val="110"/>
        </w:rPr>
        <w:t>las</w:t>
      </w:r>
      <w:r>
        <w:rPr>
          <w:color w:val="231F1F"/>
          <w:spacing w:val="-7"/>
          <w:w w:val="110"/>
        </w:rPr>
        <w:t> </w:t>
      </w:r>
      <w:r>
        <w:rPr>
          <w:color w:val="231F1F"/>
          <w:w w:val="110"/>
        </w:rPr>
        <w:t>soluciones</w:t>
      </w:r>
      <w:r>
        <w:rPr>
          <w:color w:val="231F1F"/>
          <w:spacing w:val="-8"/>
          <w:w w:val="110"/>
        </w:rPr>
        <w:t> </w:t>
      </w:r>
      <w:r>
        <w:rPr>
          <w:color w:val="231F1F"/>
          <w:w w:val="110"/>
        </w:rPr>
        <w:t>carbohidratadas</w:t>
      </w:r>
      <w:r>
        <w:rPr>
          <w:color w:val="231F1F"/>
          <w:spacing w:val="-7"/>
          <w:w w:val="110"/>
        </w:rPr>
        <w:t> </w:t>
      </w:r>
      <w:r>
        <w:rPr>
          <w:color w:val="231F1F"/>
          <w:w w:val="110"/>
        </w:rPr>
        <w:t>du- rante la primera etapa del parto puedan tener un efecto negativo en la pro- gresión</w:t>
      </w:r>
      <w:r>
        <w:rPr>
          <w:color w:val="231F1F"/>
          <w:spacing w:val="-13"/>
          <w:w w:val="110"/>
        </w:rPr>
        <w:t> </w:t>
      </w:r>
      <w:r>
        <w:rPr>
          <w:color w:val="231F1F"/>
          <w:w w:val="110"/>
        </w:rPr>
        <w:t>y</w:t>
      </w:r>
      <w:r>
        <w:rPr>
          <w:color w:val="231F1F"/>
          <w:spacing w:val="-13"/>
          <w:w w:val="110"/>
        </w:rPr>
        <w:t> </w:t>
      </w:r>
      <w:r>
        <w:rPr>
          <w:color w:val="231F1F"/>
          <w:w w:val="110"/>
        </w:rPr>
        <w:t>desenlaces</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4"/>
          <w:w w:val="110"/>
        </w:rPr>
        <w:t> </w:t>
      </w:r>
      <w:r>
        <w:rPr>
          <w:color w:val="231F1F"/>
          <w:w w:val="110"/>
        </w:rPr>
        <w:t>por</w:t>
      </w:r>
      <w:r>
        <w:rPr>
          <w:color w:val="231F1F"/>
          <w:spacing w:val="-13"/>
          <w:w w:val="110"/>
        </w:rPr>
        <w:t> </w:t>
      </w:r>
      <w:r>
        <w:rPr>
          <w:color w:val="231F1F"/>
          <w:w w:val="110"/>
        </w:rPr>
        <w:t>ello,</w:t>
      </w:r>
      <w:r>
        <w:rPr>
          <w:color w:val="231F1F"/>
          <w:spacing w:val="-14"/>
          <w:w w:val="110"/>
        </w:rPr>
        <w:t> </w:t>
      </w:r>
      <w:r>
        <w:rPr>
          <w:color w:val="231F1F"/>
          <w:w w:val="110"/>
        </w:rPr>
        <w:t>el</w:t>
      </w:r>
      <w:r>
        <w:rPr>
          <w:color w:val="231F1F"/>
          <w:spacing w:val="-14"/>
          <w:w w:val="110"/>
        </w:rPr>
        <w:t> </w:t>
      </w:r>
      <w:r>
        <w:rPr>
          <w:color w:val="231F1F"/>
          <w:w w:val="110"/>
        </w:rPr>
        <w:t>GEG</w:t>
      </w:r>
      <w:r>
        <w:rPr>
          <w:color w:val="231F1F"/>
          <w:spacing w:val="-12"/>
          <w:w w:val="110"/>
        </w:rPr>
        <w:t> </w:t>
      </w:r>
      <w:r>
        <w:rPr>
          <w:color w:val="231F1F"/>
          <w:w w:val="110"/>
        </w:rPr>
        <w:t>considera</w:t>
      </w:r>
      <w:r>
        <w:rPr>
          <w:color w:val="231F1F"/>
          <w:spacing w:val="-12"/>
          <w:w w:val="110"/>
        </w:rPr>
        <w:t> </w:t>
      </w:r>
      <w:r>
        <w:rPr>
          <w:color w:val="231F1F"/>
          <w:w w:val="110"/>
        </w:rPr>
        <w:t>que</w:t>
      </w:r>
      <w:r>
        <w:rPr>
          <w:color w:val="231F1F"/>
          <w:spacing w:val="-13"/>
          <w:w w:val="110"/>
        </w:rPr>
        <w:t> </w:t>
      </w:r>
      <w:r>
        <w:rPr>
          <w:color w:val="231F1F"/>
          <w:w w:val="110"/>
        </w:rPr>
        <w:t>los</w:t>
      </w:r>
      <w:r>
        <w:rPr>
          <w:color w:val="231F1F"/>
          <w:spacing w:val="-13"/>
          <w:w w:val="110"/>
        </w:rPr>
        <w:t> </w:t>
      </w:r>
      <w:r>
        <w:rPr>
          <w:color w:val="231F1F"/>
          <w:w w:val="110"/>
        </w:rPr>
        <w:t>efectos</w:t>
      </w:r>
      <w:r>
        <w:rPr>
          <w:color w:val="231F1F"/>
          <w:spacing w:val="-13"/>
          <w:w w:val="110"/>
        </w:rPr>
        <w:t> </w:t>
      </w:r>
      <w:r>
        <w:rPr>
          <w:color w:val="231F1F"/>
          <w:w w:val="110"/>
        </w:rPr>
        <w:t>de estas</w:t>
      </w:r>
      <w:r>
        <w:rPr>
          <w:color w:val="231F1F"/>
          <w:spacing w:val="-5"/>
          <w:w w:val="110"/>
        </w:rPr>
        <w:t> </w:t>
      </w:r>
      <w:r>
        <w:rPr>
          <w:color w:val="231F1F"/>
          <w:w w:val="110"/>
        </w:rPr>
        <w:t>bebidas</w:t>
      </w:r>
      <w:r>
        <w:rPr>
          <w:color w:val="231F1F"/>
          <w:spacing w:val="-6"/>
          <w:w w:val="110"/>
        </w:rPr>
        <w:t> </w:t>
      </w:r>
      <w:r>
        <w:rPr>
          <w:color w:val="231F1F"/>
          <w:w w:val="110"/>
        </w:rPr>
        <w:t>han</w:t>
      </w:r>
      <w:r>
        <w:rPr>
          <w:color w:val="231F1F"/>
          <w:spacing w:val="-5"/>
          <w:w w:val="110"/>
        </w:rPr>
        <w:t> </w:t>
      </w:r>
      <w:r>
        <w:rPr>
          <w:color w:val="231F1F"/>
          <w:w w:val="110"/>
        </w:rPr>
        <w:t>de</w:t>
      </w:r>
      <w:r>
        <w:rPr>
          <w:color w:val="231F1F"/>
          <w:spacing w:val="-5"/>
          <w:w w:val="110"/>
        </w:rPr>
        <w:t> </w:t>
      </w:r>
      <w:r>
        <w:rPr>
          <w:color w:val="231F1F"/>
          <w:w w:val="110"/>
        </w:rPr>
        <w:t>ser</w:t>
      </w:r>
      <w:r>
        <w:rPr>
          <w:color w:val="231F1F"/>
          <w:spacing w:val="-6"/>
          <w:w w:val="110"/>
        </w:rPr>
        <w:t> </w:t>
      </w:r>
      <w:r>
        <w:rPr>
          <w:color w:val="231F1F"/>
          <w:w w:val="110"/>
        </w:rPr>
        <w:t>evaluadas</w:t>
      </w:r>
      <w:r>
        <w:rPr>
          <w:color w:val="231F1F"/>
          <w:spacing w:val="-5"/>
          <w:w w:val="110"/>
        </w:rPr>
        <w:t> </w:t>
      </w:r>
      <w:r>
        <w:rPr>
          <w:color w:val="231F1F"/>
          <w:w w:val="110"/>
        </w:rPr>
        <w:t>mediante</w:t>
      </w:r>
      <w:r>
        <w:rPr>
          <w:color w:val="231F1F"/>
          <w:spacing w:val="-5"/>
          <w:w w:val="110"/>
        </w:rPr>
        <w:t> </w:t>
      </w:r>
      <w:r>
        <w:rPr>
          <w:color w:val="231F1F"/>
          <w:w w:val="110"/>
        </w:rPr>
        <w:t>antes</w:t>
      </w:r>
      <w:r>
        <w:rPr>
          <w:color w:val="231F1F"/>
          <w:spacing w:val="-5"/>
          <w:w w:val="110"/>
        </w:rPr>
        <w:t> </w:t>
      </w:r>
      <w:r>
        <w:rPr>
          <w:color w:val="231F1F"/>
          <w:w w:val="110"/>
        </w:rPr>
        <w:t>de</w:t>
      </w:r>
      <w:r>
        <w:rPr>
          <w:color w:val="231F1F"/>
          <w:spacing w:val="-5"/>
          <w:w w:val="110"/>
        </w:rPr>
        <w:t> </w:t>
      </w:r>
      <w:r>
        <w:rPr>
          <w:color w:val="231F1F"/>
          <w:w w:val="110"/>
        </w:rPr>
        <w:t>poder</w:t>
      </w:r>
      <w:r>
        <w:rPr>
          <w:color w:val="231F1F"/>
          <w:spacing w:val="-6"/>
          <w:w w:val="110"/>
        </w:rPr>
        <w:t> </w:t>
      </w:r>
      <w:r>
        <w:rPr>
          <w:color w:val="231F1F"/>
          <w:w w:val="110"/>
        </w:rPr>
        <w:t>realizar</w:t>
      </w:r>
      <w:r>
        <w:rPr>
          <w:color w:val="231F1F"/>
          <w:spacing w:val="-5"/>
          <w:w w:val="110"/>
        </w:rPr>
        <w:t> </w:t>
      </w:r>
      <w:r>
        <w:rPr>
          <w:color w:val="231F1F"/>
          <w:w w:val="110"/>
        </w:rPr>
        <w:t>afirma- ciones concluyentes.</w:t>
      </w:r>
    </w:p>
    <w:p>
      <w:pPr>
        <w:pStyle w:val="BodyText"/>
        <w:spacing w:after="0" w:line="252" w:lineRule="auto"/>
        <w:jc w:val="both"/>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spacing w:val="-2"/>
                <w:w w:val="110"/>
                <w:sz w:val="22"/>
              </w:rPr>
              <w:t>La</w:t>
            </w:r>
            <w:r>
              <w:rPr>
                <w:color w:val="231F1F"/>
                <w:spacing w:val="-14"/>
                <w:w w:val="110"/>
                <w:sz w:val="22"/>
              </w:rPr>
              <w:t> </w:t>
            </w:r>
            <w:r>
              <w:rPr>
                <w:color w:val="231F1F"/>
                <w:spacing w:val="-2"/>
                <w:w w:val="110"/>
                <w:sz w:val="22"/>
              </w:rPr>
              <w:t>cetosis</w:t>
            </w:r>
            <w:r>
              <w:rPr>
                <w:color w:val="231F1F"/>
                <w:spacing w:val="-13"/>
                <w:w w:val="110"/>
                <w:sz w:val="22"/>
              </w:rPr>
              <w:t> </w:t>
            </w:r>
            <w:r>
              <w:rPr>
                <w:color w:val="231F1F"/>
                <w:spacing w:val="-2"/>
                <w:w w:val="110"/>
                <w:sz w:val="22"/>
              </w:rPr>
              <w:t>se</w:t>
            </w:r>
            <w:r>
              <w:rPr>
                <w:color w:val="231F1F"/>
                <w:spacing w:val="-13"/>
                <w:w w:val="110"/>
                <w:sz w:val="22"/>
              </w:rPr>
              <w:t> </w:t>
            </w:r>
            <w:r>
              <w:rPr>
                <w:color w:val="231F1F"/>
                <w:spacing w:val="-2"/>
                <w:w w:val="110"/>
                <w:sz w:val="22"/>
              </w:rPr>
              <w:t>podría</w:t>
            </w:r>
            <w:r>
              <w:rPr>
                <w:color w:val="231F1F"/>
                <w:spacing w:val="-13"/>
                <w:w w:val="110"/>
                <w:sz w:val="22"/>
              </w:rPr>
              <w:t> </w:t>
            </w:r>
            <w:r>
              <w:rPr>
                <w:color w:val="231F1F"/>
                <w:spacing w:val="-2"/>
                <w:w w:val="110"/>
                <w:sz w:val="22"/>
              </w:rPr>
              <w:t>prevenir</w:t>
            </w:r>
            <w:r>
              <w:rPr>
                <w:color w:val="231F1F"/>
                <w:spacing w:val="-14"/>
                <w:w w:val="110"/>
                <w:sz w:val="22"/>
              </w:rPr>
              <w:t> </w:t>
            </w:r>
            <w:r>
              <w:rPr>
                <w:color w:val="231F1F"/>
                <w:spacing w:val="-2"/>
                <w:w w:val="110"/>
                <w:sz w:val="22"/>
              </w:rPr>
              <w:t>con</w:t>
            </w:r>
            <w:r>
              <w:rPr>
                <w:color w:val="231F1F"/>
                <w:spacing w:val="-14"/>
                <w:w w:val="110"/>
                <w:sz w:val="22"/>
              </w:rPr>
              <w:t> </w:t>
            </w:r>
            <w:r>
              <w:rPr>
                <w:color w:val="231F1F"/>
                <w:spacing w:val="-2"/>
                <w:w w:val="110"/>
                <w:sz w:val="22"/>
              </w:rPr>
              <w:t>ingestas</w:t>
            </w:r>
            <w:r>
              <w:rPr>
                <w:color w:val="231F1F"/>
                <w:spacing w:val="-13"/>
                <w:w w:val="110"/>
                <w:sz w:val="22"/>
              </w:rPr>
              <w:t> </w:t>
            </w:r>
            <w:r>
              <w:rPr>
                <w:color w:val="231F1F"/>
                <w:spacing w:val="-2"/>
                <w:w w:val="110"/>
                <w:sz w:val="22"/>
              </w:rPr>
              <w:t>calóricas</w:t>
            </w:r>
            <w:r>
              <w:rPr>
                <w:color w:val="231F1F"/>
                <w:spacing w:val="-13"/>
                <w:w w:val="110"/>
                <w:sz w:val="22"/>
              </w:rPr>
              <w:t> </w:t>
            </w:r>
            <w:r>
              <w:rPr>
                <w:color w:val="231F1F"/>
                <w:spacing w:val="-2"/>
                <w:w w:val="110"/>
                <w:sz w:val="22"/>
              </w:rPr>
              <w:t>relativamente</w:t>
            </w:r>
            <w:r>
              <w:rPr>
                <w:color w:val="231F1F"/>
                <w:spacing w:val="-13"/>
                <w:w w:val="110"/>
                <w:sz w:val="22"/>
              </w:rPr>
              <w:t> </w:t>
            </w:r>
            <w:r>
              <w:rPr>
                <w:color w:val="231F1F"/>
                <w:spacing w:val="-2"/>
                <w:w w:val="110"/>
                <w:sz w:val="22"/>
              </w:rPr>
              <w:t>pequeñas </w:t>
            </w:r>
            <w:r>
              <w:rPr>
                <w:color w:val="231F1F"/>
                <w:w w:val="110"/>
                <w:sz w:val="22"/>
              </w:rPr>
              <w:t>suministradas mediante bebidas isotónicas (22).</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22"/>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142"/>
              <w:rPr>
                <w:sz w:val="22"/>
              </w:rPr>
            </w:pPr>
            <w:r>
              <w:rPr>
                <w:color w:val="231F1F"/>
                <w:spacing w:val="-10"/>
                <w:w w:val="115"/>
                <w:sz w:val="22"/>
              </w:rPr>
              <w:t>A</w:t>
            </w:r>
          </w:p>
        </w:tc>
        <w:tc>
          <w:tcPr>
            <w:tcW w:w="8050" w:type="dxa"/>
          </w:tcPr>
          <w:p>
            <w:pPr>
              <w:pStyle w:val="TableParagraph"/>
              <w:spacing w:line="244" w:lineRule="auto" w:before="53"/>
              <w:ind w:left="120" w:right="155"/>
              <w:rPr>
                <w:sz w:val="22"/>
              </w:rPr>
            </w:pPr>
            <w:r>
              <w:rPr>
                <w:color w:val="231F1F"/>
                <w:w w:val="105"/>
                <w:sz w:val="22"/>
              </w:rPr>
              <w:t>Se</w:t>
            </w:r>
            <w:r>
              <w:rPr>
                <w:color w:val="231F1F"/>
                <w:spacing w:val="-2"/>
                <w:w w:val="105"/>
                <w:sz w:val="22"/>
              </w:rPr>
              <w:t> </w:t>
            </w:r>
            <w:r>
              <w:rPr>
                <w:color w:val="231F1F"/>
                <w:w w:val="105"/>
                <w:sz w:val="22"/>
              </w:rPr>
              <w:t>recomienda</w:t>
            </w:r>
            <w:r>
              <w:rPr>
                <w:color w:val="231F1F"/>
                <w:spacing w:val="-1"/>
                <w:w w:val="105"/>
                <w:sz w:val="22"/>
              </w:rPr>
              <w:t> </w:t>
            </w:r>
            <w:r>
              <w:rPr>
                <w:color w:val="231F1F"/>
                <w:w w:val="105"/>
                <w:sz w:val="22"/>
              </w:rPr>
              <w:t>que</w:t>
            </w:r>
            <w:r>
              <w:rPr>
                <w:color w:val="231F1F"/>
                <w:spacing w:val="-1"/>
                <w:w w:val="105"/>
                <w:sz w:val="22"/>
              </w:rPr>
              <w:t> </w:t>
            </w:r>
            <w:r>
              <w:rPr>
                <w:color w:val="231F1F"/>
                <w:w w:val="105"/>
                <w:sz w:val="22"/>
              </w:rPr>
              <w:t>las</w:t>
            </w:r>
            <w:r>
              <w:rPr>
                <w:color w:val="231F1F"/>
                <w:spacing w:val="-1"/>
                <w:w w:val="105"/>
                <w:sz w:val="22"/>
              </w:rPr>
              <w:t> </w:t>
            </w:r>
            <w:r>
              <w:rPr>
                <w:color w:val="231F1F"/>
                <w:w w:val="105"/>
                <w:sz w:val="22"/>
              </w:rPr>
              <w:t>mujeres</w:t>
            </w:r>
            <w:r>
              <w:rPr>
                <w:color w:val="231F1F"/>
                <w:spacing w:val="-1"/>
                <w:w w:val="105"/>
                <w:sz w:val="22"/>
              </w:rPr>
              <w:t> </w:t>
            </w:r>
            <w:r>
              <w:rPr>
                <w:color w:val="231F1F"/>
                <w:w w:val="105"/>
                <w:sz w:val="22"/>
              </w:rPr>
              <w:t>sean</w:t>
            </w:r>
            <w:r>
              <w:rPr>
                <w:color w:val="231F1F"/>
                <w:spacing w:val="-1"/>
                <w:w w:val="105"/>
                <w:sz w:val="22"/>
              </w:rPr>
              <w:t> </w:t>
            </w:r>
            <w:r>
              <w:rPr>
                <w:color w:val="231F1F"/>
                <w:w w:val="105"/>
                <w:sz w:val="22"/>
              </w:rPr>
              <w:t>informadas</w:t>
            </w:r>
            <w:r>
              <w:rPr>
                <w:color w:val="231F1F"/>
                <w:spacing w:val="-1"/>
                <w:w w:val="105"/>
                <w:sz w:val="22"/>
              </w:rPr>
              <w:t> </w:t>
            </w:r>
            <w:r>
              <w:rPr>
                <w:color w:val="231F1F"/>
                <w:w w:val="105"/>
                <w:sz w:val="22"/>
              </w:rPr>
              <w:t>que</w:t>
            </w:r>
            <w:r>
              <w:rPr>
                <w:color w:val="231F1F"/>
                <w:spacing w:val="-1"/>
                <w:w w:val="105"/>
                <w:sz w:val="22"/>
              </w:rPr>
              <w:t> </w:t>
            </w:r>
            <w:r>
              <w:rPr>
                <w:color w:val="231F1F"/>
                <w:w w:val="105"/>
                <w:sz w:val="22"/>
              </w:rPr>
              <w:t>las</w:t>
            </w:r>
            <w:r>
              <w:rPr>
                <w:color w:val="231F1F"/>
                <w:spacing w:val="-2"/>
                <w:w w:val="105"/>
                <w:sz w:val="22"/>
              </w:rPr>
              <w:t> </w:t>
            </w:r>
            <w:r>
              <w:rPr>
                <w:color w:val="231F1F"/>
                <w:w w:val="105"/>
                <w:sz w:val="22"/>
              </w:rPr>
              <w:t>bebidas</w:t>
            </w:r>
            <w:r>
              <w:rPr>
                <w:color w:val="231F1F"/>
                <w:spacing w:val="-1"/>
                <w:w w:val="105"/>
                <w:sz w:val="22"/>
              </w:rPr>
              <w:t> </w:t>
            </w:r>
            <w:r>
              <w:rPr>
                <w:color w:val="231F1F"/>
                <w:w w:val="105"/>
                <w:sz w:val="22"/>
              </w:rPr>
              <w:t>isotónicas</w:t>
            </w:r>
            <w:r>
              <w:rPr>
                <w:color w:val="231F1F"/>
                <w:spacing w:val="-1"/>
                <w:w w:val="105"/>
                <w:sz w:val="22"/>
              </w:rPr>
              <w:t> </w:t>
            </w:r>
            <w:r>
              <w:rPr>
                <w:color w:val="231F1F"/>
                <w:w w:val="105"/>
                <w:sz w:val="22"/>
              </w:rPr>
              <w:t>son</w:t>
            </w:r>
            <w:r>
              <w:rPr>
                <w:color w:val="231F1F"/>
                <w:spacing w:val="-1"/>
                <w:w w:val="105"/>
                <w:sz w:val="22"/>
              </w:rPr>
              <w:t> </w:t>
            </w:r>
            <w:r>
              <w:rPr>
                <w:color w:val="231F1F"/>
                <w:w w:val="105"/>
                <w:sz w:val="22"/>
              </w:rPr>
              <w:t>efi- caces</w:t>
            </w:r>
            <w:r>
              <w:rPr>
                <w:color w:val="231F1F"/>
                <w:spacing w:val="32"/>
                <w:w w:val="105"/>
                <w:sz w:val="22"/>
              </w:rPr>
              <w:t> </w:t>
            </w:r>
            <w:r>
              <w:rPr>
                <w:color w:val="231F1F"/>
                <w:w w:val="105"/>
                <w:sz w:val="22"/>
              </w:rPr>
              <w:t>para</w:t>
            </w:r>
            <w:r>
              <w:rPr>
                <w:color w:val="231F1F"/>
                <w:spacing w:val="33"/>
                <w:w w:val="105"/>
                <w:sz w:val="22"/>
              </w:rPr>
              <w:t> </w:t>
            </w:r>
            <w:r>
              <w:rPr>
                <w:color w:val="231F1F"/>
                <w:w w:val="105"/>
                <w:sz w:val="22"/>
              </w:rPr>
              <w:t>combatir</w:t>
            </w:r>
            <w:r>
              <w:rPr>
                <w:color w:val="231F1F"/>
                <w:spacing w:val="33"/>
                <w:w w:val="105"/>
                <w:sz w:val="22"/>
              </w:rPr>
              <w:t> </w:t>
            </w:r>
            <w:r>
              <w:rPr>
                <w:color w:val="231F1F"/>
                <w:w w:val="105"/>
                <w:sz w:val="22"/>
              </w:rPr>
              <w:t>la</w:t>
            </w:r>
            <w:r>
              <w:rPr>
                <w:color w:val="231F1F"/>
                <w:spacing w:val="33"/>
                <w:w w:val="105"/>
                <w:sz w:val="22"/>
              </w:rPr>
              <w:t> </w:t>
            </w:r>
            <w:r>
              <w:rPr>
                <w:color w:val="231F1F"/>
                <w:w w:val="105"/>
                <w:sz w:val="22"/>
              </w:rPr>
              <w:t>cetosis,</w:t>
            </w:r>
            <w:r>
              <w:rPr>
                <w:color w:val="231F1F"/>
                <w:spacing w:val="32"/>
                <w:w w:val="105"/>
                <w:sz w:val="22"/>
              </w:rPr>
              <w:t> </w:t>
            </w:r>
            <w:r>
              <w:rPr>
                <w:color w:val="231F1F"/>
                <w:w w:val="105"/>
                <w:sz w:val="22"/>
              </w:rPr>
              <w:t>y</w:t>
            </w:r>
            <w:r>
              <w:rPr>
                <w:color w:val="231F1F"/>
                <w:spacing w:val="33"/>
                <w:w w:val="105"/>
                <w:sz w:val="22"/>
              </w:rPr>
              <w:t> </w:t>
            </w:r>
            <w:r>
              <w:rPr>
                <w:color w:val="231F1F"/>
                <w:w w:val="105"/>
                <w:sz w:val="22"/>
              </w:rPr>
              <w:t>por</w:t>
            </w:r>
            <w:r>
              <w:rPr>
                <w:color w:val="231F1F"/>
                <w:spacing w:val="33"/>
                <w:w w:val="105"/>
                <w:sz w:val="22"/>
              </w:rPr>
              <w:t> </w:t>
            </w:r>
            <w:r>
              <w:rPr>
                <w:color w:val="231F1F"/>
                <w:w w:val="105"/>
                <w:sz w:val="22"/>
              </w:rPr>
              <w:t>ello,</w:t>
            </w:r>
            <w:r>
              <w:rPr>
                <w:color w:val="231F1F"/>
                <w:spacing w:val="32"/>
                <w:w w:val="105"/>
                <w:sz w:val="22"/>
              </w:rPr>
              <w:t> </w:t>
            </w:r>
            <w:r>
              <w:rPr>
                <w:color w:val="231F1F"/>
                <w:w w:val="105"/>
                <w:sz w:val="22"/>
              </w:rPr>
              <w:t>preferibles</w:t>
            </w:r>
            <w:r>
              <w:rPr>
                <w:color w:val="231F1F"/>
                <w:spacing w:val="32"/>
                <w:w w:val="105"/>
                <w:sz w:val="22"/>
              </w:rPr>
              <w:t> </w:t>
            </w:r>
            <w:r>
              <w:rPr>
                <w:color w:val="231F1F"/>
                <w:w w:val="105"/>
                <w:sz w:val="22"/>
              </w:rPr>
              <w:t>a</w:t>
            </w:r>
            <w:r>
              <w:rPr>
                <w:color w:val="231F1F"/>
                <w:spacing w:val="33"/>
                <w:w w:val="105"/>
                <w:sz w:val="22"/>
              </w:rPr>
              <w:t> </w:t>
            </w:r>
            <w:r>
              <w:rPr>
                <w:color w:val="231F1F"/>
                <w:w w:val="105"/>
                <w:sz w:val="22"/>
              </w:rPr>
              <w:t>la</w:t>
            </w:r>
            <w:r>
              <w:rPr>
                <w:color w:val="231F1F"/>
                <w:spacing w:val="33"/>
                <w:w w:val="105"/>
                <w:sz w:val="22"/>
              </w:rPr>
              <w:t> </w:t>
            </w:r>
            <w:r>
              <w:rPr>
                <w:color w:val="231F1F"/>
                <w:w w:val="105"/>
                <w:sz w:val="22"/>
              </w:rPr>
              <w:t>ingesta</w:t>
            </w:r>
            <w:r>
              <w:rPr>
                <w:color w:val="231F1F"/>
                <w:spacing w:val="33"/>
                <w:w w:val="105"/>
                <w:sz w:val="22"/>
              </w:rPr>
              <w:t> </w:t>
            </w:r>
            <w:r>
              <w:rPr>
                <w:color w:val="231F1F"/>
                <w:w w:val="105"/>
                <w:sz w:val="22"/>
              </w:rPr>
              <w:t>de</w:t>
            </w:r>
            <w:r>
              <w:rPr>
                <w:color w:val="231F1F"/>
                <w:spacing w:val="33"/>
                <w:w w:val="105"/>
                <w:sz w:val="22"/>
              </w:rPr>
              <w:t> </w:t>
            </w:r>
            <w:r>
              <w:rPr>
                <w:color w:val="231F1F"/>
                <w:w w:val="105"/>
                <w:sz w:val="22"/>
              </w:rPr>
              <w:t>agua.</w:t>
            </w:r>
          </w:p>
        </w:tc>
      </w:tr>
    </w:tbl>
    <w:p>
      <w:pPr>
        <w:pStyle w:val="TableParagraph"/>
        <w:spacing w:after="0" w:line="244" w:lineRule="auto"/>
        <w:rPr>
          <w:sz w:val="22"/>
        </w:rPr>
        <w:sectPr>
          <w:pgSz w:w="11900" w:h="16840"/>
          <w:pgMar w:header="0" w:footer="622" w:top="1560" w:bottom="82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47" w:id="9"/>
      <w:r>
        <w:rPr>
          <w:color w:val="231F1F"/>
          <w:w w:val="110"/>
        </w:rPr>
        <w:t>Dilatación:</w:t>
      </w:r>
      <w:r>
        <w:rPr>
          <w:color w:val="231F1F"/>
          <w:spacing w:val="-32"/>
          <w:w w:val="110"/>
        </w:rPr>
        <w:t> </w:t>
      </w:r>
      <w:r>
        <w:rPr>
          <w:color w:val="231F1F"/>
          <w:w w:val="110"/>
        </w:rPr>
        <w:t>Primera</w:t>
      </w:r>
      <w:r>
        <w:rPr>
          <w:color w:val="231F1F"/>
          <w:spacing w:val="-28"/>
          <w:w w:val="110"/>
        </w:rPr>
        <w:t> </w:t>
      </w:r>
      <w:r>
        <w:rPr>
          <w:color w:val="231F1F"/>
          <w:w w:val="110"/>
        </w:rPr>
        <w:t>etapa</w:t>
      </w:r>
      <w:r>
        <w:rPr>
          <w:color w:val="231F1F"/>
          <w:spacing w:val="-27"/>
          <w:w w:val="110"/>
        </w:rPr>
        <w:t> </w:t>
      </w:r>
      <w:r>
        <w:rPr>
          <w:color w:val="231F1F"/>
          <w:w w:val="110"/>
        </w:rPr>
        <w:t>del</w:t>
      </w:r>
      <w:r>
        <w:rPr>
          <w:color w:val="231F1F"/>
          <w:spacing w:val="-27"/>
          <w:w w:val="110"/>
        </w:rPr>
        <w:t> </w:t>
      </w:r>
      <w:bookmarkEnd w:id="9"/>
      <w:r>
        <w:rPr>
          <w:color w:val="231F1F"/>
          <w:spacing w:val="-2"/>
          <w:w w:val="110"/>
        </w:rPr>
        <w:t>parto</w:t>
      </w:r>
    </w:p>
    <w:p>
      <w:pPr>
        <w:pStyle w:val="Heading2"/>
        <w:numPr>
          <w:ilvl w:val="2"/>
          <w:numId w:val="2"/>
        </w:numPr>
        <w:tabs>
          <w:tab w:pos="1004" w:val="left" w:leader="none"/>
        </w:tabs>
        <w:spacing w:line="240" w:lineRule="auto" w:before="564" w:after="0"/>
        <w:ind w:left="1004" w:right="0" w:hanging="721"/>
        <w:jc w:val="left"/>
      </w:pPr>
      <w:bookmarkStart w:name="_TOC_250046" w:id="10"/>
      <w:r>
        <w:rPr>
          <w:color w:val="231F1F"/>
        </w:rPr>
        <w:t>Definición</w:t>
      </w:r>
      <w:r>
        <w:rPr>
          <w:color w:val="231F1F"/>
          <w:spacing w:val="52"/>
        </w:rPr>
        <w:t> </w:t>
      </w:r>
      <w:r>
        <w:rPr>
          <w:color w:val="231F1F"/>
        </w:rPr>
        <w:t>de</w:t>
      </w:r>
      <w:r>
        <w:rPr>
          <w:color w:val="231F1F"/>
          <w:spacing w:val="55"/>
        </w:rPr>
        <w:t> </w:t>
      </w:r>
      <w:r>
        <w:rPr>
          <w:color w:val="231F1F"/>
        </w:rPr>
        <w:t>la</w:t>
      </w:r>
      <w:r>
        <w:rPr>
          <w:color w:val="231F1F"/>
          <w:spacing w:val="53"/>
        </w:rPr>
        <w:t> </w:t>
      </w:r>
      <w:r>
        <w:rPr>
          <w:color w:val="231F1F"/>
        </w:rPr>
        <w:t>primera</w:t>
      </w:r>
      <w:r>
        <w:rPr>
          <w:color w:val="231F1F"/>
          <w:spacing w:val="55"/>
        </w:rPr>
        <w:t> </w:t>
      </w:r>
      <w:r>
        <w:rPr>
          <w:color w:val="231F1F"/>
        </w:rPr>
        <w:t>etapa</w:t>
      </w:r>
      <w:r>
        <w:rPr>
          <w:color w:val="231F1F"/>
          <w:spacing w:val="56"/>
        </w:rPr>
        <w:t> </w:t>
      </w:r>
      <w:r>
        <w:rPr>
          <w:color w:val="231F1F"/>
        </w:rPr>
        <w:t>del</w:t>
      </w:r>
      <w:r>
        <w:rPr>
          <w:color w:val="231F1F"/>
          <w:spacing w:val="49"/>
        </w:rPr>
        <w:t> </w:t>
      </w:r>
      <w:bookmarkEnd w:id="10"/>
      <w:r>
        <w:rPr>
          <w:color w:val="231F1F"/>
          <w:spacing w:val="-2"/>
        </w:rPr>
        <w:t>parto</w:t>
      </w:r>
    </w:p>
    <w:p>
      <w:pPr>
        <w:pStyle w:val="BodyText"/>
        <w:spacing w:before="26"/>
        <w:rPr>
          <w:sz w:val="20"/>
        </w:rPr>
      </w:pPr>
      <w:r>
        <w:rPr>
          <w:sz w:val="20"/>
        </w:rPr>
        <mc:AlternateContent>
          <mc:Choice Requires="wps">
            <w:drawing>
              <wp:anchor distT="0" distB="0" distL="0" distR="0" allowOverlap="1" layoutInCell="1" locked="0" behindDoc="1" simplePos="0" relativeHeight="487599104">
                <wp:simplePos x="0" y="0"/>
                <wp:positionH relativeFrom="page">
                  <wp:posOffset>1082675</wp:posOffset>
                </wp:positionH>
                <wp:positionV relativeFrom="paragraph">
                  <wp:posOffset>181028</wp:posOffset>
                </wp:positionV>
                <wp:extent cx="5400040" cy="528955"/>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5400040" cy="528955"/>
                        </a:xfrm>
                        <a:prstGeom prst="rect">
                          <a:avLst/>
                        </a:prstGeom>
                        <a:ln w="6350">
                          <a:solidFill>
                            <a:srgbClr val="A30046"/>
                          </a:solidFill>
                          <a:prstDash val="solid"/>
                        </a:ln>
                      </wps:spPr>
                      <wps:txbx>
                        <w:txbxContent>
                          <w:p>
                            <w:pPr>
                              <w:pStyle w:val="BodyText"/>
                              <w:numPr>
                                <w:ilvl w:val="0"/>
                                <w:numId w:val="17"/>
                              </w:numPr>
                              <w:tabs>
                                <w:tab w:pos="322" w:val="left" w:leader="none"/>
                              </w:tabs>
                              <w:spacing w:line="240" w:lineRule="auto" w:before="41" w:after="0"/>
                              <w:ind w:left="322" w:right="0" w:hanging="218"/>
                              <w:jc w:val="left"/>
                            </w:pPr>
                            <w:r>
                              <w:rPr>
                                <w:color w:val="231F1F"/>
                              </w:rPr>
                              <w:t>¿Cuál</w:t>
                            </w:r>
                            <w:r>
                              <w:rPr>
                                <w:color w:val="231F1F"/>
                                <w:spacing w:val="28"/>
                              </w:rPr>
                              <w:t> </w:t>
                            </w:r>
                            <w:r>
                              <w:rPr>
                                <w:color w:val="231F1F"/>
                              </w:rPr>
                              <w:t>es</w:t>
                            </w:r>
                            <w:r>
                              <w:rPr>
                                <w:color w:val="231F1F"/>
                                <w:spacing w:val="30"/>
                              </w:rPr>
                              <w:t> </w:t>
                            </w:r>
                            <w:r>
                              <w:rPr>
                                <w:color w:val="231F1F"/>
                              </w:rPr>
                              <w:t>la</w:t>
                            </w:r>
                            <w:r>
                              <w:rPr>
                                <w:color w:val="231F1F"/>
                                <w:spacing w:val="30"/>
                              </w:rPr>
                              <w:t> </w:t>
                            </w:r>
                            <w:r>
                              <w:rPr>
                                <w:color w:val="231F1F"/>
                              </w:rPr>
                              <w:t>definición</w:t>
                            </w:r>
                            <w:r>
                              <w:rPr>
                                <w:color w:val="231F1F"/>
                                <w:spacing w:val="30"/>
                              </w:rPr>
                              <w:t> </w:t>
                            </w:r>
                            <w:r>
                              <w:rPr>
                                <w:color w:val="231F1F"/>
                              </w:rPr>
                              <w:t>de</w:t>
                            </w:r>
                            <w:r>
                              <w:rPr>
                                <w:color w:val="231F1F"/>
                                <w:spacing w:val="30"/>
                              </w:rPr>
                              <w:t> </w:t>
                            </w:r>
                            <w:r>
                              <w:rPr>
                                <w:color w:val="231F1F"/>
                              </w:rPr>
                              <w:t>fase</w:t>
                            </w:r>
                            <w:r>
                              <w:rPr>
                                <w:color w:val="231F1F"/>
                                <w:spacing w:val="30"/>
                              </w:rPr>
                              <w:t> </w:t>
                            </w:r>
                            <w:r>
                              <w:rPr>
                                <w:color w:val="231F1F"/>
                              </w:rPr>
                              <w:t>latente</w:t>
                            </w:r>
                            <w:r>
                              <w:rPr>
                                <w:color w:val="231F1F"/>
                                <w:spacing w:val="30"/>
                              </w:rPr>
                              <w:t> </w:t>
                            </w:r>
                            <w:r>
                              <w:rPr>
                                <w:color w:val="231F1F"/>
                              </w:rPr>
                              <w:t>de</w:t>
                            </w:r>
                            <w:r>
                              <w:rPr>
                                <w:color w:val="231F1F"/>
                                <w:spacing w:val="30"/>
                              </w:rPr>
                              <w:t> </w:t>
                            </w:r>
                            <w:r>
                              <w:rPr>
                                <w:color w:val="231F1F"/>
                              </w:rPr>
                              <w:t>la</w:t>
                            </w:r>
                            <w:r>
                              <w:rPr>
                                <w:color w:val="231F1F"/>
                                <w:spacing w:val="30"/>
                              </w:rPr>
                              <w:t> </w:t>
                            </w:r>
                            <w:r>
                              <w:rPr>
                                <w:color w:val="231F1F"/>
                              </w:rPr>
                              <w:t>primera</w:t>
                            </w:r>
                            <w:r>
                              <w:rPr>
                                <w:color w:val="231F1F"/>
                                <w:spacing w:val="30"/>
                              </w:rPr>
                              <w:t> </w:t>
                            </w:r>
                            <w:r>
                              <w:rPr>
                                <w:color w:val="231F1F"/>
                              </w:rPr>
                              <w:t>etapa</w:t>
                            </w:r>
                            <w:r>
                              <w:rPr>
                                <w:color w:val="231F1F"/>
                                <w:spacing w:val="30"/>
                              </w:rPr>
                              <w:t> </w:t>
                            </w:r>
                            <w:r>
                              <w:rPr>
                                <w:color w:val="231F1F"/>
                              </w:rPr>
                              <w:t>del</w:t>
                            </w:r>
                            <w:r>
                              <w:rPr>
                                <w:color w:val="231F1F"/>
                                <w:spacing w:val="27"/>
                              </w:rPr>
                              <w:t> </w:t>
                            </w:r>
                            <w:r>
                              <w:rPr>
                                <w:color w:val="231F1F"/>
                                <w:spacing w:val="-2"/>
                              </w:rPr>
                              <w:t>parto?</w:t>
                            </w:r>
                          </w:p>
                          <w:p>
                            <w:pPr>
                              <w:pStyle w:val="BodyText"/>
                              <w:numPr>
                                <w:ilvl w:val="0"/>
                                <w:numId w:val="17"/>
                              </w:numPr>
                              <w:tabs>
                                <w:tab w:pos="322" w:val="left" w:leader="none"/>
                              </w:tabs>
                              <w:spacing w:line="240" w:lineRule="auto" w:before="150" w:after="0"/>
                              <w:ind w:left="322" w:right="0" w:hanging="218"/>
                              <w:jc w:val="left"/>
                            </w:pPr>
                            <w:r>
                              <w:rPr>
                                <w:color w:val="231F1F"/>
                              </w:rPr>
                              <w:t>¿Cuál</w:t>
                            </w:r>
                            <w:r>
                              <w:rPr>
                                <w:color w:val="231F1F"/>
                                <w:spacing w:val="24"/>
                              </w:rPr>
                              <w:t> </w:t>
                            </w:r>
                            <w:r>
                              <w:rPr>
                                <w:color w:val="231F1F"/>
                              </w:rPr>
                              <w:t>es</w:t>
                            </w:r>
                            <w:r>
                              <w:rPr>
                                <w:color w:val="231F1F"/>
                                <w:spacing w:val="27"/>
                              </w:rPr>
                              <w:t> </w:t>
                            </w:r>
                            <w:r>
                              <w:rPr>
                                <w:color w:val="231F1F"/>
                              </w:rPr>
                              <w:t>la</w:t>
                            </w:r>
                            <w:r>
                              <w:rPr>
                                <w:color w:val="231F1F"/>
                                <w:spacing w:val="28"/>
                              </w:rPr>
                              <w:t> </w:t>
                            </w:r>
                            <w:r>
                              <w:rPr>
                                <w:color w:val="231F1F"/>
                              </w:rPr>
                              <w:t>definición</w:t>
                            </w:r>
                            <w:r>
                              <w:rPr>
                                <w:color w:val="231F1F"/>
                                <w:spacing w:val="26"/>
                              </w:rPr>
                              <w:t> </w:t>
                            </w:r>
                            <w:r>
                              <w:rPr>
                                <w:color w:val="231F1F"/>
                              </w:rPr>
                              <w:t>de</w:t>
                            </w:r>
                            <w:r>
                              <w:rPr>
                                <w:color w:val="231F1F"/>
                                <w:spacing w:val="29"/>
                              </w:rPr>
                              <w:t> </w:t>
                            </w:r>
                            <w:r>
                              <w:rPr>
                                <w:color w:val="231F1F"/>
                              </w:rPr>
                              <w:t>fase</w:t>
                            </w:r>
                            <w:r>
                              <w:rPr>
                                <w:color w:val="231F1F"/>
                                <w:spacing w:val="26"/>
                              </w:rPr>
                              <w:t> </w:t>
                            </w:r>
                            <w:r>
                              <w:rPr>
                                <w:color w:val="231F1F"/>
                              </w:rPr>
                              <w:t>activa</w:t>
                            </w:r>
                            <w:r>
                              <w:rPr>
                                <w:color w:val="231F1F"/>
                                <w:spacing w:val="28"/>
                              </w:rPr>
                              <w:t> </w:t>
                            </w:r>
                            <w:r>
                              <w:rPr>
                                <w:color w:val="231F1F"/>
                              </w:rPr>
                              <w:t>de</w:t>
                            </w:r>
                            <w:r>
                              <w:rPr>
                                <w:color w:val="231F1F"/>
                                <w:spacing w:val="28"/>
                              </w:rPr>
                              <w:t> </w:t>
                            </w:r>
                            <w:r>
                              <w:rPr>
                                <w:color w:val="231F1F"/>
                              </w:rPr>
                              <w:t>la</w:t>
                            </w:r>
                            <w:r>
                              <w:rPr>
                                <w:color w:val="231F1F"/>
                                <w:spacing w:val="27"/>
                              </w:rPr>
                              <w:t> </w:t>
                            </w:r>
                            <w:r>
                              <w:rPr>
                                <w:color w:val="231F1F"/>
                              </w:rPr>
                              <w:t>primera</w:t>
                            </w:r>
                            <w:r>
                              <w:rPr>
                                <w:color w:val="231F1F"/>
                                <w:spacing w:val="26"/>
                              </w:rPr>
                              <w:t> </w:t>
                            </w:r>
                            <w:r>
                              <w:rPr>
                                <w:color w:val="231F1F"/>
                              </w:rPr>
                              <w:t>etapa</w:t>
                            </w:r>
                            <w:r>
                              <w:rPr>
                                <w:color w:val="231F1F"/>
                                <w:spacing w:val="28"/>
                              </w:rPr>
                              <w:t> </w:t>
                            </w:r>
                            <w:r>
                              <w:rPr>
                                <w:color w:val="231F1F"/>
                              </w:rPr>
                              <w:t>del</w:t>
                            </w:r>
                            <w:r>
                              <w:rPr>
                                <w:color w:val="231F1F"/>
                                <w:spacing w:val="24"/>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4.254199pt;width:425.2pt;height:41.65pt;mso-position-horizontal-relative:page;mso-position-vertical-relative:paragraph;z-index:-15717376;mso-wrap-distance-left:0;mso-wrap-distance-right:0" type="#_x0000_t202" id="docshape45" filled="false" stroked="true" strokeweight=".5pt" strokecolor="#a30046">
                <v:textbox inset="0,0,0,0">
                  <w:txbxContent>
                    <w:p>
                      <w:pPr>
                        <w:pStyle w:val="BodyText"/>
                        <w:numPr>
                          <w:ilvl w:val="0"/>
                          <w:numId w:val="17"/>
                        </w:numPr>
                        <w:tabs>
                          <w:tab w:pos="322" w:val="left" w:leader="none"/>
                        </w:tabs>
                        <w:spacing w:line="240" w:lineRule="auto" w:before="41" w:after="0"/>
                        <w:ind w:left="322" w:right="0" w:hanging="218"/>
                        <w:jc w:val="left"/>
                      </w:pPr>
                      <w:r>
                        <w:rPr>
                          <w:color w:val="231F1F"/>
                        </w:rPr>
                        <w:t>¿Cuál</w:t>
                      </w:r>
                      <w:r>
                        <w:rPr>
                          <w:color w:val="231F1F"/>
                          <w:spacing w:val="28"/>
                        </w:rPr>
                        <w:t> </w:t>
                      </w:r>
                      <w:r>
                        <w:rPr>
                          <w:color w:val="231F1F"/>
                        </w:rPr>
                        <w:t>es</w:t>
                      </w:r>
                      <w:r>
                        <w:rPr>
                          <w:color w:val="231F1F"/>
                          <w:spacing w:val="30"/>
                        </w:rPr>
                        <w:t> </w:t>
                      </w:r>
                      <w:r>
                        <w:rPr>
                          <w:color w:val="231F1F"/>
                        </w:rPr>
                        <w:t>la</w:t>
                      </w:r>
                      <w:r>
                        <w:rPr>
                          <w:color w:val="231F1F"/>
                          <w:spacing w:val="30"/>
                        </w:rPr>
                        <w:t> </w:t>
                      </w:r>
                      <w:r>
                        <w:rPr>
                          <w:color w:val="231F1F"/>
                        </w:rPr>
                        <w:t>definición</w:t>
                      </w:r>
                      <w:r>
                        <w:rPr>
                          <w:color w:val="231F1F"/>
                          <w:spacing w:val="30"/>
                        </w:rPr>
                        <w:t> </w:t>
                      </w:r>
                      <w:r>
                        <w:rPr>
                          <w:color w:val="231F1F"/>
                        </w:rPr>
                        <w:t>de</w:t>
                      </w:r>
                      <w:r>
                        <w:rPr>
                          <w:color w:val="231F1F"/>
                          <w:spacing w:val="30"/>
                        </w:rPr>
                        <w:t> </w:t>
                      </w:r>
                      <w:r>
                        <w:rPr>
                          <w:color w:val="231F1F"/>
                        </w:rPr>
                        <w:t>fase</w:t>
                      </w:r>
                      <w:r>
                        <w:rPr>
                          <w:color w:val="231F1F"/>
                          <w:spacing w:val="30"/>
                        </w:rPr>
                        <w:t> </w:t>
                      </w:r>
                      <w:r>
                        <w:rPr>
                          <w:color w:val="231F1F"/>
                        </w:rPr>
                        <w:t>latente</w:t>
                      </w:r>
                      <w:r>
                        <w:rPr>
                          <w:color w:val="231F1F"/>
                          <w:spacing w:val="30"/>
                        </w:rPr>
                        <w:t> </w:t>
                      </w:r>
                      <w:r>
                        <w:rPr>
                          <w:color w:val="231F1F"/>
                        </w:rPr>
                        <w:t>de</w:t>
                      </w:r>
                      <w:r>
                        <w:rPr>
                          <w:color w:val="231F1F"/>
                          <w:spacing w:val="30"/>
                        </w:rPr>
                        <w:t> </w:t>
                      </w:r>
                      <w:r>
                        <w:rPr>
                          <w:color w:val="231F1F"/>
                        </w:rPr>
                        <w:t>la</w:t>
                      </w:r>
                      <w:r>
                        <w:rPr>
                          <w:color w:val="231F1F"/>
                          <w:spacing w:val="30"/>
                        </w:rPr>
                        <w:t> </w:t>
                      </w:r>
                      <w:r>
                        <w:rPr>
                          <w:color w:val="231F1F"/>
                        </w:rPr>
                        <w:t>primera</w:t>
                      </w:r>
                      <w:r>
                        <w:rPr>
                          <w:color w:val="231F1F"/>
                          <w:spacing w:val="30"/>
                        </w:rPr>
                        <w:t> </w:t>
                      </w:r>
                      <w:r>
                        <w:rPr>
                          <w:color w:val="231F1F"/>
                        </w:rPr>
                        <w:t>etapa</w:t>
                      </w:r>
                      <w:r>
                        <w:rPr>
                          <w:color w:val="231F1F"/>
                          <w:spacing w:val="30"/>
                        </w:rPr>
                        <w:t> </w:t>
                      </w:r>
                      <w:r>
                        <w:rPr>
                          <w:color w:val="231F1F"/>
                        </w:rPr>
                        <w:t>del</w:t>
                      </w:r>
                      <w:r>
                        <w:rPr>
                          <w:color w:val="231F1F"/>
                          <w:spacing w:val="27"/>
                        </w:rPr>
                        <w:t> </w:t>
                      </w:r>
                      <w:r>
                        <w:rPr>
                          <w:color w:val="231F1F"/>
                          <w:spacing w:val="-2"/>
                        </w:rPr>
                        <w:t>parto?</w:t>
                      </w:r>
                    </w:p>
                    <w:p>
                      <w:pPr>
                        <w:pStyle w:val="BodyText"/>
                        <w:numPr>
                          <w:ilvl w:val="0"/>
                          <w:numId w:val="17"/>
                        </w:numPr>
                        <w:tabs>
                          <w:tab w:pos="322" w:val="left" w:leader="none"/>
                        </w:tabs>
                        <w:spacing w:line="240" w:lineRule="auto" w:before="150" w:after="0"/>
                        <w:ind w:left="322" w:right="0" w:hanging="218"/>
                        <w:jc w:val="left"/>
                      </w:pPr>
                      <w:r>
                        <w:rPr>
                          <w:color w:val="231F1F"/>
                        </w:rPr>
                        <w:t>¿Cuál</w:t>
                      </w:r>
                      <w:r>
                        <w:rPr>
                          <w:color w:val="231F1F"/>
                          <w:spacing w:val="24"/>
                        </w:rPr>
                        <w:t> </w:t>
                      </w:r>
                      <w:r>
                        <w:rPr>
                          <w:color w:val="231F1F"/>
                        </w:rPr>
                        <w:t>es</w:t>
                      </w:r>
                      <w:r>
                        <w:rPr>
                          <w:color w:val="231F1F"/>
                          <w:spacing w:val="27"/>
                        </w:rPr>
                        <w:t> </w:t>
                      </w:r>
                      <w:r>
                        <w:rPr>
                          <w:color w:val="231F1F"/>
                        </w:rPr>
                        <w:t>la</w:t>
                      </w:r>
                      <w:r>
                        <w:rPr>
                          <w:color w:val="231F1F"/>
                          <w:spacing w:val="28"/>
                        </w:rPr>
                        <w:t> </w:t>
                      </w:r>
                      <w:r>
                        <w:rPr>
                          <w:color w:val="231F1F"/>
                        </w:rPr>
                        <w:t>definición</w:t>
                      </w:r>
                      <w:r>
                        <w:rPr>
                          <w:color w:val="231F1F"/>
                          <w:spacing w:val="26"/>
                        </w:rPr>
                        <w:t> </w:t>
                      </w:r>
                      <w:r>
                        <w:rPr>
                          <w:color w:val="231F1F"/>
                        </w:rPr>
                        <w:t>de</w:t>
                      </w:r>
                      <w:r>
                        <w:rPr>
                          <w:color w:val="231F1F"/>
                          <w:spacing w:val="29"/>
                        </w:rPr>
                        <w:t> </w:t>
                      </w:r>
                      <w:r>
                        <w:rPr>
                          <w:color w:val="231F1F"/>
                        </w:rPr>
                        <w:t>fase</w:t>
                      </w:r>
                      <w:r>
                        <w:rPr>
                          <w:color w:val="231F1F"/>
                          <w:spacing w:val="26"/>
                        </w:rPr>
                        <w:t> </w:t>
                      </w:r>
                      <w:r>
                        <w:rPr>
                          <w:color w:val="231F1F"/>
                        </w:rPr>
                        <w:t>activa</w:t>
                      </w:r>
                      <w:r>
                        <w:rPr>
                          <w:color w:val="231F1F"/>
                          <w:spacing w:val="28"/>
                        </w:rPr>
                        <w:t> </w:t>
                      </w:r>
                      <w:r>
                        <w:rPr>
                          <w:color w:val="231F1F"/>
                        </w:rPr>
                        <w:t>de</w:t>
                      </w:r>
                      <w:r>
                        <w:rPr>
                          <w:color w:val="231F1F"/>
                          <w:spacing w:val="28"/>
                        </w:rPr>
                        <w:t> </w:t>
                      </w:r>
                      <w:r>
                        <w:rPr>
                          <w:color w:val="231F1F"/>
                        </w:rPr>
                        <w:t>la</w:t>
                      </w:r>
                      <w:r>
                        <w:rPr>
                          <w:color w:val="231F1F"/>
                          <w:spacing w:val="27"/>
                        </w:rPr>
                        <w:t> </w:t>
                      </w:r>
                      <w:r>
                        <w:rPr>
                          <w:color w:val="231F1F"/>
                        </w:rPr>
                        <w:t>primera</w:t>
                      </w:r>
                      <w:r>
                        <w:rPr>
                          <w:color w:val="231F1F"/>
                          <w:spacing w:val="26"/>
                        </w:rPr>
                        <w:t> </w:t>
                      </w:r>
                      <w:r>
                        <w:rPr>
                          <w:color w:val="231F1F"/>
                        </w:rPr>
                        <w:t>etapa</w:t>
                      </w:r>
                      <w:r>
                        <w:rPr>
                          <w:color w:val="231F1F"/>
                          <w:spacing w:val="28"/>
                        </w:rPr>
                        <w:t> </w:t>
                      </w:r>
                      <w:r>
                        <w:rPr>
                          <w:color w:val="231F1F"/>
                        </w:rPr>
                        <w:t>del</w:t>
                      </w:r>
                      <w:r>
                        <w:rPr>
                          <w:color w:val="231F1F"/>
                          <w:spacing w:val="24"/>
                        </w:rPr>
                        <w:t> </w:t>
                      </w:r>
                      <w:r>
                        <w:rPr>
                          <w:color w:val="231F1F"/>
                          <w:spacing w:val="-2"/>
                        </w:rPr>
                        <w:t>parto?</w:t>
                      </w:r>
                    </w:p>
                  </w:txbxContent>
                </v:textbox>
                <v:stroke dashstyle="solid"/>
                <w10:wrap type="topAndBottom"/>
              </v:shape>
            </w:pict>
          </mc:Fallback>
        </mc:AlternateContent>
      </w:r>
    </w:p>
    <w:p>
      <w:pPr>
        <w:pStyle w:val="BodyText"/>
        <w:spacing w:line="244" w:lineRule="auto" w:before="322"/>
        <w:ind w:left="283" w:right="120"/>
        <w:jc w:val="both"/>
      </w:pPr>
      <w:r>
        <w:rPr>
          <w:color w:val="231F1F"/>
          <w:w w:val="110"/>
        </w:rPr>
        <w:t>Las</w:t>
      </w:r>
      <w:r>
        <w:rPr>
          <w:color w:val="231F1F"/>
          <w:spacing w:val="-6"/>
          <w:w w:val="110"/>
        </w:rPr>
        <w:t> </w:t>
      </w:r>
      <w:r>
        <w:rPr>
          <w:color w:val="231F1F"/>
          <w:w w:val="110"/>
        </w:rPr>
        <w:t>definiciones</w:t>
      </w:r>
      <w:r>
        <w:rPr>
          <w:color w:val="231F1F"/>
          <w:spacing w:val="-6"/>
          <w:w w:val="110"/>
        </w:rPr>
        <w:t> </w:t>
      </w:r>
      <w:r>
        <w:rPr>
          <w:color w:val="231F1F"/>
          <w:w w:val="110"/>
        </w:rPr>
        <w:t>de</w:t>
      </w:r>
      <w:r>
        <w:rPr>
          <w:color w:val="231F1F"/>
          <w:spacing w:val="-5"/>
          <w:w w:val="110"/>
        </w:rPr>
        <w:t> </w:t>
      </w:r>
      <w:r>
        <w:rPr>
          <w:color w:val="231F1F"/>
          <w:w w:val="110"/>
        </w:rPr>
        <w:t>las</w:t>
      </w:r>
      <w:r>
        <w:rPr>
          <w:color w:val="231F1F"/>
          <w:spacing w:val="-5"/>
          <w:w w:val="110"/>
        </w:rPr>
        <w:t> </w:t>
      </w:r>
      <w:r>
        <w:rPr>
          <w:color w:val="231F1F"/>
          <w:w w:val="110"/>
        </w:rPr>
        <w:t>etapas</w:t>
      </w:r>
      <w:r>
        <w:rPr>
          <w:color w:val="231F1F"/>
          <w:spacing w:val="-5"/>
          <w:w w:val="110"/>
        </w:rPr>
        <w:t> </w:t>
      </w:r>
      <w:r>
        <w:rPr>
          <w:color w:val="231F1F"/>
          <w:w w:val="110"/>
        </w:rPr>
        <w:t>del</w:t>
      </w:r>
      <w:r>
        <w:rPr>
          <w:color w:val="231F1F"/>
          <w:spacing w:val="-6"/>
          <w:w w:val="110"/>
        </w:rPr>
        <w:t> </w:t>
      </w:r>
      <w:r>
        <w:rPr>
          <w:color w:val="231F1F"/>
          <w:w w:val="110"/>
        </w:rPr>
        <w:t>parto</w:t>
      </w:r>
      <w:r>
        <w:rPr>
          <w:color w:val="231F1F"/>
          <w:spacing w:val="-5"/>
          <w:w w:val="110"/>
        </w:rPr>
        <w:t> </w:t>
      </w:r>
      <w:r>
        <w:rPr>
          <w:color w:val="231F1F"/>
          <w:w w:val="110"/>
        </w:rPr>
        <w:t>deben</w:t>
      </w:r>
      <w:r>
        <w:rPr>
          <w:color w:val="231F1F"/>
          <w:spacing w:val="-5"/>
          <w:w w:val="110"/>
        </w:rPr>
        <w:t> </w:t>
      </w:r>
      <w:r>
        <w:rPr>
          <w:color w:val="231F1F"/>
          <w:w w:val="110"/>
        </w:rPr>
        <w:t>ser</w:t>
      </w:r>
      <w:r>
        <w:rPr>
          <w:color w:val="231F1F"/>
          <w:spacing w:val="-6"/>
          <w:w w:val="110"/>
        </w:rPr>
        <w:t> </w:t>
      </w:r>
      <w:r>
        <w:rPr>
          <w:color w:val="231F1F"/>
          <w:w w:val="110"/>
        </w:rPr>
        <w:t>claras,</w:t>
      </w:r>
      <w:r>
        <w:rPr>
          <w:color w:val="231F1F"/>
          <w:spacing w:val="-6"/>
          <w:w w:val="110"/>
        </w:rPr>
        <w:t> </w:t>
      </w:r>
      <w:r>
        <w:rPr>
          <w:color w:val="231F1F"/>
          <w:w w:val="110"/>
        </w:rPr>
        <w:t>a</w:t>
      </w:r>
      <w:r>
        <w:rPr>
          <w:color w:val="231F1F"/>
          <w:spacing w:val="-5"/>
          <w:w w:val="110"/>
        </w:rPr>
        <w:t> </w:t>
      </w:r>
      <w:r>
        <w:rPr>
          <w:color w:val="231F1F"/>
          <w:w w:val="110"/>
        </w:rPr>
        <w:t>fin</w:t>
      </w:r>
      <w:r>
        <w:rPr>
          <w:color w:val="231F1F"/>
          <w:spacing w:val="-5"/>
          <w:w w:val="110"/>
        </w:rPr>
        <w:t> </w:t>
      </w:r>
      <w:r>
        <w:rPr>
          <w:color w:val="231F1F"/>
          <w:w w:val="110"/>
        </w:rPr>
        <w:t>de</w:t>
      </w:r>
      <w:r>
        <w:rPr>
          <w:color w:val="231F1F"/>
          <w:spacing w:val="-5"/>
          <w:w w:val="110"/>
        </w:rPr>
        <w:t> </w:t>
      </w:r>
      <w:r>
        <w:rPr>
          <w:color w:val="231F1F"/>
          <w:w w:val="110"/>
        </w:rPr>
        <w:t>garantizar</w:t>
      </w:r>
      <w:r>
        <w:rPr>
          <w:color w:val="231F1F"/>
          <w:spacing w:val="-6"/>
          <w:w w:val="110"/>
        </w:rPr>
        <w:t> </w:t>
      </w:r>
      <w:r>
        <w:rPr>
          <w:color w:val="231F1F"/>
          <w:w w:val="110"/>
        </w:rPr>
        <w:t>que</w:t>
      </w:r>
      <w:r>
        <w:rPr>
          <w:color w:val="231F1F"/>
          <w:spacing w:val="-5"/>
          <w:w w:val="110"/>
        </w:rPr>
        <w:t> </w:t>
      </w:r>
      <w:r>
        <w:rPr>
          <w:color w:val="231F1F"/>
          <w:w w:val="110"/>
        </w:rPr>
        <w:t>tanto</w:t>
      </w:r>
      <w:r>
        <w:rPr>
          <w:color w:val="231F1F"/>
          <w:spacing w:val="-5"/>
          <w:w w:val="110"/>
        </w:rPr>
        <w:t> </w:t>
      </w:r>
      <w:r>
        <w:rPr>
          <w:color w:val="231F1F"/>
          <w:w w:val="110"/>
        </w:rPr>
        <w:t>las mujeres</w:t>
      </w:r>
      <w:r>
        <w:rPr>
          <w:color w:val="231F1F"/>
          <w:spacing w:val="-16"/>
          <w:w w:val="110"/>
        </w:rPr>
        <w:t> </w:t>
      </w:r>
      <w:r>
        <w:rPr>
          <w:color w:val="231F1F"/>
          <w:w w:val="110"/>
        </w:rPr>
        <w:t>como</w:t>
      </w:r>
      <w:r>
        <w:rPr>
          <w:color w:val="231F1F"/>
          <w:spacing w:val="-15"/>
          <w:w w:val="110"/>
        </w:rPr>
        <w:t> </w:t>
      </w:r>
      <w:r>
        <w:rPr>
          <w:color w:val="231F1F"/>
          <w:w w:val="110"/>
        </w:rPr>
        <w:t>los</w:t>
      </w:r>
      <w:r>
        <w:rPr>
          <w:color w:val="231F1F"/>
          <w:spacing w:val="-15"/>
          <w:w w:val="110"/>
        </w:rPr>
        <w:t> </w:t>
      </w:r>
      <w:r>
        <w:rPr>
          <w:color w:val="231F1F"/>
          <w:w w:val="110"/>
        </w:rPr>
        <w:t>profesionales</w:t>
      </w:r>
      <w:r>
        <w:rPr>
          <w:color w:val="231F1F"/>
          <w:spacing w:val="-15"/>
          <w:w w:val="110"/>
        </w:rPr>
        <w:t> </w:t>
      </w:r>
      <w:r>
        <w:rPr>
          <w:color w:val="231F1F"/>
          <w:w w:val="110"/>
        </w:rPr>
        <w:t>comparten</w:t>
      </w:r>
      <w:r>
        <w:rPr>
          <w:color w:val="231F1F"/>
          <w:spacing w:val="-15"/>
          <w:w w:val="110"/>
        </w:rPr>
        <w:t> </w:t>
      </w:r>
      <w:r>
        <w:rPr>
          <w:color w:val="231F1F"/>
          <w:w w:val="110"/>
        </w:rPr>
        <w:t>los</w:t>
      </w:r>
      <w:r>
        <w:rPr>
          <w:color w:val="231F1F"/>
          <w:spacing w:val="-15"/>
          <w:w w:val="110"/>
        </w:rPr>
        <w:t> </w:t>
      </w:r>
      <w:r>
        <w:rPr>
          <w:color w:val="231F1F"/>
          <w:w w:val="110"/>
        </w:rPr>
        <w:t>mismos</w:t>
      </w:r>
      <w:r>
        <w:rPr>
          <w:color w:val="231F1F"/>
          <w:spacing w:val="-15"/>
          <w:w w:val="110"/>
        </w:rPr>
        <w:t> </w:t>
      </w:r>
      <w:r>
        <w:rPr>
          <w:color w:val="231F1F"/>
          <w:w w:val="110"/>
        </w:rPr>
        <w:t>conceptos,</w:t>
      </w:r>
      <w:r>
        <w:rPr>
          <w:color w:val="231F1F"/>
          <w:spacing w:val="-15"/>
          <w:w w:val="110"/>
        </w:rPr>
        <w:t> </w:t>
      </w:r>
      <w:r>
        <w:rPr>
          <w:color w:val="231F1F"/>
          <w:w w:val="110"/>
        </w:rPr>
        <w:t>lo</w:t>
      </w:r>
      <w:r>
        <w:rPr>
          <w:color w:val="231F1F"/>
          <w:spacing w:val="-16"/>
          <w:w w:val="110"/>
        </w:rPr>
        <w:t> </w:t>
      </w:r>
      <w:r>
        <w:rPr>
          <w:color w:val="231F1F"/>
          <w:w w:val="110"/>
        </w:rPr>
        <w:t>que</w:t>
      </w:r>
      <w:r>
        <w:rPr>
          <w:color w:val="231F1F"/>
          <w:spacing w:val="-15"/>
          <w:w w:val="110"/>
        </w:rPr>
        <w:t> </w:t>
      </w:r>
      <w:r>
        <w:rPr>
          <w:color w:val="231F1F"/>
          <w:w w:val="110"/>
        </w:rPr>
        <w:t>facilita</w:t>
      </w:r>
      <w:r>
        <w:rPr>
          <w:color w:val="231F1F"/>
          <w:spacing w:val="-15"/>
          <w:w w:val="110"/>
        </w:rPr>
        <w:t> </w:t>
      </w:r>
      <w:r>
        <w:rPr>
          <w:color w:val="231F1F"/>
          <w:w w:val="110"/>
        </w:rPr>
        <w:t>la</w:t>
      </w:r>
      <w:r>
        <w:rPr>
          <w:color w:val="231F1F"/>
          <w:spacing w:val="-15"/>
          <w:w w:val="110"/>
        </w:rPr>
        <w:t> </w:t>
      </w:r>
      <w:r>
        <w:rPr>
          <w:color w:val="231F1F"/>
          <w:w w:val="110"/>
        </w:rPr>
        <w:t>comu- </w:t>
      </w:r>
      <w:r>
        <w:rPr>
          <w:color w:val="231F1F"/>
          <w:spacing w:val="-2"/>
          <w:w w:val="110"/>
        </w:rPr>
        <w:t>nicación.</w:t>
      </w:r>
    </w:p>
    <w:p>
      <w:pPr>
        <w:pStyle w:val="BodyText"/>
        <w:spacing w:before="167"/>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5"/>
        <w:ind w:left="283" w:right="1363"/>
        <w:jc w:val="both"/>
      </w:pPr>
      <w:r>
        <w:rPr>
          <w:color w:val="231F1F"/>
          <w:w w:val="105"/>
        </w:rPr>
        <w:t>La guía NICE (10), primera GPC en abordar las definiciones de las etapas del parto, tras realizar una búsqueda sistemática, no identificó estudios que com- paren</w:t>
      </w:r>
      <w:r>
        <w:rPr>
          <w:color w:val="231F1F"/>
          <w:w w:val="105"/>
        </w:rPr>
        <w:t> los</w:t>
      </w:r>
      <w:r>
        <w:rPr>
          <w:color w:val="231F1F"/>
          <w:w w:val="105"/>
        </w:rPr>
        <w:t> resultados</w:t>
      </w:r>
      <w:r>
        <w:rPr>
          <w:color w:val="231F1F"/>
          <w:w w:val="105"/>
        </w:rPr>
        <w:t> de</w:t>
      </w:r>
      <w:r>
        <w:rPr>
          <w:color w:val="231F1F"/>
          <w:w w:val="105"/>
        </w:rPr>
        <w:t> definir</w:t>
      </w:r>
      <w:r>
        <w:rPr>
          <w:color w:val="231F1F"/>
          <w:w w:val="105"/>
        </w:rPr>
        <w:t> de</w:t>
      </w:r>
      <w:r>
        <w:rPr>
          <w:color w:val="231F1F"/>
          <w:w w:val="105"/>
        </w:rPr>
        <w:t> diferentes</w:t>
      </w:r>
      <w:r>
        <w:rPr>
          <w:color w:val="231F1F"/>
          <w:w w:val="105"/>
        </w:rPr>
        <w:t> formas</w:t>
      </w:r>
      <w:r>
        <w:rPr>
          <w:color w:val="231F1F"/>
          <w:w w:val="105"/>
        </w:rPr>
        <w:t> las</w:t>
      </w:r>
      <w:r>
        <w:rPr>
          <w:color w:val="231F1F"/>
          <w:w w:val="105"/>
        </w:rPr>
        <w:t> etapas</w:t>
      </w:r>
      <w:r>
        <w:rPr>
          <w:color w:val="231F1F"/>
          <w:w w:val="105"/>
        </w:rPr>
        <w:t> del</w:t>
      </w:r>
      <w:r>
        <w:rPr>
          <w:color w:val="231F1F"/>
          <w:w w:val="105"/>
        </w:rPr>
        <w:t> parto.</w:t>
      </w:r>
      <w:r>
        <w:rPr>
          <w:color w:val="231F1F"/>
          <w:w w:val="105"/>
        </w:rPr>
        <w:t> Se</w:t>
      </w:r>
      <w:r>
        <w:rPr>
          <w:color w:val="231F1F"/>
          <w:spacing w:val="40"/>
          <w:w w:val="105"/>
        </w:rPr>
        <w:t> </w:t>
      </w:r>
      <w:r>
        <w:rPr>
          <w:color w:val="231F1F"/>
          <w:w w:val="105"/>
        </w:rPr>
        <w:t>han</w:t>
      </w:r>
      <w:r>
        <w:rPr>
          <w:color w:val="231F1F"/>
          <w:w w:val="105"/>
        </w:rPr>
        <w:t> considerado</w:t>
      </w:r>
      <w:r>
        <w:rPr>
          <w:color w:val="231F1F"/>
          <w:w w:val="105"/>
        </w:rPr>
        <w:t> varias</w:t>
      </w:r>
      <w:r>
        <w:rPr>
          <w:color w:val="231F1F"/>
          <w:w w:val="105"/>
        </w:rPr>
        <w:t> definiciones</w:t>
      </w:r>
      <w:r>
        <w:rPr>
          <w:color w:val="231F1F"/>
          <w:w w:val="105"/>
        </w:rPr>
        <w:t> que</w:t>
      </w:r>
      <w:r>
        <w:rPr>
          <w:color w:val="231F1F"/>
          <w:w w:val="105"/>
        </w:rPr>
        <w:t> han</w:t>
      </w:r>
      <w:r>
        <w:rPr>
          <w:color w:val="231F1F"/>
          <w:w w:val="105"/>
        </w:rPr>
        <w:t> sido</w:t>
      </w:r>
      <w:r>
        <w:rPr>
          <w:color w:val="231F1F"/>
          <w:w w:val="105"/>
        </w:rPr>
        <w:t> usadas</w:t>
      </w:r>
      <w:r>
        <w:rPr>
          <w:color w:val="231F1F"/>
          <w:w w:val="105"/>
        </w:rPr>
        <w:t> en</w:t>
      </w:r>
      <w:r>
        <w:rPr>
          <w:color w:val="231F1F"/>
          <w:w w:val="105"/>
        </w:rPr>
        <w:t> la</w:t>
      </w:r>
      <w:r>
        <w:rPr>
          <w:color w:val="231F1F"/>
          <w:w w:val="105"/>
        </w:rPr>
        <w:t> práctica</w:t>
      </w:r>
      <w:r>
        <w:rPr>
          <w:color w:val="231F1F"/>
          <w:w w:val="105"/>
        </w:rPr>
        <w:t> y</w:t>
      </w:r>
      <w:r>
        <w:rPr>
          <w:color w:val="231F1F"/>
          <w:w w:val="105"/>
        </w:rPr>
        <w:t> en diversos estudios de investigación.</w:t>
      </w:r>
    </w:p>
    <w:p>
      <w:pPr>
        <w:pStyle w:val="BodyText"/>
        <w:spacing w:line="249" w:lineRule="auto" w:before="145"/>
        <w:ind w:left="283" w:right="1367" w:firstLine="453"/>
        <w:jc w:val="both"/>
      </w:pPr>
      <w:r>
        <w:rPr>
          <w:color w:val="231F1F"/>
          <w:w w:val="105"/>
        </w:rPr>
        <w:t>Las diferentes definiciones del comienzo del parto se basan en el inicio</w:t>
      </w:r>
      <w:r>
        <w:rPr>
          <w:color w:val="231F1F"/>
          <w:spacing w:val="40"/>
          <w:w w:val="105"/>
        </w:rPr>
        <w:t> </w:t>
      </w:r>
      <w:r>
        <w:rPr>
          <w:color w:val="231F1F"/>
          <w:w w:val="105"/>
        </w:rPr>
        <w:t>de</w:t>
      </w:r>
      <w:r>
        <w:rPr>
          <w:color w:val="231F1F"/>
          <w:spacing w:val="-4"/>
          <w:w w:val="105"/>
        </w:rPr>
        <w:t> </w:t>
      </w:r>
      <w:r>
        <w:rPr>
          <w:color w:val="231F1F"/>
          <w:w w:val="105"/>
        </w:rPr>
        <w:t>las</w:t>
      </w:r>
      <w:r>
        <w:rPr>
          <w:color w:val="231F1F"/>
          <w:spacing w:val="-4"/>
          <w:w w:val="105"/>
        </w:rPr>
        <w:t> </w:t>
      </w:r>
      <w:r>
        <w:rPr>
          <w:color w:val="231F1F"/>
          <w:w w:val="105"/>
        </w:rPr>
        <w:t>contracciones</w:t>
      </w:r>
      <w:r>
        <w:rPr>
          <w:color w:val="231F1F"/>
          <w:spacing w:val="-3"/>
          <w:w w:val="105"/>
        </w:rPr>
        <w:t> </w:t>
      </w:r>
      <w:r>
        <w:rPr>
          <w:color w:val="231F1F"/>
          <w:w w:val="105"/>
        </w:rPr>
        <w:t>uterinas</w:t>
      </w:r>
      <w:r>
        <w:rPr>
          <w:color w:val="231F1F"/>
          <w:spacing w:val="-4"/>
          <w:w w:val="105"/>
        </w:rPr>
        <w:t> </w:t>
      </w:r>
      <w:r>
        <w:rPr>
          <w:color w:val="231F1F"/>
          <w:w w:val="105"/>
        </w:rPr>
        <w:t>(23-26)</w:t>
      </w:r>
      <w:r>
        <w:rPr>
          <w:color w:val="231F1F"/>
          <w:spacing w:val="-4"/>
          <w:w w:val="105"/>
        </w:rPr>
        <w:t> </w:t>
      </w:r>
      <w:r>
        <w:rPr>
          <w:color w:val="231F1F"/>
          <w:w w:val="105"/>
        </w:rPr>
        <w:t>y</w:t>
      </w:r>
      <w:r>
        <w:rPr>
          <w:color w:val="231F1F"/>
          <w:spacing w:val="-4"/>
          <w:w w:val="105"/>
        </w:rPr>
        <w:t> </w:t>
      </w:r>
      <w:r>
        <w:rPr>
          <w:color w:val="231F1F"/>
          <w:w w:val="105"/>
        </w:rPr>
        <w:t>la</w:t>
      </w:r>
      <w:r>
        <w:rPr>
          <w:color w:val="231F1F"/>
          <w:spacing w:val="-4"/>
          <w:w w:val="105"/>
        </w:rPr>
        <w:t> </w:t>
      </w:r>
      <w:r>
        <w:rPr>
          <w:color w:val="231F1F"/>
          <w:w w:val="105"/>
        </w:rPr>
        <w:t>evidencia</w:t>
      </w:r>
      <w:r>
        <w:rPr>
          <w:color w:val="231F1F"/>
          <w:spacing w:val="-4"/>
          <w:w w:val="105"/>
        </w:rPr>
        <w:t> </w:t>
      </w:r>
      <w:r>
        <w:rPr>
          <w:color w:val="231F1F"/>
          <w:w w:val="105"/>
        </w:rPr>
        <w:t>de</w:t>
      </w:r>
      <w:r>
        <w:rPr>
          <w:color w:val="231F1F"/>
          <w:spacing w:val="-4"/>
          <w:w w:val="105"/>
        </w:rPr>
        <w:t> </w:t>
      </w:r>
      <w:r>
        <w:rPr>
          <w:color w:val="231F1F"/>
          <w:w w:val="105"/>
        </w:rPr>
        <w:t>cambios</w:t>
      </w:r>
      <w:r>
        <w:rPr>
          <w:color w:val="231F1F"/>
          <w:spacing w:val="-4"/>
          <w:w w:val="105"/>
        </w:rPr>
        <w:t> </w:t>
      </w:r>
      <w:r>
        <w:rPr>
          <w:color w:val="231F1F"/>
          <w:w w:val="105"/>
        </w:rPr>
        <w:t>cervicales</w:t>
      </w:r>
      <w:r>
        <w:rPr>
          <w:color w:val="231F1F"/>
          <w:spacing w:val="-4"/>
          <w:w w:val="105"/>
        </w:rPr>
        <w:t> </w:t>
      </w:r>
      <w:r>
        <w:rPr>
          <w:color w:val="231F1F"/>
          <w:w w:val="105"/>
        </w:rPr>
        <w:t>(27) o en ambos (23). Mientras que la consideración exclusiva de la presencia de contracciones</w:t>
      </w:r>
      <w:r>
        <w:rPr>
          <w:color w:val="231F1F"/>
          <w:w w:val="105"/>
        </w:rPr>
        <w:t> uterinas</w:t>
      </w:r>
      <w:r>
        <w:rPr>
          <w:color w:val="231F1F"/>
          <w:w w:val="105"/>
        </w:rPr>
        <w:t> para</w:t>
      </w:r>
      <w:r>
        <w:rPr>
          <w:color w:val="231F1F"/>
          <w:w w:val="105"/>
        </w:rPr>
        <w:t> definir</w:t>
      </w:r>
      <w:r>
        <w:rPr>
          <w:color w:val="231F1F"/>
          <w:w w:val="105"/>
        </w:rPr>
        <w:t> el</w:t>
      </w:r>
      <w:r>
        <w:rPr>
          <w:color w:val="231F1F"/>
          <w:w w:val="105"/>
        </w:rPr>
        <w:t> inicio</w:t>
      </w:r>
      <w:r>
        <w:rPr>
          <w:color w:val="231F1F"/>
          <w:w w:val="105"/>
        </w:rPr>
        <w:t> del</w:t>
      </w:r>
      <w:r>
        <w:rPr>
          <w:color w:val="231F1F"/>
          <w:w w:val="105"/>
        </w:rPr>
        <w:t> parto</w:t>
      </w:r>
      <w:r>
        <w:rPr>
          <w:color w:val="231F1F"/>
          <w:w w:val="105"/>
        </w:rPr>
        <w:t> implica</w:t>
      </w:r>
      <w:r>
        <w:rPr>
          <w:color w:val="231F1F"/>
          <w:w w:val="105"/>
        </w:rPr>
        <w:t> que</w:t>
      </w:r>
      <w:r>
        <w:rPr>
          <w:color w:val="231F1F"/>
          <w:w w:val="105"/>
        </w:rPr>
        <w:t> dicho</w:t>
      </w:r>
      <w:r>
        <w:rPr>
          <w:color w:val="231F1F"/>
          <w:w w:val="105"/>
        </w:rPr>
        <w:t> co- mienzo sea establecido por la propia mujer, la inclusión de los cambios cervi- cales,</w:t>
      </w:r>
      <w:r>
        <w:rPr>
          <w:color w:val="231F1F"/>
          <w:spacing w:val="40"/>
          <w:w w:val="105"/>
        </w:rPr>
        <w:t> </w:t>
      </w:r>
      <w:r>
        <w:rPr>
          <w:color w:val="231F1F"/>
          <w:w w:val="105"/>
        </w:rPr>
        <w:t>supone</w:t>
      </w:r>
      <w:r>
        <w:rPr>
          <w:color w:val="231F1F"/>
          <w:spacing w:val="40"/>
          <w:w w:val="105"/>
        </w:rPr>
        <w:t> </w:t>
      </w:r>
      <w:r>
        <w:rPr>
          <w:color w:val="231F1F"/>
          <w:w w:val="105"/>
        </w:rPr>
        <w:t>que</w:t>
      </w:r>
      <w:r>
        <w:rPr>
          <w:color w:val="231F1F"/>
          <w:spacing w:val="40"/>
          <w:w w:val="105"/>
        </w:rPr>
        <w:t> </w:t>
      </w:r>
      <w:r>
        <w:rPr>
          <w:color w:val="231F1F"/>
          <w:w w:val="105"/>
        </w:rPr>
        <w:t>se</w:t>
      </w:r>
      <w:r>
        <w:rPr>
          <w:color w:val="231F1F"/>
          <w:spacing w:val="40"/>
          <w:w w:val="105"/>
        </w:rPr>
        <w:t> </w:t>
      </w:r>
      <w:r>
        <w:rPr>
          <w:color w:val="231F1F"/>
          <w:w w:val="105"/>
        </w:rPr>
        <w:t>precisa</w:t>
      </w:r>
      <w:r>
        <w:rPr>
          <w:color w:val="231F1F"/>
          <w:spacing w:val="40"/>
          <w:w w:val="105"/>
        </w:rPr>
        <w:t> </w:t>
      </w:r>
      <w:r>
        <w:rPr>
          <w:color w:val="231F1F"/>
          <w:w w:val="105"/>
        </w:rPr>
        <w:t>la</w:t>
      </w:r>
      <w:r>
        <w:rPr>
          <w:color w:val="231F1F"/>
          <w:spacing w:val="40"/>
          <w:w w:val="105"/>
        </w:rPr>
        <w:t> </w:t>
      </w:r>
      <w:r>
        <w:rPr>
          <w:color w:val="231F1F"/>
          <w:w w:val="105"/>
        </w:rPr>
        <w:t>confirmación</w:t>
      </w:r>
      <w:r>
        <w:rPr>
          <w:color w:val="231F1F"/>
          <w:spacing w:val="40"/>
          <w:w w:val="105"/>
        </w:rPr>
        <w:t> </w:t>
      </w:r>
      <w:r>
        <w:rPr>
          <w:color w:val="231F1F"/>
          <w:w w:val="105"/>
        </w:rPr>
        <w:t>de</w:t>
      </w:r>
      <w:r>
        <w:rPr>
          <w:color w:val="231F1F"/>
          <w:spacing w:val="40"/>
          <w:w w:val="105"/>
        </w:rPr>
        <w:t> </w:t>
      </w:r>
      <w:r>
        <w:rPr>
          <w:color w:val="231F1F"/>
          <w:w w:val="105"/>
        </w:rPr>
        <w:t>un</w:t>
      </w:r>
      <w:r>
        <w:rPr>
          <w:color w:val="231F1F"/>
          <w:spacing w:val="40"/>
          <w:w w:val="105"/>
        </w:rPr>
        <w:t> </w:t>
      </w:r>
      <w:r>
        <w:rPr>
          <w:color w:val="231F1F"/>
          <w:w w:val="105"/>
        </w:rPr>
        <w:t>profesional.</w:t>
      </w:r>
    </w:p>
    <w:p>
      <w:pPr>
        <w:pStyle w:val="BodyText"/>
        <w:spacing w:line="247" w:lineRule="auto" w:before="135"/>
        <w:ind w:left="283" w:right="1371" w:firstLine="453"/>
        <w:jc w:val="both"/>
      </w:pPr>
      <w:r>
        <w:rPr>
          <w:color w:val="231F1F"/>
          <w:w w:val="110"/>
        </w:rPr>
        <w:t>Por</w:t>
      </w:r>
      <w:r>
        <w:rPr>
          <w:color w:val="231F1F"/>
          <w:spacing w:val="-2"/>
          <w:w w:val="110"/>
        </w:rPr>
        <w:t> </w:t>
      </w:r>
      <w:r>
        <w:rPr>
          <w:color w:val="231F1F"/>
          <w:w w:val="110"/>
        </w:rPr>
        <w:t>acuerdo,</w:t>
      </w:r>
      <w:r>
        <w:rPr>
          <w:color w:val="231F1F"/>
          <w:spacing w:val="-2"/>
          <w:w w:val="110"/>
        </w:rPr>
        <w:t> </w:t>
      </w:r>
      <w:r>
        <w:rPr>
          <w:color w:val="231F1F"/>
          <w:w w:val="110"/>
        </w:rPr>
        <w:t>el</w:t>
      </w:r>
      <w:r>
        <w:rPr>
          <w:color w:val="231F1F"/>
          <w:spacing w:val="-2"/>
          <w:w w:val="110"/>
        </w:rPr>
        <w:t> </w:t>
      </w:r>
      <w:r>
        <w:rPr>
          <w:color w:val="231F1F"/>
          <w:w w:val="110"/>
        </w:rPr>
        <w:t>parto</w:t>
      </w:r>
      <w:r>
        <w:rPr>
          <w:color w:val="231F1F"/>
          <w:spacing w:val="-2"/>
          <w:w w:val="110"/>
        </w:rPr>
        <w:t> </w:t>
      </w:r>
      <w:r>
        <w:rPr>
          <w:color w:val="231F1F"/>
          <w:w w:val="110"/>
        </w:rPr>
        <w:t>se</w:t>
      </w:r>
      <w:r>
        <w:rPr>
          <w:color w:val="231F1F"/>
          <w:spacing w:val="-2"/>
          <w:w w:val="110"/>
        </w:rPr>
        <w:t> </w:t>
      </w:r>
      <w:r>
        <w:rPr>
          <w:color w:val="231F1F"/>
          <w:w w:val="110"/>
        </w:rPr>
        <w:t>ha</w:t>
      </w:r>
      <w:r>
        <w:rPr>
          <w:color w:val="231F1F"/>
          <w:spacing w:val="-2"/>
          <w:w w:val="110"/>
        </w:rPr>
        <w:t> </w:t>
      </w:r>
      <w:r>
        <w:rPr>
          <w:color w:val="231F1F"/>
          <w:w w:val="110"/>
        </w:rPr>
        <w:t>dividido</w:t>
      </w:r>
      <w:r>
        <w:rPr>
          <w:color w:val="231F1F"/>
          <w:spacing w:val="-2"/>
          <w:w w:val="110"/>
        </w:rPr>
        <w:t> </w:t>
      </w:r>
      <w:r>
        <w:rPr>
          <w:color w:val="231F1F"/>
          <w:w w:val="110"/>
        </w:rPr>
        <w:t>en</w:t>
      </w:r>
      <w:r>
        <w:rPr>
          <w:color w:val="231F1F"/>
          <w:spacing w:val="-2"/>
          <w:w w:val="110"/>
        </w:rPr>
        <w:t> </w:t>
      </w:r>
      <w:r>
        <w:rPr>
          <w:color w:val="231F1F"/>
          <w:w w:val="110"/>
        </w:rPr>
        <w:t>tres</w:t>
      </w:r>
      <w:r>
        <w:rPr>
          <w:color w:val="231F1F"/>
          <w:spacing w:val="-2"/>
          <w:w w:val="110"/>
        </w:rPr>
        <w:t> </w:t>
      </w:r>
      <w:r>
        <w:rPr>
          <w:color w:val="231F1F"/>
          <w:w w:val="110"/>
        </w:rPr>
        <w:t>etapas:</w:t>
      </w:r>
      <w:r>
        <w:rPr>
          <w:color w:val="231F1F"/>
          <w:spacing w:val="-2"/>
          <w:w w:val="110"/>
        </w:rPr>
        <w:t> </w:t>
      </w:r>
      <w:r>
        <w:rPr>
          <w:color w:val="231F1F"/>
          <w:w w:val="110"/>
        </w:rPr>
        <w:t>primera</w:t>
      </w:r>
      <w:r>
        <w:rPr>
          <w:color w:val="231F1F"/>
          <w:spacing w:val="-2"/>
          <w:w w:val="110"/>
        </w:rPr>
        <w:t> </w:t>
      </w:r>
      <w:r>
        <w:rPr>
          <w:color w:val="231F1F"/>
          <w:w w:val="110"/>
        </w:rPr>
        <w:t>etapa</w:t>
      </w:r>
      <w:r>
        <w:rPr>
          <w:color w:val="231F1F"/>
          <w:spacing w:val="-2"/>
          <w:w w:val="110"/>
        </w:rPr>
        <w:t> </w:t>
      </w:r>
      <w:r>
        <w:rPr>
          <w:color w:val="231F1F"/>
          <w:w w:val="110"/>
        </w:rPr>
        <w:t>o</w:t>
      </w:r>
      <w:r>
        <w:rPr>
          <w:color w:val="231F1F"/>
          <w:spacing w:val="-2"/>
          <w:w w:val="110"/>
        </w:rPr>
        <w:t> </w:t>
      </w:r>
      <w:r>
        <w:rPr>
          <w:color w:val="231F1F"/>
          <w:w w:val="110"/>
        </w:rPr>
        <w:t>pe- riodo</w:t>
      </w:r>
      <w:r>
        <w:rPr>
          <w:color w:val="231F1F"/>
          <w:spacing w:val="-7"/>
          <w:w w:val="110"/>
        </w:rPr>
        <w:t> </w:t>
      </w:r>
      <w:r>
        <w:rPr>
          <w:color w:val="231F1F"/>
          <w:w w:val="110"/>
        </w:rPr>
        <w:t>de</w:t>
      </w:r>
      <w:r>
        <w:rPr>
          <w:color w:val="231F1F"/>
          <w:spacing w:val="-7"/>
          <w:w w:val="110"/>
        </w:rPr>
        <w:t> </w:t>
      </w:r>
      <w:r>
        <w:rPr>
          <w:color w:val="231F1F"/>
          <w:w w:val="110"/>
        </w:rPr>
        <w:t>dilatación,</w:t>
      </w:r>
      <w:r>
        <w:rPr>
          <w:color w:val="231F1F"/>
          <w:spacing w:val="-8"/>
          <w:w w:val="110"/>
        </w:rPr>
        <w:t> </w:t>
      </w:r>
      <w:r>
        <w:rPr>
          <w:color w:val="231F1F"/>
          <w:w w:val="110"/>
        </w:rPr>
        <w:t>segunda</w:t>
      </w:r>
      <w:r>
        <w:rPr>
          <w:color w:val="231F1F"/>
          <w:spacing w:val="-7"/>
          <w:w w:val="110"/>
        </w:rPr>
        <w:t> </w:t>
      </w:r>
      <w:r>
        <w:rPr>
          <w:color w:val="231F1F"/>
          <w:w w:val="110"/>
        </w:rPr>
        <w:t>etapa</w:t>
      </w:r>
      <w:r>
        <w:rPr>
          <w:color w:val="231F1F"/>
          <w:spacing w:val="-7"/>
          <w:w w:val="110"/>
        </w:rPr>
        <w:t> </w:t>
      </w:r>
      <w:r>
        <w:rPr>
          <w:color w:val="231F1F"/>
          <w:w w:val="110"/>
        </w:rPr>
        <w:t>o</w:t>
      </w:r>
      <w:r>
        <w:rPr>
          <w:color w:val="231F1F"/>
          <w:spacing w:val="-7"/>
          <w:w w:val="110"/>
        </w:rPr>
        <w:t> </w:t>
      </w:r>
      <w:r>
        <w:rPr>
          <w:color w:val="231F1F"/>
          <w:w w:val="110"/>
        </w:rPr>
        <w:t>periodo</w:t>
      </w:r>
      <w:r>
        <w:rPr>
          <w:color w:val="231F1F"/>
          <w:spacing w:val="-7"/>
          <w:w w:val="110"/>
        </w:rPr>
        <w:t> </w:t>
      </w:r>
      <w:r>
        <w:rPr>
          <w:color w:val="231F1F"/>
          <w:w w:val="110"/>
        </w:rPr>
        <w:t>expulsivo</w:t>
      </w:r>
      <w:r>
        <w:rPr>
          <w:color w:val="231F1F"/>
          <w:spacing w:val="-7"/>
          <w:w w:val="110"/>
        </w:rPr>
        <w:t> </w:t>
      </w:r>
      <w:r>
        <w:rPr>
          <w:color w:val="231F1F"/>
          <w:w w:val="110"/>
        </w:rPr>
        <w:t>y</w:t>
      </w:r>
      <w:r>
        <w:rPr>
          <w:color w:val="231F1F"/>
          <w:spacing w:val="-7"/>
          <w:w w:val="110"/>
        </w:rPr>
        <w:t> </w:t>
      </w:r>
      <w:r>
        <w:rPr>
          <w:color w:val="231F1F"/>
          <w:w w:val="110"/>
        </w:rPr>
        <w:t>tercera</w:t>
      </w:r>
      <w:r>
        <w:rPr>
          <w:color w:val="231F1F"/>
          <w:spacing w:val="-7"/>
          <w:w w:val="110"/>
        </w:rPr>
        <w:t> </w:t>
      </w:r>
      <w:r>
        <w:rPr>
          <w:color w:val="231F1F"/>
          <w:w w:val="110"/>
        </w:rPr>
        <w:t>etapa</w:t>
      </w:r>
      <w:r>
        <w:rPr>
          <w:color w:val="231F1F"/>
          <w:spacing w:val="-7"/>
          <w:w w:val="110"/>
        </w:rPr>
        <w:t> </w:t>
      </w:r>
      <w:r>
        <w:rPr>
          <w:color w:val="231F1F"/>
          <w:w w:val="110"/>
        </w:rPr>
        <w:t>o</w:t>
      </w:r>
      <w:r>
        <w:rPr>
          <w:color w:val="231F1F"/>
          <w:spacing w:val="-7"/>
          <w:w w:val="110"/>
        </w:rPr>
        <w:t> </w:t>
      </w:r>
      <w:r>
        <w:rPr>
          <w:color w:val="231F1F"/>
          <w:w w:val="110"/>
        </w:rPr>
        <w:t>pe- riodo</w:t>
      </w:r>
      <w:r>
        <w:rPr>
          <w:color w:val="231F1F"/>
          <w:spacing w:val="-16"/>
          <w:w w:val="110"/>
        </w:rPr>
        <w:t> </w:t>
      </w:r>
      <w:r>
        <w:rPr>
          <w:color w:val="231F1F"/>
          <w:w w:val="110"/>
        </w:rPr>
        <w:t>de</w:t>
      </w:r>
      <w:r>
        <w:rPr>
          <w:color w:val="231F1F"/>
          <w:spacing w:val="-15"/>
          <w:w w:val="110"/>
        </w:rPr>
        <w:t> </w:t>
      </w:r>
      <w:r>
        <w:rPr>
          <w:color w:val="231F1F"/>
          <w:w w:val="110"/>
        </w:rPr>
        <w:t>alumbramiento.</w:t>
      </w:r>
      <w:r>
        <w:rPr>
          <w:color w:val="231F1F"/>
          <w:spacing w:val="-15"/>
          <w:w w:val="110"/>
        </w:rPr>
        <w:t> </w:t>
      </w:r>
      <w:r>
        <w:rPr>
          <w:color w:val="231F1F"/>
          <w:w w:val="110"/>
        </w:rPr>
        <w:t>La</w:t>
      </w:r>
      <w:r>
        <w:rPr>
          <w:color w:val="231F1F"/>
          <w:spacing w:val="-15"/>
          <w:w w:val="110"/>
        </w:rPr>
        <w:t> </w:t>
      </w:r>
      <w:r>
        <w:rPr>
          <w:color w:val="231F1F"/>
          <w:w w:val="110"/>
        </w:rPr>
        <w:t>primera</w:t>
      </w:r>
      <w:r>
        <w:rPr>
          <w:color w:val="231F1F"/>
          <w:spacing w:val="-15"/>
          <w:w w:val="110"/>
        </w:rPr>
        <w:t> </w:t>
      </w:r>
      <w:r>
        <w:rPr>
          <w:color w:val="231F1F"/>
          <w:w w:val="110"/>
        </w:rPr>
        <w:t>etapa</w:t>
      </w:r>
      <w:r>
        <w:rPr>
          <w:color w:val="231F1F"/>
          <w:spacing w:val="-15"/>
          <w:w w:val="110"/>
        </w:rPr>
        <w:t> </w:t>
      </w:r>
      <w:r>
        <w:rPr>
          <w:color w:val="231F1F"/>
          <w:w w:val="110"/>
        </w:rPr>
        <w:t>comienza</w:t>
      </w:r>
      <w:r>
        <w:rPr>
          <w:color w:val="231F1F"/>
          <w:spacing w:val="-15"/>
          <w:w w:val="110"/>
        </w:rPr>
        <w:t> </w:t>
      </w:r>
      <w:r>
        <w:rPr>
          <w:color w:val="231F1F"/>
          <w:w w:val="110"/>
        </w:rPr>
        <w:t>con</w:t>
      </w:r>
      <w:r>
        <w:rPr>
          <w:color w:val="231F1F"/>
          <w:spacing w:val="-15"/>
          <w:w w:val="110"/>
        </w:rPr>
        <w:t> </w:t>
      </w:r>
      <w:r>
        <w:rPr>
          <w:color w:val="231F1F"/>
          <w:w w:val="110"/>
        </w:rPr>
        <w:t>el</w:t>
      </w:r>
      <w:r>
        <w:rPr>
          <w:color w:val="231F1F"/>
          <w:spacing w:val="-16"/>
          <w:w w:val="110"/>
        </w:rPr>
        <w:t> </w:t>
      </w:r>
      <w:r>
        <w:rPr>
          <w:color w:val="231F1F"/>
          <w:w w:val="110"/>
        </w:rPr>
        <w:t>inicio</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y termina</w:t>
      </w:r>
      <w:r>
        <w:rPr>
          <w:color w:val="231F1F"/>
          <w:spacing w:val="-8"/>
          <w:w w:val="110"/>
        </w:rPr>
        <w:t> </w:t>
      </w:r>
      <w:r>
        <w:rPr>
          <w:color w:val="231F1F"/>
          <w:w w:val="110"/>
        </w:rPr>
        <w:t>con</w:t>
      </w:r>
      <w:r>
        <w:rPr>
          <w:color w:val="231F1F"/>
          <w:spacing w:val="-7"/>
          <w:w w:val="110"/>
        </w:rPr>
        <w:t> </w:t>
      </w:r>
      <w:r>
        <w:rPr>
          <w:color w:val="231F1F"/>
          <w:w w:val="110"/>
        </w:rPr>
        <w:t>la</w:t>
      </w:r>
      <w:r>
        <w:rPr>
          <w:color w:val="231F1F"/>
          <w:spacing w:val="-8"/>
          <w:w w:val="110"/>
        </w:rPr>
        <w:t> </w:t>
      </w:r>
      <w:r>
        <w:rPr>
          <w:color w:val="231F1F"/>
          <w:w w:val="110"/>
        </w:rPr>
        <w:t>dilatación</w:t>
      </w:r>
      <w:r>
        <w:rPr>
          <w:color w:val="231F1F"/>
          <w:spacing w:val="-8"/>
          <w:w w:val="110"/>
        </w:rPr>
        <w:t> </w:t>
      </w:r>
      <w:r>
        <w:rPr>
          <w:color w:val="231F1F"/>
          <w:w w:val="110"/>
        </w:rPr>
        <w:t>completa.</w:t>
      </w:r>
      <w:r>
        <w:rPr>
          <w:color w:val="231F1F"/>
          <w:spacing w:val="-8"/>
          <w:w w:val="110"/>
        </w:rPr>
        <w:t> </w:t>
      </w:r>
      <w:r>
        <w:rPr>
          <w:color w:val="231F1F"/>
          <w:w w:val="110"/>
        </w:rPr>
        <w:t>A</w:t>
      </w:r>
      <w:r>
        <w:rPr>
          <w:color w:val="231F1F"/>
          <w:spacing w:val="-7"/>
          <w:w w:val="110"/>
        </w:rPr>
        <w:t> </w:t>
      </w:r>
      <w:r>
        <w:rPr>
          <w:color w:val="231F1F"/>
          <w:w w:val="110"/>
        </w:rPr>
        <w:t>su</w:t>
      </w:r>
      <w:r>
        <w:rPr>
          <w:color w:val="231F1F"/>
          <w:spacing w:val="-7"/>
          <w:w w:val="110"/>
        </w:rPr>
        <w:t> </w:t>
      </w:r>
      <w:r>
        <w:rPr>
          <w:color w:val="231F1F"/>
          <w:w w:val="110"/>
        </w:rPr>
        <w:t>vez,</w:t>
      </w:r>
      <w:r>
        <w:rPr>
          <w:color w:val="231F1F"/>
          <w:spacing w:val="-8"/>
          <w:w w:val="110"/>
        </w:rPr>
        <w:t> </w:t>
      </w:r>
      <w:r>
        <w:rPr>
          <w:color w:val="231F1F"/>
          <w:w w:val="110"/>
        </w:rPr>
        <w:t>esta</w:t>
      </w:r>
      <w:r>
        <w:rPr>
          <w:color w:val="231F1F"/>
          <w:spacing w:val="-7"/>
          <w:w w:val="110"/>
        </w:rPr>
        <w:t> </w:t>
      </w:r>
      <w:r>
        <w:rPr>
          <w:color w:val="231F1F"/>
          <w:w w:val="110"/>
        </w:rPr>
        <w:t>primera</w:t>
      </w:r>
      <w:r>
        <w:rPr>
          <w:color w:val="231F1F"/>
          <w:spacing w:val="-8"/>
          <w:w w:val="110"/>
        </w:rPr>
        <w:t> </w:t>
      </w:r>
      <w:r>
        <w:rPr>
          <w:color w:val="231F1F"/>
          <w:w w:val="110"/>
        </w:rPr>
        <w:t>etapa,</w:t>
      </w:r>
      <w:r>
        <w:rPr>
          <w:color w:val="231F1F"/>
          <w:spacing w:val="-8"/>
          <w:w w:val="110"/>
        </w:rPr>
        <w:t> </w:t>
      </w:r>
      <w:r>
        <w:rPr>
          <w:color w:val="231F1F"/>
          <w:w w:val="110"/>
        </w:rPr>
        <w:t>tanto</w:t>
      </w:r>
      <w:r>
        <w:rPr>
          <w:color w:val="231F1F"/>
          <w:spacing w:val="-7"/>
          <w:w w:val="110"/>
        </w:rPr>
        <w:t> </w:t>
      </w:r>
      <w:r>
        <w:rPr>
          <w:color w:val="231F1F"/>
          <w:w w:val="110"/>
        </w:rPr>
        <w:t>en</w:t>
      </w:r>
      <w:r>
        <w:rPr>
          <w:color w:val="231F1F"/>
          <w:spacing w:val="-7"/>
          <w:w w:val="110"/>
        </w:rPr>
        <w:t> </w:t>
      </w:r>
      <w:r>
        <w:rPr>
          <w:color w:val="231F1F"/>
          <w:w w:val="110"/>
        </w:rPr>
        <w:t>la práctica</w:t>
      </w:r>
      <w:r>
        <w:rPr>
          <w:color w:val="231F1F"/>
          <w:spacing w:val="-8"/>
          <w:w w:val="110"/>
        </w:rPr>
        <w:t> </w:t>
      </w:r>
      <w:r>
        <w:rPr>
          <w:color w:val="231F1F"/>
          <w:w w:val="110"/>
        </w:rPr>
        <w:t>clínica</w:t>
      </w:r>
      <w:r>
        <w:rPr>
          <w:color w:val="231F1F"/>
          <w:spacing w:val="-8"/>
          <w:w w:val="110"/>
        </w:rPr>
        <w:t> </w:t>
      </w:r>
      <w:r>
        <w:rPr>
          <w:color w:val="231F1F"/>
          <w:w w:val="110"/>
        </w:rPr>
        <w:t>como</w:t>
      </w:r>
      <w:r>
        <w:rPr>
          <w:color w:val="231F1F"/>
          <w:spacing w:val="-7"/>
          <w:w w:val="110"/>
        </w:rPr>
        <w:t> </w:t>
      </w: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literatura,</w:t>
      </w:r>
      <w:r>
        <w:rPr>
          <w:color w:val="231F1F"/>
          <w:spacing w:val="-8"/>
          <w:w w:val="110"/>
        </w:rPr>
        <w:t> </w:t>
      </w:r>
      <w:r>
        <w:rPr>
          <w:color w:val="231F1F"/>
          <w:w w:val="110"/>
        </w:rPr>
        <w:t>se</w:t>
      </w:r>
      <w:r>
        <w:rPr>
          <w:color w:val="231F1F"/>
          <w:spacing w:val="-8"/>
          <w:w w:val="110"/>
        </w:rPr>
        <w:t> </w:t>
      </w:r>
      <w:r>
        <w:rPr>
          <w:color w:val="231F1F"/>
          <w:w w:val="110"/>
        </w:rPr>
        <w:t>ha</w:t>
      </w:r>
      <w:r>
        <w:rPr>
          <w:color w:val="231F1F"/>
          <w:spacing w:val="-8"/>
          <w:w w:val="110"/>
        </w:rPr>
        <w:t> </w:t>
      </w:r>
      <w:r>
        <w:rPr>
          <w:color w:val="231F1F"/>
          <w:w w:val="110"/>
        </w:rPr>
        <w:t>subdividido</w:t>
      </w:r>
      <w:r>
        <w:rPr>
          <w:color w:val="231F1F"/>
          <w:spacing w:val="-8"/>
          <w:w w:val="110"/>
        </w:rPr>
        <w:t> </w:t>
      </w:r>
      <w:r>
        <w:rPr>
          <w:color w:val="231F1F"/>
          <w:w w:val="110"/>
        </w:rPr>
        <w:t>en</w:t>
      </w:r>
      <w:r>
        <w:rPr>
          <w:color w:val="231F1F"/>
          <w:spacing w:val="-7"/>
          <w:w w:val="110"/>
        </w:rPr>
        <w:t> </w:t>
      </w:r>
      <w:r>
        <w:rPr>
          <w:color w:val="231F1F"/>
          <w:w w:val="110"/>
        </w:rPr>
        <w:t>dos</w:t>
      </w:r>
      <w:r>
        <w:rPr>
          <w:color w:val="231F1F"/>
          <w:spacing w:val="-8"/>
          <w:w w:val="110"/>
        </w:rPr>
        <w:t> </w:t>
      </w:r>
      <w:r>
        <w:rPr>
          <w:color w:val="231F1F"/>
          <w:w w:val="110"/>
        </w:rPr>
        <w:t>fases:</w:t>
      </w:r>
      <w:r>
        <w:rPr>
          <w:color w:val="231F1F"/>
          <w:spacing w:val="-8"/>
          <w:w w:val="110"/>
        </w:rPr>
        <w:t> </w:t>
      </w:r>
      <w:r>
        <w:rPr>
          <w:color w:val="231F1F"/>
          <w:w w:val="110"/>
        </w:rPr>
        <w:t>la</w:t>
      </w:r>
      <w:r>
        <w:rPr>
          <w:color w:val="231F1F"/>
          <w:spacing w:val="-7"/>
          <w:w w:val="110"/>
        </w:rPr>
        <w:t> </w:t>
      </w:r>
      <w:r>
        <w:rPr>
          <w:color w:val="231F1F"/>
          <w:w w:val="110"/>
        </w:rPr>
        <w:t>fase latente y la fase activa.</w:t>
      </w:r>
    </w:p>
    <w:p>
      <w:pPr>
        <w:pStyle w:val="BodyText"/>
        <w:tabs>
          <w:tab w:pos="7757" w:val="left" w:leader="none"/>
          <w:tab w:pos="7933" w:val="left" w:leader="none"/>
        </w:tabs>
        <w:spacing w:line="244" w:lineRule="auto" w:before="78"/>
        <w:ind w:left="283" w:right="355" w:firstLine="453"/>
      </w:pPr>
      <w:r>
        <w:rPr>
          <w:color w:val="231F1F"/>
          <w:w w:val="110"/>
        </w:rPr>
        <w:t>La fase latente comienza con el inicio del parto y se caracteriza por la</w:t>
      </w:r>
      <w:r>
        <w:rPr>
          <w:color w:val="231F1F"/>
        </w:rPr>
        <w:tab/>
      </w:r>
      <w:r>
        <w:rPr>
          <w:rFonts w:ascii="Arial MT" w:hAnsi="Arial MT"/>
          <w:color w:val="231F1F"/>
          <w:w w:val="105"/>
          <w:sz w:val="18"/>
        </w:rPr>
        <w:t>Series</w:t>
      </w:r>
      <w:r>
        <w:rPr>
          <w:rFonts w:ascii="Arial MT" w:hAnsi="Arial MT"/>
          <w:color w:val="231F1F"/>
          <w:spacing w:val="-14"/>
          <w:w w:val="105"/>
          <w:sz w:val="18"/>
        </w:rPr>
        <w:t> </w:t>
      </w:r>
      <w:r>
        <w:rPr>
          <w:rFonts w:ascii="Arial MT" w:hAnsi="Arial MT"/>
          <w:color w:val="231F1F"/>
          <w:w w:val="105"/>
          <w:sz w:val="18"/>
        </w:rPr>
        <w:t>de </w:t>
      </w:r>
      <w:r>
        <w:rPr>
          <w:color w:val="231F1F"/>
          <w:w w:val="110"/>
        </w:rPr>
        <w:t>presencia de contracciones variables en cuanto a intensidad y duración y se</w:t>
      </w:r>
      <w:r>
        <w:rPr>
          <w:color w:val="231F1F"/>
        </w:rPr>
        <w:tab/>
        <w:tab/>
      </w:r>
      <w:r>
        <w:rPr>
          <w:rFonts w:ascii="Arial MT" w:hAnsi="Arial MT"/>
          <w:color w:val="231F1F"/>
          <w:spacing w:val="-4"/>
          <w:w w:val="110"/>
          <w:position w:val="4"/>
          <w:sz w:val="18"/>
        </w:rPr>
        <w:t>casos </w:t>
      </w:r>
      <w:r>
        <w:rPr>
          <w:color w:val="231F1F"/>
          <w:w w:val="110"/>
        </w:rPr>
        <w:t>acompaña de borramiento cervical y progresión lenta o escasa de la dilatación</w:t>
      </w:r>
      <w:r>
        <w:rPr>
          <w:color w:val="231F1F"/>
          <w:spacing w:val="40"/>
          <w:w w:val="110"/>
        </w:rPr>
        <w:t> </w:t>
      </w:r>
      <w:r>
        <w:rPr>
          <w:rFonts w:ascii="Arial MT" w:hAnsi="Arial MT"/>
          <w:color w:val="231F1F"/>
          <w:w w:val="110"/>
          <w:position w:val="8"/>
          <w:sz w:val="18"/>
        </w:rPr>
        <w:t>3</w:t>
      </w:r>
      <w:r>
        <w:rPr>
          <w:rFonts w:ascii="Arial MT" w:hAnsi="Arial MT"/>
          <w:color w:val="231F1F"/>
          <w:spacing w:val="40"/>
          <w:w w:val="110"/>
          <w:position w:val="8"/>
          <w:sz w:val="18"/>
        </w:rPr>
        <w:t> </w:t>
      </w:r>
      <w:r>
        <w:rPr>
          <w:color w:val="231F1F"/>
          <w:w w:val="110"/>
        </w:rPr>
        <w:t>hasta</w:t>
      </w:r>
      <w:r>
        <w:rPr>
          <w:color w:val="231F1F"/>
          <w:spacing w:val="-12"/>
          <w:w w:val="110"/>
        </w:rPr>
        <w:t> </w:t>
      </w:r>
      <w:r>
        <w:rPr>
          <w:color w:val="231F1F"/>
          <w:w w:val="110"/>
        </w:rPr>
        <w:t>los</w:t>
      </w:r>
      <w:r>
        <w:rPr>
          <w:color w:val="231F1F"/>
          <w:spacing w:val="-9"/>
          <w:w w:val="110"/>
        </w:rPr>
        <w:t> </w:t>
      </w:r>
      <w:r>
        <w:rPr>
          <w:color w:val="231F1F"/>
          <w:w w:val="110"/>
        </w:rPr>
        <w:t>2</w:t>
      </w:r>
      <w:r>
        <w:rPr>
          <w:color w:val="231F1F"/>
          <w:spacing w:val="-8"/>
          <w:w w:val="110"/>
        </w:rPr>
        <w:t> </w:t>
      </w:r>
      <w:r>
        <w:rPr>
          <w:color w:val="231F1F"/>
          <w:w w:val="110"/>
        </w:rPr>
        <w:t>cm</w:t>
      </w:r>
      <w:r>
        <w:rPr>
          <w:color w:val="231F1F"/>
          <w:spacing w:val="-10"/>
          <w:w w:val="110"/>
        </w:rPr>
        <w:t> </w:t>
      </w:r>
      <w:r>
        <w:rPr>
          <w:color w:val="231F1F"/>
          <w:w w:val="110"/>
        </w:rPr>
        <w:t>(25)</w:t>
      </w:r>
      <w:r>
        <w:rPr>
          <w:color w:val="231F1F"/>
          <w:spacing w:val="-8"/>
          <w:w w:val="110"/>
        </w:rPr>
        <w:t> </w:t>
      </w:r>
      <w:r>
        <w:rPr>
          <w:color w:val="231F1F"/>
          <w:w w:val="110"/>
        </w:rPr>
        <w:t>o</w:t>
      </w:r>
      <w:r>
        <w:rPr>
          <w:color w:val="231F1F"/>
          <w:spacing w:val="-9"/>
          <w:w w:val="110"/>
        </w:rPr>
        <w:t> </w:t>
      </w:r>
      <w:r>
        <w:rPr>
          <w:color w:val="231F1F"/>
          <w:w w:val="110"/>
        </w:rPr>
        <w:t>los</w:t>
      </w:r>
      <w:r>
        <w:rPr>
          <w:color w:val="231F1F"/>
          <w:spacing w:val="-10"/>
          <w:w w:val="110"/>
        </w:rPr>
        <w:t> </w:t>
      </w:r>
      <w:r>
        <w:rPr>
          <w:color w:val="231F1F"/>
          <w:w w:val="110"/>
        </w:rPr>
        <w:t>4</w:t>
      </w:r>
      <w:r>
        <w:rPr>
          <w:color w:val="231F1F"/>
          <w:spacing w:val="-8"/>
          <w:w w:val="110"/>
        </w:rPr>
        <w:t> </w:t>
      </w:r>
      <w:r>
        <w:rPr>
          <w:color w:val="231F1F"/>
          <w:w w:val="110"/>
        </w:rPr>
        <w:t>cm</w:t>
      </w:r>
      <w:r>
        <w:rPr>
          <w:color w:val="231F1F"/>
          <w:spacing w:val="-9"/>
          <w:w w:val="110"/>
        </w:rPr>
        <w:t> </w:t>
      </w:r>
      <w:r>
        <w:rPr>
          <w:color w:val="231F1F"/>
          <w:w w:val="110"/>
        </w:rPr>
        <w:t>(28-30).</w:t>
      </w:r>
    </w:p>
    <w:p>
      <w:pPr>
        <w:pStyle w:val="BodyText"/>
        <w:spacing w:line="264" w:lineRule="auto" w:before="73"/>
        <w:ind w:left="283" w:right="1361" w:firstLine="453"/>
        <w:jc w:val="both"/>
      </w:pPr>
      <w:r>
        <w:rPr>
          <w:color w:val="231F1F"/>
        </w:rPr>
        <w:t>La</w:t>
      </w:r>
      <w:r>
        <w:rPr>
          <w:color w:val="231F1F"/>
          <w:spacing w:val="36"/>
        </w:rPr>
        <w:t> </w:t>
      </w:r>
      <w:r>
        <w:rPr>
          <w:color w:val="231F1F"/>
        </w:rPr>
        <w:t>fase</w:t>
      </w:r>
      <w:r>
        <w:rPr>
          <w:color w:val="231F1F"/>
          <w:spacing w:val="36"/>
        </w:rPr>
        <w:t> </w:t>
      </w:r>
      <w:r>
        <w:rPr>
          <w:color w:val="231F1F"/>
        </w:rPr>
        <w:t>activa</w:t>
      </w:r>
      <w:r>
        <w:rPr>
          <w:color w:val="231F1F"/>
          <w:spacing w:val="35"/>
        </w:rPr>
        <w:t> </w:t>
      </w:r>
      <w:r>
        <w:rPr>
          <w:color w:val="231F1F"/>
        </w:rPr>
        <w:t>se</w:t>
      </w:r>
      <w:r>
        <w:rPr>
          <w:color w:val="231F1F"/>
          <w:spacing w:val="35"/>
        </w:rPr>
        <w:t> </w:t>
      </w:r>
      <w:r>
        <w:rPr>
          <w:color w:val="231F1F"/>
        </w:rPr>
        <w:t>caracteriza</w:t>
      </w:r>
      <w:r>
        <w:rPr>
          <w:color w:val="231F1F"/>
          <w:spacing w:val="35"/>
        </w:rPr>
        <w:t> </w:t>
      </w:r>
      <w:r>
        <w:rPr>
          <w:color w:val="231F1F"/>
        </w:rPr>
        <w:t>por</w:t>
      </w:r>
      <w:r>
        <w:rPr>
          <w:color w:val="231F1F"/>
          <w:spacing w:val="36"/>
        </w:rPr>
        <w:t> </w:t>
      </w:r>
      <w:r>
        <w:rPr>
          <w:color w:val="231F1F"/>
        </w:rPr>
        <w:t>el</w:t>
      </w:r>
      <w:r>
        <w:rPr>
          <w:color w:val="231F1F"/>
          <w:spacing w:val="36"/>
        </w:rPr>
        <w:t> </w:t>
      </w:r>
      <w:r>
        <w:rPr>
          <w:color w:val="231F1F"/>
        </w:rPr>
        <w:t>aumento</w:t>
      </w:r>
      <w:r>
        <w:rPr>
          <w:color w:val="231F1F"/>
          <w:spacing w:val="35"/>
        </w:rPr>
        <w:t> </w:t>
      </w:r>
      <w:r>
        <w:rPr>
          <w:color w:val="231F1F"/>
        </w:rPr>
        <w:t>en</w:t>
      </w:r>
      <w:r>
        <w:rPr>
          <w:color w:val="231F1F"/>
          <w:spacing w:val="36"/>
        </w:rPr>
        <w:t> </w:t>
      </w:r>
      <w:r>
        <w:rPr>
          <w:color w:val="231F1F"/>
        </w:rPr>
        <w:t>la</w:t>
      </w:r>
      <w:r>
        <w:rPr>
          <w:color w:val="231F1F"/>
          <w:spacing w:val="36"/>
        </w:rPr>
        <w:t> </w:t>
      </w:r>
      <w:r>
        <w:rPr>
          <w:color w:val="231F1F"/>
        </w:rPr>
        <w:t>regularidad,</w:t>
      </w:r>
      <w:r>
        <w:rPr>
          <w:color w:val="231F1F"/>
          <w:spacing w:val="36"/>
        </w:rPr>
        <w:t> </w:t>
      </w:r>
      <w:r>
        <w:rPr>
          <w:color w:val="231F1F"/>
        </w:rPr>
        <w:t>intensidad y frecuencia de las contracciones y la rápida progresión de la dilatación. Puede</w:t>
      </w:r>
      <w:r>
        <w:rPr>
          <w:color w:val="231F1F"/>
          <w:spacing w:val="80"/>
        </w:rPr>
        <w:t> </w:t>
      </w:r>
      <w:r>
        <w:rPr>
          <w:color w:val="231F1F"/>
        </w:rPr>
        <w:t>ser</w:t>
      </w:r>
      <w:r>
        <w:rPr>
          <w:color w:val="231F1F"/>
          <w:spacing w:val="40"/>
        </w:rPr>
        <w:t> </w:t>
      </w:r>
      <w:r>
        <w:rPr>
          <w:color w:val="231F1F"/>
        </w:rPr>
        <w:t>definida</w:t>
      </w:r>
      <w:r>
        <w:rPr>
          <w:color w:val="231F1F"/>
          <w:spacing w:val="40"/>
        </w:rPr>
        <w:t> </w:t>
      </w:r>
      <w:r>
        <w:rPr>
          <w:color w:val="231F1F"/>
        </w:rPr>
        <w:t>teniendo</w:t>
      </w:r>
      <w:r>
        <w:rPr>
          <w:color w:val="231F1F"/>
          <w:spacing w:val="40"/>
        </w:rPr>
        <w:t> </w:t>
      </w:r>
      <w:r>
        <w:rPr>
          <w:color w:val="231F1F"/>
        </w:rPr>
        <w:t>en</w:t>
      </w:r>
      <w:r>
        <w:rPr>
          <w:color w:val="231F1F"/>
          <w:spacing w:val="40"/>
        </w:rPr>
        <w:t> </w:t>
      </w:r>
      <w:r>
        <w:rPr>
          <w:color w:val="231F1F"/>
        </w:rPr>
        <w:t>cuenta</w:t>
      </w:r>
      <w:r>
        <w:rPr>
          <w:color w:val="231F1F"/>
          <w:spacing w:val="40"/>
        </w:rPr>
        <w:t> </w:t>
      </w:r>
      <w:r>
        <w:rPr>
          <w:color w:val="231F1F"/>
        </w:rPr>
        <w:t>criterios</w:t>
      </w:r>
      <w:r>
        <w:rPr>
          <w:color w:val="231F1F"/>
          <w:spacing w:val="40"/>
        </w:rPr>
        <w:t> </w:t>
      </w:r>
      <w:r>
        <w:rPr>
          <w:color w:val="231F1F"/>
        </w:rPr>
        <w:t>exclusivos</w:t>
      </w:r>
      <w:r>
        <w:rPr>
          <w:color w:val="231F1F"/>
          <w:spacing w:val="40"/>
        </w:rPr>
        <w:t> </w:t>
      </w:r>
      <w:r>
        <w:rPr>
          <w:color w:val="231F1F"/>
        </w:rPr>
        <w:t>de</w:t>
      </w:r>
      <w:r>
        <w:rPr>
          <w:color w:val="231F1F"/>
          <w:spacing w:val="40"/>
        </w:rPr>
        <w:t> </w:t>
      </w:r>
      <w:r>
        <w:rPr>
          <w:color w:val="231F1F"/>
        </w:rPr>
        <w:t>dilatación</w:t>
      </w:r>
      <w:r>
        <w:rPr>
          <w:color w:val="231F1F"/>
          <w:spacing w:val="40"/>
        </w:rPr>
        <w:t> </w:t>
      </w:r>
      <w:r>
        <w:rPr>
          <w:color w:val="231F1F"/>
        </w:rPr>
        <w:t>cervical, desde los 2 a los 10 cm de dilatación (25) o desde los 4 a los 10 cm de dilatación (28-30) o incluyendo la percepción de la mujer, como por ejemplo el inicio de contracciones regulares hasta el comienzo de los pujos (26). Dado que el dato</w:t>
      </w:r>
      <w:r>
        <w:rPr>
          <w:color w:val="231F1F"/>
          <w:spacing w:val="80"/>
        </w:rPr>
        <w:t> </w:t>
      </w:r>
      <w:r>
        <w:rPr>
          <w:color w:val="231F1F"/>
        </w:rPr>
        <w:t>más</w:t>
      </w:r>
      <w:r>
        <w:rPr>
          <w:color w:val="231F1F"/>
          <w:spacing w:val="21"/>
        </w:rPr>
        <w:t> </w:t>
      </w:r>
      <w:r>
        <w:rPr>
          <w:color w:val="231F1F"/>
        </w:rPr>
        <w:t>característico</w:t>
      </w:r>
      <w:r>
        <w:rPr>
          <w:color w:val="231F1F"/>
          <w:spacing w:val="21"/>
        </w:rPr>
        <w:t> </w:t>
      </w:r>
      <w:r>
        <w:rPr>
          <w:color w:val="231F1F"/>
        </w:rPr>
        <w:t>de</w:t>
      </w:r>
      <w:r>
        <w:rPr>
          <w:color w:val="231F1F"/>
          <w:spacing w:val="21"/>
        </w:rPr>
        <w:t> </w:t>
      </w:r>
      <w:r>
        <w:rPr>
          <w:color w:val="231F1F"/>
        </w:rPr>
        <w:t>la</w:t>
      </w:r>
      <w:r>
        <w:rPr>
          <w:color w:val="231F1F"/>
          <w:spacing w:val="21"/>
        </w:rPr>
        <w:t> </w:t>
      </w:r>
      <w:r>
        <w:rPr>
          <w:color w:val="231F1F"/>
        </w:rPr>
        <w:t>fase</w:t>
      </w:r>
      <w:r>
        <w:rPr>
          <w:color w:val="231F1F"/>
          <w:spacing w:val="21"/>
        </w:rPr>
        <w:t> </w:t>
      </w:r>
      <w:r>
        <w:rPr>
          <w:color w:val="231F1F"/>
        </w:rPr>
        <w:t>activa</w:t>
      </w:r>
      <w:r>
        <w:rPr>
          <w:color w:val="231F1F"/>
          <w:spacing w:val="21"/>
        </w:rPr>
        <w:t> </w:t>
      </w:r>
      <w:r>
        <w:rPr>
          <w:color w:val="231F1F"/>
        </w:rPr>
        <w:t>es</w:t>
      </w:r>
      <w:r>
        <w:rPr>
          <w:color w:val="231F1F"/>
          <w:spacing w:val="21"/>
        </w:rPr>
        <w:t> </w:t>
      </w:r>
      <w:r>
        <w:rPr>
          <w:color w:val="231F1F"/>
        </w:rPr>
        <w:t>la</w:t>
      </w:r>
      <w:r>
        <w:rPr>
          <w:color w:val="231F1F"/>
          <w:spacing w:val="21"/>
        </w:rPr>
        <w:t> </w:t>
      </w:r>
      <w:r>
        <w:rPr>
          <w:color w:val="231F1F"/>
        </w:rPr>
        <w:t>progresión</w:t>
      </w:r>
      <w:r>
        <w:rPr>
          <w:color w:val="231F1F"/>
          <w:spacing w:val="21"/>
        </w:rPr>
        <w:t> </w:t>
      </w:r>
      <w:r>
        <w:rPr>
          <w:color w:val="231F1F"/>
        </w:rPr>
        <w:t>más</w:t>
      </w:r>
      <w:r>
        <w:rPr>
          <w:color w:val="231F1F"/>
          <w:spacing w:val="21"/>
        </w:rPr>
        <w:t> </w:t>
      </w:r>
      <w:r>
        <w:rPr>
          <w:color w:val="231F1F"/>
        </w:rPr>
        <w:t>rápida</w:t>
      </w:r>
      <w:r>
        <w:rPr>
          <w:color w:val="231F1F"/>
          <w:spacing w:val="21"/>
        </w:rPr>
        <w:t> </w:t>
      </w:r>
      <w:r>
        <w:rPr>
          <w:color w:val="231F1F"/>
        </w:rPr>
        <w:t>de</w:t>
      </w:r>
      <w:r>
        <w:rPr>
          <w:color w:val="231F1F"/>
          <w:spacing w:val="21"/>
        </w:rPr>
        <w:t> </w:t>
      </w:r>
      <w:r>
        <w:rPr>
          <w:color w:val="231F1F"/>
        </w:rPr>
        <w:t>la</w:t>
      </w:r>
      <w:r>
        <w:rPr>
          <w:color w:val="231F1F"/>
          <w:spacing w:val="21"/>
        </w:rPr>
        <w:t> </w:t>
      </w:r>
      <w:r>
        <w:rPr>
          <w:color w:val="231F1F"/>
        </w:rPr>
        <w:t>dilatación,</w:t>
      </w:r>
    </w:p>
    <w:p>
      <w:pPr>
        <w:pStyle w:val="BodyText"/>
        <w:spacing w:after="0" w:line="264" w:lineRule="auto"/>
        <w:jc w:val="both"/>
        <w:sectPr>
          <w:pgSz w:w="11900" w:h="16840"/>
          <w:pgMar w:header="0" w:footer="622" w:top="1500" w:bottom="820" w:left="1417" w:right="1559"/>
        </w:sectPr>
      </w:pPr>
    </w:p>
    <w:p>
      <w:pPr>
        <w:pStyle w:val="BodyText"/>
        <w:spacing w:line="247" w:lineRule="auto" w:before="73"/>
        <w:ind w:left="283" w:right="1371"/>
        <w:jc w:val="both"/>
      </w:pPr>
      <w:r>
        <w:rPr>
          <w:color w:val="231F1F"/>
          <w:w w:val="110"/>
        </w:rPr>
        <w:t>no</w:t>
      </w:r>
      <w:r>
        <w:rPr>
          <w:color w:val="231F1F"/>
          <w:spacing w:val="-8"/>
          <w:w w:val="110"/>
        </w:rPr>
        <w:t> </w:t>
      </w:r>
      <w:r>
        <w:rPr>
          <w:color w:val="231F1F"/>
          <w:w w:val="110"/>
        </w:rPr>
        <w:t>es</w:t>
      </w:r>
      <w:r>
        <w:rPr>
          <w:color w:val="231F1F"/>
          <w:spacing w:val="-8"/>
          <w:w w:val="110"/>
        </w:rPr>
        <w:t> </w:t>
      </w:r>
      <w:r>
        <w:rPr>
          <w:color w:val="231F1F"/>
          <w:w w:val="110"/>
        </w:rPr>
        <w:t>posible,</w:t>
      </w:r>
      <w:r>
        <w:rPr>
          <w:color w:val="231F1F"/>
          <w:spacing w:val="-9"/>
          <w:w w:val="110"/>
        </w:rPr>
        <w:t> </w:t>
      </w:r>
      <w:r>
        <w:rPr>
          <w:color w:val="231F1F"/>
          <w:w w:val="110"/>
        </w:rPr>
        <w:t>a</w:t>
      </w:r>
      <w:r>
        <w:rPr>
          <w:color w:val="231F1F"/>
          <w:spacing w:val="-8"/>
          <w:w w:val="110"/>
        </w:rPr>
        <w:t> </w:t>
      </w:r>
      <w:r>
        <w:rPr>
          <w:color w:val="231F1F"/>
          <w:w w:val="110"/>
        </w:rPr>
        <w:t>priori,</w:t>
      </w:r>
      <w:r>
        <w:rPr>
          <w:color w:val="231F1F"/>
          <w:spacing w:val="-9"/>
          <w:w w:val="110"/>
        </w:rPr>
        <w:t> </w:t>
      </w:r>
      <w:r>
        <w:rPr>
          <w:color w:val="231F1F"/>
          <w:w w:val="110"/>
        </w:rPr>
        <w:t>ante</w:t>
      </w:r>
      <w:r>
        <w:rPr>
          <w:color w:val="231F1F"/>
          <w:spacing w:val="-8"/>
          <w:w w:val="110"/>
        </w:rPr>
        <w:t> </w:t>
      </w:r>
      <w:r>
        <w:rPr>
          <w:color w:val="231F1F"/>
          <w:w w:val="110"/>
        </w:rPr>
        <w:t>una</w:t>
      </w:r>
      <w:r>
        <w:rPr>
          <w:color w:val="231F1F"/>
          <w:spacing w:val="-8"/>
          <w:w w:val="110"/>
        </w:rPr>
        <w:t> </w:t>
      </w:r>
      <w:r>
        <w:rPr>
          <w:color w:val="231F1F"/>
          <w:w w:val="110"/>
        </w:rPr>
        <w:t>dilatación</w:t>
      </w:r>
      <w:r>
        <w:rPr>
          <w:color w:val="231F1F"/>
          <w:spacing w:val="-8"/>
          <w:w w:val="110"/>
        </w:rPr>
        <w:t> </w:t>
      </w:r>
      <w:r>
        <w:rPr>
          <w:color w:val="231F1F"/>
          <w:w w:val="110"/>
        </w:rPr>
        <w:t>escasa</w:t>
      </w:r>
      <w:r>
        <w:rPr>
          <w:color w:val="231F1F"/>
          <w:spacing w:val="-7"/>
          <w:w w:val="110"/>
        </w:rPr>
        <w:t> </w:t>
      </w:r>
      <w:r>
        <w:rPr>
          <w:color w:val="231F1F"/>
          <w:w w:val="110"/>
        </w:rPr>
        <w:t>(2</w:t>
      </w:r>
      <w:r>
        <w:rPr>
          <w:color w:val="231F1F"/>
          <w:spacing w:val="-8"/>
          <w:w w:val="110"/>
        </w:rPr>
        <w:t> </w:t>
      </w:r>
      <w:r>
        <w:rPr>
          <w:color w:val="231F1F"/>
          <w:w w:val="110"/>
        </w:rPr>
        <w:t>cm)</w:t>
      </w:r>
      <w:r>
        <w:rPr>
          <w:color w:val="231F1F"/>
          <w:spacing w:val="-8"/>
          <w:w w:val="110"/>
        </w:rPr>
        <w:t> </w:t>
      </w:r>
      <w:r>
        <w:rPr>
          <w:color w:val="231F1F"/>
          <w:w w:val="110"/>
        </w:rPr>
        <w:t>saber</w:t>
      </w:r>
      <w:r>
        <w:rPr>
          <w:color w:val="231F1F"/>
          <w:spacing w:val="-9"/>
          <w:w w:val="110"/>
        </w:rPr>
        <w:t> </w:t>
      </w:r>
      <w:r>
        <w:rPr>
          <w:color w:val="231F1F"/>
          <w:w w:val="110"/>
        </w:rPr>
        <w:t>si</w:t>
      </w:r>
      <w:r>
        <w:rPr>
          <w:color w:val="231F1F"/>
          <w:spacing w:val="-9"/>
          <w:w w:val="110"/>
        </w:rPr>
        <w:t> </w:t>
      </w:r>
      <w:r>
        <w:rPr>
          <w:color w:val="231F1F"/>
          <w:w w:val="110"/>
        </w:rPr>
        <w:t>estamos</w:t>
      </w:r>
      <w:r>
        <w:rPr>
          <w:color w:val="231F1F"/>
          <w:spacing w:val="-8"/>
          <w:w w:val="110"/>
        </w:rPr>
        <w:t> </w:t>
      </w:r>
      <w:r>
        <w:rPr>
          <w:color w:val="231F1F"/>
          <w:w w:val="110"/>
        </w:rPr>
        <w:t>en presencia</w:t>
      </w:r>
      <w:r>
        <w:rPr>
          <w:color w:val="231F1F"/>
          <w:spacing w:val="-10"/>
          <w:w w:val="110"/>
        </w:rPr>
        <w:t> </w:t>
      </w:r>
      <w:r>
        <w:rPr>
          <w:color w:val="231F1F"/>
          <w:w w:val="110"/>
        </w:rPr>
        <w:t>de</w:t>
      </w:r>
      <w:r>
        <w:rPr>
          <w:color w:val="231F1F"/>
          <w:spacing w:val="-10"/>
          <w:w w:val="110"/>
        </w:rPr>
        <w:t> </w:t>
      </w:r>
      <w:r>
        <w:rPr>
          <w:color w:val="231F1F"/>
          <w:w w:val="110"/>
        </w:rPr>
        <w:t>una</w:t>
      </w:r>
      <w:r>
        <w:rPr>
          <w:color w:val="231F1F"/>
          <w:spacing w:val="-10"/>
          <w:w w:val="110"/>
        </w:rPr>
        <w:t> </w:t>
      </w:r>
      <w:r>
        <w:rPr>
          <w:color w:val="231F1F"/>
          <w:w w:val="110"/>
        </w:rPr>
        <w:t>fase</w:t>
      </w:r>
      <w:r>
        <w:rPr>
          <w:color w:val="231F1F"/>
          <w:spacing w:val="-10"/>
          <w:w w:val="110"/>
        </w:rPr>
        <w:t> </w:t>
      </w:r>
      <w:r>
        <w:rPr>
          <w:color w:val="231F1F"/>
          <w:w w:val="110"/>
        </w:rPr>
        <w:t>latente</w:t>
      </w:r>
      <w:r>
        <w:rPr>
          <w:color w:val="231F1F"/>
          <w:spacing w:val="-9"/>
          <w:w w:val="110"/>
        </w:rPr>
        <w:t> </w:t>
      </w:r>
      <w:r>
        <w:rPr>
          <w:color w:val="231F1F"/>
          <w:w w:val="110"/>
        </w:rPr>
        <w:t>o</w:t>
      </w:r>
      <w:r>
        <w:rPr>
          <w:color w:val="231F1F"/>
          <w:spacing w:val="-10"/>
          <w:w w:val="110"/>
        </w:rPr>
        <w:t> </w:t>
      </w:r>
      <w:r>
        <w:rPr>
          <w:color w:val="231F1F"/>
          <w:w w:val="110"/>
        </w:rPr>
        <w:t>activa.</w:t>
      </w:r>
      <w:r>
        <w:rPr>
          <w:color w:val="231F1F"/>
          <w:spacing w:val="-10"/>
          <w:w w:val="110"/>
        </w:rPr>
        <w:t> </w:t>
      </w:r>
      <w:r>
        <w:rPr>
          <w:color w:val="231F1F"/>
          <w:w w:val="110"/>
        </w:rPr>
        <w:t>Por</w:t>
      </w:r>
      <w:r>
        <w:rPr>
          <w:color w:val="231F1F"/>
          <w:spacing w:val="-10"/>
          <w:w w:val="110"/>
        </w:rPr>
        <w:t> </w:t>
      </w:r>
      <w:r>
        <w:rPr>
          <w:color w:val="231F1F"/>
          <w:w w:val="110"/>
        </w:rPr>
        <w:t>lo</w:t>
      </w:r>
      <w:r>
        <w:rPr>
          <w:color w:val="231F1F"/>
          <w:spacing w:val="-9"/>
          <w:w w:val="110"/>
        </w:rPr>
        <w:t> </w:t>
      </w:r>
      <w:r>
        <w:rPr>
          <w:color w:val="231F1F"/>
          <w:w w:val="110"/>
        </w:rPr>
        <w:t>tanto</w:t>
      </w:r>
      <w:r>
        <w:rPr>
          <w:color w:val="231F1F"/>
          <w:spacing w:val="-9"/>
          <w:w w:val="110"/>
        </w:rPr>
        <w:t> </w:t>
      </w:r>
      <w:r>
        <w:rPr>
          <w:color w:val="231F1F"/>
          <w:w w:val="110"/>
        </w:rPr>
        <w:t>solamente</w:t>
      </w:r>
      <w:r>
        <w:rPr>
          <w:color w:val="231F1F"/>
          <w:spacing w:val="-10"/>
          <w:w w:val="110"/>
        </w:rPr>
        <w:t> </w:t>
      </w:r>
      <w:r>
        <w:rPr>
          <w:color w:val="231F1F"/>
          <w:w w:val="110"/>
        </w:rPr>
        <w:t>es</w:t>
      </w:r>
      <w:r>
        <w:rPr>
          <w:color w:val="231F1F"/>
          <w:spacing w:val="-10"/>
          <w:w w:val="110"/>
        </w:rPr>
        <w:t> </w:t>
      </w:r>
      <w:r>
        <w:rPr>
          <w:color w:val="231F1F"/>
          <w:w w:val="110"/>
        </w:rPr>
        <w:t>posible</w:t>
      </w:r>
      <w:r>
        <w:rPr>
          <w:color w:val="231F1F"/>
          <w:spacing w:val="-9"/>
          <w:w w:val="110"/>
        </w:rPr>
        <w:t> </w:t>
      </w:r>
      <w:r>
        <w:rPr>
          <w:color w:val="231F1F"/>
          <w:w w:val="110"/>
        </w:rPr>
        <w:t>ase- gurar</w:t>
      </w:r>
      <w:r>
        <w:rPr>
          <w:color w:val="231F1F"/>
          <w:spacing w:val="-11"/>
          <w:w w:val="110"/>
        </w:rPr>
        <w:t> </w:t>
      </w:r>
      <w:r>
        <w:rPr>
          <w:color w:val="231F1F"/>
          <w:w w:val="110"/>
        </w:rPr>
        <w:t>el</w:t>
      </w:r>
      <w:r>
        <w:rPr>
          <w:color w:val="231F1F"/>
          <w:spacing w:val="-11"/>
          <w:w w:val="110"/>
        </w:rPr>
        <w:t> </w:t>
      </w:r>
      <w:r>
        <w:rPr>
          <w:color w:val="231F1F"/>
          <w:w w:val="110"/>
        </w:rPr>
        <w:t>comienzo</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fase</w:t>
      </w:r>
      <w:r>
        <w:rPr>
          <w:color w:val="231F1F"/>
          <w:spacing w:val="-10"/>
          <w:w w:val="110"/>
        </w:rPr>
        <w:t> </w:t>
      </w:r>
      <w:r>
        <w:rPr>
          <w:color w:val="231F1F"/>
          <w:w w:val="110"/>
        </w:rPr>
        <w:t>activa</w:t>
      </w:r>
      <w:r>
        <w:rPr>
          <w:color w:val="231F1F"/>
          <w:spacing w:val="-10"/>
          <w:w w:val="110"/>
        </w:rPr>
        <w:t> </w:t>
      </w:r>
      <w:r>
        <w:rPr>
          <w:color w:val="231F1F"/>
          <w:w w:val="110"/>
        </w:rPr>
        <w:t>de</w:t>
      </w:r>
      <w:r>
        <w:rPr>
          <w:color w:val="231F1F"/>
          <w:spacing w:val="-10"/>
          <w:w w:val="110"/>
        </w:rPr>
        <w:t> </w:t>
      </w:r>
      <w:r>
        <w:rPr>
          <w:color w:val="231F1F"/>
          <w:w w:val="110"/>
        </w:rPr>
        <w:t>una</w:t>
      </w:r>
      <w:r>
        <w:rPr>
          <w:color w:val="231F1F"/>
          <w:spacing w:val="-10"/>
          <w:w w:val="110"/>
        </w:rPr>
        <w:t> </w:t>
      </w:r>
      <w:r>
        <w:rPr>
          <w:color w:val="231F1F"/>
          <w:w w:val="110"/>
        </w:rPr>
        <w:t>manera</w:t>
      </w:r>
      <w:r>
        <w:rPr>
          <w:color w:val="231F1F"/>
          <w:spacing w:val="-10"/>
          <w:w w:val="110"/>
        </w:rPr>
        <w:t> </w:t>
      </w:r>
      <w:r>
        <w:rPr>
          <w:color w:val="231F1F"/>
          <w:w w:val="110"/>
        </w:rPr>
        <w:t>retrospectiva,</w:t>
      </w:r>
      <w:r>
        <w:rPr>
          <w:color w:val="231F1F"/>
          <w:spacing w:val="-10"/>
          <w:w w:val="110"/>
        </w:rPr>
        <w:t> </w:t>
      </w:r>
      <w:r>
        <w:rPr>
          <w:color w:val="231F1F"/>
          <w:w w:val="110"/>
        </w:rPr>
        <w:t>o</w:t>
      </w:r>
      <w:r>
        <w:rPr>
          <w:color w:val="231F1F"/>
          <w:spacing w:val="-10"/>
          <w:w w:val="110"/>
        </w:rPr>
        <w:t> </w:t>
      </w:r>
      <w:r>
        <w:rPr>
          <w:color w:val="231F1F"/>
          <w:w w:val="110"/>
        </w:rPr>
        <w:t>eligiendo un</w:t>
      </w:r>
      <w:r>
        <w:rPr>
          <w:color w:val="231F1F"/>
          <w:spacing w:val="-2"/>
          <w:w w:val="110"/>
        </w:rPr>
        <w:t> </w:t>
      </w:r>
      <w:r>
        <w:rPr>
          <w:color w:val="231F1F"/>
          <w:w w:val="110"/>
        </w:rPr>
        <w:t>punto</w:t>
      </w:r>
      <w:r>
        <w:rPr>
          <w:color w:val="231F1F"/>
          <w:spacing w:val="-2"/>
          <w:w w:val="110"/>
        </w:rPr>
        <w:t> </w:t>
      </w:r>
      <w:r>
        <w:rPr>
          <w:color w:val="231F1F"/>
          <w:w w:val="110"/>
        </w:rPr>
        <w:t>en</w:t>
      </w:r>
      <w:r>
        <w:rPr>
          <w:color w:val="231F1F"/>
          <w:spacing w:val="-2"/>
          <w:w w:val="110"/>
        </w:rPr>
        <w:t> </w:t>
      </w:r>
      <w:r>
        <w:rPr>
          <w:color w:val="231F1F"/>
          <w:w w:val="110"/>
        </w:rPr>
        <w:t>la</w:t>
      </w:r>
      <w:r>
        <w:rPr>
          <w:color w:val="231F1F"/>
          <w:spacing w:val="-2"/>
          <w:w w:val="110"/>
        </w:rPr>
        <w:t> </w:t>
      </w:r>
      <w:r>
        <w:rPr>
          <w:color w:val="231F1F"/>
          <w:w w:val="110"/>
        </w:rPr>
        <w:t>curva</w:t>
      </w:r>
      <w:r>
        <w:rPr>
          <w:color w:val="231F1F"/>
          <w:spacing w:val="-2"/>
          <w:w w:val="110"/>
        </w:rPr>
        <w:t> </w:t>
      </w:r>
      <w:r>
        <w:rPr>
          <w:color w:val="231F1F"/>
          <w:w w:val="110"/>
        </w:rPr>
        <w:t>de</w:t>
      </w:r>
      <w:r>
        <w:rPr>
          <w:color w:val="231F1F"/>
          <w:spacing w:val="-2"/>
          <w:w w:val="110"/>
        </w:rPr>
        <w:t> </w:t>
      </w:r>
      <w:r>
        <w:rPr>
          <w:color w:val="231F1F"/>
          <w:w w:val="110"/>
        </w:rPr>
        <w:t>dilatación</w:t>
      </w:r>
      <w:r>
        <w:rPr>
          <w:color w:val="231F1F"/>
          <w:spacing w:val="-2"/>
          <w:w w:val="110"/>
        </w:rPr>
        <w:t> </w:t>
      </w:r>
      <w:r>
        <w:rPr>
          <w:color w:val="231F1F"/>
          <w:w w:val="110"/>
        </w:rPr>
        <w:t>que</w:t>
      </w:r>
      <w:r>
        <w:rPr>
          <w:color w:val="231F1F"/>
          <w:spacing w:val="-2"/>
          <w:w w:val="110"/>
        </w:rPr>
        <w:t> </w:t>
      </w:r>
      <w:r>
        <w:rPr>
          <w:color w:val="231F1F"/>
          <w:w w:val="110"/>
        </w:rPr>
        <w:t>claramente</w:t>
      </w:r>
      <w:r>
        <w:rPr>
          <w:color w:val="231F1F"/>
          <w:spacing w:val="-2"/>
          <w:w w:val="110"/>
        </w:rPr>
        <w:t> </w:t>
      </w:r>
      <w:r>
        <w:rPr>
          <w:color w:val="231F1F"/>
          <w:w w:val="110"/>
        </w:rPr>
        <w:t>se</w:t>
      </w:r>
      <w:r>
        <w:rPr>
          <w:color w:val="231F1F"/>
          <w:spacing w:val="-2"/>
          <w:w w:val="110"/>
        </w:rPr>
        <w:t> </w:t>
      </w:r>
      <w:r>
        <w:rPr>
          <w:color w:val="231F1F"/>
          <w:w w:val="110"/>
        </w:rPr>
        <w:t>sitúe</w:t>
      </w:r>
      <w:r>
        <w:rPr>
          <w:color w:val="231F1F"/>
          <w:spacing w:val="-2"/>
          <w:w w:val="110"/>
        </w:rPr>
        <w:t> </w:t>
      </w:r>
      <w:r>
        <w:rPr>
          <w:color w:val="231F1F"/>
          <w:w w:val="110"/>
        </w:rPr>
        <w:t>en</w:t>
      </w:r>
      <w:r>
        <w:rPr>
          <w:color w:val="231F1F"/>
          <w:spacing w:val="-2"/>
          <w:w w:val="110"/>
        </w:rPr>
        <w:t> </w:t>
      </w:r>
      <w:r>
        <w:rPr>
          <w:color w:val="231F1F"/>
          <w:w w:val="110"/>
        </w:rPr>
        <w:t>el</w:t>
      </w:r>
      <w:r>
        <w:rPr>
          <w:color w:val="231F1F"/>
          <w:spacing w:val="-2"/>
          <w:w w:val="110"/>
        </w:rPr>
        <w:t> </w:t>
      </w:r>
      <w:r>
        <w:rPr>
          <w:color w:val="231F1F"/>
          <w:w w:val="110"/>
        </w:rPr>
        <w:t>inicio</w:t>
      </w:r>
      <w:r>
        <w:rPr>
          <w:color w:val="231F1F"/>
          <w:spacing w:val="-2"/>
          <w:w w:val="110"/>
        </w:rPr>
        <w:t> </w:t>
      </w:r>
      <w:r>
        <w:rPr>
          <w:color w:val="231F1F"/>
          <w:w w:val="110"/>
        </w:rPr>
        <w:t>de</w:t>
      </w:r>
      <w:r>
        <w:rPr>
          <w:color w:val="231F1F"/>
          <w:spacing w:val="-2"/>
          <w:w w:val="110"/>
        </w:rPr>
        <w:t> </w:t>
      </w:r>
      <w:r>
        <w:rPr>
          <w:color w:val="231F1F"/>
          <w:w w:val="110"/>
        </w:rPr>
        <w:t>la fase activa (4 cm).</w:t>
      </w:r>
    </w:p>
    <w:p>
      <w:pPr>
        <w:pStyle w:val="BodyText"/>
        <w:spacing w:before="133"/>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line="247" w:lineRule="auto" w:before="190"/>
        <w:ind w:left="283" w:right="1368"/>
        <w:jc w:val="both"/>
      </w:pPr>
      <w:r>
        <w:rPr>
          <w:color w:val="231F1F"/>
          <w:w w:val="105"/>
        </w:rPr>
        <w:t>No</w:t>
      </w:r>
      <w:r>
        <w:rPr>
          <w:color w:val="231F1F"/>
          <w:w w:val="105"/>
        </w:rPr>
        <w:t> se</w:t>
      </w:r>
      <w:r>
        <w:rPr>
          <w:color w:val="231F1F"/>
          <w:w w:val="105"/>
        </w:rPr>
        <w:t> ha</w:t>
      </w:r>
      <w:r>
        <w:rPr>
          <w:color w:val="231F1F"/>
          <w:w w:val="105"/>
        </w:rPr>
        <w:t> identificado</w:t>
      </w:r>
      <w:r>
        <w:rPr>
          <w:color w:val="231F1F"/>
          <w:w w:val="105"/>
        </w:rPr>
        <w:t> ningún</w:t>
      </w:r>
      <w:r>
        <w:rPr>
          <w:color w:val="231F1F"/>
          <w:w w:val="105"/>
        </w:rPr>
        <w:t> estudio</w:t>
      </w:r>
      <w:r>
        <w:rPr>
          <w:color w:val="231F1F"/>
          <w:w w:val="105"/>
        </w:rPr>
        <w:t> que</w:t>
      </w:r>
      <w:r>
        <w:rPr>
          <w:color w:val="231F1F"/>
          <w:w w:val="105"/>
        </w:rPr>
        <w:t> evalúe</w:t>
      </w:r>
      <w:r>
        <w:rPr>
          <w:color w:val="231F1F"/>
          <w:w w:val="105"/>
        </w:rPr>
        <w:t> las</w:t>
      </w:r>
      <w:r>
        <w:rPr>
          <w:color w:val="231F1F"/>
          <w:w w:val="105"/>
        </w:rPr>
        <w:t> diferentes</w:t>
      </w:r>
      <w:r>
        <w:rPr>
          <w:color w:val="231F1F"/>
          <w:w w:val="105"/>
        </w:rPr>
        <w:t> definiciones sobre la primera etapa del parto. Por lo que el GEG ha basado sus recomen- daciones en varias de las definiciones utilizadas en la práctica habitual y en la investigación</w:t>
      </w:r>
      <w:r>
        <w:rPr>
          <w:color w:val="231F1F"/>
          <w:w w:val="105"/>
        </w:rPr>
        <w:t> (estudios</w:t>
      </w:r>
      <w:r>
        <w:rPr>
          <w:color w:val="231F1F"/>
          <w:w w:val="105"/>
        </w:rPr>
        <w:t> observacionales</w:t>
      </w:r>
      <w:r>
        <w:rPr>
          <w:color w:val="231F1F"/>
          <w:w w:val="105"/>
        </w:rPr>
        <w:t> mencionadas</w:t>
      </w:r>
      <w:r>
        <w:rPr>
          <w:color w:val="231F1F"/>
          <w:w w:val="105"/>
        </w:rPr>
        <w:t> anteriormente</w:t>
      </w:r>
      <w:r>
        <w:rPr>
          <w:color w:val="231F1F"/>
          <w:w w:val="105"/>
        </w:rPr>
        <w:t> y</w:t>
      </w:r>
      <w:r>
        <w:rPr>
          <w:color w:val="231F1F"/>
          <w:w w:val="105"/>
        </w:rPr>
        <w:t> en</w:t>
      </w:r>
      <w:r>
        <w:rPr>
          <w:color w:val="231F1F"/>
          <w:w w:val="105"/>
        </w:rPr>
        <w:t> las definiciones</w:t>
      </w:r>
      <w:r>
        <w:rPr>
          <w:color w:val="231F1F"/>
          <w:w w:val="105"/>
        </w:rPr>
        <w:t> utilizadas</w:t>
      </w:r>
      <w:r>
        <w:rPr>
          <w:color w:val="231F1F"/>
          <w:w w:val="105"/>
        </w:rPr>
        <w:t> en</w:t>
      </w:r>
      <w:r>
        <w:rPr>
          <w:color w:val="231F1F"/>
          <w:w w:val="105"/>
        </w:rPr>
        <w:t> seis</w:t>
      </w:r>
      <w:r>
        <w:rPr>
          <w:color w:val="231F1F"/>
          <w:w w:val="105"/>
        </w:rPr>
        <w:t> diferentes</w:t>
      </w:r>
      <w:r>
        <w:rPr>
          <w:color w:val="231F1F"/>
          <w:w w:val="105"/>
        </w:rPr>
        <w:t> estudios</w:t>
      </w:r>
      <w:r>
        <w:rPr>
          <w:color w:val="231F1F"/>
          <w:w w:val="105"/>
        </w:rPr>
        <w:t> que</w:t>
      </w:r>
      <w:r>
        <w:rPr>
          <w:color w:val="231F1F"/>
          <w:w w:val="105"/>
        </w:rPr>
        <w:t> investigan</w:t>
      </w:r>
      <w:r>
        <w:rPr>
          <w:color w:val="231F1F"/>
          <w:w w:val="105"/>
        </w:rPr>
        <w:t> la</w:t>
      </w:r>
      <w:r>
        <w:rPr>
          <w:color w:val="231F1F"/>
          <w:w w:val="105"/>
        </w:rPr>
        <w:t> duración del parto (ver 4.2. duración y progreso).</w:t>
      </w:r>
    </w:p>
    <w:p>
      <w:pPr>
        <w:pStyle w:val="BodyText"/>
        <w:spacing w:before="127"/>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6"/>
        <w:rPr>
          <w:rFonts w:ascii="Arial MT"/>
          <w:sz w:val="18"/>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660" w:hRule="atLeast"/>
        </w:trPr>
        <w:tc>
          <w:tcPr>
            <w:tcW w:w="7373" w:type="dxa"/>
          </w:tcPr>
          <w:p>
            <w:pPr>
              <w:pStyle w:val="TableParagraph"/>
              <w:spacing w:line="268" w:lineRule="auto" w:before="53"/>
              <w:ind w:left="158" w:right="132" w:firstLine="25"/>
              <w:jc w:val="both"/>
              <w:rPr>
                <w:sz w:val="22"/>
              </w:rPr>
            </w:pPr>
            <w:r>
              <w:rPr>
                <w:color w:val="231F1F"/>
                <w:sz w:val="22"/>
              </w:rPr>
              <w:t>La</w:t>
            </w:r>
            <w:r>
              <w:rPr>
                <w:color w:val="231F1F"/>
                <w:spacing w:val="-1"/>
                <w:sz w:val="22"/>
              </w:rPr>
              <w:t> </w:t>
            </w:r>
            <w:r>
              <w:rPr>
                <w:i/>
                <w:color w:val="231F1F"/>
                <w:sz w:val="22"/>
              </w:rPr>
              <w:t>fase</w:t>
            </w:r>
            <w:r>
              <w:rPr>
                <w:i/>
                <w:color w:val="231F1F"/>
                <w:spacing w:val="-6"/>
                <w:sz w:val="22"/>
              </w:rPr>
              <w:t> </w:t>
            </w:r>
            <w:r>
              <w:rPr>
                <w:i/>
                <w:color w:val="231F1F"/>
                <w:sz w:val="22"/>
              </w:rPr>
              <w:t>latente</w:t>
            </w:r>
            <w:r>
              <w:rPr>
                <w:i/>
                <w:color w:val="231F1F"/>
                <w:spacing w:val="-7"/>
                <w:sz w:val="22"/>
              </w:rPr>
              <w:t> </w:t>
            </w:r>
            <w:r>
              <w:rPr>
                <w:color w:val="231F1F"/>
                <w:sz w:val="22"/>
              </w:rPr>
              <w:t>comienza</w:t>
            </w:r>
            <w:r>
              <w:rPr>
                <w:color w:val="231F1F"/>
                <w:spacing w:val="-1"/>
                <w:sz w:val="22"/>
              </w:rPr>
              <w:t> </w:t>
            </w:r>
            <w:r>
              <w:rPr>
                <w:color w:val="231F1F"/>
                <w:sz w:val="22"/>
              </w:rPr>
              <w:t>con</w:t>
            </w:r>
            <w:r>
              <w:rPr>
                <w:color w:val="231F1F"/>
                <w:spacing w:val="-1"/>
                <w:sz w:val="22"/>
              </w:rPr>
              <w:t> </w:t>
            </w:r>
            <w:r>
              <w:rPr>
                <w:color w:val="231F1F"/>
                <w:sz w:val="22"/>
              </w:rPr>
              <w:t>el</w:t>
            </w:r>
            <w:r>
              <w:rPr>
                <w:color w:val="231F1F"/>
                <w:spacing w:val="-1"/>
                <w:sz w:val="22"/>
              </w:rPr>
              <w:t> </w:t>
            </w:r>
            <w:r>
              <w:rPr>
                <w:color w:val="231F1F"/>
                <w:sz w:val="22"/>
              </w:rPr>
              <w:t>inicio</w:t>
            </w:r>
            <w:r>
              <w:rPr>
                <w:color w:val="231F1F"/>
                <w:spacing w:val="-1"/>
                <w:sz w:val="22"/>
              </w:rPr>
              <w:t> </w:t>
            </w:r>
            <w:r>
              <w:rPr>
                <w:color w:val="231F1F"/>
                <w:sz w:val="22"/>
              </w:rPr>
              <w:t>del</w:t>
            </w:r>
            <w:r>
              <w:rPr>
                <w:color w:val="231F1F"/>
                <w:spacing w:val="-1"/>
                <w:sz w:val="22"/>
              </w:rPr>
              <w:t> </w:t>
            </w:r>
            <w:r>
              <w:rPr>
                <w:color w:val="231F1F"/>
                <w:sz w:val="22"/>
              </w:rPr>
              <w:t>parto</w:t>
            </w:r>
            <w:r>
              <w:rPr>
                <w:color w:val="231F1F"/>
                <w:spacing w:val="-1"/>
                <w:sz w:val="22"/>
              </w:rPr>
              <w:t> </w:t>
            </w:r>
            <w:r>
              <w:rPr>
                <w:color w:val="231F1F"/>
                <w:sz w:val="22"/>
              </w:rPr>
              <w:t>y</w:t>
            </w:r>
            <w:r>
              <w:rPr>
                <w:color w:val="231F1F"/>
                <w:spacing w:val="-1"/>
                <w:sz w:val="22"/>
              </w:rPr>
              <w:t> </w:t>
            </w:r>
            <w:r>
              <w:rPr>
                <w:color w:val="231F1F"/>
                <w:sz w:val="22"/>
              </w:rPr>
              <w:t>se</w:t>
            </w:r>
            <w:r>
              <w:rPr>
                <w:color w:val="231F1F"/>
                <w:spacing w:val="-1"/>
                <w:sz w:val="22"/>
              </w:rPr>
              <w:t> </w:t>
            </w:r>
            <w:r>
              <w:rPr>
                <w:color w:val="231F1F"/>
                <w:sz w:val="22"/>
              </w:rPr>
              <w:t>caracteriza</w:t>
            </w:r>
            <w:r>
              <w:rPr>
                <w:color w:val="231F1F"/>
                <w:spacing w:val="-1"/>
                <w:sz w:val="22"/>
              </w:rPr>
              <w:t> </w:t>
            </w:r>
            <w:r>
              <w:rPr>
                <w:color w:val="231F1F"/>
                <w:sz w:val="22"/>
              </w:rPr>
              <w:t>por</w:t>
            </w:r>
            <w:r>
              <w:rPr>
                <w:color w:val="231F1F"/>
                <w:spacing w:val="-1"/>
                <w:sz w:val="22"/>
              </w:rPr>
              <w:t> </w:t>
            </w:r>
            <w:r>
              <w:rPr>
                <w:color w:val="231F1F"/>
                <w:sz w:val="22"/>
              </w:rPr>
              <w:t>la</w:t>
            </w:r>
            <w:r>
              <w:rPr>
                <w:color w:val="231F1F"/>
                <w:spacing w:val="-1"/>
                <w:sz w:val="22"/>
              </w:rPr>
              <w:t> </w:t>
            </w:r>
            <w:r>
              <w:rPr>
                <w:color w:val="231F1F"/>
                <w:sz w:val="22"/>
              </w:rPr>
              <w:t>presencia de</w:t>
            </w:r>
            <w:r>
              <w:rPr>
                <w:color w:val="231F1F"/>
                <w:spacing w:val="27"/>
                <w:sz w:val="22"/>
              </w:rPr>
              <w:t> </w:t>
            </w:r>
            <w:r>
              <w:rPr>
                <w:color w:val="231F1F"/>
                <w:sz w:val="22"/>
              </w:rPr>
              <w:t>contracciones</w:t>
            </w:r>
            <w:r>
              <w:rPr>
                <w:color w:val="231F1F"/>
                <w:spacing w:val="27"/>
                <w:sz w:val="22"/>
              </w:rPr>
              <w:t> </w:t>
            </w:r>
            <w:r>
              <w:rPr>
                <w:color w:val="231F1F"/>
                <w:sz w:val="22"/>
              </w:rPr>
              <w:t>variables</w:t>
            </w:r>
            <w:r>
              <w:rPr>
                <w:color w:val="231F1F"/>
                <w:spacing w:val="27"/>
                <w:sz w:val="22"/>
              </w:rPr>
              <w:t> </w:t>
            </w:r>
            <w:r>
              <w:rPr>
                <w:color w:val="231F1F"/>
                <w:sz w:val="22"/>
              </w:rPr>
              <w:t>en</w:t>
            </w:r>
            <w:r>
              <w:rPr>
                <w:color w:val="231F1F"/>
                <w:spacing w:val="27"/>
                <w:sz w:val="22"/>
              </w:rPr>
              <w:t> </w:t>
            </w:r>
            <w:r>
              <w:rPr>
                <w:color w:val="231F1F"/>
                <w:sz w:val="22"/>
              </w:rPr>
              <w:t>cuanto</w:t>
            </w:r>
            <w:r>
              <w:rPr>
                <w:color w:val="231F1F"/>
                <w:spacing w:val="27"/>
                <w:sz w:val="22"/>
              </w:rPr>
              <w:t> </w:t>
            </w:r>
            <w:r>
              <w:rPr>
                <w:color w:val="231F1F"/>
                <w:sz w:val="22"/>
              </w:rPr>
              <w:t>a</w:t>
            </w:r>
            <w:r>
              <w:rPr>
                <w:color w:val="231F1F"/>
                <w:spacing w:val="27"/>
                <w:sz w:val="22"/>
              </w:rPr>
              <w:t> </w:t>
            </w:r>
            <w:r>
              <w:rPr>
                <w:color w:val="231F1F"/>
                <w:sz w:val="22"/>
              </w:rPr>
              <w:t>intensidad</w:t>
            </w:r>
            <w:r>
              <w:rPr>
                <w:color w:val="231F1F"/>
                <w:spacing w:val="27"/>
                <w:sz w:val="22"/>
              </w:rPr>
              <w:t> </w:t>
            </w:r>
            <w:r>
              <w:rPr>
                <w:color w:val="231F1F"/>
                <w:sz w:val="22"/>
              </w:rPr>
              <w:t>y</w:t>
            </w:r>
            <w:r>
              <w:rPr>
                <w:color w:val="231F1F"/>
                <w:spacing w:val="27"/>
                <w:sz w:val="22"/>
              </w:rPr>
              <w:t> </w:t>
            </w:r>
            <w:r>
              <w:rPr>
                <w:color w:val="231F1F"/>
                <w:sz w:val="22"/>
              </w:rPr>
              <w:t>duración,</w:t>
            </w:r>
            <w:r>
              <w:rPr>
                <w:color w:val="231F1F"/>
                <w:spacing w:val="27"/>
                <w:sz w:val="22"/>
              </w:rPr>
              <w:t> </w:t>
            </w:r>
            <w:r>
              <w:rPr>
                <w:color w:val="231F1F"/>
                <w:sz w:val="22"/>
              </w:rPr>
              <w:t>y</w:t>
            </w:r>
            <w:r>
              <w:rPr>
                <w:color w:val="231F1F"/>
                <w:spacing w:val="27"/>
                <w:sz w:val="22"/>
              </w:rPr>
              <w:t> </w:t>
            </w:r>
            <w:r>
              <w:rPr>
                <w:color w:val="231F1F"/>
                <w:sz w:val="22"/>
              </w:rPr>
              <w:t>se</w:t>
            </w:r>
            <w:r>
              <w:rPr>
                <w:color w:val="231F1F"/>
                <w:spacing w:val="26"/>
                <w:sz w:val="22"/>
              </w:rPr>
              <w:t> </w:t>
            </w:r>
            <w:r>
              <w:rPr>
                <w:color w:val="231F1F"/>
                <w:sz w:val="22"/>
              </w:rPr>
              <w:t>acompaña de borramiento cervical y progresión lenta de la dilatación hasta los 2 o 4 cm.</w:t>
            </w:r>
          </w:p>
          <w:p>
            <w:pPr>
              <w:pStyle w:val="TableParagraph"/>
              <w:spacing w:line="264" w:lineRule="auto" w:before="120"/>
              <w:ind w:left="159" w:right="97" w:hanging="23"/>
              <w:jc w:val="both"/>
              <w:rPr>
                <w:sz w:val="22"/>
              </w:rPr>
            </w:pPr>
            <w:r>
              <w:rPr>
                <w:color w:val="231F1F"/>
                <w:w w:val="105"/>
                <w:sz w:val="22"/>
              </w:rPr>
              <w:t>La </w:t>
            </w:r>
            <w:r>
              <w:rPr>
                <w:i/>
                <w:color w:val="231F1F"/>
                <w:w w:val="105"/>
                <w:sz w:val="22"/>
              </w:rPr>
              <w:t>fase activa </w:t>
            </w:r>
            <w:r>
              <w:rPr>
                <w:color w:val="231F1F"/>
                <w:w w:val="105"/>
                <w:sz w:val="22"/>
              </w:rPr>
              <w:t>se caracteriza por el aumento en la regularidad, intensidad y frecuencia</w:t>
            </w:r>
            <w:r>
              <w:rPr>
                <w:color w:val="231F1F"/>
                <w:spacing w:val="-15"/>
                <w:w w:val="105"/>
                <w:sz w:val="22"/>
              </w:rPr>
              <w:t> </w:t>
            </w:r>
            <w:r>
              <w:rPr>
                <w:color w:val="231F1F"/>
                <w:w w:val="105"/>
                <w:sz w:val="22"/>
              </w:rPr>
              <w:t>de</w:t>
            </w:r>
            <w:r>
              <w:rPr>
                <w:color w:val="231F1F"/>
                <w:spacing w:val="-14"/>
                <w:w w:val="105"/>
                <w:sz w:val="22"/>
              </w:rPr>
              <w:t> </w:t>
            </w:r>
            <w:r>
              <w:rPr>
                <w:color w:val="231F1F"/>
                <w:w w:val="105"/>
                <w:sz w:val="22"/>
              </w:rPr>
              <w:t>las</w:t>
            </w:r>
            <w:r>
              <w:rPr>
                <w:color w:val="231F1F"/>
                <w:spacing w:val="-15"/>
                <w:w w:val="105"/>
                <w:sz w:val="22"/>
              </w:rPr>
              <w:t> </w:t>
            </w:r>
            <w:r>
              <w:rPr>
                <w:color w:val="231F1F"/>
                <w:w w:val="105"/>
                <w:sz w:val="22"/>
              </w:rPr>
              <w:t>contracciones</w:t>
            </w:r>
            <w:r>
              <w:rPr>
                <w:color w:val="231F1F"/>
                <w:spacing w:val="-14"/>
                <w:w w:val="105"/>
                <w:sz w:val="22"/>
              </w:rPr>
              <w:t> </w:t>
            </w:r>
            <w:r>
              <w:rPr>
                <w:color w:val="231F1F"/>
                <w:w w:val="105"/>
                <w:sz w:val="22"/>
              </w:rPr>
              <w:t>y</w:t>
            </w:r>
            <w:r>
              <w:rPr>
                <w:color w:val="231F1F"/>
                <w:spacing w:val="-15"/>
                <w:w w:val="105"/>
                <w:sz w:val="22"/>
              </w:rPr>
              <w:t> </w:t>
            </w:r>
            <w:r>
              <w:rPr>
                <w:color w:val="231F1F"/>
                <w:w w:val="105"/>
                <w:sz w:val="22"/>
              </w:rPr>
              <w:t>la</w:t>
            </w:r>
            <w:r>
              <w:rPr>
                <w:color w:val="231F1F"/>
                <w:spacing w:val="-14"/>
                <w:w w:val="105"/>
                <w:sz w:val="22"/>
              </w:rPr>
              <w:t> </w:t>
            </w:r>
            <w:r>
              <w:rPr>
                <w:color w:val="231F1F"/>
                <w:w w:val="105"/>
                <w:sz w:val="22"/>
              </w:rPr>
              <w:t>rápida</w:t>
            </w:r>
            <w:r>
              <w:rPr>
                <w:color w:val="231F1F"/>
                <w:spacing w:val="-15"/>
                <w:w w:val="105"/>
                <w:sz w:val="22"/>
              </w:rPr>
              <w:t> </w:t>
            </w:r>
            <w:r>
              <w:rPr>
                <w:color w:val="231F1F"/>
                <w:w w:val="105"/>
                <w:sz w:val="22"/>
              </w:rPr>
              <w:t>progresión</w:t>
            </w:r>
            <w:r>
              <w:rPr>
                <w:color w:val="231F1F"/>
                <w:spacing w:val="-14"/>
                <w:w w:val="105"/>
                <w:sz w:val="22"/>
              </w:rPr>
              <w:t> </w:t>
            </w:r>
            <w:r>
              <w:rPr>
                <w:color w:val="231F1F"/>
                <w:w w:val="105"/>
                <w:sz w:val="22"/>
              </w:rPr>
              <w:t>de</w:t>
            </w:r>
            <w:r>
              <w:rPr>
                <w:color w:val="231F1F"/>
                <w:spacing w:val="-14"/>
                <w:w w:val="105"/>
                <w:sz w:val="22"/>
              </w:rPr>
              <w:t> </w:t>
            </w:r>
            <w:r>
              <w:rPr>
                <w:color w:val="231F1F"/>
                <w:w w:val="105"/>
                <w:sz w:val="22"/>
              </w:rPr>
              <w:t>la</w:t>
            </w:r>
            <w:r>
              <w:rPr>
                <w:color w:val="231F1F"/>
                <w:spacing w:val="-15"/>
                <w:w w:val="105"/>
                <w:sz w:val="22"/>
              </w:rPr>
              <w:t> </w:t>
            </w:r>
            <w:r>
              <w:rPr>
                <w:color w:val="231F1F"/>
                <w:w w:val="105"/>
                <w:sz w:val="22"/>
              </w:rPr>
              <w:t>dilatación</w:t>
            </w:r>
            <w:r>
              <w:rPr>
                <w:color w:val="231F1F"/>
                <w:spacing w:val="-14"/>
                <w:w w:val="105"/>
                <w:sz w:val="22"/>
              </w:rPr>
              <w:t> </w:t>
            </w:r>
            <w:r>
              <w:rPr>
                <w:color w:val="231F1F"/>
                <w:w w:val="105"/>
                <w:sz w:val="22"/>
              </w:rPr>
              <w:t>(23-30).</w:t>
            </w:r>
          </w:p>
        </w:tc>
        <w:tc>
          <w:tcPr>
            <w:tcW w:w="1133" w:type="dxa"/>
          </w:tcPr>
          <w:p>
            <w:pPr>
              <w:pStyle w:val="TableParagraph"/>
              <w:ind w:left="0"/>
              <w:rPr>
                <w:rFonts w:ascii="Arial MT"/>
                <w:sz w:val="22"/>
              </w:rPr>
            </w:pPr>
          </w:p>
          <w:p>
            <w:pPr>
              <w:pStyle w:val="TableParagraph"/>
              <w:spacing w:before="186"/>
              <w:ind w:left="0"/>
              <w:rPr>
                <w:rFonts w:ascii="Arial MT"/>
                <w:sz w:val="22"/>
              </w:rPr>
            </w:pPr>
          </w:p>
          <w:p>
            <w:pPr>
              <w:pStyle w:val="TableParagraph"/>
              <w:ind w:left="49"/>
              <w:jc w:val="center"/>
              <w:rPr>
                <w:sz w:val="22"/>
              </w:rPr>
            </w:pPr>
            <w:r>
              <w:rPr>
                <w:color w:val="231F1F"/>
                <w:spacing w:val="-10"/>
                <w:sz w:val="22"/>
              </w:rPr>
              <w:t>3</w:t>
            </w:r>
          </w:p>
        </w:tc>
      </w:tr>
    </w:tbl>
    <w:p>
      <w:pPr>
        <w:pStyle w:val="BodyText"/>
        <w:spacing w:before="98"/>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6"/>
        <w:rPr>
          <w:rFonts w:ascii="Arial MT"/>
          <w:sz w:val="18"/>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1381" w:hRule="atLeast"/>
        </w:trPr>
        <w:tc>
          <w:tcPr>
            <w:tcW w:w="456" w:type="dxa"/>
          </w:tcPr>
          <w:p>
            <w:pPr>
              <w:pStyle w:val="TableParagraph"/>
              <w:ind w:left="0"/>
              <w:rPr>
                <w:rFonts w:ascii="Arial MT"/>
                <w:sz w:val="22"/>
              </w:rPr>
            </w:pPr>
          </w:p>
          <w:p>
            <w:pPr>
              <w:pStyle w:val="TableParagraph"/>
              <w:spacing w:before="22"/>
              <w:ind w:left="0"/>
              <w:rPr>
                <w:rFonts w:ascii="Arial MT"/>
                <w:sz w:val="22"/>
              </w:rPr>
            </w:pPr>
          </w:p>
          <w:p>
            <w:pPr>
              <w:pStyle w:val="TableParagraph"/>
              <w:spacing w:before="1"/>
              <w:ind w:left="173"/>
              <w:rPr>
                <w:sz w:val="22"/>
              </w:rPr>
            </w:pPr>
            <w:r>
              <w:rPr>
                <w:color w:val="231F1F"/>
                <w:spacing w:val="-10"/>
                <w:w w:val="110"/>
                <w:sz w:val="22"/>
              </w:rPr>
              <w:t>√</w:t>
            </w:r>
          </w:p>
        </w:tc>
        <w:tc>
          <w:tcPr>
            <w:tcW w:w="8050" w:type="dxa"/>
          </w:tcPr>
          <w:p>
            <w:pPr>
              <w:pStyle w:val="TableParagraph"/>
              <w:spacing w:line="264" w:lineRule="auto" w:before="53"/>
              <w:ind w:left="120" w:right="155" w:firstLine="42"/>
              <w:rPr>
                <w:sz w:val="22"/>
              </w:rPr>
            </w:pPr>
            <w:r>
              <w:rPr>
                <w:color w:val="231F1F"/>
                <w:sz w:val="22"/>
              </w:rPr>
              <w:t>Se</w:t>
            </w:r>
            <w:r>
              <w:rPr>
                <w:color w:val="231F1F"/>
                <w:spacing w:val="-3"/>
                <w:sz w:val="22"/>
              </w:rPr>
              <w:t> </w:t>
            </w:r>
            <w:r>
              <w:rPr>
                <w:color w:val="231F1F"/>
                <w:sz w:val="22"/>
              </w:rPr>
              <w:t>recomienda</w:t>
            </w:r>
            <w:r>
              <w:rPr>
                <w:color w:val="231F1F"/>
                <w:spacing w:val="19"/>
                <w:sz w:val="22"/>
              </w:rPr>
              <w:t> </w:t>
            </w:r>
            <w:r>
              <w:rPr>
                <w:color w:val="231F1F"/>
                <w:sz w:val="22"/>
              </w:rPr>
              <w:t>adoptar</w:t>
            </w:r>
            <w:r>
              <w:rPr>
                <w:color w:val="231F1F"/>
                <w:spacing w:val="-3"/>
                <w:sz w:val="22"/>
              </w:rPr>
              <w:t> </w:t>
            </w:r>
            <w:r>
              <w:rPr>
                <w:color w:val="231F1F"/>
                <w:sz w:val="22"/>
              </w:rPr>
              <w:t>la</w:t>
            </w:r>
            <w:r>
              <w:rPr>
                <w:color w:val="231F1F"/>
                <w:spacing w:val="-3"/>
                <w:sz w:val="22"/>
              </w:rPr>
              <w:t> </w:t>
            </w:r>
            <w:r>
              <w:rPr>
                <w:color w:val="231F1F"/>
                <w:sz w:val="22"/>
              </w:rPr>
              <w:t>definición</w:t>
            </w:r>
            <w:r>
              <w:rPr>
                <w:color w:val="231F1F"/>
                <w:spacing w:val="-3"/>
                <w:sz w:val="22"/>
              </w:rPr>
              <w:t> </w:t>
            </w:r>
            <w:r>
              <w:rPr>
                <w:color w:val="231F1F"/>
                <w:sz w:val="22"/>
              </w:rPr>
              <w:t>de</w:t>
            </w:r>
            <w:r>
              <w:rPr>
                <w:color w:val="231F1F"/>
                <w:spacing w:val="-3"/>
                <w:sz w:val="22"/>
              </w:rPr>
              <w:t> </w:t>
            </w:r>
            <w:r>
              <w:rPr>
                <w:color w:val="231F1F"/>
                <w:sz w:val="22"/>
              </w:rPr>
              <w:t>la</w:t>
            </w:r>
            <w:r>
              <w:rPr>
                <w:color w:val="231F1F"/>
                <w:spacing w:val="-4"/>
                <w:sz w:val="22"/>
              </w:rPr>
              <w:t> </w:t>
            </w:r>
            <w:r>
              <w:rPr>
                <w:i/>
                <w:color w:val="231F1F"/>
                <w:sz w:val="22"/>
              </w:rPr>
              <w:t>fase</w:t>
            </w:r>
            <w:r>
              <w:rPr>
                <w:i/>
                <w:color w:val="231F1F"/>
                <w:spacing w:val="-3"/>
                <w:sz w:val="22"/>
              </w:rPr>
              <w:t> </w:t>
            </w:r>
            <w:r>
              <w:rPr>
                <w:i/>
                <w:color w:val="231F1F"/>
                <w:sz w:val="22"/>
              </w:rPr>
              <w:t>latente</w:t>
            </w:r>
            <w:r>
              <w:rPr>
                <w:i/>
                <w:color w:val="231F1F"/>
                <w:spacing w:val="20"/>
                <w:sz w:val="22"/>
              </w:rPr>
              <w:t> </w:t>
            </w:r>
            <w:r>
              <w:rPr>
                <w:color w:val="231F1F"/>
                <w:sz w:val="22"/>
              </w:rPr>
              <w:t>como</w:t>
            </w:r>
            <w:r>
              <w:rPr>
                <w:color w:val="231F1F"/>
                <w:spacing w:val="-3"/>
                <w:sz w:val="22"/>
              </w:rPr>
              <w:t> </w:t>
            </w:r>
            <w:r>
              <w:rPr>
                <w:color w:val="231F1F"/>
                <w:sz w:val="22"/>
              </w:rPr>
              <w:t>el</w:t>
            </w:r>
            <w:r>
              <w:rPr>
                <w:color w:val="231F1F"/>
                <w:spacing w:val="-3"/>
                <w:sz w:val="22"/>
              </w:rPr>
              <w:t> </w:t>
            </w:r>
            <w:r>
              <w:rPr>
                <w:color w:val="231F1F"/>
                <w:sz w:val="22"/>
              </w:rPr>
              <w:t>periodo</w:t>
            </w:r>
            <w:r>
              <w:rPr>
                <w:color w:val="231F1F"/>
                <w:spacing w:val="-3"/>
                <w:sz w:val="22"/>
              </w:rPr>
              <w:t> </w:t>
            </w:r>
            <w:r>
              <w:rPr>
                <w:color w:val="231F1F"/>
                <w:sz w:val="22"/>
              </w:rPr>
              <w:t>del</w:t>
            </w:r>
            <w:r>
              <w:rPr>
                <w:color w:val="231F1F"/>
                <w:spacing w:val="-3"/>
                <w:sz w:val="22"/>
              </w:rPr>
              <w:t> </w:t>
            </w:r>
            <w:r>
              <w:rPr>
                <w:color w:val="231F1F"/>
                <w:sz w:val="22"/>
              </w:rPr>
              <w:t>parto</w:t>
            </w:r>
            <w:r>
              <w:rPr>
                <w:color w:val="231F1F"/>
                <w:spacing w:val="-3"/>
                <w:sz w:val="22"/>
              </w:rPr>
              <w:t> </w:t>
            </w:r>
            <w:r>
              <w:rPr>
                <w:color w:val="231F1F"/>
                <w:sz w:val="22"/>
              </w:rPr>
              <w:t>que transcurre</w:t>
            </w:r>
            <w:r>
              <w:rPr>
                <w:color w:val="231F1F"/>
                <w:spacing w:val="40"/>
                <w:sz w:val="22"/>
              </w:rPr>
              <w:t> </w:t>
            </w:r>
            <w:r>
              <w:rPr>
                <w:color w:val="231F1F"/>
                <w:sz w:val="22"/>
              </w:rPr>
              <w:t>entre</w:t>
            </w:r>
            <w:r>
              <w:rPr>
                <w:color w:val="231F1F"/>
                <w:spacing w:val="40"/>
                <w:sz w:val="22"/>
              </w:rPr>
              <w:t> </w:t>
            </w:r>
            <w:r>
              <w:rPr>
                <w:color w:val="231F1F"/>
                <w:sz w:val="22"/>
              </w:rPr>
              <w:t>el</w:t>
            </w:r>
            <w:r>
              <w:rPr>
                <w:color w:val="231F1F"/>
                <w:spacing w:val="40"/>
                <w:sz w:val="22"/>
              </w:rPr>
              <w:t> </w:t>
            </w:r>
            <w:r>
              <w:rPr>
                <w:color w:val="231F1F"/>
                <w:sz w:val="22"/>
              </w:rPr>
              <w:t>inicio</w:t>
            </w:r>
            <w:r>
              <w:rPr>
                <w:color w:val="231F1F"/>
                <w:spacing w:val="40"/>
                <w:sz w:val="22"/>
              </w:rPr>
              <w:t> </w:t>
            </w:r>
            <w:r>
              <w:rPr>
                <w:color w:val="231F1F"/>
                <w:sz w:val="22"/>
              </w:rPr>
              <w:t>del</w:t>
            </w:r>
            <w:r>
              <w:rPr>
                <w:color w:val="231F1F"/>
                <w:spacing w:val="40"/>
                <w:sz w:val="22"/>
              </w:rPr>
              <w:t> </w:t>
            </w:r>
            <w:r>
              <w:rPr>
                <w:color w:val="231F1F"/>
                <w:sz w:val="22"/>
              </w:rPr>
              <w:t>parto</w:t>
            </w:r>
            <w:r>
              <w:rPr>
                <w:color w:val="231F1F"/>
                <w:spacing w:val="40"/>
                <w:sz w:val="22"/>
              </w:rPr>
              <w:t> </w:t>
            </w:r>
            <w:r>
              <w:rPr>
                <w:color w:val="231F1F"/>
                <w:sz w:val="22"/>
              </w:rPr>
              <w:t>y</w:t>
            </w:r>
            <w:r>
              <w:rPr>
                <w:color w:val="231F1F"/>
                <w:spacing w:val="40"/>
                <w:sz w:val="22"/>
              </w:rPr>
              <w:t> </w:t>
            </w:r>
            <w:r>
              <w:rPr>
                <w:color w:val="231F1F"/>
                <w:sz w:val="22"/>
              </w:rPr>
              <w:t>los</w:t>
            </w:r>
            <w:r>
              <w:rPr>
                <w:color w:val="231F1F"/>
                <w:spacing w:val="40"/>
                <w:sz w:val="22"/>
              </w:rPr>
              <w:t> </w:t>
            </w:r>
            <w:r>
              <w:rPr>
                <w:color w:val="231F1F"/>
                <w:sz w:val="22"/>
              </w:rPr>
              <w:t>4</w:t>
            </w:r>
            <w:r>
              <w:rPr>
                <w:color w:val="231F1F"/>
                <w:spacing w:val="40"/>
                <w:sz w:val="22"/>
              </w:rPr>
              <w:t> </w:t>
            </w:r>
            <w:r>
              <w:rPr>
                <w:color w:val="231F1F"/>
                <w:sz w:val="22"/>
              </w:rPr>
              <w:t>cm.</w:t>
            </w:r>
            <w:r>
              <w:rPr>
                <w:color w:val="231F1F"/>
                <w:spacing w:val="40"/>
                <w:sz w:val="22"/>
              </w:rPr>
              <w:t> </w:t>
            </w:r>
            <w:r>
              <w:rPr>
                <w:color w:val="231F1F"/>
                <w:sz w:val="22"/>
              </w:rPr>
              <w:t>de</w:t>
            </w:r>
            <w:r>
              <w:rPr>
                <w:color w:val="231F1F"/>
                <w:spacing w:val="40"/>
                <w:sz w:val="22"/>
              </w:rPr>
              <w:t> </w:t>
            </w:r>
            <w:r>
              <w:rPr>
                <w:color w:val="231F1F"/>
                <w:sz w:val="22"/>
              </w:rPr>
              <w:t>dilatación.</w:t>
            </w:r>
          </w:p>
          <w:p>
            <w:pPr>
              <w:pStyle w:val="TableParagraph"/>
              <w:spacing w:line="273" w:lineRule="auto" w:before="135"/>
              <w:ind w:left="166" w:right="155" w:hanging="47"/>
              <w:rPr>
                <w:sz w:val="22"/>
              </w:rPr>
            </w:pPr>
            <w:r>
              <w:rPr>
                <w:color w:val="231F1F"/>
                <w:sz w:val="22"/>
              </w:rPr>
              <w:t>Se</w:t>
            </w:r>
            <w:r>
              <w:rPr>
                <w:color w:val="231F1F"/>
                <w:spacing w:val="28"/>
                <w:sz w:val="22"/>
              </w:rPr>
              <w:t> </w:t>
            </w:r>
            <w:r>
              <w:rPr>
                <w:color w:val="231F1F"/>
                <w:sz w:val="22"/>
              </w:rPr>
              <w:t>recomienda</w:t>
            </w:r>
            <w:r>
              <w:rPr>
                <w:color w:val="231F1F"/>
                <w:spacing w:val="31"/>
                <w:sz w:val="22"/>
              </w:rPr>
              <w:t> </w:t>
            </w:r>
            <w:r>
              <w:rPr>
                <w:color w:val="231F1F"/>
                <w:sz w:val="22"/>
              </w:rPr>
              <w:t>adoptar</w:t>
            </w:r>
            <w:r>
              <w:rPr>
                <w:color w:val="231F1F"/>
                <w:spacing w:val="29"/>
                <w:sz w:val="22"/>
              </w:rPr>
              <w:t> </w:t>
            </w:r>
            <w:r>
              <w:rPr>
                <w:color w:val="231F1F"/>
                <w:sz w:val="22"/>
              </w:rPr>
              <w:t>la</w:t>
            </w:r>
            <w:r>
              <w:rPr>
                <w:color w:val="231F1F"/>
                <w:spacing w:val="28"/>
                <w:sz w:val="22"/>
              </w:rPr>
              <w:t> </w:t>
            </w:r>
            <w:r>
              <w:rPr>
                <w:color w:val="231F1F"/>
                <w:sz w:val="22"/>
              </w:rPr>
              <w:t>definición</w:t>
            </w:r>
            <w:r>
              <w:rPr>
                <w:color w:val="231F1F"/>
                <w:spacing w:val="29"/>
                <w:sz w:val="22"/>
              </w:rPr>
              <w:t> </w:t>
            </w:r>
            <w:r>
              <w:rPr>
                <w:color w:val="231F1F"/>
                <w:sz w:val="22"/>
              </w:rPr>
              <w:t>de</w:t>
            </w:r>
            <w:r>
              <w:rPr>
                <w:color w:val="231F1F"/>
                <w:spacing w:val="29"/>
                <w:sz w:val="22"/>
              </w:rPr>
              <w:t> </w:t>
            </w:r>
            <w:r>
              <w:rPr>
                <w:color w:val="231F1F"/>
                <w:sz w:val="22"/>
              </w:rPr>
              <w:t>la</w:t>
            </w:r>
            <w:r>
              <w:rPr>
                <w:color w:val="231F1F"/>
                <w:spacing w:val="28"/>
                <w:sz w:val="22"/>
              </w:rPr>
              <w:t> </w:t>
            </w:r>
            <w:r>
              <w:rPr>
                <w:i/>
                <w:color w:val="231F1F"/>
                <w:sz w:val="22"/>
              </w:rPr>
              <w:t>fase activa </w:t>
            </w:r>
            <w:r>
              <w:rPr>
                <w:color w:val="231F1F"/>
                <w:sz w:val="22"/>
              </w:rPr>
              <w:t>como</w:t>
            </w:r>
            <w:r>
              <w:rPr>
                <w:color w:val="231F1F"/>
                <w:spacing w:val="29"/>
                <w:sz w:val="22"/>
              </w:rPr>
              <w:t> </w:t>
            </w:r>
            <w:r>
              <w:rPr>
                <w:color w:val="231F1F"/>
                <w:sz w:val="22"/>
              </w:rPr>
              <w:t>el</w:t>
            </w:r>
            <w:r>
              <w:rPr>
                <w:color w:val="231F1F"/>
                <w:spacing w:val="29"/>
                <w:sz w:val="22"/>
              </w:rPr>
              <w:t> </w:t>
            </w:r>
            <w:r>
              <w:rPr>
                <w:color w:val="231F1F"/>
                <w:sz w:val="22"/>
              </w:rPr>
              <w:t>periodo</w:t>
            </w:r>
            <w:r>
              <w:rPr>
                <w:color w:val="231F1F"/>
                <w:spacing w:val="28"/>
                <w:sz w:val="22"/>
              </w:rPr>
              <w:t> </w:t>
            </w:r>
            <w:r>
              <w:rPr>
                <w:color w:val="231F1F"/>
                <w:sz w:val="22"/>
              </w:rPr>
              <w:t>del</w:t>
            </w:r>
            <w:r>
              <w:rPr>
                <w:color w:val="231F1F"/>
                <w:spacing w:val="29"/>
                <w:sz w:val="22"/>
              </w:rPr>
              <w:t> </w:t>
            </w:r>
            <w:r>
              <w:rPr>
                <w:color w:val="231F1F"/>
                <w:sz w:val="22"/>
              </w:rPr>
              <w:t>parto</w:t>
            </w:r>
            <w:r>
              <w:rPr>
                <w:color w:val="231F1F"/>
                <w:spacing w:val="29"/>
                <w:sz w:val="22"/>
              </w:rPr>
              <w:t> </w:t>
            </w:r>
            <w:r>
              <w:rPr>
                <w:color w:val="231F1F"/>
                <w:sz w:val="22"/>
              </w:rPr>
              <w:t>que transcurre</w:t>
            </w:r>
            <w:r>
              <w:rPr>
                <w:color w:val="231F1F"/>
                <w:spacing w:val="18"/>
                <w:sz w:val="22"/>
              </w:rPr>
              <w:t> </w:t>
            </w:r>
            <w:r>
              <w:rPr>
                <w:color w:val="231F1F"/>
                <w:sz w:val="22"/>
              </w:rPr>
              <w:t>entre</w:t>
            </w:r>
            <w:r>
              <w:rPr>
                <w:color w:val="231F1F"/>
                <w:spacing w:val="18"/>
                <w:sz w:val="22"/>
              </w:rPr>
              <w:t> </w:t>
            </w:r>
            <w:r>
              <w:rPr>
                <w:color w:val="231F1F"/>
                <w:sz w:val="22"/>
              </w:rPr>
              <w:t>los</w:t>
            </w:r>
            <w:r>
              <w:rPr>
                <w:color w:val="231F1F"/>
                <w:spacing w:val="17"/>
                <w:sz w:val="22"/>
              </w:rPr>
              <w:t> </w:t>
            </w:r>
            <w:r>
              <w:rPr>
                <w:color w:val="231F1F"/>
                <w:sz w:val="22"/>
              </w:rPr>
              <w:t>4</w:t>
            </w:r>
            <w:r>
              <w:rPr>
                <w:color w:val="231F1F"/>
                <w:spacing w:val="18"/>
                <w:sz w:val="22"/>
              </w:rPr>
              <w:t> </w:t>
            </w:r>
            <w:r>
              <w:rPr>
                <w:color w:val="231F1F"/>
                <w:sz w:val="22"/>
              </w:rPr>
              <w:t>y</w:t>
            </w:r>
            <w:r>
              <w:rPr>
                <w:color w:val="231F1F"/>
                <w:spacing w:val="19"/>
                <w:sz w:val="22"/>
              </w:rPr>
              <w:t> </w:t>
            </w:r>
            <w:r>
              <w:rPr>
                <w:color w:val="231F1F"/>
                <w:sz w:val="22"/>
              </w:rPr>
              <w:t>los</w:t>
            </w:r>
            <w:r>
              <w:rPr>
                <w:color w:val="231F1F"/>
                <w:spacing w:val="18"/>
                <w:sz w:val="22"/>
              </w:rPr>
              <w:t> </w:t>
            </w:r>
            <w:r>
              <w:rPr>
                <w:color w:val="231F1F"/>
                <w:sz w:val="22"/>
              </w:rPr>
              <w:t>10</w:t>
            </w:r>
            <w:r>
              <w:rPr>
                <w:color w:val="231F1F"/>
                <w:spacing w:val="18"/>
                <w:sz w:val="22"/>
              </w:rPr>
              <w:t> </w:t>
            </w:r>
            <w:r>
              <w:rPr>
                <w:color w:val="231F1F"/>
                <w:sz w:val="22"/>
              </w:rPr>
              <w:t>cm.</w:t>
            </w:r>
            <w:r>
              <w:rPr>
                <w:color w:val="231F1F"/>
                <w:spacing w:val="17"/>
                <w:sz w:val="22"/>
              </w:rPr>
              <w:t> </w:t>
            </w:r>
            <w:r>
              <w:rPr>
                <w:color w:val="231F1F"/>
                <w:sz w:val="22"/>
              </w:rPr>
              <w:t>de</w:t>
            </w:r>
            <w:r>
              <w:rPr>
                <w:color w:val="231F1F"/>
                <w:spacing w:val="19"/>
                <w:sz w:val="22"/>
              </w:rPr>
              <w:t> </w:t>
            </w:r>
            <w:r>
              <w:rPr>
                <w:color w:val="231F1F"/>
                <w:sz w:val="22"/>
              </w:rPr>
              <w:t>dilatación</w:t>
            </w:r>
            <w:r>
              <w:rPr>
                <w:color w:val="231F1F"/>
                <w:spacing w:val="18"/>
                <w:sz w:val="22"/>
              </w:rPr>
              <w:t> </w:t>
            </w:r>
            <w:r>
              <w:rPr>
                <w:color w:val="231F1F"/>
                <w:sz w:val="22"/>
              </w:rPr>
              <w:t>y</w:t>
            </w:r>
            <w:r>
              <w:rPr>
                <w:color w:val="231F1F"/>
                <w:spacing w:val="18"/>
                <w:sz w:val="22"/>
              </w:rPr>
              <w:t> </w:t>
            </w:r>
            <w:r>
              <w:rPr>
                <w:color w:val="231F1F"/>
                <w:sz w:val="22"/>
              </w:rPr>
              <w:t>se</w:t>
            </w:r>
            <w:r>
              <w:rPr>
                <w:color w:val="231F1F"/>
                <w:spacing w:val="18"/>
                <w:sz w:val="22"/>
              </w:rPr>
              <w:t> </w:t>
            </w:r>
            <w:r>
              <w:rPr>
                <w:color w:val="231F1F"/>
                <w:sz w:val="22"/>
              </w:rPr>
              <w:t>acompaña</w:t>
            </w:r>
            <w:r>
              <w:rPr>
                <w:color w:val="231F1F"/>
                <w:spacing w:val="18"/>
                <w:sz w:val="22"/>
              </w:rPr>
              <w:t> </w:t>
            </w:r>
            <w:r>
              <w:rPr>
                <w:color w:val="231F1F"/>
                <w:sz w:val="22"/>
              </w:rPr>
              <w:t>de</w:t>
            </w:r>
            <w:r>
              <w:rPr>
                <w:color w:val="231F1F"/>
                <w:spacing w:val="18"/>
                <w:sz w:val="22"/>
              </w:rPr>
              <w:t> </w:t>
            </w:r>
            <w:r>
              <w:rPr>
                <w:color w:val="231F1F"/>
                <w:sz w:val="22"/>
              </w:rPr>
              <w:t>dinámica</w:t>
            </w:r>
            <w:r>
              <w:rPr>
                <w:color w:val="231F1F"/>
                <w:spacing w:val="18"/>
                <w:sz w:val="22"/>
              </w:rPr>
              <w:t> </w:t>
            </w:r>
            <w:r>
              <w:rPr>
                <w:color w:val="231F1F"/>
                <w:sz w:val="22"/>
              </w:rPr>
              <w:t>regular.</w:t>
            </w:r>
          </w:p>
        </w:tc>
      </w:tr>
    </w:tbl>
    <w:p>
      <w:pPr>
        <w:pStyle w:val="TableParagraph"/>
        <w:spacing w:after="0" w:line="273" w:lineRule="auto"/>
        <w:rPr>
          <w:sz w:val="22"/>
        </w:rPr>
        <w:sectPr>
          <w:pgSz w:w="11900" w:h="16840"/>
          <w:pgMar w:header="0" w:footer="622" w:top="1560" w:bottom="820" w:left="1417" w:right="1559"/>
        </w:sectPr>
      </w:pPr>
    </w:p>
    <w:p>
      <w:pPr>
        <w:pStyle w:val="Heading2"/>
        <w:numPr>
          <w:ilvl w:val="2"/>
          <w:numId w:val="2"/>
        </w:numPr>
        <w:tabs>
          <w:tab w:pos="1002" w:val="left" w:leader="none"/>
          <w:tab w:pos="1005" w:val="left" w:leader="none"/>
        </w:tabs>
        <w:spacing w:line="232" w:lineRule="auto" w:before="77" w:after="0"/>
        <w:ind w:left="1005" w:right="1277" w:hanging="724"/>
        <w:jc w:val="left"/>
      </w:pPr>
      <w:bookmarkStart w:name="_TOC_250045" w:id="11"/>
      <w:r>
        <w:rPr>
          <w:color w:val="231F1F"/>
        </w:rPr>
        <w:t>Duración y progreso de la primera etapa del</w:t>
      </w:r>
      <w:r>
        <w:rPr>
          <w:color w:val="231F1F"/>
          <w:spacing w:val="80"/>
        </w:rPr>
        <w:t> </w:t>
      </w:r>
      <w:bookmarkEnd w:id="11"/>
      <w:r>
        <w:rPr>
          <w:color w:val="231F1F"/>
          <w:spacing w:val="-4"/>
        </w:rPr>
        <w:t>parto</w:t>
      </w:r>
    </w:p>
    <w:p>
      <w:pPr>
        <w:pStyle w:val="BodyText"/>
        <w:spacing w:before="9"/>
        <w:rPr>
          <w:sz w:val="20"/>
        </w:rPr>
      </w:pPr>
      <w:r>
        <w:rPr>
          <w:sz w:val="20"/>
        </w:rPr>
        <mc:AlternateContent>
          <mc:Choice Requires="wps">
            <w:drawing>
              <wp:anchor distT="0" distB="0" distL="0" distR="0" allowOverlap="1" layoutInCell="1" locked="0" behindDoc="1" simplePos="0" relativeHeight="487599616">
                <wp:simplePos x="0" y="0"/>
                <wp:positionH relativeFrom="page">
                  <wp:posOffset>1082675</wp:posOffset>
                </wp:positionH>
                <wp:positionV relativeFrom="paragraph">
                  <wp:posOffset>170756</wp:posOffset>
                </wp:positionV>
                <wp:extent cx="5400040" cy="528955"/>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5400040" cy="528955"/>
                        </a:xfrm>
                        <a:prstGeom prst="rect">
                          <a:avLst/>
                        </a:prstGeom>
                        <a:ln w="6350">
                          <a:solidFill>
                            <a:srgbClr val="A30046"/>
                          </a:solidFill>
                          <a:prstDash val="solid"/>
                        </a:ln>
                      </wps:spPr>
                      <wps:txbx>
                        <w:txbxContent>
                          <w:p>
                            <w:pPr>
                              <w:pStyle w:val="BodyText"/>
                              <w:numPr>
                                <w:ilvl w:val="0"/>
                                <w:numId w:val="18"/>
                              </w:numPr>
                              <w:tabs>
                                <w:tab w:pos="322" w:val="left" w:leader="none"/>
                              </w:tabs>
                              <w:spacing w:line="240" w:lineRule="auto" w:before="37" w:after="0"/>
                              <w:ind w:left="322" w:right="0" w:hanging="218"/>
                              <w:jc w:val="left"/>
                            </w:pPr>
                            <w:r>
                              <w:rPr>
                                <w:color w:val="231F1F"/>
                              </w:rPr>
                              <w:t>¿Cuál</w:t>
                            </w:r>
                            <w:r>
                              <w:rPr>
                                <w:color w:val="231F1F"/>
                                <w:spacing w:val="25"/>
                              </w:rPr>
                              <w:t> </w:t>
                            </w:r>
                            <w:r>
                              <w:rPr>
                                <w:color w:val="231F1F"/>
                              </w:rPr>
                              <w:t>es</w:t>
                            </w:r>
                            <w:r>
                              <w:rPr>
                                <w:color w:val="231F1F"/>
                                <w:spacing w:val="28"/>
                              </w:rPr>
                              <w:t> </w:t>
                            </w:r>
                            <w:r>
                              <w:rPr>
                                <w:color w:val="231F1F"/>
                              </w:rPr>
                              <w:t>la</w:t>
                            </w:r>
                            <w:r>
                              <w:rPr>
                                <w:color w:val="231F1F"/>
                                <w:spacing w:val="27"/>
                              </w:rPr>
                              <w:t> </w:t>
                            </w:r>
                            <w:r>
                              <w:rPr>
                                <w:color w:val="231F1F"/>
                              </w:rPr>
                              <w:t>duración</w:t>
                            </w:r>
                            <w:r>
                              <w:rPr>
                                <w:color w:val="231F1F"/>
                                <w:spacing w:val="26"/>
                              </w:rPr>
                              <w:t> </w:t>
                            </w:r>
                            <w:r>
                              <w:rPr>
                                <w:color w:val="231F1F"/>
                              </w:rPr>
                              <w:t>de</w:t>
                            </w:r>
                            <w:r>
                              <w:rPr>
                                <w:color w:val="231F1F"/>
                                <w:spacing w:val="27"/>
                              </w:rPr>
                              <w:t> </w:t>
                            </w:r>
                            <w:r>
                              <w:rPr>
                                <w:color w:val="231F1F"/>
                              </w:rPr>
                              <w:t>la</w:t>
                            </w:r>
                            <w:r>
                              <w:rPr>
                                <w:color w:val="231F1F"/>
                                <w:spacing w:val="27"/>
                              </w:rPr>
                              <w:t> </w:t>
                            </w:r>
                            <w:r>
                              <w:rPr>
                                <w:color w:val="231F1F"/>
                              </w:rPr>
                              <w:t>fase</w:t>
                            </w:r>
                            <w:r>
                              <w:rPr>
                                <w:color w:val="231F1F"/>
                                <w:spacing w:val="26"/>
                              </w:rPr>
                              <w:t> </w:t>
                            </w:r>
                            <w:r>
                              <w:rPr>
                                <w:color w:val="231F1F"/>
                              </w:rPr>
                              <w:t>latente</w:t>
                            </w:r>
                            <w:r>
                              <w:rPr>
                                <w:color w:val="231F1F"/>
                                <w:spacing w:val="27"/>
                              </w:rPr>
                              <w:t> </w:t>
                            </w:r>
                            <w:r>
                              <w:rPr>
                                <w:color w:val="231F1F"/>
                              </w:rPr>
                              <w:t>y</w:t>
                            </w:r>
                            <w:r>
                              <w:rPr>
                                <w:color w:val="231F1F"/>
                                <w:spacing w:val="28"/>
                              </w:rPr>
                              <w:t> </w:t>
                            </w:r>
                            <w:r>
                              <w:rPr>
                                <w:color w:val="231F1F"/>
                              </w:rPr>
                              <w:t>fase</w:t>
                            </w:r>
                            <w:r>
                              <w:rPr>
                                <w:color w:val="231F1F"/>
                                <w:spacing w:val="25"/>
                              </w:rPr>
                              <w:t> </w:t>
                            </w:r>
                            <w:r>
                              <w:rPr>
                                <w:color w:val="231F1F"/>
                              </w:rPr>
                              <w:t>activa</w:t>
                            </w:r>
                            <w:r>
                              <w:rPr>
                                <w:color w:val="231F1F"/>
                                <w:spacing w:val="29"/>
                              </w:rPr>
                              <w:t> </w:t>
                            </w:r>
                            <w:r>
                              <w:rPr>
                                <w:color w:val="231F1F"/>
                              </w:rPr>
                              <w:t>de</w:t>
                            </w:r>
                            <w:r>
                              <w:rPr>
                                <w:color w:val="231F1F"/>
                                <w:spacing w:val="26"/>
                              </w:rPr>
                              <w:t> </w:t>
                            </w:r>
                            <w:r>
                              <w:rPr>
                                <w:color w:val="231F1F"/>
                              </w:rPr>
                              <w:t>la</w:t>
                            </w:r>
                            <w:r>
                              <w:rPr>
                                <w:color w:val="231F1F"/>
                                <w:spacing w:val="27"/>
                              </w:rPr>
                              <w:t> </w:t>
                            </w:r>
                            <w:r>
                              <w:rPr>
                                <w:color w:val="231F1F"/>
                              </w:rPr>
                              <w:t>primera</w:t>
                            </w:r>
                            <w:r>
                              <w:rPr>
                                <w:color w:val="231F1F"/>
                                <w:spacing w:val="27"/>
                              </w:rPr>
                              <w:t> </w:t>
                            </w:r>
                            <w:r>
                              <w:rPr>
                                <w:color w:val="231F1F"/>
                              </w:rPr>
                              <w:t>etapa</w:t>
                            </w:r>
                            <w:r>
                              <w:rPr>
                                <w:color w:val="231F1F"/>
                                <w:spacing w:val="28"/>
                              </w:rPr>
                              <w:t> </w:t>
                            </w:r>
                            <w:r>
                              <w:rPr>
                                <w:color w:val="231F1F"/>
                              </w:rPr>
                              <w:t>del</w:t>
                            </w:r>
                            <w:r>
                              <w:rPr>
                                <w:color w:val="231F1F"/>
                                <w:spacing w:val="22"/>
                              </w:rPr>
                              <w:t> </w:t>
                            </w:r>
                            <w:r>
                              <w:rPr>
                                <w:color w:val="231F1F"/>
                                <w:spacing w:val="-2"/>
                              </w:rPr>
                              <w:t>parto?</w:t>
                            </w:r>
                          </w:p>
                          <w:p>
                            <w:pPr>
                              <w:pStyle w:val="BodyText"/>
                              <w:numPr>
                                <w:ilvl w:val="0"/>
                                <w:numId w:val="18"/>
                              </w:numPr>
                              <w:tabs>
                                <w:tab w:pos="322" w:val="left" w:leader="none"/>
                              </w:tabs>
                              <w:spacing w:line="240" w:lineRule="auto" w:before="155" w:after="0"/>
                              <w:ind w:left="322" w:right="0" w:hanging="218"/>
                              <w:jc w:val="left"/>
                            </w:pPr>
                            <w:r>
                              <w:rPr>
                                <w:color w:val="231F1F"/>
                              </w:rPr>
                              <w:t>¿Influyen</w:t>
                            </w:r>
                            <w:r>
                              <w:rPr>
                                <w:color w:val="231F1F"/>
                                <w:spacing w:val="29"/>
                              </w:rPr>
                              <w:t> </w:t>
                            </w:r>
                            <w:r>
                              <w:rPr>
                                <w:color w:val="231F1F"/>
                              </w:rPr>
                              <w:t>la</w:t>
                            </w:r>
                            <w:r>
                              <w:rPr>
                                <w:color w:val="231F1F"/>
                                <w:spacing w:val="30"/>
                              </w:rPr>
                              <w:t> </w:t>
                            </w:r>
                            <w:r>
                              <w:rPr>
                                <w:color w:val="231F1F"/>
                              </w:rPr>
                              <w:t>duración</w:t>
                            </w:r>
                            <w:r>
                              <w:rPr>
                                <w:color w:val="231F1F"/>
                                <w:spacing w:val="31"/>
                              </w:rPr>
                              <w:t> </w:t>
                            </w:r>
                            <w:r>
                              <w:rPr>
                                <w:color w:val="231F1F"/>
                              </w:rPr>
                              <w:t>y</w:t>
                            </w:r>
                            <w:r>
                              <w:rPr>
                                <w:color w:val="231F1F"/>
                                <w:spacing w:val="30"/>
                              </w:rPr>
                              <w:t> </w:t>
                            </w:r>
                            <w:r>
                              <w:rPr>
                                <w:color w:val="231F1F"/>
                              </w:rPr>
                              <w:t>el</w:t>
                            </w:r>
                            <w:r>
                              <w:rPr>
                                <w:color w:val="231F1F"/>
                                <w:spacing w:val="32"/>
                              </w:rPr>
                              <w:t> </w:t>
                            </w:r>
                            <w:r>
                              <w:rPr>
                                <w:color w:val="231F1F"/>
                              </w:rPr>
                              <w:t>progreso</w:t>
                            </w:r>
                            <w:r>
                              <w:rPr>
                                <w:color w:val="231F1F"/>
                                <w:spacing w:val="29"/>
                              </w:rPr>
                              <w:t> </w:t>
                            </w:r>
                            <w:r>
                              <w:rPr>
                                <w:color w:val="231F1F"/>
                              </w:rPr>
                              <w:t>de</w:t>
                            </w:r>
                            <w:r>
                              <w:rPr>
                                <w:color w:val="231F1F"/>
                                <w:spacing w:val="32"/>
                              </w:rPr>
                              <w:t> </w:t>
                            </w:r>
                            <w:r>
                              <w:rPr>
                                <w:color w:val="231F1F"/>
                              </w:rPr>
                              <w:t>la</w:t>
                            </w:r>
                            <w:r>
                              <w:rPr>
                                <w:color w:val="231F1F"/>
                                <w:spacing w:val="29"/>
                              </w:rPr>
                              <w:t> </w:t>
                            </w:r>
                            <w:r>
                              <w:rPr>
                                <w:color w:val="231F1F"/>
                              </w:rPr>
                              <w:t>primera</w:t>
                            </w:r>
                            <w:r>
                              <w:rPr>
                                <w:color w:val="231F1F"/>
                                <w:spacing w:val="32"/>
                              </w:rPr>
                              <w:t> </w:t>
                            </w:r>
                            <w:r>
                              <w:rPr>
                                <w:color w:val="231F1F"/>
                              </w:rPr>
                              <w:t>etapa</w:t>
                            </w:r>
                            <w:r>
                              <w:rPr>
                                <w:color w:val="231F1F"/>
                                <w:spacing w:val="30"/>
                              </w:rPr>
                              <w:t> </w:t>
                            </w:r>
                            <w:r>
                              <w:rPr>
                                <w:color w:val="231F1F"/>
                              </w:rPr>
                              <w:t>del</w:t>
                            </w:r>
                            <w:r>
                              <w:rPr>
                                <w:color w:val="231F1F"/>
                                <w:spacing w:val="26"/>
                              </w:rPr>
                              <w:t> </w:t>
                            </w:r>
                            <w:r>
                              <w:rPr>
                                <w:color w:val="231F1F"/>
                              </w:rPr>
                              <w:t>parto</w:t>
                            </w:r>
                            <w:r>
                              <w:rPr>
                                <w:color w:val="231F1F"/>
                                <w:spacing w:val="31"/>
                              </w:rPr>
                              <w:t> </w:t>
                            </w:r>
                            <w:r>
                              <w:rPr>
                                <w:color w:val="231F1F"/>
                              </w:rPr>
                              <w:t>en</w:t>
                            </w:r>
                            <w:r>
                              <w:rPr>
                                <w:color w:val="231F1F"/>
                                <w:spacing w:val="30"/>
                              </w:rPr>
                              <w:t> </w:t>
                            </w:r>
                            <w:r>
                              <w:rPr>
                                <w:color w:val="231F1F"/>
                              </w:rPr>
                              <w:t>los</w:t>
                            </w:r>
                            <w:r>
                              <w:rPr>
                                <w:color w:val="231F1F"/>
                                <w:spacing w:val="31"/>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3.44541pt;width:425.2pt;height:41.65pt;mso-position-horizontal-relative:page;mso-position-vertical-relative:paragraph;z-index:-15716864;mso-wrap-distance-left:0;mso-wrap-distance-right:0" type="#_x0000_t202" id="docshape46" filled="false" stroked="true" strokeweight=".5pt" strokecolor="#a30046">
                <v:textbox inset="0,0,0,0">
                  <w:txbxContent>
                    <w:p>
                      <w:pPr>
                        <w:pStyle w:val="BodyText"/>
                        <w:numPr>
                          <w:ilvl w:val="0"/>
                          <w:numId w:val="18"/>
                        </w:numPr>
                        <w:tabs>
                          <w:tab w:pos="322" w:val="left" w:leader="none"/>
                        </w:tabs>
                        <w:spacing w:line="240" w:lineRule="auto" w:before="37" w:after="0"/>
                        <w:ind w:left="322" w:right="0" w:hanging="218"/>
                        <w:jc w:val="left"/>
                      </w:pPr>
                      <w:r>
                        <w:rPr>
                          <w:color w:val="231F1F"/>
                        </w:rPr>
                        <w:t>¿Cuál</w:t>
                      </w:r>
                      <w:r>
                        <w:rPr>
                          <w:color w:val="231F1F"/>
                          <w:spacing w:val="25"/>
                        </w:rPr>
                        <w:t> </w:t>
                      </w:r>
                      <w:r>
                        <w:rPr>
                          <w:color w:val="231F1F"/>
                        </w:rPr>
                        <w:t>es</w:t>
                      </w:r>
                      <w:r>
                        <w:rPr>
                          <w:color w:val="231F1F"/>
                          <w:spacing w:val="28"/>
                        </w:rPr>
                        <w:t> </w:t>
                      </w:r>
                      <w:r>
                        <w:rPr>
                          <w:color w:val="231F1F"/>
                        </w:rPr>
                        <w:t>la</w:t>
                      </w:r>
                      <w:r>
                        <w:rPr>
                          <w:color w:val="231F1F"/>
                          <w:spacing w:val="27"/>
                        </w:rPr>
                        <w:t> </w:t>
                      </w:r>
                      <w:r>
                        <w:rPr>
                          <w:color w:val="231F1F"/>
                        </w:rPr>
                        <w:t>duración</w:t>
                      </w:r>
                      <w:r>
                        <w:rPr>
                          <w:color w:val="231F1F"/>
                          <w:spacing w:val="26"/>
                        </w:rPr>
                        <w:t> </w:t>
                      </w:r>
                      <w:r>
                        <w:rPr>
                          <w:color w:val="231F1F"/>
                        </w:rPr>
                        <w:t>de</w:t>
                      </w:r>
                      <w:r>
                        <w:rPr>
                          <w:color w:val="231F1F"/>
                          <w:spacing w:val="27"/>
                        </w:rPr>
                        <w:t> </w:t>
                      </w:r>
                      <w:r>
                        <w:rPr>
                          <w:color w:val="231F1F"/>
                        </w:rPr>
                        <w:t>la</w:t>
                      </w:r>
                      <w:r>
                        <w:rPr>
                          <w:color w:val="231F1F"/>
                          <w:spacing w:val="27"/>
                        </w:rPr>
                        <w:t> </w:t>
                      </w:r>
                      <w:r>
                        <w:rPr>
                          <w:color w:val="231F1F"/>
                        </w:rPr>
                        <w:t>fase</w:t>
                      </w:r>
                      <w:r>
                        <w:rPr>
                          <w:color w:val="231F1F"/>
                          <w:spacing w:val="26"/>
                        </w:rPr>
                        <w:t> </w:t>
                      </w:r>
                      <w:r>
                        <w:rPr>
                          <w:color w:val="231F1F"/>
                        </w:rPr>
                        <w:t>latente</w:t>
                      </w:r>
                      <w:r>
                        <w:rPr>
                          <w:color w:val="231F1F"/>
                          <w:spacing w:val="27"/>
                        </w:rPr>
                        <w:t> </w:t>
                      </w:r>
                      <w:r>
                        <w:rPr>
                          <w:color w:val="231F1F"/>
                        </w:rPr>
                        <w:t>y</w:t>
                      </w:r>
                      <w:r>
                        <w:rPr>
                          <w:color w:val="231F1F"/>
                          <w:spacing w:val="28"/>
                        </w:rPr>
                        <w:t> </w:t>
                      </w:r>
                      <w:r>
                        <w:rPr>
                          <w:color w:val="231F1F"/>
                        </w:rPr>
                        <w:t>fase</w:t>
                      </w:r>
                      <w:r>
                        <w:rPr>
                          <w:color w:val="231F1F"/>
                          <w:spacing w:val="25"/>
                        </w:rPr>
                        <w:t> </w:t>
                      </w:r>
                      <w:r>
                        <w:rPr>
                          <w:color w:val="231F1F"/>
                        </w:rPr>
                        <w:t>activa</w:t>
                      </w:r>
                      <w:r>
                        <w:rPr>
                          <w:color w:val="231F1F"/>
                          <w:spacing w:val="29"/>
                        </w:rPr>
                        <w:t> </w:t>
                      </w:r>
                      <w:r>
                        <w:rPr>
                          <w:color w:val="231F1F"/>
                        </w:rPr>
                        <w:t>de</w:t>
                      </w:r>
                      <w:r>
                        <w:rPr>
                          <w:color w:val="231F1F"/>
                          <w:spacing w:val="26"/>
                        </w:rPr>
                        <w:t> </w:t>
                      </w:r>
                      <w:r>
                        <w:rPr>
                          <w:color w:val="231F1F"/>
                        </w:rPr>
                        <w:t>la</w:t>
                      </w:r>
                      <w:r>
                        <w:rPr>
                          <w:color w:val="231F1F"/>
                          <w:spacing w:val="27"/>
                        </w:rPr>
                        <w:t> </w:t>
                      </w:r>
                      <w:r>
                        <w:rPr>
                          <w:color w:val="231F1F"/>
                        </w:rPr>
                        <w:t>primera</w:t>
                      </w:r>
                      <w:r>
                        <w:rPr>
                          <w:color w:val="231F1F"/>
                          <w:spacing w:val="27"/>
                        </w:rPr>
                        <w:t> </w:t>
                      </w:r>
                      <w:r>
                        <w:rPr>
                          <w:color w:val="231F1F"/>
                        </w:rPr>
                        <w:t>etapa</w:t>
                      </w:r>
                      <w:r>
                        <w:rPr>
                          <w:color w:val="231F1F"/>
                          <w:spacing w:val="28"/>
                        </w:rPr>
                        <w:t> </w:t>
                      </w:r>
                      <w:r>
                        <w:rPr>
                          <w:color w:val="231F1F"/>
                        </w:rPr>
                        <w:t>del</w:t>
                      </w:r>
                      <w:r>
                        <w:rPr>
                          <w:color w:val="231F1F"/>
                          <w:spacing w:val="22"/>
                        </w:rPr>
                        <w:t> </w:t>
                      </w:r>
                      <w:r>
                        <w:rPr>
                          <w:color w:val="231F1F"/>
                          <w:spacing w:val="-2"/>
                        </w:rPr>
                        <w:t>parto?</w:t>
                      </w:r>
                    </w:p>
                    <w:p>
                      <w:pPr>
                        <w:pStyle w:val="BodyText"/>
                        <w:numPr>
                          <w:ilvl w:val="0"/>
                          <w:numId w:val="18"/>
                        </w:numPr>
                        <w:tabs>
                          <w:tab w:pos="322" w:val="left" w:leader="none"/>
                        </w:tabs>
                        <w:spacing w:line="240" w:lineRule="auto" w:before="155" w:after="0"/>
                        <w:ind w:left="322" w:right="0" w:hanging="218"/>
                        <w:jc w:val="left"/>
                      </w:pPr>
                      <w:r>
                        <w:rPr>
                          <w:color w:val="231F1F"/>
                        </w:rPr>
                        <w:t>¿Influyen</w:t>
                      </w:r>
                      <w:r>
                        <w:rPr>
                          <w:color w:val="231F1F"/>
                          <w:spacing w:val="29"/>
                        </w:rPr>
                        <w:t> </w:t>
                      </w:r>
                      <w:r>
                        <w:rPr>
                          <w:color w:val="231F1F"/>
                        </w:rPr>
                        <w:t>la</w:t>
                      </w:r>
                      <w:r>
                        <w:rPr>
                          <w:color w:val="231F1F"/>
                          <w:spacing w:val="30"/>
                        </w:rPr>
                        <w:t> </w:t>
                      </w:r>
                      <w:r>
                        <w:rPr>
                          <w:color w:val="231F1F"/>
                        </w:rPr>
                        <w:t>duración</w:t>
                      </w:r>
                      <w:r>
                        <w:rPr>
                          <w:color w:val="231F1F"/>
                          <w:spacing w:val="31"/>
                        </w:rPr>
                        <w:t> </w:t>
                      </w:r>
                      <w:r>
                        <w:rPr>
                          <w:color w:val="231F1F"/>
                        </w:rPr>
                        <w:t>y</w:t>
                      </w:r>
                      <w:r>
                        <w:rPr>
                          <w:color w:val="231F1F"/>
                          <w:spacing w:val="30"/>
                        </w:rPr>
                        <w:t> </w:t>
                      </w:r>
                      <w:r>
                        <w:rPr>
                          <w:color w:val="231F1F"/>
                        </w:rPr>
                        <w:t>el</w:t>
                      </w:r>
                      <w:r>
                        <w:rPr>
                          <w:color w:val="231F1F"/>
                          <w:spacing w:val="32"/>
                        </w:rPr>
                        <w:t> </w:t>
                      </w:r>
                      <w:r>
                        <w:rPr>
                          <w:color w:val="231F1F"/>
                        </w:rPr>
                        <w:t>progreso</w:t>
                      </w:r>
                      <w:r>
                        <w:rPr>
                          <w:color w:val="231F1F"/>
                          <w:spacing w:val="29"/>
                        </w:rPr>
                        <w:t> </w:t>
                      </w:r>
                      <w:r>
                        <w:rPr>
                          <w:color w:val="231F1F"/>
                        </w:rPr>
                        <w:t>de</w:t>
                      </w:r>
                      <w:r>
                        <w:rPr>
                          <w:color w:val="231F1F"/>
                          <w:spacing w:val="32"/>
                        </w:rPr>
                        <w:t> </w:t>
                      </w:r>
                      <w:r>
                        <w:rPr>
                          <w:color w:val="231F1F"/>
                        </w:rPr>
                        <w:t>la</w:t>
                      </w:r>
                      <w:r>
                        <w:rPr>
                          <w:color w:val="231F1F"/>
                          <w:spacing w:val="29"/>
                        </w:rPr>
                        <w:t> </w:t>
                      </w:r>
                      <w:r>
                        <w:rPr>
                          <w:color w:val="231F1F"/>
                        </w:rPr>
                        <w:t>primera</w:t>
                      </w:r>
                      <w:r>
                        <w:rPr>
                          <w:color w:val="231F1F"/>
                          <w:spacing w:val="32"/>
                        </w:rPr>
                        <w:t> </w:t>
                      </w:r>
                      <w:r>
                        <w:rPr>
                          <w:color w:val="231F1F"/>
                        </w:rPr>
                        <w:t>etapa</w:t>
                      </w:r>
                      <w:r>
                        <w:rPr>
                          <w:color w:val="231F1F"/>
                          <w:spacing w:val="30"/>
                        </w:rPr>
                        <w:t> </w:t>
                      </w:r>
                      <w:r>
                        <w:rPr>
                          <w:color w:val="231F1F"/>
                        </w:rPr>
                        <w:t>del</w:t>
                      </w:r>
                      <w:r>
                        <w:rPr>
                          <w:color w:val="231F1F"/>
                          <w:spacing w:val="26"/>
                        </w:rPr>
                        <w:t> </w:t>
                      </w:r>
                      <w:r>
                        <w:rPr>
                          <w:color w:val="231F1F"/>
                        </w:rPr>
                        <w:t>parto</w:t>
                      </w:r>
                      <w:r>
                        <w:rPr>
                          <w:color w:val="231F1F"/>
                          <w:spacing w:val="31"/>
                        </w:rPr>
                        <w:t> </w:t>
                      </w:r>
                      <w:r>
                        <w:rPr>
                          <w:color w:val="231F1F"/>
                        </w:rPr>
                        <w:t>en</w:t>
                      </w:r>
                      <w:r>
                        <w:rPr>
                          <w:color w:val="231F1F"/>
                          <w:spacing w:val="30"/>
                        </w:rPr>
                        <w:t> </w:t>
                      </w:r>
                      <w:r>
                        <w:rPr>
                          <w:color w:val="231F1F"/>
                        </w:rPr>
                        <w:t>los</w:t>
                      </w:r>
                      <w:r>
                        <w:rPr>
                          <w:color w:val="231F1F"/>
                          <w:spacing w:val="31"/>
                        </w:rPr>
                        <w:t> </w:t>
                      </w:r>
                      <w:r>
                        <w:rPr>
                          <w:color w:val="231F1F"/>
                          <w:spacing w:val="-2"/>
                        </w:rPr>
                        <w:t>resultados?</w:t>
                      </w:r>
                    </w:p>
                  </w:txbxContent>
                </v:textbox>
                <v:stroke dashstyle="solid"/>
                <w10:wrap type="topAndBottom"/>
              </v:shape>
            </w:pict>
          </mc:Fallback>
        </mc:AlternateContent>
      </w:r>
    </w:p>
    <w:p>
      <w:pPr>
        <w:pStyle w:val="BodyText"/>
        <w:spacing w:line="249" w:lineRule="auto" w:before="318"/>
        <w:ind w:left="283" w:right="120"/>
        <w:jc w:val="both"/>
      </w:pPr>
      <w:r>
        <w:rPr>
          <w:color w:val="231F1F"/>
          <w:w w:val="110"/>
        </w:rPr>
        <w:t>Al considerar el parto normal, es importante definir los límites que distinguen lo que se acepta</w:t>
      </w:r>
      <w:r>
        <w:rPr>
          <w:color w:val="231F1F"/>
          <w:spacing w:val="-10"/>
          <w:w w:val="110"/>
        </w:rPr>
        <w:t> </w:t>
      </w:r>
      <w:r>
        <w:rPr>
          <w:color w:val="231F1F"/>
          <w:w w:val="110"/>
        </w:rPr>
        <w:t>como</w:t>
      </w:r>
      <w:r>
        <w:rPr>
          <w:color w:val="231F1F"/>
          <w:spacing w:val="-10"/>
          <w:w w:val="110"/>
        </w:rPr>
        <w:t> </w:t>
      </w:r>
      <w:r>
        <w:rPr>
          <w:color w:val="231F1F"/>
          <w:w w:val="110"/>
        </w:rPr>
        <w:t>duración</w:t>
      </w:r>
      <w:r>
        <w:rPr>
          <w:color w:val="231F1F"/>
          <w:spacing w:val="-10"/>
          <w:w w:val="110"/>
        </w:rPr>
        <w:t> </w:t>
      </w:r>
      <w:r>
        <w:rPr>
          <w:color w:val="231F1F"/>
          <w:w w:val="110"/>
        </w:rPr>
        <w:t>normal,</w:t>
      </w:r>
      <w:r>
        <w:rPr>
          <w:color w:val="231F1F"/>
          <w:spacing w:val="-11"/>
          <w:w w:val="110"/>
        </w:rPr>
        <w:t> </w:t>
      </w:r>
      <w:r>
        <w:rPr>
          <w:color w:val="231F1F"/>
          <w:w w:val="110"/>
        </w:rPr>
        <w:t>de</w:t>
      </w:r>
      <w:r>
        <w:rPr>
          <w:color w:val="231F1F"/>
          <w:spacing w:val="-10"/>
          <w:w w:val="110"/>
        </w:rPr>
        <w:t> </w:t>
      </w:r>
      <w:r>
        <w:rPr>
          <w:color w:val="231F1F"/>
          <w:w w:val="110"/>
        </w:rPr>
        <w:t>lo</w:t>
      </w:r>
      <w:r>
        <w:rPr>
          <w:color w:val="231F1F"/>
          <w:spacing w:val="-10"/>
          <w:w w:val="110"/>
        </w:rPr>
        <w:t> </w:t>
      </w:r>
      <w:r>
        <w:rPr>
          <w:color w:val="231F1F"/>
          <w:w w:val="110"/>
        </w:rPr>
        <w:t>que</w:t>
      </w:r>
      <w:r>
        <w:rPr>
          <w:color w:val="231F1F"/>
          <w:spacing w:val="-10"/>
          <w:w w:val="110"/>
        </w:rPr>
        <w:t> </w:t>
      </w:r>
      <w:r>
        <w:rPr>
          <w:color w:val="231F1F"/>
          <w:w w:val="110"/>
        </w:rPr>
        <w:t>puede</w:t>
      </w:r>
      <w:r>
        <w:rPr>
          <w:color w:val="231F1F"/>
          <w:spacing w:val="-10"/>
          <w:w w:val="110"/>
        </w:rPr>
        <w:t> </w:t>
      </w:r>
      <w:r>
        <w:rPr>
          <w:color w:val="231F1F"/>
          <w:w w:val="110"/>
        </w:rPr>
        <w:t>considerarse</w:t>
      </w:r>
      <w:r>
        <w:rPr>
          <w:color w:val="231F1F"/>
          <w:spacing w:val="-10"/>
          <w:w w:val="110"/>
        </w:rPr>
        <w:t> </w:t>
      </w:r>
      <w:r>
        <w:rPr>
          <w:color w:val="231F1F"/>
          <w:w w:val="110"/>
        </w:rPr>
        <w:t>una</w:t>
      </w:r>
      <w:r>
        <w:rPr>
          <w:color w:val="231F1F"/>
          <w:spacing w:val="-10"/>
          <w:w w:val="110"/>
        </w:rPr>
        <w:t> </w:t>
      </w:r>
      <w:r>
        <w:rPr>
          <w:color w:val="231F1F"/>
          <w:w w:val="110"/>
        </w:rPr>
        <w:t>duración</w:t>
      </w:r>
      <w:r>
        <w:rPr>
          <w:color w:val="231F1F"/>
          <w:spacing w:val="-10"/>
          <w:w w:val="110"/>
        </w:rPr>
        <w:t> </w:t>
      </w:r>
      <w:r>
        <w:rPr>
          <w:color w:val="231F1F"/>
          <w:w w:val="110"/>
        </w:rPr>
        <w:t>anormal.</w:t>
      </w:r>
      <w:r>
        <w:rPr>
          <w:color w:val="231F1F"/>
          <w:spacing w:val="-11"/>
          <w:w w:val="110"/>
        </w:rPr>
        <w:t> </w:t>
      </w:r>
      <w:r>
        <w:rPr>
          <w:color w:val="231F1F"/>
          <w:w w:val="110"/>
        </w:rPr>
        <w:t>Estos límites</w:t>
      </w:r>
      <w:r>
        <w:rPr>
          <w:color w:val="231F1F"/>
          <w:spacing w:val="-9"/>
          <w:w w:val="110"/>
        </w:rPr>
        <w:t> </w:t>
      </w:r>
      <w:r>
        <w:rPr>
          <w:color w:val="231F1F"/>
          <w:w w:val="110"/>
        </w:rPr>
        <w:t>se</w:t>
      </w:r>
      <w:r>
        <w:rPr>
          <w:color w:val="231F1F"/>
          <w:spacing w:val="-9"/>
          <w:w w:val="110"/>
        </w:rPr>
        <w:t> </w:t>
      </w:r>
      <w:r>
        <w:rPr>
          <w:color w:val="231F1F"/>
          <w:w w:val="110"/>
        </w:rPr>
        <w:t>pueden</w:t>
      </w:r>
      <w:r>
        <w:rPr>
          <w:color w:val="231F1F"/>
          <w:spacing w:val="-9"/>
          <w:w w:val="110"/>
        </w:rPr>
        <w:t> </w:t>
      </w:r>
      <w:r>
        <w:rPr>
          <w:color w:val="231F1F"/>
          <w:w w:val="110"/>
        </w:rPr>
        <w:t>utilizar</w:t>
      </w:r>
      <w:r>
        <w:rPr>
          <w:color w:val="231F1F"/>
          <w:spacing w:val="-9"/>
          <w:w w:val="110"/>
        </w:rPr>
        <w:t> </w:t>
      </w:r>
      <w:r>
        <w:rPr>
          <w:color w:val="231F1F"/>
          <w:w w:val="110"/>
        </w:rPr>
        <w:t>para</w:t>
      </w:r>
      <w:r>
        <w:rPr>
          <w:color w:val="231F1F"/>
          <w:spacing w:val="-9"/>
          <w:w w:val="110"/>
        </w:rPr>
        <w:t> </w:t>
      </w:r>
      <w:r>
        <w:rPr>
          <w:color w:val="231F1F"/>
          <w:w w:val="110"/>
        </w:rPr>
        <w:t>informar</w:t>
      </w:r>
      <w:r>
        <w:rPr>
          <w:color w:val="231F1F"/>
          <w:spacing w:val="-9"/>
          <w:w w:val="110"/>
        </w:rPr>
        <w:t> </w:t>
      </w:r>
      <w:r>
        <w:rPr>
          <w:color w:val="231F1F"/>
          <w:w w:val="110"/>
        </w:rPr>
        <w:t>a</w:t>
      </w:r>
      <w:r>
        <w:rPr>
          <w:color w:val="231F1F"/>
          <w:spacing w:val="-8"/>
          <w:w w:val="110"/>
        </w:rPr>
        <w:t> </w:t>
      </w:r>
      <w:r>
        <w:rPr>
          <w:color w:val="231F1F"/>
          <w:w w:val="110"/>
        </w:rPr>
        <w:t>las</w:t>
      </w:r>
      <w:r>
        <w:rPr>
          <w:color w:val="231F1F"/>
          <w:spacing w:val="-9"/>
          <w:w w:val="110"/>
        </w:rPr>
        <w:t> </w:t>
      </w:r>
      <w:r>
        <w:rPr>
          <w:color w:val="231F1F"/>
          <w:w w:val="110"/>
        </w:rPr>
        <w:t>mujeres</w:t>
      </w:r>
      <w:r>
        <w:rPr>
          <w:color w:val="231F1F"/>
          <w:spacing w:val="-8"/>
          <w:w w:val="110"/>
        </w:rPr>
        <w:t> </w:t>
      </w:r>
      <w:r>
        <w:rPr>
          <w:color w:val="231F1F"/>
          <w:w w:val="110"/>
        </w:rPr>
        <w:t>sobre</w:t>
      </w:r>
      <w:r>
        <w:rPr>
          <w:color w:val="231F1F"/>
          <w:spacing w:val="-9"/>
          <w:w w:val="110"/>
        </w:rPr>
        <w:t> </w:t>
      </w:r>
      <w:r>
        <w:rPr>
          <w:color w:val="231F1F"/>
          <w:w w:val="110"/>
        </w:rPr>
        <w:t>la</w:t>
      </w:r>
      <w:r>
        <w:rPr>
          <w:color w:val="231F1F"/>
          <w:spacing w:val="-8"/>
          <w:w w:val="110"/>
        </w:rPr>
        <w:t> </w:t>
      </w:r>
      <w:r>
        <w:rPr>
          <w:color w:val="231F1F"/>
          <w:w w:val="110"/>
        </w:rPr>
        <w:t>duración</w:t>
      </w:r>
      <w:r>
        <w:rPr>
          <w:color w:val="231F1F"/>
          <w:spacing w:val="-9"/>
          <w:w w:val="110"/>
        </w:rPr>
        <w:t> </w:t>
      </w:r>
      <w:r>
        <w:rPr>
          <w:color w:val="231F1F"/>
          <w:w w:val="110"/>
        </w:rPr>
        <w:t>posible</w:t>
      </w:r>
      <w:r>
        <w:rPr>
          <w:color w:val="231F1F"/>
          <w:spacing w:val="-8"/>
          <w:w w:val="110"/>
        </w:rPr>
        <w:t> </w:t>
      </w:r>
      <w:r>
        <w:rPr>
          <w:color w:val="231F1F"/>
          <w:w w:val="110"/>
        </w:rPr>
        <w:t>del</w:t>
      </w:r>
      <w:r>
        <w:rPr>
          <w:color w:val="231F1F"/>
          <w:spacing w:val="-9"/>
          <w:w w:val="110"/>
        </w:rPr>
        <w:t> </w:t>
      </w:r>
      <w:r>
        <w:rPr>
          <w:color w:val="231F1F"/>
          <w:w w:val="110"/>
        </w:rPr>
        <w:t>parto, </w:t>
      </w:r>
      <w:r>
        <w:rPr>
          <w:color w:val="231F1F"/>
          <w:spacing w:val="-2"/>
          <w:w w:val="110"/>
        </w:rPr>
        <w:t>detectar</w:t>
      </w:r>
      <w:r>
        <w:rPr>
          <w:color w:val="231F1F"/>
          <w:spacing w:val="-10"/>
          <w:w w:val="110"/>
        </w:rPr>
        <w:t> </w:t>
      </w:r>
      <w:r>
        <w:rPr>
          <w:color w:val="231F1F"/>
          <w:spacing w:val="-2"/>
          <w:w w:val="110"/>
        </w:rPr>
        <w:t>distocias</w:t>
      </w:r>
      <w:r>
        <w:rPr>
          <w:color w:val="231F1F"/>
          <w:spacing w:val="-10"/>
          <w:w w:val="110"/>
        </w:rPr>
        <w:t> </w:t>
      </w:r>
      <w:r>
        <w:rPr>
          <w:color w:val="231F1F"/>
          <w:spacing w:val="-2"/>
          <w:w w:val="110"/>
        </w:rPr>
        <w:t>e</w:t>
      </w:r>
      <w:r>
        <w:rPr>
          <w:color w:val="231F1F"/>
          <w:spacing w:val="-9"/>
          <w:w w:val="110"/>
        </w:rPr>
        <w:t> </w:t>
      </w:r>
      <w:r>
        <w:rPr>
          <w:color w:val="231F1F"/>
          <w:spacing w:val="-2"/>
          <w:w w:val="110"/>
        </w:rPr>
        <w:t>indicar</w:t>
      </w:r>
      <w:r>
        <w:rPr>
          <w:color w:val="231F1F"/>
          <w:spacing w:val="-10"/>
          <w:w w:val="110"/>
        </w:rPr>
        <w:t> </w:t>
      </w:r>
      <w:r>
        <w:rPr>
          <w:color w:val="231F1F"/>
          <w:spacing w:val="-2"/>
          <w:w w:val="110"/>
        </w:rPr>
        <w:t>el</w:t>
      </w:r>
      <w:r>
        <w:rPr>
          <w:color w:val="231F1F"/>
          <w:spacing w:val="-10"/>
          <w:w w:val="110"/>
        </w:rPr>
        <w:t> </w:t>
      </w:r>
      <w:r>
        <w:rPr>
          <w:color w:val="231F1F"/>
          <w:spacing w:val="-2"/>
          <w:w w:val="110"/>
        </w:rPr>
        <w:t>momento</w:t>
      </w:r>
      <w:r>
        <w:rPr>
          <w:color w:val="231F1F"/>
          <w:spacing w:val="-9"/>
          <w:w w:val="110"/>
        </w:rPr>
        <w:t> </w:t>
      </w:r>
      <w:r>
        <w:rPr>
          <w:color w:val="231F1F"/>
          <w:spacing w:val="-2"/>
          <w:w w:val="110"/>
        </w:rPr>
        <w:t>en</w:t>
      </w:r>
      <w:r>
        <w:rPr>
          <w:color w:val="231F1F"/>
          <w:spacing w:val="-9"/>
          <w:w w:val="110"/>
        </w:rPr>
        <w:t> </w:t>
      </w:r>
      <w:r>
        <w:rPr>
          <w:color w:val="231F1F"/>
          <w:spacing w:val="-2"/>
          <w:w w:val="110"/>
        </w:rPr>
        <w:t>que</w:t>
      </w:r>
      <w:r>
        <w:rPr>
          <w:color w:val="231F1F"/>
          <w:spacing w:val="-9"/>
          <w:w w:val="110"/>
        </w:rPr>
        <w:t> </w:t>
      </w:r>
      <w:r>
        <w:rPr>
          <w:color w:val="231F1F"/>
          <w:spacing w:val="-2"/>
          <w:w w:val="110"/>
        </w:rPr>
        <w:t>las</w:t>
      </w:r>
      <w:r>
        <w:rPr>
          <w:color w:val="231F1F"/>
          <w:spacing w:val="-10"/>
          <w:w w:val="110"/>
        </w:rPr>
        <w:t> </w:t>
      </w:r>
      <w:r>
        <w:rPr>
          <w:color w:val="231F1F"/>
          <w:spacing w:val="-2"/>
          <w:w w:val="110"/>
        </w:rPr>
        <w:t>matronas</w:t>
      </w:r>
      <w:r>
        <w:rPr>
          <w:color w:val="231F1F"/>
          <w:spacing w:val="-10"/>
          <w:w w:val="110"/>
        </w:rPr>
        <w:t> </w:t>
      </w:r>
      <w:r>
        <w:rPr>
          <w:color w:val="231F1F"/>
          <w:spacing w:val="-2"/>
          <w:w w:val="110"/>
        </w:rPr>
        <w:t>deben</w:t>
      </w:r>
      <w:r>
        <w:rPr>
          <w:color w:val="231F1F"/>
          <w:spacing w:val="-9"/>
          <w:w w:val="110"/>
        </w:rPr>
        <w:t> </w:t>
      </w:r>
      <w:r>
        <w:rPr>
          <w:color w:val="231F1F"/>
          <w:spacing w:val="-2"/>
          <w:w w:val="110"/>
        </w:rPr>
        <w:t>solicitar</w:t>
      </w:r>
      <w:r>
        <w:rPr>
          <w:color w:val="231F1F"/>
          <w:spacing w:val="-10"/>
          <w:w w:val="110"/>
        </w:rPr>
        <w:t> </w:t>
      </w:r>
      <w:r>
        <w:rPr>
          <w:color w:val="231F1F"/>
          <w:spacing w:val="-2"/>
          <w:w w:val="110"/>
        </w:rPr>
        <w:t>el</w:t>
      </w:r>
      <w:r>
        <w:rPr>
          <w:color w:val="231F1F"/>
          <w:spacing w:val="-10"/>
          <w:w w:val="110"/>
        </w:rPr>
        <w:t> </w:t>
      </w:r>
      <w:r>
        <w:rPr>
          <w:color w:val="231F1F"/>
          <w:spacing w:val="-2"/>
          <w:w w:val="110"/>
        </w:rPr>
        <w:t>concurso</w:t>
      </w:r>
      <w:r>
        <w:rPr>
          <w:color w:val="231F1F"/>
          <w:spacing w:val="-9"/>
          <w:w w:val="110"/>
        </w:rPr>
        <w:t> </w:t>
      </w:r>
      <w:r>
        <w:rPr>
          <w:color w:val="231F1F"/>
          <w:spacing w:val="-2"/>
          <w:w w:val="110"/>
        </w:rPr>
        <w:t>del obstetra.</w:t>
      </w:r>
    </w:p>
    <w:p>
      <w:pPr>
        <w:pStyle w:val="BodyText"/>
        <w:spacing w:line="244" w:lineRule="auto" w:before="134"/>
        <w:ind w:left="283" w:right="122" w:firstLine="453"/>
        <w:jc w:val="both"/>
      </w:pPr>
      <w:r>
        <w:rPr>
          <w:color w:val="231F1F"/>
          <w:w w:val="110"/>
        </w:rPr>
        <w:t>Clásicamente se ha considerado que la duración de la dilatación era un factor muy importante</w:t>
      </w:r>
      <w:r>
        <w:rPr>
          <w:color w:val="231F1F"/>
          <w:spacing w:val="-4"/>
          <w:w w:val="110"/>
        </w:rPr>
        <w:t> </w:t>
      </w:r>
      <w:r>
        <w:rPr>
          <w:color w:val="231F1F"/>
          <w:w w:val="110"/>
        </w:rPr>
        <w:t>y</w:t>
      </w:r>
      <w:r>
        <w:rPr>
          <w:color w:val="231F1F"/>
          <w:spacing w:val="-3"/>
          <w:w w:val="110"/>
        </w:rPr>
        <w:t> </w:t>
      </w:r>
      <w:r>
        <w:rPr>
          <w:color w:val="231F1F"/>
          <w:w w:val="110"/>
        </w:rPr>
        <w:t>comprometedor</w:t>
      </w:r>
      <w:r>
        <w:rPr>
          <w:color w:val="231F1F"/>
          <w:spacing w:val="-4"/>
          <w:w w:val="110"/>
        </w:rPr>
        <w:t> </w:t>
      </w:r>
      <w:r>
        <w:rPr>
          <w:color w:val="231F1F"/>
          <w:w w:val="110"/>
        </w:rPr>
        <w:t>para</w:t>
      </w:r>
      <w:r>
        <w:rPr>
          <w:color w:val="231F1F"/>
          <w:spacing w:val="-4"/>
          <w:w w:val="110"/>
        </w:rPr>
        <w:t> </w:t>
      </w:r>
      <w:r>
        <w:rPr>
          <w:color w:val="231F1F"/>
          <w:w w:val="110"/>
        </w:rPr>
        <w:t>la</w:t>
      </w:r>
      <w:r>
        <w:rPr>
          <w:color w:val="231F1F"/>
          <w:spacing w:val="-3"/>
          <w:w w:val="110"/>
        </w:rPr>
        <w:t> </w:t>
      </w:r>
      <w:r>
        <w:rPr>
          <w:color w:val="231F1F"/>
          <w:w w:val="110"/>
        </w:rPr>
        <w:t>salud</w:t>
      </w:r>
      <w:r>
        <w:rPr>
          <w:color w:val="231F1F"/>
          <w:spacing w:val="-4"/>
          <w:w w:val="110"/>
        </w:rPr>
        <w:t> </w:t>
      </w:r>
      <w:r>
        <w:rPr>
          <w:color w:val="231F1F"/>
          <w:w w:val="110"/>
        </w:rPr>
        <w:t>de</w:t>
      </w:r>
      <w:r>
        <w:rPr>
          <w:color w:val="231F1F"/>
          <w:spacing w:val="-3"/>
          <w:w w:val="110"/>
        </w:rPr>
        <w:t> </w:t>
      </w:r>
      <w:r>
        <w:rPr>
          <w:color w:val="231F1F"/>
          <w:w w:val="110"/>
        </w:rPr>
        <w:t>las</w:t>
      </w:r>
      <w:r>
        <w:rPr>
          <w:color w:val="231F1F"/>
          <w:spacing w:val="-4"/>
          <w:w w:val="110"/>
        </w:rPr>
        <w:t> </w:t>
      </w:r>
      <w:r>
        <w:rPr>
          <w:color w:val="231F1F"/>
          <w:w w:val="110"/>
        </w:rPr>
        <w:t>mujeres</w:t>
      </w:r>
      <w:r>
        <w:rPr>
          <w:color w:val="231F1F"/>
          <w:spacing w:val="-3"/>
          <w:w w:val="110"/>
        </w:rPr>
        <w:t> </w:t>
      </w:r>
      <w:r>
        <w:rPr>
          <w:color w:val="231F1F"/>
          <w:w w:val="110"/>
        </w:rPr>
        <w:t>y</w:t>
      </w:r>
      <w:r>
        <w:rPr>
          <w:color w:val="231F1F"/>
          <w:spacing w:val="-3"/>
          <w:w w:val="110"/>
        </w:rPr>
        <w:t> </w:t>
      </w:r>
      <w:r>
        <w:rPr>
          <w:color w:val="231F1F"/>
          <w:w w:val="110"/>
        </w:rPr>
        <w:t>los</w:t>
      </w:r>
      <w:r>
        <w:rPr>
          <w:color w:val="231F1F"/>
          <w:spacing w:val="-4"/>
          <w:w w:val="110"/>
        </w:rPr>
        <w:t> </w:t>
      </w:r>
      <w:r>
        <w:rPr>
          <w:color w:val="231F1F"/>
          <w:w w:val="110"/>
        </w:rPr>
        <w:t>resultados</w:t>
      </w:r>
      <w:r>
        <w:rPr>
          <w:color w:val="231F1F"/>
          <w:spacing w:val="-3"/>
          <w:w w:val="110"/>
        </w:rPr>
        <w:t> </w:t>
      </w:r>
      <w:r>
        <w:rPr>
          <w:color w:val="231F1F"/>
          <w:w w:val="110"/>
        </w:rPr>
        <w:t>perinatales.</w:t>
      </w:r>
      <w:r>
        <w:rPr>
          <w:color w:val="231F1F"/>
          <w:spacing w:val="-4"/>
          <w:w w:val="110"/>
        </w:rPr>
        <w:t> </w:t>
      </w:r>
      <w:r>
        <w:rPr>
          <w:color w:val="231F1F"/>
          <w:w w:val="110"/>
        </w:rPr>
        <w:t>A pesar</w:t>
      </w:r>
      <w:r>
        <w:rPr>
          <w:color w:val="231F1F"/>
          <w:spacing w:val="-9"/>
          <w:w w:val="110"/>
        </w:rPr>
        <w:t> </w:t>
      </w:r>
      <w:r>
        <w:rPr>
          <w:color w:val="231F1F"/>
          <w:w w:val="110"/>
        </w:rPr>
        <w:t>de</w:t>
      </w:r>
      <w:r>
        <w:rPr>
          <w:color w:val="231F1F"/>
          <w:spacing w:val="-8"/>
          <w:w w:val="110"/>
        </w:rPr>
        <w:t> </w:t>
      </w:r>
      <w:r>
        <w:rPr>
          <w:color w:val="231F1F"/>
          <w:w w:val="110"/>
        </w:rPr>
        <w:t>que</w:t>
      </w:r>
      <w:r>
        <w:rPr>
          <w:color w:val="231F1F"/>
          <w:spacing w:val="-8"/>
          <w:w w:val="110"/>
        </w:rPr>
        <w:t> </w:t>
      </w:r>
      <w:r>
        <w:rPr>
          <w:color w:val="231F1F"/>
          <w:w w:val="110"/>
        </w:rPr>
        <w:t>la</w:t>
      </w:r>
      <w:r>
        <w:rPr>
          <w:color w:val="231F1F"/>
          <w:spacing w:val="-8"/>
          <w:w w:val="110"/>
        </w:rPr>
        <w:t> </w:t>
      </w:r>
      <w:r>
        <w:rPr>
          <w:color w:val="231F1F"/>
          <w:w w:val="110"/>
        </w:rPr>
        <w:t>duración,</w:t>
      </w:r>
      <w:r>
        <w:rPr>
          <w:color w:val="231F1F"/>
          <w:spacing w:val="-9"/>
          <w:w w:val="110"/>
        </w:rPr>
        <w:t> </w:t>
      </w:r>
      <w:r>
        <w:rPr>
          <w:color w:val="231F1F"/>
          <w:w w:val="110"/>
        </w:rPr>
        <w:t>dentro</w:t>
      </w:r>
      <w:r>
        <w:rPr>
          <w:color w:val="231F1F"/>
          <w:spacing w:val="-9"/>
          <w:w w:val="110"/>
        </w:rPr>
        <w:t> </w:t>
      </w:r>
      <w:r>
        <w:rPr>
          <w:color w:val="231F1F"/>
          <w:w w:val="110"/>
        </w:rPr>
        <w:t>de</w:t>
      </w:r>
      <w:r>
        <w:rPr>
          <w:color w:val="231F1F"/>
          <w:spacing w:val="-8"/>
          <w:w w:val="110"/>
        </w:rPr>
        <w:t> </w:t>
      </w:r>
      <w:r>
        <w:rPr>
          <w:color w:val="231F1F"/>
          <w:w w:val="110"/>
        </w:rPr>
        <w:t>unos</w:t>
      </w:r>
      <w:r>
        <w:rPr>
          <w:color w:val="231F1F"/>
          <w:spacing w:val="-9"/>
          <w:w w:val="110"/>
        </w:rPr>
        <w:t> </w:t>
      </w:r>
      <w:r>
        <w:rPr>
          <w:color w:val="231F1F"/>
          <w:w w:val="110"/>
        </w:rPr>
        <w:t>límites,</w:t>
      </w:r>
      <w:r>
        <w:rPr>
          <w:color w:val="231F1F"/>
          <w:spacing w:val="-9"/>
          <w:w w:val="110"/>
        </w:rPr>
        <w:t> </w:t>
      </w:r>
      <w:r>
        <w:rPr>
          <w:color w:val="231F1F"/>
          <w:w w:val="110"/>
        </w:rPr>
        <w:t>parece</w:t>
      </w:r>
      <w:r>
        <w:rPr>
          <w:color w:val="231F1F"/>
          <w:spacing w:val="-9"/>
          <w:w w:val="110"/>
        </w:rPr>
        <w:t> </w:t>
      </w:r>
      <w:r>
        <w:rPr>
          <w:color w:val="231F1F"/>
          <w:w w:val="110"/>
        </w:rPr>
        <w:t>que</w:t>
      </w:r>
      <w:r>
        <w:rPr>
          <w:color w:val="231F1F"/>
          <w:spacing w:val="-8"/>
          <w:w w:val="110"/>
        </w:rPr>
        <w:t> </w:t>
      </w:r>
      <w:r>
        <w:rPr>
          <w:color w:val="231F1F"/>
          <w:w w:val="110"/>
        </w:rPr>
        <w:t>no</w:t>
      </w:r>
      <w:r>
        <w:rPr>
          <w:color w:val="231F1F"/>
          <w:spacing w:val="-8"/>
          <w:w w:val="110"/>
        </w:rPr>
        <w:t> </w:t>
      </w:r>
      <w:r>
        <w:rPr>
          <w:color w:val="231F1F"/>
          <w:w w:val="110"/>
        </w:rPr>
        <w:t>deba</w:t>
      </w:r>
      <w:r>
        <w:rPr>
          <w:color w:val="231F1F"/>
          <w:spacing w:val="-9"/>
          <w:w w:val="110"/>
        </w:rPr>
        <w:t> </w:t>
      </w:r>
      <w:r>
        <w:rPr>
          <w:color w:val="231F1F"/>
          <w:w w:val="110"/>
        </w:rPr>
        <w:t>constituir</w:t>
      </w:r>
      <w:r>
        <w:rPr>
          <w:color w:val="231F1F"/>
          <w:spacing w:val="-9"/>
          <w:w w:val="110"/>
        </w:rPr>
        <w:t> </w:t>
      </w:r>
      <w:r>
        <w:rPr>
          <w:color w:val="231F1F"/>
          <w:w w:val="110"/>
        </w:rPr>
        <w:t>a</w:t>
      </w:r>
      <w:r>
        <w:rPr>
          <w:color w:val="231F1F"/>
          <w:spacing w:val="-8"/>
          <w:w w:val="110"/>
        </w:rPr>
        <w:t> </w:t>
      </w:r>
      <w:r>
        <w:rPr>
          <w:color w:val="231F1F"/>
          <w:w w:val="110"/>
        </w:rPr>
        <w:t>la</w:t>
      </w:r>
      <w:r>
        <w:rPr>
          <w:color w:val="231F1F"/>
          <w:spacing w:val="-8"/>
          <w:w w:val="110"/>
        </w:rPr>
        <w:t> </w:t>
      </w:r>
      <w:r>
        <w:rPr>
          <w:color w:val="231F1F"/>
          <w:w w:val="110"/>
        </w:rPr>
        <w:t>luz</w:t>
      </w:r>
      <w:r>
        <w:rPr>
          <w:color w:val="231F1F"/>
          <w:spacing w:val="-8"/>
          <w:w w:val="110"/>
        </w:rPr>
        <w:t> </w:t>
      </w:r>
      <w:r>
        <w:rPr>
          <w:color w:val="231F1F"/>
          <w:w w:val="110"/>
        </w:rPr>
        <w:t>de los</w:t>
      </w:r>
      <w:r>
        <w:rPr>
          <w:color w:val="231F1F"/>
          <w:spacing w:val="-8"/>
          <w:w w:val="110"/>
        </w:rPr>
        <w:t> </w:t>
      </w:r>
      <w:r>
        <w:rPr>
          <w:color w:val="231F1F"/>
          <w:w w:val="110"/>
        </w:rPr>
        <w:t>conocimientos</w:t>
      </w:r>
      <w:r>
        <w:rPr>
          <w:color w:val="231F1F"/>
          <w:spacing w:val="-8"/>
          <w:w w:val="110"/>
        </w:rPr>
        <w:t> </w:t>
      </w:r>
      <w:r>
        <w:rPr>
          <w:color w:val="231F1F"/>
          <w:w w:val="110"/>
        </w:rPr>
        <w:t>actuales</w:t>
      </w:r>
      <w:r>
        <w:rPr>
          <w:color w:val="231F1F"/>
          <w:spacing w:val="-8"/>
          <w:w w:val="110"/>
        </w:rPr>
        <w:t> </w:t>
      </w:r>
      <w:r>
        <w:rPr>
          <w:color w:val="231F1F"/>
          <w:w w:val="110"/>
        </w:rPr>
        <w:t>un</w:t>
      </w:r>
      <w:r>
        <w:rPr>
          <w:color w:val="231F1F"/>
          <w:spacing w:val="-7"/>
          <w:w w:val="110"/>
        </w:rPr>
        <w:t> </w:t>
      </w:r>
      <w:r>
        <w:rPr>
          <w:color w:val="231F1F"/>
          <w:w w:val="110"/>
        </w:rPr>
        <w:t>factor</w:t>
      </w:r>
      <w:r>
        <w:rPr>
          <w:color w:val="231F1F"/>
          <w:spacing w:val="-7"/>
          <w:w w:val="110"/>
        </w:rPr>
        <w:t> </w:t>
      </w:r>
      <w:r>
        <w:rPr>
          <w:color w:val="231F1F"/>
          <w:w w:val="110"/>
        </w:rPr>
        <w:t>clave</w:t>
      </w:r>
      <w:r>
        <w:rPr>
          <w:color w:val="231F1F"/>
          <w:spacing w:val="-7"/>
          <w:w w:val="110"/>
        </w:rPr>
        <w:t> </w:t>
      </w:r>
      <w:r>
        <w:rPr>
          <w:color w:val="231F1F"/>
          <w:w w:val="110"/>
        </w:rPr>
        <w:t>de</w:t>
      </w:r>
      <w:r>
        <w:rPr>
          <w:color w:val="231F1F"/>
          <w:spacing w:val="-7"/>
          <w:w w:val="110"/>
        </w:rPr>
        <w:t> </w:t>
      </w:r>
      <w:r>
        <w:rPr>
          <w:color w:val="231F1F"/>
          <w:w w:val="110"/>
        </w:rPr>
        <w:t>preocupación,</w:t>
      </w:r>
      <w:r>
        <w:rPr>
          <w:color w:val="231F1F"/>
          <w:spacing w:val="-9"/>
          <w:w w:val="110"/>
        </w:rPr>
        <w:t> </w:t>
      </w:r>
      <w:r>
        <w:rPr>
          <w:color w:val="231F1F"/>
          <w:w w:val="110"/>
        </w:rPr>
        <w:t>su</w:t>
      </w:r>
      <w:r>
        <w:rPr>
          <w:color w:val="231F1F"/>
          <w:spacing w:val="-7"/>
          <w:w w:val="110"/>
        </w:rPr>
        <w:t> </w:t>
      </w:r>
      <w:r>
        <w:rPr>
          <w:color w:val="231F1F"/>
          <w:w w:val="110"/>
        </w:rPr>
        <w:t>prolongación</w:t>
      </w:r>
      <w:r>
        <w:rPr>
          <w:color w:val="231F1F"/>
          <w:spacing w:val="-8"/>
          <w:w w:val="110"/>
        </w:rPr>
        <w:t> </w:t>
      </w:r>
      <w:r>
        <w:rPr>
          <w:color w:val="231F1F"/>
          <w:w w:val="110"/>
        </w:rPr>
        <w:t>más</w:t>
      </w:r>
      <w:r>
        <w:rPr>
          <w:color w:val="231F1F"/>
          <w:spacing w:val="-7"/>
          <w:w w:val="110"/>
        </w:rPr>
        <w:t> </w:t>
      </w:r>
      <w:r>
        <w:rPr>
          <w:color w:val="231F1F"/>
          <w:w w:val="110"/>
        </w:rPr>
        <w:t>allá</w:t>
      </w:r>
      <w:r>
        <w:rPr>
          <w:color w:val="231F1F"/>
          <w:spacing w:val="-8"/>
          <w:w w:val="110"/>
        </w:rPr>
        <w:t> </w:t>
      </w:r>
      <w:r>
        <w:rPr>
          <w:color w:val="231F1F"/>
          <w:w w:val="110"/>
        </w:rPr>
        <w:t>de ellos podría constituir la señal de algún problema.</w:t>
      </w:r>
    </w:p>
    <w:p>
      <w:pPr>
        <w:pStyle w:val="BodyText"/>
        <w:spacing w:before="170"/>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2" w:lineRule="auto" w:before="209"/>
        <w:ind w:left="283" w:right="1371"/>
        <w:jc w:val="both"/>
      </w:pPr>
      <w:r>
        <w:rPr>
          <w:color w:val="231F1F"/>
          <w:w w:val="110"/>
        </w:rPr>
        <w:t>La</w:t>
      </w:r>
      <w:r>
        <w:rPr>
          <w:color w:val="231F1F"/>
          <w:spacing w:val="-8"/>
          <w:w w:val="110"/>
        </w:rPr>
        <w:t> </w:t>
      </w:r>
      <w:r>
        <w:rPr>
          <w:color w:val="231F1F"/>
          <w:w w:val="110"/>
        </w:rPr>
        <w:t>guía</w:t>
      </w:r>
      <w:r>
        <w:rPr>
          <w:color w:val="231F1F"/>
          <w:spacing w:val="-8"/>
          <w:w w:val="110"/>
        </w:rPr>
        <w:t> </w:t>
      </w:r>
      <w:r>
        <w:rPr>
          <w:color w:val="231F1F"/>
          <w:w w:val="110"/>
        </w:rPr>
        <w:t>NICE</w:t>
      </w:r>
      <w:r>
        <w:rPr>
          <w:color w:val="231F1F"/>
          <w:spacing w:val="-8"/>
          <w:w w:val="110"/>
        </w:rPr>
        <w:t> </w:t>
      </w:r>
      <w:r>
        <w:rPr>
          <w:color w:val="231F1F"/>
          <w:w w:val="110"/>
        </w:rPr>
        <w:t>(10)</w:t>
      </w:r>
      <w:r>
        <w:rPr>
          <w:color w:val="231F1F"/>
          <w:spacing w:val="-8"/>
          <w:w w:val="110"/>
        </w:rPr>
        <w:t> </w:t>
      </w:r>
      <w:r>
        <w:rPr>
          <w:color w:val="231F1F"/>
          <w:w w:val="110"/>
        </w:rPr>
        <w:t>identificó</w:t>
      </w:r>
      <w:r>
        <w:rPr>
          <w:color w:val="231F1F"/>
          <w:spacing w:val="-8"/>
          <w:w w:val="110"/>
        </w:rPr>
        <w:t> </w:t>
      </w:r>
      <w:r>
        <w:rPr>
          <w:color w:val="231F1F"/>
          <w:w w:val="110"/>
        </w:rPr>
        <w:t>entre</w:t>
      </w:r>
      <w:r>
        <w:rPr>
          <w:color w:val="231F1F"/>
          <w:spacing w:val="-8"/>
          <w:w w:val="110"/>
        </w:rPr>
        <w:t> </w:t>
      </w:r>
      <w:r>
        <w:rPr>
          <w:color w:val="231F1F"/>
          <w:w w:val="110"/>
        </w:rPr>
        <w:t>otros,</w:t>
      </w:r>
      <w:r>
        <w:rPr>
          <w:color w:val="231F1F"/>
          <w:spacing w:val="-9"/>
          <w:w w:val="110"/>
        </w:rPr>
        <w:t> </w:t>
      </w:r>
      <w:r>
        <w:rPr>
          <w:color w:val="231F1F"/>
          <w:w w:val="110"/>
        </w:rPr>
        <w:t>seis</w:t>
      </w:r>
      <w:r>
        <w:rPr>
          <w:color w:val="231F1F"/>
          <w:spacing w:val="-9"/>
          <w:w w:val="110"/>
        </w:rPr>
        <w:t> </w:t>
      </w:r>
      <w:r>
        <w:rPr>
          <w:color w:val="231F1F"/>
          <w:w w:val="110"/>
        </w:rPr>
        <w:t>estudios</w:t>
      </w:r>
      <w:r>
        <w:rPr>
          <w:color w:val="231F1F"/>
          <w:spacing w:val="-8"/>
          <w:w w:val="110"/>
        </w:rPr>
        <w:t> </w:t>
      </w:r>
      <w:r>
        <w:rPr>
          <w:color w:val="231F1F"/>
          <w:w w:val="110"/>
        </w:rPr>
        <w:t>que</w:t>
      </w:r>
      <w:r>
        <w:rPr>
          <w:color w:val="231F1F"/>
          <w:spacing w:val="-8"/>
          <w:w w:val="110"/>
        </w:rPr>
        <w:t> </w:t>
      </w:r>
      <w:r>
        <w:rPr>
          <w:color w:val="231F1F"/>
          <w:w w:val="110"/>
        </w:rPr>
        <w:t>describían</w:t>
      </w:r>
      <w:r>
        <w:rPr>
          <w:color w:val="231F1F"/>
          <w:spacing w:val="-8"/>
          <w:w w:val="110"/>
        </w:rPr>
        <w:t> </w:t>
      </w:r>
      <w:r>
        <w:rPr>
          <w:color w:val="231F1F"/>
          <w:w w:val="110"/>
        </w:rPr>
        <w:t>la</w:t>
      </w:r>
      <w:r>
        <w:rPr>
          <w:color w:val="231F1F"/>
          <w:spacing w:val="-8"/>
          <w:w w:val="110"/>
        </w:rPr>
        <w:t> </w:t>
      </w:r>
      <w:r>
        <w:rPr>
          <w:color w:val="231F1F"/>
          <w:w w:val="110"/>
        </w:rPr>
        <w:t>du- ración</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primera</w:t>
      </w:r>
      <w:r>
        <w:rPr>
          <w:color w:val="231F1F"/>
          <w:spacing w:val="-7"/>
          <w:w w:val="110"/>
        </w:rPr>
        <w:t> </w:t>
      </w:r>
      <w:r>
        <w:rPr>
          <w:color w:val="231F1F"/>
          <w:w w:val="110"/>
        </w:rPr>
        <w:t>etapa</w:t>
      </w:r>
      <w:r>
        <w:rPr>
          <w:color w:val="231F1F"/>
          <w:spacing w:val="-7"/>
          <w:w w:val="110"/>
        </w:rPr>
        <w:t> </w:t>
      </w:r>
      <w:r>
        <w:rPr>
          <w:color w:val="231F1F"/>
          <w:w w:val="110"/>
        </w:rPr>
        <w:t>del</w:t>
      </w:r>
      <w:r>
        <w:rPr>
          <w:color w:val="231F1F"/>
          <w:spacing w:val="-8"/>
          <w:w w:val="110"/>
        </w:rPr>
        <w:t> </w:t>
      </w:r>
      <w:r>
        <w:rPr>
          <w:color w:val="231F1F"/>
          <w:w w:val="110"/>
        </w:rPr>
        <w:t>parto</w:t>
      </w:r>
      <w:r>
        <w:rPr>
          <w:color w:val="231F1F"/>
          <w:spacing w:val="-7"/>
          <w:w w:val="110"/>
        </w:rPr>
        <w:t> </w:t>
      </w:r>
      <w:r>
        <w:rPr>
          <w:color w:val="231F1F"/>
          <w:w w:val="110"/>
        </w:rPr>
        <w:t>ó</w:t>
      </w:r>
      <w:r>
        <w:rPr>
          <w:color w:val="231F1F"/>
          <w:spacing w:val="-7"/>
          <w:w w:val="110"/>
        </w:rPr>
        <w:t> </w:t>
      </w:r>
      <w:r>
        <w:rPr>
          <w:color w:val="231F1F"/>
          <w:w w:val="110"/>
        </w:rPr>
        <w:t>evaluaban</w:t>
      </w:r>
      <w:r>
        <w:rPr>
          <w:color w:val="231F1F"/>
          <w:spacing w:val="-7"/>
          <w:w w:val="110"/>
        </w:rPr>
        <w:t> </w:t>
      </w:r>
      <w:r>
        <w:rPr>
          <w:color w:val="231F1F"/>
          <w:w w:val="110"/>
        </w:rPr>
        <w:t>el</w:t>
      </w:r>
      <w:r>
        <w:rPr>
          <w:color w:val="231F1F"/>
          <w:spacing w:val="-7"/>
          <w:w w:val="110"/>
        </w:rPr>
        <w:t> </w:t>
      </w:r>
      <w:r>
        <w:rPr>
          <w:color w:val="231F1F"/>
          <w:w w:val="110"/>
        </w:rPr>
        <w:t>efecto</w:t>
      </w:r>
      <w:r>
        <w:rPr>
          <w:color w:val="231F1F"/>
          <w:spacing w:val="-7"/>
          <w:w w:val="110"/>
        </w:rPr>
        <w:t> </w:t>
      </w:r>
      <w:r>
        <w:rPr>
          <w:color w:val="231F1F"/>
          <w:w w:val="110"/>
        </w:rPr>
        <w:t>del</w:t>
      </w:r>
      <w:r>
        <w:rPr>
          <w:color w:val="231F1F"/>
          <w:spacing w:val="-8"/>
          <w:w w:val="110"/>
        </w:rPr>
        <w:t> </w:t>
      </w:r>
      <w:r>
        <w:rPr>
          <w:color w:val="231F1F"/>
          <w:w w:val="110"/>
        </w:rPr>
        <w:t>progreso</w:t>
      </w:r>
      <w:r>
        <w:rPr>
          <w:color w:val="231F1F"/>
          <w:spacing w:val="-7"/>
          <w:w w:val="110"/>
        </w:rPr>
        <w:t> </w:t>
      </w:r>
      <w:r>
        <w:rPr>
          <w:color w:val="231F1F"/>
          <w:w w:val="110"/>
        </w:rPr>
        <w:t>de</w:t>
      </w:r>
      <w:r>
        <w:rPr>
          <w:color w:val="231F1F"/>
          <w:spacing w:val="-7"/>
          <w:w w:val="110"/>
        </w:rPr>
        <w:t> </w:t>
      </w:r>
      <w:r>
        <w:rPr>
          <w:color w:val="231F1F"/>
          <w:w w:val="110"/>
        </w:rPr>
        <w:t>la </w:t>
      </w:r>
      <w:r>
        <w:rPr>
          <w:color w:val="231F1F"/>
        </w:rPr>
        <w:t>primera</w:t>
      </w:r>
      <w:r>
        <w:rPr>
          <w:color w:val="231F1F"/>
          <w:spacing w:val="37"/>
        </w:rPr>
        <w:t> </w:t>
      </w:r>
      <w:r>
        <w:rPr>
          <w:color w:val="231F1F"/>
        </w:rPr>
        <w:t>etapa</w:t>
      </w:r>
      <w:r>
        <w:rPr>
          <w:color w:val="231F1F"/>
          <w:spacing w:val="37"/>
        </w:rPr>
        <w:t> </w:t>
      </w:r>
      <w:r>
        <w:rPr>
          <w:color w:val="231F1F"/>
        </w:rPr>
        <w:t>sobre</w:t>
      </w:r>
      <w:r>
        <w:rPr>
          <w:color w:val="231F1F"/>
          <w:spacing w:val="37"/>
        </w:rPr>
        <w:t> </w:t>
      </w:r>
      <w:r>
        <w:rPr>
          <w:color w:val="231F1F"/>
        </w:rPr>
        <w:t>los</w:t>
      </w:r>
      <w:r>
        <w:rPr>
          <w:color w:val="231F1F"/>
          <w:spacing w:val="37"/>
        </w:rPr>
        <w:t> </w:t>
      </w:r>
      <w:r>
        <w:rPr>
          <w:color w:val="231F1F"/>
        </w:rPr>
        <w:t>resultados</w:t>
      </w:r>
      <w:r>
        <w:rPr>
          <w:color w:val="231F1F"/>
          <w:spacing w:val="37"/>
        </w:rPr>
        <w:t> </w:t>
      </w:r>
      <w:r>
        <w:rPr>
          <w:color w:val="231F1F"/>
        </w:rPr>
        <w:t>obstétricos</w:t>
      </w:r>
      <w:r>
        <w:rPr>
          <w:color w:val="231F1F"/>
          <w:spacing w:val="37"/>
        </w:rPr>
        <w:t> </w:t>
      </w:r>
      <w:r>
        <w:rPr>
          <w:color w:val="231F1F"/>
        </w:rPr>
        <w:t>y</w:t>
      </w:r>
      <w:r>
        <w:rPr>
          <w:color w:val="231F1F"/>
          <w:spacing w:val="37"/>
        </w:rPr>
        <w:t> </w:t>
      </w:r>
      <w:r>
        <w:rPr>
          <w:color w:val="231F1F"/>
        </w:rPr>
        <w:t>clínicos,</w:t>
      </w:r>
      <w:r>
        <w:rPr>
          <w:color w:val="231F1F"/>
          <w:spacing w:val="37"/>
        </w:rPr>
        <w:t> </w:t>
      </w:r>
      <w:r>
        <w:rPr>
          <w:color w:val="231F1F"/>
        </w:rPr>
        <w:t>así</w:t>
      </w:r>
      <w:r>
        <w:rPr>
          <w:color w:val="231F1F"/>
          <w:spacing w:val="37"/>
        </w:rPr>
        <w:t> </w:t>
      </w:r>
      <w:r>
        <w:rPr>
          <w:color w:val="231F1F"/>
        </w:rPr>
        <w:t>como</w:t>
      </w:r>
      <w:r>
        <w:rPr>
          <w:color w:val="231F1F"/>
          <w:spacing w:val="37"/>
        </w:rPr>
        <w:t> </w:t>
      </w:r>
      <w:r>
        <w:rPr>
          <w:color w:val="231F1F"/>
        </w:rPr>
        <w:t>su</w:t>
      </w:r>
      <w:r>
        <w:rPr>
          <w:color w:val="231F1F"/>
          <w:spacing w:val="37"/>
        </w:rPr>
        <w:t> </w:t>
      </w:r>
      <w:r>
        <w:rPr>
          <w:color w:val="231F1F"/>
        </w:rPr>
        <w:t>impacto </w:t>
      </w:r>
      <w:r>
        <w:rPr>
          <w:color w:val="231F1F"/>
          <w:w w:val="110"/>
        </w:rPr>
        <w:t>en diferentes factores asociados con la duración del parto.</w:t>
      </w:r>
    </w:p>
    <w:p>
      <w:pPr>
        <w:pStyle w:val="BodyText"/>
        <w:spacing w:before="85"/>
        <w:ind w:left="736"/>
        <w:jc w:val="both"/>
        <w:rPr>
          <w:rFonts w:ascii="Arial MT" w:hAnsi="Arial MT"/>
          <w:sz w:val="18"/>
        </w:rPr>
      </w:pPr>
      <w:r>
        <w:rPr>
          <w:color w:val="231F1F"/>
          <w:spacing w:val="-2"/>
          <w:w w:val="110"/>
        </w:rPr>
        <w:t>El</w:t>
      </w:r>
      <w:r>
        <w:rPr>
          <w:color w:val="231F1F"/>
          <w:spacing w:val="-22"/>
          <w:w w:val="110"/>
        </w:rPr>
        <w:t> </w:t>
      </w:r>
      <w:r>
        <w:rPr>
          <w:color w:val="231F1F"/>
          <w:spacing w:val="-2"/>
          <w:w w:val="110"/>
        </w:rPr>
        <w:t>estudio</w:t>
      </w:r>
      <w:r>
        <w:rPr>
          <w:color w:val="231F1F"/>
          <w:spacing w:val="-20"/>
          <w:w w:val="110"/>
        </w:rPr>
        <w:t> </w:t>
      </w:r>
      <w:r>
        <w:rPr>
          <w:color w:val="231F1F"/>
          <w:spacing w:val="-2"/>
          <w:w w:val="110"/>
        </w:rPr>
        <w:t>más</w:t>
      </w:r>
      <w:r>
        <w:rPr>
          <w:color w:val="231F1F"/>
          <w:spacing w:val="-22"/>
          <w:w w:val="110"/>
        </w:rPr>
        <w:t> </w:t>
      </w:r>
      <w:r>
        <w:rPr>
          <w:color w:val="231F1F"/>
          <w:spacing w:val="-2"/>
          <w:w w:val="110"/>
        </w:rPr>
        <w:t>grande</w:t>
      </w:r>
      <w:r>
        <w:rPr>
          <w:color w:val="231F1F"/>
          <w:spacing w:val="-20"/>
          <w:w w:val="110"/>
        </w:rPr>
        <w:t> </w:t>
      </w:r>
      <w:r>
        <w:rPr>
          <w:color w:val="231F1F"/>
          <w:spacing w:val="-2"/>
          <w:w w:val="110"/>
        </w:rPr>
        <w:t>de</w:t>
      </w:r>
      <w:r>
        <w:rPr>
          <w:color w:val="231F1F"/>
          <w:spacing w:val="-22"/>
          <w:w w:val="110"/>
        </w:rPr>
        <w:t> </w:t>
      </w:r>
      <w:r>
        <w:rPr>
          <w:color w:val="231F1F"/>
          <w:spacing w:val="-2"/>
          <w:w w:val="110"/>
        </w:rPr>
        <w:t>entre</w:t>
      </w:r>
      <w:r>
        <w:rPr>
          <w:color w:val="231F1F"/>
          <w:spacing w:val="-19"/>
          <w:w w:val="110"/>
        </w:rPr>
        <w:t> </w:t>
      </w:r>
      <w:r>
        <w:rPr>
          <w:color w:val="231F1F"/>
          <w:spacing w:val="-2"/>
          <w:w w:val="110"/>
        </w:rPr>
        <w:t>los</w:t>
      </w:r>
      <w:r>
        <w:rPr>
          <w:color w:val="231F1F"/>
          <w:spacing w:val="-22"/>
          <w:w w:val="110"/>
        </w:rPr>
        <w:t> </w:t>
      </w:r>
      <w:r>
        <w:rPr>
          <w:color w:val="231F1F"/>
          <w:spacing w:val="-2"/>
          <w:w w:val="110"/>
        </w:rPr>
        <w:t>que</w:t>
      </w:r>
      <w:r>
        <w:rPr>
          <w:color w:val="231F1F"/>
          <w:spacing w:val="-20"/>
          <w:w w:val="110"/>
        </w:rPr>
        <w:t> </w:t>
      </w:r>
      <w:r>
        <w:rPr>
          <w:color w:val="231F1F"/>
          <w:spacing w:val="-2"/>
          <w:w w:val="110"/>
        </w:rPr>
        <w:t>describieron</w:t>
      </w:r>
      <w:r>
        <w:rPr>
          <w:color w:val="231F1F"/>
          <w:spacing w:val="-22"/>
          <w:w w:val="110"/>
        </w:rPr>
        <w:t> </w:t>
      </w:r>
      <w:r>
        <w:rPr>
          <w:color w:val="231F1F"/>
          <w:spacing w:val="-2"/>
          <w:w w:val="110"/>
        </w:rPr>
        <w:t>la</w:t>
      </w:r>
      <w:r>
        <w:rPr>
          <w:color w:val="231F1F"/>
          <w:spacing w:val="-20"/>
          <w:w w:val="110"/>
        </w:rPr>
        <w:t> </w:t>
      </w:r>
      <w:r>
        <w:rPr>
          <w:color w:val="231F1F"/>
          <w:spacing w:val="-2"/>
          <w:w w:val="110"/>
        </w:rPr>
        <w:t>duración</w:t>
      </w:r>
      <w:r>
        <w:rPr>
          <w:color w:val="231F1F"/>
          <w:spacing w:val="-21"/>
          <w:w w:val="110"/>
        </w:rPr>
        <w:t> </w:t>
      </w:r>
      <w:r>
        <w:rPr>
          <w:color w:val="231F1F"/>
          <w:spacing w:val="-2"/>
          <w:w w:val="110"/>
        </w:rPr>
        <w:t>del</w:t>
      </w:r>
      <w:r>
        <w:rPr>
          <w:color w:val="231F1F"/>
          <w:spacing w:val="-22"/>
          <w:w w:val="110"/>
        </w:rPr>
        <w:t> </w:t>
      </w:r>
      <w:r>
        <w:rPr>
          <w:color w:val="231F1F"/>
          <w:spacing w:val="-2"/>
          <w:w w:val="110"/>
        </w:rPr>
        <w:t>parto</w:t>
      </w:r>
      <w:r>
        <w:rPr>
          <w:color w:val="231F1F"/>
          <w:spacing w:val="52"/>
          <w:w w:val="110"/>
        </w:rPr>
        <w:t>  </w:t>
      </w:r>
      <w:r>
        <w:rPr>
          <w:rFonts w:ascii="Arial MT" w:hAnsi="Arial MT"/>
          <w:color w:val="231F1F"/>
          <w:spacing w:val="-2"/>
          <w:w w:val="110"/>
          <w:sz w:val="18"/>
        </w:rPr>
        <w:t>Series</w:t>
      </w:r>
      <w:r>
        <w:rPr>
          <w:rFonts w:ascii="Arial MT" w:hAnsi="Arial MT"/>
          <w:color w:val="231F1F"/>
          <w:spacing w:val="-5"/>
          <w:w w:val="110"/>
          <w:sz w:val="18"/>
        </w:rPr>
        <w:t> de</w:t>
      </w:r>
    </w:p>
    <w:p>
      <w:pPr>
        <w:pStyle w:val="BodyText"/>
        <w:spacing w:after="0"/>
        <w:jc w:val="both"/>
        <w:rPr>
          <w:rFonts w:ascii="Arial MT" w:hAnsi="Arial MT"/>
          <w:sz w:val="18"/>
        </w:rPr>
        <w:sectPr>
          <w:pgSz w:w="11900" w:h="16840"/>
          <w:pgMar w:header="0" w:footer="622" w:top="1560" w:bottom="820" w:left="1417" w:right="1559"/>
        </w:sectPr>
      </w:pPr>
    </w:p>
    <w:p>
      <w:pPr>
        <w:pStyle w:val="BodyText"/>
        <w:spacing w:line="247" w:lineRule="auto" w:before="11"/>
        <w:ind w:left="283" w:right="38"/>
        <w:jc w:val="both"/>
      </w:pPr>
      <w:r>
        <w:rPr>
          <w:color w:val="231F1F"/>
          <w:w w:val="105"/>
        </w:rPr>
        <w:t>(23)</w:t>
      </w:r>
      <w:r>
        <w:rPr>
          <w:color w:val="231F1F"/>
          <w:w w:val="105"/>
        </w:rPr>
        <w:t> incluyó</w:t>
      </w:r>
      <w:r>
        <w:rPr>
          <w:color w:val="231F1F"/>
          <w:w w:val="105"/>
        </w:rPr>
        <w:t> datos</w:t>
      </w:r>
      <w:r>
        <w:rPr>
          <w:color w:val="231F1F"/>
          <w:w w:val="105"/>
        </w:rPr>
        <w:t> de</w:t>
      </w:r>
      <w:r>
        <w:rPr>
          <w:color w:val="231F1F"/>
          <w:w w:val="105"/>
        </w:rPr>
        <w:t> 6.991</w:t>
      </w:r>
      <w:r>
        <w:rPr>
          <w:color w:val="231F1F"/>
          <w:w w:val="105"/>
        </w:rPr>
        <w:t> mujeres</w:t>
      </w:r>
      <w:r>
        <w:rPr>
          <w:color w:val="231F1F"/>
          <w:w w:val="105"/>
        </w:rPr>
        <w:t> del</w:t>
      </w:r>
      <w:r>
        <w:rPr>
          <w:color w:val="231F1F"/>
          <w:w w:val="105"/>
        </w:rPr>
        <w:t> Reino</w:t>
      </w:r>
      <w:r>
        <w:rPr>
          <w:color w:val="231F1F"/>
          <w:w w:val="105"/>
        </w:rPr>
        <w:t> Unido</w:t>
      </w:r>
      <w:r>
        <w:rPr>
          <w:color w:val="231F1F"/>
          <w:w w:val="105"/>
        </w:rPr>
        <w:t> que</w:t>
      </w:r>
      <w:r>
        <w:rPr>
          <w:color w:val="231F1F"/>
          <w:w w:val="105"/>
        </w:rPr>
        <w:t> tuvieron</w:t>
      </w:r>
      <w:r>
        <w:rPr>
          <w:color w:val="231F1F"/>
          <w:w w:val="105"/>
        </w:rPr>
        <w:t> un</w:t>
      </w:r>
      <w:r>
        <w:rPr>
          <w:color w:val="231F1F"/>
          <w:w w:val="105"/>
        </w:rPr>
        <w:t> parto</w:t>
      </w:r>
      <w:r>
        <w:rPr>
          <w:color w:val="231F1F"/>
          <w:spacing w:val="80"/>
          <w:w w:val="105"/>
        </w:rPr>
        <w:t> </w:t>
      </w:r>
      <w:r>
        <w:rPr>
          <w:color w:val="231F1F"/>
          <w:w w:val="105"/>
        </w:rPr>
        <w:t>sin</w:t>
      </w:r>
      <w:r>
        <w:rPr>
          <w:color w:val="231F1F"/>
          <w:spacing w:val="-1"/>
          <w:w w:val="105"/>
        </w:rPr>
        <w:t> </w:t>
      </w:r>
      <w:r>
        <w:rPr>
          <w:color w:val="231F1F"/>
          <w:w w:val="105"/>
        </w:rPr>
        <w:t>complicaciones entre</w:t>
      </w:r>
      <w:r>
        <w:rPr>
          <w:color w:val="231F1F"/>
          <w:spacing w:val="-1"/>
          <w:w w:val="105"/>
        </w:rPr>
        <w:t> </w:t>
      </w:r>
      <w:r>
        <w:rPr>
          <w:color w:val="231F1F"/>
          <w:w w:val="105"/>
        </w:rPr>
        <w:t>los</w:t>
      </w:r>
      <w:r>
        <w:rPr>
          <w:color w:val="231F1F"/>
          <w:spacing w:val="-1"/>
          <w:w w:val="105"/>
        </w:rPr>
        <w:t> </w:t>
      </w:r>
      <w:r>
        <w:rPr>
          <w:color w:val="231F1F"/>
          <w:w w:val="105"/>
        </w:rPr>
        <w:t>años</w:t>
      </w:r>
      <w:r>
        <w:rPr>
          <w:color w:val="231F1F"/>
          <w:spacing w:val="-1"/>
          <w:w w:val="105"/>
        </w:rPr>
        <w:t> </w:t>
      </w:r>
      <w:r>
        <w:rPr>
          <w:color w:val="231F1F"/>
          <w:w w:val="105"/>
        </w:rPr>
        <w:t>1978</w:t>
      </w:r>
      <w:r>
        <w:rPr>
          <w:color w:val="231F1F"/>
          <w:spacing w:val="-1"/>
          <w:w w:val="105"/>
        </w:rPr>
        <w:t> </w:t>
      </w:r>
      <w:r>
        <w:rPr>
          <w:color w:val="231F1F"/>
          <w:w w:val="105"/>
        </w:rPr>
        <w:t>y</w:t>
      </w:r>
      <w:r>
        <w:rPr>
          <w:color w:val="231F1F"/>
          <w:spacing w:val="-1"/>
          <w:w w:val="105"/>
        </w:rPr>
        <w:t> </w:t>
      </w:r>
      <w:r>
        <w:rPr>
          <w:color w:val="231F1F"/>
          <w:w w:val="105"/>
        </w:rPr>
        <w:t>1987.</w:t>
      </w:r>
      <w:r>
        <w:rPr>
          <w:color w:val="231F1F"/>
          <w:spacing w:val="-1"/>
          <w:w w:val="105"/>
        </w:rPr>
        <w:t> </w:t>
      </w:r>
      <w:r>
        <w:rPr>
          <w:color w:val="231F1F"/>
          <w:w w:val="105"/>
        </w:rPr>
        <w:t>En</w:t>
      </w:r>
      <w:r>
        <w:rPr>
          <w:color w:val="231F1F"/>
          <w:spacing w:val="-1"/>
          <w:w w:val="105"/>
        </w:rPr>
        <w:t> </w:t>
      </w:r>
      <w:r>
        <w:rPr>
          <w:color w:val="231F1F"/>
          <w:w w:val="105"/>
        </w:rPr>
        <w:t>él</w:t>
      </w:r>
      <w:r>
        <w:rPr>
          <w:color w:val="231F1F"/>
          <w:spacing w:val="-2"/>
          <w:w w:val="105"/>
        </w:rPr>
        <w:t> </w:t>
      </w:r>
      <w:r>
        <w:rPr>
          <w:color w:val="231F1F"/>
          <w:w w:val="105"/>
        </w:rPr>
        <w:t>se</w:t>
      </w:r>
      <w:r>
        <w:rPr>
          <w:color w:val="231F1F"/>
          <w:spacing w:val="-1"/>
          <w:w w:val="105"/>
        </w:rPr>
        <w:t> </w:t>
      </w:r>
      <w:r>
        <w:rPr>
          <w:color w:val="231F1F"/>
          <w:w w:val="105"/>
        </w:rPr>
        <w:t>analizó</w:t>
      </w:r>
      <w:r>
        <w:rPr>
          <w:color w:val="231F1F"/>
          <w:spacing w:val="-1"/>
          <w:w w:val="105"/>
        </w:rPr>
        <w:t> </w:t>
      </w:r>
      <w:r>
        <w:rPr>
          <w:color w:val="231F1F"/>
          <w:w w:val="105"/>
        </w:rPr>
        <w:t>la</w:t>
      </w:r>
      <w:r>
        <w:rPr>
          <w:color w:val="231F1F"/>
          <w:spacing w:val="-1"/>
          <w:w w:val="105"/>
        </w:rPr>
        <w:t> </w:t>
      </w:r>
      <w:r>
        <w:rPr>
          <w:color w:val="231F1F"/>
          <w:w w:val="105"/>
        </w:rPr>
        <w:t>duración</w:t>
      </w:r>
      <w:r>
        <w:rPr>
          <w:color w:val="231F1F"/>
          <w:spacing w:val="-2"/>
          <w:w w:val="105"/>
        </w:rPr>
        <w:t> </w:t>
      </w:r>
      <w:r>
        <w:rPr>
          <w:color w:val="231F1F"/>
          <w:w w:val="105"/>
        </w:rPr>
        <w:t>de la</w:t>
      </w:r>
      <w:r>
        <w:rPr>
          <w:color w:val="231F1F"/>
          <w:w w:val="105"/>
        </w:rPr>
        <w:t> primera</w:t>
      </w:r>
      <w:r>
        <w:rPr>
          <w:color w:val="231F1F"/>
          <w:w w:val="105"/>
        </w:rPr>
        <w:t> etapa</w:t>
      </w:r>
      <w:r>
        <w:rPr>
          <w:color w:val="231F1F"/>
          <w:w w:val="105"/>
        </w:rPr>
        <w:t> del</w:t>
      </w:r>
      <w:r>
        <w:rPr>
          <w:color w:val="231F1F"/>
          <w:w w:val="105"/>
        </w:rPr>
        <w:t> parto</w:t>
      </w:r>
      <w:r>
        <w:rPr>
          <w:color w:val="231F1F"/>
          <w:w w:val="105"/>
        </w:rPr>
        <w:t> tanto</w:t>
      </w:r>
      <w:r>
        <w:rPr>
          <w:color w:val="231F1F"/>
          <w:w w:val="105"/>
        </w:rPr>
        <w:t> por</w:t>
      </w:r>
      <w:r>
        <w:rPr>
          <w:color w:val="231F1F"/>
          <w:w w:val="105"/>
        </w:rPr>
        <w:t> paridad</w:t>
      </w:r>
      <w:r>
        <w:rPr>
          <w:color w:val="231F1F"/>
          <w:w w:val="105"/>
        </w:rPr>
        <w:t> como</w:t>
      </w:r>
      <w:r>
        <w:rPr>
          <w:color w:val="231F1F"/>
          <w:w w:val="105"/>
        </w:rPr>
        <w:t> por</w:t>
      </w:r>
      <w:r>
        <w:rPr>
          <w:color w:val="231F1F"/>
          <w:w w:val="105"/>
        </w:rPr>
        <w:t> utilización</w:t>
      </w:r>
      <w:r>
        <w:rPr>
          <w:color w:val="231F1F"/>
          <w:w w:val="105"/>
        </w:rPr>
        <w:t> o</w:t>
      </w:r>
      <w:r>
        <w:rPr>
          <w:color w:val="231F1F"/>
          <w:w w:val="105"/>
        </w:rPr>
        <w:t> no</w:t>
      </w:r>
      <w:r>
        <w:rPr>
          <w:color w:val="231F1F"/>
          <w:w w:val="105"/>
        </w:rPr>
        <w:t> de analgesia</w:t>
      </w:r>
      <w:r>
        <w:rPr>
          <w:color w:val="231F1F"/>
          <w:w w:val="105"/>
        </w:rPr>
        <w:t> epidural.</w:t>
      </w:r>
      <w:r>
        <w:rPr>
          <w:color w:val="231F1F"/>
          <w:w w:val="105"/>
        </w:rPr>
        <w:t> Se</w:t>
      </w:r>
      <w:r>
        <w:rPr>
          <w:color w:val="231F1F"/>
          <w:w w:val="105"/>
        </w:rPr>
        <w:t> observaron</w:t>
      </w:r>
      <w:r>
        <w:rPr>
          <w:color w:val="231F1F"/>
          <w:w w:val="105"/>
        </w:rPr>
        <w:t> tiempos</w:t>
      </w:r>
      <w:r>
        <w:rPr>
          <w:color w:val="231F1F"/>
          <w:w w:val="105"/>
        </w:rPr>
        <w:t> más</w:t>
      </w:r>
      <w:r>
        <w:rPr>
          <w:color w:val="231F1F"/>
          <w:w w:val="105"/>
        </w:rPr>
        <w:t> prolongados</w:t>
      </w:r>
      <w:r>
        <w:rPr>
          <w:color w:val="231F1F"/>
          <w:w w:val="105"/>
        </w:rPr>
        <w:t> de</w:t>
      </w:r>
      <w:r>
        <w:rPr>
          <w:color w:val="231F1F"/>
          <w:w w:val="105"/>
        </w:rPr>
        <w:t> partos</w:t>
      </w:r>
      <w:r>
        <w:rPr>
          <w:color w:val="231F1F"/>
          <w:w w:val="105"/>
        </w:rPr>
        <w:t> en nulíparas</w:t>
      </w:r>
      <w:r>
        <w:rPr>
          <w:color w:val="231F1F"/>
          <w:w w:val="105"/>
        </w:rPr>
        <w:t> comparado</w:t>
      </w:r>
      <w:r>
        <w:rPr>
          <w:color w:val="231F1F"/>
          <w:w w:val="105"/>
        </w:rPr>
        <w:t> con</w:t>
      </w:r>
      <w:r>
        <w:rPr>
          <w:color w:val="231F1F"/>
          <w:w w:val="105"/>
        </w:rPr>
        <w:t> multíparas</w:t>
      </w:r>
      <w:r>
        <w:rPr>
          <w:color w:val="231F1F"/>
          <w:w w:val="105"/>
        </w:rPr>
        <w:t> y</w:t>
      </w:r>
      <w:r>
        <w:rPr>
          <w:color w:val="231F1F"/>
          <w:w w:val="105"/>
        </w:rPr>
        <w:t> en</w:t>
      </w:r>
      <w:r>
        <w:rPr>
          <w:color w:val="231F1F"/>
          <w:w w:val="105"/>
        </w:rPr>
        <w:t> las</w:t>
      </w:r>
      <w:r>
        <w:rPr>
          <w:color w:val="231F1F"/>
          <w:w w:val="105"/>
        </w:rPr>
        <w:t> que</w:t>
      </w:r>
      <w:r>
        <w:rPr>
          <w:color w:val="231F1F"/>
          <w:w w:val="105"/>
        </w:rPr>
        <w:t> utilizaban</w:t>
      </w:r>
      <w:r>
        <w:rPr>
          <w:color w:val="231F1F"/>
          <w:w w:val="105"/>
        </w:rPr>
        <w:t> analgesia</w:t>
      </w:r>
      <w:r>
        <w:rPr>
          <w:color w:val="231F1F"/>
          <w:w w:val="105"/>
        </w:rPr>
        <w:t> neu- roaxial frente a las que no lo hacían (duración media de la 1ª etapa y límite superior</w:t>
      </w:r>
      <w:r>
        <w:rPr>
          <w:color w:val="231F1F"/>
          <w:w w:val="105"/>
        </w:rPr>
        <w:t> (percentil</w:t>
      </w:r>
      <w:r>
        <w:rPr>
          <w:color w:val="231F1F"/>
          <w:w w:val="105"/>
        </w:rPr>
        <w:t> 95):</w:t>
      </w:r>
      <w:r>
        <w:rPr>
          <w:color w:val="231F1F"/>
          <w:w w:val="105"/>
        </w:rPr>
        <w:t> Nulíparas</w:t>
      </w:r>
      <w:r>
        <w:rPr>
          <w:color w:val="231F1F"/>
          <w:w w:val="105"/>
        </w:rPr>
        <w:t> sin</w:t>
      </w:r>
      <w:r>
        <w:rPr>
          <w:color w:val="231F1F"/>
          <w:w w:val="105"/>
        </w:rPr>
        <w:t> analgesia:</w:t>
      </w:r>
      <w:r>
        <w:rPr>
          <w:color w:val="231F1F"/>
          <w:w w:val="105"/>
        </w:rPr>
        <w:t> duración</w:t>
      </w:r>
      <w:r>
        <w:rPr>
          <w:color w:val="231F1F"/>
          <w:w w:val="105"/>
        </w:rPr>
        <w:t> media</w:t>
      </w:r>
      <w:r>
        <w:rPr>
          <w:color w:val="231F1F"/>
          <w:w w:val="105"/>
        </w:rPr>
        <w:t> 8,1</w:t>
      </w:r>
      <w:r>
        <w:rPr>
          <w:color w:val="231F1F"/>
          <w:w w:val="105"/>
        </w:rPr>
        <w:t> horas (percentil</w:t>
      </w:r>
      <w:r>
        <w:rPr>
          <w:color w:val="231F1F"/>
          <w:w w:val="105"/>
        </w:rPr>
        <w:t> 95</w:t>
      </w:r>
      <w:r>
        <w:rPr>
          <w:color w:val="231F1F"/>
          <w:w w:val="105"/>
        </w:rPr>
        <w:t> 16,6</w:t>
      </w:r>
      <w:r>
        <w:rPr>
          <w:color w:val="231F1F"/>
          <w:w w:val="105"/>
        </w:rPr>
        <w:t> horas),</w:t>
      </w:r>
      <w:r>
        <w:rPr>
          <w:color w:val="231F1F"/>
          <w:w w:val="105"/>
        </w:rPr>
        <w:t> nulíparas</w:t>
      </w:r>
      <w:r>
        <w:rPr>
          <w:color w:val="231F1F"/>
          <w:w w:val="105"/>
        </w:rPr>
        <w:t> con</w:t>
      </w:r>
      <w:r>
        <w:rPr>
          <w:color w:val="231F1F"/>
          <w:w w:val="105"/>
        </w:rPr>
        <w:t> analgesia:</w:t>
      </w:r>
      <w:r>
        <w:rPr>
          <w:color w:val="231F1F"/>
          <w:w w:val="105"/>
        </w:rPr>
        <w:t> 10,2</w:t>
      </w:r>
      <w:r>
        <w:rPr>
          <w:color w:val="231F1F"/>
          <w:w w:val="105"/>
        </w:rPr>
        <w:t> horas</w:t>
      </w:r>
      <w:r>
        <w:rPr>
          <w:color w:val="231F1F"/>
          <w:w w:val="105"/>
        </w:rPr>
        <w:t> (19,0</w:t>
      </w:r>
      <w:r>
        <w:rPr>
          <w:color w:val="231F1F"/>
          <w:w w:val="105"/>
        </w:rPr>
        <w:t> horas), multíparas</w:t>
      </w:r>
      <w:r>
        <w:rPr>
          <w:color w:val="231F1F"/>
          <w:spacing w:val="-5"/>
          <w:w w:val="105"/>
        </w:rPr>
        <w:t> </w:t>
      </w:r>
      <w:r>
        <w:rPr>
          <w:color w:val="231F1F"/>
          <w:w w:val="105"/>
        </w:rPr>
        <w:t>sin</w:t>
      </w:r>
      <w:r>
        <w:rPr>
          <w:color w:val="231F1F"/>
          <w:spacing w:val="-5"/>
          <w:w w:val="105"/>
        </w:rPr>
        <w:t> </w:t>
      </w:r>
      <w:r>
        <w:rPr>
          <w:color w:val="231F1F"/>
          <w:w w:val="105"/>
        </w:rPr>
        <w:t>analgesia:</w:t>
      </w:r>
      <w:r>
        <w:rPr>
          <w:color w:val="231F1F"/>
          <w:spacing w:val="-4"/>
          <w:w w:val="105"/>
        </w:rPr>
        <w:t> </w:t>
      </w:r>
      <w:r>
        <w:rPr>
          <w:color w:val="231F1F"/>
          <w:w w:val="105"/>
        </w:rPr>
        <w:t>5,7</w:t>
      </w:r>
      <w:r>
        <w:rPr>
          <w:color w:val="231F1F"/>
          <w:spacing w:val="-5"/>
          <w:w w:val="105"/>
        </w:rPr>
        <w:t> </w:t>
      </w:r>
      <w:r>
        <w:rPr>
          <w:color w:val="231F1F"/>
          <w:w w:val="105"/>
        </w:rPr>
        <w:t>horas</w:t>
      </w:r>
      <w:r>
        <w:rPr>
          <w:color w:val="231F1F"/>
          <w:spacing w:val="-5"/>
          <w:w w:val="105"/>
        </w:rPr>
        <w:t> </w:t>
      </w:r>
      <w:r>
        <w:rPr>
          <w:color w:val="231F1F"/>
          <w:w w:val="105"/>
        </w:rPr>
        <w:t>(12,5</w:t>
      </w:r>
      <w:r>
        <w:rPr>
          <w:color w:val="231F1F"/>
          <w:spacing w:val="-4"/>
          <w:w w:val="105"/>
        </w:rPr>
        <w:t> </w:t>
      </w:r>
      <w:r>
        <w:rPr>
          <w:color w:val="231F1F"/>
          <w:w w:val="105"/>
        </w:rPr>
        <w:t>horas)</w:t>
      </w:r>
      <w:r>
        <w:rPr>
          <w:color w:val="231F1F"/>
          <w:spacing w:val="-5"/>
          <w:w w:val="105"/>
        </w:rPr>
        <w:t> </w:t>
      </w:r>
      <w:r>
        <w:rPr>
          <w:color w:val="231F1F"/>
          <w:w w:val="105"/>
        </w:rPr>
        <w:t>y</w:t>
      </w:r>
      <w:r>
        <w:rPr>
          <w:color w:val="231F1F"/>
          <w:spacing w:val="-5"/>
          <w:w w:val="105"/>
        </w:rPr>
        <w:t> </w:t>
      </w:r>
      <w:r>
        <w:rPr>
          <w:color w:val="231F1F"/>
          <w:w w:val="105"/>
        </w:rPr>
        <w:t>multíparas</w:t>
      </w:r>
      <w:r>
        <w:rPr>
          <w:color w:val="231F1F"/>
          <w:spacing w:val="-5"/>
          <w:w w:val="105"/>
        </w:rPr>
        <w:t> </w:t>
      </w:r>
      <w:r>
        <w:rPr>
          <w:color w:val="231F1F"/>
          <w:w w:val="105"/>
        </w:rPr>
        <w:t>con</w:t>
      </w:r>
      <w:r>
        <w:rPr>
          <w:color w:val="231F1F"/>
          <w:spacing w:val="-5"/>
          <w:w w:val="105"/>
        </w:rPr>
        <w:t> </w:t>
      </w:r>
      <w:r>
        <w:rPr>
          <w:color w:val="231F1F"/>
          <w:w w:val="105"/>
        </w:rPr>
        <w:t>analgesia:</w:t>
      </w:r>
      <w:r>
        <w:rPr>
          <w:color w:val="231F1F"/>
          <w:spacing w:val="-4"/>
          <w:w w:val="105"/>
        </w:rPr>
        <w:t> </w:t>
      </w:r>
      <w:r>
        <w:rPr>
          <w:color w:val="231F1F"/>
          <w:w w:val="105"/>
        </w:rPr>
        <w:t>7,4 horas (14,9 horas).</w:t>
      </w:r>
    </w:p>
    <w:p>
      <w:pPr>
        <w:pStyle w:val="BodyText"/>
        <w:spacing w:line="252" w:lineRule="auto" w:before="39"/>
        <w:ind w:left="283" w:right="42" w:firstLine="453"/>
        <w:jc w:val="both"/>
      </w:pPr>
      <w:r>
        <w:rPr>
          <w:color w:val="231F1F"/>
          <w:w w:val="110"/>
        </w:rPr>
        <w:t>Un estudio más pequeño y más antiguo (25) llevado a cabo en EEUU </w:t>
      </w:r>
      <w:r>
        <w:rPr>
          <w:color w:val="231F1F"/>
          <w:spacing w:val="-2"/>
          <w:w w:val="110"/>
        </w:rPr>
        <w:t>describió</w:t>
      </w:r>
      <w:r>
        <w:rPr>
          <w:color w:val="231F1F"/>
          <w:spacing w:val="-12"/>
          <w:w w:val="110"/>
        </w:rPr>
        <w:t> </w:t>
      </w:r>
      <w:r>
        <w:rPr>
          <w:color w:val="231F1F"/>
          <w:spacing w:val="-2"/>
          <w:w w:val="110"/>
        </w:rPr>
        <w:t>la</w:t>
      </w:r>
      <w:r>
        <w:rPr>
          <w:color w:val="231F1F"/>
          <w:spacing w:val="-12"/>
          <w:w w:val="110"/>
        </w:rPr>
        <w:t> </w:t>
      </w:r>
      <w:r>
        <w:rPr>
          <w:color w:val="231F1F"/>
          <w:spacing w:val="-2"/>
          <w:w w:val="110"/>
        </w:rPr>
        <w:t>duración</w:t>
      </w:r>
      <w:r>
        <w:rPr>
          <w:color w:val="231F1F"/>
          <w:spacing w:val="-12"/>
          <w:w w:val="110"/>
        </w:rPr>
        <w:t> </w:t>
      </w:r>
      <w:r>
        <w:rPr>
          <w:color w:val="231F1F"/>
          <w:spacing w:val="-2"/>
          <w:w w:val="110"/>
        </w:rPr>
        <w:t>de</w:t>
      </w:r>
      <w:r>
        <w:rPr>
          <w:color w:val="231F1F"/>
          <w:spacing w:val="-12"/>
          <w:w w:val="110"/>
        </w:rPr>
        <w:t> </w:t>
      </w:r>
      <w:r>
        <w:rPr>
          <w:color w:val="231F1F"/>
          <w:spacing w:val="-2"/>
          <w:w w:val="110"/>
        </w:rPr>
        <w:t>la</w:t>
      </w:r>
      <w:r>
        <w:rPr>
          <w:color w:val="231F1F"/>
          <w:spacing w:val="-12"/>
          <w:w w:val="110"/>
        </w:rPr>
        <w:t> </w:t>
      </w:r>
      <w:r>
        <w:rPr>
          <w:color w:val="231F1F"/>
          <w:spacing w:val="-2"/>
          <w:w w:val="110"/>
        </w:rPr>
        <w:t>fase</w:t>
      </w:r>
      <w:r>
        <w:rPr>
          <w:color w:val="231F1F"/>
          <w:spacing w:val="-12"/>
          <w:w w:val="110"/>
        </w:rPr>
        <w:t> </w:t>
      </w:r>
      <w:r>
        <w:rPr>
          <w:color w:val="231F1F"/>
          <w:spacing w:val="-2"/>
          <w:w w:val="110"/>
        </w:rPr>
        <w:t>latente</w:t>
      </w:r>
      <w:r>
        <w:rPr>
          <w:color w:val="231F1F"/>
          <w:spacing w:val="-12"/>
          <w:w w:val="110"/>
        </w:rPr>
        <w:t> </w:t>
      </w:r>
      <w:r>
        <w:rPr>
          <w:color w:val="231F1F"/>
          <w:spacing w:val="-2"/>
          <w:w w:val="110"/>
        </w:rPr>
        <w:t>y</w:t>
      </w:r>
      <w:r>
        <w:rPr>
          <w:color w:val="231F1F"/>
          <w:spacing w:val="-12"/>
          <w:w w:val="110"/>
        </w:rPr>
        <w:t> </w:t>
      </w:r>
      <w:r>
        <w:rPr>
          <w:color w:val="231F1F"/>
          <w:spacing w:val="-2"/>
          <w:w w:val="110"/>
        </w:rPr>
        <w:t>de</w:t>
      </w:r>
      <w:r>
        <w:rPr>
          <w:color w:val="231F1F"/>
          <w:spacing w:val="-12"/>
          <w:w w:val="110"/>
        </w:rPr>
        <w:t> </w:t>
      </w:r>
      <w:r>
        <w:rPr>
          <w:color w:val="231F1F"/>
          <w:spacing w:val="-2"/>
          <w:w w:val="110"/>
        </w:rPr>
        <w:t>la</w:t>
      </w:r>
      <w:r>
        <w:rPr>
          <w:color w:val="231F1F"/>
          <w:spacing w:val="-12"/>
          <w:w w:val="110"/>
        </w:rPr>
        <w:t> </w:t>
      </w:r>
      <w:r>
        <w:rPr>
          <w:color w:val="231F1F"/>
          <w:spacing w:val="-2"/>
          <w:w w:val="110"/>
        </w:rPr>
        <w:t>primera</w:t>
      </w:r>
      <w:r>
        <w:rPr>
          <w:color w:val="231F1F"/>
          <w:spacing w:val="-12"/>
          <w:w w:val="110"/>
        </w:rPr>
        <w:t> </w:t>
      </w:r>
      <w:r>
        <w:rPr>
          <w:color w:val="231F1F"/>
          <w:spacing w:val="-2"/>
          <w:w w:val="110"/>
        </w:rPr>
        <w:t>etapa</w:t>
      </w:r>
      <w:r>
        <w:rPr>
          <w:color w:val="231F1F"/>
          <w:spacing w:val="-12"/>
          <w:w w:val="110"/>
        </w:rPr>
        <w:t> </w:t>
      </w:r>
      <w:r>
        <w:rPr>
          <w:color w:val="231F1F"/>
          <w:spacing w:val="-2"/>
          <w:w w:val="110"/>
        </w:rPr>
        <w:t>de</w:t>
      </w:r>
      <w:r>
        <w:rPr>
          <w:color w:val="231F1F"/>
          <w:spacing w:val="-12"/>
          <w:w w:val="110"/>
        </w:rPr>
        <w:t> </w:t>
      </w:r>
      <w:r>
        <w:rPr>
          <w:color w:val="231F1F"/>
          <w:spacing w:val="-2"/>
          <w:w w:val="110"/>
        </w:rPr>
        <w:t>100</w:t>
      </w:r>
      <w:r>
        <w:rPr>
          <w:color w:val="231F1F"/>
          <w:spacing w:val="-12"/>
          <w:w w:val="110"/>
        </w:rPr>
        <w:t> </w:t>
      </w:r>
      <w:r>
        <w:rPr>
          <w:color w:val="231F1F"/>
          <w:spacing w:val="-2"/>
          <w:w w:val="110"/>
        </w:rPr>
        <w:t>nulíparas. </w:t>
      </w:r>
      <w:r>
        <w:rPr>
          <w:color w:val="231F1F"/>
          <w:spacing w:val="-4"/>
          <w:w w:val="110"/>
        </w:rPr>
        <w:t>La</w:t>
      </w:r>
      <w:r>
        <w:rPr>
          <w:color w:val="231F1F"/>
          <w:spacing w:val="-7"/>
          <w:w w:val="110"/>
        </w:rPr>
        <w:t> </w:t>
      </w:r>
      <w:r>
        <w:rPr>
          <w:color w:val="231F1F"/>
          <w:spacing w:val="-4"/>
          <w:w w:val="110"/>
        </w:rPr>
        <w:t>muestra</w:t>
      </w:r>
      <w:r>
        <w:rPr>
          <w:color w:val="231F1F"/>
          <w:spacing w:val="-6"/>
          <w:w w:val="110"/>
        </w:rPr>
        <w:t> </w:t>
      </w:r>
      <w:r>
        <w:rPr>
          <w:color w:val="231F1F"/>
          <w:spacing w:val="-4"/>
          <w:w w:val="110"/>
        </w:rPr>
        <w:t>fue</w:t>
      </w:r>
      <w:r>
        <w:rPr>
          <w:color w:val="231F1F"/>
          <w:spacing w:val="-7"/>
          <w:w w:val="110"/>
        </w:rPr>
        <w:t> </w:t>
      </w:r>
      <w:r>
        <w:rPr>
          <w:color w:val="231F1F"/>
          <w:spacing w:val="-4"/>
          <w:w w:val="110"/>
        </w:rPr>
        <w:t>muy</w:t>
      </w:r>
      <w:r>
        <w:rPr>
          <w:color w:val="231F1F"/>
          <w:spacing w:val="-7"/>
          <w:w w:val="110"/>
        </w:rPr>
        <w:t> </w:t>
      </w:r>
      <w:r>
        <w:rPr>
          <w:color w:val="231F1F"/>
          <w:spacing w:val="-4"/>
          <w:w w:val="110"/>
        </w:rPr>
        <w:t>heterogénea,</w:t>
      </w:r>
      <w:r>
        <w:rPr>
          <w:color w:val="231F1F"/>
          <w:spacing w:val="-8"/>
          <w:w w:val="110"/>
        </w:rPr>
        <w:t> </w:t>
      </w:r>
      <w:r>
        <w:rPr>
          <w:color w:val="231F1F"/>
          <w:spacing w:val="-4"/>
          <w:w w:val="110"/>
        </w:rPr>
        <w:t>ya</w:t>
      </w:r>
      <w:r>
        <w:rPr>
          <w:color w:val="231F1F"/>
          <w:spacing w:val="-7"/>
          <w:w w:val="110"/>
        </w:rPr>
        <w:t> </w:t>
      </w:r>
      <w:r>
        <w:rPr>
          <w:color w:val="231F1F"/>
          <w:spacing w:val="-4"/>
          <w:w w:val="110"/>
        </w:rPr>
        <w:t>que</w:t>
      </w:r>
      <w:r>
        <w:rPr>
          <w:color w:val="231F1F"/>
          <w:spacing w:val="-7"/>
          <w:w w:val="110"/>
        </w:rPr>
        <w:t> </w:t>
      </w:r>
      <w:r>
        <w:rPr>
          <w:color w:val="231F1F"/>
          <w:spacing w:val="-4"/>
          <w:w w:val="110"/>
        </w:rPr>
        <w:t>incluía</w:t>
      </w:r>
      <w:r>
        <w:rPr>
          <w:color w:val="231F1F"/>
          <w:spacing w:val="-7"/>
          <w:w w:val="110"/>
        </w:rPr>
        <w:t> </w:t>
      </w:r>
      <w:r>
        <w:rPr>
          <w:color w:val="231F1F"/>
          <w:spacing w:val="-4"/>
          <w:w w:val="110"/>
        </w:rPr>
        <w:t>mujeres</w:t>
      </w:r>
      <w:r>
        <w:rPr>
          <w:color w:val="231F1F"/>
          <w:spacing w:val="-6"/>
          <w:w w:val="110"/>
        </w:rPr>
        <w:t> </w:t>
      </w:r>
      <w:r>
        <w:rPr>
          <w:color w:val="231F1F"/>
          <w:spacing w:val="-4"/>
          <w:w w:val="110"/>
        </w:rPr>
        <w:t>con</w:t>
      </w:r>
      <w:r>
        <w:rPr>
          <w:color w:val="231F1F"/>
          <w:spacing w:val="-6"/>
          <w:w w:val="110"/>
        </w:rPr>
        <w:t> </w:t>
      </w:r>
      <w:r>
        <w:rPr>
          <w:color w:val="231F1F"/>
          <w:spacing w:val="-4"/>
          <w:w w:val="110"/>
        </w:rPr>
        <w:t>presentación</w:t>
      </w:r>
      <w:r>
        <w:rPr>
          <w:color w:val="231F1F"/>
          <w:spacing w:val="-7"/>
          <w:w w:val="110"/>
        </w:rPr>
        <w:t> </w:t>
      </w:r>
      <w:r>
        <w:rPr>
          <w:color w:val="231F1F"/>
          <w:spacing w:val="-4"/>
          <w:w w:val="110"/>
        </w:rPr>
        <w:t>po- </w:t>
      </w:r>
      <w:r>
        <w:rPr>
          <w:color w:val="231F1F"/>
        </w:rPr>
        <w:t>dálica,</w:t>
      </w:r>
      <w:r>
        <w:rPr>
          <w:color w:val="231F1F"/>
          <w:spacing w:val="-2"/>
        </w:rPr>
        <w:t> </w:t>
      </w:r>
      <w:r>
        <w:rPr>
          <w:color w:val="231F1F"/>
        </w:rPr>
        <w:t>embarazo</w:t>
      </w:r>
      <w:r>
        <w:rPr>
          <w:color w:val="231F1F"/>
          <w:spacing w:val="-2"/>
        </w:rPr>
        <w:t> </w:t>
      </w:r>
      <w:r>
        <w:rPr>
          <w:color w:val="231F1F"/>
        </w:rPr>
        <w:t>gemelar</w:t>
      </w:r>
      <w:r>
        <w:rPr>
          <w:color w:val="231F1F"/>
          <w:spacing w:val="-2"/>
        </w:rPr>
        <w:t> </w:t>
      </w:r>
      <w:r>
        <w:rPr>
          <w:color w:val="231F1F"/>
        </w:rPr>
        <w:t>e</w:t>
      </w:r>
      <w:r>
        <w:rPr>
          <w:color w:val="231F1F"/>
          <w:spacing w:val="-2"/>
        </w:rPr>
        <w:t> </w:t>
      </w:r>
      <w:r>
        <w:rPr>
          <w:color w:val="231F1F"/>
        </w:rPr>
        <w:t>inducciones, siendo</w:t>
      </w:r>
      <w:r>
        <w:rPr>
          <w:color w:val="231F1F"/>
          <w:spacing w:val="-2"/>
        </w:rPr>
        <w:t> </w:t>
      </w:r>
      <w:r>
        <w:rPr>
          <w:color w:val="231F1F"/>
        </w:rPr>
        <w:t>solo</w:t>
      </w:r>
      <w:r>
        <w:rPr>
          <w:color w:val="231F1F"/>
          <w:spacing w:val="-2"/>
        </w:rPr>
        <w:t> </w:t>
      </w:r>
      <w:r>
        <w:rPr>
          <w:color w:val="231F1F"/>
        </w:rPr>
        <w:t>29</w:t>
      </w:r>
      <w:r>
        <w:rPr>
          <w:color w:val="231F1F"/>
          <w:spacing w:val="-2"/>
        </w:rPr>
        <w:t> </w:t>
      </w:r>
      <w:r>
        <w:rPr>
          <w:color w:val="231F1F"/>
        </w:rPr>
        <w:t>de</w:t>
      </w:r>
      <w:r>
        <w:rPr>
          <w:color w:val="231F1F"/>
          <w:spacing w:val="-2"/>
        </w:rPr>
        <w:t> </w:t>
      </w:r>
      <w:r>
        <w:rPr>
          <w:color w:val="231F1F"/>
        </w:rPr>
        <w:t>los</w:t>
      </w:r>
      <w:r>
        <w:rPr>
          <w:color w:val="231F1F"/>
          <w:spacing w:val="-2"/>
        </w:rPr>
        <w:t> </w:t>
      </w:r>
      <w:r>
        <w:rPr>
          <w:color w:val="231F1F"/>
        </w:rPr>
        <w:t>partos</w:t>
      </w:r>
      <w:r>
        <w:rPr>
          <w:color w:val="231F1F"/>
          <w:spacing w:val="-2"/>
        </w:rPr>
        <w:t> </w:t>
      </w:r>
      <w:r>
        <w:rPr>
          <w:color w:val="231F1F"/>
        </w:rPr>
        <w:t>espontáneos.</w:t>
      </w:r>
    </w:p>
    <w:p>
      <w:pPr>
        <w:spacing w:line="278" w:lineRule="auto" w:before="24"/>
        <w:ind w:left="283" w:right="487" w:firstLine="0"/>
        <w:jc w:val="center"/>
        <w:rPr>
          <w:rFonts w:ascii="Arial MT"/>
          <w:sz w:val="18"/>
        </w:rPr>
      </w:pPr>
      <w:r>
        <w:rPr/>
        <w:br w:type="column"/>
      </w:r>
      <w:r>
        <w:rPr>
          <w:rFonts w:ascii="Arial MT"/>
          <w:color w:val="231F1F"/>
          <w:spacing w:val="-6"/>
          <w:sz w:val="18"/>
        </w:rPr>
        <w:t>casos </w:t>
      </w:r>
      <w:r>
        <w:rPr>
          <w:rFonts w:ascii="Arial MT"/>
          <w:color w:val="231F1F"/>
          <w:spacing w:val="-10"/>
          <w:sz w:val="18"/>
        </w:rPr>
        <w:t>3</w:t>
      </w:r>
    </w:p>
    <w:p>
      <w:pPr>
        <w:spacing w:after="0" w:line="278" w:lineRule="auto"/>
        <w:jc w:val="center"/>
        <w:rPr>
          <w:rFonts w:ascii="Arial MT"/>
          <w:sz w:val="18"/>
        </w:rPr>
        <w:sectPr>
          <w:type w:val="continuous"/>
          <w:pgSz w:w="11900" w:h="16840"/>
          <w:pgMar w:header="0" w:footer="622" w:top="560" w:bottom="280" w:left="1417" w:right="1559"/>
          <w:cols w:num="2" w:equalWidth="0">
            <w:col w:w="7597" w:space="100"/>
            <w:col w:w="1227"/>
          </w:cols>
        </w:sectPr>
      </w:pPr>
    </w:p>
    <w:p>
      <w:pPr>
        <w:pStyle w:val="BodyText"/>
        <w:tabs>
          <w:tab w:pos="7971" w:val="left" w:leader="none"/>
          <w:tab w:pos="8309" w:val="right" w:leader="none"/>
        </w:tabs>
        <w:spacing w:line="244" w:lineRule="auto" w:before="85"/>
        <w:ind w:left="283" w:right="335" w:firstLine="453"/>
        <w:rPr>
          <w:rFonts w:ascii="Arial MT" w:hAnsi="Arial MT"/>
          <w:position w:val="8"/>
          <w:sz w:val="18"/>
        </w:rPr>
      </w:pPr>
      <w:r>
        <w:rPr>
          <w:color w:val="231F1F"/>
          <w:w w:val="110"/>
        </w:rPr>
        <w:t>Otro</w:t>
      </w:r>
      <w:r>
        <w:rPr>
          <w:color w:val="231F1F"/>
          <w:spacing w:val="-14"/>
          <w:w w:val="110"/>
        </w:rPr>
        <w:t> </w:t>
      </w:r>
      <w:r>
        <w:rPr>
          <w:color w:val="231F1F"/>
          <w:w w:val="110"/>
        </w:rPr>
        <w:t>estudio</w:t>
      </w:r>
      <w:r>
        <w:rPr>
          <w:color w:val="231F1F"/>
          <w:spacing w:val="-9"/>
          <w:w w:val="110"/>
        </w:rPr>
        <w:t> </w:t>
      </w:r>
      <w:r>
        <w:rPr>
          <w:color w:val="231F1F"/>
          <w:w w:val="110"/>
        </w:rPr>
        <w:t>estadounidense</w:t>
      </w:r>
      <w:r>
        <w:rPr>
          <w:color w:val="231F1F"/>
          <w:spacing w:val="-9"/>
          <w:w w:val="110"/>
        </w:rPr>
        <w:t> </w:t>
      </w:r>
      <w:r>
        <w:rPr>
          <w:color w:val="231F1F"/>
          <w:w w:val="110"/>
        </w:rPr>
        <w:t>(30)</w:t>
      </w:r>
      <w:r>
        <w:rPr>
          <w:color w:val="231F1F"/>
          <w:spacing w:val="-9"/>
          <w:w w:val="110"/>
        </w:rPr>
        <w:t> </w:t>
      </w:r>
      <w:r>
        <w:rPr>
          <w:color w:val="231F1F"/>
          <w:w w:val="110"/>
        </w:rPr>
        <w:t>describió</w:t>
      </w:r>
      <w:r>
        <w:rPr>
          <w:color w:val="231F1F"/>
          <w:spacing w:val="-9"/>
          <w:w w:val="110"/>
        </w:rPr>
        <w:t> </w:t>
      </w:r>
      <w:r>
        <w:rPr>
          <w:color w:val="231F1F"/>
          <w:w w:val="110"/>
        </w:rPr>
        <w:t>el</w:t>
      </w:r>
      <w:r>
        <w:rPr>
          <w:color w:val="231F1F"/>
          <w:spacing w:val="-10"/>
          <w:w w:val="110"/>
        </w:rPr>
        <w:t> </w:t>
      </w:r>
      <w:r>
        <w:rPr>
          <w:color w:val="231F1F"/>
          <w:w w:val="110"/>
        </w:rPr>
        <w:t>parto</w:t>
      </w:r>
      <w:r>
        <w:rPr>
          <w:color w:val="231F1F"/>
          <w:spacing w:val="-9"/>
          <w:w w:val="110"/>
        </w:rPr>
        <w:t> </w:t>
      </w:r>
      <w:r>
        <w:rPr>
          <w:color w:val="231F1F"/>
          <w:w w:val="110"/>
        </w:rPr>
        <w:t>espontáneo</w:t>
      </w:r>
      <w:r>
        <w:rPr>
          <w:color w:val="231F1F"/>
          <w:spacing w:val="-9"/>
          <w:w w:val="110"/>
        </w:rPr>
        <w:t> </w:t>
      </w:r>
      <w:r>
        <w:rPr>
          <w:color w:val="231F1F"/>
          <w:w w:val="110"/>
        </w:rPr>
        <w:t>a</w:t>
      </w:r>
      <w:r>
        <w:rPr>
          <w:color w:val="231F1F"/>
          <w:spacing w:val="-9"/>
          <w:w w:val="110"/>
        </w:rPr>
        <w:t> </w:t>
      </w:r>
      <w:r>
        <w:rPr>
          <w:color w:val="231F1F"/>
          <w:w w:val="110"/>
        </w:rPr>
        <w:t>térmi-</w:t>
      </w:r>
      <w:r>
        <w:rPr>
          <w:color w:val="231F1F"/>
          <w:spacing w:val="80"/>
          <w:w w:val="110"/>
        </w:rPr>
        <w:t> </w:t>
      </w:r>
      <w:r>
        <w:rPr>
          <w:rFonts w:ascii="Arial MT" w:hAnsi="Arial MT"/>
          <w:color w:val="231F1F"/>
          <w:w w:val="110"/>
          <w:sz w:val="18"/>
        </w:rPr>
        <w:t>Series</w:t>
      </w:r>
      <w:r>
        <w:rPr>
          <w:rFonts w:ascii="Arial MT" w:hAnsi="Arial MT"/>
          <w:color w:val="231F1F"/>
          <w:spacing w:val="-14"/>
          <w:w w:val="110"/>
          <w:sz w:val="18"/>
        </w:rPr>
        <w:t> </w:t>
      </w:r>
      <w:r>
        <w:rPr>
          <w:rFonts w:ascii="Arial MT" w:hAnsi="Arial MT"/>
          <w:color w:val="231F1F"/>
          <w:w w:val="110"/>
          <w:sz w:val="18"/>
        </w:rPr>
        <w:t>de </w:t>
      </w:r>
      <w:r>
        <w:rPr>
          <w:color w:val="231F1F"/>
          <w:w w:val="110"/>
        </w:rPr>
        <w:t>no de duración mayor de 3 horas en 1.162 mujeres nulíparas. Encontrando</w:t>
      </w:r>
      <w:r>
        <w:rPr>
          <w:color w:val="231F1F"/>
        </w:rPr>
        <w:tab/>
      </w:r>
      <w:r>
        <w:rPr>
          <w:rFonts w:ascii="Arial MT" w:hAnsi="Arial MT"/>
          <w:color w:val="231F1F"/>
          <w:spacing w:val="-4"/>
          <w:w w:val="110"/>
          <w:position w:val="4"/>
          <w:sz w:val="18"/>
        </w:rPr>
        <w:t>casos </w:t>
      </w:r>
      <w:r>
        <w:rPr>
          <w:color w:val="231F1F"/>
          <w:w w:val="110"/>
        </w:rPr>
        <w:t>que la duración media de la primera etapa del parto fue de 7,3 horas (10º y</w:t>
      </w:r>
      <w:r>
        <w:rPr>
          <w:color w:val="231F1F"/>
        </w:rPr>
        <w:tab/>
        <w:tab/>
      </w:r>
      <w:r>
        <w:rPr>
          <w:rFonts w:ascii="Arial MT" w:hAnsi="Arial MT"/>
          <w:color w:val="231F1F"/>
          <w:spacing w:val="-34"/>
          <w:w w:val="45"/>
          <w:position w:val="8"/>
          <w:sz w:val="18"/>
        </w:rPr>
        <w:t>3</w:t>
      </w:r>
    </w:p>
    <w:p>
      <w:pPr>
        <w:pStyle w:val="BodyText"/>
        <w:spacing w:line="248" w:lineRule="exact"/>
        <w:ind w:left="283"/>
      </w:pPr>
      <w:r>
        <w:rPr>
          <w:color w:val="231F1F"/>
          <w:w w:val="105"/>
        </w:rPr>
        <w:t>90º</w:t>
      </w:r>
      <w:r>
        <w:rPr>
          <w:color w:val="231F1F"/>
          <w:spacing w:val="-13"/>
          <w:w w:val="105"/>
        </w:rPr>
        <w:t> </w:t>
      </w:r>
      <w:r>
        <w:rPr>
          <w:color w:val="231F1F"/>
          <w:w w:val="105"/>
        </w:rPr>
        <w:t>percentiles:</w:t>
      </w:r>
      <w:r>
        <w:rPr>
          <w:color w:val="231F1F"/>
          <w:spacing w:val="-13"/>
          <w:w w:val="105"/>
        </w:rPr>
        <w:t> </w:t>
      </w:r>
      <w:r>
        <w:rPr>
          <w:color w:val="231F1F"/>
          <w:w w:val="105"/>
        </w:rPr>
        <w:t>3,3</w:t>
      </w:r>
      <w:r>
        <w:rPr>
          <w:color w:val="231F1F"/>
          <w:spacing w:val="-13"/>
          <w:w w:val="105"/>
        </w:rPr>
        <w:t> </w:t>
      </w:r>
      <w:r>
        <w:rPr>
          <w:color w:val="231F1F"/>
          <w:w w:val="105"/>
        </w:rPr>
        <w:t>y</w:t>
      </w:r>
      <w:r>
        <w:rPr>
          <w:color w:val="231F1F"/>
          <w:spacing w:val="-11"/>
          <w:w w:val="105"/>
        </w:rPr>
        <w:t> </w:t>
      </w:r>
      <w:r>
        <w:rPr>
          <w:color w:val="231F1F"/>
          <w:w w:val="105"/>
        </w:rPr>
        <w:t>13,7</w:t>
      </w:r>
      <w:r>
        <w:rPr>
          <w:color w:val="231F1F"/>
          <w:spacing w:val="-12"/>
          <w:w w:val="105"/>
        </w:rPr>
        <w:t> </w:t>
      </w:r>
      <w:r>
        <w:rPr>
          <w:color w:val="231F1F"/>
          <w:w w:val="105"/>
        </w:rPr>
        <w:t>horas</w:t>
      </w:r>
      <w:r>
        <w:rPr>
          <w:color w:val="231F1F"/>
          <w:spacing w:val="-12"/>
          <w:w w:val="105"/>
        </w:rPr>
        <w:t> </w:t>
      </w:r>
      <w:r>
        <w:rPr>
          <w:color w:val="231F1F"/>
          <w:spacing w:val="-2"/>
          <w:w w:val="105"/>
        </w:rPr>
        <w:t>respectivamente).</w:t>
      </w:r>
    </w:p>
    <w:p>
      <w:pPr>
        <w:pStyle w:val="BodyText"/>
        <w:spacing w:after="0" w:line="248" w:lineRule="exact"/>
        <w:sectPr>
          <w:type w:val="continuous"/>
          <w:pgSz w:w="11900" w:h="16840"/>
          <w:pgMar w:header="0" w:footer="622" w:top="560" w:bottom="280" w:left="1417" w:right="1559"/>
        </w:sectPr>
      </w:pPr>
    </w:p>
    <w:p>
      <w:pPr>
        <w:pStyle w:val="BodyText"/>
        <w:spacing w:line="247" w:lineRule="auto" w:before="72"/>
        <w:ind w:left="283" w:firstLine="453"/>
        <w:jc w:val="both"/>
      </w:pPr>
      <w:r>
        <w:rPr>
          <w:color w:val="231F1F"/>
        </w:rPr>
        <w:t>Un</w:t>
      </w:r>
      <w:r>
        <w:rPr>
          <w:color w:val="231F1F"/>
          <w:spacing w:val="25"/>
        </w:rPr>
        <w:t> </w:t>
      </w:r>
      <w:r>
        <w:rPr>
          <w:color w:val="231F1F"/>
        </w:rPr>
        <w:t>estudio</w:t>
      </w:r>
      <w:r>
        <w:rPr>
          <w:color w:val="231F1F"/>
          <w:spacing w:val="25"/>
        </w:rPr>
        <w:t> </w:t>
      </w:r>
      <w:r>
        <w:rPr>
          <w:color w:val="231F1F"/>
        </w:rPr>
        <w:t>llevado</w:t>
      </w:r>
      <w:r>
        <w:rPr>
          <w:color w:val="231F1F"/>
          <w:spacing w:val="26"/>
        </w:rPr>
        <w:t> </w:t>
      </w:r>
      <w:r>
        <w:rPr>
          <w:color w:val="231F1F"/>
        </w:rPr>
        <w:t>a</w:t>
      </w:r>
      <w:r>
        <w:rPr>
          <w:color w:val="231F1F"/>
          <w:spacing w:val="25"/>
        </w:rPr>
        <w:t> </w:t>
      </w:r>
      <w:r>
        <w:rPr>
          <w:color w:val="231F1F"/>
        </w:rPr>
        <w:t>cabo</w:t>
      </w:r>
      <w:r>
        <w:rPr>
          <w:color w:val="231F1F"/>
          <w:spacing w:val="25"/>
        </w:rPr>
        <w:t> </w:t>
      </w:r>
      <w:r>
        <w:rPr>
          <w:color w:val="231F1F"/>
        </w:rPr>
        <w:t>en</w:t>
      </w:r>
      <w:r>
        <w:rPr>
          <w:color w:val="231F1F"/>
          <w:spacing w:val="25"/>
        </w:rPr>
        <w:t> </w:t>
      </w:r>
      <w:r>
        <w:rPr>
          <w:color w:val="231F1F"/>
        </w:rPr>
        <w:t>Alemania</w:t>
      </w:r>
      <w:r>
        <w:rPr>
          <w:color w:val="231F1F"/>
          <w:spacing w:val="25"/>
        </w:rPr>
        <w:t> </w:t>
      </w:r>
      <w:r>
        <w:rPr>
          <w:color w:val="231F1F"/>
        </w:rPr>
        <w:t>analizó</w:t>
      </w:r>
      <w:r>
        <w:rPr>
          <w:color w:val="231F1F"/>
          <w:spacing w:val="25"/>
        </w:rPr>
        <w:t> </w:t>
      </w:r>
      <w:r>
        <w:rPr>
          <w:color w:val="231F1F"/>
        </w:rPr>
        <w:t>los</w:t>
      </w:r>
      <w:r>
        <w:rPr>
          <w:color w:val="231F1F"/>
          <w:spacing w:val="26"/>
        </w:rPr>
        <w:t> </w:t>
      </w:r>
      <w:r>
        <w:rPr>
          <w:color w:val="231F1F"/>
        </w:rPr>
        <w:t>factores</w:t>
      </w:r>
      <w:r>
        <w:rPr>
          <w:color w:val="231F1F"/>
          <w:spacing w:val="26"/>
        </w:rPr>
        <w:t> </w:t>
      </w:r>
      <w:r>
        <w:rPr>
          <w:color w:val="231F1F"/>
        </w:rPr>
        <w:t>asociados</w:t>
      </w:r>
      <w:r>
        <w:rPr>
          <w:color w:val="231F1F"/>
          <w:spacing w:val="25"/>
        </w:rPr>
        <w:t> </w:t>
      </w:r>
      <w:r>
        <w:rPr>
          <w:color w:val="231F1F"/>
        </w:rPr>
        <w:t>con </w:t>
      </w:r>
      <w:r>
        <w:rPr>
          <w:color w:val="231F1F"/>
          <w:spacing w:val="-2"/>
          <w:w w:val="110"/>
        </w:rPr>
        <w:t>la</w:t>
      </w:r>
      <w:r>
        <w:rPr>
          <w:color w:val="231F1F"/>
          <w:spacing w:val="-10"/>
          <w:w w:val="110"/>
        </w:rPr>
        <w:t> </w:t>
      </w:r>
      <w:r>
        <w:rPr>
          <w:color w:val="231F1F"/>
          <w:spacing w:val="-2"/>
          <w:w w:val="110"/>
        </w:rPr>
        <w:t>duración</w:t>
      </w:r>
      <w:r>
        <w:rPr>
          <w:color w:val="231F1F"/>
          <w:spacing w:val="-10"/>
          <w:w w:val="110"/>
        </w:rPr>
        <w:t> </w:t>
      </w:r>
      <w:r>
        <w:rPr>
          <w:color w:val="231F1F"/>
          <w:spacing w:val="-2"/>
          <w:w w:val="110"/>
        </w:rPr>
        <w:t>normal</w:t>
      </w:r>
      <w:r>
        <w:rPr>
          <w:color w:val="231F1F"/>
          <w:spacing w:val="-11"/>
          <w:w w:val="110"/>
        </w:rPr>
        <w:t> </w:t>
      </w:r>
      <w:r>
        <w:rPr>
          <w:color w:val="231F1F"/>
          <w:spacing w:val="-2"/>
          <w:w w:val="110"/>
        </w:rPr>
        <w:t>del</w:t>
      </w:r>
      <w:r>
        <w:rPr>
          <w:color w:val="231F1F"/>
          <w:spacing w:val="-11"/>
          <w:w w:val="110"/>
        </w:rPr>
        <w:t> </w:t>
      </w:r>
      <w:r>
        <w:rPr>
          <w:color w:val="231F1F"/>
          <w:spacing w:val="-2"/>
          <w:w w:val="110"/>
        </w:rPr>
        <w:t>parto</w:t>
      </w:r>
      <w:r>
        <w:rPr>
          <w:color w:val="231F1F"/>
          <w:spacing w:val="-10"/>
          <w:w w:val="110"/>
        </w:rPr>
        <w:t> </w:t>
      </w:r>
      <w:r>
        <w:rPr>
          <w:color w:val="231F1F"/>
          <w:spacing w:val="-2"/>
          <w:w w:val="110"/>
        </w:rPr>
        <w:t>(26).</w:t>
      </w:r>
      <w:r>
        <w:rPr>
          <w:color w:val="231F1F"/>
          <w:spacing w:val="-10"/>
          <w:w w:val="110"/>
        </w:rPr>
        <w:t> </w:t>
      </w:r>
      <w:r>
        <w:rPr>
          <w:color w:val="231F1F"/>
          <w:spacing w:val="-2"/>
          <w:w w:val="110"/>
        </w:rPr>
        <w:t>El</w:t>
      </w:r>
      <w:r>
        <w:rPr>
          <w:color w:val="231F1F"/>
          <w:spacing w:val="-10"/>
          <w:w w:val="110"/>
        </w:rPr>
        <w:t> </w:t>
      </w:r>
      <w:r>
        <w:rPr>
          <w:color w:val="231F1F"/>
          <w:spacing w:val="-2"/>
          <w:w w:val="110"/>
        </w:rPr>
        <w:t>estudio</w:t>
      </w:r>
      <w:r>
        <w:rPr>
          <w:color w:val="231F1F"/>
          <w:spacing w:val="-9"/>
          <w:w w:val="110"/>
        </w:rPr>
        <w:t> </w:t>
      </w:r>
      <w:r>
        <w:rPr>
          <w:color w:val="231F1F"/>
          <w:spacing w:val="-2"/>
          <w:w w:val="110"/>
        </w:rPr>
        <w:t>incluyó</w:t>
      </w:r>
      <w:r>
        <w:rPr>
          <w:color w:val="231F1F"/>
          <w:spacing w:val="-10"/>
          <w:w w:val="110"/>
        </w:rPr>
        <w:t> </w:t>
      </w:r>
      <w:r>
        <w:rPr>
          <w:color w:val="231F1F"/>
          <w:spacing w:val="-2"/>
          <w:w w:val="110"/>
        </w:rPr>
        <w:t>a</w:t>
      </w:r>
      <w:r>
        <w:rPr>
          <w:color w:val="231F1F"/>
          <w:spacing w:val="-10"/>
          <w:w w:val="110"/>
        </w:rPr>
        <w:t> </w:t>
      </w:r>
      <w:r>
        <w:rPr>
          <w:color w:val="231F1F"/>
          <w:spacing w:val="-2"/>
          <w:w w:val="110"/>
        </w:rPr>
        <w:t>932</w:t>
      </w:r>
      <w:r>
        <w:rPr>
          <w:color w:val="231F1F"/>
          <w:spacing w:val="-9"/>
          <w:w w:val="110"/>
        </w:rPr>
        <w:t> </w:t>
      </w:r>
      <w:r>
        <w:rPr>
          <w:color w:val="231F1F"/>
          <w:spacing w:val="-2"/>
          <w:w w:val="110"/>
        </w:rPr>
        <w:t>mujeres</w:t>
      </w:r>
      <w:r>
        <w:rPr>
          <w:color w:val="231F1F"/>
          <w:spacing w:val="-10"/>
          <w:w w:val="110"/>
        </w:rPr>
        <w:t> </w:t>
      </w:r>
      <w:r>
        <w:rPr>
          <w:color w:val="231F1F"/>
          <w:spacing w:val="-2"/>
          <w:w w:val="110"/>
        </w:rPr>
        <w:t>atendidas </w:t>
      </w:r>
      <w:r>
        <w:rPr>
          <w:color w:val="231F1F"/>
        </w:rPr>
        <w:t>en</w:t>
      </w:r>
      <w:r>
        <w:rPr>
          <w:color w:val="231F1F"/>
          <w:spacing w:val="19"/>
        </w:rPr>
        <w:t> </w:t>
      </w:r>
      <w:r>
        <w:rPr>
          <w:color w:val="231F1F"/>
        </w:rPr>
        <w:t>una</w:t>
      </w:r>
      <w:r>
        <w:rPr>
          <w:color w:val="231F1F"/>
          <w:spacing w:val="19"/>
        </w:rPr>
        <w:t> </w:t>
      </w:r>
      <w:r>
        <w:rPr>
          <w:color w:val="231F1F"/>
        </w:rPr>
        <w:t>unidad</w:t>
      </w:r>
      <w:r>
        <w:rPr>
          <w:color w:val="231F1F"/>
          <w:spacing w:val="18"/>
        </w:rPr>
        <w:t> </w:t>
      </w:r>
      <w:r>
        <w:rPr>
          <w:color w:val="231F1F"/>
        </w:rPr>
        <w:t>de</w:t>
      </w:r>
      <w:r>
        <w:rPr>
          <w:color w:val="231F1F"/>
          <w:spacing w:val="19"/>
        </w:rPr>
        <w:t> </w:t>
      </w:r>
      <w:r>
        <w:rPr>
          <w:color w:val="231F1F"/>
        </w:rPr>
        <w:t>matronas</w:t>
      </w:r>
      <w:r>
        <w:rPr>
          <w:color w:val="231F1F"/>
          <w:spacing w:val="19"/>
        </w:rPr>
        <w:t> </w:t>
      </w:r>
      <w:r>
        <w:rPr>
          <w:color w:val="231F1F"/>
        </w:rPr>
        <w:t>y</w:t>
      </w:r>
      <w:r>
        <w:rPr>
          <w:color w:val="231F1F"/>
          <w:spacing w:val="19"/>
        </w:rPr>
        <w:t> </w:t>
      </w:r>
      <w:r>
        <w:rPr>
          <w:color w:val="231F1F"/>
        </w:rPr>
        <w:t>en</w:t>
      </w:r>
      <w:r>
        <w:rPr>
          <w:color w:val="231F1F"/>
          <w:spacing w:val="19"/>
        </w:rPr>
        <w:t> </w:t>
      </w:r>
      <w:r>
        <w:rPr>
          <w:color w:val="231F1F"/>
        </w:rPr>
        <w:t>casa,</w:t>
      </w:r>
      <w:r>
        <w:rPr>
          <w:color w:val="231F1F"/>
          <w:spacing w:val="19"/>
        </w:rPr>
        <w:t> </w:t>
      </w:r>
      <w:r>
        <w:rPr>
          <w:color w:val="231F1F"/>
        </w:rPr>
        <w:t>entre</w:t>
      </w:r>
      <w:r>
        <w:rPr>
          <w:color w:val="231F1F"/>
          <w:spacing w:val="18"/>
        </w:rPr>
        <w:t> </w:t>
      </w:r>
      <w:r>
        <w:rPr>
          <w:color w:val="231F1F"/>
        </w:rPr>
        <w:t>1994</w:t>
      </w:r>
      <w:r>
        <w:rPr>
          <w:color w:val="231F1F"/>
          <w:spacing w:val="19"/>
        </w:rPr>
        <w:t> </w:t>
      </w:r>
      <w:r>
        <w:rPr>
          <w:color w:val="231F1F"/>
        </w:rPr>
        <w:t>y</w:t>
      </w:r>
      <w:r>
        <w:rPr>
          <w:color w:val="231F1F"/>
          <w:spacing w:val="19"/>
        </w:rPr>
        <w:t> </w:t>
      </w:r>
      <w:r>
        <w:rPr>
          <w:color w:val="231F1F"/>
        </w:rPr>
        <w:t>1995.</w:t>
      </w:r>
      <w:r>
        <w:rPr>
          <w:color w:val="231F1F"/>
          <w:spacing w:val="19"/>
        </w:rPr>
        <w:t> </w:t>
      </w:r>
      <w:r>
        <w:rPr>
          <w:color w:val="231F1F"/>
        </w:rPr>
        <w:t>La</w:t>
      </w:r>
      <w:r>
        <w:rPr>
          <w:color w:val="231F1F"/>
          <w:spacing w:val="19"/>
        </w:rPr>
        <w:t> </w:t>
      </w:r>
      <w:r>
        <w:rPr>
          <w:color w:val="231F1F"/>
        </w:rPr>
        <w:t>duración</w:t>
      </w:r>
      <w:r>
        <w:rPr>
          <w:color w:val="231F1F"/>
          <w:spacing w:val="18"/>
        </w:rPr>
        <w:t> </w:t>
      </w:r>
      <w:r>
        <w:rPr>
          <w:color w:val="231F1F"/>
        </w:rPr>
        <w:t>media</w:t>
      </w:r>
      <w:r>
        <w:rPr>
          <w:color w:val="231F1F"/>
          <w:spacing w:val="19"/>
        </w:rPr>
        <w:t> </w:t>
      </w:r>
      <w:r>
        <w:rPr>
          <w:color w:val="231F1F"/>
        </w:rPr>
        <w:t>de </w:t>
      </w:r>
      <w:r>
        <w:rPr>
          <w:color w:val="231F1F"/>
          <w:w w:val="110"/>
        </w:rPr>
        <w:t>la primera etapa del parto, excluyendo a las mujeres que tuvieron un parto </w:t>
      </w:r>
      <w:r>
        <w:rPr>
          <w:color w:val="231F1F"/>
          <w:spacing w:val="-2"/>
          <w:w w:val="110"/>
        </w:rPr>
        <w:t>prolongado,</w:t>
      </w:r>
      <w:r>
        <w:rPr>
          <w:color w:val="231F1F"/>
          <w:spacing w:val="-10"/>
          <w:w w:val="110"/>
        </w:rPr>
        <w:t> </w:t>
      </w:r>
      <w:r>
        <w:rPr>
          <w:color w:val="231F1F"/>
          <w:spacing w:val="-2"/>
          <w:w w:val="110"/>
        </w:rPr>
        <w:t>fue</w:t>
      </w:r>
      <w:r>
        <w:rPr>
          <w:color w:val="231F1F"/>
          <w:spacing w:val="-9"/>
          <w:w w:val="110"/>
        </w:rPr>
        <w:t> </w:t>
      </w:r>
      <w:r>
        <w:rPr>
          <w:color w:val="231F1F"/>
          <w:spacing w:val="-2"/>
          <w:w w:val="110"/>
        </w:rPr>
        <w:t>de</w:t>
      </w:r>
      <w:r>
        <w:rPr>
          <w:color w:val="231F1F"/>
          <w:spacing w:val="-9"/>
          <w:w w:val="110"/>
        </w:rPr>
        <w:t> </w:t>
      </w:r>
      <w:r>
        <w:rPr>
          <w:color w:val="231F1F"/>
          <w:spacing w:val="-2"/>
          <w:w w:val="110"/>
        </w:rPr>
        <w:t>7,3</w:t>
      </w:r>
      <w:r>
        <w:rPr>
          <w:color w:val="231F1F"/>
          <w:spacing w:val="-9"/>
          <w:w w:val="110"/>
        </w:rPr>
        <w:t> </w:t>
      </w:r>
      <w:r>
        <w:rPr>
          <w:color w:val="231F1F"/>
          <w:spacing w:val="-2"/>
          <w:w w:val="110"/>
        </w:rPr>
        <w:t>horas</w:t>
      </w:r>
      <w:r>
        <w:rPr>
          <w:color w:val="231F1F"/>
          <w:spacing w:val="-9"/>
          <w:w w:val="110"/>
        </w:rPr>
        <w:t> </w:t>
      </w:r>
      <w:r>
        <w:rPr>
          <w:color w:val="231F1F"/>
          <w:spacing w:val="-2"/>
          <w:w w:val="110"/>
        </w:rPr>
        <w:t>(rango</w:t>
      </w:r>
      <w:r>
        <w:rPr>
          <w:color w:val="231F1F"/>
          <w:spacing w:val="-9"/>
          <w:w w:val="110"/>
        </w:rPr>
        <w:t> </w:t>
      </w:r>
      <w:r>
        <w:rPr>
          <w:color w:val="231F1F"/>
          <w:spacing w:val="-2"/>
          <w:w w:val="110"/>
        </w:rPr>
        <w:t>1-17</w:t>
      </w:r>
      <w:r>
        <w:rPr>
          <w:color w:val="231F1F"/>
          <w:spacing w:val="-9"/>
          <w:w w:val="110"/>
        </w:rPr>
        <w:t> </w:t>
      </w:r>
      <w:r>
        <w:rPr>
          <w:color w:val="231F1F"/>
          <w:spacing w:val="-2"/>
          <w:w w:val="110"/>
        </w:rPr>
        <w:t>horas)</w:t>
      </w:r>
      <w:r>
        <w:rPr>
          <w:color w:val="231F1F"/>
          <w:spacing w:val="-9"/>
          <w:w w:val="110"/>
        </w:rPr>
        <w:t> </w:t>
      </w:r>
      <w:r>
        <w:rPr>
          <w:color w:val="231F1F"/>
          <w:spacing w:val="-2"/>
          <w:w w:val="110"/>
        </w:rPr>
        <w:t>para</w:t>
      </w:r>
      <w:r>
        <w:rPr>
          <w:color w:val="231F1F"/>
          <w:spacing w:val="-9"/>
          <w:w w:val="110"/>
        </w:rPr>
        <w:t> </w:t>
      </w:r>
      <w:r>
        <w:rPr>
          <w:color w:val="231F1F"/>
          <w:spacing w:val="-2"/>
          <w:w w:val="110"/>
        </w:rPr>
        <w:t>nulíparas</w:t>
      </w:r>
      <w:r>
        <w:rPr>
          <w:color w:val="231F1F"/>
          <w:spacing w:val="-10"/>
          <w:w w:val="110"/>
        </w:rPr>
        <w:t> </w:t>
      </w:r>
      <w:r>
        <w:rPr>
          <w:color w:val="231F1F"/>
          <w:spacing w:val="-2"/>
          <w:w w:val="110"/>
        </w:rPr>
        <w:t>y</w:t>
      </w:r>
      <w:r>
        <w:rPr>
          <w:color w:val="231F1F"/>
          <w:spacing w:val="-9"/>
          <w:w w:val="110"/>
        </w:rPr>
        <w:t> </w:t>
      </w:r>
      <w:r>
        <w:rPr>
          <w:color w:val="231F1F"/>
          <w:spacing w:val="-2"/>
          <w:w w:val="110"/>
        </w:rPr>
        <w:t>de</w:t>
      </w:r>
      <w:r>
        <w:rPr>
          <w:color w:val="231F1F"/>
          <w:spacing w:val="-9"/>
          <w:w w:val="110"/>
        </w:rPr>
        <w:t> </w:t>
      </w:r>
      <w:r>
        <w:rPr>
          <w:color w:val="231F1F"/>
          <w:spacing w:val="-2"/>
          <w:w w:val="110"/>
        </w:rPr>
        <w:t>3,9</w:t>
      </w:r>
      <w:r>
        <w:rPr>
          <w:color w:val="231F1F"/>
          <w:spacing w:val="-9"/>
          <w:w w:val="110"/>
        </w:rPr>
        <w:t> </w:t>
      </w:r>
      <w:r>
        <w:rPr>
          <w:color w:val="231F1F"/>
          <w:spacing w:val="-2"/>
          <w:w w:val="110"/>
        </w:rPr>
        <w:t>horas </w:t>
      </w:r>
      <w:r>
        <w:rPr>
          <w:color w:val="231F1F"/>
          <w:w w:val="110"/>
        </w:rPr>
        <w:t>(rango</w:t>
      </w:r>
      <w:r>
        <w:rPr>
          <w:color w:val="231F1F"/>
          <w:spacing w:val="-6"/>
          <w:w w:val="110"/>
        </w:rPr>
        <w:t> </w:t>
      </w:r>
      <w:r>
        <w:rPr>
          <w:color w:val="231F1F"/>
          <w:w w:val="110"/>
        </w:rPr>
        <w:t>0,5-12</w:t>
      </w:r>
      <w:r>
        <w:rPr>
          <w:color w:val="231F1F"/>
          <w:spacing w:val="-6"/>
          <w:w w:val="110"/>
        </w:rPr>
        <w:t> </w:t>
      </w:r>
      <w:r>
        <w:rPr>
          <w:color w:val="231F1F"/>
          <w:w w:val="110"/>
        </w:rPr>
        <w:t>horas)</w:t>
      </w:r>
      <w:r>
        <w:rPr>
          <w:color w:val="231F1F"/>
          <w:spacing w:val="-7"/>
          <w:w w:val="110"/>
        </w:rPr>
        <w:t> </w:t>
      </w:r>
      <w:r>
        <w:rPr>
          <w:color w:val="231F1F"/>
          <w:w w:val="110"/>
        </w:rPr>
        <w:t>para</w:t>
      </w:r>
      <w:r>
        <w:rPr>
          <w:color w:val="231F1F"/>
          <w:spacing w:val="-6"/>
          <w:w w:val="110"/>
        </w:rPr>
        <w:t> </w:t>
      </w:r>
      <w:r>
        <w:rPr>
          <w:color w:val="231F1F"/>
          <w:w w:val="110"/>
        </w:rPr>
        <w:t>multíparas.</w:t>
      </w:r>
      <w:r>
        <w:rPr>
          <w:color w:val="231F1F"/>
          <w:spacing w:val="-6"/>
          <w:w w:val="110"/>
        </w:rPr>
        <w:t> </w:t>
      </w:r>
      <w:r>
        <w:rPr>
          <w:color w:val="231F1F"/>
          <w:w w:val="110"/>
        </w:rPr>
        <w:t>El</w:t>
      </w:r>
      <w:r>
        <w:rPr>
          <w:color w:val="231F1F"/>
          <w:spacing w:val="-7"/>
          <w:w w:val="110"/>
        </w:rPr>
        <w:t> </w:t>
      </w:r>
      <w:r>
        <w:rPr>
          <w:color w:val="231F1F"/>
          <w:w w:val="110"/>
        </w:rPr>
        <w:t>análisis</w:t>
      </w:r>
      <w:r>
        <w:rPr>
          <w:color w:val="231F1F"/>
          <w:spacing w:val="-7"/>
          <w:w w:val="110"/>
        </w:rPr>
        <w:t> </w:t>
      </w:r>
      <w:r>
        <w:rPr>
          <w:color w:val="231F1F"/>
          <w:w w:val="110"/>
        </w:rPr>
        <w:t>de</w:t>
      </w:r>
      <w:r>
        <w:rPr>
          <w:color w:val="231F1F"/>
          <w:spacing w:val="-6"/>
          <w:w w:val="110"/>
        </w:rPr>
        <w:t> </w:t>
      </w:r>
      <w:r>
        <w:rPr>
          <w:color w:val="231F1F"/>
          <w:w w:val="110"/>
        </w:rPr>
        <w:t>regresión</w:t>
      </w:r>
      <w:r>
        <w:rPr>
          <w:color w:val="231F1F"/>
          <w:spacing w:val="-6"/>
          <w:w w:val="110"/>
        </w:rPr>
        <w:t> </w:t>
      </w:r>
      <w:r>
        <w:rPr>
          <w:color w:val="231F1F"/>
          <w:w w:val="110"/>
        </w:rPr>
        <w:t>mostró</w:t>
      </w:r>
      <w:r>
        <w:rPr>
          <w:color w:val="231F1F"/>
          <w:spacing w:val="-6"/>
          <w:w w:val="110"/>
        </w:rPr>
        <w:t> </w:t>
      </w:r>
      <w:r>
        <w:rPr>
          <w:color w:val="231F1F"/>
          <w:w w:val="110"/>
        </w:rPr>
        <w:t>que</w:t>
      </w:r>
      <w:r>
        <w:rPr>
          <w:color w:val="231F1F"/>
          <w:spacing w:val="-6"/>
          <w:w w:val="110"/>
        </w:rPr>
        <w:t> </w:t>
      </w:r>
      <w:r>
        <w:rPr>
          <w:color w:val="231F1F"/>
          <w:w w:val="110"/>
        </w:rPr>
        <w:t>la </w:t>
      </w:r>
      <w:r>
        <w:rPr>
          <w:color w:val="231F1F"/>
        </w:rPr>
        <w:t>duración del parto fue inferior en las multíparas que en las nulíparas, sin que se </w:t>
      </w:r>
      <w:r>
        <w:rPr>
          <w:color w:val="231F1F"/>
          <w:spacing w:val="-2"/>
          <w:w w:val="110"/>
        </w:rPr>
        <w:t>encontraran</w:t>
      </w:r>
      <w:r>
        <w:rPr>
          <w:color w:val="231F1F"/>
          <w:spacing w:val="-7"/>
          <w:w w:val="110"/>
        </w:rPr>
        <w:t> </w:t>
      </w:r>
      <w:r>
        <w:rPr>
          <w:color w:val="231F1F"/>
          <w:spacing w:val="-2"/>
          <w:w w:val="110"/>
        </w:rPr>
        <w:t>otras</w:t>
      </w:r>
      <w:r>
        <w:rPr>
          <w:color w:val="231F1F"/>
          <w:spacing w:val="-9"/>
          <w:w w:val="110"/>
        </w:rPr>
        <w:t> </w:t>
      </w:r>
      <w:r>
        <w:rPr>
          <w:color w:val="231F1F"/>
          <w:spacing w:val="-2"/>
          <w:w w:val="110"/>
        </w:rPr>
        <w:t>variables</w:t>
      </w:r>
      <w:r>
        <w:rPr>
          <w:color w:val="231F1F"/>
          <w:spacing w:val="-9"/>
          <w:w w:val="110"/>
        </w:rPr>
        <w:t> </w:t>
      </w:r>
      <w:r>
        <w:rPr>
          <w:color w:val="231F1F"/>
          <w:spacing w:val="-2"/>
          <w:w w:val="110"/>
        </w:rPr>
        <w:t>demográficas</w:t>
      </w:r>
      <w:r>
        <w:rPr>
          <w:color w:val="231F1F"/>
          <w:spacing w:val="-9"/>
          <w:w w:val="110"/>
        </w:rPr>
        <w:t> </w:t>
      </w:r>
      <w:r>
        <w:rPr>
          <w:color w:val="231F1F"/>
          <w:spacing w:val="-2"/>
          <w:w w:val="110"/>
        </w:rPr>
        <w:t>asociadas</w:t>
      </w:r>
      <w:r>
        <w:rPr>
          <w:color w:val="231F1F"/>
          <w:spacing w:val="-8"/>
          <w:w w:val="110"/>
        </w:rPr>
        <w:t> </w:t>
      </w:r>
      <w:r>
        <w:rPr>
          <w:color w:val="231F1F"/>
          <w:spacing w:val="-2"/>
          <w:w w:val="110"/>
        </w:rPr>
        <w:t>con</w:t>
      </w:r>
      <w:r>
        <w:rPr>
          <w:color w:val="231F1F"/>
          <w:spacing w:val="-8"/>
          <w:w w:val="110"/>
        </w:rPr>
        <w:t> </w:t>
      </w:r>
      <w:r>
        <w:rPr>
          <w:color w:val="231F1F"/>
          <w:spacing w:val="-2"/>
          <w:w w:val="110"/>
        </w:rPr>
        <w:t>la</w:t>
      </w:r>
      <w:r>
        <w:rPr>
          <w:color w:val="231F1F"/>
          <w:spacing w:val="-8"/>
          <w:w w:val="110"/>
        </w:rPr>
        <w:t> </w:t>
      </w:r>
      <w:r>
        <w:rPr>
          <w:color w:val="231F1F"/>
          <w:spacing w:val="-2"/>
          <w:w w:val="110"/>
        </w:rPr>
        <w:t>duración</w:t>
      </w:r>
      <w:r>
        <w:rPr>
          <w:color w:val="231F1F"/>
          <w:spacing w:val="-8"/>
          <w:w w:val="110"/>
        </w:rPr>
        <w:t> </w:t>
      </w:r>
      <w:r>
        <w:rPr>
          <w:color w:val="231F1F"/>
          <w:spacing w:val="-2"/>
          <w:w w:val="110"/>
        </w:rPr>
        <w:t>de</w:t>
      </w:r>
      <w:r>
        <w:rPr>
          <w:color w:val="231F1F"/>
          <w:spacing w:val="-8"/>
          <w:w w:val="110"/>
        </w:rPr>
        <w:t> </w:t>
      </w:r>
      <w:r>
        <w:rPr>
          <w:color w:val="231F1F"/>
          <w:spacing w:val="-2"/>
          <w:w w:val="110"/>
        </w:rPr>
        <w:t>la</w:t>
      </w:r>
      <w:r>
        <w:rPr>
          <w:color w:val="231F1F"/>
          <w:spacing w:val="-8"/>
          <w:w w:val="110"/>
        </w:rPr>
        <w:t> </w:t>
      </w:r>
      <w:r>
        <w:rPr>
          <w:color w:val="231F1F"/>
          <w:spacing w:val="-2"/>
          <w:w w:val="110"/>
        </w:rPr>
        <w:t>pri- </w:t>
      </w:r>
      <w:r>
        <w:rPr>
          <w:color w:val="231F1F"/>
          <w:spacing w:val="-4"/>
          <w:w w:val="110"/>
        </w:rPr>
        <w:t>mera</w:t>
      </w:r>
      <w:r>
        <w:rPr>
          <w:color w:val="231F1F"/>
          <w:spacing w:val="-7"/>
          <w:w w:val="110"/>
        </w:rPr>
        <w:t> </w:t>
      </w:r>
      <w:r>
        <w:rPr>
          <w:color w:val="231F1F"/>
          <w:spacing w:val="-4"/>
          <w:w w:val="110"/>
        </w:rPr>
        <w:t>etapa</w:t>
      </w:r>
      <w:r>
        <w:rPr>
          <w:color w:val="231F1F"/>
          <w:spacing w:val="-7"/>
          <w:w w:val="110"/>
        </w:rPr>
        <w:t> </w:t>
      </w:r>
      <w:r>
        <w:rPr>
          <w:color w:val="231F1F"/>
          <w:spacing w:val="-4"/>
          <w:w w:val="110"/>
        </w:rPr>
        <w:t>del</w:t>
      </w:r>
      <w:r>
        <w:rPr>
          <w:color w:val="231F1F"/>
          <w:spacing w:val="-8"/>
          <w:w w:val="110"/>
        </w:rPr>
        <w:t> </w:t>
      </w:r>
      <w:r>
        <w:rPr>
          <w:color w:val="231F1F"/>
          <w:spacing w:val="-4"/>
          <w:w w:val="110"/>
        </w:rPr>
        <w:t>parto.</w:t>
      </w:r>
      <w:r>
        <w:rPr>
          <w:color w:val="231F1F"/>
          <w:spacing w:val="-8"/>
          <w:w w:val="110"/>
        </w:rPr>
        <w:t> </w:t>
      </w:r>
      <w:r>
        <w:rPr>
          <w:color w:val="231F1F"/>
          <w:spacing w:val="-4"/>
          <w:w w:val="110"/>
        </w:rPr>
        <w:t>Un</w:t>
      </w:r>
      <w:r>
        <w:rPr>
          <w:color w:val="231F1F"/>
          <w:spacing w:val="-7"/>
          <w:w w:val="110"/>
        </w:rPr>
        <w:t> </w:t>
      </w:r>
      <w:r>
        <w:rPr>
          <w:color w:val="231F1F"/>
          <w:spacing w:val="-4"/>
          <w:w w:val="110"/>
        </w:rPr>
        <w:t>intervalo</w:t>
      </w:r>
      <w:r>
        <w:rPr>
          <w:color w:val="231F1F"/>
          <w:spacing w:val="-7"/>
          <w:w w:val="110"/>
        </w:rPr>
        <w:t> </w:t>
      </w:r>
      <w:r>
        <w:rPr>
          <w:color w:val="231F1F"/>
          <w:spacing w:val="-4"/>
          <w:w w:val="110"/>
        </w:rPr>
        <w:t>corto</w:t>
      </w:r>
      <w:r>
        <w:rPr>
          <w:color w:val="231F1F"/>
          <w:spacing w:val="-7"/>
          <w:w w:val="110"/>
        </w:rPr>
        <w:t> </w:t>
      </w:r>
      <w:r>
        <w:rPr>
          <w:color w:val="231F1F"/>
          <w:spacing w:val="-4"/>
          <w:w w:val="110"/>
        </w:rPr>
        <w:t>entre</w:t>
      </w:r>
      <w:r>
        <w:rPr>
          <w:color w:val="231F1F"/>
          <w:spacing w:val="-7"/>
          <w:w w:val="110"/>
        </w:rPr>
        <w:t> </w:t>
      </w:r>
      <w:r>
        <w:rPr>
          <w:color w:val="231F1F"/>
          <w:spacing w:val="-4"/>
          <w:w w:val="110"/>
        </w:rPr>
        <w:t>el</w:t>
      </w:r>
      <w:r>
        <w:rPr>
          <w:color w:val="231F1F"/>
          <w:spacing w:val="-8"/>
          <w:w w:val="110"/>
        </w:rPr>
        <w:t> </w:t>
      </w:r>
      <w:r>
        <w:rPr>
          <w:color w:val="231F1F"/>
          <w:spacing w:val="-4"/>
          <w:w w:val="110"/>
        </w:rPr>
        <w:t>inicio</w:t>
      </w:r>
      <w:r>
        <w:rPr>
          <w:color w:val="231F1F"/>
          <w:spacing w:val="-6"/>
          <w:w w:val="110"/>
        </w:rPr>
        <w:t> </w:t>
      </w:r>
      <w:r>
        <w:rPr>
          <w:color w:val="231F1F"/>
          <w:spacing w:val="-4"/>
          <w:w w:val="110"/>
        </w:rPr>
        <w:t>del</w:t>
      </w:r>
      <w:r>
        <w:rPr>
          <w:color w:val="231F1F"/>
          <w:spacing w:val="-8"/>
          <w:w w:val="110"/>
        </w:rPr>
        <w:t> </w:t>
      </w:r>
      <w:r>
        <w:rPr>
          <w:color w:val="231F1F"/>
          <w:spacing w:val="-4"/>
          <w:w w:val="110"/>
        </w:rPr>
        <w:t>parto</w:t>
      </w:r>
      <w:r>
        <w:rPr>
          <w:color w:val="231F1F"/>
          <w:spacing w:val="-7"/>
          <w:w w:val="110"/>
        </w:rPr>
        <w:t> </w:t>
      </w:r>
      <w:r>
        <w:rPr>
          <w:color w:val="231F1F"/>
          <w:spacing w:val="-4"/>
          <w:w w:val="110"/>
        </w:rPr>
        <w:t>y</w:t>
      </w:r>
      <w:r>
        <w:rPr>
          <w:color w:val="231F1F"/>
          <w:spacing w:val="-7"/>
          <w:w w:val="110"/>
        </w:rPr>
        <w:t> </w:t>
      </w:r>
      <w:r>
        <w:rPr>
          <w:color w:val="231F1F"/>
          <w:spacing w:val="-4"/>
          <w:w w:val="110"/>
        </w:rPr>
        <w:t>el</w:t>
      </w:r>
      <w:r>
        <w:rPr>
          <w:color w:val="231F1F"/>
          <w:spacing w:val="-8"/>
          <w:w w:val="110"/>
        </w:rPr>
        <w:t> </w:t>
      </w:r>
      <w:r>
        <w:rPr>
          <w:color w:val="231F1F"/>
          <w:spacing w:val="-4"/>
          <w:w w:val="110"/>
        </w:rPr>
        <w:t>comienzo </w:t>
      </w:r>
      <w:r>
        <w:rPr>
          <w:color w:val="231F1F"/>
          <w:spacing w:val="-2"/>
          <w:w w:val="110"/>
        </w:rPr>
        <w:t>de</w:t>
      </w:r>
      <w:r>
        <w:rPr>
          <w:color w:val="231F1F"/>
          <w:spacing w:val="-12"/>
          <w:w w:val="110"/>
        </w:rPr>
        <w:t> </w:t>
      </w:r>
      <w:r>
        <w:rPr>
          <w:color w:val="231F1F"/>
          <w:spacing w:val="-2"/>
          <w:w w:val="110"/>
        </w:rPr>
        <w:t>la</w:t>
      </w:r>
      <w:r>
        <w:rPr>
          <w:color w:val="231F1F"/>
          <w:spacing w:val="-11"/>
          <w:w w:val="110"/>
        </w:rPr>
        <w:t> </w:t>
      </w:r>
      <w:r>
        <w:rPr>
          <w:color w:val="231F1F"/>
          <w:spacing w:val="-2"/>
          <w:w w:val="110"/>
        </w:rPr>
        <w:t>atención</w:t>
      </w:r>
      <w:r>
        <w:rPr>
          <w:color w:val="231F1F"/>
          <w:spacing w:val="-11"/>
          <w:w w:val="110"/>
        </w:rPr>
        <w:t> </w:t>
      </w:r>
      <w:r>
        <w:rPr>
          <w:color w:val="231F1F"/>
          <w:spacing w:val="-2"/>
          <w:w w:val="110"/>
        </w:rPr>
        <w:t>por</w:t>
      </w:r>
      <w:r>
        <w:rPr>
          <w:color w:val="231F1F"/>
          <w:spacing w:val="-12"/>
          <w:w w:val="110"/>
        </w:rPr>
        <w:t> </w:t>
      </w:r>
      <w:r>
        <w:rPr>
          <w:color w:val="231F1F"/>
          <w:spacing w:val="-2"/>
          <w:w w:val="110"/>
        </w:rPr>
        <w:t>parte</w:t>
      </w:r>
      <w:r>
        <w:rPr>
          <w:color w:val="231F1F"/>
          <w:spacing w:val="-12"/>
          <w:w w:val="110"/>
        </w:rPr>
        <w:t> </w:t>
      </w:r>
      <w:r>
        <w:rPr>
          <w:color w:val="231F1F"/>
          <w:spacing w:val="-2"/>
          <w:w w:val="110"/>
        </w:rPr>
        <w:t>de</w:t>
      </w:r>
      <w:r>
        <w:rPr>
          <w:color w:val="231F1F"/>
          <w:spacing w:val="-12"/>
          <w:w w:val="110"/>
        </w:rPr>
        <w:t> </w:t>
      </w:r>
      <w:r>
        <w:rPr>
          <w:color w:val="231F1F"/>
          <w:spacing w:val="-2"/>
          <w:w w:val="110"/>
        </w:rPr>
        <w:t>la</w:t>
      </w:r>
      <w:r>
        <w:rPr>
          <w:color w:val="231F1F"/>
          <w:spacing w:val="-11"/>
          <w:w w:val="110"/>
        </w:rPr>
        <w:t> </w:t>
      </w:r>
      <w:r>
        <w:rPr>
          <w:color w:val="231F1F"/>
          <w:spacing w:val="-2"/>
          <w:w w:val="110"/>
        </w:rPr>
        <w:t>matrona</w:t>
      </w:r>
      <w:r>
        <w:rPr>
          <w:color w:val="231F1F"/>
          <w:spacing w:val="-12"/>
          <w:w w:val="110"/>
        </w:rPr>
        <w:t> </w:t>
      </w:r>
      <w:r>
        <w:rPr>
          <w:color w:val="231F1F"/>
          <w:spacing w:val="-2"/>
          <w:w w:val="110"/>
        </w:rPr>
        <w:t>se</w:t>
      </w:r>
      <w:r>
        <w:rPr>
          <w:color w:val="231F1F"/>
          <w:spacing w:val="-12"/>
          <w:w w:val="110"/>
        </w:rPr>
        <w:t> </w:t>
      </w:r>
      <w:r>
        <w:rPr>
          <w:color w:val="231F1F"/>
          <w:spacing w:val="-2"/>
          <w:w w:val="110"/>
        </w:rPr>
        <w:t>asoció</w:t>
      </w:r>
      <w:r>
        <w:rPr>
          <w:color w:val="231F1F"/>
          <w:spacing w:val="-11"/>
          <w:w w:val="110"/>
        </w:rPr>
        <w:t> </w:t>
      </w:r>
      <w:r>
        <w:rPr>
          <w:color w:val="231F1F"/>
          <w:spacing w:val="-2"/>
          <w:w w:val="110"/>
        </w:rPr>
        <w:t>con</w:t>
      </w:r>
      <w:r>
        <w:rPr>
          <w:color w:val="231F1F"/>
          <w:spacing w:val="-11"/>
          <w:w w:val="110"/>
        </w:rPr>
        <w:t> </w:t>
      </w:r>
      <w:r>
        <w:rPr>
          <w:color w:val="231F1F"/>
          <w:spacing w:val="-2"/>
          <w:w w:val="110"/>
        </w:rPr>
        <w:t>una</w:t>
      </w:r>
      <w:r>
        <w:rPr>
          <w:color w:val="231F1F"/>
          <w:spacing w:val="-11"/>
          <w:w w:val="110"/>
        </w:rPr>
        <w:t> </w:t>
      </w:r>
      <w:r>
        <w:rPr>
          <w:color w:val="231F1F"/>
          <w:spacing w:val="-2"/>
          <w:w w:val="110"/>
        </w:rPr>
        <w:t>menor</w:t>
      </w:r>
      <w:r>
        <w:rPr>
          <w:color w:val="231F1F"/>
          <w:spacing w:val="-12"/>
          <w:w w:val="110"/>
        </w:rPr>
        <w:t> </w:t>
      </w:r>
      <w:r>
        <w:rPr>
          <w:color w:val="231F1F"/>
          <w:spacing w:val="-2"/>
          <w:w w:val="110"/>
        </w:rPr>
        <w:t>duración</w:t>
      </w:r>
      <w:r>
        <w:rPr>
          <w:color w:val="231F1F"/>
          <w:spacing w:val="-12"/>
          <w:w w:val="110"/>
        </w:rPr>
        <w:t> </w:t>
      </w:r>
      <w:r>
        <w:rPr>
          <w:color w:val="231F1F"/>
          <w:spacing w:val="-2"/>
          <w:w w:val="110"/>
        </w:rPr>
        <w:t>de</w:t>
      </w:r>
      <w:r>
        <w:rPr>
          <w:color w:val="231F1F"/>
          <w:spacing w:val="-12"/>
          <w:w w:val="110"/>
        </w:rPr>
        <w:t> </w:t>
      </w:r>
      <w:r>
        <w:rPr>
          <w:color w:val="231F1F"/>
          <w:spacing w:val="-2"/>
          <w:w w:val="110"/>
        </w:rPr>
        <w:t>la </w:t>
      </w:r>
      <w:r>
        <w:rPr>
          <w:color w:val="231F1F"/>
          <w:w w:val="110"/>
        </w:rPr>
        <w:t>primera</w:t>
      </w:r>
      <w:r>
        <w:rPr>
          <w:color w:val="231F1F"/>
          <w:spacing w:val="-12"/>
          <w:w w:val="110"/>
        </w:rPr>
        <w:t> </w:t>
      </w:r>
      <w:r>
        <w:rPr>
          <w:color w:val="231F1F"/>
          <w:w w:val="110"/>
        </w:rPr>
        <w:t>etapa</w:t>
      </w:r>
      <w:r>
        <w:rPr>
          <w:color w:val="231F1F"/>
          <w:spacing w:val="-12"/>
          <w:w w:val="110"/>
        </w:rPr>
        <w:t> </w:t>
      </w:r>
      <w:r>
        <w:rPr>
          <w:color w:val="231F1F"/>
          <w:w w:val="110"/>
        </w:rPr>
        <w:t>del</w:t>
      </w:r>
      <w:r>
        <w:rPr>
          <w:color w:val="231F1F"/>
          <w:spacing w:val="-13"/>
          <w:w w:val="110"/>
        </w:rPr>
        <w:t> </w:t>
      </w:r>
      <w:r>
        <w:rPr>
          <w:color w:val="231F1F"/>
          <w:w w:val="110"/>
        </w:rPr>
        <w:t>parto;</w:t>
      </w:r>
      <w:r>
        <w:rPr>
          <w:color w:val="231F1F"/>
          <w:spacing w:val="-13"/>
          <w:w w:val="110"/>
        </w:rPr>
        <w:t> </w:t>
      </w:r>
      <w:r>
        <w:rPr>
          <w:color w:val="231F1F"/>
          <w:w w:val="110"/>
        </w:rPr>
        <w:t>el</w:t>
      </w:r>
      <w:r>
        <w:rPr>
          <w:color w:val="231F1F"/>
          <w:spacing w:val="-13"/>
          <w:w w:val="110"/>
        </w:rPr>
        <w:t> </w:t>
      </w:r>
      <w:r>
        <w:rPr>
          <w:color w:val="231F1F"/>
          <w:w w:val="110"/>
        </w:rPr>
        <w:t>efecto</w:t>
      </w:r>
      <w:r>
        <w:rPr>
          <w:color w:val="231F1F"/>
          <w:spacing w:val="-12"/>
          <w:w w:val="110"/>
        </w:rPr>
        <w:t> </w:t>
      </w:r>
      <w:r>
        <w:rPr>
          <w:color w:val="231F1F"/>
          <w:w w:val="110"/>
        </w:rPr>
        <w:t>fue</w:t>
      </w:r>
      <w:r>
        <w:rPr>
          <w:color w:val="231F1F"/>
          <w:spacing w:val="-12"/>
          <w:w w:val="110"/>
        </w:rPr>
        <w:t> </w:t>
      </w:r>
      <w:r>
        <w:rPr>
          <w:color w:val="231F1F"/>
          <w:w w:val="110"/>
        </w:rPr>
        <w:t>más</w:t>
      </w:r>
      <w:r>
        <w:rPr>
          <w:color w:val="231F1F"/>
          <w:spacing w:val="-12"/>
          <w:w w:val="110"/>
        </w:rPr>
        <w:t> </w:t>
      </w:r>
      <w:r>
        <w:rPr>
          <w:color w:val="231F1F"/>
          <w:w w:val="110"/>
        </w:rPr>
        <w:t>pronunciado</w:t>
      </w:r>
      <w:r>
        <w:rPr>
          <w:color w:val="231F1F"/>
          <w:spacing w:val="-13"/>
          <w:w w:val="110"/>
        </w:rPr>
        <w:t> </w:t>
      </w:r>
      <w:r>
        <w:rPr>
          <w:color w:val="231F1F"/>
          <w:w w:val="110"/>
        </w:rPr>
        <w:t>en</w:t>
      </w:r>
      <w:r>
        <w:rPr>
          <w:color w:val="231F1F"/>
          <w:spacing w:val="-12"/>
          <w:w w:val="110"/>
        </w:rPr>
        <w:t> </w:t>
      </w:r>
      <w:r>
        <w:rPr>
          <w:color w:val="231F1F"/>
          <w:w w:val="110"/>
        </w:rPr>
        <w:t>las</w:t>
      </w:r>
      <w:r>
        <w:rPr>
          <w:color w:val="231F1F"/>
          <w:spacing w:val="-12"/>
          <w:w w:val="110"/>
        </w:rPr>
        <w:t> </w:t>
      </w:r>
      <w:r>
        <w:rPr>
          <w:color w:val="231F1F"/>
          <w:w w:val="110"/>
        </w:rPr>
        <w:t>multíparas</w:t>
      </w:r>
      <w:r>
        <w:rPr>
          <w:color w:val="231F1F"/>
          <w:spacing w:val="-12"/>
          <w:w w:val="110"/>
        </w:rPr>
        <w:t> </w:t>
      </w:r>
      <w:r>
        <w:rPr>
          <w:color w:val="231F1F"/>
          <w:w w:val="110"/>
        </w:rPr>
        <w:t>y</w:t>
      </w:r>
      <w:r>
        <w:rPr>
          <w:color w:val="231F1F"/>
          <w:spacing w:val="-12"/>
          <w:w w:val="110"/>
        </w:rPr>
        <w:t> </w:t>
      </w:r>
      <w:r>
        <w:rPr>
          <w:color w:val="231F1F"/>
          <w:w w:val="110"/>
        </w:rPr>
        <w:t>si las</w:t>
      </w:r>
      <w:r>
        <w:rPr>
          <w:color w:val="231F1F"/>
          <w:spacing w:val="-12"/>
          <w:w w:val="110"/>
        </w:rPr>
        <w:t> </w:t>
      </w:r>
      <w:r>
        <w:rPr>
          <w:color w:val="231F1F"/>
          <w:w w:val="110"/>
        </w:rPr>
        <w:t>membranas</w:t>
      </w:r>
      <w:r>
        <w:rPr>
          <w:color w:val="231F1F"/>
          <w:spacing w:val="-12"/>
          <w:w w:val="110"/>
        </w:rPr>
        <w:t> </w:t>
      </w:r>
      <w:r>
        <w:rPr>
          <w:color w:val="231F1F"/>
          <w:w w:val="110"/>
        </w:rPr>
        <w:t>estaban</w:t>
      </w:r>
      <w:r>
        <w:rPr>
          <w:color w:val="231F1F"/>
          <w:spacing w:val="-12"/>
          <w:w w:val="110"/>
        </w:rPr>
        <w:t> </w:t>
      </w:r>
      <w:r>
        <w:rPr>
          <w:color w:val="231F1F"/>
          <w:w w:val="110"/>
        </w:rPr>
        <w:t>rotas</w:t>
      </w:r>
      <w:r>
        <w:rPr>
          <w:color w:val="231F1F"/>
          <w:spacing w:val="-12"/>
          <w:w w:val="110"/>
        </w:rPr>
        <w:t> </w:t>
      </w:r>
      <w:r>
        <w:rPr>
          <w:color w:val="231F1F"/>
          <w:w w:val="110"/>
        </w:rPr>
        <w:t>antes</w:t>
      </w:r>
      <w:r>
        <w:rPr>
          <w:color w:val="231F1F"/>
          <w:spacing w:val="-12"/>
          <w:w w:val="110"/>
        </w:rPr>
        <w:t> </w:t>
      </w:r>
      <w:r>
        <w:rPr>
          <w:color w:val="231F1F"/>
          <w:w w:val="110"/>
        </w:rPr>
        <w:t>del</w:t>
      </w:r>
      <w:r>
        <w:rPr>
          <w:color w:val="231F1F"/>
          <w:spacing w:val="-14"/>
          <w:w w:val="110"/>
        </w:rPr>
        <w:t> </w:t>
      </w:r>
      <w:r>
        <w:rPr>
          <w:color w:val="231F1F"/>
          <w:w w:val="110"/>
        </w:rPr>
        <w:t>inicio</w:t>
      </w:r>
      <w:r>
        <w:rPr>
          <w:color w:val="231F1F"/>
          <w:spacing w:val="-12"/>
          <w:w w:val="110"/>
        </w:rPr>
        <w:t> </w:t>
      </w:r>
      <w:r>
        <w:rPr>
          <w:color w:val="231F1F"/>
          <w:w w:val="110"/>
        </w:rPr>
        <w:t>de</w:t>
      </w:r>
      <w:r>
        <w:rPr>
          <w:color w:val="231F1F"/>
          <w:spacing w:val="-12"/>
          <w:w w:val="110"/>
        </w:rPr>
        <w:t> </w:t>
      </w:r>
      <w:r>
        <w:rPr>
          <w:color w:val="231F1F"/>
          <w:w w:val="110"/>
        </w:rPr>
        <w:t>los</w:t>
      </w:r>
      <w:r>
        <w:rPr>
          <w:color w:val="231F1F"/>
          <w:spacing w:val="-12"/>
          <w:w w:val="110"/>
        </w:rPr>
        <w:t> </w:t>
      </w:r>
      <w:r>
        <w:rPr>
          <w:color w:val="231F1F"/>
          <w:w w:val="110"/>
        </w:rPr>
        <w:t>cuidados</w:t>
      </w:r>
      <w:r>
        <w:rPr>
          <w:color w:val="231F1F"/>
          <w:spacing w:val="-12"/>
          <w:w w:val="110"/>
        </w:rPr>
        <w:t> </w:t>
      </w:r>
      <w:r>
        <w:rPr>
          <w:color w:val="231F1F"/>
          <w:w w:val="110"/>
        </w:rPr>
        <w:t>por</w:t>
      </w:r>
      <w:r>
        <w:rPr>
          <w:color w:val="231F1F"/>
          <w:spacing w:val="-12"/>
          <w:w w:val="110"/>
        </w:rPr>
        <w:t> </w:t>
      </w:r>
      <w:r>
        <w:rPr>
          <w:color w:val="231F1F"/>
          <w:w w:val="110"/>
        </w:rPr>
        <w:t>la</w:t>
      </w:r>
      <w:r>
        <w:rPr>
          <w:color w:val="231F1F"/>
          <w:spacing w:val="-12"/>
          <w:w w:val="110"/>
        </w:rPr>
        <w:t> </w:t>
      </w:r>
      <w:r>
        <w:rPr>
          <w:color w:val="231F1F"/>
          <w:w w:val="110"/>
        </w:rPr>
        <w:t>matrona.</w:t>
      </w:r>
    </w:p>
    <w:p>
      <w:pPr>
        <w:pStyle w:val="BodyText"/>
        <w:spacing w:line="249" w:lineRule="auto" w:before="118"/>
        <w:ind w:left="283" w:firstLine="453"/>
        <w:jc w:val="both"/>
      </w:pPr>
      <w:r>
        <w:rPr>
          <w:color w:val="231F1F"/>
          <w:w w:val="105"/>
        </w:rPr>
        <w:t>Otro</w:t>
      </w:r>
      <w:r>
        <w:rPr>
          <w:color w:val="231F1F"/>
          <w:spacing w:val="-1"/>
          <w:w w:val="105"/>
        </w:rPr>
        <w:t> </w:t>
      </w:r>
      <w:r>
        <w:rPr>
          <w:color w:val="231F1F"/>
          <w:w w:val="105"/>
        </w:rPr>
        <w:t>estudio estadounidense investigó</w:t>
      </w:r>
      <w:r>
        <w:rPr>
          <w:color w:val="231F1F"/>
          <w:spacing w:val="-1"/>
          <w:w w:val="105"/>
        </w:rPr>
        <w:t> </w:t>
      </w:r>
      <w:r>
        <w:rPr>
          <w:color w:val="231F1F"/>
          <w:w w:val="105"/>
        </w:rPr>
        <w:t>(28)</w:t>
      </w:r>
      <w:r>
        <w:rPr>
          <w:color w:val="231F1F"/>
          <w:spacing w:val="-1"/>
          <w:w w:val="105"/>
        </w:rPr>
        <w:t> </w:t>
      </w:r>
      <w:r>
        <w:rPr>
          <w:color w:val="231F1F"/>
          <w:w w:val="105"/>
        </w:rPr>
        <w:t>la</w:t>
      </w:r>
      <w:r>
        <w:rPr>
          <w:color w:val="231F1F"/>
          <w:spacing w:val="-1"/>
          <w:w w:val="105"/>
        </w:rPr>
        <w:t> </w:t>
      </w:r>
      <w:r>
        <w:rPr>
          <w:color w:val="231F1F"/>
          <w:w w:val="105"/>
        </w:rPr>
        <w:t>duración</w:t>
      </w:r>
      <w:r>
        <w:rPr>
          <w:color w:val="231F1F"/>
          <w:spacing w:val="-1"/>
          <w:w w:val="105"/>
        </w:rPr>
        <w:t> </w:t>
      </w:r>
      <w:r>
        <w:rPr>
          <w:color w:val="231F1F"/>
          <w:w w:val="105"/>
        </w:rPr>
        <w:t>del</w:t>
      </w:r>
      <w:r>
        <w:rPr>
          <w:color w:val="231F1F"/>
          <w:spacing w:val="-1"/>
          <w:w w:val="105"/>
        </w:rPr>
        <w:t> </w:t>
      </w:r>
      <w:r>
        <w:rPr>
          <w:color w:val="231F1F"/>
          <w:w w:val="105"/>
        </w:rPr>
        <w:t>parto</w:t>
      </w:r>
      <w:r>
        <w:rPr>
          <w:color w:val="231F1F"/>
          <w:spacing w:val="-1"/>
          <w:w w:val="105"/>
        </w:rPr>
        <w:t> </w:t>
      </w:r>
      <w:r>
        <w:rPr>
          <w:color w:val="231F1F"/>
          <w:w w:val="105"/>
        </w:rPr>
        <w:t>en</w:t>
      </w:r>
      <w:r>
        <w:rPr>
          <w:color w:val="231F1F"/>
          <w:spacing w:val="-1"/>
          <w:w w:val="105"/>
        </w:rPr>
        <w:t> </w:t>
      </w:r>
      <w:r>
        <w:rPr>
          <w:color w:val="231F1F"/>
          <w:w w:val="105"/>
        </w:rPr>
        <w:t>1.473 mujeres</w:t>
      </w:r>
      <w:r>
        <w:rPr>
          <w:color w:val="231F1F"/>
          <w:w w:val="105"/>
        </w:rPr>
        <w:t> de</w:t>
      </w:r>
      <w:r>
        <w:rPr>
          <w:color w:val="231F1F"/>
          <w:w w:val="105"/>
        </w:rPr>
        <w:t> bajo</w:t>
      </w:r>
      <w:r>
        <w:rPr>
          <w:color w:val="231F1F"/>
          <w:w w:val="105"/>
        </w:rPr>
        <w:t> riesgo,</w:t>
      </w:r>
      <w:r>
        <w:rPr>
          <w:color w:val="231F1F"/>
          <w:w w:val="105"/>
        </w:rPr>
        <w:t> por</w:t>
      </w:r>
      <w:r>
        <w:rPr>
          <w:color w:val="231F1F"/>
          <w:w w:val="105"/>
        </w:rPr>
        <w:t> etnias</w:t>
      </w:r>
      <w:r>
        <w:rPr>
          <w:color w:val="231F1F"/>
          <w:w w:val="105"/>
        </w:rPr>
        <w:t> (blancas</w:t>
      </w:r>
      <w:r>
        <w:rPr>
          <w:color w:val="231F1F"/>
          <w:w w:val="105"/>
        </w:rPr>
        <w:t> no</w:t>
      </w:r>
      <w:r>
        <w:rPr>
          <w:color w:val="231F1F"/>
          <w:w w:val="105"/>
        </w:rPr>
        <w:t> hispanas,</w:t>
      </w:r>
      <w:r>
        <w:rPr>
          <w:color w:val="231F1F"/>
          <w:w w:val="105"/>
        </w:rPr>
        <w:t> hispanas</w:t>
      </w:r>
      <w:r>
        <w:rPr>
          <w:color w:val="231F1F"/>
          <w:w w:val="105"/>
        </w:rPr>
        <w:t> e</w:t>
      </w:r>
      <w:r>
        <w:rPr>
          <w:color w:val="231F1F"/>
          <w:w w:val="105"/>
        </w:rPr>
        <w:t> Indias americanas). La duración media y el límite superior (dos desviaciones están- dar) para la fase activa del parto fueron de 7,7 horas (19,4 horas) para nulípa- ras</w:t>
      </w:r>
      <w:r>
        <w:rPr>
          <w:color w:val="231F1F"/>
          <w:w w:val="105"/>
        </w:rPr>
        <w:t> y</w:t>
      </w:r>
      <w:r>
        <w:rPr>
          <w:color w:val="231F1F"/>
          <w:w w:val="105"/>
        </w:rPr>
        <w:t> de</w:t>
      </w:r>
      <w:r>
        <w:rPr>
          <w:color w:val="231F1F"/>
          <w:w w:val="105"/>
        </w:rPr>
        <w:t> 5,7</w:t>
      </w:r>
      <w:r>
        <w:rPr>
          <w:color w:val="231F1F"/>
          <w:w w:val="105"/>
        </w:rPr>
        <w:t> horas</w:t>
      </w:r>
      <w:r>
        <w:rPr>
          <w:color w:val="231F1F"/>
          <w:w w:val="105"/>
        </w:rPr>
        <w:t> (13,7</w:t>
      </w:r>
      <w:r>
        <w:rPr>
          <w:color w:val="231F1F"/>
          <w:w w:val="105"/>
        </w:rPr>
        <w:t> horas)</w:t>
      </w:r>
      <w:r>
        <w:rPr>
          <w:color w:val="231F1F"/>
          <w:w w:val="105"/>
        </w:rPr>
        <w:t> para</w:t>
      </w:r>
      <w:r>
        <w:rPr>
          <w:color w:val="231F1F"/>
          <w:w w:val="105"/>
        </w:rPr>
        <w:t> multíparas,</w:t>
      </w:r>
      <w:r>
        <w:rPr>
          <w:color w:val="231F1F"/>
          <w:w w:val="105"/>
        </w:rPr>
        <w:t> sin</w:t>
      </w:r>
      <w:r>
        <w:rPr>
          <w:color w:val="231F1F"/>
          <w:w w:val="105"/>
        </w:rPr>
        <w:t> que</w:t>
      </w:r>
      <w:r>
        <w:rPr>
          <w:color w:val="231F1F"/>
          <w:w w:val="105"/>
        </w:rPr>
        <w:t> hubiera</w:t>
      </w:r>
      <w:r>
        <w:rPr>
          <w:color w:val="231F1F"/>
          <w:w w:val="105"/>
        </w:rPr>
        <w:t> diferencias estadísticamente</w:t>
      </w:r>
      <w:r>
        <w:rPr>
          <w:color w:val="231F1F"/>
          <w:spacing w:val="40"/>
          <w:w w:val="105"/>
        </w:rPr>
        <w:t> </w:t>
      </w:r>
      <w:r>
        <w:rPr>
          <w:color w:val="231F1F"/>
          <w:w w:val="105"/>
        </w:rPr>
        <w:t>significativas</w:t>
      </w:r>
      <w:r>
        <w:rPr>
          <w:color w:val="231F1F"/>
          <w:spacing w:val="40"/>
          <w:w w:val="105"/>
        </w:rPr>
        <w:t> </w:t>
      </w:r>
      <w:r>
        <w:rPr>
          <w:color w:val="231F1F"/>
          <w:w w:val="105"/>
        </w:rPr>
        <w:t>entre</w:t>
      </w:r>
      <w:r>
        <w:rPr>
          <w:color w:val="231F1F"/>
          <w:spacing w:val="40"/>
          <w:w w:val="105"/>
        </w:rPr>
        <w:t> </w:t>
      </w:r>
      <w:r>
        <w:rPr>
          <w:color w:val="231F1F"/>
          <w:w w:val="105"/>
        </w:rPr>
        <w:t>las</w:t>
      </w:r>
      <w:r>
        <w:rPr>
          <w:color w:val="231F1F"/>
          <w:spacing w:val="40"/>
          <w:w w:val="105"/>
        </w:rPr>
        <w:t> </w:t>
      </w:r>
      <w:r>
        <w:rPr>
          <w:color w:val="231F1F"/>
          <w:w w:val="105"/>
        </w:rPr>
        <w:t>diferentes</w:t>
      </w:r>
      <w:r>
        <w:rPr>
          <w:color w:val="231F1F"/>
          <w:spacing w:val="40"/>
          <w:w w:val="105"/>
        </w:rPr>
        <w:t> </w:t>
      </w:r>
      <w:r>
        <w:rPr>
          <w:color w:val="231F1F"/>
          <w:w w:val="105"/>
        </w:rPr>
        <w:t>etnias.</w:t>
      </w:r>
    </w:p>
    <w:p>
      <w:pPr>
        <w:pStyle w:val="BodyText"/>
        <w:spacing w:line="249" w:lineRule="auto" w:before="92"/>
        <w:ind w:left="283" w:right="1" w:firstLine="453"/>
        <w:jc w:val="both"/>
      </w:pPr>
      <w:r>
        <w:rPr>
          <w:color w:val="231F1F"/>
          <w:w w:val="110"/>
        </w:rPr>
        <w:t>Un</w:t>
      </w:r>
      <w:r>
        <w:rPr>
          <w:color w:val="231F1F"/>
          <w:spacing w:val="-2"/>
          <w:w w:val="110"/>
        </w:rPr>
        <w:t> </w:t>
      </w:r>
      <w:r>
        <w:rPr>
          <w:color w:val="231F1F"/>
          <w:w w:val="110"/>
        </w:rPr>
        <w:t>estudio</w:t>
      </w:r>
      <w:r>
        <w:rPr>
          <w:color w:val="231F1F"/>
          <w:spacing w:val="-2"/>
          <w:w w:val="110"/>
        </w:rPr>
        <w:t> </w:t>
      </w:r>
      <w:r>
        <w:rPr>
          <w:color w:val="231F1F"/>
          <w:w w:val="110"/>
        </w:rPr>
        <w:t>observacional</w:t>
      </w:r>
      <w:r>
        <w:rPr>
          <w:color w:val="231F1F"/>
          <w:spacing w:val="-3"/>
          <w:w w:val="110"/>
        </w:rPr>
        <w:t> </w:t>
      </w:r>
      <w:r>
        <w:rPr>
          <w:color w:val="231F1F"/>
          <w:w w:val="110"/>
        </w:rPr>
        <w:t>llevado</w:t>
      </w:r>
      <w:r>
        <w:rPr>
          <w:color w:val="231F1F"/>
          <w:spacing w:val="-2"/>
          <w:w w:val="110"/>
        </w:rPr>
        <w:t> </w:t>
      </w:r>
      <w:r>
        <w:rPr>
          <w:color w:val="231F1F"/>
          <w:w w:val="110"/>
        </w:rPr>
        <w:t>a</w:t>
      </w:r>
      <w:r>
        <w:rPr>
          <w:color w:val="231F1F"/>
          <w:spacing w:val="-2"/>
          <w:w w:val="110"/>
        </w:rPr>
        <w:t> </w:t>
      </w:r>
      <w:r>
        <w:rPr>
          <w:color w:val="231F1F"/>
          <w:w w:val="110"/>
        </w:rPr>
        <w:t>cabo</w:t>
      </w:r>
      <w:r>
        <w:rPr>
          <w:color w:val="231F1F"/>
          <w:spacing w:val="-2"/>
          <w:w w:val="110"/>
        </w:rPr>
        <w:t> </w:t>
      </w:r>
      <w:r>
        <w:rPr>
          <w:color w:val="231F1F"/>
          <w:w w:val="110"/>
        </w:rPr>
        <w:t>en</w:t>
      </w:r>
      <w:r>
        <w:rPr>
          <w:color w:val="231F1F"/>
          <w:spacing w:val="-2"/>
          <w:w w:val="110"/>
        </w:rPr>
        <w:t> </w:t>
      </w:r>
      <w:r>
        <w:rPr>
          <w:color w:val="231F1F"/>
          <w:w w:val="110"/>
        </w:rPr>
        <w:t>el</w:t>
      </w:r>
      <w:r>
        <w:rPr>
          <w:color w:val="231F1F"/>
          <w:spacing w:val="-2"/>
          <w:w w:val="110"/>
        </w:rPr>
        <w:t> </w:t>
      </w:r>
      <w:r>
        <w:rPr>
          <w:color w:val="231F1F"/>
          <w:w w:val="110"/>
        </w:rPr>
        <w:t>Reino</w:t>
      </w:r>
      <w:r>
        <w:rPr>
          <w:color w:val="231F1F"/>
          <w:spacing w:val="-2"/>
          <w:w w:val="110"/>
        </w:rPr>
        <w:t> </w:t>
      </w:r>
      <w:r>
        <w:rPr>
          <w:color w:val="231F1F"/>
          <w:w w:val="110"/>
        </w:rPr>
        <w:t>Unido</w:t>
      </w:r>
      <w:r>
        <w:rPr>
          <w:color w:val="231F1F"/>
          <w:spacing w:val="-2"/>
          <w:w w:val="110"/>
        </w:rPr>
        <w:t> </w:t>
      </w:r>
      <w:r>
        <w:rPr>
          <w:color w:val="231F1F"/>
          <w:w w:val="110"/>
        </w:rPr>
        <w:t>(31)</w:t>
      </w:r>
      <w:r>
        <w:rPr>
          <w:color w:val="231F1F"/>
          <w:spacing w:val="-2"/>
          <w:w w:val="110"/>
        </w:rPr>
        <w:t> </w:t>
      </w:r>
      <w:r>
        <w:rPr>
          <w:color w:val="231F1F"/>
          <w:w w:val="110"/>
        </w:rPr>
        <w:t>y</w:t>
      </w:r>
      <w:r>
        <w:rPr>
          <w:color w:val="231F1F"/>
          <w:spacing w:val="-2"/>
          <w:w w:val="110"/>
        </w:rPr>
        <w:t> </w:t>
      </w:r>
      <w:r>
        <w:rPr>
          <w:color w:val="231F1F"/>
          <w:w w:val="110"/>
        </w:rPr>
        <w:t>que incluía</w:t>
      </w:r>
      <w:r>
        <w:rPr>
          <w:color w:val="231F1F"/>
          <w:spacing w:val="-16"/>
          <w:w w:val="110"/>
        </w:rPr>
        <w:t> </w:t>
      </w:r>
      <w:r>
        <w:rPr>
          <w:color w:val="231F1F"/>
          <w:w w:val="110"/>
        </w:rPr>
        <w:t>a</w:t>
      </w:r>
      <w:r>
        <w:rPr>
          <w:color w:val="231F1F"/>
          <w:spacing w:val="-15"/>
          <w:w w:val="110"/>
        </w:rPr>
        <w:t> </w:t>
      </w:r>
      <w:r>
        <w:rPr>
          <w:color w:val="231F1F"/>
          <w:w w:val="110"/>
        </w:rPr>
        <w:t>403</w:t>
      </w:r>
      <w:r>
        <w:rPr>
          <w:color w:val="231F1F"/>
          <w:spacing w:val="-15"/>
          <w:w w:val="110"/>
        </w:rPr>
        <w:t> </w:t>
      </w:r>
      <w:r>
        <w:rPr>
          <w:color w:val="231F1F"/>
          <w:w w:val="110"/>
        </w:rPr>
        <w:t>mujeres</w:t>
      </w:r>
      <w:r>
        <w:rPr>
          <w:color w:val="231F1F"/>
          <w:spacing w:val="-15"/>
          <w:w w:val="110"/>
        </w:rPr>
        <w:t> </w:t>
      </w:r>
      <w:r>
        <w:rPr>
          <w:color w:val="231F1F"/>
          <w:w w:val="110"/>
        </w:rPr>
        <w:t>en</w:t>
      </w:r>
      <w:r>
        <w:rPr>
          <w:color w:val="231F1F"/>
          <w:spacing w:val="-15"/>
          <w:w w:val="110"/>
        </w:rPr>
        <w:t> </w:t>
      </w:r>
      <w:r>
        <w:rPr>
          <w:color w:val="231F1F"/>
          <w:w w:val="110"/>
        </w:rPr>
        <w:t>parto</w:t>
      </w:r>
      <w:r>
        <w:rPr>
          <w:color w:val="231F1F"/>
          <w:spacing w:val="-15"/>
          <w:w w:val="110"/>
        </w:rPr>
        <w:t> </w:t>
      </w:r>
      <w:r>
        <w:rPr>
          <w:color w:val="231F1F"/>
          <w:w w:val="110"/>
        </w:rPr>
        <w:t>establecido,</w:t>
      </w:r>
      <w:r>
        <w:rPr>
          <w:color w:val="231F1F"/>
          <w:spacing w:val="-15"/>
          <w:w w:val="110"/>
        </w:rPr>
        <w:t> </w:t>
      </w:r>
      <w:r>
        <w:rPr>
          <w:color w:val="231F1F"/>
          <w:w w:val="110"/>
        </w:rPr>
        <w:t>describió</w:t>
      </w:r>
      <w:r>
        <w:rPr>
          <w:color w:val="231F1F"/>
          <w:spacing w:val="-15"/>
          <w:w w:val="110"/>
        </w:rPr>
        <w:t> </w:t>
      </w:r>
      <w:r>
        <w:rPr>
          <w:color w:val="231F1F"/>
          <w:w w:val="110"/>
        </w:rPr>
        <w:t>el</w:t>
      </w:r>
      <w:r>
        <w:rPr>
          <w:color w:val="231F1F"/>
          <w:spacing w:val="-16"/>
          <w:w w:val="110"/>
        </w:rPr>
        <w:t> </w:t>
      </w:r>
      <w:r>
        <w:rPr>
          <w:color w:val="231F1F"/>
          <w:w w:val="110"/>
        </w:rPr>
        <w:t>progreso</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en </w:t>
      </w:r>
      <w:r>
        <w:rPr>
          <w:color w:val="231F1F"/>
          <w:spacing w:val="-2"/>
          <w:w w:val="110"/>
        </w:rPr>
        <w:t>multíparas</w:t>
      </w:r>
      <w:r>
        <w:rPr>
          <w:color w:val="231F1F"/>
          <w:spacing w:val="-9"/>
          <w:w w:val="110"/>
        </w:rPr>
        <w:t> </w:t>
      </w:r>
      <w:r>
        <w:rPr>
          <w:color w:val="231F1F"/>
          <w:spacing w:val="-2"/>
          <w:w w:val="110"/>
        </w:rPr>
        <w:t>sin</w:t>
      </w:r>
      <w:r>
        <w:rPr>
          <w:color w:val="231F1F"/>
          <w:spacing w:val="-9"/>
          <w:w w:val="110"/>
        </w:rPr>
        <w:t> </w:t>
      </w:r>
      <w:r>
        <w:rPr>
          <w:color w:val="231F1F"/>
          <w:spacing w:val="-2"/>
          <w:w w:val="110"/>
        </w:rPr>
        <w:t>complicaciones</w:t>
      </w:r>
      <w:r>
        <w:rPr>
          <w:color w:val="231F1F"/>
          <w:spacing w:val="-9"/>
          <w:w w:val="110"/>
        </w:rPr>
        <w:t> </w:t>
      </w:r>
      <w:r>
        <w:rPr>
          <w:color w:val="231F1F"/>
          <w:spacing w:val="-2"/>
          <w:w w:val="110"/>
        </w:rPr>
        <w:t>que</w:t>
      </w:r>
      <w:r>
        <w:rPr>
          <w:color w:val="231F1F"/>
          <w:spacing w:val="-9"/>
          <w:w w:val="110"/>
        </w:rPr>
        <w:t> </w:t>
      </w:r>
      <w:r>
        <w:rPr>
          <w:color w:val="231F1F"/>
          <w:spacing w:val="-2"/>
          <w:w w:val="110"/>
        </w:rPr>
        <w:t>habían</w:t>
      </w:r>
      <w:r>
        <w:rPr>
          <w:color w:val="231F1F"/>
          <w:spacing w:val="-9"/>
          <w:w w:val="110"/>
        </w:rPr>
        <w:t> </w:t>
      </w:r>
      <w:r>
        <w:rPr>
          <w:color w:val="231F1F"/>
          <w:spacing w:val="-2"/>
          <w:w w:val="110"/>
        </w:rPr>
        <w:t>parido</w:t>
      </w:r>
      <w:r>
        <w:rPr>
          <w:color w:val="231F1F"/>
          <w:spacing w:val="-9"/>
          <w:w w:val="110"/>
        </w:rPr>
        <w:t> </w:t>
      </w:r>
      <w:r>
        <w:rPr>
          <w:color w:val="231F1F"/>
          <w:spacing w:val="-2"/>
          <w:w w:val="110"/>
        </w:rPr>
        <w:t>en</w:t>
      </w:r>
      <w:r>
        <w:rPr>
          <w:color w:val="231F1F"/>
          <w:spacing w:val="-9"/>
          <w:w w:val="110"/>
        </w:rPr>
        <w:t> </w:t>
      </w:r>
      <w:r>
        <w:rPr>
          <w:color w:val="231F1F"/>
          <w:spacing w:val="-2"/>
          <w:w w:val="110"/>
        </w:rPr>
        <w:t>una</w:t>
      </w:r>
      <w:r>
        <w:rPr>
          <w:color w:val="231F1F"/>
          <w:spacing w:val="-9"/>
          <w:w w:val="110"/>
        </w:rPr>
        <w:t> </w:t>
      </w:r>
      <w:r>
        <w:rPr>
          <w:color w:val="231F1F"/>
          <w:spacing w:val="-2"/>
          <w:w w:val="110"/>
        </w:rPr>
        <w:t>unidad</w:t>
      </w:r>
      <w:r>
        <w:rPr>
          <w:color w:val="231F1F"/>
          <w:spacing w:val="-9"/>
          <w:w w:val="110"/>
        </w:rPr>
        <w:t> </w:t>
      </w:r>
      <w:r>
        <w:rPr>
          <w:color w:val="231F1F"/>
          <w:spacing w:val="-2"/>
          <w:w w:val="110"/>
        </w:rPr>
        <w:t>de</w:t>
      </w:r>
      <w:r>
        <w:rPr>
          <w:color w:val="231F1F"/>
          <w:spacing w:val="-9"/>
          <w:w w:val="110"/>
        </w:rPr>
        <w:t> </w:t>
      </w:r>
      <w:r>
        <w:rPr>
          <w:color w:val="231F1F"/>
          <w:spacing w:val="-2"/>
          <w:w w:val="110"/>
        </w:rPr>
        <w:t>matronas. Basados</w:t>
      </w:r>
      <w:r>
        <w:rPr>
          <w:color w:val="231F1F"/>
          <w:spacing w:val="-9"/>
          <w:w w:val="110"/>
        </w:rPr>
        <w:t> </w:t>
      </w:r>
      <w:r>
        <w:rPr>
          <w:color w:val="231F1F"/>
          <w:spacing w:val="-2"/>
          <w:w w:val="110"/>
        </w:rPr>
        <w:t>en</w:t>
      </w:r>
      <w:r>
        <w:rPr>
          <w:color w:val="231F1F"/>
          <w:spacing w:val="-9"/>
          <w:w w:val="110"/>
        </w:rPr>
        <w:t> </w:t>
      </w:r>
      <w:r>
        <w:rPr>
          <w:color w:val="231F1F"/>
          <w:spacing w:val="-2"/>
          <w:w w:val="110"/>
        </w:rPr>
        <w:t>los</w:t>
      </w:r>
      <w:r>
        <w:rPr>
          <w:color w:val="231F1F"/>
          <w:spacing w:val="-9"/>
          <w:w w:val="110"/>
        </w:rPr>
        <w:t> </w:t>
      </w:r>
      <w:r>
        <w:rPr>
          <w:color w:val="231F1F"/>
          <w:spacing w:val="-2"/>
          <w:w w:val="110"/>
        </w:rPr>
        <w:t>hallazgos</w:t>
      </w:r>
      <w:r>
        <w:rPr>
          <w:color w:val="231F1F"/>
          <w:spacing w:val="-9"/>
          <w:w w:val="110"/>
        </w:rPr>
        <w:t> </w:t>
      </w:r>
      <w:r>
        <w:rPr>
          <w:color w:val="231F1F"/>
          <w:spacing w:val="-2"/>
          <w:w w:val="110"/>
        </w:rPr>
        <w:t>de</w:t>
      </w:r>
      <w:r>
        <w:rPr>
          <w:color w:val="231F1F"/>
          <w:spacing w:val="-9"/>
          <w:w w:val="110"/>
        </w:rPr>
        <w:t> </w:t>
      </w:r>
      <w:r>
        <w:rPr>
          <w:color w:val="231F1F"/>
          <w:spacing w:val="-2"/>
          <w:w w:val="110"/>
        </w:rPr>
        <w:t>exploraciones</w:t>
      </w:r>
      <w:r>
        <w:rPr>
          <w:color w:val="231F1F"/>
          <w:spacing w:val="-9"/>
          <w:w w:val="110"/>
        </w:rPr>
        <w:t> </w:t>
      </w:r>
      <w:r>
        <w:rPr>
          <w:color w:val="231F1F"/>
          <w:spacing w:val="-2"/>
          <w:w w:val="110"/>
        </w:rPr>
        <w:t>vaginales</w:t>
      </w:r>
      <w:r>
        <w:rPr>
          <w:color w:val="231F1F"/>
          <w:spacing w:val="-10"/>
          <w:w w:val="110"/>
        </w:rPr>
        <w:t> </w:t>
      </w:r>
      <w:r>
        <w:rPr>
          <w:color w:val="231F1F"/>
          <w:spacing w:val="-2"/>
          <w:w w:val="110"/>
        </w:rPr>
        <w:t>realizados</w:t>
      </w:r>
      <w:r>
        <w:rPr>
          <w:color w:val="231F1F"/>
          <w:spacing w:val="-9"/>
          <w:w w:val="110"/>
        </w:rPr>
        <w:t> </w:t>
      </w:r>
      <w:r>
        <w:rPr>
          <w:color w:val="231F1F"/>
          <w:spacing w:val="-2"/>
          <w:w w:val="110"/>
        </w:rPr>
        <w:t>cada</w:t>
      </w:r>
      <w:r>
        <w:rPr>
          <w:color w:val="231F1F"/>
          <w:spacing w:val="-9"/>
          <w:w w:val="110"/>
        </w:rPr>
        <w:t> </w:t>
      </w:r>
      <w:r>
        <w:rPr>
          <w:color w:val="231F1F"/>
          <w:spacing w:val="-2"/>
          <w:w w:val="110"/>
        </w:rPr>
        <w:t>2</w:t>
      </w:r>
      <w:r>
        <w:rPr>
          <w:color w:val="231F1F"/>
          <w:spacing w:val="-9"/>
          <w:w w:val="110"/>
        </w:rPr>
        <w:t> </w:t>
      </w:r>
      <w:r>
        <w:rPr>
          <w:color w:val="231F1F"/>
          <w:spacing w:val="-2"/>
          <w:w w:val="110"/>
        </w:rPr>
        <w:t>horas, el</w:t>
      </w:r>
      <w:r>
        <w:rPr>
          <w:color w:val="231F1F"/>
          <w:spacing w:val="-9"/>
          <w:w w:val="110"/>
        </w:rPr>
        <w:t> </w:t>
      </w:r>
      <w:r>
        <w:rPr>
          <w:color w:val="231F1F"/>
          <w:spacing w:val="-2"/>
          <w:w w:val="110"/>
        </w:rPr>
        <w:t>modelo</w:t>
      </w:r>
      <w:r>
        <w:rPr>
          <w:color w:val="231F1F"/>
          <w:spacing w:val="-8"/>
          <w:w w:val="110"/>
        </w:rPr>
        <w:t> </w:t>
      </w:r>
      <w:r>
        <w:rPr>
          <w:color w:val="231F1F"/>
          <w:spacing w:val="-2"/>
          <w:w w:val="110"/>
        </w:rPr>
        <w:t>de</w:t>
      </w:r>
      <w:r>
        <w:rPr>
          <w:color w:val="231F1F"/>
          <w:spacing w:val="-8"/>
          <w:w w:val="110"/>
        </w:rPr>
        <w:t> </w:t>
      </w:r>
      <w:r>
        <w:rPr>
          <w:color w:val="231F1F"/>
          <w:spacing w:val="-2"/>
          <w:w w:val="110"/>
        </w:rPr>
        <w:t>regresión</w:t>
      </w:r>
      <w:r>
        <w:rPr>
          <w:color w:val="231F1F"/>
          <w:spacing w:val="-8"/>
          <w:w w:val="110"/>
        </w:rPr>
        <w:t> </w:t>
      </w:r>
      <w:r>
        <w:rPr>
          <w:color w:val="231F1F"/>
          <w:spacing w:val="-2"/>
          <w:w w:val="110"/>
        </w:rPr>
        <w:t>simple</w:t>
      </w:r>
      <w:r>
        <w:rPr>
          <w:color w:val="231F1F"/>
          <w:spacing w:val="-8"/>
          <w:w w:val="110"/>
        </w:rPr>
        <w:t> </w:t>
      </w:r>
      <w:r>
        <w:rPr>
          <w:color w:val="231F1F"/>
          <w:spacing w:val="-2"/>
          <w:w w:val="110"/>
        </w:rPr>
        <w:t>mostró</w:t>
      </w:r>
      <w:r>
        <w:rPr>
          <w:color w:val="231F1F"/>
          <w:spacing w:val="-8"/>
          <w:w w:val="110"/>
        </w:rPr>
        <w:t> </w:t>
      </w:r>
      <w:r>
        <w:rPr>
          <w:color w:val="231F1F"/>
          <w:spacing w:val="-2"/>
          <w:w w:val="110"/>
        </w:rPr>
        <w:t>que</w:t>
      </w:r>
      <w:r>
        <w:rPr>
          <w:color w:val="231F1F"/>
          <w:spacing w:val="-8"/>
          <w:w w:val="110"/>
        </w:rPr>
        <w:t> </w:t>
      </w:r>
      <w:r>
        <w:rPr>
          <w:color w:val="231F1F"/>
          <w:spacing w:val="-2"/>
          <w:w w:val="110"/>
        </w:rPr>
        <w:t>la</w:t>
      </w:r>
      <w:r>
        <w:rPr>
          <w:color w:val="231F1F"/>
          <w:spacing w:val="-8"/>
          <w:w w:val="110"/>
        </w:rPr>
        <w:t> </w:t>
      </w:r>
      <w:r>
        <w:rPr>
          <w:color w:val="231F1F"/>
          <w:spacing w:val="-2"/>
          <w:w w:val="110"/>
        </w:rPr>
        <w:t>media</w:t>
      </w:r>
      <w:r>
        <w:rPr>
          <w:color w:val="231F1F"/>
          <w:spacing w:val="-8"/>
          <w:w w:val="110"/>
        </w:rPr>
        <w:t> </w:t>
      </w:r>
      <w:r>
        <w:rPr>
          <w:color w:val="231F1F"/>
          <w:spacing w:val="-2"/>
          <w:w w:val="110"/>
        </w:rPr>
        <w:t>de</w:t>
      </w:r>
      <w:r>
        <w:rPr>
          <w:color w:val="231F1F"/>
          <w:spacing w:val="-8"/>
          <w:w w:val="110"/>
        </w:rPr>
        <w:t> </w:t>
      </w:r>
      <w:r>
        <w:rPr>
          <w:color w:val="231F1F"/>
          <w:spacing w:val="-2"/>
          <w:w w:val="110"/>
        </w:rPr>
        <w:t>dilatación</w:t>
      </w:r>
      <w:r>
        <w:rPr>
          <w:color w:val="231F1F"/>
          <w:spacing w:val="-8"/>
          <w:w w:val="110"/>
        </w:rPr>
        <w:t> </w:t>
      </w:r>
      <w:r>
        <w:rPr>
          <w:color w:val="231F1F"/>
          <w:spacing w:val="-2"/>
          <w:w w:val="110"/>
        </w:rPr>
        <w:t>cervical</w:t>
      </w:r>
      <w:r>
        <w:rPr>
          <w:color w:val="231F1F"/>
          <w:spacing w:val="-8"/>
          <w:w w:val="110"/>
        </w:rPr>
        <w:t> </w:t>
      </w:r>
      <w:r>
        <w:rPr>
          <w:color w:val="231F1F"/>
          <w:spacing w:val="-2"/>
          <w:w w:val="110"/>
        </w:rPr>
        <w:t>fue </w:t>
      </w:r>
      <w:r>
        <w:rPr>
          <w:color w:val="231F1F"/>
          <w:w w:val="110"/>
        </w:rPr>
        <w:t>de</w:t>
      </w:r>
      <w:r>
        <w:rPr>
          <w:color w:val="231F1F"/>
          <w:spacing w:val="-3"/>
          <w:w w:val="110"/>
        </w:rPr>
        <w:t> </w:t>
      </w:r>
      <w:r>
        <w:rPr>
          <w:color w:val="231F1F"/>
          <w:w w:val="110"/>
        </w:rPr>
        <w:t>2,9</w:t>
      </w:r>
      <w:r>
        <w:rPr>
          <w:color w:val="231F1F"/>
          <w:spacing w:val="-3"/>
          <w:w w:val="110"/>
        </w:rPr>
        <w:t> </w:t>
      </w:r>
      <w:r>
        <w:rPr>
          <w:color w:val="231F1F"/>
          <w:w w:val="110"/>
        </w:rPr>
        <w:t>cm/hora</w:t>
      </w:r>
      <w:r>
        <w:rPr>
          <w:color w:val="231F1F"/>
          <w:spacing w:val="-3"/>
          <w:w w:val="110"/>
        </w:rPr>
        <w:t> </w:t>
      </w:r>
      <w:r>
        <w:rPr>
          <w:color w:val="231F1F"/>
          <w:w w:val="110"/>
        </w:rPr>
        <w:t>y</w:t>
      </w:r>
      <w:r>
        <w:rPr>
          <w:color w:val="231F1F"/>
          <w:spacing w:val="-3"/>
          <w:w w:val="110"/>
        </w:rPr>
        <w:t> </w:t>
      </w:r>
      <w:r>
        <w:rPr>
          <w:color w:val="231F1F"/>
          <w:w w:val="110"/>
        </w:rPr>
        <w:t>la</w:t>
      </w:r>
      <w:r>
        <w:rPr>
          <w:color w:val="231F1F"/>
          <w:spacing w:val="-3"/>
          <w:w w:val="110"/>
        </w:rPr>
        <w:t> </w:t>
      </w:r>
      <w:r>
        <w:rPr>
          <w:color w:val="231F1F"/>
          <w:w w:val="110"/>
        </w:rPr>
        <w:t>mediana</w:t>
      </w:r>
      <w:r>
        <w:rPr>
          <w:color w:val="231F1F"/>
          <w:spacing w:val="-3"/>
          <w:w w:val="110"/>
        </w:rPr>
        <w:t> </w:t>
      </w:r>
      <w:r>
        <w:rPr>
          <w:color w:val="231F1F"/>
          <w:w w:val="110"/>
        </w:rPr>
        <w:t>de</w:t>
      </w:r>
      <w:r>
        <w:rPr>
          <w:color w:val="231F1F"/>
          <w:spacing w:val="-3"/>
          <w:w w:val="110"/>
        </w:rPr>
        <w:t> </w:t>
      </w:r>
      <w:r>
        <w:rPr>
          <w:color w:val="231F1F"/>
          <w:w w:val="110"/>
        </w:rPr>
        <w:t>1,9</w:t>
      </w:r>
      <w:r>
        <w:rPr>
          <w:color w:val="231F1F"/>
          <w:spacing w:val="-3"/>
          <w:w w:val="110"/>
        </w:rPr>
        <w:t> </w:t>
      </w:r>
      <w:r>
        <w:rPr>
          <w:color w:val="231F1F"/>
          <w:w w:val="110"/>
        </w:rPr>
        <w:t>cm/hora</w:t>
      </w:r>
      <w:r>
        <w:rPr>
          <w:color w:val="231F1F"/>
          <w:spacing w:val="-3"/>
          <w:w w:val="110"/>
        </w:rPr>
        <w:t> </w:t>
      </w:r>
      <w:r>
        <w:rPr>
          <w:color w:val="231F1F"/>
          <w:w w:val="110"/>
        </w:rPr>
        <w:t>(10º</w:t>
      </w:r>
      <w:r>
        <w:rPr>
          <w:color w:val="231F1F"/>
          <w:spacing w:val="-4"/>
          <w:w w:val="110"/>
        </w:rPr>
        <w:t> </w:t>
      </w:r>
      <w:r>
        <w:rPr>
          <w:color w:val="231F1F"/>
          <w:w w:val="110"/>
        </w:rPr>
        <w:t>percentil</w:t>
      </w:r>
      <w:r>
        <w:rPr>
          <w:color w:val="231F1F"/>
          <w:spacing w:val="-4"/>
          <w:w w:val="110"/>
        </w:rPr>
        <w:t> </w:t>
      </w:r>
      <w:r>
        <w:rPr>
          <w:color w:val="231F1F"/>
          <w:w w:val="110"/>
        </w:rPr>
        <w:t>0,7</w:t>
      </w:r>
      <w:r>
        <w:rPr>
          <w:color w:val="231F1F"/>
          <w:spacing w:val="-3"/>
          <w:w w:val="110"/>
        </w:rPr>
        <w:t> </w:t>
      </w:r>
      <w:r>
        <w:rPr>
          <w:color w:val="231F1F"/>
          <w:w w:val="110"/>
        </w:rPr>
        <w:t>cm/hora</w:t>
      </w:r>
      <w:r>
        <w:rPr>
          <w:color w:val="231F1F"/>
          <w:spacing w:val="-3"/>
          <w:w w:val="110"/>
        </w:rPr>
        <w:t> </w:t>
      </w:r>
      <w:r>
        <w:rPr>
          <w:color w:val="231F1F"/>
          <w:w w:val="110"/>
        </w:rPr>
        <w:t>y</w:t>
      </w:r>
      <w:r>
        <w:rPr>
          <w:color w:val="231F1F"/>
          <w:spacing w:val="-3"/>
          <w:w w:val="110"/>
        </w:rPr>
        <w:t> </w:t>
      </w:r>
      <w:r>
        <w:rPr>
          <w:color w:val="231F1F"/>
          <w:w w:val="110"/>
        </w:rPr>
        <w:t>5º percentil</w:t>
      </w:r>
      <w:r>
        <w:rPr>
          <w:color w:val="231F1F"/>
          <w:spacing w:val="-9"/>
          <w:w w:val="110"/>
        </w:rPr>
        <w:t> </w:t>
      </w:r>
      <w:r>
        <w:rPr>
          <w:color w:val="231F1F"/>
          <w:w w:val="110"/>
        </w:rPr>
        <w:t>0,5</w:t>
      </w:r>
      <w:r>
        <w:rPr>
          <w:color w:val="231F1F"/>
          <w:spacing w:val="-9"/>
          <w:w w:val="110"/>
        </w:rPr>
        <w:t> </w:t>
      </w:r>
      <w:r>
        <w:rPr>
          <w:color w:val="231F1F"/>
          <w:w w:val="110"/>
        </w:rPr>
        <w:t>cm/hora).</w:t>
      </w:r>
      <w:r>
        <w:rPr>
          <w:color w:val="231F1F"/>
          <w:spacing w:val="-9"/>
          <w:w w:val="110"/>
        </w:rPr>
        <w:t> </w:t>
      </w:r>
      <w:r>
        <w:rPr>
          <w:color w:val="231F1F"/>
          <w:w w:val="110"/>
        </w:rPr>
        <w:t>Las</w:t>
      </w:r>
      <w:r>
        <w:rPr>
          <w:color w:val="231F1F"/>
          <w:spacing w:val="-9"/>
          <w:w w:val="110"/>
        </w:rPr>
        <w:t> </w:t>
      </w:r>
      <w:r>
        <w:rPr>
          <w:color w:val="231F1F"/>
          <w:w w:val="110"/>
        </w:rPr>
        <w:t>mujeres</w:t>
      </w:r>
      <w:r>
        <w:rPr>
          <w:color w:val="231F1F"/>
          <w:spacing w:val="-9"/>
          <w:w w:val="110"/>
        </w:rPr>
        <w:t> </w:t>
      </w:r>
      <w:r>
        <w:rPr>
          <w:color w:val="231F1F"/>
          <w:w w:val="110"/>
        </w:rPr>
        <w:t>que</w:t>
      </w:r>
      <w:r>
        <w:rPr>
          <w:color w:val="231F1F"/>
          <w:spacing w:val="-9"/>
          <w:w w:val="110"/>
        </w:rPr>
        <w:t> </w:t>
      </w:r>
      <w:r>
        <w:rPr>
          <w:color w:val="231F1F"/>
          <w:w w:val="110"/>
        </w:rPr>
        <w:t>entraron</w:t>
      </w:r>
      <w:r>
        <w:rPr>
          <w:color w:val="231F1F"/>
          <w:spacing w:val="-8"/>
          <w:w w:val="110"/>
        </w:rPr>
        <w:t> </w:t>
      </w:r>
      <w:r>
        <w:rPr>
          <w:color w:val="231F1F"/>
          <w:w w:val="110"/>
        </w:rPr>
        <w:t>en</w:t>
      </w:r>
      <w:r>
        <w:rPr>
          <w:color w:val="231F1F"/>
          <w:spacing w:val="-9"/>
          <w:w w:val="110"/>
        </w:rPr>
        <w:t> </w:t>
      </w:r>
      <w:r>
        <w:rPr>
          <w:color w:val="231F1F"/>
          <w:w w:val="110"/>
        </w:rPr>
        <w:t>el</w:t>
      </w:r>
      <w:r>
        <w:rPr>
          <w:color w:val="231F1F"/>
          <w:spacing w:val="-9"/>
          <w:w w:val="110"/>
        </w:rPr>
        <w:t> </w:t>
      </w:r>
      <w:r>
        <w:rPr>
          <w:color w:val="231F1F"/>
          <w:w w:val="110"/>
        </w:rPr>
        <w:t>estudio</w:t>
      </w:r>
      <w:r>
        <w:rPr>
          <w:color w:val="231F1F"/>
          <w:spacing w:val="-8"/>
          <w:w w:val="110"/>
        </w:rPr>
        <w:t> </w:t>
      </w:r>
      <w:r>
        <w:rPr>
          <w:color w:val="231F1F"/>
          <w:w w:val="110"/>
        </w:rPr>
        <w:t>con</w:t>
      </w:r>
      <w:r>
        <w:rPr>
          <w:color w:val="231F1F"/>
          <w:spacing w:val="-8"/>
          <w:w w:val="110"/>
        </w:rPr>
        <w:t> </w:t>
      </w:r>
      <w:r>
        <w:rPr>
          <w:color w:val="231F1F"/>
          <w:w w:val="110"/>
        </w:rPr>
        <w:t>una</w:t>
      </w:r>
      <w:r>
        <w:rPr>
          <w:color w:val="231F1F"/>
          <w:spacing w:val="-9"/>
          <w:w w:val="110"/>
        </w:rPr>
        <w:t> </w:t>
      </w:r>
      <w:r>
        <w:rPr>
          <w:color w:val="231F1F"/>
          <w:w w:val="110"/>
        </w:rPr>
        <w:t>dila- tación inferior</w:t>
      </w:r>
      <w:r>
        <w:rPr>
          <w:color w:val="231F1F"/>
          <w:spacing w:val="-1"/>
          <w:w w:val="110"/>
        </w:rPr>
        <w:t> </w:t>
      </w:r>
      <w:r>
        <w:rPr>
          <w:color w:val="231F1F"/>
          <w:w w:val="110"/>
        </w:rPr>
        <w:t>a 4 cm tendían a superar</w:t>
      </w:r>
      <w:r>
        <w:rPr>
          <w:color w:val="231F1F"/>
          <w:spacing w:val="-1"/>
          <w:w w:val="110"/>
        </w:rPr>
        <w:t> </w:t>
      </w:r>
      <w:r>
        <w:rPr>
          <w:color w:val="231F1F"/>
          <w:w w:val="110"/>
        </w:rPr>
        <w:t>estas cifras. Además,</w:t>
      </w:r>
      <w:r>
        <w:rPr>
          <w:color w:val="231F1F"/>
          <w:spacing w:val="-1"/>
          <w:w w:val="110"/>
        </w:rPr>
        <w:t> </w:t>
      </w:r>
      <w:r>
        <w:rPr>
          <w:color w:val="231F1F"/>
          <w:w w:val="110"/>
        </w:rPr>
        <w:t>se detectaron perfiles que mostraron periodos de no progresión seguidos de periodos de </w:t>
      </w:r>
      <w:r>
        <w:rPr>
          <w:color w:val="231F1F"/>
          <w:spacing w:val="-2"/>
          <w:w w:val="110"/>
        </w:rPr>
        <w:t>progresión.</w:t>
      </w:r>
      <w:r>
        <w:rPr>
          <w:color w:val="231F1F"/>
          <w:spacing w:val="-10"/>
          <w:w w:val="110"/>
        </w:rPr>
        <w:t> </w:t>
      </w:r>
      <w:r>
        <w:rPr>
          <w:color w:val="231F1F"/>
          <w:spacing w:val="-2"/>
          <w:w w:val="110"/>
        </w:rPr>
        <w:t>Así,</w:t>
      </w:r>
      <w:r>
        <w:rPr>
          <w:color w:val="231F1F"/>
          <w:spacing w:val="-10"/>
          <w:w w:val="110"/>
        </w:rPr>
        <w:t> </w:t>
      </w:r>
      <w:r>
        <w:rPr>
          <w:color w:val="231F1F"/>
          <w:spacing w:val="-2"/>
          <w:w w:val="110"/>
        </w:rPr>
        <w:t>tomando</w:t>
      </w:r>
      <w:r>
        <w:rPr>
          <w:color w:val="231F1F"/>
          <w:spacing w:val="-10"/>
          <w:w w:val="110"/>
        </w:rPr>
        <w:t> </w:t>
      </w:r>
      <w:r>
        <w:rPr>
          <w:color w:val="231F1F"/>
          <w:spacing w:val="-2"/>
          <w:w w:val="110"/>
        </w:rPr>
        <w:t>los</w:t>
      </w:r>
      <w:r>
        <w:rPr>
          <w:color w:val="231F1F"/>
          <w:spacing w:val="-10"/>
          <w:w w:val="110"/>
        </w:rPr>
        <w:t> </w:t>
      </w:r>
      <w:r>
        <w:rPr>
          <w:color w:val="231F1F"/>
          <w:spacing w:val="-2"/>
          <w:w w:val="110"/>
        </w:rPr>
        <w:t>4</w:t>
      </w:r>
      <w:r>
        <w:rPr>
          <w:color w:val="231F1F"/>
          <w:spacing w:val="-10"/>
          <w:w w:val="110"/>
        </w:rPr>
        <w:t> </w:t>
      </w:r>
      <w:r>
        <w:rPr>
          <w:color w:val="231F1F"/>
          <w:spacing w:val="-2"/>
          <w:w w:val="110"/>
        </w:rPr>
        <w:t>cm</w:t>
      </w:r>
      <w:r>
        <w:rPr>
          <w:color w:val="231F1F"/>
          <w:spacing w:val="-9"/>
          <w:w w:val="110"/>
        </w:rPr>
        <w:t> </w:t>
      </w:r>
      <w:r>
        <w:rPr>
          <w:color w:val="231F1F"/>
          <w:spacing w:val="-2"/>
          <w:w w:val="110"/>
        </w:rPr>
        <w:t>como</w:t>
      </w:r>
      <w:r>
        <w:rPr>
          <w:color w:val="231F1F"/>
          <w:spacing w:val="-10"/>
          <w:w w:val="110"/>
        </w:rPr>
        <w:t> </w:t>
      </w:r>
      <w:r>
        <w:rPr>
          <w:color w:val="231F1F"/>
          <w:spacing w:val="-2"/>
          <w:w w:val="110"/>
        </w:rPr>
        <w:t>el</w:t>
      </w:r>
      <w:r>
        <w:rPr>
          <w:color w:val="231F1F"/>
          <w:spacing w:val="-10"/>
          <w:w w:val="110"/>
        </w:rPr>
        <w:t> </w:t>
      </w:r>
      <w:r>
        <w:rPr>
          <w:color w:val="231F1F"/>
          <w:spacing w:val="-2"/>
          <w:w w:val="110"/>
        </w:rPr>
        <w:t>inicio</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fase</w:t>
      </w:r>
      <w:r>
        <w:rPr>
          <w:color w:val="231F1F"/>
          <w:spacing w:val="-10"/>
          <w:w w:val="110"/>
        </w:rPr>
        <w:t> </w:t>
      </w:r>
      <w:r>
        <w:rPr>
          <w:color w:val="231F1F"/>
          <w:spacing w:val="-2"/>
          <w:w w:val="110"/>
        </w:rPr>
        <w:t>activa</w:t>
      </w:r>
      <w:r>
        <w:rPr>
          <w:color w:val="231F1F"/>
          <w:spacing w:val="-10"/>
          <w:w w:val="110"/>
        </w:rPr>
        <w:t> </w:t>
      </w:r>
      <w:r>
        <w:rPr>
          <w:color w:val="231F1F"/>
          <w:spacing w:val="-2"/>
          <w:w w:val="110"/>
        </w:rPr>
        <w:t>del</w:t>
      </w:r>
      <w:r>
        <w:rPr>
          <w:color w:val="231F1F"/>
          <w:spacing w:val="-10"/>
          <w:w w:val="110"/>
        </w:rPr>
        <w:t> </w:t>
      </w:r>
      <w:r>
        <w:rPr>
          <w:color w:val="231F1F"/>
          <w:spacing w:val="-2"/>
          <w:w w:val="110"/>
        </w:rPr>
        <w:t>parto</w:t>
      </w:r>
      <w:r>
        <w:rPr>
          <w:color w:val="231F1F"/>
          <w:spacing w:val="-10"/>
          <w:w w:val="110"/>
        </w:rPr>
        <w:t> </w:t>
      </w:r>
      <w:r>
        <w:rPr>
          <w:color w:val="231F1F"/>
          <w:spacing w:val="-2"/>
          <w:w w:val="110"/>
        </w:rPr>
        <w:t>y </w:t>
      </w:r>
      <w:r>
        <w:rPr>
          <w:color w:val="231F1F"/>
          <w:w w:val="110"/>
        </w:rPr>
        <w:t>usando</w:t>
      </w:r>
      <w:r>
        <w:rPr>
          <w:color w:val="231F1F"/>
          <w:spacing w:val="-14"/>
          <w:w w:val="110"/>
        </w:rPr>
        <w:t> </w:t>
      </w:r>
      <w:r>
        <w:rPr>
          <w:color w:val="231F1F"/>
          <w:w w:val="110"/>
        </w:rPr>
        <w:t>la</w:t>
      </w:r>
      <w:r>
        <w:rPr>
          <w:color w:val="231F1F"/>
          <w:spacing w:val="-14"/>
          <w:w w:val="110"/>
        </w:rPr>
        <w:t> </w:t>
      </w:r>
      <w:r>
        <w:rPr>
          <w:color w:val="231F1F"/>
          <w:w w:val="110"/>
        </w:rPr>
        <w:t>mediana</w:t>
      </w:r>
      <w:r>
        <w:rPr>
          <w:color w:val="231F1F"/>
          <w:spacing w:val="-14"/>
          <w:w w:val="110"/>
        </w:rPr>
        <w:t> </w:t>
      </w:r>
      <w:r>
        <w:rPr>
          <w:color w:val="231F1F"/>
          <w:w w:val="110"/>
        </w:rPr>
        <w:t>como</w:t>
      </w:r>
      <w:r>
        <w:rPr>
          <w:color w:val="231F1F"/>
          <w:spacing w:val="-14"/>
          <w:w w:val="110"/>
        </w:rPr>
        <w:t> </w:t>
      </w:r>
      <w:r>
        <w:rPr>
          <w:color w:val="231F1F"/>
          <w:w w:val="110"/>
        </w:rPr>
        <w:t>parámetro</w:t>
      </w:r>
      <w:r>
        <w:rPr>
          <w:color w:val="231F1F"/>
          <w:spacing w:val="-14"/>
          <w:w w:val="110"/>
        </w:rPr>
        <w:t> </w:t>
      </w:r>
      <w:r>
        <w:rPr>
          <w:color w:val="231F1F"/>
          <w:w w:val="110"/>
        </w:rPr>
        <w:t>de</w:t>
      </w:r>
      <w:r>
        <w:rPr>
          <w:color w:val="231F1F"/>
          <w:spacing w:val="-14"/>
          <w:w w:val="110"/>
        </w:rPr>
        <w:t> </w:t>
      </w:r>
      <w:r>
        <w:rPr>
          <w:color w:val="231F1F"/>
          <w:w w:val="110"/>
        </w:rPr>
        <w:t>dilatación,</w:t>
      </w:r>
      <w:r>
        <w:rPr>
          <w:color w:val="231F1F"/>
          <w:spacing w:val="-15"/>
          <w:w w:val="110"/>
        </w:rPr>
        <w:t> </w:t>
      </w:r>
      <w:r>
        <w:rPr>
          <w:color w:val="231F1F"/>
          <w:w w:val="110"/>
        </w:rPr>
        <w:t>se</w:t>
      </w:r>
      <w:r>
        <w:rPr>
          <w:color w:val="231F1F"/>
          <w:spacing w:val="-14"/>
          <w:w w:val="110"/>
        </w:rPr>
        <w:t> </w:t>
      </w:r>
      <w:r>
        <w:rPr>
          <w:color w:val="231F1F"/>
          <w:w w:val="110"/>
        </w:rPr>
        <w:t>estimó</w:t>
      </w:r>
      <w:r>
        <w:rPr>
          <w:color w:val="231F1F"/>
          <w:spacing w:val="-14"/>
          <w:w w:val="110"/>
        </w:rPr>
        <w:t> </w:t>
      </w:r>
      <w:r>
        <w:rPr>
          <w:color w:val="231F1F"/>
          <w:w w:val="110"/>
        </w:rPr>
        <w:t>una</w:t>
      </w:r>
      <w:r>
        <w:rPr>
          <w:color w:val="231F1F"/>
          <w:spacing w:val="-14"/>
          <w:w w:val="110"/>
        </w:rPr>
        <w:t> </w:t>
      </w:r>
      <w:r>
        <w:rPr>
          <w:color w:val="231F1F"/>
          <w:w w:val="110"/>
        </w:rPr>
        <w:t>duración</w:t>
      </w:r>
      <w:r>
        <w:rPr>
          <w:color w:val="231F1F"/>
          <w:spacing w:val="-14"/>
          <w:w w:val="110"/>
        </w:rPr>
        <w:t> </w:t>
      </w:r>
      <w:r>
        <w:rPr>
          <w:color w:val="231F1F"/>
          <w:w w:val="110"/>
        </w:rPr>
        <w:t>de la</w:t>
      </w:r>
      <w:r>
        <w:rPr>
          <w:color w:val="231F1F"/>
          <w:spacing w:val="-13"/>
          <w:w w:val="110"/>
        </w:rPr>
        <w:t> </w:t>
      </w:r>
      <w:r>
        <w:rPr>
          <w:color w:val="231F1F"/>
          <w:w w:val="110"/>
        </w:rPr>
        <w:t>fase</w:t>
      </w:r>
      <w:r>
        <w:rPr>
          <w:color w:val="231F1F"/>
          <w:spacing w:val="-13"/>
          <w:w w:val="110"/>
        </w:rPr>
        <w:t> </w:t>
      </w:r>
      <w:r>
        <w:rPr>
          <w:color w:val="231F1F"/>
          <w:w w:val="110"/>
        </w:rPr>
        <w:t>activa</w:t>
      </w:r>
      <w:r>
        <w:rPr>
          <w:color w:val="231F1F"/>
          <w:spacing w:val="-13"/>
          <w:w w:val="110"/>
        </w:rPr>
        <w:t> </w:t>
      </w:r>
      <w:r>
        <w:rPr>
          <w:color w:val="231F1F"/>
          <w:w w:val="110"/>
        </w:rPr>
        <w:t>de</w:t>
      </w:r>
      <w:r>
        <w:rPr>
          <w:color w:val="231F1F"/>
          <w:spacing w:val="-13"/>
          <w:w w:val="110"/>
        </w:rPr>
        <w:t> </w:t>
      </w:r>
      <w:r>
        <w:rPr>
          <w:color w:val="231F1F"/>
          <w:w w:val="110"/>
        </w:rPr>
        <w:t>3</w:t>
      </w:r>
      <w:r>
        <w:rPr>
          <w:color w:val="231F1F"/>
          <w:spacing w:val="-13"/>
          <w:w w:val="110"/>
        </w:rPr>
        <w:t> </w:t>
      </w:r>
      <w:r>
        <w:rPr>
          <w:color w:val="231F1F"/>
          <w:w w:val="110"/>
        </w:rPr>
        <w:t>horas</w:t>
      </w:r>
      <w:r>
        <w:rPr>
          <w:color w:val="231F1F"/>
          <w:spacing w:val="-14"/>
          <w:w w:val="110"/>
        </w:rPr>
        <w:t> </w:t>
      </w:r>
      <w:r>
        <w:rPr>
          <w:color w:val="231F1F"/>
          <w:w w:val="110"/>
        </w:rPr>
        <w:t>y</w:t>
      </w:r>
      <w:r>
        <w:rPr>
          <w:color w:val="231F1F"/>
          <w:spacing w:val="-13"/>
          <w:w w:val="110"/>
        </w:rPr>
        <w:t> </w:t>
      </w:r>
      <w:r>
        <w:rPr>
          <w:color w:val="231F1F"/>
          <w:w w:val="110"/>
        </w:rPr>
        <w:t>9</w:t>
      </w:r>
      <w:r>
        <w:rPr>
          <w:color w:val="231F1F"/>
          <w:spacing w:val="-13"/>
          <w:w w:val="110"/>
        </w:rPr>
        <w:t> </w:t>
      </w:r>
      <w:r>
        <w:rPr>
          <w:color w:val="231F1F"/>
          <w:w w:val="110"/>
        </w:rPr>
        <w:t>minutos.</w:t>
      </w:r>
      <w:r>
        <w:rPr>
          <w:color w:val="231F1F"/>
          <w:spacing w:val="-14"/>
          <w:w w:val="110"/>
        </w:rPr>
        <w:t> </w:t>
      </w:r>
      <w:r>
        <w:rPr>
          <w:color w:val="231F1F"/>
          <w:w w:val="110"/>
        </w:rPr>
        <w:t>Utilizando</w:t>
      </w:r>
      <w:r>
        <w:rPr>
          <w:color w:val="231F1F"/>
          <w:spacing w:val="-12"/>
          <w:w w:val="110"/>
        </w:rPr>
        <w:t> </w:t>
      </w:r>
      <w:r>
        <w:rPr>
          <w:color w:val="231F1F"/>
          <w:w w:val="110"/>
        </w:rPr>
        <w:t>el</w:t>
      </w:r>
      <w:r>
        <w:rPr>
          <w:color w:val="231F1F"/>
          <w:spacing w:val="-14"/>
          <w:w w:val="110"/>
        </w:rPr>
        <w:t> </w:t>
      </w:r>
      <w:r>
        <w:rPr>
          <w:color w:val="231F1F"/>
          <w:w w:val="110"/>
        </w:rPr>
        <w:t>10º</w:t>
      </w:r>
      <w:r>
        <w:rPr>
          <w:color w:val="231F1F"/>
          <w:spacing w:val="-14"/>
          <w:w w:val="110"/>
        </w:rPr>
        <w:t> </w:t>
      </w:r>
      <w:r>
        <w:rPr>
          <w:color w:val="231F1F"/>
          <w:w w:val="110"/>
        </w:rPr>
        <w:t>percentil</w:t>
      </w:r>
      <w:r>
        <w:rPr>
          <w:color w:val="231F1F"/>
          <w:spacing w:val="-14"/>
          <w:w w:val="110"/>
        </w:rPr>
        <w:t> </w:t>
      </w:r>
      <w:r>
        <w:rPr>
          <w:color w:val="231F1F"/>
          <w:w w:val="110"/>
        </w:rPr>
        <w:t>como</w:t>
      </w:r>
      <w:r>
        <w:rPr>
          <w:color w:val="231F1F"/>
          <w:spacing w:val="-13"/>
          <w:w w:val="110"/>
        </w:rPr>
        <w:t> </w:t>
      </w:r>
      <w:r>
        <w:rPr>
          <w:color w:val="231F1F"/>
          <w:w w:val="110"/>
        </w:rPr>
        <w:t>límite superior la duración sería de 13 horas.</w:t>
      </w:r>
    </w:p>
    <w:p>
      <w:pPr>
        <w:pStyle w:val="BodyText"/>
        <w:spacing w:line="244" w:lineRule="auto" w:before="40"/>
        <w:ind w:left="283" w:right="1" w:firstLine="453"/>
        <w:jc w:val="both"/>
      </w:pPr>
      <w:r>
        <w:rPr>
          <w:color w:val="231F1F"/>
          <w:w w:val="110"/>
        </w:rPr>
        <w:t>En</w:t>
      </w:r>
      <w:r>
        <w:rPr>
          <w:color w:val="231F1F"/>
          <w:spacing w:val="-16"/>
          <w:w w:val="110"/>
        </w:rPr>
        <w:t> </w:t>
      </w:r>
      <w:r>
        <w:rPr>
          <w:color w:val="231F1F"/>
          <w:w w:val="110"/>
        </w:rPr>
        <w:t>resumen</w:t>
      </w:r>
      <w:r>
        <w:rPr>
          <w:color w:val="231F1F"/>
          <w:spacing w:val="-15"/>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determina</w:t>
      </w:r>
      <w:r>
        <w:rPr>
          <w:color w:val="231F1F"/>
          <w:spacing w:val="-15"/>
          <w:w w:val="110"/>
        </w:rPr>
        <w:t> </w:t>
      </w:r>
      <w:r>
        <w:rPr>
          <w:color w:val="231F1F"/>
          <w:w w:val="110"/>
        </w:rPr>
        <w:t>que</w:t>
      </w:r>
      <w:r>
        <w:rPr>
          <w:color w:val="231F1F"/>
          <w:spacing w:val="-15"/>
          <w:w w:val="110"/>
        </w:rPr>
        <w:t> </w:t>
      </w:r>
      <w:r>
        <w:rPr>
          <w:color w:val="231F1F"/>
          <w:w w:val="110"/>
        </w:rPr>
        <w:t>la</w:t>
      </w:r>
      <w:r>
        <w:rPr>
          <w:color w:val="231F1F"/>
          <w:spacing w:val="-16"/>
          <w:w w:val="110"/>
        </w:rPr>
        <w:t> </w:t>
      </w:r>
      <w:r>
        <w:rPr>
          <w:color w:val="231F1F"/>
          <w:w w:val="110"/>
        </w:rPr>
        <w:t>duración</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varía de</w:t>
      </w:r>
      <w:r>
        <w:rPr>
          <w:color w:val="231F1F"/>
          <w:spacing w:val="-11"/>
          <w:w w:val="110"/>
        </w:rPr>
        <w:t> </w:t>
      </w:r>
      <w:r>
        <w:rPr>
          <w:color w:val="231F1F"/>
          <w:w w:val="110"/>
        </w:rPr>
        <w:t>mujer</w:t>
      </w:r>
      <w:r>
        <w:rPr>
          <w:color w:val="231F1F"/>
          <w:spacing w:val="-11"/>
          <w:w w:val="110"/>
        </w:rPr>
        <w:t> </w:t>
      </w:r>
      <w:r>
        <w:rPr>
          <w:color w:val="231F1F"/>
          <w:w w:val="110"/>
        </w:rPr>
        <w:t>a</w:t>
      </w:r>
      <w:r>
        <w:rPr>
          <w:color w:val="231F1F"/>
          <w:spacing w:val="-11"/>
          <w:w w:val="110"/>
        </w:rPr>
        <w:t> </w:t>
      </w:r>
      <w:r>
        <w:rPr>
          <w:color w:val="231F1F"/>
          <w:w w:val="110"/>
        </w:rPr>
        <w:t>mujer,</w:t>
      </w:r>
      <w:r>
        <w:rPr>
          <w:color w:val="231F1F"/>
          <w:spacing w:val="-11"/>
          <w:w w:val="110"/>
        </w:rPr>
        <w:t> </w:t>
      </w:r>
      <w:r>
        <w:rPr>
          <w:color w:val="231F1F"/>
          <w:w w:val="110"/>
        </w:rPr>
        <w:t>está</w:t>
      </w:r>
      <w:r>
        <w:rPr>
          <w:color w:val="231F1F"/>
          <w:spacing w:val="-10"/>
          <w:w w:val="110"/>
        </w:rPr>
        <w:t> </w:t>
      </w:r>
      <w:r>
        <w:rPr>
          <w:color w:val="231F1F"/>
          <w:w w:val="110"/>
        </w:rPr>
        <w:t>influenciada</w:t>
      </w:r>
      <w:r>
        <w:rPr>
          <w:color w:val="231F1F"/>
          <w:spacing w:val="-11"/>
          <w:w w:val="110"/>
        </w:rPr>
        <w:t> </w:t>
      </w:r>
      <w:r>
        <w:rPr>
          <w:color w:val="231F1F"/>
          <w:w w:val="110"/>
        </w:rPr>
        <w:t>por</w:t>
      </w:r>
      <w:r>
        <w:rPr>
          <w:color w:val="231F1F"/>
          <w:spacing w:val="-11"/>
          <w:w w:val="110"/>
        </w:rPr>
        <w:t> </w:t>
      </w:r>
      <w:r>
        <w:rPr>
          <w:color w:val="231F1F"/>
          <w:w w:val="110"/>
        </w:rPr>
        <w:t>el</w:t>
      </w:r>
      <w:r>
        <w:rPr>
          <w:color w:val="231F1F"/>
          <w:spacing w:val="-11"/>
          <w:w w:val="110"/>
        </w:rPr>
        <w:t> </w:t>
      </w:r>
      <w:r>
        <w:rPr>
          <w:color w:val="231F1F"/>
          <w:w w:val="110"/>
        </w:rPr>
        <w:t>número</w:t>
      </w:r>
      <w:r>
        <w:rPr>
          <w:color w:val="231F1F"/>
          <w:spacing w:val="-11"/>
          <w:w w:val="110"/>
        </w:rPr>
        <w:t> </w:t>
      </w:r>
      <w:r>
        <w:rPr>
          <w:color w:val="231F1F"/>
          <w:w w:val="110"/>
        </w:rPr>
        <w:t>de</w:t>
      </w:r>
      <w:r>
        <w:rPr>
          <w:color w:val="231F1F"/>
          <w:spacing w:val="-11"/>
          <w:w w:val="110"/>
        </w:rPr>
        <w:t> </w:t>
      </w:r>
      <w:r>
        <w:rPr>
          <w:color w:val="231F1F"/>
          <w:w w:val="110"/>
        </w:rPr>
        <w:t>embarazos</w:t>
      </w:r>
      <w:r>
        <w:rPr>
          <w:color w:val="231F1F"/>
          <w:spacing w:val="-10"/>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partu- rienta y que el progreso de la dilatación no tiene por qué ser lineal.</w:t>
      </w:r>
    </w:p>
    <w:p>
      <w:pPr>
        <w:pStyle w:val="BodyText"/>
        <w:spacing w:line="244" w:lineRule="auto" w:before="138"/>
        <w:ind w:left="283" w:right="4" w:firstLine="453"/>
        <w:jc w:val="both"/>
      </w:pPr>
      <w:r>
        <w:rPr>
          <w:color w:val="231F1F"/>
          <w:w w:val="110"/>
        </w:rPr>
        <w:t>En</w:t>
      </w:r>
      <w:r>
        <w:rPr>
          <w:color w:val="231F1F"/>
          <w:spacing w:val="-11"/>
          <w:w w:val="110"/>
        </w:rPr>
        <w:t> </w:t>
      </w:r>
      <w:r>
        <w:rPr>
          <w:color w:val="231F1F"/>
          <w:w w:val="110"/>
        </w:rPr>
        <w:t>el</w:t>
      </w:r>
      <w:r>
        <w:rPr>
          <w:color w:val="231F1F"/>
          <w:spacing w:val="-12"/>
          <w:w w:val="110"/>
        </w:rPr>
        <w:t> </w:t>
      </w:r>
      <w:r>
        <w:rPr>
          <w:color w:val="231F1F"/>
          <w:w w:val="110"/>
        </w:rPr>
        <w:t>parto</w:t>
      </w:r>
      <w:r>
        <w:rPr>
          <w:color w:val="231F1F"/>
          <w:spacing w:val="-12"/>
          <w:w w:val="110"/>
        </w:rPr>
        <w:t> </w:t>
      </w:r>
      <w:r>
        <w:rPr>
          <w:color w:val="231F1F"/>
          <w:w w:val="110"/>
        </w:rPr>
        <w:t>establecido,</w:t>
      </w:r>
      <w:r>
        <w:rPr>
          <w:color w:val="231F1F"/>
          <w:spacing w:val="-12"/>
          <w:w w:val="110"/>
        </w:rPr>
        <w:t> </w:t>
      </w:r>
      <w:r>
        <w:rPr>
          <w:color w:val="231F1F"/>
          <w:w w:val="110"/>
        </w:rPr>
        <w:t>la</w:t>
      </w:r>
      <w:r>
        <w:rPr>
          <w:color w:val="231F1F"/>
          <w:spacing w:val="-12"/>
          <w:w w:val="110"/>
        </w:rPr>
        <w:t> </w:t>
      </w:r>
      <w:r>
        <w:rPr>
          <w:color w:val="231F1F"/>
          <w:w w:val="110"/>
        </w:rPr>
        <w:t>mayoría</w:t>
      </w:r>
      <w:r>
        <w:rPr>
          <w:color w:val="231F1F"/>
          <w:spacing w:val="-11"/>
          <w:w w:val="110"/>
        </w:rPr>
        <w:t> </w:t>
      </w:r>
      <w:r>
        <w:rPr>
          <w:color w:val="231F1F"/>
          <w:w w:val="110"/>
        </w:rPr>
        <w:t>de</w:t>
      </w:r>
      <w:r>
        <w:rPr>
          <w:color w:val="231F1F"/>
          <w:spacing w:val="-12"/>
          <w:w w:val="110"/>
        </w:rPr>
        <w:t> </w:t>
      </w:r>
      <w:r>
        <w:rPr>
          <w:color w:val="231F1F"/>
          <w:w w:val="110"/>
        </w:rPr>
        <w:t>las</w:t>
      </w:r>
      <w:r>
        <w:rPr>
          <w:color w:val="231F1F"/>
          <w:spacing w:val="-12"/>
          <w:w w:val="110"/>
        </w:rPr>
        <w:t> </w:t>
      </w:r>
      <w:r>
        <w:rPr>
          <w:color w:val="231F1F"/>
          <w:w w:val="110"/>
        </w:rPr>
        <w:t>mujeres</w:t>
      </w:r>
      <w:r>
        <w:rPr>
          <w:color w:val="231F1F"/>
          <w:spacing w:val="-11"/>
          <w:w w:val="110"/>
        </w:rPr>
        <w:t> </w:t>
      </w:r>
      <w:r>
        <w:rPr>
          <w:color w:val="231F1F"/>
          <w:w w:val="110"/>
        </w:rPr>
        <w:t>nulíparas</w:t>
      </w:r>
      <w:r>
        <w:rPr>
          <w:color w:val="231F1F"/>
          <w:spacing w:val="-12"/>
          <w:w w:val="110"/>
        </w:rPr>
        <w:t> </w:t>
      </w:r>
      <w:r>
        <w:rPr>
          <w:color w:val="231F1F"/>
          <w:w w:val="110"/>
        </w:rPr>
        <w:t>alcanzan</w:t>
      </w:r>
      <w:r>
        <w:rPr>
          <w:color w:val="231F1F"/>
          <w:spacing w:val="-11"/>
          <w:w w:val="110"/>
        </w:rPr>
        <w:t> </w:t>
      </w:r>
      <w:r>
        <w:rPr>
          <w:color w:val="231F1F"/>
          <w:w w:val="110"/>
        </w:rPr>
        <w:t>la segunda</w:t>
      </w:r>
      <w:r>
        <w:rPr>
          <w:color w:val="231F1F"/>
          <w:spacing w:val="-14"/>
          <w:w w:val="110"/>
        </w:rPr>
        <w:t> </w:t>
      </w:r>
      <w:r>
        <w:rPr>
          <w:color w:val="231F1F"/>
          <w:w w:val="110"/>
        </w:rPr>
        <w:t>etapa</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4"/>
          <w:w w:val="110"/>
        </w:rPr>
        <w:t> </w:t>
      </w:r>
      <w:r>
        <w:rPr>
          <w:color w:val="231F1F"/>
          <w:w w:val="110"/>
        </w:rPr>
        <w:t>sin</w:t>
      </w:r>
      <w:r>
        <w:rPr>
          <w:color w:val="231F1F"/>
          <w:spacing w:val="-13"/>
          <w:w w:val="110"/>
        </w:rPr>
        <w:t> </w:t>
      </w:r>
      <w:r>
        <w:rPr>
          <w:color w:val="231F1F"/>
          <w:w w:val="110"/>
        </w:rPr>
        <w:t>intervenciones,</w:t>
      </w:r>
      <w:r>
        <w:rPr>
          <w:color w:val="231F1F"/>
          <w:spacing w:val="-14"/>
          <w:w w:val="110"/>
        </w:rPr>
        <w:t> </w:t>
      </w:r>
      <w:r>
        <w:rPr>
          <w:color w:val="231F1F"/>
          <w:w w:val="110"/>
        </w:rPr>
        <w:t>dentro</w:t>
      </w:r>
      <w:r>
        <w:rPr>
          <w:color w:val="231F1F"/>
          <w:spacing w:val="-13"/>
          <w:w w:val="110"/>
        </w:rPr>
        <w:t> </w:t>
      </w:r>
      <w:r>
        <w:rPr>
          <w:color w:val="231F1F"/>
          <w:w w:val="110"/>
        </w:rPr>
        <w:t>de</w:t>
      </w:r>
      <w:r>
        <w:rPr>
          <w:color w:val="231F1F"/>
          <w:spacing w:val="-13"/>
          <w:w w:val="110"/>
        </w:rPr>
        <w:t> </w:t>
      </w:r>
      <w:r>
        <w:rPr>
          <w:color w:val="231F1F"/>
          <w:w w:val="110"/>
        </w:rPr>
        <w:t>las</w:t>
      </w:r>
      <w:r>
        <w:rPr>
          <w:color w:val="231F1F"/>
          <w:spacing w:val="-13"/>
          <w:w w:val="110"/>
        </w:rPr>
        <w:t> </w:t>
      </w:r>
      <w:r>
        <w:rPr>
          <w:color w:val="231F1F"/>
          <w:w w:val="110"/>
        </w:rPr>
        <w:t>primeras</w:t>
      </w:r>
      <w:r>
        <w:rPr>
          <w:color w:val="231F1F"/>
          <w:spacing w:val="-14"/>
          <w:w w:val="110"/>
        </w:rPr>
        <w:t> </w:t>
      </w:r>
      <w:r>
        <w:rPr>
          <w:color w:val="231F1F"/>
          <w:w w:val="110"/>
        </w:rPr>
        <w:t>18</w:t>
      </w:r>
      <w:r>
        <w:rPr>
          <w:color w:val="231F1F"/>
          <w:spacing w:val="-13"/>
          <w:w w:val="110"/>
        </w:rPr>
        <w:t> </w:t>
      </w:r>
      <w:r>
        <w:rPr>
          <w:color w:val="231F1F"/>
          <w:w w:val="110"/>
        </w:rPr>
        <w:t>horas. Las mujeres multíparas en cambio, en 12 horas.</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enero</w:t>
      </w:r>
      <w:r>
        <w:rPr>
          <w:rFonts w:ascii="Arial MT" w:hAnsi="Arial MT"/>
          <w:color w:val="231F1F"/>
          <w:spacing w:val="15"/>
          <w:sz w:val="24"/>
        </w:rPr>
        <w:t> </w:t>
      </w:r>
      <w:r>
        <w:rPr>
          <w:rFonts w:ascii="Arial MT" w:hAnsi="Arial MT"/>
          <w:color w:val="231F1F"/>
          <w:spacing w:val="-2"/>
          <w:sz w:val="24"/>
        </w:rPr>
        <w:t>2009)</w:t>
      </w:r>
    </w:p>
    <w:p>
      <w:pPr>
        <w:pStyle w:val="BodyText"/>
        <w:spacing w:line="261" w:lineRule="auto" w:before="233"/>
        <w:ind w:left="283" w:right="2"/>
        <w:jc w:val="both"/>
      </w:pPr>
      <w:r>
        <w:rPr>
          <w:color w:val="231F1F"/>
        </w:rPr>
        <w:t>En la búsqueda realizada para la actualización tanto de la definición como de la duración de la primera etapa del parto se preseleccionaron 4 estudios, que final- mente no fueron incluidos, por no cumplir los criterios de selección. Por ello, las recomendaciones</w:t>
      </w:r>
      <w:r>
        <w:rPr>
          <w:color w:val="231F1F"/>
          <w:spacing w:val="40"/>
        </w:rPr>
        <w:t> </w:t>
      </w:r>
      <w:r>
        <w:rPr>
          <w:color w:val="231F1F"/>
        </w:rPr>
        <w:t>se</w:t>
      </w:r>
      <w:r>
        <w:rPr>
          <w:color w:val="231F1F"/>
          <w:spacing w:val="40"/>
        </w:rPr>
        <w:t> </w:t>
      </w:r>
      <w:r>
        <w:rPr>
          <w:color w:val="231F1F"/>
        </w:rPr>
        <w:t>basan</w:t>
      </w:r>
      <w:r>
        <w:rPr>
          <w:color w:val="231F1F"/>
          <w:spacing w:val="40"/>
        </w:rPr>
        <w:t> </w:t>
      </w:r>
      <w:r>
        <w:rPr>
          <w:color w:val="231F1F"/>
        </w:rPr>
        <w:t>en</w:t>
      </w:r>
      <w:r>
        <w:rPr>
          <w:color w:val="231F1F"/>
          <w:spacing w:val="40"/>
        </w:rPr>
        <w:t> </w:t>
      </w:r>
      <w:r>
        <w:rPr>
          <w:color w:val="231F1F"/>
        </w:rPr>
        <w:t>los</w:t>
      </w:r>
      <w:r>
        <w:rPr>
          <w:color w:val="231F1F"/>
          <w:spacing w:val="40"/>
        </w:rPr>
        <w:t> </w:t>
      </w:r>
      <w:r>
        <w:rPr>
          <w:color w:val="231F1F"/>
        </w:rPr>
        <w:t>hallazgos</w:t>
      </w:r>
      <w:r>
        <w:rPr>
          <w:color w:val="231F1F"/>
          <w:spacing w:val="40"/>
        </w:rPr>
        <w:t> </w:t>
      </w:r>
      <w:r>
        <w:rPr>
          <w:color w:val="231F1F"/>
        </w:rPr>
        <w:t>descritos</w:t>
      </w:r>
      <w:r>
        <w:rPr>
          <w:color w:val="231F1F"/>
          <w:spacing w:val="40"/>
        </w:rPr>
        <w:t> </w:t>
      </w:r>
      <w:r>
        <w:rPr>
          <w:color w:val="231F1F"/>
        </w:rPr>
        <w:t>por</w:t>
      </w:r>
      <w:r>
        <w:rPr>
          <w:color w:val="231F1F"/>
          <w:spacing w:val="40"/>
        </w:rPr>
        <w:t> </w:t>
      </w:r>
      <w:r>
        <w:rPr>
          <w:color w:val="231F1F"/>
        </w:rPr>
        <w:t>la</w:t>
      </w:r>
      <w:r>
        <w:rPr>
          <w:color w:val="231F1F"/>
          <w:spacing w:val="40"/>
        </w:rPr>
        <w:t> </w:t>
      </w:r>
      <w:r>
        <w:rPr>
          <w:color w:val="231F1F"/>
        </w:rPr>
        <w:t>guía</w:t>
      </w:r>
      <w:r>
        <w:rPr>
          <w:color w:val="231F1F"/>
          <w:spacing w:val="40"/>
        </w:rPr>
        <w:t> </w:t>
      </w:r>
      <w:r>
        <w:rPr>
          <w:color w:val="231F1F"/>
        </w:rPr>
        <w:t>NICE</w:t>
      </w:r>
      <w:r>
        <w:rPr>
          <w:color w:val="231F1F"/>
          <w:spacing w:val="40"/>
        </w:rPr>
        <w:t> </w:t>
      </w:r>
      <w:r>
        <w:rPr>
          <w:color w:val="231F1F"/>
        </w:rPr>
        <w:t>(10).</w:t>
      </w:r>
    </w:p>
    <w:p>
      <w:pPr>
        <w:spacing w:line="278" w:lineRule="auto" w:before="104"/>
        <w:ind w:left="59" w:right="123" w:firstLine="0"/>
        <w:jc w:val="center"/>
        <w:rPr>
          <w:rFonts w:ascii="Arial MT"/>
          <w:sz w:val="18"/>
        </w:rPr>
      </w:pPr>
      <w:r>
        <w:rPr/>
        <w:br w:type="column"/>
      </w:r>
      <w:r>
        <w:rPr>
          <w:rFonts w:ascii="Arial MT"/>
          <w:color w:val="231F1F"/>
          <w:spacing w:val="-2"/>
          <w:sz w:val="18"/>
        </w:rPr>
        <w:t>Series</w:t>
      </w:r>
      <w:r>
        <w:rPr>
          <w:rFonts w:ascii="Arial MT"/>
          <w:color w:val="231F1F"/>
          <w:spacing w:val="-17"/>
          <w:sz w:val="18"/>
        </w:rPr>
        <w:t> </w:t>
      </w:r>
      <w:r>
        <w:rPr>
          <w:rFonts w:ascii="Arial MT"/>
          <w:color w:val="231F1F"/>
          <w:spacing w:val="-2"/>
          <w:sz w:val="18"/>
        </w:rPr>
        <w:t>de casos</w:t>
      </w:r>
    </w:p>
    <w:p>
      <w:pPr>
        <w:spacing w:line="202" w:lineRule="exact" w:before="0"/>
        <w:ind w:left="82" w:right="123" w:firstLine="0"/>
        <w:jc w:val="center"/>
        <w:rPr>
          <w:rFonts w:ascii="Arial MT"/>
          <w:sz w:val="18"/>
        </w:rPr>
      </w:pP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7"/>
        <w:rPr>
          <w:rFonts w:ascii="Arial MT"/>
          <w:sz w:val="18"/>
        </w:rPr>
      </w:pPr>
    </w:p>
    <w:p>
      <w:pPr>
        <w:spacing w:line="278" w:lineRule="auto" w:before="1"/>
        <w:ind w:left="59" w:right="123" w:firstLine="0"/>
        <w:jc w:val="center"/>
        <w:rPr>
          <w:rFonts w:ascii="Arial MT"/>
          <w:sz w:val="18"/>
        </w:rPr>
      </w:pPr>
      <w:r>
        <w:rPr>
          <w:rFonts w:ascii="Arial MT"/>
          <w:color w:val="231F1F"/>
          <w:spacing w:val="-2"/>
          <w:sz w:val="18"/>
        </w:rPr>
        <w:t>Series</w:t>
      </w:r>
      <w:r>
        <w:rPr>
          <w:rFonts w:ascii="Arial MT"/>
          <w:color w:val="231F1F"/>
          <w:spacing w:val="-17"/>
          <w:sz w:val="18"/>
        </w:rPr>
        <w:t> </w:t>
      </w:r>
      <w:r>
        <w:rPr>
          <w:rFonts w:ascii="Arial MT"/>
          <w:color w:val="231F1F"/>
          <w:spacing w:val="-2"/>
          <w:sz w:val="18"/>
        </w:rPr>
        <w:t>de casos</w:t>
      </w:r>
    </w:p>
    <w:p>
      <w:pPr>
        <w:spacing w:line="202" w:lineRule="exact" w:before="0"/>
        <w:ind w:left="82" w:right="123" w:firstLine="0"/>
        <w:jc w:val="center"/>
        <w:rPr>
          <w:rFonts w:ascii="Arial MT"/>
          <w:sz w:val="18"/>
        </w:rPr>
      </w:pP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3"/>
        <w:rPr>
          <w:rFonts w:ascii="Arial MT"/>
          <w:sz w:val="18"/>
        </w:rPr>
      </w:pPr>
    </w:p>
    <w:p>
      <w:pPr>
        <w:spacing w:line="278" w:lineRule="auto" w:before="1"/>
        <w:ind w:left="377" w:right="0" w:hanging="243"/>
        <w:jc w:val="left"/>
        <w:rPr>
          <w:rFonts w:ascii="Arial MT"/>
          <w:sz w:val="18"/>
        </w:rPr>
      </w:pPr>
      <w:r>
        <w:rPr>
          <w:rFonts w:ascii="Arial MT"/>
          <w:color w:val="231F1F"/>
          <w:spacing w:val="-4"/>
          <w:sz w:val="18"/>
        </w:rPr>
        <w:t>E.</w:t>
      </w:r>
      <w:r>
        <w:rPr>
          <w:rFonts w:ascii="Arial MT"/>
          <w:color w:val="231F1F"/>
          <w:spacing w:val="-19"/>
          <w:sz w:val="18"/>
        </w:rPr>
        <w:t> </w:t>
      </w:r>
      <w:r>
        <w:rPr>
          <w:rFonts w:ascii="Arial MT"/>
          <w:color w:val="231F1F"/>
          <w:spacing w:val="-4"/>
          <w:sz w:val="18"/>
        </w:rPr>
        <w:t>Observa- </w:t>
      </w:r>
      <w:r>
        <w:rPr>
          <w:rFonts w:ascii="Arial MT"/>
          <w:color w:val="231F1F"/>
          <w:spacing w:val="-2"/>
          <w:sz w:val="18"/>
        </w:rPr>
        <w:t>cional</w:t>
      </w:r>
    </w:p>
    <w:p>
      <w:pPr>
        <w:spacing w:line="202" w:lineRule="exact" w:before="0"/>
        <w:ind w:left="576" w:right="0" w:firstLine="0"/>
        <w:jc w:val="left"/>
        <w:rPr>
          <w:rFonts w:ascii="Arial MT"/>
          <w:sz w:val="18"/>
        </w:rPr>
      </w:pPr>
      <w:r>
        <w:rPr>
          <w:rFonts w:ascii="Arial MT"/>
          <w:color w:val="231F1F"/>
          <w:spacing w:val="-10"/>
          <w:sz w:val="18"/>
        </w:rPr>
        <w:t>3</w:t>
      </w:r>
    </w:p>
    <w:p>
      <w:pPr>
        <w:spacing w:after="0" w:line="202" w:lineRule="exact"/>
        <w:jc w:val="left"/>
        <w:rPr>
          <w:rFonts w:ascii="Arial MT"/>
          <w:sz w:val="18"/>
        </w:rPr>
        <w:sectPr>
          <w:pgSz w:w="11900" w:h="16840"/>
          <w:pgMar w:header="0" w:footer="622" w:top="1580" w:bottom="820" w:left="1417" w:right="1559"/>
          <w:cols w:num="2" w:equalWidth="0">
            <w:col w:w="7554" w:space="40"/>
            <w:col w:w="1330"/>
          </w:cols>
        </w:sectPr>
      </w:pPr>
    </w:p>
    <w:p>
      <w:pPr>
        <w:pStyle w:val="BodyText"/>
        <w:spacing w:line="247" w:lineRule="auto" w:before="73"/>
        <w:ind w:left="283" w:right="1369" w:firstLine="453"/>
        <w:jc w:val="both"/>
      </w:pPr>
      <w:r>
        <w:rPr>
          <w:color w:val="231F1F"/>
          <w:w w:val="110"/>
        </w:rPr>
        <w:t>El GEG considera que es importante incidir en que la duración de la primera</w:t>
      </w:r>
      <w:r>
        <w:rPr>
          <w:color w:val="231F1F"/>
          <w:w w:val="110"/>
        </w:rPr>
        <w:t> etapa</w:t>
      </w:r>
      <w:r>
        <w:rPr>
          <w:color w:val="231F1F"/>
          <w:w w:val="110"/>
        </w:rPr>
        <w:t> del</w:t>
      </w:r>
      <w:r>
        <w:rPr>
          <w:color w:val="231F1F"/>
          <w:w w:val="110"/>
        </w:rPr>
        <w:t> parto</w:t>
      </w:r>
      <w:r>
        <w:rPr>
          <w:color w:val="231F1F"/>
          <w:w w:val="110"/>
        </w:rPr>
        <w:t> «</w:t>
      </w:r>
      <w:r>
        <w:rPr>
          <w:i/>
          <w:color w:val="231F1F"/>
          <w:w w:val="110"/>
        </w:rPr>
        <w:t>per se</w:t>
      </w:r>
      <w:r>
        <w:rPr>
          <w:color w:val="231F1F"/>
          <w:w w:val="110"/>
        </w:rPr>
        <w:t>»</w:t>
      </w:r>
      <w:r>
        <w:rPr>
          <w:color w:val="231F1F"/>
          <w:w w:val="110"/>
        </w:rPr>
        <w:t> no</w:t>
      </w:r>
      <w:r>
        <w:rPr>
          <w:color w:val="231F1F"/>
          <w:w w:val="110"/>
        </w:rPr>
        <w:t> es</w:t>
      </w:r>
      <w:r>
        <w:rPr>
          <w:color w:val="231F1F"/>
          <w:w w:val="110"/>
        </w:rPr>
        <w:t> comprometedora</w:t>
      </w:r>
      <w:r>
        <w:rPr>
          <w:color w:val="231F1F"/>
          <w:w w:val="110"/>
        </w:rPr>
        <w:t> para</w:t>
      </w:r>
      <w:r>
        <w:rPr>
          <w:color w:val="231F1F"/>
          <w:w w:val="110"/>
        </w:rPr>
        <w:t> el</w:t>
      </w:r>
      <w:r>
        <w:rPr>
          <w:color w:val="231F1F"/>
          <w:w w:val="110"/>
        </w:rPr>
        <w:t> bienestar materno-fetal,</w:t>
      </w:r>
      <w:r>
        <w:rPr>
          <w:color w:val="231F1F"/>
          <w:spacing w:val="-8"/>
          <w:w w:val="110"/>
        </w:rPr>
        <w:t> </w:t>
      </w:r>
      <w:r>
        <w:rPr>
          <w:color w:val="231F1F"/>
          <w:w w:val="110"/>
        </w:rPr>
        <w:t>no</w:t>
      </w:r>
      <w:r>
        <w:rPr>
          <w:color w:val="231F1F"/>
          <w:spacing w:val="-7"/>
          <w:w w:val="110"/>
        </w:rPr>
        <w:t> </w:t>
      </w:r>
      <w:r>
        <w:rPr>
          <w:color w:val="231F1F"/>
          <w:w w:val="110"/>
        </w:rPr>
        <w:t>siendo</w:t>
      </w:r>
      <w:r>
        <w:rPr>
          <w:color w:val="231F1F"/>
          <w:spacing w:val="-7"/>
          <w:w w:val="110"/>
        </w:rPr>
        <w:t> </w:t>
      </w:r>
      <w:r>
        <w:rPr>
          <w:color w:val="231F1F"/>
          <w:w w:val="110"/>
        </w:rPr>
        <w:t>un</w:t>
      </w:r>
      <w:r>
        <w:rPr>
          <w:color w:val="231F1F"/>
          <w:spacing w:val="-7"/>
          <w:w w:val="110"/>
        </w:rPr>
        <w:t> </w:t>
      </w:r>
      <w:r>
        <w:rPr>
          <w:color w:val="231F1F"/>
          <w:w w:val="110"/>
        </w:rPr>
        <w:t>factor</w:t>
      </w:r>
      <w:r>
        <w:rPr>
          <w:color w:val="231F1F"/>
          <w:spacing w:val="-7"/>
          <w:w w:val="110"/>
        </w:rPr>
        <w:t> </w:t>
      </w:r>
      <w:r>
        <w:rPr>
          <w:color w:val="231F1F"/>
          <w:w w:val="110"/>
        </w:rPr>
        <w:t>clave</w:t>
      </w:r>
      <w:r>
        <w:rPr>
          <w:color w:val="231F1F"/>
          <w:spacing w:val="-7"/>
          <w:w w:val="110"/>
        </w:rPr>
        <w:t> </w:t>
      </w:r>
      <w:r>
        <w:rPr>
          <w:color w:val="231F1F"/>
          <w:w w:val="110"/>
        </w:rPr>
        <w:t>de</w:t>
      </w:r>
      <w:r>
        <w:rPr>
          <w:color w:val="231F1F"/>
          <w:spacing w:val="-7"/>
          <w:w w:val="110"/>
        </w:rPr>
        <w:t> </w:t>
      </w:r>
      <w:r>
        <w:rPr>
          <w:color w:val="231F1F"/>
          <w:w w:val="110"/>
        </w:rPr>
        <w:t>preocupación;</w:t>
      </w:r>
      <w:r>
        <w:rPr>
          <w:color w:val="231F1F"/>
          <w:spacing w:val="-8"/>
          <w:w w:val="110"/>
        </w:rPr>
        <w:t> </w:t>
      </w:r>
      <w:r>
        <w:rPr>
          <w:color w:val="231F1F"/>
          <w:w w:val="110"/>
        </w:rPr>
        <w:t>sin</w:t>
      </w:r>
      <w:r>
        <w:rPr>
          <w:color w:val="231F1F"/>
          <w:spacing w:val="-7"/>
          <w:w w:val="110"/>
        </w:rPr>
        <w:t> </w:t>
      </w:r>
      <w:r>
        <w:rPr>
          <w:color w:val="231F1F"/>
          <w:w w:val="110"/>
        </w:rPr>
        <w:t>embargo,</w:t>
      </w:r>
      <w:r>
        <w:rPr>
          <w:color w:val="231F1F"/>
          <w:spacing w:val="-7"/>
          <w:w w:val="110"/>
        </w:rPr>
        <w:t> </w:t>
      </w:r>
      <w:r>
        <w:rPr>
          <w:color w:val="231F1F"/>
          <w:w w:val="110"/>
        </w:rPr>
        <w:t>una duración</w:t>
      </w:r>
      <w:r>
        <w:rPr>
          <w:color w:val="231F1F"/>
          <w:spacing w:val="-9"/>
          <w:w w:val="110"/>
        </w:rPr>
        <w:t> </w:t>
      </w:r>
      <w:r>
        <w:rPr>
          <w:color w:val="231F1F"/>
          <w:w w:val="110"/>
        </w:rPr>
        <w:t>superior</w:t>
      </w:r>
      <w:r>
        <w:rPr>
          <w:color w:val="231F1F"/>
          <w:spacing w:val="-9"/>
          <w:w w:val="110"/>
        </w:rPr>
        <w:t> </w:t>
      </w:r>
      <w:r>
        <w:rPr>
          <w:color w:val="231F1F"/>
          <w:w w:val="110"/>
        </w:rPr>
        <w:t>a</w:t>
      </w:r>
      <w:r>
        <w:rPr>
          <w:color w:val="231F1F"/>
          <w:spacing w:val="-8"/>
          <w:w w:val="110"/>
        </w:rPr>
        <w:t> </w:t>
      </w:r>
      <w:r>
        <w:rPr>
          <w:color w:val="231F1F"/>
          <w:w w:val="110"/>
        </w:rPr>
        <w:t>los</w:t>
      </w:r>
      <w:r>
        <w:rPr>
          <w:color w:val="231F1F"/>
          <w:spacing w:val="-9"/>
          <w:w w:val="110"/>
        </w:rPr>
        <w:t> </w:t>
      </w:r>
      <w:r>
        <w:rPr>
          <w:color w:val="231F1F"/>
          <w:w w:val="110"/>
        </w:rPr>
        <w:t>límites</w:t>
      </w:r>
      <w:r>
        <w:rPr>
          <w:color w:val="231F1F"/>
          <w:spacing w:val="-9"/>
          <w:w w:val="110"/>
        </w:rPr>
        <w:t> </w:t>
      </w:r>
      <w:r>
        <w:rPr>
          <w:color w:val="231F1F"/>
          <w:w w:val="110"/>
        </w:rPr>
        <w:t>indicados</w:t>
      </w:r>
      <w:r>
        <w:rPr>
          <w:color w:val="231F1F"/>
          <w:spacing w:val="-9"/>
          <w:w w:val="110"/>
        </w:rPr>
        <w:t> </w:t>
      </w:r>
      <w:r>
        <w:rPr>
          <w:color w:val="231F1F"/>
          <w:w w:val="110"/>
        </w:rPr>
        <w:t>deben</w:t>
      </w:r>
      <w:r>
        <w:rPr>
          <w:color w:val="231F1F"/>
          <w:spacing w:val="-9"/>
          <w:w w:val="110"/>
        </w:rPr>
        <w:t> </w:t>
      </w:r>
      <w:r>
        <w:rPr>
          <w:color w:val="231F1F"/>
          <w:w w:val="110"/>
        </w:rPr>
        <w:t>considerarse</w:t>
      </w:r>
      <w:r>
        <w:rPr>
          <w:color w:val="231F1F"/>
          <w:spacing w:val="-7"/>
          <w:w w:val="110"/>
        </w:rPr>
        <w:t> </w:t>
      </w:r>
      <w:r>
        <w:rPr>
          <w:color w:val="231F1F"/>
          <w:w w:val="110"/>
        </w:rPr>
        <w:t>una</w:t>
      </w:r>
      <w:r>
        <w:rPr>
          <w:color w:val="231F1F"/>
          <w:spacing w:val="-9"/>
          <w:w w:val="110"/>
        </w:rPr>
        <w:t> </w:t>
      </w:r>
      <w:r>
        <w:rPr>
          <w:color w:val="231F1F"/>
          <w:w w:val="110"/>
        </w:rPr>
        <w:t>señal</w:t>
      </w:r>
      <w:r>
        <w:rPr>
          <w:color w:val="231F1F"/>
          <w:spacing w:val="-9"/>
          <w:w w:val="110"/>
        </w:rPr>
        <w:t> </w:t>
      </w:r>
      <w:r>
        <w:rPr>
          <w:color w:val="231F1F"/>
          <w:w w:val="110"/>
        </w:rPr>
        <w:t>de</w:t>
      </w:r>
      <w:r>
        <w:rPr>
          <w:color w:val="231F1F"/>
          <w:spacing w:val="-9"/>
          <w:w w:val="110"/>
        </w:rPr>
        <w:t> </w:t>
      </w:r>
      <w:r>
        <w:rPr>
          <w:color w:val="231F1F"/>
          <w:w w:val="110"/>
        </w:rPr>
        <w:t>la existencia de algún problema.</w:t>
      </w:r>
    </w:p>
    <w:p>
      <w:pPr>
        <w:pStyle w:val="BodyText"/>
        <w:spacing w:before="157"/>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4" w:lineRule="auto" w:before="53"/>
              <w:ind w:right="89"/>
              <w:jc w:val="both"/>
              <w:rPr>
                <w:sz w:val="22"/>
              </w:rPr>
            </w:pPr>
            <w:r>
              <w:rPr>
                <w:color w:val="231F1F"/>
                <w:w w:val="105"/>
                <w:sz w:val="22"/>
              </w:rPr>
              <w:t>La duración del parto varía de mujer a mujer, está influenciada por el núme- ro de embarazos de la parturienta (23;26;28) y su progreso no tiene porqué ser lineal (31).</w:t>
            </w:r>
          </w:p>
        </w:tc>
        <w:tc>
          <w:tcPr>
            <w:tcW w:w="1133" w:type="dxa"/>
          </w:tcPr>
          <w:p>
            <w:pPr>
              <w:pStyle w:val="TableParagraph"/>
              <w:spacing w:before="83"/>
              <w:ind w:left="0"/>
              <w:rPr>
                <w:rFonts w:ascii="Arial MT"/>
                <w:sz w:val="22"/>
              </w:rPr>
            </w:pPr>
          </w:p>
          <w:p>
            <w:pPr>
              <w:pStyle w:val="TableParagraph"/>
              <w:spacing w:before="1"/>
              <w:ind w:left="49"/>
              <w:jc w:val="center"/>
              <w:rPr>
                <w:sz w:val="22"/>
              </w:rPr>
            </w:pPr>
            <w:r>
              <w:rPr>
                <w:color w:val="231F1F"/>
                <w:spacing w:val="-10"/>
                <w:sz w:val="22"/>
              </w:rPr>
              <w:t>3</w:t>
            </w:r>
          </w:p>
        </w:tc>
      </w:tr>
      <w:tr>
        <w:trPr>
          <w:trHeight w:val="935" w:hRule="atLeast"/>
        </w:trPr>
        <w:tc>
          <w:tcPr>
            <w:tcW w:w="7373" w:type="dxa"/>
          </w:tcPr>
          <w:p>
            <w:pPr>
              <w:pStyle w:val="TableParagraph"/>
              <w:spacing w:line="244" w:lineRule="auto" w:before="39"/>
              <w:ind w:right="86"/>
              <w:jc w:val="both"/>
              <w:rPr>
                <w:sz w:val="22"/>
              </w:rPr>
            </w:pPr>
            <w:r>
              <w:rPr>
                <w:color w:val="231F1F"/>
                <w:w w:val="105"/>
                <w:sz w:val="22"/>
              </w:rPr>
              <w:t>En el parto establecido la mayoría de las mujeres nulíparas alcanza la segun- da</w:t>
            </w:r>
            <w:r>
              <w:rPr>
                <w:color w:val="231F1F"/>
                <w:w w:val="105"/>
                <w:sz w:val="22"/>
              </w:rPr>
              <w:t> etapa</w:t>
            </w:r>
            <w:r>
              <w:rPr>
                <w:color w:val="231F1F"/>
                <w:w w:val="105"/>
                <w:sz w:val="22"/>
              </w:rPr>
              <w:t> del</w:t>
            </w:r>
            <w:r>
              <w:rPr>
                <w:color w:val="231F1F"/>
                <w:w w:val="105"/>
                <w:sz w:val="22"/>
              </w:rPr>
              <w:t> parto</w:t>
            </w:r>
            <w:r>
              <w:rPr>
                <w:color w:val="231F1F"/>
                <w:w w:val="105"/>
                <w:sz w:val="22"/>
              </w:rPr>
              <w:t> dentro</w:t>
            </w:r>
            <w:r>
              <w:rPr>
                <w:color w:val="231F1F"/>
                <w:w w:val="105"/>
                <w:sz w:val="22"/>
              </w:rPr>
              <w:t> de</w:t>
            </w:r>
            <w:r>
              <w:rPr>
                <w:color w:val="231F1F"/>
                <w:w w:val="105"/>
                <w:sz w:val="22"/>
              </w:rPr>
              <w:t> las</w:t>
            </w:r>
            <w:r>
              <w:rPr>
                <w:color w:val="231F1F"/>
                <w:w w:val="105"/>
                <w:sz w:val="22"/>
              </w:rPr>
              <w:t> primeras</w:t>
            </w:r>
            <w:r>
              <w:rPr>
                <w:color w:val="231F1F"/>
                <w:w w:val="105"/>
                <w:sz w:val="22"/>
              </w:rPr>
              <w:t> 18</w:t>
            </w:r>
            <w:r>
              <w:rPr>
                <w:color w:val="231F1F"/>
                <w:w w:val="105"/>
                <w:sz w:val="22"/>
              </w:rPr>
              <w:t> horas</w:t>
            </w:r>
            <w:r>
              <w:rPr>
                <w:color w:val="231F1F"/>
                <w:w w:val="105"/>
                <w:sz w:val="22"/>
              </w:rPr>
              <w:t> y</w:t>
            </w:r>
            <w:r>
              <w:rPr>
                <w:color w:val="231F1F"/>
                <w:w w:val="105"/>
                <w:sz w:val="22"/>
              </w:rPr>
              <w:t> las</w:t>
            </w:r>
            <w:r>
              <w:rPr>
                <w:color w:val="231F1F"/>
                <w:w w:val="105"/>
                <w:sz w:val="22"/>
              </w:rPr>
              <w:t> multíparas</w:t>
            </w:r>
            <w:r>
              <w:rPr>
                <w:color w:val="231F1F"/>
                <w:w w:val="105"/>
                <w:sz w:val="22"/>
              </w:rPr>
              <w:t> en</w:t>
            </w:r>
            <w:r>
              <w:rPr>
                <w:color w:val="231F1F"/>
                <w:w w:val="105"/>
                <w:sz w:val="22"/>
              </w:rPr>
              <w:t> 12 horas sin intervenciones (23;26;28;31).</w:t>
            </w:r>
          </w:p>
        </w:tc>
        <w:tc>
          <w:tcPr>
            <w:tcW w:w="1133" w:type="dxa"/>
          </w:tcPr>
          <w:p>
            <w:pPr>
              <w:pStyle w:val="TableParagraph"/>
              <w:spacing w:before="69"/>
              <w:ind w:left="0"/>
              <w:rPr>
                <w:rFonts w:ascii="Arial MT"/>
                <w:sz w:val="22"/>
              </w:rPr>
            </w:pPr>
          </w:p>
          <w:p>
            <w:pPr>
              <w:pStyle w:val="TableParagraph"/>
              <w:ind w:left="49"/>
              <w:jc w:val="center"/>
              <w:rPr>
                <w:sz w:val="22"/>
              </w:rPr>
            </w:pPr>
            <w:r>
              <w:rPr>
                <w:color w:val="231F1F"/>
                <w:spacing w:val="-10"/>
                <w:sz w:val="22"/>
              </w:rPr>
              <w:t>3</w:t>
            </w:r>
          </w:p>
        </w:tc>
      </w:tr>
    </w:tbl>
    <w:p>
      <w:pPr>
        <w:pStyle w:val="BodyText"/>
        <w:spacing w:before="3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62" w:hRule="atLeast"/>
        </w:trPr>
        <w:tc>
          <w:tcPr>
            <w:tcW w:w="456" w:type="dxa"/>
          </w:tcPr>
          <w:p>
            <w:pPr>
              <w:pStyle w:val="TableParagraph"/>
              <w:spacing w:before="173"/>
              <w:ind w:left="43" w:right="86"/>
              <w:jc w:val="center"/>
              <w:rPr>
                <w:sz w:val="22"/>
              </w:rPr>
            </w:pPr>
            <w:r>
              <w:rPr>
                <w:color w:val="231F1F"/>
                <w:spacing w:val="-10"/>
                <w:w w:val="110"/>
                <w:sz w:val="22"/>
              </w:rPr>
              <w:t>√</w:t>
            </w:r>
          </w:p>
        </w:tc>
        <w:tc>
          <w:tcPr>
            <w:tcW w:w="8050" w:type="dxa"/>
          </w:tcPr>
          <w:p>
            <w:pPr>
              <w:pStyle w:val="TableParagraph"/>
              <w:spacing w:line="244" w:lineRule="auto" w:before="34"/>
              <w:ind w:right="155"/>
              <w:rPr>
                <w:sz w:val="22"/>
              </w:rPr>
            </w:pPr>
            <w:r>
              <w:rPr>
                <w:color w:val="231F1F"/>
                <w:sz w:val="22"/>
              </w:rPr>
              <w:t>No</w:t>
            </w:r>
            <w:r>
              <w:rPr>
                <w:color w:val="231F1F"/>
                <w:spacing w:val="29"/>
                <w:sz w:val="22"/>
              </w:rPr>
              <w:t> </w:t>
            </w:r>
            <w:r>
              <w:rPr>
                <w:color w:val="231F1F"/>
                <w:sz w:val="22"/>
              </w:rPr>
              <w:t>es</w:t>
            </w:r>
            <w:r>
              <w:rPr>
                <w:color w:val="231F1F"/>
                <w:spacing w:val="31"/>
                <w:sz w:val="22"/>
              </w:rPr>
              <w:t> </w:t>
            </w:r>
            <w:r>
              <w:rPr>
                <w:color w:val="231F1F"/>
                <w:sz w:val="22"/>
              </w:rPr>
              <w:t>posible</w:t>
            </w:r>
            <w:r>
              <w:rPr>
                <w:color w:val="231F1F"/>
                <w:spacing w:val="31"/>
                <w:sz w:val="22"/>
              </w:rPr>
              <w:t> </w:t>
            </w:r>
            <w:r>
              <w:rPr>
                <w:color w:val="231F1F"/>
                <w:sz w:val="22"/>
              </w:rPr>
              <w:t>establecer</w:t>
            </w:r>
            <w:r>
              <w:rPr>
                <w:color w:val="231F1F"/>
                <w:spacing w:val="31"/>
                <w:sz w:val="22"/>
              </w:rPr>
              <w:t> </w:t>
            </w:r>
            <w:r>
              <w:rPr>
                <w:color w:val="231F1F"/>
                <w:sz w:val="22"/>
              </w:rPr>
              <w:t>la</w:t>
            </w:r>
            <w:r>
              <w:rPr>
                <w:color w:val="231F1F"/>
                <w:spacing w:val="31"/>
                <w:sz w:val="22"/>
              </w:rPr>
              <w:t> </w:t>
            </w:r>
            <w:r>
              <w:rPr>
                <w:color w:val="231F1F"/>
                <w:sz w:val="22"/>
              </w:rPr>
              <w:t>duración</w:t>
            </w:r>
            <w:r>
              <w:rPr>
                <w:color w:val="231F1F"/>
                <w:spacing w:val="31"/>
                <w:sz w:val="22"/>
              </w:rPr>
              <w:t> </w:t>
            </w:r>
            <w:r>
              <w:rPr>
                <w:color w:val="231F1F"/>
                <w:sz w:val="22"/>
              </w:rPr>
              <w:t>de</w:t>
            </w:r>
            <w:r>
              <w:rPr>
                <w:color w:val="231F1F"/>
                <w:spacing w:val="31"/>
                <w:sz w:val="22"/>
              </w:rPr>
              <w:t> </w:t>
            </w:r>
            <w:r>
              <w:rPr>
                <w:color w:val="231F1F"/>
                <w:sz w:val="22"/>
              </w:rPr>
              <w:t>la</w:t>
            </w:r>
            <w:r>
              <w:rPr>
                <w:color w:val="231F1F"/>
                <w:spacing w:val="31"/>
                <w:sz w:val="22"/>
              </w:rPr>
              <w:t> </w:t>
            </w:r>
            <w:r>
              <w:rPr>
                <w:color w:val="231F1F"/>
                <w:sz w:val="22"/>
              </w:rPr>
              <w:t>fase</w:t>
            </w:r>
            <w:r>
              <w:rPr>
                <w:color w:val="231F1F"/>
                <w:spacing w:val="29"/>
                <w:sz w:val="22"/>
              </w:rPr>
              <w:t> </w:t>
            </w:r>
            <w:r>
              <w:rPr>
                <w:color w:val="231F1F"/>
                <w:sz w:val="22"/>
              </w:rPr>
              <w:t>latente</w:t>
            </w:r>
            <w:r>
              <w:rPr>
                <w:color w:val="231F1F"/>
                <w:spacing w:val="31"/>
                <w:sz w:val="22"/>
              </w:rPr>
              <w:t> </w:t>
            </w:r>
            <w:r>
              <w:rPr>
                <w:color w:val="231F1F"/>
                <w:sz w:val="22"/>
              </w:rPr>
              <w:t>de</w:t>
            </w:r>
            <w:r>
              <w:rPr>
                <w:color w:val="231F1F"/>
                <w:spacing w:val="31"/>
                <w:sz w:val="22"/>
              </w:rPr>
              <w:t> </w:t>
            </w:r>
            <w:r>
              <w:rPr>
                <w:color w:val="231F1F"/>
                <w:sz w:val="22"/>
              </w:rPr>
              <w:t>la</w:t>
            </w:r>
            <w:r>
              <w:rPr>
                <w:color w:val="231F1F"/>
                <w:spacing w:val="31"/>
                <w:sz w:val="22"/>
              </w:rPr>
              <w:t> </w:t>
            </w:r>
            <w:r>
              <w:rPr>
                <w:color w:val="231F1F"/>
                <w:sz w:val="22"/>
              </w:rPr>
              <w:t>primera</w:t>
            </w:r>
            <w:r>
              <w:rPr>
                <w:color w:val="231F1F"/>
                <w:spacing w:val="31"/>
                <w:sz w:val="22"/>
              </w:rPr>
              <w:t> </w:t>
            </w:r>
            <w:r>
              <w:rPr>
                <w:color w:val="231F1F"/>
                <w:sz w:val="22"/>
              </w:rPr>
              <w:t>etapa</w:t>
            </w:r>
            <w:r>
              <w:rPr>
                <w:color w:val="231F1F"/>
                <w:spacing w:val="31"/>
                <w:sz w:val="22"/>
              </w:rPr>
              <w:t> </w:t>
            </w:r>
            <w:r>
              <w:rPr>
                <w:color w:val="231F1F"/>
                <w:sz w:val="22"/>
              </w:rPr>
              <w:t>del</w:t>
            </w:r>
            <w:r>
              <w:rPr>
                <w:color w:val="231F1F"/>
                <w:spacing w:val="29"/>
                <w:sz w:val="22"/>
              </w:rPr>
              <w:t> </w:t>
            </w:r>
            <w:r>
              <w:rPr>
                <w:color w:val="231F1F"/>
                <w:sz w:val="22"/>
              </w:rPr>
              <w:t>parto </w:t>
            </w:r>
            <w:r>
              <w:rPr>
                <w:color w:val="231F1F"/>
                <w:w w:val="110"/>
                <w:sz w:val="22"/>
              </w:rPr>
              <w:t>debido a la dificultad de determinar el comienzo del parto.</w:t>
            </w:r>
          </w:p>
        </w:tc>
      </w:tr>
      <w:tr>
        <w:trPr>
          <w:trHeight w:val="2620" w:hRule="atLeast"/>
        </w:trPr>
        <w:tc>
          <w:tcPr>
            <w:tcW w:w="456"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31"/>
              <w:ind w:left="0"/>
              <w:rPr>
                <w:rFonts w:ascii="Arial MT"/>
                <w:sz w:val="22"/>
              </w:rPr>
            </w:pPr>
          </w:p>
          <w:p>
            <w:pPr>
              <w:pStyle w:val="TableParagraph"/>
              <w:ind w:left="43" w:right="61"/>
              <w:jc w:val="center"/>
              <w:rPr>
                <w:sz w:val="22"/>
              </w:rPr>
            </w:pPr>
            <w:r>
              <w:rPr>
                <w:color w:val="231F1F"/>
                <w:spacing w:val="-10"/>
                <w:w w:val="110"/>
                <w:sz w:val="22"/>
              </w:rPr>
              <w:t>C</w:t>
            </w:r>
          </w:p>
        </w:tc>
        <w:tc>
          <w:tcPr>
            <w:tcW w:w="8050" w:type="dxa"/>
          </w:tcPr>
          <w:p>
            <w:pPr>
              <w:pStyle w:val="TableParagraph"/>
              <w:spacing w:line="244" w:lineRule="auto" w:before="29"/>
              <w:ind w:right="155"/>
              <w:rPr>
                <w:sz w:val="22"/>
              </w:rPr>
            </w:pPr>
            <w:r>
              <w:rPr>
                <w:color w:val="231F1F"/>
                <w:w w:val="110"/>
                <w:sz w:val="22"/>
              </w:rPr>
              <w:t>La</w:t>
            </w:r>
            <w:r>
              <w:rPr>
                <w:color w:val="231F1F"/>
                <w:spacing w:val="-9"/>
                <w:w w:val="110"/>
                <w:sz w:val="22"/>
              </w:rPr>
              <w:t> </w:t>
            </w:r>
            <w:r>
              <w:rPr>
                <w:color w:val="231F1F"/>
                <w:w w:val="110"/>
                <w:sz w:val="22"/>
              </w:rPr>
              <w:t>duración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la</w:t>
            </w:r>
            <w:r>
              <w:rPr>
                <w:color w:val="231F1F"/>
                <w:spacing w:val="-9"/>
                <w:w w:val="110"/>
                <w:sz w:val="22"/>
              </w:rPr>
              <w:t> </w:t>
            </w:r>
            <w:r>
              <w:rPr>
                <w:color w:val="231F1F"/>
                <w:w w:val="110"/>
                <w:sz w:val="22"/>
              </w:rPr>
              <w:t>fase</w:t>
            </w:r>
            <w:r>
              <w:rPr>
                <w:color w:val="231F1F"/>
                <w:spacing w:val="-9"/>
                <w:w w:val="110"/>
                <w:sz w:val="22"/>
              </w:rPr>
              <w:t> </w:t>
            </w:r>
            <w:r>
              <w:rPr>
                <w:color w:val="231F1F"/>
                <w:w w:val="110"/>
                <w:sz w:val="22"/>
              </w:rPr>
              <w:t>activa</w:t>
            </w:r>
            <w:r>
              <w:rPr>
                <w:color w:val="231F1F"/>
                <w:spacing w:val="-9"/>
                <w:w w:val="110"/>
                <w:sz w:val="22"/>
              </w:rPr>
              <w:t> </w:t>
            </w:r>
            <w:r>
              <w:rPr>
                <w:color w:val="231F1F"/>
                <w:w w:val="110"/>
                <w:sz w:val="22"/>
              </w:rPr>
              <w:t>del</w:t>
            </w:r>
            <w:r>
              <w:rPr>
                <w:color w:val="231F1F"/>
                <w:spacing w:val="-11"/>
                <w:w w:val="110"/>
                <w:sz w:val="22"/>
              </w:rPr>
              <w:t> </w:t>
            </w:r>
            <w:r>
              <w:rPr>
                <w:color w:val="231F1F"/>
                <w:w w:val="110"/>
                <w:sz w:val="22"/>
              </w:rPr>
              <w:t>parto</w:t>
            </w:r>
            <w:r>
              <w:rPr>
                <w:color w:val="231F1F"/>
                <w:spacing w:val="-9"/>
                <w:w w:val="110"/>
                <w:sz w:val="22"/>
              </w:rPr>
              <w:t> </w:t>
            </w:r>
            <w:r>
              <w:rPr>
                <w:color w:val="231F1F"/>
                <w:w w:val="110"/>
                <w:sz w:val="22"/>
              </w:rPr>
              <w:t>es</w:t>
            </w:r>
            <w:r>
              <w:rPr>
                <w:color w:val="231F1F"/>
                <w:spacing w:val="-9"/>
                <w:w w:val="110"/>
                <w:sz w:val="22"/>
              </w:rPr>
              <w:t> </w:t>
            </w:r>
            <w:r>
              <w:rPr>
                <w:color w:val="231F1F"/>
                <w:w w:val="110"/>
                <w:sz w:val="22"/>
              </w:rPr>
              <w:t>variable</w:t>
            </w:r>
            <w:r>
              <w:rPr>
                <w:color w:val="231F1F"/>
                <w:spacing w:val="-9"/>
                <w:w w:val="110"/>
                <w:sz w:val="22"/>
              </w:rPr>
              <w:t> </w:t>
            </w:r>
            <w:r>
              <w:rPr>
                <w:color w:val="231F1F"/>
                <w:w w:val="110"/>
                <w:sz w:val="22"/>
              </w:rPr>
              <w:t>entre</w:t>
            </w:r>
            <w:r>
              <w:rPr>
                <w:color w:val="231F1F"/>
                <w:spacing w:val="-9"/>
                <w:w w:val="110"/>
                <w:sz w:val="22"/>
              </w:rPr>
              <w:t> </w:t>
            </w:r>
            <w:r>
              <w:rPr>
                <w:color w:val="231F1F"/>
                <w:w w:val="110"/>
                <w:sz w:val="22"/>
              </w:rPr>
              <w:t>las</w:t>
            </w:r>
            <w:r>
              <w:rPr>
                <w:color w:val="231F1F"/>
                <w:spacing w:val="-9"/>
                <w:w w:val="110"/>
                <w:sz w:val="22"/>
              </w:rPr>
              <w:t> </w:t>
            </w:r>
            <w:r>
              <w:rPr>
                <w:color w:val="231F1F"/>
                <w:w w:val="110"/>
                <w:sz w:val="22"/>
              </w:rPr>
              <w:t>mujeres</w:t>
            </w:r>
            <w:r>
              <w:rPr>
                <w:color w:val="231F1F"/>
                <w:spacing w:val="-9"/>
                <w:w w:val="110"/>
                <w:sz w:val="22"/>
              </w:rPr>
              <w:t> </w:t>
            </w:r>
            <w:r>
              <w:rPr>
                <w:color w:val="231F1F"/>
                <w:w w:val="110"/>
                <w:sz w:val="22"/>
              </w:rPr>
              <w:t>y</w:t>
            </w:r>
            <w:r>
              <w:rPr>
                <w:color w:val="231F1F"/>
                <w:spacing w:val="-9"/>
                <w:w w:val="110"/>
                <w:sz w:val="22"/>
              </w:rPr>
              <w:t> </w:t>
            </w:r>
            <w:r>
              <w:rPr>
                <w:color w:val="231F1F"/>
                <w:w w:val="110"/>
                <w:sz w:val="22"/>
              </w:rPr>
              <w:t>depende</w:t>
            </w:r>
            <w:r>
              <w:rPr>
                <w:color w:val="231F1F"/>
                <w:spacing w:val="-9"/>
                <w:w w:val="110"/>
                <w:sz w:val="22"/>
              </w:rPr>
              <w:t> </w:t>
            </w:r>
            <w:r>
              <w:rPr>
                <w:color w:val="231F1F"/>
                <w:w w:val="110"/>
                <w:sz w:val="22"/>
              </w:rPr>
              <w:t>de la paridad. Su progreso no es necesariamente lineal.</w:t>
            </w:r>
          </w:p>
          <w:p>
            <w:pPr>
              <w:pStyle w:val="TableParagraph"/>
              <w:numPr>
                <w:ilvl w:val="0"/>
                <w:numId w:val="19"/>
              </w:numPr>
              <w:tabs>
                <w:tab w:pos="339" w:val="left" w:leader="none"/>
              </w:tabs>
              <w:spacing w:line="240" w:lineRule="auto" w:before="137" w:after="0"/>
              <w:ind w:left="339" w:right="0" w:hanging="218"/>
              <w:jc w:val="left"/>
              <w:rPr>
                <w:sz w:val="22"/>
              </w:rPr>
            </w:pPr>
            <w:r>
              <w:rPr>
                <w:color w:val="231F1F"/>
                <w:w w:val="110"/>
                <w:sz w:val="22"/>
              </w:rPr>
              <w:t>En</w:t>
            </w:r>
            <w:r>
              <w:rPr>
                <w:color w:val="231F1F"/>
                <w:spacing w:val="-10"/>
                <w:w w:val="110"/>
                <w:sz w:val="22"/>
              </w:rPr>
              <w:t> </w:t>
            </w:r>
            <w:r>
              <w:rPr>
                <w:color w:val="231F1F"/>
                <w:w w:val="110"/>
                <w:sz w:val="22"/>
              </w:rPr>
              <w:t>las</w:t>
            </w:r>
            <w:r>
              <w:rPr>
                <w:color w:val="231F1F"/>
                <w:spacing w:val="-7"/>
                <w:w w:val="110"/>
                <w:sz w:val="22"/>
              </w:rPr>
              <w:t> </w:t>
            </w:r>
            <w:r>
              <w:rPr>
                <w:color w:val="231F1F"/>
                <w:spacing w:val="-2"/>
                <w:w w:val="110"/>
                <w:sz w:val="22"/>
              </w:rPr>
              <w:t>primíparas:</w:t>
            </w:r>
          </w:p>
          <w:p>
            <w:pPr>
              <w:pStyle w:val="TableParagraph"/>
              <w:numPr>
                <w:ilvl w:val="1"/>
                <w:numId w:val="19"/>
              </w:numPr>
              <w:tabs>
                <w:tab w:pos="806" w:val="left" w:leader="none"/>
              </w:tabs>
              <w:spacing w:line="240" w:lineRule="auto" w:before="6" w:after="0"/>
              <w:ind w:left="806" w:right="0" w:hanging="232"/>
              <w:jc w:val="left"/>
              <w:rPr>
                <w:sz w:val="22"/>
              </w:rPr>
            </w:pPr>
            <w:r>
              <w:rPr>
                <w:color w:val="231F1F"/>
                <w:w w:val="110"/>
                <w:sz w:val="22"/>
              </w:rPr>
              <w:t>El</w:t>
            </w:r>
            <w:r>
              <w:rPr>
                <w:color w:val="231F1F"/>
                <w:spacing w:val="-13"/>
                <w:w w:val="110"/>
                <w:sz w:val="22"/>
              </w:rPr>
              <w:t> </w:t>
            </w:r>
            <w:r>
              <w:rPr>
                <w:color w:val="231F1F"/>
                <w:w w:val="110"/>
                <w:sz w:val="22"/>
              </w:rPr>
              <w:t>promedio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duración</w:t>
            </w:r>
            <w:r>
              <w:rPr>
                <w:color w:val="231F1F"/>
                <w:spacing w:val="-12"/>
                <w:w w:val="110"/>
                <w:sz w:val="22"/>
              </w:rPr>
              <w:t> </w:t>
            </w:r>
            <w:r>
              <w:rPr>
                <w:color w:val="231F1F"/>
                <w:w w:val="110"/>
                <w:sz w:val="22"/>
              </w:rPr>
              <w: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8</w:t>
            </w:r>
            <w:r>
              <w:rPr>
                <w:color w:val="231F1F"/>
                <w:spacing w:val="-12"/>
                <w:w w:val="110"/>
                <w:sz w:val="22"/>
              </w:rPr>
              <w:t> </w:t>
            </w:r>
            <w:r>
              <w:rPr>
                <w:color w:val="231F1F"/>
                <w:spacing w:val="-2"/>
                <w:w w:val="110"/>
                <w:sz w:val="22"/>
              </w:rPr>
              <w:t>horas.</w:t>
            </w:r>
          </w:p>
          <w:p>
            <w:pPr>
              <w:pStyle w:val="TableParagraph"/>
              <w:numPr>
                <w:ilvl w:val="1"/>
                <w:numId w:val="19"/>
              </w:numPr>
              <w:tabs>
                <w:tab w:pos="806" w:val="left" w:leader="none"/>
              </w:tabs>
              <w:spacing w:line="240" w:lineRule="auto" w:before="11" w:after="0"/>
              <w:ind w:left="806" w:right="0" w:hanging="232"/>
              <w:jc w:val="left"/>
              <w:rPr>
                <w:sz w:val="22"/>
              </w:rPr>
            </w:pPr>
            <w:r>
              <w:rPr>
                <w:color w:val="231F1F"/>
                <w:sz w:val="22"/>
              </w:rPr>
              <w:t>Es</w:t>
            </w:r>
            <w:r>
              <w:rPr>
                <w:color w:val="231F1F"/>
                <w:spacing w:val="30"/>
                <w:sz w:val="22"/>
              </w:rPr>
              <w:t> </w:t>
            </w:r>
            <w:r>
              <w:rPr>
                <w:color w:val="231F1F"/>
                <w:sz w:val="22"/>
              </w:rPr>
              <w:t>improbable</w:t>
            </w:r>
            <w:r>
              <w:rPr>
                <w:color w:val="231F1F"/>
                <w:spacing w:val="30"/>
                <w:sz w:val="22"/>
              </w:rPr>
              <w:t> </w:t>
            </w:r>
            <w:r>
              <w:rPr>
                <w:color w:val="231F1F"/>
                <w:sz w:val="22"/>
              </w:rPr>
              <w:t>que</w:t>
            </w:r>
            <w:r>
              <w:rPr>
                <w:color w:val="231F1F"/>
                <w:spacing w:val="30"/>
                <w:sz w:val="22"/>
              </w:rPr>
              <w:t> </w:t>
            </w:r>
            <w:r>
              <w:rPr>
                <w:color w:val="231F1F"/>
                <w:sz w:val="22"/>
              </w:rPr>
              <w:t>dure</w:t>
            </w:r>
            <w:r>
              <w:rPr>
                <w:color w:val="231F1F"/>
                <w:spacing w:val="31"/>
                <w:sz w:val="22"/>
              </w:rPr>
              <w:t> </w:t>
            </w:r>
            <w:r>
              <w:rPr>
                <w:color w:val="231F1F"/>
                <w:sz w:val="22"/>
              </w:rPr>
              <w:t>más</w:t>
            </w:r>
            <w:r>
              <w:rPr>
                <w:color w:val="231F1F"/>
                <w:spacing w:val="30"/>
                <w:sz w:val="22"/>
              </w:rPr>
              <w:t> </w:t>
            </w:r>
            <w:r>
              <w:rPr>
                <w:color w:val="231F1F"/>
                <w:sz w:val="22"/>
              </w:rPr>
              <w:t>de</w:t>
            </w:r>
            <w:r>
              <w:rPr>
                <w:color w:val="231F1F"/>
                <w:spacing w:val="30"/>
                <w:sz w:val="22"/>
              </w:rPr>
              <w:t> </w:t>
            </w:r>
            <w:r>
              <w:rPr>
                <w:color w:val="231F1F"/>
                <w:sz w:val="22"/>
              </w:rPr>
              <w:t>18</w:t>
            </w:r>
            <w:r>
              <w:rPr>
                <w:color w:val="231F1F"/>
                <w:spacing w:val="31"/>
                <w:sz w:val="22"/>
              </w:rPr>
              <w:t> </w:t>
            </w:r>
            <w:r>
              <w:rPr>
                <w:color w:val="231F1F"/>
                <w:spacing w:val="-2"/>
                <w:sz w:val="22"/>
              </w:rPr>
              <w:t>horas.</w:t>
            </w:r>
          </w:p>
          <w:p>
            <w:pPr>
              <w:pStyle w:val="TableParagraph"/>
              <w:numPr>
                <w:ilvl w:val="0"/>
                <w:numId w:val="19"/>
              </w:numPr>
              <w:tabs>
                <w:tab w:pos="339" w:val="left" w:leader="none"/>
              </w:tabs>
              <w:spacing w:line="240" w:lineRule="auto" w:before="146" w:after="0"/>
              <w:ind w:left="339" w:right="0" w:hanging="218"/>
              <w:jc w:val="left"/>
              <w:rPr>
                <w:sz w:val="22"/>
              </w:rPr>
            </w:pPr>
            <w:r>
              <w:rPr>
                <w:color w:val="231F1F"/>
                <w:w w:val="110"/>
                <w:sz w:val="22"/>
              </w:rPr>
              <w:t>En</w:t>
            </w:r>
            <w:r>
              <w:rPr>
                <w:color w:val="231F1F"/>
                <w:spacing w:val="-10"/>
                <w:w w:val="110"/>
                <w:sz w:val="22"/>
              </w:rPr>
              <w:t> </w:t>
            </w:r>
            <w:r>
              <w:rPr>
                <w:color w:val="231F1F"/>
                <w:w w:val="110"/>
                <w:sz w:val="22"/>
              </w:rPr>
              <w:t>las</w:t>
            </w:r>
            <w:r>
              <w:rPr>
                <w:color w:val="231F1F"/>
                <w:spacing w:val="-7"/>
                <w:w w:val="110"/>
                <w:sz w:val="22"/>
              </w:rPr>
              <w:t> </w:t>
            </w:r>
            <w:r>
              <w:rPr>
                <w:color w:val="231F1F"/>
                <w:spacing w:val="-2"/>
                <w:w w:val="110"/>
                <w:sz w:val="22"/>
              </w:rPr>
              <w:t>multíparas:</w:t>
            </w:r>
          </w:p>
          <w:p>
            <w:pPr>
              <w:pStyle w:val="TableParagraph"/>
              <w:numPr>
                <w:ilvl w:val="1"/>
                <w:numId w:val="19"/>
              </w:numPr>
              <w:tabs>
                <w:tab w:pos="806" w:val="left" w:leader="none"/>
              </w:tabs>
              <w:spacing w:line="240" w:lineRule="auto" w:before="6" w:after="0"/>
              <w:ind w:left="806" w:right="0" w:hanging="232"/>
              <w:jc w:val="left"/>
              <w:rPr>
                <w:sz w:val="22"/>
              </w:rPr>
            </w:pPr>
            <w:r>
              <w:rPr>
                <w:color w:val="231F1F"/>
                <w:w w:val="110"/>
                <w:sz w:val="22"/>
              </w:rPr>
              <w:t>El</w:t>
            </w:r>
            <w:r>
              <w:rPr>
                <w:color w:val="231F1F"/>
                <w:spacing w:val="-13"/>
                <w:w w:val="110"/>
                <w:sz w:val="22"/>
              </w:rPr>
              <w:t> </w:t>
            </w:r>
            <w:r>
              <w:rPr>
                <w:color w:val="231F1F"/>
                <w:w w:val="110"/>
                <w:sz w:val="22"/>
              </w:rPr>
              <w:t>promedio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duración</w:t>
            </w:r>
            <w:r>
              <w:rPr>
                <w:color w:val="231F1F"/>
                <w:spacing w:val="-12"/>
                <w:w w:val="110"/>
                <w:sz w:val="22"/>
              </w:rPr>
              <w:t> </w:t>
            </w:r>
            <w:r>
              <w:rPr>
                <w:color w:val="231F1F"/>
                <w:w w:val="110"/>
                <w:sz w:val="22"/>
              </w:rPr>
              <w: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5</w:t>
            </w:r>
            <w:r>
              <w:rPr>
                <w:color w:val="231F1F"/>
                <w:spacing w:val="-12"/>
                <w:w w:val="110"/>
                <w:sz w:val="22"/>
              </w:rPr>
              <w:t> </w:t>
            </w:r>
            <w:r>
              <w:rPr>
                <w:color w:val="231F1F"/>
                <w:spacing w:val="-2"/>
                <w:w w:val="110"/>
                <w:sz w:val="22"/>
              </w:rPr>
              <w:t>horas.</w:t>
            </w:r>
          </w:p>
          <w:p>
            <w:pPr>
              <w:pStyle w:val="TableParagraph"/>
              <w:numPr>
                <w:ilvl w:val="1"/>
                <w:numId w:val="19"/>
              </w:numPr>
              <w:tabs>
                <w:tab w:pos="806" w:val="left" w:leader="none"/>
              </w:tabs>
              <w:spacing w:line="240" w:lineRule="auto" w:before="11" w:after="0"/>
              <w:ind w:left="806" w:right="0" w:hanging="232"/>
              <w:jc w:val="left"/>
              <w:rPr>
                <w:sz w:val="22"/>
              </w:rPr>
            </w:pPr>
            <w:r>
              <w:rPr>
                <w:color w:val="231F1F"/>
                <w:sz w:val="22"/>
              </w:rPr>
              <w:t>Es</w:t>
            </w:r>
            <w:r>
              <w:rPr>
                <w:color w:val="231F1F"/>
                <w:spacing w:val="30"/>
                <w:sz w:val="22"/>
              </w:rPr>
              <w:t> </w:t>
            </w:r>
            <w:r>
              <w:rPr>
                <w:color w:val="231F1F"/>
                <w:sz w:val="22"/>
              </w:rPr>
              <w:t>improbable</w:t>
            </w:r>
            <w:r>
              <w:rPr>
                <w:color w:val="231F1F"/>
                <w:spacing w:val="30"/>
                <w:sz w:val="22"/>
              </w:rPr>
              <w:t> </w:t>
            </w:r>
            <w:r>
              <w:rPr>
                <w:color w:val="231F1F"/>
                <w:sz w:val="22"/>
              </w:rPr>
              <w:t>que</w:t>
            </w:r>
            <w:r>
              <w:rPr>
                <w:color w:val="231F1F"/>
                <w:spacing w:val="30"/>
                <w:sz w:val="22"/>
              </w:rPr>
              <w:t> </w:t>
            </w:r>
            <w:r>
              <w:rPr>
                <w:color w:val="231F1F"/>
                <w:sz w:val="22"/>
              </w:rPr>
              <w:t>dure</w:t>
            </w:r>
            <w:r>
              <w:rPr>
                <w:color w:val="231F1F"/>
                <w:spacing w:val="31"/>
                <w:sz w:val="22"/>
              </w:rPr>
              <w:t> </w:t>
            </w:r>
            <w:r>
              <w:rPr>
                <w:color w:val="231F1F"/>
                <w:sz w:val="22"/>
              </w:rPr>
              <w:t>más</w:t>
            </w:r>
            <w:r>
              <w:rPr>
                <w:color w:val="231F1F"/>
                <w:spacing w:val="30"/>
                <w:sz w:val="22"/>
              </w:rPr>
              <w:t> </w:t>
            </w:r>
            <w:r>
              <w:rPr>
                <w:color w:val="231F1F"/>
                <w:sz w:val="22"/>
              </w:rPr>
              <w:t>de</w:t>
            </w:r>
            <w:r>
              <w:rPr>
                <w:color w:val="231F1F"/>
                <w:spacing w:val="30"/>
                <w:sz w:val="22"/>
              </w:rPr>
              <w:t> </w:t>
            </w:r>
            <w:r>
              <w:rPr>
                <w:color w:val="231F1F"/>
                <w:sz w:val="22"/>
              </w:rPr>
              <w:t>12</w:t>
            </w:r>
            <w:r>
              <w:rPr>
                <w:color w:val="231F1F"/>
                <w:spacing w:val="31"/>
                <w:sz w:val="22"/>
              </w:rPr>
              <w:t> </w:t>
            </w:r>
            <w:r>
              <w:rPr>
                <w:color w:val="231F1F"/>
                <w:spacing w:val="-2"/>
                <w:sz w:val="22"/>
              </w:rPr>
              <w:t>horas</w:t>
            </w:r>
          </w:p>
        </w:tc>
      </w:tr>
      <w:tr>
        <w:trPr>
          <w:trHeight w:val="935" w:hRule="atLeast"/>
        </w:trPr>
        <w:tc>
          <w:tcPr>
            <w:tcW w:w="456" w:type="dxa"/>
          </w:tcPr>
          <w:p>
            <w:pPr>
              <w:pStyle w:val="TableParagraph"/>
              <w:spacing w:before="50"/>
              <w:ind w:left="0"/>
              <w:rPr>
                <w:rFonts w:ascii="Arial MT"/>
                <w:sz w:val="22"/>
              </w:rPr>
            </w:pPr>
          </w:p>
          <w:p>
            <w:pPr>
              <w:pStyle w:val="TableParagraph"/>
              <w:ind w:left="43" w:right="85"/>
              <w:jc w:val="center"/>
              <w:rPr>
                <w:sz w:val="22"/>
              </w:rPr>
            </w:pPr>
            <w:r>
              <w:rPr>
                <w:color w:val="231F1F"/>
                <w:spacing w:val="-10"/>
                <w:w w:val="110"/>
                <w:sz w:val="22"/>
              </w:rPr>
              <w:t>√</w:t>
            </w:r>
          </w:p>
        </w:tc>
        <w:tc>
          <w:tcPr>
            <w:tcW w:w="8050" w:type="dxa"/>
          </w:tcPr>
          <w:p>
            <w:pPr>
              <w:pStyle w:val="TableParagraph"/>
              <w:spacing w:line="244" w:lineRule="auto" w:before="29"/>
              <w:ind w:right="88"/>
              <w:jc w:val="both"/>
              <w:rPr>
                <w:sz w:val="22"/>
              </w:rPr>
            </w:pPr>
            <w:r>
              <w:rPr>
                <w:color w:val="231F1F"/>
                <w:w w:val="110"/>
                <w:sz w:val="22"/>
              </w:rPr>
              <w:t>La decisión de intervenir ante una supuesta prolongación de la primera etapa del parto</w:t>
            </w:r>
            <w:r>
              <w:rPr>
                <w:color w:val="231F1F"/>
                <w:spacing w:val="-16"/>
                <w:w w:val="110"/>
                <w:sz w:val="22"/>
              </w:rPr>
              <w:t> </w:t>
            </w:r>
            <w:r>
              <w:rPr>
                <w:color w:val="231F1F"/>
                <w:w w:val="110"/>
                <w:sz w:val="22"/>
              </w:rPr>
              <w:t>se</w:t>
            </w:r>
            <w:r>
              <w:rPr>
                <w:color w:val="231F1F"/>
                <w:spacing w:val="-15"/>
                <w:w w:val="110"/>
                <w:sz w:val="22"/>
              </w:rPr>
              <w:t> </w:t>
            </w:r>
            <w:r>
              <w:rPr>
                <w:color w:val="231F1F"/>
                <w:w w:val="110"/>
                <w:sz w:val="22"/>
              </w:rPr>
              <w:t>debe</w:t>
            </w:r>
            <w:r>
              <w:rPr>
                <w:color w:val="231F1F"/>
                <w:spacing w:val="-15"/>
                <w:w w:val="110"/>
                <w:sz w:val="22"/>
              </w:rPr>
              <w:t> </w:t>
            </w:r>
            <w:r>
              <w:rPr>
                <w:color w:val="231F1F"/>
                <w:w w:val="110"/>
                <w:sz w:val="22"/>
              </w:rPr>
              <w:t>tomar</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función</w:t>
            </w:r>
            <w:r>
              <w:rPr>
                <w:color w:val="231F1F"/>
                <w:spacing w:val="-14"/>
                <w:w w:val="110"/>
                <w:sz w:val="22"/>
              </w:rPr>
              <w:t> </w:t>
            </w:r>
            <w:r>
              <w:rPr>
                <w:color w:val="231F1F"/>
                <w:w w:val="110"/>
                <w:sz w:val="22"/>
              </w:rPr>
              <w:t>del</w:t>
            </w:r>
            <w:r>
              <w:rPr>
                <w:color w:val="231F1F"/>
                <w:spacing w:val="-15"/>
                <w:w w:val="110"/>
                <w:sz w:val="22"/>
              </w:rPr>
              <w:t> </w:t>
            </w:r>
            <w:r>
              <w:rPr>
                <w:color w:val="231F1F"/>
                <w:w w:val="110"/>
                <w:sz w:val="22"/>
              </w:rPr>
              <w:t>progreso</w:t>
            </w:r>
            <w:r>
              <w:rPr>
                <w:color w:val="231F1F"/>
                <w:spacing w:val="-15"/>
                <w:w w:val="110"/>
                <w:sz w:val="22"/>
              </w:rPr>
              <w:t> </w:t>
            </w:r>
            <w:r>
              <w:rPr>
                <w:color w:val="231F1F"/>
                <w:w w:val="110"/>
                <w:sz w:val="22"/>
              </w:rPr>
              <w:t>de</w:t>
            </w:r>
            <w:r>
              <w:rPr>
                <w:color w:val="231F1F"/>
                <w:spacing w:val="-16"/>
                <w:w w:val="110"/>
                <w:sz w:val="22"/>
              </w:rPr>
              <w:t> </w:t>
            </w:r>
            <w:r>
              <w:rPr>
                <w:color w:val="231F1F"/>
                <w:w w:val="110"/>
                <w:sz w:val="22"/>
              </w:rPr>
              <w:t>la</w:t>
            </w:r>
            <w:r>
              <w:rPr>
                <w:color w:val="231F1F"/>
                <w:spacing w:val="-13"/>
                <w:w w:val="110"/>
                <w:sz w:val="22"/>
              </w:rPr>
              <w:t> </w:t>
            </w:r>
            <w:r>
              <w:rPr>
                <w:color w:val="231F1F"/>
                <w:w w:val="110"/>
                <w:sz w:val="22"/>
              </w:rPr>
              <w:t>dilatación</w:t>
            </w:r>
            <w:r>
              <w:rPr>
                <w:color w:val="231F1F"/>
                <w:spacing w:val="-15"/>
                <w:w w:val="110"/>
                <w:sz w:val="22"/>
              </w:rPr>
              <w:t> </w:t>
            </w:r>
            <w:r>
              <w:rPr>
                <w:color w:val="231F1F"/>
                <w:w w:val="110"/>
                <w:sz w:val="22"/>
              </w:rPr>
              <w:t>y</w:t>
            </w:r>
            <w:r>
              <w:rPr>
                <w:color w:val="231F1F"/>
                <w:spacing w:val="-15"/>
                <w:w w:val="110"/>
                <w:sz w:val="22"/>
              </w:rPr>
              <w:t> </w:t>
            </w:r>
            <w:r>
              <w:rPr>
                <w:color w:val="231F1F"/>
                <w:w w:val="110"/>
                <w:sz w:val="22"/>
              </w:rPr>
              <w:t>otros</w:t>
            </w:r>
            <w:r>
              <w:rPr>
                <w:color w:val="231F1F"/>
                <w:spacing w:val="-15"/>
                <w:w w:val="110"/>
                <w:sz w:val="22"/>
              </w:rPr>
              <w:t> </w:t>
            </w:r>
            <w:r>
              <w:rPr>
                <w:color w:val="231F1F"/>
                <w:w w:val="110"/>
                <w:sz w:val="22"/>
              </w:rPr>
              <w:t>factores</w:t>
            </w:r>
            <w:r>
              <w:rPr>
                <w:color w:val="231F1F"/>
                <w:spacing w:val="-15"/>
                <w:w w:val="110"/>
                <w:sz w:val="22"/>
              </w:rPr>
              <w:t> </w:t>
            </w:r>
            <w:r>
              <w:rPr>
                <w:color w:val="231F1F"/>
                <w:w w:val="110"/>
                <w:sz w:val="22"/>
              </w:rPr>
              <w:t>obsté- tricos y no exclusivamente en base a la duración.</w:t>
            </w:r>
          </w:p>
        </w:tc>
      </w:tr>
    </w:tbl>
    <w:p>
      <w:pPr>
        <w:pStyle w:val="TableParagraph"/>
        <w:spacing w:after="0" w:line="244" w:lineRule="auto"/>
        <w:jc w:val="both"/>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both"/>
      </w:pPr>
      <w:bookmarkStart w:name="_TOC_250044" w:id="12"/>
      <w:r>
        <w:rPr>
          <w:color w:val="231F1F"/>
        </w:rPr>
        <w:t>Admisión</w:t>
      </w:r>
      <w:r>
        <w:rPr>
          <w:color w:val="231F1F"/>
          <w:spacing w:val="53"/>
        </w:rPr>
        <w:t> </w:t>
      </w:r>
      <w:r>
        <w:rPr>
          <w:color w:val="231F1F"/>
        </w:rPr>
        <w:t>en</w:t>
      </w:r>
      <w:r>
        <w:rPr>
          <w:color w:val="231F1F"/>
          <w:spacing w:val="58"/>
        </w:rPr>
        <w:t> </w:t>
      </w:r>
      <w:bookmarkEnd w:id="12"/>
      <w:r>
        <w:rPr>
          <w:color w:val="231F1F"/>
          <w:spacing w:val="-2"/>
        </w:rPr>
        <w:t>maternidad</w:t>
      </w:r>
    </w:p>
    <w:p>
      <w:pPr>
        <w:pStyle w:val="BodyText"/>
        <w:spacing w:before="26"/>
        <w:rPr>
          <w:sz w:val="20"/>
        </w:rPr>
      </w:pPr>
      <w:r>
        <w:rPr>
          <w:sz w:val="20"/>
        </w:rPr>
        <mc:AlternateContent>
          <mc:Choice Requires="wps">
            <w:drawing>
              <wp:anchor distT="0" distB="0" distL="0" distR="0" allowOverlap="1" layoutInCell="1" locked="0" behindDoc="1" simplePos="0" relativeHeight="487600128">
                <wp:simplePos x="0" y="0"/>
                <wp:positionH relativeFrom="page">
                  <wp:posOffset>1082675</wp:posOffset>
                </wp:positionH>
                <wp:positionV relativeFrom="paragraph">
                  <wp:posOffset>180997</wp:posOffset>
                </wp:positionV>
                <wp:extent cx="5400040" cy="476250"/>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5400040" cy="476250"/>
                        </a:xfrm>
                        <a:prstGeom prst="rect">
                          <a:avLst/>
                        </a:prstGeom>
                        <a:ln w="6350">
                          <a:solidFill>
                            <a:srgbClr val="A30046"/>
                          </a:solidFill>
                          <a:prstDash val="solid"/>
                        </a:ln>
                      </wps:spPr>
                      <wps:txbx>
                        <w:txbxContent>
                          <w:p>
                            <w:pPr>
                              <w:pStyle w:val="BodyText"/>
                              <w:numPr>
                                <w:ilvl w:val="0"/>
                                <w:numId w:val="20"/>
                              </w:numPr>
                              <w:tabs>
                                <w:tab w:pos="323" w:val="left" w:leader="none"/>
                              </w:tabs>
                              <w:spacing w:line="244" w:lineRule="auto" w:before="75" w:after="0"/>
                              <w:ind w:left="323" w:right="215" w:hanging="219"/>
                              <w:jc w:val="left"/>
                            </w:pPr>
                            <w:r>
                              <w:rPr>
                                <w:color w:val="231F1F"/>
                              </w:rPr>
                              <w:t>¿Cuál</w:t>
                            </w:r>
                            <w:r>
                              <w:rPr>
                                <w:color w:val="231F1F"/>
                                <w:spacing w:val="32"/>
                              </w:rPr>
                              <w:t> </w:t>
                            </w:r>
                            <w:r>
                              <w:rPr>
                                <w:color w:val="231F1F"/>
                              </w:rPr>
                              <w:t>es</w:t>
                            </w:r>
                            <w:r>
                              <w:rPr>
                                <w:color w:val="231F1F"/>
                                <w:spacing w:val="32"/>
                              </w:rPr>
                              <w:t> </w:t>
                            </w:r>
                            <w:r>
                              <w:rPr>
                                <w:color w:val="231F1F"/>
                              </w:rPr>
                              <w:t>el</w:t>
                            </w:r>
                            <w:r>
                              <w:rPr>
                                <w:color w:val="231F1F"/>
                                <w:spacing w:val="32"/>
                              </w:rPr>
                              <w:t> </w:t>
                            </w:r>
                            <w:r>
                              <w:rPr>
                                <w:color w:val="231F1F"/>
                              </w:rPr>
                              <w:t>momento</w:t>
                            </w:r>
                            <w:r>
                              <w:rPr>
                                <w:color w:val="231F1F"/>
                                <w:spacing w:val="32"/>
                              </w:rPr>
                              <w:t> </w:t>
                            </w:r>
                            <w:r>
                              <w:rPr>
                                <w:color w:val="231F1F"/>
                              </w:rPr>
                              <w:t>idóneo</w:t>
                            </w:r>
                            <w:r>
                              <w:rPr>
                                <w:color w:val="231F1F"/>
                                <w:spacing w:val="32"/>
                              </w:rPr>
                              <w:t> </w:t>
                            </w:r>
                            <w:r>
                              <w:rPr>
                                <w:color w:val="231F1F"/>
                              </w:rPr>
                              <w:t>para</w:t>
                            </w:r>
                            <w:r>
                              <w:rPr>
                                <w:color w:val="231F1F"/>
                                <w:spacing w:val="32"/>
                              </w:rPr>
                              <w:t> </w:t>
                            </w:r>
                            <w:r>
                              <w:rPr>
                                <w:color w:val="231F1F"/>
                              </w:rPr>
                              <w:t>admitir</w:t>
                            </w:r>
                            <w:r>
                              <w:rPr>
                                <w:color w:val="231F1F"/>
                                <w:spacing w:val="30"/>
                              </w:rPr>
                              <w:t> </w:t>
                            </w:r>
                            <w:r>
                              <w:rPr>
                                <w:color w:val="231F1F"/>
                              </w:rPr>
                              <w:t>en</w:t>
                            </w:r>
                            <w:r>
                              <w:rPr>
                                <w:color w:val="231F1F"/>
                                <w:spacing w:val="32"/>
                              </w:rPr>
                              <w:t> </w:t>
                            </w:r>
                            <w:r>
                              <w:rPr>
                                <w:color w:val="231F1F"/>
                              </w:rPr>
                              <w:t>la</w:t>
                            </w:r>
                            <w:r>
                              <w:rPr>
                                <w:color w:val="231F1F"/>
                                <w:spacing w:val="33"/>
                              </w:rPr>
                              <w:t> </w:t>
                            </w:r>
                            <w:r>
                              <w:rPr>
                                <w:color w:val="231F1F"/>
                              </w:rPr>
                              <w:t>maternidad</w:t>
                            </w:r>
                            <w:r>
                              <w:rPr>
                                <w:color w:val="231F1F"/>
                                <w:spacing w:val="32"/>
                              </w:rPr>
                              <w:t> </w:t>
                            </w:r>
                            <w:r>
                              <w:rPr>
                                <w:color w:val="231F1F"/>
                              </w:rPr>
                              <w:t>a</w:t>
                            </w:r>
                            <w:r>
                              <w:rPr>
                                <w:color w:val="231F1F"/>
                                <w:spacing w:val="32"/>
                              </w:rPr>
                              <w:t> </w:t>
                            </w:r>
                            <w:r>
                              <w:rPr>
                                <w:color w:val="231F1F"/>
                              </w:rPr>
                              <w:t>una</w:t>
                            </w:r>
                            <w:r>
                              <w:rPr>
                                <w:color w:val="231F1F"/>
                                <w:spacing w:val="32"/>
                              </w:rPr>
                              <w:t> </w:t>
                            </w:r>
                            <w:r>
                              <w:rPr>
                                <w:color w:val="231F1F"/>
                              </w:rPr>
                              <w:t>mujer</w:t>
                            </w:r>
                            <w:r>
                              <w:rPr>
                                <w:color w:val="231F1F"/>
                                <w:spacing w:val="32"/>
                              </w:rPr>
                              <w:t> </w:t>
                            </w:r>
                            <w:r>
                              <w:rPr>
                                <w:color w:val="231F1F"/>
                              </w:rPr>
                              <w:t>en</w:t>
                            </w:r>
                            <w:r>
                              <w:rPr>
                                <w:color w:val="231F1F"/>
                                <w:spacing w:val="32"/>
                              </w:rPr>
                              <w:t> </w:t>
                            </w:r>
                            <w:r>
                              <w:rPr>
                                <w:color w:val="231F1F"/>
                              </w:rPr>
                              <w:t>trabajo</w:t>
                            </w:r>
                            <w:r>
                              <w:rPr>
                                <w:color w:val="231F1F"/>
                                <w:spacing w:val="32"/>
                              </w:rPr>
                              <w:t> </w:t>
                            </w:r>
                            <w:r>
                              <w:rPr>
                                <w:color w:val="231F1F"/>
                              </w:rPr>
                              <w:t>de </w:t>
                            </w:r>
                            <w:r>
                              <w:rPr>
                                <w:color w:val="231F1F"/>
                                <w:spacing w:val="-2"/>
                                <w:w w:val="110"/>
                              </w:rPr>
                              <w:t>parto?</w:t>
                            </w:r>
                          </w:p>
                        </w:txbxContent>
                      </wps:txbx>
                      <wps:bodyPr wrap="square" lIns="0" tIns="0" rIns="0" bIns="0" rtlCol="0">
                        <a:noAutofit/>
                      </wps:bodyPr>
                    </wps:wsp>
                  </a:graphicData>
                </a:graphic>
              </wp:anchor>
            </w:drawing>
          </mc:Choice>
          <mc:Fallback>
            <w:pict>
              <v:shape style="position:absolute;margin-left:85.25pt;margin-top:14.251758pt;width:425.2pt;height:37.5pt;mso-position-horizontal-relative:page;mso-position-vertical-relative:paragraph;z-index:-15716352;mso-wrap-distance-left:0;mso-wrap-distance-right:0" type="#_x0000_t202" id="docshape47" filled="false" stroked="true" strokeweight=".5pt" strokecolor="#a30046">
                <v:textbox inset="0,0,0,0">
                  <w:txbxContent>
                    <w:p>
                      <w:pPr>
                        <w:pStyle w:val="BodyText"/>
                        <w:numPr>
                          <w:ilvl w:val="0"/>
                          <w:numId w:val="20"/>
                        </w:numPr>
                        <w:tabs>
                          <w:tab w:pos="323" w:val="left" w:leader="none"/>
                        </w:tabs>
                        <w:spacing w:line="244" w:lineRule="auto" w:before="75" w:after="0"/>
                        <w:ind w:left="323" w:right="215" w:hanging="219"/>
                        <w:jc w:val="left"/>
                      </w:pPr>
                      <w:r>
                        <w:rPr>
                          <w:color w:val="231F1F"/>
                        </w:rPr>
                        <w:t>¿Cuál</w:t>
                      </w:r>
                      <w:r>
                        <w:rPr>
                          <w:color w:val="231F1F"/>
                          <w:spacing w:val="32"/>
                        </w:rPr>
                        <w:t> </w:t>
                      </w:r>
                      <w:r>
                        <w:rPr>
                          <w:color w:val="231F1F"/>
                        </w:rPr>
                        <w:t>es</w:t>
                      </w:r>
                      <w:r>
                        <w:rPr>
                          <w:color w:val="231F1F"/>
                          <w:spacing w:val="32"/>
                        </w:rPr>
                        <w:t> </w:t>
                      </w:r>
                      <w:r>
                        <w:rPr>
                          <w:color w:val="231F1F"/>
                        </w:rPr>
                        <w:t>el</w:t>
                      </w:r>
                      <w:r>
                        <w:rPr>
                          <w:color w:val="231F1F"/>
                          <w:spacing w:val="32"/>
                        </w:rPr>
                        <w:t> </w:t>
                      </w:r>
                      <w:r>
                        <w:rPr>
                          <w:color w:val="231F1F"/>
                        </w:rPr>
                        <w:t>momento</w:t>
                      </w:r>
                      <w:r>
                        <w:rPr>
                          <w:color w:val="231F1F"/>
                          <w:spacing w:val="32"/>
                        </w:rPr>
                        <w:t> </w:t>
                      </w:r>
                      <w:r>
                        <w:rPr>
                          <w:color w:val="231F1F"/>
                        </w:rPr>
                        <w:t>idóneo</w:t>
                      </w:r>
                      <w:r>
                        <w:rPr>
                          <w:color w:val="231F1F"/>
                          <w:spacing w:val="32"/>
                        </w:rPr>
                        <w:t> </w:t>
                      </w:r>
                      <w:r>
                        <w:rPr>
                          <w:color w:val="231F1F"/>
                        </w:rPr>
                        <w:t>para</w:t>
                      </w:r>
                      <w:r>
                        <w:rPr>
                          <w:color w:val="231F1F"/>
                          <w:spacing w:val="32"/>
                        </w:rPr>
                        <w:t> </w:t>
                      </w:r>
                      <w:r>
                        <w:rPr>
                          <w:color w:val="231F1F"/>
                        </w:rPr>
                        <w:t>admitir</w:t>
                      </w:r>
                      <w:r>
                        <w:rPr>
                          <w:color w:val="231F1F"/>
                          <w:spacing w:val="30"/>
                        </w:rPr>
                        <w:t> </w:t>
                      </w:r>
                      <w:r>
                        <w:rPr>
                          <w:color w:val="231F1F"/>
                        </w:rPr>
                        <w:t>en</w:t>
                      </w:r>
                      <w:r>
                        <w:rPr>
                          <w:color w:val="231F1F"/>
                          <w:spacing w:val="32"/>
                        </w:rPr>
                        <w:t> </w:t>
                      </w:r>
                      <w:r>
                        <w:rPr>
                          <w:color w:val="231F1F"/>
                        </w:rPr>
                        <w:t>la</w:t>
                      </w:r>
                      <w:r>
                        <w:rPr>
                          <w:color w:val="231F1F"/>
                          <w:spacing w:val="33"/>
                        </w:rPr>
                        <w:t> </w:t>
                      </w:r>
                      <w:r>
                        <w:rPr>
                          <w:color w:val="231F1F"/>
                        </w:rPr>
                        <w:t>maternidad</w:t>
                      </w:r>
                      <w:r>
                        <w:rPr>
                          <w:color w:val="231F1F"/>
                          <w:spacing w:val="32"/>
                        </w:rPr>
                        <w:t> </w:t>
                      </w:r>
                      <w:r>
                        <w:rPr>
                          <w:color w:val="231F1F"/>
                        </w:rPr>
                        <w:t>a</w:t>
                      </w:r>
                      <w:r>
                        <w:rPr>
                          <w:color w:val="231F1F"/>
                          <w:spacing w:val="32"/>
                        </w:rPr>
                        <w:t> </w:t>
                      </w:r>
                      <w:r>
                        <w:rPr>
                          <w:color w:val="231F1F"/>
                        </w:rPr>
                        <w:t>una</w:t>
                      </w:r>
                      <w:r>
                        <w:rPr>
                          <w:color w:val="231F1F"/>
                          <w:spacing w:val="32"/>
                        </w:rPr>
                        <w:t> </w:t>
                      </w:r>
                      <w:r>
                        <w:rPr>
                          <w:color w:val="231F1F"/>
                        </w:rPr>
                        <w:t>mujer</w:t>
                      </w:r>
                      <w:r>
                        <w:rPr>
                          <w:color w:val="231F1F"/>
                          <w:spacing w:val="32"/>
                        </w:rPr>
                        <w:t> </w:t>
                      </w:r>
                      <w:r>
                        <w:rPr>
                          <w:color w:val="231F1F"/>
                        </w:rPr>
                        <w:t>en</w:t>
                      </w:r>
                      <w:r>
                        <w:rPr>
                          <w:color w:val="231F1F"/>
                          <w:spacing w:val="32"/>
                        </w:rPr>
                        <w:t> </w:t>
                      </w:r>
                      <w:r>
                        <w:rPr>
                          <w:color w:val="231F1F"/>
                        </w:rPr>
                        <w:t>trabajo</w:t>
                      </w:r>
                      <w:r>
                        <w:rPr>
                          <w:color w:val="231F1F"/>
                          <w:spacing w:val="32"/>
                        </w:rPr>
                        <w:t> </w:t>
                      </w:r>
                      <w:r>
                        <w:rPr>
                          <w:color w:val="231F1F"/>
                        </w:rPr>
                        <w:t>de </w:t>
                      </w:r>
                      <w:r>
                        <w:rPr>
                          <w:color w:val="231F1F"/>
                          <w:spacing w:val="-2"/>
                          <w:w w:val="110"/>
                        </w:rPr>
                        <w:t>parto?</w:t>
                      </w:r>
                    </w:p>
                  </w:txbxContent>
                </v:textbox>
                <v:stroke dashstyle="solid"/>
                <w10:wrap type="topAndBottom"/>
              </v:shape>
            </w:pict>
          </mc:Fallback>
        </mc:AlternateContent>
      </w:r>
    </w:p>
    <w:p>
      <w:pPr>
        <w:pStyle w:val="BodyText"/>
        <w:spacing w:line="247" w:lineRule="auto" w:before="319"/>
        <w:ind w:left="282" w:right="109"/>
        <w:jc w:val="both"/>
      </w:pPr>
      <w:r>
        <w:rPr>
          <w:color w:val="231F1F"/>
          <w:w w:val="110"/>
        </w:rPr>
        <w:t>Las</w:t>
      </w:r>
      <w:r>
        <w:rPr>
          <w:color w:val="231F1F"/>
          <w:w w:val="110"/>
        </w:rPr>
        <w:t> mujeres</w:t>
      </w:r>
      <w:r>
        <w:rPr>
          <w:color w:val="231F1F"/>
          <w:w w:val="110"/>
        </w:rPr>
        <w:t> acuden</w:t>
      </w:r>
      <w:r>
        <w:rPr>
          <w:color w:val="231F1F"/>
          <w:w w:val="110"/>
        </w:rPr>
        <w:t> generalmente</w:t>
      </w:r>
      <w:r>
        <w:rPr>
          <w:color w:val="231F1F"/>
          <w:w w:val="110"/>
        </w:rPr>
        <w:t> a</w:t>
      </w:r>
      <w:r>
        <w:rPr>
          <w:color w:val="231F1F"/>
          <w:w w:val="110"/>
        </w:rPr>
        <w:t> la</w:t>
      </w:r>
      <w:r>
        <w:rPr>
          <w:color w:val="231F1F"/>
          <w:w w:val="110"/>
        </w:rPr>
        <w:t> maternidad</w:t>
      </w:r>
      <w:r>
        <w:rPr>
          <w:color w:val="231F1F"/>
          <w:w w:val="110"/>
        </w:rPr>
        <w:t> hospitalaria</w:t>
      </w:r>
      <w:r>
        <w:rPr>
          <w:color w:val="231F1F"/>
          <w:w w:val="110"/>
        </w:rPr>
        <w:t> cuando</w:t>
      </w:r>
      <w:r>
        <w:rPr>
          <w:color w:val="231F1F"/>
          <w:w w:val="110"/>
        </w:rPr>
        <w:t> se</w:t>
      </w:r>
      <w:r>
        <w:rPr>
          <w:color w:val="231F1F"/>
          <w:w w:val="110"/>
        </w:rPr>
        <w:t> inician</w:t>
      </w:r>
      <w:r>
        <w:rPr>
          <w:color w:val="231F1F"/>
          <w:w w:val="110"/>
        </w:rPr>
        <w:t> las contracciones</w:t>
      </w:r>
      <w:r>
        <w:rPr>
          <w:color w:val="231F1F"/>
          <w:w w:val="110"/>
        </w:rPr>
        <w:t> uterinas,</w:t>
      </w:r>
      <w:r>
        <w:rPr>
          <w:color w:val="231F1F"/>
          <w:w w:val="110"/>
        </w:rPr>
        <w:t> pudiéndose</w:t>
      </w:r>
      <w:r>
        <w:rPr>
          <w:color w:val="231F1F"/>
          <w:w w:val="110"/>
        </w:rPr>
        <w:t> encontrar</w:t>
      </w:r>
      <w:r>
        <w:rPr>
          <w:color w:val="231F1F"/>
          <w:w w:val="110"/>
        </w:rPr>
        <w:t> todavía</w:t>
      </w:r>
      <w:r>
        <w:rPr>
          <w:color w:val="231F1F"/>
          <w:w w:val="110"/>
        </w:rPr>
        <w:t> en</w:t>
      </w:r>
      <w:r>
        <w:rPr>
          <w:color w:val="231F1F"/>
          <w:w w:val="110"/>
        </w:rPr>
        <w:t> una</w:t>
      </w:r>
      <w:r>
        <w:rPr>
          <w:color w:val="231F1F"/>
          <w:w w:val="110"/>
        </w:rPr>
        <w:t> fase</w:t>
      </w:r>
      <w:r>
        <w:rPr>
          <w:color w:val="231F1F"/>
          <w:w w:val="110"/>
        </w:rPr>
        <w:t> temprana</w:t>
      </w:r>
      <w:r>
        <w:rPr>
          <w:color w:val="231F1F"/>
          <w:w w:val="110"/>
        </w:rPr>
        <w:t> del</w:t>
      </w:r>
      <w:r>
        <w:rPr>
          <w:color w:val="231F1F"/>
          <w:w w:val="110"/>
        </w:rPr>
        <w:t> parto.</w:t>
      </w:r>
      <w:r>
        <w:rPr>
          <w:color w:val="231F1F"/>
          <w:spacing w:val="80"/>
          <w:w w:val="150"/>
        </w:rPr>
        <w:t> </w:t>
      </w:r>
      <w:r>
        <w:rPr>
          <w:color w:val="231F1F"/>
          <w:w w:val="110"/>
        </w:rPr>
        <w:t>El</w:t>
      </w:r>
      <w:r>
        <w:rPr>
          <w:color w:val="231F1F"/>
          <w:w w:val="110"/>
        </w:rPr>
        <w:t> ingreso</w:t>
      </w:r>
      <w:r>
        <w:rPr>
          <w:color w:val="231F1F"/>
          <w:w w:val="110"/>
        </w:rPr>
        <w:t> precoz</w:t>
      </w:r>
      <w:r>
        <w:rPr>
          <w:color w:val="231F1F"/>
          <w:w w:val="110"/>
        </w:rPr>
        <w:t> de</w:t>
      </w:r>
      <w:r>
        <w:rPr>
          <w:color w:val="231F1F"/>
          <w:w w:val="110"/>
        </w:rPr>
        <w:t> la</w:t>
      </w:r>
      <w:r>
        <w:rPr>
          <w:color w:val="231F1F"/>
          <w:w w:val="110"/>
        </w:rPr>
        <w:t> gestante</w:t>
      </w:r>
      <w:r>
        <w:rPr>
          <w:color w:val="231F1F"/>
          <w:w w:val="110"/>
        </w:rPr>
        <w:t> comporta</w:t>
      </w:r>
      <w:r>
        <w:rPr>
          <w:color w:val="231F1F"/>
          <w:w w:val="110"/>
        </w:rPr>
        <w:t> la</w:t>
      </w:r>
      <w:r>
        <w:rPr>
          <w:color w:val="231F1F"/>
          <w:w w:val="110"/>
        </w:rPr>
        <w:t> espera</w:t>
      </w:r>
      <w:r>
        <w:rPr>
          <w:color w:val="231F1F"/>
          <w:w w:val="110"/>
        </w:rPr>
        <w:t> durante</w:t>
      </w:r>
      <w:r>
        <w:rPr>
          <w:color w:val="231F1F"/>
          <w:w w:val="110"/>
        </w:rPr>
        <w:t> varias</w:t>
      </w:r>
      <w:r>
        <w:rPr>
          <w:color w:val="231F1F"/>
          <w:w w:val="110"/>
        </w:rPr>
        <w:t> horas</w:t>
      </w:r>
      <w:r>
        <w:rPr>
          <w:color w:val="231F1F"/>
          <w:w w:val="110"/>
        </w:rPr>
        <w:t> hasta</w:t>
      </w:r>
      <w:r>
        <w:rPr>
          <w:color w:val="231F1F"/>
          <w:w w:val="110"/>
        </w:rPr>
        <w:t> que</w:t>
      </w:r>
      <w:r>
        <w:rPr>
          <w:color w:val="231F1F"/>
          <w:w w:val="110"/>
        </w:rPr>
        <w:t> se inicia</w:t>
      </w:r>
      <w:r>
        <w:rPr>
          <w:color w:val="231F1F"/>
          <w:w w:val="110"/>
        </w:rPr>
        <w:t> la</w:t>
      </w:r>
      <w:r>
        <w:rPr>
          <w:color w:val="231F1F"/>
          <w:w w:val="110"/>
        </w:rPr>
        <w:t> fase</w:t>
      </w:r>
      <w:r>
        <w:rPr>
          <w:color w:val="231F1F"/>
          <w:w w:val="110"/>
        </w:rPr>
        <w:t> activa</w:t>
      </w:r>
      <w:r>
        <w:rPr>
          <w:color w:val="231F1F"/>
          <w:w w:val="110"/>
        </w:rPr>
        <w:t> del</w:t>
      </w:r>
      <w:r>
        <w:rPr>
          <w:color w:val="231F1F"/>
          <w:w w:val="110"/>
        </w:rPr>
        <w:t> parto.</w:t>
      </w:r>
      <w:r>
        <w:rPr>
          <w:color w:val="231F1F"/>
          <w:w w:val="110"/>
        </w:rPr>
        <w:t> Esta</w:t>
      </w:r>
      <w:r>
        <w:rPr>
          <w:color w:val="231F1F"/>
          <w:w w:val="110"/>
        </w:rPr>
        <w:t> situación</w:t>
      </w:r>
      <w:r>
        <w:rPr>
          <w:color w:val="231F1F"/>
          <w:w w:val="110"/>
        </w:rPr>
        <w:t> puede</w:t>
      </w:r>
      <w:r>
        <w:rPr>
          <w:color w:val="231F1F"/>
          <w:w w:val="110"/>
        </w:rPr>
        <w:t> generar</w:t>
      </w:r>
      <w:r>
        <w:rPr>
          <w:color w:val="231F1F"/>
          <w:w w:val="110"/>
        </w:rPr>
        <w:t> ansiedad</w:t>
      </w:r>
      <w:r>
        <w:rPr>
          <w:color w:val="231F1F"/>
          <w:w w:val="110"/>
        </w:rPr>
        <w:t> en</w:t>
      </w:r>
      <w:r>
        <w:rPr>
          <w:color w:val="231F1F"/>
          <w:w w:val="110"/>
        </w:rPr>
        <w:t> las</w:t>
      </w:r>
      <w:r>
        <w:rPr>
          <w:color w:val="231F1F"/>
          <w:w w:val="110"/>
        </w:rPr>
        <w:t> mujeres</w:t>
      </w:r>
      <w:r>
        <w:rPr>
          <w:color w:val="231F1F"/>
          <w:w w:val="110"/>
        </w:rPr>
        <w:t> y sus acompañantes al considerar, erróneamente, que el progreso de la dilatación debiera ser más rápido por el mero hecho de estar ingresadas, lo que puede precipitar procedi- mientos no estrictamente indicados en un parto normal. Por otro lado, existe preocupa- ción</w:t>
      </w:r>
      <w:r>
        <w:rPr>
          <w:color w:val="231F1F"/>
          <w:w w:val="110"/>
        </w:rPr>
        <w:t> por</w:t>
      </w:r>
      <w:r>
        <w:rPr>
          <w:color w:val="231F1F"/>
          <w:w w:val="110"/>
        </w:rPr>
        <w:t> la</w:t>
      </w:r>
      <w:r>
        <w:rPr>
          <w:color w:val="231F1F"/>
          <w:w w:val="110"/>
        </w:rPr>
        <w:t> repercusión</w:t>
      </w:r>
      <w:r>
        <w:rPr>
          <w:color w:val="231F1F"/>
          <w:w w:val="110"/>
        </w:rPr>
        <w:t> que</w:t>
      </w:r>
      <w:r>
        <w:rPr>
          <w:color w:val="231F1F"/>
          <w:w w:val="110"/>
        </w:rPr>
        <w:t> sobre</w:t>
      </w:r>
      <w:r>
        <w:rPr>
          <w:color w:val="231F1F"/>
          <w:w w:val="110"/>
        </w:rPr>
        <w:t> el</w:t>
      </w:r>
      <w:r>
        <w:rPr>
          <w:color w:val="231F1F"/>
          <w:w w:val="110"/>
        </w:rPr>
        <w:t> bienestar</w:t>
      </w:r>
      <w:r>
        <w:rPr>
          <w:color w:val="231F1F"/>
          <w:w w:val="110"/>
        </w:rPr>
        <w:t> fetal</w:t>
      </w:r>
      <w:r>
        <w:rPr>
          <w:color w:val="231F1F"/>
          <w:w w:val="110"/>
        </w:rPr>
        <w:t> pueda</w:t>
      </w:r>
      <w:r>
        <w:rPr>
          <w:color w:val="231F1F"/>
          <w:w w:val="110"/>
        </w:rPr>
        <w:t> tener</w:t>
      </w:r>
      <w:r>
        <w:rPr>
          <w:color w:val="231F1F"/>
          <w:w w:val="110"/>
        </w:rPr>
        <w:t> un</w:t>
      </w:r>
      <w:r>
        <w:rPr>
          <w:color w:val="231F1F"/>
          <w:w w:val="110"/>
        </w:rPr>
        <w:t> parto</w:t>
      </w:r>
      <w:r>
        <w:rPr>
          <w:color w:val="231F1F"/>
          <w:w w:val="110"/>
        </w:rPr>
        <w:t> que</w:t>
      </w:r>
      <w:r>
        <w:rPr>
          <w:color w:val="231F1F"/>
          <w:w w:val="110"/>
        </w:rPr>
        <w:t> se</w:t>
      </w:r>
      <w:r>
        <w:rPr>
          <w:color w:val="231F1F"/>
          <w:w w:val="110"/>
        </w:rPr>
        <w:t> está iniciando</w:t>
      </w:r>
      <w:r>
        <w:rPr>
          <w:color w:val="231F1F"/>
          <w:w w:val="110"/>
        </w:rPr>
        <w:t> y</w:t>
      </w:r>
      <w:r>
        <w:rPr>
          <w:color w:val="231F1F"/>
          <w:w w:val="110"/>
        </w:rPr>
        <w:t> está</w:t>
      </w:r>
      <w:r>
        <w:rPr>
          <w:color w:val="231F1F"/>
          <w:w w:val="110"/>
        </w:rPr>
        <w:t> extendida</w:t>
      </w:r>
      <w:r>
        <w:rPr>
          <w:color w:val="231F1F"/>
          <w:w w:val="110"/>
        </w:rPr>
        <w:t> la</w:t>
      </w:r>
      <w:r>
        <w:rPr>
          <w:color w:val="231F1F"/>
          <w:w w:val="110"/>
        </w:rPr>
        <w:t> creencia</w:t>
      </w:r>
      <w:r>
        <w:rPr>
          <w:color w:val="231F1F"/>
          <w:w w:val="110"/>
        </w:rPr>
        <w:t> de</w:t>
      </w:r>
      <w:r>
        <w:rPr>
          <w:color w:val="231F1F"/>
          <w:w w:val="110"/>
        </w:rPr>
        <w:t> que</w:t>
      </w:r>
      <w:r>
        <w:rPr>
          <w:color w:val="231F1F"/>
          <w:w w:val="110"/>
        </w:rPr>
        <w:t> el</w:t>
      </w:r>
      <w:r>
        <w:rPr>
          <w:color w:val="231F1F"/>
          <w:w w:val="110"/>
        </w:rPr>
        <w:t> ingreso</w:t>
      </w:r>
      <w:r>
        <w:rPr>
          <w:color w:val="231F1F"/>
          <w:w w:val="110"/>
        </w:rPr>
        <w:t> precoz</w:t>
      </w:r>
      <w:r>
        <w:rPr>
          <w:color w:val="231F1F"/>
          <w:w w:val="110"/>
        </w:rPr>
        <w:t> mejorará</w:t>
      </w:r>
      <w:r>
        <w:rPr>
          <w:color w:val="231F1F"/>
          <w:w w:val="110"/>
        </w:rPr>
        <w:t> el</w:t>
      </w:r>
      <w:r>
        <w:rPr>
          <w:color w:val="231F1F"/>
          <w:w w:val="110"/>
        </w:rPr>
        <w:t> resultado </w:t>
      </w:r>
      <w:r>
        <w:rPr>
          <w:color w:val="231F1F"/>
          <w:spacing w:val="-2"/>
          <w:w w:val="110"/>
        </w:rPr>
        <w:t>perinatal.</w:t>
      </w:r>
    </w:p>
    <w:p>
      <w:pPr>
        <w:pStyle w:val="BodyText"/>
        <w:spacing w:before="183"/>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194"/>
        <w:ind w:left="283"/>
        <w:jc w:val="both"/>
      </w:pPr>
      <w:r>
        <w:rPr>
          <w:color w:val="231F1F"/>
        </w:rPr>
        <w:t>La</w:t>
      </w:r>
      <w:r>
        <w:rPr>
          <w:color w:val="231F1F"/>
          <w:spacing w:val="41"/>
        </w:rPr>
        <w:t> </w:t>
      </w:r>
      <w:r>
        <w:rPr>
          <w:color w:val="231F1F"/>
        </w:rPr>
        <w:t>guía</w:t>
      </w:r>
      <w:r>
        <w:rPr>
          <w:color w:val="231F1F"/>
          <w:spacing w:val="42"/>
        </w:rPr>
        <w:t> </w:t>
      </w:r>
      <w:r>
        <w:rPr>
          <w:color w:val="231F1F"/>
        </w:rPr>
        <w:t>NICE</w:t>
      </w:r>
      <w:r>
        <w:rPr>
          <w:color w:val="231F1F"/>
          <w:spacing w:val="41"/>
        </w:rPr>
        <w:t> </w:t>
      </w:r>
      <w:r>
        <w:rPr>
          <w:color w:val="231F1F"/>
        </w:rPr>
        <w:t>(10)</w:t>
      </w:r>
      <w:r>
        <w:rPr>
          <w:color w:val="231F1F"/>
          <w:spacing w:val="44"/>
        </w:rPr>
        <w:t> </w:t>
      </w:r>
      <w:r>
        <w:rPr>
          <w:color w:val="231F1F"/>
        </w:rPr>
        <w:t>incluye</w:t>
      </w:r>
      <w:r>
        <w:rPr>
          <w:color w:val="231F1F"/>
          <w:spacing w:val="41"/>
        </w:rPr>
        <w:t> </w:t>
      </w:r>
      <w:r>
        <w:rPr>
          <w:color w:val="231F1F"/>
        </w:rPr>
        <w:t>un</w:t>
      </w:r>
      <w:r>
        <w:rPr>
          <w:color w:val="231F1F"/>
          <w:spacing w:val="44"/>
        </w:rPr>
        <w:t> </w:t>
      </w:r>
      <w:r>
        <w:rPr>
          <w:color w:val="231F1F"/>
        </w:rPr>
        <w:t>estudio</w:t>
      </w:r>
      <w:r>
        <w:rPr>
          <w:color w:val="231F1F"/>
          <w:spacing w:val="42"/>
        </w:rPr>
        <w:t> </w:t>
      </w:r>
      <w:r>
        <w:rPr>
          <w:color w:val="231F1F"/>
        </w:rPr>
        <w:t>controlado</w:t>
      </w:r>
      <w:r>
        <w:rPr>
          <w:color w:val="231F1F"/>
          <w:spacing w:val="43"/>
        </w:rPr>
        <w:t> </w:t>
      </w:r>
      <w:r>
        <w:rPr>
          <w:color w:val="231F1F"/>
        </w:rPr>
        <w:t>y</w:t>
      </w:r>
      <w:r>
        <w:rPr>
          <w:color w:val="231F1F"/>
          <w:spacing w:val="42"/>
        </w:rPr>
        <w:t> </w:t>
      </w:r>
      <w:r>
        <w:rPr>
          <w:color w:val="231F1F"/>
        </w:rPr>
        <w:t>aleatorizado</w:t>
      </w:r>
      <w:r>
        <w:rPr>
          <w:color w:val="231F1F"/>
          <w:spacing w:val="41"/>
        </w:rPr>
        <w:t> </w:t>
      </w:r>
      <w:r>
        <w:rPr>
          <w:color w:val="231F1F"/>
          <w:spacing w:val="-2"/>
        </w:rPr>
        <w:t>canadiense</w:t>
      </w:r>
    </w:p>
    <w:p>
      <w:pPr>
        <w:pStyle w:val="BodyText"/>
        <w:spacing w:line="249" w:lineRule="auto" w:before="16"/>
        <w:ind w:left="283" w:right="1368"/>
        <w:jc w:val="both"/>
      </w:pPr>
      <w:r>
        <w:rPr>
          <w:color w:val="231F1F"/>
          <w:w w:val="105"/>
        </w:rPr>
        <w:t>(32) con un NE=1-, identificado a partir de una RS, en el que se investiga el momento idóneo de admisión en la maternidad en una población de 209 mu- jeres de bajo riesgo. También incluye otros tres estudios observacionales re- lacionados con la dilatación cervical y el momento de admisión, dos de ellos, estudios</w:t>
      </w:r>
      <w:r>
        <w:rPr>
          <w:color w:val="231F1F"/>
          <w:w w:val="105"/>
        </w:rPr>
        <w:t> de</w:t>
      </w:r>
      <w:r>
        <w:rPr>
          <w:color w:val="231F1F"/>
          <w:w w:val="105"/>
        </w:rPr>
        <w:t> cohortes</w:t>
      </w:r>
      <w:r>
        <w:rPr>
          <w:color w:val="231F1F"/>
          <w:w w:val="105"/>
        </w:rPr>
        <w:t> de</w:t>
      </w:r>
      <w:r>
        <w:rPr>
          <w:color w:val="231F1F"/>
          <w:w w:val="105"/>
        </w:rPr>
        <w:t> baja</w:t>
      </w:r>
      <w:r>
        <w:rPr>
          <w:color w:val="231F1F"/>
          <w:w w:val="105"/>
        </w:rPr>
        <w:t> calidad</w:t>
      </w:r>
      <w:r>
        <w:rPr>
          <w:color w:val="231F1F"/>
          <w:w w:val="105"/>
        </w:rPr>
        <w:t> realizados</w:t>
      </w:r>
      <w:r>
        <w:rPr>
          <w:color w:val="231F1F"/>
          <w:w w:val="105"/>
        </w:rPr>
        <w:t> en</w:t>
      </w:r>
      <w:r>
        <w:rPr>
          <w:color w:val="231F1F"/>
          <w:w w:val="105"/>
        </w:rPr>
        <w:t> Canadá</w:t>
      </w:r>
      <w:r>
        <w:rPr>
          <w:color w:val="231F1F"/>
          <w:w w:val="105"/>
        </w:rPr>
        <w:t> (33;34)</w:t>
      </w:r>
      <w:r>
        <w:rPr>
          <w:color w:val="231F1F"/>
          <w:w w:val="105"/>
        </w:rPr>
        <w:t> con</w:t>
      </w:r>
      <w:r>
        <w:rPr>
          <w:color w:val="231F1F"/>
          <w:w w:val="105"/>
        </w:rPr>
        <w:t> un NE=2- y el otro, un amplio estudio transversal (n=8.818) realizado en EEUU</w:t>
      </w:r>
    </w:p>
    <w:p>
      <w:pPr>
        <w:pStyle w:val="BodyText"/>
        <w:spacing w:line="247" w:lineRule="auto" w:before="1"/>
        <w:ind w:left="283" w:right="1370"/>
        <w:jc w:val="both"/>
      </w:pPr>
      <w:r>
        <w:rPr>
          <w:color w:val="231F1F"/>
          <w:w w:val="110"/>
        </w:rPr>
        <w:t>(35)</w:t>
      </w:r>
      <w:r>
        <w:rPr>
          <w:color w:val="231F1F"/>
          <w:spacing w:val="-10"/>
          <w:w w:val="110"/>
        </w:rPr>
        <w:t> </w:t>
      </w:r>
      <w:r>
        <w:rPr>
          <w:color w:val="231F1F"/>
          <w:w w:val="110"/>
        </w:rPr>
        <w:t>con</w:t>
      </w:r>
      <w:r>
        <w:rPr>
          <w:color w:val="231F1F"/>
          <w:spacing w:val="-10"/>
          <w:w w:val="110"/>
        </w:rPr>
        <w:t> </w:t>
      </w:r>
      <w:r>
        <w:rPr>
          <w:color w:val="231F1F"/>
          <w:w w:val="110"/>
        </w:rPr>
        <w:t>un</w:t>
      </w:r>
      <w:r>
        <w:rPr>
          <w:color w:val="231F1F"/>
          <w:spacing w:val="-10"/>
          <w:w w:val="110"/>
        </w:rPr>
        <w:t> </w:t>
      </w:r>
      <w:r>
        <w:rPr>
          <w:color w:val="231F1F"/>
          <w:w w:val="110"/>
        </w:rPr>
        <w:t>NE=3.</w:t>
      </w:r>
      <w:r>
        <w:rPr>
          <w:color w:val="231F1F"/>
          <w:spacing w:val="-11"/>
          <w:w w:val="110"/>
        </w:rPr>
        <w:t> </w:t>
      </w:r>
      <w:r>
        <w:rPr>
          <w:color w:val="231F1F"/>
          <w:w w:val="110"/>
        </w:rPr>
        <w:t>El</w:t>
      </w:r>
      <w:r>
        <w:rPr>
          <w:color w:val="231F1F"/>
          <w:spacing w:val="-11"/>
          <w:w w:val="110"/>
        </w:rPr>
        <w:t> </w:t>
      </w:r>
      <w:r>
        <w:rPr>
          <w:color w:val="231F1F"/>
          <w:w w:val="110"/>
        </w:rPr>
        <w:t>último</w:t>
      </w:r>
      <w:r>
        <w:rPr>
          <w:color w:val="231F1F"/>
          <w:spacing w:val="-10"/>
          <w:w w:val="110"/>
        </w:rPr>
        <w:t> </w:t>
      </w:r>
      <w:r>
        <w:rPr>
          <w:color w:val="231F1F"/>
          <w:w w:val="110"/>
        </w:rPr>
        <w:t>de</w:t>
      </w:r>
      <w:r>
        <w:rPr>
          <w:color w:val="231F1F"/>
          <w:spacing w:val="-10"/>
          <w:w w:val="110"/>
        </w:rPr>
        <w:t> </w:t>
      </w:r>
      <w:r>
        <w:rPr>
          <w:color w:val="231F1F"/>
          <w:w w:val="110"/>
        </w:rPr>
        <w:t>los</w:t>
      </w:r>
      <w:r>
        <w:rPr>
          <w:color w:val="231F1F"/>
          <w:spacing w:val="-11"/>
          <w:w w:val="110"/>
        </w:rPr>
        <w:t> </w:t>
      </w:r>
      <w:r>
        <w:rPr>
          <w:color w:val="231F1F"/>
          <w:w w:val="110"/>
        </w:rPr>
        <w:t>estudios</w:t>
      </w:r>
      <w:r>
        <w:rPr>
          <w:color w:val="231F1F"/>
          <w:spacing w:val="-10"/>
          <w:w w:val="110"/>
        </w:rPr>
        <w:t> </w:t>
      </w:r>
      <w:r>
        <w:rPr>
          <w:color w:val="231F1F"/>
          <w:w w:val="110"/>
        </w:rPr>
        <w:t>incluidos</w:t>
      </w:r>
      <w:r>
        <w:rPr>
          <w:color w:val="231F1F"/>
          <w:spacing w:val="-11"/>
          <w:w w:val="110"/>
        </w:rPr>
        <w:t> </w:t>
      </w:r>
      <w:r>
        <w:rPr>
          <w:color w:val="231F1F"/>
          <w:w w:val="110"/>
        </w:rPr>
        <w:t>en</w:t>
      </w:r>
      <w:r>
        <w:rPr>
          <w:color w:val="231F1F"/>
          <w:spacing w:val="-10"/>
          <w:w w:val="110"/>
        </w:rPr>
        <w:t> </w:t>
      </w:r>
      <w:r>
        <w:rPr>
          <w:color w:val="231F1F"/>
          <w:w w:val="110"/>
        </w:rPr>
        <w:t>la</w:t>
      </w:r>
      <w:r>
        <w:rPr>
          <w:color w:val="231F1F"/>
          <w:spacing w:val="-10"/>
          <w:w w:val="110"/>
        </w:rPr>
        <w:t> </w:t>
      </w:r>
      <w:r>
        <w:rPr>
          <w:color w:val="231F1F"/>
          <w:w w:val="110"/>
        </w:rPr>
        <w:t>guía</w:t>
      </w:r>
      <w:r>
        <w:rPr>
          <w:color w:val="231F1F"/>
          <w:spacing w:val="-10"/>
          <w:w w:val="110"/>
        </w:rPr>
        <w:t> </w:t>
      </w:r>
      <w:r>
        <w:rPr>
          <w:color w:val="231F1F"/>
          <w:w w:val="110"/>
        </w:rPr>
        <w:t>NICE</w:t>
      </w:r>
      <w:r>
        <w:rPr>
          <w:color w:val="231F1F"/>
          <w:spacing w:val="-10"/>
          <w:w w:val="110"/>
        </w:rPr>
        <w:t> </w:t>
      </w:r>
      <w:r>
        <w:rPr>
          <w:color w:val="231F1F"/>
          <w:w w:val="110"/>
        </w:rPr>
        <w:t>(10), era</w:t>
      </w:r>
      <w:r>
        <w:rPr>
          <w:color w:val="231F1F"/>
          <w:spacing w:val="-16"/>
          <w:w w:val="110"/>
        </w:rPr>
        <w:t> </w:t>
      </w:r>
      <w:r>
        <w:rPr>
          <w:color w:val="231F1F"/>
          <w:w w:val="110"/>
        </w:rPr>
        <w:t>un</w:t>
      </w:r>
      <w:r>
        <w:rPr>
          <w:color w:val="231F1F"/>
          <w:spacing w:val="-15"/>
          <w:w w:val="110"/>
        </w:rPr>
        <w:t> </w:t>
      </w:r>
      <w:r>
        <w:rPr>
          <w:color w:val="231F1F"/>
          <w:w w:val="110"/>
        </w:rPr>
        <w:t>ECA</w:t>
      </w:r>
      <w:r>
        <w:rPr>
          <w:color w:val="231F1F"/>
          <w:spacing w:val="-15"/>
          <w:w w:val="110"/>
        </w:rPr>
        <w:t> </w:t>
      </w:r>
      <w:r>
        <w:rPr>
          <w:color w:val="231F1F"/>
          <w:w w:val="110"/>
        </w:rPr>
        <w:t>de</w:t>
      </w:r>
      <w:r>
        <w:rPr>
          <w:color w:val="231F1F"/>
          <w:spacing w:val="-15"/>
          <w:w w:val="110"/>
        </w:rPr>
        <w:t> </w:t>
      </w:r>
      <w:r>
        <w:rPr>
          <w:color w:val="231F1F"/>
          <w:w w:val="110"/>
        </w:rPr>
        <w:t>baja</w:t>
      </w:r>
      <w:r>
        <w:rPr>
          <w:color w:val="231F1F"/>
          <w:spacing w:val="-15"/>
          <w:w w:val="110"/>
        </w:rPr>
        <w:t> </w:t>
      </w:r>
      <w:r>
        <w:rPr>
          <w:color w:val="231F1F"/>
          <w:w w:val="110"/>
        </w:rPr>
        <w:t>calidad</w:t>
      </w:r>
      <w:r>
        <w:rPr>
          <w:color w:val="231F1F"/>
          <w:spacing w:val="-15"/>
          <w:w w:val="110"/>
        </w:rPr>
        <w:t> </w:t>
      </w:r>
      <w:r>
        <w:rPr>
          <w:color w:val="231F1F"/>
          <w:w w:val="110"/>
        </w:rPr>
        <w:t>(36),</w:t>
      </w:r>
      <w:r>
        <w:rPr>
          <w:color w:val="231F1F"/>
          <w:spacing w:val="-15"/>
          <w:w w:val="110"/>
        </w:rPr>
        <w:t> </w:t>
      </w:r>
      <w:r>
        <w:rPr>
          <w:color w:val="231F1F"/>
          <w:w w:val="110"/>
        </w:rPr>
        <w:t>realizado</w:t>
      </w:r>
      <w:r>
        <w:rPr>
          <w:color w:val="231F1F"/>
          <w:spacing w:val="-15"/>
          <w:w w:val="110"/>
        </w:rPr>
        <w:t> </w:t>
      </w:r>
      <w:r>
        <w:rPr>
          <w:color w:val="231F1F"/>
          <w:w w:val="110"/>
        </w:rPr>
        <w:t>también</w:t>
      </w:r>
      <w:r>
        <w:rPr>
          <w:color w:val="231F1F"/>
          <w:spacing w:val="-16"/>
          <w:w w:val="110"/>
        </w:rPr>
        <w:t> </w:t>
      </w:r>
      <w:r>
        <w:rPr>
          <w:color w:val="231F1F"/>
          <w:w w:val="110"/>
        </w:rPr>
        <w:t>en</w:t>
      </w:r>
      <w:r>
        <w:rPr>
          <w:color w:val="231F1F"/>
          <w:spacing w:val="-15"/>
          <w:w w:val="110"/>
        </w:rPr>
        <w:t> </w:t>
      </w:r>
      <w:r>
        <w:rPr>
          <w:color w:val="231F1F"/>
          <w:w w:val="110"/>
        </w:rPr>
        <w:t>Canadá,</w:t>
      </w:r>
      <w:r>
        <w:rPr>
          <w:color w:val="231F1F"/>
          <w:spacing w:val="-15"/>
          <w:w w:val="110"/>
        </w:rPr>
        <w:t> </w:t>
      </w:r>
      <w:r>
        <w:rPr>
          <w:color w:val="231F1F"/>
          <w:w w:val="110"/>
        </w:rPr>
        <w:t>que</w:t>
      </w:r>
      <w:r>
        <w:rPr>
          <w:color w:val="231F1F"/>
          <w:spacing w:val="-15"/>
          <w:w w:val="110"/>
        </w:rPr>
        <w:t> </w:t>
      </w:r>
      <w:r>
        <w:rPr>
          <w:color w:val="231F1F"/>
          <w:w w:val="110"/>
        </w:rPr>
        <w:t>evaluaba el impacto del primer contacto realizado en el hogar.</w:t>
      </w:r>
    </w:p>
    <w:p>
      <w:pPr>
        <w:pStyle w:val="BodyText"/>
        <w:tabs>
          <w:tab w:pos="7916" w:val="left" w:leader="none"/>
          <w:tab w:pos="8239" w:val="right" w:leader="none"/>
        </w:tabs>
        <w:spacing w:line="242" w:lineRule="auto" w:before="87"/>
        <w:ind w:left="283" w:right="331" w:firstLine="453"/>
        <w:rPr>
          <w:rFonts w:ascii="Arial MT" w:hAnsi="Arial MT"/>
          <w:position w:val="8"/>
          <w:sz w:val="18"/>
        </w:rPr>
      </w:pPr>
      <w:r>
        <w:rPr>
          <w:color w:val="231F1F"/>
          <w:w w:val="110"/>
        </w:rPr>
        <w:t>El</w:t>
      </w:r>
      <w:r>
        <w:rPr>
          <w:color w:val="231F1F"/>
          <w:spacing w:val="-4"/>
          <w:w w:val="110"/>
        </w:rPr>
        <w:t> </w:t>
      </w:r>
      <w:r>
        <w:rPr>
          <w:color w:val="231F1F"/>
          <w:w w:val="110"/>
        </w:rPr>
        <w:t>estudio</w:t>
      </w:r>
      <w:r>
        <w:rPr>
          <w:color w:val="231F1F"/>
          <w:spacing w:val="-3"/>
          <w:w w:val="110"/>
        </w:rPr>
        <w:t> </w:t>
      </w:r>
      <w:r>
        <w:rPr>
          <w:color w:val="231F1F"/>
          <w:w w:val="110"/>
        </w:rPr>
        <w:t>más</w:t>
      </w:r>
      <w:r>
        <w:rPr>
          <w:color w:val="231F1F"/>
          <w:spacing w:val="-3"/>
          <w:w w:val="110"/>
        </w:rPr>
        <w:t> </w:t>
      </w:r>
      <w:r>
        <w:rPr>
          <w:color w:val="231F1F"/>
          <w:w w:val="110"/>
        </w:rPr>
        <w:t>actual,</w:t>
      </w:r>
      <w:r>
        <w:rPr>
          <w:color w:val="231F1F"/>
          <w:spacing w:val="-4"/>
          <w:w w:val="110"/>
        </w:rPr>
        <w:t> </w:t>
      </w:r>
      <w:r>
        <w:rPr>
          <w:color w:val="231F1F"/>
          <w:w w:val="110"/>
        </w:rPr>
        <w:t>realizado</w:t>
      </w:r>
      <w:r>
        <w:rPr>
          <w:color w:val="231F1F"/>
          <w:spacing w:val="-3"/>
          <w:w w:val="110"/>
        </w:rPr>
        <w:t> </w:t>
      </w:r>
      <w:r>
        <w:rPr>
          <w:color w:val="231F1F"/>
          <w:w w:val="110"/>
        </w:rPr>
        <w:t>en</w:t>
      </w:r>
      <w:r>
        <w:rPr>
          <w:color w:val="231F1F"/>
          <w:spacing w:val="-3"/>
          <w:w w:val="110"/>
        </w:rPr>
        <w:t> </w:t>
      </w:r>
      <w:r>
        <w:rPr>
          <w:color w:val="231F1F"/>
          <w:w w:val="110"/>
        </w:rPr>
        <w:t>EEUU</w:t>
      </w:r>
      <w:r>
        <w:rPr>
          <w:color w:val="231F1F"/>
          <w:spacing w:val="-3"/>
          <w:w w:val="110"/>
        </w:rPr>
        <w:t> </w:t>
      </w:r>
      <w:r>
        <w:rPr>
          <w:color w:val="231F1F"/>
          <w:w w:val="110"/>
        </w:rPr>
        <w:t>(35),</w:t>
      </w:r>
      <w:r>
        <w:rPr>
          <w:color w:val="231F1F"/>
          <w:spacing w:val="-4"/>
          <w:w w:val="110"/>
        </w:rPr>
        <w:t> </w:t>
      </w:r>
      <w:r>
        <w:rPr>
          <w:color w:val="231F1F"/>
          <w:w w:val="110"/>
        </w:rPr>
        <w:t>fue</w:t>
      </w:r>
      <w:r>
        <w:rPr>
          <w:color w:val="231F1F"/>
          <w:spacing w:val="-3"/>
          <w:w w:val="110"/>
        </w:rPr>
        <w:t> </w:t>
      </w:r>
      <w:r>
        <w:rPr>
          <w:color w:val="231F1F"/>
          <w:w w:val="110"/>
        </w:rPr>
        <w:t>el</w:t>
      </w:r>
      <w:r>
        <w:rPr>
          <w:color w:val="231F1F"/>
          <w:spacing w:val="-4"/>
          <w:w w:val="110"/>
        </w:rPr>
        <w:t> </w:t>
      </w:r>
      <w:r>
        <w:rPr>
          <w:color w:val="231F1F"/>
          <w:w w:val="110"/>
        </w:rPr>
        <w:t>que</w:t>
      </w:r>
      <w:r>
        <w:rPr>
          <w:color w:val="231F1F"/>
          <w:spacing w:val="-3"/>
          <w:w w:val="110"/>
        </w:rPr>
        <w:t> </w:t>
      </w:r>
      <w:r>
        <w:rPr>
          <w:color w:val="231F1F"/>
          <w:w w:val="110"/>
        </w:rPr>
        <w:t>mayor</w:t>
      </w:r>
      <w:r>
        <w:rPr>
          <w:color w:val="231F1F"/>
          <w:spacing w:val="-3"/>
          <w:w w:val="110"/>
        </w:rPr>
        <w:t> </w:t>
      </w:r>
      <w:r>
        <w:rPr>
          <w:color w:val="231F1F"/>
          <w:w w:val="110"/>
        </w:rPr>
        <w:t>nú-</w:t>
      </w:r>
      <w:r>
        <w:rPr>
          <w:color w:val="231F1F"/>
          <w:spacing w:val="73"/>
          <w:w w:val="110"/>
        </w:rPr>
        <w:t> </w:t>
      </w:r>
      <w:r>
        <w:rPr>
          <w:rFonts w:ascii="Arial MT" w:hAnsi="Arial MT"/>
          <w:color w:val="231F1F"/>
          <w:w w:val="110"/>
          <w:sz w:val="18"/>
        </w:rPr>
        <w:t>E.</w:t>
      </w:r>
      <w:r>
        <w:rPr>
          <w:rFonts w:ascii="Arial MT" w:hAnsi="Arial MT"/>
          <w:color w:val="231F1F"/>
          <w:spacing w:val="-6"/>
          <w:w w:val="110"/>
          <w:sz w:val="18"/>
        </w:rPr>
        <w:t> </w:t>
      </w:r>
      <w:r>
        <w:rPr>
          <w:rFonts w:ascii="Arial MT" w:hAnsi="Arial MT"/>
          <w:color w:val="231F1F"/>
          <w:w w:val="110"/>
          <w:sz w:val="18"/>
        </w:rPr>
        <w:t>Observa- </w:t>
      </w:r>
      <w:r>
        <w:rPr>
          <w:color w:val="231F1F"/>
          <w:w w:val="110"/>
        </w:rPr>
        <w:t>mero de mujeres incluyó (n=8.818) y comparó los resultados del parto de</w:t>
      </w:r>
      <w:r>
        <w:rPr>
          <w:color w:val="231F1F"/>
        </w:rPr>
        <w:tab/>
      </w:r>
      <w:r>
        <w:rPr>
          <w:rFonts w:ascii="Arial MT" w:hAnsi="Arial MT"/>
          <w:color w:val="231F1F"/>
          <w:spacing w:val="-2"/>
          <w:w w:val="110"/>
          <w:position w:val="4"/>
          <w:sz w:val="18"/>
        </w:rPr>
        <w:t>cional </w:t>
      </w:r>
      <w:r>
        <w:rPr>
          <w:color w:val="231F1F"/>
          <w:w w:val="110"/>
        </w:rPr>
        <w:t>las mujeres que acudieron en la fase activa el parto frente a las que lo hi-</w:t>
      </w:r>
      <w:r>
        <w:rPr>
          <w:color w:val="231F1F"/>
        </w:rPr>
        <w:tab/>
        <w:tab/>
      </w:r>
      <w:r>
        <w:rPr>
          <w:rFonts w:ascii="Arial MT" w:hAnsi="Arial MT"/>
          <w:color w:val="231F1F"/>
          <w:spacing w:val="-34"/>
          <w:w w:val="45"/>
          <w:position w:val="8"/>
          <w:sz w:val="18"/>
        </w:rPr>
        <w:t>3</w:t>
      </w:r>
    </w:p>
    <w:p>
      <w:pPr>
        <w:pStyle w:val="BodyText"/>
        <w:spacing w:line="244" w:lineRule="auto" w:before="7"/>
        <w:ind w:left="283" w:right="1365"/>
        <w:jc w:val="both"/>
      </w:pPr>
      <w:r>
        <w:rPr>
          <w:color w:val="231F1F"/>
          <w:w w:val="105"/>
        </w:rPr>
        <w:t>cieron</w:t>
      </w:r>
      <w:r>
        <w:rPr>
          <w:color w:val="231F1F"/>
          <w:w w:val="105"/>
        </w:rPr>
        <w:t> en</w:t>
      </w:r>
      <w:r>
        <w:rPr>
          <w:color w:val="231F1F"/>
          <w:w w:val="105"/>
        </w:rPr>
        <w:t> la</w:t>
      </w:r>
      <w:r>
        <w:rPr>
          <w:color w:val="231F1F"/>
          <w:w w:val="105"/>
        </w:rPr>
        <w:t> fase</w:t>
      </w:r>
      <w:r>
        <w:rPr>
          <w:color w:val="231F1F"/>
          <w:w w:val="105"/>
        </w:rPr>
        <w:t> latente.</w:t>
      </w:r>
      <w:r>
        <w:rPr>
          <w:color w:val="231F1F"/>
          <w:w w:val="105"/>
        </w:rPr>
        <w:t> Las</w:t>
      </w:r>
      <w:r>
        <w:rPr>
          <w:color w:val="231F1F"/>
          <w:w w:val="105"/>
        </w:rPr>
        <w:t> mujeres</w:t>
      </w:r>
      <w:r>
        <w:rPr>
          <w:color w:val="231F1F"/>
          <w:w w:val="105"/>
        </w:rPr>
        <w:t> que</w:t>
      </w:r>
      <w:r>
        <w:rPr>
          <w:color w:val="231F1F"/>
          <w:w w:val="105"/>
        </w:rPr>
        <w:t> acudieron</w:t>
      </w:r>
      <w:r>
        <w:rPr>
          <w:color w:val="231F1F"/>
          <w:w w:val="105"/>
        </w:rPr>
        <w:t> en</w:t>
      </w:r>
      <w:r>
        <w:rPr>
          <w:color w:val="231F1F"/>
          <w:w w:val="105"/>
        </w:rPr>
        <w:t> fase</w:t>
      </w:r>
      <w:r>
        <w:rPr>
          <w:color w:val="231F1F"/>
          <w:w w:val="105"/>
        </w:rPr>
        <w:t> latente</w:t>
      </w:r>
      <w:r>
        <w:rPr>
          <w:color w:val="231F1F"/>
          <w:w w:val="105"/>
        </w:rPr>
        <w:t> presen- taron:</w:t>
      </w:r>
      <w:r>
        <w:rPr>
          <w:color w:val="231F1F"/>
          <w:w w:val="105"/>
        </w:rPr>
        <w:t> una</w:t>
      </w:r>
      <w:r>
        <w:rPr>
          <w:color w:val="231F1F"/>
          <w:w w:val="105"/>
        </w:rPr>
        <w:t> fase</w:t>
      </w:r>
      <w:r>
        <w:rPr>
          <w:color w:val="231F1F"/>
          <w:w w:val="105"/>
        </w:rPr>
        <w:t> activa</w:t>
      </w:r>
      <w:r>
        <w:rPr>
          <w:color w:val="231F1F"/>
          <w:w w:val="105"/>
        </w:rPr>
        <w:t> más</w:t>
      </w:r>
      <w:r>
        <w:rPr>
          <w:color w:val="231F1F"/>
          <w:w w:val="105"/>
        </w:rPr>
        <w:t> lenta:</w:t>
      </w:r>
      <w:r>
        <w:rPr>
          <w:color w:val="231F1F"/>
          <w:w w:val="105"/>
        </w:rPr>
        <w:t> OR</w:t>
      </w:r>
      <w:r>
        <w:rPr>
          <w:color w:val="231F1F"/>
          <w:w w:val="105"/>
        </w:rPr>
        <w:t> 2,2</w:t>
      </w:r>
      <w:r>
        <w:rPr>
          <w:color w:val="231F1F"/>
          <w:w w:val="105"/>
        </w:rPr>
        <w:t> [IC</w:t>
      </w:r>
      <w:r>
        <w:rPr>
          <w:color w:val="231F1F"/>
          <w:w w:val="105"/>
        </w:rPr>
        <w:t> 95%</w:t>
      </w:r>
      <w:r>
        <w:rPr>
          <w:color w:val="231F1F"/>
          <w:w w:val="105"/>
        </w:rPr>
        <w:t> 1,6</w:t>
      </w:r>
      <w:r>
        <w:rPr>
          <w:color w:val="231F1F"/>
          <w:w w:val="105"/>
        </w:rPr>
        <w:t> a</w:t>
      </w:r>
      <w:r>
        <w:rPr>
          <w:color w:val="231F1F"/>
          <w:w w:val="105"/>
        </w:rPr>
        <w:t> 2,6],</w:t>
      </w:r>
      <w:r>
        <w:rPr>
          <w:color w:val="231F1F"/>
          <w:w w:val="105"/>
        </w:rPr>
        <w:t> mayor</w:t>
      </w:r>
      <w:r>
        <w:rPr>
          <w:color w:val="231F1F"/>
          <w:w w:val="105"/>
        </w:rPr>
        <w:t> uso</w:t>
      </w:r>
      <w:r>
        <w:rPr>
          <w:color w:val="231F1F"/>
          <w:w w:val="105"/>
        </w:rPr>
        <w:t> de oxitocina:</w:t>
      </w:r>
      <w:r>
        <w:rPr>
          <w:color w:val="231F1F"/>
          <w:w w:val="105"/>
        </w:rPr>
        <w:t> OR</w:t>
      </w:r>
      <w:r>
        <w:rPr>
          <w:color w:val="231F1F"/>
          <w:w w:val="105"/>
        </w:rPr>
        <w:t> 2,3</w:t>
      </w:r>
      <w:r>
        <w:rPr>
          <w:color w:val="231F1F"/>
          <w:w w:val="105"/>
        </w:rPr>
        <w:t> [IC</w:t>
      </w:r>
      <w:r>
        <w:rPr>
          <w:color w:val="231F1F"/>
          <w:w w:val="105"/>
        </w:rPr>
        <w:t> 95%</w:t>
      </w:r>
      <w:r>
        <w:rPr>
          <w:color w:val="231F1F"/>
          <w:w w:val="105"/>
        </w:rPr>
        <w:t> 2,1</w:t>
      </w:r>
      <w:r>
        <w:rPr>
          <w:color w:val="231F1F"/>
          <w:w w:val="105"/>
        </w:rPr>
        <w:t> a</w:t>
      </w:r>
      <w:r>
        <w:rPr>
          <w:color w:val="231F1F"/>
          <w:w w:val="105"/>
        </w:rPr>
        <w:t> 2,6],</w:t>
      </w:r>
      <w:r>
        <w:rPr>
          <w:color w:val="231F1F"/>
          <w:w w:val="105"/>
        </w:rPr>
        <w:t> mayor</w:t>
      </w:r>
      <w:r>
        <w:rPr>
          <w:color w:val="231F1F"/>
          <w:w w:val="105"/>
        </w:rPr>
        <w:t> uso</w:t>
      </w:r>
      <w:r>
        <w:rPr>
          <w:color w:val="231F1F"/>
          <w:w w:val="105"/>
        </w:rPr>
        <w:t> de</w:t>
      </w:r>
      <w:r>
        <w:rPr>
          <w:color w:val="231F1F"/>
          <w:w w:val="105"/>
        </w:rPr>
        <w:t> anestesia</w:t>
      </w:r>
      <w:r>
        <w:rPr>
          <w:color w:val="231F1F"/>
          <w:w w:val="105"/>
        </w:rPr>
        <w:t> epidural:</w:t>
      </w:r>
      <w:r>
        <w:rPr>
          <w:color w:val="231F1F"/>
          <w:w w:val="105"/>
        </w:rPr>
        <w:t> OR</w:t>
      </w:r>
      <w:r>
        <w:rPr>
          <w:color w:val="231F1F"/>
          <w:spacing w:val="40"/>
          <w:w w:val="105"/>
        </w:rPr>
        <w:t> </w:t>
      </w:r>
      <w:r>
        <w:rPr>
          <w:color w:val="231F1F"/>
          <w:w w:val="105"/>
        </w:rPr>
        <w:t>2,2</w:t>
      </w:r>
      <w:r>
        <w:rPr>
          <w:color w:val="231F1F"/>
          <w:w w:val="105"/>
        </w:rPr>
        <w:t> [IC</w:t>
      </w:r>
      <w:r>
        <w:rPr>
          <w:color w:val="231F1F"/>
          <w:w w:val="105"/>
        </w:rPr>
        <w:t> 95%</w:t>
      </w:r>
      <w:r>
        <w:rPr>
          <w:color w:val="231F1F"/>
          <w:w w:val="105"/>
        </w:rPr>
        <w:t> 2,0</w:t>
      </w:r>
      <w:r>
        <w:rPr>
          <w:color w:val="231F1F"/>
          <w:w w:val="105"/>
        </w:rPr>
        <w:t> a</w:t>
      </w:r>
      <w:r>
        <w:rPr>
          <w:color w:val="231F1F"/>
          <w:w w:val="105"/>
        </w:rPr>
        <w:t> 2,4],</w:t>
      </w:r>
      <w:r>
        <w:rPr>
          <w:color w:val="231F1F"/>
          <w:w w:val="105"/>
        </w:rPr>
        <w:t> mayor</w:t>
      </w:r>
      <w:r>
        <w:rPr>
          <w:color w:val="231F1F"/>
          <w:w w:val="105"/>
        </w:rPr>
        <w:t> número</w:t>
      </w:r>
      <w:r>
        <w:rPr>
          <w:color w:val="231F1F"/>
          <w:w w:val="105"/>
        </w:rPr>
        <w:t> de</w:t>
      </w:r>
      <w:r>
        <w:rPr>
          <w:color w:val="231F1F"/>
          <w:w w:val="105"/>
        </w:rPr>
        <w:t> RN</w:t>
      </w:r>
      <w:r>
        <w:rPr>
          <w:color w:val="231F1F"/>
          <w:w w:val="105"/>
        </w:rPr>
        <w:t> intubados</w:t>
      </w:r>
      <w:r>
        <w:rPr>
          <w:color w:val="231F1F"/>
          <w:w w:val="105"/>
        </w:rPr>
        <w:t> después</w:t>
      </w:r>
      <w:r>
        <w:rPr>
          <w:color w:val="231F1F"/>
          <w:w w:val="105"/>
        </w:rPr>
        <w:t> del</w:t>
      </w:r>
      <w:r>
        <w:rPr>
          <w:color w:val="231F1F"/>
          <w:w w:val="105"/>
        </w:rPr>
        <w:t> naci- miento: OR 1,2 [IC 95% 1,0 a 1,4], más mujeres con amnionitis: OR 2,7 [IC</w:t>
      </w:r>
    </w:p>
    <w:p>
      <w:pPr>
        <w:pStyle w:val="BodyText"/>
        <w:spacing w:before="6"/>
        <w:ind w:left="283"/>
        <w:jc w:val="both"/>
      </w:pPr>
      <w:r>
        <w:rPr>
          <w:color w:val="231F1F"/>
          <w:w w:val="105"/>
        </w:rPr>
        <w:t>95%</w:t>
      </w:r>
      <w:r>
        <w:rPr>
          <w:color w:val="231F1F"/>
          <w:spacing w:val="15"/>
          <w:w w:val="105"/>
        </w:rPr>
        <w:t> </w:t>
      </w:r>
      <w:r>
        <w:rPr>
          <w:color w:val="231F1F"/>
          <w:w w:val="105"/>
        </w:rPr>
        <w:t>1,5</w:t>
      </w:r>
      <w:r>
        <w:rPr>
          <w:color w:val="231F1F"/>
          <w:spacing w:val="16"/>
          <w:w w:val="105"/>
        </w:rPr>
        <w:t> </w:t>
      </w:r>
      <w:r>
        <w:rPr>
          <w:color w:val="231F1F"/>
          <w:w w:val="105"/>
        </w:rPr>
        <w:t>a</w:t>
      </w:r>
      <w:r>
        <w:rPr>
          <w:color w:val="231F1F"/>
          <w:spacing w:val="16"/>
          <w:w w:val="105"/>
        </w:rPr>
        <w:t> </w:t>
      </w:r>
      <w:r>
        <w:rPr>
          <w:color w:val="231F1F"/>
          <w:w w:val="105"/>
        </w:rPr>
        <w:t>4,7]</w:t>
      </w:r>
      <w:r>
        <w:rPr>
          <w:color w:val="231F1F"/>
          <w:spacing w:val="16"/>
          <w:w w:val="105"/>
        </w:rPr>
        <w:t> </w:t>
      </w:r>
      <w:r>
        <w:rPr>
          <w:color w:val="231F1F"/>
          <w:w w:val="105"/>
        </w:rPr>
        <w:t>y</w:t>
      </w:r>
      <w:r>
        <w:rPr>
          <w:color w:val="231F1F"/>
          <w:spacing w:val="16"/>
          <w:w w:val="105"/>
        </w:rPr>
        <w:t> </w:t>
      </w:r>
      <w:r>
        <w:rPr>
          <w:color w:val="231F1F"/>
          <w:w w:val="105"/>
        </w:rPr>
        <w:t>más</w:t>
      </w:r>
      <w:r>
        <w:rPr>
          <w:color w:val="231F1F"/>
          <w:spacing w:val="16"/>
          <w:w w:val="105"/>
        </w:rPr>
        <w:t> </w:t>
      </w:r>
      <w:r>
        <w:rPr>
          <w:color w:val="231F1F"/>
          <w:w w:val="105"/>
        </w:rPr>
        <w:t>mujeres</w:t>
      </w:r>
      <w:r>
        <w:rPr>
          <w:color w:val="231F1F"/>
          <w:spacing w:val="16"/>
          <w:w w:val="105"/>
        </w:rPr>
        <w:t> </w:t>
      </w:r>
      <w:r>
        <w:rPr>
          <w:color w:val="231F1F"/>
          <w:w w:val="105"/>
        </w:rPr>
        <w:t>con</w:t>
      </w:r>
      <w:r>
        <w:rPr>
          <w:color w:val="231F1F"/>
          <w:spacing w:val="16"/>
          <w:w w:val="105"/>
        </w:rPr>
        <w:t> </w:t>
      </w:r>
      <w:r>
        <w:rPr>
          <w:color w:val="231F1F"/>
          <w:w w:val="105"/>
        </w:rPr>
        <w:t>infección</w:t>
      </w:r>
      <w:r>
        <w:rPr>
          <w:color w:val="231F1F"/>
          <w:spacing w:val="14"/>
          <w:w w:val="105"/>
        </w:rPr>
        <w:t> </w:t>
      </w:r>
      <w:r>
        <w:rPr>
          <w:color w:val="231F1F"/>
          <w:w w:val="105"/>
        </w:rPr>
        <w:t>posparto:</w:t>
      </w:r>
      <w:r>
        <w:rPr>
          <w:color w:val="231F1F"/>
          <w:spacing w:val="16"/>
          <w:w w:val="105"/>
        </w:rPr>
        <w:t> </w:t>
      </w:r>
      <w:r>
        <w:rPr>
          <w:color w:val="231F1F"/>
          <w:w w:val="105"/>
        </w:rPr>
        <w:t>OR</w:t>
      </w:r>
      <w:r>
        <w:rPr>
          <w:color w:val="231F1F"/>
          <w:spacing w:val="16"/>
          <w:w w:val="105"/>
        </w:rPr>
        <w:t> </w:t>
      </w:r>
      <w:r>
        <w:rPr>
          <w:color w:val="231F1F"/>
          <w:w w:val="105"/>
        </w:rPr>
        <w:t>1,7</w:t>
      </w:r>
      <w:r>
        <w:rPr>
          <w:color w:val="231F1F"/>
          <w:spacing w:val="16"/>
          <w:w w:val="105"/>
        </w:rPr>
        <w:t> </w:t>
      </w:r>
      <w:r>
        <w:rPr>
          <w:color w:val="231F1F"/>
          <w:w w:val="105"/>
        </w:rPr>
        <w:t>[IC</w:t>
      </w:r>
      <w:r>
        <w:rPr>
          <w:color w:val="231F1F"/>
          <w:spacing w:val="18"/>
          <w:w w:val="105"/>
        </w:rPr>
        <w:t> </w:t>
      </w:r>
      <w:r>
        <w:rPr>
          <w:color w:val="231F1F"/>
          <w:w w:val="105"/>
        </w:rPr>
        <w:t>95%</w:t>
      </w:r>
      <w:r>
        <w:rPr>
          <w:color w:val="231F1F"/>
          <w:spacing w:val="16"/>
          <w:w w:val="105"/>
        </w:rPr>
        <w:t> </w:t>
      </w:r>
      <w:r>
        <w:rPr>
          <w:color w:val="231F1F"/>
          <w:spacing w:val="-5"/>
          <w:w w:val="105"/>
        </w:rPr>
        <w:t>1,0</w:t>
      </w:r>
    </w:p>
    <w:p>
      <w:pPr>
        <w:pStyle w:val="BodyText"/>
        <w:spacing w:before="6"/>
        <w:ind w:left="283"/>
        <w:jc w:val="both"/>
      </w:pPr>
      <w:r>
        <w:rPr>
          <w:color w:val="231F1F"/>
          <w:w w:val="105"/>
        </w:rPr>
        <w:t>a</w:t>
      </w:r>
      <w:r>
        <w:rPr>
          <w:color w:val="231F1F"/>
          <w:spacing w:val="8"/>
          <w:w w:val="105"/>
        </w:rPr>
        <w:t> </w:t>
      </w:r>
      <w:r>
        <w:rPr>
          <w:color w:val="231F1F"/>
          <w:spacing w:val="-4"/>
          <w:w w:val="105"/>
        </w:rPr>
        <w:t>2,9].</w:t>
      </w:r>
    </w:p>
    <w:p>
      <w:pPr>
        <w:pStyle w:val="BodyText"/>
        <w:spacing w:line="249" w:lineRule="auto" w:before="79"/>
        <w:ind w:left="283" w:right="1366" w:firstLine="453"/>
        <w:jc w:val="both"/>
      </w:pPr>
      <w:r>
        <w:rPr>
          <w:color w:val="231F1F"/>
          <w:w w:val="105"/>
        </w:rPr>
        <w:t>La evidencia encontrada sobre el momento idóneo de la admisión mues- tra que la admisión en maternidad de forma temprana o durante la fase laten- te,</w:t>
      </w:r>
      <w:r>
        <w:rPr>
          <w:color w:val="231F1F"/>
          <w:w w:val="105"/>
        </w:rPr>
        <w:t> se</w:t>
      </w:r>
      <w:r>
        <w:rPr>
          <w:color w:val="231F1F"/>
          <w:w w:val="105"/>
        </w:rPr>
        <w:t> asocia</w:t>
      </w:r>
      <w:r>
        <w:rPr>
          <w:color w:val="231F1F"/>
          <w:w w:val="105"/>
        </w:rPr>
        <w:t> a</w:t>
      </w:r>
      <w:r>
        <w:rPr>
          <w:color w:val="231F1F"/>
          <w:w w:val="105"/>
        </w:rPr>
        <w:t> mayor</w:t>
      </w:r>
      <w:r>
        <w:rPr>
          <w:color w:val="231F1F"/>
          <w:w w:val="105"/>
        </w:rPr>
        <w:t> duración</w:t>
      </w:r>
      <w:r>
        <w:rPr>
          <w:color w:val="231F1F"/>
          <w:w w:val="105"/>
        </w:rPr>
        <w:t> e</w:t>
      </w:r>
      <w:r>
        <w:rPr>
          <w:color w:val="231F1F"/>
          <w:w w:val="105"/>
        </w:rPr>
        <w:t> intervencionismo</w:t>
      </w:r>
      <w:r>
        <w:rPr>
          <w:color w:val="231F1F"/>
          <w:w w:val="105"/>
        </w:rPr>
        <w:t> durante</w:t>
      </w:r>
      <w:r>
        <w:rPr>
          <w:color w:val="231F1F"/>
          <w:w w:val="105"/>
        </w:rPr>
        <w:t> el</w:t>
      </w:r>
      <w:r>
        <w:rPr>
          <w:color w:val="231F1F"/>
          <w:w w:val="105"/>
        </w:rPr>
        <w:t> parto</w:t>
      </w:r>
      <w:r>
        <w:rPr>
          <w:color w:val="231F1F"/>
          <w:w w:val="105"/>
        </w:rPr>
        <w:t> (uso</w:t>
      </w:r>
      <w:r>
        <w:rPr>
          <w:color w:val="231F1F"/>
          <w:w w:val="105"/>
        </w:rPr>
        <w:t> de oxitocina y analgesia epidural). La evidencia en cuanto a la morbi-mortalidad de</w:t>
      </w:r>
      <w:r>
        <w:rPr>
          <w:color w:val="231F1F"/>
          <w:spacing w:val="40"/>
          <w:w w:val="105"/>
        </w:rPr>
        <w:t> </w:t>
      </w:r>
      <w:r>
        <w:rPr>
          <w:color w:val="231F1F"/>
          <w:w w:val="105"/>
        </w:rPr>
        <w:t>madres</w:t>
      </w:r>
      <w:r>
        <w:rPr>
          <w:color w:val="231F1F"/>
          <w:spacing w:val="40"/>
          <w:w w:val="105"/>
        </w:rPr>
        <w:t> </w:t>
      </w:r>
      <w:r>
        <w:rPr>
          <w:color w:val="231F1F"/>
          <w:w w:val="105"/>
        </w:rPr>
        <w:t>o</w:t>
      </w:r>
      <w:r>
        <w:rPr>
          <w:color w:val="231F1F"/>
          <w:spacing w:val="40"/>
          <w:w w:val="105"/>
        </w:rPr>
        <w:t> </w:t>
      </w:r>
      <w:r>
        <w:rPr>
          <w:color w:val="231F1F"/>
          <w:w w:val="105"/>
        </w:rPr>
        <w:t>neonatos</w:t>
      </w:r>
      <w:r>
        <w:rPr>
          <w:color w:val="231F1F"/>
          <w:spacing w:val="40"/>
          <w:w w:val="105"/>
        </w:rPr>
        <w:t> </w:t>
      </w:r>
      <w:r>
        <w:rPr>
          <w:color w:val="231F1F"/>
          <w:w w:val="105"/>
        </w:rPr>
        <w:t>sigue</w:t>
      </w:r>
      <w:r>
        <w:rPr>
          <w:color w:val="231F1F"/>
          <w:spacing w:val="40"/>
          <w:w w:val="105"/>
        </w:rPr>
        <w:t> </w:t>
      </w:r>
      <w:r>
        <w:rPr>
          <w:color w:val="231F1F"/>
          <w:w w:val="105"/>
        </w:rPr>
        <w:t>siendo</w:t>
      </w:r>
      <w:r>
        <w:rPr>
          <w:color w:val="231F1F"/>
          <w:spacing w:val="40"/>
          <w:w w:val="105"/>
        </w:rPr>
        <w:t> </w:t>
      </w:r>
      <w:r>
        <w:rPr>
          <w:color w:val="231F1F"/>
          <w:w w:val="105"/>
        </w:rPr>
        <w:t>aun</w:t>
      </w:r>
      <w:r>
        <w:rPr>
          <w:color w:val="231F1F"/>
          <w:spacing w:val="40"/>
          <w:w w:val="105"/>
        </w:rPr>
        <w:t> </w:t>
      </w:r>
      <w:r>
        <w:rPr>
          <w:color w:val="231F1F"/>
          <w:w w:val="105"/>
        </w:rPr>
        <w:t>insuficiente.</w:t>
      </w:r>
    </w:p>
    <w:p>
      <w:pPr>
        <w:pStyle w:val="BodyText"/>
        <w:spacing w:after="0" w:line="249" w:lineRule="auto"/>
        <w:jc w:val="both"/>
        <w:sectPr>
          <w:pgSz w:w="11900" w:h="16840"/>
          <w:pgMar w:header="0" w:footer="622" w:top="1560" w:bottom="820" w:left="1417" w:right="1559"/>
        </w:sectPr>
      </w:pPr>
    </w:p>
    <w:p>
      <w:pPr>
        <w:spacing w:before="82"/>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9" w:lineRule="auto" w:before="214"/>
        <w:ind w:left="283"/>
        <w:jc w:val="both"/>
      </w:pPr>
      <w:r>
        <w:rPr>
          <w:color w:val="231F1F"/>
          <w:w w:val="105"/>
        </w:rPr>
        <w:t>En</w:t>
      </w:r>
      <w:r>
        <w:rPr>
          <w:color w:val="231F1F"/>
          <w:w w:val="105"/>
        </w:rPr>
        <w:t> la</w:t>
      </w:r>
      <w:r>
        <w:rPr>
          <w:color w:val="231F1F"/>
          <w:w w:val="105"/>
        </w:rPr>
        <w:t> búsqueda</w:t>
      </w:r>
      <w:r>
        <w:rPr>
          <w:color w:val="231F1F"/>
          <w:w w:val="105"/>
        </w:rPr>
        <w:t> realizada</w:t>
      </w:r>
      <w:r>
        <w:rPr>
          <w:color w:val="231F1F"/>
          <w:w w:val="105"/>
        </w:rPr>
        <w:t> para</w:t>
      </w:r>
      <w:r>
        <w:rPr>
          <w:color w:val="231F1F"/>
          <w:w w:val="105"/>
        </w:rPr>
        <w:t> la</w:t>
      </w:r>
      <w:r>
        <w:rPr>
          <w:color w:val="231F1F"/>
          <w:w w:val="105"/>
        </w:rPr>
        <w:t> actualización</w:t>
      </w:r>
      <w:r>
        <w:rPr>
          <w:color w:val="231F1F"/>
          <w:w w:val="105"/>
        </w:rPr>
        <w:t> de</w:t>
      </w:r>
      <w:r>
        <w:rPr>
          <w:color w:val="231F1F"/>
          <w:w w:val="105"/>
        </w:rPr>
        <w:t> esta</w:t>
      </w:r>
      <w:r>
        <w:rPr>
          <w:color w:val="231F1F"/>
          <w:w w:val="105"/>
        </w:rPr>
        <w:t> pregunta</w:t>
      </w:r>
      <w:r>
        <w:rPr>
          <w:color w:val="231F1F"/>
          <w:w w:val="105"/>
        </w:rPr>
        <w:t> se</w:t>
      </w:r>
      <w:r>
        <w:rPr>
          <w:color w:val="231F1F"/>
          <w:w w:val="105"/>
        </w:rPr>
        <w:t> preselec- cionaron</w:t>
      </w:r>
      <w:r>
        <w:rPr>
          <w:color w:val="231F1F"/>
          <w:w w:val="105"/>
        </w:rPr>
        <w:t> 2</w:t>
      </w:r>
      <w:r>
        <w:rPr>
          <w:color w:val="231F1F"/>
          <w:w w:val="105"/>
        </w:rPr>
        <w:t> estudios,</w:t>
      </w:r>
      <w:r>
        <w:rPr>
          <w:color w:val="231F1F"/>
          <w:w w:val="105"/>
        </w:rPr>
        <w:t> que</w:t>
      </w:r>
      <w:r>
        <w:rPr>
          <w:color w:val="231F1F"/>
          <w:w w:val="105"/>
        </w:rPr>
        <w:t> finalmente</w:t>
      </w:r>
      <w:r>
        <w:rPr>
          <w:color w:val="231F1F"/>
          <w:w w:val="105"/>
        </w:rPr>
        <w:t> no</w:t>
      </w:r>
      <w:r>
        <w:rPr>
          <w:color w:val="231F1F"/>
          <w:w w:val="105"/>
        </w:rPr>
        <w:t> fueron</w:t>
      </w:r>
      <w:r>
        <w:rPr>
          <w:color w:val="231F1F"/>
          <w:w w:val="105"/>
        </w:rPr>
        <w:t> incluidos,</w:t>
      </w:r>
      <w:r>
        <w:rPr>
          <w:color w:val="231F1F"/>
          <w:w w:val="105"/>
        </w:rPr>
        <w:t> por</w:t>
      </w:r>
      <w:r>
        <w:rPr>
          <w:color w:val="231F1F"/>
          <w:w w:val="105"/>
        </w:rPr>
        <w:t> no</w:t>
      </w:r>
      <w:r>
        <w:rPr>
          <w:color w:val="231F1F"/>
          <w:w w:val="105"/>
        </w:rPr>
        <w:t> cumplir</w:t>
      </w:r>
      <w:r>
        <w:rPr>
          <w:color w:val="231F1F"/>
          <w:w w:val="105"/>
        </w:rPr>
        <w:t> los criterios de selección. Por ello, las recomendaciones se basan en los hallazgos descritos por la guía NICE (10).</w:t>
      </w:r>
    </w:p>
    <w:p>
      <w:pPr>
        <w:pStyle w:val="BodyText"/>
        <w:spacing w:line="254" w:lineRule="auto" w:before="138"/>
        <w:ind w:left="283" w:right="1" w:firstLine="453"/>
        <w:jc w:val="both"/>
      </w:pPr>
      <w:r>
        <w:rPr>
          <w:color w:val="231F1F"/>
          <w:spacing w:val="-2"/>
          <w:w w:val="105"/>
        </w:rPr>
        <w:t>Se</w:t>
      </w:r>
      <w:r>
        <w:rPr>
          <w:color w:val="231F1F"/>
          <w:spacing w:val="-9"/>
          <w:w w:val="105"/>
        </w:rPr>
        <w:t> </w:t>
      </w:r>
      <w:r>
        <w:rPr>
          <w:color w:val="231F1F"/>
          <w:spacing w:val="-2"/>
          <w:w w:val="105"/>
        </w:rPr>
        <w:t>ha</w:t>
      </w:r>
      <w:r>
        <w:rPr>
          <w:color w:val="231F1F"/>
          <w:spacing w:val="-9"/>
          <w:w w:val="105"/>
        </w:rPr>
        <w:t> </w:t>
      </w:r>
      <w:r>
        <w:rPr>
          <w:color w:val="231F1F"/>
          <w:spacing w:val="-2"/>
          <w:w w:val="105"/>
        </w:rPr>
        <w:t>observado</w:t>
      </w:r>
      <w:r>
        <w:rPr>
          <w:color w:val="231F1F"/>
          <w:spacing w:val="-9"/>
          <w:w w:val="105"/>
        </w:rPr>
        <w:t> </w:t>
      </w:r>
      <w:r>
        <w:rPr>
          <w:color w:val="231F1F"/>
          <w:spacing w:val="-2"/>
          <w:w w:val="105"/>
        </w:rPr>
        <w:t>que</w:t>
      </w:r>
      <w:r>
        <w:rPr>
          <w:color w:val="231F1F"/>
          <w:spacing w:val="-9"/>
          <w:w w:val="105"/>
        </w:rPr>
        <w:t> </w:t>
      </w:r>
      <w:r>
        <w:rPr>
          <w:color w:val="231F1F"/>
          <w:spacing w:val="-2"/>
          <w:w w:val="105"/>
        </w:rPr>
        <w:t>la</w:t>
      </w:r>
      <w:r>
        <w:rPr>
          <w:color w:val="231F1F"/>
          <w:spacing w:val="-9"/>
          <w:w w:val="105"/>
        </w:rPr>
        <w:t> </w:t>
      </w:r>
      <w:r>
        <w:rPr>
          <w:color w:val="231F1F"/>
          <w:spacing w:val="-2"/>
          <w:w w:val="105"/>
        </w:rPr>
        <w:t>admisión</w:t>
      </w:r>
      <w:r>
        <w:rPr>
          <w:color w:val="231F1F"/>
          <w:spacing w:val="-9"/>
          <w:w w:val="105"/>
        </w:rPr>
        <w:t> </w:t>
      </w:r>
      <w:r>
        <w:rPr>
          <w:color w:val="231F1F"/>
          <w:spacing w:val="-2"/>
          <w:w w:val="105"/>
        </w:rPr>
        <w:t>durante</w:t>
      </w:r>
      <w:r>
        <w:rPr>
          <w:color w:val="231F1F"/>
          <w:spacing w:val="-9"/>
          <w:w w:val="105"/>
        </w:rPr>
        <w:t> </w:t>
      </w:r>
      <w:r>
        <w:rPr>
          <w:color w:val="231F1F"/>
          <w:spacing w:val="-2"/>
          <w:w w:val="105"/>
        </w:rPr>
        <w:t>la</w:t>
      </w:r>
      <w:r>
        <w:rPr>
          <w:color w:val="231F1F"/>
          <w:spacing w:val="-9"/>
          <w:w w:val="105"/>
        </w:rPr>
        <w:t> </w:t>
      </w:r>
      <w:r>
        <w:rPr>
          <w:color w:val="231F1F"/>
          <w:spacing w:val="-2"/>
          <w:w w:val="105"/>
        </w:rPr>
        <w:t>fase</w:t>
      </w:r>
      <w:r>
        <w:rPr>
          <w:color w:val="231F1F"/>
          <w:spacing w:val="-9"/>
          <w:w w:val="105"/>
        </w:rPr>
        <w:t> </w:t>
      </w:r>
      <w:r>
        <w:rPr>
          <w:color w:val="231F1F"/>
          <w:spacing w:val="-2"/>
          <w:w w:val="105"/>
        </w:rPr>
        <w:t>activa</w:t>
      </w:r>
      <w:r>
        <w:rPr>
          <w:color w:val="231F1F"/>
          <w:spacing w:val="-9"/>
          <w:w w:val="105"/>
        </w:rPr>
        <w:t> </w:t>
      </w:r>
      <w:r>
        <w:rPr>
          <w:color w:val="231F1F"/>
          <w:spacing w:val="-2"/>
          <w:w w:val="105"/>
        </w:rPr>
        <w:t>del</w:t>
      </w:r>
      <w:r>
        <w:rPr>
          <w:color w:val="231F1F"/>
          <w:spacing w:val="-9"/>
          <w:w w:val="105"/>
        </w:rPr>
        <w:t> </w:t>
      </w:r>
      <w:r>
        <w:rPr>
          <w:color w:val="231F1F"/>
          <w:spacing w:val="-2"/>
          <w:w w:val="105"/>
        </w:rPr>
        <w:t>parto</w:t>
      </w:r>
      <w:r>
        <w:rPr>
          <w:color w:val="231F1F"/>
          <w:spacing w:val="-9"/>
          <w:w w:val="105"/>
        </w:rPr>
        <w:t> </w:t>
      </w:r>
      <w:r>
        <w:rPr>
          <w:color w:val="231F1F"/>
          <w:spacing w:val="-2"/>
          <w:w w:val="105"/>
        </w:rPr>
        <w:t>produce</w:t>
      </w:r>
      <w:r>
        <w:rPr>
          <w:color w:val="231F1F"/>
          <w:spacing w:val="-9"/>
          <w:w w:val="105"/>
        </w:rPr>
        <w:t> </w:t>
      </w:r>
      <w:r>
        <w:rPr>
          <w:color w:val="231F1F"/>
          <w:spacing w:val="-2"/>
          <w:w w:val="105"/>
        </w:rPr>
        <w:t>un </w:t>
      </w:r>
      <w:r>
        <w:rPr>
          <w:color w:val="231F1F"/>
          <w:w w:val="105"/>
        </w:rPr>
        <w:t>menor grado de intervencionismo, que la admisión durante la fase latente. Por </w:t>
      </w:r>
      <w:r>
        <w:rPr>
          <w:color w:val="231F1F"/>
        </w:rPr>
        <w:t>ello, el GEG considera importante evitar los ingresos precoces de las parturientas.</w:t>
      </w:r>
    </w:p>
    <w:p>
      <w:pPr>
        <w:pStyle w:val="BodyText"/>
        <w:spacing w:line="249" w:lineRule="auto" w:before="93"/>
        <w:ind w:left="283" w:firstLine="453"/>
        <w:jc w:val="both"/>
      </w:pPr>
      <w:r>
        <w:rPr>
          <w:color w:val="231F1F"/>
          <w:w w:val="105"/>
        </w:rPr>
        <w:t>La fase activa del parto ha sido definida como el periodo del parto que transcurre entre los 4 y los 10 cm de dilatación y que se acompaña de dinámi- ca</w:t>
      </w:r>
      <w:r>
        <w:rPr>
          <w:color w:val="231F1F"/>
          <w:spacing w:val="22"/>
          <w:w w:val="105"/>
        </w:rPr>
        <w:t> </w:t>
      </w:r>
      <w:r>
        <w:rPr>
          <w:color w:val="231F1F"/>
          <w:w w:val="105"/>
        </w:rPr>
        <w:t>regular.</w:t>
      </w:r>
      <w:r>
        <w:rPr>
          <w:color w:val="231F1F"/>
          <w:spacing w:val="22"/>
          <w:w w:val="105"/>
        </w:rPr>
        <w:t> </w:t>
      </w:r>
      <w:r>
        <w:rPr>
          <w:color w:val="231F1F"/>
          <w:w w:val="105"/>
        </w:rPr>
        <w:t>Por</w:t>
      </w:r>
      <w:r>
        <w:rPr>
          <w:color w:val="231F1F"/>
          <w:spacing w:val="22"/>
          <w:w w:val="105"/>
        </w:rPr>
        <w:t> </w:t>
      </w:r>
      <w:r>
        <w:rPr>
          <w:color w:val="231F1F"/>
          <w:w w:val="105"/>
        </w:rPr>
        <w:t>ello</w:t>
      </w:r>
      <w:r>
        <w:rPr>
          <w:color w:val="231F1F"/>
          <w:spacing w:val="22"/>
          <w:w w:val="105"/>
        </w:rPr>
        <w:t> </w:t>
      </w:r>
      <w:r>
        <w:rPr>
          <w:color w:val="231F1F"/>
          <w:w w:val="105"/>
        </w:rPr>
        <w:t>el</w:t>
      </w:r>
      <w:r>
        <w:rPr>
          <w:color w:val="231F1F"/>
          <w:spacing w:val="22"/>
          <w:w w:val="105"/>
        </w:rPr>
        <w:t> </w:t>
      </w:r>
      <w:r>
        <w:rPr>
          <w:color w:val="231F1F"/>
          <w:w w:val="105"/>
        </w:rPr>
        <w:t>GEG</w:t>
      </w:r>
      <w:r>
        <w:rPr>
          <w:color w:val="231F1F"/>
          <w:spacing w:val="22"/>
          <w:w w:val="105"/>
        </w:rPr>
        <w:t> </w:t>
      </w:r>
      <w:r>
        <w:rPr>
          <w:color w:val="231F1F"/>
          <w:w w:val="105"/>
        </w:rPr>
        <w:t>asume</w:t>
      </w:r>
      <w:r>
        <w:rPr>
          <w:color w:val="231F1F"/>
          <w:spacing w:val="22"/>
          <w:w w:val="105"/>
        </w:rPr>
        <w:t> </w:t>
      </w:r>
      <w:r>
        <w:rPr>
          <w:color w:val="231F1F"/>
          <w:w w:val="105"/>
        </w:rPr>
        <w:t>los</w:t>
      </w:r>
      <w:r>
        <w:rPr>
          <w:color w:val="231F1F"/>
          <w:spacing w:val="22"/>
          <w:w w:val="105"/>
        </w:rPr>
        <w:t> </w:t>
      </w:r>
      <w:r>
        <w:rPr>
          <w:color w:val="231F1F"/>
          <w:w w:val="105"/>
        </w:rPr>
        <w:t>criterios</w:t>
      </w:r>
      <w:r>
        <w:rPr>
          <w:color w:val="231F1F"/>
          <w:spacing w:val="22"/>
          <w:w w:val="105"/>
        </w:rPr>
        <w:t> </w:t>
      </w:r>
      <w:r>
        <w:rPr>
          <w:color w:val="231F1F"/>
          <w:w w:val="105"/>
        </w:rPr>
        <w:t>de</w:t>
      </w:r>
      <w:r>
        <w:rPr>
          <w:color w:val="231F1F"/>
          <w:spacing w:val="22"/>
          <w:w w:val="105"/>
        </w:rPr>
        <w:t> </w:t>
      </w:r>
      <w:r>
        <w:rPr>
          <w:color w:val="231F1F"/>
          <w:w w:val="105"/>
        </w:rPr>
        <w:t>admisión</w:t>
      </w:r>
      <w:r>
        <w:rPr>
          <w:color w:val="231F1F"/>
          <w:spacing w:val="23"/>
          <w:w w:val="105"/>
        </w:rPr>
        <w:t> </w:t>
      </w:r>
      <w:r>
        <w:rPr>
          <w:color w:val="231F1F"/>
          <w:w w:val="105"/>
        </w:rPr>
        <w:t>establecidos</w:t>
      </w:r>
      <w:r>
        <w:rPr>
          <w:color w:val="231F1F"/>
          <w:spacing w:val="23"/>
          <w:w w:val="105"/>
        </w:rPr>
        <w:t> </w:t>
      </w:r>
      <w:r>
        <w:rPr>
          <w:color w:val="231F1F"/>
          <w:w w:val="105"/>
        </w:rPr>
        <w:t>en el</w:t>
      </w:r>
      <w:r>
        <w:rPr>
          <w:color w:val="231F1F"/>
          <w:w w:val="105"/>
        </w:rPr>
        <w:t> Documento</w:t>
      </w:r>
      <w:r>
        <w:rPr>
          <w:color w:val="231F1F"/>
          <w:w w:val="105"/>
        </w:rPr>
        <w:t> sobre</w:t>
      </w:r>
      <w:r>
        <w:rPr>
          <w:color w:val="231F1F"/>
          <w:w w:val="105"/>
        </w:rPr>
        <w:t> Estándares</w:t>
      </w:r>
      <w:r>
        <w:rPr>
          <w:color w:val="231F1F"/>
          <w:w w:val="105"/>
        </w:rPr>
        <w:t> y</w:t>
      </w:r>
      <w:r>
        <w:rPr>
          <w:color w:val="231F1F"/>
          <w:w w:val="105"/>
        </w:rPr>
        <w:t> Recomendaciones</w:t>
      </w:r>
      <w:r>
        <w:rPr>
          <w:color w:val="231F1F"/>
          <w:w w:val="105"/>
        </w:rPr>
        <w:t> para</w:t>
      </w:r>
      <w:r>
        <w:rPr>
          <w:color w:val="231F1F"/>
          <w:w w:val="105"/>
        </w:rPr>
        <w:t> Maternidades Hospitalarias</w:t>
      </w:r>
      <w:r>
        <w:rPr>
          <w:color w:val="231F1F"/>
          <w:spacing w:val="-3"/>
          <w:w w:val="105"/>
        </w:rPr>
        <w:t> </w:t>
      </w:r>
      <w:r>
        <w:rPr>
          <w:color w:val="231F1F"/>
          <w:w w:val="105"/>
        </w:rPr>
        <w:t>del</w:t>
      </w:r>
      <w:r>
        <w:rPr>
          <w:color w:val="231F1F"/>
          <w:spacing w:val="-3"/>
          <w:w w:val="105"/>
        </w:rPr>
        <w:t> </w:t>
      </w:r>
      <w:r>
        <w:rPr>
          <w:color w:val="231F1F"/>
          <w:w w:val="105"/>
        </w:rPr>
        <w:t>Ministerio</w:t>
      </w:r>
      <w:r>
        <w:rPr>
          <w:color w:val="231F1F"/>
          <w:spacing w:val="-3"/>
          <w:w w:val="105"/>
        </w:rPr>
        <w:t> </w:t>
      </w:r>
      <w:r>
        <w:rPr>
          <w:color w:val="231F1F"/>
          <w:w w:val="105"/>
        </w:rPr>
        <w:t>de</w:t>
      </w:r>
      <w:r>
        <w:rPr>
          <w:color w:val="231F1F"/>
          <w:spacing w:val="-3"/>
          <w:w w:val="105"/>
        </w:rPr>
        <w:t> </w:t>
      </w:r>
      <w:r>
        <w:rPr>
          <w:color w:val="231F1F"/>
          <w:w w:val="105"/>
        </w:rPr>
        <w:t>Sanidad</w:t>
      </w:r>
      <w:r>
        <w:rPr>
          <w:color w:val="231F1F"/>
          <w:spacing w:val="-3"/>
          <w:w w:val="105"/>
        </w:rPr>
        <w:t> </w:t>
      </w:r>
      <w:r>
        <w:rPr>
          <w:color w:val="231F1F"/>
          <w:w w:val="105"/>
        </w:rPr>
        <w:t>(37)</w:t>
      </w:r>
      <w:r>
        <w:rPr>
          <w:color w:val="231F1F"/>
          <w:spacing w:val="-3"/>
          <w:w w:val="105"/>
        </w:rPr>
        <w:t> </w:t>
      </w:r>
      <w:r>
        <w:rPr>
          <w:color w:val="231F1F"/>
          <w:w w:val="105"/>
        </w:rPr>
        <w:t>(2009)</w:t>
      </w:r>
      <w:r>
        <w:rPr>
          <w:color w:val="231F1F"/>
          <w:spacing w:val="-2"/>
          <w:w w:val="105"/>
        </w:rPr>
        <w:t> </w:t>
      </w:r>
      <w:r>
        <w:rPr>
          <w:color w:val="231F1F"/>
          <w:w w:val="105"/>
        </w:rPr>
        <w:t>que</w:t>
      </w:r>
      <w:r>
        <w:rPr>
          <w:color w:val="231F1F"/>
          <w:spacing w:val="-3"/>
          <w:w w:val="105"/>
        </w:rPr>
        <w:t> </w:t>
      </w:r>
      <w:r>
        <w:rPr>
          <w:color w:val="231F1F"/>
          <w:w w:val="105"/>
        </w:rPr>
        <w:t>sirven</w:t>
      </w:r>
      <w:r>
        <w:rPr>
          <w:color w:val="231F1F"/>
          <w:spacing w:val="-3"/>
          <w:w w:val="105"/>
        </w:rPr>
        <w:t> </w:t>
      </w:r>
      <w:r>
        <w:rPr>
          <w:color w:val="231F1F"/>
          <w:w w:val="105"/>
        </w:rPr>
        <w:t>para</w:t>
      </w:r>
      <w:r>
        <w:rPr>
          <w:color w:val="231F1F"/>
          <w:spacing w:val="-3"/>
          <w:w w:val="105"/>
        </w:rPr>
        <w:t> </w:t>
      </w:r>
      <w:r>
        <w:rPr>
          <w:color w:val="231F1F"/>
          <w:w w:val="105"/>
        </w:rPr>
        <w:t>identificar a</w:t>
      </w:r>
      <w:r>
        <w:rPr>
          <w:color w:val="231F1F"/>
          <w:spacing w:val="-2"/>
          <w:w w:val="105"/>
        </w:rPr>
        <w:t> </w:t>
      </w:r>
      <w:r>
        <w:rPr>
          <w:color w:val="231F1F"/>
          <w:w w:val="105"/>
        </w:rPr>
        <w:t>aquellas</w:t>
      </w:r>
      <w:r>
        <w:rPr>
          <w:color w:val="231F1F"/>
          <w:spacing w:val="-2"/>
          <w:w w:val="105"/>
        </w:rPr>
        <w:t> </w:t>
      </w:r>
      <w:r>
        <w:rPr>
          <w:color w:val="231F1F"/>
          <w:w w:val="105"/>
        </w:rPr>
        <w:t>mujeres</w:t>
      </w:r>
      <w:r>
        <w:rPr>
          <w:color w:val="231F1F"/>
          <w:spacing w:val="-3"/>
          <w:w w:val="105"/>
        </w:rPr>
        <w:t> </w:t>
      </w:r>
      <w:r>
        <w:rPr>
          <w:color w:val="231F1F"/>
          <w:w w:val="105"/>
        </w:rPr>
        <w:t>que</w:t>
      </w:r>
      <w:r>
        <w:rPr>
          <w:color w:val="231F1F"/>
          <w:spacing w:val="-3"/>
          <w:w w:val="105"/>
        </w:rPr>
        <w:t> </w:t>
      </w:r>
      <w:r>
        <w:rPr>
          <w:color w:val="231F1F"/>
          <w:w w:val="105"/>
        </w:rPr>
        <w:t>están</w:t>
      </w:r>
      <w:r>
        <w:rPr>
          <w:color w:val="231F1F"/>
          <w:spacing w:val="-2"/>
          <w:w w:val="105"/>
        </w:rPr>
        <w:t> </w:t>
      </w:r>
      <w:r>
        <w:rPr>
          <w:color w:val="231F1F"/>
          <w:w w:val="105"/>
        </w:rPr>
        <w:t>en</w:t>
      </w:r>
      <w:r>
        <w:rPr>
          <w:color w:val="231F1F"/>
          <w:spacing w:val="-2"/>
          <w:w w:val="105"/>
        </w:rPr>
        <w:t> </w:t>
      </w:r>
      <w:r>
        <w:rPr>
          <w:color w:val="231F1F"/>
          <w:w w:val="105"/>
        </w:rPr>
        <w:t>fase</w:t>
      </w:r>
      <w:r>
        <w:rPr>
          <w:color w:val="231F1F"/>
          <w:spacing w:val="-2"/>
          <w:w w:val="105"/>
        </w:rPr>
        <w:t> </w:t>
      </w:r>
      <w:r>
        <w:rPr>
          <w:color w:val="231F1F"/>
          <w:w w:val="105"/>
        </w:rPr>
        <w:t>activa</w:t>
      </w:r>
      <w:r>
        <w:rPr>
          <w:color w:val="231F1F"/>
          <w:spacing w:val="-2"/>
          <w:w w:val="105"/>
        </w:rPr>
        <w:t> </w:t>
      </w:r>
      <w:r>
        <w:rPr>
          <w:color w:val="231F1F"/>
          <w:w w:val="105"/>
        </w:rPr>
        <w:t>del</w:t>
      </w:r>
      <w:r>
        <w:rPr>
          <w:color w:val="231F1F"/>
          <w:spacing w:val="-3"/>
          <w:w w:val="105"/>
        </w:rPr>
        <w:t> </w:t>
      </w:r>
      <w:r>
        <w:rPr>
          <w:color w:val="231F1F"/>
          <w:w w:val="105"/>
        </w:rPr>
        <w:t>parto:</w:t>
      </w:r>
      <w:r>
        <w:rPr>
          <w:color w:val="231F1F"/>
          <w:spacing w:val="-3"/>
          <w:w w:val="105"/>
        </w:rPr>
        <w:t> </w:t>
      </w:r>
      <w:r>
        <w:rPr>
          <w:color w:val="231F1F"/>
          <w:w w:val="105"/>
        </w:rPr>
        <w:t>dinámica</w:t>
      </w:r>
      <w:r>
        <w:rPr>
          <w:color w:val="231F1F"/>
          <w:spacing w:val="-3"/>
          <w:w w:val="105"/>
        </w:rPr>
        <w:t> </w:t>
      </w:r>
      <w:r>
        <w:rPr>
          <w:color w:val="231F1F"/>
          <w:w w:val="105"/>
        </w:rPr>
        <w:t>uterina</w:t>
      </w:r>
      <w:r>
        <w:rPr>
          <w:color w:val="231F1F"/>
          <w:spacing w:val="-3"/>
          <w:w w:val="105"/>
        </w:rPr>
        <w:t> </w:t>
      </w:r>
      <w:r>
        <w:rPr>
          <w:color w:val="231F1F"/>
          <w:w w:val="105"/>
        </w:rPr>
        <w:t>regular, borramiento</w:t>
      </w:r>
      <w:r>
        <w:rPr>
          <w:color w:val="231F1F"/>
          <w:spacing w:val="40"/>
          <w:w w:val="105"/>
        </w:rPr>
        <w:t> </w:t>
      </w:r>
      <w:r>
        <w:rPr>
          <w:color w:val="231F1F"/>
          <w:w w:val="105"/>
        </w:rPr>
        <w:t>cervical</w:t>
      </w:r>
      <w:r>
        <w:rPr>
          <w:color w:val="231F1F"/>
          <w:spacing w:val="40"/>
          <w:w w:val="105"/>
        </w:rPr>
        <w:t> </w:t>
      </w:r>
      <w:r>
        <w:rPr>
          <w:color w:val="231F1F"/>
          <w:w w:val="105"/>
        </w:rPr>
        <w:t>&gt;</w:t>
      </w:r>
      <w:r>
        <w:rPr>
          <w:color w:val="231F1F"/>
          <w:spacing w:val="40"/>
          <w:w w:val="105"/>
        </w:rPr>
        <w:t> </w:t>
      </w:r>
      <w:r>
        <w:rPr>
          <w:color w:val="231F1F"/>
          <w:w w:val="105"/>
        </w:rPr>
        <w:t>50%</w:t>
      </w:r>
      <w:r>
        <w:rPr>
          <w:color w:val="231F1F"/>
          <w:spacing w:val="40"/>
          <w:w w:val="105"/>
        </w:rPr>
        <w:t> </w:t>
      </w:r>
      <w:r>
        <w:rPr>
          <w:color w:val="231F1F"/>
          <w:w w:val="105"/>
        </w:rPr>
        <w:t>y</w:t>
      </w:r>
      <w:r>
        <w:rPr>
          <w:color w:val="231F1F"/>
          <w:spacing w:val="40"/>
          <w:w w:val="105"/>
        </w:rPr>
        <w:t> </w:t>
      </w:r>
      <w:r>
        <w:rPr>
          <w:color w:val="231F1F"/>
          <w:w w:val="105"/>
        </w:rPr>
        <w:t>una</w:t>
      </w:r>
      <w:r>
        <w:rPr>
          <w:color w:val="231F1F"/>
          <w:spacing w:val="40"/>
          <w:w w:val="105"/>
        </w:rPr>
        <w:t> </w:t>
      </w:r>
      <w:r>
        <w:rPr>
          <w:color w:val="231F1F"/>
          <w:w w:val="105"/>
        </w:rPr>
        <w:t>dilatación</w:t>
      </w:r>
      <w:r>
        <w:rPr>
          <w:color w:val="231F1F"/>
          <w:spacing w:val="40"/>
          <w:w w:val="105"/>
        </w:rPr>
        <w:t> </w:t>
      </w:r>
      <w:r>
        <w:rPr>
          <w:color w:val="231F1F"/>
          <w:w w:val="105"/>
        </w:rPr>
        <w:t>de</w:t>
      </w:r>
      <w:r>
        <w:rPr>
          <w:color w:val="231F1F"/>
          <w:spacing w:val="40"/>
          <w:w w:val="105"/>
        </w:rPr>
        <w:t> </w:t>
      </w:r>
      <w:r>
        <w:rPr>
          <w:color w:val="231F1F"/>
          <w:w w:val="105"/>
        </w:rPr>
        <w:t>3-4</w:t>
      </w:r>
      <w:r>
        <w:rPr>
          <w:color w:val="231F1F"/>
          <w:spacing w:val="40"/>
          <w:w w:val="105"/>
        </w:rPr>
        <w:t> </w:t>
      </w:r>
      <w:r>
        <w:rPr>
          <w:color w:val="231F1F"/>
          <w:w w:val="105"/>
        </w:rPr>
        <w:t>cm.</w:t>
      </w:r>
    </w:p>
    <w:p>
      <w:pPr>
        <w:pStyle w:val="BodyText"/>
        <w:spacing w:before="84"/>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6"/>
        <w:rPr>
          <w:rFonts w:ascii="Arial MT"/>
          <w:sz w:val="18"/>
        </w:rPr>
      </w:pPr>
    </w:p>
    <w:p>
      <w:pPr>
        <w:spacing w:line="278" w:lineRule="auto" w:before="0"/>
        <w:ind w:left="131" w:right="190" w:firstLine="2"/>
        <w:jc w:val="center"/>
        <w:rPr>
          <w:rFonts w:ascii="Arial MT"/>
          <w:sz w:val="18"/>
        </w:rPr>
      </w:pPr>
      <w:r>
        <w:rPr>
          <w:rFonts w:ascii="Arial MT"/>
          <w:color w:val="231F1F"/>
          <w:spacing w:val="-2"/>
          <w:sz w:val="18"/>
        </w:rPr>
        <w:t>Documento de</w:t>
      </w:r>
      <w:r>
        <w:rPr>
          <w:rFonts w:ascii="Arial MT"/>
          <w:color w:val="231F1F"/>
          <w:spacing w:val="-11"/>
          <w:sz w:val="18"/>
        </w:rPr>
        <w:t> </w:t>
      </w:r>
      <w:r>
        <w:rPr>
          <w:rFonts w:ascii="Arial MT"/>
          <w:color w:val="231F1F"/>
          <w:spacing w:val="-2"/>
          <w:sz w:val="18"/>
        </w:rPr>
        <w:t>consenso </w:t>
      </w:r>
      <w:r>
        <w:rPr>
          <w:rFonts w:ascii="Arial MT"/>
          <w:color w:val="231F1F"/>
          <w:spacing w:val="-10"/>
          <w:sz w:val="18"/>
        </w:rPr>
        <w:t>4</w:t>
      </w:r>
    </w:p>
    <w:p>
      <w:pPr>
        <w:spacing w:after="0" w:line="278" w:lineRule="auto"/>
        <w:jc w:val="center"/>
        <w:rPr>
          <w:rFonts w:ascii="Arial MT"/>
          <w:sz w:val="18"/>
        </w:rPr>
        <w:sectPr>
          <w:pgSz w:w="11900" w:h="16840"/>
          <w:pgMar w:header="0" w:footer="622" w:top="1560" w:bottom="820" w:left="1417" w:right="1559"/>
          <w:cols w:num="2" w:equalWidth="0">
            <w:col w:w="7548" w:space="40"/>
            <w:col w:w="1336"/>
          </w:cols>
        </w:sectPr>
      </w:pP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40" w:hRule="atLeast"/>
        </w:trPr>
        <w:tc>
          <w:tcPr>
            <w:tcW w:w="7373" w:type="dxa"/>
          </w:tcPr>
          <w:p>
            <w:pPr>
              <w:pStyle w:val="TableParagraph"/>
              <w:spacing w:line="249" w:lineRule="auto" w:before="34"/>
              <w:ind w:right="87"/>
              <w:jc w:val="both"/>
              <w:rPr>
                <w:sz w:val="22"/>
              </w:rPr>
            </w:pPr>
            <w:r>
              <w:rPr>
                <w:color w:val="231F1F"/>
                <w:w w:val="105"/>
                <w:sz w:val="22"/>
              </w:rPr>
              <w:t>La admisión en maternidad de forma temprana o durante la fase latente, se asocia a mayor intervencionismo durante el parto (uso de oxitocina, de anal- gesia epidural e intubaciones en neonatos) (35).</w:t>
            </w:r>
          </w:p>
        </w:tc>
        <w:tc>
          <w:tcPr>
            <w:tcW w:w="1133" w:type="dxa"/>
          </w:tcPr>
          <w:p>
            <w:pPr>
              <w:pStyle w:val="TableParagraph"/>
              <w:spacing w:before="79"/>
              <w:ind w:left="0"/>
              <w:rPr>
                <w:rFonts w:ascii="Arial MT"/>
                <w:sz w:val="22"/>
              </w:rPr>
            </w:pPr>
          </w:p>
          <w:p>
            <w:pPr>
              <w:pStyle w:val="TableParagraph"/>
              <w:ind w:left="49"/>
              <w:jc w:val="center"/>
              <w:rPr>
                <w:sz w:val="22"/>
              </w:rPr>
            </w:pPr>
            <w:r>
              <w:rPr>
                <w:color w:val="231F1F"/>
                <w:spacing w:val="-10"/>
                <w:sz w:val="22"/>
              </w:rPr>
              <w:t>3</w:t>
            </w:r>
          </w:p>
        </w:tc>
      </w:tr>
      <w:tr>
        <w:trPr>
          <w:trHeight w:val="662" w:hRule="atLeast"/>
        </w:trPr>
        <w:tc>
          <w:tcPr>
            <w:tcW w:w="7373" w:type="dxa"/>
          </w:tcPr>
          <w:p>
            <w:pPr>
              <w:pStyle w:val="TableParagraph"/>
              <w:spacing w:line="249" w:lineRule="auto" w:before="29"/>
              <w:ind w:right="156"/>
              <w:rPr>
                <w:sz w:val="22"/>
              </w:rPr>
            </w:pPr>
            <w:r>
              <w:rPr>
                <w:color w:val="231F1F"/>
                <w:sz w:val="22"/>
              </w:rPr>
              <w:t>La</w:t>
            </w:r>
            <w:r>
              <w:rPr>
                <w:color w:val="231F1F"/>
                <w:spacing w:val="29"/>
                <w:sz w:val="22"/>
              </w:rPr>
              <w:t> </w:t>
            </w:r>
            <w:r>
              <w:rPr>
                <w:color w:val="231F1F"/>
                <w:sz w:val="22"/>
              </w:rPr>
              <w:t>evidencia</w:t>
            </w:r>
            <w:r>
              <w:rPr>
                <w:color w:val="231F1F"/>
                <w:spacing w:val="29"/>
                <w:sz w:val="22"/>
              </w:rPr>
              <w:t> </w:t>
            </w:r>
            <w:r>
              <w:rPr>
                <w:color w:val="231F1F"/>
                <w:sz w:val="22"/>
              </w:rPr>
              <w:t>en</w:t>
            </w:r>
            <w:r>
              <w:rPr>
                <w:color w:val="231F1F"/>
                <w:spacing w:val="30"/>
                <w:sz w:val="22"/>
              </w:rPr>
              <w:t> </w:t>
            </w:r>
            <w:r>
              <w:rPr>
                <w:color w:val="231F1F"/>
                <w:sz w:val="22"/>
              </w:rPr>
              <w:t>cuanto</w:t>
            </w:r>
            <w:r>
              <w:rPr>
                <w:color w:val="231F1F"/>
                <w:spacing w:val="27"/>
                <w:sz w:val="22"/>
              </w:rPr>
              <w:t> </w:t>
            </w:r>
            <w:r>
              <w:rPr>
                <w:color w:val="231F1F"/>
                <w:sz w:val="22"/>
              </w:rPr>
              <w:t>a</w:t>
            </w:r>
            <w:r>
              <w:rPr>
                <w:color w:val="231F1F"/>
                <w:spacing w:val="30"/>
                <w:sz w:val="22"/>
              </w:rPr>
              <w:t> </w:t>
            </w:r>
            <w:r>
              <w:rPr>
                <w:color w:val="231F1F"/>
                <w:sz w:val="22"/>
              </w:rPr>
              <w:t>sus</w:t>
            </w:r>
            <w:r>
              <w:rPr>
                <w:color w:val="231F1F"/>
                <w:spacing w:val="29"/>
                <w:sz w:val="22"/>
              </w:rPr>
              <w:t> </w:t>
            </w:r>
            <w:r>
              <w:rPr>
                <w:color w:val="231F1F"/>
                <w:sz w:val="22"/>
              </w:rPr>
              <w:t>efectos</w:t>
            </w:r>
            <w:r>
              <w:rPr>
                <w:color w:val="231F1F"/>
                <w:spacing w:val="30"/>
                <w:sz w:val="22"/>
              </w:rPr>
              <w:t> </w:t>
            </w:r>
            <w:r>
              <w:rPr>
                <w:color w:val="231F1F"/>
                <w:sz w:val="22"/>
              </w:rPr>
              <w:t>sobre</w:t>
            </w:r>
            <w:r>
              <w:rPr>
                <w:color w:val="231F1F"/>
                <w:spacing w:val="27"/>
                <w:sz w:val="22"/>
              </w:rPr>
              <w:t> </w:t>
            </w:r>
            <w:r>
              <w:rPr>
                <w:color w:val="231F1F"/>
                <w:sz w:val="22"/>
              </w:rPr>
              <w:t>la</w:t>
            </w:r>
            <w:r>
              <w:rPr>
                <w:color w:val="231F1F"/>
                <w:spacing w:val="30"/>
                <w:sz w:val="22"/>
              </w:rPr>
              <w:t> </w:t>
            </w:r>
            <w:r>
              <w:rPr>
                <w:color w:val="231F1F"/>
                <w:sz w:val="22"/>
              </w:rPr>
              <w:t>morbi-mortalidad</w:t>
            </w:r>
            <w:r>
              <w:rPr>
                <w:color w:val="231F1F"/>
                <w:spacing w:val="29"/>
                <w:sz w:val="22"/>
              </w:rPr>
              <w:t> </w:t>
            </w:r>
            <w:r>
              <w:rPr>
                <w:color w:val="231F1F"/>
                <w:sz w:val="22"/>
              </w:rPr>
              <w:t>de</w:t>
            </w:r>
            <w:r>
              <w:rPr>
                <w:color w:val="231F1F"/>
                <w:spacing w:val="30"/>
                <w:sz w:val="22"/>
              </w:rPr>
              <w:t> </w:t>
            </w:r>
            <w:r>
              <w:rPr>
                <w:color w:val="231F1F"/>
                <w:sz w:val="22"/>
              </w:rPr>
              <w:t>madres</w:t>
            </w:r>
            <w:r>
              <w:rPr>
                <w:color w:val="231F1F"/>
                <w:spacing w:val="27"/>
                <w:sz w:val="22"/>
              </w:rPr>
              <w:t> </w:t>
            </w:r>
            <w:r>
              <w:rPr>
                <w:color w:val="231F1F"/>
                <w:sz w:val="22"/>
              </w:rPr>
              <w:t>o </w:t>
            </w:r>
            <w:r>
              <w:rPr>
                <w:color w:val="231F1F"/>
                <w:w w:val="110"/>
                <w:sz w:val="22"/>
              </w:rPr>
              <w:t>neonatos sigue siendo aún insuficiente (35).</w:t>
            </w:r>
          </w:p>
        </w:tc>
        <w:tc>
          <w:tcPr>
            <w:tcW w:w="1133" w:type="dxa"/>
          </w:tcPr>
          <w:p>
            <w:pPr>
              <w:pStyle w:val="TableParagraph"/>
              <w:spacing w:before="188"/>
              <w:ind w:left="49"/>
              <w:jc w:val="center"/>
              <w:rPr>
                <w:sz w:val="22"/>
              </w:rPr>
            </w:pPr>
            <w:r>
              <w:rPr>
                <w:color w:val="231F1F"/>
                <w:spacing w:val="-10"/>
                <w:sz w:val="22"/>
              </w:rPr>
              <w:t>3</w:t>
            </w:r>
          </w:p>
        </w:tc>
      </w:tr>
      <w:tr>
        <w:trPr>
          <w:trHeight w:val="935" w:hRule="atLeast"/>
        </w:trPr>
        <w:tc>
          <w:tcPr>
            <w:tcW w:w="7373" w:type="dxa"/>
          </w:tcPr>
          <w:p>
            <w:pPr>
              <w:pStyle w:val="TableParagraph"/>
              <w:spacing w:line="244" w:lineRule="auto" w:before="29"/>
              <w:ind w:right="86"/>
              <w:jc w:val="both"/>
              <w:rPr>
                <w:sz w:val="22"/>
              </w:rPr>
            </w:pPr>
            <w:r>
              <w:rPr>
                <w:color w:val="231F1F"/>
                <w:w w:val="105"/>
                <w:sz w:val="22"/>
              </w:rPr>
              <w:t>Se han definido como criterios de admisión en maternidades hospitalarias la dinámica</w:t>
            </w:r>
            <w:r>
              <w:rPr>
                <w:color w:val="231F1F"/>
                <w:spacing w:val="34"/>
                <w:w w:val="105"/>
                <w:sz w:val="22"/>
              </w:rPr>
              <w:t> </w:t>
            </w:r>
            <w:r>
              <w:rPr>
                <w:color w:val="231F1F"/>
                <w:w w:val="105"/>
                <w:sz w:val="22"/>
              </w:rPr>
              <w:t>uterina</w:t>
            </w:r>
            <w:r>
              <w:rPr>
                <w:color w:val="231F1F"/>
                <w:spacing w:val="34"/>
                <w:w w:val="105"/>
                <w:sz w:val="22"/>
              </w:rPr>
              <w:t> </w:t>
            </w:r>
            <w:r>
              <w:rPr>
                <w:color w:val="231F1F"/>
                <w:w w:val="105"/>
                <w:sz w:val="22"/>
              </w:rPr>
              <w:t>regular,</w:t>
            </w:r>
            <w:r>
              <w:rPr>
                <w:color w:val="231F1F"/>
                <w:spacing w:val="34"/>
                <w:w w:val="105"/>
                <w:sz w:val="22"/>
              </w:rPr>
              <w:t> </w:t>
            </w:r>
            <w:r>
              <w:rPr>
                <w:color w:val="231F1F"/>
                <w:w w:val="105"/>
                <w:sz w:val="22"/>
              </w:rPr>
              <w:t>borramiento</w:t>
            </w:r>
            <w:r>
              <w:rPr>
                <w:color w:val="231F1F"/>
                <w:spacing w:val="34"/>
                <w:w w:val="105"/>
                <w:sz w:val="22"/>
              </w:rPr>
              <w:t> </w:t>
            </w:r>
            <w:r>
              <w:rPr>
                <w:color w:val="231F1F"/>
                <w:w w:val="105"/>
                <w:sz w:val="22"/>
              </w:rPr>
              <w:t>cervical</w:t>
            </w:r>
            <w:r>
              <w:rPr>
                <w:color w:val="231F1F"/>
                <w:spacing w:val="34"/>
                <w:w w:val="105"/>
                <w:sz w:val="22"/>
              </w:rPr>
              <w:t> </w:t>
            </w:r>
            <w:r>
              <w:rPr>
                <w:color w:val="231F1F"/>
                <w:w w:val="105"/>
                <w:sz w:val="22"/>
              </w:rPr>
              <w:t>&gt;</w:t>
            </w:r>
            <w:r>
              <w:rPr>
                <w:color w:val="231F1F"/>
                <w:spacing w:val="34"/>
                <w:w w:val="105"/>
                <w:sz w:val="22"/>
              </w:rPr>
              <w:t> </w:t>
            </w:r>
            <w:r>
              <w:rPr>
                <w:color w:val="231F1F"/>
                <w:w w:val="105"/>
                <w:sz w:val="22"/>
              </w:rPr>
              <w:t>50%</w:t>
            </w:r>
            <w:r>
              <w:rPr>
                <w:color w:val="231F1F"/>
                <w:spacing w:val="34"/>
                <w:w w:val="105"/>
                <w:sz w:val="22"/>
              </w:rPr>
              <w:t> </w:t>
            </w:r>
            <w:r>
              <w:rPr>
                <w:color w:val="231F1F"/>
                <w:w w:val="105"/>
                <w:sz w:val="22"/>
              </w:rPr>
              <w:t>y</w:t>
            </w:r>
            <w:r>
              <w:rPr>
                <w:color w:val="231F1F"/>
                <w:spacing w:val="34"/>
                <w:w w:val="105"/>
                <w:sz w:val="22"/>
              </w:rPr>
              <w:t> </w:t>
            </w:r>
            <w:r>
              <w:rPr>
                <w:color w:val="231F1F"/>
                <w:w w:val="105"/>
                <w:sz w:val="22"/>
              </w:rPr>
              <w:t>una</w:t>
            </w:r>
            <w:r>
              <w:rPr>
                <w:color w:val="231F1F"/>
                <w:spacing w:val="34"/>
                <w:w w:val="105"/>
                <w:sz w:val="22"/>
              </w:rPr>
              <w:t> </w:t>
            </w:r>
            <w:r>
              <w:rPr>
                <w:color w:val="231F1F"/>
                <w:w w:val="105"/>
                <w:sz w:val="22"/>
              </w:rPr>
              <w:t>dilatación</w:t>
            </w:r>
            <w:r>
              <w:rPr>
                <w:color w:val="231F1F"/>
                <w:spacing w:val="34"/>
                <w:w w:val="105"/>
                <w:sz w:val="22"/>
              </w:rPr>
              <w:t> </w:t>
            </w:r>
            <w:r>
              <w:rPr>
                <w:color w:val="231F1F"/>
                <w:w w:val="105"/>
                <w:sz w:val="22"/>
              </w:rPr>
              <w:t>de 3-4 cm (37).</w:t>
            </w:r>
          </w:p>
        </w:tc>
        <w:tc>
          <w:tcPr>
            <w:tcW w:w="1133" w:type="dxa"/>
          </w:tcPr>
          <w:p>
            <w:pPr>
              <w:pStyle w:val="TableParagraph"/>
              <w:spacing w:before="74"/>
              <w:ind w:left="0"/>
              <w:rPr>
                <w:rFonts w:ascii="Arial MT"/>
                <w:sz w:val="22"/>
              </w:rPr>
            </w:pPr>
          </w:p>
          <w:p>
            <w:pPr>
              <w:pStyle w:val="TableParagraph"/>
              <w:ind w:left="49"/>
              <w:jc w:val="center"/>
              <w:rPr>
                <w:sz w:val="22"/>
              </w:rPr>
            </w:pPr>
            <w:r>
              <w:rPr>
                <w:color w:val="231F1F"/>
                <w:spacing w:val="-10"/>
                <w:sz w:val="22"/>
              </w:rPr>
              <w:t>4</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w w:val="105"/>
                <w:sz w:val="22"/>
              </w:rPr>
              <w:t>Se</w:t>
            </w:r>
            <w:r>
              <w:rPr>
                <w:color w:val="231F1F"/>
                <w:spacing w:val="-13"/>
                <w:w w:val="105"/>
                <w:sz w:val="22"/>
              </w:rPr>
              <w:t> </w:t>
            </w:r>
            <w:r>
              <w:rPr>
                <w:color w:val="231F1F"/>
                <w:w w:val="105"/>
                <w:sz w:val="22"/>
              </w:rPr>
              <w:t>recomienda</w:t>
            </w:r>
            <w:r>
              <w:rPr>
                <w:color w:val="231F1F"/>
                <w:spacing w:val="-11"/>
                <w:w w:val="105"/>
                <w:sz w:val="22"/>
              </w:rPr>
              <w:t> </w:t>
            </w:r>
            <w:r>
              <w:rPr>
                <w:color w:val="231F1F"/>
                <w:w w:val="105"/>
                <w:sz w:val="22"/>
              </w:rPr>
              <w:t>que</w:t>
            </w:r>
            <w:r>
              <w:rPr>
                <w:color w:val="231F1F"/>
                <w:spacing w:val="-13"/>
                <w:w w:val="105"/>
                <w:sz w:val="22"/>
              </w:rPr>
              <w:t> </w:t>
            </w:r>
            <w:r>
              <w:rPr>
                <w:color w:val="231F1F"/>
                <w:w w:val="105"/>
                <w:sz w:val="22"/>
              </w:rPr>
              <w:t>la</w:t>
            </w:r>
            <w:r>
              <w:rPr>
                <w:color w:val="231F1F"/>
                <w:spacing w:val="-11"/>
                <w:w w:val="105"/>
                <w:sz w:val="22"/>
              </w:rPr>
              <w:t> </w:t>
            </w:r>
            <w:r>
              <w:rPr>
                <w:color w:val="231F1F"/>
                <w:w w:val="105"/>
                <w:sz w:val="22"/>
              </w:rPr>
              <w:t>admisión</w:t>
            </w:r>
            <w:r>
              <w:rPr>
                <w:color w:val="231F1F"/>
                <w:spacing w:val="-11"/>
                <w:w w:val="105"/>
                <w:sz w:val="22"/>
              </w:rPr>
              <w:t> </w:t>
            </w:r>
            <w:r>
              <w:rPr>
                <w:color w:val="231F1F"/>
                <w:w w:val="105"/>
                <w:sz w:val="22"/>
              </w:rPr>
              <w:t>se</w:t>
            </w:r>
            <w:r>
              <w:rPr>
                <w:color w:val="231F1F"/>
                <w:spacing w:val="-13"/>
                <w:w w:val="105"/>
                <w:sz w:val="22"/>
              </w:rPr>
              <w:t> </w:t>
            </w:r>
            <w:r>
              <w:rPr>
                <w:color w:val="231F1F"/>
                <w:w w:val="105"/>
                <w:sz w:val="22"/>
              </w:rPr>
              <w:t>realice</w:t>
            </w:r>
            <w:r>
              <w:rPr>
                <w:color w:val="231F1F"/>
                <w:spacing w:val="-11"/>
                <w:w w:val="105"/>
                <w:sz w:val="22"/>
              </w:rPr>
              <w:t> </w:t>
            </w:r>
            <w:r>
              <w:rPr>
                <w:color w:val="231F1F"/>
                <w:w w:val="105"/>
                <w:sz w:val="22"/>
              </w:rPr>
              <w:t>cuando</w:t>
            </w:r>
            <w:r>
              <w:rPr>
                <w:color w:val="231F1F"/>
                <w:spacing w:val="-11"/>
                <w:w w:val="105"/>
                <w:sz w:val="22"/>
              </w:rPr>
              <w:t> </w:t>
            </w:r>
            <w:r>
              <w:rPr>
                <w:color w:val="231F1F"/>
                <w:w w:val="105"/>
                <w:sz w:val="22"/>
              </w:rPr>
              <w:t>se</w:t>
            </w:r>
            <w:r>
              <w:rPr>
                <w:color w:val="231F1F"/>
                <w:spacing w:val="-13"/>
                <w:w w:val="105"/>
                <w:sz w:val="22"/>
              </w:rPr>
              <w:t> </w:t>
            </w:r>
            <w:r>
              <w:rPr>
                <w:color w:val="231F1F"/>
                <w:w w:val="105"/>
                <w:sz w:val="22"/>
              </w:rPr>
              <w:t>cumplan</w:t>
            </w:r>
            <w:r>
              <w:rPr>
                <w:color w:val="231F1F"/>
                <w:spacing w:val="-11"/>
                <w:w w:val="105"/>
                <w:sz w:val="22"/>
              </w:rPr>
              <w:t> </w:t>
            </w:r>
            <w:r>
              <w:rPr>
                <w:color w:val="231F1F"/>
                <w:w w:val="105"/>
                <w:sz w:val="22"/>
              </w:rPr>
              <w:t>los</w:t>
            </w:r>
            <w:r>
              <w:rPr>
                <w:color w:val="231F1F"/>
                <w:spacing w:val="-11"/>
                <w:w w:val="105"/>
                <w:sz w:val="22"/>
              </w:rPr>
              <w:t> </w:t>
            </w:r>
            <w:r>
              <w:rPr>
                <w:color w:val="231F1F"/>
                <w:w w:val="105"/>
                <w:sz w:val="22"/>
              </w:rPr>
              <w:t>siguientes</w:t>
            </w:r>
            <w:r>
              <w:rPr>
                <w:color w:val="231F1F"/>
                <w:spacing w:val="-13"/>
                <w:w w:val="105"/>
                <w:sz w:val="22"/>
              </w:rPr>
              <w:t> </w:t>
            </w:r>
            <w:r>
              <w:rPr>
                <w:color w:val="231F1F"/>
                <w:w w:val="105"/>
                <w:sz w:val="22"/>
              </w:rPr>
              <w:t>criterios: dinámica uterina regular, borramiento cervical &gt; 50% y una dilatación de 3-4 cm.</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66" w:lineRule="auto" w:before="63"/>
              <w:ind w:right="79"/>
              <w:jc w:val="both"/>
              <w:rPr>
                <w:sz w:val="22"/>
              </w:rPr>
            </w:pPr>
            <w:r>
              <w:rPr>
                <w:color w:val="231F1F"/>
                <w:sz w:val="22"/>
              </w:rPr>
              <w:t>Se recomienda ofrecer apoyo individualizado a aquellas mujeres, que acudan para ser atendidas por presentar contracciones dolorosas y que no están en fase activa de parto, alentándolas</w:t>
            </w:r>
            <w:r>
              <w:rPr>
                <w:color w:val="231F1F"/>
                <w:spacing w:val="19"/>
                <w:sz w:val="22"/>
              </w:rPr>
              <w:t> </w:t>
            </w:r>
            <w:r>
              <w:rPr>
                <w:color w:val="231F1F"/>
                <w:sz w:val="22"/>
              </w:rPr>
              <w:t>a</w:t>
            </w:r>
            <w:r>
              <w:rPr>
                <w:color w:val="231F1F"/>
                <w:spacing w:val="19"/>
                <w:sz w:val="22"/>
              </w:rPr>
              <w:t> </w:t>
            </w:r>
            <w:r>
              <w:rPr>
                <w:color w:val="231F1F"/>
                <w:sz w:val="22"/>
              </w:rPr>
              <w:t>que</w:t>
            </w:r>
            <w:r>
              <w:rPr>
                <w:color w:val="231F1F"/>
                <w:spacing w:val="19"/>
                <w:sz w:val="22"/>
              </w:rPr>
              <w:t> </w:t>
            </w:r>
            <w:r>
              <w:rPr>
                <w:color w:val="231F1F"/>
                <w:sz w:val="22"/>
              </w:rPr>
              <w:t>retornen</w:t>
            </w:r>
            <w:r>
              <w:rPr>
                <w:color w:val="231F1F"/>
                <w:spacing w:val="19"/>
                <w:sz w:val="22"/>
              </w:rPr>
              <w:t> </w:t>
            </w:r>
            <w:r>
              <w:rPr>
                <w:color w:val="231F1F"/>
                <w:sz w:val="22"/>
              </w:rPr>
              <w:t>a</w:t>
            </w:r>
            <w:r>
              <w:rPr>
                <w:color w:val="231F1F"/>
                <w:spacing w:val="19"/>
                <w:sz w:val="22"/>
              </w:rPr>
              <w:t> </w:t>
            </w:r>
            <w:r>
              <w:rPr>
                <w:color w:val="231F1F"/>
                <w:sz w:val="22"/>
              </w:rPr>
              <w:t>sus</w:t>
            </w:r>
            <w:r>
              <w:rPr>
                <w:color w:val="231F1F"/>
                <w:spacing w:val="19"/>
                <w:sz w:val="22"/>
              </w:rPr>
              <w:t> </w:t>
            </w:r>
            <w:r>
              <w:rPr>
                <w:color w:val="231F1F"/>
                <w:sz w:val="22"/>
              </w:rPr>
              <w:t>domicilios</w:t>
            </w:r>
            <w:r>
              <w:rPr>
                <w:color w:val="231F1F"/>
                <w:spacing w:val="19"/>
                <w:sz w:val="22"/>
              </w:rPr>
              <w:t> </w:t>
            </w:r>
            <w:r>
              <w:rPr>
                <w:color w:val="231F1F"/>
                <w:sz w:val="22"/>
              </w:rPr>
              <w:t>hasta</w:t>
            </w:r>
            <w:r>
              <w:rPr>
                <w:color w:val="231F1F"/>
                <w:spacing w:val="19"/>
                <w:sz w:val="22"/>
              </w:rPr>
              <w:t> </w:t>
            </w:r>
            <w:r>
              <w:rPr>
                <w:color w:val="231F1F"/>
                <w:sz w:val="22"/>
              </w:rPr>
              <w:t>el</w:t>
            </w:r>
            <w:r>
              <w:rPr>
                <w:color w:val="231F1F"/>
                <w:spacing w:val="19"/>
                <w:sz w:val="22"/>
              </w:rPr>
              <w:t> </w:t>
            </w:r>
            <w:r>
              <w:rPr>
                <w:color w:val="231F1F"/>
                <w:sz w:val="22"/>
              </w:rPr>
              <w:t>inicio</w:t>
            </w:r>
            <w:r>
              <w:rPr>
                <w:color w:val="231F1F"/>
                <w:spacing w:val="19"/>
                <w:sz w:val="22"/>
              </w:rPr>
              <w:t> </w:t>
            </w:r>
            <w:r>
              <w:rPr>
                <w:color w:val="231F1F"/>
                <w:sz w:val="22"/>
              </w:rPr>
              <w:t>de</w:t>
            </w:r>
            <w:r>
              <w:rPr>
                <w:color w:val="231F1F"/>
                <w:spacing w:val="19"/>
                <w:sz w:val="22"/>
              </w:rPr>
              <w:t> </w:t>
            </w:r>
            <w:r>
              <w:rPr>
                <w:color w:val="231F1F"/>
                <w:sz w:val="22"/>
              </w:rPr>
              <w:t>la</w:t>
            </w:r>
            <w:r>
              <w:rPr>
                <w:color w:val="231F1F"/>
                <w:spacing w:val="19"/>
                <w:sz w:val="22"/>
              </w:rPr>
              <w:t> </w:t>
            </w:r>
            <w:r>
              <w:rPr>
                <w:color w:val="231F1F"/>
                <w:sz w:val="22"/>
              </w:rPr>
              <w:t>fase</w:t>
            </w:r>
            <w:r>
              <w:rPr>
                <w:color w:val="231F1F"/>
                <w:spacing w:val="19"/>
                <w:sz w:val="22"/>
              </w:rPr>
              <w:t> </w:t>
            </w:r>
            <w:r>
              <w:rPr>
                <w:color w:val="231F1F"/>
                <w:sz w:val="22"/>
              </w:rPr>
              <w:t>activa</w:t>
            </w:r>
            <w:r>
              <w:rPr>
                <w:color w:val="231F1F"/>
                <w:spacing w:val="19"/>
                <w:sz w:val="22"/>
              </w:rPr>
              <w:t> </w:t>
            </w:r>
            <w:r>
              <w:rPr>
                <w:color w:val="231F1F"/>
                <w:sz w:val="22"/>
              </w:rPr>
              <w:t>del</w:t>
            </w:r>
            <w:r>
              <w:rPr>
                <w:color w:val="231F1F"/>
                <w:spacing w:val="19"/>
                <w:sz w:val="22"/>
              </w:rPr>
              <w:t> </w:t>
            </w:r>
            <w:r>
              <w:rPr>
                <w:color w:val="231F1F"/>
                <w:sz w:val="22"/>
              </w:rPr>
              <w:t>parto.</w:t>
            </w:r>
          </w:p>
        </w:tc>
      </w:tr>
    </w:tbl>
    <w:p>
      <w:pPr>
        <w:pStyle w:val="TableParagraph"/>
        <w:spacing w:after="0" w:line="266" w:lineRule="auto"/>
        <w:jc w:val="both"/>
        <w:rPr>
          <w:sz w:val="22"/>
        </w:rPr>
        <w:sectPr>
          <w:type w:val="continuous"/>
          <w:pgSz w:w="11900" w:h="16840"/>
          <w:pgMar w:header="0" w:footer="622" w:top="560" w:bottom="28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43" w:id="13"/>
      <w:r>
        <w:rPr>
          <w:color w:val="231F1F"/>
        </w:rPr>
        <w:t>Cuidados</w:t>
      </w:r>
      <w:r>
        <w:rPr>
          <w:color w:val="231F1F"/>
          <w:spacing w:val="69"/>
        </w:rPr>
        <w:t> </w:t>
      </w:r>
      <w:r>
        <w:rPr>
          <w:color w:val="231F1F"/>
        </w:rPr>
        <w:t>durante</w:t>
      </w:r>
      <w:r>
        <w:rPr>
          <w:color w:val="231F1F"/>
          <w:spacing w:val="71"/>
        </w:rPr>
        <w:t> </w:t>
      </w:r>
      <w:r>
        <w:rPr>
          <w:color w:val="231F1F"/>
        </w:rPr>
        <w:t>la</w:t>
      </w:r>
      <w:r>
        <w:rPr>
          <w:color w:val="231F1F"/>
          <w:spacing w:val="71"/>
        </w:rPr>
        <w:t> </w:t>
      </w:r>
      <w:bookmarkEnd w:id="13"/>
      <w:r>
        <w:rPr>
          <w:color w:val="231F1F"/>
          <w:spacing w:val="-2"/>
        </w:rPr>
        <w:t>admisión</w:t>
      </w:r>
    </w:p>
    <w:p>
      <w:pPr>
        <w:pStyle w:val="BodyText"/>
        <w:spacing w:before="9"/>
        <w:rPr>
          <w:sz w:val="12"/>
        </w:rPr>
      </w:pPr>
      <w:r>
        <w:rPr>
          <w:sz w:val="12"/>
        </w:rPr>
        <mc:AlternateContent>
          <mc:Choice Requires="wps">
            <w:drawing>
              <wp:anchor distT="0" distB="0" distL="0" distR="0" allowOverlap="1" layoutInCell="1" locked="0" behindDoc="1" simplePos="0" relativeHeight="487600640">
                <wp:simplePos x="0" y="0"/>
                <wp:positionH relativeFrom="page">
                  <wp:posOffset>1082675</wp:posOffset>
                </wp:positionH>
                <wp:positionV relativeFrom="paragraph">
                  <wp:posOffset>111782</wp:posOffset>
                </wp:positionV>
                <wp:extent cx="5400040" cy="795655"/>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5400040" cy="795655"/>
                        </a:xfrm>
                        <a:prstGeom prst="rect">
                          <a:avLst/>
                        </a:prstGeom>
                        <a:ln w="6350">
                          <a:solidFill>
                            <a:srgbClr val="A30046"/>
                          </a:solidFill>
                          <a:prstDash val="solid"/>
                        </a:ln>
                      </wps:spPr>
                      <wps:txbx>
                        <w:txbxContent>
                          <w:p>
                            <w:pPr>
                              <w:pStyle w:val="BodyText"/>
                              <w:numPr>
                                <w:ilvl w:val="0"/>
                                <w:numId w:val="21"/>
                              </w:numPr>
                              <w:tabs>
                                <w:tab w:pos="321" w:val="left" w:leader="none"/>
                                <w:tab w:pos="325" w:val="left" w:leader="none"/>
                              </w:tabs>
                              <w:spacing w:line="254" w:lineRule="auto" w:before="30" w:after="0"/>
                              <w:ind w:left="325" w:right="482" w:hanging="221"/>
                              <w:jc w:val="left"/>
                            </w:pPr>
                            <w:r>
                              <w:rPr>
                                <w:color w:val="231F1F"/>
                              </w:rPr>
                              <w:t>¿Cuál</w:t>
                            </w:r>
                            <w:r>
                              <w:rPr>
                                <w:color w:val="231F1F"/>
                                <w:spacing w:val="-3"/>
                              </w:rPr>
                              <w:t> </w:t>
                            </w:r>
                            <w:r>
                              <w:rPr>
                                <w:color w:val="231F1F"/>
                              </w:rPr>
                              <w:t>es</w:t>
                            </w:r>
                            <w:r>
                              <w:rPr>
                                <w:color w:val="231F1F"/>
                                <w:spacing w:val="-3"/>
                              </w:rPr>
                              <w:t> </w:t>
                            </w:r>
                            <w:r>
                              <w:rPr>
                                <w:color w:val="231F1F"/>
                              </w:rPr>
                              <w:t>el</w:t>
                            </w:r>
                            <w:r>
                              <w:rPr>
                                <w:color w:val="231F1F"/>
                                <w:spacing w:val="-3"/>
                              </w:rPr>
                              <w:t> </w:t>
                            </w:r>
                            <w:r>
                              <w:rPr>
                                <w:color w:val="231F1F"/>
                              </w:rPr>
                              <w:t>beneficio</w:t>
                            </w:r>
                            <w:r>
                              <w:rPr>
                                <w:color w:val="231F1F"/>
                                <w:spacing w:val="-3"/>
                              </w:rPr>
                              <w:t> </w:t>
                            </w:r>
                            <w:r>
                              <w:rPr>
                                <w:color w:val="231F1F"/>
                              </w:rPr>
                              <w:t>de</w:t>
                            </w:r>
                            <w:r>
                              <w:rPr>
                                <w:color w:val="231F1F"/>
                                <w:spacing w:val="-3"/>
                              </w:rPr>
                              <w:t> </w:t>
                            </w:r>
                            <w:r>
                              <w:rPr>
                                <w:color w:val="231F1F"/>
                              </w:rPr>
                              <w:t>realizar</w:t>
                            </w:r>
                            <w:r>
                              <w:rPr>
                                <w:color w:val="231F1F"/>
                                <w:spacing w:val="-3"/>
                              </w:rPr>
                              <w:t> </w:t>
                            </w:r>
                            <w:r>
                              <w:rPr>
                                <w:color w:val="231F1F"/>
                              </w:rPr>
                              <w:t>amnioscopia</w:t>
                            </w:r>
                            <w:r>
                              <w:rPr>
                                <w:color w:val="231F1F"/>
                                <w:spacing w:val="-3"/>
                              </w:rPr>
                              <w:t> </w:t>
                            </w:r>
                            <w:r>
                              <w:rPr>
                                <w:color w:val="231F1F"/>
                              </w:rPr>
                              <w:t>a</w:t>
                            </w:r>
                            <w:r>
                              <w:rPr>
                                <w:color w:val="231F1F"/>
                                <w:spacing w:val="-3"/>
                              </w:rPr>
                              <w:t> </w:t>
                            </w:r>
                            <w:r>
                              <w:rPr>
                                <w:color w:val="231F1F"/>
                              </w:rPr>
                              <w:t>todas</w:t>
                            </w:r>
                            <w:r>
                              <w:rPr>
                                <w:color w:val="231F1F"/>
                                <w:spacing w:val="-3"/>
                              </w:rPr>
                              <w:t> </w:t>
                            </w:r>
                            <w:r>
                              <w:rPr>
                                <w:color w:val="231F1F"/>
                              </w:rPr>
                              <w:t>las</w:t>
                            </w:r>
                            <w:r>
                              <w:rPr>
                                <w:color w:val="231F1F"/>
                                <w:spacing w:val="-3"/>
                              </w:rPr>
                              <w:t> </w:t>
                            </w:r>
                            <w:r>
                              <w:rPr>
                                <w:color w:val="231F1F"/>
                              </w:rPr>
                              <w:t>mujeres</w:t>
                            </w:r>
                            <w:r>
                              <w:rPr>
                                <w:color w:val="231F1F"/>
                                <w:spacing w:val="-3"/>
                              </w:rPr>
                              <w:t> </w:t>
                            </w:r>
                            <w:r>
                              <w:rPr>
                                <w:color w:val="231F1F"/>
                              </w:rPr>
                              <w:t>que</w:t>
                            </w:r>
                            <w:r>
                              <w:rPr>
                                <w:color w:val="231F1F"/>
                                <w:spacing w:val="-3"/>
                              </w:rPr>
                              <w:t> </w:t>
                            </w:r>
                            <w:r>
                              <w:rPr>
                                <w:color w:val="231F1F"/>
                              </w:rPr>
                              <w:t>llegan</w:t>
                            </w:r>
                            <w:r>
                              <w:rPr>
                                <w:color w:val="231F1F"/>
                                <w:spacing w:val="-3"/>
                              </w:rPr>
                              <w:t> </w:t>
                            </w:r>
                            <w:r>
                              <w:rPr>
                                <w:color w:val="231F1F"/>
                              </w:rPr>
                              <w:t>a</w:t>
                            </w:r>
                            <w:r>
                              <w:rPr>
                                <w:color w:val="231F1F"/>
                                <w:spacing w:val="-3"/>
                              </w:rPr>
                              <w:t> </w:t>
                            </w:r>
                            <w:r>
                              <w:rPr>
                                <w:color w:val="231F1F"/>
                              </w:rPr>
                              <w:t>admisión por</w:t>
                            </w:r>
                            <w:r>
                              <w:rPr>
                                <w:color w:val="231F1F"/>
                                <w:spacing w:val="40"/>
                              </w:rPr>
                              <w:t> </w:t>
                            </w:r>
                            <w:r>
                              <w:rPr>
                                <w:color w:val="231F1F"/>
                              </w:rPr>
                              <w:t>sospecha</w:t>
                            </w:r>
                            <w:r>
                              <w:rPr>
                                <w:color w:val="231F1F"/>
                                <w:spacing w:val="40"/>
                              </w:rPr>
                              <w:t> </w:t>
                            </w:r>
                            <w:r>
                              <w:rPr>
                                <w:color w:val="231F1F"/>
                              </w:rPr>
                              <w:t>de</w:t>
                            </w:r>
                            <w:r>
                              <w:rPr>
                                <w:color w:val="231F1F"/>
                                <w:spacing w:val="40"/>
                              </w:rPr>
                              <w:t> </w:t>
                            </w:r>
                            <w:r>
                              <w:rPr>
                                <w:color w:val="231F1F"/>
                              </w:rPr>
                              <w:t>trabajo</w:t>
                            </w:r>
                            <w:r>
                              <w:rPr>
                                <w:color w:val="231F1F"/>
                                <w:spacing w:val="40"/>
                              </w:rPr>
                              <w:t> </w:t>
                            </w:r>
                            <w:r>
                              <w:rPr>
                                <w:color w:val="231F1F"/>
                              </w:rPr>
                              <w:t>de</w:t>
                            </w:r>
                            <w:r>
                              <w:rPr>
                                <w:color w:val="231F1F"/>
                                <w:spacing w:val="40"/>
                              </w:rPr>
                              <w:t> </w:t>
                            </w:r>
                            <w:r>
                              <w:rPr>
                                <w:color w:val="231F1F"/>
                              </w:rPr>
                              <w:t>parto?</w:t>
                            </w:r>
                          </w:p>
                          <w:p>
                            <w:pPr>
                              <w:pStyle w:val="BodyText"/>
                              <w:numPr>
                                <w:ilvl w:val="0"/>
                                <w:numId w:val="21"/>
                              </w:numPr>
                              <w:tabs>
                                <w:tab w:pos="323" w:val="left" w:leader="none"/>
                                <w:tab w:pos="326" w:val="left" w:leader="none"/>
                              </w:tabs>
                              <w:spacing w:line="249" w:lineRule="auto" w:before="54" w:after="0"/>
                              <w:ind w:left="326" w:right="216" w:hanging="221"/>
                              <w:jc w:val="left"/>
                            </w:pPr>
                            <w:r>
                              <w:rPr>
                                <w:color w:val="231F1F"/>
                                <w:w w:val="110"/>
                              </w:rPr>
                              <w:t>¿Cuál</w:t>
                            </w:r>
                            <w:r>
                              <w:rPr>
                                <w:color w:val="231F1F"/>
                                <w:spacing w:val="-13"/>
                                <w:w w:val="110"/>
                              </w:rPr>
                              <w:t> </w:t>
                            </w:r>
                            <w:r>
                              <w:rPr>
                                <w:color w:val="231F1F"/>
                                <w:w w:val="110"/>
                              </w:rPr>
                              <w:t>es</w:t>
                            </w:r>
                            <w:r>
                              <w:rPr>
                                <w:color w:val="231F1F"/>
                                <w:spacing w:val="-13"/>
                                <w:w w:val="110"/>
                              </w:rPr>
                              <w:t> </w:t>
                            </w:r>
                            <w:r>
                              <w:rPr>
                                <w:color w:val="231F1F"/>
                                <w:w w:val="110"/>
                              </w:rPr>
                              <w:t>el</w:t>
                            </w:r>
                            <w:r>
                              <w:rPr>
                                <w:color w:val="231F1F"/>
                                <w:spacing w:val="-12"/>
                                <w:w w:val="110"/>
                              </w:rPr>
                              <w:t> </w:t>
                            </w:r>
                            <w:r>
                              <w:rPr>
                                <w:color w:val="231F1F"/>
                                <w:w w:val="110"/>
                              </w:rPr>
                              <w:t>beneficio</w:t>
                            </w:r>
                            <w:r>
                              <w:rPr>
                                <w:color w:val="231F1F"/>
                                <w:spacing w:val="-13"/>
                                <w:w w:val="110"/>
                              </w:rPr>
                              <w:t> </w:t>
                            </w:r>
                            <w:r>
                              <w:rPr>
                                <w:color w:val="231F1F"/>
                                <w:w w:val="110"/>
                              </w:rPr>
                              <w:t>de</w:t>
                            </w:r>
                            <w:r>
                              <w:rPr>
                                <w:color w:val="231F1F"/>
                                <w:spacing w:val="-13"/>
                                <w:w w:val="110"/>
                              </w:rPr>
                              <w:t> </w:t>
                            </w:r>
                            <w:r>
                              <w:rPr>
                                <w:color w:val="231F1F"/>
                                <w:w w:val="110"/>
                              </w:rPr>
                              <w:t>realizar</w:t>
                            </w:r>
                            <w:r>
                              <w:rPr>
                                <w:color w:val="231F1F"/>
                                <w:spacing w:val="-12"/>
                                <w:w w:val="110"/>
                              </w:rPr>
                              <w:t> </w:t>
                            </w:r>
                            <w:r>
                              <w:rPr>
                                <w:color w:val="231F1F"/>
                                <w:w w:val="110"/>
                              </w:rPr>
                              <w:t>CTG</w:t>
                            </w:r>
                            <w:r>
                              <w:rPr>
                                <w:color w:val="231F1F"/>
                                <w:spacing w:val="-13"/>
                                <w:w w:val="110"/>
                              </w:rPr>
                              <w:t> </w:t>
                            </w:r>
                            <w:r>
                              <w:rPr>
                                <w:color w:val="231F1F"/>
                                <w:w w:val="110"/>
                              </w:rPr>
                              <w:t>a</w:t>
                            </w:r>
                            <w:r>
                              <w:rPr>
                                <w:color w:val="231F1F"/>
                                <w:spacing w:val="-12"/>
                                <w:w w:val="110"/>
                              </w:rPr>
                              <w:t> </w:t>
                            </w:r>
                            <w:r>
                              <w:rPr>
                                <w:color w:val="231F1F"/>
                                <w:w w:val="110"/>
                              </w:rPr>
                              <w:t>todas</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2"/>
                                <w:w w:val="110"/>
                              </w:rPr>
                              <w:t> </w:t>
                            </w:r>
                            <w:r>
                              <w:rPr>
                                <w:color w:val="231F1F"/>
                                <w:w w:val="110"/>
                              </w:rPr>
                              <w:t>que</w:t>
                            </w:r>
                            <w:r>
                              <w:rPr>
                                <w:color w:val="231F1F"/>
                                <w:spacing w:val="-13"/>
                                <w:w w:val="110"/>
                              </w:rPr>
                              <w:t> </w:t>
                            </w:r>
                            <w:r>
                              <w:rPr>
                                <w:color w:val="231F1F"/>
                                <w:w w:val="110"/>
                              </w:rPr>
                              <w:t>llegan</w:t>
                            </w:r>
                            <w:r>
                              <w:rPr>
                                <w:color w:val="231F1F"/>
                                <w:spacing w:val="-12"/>
                                <w:w w:val="110"/>
                              </w:rPr>
                              <w:t> </w:t>
                            </w:r>
                            <w:r>
                              <w:rPr>
                                <w:color w:val="231F1F"/>
                                <w:w w:val="110"/>
                              </w:rPr>
                              <w:t>a</w:t>
                            </w:r>
                            <w:r>
                              <w:rPr>
                                <w:color w:val="231F1F"/>
                                <w:spacing w:val="-13"/>
                                <w:w w:val="110"/>
                              </w:rPr>
                              <w:t> </w:t>
                            </w:r>
                            <w:r>
                              <w:rPr>
                                <w:color w:val="231F1F"/>
                                <w:w w:val="110"/>
                              </w:rPr>
                              <w:t>admisión</w:t>
                            </w:r>
                            <w:r>
                              <w:rPr>
                                <w:color w:val="231F1F"/>
                                <w:spacing w:val="-13"/>
                                <w:w w:val="110"/>
                              </w:rPr>
                              <w:t> </w:t>
                            </w:r>
                            <w:r>
                              <w:rPr>
                                <w:color w:val="231F1F"/>
                                <w:w w:val="110"/>
                              </w:rPr>
                              <w:t>por sospecha de trabajo de parto?</w:t>
                            </w:r>
                          </w:p>
                        </w:txbxContent>
                      </wps:txbx>
                      <wps:bodyPr wrap="square" lIns="0" tIns="0" rIns="0" bIns="0" rtlCol="0">
                        <a:noAutofit/>
                      </wps:bodyPr>
                    </wps:wsp>
                  </a:graphicData>
                </a:graphic>
              </wp:anchor>
            </w:drawing>
          </mc:Choice>
          <mc:Fallback>
            <w:pict>
              <v:shape style="position:absolute;margin-left:85.25pt;margin-top:8.801758pt;width:425.2pt;height:62.65pt;mso-position-horizontal-relative:page;mso-position-vertical-relative:paragraph;z-index:-15715840;mso-wrap-distance-left:0;mso-wrap-distance-right:0" type="#_x0000_t202" id="docshape48" filled="false" stroked="true" strokeweight=".5pt" strokecolor="#a30046">
                <v:textbox inset="0,0,0,0">
                  <w:txbxContent>
                    <w:p>
                      <w:pPr>
                        <w:pStyle w:val="BodyText"/>
                        <w:numPr>
                          <w:ilvl w:val="0"/>
                          <w:numId w:val="21"/>
                        </w:numPr>
                        <w:tabs>
                          <w:tab w:pos="321" w:val="left" w:leader="none"/>
                          <w:tab w:pos="325" w:val="left" w:leader="none"/>
                        </w:tabs>
                        <w:spacing w:line="254" w:lineRule="auto" w:before="30" w:after="0"/>
                        <w:ind w:left="325" w:right="482" w:hanging="221"/>
                        <w:jc w:val="left"/>
                      </w:pPr>
                      <w:r>
                        <w:rPr>
                          <w:color w:val="231F1F"/>
                        </w:rPr>
                        <w:t>¿Cuál</w:t>
                      </w:r>
                      <w:r>
                        <w:rPr>
                          <w:color w:val="231F1F"/>
                          <w:spacing w:val="-3"/>
                        </w:rPr>
                        <w:t> </w:t>
                      </w:r>
                      <w:r>
                        <w:rPr>
                          <w:color w:val="231F1F"/>
                        </w:rPr>
                        <w:t>es</w:t>
                      </w:r>
                      <w:r>
                        <w:rPr>
                          <w:color w:val="231F1F"/>
                          <w:spacing w:val="-3"/>
                        </w:rPr>
                        <w:t> </w:t>
                      </w:r>
                      <w:r>
                        <w:rPr>
                          <w:color w:val="231F1F"/>
                        </w:rPr>
                        <w:t>el</w:t>
                      </w:r>
                      <w:r>
                        <w:rPr>
                          <w:color w:val="231F1F"/>
                          <w:spacing w:val="-3"/>
                        </w:rPr>
                        <w:t> </w:t>
                      </w:r>
                      <w:r>
                        <w:rPr>
                          <w:color w:val="231F1F"/>
                        </w:rPr>
                        <w:t>beneficio</w:t>
                      </w:r>
                      <w:r>
                        <w:rPr>
                          <w:color w:val="231F1F"/>
                          <w:spacing w:val="-3"/>
                        </w:rPr>
                        <w:t> </w:t>
                      </w:r>
                      <w:r>
                        <w:rPr>
                          <w:color w:val="231F1F"/>
                        </w:rPr>
                        <w:t>de</w:t>
                      </w:r>
                      <w:r>
                        <w:rPr>
                          <w:color w:val="231F1F"/>
                          <w:spacing w:val="-3"/>
                        </w:rPr>
                        <w:t> </w:t>
                      </w:r>
                      <w:r>
                        <w:rPr>
                          <w:color w:val="231F1F"/>
                        </w:rPr>
                        <w:t>realizar</w:t>
                      </w:r>
                      <w:r>
                        <w:rPr>
                          <w:color w:val="231F1F"/>
                          <w:spacing w:val="-3"/>
                        </w:rPr>
                        <w:t> </w:t>
                      </w:r>
                      <w:r>
                        <w:rPr>
                          <w:color w:val="231F1F"/>
                        </w:rPr>
                        <w:t>amnioscopia</w:t>
                      </w:r>
                      <w:r>
                        <w:rPr>
                          <w:color w:val="231F1F"/>
                          <w:spacing w:val="-3"/>
                        </w:rPr>
                        <w:t> </w:t>
                      </w:r>
                      <w:r>
                        <w:rPr>
                          <w:color w:val="231F1F"/>
                        </w:rPr>
                        <w:t>a</w:t>
                      </w:r>
                      <w:r>
                        <w:rPr>
                          <w:color w:val="231F1F"/>
                          <w:spacing w:val="-3"/>
                        </w:rPr>
                        <w:t> </w:t>
                      </w:r>
                      <w:r>
                        <w:rPr>
                          <w:color w:val="231F1F"/>
                        </w:rPr>
                        <w:t>todas</w:t>
                      </w:r>
                      <w:r>
                        <w:rPr>
                          <w:color w:val="231F1F"/>
                          <w:spacing w:val="-3"/>
                        </w:rPr>
                        <w:t> </w:t>
                      </w:r>
                      <w:r>
                        <w:rPr>
                          <w:color w:val="231F1F"/>
                        </w:rPr>
                        <w:t>las</w:t>
                      </w:r>
                      <w:r>
                        <w:rPr>
                          <w:color w:val="231F1F"/>
                          <w:spacing w:val="-3"/>
                        </w:rPr>
                        <w:t> </w:t>
                      </w:r>
                      <w:r>
                        <w:rPr>
                          <w:color w:val="231F1F"/>
                        </w:rPr>
                        <w:t>mujeres</w:t>
                      </w:r>
                      <w:r>
                        <w:rPr>
                          <w:color w:val="231F1F"/>
                          <w:spacing w:val="-3"/>
                        </w:rPr>
                        <w:t> </w:t>
                      </w:r>
                      <w:r>
                        <w:rPr>
                          <w:color w:val="231F1F"/>
                        </w:rPr>
                        <w:t>que</w:t>
                      </w:r>
                      <w:r>
                        <w:rPr>
                          <w:color w:val="231F1F"/>
                          <w:spacing w:val="-3"/>
                        </w:rPr>
                        <w:t> </w:t>
                      </w:r>
                      <w:r>
                        <w:rPr>
                          <w:color w:val="231F1F"/>
                        </w:rPr>
                        <w:t>llegan</w:t>
                      </w:r>
                      <w:r>
                        <w:rPr>
                          <w:color w:val="231F1F"/>
                          <w:spacing w:val="-3"/>
                        </w:rPr>
                        <w:t> </w:t>
                      </w:r>
                      <w:r>
                        <w:rPr>
                          <w:color w:val="231F1F"/>
                        </w:rPr>
                        <w:t>a</w:t>
                      </w:r>
                      <w:r>
                        <w:rPr>
                          <w:color w:val="231F1F"/>
                          <w:spacing w:val="-3"/>
                        </w:rPr>
                        <w:t> </w:t>
                      </w:r>
                      <w:r>
                        <w:rPr>
                          <w:color w:val="231F1F"/>
                        </w:rPr>
                        <w:t>admisión por</w:t>
                      </w:r>
                      <w:r>
                        <w:rPr>
                          <w:color w:val="231F1F"/>
                          <w:spacing w:val="40"/>
                        </w:rPr>
                        <w:t> </w:t>
                      </w:r>
                      <w:r>
                        <w:rPr>
                          <w:color w:val="231F1F"/>
                        </w:rPr>
                        <w:t>sospecha</w:t>
                      </w:r>
                      <w:r>
                        <w:rPr>
                          <w:color w:val="231F1F"/>
                          <w:spacing w:val="40"/>
                        </w:rPr>
                        <w:t> </w:t>
                      </w:r>
                      <w:r>
                        <w:rPr>
                          <w:color w:val="231F1F"/>
                        </w:rPr>
                        <w:t>de</w:t>
                      </w:r>
                      <w:r>
                        <w:rPr>
                          <w:color w:val="231F1F"/>
                          <w:spacing w:val="40"/>
                        </w:rPr>
                        <w:t> </w:t>
                      </w:r>
                      <w:r>
                        <w:rPr>
                          <w:color w:val="231F1F"/>
                        </w:rPr>
                        <w:t>trabajo</w:t>
                      </w:r>
                      <w:r>
                        <w:rPr>
                          <w:color w:val="231F1F"/>
                          <w:spacing w:val="40"/>
                        </w:rPr>
                        <w:t> </w:t>
                      </w:r>
                      <w:r>
                        <w:rPr>
                          <w:color w:val="231F1F"/>
                        </w:rPr>
                        <w:t>de</w:t>
                      </w:r>
                      <w:r>
                        <w:rPr>
                          <w:color w:val="231F1F"/>
                          <w:spacing w:val="40"/>
                        </w:rPr>
                        <w:t> </w:t>
                      </w:r>
                      <w:r>
                        <w:rPr>
                          <w:color w:val="231F1F"/>
                        </w:rPr>
                        <w:t>parto?</w:t>
                      </w:r>
                    </w:p>
                    <w:p>
                      <w:pPr>
                        <w:pStyle w:val="BodyText"/>
                        <w:numPr>
                          <w:ilvl w:val="0"/>
                          <w:numId w:val="21"/>
                        </w:numPr>
                        <w:tabs>
                          <w:tab w:pos="323" w:val="left" w:leader="none"/>
                          <w:tab w:pos="326" w:val="left" w:leader="none"/>
                        </w:tabs>
                        <w:spacing w:line="249" w:lineRule="auto" w:before="54" w:after="0"/>
                        <w:ind w:left="326" w:right="216" w:hanging="221"/>
                        <w:jc w:val="left"/>
                      </w:pPr>
                      <w:r>
                        <w:rPr>
                          <w:color w:val="231F1F"/>
                          <w:w w:val="110"/>
                        </w:rPr>
                        <w:t>¿Cuál</w:t>
                      </w:r>
                      <w:r>
                        <w:rPr>
                          <w:color w:val="231F1F"/>
                          <w:spacing w:val="-13"/>
                          <w:w w:val="110"/>
                        </w:rPr>
                        <w:t> </w:t>
                      </w:r>
                      <w:r>
                        <w:rPr>
                          <w:color w:val="231F1F"/>
                          <w:w w:val="110"/>
                        </w:rPr>
                        <w:t>es</w:t>
                      </w:r>
                      <w:r>
                        <w:rPr>
                          <w:color w:val="231F1F"/>
                          <w:spacing w:val="-13"/>
                          <w:w w:val="110"/>
                        </w:rPr>
                        <w:t> </w:t>
                      </w:r>
                      <w:r>
                        <w:rPr>
                          <w:color w:val="231F1F"/>
                          <w:w w:val="110"/>
                        </w:rPr>
                        <w:t>el</w:t>
                      </w:r>
                      <w:r>
                        <w:rPr>
                          <w:color w:val="231F1F"/>
                          <w:spacing w:val="-12"/>
                          <w:w w:val="110"/>
                        </w:rPr>
                        <w:t> </w:t>
                      </w:r>
                      <w:r>
                        <w:rPr>
                          <w:color w:val="231F1F"/>
                          <w:w w:val="110"/>
                        </w:rPr>
                        <w:t>beneficio</w:t>
                      </w:r>
                      <w:r>
                        <w:rPr>
                          <w:color w:val="231F1F"/>
                          <w:spacing w:val="-13"/>
                          <w:w w:val="110"/>
                        </w:rPr>
                        <w:t> </w:t>
                      </w:r>
                      <w:r>
                        <w:rPr>
                          <w:color w:val="231F1F"/>
                          <w:w w:val="110"/>
                        </w:rPr>
                        <w:t>de</w:t>
                      </w:r>
                      <w:r>
                        <w:rPr>
                          <w:color w:val="231F1F"/>
                          <w:spacing w:val="-13"/>
                          <w:w w:val="110"/>
                        </w:rPr>
                        <w:t> </w:t>
                      </w:r>
                      <w:r>
                        <w:rPr>
                          <w:color w:val="231F1F"/>
                          <w:w w:val="110"/>
                        </w:rPr>
                        <w:t>realizar</w:t>
                      </w:r>
                      <w:r>
                        <w:rPr>
                          <w:color w:val="231F1F"/>
                          <w:spacing w:val="-12"/>
                          <w:w w:val="110"/>
                        </w:rPr>
                        <w:t> </w:t>
                      </w:r>
                      <w:r>
                        <w:rPr>
                          <w:color w:val="231F1F"/>
                          <w:w w:val="110"/>
                        </w:rPr>
                        <w:t>CTG</w:t>
                      </w:r>
                      <w:r>
                        <w:rPr>
                          <w:color w:val="231F1F"/>
                          <w:spacing w:val="-13"/>
                          <w:w w:val="110"/>
                        </w:rPr>
                        <w:t> </w:t>
                      </w:r>
                      <w:r>
                        <w:rPr>
                          <w:color w:val="231F1F"/>
                          <w:w w:val="110"/>
                        </w:rPr>
                        <w:t>a</w:t>
                      </w:r>
                      <w:r>
                        <w:rPr>
                          <w:color w:val="231F1F"/>
                          <w:spacing w:val="-12"/>
                          <w:w w:val="110"/>
                        </w:rPr>
                        <w:t> </w:t>
                      </w:r>
                      <w:r>
                        <w:rPr>
                          <w:color w:val="231F1F"/>
                          <w:w w:val="110"/>
                        </w:rPr>
                        <w:t>todas</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2"/>
                          <w:w w:val="110"/>
                        </w:rPr>
                        <w:t> </w:t>
                      </w:r>
                      <w:r>
                        <w:rPr>
                          <w:color w:val="231F1F"/>
                          <w:w w:val="110"/>
                        </w:rPr>
                        <w:t>que</w:t>
                      </w:r>
                      <w:r>
                        <w:rPr>
                          <w:color w:val="231F1F"/>
                          <w:spacing w:val="-13"/>
                          <w:w w:val="110"/>
                        </w:rPr>
                        <w:t> </w:t>
                      </w:r>
                      <w:r>
                        <w:rPr>
                          <w:color w:val="231F1F"/>
                          <w:w w:val="110"/>
                        </w:rPr>
                        <w:t>llegan</w:t>
                      </w:r>
                      <w:r>
                        <w:rPr>
                          <w:color w:val="231F1F"/>
                          <w:spacing w:val="-12"/>
                          <w:w w:val="110"/>
                        </w:rPr>
                        <w:t> </w:t>
                      </w:r>
                      <w:r>
                        <w:rPr>
                          <w:color w:val="231F1F"/>
                          <w:w w:val="110"/>
                        </w:rPr>
                        <w:t>a</w:t>
                      </w:r>
                      <w:r>
                        <w:rPr>
                          <w:color w:val="231F1F"/>
                          <w:spacing w:val="-13"/>
                          <w:w w:val="110"/>
                        </w:rPr>
                        <w:t> </w:t>
                      </w:r>
                      <w:r>
                        <w:rPr>
                          <w:color w:val="231F1F"/>
                          <w:w w:val="110"/>
                        </w:rPr>
                        <w:t>admisión</w:t>
                      </w:r>
                      <w:r>
                        <w:rPr>
                          <w:color w:val="231F1F"/>
                          <w:spacing w:val="-13"/>
                          <w:w w:val="110"/>
                        </w:rPr>
                        <w:t> </w:t>
                      </w:r>
                      <w:r>
                        <w:rPr>
                          <w:color w:val="231F1F"/>
                          <w:w w:val="110"/>
                        </w:rPr>
                        <w:t>por sospecha de trabajo de parto?</w:t>
                      </w:r>
                    </w:p>
                  </w:txbxContent>
                </v:textbox>
                <v:stroke dashstyle="solid"/>
                <w10:wrap type="topAndBottom"/>
              </v:shape>
            </w:pict>
          </mc:Fallback>
        </mc:AlternateContent>
      </w:r>
    </w:p>
    <w:p>
      <w:pPr>
        <w:pStyle w:val="Heading3"/>
        <w:numPr>
          <w:ilvl w:val="3"/>
          <w:numId w:val="2"/>
        </w:numPr>
        <w:tabs>
          <w:tab w:pos="1158" w:val="left" w:leader="none"/>
        </w:tabs>
        <w:spacing w:line="240" w:lineRule="auto" w:before="311" w:after="0"/>
        <w:ind w:left="1158" w:right="0" w:hanging="875"/>
        <w:jc w:val="left"/>
      </w:pPr>
      <w:r>
        <w:rPr>
          <w:color w:val="231F1F"/>
          <w:spacing w:val="-2"/>
          <w:w w:val="110"/>
        </w:rPr>
        <w:t>Amnioscopia</w:t>
      </w:r>
    </w:p>
    <w:p>
      <w:pPr>
        <w:pStyle w:val="BodyText"/>
        <w:spacing w:line="247" w:lineRule="auto" w:before="225"/>
        <w:ind w:left="283" w:right="122"/>
        <w:jc w:val="both"/>
      </w:pPr>
      <w:r>
        <w:rPr>
          <w:color w:val="231F1F"/>
          <w:w w:val="110"/>
        </w:rPr>
        <w:t>La</w:t>
      </w:r>
      <w:r>
        <w:rPr>
          <w:color w:val="231F1F"/>
          <w:spacing w:val="-8"/>
          <w:w w:val="110"/>
        </w:rPr>
        <w:t> </w:t>
      </w:r>
      <w:r>
        <w:rPr>
          <w:color w:val="231F1F"/>
          <w:w w:val="110"/>
        </w:rPr>
        <w:t>amnioscopia</w:t>
      </w:r>
      <w:r>
        <w:rPr>
          <w:color w:val="231F1F"/>
          <w:spacing w:val="-8"/>
          <w:w w:val="110"/>
        </w:rPr>
        <w:t> </w:t>
      </w:r>
      <w:r>
        <w:rPr>
          <w:color w:val="231F1F"/>
          <w:w w:val="110"/>
        </w:rPr>
        <w:t>es</w:t>
      </w:r>
      <w:r>
        <w:rPr>
          <w:color w:val="231F1F"/>
          <w:spacing w:val="-8"/>
          <w:w w:val="110"/>
        </w:rPr>
        <w:t> </w:t>
      </w:r>
      <w:r>
        <w:rPr>
          <w:color w:val="231F1F"/>
          <w:w w:val="110"/>
        </w:rPr>
        <w:t>un</w:t>
      </w:r>
      <w:r>
        <w:rPr>
          <w:color w:val="231F1F"/>
          <w:spacing w:val="-8"/>
          <w:w w:val="110"/>
        </w:rPr>
        <w:t> </w:t>
      </w:r>
      <w:r>
        <w:rPr>
          <w:color w:val="231F1F"/>
          <w:w w:val="110"/>
        </w:rPr>
        <w:t>procedimiento</w:t>
      </w:r>
      <w:r>
        <w:rPr>
          <w:color w:val="231F1F"/>
          <w:spacing w:val="-9"/>
          <w:w w:val="110"/>
        </w:rPr>
        <w:t> </w:t>
      </w:r>
      <w:r>
        <w:rPr>
          <w:color w:val="231F1F"/>
          <w:w w:val="110"/>
        </w:rPr>
        <w:t>que</w:t>
      </w:r>
      <w:r>
        <w:rPr>
          <w:color w:val="231F1F"/>
          <w:spacing w:val="-8"/>
          <w:w w:val="110"/>
        </w:rPr>
        <w:t> </w:t>
      </w:r>
      <w:r>
        <w:rPr>
          <w:color w:val="231F1F"/>
          <w:w w:val="110"/>
        </w:rPr>
        <w:t>se</w:t>
      </w:r>
      <w:r>
        <w:rPr>
          <w:color w:val="231F1F"/>
          <w:spacing w:val="-8"/>
          <w:w w:val="110"/>
        </w:rPr>
        <w:t> </w:t>
      </w:r>
      <w:r>
        <w:rPr>
          <w:color w:val="231F1F"/>
          <w:w w:val="110"/>
        </w:rPr>
        <w:t>practica</w:t>
      </w:r>
      <w:r>
        <w:rPr>
          <w:color w:val="231F1F"/>
          <w:spacing w:val="-9"/>
          <w:w w:val="110"/>
        </w:rPr>
        <w:t> </w:t>
      </w:r>
      <w:r>
        <w:rPr>
          <w:color w:val="231F1F"/>
          <w:w w:val="110"/>
        </w:rPr>
        <w:t>para</w:t>
      </w:r>
      <w:r>
        <w:rPr>
          <w:color w:val="231F1F"/>
          <w:spacing w:val="-8"/>
          <w:w w:val="110"/>
        </w:rPr>
        <w:t> </w:t>
      </w:r>
      <w:r>
        <w:rPr>
          <w:color w:val="231F1F"/>
          <w:w w:val="110"/>
        </w:rPr>
        <w:t>evaluar</w:t>
      </w:r>
      <w:r>
        <w:rPr>
          <w:color w:val="231F1F"/>
          <w:spacing w:val="-8"/>
          <w:w w:val="110"/>
        </w:rPr>
        <w:t> </w:t>
      </w:r>
      <w:r>
        <w:rPr>
          <w:color w:val="231F1F"/>
          <w:w w:val="110"/>
        </w:rPr>
        <w:t>la</w:t>
      </w:r>
      <w:r>
        <w:rPr>
          <w:color w:val="231F1F"/>
          <w:spacing w:val="-8"/>
          <w:w w:val="110"/>
        </w:rPr>
        <w:t> </w:t>
      </w:r>
      <w:r>
        <w:rPr>
          <w:color w:val="231F1F"/>
          <w:w w:val="110"/>
        </w:rPr>
        <w:t>cantidad</w:t>
      </w:r>
      <w:r>
        <w:rPr>
          <w:color w:val="231F1F"/>
          <w:spacing w:val="-8"/>
          <w:w w:val="110"/>
        </w:rPr>
        <w:t> </w:t>
      </w:r>
      <w:r>
        <w:rPr>
          <w:color w:val="231F1F"/>
          <w:w w:val="110"/>
        </w:rPr>
        <w:t>y/o</w:t>
      </w:r>
      <w:r>
        <w:rPr>
          <w:color w:val="231F1F"/>
          <w:spacing w:val="-8"/>
          <w:w w:val="110"/>
        </w:rPr>
        <w:t> </w:t>
      </w:r>
      <w:r>
        <w:rPr>
          <w:color w:val="231F1F"/>
          <w:w w:val="110"/>
        </w:rPr>
        <w:t>el</w:t>
      </w:r>
      <w:r>
        <w:rPr>
          <w:color w:val="231F1F"/>
          <w:spacing w:val="-9"/>
          <w:w w:val="110"/>
        </w:rPr>
        <w:t> </w:t>
      </w:r>
      <w:r>
        <w:rPr>
          <w:color w:val="231F1F"/>
          <w:w w:val="110"/>
        </w:rPr>
        <w:t>color del</w:t>
      </w:r>
      <w:r>
        <w:rPr>
          <w:color w:val="231F1F"/>
          <w:spacing w:val="-5"/>
          <w:w w:val="110"/>
        </w:rPr>
        <w:t> </w:t>
      </w:r>
      <w:r>
        <w:rPr>
          <w:color w:val="231F1F"/>
          <w:w w:val="110"/>
        </w:rPr>
        <w:t>líquido</w:t>
      </w:r>
      <w:r>
        <w:rPr>
          <w:color w:val="231F1F"/>
          <w:spacing w:val="-4"/>
          <w:w w:val="110"/>
        </w:rPr>
        <w:t> </w:t>
      </w:r>
      <w:r>
        <w:rPr>
          <w:color w:val="231F1F"/>
          <w:w w:val="110"/>
        </w:rPr>
        <w:t>amniótico</w:t>
      </w:r>
      <w:r>
        <w:rPr>
          <w:color w:val="231F1F"/>
          <w:spacing w:val="-4"/>
          <w:w w:val="110"/>
        </w:rPr>
        <w:t> </w:t>
      </w:r>
      <w:r>
        <w:rPr>
          <w:color w:val="231F1F"/>
          <w:w w:val="110"/>
        </w:rPr>
        <w:t>(LA)</w:t>
      </w:r>
      <w:r>
        <w:rPr>
          <w:color w:val="231F1F"/>
          <w:spacing w:val="-4"/>
          <w:w w:val="110"/>
        </w:rPr>
        <w:t> </w:t>
      </w:r>
      <w:r>
        <w:rPr>
          <w:color w:val="231F1F"/>
          <w:w w:val="110"/>
        </w:rPr>
        <w:t>con</w:t>
      </w:r>
      <w:r>
        <w:rPr>
          <w:color w:val="231F1F"/>
          <w:spacing w:val="-4"/>
          <w:w w:val="110"/>
        </w:rPr>
        <w:t> </w:t>
      </w:r>
      <w:r>
        <w:rPr>
          <w:color w:val="231F1F"/>
          <w:w w:val="110"/>
        </w:rPr>
        <w:t>el</w:t>
      </w:r>
      <w:r>
        <w:rPr>
          <w:color w:val="231F1F"/>
          <w:spacing w:val="-4"/>
          <w:w w:val="110"/>
        </w:rPr>
        <w:t> </w:t>
      </w:r>
      <w:r>
        <w:rPr>
          <w:color w:val="231F1F"/>
          <w:w w:val="110"/>
        </w:rPr>
        <w:t>fin</w:t>
      </w:r>
      <w:r>
        <w:rPr>
          <w:color w:val="231F1F"/>
          <w:spacing w:val="-4"/>
          <w:w w:val="110"/>
        </w:rPr>
        <w:t> </w:t>
      </w:r>
      <w:r>
        <w:rPr>
          <w:color w:val="231F1F"/>
          <w:w w:val="110"/>
        </w:rPr>
        <w:t>de</w:t>
      </w:r>
      <w:r>
        <w:rPr>
          <w:color w:val="231F1F"/>
          <w:spacing w:val="-4"/>
          <w:w w:val="110"/>
        </w:rPr>
        <w:t> </w:t>
      </w:r>
      <w:r>
        <w:rPr>
          <w:color w:val="231F1F"/>
          <w:w w:val="110"/>
        </w:rPr>
        <w:t>detectar</w:t>
      </w:r>
      <w:r>
        <w:rPr>
          <w:color w:val="231F1F"/>
          <w:spacing w:val="-5"/>
          <w:w w:val="110"/>
        </w:rPr>
        <w:t> </w:t>
      </w:r>
      <w:r>
        <w:rPr>
          <w:color w:val="231F1F"/>
          <w:w w:val="110"/>
        </w:rPr>
        <w:t>alteraciones</w:t>
      </w:r>
      <w:r>
        <w:rPr>
          <w:color w:val="231F1F"/>
          <w:spacing w:val="-4"/>
          <w:w w:val="110"/>
        </w:rPr>
        <w:t> </w:t>
      </w:r>
      <w:r>
        <w:rPr>
          <w:color w:val="231F1F"/>
          <w:w w:val="110"/>
        </w:rPr>
        <w:t>que</w:t>
      </w:r>
      <w:r>
        <w:rPr>
          <w:color w:val="231F1F"/>
          <w:spacing w:val="-4"/>
          <w:w w:val="110"/>
        </w:rPr>
        <w:t> </w:t>
      </w:r>
      <w:r>
        <w:rPr>
          <w:color w:val="231F1F"/>
          <w:w w:val="110"/>
        </w:rPr>
        <w:t>pudieran</w:t>
      </w:r>
      <w:r>
        <w:rPr>
          <w:color w:val="231F1F"/>
          <w:spacing w:val="-4"/>
          <w:w w:val="110"/>
        </w:rPr>
        <w:t> </w:t>
      </w:r>
      <w:r>
        <w:rPr>
          <w:color w:val="231F1F"/>
          <w:w w:val="110"/>
        </w:rPr>
        <w:t>indicar</w:t>
      </w:r>
      <w:r>
        <w:rPr>
          <w:color w:val="231F1F"/>
          <w:spacing w:val="-4"/>
          <w:w w:val="110"/>
        </w:rPr>
        <w:t> </w:t>
      </w:r>
      <w:r>
        <w:rPr>
          <w:color w:val="231F1F"/>
          <w:w w:val="110"/>
        </w:rPr>
        <w:t>com- promiso</w:t>
      </w:r>
      <w:r>
        <w:rPr>
          <w:color w:val="231F1F"/>
          <w:spacing w:val="-5"/>
          <w:w w:val="110"/>
        </w:rPr>
        <w:t> </w:t>
      </w:r>
      <w:r>
        <w:rPr>
          <w:color w:val="231F1F"/>
          <w:w w:val="110"/>
        </w:rPr>
        <w:t>fetal.</w:t>
      </w:r>
      <w:r>
        <w:rPr>
          <w:color w:val="231F1F"/>
          <w:spacing w:val="-5"/>
          <w:w w:val="110"/>
        </w:rPr>
        <w:t> </w:t>
      </w:r>
      <w:r>
        <w:rPr>
          <w:color w:val="231F1F"/>
          <w:w w:val="110"/>
        </w:rPr>
        <w:t>Sin</w:t>
      </w:r>
      <w:r>
        <w:rPr>
          <w:color w:val="231F1F"/>
          <w:spacing w:val="-5"/>
          <w:w w:val="110"/>
        </w:rPr>
        <w:t> </w:t>
      </w:r>
      <w:r>
        <w:rPr>
          <w:color w:val="231F1F"/>
          <w:w w:val="110"/>
        </w:rPr>
        <w:t>embargo,</w:t>
      </w:r>
      <w:r>
        <w:rPr>
          <w:color w:val="231F1F"/>
          <w:spacing w:val="-5"/>
          <w:w w:val="110"/>
        </w:rPr>
        <w:t> </w:t>
      </w:r>
      <w:r>
        <w:rPr>
          <w:color w:val="231F1F"/>
          <w:w w:val="110"/>
        </w:rPr>
        <w:t>es</w:t>
      </w:r>
      <w:r>
        <w:rPr>
          <w:color w:val="231F1F"/>
          <w:spacing w:val="-5"/>
          <w:w w:val="110"/>
        </w:rPr>
        <w:t> </w:t>
      </w:r>
      <w:r>
        <w:rPr>
          <w:color w:val="231F1F"/>
          <w:w w:val="110"/>
        </w:rPr>
        <w:t>una</w:t>
      </w:r>
      <w:r>
        <w:rPr>
          <w:color w:val="231F1F"/>
          <w:spacing w:val="-5"/>
          <w:w w:val="110"/>
        </w:rPr>
        <w:t> </w:t>
      </w:r>
      <w:r>
        <w:rPr>
          <w:color w:val="231F1F"/>
          <w:w w:val="110"/>
        </w:rPr>
        <w:t>intervención</w:t>
      </w:r>
      <w:r>
        <w:rPr>
          <w:color w:val="231F1F"/>
          <w:spacing w:val="-5"/>
          <w:w w:val="110"/>
        </w:rPr>
        <w:t> </w:t>
      </w:r>
      <w:r>
        <w:rPr>
          <w:color w:val="231F1F"/>
          <w:w w:val="110"/>
        </w:rPr>
        <w:t>invasiva</w:t>
      </w:r>
      <w:r>
        <w:rPr>
          <w:color w:val="231F1F"/>
          <w:spacing w:val="-5"/>
          <w:w w:val="110"/>
        </w:rPr>
        <w:t> </w:t>
      </w:r>
      <w:r>
        <w:rPr>
          <w:color w:val="231F1F"/>
          <w:w w:val="110"/>
        </w:rPr>
        <w:t>no</w:t>
      </w:r>
      <w:r>
        <w:rPr>
          <w:color w:val="231F1F"/>
          <w:spacing w:val="-5"/>
          <w:w w:val="110"/>
        </w:rPr>
        <w:t> </w:t>
      </w:r>
      <w:r>
        <w:rPr>
          <w:color w:val="231F1F"/>
          <w:w w:val="110"/>
        </w:rPr>
        <w:t>exenta</w:t>
      </w:r>
      <w:r>
        <w:rPr>
          <w:color w:val="231F1F"/>
          <w:spacing w:val="-5"/>
          <w:w w:val="110"/>
        </w:rPr>
        <w:t> </w:t>
      </w:r>
      <w:r>
        <w:rPr>
          <w:color w:val="231F1F"/>
          <w:w w:val="110"/>
        </w:rPr>
        <w:t>de</w:t>
      </w:r>
      <w:r>
        <w:rPr>
          <w:color w:val="231F1F"/>
          <w:spacing w:val="-5"/>
          <w:w w:val="110"/>
        </w:rPr>
        <w:t> </w:t>
      </w:r>
      <w:r>
        <w:rPr>
          <w:color w:val="231F1F"/>
          <w:w w:val="110"/>
        </w:rPr>
        <w:t>complicaciones</w:t>
      </w:r>
      <w:r>
        <w:rPr>
          <w:color w:val="231F1F"/>
          <w:spacing w:val="-5"/>
          <w:w w:val="110"/>
        </w:rPr>
        <w:t> </w:t>
      </w:r>
      <w:r>
        <w:rPr>
          <w:color w:val="231F1F"/>
          <w:w w:val="110"/>
        </w:rPr>
        <w:t>y con</w:t>
      </w:r>
      <w:r>
        <w:rPr>
          <w:color w:val="231F1F"/>
          <w:spacing w:val="-5"/>
          <w:w w:val="110"/>
        </w:rPr>
        <w:t> </w:t>
      </w:r>
      <w:r>
        <w:rPr>
          <w:color w:val="231F1F"/>
          <w:w w:val="110"/>
        </w:rPr>
        <w:t>un</w:t>
      </w:r>
      <w:r>
        <w:rPr>
          <w:color w:val="231F1F"/>
          <w:spacing w:val="-6"/>
          <w:w w:val="110"/>
        </w:rPr>
        <w:t> </w:t>
      </w:r>
      <w:r>
        <w:rPr>
          <w:color w:val="231F1F"/>
          <w:w w:val="110"/>
        </w:rPr>
        <w:t>número</w:t>
      </w:r>
      <w:r>
        <w:rPr>
          <w:color w:val="231F1F"/>
          <w:spacing w:val="-6"/>
          <w:w w:val="110"/>
        </w:rPr>
        <w:t> </w:t>
      </w:r>
      <w:r>
        <w:rPr>
          <w:color w:val="231F1F"/>
          <w:w w:val="110"/>
        </w:rPr>
        <w:t>significativo</w:t>
      </w:r>
      <w:r>
        <w:rPr>
          <w:color w:val="231F1F"/>
          <w:spacing w:val="-6"/>
          <w:w w:val="110"/>
        </w:rPr>
        <w:t> </w:t>
      </w:r>
      <w:r>
        <w:rPr>
          <w:color w:val="231F1F"/>
          <w:w w:val="110"/>
        </w:rPr>
        <w:t>de</w:t>
      </w:r>
      <w:r>
        <w:rPr>
          <w:color w:val="231F1F"/>
          <w:spacing w:val="-6"/>
          <w:w w:val="110"/>
        </w:rPr>
        <w:t> </w:t>
      </w:r>
      <w:r>
        <w:rPr>
          <w:color w:val="231F1F"/>
          <w:w w:val="110"/>
        </w:rPr>
        <w:t>falsos</w:t>
      </w:r>
      <w:r>
        <w:rPr>
          <w:color w:val="231F1F"/>
          <w:spacing w:val="-6"/>
          <w:w w:val="110"/>
        </w:rPr>
        <w:t> </w:t>
      </w:r>
      <w:r>
        <w:rPr>
          <w:color w:val="231F1F"/>
          <w:w w:val="110"/>
        </w:rPr>
        <w:t>resultados.</w:t>
      </w:r>
      <w:r>
        <w:rPr>
          <w:color w:val="231F1F"/>
          <w:spacing w:val="-6"/>
          <w:w w:val="110"/>
        </w:rPr>
        <w:t> </w:t>
      </w:r>
      <w:r>
        <w:rPr>
          <w:color w:val="231F1F"/>
          <w:w w:val="110"/>
        </w:rPr>
        <w:t>Estas</w:t>
      </w:r>
      <w:r>
        <w:rPr>
          <w:color w:val="231F1F"/>
          <w:spacing w:val="-6"/>
          <w:w w:val="110"/>
        </w:rPr>
        <w:t> </w:t>
      </w:r>
      <w:r>
        <w:rPr>
          <w:color w:val="231F1F"/>
          <w:w w:val="110"/>
        </w:rPr>
        <w:t>circunstancias</w:t>
      </w:r>
      <w:r>
        <w:rPr>
          <w:color w:val="231F1F"/>
          <w:spacing w:val="-6"/>
          <w:w w:val="110"/>
        </w:rPr>
        <w:t> </w:t>
      </w:r>
      <w:r>
        <w:rPr>
          <w:color w:val="231F1F"/>
          <w:w w:val="110"/>
        </w:rPr>
        <w:t>determinan</w:t>
      </w:r>
      <w:r>
        <w:rPr>
          <w:color w:val="231F1F"/>
          <w:spacing w:val="-6"/>
          <w:w w:val="110"/>
        </w:rPr>
        <w:t> </w:t>
      </w:r>
      <w:r>
        <w:rPr>
          <w:color w:val="231F1F"/>
          <w:w w:val="110"/>
        </w:rPr>
        <w:t>que</w:t>
      </w:r>
      <w:r>
        <w:rPr>
          <w:color w:val="231F1F"/>
          <w:spacing w:val="-6"/>
          <w:w w:val="110"/>
        </w:rPr>
        <w:t> </w:t>
      </w:r>
      <w:r>
        <w:rPr>
          <w:color w:val="231F1F"/>
          <w:w w:val="110"/>
        </w:rPr>
        <w:t>el balance beneficio-riesgo sea dudoso.</w:t>
      </w:r>
    </w:p>
    <w:p>
      <w:pPr>
        <w:pStyle w:val="BodyText"/>
        <w:spacing w:before="70"/>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17"/>
          <w:sz w:val="24"/>
        </w:rPr>
        <w:t> </w:t>
      </w:r>
      <w:r>
        <w:rPr>
          <w:rFonts w:ascii="Arial MT" w:hAnsi="Arial MT"/>
          <w:color w:val="231F1F"/>
          <w:sz w:val="24"/>
        </w:rPr>
        <w:t>científica</w:t>
      </w:r>
      <w:r>
        <w:rPr>
          <w:rFonts w:ascii="Arial MT" w:hAnsi="Arial MT"/>
          <w:color w:val="231F1F"/>
          <w:spacing w:val="19"/>
          <w:sz w:val="24"/>
        </w:rPr>
        <w:t> </w:t>
      </w:r>
      <w:r>
        <w:rPr>
          <w:rFonts w:ascii="Arial MT" w:hAnsi="Arial MT"/>
          <w:color w:val="231F1F"/>
          <w:sz w:val="24"/>
        </w:rPr>
        <w:t>(hasta</w:t>
      </w:r>
      <w:r>
        <w:rPr>
          <w:rFonts w:ascii="Arial MT" w:hAnsi="Arial MT"/>
          <w:color w:val="231F1F"/>
          <w:spacing w:val="18"/>
          <w:sz w:val="24"/>
        </w:rPr>
        <w:t> </w:t>
      </w:r>
      <w:r>
        <w:rPr>
          <w:rFonts w:ascii="Arial MT" w:hAnsi="Arial MT"/>
          <w:color w:val="231F1F"/>
          <w:sz w:val="24"/>
        </w:rPr>
        <w:t>mayo</w:t>
      </w:r>
      <w:r>
        <w:rPr>
          <w:rFonts w:ascii="Arial MT" w:hAnsi="Arial MT"/>
          <w:color w:val="231F1F"/>
          <w:spacing w:val="20"/>
          <w:sz w:val="24"/>
        </w:rPr>
        <w:t> </w:t>
      </w:r>
      <w:r>
        <w:rPr>
          <w:rFonts w:ascii="Arial MT" w:hAnsi="Arial MT"/>
          <w:color w:val="231F1F"/>
          <w:sz w:val="24"/>
        </w:rPr>
        <w:t>de</w:t>
      </w:r>
      <w:r>
        <w:rPr>
          <w:rFonts w:ascii="Arial MT" w:hAnsi="Arial MT"/>
          <w:color w:val="231F1F"/>
          <w:spacing w:val="18"/>
          <w:sz w:val="24"/>
        </w:rPr>
        <w:t> </w:t>
      </w:r>
      <w:r>
        <w:rPr>
          <w:rFonts w:ascii="Arial MT" w:hAnsi="Arial MT"/>
          <w:color w:val="231F1F"/>
          <w:spacing w:val="-2"/>
          <w:sz w:val="24"/>
        </w:rPr>
        <w:t>2008)</w:t>
      </w:r>
    </w:p>
    <w:p>
      <w:pPr>
        <w:pStyle w:val="BodyText"/>
        <w:spacing w:line="261" w:lineRule="auto" w:before="195"/>
        <w:ind w:left="283" w:right="1366"/>
        <w:jc w:val="both"/>
      </w:pPr>
      <w:r>
        <w:rPr>
          <w:color w:val="231F1F"/>
        </w:rPr>
        <w:t>La guía NICE (10) a pesar de que revisa los exámenes y pruebas que se deben realizar a la madre y al niño en la admisión no aborda el tema de la amnioscopia. De hecho, tampoco se hace referencia a la amnioscopia en otro tipo de documen- tos</w:t>
      </w:r>
      <w:r>
        <w:rPr>
          <w:color w:val="231F1F"/>
          <w:spacing w:val="-2"/>
        </w:rPr>
        <w:t> </w:t>
      </w:r>
      <w:r>
        <w:rPr>
          <w:color w:val="231F1F"/>
        </w:rPr>
        <w:t>evaluados,</w:t>
      </w:r>
      <w:r>
        <w:rPr>
          <w:color w:val="231F1F"/>
          <w:spacing w:val="-2"/>
        </w:rPr>
        <w:t> </w:t>
      </w:r>
      <w:r>
        <w:rPr>
          <w:color w:val="231F1F"/>
        </w:rPr>
        <w:t>tales</w:t>
      </w:r>
      <w:r>
        <w:rPr>
          <w:color w:val="231F1F"/>
          <w:spacing w:val="-2"/>
        </w:rPr>
        <w:t> </w:t>
      </w:r>
      <w:r>
        <w:rPr>
          <w:color w:val="231F1F"/>
        </w:rPr>
        <w:t>como:</w:t>
      </w:r>
      <w:r>
        <w:rPr>
          <w:color w:val="231F1F"/>
          <w:spacing w:val="-2"/>
        </w:rPr>
        <w:t> </w:t>
      </w:r>
      <w:r>
        <w:rPr>
          <w:color w:val="231F1F"/>
        </w:rPr>
        <w:t>la</w:t>
      </w:r>
      <w:r>
        <w:rPr>
          <w:color w:val="231F1F"/>
          <w:spacing w:val="-2"/>
        </w:rPr>
        <w:t> </w:t>
      </w:r>
      <w:r>
        <w:rPr>
          <w:color w:val="231F1F"/>
        </w:rPr>
        <w:t>«Estrategia</w:t>
      </w:r>
      <w:r>
        <w:rPr>
          <w:color w:val="231F1F"/>
          <w:spacing w:val="-3"/>
        </w:rPr>
        <w:t> </w:t>
      </w:r>
      <w:r>
        <w:rPr>
          <w:color w:val="231F1F"/>
        </w:rPr>
        <w:t>de</w:t>
      </w:r>
      <w:r>
        <w:rPr>
          <w:color w:val="231F1F"/>
          <w:spacing w:val="-2"/>
        </w:rPr>
        <w:t> </w:t>
      </w:r>
      <w:r>
        <w:rPr>
          <w:color w:val="231F1F"/>
        </w:rPr>
        <w:t>atención</w:t>
      </w:r>
      <w:r>
        <w:rPr>
          <w:color w:val="231F1F"/>
          <w:spacing w:val="-3"/>
        </w:rPr>
        <w:t> </w:t>
      </w:r>
      <w:r>
        <w:rPr>
          <w:color w:val="231F1F"/>
        </w:rPr>
        <w:t>al</w:t>
      </w:r>
      <w:r>
        <w:rPr>
          <w:color w:val="231F1F"/>
          <w:spacing w:val="-2"/>
        </w:rPr>
        <w:t> </w:t>
      </w:r>
      <w:r>
        <w:rPr>
          <w:color w:val="231F1F"/>
        </w:rPr>
        <w:t>parto</w:t>
      </w:r>
      <w:r>
        <w:rPr>
          <w:color w:val="231F1F"/>
          <w:spacing w:val="-2"/>
        </w:rPr>
        <w:t> </w:t>
      </w:r>
      <w:r>
        <w:rPr>
          <w:color w:val="231F1F"/>
        </w:rPr>
        <w:t>normal</w:t>
      </w:r>
      <w:r>
        <w:rPr>
          <w:color w:val="231F1F"/>
          <w:spacing w:val="-2"/>
        </w:rPr>
        <w:t> </w:t>
      </w:r>
      <w:r>
        <w:rPr>
          <w:color w:val="231F1F"/>
        </w:rPr>
        <w:t>en</w:t>
      </w:r>
      <w:r>
        <w:rPr>
          <w:color w:val="231F1F"/>
          <w:spacing w:val="-2"/>
        </w:rPr>
        <w:t> </w:t>
      </w:r>
      <w:r>
        <w:rPr>
          <w:color w:val="231F1F"/>
        </w:rPr>
        <w:t>el</w:t>
      </w:r>
      <w:r>
        <w:rPr>
          <w:color w:val="231F1F"/>
          <w:spacing w:val="-2"/>
        </w:rPr>
        <w:t> </w:t>
      </w:r>
      <w:r>
        <w:rPr>
          <w:color w:val="231F1F"/>
        </w:rPr>
        <w:t>Sistema Nacional de Salud» (5) recomendaciones realizadas por el Ministerio de Sanidad en 2007, las recomendaciones del 2008 sobre la asistencia al parto de la SEGO (38), ni en la guía de «Cuidados en el parto normal: una guía práctica» realizada por la OMS (4). Además, una revisión no sistemática francesa (39) concluye que no está demostrada la utilidad de un control sistemático del aspecto del líquido amniótico</w:t>
      </w:r>
      <w:r>
        <w:rPr>
          <w:color w:val="231F1F"/>
          <w:spacing w:val="38"/>
        </w:rPr>
        <w:t> </w:t>
      </w:r>
      <w:r>
        <w:rPr>
          <w:color w:val="231F1F"/>
        </w:rPr>
        <w:t>mediante</w:t>
      </w:r>
      <w:r>
        <w:rPr>
          <w:color w:val="231F1F"/>
          <w:spacing w:val="40"/>
        </w:rPr>
        <w:t> </w:t>
      </w:r>
      <w:r>
        <w:rPr>
          <w:color w:val="231F1F"/>
        </w:rPr>
        <w:t>una</w:t>
      </w:r>
      <w:r>
        <w:rPr>
          <w:color w:val="231F1F"/>
          <w:spacing w:val="38"/>
        </w:rPr>
        <w:t> </w:t>
      </w:r>
      <w:r>
        <w:rPr>
          <w:color w:val="231F1F"/>
        </w:rPr>
        <w:t>amnioscopia</w:t>
      </w:r>
      <w:r>
        <w:rPr>
          <w:color w:val="231F1F"/>
          <w:spacing w:val="40"/>
        </w:rPr>
        <w:t> </w:t>
      </w:r>
      <w:r>
        <w:rPr>
          <w:color w:val="231F1F"/>
        </w:rPr>
        <w:t>en</w:t>
      </w:r>
      <w:r>
        <w:rPr>
          <w:color w:val="231F1F"/>
          <w:spacing w:val="38"/>
        </w:rPr>
        <w:t> </w:t>
      </w:r>
      <w:r>
        <w:rPr>
          <w:color w:val="231F1F"/>
        </w:rPr>
        <w:t>el</w:t>
      </w:r>
      <w:r>
        <w:rPr>
          <w:color w:val="231F1F"/>
          <w:spacing w:val="40"/>
        </w:rPr>
        <w:t> </w:t>
      </w:r>
      <w:r>
        <w:rPr>
          <w:color w:val="231F1F"/>
        </w:rPr>
        <w:t>principio</w:t>
      </w:r>
      <w:r>
        <w:rPr>
          <w:color w:val="231F1F"/>
          <w:spacing w:val="38"/>
        </w:rPr>
        <w:t> </w:t>
      </w:r>
      <w:r>
        <w:rPr>
          <w:color w:val="231F1F"/>
        </w:rPr>
        <w:t>del</w:t>
      </w:r>
      <w:r>
        <w:rPr>
          <w:color w:val="231F1F"/>
          <w:spacing w:val="38"/>
        </w:rPr>
        <w:t> </w:t>
      </w:r>
      <w:r>
        <w:rPr>
          <w:color w:val="231F1F"/>
        </w:rPr>
        <w:t>trabajo</w:t>
      </w:r>
      <w:r>
        <w:rPr>
          <w:color w:val="231F1F"/>
          <w:spacing w:val="38"/>
        </w:rPr>
        <w:t> </w:t>
      </w:r>
      <w:r>
        <w:rPr>
          <w:color w:val="231F1F"/>
        </w:rPr>
        <w:t>de</w:t>
      </w:r>
      <w:r>
        <w:rPr>
          <w:color w:val="231F1F"/>
          <w:spacing w:val="40"/>
        </w:rPr>
        <w:t> </w:t>
      </w:r>
      <w:r>
        <w:rPr>
          <w:color w:val="231F1F"/>
        </w:rPr>
        <w:t>parto.</w:t>
      </w:r>
    </w:p>
    <w:p>
      <w:pPr>
        <w:pStyle w:val="BodyText"/>
        <w:spacing w:line="249" w:lineRule="auto" w:before="93"/>
        <w:ind w:left="283" w:right="1369" w:firstLine="453"/>
        <w:jc w:val="both"/>
      </w:pPr>
      <w:r>
        <w:rPr>
          <w:color w:val="231F1F"/>
          <w:w w:val="105"/>
        </w:rPr>
        <w:t>La</w:t>
      </w:r>
      <w:r>
        <w:rPr>
          <w:color w:val="231F1F"/>
          <w:w w:val="105"/>
        </w:rPr>
        <w:t> búsqueda</w:t>
      </w:r>
      <w:r>
        <w:rPr>
          <w:color w:val="231F1F"/>
          <w:w w:val="105"/>
        </w:rPr>
        <w:t> sistemática</w:t>
      </w:r>
      <w:r>
        <w:rPr>
          <w:color w:val="231F1F"/>
          <w:w w:val="105"/>
        </w:rPr>
        <w:t> llevada</w:t>
      </w:r>
      <w:r>
        <w:rPr>
          <w:color w:val="231F1F"/>
          <w:w w:val="105"/>
        </w:rPr>
        <w:t> a</w:t>
      </w:r>
      <w:r>
        <w:rPr>
          <w:color w:val="231F1F"/>
          <w:w w:val="105"/>
        </w:rPr>
        <w:t> cabo</w:t>
      </w:r>
      <w:r>
        <w:rPr>
          <w:color w:val="231F1F"/>
          <w:w w:val="105"/>
        </w:rPr>
        <w:t> para</w:t>
      </w:r>
      <w:r>
        <w:rPr>
          <w:color w:val="231F1F"/>
          <w:w w:val="105"/>
        </w:rPr>
        <w:t> responder</w:t>
      </w:r>
      <w:r>
        <w:rPr>
          <w:color w:val="231F1F"/>
          <w:w w:val="105"/>
        </w:rPr>
        <w:t> a</w:t>
      </w:r>
      <w:r>
        <w:rPr>
          <w:color w:val="231F1F"/>
          <w:w w:val="105"/>
        </w:rPr>
        <w:t> esta</w:t>
      </w:r>
      <w:r>
        <w:rPr>
          <w:color w:val="231F1F"/>
          <w:w w:val="105"/>
        </w:rPr>
        <w:t> pregunta encontró</w:t>
      </w:r>
      <w:r>
        <w:rPr>
          <w:color w:val="231F1F"/>
          <w:spacing w:val="-10"/>
          <w:w w:val="105"/>
        </w:rPr>
        <w:t> </w:t>
      </w:r>
      <w:r>
        <w:rPr>
          <w:color w:val="231F1F"/>
          <w:w w:val="105"/>
        </w:rPr>
        <w:t>6</w:t>
      </w:r>
      <w:r>
        <w:rPr>
          <w:color w:val="231F1F"/>
          <w:spacing w:val="-10"/>
          <w:w w:val="105"/>
        </w:rPr>
        <w:t> </w:t>
      </w:r>
      <w:r>
        <w:rPr>
          <w:color w:val="231F1F"/>
          <w:w w:val="105"/>
        </w:rPr>
        <w:t>revisiones</w:t>
      </w:r>
      <w:r>
        <w:rPr>
          <w:color w:val="231F1F"/>
          <w:spacing w:val="-9"/>
          <w:w w:val="105"/>
        </w:rPr>
        <w:t> </w:t>
      </w:r>
      <w:r>
        <w:rPr>
          <w:color w:val="231F1F"/>
          <w:w w:val="105"/>
        </w:rPr>
        <w:t>y</w:t>
      </w:r>
      <w:r>
        <w:rPr>
          <w:color w:val="231F1F"/>
          <w:spacing w:val="-10"/>
          <w:w w:val="105"/>
        </w:rPr>
        <w:t> </w:t>
      </w:r>
      <w:r>
        <w:rPr>
          <w:color w:val="231F1F"/>
          <w:w w:val="105"/>
        </w:rPr>
        <w:t>10</w:t>
      </w:r>
      <w:r>
        <w:rPr>
          <w:color w:val="231F1F"/>
          <w:spacing w:val="-10"/>
          <w:w w:val="105"/>
        </w:rPr>
        <w:t> </w:t>
      </w:r>
      <w:r>
        <w:rPr>
          <w:color w:val="231F1F"/>
          <w:w w:val="105"/>
        </w:rPr>
        <w:t>ensayos,</w:t>
      </w:r>
      <w:r>
        <w:rPr>
          <w:color w:val="231F1F"/>
          <w:spacing w:val="-9"/>
          <w:w w:val="105"/>
        </w:rPr>
        <w:t> </w:t>
      </w:r>
      <w:r>
        <w:rPr>
          <w:color w:val="231F1F"/>
          <w:w w:val="105"/>
        </w:rPr>
        <w:t>de</w:t>
      </w:r>
      <w:r>
        <w:rPr>
          <w:color w:val="231F1F"/>
          <w:spacing w:val="-10"/>
          <w:w w:val="105"/>
        </w:rPr>
        <w:t> </w:t>
      </w:r>
      <w:r>
        <w:rPr>
          <w:color w:val="231F1F"/>
          <w:w w:val="105"/>
        </w:rPr>
        <w:t>los</w:t>
      </w:r>
      <w:r>
        <w:rPr>
          <w:color w:val="231F1F"/>
          <w:spacing w:val="-10"/>
          <w:w w:val="105"/>
        </w:rPr>
        <w:t> </w:t>
      </w:r>
      <w:r>
        <w:rPr>
          <w:color w:val="231F1F"/>
          <w:w w:val="105"/>
        </w:rPr>
        <w:t>que</w:t>
      </w:r>
      <w:r>
        <w:rPr>
          <w:color w:val="231F1F"/>
          <w:spacing w:val="-10"/>
          <w:w w:val="105"/>
        </w:rPr>
        <w:t> </w:t>
      </w:r>
      <w:r>
        <w:rPr>
          <w:color w:val="231F1F"/>
          <w:w w:val="105"/>
        </w:rPr>
        <w:t>finalmente</w:t>
      </w:r>
      <w:r>
        <w:rPr>
          <w:color w:val="231F1F"/>
          <w:spacing w:val="-9"/>
          <w:w w:val="105"/>
        </w:rPr>
        <w:t> </w:t>
      </w:r>
      <w:r>
        <w:rPr>
          <w:color w:val="231F1F"/>
          <w:w w:val="105"/>
        </w:rPr>
        <w:t>sólo</w:t>
      </w:r>
      <w:r>
        <w:rPr>
          <w:color w:val="231F1F"/>
          <w:spacing w:val="-10"/>
          <w:w w:val="105"/>
        </w:rPr>
        <w:t> </w:t>
      </w:r>
      <w:r>
        <w:rPr>
          <w:color w:val="231F1F"/>
          <w:w w:val="105"/>
        </w:rPr>
        <w:t>se</w:t>
      </w:r>
      <w:r>
        <w:rPr>
          <w:color w:val="231F1F"/>
          <w:spacing w:val="-10"/>
          <w:w w:val="105"/>
        </w:rPr>
        <w:t> </w:t>
      </w:r>
      <w:r>
        <w:rPr>
          <w:color w:val="231F1F"/>
          <w:w w:val="105"/>
        </w:rPr>
        <w:t>seleccionaron 2 de los ensayos.</w:t>
      </w:r>
    </w:p>
    <w:p>
      <w:pPr>
        <w:pStyle w:val="BodyText"/>
        <w:spacing w:line="249" w:lineRule="auto" w:before="118"/>
        <w:ind w:left="283" w:right="1365" w:firstLine="453"/>
        <w:jc w:val="both"/>
      </w:pPr>
      <w:r>
        <w:rPr>
          <w:color w:val="231F1F"/>
          <w:w w:val="105"/>
        </w:rPr>
        <w:t>Un</w:t>
      </w:r>
      <w:r>
        <w:rPr>
          <w:color w:val="231F1F"/>
          <w:spacing w:val="-10"/>
          <w:w w:val="105"/>
        </w:rPr>
        <w:t> </w:t>
      </w:r>
      <w:r>
        <w:rPr>
          <w:color w:val="231F1F"/>
          <w:w w:val="105"/>
        </w:rPr>
        <w:t>estudio</w:t>
      </w:r>
      <w:r>
        <w:rPr>
          <w:color w:val="231F1F"/>
          <w:spacing w:val="-10"/>
          <w:w w:val="105"/>
        </w:rPr>
        <w:t> </w:t>
      </w:r>
      <w:r>
        <w:rPr>
          <w:color w:val="231F1F"/>
          <w:w w:val="105"/>
        </w:rPr>
        <w:t>(40)</w:t>
      </w:r>
      <w:r>
        <w:rPr>
          <w:color w:val="231F1F"/>
          <w:spacing w:val="-10"/>
          <w:w w:val="105"/>
        </w:rPr>
        <w:t> </w:t>
      </w:r>
      <w:r>
        <w:rPr>
          <w:color w:val="231F1F"/>
          <w:w w:val="105"/>
        </w:rPr>
        <w:t>realizado</w:t>
      </w:r>
      <w:r>
        <w:rPr>
          <w:color w:val="231F1F"/>
          <w:spacing w:val="-10"/>
          <w:w w:val="105"/>
        </w:rPr>
        <w:t> </w:t>
      </w:r>
      <w:r>
        <w:rPr>
          <w:color w:val="231F1F"/>
          <w:w w:val="105"/>
        </w:rPr>
        <w:t>en</w:t>
      </w:r>
      <w:r>
        <w:rPr>
          <w:color w:val="231F1F"/>
          <w:spacing w:val="-10"/>
          <w:w w:val="105"/>
        </w:rPr>
        <w:t> </w:t>
      </w:r>
      <w:r>
        <w:rPr>
          <w:color w:val="231F1F"/>
          <w:w w:val="105"/>
        </w:rPr>
        <w:t>1988</w:t>
      </w:r>
      <w:r>
        <w:rPr>
          <w:color w:val="231F1F"/>
          <w:spacing w:val="-10"/>
          <w:w w:val="105"/>
        </w:rPr>
        <w:t> </w:t>
      </w:r>
      <w:r>
        <w:rPr>
          <w:color w:val="231F1F"/>
          <w:w w:val="105"/>
        </w:rPr>
        <w:t>que</w:t>
      </w:r>
      <w:r>
        <w:rPr>
          <w:color w:val="231F1F"/>
          <w:spacing w:val="-10"/>
          <w:w w:val="105"/>
        </w:rPr>
        <w:t> </w:t>
      </w:r>
      <w:r>
        <w:rPr>
          <w:color w:val="231F1F"/>
          <w:w w:val="105"/>
        </w:rPr>
        <w:t>incluyó</w:t>
      </w:r>
      <w:r>
        <w:rPr>
          <w:color w:val="231F1F"/>
          <w:spacing w:val="-10"/>
          <w:w w:val="105"/>
        </w:rPr>
        <w:t> </w:t>
      </w:r>
      <w:r>
        <w:rPr>
          <w:color w:val="231F1F"/>
          <w:w w:val="105"/>
        </w:rPr>
        <w:t>a</w:t>
      </w:r>
      <w:r>
        <w:rPr>
          <w:color w:val="231F1F"/>
          <w:spacing w:val="-10"/>
          <w:w w:val="105"/>
        </w:rPr>
        <w:t> </w:t>
      </w:r>
      <w:r>
        <w:rPr>
          <w:color w:val="231F1F"/>
          <w:w w:val="105"/>
        </w:rPr>
        <w:t>289</w:t>
      </w:r>
      <w:r>
        <w:rPr>
          <w:color w:val="231F1F"/>
          <w:spacing w:val="-10"/>
          <w:w w:val="105"/>
        </w:rPr>
        <w:t> </w:t>
      </w:r>
      <w:r>
        <w:rPr>
          <w:color w:val="231F1F"/>
          <w:w w:val="105"/>
        </w:rPr>
        <w:t>mujeres</w:t>
      </w:r>
      <w:r>
        <w:rPr>
          <w:color w:val="231F1F"/>
          <w:spacing w:val="-10"/>
          <w:w w:val="105"/>
        </w:rPr>
        <w:t> </w:t>
      </w:r>
      <w:r>
        <w:rPr>
          <w:color w:val="231F1F"/>
          <w:w w:val="105"/>
        </w:rPr>
        <w:t>consecutivas tenía</w:t>
      </w:r>
      <w:r>
        <w:rPr>
          <w:color w:val="231F1F"/>
          <w:w w:val="105"/>
        </w:rPr>
        <w:t> por</w:t>
      </w:r>
      <w:r>
        <w:rPr>
          <w:color w:val="231F1F"/>
          <w:w w:val="105"/>
        </w:rPr>
        <w:t> objetivo</w:t>
      </w:r>
      <w:r>
        <w:rPr>
          <w:color w:val="231F1F"/>
          <w:w w:val="105"/>
        </w:rPr>
        <w:t> evaluar</w:t>
      </w:r>
      <w:r>
        <w:rPr>
          <w:color w:val="231F1F"/>
          <w:w w:val="105"/>
        </w:rPr>
        <w:t> la</w:t>
      </w:r>
      <w:r>
        <w:rPr>
          <w:color w:val="231F1F"/>
          <w:w w:val="105"/>
        </w:rPr>
        <w:t> efectividad</w:t>
      </w:r>
      <w:r>
        <w:rPr>
          <w:color w:val="231F1F"/>
          <w:w w:val="105"/>
        </w:rPr>
        <w:t> de</w:t>
      </w:r>
      <w:r>
        <w:rPr>
          <w:color w:val="231F1F"/>
          <w:w w:val="105"/>
        </w:rPr>
        <w:t> la</w:t>
      </w:r>
      <w:r>
        <w:rPr>
          <w:color w:val="231F1F"/>
          <w:w w:val="105"/>
        </w:rPr>
        <w:t> amnioscopia</w:t>
      </w:r>
      <w:r>
        <w:rPr>
          <w:color w:val="231F1F"/>
          <w:w w:val="105"/>
        </w:rPr>
        <w:t> para</w:t>
      </w:r>
      <w:r>
        <w:rPr>
          <w:color w:val="231F1F"/>
          <w:w w:val="105"/>
        </w:rPr>
        <w:t> detectar</w:t>
      </w:r>
      <w:r>
        <w:rPr>
          <w:color w:val="231F1F"/>
          <w:w w:val="105"/>
        </w:rPr>
        <w:t> la presencia</w:t>
      </w:r>
      <w:r>
        <w:rPr>
          <w:color w:val="231F1F"/>
          <w:w w:val="105"/>
        </w:rPr>
        <w:t> de</w:t>
      </w:r>
      <w:r>
        <w:rPr>
          <w:color w:val="231F1F"/>
          <w:w w:val="105"/>
        </w:rPr>
        <w:t> meconio</w:t>
      </w:r>
      <w:r>
        <w:rPr>
          <w:color w:val="231F1F"/>
          <w:w w:val="105"/>
        </w:rPr>
        <w:t> en</w:t>
      </w:r>
      <w:r>
        <w:rPr>
          <w:color w:val="231F1F"/>
          <w:w w:val="105"/>
        </w:rPr>
        <w:t> embarazos</w:t>
      </w:r>
      <w:r>
        <w:rPr>
          <w:color w:val="231F1F"/>
          <w:w w:val="105"/>
        </w:rPr>
        <w:t> de</w:t>
      </w:r>
      <w:r>
        <w:rPr>
          <w:color w:val="231F1F"/>
          <w:w w:val="105"/>
        </w:rPr>
        <w:t> edad</w:t>
      </w:r>
      <w:r>
        <w:rPr>
          <w:color w:val="231F1F"/>
          <w:w w:val="105"/>
        </w:rPr>
        <w:t> gestacional</w:t>
      </w:r>
      <w:r>
        <w:rPr>
          <w:color w:val="231F1F"/>
          <w:w w:val="105"/>
        </w:rPr>
        <w:t> &gt;41</w:t>
      </w:r>
      <w:r>
        <w:rPr>
          <w:color w:val="231F1F"/>
          <w:w w:val="105"/>
        </w:rPr>
        <w:t> semanas,</w:t>
      </w:r>
      <w:r>
        <w:rPr>
          <w:color w:val="231F1F"/>
          <w:w w:val="105"/>
        </w:rPr>
        <w:t> así como su correlación con el sufrimiento y la morbi-mortalidad fetal. También se evaluaba si cuando se detectaba líquido meconial la rotura de membranas realizada reducía la morbi-mortalidad fetal.</w:t>
      </w:r>
    </w:p>
    <w:p>
      <w:pPr>
        <w:pStyle w:val="BodyText"/>
        <w:tabs>
          <w:tab w:pos="7528" w:val="left" w:leader="none"/>
        </w:tabs>
        <w:spacing w:before="54"/>
        <w:ind w:left="127"/>
        <w:jc w:val="center"/>
        <w:rPr>
          <w:rFonts w:ascii="Arial MT" w:hAnsi="Arial MT"/>
          <w:sz w:val="18"/>
        </w:rPr>
      </w:pPr>
      <w:r>
        <w:rPr>
          <w:color w:val="231F1F"/>
          <w:w w:val="105"/>
        </w:rPr>
        <w:t>Los</w:t>
      </w:r>
      <w:r>
        <w:rPr>
          <w:color w:val="231F1F"/>
          <w:spacing w:val="-4"/>
          <w:w w:val="105"/>
        </w:rPr>
        <w:t> </w:t>
      </w:r>
      <w:r>
        <w:rPr>
          <w:color w:val="231F1F"/>
          <w:w w:val="105"/>
        </w:rPr>
        <w:t>resultados</w:t>
      </w:r>
      <w:r>
        <w:rPr>
          <w:color w:val="231F1F"/>
          <w:spacing w:val="-2"/>
          <w:w w:val="105"/>
        </w:rPr>
        <w:t> </w:t>
      </w:r>
      <w:r>
        <w:rPr>
          <w:color w:val="231F1F"/>
          <w:w w:val="105"/>
        </w:rPr>
        <w:t>mostraron</w:t>
      </w:r>
      <w:r>
        <w:rPr>
          <w:color w:val="231F1F"/>
          <w:spacing w:val="-2"/>
          <w:w w:val="105"/>
        </w:rPr>
        <w:t> </w:t>
      </w:r>
      <w:r>
        <w:rPr>
          <w:color w:val="231F1F"/>
          <w:w w:val="105"/>
        </w:rPr>
        <w:t>que</w:t>
      </w:r>
      <w:r>
        <w:rPr>
          <w:color w:val="231F1F"/>
          <w:spacing w:val="-3"/>
          <w:w w:val="105"/>
        </w:rPr>
        <w:t> </w:t>
      </w:r>
      <w:r>
        <w:rPr>
          <w:color w:val="231F1F"/>
          <w:w w:val="105"/>
        </w:rPr>
        <w:t>el</w:t>
      </w:r>
      <w:r>
        <w:rPr>
          <w:color w:val="231F1F"/>
          <w:spacing w:val="-3"/>
          <w:w w:val="105"/>
        </w:rPr>
        <w:t> </w:t>
      </w:r>
      <w:r>
        <w:rPr>
          <w:color w:val="231F1F"/>
          <w:w w:val="105"/>
        </w:rPr>
        <w:t>líquido</w:t>
      </w:r>
      <w:r>
        <w:rPr>
          <w:color w:val="231F1F"/>
          <w:spacing w:val="-2"/>
          <w:w w:val="105"/>
        </w:rPr>
        <w:t> </w:t>
      </w:r>
      <w:r>
        <w:rPr>
          <w:color w:val="231F1F"/>
          <w:w w:val="105"/>
        </w:rPr>
        <w:t>amniótico</w:t>
      </w:r>
      <w:r>
        <w:rPr>
          <w:color w:val="231F1F"/>
          <w:spacing w:val="-3"/>
          <w:w w:val="105"/>
        </w:rPr>
        <w:t> </w:t>
      </w:r>
      <w:r>
        <w:rPr>
          <w:color w:val="231F1F"/>
          <w:w w:val="105"/>
        </w:rPr>
        <w:t>con</w:t>
      </w:r>
      <w:r>
        <w:rPr>
          <w:color w:val="231F1F"/>
          <w:spacing w:val="-2"/>
          <w:w w:val="105"/>
        </w:rPr>
        <w:t> </w:t>
      </w:r>
      <w:r>
        <w:rPr>
          <w:color w:val="231F1F"/>
          <w:w w:val="105"/>
        </w:rPr>
        <w:t>meconio</w:t>
      </w:r>
      <w:r>
        <w:rPr>
          <w:color w:val="231F1F"/>
          <w:spacing w:val="-2"/>
          <w:w w:val="105"/>
        </w:rPr>
        <w:t> </w:t>
      </w:r>
      <w:r>
        <w:rPr>
          <w:color w:val="231F1F"/>
          <w:w w:val="105"/>
        </w:rPr>
        <w:t>tiende</w:t>
      </w:r>
      <w:r>
        <w:rPr>
          <w:color w:val="231F1F"/>
          <w:spacing w:val="-4"/>
          <w:w w:val="105"/>
        </w:rPr>
        <w:t> </w:t>
      </w:r>
      <w:r>
        <w:rPr>
          <w:color w:val="231F1F"/>
          <w:spacing w:val="-10"/>
          <w:w w:val="105"/>
        </w:rPr>
        <w:t>a</w:t>
      </w:r>
      <w:r>
        <w:rPr>
          <w:color w:val="231F1F"/>
        </w:rPr>
        <w:tab/>
      </w:r>
      <w:r>
        <w:rPr>
          <w:rFonts w:ascii="Arial MT" w:hAnsi="Arial MT"/>
          <w:color w:val="231F1F"/>
          <w:spacing w:val="-5"/>
          <w:w w:val="110"/>
          <w:sz w:val="18"/>
        </w:rPr>
        <w:t>E.</w:t>
      </w:r>
    </w:p>
    <w:p>
      <w:pPr>
        <w:pStyle w:val="BodyText"/>
        <w:tabs>
          <w:tab w:pos="7528" w:val="left" w:leader="none"/>
        </w:tabs>
        <w:spacing w:before="7"/>
        <w:ind w:left="72"/>
        <w:jc w:val="center"/>
        <w:rPr>
          <w:rFonts w:ascii="Arial MT"/>
          <w:position w:val="4"/>
          <w:sz w:val="18"/>
        </w:rPr>
      </w:pPr>
      <w:r>
        <w:rPr>
          <w:color w:val="231F1F"/>
        </w:rPr>
        <w:t>ser</w:t>
      </w:r>
      <w:r>
        <w:rPr>
          <w:color w:val="231F1F"/>
          <w:spacing w:val="-14"/>
        </w:rPr>
        <w:t> </w:t>
      </w:r>
      <w:r>
        <w:rPr>
          <w:color w:val="231F1F"/>
        </w:rPr>
        <w:t>asociado</w:t>
      </w:r>
      <w:r>
        <w:rPr>
          <w:color w:val="231F1F"/>
          <w:spacing w:val="-13"/>
        </w:rPr>
        <w:t> </w:t>
      </w:r>
      <w:r>
        <w:rPr>
          <w:color w:val="231F1F"/>
        </w:rPr>
        <w:t>con</w:t>
      </w:r>
      <w:r>
        <w:rPr>
          <w:color w:val="231F1F"/>
          <w:spacing w:val="-12"/>
        </w:rPr>
        <w:t> </w:t>
      </w:r>
      <w:r>
        <w:rPr>
          <w:color w:val="231F1F"/>
        </w:rPr>
        <w:t>las</w:t>
      </w:r>
      <w:r>
        <w:rPr>
          <w:color w:val="231F1F"/>
          <w:spacing w:val="-14"/>
        </w:rPr>
        <w:t> </w:t>
      </w:r>
      <w:r>
        <w:rPr>
          <w:color w:val="231F1F"/>
        </w:rPr>
        <w:t>complicaciones</w:t>
      </w:r>
      <w:r>
        <w:rPr>
          <w:color w:val="231F1F"/>
          <w:spacing w:val="-13"/>
        </w:rPr>
        <w:t> </w:t>
      </w:r>
      <w:r>
        <w:rPr>
          <w:color w:val="231F1F"/>
        </w:rPr>
        <w:t>del</w:t>
      </w:r>
      <w:r>
        <w:rPr>
          <w:color w:val="231F1F"/>
          <w:spacing w:val="-12"/>
        </w:rPr>
        <w:t> </w:t>
      </w:r>
      <w:r>
        <w:rPr>
          <w:color w:val="231F1F"/>
        </w:rPr>
        <w:t>embarazo</w:t>
      </w:r>
      <w:r>
        <w:rPr>
          <w:color w:val="231F1F"/>
          <w:spacing w:val="-14"/>
        </w:rPr>
        <w:t> </w:t>
      </w:r>
      <w:r>
        <w:rPr>
          <w:color w:val="231F1F"/>
        </w:rPr>
        <w:t>tales</w:t>
      </w:r>
      <w:r>
        <w:rPr>
          <w:color w:val="231F1F"/>
          <w:spacing w:val="-12"/>
        </w:rPr>
        <w:t> </w:t>
      </w:r>
      <w:r>
        <w:rPr>
          <w:color w:val="231F1F"/>
        </w:rPr>
        <w:t>como</w:t>
      </w:r>
      <w:r>
        <w:rPr>
          <w:color w:val="231F1F"/>
          <w:spacing w:val="-13"/>
        </w:rPr>
        <w:t> </w:t>
      </w:r>
      <w:r>
        <w:rPr>
          <w:color w:val="231F1F"/>
        </w:rPr>
        <w:t>la</w:t>
      </w:r>
      <w:r>
        <w:rPr>
          <w:color w:val="231F1F"/>
          <w:spacing w:val="-12"/>
        </w:rPr>
        <w:t> </w:t>
      </w:r>
      <w:r>
        <w:rPr>
          <w:color w:val="231F1F"/>
          <w:spacing w:val="-2"/>
        </w:rPr>
        <w:t>incompatibilidad</w:t>
      </w:r>
      <w:r>
        <w:rPr>
          <w:color w:val="231F1F"/>
        </w:rPr>
        <w:tab/>
      </w:r>
      <w:r>
        <w:rPr>
          <w:rFonts w:ascii="Arial MT"/>
          <w:color w:val="231F1F"/>
          <w:spacing w:val="-2"/>
          <w:position w:val="4"/>
          <w:sz w:val="18"/>
        </w:rPr>
        <w:t>Transversal</w:t>
      </w:r>
    </w:p>
    <w:p>
      <w:pPr>
        <w:pStyle w:val="BodyText"/>
        <w:spacing w:after="0"/>
        <w:jc w:val="center"/>
        <w:rPr>
          <w:rFonts w:ascii="Arial MT"/>
          <w:position w:val="4"/>
          <w:sz w:val="18"/>
        </w:rPr>
        <w:sectPr>
          <w:pgSz w:w="11900" w:h="16840"/>
          <w:pgMar w:header="0" w:footer="622" w:top="1560" w:bottom="820" w:left="1417" w:right="1559"/>
        </w:sectPr>
      </w:pPr>
    </w:p>
    <w:p>
      <w:pPr>
        <w:pStyle w:val="BodyText"/>
        <w:spacing w:line="247" w:lineRule="auto" w:before="30"/>
        <w:ind w:left="283" w:right="38"/>
        <w:jc w:val="both"/>
      </w:pPr>
      <w:r>
        <w:rPr>
          <w:color w:val="231F1F"/>
          <w:spacing w:val="-4"/>
          <w:w w:val="110"/>
        </w:rPr>
        <w:t>ABO</w:t>
      </w:r>
      <w:r>
        <w:rPr>
          <w:color w:val="231F1F"/>
          <w:spacing w:val="-5"/>
          <w:w w:val="110"/>
        </w:rPr>
        <w:t> </w:t>
      </w:r>
      <w:r>
        <w:rPr>
          <w:color w:val="231F1F"/>
          <w:spacing w:val="-4"/>
          <w:w w:val="110"/>
        </w:rPr>
        <w:t>(p</w:t>
      </w:r>
      <w:r>
        <w:rPr>
          <w:color w:val="231F1F"/>
          <w:spacing w:val="-6"/>
          <w:w w:val="110"/>
        </w:rPr>
        <w:t> </w:t>
      </w:r>
      <w:r>
        <w:rPr>
          <w:color w:val="231F1F"/>
          <w:spacing w:val="-4"/>
          <w:w w:val="110"/>
        </w:rPr>
        <w:t>&lt;0,05),</w:t>
      </w:r>
      <w:r>
        <w:rPr>
          <w:color w:val="231F1F"/>
          <w:spacing w:val="-6"/>
          <w:w w:val="110"/>
        </w:rPr>
        <w:t> </w:t>
      </w:r>
      <w:r>
        <w:rPr>
          <w:color w:val="231F1F"/>
          <w:spacing w:val="-4"/>
          <w:w w:val="110"/>
        </w:rPr>
        <w:t>la</w:t>
      </w:r>
      <w:r>
        <w:rPr>
          <w:color w:val="231F1F"/>
          <w:spacing w:val="-6"/>
          <w:w w:val="110"/>
        </w:rPr>
        <w:t> </w:t>
      </w:r>
      <w:r>
        <w:rPr>
          <w:color w:val="231F1F"/>
          <w:spacing w:val="-4"/>
          <w:w w:val="110"/>
        </w:rPr>
        <w:t>necesidad</w:t>
      </w:r>
      <w:r>
        <w:rPr>
          <w:color w:val="231F1F"/>
          <w:spacing w:val="-6"/>
          <w:w w:val="110"/>
        </w:rPr>
        <w:t> </w:t>
      </w:r>
      <w:r>
        <w:rPr>
          <w:color w:val="231F1F"/>
          <w:spacing w:val="-4"/>
          <w:w w:val="110"/>
        </w:rPr>
        <w:t>de</w:t>
      </w:r>
      <w:r>
        <w:rPr>
          <w:color w:val="231F1F"/>
          <w:spacing w:val="-7"/>
          <w:w w:val="110"/>
        </w:rPr>
        <w:t> </w:t>
      </w:r>
      <w:r>
        <w:rPr>
          <w:color w:val="231F1F"/>
          <w:spacing w:val="-4"/>
          <w:w w:val="110"/>
        </w:rPr>
        <w:t>parto</w:t>
      </w:r>
      <w:r>
        <w:rPr>
          <w:color w:val="231F1F"/>
          <w:spacing w:val="-6"/>
          <w:w w:val="110"/>
        </w:rPr>
        <w:t> </w:t>
      </w:r>
      <w:r>
        <w:rPr>
          <w:color w:val="231F1F"/>
          <w:spacing w:val="-4"/>
          <w:w w:val="110"/>
        </w:rPr>
        <w:t>operatorio</w:t>
      </w:r>
      <w:r>
        <w:rPr>
          <w:color w:val="231F1F"/>
          <w:spacing w:val="-7"/>
          <w:w w:val="110"/>
        </w:rPr>
        <w:t> </w:t>
      </w:r>
      <w:r>
        <w:rPr>
          <w:color w:val="231F1F"/>
          <w:spacing w:val="-4"/>
          <w:w w:val="110"/>
        </w:rPr>
        <w:t>(p</w:t>
      </w:r>
      <w:r>
        <w:rPr>
          <w:color w:val="231F1F"/>
          <w:spacing w:val="-6"/>
          <w:w w:val="110"/>
        </w:rPr>
        <w:t> </w:t>
      </w:r>
      <w:r>
        <w:rPr>
          <w:color w:val="231F1F"/>
          <w:spacing w:val="-4"/>
          <w:w w:val="110"/>
        </w:rPr>
        <w:t>&lt;0,02),</w:t>
      </w:r>
      <w:r>
        <w:rPr>
          <w:color w:val="231F1F"/>
          <w:spacing w:val="-6"/>
          <w:w w:val="110"/>
        </w:rPr>
        <w:t> </w:t>
      </w:r>
      <w:r>
        <w:rPr>
          <w:color w:val="231F1F"/>
          <w:spacing w:val="-4"/>
          <w:w w:val="110"/>
        </w:rPr>
        <w:t>y</w:t>
      </w:r>
      <w:r>
        <w:rPr>
          <w:color w:val="231F1F"/>
          <w:spacing w:val="-6"/>
          <w:w w:val="110"/>
        </w:rPr>
        <w:t> </w:t>
      </w:r>
      <w:r>
        <w:rPr>
          <w:color w:val="231F1F"/>
          <w:spacing w:val="-4"/>
          <w:w w:val="110"/>
        </w:rPr>
        <w:t>sufrimiento</w:t>
      </w:r>
      <w:r>
        <w:rPr>
          <w:color w:val="231F1F"/>
          <w:spacing w:val="-7"/>
          <w:w w:val="110"/>
        </w:rPr>
        <w:t> </w:t>
      </w:r>
      <w:r>
        <w:rPr>
          <w:color w:val="231F1F"/>
          <w:spacing w:val="-4"/>
          <w:w w:val="110"/>
        </w:rPr>
        <w:t>fetal </w:t>
      </w:r>
      <w:r>
        <w:rPr>
          <w:color w:val="231F1F"/>
          <w:w w:val="110"/>
        </w:rPr>
        <w:t>al</w:t>
      </w:r>
      <w:r>
        <w:rPr>
          <w:color w:val="231F1F"/>
          <w:spacing w:val="-14"/>
          <w:w w:val="110"/>
        </w:rPr>
        <w:t> </w:t>
      </w:r>
      <w:r>
        <w:rPr>
          <w:color w:val="231F1F"/>
          <w:w w:val="110"/>
        </w:rPr>
        <w:t>nacer</w:t>
      </w:r>
      <w:r>
        <w:rPr>
          <w:color w:val="231F1F"/>
          <w:spacing w:val="-15"/>
          <w:w w:val="110"/>
        </w:rPr>
        <w:t> </w:t>
      </w:r>
      <w:r>
        <w:rPr>
          <w:color w:val="231F1F"/>
          <w:w w:val="110"/>
        </w:rPr>
        <w:t>(p</w:t>
      </w:r>
      <w:r>
        <w:rPr>
          <w:color w:val="231F1F"/>
          <w:spacing w:val="-14"/>
          <w:w w:val="110"/>
        </w:rPr>
        <w:t> </w:t>
      </w:r>
      <w:r>
        <w:rPr>
          <w:color w:val="231F1F"/>
          <w:w w:val="110"/>
        </w:rPr>
        <w:t>&lt;0,05).</w:t>
      </w:r>
      <w:r>
        <w:rPr>
          <w:color w:val="231F1F"/>
          <w:spacing w:val="-15"/>
          <w:w w:val="110"/>
        </w:rPr>
        <w:t> </w:t>
      </w:r>
      <w:r>
        <w:rPr>
          <w:color w:val="231F1F"/>
          <w:w w:val="110"/>
        </w:rPr>
        <w:t>La</w:t>
      </w:r>
      <w:r>
        <w:rPr>
          <w:color w:val="231F1F"/>
          <w:spacing w:val="-14"/>
          <w:w w:val="110"/>
        </w:rPr>
        <w:t> </w:t>
      </w:r>
      <w:r>
        <w:rPr>
          <w:color w:val="231F1F"/>
          <w:w w:val="110"/>
        </w:rPr>
        <w:t>amnioscopia</w:t>
      </w:r>
      <w:r>
        <w:rPr>
          <w:color w:val="231F1F"/>
          <w:spacing w:val="-14"/>
          <w:w w:val="110"/>
        </w:rPr>
        <w:t> </w:t>
      </w:r>
      <w:r>
        <w:rPr>
          <w:color w:val="231F1F"/>
          <w:w w:val="110"/>
        </w:rPr>
        <w:t>no</w:t>
      </w:r>
      <w:r>
        <w:rPr>
          <w:color w:val="231F1F"/>
          <w:spacing w:val="-14"/>
          <w:w w:val="110"/>
        </w:rPr>
        <w:t> </w:t>
      </w:r>
      <w:r>
        <w:rPr>
          <w:color w:val="231F1F"/>
          <w:w w:val="110"/>
        </w:rPr>
        <w:t>detectó</w:t>
      </w:r>
      <w:r>
        <w:rPr>
          <w:color w:val="231F1F"/>
          <w:spacing w:val="-14"/>
          <w:w w:val="110"/>
        </w:rPr>
        <w:t> </w:t>
      </w:r>
      <w:r>
        <w:rPr>
          <w:color w:val="231F1F"/>
          <w:w w:val="110"/>
        </w:rPr>
        <w:t>la</w:t>
      </w:r>
      <w:r>
        <w:rPr>
          <w:color w:val="231F1F"/>
          <w:spacing w:val="-14"/>
          <w:w w:val="110"/>
        </w:rPr>
        <w:t> </w:t>
      </w:r>
      <w:r>
        <w:rPr>
          <w:color w:val="231F1F"/>
          <w:w w:val="110"/>
        </w:rPr>
        <w:t>presencia</w:t>
      </w:r>
      <w:r>
        <w:rPr>
          <w:color w:val="231F1F"/>
          <w:spacing w:val="-14"/>
          <w:w w:val="110"/>
        </w:rPr>
        <w:t> </w:t>
      </w:r>
      <w:r>
        <w:rPr>
          <w:color w:val="231F1F"/>
          <w:w w:val="110"/>
        </w:rPr>
        <w:t>de</w:t>
      </w:r>
      <w:r>
        <w:rPr>
          <w:color w:val="231F1F"/>
          <w:spacing w:val="-14"/>
          <w:w w:val="110"/>
        </w:rPr>
        <w:t> </w:t>
      </w:r>
      <w:r>
        <w:rPr>
          <w:color w:val="231F1F"/>
          <w:w w:val="110"/>
        </w:rPr>
        <w:t>meconio</w:t>
      </w:r>
      <w:r>
        <w:rPr>
          <w:color w:val="231F1F"/>
          <w:spacing w:val="-13"/>
          <w:w w:val="110"/>
        </w:rPr>
        <w:t> </w:t>
      </w:r>
      <w:r>
        <w:rPr>
          <w:color w:val="231F1F"/>
          <w:w w:val="110"/>
        </w:rPr>
        <w:t>antes del</w:t>
      </w:r>
      <w:r>
        <w:rPr>
          <w:color w:val="231F1F"/>
          <w:spacing w:val="-12"/>
          <w:w w:val="110"/>
        </w:rPr>
        <w:t> </w:t>
      </w:r>
      <w:r>
        <w:rPr>
          <w:color w:val="231F1F"/>
          <w:w w:val="110"/>
        </w:rPr>
        <w:t>parto</w:t>
      </w:r>
      <w:r>
        <w:rPr>
          <w:color w:val="231F1F"/>
          <w:spacing w:val="-12"/>
          <w:w w:val="110"/>
        </w:rPr>
        <w:t> </w:t>
      </w: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mayoría</w:t>
      </w:r>
      <w:r>
        <w:rPr>
          <w:color w:val="231F1F"/>
          <w:spacing w:val="-12"/>
          <w:w w:val="110"/>
        </w:rPr>
        <w:t> </w:t>
      </w:r>
      <w:r>
        <w:rPr>
          <w:color w:val="231F1F"/>
          <w:w w:val="110"/>
        </w:rPr>
        <w:t>de</w:t>
      </w:r>
      <w:r>
        <w:rPr>
          <w:color w:val="231F1F"/>
          <w:spacing w:val="-12"/>
          <w:w w:val="110"/>
        </w:rPr>
        <w:t> </w:t>
      </w:r>
      <w:r>
        <w:rPr>
          <w:color w:val="231F1F"/>
          <w:w w:val="110"/>
        </w:rPr>
        <w:t>los</w:t>
      </w:r>
      <w:r>
        <w:rPr>
          <w:color w:val="231F1F"/>
          <w:spacing w:val="-12"/>
          <w:w w:val="110"/>
        </w:rPr>
        <w:t> </w:t>
      </w:r>
      <w:r>
        <w:rPr>
          <w:color w:val="231F1F"/>
          <w:w w:val="110"/>
        </w:rPr>
        <w:t>casos</w:t>
      </w:r>
      <w:r>
        <w:rPr>
          <w:color w:val="231F1F"/>
          <w:spacing w:val="-11"/>
          <w:w w:val="110"/>
        </w:rPr>
        <w:t> </w:t>
      </w:r>
      <w:r>
        <w:rPr>
          <w:color w:val="231F1F"/>
          <w:w w:val="110"/>
        </w:rPr>
        <w:t>(57%),</w:t>
      </w:r>
      <w:r>
        <w:rPr>
          <w:color w:val="231F1F"/>
          <w:spacing w:val="-12"/>
          <w:w w:val="110"/>
        </w:rPr>
        <w:t> </w:t>
      </w:r>
      <w:r>
        <w:rPr>
          <w:color w:val="231F1F"/>
          <w:w w:val="110"/>
        </w:rPr>
        <w:t>y</w:t>
      </w:r>
      <w:r>
        <w:rPr>
          <w:color w:val="231F1F"/>
          <w:spacing w:val="-12"/>
          <w:w w:val="110"/>
        </w:rPr>
        <w:t> </w:t>
      </w:r>
      <w:r>
        <w:rPr>
          <w:color w:val="231F1F"/>
          <w:w w:val="110"/>
        </w:rPr>
        <w:t>los</w:t>
      </w:r>
      <w:r>
        <w:rPr>
          <w:color w:val="231F1F"/>
          <w:spacing w:val="-12"/>
          <w:w w:val="110"/>
        </w:rPr>
        <w:t> </w:t>
      </w:r>
      <w:r>
        <w:rPr>
          <w:color w:val="231F1F"/>
          <w:w w:val="110"/>
        </w:rPr>
        <w:t>resultados</w:t>
      </w:r>
      <w:r>
        <w:rPr>
          <w:color w:val="231F1F"/>
          <w:spacing w:val="-11"/>
          <w:w w:val="110"/>
        </w:rPr>
        <w:t> </w:t>
      </w:r>
      <w:r>
        <w:rPr>
          <w:color w:val="231F1F"/>
          <w:w w:val="110"/>
        </w:rPr>
        <w:t>positivos</w:t>
      </w:r>
      <w:r>
        <w:rPr>
          <w:color w:val="231F1F"/>
          <w:spacing w:val="-12"/>
          <w:w w:val="110"/>
        </w:rPr>
        <w:t> </w:t>
      </w:r>
      <w:r>
        <w:rPr>
          <w:color w:val="231F1F"/>
          <w:w w:val="110"/>
        </w:rPr>
        <w:t>para</w:t>
      </w:r>
      <w:r>
        <w:rPr>
          <w:color w:val="231F1F"/>
          <w:spacing w:val="-12"/>
          <w:w w:val="110"/>
        </w:rPr>
        <w:t> </w:t>
      </w:r>
      <w:r>
        <w:rPr>
          <w:color w:val="231F1F"/>
          <w:w w:val="110"/>
        </w:rPr>
        <w:t>el </w:t>
      </w:r>
      <w:r>
        <w:rPr>
          <w:color w:val="231F1F"/>
        </w:rPr>
        <w:t>meconio no estaban relacionados con la incidencia de sufrimiento fetal. Además, </w:t>
      </w:r>
      <w:r>
        <w:rPr>
          <w:color w:val="231F1F"/>
          <w:w w:val="110"/>
        </w:rPr>
        <w:t>cuando</w:t>
      </w:r>
      <w:r>
        <w:rPr>
          <w:color w:val="231F1F"/>
          <w:spacing w:val="-15"/>
          <w:w w:val="110"/>
        </w:rPr>
        <w:t> </w:t>
      </w:r>
      <w:r>
        <w:rPr>
          <w:color w:val="231F1F"/>
          <w:w w:val="110"/>
        </w:rPr>
        <w:t>el</w:t>
      </w:r>
      <w:r>
        <w:rPr>
          <w:color w:val="231F1F"/>
          <w:spacing w:val="-15"/>
          <w:w w:val="110"/>
        </w:rPr>
        <w:t> </w:t>
      </w:r>
      <w:r>
        <w:rPr>
          <w:color w:val="231F1F"/>
          <w:w w:val="110"/>
        </w:rPr>
        <w:t>meconio</w:t>
      </w:r>
      <w:r>
        <w:rPr>
          <w:color w:val="231F1F"/>
          <w:spacing w:val="-15"/>
          <w:w w:val="110"/>
        </w:rPr>
        <w:t> </w:t>
      </w:r>
      <w:r>
        <w:rPr>
          <w:color w:val="231F1F"/>
          <w:w w:val="110"/>
        </w:rPr>
        <w:t>estaba</w:t>
      </w:r>
      <w:r>
        <w:rPr>
          <w:color w:val="231F1F"/>
          <w:spacing w:val="-15"/>
          <w:w w:val="110"/>
        </w:rPr>
        <w:t> </w:t>
      </w:r>
      <w:r>
        <w:rPr>
          <w:color w:val="231F1F"/>
          <w:w w:val="110"/>
        </w:rPr>
        <w:t>presente,</w:t>
      </w:r>
      <w:r>
        <w:rPr>
          <w:color w:val="231F1F"/>
          <w:spacing w:val="-16"/>
          <w:w w:val="110"/>
        </w:rPr>
        <w:t> </w:t>
      </w:r>
      <w:r>
        <w:rPr>
          <w:color w:val="231F1F"/>
          <w:w w:val="110"/>
        </w:rPr>
        <w:t>la</w:t>
      </w:r>
      <w:r>
        <w:rPr>
          <w:color w:val="231F1F"/>
          <w:spacing w:val="-14"/>
          <w:w w:val="110"/>
        </w:rPr>
        <w:t> </w:t>
      </w:r>
      <w:r>
        <w:rPr>
          <w:color w:val="231F1F"/>
          <w:w w:val="110"/>
        </w:rPr>
        <w:t>inducción</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no</w:t>
      </w:r>
      <w:r>
        <w:rPr>
          <w:color w:val="231F1F"/>
          <w:spacing w:val="-15"/>
          <w:w w:val="110"/>
        </w:rPr>
        <w:t> </w:t>
      </w:r>
      <w:r>
        <w:rPr>
          <w:color w:val="231F1F"/>
          <w:w w:val="110"/>
        </w:rPr>
        <w:t>fue</w:t>
      </w:r>
      <w:r>
        <w:rPr>
          <w:color w:val="231F1F"/>
          <w:spacing w:val="-15"/>
          <w:w w:val="110"/>
        </w:rPr>
        <w:t> </w:t>
      </w:r>
      <w:r>
        <w:rPr>
          <w:color w:val="231F1F"/>
          <w:w w:val="110"/>
        </w:rPr>
        <w:t>eficaz</w:t>
      </w:r>
      <w:r>
        <w:rPr>
          <w:color w:val="231F1F"/>
          <w:spacing w:val="-15"/>
          <w:w w:val="110"/>
        </w:rPr>
        <w:t> </w:t>
      </w:r>
      <w:r>
        <w:rPr>
          <w:color w:val="231F1F"/>
          <w:w w:val="110"/>
        </w:rPr>
        <w:t>en</w:t>
      </w:r>
      <w:r>
        <w:rPr>
          <w:color w:val="231F1F"/>
          <w:spacing w:val="-14"/>
          <w:w w:val="110"/>
        </w:rPr>
        <w:t> </w:t>
      </w:r>
      <w:r>
        <w:rPr>
          <w:color w:val="231F1F"/>
          <w:w w:val="110"/>
        </w:rPr>
        <w:t>la reducción</w:t>
      </w:r>
      <w:r>
        <w:rPr>
          <w:color w:val="231F1F"/>
          <w:spacing w:val="-4"/>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incidencia</w:t>
      </w:r>
      <w:r>
        <w:rPr>
          <w:color w:val="231F1F"/>
          <w:spacing w:val="-4"/>
          <w:w w:val="110"/>
        </w:rPr>
        <w:t> </w:t>
      </w:r>
      <w:r>
        <w:rPr>
          <w:color w:val="231F1F"/>
          <w:w w:val="110"/>
        </w:rPr>
        <w:t>de</w:t>
      </w:r>
      <w:r>
        <w:rPr>
          <w:color w:val="231F1F"/>
          <w:spacing w:val="-4"/>
          <w:w w:val="110"/>
        </w:rPr>
        <w:t> </w:t>
      </w:r>
      <w:r>
        <w:rPr>
          <w:color w:val="231F1F"/>
          <w:w w:val="110"/>
        </w:rPr>
        <w:t>sufrimiento</w:t>
      </w:r>
      <w:r>
        <w:rPr>
          <w:color w:val="231F1F"/>
          <w:spacing w:val="-5"/>
          <w:w w:val="110"/>
        </w:rPr>
        <w:t> </w:t>
      </w:r>
      <w:r>
        <w:rPr>
          <w:color w:val="231F1F"/>
          <w:w w:val="110"/>
        </w:rPr>
        <w:t>fetal.</w:t>
      </w:r>
      <w:r>
        <w:rPr>
          <w:color w:val="231F1F"/>
          <w:spacing w:val="-5"/>
          <w:w w:val="110"/>
        </w:rPr>
        <w:t> </w:t>
      </w:r>
      <w:r>
        <w:rPr>
          <w:color w:val="231F1F"/>
          <w:w w:val="110"/>
        </w:rPr>
        <w:t>Por</w:t>
      </w:r>
      <w:r>
        <w:rPr>
          <w:color w:val="231F1F"/>
          <w:spacing w:val="-5"/>
          <w:w w:val="110"/>
        </w:rPr>
        <w:t> </w:t>
      </w:r>
      <w:r>
        <w:rPr>
          <w:color w:val="231F1F"/>
          <w:w w:val="110"/>
        </w:rPr>
        <w:t>ello,</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estudio</w:t>
      </w:r>
      <w:r>
        <w:rPr>
          <w:color w:val="231F1F"/>
          <w:spacing w:val="-4"/>
          <w:w w:val="110"/>
        </w:rPr>
        <w:t> </w:t>
      </w:r>
      <w:r>
        <w:rPr>
          <w:color w:val="231F1F"/>
          <w:w w:val="110"/>
        </w:rPr>
        <w:t>no</w:t>
      </w:r>
      <w:r>
        <w:rPr>
          <w:color w:val="231F1F"/>
          <w:spacing w:val="-4"/>
          <w:w w:val="110"/>
        </w:rPr>
        <w:t> </w:t>
      </w:r>
      <w:r>
        <w:rPr>
          <w:color w:val="231F1F"/>
          <w:w w:val="110"/>
        </w:rPr>
        <w:t>se </w:t>
      </w:r>
      <w:r>
        <w:rPr>
          <w:color w:val="231F1F"/>
          <w:spacing w:val="-2"/>
          <w:w w:val="110"/>
        </w:rPr>
        <w:t>recomendó</w:t>
      </w:r>
      <w:r>
        <w:rPr>
          <w:color w:val="231F1F"/>
          <w:spacing w:val="-16"/>
          <w:w w:val="110"/>
        </w:rPr>
        <w:t> </w:t>
      </w:r>
      <w:r>
        <w:rPr>
          <w:color w:val="231F1F"/>
          <w:spacing w:val="-2"/>
          <w:w w:val="110"/>
        </w:rPr>
        <w:t>la</w:t>
      </w:r>
      <w:r>
        <w:rPr>
          <w:color w:val="231F1F"/>
          <w:spacing w:val="-14"/>
          <w:w w:val="110"/>
        </w:rPr>
        <w:t> </w:t>
      </w:r>
      <w:r>
        <w:rPr>
          <w:color w:val="231F1F"/>
          <w:spacing w:val="-2"/>
          <w:w w:val="110"/>
        </w:rPr>
        <w:t>amnioscopia</w:t>
      </w:r>
      <w:r>
        <w:rPr>
          <w:color w:val="231F1F"/>
          <w:spacing w:val="-15"/>
          <w:w w:val="110"/>
        </w:rPr>
        <w:t> </w:t>
      </w:r>
      <w:r>
        <w:rPr>
          <w:color w:val="231F1F"/>
          <w:spacing w:val="-2"/>
          <w:w w:val="110"/>
        </w:rPr>
        <w:t>para</w:t>
      </w:r>
      <w:r>
        <w:rPr>
          <w:color w:val="231F1F"/>
          <w:spacing w:val="-14"/>
          <w:w w:val="110"/>
        </w:rPr>
        <w:t> </w:t>
      </w:r>
      <w:r>
        <w:rPr>
          <w:color w:val="231F1F"/>
          <w:spacing w:val="-2"/>
          <w:w w:val="110"/>
        </w:rPr>
        <w:t>el</w:t>
      </w:r>
      <w:r>
        <w:rPr>
          <w:color w:val="231F1F"/>
          <w:spacing w:val="-15"/>
          <w:w w:val="110"/>
        </w:rPr>
        <w:t> </w:t>
      </w:r>
      <w:r>
        <w:rPr>
          <w:color w:val="231F1F"/>
          <w:spacing w:val="-2"/>
          <w:w w:val="110"/>
        </w:rPr>
        <w:t>seguimiento</w:t>
      </w:r>
      <w:r>
        <w:rPr>
          <w:color w:val="231F1F"/>
          <w:spacing w:val="-14"/>
          <w:w w:val="110"/>
        </w:rPr>
        <w:t> </w:t>
      </w:r>
      <w:r>
        <w:rPr>
          <w:color w:val="231F1F"/>
          <w:spacing w:val="-2"/>
          <w:w w:val="110"/>
        </w:rPr>
        <w:t>de</w:t>
      </w:r>
      <w:r>
        <w:rPr>
          <w:color w:val="231F1F"/>
          <w:spacing w:val="-15"/>
          <w:w w:val="110"/>
        </w:rPr>
        <w:t> </w:t>
      </w:r>
      <w:r>
        <w:rPr>
          <w:color w:val="231F1F"/>
          <w:spacing w:val="-2"/>
          <w:w w:val="110"/>
        </w:rPr>
        <w:t>los</w:t>
      </w:r>
      <w:r>
        <w:rPr>
          <w:color w:val="231F1F"/>
          <w:spacing w:val="-14"/>
          <w:w w:val="110"/>
        </w:rPr>
        <w:t> </w:t>
      </w:r>
      <w:r>
        <w:rPr>
          <w:color w:val="231F1F"/>
          <w:spacing w:val="-2"/>
          <w:w w:val="110"/>
        </w:rPr>
        <w:t>embarazos</w:t>
      </w:r>
      <w:r>
        <w:rPr>
          <w:color w:val="231F1F"/>
          <w:spacing w:val="-16"/>
          <w:w w:val="110"/>
        </w:rPr>
        <w:t> </w:t>
      </w:r>
      <w:r>
        <w:rPr>
          <w:color w:val="231F1F"/>
          <w:spacing w:val="-2"/>
          <w:w w:val="110"/>
        </w:rPr>
        <w:t>postérmino.</w:t>
      </w:r>
    </w:p>
    <w:p>
      <w:pPr>
        <w:spacing w:before="0"/>
        <w:ind w:left="283" w:right="0" w:firstLine="0"/>
        <w:jc w:val="left"/>
        <w:rPr>
          <w:rFonts w:ascii="Arial MT"/>
          <w:sz w:val="18"/>
        </w:rPr>
      </w:pPr>
      <w:r>
        <w:rPr/>
        <w:br w:type="column"/>
      </w:r>
      <w:r>
        <w:rPr>
          <w:rFonts w:ascii="Arial MT"/>
          <w:color w:val="231F1F"/>
          <w:spacing w:val="-5"/>
          <w:sz w:val="18"/>
        </w:rPr>
        <w:t>III</w:t>
      </w:r>
    </w:p>
    <w:p>
      <w:pPr>
        <w:spacing w:after="0"/>
        <w:jc w:val="left"/>
        <w:rPr>
          <w:rFonts w:ascii="Arial MT"/>
          <w:sz w:val="18"/>
        </w:rPr>
        <w:sectPr>
          <w:type w:val="continuous"/>
          <w:pgSz w:w="11900" w:h="16840"/>
          <w:pgMar w:header="0" w:footer="622" w:top="560" w:bottom="280" w:left="1417" w:right="1559"/>
          <w:cols w:num="2" w:equalWidth="0">
            <w:col w:w="7591" w:space="271"/>
            <w:col w:w="1062"/>
          </w:cols>
        </w:sectPr>
      </w:pPr>
    </w:p>
    <w:p>
      <w:pPr>
        <w:pStyle w:val="BodyText"/>
        <w:spacing w:line="252" w:lineRule="auto" w:before="62"/>
        <w:ind w:left="283" w:right="1" w:firstLine="453"/>
        <w:jc w:val="both"/>
      </w:pPr>
      <w:r>
        <w:rPr>
          <w:color w:val="231F1F"/>
          <w:w w:val="105"/>
        </w:rPr>
        <w:t>El</w:t>
      </w:r>
      <w:r>
        <w:rPr>
          <w:color w:val="231F1F"/>
          <w:spacing w:val="-8"/>
          <w:w w:val="105"/>
        </w:rPr>
        <w:t> </w:t>
      </w:r>
      <w:r>
        <w:rPr>
          <w:color w:val="231F1F"/>
          <w:w w:val="105"/>
        </w:rPr>
        <w:t>objetivo</w:t>
      </w:r>
      <w:r>
        <w:rPr>
          <w:color w:val="231F1F"/>
          <w:spacing w:val="-8"/>
          <w:w w:val="105"/>
        </w:rPr>
        <w:t> </w:t>
      </w:r>
      <w:r>
        <w:rPr>
          <w:color w:val="231F1F"/>
          <w:w w:val="105"/>
        </w:rPr>
        <w:t>del</w:t>
      </w:r>
      <w:r>
        <w:rPr>
          <w:color w:val="231F1F"/>
          <w:spacing w:val="-8"/>
          <w:w w:val="105"/>
        </w:rPr>
        <w:t> </w:t>
      </w:r>
      <w:r>
        <w:rPr>
          <w:color w:val="231F1F"/>
          <w:w w:val="105"/>
        </w:rPr>
        <w:t>segundo</w:t>
      </w:r>
      <w:r>
        <w:rPr>
          <w:color w:val="231F1F"/>
          <w:spacing w:val="-8"/>
          <w:w w:val="105"/>
        </w:rPr>
        <w:t> </w:t>
      </w:r>
      <w:r>
        <w:rPr>
          <w:color w:val="231F1F"/>
          <w:w w:val="105"/>
        </w:rPr>
        <w:t>de</w:t>
      </w:r>
      <w:r>
        <w:rPr>
          <w:color w:val="231F1F"/>
          <w:spacing w:val="-8"/>
          <w:w w:val="105"/>
        </w:rPr>
        <w:t> </w:t>
      </w:r>
      <w:r>
        <w:rPr>
          <w:color w:val="231F1F"/>
          <w:w w:val="105"/>
        </w:rPr>
        <w:t>los</w:t>
      </w:r>
      <w:r>
        <w:rPr>
          <w:color w:val="231F1F"/>
          <w:spacing w:val="-8"/>
          <w:w w:val="105"/>
        </w:rPr>
        <w:t> </w:t>
      </w:r>
      <w:r>
        <w:rPr>
          <w:color w:val="231F1F"/>
          <w:w w:val="105"/>
        </w:rPr>
        <w:t>estudios</w:t>
      </w:r>
      <w:r>
        <w:rPr>
          <w:color w:val="231F1F"/>
          <w:spacing w:val="-7"/>
          <w:w w:val="105"/>
        </w:rPr>
        <w:t> </w:t>
      </w:r>
      <w:r>
        <w:rPr>
          <w:color w:val="231F1F"/>
          <w:w w:val="105"/>
        </w:rPr>
        <w:t>de</w:t>
      </w:r>
      <w:r>
        <w:rPr>
          <w:color w:val="231F1F"/>
          <w:spacing w:val="-8"/>
          <w:w w:val="105"/>
        </w:rPr>
        <w:t> </w:t>
      </w:r>
      <w:r>
        <w:rPr>
          <w:color w:val="231F1F"/>
          <w:w w:val="105"/>
        </w:rPr>
        <w:t>2005</w:t>
      </w:r>
      <w:r>
        <w:rPr>
          <w:color w:val="231F1F"/>
          <w:spacing w:val="-8"/>
          <w:w w:val="105"/>
        </w:rPr>
        <w:t> </w:t>
      </w:r>
      <w:r>
        <w:rPr>
          <w:color w:val="231F1F"/>
          <w:w w:val="105"/>
        </w:rPr>
        <w:t>(41)</w:t>
      </w:r>
      <w:r>
        <w:rPr>
          <w:color w:val="231F1F"/>
          <w:spacing w:val="-8"/>
          <w:w w:val="105"/>
        </w:rPr>
        <w:t> </w:t>
      </w:r>
      <w:r>
        <w:rPr>
          <w:color w:val="231F1F"/>
          <w:w w:val="105"/>
        </w:rPr>
        <w:t>NE=3</w:t>
      </w:r>
      <w:r>
        <w:rPr>
          <w:color w:val="231F1F"/>
          <w:spacing w:val="-8"/>
          <w:w w:val="105"/>
        </w:rPr>
        <w:t> </w:t>
      </w:r>
      <w:r>
        <w:rPr>
          <w:color w:val="231F1F"/>
          <w:w w:val="105"/>
        </w:rPr>
        <w:t>fue</w:t>
      </w:r>
      <w:r>
        <w:rPr>
          <w:color w:val="231F1F"/>
          <w:spacing w:val="-8"/>
          <w:w w:val="105"/>
        </w:rPr>
        <w:t> </w:t>
      </w:r>
      <w:r>
        <w:rPr>
          <w:color w:val="231F1F"/>
          <w:w w:val="105"/>
        </w:rPr>
        <w:t>determinar la</w:t>
      </w:r>
      <w:r>
        <w:rPr>
          <w:color w:val="231F1F"/>
          <w:spacing w:val="-1"/>
          <w:w w:val="105"/>
        </w:rPr>
        <w:t> </w:t>
      </w:r>
      <w:r>
        <w:rPr>
          <w:color w:val="231F1F"/>
          <w:w w:val="105"/>
        </w:rPr>
        <w:t>prevalencia</w:t>
      </w:r>
      <w:r>
        <w:rPr>
          <w:color w:val="231F1F"/>
          <w:spacing w:val="-1"/>
          <w:w w:val="105"/>
        </w:rPr>
        <w:t> </w:t>
      </w:r>
      <w:r>
        <w:rPr>
          <w:color w:val="231F1F"/>
          <w:w w:val="105"/>
        </w:rPr>
        <w:t>y</w:t>
      </w:r>
      <w:r>
        <w:rPr>
          <w:color w:val="231F1F"/>
          <w:spacing w:val="-1"/>
          <w:w w:val="105"/>
        </w:rPr>
        <w:t> </w:t>
      </w:r>
      <w:r>
        <w:rPr>
          <w:color w:val="231F1F"/>
          <w:w w:val="105"/>
        </w:rPr>
        <w:t>el</w:t>
      </w:r>
      <w:r>
        <w:rPr>
          <w:color w:val="231F1F"/>
          <w:spacing w:val="-1"/>
          <w:w w:val="105"/>
        </w:rPr>
        <w:t> </w:t>
      </w:r>
      <w:r>
        <w:rPr>
          <w:color w:val="231F1F"/>
          <w:w w:val="105"/>
        </w:rPr>
        <w:t>significado</w:t>
      </w:r>
      <w:r>
        <w:rPr>
          <w:color w:val="231F1F"/>
          <w:spacing w:val="-1"/>
          <w:w w:val="105"/>
        </w:rPr>
        <w:t> </w:t>
      </w:r>
      <w:r>
        <w:rPr>
          <w:color w:val="231F1F"/>
          <w:w w:val="105"/>
        </w:rPr>
        <w:t>clínico del</w:t>
      </w:r>
      <w:r>
        <w:rPr>
          <w:color w:val="231F1F"/>
          <w:spacing w:val="-1"/>
          <w:w w:val="105"/>
        </w:rPr>
        <w:t> </w:t>
      </w:r>
      <w:r>
        <w:rPr>
          <w:color w:val="231F1F"/>
          <w:w w:val="105"/>
        </w:rPr>
        <w:t>cambio</w:t>
      </w:r>
      <w:r>
        <w:rPr>
          <w:color w:val="231F1F"/>
          <w:spacing w:val="-1"/>
          <w:w w:val="105"/>
        </w:rPr>
        <w:t> </w:t>
      </w:r>
      <w:r>
        <w:rPr>
          <w:color w:val="231F1F"/>
          <w:w w:val="105"/>
        </w:rPr>
        <w:t>de</w:t>
      </w:r>
      <w:r>
        <w:rPr>
          <w:color w:val="231F1F"/>
          <w:spacing w:val="-1"/>
          <w:w w:val="105"/>
        </w:rPr>
        <w:t> </w:t>
      </w:r>
      <w:r>
        <w:rPr>
          <w:color w:val="231F1F"/>
          <w:w w:val="105"/>
        </w:rPr>
        <w:t>coloración y</w:t>
      </w:r>
      <w:r>
        <w:rPr>
          <w:color w:val="231F1F"/>
          <w:spacing w:val="-1"/>
          <w:w w:val="105"/>
        </w:rPr>
        <w:t> </w:t>
      </w:r>
      <w:r>
        <w:rPr>
          <w:color w:val="231F1F"/>
          <w:w w:val="105"/>
        </w:rPr>
        <w:t>densidad</w:t>
      </w:r>
      <w:r>
        <w:rPr>
          <w:color w:val="231F1F"/>
          <w:spacing w:val="-1"/>
          <w:w w:val="105"/>
        </w:rPr>
        <w:t> </w:t>
      </w:r>
      <w:r>
        <w:rPr>
          <w:color w:val="231F1F"/>
          <w:w w:val="105"/>
        </w:rPr>
        <w:t>del líquido amniótico (LA) durante el trabajo de parto y su valor predictivo sobre los resultados perinatales. Para ello, los autores examinaron el LA al ingreso mediante amnioscopia o</w:t>
      </w:r>
      <w:r>
        <w:rPr>
          <w:color w:val="231F1F"/>
          <w:w w:val="105"/>
        </w:rPr>
        <w:t> por inspección</w:t>
      </w:r>
      <w:r>
        <w:rPr>
          <w:color w:val="231F1F"/>
          <w:w w:val="105"/>
        </w:rPr>
        <w:t> del propio</w:t>
      </w:r>
      <w:r>
        <w:rPr>
          <w:color w:val="231F1F"/>
          <w:w w:val="105"/>
        </w:rPr>
        <w:t> líquido</w:t>
      </w:r>
      <w:r>
        <w:rPr>
          <w:color w:val="231F1F"/>
          <w:w w:val="105"/>
        </w:rPr>
        <w:t> en</w:t>
      </w:r>
      <w:r>
        <w:rPr>
          <w:color w:val="231F1F"/>
          <w:w w:val="105"/>
        </w:rPr>
        <w:t> caso</w:t>
      </w:r>
      <w:r>
        <w:rPr>
          <w:color w:val="231F1F"/>
          <w:w w:val="105"/>
        </w:rPr>
        <w:t> de rotura</w:t>
      </w:r>
      <w:r>
        <w:rPr>
          <w:color w:val="231F1F"/>
          <w:spacing w:val="40"/>
          <w:w w:val="105"/>
        </w:rPr>
        <w:t> </w:t>
      </w:r>
      <w:r>
        <w:rPr>
          <w:color w:val="231F1F"/>
          <w:w w:val="105"/>
        </w:rPr>
        <w:t>de membranas.</w:t>
      </w:r>
    </w:p>
    <w:p>
      <w:pPr>
        <w:pStyle w:val="BodyText"/>
        <w:spacing w:line="247" w:lineRule="auto" w:before="120"/>
        <w:ind w:left="283" w:firstLine="453"/>
        <w:jc w:val="both"/>
      </w:pPr>
      <w:r>
        <w:rPr>
          <w:color w:val="231F1F"/>
          <w:w w:val="105"/>
        </w:rPr>
        <w:t>En</w:t>
      </w:r>
      <w:r>
        <w:rPr>
          <w:color w:val="231F1F"/>
          <w:spacing w:val="-6"/>
          <w:w w:val="105"/>
        </w:rPr>
        <w:t> </w:t>
      </w:r>
      <w:r>
        <w:rPr>
          <w:color w:val="231F1F"/>
          <w:w w:val="105"/>
        </w:rPr>
        <w:t>total</w:t>
      </w:r>
      <w:r>
        <w:rPr>
          <w:color w:val="231F1F"/>
          <w:spacing w:val="-7"/>
          <w:w w:val="105"/>
        </w:rPr>
        <w:t> </w:t>
      </w:r>
      <w:r>
        <w:rPr>
          <w:color w:val="231F1F"/>
          <w:w w:val="105"/>
        </w:rPr>
        <w:t>se</w:t>
      </w:r>
      <w:r>
        <w:rPr>
          <w:color w:val="231F1F"/>
          <w:spacing w:val="-7"/>
          <w:w w:val="105"/>
        </w:rPr>
        <w:t> </w:t>
      </w:r>
      <w:r>
        <w:rPr>
          <w:color w:val="231F1F"/>
          <w:w w:val="105"/>
        </w:rPr>
        <w:t>seleccionaron</w:t>
      </w:r>
      <w:r>
        <w:rPr>
          <w:color w:val="231F1F"/>
          <w:spacing w:val="-7"/>
          <w:w w:val="105"/>
        </w:rPr>
        <w:t> </w:t>
      </w:r>
      <w:r>
        <w:rPr>
          <w:color w:val="231F1F"/>
          <w:w w:val="105"/>
        </w:rPr>
        <w:t>19.090</w:t>
      </w:r>
      <w:r>
        <w:rPr>
          <w:color w:val="231F1F"/>
          <w:spacing w:val="-7"/>
          <w:w w:val="105"/>
        </w:rPr>
        <w:t> </w:t>
      </w:r>
      <w:r>
        <w:rPr>
          <w:color w:val="231F1F"/>
          <w:w w:val="105"/>
        </w:rPr>
        <w:t>mujeres</w:t>
      </w:r>
      <w:r>
        <w:rPr>
          <w:color w:val="231F1F"/>
          <w:spacing w:val="-7"/>
          <w:w w:val="105"/>
        </w:rPr>
        <w:t> </w:t>
      </w:r>
      <w:r>
        <w:rPr>
          <w:color w:val="231F1F"/>
          <w:w w:val="105"/>
        </w:rPr>
        <w:t>entre</w:t>
      </w:r>
      <w:r>
        <w:rPr>
          <w:color w:val="231F1F"/>
          <w:spacing w:val="-6"/>
          <w:w w:val="105"/>
        </w:rPr>
        <w:t> </w:t>
      </w:r>
      <w:r>
        <w:rPr>
          <w:color w:val="231F1F"/>
          <w:w w:val="105"/>
        </w:rPr>
        <w:t>los</w:t>
      </w:r>
      <w:r>
        <w:rPr>
          <w:color w:val="231F1F"/>
          <w:spacing w:val="-6"/>
          <w:w w:val="105"/>
        </w:rPr>
        <w:t> </w:t>
      </w:r>
      <w:r>
        <w:rPr>
          <w:color w:val="231F1F"/>
          <w:w w:val="105"/>
        </w:rPr>
        <w:t>años</w:t>
      </w:r>
      <w:r>
        <w:rPr>
          <w:color w:val="231F1F"/>
          <w:spacing w:val="-6"/>
          <w:w w:val="105"/>
        </w:rPr>
        <w:t> </w:t>
      </w:r>
      <w:r>
        <w:rPr>
          <w:color w:val="231F1F"/>
          <w:w w:val="105"/>
        </w:rPr>
        <w:t>1992</w:t>
      </w:r>
      <w:r>
        <w:rPr>
          <w:color w:val="231F1F"/>
          <w:spacing w:val="-6"/>
          <w:w w:val="105"/>
        </w:rPr>
        <w:t> </w:t>
      </w:r>
      <w:r>
        <w:rPr>
          <w:color w:val="231F1F"/>
          <w:w w:val="105"/>
        </w:rPr>
        <w:t>y</w:t>
      </w:r>
      <w:r>
        <w:rPr>
          <w:color w:val="231F1F"/>
          <w:spacing w:val="-7"/>
          <w:w w:val="105"/>
        </w:rPr>
        <w:t> </w:t>
      </w:r>
      <w:r>
        <w:rPr>
          <w:color w:val="231F1F"/>
          <w:w w:val="105"/>
        </w:rPr>
        <w:t>1999.</w:t>
      </w:r>
      <w:r>
        <w:rPr>
          <w:color w:val="231F1F"/>
          <w:spacing w:val="-7"/>
          <w:w w:val="105"/>
        </w:rPr>
        <w:t> </w:t>
      </w:r>
      <w:r>
        <w:rPr>
          <w:color w:val="231F1F"/>
          <w:w w:val="105"/>
        </w:rPr>
        <w:t>Para el análisis de los resultados, las mujeres se dividieron en cuatro grupos depen- diendo de las características del LA: grupo 1 (n=16.975): LA limpio al ingre- so y en el momento del parto; grupo 2 (n=973): LA con meconio claro o es- peso</w:t>
      </w:r>
      <w:r>
        <w:rPr>
          <w:color w:val="231F1F"/>
          <w:w w:val="105"/>
        </w:rPr>
        <w:t> al</w:t>
      </w:r>
      <w:r>
        <w:rPr>
          <w:color w:val="231F1F"/>
          <w:w w:val="105"/>
        </w:rPr>
        <w:t> ingreso</w:t>
      </w:r>
      <w:r>
        <w:rPr>
          <w:color w:val="231F1F"/>
          <w:w w:val="105"/>
        </w:rPr>
        <w:t> o</w:t>
      </w:r>
      <w:r>
        <w:rPr>
          <w:color w:val="231F1F"/>
          <w:w w:val="105"/>
        </w:rPr>
        <w:t> en</w:t>
      </w:r>
      <w:r>
        <w:rPr>
          <w:color w:val="231F1F"/>
          <w:w w:val="105"/>
        </w:rPr>
        <w:t> el</w:t>
      </w:r>
      <w:r>
        <w:rPr>
          <w:color w:val="231F1F"/>
          <w:w w:val="105"/>
        </w:rPr>
        <w:t> momento</w:t>
      </w:r>
      <w:r>
        <w:rPr>
          <w:color w:val="231F1F"/>
          <w:w w:val="105"/>
        </w:rPr>
        <w:t> del</w:t>
      </w:r>
      <w:r>
        <w:rPr>
          <w:color w:val="231F1F"/>
          <w:w w:val="105"/>
        </w:rPr>
        <w:t> parto;</w:t>
      </w:r>
      <w:r>
        <w:rPr>
          <w:color w:val="231F1F"/>
          <w:w w:val="105"/>
        </w:rPr>
        <w:t> grupo</w:t>
      </w:r>
      <w:r>
        <w:rPr>
          <w:color w:val="231F1F"/>
          <w:w w:val="105"/>
        </w:rPr>
        <w:t> 3</w:t>
      </w:r>
      <w:r>
        <w:rPr>
          <w:color w:val="231F1F"/>
          <w:w w:val="105"/>
        </w:rPr>
        <w:t> (n=986):</w:t>
      </w:r>
      <w:r>
        <w:rPr>
          <w:color w:val="231F1F"/>
          <w:w w:val="105"/>
        </w:rPr>
        <w:t> LA</w:t>
      </w:r>
      <w:r>
        <w:rPr>
          <w:color w:val="231F1F"/>
          <w:w w:val="105"/>
        </w:rPr>
        <w:t> limpio</w:t>
      </w:r>
      <w:r>
        <w:rPr>
          <w:color w:val="231F1F"/>
          <w:w w:val="105"/>
        </w:rPr>
        <w:t> al ingreso y con meconio claro o espeso en el parto y grupo 4 (n=156): LA con meconio claro al ingreso y espeso en el parto. Sin embargo, en el análisis de los datos no se tuvieron en cuenta otros variables de confusión entre los gru- pos de estudio como la ruptura prematura de membranas, FCF alarmante, la edad gestacional, la nuliparidad y la inducción del parto.</w:t>
      </w:r>
    </w:p>
    <w:p>
      <w:pPr>
        <w:pStyle w:val="BodyText"/>
        <w:spacing w:line="247" w:lineRule="auto" w:before="78"/>
        <w:ind w:left="283" w:right="3" w:firstLine="453"/>
        <w:jc w:val="both"/>
      </w:pPr>
      <w:r>
        <w:rPr>
          <w:color w:val="231F1F"/>
          <w:w w:val="110"/>
        </w:rPr>
        <w:t>El</w:t>
      </w:r>
      <w:r>
        <w:rPr>
          <w:color w:val="231F1F"/>
          <w:spacing w:val="-10"/>
          <w:w w:val="110"/>
        </w:rPr>
        <w:t> </w:t>
      </w:r>
      <w:r>
        <w:rPr>
          <w:color w:val="231F1F"/>
          <w:w w:val="110"/>
        </w:rPr>
        <w:t>análisis</w:t>
      </w:r>
      <w:r>
        <w:rPr>
          <w:color w:val="231F1F"/>
          <w:spacing w:val="-10"/>
          <w:w w:val="110"/>
        </w:rPr>
        <w:t> </w:t>
      </w:r>
      <w:r>
        <w:rPr>
          <w:color w:val="231F1F"/>
          <w:w w:val="110"/>
        </w:rPr>
        <w:t>mostró</w:t>
      </w:r>
      <w:r>
        <w:rPr>
          <w:color w:val="231F1F"/>
          <w:spacing w:val="-10"/>
          <w:w w:val="110"/>
        </w:rPr>
        <w:t> </w:t>
      </w:r>
      <w:r>
        <w:rPr>
          <w:color w:val="231F1F"/>
          <w:w w:val="110"/>
        </w:rPr>
        <w:t>que</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nulíparas</w:t>
      </w:r>
      <w:r>
        <w:rPr>
          <w:color w:val="231F1F"/>
          <w:spacing w:val="-10"/>
          <w:w w:val="110"/>
        </w:rPr>
        <w:t> </w:t>
      </w:r>
      <w:r>
        <w:rPr>
          <w:color w:val="231F1F"/>
          <w:w w:val="110"/>
        </w:rPr>
        <w:t>fueron</w:t>
      </w:r>
      <w:r>
        <w:rPr>
          <w:color w:val="231F1F"/>
          <w:spacing w:val="-10"/>
          <w:w w:val="110"/>
        </w:rPr>
        <w:t> </w:t>
      </w:r>
      <w:r>
        <w:rPr>
          <w:color w:val="231F1F"/>
          <w:w w:val="110"/>
        </w:rPr>
        <w:t>las</w:t>
      </w:r>
      <w:r>
        <w:rPr>
          <w:color w:val="231F1F"/>
          <w:spacing w:val="-10"/>
          <w:w w:val="110"/>
        </w:rPr>
        <w:t> </w:t>
      </w:r>
      <w:r>
        <w:rPr>
          <w:color w:val="231F1F"/>
          <w:w w:val="110"/>
        </w:rPr>
        <w:t>que</w:t>
      </w:r>
      <w:r>
        <w:rPr>
          <w:color w:val="231F1F"/>
          <w:spacing w:val="-10"/>
          <w:w w:val="110"/>
        </w:rPr>
        <w:t> </w:t>
      </w:r>
      <w:r>
        <w:rPr>
          <w:color w:val="231F1F"/>
          <w:w w:val="110"/>
        </w:rPr>
        <w:t>presentaron mayor porcentaje de cambio de color en el LA durante el trabajo de parto. La</w:t>
      </w:r>
      <w:r>
        <w:rPr>
          <w:color w:val="231F1F"/>
          <w:spacing w:val="-6"/>
          <w:w w:val="110"/>
        </w:rPr>
        <w:t> </w:t>
      </w:r>
      <w:r>
        <w:rPr>
          <w:color w:val="231F1F"/>
          <w:w w:val="110"/>
        </w:rPr>
        <w:t>edad</w:t>
      </w:r>
      <w:r>
        <w:rPr>
          <w:color w:val="231F1F"/>
          <w:spacing w:val="-6"/>
          <w:w w:val="110"/>
        </w:rPr>
        <w:t> </w:t>
      </w:r>
      <w:r>
        <w:rPr>
          <w:color w:val="231F1F"/>
          <w:w w:val="110"/>
        </w:rPr>
        <w:t>gestacional</w:t>
      </w:r>
      <w:r>
        <w:rPr>
          <w:color w:val="231F1F"/>
          <w:spacing w:val="-7"/>
          <w:w w:val="110"/>
        </w:rPr>
        <w:t> </w:t>
      </w:r>
      <w:r>
        <w:rPr>
          <w:color w:val="231F1F"/>
          <w:w w:val="110"/>
        </w:rPr>
        <w:t>superior</w:t>
      </w:r>
      <w:r>
        <w:rPr>
          <w:color w:val="231F1F"/>
          <w:spacing w:val="-7"/>
          <w:w w:val="110"/>
        </w:rPr>
        <w:t> </w:t>
      </w:r>
      <w:r>
        <w:rPr>
          <w:color w:val="231F1F"/>
          <w:w w:val="110"/>
        </w:rPr>
        <w:t>a</w:t>
      </w:r>
      <w:r>
        <w:rPr>
          <w:color w:val="231F1F"/>
          <w:spacing w:val="-6"/>
          <w:w w:val="110"/>
        </w:rPr>
        <w:t> </w:t>
      </w:r>
      <w:r>
        <w:rPr>
          <w:color w:val="231F1F"/>
          <w:w w:val="110"/>
        </w:rPr>
        <w:t>42</w:t>
      </w:r>
      <w:r>
        <w:rPr>
          <w:color w:val="231F1F"/>
          <w:spacing w:val="-6"/>
          <w:w w:val="110"/>
        </w:rPr>
        <w:t> </w:t>
      </w:r>
      <w:r>
        <w:rPr>
          <w:color w:val="231F1F"/>
          <w:w w:val="110"/>
        </w:rPr>
        <w:t>semanas</w:t>
      </w:r>
      <w:r>
        <w:rPr>
          <w:color w:val="231F1F"/>
          <w:spacing w:val="-7"/>
          <w:w w:val="110"/>
        </w:rPr>
        <w:t> </w:t>
      </w:r>
      <w:r>
        <w:rPr>
          <w:color w:val="231F1F"/>
          <w:w w:val="110"/>
        </w:rPr>
        <w:t>no</w:t>
      </w:r>
      <w:r>
        <w:rPr>
          <w:color w:val="231F1F"/>
          <w:spacing w:val="-6"/>
          <w:w w:val="110"/>
        </w:rPr>
        <w:t> </w:t>
      </w:r>
      <w:r>
        <w:rPr>
          <w:color w:val="231F1F"/>
          <w:w w:val="110"/>
        </w:rPr>
        <w:t>se</w:t>
      </w:r>
      <w:r>
        <w:rPr>
          <w:color w:val="231F1F"/>
          <w:spacing w:val="-6"/>
          <w:w w:val="110"/>
        </w:rPr>
        <w:t> </w:t>
      </w:r>
      <w:r>
        <w:rPr>
          <w:color w:val="231F1F"/>
          <w:w w:val="110"/>
        </w:rPr>
        <w:t>asoció</w:t>
      </w:r>
      <w:r>
        <w:rPr>
          <w:color w:val="231F1F"/>
          <w:spacing w:val="-6"/>
          <w:w w:val="110"/>
        </w:rPr>
        <w:t> </w:t>
      </w:r>
      <w:r>
        <w:rPr>
          <w:color w:val="231F1F"/>
          <w:w w:val="110"/>
        </w:rPr>
        <w:t>con</w:t>
      </w:r>
      <w:r>
        <w:rPr>
          <w:color w:val="231F1F"/>
          <w:spacing w:val="-6"/>
          <w:w w:val="110"/>
        </w:rPr>
        <w:t> </w:t>
      </w:r>
      <w:r>
        <w:rPr>
          <w:color w:val="231F1F"/>
          <w:w w:val="110"/>
        </w:rPr>
        <w:t>una</w:t>
      </w:r>
      <w:r>
        <w:rPr>
          <w:color w:val="231F1F"/>
          <w:spacing w:val="-6"/>
          <w:w w:val="110"/>
        </w:rPr>
        <w:t> </w:t>
      </w:r>
      <w:r>
        <w:rPr>
          <w:color w:val="231F1F"/>
          <w:w w:val="110"/>
        </w:rPr>
        <w:t>mayor</w:t>
      </w:r>
      <w:r>
        <w:rPr>
          <w:color w:val="231F1F"/>
          <w:spacing w:val="-7"/>
          <w:w w:val="110"/>
        </w:rPr>
        <w:t> </w:t>
      </w:r>
      <w:r>
        <w:rPr>
          <w:color w:val="231F1F"/>
          <w:w w:val="110"/>
        </w:rPr>
        <w:t>tasa de</w:t>
      </w:r>
      <w:r>
        <w:rPr>
          <w:color w:val="231F1F"/>
          <w:spacing w:val="-8"/>
          <w:w w:val="110"/>
        </w:rPr>
        <w:t> </w:t>
      </w:r>
      <w:r>
        <w:rPr>
          <w:color w:val="231F1F"/>
          <w:w w:val="110"/>
        </w:rPr>
        <w:t>LA</w:t>
      </w:r>
      <w:r>
        <w:rPr>
          <w:color w:val="231F1F"/>
          <w:spacing w:val="-7"/>
          <w:w w:val="110"/>
        </w:rPr>
        <w:t> </w:t>
      </w:r>
      <w:r>
        <w:rPr>
          <w:color w:val="231F1F"/>
          <w:w w:val="110"/>
        </w:rPr>
        <w:t>meconial</w:t>
      </w:r>
      <w:r>
        <w:rPr>
          <w:color w:val="231F1F"/>
          <w:spacing w:val="-8"/>
          <w:w w:val="110"/>
        </w:rPr>
        <w:t> </w:t>
      </w:r>
      <w:r>
        <w:rPr>
          <w:color w:val="231F1F"/>
          <w:w w:val="110"/>
        </w:rPr>
        <w:t>al</w:t>
      </w:r>
      <w:r>
        <w:rPr>
          <w:color w:val="231F1F"/>
          <w:spacing w:val="-8"/>
          <w:w w:val="110"/>
        </w:rPr>
        <w:t> </w:t>
      </w:r>
      <w:r>
        <w:rPr>
          <w:color w:val="231F1F"/>
          <w:w w:val="110"/>
        </w:rPr>
        <w:t>ingreso,</w:t>
      </w:r>
      <w:r>
        <w:rPr>
          <w:color w:val="231F1F"/>
          <w:spacing w:val="-9"/>
          <w:w w:val="110"/>
        </w:rPr>
        <w:t> </w:t>
      </w:r>
      <w:r>
        <w:rPr>
          <w:color w:val="231F1F"/>
          <w:w w:val="110"/>
        </w:rPr>
        <w:t>sino</w:t>
      </w:r>
      <w:r>
        <w:rPr>
          <w:color w:val="231F1F"/>
          <w:spacing w:val="-8"/>
          <w:w w:val="110"/>
        </w:rPr>
        <w:t> </w:t>
      </w:r>
      <w:r>
        <w:rPr>
          <w:color w:val="231F1F"/>
          <w:w w:val="110"/>
        </w:rPr>
        <w:t>con</w:t>
      </w:r>
      <w:r>
        <w:rPr>
          <w:color w:val="231F1F"/>
          <w:spacing w:val="-8"/>
          <w:w w:val="110"/>
        </w:rPr>
        <w:t> </w:t>
      </w:r>
      <w:r>
        <w:rPr>
          <w:color w:val="231F1F"/>
          <w:w w:val="110"/>
        </w:rPr>
        <w:t>un</w:t>
      </w:r>
      <w:r>
        <w:rPr>
          <w:color w:val="231F1F"/>
          <w:spacing w:val="-8"/>
          <w:w w:val="110"/>
        </w:rPr>
        <w:t> </w:t>
      </w:r>
      <w:r>
        <w:rPr>
          <w:color w:val="231F1F"/>
          <w:w w:val="110"/>
        </w:rPr>
        <w:t>mayor</w:t>
      </w:r>
      <w:r>
        <w:rPr>
          <w:color w:val="231F1F"/>
          <w:spacing w:val="-8"/>
          <w:w w:val="110"/>
        </w:rPr>
        <w:t> </w:t>
      </w:r>
      <w:r>
        <w:rPr>
          <w:color w:val="231F1F"/>
          <w:w w:val="110"/>
        </w:rPr>
        <w:t>riesgo</w:t>
      </w:r>
      <w:r>
        <w:rPr>
          <w:color w:val="231F1F"/>
          <w:spacing w:val="-8"/>
          <w:w w:val="110"/>
        </w:rPr>
        <w:t> </w:t>
      </w:r>
      <w:r>
        <w:rPr>
          <w:color w:val="231F1F"/>
          <w:w w:val="110"/>
        </w:rPr>
        <w:t>de</w:t>
      </w:r>
      <w:r>
        <w:rPr>
          <w:color w:val="231F1F"/>
          <w:spacing w:val="-8"/>
          <w:w w:val="110"/>
        </w:rPr>
        <w:t> </w:t>
      </w:r>
      <w:r>
        <w:rPr>
          <w:color w:val="231F1F"/>
          <w:w w:val="110"/>
        </w:rPr>
        <w:t>cambio</w:t>
      </w:r>
      <w:r>
        <w:rPr>
          <w:color w:val="231F1F"/>
          <w:spacing w:val="-8"/>
          <w:w w:val="110"/>
        </w:rPr>
        <w:t> </w:t>
      </w:r>
      <w:r>
        <w:rPr>
          <w:color w:val="231F1F"/>
          <w:w w:val="110"/>
        </w:rPr>
        <w:t>de</w:t>
      </w:r>
      <w:r>
        <w:rPr>
          <w:color w:val="231F1F"/>
          <w:spacing w:val="-8"/>
          <w:w w:val="110"/>
        </w:rPr>
        <w:t> </w:t>
      </w:r>
      <w:r>
        <w:rPr>
          <w:color w:val="231F1F"/>
          <w:w w:val="110"/>
        </w:rPr>
        <w:t>color</w:t>
      </w:r>
      <w:r>
        <w:rPr>
          <w:color w:val="231F1F"/>
          <w:spacing w:val="-8"/>
          <w:w w:val="110"/>
        </w:rPr>
        <w:t> </w:t>
      </w:r>
      <w:r>
        <w:rPr>
          <w:color w:val="231F1F"/>
          <w:w w:val="110"/>
        </w:rPr>
        <w:t>de LA</w:t>
      </w:r>
      <w:r>
        <w:rPr>
          <w:color w:val="231F1F"/>
          <w:spacing w:val="-1"/>
          <w:w w:val="110"/>
        </w:rPr>
        <w:t> </w:t>
      </w:r>
      <w:r>
        <w:rPr>
          <w:color w:val="231F1F"/>
          <w:w w:val="110"/>
        </w:rPr>
        <w:t>durante</w:t>
      </w:r>
      <w:r>
        <w:rPr>
          <w:color w:val="231F1F"/>
          <w:spacing w:val="-2"/>
          <w:w w:val="110"/>
        </w:rPr>
        <w:t> </w:t>
      </w:r>
      <w:r>
        <w:rPr>
          <w:color w:val="231F1F"/>
          <w:w w:val="110"/>
        </w:rPr>
        <w:t>el</w:t>
      </w:r>
      <w:r>
        <w:rPr>
          <w:color w:val="231F1F"/>
          <w:spacing w:val="-3"/>
          <w:w w:val="110"/>
        </w:rPr>
        <w:t> </w:t>
      </w:r>
      <w:r>
        <w:rPr>
          <w:color w:val="231F1F"/>
          <w:w w:val="110"/>
        </w:rPr>
        <w:t>parto.</w:t>
      </w:r>
      <w:r>
        <w:rPr>
          <w:color w:val="231F1F"/>
          <w:spacing w:val="-3"/>
          <w:w w:val="110"/>
        </w:rPr>
        <w:t> </w:t>
      </w:r>
      <w:r>
        <w:rPr>
          <w:color w:val="231F1F"/>
          <w:w w:val="110"/>
        </w:rPr>
        <w:t>Por</w:t>
      </w:r>
      <w:r>
        <w:rPr>
          <w:color w:val="231F1F"/>
          <w:spacing w:val="-3"/>
          <w:w w:val="110"/>
        </w:rPr>
        <w:t> </w:t>
      </w:r>
      <w:r>
        <w:rPr>
          <w:color w:val="231F1F"/>
          <w:w w:val="110"/>
        </w:rPr>
        <w:t>otro</w:t>
      </w:r>
      <w:r>
        <w:rPr>
          <w:color w:val="231F1F"/>
          <w:spacing w:val="-2"/>
          <w:w w:val="110"/>
        </w:rPr>
        <w:t> </w:t>
      </w:r>
      <w:r>
        <w:rPr>
          <w:color w:val="231F1F"/>
          <w:w w:val="110"/>
        </w:rPr>
        <w:t>lado,</w:t>
      </w:r>
      <w:r>
        <w:rPr>
          <w:color w:val="231F1F"/>
          <w:spacing w:val="-3"/>
          <w:w w:val="110"/>
        </w:rPr>
        <w:t> </w:t>
      </w:r>
      <w:r>
        <w:rPr>
          <w:color w:val="231F1F"/>
          <w:w w:val="110"/>
        </w:rPr>
        <w:t>las</w:t>
      </w:r>
      <w:r>
        <w:rPr>
          <w:color w:val="231F1F"/>
          <w:spacing w:val="-2"/>
          <w:w w:val="110"/>
        </w:rPr>
        <w:t> </w:t>
      </w:r>
      <w:r>
        <w:rPr>
          <w:color w:val="231F1F"/>
          <w:w w:val="110"/>
        </w:rPr>
        <w:t>mujeres</w:t>
      </w:r>
      <w:r>
        <w:rPr>
          <w:color w:val="231F1F"/>
          <w:spacing w:val="-2"/>
          <w:w w:val="110"/>
        </w:rPr>
        <w:t> </w:t>
      </w:r>
      <w:r>
        <w:rPr>
          <w:color w:val="231F1F"/>
          <w:w w:val="110"/>
        </w:rPr>
        <w:t>con</w:t>
      </w:r>
      <w:r>
        <w:rPr>
          <w:color w:val="231F1F"/>
          <w:spacing w:val="-2"/>
          <w:w w:val="110"/>
        </w:rPr>
        <w:t> </w:t>
      </w:r>
      <w:r>
        <w:rPr>
          <w:color w:val="231F1F"/>
          <w:w w:val="110"/>
        </w:rPr>
        <w:t>LA</w:t>
      </w:r>
      <w:r>
        <w:rPr>
          <w:color w:val="231F1F"/>
          <w:spacing w:val="-1"/>
          <w:w w:val="110"/>
        </w:rPr>
        <w:t> </w:t>
      </w:r>
      <w:r>
        <w:rPr>
          <w:color w:val="231F1F"/>
          <w:w w:val="110"/>
        </w:rPr>
        <w:t>meconial</w:t>
      </w:r>
      <w:r>
        <w:rPr>
          <w:color w:val="231F1F"/>
          <w:spacing w:val="-2"/>
          <w:w w:val="110"/>
        </w:rPr>
        <w:t> </w:t>
      </w:r>
      <w:r>
        <w:rPr>
          <w:color w:val="231F1F"/>
          <w:w w:val="110"/>
        </w:rPr>
        <w:t>al</w:t>
      </w:r>
      <w:r>
        <w:rPr>
          <w:color w:val="231F1F"/>
          <w:spacing w:val="-3"/>
          <w:w w:val="110"/>
        </w:rPr>
        <w:t> </w:t>
      </w:r>
      <w:r>
        <w:rPr>
          <w:color w:val="231F1F"/>
          <w:w w:val="110"/>
        </w:rPr>
        <w:t>ingreso presentaron un mayor porcentaje de parto inducido.</w:t>
      </w:r>
    </w:p>
    <w:p>
      <w:pPr>
        <w:pStyle w:val="BodyText"/>
        <w:spacing w:line="244" w:lineRule="auto" w:before="83"/>
        <w:ind w:left="283" w:right="3" w:firstLine="453"/>
        <w:jc w:val="both"/>
      </w:pPr>
      <w:r>
        <w:rPr>
          <w:color w:val="231F1F"/>
          <w:w w:val="110"/>
        </w:rPr>
        <w:t>Las</w:t>
      </w:r>
      <w:r>
        <w:rPr>
          <w:color w:val="231F1F"/>
          <w:spacing w:val="-4"/>
          <w:w w:val="110"/>
        </w:rPr>
        <w:t> </w:t>
      </w:r>
      <w:r>
        <w:rPr>
          <w:color w:val="231F1F"/>
          <w:w w:val="110"/>
        </w:rPr>
        <w:t>mujeres</w:t>
      </w:r>
      <w:r>
        <w:rPr>
          <w:color w:val="231F1F"/>
          <w:spacing w:val="-4"/>
          <w:w w:val="110"/>
        </w:rPr>
        <w:t> </w:t>
      </w:r>
      <w:r>
        <w:rPr>
          <w:color w:val="231F1F"/>
          <w:w w:val="110"/>
        </w:rPr>
        <w:t>en</w:t>
      </w:r>
      <w:r>
        <w:rPr>
          <w:color w:val="231F1F"/>
          <w:spacing w:val="-4"/>
          <w:w w:val="110"/>
        </w:rPr>
        <w:t> </w:t>
      </w:r>
      <w:r>
        <w:rPr>
          <w:color w:val="231F1F"/>
          <w:w w:val="110"/>
        </w:rPr>
        <w:t>las</w:t>
      </w:r>
      <w:r>
        <w:rPr>
          <w:color w:val="231F1F"/>
          <w:spacing w:val="-4"/>
          <w:w w:val="110"/>
        </w:rPr>
        <w:t> </w:t>
      </w:r>
      <w:r>
        <w:rPr>
          <w:color w:val="231F1F"/>
          <w:w w:val="110"/>
        </w:rPr>
        <w:t>que</w:t>
      </w:r>
      <w:r>
        <w:rPr>
          <w:color w:val="231F1F"/>
          <w:spacing w:val="-4"/>
          <w:w w:val="110"/>
        </w:rPr>
        <w:t> </w:t>
      </w:r>
      <w:r>
        <w:rPr>
          <w:color w:val="231F1F"/>
          <w:w w:val="110"/>
        </w:rPr>
        <w:t>se</w:t>
      </w:r>
      <w:r>
        <w:rPr>
          <w:color w:val="231F1F"/>
          <w:spacing w:val="-4"/>
          <w:w w:val="110"/>
        </w:rPr>
        <w:t> </w:t>
      </w:r>
      <w:r>
        <w:rPr>
          <w:color w:val="231F1F"/>
          <w:w w:val="110"/>
        </w:rPr>
        <w:t>producía</w:t>
      </w:r>
      <w:r>
        <w:rPr>
          <w:color w:val="231F1F"/>
          <w:spacing w:val="-4"/>
          <w:w w:val="110"/>
        </w:rPr>
        <w:t> </w:t>
      </w:r>
      <w:r>
        <w:rPr>
          <w:color w:val="231F1F"/>
          <w:w w:val="110"/>
        </w:rPr>
        <w:t>un</w:t>
      </w:r>
      <w:r>
        <w:rPr>
          <w:color w:val="231F1F"/>
          <w:spacing w:val="-4"/>
          <w:w w:val="110"/>
        </w:rPr>
        <w:t> </w:t>
      </w:r>
      <w:r>
        <w:rPr>
          <w:color w:val="231F1F"/>
          <w:w w:val="110"/>
        </w:rPr>
        <w:t>cambio</w:t>
      </w:r>
      <w:r>
        <w:rPr>
          <w:color w:val="231F1F"/>
          <w:spacing w:val="-4"/>
          <w:w w:val="110"/>
        </w:rPr>
        <w:t> </w:t>
      </w:r>
      <w:r>
        <w:rPr>
          <w:color w:val="231F1F"/>
          <w:w w:val="110"/>
        </w:rPr>
        <w:t>de</w:t>
      </w:r>
      <w:r>
        <w:rPr>
          <w:color w:val="231F1F"/>
          <w:spacing w:val="-4"/>
          <w:w w:val="110"/>
        </w:rPr>
        <w:t> </w:t>
      </w:r>
      <w:r>
        <w:rPr>
          <w:color w:val="231F1F"/>
          <w:w w:val="110"/>
        </w:rPr>
        <w:t>color</w:t>
      </w:r>
      <w:r>
        <w:rPr>
          <w:color w:val="231F1F"/>
          <w:spacing w:val="-4"/>
          <w:w w:val="110"/>
        </w:rPr>
        <w:t> </w:t>
      </w:r>
      <w:r>
        <w:rPr>
          <w:color w:val="231F1F"/>
          <w:w w:val="110"/>
        </w:rPr>
        <w:t>del</w:t>
      </w:r>
      <w:r>
        <w:rPr>
          <w:color w:val="231F1F"/>
          <w:spacing w:val="-4"/>
          <w:w w:val="110"/>
        </w:rPr>
        <w:t> </w:t>
      </w:r>
      <w:r>
        <w:rPr>
          <w:color w:val="231F1F"/>
          <w:w w:val="110"/>
        </w:rPr>
        <w:t>LA</w:t>
      </w:r>
      <w:r>
        <w:rPr>
          <w:color w:val="231F1F"/>
          <w:spacing w:val="-3"/>
          <w:w w:val="110"/>
        </w:rPr>
        <w:t> </w:t>
      </w:r>
      <w:r>
        <w:rPr>
          <w:color w:val="231F1F"/>
          <w:w w:val="110"/>
        </w:rPr>
        <w:t>durante el</w:t>
      </w:r>
      <w:r>
        <w:rPr>
          <w:color w:val="231F1F"/>
          <w:spacing w:val="-5"/>
          <w:w w:val="110"/>
        </w:rPr>
        <w:t> </w:t>
      </w:r>
      <w:r>
        <w:rPr>
          <w:color w:val="231F1F"/>
          <w:w w:val="110"/>
        </w:rPr>
        <w:t>trabajo</w:t>
      </w:r>
      <w:r>
        <w:rPr>
          <w:color w:val="231F1F"/>
          <w:spacing w:val="-4"/>
          <w:w w:val="110"/>
        </w:rPr>
        <w:t> </w:t>
      </w:r>
      <w:r>
        <w:rPr>
          <w:color w:val="231F1F"/>
          <w:w w:val="110"/>
        </w:rPr>
        <w:t>de</w:t>
      </w:r>
      <w:r>
        <w:rPr>
          <w:color w:val="231F1F"/>
          <w:spacing w:val="-5"/>
          <w:w w:val="110"/>
        </w:rPr>
        <w:t> </w:t>
      </w:r>
      <w:r>
        <w:rPr>
          <w:color w:val="231F1F"/>
          <w:w w:val="110"/>
        </w:rPr>
        <w:t>parto</w:t>
      </w:r>
      <w:r>
        <w:rPr>
          <w:color w:val="231F1F"/>
          <w:spacing w:val="-5"/>
          <w:w w:val="110"/>
        </w:rPr>
        <w:t> </w:t>
      </w:r>
      <w:r>
        <w:rPr>
          <w:color w:val="231F1F"/>
          <w:w w:val="110"/>
        </w:rPr>
        <w:t>pasando</w:t>
      </w:r>
      <w:r>
        <w:rPr>
          <w:color w:val="231F1F"/>
          <w:spacing w:val="-5"/>
          <w:w w:val="110"/>
        </w:rPr>
        <w:t> </w:t>
      </w:r>
      <w:r>
        <w:rPr>
          <w:color w:val="231F1F"/>
          <w:w w:val="110"/>
        </w:rPr>
        <w:t>de</w:t>
      </w:r>
      <w:r>
        <w:rPr>
          <w:color w:val="231F1F"/>
          <w:spacing w:val="-5"/>
          <w:w w:val="110"/>
        </w:rPr>
        <w:t> </w:t>
      </w:r>
      <w:r>
        <w:rPr>
          <w:color w:val="231F1F"/>
          <w:w w:val="110"/>
        </w:rPr>
        <w:t>limpio</w:t>
      </w:r>
      <w:r>
        <w:rPr>
          <w:color w:val="231F1F"/>
          <w:spacing w:val="-5"/>
          <w:w w:val="110"/>
        </w:rPr>
        <w:t> </w:t>
      </w:r>
      <w:r>
        <w:rPr>
          <w:color w:val="231F1F"/>
          <w:w w:val="110"/>
        </w:rPr>
        <w:t>a</w:t>
      </w:r>
      <w:r>
        <w:rPr>
          <w:color w:val="231F1F"/>
          <w:spacing w:val="-5"/>
          <w:w w:val="110"/>
        </w:rPr>
        <w:t> </w:t>
      </w:r>
      <w:r>
        <w:rPr>
          <w:color w:val="231F1F"/>
          <w:w w:val="110"/>
        </w:rPr>
        <w:t>meconial,</w:t>
      </w:r>
      <w:r>
        <w:rPr>
          <w:color w:val="231F1F"/>
          <w:spacing w:val="-5"/>
          <w:w w:val="110"/>
        </w:rPr>
        <w:t> </w:t>
      </w:r>
      <w:r>
        <w:rPr>
          <w:color w:val="231F1F"/>
          <w:w w:val="110"/>
        </w:rPr>
        <w:t>presentaron</w:t>
      </w:r>
      <w:r>
        <w:rPr>
          <w:color w:val="231F1F"/>
          <w:spacing w:val="-5"/>
          <w:w w:val="110"/>
        </w:rPr>
        <w:t> </w:t>
      </w:r>
      <w:r>
        <w:rPr>
          <w:color w:val="231F1F"/>
          <w:w w:val="110"/>
        </w:rPr>
        <w:t>niveles</w:t>
      </w:r>
      <w:r>
        <w:rPr>
          <w:color w:val="231F1F"/>
          <w:spacing w:val="-5"/>
          <w:w w:val="110"/>
        </w:rPr>
        <w:t> </w:t>
      </w:r>
      <w:r>
        <w:rPr>
          <w:color w:val="231F1F"/>
          <w:w w:val="110"/>
        </w:rPr>
        <w:t>bajos de</w:t>
      </w:r>
      <w:r>
        <w:rPr>
          <w:color w:val="231F1F"/>
          <w:spacing w:val="-6"/>
          <w:w w:val="110"/>
        </w:rPr>
        <w:t> </w:t>
      </w:r>
      <w:r>
        <w:rPr>
          <w:color w:val="231F1F"/>
          <w:w w:val="110"/>
        </w:rPr>
        <w:t>puntuación</w:t>
      </w:r>
      <w:r>
        <w:rPr>
          <w:color w:val="231F1F"/>
          <w:spacing w:val="-6"/>
          <w:w w:val="110"/>
        </w:rPr>
        <w:t> </w:t>
      </w:r>
      <w:r>
        <w:rPr>
          <w:color w:val="231F1F"/>
          <w:w w:val="110"/>
        </w:rPr>
        <w:t>en</w:t>
      </w:r>
      <w:r>
        <w:rPr>
          <w:color w:val="231F1F"/>
          <w:spacing w:val="-5"/>
          <w:w w:val="110"/>
        </w:rPr>
        <w:t> </w:t>
      </w:r>
      <w:r>
        <w:rPr>
          <w:color w:val="231F1F"/>
          <w:w w:val="110"/>
        </w:rPr>
        <w:t>el</w:t>
      </w:r>
      <w:r>
        <w:rPr>
          <w:color w:val="231F1F"/>
          <w:spacing w:val="-6"/>
          <w:w w:val="110"/>
        </w:rPr>
        <w:t> </w:t>
      </w:r>
      <w:r>
        <w:rPr>
          <w:color w:val="231F1F"/>
          <w:w w:val="110"/>
        </w:rPr>
        <w:t>test</w:t>
      </w:r>
      <w:r>
        <w:rPr>
          <w:color w:val="231F1F"/>
          <w:spacing w:val="-6"/>
          <w:w w:val="110"/>
        </w:rPr>
        <w:t> </w:t>
      </w:r>
      <w:r>
        <w:rPr>
          <w:color w:val="231F1F"/>
          <w:w w:val="110"/>
        </w:rPr>
        <w:t>de</w:t>
      </w:r>
      <w:r>
        <w:rPr>
          <w:color w:val="231F1F"/>
          <w:spacing w:val="-6"/>
          <w:w w:val="110"/>
        </w:rPr>
        <w:t> </w:t>
      </w:r>
      <w:r>
        <w:rPr>
          <w:color w:val="231F1F"/>
          <w:w w:val="110"/>
        </w:rPr>
        <w:t>Apgar</w:t>
      </w:r>
      <w:r>
        <w:rPr>
          <w:color w:val="231F1F"/>
          <w:spacing w:val="-6"/>
          <w:w w:val="110"/>
        </w:rPr>
        <w:t> </w:t>
      </w:r>
      <w:r>
        <w:rPr>
          <w:color w:val="231F1F"/>
          <w:w w:val="110"/>
        </w:rPr>
        <w:t>a</w:t>
      </w:r>
      <w:r>
        <w:rPr>
          <w:color w:val="231F1F"/>
          <w:spacing w:val="-5"/>
          <w:w w:val="110"/>
        </w:rPr>
        <w:t> </w:t>
      </w:r>
      <w:r>
        <w:rPr>
          <w:color w:val="231F1F"/>
          <w:w w:val="110"/>
        </w:rPr>
        <w:t>los</w:t>
      </w:r>
      <w:r>
        <w:rPr>
          <w:color w:val="231F1F"/>
          <w:spacing w:val="-6"/>
          <w:w w:val="110"/>
        </w:rPr>
        <w:t> </w:t>
      </w:r>
      <w:r>
        <w:rPr>
          <w:color w:val="231F1F"/>
          <w:w w:val="110"/>
        </w:rPr>
        <w:t>5</w:t>
      </w:r>
      <w:r>
        <w:rPr>
          <w:color w:val="231F1F"/>
          <w:spacing w:val="-5"/>
          <w:w w:val="110"/>
        </w:rPr>
        <w:t> </w:t>
      </w:r>
      <w:r>
        <w:rPr>
          <w:color w:val="231F1F"/>
          <w:w w:val="110"/>
        </w:rPr>
        <w:t>minutos</w:t>
      </w:r>
      <w:r>
        <w:rPr>
          <w:color w:val="231F1F"/>
          <w:spacing w:val="-6"/>
          <w:w w:val="110"/>
        </w:rPr>
        <w:t> </w:t>
      </w:r>
      <w:r>
        <w:rPr>
          <w:color w:val="231F1F"/>
          <w:w w:val="110"/>
        </w:rPr>
        <w:t>y</w:t>
      </w:r>
      <w:r>
        <w:rPr>
          <w:color w:val="231F1F"/>
          <w:spacing w:val="-5"/>
          <w:w w:val="110"/>
        </w:rPr>
        <w:t> </w:t>
      </w:r>
      <w:r>
        <w:rPr>
          <w:color w:val="231F1F"/>
          <w:w w:val="110"/>
        </w:rPr>
        <w:t>pH&lt;7,10</w:t>
      </w:r>
      <w:r>
        <w:rPr>
          <w:color w:val="231F1F"/>
          <w:spacing w:val="-5"/>
          <w:w w:val="110"/>
        </w:rPr>
        <w:t> </w:t>
      </w:r>
      <w:r>
        <w:rPr>
          <w:color w:val="231F1F"/>
          <w:w w:val="110"/>
        </w:rPr>
        <w:t>y</w:t>
      </w:r>
      <w:r>
        <w:rPr>
          <w:color w:val="231F1F"/>
          <w:spacing w:val="-5"/>
          <w:w w:val="110"/>
        </w:rPr>
        <w:t> </w:t>
      </w:r>
      <w:r>
        <w:rPr>
          <w:color w:val="231F1F"/>
          <w:w w:val="110"/>
        </w:rPr>
        <w:t>se</w:t>
      </w:r>
      <w:r>
        <w:rPr>
          <w:color w:val="231F1F"/>
          <w:spacing w:val="-6"/>
          <w:w w:val="110"/>
        </w:rPr>
        <w:t> </w:t>
      </w:r>
      <w:r>
        <w:rPr>
          <w:color w:val="231F1F"/>
          <w:w w:val="110"/>
        </w:rPr>
        <w:t>asociaron con una mayor tasa de ingresos en la UCIN. El mayor porcentaje de niños con</w:t>
      </w:r>
      <w:r>
        <w:rPr>
          <w:color w:val="231F1F"/>
          <w:spacing w:val="-1"/>
          <w:w w:val="110"/>
        </w:rPr>
        <w:t> </w:t>
      </w:r>
      <w:r>
        <w:rPr>
          <w:color w:val="231F1F"/>
          <w:w w:val="110"/>
        </w:rPr>
        <w:t>aspiración</w:t>
      </w:r>
      <w:r>
        <w:rPr>
          <w:color w:val="231F1F"/>
          <w:spacing w:val="-1"/>
          <w:w w:val="110"/>
        </w:rPr>
        <w:t> </w:t>
      </w:r>
      <w:r>
        <w:rPr>
          <w:color w:val="231F1F"/>
          <w:w w:val="110"/>
        </w:rPr>
        <w:t>de</w:t>
      </w:r>
      <w:r>
        <w:rPr>
          <w:color w:val="231F1F"/>
          <w:spacing w:val="-1"/>
          <w:w w:val="110"/>
        </w:rPr>
        <w:t> </w:t>
      </w:r>
      <w:r>
        <w:rPr>
          <w:color w:val="231F1F"/>
          <w:w w:val="110"/>
        </w:rPr>
        <w:t>meconio</w:t>
      </w:r>
      <w:r>
        <w:rPr>
          <w:color w:val="231F1F"/>
          <w:spacing w:val="-1"/>
          <w:w w:val="110"/>
        </w:rPr>
        <w:t> </w:t>
      </w:r>
      <w:r>
        <w:rPr>
          <w:color w:val="231F1F"/>
          <w:w w:val="110"/>
        </w:rPr>
        <w:t>se</w:t>
      </w:r>
      <w:r>
        <w:rPr>
          <w:color w:val="231F1F"/>
          <w:spacing w:val="-2"/>
          <w:w w:val="110"/>
        </w:rPr>
        <w:t> </w:t>
      </w:r>
      <w:r>
        <w:rPr>
          <w:color w:val="231F1F"/>
          <w:w w:val="110"/>
        </w:rPr>
        <w:t>produjo</w:t>
      </w:r>
      <w:r>
        <w:rPr>
          <w:color w:val="231F1F"/>
          <w:spacing w:val="-2"/>
          <w:w w:val="110"/>
        </w:rPr>
        <w:t> </w:t>
      </w:r>
      <w:r>
        <w:rPr>
          <w:color w:val="231F1F"/>
          <w:w w:val="110"/>
        </w:rPr>
        <w:t>en</w:t>
      </w:r>
      <w:r>
        <w:rPr>
          <w:color w:val="231F1F"/>
          <w:spacing w:val="-1"/>
          <w:w w:val="110"/>
        </w:rPr>
        <w:t> </w:t>
      </w:r>
      <w:r>
        <w:rPr>
          <w:color w:val="231F1F"/>
          <w:w w:val="110"/>
        </w:rPr>
        <w:t>el</w:t>
      </w:r>
      <w:r>
        <w:rPr>
          <w:color w:val="231F1F"/>
          <w:spacing w:val="-2"/>
          <w:w w:val="110"/>
        </w:rPr>
        <w:t> </w:t>
      </w:r>
      <w:r>
        <w:rPr>
          <w:color w:val="231F1F"/>
          <w:w w:val="110"/>
        </w:rPr>
        <w:t>grupo</w:t>
      </w:r>
      <w:r>
        <w:rPr>
          <w:color w:val="231F1F"/>
          <w:spacing w:val="-1"/>
          <w:w w:val="110"/>
        </w:rPr>
        <w:t> </w:t>
      </w:r>
      <w:r>
        <w:rPr>
          <w:color w:val="231F1F"/>
          <w:w w:val="110"/>
        </w:rPr>
        <w:t>4</w:t>
      </w:r>
      <w:r>
        <w:rPr>
          <w:color w:val="231F1F"/>
          <w:spacing w:val="-1"/>
          <w:w w:val="110"/>
        </w:rPr>
        <w:t> </w:t>
      </w:r>
      <w:r>
        <w:rPr>
          <w:color w:val="231F1F"/>
          <w:w w:val="110"/>
        </w:rPr>
        <w:t>en</w:t>
      </w:r>
      <w:r>
        <w:rPr>
          <w:color w:val="231F1F"/>
          <w:spacing w:val="-1"/>
          <w:w w:val="110"/>
        </w:rPr>
        <w:t> </w:t>
      </w:r>
      <w:r>
        <w:rPr>
          <w:color w:val="231F1F"/>
          <w:w w:val="110"/>
        </w:rPr>
        <w:t>el</w:t>
      </w:r>
      <w:r>
        <w:rPr>
          <w:color w:val="231F1F"/>
          <w:spacing w:val="-2"/>
          <w:w w:val="110"/>
        </w:rPr>
        <w:t> </w:t>
      </w:r>
      <w:r>
        <w:rPr>
          <w:color w:val="231F1F"/>
          <w:w w:val="110"/>
        </w:rPr>
        <w:t>que</w:t>
      </w:r>
      <w:r>
        <w:rPr>
          <w:color w:val="231F1F"/>
          <w:spacing w:val="-2"/>
          <w:w w:val="110"/>
        </w:rPr>
        <w:t> </w:t>
      </w:r>
      <w:r>
        <w:rPr>
          <w:color w:val="231F1F"/>
          <w:w w:val="110"/>
        </w:rPr>
        <w:t>la</w:t>
      </w:r>
      <w:r>
        <w:rPr>
          <w:color w:val="231F1F"/>
          <w:spacing w:val="-1"/>
          <w:w w:val="110"/>
        </w:rPr>
        <w:t> </w:t>
      </w:r>
      <w:r>
        <w:rPr>
          <w:color w:val="231F1F"/>
          <w:w w:val="110"/>
        </w:rPr>
        <w:t>mujer</w:t>
      </w:r>
      <w:r>
        <w:rPr>
          <w:color w:val="231F1F"/>
          <w:spacing w:val="-2"/>
          <w:w w:val="110"/>
        </w:rPr>
        <w:t> </w:t>
      </w:r>
      <w:r>
        <w:rPr>
          <w:color w:val="231F1F"/>
          <w:w w:val="110"/>
        </w:rPr>
        <w:t>pre- sentaba LA meconial claro al ingreso y espeso en el parto.</w:t>
      </w:r>
    </w:p>
    <w:p>
      <w:pPr>
        <w:pStyle w:val="BodyText"/>
        <w:spacing w:line="254" w:lineRule="auto" w:before="64"/>
        <w:ind w:left="283" w:right="1" w:firstLine="453"/>
        <w:jc w:val="both"/>
      </w:pPr>
      <w:r>
        <w:rPr>
          <w:color w:val="231F1F"/>
          <w:w w:val="110"/>
        </w:rPr>
        <w:t>En</w:t>
      </w:r>
      <w:r>
        <w:rPr>
          <w:color w:val="231F1F"/>
          <w:spacing w:val="-3"/>
          <w:w w:val="110"/>
        </w:rPr>
        <w:t> </w:t>
      </w:r>
      <w:r>
        <w:rPr>
          <w:color w:val="231F1F"/>
          <w:w w:val="110"/>
        </w:rPr>
        <w:t>resumen</w:t>
      </w:r>
      <w:r>
        <w:rPr>
          <w:color w:val="231F1F"/>
          <w:spacing w:val="-4"/>
          <w:w w:val="110"/>
        </w:rPr>
        <w:t> </w:t>
      </w:r>
      <w:r>
        <w:rPr>
          <w:color w:val="231F1F"/>
          <w:w w:val="110"/>
        </w:rPr>
        <w:t>se</w:t>
      </w:r>
      <w:r>
        <w:rPr>
          <w:color w:val="231F1F"/>
          <w:spacing w:val="-4"/>
          <w:w w:val="110"/>
        </w:rPr>
        <w:t> </w:t>
      </w:r>
      <w:r>
        <w:rPr>
          <w:color w:val="231F1F"/>
          <w:w w:val="110"/>
        </w:rPr>
        <w:t>encontró</w:t>
      </w:r>
      <w:r>
        <w:rPr>
          <w:color w:val="231F1F"/>
          <w:spacing w:val="-3"/>
          <w:w w:val="110"/>
        </w:rPr>
        <w:t> </w:t>
      </w:r>
      <w:r>
        <w:rPr>
          <w:color w:val="231F1F"/>
          <w:w w:val="110"/>
        </w:rPr>
        <w:t>que</w:t>
      </w:r>
      <w:r>
        <w:rPr>
          <w:color w:val="231F1F"/>
          <w:spacing w:val="-4"/>
          <w:w w:val="110"/>
        </w:rPr>
        <w:t> </w:t>
      </w:r>
      <w:r>
        <w:rPr>
          <w:color w:val="231F1F"/>
          <w:w w:val="110"/>
        </w:rPr>
        <w:t>los</w:t>
      </w:r>
      <w:r>
        <w:rPr>
          <w:color w:val="231F1F"/>
          <w:spacing w:val="-4"/>
          <w:w w:val="110"/>
        </w:rPr>
        <w:t> </w:t>
      </w:r>
      <w:r>
        <w:rPr>
          <w:color w:val="231F1F"/>
          <w:w w:val="110"/>
        </w:rPr>
        <w:t>cambios</w:t>
      </w:r>
      <w:r>
        <w:rPr>
          <w:color w:val="231F1F"/>
          <w:spacing w:val="-4"/>
          <w:w w:val="110"/>
        </w:rPr>
        <w:t> </w:t>
      </w:r>
      <w:r>
        <w:rPr>
          <w:color w:val="231F1F"/>
          <w:w w:val="110"/>
        </w:rPr>
        <w:t>cualitativos</w:t>
      </w:r>
      <w:r>
        <w:rPr>
          <w:color w:val="231F1F"/>
          <w:spacing w:val="-4"/>
          <w:w w:val="110"/>
        </w:rPr>
        <w:t> </w:t>
      </w:r>
      <w:r>
        <w:rPr>
          <w:color w:val="231F1F"/>
          <w:w w:val="110"/>
        </w:rPr>
        <w:t>en</w:t>
      </w:r>
      <w:r>
        <w:rPr>
          <w:color w:val="231F1F"/>
          <w:spacing w:val="-3"/>
          <w:w w:val="110"/>
        </w:rPr>
        <w:t> </w:t>
      </w:r>
      <w:r>
        <w:rPr>
          <w:color w:val="231F1F"/>
          <w:w w:val="110"/>
        </w:rPr>
        <w:t>el</w:t>
      </w:r>
      <w:r>
        <w:rPr>
          <w:color w:val="231F1F"/>
          <w:spacing w:val="-4"/>
          <w:w w:val="110"/>
        </w:rPr>
        <w:t> </w:t>
      </w:r>
      <w:r>
        <w:rPr>
          <w:color w:val="231F1F"/>
          <w:w w:val="110"/>
        </w:rPr>
        <w:t>LA</w:t>
      </w:r>
      <w:r>
        <w:rPr>
          <w:color w:val="231F1F"/>
          <w:spacing w:val="-3"/>
          <w:w w:val="110"/>
        </w:rPr>
        <w:t> </w:t>
      </w:r>
      <w:r>
        <w:rPr>
          <w:color w:val="231F1F"/>
          <w:w w:val="110"/>
        </w:rPr>
        <w:t>durante </w:t>
      </w:r>
      <w:r>
        <w:rPr>
          <w:color w:val="231F1F"/>
        </w:rPr>
        <w:t>el</w:t>
      </w:r>
      <w:r>
        <w:rPr>
          <w:color w:val="231F1F"/>
          <w:spacing w:val="40"/>
        </w:rPr>
        <w:t> </w:t>
      </w:r>
      <w:r>
        <w:rPr>
          <w:color w:val="231F1F"/>
        </w:rPr>
        <w:t>parto</w:t>
      </w:r>
      <w:r>
        <w:rPr>
          <w:color w:val="231F1F"/>
          <w:spacing w:val="40"/>
        </w:rPr>
        <w:t> </w:t>
      </w:r>
      <w:r>
        <w:rPr>
          <w:color w:val="231F1F"/>
        </w:rPr>
        <w:t>tienen</w:t>
      </w:r>
      <w:r>
        <w:rPr>
          <w:color w:val="231F1F"/>
          <w:spacing w:val="40"/>
        </w:rPr>
        <w:t> </w:t>
      </w:r>
      <w:r>
        <w:rPr>
          <w:color w:val="231F1F"/>
        </w:rPr>
        <w:t>más</w:t>
      </w:r>
      <w:r>
        <w:rPr>
          <w:color w:val="231F1F"/>
          <w:spacing w:val="40"/>
        </w:rPr>
        <w:t> </w:t>
      </w:r>
      <w:r>
        <w:rPr>
          <w:color w:val="231F1F"/>
        </w:rPr>
        <w:t>significado</w:t>
      </w:r>
      <w:r>
        <w:rPr>
          <w:color w:val="231F1F"/>
          <w:spacing w:val="40"/>
        </w:rPr>
        <w:t> </w:t>
      </w:r>
      <w:r>
        <w:rPr>
          <w:color w:val="231F1F"/>
        </w:rPr>
        <w:t>pronóstico</w:t>
      </w:r>
      <w:r>
        <w:rPr>
          <w:color w:val="231F1F"/>
          <w:spacing w:val="40"/>
        </w:rPr>
        <w:t> </w:t>
      </w:r>
      <w:r>
        <w:rPr>
          <w:color w:val="231F1F"/>
        </w:rPr>
        <w:t>para</w:t>
      </w:r>
      <w:r>
        <w:rPr>
          <w:color w:val="231F1F"/>
          <w:spacing w:val="40"/>
        </w:rPr>
        <w:t> </w:t>
      </w:r>
      <w:r>
        <w:rPr>
          <w:color w:val="231F1F"/>
        </w:rPr>
        <w:t>resultado</w:t>
      </w:r>
      <w:r>
        <w:rPr>
          <w:color w:val="231F1F"/>
          <w:spacing w:val="40"/>
        </w:rPr>
        <w:t> </w:t>
      </w:r>
      <w:r>
        <w:rPr>
          <w:color w:val="231F1F"/>
        </w:rPr>
        <w:t>adversos</w:t>
      </w:r>
      <w:r>
        <w:rPr>
          <w:color w:val="231F1F"/>
          <w:spacing w:val="40"/>
        </w:rPr>
        <w:t> </w:t>
      </w:r>
      <w:r>
        <w:rPr>
          <w:color w:val="231F1F"/>
        </w:rPr>
        <w:t>neonatales </w:t>
      </w:r>
      <w:r>
        <w:rPr>
          <w:color w:val="231F1F"/>
          <w:w w:val="110"/>
        </w:rPr>
        <w:t>que</w:t>
      </w:r>
      <w:r>
        <w:rPr>
          <w:color w:val="231F1F"/>
          <w:spacing w:val="-6"/>
          <w:w w:val="110"/>
        </w:rPr>
        <w:t> </w:t>
      </w:r>
      <w:r>
        <w:rPr>
          <w:color w:val="231F1F"/>
          <w:w w:val="110"/>
        </w:rPr>
        <w:t>el</w:t>
      </w:r>
      <w:r>
        <w:rPr>
          <w:color w:val="231F1F"/>
          <w:spacing w:val="-7"/>
          <w:w w:val="110"/>
        </w:rPr>
        <w:t> </w:t>
      </w:r>
      <w:r>
        <w:rPr>
          <w:color w:val="231F1F"/>
          <w:w w:val="110"/>
        </w:rPr>
        <w:t>color</w:t>
      </w:r>
      <w:r>
        <w:rPr>
          <w:color w:val="231F1F"/>
          <w:spacing w:val="-7"/>
          <w:w w:val="110"/>
        </w:rPr>
        <w:t> </w:t>
      </w:r>
      <w:r>
        <w:rPr>
          <w:color w:val="231F1F"/>
          <w:w w:val="110"/>
        </w:rPr>
        <w:t>del</w:t>
      </w:r>
      <w:r>
        <w:rPr>
          <w:color w:val="231F1F"/>
          <w:spacing w:val="-7"/>
          <w:w w:val="110"/>
        </w:rPr>
        <w:t> </w:t>
      </w:r>
      <w:r>
        <w:rPr>
          <w:color w:val="231F1F"/>
          <w:w w:val="110"/>
        </w:rPr>
        <w:t>LA</w:t>
      </w:r>
      <w:r>
        <w:rPr>
          <w:color w:val="231F1F"/>
          <w:spacing w:val="-6"/>
          <w:w w:val="110"/>
        </w:rPr>
        <w:t> </w:t>
      </w:r>
      <w:r>
        <w:rPr>
          <w:color w:val="231F1F"/>
          <w:w w:val="110"/>
        </w:rPr>
        <w:t>en</w:t>
      </w:r>
      <w:r>
        <w:rPr>
          <w:color w:val="231F1F"/>
          <w:spacing w:val="-6"/>
          <w:w w:val="110"/>
        </w:rPr>
        <w:t> </w:t>
      </w:r>
      <w:r>
        <w:rPr>
          <w:color w:val="231F1F"/>
          <w:w w:val="110"/>
        </w:rPr>
        <w:t>la</w:t>
      </w:r>
      <w:r>
        <w:rPr>
          <w:color w:val="231F1F"/>
          <w:spacing w:val="-6"/>
          <w:w w:val="110"/>
        </w:rPr>
        <w:t> </w:t>
      </w:r>
      <w:r>
        <w:rPr>
          <w:color w:val="231F1F"/>
          <w:w w:val="110"/>
        </w:rPr>
        <w:t>admisión.</w:t>
      </w:r>
      <w:r>
        <w:rPr>
          <w:color w:val="231F1F"/>
          <w:spacing w:val="-7"/>
          <w:w w:val="110"/>
        </w:rPr>
        <w:t> </w:t>
      </w:r>
      <w:r>
        <w:rPr>
          <w:color w:val="231F1F"/>
          <w:w w:val="110"/>
        </w:rPr>
        <w:t>La</w:t>
      </w:r>
      <w:r>
        <w:rPr>
          <w:color w:val="231F1F"/>
          <w:spacing w:val="-6"/>
          <w:w w:val="110"/>
        </w:rPr>
        <w:t> </w:t>
      </w:r>
      <w:r>
        <w:rPr>
          <w:color w:val="231F1F"/>
          <w:w w:val="110"/>
        </w:rPr>
        <w:t>presencia</w:t>
      </w:r>
      <w:r>
        <w:rPr>
          <w:color w:val="231F1F"/>
          <w:spacing w:val="-7"/>
          <w:w w:val="110"/>
        </w:rPr>
        <w:t> </w:t>
      </w:r>
      <w:r>
        <w:rPr>
          <w:color w:val="231F1F"/>
          <w:w w:val="110"/>
        </w:rPr>
        <w:t>de</w:t>
      </w:r>
      <w:r>
        <w:rPr>
          <w:color w:val="231F1F"/>
          <w:spacing w:val="-6"/>
          <w:w w:val="110"/>
        </w:rPr>
        <w:t> </w:t>
      </w:r>
      <w:r>
        <w:rPr>
          <w:color w:val="231F1F"/>
          <w:w w:val="110"/>
        </w:rPr>
        <w:t>meconio</w:t>
      </w:r>
      <w:r>
        <w:rPr>
          <w:color w:val="231F1F"/>
          <w:spacing w:val="-6"/>
          <w:w w:val="110"/>
        </w:rPr>
        <w:t> </w:t>
      </w:r>
      <w:r>
        <w:rPr>
          <w:color w:val="231F1F"/>
          <w:w w:val="110"/>
        </w:rPr>
        <w:t>en</w:t>
      </w:r>
      <w:r>
        <w:rPr>
          <w:color w:val="231F1F"/>
          <w:spacing w:val="-6"/>
          <w:w w:val="110"/>
        </w:rPr>
        <w:t> </w:t>
      </w:r>
      <w:r>
        <w:rPr>
          <w:color w:val="231F1F"/>
          <w:w w:val="110"/>
        </w:rPr>
        <w:t>el</w:t>
      </w:r>
      <w:r>
        <w:rPr>
          <w:color w:val="231F1F"/>
          <w:spacing w:val="-7"/>
          <w:w w:val="110"/>
        </w:rPr>
        <w:t> </w:t>
      </w:r>
      <w:r>
        <w:rPr>
          <w:color w:val="231F1F"/>
          <w:w w:val="110"/>
        </w:rPr>
        <w:t>LA</w:t>
      </w:r>
      <w:r>
        <w:rPr>
          <w:color w:val="231F1F"/>
          <w:spacing w:val="-6"/>
          <w:w w:val="110"/>
        </w:rPr>
        <w:t> </w:t>
      </w:r>
      <w:r>
        <w:rPr>
          <w:color w:val="231F1F"/>
          <w:w w:val="110"/>
        </w:rPr>
        <w:t>en</w:t>
      </w:r>
      <w:r>
        <w:rPr>
          <w:color w:val="231F1F"/>
          <w:spacing w:val="-6"/>
          <w:w w:val="110"/>
        </w:rPr>
        <w:t> </w:t>
      </w:r>
      <w:r>
        <w:rPr>
          <w:color w:val="231F1F"/>
          <w:w w:val="110"/>
        </w:rPr>
        <w:t>el inicio</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3"/>
          <w:w w:val="110"/>
        </w:rPr>
        <w:t> </w:t>
      </w:r>
      <w:r>
        <w:rPr>
          <w:color w:val="231F1F"/>
          <w:w w:val="110"/>
        </w:rPr>
        <w:t>mostró</w:t>
      </w:r>
      <w:r>
        <w:rPr>
          <w:color w:val="231F1F"/>
          <w:spacing w:val="-12"/>
          <w:w w:val="110"/>
        </w:rPr>
        <w:t> </w:t>
      </w:r>
      <w:r>
        <w:rPr>
          <w:color w:val="231F1F"/>
          <w:w w:val="110"/>
        </w:rPr>
        <w:t>poca</w:t>
      </w:r>
      <w:r>
        <w:rPr>
          <w:color w:val="231F1F"/>
          <w:spacing w:val="-13"/>
          <w:w w:val="110"/>
        </w:rPr>
        <w:t> </w:t>
      </w:r>
      <w:r>
        <w:rPr>
          <w:color w:val="231F1F"/>
          <w:w w:val="110"/>
        </w:rPr>
        <w:t>o</w:t>
      </w:r>
      <w:r>
        <w:rPr>
          <w:color w:val="231F1F"/>
          <w:spacing w:val="-12"/>
          <w:w w:val="110"/>
        </w:rPr>
        <w:t> </w:t>
      </w:r>
      <w:r>
        <w:rPr>
          <w:color w:val="231F1F"/>
          <w:w w:val="110"/>
        </w:rPr>
        <w:t>ningún</w:t>
      </w:r>
      <w:r>
        <w:rPr>
          <w:color w:val="231F1F"/>
          <w:spacing w:val="-13"/>
          <w:w w:val="110"/>
        </w:rPr>
        <w:t> </w:t>
      </w:r>
      <w:r>
        <w:rPr>
          <w:color w:val="231F1F"/>
          <w:w w:val="110"/>
        </w:rPr>
        <w:t>valor</w:t>
      </w:r>
      <w:r>
        <w:rPr>
          <w:color w:val="231F1F"/>
          <w:spacing w:val="-12"/>
          <w:w w:val="110"/>
        </w:rPr>
        <w:t> </w:t>
      </w:r>
      <w:r>
        <w:rPr>
          <w:color w:val="231F1F"/>
          <w:w w:val="110"/>
        </w:rPr>
        <w:t>pronóstico</w:t>
      </w:r>
      <w:r>
        <w:rPr>
          <w:color w:val="231F1F"/>
          <w:spacing w:val="-12"/>
          <w:w w:val="110"/>
        </w:rPr>
        <w:t> </w:t>
      </w:r>
      <w:r>
        <w:rPr>
          <w:color w:val="231F1F"/>
          <w:w w:val="110"/>
        </w:rPr>
        <w:t>para</w:t>
      </w:r>
      <w:r>
        <w:rPr>
          <w:color w:val="231F1F"/>
          <w:spacing w:val="-13"/>
          <w:w w:val="110"/>
        </w:rPr>
        <w:t> </w:t>
      </w:r>
      <w:r>
        <w:rPr>
          <w:color w:val="231F1F"/>
          <w:w w:val="110"/>
        </w:rPr>
        <w:t>un</w:t>
      </w:r>
      <w:r>
        <w:rPr>
          <w:color w:val="231F1F"/>
          <w:spacing w:val="-12"/>
          <w:w w:val="110"/>
        </w:rPr>
        <w:t> </w:t>
      </w:r>
      <w:r>
        <w:rPr>
          <w:color w:val="231F1F"/>
          <w:w w:val="110"/>
        </w:rPr>
        <w:t>pH</w:t>
      </w:r>
      <w:r>
        <w:rPr>
          <w:color w:val="231F1F"/>
          <w:spacing w:val="-13"/>
          <w:w w:val="110"/>
        </w:rPr>
        <w:t> </w:t>
      </w:r>
      <w:r>
        <w:rPr>
          <w:color w:val="231F1F"/>
          <w:w w:val="110"/>
        </w:rPr>
        <w:t>umbilical</w:t>
      </w:r>
    </w:p>
    <w:p>
      <w:pPr>
        <w:pStyle w:val="BodyText"/>
        <w:spacing w:line="247" w:lineRule="auto"/>
        <w:ind w:left="283"/>
        <w:jc w:val="both"/>
      </w:pPr>
      <w:r>
        <w:rPr>
          <w:color w:val="231F1F"/>
          <w:w w:val="110"/>
        </w:rPr>
        <w:t>&lt; 7,10, para una puntuación Apgar a los 5 minutos &lt; 7, en el síndrome de aspiración</w:t>
      </w:r>
      <w:r>
        <w:rPr>
          <w:color w:val="231F1F"/>
          <w:spacing w:val="-16"/>
          <w:w w:val="110"/>
        </w:rPr>
        <w:t> </w:t>
      </w:r>
      <w:r>
        <w:rPr>
          <w:color w:val="231F1F"/>
          <w:w w:val="110"/>
        </w:rPr>
        <w:t>de</w:t>
      </w:r>
      <w:r>
        <w:rPr>
          <w:color w:val="231F1F"/>
          <w:spacing w:val="-15"/>
          <w:w w:val="110"/>
        </w:rPr>
        <w:t> </w:t>
      </w:r>
      <w:r>
        <w:rPr>
          <w:color w:val="231F1F"/>
          <w:w w:val="110"/>
        </w:rPr>
        <w:t>meconio</w:t>
      </w:r>
      <w:r>
        <w:rPr>
          <w:color w:val="231F1F"/>
          <w:spacing w:val="-15"/>
          <w:w w:val="110"/>
        </w:rPr>
        <w:t> </w:t>
      </w:r>
      <w:r>
        <w:rPr>
          <w:color w:val="231F1F"/>
          <w:w w:val="110"/>
        </w:rPr>
        <w:t>(SAM)</w:t>
      </w:r>
      <w:r>
        <w:rPr>
          <w:color w:val="231F1F"/>
          <w:spacing w:val="-15"/>
          <w:w w:val="110"/>
        </w:rPr>
        <w:t> </w:t>
      </w:r>
      <w:r>
        <w:rPr>
          <w:color w:val="231F1F"/>
          <w:w w:val="110"/>
        </w:rPr>
        <w:t>o</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admisión</w:t>
      </w:r>
      <w:r>
        <w:rPr>
          <w:color w:val="231F1F"/>
          <w:spacing w:val="-15"/>
          <w:w w:val="110"/>
        </w:rPr>
        <w:t> </w:t>
      </w:r>
      <w:r>
        <w:rPr>
          <w:color w:val="231F1F"/>
          <w:w w:val="110"/>
        </w:rPr>
        <w:t>en</w:t>
      </w:r>
      <w:r>
        <w:rPr>
          <w:color w:val="231F1F"/>
          <w:spacing w:val="-16"/>
          <w:w w:val="110"/>
        </w:rPr>
        <w:t> </w:t>
      </w:r>
      <w:r>
        <w:rPr>
          <w:color w:val="231F1F"/>
          <w:w w:val="110"/>
        </w:rPr>
        <w:t>unidad</w:t>
      </w:r>
      <w:r>
        <w:rPr>
          <w:color w:val="231F1F"/>
          <w:spacing w:val="-15"/>
          <w:w w:val="110"/>
        </w:rPr>
        <w:t> </w:t>
      </w:r>
      <w:r>
        <w:rPr>
          <w:color w:val="231F1F"/>
          <w:w w:val="110"/>
        </w:rPr>
        <w:t>de</w:t>
      </w:r>
      <w:r>
        <w:rPr>
          <w:color w:val="231F1F"/>
          <w:spacing w:val="-15"/>
          <w:w w:val="110"/>
        </w:rPr>
        <w:t> </w:t>
      </w:r>
      <w:r>
        <w:rPr>
          <w:color w:val="231F1F"/>
          <w:w w:val="110"/>
        </w:rPr>
        <w:t>cuidados</w:t>
      </w:r>
      <w:r>
        <w:rPr>
          <w:color w:val="231F1F"/>
          <w:spacing w:val="-15"/>
          <w:w w:val="110"/>
        </w:rPr>
        <w:t> </w:t>
      </w:r>
      <w:r>
        <w:rPr>
          <w:color w:val="231F1F"/>
          <w:w w:val="110"/>
        </w:rPr>
        <w:t>inten- sivos neonatales. Además, el riesgo de SAM se asocio únicamente con el engrosamiento</w:t>
      </w:r>
      <w:r>
        <w:rPr>
          <w:color w:val="231F1F"/>
          <w:spacing w:val="-7"/>
          <w:w w:val="110"/>
        </w:rPr>
        <w:t> </w:t>
      </w:r>
      <w:r>
        <w:rPr>
          <w:color w:val="231F1F"/>
          <w:w w:val="110"/>
        </w:rPr>
        <w:t>del</w:t>
      </w:r>
      <w:r>
        <w:rPr>
          <w:color w:val="231F1F"/>
          <w:spacing w:val="-9"/>
          <w:w w:val="110"/>
        </w:rPr>
        <w:t> </w:t>
      </w:r>
      <w:r>
        <w:rPr>
          <w:color w:val="231F1F"/>
          <w:w w:val="110"/>
        </w:rPr>
        <w:t>meconio</w:t>
      </w:r>
      <w:r>
        <w:rPr>
          <w:color w:val="231F1F"/>
          <w:spacing w:val="-8"/>
          <w:w w:val="110"/>
        </w:rPr>
        <w:t> </w:t>
      </w:r>
      <w:r>
        <w:rPr>
          <w:color w:val="231F1F"/>
          <w:w w:val="110"/>
        </w:rPr>
        <w:t>durante</w:t>
      </w:r>
      <w:r>
        <w:rPr>
          <w:color w:val="231F1F"/>
          <w:spacing w:val="-8"/>
          <w:w w:val="110"/>
        </w:rPr>
        <w:t> </w:t>
      </w:r>
      <w:r>
        <w:rPr>
          <w:color w:val="231F1F"/>
          <w:w w:val="110"/>
        </w:rPr>
        <w:t>el</w:t>
      </w:r>
      <w:r>
        <w:rPr>
          <w:color w:val="231F1F"/>
          <w:spacing w:val="-9"/>
          <w:w w:val="110"/>
        </w:rPr>
        <w:t> </w:t>
      </w:r>
      <w:r>
        <w:rPr>
          <w:color w:val="231F1F"/>
          <w:w w:val="110"/>
        </w:rPr>
        <w:t>parto,</w:t>
      </w:r>
      <w:r>
        <w:rPr>
          <w:color w:val="231F1F"/>
          <w:spacing w:val="-9"/>
          <w:w w:val="110"/>
        </w:rPr>
        <w:t> </w:t>
      </w:r>
      <w:r>
        <w:rPr>
          <w:color w:val="231F1F"/>
          <w:w w:val="110"/>
        </w:rPr>
        <w:t>no</w:t>
      </w:r>
      <w:r>
        <w:rPr>
          <w:color w:val="231F1F"/>
          <w:spacing w:val="-8"/>
          <w:w w:val="110"/>
        </w:rPr>
        <w:t> </w:t>
      </w:r>
      <w:r>
        <w:rPr>
          <w:color w:val="231F1F"/>
          <w:w w:val="110"/>
        </w:rPr>
        <w:t>con</w:t>
      </w:r>
      <w:r>
        <w:rPr>
          <w:color w:val="231F1F"/>
          <w:spacing w:val="-8"/>
          <w:w w:val="110"/>
        </w:rPr>
        <w:t> </w:t>
      </w:r>
      <w:r>
        <w:rPr>
          <w:color w:val="231F1F"/>
          <w:w w:val="110"/>
        </w:rPr>
        <w:t>el</w:t>
      </w:r>
      <w:r>
        <w:rPr>
          <w:color w:val="231F1F"/>
          <w:spacing w:val="-9"/>
          <w:w w:val="110"/>
        </w:rPr>
        <w:t> </w:t>
      </w:r>
      <w:r>
        <w:rPr>
          <w:color w:val="231F1F"/>
          <w:w w:val="110"/>
        </w:rPr>
        <w:t>meconio</w:t>
      </w:r>
      <w:r>
        <w:rPr>
          <w:color w:val="231F1F"/>
          <w:spacing w:val="-8"/>
          <w:w w:val="110"/>
        </w:rPr>
        <w:t> </w:t>
      </w:r>
      <w:r>
        <w:rPr>
          <w:color w:val="231F1F"/>
          <w:w w:val="110"/>
        </w:rPr>
        <w:t>presente</w:t>
      </w:r>
      <w:r>
        <w:rPr>
          <w:color w:val="231F1F"/>
          <w:spacing w:val="-8"/>
          <w:w w:val="110"/>
        </w:rPr>
        <w:t> </w:t>
      </w:r>
      <w:r>
        <w:rPr>
          <w:color w:val="231F1F"/>
          <w:w w:val="110"/>
        </w:rPr>
        <w:t>en el inicio del parto.</w:t>
      </w:r>
    </w:p>
    <w:p>
      <w:pPr>
        <w:pStyle w:val="BodyText"/>
        <w:spacing w:line="247" w:lineRule="auto" w:before="111"/>
        <w:ind w:left="283" w:firstLine="453"/>
        <w:jc w:val="both"/>
      </w:pPr>
      <w:r>
        <w:rPr>
          <w:color w:val="231F1F"/>
          <w:w w:val="110"/>
        </w:rPr>
        <w:t>La</w:t>
      </w:r>
      <w:r>
        <w:rPr>
          <w:color w:val="231F1F"/>
          <w:spacing w:val="-12"/>
          <w:w w:val="110"/>
        </w:rPr>
        <w:t> </w:t>
      </w:r>
      <w:r>
        <w:rPr>
          <w:color w:val="231F1F"/>
          <w:w w:val="110"/>
        </w:rPr>
        <w:t>evidencia</w:t>
      </w:r>
      <w:r>
        <w:rPr>
          <w:color w:val="231F1F"/>
          <w:spacing w:val="-12"/>
          <w:w w:val="110"/>
        </w:rPr>
        <w:t> </w:t>
      </w:r>
      <w:r>
        <w:rPr>
          <w:color w:val="231F1F"/>
          <w:w w:val="110"/>
        </w:rPr>
        <w:t>encontrada</w:t>
      </w:r>
      <w:r>
        <w:rPr>
          <w:color w:val="231F1F"/>
          <w:spacing w:val="-12"/>
          <w:w w:val="110"/>
        </w:rPr>
        <w:t> </w:t>
      </w:r>
      <w:r>
        <w:rPr>
          <w:color w:val="231F1F"/>
          <w:w w:val="110"/>
        </w:rPr>
        <w:t>es</w:t>
      </w:r>
      <w:r>
        <w:rPr>
          <w:color w:val="231F1F"/>
          <w:spacing w:val="-12"/>
          <w:w w:val="110"/>
        </w:rPr>
        <w:t> </w:t>
      </w:r>
      <w:r>
        <w:rPr>
          <w:color w:val="231F1F"/>
          <w:w w:val="110"/>
        </w:rPr>
        <w:t>consistente</w:t>
      </w:r>
      <w:r>
        <w:rPr>
          <w:color w:val="231F1F"/>
          <w:spacing w:val="-11"/>
          <w:w w:val="110"/>
        </w:rPr>
        <w:t> </w:t>
      </w:r>
      <w:r>
        <w:rPr>
          <w:color w:val="231F1F"/>
          <w:w w:val="110"/>
        </w:rPr>
        <w:t>con</w:t>
      </w:r>
      <w:r>
        <w:rPr>
          <w:color w:val="231F1F"/>
          <w:spacing w:val="-11"/>
          <w:w w:val="110"/>
        </w:rPr>
        <w:t> </w:t>
      </w:r>
      <w:r>
        <w:rPr>
          <w:color w:val="231F1F"/>
          <w:w w:val="110"/>
        </w:rPr>
        <w:t>que</w:t>
      </w:r>
      <w:r>
        <w:rPr>
          <w:color w:val="231F1F"/>
          <w:spacing w:val="-12"/>
          <w:w w:val="110"/>
        </w:rPr>
        <w:t> </w:t>
      </w:r>
      <w:r>
        <w:rPr>
          <w:color w:val="231F1F"/>
          <w:w w:val="110"/>
        </w:rPr>
        <w:t>la</w:t>
      </w:r>
      <w:r>
        <w:rPr>
          <w:color w:val="231F1F"/>
          <w:spacing w:val="-12"/>
          <w:w w:val="110"/>
        </w:rPr>
        <w:t> </w:t>
      </w:r>
      <w:r>
        <w:rPr>
          <w:color w:val="231F1F"/>
          <w:w w:val="110"/>
        </w:rPr>
        <w:t>realización</w:t>
      </w:r>
      <w:r>
        <w:rPr>
          <w:color w:val="231F1F"/>
          <w:spacing w:val="-11"/>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am- nioscopia presenta un gran número de falsos negativos. A pesar de que la </w:t>
      </w:r>
      <w:r>
        <w:rPr>
          <w:color w:val="231F1F"/>
          <w:spacing w:val="-2"/>
          <w:w w:val="110"/>
        </w:rPr>
        <w:t>evaluación</w:t>
      </w:r>
      <w:r>
        <w:rPr>
          <w:color w:val="231F1F"/>
          <w:spacing w:val="-5"/>
          <w:w w:val="110"/>
        </w:rPr>
        <w:t> </w:t>
      </w:r>
      <w:r>
        <w:rPr>
          <w:color w:val="231F1F"/>
          <w:spacing w:val="-2"/>
          <w:w w:val="110"/>
        </w:rPr>
        <w:t>del</w:t>
      </w:r>
      <w:r>
        <w:rPr>
          <w:color w:val="231F1F"/>
          <w:spacing w:val="-6"/>
          <w:w w:val="110"/>
        </w:rPr>
        <w:t> </w:t>
      </w:r>
      <w:r>
        <w:rPr>
          <w:color w:val="231F1F"/>
          <w:spacing w:val="-2"/>
          <w:w w:val="110"/>
        </w:rPr>
        <w:t>color</w:t>
      </w:r>
      <w:r>
        <w:rPr>
          <w:color w:val="231F1F"/>
          <w:spacing w:val="-6"/>
          <w:w w:val="110"/>
        </w:rPr>
        <w:t> </w:t>
      </w:r>
      <w:r>
        <w:rPr>
          <w:color w:val="231F1F"/>
          <w:spacing w:val="-2"/>
          <w:w w:val="110"/>
        </w:rPr>
        <w:t>del</w:t>
      </w:r>
      <w:r>
        <w:rPr>
          <w:color w:val="231F1F"/>
          <w:spacing w:val="-6"/>
          <w:w w:val="110"/>
        </w:rPr>
        <w:t> </w:t>
      </w:r>
      <w:r>
        <w:rPr>
          <w:color w:val="231F1F"/>
          <w:spacing w:val="-2"/>
          <w:w w:val="110"/>
        </w:rPr>
        <w:t>líquido</w:t>
      </w:r>
      <w:r>
        <w:rPr>
          <w:color w:val="231F1F"/>
          <w:spacing w:val="-6"/>
          <w:w w:val="110"/>
        </w:rPr>
        <w:t> </w:t>
      </w:r>
      <w:r>
        <w:rPr>
          <w:color w:val="231F1F"/>
          <w:spacing w:val="-2"/>
          <w:w w:val="110"/>
        </w:rPr>
        <w:t>amniótico</w:t>
      </w:r>
      <w:r>
        <w:rPr>
          <w:color w:val="231F1F"/>
          <w:spacing w:val="-6"/>
          <w:w w:val="110"/>
        </w:rPr>
        <w:t> </w:t>
      </w:r>
      <w:r>
        <w:rPr>
          <w:color w:val="231F1F"/>
          <w:spacing w:val="-2"/>
          <w:w w:val="110"/>
        </w:rPr>
        <w:t>al</w:t>
      </w:r>
      <w:r>
        <w:rPr>
          <w:color w:val="231F1F"/>
          <w:spacing w:val="-6"/>
          <w:w w:val="110"/>
        </w:rPr>
        <w:t> </w:t>
      </w:r>
      <w:r>
        <w:rPr>
          <w:color w:val="231F1F"/>
          <w:spacing w:val="-2"/>
          <w:w w:val="110"/>
        </w:rPr>
        <w:t>ingreso</w:t>
      </w:r>
      <w:r>
        <w:rPr>
          <w:color w:val="231F1F"/>
          <w:spacing w:val="-6"/>
          <w:w w:val="110"/>
        </w:rPr>
        <w:t> </w:t>
      </w:r>
      <w:r>
        <w:rPr>
          <w:color w:val="231F1F"/>
          <w:spacing w:val="-2"/>
          <w:w w:val="110"/>
        </w:rPr>
        <w:t>podría</w:t>
      </w:r>
      <w:r>
        <w:rPr>
          <w:color w:val="231F1F"/>
          <w:spacing w:val="-6"/>
          <w:w w:val="110"/>
        </w:rPr>
        <w:t> </w:t>
      </w:r>
      <w:r>
        <w:rPr>
          <w:color w:val="231F1F"/>
          <w:spacing w:val="-2"/>
          <w:w w:val="110"/>
        </w:rPr>
        <w:t>presentar</w:t>
      </w:r>
      <w:r>
        <w:rPr>
          <w:color w:val="231F1F"/>
          <w:spacing w:val="-6"/>
          <w:w w:val="110"/>
        </w:rPr>
        <w:t> </w:t>
      </w:r>
      <w:r>
        <w:rPr>
          <w:color w:val="231F1F"/>
          <w:spacing w:val="-2"/>
          <w:w w:val="110"/>
        </w:rPr>
        <w:t>ciertas </w:t>
      </w:r>
      <w:r>
        <w:rPr>
          <w:color w:val="231F1F"/>
          <w:w w:val="110"/>
        </w:rPr>
        <w:t>ventajas, se considera que la amnioscopia no es un procedimiento efectivo para</w:t>
      </w:r>
      <w:r>
        <w:rPr>
          <w:color w:val="231F1F"/>
          <w:spacing w:val="-2"/>
          <w:w w:val="110"/>
        </w:rPr>
        <w:t> </w:t>
      </w:r>
      <w:r>
        <w:rPr>
          <w:color w:val="231F1F"/>
          <w:w w:val="110"/>
        </w:rPr>
        <w:t>la</w:t>
      </w:r>
      <w:r>
        <w:rPr>
          <w:color w:val="231F1F"/>
          <w:spacing w:val="-2"/>
          <w:w w:val="110"/>
        </w:rPr>
        <w:t> </w:t>
      </w:r>
      <w:r>
        <w:rPr>
          <w:color w:val="231F1F"/>
          <w:w w:val="110"/>
        </w:rPr>
        <w:t>misma</w:t>
      </w:r>
      <w:r>
        <w:rPr>
          <w:color w:val="231F1F"/>
          <w:spacing w:val="-2"/>
          <w:w w:val="110"/>
        </w:rPr>
        <w:t> </w:t>
      </w:r>
      <w:r>
        <w:rPr>
          <w:color w:val="231F1F"/>
          <w:w w:val="110"/>
        </w:rPr>
        <w:t>y</w:t>
      </w:r>
      <w:r>
        <w:rPr>
          <w:color w:val="231F1F"/>
          <w:spacing w:val="-2"/>
          <w:w w:val="110"/>
        </w:rPr>
        <w:t> </w:t>
      </w:r>
      <w:r>
        <w:rPr>
          <w:color w:val="231F1F"/>
          <w:w w:val="110"/>
        </w:rPr>
        <w:t>son</w:t>
      </w:r>
      <w:r>
        <w:rPr>
          <w:color w:val="231F1F"/>
          <w:spacing w:val="-2"/>
          <w:w w:val="110"/>
        </w:rPr>
        <w:t> </w:t>
      </w:r>
      <w:r>
        <w:rPr>
          <w:color w:val="231F1F"/>
          <w:w w:val="110"/>
        </w:rPr>
        <w:t>necesarios</w:t>
      </w:r>
      <w:r>
        <w:rPr>
          <w:color w:val="231F1F"/>
          <w:spacing w:val="-2"/>
          <w:w w:val="110"/>
        </w:rPr>
        <w:t> </w:t>
      </w:r>
      <w:r>
        <w:rPr>
          <w:color w:val="231F1F"/>
          <w:w w:val="110"/>
        </w:rPr>
        <w:t>nuevas</w:t>
      </w:r>
      <w:r>
        <w:rPr>
          <w:color w:val="231F1F"/>
          <w:spacing w:val="-2"/>
          <w:w w:val="110"/>
        </w:rPr>
        <w:t> </w:t>
      </w:r>
      <w:r>
        <w:rPr>
          <w:color w:val="231F1F"/>
          <w:w w:val="110"/>
        </w:rPr>
        <w:t>técnicas</w:t>
      </w:r>
      <w:r>
        <w:rPr>
          <w:color w:val="231F1F"/>
          <w:spacing w:val="-2"/>
          <w:w w:val="110"/>
        </w:rPr>
        <w:t> </w:t>
      </w:r>
      <w:r>
        <w:rPr>
          <w:color w:val="231F1F"/>
          <w:w w:val="110"/>
        </w:rPr>
        <w:t>de</w:t>
      </w:r>
      <w:r>
        <w:rPr>
          <w:color w:val="231F1F"/>
          <w:spacing w:val="-2"/>
          <w:w w:val="110"/>
        </w:rPr>
        <w:t> </w:t>
      </w:r>
      <w:r>
        <w:rPr>
          <w:color w:val="231F1F"/>
          <w:w w:val="110"/>
        </w:rPr>
        <w:t>evaluación</w:t>
      </w:r>
      <w:r>
        <w:rPr>
          <w:color w:val="231F1F"/>
          <w:spacing w:val="-2"/>
          <w:w w:val="110"/>
        </w:rPr>
        <w:t> </w:t>
      </w:r>
      <w:r>
        <w:rPr>
          <w:color w:val="231F1F"/>
          <w:w w:val="110"/>
        </w:rPr>
        <w:t>del</w:t>
      </w:r>
      <w:r>
        <w:rPr>
          <w:color w:val="231F1F"/>
          <w:spacing w:val="-3"/>
          <w:w w:val="110"/>
        </w:rPr>
        <w:t> </w:t>
      </w:r>
      <w:r>
        <w:rPr>
          <w:color w:val="231F1F"/>
          <w:w w:val="110"/>
        </w:rPr>
        <w:t>color</w:t>
      </w:r>
      <w:r>
        <w:rPr>
          <w:color w:val="231F1F"/>
          <w:spacing w:val="-2"/>
          <w:w w:val="110"/>
        </w:rPr>
        <w:t> </w:t>
      </w:r>
      <w:r>
        <w:rPr>
          <w:color w:val="231F1F"/>
          <w:w w:val="110"/>
        </w:rPr>
        <w:t>del líquido amniótico al ingreso.</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2"/>
        <w:rPr>
          <w:sz w:val="18"/>
        </w:rPr>
      </w:pPr>
    </w:p>
    <w:p>
      <w:pPr>
        <w:spacing w:line="278" w:lineRule="auto" w:before="1"/>
        <w:ind w:left="283" w:right="0" w:firstLine="108"/>
        <w:jc w:val="left"/>
        <w:rPr>
          <w:rFonts w:ascii="Arial MT"/>
          <w:sz w:val="18"/>
        </w:rPr>
      </w:pPr>
      <w:r>
        <w:rPr>
          <w:rFonts w:ascii="Arial MT"/>
          <w:color w:val="231F1F"/>
          <w:sz w:val="18"/>
        </w:rPr>
        <w:t>E. de </w:t>
      </w:r>
      <w:r>
        <w:rPr>
          <w:rFonts w:ascii="Arial MT"/>
          <w:color w:val="231F1F"/>
          <w:spacing w:val="-4"/>
          <w:sz w:val="18"/>
        </w:rPr>
        <w:t>cohorte</w:t>
      </w:r>
    </w:p>
    <w:p>
      <w:pPr>
        <w:spacing w:line="202" w:lineRule="exact" w:before="0"/>
        <w:ind w:left="0" w:right="110" w:firstLine="0"/>
        <w:jc w:val="center"/>
        <w:rPr>
          <w:rFonts w:ascii="Arial MT"/>
          <w:sz w:val="18"/>
        </w:rPr>
      </w:pPr>
      <w:r>
        <w:rPr>
          <w:rFonts w:ascii="Arial MT"/>
          <w:color w:val="231F1F"/>
          <w:spacing w:val="-5"/>
          <w:sz w:val="18"/>
        </w:rPr>
        <w:t>III</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3"/>
        <w:rPr>
          <w:rFonts w:ascii="Arial MT"/>
          <w:sz w:val="18"/>
        </w:rPr>
      </w:pPr>
    </w:p>
    <w:p>
      <w:pPr>
        <w:spacing w:line="273" w:lineRule="auto" w:before="0"/>
        <w:ind w:left="283" w:right="0" w:firstLine="108"/>
        <w:jc w:val="left"/>
        <w:rPr>
          <w:rFonts w:ascii="Arial MT"/>
          <w:sz w:val="18"/>
        </w:rPr>
      </w:pPr>
      <w:r>
        <w:rPr>
          <w:rFonts w:ascii="Arial MT"/>
          <w:color w:val="231F1F"/>
          <w:sz w:val="18"/>
        </w:rPr>
        <w:t>E. de </w:t>
      </w:r>
      <w:r>
        <w:rPr>
          <w:rFonts w:ascii="Arial MT"/>
          <w:color w:val="231F1F"/>
          <w:spacing w:val="-4"/>
          <w:sz w:val="18"/>
        </w:rPr>
        <w:t>cohorte</w:t>
      </w:r>
    </w:p>
    <w:p>
      <w:pPr>
        <w:spacing w:line="196" w:lineRule="exact" w:before="0"/>
        <w:ind w:left="0" w:right="110" w:firstLine="0"/>
        <w:jc w:val="center"/>
        <w:rPr>
          <w:rFonts w:ascii="Arial MT"/>
          <w:sz w:val="18"/>
        </w:rPr>
      </w:pPr>
      <w:r>
        <w:rPr>
          <w:rFonts w:ascii="Arial MT"/>
          <w:color w:val="231F1F"/>
          <w:spacing w:val="-5"/>
          <w:sz w:val="18"/>
        </w:rPr>
        <w:t>III</w:t>
      </w:r>
    </w:p>
    <w:p>
      <w:pPr>
        <w:spacing w:after="0" w:line="196" w:lineRule="exact"/>
        <w:jc w:val="center"/>
        <w:rPr>
          <w:rFonts w:ascii="Arial MT"/>
          <w:sz w:val="18"/>
        </w:rPr>
        <w:sectPr>
          <w:pgSz w:w="11900" w:h="16840"/>
          <w:pgMar w:header="0" w:footer="622" w:top="1580" w:bottom="820" w:left="1417" w:right="1559"/>
          <w:cols w:num="2" w:equalWidth="0">
            <w:col w:w="7553" w:space="63"/>
            <w:col w:w="1308"/>
          </w:cols>
        </w:sectPr>
      </w:pPr>
    </w:p>
    <w:p>
      <w:pPr>
        <w:pStyle w:val="Heading3"/>
        <w:numPr>
          <w:ilvl w:val="3"/>
          <w:numId w:val="2"/>
        </w:numPr>
        <w:tabs>
          <w:tab w:pos="1158" w:val="left" w:leader="none"/>
        </w:tabs>
        <w:spacing w:line="240" w:lineRule="auto" w:before="71" w:after="0"/>
        <w:ind w:left="1158" w:right="0" w:hanging="875"/>
        <w:jc w:val="left"/>
      </w:pPr>
      <w:r>
        <w:rPr>
          <w:color w:val="231F1F"/>
          <w:spacing w:val="-2"/>
          <w:w w:val="110"/>
        </w:rPr>
        <w:t>Cardiotocografía</w:t>
      </w:r>
    </w:p>
    <w:p>
      <w:pPr>
        <w:pStyle w:val="BodyText"/>
        <w:spacing w:line="247" w:lineRule="auto" w:before="253"/>
        <w:ind w:left="283" w:right="122"/>
        <w:jc w:val="both"/>
      </w:pPr>
      <w:r>
        <w:rPr>
          <w:color w:val="231F1F"/>
          <w:w w:val="110"/>
        </w:rPr>
        <w:t>La</w:t>
      </w:r>
      <w:r>
        <w:rPr>
          <w:color w:val="231F1F"/>
          <w:spacing w:val="-9"/>
          <w:w w:val="110"/>
        </w:rPr>
        <w:t> </w:t>
      </w:r>
      <w:r>
        <w:rPr>
          <w:color w:val="231F1F"/>
          <w:w w:val="110"/>
        </w:rPr>
        <w:t>monitorización</w:t>
      </w:r>
      <w:r>
        <w:rPr>
          <w:color w:val="231F1F"/>
          <w:spacing w:val="-8"/>
          <w:w w:val="110"/>
        </w:rPr>
        <w:t> </w:t>
      </w:r>
      <w:r>
        <w:rPr>
          <w:color w:val="231F1F"/>
          <w:w w:val="110"/>
        </w:rPr>
        <w:t>cardiotocográfica</w:t>
      </w:r>
      <w:r>
        <w:rPr>
          <w:color w:val="231F1F"/>
          <w:spacing w:val="-8"/>
          <w:w w:val="110"/>
        </w:rPr>
        <w:t> </w:t>
      </w:r>
      <w:r>
        <w:rPr>
          <w:color w:val="231F1F"/>
          <w:w w:val="110"/>
        </w:rPr>
        <w:t>externa</w:t>
      </w:r>
      <w:r>
        <w:rPr>
          <w:color w:val="231F1F"/>
          <w:spacing w:val="-9"/>
          <w:w w:val="110"/>
        </w:rPr>
        <w:t> </w:t>
      </w:r>
      <w:r>
        <w:rPr>
          <w:color w:val="231F1F"/>
          <w:w w:val="110"/>
        </w:rPr>
        <w:t>es</w:t>
      </w:r>
      <w:r>
        <w:rPr>
          <w:color w:val="231F1F"/>
          <w:spacing w:val="-9"/>
          <w:w w:val="110"/>
        </w:rPr>
        <w:t> </w:t>
      </w:r>
      <w:r>
        <w:rPr>
          <w:color w:val="231F1F"/>
          <w:w w:val="110"/>
        </w:rPr>
        <w:t>una</w:t>
      </w:r>
      <w:r>
        <w:rPr>
          <w:color w:val="231F1F"/>
          <w:spacing w:val="-9"/>
          <w:w w:val="110"/>
        </w:rPr>
        <w:t> </w:t>
      </w:r>
      <w:r>
        <w:rPr>
          <w:color w:val="231F1F"/>
          <w:w w:val="110"/>
        </w:rPr>
        <w:t>práctica</w:t>
      </w:r>
      <w:r>
        <w:rPr>
          <w:color w:val="231F1F"/>
          <w:spacing w:val="-9"/>
          <w:w w:val="110"/>
        </w:rPr>
        <w:t> </w:t>
      </w:r>
      <w:r>
        <w:rPr>
          <w:color w:val="231F1F"/>
          <w:w w:val="110"/>
        </w:rPr>
        <w:t>cada</w:t>
      </w:r>
      <w:r>
        <w:rPr>
          <w:color w:val="231F1F"/>
          <w:spacing w:val="-9"/>
          <w:w w:val="110"/>
        </w:rPr>
        <w:t> </w:t>
      </w:r>
      <w:r>
        <w:rPr>
          <w:color w:val="231F1F"/>
          <w:w w:val="110"/>
        </w:rPr>
        <w:t>vez</w:t>
      </w:r>
      <w:r>
        <w:rPr>
          <w:color w:val="231F1F"/>
          <w:spacing w:val="-9"/>
          <w:w w:val="110"/>
        </w:rPr>
        <w:t> </w:t>
      </w:r>
      <w:r>
        <w:rPr>
          <w:color w:val="231F1F"/>
          <w:w w:val="110"/>
        </w:rPr>
        <w:t>más</w:t>
      </w:r>
      <w:r>
        <w:rPr>
          <w:color w:val="231F1F"/>
          <w:spacing w:val="-9"/>
          <w:w w:val="110"/>
        </w:rPr>
        <w:t> </w:t>
      </w:r>
      <w:r>
        <w:rPr>
          <w:color w:val="231F1F"/>
          <w:w w:val="110"/>
        </w:rPr>
        <w:t>extendida</w:t>
      </w:r>
      <w:r>
        <w:rPr>
          <w:color w:val="231F1F"/>
          <w:spacing w:val="-9"/>
          <w:w w:val="110"/>
        </w:rPr>
        <w:t> </w:t>
      </w:r>
      <w:r>
        <w:rPr>
          <w:color w:val="231F1F"/>
          <w:w w:val="110"/>
        </w:rPr>
        <w:t>que se</w:t>
      </w:r>
      <w:r>
        <w:rPr>
          <w:color w:val="231F1F"/>
          <w:spacing w:val="-6"/>
          <w:w w:val="110"/>
        </w:rPr>
        <w:t> </w:t>
      </w:r>
      <w:r>
        <w:rPr>
          <w:color w:val="231F1F"/>
          <w:w w:val="110"/>
        </w:rPr>
        <w:t>aplica</w:t>
      </w:r>
      <w:r>
        <w:rPr>
          <w:color w:val="231F1F"/>
          <w:spacing w:val="-6"/>
          <w:w w:val="110"/>
        </w:rPr>
        <w:t> </w:t>
      </w:r>
      <w:r>
        <w:rPr>
          <w:color w:val="231F1F"/>
          <w:w w:val="110"/>
        </w:rPr>
        <w:t>a</w:t>
      </w:r>
      <w:r>
        <w:rPr>
          <w:color w:val="231F1F"/>
          <w:spacing w:val="-6"/>
          <w:w w:val="110"/>
        </w:rPr>
        <w:t> </w:t>
      </w:r>
      <w:r>
        <w:rPr>
          <w:color w:val="231F1F"/>
          <w:w w:val="110"/>
        </w:rPr>
        <w:t>las</w:t>
      </w:r>
      <w:r>
        <w:rPr>
          <w:color w:val="231F1F"/>
          <w:spacing w:val="-6"/>
          <w:w w:val="110"/>
        </w:rPr>
        <w:t> </w:t>
      </w:r>
      <w:r>
        <w:rPr>
          <w:color w:val="231F1F"/>
          <w:w w:val="110"/>
        </w:rPr>
        <w:t>gestantes</w:t>
      </w:r>
      <w:r>
        <w:rPr>
          <w:color w:val="231F1F"/>
          <w:spacing w:val="-6"/>
          <w:w w:val="110"/>
        </w:rPr>
        <w:t> </w:t>
      </w:r>
      <w:r>
        <w:rPr>
          <w:color w:val="231F1F"/>
          <w:w w:val="110"/>
        </w:rPr>
        <w:t>que</w:t>
      </w:r>
      <w:r>
        <w:rPr>
          <w:color w:val="231F1F"/>
          <w:spacing w:val="-6"/>
          <w:w w:val="110"/>
        </w:rPr>
        <w:t> </w:t>
      </w:r>
      <w:r>
        <w:rPr>
          <w:color w:val="231F1F"/>
          <w:w w:val="110"/>
        </w:rPr>
        <w:t>acuden</w:t>
      </w:r>
      <w:r>
        <w:rPr>
          <w:color w:val="231F1F"/>
          <w:spacing w:val="-6"/>
          <w:w w:val="110"/>
        </w:rPr>
        <w:t> </w:t>
      </w:r>
      <w:r>
        <w:rPr>
          <w:color w:val="231F1F"/>
          <w:w w:val="110"/>
        </w:rPr>
        <w:t>al</w:t>
      </w:r>
      <w:r>
        <w:rPr>
          <w:color w:val="231F1F"/>
          <w:spacing w:val="-7"/>
          <w:w w:val="110"/>
        </w:rPr>
        <w:t> </w:t>
      </w:r>
      <w:r>
        <w:rPr>
          <w:color w:val="231F1F"/>
          <w:w w:val="110"/>
        </w:rPr>
        <w:t>hospital</w:t>
      </w:r>
      <w:r>
        <w:rPr>
          <w:color w:val="231F1F"/>
          <w:spacing w:val="-6"/>
          <w:w w:val="110"/>
        </w:rPr>
        <w:t> </w:t>
      </w:r>
      <w:r>
        <w:rPr>
          <w:color w:val="231F1F"/>
          <w:w w:val="110"/>
        </w:rPr>
        <w:t>con</w:t>
      </w:r>
      <w:r>
        <w:rPr>
          <w:color w:val="231F1F"/>
          <w:spacing w:val="-6"/>
          <w:w w:val="110"/>
        </w:rPr>
        <w:t> </w:t>
      </w:r>
      <w:r>
        <w:rPr>
          <w:color w:val="231F1F"/>
          <w:w w:val="110"/>
        </w:rPr>
        <w:t>sospecha</w:t>
      </w:r>
      <w:r>
        <w:rPr>
          <w:color w:val="231F1F"/>
          <w:spacing w:val="-7"/>
          <w:w w:val="110"/>
        </w:rPr>
        <w:t> </w:t>
      </w:r>
      <w:r>
        <w:rPr>
          <w:color w:val="231F1F"/>
          <w:w w:val="110"/>
        </w:rPr>
        <w:t>de</w:t>
      </w:r>
      <w:r>
        <w:rPr>
          <w:color w:val="231F1F"/>
          <w:spacing w:val="-6"/>
          <w:w w:val="110"/>
        </w:rPr>
        <w:t> </w:t>
      </w:r>
      <w:r>
        <w:rPr>
          <w:color w:val="231F1F"/>
          <w:w w:val="110"/>
        </w:rPr>
        <w:t>trabajo</w:t>
      </w:r>
      <w:r>
        <w:rPr>
          <w:color w:val="231F1F"/>
          <w:spacing w:val="-6"/>
          <w:w w:val="110"/>
        </w:rPr>
        <w:t> </w:t>
      </w:r>
      <w:r>
        <w:rPr>
          <w:color w:val="231F1F"/>
          <w:w w:val="110"/>
        </w:rPr>
        <w:t>de</w:t>
      </w:r>
      <w:r>
        <w:rPr>
          <w:color w:val="231F1F"/>
          <w:spacing w:val="-6"/>
          <w:w w:val="110"/>
        </w:rPr>
        <w:t> </w:t>
      </w:r>
      <w:r>
        <w:rPr>
          <w:color w:val="231F1F"/>
          <w:w w:val="110"/>
        </w:rPr>
        <w:t>parto.</w:t>
      </w:r>
      <w:r>
        <w:rPr>
          <w:color w:val="231F1F"/>
          <w:spacing w:val="-7"/>
          <w:w w:val="110"/>
        </w:rPr>
        <w:t> </w:t>
      </w:r>
      <w:r>
        <w:rPr>
          <w:color w:val="231F1F"/>
          <w:w w:val="110"/>
        </w:rPr>
        <w:t>Existen dudas</w:t>
      </w:r>
      <w:r>
        <w:rPr>
          <w:color w:val="231F1F"/>
          <w:spacing w:val="-10"/>
          <w:w w:val="110"/>
        </w:rPr>
        <w:t> </w:t>
      </w:r>
      <w:r>
        <w:rPr>
          <w:color w:val="231F1F"/>
          <w:w w:val="110"/>
        </w:rPr>
        <w:t>de</w:t>
      </w:r>
      <w:r>
        <w:rPr>
          <w:color w:val="231F1F"/>
          <w:spacing w:val="-10"/>
          <w:w w:val="110"/>
        </w:rPr>
        <w:t> </w:t>
      </w:r>
      <w:r>
        <w:rPr>
          <w:color w:val="231F1F"/>
          <w:w w:val="110"/>
        </w:rPr>
        <w:t>si</w:t>
      </w:r>
      <w:r>
        <w:rPr>
          <w:color w:val="231F1F"/>
          <w:spacing w:val="-11"/>
          <w:w w:val="110"/>
        </w:rPr>
        <w:t> </w:t>
      </w:r>
      <w:r>
        <w:rPr>
          <w:color w:val="231F1F"/>
          <w:w w:val="110"/>
        </w:rPr>
        <w:t>se</w:t>
      </w:r>
      <w:r>
        <w:rPr>
          <w:color w:val="231F1F"/>
          <w:spacing w:val="-10"/>
          <w:w w:val="110"/>
        </w:rPr>
        <w:t> </w:t>
      </w:r>
      <w:r>
        <w:rPr>
          <w:color w:val="231F1F"/>
          <w:w w:val="110"/>
        </w:rPr>
        <w:t>realiza</w:t>
      </w:r>
      <w:r>
        <w:rPr>
          <w:color w:val="231F1F"/>
          <w:spacing w:val="-10"/>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contexto</w:t>
      </w:r>
      <w:r>
        <w:rPr>
          <w:color w:val="231F1F"/>
          <w:spacing w:val="-10"/>
          <w:w w:val="110"/>
        </w:rPr>
        <w:t> </w:t>
      </w:r>
      <w:r>
        <w:rPr>
          <w:color w:val="231F1F"/>
          <w:w w:val="110"/>
        </w:rPr>
        <w:t>de</w:t>
      </w:r>
      <w:r>
        <w:rPr>
          <w:color w:val="231F1F"/>
          <w:spacing w:val="-10"/>
          <w:w w:val="110"/>
        </w:rPr>
        <w:t> </w:t>
      </w:r>
      <w:r>
        <w:rPr>
          <w:color w:val="231F1F"/>
          <w:w w:val="110"/>
        </w:rPr>
        <w:t>una</w:t>
      </w:r>
      <w:r>
        <w:rPr>
          <w:color w:val="231F1F"/>
          <w:spacing w:val="-10"/>
          <w:w w:val="110"/>
        </w:rPr>
        <w:t> </w:t>
      </w:r>
      <w:r>
        <w:rPr>
          <w:color w:val="231F1F"/>
          <w:w w:val="110"/>
        </w:rPr>
        <w:t>medicina</w:t>
      </w:r>
      <w:r>
        <w:rPr>
          <w:color w:val="231F1F"/>
          <w:spacing w:val="-10"/>
          <w:w w:val="110"/>
        </w:rPr>
        <w:t> </w:t>
      </w:r>
      <w:r>
        <w:rPr>
          <w:color w:val="231F1F"/>
          <w:w w:val="110"/>
        </w:rPr>
        <w:t>defensiva</w:t>
      </w:r>
      <w:r>
        <w:rPr>
          <w:color w:val="231F1F"/>
          <w:spacing w:val="-10"/>
          <w:w w:val="110"/>
        </w:rPr>
        <w:t> </w:t>
      </w:r>
      <w:r>
        <w:rPr>
          <w:color w:val="231F1F"/>
          <w:w w:val="110"/>
        </w:rPr>
        <w:t>y</w:t>
      </w:r>
      <w:r>
        <w:rPr>
          <w:color w:val="231F1F"/>
          <w:spacing w:val="-10"/>
          <w:w w:val="110"/>
        </w:rPr>
        <w:t> </w:t>
      </w:r>
      <w:r>
        <w:rPr>
          <w:color w:val="231F1F"/>
          <w:w w:val="110"/>
        </w:rPr>
        <w:t>aumenta</w:t>
      </w:r>
      <w:r>
        <w:rPr>
          <w:color w:val="231F1F"/>
          <w:spacing w:val="-10"/>
          <w:w w:val="110"/>
        </w:rPr>
        <w:t> </w:t>
      </w:r>
      <w:r>
        <w:rPr>
          <w:color w:val="231F1F"/>
          <w:w w:val="110"/>
        </w:rPr>
        <w:t>el</w:t>
      </w:r>
      <w:r>
        <w:rPr>
          <w:color w:val="231F1F"/>
          <w:spacing w:val="-11"/>
          <w:w w:val="110"/>
        </w:rPr>
        <w:t> </w:t>
      </w:r>
      <w:r>
        <w:rPr>
          <w:color w:val="231F1F"/>
          <w:w w:val="110"/>
        </w:rPr>
        <w:t>intervencio- nismo</w:t>
      </w:r>
      <w:r>
        <w:rPr>
          <w:color w:val="231F1F"/>
          <w:spacing w:val="-13"/>
          <w:w w:val="110"/>
        </w:rPr>
        <w:t> </w:t>
      </w:r>
      <w:r>
        <w:rPr>
          <w:color w:val="231F1F"/>
          <w:w w:val="110"/>
        </w:rPr>
        <w:t>obstétrico</w:t>
      </w:r>
      <w:r>
        <w:rPr>
          <w:color w:val="231F1F"/>
          <w:spacing w:val="-13"/>
          <w:w w:val="110"/>
        </w:rPr>
        <w:t> </w:t>
      </w:r>
      <w:r>
        <w:rPr>
          <w:color w:val="231F1F"/>
          <w:w w:val="110"/>
        </w:rPr>
        <w:t>debido</w:t>
      </w:r>
      <w:r>
        <w:rPr>
          <w:color w:val="231F1F"/>
          <w:spacing w:val="-13"/>
          <w:w w:val="110"/>
        </w:rPr>
        <w:t> </w:t>
      </w:r>
      <w:r>
        <w:rPr>
          <w:color w:val="231F1F"/>
          <w:w w:val="110"/>
        </w:rPr>
        <w:t>a</w:t>
      </w:r>
      <w:r>
        <w:rPr>
          <w:color w:val="231F1F"/>
          <w:spacing w:val="-13"/>
          <w:w w:val="110"/>
        </w:rPr>
        <w:t> </w:t>
      </w:r>
      <w:r>
        <w:rPr>
          <w:color w:val="231F1F"/>
          <w:w w:val="110"/>
        </w:rPr>
        <w:t>falsos</w:t>
      </w:r>
      <w:r>
        <w:rPr>
          <w:color w:val="231F1F"/>
          <w:spacing w:val="-13"/>
          <w:w w:val="110"/>
        </w:rPr>
        <w:t> </w:t>
      </w:r>
      <w:r>
        <w:rPr>
          <w:color w:val="231F1F"/>
          <w:w w:val="110"/>
        </w:rPr>
        <w:t>positivos</w:t>
      </w:r>
      <w:r>
        <w:rPr>
          <w:color w:val="231F1F"/>
          <w:spacing w:val="-13"/>
          <w:w w:val="110"/>
        </w:rPr>
        <w:t> </w:t>
      </w:r>
      <w:r>
        <w:rPr>
          <w:color w:val="231F1F"/>
          <w:w w:val="110"/>
        </w:rPr>
        <w:t>o</w:t>
      </w:r>
      <w:r>
        <w:rPr>
          <w:color w:val="231F1F"/>
          <w:spacing w:val="-13"/>
          <w:w w:val="110"/>
        </w:rPr>
        <w:t> </w:t>
      </w:r>
      <w:r>
        <w:rPr>
          <w:color w:val="231F1F"/>
          <w:w w:val="110"/>
        </w:rPr>
        <w:t>si</w:t>
      </w:r>
      <w:r>
        <w:rPr>
          <w:color w:val="231F1F"/>
          <w:spacing w:val="-14"/>
          <w:w w:val="110"/>
        </w:rPr>
        <w:t> </w:t>
      </w:r>
      <w:r>
        <w:rPr>
          <w:color w:val="231F1F"/>
          <w:w w:val="110"/>
        </w:rPr>
        <w:t>se</w:t>
      </w:r>
      <w:r>
        <w:rPr>
          <w:color w:val="231F1F"/>
          <w:spacing w:val="-13"/>
          <w:w w:val="110"/>
        </w:rPr>
        <w:t> </w:t>
      </w:r>
      <w:r>
        <w:rPr>
          <w:color w:val="231F1F"/>
          <w:w w:val="110"/>
        </w:rPr>
        <w:t>trata</w:t>
      </w:r>
      <w:r>
        <w:rPr>
          <w:color w:val="231F1F"/>
          <w:spacing w:val="-13"/>
          <w:w w:val="110"/>
        </w:rPr>
        <w:t> </w:t>
      </w:r>
      <w:r>
        <w:rPr>
          <w:color w:val="231F1F"/>
          <w:w w:val="110"/>
        </w:rPr>
        <w:t>de</w:t>
      </w:r>
      <w:r>
        <w:rPr>
          <w:color w:val="231F1F"/>
          <w:spacing w:val="-13"/>
          <w:w w:val="110"/>
        </w:rPr>
        <w:t> </w:t>
      </w:r>
      <w:r>
        <w:rPr>
          <w:color w:val="231F1F"/>
          <w:w w:val="110"/>
        </w:rPr>
        <w:t>un</w:t>
      </w:r>
      <w:r>
        <w:rPr>
          <w:color w:val="231F1F"/>
          <w:spacing w:val="-13"/>
          <w:w w:val="110"/>
        </w:rPr>
        <w:t> </w:t>
      </w:r>
      <w:r>
        <w:rPr>
          <w:color w:val="231F1F"/>
          <w:w w:val="110"/>
        </w:rPr>
        <w:t>procedimiento</w:t>
      </w:r>
      <w:r>
        <w:rPr>
          <w:color w:val="231F1F"/>
          <w:spacing w:val="-13"/>
          <w:w w:val="110"/>
        </w:rPr>
        <w:t> </w:t>
      </w:r>
      <w:r>
        <w:rPr>
          <w:color w:val="231F1F"/>
          <w:w w:val="110"/>
        </w:rPr>
        <w:t>realmente</w:t>
      </w:r>
      <w:r>
        <w:rPr>
          <w:color w:val="231F1F"/>
          <w:spacing w:val="-13"/>
          <w:w w:val="110"/>
        </w:rPr>
        <w:t> </w:t>
      </w:r>
      <w:r>
        <w:rPr>
          <w:color w:val="231F1F"/>
          <w:w w:val="110"/>
        </w:rPr>
        <w:t>útil para mejorar los resultados perinatales.</w:t>
      </w:r>
    </w:p>
    <w:p>
      <w:pPr>
        <w:pStyle w:val="BodyText"/>
        <w:spacing w:before="147"/>
      </w:pPr>
    </w:p>
    <w:p>
      <w:pPr>
        <w:spacing w:before="1"/>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tabs>
          <w:tab w:pos="7948" w:val="left" w:leader="none"/>
          <w:tab w:pos="7989" w:val="left" w:leader="none"/>
          <w:tab w:pos="8143" w:val="left" w:leader="none"/>
        </w:tabs>
        <w:spacing w:line="247" w:lineRule="auto" w:before="175"/>
        <w:ind w:left="283" w:right="437"/>
      </w:pPr>
      <w:r>
        <w:rPr>
          <w:color w:val="231F1F"/>
          <w:w w:val="105"/>
        </w:rPr>
        <w:t>La guía NICE (10) evalúa la </w:t>
      </w:r>
      <w:r>
        <w:rPr>
          <w:i/>
          <w:color w:val="231F1F"/>
          <w:w w:val="105"/>
        </w:rPr>
        <w:t>Cardiotocografía (CTG) </w:t>
      </w:r>
      <w:r>
        <w:rPr>
          <w:color w:val="231F1F"/>
          <w:w w:val="105"/>
        </w:rPr>
        <w:t>dentro de los exámenes</w:t>
      </w:r>
      <w:r>
        <w:rPr>
          <w:color w:val="231F1F"/>
        </w:rPr>
        <w:tab/>
      </w:r>
      <w:r>
        <w:rPr>
          <w:rFonts w:ascii="Arial MT" w:hAnsi="Arial MT"/>
          <w:color w:val="231F1F"/>
          <w:spacing w:val="-2"/>
          <w:w w:val="105"/>
          <w:sz w:val="18"/>
        </w:rPr>
        <w:t>MA</w:t>
      </w:r>
      <w:r>
        <w:rPr>
          <w:rFonts w:ascii="Arial MT" w:hAnsi="Arial MT"/>
          <w:color w:val="231F1F"/>
          <w:spacing w:val="-12"/>
          <w:w w:val="105"/>
          <w:sz w:val="18"/>
        </w:rPr>
        <w:t> </w:t>
      </w:r>
      <w:r>
        <w:rPr>
          <w:rFonts w:ascii="Arial MT" w:hAnsi="Arial MT"/>
          <w:color w:val="231F1F"/>
          <w:spacing w:val="-2"/>
          <w:w w:val="105"/>
          <w:sz w:val="18"/>
        </w:rPr>
        <w:t>de </w:t>
      </w:r>
      <w:r>
        <w:rPr>
          <w:color w:val="231F1F"/>
          <w:w w:val="105"/>
        </w:rPr>
        <w:t>y pruebas que se deben realizar en admisión. En la evidencia encontrada la</w:t>
      </w:r>
      <w:r>
        <w:rPr>
          <w:color w:val="231F1F"/>
        </w:rPr>
        <w:tab/>
        <w:tab/>
      </w:r>
      <w:r>
        <w:rPr>
          <w:rFonts w:ascii="Arial MT" w:hAnsi="Arial MT"/>
          <w:color w:val="231F1F"/>
          <w:spacing w:val="-4"/>
          <w:w w:val="105"/>
          <w:position w:val="4"/>
          <w:sz w:val="18"/>
        </w:rPr>
        <w:t>ECAs </w:t>
      </w:r>
      <w:r>
        <w:rPr>
          <w:color w:val="231F1F"/>
          <w:w w:val="105"/>
        </w:rPr>
        <w:t>guía NICE (10) incluye una RS de buena calidad (42) y publicada en diciem-</w:t>
      </w:r>
      <w:r>
        <w:rPr>
          <w:color w:val="231F1F"/>
        </w:rPr>
        <w:tab/>
        <w:tab/>
        <w:tab/>
      </w:r>
      <w:r>
        <w:rPr>
          <w:rFonts w:ascii="Arial MT" w:hAnsi="Arial MT"/>
          <w:color w:val="231F1F"/>
          <w:spacing w:val="-6"/>
          <w:w w:val="105"/>
          <w:position w:val="8"/>
          <w:sz w:val="18"/>
        </w:rPr>
        <w:t>Ia </w:t>
      </w:r>
      <w:r>
        <w:rPr>
          <w:color w:val="231F1F"/>
          <w:w w:val="105"/>
        </w:rPr>
        <w:t>bre de 2005. La RS evalúa tres ECAs (11.259 mujeres) y 11 estudios observa-</w:t>
      </w:r>
    </w:p>
    <w:p>
      <w:pPr>
        <w:pStyle w:val="BodyText"/>
        <w:spacing w:line="247" w:lineRule="auto" w:before="1"/>
        <w:ind w:left="283" w:right="1364"/>
        <w:jc w:val="both"/>
      </w:pPr>
      <w:r>
        <w:rPr>
          <w:color w:val="231F1F"/>
          <w:w w:val="105"/>
        </w:rPr>
        <w:t>cionales (5.831mujeres). La revisión evalúa la efectividad del uso de la CTG en admisión en la prevención de posibles efectos adversos, comparándola con la auscultación. En el documento se incluye un metaanálisis de los resultados de los tres ECAs.</w:t>
      </w:r>
    </w:p>
    <w:p>
      <w:pPr>
        <w:pStyle w:val="BodyText"/>
        <w:spacing w:line="264" w:lineRule="auto" w:before="71"/>
        <w:ind w:left="283" w:right="1373" w:firstLine="453"/>
        <w:jc w:val="both"/>
      </w:pPr>
      <w:r>
        <w:rPr>
          <w:color w:val="231F1F"/>
        </w:rPr>
        <w:t>Las mujeres con CTG en admisión tenían mayor probabilidad de necesitar analgesia epidural: RR 1,2 [IC 95% 1,1 a 1,4], monitorización electrónica fetal:</w:t>
      </w:r>
    </w:p>
    <w:p>
      <w:pPr>
        <w:pStyle w:val="BodyText"/>
        <w:spacing w:line="247" w:lineRule="auto"/>
        <w:ind w:left="283" w:right="1368"/>
        <w:jc w:val="both"/>
      </w:pPr>
      <w:r>
        <w:rPr>
          <w:color w:val="231F1F"/>
          <w:w w:val="105"/>
        </w:rPr>
        <w:t>RR</w:t>
      </w:r>
      <w:r>
        <w:rPr>
          <w:color w:val="231F1F"/>
          <w:spacing w:val="-15"/>
          <w:w w:val="105"/>
        </w:rPr>
        <w:t> </w:t>
      </w:r>
      <w:r>
        <w:rPr>
          <w:color w:val="231F1F"/>
          <w:w w:val="105"/>
        </w:rPr>
        <w:t>1,3</w:t>
      </w:r>
      <w:r>
        <w:rPr>
          <w:color w:val="231F1F"/>
          <w:spacing w:val="-14"/>
          <w:w w:val="105"/>
        </w:rPr>
        <w:t> </w:t>
      </w:r>
      <w:r>
        <w:rPr>
          <w:color w:val="231F1F"/>
          <w:w w:val="105"/>
        </w:rPr>
        <w:t>[IC</w:t>
      </w:r>
      <w:r>
        <w:rPr>
          <w:color w:val="231F1F"/>
          <w:spacing w:val="-15"/>
          <w:w w:val="105"/>
        </w:rPr>
        <w:t> </w:t>
      </w:r>
      <w:r>
        <w:rPr>
          <w:color w:val="231F1F"/>
          <w:w w:val="105"/>
        </w:rPr>
        <w:t>95%</w:t>
      </w:r>
      <w:r>
        <w:rPr>
          <w:color w:val="231F1F"/>
          <w:spacing w:val="-14"/>
          <w:w w:val="105"/>
        </w:rPr>
        <w:t> </w:t>
      </w:r>
      <w:r>
        <w:rPr>
          <w:color w:val="231F1F"/>
          <w:w w:val="105"/>
        </w:rPr>
        <w:t>1,2</w:t>
      </w:r>
      <w:r>
        <w:rPr>
          <w:color w:val="231F1F"/>
          <w:spacing w:val="-15"/>
          <w:w w:val="105"/>
        </w:rPr>
        <w:t> </w:t>
      </w:r>
      <w:r>
        <w:rPr>
          <w:color w:val="231F1F"/>
          <w:w w:val="105"/>
        </w:rPr>
        <w:t>a</w:t>
      </w:r>
      <w:r>
        <w:rPr>
          <w:color w:val="231F1F"/>
          <w:spacing w:val="-14"/>
          <w:w w:val="105"/>
        </w:rPr>
        <w:t> </w:t>
      </w:r>
      <w:r>
        <w:rPr>
          <w:color w:val="231F1F"/>
          <w:w w:val="105"/>
        </w:rPr>
        <w:t>1,5]</w:t>
      </w:r>
      <w:r>
        <w:rPr>
          <w:color w:val="231F1F"/>
          <w:spacing w:val="-15"/>
          <w:w w:val="105"/>
        </w:rPr>
        <w:t> </w:t>
      </w:r>
      <w:r>
        <w:rPr>
          <w:color w:val="231F1F"/>
          <w:w w:val="105"/>
        </w:rPr>
        <w:t>y</w:t>
      </w:r>
      <w:r>
        <w:rPr>
          <w:color w:val="231F1F"/>
          <w:spacing w:val="-14"/>
          <w:w w:val="105"/>
        </w:rPr>
        <w:t> </w:t>
      </w:r>
      <w:r>
        <w:rPr>
          <w:color w:val="231F1F"/>
          <w:w w:val="105"/>
        </w:rPr>
        <w:t>muestras</w:t>
      </w:r>
      <w:r>
        <w:rPr>
          <w:color w:val="231F1F"/>
          <w:spacing w:val="-14"/>
          <w:w w:val="105"/>
        </w:rPr>
        <w:t> </w:t>
      </w:r>
      <w:r>
        <w:rPr>
          <w:color w:val="231F1F"/>
          <w:w w:val="105"/>
        </w:rPr>
        <w:t>de</w:t>
      </w:r>
      <w:r>
        <w:rPr>
          <w:color w:val="231F1F"/>
          <w:spacing w:val="-15"/>
          <w:w w:val="105"/>
        </w:rPr>
        <w:t> </w:t>
      </w:r>
      <w:r>
        <w:rPr>
          <w:color w:val="231F1F"/>
          <w:w w:val="105"/>
        </w:rPr>
        <w:t>sangre</w:t>
      </w:r>
      <w:r>
        <w:rPr>
          <w:color w:val="231F1F"/>
          <w:spacing w:val="-14"/>
          <w:w w:val="105"/>
        </w:rPr>
        <w:t> </w:t>
      </w:r>
      <w:r>
        <w:rPr>
          <w:color w:val="231F1F"/>
          <w:w w:val="105"/>
        </w:rPr>
        <w:t>fetal:</w:t>
      </w:r>
      <w:r>
        <w:rPr>
          <w:color w:val="231F1F"/>
          <w:spacing w:val="-15"/>
          <w:w w:val="105"/>
        </w:rPr>
        <w:t> </w:t>
      </w:r>
      <w:r>
        <w:rPr>
          <w:color w:val="231F1F"/>
          <w:w w:val="105"/>
        </w:rPr>
        <w:t>RR</w:t>
      </w:r>
      <w:r>
        <w:rPr>
          <w:color w:val="231F1F"/>
          <w:spacing w:val="-14"/>
          <w:w w:val="105"/>
        </w:rPr>
        <w:t> </w:t>
      </w:r>
      <w:r>
        <w:rPr>
          <w:color w:val="231F1F"/>
          <w:w w:val="105"/>
        </w:rPr>
        <w:t>1,3</w:t>
      </w:r>
      <w:r>
        <w:rPr>
          <w:color w:val="231F1F"/>
          <w:spacing w:val="-15"/>
          <w:w w:val="105"/>
        </w:rPr>
        <w:t> </w:t>
      </w:r>
      <w:r>
        <w:rPr>
          <w:color w:val="231F1F"/>
          <w:w w:val="105"/>
        </w:rPr>
        <w:t>[IC</w:t>
      </w:r>
      <w:r>
        <w:rPr>
          <w:color w:val="231F1F"/>
          <w:spacing w:val="-14"/>
          <w:w w:val="105"/>
        </w:rPr>
        <w:t> </w:t>
      </w:r>
      <w:r>
        <w:rPr>
          <w:color w:val="231F1F"/>
          <w:w w:val="105"/>
        </w:rPr>
        <w:t>95%</w:t>
      </w:r>
      <w:r>
        <w:rPr>
          <w:color w:val="231F1F"/>
          <w:spacing w:val="-14"/>
          <w:w w:val="105"/>
        </w:rPr>
        <w:t> </w:t>
      </w:r>
      <w:r>
        <w:rPr>
          <w:color w:val="231F1F"/>
          <w:w w:val="105"/>
        </w:rPr>
        <w:t>1,1</w:t>
      </w:r>
      <w:r>
        <w:rPr>
          <w:color w:val="231F1F"/>
          <w:spacing w:val="-15"/>
          <w:w w:val="105"/>
        </w:rPr>
        <w:t> </w:t>
      </w:r>
      <w:r>
        <w:rPr>
          <w:color w:val="231F1F"/>
          <w:w w:val="105"/>
        </w:rPr>
        <w:t>a</w:t>
      </w:r>
      <w:r>
        <w:rPr>
          <w:color w:val="231F1F"/>
          <w:spacing w:val="-14"/>
          <w:w w:val="105"/>
        </w:rPr>
        <w:t> </w:t>
      </w:r>
      <w:r>
        <w:rPr>
          <w:color w:val="231F1F"/>
          <w:w w:val="105"/>
        </w:rPr>
        <w:t>1,5]. Existe</w:t>
      </w:r>
      <w:r>
        <w:rPr>
          <w:color w:val="231F1F"/>
          <w:w w:val="105"/>
        </w:rPr>
        <w:t> también</w:t>
      </w:r>
      <w:r>
        <w:rPr>
          <w:color w:val="231F1F"/>
          <w:w w:val="105"/>
        </w:rPr>
        <w:t> una</w:t>
      </w:r>
      <w:r>
        <w:rPr>
          <w:color w:val="231F1F"/>
          <w:w w:val="105"/>
        </w:rPr>
        <w:t> débil</w:t>
      </w:r>
      <w:r>
        <w:rPr>
          <w:color w:val="231F1F"/>
          <w:w w:val="105"/>
        </w:rPr>
        <w:t> evidencia</w:t>
      </w:r>
      <w:r>
        <w:rPr>
          <w:color w:val="231F1F"/>
          <w:w w:val="105"/>
        </w:rPr>
        <w:t> de</w:t>
      </w:r>
      <w:r>
        <w:rPr>
          <w:color w:val="231F1F"/>
          <w:w w:val="105"/>
        </w:rPr>
        <w:t> que</w:t>
      </w:r>
      <w:r>
        <w:rPr>
          <w:color w:val="231F1F"/>
          <w:w w:val="105"/>
        </w:rPr>
        <w:t> las</w:t>
      </w:r>
      <w:r>
        <w:rPr>
          <w:color w:val="231F1F"/>
          <w:w w:val="105"/>
        </w:rPr>
        <w:t> mujeres</w:t>
      </w:r>
      <w:r>
        <w:rPr>
          <w:color w:val="231F1F"/>
          <w:w w:val="105"/>
        </w:rPr>
        <w:t> con</w:t>
      </w:r>
      <w:r>
        <w:rPr>
          <w:color w:val="231F1F"/>
          <w:w w:val="105"/>
        </w:rPr>
        <w:t> monitorización electrónica</w:t>
      </w:r>
      <w:r>
        <w:rPr>
          <w:color w:val="231F1F"/>
          <w:spacing w:val="-1"/>
          <w:w w:val="105"/>
        </w:rPr>
        <w:t> </w:t>
      </w:r>
      <w:r>
        <w:rPr>
          <w:color w:val="231F1F"/>
          <w:w w:val="105"/>
        </w:rPr>
        <w:t>fetal</w:t>
      </w:r>
      <w:r>
        <w:rPr>
          <w:color w:val="231F1F"/>
          <w:spacing w:val="-1"/>
          <w:w w:val="105"/>
        </w:rPr>
        <w:t> </w:t>
      </w:r>
      <w:r>
        <w:rPr>
          <w:color w:val="231F1F"/>
          <w:w w:val="105"/>
        </w:rPr>
        <w:t>pudieron</w:t>
      </w:r>
      <w:r>
        <w:rPr>
          <w:color w:val="231F1F"/>
          <w:spacing w:val="-1"/>
          <w:w w:val="105"/>
        </w:rPr>
        <w:t> </w:t>
      </w:r>
      <w:r>
        <w:rPr>
          <w:color w:val="231F1F"/>
          <w:w w:val="105"/>
        </w:rPr>
        <w:t>ser</w:t>
      </w:r>
      <w:r>
        <w:rPr>
          <w:color w:val="231F1F"/>
          <w:spacing w:val="-1"/>
          <w:w w:val="105"/>
        </w:rPr>
        <w:t> </w:t>
      </w:r>
      <w:r>
        <w:rPr>
          <w:color w:val="231F1F"/>
          <w:w w:val="105"/>
        </w:rPr>
        <w:t>más</w:t>
      </w:r>
      <w:r>
        <w:rPr>
          <w:color w:val="231F1F"/>
          <w:spacing w:val="-1"/>
          <w:w w:val="105"/>
        </w:rPr>
        <w:t> </w:t>
      </w:r>
      <w:r>
        <w:rPr>
          <w:color w:val="231F1F"/>
          <w:w w:val="105"/>
        </w:rPr>
        <w:t>propensas</w:t>
      </w:r>
      <w:r>
        <w:rPr>
          <w:color w:val="231F1F"/>
          <w:spacing w:val="-1"/>
          <w:w w:val="105"/>
        </w:rPr>
        <w:t> </w:t>
      </w:r>
      <w:r>
        <w:rPr>
          <w:color w:val="231F1F"/>
          <w:w w:val="105"/>
        </w:rPr>
        <w:t>a</w:t>
      </w:r>
      <w:r>
        <w:rPr>
          <w:color w:val="231F1F"/>
          <w:spacing w:val="-1"/>
          <w:w w:val="105"/>
        </w:rPr>
        <w:t> </w:t>
      </w:r>
      <w:r>
        <w:rPr>
          <w:color w:val="231F1F"/>
          <w:w w:val="105"/>
        </w:rPr>
        <w:t>tener</w:t>
      </w:r>
      <w:r>
        <w:rPr>
          <w:color w:val="231F1F"/>
          <w:spacing w:val="-1"/>
          <w:w w:val="105"/>
        </w:rPr>
        <w:t> </w:t>
      </w:r>
      <w:r>
        <w:rPr>
          <w:color w:val="231F1F"/>
          <w:w w:val="105"/>
        </w:rPr>
        <w:t>partos</w:t>
      </w:r>
      <w:r>
        <w:rPr>
          <w:color w:val="231F1F"/>
          <w:spacing w:val="-1"/>
          <w:w w:val="105"/>
        </w:rPr>
        <w:t> </w:t>
      </w:r>
      <w:r>
        <w:rPr>
          <w:color w:val="231F1F"/>
          <w:w w:val="105"/>
        </w:rPr>
        <w:t>instrumentales:</w:t>
      </w:r>
      <w:r>
        <w:rPr>
          <w:color w:val="231F1F"/>
          <w:spacing w:val="-1"/>
          <w:w w:val="105"/>
        </w:rPr>
        <w:t> </w:t>
      </w:r>
      <w:r>
        <w:rPr>
          <w:color w:val="231F1F"/>
          <w:w w:val="105"/>
        </w:rPr>
        <w:t>RR 1,1 [IC 95% 1,0 a 1,3] y cesáreas: RR 1,2 [IC 95% 1,0 a 1,4], en comparación con el grupo al que se les realizó auscultación. No se encontró evidencia de diferencias en la inducción, en mortalidad infantil ni en morbilidad neonatal.</w:t>
      </w:r>
    </w:p>
    <w:p>
      <w:pPr>
        <w:pStyle w:val="BodyText"/>
        <w:spacing w:line="244" w:lineRule="auto" w:before="141"/>
        <w:ind w:left="283" w:right="1367" w:firstLine="453"/>
        <w:jc w:val="both"/>
      </w:pPr>
      <w:r>
        <w:rPr>
          <w:color w:val="231F1F"/>
          <w:w w:val="105"/>
        </w:rPr>
        <w:t>La revisión concluye que no existe evidencia de que la CTG en admisión sea beneficiosa en mujeres de bajo riesgo.</w:t>
      </w:r>
    </w:p>
    <w:p>
      <w:pPr>
        <w:pStyle w:val="BodyText"/>
        <w:spacing w:before="166"/>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9"/>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9" w:lineRule="auto" w:before="219"/>
        <w:ind w:left="283" w:right="1362"/>
        <w:jc w:val="both"/>
      </w:pPr>
      <w:r>
        <w:rPr>
          <w:color w:val="231F1F"/>
          <w:w w:val="105"/>
        </w:rPr>
        <w:t>En la actualización de la búsqueda de la guía de NICE (10) se encontraron 16 referencias, pero ninguna de ellas cumplía los criterios de inclusión estableci- dos para la selección de estudios, por lo que el GEG ha basado sus recomen- daciones</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evidencia</w:t>
      </w:r>
      <w:r>
        <w:rPr>
          <w:color w:val="231F1F"/>
          <w:spacing w:val="40"/>
          <w:w w:val="105"/>
        </w:rPr>
        <w:t> </w:t>
      </w:r>
      <w:r>
        <w:rPr>
          <w:color w:val="231F1F"/>
          <w:w w:val="105"/>
        </w:rPr>
        <w:t>aportada</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guía</w:t>
      </w:r>
      <w:r>
        <w:rPr>
          <w:color w:val="231F1F"/>
          <w:spacing w:val="40"/>
          <w:w w:val="105"/>
        </w:rPr>
        <w:t> </w:t>
      </w:r>
      <w:r>
        <w:rPr>
          <w:color w:val="231F1F"/>
          <w:w w:val="105"/>
        </w:rPr>
        <w:t>NICE</w:t>
      </w:r>
      <w:r>
        <w:rPr>
          <w:color w:val="231F1F"/>
          <w:spacing w:val="40"/>
          <w:w w:val="105"/>
        </w:rPr>
        <w:t> </w:t>
      </w:r>
      <w:r>
        <w:rPr>
          <w:color w:val="231F1F"/>
          <w:w w:val="105"/>
        </w:rPr>
        <w:t>(10).</w:t>
      </w:r>
    </w:p>
    <w:p>
      <w:pPr>
        <w:pStyle w:val="BodyText"/>
        <w:spacing w:before="134"/>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4"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4" w:lineRule="auto" w:before="49"/>
              <w:ind w:right="87"/>
              <w:jc w:val="both"/>
              <w:rPr>
                <w:sz w:val="22"/>
              </w:rPr>
            </w:pPr>
            <w:r>
              <w:rPr>
                <w:color w:val="231F1F"/>
                <w:w w:val="110"/>
                <w:sz w:val="22"/>
              </w:rPr>
              <w:t>La</w:t>
            </w:r>
            <w:r>
              <w:rPr>
                <w:color w:val="231F1F"/>
                <w:spacing w:val="-16"/>
                <w:w w:val="110"/>
                <w:sz w:val="22"/>
              </w:rPr>
              <w:t> </w:t>
            </w:r>
            <w:r>
              <w:rPr>
                <w:color w:val="231F1F"/>
                <w:w w:val="110"/>
                <w:sz w:val="22"/>
              </w:rPr>
              <w:t>realización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i/>
                <w:color w:val="231F1F"/>
                <w:w w:val="110"/>
                <w:sz w:val="22"/>
              </w:rPr>
              <w:t>amnioscopia</w:t>
            </w:r>
            <w:r>
              <w:rPr>
                <w:i/>
                <w:color w:val="231F1F"/>
                <w:spacing w:val="-15"/>
                <w:w w:val="110"/>
                <w:sz w:val="22"/>
              </w:rPr>
              <w:t> </w:t>
            </w:r>
            <w:r>
              <w:rPr>
                <w:color w:val="231F1F"/>
                <w:w w:val="110"/>
                <w:sz w:val="22"/>
              </w:rPr>
              <w:t>presenta</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gran</w:t>
            </w:r>
            <w:r>
              <w:rPr>
                <w:color w:val="231F1F"/>
                <w:spacing w:val="-15"/>
                <w:w w:val="110"/>
                <w:sz w:val="22"/>
              </w:rPr>
              <w:t> </w:t>
            </w:r>
            <w:r>
              <w:rPr>
                <w:color w:val="231F1F"/>
                <w:w w:val="110"/>
                <w:sz w:val="22"/>
              </w:rPr>
              <w:t>número</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falsos</w:t>
            </w:r>
            <w:r>
              <w:rPr>
                <w:color w:val="231F1F"/>
                <w:spacing w:val="-15"/>
                <w:w w:val="110"/>
                <w:sz w:val="22"/>
              </w:rPr>
              <w:t> </w:t>
            </w:r>
            <w:r>
              <w:rPr>
                <w:color w:val="231F1F"/>
                <w:w w:val="110"/>
                <w:sz w:val="22"/>
              </w:rPr>
              <w:t>negati- vos,</w:t>
            </w:r>
            <w:r>
              <w:rPr>
                <w:color w:val="231F1F"/>
                <w:spacing w:val="-16"/>
                <w:w w:val="110"/>
                <w:sz w:val="22"/>
              </w:rPr>
              <w:t> </w:t>
            </w:r>
            <w:r>
              <w:rPr>
                <w:color w:val="231F1F"/>
                <w:w w:val="110"/>
                <w:sz w:val="22"/>
              </w:rPr>
              <w:t>por</w:t>
            </w:r>
            <w:r>
              <w:rPr>
                <w:color w:val="231F1F"/>
                <w:spacing w:val="-15"/>
                <w:w w:val="110"/>
                <w:sz w:val="22"/>
              </w:rPr>
              <w:t> </w:t>
            </w:r>
            <w:r>
              <w:rPr>
                <w:color w:val="231F1F"/>
                <w:w w:val="110"/>
                <w:sz w:val="22"/>
              </w:rPr>
              <w:t>lo</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es</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procedimiento</w:t>
            </w:r>
            <w:r>
              <w:rPr>
                <w:color w:val="231F1F"/>
                <w:spacing w:val="-15"/>
                <w:w w:val="110"/>
                <w:sz w:val="22"/>
              </w:rPr>
              <w:t> </w:t>
            </w:r>
            <w:r>
              <w:rPr>
                <w:color w:val="231F1F"/>
                <w:w w:val="110"/>
                <w:sz w:val="22"/>
              </w:rPr>
              <w:t>efectivo</w:t>
            </w:r>
            <w:r>
              <w:rPr>
                <w:color w:val="231F1F"/>
                <w:spacing w:val="-16"/>
                <w:w w:val="110"/>
                <w:sz w:val="22"/>
              </w:rPr>
              <w:t> </w:t>
            </w:r>
            <w:r>
              <w:rPr>
                <w:color w:val="231F1F"/>
                <w:w w:val="110"/>
                <w:sz w:val="22"/>
              </w:rPr>
              <w:t>para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evaluación</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color del líquido amniótico al ingreso en mujeres de bajo riesgo (40).</w:t>
            </w:r>
          </w:p>
        </w:tc>
        <w:tc>
          <w:tcPr>
            <w:tcW w:w="1133" w:type="dxa"/>
          </w:tcPr>
          <w:p>
            <w:pPr>
              <w:pStyle w:val="TableParagraph"/>
              <w:spacing w:before="69"/>
              <w:ind w:left="0"/>
              <w:rPr>
                <w:rFonts w:ascii="Arial MT"/>
                <w:sz w:val="22"/>
              </w:rPr>
            </w:pPr>
          </w:p>
          <w:p>
            <w:pPr>
              <w:pStyle w:val="TableParagraph"/>
              <w:ind w:left="49" w:right="23"/>
              <w:jc w:val="center"/>
              <w:rPr>
                <w:sz w:val="22"/>
              </w:rPr>
            </w:pPr>
            <w:r>
              <w:rPr>
                <w:color w:val="231F1F"/>
                <w:spacing w:val="-5"/>
                <w:w w:val="115"/>
                <w:sz w:val="22"/>
              </w:rPr>
              <w:t>III</w:t>
            </w:r>
          </w:p>
        </w:tc>
      </w:tr>
    </w:tbl>
    <w:p>
      <w:pPr>
        <w:pStyle w:val="TableParagraph"/>
        <w:spacing w:after="0"/>
        <w:jc w:val="center"/>
        <w:rPr>
          <w:sz w:val="22"/>
        </w:rPr>
        <w:sectPr>
          <w:pgSz w:w="11900" w:h="16840"/>
          <w:pgMar w:header="0" w:footer="622" w:top="1560" w:bottom="82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4" w:lineRule="auto" w:before="44"/>
              <w:ind w:right="89"/>
              <w:jc w:val="both"/>
              <w:rPr>
                <w:sz w:val="22"/>
              </w:rPr>
            </w:pPr>
            <w:r>
              <w:rPr>
                <w:color w:val="231F1F"/>
                <w:w w:val="110"/>
                <w:sz w:val="22"/>
              </w:rPr>
              <w:t>Las</w:t>
            </w:r>
            <w:r>
              <w:rPr>
                <w:color w:val="231F1F"/>
                <w:spacing w:val="-5"/>
                <w:w w:val="110"/>
                <w:sz w:val="22"/>
              </w:rPr>
              <w:t> </w:t>
            </w:r>
            <w:r>
              <w:rPr>
                <w:color w:val="231F1F"/>
                <w:w w:val="110"/>
                <w:sz w:val="22"/>
              </w:rPr>
              <w:t>mujeres</w:t>
            </w:r>
            <w:r>
              <w:rPr>
                <w:color w:val="231F1F"/>
                <w:spacing w:val="-4"/>
                <w:w w:val="110"/>
                <w:sz w:val="22"/>
              </w:rPr>
              <w:t> </w:t>
            </w:r>
            <w:r>
              <w:rPr>
                <w:color w:val="231F1F"/>
                <w:w w:val="110"/>
                <w:sz w:val="22"/>
              </w:rPr>
              <w:t>a</w:t>
            </w:r>
            <w:r>
              <w:rPr>
                <w:color w:val="231F1F"/>
                <w:spacing w:val="-5"/>
                <w:w w:val="110"/>
                <w:sz w:val="22"/>
              </w:rPr>
              <w:t> </w:t>
            </w:r>
            <w:r>
              <w:rPr>
                <w:color w:val="231F1F"/>
                <w:w w:val="110"/>
                <w:sz w:val="22"/>
              </w:rPr>
              <w:t>las</w:t>
            </w:r>
            <w:r>
              <w:rPr>
                <w:color w:val="231F1F"/>
                <w:spacing w:val="-5"/>
                <w:w w:val="110"/>
                <w:sz w:val="22"/>
              </w:rPr>
              <w:t> </w:t>
            </w:r>
            <w:r>
              <w:rPr>
                <w:color w:val="231F1F"/>
                <w:w w:val="110"/>
                <w:sz w:val="22"/>
              </w:rPr>
              <w:t>que</w:t>
            </w:r>
            <w:r>
              <w:rPr>
                <w:color w:val="231F1F"/>
                <w:spacing w:val="-5"/>
                <w:w w:val="110"/>
                <w:sz w:val="22"/>
              </w:rPr>
              <w:t> </w:t>
            </w:r>
            <w:r>
              <w:rPr>
                <w:color w:val="231F1F"/>
                <w:w w:val="110"/>
                <w:sz w:val="22"/>
              </w:rPr>
              <w:t>se</w:t>
            </w:r>
            <w:r>
              <w:rPr>
                <w:color w:val="231F1F"/>
                <w:spacing w:val="-5"/>
                <w:w w:val="110"/>
                <w:sz w:val="22"/>
              </w:rPr>
              <w:t> </w:t>
            </w:r>
            <w:r>
              <w:rPr>
                <w:color w:val="231F1F"/>
                <w:w w:val="110"/>
                <w:sz w:val="22"/>
              </w:rPr>
              <w:t>les</w:t>
            </w:r>
            <w:r>
              <w:rPr>
                <w:color w:val="231F1F"/>
                <w:spacing w:val="-5"/>
                <w:w w:val="110"/>
                <w:sz w:val="22"/>
              </w:rPr>
              <w:t> </w:t>
            </w:r>
            <w:r>
              <w:rPr>
                <w:color w:val="231F1F"/>
                <w:w w:val="110"/>
                <w:sz w:val="22"/>
              </w:rPr>
              <w:t>realiza</w:t>
            </w:r>
            <w:r>
              <w:rPr>
                <w:color w:val="231F1F"/>
                <w:spacing w:val="-5"/>
                <w:w w:val="110"/>
                <w:sz w:val="22"/>
              </w:rPr>
              <w:t> </w:t>
            </w:r>
            <w:r>
              <w:rPr>
                <w:i/>
                <w:color w:val="231F1F"/>
                <w:w w:val="110"/>
                <w:sz w:val="22"/>
              </w:rPr>
              <w:t>CTG</w:t>
            </w:r>
            <w:r>
              <w:rPr>
                <w:i/>
                <w:color w:val="231F1F"/>
                <w:spacing w:val="-16"/>
                <w:w w:val="110"/>
                <w:sz w:val="22"/>
              </w:rPr>
              <w:t> </w:t>
            </w:r>
            <w:r>
              <w:rPr>
                <w:color w:val="231F1F"/>
                <w:w w:val="110"/>
                <w:sz w:val="22"/>
              </w:rPr>
              <w:t>tienen</w:t>
            </w:r>
            <w:r>
              <w:rPr>
                <w:color w:val="231F1F"/>
                <w:spacing w:val="-3"/>
                <w:w w:val="110"/>
                <w:sz w:val="22"/>
              </w:rPr>
              <w:t> </w:t>
            </w:r>
            <w:r>
              <w:rPr>
                <w:color w:val="231F1F"/>
                <w:w w:val="110"/>
                <w:sz w:val="22"/>
              </w:rPr>
              <w:t>mayor</w:t>
            </w:r>
            <w:r>
              <w:rPr>
                <w:color w:val="231F1F"/>
                <w:spacing w:val="-5"/>
                <w:w w:val="110"/>
                <w:sz w:val="22"/>
              </w:rPr>
              <w:t> </w:t>
            </w:r>
            <w:r>
              <w:rPr>
                <w:color w:val="231F1F"/>
                <w:w w:val="110"/>
                <w:sz w:val="22"/>
              </w:rPr>
              <w:t>probabilidad</w:t>
            </w:r>
            <w:r>
              <w:rPr>
                <w:color w:val="231F1F"/>
                <w:spacing w:val="-5"/>
                <w:w w:val="110"/>
                <w:sz w:val="22"/>
              </w:rPr>
              <w:t> </w:t>
            </w:r>
            <w:r>
              <w:rPr>
                <w:color w:val="231F1F"/>
                <w:w w:val="110"/>
                <w:sz w:val="22"/>
              </w:rPr>
              <w:t>de</w:t>
            </w:r>
            <w:r>
              <w:rPr>
                <w:color w:val="231F1F"/>
                <w:spacing w:val="-5"/>
                <w:w w:val="110"/>
                <w:sz w:val="22"/>
              </w:rPr>
              <w:t> </w:t>
            </w:r>
            <w:r>
              <w:rPr>
                <w:color w:val="231F1F"/>
                <w:w w:val="110"/>
                <w:sz w:val="22"/>
              </w:rPr>
              <w:t>ne- cesitar analgesia epidural, monitorización electrónica fetal y muestras de sangre fetal (42).</w:t>
            </w:r>
          </w:p>
        </w:tc>
        <w:tc>
          <w:tcPr>
            <w:tcW w:w="1133" w:type="dxa"/>
          </w:tcPr>
          <w:p>
            <w:pPr>
              <w:pStyle w:val="TableParagraph"/>
              <w:spacing w:before="69"/>
              <w:ind w:left="0"/>
              <w:rPr>
                <w:rFonts w:ascii="Arial MT"/>
                <w:sz w:val="22"/>
              </w:rPr>
            </w:pPr>
          </w:p>
          <w:p>
            <w:pPr>
              <w:pStyle w:val="TableParagraph"/>
              <w:ind w:left="49" w:right="23"/>
              <w:jc w:val="center"/>
              <w:rPr>
                <w:sz w:val="22"/>
              </w:rPr>
            </w:pPr>
            <w:r>
              <w:rPr>
                <w:color w:val="231F1F"/>
                <w:spacing w:val="-5"/>
                <w:w w:val="115"/>
                <w:sz w:val="22"/>
              </w:rPr>
              <w:t>Ia</w:t>
            </w:r>
          </w:p>
        </w:tc>
      </w:tr>
      <w:tr>
        <w:trPr>
          <w:trHeight w:val="681" w:hRule="atLeast"/>
        </w:trPr>
        <w:tc>
          <w:tcPr>
            <w:tcW w:w="7373" w:type="dxa"/>
          </w:tcPr>
          <w:p>
            <w:pPr>
              <w:pStyle w:val="TableParagraph"/>
              <w:spacing w:before="44"/>
              <w:ind w:right="156"/>
              <w:rPr>
                <w:sz w:val="22"/>
              </w:rPr>
            </w:pPr>
            <w:r>
              <w:rPr>
                <w:color w:val="231F1F"/>
                <w:w w:val="110"/>
                <w:sz w:val="22"/>
              </w:rPr>
              <w:t>La</w:t>
            </w:r>
            <w:r>
              <w:rPr>
                <w:color w:val="231F1F"/>
                <w:spacing w:val="-16"/>
                <w:w w:val="110"/>
                <w:sz w:val="22"/>
              </w:rPr>
              <w:t> </w:t>
            </w:r>
            <w:r>
              <w:rPr>
                <w:i/>
                <w:color w:val="231F1F"/>
                <w:w w:val="110"/>
                <w:sz w:val="22"/>
              </w:rPr>
              <w:t>CTG</w:t>
            </w:r>
            <w:r>
              <w:rPr>
                <w:i/>
                <w:color w:val="231F1F"/>
                <w:spacing w:val="-15"/>
                <w:w w:val="110"/>
                <w:sz w:val="22"/>
              </w:rPr>
              <w:t> </w:t>
            </w:r>
            <w:r>
              <w:rPr>
                <w:color w:val="231F1F"/>
                <w:w w:val="110"/>
                <w:sz w:val="22"/>
              </w:rPr>
              <w:t>en</w:t>
            </w:r>
            <w:r>
              <w:rPr>
                <w:color w:val="231F1F"/>
                <w:spacing w:val="-15"/>
                <w:w w:val="110"/>
                <w:sz w:val="22"/>
              </w:rPr>
              <w:t> </w:t>
            </w:r>
            <w:r>
              <w:rPr>
                <w:color w:val="231F1F"/>
                <w:w w:val="110"/>
                <w:sz w:val="22"/>
              </w:rPr>
              <w:t>la</w:t>
            </w:r>
            <w:r>
              <w:rPr>
                <w:color w:val="231F1F"/>
                <w:spacing w:val="-14"/>
                <w:w w:val="110"/>
                <w:sz w:val="22"/>
              </w:rPr>
              <w:t> </w:t>
            </w:r>
            <w:r>
              <w:rPr>
                <w:color w:val="231F1F"/>
                <w:w w:val="110"/>
                <w:sz w:val="22"/>
              </w:rPr>
              <w:t>admisión</w:t>
            </w:r>
            <w:r>
              <w:rPr>
                <w:color w:val="231F1F"/>
                <w:spacing w:val="-14"/>
                <w:w w:val="110"/>
                <w:sz w:val="22"/>
              </w:rPr>
              <w:t> </w:t>
            </w:r>
            <w:r>
              <w:rPr>
                <w:color w:val="231F1F"/>
                <w:w w:val="110"/>
                <w:sz w:val="22"/>
              </w:rPr>
              <w:t>no</w:t>
            </w:r>
            <w:r>
              <w:rPr>
                <w:color w:val="231F1F"/>
                <w:spacing w:val="-14"/>
                <w:w w:val="110"/>
                <w:sz w:val="22"/>
              </w:rPr>
              <w:t> </w:t>
            </w:r>
            <w:r>
              <w:rPr>
                <w:color w:val="231F1F"/>
                <w:w w:val="110"/>
                <w:sz w:val="22"/>
              </w:rPr>
              <w:t>ha</w:t>
            </w:r>
            <w:r>
              <w:rPr>
                <w:color w:val="231F1F"/>
                <w:spacing w:val="-14"/>
                <w:w w:val="110"/>
                <w:sz w:val="22"/>
              </w:rPr>
              <w:t> </w:t>
            </w:r>
            <w:r>
              <w:rPr>
                <w:color w:val="231F1F"/>
                <w:w w:val="110"/>
                <w:sz w:val="22"/>
              </w:rPr>
              <w:t>mostrado</w:t>
            </w:r>
            <w:r>
              <w:rPr>
                <w:color w:val="231F1F"/>
                <w:spacing w:val="-14"/>
                <w:w w:val="110"/>
                <w:sz w:val="22"/>
              </w:rPr>
              <w:t> </w:t>
            </w:r>
            <w:r>
              <w:rPr>
                <w:color w:val="231F1F"/>
                <w:w w:val="110"/>
                <w:sz w:val="22"/>
              </w:rPr>
              <w:t>ser</w:t>
            </w:r>
            <w:r>
              <w:rPr>
                <w:color w:val="231F1F"/>
                <w:spacing w:val="-16"/>
                <w:w w:val="110"/>
                <w:sz w:val="22"/>
              </w:rPr>
              <w:t> </w:t>
            </w:r>
            <w:r>
              <w:rPr>
                <w:color w:val="231F1F"/>
                <w:w w:val="110"/>
                <w:sz w:val="22"/>
              </w:rPr>
              <w:t>beneficiosa</w:t>
            </w:r>
            <w:r>
              <w:rPr>
                <w:color w:val="231F1F"/>
                <w:spacing w:val="-13"/>
                <w:w w:val="110"/>
                <w:sz w:val="22"/>
              </w:rPr>
              <w:t> </w:t>
            </w:r>
            <w:r>
              <w:rPr>
                <w:color w:val="231F1F"/>
                <w:w w:val="110"/>
                <w:sz w:val="22"/>
              </w:rPr>
              <w:t>en</w:t>
            </w:r>
            <w:r>
              <w:rPr>
                <w:color w:val="231F1F"/>
                <w:spacing w:val="-14"/>
                <w:w w:val="110"/>
                <w:sz w:val="22"/>
              </w:rPr>
              <w:t> </w:t>
            </w:r>
            <w:r>
              <w:rPr>
                <w:color w:val="231F1F"/>
                <w:w w:val="110"/>
                <w:sz w:val="22"/>
              </w:rPr>
              <w:t>mujeres</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bajo riesgo (42).</w:t>
            </w:r>
          </w:p>
        </w:tc>
        <w:tc>
          <w:tcPr>
            <w:tcW w:w="1133" w:type="dxa"/>
          </w:tcPr>
          <w:p>
            <w:pPr>
              <w:pStyle w:val="TableParagraph"/>
              <w:spacing w:before="178"/>
              <w:ind w:left="49" w:right="23"/>
              <w:jc w:val="center"/>
              <w:rPr>
                <w:sz w:val="22"/>
              </w:rPr>
            </w:pPr>
            <w:r>
              <w:rPr>
                <w:color w:val="231F1F"/>
                <w:spacing w:val="-5"/>
                <w:w w:val="115"/>
                <w:sz w:val="22"/>
              </w:rPr>
              <w:t>Ia</w:t>
            </w:r>
          </w:p>
        </w:tc>
      </w:tr>
    </w:tbl>
    <w:p>
      <w:pPr>
        <w:pStyle w:val="BodyText"/>
        <w:spacing w:before="15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84" w:right="43"/>
              <w:jc w:val="center"/>
              <w:rPr>
                <w:sz w:val="22"/>
              </w:rPr>
            </w:pPr>
            <w:r>
              <w:rPr>
                <w:color w:val="231F1F"/>
                <w:spacing w:val="-10"/>
                <w:w w:val="110"/>
                <w:sz w:val="22"/>
              </w:rPr>
              <w:t>C</w:t>
            </w:r>
          </w:p>
        </w:tc>
        <w:tc>
          <w:tcPr>
            <w:tcW w:w="8050" w:type="dxa"/>
          </w:tcPr>
          <w:p>
            <w:pPr>
              <w:pStyle w:val="TableParagraph"/>
              <w:spacing w:line="254" w:lineRule="auto" w:before="63"/>
              <w:ind w:left="120" w:right="155"/>
              <w:rPr>
                <w:sz w:val="22"/>
              </w:rPr>
            </w:pPr>
            <w:r>
              <w:rPr>
                <w:color w:val="231F1F"/>
                <w:sz w:val="22"/>
              </w:rPr>
              <w:t>No</w:t>
            </w:r>
            <w:r>
              <w:rPr>
                <w:color w:val="231F1F"/>
                <w:spacing w:val="23"/>
                <w:sz w:val="22"/>
              </w:rPr>
              <w:t> </w:t>
            </w:r>
            <w:r>
              <w:rPr>
                <w:color w:val="231F1F"/>
                <w:sz w:val="22"/>
              </w:rPr>
              <w:t>se</w:t>
            </w:r>
            <w:r>
              <w:rPr>
                <w:color w:val="231F1F"/>
                <w:spacing w:val="23"/>
                <w:sz w:val="22"/>
              </w:rPr>
              <w:t> </w:t>
            </w:r>
            <w:r>
              <w:rPr>
                <w:color w:val="231F1F"/>
                <w:sz w:val="22"/>
              </w:rPr>
              <w:t>recomienda</w:t>
            </w:r>
            <w:r>
              <w:rPr>
                <w:color w:val="231F1F"/>
                <w:spacing w:val="25"/>
                <w:sz w:val="22"/>
              </w:rPr>
              <w:t> </w:t>
            </w:r>
            <w:r>
              <w:rPr>
                <w:color w:val="231F1F"/>
                <w:sz w:val="22"/>
              </w:rPr>
              <w:t>la</w:t>
            </w:r>
            <w:r>
              <w:rPr>
                <w:color w:val="231F1F"/>
                <w:spacing w:val="23"/>
                <w:sz w:val="22"/>
              </w:rPr>
              <w:t> </w:t>
            </w:r>
            <w:r>
              <w:rPr>
                <w:i/>
                <w:color w:val="231F1F"/>
                <w:sz w:val="22"/>
              </w:rPr>
              <w:t>amnioscopia</w:t>
            </w:r>
            <w:r>
              <w:rPr>
                <w:i/>
                <w:color w:val="231F1F"/>
                <w:spacing w:val="23"/>
                <w:sz w:val="22"/>
              </w:rPr>
              <w:t> </w:t>
            </w:r>
            <w:r>
              <w:rPr>
                <w:color w:val="231F1F"/>
                <w:sz w:val="22"/>
              </w:rPr>
              <w:t>en</w:t>
            </w:r>
            <w:r>
              <w:rPr>
                <w:color w:val="231F1F"/>
                <w:spacing w:val="23"/>
                <w:sz w:val="22"/>
              </w:rPr>
              <w:t> </w:t>
            </w:r>
            <w:r>
              <w:rPr>
                <w:color w:val="231F1F"/>
                <w:sz w:val="22"/>
              </w:rPr>
              <w:t>la</w:t>
            </w:r>
            <w:r>
              <w:rPr>
                <w:color w:val="231F1F"/>
                <w:spacing w:val="23"/>
                <w:sz w:val="22"/>
              </w:rPr>
              <w:t> </w:t>
            </w:r>
            <w:r>
              <w:rPr>
                <w:color w:val="231F1F"/>
                <w:sz w:val="22"/>
              </w:rPr>
              <w:t>valoración</w:t>
            </w:r>
            <w:r>
              <w:rPr>
                <w:color w:val="231F1F"/>
                <w:spacing w:val="23"/>
                <w:sz w:val="22"/>
              </w:rPr>
              <w:t> </w:t>
            </w:r>
            <w:r>
              <w:rPr>
                <w:color w:val="231F1F"/>
                <w:sz w:val="22"/>
              </w:rPr>
              <w:t>inicial</w:t>
            </w:r>
            <w:r>
              <w:rPr>
                <w:color w:val="231F1F"/>
                <w:spacing w:val="25"/>
                <w:sz w:val="22"/>
              </w:rPr>
              <w:t> </w:t>
            </w:r>
            <w:r>
              <w:rPr>
                <w:color w:val="231F1F"/>
                <w:sz w:val="22"/>
              </w:rPr>
              <w:t>de</w:t>
            </w:r>
            <w:r>
              <w:rPr>
                <w:color w:val="231F1F"/>
                <w:spacing w:val="23"/>
                <w:sz w:val="22"/>
              </w:rPr>
              <w:t> </w:t>
            </w:r>
            <w:r>
              <w:rPr>
                <w:color w:val="231F1F"/>
                <w:sz w:val="22"/>
              </w:rPr>
              <w:t>la</w:t>
            </w:r>
            <w:r>
              <w:rPr>
                <w:color w:val="231F1F"/>
                <w:spacing w:val="23"/>
                <w:sz w:val="22"/>
              </w:rPr>
              <w:t> </w:t>
            </w:r>
            <w:r>
              <w:rPr>
                <w:color w:val="231F1F"/>
                <w:sz w:val="22"/>
              </w:rPr>
              <w:t>mujer</w:t>
            </w:r>
            <w:r>
              <w:rPr>
                <w:color w:val="231F1F"/>
                <w:spacing w:val="23"/>
                <w:sz w:val="22"/>
              </w:rPr>
              <w:t> </w:t>
            </w:r>
            <w:r>
              <w:rPr>
                <w:color w:val="231F1F"/>
                <w:sz w:val="22"/>
              </w:rPr>
              <w:t>de</w:t>
            </w:r>
            <w:r>
              <w:rPr>
                <w:color w:val="231F1F"/>
                <w:spacing w:val="23"/>
                <w:sz w:val="22"/>
              </w:rPr>
              <w:t> </w:t>
            </w:r>
            <w:r>
              <w:rPr>
                <w:color w:val="231F1F"/>
                <w:sz w:val="22"/>
              </w:rPr>
              <w:t>bajo</w:t>
            </w:r>
            <w:r>
              <w:rPr>
                <w:color w:val="231F1F"/>
                <w:spacing w:val="23"/>
                <w:sz w:val="22"/>
              </w:rPr>
              <w:t> </w:t>
            </w:r>
            <w:r>
              <w:rPr>
                <w:color w:val="231F1F"/>
                <w:sz w:val="22"/>
              </w:rPr>
              <w:t>riesgo en trabajo de parto.</w:t>
            </w:r>
          </w:p>
        </w:tc>
      </w:tr>
      <w:tr>
        <w:trPr>
          <w:trHeight w:val="681" w:hRule="atLeast"/>
        </w:trPr>
        <w:tc>
          <w:tcPr>
            <w:tcW w:w="456" w:type="dxa"/>
          </w:tcPr>
          <w:p>
            <w:pPr>
              <w:pStyle w:val="TableParagraph"/>
              <w:spacing w:before="178"/>
              <w:ind w:left="82" w:right="43"/>
              <w:jc w:val="center"/>
              <w:rPr>
                <w:sz w:val="22"/>
              </w:rPr>
            </w:pPr>
            <w:r>
              <w:rPr>
                <w:color w:val="231F1F"/>
                <w:spacing w:val="-10"/>
                <w:w w:val="115"/>
                <w:sz w:val="22"/>
              </w:rPr>
              <w:t>A</w:t>
            </w:r>
          </w:p>
        </w:tc>
        <w:tc>
          <w:tcPr>
            <w:tcW w:w="8050" w:type="dxa"/>
          </w:tcPr>
          <w:p>
            <w:pPr>
              <w:pStyle w:val="TableParagraph"/>
              <w:spacing w:line="244" w:lineRule="auto" w:before="44"/>
              <w:ind w:left="120" w:right="155"/>
              <w:rPr>
                <w:sz w:val="22"/>
              </w:rPr>
            </w:pPr>
            <w:r>
              <w:rPr>
                <w:color w:val="231F1F"/>
                <w:w w:val="105"/>
                <w:sz w:val="22"/>
              </w:rPr>
              <w:t>No</w:t>
            </w:r>
            <w:r>
              <w:rPr>
                <w:color w:val="231F1F"/>
                <w:spacing w:val="27"/>
                <w:w w:val="105"/>
                <w:sz w:val="22"/>
              </w:rPr>
              <w:t> </w:t>
            </w:r>
            <w:r>
              <w:rPr>
                <w:color w:val="231F1F"/>
                <w:w w:val="105"/>
                <w:sz w:val="22"/>
              </w:rPr>
              <w:t>se</w:t>
            </w:r>
            <w:r>
              <w:rPr>
                <w:color w:val="231F1F"/>
                <w:spacing w:val="25"/>
                <w:w w:val="105"/>
                <w:sz w:val="22"/>
              </w:rPr>
              <w:t> </w:t>
            </w:r>
            <w:r>
              <w:rPr>
                <w:color w:val="231F1F"/>
                <w:w w:val="105"/>
                <w:sz w:val="22"/>
              </w:rPr>
              <w:t>aconseja</w:t>
            </w:r>
            <w:r>
              <w:rPr>
                <w:color w:val="231F1F"/>
                <w:spacing w:val="27"/>
                <w:w w:val="105"/>
                <w:sz w:val="22"/>
              </w:rPr>
              <w:t> </w:t>
            </w:r>
            <w:r>
              <w:rPr>
                <w:color w:val="231F1F"/>
                <w:w w:val="105"/>
                <w:sz w:val="22"/>
              </w:rPr>
              <w:t>el</w:t>
            </w:r>
            <w:r>
              <w:rPr>
                <w:color w:val="231F1F"/>
                <w:spacing w:val="25"/>
                <w:w w:val="105"/>
                <w:sz w:val="22"/>
              </w:rPr>
              <w:t> </w:t>
            </w:r>
            <w:r>
              <w:rPr>
                <w:color w:val="231F1F"/>
                <w:w w:val="105"/>
                <w:sz w:val="22"/>
              </w:rPr>
              <w:t>uso</w:t>
            </w:r>
            <w:r>
              <w:rPr>
                <w:color w:val="231F1F"/>
                <w:spacing w:val="27"/>
                <w:w w:val="105"/>
                <w:sz w:val="22"/>
              </w:rPr>
              <w:t> </w:t>
            </w:r>
            <w:r>
              <w:rPr>
                <w:color w:val="231F1F"/>
                <w:w w:val="105"/>
                <w:sz w:val="22"/>
              </w:rPr>
              <w:t>de</w:t>
            </w:r>
            <w:r>
              <w:rPr>
                <w:color w:val="231F1F"/>
                <w:spacing w:val="25"/>
                <w:w w:val="105"/>
                <w:sz w:val="22"/>
              </w:rPr>
              <w:t> </w:t>
            </w:r>
            <w:r>
              <w:rPr>
                <w:color w:val="231F1F"/>
                <w:w w:val="105"/>
                <w:sz w:val="22"/>
              </w:rPr>
              <w:t>la</w:t>
            </w:r>
            <w:r>
              <w:rPr>
                <w:color w:val="231F1F"/>
                <w:spacing w:val="29"/>
                <w:w w:val="105"/>
                <w:sz w:val="22"/>
              </w:rPr>
              <w:t> </w:t>
            </w:r>
            <w:r>
              <w:rPr>
                <w:i/>
                <w:color w:val="231F1F"/>
                <w:w w:val="105"/>
                <w:sz w:val="22"/>
              </w:rPr>
              <w:t>cardiotocografía</w:t>
            </w:r>
            <w:r>
              <w:rPr>
                <w:i/>
                <w:color w:val="231F1F"/>
                <w:spacing w:val="23"/>
                <w:w w:val="105"/>
                <w:sz w:val="22"/>
              </w:rPr>
              <w:t> </w:t>
            </w:r>
            <w:r>
              <w:rPr>
                <w:color w:val="231F1F"/>
                <w:w w:val="105"/>
                <w:sz w:val="22"/>
              </w:rPr>
              <w:t>en</w:t>
            </w:r>
            <w:r>
              <w:rPr>
                <w:color w:val="231F1F"/>
                <w:spacing w:val="27"/>
                <w:w w:val="105"/>
                <w:sz w:val="22"/>
              </w:rPr>
              <w:t> </w:t>
            </w:r>
            <w:r>
              <w:rPr>
                <w:color w:val="231F1F"/>
                <w:w w:val="105"/>
                <w:sz w:val="22"/>
              </w:rPr>
              <w:t>admisión</w:t>
            </w:r>
            <w:r>
              <w:rPr>
                <w:color w:val="231F1F"/>
                <w:spacing w:val="27"/>
                <w:w w:val="105"/>
                <w:sz w:val="22"/>
              </w:rPr>
              <w:t> </w:t>
            </w:r>
            <w:r>
              <w:rPr>
                <w:color w:val="231F1F"/>
                <w:w w:val="105"/>
                <w:sz w:val="22"/>
              </w:rPr>
              <w:t>en</w:t>
            </w:r>
            <w:r>
              <w:rPr>
                <w:color w:val="231F1F"/>
                <w:spacing w:val="27"/>
                <w:w w:val="105"/>
                <w:sz w:val="22"/>
              </w:rPr>
              <w:t> </w:t>
            </w:r>
            <w:r>
              <w:rPr>
                <w:color w:val="231F1F"/>
                <w:w w:val="105"/>
                <w:sz w:val="22"/>
              </w:rPr>
              <w:t>embarazos</w:t>
            </w:r>
            <w:r>
              <w:rPr>
                <w:color w:val="231F1F"/>
                <w:spacing w:val="27"/>
                <w:w w:val="105"/>
                <w:sz w:val="22"/>
              </w:rPr>
              <w:t> </w:t>
            </w:r>
            <w:r>
              <w:rPr>
                <w:color w:val="231F1F"/>
                <w:w w:val="105"/>
                <w:sz w:val="22"/>
              </w:rPr>
              <w:t>de</w:t>
            </w:r>
            <w:r>
              <w:rPr>
                <w:color w:val="231F1F"/>
                <w:spacing w:val="26"/>
                <w:w w:val="105"/>
                <w:sz w:val="22"/>
              </w:rPr>
              <w:t> </w:t>
            </w:r>
            <w:r>
              <w:rPr>
                <w:color w:val="231F1F"/>
                <w:w w:val="105"/>
                <w:sz w:val="22"/>
              </w:rPr>
              <w:t>bajo </w:t>
            </w:r>
            <w:r>
              <w:rPr>
                <w:color w:val="231F1F"/>
                <w:spacing w:val="-2"/>
                <w:w w:val="105"/>
                <w:sz w:val="22"/>
              </w:rPr>
              <w:t>riesgo.</w:t>
            </w:r>
          </w:p>
        </w:tc>
      </w:tr>
    </w:tbl>
    <w:p>
      <w:pPr>
        <w:pStyle w:val="TableParagraph"/>
        <w:spacing w:after="0" w:line="244" w:lineRule="auto"/>
        <w:rPr>
          <w:sz w:val="22"/>
        </w:rPr>
        <w:sectPr>
          <w:pgSz w:w="11900" w:h="16840"/>
          <w:pgMar w:header="0" w:footer="622" w:top="1640" w:bottom="820" w:left="1417" w:right="1559"/>
        </w:sectPr>
      </w:pPr>
    </w:p>
    <w:p>
      <w:pPr>
        <w:pStyle w:val="Heading2"/>
        <w:numPr>
          <w:ilvl w:val="2"/>
          <w:numId w:val="2"/>
        </w:numPr>
        <w:tabs>
          <w:tab w:pos="1002" w:val="left" w:leader="none"/>
          <w:tab w:pos="1005" w:val="left" w:leader="none"/>
        </w:tabs>
        <w:spacing w:line="232" w:lineRule="auto" w:before="77" w:after="0"/>
        <w:ind w:left="1005" w:right="1251" w:hanging="724"/>
        <w:jc w:val="left"/>
      </w:pPr>
      <w:bookmarkStart w:name="_TOC_250042" w:id="14"/>
      <w:r>
        <w:rPr>
          <w:color w:val="231F1F"/>
        </w:rPr>
        <w:t>Intervenciones rutinarias posibles durante la</w:t>
      </w:r>
      <w:r>
        <w:rPr>
          <w:color w:val="231F1F"/>
          <w:spacing w:val="80"/>
        </w:rPr>
        <w:t> </w:t>
      </w:r>
      <w:bookmarkEnd w:id="14"/>
      <w:r>
        <w:rPr>
          <w:color w:val="231F1F"/>
          <w:spacing w:val="-2"/>
        </w:rPr>
        <w:t>dilatación</w:t>
      </w:r>
    </w:p>
    <w:p>
      <w:pPr>
        <w:pStyle w:val="BodyText"/>
        <w:spacing w:before="24"/>
        <w:rPr>
          <w:sz w:val="20"/>
        </w:rPr>
      </w:pPr>
      <w:r>
        <w:rPr>
          <w:sz w:val="20"/>
        </w:rPr>
        <mc:AlternateContent>
          <mc:Choice Requires="wps">
            <w:drawing>
              <wp:anchor distT="0" distB="0" distL="0" distR="0" allowOverlap="1" layoutInCell="1" locked="0" behindDoc="1" simplePos="0" relativeHeight="487601152">
                <wp:simplePos x="0" y="0"/>
                <wp:positionH relativeFrom="page">
                  <wp:posOffset>1082675</wp:posOffset>
                </wp:positionH>
                <wp:positionV relativeFrom="paragraph">
                  <wp:posOffset>180281</wp:posOffset>
                </wp:positionV>
                <wp:extent cx="5400040" cy="2971800"/>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5400040" cy="2971800"/>
                        </a:xfrm>
                        <a:prstGeom prst="rect">
                          <a:avLst/>
                        </a:prstGeom>
                        <a:ln w="6350">
                          <a:solidFill>
                            <a:srgbClr val="A30046"/>
                          </a:solidFill>
                          <a:prstDash val="solid"/>
                        </a:ln>
                      </wps:spPr>
                      <wps:txbx>
                        <w:txbxContent>
                          <w:p>
                            <w:pPr>
                              <w:numPr>
                                <w:ilvl w:val="0"/>
                                <w:numId w:val="22"/>
                              </w:numPr>
                              <w:tabs>
                                <w:tab w:pos="322" w:val="left" w:leader="none"/>
                              </w:tabs>
                              <w:spacing w:before="56"/>
                              <w:ind w:left="322" w:right="0" w:hanging="218"/>
                              <w:jc w:val="left"/>
                              <w:rPr>
                                <w:sz w:val="22"/>
                              </w:rPr>
                            </w:pPr>
                            <w:r>
                              <w:rPr>
                                <w:color w:val="231F1F"/>
                                <w:sz w:val="22"/>
                              </w:rPr>
                              <w:t>¿Cuál</w:t>
                            </w:r>
                            <w:r>
                              <w:rPr>
                                <w:color w:val="231F1F"/>
                                <w:spacing w:val="23"/>
                                <w:sz w:val="22"/>
                              </w:rPr>
                              <w:t> </w:t>
                            </w:r>
                            <w:r>
                              <w:rPr>
                                <w:color w:val="231F1F"/>
                                <w:sz w:val="22"/>
                              </w:rPr>
                              <w:t>es</w:t>
                            </w:r>
                            <w:r>
                              <w:rPr>
                                <w:color w:val="231F1F"/>
                                <w:spacing w:val="25"/>
                                <w:sz w:val="22"/>
                              </w:rPr>
                              <w:t> </w:t>
                            </w:r>
                            <w:r>
                              <w:rPr>
                                <w:color w:val="231F1F"/>
                                <w:sz w:val="22"/>
                              </w:rPr>
                              <w:t>la</w:t>
                            </w:r>
                            <w:r>
                              <w:rPr>
                                <w:color w:val="231F1F"/>
                                <w:spacing w:val="26"/>
                                <w:sz w:val="22"/>
                              </w:rPr>
                              <w:t> </w:t>
                            </w:r>
                            <w:r>
                              <w:rPr>
                                <w:color w:val="231F1F"/>
                                <w:sz w:val="22"/>
                              </w:rPr>
                              <w:t>efectividad</w:t>
                            </w:r>
                            <w:r>
                              <w:rPr>
                                <w:color w:val="231F1F"/>
                                <w:spacing w:val="26"/>
                                <w:sz w:val="22"/>
                              </w:rPr>
                              <w:t> </w:t>
                            </w:r>
                            <w:r>
                              <w:rPr>
                                <w:color w:val="231F1F"/>
                                <w:sz w:val="22"/>
                              </w:rPr>
                              <w:t>del</w:t>
                            </w:r>
                            <w:r>
                              <w:rPr>
                                <w:color w:val="231F1F"/>
                                <w:spacing w:val="26"/>
                                <w:sz w:val="22"/>
                              </w:rPr>
                              <w:t> </w:t>
                            </w:r>
                            <w:r>
                              <w:rPr>
                                <w:i/>
                                <w:color w:val="231F1F"/>
                                <w:sz w:val="22"/>
                              </w:rPr>
                              <w:t>enema</w:t>
                            </w:r>
                            <w:r>
                              <w:rPr>
                                <w:i/>
                                <w:color w:val="231F1F"/>
                                <w:spacing w:val="26"/>
                                <w:sz w:val="22"/>
                              </w:rPr>
                              <w:t> </w:t>
                            </w:r>
                            <w:r>
                              <w:rPr>
                                <w:i/>
                                <w:color w:val="231F1F"/>
                                <w:sz w:val="22"/>
                              </w:rPr>
                              <w:t>rutinario</w:t>
                            </w:r>
                            <w:r>
                              <w:rPr>
                                <w:i/>
                                <w:color w:val="231F1F"/>
                                <w:spacing w:val="28"/>
                                <w:sz w:val="22"/>
                              </w:rPr>
                              <w:t> </w:t>
                            </w:r>
                            <w:r>
                              <w:rPr>
                                <w:color w:val="231F1F"/>
                                <w:sz w:val="22"/>
                              </w:rPr>
                              <w:t>durante</w:t>
                            </w:r>
                            <w:r>
                              <w:rPr>
                                <w:color w:val="231F1F"/>
                                <w:spacing w:val="26"/>
                                <w:sz w:val="22"/>
                              </w:rPr>
                              <w:t> </w:t>
                            </w:r>
                            <w:r>
                              <w:rPr>
                                <w:color w:val="231F1F"/>
                                <w:sz w:val="22"/>
                              </w:rPr>
                              <w:t>el</w:t>
                            </w:r>
                            <w:r>
                              <w:rPr>
                                <w:color w:val="231F1F"/>
                                <w:spacing w:val="26"/>
                                <w:sz w:val="22"/>
                              </w:rPr>
                              <w:t> </w:t>
                            </w:r>
                            <w:r>
                              <w:rPr>
                                <w:color w:val="231F1F"/>
                                <w:spacing w:val="-2"/>
                                <w:sz w:val="22"/>
                              </w:rPr>
                              <w:t>parto?</w:t>
                            </w:r>
                          </w:p>
                          <w:p>
                            <w:pPr>
                              <w:numPr>
                                <w:ilvl w:val="0"/>
                                <w:numId w:val="22"/>
                              </w:numPr>
                              <w:tabs>
                                <w:tab w:pos="322" w:val="left" w:leader="none"/>
                              </w:tabs>
                              <w:spacing w:before="145"/>
                              <w:ind w:left="322" w:right="0" w:hanging="218"/>
                              <w:jc w:val="left"/>
                              <w:rPr>
                                <w:sz w:val="22"/>
                              </w:rPr>
                            </w:pPr>
                            <w:r>
                              <w:rPr>
                                <w:color w:val="231F1F"/>
                                <w:sz w:val="22"/>
                              </w:rPr>
                              <w:t>¿Cuál</w:t>
                            </w:r>
                            <w:r>
                              <w:rPr>
                                <w:color w:val="231F1F"/>
                                <w:spacing w:val="27"/>
                                <w:sz w:val="22"/>
                              </w:rPr>
                              <w:t> </w:t>
                            </w:r>
                            <w:r>
                              <w:rPr>
                                <w:color w:val="231F1F"/>
                                <w:sz w:val="22"/>
                              </w:rPr>
                              <w:t>es</w:t>
                            </w:r>
                            <w:r>
                              <w:rPr>
                                <w:color w:val="231F1F"/>
                                <w:spacing w:val="28"/>
                                <w:sz w:val="22"/>
                              </w:rPr>
                              <w:t> </w:t>
                            </w:r>
                            <w:r>
                              <w:rPr>
                                <w:color w:val="231F1F"/>
                                <w:sz w:val="22"/>
                              </w:rPr>
                              <w:t>la</w:t>
                            </w:r>
                            <w:r>
                              <w:rPr>
                                <w:color w:val="231F1F"/>
                                <w:spacing w:val="27"/>
                                <w:sz w:val="22"/>
                              </w:rPr>
                              <w:t> </w:t>
                            </w:r>
                            <w:r>
                              <w:rPr>
                                <w:color w:val="231F1F"/>
                                <w:sz w:val="22"/>
                              </w:rPr>
                              <w:t>efectividad</w:t>
                            </w:r>
                            <w:r>
                              <w:rPr>
                                <w:color w:val="231F1F"/>
                                <w:spacing w:val="30"/>
                                <w:sz w:val="22"/>
                              </w:rPr>
                              <w:t> </w:t>
                            </w:r>
                            <w:r>
                              <w:rPr>
                                <w:color w:val="231F1F"/>
                                <w:sz w:val="22"/>
                              </w:rPr>
                              <w:t>del</w:t>
                            </w:r>
                            <w:r>
                              <w:rPr>
                                <w:color w:val="231F1F"/>
                                <w:spacing w:val="27"/>
                                <w:sz w:val="22"/>
                              </w:rPr>
                              <w:t> </w:t>
                            </w:r>
                            <w:r>
                              <w:rPr>
                                <w:i/>
                                <w:color w:val="231F1F"/>
                                <w:sz w:val="22"/>
                              </w:rPr>
                              <w:t>rasurado</w:t>
                            </w:r>
                            <w:r>
                              <w:rPr>
                                <w:i/>
                                <w:color w:val="231F1F"/>
                                <w:spacing w:val="28"/>
                                <w:sz w:val="22"/>
                              </w:rPr>
                              <w:t> </w:t>
                            </w:r>
                            <w:r>
                              <w:rPr>
                                <w:i/>
                                <w:color w:val="231F1F"/>
                                <w:sz w:val="22"/>
                              </w:rPr>
                              <w:t>perineal</w:t>
                            </w:r>
                            <w:r>
                              <w:rPr>
                                <w:i/>
                                <w:color w:val="231F1F"/>
                                <w:spacing w:val="29"/>
                                <w:sz w:val="22"/>
                              </w:rPr>
                              <w:t> </w:t>
                            </w:r>
                            <w:r>
                              <w:rPr>
                                <w:color w:val="231F1F"/>
                                <w:sz w:val="22"/>
                              </w:rPr>
                              <w:t>rutinario</w:t>
                            </w:r>
                            <w:r>
                              <w:rPr>
                                <w:color w:val="231F1F"/>
                                <w:spacing w:val="28"/>
                                <w:sz w:val="22"/>
                              </w:rPr>
                              <w:t> </w:t>
                            </w:r>
                            <w:r>
                              <w:rPr>
                                <w:color w:val="231F1F"/>
                                <w:sz w:val="22"/>
                              </w:rPr>
                              <w:t>durante</w:t>
                            </w:r>
                            <w:r>
                              <w:rPr>
                                <w:color w:val="231F1F"/>
                                <w:spacing w:val="27"/>
                                <w:sz w:val="22"/>
                              </w:rPr>
                              <w:t> </w:t>
                            </w:r>
                            <w:r>
                              <w:rPr>
                                <w:color w:val="231F1F"/>
                                <w:sz w:val="22"/>
                              </w:rPr>
                              <w:t>el</w:t>
                            </w:r>
                            <w:r>
                              <w:rPr>
                                <w:color w:val="231F1F"/>
                                <w:spacing w:val="30"/>
                                <w:sz w:val="22"/>
                              </w:rPr>
                              <w:t> </w:t>
                            </w:r>
                            <w:r>
                              <w:rPr>
                                <w:color w:val="231F1F"/>
                                <w:spacing w:val="-2"/>
                                <w:sz w:val="22"/>
                              </w:rPr>
                              <w:t>parto?</w:t>
                            </w:r>
                          </w:p>
                          <w:p>
                            <w:pPr>
                              <w:numPr>
                                <w:ilvl w:val="0"/>
                                <w:numId w:val="22"/>
                              </w:numPr>
                              <w:tabs>
                                <w:tab w:pos="322" w:val="left" w:leader="none"/>
                              </w:tabs>
                              <w:spacing w:before="122"/>
                              <w:ind w:left="322" w:right="0" w:hanging="218"/>
                              <w:jc w:val="left"/>
                              <w:rPr>
                                <w:sz w:val="22"/>
                              </w:rPr>
                            </w:pPr>
                            <w:r>
                              <w:rPr>
                                <w:color w:val="231F1F"/>
                                <w:w w:val="105"/>
                                <w:sz w:val="22"/>
                              </w:rPr>
                              <w:t>¿Cuál</w:t>
                            </w:r>
                            <w:r>
                              <w:rPr>
                                <w:color w:val="231F1F"/>
                                <w:spacing w:val="-4"/>
                                <w:w w:val="105"/>
                                <w:sz w:val="22"/>
                              </w:rPr>
                              <w:t> </w:t>
                            </w:r>
                            <w:r>
                              <w:rPr>
                                <w:color w:val="231F1F"/>
                                <w:w w:val="105"/>
                                <w:sz w:val="22"/>
                              </w:rPr>
                              <w:t>es</w:t>
                            </w:r>
                            <w:r>
                              <w:rPr>
                                <w:color w:val="231F1F"/>
                                <w:spacing w:val="1"/>
                                <w:w w:val="105"/>
                                <w:sz w:val="22"/>
                              </w:rPr>
                              <w:t> </w:t>
                            </w:r>
                            <w:r>
                              <w:rPr>
                                <w:color w:val="231F1F"/>
                                <w:w w:val="105"/>
                                <w:sz w:val="22"/>
                              </w:rPr>
                              <w:t>la</w:t>
                            </w:r>
                            <w:r>
                              <w:rPr>
                                <w:color w:val="231F1F"/>
                                <w:spacing w:val="1"/>
                                <w:w w:val="105"/>
                                <w:sz w:val="22"/>
                              </w:rPr>
                              <w:t> </w:t>
                            </w:r>
                            <w:r>
                              <w:rPr>
                                <w:color w:val="231F1F"/>
                                <w:w w:val="105"/>
                                <w:sz w:val="22"/>
                              </w:rPr>
                              <w:t>efectividad</w:t>
                            </w:r>
                            <w:r>
                              <w:rPr>
                                <w:color w:val="231F1F"/>
                                <w:spacing w:val="1"/>
                                <w:w w:val="105"/>
                                <w:sz w:val="22"/>
                              </w:rPr>
                              <w:t> </w:t>
                            </w:r>
                            <w:r>
                              <w:rPr>
                                <w:color w:val="231F1F"/>
                                <w:w w:val="105"/>
                                <w:sz w:val="22"/>
                              </w:rPr>
                              <w:t>de</w:t>
                            </w:r>
                            <w:r>
                              <w:rPr>
                                <w:color w:val="231F1F"/>
                                <w:spacing w:val="-2"/>
                                <w:w w:val="105"/>
                                <w:sz w:val="22"/>
                              </w:rPr>
                              <w:t> </w:t>
                            </w:r>
                            <w:r>
                              <w:rPr>
                                <w:color w:val="231F1F"/>
                                <w:w w:val="105"/>
                                <w:sz w:val="22"/>
                              </w:rPr>
                              <w:t>la </w:t>
                            </w:r>
                            <w:r>
                              <w:rPr>
                                <w:i/>
                                <w:color w:val="231F1F"/>
                                <w:w w:val="105"/>
                                <w:sz w:val="22"/>
                              </w:rPr>
                              <w:t>atención</w:t>
                            </w:r>
                            <w:r>
                              <w:rPr>
                                <w:i/>
                                <w:color w:val="231F1F"/>
                                <w:spacing w:val="-3"/>
                                <w:w w:val="105"/>
                                <w:sz w:val="22"/>
                              </w:rPr>
                              <w:t> </w:t>
                            </w:r>
                            <w:r>
                              <w:rPr>
                                <w:i/>
                                <w:color w:val="231F1F"/>
                                <w:w w:val="105"/>
                                <w:sz w:val="22"/>
                              </w:rPr>
                              <w:t>una</w:t>
                            </w:r>
                            <w:r>
                              <w:rPr>
                                <w:i/>
                                <w:color w:val="231F1F"/>
                                <w:spacing w:val="-1"/>
                                <w:w w:val="105"/>
                                <w:sz w:val="22"/>
                              </w:rPr>
                              <w:t> </w:t>
                            </w:r>
                            <w:r>
                              <w:rPr>
                                <w:i/>
                                <w:color w:val="231F1F"/>
                                <w:w w:val="105"/>
                                <w:sz w:val="22"/>
                              </w:rPr>
                              <w:t>a</w:t>
                            </w:r>
                            <w:r>
                              <w:rPr>
                                <w:i/>
                                <w:color w:val="231F1F"/>
                                <w:spacing w:val="-1"/>
                                <w:w w:val="105"/>
                                <w:sz w:val="22"/>
                              </w:rPr>
                              <w:t> </w:t>
                            </w:r>
                            <w:r>
                              <w:rPr>
                                <w:i/>
                                <w:color w:val="231F1F"/>
                                <w:w w:val="105"/>
                                <w:sz w:val="22"/>
                              </w:rPr>
                              <w:t>una</w:t>
                            </w:r>
                            <w:r>
                              <w:rPr>
                                <w:i/>
                                <w:color w:val="231F1F"/>
                                <w:spacing w:val="-1"/>
                                <w:w w:val="105"/>
                                <w:sz w:val="22"/>
                              </w:rPr>
                              <w:t> </w:t>
                            </w:r>
                            <w:r>
                              <w:rPr>
                                <w:color w:val="231F1F"/>
                                <w:w w:val="105"/>
                                <w:sz w:val="22"/>
                              </w:rPr>
                              <w:t>durante</w:t>
                            </w:r>
                            <w:r>
                              <w:rPr>
                                <w:color w:val="231F1F"/>
                                <w:spacing w:val="-2"/>
                                <w:w w:val="105"/>
                                <w:sz w:val="22"/>
                              </w:rPr>
                              <w:t> </w:t>
                            </w:r>
                            <w:r>
                              <w:rPr>
                                <w:color w:val="231F1F"/>
                                <w:w w:val="105"/>
                                <w:sz w:val="22"/>
                              </w:rPr>
                              <w:t>el</w:t>
                            </w:r>
                            <w:r>
                              <w:rPr>
                                <w:color w:val="231F1F"/>
                                <w:spacing w:val="-2"/>
                                <w:w w:val="105"/>
                                <w:sz w:val="22"/>
                              </w:rPr>
                              <w:t> parto?</w:t>
                            </w:r>
                          </w:p>
                          <w:p>
                            <w:pPr>
                              <w:numPr>
                                <w:ilvl w:val="0"/>
                                <w:numId w:val="22"/>
                              </w:numPr>
                              <w:tabs>
                                <w:tab w:pos="324" w:val="left" w:leader="none"/>
                              </w:tabs>
                              <w:spacing w:line="244" w:lineRule="auto" w:before="121"/>
                              <w:ind w:left="324" w:right="205" w:hanging="220"/>
                              <w:jc w:val="left"/>
                              <w:rPr>
                                <w:sz w:val="22"/>
                              </w:rPr>
                            </w:pPr>
                            <w:r>
                              <w:rPr>
                                <w:color w:val="231F1F"/>
                                <w:w w:val="105"/>
                                <w:sz w:val="22"/>
                              </w:rPr>
                              <w:t>¿Qué</w:t>
                            </w:r>
                            <w:r>
                              <w:rPr>
                                <w:color w:val="231F1F"/>
                                <w:spacing w:val="-6"/>
                                <w:w w:val="105"/>
                                <w:sz w:val="22"/>
                              </w:rPr>
                              <w:t> </w:t>
                            </w:r>
                            <w:r>
                              <w:rPr>
                                <w:color w:val="231F1F"/>
                                <w:w w:val="105"/>
                                <w:sz w:val="22"/>
                              </w:rPr>
                              <w:t>efecto</w:t>
                            </w:r>
                            <w:r>
                              <w:rPr>
                                <w:color w:val="231F1F"/>
                                <w:spacing w:val="-7"/>
                                <w:w w:val="105"/>
                                <w:sz w:val="22"/>
                              </w:rPr>
                              <w:t> </w:t>
                            </w:r>
                            <w:r>
                              <w:rPr>
                                <w:color w:val="231F1F"/>
                                <w:w w:val="105"/>
                                <w:sz w:val="22"/>
                              </w:rPr>
                              <w:t>tiene</w:t>
                            </w:r>
                            <w:r>
                              <w:rPr>
                                <w:color w:val="231F1F"/>
                                <w:spacing w:val="-7"/>
                                <w:w w:val="105"/>
                                <w:sz w:val="22"/>
                              </w:rPr>
                              <w:t> </w:t>
                            </w:r>
                            <w:r>
                              <w:rPr>
                                <w:color w:val="231F1F"/>
                                <w:w w:val="105"/>
                                <w:sz w:val="22"/>
                              </w:rPr>
                              <w:t>la</w:t>
                            </w:r>
                            <w:r>
                              <w:rPr>
                                <w:color w:val="231F1F"/>
                                <w:spacing w:val="-6"/>
                                <w:w w:val="105"/>
                                <w:sz w:val="22"/>
                              </w:rPr>
                              <w:t> </w:t>
                            </w:r>
                            <w:r>
                              <w:rPr>
                                <w:color w:val="231F1F"/>
                                <w:w w:val="105"/>
                                <w:sz w:val="22"/>
                              </w:rPr>
                              <w:t>movilización</w:t>
                            </w:r>
                            <w:r>
                              <w:rPr>
                                <w:color w:val="231F1F"/>
                                <w:spacing w:val="-8"/>
                                <w:w w:val="105"/>
                                <w:sz w:val="22"/>
                              </w:rPr>
                              <w:t> </w:t>
                            </w:r>
                            <w:r>
                              <w:rPr>
                                <w:color w:val="231F1F"/>
                                <w:w w:val="105"/>
                                <w:sz w:val="22"/>
                              </w:rPr>
                              <w:t>y</w:t>
                            </w:r>
                            <w:r>
                              <w:rPr>
                                <w:color w:val="231F1F"/>
                                <w:spacing w:val="-7"/>
                                <w:w w:val="105"/>
                                <w:sz w:val="22"/>
                              </w:rPr>
                              <w:t> </w:t>
                            </w:r>
                            <w:r>
                              <w:rPr>
                                <w:color w:val="231F1F"/>
                                <w:w w:val="105"/>
                                <w:sz w:val="22"/>
                              </w:rPr>
                              <w:t>la</w:t>
                            </w:r>
                            <w:r>
                              <w:rPr>
                                <w:color w:val="231F1F"/>
                                <w:spacing w:val="-5"/>
                                <w:w w:val="105"/>
                                <w:sz w:val="22"/>
                              </w:rPr>
                              <w:t> </w:t>
                            </w:r>
                            <w:r>
                              <w:rPr>
                                <w:i/>
                                <w:color w:val="231F1F"/>
                                <w:w w:val="105"/>
                                <w:sz w:val="22"/>
                              </w:rPr>
                              <w:t>adopción</w:t>
                            </w:r>
                            <w:r>
                              <w:rPr>
                                <w:i/>
                                <w:color w:val="231F1F"/>
                                <w:spacing w:val="-9"/>
                                <w:w w:val="105"/>
                                <w:sz w:val="22"/>
                              </w:rPr>
                              <w:t> </w:t>
                            </w:r>
                            <w:r>
                              <w:rPr>
                                <w:i/>
                                <w:color w:val="231F1F"/>
                                <w:w w:val="105"/>
                                <w:sz w:val="22"/>
                              </w:rPr>
                              <w:t>de</w:t>
                            </w:r>
                            <w:r>
                              <w:rPr>
                                <w:i/>
                                <w:color w:val="231F1F"/>
                                <w:spacing w:val="-8"/>
                                <w:w w:val="105"/>
                                <w:sz w:val="22"/>
                              </w:rPr>
                              <w:t> </w:t>
                            </w:r>
                            <w:r>
                              <w:rPr>
                                <w:i/>
                                <w:color w:val="231F1F"/>
                                <w:w w:val="105"/>
                                <w:sz w:val="22"/>
                              </w:rPr>
                              <w:t>diferentes</w:t>
                            </w:r>
                            <w:r>
                              <w:rPr>
                                <w:i/>
                                <w:color w:val="231F1F"/>
                                <w:spacing w:val="-9"/>
                                <w:w w:val="105"/>
                                <w:sz w:val="22"/>
                              </w:rPr>
                              <w:t> </w:t>
                            </w:r>
                            <w:r>
                              <w:rPr>
                                <w:i/>
                                <w:color w:val="231F1F"/>
                                <w:w w:val="105"/>
                                <w:sz w:val="22"/>
                              </w:rPr>
                              <w:t>posiciones</w:t>
                            </w:r>
                            <w:r>
                              <w:rPr>
                                <w:i/>
                                <w:color w:val="231F1F"/>
                                <w:spacing w:val="-9"/>
                                <w:w w:val="105"/>
                                <w:sz w:val="22"/>
                              </w:rPr>
                              <w:t> </w:t>
                            </w:r>
                            <w:r>
                              <w:rPr>
                                <w:color w:val="231F1F"/>
                                <w:w w:val="105"/>
                                <w:sz w:val="22"/>
                              </w:rPr>
                              <w:t>sobre</w:t>
                            </w:r>
                            <w:r>
                              <w:rPr>
                                <w:color w:val="231F1F"/>
                                <w:spacing w:val="-7"/>
                                <w:w w:val="105"/>
                                <w:sz w:val="22"/>
                              </w:rPr>
                              <w:t> </w:t>
                            </w:r>
                            <w:r>
                              <w:rPr>
                                <w:color w:val="231F1F"/>
                                <w:w w:val="105"/>
                                <w:sz w:val="22"/>
                              </w:rPr>
                              <w:t>el</w:t>
                            </w:r>
                            <w:r>
                              <w:rPr>
                                <w:color w:val="231F1F"/>
                                <w:spacing w:val="-8"/>
                                <w:w w:val="105"/>
                                <w:sz w:val="22"/>
                              </w:rPr>
                              <w:t> </w:t>
                            </w:r>
                            <w:r>
                              <w:rPr>
                                <w:color w:val="231F1F"/>
                                <w:w w:val="105"/>
                                <w:sz w:val="22"/>
                              </w:rPr>
                              <w:t>parto y sus resultados?</w:t>
                            </w:r>
                          </w:p>
                          <w:p>
                            <w:pPr>
                              <w:numPr>
                                <w:ilvl w:val="0"/>
                                <w:numId w:val="22"/>
                              </w:numPr>
                              <w:tabs>
                                <w:tab w:pos="324" w:val="left" w:leader="none"/>
                              </w:tabs>
                              <w:spacing w:line="244" w:lineRule="auto" w:before="117"/>
                              <w:ind w:left="324" w:right="242" w:hanging="221"/>
                              <w:jc w:val="left"/>
                              <w:rPr>
                                <w:sz w:val="22"/>
                              </w:rPr>
                            </w:pPr>
                            <w:r>
                              <w:rPr>
                                <w:color w:val="231F1F"/>
                                <w:w w:val="105"/>
                                <w:sz w:val="22"/>
                              </w:rPr>
                              <w:t>¿Cuál</w:t>
                            </w:r>
                            <w:r>
                              <w:rPr>
                                <w:color w:val="231F1F"/>
                                <w:spacing w:val="-8"/>
                                <w:w w:val="105"/>
                                <w:sz w:val="22"/>
                              </w:rPr>
                              <w:t> </w:t>
                            </w:r>
                            <w:r>
                              <w:rPr>
                                <w:color w:val="231F1F"/>
                                <w:w w:val="105"/>
                                <w:sz w:val="22"/>
                              </w:rPr>
                              <w:t>es</w:t>
                            </w:r>
                            <w:r>
                              <w:rPr>
                                <w:color w:val="231F1F"/>
                                <w:spacing w:val="-7"/>
                                <w:w w:val="105"/>
                                <w:sz w:val="22"/>
                              </w:rPr>
                              <w:t> </w:t>
                            </w:r>
                            <w:r>
                              <w:rPr>
                                <w:color w:val="231F1F"/>
                                <w:w w:val="105"/>
                                <w:sz w:val="22"/>
                              </w:rPr>
                              <w:t>la</w:t>
                            </w:r>
                            <w:r>
                              <w:rPr>
                                <w:color w:val="231F1F"/>
                                <w:spacing w:val="-6"/>
                                <w:w w:val="105"/>
                                <w:sz w:val="22"/>
                              </w:rPr>
                              <w:t> </w:t>
                            </w:r>
                            <w:r>
                              <w:rPr>
                                <w:color w:val="231F1F"/>
                                <w:w w:val="105"/>
                                <w:sz w:val="22"/>
                              </w:rPr>
                              <w:t>efectividad</w:t>
                            </w:r>
                            <w:r>
                              <w:rPr>
                                <w:color w:val="231F1F"/>
                                <w:spacing w:val="-7"/>
                                <w:w w:val="105"/>
                                <w:sz w:val="22"/>
                              </w:rPr>
                              <w:t> </w:t>
                            </w:r>
                            <w:r>
                              <w:rPr>
                                <w:color w:val="231F1F"/>
                                <w:w w:val="105"/>
                                <w:sz w:val="22"/>
                              </w:rPr>
                              <w:t>de</w:t>
                            </w:r>
                            <w:r>
                              <w:rPr>
                                <w:color w:val="231F1F"/>
                                <w:spacing w:val="-7"/>
                                <w:w w:val="105"/>
                                <w:sz w:val="22"/>
                              </w:rPr>
                              <w:t> </w:t>
                            </w:r>
                            <w:r>
                              <w:rPr>
                                <w:color w:val="231F1F"/>
                                <w:w w:val="105"/>
                                <w:sz w:val="22"/>
                              </w:rPr>
                              <w:t>la</w:t>
                            </w:r>
                            <w:r>
                              <w:rPr>
                                <w:color w:val="231F1F"/>
                                <w:spacing w:val="-5"/>
                                <w:w w:val="105"/>
                                <w:sz w:val="22"/>
                              </w:rPr>
                              <w:t> </w:t>
                            </w:r>
                            <w:r>
                              <w:rPr>
                                <w:i/>
                                <w:color w:val="231F1F"/>
                                <w:w w:val="105"/>
                                <w:sz w:val="22"/>
                              </w:rPr>
                              <w:t>amniorrexis</w:t>
                            </w:r>
                            <w:r>
                              <w:rPr>
                                <w:i/>
                                <w:color w:val="231F1F"/>
                                <w:spacing w:val="-9"/>
                                <w:w w:val="105"/>
                                <w:sz w:val="22"/>
                              </w:rPr>
                              <w:t> </w:t>
                            </w:r>
                            <w:r>
                              <w:rPr>
                                <w:i/>
                                <w:color w:val="231F1F"/>
                                <w:w w:val="105"/>
                                <w:sz w:val="22"/>
                              </w:rPr>
                              <w:t>artificial</w:t>
                            </w:r>
                            <w:r>
                              <w:rPr>
                                <w:i/>
                                <w:color w:val="231F1F"/>
                                <w:spacing w:val="-9"/>
                                <w:w w:val="105"/>
                                <w:sz w:val="22"/>
                              </w:rPr>
                              <w:t> </w:t>
                            </w:r>
                            <w:r>
                              <w:rPr>
                                <w:i/>
                                <w:color w:val="231F1F"/>
                                <w:w w:val="105"/>
                                <w:sz w:val="22"/>
                              </w:rPr>
                              <w:t>rutinaria</w:t>
                            </w:r>
                            <w:r>
                              <w:rPr>
                                <w:i/>
                                <w:color w:val="231F1F"/>
                                <w:spacing w:val="-10"/>
                                <w:w w:val="105"/>
                                <w:sz w:val="22"/>
                              </w:rPr>
                              <w:t> </w:t>
                            </w:r>
                            <w:r>
                              <w:rPr>
                                <w:color w:val="231F1F"/>
                                <w:w w:val="105"/>
                                <w:sz w:val="22"/>
                              </w:rPr>
                              <w:t>y</w:t>
                            </w:r>
                            <w:r>
                              <w:rPr>
                                <w:color w:val="231F1F"/>
                                <w:spacing w:val="-6"/>
                                <w:w w:val="105"/>
                                <w:sz w:val="22"/>
                              </w:rPr>
                              <w:t> </w:t>
                            </w:r>
                            <w:r>
                              <w:rPr>
                                <w:color w:val="231F1F"/>
                                <w:w w:val="105"/>
                                <w:sz w:val="22"/>
                              </w:rPr>
                              <w:t>de</w:t>
                            </w:r>
                            <w:r>
                              <w:rPr>
                                <w:color w:val="231F1F"/>
                                <w:spacing w:val="-6"/>
                                <w:w w:val="105"/>
                                <w:sz w:val="22"/>
                              </w:rPr>
                              <w:t> </w:t>
                            </w:r>
                            <w:r>
                              <w:rPr>
                                <w:color w:val="231F1F"/>
                                <w:w w:val="105"/>
                                <w:sz w:val="22"/>
                              </w:rPr>
                              <w:t>la</w:t>
                            </w:r>
                            <w:r>
                              <w:rPr>
                                <w:color w:val="231F1F"/>
                                <w:spacing w:val="-6"/>
                                <w:w w:val="105"/>
                                <w:sz w:val="22"/>
                              </w:rPr>
                              <w:t> </w:t>
                            </w:r>
                            <w:r>
                              <w:rPr>
                                <w:color w:val="231F1F"/>
                                <w:w w:val="105"/>
                                <w:sz w:val="22"/>
                              </w:rPr>
                              <w:t>perfusión</w:t>
                            </w:r>
                            <w:r>
                              <w:rPr>
                                <w:color w:val="231F1F"/>
                                <w:spacing w:val="-7"/>
                                <w:w w:val="105"/>
                                <w:sz w:val="22"/>
                              </w:rPr>
                              <w:t> </w:t>
                            </w:r>
                            <w:r>
                              <w:rPr>
                                <w:color w:val="231F1F"/>
                                <w:w w:val="105"/>
                                <w:sz w:val="22"/>
                              </w:rPr>
                              <w:t>rutinaria de oxitocina?</w:t>
                            </w:r>
                          </w:p>
                          <w:p>
                            <w:pPr>
                              <w:numPr>
                                <w:ilvl w:val="0"/>
                                <w:numId w:val="22"/>
                              </w:numPr>
                              <w:tabs>
                                <w:tab w:pos="323" w:val="left" w:leader="none"/>
                              </w:tabs>
                              <w:spacing w:line="244" w:lineRule="auto" w:before="113"/>
                              <w:ind w:left="323" w:right="177" w:hanging="220"/>
                              <w:jc w:val="left"/>
                              <w:rPr>
                                <w:sz w:val="22"/>
                              </w:rPr>
                            </w:pPr>
                            <w:r>
                              <w:rPr>
                                <w:color w:val="231F1F"/>
                                <w:spacing w:val="-2"/>
                                <w:w w:val="110"/>
                                <w:sz w:val="22"/>
                              </w:rPr>
                              <w:t>¿Es</w:t>
                            </w:r>
                            <w:r>
                              <w:rPr>
                                <w:color w:val="231F1F"/>
                                <w:spacing w:val="-8"/>
                                <w:w w:val="110"/>
                                <w:sz w:val="22"/>
                              </w:rPr>
                              <w:t> </w:t>
                            </w:r>
                            <w:r>
                              <w:rPr>
                                <w:color w:val="231F1F"/>
                                <w:spacing w:val="-2"/>
                                <w:w w:val="110"/>
                                <w:sz w:val="22"/>
                              </w:rPr>
                              <w:t>necesario</w:t>
                            </w:r>
                            <w:r>
                              <w:rPr>
                                <w:color w:val="231F1F"/>
                                <w:spacing w:val="-7"/>
                                <w:w w:val="110"/>
                                <w:sz w:val="22"/>
                              </w:rPr>
                              <w:t> </w:t>
                            </w:r>
                            <w:r>
                              <w:rPr>
                                <w:color w:val="231F1F"/>
                                <w:spacing w:val="-2"/>
                                <w:w w:val="110"/>
                                <w:sz w:val="22"/>
                              </w:rPr>
                              <w:t>el</w:t>
                            </w:r>
                            <w:r>
                              <w:rPr>
                                <w:color w:val="231F1F"/>
                                <w:spacing w:val="-7"/>
                                <w:w w:val="110"/>
                                <w:sz w:val="22"/>
                              </w:rPr>
                              <w:t> </w:t>
                            </w:r>
                            <w:r>
                              <w:rPr>
                                <w:color w:val="231F1F"/>
                                <w:spacing w:val="-2"/>
                                <w:w w:val="110"/>
                                <w:sz w:val="22"/>
                              </w:rPr>
                              <w:t>empleo</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antisépticos</w:t>
                            </w:r>
                            <w:r>
                              <w:rPr>
                                <w:color w:val="231F1F"/>
                                <w:spacing w:val="-7"/>
                                <w:w w:val="110"/>
                                <w:sz w:val="22"/>
                              </w:rPr>
                              <w:t> </w:t>
                            </w:r>
                            <w:r>
                              <w:rPr>
                                <w:color w:val="231F1F"/>
                                <w:spacing w:val="-2"/>
                                <w:w w:val="110"/>
                                <w:sz w:val="22"/>
                              </w:rPr>
                              <w:t>en</w:t>
                            </w:r>
                            <w:r>
                              <w:rPr>
                                <w:color w:val="231F1F"/>
                                <w:spacing w:val="-7"/>
                                <w:w w:val="110"/>
                                <w:sz w:val="22"/>
                              </w:rPr>
                              <w:t> </w:t>
                            </w:r>
                            <w:r>
                              <w:rPr>
                                <w:color w:val="231F1F"/>
                                <w:spacing w:val="-2"/>
                                <w:w w:val="110"/>
                                <w:sz w:val="22"/>
                              </w:rPr>
                              <w:t>el</w:t>
                            </w:r>
                            <w:r>
                              <w:rPr>
                                <w:color w:val="231F1F"/>
                                <w:spacing w:val="-7"/>
                                <w:w w:val="110"/>
                                <w:sz w:val="22"/>
                              </w:rPr>
                              <w:t> </w:t>
                            </w:r>
                            <w:r>
                              <w:rPr>
                                <w:i/>
                                <w:color w:val="231F1F"/>
                                <w:spacing w:val="-2"/>
                                <w:w w:val="110"/>
                                <w:sz w:val="22"/>
                              </w:rPr>
                              <w:t>lavado</w:t>
                            </w:r>
                            <w:r>
                              <w:rPr>
                                <w:i/>
                                <w:color w:val="231F1F"/>
                                <w:spacing w:val="-10"/>
                                <w:w w:val="110"/>
                                <w:sz w:val="22"/>
                              </w:rPr>
                              <w:t> </w:t>
                            </w:r>
                            <w:r>
                              <w:rPr>
                                <w:i/>
                                <w:color w:val="231F1F"/>
                                <w:spacing w:val="-2"/>
                                <w:w w:val="110"/>
                                <w:sz w:val="22"/>
                              </w:rPr>
                              <w:t>vulvovaginal</w:t>
                            </w:r>
                            <w:r>
                              <w:rPr>
                                <w:i/>
                                <w:color w:val="231F1F"/>
                                <w:spacing w:val="-10"/>
                                <w:w w:val="110"/>
                                <w:sz w:val="22"/>
                              </w:rPr>
                              <w:t> </w:t>
                            </w:r>
                            <w:r>
                              <w:rPr>
                                <w:color w:val="231F1F"/>
                                <w:spacing w:val="-2"/>
                                <w:w w:val="110"/>
                                <w:sz w:val="22"/>
                              </w:rPr>
                              <w:t>previo</w:t>
                            </w:r>
                            <w:r>
                              <w:rPr>
                                <w:color w:val="231F1F"/>
                                <w:spacing w:val="-7"/>
                                <w:w w:val="110"/>
                                <w:sz w:val="22"/>
                              </w:rPr>
                              <w:t> </w:t>
                            </w:r>
                            <w:r>
                              <w:rPr>
                                <w:color w:val="231F1F"/>
                                <w:spacing w:val="-2"/>
                                <w:w w:val="110"/>
                                <w:sz w:val="22"/>
                              </w:rPr>
                              <w:t>al</w:t>
                            </w:r>
                            <w:r>
                              <w:rPr>
                                <w:color w:val="231F1F"/>
                                <w:spacing w:val="-7"/>
                                <w:w w:val="110"/>
                                <w:sz w:val="22"/>
                              </w:rPr>
                              <w:t> </w:t>
                            </w:r>
                            <w:r>
                              <w:rPr>
                                <w:color w:val="231F1F"/>
                                <w:spacing w:val="-2"/>
                                <w:w w:val="110"/>
                                <w:sz w:val="22"/>
                              </w:rPr>
                              <w:t>tacto</w:t>
                            </w:r>
                            <w:r>
                              <w:rPr>
                                <w:color w:val="231F1F"/>
                                <w:spacing w:val="-7"/>
                                <w:w w:val="110"/>
                                <w:sz w:val="22"/>
                              </w:rPr>
                              <w:t> </w:t>
                            </w:r>
                            <w:r>
                              <w:rPr>
                                <w:color w:val="231F1F"/>
                                <w:spacing w:val="-2"/>
                                <w:w w:val="110"/>
                                <w:sz w:val="22"/>
                              </w:rPr>
                              <w:t>va- ginal?</w:t>
                            </w:r>
                          </w:p>
                          <w:p>
                            <w:pPr>
                              <w:numPr>
                                <w:ilvl w:val="0"/>
                                <w:numId w:val="22"/>
                              </w:numPr>
                              <w:tabs>
                                <w:tab w:pos="321" w:val="left" w:leader="none"/>
                              </w:tabs>
                              <w:spacing w:before="132"/>
                              <w:ind w:left="321" w:right="0" w:hanging="218"/>
                              <w:jc w:val="left"/>
                              <w:rPr>
                                <w:sz w:val="22"/>
                              </w:rPr>
                            </w:pPr>
                            <w:r>
                              <w:rPr>
                                <w:color w:val="231F1F"/>
                                <w:sz w:val="22"/>
                              </w:rPr>
                              <w:t>¿La</w:t>
                            </w:r>
                            <w:r>
                              <w:rPr>
                                <w:color w:val="231F1F"/>
                                <w:spacing w:val="26"/>
                                <w:sz w:val="22"/>
                              </w:rPr>
                              <w:t> </w:t>
                            </w:r>
                            <w:r>
                              <w:rPr>
                                <w:color w:val="231F1F"/>
                                <w:sz w:val="22"/>
                              </w:rPr>
                              <w:t>utilización</w:t>
                            </w:r>
                            <w:r>
                              <w:rPr>
                                <w:color w:val="231F1F"/>
                                <w:spacing w:val="26"/>
                                <w:sz w:val="22"/>
                              </w:rPr>
                              <w:t> </w:t>
                            </w:r>
                            <w:r>
                              <w:rPr>
                                <w:color w:val="231F1F"/>
                                <w:sz w:val="22"/>
                              </w:rPr>
                              <w:t>del</w:t>
                            </w:r>
                            <w:r>
                              <w:rPr>
                                <w:color w:val="231F1F"/>
                                <w:spacing w:val="26"/>
                                <w:sz w:val="22"/>
                              </w:rPr>
                              <w:t> </w:t>
                            </w:r>
                            <w:r>
                              <w:rPr>
                                <w:i/>
                                <w:color w:val="231F1F"/>
                                <w:sz w:val="22"/>
                              </w:rPr>
                              <w:t>partograma</w:t>
                            </w:r>
                            <w:r>
                              <w:rPr>
                                <w:i/>
                                <w:color w:val="231F1F"/>
                                <w:spacing w:val="26"/>
                                <w:sz w:val="22"/>
                              </w:rPr>
                              <w:t> </w:t>
                            </w:r>
                            <w:r>
                              <w:rPr>
                                <w:color w:val="231F1F"/>
                                <w:sz w:val="22"/>
                              </w:rPr>
                              <w:t>mejora</w:t>
                            </w:r>
                            <w:r>
                              <w:rPr>
                                <w:color w:val="231F1F"/>
                                <w:spacing w:val="27"/>
                                <w:sz w:val="22"/>
                              </w:rPr>
                              <w:t> </w:t>
                            </w:r>
                            <w:r>
                              <w:rPr>
                                <w:color w:val="231F1F"/>
                                <w:sz w:val="22"/>
                              </w:rPr>
                              <w:t>los</w:t>
                            </w:r>
                            <w:r>
                              <w:rPr>
                                <w:color w:val="231F1F"/>
                                <w:spacing w:val="26"/>
                                <w:sz w:val="22"/>
                              </w:rPr>
                              <w:t> </w:t>
                            </w:r>
                            <w:r>
                              <w:rPr>
                                <w:color w:val="231F1F"/>
                                <w:spacing w:val="-2"/>
                                <w:sz w:val="22"/>
                              </w:rPr>
                              <w:t>resultados?</w:t>
                            </w:r>
                          </w:p>
                          <w:p>
                            <w:pPr>
                              <w:numPr>
                                <w:ilvl w:val="0"/>
                                <w:numId w:val="22"/>
                              </w:numPr>
                              <w:tabs>
                                <w:tab w:pos="323" w:val="left" w:leader="none"/>
                              </w:tabs>
                              <w:spacing w:line="249" w:lineRule="auto" w:before="122"/>
                              <w:ind w:left="323" w:right="245" w:hanging="220"/>
                              <w:jc w:val="left"/>
                              <w:rPr>
                                <w:sz w:val="22"/>
                              </w:rPr>
                            </w:pPr>
                            <w:r>
                              <w:rPr>
                                <w:color w:val="231F1F"/>
                                <w:w w:val="105"/>
                                <w:sz w:val="22"/>
                              </w:rPr>
                              <w:t>¿Cuál</w:t>
                            </w:r>
                            <w:r>
                              <w:rPr>
                                <w:color w:val="231F1F"/>
                                <w:spacing w:val="-8"/>
                                <w:w w:val="105"/>
                                <w:sz w:val="22"/>
                              </w:rPr>
                              <w:t> </w:t>
                            </w:r>
                            <w:r>
                              <w:rPr>
                                <w:color w:val="231F1F"/>
                                <w:w w:val="105"/>
                                <w:sz w:val="22"/>
                              </w:rPr>
                              <w:t>es</w:t>
                            </w:r>
                            <w:r>
                              <w:rPr>
                                <w:color w:val="231F1F"/>
                                <w:spacing w:val="-7"/>
                                <w:w w:val="105"/>
                                <w:sz w:val="22"/>
                              </w:rPr>
                              <w:t> </w:t>
                            </w:r>
                            <w:r>
                              <w:rPr>
                                <w:color w:val="231F1F"/>
                                <w:w w:val="105"/>
                                <w:sz w:val="22"/>
                              </w:rPr>
                              <w:t>la</w:t>
                            </w:r>
                            <w:r>
                              <w:rPr>
                                <w:color w:val="231F1F"/>
                                <w:spacing w:val="-6"/>
                                <w:w w:val="105"/>
                                <w:sz w:val="22"/>
                              </w:rPr>
                              <w:t> </w:t>
                            </w:r>
                            <w:r>
                              <w:rPr>
                                <w:i/>
                                <w:color w:val="231F1F"/>
                                <w:w w:val="105"/>
                                <w:sz w:val="22"/>
                              </w:rPr>
                              <w:t>frecuencia</w:t>
                            </w:r>
                            <w:r>
                              <w:rPr>
                                <w:i/>
                                <w:color w:val="231F1F"/>
                                <w:spacing w:val="-8"/>
                                <w:w w:val="105"/>
                                <w:sz w:val="22"/>
                              </w:rPr>
                              <w:t> </w:t>
                            </w:r>
                            <w:r>
                              <w:rPr>
                                <w:i/>
                                <w:color w:val="231F1F"/>
                                <w:w w:val="105"/>
                                <w:sz w:val="22"/>
                              </w:rPr>
                              <w:t>óptima</w:t>
                            </w:r>
                            <w:r>
                              <w:rPr>
                                <w:i/>
                                <w:color w:val="231F1F"/>
                                <w:spacing w:val="-9"/>
                                <w:w w:val="105"/>
                                <w:sz w:val="22"/>
                              </w:rPr>
                              <w:t> </w:t>
                            </w:r>
                            <w:r>
                              <w:rPr>
                                <w:i/>
                                <w:color w:val="231F1F"/>
                                <w:w w:val="105"/>
                                <w:sz w:val="22"/>
                              </w:rPr>
                              <w:t>de</w:t>
                            </w:r>
                            <w:r>
                              <w:rPr>
                                <w:i/>
                                <w:color w:val="231F1F"/>
                                <w:spacing w:val="-8"/>
                                <w:w w:val="105"/>
                                <w:sz w:val="22"/>
                              </w:rPr>
                              <w:t> </w:t>
                            </w:r>
                            <w:r>
                              <w:rPr>
                                <w:i/>
                                <w:color w:val="231F1F"/>
                                <w:w w:val="105"/>
                                <w:sz w:val="22"/>
                              </w:rPr>
                              <w:t>exploraciones</w:t>
                            </w:r>
                            <w:r>
                              <w:rPr>
                                <w:i/>
                                <w:color w:val="231F1F"/>
                                <w:spacing w:val="-6"/>
                                <w:w w:val="105"/>
                                <w:sz w:val="22"/>
                              </w:rPr>
                              <w:t> </w:t>
                            </w:r>
                            <w:r>
                              <w:rPr>
                                <w:color w:val="231F1F"/>
                                <w:w w:val="105"/>
                                <w:sz w:val="22"/>
                              </w:rPr>
                              <w:t>vaginales</w:t>
                            </w:r>
                            <w:r>
                              <w:rPr>
                                <w:color w:val="231F1F"/>
                                <w:spacing w:val="-7"/>
                                <w:w w:val="105"/>
                                <w:sz w:val="22"/>
                              </w:rPr>
                              <w:t> </w:t>
                            </w:r>
                            <w:r>
                              <w:rPr>
                                <w:color w:val="231F1F"/>
                                <w:w w:val="105"/>
                                <w:sz w:val="22"/>
                              </w:rPr>
                              <w:t>durante</w:t>
                            </w:r>
                            <w:r>
                              <w:rPr>
                                <w:color w:val="231F1F"/>
                                <w:spacing w:val="-7"/>
                                <w:w w:val="105"/>
                                <w:sz w:val="22"/>
                              </w:rPr>
                              <w:t> </w:t>
                            </w:r>
                            <w:r>
                              <w:rPr>
                                <w:color w:val="231F1F"/>
                                <w:w w:val="105"/>
                                <w:sz w:val="22"/>
                              </w:rPr>
                              <w:t>el</w:t>
                            </w:r>
                            <w:r>
                              <w:rPr>
                                <w:color w:val="231F1F"/>
                                <w:spacing w:val="-8"/>
                                <w:w w:val="105"/>
                                <w:sz w:val="22"/>
                              </w:rPr>
                              <w:t> </w:t>
                            </w:r>
                            <w:r>
                              <w:rPr>
                                <w:color w:val="231F1F"/>
                                <w:w w:val="105"/>
                                <w:sz w:val="22"/>
                              </w:rPr>
                              <w:t>periodo</w:t>
                            </w:r>
                            <w:r>
                              <w:rPr>
                                <w:color w:val="231F1F"/>
                                <w:spacing w:val="-7"/>
                                <w:w w:val="105"/>
                                <w:sz w:val="22"/>
                              </w:rPr>
                              <w:t> </w:t>
                            </w:r>
                            <w:r>
                              <w:rPr>
                                <w:color w:val="231F1F"/>
                                <w:w w:val="105"/>
                                <w:sz w:val="22"/>
                              </w:rPr>
                              <w:t>de</w:t>
                            </w:r>
                            <w:r>
                              <w:rPr>
                                <w:color w:val="231F1F"/>
                                <w:spacing w:val="-6"/>
                                <w:w w:val="105"/>
                                <w:sz w:val="22"/>
                              </w:rPr>
                              <w:t> </w:t>
                            </w:r>
                            <w:r>
                              <w:rPr>
                                <w:color w:val="231F1F"/>
                                <w:w w:val="105"/>
                                <w:sz w:val="22"/>
                              </w:rPr>
                              <w:t>dilata- </w:t>
                            </w:r>
                            <w:r>
                              <w:rPr>
                                <w:color w:val="231F1F"/>
                                <w:spacing w:val="-4"/>
                                <w:w w:val="105"/>
                                <w:sz w:val="22"/>
                              </w:rPr>
                              <w:t>ción?</w:t>
                            </w:r>
                          </w:p>
                          <w:p>
                            <w:pPr>
                              <w:numPr>
                                <w:ilvl w:val="0"/>
                                <w:numId w:val="22"/>
                              </w:numPr>
                              <w:tabs>
                                <w:tab w:pos="321" w:val="left" w:leader="none"/>
                              </w:tabs>
                              <w:spacing w:before="126"/>
                              <w:ind w:left="321" w:right="0" w:hanging="218"/>
                              <w:jc w:val="left"/>
                              <w:rPr>
                                <w:sz w:val="22"/>
                              </w:rPr>
                            </w:pPr>
                            <w:r>
                              <w:rPr>
                                <w:color w:val="231F1F"/>
                                <w:sz w:val="22"/>
                              </w:rPr>
                              <w:t>¿Qué</w:t>
                            </w:r>
                            <w:r>
                              <w:rPr>
                                <w:color w:val="231F1F"/>
                                <w:spacing w:val="22"/>
                                <w:sz w:val="22"/>
                              </w:rPr>
                              <w:t> </w:t>
                            </w:r>
                            <w:r>
                              <w:rPr>
                                <w:color w:val="231F1F"/>
                                <w:sz w:val="22"/>
                              </w:rPr>
                              <w:t>métodos</w:t>
                            </w:r>
                            <w:r>
                              <w:rPr>
                                <w:color w:val="231F1F"/>
                                <w:spacing w:val="22"/>
                                <w:sz w:val="22"/>
                              </w:rPr>
                              <w:t> </w:t>
                            </w:r>
                            <w:r>
                              <w:rPr>
                                <w:color w:val="231F1F"/>
                                <w:sz w:val="22"/>
                              </w:rPr>
                              <w:t>son</w:t>
                            </w:r>
                            <w:r>
                              <w:rPr>
                                <w:color w:val="231F1F"/>
                                <w:spacing w:val="24"/>
                                <w:sz w:val="22"/>
                              </w:rPr>
                              <w:t> </w:t>
                            </w:r>
                            <w:r>
                              <w:rPr>
                                <w:color w:val="231F1F"/>
                                <w:sz w:val="22"/>
                              </w:rPr>
                              <w:t>eficaces</w:t>
                            </w:r>
                            <w:r>
                              <w:rPr>
                                <w:color w:val="231F1F"/>
                                <w:spacing w:val="22"/>
                                <w:sz w:val="22"/>
                              </w:rPr>
                              <w:t> </w:t>
                            </w:r>
                            <w:r>
                              <w:rPr>
                                <w:color w:val="231F1F"/>
                                <w:sz w:val="22"/>
                              </w:rPr>
                              <w:t>para</w:t>
                            </w:r>
                            <w:r>
                              <w:rPr>
                                <w:color w:val="231F1F"/>
                                <w:spacing w:val="22"/>
                                <w:sz w:val="22"/>
                              </w:rPr>
                              <w:t> </w:t>
                            </w:r>
                            <w:r>
                              <w:rPr>
                                <w:color w:val="231F1F"/>
                                <w:sz w:val="22"/>
                              </w:rPr>
                              <w:t>tratar</w:t>
                            </w:r>
                            <w:r>
                              <w:rPr>
                                <w:color w:val="231F1F"/>
                                <w:spacing w:val="24"/>
                                <w:sz w:val="22"/>
                              </w:rPr>
                              <w:t> </w:t>
                            </w:r>
                            <w:r>
                              <w:rPr>
                                <w:color w:val="231F1F"/>
                                <w:sz w:val="22"/>
                              </w:rPr>
                              <w:t>el</w:t>
                            </w:r>
                            <w:r>
                              <w:rPr>
                                <w:color w:val="231F1F"/>
                                <w:spacing w:val="22"/>
                                <w:sz w:val="22"/>
                              </w:rPr>
                              <w:t> </w:t>
                            </w:r>
                            <w:r>
                              <w:rPr>
                                <w:i/>
                                <w:color w:val="231F1F"/>
                                <w:sz w:val="22"/>
                              </w:rPr>
                              <w:t>retardo</w:t>
                            </w:r>
                            <w:r>
                              <w:rPr>
                                <w:i/>
                                <w:color w:val="231F1F"/>
                                <w:spacing w:val="24"/>
                                <w:sz w:val="22"/>
                              </w:rPr>
                              <w:t> </w:t>
                            </w:r>
                            <w:r>
                              <w:rPr>
                                <w:i/>
                                <w:color w:val="231F1F"/>
                                <w:sz w:val="22"/>
                              </w:rPr>
                              <w:t>de</w:t>
                            </w:r>
                            <w:r>
                              <w:rPr>
                                <w:i/>
                                <w:color w:val="231F1F"/>
                                <w:spacing w:val="22"/>
                                <w:sz w:val="22"/>
                              </w:rPr>
                              <w:t> </w:t>
                            </w:r>
                            <w:r>
                              <w:rPr>
                                <w:i/>
                                <w:color w:val="231F1F"/>
                                <w:sz w:val="22"/>
                              </w:rPr>
                              <w:t>la</w:t>
                            </w:r>
                            <w:r>
                              <w:rPr>
                                <w:i/>
                                <w:color w:val="231F1F"/>
                                <w:spacing w:val="22"/>
                                <w:sz w:val="22"/>
                              </w:rPr>
                              <w:t> </w:t>
                            </w:r>
                            <w:r>
                              <w:rPr>
                                <w:i/>
                                <w:color w:val="231F1F"/>
                                <w:sz w:val="22"/>
                              </w:rPr>
                              <w:t>primera</w:t>
                            </w:r>
                            <w:r>
                              <w:rPr>
                                <w:i/>
                                <w:color w:val="231F1F"/>
                                <w:spacing w:val="24"/>
                                <w:sz w:val="22"/>
                              </w:rPr>
                              <w:t> </w:t>
                            </w:r>
                            <w:r>
                              <w:rPr>
                                <w:i/>
                                <w:color w:val="231F1F"/>
                                <w:sz w:val="22"/>
                              </w:rPr>
                              <w:t>etapa</w:t>
                            </w:r>
                            <w:r>
                              <w:rPr>
                                <w:i/>
                                <w:color w:val="231F1F"/>
                                <w:spacing w:val="22"/>
                                <w:sz w:val="22"/>
                              </w:rPr>
                              <w:t> </w:t>
                            </w:r>
                            <w:r>
                              <w:rPr>
                                <w:color w:val="231F1F"/>
                                <w:sz w:val="22"/>
                              </w:rPr>
                              <w:t>del</w:t>
                            </w:r>
                            <w:r>
                              <w:rPr>
                                <w:color w:val="231F1F"/>
                                <w:spacing w:val="24"/>
                                <w:sz w:val="22"/>
                              </w:rPr>
                              <w:t> </w:t>
                            </w:r>
                            <w:r>
                              <w:rPr>
                                <w:color w:val="231F1F"/>
                                <w:spacing w:val="-2"/>
                                <w:sz w:val="22"/>
                              </w:rPr>
                              <w:t>parto?</w:t>
                            </w:r>
                          </w:p>
                        </w:txbxContent>
                      </wps:txbx>
                      <wps:bodyPr wrap="square" lIns="0" tIns="0" rIns="0" bIns="0" rtlCol="0">
                        <a:noAutofit/>
                      </wps:bodyPr>
                    </wps:wsp>
                  </a:graphicData>
                </a:graphic>
              </wp:anchor>
            </w:drawing>
          </mc:Choice>
          <mc:Fallback>
            <w:pict>
              <v:shape style="position:absolute;margin-left:85.25pt;margin-top:14.19541pt;width:425.2pt;height:234pt;mso-position-horizontal-relative:page;mso-position-vertical-relative:paragraph;z-index:-15715328;mso-wrap-distance-left:0;mso-wrap-distance-right:0" type="#_x0000_t202" id="docshape49" filled="false" stroked="true" strokeweight=".5pt" strokecolor="#a30046">
                <v:textbox inset="0,0,0,0">
                  <w:txbxContent>
                    <w:p>
                      <w:pPr>
                        <w:numPr>
                          <w:ilvl w:val="0"/>
                          <w:numId w:val="22"/>
                        </w:numPr>
                        <w:tabs>
                          <w:tab w:pos="322" w:val="left" w:leader="none"/>
                        </w:tabs>
                        <w:spacing w:before="56"/>
                        <w:ind w:left="322" w:right="0" w:hanging="218"/>
                        <w:jc w:val="left"/>
                        <w:rPr>
                          <w:sz w:val="22"/>
                        </w:rPr>
                      </w:pPr>
                      <w:r>
                        <w:rPr>
                          <w:color w:val="231F1F"/>
                          <w:sz w:val="22"/>
                        </w:rPr>
                        <w:t>¿Cuál</w:t>
                      </w:r>
                      <w:r>
                        <w:rPr>
                          <w:color w:val="231F1F"/>
                          <w:spacing w:val="23"/>
                          <w:sz w:val="22"/>
                        </w:rPr>
                        <w:t> </w:t>
                      </w:r>
                      <w:r>
                        <w:rPr>
                          <w:color w:val="231F1F"/>
                          <w:sz w:val="22"/>
                        </w:rPr>
                        <w:t>es</w:t>
                      </w:r>
                      <w:r>
                        <w:rPr>
                          <w:color w:val="231F1F"/>
                          <w:spacing w:val="25"/>
                          <w:sz w:val="22"/>
                        </w:rPr>
                        <w:t> </w:t>
                      </w:r>
                      <w:r>
                        <w:rPr>
                          <w:color w:val="231F1F"/>
                          <w:sz w:val="22"/>
                        </w:rPr>
                        <w:t>la</w:t>
                      </w:r>
                      <w:r>
                        <w:rPr>
                          <w:color w:val="231F1F"/>
                          <w:spacing w:val="26"/>
                          <w:sz w:val="22"/>
                        </w:rPr>
                        <w:t> </w:t>
                      </w:r>
                      <w:r>
                        <w:rPr>
                          <w:color w:val="231F1F"/>
                          <w:sz w:val="22"/>
                        </w:rPr>
                        <w:t>efectividad</w:t>
                      </w:r>
                      <w:r>
                        <w:rPr>
                          <w:color w:val="231F1F"/>
                          <w:spacing w:val="26"/>
                          <w:sz w:val="22"/>
                        </w:rPr>
                        <w:t> </w:t>
                      </w:r>
                      <w:r>
                        <w:rPr>
                          <w:color w:val="231F1F"/>
                          <w:sz w:val="22"/>
                        </w:rPr>
                        <w:t>del</w:t>
                      </w:r>
                      <w:r>
                        <w:rPr>
                          <w:color w:val="231F1F"/>
                          <w:spacing w:val="26"/>
                          <w:sz w:val="22"/>
                        </w:rPr>
                        <w:t> </w:t>
                      </w:r>
                      <w:r>
                        <w:rPr>
                          <w:i/>
                          <w:color w:val="231F1F"/>
                          <w:sz w:val="22"/>
                        </w:rPr>
                        <w:t>enema</w:t>
                      </w:r>
                      <w:r>
                        <w:rPr>
                          <w:i/>
                          <w:color w:val="231F1F"/>
                          <w:spacing w:val="26"/>
                          <w:sz w:val="22"/>
                        </w:rPr>
                        <w:t> </w:t>
                      </w:r>
                      <w:r>
                        <w:rPr>
                          <w:i/>
                          <w:color w:val="231F1F"/>
                          <w:sz w:val="22"/>
                        </w:rPr>
                        <w:t>rutinario</w:t>
                      </w:r>
                      <w:r>
                        <w:rPr>
                          <w:i/>
                          <w:color w:val="231F1F"/>
                          <w:spacing w:val="28"/>
                          <w:sz w:val="22"/>
                        </w:rPr>
                        <w:t> </w:t>
                      </w:r>
                      <w:r>
                        <w:rPr>
                          <w:color w:val="231F1F"/>
                          <w:sz w:val="22"/>
                        </w:rPr>
                        <w:t>durante</w:t>
                      </w:r>
                      <w:r>
                        <w:rPr>
                          <w:color w:val="231F1F"/>
                          <w:spacing w:val="26"/>
                          <w:sz w:val="22"/>
                        </w:rPr>
                        <w:t> </w:t>
                      </w:r>
                      <w:r>
                        <w:rPr>
                          <w:color w:val="231F1F"/>
                          <w:sz w:val="22"/>
                        </w:rPr>
                        <w:t>el</w:t>
                      </w:r>
                      <w:r>
                        <w:rPr>
                          <w:color w:val="231F1F"/>
                          <w:spacing w:val="26"/>
                          <w:sz w:val="22"/>
                        </w:rPr>
                        <w:t> </w:t>
                      </w:r>
                      <w:r>
                        <w:rPr>
                          <w:color w:val="231F1F"/>
                          <w:spacing w:val="-2"/>
                          <w:sz w:val="22"/>
                        </w:rPr>
                        <w:t>parto?</w:t>
                      </w:r>
                    </w:p>
                    <w:p>
                      <w:pPr>
                        <w:numPr>
                          <w:ilvl w:val="0"/>
                          <w:numId w:val="22"/>
                        </w:numPr>
                        <w:tabs>
                          <w:tab w:pos="322" w:val="left" w:leader="none"/>
                        </w:tabs>
                        <w:spacing w:before="145"/>
                        <w:ind w:left="322" w:right="0" w:hanging="218"/>
                        <w:jc w:val="left"/>
                        <w:rPr>
                          <w:sz w:val="22"/>
                        </w:rPr>
                      </w:pPr>
                      <w:r>
                        <w:rPr>
                          <w:color w:val="231F1F"/>
                          <w:sz w:val="22"/>
                        </w:rPr>
                        <w:t>¿Cuál</w:t>
                      </w:r>
                      <w:r>
                        <w:rPr>
                          <w:color w:val="231F1F"/>
                          <w:spacing w:val="27"/>
                          <w:sz w:val="22"/>
                        </w:rPr>
                        <w:t> </w:t>
                      </w:r>
                      <w:r>
                        <w:rPr>
                          <w:color w:val="231F1F"/>
                          <w:sz w:val="22"/>
                        </w:rPr>
                        <w:t>es</w:t>
                      </w:r>
                      <w:r>
                        <w:rPr>
                          <w:color w:val="231F1F"/>
                          <w:spacing w:val="28"/>
                          <w:sz w:val="22"/>
                        </w:rPr>
                        <w:t> </w:t>
                      </w:r>
                      <w:r>
                        <w:rPr>
                          <w:color w:val="231F1F"/>
                          <w:sz w:val="22"/>
                        </w:rPr>
                        <w:t>la</w:t>
                      </w:r>
                      <w:r>
                        <w:rPr>
                          <w:color w:val="231F1F"/>
                          <w:spacing w:val="27"/>
                          <w:sz w:val="22"/>
                        </w:rPr>
                        <w:t> </w:t>
                      </w:r>
                      <w:r>
                        <w:rPr>
                          <w:color w:val="231F1F"/>
                          <w:sz w:val="22"/>
                        </w:rPr>
                        <w:t>efectividad</w:t>
                      </w:r>
                      <w:r>
                        <w:rPr>
                          <w:color w:val="231F1F"/>
                          <w:spacing w:val="30"/>
                          <w:sz w:val="22"/>
                        </w:rPr>
                        <w:t> </w:t>
                      </w:r>
                      <w:r>
                        <w:rPr>
                          <w:color w:val="231F1F"/>
                          <w:sz w:val="22"/>
                        </w:rPr>
                        <w:t>del</w:t>
                      </w:r>
                      <w:r>
                        <w:rPr>
                          <w:color w:val="231F1F"/>
                          <w:spacing w:val="27"/>
                          <w:sz w:val="22"/>
                        </w:rPr>
                        <w:t> </w:t>
                      </w:r>
                      <w:r>
                        <w:rPr>
                          <w:i/>
                          <w:color w:val="231F1F"/>
                          <w:sz w:val="22"/>
                        </w:rPr>
                        <w:t>rasurado</w:t>
                      </w:r>
                      <w:r>
                        <w:rPr>
                          <w:i/>
                          <w:color w:val="231F1F"/>
                          <w:spacing w:val="28"/>
                          <w:sz w:val="22"/>
                        </w:rPr>
                        <w:t> </w:t>
                      </w:r>
                      <w:r>
                        <w:rPr>
                          <w:i/>
                          <w:color w:val="231F1F"/>
                          <w:sz w:val="22"/>
                        </w:rPr>
                        <w:t>perineal</w:t>
                      </w:r>
                      <w:r>
                        <w:rPr>
                          <w:i/>
                          <w:color w:val="231F1F"/>
                          <w:spacing w:val="29"/>
                          <w:sz w:val="22"/>
                        </w:rPr>
                        <w:t> </w:t>
                      </w:r>
                      <w:r>
                        <w:rPr>
                          <w:color w:val="231F1F"/>
                          <w:sz w:val="22"/>
                        </w:rPr>
                        <w:t>rutinario</w:t>
                      </w:r>
                      <w:r>
                        <w:rPr>
                          <w:color w:val="231F1F"/>
                          <w:spacing w:val="28"/>
                          <w:sz w:val="22"/>
                        </w:rPr>
                        <w:t> </w:t>
                      </w:r>
                      <w:r>
                        <w:rPr>
                          <w:color w:val="231F1F"/>
                          <w:sz w:val="22"/>
                        </w:rPr>
                        <w:t>durante</w:t>
                      </w:r>
                      <w:r>
                        <w:rPr>
                          <w:color w:val="231F1F"/>
                          <w:spacing w:val="27"/>
                          <w:sz w:val="22"/>
                        </w:rPr>
                        <w:t> </w:t>
                      </w:r>
                      <w:r>
                        <w:rPr>
                          <w:color w:val="231F1F"/>
                          <w:sz w:val="22"/>
                        </w:rPr>
                        <w:t>el</w:t>
                      </w:r>
                      <w:r>
                        <w:rPr>
                          <w:color w:val="231F1F"/>
                          <w:spacing w:val="30"/>
                          <w:sz w:val="22"/>
                        </w:rPr>
                        <w:t> </w:t>
                      </w:r>
                      <w:r>
                        <w:rPr>
                          <w:color w:val="231F1F"/>
                          <w:spacing w:val="-2"/>
                          <w:sz w:val="22"/>
                        </w:rPr>
                        <w:t>parto?</w:t>
                      </w:r>
                    </w:p>
                    <w:p>
                      <w:pPr>
                        <w:numPr>
                          <w:ilvl w:val="0"/>
                          <w:numId w:val="22"/>
                        </w:numPr>
                        <w:tabs>
                          <w:tab w:pos="322" w:val="left" w:leader="none"/>
                        </w:tabs>
                        <w:spacing w:before="122"/>
                        <w:ind w:left="322" w:right="0" w:hanging="218"/>
                        <w:jc w:val="left"/>
                        <w:rPr>
                          <w:sz w:val="22"/>
                        </w:rPr>
                      </w:pPr>
                      <w:r>
                        <w:rPr>
                          <w:color w:val="231F1F"/>
                          <w:w w:val="105"/>
                          <w:sz w:val="22"/>
                        </w:rPr>
                        <w:t>¿Cuál</w:t>
                      </w:r>
                      <w:r>
                        <w:rPr>
                          <w:color w:val="231F1F"/>
                          <w:spacing w:val="-4"/>
                          <w:w w:val="105"/>
                          <w:sz w:val="22"/>
                        </w:rPr>
                        <w:t> </w:t>
                      </w:r>
                      <w:r>
                        <w:rPr>
                          <w:color w:val="231F1F"/>
                          <w:w w:val="105"/>
                          <w:sz w:val="22"/>
                        </w:rPr>
                        <w:t>es</w:t>
                      </w:r>
                      <w:r>
                        <w:rPr>
                          <w:color w:val="231F1F"/>
                          <w:spacing w:val="1"/>
                          <w:w w:val="105"/>
                          <w:sz w:val="22"/>
                        </w:rPr>
                        <w:t> </w:t>
                      </w:r>
                      <w:r>
                        <w:rPr>
                          <w:color w:val="231F1F"/>
                          <w:w w:val="105"/>
                          <w:sz w:val="22"/>
                        </w:rPr>
                        <w:t>la</w:t>
                      </w:r>
                      <w:r>
                        <w:rPr>
                          <w:color w:val="231F1F"/>
                          <w:spacing w:val="1"/>
                          <w:w w:val="105"/>
                          <w:sz w:val="22"/>
                        </w:rPr>
                        <w:t> </w:t>
                      </w:r>
                      <w:r>
                        <w:rPr>
                          <w:color w:val="231F1F"/>
                          <w:w w:val="105"/>
                          <w:sz w:val="22"/>
                        </w:rPr>
                        <w:t>efectividad</w:t>
                      </w:r>
                      <w:r>
                        <w:rPr>
                          <w:color w:val="231F1F"/>
                          <w:spacing w:val="1"/>
                          <w:w w:val="105"/>
                          <w:sz w:val="22"/>
                        </w:rPr>
                        <w:t> </w:t>
                      </w:r>
                      <w:r>
                        <w:rPr>
                          <w:color w:val="231F1F"/>
                          <w:w w:val="105"/>
                          <w:sz w:val="22"/>
                        </w:rPr>
                        <w:t>de</w:t>
                      </w:r>
                      <w:r>
                        <w:rPr>
                          <w:color w:val="231F1F"/>
                          <w:spacing w:val="-2"/>
                          <w:w w:val="105"/>
                          <w:sz w:val="22"/>
                        </w:rPr>
                        <w:t> </w:t>
                      </w:r>
                      <w:r>
                        <w:rPr>
                          <w:color w:val="231F1F"/>
                          <w:w w:val="105"/>
                          <w:sz w:val="22"/>
                        </w:rPr>
                        <w:t>la </w:t>
                      </w:r>
                      <w:r>
                        <w:rPr>
                          <w:i/>
                          <w:color w:val="231F1F"/>
                          <w:w w:val="105"/>
                          <w:sz w:val="22"/>
                        </w:rPr>
                        <w:t>atención</w:t>
                      </w:r>
                      <w:r>
                        <w:rPr>
                          <w:i/>
                          <w:color w:val="231F1F"/>
                          <w:spacing w:val="-3"/>
                          <w:w w:val="105"/>
                          <w:sz w:val="22"/>
                        </w:rPr>
                        <w:t> </w:t>
                      </w:r>
                      <w:r>
                        <w:rPr>
                          <w:i/>
                          <w:color w:val="231F1F"/>
                          <w:w w:val="105"/>
                          <w:sz w:val="22"/>
                        </w:rPr>
                        <w:t>una</w:t>
                      </w:r>
                      <w:r>
                        <w:rPr>
                          <w:i/>
                          <w:color w:val="231F1F"/>
                          <w:spacing w:val="-1"/>
                          <w:w w:val="105"/>
                          <w:sz w:val="22"/>
                        </w:rPr>
                        <w:t> </w:t>
                      </w:r>
                      <w:r>
                        <w:rPr>
                          <w:i/>
                          <w:color w:val="231F1F"/>
                          <w:w w:val="105"/>
                          <w:sz w:val="22"/>
                        </w:rPr>
                        <w:t>a</w:t>
                      </w:r>
                      <w:r>
                        <w:rPr>
                          <w:i/>
                          <w:color w:val="231F1F"/>
                          <w:spacing w:val="-1"/>
                          <w:w w:val="105"/>
                          <w:sz w:val="22"/>
                        </w:rPr>
                        <w:t> </w:t>
                      </w:r>
                      <w:r>
                        <w:rPr>
                          <w:i/>
                          <w:color w:val="231F1F"/>
                          <w:w w:val="105"/>
                          <w:sz w:val="22"/>
                        </w:rPr>
                        <w:t>una</w:t>
                      </w:r>
                      <w:r>
                        <w:rPr>
                          <w:i/>
                          <w:color w:val="231F1F"/>
                          <w:spacing w:val="-1"/>
                          <w:w w:val="105"/>
                          <w:sz w:val="22"/>
                        </w:rPr>
                        <w:t> </w:t>
                      </w:r>
                      <w:r>
                        <w:rPr>
                          <w:color w:val="231F1F"/>
                          <w:w w:val="105"/>
                          <w:sz w:val="22"/>
                        </w:rPr>
                        <w:t>durante</w:t>
                      </w:r>
                      <w:r>
                        <w:rPr>
                          <w:color w:val="231F1F"/>
                          <w:spacing w:val="-2"/>
                          <w:w w:val="105"/>
                          <w:sz w:val="22"/>
                        </w:rPr>
                        <w:t> </w:t>
                      </w:r>
                      <w:r>
                        <w:rPr>
                          <w:color w:val="231F1F"/>
                          <w:w w:val="105"/>
                          <w:sz w:val="22"/>
                        </w:rPr>
                        <w:t>el</w:t>
                      </w:r>
                      <w:r>
                        <w:rPr>
                          <w:color w:val="231F1F"/>
                          <w:spacing w:val="-2"/>
                          <w:w w:val="105"/>
                          <w:sz w:val="22"/>
                        </w:rPr>
                        <w:t> parto?</w:t>
                      </w:r>
                    </w:p>
                    <w:p>
                      <w:pPr>
                        <w:numPr>
                          <w:ilvl w:val="0"/>
                          <w:numId w:val="22"/>
                        </w:numPr>
                        <w:tabs>
                          <w:tab w:pos="324" w:val="left" w:leader="none"/>
                        </w:tabs>
                        <w:spacing w:line="244" w:lineRule="auto" w:before="121"/>
                        <w:ind w:left="324" w:right="205" w:hanging="220"/>
                        <w:jc w:val="left"/>
                        <w:rPr>
                          <w:sz w:val="22"/>
                        </w:rPr>
                      </w:pPr>
                      <w:r>
                        <w:rPr>
                          <w:color w:val="231F1F"/>
                          <w:w w:val="105"/>
                          <w:sz w:val="22"/>
                        </w:rPr>
                        <w:t>¿Qué</w:t>
                      </w:r>
                      <w:r>
                        <w:rPr>
                          <w:color w:val="231F1F"/>
                          <w:spacing w:val="-6"/>
                          <w:w w:val="105"/>
                          <w:sz w:val="22"/>
                        </w:rPr>
                        <w:t> </w:t>
                      </w:r>
                      <w:r>
                        <w:rPr>
                          <w:color w:val="231F1F"/>
                          <w:w w:val="105"/>
                          <w:sz w:val="22"/>
                        </w:rPr>
                        <w:t>efecto</w:t>
                      </w:r>
                      <w:r>
                        <w:rPr>
                          <w:color w:val="231F1F"/>
                          <w:spacing w:val="-7"/>
                          <w:w w:val="105"/>
                          <w:sz w:val="22"/>
                        </w:rPr>
                        <w:t> </w:t>
                      </w:r>
                      <w:r>
                        <w:rPr>
                          <w:color w:val="231F1F"/>
                          <w:w w:val="105"/>
                          <w:sz w:val="22"/>
                        </w:rPr>
                        <w:t>tiene</w:t>
                      </w:r>
                      <w:r>
                        <w:rPr>
                          <w:color w:val="231F1F"/>
                          <w:spacing w:val="-7"/>
                          <w:w w:val="105"/>
                          <w:sz w:val="22"/>
                        </w:rPr>
                        <w:t> </w:t>
                      </w:r>
                      <w:r>
                        <w:rPr>
                          <w:color w:val="231F1F"/>
                          <w:w w:val="105"/>
                          <w:sz w:val="22"/>
                        </w:rPr>
                        <w:t>la</w:t>
                      </w:r>
                      <w:r>
                        <w:rPr>
                          <w:color w:val="231F1F"/>
                          <w:spacing w:val="-6"/>
                          <w:w w:val="105"/>
                          <w:sz w:val="22"/>
                        </w:rPr>
                        <w:t> </w:t>
                      </w:r>
                      <w:r>
                        <w:rPr>
                          <w:color w:val="231F1F"/>
                          <w:w w:val="105"/>
                          <w:sz w:val="22"/>
                        </w:rPr>
                        <w:t>movilización</w:t>
                      </w:r>
                      <w:r>
                        <w:rPr>
                          <w:color w:val="231F1F"/>
                          <w:spacing w:val="-8"/>
                          <w:w w:val="105"/>
                          <w:sz w:val="22"/>
                        </w:rPr>
                        <w:t> </w:t>
                      </w:r>
                      <w:r>
                        <w:rPr>
                          <w:color w:val="231F1F"/>
                          <w:w w:val="105"/>
                          <w:sz w:val="22"/>
                        </w:rPr>
                        <w:t>y</w:t>
                      </w:r>
                      <w:r>
                        <w:rPr>
                          <w:color w:val="231F1F"/>
                          <w:spacing w:val="-7"/>
                          <w:w w:val="105"/>
                          <w:sz w:val="22"/>
                        </w:rPr>
                        <w:t> </w:t>
                      </w:r>
                      <w:r>
                        <w:rPr>
                          <w:color w:val="231F1F"/>
                          <w:w w:val="105"/>
                          <w:sz w:val="22"/>
                        </w:rPr>
                        <w:t>la</w:t>
                      </w:r>
                      <w:r>
                        <w:rPr>
                          <w:color w:val="231F1F"/>
                          <w:spacing w:val="-5"/>
                          <w:w w:val="105"/>
                          <w:sz w:val="22"/>
                        </w:rPr>
                        <w:t> </w:t>
                      </w:r>
                      <w:r>
                        <w:rPr>
                          <w:i/>
                          <w:color w:val="231F1F"/>
                          <w:w w:val="105"/>
                          <w:sz w:val="22"/>
                        </w:rPr>
                        <w:t>adopción</w:t>
                      </w:r>
                      <w:r>
                        <w:rPr>
                          <w:i/>
                          <w:color w:val="231F1F"/>
                          <w:spacing w:val="-9"/>
                          <w:w w:val="105"/>
                          <w:sz w:val="22"/>
                        </w:rPr>
                        <w:t> </w:t>
                      </w:r>
                      <w:r>
                        <w:rPr>
                          <w:i/>
                          <w:color w:val="231F1F"/>
                          <w:w w:val="105"/>
                          <w:sz w:val="22"/>
                        </w:rPr>
                        <w:t>de</w:t>
                      </w:r>
                      <w:r>
                        <w:rPr>
                          <w:i/>
                          <w:color w:val="231F1F"/>
                          <w:spacing w:val="-8"/>
                          <w:w w:val="105"/>
                          <w:sz w:val="22"/>
                        </w:rPr>
                        <w:t> </w:t>
                      </w:r>
                      <w:r>
                        <w:rPr>
                          <w:i/>
                          <w:color w:val="231F1F"/>
                          <w:w w:val="105"/>
                          <w:sz w:val="22"/>
                        </w:rPr>
                        <w:t>diferentes</w:t>
                      </w:r>
                      <w:r>
                        <w:rPr>
                          <w:i/>
                          <w:color w:val="231F1F"/>
                          <w:spacing w:val="-9"/>
                          <w:w w:val="105"/>
                          <w:sz w:val="22"/>
                        </w:rPr>
                        <w:t> </w:t>
                      </w:r>
                      <w:r>
                        <w:rPr>
                          <w:i/>
                          <w:color w:val="231F1F"/>
                          <w:w w:val="105"/>
                          <w:sz w:val="22"/>
                        </w:rPr>
                        <w:t>posiciones</w:t>
                      </w:r>
                      <w:r>
                        <w:rPr>
                          <w:i/>
                          <w:color w:val="231F1F"/>
                          <w:spacing w:val="-9"/>
                          <w:w w:val="105"/>
                          <w:sz w:val="22"/>
                        </w:rPr>
                        <w:t> </w:t>
                      </w:r>
                      <w:r>
                        <w:rPr>
                          <w:color w:val="231F1F"/>
                          <w:w w:val="105"/>
                          <w:sz w:val="22"/>
                        </w:rPr>
                        <w:t>sobre</w:t>
                      </w:r>
                      <w:r>
                        <w:rPr>
                          <w:color w:val="231F1F"/>
                          <w:spacing w:val="-7"/>
                          <w:w w:val="105"/>
                          <w:sz w:val="22"/>
                        </w:rPr>
                        <w:t> </w:t>
                      </w:r>
                      <w:r>
                        <w:rPr>
                          <w:color w:val="231F1F"/>
                          <w:w w:val="105"/>
                          <w:sz w:val="22"/>
                        </w:rPr>
                        <w:t>el</w:t>
                      </w:r>
                      <w:r>
                        <w:rPr>
                          <w:color w:val="231F1F"/>
                          <w:spacing w:val="-8"/>
                          <w:w w:val="105"/>
                          <w:sz w:val="22"/>
                        </w:rPr>
                        <w:t> </w:t>
                      </w:r>
                      <w:r>
                        <w:rPr>
                          <w:color w:val="231F1F"/>
                          <w:w w:val="105"/>
                          <w:sz w:val="22"/>
                        </w:rPr>
                        <w:t>parto y sus resultados?</w:t>
                      </w:r>
                    </w:p>
                    <w:p>
                      <w:pPr>
                        <w:numPr>
                          <w:ilvl w:val="0"/>
                          <w:numId w:val="22"/>
                        </w:numPr>
                        <w:tabs>
                          <w:tab w:pos="324" w:val="left" w:leader="none"/>
                        </w:tabs>
                        <w:spacing w:line="244" w:lineRule="auto" w:before="117"/>
                        <w:ind w:left="324" w:right="242" w:hanging="221"/>
                        <w:jc w:val="left"/>
                        <w:rPr>
                          <w:sz w:val="22"/>
                        </w:rPr>
                      </w:pPr>
                      <w:r>
                        <w:rPr>
                          <w:color w:val="231F1F"/>
                          <w:w w:val="105"/>
                          <w:sz w:val="22"/>
                        </w:rPr>
                        <w:t>¿Cuál</w:t>
                      </w:r>
                      <w:r>
                        <w:rPr>
                          <w:color w:val="231F1F"/>
                          <w:spacing w:val="-8"/>
                          <w:w w:val="105"/>
                          <w:sz w:val="22"/>
                        </w:rPr>
                        <w:t> </w:t>
                      </w:r>
                      <w:r>
                        <w:rPr>
                          <w:color w:val="231F1F"/>
                          <w:w w:val="105"/>
                          <w:sz w:val="22"/>
                        </w:rPr>
                        <w:t>es</w:t>
                      </w:r>
                      <w:r>
                        <w:rPr>
                          <w:color w:val="231F1F"/>
                          <w:spacing w:val="-7"/>
                          <w:w w:val="105"/>
                          <w:sz w:val="22"/>
                        </w:rPr>
                        <w:t> </w:t>
                      </w:r>
                      <w:r>
                        <w:rPr>
                          <w:color w:val="231F1F"/>
                          <w:w w:val="105"/>
                          <w:sz w:val="22"/>
                        </w:rPr>
                        <w:t>la</w:t>
                      </w:r>
                      <w:r>
                        <w:rPr>
                          <w:color w:val="231F1F"/>
                          <w:spacing w:val="-6"/>
                          <w:w w:val="105"/>
                          <w:sz w:val="22"/>
                        </w:rPr>
                        <w:t> </w:t>
                      </w:r>
                      <w:r>
                        <w:rPr>
                          <w:color w:val="231F1F"/>
                          <w:w w:val="105"/>
                          <w:sz w:val="22"/>
                        </w:rPr>
                        <w:t>efectividad</w:t>
                      </w:r>
                      <w:r>
                        <w:rPr>
                          <w:color w:val="231F1F"/>
                          <w:spacing w:val="-7"/>
                          <w:w w:val="105"/>
                          <w:sz w:val="22"/>
                        </w:rPr>
                        <w:t> </w:t>
                      </w:r>
                      <w:r>
                        <w:rPr>
                          <w:color w:val="231F1F"/>
                          <w:w w:val="105"/>
                          <w:sz w:val="22"/>
                        </w:rPr>
                        <w:t>de</w:t>
                      </w:r>
                      <w:r>
                        <w:rPr>
                          <w:color w:val="231F1F"/>
                          <w:spacing w:val="-7"/>
                          <w:w w:val="105"/>
                          <w:sz w:val="22"/>
                        </w:rPr>
                        <w:t> </w:t>
                      </w:r>
                      <w:r>
                        <w:rPr>
                          <w:color w:val="231F1F"/>
                          <w:w w:val="105"/>
                          <w:sz w:val="22"/>
                        </w:rPr>
                        <w:t>la</w:t>
                      </w:r>
                      <w:r>
                        <w:rPr>
                          <w:color w:val="231F1F"/>
                          <w:spacing w:val="-5"/>
                          <w:w w:val="105"/>
                          <w:sz w:val="22"/>
                        </w:rPr>
                        <w:t> </w:t>
                      </w:r>
                      <w:r>
                        <w:rPr>
                          <w:i/>
                          <w:color w:val="231F1F"/>
                          <w:w w:val="105"/>
                          <w:sz w:val="22"/>
                        </w:rPr>
                        <w:t>amniorrexis</w:t>
                      </w:r>
                      <w:r>
                        <w:rPr>
                          <w:i/>
                          <w:color w:val="231F1F"/>
                          <w:spacing w:val="-9"/>
                          <w:w w:val="105"/>
                          <w:sz w:val="22"/>
                        </w:rPr>
                        <w:t> </w:t>
                      </w:r>
                      <w:r>
                        <w:rPr>
                          <w:i/>
                          <w:color w:val="231F1F"/>
                          <w:w w:val="105"/>
                          <w:sz w:val="22"/>
                        </w:rPr>
                        <w:t>artificial</w:t>
                      </w:r>
                      <w:r>
                        <w:rPr>
                          <w:i/>
                          <w:color w:val="231F1F"/>
                          <w:spacing w:val="-9"/>
                          <w:w w:val="105"/>
                          <w:sz w:val="22"/>
                        </w:rPr>
                        <w:t> </w:t>
                      </w:r>
                      <w:r>
                        <w:rPr>
                          <w:i/>
                          <w:color w:val="231F1F"/>
                          <w:w w:val="105"/>
                          <w:sz w:val="22"/>
                        </w:rPr>
                        <w:t>rutinaria</w:t>
                      </w:r>
                      <w:r>
                        <w:rPr>
                          <w:i/>
                          <w:color w:val="231F1F"/>
                          <w:spacing w:val="-10"/>
                          <w:w w:val="105"/>
                          <w:sz w:val="22"/>
                        </w:rPr>
                        <w:t> </w:t>
                      </w:r>
                      <w:r>
                        <w:rPr>
                          <w:color w:val="231F1F"/>
                          <w:w w:val="105"/>
                          <w:sz w:val="22"/>
                        </w:rPr>
                        <w:t>y</w:t>
                      </w:r>
                      <w:r>
                        <w:rPr>
                          <w:color w:val="231F1F"/>
                          <w:spacing w:val="-6"/>
                          <w:w w:val="105"/>
                          <w:sz w:val="22"/>
                        </w:rPr>
                        <w:t> </w:t>
                      </w:r>
                      <w:r>
                        <w:rPr>
                          <w:color w:val="231F1F"/>
                          <w:w w:val="105"/>
                          <w:sz w:val="22"/>
                        </w:rPr>
                        <w:t>de</w:t>
                      </w:r>
                      <w:r>
                        <w:rPr>
                          <w:color w:val="231F1F"/>
                          <w:spacing w:val="-6"/>
                          <w:w w:val="105"/>
                          <w:sz w:val="22"/>
                        </w:rPr>
                        <w:t> </w:t>
                      </w:r>
                      <w:r>
                        <w:rPr>
                          <w:color w:val="231F1F"/>
                          <w:w w:val="105"/>
                          <w:sz w:val="22"/>
                        </w:rPr>
                        <w:t>la</w:t>
                      </w:r>
                      <w:r>
                        <w:rPr>
                          <w:color w:val="231F1F"/>
                          <w:spacing w:val="-6"/>
                          <w:w w:val="105"/>
                          <w:sz w:val="22"/>
                        </w:rPr>
                        <w:t> </w:t>
                      </w:r>
                      <w:r>
                        <w:rPr>
                          <w:color w:val="231F1F"/>
                          <w:w w:val="105"/>
                          <w:sz w:val="22"/>
                        </w:rPr>
                        <w:t>perfusión</w:t>
                      </w:r>
                      <w:r>
                        <w:rPr>
                          <w:color w:val="231F1F"/>
                          <w:spacing w:val="-7"/>
                          <w:w w:val="105"/>
                          <w:sz w:val="22"/>
                        </w:rPr>
                        <w:t> </w:t>
                      </w:r>
                      <w:r>
                        <w:rPr>
                          <w:color w:val="231F1F"/>
                          <w:w w:val="105"/>
                          <w:sz w:val="22"/>
                        </w:rPr>
                        <w:t>rutinaria de oxitocina?</w:t>
                      </w:r>
                    </w:p>
                    <w:p>
                      <w:pPr>
                        <w:numPr>
                          <w:ilvl w:val="0"/>
                          <w:numId w:val="22"/>
                        </w:numPr>
                        <w:tabs>
                          <w:tab w:pos="323" w:val="left" w:leader="none"/>
                        </w:tabs>
                        <w:spacing w:line="244" w:lineRule="auto" w:before="113"/>
                        <w:ind w:left="323" w:right="177" w:hanging="220"/>
                        <w:jc w:val="left"/>
                        <w:rPr>
                          <w:sz w:val="22"/>
                        </w:rPr>
                      </w:pPr>
                      <w:r>
                        <w:rPr>
                          <w:color w:val="231F1F"/>
                          <w:spacing w:val="-2"/>
                          <w:w w:val="110"/>
                          <w:sz w:val="22"/>
                        </w:rPr>
                        <w:t>¿Es</w:t>
                      </w:r>
                      <w:r>
                        <w:rPr>
                          <w:color w:val="231F1F"/>
                          <w:spacing w:val="-8"/>
                          <w:w w:val="110"/>
                          <w:sz w:val="22"/>
                        </w:rPr>
                        <w:t> </w:t>
                      </w:r>
                      <w:r>
                        <w:rPr>
                          <w:color w:val="231F1F"/>
                          <w:spacing w:val="-2"/>
                          <w:w w:val="110"/>
                          <w:sz w:val="22"/>
                        </w:rPr>
                        <w:t>necesario</w:t>
                      </w:r>
                      <w:r>
                        <w:rPr>
                          <w:color w:val="231F1F"/>
                          <w:spacing w:val="-7"/>
                          <w:w w:val="110"/>
                          <w:sz w:val="22"/>
                        </w:rPr>
                        <w:t> </w:t>
                      </w:r>
                      <w:r>
                        <w:rPr>
                          <w:color w:val="231F1F"/>
                          <w:spacing w:val="-2"/>
                          <w:w w:val="110"/>
                          <w:sz w:val="22"/>
                        </w:rPr>
                        <w:t>el</w:t>
                      </w:r>
                      <w:r>
                        <w:rPr>
                          <w:color w:val="231F1F"/>
                          <w:spacing w:val="-7"/>
                          <w:w w:val="110"/>
                          <w:sz w:val="22"/>
                        </w:rPr>
                        <w:t> </w:t>
                      </w:r>
                      <w:r>
                        <w:rPr>
                          <w:color w:val="231F1F"/>
                          <w:spacing w:val="-2"/>
                          <w:w w:val="110"/>
                          <w:sz w:val="22"/>
                        </w:rPr>
                        <w:t>empleo</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antisépticos</w:t>
                      </w:r>
                      <w:r>
                        <w:rPr>
                          <w:color w:val="231F1F"/>
                          <w:spacing w:val="-7"/>
                          <w:w w:val="110"/>
                          <w:sz w:val="22"/>
                        </w:rPr>
                        <w:t> </w:t>
                      </w:r>
                      <w:r>
                        <w:rPr>
                          <w:color w:val="231F1F"/>
                          <w:spacing w:val="-2"/>
                          <w:w w:val="110"/>
                          <w:sz w:val="22"/>
                        </w:rPr>
                        <w:t>en</w:t>
                      </w:r>
                      <w:r>
                        <w:rPr>
                          <w:color w:val="231F1F"/>
                          <w:spacing w:val="-7"/>
                          <w:w w:val="110"/>
                          <w:sz w:val="22"/>
                        </w:rPr>
                        <w:t> </w:t>
                      </w:r>
                      <w:r>
                        <w:rPr>
                          <w:color w:val="231F1F"/>
                          <w:spacing w:val="-2"/>
                          <w:w w:val="110"/>
                          <w:sz w:val="22"/>
                        </w:rPr>
                        <w:t>el</w:t>
                      </w:r>
                      <w:r>
                        <w:rPr>
                          <w:color w:val="231F1F"/>
                          <w:spacing w:val="-7"/>
                          <w:w w:val="110"/>
                          <w:sz w:val="22"/>
                        </w:rPr>
                        <w:t> </w:t>
                      </w:r>
                      <w:r>
                        <w:rPr>
                          <w:i/>
                          <w:color w:val="231F1F"/>
                          <w:spacing w:val="-2"/>
                          <w:w w:val="110"/>
                          <w:sz w:val="22"/>
                        </w:rPr>
                        <w:t>lavado</w:t>
                      </w:r>
                      <w:r>
                        <w:rPr>
                          <w:i/>
                          <w:color w:val="231F1F"/>
                          <w:spacing w:val="-10"/>
                          <w:w w:val="110"/>
                          <w:sz w:val="22"/>
                        </w:rPr>
                        <w:t> </w:t>
                      </w:r>
                      <w:r>
                        <w:rPr>
                          <w:i/>
                          <w:color w:val="231F1F"/>
                          <w:spacing w:val="-2"/>
                          <w:w w:val="110"/>
                          <w:sz w:val="22"/>
                        </w:rPr>
                        <w:t>vulvovaginal</w:t>
                      </w:r>
                      <w:r>
                        <w:rPr>
                          <w:i/>
                          <w:color w:val="231F1F"/>
                          <w:spacing w:val="-10"/>
                          <w:w w:val="110"/>
                          <w:sz w:val="22"/>
                        </w:rPr>
                        <w:t> </w:t>
                      </w:r>
                      <w:r>
                        <w:rPr>
                          <w:color w:val="231F1F"/>
                          <w:spacing w:val="-2"/>
                          <w:w w:val="110"/>
                          <w:sz w:val="22"/>
                        </w:rPr>
                        <w:t>previo</w:t>
                      </w:r>
                      <w:r>
                        <w:rPr>
                          <w:color w:val="231F1F"/>
                          <w:spacing w:val="-7"/>
                          <w:w w:val="110"/>
                          <w:sz w:val="22"/>
                        </w:rPr>
                        <w:t> </w:t>
                      </w:r>
                      <w:r>
                        <w:rPr>
                          <w:color w:val="231F1F"/>
                          <w:spacing w:val="-2"/>
                          <w:w w:val="110"/>
                          <w:sz w:val="22"/>
                        </w:rPr>
                        <w:t>al</w:t>
                      </w:r>
                      <w:r>
                        <w:rPr>
                          <w:color w:val="231F1F"/>
                          <w:spacing w:val="-7"/>
                          <w:w w:val="110"/>
                          <w:sz w:val="22"/>
                        </w:rPr>
                        <w:t> </w:t>
                      </w:r>
                      <w:r>
                        <w:rPr>
                          <w:color w:val="231F1F"/>
                          <w:spacing w:val="-2"/>
                          <w:w w:val="110"/>
                          <w:sz w:val="22"/>
                        </w:rPr>
                        <w:t>tacto</w:t>
                      </w:r>
                      <w:r>
                        <w:rPr>
                          <w:color w:val="231F1F"/>
                          <w:spacing w:val="-7"/>
                          <w:w w:val="110"/>
                          <w:sz w:val="22"/>
                        </w:rPr>
                        <w:t> </w:t>
                      </w:r>
                      <w:r>
                        <w:rPr>
                          <w:color w:val="231F1F"/>
                          <w:spacing w:val="-2"/>
                          <w:w w:val="110"/>
                          <w:sz w:val="22"/>
                        </w:rPr>
                        <w:t>va- ginal?</w:t>
                      </w:r>
                    </w:p>
                    <w:p>
                      <w:pPr>
                        <w:numPr>
                          <w:ilvl w:val="0"/>
                          <w:numId w:val="22"/>
                        </w:numPr>
                        <w:tabs>
                          <w:tab w:pos="321" w:val="left" w:leader="none"/>
                        </w:tabs>
                        <w:spacing w:before="132"/>
                        <w:ind w:left="321" w:right="0" w:hanging="218"/>
                        <w:jc w:val="left"/>
                        <w:rPr>
                          <w:sz w:val="22"/>
                        </w:rPr>
                      </w:pPr>
                      <w:r>
                        <w:rPr>
                          <w:color w:val="231F1F"/>
                          <w:sz w:val="22"/>
                        </w:rPr>
                        <w:t>¿La</w:t>
                      </w:r>
                      <w:r>
                        <w:rPr>
                          <w:color w:val="231F1F"/>
                          <w:spacing w:val="26"/>
                          <w:sz w:val="22"/>
                        </w:rPr>
                        <w:t> </w:t>
                      </w:r>
                      <w:r>
                        <w:rPr>
                          <w:color w:val="231F1F"/>
                          <w:sz w:val="22"/>
                        </w:rPr>
                        <w:t>utilización</w:t>
                      </w:r>
                      <w:r>
                        <w:rPr>
                          <w:color w:val="231F1F"/>
                          <w:spacing w:val="26"/>
                          <w:sz w:val="22"/>
                        </w:rPr>
                        <w:t> </w:t>
                      </w:r>
                      <w:r>
                        <w:rPr>
                          <w:color w:val="231F1F"/>
                          <w:sz w:val="22"/>
                        </w:rPr>
                        <w:t>del</w:t>
                      </w:r>
                      <w:r>
                        <w:rPr>
                          <w:color w:val="231F1F"/>
                          <w:spacing w:val="26"/>
                          <w:sz w:val="22"/>
                        </w:rPr>
                        <w:t> </w:t>
                      </w:r>
                      <w:r>
                        <w:rPr>
                          <w:i/>
                          <w:color w:val="231F1F"/>
                          <w:sz w:val="22"/>
                        </w:rPr>
                        <w:t>partograma</w:t>
                      </w:r>
                      <w:r>
                        <w:rPr>
                          <w:i/>
                          <w:color w:val="231F1F"/>
                          <w:spacing w:val="26"/>
                          <w:sz w:val="22"/>
                        </w:rPr>
                        <w:t> </w:t>
                      </w:r>
                      <w:r>
                        <w:rPr>
                          <w:color w:val="231F1F"/>
                          <w:sz w:val="22"/>
                        </w:rPr>
                        <w:t>mejora</w:t>
                      </w:r>
                      <w:r>
                        <w:rPr>
                          <w:color w:val="231F1F"/>
                          <w:spacing w:val="27"/>
                          <w:sz w:val="22"/>
                        </w:rPr>
                        <w:t> </w:t>
                      </w:r>
                      <w:r>
                        <w:rPr>
                          <w:color w:val="231F1F"/>
                          <w:sz w:val="22"/>
                        </w:rPr>
                        <w:t>los</w:t>
                      </w:r>
                      <w:r>
                        <w:rPr>
                          <w:color w:val="231F1F"/>
                          <w:spacing w:val="26"/>
                          <w:sz w:val="22"/>
                        </w:rPr>
                        <w:t> </w:t>
                      </w:r>
                      <w:r>
                        <w:rPr>
                          <w:color w:val="231F1F"/>
                          <w:spacing w:val="-2"/>
                          <w:sz w:val="22"/>
                        </w:rPr>
                        <w:t>resultados?</w:t>
                      </w:r>
                    </w:p>
                    <w:p>
                      <w:pPr>
                        <w:numPr>
                          <w:ilvl w:val="0"/>
                          <w:numId w:val="22"/>
                        </w:numPr>
                        <w:tabs>
                          <w:tab w:pos="323" w:val="left" w:leader="none"/>
                        </w:tabs>
                        <w:spacing w:line="249" w:lineRule="auto" w:before="122"/>
                        <w:ind w:left="323" w:right="245" w:hanging="220"/>
                        <w:jc w:val="left"/>
                        <w:rPr>
                          <w:sz w:val="22"/>
                        </w:rPr>
                      </w:pPr>
                      <w:r>
                        <w:rPr>
                          <w:color w:val="231F1F"/>
                          <w:w w:val="105"/>
                          <w:sz w:val="22"/>
                        </w:rPr>
                        <w:t>¿Cuál</w:t>
                      </w:r>
                      <w:r>
                        <w:rPr>
                          <w:color w:val="231F1F"/>
                          <w:spacing w:val="-8"/>
                          <w:w w:val="105"/>
                          <w:sz w:val="22"/>
                        </w:rPr>
                        <w:t> </w:t>
                      </w:r>
                      <w:r>
                        <w:rPr>
                          <w:color w:val="231F1F"/>
                          <w:w w:val="105"/>
                          <w:sz w:val="22"/>
                        </w:rPr>
                        <w:t>es</w:t>
                      </w:r>
                      <w:r>
                        <w:rPr>
                          <w:color w:val="231F1F"/>
                          <w:spacing w:val="-7"/>
                          <w:w w:val="105"/>
                          <w:sz w:val="22"/>
                        </w:rPr>
                        <w:t> </w:t>
                      </w:r>
                      <w:r>
                        <w:rPr>
                          <w:color w:val="231F1F"/>
                          <w:w w:val="105"/>
                          <w:sz w:val="22"/>
                        </w:rPr>
                        <w:t>la</w:t>
                      </w:r>
                      <w:r>
                        <w:rPr>
                          <w:color w:val="231F1F"/>
                          <w:spacing w:val="-6"/>
                          <w:w w:val="105"/>
                          <w:sz w:val="22"/>
                        </w:rPr>
                        <w:t> </w:t>
                      </w:r>
                      <w:r>
                        <w:rPr>
                          <w:i/>
                          <w:color w:val="231F1F"/>
                          <w:w w:val="105"/>
                          <w:sz w:val="22"/>
                        </w:rPr>
                        <w:t>frecuencia</w:t>
                      </w:r>
                      <w:r>
                        <w:rPr>
                          <w:i/>
                          <w:color w:val="231F1F"/>
                          <w:spacing w:val="-8"/>
                          <w:w w:val="105"/>
                          <w:sz w:val="22"/>
                        </w:rPr>
                        <w:t> </w:t>
                      </w:r>
                      <w:r>
                        <w:rPr>
                          <w:i/>
                          <w:color w:val="231F1F"/>
                          <w:w w:val="105"/>
                          <w:sz w:val="22"/>
                        </w:rPr>
                        <w:t>óptima</w:t>
                      </w:r>
                      <w:r>
                        <w:rPr>
                          <w:i/>
                          <w:color w:val="231F1F"/>
                          <w:spacing w:val="-9"/>
                          <w:w w:val="105"/>
                          <w:sz w:val="22"/>
                        </w:rPr>
                        <w:t> </w:t>
                      </w:r>
                      <w:r>
                        <w:rPr>
                          <w:i/>
                          <w:color w:val="231F1F"/>
                          <w:w w:val="105"/>
                          <w:sz w:val="22"/>
                        </w:rPr>
                        <w:t>de</w:t>
                      </w:r>
                      <w:r>
                        <w:rPr>
                          <w:i/>
                          <w:color w:val="231F1F"/>
                          <w:spacing w:val="-8"/>
                          <w:w w:val="105"/>
                          <w:sz w:val="22"/>
                        </w:rPr>
                        <w:t> </w:t>
                      </w:r>
                      <w:r>
                        <w:rPr>
                          <w:i/>
                          <w:color w:val="231F1F"/>
                          <w:w w:val="105"/>
                          <w:sz w:val="22"/>
                        </w:rPr>
                        <w:t>exploraciones</w:t>
                      </w:r>
                      <w:r>
                        <w:rPr>
                          <w:i/>
                          <w:color w:val="231F1F"/>
                          <w:spacing w:val="-6"/>
                          <w:w w:val="105"/>
                          <w:sz w:val="22"/>
                        </w:rPr>
                        <w:t> </w:t>
                      </w:r>
                      <w:r>
                        <w:rPr>
                          <w:color w:val="231F1F"/>
                          <w:w w:val="105"/>
                          <w:sz w:val="22"/>
                        </w:rPr>
                        <w:t>vaginales</w:t>
                      </w:r>
                      <w:r>
                        <w:rPr>
                          <w:color w:val="231F1F"/>
                          <w:spacing w:val="-7"/>
                          <w:w w:val="105"/>
                          <w:sz w:val="22"/>
                        </w:rPr>
                        <w:t> </w:t>
                      </w:r>
                      <w:r>
                        <w:rPr>
                          <w:color w:val="231F1F"/>
                          <w:w w:val="105"/>
                          <w:sz w:val="22"/>
                        </w:rPr>
                        <w:t>durante</w:t>
                      </w:r>
                      <w:r>
                        <w:rPr>
                          <w:color w:val="231F1F"/>
                          <w:spacing w:val="-7"/>
                          <w:w w:val="105"/>
                          <w:sz w:val="22"/>
                        </w:rPr>
                        <w:t> </w:t>
                      </w:r>
                      <w:r>
                        <w:rPr>
                          <w:color w:val="231F1F"/>
                          <w:w w:val="105"/>
                          <w:sz w:val="22"/>
                        </w:rPr>
                        <w:t>el</w:t>
                      </w:r>
                      <w:r>
                        <w:rPr>
                          <w:color w:val="231F1F"/>
                          <w:spacing w:val="-8"/>
                          <w:w w:val="105"/>
                          <w:sz w:val="22"/>
                        </w:rPr>
                        <w:t> </w:t>
                      </w:r>
                      <w:r>
                        <w:rPr>
                          <w:color w:val="231F1F"/>
                          <w:w w:val="105"/>
                          <w:sz w:val="22"/>
                        </w:rPr>
                        <w:t>periodo</w:t>
                      </w:r>
                      <w:r>
                        <w:rPr>
                          <w:color w:val="231F1F"/>
                          <w:spacing w:val="-7"/>
                          <w:w w:val="105"/>
                          <w:sz w:val="22"/>
                        </w:rPr>
                        <w:t> </w:t>
                      </w:r>
                      <w:r>
                        <w:rPr>
                          <w:color w:val="231F1F"/>
                          <w:w w:val="105"/>
                          <w:sz w:val="22"/>
                        </w:rPr>
                        <w:t>de</w:t>
                      </w:r>
                      <w:r>
                        <w:rPr>
                          <w:color w:val="231F1F"/>
                          <w:spacing w:val="-6"/>
                          <w:w w:val="105"/>
                          <w:sz w:val="22"/>
                        </w:rPr>
                        <w:t> </w:t>
                      </w:r>
                      <w:r>
                        <w:rPr>
                          <w:color w:val="231F1F"/>
                          <w:w w:val="105"/>
                          <w:sz w:val="22"/>
                        </w:rPr>
                        <w:t>dilata- </w:t>
                      </w:r>
                      <w:r>
                        <w:rPr>
                          <w:color w:val="231F1F"/>
                          <w:spacing w:val="-4"/>
                          <w:w w:val="105"/>
                          <w:sz w:val="22"/>
                        </w:rPr>
                        <w:t>ción?</w:t>
                      </w:r>
                    </w:p>
                    <w:p>
                      <w:pPr>
                        <w:numPr>
                          <w:ilvl w:val="0"/>
                          <w:numId w:val="22"/>
                        </w:numPr>
                        <w:tabs>
                          <w:tab w:pos="321" w:val="left" w:leader="none"/>
                        </w:tabs>
                        <w:spacing w:before="126"/>
                        <w:ind w:left="321" w:right="0" w:hanging="218"/>
                        <w:jc w:val="left"/>
                        <w:rPr>
                          <w:sz w:val="22"/>
                        </w:rPr>
                      </w:pPr>
                      <w:r>
                        <w:rPr>
                          <w:color w:val="231F1F"/>
                          <w:sz w:val="22"/>
                        </w:rPr>
                        <w:t>¿Qué</w:t>
                      </w:r>
                      <w:r>
                        <w:rPr>
                          <w:color w:val="231F1F"/>
                          <w:spacing w:val="22"/>
                          <w:sz w:val="22"/>
                        </w:rPr>
                        <w:t> </w:t>
                      </w:r>
                      <w:r>
                        <w:rPr>
                          <w:color w:val="231F1F"/>
                          <w:sz w:val="22"/>
                        </w:rPr>
                        <w:t>métodos</w:t>
                      </w:r>
                      <w:r>
                        <w:rPr>
                          <w:color w:val="231F1F"/>
                          <w:spacing w:val="22"/>
                          <w:sz w:val="22"/>
                        </w:rPr>
                        <w:t> </w:t>
                      </w:r>
                      <w:r>
                        <w:rPr>
                          <w:color w:val="231F1F"/>
                          <w:sz w:val="22"/>
                        </w:rPr>
                        <w:t>son</w:t>
                      </w:r>
                      <w:r>
                        <w:rPr>
                          <w:color w:val="231F1F"/>
                          <w:spacing w:val="24"/>
                          <w:sz w:val="22"/>
                        </w:rPr>
                        <w:t> </w:t>
                      </w:r>
                      <w:r>
                        <w:rPr>
                          <w:color w:val="231F1F"/>
                          <w:sz w:val="22"/>
                        </w:rPr>
                        <w:t>eficaces</w:t>
                      </w:r>
                      <w:r>
                        <w:rPr>
                          <w:color w:val="231F1F"/>
                          <w:spacing w:val="22"/>
                          <w:sz w:val="22"/>
                        </w:rPr>
                        <w:t> </w:t>
                      </w:r>
                      <w:r>
                        <w:rPr>
                          <w:color w:val="231F1F"/>
                          <w:sz w:val="22"/>
                        </w:rPr>
                        <w:t>para</w:t>
                      </w:r>
                      <w:r>
                        <w:rPr>
                          <w:color w:val="231F1F"/>
                          <w:spacing w:val="22"/>
                          <w:sz w:val="22"/>
                        </w:rPr>
                        <w:t> </w:t>
                      </w:r>
                      <w:r>
                        <w:rPr>
                          <w:color w:val="231F1F"/>
                          <w:sz w:val="22"/>
                        </w:rPr>
                        <w:t>tratar</w:t>
                      </w:r>
                      <w:r>
                        <w:rPr>
                          <w:color w:val="231F1F"/>
                          <w:spacing w:val="24"/>
                          <w:sz w:val="22"/>
                        </w:rPr>
                        <w:t> </w:t>
                      </w:r>
                      <w:r>
                        <w:rPr>
                          <w:color w:val="231F1F"/>
                          <w:sz w:val="22"/>
                        </w:rPr>
                        <w:t>el</w:t>
                      </w:r>
                      <w:r>
                        <w:rPr>
                          <w:color w:val="231F1F"/>
                          <w:spacing w:val="22"/>
                          <w:sz w:val="22"/>
                        </w:rPr>
                        <w:t> </w:t>
                      </w:r>
                      <w:r>
                        <w:rPr>
                          <w:i/>
                          <w:color w:val="231F1F"/>
                          <w:sz w:val="22"/>
                        </w:rPr>
                        <w:t>retardo</w:t>
                      </w:r>
                      <w:r>
                        <w:rPr>
                          <w:i/>
                          <w:color w:val="231F1F"/>
                          <w:spacing w:val="24"/>
                          <w:sz w:val="22"/>
                        </w:rPr>
                        <w:t> </w:t>
                      </w:r>
                      <w:r>
                        <w:rPr>
                          <w:i/>
                          <w:color w:val="231F1F"/>
                          <w:sz w:val="22"/>
                        </w:rPr>
                        <w:t>de</w:t>
                      </w:r>
                      <w:r>
                        <w:rPr>
                          <w:i/>
                          <w:color w:val="231F1F"/>
                          <w:spacing w:val="22"/>
                          <w:sz w:val="22"/>
                        </w:rPr>
                        <w:t> </w:t>
                      </w:r>
                      <w:r>
                        <w:rPr>
                          <w:i/>
                          <w:color w:val="231F1F"/>
                          <w:sz w:val="22"/>
                        </w:rPr>
                        <w:t>la</w:t>
                      </w:r>
                      <w:r>
                        <w:rPr>
                          <w:i/>
                          <w:color w:val="231F1F"/>
                          <w:spacing w:val="22"/>
                          <w:sz w:val="22"/>
                        </w:rPr>
                        <w:t> </w:t>
                      </w:r>
                      <w:r>
                        <w:rPr>
                          <w:i/>
                          <w:color w:val="231F1F"/>
                          <w:sz w:val="22"/>
                        </w:rPr>
                        <w:t>primera</w:t>
                      </w:r>
                      <w:r>
                        <w:rPr>
                          <w:i/>
                          <w:color w:val="231F1F"/>
                          <w:spacing w:val="24"/>
                          <w:sz w:val="22"/>
                        </w:rPr>
                        <w:t> </w:t>
                      </w:r>
                      <w:r>
                        <w:rPr>
                          <w:i/>
                          <w:color w:val="231F1F"/>
                          <w:sz w:val="22"/>
                        </w:rPr>
                        <w:t>etapa</w:t>
                      </w:r>
                      <w:r>
                        <w:rPr>
                          <w:i/>
                          <w:color w:val="231F1F"/>
                          <w:spacing w:val="22"/>
                          <w:sz w:val="22"/>
                        </w:rPr>
                        <w:t> </w:t>
                      </w:r>
                      <w:r>
                        <w:rPr>
                          <w:color w:val="231F1F"/>
                          <w:sz w:val="22"/>
                        </w:rPr>
                        <w:t>del</w:t>
                      </w:r>
                      <w:r>
                        <w:rPr>
                          <w:color w:val="231F1F"/>
                          <w:spacing w:val="24"/>
                          <w:sz w:val="22"/>
                        </w:rPr>
                        <w:t> </w:t>
                      </w:r>
                      <w:r>
                        <w:rPr>
                          <w:color w:val="231F1F"/>
                          <w:spacing w:val="-2"/>
                          <w:sz w:val="22"/>
                        </w:rPr>
                        <w:t>parto?</w:t>
                      </w:r>
                    </w:p>
                  </w:txbxContent>
                </v:textbox>
                <v:stroke dashstyle="solid"/>
                <w10:wrap type="topAndBottom"/>
              </v:shape>
            </w:pict>
          </mc:Fallback>
        </mc:AlternateContent>
      </w:r>
    </w:p>
    <w:p>
      <w:pPr>
        <w:pStyle w:val="BodyText"/>
        <w:spacing w:before="91"/>
        <w:rPr>
          <w:sz w:val="36"/>
        </w:rPr>
      </w:pPr>
    </w:p>
    <w:p>
      <w:pPr>
        <w:pStyle w:val="Heading3"/>
        <w:spacing w:before="0"/>
        <w:ind w:left="283" w:firstLine="0"/>
      </w:pPr>
      <w:r>
        <w:rPr>
          <w:color w:val="231F1F"/>
          <w:w w:val="105"/>
        </w:rPr>
        <w:t>5.5.1</w:t>
      </w:r>
      <w:r>
        <w:rPr>
          <w:color w:val="231F1F"/>
          <w:spacing w:val="35"/>
          <w:w w:val="105"/>
        </w:rPr>
        <w:t> </w:t>
      </w:r>
      <w:r>
        <w:rPr>
          <w:color w:val="231F1F"/>
          <w:spacing w:val="-2"/>
          <w:w w:val="105"/>
        </w:rPr>
        <w:t>Enema</w:t>
      </w:r>
    </w:p>
    <w:p>
      <w:pPr>
        <w:pStyle w:val="BodyText"/>
        <w:spacing w:before="15"/>
        <w:rPr>
          <w:sz w:val="20"/>
        </w:rPr>
      </w:pPr>
      <w:r>
        <w:rPr>
          <w:sz w:val="20"/>
        </w:rPr>
        <mc:AlternateContent>
          <mc:Choice Requires="wps">
            <w:drawing>
              <wp:anchor distT="0" distB="0" distL="0" distR="0" allowOverlap="1" layoutInCell="1" locked="0" behindDoc="1" simplePos="0" relativeHeight="487601664">
                <wp:simplePos x="0" y="0"/>
                <wp:positionH relativeFrom="page">
                  <wp:posOffset>1082675</wp:posOffset>
                </wp:positionH>
                <wp:positionV relativeFrom="paragraph">
                  <wp:posOffset>174030</wp:posOffset>
                </wp:positionV>
                <wp:extent cx="5400040" cy="262255"/>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5400040" cy="262255"/>
                        </a:xfrm>
                        <a:prstGeom prst="rect">
                          <a:avLst/>
                        </a:prstGeom>
                        <a:ln w="6350">
                          <a:solidFill>
                            <a:srgbClr val="A30046"/>
                          </a:solidFill>
                          <a:prstDash val="solid"/>
                        </a:ln>
                      </wps:spPr>
                      <wps:txbx>
                        <w:txbxContent>
                          <w:p>
                            <w:pPr>
                              <w:pStyle w:val="BodyText"/>
                              <w:numPr>
                                <w:ilvl w:val="0"/>
                                <w:numId w:val="23"/>
                              </w:numPr>
                              <w:tabs>
                                <w:tab w:pos="322" w:val="left" w:leader="none"/>
                              </w:tabs>
                              <w:spacing w:line="240" w:lineRule="auto" w:before="46" w:after="0"/>
                              <w:ind w:left="322" w:right="0" w:hanging="218"/>
                              <w:jc w:val="left"/>
                            </w:pPr>
                            <w:r>
                              <w:rPr>
                                <w:color w:val="231F1F"/>
                              </w:rPr>
                              <w:t>¿Cuál</w:t>
                            </w:r>
                            <w:r>
                              <w:rPr>
                                <w:color w:val="231F1F"/>
                                <w:spacing w:val="35"/>
                              </w:rPr>
                              <w:t> </w:t>
                            </w:r>
                            <w:r>
                              <w:rPr>
                                <w:color w:val="231F1F"/>
                              </w:rPr>
                              <w:t>es</w:t>
                            </w:r>
                            <w:r>
                              <w:rPr>
                                <w:color w:val="231F1F"/>
                                <w:spacing w:val="38"/>
                              </w:rPr>
                              <w:t> </w:t>
                            </w:r>
                            <w:r>
                              <w:rPr>
                                <w:color w:val="231F1F"/>
                              </w:rPr>
                              <w:t>la</w:t>
                            </w:r>
                            <w:r>
                              <w:rPr>
                                <w:color w:val="231F1F"/>
                                <w:spacing w:val="37"/>
                              </w:rPr>
                              <w:t> </w:t>
                            </w:r>
                            <w:r>
                              <w:rPr>
                                <w:color w:val="231F1F"/>
                              </w:rPr>
                              <w:t>efectividad</w:t>
                            </w:r>
                            <w:r>
                              <w:rPr>
                                <w:color w:val="231F1F"/>
                                <w:spacing w:val="38"/>
                              </w:rPr>
                              <w:t> </w:t>
                            </w:r>
                            <w:r>
                              <w:rPr>
                                <w:color w:val="231F1F"/>
                              </w:rPr>
                              <w:t>del</w:t>
                            </w:r>
                            <w:r>
                              <w:rPr>
                                <w:color w:val="231F1F"/>
                                <w:spacing w:val="34"/>
                              </w:rPr>
                              <w:t> </w:t>
                            </w:r>
                            <w:r>
                              <w:rPr>
                                <w:color w:val="231F1F"/>
                              </w:rPr>
                              <w:t>enema</w:t>
                            </w:r>
                            <w:r>
                              <w:rPr>
                                <w:color w:val="231F1F"/>
                                <w:spacing w:val="37"/>
                              </w:rPr>
                              <w:t> </w:t>
                            </w:r>
                            <w:r>
                              <w:rPr>
                                <w:color w:val="231F1F"/>
                              </w:rPr>
                              <w:t>rutinario</w:t>
                            </w:r>
                            <w:r>
                              <w:rPr>
                                <w:color w:val="231F1F"/>
                                <w:spacing w:val="38"/>
                              </w:rPr>
                              <w:t> </w:t>
                            </w:r>
                            <w:r>
                              <w:rPr>
                                <w:color w:val="231F1F"/>
                              </w:rPr>
                              <w:t>durante</w:t>
                            </w:r>
                            <w:r>
                              <w:rPr>
                                <w:color w:val="231F1F"/>
                                <w:spacing w:val="37"/>
                              </w:rPr>
                              <w:t> </w:t>
                            </w:r>
                            <w:r>
                              <w:rPr>
                                <w:color w:val="231F1F"/>
                              </w:rPr>
                              <w:t>el</w:t>
                            </w:r>
                            <w:r>
                              <w:rPr>
                                <w:color w:val="231F1F"/>
                                <w:spacing w:val="36"/>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703187pt;width:425.2pt;height:20.65pt;mso-position-horizontal-relative:page;mso-position-vertical-relative:paragraph;z-index:-15714816;mso-wrap-distance-left:0;mso-wrap-distance-right:0" type="#_x0000_t202" id="docshape50" filled="false" stroked="true" strokeweight=".5pt" strokecolor="#a30046">
                <v:textbox inset="0,0,0,0">
                  <w:txbxContent>
                    <w:p>
                      <w:pPr>
                        <w:pStyle w:val="BodyText"/>
                        <w:numPr>
                          <w:ilvl w:val="0"/>
                          <w:numId w:val="23"/>
                        </w:numPr>
                        <w:tabs>
                          <w:tab w:pos="322" w:val="left" w:leader="none"/>
                        </w:tabs>
                        <w:spacing w:line="240" w:lineRule="auto" w:before="46" w:after="0"/>
                        <w:ind w:left="322" w:right="0" w:hanging="218"/>
                        <w:jc w:val="left"/>
                      </w:pPr>
                      <w:r>
                        <w:rPr>
                          <w:color w:val="231F1F"/>
                        </w:rPr>
                        <w:t>¿Cuál</w:t>
                      </w:r>
                      <w:r>
                        <w:rPr>
                          <w:color w:val="231F1F"/>
                          <w:spacing w:val="35"/>
                        </w:rPr>
                        <w:t> </w:t>
                      </w:r>
                      <w:r>
                        <w:rPr>
                          <w:color w:val="231F1F"/>
                        </w:rPr>
                        <w:t>es</w:t>
                      </w:r>
                      <w:r>
                        <w:rPr>
                          <w:color w:val="231F1F"/>
                          <w:spacing w:val="38"/>
                        </w:rPr>
                        <w:t> </w:t>
                      </w:r>
                      <w:r>
                        <w:rPr>
                          <w:color w:val="231F1F"/>
                        </w:rPr>
                        <w:t>la</w:t>
                      </w:r>
                      <w:r>
                        <w:rPr>
                          <w:color w:val="231F1F"/>
                          <w:spacing w:val="37"/>
                        </w:rPr>
                        <w:t> </w:t>
                      </w:r>
                      <w:r>
                        <w:rPr>
                          <w:color w:val="231F1F"/>
                        </w:rPr>
                        <w:t>efectividad</w:t>
                      </w:r>
                      <w:r>
                        <w:rPr>
                          <w:color w:val="231F1F"/>
                          <w:spacing w:val="38"/>
                        </w:rPr>
                        <w:t> </w:t>
                      </w:r>
                      <w:r>
                        <w:rPr>
                          <w:color w:val="231F1F"/>
                        </w:rPr>
                        <w:t>del</w:t>
                      </w:r>
                      <w:r>
                        <w:rPr>
                          <w:color w:val="231F1F"/>
                          <w:spacing w:val="34"/>
                        </w:rPr>
                        <w:t> </w:t>
                      </w:r>
                      <w:r>
                        <w:rPr>
                          <w:color w:val="231F1F"/>
                        </w:rPr>
                        <w:t>enema</w:t>
                      </w:r>
                      <w:r>
                        <w:rPr>
                          <w:color w:val="231F1F"/>
                          <w:spacing w:val="37"/>
                        </w:rPr>
                        <w:t> </w:t>
                      </w:r>
                      <w:r>
                        <w:rPr>
                          <w:color w:val="231F1F"/>
                        </w:rPr>
                        <w:t>rutinario</w:t>
                      </w:r>
                      <w:r>
                        <w:rPr>
                          <w:color w:val="231F1F"/>
                          <w:spacing w:val="38"/>
                        </w:rPr>
                        <w:t> </w:t>
                      </w:r>
                      <w:r>
                        <w:rPr>
                          <w:color w:val="231F1F"/>
                        </w:rPr>
                        <w:t>durante</w:t>
                      </w:r>
                      <w:r>
                        <w:rPr>
                          <w:color w:val="231F1F"/>
                          <w:spacing w:val="37"/>
                        </w:rPr>
                        <w:t> </w:t>
                      </w:r>
                      <w:r>
                        <w:rPr>
                          <w:color w:val="231F1F"/>
                        </w:rPr>
                        <w:t>el</w:t>
                      </w:r>
                      <w:r>
                        <w:rPr>
                          <w:color w:val="231F1F"/>
                          <w:spacing w:val="36"/>
                        </w:rPr>
                        <w:t> </w:t>
                      </w:r>
                      <w:r>
                        <w:rPr>
                          <w:color w:val="231F1F"/>
                          <w:spacing w:val="-2"/>
                        </w:rPr>
                        <w:t>parto?</w:t>
                      </w:r>
                    </w:p>
                  </w:txbxContent>
                </v:textbox>
                <v:stroke dashstyle="solid"/>
                <w10:wrap type="topAndBottom"/>
              </v:shape>
            </w:pict>
          </mc:Fallback>
        </mc:AlternateContent>
      </w:r>
    </w:p>
    <w:p>
      <w:pPr>
        <w:pStyle w:val="BodyText"/>
        <w:spacing w:line="247" w:lineRule="auto" w:before="320"/>
        <w:ind w:left="283" w:right="122"/>
        <w:jc w:val="both"/>
      </w:pPr>
      <w:r>
        <w:rPr>
          <w:color w:val="231F1F"/>
          <w:w w:val="110"/>
        </w:rPr>
        <w:t>Durante</w:t>
      </w:r>
      <w:r>
        <w:rPr>
          <w:color w:val="231F1F"/>
          <w:spacing w:val="-8"/>
          <w:w w:val="110"/>
        </w:rPr>
        <w:t> </w:t>
      </w:r>
      <w:r>
        <w:rPr>
          <w:color w:val="231F1F"/>
          <w:w w:val="110"/>
        </w:rPr>
        <w:t>muchos</w:t>
      </w:r>
      <w:r>
        <w:rPr>
          <w:color w:val="231F1F"/>
          <w:spacing w:val="-8"/>
          <w:w w:val="110"/>
        </w:rPr>
        <w:t> </w:t>
      </w:r>
      <w:r>
        <w:rPr>
          <w:color w:val="231F1F"/>
          <w:w w:val="110"/>
        </w:rPr>
        <w:t>años</w:t>
      </w:r>
      <w:r>
        <w:rPr>
          <w:color w:val="231F1F"/>
          <w:spacing w:val="-8"/>
          <w:w w:val="110"/>
        </w:rPr>
        <w:t> </w:t>
      </w:r>
      <w:r>
        <w:rPr>
          <w:color w:val="231F1F"/>
          <w:w w:val="110"/>
        </w:rPr>
        <w:t>se</w:t>
      </w:r>
      <w:r>
        <w:rPr>
          <w:color w:val="231F1F"/>
          <w:spacing w:val="-8"/>
          <w:w w:val="110"/>
        </w:rPr>
        <w:t> </w:t>
      </w:r>
      <w:r>
        <w:rPr>
          <w:color w:val="231F1F"/>
          <w:w w:val="110"/>
        </w:rPr>
        <w:t>ha</w:t>
      </w:r>
      <w:r>
        <w:rPr>
          <w:color w:val="231F1F"/>
          <w:spacing w:val="-8"/>
          <w:w w:val="110"/>
        </w:rPr>
        <w:t> </w:t>
      </w:r>
      <w:r>
        <w:rPr>
          <w:color w:val="231F1F"/>
          <w:w w:val="110"/>
        </w:rPr>
        <w:t>venido</w:t>
      </w:r>
      <w:r>
        <w:rPr>
          <w:color w:val="231F1F"/>
          <w:spacing w:val="-8"/>
          <w:w w:val="110"/>
        </w:rPr>
        <w:t> </w:t>
      </w:r>
      <w:r>
        <w:rPr>
          <w:color w:val="231F1F"/>
          <w:w w:val="110"/>
        </w:rPr>
        <w:t>administrando</w:t>
      </w:r>
      <w:r>
        <w:rPr>
          <w:color w:val="231F1F"/>
          <w:spacing w:val="-8"/>
          <w:w w:val="110"/>
        </w:rPr>
        <w:t> </w:t>
      </w:r>
      <w:r>
        <w:rPr>
          <w:color w:val="231F1F"/>
          <w:w w:val="110"/>
        </w:rPr>
        <w:t>enemas</w:t>
      </w:r>
      <w:r>
        <w:rPr>
          <w:color w:val="231F1F"/>
          <w:spacing w:val="-8"/>
          <w:w w:val="110"/>
        </w:rPr>
        <w:t> </w:t>
      </w:r>
      <w:r>
        <w:rPr>
          <w:color w:val="231F1F"/>
          <w:w w:val="110"/>
        </w:rPr>
        <w:t>al</w:t>
      </w:r>
      <w:r>
        <w:rPr>
          <w:color w:val="231F1F"/>
          <w:spacing w:val="-9"/>
          <w:w w:val="110"/>
        </w:rPr>
        <w:t> </w:t>
      </w:r>
      <w:r>
        <w:rPr>
          <w:color w:val="231F1F"/>
          <w:w w:val="110"/>
        </w:rPr>
        <w:t>inicio</w:t>
      </w:r>
      <w:r>
        <w:rPr>
          <w:color w:val="231F1F"/>
          <w:spacing w:val="-8"/>
          <w:w w:val="110"/>
        </w:rPr>
        <w:t> </w:t>
      </w:r>
      <w:r>
        <w:rPr>
          <w:color w:val="231F1F"/>
          <w:w w:val="110"/>
        </w:rPr>
        <w:t>del</w:t>
      </w:r>
      <w:r>
        <w:rPr>
          <w:color w:val="231F1F"/>
          <w:spacing w:val="-9"/>
          <w:w w:val="110"/>
        </w:rPr>
        <w:t> </w:t>
      </w:r>
      <w:r>
        <w:rPr>
          <w:color w:val="231F1F"/>
          <w:w w:val="110"/>
        </w:rPr>
        <w:t>parto</w:t>
      </w:r>
      <w:r>
        <w:rPr>
          <w:color w:val="231F1F"/>
          <w:spacing w:val="-8"/>
          <w:w w:val="110"/>
        </w:rPr>
        <w:t> </w:t>
      </w:r>
      <w:r>
        <w:rPr>
          <w:color w:val="231F1F"/>
          <w:w w:val="110"/>
        </w:rPr>
        <w:t>para</w:t>
      </w:r>
      <w:r>
        <w:rPr>
          <w:color w:val="231F1F"/>
          <w:spacing w:val="-8"/>
          <w:w w:val="110"/>
        </w:rPr>
        <w:t> </w:t>
      </w:r>
      <w:r>
        <w:rPr>
          <w:color w:val="231F1F"/>
          <w:w w:val="110"/>
        </w:rPr>
        <w:t>reducir la encopresis durante el</w:t>
      </w:r>
      <w:r>
        <w:rPr>
          <w:color w:val="231F1F"/>
          <w:spacing w:val="-1"/>
          <w:w w:val="110"/>
        </w:rPr>
        <w:t> </w:t>
      </w:r>
      <w:r>
        <w:rPr>
          <w:color w:val="231F1F"/>
          <w:w w:val="110"/>
        </w:rPr>
        <w:t>expulsivo y la turbación que esto podría producir a las mujeres. Otras razones que justificaban esta práctica eran la creencia de que el vaciado intestinal proporcionaría</w:t>
      </w:r>
      <w:r>
        <w:rPr>
          <w:color w:val="231F1F"/>
          <w:spacing w:val="-16"/>
          <w:w w:val="110"/>
        </w:rPr>
        <w:t> </w:t>
      </w:r>
      <w:r>
        <w:rPr>
          <w:color w:val="231F1F"/>
          <w:w w:val="110"/>
        </w:rPr>
        <w:t>más</w:t>
      </w:r>
      <w:r>
        <w:rPr>
          <w:color w:val="231F1F"/>
          <w:spacing w:val="-15"/>
          <w:w w:val="110"/>
        </w:rPr>
        <w:t> </w:t>
      </w:r>
      <w:r>
        <w:rPr>
          <w:color w:val="231F1F"/>
          <w:w w:val="110"/>
        </w:rPr>
        <w:t>espacio</w:t>
      </w:r>
      <w:r>
        <w:rPr>
          <w:color w:val="231F1F"/>
          <w:spacing w:val="-15"/>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nacimiento</w:t>
      </w:r>
      <w:r>
        <w:rPr>
          <w:color w:val="231F1F"/>
          <w:spacing w:val="-15"/>
          <w:w w:val="110"/>
        </w:rPr>
        <w:t> </w:t>
      </w:r>
      <w:r>
        <w:rPr>
          <w:color w:val="231F1F"/>
          <w:w w:val="110"/>
        </w:rPr>
        <w:t>del</w:t>
      </w:r>
      <w:r>
        <w:rPr>
          <w:color w:val="231F1F"/>
          <w:spacing w:val="-15"/>
          <w:w w:val="110"/>
        </w:rPr>
        <w:t> </w:t>
      </w:r>
      <w:r>
        <w:rPr>
          <w:color w:val="231F1F"/>
          <w:w w:val="110"/>
        </w:rPr>
        <w:t>feto</w:t>
      </w:r>
      <w:r>
        <w:rPr>
          <w:color w:val="231F1F"/>
          <w:spacing w:val="-15"/>
          <w:w w:val="110"/>
        </w:rPr>
        <w:t> </w:t>
      </w:r>
      <w:r>
        <w:rPr>
          <w:color w:val="231F1F"/>
          <w:w w:val="110"/>
        </w:rPr>
        <w:t>y</w:t>
      </w:r>
      <w:r>
        <w:rPr>
          <w:color w:val="231F1F"/>
          <w:spacing w:val="-16"/>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estímulo</w:t>
      </w:r>
      <w:r>
        <w:rPr>
          <w:color w:val="231F1F"/>
          <w:spacing w:val="-15"/>
          <w:w w:val="110"/>
        </w:rPr>
        <w:t> </w:t>
      </w:r>
      <w:r>
        <w:rPr>
          <w:color w:val="231F1F"/>
          <w:w w:val="110"/>
        </w:rPr>
        <w:t>del</w:t>
      </w:r>
      <w:r>
        <w:rPr>
          <w:color w:val="231F1F"/>
          <w:spacing w:val="-15"/>
          <w:w w:val="110"/>
        </w:rPr>
        <w:t> </w:t>
      </w:r>
      <w:r>
        <w:rPr>
          <w:color w:val="231F1F"/>
          <w:w w:val="110"/>
        </w:rPr>
        <w:t>enema</w:t>
      </w:r>
      <w:r>
        <w:rPr>
          <w:color w:val="231F1F"/>
          <w:spacing w:val="-15"/>
          <w:w w:val="110"/>
        </w:rPr>
        <w:t> </w:t>
      </w:r>
      <w:r>
        <w:rPr>
          <w:color w:val="231F1F"/>
          <w:w w:val="110"/>
        </w:rPr>
        <w:t>mejo- raría</w:t>
      </w:r>
      <w:r>
        <w:rPr>
          <w:color w:val="231F1F"/>
          <w:spacing w:val="-6"/>
          <w:w w:val="110"/>
        </w:rPr>
        <w:t> </w:t>
      </w:r>
      <w:r>
        <w:rPr>
          <w:color w:val="231F1F"/>
          <w:w w:val="110"/>
        </w:rPr>
        <w:t>la</w:t>
      </w:r>
      <w:r>
        <w:rPr>
          <w:color w:val="231F1F"/>
          <w:spacing w:val="-6"/>
          <w:w w:val="110"/>
        </w:rPr>
        <w:t> </w:t>
      </w:r>
      <w:r>
        <w:rPr>
          <w:color w:val="231F1F"/>
          <w:w w:val="110"/>
        </w:rPr>
        <w:t>dinámica</w:t>
      </w:r>
      <w:r>
        <w:rPr>
          <w:color w:val="231F1F"/>
          <w:spacing w:val="-6"/>
          <w:w w:val="110"/>
        </w:rPr>
        <w:t> </w:t>
      </w:r>
      <w:r>
        <w:rPr>
          <w:color w:val="231F1F"/>
          <w:w w:val="110"/>
        </w:rPr>
        <w:t>uterina</w:t>
      </w:r>
      <w:r>
        <w:rPr>
          <w:color w:val="231F1F"/>
          <w:spacing w:val="-6"/>
          <w:w w:val="110"/>
        </w:rPr>
        <w:t> </w:t>
      </w:r>
      <w:r>
        <w:rPr>
          <w:color w:val="231F1F"/>
          <w:w w:val="110"/>
        </w:rPr>
        <w:t>y</w:t>
      </w:r>
      <w:r>
        <w:rPr>
          <w:color w:val="231F1F"/>
          <w:spacing w:val="-6"/>
          <w:w w:val="110"/>
        </w:rPr>
        <w:t> </w:t>
      </w:r>
      <w:r>
        <w:rPr>
          <w:color w:val="231F1F"/>
          <w:w w:val="110"/>
        </w:rPr>
        <w:t>reduciría</w:t>
      </w:r>
      <w:r>
        <w:rPr>
          <w:color w:val="231F1F"/>
          <w:spacing w:val="-5"/>
          <w:w w:val="110"/>
        </w:rPr>
        <w:t> </w:t>
      </w:r>
      <w:r>
        <w:rPr>
          <w:color w:val="231F1F"/>
          <w:w w:val="110"/>
        </w:rPr>
        <w:t>la</w:t>
      </w:r>
      <w:r>
        <w:rPr>
          <w:color w:val="231F1F"/>
          <w:spacing w:val="-6"/>
          <w:w w:val="110"/>
        </w:rPr>
        <w:t> </w:t>
      </w:r>
      <w:r>
        <w:rPr>
          <w:color w:val="231F1F"/>
          <w:w w:val="110"/>
        </w:rPr>
        <w:t>duración</w:t>
      </w:r>
      <w:r>
        <w:rPr>
          <w:color w:val="231F1F"/>
          <w:spacing w:val="-6"/>
          <w:w w:val="110"/>
        </w:rPr>
        <w:t> </w:t>
      </w:r>
      <w:r>
        <w:rPr>
          <w:color w:val="231F1F"/>
          <w:w w:val="110"/>
        </w:rPr>
        <w:t>de</w:t>
      </w:r>
      <w:r>
        <w:rPr>
          <w:color w:val="231F1F"/>
          <w:spacing w:val="-6"/>
          <w:w w:val="110"/>
        </w:rPr>
        <w:t> </w:t>
      </w:r>
      <w:r>
        <w:rPr>
          <w:color w:val="231F1F"/>
          <w:w w:val="110"/>
        </w:rPr>
        <w:t>trabajo</w:t>
      </w:r>
      <w:r>
        <w:rPr>
          <w:color w:val="231F1F"/>
          <w:spacing w:val="-6"/>
          <w:w w:val="110"/>
        </w:rPr>
        <w:t> </w:t>
      </w:r>
      <w:r>
        <w:rPr>
          <w:color w:val="231F1F"/>
          <w:w w:val="110"/>
        </w:rPr>
        <w:t>de</w:t>
      </w:r>
      <w:r>
        <w:rPr>
          <w:color w:val="231F1F"/>
          <w:spacing w:val="-6"/>
          <w:w w:val="110"/>
        </w:rPr>
        <w:t> </w:t>
      </w:r>
      <w:r>
        <w:rPr>
          <w:color w:val="231F1F"/>
          <w:w w:val="110"/>
        </w:rPr>
        <w:t>parto.</w:t>
      </w:r>
      <w:r>
        <w:rPr>
          <w:color w:val="231F1F"/>
          <w:spacing w:val="-6"/>
          <w:w w:val="110"/>
        </w:rPr>
        <w:t> </w:t>
      </w:r>
      <w:r>
        <w:rPr>
          <w:color w:val="231F1F"/>
          <w:w w:val="110"/>
        </w:rPr>
        <w:t>También</w:t>
      </w:r>
      <w:r>
        <w:rPr>
          <w:color w:val="231F1F"/>
          <w:spacing w:val="-6"/>
          <w:w w:val="110"/>
        </w:rPr>
        <w:t> </w:t>
      </w:r>
      <w:r>
        <w:rPr>
          <w:color w:val="231F1F"/>
          <w:w w:val="110"/>
        </w:rPr>
        <w:t>se</w:t>
      </w:r>
      <w:r>
        <w:rPr>
          <w:color w:val="231F1F"/>
          <w:spacing w:val="-6"/>
          <w:w w:val="110"/>
        </w:rPr>
        <w:t> </w:t>
      </w:r>
      <w:r>
        <w:rPr>
          <w:color w:val="231F1F"/>
          <w:w w:val="110"/>
        </w:rPr>
        <w:t>pensaba que</w:t>
      </w:r>
      <w:r>
        <w:rPr>
          <w:color w:val="231F1F"/>
          <w:spacing w:val="-12"/>
          <w:w w:val="110"/>
        </w:rPr>
        <w:t> </w:t>
      </w:r>
      <w:r>
        <w:rPr>
          <w:color w:val="231F1F"/>
          <w:w w:val="110"/>
        </w:rPr>
        <w:t>la</w:t>
      </w:r>
      <w:r>
        <w:rPr>
          <w:color w:val="231F1F"/>
          <w:spacing w:val="-12"/>
          <w:w w:val="110"/>
        </w:rPr>
        <w:t> </w:t>
      </w:r>
      <w:r>
        <w:rPr>
          <w:color w:val="231F1F"/>
          <w:w w:val="110"/>
        </w:rPr>
        <w:t>evacuación</w:t>
      </w:r>
      <w:r>
        <w:rPr>
          <w:color w:val="231F1F"/>
          <w:spacing w:val="-12"/>
          <w:w w:val="110"/>
        </w:rPr>
        <w:t> </w:t>
      </w:r>
      <w:r>
        <w:rPr>
          <w:color w:val="231F1F"/>
          <w:w w:val="110"/>
        </w:rPr>
        <w:t>intestinal</w:t>
      </w:r>
      <w:r>
        <w:rPr>
          <w:color w:val="231F1F"/>
          <w:spacing w:val="-13"/>
          <w:w w:val="110"/>
        </w:rPr>
        <w:t> </w:t>
      </w:r>
      <w:r>
        <w:rPr>
          <w:color w:val="231F1F"/>
          <w:w w:val="110"/>
        </w:rPr>
        <w:t>disminuía</w:t>
      </w:r>
      <w:r>
        <w:rPr>
          <w:color w:val="231F1F"/>
          <w:spacing w:val="-12"/>
          <w:w w:val="110"/>
        </w:rPr>
        <w:t> </w:t>
      </w:r>
      <w:r>
        <w:rPr>
          <w:color w:val="231F1F"/>
          <w:w w:val="110"/>
        </w:rPr>
        <w:t>la</w:t>
      </w:r>
      <w:r>
        <w:rPr>
          <w:color w:val="231F1F"/>
          <w:spacing w:val="-12"/>
          <w:w w:val="110"/>
        </w:rPr>
        <w:t> </w:t>
      </w:r>
      <w:r>
        <w:rPr>
          <w:color w:val="231F1F"/>
          <w:w w:val="110"/>
        </w:rPr>
        <w:t>contaminación</w:t>
      </w:r>
      <w:r>
        <w:rPr>
          <w:color w:val="231F1F"/>
          <w:spacing w:val="-12"/>
          <w:w w:val="110"/>
        </w:rPr>
        <w:t> </w:t>
      </w:r>
      <w:r>
        <w:rPr>
          <w:color w:val="231F1F"/>
          <w:w w:val="110"/>
        </w:rPr>
        <w:t>fecal</w:t>
      </w:r>
      <w:r>
        <w:rPr>
          <w:color w:val="231F1F"/>
          <w:spacing w:val="-13"/>
          <w:w w:val="110"/>
        </w:rPr>
        <w:t> </w:t>
      </w:r>
      <w:r>
        <w:rPr>
          <w:color w:val="231F1F"/>
          <w:w w:val="110"/>
        </w:rPr>
        <w:t>del</w:t>
      </w:r>
      <w:r>
        <w:rPr>
          <w:color w:val="231F1F"/>
          <w:spacing w:val="-13"/>
          <w:w w:val="110"/>
        </w:rPr>
        <w:t> </w:t>
      </w:r>
      <w:r>
        <w:rPr>
          <w:color w:val="231F1F"/>
          <w:w w:val="110"/>
        </w:rPr>
        <w:t>periné</w:t>
      </w:r>
      <w:r>
        <w:rPr>
          <w:color w:val="231F1F"/>
          <w:spacing w:val="-12"/>
          <w:w w:val="110"/>
        </w:rPr>
        <w:t> </w:t>
      </w:r>
      <w:r>
        <w:rPr>
          <w:color w:val="231F1F"/>
          <w:w w:val="110"/>
        </w:rPr>
        <w:t>y,</w:t>
      </w:r>
      <w:r>
        <w:rPr>
          <w:color w:val="231F1F"/>
          <w:spacing w:val="-13"/>
          <w:w w:val="110"/>
        </w:rPr>
        <w:t> </w:t>
      </w:r>
      <w:r>
        <w:rPr>
          <w:color w:val="231F1F"/>
          <w:w w:val="110"/>
        </w:rPr>
        <w:t>de</w:t>
      </w:r>
      <w:r>
        <w:rPr>
          <w:color w:val="231F1F"/>
          <w:spacing w:val="-12"/>
          <w:w w:val="110"/>
        </w:rPr>
        <w:t> </w:t>
      </w:r>
      <w:r>
        <w:rPr>
          <w:color w:val="231F1F"/>
          <w:w w:val="110"/>
        </w:rPr>
        <w:t>esta</w:t>
      </w:r>
      <w:r>
        <w:rPr>
          <w:color w:val="231F1F"/>
          <w:spacing w:val="-12"/>
          <w:w w:val="110"/>
        </w:rPr>
        <w:t> </w:t>
      </w:r>
      <w:r>
        <w:rPr>
          <w:color w:val="231F1F"/>
          <w:w w:val="110"/>
        </w:rPr>
        <w:t>forma, se disminuían las probabilidades de infección para la madre y el RN.</w:t>
      </w:r>
    </w:p>
    <w:p>
      <w:pPr>
        <w:pStyle w:val="BodyText"/>
        <w:spacing w:line="244" w:lineRule="auto" w:before="163"/>
        <w:ind w:left="283" w:right="116" w:firstLine="453"/>
        <w:jc w:val="both"/>
      </w:pPr>
      <w:r>
        <w:rPr>
          <w:color w:val="231F1F"/>
          <w:w w:val="110"/>
        </w:rPr>
        <w:t>Estas</w:t>
      </w:r>
      <w:r>
        <w:rPr>
          <w:color w:val="231F1F"/>
          <w:spacing w:val="-6"/>
          <w:w w:val="110"/>
        </w:rPr>
        <w:t> </w:t>
      </w:r>
      <w:r>
        <w:rPr>
          <w:color w:val="231F1F"/>
          <w:w w:val="110"/>
        </w:rPr>
        <w:t>supuestas</w:t>
      </w:r>
      <w:r>
        <w:rPr>
          <w:color w:val="231F1F"/>
          <w:spacing w:val="-8"/>
          <w:w w:val="110"/>
        </w:rPr>
        <w:t> </w:t>
      </w:r>
      <w:r>
        <w:rPr>
          <w:color w:val="231F1F"/>
          <w:w w:val="110"/>
        </w:rPr>
        <w:t>ventajas</w:t>
      </w:r>
      <w:r>
        <w:rPr>
          <w:color w:val="231F1F"/>
          <w:spacing w:val="-7"/>
          <w:w w:val="110"/>
        </w:rPr>
        <w:t> </w:t>
      </w:r>
      <w:r>
        <w:rPr>
          <w:color w:val="231F1F"/>
          <w:w w:val="110"/>
        </w:rPr>
        <w:t>han</w:t>
      </w:r>
      <w:r>
        <w:rPr>
          <w:color w:val="231F1F"/>
          <w:spacing w:val="-6"/>
          <w:w w:val="110"/>
        </w:rPr>
        <w:t> </w:t>
      </w:r>
      <w:r>
        <w:rPr>
          <w:color w:val="231F1F"/>
          <w:w w:val="110"/>
        </w:rPr>
        <w:t>sido</w:t>
      </w:r>
      <w:r>
        <w:rPr>
          <w:color w:val="231F1F"/>
          <w:spacing w:val="-6"/>
          <w:w w:val="110"/>
        </w:rPr>
        <w:t> </w:t>
      </w:r>
      <w:r>
        <w:rPr>
          <w:color w:val="231F1F"/>
          <w:w w:val="110"/>
        </w:rPr>
        <w:t>puestas</w:t>
      </w:r>
      <w:r>
        <w:rPr>
          <w:color w:val="231F1F"/>
          <w:spacing w:val="-6"/>
          <w:w w:val="110"/>
        </w:rPr>
        <w:t> </w:t>
      </w:r>
      <w:r>
        <w:rPr>
          <w:color w:val="231F1F"/>
          <w:w w:val="110"/>
        </w:rPr>
        <w:t>en</w:t>
      </w:r>
      <w:r>
        <w:rPr>
          <w:color w:val="231F1F"/>
          <w:spacing w:val="-6"/>
          <w:w w:val="110"/>
        </w:rPr>
        <w:t> </w:t>
      </w:r>
      <w:r>
        <w:rPr>
          <w:color w:val="231F1F"/>
          <w:w w:val="110"/>
        </w:rPr>
        <w:t>cuestión</w:t>
      </w:r>
      <w:r>
        <w:rPr>
          <w:color w:val="231F1F"/>
          <w:spacing w:val="-6"/>
          <w:w w:val="110"/>
        </w:rPr>
        <w:t> </w:t>
      </w:r>
      <w:r>
        <w:rPr>
          <w:color w:val="231F1F"/>
          <w:w w:val="110"/>
        </w:rPr>
        <w:t>e</w:t>
      </w:r>
      <w:r>
        <w:rPr>
          <w:color w:val="231F1F"/>
          <w:spacing w:val="-6"/>
          <w:w w:val="110"/>
        </w:rPr>
        <w:t> </w:t>
      </w:r>
      <w:r>
        <w:rPr>
          <w:color w:val="231F1F"/>
          <w:w w:val="110"/>
        </w:rPr>
        <w:t>incluso</w:t>
      </w:r>
      <w:r>
        <w:rPr>
          <w:color w:val="231F1F"/>
          <w:spacing w:val="-6"/>
          <w:w w:val="110"/>
        </w:rPr>
        <w:t> </w:t>
      </w:r>
      <w:r>
        <w:rPr>
          <w:color w:val="231F1F"/>
          <w:w w:val="110"/>
        </w:rPr>
        <w:t>se</w:t>
      </w:r>
      <w:r>
        <w:rPr>
          <w:color w:val="231F1F"/>
          <w:spacing w:val="-6"/>
          <w:w w:val="110"/>
        </w:rPr>
        <w:t> </w:t>
      </w:r>
      <w:r>
        <w:rPr>
          <w:color w:val="231F1F"/>
          <w:w w:val="110"/>
        </w:rPr>
        <w:t>han</w:t>
      </w:r>
      <w:r>
        <w:rPr>
          <w:color w:val="231F1F"/>
          <w:spacing w:val="-6"/>
          <w:w w:val="110"/>
        </w:rPr>
        <w:t> </w:t>
      </w:r>
      <w:r>
        <w:rPr>
          <w:color w:val="231F1F"/>
          <w:w w:val="110"/>
        </w:rPr>
        <w:t>esgrimido</w:t>
      </w:r>
      <w:r>
        <w:rPr>
          <w:color w:val="231F1F"/>
          <w:spacing w:val="-6"/>
          <w:w w:val="110"/>
        </w:rPr>
        <w:t> </w:t>
      </w:r>
      <w:r>
        <w:rPr>
          <w:color w:val="231F1F"/>
          <w:w w:val="110"/>
        </w:rPr>
        <w:t>in- convenientes</w:t>
      </w:r>
      <w:r>
        <w:rPr>
          <w:color w:val="231F1F"/>
          <w:spacing w:val="-14"/>
          <w:w w:val="110"/>
        </w:rPr>
        <w:t> </w:t>
      </w:r>
      <w:r>
        <w:rPr>
          <w:color w:val="231F1F"/>
          <w:w w:val="110"/>
        </w:rPr>
        <w:t>y</w:t>
      </w:r>
      <w:r>
        <w:rPr>
          <w:color w:val="231F1F"/>
          <w:spacing w:val="-14"/>
          <w:w w:val="110"/>
        </w:rPr>
        <w:t> </w:t>
      </w:r>
      <w:r>
        <w:rPr>
          <w:color w:val="231F1F"/>
          <w:w w:val="110"/>
        </w:rPr>
        <w:t>riesgos</w:t>
      </w:r>
      <w:r>
        <w:rPr>
          <w:color w:val="231F1F"/>
          <w:spacing w:val="-14"/>
          <w:w w:val="110"/>
        </w:rPr>
        <w:t> </w:t>
      </w:r>
      <w:r>
        <w:rPr>
          <w:color w:val="231F1F"/>
          <w:w w:val="110"/>
        </w:rPr>
        <w:t>asociados</w:t>
      </w:r>
      <w:r>
        <w:rPr>
          <w:color w:val="231F1F"/>
          <w:spacing w:val="-13"/>
          <w:w w:val="110"/>
        </w:rPr>
        <w:t> </w:t>
      </w:r>
      <w:r>
        <w:rPr>
          <w:color w:val="231F1F"/>
          <w:w w:val="110"/>
        </w:rPr>
        <w:t>al</w:t>
      </w:r>
      <w:r>
        <w:rPr>
          <w:color w:val="231F1F"/>
          <w:spacing w:val="-14"/>
          <w:w w:val="110"/>
        </w:rPr>
        <w:t> </w:t>
      </w:r>
      <w:r>
        <w:rPr>
          <w:color w:val="231F1F"/>
          <w:w w:val="110"/>
        </w:rPr>
        <w:t>uso</w:t>
      </w:r>
      <w:r>
        <w:rPr>
          <w:color w:val="231F1F"/>
          <w:spacing w:val="-13"/>
          <w:w w:val="110"/>
        </w:rPr>
        <w:t> </w:t>
      </w:r>
      <w:r>
        <w:rPr>
          <w:color w:val="231F1F"/>
          <w:w w:val="110"/>
        </w:rPr>
        <w:t>de</w:t>
      </w:r>
      <w:r>
        <w:rPr>
          <w:color w:val="231F1F"/>
          <w:spacing w:val="-14"/>
          <w:w w:val="110"/>
        </w:rPr>
        <w:t> </w:t>
      </w:r>
      <w:r>
        <w:rPr>
          <w:color w:val="231F1F"/>
          <w:w w:val="110"/>
        </w:rPr>
        <w:t>los</w:t>
      </w:r>
      <w:r>
        <w:rPr>
          <w:color w:val="231F1F"/>
          <w:spacing w:val="-14"/>
          <w:w w:val="110"/>
        </w:rPr>
        <w:t> </w:t>
      </w:r>
      <w:r>
        <w:rPr>
          <w:color w:val="231F1F"/>
          <w:w w:val="110"/>
        </w:rPr>
        <w:t>enemas</w:t>
      </w:r>
      <w:r>
        <w:rPr>
          <w:color w:val="231F1F"/>
          <w:spacing w:val="-14"/>
          <w:w w:val="110"/>
        </w:rPr>
        <w:t> </w:t>
      </w:r>
      <w:r>
        <w:rPr>
          <w:color w:val="231F1F"/>
          <w:w w:val="110"/>
        </w:rPr>
        <w:t>de</w:t>
      </w:r>
      <w:r>
        <w:rPr>
          <w:color w:val="231F1F"/>
          <w:spacing w:val="-14"/>
          <w:w w:val="110"/>
        </w:rPr>
        <w:t> </w:t>
      </w:r>
      <w:r>
        <w:rPr>
          <w:color w:val="231F1F"/>
          <w:w w:val="110"/>
        </w:rPr>
        <w:t>limpieza.</w:t>
      </w:r>
      <w:r>
        <w:rPr>
          <w:color w:val="231F1F"/>
          <w:spacing w:val="-14"/>
          <w:w w:val="110"/>
        </w:rPr>
        <w:t> </w:t>
      </w:r>
      <w:r>
        <w:rPr>
          <w:color w:val="231F1F"/>
          <w:w w:val="110"/>
        </w:rPr>
        <w:t>Como</w:t>
      </w:r>
      <w:r>
        <w:rPr>
          <w:color w:val="231F1F"/>
          <w:spacing w:val="-14"/>
          <w:w w:val="110"/>
        </w:rPr>
        <w:t> </w:t>
      </w:r>
      <w:r>
        <w:rPr>
          <w:color w:val="231F1F"/>
          <w:w w:val="110"/>
        </w:rPr>
        <w:t>inconvenientes se han señalado lo desagradable del procedimiento, el incremento del dolor durante el trabajo</w:t>
      </w:r>
      <w:r>
        <w:rPr>
          <w:color w:val="231F1F"/>
          <w:spacing w:val="-1"/>
          <w:w w:val="110"/>
        </w:rPr>
        <w:t> </w:t>
      </w:r>
      <w:r>
        <w:rPr>
          <w:color w:val="231F1F"/>
          <w:w w:val="110"/>
        </w:rPr>
        <w:t>de</w:t>
      </w:r>
      <w:r>
        <w:rPr>
          <w:color w:val="231F1F"/>
          <w:spacing w:val="-1"/>
          <w:w w:val="110"/>
        </w:rPr>
        <w:t> </w:t>
      </w:r>
      <w:r>
        <w:rPr>
          <w:color w:val="231F1F"/>
          <w:w w:val="110"/>
        </w:rPr>
        <w:t>parto,</w:t>
      </w:r>
      <w:r>
        <w:rPr>
          <w:color w:val="231F1F"/>
          <w:spacing w:val="-2"/>
          <w:w w:val="110"/>
        </w:rPr>
        <w:t> </w:t>
      </w:r>
      <w:r>
        <w:rPr>
          <w:color w:val="231F1F"/>
          <w:w w:val="110"/>
        </w:rPr>
        <w:t>las</w:t>
      </w:r>
      <w:r>
        <w:rPr>
          <w:color w:val="231F1F"/>
          <w:spacing w:val="-1"/>
          <w:w w:val="110"/>
        </w:rPr>
        <w:t> </w:t>
      </w:r>
      <w:r>
        <w:rPr>
          <w:color w:val="231F1F"/>
          <w:w w:val="110"/>
        </w:rPr>
        <w:t>cargas</w:t>
      </w:r>
      <w:r>
        <w:rPr>
          <w:color w:val="231F1F"/>
          <w:spacing w:val="-1"/>
          <w:w w:val="110"/>
        </w:rPr>
        <w:t> </w:t>
      </w:r>
      <w:r>
        <w:rPr>
          <w:color w:val="231F1F"/>
          <w:w w:val="110"/>
        </w:rPr>
        <w:t>de</w:t>
      </w:r>
      <w:r>
        <w:rPr>
          <w:color w:val="231F1F"/>
          <w:spacing w:val="-1"/>
          <w:w w:val="110"/>
        </w:rPr>
        <w:t> </w:t>
      </w:r>
      <w:r>
        <w:rPr>
          <w:color w:val="231F1F"/>
          <w:w w:val="110"/>
        </w:rPr>
        <w:t>trabajo</w:t>
      </w:r>
      <w:r>
        <w:rPr>
          <w:color w:val="231F1F"/>
          <w:spacing w:val="-1"/>
          <w:w w:val="110"/>
        </w:rPr>
        <w:t> </w:t>
      </w:r>
      <w:r>
        <w:rPr>
          <w:color w:val="231F1F"/>
          <w:w w:val="110"/>
        </w:rPr>
        <w:t>del</w:t>
      </w:r>
      <w:r>
        <w:rPr>
          <w:color w:val="231F1F"/>
          <w:spacing w:val="-2"/>
          <w:w w:val="110"/>
        </w:rPr>
        <w:t> </w:t>
      </w:r>
      <w:r>
        <w:rPr>
          <w:color w:val="231F1F"/>
          <w:w w:val="110"/>
        </w:rPr>
        <w:t>personal</w:t>
      </w:r>
      <w:r>
        <w:rPr>
          <w:color w:val="231F1F"/>
          <w:spacing w:val="-2"/>
          <w:w w:val="110"/>
        </w:rPr>
        <w:t> </w:t>
      </w:r>
      <w:r>
        <w:rPr>
          <w:color w:val="231F1F"/>
          <w:w w:val="110"/>
        </w:rPr>
        <w:t>y</w:t>
      </w:r>
      <w:r>
        <w:rPr>
          <w:color w:val="231F1F"/>
          <w:spacing w:val="-1"/>
          <w:w w:val="110"/>
        </w:rPr>
        <w:t> </w:t>
      </w:r>
      <w:r>
        <w:rPr>
          <w:color w:val="231F1F"/>
          <w:w w:val="110"/>
        </w:rPr>
        <w:t>los</w:t>
      </w:r>
      <w:r>
        <w:rPr>
          <w:color w:val="231F1F"/>
          <w:spacing w:val="-1"/>
          <w:w w:val="110"/>
        </w:rPr>
        <w:t> </w:t>
      </w:r>
      <w:r>
        <w:rPr>
          <w:color w:val="231F1F"/>
          <w:w w:val="110"/>
        </w:rPr>
        <w:t>costes.</w:t>
      </w:r>
      <w:r>
        <w:rPr>
          <w:color w:val="231F1F"/>
          <w:spacing w:val="-1"/>
          <w:w w:val="110"/>
        </w:rPr>
        <w:t> </w:t>
      </w:r>
      <w:r>
        <w:rPr>
          <w:color w:val="231F1F"/>
          <w:w w:val="110"/>
        </w:rPr>
        <w:t>También</w:t>
      </w:r>
      <w:r>
        <w:rPr>
          <w:color w:val="231F1F"/>
          <w:spacing w:val="-1"/>
          <w:w w:val="110"/>
        </w:rPr>
        <w:t> </w:t>
      </w:r>
      <w:r>
        <w:rPr>
          <w:color w:val="231F1F"/>
          <w:w w:val="110"/>
        </w:rPr>
        <w:t>se</w:t>
      </w:r>
      <w:r>
        <w:rPr>
          <w:color w:val="231F1F"/>
          <w:spacing w:val="-1"/>
          <w:w w:val="110"/>
        </w:rPr>
        <w:t> </w:t>
      </w:r>
      <w:r>
        <w:rPr>
          <w:color w:val="231F1F"/>
          <w:w w:val="110"/>
        </w:rPr>
        <w:t>ha</w:t>
      </w:r>
      <w:r>
        <w:rPr>
          <w:color w:val="231F1F"/>
          <w:spacing w:val="-1"/>
          <w:w w:val="110"/>
        </w:rPr>
        <w:t> </w:t>
      </w:r>
      <w:r>
        <w:rPr>
          <w:color w:val="231F1F"/>
          <w:w w:val="110"/>
        </w:rPr>
        <w:t>apuntado que</w:t>
      </w:r>
      <w:r>
        <w:rPr>
          <w:color w:val="231F1F"/>
          <w:spacing w:val="-6"/>
          <w:w w:val="110"/>
        </w:rPr>
        <w:t> </w:t>
      </w:r>
      <w:r>
        <w:rPr>
          <w:color w:val="231F1F"/>
          <w:w w:val="110"/>
        </w:rPr>
        <w:t>su</w:t>
      </w:r>
      <w:r>
        <w:rPr>
          <w:color w:val="231F1F"/>
          <w:spacing w:val="-6"/>
          <w:w w:val="110"/>
        </w:rPr>
        <w:t> </w:t>
      </w:r>
      <w:r>
        <w:rPr>
          <w:color w:val="231F1F"/>
          <w:w w:val="110"/>
        </w:rPr>
        <w:t>aplicación</w:t>
      </w:r>
      <w:r>
        <w:rPr>
          <w:color w:val="231F1F"/>
          <w:spacing w:val="-6"/>
          <w:w w:val="110"/>
        </w:rPr>
        <w:t> </w:t>
      </w:r>
      <w:r>
        <w:rPr>
          <w:color w:val="231F1F"/>
          <w:w w:val="110"/>
        </w:rPr>
        <w:t>suele</w:t>
      </w:r>
      <w:r>
        <w:rPr>
          <w:color w:val="231F1F"/>
          <w:spacing w:val="-7"/>
          <w:w w:val="110"/>
        </w:rPr>
        <w:t> </w:t>
      </w:r>
      <w:r>
        <w:rPr>
          <w:color w:val="231F1F"/>
          <w:w w:val="110"/>
        </w:rPr>
        <w:t>producir</w:t>
      </w:r>
      <w:r>
        <w:rPr>
          <w:color w:val="231F1F"/>
          <w:spacing w:val="-7"/>
          <w:w w:val="110"/>
        </w:rPr>
        <w:t> </w:t>
      </w:r>
      <w:r>
        <w:rPr>
          <w:color w:val="231F1F"/>
          <w:w w:val="110"/>
        </w:rPr>
        <w:t>pérdidas</w:t>
      </w:r>
      <w:r>
        <w:rPr>
          <w:color w:val="231F1F"/>
          <w:spacing w:val="-7"/>
          <w:w w:val="110"/>
        </w:rPr>
        <w:t> </w:t>
      </w:r>
      <w:r>
        <w:rPr>
          <w:color w:val="231F1F"/>
          <w:w w:val="110"/>
        </w:rPr>
        <w:t>fecales</w:t>
      </w:r>
      <w:r>
        <w:rPr>
          <w:color w:val="231F1F"/>
          <w:spacing w:val="-7"/>
          <w:w w:val="110"/>
        </w:rPr>
        <w:t> </w:t>
      </w:r>
      <w:r>
        <w:rPr>
          <w:color w:val="231F1F"/>
          <w:w w:val="110"/>
        </w:rPr>
        <w:t>acuosas</w:t>
      </w:r>
      <w:r>
        <w:rPr>
          <w:color w:val="231F1F"/>
          <w:spacing w:val="-6"/>
          <w:w w:val="110"/>
        </w:rPr>
        <w:t> </w:t>
      </w:r>
      <w:r>
        <w:rPr>
          <w:color w:val="231F1F"/>
          <w:w w:val="110"/>
        </w:rPr>
        <w:t>que</w:t>
      </w:r>
      <w:r>
        <w:rPr>
          <w:color w:val="231F1F"/>
          <w:spacing w:val="-6"/>
          <w:w w:val="110"/>
        </w:rPr>
        <w:t> </w:t>
      </w:r>
      <w:r>
        <w:rPr>
          <w:color w:val="231F1F"/>
          <w:w w:val="110"/>
        </w:rPr>
        <w:t>pueden</w:t>
      </w:r>
      <w:r>
        <w:rPr>
          <w:color w:val="231F1F"/>
          <w:spacing w:val="-6"/>
          <w:w w:val="110"/>
        </w:rPr>
        <w:t> </w:t>
      </w:r>
      <w:r>
        <w:rPr>
          <w:color w:val="231F1F"/>
          <w:w w:val="110"/>
        </w:rPr>
        <w:t>aumentar</w:t>
      </w:r>
      <w:r>
        <w:rPr>
          <w:color w:val="231F1F"/>
          <w:spacing w:val="-7"/>
          <w:w w:val="110"/>
        </w:rPr>
        <w:t> </w:t>
      </w:r>
      <w:r>
        <w:rPr>
          <w:color w:val="231F1F"/>
          <w:w w:val="110"/>
        </w:rPr>
        <w:t>el</w:t>
      </w:r>
      <w:r>
        <w:rPr>
          <w:color w:val="231F1F"/>
          <w:spacing w:val="-7"/>
          <w:w w:val="110"/>
        </w:rPr>
        <w:t> </w:t>
      </w:r>
      <w:r>
        <w:rPr>
          <w:color w:val="231F1F"/>
          <w:w w:val="110"/>
        </w:rPr>
        <w:t>riesgo de infección y que, su uso, en realidad, sólo refleja una preferencia de los profesionales </w:t>
      </w:r>
      <w:r>
        <w:rPr>
          <w:color w:val="231F1F"/>
          <w:spacing w:val="-2"/>
          <w:w w:val="110"/>
        </w:rPr>
        <w:t>sanitarios.</w:t>
      </w:r>
    </w:p>
    <w:p>
      <w:pPr>
        <w:pStyle w:val="BodyText"/>
        <w:spacing w:line="244" w:lineRule="auto" w:before="171"/>
        <w:ind w:left="283" w:right="123" w:firstLine="453"/>
        <w:jc w:val="both"/>
      </w:pPr>
      <w:r>
        <w:rPr>
          <w:color w:val="231F1F"/>
          <w:w w:val="110"/>
        </w:rPr>
        <w:t>Los criterios enfrentados y las incertidumbres acerca de esta práctica hacen reco- mendable</w:t>
      </w:r>
      <w:r>
        <w:rPr>
          <w:color w:val="231F1F"/>
          <w:spacing w:val="-3"/>
          <w:w w:val="110"/>
        </w:rPr>
        <w:t> </w:t>
      </w:r>
      <w:r>
        <w:rPr>
          <w:color w:val="231F1F"/>
          <w:w w:val="110"/>
        </w:rPr>
        <w:t>revisar</w:t>
      </w:r>
      <w:r>
        <w:rPr>
          <w:color w:val="231F1F"/>
          <w:spacing w:val="-3"/>
          <w:w w:val="110"/>
        </w:rPr>
        <w:t> </w:t>
      </w:r>
      <w:r>
        <w:rPr>
          <w:color w:val="231F1F"/>
          <w:w w:val="110"/>
        </w:rPr>
        <w:t>el</w:t>
      </w:r>
      <w:r>
        <w:rPr>
          <w:color w:val="231F1F"/>
          <w:spacing w:val="-3"/>
          <w:w w:val="110"/>
        </w:rPr>
        <w:t> </w:t>
      </w:r>
      <w:r>
        <w:rPr>
          <w:color w:val="231F1F"/>
          <w:w w:val="110"/>
        </w:rPr>
        <w:t>efecto</w:t>
      </w:r>
      <w:r>
        <w:rPr>
          <w:color w:val="231F1F"/>
          <w:spacing w:val="-3"/>
          <w:w w:val="110"/>
        </w:rPr>
        <w:t> </w:t>
      </w:r>
      <w:r>
        <w:rPr>
          <w:color w:val="231F1F"/>
          <w:w w:val="110"/>
        </w:rPr>
        <w:t>que</w:t>
      </w:r>
      <w:r>
        <w:rPr>
          <w:color w:val="231F1F"/>
          <w:spacing w:val="-3"/>
          <w:w w:val="110"/>
        </w:rPr>
        <w:t> </w:t>
      </w:r>
      <w:r>
        <w:rPr>
          <w:color w:val="231F1F"/>
          <w:w w:val="110"/>
        </w:rPr>
        <w:t>el</w:t>
      </w:r>
      <w:r>
        <w:rPr>
          <w:color w:val="231F1F"/>
          <w:spacing w:val="-3"/>
          <w:w w:val="110"/>
        </w:rPr>
        <w:t> </w:t>
      </w:r>
      <w:r>
        <w:rPr>
          <w:color w:val="231F1F"/>
          <w:w w:val="110"/>
        </w:rPr>
        <w:t>uso</w:t>
      </w:r>
      <w:r>
        <w:rPr>
          <w:color w:val="231F1F"/>
          <w:spacing w:val="-3"/>
          <w:w w:val="110"/>
        </w:rPr>
        <w:t> </w:t>
      </w:r>
      <w:r>
        <w:rPr>
          <w:color w:val="231F1F"/>
          <w:w w:val="110"/>
        </w:rPr>
        <w:t>de</w:t>
      </w:r>
      <w:r>
        <w:rPr>
          <w:color w:val="231F1F"/>
          <w:spacing w:val="-3"/>
          <w:w w:val="110"/>
        </w:rPr>
        <w:t> </w:t>
      </w:r>
      <w:r>
        <w:rPr>
          <w:color w:val="231F1F"/>
          <w:w w:val="110"/>
        </w:rPr>
        <w:t>los</w:t>
      </w:r>
      <w:r>
        <w:rPr>
          <w:color w:val="231F1F"/>
          <w:spacing w:val="-3"/>
          <w:w w:val="110"/>
        </w:rPr>
        <w:t> </w:t>
      </w:r>
      <w:r>
        <w:rPr>
          <w:color w:val="231F1F"/>
          <w:w w:val="110"/>
        </w:rPr>
        <w:t>enemas</w:t>
      </w:r>
      <w:r>
        <w:rPr>
          <w:color w:val="231F1F"/>
          <w:spacing w:val="-3"/>
          <w:w w:val="110"/>
        </w:rPr>
        <w:t> </w:t>
      </w:r>
      <w:r>
        <w:rPr>
          <w:color w:val="231F1F"/>
          <w:w w:val="110"/>
        </w:rPr>
        <w:t>tiene</w:t>
      </w:r>
      <w:r>
        <w:rPr>
          <w:color w:val="231F1F"/>
          <w:spacing w:val="-3"/>
          <w:w w:val="110"/>
        </w:rPr>
        <w:t> </w:t>
      </w:r>
      <w:r>
        <w:rPr>
          <w:color w:val="231F1F"/>
          <w:w w:val="110"/>
        </w:rPr>
        <w:t>sobre</w:t>
      </w:r>
      <w:r>
        <w:rPr>
          <w:color w:val="231F1F"/>
          <w:spacing w:val="-3"/>
          <w:w w:val="110"/>
        </w:rPr>
        <w:t> </w:t>
      </w:r>
      <w:r>
        <w:rPr>
          <w:color w:val="231F1F"/>
          <w:w w:val="110"/>
        </w:rPr>
        <w:t>las</w:t>
      </w:r>
      <w:r>
        <w:rPr>
          <w:color w:val="231F1F"/>
          <w:spacing w:val="-3"/>
          <w:w w:val="110"/>
        </w:rPr>
        <w:t> </w:t>
      </w:r>
      <w:r>
        <w:rPr>
          <w:color w:val="231F1F"/>
          <w:w w:val="110"/>
        </w:rPr>
        <w:t>mujeres</w:t>
      </w:r>
      <w:r>
        <w:rPr>
          <w:color w:val="231F1F"/>
          <w:spacing w:val="-3"/>
          <w:w w:val="110"/>
        </w:rPr>
        <w:t> </w:t>
      </w:r>
      <w:r>
        <w:rPr>
          <w:color w:val="231F1F"/>
          <w:w w:val="110"/>
        </w:rPr>
        <w:t>y</w:t>
      </w:r>
      <w:r>
        <w:rPr>
          <w:color w:val="231F1F"/>
          <w:spacing w:val="-3"/>
          <w:w w:val="110"/>
        </w:rPr>
        <w:t> </w:t>
      </w:r>
      <w:r>
        <w:rPr>
          <w:color w:val="231F1F"/>
          <w:w w:val="110"/>
        </w:rPr>
        <w:t>sus</w:t>
      </w:r>
      <w:r>
        <w:rPr>
          <w:color w:val="231F1F"/>
          <w:spacing w:val="-3"/>
          <w:w w:val="110"/>
        </w:rPr>
        <w:t> </w:t>
      </w:r>
      <w:r>
        <w:rPr>
          <w:color w:val="231F1F"/>
          <w:w w:val="110"/>
        </w:rPr>
        <w:t>hijos</w:t>
      </w:r>
      <w:r>
        <w:rPr>
          <w:color w:val="231F1F"/>
          <w:spacing w:val="-3"/>
          <w:w w:val="110"/>
        </w:rPr>
        <w:t> </w:t>
      </w:r>
      <w:r>
        <w:rPr>
          <w:color w:val="231F1F"/>
          <w:w w:val="110"/>
        </w:rPr>
        <w:t>e </w:t>
      </w:r>
      <w:r>
        <w:rPr>
          <w:color w:val="231F1F"/>
          <w:spacing w:val="-2"/>
          <w:w w:val="110"/>
        </w:rPr>
        <w:t>hijas.</w:t>
      </w:r>
    </w:p>
    <w:p>
      <w:pPr>
        <w:pStyle w:val="BodyText"/>
        <w:spacing w:after="0" w:line="244" w:lineRule="auto"/>
        <w:jc w:val="both"/>
        <w:sectPr>
          <w:pgSz w:w="11900" w:h="16840"/>
          <w:pgMar w:header="0" w:footer="622" w:top="1560" w:bottom="820" w:left="1417" w:right="1559"/>
        </w:sectPr>
      </w:pPr>
    </w:p>
    <w:p>
      <w:pPr>
        <w:spacing w:before="82"/>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17"/>
          <w:sz w:val="24"/>
        </w:rPr>
        <w:t> </w:t>
      </w:r>
      <w:r>
        <w:rPr>
          <w:rFonts w:ascii="Arial MT" w:hAnsi="Arial MT"/>
          <w:color w:val="231F1F"/>
          <w:sz w:val="24"/>
        </w:rPr>
        <w:t>científica</w:t>
      </w:r>
      <w:r>
        <w:rPr>
          <w:rFonts w:ascii="Arial MT" w:hAnsi="Arial MT"/>
          <w:color w:val="231F1F"/>
          <w:spacing w:val="19"/>
          <w:sz w:val="24"/>
        </w:rPr>
        <w:t> </w:t>
      </w:r>
      <w:r>
        <w:rPr>
          <w:rFonts w:ascii="Arial MT" w:hAnsi="Arial MT"/>
          <w:color w:val="231F1F"/>
          <w:sz w:val="24"/>
        </w:rPr>
        <w:t>(hasta</w:t>
      </w:r>
      <w:r>
        <w:rPr>
          <w:rFonts w:ascii="Arial MT" w:hAnsi="Arial MT"/>
          <w:color w:val="231F1F"/>
          <w:spacing w:val="18"/>
          <w:sz w:val="24"/>
        </w:rPr>
        <w:t> </w:t>
      </w:r>
      <w:r>
        <w:rPr>
          <w:rFonts w:ascii="Arial MT" w:hAnsi="Arial MT"/>
          <w:color w:val="231F1F"/>
          <w:sz w:val="24"/>
        </w:rPr>
        <w:t>mayo</w:t>
      </w:r>
      <w:r>
        <w:rPr>
          <w:rFonts w:ascii="Arial MT" w:hAnsi="Arial MT"/>
          <w:color w:val="231F1F"/>
          <w:spacing w:val="20"/>
          <w:sz w:val="24"/>
        </w:rPr>
        <w:t> </w:t>
      </w:r>
      <w:r>
        <w:rPr>
          <w:rFonts w:ascii="Arial MT" w:hAnsi="Arial MT"/>
          <w:color w:val="231F1F"/>
          <w:sz w:val="24"/>
        </w:rPr>
        <w:t>de</w:t>
      </w:r>
      <w:r>
        <w:rPr>
          <w:rFonts w:ascii="Arial MT" w:hAnsi="Arial MT"/>
          <w:color w:val="231F1F"/>
          <w:spacing w:val="18"/>
          <w:sz w:val="24"/>
        </w:rPr>
        <w:t> </w:t>
      </w:r>
      <w:r>
        <w:rPr>
          <w:rFonts w:ascii="Arial MT" w:hAnsi="Arial MT"/>
          <w:color w:val="231F1F"/>
          <w:spacing w:val="-2"/>
          <w:sz w:val="24"/>
        </w:rPr>
        <w:t>2008)</w:t>
      </w:r>
    </w:p>
    <w:p>
      <w:pPr>
        <w:pStyle w:val="BodyText"/>
        <w:spacing w:before="4"/>
        <w:rPr>
          <w:rFonts w:ascii="Arial MT"/>
          <w:sz w:val="17"/>
        </w:rPr>
      </w:pPr>
    </w:p>
    <w:p>
      <w:pPr>
        <w:pStyle w:val="BodyText"/>
        <w:spacing w:after="0"/>
        <w:rPr>
          <w:rFonts w:ascii="Arial MT"/>
          <w:sz w:val="17"/>
        </w:rPr>
        <w:sectPr>
          <w:pgSz w:w="11900" w:h="16840"/>
          <w:pgMar w:header="0" w:footer="622" w:top="1560" w:bottom="820" w:left="1417" w:right="1559"/>
        </w:sectPr>
      </w:pPr>
    </w:p>
    <w:p>
      <w:pPr>
        <w:pStyle w:val="BodyText"/>
        <w:spacing w:line="244" w:lineRule="auto" w:before="91"/>
        <w:ind w:left="283" w:right="48"/>
        <w:jc w:val="both"/>
      </w:pPr>
      <w:r>
        <w:rPr>
          <w:color w:val="231F1F"/>
          <w:w w:val="110"/>
        </w:rPr>
        <w:t>La guía NICE (10) a pesar de que revisa diferentes tipos de intervenciones realizadas</w:t>
      </w:r>
      <w:r>
        <w:rPr>
          <w:color w:val="231F1F"/>
          <w:spacing w:val="-14"/>
          <w:w w:val="110"/>
        </w:rPr>
        <w:t> </w:t>
      </w:r>
      <w:r>
        <w:rPr>
          <w:color w:val="231F1F"/>
          <w:w w:val="110"/>
        </w:rPr>
        <w:t>durante</w:t>
      </w:r>
      <w:r>
        <w:rPr>
          <w:color w:val="231F1F"/>
          <w:spacing w:val="-14"/>
          <w:w w:val="110"/>
        </w:rPr>
        <w:t> </w:t>
      </w:r>
      <w:r>
        <w:rPr>
          <w:color w:val="231F1F"/>
          <w:w w:val="110"/>
        </w:rPr>
        <w:t>la</w:t>
      </w:r>
      <w:r>
        <w:rPr>
          <w:color w:val="231F1F"/>
          <w:spacing w:val="-14"/>
          <w:w w:val="110"/>
        </w:rPr>
        <w:t> </w:t>
      </w:r>
      <w:r>
        <w:rPr>
          <w:color w:val="231F1F"/>
          <w:w w:val="110"/>
        </w:rPr>
        <w:t>primera</w:t>
      </w:r>
      <w:r>
        <w:rPr>
          <w:color w:val="231F1F"/>
          <w:spacing w:val="-14"/>
          <w:w w:val="110"/>
        </w:rPr>
        <w:t> </w:t>
      </w:r>
      <w:r>
        <w:rPr>
          <w:color w:val="231F1F"/>
          <w:w w:val="110"/>
        </w:rPr>
        <w:t>etapa</w:t>
      </w:r>
      <w:r>
        <w:rPr>
          <w:color w:val="231F1F"/>
          <w:spacing w:val="-14"/>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no</w:t>
      </w:r>
      <w:r>
        <w:rPr>
          <w:color w:val="231F1F"/>
          <w:spacing w:val="-14"/>
          <w:w w:val="110"/>
        </w:rPr>
        <w:t> </w:t>
      </w:r>
      <w:r>
        <w:rPr>
          <w:color w:val="231F1F"/>
          <w:w w:val="110"/>
        </w:rPr>
        <w:t>aborda</w:t>
      </w:r>
      <w:r>
        <w:rPr>
          <w:color w:val="231F1F"/>
          <w:spacing w:val="-14"/>
          <w:w w:val="110"/>
        </w:rPr>
        <w:t> </w:t>
      </w:r>
      <w:r>
        <w:rPr>
          <w:color w:val="231F1F"/>
          <w:w w:val="110"/>
        </w:rPr>
        <w:t>el</w:t>
      </w:r>
      <w:r>
        <w:rPr>
          <w:color w:val="231F1F"/>
          <w:spacing w:val="-14"/>
          <w:w w:val="110"/>
        </w:rPr>
        <w:t> </w:t>
      </w:r>
      <w:r>
        <w:rPr>
          <w:color w:val="231F1F"/>
          <w:w w:val="110"/>
        </w:rPr>
        <w:t>tema</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utiliza- ción de enemas.</w:t>
      </w:r>
    </w:p>
    <w:p>
      <w:pPr>
        <w:pStyle w:val="BodyText"/>
        <w:spacing w:line="247" w:lineRule="auto" w:before="172"/>
        <w:ind w:left="283" w:right="43" w:firstLine="453"/>
        <w:jc w:val="both"/>
      </w:pPr>
      <w:r>
        <w:rPr>
          <w:color w:val="231F1F"/>
          <w:w w:val="105"/>
        </w:rPr>
        <w:t>La</w:t>
      </w:r>
      <w:r>
        <w:rPr>
          <w:color w:val="231F1F"/>
          <w:w w:val="105"/>
        </w:rPr>
        <w:t> búsqueda</w:t>
      </w:r>
      <w:r>
        <w:rPr>
          <w:color w:val="231F1F"/>
          <w:w w:val="105"/>
        </w:rPr>
        <w:t> sistemática</w:t>
      </w:r>
      <w:r>
        <w:rPr>
          <w:color w:val="231F1F"/>
          <w:w w:val="105"/>
        </w:rPr>
        <w:t> llevada</w:t>
      </w:r>
      <w:r>
        <w:rPr>
          <w:color w:val="231F1F"/>
          <w:w w:val="105"/>
        </w:rPr>
        <w:t> a</w:t>
      </w:r>
      <w:r>
        <w:rPr>
          <w:color w:val="231F1F"/>
          <w:w w:val="105"/>
        </w:rPr>
        <w:t> cabo</w:t>
      </w:r>
      <w:r>
        <w:rPr>
          <w:color w:val="231F1F"/>
          <w:w w:val="105"/>
        </w:rPr>
        <w:t> para</w:t>
      </w:r>
      <w:r>
        <w:rPr>
          <w:color w:val="231F1F"/>
          <w:w w:val="105"/>
        </w:rPr>
        <w:t> responder</w:t>
      </w:r>
      <w:r>
        <w:rPr>
          <w:color w:val="231F1F"/>
          <w:w w:val="105"/>
        </w:rPr>
        <w:t> a</w:t>
      </w:r>
      <w:r>
        <w:rPr>
          <w:color w:val="231F1F"/>
          <w:w w:val="105"/>
        </w:rPr>
        <w:t> esta</w:t>
      </w:r>
      <w:r>
        <w:rPr>
          <w:color w:val="231F1F"/>
          <w:w w:val="105"/>
        </w:rPr>
        <w:t> pregunta encontró</w:t>
      </w:r>
      <w:r>
        <w:rPr>
          <w:color w:val="231F1F"/>
          <w:w w:val="105"/>
        </w:rPr>
        <w:t> 7</w:t>
      </w:r>
      <w:r>
        <w:rPr>
          <w:color w:val="231F1F"/>
          <w:w w:val="105"/>
        </w:rPr>
        <w:t> artículos</w:t>
      </w:r>
      <w:r>
        <w:rPr>
          <w:color w:val="231F1F"/>
          <w:w w:val="105"/>
        </w:rPr>
        <w:t> (2</w:t>
      </w:r>
      <w:r>
        <w:rPr>
          <w:color w:val="231F1F"/>
          <w:w w:val="105"/>
        </w:rPr>
        <w:t> en</w:t>
      </w:r>
      <w:r>
        <w:rPr>
          <w:color w:val="231F1F"/>
          <w:w w:val="105"/>
        </w:rPr>
        <w:t> Cochrane</w:t>
      </w:r>
      <w:r>
        <w:rPr>
          <w:color w:val="231F1F"/>
          <w:w w:val="105"/>
        </w:rPr>
        <w:t> y</w:t>
      </w:r>
      <w:r>
        <w:rPr>
          <w:color w:val="231F1F"/>
          <w:w w:val="105"/>
        </w:rPr>
        <w:t> 5</w:t>
      </w:r>
      <w:r>
        <w:rPr>
          <w:color w:val="231F1F"/>
          <w:w w:val="105"/>
        </w:rPr>
        <w:t> en</w:t>
      </w:r>
      <w:r>
        <w:rPr>
          <w:color w:val="231F1F"/>
          <w:w w:val="105"/>
        </w:rPr>
        <w:t> PubMed),</w:t>
      </w:r>
      <w:r>
        <w:rPr>
          <w:color w:val="231F1F"/>
          <w:w w:val="105"/>
        </w:rPr>
        <w:t> de</w:t>
      </w:r>
      <w:r>
        <w:rPr>
          <w:color w:val="231F1F"/>
          <w:w w:val="105"/>
        </w:rPr>
        <w:t> los</w:t>
      </w:r>
      <w:r>
        <w:rPr>
          <w:color w:val="231F1F"/>
          <w:w w:val="105"/>
        </w:rPr>
        <w:t> cuales</w:t>
      </w:r>
      <w:r>
        <w:rPr>
          <w:color w:val="231F1F"/>
          <w:w w:val="105"/>
        </w:rPr>
        <w:t> sólo</w:t>
      </w:r>
      <w:r>
        <w:rPr>
          <w:color w:val="231F1F"/>
          <w:w w:val="105"/>
        </w:rPr>
        <w:t> se incluyó</w:t>
      </w:r>
      <w:r>
        <w:rPr>
          <w:color w:val="231F1F"/>
          <w:w w:val="105"/>
        </w:rPr>
        <w:t> una</w:t>
      </w:r>
      <w:r>
        <w:rPr>
          <w:color w:val="231F1F"/>
          <w:w w:val="105"/>
        </w:rPr>
        <w:t> RS</w:t>
      </w:r>
      <w:r>
        <w:rPr>
          <w:color w:val="231F1F"/>
          <w:w w:val="105"/>
        </w:rPr>
        <w:t> de</w:t>
      </w:r>
      <w:r>
        <w:rPr>
          <w:color w:val="231F1F"/>
          <w:w w:val="105"/>
        </w:rPr>
        <w:t> Cochrane</w:t>
      </w:r>
      <w:r>
        <w:rPr>
          <w:color w:val="231F1F"/>
          <w:w w:val="105"/>
        </w:rPr>
        <w:t> del</w:t>
      </w:r>
      <w:r>
        <w:rPr>
          <w:color w:val="231F1F"/>
          <w:w w:val="105"/>
        </w:rPr>
        <w:t> año</w:t>
      </w:r>
      <w:r>
        <w:rPr>
          <w:color w:val="231F1F"/>
          <w:w w:val="105"/>
        </w:rPr>
        <w:t> 2007</w:t>
      </w:r>
      <w:r>
        <w:rPr>
          <w:color w:val="231F1F"/>
          <w:w w:val="105"/>
        </w:rPr>
        <w:t> (43).</w:t>
      </w:r>
      <w:r>
        <w:rPr>
          <w:color w:val="231F1F"/>
          <w:w w:val="105"/>
        </w:rPr>
        <w:t> Los</w:t>
      </w:r>
      <w:r>
        <w:rPr>
          <w:color w:val="231F1F"/>
          <w:w w:val="105"/>
        </w:rPr>
        <w:t> otros</w:t>
      </w:r>
      <w:r>
        <w:rPr>
          <w:color w:val="231F1F"/>
          <w:w w:val="105"/>
        </w:rPr>
        <w:t> artículos</w:t>
      </w:r>
      <w:r>
        <w:rPr>
          <w:color w:val="231F1F"/>
          <w:w w:val="105"/>
        </w:rPr>
        <w:t> fueron excluidos por no cumplir los criterios de inclusión.</w:t>
      </w:r>
    </w:p>
    <w:p>
      <w:pPr>
        <w:pStyle w:val="BodyText"/>
        <w:spacing w:line="249" w:lineRule="auto" w:before="177"/>
        <w:ind w:left="283" w:right="41" w:firstLine="453"/>
        <w:jc w:val="both"/>
      </w:pPr>
      <w:r>
        <w:rPr>
          <w:color w:val="231F1F"/>
          <w:w w:val="105"/>
        </w:rPr>
        <w:t>La</w:t>
      </w:r>
      <w:r>
        <w:rPr>
          <w:color w:val="231F1F"/>
          <w:spacing w:val="-2"/>
          <w:w w:val="105"/>
        </w:rPr>
        <w:t> </w:t>
      </w:r>
      <w:r>
        <w:rPr>
          <w:color w:val="231F1F"/>
          <w:w w:val="105"/>
        </w:rPr>
        <w:t>RS</w:t>
      </w:r>
      <w:r>
        <w:rPr>
          <w:color w:val="231F1F"/>
          <w:spacing w:val="-2"/>
          <w:w w:val="105"/>
        </w:rPr>
        <w:t> </w:t>
      </w:r>
      <w:r>
        <w:rPr>
          <w:color w:val="231F1F"/>
          <w:w w:val="105"/>
        </w:rPr>
        <w:t>incluye</w:t>
      </w:r>
      <w:r>
        <w:rPr>
          <w:color w:val="231F1F"/>
          <w:spacing w:val="-1"/>
          <w:w w:val="105"/>
        </w:rPr>
        <w:t> </w:t>
      </w:r>
      <w:r>
        <w:rPr>
          <w:color w:val="231F1F"/>
          <w:w w:val="105"/>
        </w:rPr>
        <w:t>un</w:t>
      </w:r>
      <w:r>
        <w:rPr>
          <w:color w:val="231F1F"/>
          <w:spacing w:val="-2"/>
          <w:w w:val="105"/>
        </w:rPr>
        <w:t> </w:t>
      </w:r>
      <w:r>
        <w:rPr>
          <w:color w:val="231F1F"/>
          <w:w w:val="105"/>
        </w:rPr>
        <w:t>total</w:t>
      </w:r>
      <w:r>
        <w:rPr>
          <w:color w:val="231F1F"/>
          <w:spacing w:val="-1"/>
          <w:w w:val="105"/>
        </w:rPr>
        <w:t> </w:t>
      </w:r>
      <w:r>
        <w:rPr>
          <w:color w:val="231F1F"/>
          <w:w w:val="105"/>
        </w:rPr>
        <w:t>de</w:t>
      </w:r>
      <w:r>
        <w:rPr>
          <w:color w:val="231F1F"/>
          <w:spacing w:val="-2"/>
          <w:w w:val="105"/>
        </w:rPr>
        <w:t> </w:t>
      </w:r>
      <w:r>
        <w:rPr>
          <w:color w:val="231F1F"/>
          <w:w w:val="105"/>
        </w:rPr>
        <w:t>tres</w:t>
      </w:r>
      <w:r>
        <w:rPr>
          <w:color w:val="231F1F"/>
          <w:spacing w:val="-2"/>
          <w:w w:val="105"/>
        </w:rPr>
        <w:t> </w:t>
      </w:r>
      <w:r>
        <w:rPr>
          <w:color w:val="231F1F"/>
          <w:w w:val="105"/>
        </w:rPr>
        <w:t>ECAs,</w:t>
      </w:r>
      <w:r>
        <w:rPr>
          <w:color w:val="231F1F"/>
          <w:spacing w:val="-1"/>
          <w:w w:val="105"/>
        </w:rPr>
        <w:t> </w:t>
      </w:r>
      <w:r>
        <w:rPr>
          <w:color w:val="231F1F"/>
          <w:w w:val="105"/>
        </w:rPr>
        <w:t>uno</w:t>
      </w:r>
      <w:r>
        <w:rPr>
          <w:color w:val="231F1F"/>
          <w:spacing w:val="-2"/>
          <w:w w:val="105"/>
        </w:rPr>
        <w:t> </w:t>
      </w:r>
      <w:r>
        <w:rPr>
          <w:color w:val="231F1F"/>
          <w:w w:val="105"/>
        </w:rPr>
        <w:t>con</w:t>
      </w:r>
      <w:r>
        <w:rPr>
          <w:color w:val="231F1F"/>
          <w:spacing w:val="-2"/>
          <w:w w:val="105"/>
        </w:rPr>
        <w:t> </w:t>
      </w:r>
      <w:r>
        <w:rPr>
          <w:color w:val="231F1F"/>
          <w:w w:val="105"/>
        </w:rPr>
        <w:t>nivel</w:t>
      </w:r>
      <w:r>
        <w:rPr>
          <w:color w:val="231F1F"/>
          <w:spacing w:val="-2"/>
          <w:w w:val="105"/>
        </w:rPr>
        <w:t> </w:t>
      </w:r>
      <w:r>
        <w:rPr>
          <w:color w:val="231F1F"/>
          <w:w w:val="105"/>
        </w:rPr>
        <w:t>de</w:t>
      </w:r>
      <w:r>
        <w:rPr>
          <w:color w:val="231F1F"/>
          <w:spacing w:val="-2"/>
          <w:w w:val="105"/>
        </w:rPr>
        <w:t> </w:t>
      </w:r>
      <w:r>
        <w:rPr>
          <w:color w:val="231F1F"/>
          <w:w w:val="105"/>
        </w:rPr>
        <w:t>evidencia</w:t>
      </w:r>
      <w:r>
        <w:rPr>
          <w:color w:val="231F1F"/>
          <w:spacing w:val="-1"/>
          <w:w w:val="105"/>
        </w:rPr>
        <w:t> </w:t>
      </w:r>
      <w:r>
        <w:rPr>
          <w:color w:val="231F1F"/>
          <w:w w:val="105"/>
        </w:rPr>
        <w:t>1+</w:t>
      </w:r>
      <w:r>
        <w:rPr>
          <w:color w:val="231F1F"/>
          <w:spacing w:val="-2"/>
          <w:w w:val="105"/>
        </w:rPr>
        <w:t> </w:t>
      </w:r>
      <w:r>
        <w:rPr>
          <w:color w:val="231F1F"/>
          <w:w w:val="105"/>
        </w:rPr>
        <w:t>y</w:t>
      </w:r>
      <w:r>
        <w:rPr>
          <w:color w:val="231F1F"/>
          <w:spacing w:val="-2"/>
          <w:w w:val="105"/>
        </w:rPr>
        <w:t> </w:t>
      </w:r>
      <w:r>
        <w:rPr>
          <w:color w:val="231F1F"/>
          <w:w w:val="105"/>
        </w:rPr>
        <w:t>dos 1-. El objetivo de la RS era estudiar los efectos de los enemas, administrados en</w:t>
      </w:r>
      <w:r>
        <w:rPr>
          <w:color w:val="231F1F"/>
          <w:w w:val="105"/>
        </w:rPr>
        <w:t> el</w:t>
      </w:r>
      <w:r>
        <w:rPr>
          <w:color w:val="231F1F"/>
          <w:w w:val="105"/>
        </w:rPr>
        <w:t> período</w:t>
      </w:r>
      <w:r>
        <w:rPr>
          <w:color w:val="231F1F"/>
          <w:w w:val="105"/>
        </w:rPr>
        <w:t> de</w:t>
      </w:r>
      <w:r>
        <w:rPr>
          <w:color w:val="231F1F"/>
          <w:w w:val="105"/>
        </w:rPr>
        <w:t> dilatación,</w:t>
      </w:r>
      <w:r>
        <w:rPr>
          <w:color w:val="231F1F"/>
          <w:w w:val="105"/>
        </w:rPr>
        <w:t> sobre</w:t>
      </w:r>
      <w:r>
        <w:rPr>
          <w:color w:val="231F1F"/>
          <w:w w:val="105"/>
        </w:rPr>
        <w:t> la</w:t>
      </w:r>
      <w:r>
        <w:rPr>
          <w:color w:val="231F1F"/>
          <w:w w:val="105"/>
        </w:rPr>
        <w:t> tasa</w:t>
      </w:r>
      <w:r>
        <w:rPr>
          <w:color w:val="231F1F"/>
          <w:w w:val="105"/>
        </w:rPr>
        <w:t> de</w:t>
      </w:r>
      <w:r>
        <w:rPr>
          <w:color w:val="231F1F"/>
          <w:w w:val="105"/>
        </w:rPr>
        <w:t> infección</w:t>
      </w:r>
      <w:r>
        <w:rPr>
          <w:color w:val="231F1F"/>
          <w:w w:val="105"/>
        </w:rPr>
        <w:t> posparto,</w:t>
      </w:r>
      <w:r>
        <w:rPr>
          <w:color w:val="231F1F"/>
          <w:w w:val="105"/>
        </w:rPr>
        <w:t> infecciones neonatales, morbilidad no infecciosa materna y neonatal, tasa de dehiscencia de</w:t>
      </w:r>
      <w:r>
        <w:rPr>
          <w:color w:val="231F1F"/>
          <w:spacing w:val="-2"/>
          <w:w w:val="105"/>
        </w:rPr>
        <w:t> </w:t>
      </w:r>
      <w:r>
        <w:rPr>
          <w:color w:val="231F1F"/>
          <w:w w:val="105"/>
        </w:rPr>
        <w:t>la</w:t>
      </w:r>
      <w:r>
        <w:rPr>
          <w:color w:val="231F1F"/>
          <w:spacing w:val="-2"/>
          <w:w w:val="105"/>
        </w:rPr>
        <w:t> </w:t>
      </w:r>
      <w:r>
        <w:rPr>
          <w:color w:val="231F1F"/>
          <w:w w:val="105"/>
        </w:rPr>
        <w:t>episiotomía,</w:t>
      </w:r>
      <w:r>
        <w:rPr>
          <w:color w:val="231F1F"/>
          <w:spacing w:val="-2"/>
          <w:w w:val="105"/>
        </w:rPr>
        <w:t> </w:t>
      </w:r>
      <w:r>
        <w:rPr>
          <w:color w:val="231F1F"/>
          <w:w w:val="105"/>
        </w:rPr>
        <w:t>encopresis</w:t>
      </w:r>
      <w:r>
        <w:rPr>
          <w:color w:val="231F1F"/>
          <w:spacing w:val="-2"/>
          <w:w w:val="105"/>
        </w:rPr>
        <w:t> </w:t>
      </w:r>
      <w:r>
        <w:rPr>
          <w:color w:val="231F1F"/>
          <w:w w:val="105"/>
        </w:rPr>
        <w:t>fecal</w:t>
      </w:r>
      <w:r>
        <w:rPr>
          <w:color w:val="231F1F"/>
          <w:spacing w:val="-2"/>
          <w:w w:val="105"/>
        </w:rPr>
        <w:t> </w:t>
      </w:r>
      <w:r>
        <w:rPr>
          <w:color w:val="231F1F"/>
          <w:w w:val="105"/>
        </w:rPr>
        <w:t>durante</w:t>
      </w:r>
      <w:r>
        <w:rPr>
          <w:color w:val="231F1F"/>
          <w:spacing w:val="-2"/>
          <w:w w:val="105"/>
        </w:rPr>
        <w:t> </w:t>
      </w:r>
      <w:r>
        <w:rPr>
          <w:color w:val="231F1F"/>
          <w:w w:val="105"/>
        </w:rPr>
        <w:t>la</w:t>
      </w:r>
      <w:r>
        <w:rPr>
          <w:color w:val="231F1F"/>
          <w:spacing w:val="-2"/>
          <w:w w:val="105"/>
        </w:rPr>
        <w:t> </w:t>
      </w:r>
      <w:r>
        <w:rPr>
          <w:color w:val="231F1F"/>
          <w:w w:val="105"/>
        </w:rPr>
        <w:t>dilatación</w:t>
      </w:r>
      <w:r>
        <w:rPr>
          <w:color w:val="231F1F"/>
          <w:spacing w:val="-3"/>
          <w:w w:val="105"/>
        </w:rPr>
        <w:t> </w:t>
      </w:r>
      <w:r>
        <w:rPr>
          <w:color w:val="231F1F"/>
          <w:w w:val="105"/>
        </w:rPr>
        <w:t>y</w:t>
      </w:r>
      <w:r>
        <w:rPr>
          <w:color w:val="231F1F"/>
          <w:spacing w:val="-2"/>
          <w:w w:val="105"/>
        </w:rPr>
        <w:t> </w:t>
      </w:r>
      <w:r>
        <w:rPr>
          <w:color w:val="231F1F"/>
          <w:w w:val="105"/>
        </w:rPr>
        <w:t>el</w:t>
      </w:r>
      <w:r>
        <w:rPr>
          <w:color w:val="231F1F"/>
          <w:spacing w:val="-2"/>
          <w:w w:val="105"/>
        </w:rPr>
        <w:t> </w:t>
      </w:r>
      <w:r>
        <w:rPr>
          <w:color w:val="231F1F"/>
          <w:w w:val="105"/>
        </w:rPr>
        <w:t>parto</w:t>
      </w:r>
      <w:r>
        <w:rPr>
          <w:color w:val="231F1F"/>
          <w:spacing w:val="-2"/>
          <w:w w:val="105"/>
        </w:rPr>
        <w:t> </w:t>
      </w:r>
      <w:r>
        <w:rPr>
          <w:color w:val="231F1F"/>
          <w:w w:val="105"/>
        </w:rPr>
        <w:t>y</w:t>
      </w:r>
      <w:r>
        <w:rPr>
          <w:color w:val="231F1F"/>
          <w:spacing w:val="-2"/>
          <w:w w:val="105"/>
        </w:rPr>
        <w:t> </w:t>
      </w:r>
      <w:r>
        <w:rPr>
          <w:color w:val="231F1F"/>
          <w:w w:val="105"/>
        </w:rPr>
        <w:t>por</w:t>
      </w:r>
      <w:r>
        <w:rPr>
          <w:color w:val="231F1F"/>
          <w:spacing w:val="-2"/>
          <w:w w:val="105"/>
        </w:rPr>
        <w:t> </w:t>
      </w:r>
      <w:r>
        <w:rPr>
          <w:color w:val="231F1F"/>
          <w:w w:val="105"/>
        </w:rPr>
        <w:t>último la duración del trabajo de parto.</w:t>
      </w:r>
    </w:p>
    <w:p>
      <w:pPr>
        <w:pStyle w:val="BodyText"/>
        <w:spacing w:line="249" w:lineRule="auto" w:before="159"/>
        <w:ind w:left="283" w:right="40" w:firstLine="453"/>
        <w:jc w:val="both"/>
      </w:pPr>
      <w:r>
        <w:rPr>
          <w:color w:val="231F1F"/>
          <w:w w:val="110"/>
        </w:rPr>
        <w:t>Solo se han tenido en cuenta los resultados del ECA con NE 1+ para algunas de las variables estudiadas (44).</w:t>
      </w:r>
    </w:p>
    <w:p>
      <w:pPr>
        <w:pStyle w:val="BodyText"/>
        <w:spacing w:line="249" w:lineRule="auto" w:before="126"/>
        <w:ind w:left="283" w:right="38" w:firstLine="453"/>
        <w:jc w:val="both"/>
      </w:pPr>
      <w:r>
        <w:rPr>
          <w:color w:val="231F1F"/>
          <w:w w:val="105"/>
        </w:rPr>
        <w:t>Los resultados mostraron que no existían diferencias significativas entre los</w:t>
      </w:r>
      <w:r>
        <w:rPr>
          <w:color w:val="231F1F"/>
          <w:w w:val="105"/>
        </w:rPr>
        <w:t> dos</w:t>
      </w:r>
      <w:r>
        <w:rPr>
          <w:color w:val="231F1F"/>
          <w:w w:val="105"/>
        </w:rPr>
        <w:t> grupos</w:t>
      </w:r>
      <w:r>
        <w:rPr>
          <w:color w:val="231F1F"/>
          <w:w w:val="105"/>
        </w:rPr>
        <w:t> (con</w:t>
      </w:r>
      <w:r>
        <w:rPr>
          <w:color w:val="231F1F"/>
          <w:w w:val="105"/>
        </w:rPr>
        <w:t> y</w:t>
      </w:r>
      <w:r>
        <w:rPr>
          <w:color w:val="231F1F"/>
          <w:w w:val="105"/>
        </w:rPr>
        <w:t> sin</w:t>
      </w:r>
      <w:r>
        <w:rPr>
          <w:color w:val="231F1F"/>
          <w:w w:val="105"/>
        </w:rPr>
        <w:t> enema)</w:t>
      </w:r>
      <w:r>
        <w:rPr>
          <w:color w:val="231F1F"/>
          <w:w w:val="105"/>
        </w:rPr>
        <w:t> para</w:t>
      </w:r>
      <w:r>
        <w:rPr>
          <w:color w:val="231F1F"/>
          <w:w w:val="105"/>
        </w:rPr>
        <w:t> las</w:t>
      </w:r>
      <w:r>
        <w:rPr>
          <w:color w:val="231F1F"/>
          <w:w w:val="105"/>
        </w:rPr>
        <w:t> variables</w:t>
      </w:r>
      <w:r>
        <w:rPr>
          <w:color w:val="231F1F"/>
          <w:w w:val="105"/>
        </w:rPr>
        <w:t> de</w:t>
      </w:r>
      <w:r>
        <w:rPr>
          <w:color w:val="231F1F"/>
          <w:w w:val="105"/>
        </w:rPr>
        <w:t> infección</w:t>
      </w:r>
      <w:r>
        <w:rPr>
          <w:color w:val="231F1F"/>
          <w:w w:val="105"/>
        </w:rPr>
        <w:t> umbilical neonatal:</w:t>
      </w:r>
      <w:r>
        <w:rPr>
          <w:color w:val="231F1F"/>
          <w:w w:val="105"/>
        </w:rPr>
        <w:t> RR</w:t>
      </w:r>
      <w:r>
        <w:rPr>
          <w:color w:val="231F1F"/>
          <w:w w:val="105"/>
        </w:rPr>
        <w:t> 7,47</w:t>
      </w:r>
      <w:r>
        <w:rPr>
          <w:color w:val="231F1F"/>
          <w:w w:val="105"/>
        </w:rPr>
        <w:t> [IC</w:t>
      </w:r>
      <w:r>
        <w:rPr>
          <w:color w:val="231F1F"/>
          <w:w w:val="105"/>
        </w:rPr>
        <w:t> 95%</w:t>
      </w:r>
      <w:r>
        <w:rPr>
          <w:color w:val="231F1F"/>
          <w:w w:val="105"/>
        </w:rPr>
        <w:t> 0,39-143,55],</w:t>
      </w:r>
      <w:r>
        <w:rPr>
          <w:color w:val="231F1F"/>
          <w:w w:val="105"/>
        </w:rPr>
        <w:t> infección</w:t>
      </w:r>
      <w:r>
        <w:rPr>
          <w:color w:val="231F1F"/>
          <w:w w:val="105"/>
        </w:rPr>
        <w:t> puerperal:</w:t>
      </w:r>
      <w:r>
        <w:rPr>
          <w:color w:val="231F1F"/>
          <w:w w:val="105"/>
        </w:rPr>
        <w:t> RR</w:t>
      </w:r>
      <w:r>
        <w:rPr>
          <w:color w:val="231F1F"/>
          <w:w w:val="105"/>
        </w:rPr>
        <w:t> 0,66</w:t>
      </w:r>
      <w:r>
        <w:rPr>
          <w:color w:val="231F1F"/>
          <w:w w:val="105"/>
        </w:rPr>
        <w:t> [IC 95%</w:t>
      </w:r>
      <w:r>
        <w:rPr>
          <w:color w:val="231F1F"/>
          <w:w w:val="105"/>
        </w:rPr>
        <w:t> 0,42</w:t>
      </w:r>
      <w:r>
        <w:rPr>
          <w:color w:val="231F1F"/>
          <w:w w:val="105"/>
        </w:rPr>
        <w:t> a</w:t>
      </w:r>
      <w:r>
        <w:rPr>
          <w:color w:val="231F1F"/>
          <w:w w:val="105"/>
        </w:rPr>
        <w:t> 19,04],</w:t>
      </w:r>
      <w:r>
        <w:rPr>
          <w:color w:val="231F1F"/>
          <w:w w:val="105"/>
        </w:rPr>
        <w:t> desgarro</w:t>
      </w:r>
      <w:r>
        <w:rPr>
          <w:color w:val="231F1F"/>
          <w:w w:val="105"/>
        </w:rPr>
        <w:t> perineal</w:t>
      </w:r>
      <w:r>
        <w:rPr>
          <w:color w:val="231F1F"/>
          <w:w w:val="105"/>
        </w:rPr>
        <w:t> sin</w:t>
      </w:r>
      <w:r>
        <w:rPr>
          <w:color w:val="231F1F"/>
          <w:w w:val="105"/>
        </w:rPr>
        <w:t> compromiso</w:t>
      </w:r>
      <w:r>
        <w:rPr>
          <w:color w:val="231F1F"/>
          <w:w w:val="105"/>
        </w:rPr>
        <w:t> del</w:t>
      </w:r>
      <w:r>
        <w:rPr>
          <w:color w:val="231F1F"/>
          <w:w w:val="105"/>
        </w:rPr>
        <w:t> esfínter</w:t>
      </w:r>
      <w:r>
        <w:rPr>
          <w:color w:val="231F1F"/>
          <w:w w:val="105"/>
        </w:rPr>
        <w:t> anal:</w:t>
      </w:r>
      <w:r>
        <w:rPr>
          <w:color w:val="231F1F"/>
          <w:w w:val="105"/>
        </w:rPr>
        <w:t> RR 1,11 [IC 95% 0,65-1,90] ni desgarro perineal con compromiso del mismo: RR 0,59 [IC 95% 0,14-2,42].</w:t>
      </w:r>
    </w:p>
    <w:p>
      <w:pPr>
        <w:pStyle w:val="BodyText"/>
        <w:spacing w:line="247" w:lineRule="auto" w:before="121"/>
        <w:ind w:left="283" w:right="38" w:firstLine="453"/>
        <w:jc w:val="both"/>
      </w:pPr>
      <w:r>
        <w:rPr>
          <w:color w:val="231F1F"/>
          <w:w w:val="110"/>
        </w:rPr>
        <w:t>Para</w:t>
      </w:r>
      <w:r>
        <w:rPr>
          <w:color w:val="231F1F"/>
          <w:w w:val="110"/>
        </w:rPr>
        <w:t> el</w:t>
      </w:r>
      <w:r>
        <w:rPr>
          <w:color w:val="231F1F"/>
          <w:w w:val="110"/>
        </w:rPr>
        <w:t> resto</w:t>
      </w:r>
      <w:r>
        <w:rPr>
          <w:color w:val="231F1F"/>
          <w:w w:val="110"/>
        </w:rPr>
        <w:t> de</w:t>
      </w:r>
      <w:r>
        <w:rPr>
          <w:color w:val="231F1F"/>
          <w:w w:val="110"/>
        </w:rPr>
        <w:t> las</w:t>
      </w:r>
      <w:r>
        <w:rPr>
          <w:color w:val="231F1F"/>
          <w:w w:val="110"/>
        </w:rPr>
        <w:t> variables</w:t>
      </w:r>
      <w:r>
        <w:rPr>
          <w:color w:val="231F1F"/>
          <w:w w:val="110"/>
        </w:rPr>
        <w:t> la</w:t>
      </w:r>
      <w:r>
        <w:rPr>
          <w:color w:val="231F1F"/>
          <w:w w:val="110"/>
        </w:rPr>
        <w:t> RS</w:t>
      </w:r>
      <w:r>
        <w:rPr>
          <w:color w:val="231F1F"/>
          <w:w w:val="110"/>
        </w:rPr>
        <w:t> no</w:t>
      </w:r>
      <w:r>
        <w:rPr>
          <w:color w:val="231F1F"/>
          <w:w w:val="110"/>
        </w:rPr>
        <w:t> encuentran</w:t>
      </w:r>
      <w:r>
        <w:rPr>
          <w:color w:val="231F1F"/>
          <w:w w:val="110"/>
        </w:rPr>
        <w:t> diferencias</w:t>
      </w:r>
      <w:r>
        <w:rPr>
          <w:color w:val="231F1F"/>
          <w:w w:val="110"/>
        </w:rPr>
        <w:t> entre ambos</w:t>
      </w:r>
      <w:r>
        <w:rPr>
          <w:color w:val="231F1F"/>
          <w:w w:val="110"/>
        </w:rPr>
        <w:t> grupos</w:t>
      </w:r>
      <w:r>
        <w:rPr>
          <w:color w:val="231F1F"/>
          <w:w w:val="110"/>
        </w:rPr>
        <w:t> en</w:t>
      </w:r>
      <w:r>
        <w:rPr>
          <w:color w:val="231F1F"/>
          <w:w w:val="110"/>
        </w:rPr>
        <w:t> los</w:t>
      </w:r>
      <w:r>
        <w:rPr>
          <w:color w:val="231F1F"/>
          <w:w w:val="110"/>
        </w:rPr>
        <w:t> resultados</w:t>
      </w:r>
      <w:r>
        <w:rPr>
          <w:color w:val="231F1F"/>
          <w:w w:val="110"/>
        </w:rPr>
        <w:t> del</w:t>
      </w:r>
      <w:r>
        <w:rPr>
          <w:color w:val="231F1F"/>
          <w:w w:val="110"/>
        </w:rPr>
        <w:t> RN</w:t>
      </w:r>
      <w:r>
        <w:rPr>
          <w:color w:val="231F1F"/>
          <w:w w:val="110"/>
        </w:rPr>
        <w:t> (infección</w:t>
      </w:r>
      <w:r>
        <w:rPr>
          <w:color w:val="231F1F"/>
          <w:w w:val="110"/>
        </w:rPr>
        <w:t> o</w:t>
      </w:r>
      <w:r>
        <w:rPr>
          <w:color w:val="231F1F"/>
          <w:w w:val="110"/>
        </w:rPr>
        <w:t> Apgar),</w:t>
      </w:r>
      <w:r>
        <w:rPr>
          <w:color w:val="231F1F"/>
          <w:w w:val="110"/>
        </w:rPr>
        <w:t> en</w:t>
      </w:r>
      <w:r>
        <w:rPr>
          <w:color w:val="231F1F"/>
          <w:w w:val="110"/>
        </w:rPr>
        <w:t> los</w:t>
      </w:r>
      <w:r>
        <w:rPr>
          <w:color w:val="231F1F"/>
          <w:w w:val="110"/>
        </w:rPr>
        <w:t> puer- perales</w:t>
      </w:r>
      <w:r>
        <w:rPr>
          <w:color w:val="231F1F"/>
          <w:w w:val="110"/>
        </w:rPr>
        <w:t> (dehiscencia</w:t>
      </w:r>
      <w:r>
        <w:rPr>
          <w:color w:val="231F1F"/>
          <w:w w:val="110"/>
        </w:rPr>
        <w:t> de</w:t>
      </w:r>
      <w:r>
        <w:rPr>
          <w:color w:val="231F1F"/>
          <w:w w:val="110"/>
        </w:rPr>
        <w:t> la</w:t>
      </w:r>
      <w:r>
        <w:rPr>
          <w:color w:val="231F1F"/>
          <w:w w:val="110"/>
        </w:rPr>
        <w:t> episiotomía),</w:t>
      </w:r>
      <w:r>
        <w:rPr>
          <w:color w:val="231F1F"/>
          <w:w w:val="110"/>
        </w:rPr>
        <w:t> ni</w:t>
      </w:r>
      <w:r>
        <w:rPr>
          <w:color w:val="231F1F"/>
          <w:w w:val="110"/>
        </w:rPr>
        <w:t> en</w:t>
      </w:r>
      <w:r>
        <w:rPr>
          <w:color w:val="231F1F"/>
          <w:w w:val="110"/>
        </w:rPr>
        <w:t> la</w:t>
      </w:r>
      <w:r>
        <w:rPr>
          <w:color w:val="231F1F"/>
          <w:w w:val="110"/>
        </w:rPr>
        <w:t> duración</w:t>
      </w:r>
      <w:r>
        <w:rPr>
          <w:color w:val="231F1F"/>
          <w:w w:val="110"/>
        </w:rPr>
        <w:t> del</w:t>
      </w:r>
      <w:r>
        <w:rPr>
          <w:color w:val="231F1F"/>
          <w:w w:val="110"/>
        </w:rPr>
        <w:t> trabajo</w:t>
      </w:r>
      <w:r>
        <w:rPr>
          <w:color w:val="231F1F"/>
          <w:w w:val="110"/>
        </w:rPr>
        <w:t> de parto,</w:t>
      </w:r>
      <w:r>
        <w:rPr>
          <w:color w:val="231F1F"/>
          <w:w w:val="110"/>
        </w:rPr>
        <w:t> ya</w:t>
      </w:r>
      <w:r>
        <w:rPr>
          <w:color w:val="231F1F"/>
          <w:w w:val="110"/>
        </w:rPr>
        <w:t> que</w:t>
      </w:r>
      <w:r>
        <w:rPr>
          <w:color w:val="231F1F"/>
          <w:w w:val="110"/>
        </w:rPr>
        <w:t> aunque</w:t>
      </w:r>
      <w:r>
        <w:rPr>
          <w:color w:val="231F1F"/>
          <w:w w:val="110"/>
        </w:rPr>
        <w:t> la</w:t>
      </w:r>
      <w:r>
        <w:rPr>
          <w:color w:val="231F1F"/>
          <w:w w:val="110"/>
        </w:rPr>
        <w:t> duración</w:t>
      </w:r>
      <w:r>
        <w:rPr>
          <w:color w:val="231F1F"/>
          <w:w w:val="110"/>
        </w:rPr>
        <w:t> del</w:t>
      </w:r>
      <w:r>
        <w:rPr>
          <w:color w:val="231F1F"/>
          <w:w w:val="110"/>
        </w:rPr>
        <w:t> trabajo</w:t>
      </w:r>
      <w:r>
        <w:rPr>
          <w:color w:val="231F1F"/>
          <w:w w:val="110"/>
        </w:rPr>
        <w:t> de</w:t>
      </w:r>
      <w:r>
        <w:rPr>
          <w:color w:val="231F1F"/>
          <w:w w:val="110"/>
        </w:rPr>
        <w:t> parto</w:t>
      </w:r>
      <w:r>
        <w:rPr>
          <w:color w:val="231F1F"/>
          <w:w w:val="110"/>
        </w:rPr>
        <w:t> fue</w:t>
      </w:r>
      <w:r>
        <w:rPr>
          <w:color w:val="231F1F"/>
          <w:w w:val="110"/>
        </w:rPr>
        <w:t> menor</w:t>
      </w:r>
      <w:r>
        <w:rPr>
          <w:color w:val="231F1F"/>
          <w:w w:val="110"/>
        </w:rPr>
        <w:t> en</w:t>
      </w:r>
      <w:r>
        <w:rPr>
          <w:color w:val="231F1F"/>
          <w:w w:val="110"/>
        </w:rPr>
        <w:t> el</w:t>
      </w:r>
      <w:r>
        <w:rPr>
          <w:color w:val="231F1F"/>
          <w:spacing w:val="40"/>
          <w:w w:val="110"/>
        </w:rPr>
        <w:t> </w:t>
      </w:r>
      <w:r>
        <w:rPr>
          <w:color w:val="231F1F"/>
          <w:w w:val="110"/>
        </w:rPr>
        <w:t>grupo con enema (1.077 mujeres, 409,4 minutos vs 459,8; p&lt;0,001), no se realizaron ajustes por paridad. Tampoco se encontraron diferencias signi- ficativas en la satisfacción de la mujer, mediante la escala de Likert de 5 puntos, p=0,922.</w:t>
      </w:r>
    </w:p>
    <w:p>
      <w:pPr>
        <w:pStyle w:val="BodyText"/>
        <w:spacing w:line="247" w:lineRule="auto" w:before="71"/>
        <w:ind w:left="283" w:right="46" w:firstLine="453"/>
        <w:jc w:val="both"/>
      </w:pP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RS</w:t>
      </w:r>
      <w:r>
        <w:rPr>
          <w:color w:val="231F1F"/>
          <w:spacing w:val="-7"/>
          <w:w w:val="110"/>
        </w:rPr>
        <w:t> </w:t>
      </w:r>
      <w:r>
        <w:rPr>
          <w:color w:val="231F1F"/>
          <w:w w:val="110"/>
        </w:rPr>
        <w:t>se</w:t>
      </w:r>
      <w:r>
        <w:rPr>
          <w:color w:val="231F1F"/>
          <w:spacing w:val="-7"/>
          <w:w w:val="110"/>
        </w:rPr>
        <w:t> </w:t>
      </w:r>
      <w:r>
        <w:rPr>
          <w:color w:val="231F1F"/>
          <w:w w:val="110"/>
        </w:rPr>
        <w:t>concluye</w:t>
      </w:r>
      <w:r>
        <w:rPr>
          <w:color w:val="231F1F"/>
          <w:spacing w:val="-7"/>
          <w:w w:val="110"/>
        </w:rPr>
        <w:t> </w:t>
      </w:r>
      <w:r>
        <w:rPr>
          <w:color w:val="231F1F"/>
          <w:w w:val="110"/>
        </w:rPr>
        <w:t>que</w:t>
      </w:r>
      <w:r>
        <w:rPr>
          <w:color w:val="231F1F"/>
          <w:spacing w:val="-7"/>
          <w:w w:val="110"/>
        </w:rPr>
        <w:t> </w:t>
      </w:r>
      <w:r>
        <w:rPr>
          <w:color w:val="231F1F"/>
          <w:w w:val="110"/>
        </w:rPr>
        <w:t>los</w:t>
      </w:r>
      <w:r>
        <w:rPr>
          <w:color w:val="231F1F"/>
          <w:spacing w:val="-7"/>
          <w:w w:val="110"/>
        </w:rPr>
        <w:t> </w:t>
      </w:r>
      <w:r>
        <w:rPr>
          <w:color w:val="231F1F"/>
          <w:w w:val="110"/>
        </w:rPr>
        <w:t>enemas</w:t>
      </w:r>
      <w:r>
        <w:rPr>
          <w:color w:val="231F1F"/>
          <w:spacing w:val="-7"/>
          <w:w w:val="110"/>
        </w:rPr>
        <w:t> </w:t>
      </w:r>
      <w:r>
        <w:rPr>
          <w:color w:val="231F1F"/>
          <w:w w:val="110"/>
        </w:rPr>
        <w:t>no</w:t>
      </w:r>
      <w:r>
        <w:rPr>
          <w:color w:val="231F1F"/>
          <w:spacing w:val="-7"/>
          <w:w w:val="110"/>
        </w:rPr>
        <w:t> </w:t>
      </w:r>
      <w:r>
        <w:rPr>
          <w:color w:val="231F1F"/>
          <w:w w:val="110"/>
        </w:rPr>
        <w:t>mejoran</w:t>
      </w:r>
      <w:r>
        <w:rPr>
          <w:color w:val="231F1F"/>
          <w:spacing w:val="-7"/>
          <w:w w:val="110"/>
        </w:rPr>
        <w:t> </w:t>
      </w:r>
      <w:r>
        <w:rPr>
          <w:color w:val="231F1F"/>
          <w:w w:val="110"/>
        </w:rPr>
        <w:t>las</w:t>
      </w:r>
      <w:r>
        <w:rPr>
          <w:color w:val="231F1F"/>
          <w:spacing w:val="-7"/>
          <w:w w:val="110"/>
        </w:rPr>
        <w:t> </w:t>
      </w:r>
      <w:r>
        <w:rPr>
          <w:color w:val="231F1F"/>
          <w:w w:val="110"/>
        </w:rPr>
        <w:t>tasas</w:t>
      </w:r>
      <w:r>
        <w:rPr>
          <w:color w:val="231F1F"/>
          <w:spacing w:val="-7"/>
          <w:w w:val="110"/>
        </w:rPr>
        <w:t> </w:t>
      </w:r>
      <w:r>
        <w:rPr>
          <w:color w:val="231F1F"/>
          <w:w w:val="110"/>
        </w:rPr>
        <w:t>de</w:t>
      </w:r>
      <w:r>
        <w:rPr>
          <w:color w:val="231F1F"/>
          <w:spacing w:val="-7"/>
          <w:w w:val="110"/>
        </w:rPr>
        <w:t> </w:t>
      </w:r>
      <w:r>
        <w:rPr>
          <w:color w:val="231F1F"/>
          <w:w w:val="110"/>
        </w:rPr>
        <w:t>infección materna</w:t>
      </w:r>
      <w:r>
        <w:rPr>
          <w:color w:val="231F1F"/>
          <w:spacing w:val="-4"/>
          <w:w w:val="110"/>
        </w:rPr>
        <w:t> </w:t>
      </w:r>
      <w:r>
        <w:rPr>
          <w:color w:val="231F1F"/>
          <w:w w:val="110"/>
        </w:rPr>
        <w:t>o</w:t>
      </w:r>
      <w:r>
        <w:rPr>
          <w:color w:val="231F1F"/>
          <w:spacing w:val="-4"/>
          <w:w w:val="110"/>
        </w:rPr>
        <w:t> </w:t>
      </w:r>
      <w:r>
        <w:rPr>
          <w:color w:val="231F1F"/>
          <w:w w:val="110"/>
        </w:rPr>
        <w:t>neonatal,</w:t>
      </w:r>
      <w:r>
        <w:rPr>
          <w:color w:val="231F1F"/>
          <w:spacing w:val="-5"/>
          <w:w w:val="110"/>
        </w:rPr>
        <w:t> </w:t>
      </w:r>
      <w:r>
        <w:rPr>
          <w:color w:val="231F1F"/>
          <w:w w:val="110"/>
        </w:rPr>
        <w:t>ni</w:t>
      </w:r>
      <w:r>
        <w:rPr>
          <w:color w:val="231F1F"/>
          <w:spacing w:val="-5"/>
          <w:w w:val="110"/>
        </w:rPr>
        <w:t> </w:t>
      </w:r>
      <w:r>
        <w:rPr>
          <w:color w:val="231F1F"/>
          <w:w w:val="110"/>
        </w:rPr>
        <w:t>las</w:t>
      </w:r>
      <w:r>
        <w:rPr>
          <w:color w:val="231F1F"/>
          <w:spacing w:val="-5"/>
          <w:w w:val="110"/>
        </w:rPr>
        <w:t> </w:t>
      </w:r>
      <w:r>
        <w:rPr>
          <w:color w:val="231F1F"/>
          <w:w w:val="110"/>
        </w:rPr>
        <w:t>tasas</w:t>
      </w:r>
      <w:r>
        <w:rPr>
          <w:color w:val="231F1F"/>
          <w:spacing w:val="-4"/>
          <w:w w:val="110"/>
        </w:rPr>
        <w:t> </w:t>
      </w:r>
      <w:r>
        <w:rPr>
          <w:color w:val="231F1F"/>
          <w:w w:val="110"/>
        </w:rPr>
        <w:t>de</w:t>
      </w:r>
      <w:r>
        <w:rPr>
          <w:color w:val="231F1F"/>
          <w:spacing w:val="-4"/>
          <w:w w:val="110"/>
        </w:rPr>
        <w:t> </w:t>
      </w:r>
      <w:r>
        <w:rPr>
          <w:color w:val="231F1F"/>
          <w:w w:val="110"/>
        </w:rPr>
        <w:t>dehiscencia</w:t>
      </w:r>
      <w:r>
        <w:rPr>
          <w:color w:val="231F1F"/>
          <w:spacing w:val="-5"/>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episiotomía</w:t>
      </w:r>
      <w:r>
        <w:rPr>
          <w:color w:val="231F1F"/>
          <w:spacing w:val="-5"/>
          <w:w w:val="110"/>
        </w:rPr>
        <w:t> </w:t>
      </w:r>
      <w:r>
        <w:rPr>
          <w:color w:val="231F1F"/>
          <w:w w:val="110"/>
        </w:rPr>
        <w:t>y</w:t>
      </w:r>
      <w:r>
        <w:rPr>
          <w:color w:val="231F1F"/>
          <w:spacing w:val="-4"/>
          <w:w w:val="110"/>
        </w:rPr>
        <w:t> </w:t>
      </w:r>
      <w:r>
        <w:rPr>
          <w:color w:val="231F1F"/>
          <w:w w:val="110"/>
        </w:rPr>
        <w:t>tampoco la</w:t>
      </w:r>
      <w:r>
        <w:rPr>
          <w:color w:val="231F1F"/>
          <w:spacing w:val="-12"/>
          <w:w w:val="110"/>
        </w:rPr>
        <w:t> </w:t>
      </w:r>
      <w:r>
        <w:rPr>
          <w:color w:val="231F1F"/>
          <w:w w:val="110"/>
        </w:rPr>
        <w:t>satisfacción</w:t>
      </w:r>
      <w:r>
        <w:rPr>
          <w:color w:val="231F1F"/>
          <w:spacing w:val="-13"/>
          <w:w w:val="110"/>
        </w:rPr>
        <w:t> </w:t>
      </w:r>
      <w:r>
        <w:rPr>
          <w:color w:val="231F1F"/>
          <w:w w:val="110"/>
        </w:rPr>
        <w:t>materna.</w:t>
      </w:r>
      <w:r>
        <w:rPr>
          <w:color w:val="231F1F"/>
          <w:spacing w:val="-12"/>
          <w:w w:val="110"/>
        </w:rPr>
        <w:t> </w:t>
      </w:r>
      <w:r>
        <w:rPr>
          <w:color w:val="231F1F"/>
          <w:w w:val="110"/>
        </w:rPr>
        <w:t>La</w:t>
      </w:r>
      <w:r>
        <w:rPr>
          <w:color w:val="231F1F"/>
          <w:spacing w:val="-12"/>
          <w:w w:val="110"/>
        </w:rPr>
        <w:t> </w:t>
      </w:r>
      <w:r>
        <w:rPr>
          <w:color w:val="231F1F"/>
          <w:w w:val="110"/>
        </w:rPr>
        <w:t>utilización</w:t>
      </w:r>
      <w:r>
        <w:rPr>
          <w:color w:val="231F1F"/>
          <w:spacing w:val="-12"/>
          <w:w w:val="110"/>
        </w:rPr>
        <w:t> </w:t>
      </w:r>
      <w:r>
        <w:rPr>
          <w:color w:val="231F1F"/>
          <w:w w:val="110"/>
        </w:rPr>
        <w:t>del</w:t>
      </w:r>
      <w:r>
        <w:rPr>
          <w:color w:val="231F1F"/>
          <w:spacing w:val="-13"/>
          <w:w w:val="110"/>
        </w:rPr>
        <w:t> </w:t>
      </w:r>
      <w:r>
        <w:rPr>
          <w:color w:val="231F1F"/>
          <w:w w:val="110"/>
        </w:rPr>
        <w:t>enema</w:t>
      </w:r>
      <w:r>
        <w:rPr>
          <w:color w:val="231F1F"/>
          <w:spacing w:val="-12"/>
          <w:w w:val="110"/>
        </w:rPr>
        <w:t> </w:t>
      </w:r>
      <w:r>
        <w:rPr>
          <w:color w:val="231F1F"/>
          <w:w w:val="110"/>
        </w:rPr>
        <w:t>tiene</w:t>
      </w:r>
      <w:r>
        <w:rPr>
          <w:color w:val="231F1F"/>
          <w:spacing w:val="-12"/>
          <w:w w:val="110"/>
        </w:rPr>
        <w:t> </w:t>
      </w:r>
      <w:r>
        <w:rPr>
          <w:color w:val="231F1F"/>
          <w:w w:val="110"/>
        </w:rPr>
        <w:t>poca</w:t>
      </w:r>
      <w:r>
        <w:rPr>
          <w:color w:val="231F1F"/>
          <w:spacing w:val="-12"/>
          <w:w w:val="110"/>
        </w:rPr>
        <w:t> </w:t>
      </w:r>
      <w:r>
        <w:rPr>
          <w:color w:val="231F1F"/>
          <w:w w:val="110"/>
        </w:rPr>
        <w:t>probabilidad</w:t>
      </w:r>
      <w:r>
        <w:rPr>
          <w:color w:val="231F1F"/>
          <w:spacing w:val="-13"/>
          <w:w w:val="110"/>
        </w:rPr>
        <w:t> </w:t>
      </w:r>
      <w:r>
        <w:rPr>
          <w:color w:val="231F1F"/>
          <w:w w:val="110"/>
        </w:rPr>
        <w:t>de obtener</w:t>
      </w:r>
      <w:r>
        <w:rPr>
          <w:color w:val="231F1F"/>
          <w:spacing w:val="-16"/>
          <w:w w:val="110"/>
        </w:rPr>
        <w:t> </w:t>
      </w:r>
      <w:r>
        <w:rPr>
          <w:color w:val="231F1F"/>
          <w:w w:val="110"/>
        </w:rPr>
        <w:t>beneficios</w:t>
      </w:r>
      <w:r>
        <w:rPr>
          <w:color w:val="231F1F"/>
          <w:spacing w:val="-15"/>
          <w:w w:val="110"/>
        </w:rPr>
        <w:t> </w:t>
      </w:r>
      <w:r>
        <w:rPr>
          <w:color w:val="231F1F"/>
          <w:w w:val="110"/>
        </w:rPr>
        <w:t>maternos</w:t>
      </w:r>
      <w:r>
        <w:rPr>
          <w:color w:val="231F1F"/>
          <w:spacing w:val="-15"/>
          <w:w w:val="110"/>
        </w:rPr>
        <w:t> </w:t>
      </w:r>
      <w:r>
        <w:rPr>
          <w:color w:val="231F1F"/>
          <w:w w:val="110"/>
        </w:rPr>
        <w:t>o</w:t>
      </w:r>
      <w:r>
        <w:rPr>
          <w:color w:val="231F1F"/>
          <w:spacing w:val="-15"/>
          <w:w w:val="110"/>
        </w:rPr>
        <w:t> </w:t>
      </w:r>
      <w:r>
        <w:rPr>
          <w:color w:val="231F1F"/>
          <w:w w:val="110"/>
        </w:rPr>
        <w:t>neonatales.</w:t>
      </w:r>
      <w:r>
        <w:rPr>
          <w:color w:val="231F1F"/>
          <w:spacing w:val="-15"/>
          <w:w w:val="110"/>
        </w:rPr>
        <w:t> </w:t>
      </w:r>
      <w:r>
        <w:rPr>
          <w:color w:val="231F1F"/>
          <w:w w:val="110"/>
        </w:rPr>
        <w:t>Por</w:t>
      </w:r>
      <w:r>
        <w:rPr>
          <w:color w:val="231F1F"/>
          <w:spacing w:val="-15"/>
          <w:w w:val="110"/>
        </w:rPr>
        <w:t> </w:t>
      </w:r>
      <w:r>
        <w:rPr>
          <w:color w:val="231F1F"/>
          <w:w w:val="110"/>
        </w:rPr>
        <w:t>tanto,</w:t>
      </w:r>
      <w:r>
        <w:rPr>
          <w:color w:val="231F1F"/>
          <w:spacing w:val="-15"/>
          <w:w w:val="110"/>
        </w:rPr>
        <w:t> </w:t>
      </w:r>
      <w:r>
        <w:rPr>
          <w:color w:val="231F1F"/>
          <w:w w:val="110"/>
        </w:rPr>
        <w:t>su</w:t>
      </w:r>
      <w:r>
        <w:rPr>
          <w:color w:val="231F1F"/>
          <w:spacing w:val="-15"/>
          <w:w w:val="110"/>
        </w:rPr>
        <w:t> </w:t>
      </w:r>
      <w:r>
        <w:rPr>
          <w:color w:val="231F1F"/>
          <w:w w:val="110"/>
        </w:rPr>
        <w:t>uso</w:t>
      </w:r>
      <w:r>
        <w:rPr>
          <w:color w:val="231F1F"/>
          <w:spacing w:val="-16"/>
          <w:w w:val="110"/>
        </w:rPr>
        <w:t> </w:t>
      </w:r>
      <w:r>
        <w:rPr>
          <w:color w:val="231F1F"/>
          <w:w w:val="110"/>
        </w:rPr>
        <w:t>sistemático</w:t>
      </w:r>
      <w:r>
        <w:rPr>
          <w:color w:val="231F1F"/>
          <w:spacing w:val="-15"/>
          <w:w w:val="110"/>
        </w:rPr>
        <w:t> </w:t>
      </w:r>
      <w:r>
        <w:rPr>
          <w:color w:val="231F1F"/>
          <w:w w:val="110"/>
        </w:rPr>
        <w:t>debe ser desalentado.</w:t>
      </w:r>
    </w:p>
    <w:p>
      <w:pPr>
        <w:pStyle w:val="BodyText"/>
        <w:spacing w:line="244" w:lineRule="auto" w:before="170"/>
        <w:ind w:left="283" w:right="45" w:firstLine="453"/>
        <w:jc w:val="both"/>
      </w:pPr>
      <w:r>
        <w:rPr>
          <w:color w:val="231F1F"/>
          <w:w w:val="105"/>
        </w:rPr>
        <w:t>Además, se cree que, dadas las evidencias disponibles, no son necesarias nuevas</w:t>
      </w:r>
      <w:r>
        <w:rPr>
          <w:color w:val="231F1F"/>
          <w:spacing w:val="-6"/>
          <w:w w:val="105"/>
        </w:rPr>
        <w:t> </w:t>
      </w:r>
      <w:r>
        <w:rPr>
          <w:color w:val="231F1F"/>
          <w:w w:val="105"/>
        </w:rPr>
        <w:t>investigaciones</w:t>
      </w:r>
      <w:r>
        <w:rPr>
          <w:color w:val="231F1F"/>
          <w:spacing w:val="-7"/>
          <w:w w:val="105"/>
        </w:rPr>
        <w:t> </w:t>
      </w:r>
      <w:r>
        <w:rPr>
          <w:color w:val="231F1F"/>
          <w:w w:val="105"/>
        </w:rPr>
        <w:t>para</w:t>
      </w:r>
      <w:r>
        <w:rPr>
          <w:color w:val="231F1F"/>
          <w:spacing w:val="-7"/>
          <w:w w:val="105"/>
        </w:rPr>
        <w:t> </w:t>
      </w:r>
      <w:r>
        <w:rPr>
          <w:color w:val="231F1F"/>
          <w:w w:val="105"/>
        </w:rPr>
        <w:t>evaluar</w:t>
      </w:r>
      <w:r>
        <w:rPr>
          <w:color w:val="231F1F"/>
          <w:spacing w:val="-6"/>
          <w:w w:val="105"/>
        </w:rPr>
        <w:t> </w:t>
      </w:r>
      <w:r>
        <w:rPr>
          <w:color w:val="231F1F"/>
          <w:w w:val="105"/>
        </w:rPr>
        <w:t>los</w:t>
      </w:r>
      <w:r>
        <w:rPr>
          <w:color w:val="231F1F"/>
          <w:spacing w:val="-6"/>
          <w:w w:val="105"/>
        </w:rPr>
        <w:t> </w:t>
      </w:r>
      <w:r>
        <w:rPr>
          <w:color w:val="231F1F"/>
          <w:w w:val="105"/>
        </w:rPr>
        <w:t>efectos</w:t>
      </w:r>
      <w:r>
        <w:rPr>
          <w:color w:val="231F1F"/>
          <w:spacing w:val="-6"/>
          <w:w w:val="105"/>
        </w:rPr>
        <w:t> </w:t>
      </w:r>
      <w:r>
        <w:rPr>
          <w:color w:val="231F1F"/>
          <w:w w:val="105"/>
        </w:rPr>
        <w:t>generales</w:t>
      </w:r>
      <w:r>
        <w:rPr>
          <w:color w:val="231F1F"/>
          <w:spacing w:val="-7"/>
          <w:w w:val="105"/>
        </w:rPr>
        <w:t> </w:t>
      </w:r>
      <w:r>
        <w:rPr>
          <w:color w:val="231F1F"/>
          <w:w w:val="105"/>
        </w:rPr>
        <w:t>tanto</w:t>
      </w:r>
      <w:r>
        <w:rPr>
          <w:color w:val="231F1F"/>
          <w:spacing w:val="-6"/>
          <w:w w:val="105"/>
        </w:rPr>
        <w:t> </w:t>
      </w:r>
      <w:r>
        <w:rPr>
          <w:color w:val="231F1F"/>
          <w:w w:val="105"/>
        </w:rPr>
        <w:t>maternos</w:t>
      </w:r>
      <w:r>
        <w:rPr>
          <w:color w:val="231F1F"/>
          <w:spacing w:val="-6"/>
          <w:w w:val="105"/>
        </w:rPr>
        <w:t> </w:t>
      </w:r>
      <w:r>
        <w:rPr>
          <w:color w:val="231F1F"/>
          <w:w w:val="105"/>
        </w:rPr>
        <w:t>como neonatales,</w:t>
      </w:r>
      <w:r>
        <w:rPr>
          <w:color w:val="231F1F"/>
          <w:spacing w:val="31"/>
          <w:w w:val="105"/>
        </w:rPr>
        <w:t> </w:t>
      </w:r>
      <w:r>
        <w:rPr>
          <w:color w:val="231F1F"/>
          <w:w w:val="105"/>
        </w:rPr>
        <w:t>y</w:t>
      </w:r>
      <w:r>
        <w:rPr>
          <w:color w:val="231F1F"/>
          <w:spacing w:val="31"/>
          <w:w w:val="105"/>
        </w:rPr>
        <w:t> </w:t>
      </w:r>
      <w:r>
        <w:rPr>
          <w:color w:val="231F1F"/>
          <w:w w:val="105"/>
        </w:rPr>
        <w:t>que</w:t>
      </w:r>
      <w:r>
        <w:rPr>
          <w:color w:val="231F1F"/>
          <w:spacing w:val="31"/>
          <w:w w:val="105"/>
        </w:rPr>
        <w:t> </w:t>
      </w:r>
      <w:r>
        <w:rPr>
          <w:color w:val="231F1F"/>
          <w:w w:val="105"/>
        </w:rPr>
        <w:t>de</w:t>
      </w:r>
      <w:r>
        <w:rPr>
          <w:color w:val="231F1F"/>
          <w:spacing w:val="31"/>
          <w:w w:val="105"/>
        </w:rPr>
        <w:t> </w:t>
      </w:r>
      <w:r>
        <w:rPr>
          <w:color w:val="231F1F"/>
          <w:w w:val="105"/>
        </w:rPr>
        <w:t>realizarse</w:t>
      </w:r>
      <w:r>
        <w:rPr>
          <w:color w:val="231F1F"/>
          <w:spacing w:val="32"/>
          <w:w w:val="105"/>
        </w:rPr>
        <w:t> </w:t>
      </w:r>
      <w:r>
        <w:rPr>
          <w:color w:val="231F1F"/>
          <w:w w:val="105"/>
        </w:rPr>
        <w:t>nuevos</w:t>
      </w:r>
      <w:r>
        <w:rPr>
          <w:color w:val="231F1F"/>
          <w:spacing w:val="31"/>
          <w:w w:val="105"/>
        </w:rPr>
        <w:t> </w:t>
      </w:r>
      <w:r>
        <w:rPr>
          <w:color w:val="231F1F"/>
          <w:w w:val="105"/>
        </w:rPr>
        <w:t>estudios</w:t>
      </w:r>
      <w:r>
        <w:rPr>
          <w:color w:val="231F1F"/>
          <w:spacing w:val="32"/>
          <w:w w:val="105"/>
        </w:rPr>
        <w:t> </w:t>
      </w:r>
      <w:r>
        <w:rPr>
          <w:color w:val="231F1F"/>
          <w:w w:val="105"/>
        </w:rPr>
        <w:t>deberían</w:t>
      </w:r>
      <w:r>
        <w:rPr>
          <w:color w:val="231F1F"/>
          <w:spacing w:val="31"/>
          <w:w w:val="105"/>
        </w:rPr>
        <w:t> </w:t>
      </w:r>
      <w:r>
        <w:rPr>
          <w:color w:val="231F1F"/>
          <w:w w:val="105"/>
        </w:rPr>
        <w:t>estar</w:t>
      </w:r>
      <w:r>
        <w:rPr>
          <w:color w:val="231F1F"/>
          <w:spacing w:val="32"/>
          <w:w w:val="105"/>
        </w:rPr>
        <w:t> </w:t>
      </w:r>
      <w:r>
        <w:rPr>
          <w:color w:val="231F1F"/>
          <w:w w:val="105"/>
        </w:rPr>
        <w:t>centrados</w:t>
      </w:r>
      <w:r>
        <w:rPr>
          <w:color w:val="231F1F"/>
          <w:spacing w:val="32"/>
          <w:w w:val="105"/>
        </w:rPr>
        <w:t> </w:t>
      </w:r>
      <w:r>
        <w:rPr>
          <w:color w:val="231F1F"/>
          <w:w w:val="105"/>
        </w:rPr>
        <w:t>en la percepción de las mujeres, el dolor, la incomodidad, los costes u otras va- riables no clínicas.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
        <w:rPr>
          <w:sz w:val="18"/>
        </w:rPr>
      </w:pPr>
    </w:p>
    <w:p>
      <w:pPr>
        <w:spacing w:line="278" w:lineRule="auto" w:before="0"/>
        <w:ind w:left="276" w:right="436"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2"/>
        <w:rPr>
          <w:rFonts w:ascii="Arial MT"/>
          <w:sz w:val="18"/>
        </w:rPr>
      </w:pPr>
    </w:p>
    <w:p>
      <w:pPr>
        <w:spacing w:line="278" w:lineRule="auto" w:before="1"/>
        <w:ind w:left="276" w:right="449" w:firstLine="0"/>
        <w:jc w:val="center"/>
        <w:rPr>
          <w:rFonts w:ascii="Arial MT"/>
          <w:sz w:val="18"/>
        </w:rPr>
      </w:pPr>
      <w:r>
        <w:rPr>
          <w:rFonts w:ascii="Arial MT"/>
          <w:color w:val="231F1F"/>
          <w:spacing w:val="-4"/>
          <w:sz w:val="18"/>
        </w:rPr>
        <w:t>RS</w:t>
      </w:r>
      <w:r>
        <w:rPr>
          <w:rFonts w:ascii="Arial MT"/>
          <w:color w:val="231F1F"/>
          <w:spacing w:val="-19"/>
          <w:sz w:val="18"/>
        </w:rPr>
        <w:t> </w:t>
      </w:r>
      <w:r>
        <w:rPr>
          <w:rFonts w:ascii="Arial MT"/>
          <w:color w:val="231F1F"/>
          <w:spacing w:val="-4"/>
          <w:sz w:val="18"/>
        </w:rPr>
        <w:t>de ECAs </w:t>
      </w:r>
      <w:r>
        <w:rPr>
          <w:rFonts w:ascii="Arial MT"/>
          <w:color w:val="231F1F"/>
          <w:spacing w:val="-6"/>
          <w:sz w:val="18"/>
        </w:rPr>
        <w:t>1+</w:t>
      </w:r>
    </w:p>
    <w:p>
      <w:pPr>
        <w:spacing w:after="0" w:line="278" w:lineRule="auto"/>
        <w:jc w:val="center"/>
        <w:rPr>
          <w:rFonts w:ascii="Arial MT"/>
          <w:sz w:val="18"/>
        </w:rPr>
        <w:sectPr>
          <w:type w:val="continuous"/>
          <w:pgSz w:w="11900" w:h="16840"/>
          <w:pgMar w:header="0" w:footer="622" w:top="560" w:bottom="280" w:left="1417" w:right="1559"/>
          <w:cols w:num="2" w:equalWidth="0">
            <w:col w:w="7596" w:space="109"/>
            <w:col w:w="1219"/>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4" w:lineRule="auto" w:before="44"/>
              <w:ind w:right="132"/>
              <w:jc w:val="both"/>
              <w:rPr>
                <w:sz w:val="22"/>
              </w:rPr>
            </w:pPr>
            <w:r>
              <w:rPr>
                <w:color w:val="231F1F"/>
                <w:w w:val="110"/>
                <w:sz w:val="22"/>
              </w:rPr>
              <w:t>La</w:t>
            </w:r>
            <w:r>
              <w:rPr>
                <w:color w:val="231F1F"/>
                <w:spacing w:val="-16"/>
                <w:w w:val="110"/>
                <w:sz w:val="22"/>
              </w:rPr>
              <w:t> </w:t>
            </w:r>
            <w:r>
              <w:rPr>
                <w:color w:val="231F1F"/>
                <w:w w:val="110"/>
                <w:sz w:val="22"/>
              </w:rPr>
              <w:t>utilización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enemas</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reduce</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tasas</w:t>
            </w:r>
            <w:r>
              <w:rPr>
                <w:color w:val="231F1F"/>
                <w:spacing w:val="-15"/>
                <w:w w:val="110"/>
                <w:sz w:val="22"/>
              </w:rPr>
              <w:t> </w:t>
            </w:r>
            <w:r>
              <w:rPr>
                <w:color w:val="231F1F"/>
                <w:w w:val="110"/>
                <w:sz w:val="22"/>
              </w:rPr>
              <w:t>de</w:t>
            </w:r>
            <w:r>
              <w:rPr>
                <w:color w:val="231F1F"/>
                <w:spacing w:val="-16"/>
                <w:w w:val="110"/>
                <w:sz w:val="22"/>
              </w:rPr>
              <w:t> </w:t>
            </w:r>
            <w:r>
              <w:rPr>
                <w:color w:val="231F1F"/>
                <w:w w:val="110"/>
                <w:sz w:val="22"/>
              </w:rPr>
              <w:t>infección</w:t>
            </w:r>
            <w:r>
              <w:rPr>
                <w:color w:val="231F1F"/>
                <w:spacing w:val="-15"/>
                <w:w w:val="110"/>
                <w:sz w:val="22"/>
              </w:rPr>
              <w:t> </w:t>
            </w:r>
            <w:r>
              <w:rPr>
                <w:color w:val="231F1F"/>
                <w:w w:val="110"/>
                <w:sz w:val="22"/>
              </w:rPr>
              <w:t>materna</w:t>
            </w:r>
            <w:r>
              <w:rPr>
                <w:color w:val="231F1F"/>
                <w:spacing w:val="-15"/>
                <w:w w:val="110"/>
                <w:sz w:val="22"/>
              </w:rPr>
              <w:t> </w:t>
            </w:r>
            <w:r>
              <w:rPr>
                <w:color w:val="231F1F"/>
                <w:w w:val="110"/>
                <w:sz w:val="22"/>
              </w:rPr>
              <w:t>o</w:t>
            </w:r>
            <w:r>
              <w:rPr>
                <w:color w:val="231F1F"/>
                <w:spacing w:val="-15"/>
                <w:w w:val="110"/>
                <w:sz w:val="22"/>
              </w:rPr>
              <w:t> </w:t>
            </w:r>
            <w:r>
              <w:rPr>
                <w:color w:val="231F1F"/>
                <w:w w:val="110"/>
                <w:sz w:val="22"/>
              </w:rPr>
              <w:t>neona- tal,</w:t>
            </w:r>
            <w:r>
              <w:rPr>
                <w:color w:val="231F1F"/>
                <w:spacing w:val="-6"/>
                <w:w w:val="110"/>
                <w:sz w:val="22"/>
              </w:rPr>
              <w:t> </w:t>
            </w:r>
            <w:r>
              <w:rPr>
                <w:color w:val="231F1F"/>
                <w:w w:val="110"/>
                <w:sz w:val="22"/>
              </w:rPr>
              <w:t>ni</w:t>
            </w:r>
            <w:r>
              <w:rPr>
                <w:color w:val="231F1F"/>
                <w:spacing w:val="-6"/>
                <w:w w:val="110"/>
                <w:sz w:val="22"/>
              </w:rPr>
              <w:t> </w:t>
            </w:r>
            <w:r>
              <w:rPr>
                <w:color w:val="231F1F"/>
                <w:w w:val="110"/>
                <w:sz w:val="22"/>
              </w:rPr>
              <w:t>las</w:t>
            </w:r>
            <w:r>
              <w:rPr>
                <w:color w:val="231F1F"/>
                <w:spacing w:val="-6"/>
                <w:w w:val="110"/>
                <w:sz w:val="22"/>
              </w:rPr>
              <w:t> </w:t>
            </w:r>
            <w:r>
              <w:rPr>
                <w:color w:val="231F1F"/>
                <w:w w:val="110"/>
                <w:sz w:val="22"/>
              </w:rPr>
              <w:t>dehiscencias</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5"/>
                <w:w w:val="110"/>
                <w:sz w:val="22"/>
              </w:rPr>
              <w:t> </w:t>
            </w:r>
            <w:r>
              <w:rPr>
                <w:color w:val="231F1F"/>
                <w:w w:val="110"/>
                <w:sz w:val="22"/>
              </w:rPr>
              <w:t>episiotomía</w:t>
            </w:r>
            <w:r>
              <w:rPr>
                <w:color w:val="231F1F"/>
                <w:spacing w:val="-5"/>
                <w:w w:val="110"/>
                <w:sz w:val="22"/>
              </w:rPr>
              <w:t> </w:t>
            </w:r>
            <w:r>
              <w:rPr>
                <w:color w:val="231F1F"/>
                <w:w w:val="110"/>
                <w:sz w:val="22"/>
              </w:rPr>
              <w:t>y</w:t>
            </w:r>
            <w:r>
              <w:rPr>
                <w:color w:val="231F1F"/>
                <w:spacing w:val="-6"/>
                <w:w w:val="110"/>
                <w:sz w:val="22"/>
              </w:rPr>
              <w:t> </w:t>
            </w:r>
            <w:r>
              <w:rPr>
                <w:color w:val="231F1F"/>
                <w:w w:val="110"/>
                <w:sz w:val="22"/>
              </w:rPr>
              <w:t>tampoco</w:t>
            </w:r>
            <w:r>
              <w:rPr>
                <w:color w:val="231F1F"/>
                <w:spacing w:val="-5"/>
                <w:w w:val="110"/>
                <w:sz w:val="22"/>
              </w:rPr>
              <w:t> </w:t>
            </w:r>
            <w:r>
              <w:rPr>
                <w:color w:val="231F1F"/>
                <w:w w:val="110"/>
                <w:sz w:val="22"/>
              </w:rPr>
              <w:t>mejora</w:t>
            </w:r>
            <w:r>
              <w:rPr>
                <w:color w:val="231F1F"/>
                <w:spacing w:val="-5"/>
                <w:w w:val="110"/>
                <w:sz w:val="22"/>
              </w:rPr>
              <w:t> </w:t>
            </w:r>
            <w:r>
              <w:rPr>
                <w:color w:val="231F1F"/>
                <w:w w:val="110"/>
                <w:sz w:val="22"/>
              </w:rPr>
              <w:t>la</w:t>
            </w:r>
            <w:r>
              <w:rPr>
                <w:color w:val="231F1F"/>
                <w:spacing w:val="-5"/>
                <w:w w:val="110"/>
                <w:sz w:val="22"/>
              </w:rPr>
              <w:t> </w:t>
            </w:r>
            <w:r>
              <w:rPr>
                <w:color w:val="231F1F"/>
                <w:w w:val="110"/>
                <w:sz w:val="22"/>
              </w:rPr>
              <w:t>satisfacción materna.</w:t>
            </w:r>
            <w:r>
              <w:rPr>
                <w:color w:val="231F1F"/>
                <w:spacing w:val="-16"/>
                <w:w w:val="110"/>
                <w:sz w:val="22"/>
              </w:rPr>
              <w:t> </w:t>
            </w:r>
            <w:r>
              <w:rPr>
                <w:color w:val="231F1F"/>
                <w:w w:val="110"/>
                <w:sz w:val="22"/>
              </w:rPr>
              <w:t>Su</w:t>
            </w:r>
            <w:r>
              <w:rPr>
                <w:color w:val="231F1F"/>
                <w:spacing w:val="-15"/>
                <w:w w:val="110"/>
                <w:sz w:val="22"/>
              </w:rPr>
              <w:t> </w:t>
            </w:r>
            <w:r>
              <w:rPr>
                <w:color w:val="231F1F"/>
                <w:w w:val="110"/>
                <w:sz w:val="22"/>
              </w:rPr>
              <w:t>uso</w:t>
            </w:r>
            <w:r>
              <w:rPr>
                <w:color w:val="231F1F"/>
                <w:spacing w:val="-15"/>
                <w:w w:val="110"/>
                <w:sz w:val="22"/>
              </w:rPr>
              <w:t> </w:t>
            </w:r>
            <w:r>
              <w:rPr>
                <w:color w:val="231F1F"/>
                <w:w w:val="110"/>
                <w:sz w:val="22"/>
              </w:rPr>
              <w:t>tiene</w:t>
            </w:r>
            <w:r>
              <w:rPr>
                <w:color w:val="231F1F"/>
                <w:spacing w:val="-15"/>
                <w:w w:val="110"/>
                <w:sz w:val="22"/>
              </w:rPr>
              <w:t> </w:t>
            </w:r>
            <w:r>
              <w:rPr>
                <w:color w:val="231F1F"/>
                <w:w w:val="110"/>
                <w:sz w:val="22"/>
              </w:rPr>
              <w:t>poca</w:t>
            </w:r>
            <w:r>
              <w:rPr>
                <w:color w:val="231F1F"/>
                <w:spacing w:val="-15"/>
                <w:w w:val="110"/>
                <w:sz w:val="22"/>
              </w:rPr>
              <w:t> </w:t>
            </w:r>
            <w:r>
              <w:rPr>
                <w:color w:val="231F1F"/>
                <w:w w:val="110"/>
                <w:sz w:val="22"/>
              </w:rPr>
              <w:t>probabilidad</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proporcionar</w:t>
            </w:r>
            <w:r>
              <w:rPr>
                <w:color w:val="231F1F"/>
                <w:spacing w:val="-15"/>
                <w:w w:val="110"/>
                <w:sz w:val="22"/>
              </w:rPr>
              <w:t> </w:t>
            </w:r>
            <w:r>
              <w:rPr>
                <w:color w:val="231F1F"/>
                <w:w w:val="110"/>
                <w:sz w:val="22"/>
              </w:rPr>
              <w:t>beneficios</w:t>
            </w:r>
            <w:r>
              <w:rPr>
                <w:color w:val="231F1F"/>
                <w:spacing w:val="-16"/>
                <w:w w:val="110"/>
                <w:sz w:val="22"/>
              </w:rPr>
              <w:t> </w:t>
            </w:r>
            <w:r>
              <w:rPr>
                <w:color w:val="231F1F"/>
                <w:w w:val="110"/>
                <w:sz w:val="22"/>
              </w:rPr>
              <w:t>mater- nos o neonatales (43).</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8"/>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5"/>
                <w:sz w:val="22"/>
              </w:rPr>
              <w:t>A</w:t>
            </w:r>
          </w:p>
        </w:tc>
        <w:tc>
          <w:tcPr>
            <w:tcW w:w="8050" w:type="dxa"/>
          </w:tcPr>
          <w:p>
            <w:pPr>
              <w:pStyle w:val="TableParagraph"/>
              <w:spacing w:before="39"/>
              <w:rPr>
                <w:sz w:val="22"/>
              </w:rPr>
            </w:pPr>
            <w:r>
              <w:rPr>
                <w:color w:val="231F1F"/>
                <w:sz w:val="22"/>
              </w:rPr>
              <w:t>Se</w:t>
            </w:r>
            <w:r>
              <w:rPr>
                <w:color w:val="231F1F"/>
                <w:spacing w:val="35"/>
                <w:sz w:val="22"/>
              </w:rPr>
              <w:t> </w:t>
            </w:r>
            <w:r>
              <w:rPr>
                <w:color w:val="231F1F"/>
                <w:sz w:val="22"/>
              </w:rPr>
              <w:t>recomienda</w:t>
            </w:r>
            <w:r>
              <w:rPr>
                <w:color w:val="231F1F"/>
                <w:spacing w:val="38"/>
                <w:sz w:val="22"/>
              </w:rPr>
              <w:t> </w:t>
            </w:r>
            <w:r>
              <w:rPr>
                <w:color w:val="231F1F"/>
                <w:sz w:val="22"/>
              </w:rPr>
              <w:t>no</w:t>
            </w:r>
            <w:r>
              <w:rPr>
                <w:color w:val="231F1F"/>
                <w:spacing w:val="38"/>
                <w:sz w:val="22"/>
              </w:rPr>
              <w:t> </w:t>
            </w:r>
            <w:r>
              <w:rPr>
                <w:color w:val="231F1F"/>
                <w:sz w:val="22"/>
              </w:rPr>
              <w:t>utilizar</w:t>
            </w:r>
            <w:r>
              <w:rPr>
                <w:color w:val="231F1F"/>
                <w:spacing w:val="37"/>
                <w:sz w:val="22"/>
              </w:rPr>
              <w:t> </w:t>
            </w:r>
            <w:r>
              <w:rPr>
                <w:color w:val="231F1F"/>
                <w:sz w:val="22"/>
              </w:rPr>
              <w:t>el</w:t>
            </w:r>
            <w:r>
              <w:rPr>
                <w:color w:val="231F1F"/>
                <w:spacing w:val="36"/>
                <w:sz w:val="22"/>
              </w:rPr>
              <w:t> </w:t>
            </w:r>
            <w:r>
              <w:rPr>
                <w:color w:val="231F1F"/>
                <w:sz w:val="22"/>
              </w:rPr>
              <w:t>enema</w:t>
            </w:r>
            <w:r>
              <w:rPr>
                <w:color w:val="231F1F"/>
                <w:spacing w:val="40"/>
                <w:sz w:val="22"/>
              </w:rPr>
              <w:t> </w:t>
            </w:r>
            <w:r>
              <w:rPr>
                <w:color w:val="231F1F"/>
                <w:sz w:val="22"/>
              </w:rPr>
              <w:t>de</w:t>
            </w:r>
            <w:r>
              <w:rPr>
                <w:color w:val="231F1F"/>
                <w:spacing w:val="37"/>
                <w:sz w:val="22"/>
              </w:rPr>
              <w:t> </w:t>
            </w:r>
            <w:r>
              <w:rPr>
                <w:color w:val="231F1F"/>
                <w:sz w:val="22"/>
              </w:rPr>
              <w:t>forma</w:t>
            </w:r>
            <w:r>
              <w:rPr>
                <w:color w:val="231F1F"/>
                <w:spacing w:val="38"/>
                <w:sz w:val="22"/>
              </w:rPr>
              <w:t> </w:t>
            </w:r>
            <w:r>
              <w:rPr>
                <w:color w:val="231F1F"/>
                <w:sz w:val="22"/>
              </w:rPr>
              <w:t>rutinaria</w:t>
            </w:r>
            <w:r>
              <w:rPr>
                <w:color w:val="231F1F"/>
                <w:spacing w:val="38"/>
                <w:sz w:val="22"/>
              </w:rPr>
              <w:t> </w:t>
            </w:r>
            <w:r>
              <w:rPr>
                <w:color w:val="231F1F"/>
                <w:sz w:val="22"/>
              </w:rPr>
              <w:t>durante</w:t>
            </w:r>
            <w:r>
              <w:rPr>
                <w:color w:val="231F1F"/>
                <w:spacing w:val="36"/>
                <w:sz w:val="22"/>
              </w:rPr>
              <w:t> </w:t>
            </w:r>
            <w:r>
              <w:rPr>
                <w:color w:val="231F1F"/>
                <w:sz w:val="22"/>
              </w:rPr>
              <w:t>el</w:t>
            </w:r>
            <w:r>
              <w:rPr>
                <w:color w:val="231F1F"/>
                <w:spacing w:val="39"/>
                <w:sz w:val="22"/>
              </w:rPr>
              <w:t> </w:t>
            </w:r>
            <w:r>
              <w:rPr>
                <w:color w:val="231F1F"/>
                <w:spacing w:val="-2"/>
                <w:sz w:val="22"/>
              </w:rPr>
              <w:t>parto.</w:t>
            </w:r>
          </w:p>
        </w:tc>
      </w:tr>
    </w:tbl>
    <w:p>
      <w:pPr>
        <w:pStyle w:val="TableParagraph"/>
        <w:spacing w:after="0"/>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both"/>
        <w:rPr>
          <w:color w:val="231F1F"/>
        </w:rPr>
      </w:pPr>
      <w:r>
        <w:rPr>
          <w:color w:val="231F1F"/>
          <w:w w:val="110"/>
        </w:rPr>
        <w:t>Rasurado</w:t>
      </w:r>
      <w:r>
        <w:rPr>
          <w:color w:val="231F1F"/>
          <w:spacing w:val="-17"/>
          <w:w w:val="110"/>
        </w:rPr>
        <w:t> </w:t>
      </w:r>
      <w:r>
        <w:rPr>
          <w:color w:val="231F1F"/>
          <w:spacing w:val="-2"/>
          <w:w w:val="110"/>
        </w:rPr>
        <w:t>perineal</w:t>
      </w:r>
    </w:p>
    <w:p>
      <w:pPr>
        <w:pStyle w:val="BodyText"/>
        <w:spacing w:before="4"/>
        <w:rPr>
          <w:sz w:val="19"/>
        </w:rPr>
      </w:pPr>
      <w:r>
        <w:rPr>
          <w:sz w:val="19"/>
        </w:rPr>
        <mc:AlternateContent>
          <mc:Choice Requires="wps">
            <w:drawing>
              <wp:anchor distT="0" distB="0" distL="0" distR="0" allowOverlap="1" layoutInCell="1" locked="0" behindDoc="1" simplePos="0" relativeHeight="487602176">
                <wp:simplePos x="0" y="0"/>
                <wp:positionH relativeFrom="page">
                  <wp:posOffset>1082675</wp:posOffset>
                </wp:positionH>
                <wp:positionV relativeFrom="paragraph">
                  <wp:posOffset>160039</wp:posOffset>
                </wp:positionV>
                <wp:extent cx="5400040" cy="262255"/>
                <wp:effectExtent l="0" t="0" r="0" b="0"/>
                <wp:wrapTopAndBottom/>
                <wp:docPr id="62" name="Textbox 62"/>
                <wp:cNvGraphicFramePr>
                  <a:graphicFrameLocks/>
                </wp:cNvGraphicFramePr>
                <a:graphic>
                  <a:graphicData uri="http://schemas.microsoft.com/office/word/2010/wordprocessingShape">
                    <wps:wsp>
                      <wps:cNvPr id="62" name="Textbox 62"/>
                      <wps:cNvSpPr txBox="1"/>
                      <wps:spPr>
                        <a:xfrm>
                          <a:off x="0" y="0"/>
                          <a:ext cx="5400040" cy="262255"/>
                        </a:xfrm>
                        <a:prstGeom prst="rect">
                          <a:avLst/>
                        </a:prstGeom>
                        <a:ln w="6350">
                          <a:solidFill>
                            <a:srgbClr val="A30046"/>
                          </a:solidFill>
                          <a:prstDash val="solid"/>
                        </a:ln>
                      </wps:spPr>
                      <wps:txbx>
                        <w:txbxContent>
                          <w:p>
                            <w:pPr>
                              <w:pStyle w:val="BodyText"/>
                              <w:numPr>
                                <w:ilvl w:val="0"/>
                                <w:numId w:val="25"/>
                              </w:numPr>
                              <w:tabs>
                                <w:tab w:pos="322" w:val="left" w:leader="none"/>
                              </w:tabs>
                              <w:spacing w:line="240" w:lineRule="auto" w:before="44" w:after="0"/>
                              <w:ind w:left="322" w:right="0" w:hanging="218"/>
                              <w:jc w:val="left"/>
                            </w:pPr>
                            <w:r>
                              <w:rPr>
                                <w:color w:val="231F1F"/>
                              </w:rPr>
                              <w:t>¿Cuál</w:t>
                            </w:r>
                            <w:r>
                              <w:rPr>
                                <w:color w:val="231F1F"/>
                                <w:spacing w:val="41"/>
                              </w:rPr>
                              <w:t> </w:t>
                            </w:r>
                            <w:r>
                              <w:rPr>
                                <w:color w:val="231F1F"/>
                              </w:rPr>
                              <w:t>es</w:t>
                            </w:r>
                            <w:r>
                              <w:rPr>
                                <w:color w:val="231F1F"/>
                                <w:spacing w:val="40"/>
                              </w:rPr>
                              <w:t> </w:t>
                            </w:r>
                            <w:r>
                              <w:rPr>
                                <w:color w:val="231F1F"/>
                              </w:rPr>
                              <w:t>la</w:t>
                            </w:r>
                            <w:r>
                              <w:rPr>
                                <w:color w:val="231F1F"/>
                                <w:spacing w:val="43"/>
                              </w:rPr>
                              <w:t> </w:t>
                            </w:r>
                            <w:r>
                              <w:rPr>
                                <w:color w:val="231F1F"/>
                              </w:rPr>
                              <w:t>efectividad</w:t>
                            </w:r>
                            <w:r>
                              <w:rPr>
                                <w:color w:val="231F1F"/>
                                <w:spacing w:val="41"/>
                              </w:rPr>
                              <w:t> </w:t>
                            </w:r>
                            <w:r>
                              <w:rPr>
                                <w:color w:val="231F1F"/>
                              </w:rPr>
                              <w:t>del</w:t>
                            </w:r>
                            <w:r>
                              <w:rPr>
                                <w:color w:val="231F1F"/>
                                <w:spacing w:val="39"/>
                              </w:rPr>
                              <w:t> </w:t>
                            </w:r>
                            <w:r>
                              <w:rPr>
                                <w:color w:val="231F1F"/>
                              </w:rPr>
                              <w:t>rasurado</w:t>
                            </w:r>
                            <w:r>
                              <w:rPr>
                                <w:color w:val="231F1F"/>
                                <w:spacing w:val="41"/>
                              </w:rPr>
                              <w:t> </w:t>
                            </w:r>
                            <w:r>
                              <w:rPr>
                                <w:color w:val="231F1F"/>
                              </w:rPr>
                              <w:t>perineal</w:t>
                            </w:r>
                            <w:r>
                              <w:rPr>
                                <w:color w:val="231F1F"/>
                                <w:spacing w:val="39"/>
                              </w:rPr>
                              <w:t> </w:t>
                            </w:r>
                            <w:r>
                              <w:rPr>
                                <w:color w:val="231F1F"/>
                              </w:rPr>
                              <w:t>rutinario</w:t>
                            </w:r>
                            <w:r>
                              <w:rPr>
                                <w:color w:val="231F1F"/>
                                <w:spacing w:val="43"/>
                              </w:rPr>
                              <w:t> </w:t>
                            </w:r>
                            <w:r>
                              <w:rPr>
                                <w:color w:val="231F1F"/>
                              </w:rPr>
                              <w:t>durante</w:t>
                            </w:r>
                            <w:r>
                              <w:rPr>
                                <w:color w:val="231F1F"/>
                                <w:spacing w:val="41"/>
                              </w:rPr>
                              <w:t> </w:t>
                            </w:r>
                            <w:r>
                              <w:rPr>
                                <w:color w:val="231F1F"/>
                              </w:rPr>
                              <w:t>el</w:t>
                            </w:r>
                            <w:r>
                              <w:rPr>
                                <w:color w:val="231F1F"/>
                                <w:spacing w:val="43"/>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2.601563pt;width:425.2pt;height:20.65pt;mso-position-horizontal-relative:page;mso-position-vertical-relative:paragraph;z-index:-15714304;mso-wrap-distance-left:0;mso-wrap-distance-right:0" type="#_x0000_t202" id="docshape51" filled="false" stroked="true" strokeweight=".5pt" strokecolor="#a30046">
                <v:textbox inset="0,0,0,0">
                  <w:txbxContent>
                    <w:p>
                      <w:pPr>
                        <w:pStyle w:val="BodyText"/>
                        <w:numPr>
                          <w:ilvl w:val="0"/>
                          <w:numId w:val="25"/>
                        </w:numPr>
                        <w:tabs>
                          <w:tab w:pos="322" w:val="left" w:leader="none"/>
                        </w:tabs>
                        <w:spacing w:line="240" w:lineRule="auto" w:before="44" w:after="0"/>
                        <w:ind w:left="322" w:right="0" w:hanging="218"/>
                        <w:jc w:val="left"/>
                      </w:pPr>
                      <w:r>
                        <w:rPr>
                          <w:color w:val="231F1F"/>
                        </w:rPr>
                        <w:t>¿Cuál</w:t>
                      </w:r>
                      <w:r>
                        <w:rPr>
                          <w:color w:val="231F1F"/>
                          <w:spacing w:val="41"/>
                        </w:rPr>
                        <w:t> </w:t>
                      </w:r>
                      <w:r>
                        <w:rPr>
                          <w:color w:val="231F1F"/>
                        </w:rPr>
                        <w:t>es</w:t>
                      </w:r>
                      <w:r>
                        <w:rPr>
                          <w:color w:val="231F1F"/>
                          <w:spacing w:val="40"/>
                        </w:rPr>
                        <w:t> </w:t>
                      </w:r>
                      <w:r>
                        <w:rPr>
                          <w:color w:val="231F1F"/>
                        </w:rPr>
                        <w:t>la</w:t>
                      </w:r>
                      <w:r>
                        <w:rPr>
                          <w:color w:val="231F1F"/>
                          <w:spacing w:val="43"/>
                        </w:rPr>
                        <w:t> </w:t>
                      </w:r>
                      <w:r>
                        <w:rPr>
                          <w:color w:val="231F1F"/>
                        </w:rPr>
                        <w:t>efectividad</w:t>
                      </w:r>
                      <w:r>
                        <w:rPr>
                          <w:color w:val="231F1F"/>
                          <w:spacing w:val="41"/>
                        </w:rPr>
                        <w:t> </w:t>
                      </w:r>
                      <w:r>
                        <w:rPr>
                          <w:color w:val="231F1F"/>
                        </w:rPr>
                        <w:t>del</w:t>
                      </w:r>
                      <w:r>
                        <w:rPr>
                          <w:color w:val="231F1F"/>
                          <w:spacing w:val="39"/>
                        </w:rPr>
                        <w:t> </w:t>
                      </w:r>
                      <w:r>
                        <w:rPr>
                          <w:color w:val="231F1F"/>
                        </w:rPr>
                        <w:t>rasurado</w:t>
                      </w:r>
                      <w:r>
                        <w:rPr>
                          <w:color w:val="231F1F"/>
                          <w:spacing w:val="41"/>
                        </w:rPr>
                        <w:t> </w:t>
                      </w:r>
                      <w:r>
                        <w:rPr>
                          <w:color w:val="231F1F"/>
                        </w:rPr>
                        <w:t>perineal</w:t>
                      </w:r>
                      <w:r>
                        <w:rPr>
                          <w:color w:val="231F1F"/>
                          <w:spacing w:val="39"/>
                        </w:rPr>
                        <w:t> </w:t>
                      </w:r>
                      <w:r>
                        <w:rPr>
                          <w:color w:val="231F1F"/>
                        </w:rPr>
                        <w:t>rutinario</w:t>
                      </w:r>
                      <w:r>
                        <w:rPr>
                          <w:color w:val="231F1F"/>
                          <w:spacing w:val="43"/>
                        </w:rPr>
                        <w:t> </w:t>
                      </w:r>
                      <w:r>
                        <w:rPr>
                          <w:color w:val="231F1F"/>
                        </w:rPr>
                        <w:t>durante</w:t>
                      </w:r>
                      <w:r>
                        <w:rPr>
                          <w:color w:val="231F1F"/>
                          <w:spacing w:val="41"/>
                        </w:rPr>
                        <w:t> </w:t>
                      </w:r>
                      <w:r>
                        <w:rPr>
                          <w:color w:val="231F1F"/>
                        </w:rPr>
                        <w:t>el</w:t>
                      </w:r>
                      <w:r>
                        <w:rPr>
                          <w:color w:val="231F1F"/>
                          <w:spacing w:val="43"/>
                        </w:rPr>
                        <w:t> </w:t>
                      </w:r>
                      <w:r>
                        <w:rPr>
                          <w:color w:val="231F1F"/>
                          <w:spacing w:val="-2"/>
                        </w:rPr>
                        <w:t>parto?</w:t>
                      </w:r>
                    </w:p>
                  </w:txbxContent>
                </v:textbox>
                <v:stroke dashstyle="solid"/>
                <w10:wrap type="topAndBottom"/>
              </v:shape>
            </w:pict>
          </mc:Fallback>
        </mc:AlternateContent>
      </w:r>
    </w:p>
    <w:p>
      <w:pPr>
        <w:pStyle w:val="BodyText"/>
        <w:spacing w:line="247" w:lineRule="auto" w:before="322"/>
        <w:ind w:left="283" w:right="123"/>
        <w:jc w:val="both"/>
      </w:pPr>
      <w:r>
        <w:rPr>
          <w:color w:val="231F1F"/>
          <w:w w:val="105"/>
        </w:rPr>
        <w:t>El rasurado perineal e incluso pubiano se ha venido realizando en la creencia de que dis- minuía</w:t>
      </w:r>
      <w:r>
        <w:rPr>
          <w:color w:val="231F1F"/>
          <w:spacing w:val="-2"/>
          <w:w w:val="105"/>
        </w:rPr>
        <w:t> </w:t>
      </w:r>
      <w:r>
        <w:rPr>
          <w:color w:val="231F1F"/>
          <w:w w:val="105"/>
        </w:rPr>
        <w:t>el</w:t>
      </w:r>
      <w:r>
        <w:rPr>
          <w:color w:val="231F1F"/>
          <w:spacing w:val="-2"/>
          <w:w w:val="105"/>
        </w:rPr>
        <w:t> </w:t>
      </w:r>
      <w:r>
        <w:rPr>
          <w:color w:val="231F1F"/>
          <w:w w:val="105"/>
        </w:rPr>
        <w:t>riesgo</w:t>
      </w:r>
      <w:r>
        <w:rPr>
          <w:color w:val="231F1F"/>
          <w:spacing w:val="-1"/>
          <w:w w:val="105"/>
        </w:rPr>
        <w:t> </w:t>
      </w:r>
      <w:r>
        <w:rPr>
          <w:color w:val="231F1F"/>
          <w:w w:val="105"/>
        </w:rPr>
        <w:t>de</w:t>
      </w:r>
      <w:r>
        <w:rPr>
          <w:color w:val="231F1F"/>
          <w:spacing w:val="-2"/>
          <w:w w:val="105"/>
        </w:rPr>
        <w:t> </w:t>
      </w:r>
      <w:r>
        <w:rPr>
          <w:color w:val="231F1F"/>
          <w:w w:val="105"/>
        </w:rPr>
        <w:t>infección</w:t>
      </w:r>
      <w:r>
        <w:rPr>
          <w:color w:val="231F1F"/>
          <w:spacing w:val="-2"/>
          <w:w w:val="105"/>
        </w:rPr>
        <w:t> </w:t>
      </w:r>
      <w:r>
        <w:rPr>
          <w:color w:val="231F1F"/>
          <w:w w:val="105"/>
        </w:rPr>
        <w:t>y</w:t>
      </w:r>
      <w:r>
        <w:rPr>
          <w:color w:val="231F1F"/>
          <w:spacing w:val="-2"/>
          <w:w w:val="105"/>
        </w:rPr>
        <w:t> </w:t>
      </w:r>
      <w:r>
        <w:rPr>
          <w:color w:val="231F1F"/>
          <w:w w:val="105"/>
        </w:rPr>
        <w:t>de</w:t>
      </w:r>
      <w:r>
        <w:rPr>
          <w:color w:val="231F1F"/>
          <w:spacing w:val="-2"/>
          <w:w w:val="105"/>
        </w:rPr>
        <w:t> </w:t>
      </w:r>
      <w:r>
        <w:rPr>
          <w:color w:val="231F1F"/>
          <w:w w:val="105"/>
        </w:rPr>
        <w:t>que</w:t>
      </w:r>
      <w:r>
        <w:rPr>
          <w:color w:val="231F1F"/>
          <w:spacing w:val="-2"/>
          <w:w w:val="105"/>
        </w:rPr>
        <w:t> </w:t>
      </w:r>
      <w:r>
        <w:rPr>
          <w:color w:val="231F1F"/>
          <w:w w:val="105"/>
        </w:rPr>
        <w:t>era</w:t>
      </w:r>
      <w:r>
        <w:rPr>
          <w:color w:val="231F1F"/>
          <w:spacing w:val="-2"/>
          <w:w w:val="105"/>
        </w:rPr>
        <w:t> </w:t>
      </w:r>
      <w:r>
        <w:rPr>
          <w:color w:val="231F1F"/>
          <w:w w:val="105"/>
        </w:rPr>
        <w:t>necesario</w:t>
      </w:r>
      <w:r>
        <w:rPr>
          <w:color w:val="231F1F"/>
          <w:spacing w:val="-2"/>
          <w:w w:val="105"/>
        </w:rPr>
        <w:t> </w:t>
      </w:r>
      <w:r>
        <w:rPr>
          <w:color w:val="231F1F"/>
          <w:w w:val="105"/>
        </w:rPr>
        <w:t>para</w:t>
      </w:r>
      <w:r>
        <w:rPr>
          <w:color w:val="231F1F"/>
          <w:spacing w:val="-2"/>
          <w:w w:val="105"/>
        </w:rPr>
        <w:t> </w:t>
      </w:r>
      <w:r>
        <w:rPr>
          <w:color w:val="231F1F"/>
          <w:w w:val="105"/>
        </w:rPr>
        <w:t>facilitar</w:t>
      </w:r>
      <w:r>
        <w:rPr>
          <w:color w:val="231F1F"/>
          <w:spacing w:val="-1"/>
          <w:w w:val="105"/>
        </w:rPr>
        <w:t> </w:t>
      </w:r>
      <w:r>
        <w:rPr>
          <w:color w:val="231F1F"/>
          <w:w w:val="105"/>
        </w:rPr>
        <w:t>la</w:t>
      </w:r>
      <w:r>
        <w:rPr>
          <w:color w:val="231F1F"/>
          <w:spacing w:val="-2"/>
          <w:w w:val="105"/>
        </w:rPr>
        <w:t> </w:t>
      </w:r>
      <w:r>
        <w:rPr>
          <w:color w:val="231F1F"/>
          <w:w w:val="105"/>
        </w:rPr>
        <w:t>sutura</w:t>
      </w:r>
      <w:r>
        <w:rPr>
          <w:color w:val="231F1F"/>
          <w:spacing w:val="-2"/>
          <w:w w:val="105"/>
        </w:rPr>
        <w:t> </w:t>
      </w:r>
      <w:r>
        <w:rPr>
          <w:color w:val="231F1F"/>
          <w:w w:val="105"/>
        </w:rPr>
        <w:t>de</w:t>
      </w:r>
      <w:r>
        <w:rPr>
          <w:color w:val="231F1F"/>
          <w:spacing w:val="-2"/>
          <w:w w:val="105"/>
        </w:rPr>
        <w:t> </w:t>
      </w:r>
      <w:r>
        <w:rPr>
          <w:color w:val="231F1F"/>
          <w:w w:val="105"/>
        </w:rPr>
        <w:t>la</w:t>
      </w:r>
      <w:r>
        <w:rPr>
          <w:color w:val="231F1F"/>
          <w:spacing w:val="-2"/>
          <w:w w:val="105"/>
        </w:rPr>
        <w:t> </w:t>
      </w:r>
      <w:r>
        <w:rPr>
          <w:color w:val="231F1F"/>
          <w:w w:val="105"/>
        </w:rPr>
        <w:t>episiotomía que, durante mucho tiempo, se ha venido practicado de forma sistemática. Pero el rasura-</w:t>
      </w:r>
      <w:r>
        <w:rPr>
          <w:color w:val="231F1F"/>
          <w:spacing w:val="40"/>
          <w:w w:val="105"/>
        </w:rPr>
        <w:t> </w:t>
      </w:r>
      <w:r>
        <w:rPr>
          <w:color w:val="231F1F"/>
          <w:w w:val="105"/>
        </w:rPr>
        <w:t>do</w:t>
      </w:r>
      <w:r>
        <w:rPr>
          <w:color w:val="231F1F"/>
          <w:spacing w:val="-2"/>
          <w:w w:val="105"/>
        </w:rPr>
        <w:t> </w:t>
      </w:r>
      <w:r>
        <w:rPr>
          <w:color w:val="231F1F"/>
          <w:w w:val="105"/>
        </w:rPr>
        <w:t>ocasiona</w:t>
      </w:r>
      <w:r>
        <w:rPr>
          <w:color w:val="231F1F"/>
          <w:spacing w:val="-2"/>
          <w:w w:val="105"/>
        </w:rPr>
        <w:t> </w:t>
      </w:r>
      <w:r>
        <w:rPr>
          <w:color w:val="231F1F"/>
          <w:w w:val="105"/>
        </w:rPr>
        <w:t>erosiones</w:t>
      </w:r>
      <w:r>
        <w:rPr>
          <w:color w:val="231F1F"/>
          <w:spacing w:val="-2"/>
          <w:w w:val="105"/>
        </w:rPr>
        <w:t> </w:t>
      </w:r>
      <w:r>
        <w:rPr>
          <w:color w:val="231F1F"/>
          <w:w w:val="105"/>
        </w:rPr>
        <w:t>cutáneas</w:t>
      </w:r>
      <w:r>
        <w:rPr>
          <w:color w:val="231F1F"/>
          <w:spacing w:val="-1"/>
          <w:w w:val="105"/>
        </w:rPr>
        <w:t> </w:t>
      </w:r>
      <w:r>
        <w:rPr>
          <w:color w:val="231F1F"/>
          <w:w w:val="105"/>
        </w:rPr>
        <w:t>que</w:t>
      </w:r>
      <w:r>
        <w:rPr>
          <w:color w:val="231F1F"/>
          <w:spacing w:val="-2"/>
          <w:w w:val="105"/>
        </w:rPr>
        <w:t> </w:t>
      </w:r>
      <w:r>
        <w:rPr>
          <w:color w:val="231F1F"/>
          <w:w w:val="105"/>
        </w:rPr>
        <w:t>pueden</w:t>
      </w:r>
      <w:r>
        <w:rPr>
          <w:color w:val="231F1F"/>
          <w:spacing w:val="-2"/>
          <w:w w:val="105"/>
        </w:rPr>
        <w:t> </w:t>
      </w:r>
      <w:r>
        <w:rPr>
          <w:color w:val="231F1F"/>
          <w:w w:val="105"/>
        </w:rPr>
        <w:t>dar</w:t>
      </w:r>
      <w:r>
        <w:rPr>
          <w:color w:val="231F1F"/>
          <w:spacing w:val="-2"/>
          <w:w w:val="105"/>
        </w:rPr>
        <w:t> </w:t>
      </w:r>
      <w:r>
        <w:rPr>
          <w:color w:val="231F1F"/>
          <w:w w:val="105"/>
        </w:rPr>
        <w:t>lugar</w:t>
      </w:r>
      <w:r>
        <w:rPr>
          <w:color w:val="231F1F"/>
          <w:spacing w:val="-2"/>
          <w:w w:val="105"/>
        </w:rPr>
        <w:t> </w:t>
      </w:r>
      <w:r>
        <w:rPr>
          <w:color w:val="231F1F"/>
          <w:w w:val="105"/>
        </w:rPr>
        <w:t>a</w:t>
      </w:r>
      <w:r>
        <w:rPr>
          <w:color w:val="231F1F"/>
          <w:spacing w:val="-2"/>
          <w:w w:val="105"/>
        </w:rPr>
        <w:t> </w:t>
      </w:r>
      <w:r>
        <w:rPr>
          <w:color w:val="231F1F"/>
          <w:w w:val="105"/>
        </w:rPr>
        <w:t>la</w:t>
      </w:r>
      <w:r>
        <w:rPr>
          <w:color w:val="231F1F"/>
          <w:spacing w:val="-2"/>
          <w:w w:val="105"/>
        </w:rPr>
        <w:t> </w:t>
      </w:r>
      <w:r>
        <w:rPr>
          <w:color w:val="231F1F"/>
          <w:w w:val="105"/>
        </w:rPr>
        <w:t>colonización</w:t>
      </w:r>
      <w:r>
        <w:rPr>
          <w:color w:val="231F1F"/>
          <w:spacing w:val="-1"/>
          <w:w w:val="105"/>
        </w:rPr>
        <w:t> </w:t>
      </w:r>
      <w:r>
        <w:rPr>
          <w:color w:val="231F1F"/>
          <w:w w:val="105"/>
        </w:rPr>
        <w:t>de</w:t>
      </w:r>
      <w:r>
        <w:rPr>
          <w:color w:val="231F1F"/>
          <w:spacing w:val="-2"/>
          <w:w w:val="105"/>
        </w:rPr>
        <w:t> </w:t>
      </w:r>
      <w:r>
        <w:rPr>
          <w:color w:val="231F1F"/>
          <w:w w:val="105"/>
        </w:rPr>
        <w:t>microorganismos. Además,</w:t>
      </w:r>
      <w:r>
        <w:rPr>
          <w:color w:val="231F1F"/>
          <w:w w:val="105"/>
        </w:rPr>
        <w:t> es</w:t>
      </w:r>
      <w:r>
        <w:rPr>
          <w:color w:val="231F1F"/>
          <w:w w:val="105"/>
        </w:rPr>
        <w:t> desagradable</w:t>
      </w:r>
      <w:r>
        <w:rPr>
          <w:color w:val="231F1F"/>
          <w:w w:val="105"/>
        </w:rPr>
        <w:t> y</w:t>
      </w:r>
      <w:r>
        <w:rPr>
          <w:color w:val="231F1F"/>
          <w:w w:val="105"/>
        </w:rPr>
        <w:t> causa</w:t>
      </w:r>
      <w:r>
        <w:rPr>
          <w:color w:val="231F1F"/>
          <w:w w:val="105"/>
        </w:rPr>
        <w:t> intenso</w:t>
      </w:r>
      <w:r>
        <w:rPr>
          <w:color w:val="231F1F"/>
          <w:w w:val="105"/>
        </w:rPr>
        <w:t> malestar</w:t>
      </w:r>
      <w:r>
        <w:rPr>
          <w:color w:val="231F1F"/>
          <w:w w:val="105"/>
        </w:rPr>
        <w:t> y</w:t>
      </w:r>
      <w:r>
        <w:rPr>
          <w:color w:val="231F1F"/>
          <w:w w:val="105"/>
        </w:rPr>
        <w:t> prurito</w:t>
      </w:r>
      <w:r>
        <w:rPr>
          <w:color w:val="231F1F"/>
          <w:w w:val="105"/>
        </w:rPr>
        <w:t> durante</w:t>
      </w:r>
      <w:r>
        <w:rPr>
          <w:color w:val="231F1F"/>
          <w:w w:val="105"/>
        </w:rPr>
        <w:t> el</w:t>
      </w:r>
      <w:r>
        <w:rPr>
          <w:color w:val="231F1F"/>
          <w:w w:val="105"/>
        </w:rPr>
        <w:t> período</w:t>
      </w:r>
      <w:r>
        <w:rPr>
          <w:color w:val="231F1F"/>
          <w:w w:val="105"/>
        </w:rPr>
        <w:t> de</w:t>
      </w:r>
      <w:r>
        <w:rPr>
          <w:color w:val="231F1F"/>
          <w:w w:val="105"/>
        </w:rPr>
        <w:t> creci- miento del vello. Por ello, es importante conocer si la eliminación preoperatoria del vello realmente disminuye las infecciones de áreas quirúrgicas.</w:t>
      </w:r>
    </w:p>
    <w:p>
      <w:pPr>
        <w:pStyle w:val="BodyText"/>
        <w:spacing w:before="150"/>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17"/>
          <w:sz w:val="24"/>
        </w:rPr>
        <w:t> </w:t>
      </w:r>
      <w:r>
        <w:rPr>
          <w:rFonts w:ascii="Arial MT" w:hAnsi="Arial MT"/>
          <w:color w:val="231F1F"/>
          <w:sz w:val="24"/>
        </w:rPr>
        <w:t>científica</w:t>
      </w:r>
      <w:r>
        <w:rPr>
          <w:rFonts w:ascii="Arial MT" w:hAnsi="Arial MT"/>
          <w:color w:val="231F1F"/>
          <w:spacing w:val="19"/>
          <w:sz w:val="24"/>
        </w:rPr>
        <w:t> </w:t>
      </w:r>
      <w:r>
        <w:rPr>
          <w:rFonts w:ascii="Arial MT" w:hAnsi="Arial MT"/>
          <w:color w:val="231F1F"/>
          <w:sz w:val="24"/>
        </w:rPr>
        <w:t>(hasta</w:t>
      </w:r>
      <w:r>
        <w:rPr>
          <w:rFonts w:ascii="Arial MT" w:hAnsi="Arial MT"/>
          <w:color w:val="231F1F"/>
          <w:spacing w:val="18"/>
          <w:sz w:val="24"/>
        </w:rPr>
        <w:t> </w:t>
      </w:r>
      <w:r>
        <w:rPr>
          <w:rFonts w:ascii="Arial MT" w:hAnsi="Arial MT"/>
          <w:color w:val="231F1F"/>
          <w:sz w:val="24"/>
        </w:rPr>
        <w:t>mayo</w:t>
      </w:r>
      <w:r>
        <w:rPr>
          <w:rFonts w:ascii="Arial MT" w:hAnsi="Arial MT"/>
          <w:color w:val="231F1F"/>
          <w:spacing w:val="20"/>
          <w:sz w:val="24"/>
        </w:rPr>
        <w:t> </w:t>
      </w:r>
      <w:r>
        <w:rPr>
          <w:rFonts w:ascii="Arial MT" w:hAnsi="Arial MT"/>
          <w:color w:val="231F1F"/>
          <w:sz w:val="24"/>
        </w:rPr>
        <w:t>de</w:t>
      </w:r>
      <w:r>
        <w:rPr>
          <w:rFonts w:ascii="Arial MT" w:hAnsi="Arial MT"/>
          <w:color w:val="231F1F"/>
          <w:spacing w:val="18"/>
          <w:sz w:val="24"/>
        </w:rPr>
        <w:t> </w:t>
      </w:r>
      <w:r>
        <w:rPr>
          <w:rFonts w:ascii="Arial MT" w:hAnsi="Arial MT"/>
          <w:color w:val="231F1F"/>
          <w:spacing w:val="-2"/>
          <w:sz w:val="24"/>
        </w:rPr>
        <w:t>2008)</w:t>
      </w:r>
    </w:p>
    <w:p>
      <w:pPr>
        <w:pStyle w:val="BodyText"/>
        <w:spacing w:before="209"/>
        <w:ind w:left="283"/>
        <w:jc w:val="both"/>
      </w:pPr>
      <w:r>
        <w:rPr>
          <w:color w:val="231F1F"/>
        </w:rPr>
        <w:t>Al</w:t>
      </w:r>
      <w:r>
        <w:rPr>
          <w:color w:val="231F1F"/>
          <w:spacing w:val="-4"/>
        </w:rPr>
        <w:t> </w:t>
      </w:r>
      <w:r>
        <w:rPr>
          <w:color w:val="231F1F"/>
        </w:rPr>
        <w:t>igual</w:t>
      </w:r>
      <w:r>
        <w:rPr>
          <w:color w:val="231F1F"/>
          <w:spacing w:val="1"/>
        </w:rPr>
        <w:t> </w:t>
      </w:r>
      <w:r>
        <w:rPr>
          <w:color w:val="231F1F"/>
        </w:rPr>
        <w:t>que</w:t>
      </w:r>
      <w:r>
        <w:rPr>
          <w:color w:val="231F1F"/>
          <w:spacing w:val="1"/>
        </w:rPr>
        <w:t> </w:t>
      </w:r>
      <w:r>
        <w:rPr>
          <w:color w:val="231F1F"/>
        </w:rPr>
        <w:t>ocurre con</w:t>
      </w:r>
      <w:r>
        <w:rPr>
          <w:color w:val="231F1F"/>
          <w:spacing w:val="1"/>
        </w:rPr>
        <w:t> </w:t>
      </w:r>
      <w:r>
        <w:rPr>
          <w:color w:val="231F1F"/>
        </w:rPr>
        <w:t>la</w:t>
      </w:r>
      <w:r>
        <w:rPr>
          <w:color w:val="231F1F"/>
          <w:spacing w:val="1"/>
        </w:rPr>
        <w:t> </w:t>
      </w:r>
      <w:r>
        <w:rPr>
          <w:color w:val="231F1F"/>
        </w:rPr>
        <w:t>utilización</w:t>
      </w:r>
      <w:r>
        <w:rPr>
          <w:color w:val="231F1F"/>
          <w:spacing w:val="1"/>
        </w:rPr>
        <w:t> </w:t>
      </w:r>
      <w:r>
        <w:rPr>
          <w:color w:val="231F1F"/>
        </w:rPr>
        <w:t>de enemas, y</w:t>
      </w:r>
      <w:r>
        <w:rPr>
          <w:color w:val="231F1F"/>
          <w:spacing w:val="2"/>
        </w:rPr>
        <w:t> </w:t>
      </w:r>
      <w:r>
        <w:rPr>
          <w:color w:val="231F1F"/>
        </w:rPr>
        <w:t>a</w:t>
      </w:r>
      <w:r>
        <w:rPr>
          <w:color w:val="231F1F"/>
          <w:spacing w:val="2"/>
        </w:rPr>
        <w:t> </w:t>
      </w:r>
      <w:r>
        <w:rPr>
          <w:color w:val="231F1F"/>
        </w:rPr>
        <w:t>pesar de que la</w:t>
      </w:r>
      <w:r>
        <w:rPr>
          <w:color w:val="231F1F"/>
          <w:spacing w:val="2"/>
        </w:rPr>
        <w:t> </w:t>
      </w:r>
      <w:r>
        <w:rPr>
          <w:color w:val="231F1F"/>
        </w:rPr>
        <w:t>guía</w:t>
      </w:r>
      <w:r>
        <w:rPr>
          <w:color w:val="231F1F"/>
          <w:spacing w:val="1"/>
        </w:rPr>
        <w:t> </w:t>
      </w:r>
      <w:r>
        <w:rPr>
          <w:color w:val="231F1F"/>
          <w:spacing w:val="-4"/>
        </w:rPr>
        <w:t>NICE</w:t>
      </w:r>
    </w:p>
    <w:p>
      <w:pPr>
        <w:pStyle w:val="BodyText"/>
        <w:spacing w:line="244" w:lineRule="auto" w:before="16"/>
        <w:ind w:left="283" w:right="1372"/>
        <w:jc w:val="both"/>
      </w:pPr>
      <w:r>
        <w:rPr>
          <w:color w:val="231F1F"/>
          <w:w w:val="110"/>
        </w:rPr>
        <w:t>(10) revisa diferentes tipos de intervenciones realizadas durante la primera etapa del parto, no aborda el tema del rasurado perineal. De hecho, se trata de</w:t>
      </w:r>
      <w:r>
        <w:rPr>
          <w:color w:val="231F1F"/>
          <w:spacing w:val="-16"/>
          <w:w w:val="110"/>
        </w:rPr>
        <w:t> </w:t>
      </w:r>
      <w:r>
        <w:rPr>
          <w:color w:val="231F1F"/>
          <w:w w:val="110"/>
        </w:rPr>
        <w:t>una</w:t>
      </w:r>
      <w:r>
        <w:rPr>
          <w:color w:val="231F1F"/>
          <w:spacing w:val="-15"/>
          <w:w w:val="110"/>
        </w:rPr>
        <w:t> </w:t>
      </w:r>
      <w:r>
        <w:rPr>
          <w:color w:val="231F1F"/>
          <w:w w:val="110"/>
        </w:rPr>
        <w:t>práctica</w:t>
      </w:r>
      <w:r>
        <w:rPr>
          <w:color w:val="231F1F"/>
          <w:spacing w:val="-15"/>
          <w:w w:val="110"/>
        </w:rPr>
        <w:t> </w:t>
      </w:r>
      <w:r>
        <w:rPr>
          <w:color w:val="231F1F"/>
          <w:w w:val="110"/>
        </w:rPr>
        <w:t>eliminada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intervención</w:t>
      </w:r>
      <w:r>
        <w:rPr>
          <w:color w:val="231F1F"/>
          <w:spacing w:val="-15"/>
          <w:w w:val="110"/>
        </w:rPr>
        <w:t> </w:t>
      </w:r>
      <w:r>
        <w:rPr>
          <w:color w:val="231F1F"/>
          <w:w w:val="110"/>
        </w:rPr>
        <w:t>rutinaria</w:t>
      </w:r>
      <w:r>
        <w:rPr>
          <w:color w:val="231F1F"/>
          <w:spacing w:val="-15"/>
          <w:w w:val="110"/>
        </w:rPr>
        <w:t> </w:t>
      </w:r>
      <w:r>
        <w:rPr>
          <w:color w:val="231F1F"/>
          <w:w w:val="110"/>
        </w:rPr>
        <w:t>en</w:t>
      </w:r>
      <w:r>
        <w:rPr>
          <w:color w:val="231F1F"/>
          <w:spacing w:val="-16"/>
          <w:w w:val="110"/>
        </w:rPr>
        <w:t> </w:t>
      </w:r>
      <w:r>
        <w:rPr>
          <w:color w:val="231F1F"/>
          <w:w w:val="110"/>
        </w:rPr>
        <w:t>el</w:t>
      </w:r>
      <w:r>
        <w:rPr>
          <w:color w:val="231F1F"/>
          <w:spacing w:val="-15"/>
          <w:w w:val="110"/>
        </w:rPr>
        <w:t> </w:t>
      </w:r>
      <w:r>
        <w:rPr>
          <w:color w:val="231F1F"/>
          <w:w w:val="110"/>
        </w:rPr>
        <w:t>ámbito</w:t>
      </w:r>
      <w:r>
        <w:rPr>
          <w:color w:val="231F1F"/>
          <w:spacing w:val="-15"/>
          <w:w w:val="110"/>
        </w:rPr>
        <w:t> </w:t>
      </w:r>
      <w:r>
        <w:rPr>
          <w:color w:val="231F1F"/>
          <w:w w:val="110"/>
        </w:rPr>
        <w:t>obstétrico del Reino Unido.</w:t>
      </w:r>
    </w:p>
    <w:p>
      <w:pPr>
        <w:pStyle w:val="BodyText"/>
        <w:spacing w:line="249" w:lineRule="auto" w:before="144"/>
        <w:ind w:left="283" w:right="1360" w:firstLine="453"/>
        <w:jc w:val="both"/>
      </w:pP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búsqueda</w:t>
      </w:r>
      <w:r>
        <w:rPr>
          <w:color w:val="231F1F"/>
          <w:spacing w:val="-7"/>
          <w:w w:val="110"/>
        </w:rPr>
        <w:t> </w:t>
      </w:r>
      <w:r>
        <w:rPr>
          <w:color w:val="231F1F"/>
          <w:w w:val="110"/>
        </w:rPr>
        <w:t>realizada</w:t>
      </w:r>
      <w:r>
        <w:rPr>
          <w:color w:val="231F1F"/>
          <w:spacing w:val="-7"/>
          <w:w w:val="110"/>
        </w:rPr>
        <w:t> </w:t>
      </w:r>
      <w:r>
        <w:rPr>
          <w:color w:val="231F1F"/>
          <w:w w:val="110"/>
        </w:rPr>
        <w:t>para</w:t>
      </w:r>
      <w:r>
        <w:rPr>
          <w:color w:val="231F1F"/>
          <w:spacing w:val="-7"/>
          <w:w w:val="110"/>
        </w:rPr>
        <w:t> </w:t>
      </w:r>
      <w:r>
        <w:rPr>
          <w:color w:val="231F1F"/>
          <w:w w:val="110"/>
        </w:rPr>
        <w:t>la</w:t>
      </w:r>
      <w:r>
        <w:rPr>
          <w:color w:val="231F1F"/>
          <w:spacing w:val="-7"/>
          <w:w w:val="110"/>
        </w:rPr>
        <w:t> </w:t>
      </w:r>
      <w:r>
        <w:rPr>
          <w:color w:val="231F1F"/>
          <w:w w:val="110"/>
        </w:rPr>
        <w:t>actualización</w:t>
      </w:r>
      <w:r>
        <w:rPr>
          <w:color w:val="231F1F"/>
          <w:spacing w:val="-8"/>
          <w:w w:val="110"/>
        </w:rPr>
        <w:t> </w:t>
      </w:r>
      <w:r>
        <w:rPr>
          <w:color w:val="231F1F"/>
          <w:w w:val="110"/>
        </w:rPr>
        <w:t>se</w:t>
      </w:r>
      <w:r>
        <w:rPr>
          <w:color w:val="231F1F"/>
          <w:spacing w:val="-7"/>
          <w:w w:val="110"/>
        </w:rPr>
        <w:t> </w:t>
      </w:r>
      <w:r>
        <w:rPr>
          <w:color w:val="231F1F"/>
          <w:w w:val="110"/>
        </w:rPr>
        <w:t>seleccionó</w:t>
      </w:r>
      <w:r>
        <w:rPr>
          <w:color w:val="231F1F"/>
          <w:spacing w:val="-8"/>
          <w:w w:val="110"/>
        </w:rPr>
        <w:t> </w:t>
      </w:r>
      <w:r>
        <w:rPr>
          <w:color w:val="231F1F"/>
          <w:w w:val="110"/>
        </w:rPr>
        <w:t>una</w:t>
      </w:r>
      <w:r>
        <w:rPr>
          <w:color w:val="231F1F"/>
          <w:spacing w:val="-7"/>
          <w:w w:val="110"/>
        </w:rPr>
        <w:t> </w:t>
      </w:r>
      <w:r>
        <w:rPr>
          <w:color w:val="231F1F"/>
          <w:w w:val="110"/>
        </w:rPr>
        <w:t>RS</w:t>
      </w:r>
      <w:r>
        <w:rPr>
          <w:color w:val="231F1F"/>
          <w:spacing w:val="-7"/>
          <w:w w:val="110"/>
        </w:rPr>
        <w:t> </w:t>
      </w:r>
      <w:r>
        <w:rPr>
          <w:color w:val="231F1F"/>
          <w:w w:val="110"/>
        </w:rPr>
        <w:t>de </w:t>
      </w:r>
      <w:r>
        <w:rPr>
          <w:color w:val="231F1F"/>
          <w:spacing w:val="-2"/>
          <w:w w:val="110"/>
        </w:rPr>
        <w:t>Cochrane</w:t>
      </w:r>
      <w:r>
        <w:rPr>
          <w:color w:val="231F1F"/>
          <w:spacing w:val="-12"/>
          <w:w w:val="110"/>
        </w:rPr>
        <w:t> </w:t>
      </w:r>
      <w:r>
        <w:rPr>
          <w:color w:val="231F1F"/>
          <w:spacing w:val="-2"/>
          <w:w w:val="110"/>
        </w:rPr>
        <w:t>(45),</w:t>
      </w:r>
      <w:r>
        <w:rPr>
          <w:color w:val="231F1F"/>
          <w:spacing w:val="-12"/>
          <w:w w:val="110"/>
        </w:rPr>
        <w:t> </w:t>
      </w:r>
      <w:r>
        <w:rPr>
          <w:color w:val="231F1F"/>
          <w:spacing w:val="-2"/>
          <w:w w:val="110"/>
        </w:rPr>
        <w:t>que</w:t>
      </w:r>
      <w:r>
        <w:rPr>
          <w:color w:val="231F1F"/>
          <w:spacing w:val="-11"/>
          <w:w w:val="110"/>
        </w:rPr>
        <w:t> </w:t>
      </w:r>
      <w:r>
        <w:rPr>
          <w:color w:val="231F1F"/>
          <w:spacing w:val="-2"/>
          <w:w w:val="110"/>
        </w:rPr>
        <w:t>presenta</w:t>
      </w:r>
      <w:r>
        <w:rPr>
          <w:color w:val="231F1F"/>
          <w:spacing w:val="-11"/>
          <w:w w:val="110"/>
        </w:rPr>
        <w:t> </w:t>
      </w:r>
      <w:r>
        <w:rPr>
          <w:color w:val="231F1F"/>
          <w:spacing w:val="-2"/>
          <w:w w:val="110"/>
        </w:rPr>
        <w:t>un</w:t>
      </w:r>
      <w:r>
        <w:rPr>
          <w:color w:val="231F1F"/>
          <w:spacing w:val="-11"/>
          <w:w w:val="110"/>
        </w:rPr>
        <w:t> </w:t>
      </w:r>
      <w:r>
        <w:rPr>
          <w:color w:val="231F1F"/>
          <w:spacing w:val="-2"/>
          <w:w w:val="110"/>
        </w:rPr>
        <w:t>NE=1-.</w:t>
      </w:r>
      <w:r>
        <w:rPr>
          <w:color w:val="231F1F"/>
          <w:spacing w:val="-12"/>
          <w:w w:val="110"/>
        </w:rPr>
        <w:t> </w:t>
      </w:r>
      <w:r>
        <w:rPr>
          <w:color w:val="231F1F"/>
          <w:spacing w:val="-2"/>
          <w:w w:val="110"/>
        </w:rPr>
        <w:t>La</w:t>
      </w:r>
      <w:r>
        <w:rPr>
          <w:color w:val="231F1F"/>
          <w:spacing w:val="-11"/>
          <w:w w:val="110"/>
        </w:rPr>
        <w:t> </w:t>
      </w:r>
      <w:r>
        <w:rPr>
          <w:color w:val="231F1F"/>
          <w:spacing w:val="-2"/>
          <w:w w:val="110"/>
        </w:rPr>
        <w:t>revisión</w:t>
      </w:r>
      <w:r>
        <w:rPr>
          <w:color w:val="231F1F"/>
          <w:spacing w:val="-11"/>
          <w:w w:val="110"/>
        </w:rPr>
        <w:t> </w:t>
      </w:r>
      <w:r>
        <w:rPr>
          <w:color w:val="231F1F"/>
          <w:spacing w:val="-2"/>
          <w:w w:val="110"/>
        </w:rPr>
        <w:t>incluye</w:t>
      </w:r>
      <w:r>
        <w:rPr>
          <w:color w:val="231F1F"/>
          <w:spacing w:val="-11"/>
          <w:w w:val="110"/>
        </w:rPr>
        <w:t> </w:t>
      </w:r>
      <w:r>
        <w:rPr>
          <w:color w:val="231F1F"/>
          <w:spacing w:val="-2"/>
          <w:w w:val="110"/>
        </w:rPr>
        <w:t>dos</w:t>
      </w:r>
      <w:r>
        <w:rPr>
          <w:color w:val="231F1F"/>
          <w:spacing w:val="-12"/>
          <w:w w:val="110"/>
        </w:rPr>
        <w:t> </w:t>
      </w:r>
      <w:r>
        <w:rPr>
          <w:color w:val="231F1F"/>
          <w:spacing w:val="-2"/>
          <w:w w:val="110"/>
        </w:rPr>
        <w:t>ECAs</w:t>
      </w:r>
      <w:r>
        <w:rPr>
          <w:color w:val="231F1F"/>
          <w:spacing w:val="-11"/>
          <w:w w:val="110"/>
        </w:rPr>
        <w:t> </w:t>
      </w:r>
      <w:r>
        <w:rPr>
          <w:color w:val="231F1F"/>
          <w:spacing w:val="-2"/>
          <w:w w:val="110"/>
        </w:rPr>
        <w:t>con</w:t>
      </w:r>
      <w:r>
        <w:rPr>
          <w:color w:val="231F1F"/>
          <w:spacing w:val="-11"/>
          <w:w w:val="110"/>
        </w:rPr>
        <w:t> </w:t>
      </w:r>
      <w:r>
        <w:rPr>
          <w:color w:val="231F1F"/>
          <w:spacing w:val="-2"/>
          <w:w w:val="110"/>
        </w:rPr>
        <w:t>un </w:t>
      </w:r>
      <w:r>
        <w:rPr>
          <w:color w:val="231F1F"/>
          <w:w w:val="110"/>
        </w:rPr>
        <w:t>total de 539 mujeres y tiene por objetivo evaluar los efectos del rasurado perineal sistemático en el ingreso a la sala de partos, sobre los resultados </w:t>
      </w:r>
      <w:r>
        <w:rPr>
          <w:color w:val="231F1F"/>
          <w:spacing w:val="-2"/>
          <w:w w:val="110"/>
        </w:rPr>
        <w:t>maternos</w:t>
      </w:r>
      <w:r>
        <w:rPr>
          <w:color w:val="231F1F"/>
          <w:spacing w:val="-8"/>
          <w:w w:val="110"/>
        </w:rPr>
        <w:t> </w:t>
      </w:r>
      <w:r>
        <w:rPr>
          <w:color w:val="231F1F"/>
          <w:spacing w:val="-2"/>
          <w:w w:val="110"/>
        </w:rPr>
        <w:t>y</w:t>
      </w:r>
      <w:r>
        <w:rPr>
          <w:color w:val="231F1F"/>
          <w:spacing w:val="-7"/>
          <w:w w:val="110"/>
        </w:rPr>
        <w:t> </w:t>
      </w:r>
      <w:r>
        <w:rPr>
          <w:color w:val="231F1F"/>
          <w:spacing w:val="-2"/>
          <w:w w:val="110"/>
        </w:rPr>
        <w:t>neonatales</w:t>
      </w:r>
      <w:r>
        <w:rPr>
          <w:color w:val="231F1F"/>
          <w:spacing w:val="-8"/>
          <w:w w:val="110"/>
        </w:rPr>
        <w:t> </w:t>
      </w:r>
      <w:r>
        <w:rPr>
          <w:color w:val="231F1F"/>
          <w:spacing w:val="-2"/>
          <w:w w:val="110"/>
        </w:rPr>
        <w:t>(morbilidad</w:t>
      </w:r>
      <w:r>
        <w:rPr>
          <w:color w:val="231F1F"/>
          <w:spacing w:val="-6"/>
          <w:w w:val="110"/>
        </w:rPr>
        <w:t> </w:t>
      </w:r>
      <w:r>
        <w:rPr>
          <w:color w:val="231F1F"/>
          <w:spacing w:val="-2"/>
          <w:w w:val="110"/>
        </w:rPr>
        <w:t>febril,</w:t>
      </w:r>
      <w:r>
        <w:rPr>
          <w:color w:val="231F1F"/>
          <w:spacing w:val="-8"/>
          <w:w w:val="110"/>
        </w:rPr>
        <w:t> </w:t>
      </w:r>
      <w:r>
        <w:rPr>
          <w:color w:val="231F1F"/>
          <w:spacing w:val="-2"/>
          <w:w w:val="110"/>
        </w:rPr>
        <w:t>morbilidad</w:t>
      </w:r>
      <w:r>
        <w:rPr>
          <w:color w:val="231F1F"/>
          <w:spacing w:val="-7"/>
          <w:w w:val="110"/>
        </w:rPr>
        <w:t> </w:t>
      </w:r>
      <w:r>
        <w:rPr>
          <w:color w:val="231F1F"/>
          <w:spacing w:val="-2"/>
          <w:w w:val="110"/>
        </w:rPr>
        <w:t>materna</w:t>
      </w:r>
      <w:r>
        <w:rPr>
          <w:color w:val="231F1F"/>
          <w:spacing w:val="-7"/>
          <w:w w:val="110"/>
        </w:rPr>
        <w:t> </w:t>
      </w:r>
      <w:r>
        <w:rPr>
          <w:color w:val="231F1F"/>
          <w:spacing w:val="-2"/>
          <w:w w:val="110"/>
        </w:rPr>
        <w:t>posparto,</w:t>
      </w:r>
      <w:r>
        <w:rPr>
          <w:color w:val="231F1F"/>
          <w:spacing w:val="-8"/>
          <w:w w:val="110"/>
        </w:rPr>
        <w:t> </w:t>
      </w:r>
      <w:r>
        <w:rPr>
          <w:color w:val="231F1F"/>
          <w:spacing w:val="-2"/>
          <w:w w:val="110"/>
        </w:rPr>
        <w:t>trau- </w:t>
      </w:r>
      <w:r>
        <w:rPr>
          <w:color w:val="231F1F"/>
        </w:rPr>
        <w:t>matismo</w:t>
      </w:r>
      <w:r>
        <w:rPr>
          <w:color w:val="231F1F"/>
          <w:spacing w:val="36"/>
        </w:rPr>
        <w:t> </w:t>
      </w:r>
      <w:r>
        <w:rPr>
          <w:color w:val="231F1F"/>
        </w:rPr>
        <w:t>perineal,</w:t>
      </w:r>
      <w:r>
        <w:rPr>
          <w:color w:val="231F1F"/>
          <w:spacing w:val="36"/>
        </w:rPr>
        <w:t> </w:t>
      </w:r>
      <w:r>
        <w:rPr>
          <w:color w:val="231F1F"/>
        </w:rPr>
        <w:t>infección</w:t>
      </w:r>
      <w:r>
        <w:rPr>
          <w:color w:val="231F1F"/>
          <w:spacing w:val="37"/>
        </w:rPr>
        <w:t> </w:t>
      </w:r>
      <w:r>
        <w:rPr>
          <w:color w:val="231F1F"/>
        </w:rPr>
        <w:t>de</w:t>
      </w:r>
      <w:r>
        <w:rPr>
          <w:color w:val="231F1F"/>
          <w:spacing w:val="36"/>
        </w:rPr>
        <w:t> </w:t>
      </w:r>
      <w:r>
        <w:rPr>
          <w:color w:val="231F1F"/>
        </w:rPr>
        <w:t>la</w:t>
      </w:r>
      <w:r>
        <w:rPr>
          <w:color w:val="231F1F"/>
          <w:spacing w:val="36"/>
        </w:rPr>
        <w:t> </w:t>
      </w:r>
      <w:r>
        <w:rPr>
          <w:color w:val="231F1F"/>
        </w:rPr>
        <w:t>herida,</w:t>
      </w:r>
      <w:r>
        <w:rPr>
          <w:color w:val="231F1F"/>
          <w:spacing w:val="36"/>
        </w:rPr>
        <w:t> </w:t>
      </w:r>
      <w:r>
        <w:rPr>
          <w:color w:val="231F1F"/>
        </w:rPr>
        <w:t>dehiscencia</w:t>
      </w:r>
      <w:r>
        <w:rPr>
          <w:color w:val="231F1F"/>
          <w:spacing w:val="35"/>
        </w:rPr>
        <w:t> </w:t>
      </w:r>
      <w:r>
        <w:rPr>
          <w:color w:val="231F1F"/>
        </w:rPr>
        <w:t>de</w:t>
      </w:r>
      <w:r>
        <w:rPr>
          <w:color w:val="231F1F"/>
          <w:spacing w:val="36"/>
        </w:rPr>
        <w:t> </w:t>
      </w:r>
      <w:r>
        <w:rPr>
          <w:color w:val="231F1F"/>
        </w:rPr>
        <w:t>la</w:t>
      </w:r>
      <w:r>
        <w:rPr>
          <w:color w:val="231F1F"/>
          <w:spacing w:val="36"/>
        </w:rPr>
        <w:t> </w:t>
      </w:r>
      <w:r>
        <w:rPr>
          <w:color w:val="231F1F"/>
        </w:rPr>
        <w:t>herida</w:t>
      </w:r>
      <w:r>
        <w:rPr>
          <w:color w:val="231F1F"/>
          <w:spacing w:val="36"/>
        </w:rPr>
        <w:t> </w:t>
      </w:r>
      <w:r>
        <w:rPr>
          <w:color w:val="231F1F"/>
        </w:rPr>
        <w:t>y</w:t>
      </w:r>
      <w:r>
        <w:rPr>
          <w:color w:val="231F1F"/>
          <w:spacing w:val="36"/>
        </w:rPr>
        <w:t> </w:t>
      </w:r>
      <w:r>
        <w:rPr>
          <w:color w:val="231F1F"/>
        </w:rPr>
        <w:t>necesidad </w:t>
      </w:r>
      <w:r>
        <w:rPr>
          <w:color w:val="231F1F"/>
          <w:w w:val="110"/>
        </w:rPr>
        <w:t>de nueva sutura, infección neonatal, niveles de malestar materno, grado de dolor, grado de incomodidad y nivel de satisfacción).</w:t>
      </w:r>
    </w:p>
    <w:p>
      <w:pPr>
        <w:pStyle w:val="BodyText"/>
        <w:spacing w:line="247" w:lineRule="auto" w:before="137"/>
        <w:ind w:left="283" w:right="1367" w:firstLine="453"/>
        <w:jc w:val="both"/>
      </w:pPr>
      <w:r>
        <w:rPr>
          <w:color w:val="231F1F"/>
          <w:w w:val="110"/>
        </w:rPr>
        <w:t>Ambos ensayos tienen más de treinta años de antigüedad, el primero de</w:t>
      </w:r>
      <w:r>
        <w:rPr>
          <w:color w:val="231F1F"/>
          <w:spacing w:val="-16"/>
          <w:w w:val="110"/>
        </w:rPr>
        <w:t> </w:t>
      </w:r>
      <w:r>
        <w:rPr>
          <w:color w:val="231F1F"/>
          <w:w w:val="110"/>
        </w:rPr>
        <w:t>1922</w:t>
      </w:r>
      <w:r>
        <w:rPr>
          <w:color w:val="231F1F"/>
          <w:spacing w:val="-15"/>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segundo</w:t>
      </w:r>
      <w:r>
        <w:rPr>
          <w:color w:val="231F1F"/>
          <w:spacing w:val="-15"/>
          <w:w w:val="110"/>
        </w:rPr>
        <w:t> </w:t>
      </w:r>
      <w:r>
        <w:rPr>
          <w:color w:val="231F1F"/>
          <w:w w:val="110"/>
        </w:rPr>
        <w:t>de</w:t>
      </w:r>
      <w:r>
        <w:rPr>
          <w:color w:val="231F1F"/>
          <w:spacing w:val="-15"/>
          <w:w w:val="110"/>
        </w:rPr>
        <w:t> </w:t>
      </w:r>
      <w:r>
        <w:rPr>
          <w:color w:val="231F1F"/>
          <w:w w:val="110"/>
        </w:rPr>
        <w:t>1965.</w:t>
      </w:r>
      <w:r>
        <w:rPr>
          <w:color w:val="231F1F"/>
          <w:spacing w:val="-15"/>
          <w:w w:val="110"/>
        </w:rPr>
        <w:t> </w:t>
      </w:r>
      <w:r>
        <w:rPr>
          <w:color w:val="231F1F"/>
          <w:w w:val="110"/>
        </w:rPr>
        <w:t>La</w:t>
      </w:r>
      <w:r>
        <w:rPr>
          <w:color w:val="231F1F"/>
          <w:spacing w:val="-15"/>
          <w:w w:val="110"/>
        </w:rPr>
        <w:t> </w:t>
      </w:r>
      <w:r>
        <w:rPr>
          <w:color w:val="231F1F"/>
          <w:w w:val="110"/>
        </w:rPr>
        <w:t>información</w:t>
      </w:r>
      <w:r>
        <w:rPr>
          <w:color w:val="231F1F"/>
          <w:spacing w:val="-16"/>
          <w:w w:val="110"/>
        </w:rPr>
        <w:t> </w:t>
      </w:r>
      <w:r>
        <w:rPr>
          <w:color w:val="231F1F"/>
          <w:w w:val="110"/>
        </w:rPr>
        <w:t>objetiva</w:t>
      </w:r>
      <w:r>
        <w:rPr>
          <w:color w:val="231F1F"/>
          <w:spacing w:val="-15"/>
          <w:w w:val="110"/>
        </w:rPr>
        <w:t> </w:t>
      </w:r>
      <w:r>
        <w:rPr>
          <w:color w:val="231F1F"/>
          <w:w w:val="110"/>
        </w:rPr>
        <w:t>aportada</w:t>
      </w:r>
      <w:r>
        <w:rPr>
          <w:color w:val="231F1F"/>
          <w:spacing w:val="-15"/>
          <w:w w:val="110"/>
        </w:rPr>
        <w:t> </w:t>
      </w:r>
      <w:r>
        <w:rPr>
          <w:color w:val="231F1F"/>
          <w:w w:val="110"/>
        </w:rPr>
        <w:t>es</w:t>
      </w:r>
      <w:r>
        <w:rPr>
          <w:color w:val="231F1F"/>
          <w:spacing w:val="-15"/>
          <w:w w:val="110"/>
        </w:rPr>
        <w:t> </w:t>
      </w:r>
      <w:r>
        <w:rPr>
          <w:color w:val="231F1F"/>
          <w:w w:val="110"/>
        </w:rPr>
        <w:t>deficien- te</w:t>
      </w:r>
      <w:r>
        <w:rPr>
          <w:color w:val="231F1F"/>
          <w:spacing w:val="-1"/>
          <w:w w:val="110"/>
        </w:rPr>
        <w:t> </w:t>
      </w:r>
      <w:r>
        <w:rPr>
          <w:color w:val="231F1F"/>
          <w:w w:val="110"/>
        </w:rPr>
        <w:t>en</w:t>
      </w:r>
      <w:r>
        <w:rPr>
          <w:color w:val="231F1F"/>
          <w:spacing w:val="-1"/>
          <w:w w:val="110"/>
        </w:rPr>
        <w:t> </w:t>
      </w:r>
      <w:r>
        <w:rPr>
          <w:color w:val="231F1F"/>
          <w:w w:val="110"/>
        </w:rPr>
        <w:t>datos</w:t>
      </w:r>
      <w:r>
        <w:rPr>
          <w:color w:val="231F1F"/>
          <w:spacing w:val="-1"/>
          <w:w w:val="110"/>
        </w:rPr>
        <w:t> </w:t>
      </w:r>
      <w:r>
        <w:rPr>
          <w:color w:val="231F1F"/>
          <w:w w:val="110"/>
        </w:rPr>
        <w:t>y</w:t>
      </w:r>
      <w:r>
        <w:rPr>
          <w:color w:val="231F1F"/>
          <w:spacing w:val="-1"/>
          <w:w w:val="110"/>
        </w:rPr>
        <w:t> </w:t>
      </w:r>
      <w:r>
        <w:rPr>
          <w:color w:val="231F1F"/>
          <w:w w:val="110"/>
        </w:rPr>
        <w:t>el</w:t>
      </w:r>
      <w:r>
        <w:rPr>
          <w:color w:val="231F1F"/>
          <w:spacing w:val="-1"/>
          <w:w w:val="110"/>
        </w:rPr>
        <w:t> </w:t>
      </w:r>
      <w:r>
        <w:rPr>
          <w:color w:val="231F1F"/>
          <w:w w:val="110"/>
        </w:rPr>
        <w:t>riesgo potencial</w:t>
      </w:r>
      <w:r>
        <w:rPr>
          <w:color w:val="231F1F"/>
          <w:spacing w:val="-2"/>
          <w:w w:val="110"/>
        </w:rPr>
        <w:t> </w:t>
      </w:r>
      <w:r>
        <w:rPr>
          <w:color w:val="231F1F"/>
          <w:w w:val="110"/>
        </w:rPr>
        <w:t>de</w:t>
      </w:r>
      <w:r>
        <w:rPr>
          <w:color w:val="231F1F"/>
          <w:spacing w:val="-1"/>
          <w:w w:val="110"/>
        </w:rPr>
        <w:t> </w:t>
      </w:r>
      <w:r>
        <w:rPr>
          <w:color w:val="231F1F"/>
          <w:w w:val="110"/>
        </w:rPr>
        <w:t>sesgos</w:t>
      </w:r>
      <w:r>
        <w:rPr>
          <w:color w:val="231F1F"/>
          <w:spacing w:val="-1"/>
          <w:w w:val="110"/>
        </w:rPr>
        <w:t> </w:t>
      </w:r>
      <w:r>
        <w:rPr>
          <w:color w:val="231F1F"/>
          <w:w w:val="110"/>
        </w:rPr>
        <w:t>es</w:t>
      </w:r>
      <w:r>
        <w:rPr>
          <w:color w:val="231F1F"/>
          <w:spacing w:val="-1"/>
          <w:w w:val="110"/>
        </w:rPr>
        <w:t> </w:t>
      </w:r>
      <w:r>
        <w:rPr>
          <w:color w:val="231F1F"/>
          <w:w w:val="110"/>
        </w:rPr>
        <w:t>muy</w:t>
      </w:r>
      <w:r>
        <w:rPr>
          <w:color w:val="231F1F"/>
          <w:spacing w:val="-1"/>
          <w:w w:val="110"/>
        </w:rPr>
        <w:t> </w:t>
      </w:r>
      <w:r>
        <w:rPr>
          <w:color w:val="231F1F"/>
          <w:w w:val="110"/>
        </w:rPr>
        <w:t>alto</w:t>
      </w:r>
      <w:r>
        <w:rPr>
          <w:color w:val="231F1F"/>
          <w:spacing w:val="-1"/>
          <w:w w:val="110"/>
        </w:rPr>
        <w:t> </w:t>
      </w:r>
      <w:r>
        <w:rPr>
          <w:color w:val="231F1F"/>
          <w:w w:val="110"/>
        </w:rPr>
        <w:t>ya</w:t>
      </w:r>
      <w:r>
        <w:rPr>
          <w:color w:val="231F1F"/>
          <w:spacing w:val="-1"/>
          <w:w w:val="110"/>
        </w:rPr>
        <w:t> </w:t>
      </w:r>
      <w:r>
        <w:rPr>
          <w:color w:val="231F1F"/>
          <w:w w:val="110"/>
        </w:rPr>
        <w:t>que</w:t>
      </w:r>
      <w:r>
        <w:rPr>
          <w:color w:val="231F1F"/>
          <w:spacing w:val="-1"/>
          <w:w w:val="110"/>
        </w:rPr>
        <w:t> </w:t>
      </w:r>
      <w:r>
        <w:rPr>
          <w:color w:val="231F1F"/>
          <w:w w:val="110"/>
        </w:rPr>
        <w:t>aportan deta- lles</w:t>
      </w:r>
      <w:r>
        <w:rPr>
          <w:color w:val="231F1F"/>
          <w:w w:val="110"/>
        </w:rPr>
        <w:t> limitados</w:t>
      </w:r>
      <w:r>
        <w:rPr>
          <w:color w:val="231F1F"/>
          <w:w w:val="110"/>
        </w:rPr>
        <w:t> acerca</w:t>
      </w:r>
      <w:r>
        <w:rPr>
          <w:color w:val="231F1F"/>
          <w:w w:val="110"/>
        </w:rPr>
        <w:t> de</w:t>
      </w:r>
      <w:r>
        <w:rPr>
          <w:color w:val="231F1F"/>
          <w:w w:val="110"/>
        </w:rPr>
        <w:t> los</w:t>
      </w:r>
      <w:r>
        <w:rPr>
          <w:color w:val="231F1F"/>
          <w:w w:val="110"/>
        </w:rPr>
        <w:t> métodos</w:t>
      </w:r>
      <w:r>
        <w:rPr>
          <w:color w:val="231F1F"/>
          <w:w w:val="110"/>
        </w:rPr>
        <w:t> de</w:t>
      </w:r>
      <w:r>
        <w:rPr>
          <w:color w:val="231F1F"/>
          <w:w w:val="110"/>
        </w:rPr>
        <w:t> investigación</w:t>
      </w:r>
      <w:r>
        <w:rPr>
          <w:color w:val="231F1F"/>
          <w:w w:val="110"/>
        </w:rPr>
        <w:t> empleados,</w:t>
      </w:r>
      <w:r>
        <w:rPr>
          <w:color w:val="231F1F"/>
          <w:w w:val="110"/>
        </w:rPr>
        <w:t> siendo difícil evaluar la calidad. Además, los ensayos proporcionan un análisis li- mitado de los efectos del rasurado perineal, ya que no evaluaron cualquier resultado</w:t>
      </w:r>
      <w:r>
        <w:rPr>
          <w:color w:val="231F1F"/>
          <w:spacing w:val="-3"/>
          <w:w w:val="110"/>
        </w:rPr>
        <w:t> </w:t>
      </w:r>
      <w:r>
        <w:rPr>
          <w:color w:val="231F1F"/>
          <w:w w:val="110"/>
        </w:rPr>
        <w:t>neonatal</w:t>
      </w:r>
      <w:r>
        <w:rPr>
          <w:color w:val="231F1F"/>
          <w:spacing w:val="-4"/>
          <w:w w:val="110"/>
        </w:rPr>
        <w:t> </w:t>
      </w:r>
      <w:r>
        <w:rPr>
          <w:color w:val="231F1F"/>
          <w:w w:val="110"/>
        </w:rPr>
        <w:t>o</w:t>
      </w:r>
      <w:r>
        <w:rPr>
          <w:color w:val="231F1F"/>
          <w:spacing w:val="-3"/>
          <w:w w:val="110"/>
        </w:rPr>
        <w:t> </w:t>
      </w:r>
      <w:r>
        <w:rPr>
          <w:color w:val="231F1F"/>
          <w:w w:val="110"/>
        </w:rPr>
        <w:t>aquellos</w:t>
      </w:r>
      <w:r>
        <w:rPr>
          <w:color w:val="231F1F"/>
          <w:spacing w:val="-4"/>
          <w:w w:val="110"/>
        </w:rPr>
        <w:t> </w:t>
      </w:r>
      <w:r>
        <w:rPr>
          <w:color w:val="231F1F"/>
          <w:w w:val="110"/>
        </w:rPr>
        <w:t>asociados</w:t>
      </w:r>
      <w:r>
        <w:rPr>
          <w:color w:val="231F1F"/>
          <w:spacing w:val="-3"/>
          <w:w w:val="110"/>
        </w:rPr>
        <w:t> </w:t>
      </w:r>
      <w:r>
        <w:rPr>
          <w:color w:val="231F1F"/>
          <w:w w:val="110"/>
        </w:rPr>
        <w:t>con</w:t>
      </w:r>
      <w:r>
        <w:rPr>
          <w:color w:val="231F1F"/>
          <w:spacing w:val="-3"/>
          <w:w w:val="110"/>
        </w:rPr>
        <w:t> </w:t>
      </w:r>
      <w:r>
        <w:rPr>
          <w:color w:val="231F1F"/>
          <w:w w:val="110"/>
        </w:rPr>
        <w:t>criterios</w:t>
      </w:r>
      <w:r>
        <w:rPr>
          <w:color w:val="231F1F"/>
          <w:spacing w:val="-4"/>
          <w:w w:val="110"/>
        </w:rPr>
        <w:t> </w:t>
      </w:r>
      <w:r>
        <w:rPr>
          <w:color w:val="231F1F"/>
          <w:w w:val="110"/>
        </w:rPr>
        <w:t>maternos</w:t>
      </w:r>
      <w:r>
        <w:rPr>
          <w:color w:val="231F1F"/>
          <w:spacing w:val="-3"/>
          <w:w w:val="110"/>
        </w:rPr>
        <w:t> </w:t>
      </w:r>
      <w:r>
        <w:rPr>
          <w:color w:val="231F1F"/>
          <w:w w:val="110"/>
        </w:rPr>
        <w:t>como</w:t>
      </w:r>
      <w:r>
        <w:rPr>
          <w:color w:val="231F1F"/>
          <w:spacing w:val="-4"/>
          <w:w w:val="110"/>
        </w:rPr>
        <w:t> </w:t>
      </w:r>
      <w:r>
        <w:rPr>
          <w:color w:val="231F1F"/>
          <w:w w:val="110"/>
        </w:rPr>
        <w:t>dolor, incomodidad</w:t>
      </w:r>
      <w:r>
        <w:rPr>
          <w:color w:val="231F1F"/>
          <w:w w:val="110"/>
        </w:rPr>
        <w:t> o</w:t>
      </w:r>
      <w:r>
        <w:rPr>
          <w:color w:val="231F1F"/>
          <w:w w:val="110"/>
        </w:rPr>
        <w:t> malestar,</w:t>
      </w:r>
      <w:r>
        <w:rPr>
          <w:color w:val="231F1F"/>
          <w:w w:val="110"/>
        </w:rPr>
        <w:t> resultados</w:t>
      </w:r>
      <w:r>
        <w:rPr>
          <w:color w:val="231F1F"/>
          <w:w w:val="110"/>
        </w:rPr>
        <w:t> que</w:t>
      </w:r>
      <w:r>
        <w:rPr>
          <w:color w:val="231F1F"/>
          <w:w w:val="110"/>
        </w:rPr>
        <w:t> se</w:t>
      </w:r>
      <w:r>
        <w:rPr>
          <w:color w:val="231F1F"/>
          <w:w w:val="110"/>
        </w:rPr>
        <w:t> pretendían</w:t>
      </w:r>
      <w:r>
        <w:rPr>
          <w:color w:val="231F1F"/>
          <w:w w:val="110"/>
        </w:rPr>
        <w:t> esclarecer</w:t>
      </w:r>
      <w:r>
        <w:rPr>
          <w:color w:val="231F1F"/>
          <w:w w:val="110"/>
        </w:rPr>
        <w:t> con</w:t>
      </w:r>
      <w:r>
        <w:rPr>
          <w:color w:val="231F1F"/>
          <w:w w:val="110"/>
        </w:rPr>
        <w:t> la </w:t>
      </w:r>
      <w:r>
        <w:rPr>
          <w:color w:val="231F1F"/>
          <w:spacing w:val="-2"/>
          <w:w w:val="110"/>
        </w:rPr>
        <w:t>revisión.</w:t>
      </w:r>
    </w:p>
    <w:p>
      <w:pPr>
        <w:pStyle w:val="BodyText"/>
        <w:tabs>
          <w:tab w:pos="8091" w:val="left" w:leader="none"/>
        </w:tabs>
        <w:spacing w:line="244" w:lineRule="auto" w:before="93"/>
        <w:ind w:left="259" w:right="438" w:firstLine="507"/>
        <w:jc w:val="both"/>
        <w:rPr>
          <w:rFonts w:ascii="Arial MT" w:hAnsi="Arial MT"/>
          <w:position w:val="8"/>
          <w:sz w:val="18"/>
        </w:rPr>
      </w:pPr>
      <w:r>
        <w:rPr>
          <w:color w:val="231F1F"/>
          <w:w w:val="105"/>
        </w:rPr>
        <w:t>Al combinar los resultados de ambos ensayos, no se encontró diferencias</w:t>
      </w:r>
      <w:r>
        <w:rPr>
          <w:color w:val="231F1F"/>
          <w:spacing w:val="80"/>
          <w:w w:val="105"/>
        </w:rPr>
        <w:t>  </w:t>
      </w:r>
      <w:r>
        <w:rPr>
          <w:rFonts w:ascii="Arial MT" w:hAnsi="Arial MT"/>
          <w:color w:val="231F1F"/>
          <w:w w:val="105"/>
          <w:sz w:val="18"/>
        </w:rPr>
        <w:t>RS</w:t>
      </w:r>
      <w:r>
        <w:rPr>
          <w:rFonts w:ascii="Arial MT" w:hAnsi="Arial MT"/>
          <w:color w:val="231F1F"/>
          <w:spacing w:val="-7"/>
          <w:w w:val="105"/>
          <w:sz w:val="18"/>
        </w:rPr>
        <w:t> </w:t>
      </w:r>
      <w:r>
        <w:rPr>
          <w:rFonts w:ascii="Arial MT" w:hAnsi="Arial MT"/>
          <w:color w:val="231F1F"/>
          <w:w w:val="105"/>
          <w:sz w:val="18"/>
        </w:rPr>
        <w:t>de </w:t>
      </w:r>
      <w:r>
        <w:rPr>
          <w:color w:val="231F1F"/>
          <w:w w:val="105"/>
        </w:rPr>
        <w:t>en</w:t>
      </w:r>
      <w:r>
        <w:rPr>
          <w:color w:val="231F1F"/>
          <w:w w:val="105"/>
        </w:rPr>
        <w:t> aquellas</w:t>
      </w:r>
      <w:r>
        <w:rPr>
          <w:color w:val="231F1F"/>
          <w:w w:val="105"/>
        </w:rPr>
        <w:t> mujeres</w:t>
      </w:r>
      <w:r>
        <w:rPr>
          <w:color w:val="231F1F"/>
          <w:w w:val="105"/>
        </w:rPr>
        <w:t> que</w:t>
      </w:r>
      <w:r>
        <w:rPr>
          <w:color w:val="231F1F"/>
          <w:w w:val="105"/>
        </w:rPr>
        <w:t> fueron</w:t>
      </w:r>
      <w:r>
        <w:rPr>
          <w:color w:val="231F1F"/>
          <w:w w:val="105"/>
        </w:rPr>
        <w:t> o</w:t>
      </w:r>
      <w:r>
        <w:rPr>
          <w:color w:val="231F1F"/>
          <w:w w:val="105"/>
        </w:rPr>
        <w:t> no</w:t>
      </w:r>
      <w:r>
        <w:rPr>
          <w:color w:val="231F1F"/>
          <w:w w:val="105"/>
        </w:rPr>
        <w:t> rasuradas</w:t>
      </w:r>
      <w:r>
        <w:rPr>
          <w:color w:val="231F1F"/>
          <w:w w:val="105"/>
        </w:rPr>
        <w:t> con</w:t>
      </w:r>
      <w:r>
        <w:rPr>
          <w:color w:val="231F1F"/>
          <w:w w:val="105"/>
        </w:rPr>
        <w:t> respecto</w:t>
      </w:r>
      <w:r>
        <w:rPr>
          <w:color w:val="231F1F"/>
          <w:w w:val="105"/>
        </w:rPr>
        <w:t> a</w:t>
      </w:r>
      <w:r>
        <w:rPr>
          <w:color w:val="231F1F"/>
          <w:w w:val="105"/>
        </w:rPr>
        <w:t> la</w:t>
      </w:r>
      <w:r>
        <w:rPr>
          <w:color w:val="231F1F"/>
          <w:w w:val="105"/>
        </w:rPr>
        <w:t> morbilidad</w:t>
      </w:r>
      <w:r>
        <w:rPr>
          <w:color w:val="231F1F"/>
          <w:spacing w:val="80"/>
          <w:w w:val="105"/>
        </w:rPr>
        <w:t>  </w:t>
      </w:r>
      <w:r>
        <w:rPr>
          <w:rFonts w:ascii="Arial MT" w:hAnsi="Arial MT"/>
          <w:color w:val="231F1F"/>
          <w:w w:val="105"/>
          <w:position w:val="4"/>
          <w:sz w:val="18"/>
        </w:rPr>
        <w:t>ECAs</w:t>
      </w:r>
      <w:r>
        <w:rPr>
          <w:rFonts w:ascii="Arial MT" w:hAnsi="Arial MT"/>
          <w:color w:val="231F1F"/>
          <w:spacing w:val="40"/>
          <w:w w:val="105"/>
          <w:position w:val="4"/>
          <w:sz w:val="18"/>
        </w:rPr>
        <w:t> </w:t>
      </w:r>
      <w:r>
        <w:rPr>
          <w:color w:val="231F1F"/>
          <w:w w:val="105"/>
        </w:rPr>
        <w:t>febril materna: OR 1,26 [IC 95% 0,75 a 2,12].</w:t>
      </w:r>
      <w:r>
        <w:rPr>
          <w:color w:val="231F1F"/>
        </w:rPr>
        <w:tab/>
      </w:r>
      <w:r>
        <w:rPr>
          <w:rFonts w:ascii="Arial MT" w:hAnsi="Arial MT"/>
          <w:color w:val="231F1F"/>
          <w:spacing w:val="-6"/>
          <w:w w:val="105"/>
          <w:position w:val="8"/>
          <w:sz w:val="18"/>
        </w:rPr>
        <w:t>1+</w:t>
      </w:r>
    </w:p>
    <w:p>
      <w:pPr>
        <w:pStyle w:val="BodyText"/>
        <w:spacing w:before="101"/>
        <w:ind w:left="736"/>
        <w:jc w:val="both"/>
        <w:rPr>
          <w:rFonts w:ascii="Arial MT" w:hAnsi="Arial MT"/>
          <w:sz w:val="18"/>
        </w:rPr>
      </w:pPr>
      <w:r>
        <w:rPr>
          <w:color w:val="231F1F"/>
          <w:w w:val="105"/>
        </w:rPr>
        <w:t>En</w:t>
      </w:r>
      <w:r>
        <w:rPr>
          <w:color w:val="231F1F"/>
          <w:spacing w:val="-6"/>
          <w:w w:val="105"/>
        </w:rPr>
        <w:t> </w:t>
      </w:r>
      <w:r>
        <w:rPr>
          <w:color w:val="231F1F"/>
          <w:w w:val="105"/>
        </w:rPr>
        <w:t>el</w:t>
      </w:r>
      <w:r>
        <w:rPr>
          <w:color w:val="231F1F"/>
          <w:spacing w:val="-6"/>
          <w:w w:val="105"/>
        </w:rPr>
        <w:t> </w:t>
      </w:r>
      <w:r>
        <w:rPr>
          <w:color w:val="231F1F"/>
          <w:w w:val="105"/>
        </w:rPr>
        <w:t>ensayo</w:t>
      </w:r>
      <w:r>
        <w:rPr>
          <w:color w:val="231F1F"/>
          <w:spacing w:val="-6"/>
          <w:w w:val="105"/>
        </w:rPr>
        <w:t> </w:t>
      </w:r>
      <w:r>
        <w:rPr>
          <w:color w:val="231F1F"/>
          <w:w w:val="105"/>
        </w:rPr>
        <w:t>más</w:t>
      </w:r>
      <w:r>
        <w:rPr>
          <w:color w:val="231F1F"/>
          <w:spacing w:val="-4"/>
          <w:w w:val="105"/>
        </w:rPr>
        <w:t> </w:t>
      </w:r>
      <w:r>
        <w:rPr>
          <w:color w:val="231F1F"/>
          <w:w w:val="105"/>
        </w:rPr>
        <w:t>pequeño</w:t>
      </w:r>
      <w:r>
        <w:rPr>
          <w:color w:val="231F1F"/>
          <w:spacing w:val="-7"/>
          <w:w w:val="105"/>
        </w:rPr>
        <w:t> </w:t>
      </w:r>
      <w:r>
        <w:rPr>
          <w:color w:val="231F1F"/>
          <w:w w:val="105"/>
        </w:rPr>
        <w:t>(con</w:t>
      </w:r>
      <w:r>
        <w:rPr>
          <w:color w:val="231F1F"/>
          <w:spacing w:val="-4"/>
          <w:w w:val="105"/>
        </w:rPr>
        <w:t> </w:t>
      </w:r>
      <w:r>
        <w:rPr>
          <w:color w:val="231F1F"/>
          <w:w w:val="105"/>
        </w:rPr>
        <w:t>150</w:t>
      </w:r>
      <w:r>
        <w:rPr>
          <w:color w:val="231F1F"/>
          <w:spacing w:val="-6"/>
          <w:w w:val="105"/>
        </w:rPr>
        <w:t> </w:t>
      </w:r>
      <w:r>
        <w:rPr>
          <w:color w:val="231F1F"/>
          <w:w w:val="105"/>
        </w:rPr>
        <w:t>mujeres)</w:t>
      </w:r>
      <w:r>
        <w:rPr>
          <w:color w:val="231F1F"/>
          <w:spacing w:val="-5"/>
          <w:w w:val="105"/>
        </w:rPr>
        <w:t> </w:t>
      </w:r>
      <w:r>
        <w:rPr>
          <w:color w:val="231F1F"/>
          <w:w w:val="105"/>
        </w:rPr>
        <w:t>las</w:t>
      </w:r>
      <w:r>
        <w:rPr>
          <w:color w:val="231F1F"/>
          <w:spacing w:val="-7"/>
          <w:w w:val="105"/>
        </w:rPr>
        <w:t> </w:t>
      </w:r>
      <w:r>
        <w:rPr>
          <w:color w:val="231F1F"/>
          <w:w w:val="105"/>
        </w:rPr>
        <w:t>que</w:t>
      </w:r>
      <w:r>
        <w:rPr>
          <w:color w:val="231F1F"/>
          <w:spacing w:val="-5"/>
          <w:w w:val="105"/>
        </w:rPr>
        <w:t> </w:t>
      </w:r>
      <w:r>
        <w:rPr>
          <w:color w:val="231F1F"/>
          <w:w w:val="105"/>
        </w:rPr>
        <w:t>no</w:t>
      </w:r>
      <w:r>
        <w:rPr>
          <w:color w:val="231F1F"/>
          <w:spacing w:val="-6"/>
          <w:w w:val="105"/>
        </w:rPr>
        <w:t> </w:t>
      </w:r>
      <w:r>
        <w:rPr>
          <w:color w:val="231F1F"/>
          <w:w w:val="105"/>
        </w:rPr>
        <w:t>fueron</w:t>
      </w:r>
      <w:r>
        <w:rPr>
          <w:color w:val="231F1F"/>
          <w:spacing w:val="-4"/>
          <w:w w:val="105"/>
        </w:rPr>
        <w:t> </w:t>
      </w:r>
      <w:r>
        <w:rPr>
          <w:color w:val="231F1F"/>
          <w:w w:val="105"/>
        </w:rPr>
        <w:t>rasuradas</w:t>
      </w:r>
      <w:r>
        <w:rPr>
          <w:color w:val="231F1F"/>
          <w:spacing w:val="75"/>
          <w:w w:val="150"/>
        </w:rPr>
        <w:t>   </w:t>
      </w:r>
      <w:r>
        <w:rPr>
          <w:rFonts w:ascii="Arial MT" w:hAnsi="Arial MT"/>
          <w:color w:val="231F1F"/>
          <w:spacing w:val="-5"/>
          <w:w w:val="105"/>
          <w:sz w:val="18"/>
        </w:rPr>
        <w:t>ECA</w:t>
      </w:r>
    </w:p>
    <w:p>
      <w:pPr>
        <w:pStyle w:val="BodyText"/>
        <w:tabs>
          <w:tab w:pos="8133" w:val="left" w:leader="none"/>
        </w:tabs>
        <w:spacing w:before="27"/>
        <w:ind w:left="283" w:right="632"/>
        <w:jc w:val="both"/>
      </w:pPr>
      <w:r>
        <w:rPr>
          <w:color w:val="231F1F"/>
          <w:w w:val="105"/>
        </w:rPr>
        <w:t>presentaron una menor colonización bacteriana Gram negativa, en compara-</w:t>
      </w:r>
      <w:r>
        <w:rPr>
          <w:color w:val="231F1F"/>
        </w:rPr>
        <w:tab/>
      </w:r>
      <w:r>
        <w:rPr>
          <w:rFonts w:ascii="Arial MT" w:hAnsi="Arial MT"/>
          <w:color w:val="231F1F"/>
          <w:spacing w:val="-10"/>
          <w:w w:val="105"/>
          <w:position w:val="4"/>
          <w:sz w:val="18"/>
        </w:rPr>
        <w:t>1- </w:t>
      </w:r>
      <w:r>
        <w:rPr>
          <w:color w:val="231F1F"/>
          <w:w w:val="105"/>
        </w:rPr>
        <w:t>ción con las mujeres que se habían rasurado: OR 0,43; [IC 95%: 0,20 a 0,92].</w:t>
      </w:r>
    </w:p>
    <w:p>
      <w:pPr>
        <w:pStyle w:val="BodyText"/>
        <w:spacing w:before="22"/>
        <w:ind w:left="283"/>
        <w:jc w:val="both"/>
      </w:pPr>
      <w:r>
        <w:rPr>
          <w:color w:val="231F1F"/>
        </w:rPr>
        <w:t>Sin</w:t>
      </w:r>
      <w:r>
        <w:rPr>
          <w:color w:val="231F1F"/>
          <w:spacing w:val="26"/>
        </w:rPr>
        <w:t> </w:t>
      </w:r>
      <w:r>
        <w:rPr>
          <w:color w:val="231F1F"/>
        </w:rPr>
        <w:t>embargo,</w:t>
      </w:r>
      <w:r>
        <w:rPr>
          <w:color w:val="231F1F"/>
          <w:spacing w:val="28"/>
        </w:rPr>
        <w:t> </w:t>
      </w:r>
      <w:r>
        <w:rPr>
          <w:color w:val="231F1F"/>
        </w:rPr>
        <w:t>la</w:t>
      </w:r>
      <w:r>
        <w:rPr>
          <w:color w:val="231F1F"/>
          <w:spacing w:val="27"/>
        </w:rPr>
        <w:t> </w:t>
      </w:r>
      <w:r>
        <w:rPr>
          <w:color w:val="231F1F"/>
        </w:rPr>
        <w:t>importancia</w:t>
      </w:r>
      <w:r>
        <w:rPr>
          <w:color w:val="231F1F"/>
          <w:spacing w:val="30"/>
        </w:rPr>
        <w:t> </w:t>
      </w:r>
      <w:r>
        <w:rPr>
          <w:color w:val="231F1F"/>
        </w:rPr>
        <w:t>clínica</w:t>
      </w:r>
      <w:r>
        <w:rPr>
          <w:color w:val="231F1F"/>
          <w:spacing w:val="26"/>
        </w:rPr>
        <w:t> </w:t>
      </w:r>
      <w:r>
        <w:rPr>
          <w:color w:val="231F1F"/>
        </w:rPr>
        <w:t>de</w:t>
      </w:r>
      <w:r>
        <w:rPr>
          <w:color w:val="231F1F"/>
          <w:spacing w:val="29"/>
        </w:rPr>
        <w:t> </w:t>
      </w:r>
      <w:r>
        <w:rPr>
          <w:color w:val="231F1F"/>
        </w:rPr>
        <w:t>esta</w:t>
      </w:r>
      <w:r>
        <w:rPr>
          <w:color w:val="231F1F"/>
          <w:spacing w:val="26"/>
        </w:rPr>
        <w:t> </w:t>
      </w:r>
      <w:r>
        <w:rPr>
          <w:color w:val="231F1F"/>
        </w:rPr>
        <w:t>diferencia</w:t>
      </w:r>
      <w:r>
        <w:rPr>
          <w:color w:val="231F1F"/>
          <w:spacing w:val="28"/>
        </w:rPr>
        <w:t> </w:t>
      </w:r>
      <w:r>
        <w:rPr>
          <w:color w:val="231F1F"/>
        </w:rPr>
        <w:t>es</w:t>
      </w:r>
      <w:r>
        <w:rPr>
          <w:color w:val="231F1F"/>
          <w:spacing w:val="29"/>
        </w:rPr>
        <w:t> </w:t>
      </w:r>
      <w:r>
        <w:rPr>
          <w:color w:val="231F1F"/>
          <w:spacing w:val="-2"/>
        </w:rPr>
        <w:t>incierta.</w:t>
      </w:r>
    </w:p>
    <w:p>
      <w:pPr>
        <w:pStyle w:val="BodyText"/>
        <w:spacing w:after="0"/>
        <w:jc w:val="both"/>
        <w:sectPr>
          <w:pgSz w:w="11900" w:h="16840"/>
          <w:pgMar w:header="0" w:footer="622" w:top="1560" w:bottom="820" w:left="1417" w:right="1559"/>
        </w:sectPr>
      </w:pPr>
    </w:p>
    <w:p>
      <w:pPr>
        <w:pStyle w:val="BodyText"/>
        <w:spacing w:line="252" w:lineRule="auto" w:before="73"/>
        <w:ind w:left="283" w:right="1367" w:firstLine="453"/>
        <w:jc w:val="both"/>
      </w:pPr>
      <w:r>
        <w:rPr>
          <w:color w:val="231F1F"/>
          <w:w w:val="110"/>
        </w:rPr>
        <w:t>En</w:t>
      </w:r>
      <w:r>
        <w:rPr>
          <w:color w:val="231F1F"/>
          <w:w w:val="110"/>
        </w:rPr>
        <w:t> este</w:t>
      </w:r>
      <w:r>
        <w:rPr>
          <w:color w:val="231F1F"/>
          <w:w w:val="110"/>
        </w:rPr>
        <w:t> mismo</w:t>
      </w:r>
      <w:r>
        <w:rPr>
          <w:color w:val="231F1F"/>
          <w:w w:val="110"/>
        </w:rPr>
        <w:t> ensayo,</w:t>
      </w:r>
      <w:r>
        <w:rPr>
          <w:color w:val="231F1F"/>
          <w:w w:val="110"/>
        </w:rPr>
        <w:t> también</w:t>
      </w:r>
      <w:r>
        <w:rPr>
          <w:color w:val="231F1F"/>
          <w:w w:val="110"/>
        </w:rPr>
        <w:t> se</w:t>
      </w:r>
      <w:r>
        <w:rPr>
          <w:color w:val="231F1F"/>
          <w:w w:val="110"/>
        </w:rPr>
        <w:t> describen</w:t>
      </w:r>
      <w:r>
        <w:rPr>
          <w:color w:val="231F1F"/>
          <w:w w:val="110"/>
        </w:rPr>
        <w:t> los</w:t>
      </w:r>
      <w:r>
        <w:rPr>
          <w:color w:val="231F1F"/>
          <w:w w:val="110"/>
        </w:rPr>
        <w:t> efectos</w:t>
      </w:r>
      <w:r>
        <w:rPr>
          <w:color w:val="231F1F"/>
          <w:w w:val="110"/>
        </w:rPr>
        <w:t> secundarios </w:t>
      </w:r>
      <w:r>
        <w:rPr>
          <w:color w:val="231F1F"/>
        </w:rPr>
        <w:t>experimentados por las mujeres rasuradas: irritación, enrojecimiento, rasguños </w:t>
      </w:r>
      <w:r>
        <w:rPr>
          <w:color w:val="231F1F"/>
          <w:w w:val="110"/>
        </w:rPr>
        <w:t>superficiales</w:t>
      </w:r>
      <w:r>
        <w:rPr>
          <w:color w:val="231F1F"/>
          <w:spacing w:val="-10"/>
          <w:w w:val="110"/>
        </w:rPr>
        <w:t> </w:t>
      </w:r>
      <w:r>
        <w:rPr>
          <w:color w:val="231F1F"/>
          <w:w w:val="110"/>
        </w:rPr>
        <w:t>múltiples</w:t>
      </w:r>
      <w:r>
        <w:rPr>
          <w:color w:val="231F1F"/>
          <w:spacing w:val="-9"/>
          <w:w w:val="110"/>
        </w:rPr>
        <w:t> </w:t>
      </w:r>
      <w:r>
        <w:rPr>
          <w:color w:val="231F1F"/>
          <w:w w:val="110"/>
        </w:rPr>
        <w:t>y</w:t>
      </w:r>
      <w:r>
        <w:rPr>
          <w:color w:val="231F1F"/>
          <w:spacing w:val="-8"/>
          <w:w w:val="110"/>
        </w:rPr>
        <w:t> </w:t>
      </w:r>
      <w:r>
        <w:rPr>
          <w:color w:val="231F1F"/>
          <w:w w:val="110"/>
        </w:rPr>
        <w:t>ardor</w:t>
      </w:r>
      <w:r>
        <w:rPr>
          <w:color w:val="231F1F"/>
          <w:spacing w:val="-8"/>
          <w:w w:val="110"/>
        </w:rPr>
        <w:t> </w:t>
      </w:r>
      <w:r>
        <w:rPr>
          <w:color w:val="231F1F"/>
          <w:w w:val="110"/>
        </w:rPr>
        <w:t>y</w:t>
      </w:r>
      <w:r>
        <w:rPr>
          <w:color w:val="231F1F"/>
          <w:spacing w:val="-8"/>
          <w:w w:val="110"/>
        </w:rPr>
        <w:t> </w:t>
      </w:r>
      <w:r>
        <w:rPr>
          <w:color w:val="231F1F"/>
          <w:w w:val="110"/>
        </w:rPr>
        <w:t>prurito</w:t>
      </w:r>
      <w:r>
        <w:rPr>
          <w:color w:val="231F1F"/>
          <w:spacing w:val="-8"/>
          <w:w w:val="110"/>
        </w:rPr>
        <w:t> </w:t>
      </w:r>
      <w:r>
        <w:rPr>
          <w:color w:val="231F1F"/>
          <w:w w:val="110"/>
        </w:rPr>
        <w:t>vulvar.</w:t>
      </w:r>
      <w:r>
        <w:rPr>
          <w:color w:val="231F1F"/>
          <w:spacing w:val="-9"/>
          <w:w w:val="110"/>
        </w:rPr>
        <w:t> </w:t>
      </w:r>
      <w:r>
        <w:rPr>
          <w:color w:val="231F1F"/>
          <w:w w:val="110"/>
        </w:rPr>
        <w:t>Sin</w:t>
      </w:r>
      <w:r>
        <w:rPr>
          <w:color w:val="231F1F"/>
          <w:spacing w:val="-8"/>
          <w:w w:val="110"/>
        </w:rPr>
        <w:t> </w:t>
      </w:r>
      <w:r>
        <w:rPr>
          <w:color w:val="231F1F"/>
          <w:w w:val="110"/>
        </w:rPr>
        <w:t>embargo,</w:t>
      </w:r>
      <w:r>
        <w:rPr>
          <w:color w:val="231F1F"/>
          <w:spacing w:val="-9"/>
          <w:w w:val="110"/>
        </w:rPr>
        <w:t> </w:t>
      </w:r>
      <w:r>
        <w:rPr>
          <w:color w:val="231F1F"/>
          <w:w w:val="110"/>
        </w:rPr>
        <w:t>no</w:t>
      </w:r>
      <w:r>
        <w:rPr>
          <w:color w:val="231F1F"/>
          <w:spacing w:val="-8"/>
          <w:w w:val="110"/>
        </w:rPr>
        <w:t> </w:t>
      </w:r>
      <w:r>
        <w:rPr>
          <w:color w:val="231F1F"/>
          <w:w w:val="110"/>
        </w:rPr>
        <w:t>se</w:t>
      </w:r>
      <w:r>
        <w:rPr>
          <w:color w:val="231F1F"/>
          <w:spacing w:val="-8"/>
          <w:w w:val="110"/>
        </w:rPr>
        <w:t> </w:t>
      </w:r>
      <w:r>
        <w:rPr>
          <w:color w:val="231F1F"/>
          <w:w w:val="110"/>
        </w:rPr>
        <w:t>informa de</w:t>
      </w:r>
      <w:r>
        <w:rPr>
          <w:color w:val="231F1F"/>
          <w:spacing w:val="-1"/>
          <w:w w:val="110"/>
        </w:rPr>
        <w:t> </w:t>
      </w:r>
      <w:r>
        <w:rPr>
          <w:color w:val="231F1F"/>
          <w:w w:val="110"/>
        </w:rPr>
        <w:t>la</w:t>
      </w:r>
      <w:r>
        <w:rPr>
          <w:color w:val="231F1F"/>
          <w:spacing w:val="-1"/>
          <w:w w:val="110"/>
        </w:rPr>
        <w:t> </w:t>
      </w:r>
      <w:r>
        <w:rPr>
          <w:color w:val="231F1F"/>
          <w:w w:val="110"/>
        </w:rPr>
        <w:t>cantidad</w:t>
      </w:r>
      <w:r>
        <w:rPr>
          <w:color w:val="231F1F"/>
          <w:spacing w:val="-1"/>
          <w:w w:val="110"/>
        </w:rPr>
        <w:t> </w:t>
      </w:r>
      <w:r>
        <w:rPr>
          <w:color w:val="231F1F"/>
          <w:w w:val="110"/>
        </w:rPr>
        <w:t>de</w:t>
      </w:r>
      <w:r>
        <w:rPr>
          <w:color w:val="231F1F"/>
          <w:spacing w:val="-1"/>
          <w:w w:val="110"/>
        </w:rPr>
        <w:t> </w:t>
      </w:r>
      <w:r>
        <w:rPr>
          <w:color w:val="231F1F"/>
          <w:w w:val="110"/>
        </w:rPr>
        <w:t>efectos</w:t>
      </w:r>
      <w:r>
        <w:rPr>
          <w:color w:val="231F1F"/>
          <w:spacing w:val="-1"/>
          <w:w w:val="110"/>
        </w:rPr>
        <w:t> </w:t>
      </w:r>
      <w:r>
        <w:rPr>
          <w:color w:val="231F1F"/>
          <w:w w:val="110"/>
        </w:rPr>
        <w:t>secundarios</w:t>
      </w:r>
      <w:r>
        <w:rPr>
          <w:color w:val="231F1F"/>
          <w:spacing w:val="-2"/>
          <w:w w:val="110"/>
        </w:rPr>
        <w:t> </w:t>
      </w:r>
      <w:r>
        <w:rPr>
          <w:color w:val="231F1F"/>
          <w:w w:val="110"/>
        </w:rPr>
        <w:t>en</w:t>
      </w:r>
      <w:r>
        <w:rPr>
          <w:color w:val="231F1F"/>
          <w:spacing w:val="-1"/>
          <w:w w:val="110"/>
        </w:rPr>
        <w:t> </w:t>
      </w:r>
      <w:r>
        <w:rPr>
          <w:color w:val="231F1F"/>
          <w:w w:val="110"/>
        </w:rPr>
        <w:t>las</w:t>
      </w:r>
      <w:r>
        <w:rPr>
          <w:color w:val="231F1F"/>
          <w:spacing w:val="-1"/>
          <w:w w:val="110"/>
        </w:rPr>
        <w:t> </w:t>
      </w:r>
      <w:r>
        <w:rPr>
          <w:color w:val="231F1F"/>
          <w:w w:val="110"/>
        </w:rPr>
        <w:t>mujeres</w:t>
      </w:r>
      <w:r>
        <w:rPr>
          <w:color w:val="231F1F"/>
          <w:spacing w:val="-1"/>
          <w:w w:val="110"/>
        </w:rPr>
        <w:t> </w:t>
      </w:r>
      <w:r>
        <w:rPr>
          <w:color w:val="231F1F"/>
          <w:w w:val="110"/>
        </w:rPr>
        <w:t>del</w:t>
      </w:r>
      <w:r>
        <w:rPr>
          <w:color w:val="231F1F"/>
          <w:spacing w:val="-1"/>
          <w:w w:val="110"/>
        </w:rPr>
        <w:t> </w:t>
      </w:r>
      <w:r>
        <w:rPr>
          <w:color w:val="231F1F"/>
          <w:w w:val="110"/>
        </w:rPr>
        <w:t>grupo</w:t>
      </w:r>
      <w:r>
        <w:rPr>
          <w:color w:val="231F1F"/>
          <w:spacing w:val="-1"/>
          <w:w w:val="110"/>
        </w:rPr>
        <w:t> </w:t>
      </w:r>
      <w:r>
        <w:rPr>
          <w:color w:val="231F1F"/>
          <w:w w:val="110"/>
        </w:rPr>
        <w:t>sin</w:t>
      </w:r>
      <w:r>
        <w:rPr>
          <w:color w:val="231F1F"/>
          <w:spacing w:val="-1"/>
          <w:w w:val="110"/>
        </w:rPr>
        <w:t> </w:t>
      </w:r>
      <w:r>
        <w:rPr>
          <w:color w:val="231F1F"/>
          <w:w w:val="110"/>
        </w:rPr>
        <w:t>rasurado por lo que esta información no se ha podido incluir en el análisis.</w:t>
      </w:r>
    </w:p>
    <w:p>
      <w:pPr>
        <w:pStyle w:val="BodyText"/>
        <w:spacing w:line="244" w:lineRule="auto" w:before="136"/>
        <w:ind w:left="283" w:right="1367" w:firstLine="453"/>
        <w:jc w:val="both"/>
      </w:pPr>
      <w:r>
        <w:rPr>
          <w:color w:val="231F1F"/>
          <w:w w:val="105"/>
        </w:rPr>
        <w:t>El estudio concluye que las pruebas hasta la fecha no apoyan el rasurado perineal sistemático para mujeres antes del parto.</w:t>
      </w:r>
    </w:p>
    <w:p>
      <w:pPr>
        <w:pStyle w:val="BodyText"/>
        <w:spacing w:before="17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6" w:lineRule="auto" w:before="39"/>
              <w:ind w:right="156"/>
              <w:jc w:val="both"/>
              <w:rPr>
                <w:sz w:val="22"/>
              </w:rPr>
            </w:pPr>
            <w:r>
              <w:rPr>
                <w:color w:val="231F1F"/>
                <w:w w:val="105"/>
                <w:sz w:val="22"/>
              </w:rPr>
              <w:t>No</w:t>
            </w:r>
            <w:r>
              <w:rPr>
                <w:color w:val="231F1F"/>
                <w:w w:val="105"/>
                <w:sz w:val="22"/>
              </w:rPr>
              <w:t> existen</w:t>
            </w:r>
            <w:r>
              <w:rPr>
                <w:color w:val="231F1F"/>
                <w:w w:val="105"/>
                <w:sz w:val="22"/>
              </w:rPr>
              <w:t> pruebas</w:t>
            </w:r>
            <w:r>
              <w:rPr>
                <w:color w:val="231F1F"/>
                <w:w w:val="105"/>
                <w:sz w:val="22"/>
              </w:rPr>
              <w:t> suficientes</w:t>
            </w:r>
            <w:r>
              <w:rPr>
                <w:color w:val="231F1F"/>
                <w:w w:val="105"/>
                <w:sz w:val="22"/>
              </w:rPr>
              <w:t> sobre</w:t>
            </w:r>
            <w:r>
              <w:rPr>
                <w:color w:val="231F1F"/>
                <w:w w:val="105"/>
                <w:sz w:val="22"/>
              </w:rPr>
              <w:t> la</w:t>
            </w:r>
            <w:r>
              <w:rPr>
                <w:color w:val="231F1F"/>
                <w:w w:val="105"/>
                <w:sz w:val="22"/>
              </w:rPr>
              <w:t> efectividad</w:t>
            </w:r>
            <w:r>
              <w:rPr>
                <w:color w:val="231F1F"/>
                <w:w w:val="105"/>
                <w:sz w:val="22"/>
              </w:rPr>
              <w:t> del</w:t>
            </w:r>
            <w:r>
              <w:rPr>
                <w:color w:val="231F1F"/>
                <w:w w:val="105"/>
                <w:sz w:val="22"/>
              </w:rPr>
              <w:t> rasurado</w:t>
            </w:r>
            <w:r>
              <w:rPr>
                <w:color w:val="231F1F"/>
                <w:w w:val="105"/>
                <w:sz w:val="22"/>
              </w:rPr>
              <w:t> perineal sistemático</w:t>
            </w:r>
            <w:r>
              <w:rPr>
                <w:color w:val="231F1F"/>
                <w:w w:val="105"/>
                <w:sz w:val="22"/>
              </w:rPr>
              <w:t> en</w:t>
            </w:r>
            <w:r>
              <w:rPr>
                <w:color w:val="231F1F"/>
                <w:w w:val="105"/>
                <w:sz w:val="22"/>
              </w:rPr>
              <w:t> el</w:t>
            </w:r>
            <w:r>
              <w:rPr>
                <w:color w:val="231F1F"/>
                <w:w w:val="105"/>
                <w:sz w:val="22"/>
              </w:rPr>
              <w:t> ingreso</w:t>
            </w:r>
            <w:r>
              <w:rPr>
                <w:color w:val="231F1F"/>
                <w:w w:val="105"/>
                <w:sz w:val="22"/>
              </w:rPr>
              <w:t> a</w:t>
            </w:r>
            <w:r>
              <w:rPr>
                <w:color w:val="231F1F"/>
                <w:w w:val="105"/>
                <w:sz w:val="22"/>
              </w:rPr>
              <w:t> la</w:t>
            </w:r>
            <w:r>
              <w:rPr>
                <w:color w:val="231F1F"/>
                <w:w w:val="105"/>
                <w:sz w:val="22"/>
              </w:rPr>
              <w:t> sala</w:t>
            </w:r>
            <w:r>
              <w:rPr>
                <w:color w:val="231F1F"/>
                <w:w w:val="105"/>
                <w:sz w:val="22"/>
              </w:rPr>
              <w:t> de</w:t>
            </w:r>
            <w:r>
              <w:rPr>
                <w:color w:val="231F1F"/>
                <w:w w:val="105"/>
                <w:sz w:val="22"/>
              </w:rPr>
              <w:t> partos</w:t>
            </w:r>
            <w:r>
              <w:rPr>
                <w:color w:val="231F1F"/>
                <w:w w:val="105"/>
                <w:sz w:val="22"/>
              </w:rPr>
              <w:t> en</w:t>
            </w:r>
            <w:r>
              <w:rPr>
                <w:color w:val="231F1F"/>
                <w:w w:val="105"/>
                <w:sz w:val="22"/>
              </w:rPr>
              <w:t> los</w:t>
            </w:r>
            <w:r>
              <w:rPr>
                <w:color w:val="231F1F"/>
                <w:w w:val="105"/>
                <w:sz w:val="22"/>
              </w:rPr>
              <w:t> resultados</w:t>
            </w:r>
            <w:r>
              <w:rPr>
                <w:color w:val="231F1F"/>
                <w:w w:val="105"/>
                <w:sz w:val="22"/>
              </w:rPr>
              <w:t> neonatales, aunque se observó una menor colonización bacteriana Gram negativa en las mujeres en las que no se realizó el rasurado (45).</w:t>
            </w:r>
          </w:p>
        </w:tc>
        <w:tc>
          <w:tcPr>
            <w:tcW w:w="1133" w:type="dxa"/>
          </w:tcPr>
          <w:p>
            <w:pPr>
              <w:pStyle w:val="TableParagraph"/>
              <w:spacing w:before="223"/>
              <w:ind w:left="0"/>
              <w:rPr>
                <w:rFonts w:ascii="Arial MT"/>
                <w:sz w:val="22"/>
              </w:rPr>
            </w:pPr>
          </w:p>
          <w:p>
            <w:pPr>
              <w:pStyle w:val="TableParagraph"/>
              <w:ind w:left="49" w:right="11"/>
              <w:jc w:val="center"/>
              <w:rPr>
                <w:sz w:val="22"/>
              </w:rPr>
            </w:pPr>
            <w:r>
              <w:rPr>
                <w:color w:val="231F1F"/>
                <w:spacing w:val="-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0"/>
                <w:sz w:val="22"/>
              </w:rPr>
              <w:t>√</w:t>
            </w:r>
          </w:p>
        </w:tc>
        <w:tc>
          <w:tcPr>
            <w:tcW w:w="8050" w:type="dxa"/>
          </w:tcPr>
          <w:p>
            <w:pPr>
              <w:pStyle w:val="TableParagraph"/>
              <w:spacing w:before="49"/>
              <w:rPr>
                <w:sz w:val="22"/>
              </w:rPr>
            </w:pPr>
            <w:r>
              <w:rPr>
                <w:color w:val="231F1F"/>
                <w:sz w:val="22"/>
              </w:rPr>
              <w:t>No</w:t>
            </w:r>
            <w:r>
              <w:rPr>
                <w:color w:val="231F1F"/>
                <w:spacing w:val="31"/>
                <w:sz w:val="22"/>
              </w:rPr>
              <w:t> </w:t>
            </w:r>
            <w:r>
              <w:rPr>
                <w:color w:val="231F1F"/>
                <w:sz w:val="22"/>
              </w:rPr>
              <w:t>se</w:t>
            </w:r>
            <w:r>
              <w:rPr>
                <w:color w:val="231F1F"/>
                <w:spacing w:val="36"/>
                <w:sz w:val="22"/>
              </w:rPr>
              <w:t> </w:t>
            </w:r>
            <w:r>
              <w:rPr>
                <w:color w:val="231F1F"/>
                <w:sz w:val="22"/>
              </w:rPr>
              <w:t>recomienda</w:t>
            </w:r>
            <w:r>
              <w:rPr>
                <w:color w:val="231F1F"/>
                <w:spacing w:val="38"/>
                <w:sz w:val="22"/>
              </w:rPr>
              <w:t> </w:t>
            </w:r>
            <w:r>
              <w:rPr>
                <w:color w:val="231F1F"/>
                <w:sz w:val="22"/>
              </w:rPr>
              <w:t>el</w:t>
            </w:r>
            <w:r>
              <w:rPr>
                <w:color w:val="231F1F"/>
                <w:spacing w:val="36"/>
                <w:sz w:val="22"/>
              </w:rPr>
              <w:t> </w:t>
            </w:r>
            <w:r>
              <w:rPr>
                <w:color w:val="231F1F"/>
                <w:sz w:val="22"/>
              </w:rPr>
              <w:t>rasurado</w:t>
            </w:r>
            <w:r>
              <w:rPr>
                <w:color w:val="231F1F"/>
                <w:spacing w:val="36"/>
                <w:sz w:val="22"/>
              </w:rPr>
              <w:t> </w:t>
            </w:r>
            <w:r>
              <w:rPr>
                <w:color w:val="231F1F"/>
                <w:sz w:val="22"/>
              </w:rPr>
              <w:t>perineal</w:t>
            </w:r>
            <w:r>
              <w:rPr>
                <w:color w:val="231F1F"/>
                <w:spacing w:val="34"/>
                <w:sz w:val="22"/>
              </w:rPr>
              <w:t> </w:t>
            </w:r>
            <w:r>
              <w:rPr>
                <w:color w:val="231F1F"/>
                <w:sz w:val="22"/>
              </w:rPr>
              <w:t>sistemático</w:t>
            </w:r>
            <w:r>
              <w:rPr>
                <w:color w:val="231F1F"/>
                <w:spacing w:val="37"/>
                <w:sz w:val="22"/>
              </w:rPr>
              <w:t> </w:t>
            </w:r>
            <w:r>
              <w:rPr>
                <w:color w:val="231F1F"/>
                <w:sz w:val="22"/>
              </w:rPr>
              <w:t>en</w:t>
            </w:r>
            <w:r>
              <w:rPr>
                <w:color w:val="231F1F"/>
                <w:spacing w:val="36"/>
                <w:sz w:val="22"/>
              </w:rPr>
              <w:t> </w:t>
            </w:r>
            <w:r>
              <w:rPr>
                <w:color w:val="231F1F"/>
                <w:sz w:val="22"/>
              </w:rPr>
              <w:t>mujeres</w:t>
            </w:r>
            <w:r>
              <w:rPr>
                <w:color w:val="231F1F"/>
                <w:spacing w:val="35"/>
                <w:sz w:val="22"/>
              </w:rPr>
              <w:t> </w:t>
            </w:r>
            <w:r>
              <w:rPr>
                <w:color w:val="231F1F"/>
                <w:sz w:val="22"/>
              </w:rPr>
              <w:t>en</w:t>
            </w:r>
            <w:r>
              <w:rPr>
                <w:color w:val="231F1F"/>
                <w:spacing w:val="37"/>
                <w:sz w:val="22"/>
              </w:rPr>
              <w:t> </w:t>
            </w:r>
            <w:r>
              <w:rPr>
                <w:color w:val="231F1F"/>
                <w:sz w:val="22"/>
              </w:rPr>
              <w:t>trabajo</w:t>
            </w:r>
            <w:r>
              <w:rPr>
                <w:color w:val="231F1F"/>
                <w:spacing w:val="36"/>
                <w:sz w:val="22"/>
              </w:rPr>
              <w:t> </w:t>
            </w:r>
            <w:r>
              <w:rPr>
                <w:color w:val="231F1F"/>
                <w:sz w:val="22"/>
              </w:rPr>
              <w:t>de</w:t>
            </w:r>
            <w:r>
              <w:rPr>
                <w:color w:val="231F1F"/>
                <w:spacing w:val="37"/>
                <w:sz w:val="22"/>
              </w:rPr>
              <w:t> </w:t>
            </w:r>
            <w:r>
              <w:rPr>
                <w:color w:val="231F1F"/>
                <w:spacing w:val="-2"/>
                <w:sz w:val="22"/>
              </w:rPr>
              <w:t>parto.</w:t>
            </w:r>
          </w:p>
        </w:tc>
      </w:tr>
    </w:tbl>
    <w:p>
      <w:pPr>
        <w:pStyle w:val="TableParagraph"/>
        <w:spacing w:after="0"/>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w w:val="110"/>
        </w:rPr>
        <w:t>Atención</w:t>
      </w:r>
      <w:r>
        <w:rPr>
          <w:color w:val="231F1F"/>
          <w:spacing w:val="-13"/>
          <w:w w:val="110"/>
        </w:rPr>
        <w:t> </w:t>
      </w:r>
      <w:r>
        <w:rPr>
          <w:color w:val="231F1F"/>
          <w:w w:val="110"/>
        </w:rPr>
        <w:t>una</w:t>
      </w:r>
      <w:r>
        <w:rPr>
          <w:color w:val="231F1F"/>
          <w:spacing w:val="-13"/>
          <w:w w:val="110"/>
        </w:rPr>
        <w:t> </w:t>
      </w:r>
      <w:r>
        <w:rPr>
          <w:color w:val="231F1F"/>
          <w:w w:val="110"/>
        </w:rPr>
        <w:t>a</w:t>
      </w:r>
      <w:r>
        <w:rPr>
          <w:color w:val="231F1F"/>
          <w:spacing w:val="-10"/>
          <w:w w:val="110"/>
        </w:rPr>
        <w:t> </w:t>
      </w:r>
      <w:r>
        <w:rPr>
          <w:color w:val="231F1F"/>
          <w:spacing w:val="-5"/>
          <w:w w:val="110"/>
        </w:rPr>
        <w:t>una</w:t>
      </w:r>
    </w:p>
    <w:p>
      <w:pPr>
        <w:pStyle w:val="BodyText"/>
        <w:spacing w:before="20"/>
        <w:rPr>
          <w:sz w:val="20"/>
        </w:rPr>
      </w:pPr>
      <w:r>
        <w:rPr>
          <w:sz w:val="20"/>
        </w:rPr>
        <mc:AlternateContent>
          <mc:Choice Requires="wps">
            <w:drawing>
              <wp:anchor distT="0" distB="0" distL="0" distR="0" allowOverlap="1" layoutInCell="1" locked="0" behindDoc="1" simplePos="0" relativeHeight="487602688">
                <wp:simplePos x="0" y="0"/>
                <wp:positionH relativeFrom="page">
                  <wp:posOffset>1082675</wp:posOffset>
                </wp:positionH>
                <wp:positionV relativeFrom="paragraph">
                  <wp:posOffset>177184</wp:posOffset>
                </wp:positionV>
                <wp:extent cx="5400040" cy="262255"/>
                <wp:effectExtent l="0" t="0" r="0" b="0"/>
                <wp:wrapTopAndBottom/>
                <wp:docPr id="63" name="Textbox 63"/>
                <wp:cNvGraphicFramePr>
                  <a:graphicFrameLocks/>
                </wp:cNvGraphicFramePr>
                <a:graphic>
                  <a:graphicData uri="http://schemas.microsoft.com/office/word/2010/wordprocessingShape">
                    <wps:wsp>
                      <wps:cNvPr id="63" name="Textbox 63"/>
                      <wps:cNvSpPr txBox="1"/>
                      <wps:spPr>
                        <a:xfrm>
                          <a:off x="0" y="0"/>
                          <a:ext cx="5400040" cy="262255"/>
                        </a:xfrm>
                        <a:prstGeom prst="rect">
                          <a:avLst/>
                        </a:prstGeom>
                        <a:ln w="6350">
                          <a:solidFill>
                            <a:srgbClr val="A30046"/>
                          </a:solidFill>
                          <a:prstDash val="solid"/>
                        </a:ln>
                      </wps:spPr>
                      <wps:txbx>
                        <w:txbxContent>
                          <w:p>
                            <w:pPr>
                              <w:pStyle w:val="BodyText"/>
                              <w:numPr>
                                <w:ilvl w:val="0"/>
                                <w:numId w:val="26"/>
                              </w:numPr>
                              <w:tabs>
                                <w:tab w:pos="322" w:val="left" w:leader="none"/>
                              </w:tabs>
                              <w:spacing w:line="240" w:lineRule="auto" w:before="46" w:after="0"/>
                              <w:ind w:left="322" w:right="0" w:hanging="218"/>
                              <w:jc w:val="left"/>
                            </w:pPr>
                            <w:r>
                              <w:rPr>
                                <w:color w:val="231F1F"/>
                                <w:w w:val="110"/>
                              </w:rPr>
                              <w:t>¿Cuál</w:t>
                            </w:r>
                            <w:r>
                              <w:rPr>
                                <w:color w:val="231F1F"/>
                                <w:spacing w:val="-15"/>
                                <w:w w:val="110"/>
                              </w:rPr>
                              <w:t> </w:t>
                            </w:r>
                            <w:r>
                              <w:rPr>
                                <w:color w:val="231F1F"/>
                                <w:w w:val="110"/>
                              </w:rPr>
                              <w:t>es</w:t>
                            </w:r>
                            <w:r>
                              <w:rPr>
                                <w:color w:val="231F1F"/>
                                <w:spacing w:val="-14"/>
                                <w:w w:val="110"/>
                              </w:rPr>
                              <w:t> </w:t>
                            </w:r>
                            <w:r>
                              <w:rPr>
                                <w:color w:val="231F1F"/>
                                <w:w w:val="110"/>
                              </w:rPr>
                              <w:t>la</w:t>
                            </w:r>
                            <w:r>
                              <w:rPr>
                                <w:color w:val="231F1F"/>
                                <w:spacing w:val="-12"/>
                                <w:w w:val="110"/>
                              </w:rPr>
                              <w:t> </w:t>
                            </w:r>
                            <w:r>
                              <w:rPr>
                                <w:color w:val="231F1F"/>
                                <w:w w:val="110"/>
                              </w:rPr>
                              <w:t>efectividad</w:t>
                            </w:r>
                            <w:r>
                              <w:rPr>
                                <w:color w:val="231F1F"/>
                                <w:spacing w:val="-15"/>
                                <w:w w:val="110"/>
                              </w:rPr>
                              <w:t> </w:t>
                            </w:r>
                            <w:r>
                              <w:rPr>
                                <w:color w:val="231F1F"/>
                                <w:w w:val="110"/>
                              </w:rPr>
                              <w:t>de</w:t>
                            </w:r>
                            <w:r>
                              <w:rPr>
                                <w:color w:val="231F1F"/>
                                <w:spacing w:val="-12"/>
                                <w:w w:val="110"/>
                              </w:rPr>
                              <w:t> </w:t>
                            </w:r>
                            <w:r>
                              <w:rPr>
                                <w:color w:val="231F1F"/>
                                <w:w w:val="110"/>
                              </w:rPr>
                              <w:t>la</w:t>
                            </w:r>
                            <w:r>
                              <w:rPr>
                                <w:color w:val="231F1F"/>
                                <w:spacing w:val="-14"/>
                                <w:w w:val="110"/>
                              </w:rPr>
                              <w:t> </w:t>
                            </w:r>
                            <w:r>
                              <w:rPr>
                                <w:color w:val="231F1F"/>
                                <w:w w:val="110"/>
                              </w:rPr>
                              <w:t>atención</w:t>
                            </w:r>
                            <w:r>
                              <w:rPr>
                                <w:color w:val="231F1F"/>
                                <w:spacing w:val="-14"/>
                                <w:w w:val="110"/>
                              </w:rPr>
                              <w:t> </w:t>
                            </w:r>
                            <w:r>
                              <w:rPr>
                                <w:color w:val="231F1F"/>
                                <w:w w:val="110"/>
                              </w:rPr>
                              <w:t>una</w:t>
                            </w:r>
                            <w:r>
                              <w:rPr>
                                <w:color w:val="231F1F"/>
                                <w:spacing w:val="-13"/>
                                <w:w w:val="110"/>
                              </w:rPr>
                              <w:t> </w:t>
                            </w:r>
                            <w:r>
                              <w:rPr>
                                <w:color w:val="231F1F"/>
                                <w:w w:val="110"/>
                              </w:rPr>
                              <w:t>a</w:t>
                            </w:r>
                            <w:r>
                              <w:rPr>
                                <w:color w:val="231F1F"/>
                                <w:spacing w:val="-14"/>
                                <w:w w:val="110"/>
                              </w:rPr>
                              <w:t> </w:t>
                            </w:r>
                            <w:r>
                              <w:rPr>
                                <w:color w:val="231F1F"/>
                                <w:w w:val="110"/>
                              </w:rPr>
                              <w:t>una</w:t>
                            </w:r>
                            <w:r>
                              <w:rPr>
                                <w:color w:val="231F1F"/>
                                <w:spacing w:val="-12"/>
                                <w:w w:val="110"/>
                              </w:rPr>
                              <w:t> </w:t>
                            </w:r>
                            <w:r>
                              <w:rPr>
                                <w:color w:val="231F1F"/>
                                <w:w w:val="110"/>
                              </w:rPr>
                              <w:t>durante</w:t>
                            </w:r>
                            <w:r>
                              <w:rPr>
                                <w:color w:val="231F1F"/>
                                <w:spacing w:val="-15"/>
                                <w:w w:val="110"/>
                              </w:rPr>
                              <w:t> </w:t>
                            </w:r>
                            <w:r>
                              <w:rPr>
                                <w:color w:val="231F1F"/>
                                <w:w w:val="110"/>
                              </w:rPr>
                              <w:t>el</w:t>
                            </w:r>
                            <w:r>
                              <w:rPr>
                                <w:color w:val="231F1F"/>
                                <w:spacing w:val="-12"/>
                                <w:w w:val="110"/>
                              </w:rPr>
                              <w:t> </w:t>
                            </w:r>
                            <w:r>
                              <w:rPr>
                                <w:color w:val="231F1F"/>
                                <w:spacing w:val="-2"/>
                                <w:w w:val="110"/>
                              </w:rPr>
                              <w:t>parto?</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713792;mso-wrap-distance-left:0;mso-wrap-distance-right:0" type="#_x0000_t202" id="docshape52" filled="false" stroked="true" strokeweight=".5pt" strokecolor="#a30046">
                <v:textbox inset="0,0,0,0">
                  <w:txbxContent>
                    <w:p>
                      <w:pPr>
                        <w:pStyle w:val="BodyText"/>
                        <w:numPr>
                          <w:ilvl w:val="0"/>
                          <w:numId w:val="26"/>
                        </w:numPr>
                        <w:tabs>
                          <w:tab w:pos="322" w:val="left" w:leader="none"/>
                        </w:tabs>
                        <w:spacing w:line="240" w:lineRule="auto" w:before="46" w:after="0"/>
                        <w:ind w:left="322" w:right="0" w:hanging="218"/>
                        <w:jc w:val="left"/>
                      </w:pPr>
                      <w:r>
                        <w:rPr>
                          <w:color w:val="231F1F"/>
                          <w:w w:val="110"/>
                        </w:rPr>
                        <w:t>¿Cuál</w:t>
                      </w:r>
                      <w:r>
                        <w:rPr>
                          <w:color w:val="231F1F"/>
                          <w:spacing w:val="-15"/>
                          <w:w w:val="110"/>
                        </w:rPr>
                        <w:t> </w:t>
                      </w:r>
                      <w:r>
                        <w:rPr>
                          <w:color w:val="231F1F"/>
                          <w:w w:val="110"/>
                        </w:rPr>
                        <w:t>es</w:t>
                      </w:r>
                      <w:r>
                        <w:rPr>
                          <w:color w:val="231F1F"/>
                          <w:spacing w:val="-14"/>
                          <w:w w:val="110"/>
                        </w:rPr>
                        <w:t> </w:t>
                      </w:r>
                      <w:r>
                        <w:rPr>
                          <w:color w:val="231F1F"/>
                          <w:w w:val="110"/>
                        </w:rPr>
                        <w:t>la</w:t>
                      </w:r>
                      <w:r>
                        <w:rPr>
                          <w:color w:val="231F1F"/>
                          <w:spacing w:val="-12"/>
                          <w:w w:val="110"/>
                        </w:rPr>
                        <w:t> </w:t>
                      </w:r>
                      <w:r>
                        <w:rPr>
                          <w:color w:val="231F1F"/>
                          <w:w w:val="110"/>
                        </w:rPr>
                        <w:t>efectividad</w:t>
                      </w:r>
                      <w:r>
                        <w:rPr>
                          <w:color w:val="231F1F"/>
                          <w:spacing w:val="-15"/>
                          <w:w w:val="110"/>
                        </w:rPr>
                        <w:t> </w:t>
                      </w:r>
                      <w:r>
                        <w:rPr>
                          <w:color w:val="231F1F"/>
                          <w:w w:val="110"/>
                        </w:rPr>
                        <w:t>de</w:t>
                      </w:r>
                      <w:r>
                        <w:rPr>
                          <w:color w:val="231F1F"/>
                          <w:spacing w:val="-12"/>
                          <w:w w:val="110"/>
                        </w:rPr>
                        <w:t> </w:t>
                      </w:r>
                      <w:r>
                        <w:rPr>
                          <w:color w:val="231F1F"/>
                          <w:w w:val="110"/>
                        </w:rPr>
                        <w:t>la</w:t>
                      </w:r>
                      <w:r>
                        <w:rPr>
                          <w:color w:val="231F1F"/>
                          <w:spacing w:val="-14"/>
                          <w:w w:val="110"/>
                        </w:rPr>
                        <w:t> </w:t>
                      </w:r>
                      <w:r>
                        <w:rPr>
                          <w:color w:val="231F1F"/>
                          <w:w w:val="110"/>
                        </w:rPr>
                        <w:t>atención</w:t>
                      </w:r>
                      <w:r>
                        <w:rPr>
                          <w:color w:val="231F1F"/>
                          <w:spacing w:val="-14"/>
                          <w:w w:val="110"/>
                        </w:rPr>
                        <w:t> </w:t>
                      </w:r>
                      <w:r>
                        <w:rPr>
                          <w:color w:val="231F1F"/>
                          <w:w w:val="110"/>
                        </w:rPr>
                        <w:t>una</w:t>
                      </w:r>
                      <w:r>
                        <w:rPr>
                          <w:color w:val="231F1F"/>
                          <w:spacing w:val="-13"/>
                          <w:w w:val="110"/>
                        </w:rPr>
                        <w:t> </w:t>
                      </w:r>
                      <w:r>
                        <w:rPr>
                          <w:color w:val="231F1F"/>
                          <w:w w:val="110"/>
                        </w:rPr>
                        <w:t>a</w:t>
                      </w:r>
                      <w:r>
                        <w:rPr>
                          <w:color w:val="231F1F"/>
                          <w:spacing w:val="-14"/>
                          <w:w w:val="110"/>
                        </w:rPr>
                        <w:t> </w:t>
                      </w:r>
                      <w:r>
                        <w:rPr>
                          <w:color w:val="231F1F"/>
                          <w:w w:val="110"/>
                        </w:rPr>
                        <w:t>una</w:t>
                      </w:r>
                      <w:r>
                        <w:rPr>
                          <w:color w:val="231F1F"/>
                          <w:spacing w:val="-12"/>
                          <w:w w:val="110"/>
                        </w:rPr>
                        <w:t> </w:t>
                      </w:r>
                      <w:r>
                        <w:rPr>
                          <w:color w:val="231F1F"/>
                          <w:w w:val="110"/>
                        </w:rPr>
                        <w:t>durante</w:t>
                      </w:r>
                      <w:r>
                        <w:rPr>
                          <w:color w:val="231F1F"/>
                          <w:spacing w:val="-15"/>
                          <w:w w:val="110"/>
                        </w:rPr>
                        <w:t> </w:t>
                      </w:r>
                      <w:r>
                        <w:rPr>
                          <w:color w:val="231F1F"/>
                          <w:w w:val="110"/>
                        </w:rPr>
                        <w:t>el</w:t>
                      </w:r>
                      <w:r>
                        <w:rPr>
                          <w:color w:val="231F1F"/>
                          <w:spacing w:val="-12"/>
                          <w:w w:val="110"/>
                        </w:rPr>
                        <w:t> </w:t>
                      </w:r>
                      <w:r>
                        <w:rPr>
                          <w:color w:val="231F1F"/>
                          <w:spacing w:val="-2"/>
                          <w:w w:val="110"/>
                        </w:rPr>
                        <w:t>parto?</w:t>
                      </w:r>
                    </w:p>
                  </w:txbxContent>
                </v:textbox>
                <v:stroke dashstyle="solid"/>
                <w10:wrap type="topAndBottom"/>
              </v:shape>
            </w:pict>
          </mc:Fallback>
        </mc:AlternateContent>
      </w:r>
    </w:p>
    <w:p>
      <w:pPr>
        <w:pStyle w:val="BodyText"/>
        <w:spacing w:line="252" w:lineRule="auto" w:before="271"/>
        <w:ind w:left="283" w:right="118"/>
        <w:jc w:val="both"/>
      </w:pPr>
      <w:r>
        <w:rPr>
          <w:color w:val="231F1F"/>
          <w:spacing w:val="-2"/>
          <w:w w:val="110"/>
        </w:rPr>
        <w:t>La</w:t>
      </w:r>
      <w:r>
        <w:rPr>
          <w:color w:val="231F1F"/>
          <w:spacing w:val="-10"/>
          <w:w w:val="110"/>
        </w:rPr>
        <w:t> </w:t>
      </w:r>
      <w:r>
        <w:rPr>
          <w:color w:val="231F1F"/>
          <w:spacing w:val="-2"/>
          <w:w w:val="110"/>
        </w:rPr>
        <w:t>utilización</w:t>
      </w:r>
      <w:r>
        <w:rPr>
          <w:color w:val="231F1F"/>
          <w:spacing w:val="-9"/>
          <w:w w:val="110"/>
        </w:rPr>
        <w:t> </w:t>
      </w:r>
      <w:r>
        <w:rPr>
          <w:color w:val="231F1F"/>
          <w:spacing w:val="-2"/>
          <w:w w:val="110"/>
        </w:rPr>
        <w:t>rutinaria</w:t>
      </w:r>
      <w:r>
        <w:rPr>
          <w:color w:val="231F1F"/>
          <w:spacing w:val="-9"/>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MEF</w:t>
      </w:r>
      <w:r>
        <w:rPr>
          <w:color w:val="231F1F"/>
          <w:spacing w:val="-10"/>
          <w:w w:val="110"/>
        </w:rPr>
        <w:t> </w:t>
      </w:r>
      <w:r>
        <w:rPr>
          <w:color w:val="231F1F"/>
          <w:spacing w:val="-2"/>
          <w:w w:val="110"/>
        </w:rPr>
        <w:t>a</w:t>
      </w:r>
      <w:r>
        <w:rPr>
          <w:color w:val="231F1F"/>
          <w:spacing w:val="-10"/>
          <w:w w:val="110"/>
        </w:rPr>
        <w:t> </w:t>
      </w:r>
      <w:r>
        <w:rPr>
          <w:color w:val="231F1F"/>
          <w:spacing w:val="-2"/>
          <w:w w:val="110"/>
        </w:rPr>
        <w:t>menudo</w:t>
      </w:r>
      <w:r>
        <w:rPr>
          <w:color w:val="231F1F"/>
          <w:spacing w:val="-9"/>
          <w:w w:val="110"/>
        </w:rPr>
        <w:t> </w:t>
      </w:r>
      <w:r>
        <w:rPr>
          <w:color w:val="231F1F"/>
          <w:spacing w:val="-2"/>
          <w:w w:val="110"/>
        </w:rPr>
        <w:t>con</w:t>
      </w:r>
      <w:r>
        <w:rPr>
          <w:color w:val="231F1F"/>
          <w:spacing w:val="-9"/>
          <w:w w:val="110"/>
        </w:rPr>
        <w:t> </w:t>
      </w:r>
      <w:r>
        <w:rPr>
          <w:color w:val="231F1F"/>
          <w:spacing w:val="-2"/>
          <w:w w:val="110"/>
        </w:rPr>
        <w:t>control</w:t>
      </w:r>
      <w:r>
        <w:rPr>
          <w:color w:val="231F1F"/>
          <w:spacing w:val="-10"/>
          <w:w w:val="110"/>
        </w:rPr>
        <w:t> </w:t>
      </w:r>
      <w:r>
        <w:rPr>
          <w:color w:val="231F1F"/>
          <w:spacing w:val="-2"/>
          <w:w w:val="110"/>
        </w:rPr>
        <w:t>central,</w:t>
      </w:r>
      <w:r>
        <w:rPr>
          <w:color w:val="231F1F"/>
          <w:spacing w:val="-10"/>
          <w:w w:val="110"/>
        </w:rPr>
        <w:t> </w:t>
      </w:r>
      <w:r>
        <w:rPr>
          <w:color w:val="231F1F"/>
          <w:spacing w:val="-2"/>
          <w:w w:val="110"/>
        </w:rPr>
        <w:t>y</w:t>
      </w:r>
      <w:r>
        <w:rPr>
          <w:color w:val="231F1F"/>
          <w:spacing w:val="-9"/>
          <w:w w:val="110"/>
        </w:rPr>
        <w:t> </w:t>
      </w:r>
      <w:r>
        <w:rPr>
          <w:color w:val="231F1F"/>
          <w:spacing w:val="-2"/>
          <w:w w:val="110"/>
        </w:rPr>
        <w:t>la</w:t>
      </w:r>
      <w:r>
        <w:rPr>
          <w:color w:val="231F1F"/>
          <w:spacing w:val="-10"/>
          <w:w w:val="110"/>
        </w:rPr>
        <w:t> </w:t>
      </w:r>
      <w:r>
        <w:rPr>
          <w:color w:val="231F1F"/>
          <w:spacing w:val="-2"/>
          <w:w w:val="110"/>
        </w:rPr>
        <w:t>analgesia</w:t>
      </w:r>
      <w:r>
        <w:rPr>
          <w:color w:val="231F1F"/>
          <w:spacing w:val="-9"/>
          <w:w w:val="110"/>
        </w:rPr>
        <w:t> </w:t>
      </w:r>
      <w:r>
        <w:rPr>
          <w:color w:val="231F1F"/>
          <w:spacing w:val="-2"/>
          <w:w w:val="110"/>
        </w:rPr>
        <w:t>neuroaxial, </w:t>
      </w:r>
      <w:r>
        <w:rPr>
          <w:color w:val="231F1F"/>
          <w:w w:val="110"/>
        </w:rPr>
        <w:t>junto</w:t>
      </w:r>
      <w:r>
        <w:rPr>
          <w:color w:val="231F1F"/>
          <w:spacing w:val="-10"/>
          <w:w w:val="110"/>
        </w:rPr>
        <w:t> </w:t>
      </w:r>
      <w:r>
        <w:rPr>
          <w:color w:val="231F1F"/>
          <w:w w:val="110"/>
        </w:rPr>
        <w:t>con</w:t>
      </w:r>
      <w:r>
        <w:rPr>
          <w:color w:val="231F1F"/>
          <w:spacing w:val="-10"/>
          <w:w w:val="110"/>
        </w:rPr>
        <w:t> </w:t>
      </w:r>
      <w:r>
        <w:rPr>
          <w:color w:val="231F1F"/>
          <w:w w:val="110"/>
        </w:rPr>
        <w:t>el</w:t>
      </w:r>
      <w:r>
        <w:rPr>
          <w:color w:val="231F1F"/>
          <w:spacing w:val="-11"/>
          <w:w w:val="110"/>
        </w:rPr>
        <w:t> </w:t>
      </w:r>
      <w:r>
        <w:rPr>
          <w:color w:val="231F1F"/>
          <w:w w:val="110"/>
        </w:rPr>
        <w:t>reconocimiento</w:t>
      </w:r>
      <w:r>
        <w:rPr>
          <w:color w:val="231F1F"/>
          <w:spacing w:val="-9"/>
          <w:w w:val="110"/>
        </w:rPr>
        <w:t> </w:t>
      </w:r>
      <w:r>
        <w:rPr>
          <w:color w:val="231F1F"/>
          <w:w w:val="110"/>
        </w:rPr>
        <w:t>del</w:t>
      </w:r>
      <w:r>
        <w:rPr>
          <w:color w:val="231F1F"/>
          <w:spacing w:val="-11"/>
          <w:w w:val="110"/>
        </w:rPr>
        <w:t> </w:t>
      </w:r>
      <w:r>
        <w:rPr>
          <w:color w:val="231F1F"/>
          <w:w w:val="110"/>
        </w:rPr>
        <w:t>derecho</w:t>
      </w:r>
      <w:r>
        <w:rPr>
          <w:color w:val="231F1F"/>
          <w:spacing w:val="-11"/>
          <w:w w:val="110"/>
        </w:rPr>
        <w:t> </w:t>
      </w:r>
      <w:r>
        <w:rPr>
          <w:color w:val="231F1F"/>
          <w:w w:val="110"/>
        </w:rPr>
        <w:t>de</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de</w:t>
      </w:r>
      <w:r>
        <w:rPr>
          <w:color w:val="231F1F"/>
          <w:spacing w:val="-10"/>
          <w:w w:val="110"/>
        </w:rPr>
        <w:t> </w:t>
      </w:r>
      <w:r>
        <w:rPr>
          <w:color w:val="231F1F"/>
          <w:w w:val="110"/>
        </w:rPr>
        <w:t>parto</w:t>
      </w:r>
      <w:r>
        <w:rPr>
          <w:color w:val="231F1F"/>
          <w:spacing w:val="-10"/>
          <w:w w:val="110"/>
        </w:rPr>
        <w:t> </w:t>
      </w:r>
      <w:r>
        <w:rPr>
          <w:color w:val="231F1F"/>
          <w:w w:val="110"/>
        </w:rPr>
        <w:t>a</w:t>
      </w:r>
      <w:r>
        <w:rPr>
          <w:color w:val="231F1F"/>
          <w:spacing w:val="-10"/>
          <w:w w:val="110"/>
        </w:rPr>
        <w:t> </w:t>
      </w:r>
      <w:r>
        <w:rPr>
          <w:color w:val="231F1F"/>
          <w:w w:val="110"/>
        </w:rPr>
        <w:t>estar</w:t>
      </w:r>
      <w:r>
        <w:rPr>
          <w:color w:val="231F1F"/>
          <w:spacing w:val="-10"/>
          <w:w w:val="110"/>
        </w:rPr>
        <w:t> </w:t>
      </w:r>
      <w:r>
        <w:rPr>
          <w:color w:val="231F1F"/>
          <w:w w:val="110"/>
        </w:rPr>
        <w:t>acompañadas</w:t>
      </w:r>
      <w:r>
        <w:rPr>
          <w:color w:val="231F1F"/>
          <w:spacing w:val="-9"/>
          <w:w w:val="110"/>
        </w:rPr>
        <w:t> </w:t>
      </w:r>
      <w:r>
        <w:rPr>
          <w:color w:val="231F1F"/>
          <w:w w:val="110"/>
        </w:rPr>
        <w:t>por </w:t>
      </w:r>
      <w:r>
        <w:rPr>
          <w:color w:val="231F1F"/>
          <w:spacing w:val="-4"/>
          <w:w w:val="110"/>
        </w:rPr>
        <w:t>una</w:t>
      </w:r>
      <w:r>
        <w:rPr>
          <w:color w:val="231F1F"/>
          <w:spacing w:val="-5"/>
          <w:w w:val="110"/>
        </w:rPr>
        <w:t> </w:t>
      </w:r>
      <w:r>
        <w:rPr>
          <w:color w:val="231F1F"/>
          <w:spacing w:val="-4"/>
          <w:w w:val="110"/>
        </w:rPr>
        <w:t>persona</w:t>
      </w:r>
      <w:r>
        <w:rPr>
          <w:color w:val="231F1F"/>
          <w:spacing w:val="-5"/>
          <w:w w:val="110"/>
        </w:rPr>
        <w:t> </w:t>
      </w:r>
      <w:r>
        <w:rPr>
          <w:color w:val="231F1F"/>
          <w:spacing w:val="-4"/>
          <w:w w:val="110"/>
        </w:rPr>
        <w:t>de</w:t>
      </w:r>
      <w:r>
        <w:rPr>
          <w:color w:val="231F1F"/>
          <w:spacing w:val="-5"/>
          <w:w w:val="110"/>
        </w:rPr>
        <w:t> </w:t>
      </w:r>
      <w:r>
        <w:rPr>
          <w:color w:val="231F1F"/>
          <w:spacing w:val="-4"/>
          <w:w w:val="110"/>
        </w:rPr>
        <w:t>su</w:t>
      </w:r>
      <w:r>
        <w:rPr>
          <w:color w:val="231F1F"/>
          <w:spacing w:val="-5"/>
          <w:w w:val="110"/>
        </w:rPr>
        <w:t> </w:t>
      </w:r>
      <w:r>
        <w:rPr>
          <w:color w:val="231F1F"/>
          <w:spacing w:val="-4"/>
          <w:w w:val="110"/>
        </w:rPr>
        <w:t>elección,</w:t>
      </w:r>
      <w:r>
        <w:rPr>
          <w:color w:val="231F1F"/>
          <w:spacing w:val="-6"/>
          <w:w w:val="110"/>
        </w:rPr>
        <w:t> </w:t>
      </w:r>
      <w:r>
        <w:rPr>
          <w:color w:val="231F1F"/>
          <w:spacing w:val="-4"/>
          <w:w w:val="110"/>
        </w:rPr>
        <w:t>ha</w:t>
      </w:r>
      <w:r>
        <w:rPr>
          <w:color w:val="231F1F"/>
          <w:spacing w:val="-5"/>
          <w:w w:val="110"/>
        </w:rPr>
        <w:t> </w:t>
      </w:r>
      <w:r>
        <w:rPr>
          <w:color w:val="231F1F"/>
          <w:spacing w:val="-4"/>
          <w:w w:val="110"/>
        </w:rPr>
        <w:t>conducido</w:t>
      </w:r>
      <w:r>
        <w:rPr>
          <w:color w:val="231F1F"/>
          <w:spacing w:val="-5"/>
          <w:w w:val="110"/>
        </w:rPr>
        <w:t> </w:t>
      </w:r>
      <w:r>
        <w:rPr>
          <w:color w:val="231F1F"/>
          <w:spacing w:val="-4"/>
          <w:w w:val="110"/>
        </w:rPr>
        <w:t>a</w:t>
      </w:r>
      <w:r>
        <w:rPr>
          <w:color w:val="231F1F"/>
          <w:spacing w:val="-5"/>
          <w:w w:val="110"/>
        </w:rPr>
        <w:t> </w:t>
      </w:r>
      <w:r>
        <w:rPr>
          <w:color w:val="231F1F"/>
          <w:spacing w:val="-4"/>
          <w:w w:val="110"/>
        </w:rPr>
        <w:t>que</w:t>
      </w:r>
      <w:r>
        <w:rPr>
          <w:color w:val="231F1F"/>
          <w:spacing w:val="-5"/>
          <w:w w:val="110"/>
        </w:rPr>
        <w:t> </w:t>
      </w:r>
      <w:r>
        <w:rPr>
          <w:color w:val="231F1F"/>
          <w:spacing w:val="-4"/>
          <w:w w:val="110"/>
        </w:rPr>
        <w:t>las</w:t>
      </w:r>
      <w:r>
        <w:rPr>
          <w:color w:val="231F1F"/>
          <w:spacing w:val="-5"/>
          <w:w w:val="110"/>
        </w:rPr>
        <w:t> </w:t>
      </w:r>
      <w:r>
        <w:rPr>
          <w:color w:val="231F1F"/>
          <w:spacing w:val="-4"/>
          <w:w w:val="110"/>
        </w:rPr>
        <w:t>matronas</w:t>
      </w:r>
      <w:r>
        <w:rPr>
          <w:color w:val="231F1F"/>
          <w:spacing w:val="-5"/>
          <w:w w:val="110"/>
        </w:rPr>
        <w:t> </w:t>
      </w:r>
      <w:r>
        <w:rPr>
          <w:color w:val="231F1F"/>
          <w:spacing w:val="-4"/>
          <w:w w:val="110"/>
        </w:rPr>
        <w:t>se</w:t>
      </w:r>
      <w:r>
        <w:rPr>
          <w:color w:val="231F1F"/>
          <w:spacing w:val="-5"/>
          <w:w w:val="110"/>
        </w:rPr>
        <w:t> </w:t>
      </w:r>
      <w:r>
        <w:rPr>
          <w:color w:val="231F1F"/>
          <w:spacing w:val="-4"/>
          <w:w w:val="110"/>
        </w:rPr>
        <w:t>dediquen</w:t>
      </w:r>
      <w:r>
        <w:rPr>
          <w:color w:val="231F1F"/>
          <w:spacing w:val="-5"/>
          <w:w w:val="110"/>
        </w:rPr>
        <w:t> </w:t>
      </w:r>
      <w:r>
        <w:rPr>
          <w:color w:val="231F1F"/>
          <w:spacing w:val="-4"/>
          <w:w w:val="110"/>
        </w:rPr>
        <w:t>fundamentalmen- </w:t>
      </w:r>
      <w:r>
        <w:rPr>
          <w:color w:val="231F1F"/>
        </w:rPr>
        <w:t>te a los procedimientos técnicos y permanezcan poco tiempo con las mujeres. Muchas partu- rientas se sienten atemorizadas en el ambiente semiquirúrgico habitual de las salas de parto, </w:t>
      </w:r>
      <w:r>
        <w:rPr>
          <w:color w:val="231F1F"/>
          <w:spacing w:val="-2"/>
          <w:w w:val="110"/>
        </w:rPr>
        <w:t>solas</w:t>
      </w:r>
      <w:r>
        <w:rPr>
          <w:color w:val="231F1F"/>
          <w:spacing w:val="-14"/>
          <w:w w:val="110"/>
        </w:rPr>
        <w:t> </w:t>
      </w:r>
      <w:r>
        <w:rPr>
          <w:color w:val="231F1F"/>
          <w:spacing w:val="-2"/>
          <w:w w:val="110"/>
        </w:rPr>
        <w:t>a</w:t>
      </w:r>
      <w:r>
        <w:rPr>
          <w:color w:val="231F1F"/>
          <w:spacing w:val="-13"/>
          <w:w w:val="110"/>
        </w:rPr>
        <w:t> </w:t>
      </w:r>
      <w:r>
        <w:rPr>
          <w:color w:val="231F1F"/>
          <w:spacing w:val="-2"/>
          <w:w w:val="110"/>
        </w:rPr>
        <w:t>pesar</w:t>
      </w:r>
      <w:r>
        <w:rPr>
          <w:color w:val="231F1F"/>
          <w:spacing w:val="-13"/>
          <w:w w:val="110"/>
        </w:rPr>
        <w:t> </w:t>
      </w:r>
      <w:r>
        <w:rPr>
          <w:color w:val="231F1F"/>
          <w:spacing w:val="-2"/>
          <w:w w:val="110"/>
        </w:rPr>
        <w:t>de</w:t>
      </w:r>
      <w:r>
        <w:rPr>
          <w:color w:val="231F1F"/>
          <w:spacing w:val="-13"/>
          <w:w w:val="110"/>
        </w:rPr>
        <w:t> </w:t>
      </w:r>
      <w:r>
        <w:rPr>
          <w:color w:val="231F1F"/>
          <w:spacing w:val="-2"/>
          <w:w w:val="110"/>
        </w:rPr>
        <w:t>estar</w:t>
      </w:r>
      <w:r>
        <w:rPr>
          <w:color w:val="231F1F"/>
          <w:spacing w:val="-13"/>
          <w:w w:val="110"/>
        </w:rPr>
        <w:t> </w:t>
      </w:r>
      <w:r>
        <w:rPr>
          <w:color w:val="231F1F"/>
          <w:spacing w:val="-2"/>
          <w:w w:val="110"/>
        </w:rPr>
        <w:t>rodeadas</w:t>
      </w:r>
      <w:r>
        <w:rPr>
          <w:color w:val="231F1F"/>
          <w:spacing w:val="-13"/>
          <w:w w:val="110"/>
        </w:rPr>
        <w:t> </w:t>
      </w:r>
      <w:r>
        <w:rPr>
          <w:color w:val="231F1F"/>
          <w:spacing w:val="-2"/>
          <w:w w:val="110"/>
        </w:rPr>
        <w:t>de</w:t>
      </w:r>
      <w:r>
        <w:rPr>
          <w:color w:val="231F1F"/>
          <w:spacing w:val="-13"/>
          <w:w w:val="110"/>
        </w:rPr>
        <w:t> </w:t>
      </w:r>
      <w:r>
        <w:rPr>
          <w:color w:val="231F1F"/>
          <w:spacing w:val="-2"/>
          <w:w w:val="110"/>
        </w:rPr>
        <w:t>equipos</w:t>
      </w:r>
      <w:r>
        <w:rPr>
          <w:color w:val="231F1F"/>
          <w:spacing w:val="-13"/>
          <w:w w:val="110"/>
        </w:rPr>
        <w:t> </w:t>
      </w:r>
      <w:r>
        <w:rPr>
          <w:color w:val="231F1F"/>
          <w:spacing w:val="-2"/>
          <w:w w:val="110"/>
        </w:rPr>
        <w:t>técnicos</w:t>
      </w:r>
      <w:r>
        <w:rPr>
          <w:color w:val="231F1F"/>
          <w:spacing w:val="-14"/>
          <w:w w:val="110"/>
        </w:rPr>
        <w:t> </w:t>
      </w:r>
      <w:r>
        <w:rPr>
          <w:color w:val="231F1F"/>
          <w:spacing w:val="-2"/>
          <w:w w:val="110"/>
        </w:rPr>
        <w:t>que</w:t>
      </w:r>
      <w:r>
        <w:rPr>
          <w:color w:val="231F1F"/>
          <w:spacing w:val="-13"/>
          <w:w w:val="110"/>
        </w:rPr>
        <w:t> </w:t>
      </w:r>
      <w:r>
        <w:rPr>
          <w:color w:val="231F1F"/>
          <w:spacing w:val="-2"/>
          <w:w w:val="110"/>
        </w:rPr>
        <w:t>acaparan</w:t>
      </w:r>
      <w:r>
        <w:rPr>
          <w:color w:val="231F1F"/>
          <w:spacing w:val="-13"/>
          <w:w w:val="110"/>
        </w:rPr>
        <w:t> </w:t>
      </w:r>
      <w:r>
        <w:rPr>
          <w:color w:val="231F1F"/>
          <w:spacing w:val="-2"/>
          <w:w w:val="110"/>
        </w:rPr>
        <w:t>toda</w:t>
      </w:r>
      <w:r>
        <w:rPr>
          <w:color w:val="231F1F"/>
          <w:spacing w:val="-13"/>
          <w:w w:val="110"/>
        </w:rPr>
        <w:t> </w:t>
      </w:r>
      <w:r>
        <w:rPr>
          <w:color w:val="231F1F"/>
          <w:spacing w:val="-2"/>
          <w:w w:val="110"/>
        </w:rPr>
        <w:t>la</w:t>
      </w:r>
      <w:r>
        <w:rPr>
          <w:color w:val="231F1F"/>
          <w:spacing w:val="-13"/>
          <w:w w:val="110"/>
        </w:rPr>
        <w:t> </w:t>
      </w:r>
      <w:r>
        <w:rPr>
          <w:color w:val="231F1F"/>
          <w:spacing w:val="-2"/>
          <w:w w:val="110"/>
        </w:rPr>
        <w:t>atención</w:t>
      </w:r>
      <w:r>
        <w:rPr>
          <w:color w:val="231F1F"/>
          <w:spacing w:val="-13"/>
          <w:w w:val="110"/>
        </w:rPr>
        <w:t> </w:t>
      </w:r>
      <w:r>
        <w:rPr>
          <w:color w:val="231F1F"/>
          <w:spacing w:val="-2"/>
          <w:w w:val="110"/>
        </w:rPr>
        <w:t>y</w:t>
      </w:r>
      <w:r>
        <w:rPr>
          <w:color w:val="231F1F"/>
          <w:spacing w:val="-13"/>
          <w:w w:val="110"/>
        </w:rPr>
        <w:t> </w:t>
      </w:r>
      <w:r>
        <w:rPr>
          <w:color w:val="231F1F"/>
          <w:spacing w:val="-2"/>
          <w:w w:val="110"/>
        </w:rPr>
        <w:t>aisladas </w:t>
      </w:r>
      <w:r>
        <w:rPr>
          <w:color w:val="231F1F"/>
          <w:w w:val="110"/>
        </w:rPr>
        <w:t>pero</w:t>
      </w:r>
      <w:r>
        <w:rPr>
          <w:color w:val="231F1F"/>
          <w:spacing w:val="-11"/>
          <w:w w:val="110"/>
        </w:rPr>
        <w:t> </w:t>
      </w:r>
      <w:r>
        <w:rPr>
          <w:color w:val="231F1F"/>
          <w:w w:val="110"/>
        </w:rPr>
        <w:t>sin</w:t>
      </w:r>
      <w:r>
        <w:rPr>
          <w:color w:val="231F1F"/>
          <w:spacing w:val="-11"/>
          <w:w w:val="110"/>
        </w:rPr>
        <w:t> </w:t>
      </w:r>
      <w:r>
        <w:rPr>
          <w:color w:val="231F1F"/>
          <w:w w:val="110"/>
        </w:rPr>
        <w:t>intimidad.</w:t>
      </w:r>
      <w:r>
        <w:rPr>
          <w:color w:val="231F1F"/>
          <w:spacing w:val="-12"/>
          <w:w w:val="110"/>
        </w:rPr>
        <w:t> </w:t>
      </w:r>
      <w:r>
        <w:rPr>
          <w:color w:val="231F1F"/>
          <w:w w:val="110"/>
        </w:rPr>
        <w:t>Ciertamente,</w:t>
      </w:r>
      <w:r>
        <w:rPr>
          <w:color w:val="231F1F"/>
          <w:spacing w:val="-11"/>
          <w:w w:val="110"/>
        </w:rPr>
        <w:t> </w:t>
      </w:r>
      <w:r>
        <w:rPr>
          <w:color w:val="231F1F"/>
          <w:w w:val="110"/>
        </w:rPr>
        <w:t>nunca</w:t>
      </w:r>
      <w:r>
        <w:rPr>
          <w:color w:val="231F1F"/>
          <w:spacing w:val="-11"/>
          <w:w w:val="110"/>
        </w:rPr>
        <w:t> </w:t>
      </w:r>
      <w:r>
        <w:rPr>
          <w:color w:val="231F1F"/>
          <w:w w:val="110"/>
        </w:rPr>
        <w:t>antes</w:t>
      </w:r>
      <w:r>
        <w:rPr>
          <w:color w:val="231F1F"/>
          <w:spacing w:val="-11"/>
          <w:w w:val="110"/>
        </w:rPr>
        <w:t> </w:t>
      </w:r>
      <w:r>
        <w:rPr>
          <w:color w:val="231F1F"/>
          <w:w w:val="110"/>
        </w:rPr>
        <w:t>se</w:t>
      </w:r>
      <w:r>
        <w:rPr>
          <w:color w:val="231F1F"/>
          <w:spacing w:val="-11"/>
          <w:w w:val="110"/>
        </w:rPr>
        <w:t> </w:t>
      </w:r>
      <w:r>
        <w:rPr>
          <w:color w:val="231F1F"/>
          <w:w w:val="110"/>
        </w:rPr>
        <w:t>ha</w:t>
      </w:r>
      <w:r>
        <w:rPr>
          <w:color w:val="231F1F"/>
          <w:spacing w:val="-11"/>
          <w:w w:val="110"/>
        </w:rPr>
        <w:t> </w:t>
      </w:r>
      <w:r>
        <w:rPr>
          <w:color w:val="231F1F"/>
          <w:w w:val="110"/>
        </w:rPr>
        <w:t>controlado</w:t>
      </w:r>
      <w:r>
        <w:rPr>
          <w:color w:val="231F1F"/>
          <w:spacing w:val="-11"/>
          <w:w w:val="110"/>
        </w:rPr>
        <w:t> </w:t>
      </w:r>
      <w:r>
        <w:rPr>
          <w:color w:val="231F1F"/>
          <w:w w:val="110"/>
        </w:rPr>
        <w:t>tan</w:t>
      </w:r>
      <w:r>
        <w:rPr>
          <w:color w:val="231F1F"/>
          <w:spacing w:val="-11"/>
          <w:w w:val="110"/>
        </w:rPr>
        <w:t> </w:t>
      </w:r>
      <w:r>
        <w:rPr>
          <w:color w:val="231F1F"/>
          <w:w w:val="110"/>
        </w:rPr>
        <w:t>de</w:t>
      </w:r>
      <w:r>
        <w:rPr>
          <w:color w:val="231F1F"/>
          <w:spacing w:val="-11"/>
          <w:w w:val="110"/>
        </w:rPr>
        <w:t> </w:t>
      </w:r>
      <w:r>
        <w:rPr>
          <w:color w:val="231F1F"/>
          <w:w w:val="110"/>
        </w:rPr>
        <w:t>cerca</w:t>
      </w:r>
      <w:r>
        <w:rPr>
          <w:color w:val="231F1F"/>
          <w:spacing w:val="-11"/>
          <w:w w:val="110"/>
        </w:rPr>
        <w:t> </w:t>
      </w:r>
      <w:r>
        <w:rPr>
          <w:color w:val="231F1F"/>
          <w:w w:val="110"/>
        </w:rPr>
        <w:t>y</w:t>
      </w:r>
      <w:r>
        <w:rPr>
          <w:color w:val="231F1F"/>
          <w:spacing w:val="-11"/>
          <w:w w:val="110"/>
        </w:rPr>
        <w:t> </w:t>
      </w:r>
      <w:r>
        <w:rPr>
          <w:color w:val="231F1F"/>
          <w:w w:val="110"/>
        </w:rPr>
        <w:t>de</w:t>
      </w:r>
      <w:r>
        <w:rPr>
          <w:color w:val="231F1F"/>
          <w:spacing w:val="-11"/>
          <w:w w:val="110"/>
        </w:rPr>
        <w:t> </w:t>
      </w:r>
      <w:r>
        <w:rPr>
          <w:color w:val="231F1F"/>
          <w:w w:val="110"/>
        </w:rPr>
        <w:t>forma</w:t>
      </w:r>
      <w:r>
        <w:rPr>
          <w:color w:val="231F1F"/>
          <w:spacing w:val="-11"/>
          <w:w w:val="110"/>
        </w:rPr>
        <w:t> </w:t>
      </w:r>
      <w:r>
        <w:rPr>
          <w:color w:val="231F1F"/>
          <w:w w:val="110"/>
        </w:rPr>
        <w:t>tan </w:t>
      </w:r>
      <w:r>
        <w:rPr>
          <w:color w:val="231F1F"/>
          <w:spacing w:val="-2"/>
          <w:w w:val="110"/>
        </w:rPr>
        <w:t>estrecha</w:t>
      </w:r>
      <w:r>
        <w:rPr>
          <w:color w:val="231F1F"/>
          <w:spacing w:val="-14"/>
          <w:w w:val="110"/>
        </w:rPr>
        <w:t> </w:t>
      </w:r>
      <w:r>
        <w:rPr>
          <w:color w:val="231F1F"/>
          <w:spacing w:val="-2"/>
          <w:w w:val="110"/>
        </w:rPr>
        <w:t>a</w:t>
      </w:r>
      <w:r>
        <w:rPr>
          <w:color w:val="231F1F"/>
          <w:spacing w:val="-13"/>
          <w:w w:val="110"/>
        </w:rPr>
        <w:t> </w:t>
      </w:r>
      <w:r>
        <w:rPr>
          <w:color w:val="231F1F"/>
          <w:spacing w:val="-2"/>
          <w:w w:val="110"/>
        </w:rPr>
        <w:t>las</w:t>
      </w:r>
      <w:r>
        <w:rPr>
          <w:color w:val="231F1F"/>
          <w:spacing w:val="-13"/>
          <w:w w:val="110"/>
        </w:rPr>
        <w:t> </w:t>
      </w:r>
      <w:r>
        <w:rPr>
          <w:color w:val="231F1F"/>
          <w:spacing w:val="-2"/>
          <w:w w:val="110"/>
        </w:rPr>
        <w:t>mujeres,</w:t>
      </w:r>
      <w:r>
        <w:rPr>
          <w:color w:val="231F1F"/>
          <w:spacing w:val="-13"/>
          <w:w w:val="110"/>
        </w:rPr>
        <w:t> </w:t>
      </w:r>
      <w:r>
        <w:rPr>
          <w:color w:val="231F1F"/>
          <w:spacing w:val="-2"/>
          <w:w w:val="110"/>
        </w:rPr>
        <w:t>pero</w:t>
      </w:r>
      <w:r>
        <w:rPr>
          <w:color w:val="231F1F"/>
          <w:spacing w:val="-13"/>
          <w:w w:val="110"/>
        </w:rPr>
        <w:t> </w:t>
      </w:r>
      <w:r>
        <w:rPr>
          <w:color w:val="231F1F"/>
          <w:spacing w:val="-2"/>
          <w:w w:val="110"/>
        </w:rPr>
        <w:t>desde</w:t>
      </w:r>
      <w:r>
        <w:rPr>
          <w:color w:val="231F1F"/>
          <w:spacing w:val="-13"/>
          <w:w w:val="110"/>
        </w:rPr>
        <w:t> </w:t>
      </w:r>
      <w:r>
        <w:rPr>
          <w:color w:val="231F1F"/>
          <w:spacing w:val="-2"/>
          <w:w w:val="110"/>
        </w:rPr>
        <w:t>tan</w:t>
      </w:r>
      <w:r>
        <w:rPr>
          <w:color w:val="231F1F"/>
          <w:spacing w:val="-13"/>
          <w:w w:val="110"/>
        </w:rPr>
        <w:t> </w:t>
      </w:r>
      <w:r>
        <w:rPr>
          <w:color w:val="231F1F"/>
          <w:spacing w:val="-2"/>
          <w:w w:val="110"/>
        </w:rPr>
        <w:t>lejos.</w:t>
      </w:r>
      <w:r>
        <w:rPr>
          <w:color w:val="231F1F"/>
          <w:spacing w:val="-13"/>
          <w:w w:val="110"/>
        </w:rPr>
        <w:t> </w:t>
      </w:r>
      <w:r>
        <w:rPr>
          <w:color w:val="231F1F"/>
          <w:spacing w:val="-2"/>
          <w:w w:val="110"/>
        </w:rPr>
        <w:t>Por</w:t>
      </w:r>
      <w:r>
        <w:rPr>
          <w:color w:val="231F1F"/>
          <w:spacing w:val="-14"/>
          <w:w w:val="110"/>
        </w:rPr>
        <w:t> </w:t>
      </w:r>
      <w:r>
        <w:rPr>
          <w:color w:val="231F1F"/>
          <w:spacing w:val="-2"/>
          <w:w w:val="110"/>
        </w:rPr>
        <w:t>otra</w:t>
      </w:r>
      <w:r>
        <w:rPr>
          <w:color w:val="231F1F"/>
          <w:spacing w:val="-13"/>
          <w:w w:val="110"/>
        </w:rPr>
        <w:t> </w:t>
      </w:r>
      <w:r>
        <w:rPr>
          <w:color w:val="231F1F"/>
          <w:spacing w:val="-2"/>
          <w:w w:val="110"/>
        </w:rPr>
        <w:t>parte,</w:t>
      </w:r>
      <w:r>
        <w:rPr>
          <w:color w:val="231F1F"/>
          <w:spacing w:val="-13"/>
          <w:w w:val="110"/>
        </w:rPr>
        <w:t> </w:t>
      </w:r>
      <w:r>
        <w:rPr>
          <w:color w:val="231F1F"/>
          <w:spacing w:val="-2"/>
          <w:w w:val="110"/>
        </w:rPr>
        <w:t>las</w:t>
      </w:r>
      <w:r>
        <w:rPr>
          <w:color w:val="231F1F"/>
          <w:spacing w:val="-13"/>
          <w:w w:val="110"/>
        </w:rPr>
        <w:t> </w:t>
      </w:r>
      <w:r>
        <w:rPr>
          <w:color w:val="231F1F"/>
          <w:spacing w:val="-2"/>
          <w:w w:val="110"/>
        </w:rPr>
        <w:t>personas</w:t>
      </w:r>
      <w:r>
        <w:rPr>
          <w:color w:val="231F1F"/>
          <w:spacing w:val="-13"/>
          <w:w w:val="110"/>
        </w:rPr>
        <w:t> </w:t>
      </w:r>
      <w:r>
        <w:rPr>
          <w:color w:val="231F1F"/>
          <w:spacing w:val="-2"/>
          <w:w w:val="110"/>
        </w:rPr>
        <w:t>acompañantes</w:t>
      </w:r>
      <w:r>
        <w:rPr>
          <w:color w:val="231F1F"/>
          <w:spacing w:val="-13"/>
          <w:w w:val="110"/>
        </w:rPr>
        <w:t> </w:t>
      </w:r>
      <w:r>
        <w:rPr>
          <w:color w:val="231F1F"/>
          <w:spacing w:val="-2"/>
          <w:w w:val="110"/>
        </w:rPr>
        <w:t>tam- bién</w:t>
      </w:r>
      <w:r>
        <w:rPr>
          <w:color w:val="231F1F"/>
          <w:spacing w:val="-24"/>
          <w:w w:val="110"/>
        </w:rPr>
        <w:t> </w:t>
      </w:r>
      <w:r>
        <w:rPr>
          <w:color w:val="231F1F"/>
          <w:spacing w:val="-2"/>
          <w:w w:val="110"/>
        </w:rPr>
        <w:t>necesitan</w:t>
      </w:r>
      <w:r>
        <w:rPr>
          <w:color w:val="231F1F"/>
          <w:spacing w:val="-22"/>
          <w:w w:val="110"/>
        </w:rPr>
        <w:t> </w:t>
      </w:r>
      <w:r>
        <w:rPr>
          <w:color w:val="231F1F"/>
          <w:spacing w:val="-2"/>
          <w:w w:val="110"/>
        </w:rPr>
        <w:t>recibir</w:t>
      </w:r>
      <w:r>
        <w:rPr>
          <w:color w:val="231F1F"/>
          <w:spacing w:val="-24"/>
          <w:w w:val="110"/>
        </w:rPr>
        <w:t> </w:t>
      </w:r>
      <w:r>
        <w:rPr>
          <w:color w:val="231F1F"/>
          <w:spacing w:val="-2"/>
          <w:w w:val="110"/>
        </w:rPr>
        <w:t>apoyo</w:t>
      </w:r>
      <w:r>
        <w:rPr>
          <w:color w:val="231F1F"/>
          <w:spacing w:val="-22"/>
          <w:w w:val="110"/>
        </w:rPr>
        <w:t> </w:t>
      </w:r>
      <w:r>
        <w:rPr>
          <w:color w:val="231F1F"/>
          <w:spacing w:val="-2"/>
          <w:w w:val="110"/>
        </w:rPr>
        <w:t>y</w:t>
      </w:r>
      <w:r>
        <w:rPr>
          <w:color w:val="231F1F"/>
          <w:spacing w:val="-24"/>
          <w:w w:val="110"/>
        </w:rPr>
        <w:t> </w:t>
      </w:r>
      <w:r>
        <w:rPr>
          <w:color w:val="231F1F"/>
          <w:spacing w:val="-2"/>
          <w:w w:val="110"/>
        </w:rPr>
        <w:t>orientación</w:t>
      </w:r>
      <w:r>
        <w:rPr>
          <w:color w:val="231F1F"/>
          <w:spacing w:val="-22"/>
          <w:w w:val="110"/>
        </w:rPr>
        <w:t> </w:t>
      </w:r>
      <w:r>
        <w:rPr>
          <w:color w:val="231F1F"/>
          <w:spacing w:val="-2"/>
          <w:w w:val="110"/>
        </w:rPr>
        <w:t>para</w:t>
      </w:r>
      <w:r>
        <w:rPr>
          <w:color w:val="231F1F"/>
          <w:spacing w:val="-24"/>
          <w:w w:val="110"/>
        </w:rPr>
        <w:t> </w:t>
      </w:r>
      <w:r>
        <w:rPr>
          <w:color w:val="231F1F"/>
          <w:spacing w:val="-2"/>
          <w:w w:val="110"/>
        </w:rPr>
        <w:t>poder</w:t>
      </w:r>
      <w:r>
        <w:rPr>
          <w:color w:val="231F1F"/>
          <w:spacing w:val="-22"/>
          <w:w w:val="110"/>
        </w:rPr>
        <w:t> </w:t>
      </w:r>
      <w:r>
        <w:rPr>
          <w:color w:val="231F1F"/>
          <w:spacing w:val="-2"/>
          <w:w w:val="110"/>
        </w:rPr>
        <w:t>proporcionar</w:t>
      </w:r>
      <w:r>
        <w:rPr>
          <w:color w:val="231F1F"/>
          <w:spacing w:val="-24"/>
          <w:w w:val="110"/>
        </w:rPr>
        <w:t> </w:t>
      </w:r>
      <w:r>
        <w:rPr>
          <w:color w:val="231F1F"/>
          <w:spacing w:val="-2"/>
          <w:w w:val="110"/>
        </w:rPr>
        <w:t>una</w:t>
      </w:r>
      <w:r>
        <w:rPr>
          <w:color w:val="231F1F"/>
          <w:spacing w:val="-22"/>
          <w:w w:val="110"/>
        </w:rPr>
        <w:t> </w:t>
      </w:r>
      <w:r>
        <w:rPr>
          <w:color w:val="231F1F"/>
          <w:spacing w:val="-2"/>
          <w:w w:val="110"/>
        </w:rPr>
        <w:t>compañía</w:t>
      </w:r>
      <w:r>
        <w:rPr>
          <w:color w:val="231F1F"/>
          <w:spacing w:val="-24"/>
          <w:w w:val="110"/>
        </w:rPr>
        <w:t> </w:t>
      </w:r>
      <w:r>
        <w:rPr>
          <w:color w:val="231F1F"/>
          <w:spacing w:val="-2"/>
          <w:w w:val="110"/>
        </w:rPr>
        <w:t>adecuada.</w:t>
      </w:r>
    </w:p>
    <w:p>
      <w:pPr>
        <w:pStyle w:val="BodyText"/>
        <w:spacing w:line="244" w:lineRule="auto" w:before="115"/>
        <w:ind w:left="283" w:right="123" w:firstLine="453"/>
        <w:jc w:val="both"/>
      </w:pPr>
      <w:r>
        <w:rPr>
          <w:color w:val="231F1F"/>
          <w:w w:val="110"/>
        </w:rPr>
        <w:t>La importancia de un apoyo continuo, tanto emocional como informativo, físico y psicológico,</w:t>
      </w:r>
      <w:r>
        <w:rPr>
          <w:color w:val="231F1F"/>
          <w:spacing w:val="-2"/>
          <w:w w:val="110"/>
        </w:rPr>
        <w:t> </w:t>
      </w:r>
      <w:r>
        <w:rPr>
          <w:color w:val="231F1F"/>
          <w:w w:val="110"/>
        </w:rPr>
        <w:t>proporcionado</w:t>
      </w:r>
      <w:r>
        <w:rPr>
          <w:color w:val="231F1F"/>
          <w:spacing w:val="-1"/>
          <w:w w:val="110"/>
        </w:rPr>
        <w:t> </w:t>
      </w:r>
      <w:r>
        <w:rPr>
          <w:color w:val="231F1F"/>
          <w:w w:val="110"/>
        </w:rPr>
        <w:t>por</w:t>
      </w:r>
      <w:r>
        <w:rPr>
          <w:color w:val="231F1F"/>
          <w:spacing w:val="-1"/>
          <w:w w:val="110"/>
        </w:rPr>
        <w:t> </w:t>
      </w:r>
      <w:r>
        <w:rPr>
          <w:color w:val="231F1F"/>
          <w:w w:val="110"/>
        </w:rPr>
        <w:t>las</w:t>
      </w:r>
      <w:r>
        <w:rPr>
          <w:color w:val="231F1F"/>
          <w:spacing w:val="-1"/>
          <w:w w:val="110"/>
        </w:rPr>
        <w:t> </w:t>
      </w:r>
      <w:r>
        <w:rPr>
          <w:color w:val="231F1F"/>
          <w:w w:val="110"/>
        </w:rPr>
        <w:t>matronas,</w:t>
      </w:r>
      <w:r>
        <w:rPr>
          <w:color w:val="231F1F"/>
          <w:spacing w:val="-1"/>
          <w:w w:val="110"/>
        </w:rPr>
        <w:t> </w:t>
      </w:r>
      <w:r>
        <w:rPr>
          <w:color w:val="231F1F"/>
          <w:w w:val="110"/>
        </w:rPr>
        <w:t>ha</w:t>
      </w:r>
      <w:r>
        <w:rPr>
          <w:color w:val="231F1F"/>
          <w:spacing w:val="-1"/>
          <w:w w:val="110"/>
        </w:rPr>
        <w:t> </w:t>
      </w:r>
      <w:r>
        <w:rPr>
          <w:color w:val="231F1F"/>
          <w:w w:val="110"/>
        </w:rPr>
        <w:t>sido</w:t>
      </w:r>
      <w:r>
        <w:rPr>
          <w:color w:val="231F1F"/>
          <w:spacing w:val="-1"/>
          <w:w w:val="110"/>
        </w:rPr>
        <w:t> </w:t>
      </w:r>
      <w:r>
        <w:rPr>
          <w:color w:val="231F1F"/>
          <w:w w:val="110"/>
        </w:rPr>
        <w:t>enfatizada</w:t>
      </w:r>
      <w:r>
        <w:rPr>
          <w:color w:val="231F1F"/>
          <w:spacing w:val="-1"/>
          <w:w w:val="110"/>
        </w:rPr>
        <w:t> </w:t>
      </w:r>
      <w:r>
        <w:rPr>
          <w:color w:val="231F1F"/>
          <w:w w:val="110"/>
        </w:rPr>
        <w:t>a</w:t>
      </w:r>
      <w:r>
        <w:rPr>
          <w:color w:val="231F1F"/>
          <w:spacing w:val="-1"/>
          <w:w w:val="110"/>
        </w:rPr>
        <w:t> </w:t>
      </w:r>
      <w:r>
        <w:rPr>
          <w:color w:val="231F1F"/>
          <w:w w:val="110"/>
        </w:rPr>
        <w:t>la</w:t>
      </w:r>
      <w:r>
        <w:rPr>
          <w:color w:val="231F1F"/>
          <w:spacing w:val="-1"/>
          <w:w w:val="110"/>
        </w:rPr>
        <w:t> </w:t>
      </w:r>
      <w:r>
        <w:rPr>
          <w:color w:val="231F1F"/>
          <w:w w:val="110"/>
        </w:rPr>
        <w:t>luz</w:t>
      </w:r>
      <w:r>
        <w:rPr>
          <w:color w:val="231F1F"/>
          <w:spacing w:val="-1"/>
          <w:w w:val="110"/>
        </w:rPr>
        <w:t> </w:t>
      </w:r>
      <w:r>
        <w:rPr>
          <w:color w:val="231F1F"/>
          <w:w w:val="110"/>
        </w:rPr>
        <w:t>de</w:t>
      </w:r>
      <w:r>
        <w:rPr>
          <w:color w:val="231F1F"/>
          <w:spacing w:val="-1"/>
          <w:w w:val="110"/>
        </w:rPr>
        <w:t> </w:t>
      </w:r>
      <w:r>
        <w:rPr>
          <w:color w:val="231F1F"/>
          <w:w w:val="110"/>
        </w:rPr>
        <w:t>estudios</w:t>
      </w:r>
      <w:r>
        <w:rPr>
          <w:color w:val="231F1F"/>
          <w:spacing w:val="-1"/>
          <w:w w:val="110"/>
        </w:rPr>
        <w:t> </w:t>
      </w:r>
      <w:r>
        <w:rPr>
          <w:color w:val="231F1F"/>
          <w:w w:val="110"/>
        </w:rPr>
        <w:t>que muestran que puede mejorar el resultado obstétrico y la satisfacción de las mujeres.</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4"/>
        <w:ind w:left="283" w:right="1371"/>
        <w:jc w:val="both"/>
      </w:pPr>
      <w:r>
        <w:rPr>
          <w:color w:val="231F1F"/>
          <w:w w:val="110"/>
        </w:rPr>
        <w:t>La</w:t>
      </w:r>
      <w:r>
        <w:rPr>
          <w:color w:val="231F1F"/>
          <w:spacing w:val="-16"/>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evalúa</w:t>
      </w:r>
      <w:r>
        <w:rPr>
          <w:color w:val="231F1F"/>
          <w:spacing w:val="-15"/>
          <w:w w:val="110"/>
        </w:rPr>
        <w:t> </w:t>
      </w:r>
      <w:r>
        <w:rPr>
          <w:color w:val="231F1F"/>
          <w:w w:val="110"/>
        </w:rPr>
        <w:t>la</w:t>
      </w:r>
      <w:r>
        <w:rPr>
          <w:color w:val="231F1F"/>
          <w:spacing w:val="-15"/>
          <w:w w:val="110"/>
        </w:rPr>
        <w:t> </w:t>
      </w:r>
      <w:r>
        <w:rPr>
          <w:color w:val="231F1F"/>
          <w:w w:val="110"/>
        </w:rPr>
        <w:t>atención</w:t>
      </w:r>
      <w:r>
        <w:rPr>
          <w:color w:val="231F1F"/>
          <w:spacing w:val="-15"/>
          <w:w w:val="110"/>
        </w:rPr>
        <w:t> </w:t>
      </w:r>
      <w:r>
        <w:rPr>
          <w:color w:val="231F1F"/>
          <w:w w:val="110"/>
        </w:rPr>
        <w:t>una</w:t>
      </w:r>
      <w:r>
        <w:rPr>
          <w:color w:val="231F1F"/>
          <w:spacing w:val="-15"/>
          <w:w w:val="110"/>
        </w:rPr>
        <w:t> </w:t>
      </w:r>
      <w:r>
        <w:rPr>
          <w:color w:val="231F1F"/>
          <w:w w:val="110"/>
        </w:rPr>
        <w:t>a</w:t>
      </w:r>
      <w:r>
        <w:rPr>
          <w:color w:val="231F1F"/>
          <w:spacing w:val="-16"/>
          <w:w w:val="110"/>
        </w:rPr>
        <w:t> </w:t>
      </w:r>
      <w:r>
        <w:rPr>
          <w:color w:val="231F1F"/>
          <w:w w:val="110"/>
        </w:rPr>
        <w:t>una</w:t>
      </w:r>
      <w:r>
        <w:rPr>
          <w:color w:val="231F1F"/>
          <w:spacing w:val="-15"/>
          <w:w w:val="110"/>
        </w:rPr>
        <w:t> </w:t>
      </w:r>
      <w:r>
        <w:rPr>
          <w:color w:val="231F1F"/>
          <w:w w:val="110"/>
        </w:rPr>
        <w:t>durante</w:t>
      </w:r>
      <w:r>
        <w:rPr>
          <w:color w:val="231F1F"/>
          <w:spacing w:val="-15"/>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consideran- do</w:t>
      </w:r>
      <w:r>
        <w:rPr>
          <w:color w:val="231F1F"/>
          <w:spacing w:val="-9"/>
          <w:w w:val="110"/>
        </w:rPr>
        <w:t> </w:t>
      </w:r>
      <w:r>
        <w:rPr>
          <w:color w:val="231F1F"/>
          <w:w w:val="110"/>
        </w:rPr>
        <w:t>tanto</w:t>
      </w:r>
      <w:r>
        <w:rPr>
          <w:color w:val="231F1F"/>
          <w:spacing w:val="-9"/>
          <w:w w:val="110"/>
        </w:rPr>
        <w:t> </w:t>
      </w:r>
      <w:r>
        <w:rPr>
          <w:color w:val="231F1F"/>
          <w:w w:val="110"/>
        </w:rPr>
        <w:t>la</w:t>
      </w:r>
      <w:r>
        <w:rPr>
          <w:color w:val="231F1F"/>
          <w:spacing w:val="-9"/>
          <w:w w:val="110"/>
        </w:rPr>
        <w:t> </w:t>
      </w:r>
      <w:r>
        <w:rPr>
          <w:color w:val="231F1F"/>
          <w:w w:val="110"/>
        </w:rPr>
        <w:t>presencia</w:t>
      </w:r>
      <w:r>
        <w:rPr>
          <w:color w:val="231F1F"/>
          <w:spacing w:val="-10"/>
          <w:w w:val="110"/>
        </w:rPr>
        <w:t> </w:t>
      </w:r>
      <w:r>
        <w:rPr>
          <w:color w:val="231F1F"/>
          <w:w w:val="110"/>
        </w:rPr>
        <w:t>y</w:t>
      </w:r>
      <w:r>
        <w:rPr>
          <w:color w:val="231F1F"/>
          <w:spacing w:val="-9"/>
          <w:w w:val="110"/>
        </w:rPr>
        <w:t> </w:t>
      </w:r>
      <w:r>
        <w:rPr>
          <w:color w:val="231F1F"/>
          <w:w w:val="110"/>
        </w:rPr>
        <w:t>atención</w:t>
      </w:r>
      <w:r>
        <w:rPr>
          <w:color w:val="231F1F"/>
          <w:spacing w:val="-9"/>
          <w:w w:val="110"/>
        </w:rPr>
        <w:t> </w:t>
      </w:r>
      <w:r>
        <w:rPr>
          <w:color w:val="231F1F"/>
          <w:w w:val="110"/>
        </w:rPr>
        <w:t>continua</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pareja</w:t>
      </w:r>
      <w:r>
        <w:rPr>
          <w:color w:val="231F1F"/>
          <w:spacing w:val="-10"/>
          <w:w w:val="110"/>
        </w:rPr>
        <w:t> </w:t>
      </w:r>
      <w:r>
        <w:rPr>
          <w:color w:val="231F1F"/>
          <w:w w:val="110"/>
        </w:rPr>
        <w:t>o</w:t>
      </w:r>
      <w:r>
        <w:rPr>
          <w:color w:val="231F1F"/>
          <w:spacing w:val="-9"/>
          <w:w w:val="110"/>
        </w:rPr>
        <w:t> </w:t>
      </w:r>
      <w:r>
        <w:rPr>
          <w:color w:val="231F1F"/>
          <w:w w:val="110"/>
        </w:rPr>
        <w:t>familiares,</w:t>
      </w:r>
      <w:r>
        <w:rPr>
          <w:color w:val="231F1F"/>
          <w:spacing w:val="-10"/>
          <w:w w:val="110"/>
        </w:rPr>
        <w:t> </w:t>
      </w:r>
      <w:r>
        <w:rPr>
          <w:color w:val="231F1F"/>
          <w:w w:val="110"/>
        </w:rPr>
        <w:t>profesio- nales</w:t>
      </w:r>
      <w:r>
        <w:rPr>
          <w:color w:val="231F1F"/>
          <w:spacing w:val="-6"/>
          <w:w w:val="110"/>
        </w:rPr>
        <w:t> </w:t>
      </w:r>
      <w:r>
        <w:rPr>
          <w:color w:val="231F1F"/>
          <w:w w:val="110"/>
        </w:rPr>
        <w:t>(matronas),</w:t>
      </w:r>
      <w:r>
        <w:rPr>
          <w:color w:val="231F1F"/>
          <w:spacing w:val="-6"/>
          <w:w w:val="110"/>
        </w:rPr>
        <w:t> </w:t>
      </w:r>
      <w:r>
        <w:rPr>
          <w:color w:val="231F1F"/>
          <w:w w:val="110"/>
        </w:rPr>
        <w:t>como</w:t>
      </w:r>
      <w:r>
        <w:rPr>
          <w:color w:val="231F1F"/>
          <w:spacing w:val="-6"/>
          <w:w w:val="110"/>
        </w:rPr>
        <w:t> </w:t>
      </w:r>
      <w:r>
        <w:rPr>
          <w:color w:val="231F1F"/>
          <w:w w:val="110"/>
        </w:rPr>
        <w:t>la</w:t>
      </w:r>
      <w:r>
        <w:rPr>
          <w:color w:val="231F1F"/>
          <w:spacing w:val="-6"/>
          <w:w w:val="110"/>
        </w:rPr>
        <w:t> </w:t>
      </w:r>
      <w:r>
        <w:rPr>
          <w:color w:val="231F1F"/>
          <w:w w:val="110"/>
        </w:rPr>
        <w:t>atención</w:t>
      </w:r>
      <w:r>
        <w:rPr>
          <w:color w:val="231F1F"/>
          <w:spacing w:val="-6"/>
          <w:w w:val="110"/>
        </w:rPr>
        <w:t> </w:t>
      </w:r>
      <w:r>
        <w:rPr>
          <w:color w:val="231F1F"/>
          <w:w w:val="110"/>
        </w:rPr>
        <w:t>por</w:t>
      </w:r>
      <w:r>
        <w:rPr>
          <w:color w:val="231F1F"/>
          <w:spacing w:val="-6"/>
          <w:w w:val="110"/>
        </w:rPr>
        <w:t> </w:t>
      </w:r>
      <w:r>
        <w:rPr>
          <w:color w:val="231F1F"/>
          <w:w w:val="110"/>
        </w:rPr>
        <w:t>otro</w:t>
      </w:r>
      <w:r>
        <w:rPr>
          <w:color w:val="231F1F"/>
          <w:spacing w:val="-6"/>
          <w:w w:val="110"/>
        </w:rPr>
        <w:t> </w:t>
      </w:r>
      <w:r>
        <w:rPr>
          <w:color w:val="231F1F"/>
          <w:w w:val="110"/>
        </w:rPr>
        <w:t>tipo</w:t>
      </w:r>
      <w:r>
        <w:rPr>
          <w:color w:val="231F1F"/>
          <w:spacing w:val="-6"/>
          <w:w w:val="110"/>
        </w:rPr>
        <w:t> </w:t>
      </w:r>
      <w:r>
        <w:rPr>
          <w:color w:val="231F1F"/>
          <w:w w:val="110"/>
        </w:rPr>
        <w:t>de</w:t>
      </w:r>
      <w:r>
        <w:rPr>
          <w:color w:val="231F1F"/>
          <w:spacing w:val="-6"/>
          <w:w w:val="110"/>
        </w:rPr>
        <w:t> </w:t>
      </w:r>
      <w:r>
        <w:rPr>
          <w:color w:val="231F1F"/>
          <w:w w:val="110"/>
        </w:rPr>
        <w:t>acompañantes,</w:t>
      </w:r>
      <w:r>
        <w:rPr>
          <w:color w:val="231F1F"/>
          <w:spacing w:val="-6"/>
          <w:w w:val="110"/>
        </w:rPr>
        <w:t> </w:t>
      </w:r>
      <w:r>
        <w:rPr>
          <w:color w:val="231F1F"/>
          <w:w w:val="110"/>
        </w:rPr>
        <w:t>si</w:t>
      </w:r>
      <w:r>
        <w:rPr>
          <w:color w:val="231F1F"/>
          <w:spacing w:val="-6"/>
          <w:w w:val="110"/>
        </w:rPr>
        <w:t> </w:t>
      </w:r>
      <w:r>
        <w:rPr>
          <w:color w:val="231F1F"/>
          <w:w w:val="110"/>
        </w:rPr>
        <w:t>bien</w:t>
      </w:r>
      <w:r>
        <w:rPr>
          <w:color w:val="231F1F"/>
          <w:spacing w:val="-6"/>
          <w:w w:val="110"/>
        </w:rPr>
        <w:t> </w:t>
      </w:r>
      <w:r>
        <w:rPr>
          <w:color w:val="231F1F"/>
          <w:w w:val="110"/>
        </w:rPr>
        <w:t>a nosotros sólo nos interesa la atención por profesionales.</w:t>
      </w:r>
    </w:p>
    <w:p>
      <w:pPr>
        <w:pStyle w:val="BodyText"/>
        <w:spacing w:line="261" w:lineRule="auto" w:before="163"/>
        <w:ind w:left="283" w:right="1366" w:firstLine="453"/>
        <w:jc w:val="both"/>
      </w:pPr>
      <w:r>
        <w:rPr>
          <w:color w:val="231F1F"/>
        </w:rPr>
        <w:t>La guía NICE (10) incluyó una RS (13) con 15 estudios realizados en países de bajos y elevados ingresos (Australia, Bélgica, Botswana, Canadá, Finlandia, Francia, Grecia, Guatemala, México, Sudáfrica y Estados Unidos), con un total</w:t>
      </w:r>
      <w:r>
        <w:rPr>
          <w:color w:val="231F1F"/>
          <w:spacing w:val="80"/>
          <w:w w:val="150"/>
        </w:rPr>
        <w:t> </w:t>
      </w:r>
      <w:r>
        <w:rPr>
          <w:color w:val="231F1F"/>
        </w:rPr>
        <w:t>de 12.791 mujeres. La RS evaluaba la presencia y apoyo continuo proporcionado por la pareja o familiares, profesionales (matronas) u otro tipo de acompañantes.</w:t>
      </w:r>
    </w:p>
    <w:p>
      <w:pPr>
        <w:pStyle w:val="BodyText"/>
        <w:spacing w:line="244" w:lineRule="auto" w:before="134"/>
        <w:ind w:left="283" w:right="1365" w:firstLine="453"/>
        <w:jc w:val="both"/>
      </w:pPr>
      <w:r>
        <w:rPr>
          <w:color w:val="231F1F"/>
        </w:rPr>
        <w:t>En</w:t>
      </w:r>
      <w:r>
        <w:rPr>
          <w:color w:val="231F1F"/>
          <w:spacing w:val="31"/>
        </w:rPr>
        <w:t> </w:t>
      </w:r>
      <w:r>
        <w:rPr>
          <w:color w:val="231F1F"/>
        </w:rPr>
        <w:t>el</w:t>
      </w:r>
      <w:r>
        <w:rPr>
          <w:color w:val="231F1F"/>
          <w:spacing w:val="31"/>
        </w:rPr>
        <w:t> </w:t>
      </w:r>
      <w:r>
        <w:rPr>
          <w:color w:val="231F1F"/>
        </w:rPr>
        <w:t>estudio</w:t>
      </w:r>
      <w:r>
        <w:rPr>
          <w:color w:val="231F1F"/>
          <w:spacing w:val="30"/>
        </w:rPr>
        <w:t> </w:t>
      </w:r>
      <w:r>
        <w:rPr>
          <w:color w:val="231F1F"/>
        </w:rPr>
        <w:t>se</w:t>
      </w:r>
      <w:r>
        <w:rPr>
          <w:color w:val="231F1F"/>
          <w:spacing w:val="30"/>
        </w:rPr>
        <w:t> </w:t>
      </w:r>
      <w:r>
        <w:rPr>
          <w:color w:val="231F1F"/>
        </w:rPr>
        <w:t>realizó</w:t>
      </w:r>
      <w:r>
        <w:rPr>
          <w:color w:val="231F1F"/>
          <w:spacing w:val="31"/>
        </w:rPr>
        <w:t> </w:t>
      </w:r>
      <w:r>
        <w:rPr>
          <w:color w:val="231F1F"/>
        </w:rPr>
        <w:t>un</w:t>
      </w:r>
      <w:r>
        <w:rPr>
          <w:color w:val="231F1F"/>
          <w:spacing w:val="30"/>
        </w:rPr>
        <w:t> </w:t>
      </w:r>
      <w:r>
        <w:rPr>
          <w:color w:val="231F1F"/>
        </w:rPr>
        <w:t>análisis</w:t>
      </w:r>
      <w:r>
        <w:rPr>
          <w:color w:val="231F1F"/>
          <w:spacing w:val="30"/>
        </w:rPr>
        <w:t> </w:t>
      </w:r>
      <w:r>
        <w:rPr>
          <w:color w:val="231F1F"/>
        </w:rPr>
        <w:t>secundario</w:t>
      </w:r>
      <w:r>
        <w:rPr>
          <w:color w:val="231F1F"/>
          <w:spacing w:val="32"/>
        </w:rPr>
        <w:t> </w:t>
      </w:r>
      <w:r>
        <w:rPr>
          <w:color w:val="231F1F"/>
        </w:rPr>
        <w:t>con</w:t>
      </w:r>
      <w:r>
        <w:rPr>
          <w:color w:val="231F1F"/>
          <w:spacing w:val="31"/>
        </w:rPr>
        <w:t> </w:t>
      </w:r>
      <w:r>
        <w:rPr>
          <w:color w:val="231F1F"/>
        </w:rPr>
        <w:t>el</w:t>
      </w:r>
      <w:r>
        <w:rPr>
          <w:color w:val="231F1F"/>
          <w:spacing w:val="31"/>
        </w:rPr>
        <w:t> </w:t>
      </w:r>
      <w:r>
        <w:rPr>
          <w:color w:val="231F1F"/>
        </w:rPr>
        <w:t>objetivo</w:t>
      </w:r>
      <w:r>
        <w:rPr>
          <w:color w:val="231F1F"/>
          <w:spacing w:val="30"/>
        </w:rPr>
        <w:t> </w:t>
      </w:r>
      <w:r>
        <w:rPr>
          <w:color w:val="231F1F"/>
        </w:rPr>
        <w:t>de</w:t>
      </w:r>
      <w:r>
        <w:rPr>
          <w:color w:val="231F1F"/>
          <w:spacing w:val="30"/>
        </w:rPr>
        <w:t> </w:t>
      </w:r>
      <w:r>
        <w:rPr>
          <w:color w:val="231F1F"/>
        </w:rPr>
        <w:t>analizar </w:t>
      </w:r>
      <w:r>
        <w:rPr>
          <w:color w:val="231F1F"/>
          <w:w w:val="110"/>
        </w:rPr>
        <w:t>si los efectos del apoyo continuo eran influidos por el tipo de prestador de cuidados.</w:t>
      </w:r>
      <w:r>
        <w:rPr>
          <w:color w:val="231F1F"/>
          <w:spacing w:val="-13"/>
          <w:w w:val="110"/>
        </w:rPr>
        <w:t> </w:t>
      </w:r>
      <w:r>
        <w:rPr>
          <w:color w:val="231F1F"/>
          <w:w w:val="110"/>
        </w:rPr>
        <w:t>Se</w:t>
      </w:r>
      <w:r>
        <w:rPr>
          <w:color w:val="231F1F"/>
          <w:spacing w:val="-14"/>
          <w:w w:val="110"/>
        </w:rPr>
        <w:t> </w:t>
      </w:r>
      <w:r>
        <w:rPr>
          <w:color w:val="231F1F"/>
          <w:w w:val="110"/>
        </w:rPr>
        <w:t>llevó</w:t>
      </w:r>
      <w:r>
        <w:rPr>
          <w:color w:val="231F1F"/>
          <w:spacing w:val="-13"/>
          <w:w w:val="110"/>
        </w:rPr>
        <w:t> </w:t>
      </w:r>
      <w:r>
        <w:rPr>
          <w:color w:val="231F1F"/>
          <w:w w:val="110"/>
        </w:rPr>
        <w:t>a</w:t>
      </w:r>
      <w:r>
        <w:rPr>
          <w:color w:val="231F1F"/>
          <w:spacing w:val="-13"/>
          <w:w w:val="110"/>
        </w:rPr>
        <w:t> </w:t>
      </w:r>
      <w:r>
        <w:rPr>
          <w:color w:val="231F1F"/>
          <w:w w:val="110"/>
        </w:rPr>
        <w:t>cabo</w:t>
      </w:r>
      <w:r>
        <w:rPr>
          <w:color w:val="231F1F"/>
          <w:spacing w:val="-13"/>
          <w:w w:val="110"/>
        </w:rPr>
        <w:t> </w:t>
      </w:r>
      <w:r>
        <w:rPr>
          <w:color w:val="231F1F"/>
          <w:w w:val="110"/>
        </w:rPr>
        <w:t>un</w:t>
      </w:r>
      <w:r>
        <w:rPr>
          <w:color w:val="231F1F"/>
          <w:spacing w:val="-13"/>
          <w:w w:val="110"/>
        </w:rPr>
        <w:t> </w:t>
      </w:r>
      <w:r>
        <w:rPr>
          <w:color w:val="231F1F"/>
          <w:w w:val="110"/>
        </w:rPr>
        <w:t>análisis</w:t>
      </w:r>
      <w:r>
        <w:rPr>
          <w:color w:val="231F1F"/>
          <w:spacing w:val="-14"/>
          <w:w w:val="110"/>
        </w:rPr>
        <w:t> </w:t>
      </w:r>
      <w:r>
        <w:rPr>
          <w:color w:val="231F1F"/>
          <w:w w:val="110"/>
        </w:rPr>
        <w:t>de</w:t>
      </w:r>
      <w:r>
        <w:rPr>
          <w:color w:val="231F1F"/>
          <w:spacing w:val="-14"/>
          <w:w w:val="110"/>
        </w:rPr>
        <w:t> </w:t>
      </w:r>
      <w:r>
        <w:rPr>
          <w:color w:val="231F1F"/>
          <w:w w:val="110"/>
        </w:rPr>
        <w:t>subgrupos</w:t>
      </w:r>
      <w:r>
        <w:rPr>
          <w:color w:val="231F1F"/>
          <w:spacing w:val="-14"/>
          <w:w w:val="110"/>
        </w:rPr>
        <w:t> </w:t>
      </w:r>
      <w:r>
        <w:rPr>
          <w:color w:val="231F1F"/>
          <w:w w:val="110"/>
        </w:rPr>
        <w:t>en</w:t>
      </w:r>
      <w:r>
        <w:rPr>
          <w:color w:val="231F1F"/>
          <w:spacing w:val="-13"/>
          <w:w w:val="110"/>
        </w:rPr>
        <w:t> </w:t>
      </w:r>
      <w:r>
        <w:rPr>
          <w:color w:val="231F1F"/>
          <w:w w:val="110"/>
        </w:rPr>
        <w:t>función</w:t>
      </w:r>
      <w:r>
        <w:rPr>
          <w:color w:val="231F1F"/>
          <w:spacing w:val="-13"/>
          <w:w w:val="110"/>
        </w:rPr>
        <w:t> </w:t>
      </w:r>
      <w:r>
        <w:rPr>
          <w:color w:val="231F1F"/>
          <w:w w:val="110"/>
        </w:rPr>
        <w:t>del</w:t>
      </w:r>
      <w:r>
        <w:rPr>
          <w:color w:val="231F1F"/>
          <w:spacing w:val="-14"/>
          <w:w w:val="110"/>
        </w:rPr>
        <w:t> </w:t>
      </w:r>
      <w:r>
        <w:rPr>
          <w:color w:val="231F1F"/>
          <w:w w:val="110"/>
        </w:rPr>
        <w:t>estatus</w:t>
      </w:r>
      <w:r>
        <w:rPr>
          <w:color w:val="231F1F"/>
          <w:spacing w:val="-14"/>
          <w:w w:val="110"/>
        </w:rPr>
        <w:t> </w:t>
      </w:r>
      <w:r>
        <w:rPr>
          <w:color w:val="231F1F"/>
          <w:w w:val="110"/>
        </w:rPr>
        <w:t>del </w:t>
      </w:r>
      <w:r>
        <w:rPr>
          <w:color w:val="231F1F"/>
          <w:spacing w:val="-2"/>
          <w:w w:val="110"/>
        </w:rPr>
        <w:t>cuidador.</w:t>
      </w:r>
      <w:r>
        <w:rPr>
          <w:color w:val="231F1F"/>
          <w:spacing w:val="-11"/>
          <w:w w:val="110"/>
        </w:rPr>
        <w:t> </w:t>
      </w:r>
      <w:r>
        <w:rPr>
          <w:color w:val="231F1F"/>
          <w:spacing w:val="-2"/>
          <w:w w:val="110"/>
        </w:rPr>
        <w:t>Así,</w:t>
      </w:r>
      <w:r>
        <w:rPr>
          <w:color w:val="231F1F"/>
          <w:spacing w:val="-12"/>
          <w:w w:val="110"/>
        </w:rPr>
        <w:t> </w:t>
      </w:r>
      <w:r>
        <w:rPr>
          <w:color w:val="231F1F"/>
          <w:spacing w:val="-2"/>
          <w:w w:val="110"/>
        </w:rPr>
        <w:t>en</w:t>
      </w:r>
      <w:r>
        <w:rPr>
          <w:color w:val="231F1F"/>
          <w:spacing w:val="-11"/>
          <w:w w:val="110"/>
        </w:rPr>
        <w:t> </w:t>
      </w:r>
      <w:r>
        <w:rPr>
          <w:color w:val="231F1F"/>
          <w:spacing w:val="-2"/>
          <w:w w:val="110"/>
        </w:rPr>
        <w:t>ocho</w:t>
      </w:r>
      <w:r>
        <w:rPr>
          <w:color w:val="231F1F"/>
          <w:spacing w:val="-11"/>
          <w:w w:val="110"/>
        </w:rPr>
        <w:t> </w:t>
      </w:r>
      <w:r>
        <w:rPr>
          <w:color w:val="231F1F"/>
          <w:spacing w:val="-2"/>
          <w:w w:val="110"/>
        </w:rPr>
        <w:t>de</w:t>
      </w:r>
      <w:r>
        <w:rPr>
          <w:color w:val="231F1F"/>
          <w:spacing w:val="-11"/>
          <w:w w:val="110"/>
        </w:rPr>
        <w:t> </w:t>
      </w:r>
      <w:r>
        <w:rPr>
          <w:color w:val="231F1F"/>
          <w:spacing w:val="-2"/>
          <w:w w:val="110"/>
        </w:rPr>
        <w:t>los</w:t>
      </w:r>
      <w:r>
        <w:rPr>
          <w:color w:val="231F1F"/>
          <w:spacing w:val="-12"/>
          <w:w w:val="110"/>
        </w:rPr>
        <w:t> </w:t>
      </w:r>
      <w:r>
        <w:rPr>
          <w:color w:val="231F1F"/>
          <w:spacing w:val="-2"/>
          <w:w w:val="110"/>
        </w:rPr>
        <w:t>estudios</w:t>
      </w:r>
      <w:r>
        <w:rPr>
          <w:color w:val="231F1F"/>
          <w:spacing w:val="-11"/>
          <w:w w:val="110"/>
        </w:rPr>
        <w:t> </w:t>
      </w:r>
      <w:r>
        <w:rPr>
          <w:color w:val="231F1F"/>
          <w:spacing w:val="-2"/>
          <w:w w:val="110"/>
        </w:rPr>
        <w:t>el</w:t>
      </w:r>
      <w:r>
        <w:rPr>
          <w:color w:val="231F1F"/>
          <w:spacing w:val="-12"/>
          <w:w w:val="110"/>
        </w:rPr>
        <w:t> </w:t>
      </w:r>
      <w:r>
        <w:rPr>
          <w:color w:val="231F1F"/>
          <w:spacing w:val="-2"/>
          <w:w w:val="110"/>
        </w:rPr>
        <w:t>cuidado</w:t>
      </w:r>
      <w:r>
        <w:rPr>
          <w:color w:val="231F1F"/>
          <w:spacing w:val="-11"/>
          <w:w w:val="110"/>
        </w:rPr>
        <w:t> </w:t>
      </w:r>
      <w:r>
        <w:rPr>
          <w:color w:val="231F1F"/>
          <w:spacing w:val="-2"/>
          <w:w w:val="110"/>
        </w:rPr>
        <w:t>lo</w:t>
      </w:r>
      <w:r>
        <w:rPr>
          <w:color w:val="231F1F"/>
          <w:spacing w:val="-11"/>
          <w:w w:val="110"/>
        </w:rPr>
        <w:t> </w:t>
      </w:r>
      <w:r>
        <w:rPr>
          <w:color w:val="231F1F"/>
          <w:spacing w:val="-2"/>
          <w:w w:val="110"/>
        </w:rPr>
        <w:t>realizaba</w:t>
      </w:r>
      <w:r>
        <w:rPr>
          <w:color w:val="231F1F"/>
          <w:spacing w:val="-11"/>
          <w:w w:val="110"/>
        </w:rPr>
        <w:t> </w:t>
      </w:r>
      <w:r>
        <w:rPr>
          <w:color w:val="231F1F"/>
          <w:spacing w:val="-2"/>
          <w:w w:val="110"/>
        </w:rPr>
        <w:t>un</w:t>
      </w:r>
      <w:r>
        <w:rPr>
          <w:color w:val="231F1F"/>
          <w:spacing w:val="-11"/>
          <w:w w:val="110"/>
        </w:rPr>
        <w:t> </w:t>
      </w:r>
      <w:r>
        <w:rPr>
          <w:color w:val="231F1F"/>
          <w:spacing w:val="-2"/>
          <w:w w:val="110"/>
        </w:rPr>
        <w:t>miembro</w:t>
      </w:r>
      <w:r>
        <w:rPr>
          <w:color w:val="231F1F"/>
          <w:spacing w:val="-11"/>
          <w:w w:val="110"/>
        </w:rPr>
        <w:t> </w:t>
      </w:r>
      <w:r>
        <w:rPr>
          <w:color w:val="231F1F"/>
          <w:spacing w:val="-2"/>
          <w:w w:val="110"/>
        </w:rPr>
        <w:t>del </w:t>
      </w:r>
      <w:r>
        <w:rPr>
          <w:color w:val="231F1F"/>
          <w:w w:val="110"/>
        </w:rPr>
        <w:t>personal</w:t>
      </w:r>
      <w:r>
        <w:rPr>
          <w:color w:val="231F1F"/>
          <w:spacing w:val="-3"/>
          <w:w w:val="110"/>
        </w:rPr>
        <w:t> </w:t>
      </w:r>
      <w:r>
        <w:rPr>
          <w:color w:val="231F1F"/>
          <w:w w:val="110"/>
        </w:rPr>
        <w:t>del</w:t>
      </w:r>
      <w:r>
        <w:rPr>
          <w:color w:val="231F1F"/>
          <w:spacing w:val="-3"/>
          <w:w w:val="110"/>
        </w:rPr>
        <w:t> </w:t>
      </w:r>
      <w:r>
        <w:rPr>
          <w:color w:val="231F1F"/>
          <w:w w:val="110"/>
        </w:rPr>
        <w:t>hospital</w:t>
      </w:r>
      <w:r>
        <w:rPr>
          <w:color w:val="231F1F"/>
          <w:spacing w:val="-3"/>
          <w:w w:val="110"/>
        </w:rPr>
        <w:t> </w:t>
      </w:r>
      <w:r>
        <w:rPr>
          <w:color w:val="231F1F"/>
          <w:w w:val="110"/>
        </w:rPr>
        <w:t>(matronas,</w:t>
      </w:r>
      <w:r>
        <w:rPr>
          <w:color w:val="231F1F"/>
          <w:spacing w:val="-3"/>
          <w:w w:val="110"/>
        </w:rPr>
        <w:t> </w:t>
      </w:r>
      <w:r>
        <w:rPr>
          <w:color w:val="231F1F"/>
          <w:w w:val="110"/>
        </w:rPr>
        <w:t>matronas</w:t>
      </w:r>
      <w:r>
        <w:rPr>
          <w:color w:val="231F1F"/>
          <w:spacing w:val="-2"/>
          <w:w w:val="110"/>
        </w:rPr>
        <w:t> </w:t>
      </w:r>
      <w:r>
        <w:rPr>
          <w:color w:val="231F1F"/>
          <w:w w:val="110"/>
        </w:rPr>
        <w:t>en</w:t>
      </w:r>
      <w:r>
        <w:rPr>
          <w:color w:val="231F1F"/>
          <w:spacing w:val="-2"/>
          <w:w w:val="110"/>
        </w:rPr>
        <w:t> </w:t>
      </w:r>
      <w:r>
        <w:rPr>
          <w:color w:val="231F1F"/>
          <w:w w:val="110"/>
        </w:rPr>
        <w:t>formación</w:t>
      </w:r>
      <w:r>
        <w:rPr>
          <w:color w:val="231F1F"/>
          <w:spacing w:val="-2"/>
          <w:w w:val="110"/>
        </w:rPr>
        <w:t> </w:t>
      </w:r>
      <w:r>
        <w:rPr>
          <w:color w:val="231F1F"/>
          <w:w w:val="110"/>
        </w:rPr>
        <w:t>o</w:t>
      </w:r>
      <w:r>
        <w:rPr>
          <w:color w:val="231F1F"/>
          <w:spacing w:val="-2"/>
          <w:w w:val="110"/>
        </w:rPr>
        <w:t> </w:t>
      </w:r>
      <w:r>
        <w:rPr>
          <w:color w:val="231F1F"/>
          <w:w w:val="110"/>
        </w:rPr>
        <w:t>enfermeras)</w:t>
      </w:r>
      <w:r>
        <w:rPr>
          <w:color w:val="231F1F"/>
          <w:spacing w:val="-2"/>
          <w:w w:val="110"/>
        </w:rPr>
        <w:t> </w:t>
      </w:r>
      <w:r>
        <w:rPr>
          <w:color w:val="231F1F"/>
          <w:w w:val="110"/>
        </w:rPr>
        <w:t>y</w:t>
      </w:r>
      <w:r>
        <w:rPr>
          <w:color w:val="231F1F"/>
          <w:spacing w:val="-2"/>
          <w:w w:val="110"/>
        </w:rPr>
        <w:t> </w:t>
      </w:r>
      <w:r>
        <w:rPr>
          <w:color w:val="231F1F"/>
          <w:w w:val="110"/>
        </w:rPr>
        <w:t>en los siete estudios restantes, los cuidadores eran mujeres con o sin especial adiestramiento,</w:t>
      </w:r>
      <w:r>
        <w:rPr>
          <w:color w:val="231F1F"/>
          <w:w w:val="110"/>
        </w:rPr>
        <w:t> educadores</w:t>
      </w:r>
      <w:r>
        <w:rPr>
          <w:color w:val="231F1F"/>
          <w:w w:val="110"/>
        </w:rPr>
        <w:t> de</w:t>
      </w:r>
      <w:r>
        <w:rPr>
          <w:color w:val="231F1F"/>
          <w:w w:val="110"/>
        </w:rPr>
        <w:t> parto,</w:t>
      </w:r>
      <w:r>
        <w:rPr>
          <w:color w:val="231F1F"/>
          <w:w w:val="110"/>
        </w:rPr>
        <w:t> enfermeras</w:t>
      </w:r>
      <w:r>
        <w:rPr>
          <w:color w:val="231F1F"/>
          <w:w w:val="110"/>
        </w:rPr>
        <w:t> retiradas,</w:t>
      </w:r>
      <w:r>
        <w:rPr>
          <w:color w:val="231F1F"/>
          <w:w w:val="110"/>
        </w:rPr>
        <w:t> o</w:t>
      </w:r>
      <w:r>
        <w:rPr>
          <w:color w:val="231F1F"/>
          <w:w w:val="110"/>
        </w:rPr>
        <w:t> un</w:t>
      </w:r>
      <w:r>
        <w:rPr>
          <w:color w:val="231F1F"/>
          <w:w w:val="110"/>
        </w:rPr>
        <w:t> pariente femenino</w:t>
      </w:r>
      <w:r>
        <w:rPr>
          <w:color w:val="231F1F"/>
          <w:spacing w:val="-8"/>
          <w:w w:val="110"/>
        </w:rPr>
        <w:t> </w:t>
      </w:r>
      <w:r>
        <w:rPr>
          <w:color w:val="231F1F"/>
          <w:w w:val="110"/>
        </w:rPr>
        <w:t>cercano,</w:t>
      </w:r>
      <w:r>
        <w:rPr>
          <w:color w:val="231F1F"/>
          <w:spacing w:val="-8"/>
          <w:w w:val="110"/>
        </w:rPr>
        <w:t> </w:t>
      </w:r>
      <w:r>
        <w:rPr>
          <w:color w:val="231F1F"/>
          <w:w w:val="110"/>
        </w:rPr>
        <w:t>generalmente</w:t>
      </w:r>
      <w:r>
        <w:rPr>
          <w:color w:val="231F1F"/>
          <w:spacing w:val="-9"/>
          <w:w w:val="110"/>
        </w:rPr>
        <w:t> </w:t>
      </w:r>
      <w:r>
        <w:rPr>
          <w:color w:val="231F1F"/>
          <w:w w:val="110"/>
        </w:rPr>
        <w:t>la</w:t>
      </w:r>
      <w:r>
        <w:rPr>
          <w:color w:val="231F1F"/>
          <w:spacing w:val="-8"/>
          <w:w w:val="110"/>
        </w:rPr>
        <w:t> </w:t>
      </w:r>
      <w:r>
        <w:rPr>
          <w:color w:val="231F1F"/>
          <w:w w:val="110"/>
        </w:rPr>
        <w:t>madre</w:t>
      </w:r>
      <w:r>
        <w:rPr>
          <w:color w:val="231F1F"/>
          <w:spacing w:val="-8"/>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mujer</w:t>
      </w:r>
      <w:r>
        <w:rPr>
          <w:color w:val="231F1F"/>
          <w:spacing w:val="-8"/>
          <w:w w:val="110"/>
        </w:rPr>
        <w:t> </w:t>
      </w:r>
      <w:r>
        <w:rPr>
          <w:color w:val="231F1F"/>
          <w:w w:val="110"/>
        </w:rPr>
        <w:t>(personal</w:t>
      </w:r>
      <w:r>
        <w:rPr>
          <w:color w:val="231F1F"/>
          <w:spacing w:val="-8"/>
          <w:w w:val="110"/>
        </w:rPr>
        <w:t> </w:t>
      </w:r>
      <w:r>
        <w:rPr>
          <w:color w:val="231F1F"/>
          <w:w w:val="110"/>
        </w:rPr>
        <w:t>que</w:t>
      </w:r>
      <w:r>
        <w:rPr>
          <w:color w:val="231F1F"/>
          <w:spacing w:val="-8"/>
          <w:w w:val="110"/>
        </w:rPr>
        <w:t> </w:t>
      </w:r>
      <w:r>
        <w:rPr>
          <w:color w:val="231F1F"/>
          <w:w w:val="110"/>
        </w:rPr>
        <w:t>no</w:t>
      </w:r>
      <w:r>
        <w:rPr>
          <w:color w:val="231F1F"/>
          <w:spacing w:val="-8"/>
          <w:w w:val="110"/>
        </w:rPr>
        <w:t> </w:t>
      </w:r>
      <w:r>
        <w:rPr>
          <w:color w:val="231F1F"/>
          <w:w w:val="110"/>
        </w:rPr>
        <w:t>per- tenecía a la plantilla del hospital).</w:t>
      </w:r>
    </w:p>
    <w:p>
      <w:pPr>
        <w:pStyle w:val="BodyText"/>
        <w:spacing w:line="247" w:lineRule="auto" w:before="159"/>
        <w:ind w:left="283" w:right="1370" w:firstLine="453"/>
        <w:jc w:val="both"/>
      </w:pPr>
      <w:r>
        <w:rPr>
          <w:color w:val="231F1F"/>
          <w:w w:val="110"/>
        </w:rPr>
        <w:t>Para</w:t>
      </w:r>
      <w:r>
        <w:rPr>
          <w:color w:val="231F1F"/>
          <w:spacing w:val="-13"/>
          <w:w w:val="110"/>
        </w:rPr>
        <w:t> </w:t>
      </w:r>
      <w:r>
        <w:rPr>
          <w:color w:val="231F1F"/>
          <w:w w:val="110"/>
        </w:rPr>
        <w:t>responder</w:t>
      </w:r>
      <w:r>
        <w:rPr>
          <w:color w:val="231F1F"/>
          <w:spacing w:val="-13"/>
          <w:w w:val="110"/>
        </w:rPr>
        <w:t> </w:t>
      </w:r>
      <w:r>
        <w:rPr>
          <w:color w:val="231F1F"/>
          <w:w w:val="110"/>
        </w:rPr>
        <w:t>a</w:t>
      </w:r>
      <w:r>
        <w:rPr>
          <w:color w:val="231F1F"/>
          <w:spacing w:val="-13"/>
          <w:w w:val="110"/>
        </w:rPr>
        <w:t> </w:t>
      </w:r>
      <w:r>
        <w:rPr>
          <w:color w:val="231F1F"/>
          <w:w w:val="110"/>
        </w:rPr>
        <w:t>nuestra</w:t>
      </w:r>
      <w:r>
        <w:rPr>
          <w:color w:val="231F1F"/>
          <w:spacing w:val="-13"/>
          <w:w w:val="110"/>
        </w:rPr>
        <w:t> </w:t>
      </w:r>
      <w:r>
        <w:rPr>
          <w:color w:val="231F1F"/>
          <w:w w:val="110"/>
        </w:rPr>
        <w:t>pregunta</w:t>
      </w:r>
      <w:r>
        <w:rPr>
          <w:color w:val="231F1F"/>
          <w:spacing w:val="-14"/>
          <w:w w:val="110"/>
        </w:rPr>
        <w:t> </w:t>
      </w:r>
      <w:r>
        <w:rPr>
          <w:color w:val="231F1F"/>
          <w:w w:val="110"/>
        </w:rPr>
        <w:t>sólo</w:t>
      </w:r>
      <w:r>
        <w:rPr>
          <w:color w:val="231F1F"/>
          <w:spacing w:val="-13"/>
          <w:w w:val="110"/>
        </w:rPr>
        <w:t> </w:t>
      </w:r>
      <w:r>
        <w:rPr>
          <w:color w:val="231F1F"/>
          <w:w w:val="110"/>
        </w:rPr>
        <w:t>nos</w:t>
      </w:r>
      <w:r>
        <w:rPr>
          <w:color w:val="231F1F"/>
          <w:spacing w:val="-13"/>
          <w:w w:val="110"/>
        </w:rPr>
        <w:t> </w:t>
      </w:r>
      <w:r>
        <w:rPr>
          <w:color w:val="231F1F"/>
          <w:w w:val="110"/>
        </w:rPr>
        <w:t>interesa</w:t>
      </w:r>
      <w:r>
        <w:rPr>
          <w:color w:val="231F1F"/>
          <w:spacing w:val="-13"/>
          <w:w w:val="110"/>
        </w:rPr>
        <w:t> </w:t>
      </w:r>
      <w:r>
        <w:rPr>
          <w:color w:val="231F1F"/>
          <w:w w:val="110"/>
        </w:rPr>
        <w:t>la</w:t>
      </w:r>
      <w:r>
        <w:rPr>
          <w:color w:val="231F1F"/>
          <w:spacing w:val="-13"/>
          <w:w w:val="110"/>
        </w:rPr>
        <w:t> </w:t>
      </w:r>
      <w:r>
        <w:rPr>
          <w:color w:val="231F1F"/>
          <w:w w:val="110"/>
        </w:rPr>
        <w:t>atención</w:t>
      </w:r>
      <w:r>
        <w:rPr>
          <w:color w:val="231F1F"/>
          <w:spacing w:val="-13"/>
          <w:w w:val="110"/>
        </w:rPr>
        <w:t> </w:t>
      </w:r>
      <w:r>
        <w:rPr>
          <w:color w:val="231F1F"/>
          <w:w w:val="110"/>
        </w:rPr>
        <w:t>por</w:t>
      </w:r>
      <w:r>
        <w:rPr>
          <w:color w:val="231F1F"/>
          <w:spacing w:val="-14"/>
          <w:w w:val="110"/>
        </w:rPr>
        <w:t> </w:t>
      </w:r>
      <w:r>
        <w:rPr>
          <w:color w:val="231F1F"/>
          <w:w w:val="110"/>
        </w:rPr>
        <w:t>pro- fesionales, por lo que sería suficiente con tener en cuenta los resultados de </w:t>
      </w:r>
      <w:r>
        <w:rPr>
          <w:color w:val="231F1F"/>
        </w:rPr>
        <w:t>análisis</w:t>
      </w:r>
      <w:r>
        <w:rPr>
          <w:color w:val="231F1F"/>
          <w:spacing w:val="39"/>
        </w:rPr>
        <w:t> </w:t>
      </w:r>
      <w:r>
        <w:rPr>
          <w:color w:val="231F1F"/>
        </w:rPr>
        <w:t>estratificado</w:t>
      </w:r>
      <w:r>
        <w:rPr>
          <w:color w:val="231F1F"/>
          <w:spacing w:val="39"/>
        </w:rPr>
        <w:t> </w:t>
      </w:r>
      <w:r>
        <w:rPr>
          <w:color w:val="231F1F"/>
        </w:rPr>
        <w:t>por</w:t>
      </w:r>
      <w:r>
        <w:rPr>
          <w:color w:val="231F1F"/>
          <w:spacing w:val="40"/>
        </w:rPr>
        <w:t> </w:t>
      </w:r>
      <w:r>
        <w:rPr>
          <w:color w:val="231F1F"/>
        </w:rPr>
        <w:t>cuidadores</w:t>
      </w:r>
      <w:r>
        <w:rPr>
          <w:color w:val="231F1F"/>
          <w:spacing w:val="40"/>
        </w:rPr>
        <w:t> </w:t>
      </w:r>
      <w:r>
        <w:rPr>
          <w:color w:val="231F1F"/>
        </w:rPr>
        <w:t>profesionales</w:t>
      </w:r>
      <w:r>
        <w:rPr>
          <w:color w:val="231F1F"/>
          <w:spacing w:val="39"/>
        </w:rPr>
        <w:t> </w:t>
      </w:r>
      <w:r>
        <w:rPr>
          <w:color w:val="231F1F"/>
        </w:rPr>
        <w:t>(con</w:t>
      </w:r>
      <w:r>
        <w:rPr>
          <w:color w:val="231F1F"/>
          <w:spacing w:val="40"/>
        </w:rPr>
        <w:t> </w:t>
      </w:r>
      <w:r>
        <w:rPr>
          <w:color w:val="231F1F"/>
        </w:rPr>
        <w:t>8</w:t>
      </w:r>
      <w:r>
        <w:rPr>
          <w:color w:val="231F1F"/>
          <w:spacing w:val="40"/>
        </w:rPr>
        <w:t> </w:t>
      </w:r>
      <w:r>
        <w:rPr>
          <w:color w:val="231F1F"/>
        </w:rPr>
        <w:t>ensayos),</w:t>
      </w:r>
      <w:r>
        <w:rPr>
          <w:color w:val="231F1F"/>
          <w:spacing w:val="40"/>
        </w:rPr>
        <w:t> </w:t>
      </w:r>
      <w:r>
        <w:rPr>
          <w:color w:val="231F1F"/>
        </w:rPr>
        <w:t>sin</w:t>
      </w:r>
      <w:r>
        <w:rPr>
          <w:color w:val="231F1F"/>
          <w:spacing w:val="40"/>
        </w:rPr>
        <w:t> </w:t>
      </w:r>
      <w:r>
        <w:rPr>
          <w:color w:val="231F1F"/>
        </w:rPr>
        <w:t>embar- </w:t>
      </w:r>
      <w:r>
        <w:rPr>
          <w:color w:val="231F1F"/>
          <w:w w:val="110"/>
        </w:rPr>
        <w:t>go</w:t>
      </w:r>
      <w:r>
        <w:rPr>
          <w:color w:val="231F1F"/>
          <w:spacing w:val="-16"/>
          <w:w w:val="110"/>
        </w:rPr>
        <w:t> </w:t>
      </w:r>
      <w:r>
        <w:rPr>
          <w:color w:val="231F1F"/>
          <w:w w:val="110"/>
        </w:rPr>
        <w:t>resulta</w:t>
      </w:r>
      <w:r>
        <w:rPr>
          <w:color w:val="231F1F"/>
          <w:spacing w:val="-15"/>
          <w:w w:val="110"/>
        </w:rPr>
        <w:t> </w:t>
      </w:r>
      <w:r>
        <w:rPr>
          <w:color w:val="231F1F"/>
          <w:w w:val="110"/>
        </w:rPr>
        <w:t>muy</w:t>
      </w:r>
      <w:r>
        <w:rPr>
          <w:color w:val="231F1F"/>
          <w:spacing w:val="-15"/>
          <w:w w:val="110"/>
        </w:rPr>
        <w:t> </w:t>
      </w:r>
      <w:r>
        <w:rPr>
          <w:color w:val="231F1F"/>
          <w:w w:val="110"/>
        </w:rPr>
        <w:t>interesante</w:t>
      </w:r>
      <w:r>
        <w:rPr>
          <w:color w:val="231F1F"/>
          <w:spacing w:val="-15"/>
          <w:w w:val="110"/>
        </w:rPr>
        <w:t> </w:t>
      </w:r>
      <w:r>
        <w:rPr>
          <w:color w:val="231F1F"/>
          <w:w w:val="110"/>
        </w:rPr>
        <w:t>recoger</w:t>
      </w:r>
      <w:r>
        <w:rPr>
          <w:color w:val="231F1F"/>
          <w:spacing w:val="-15"/>
          <w:w w:val="110"/>
        </w:rPr>
        <w:t> </w:t>
      </w:r>
      <w:r>
        <w:rPr>
          <w:color w:val="231F1F"/>
          <w:w w:val="110"/>
        </w:rPr>
        <w:t>también</w:t>
      </w:r>
      <w:r>
        <w:rPr>
          <w:color w:val="231F1F"/>
          <w:spacing w:val="-15"/>
          <w:w w:val="110"/>
        </w:rPr>
        <w:t> </w:t>
      </w:r>
      <w:r>
        <w:rPr>
          <w:color w:val="231F1F"/>
          <w:w w:val="110"/>
        </w:rPr>
        <w:t>los</w:t>
      </w:r>
      <w:r>
        <w:rPr>
          <w:color w:val="231F1F"/>
          <w:spacing w:val="-15"/>
          <w:w w:val="110"/>
        </w:rPr>
        <w:t> </w:t>
      </w:r>
      <w:r>
        <w:rPr>
          <w:color w:val="231F1F"/>
          <w:w w:val="110"/>
        </w:rPr>
        <w:t>resultados</w:t>
      </w:r>
      <w:r>
        <w:rPr>
          <w:color w:val="231F1F"/>
          <w:spacing w:val="-15"/>
          <w:w w:val="110"/>
        </w:rPr>
        <w:t> </w:t>
      </w:r>
      <w:r>
        <w:rPr>
          <w:color w:val="231F1F"/>
          <w:w w:val="110"/>
        </w:rPr>
        <w:t>de</w:t>
      </w:r>
      <w:r>
        <w:rPr>
          <w:color w:val="231F1F"/>
          <w:spacing w:val="-16"/>
          <w:w w:val="110"/>
        </w:rPr>
        <w:t> </w:t>
      </w:r>
      <w:r>
        <w:rPr>
          <w:color w:val="231F1F"/>
          <w:w w:val="110"/>
        </w:rPr>
        <w:t>la</w:t>
      </w:r>
      <w:r>
        <w:rPr>
          <w:color w:val="231F1F"/>
          <w:spacing w:val="-15"/>
          <w:w w:val="110"/>
        </w:rPr>
        <w:t> </w:t>
      </w:r>
      <w:r>
        <w:rPr>
          <w:color w:val="231F1F"/>
          <w:w w:val="110"/>
        </w:rPr>
        <w:t>comparación entre</w:t>
      </w:r>
      <w:r>
        <w:rPr>
          <w:color w:val="231F1F"/>
          <w:spacing w:val="-8"/>
          <w:w w:val="110"/>
        </w:rPr>
        <w:t> </w:t>
      </w:r>
      <w:r>
        <w:rPr>
          <w:color w:val="231F1F"/>
          <w:w w:val="110"/>
        </w:rPr>
        <w:t>los</w:t>
      </w:r>
      <w:r>
        <w:rPr>
          <w:color w:val="231F1F"/>
          <w:spacing w:val="-8"/>
          <w:w w:val="110"/>
        </w:rPr>
        <w:t> </w:t>
      </w:r>
      <w:r>
        <w:rPr>
          <w:color w:val="231F1F"/>
          <w:w w:val="110"/>
        </w:rPr>
        <w:t>ensayos</w:t>
      </w:r>
      <w:r>
        <w:rPr>
          <w:color w:val="231F1F"/>
          <w:spacing w:val="-7"/>
          <w:w w:val="110"/>
        </w:rPr>
        <w:t> </w:t>
      </w:r>
      <w:r>
        <w:rPr>
          <w:color w:val="231F1F"/>
          <w:w w:val="110"/>
        </w:rPr>
        <w:t>en</w:t>
      </w:r>
      <w:r>
        <w:rPr>
          <w:color w:val="231F1F"/>
          <w:spacing w:val="-8"/>
          <w:w w:val="110"/>
        </w:rPr>
        <w:t> </w:t>
      </w:r>
      <w:r>
        <w:rPr>
          <w:color w:val="231F1F"/>
          <w:w w:val="110"/>
        </w:rPr>
        <w:t>los</w:t>
      </w:r>
      <w:r>
        <w:rPr>
          <w:color w:val="231F1F"/>
          <w:spacing w:val="-8"/>
          <w:w w:val="110"/>
        </w:rPr>
        <w:t> </w:t>
      </w:r>
      <w:r>
        <w:rPr>
          <w:color w:val="231F1F"/>
          <w:w w:val="110"/>
        </w:rPr>
        <w:t>que</w:t>
      </w:r>
      <w:r>
        <w:rPr>
          <w:color w:val="231F1F"/>
          <w:spacing w:val="-8"/>
          <w:w w:val="110"/>
        </w:rPr>
        <w:t> </w:t>
      </w:r>
      <w:r>
        <w:rPr>
          <w:color w:val="231F1F"/>
          <w:w w:val="110"/>
        </w:rPr>
        <w:t>los</w:t>
      </w:r>
      <w:r>
        <w:rPr>
          <w:color w:val="231F1F"/>
          <w:spacing w:val="-8"/>
          <w:w w:val="110"/>
        </w:rPr>
        <w:t> </w:t>
      </w:r>
      <w:r>
        <w:rPr>
          <w:color w:val="231F1F"/>
          <w:w w:val="110"/>
        </w:rPr>
        <w:t>cuidadores</w:t>
      </w:r>
      <w:r>
        <w:rPr>
          <w:color w:val="231F1F"/>
          <w:spacing w:val="-8"/>
          <w:w w:val="110"/>
        </w:rPr>
        <w:t> </w:t>
      </w:r>
      <w:r>
        <w:rPr>
          <w:color w:val="231F1F"/>
          <w:w w:val="110"/>
        </w:rPr>
        <w:t>eran</w:t>
      </w:r>
      <w:r>
        <w:rPr>
          <w:color w:val="231F1F"/>
          <w:spacing w:val="-8"/>
          <w:w w:val="110"/>
        </w:rPr>
        <w:t> </w:t>
      </w:r>
      <w:r>
        <w:rPr>
          <w:color w:val="231F1F"/>
          <w:w w:val="110"/>
        </w:rPr>
        <w:t>empleados</w:t>
      </w:r>
      <w:r>
        <w:rPr>
          <w:color w:val="231F1F"/>
          <w:spacing w:val="-8"/>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institución y los ensayos en los que los cuidadores no eran empleados.</w:t>
      </w:r>
    </w:p>
    <w:p>
      <w:pPr>
        <w:pStyle w:val="BodyText"/>
        <w:spacing w:after="0" w:line="247" w:lineRule="auto"/>
        <w:jc w:val="both"/>
        <w:sectPr>
          <w:pgSz w:w="11900" w:h="16840"/>
          <w:pgMar w:header="0" w:footer="622" w:top="1560" w:bottom="820" w:left="1417" w:right="1559"/>
        </w:sectPr>
      </w:pPr>
    </w:p>
    <w:p>
      <w:pPr>
        <w:tabs>
          <w:tab w:pos="7966" w:val="left" w:leader="none"/>
          <w:tab w:pos="8114" w:val="left" w:leader="none"/>
        </w:tabs>
        <w:spacing w:line="249" w:lineRule="auto" w:before="78"/>
        <w:ind w:left="283" w:right="450" w:firstLine="453"/>
        <w:jc w:val="left"/>
        <w:rPr>
          <w:sz w:val="22"/>
        </w:rPr>
      </w:pPr>
      <w:r>
        <w:rPr>
          <w:color w:val="231F1F"/>
          <w:w w:val="105"/>
          <w:sz w:val="22"/>
        </w:rPr>
        <w:t>Así, los resultados del análisis de los estudios que comparaban el </w:t>
      </w:r>
      <w:r>
        <w:rPr>
          <w:i/>
          <w:color w:val="231F1F"/>
          <w:w w:val="105"/>
          <w:sz w:val="22"/>
        </w:rPr>
        <w:t>apoyo</w:t>
      </w:r>
      <w:r>
        <w:rPr>
          <w:i/>
          <w:color w:val="231F1F"/>
          <w:sz w:val="22"/>
        </w:rPr>
        <w:tab/>
      </w:r>
      <w:r>
        <w:rPr>
          <w:rFonts w:ascii="Arial MT" w:hAnsi="Arial MT"/>
          <w:color w:val="231F1F"/>
          <w:spacing w:val="-6"/>
          <w:w w:val="105"/>
          <w:sz w:val="18"/>
        </w:rPr>
        <w:t>RS</w:t>
      </w:r>
      <w:r>
        <w:rPr>
          <w:rFonts w:ascii="Arial MT" w:hAnsi="Arial MT"/>
          <w:color w:val="231F1F"/>
          <w:spacing w:val="-8"/>
          <w:w w:val="105"/>
          <w:sz w:val="18"/>
        </w:rPr>
        <w:t> </w:t>
      </w:r>
      <w:r>
        <w:rPr>
          <w:rFonts w:ascii="Arial MT" w:hAnsi="Arial MT"/>
          <w:color w:val="231F1F"/>
          <w:spacing w:val="-6"/>
          <w:w w:val="105"/>
          <w:sz w:val="18"/>
        </w:rPr>
        <w:t>de </w:t>
      </w:r>
      <w:r>
        <w:rPr>
          <w:i/>
          <w:color w:val="231F1F"/>
          <w:w w:val="105"/>
          <w:sz w:val="22"/>
        </w:rPr>
        <w:t>una a una por profesionales con el cuidado estándar </w:t>
      </w:r>
      <w:r>
        <w:rPr>
          <w:color w:val="231F1F"/>
          <w:w w:val="105"/>
          <w:sz w:val="22"/>
        </w:rPr>
        <w:t>mostraron que las muje-</w:t>
      </w:r>
      <w:r>
        <w:rPr>
          <w:color w:val="231F1F"/>
          <w:sz w:val="22"/>
        </w:rPr>
        <w:tab/>
      </w:r>
      <w:r>
        <w:rPr>
          <w:color w:val="231F1F"/>
          <w:spacing w:val="-33"/>
          <w:sz w:val="22"/>
        </w:rPr>
        <w:t> </w:t>
      </w:r>
      <w:r>
        <w:rPr>
          <w:rFonts w:ascii="Arial MT" w:hAnsi="Arial MT"/>
          <w:color w:val="231F1F"/>
          <w:spacing w:val="-2"/>
          <w:w w:val="105"/>
          <w:position w:val="4"/>
          <w:sz w:val="18"/>
        </w:rPr>
        <w:t>ECAs </w:t>
      </w:r>
      <w:r>
        <w:rPr>
          <w:color w:val="231F1F"/>
          <w:w w:val="105"/>
          <w:sz w:val="22"/>
        </w:rPr>
        <w:t>res del grupo con atención una a una tuvieron una menor probabilidad de</w:t>
      </w:r>
      <w:r>
        <w:rPr>
          <w:color w:val="231F1F"/>
          <w:sz w:val="22"/>
        </w:rPr>
        <w:tab/>
        <w:tab/>
      </w:r>
      <w:r>
        <w:rPr>
          <w:rFonts w:ascii="Arial MT" w:hAnsi="Arial MT"/>
          <w:color w:val="231F1F"/>
          <w:spacing w:val="-6"/>
          <w:w w:val="105"/>
          <w:position w:val="8"/>
          <w:sz w:val="18"/>
        </w:rPr>
        <w:t>1+ </w:t>
      </w:r>
      <w:r>
        <w:rPr>
          <w:color w:val="231F1F"/>
          <w:w w:val="105"/>
          <w:sz w:val="22"/>
        </w:rPr>
        <w:t>utilizar analgesia: RR 0,97 [IC 95% 0,95 a 0,99], mayor probabilidad de tener</w:t>
      </w:r>
    </w:p>
    <w:p>
      <w:pPr>
        <w:pStyle w:val="BodyText"/>
        <w:spacing w:line="249" w:lineRule="auto"/>
        <w:ind w:left="283" w:right="1386"/>
      </w:pPr>
      <w:r>
        <w:rPr>
          <w:color w:val="231F1F"/>
          <w:w w:val="105"/>
        </w:rPr>
        <w:t>un parto vaginal espontáneo: RR 1,03 [IC 95% 1,01 a</w:t>
      </w:r>
      <w:r>
        <w:rPr>
          <w:color w:val="231F1F"/>
          <w:spacing w:val="-1"/>
          <w:w w:val="105"/>
        </w:rPr>
        <w:t> </w:t>
      </w:r>
      <w:r>
        <w:rPr>
          <w:color w:val="231F1F"/>
          <w:w w:val="105"/>
        </w:rPr>
        <w:t>1,06] y menor probabi- lidad</w:t>
      </w:r>
      <w:r>
        <w:rPr>
          <w:color w:val="231F1F"/>
          <w:spacing w:val="40"/>
          <w:w w:val="105"/>
        </w:rPr>
        <w:t> </w:t>
      </w:r>
      <w:r>
        <w:rPr>
          <w:color w:val="231F1F"/>
          <w:w w:val="105"/>
        </w:rPr>
        <w:t>de</w:t>
      </w:r>
      <w:r>
        <w:rPr>
          <w:color w:val="231F1F"/>
          <w:spacing w:val="40"/>
          <w:w w:val="105"/>
        </w:rPr>
        <w:t> </w:t>
      </w:r>
      <w:r>
        <w:rPr>
          <w:color w:val="231F1F"/>
          <w:w w:val="105"/>
        </w:rPr>
        <w:t>un</w:t>
      </w:r>
      <w:r>
        <w:rPr>
          <w:color w:val="231F1F"/>
          <w:spacing w:val="40"/>
          <w:w w:val="105"/>
        </w:rPr>
        <w:t> </w:t>
      </w:r>
      <w:r>
        <w:rPr>
          <w:color w:val="231F1F"/>
          <w:w w:val="105"/>
        </w:rPr>
        <w:t>parto</w:t>
      </w:r>
      <w:r>
        <w:rPr>
          <w:color w:val="231F1F"/>
          <w:spacing w:val="40"/>
          <w:w w:val="105"/>
        </w:rPr>
        <w:t> </w:t>
      </w:r>
      <w:r>
        <w:rPr>
          <w:color w:val="231F1F"/>
          <w:w w:val="105"/>
        </w:rPr>
        <w:t>vaginal</w:t>
      </w:r>
      <w:r>
        <w:rPr>
          <w:color w:val="231F1F"/>
          <w:spacing w:val="40"/>
          <w:w w:val="105"/>
        </w:rPr>
        <w:t> </w:t>
      </w:r>
      <w:r>
        <w:rPr>
          <w:color w:val="231F1F"/>
          <w:w w:val="105"/>
        </w:rPr>
        <w:t>instrumentado:</w:t>
      </w:r>
      <w:r>
        <w:rPr>
          <w:color w:val="231F1F"/>
          <w:spacing w:val="40"/>
          <w:w w:val="105"/>
        </w:rPr>
        <w:t> </w:t>
      </w:r>
      <w:r>
        <w:rPr>
          <w:color w:val="231F1F"/>
          <w:w w:val="105"/>
        </w:rPr>
        <w:t>RR</w:t>
      </w:r>
      <w:r>
        <w:rPr>
          <w:color w:val="231F1F"/>
          <w:spacing w:val="40"/>
          <w:w w:val="105"/>
        </w:rPr>
        <w:t> </w:t>
      </w:r>
      <w:r>
        <w:rPr>
          <w:color w:val="231F1F"/>
          <w:w w:val="105"/>
        </w:rPr>
        <w:t>0,92</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0,85</w:t>
      </w:r>
      <w:r>
        <w:rPr>
          <w:color w:val="231F1F"/>
          <w:spacing w:val="40"/>
          <w:w w:val="105"/>
        </w:rPr>
        <w:t> </w:t>
      </w:r>
      <w:r>
        <w:rPr>
          <w:color w:val="231F1F"/>
          <w:w w:val="105"/>
        </w:rPr>
        <w:t>a</w:t>
      </w:r>
      <w:r>
        <w:rPr>
          <w:color w:val="231F1F"/>
          <w:spacing w:val="40"/>
          <w:w w:val="105"/>
        </w:rPr>
        <w:t> </w:t>
      </w:r>
      <w:r>
        <w:rPr>
          <w:color w:val="231F1F"/>
          <w:w w:val="105"/>
        </w:rPr>
        <w:t>0,99].</w:t>
      </w:r>
    </w:p>
    <w:p>
      <w:pPr>
        <w:pStyle w:val="BodyText"/>
        <w:tabs>
          <w:tab w:pos="7966" w:val="left" w:leader="none"/>
          <w:tab w:pos="8007" w:val="left" w:leader="none"/>
          <w:tab w:pos="8114" w:val="left" w:leader="none"/>
        </w:tabs>
        <w:spacing w:line="247" w:lineRule="auto" w:before="97"/>
        <w:ind w:left="283" w:right="451" w:firstLine="453"/>
      </w:pPr>
      <w:r>
        <w:rPr>
          <w:color w:val="231F1F"/>
          <w:w w:val="105"/>
        </w:rPr>
        <w:t>No se encontraron diferencias significativas entre los dos grupos en los</w:t>
      </w:r>
      <w:r>
        <w:rPr>
          <w:color w:val="231F1F"/>
        </w:rPr>
        <w:tab/>
      </w:r>
      <w:r>
        <w:rPr>
          <w:rFonts w:ascii="Arial MT" w:hAnsi="Arial MT"/>
          <w:color w:val="231F1F"/>
          <w:spacing w:val="-6"/>
          <w:w w:val="105"/>
          <w:sz w:val="18"/>
        </w:rPr>
        <w:t>RS</w:t>
      </w:r>
      <w:r>
        <w:rPr>
          <w:rFonts w:ascii="Arial MT" w:hAnsi="Arial MT"/>
          <w:color w:val="231F1F"/>
          <w:spacing w:val="-8"/>
          <w:w w:val="105"/>
          <w:sz w:val="18"/>
        </w:rPr>
        <w:t> </w:t>
      </w:r>
      <w:r>
        <w:rPr>
          <w:rFonts w:ascii="Arial MT" w:hAnsi="Arial MT"/>
          <w:color w:val="231F1F"/>
          <w:spacing w:val="-6"/>
          <w:w w:val="105"/>
          <w:sz w:val="18"/>
        </w:rPr>
        <w:t>de </w:t>
      </w:r>
      <w:r>
        <w:rPr>
          <w:color w:val="231F1F"/>
          <w:w w:val="105"/>
        </w:rPr>
        <w:t>siguientes resultados adversos: parto por cesárea: RR 0,95 [IC 95% 0,86 a</w:t>
      </w:r>
      <w:r>
        <w:rPr>
          <w:color w:val="231F1F"/>
        </w:rPr>
        <w:tab/>
        <w:tab/>
      </w:r>
      <w:r>
        <w:rPr>
          <w:rFonts w:ascii="Arial MT" w:hAnsi="Arial MT"/>
          <w:color w:val="231F1F"/>
          <w:spacing w:val="-8"/>
          <w:w w:val="105"/>
          <w:position w:val="4"/>
          <w:sz w:val="18"/>
        </w:rPr>
        <w:t>ECAs </w:t>
      </w:r>
      <w:r>
        <w:rPr>
          <w:color w:val="231F1F"/>
          <w:w w:val="105"/>
        </w:rPr>
        <w:t>1,06], insatisfacción materna o experiencia negativa del parto: RR 0,83 [IC</w:t>
      </w:r>
      <w:r>
        <w:rPr>
          <w:color w:val="231F1F"/>
        </w:rPr>
        <w:tab/>
        <w:tab/>
        <w:tab/>
      </w:r>
      <w:r>
        <w:rPr>
          <w:rFonts w:ascii="Arial MT" w:hAnsi="Arial MT"/>
          <w:color w:val="231F1F"/>
          <w:spacing w:val="-6"/>
          <w:w w:val="105"/>
          <w:position w:val="8"/>
          <w:sz w:val="18"/>
        </w:rPr>
        <w:t>1+ </w:t>
      </w:r>
      <w:r>
        <w:rPr>
          <w:color w:val="231F1F"/>
          <w:w w:val="105"/>
        </w:rPr>
        <w:t>95% 0,67 a 1,02], valores del test Apgar a los 5 minutos: RR 0,83 [IC 95% 0,67</w:t>
      </w:r>
    </w:p>
    <w:p>
      <w:pPr>
        <w:pStyle w:val="BodyText"/>
        <w:spacing w:line="249" w:lineRule="auto" w:before="1"/>
        <w:ind w:left="283" w:right="1386"/>
      </w:pPr>
      <w:r>
        <w:rPr>
          <w:color w:val="231F1F"/>
          <w:w w:val="105"/>
        </w:rPr>
        <w:t>a 1,02], depresión posparto (tras soporte o no por enfermeras especialmente entrenadas): RR 0,89 [IC 95% 0,75 a 1,05], deterioro de las relaciones con la pareja</w:t>
      </w:r>
      <w:r>
        <w:rPr>
          <w:color w:val="231F1F"/>
          <w:spacing w:val="-7"/>
          <w:w w:val="105"/>
        </w:rPr>
        <w:t> </w:t>
      </w:r>
      <w:r>
        <w:rPr>
          <w:color w:val="231F1F"/>
          <w:w w:val="105"/>
        </w:rPr>
        <w:t>después</w:t>
      </w:r>
      <w:r>
        <w:rPr>
          <w:color w:val="231F1F"/>
          <w:spacing w:val="-6"/>
          <w:w w:val="105"/>
        </w:rPr>
        <w:t> </w:t>
      </w:r>
      <w:r>
        <w:rPr>
          <w:color w:val="231F1F"/>
          <w:w w:val="105"/>
        </w:rPr>
        <w:t>del</w:t>
      </w:r>
      <w:r>
        <w:rPr>
          <w:color w:val="231F1F"/>
          <w:spacing w:val="-7"/>
          <w:w w:val="105"/>
        </w:rPr>
        <w:t> </w:t>
      </w:r>
      <w:r>
        <w:rPr>
          <w:color w:val="231F1F"/>
          <w:w w:val="105"/>
        </w:rPr>
        <w:t>parto:</w:t>
      </w:r>
      <w:r>
        <w:rPr>
          <w:color w:val="231F1F"/>
          <w:spacing w:val="-7"/>
          <w:w w:val="105"/>
        </w:rPr>
        <w:t> </w:t>
      </w:r>
      <w:r>
        <w:rPr>
          <w:color w:val="231F1F"/>
          <w:w w:val="105"/>
        </w:rPr>
        <w:t>RR</w:t>
      </w:r>
      <w:r>
        <w:rPr>
          <w:color w:val="231F1F"/>
          <w:spacing w:val="-6"/>
          <w:w w:val="105"/>
        </w:rPr>
        <w:t> </w:t>
      </w:r>
      <w:r>
        <w:rPr>
          <w:color w:val="231F1F"/>
          <w:w w:val="105"/>
        </w:rPr>
        <w:t>1,00</w:t>
      </w:r>
      <w:r>
        <w:rPr>
          <w:color w:val="231F1F"/>
          <w:spacing w:val="-6"/>
          <w:w w:val="105"/>
        </w:rPr>
        <w:t> </w:t>
      </w:r>
      <w:r>
        <w:rPr>
          <w:color w:val="231F1F"/>
          <w:w w:val="105"/>
        </w:rPr>
        <w:t>[IC</w:t>
      </w:r>
      <w:r>
        <w:rPr>
          <w:color w:val="231F1F"/>
          <w:spacing w:val="-6"/>
          <w:w w:val="105"/>
        </w:rPr>
        <w:t> </w:t>
      </w:r>
      <w:r>
        <w:rPr>
          <w:color w:val="231F1F"/>
          <w:w w:val="105"/>
        </w:rPr>
        <w:t>95%</w:t>
      </w:r>
      <w:r>
        <w:rPr>
          <w:color w:val="231F1F"/>
          <w:spacing w:val="-6"/>
          <w:w w:val="105"/>
        </w:rPr>
        <w:t> </w:t>
      </w:r>
      <w:r>
        <w:rPr>
          <w:color w:val="231F1F"/>
          <w:w w:val="105"/>
        </w:rPr>
        <w:t>0,80</w:t>
      </w:r>
      <w:r>
        <w:rPr>
          <w:color w:val="231F1F"/>
          <w:spacing w:val="-6"/>
          <w:w w:val="105"/>
        </w:rPr>
        <w:t> </w:t>
      </w:r>
      <w:r>
        <w:rPr>
          <w:color w:val="231F1F"/>
          <w:w w:val="105"/>
        </w:rPr>
        <w:t>a</w:t>
      </w:r>
      <w:r>
        <w:rPr>
          <w:color w:val="231F1F"/>
          <w:spacing w:val="-7"/>
          <w:w w:val="105"/>
        </w:rPr>
        <w:t> </w:t>
      </w:r>
      <w:r>
        <w:rPr>
          <w:color w:val="231F1F"/>
          <w:w w:val="105"/>
        </w:rPr>
        <w:t>1,23],</w:t>
      </w:r>
      <w:r>
        <w:rPr>
          <w:color w:val="231F1F"/>
          <w:spacing w:val="-7"/>
          <w:w w:val="105"/>
        </w:rPr>
        <w:t> </w:t>
      </w:r>
      <w:r>
        <w:rPr>
          <w:color w:val="231F1F"/>
          <w:w w:val="105"/>
        </w:rPr>
        <w:t>incontinencia</w:t>
      </w:r>
      <w:r>
        <w:rPr>
          <w:color w:val="231F1F"/>
          <w:spacing w:val="-6"/>
          <w:w w:val="105"/>
        </w:rPr>
        <w:t> </w:t>
      </w:r>
      <w:r>
        <w:rPr>
          <w:color w:val="231F1F"/>
          <w:w w:val="105"/>
        </w:rPr>
        <w:t>urinaria</w:t>
      </w:r>
    </w:p>
    <w:p>
      <w:pPr>
        <w:pStyle w:val="BodyText"/>
        <w:spacing w:before="2"/>
        <w:ind w:left="283"/>
      </w:pPr>
      <w:r>
        <w:rPr>
          <w:color w:val="231F1F"/>
          <w:w w:val="110"/>
        </w:rPr>
        <w:t>posparto:</w:t>
      </w:r>
      <w:r>
        <w:rPr>
          <w:color w:val="231F1F"/>
          <w:spacing w:val="-14"/>
          <w:w w:val="110"/>
        </w:rPr>
        <w:t> </w:t>
      </w:r>
      <w:r>
        <w:rPr>
          <w:color w:val="231F1F"/>
          <w:w w:val="110"/>
        </w:rPr>
        <w:t>RR</w:t>
      </w:r>
      <w:r>
        <w:rPr>
          <w:color w:val="231F1F"/>
          <w:spacing w:val="-14"/>
          <w:w w:val="110"/>
        </w:rPr>
        <w:t> </w:t>
      </w:r>
      <w:r>
        <w:rPr>
          <w:color w:val="231F1F"/>
          <w:w w:val="110"/>
        </w:rPr>
        <w:t>0,93</w:t>
      </w:r>
      <w:r>
        <w:rPr>
          <w:color w:val="231F1F"/>
          <w:spacing w:val="-12"/>
          <w:w w:val="110"/>
        </w:rPr>
        <w:t> </w:t>
      </w:r>
      <w:r>
        <w:rPr>
          <w:color w:val="231F1F"/>
          <w:w w:val="110"/>
        </w:rPr>
        <w:t>[IC</w:t>
      </w:r>
      <w:r>
        <w:rPr>
          <w:color w:val="231F1F"/>
          <w:spacing w:val="-14"/>
          <w:w w:val="110"/>
        </w:rPr>
        <w:t> </w:t>
      </w:r>
      <w:r>
        <w:rPr>
          <w:color w:val="231F1F"/>
          <w:w w:val="110"/>
        </w:rPr>
        <w:t>95%</w:t>
      </w:r>
      <w:r>
        <w:rPr>
          <w:color w:val="231F1F"/>
          <w:spacing w:val="-11"/>
          <w:w w:val="110"/>
        </w:rPr>
        <w:t> </w:t>
      </w:r>
      <w:r>
        <w:rPr>
          <w:color w:val="231F1F"/>
          <w:w w:val="110"/>
        </w:rPr>
        <w:t>0,81</w:t>
      </w:r>
      <w:r>
        <w:rPr>
          <w:color w:val="231F1F"/>
          <w:spacing w:val="-13"/>
          <w:w w:val="110"/>
        </w:rPr>
        <w:t> </w:t>
      </w:r>
      <w:r>
        <w:rPr>
          <w:color w:val="231F1F"/>
          <w:w w:val="110"/>
        </w:rPr>
        <w:t>a</w:t>
      </w:r>
      <w:r>
        <w:rPr>
          <w:color w:val="231F1F"/>
          <w:spacing w:val="-13"/>
          <w:w w:val="110"/>
        </w:rPr>
        <w:t> </w:t>
      </w:r>
      <w:r>
        <w:rPr>
          <w:color w:val="231F1F"/>
          <w:w w:val="110"/>
        </w:rPr>
        <w:t>1,06]</w:t>
      </w:r>
      <w:r>
        <w:rPr>
          <w:color w:val="231F1F"/>
          <w:spacing w:val="-13"/>
          <w:w w:val="110"/>
        </w:rPr>
        <w:t> </w:t>
      </w:r>
      <w:r>
        <w:rPr>
          <w:color w:val="231F1F"/>
          <w:w w:val="110"/>
        </w:rPr>
        <w:t>e</w:t>
      </w:r>
      <w:r>
        <w:rPr>
          <w:color w:val="231F1F"/>
          <w:spacing w:val="-13"/>
          <w:w w:val="110"/>
        </w:rPr>
        <w:t> </w:t>
      </w:r>
      <w:r>
        <w:rPr>
          <w:color w:val="231F1F"/>
          <w:w w:val="110"/>
        </w:rPr>
        <w:t>incontinencia</w:t>
      </w:r>
      <w:r>
        <w:rPr>
          <w:color w:val="231F1F"/>
          <w:spacing w:val="-12"/>
          <w:w w:val="110"/>
        </w:rPr>
        <w:t> </w:t>
      </w:r>
      <w:r>
        <w:rPr>
          <w:color w:val="231F1F"/>
          <w:w w:val="110"/>
        </w:rPr>
        <w:t>fecal</w:t>
      </w:r>
      <w:r>
        <w:rPr>
          <w:color w:val="231F1F"/>
          <w:spacing w:val="-16"/>
          <w:w w:val="110"/>
        </w:rPr>
        <w:t> </w:t>
      </w:r>
      <w:r>
        <w:rPr>
          <w:color w:val="231F1F"/>
          <w:w w:val="110"/>
        </w:rPr>
        <w:t>posparto:</w:t>
      </w:r>
      <w:r>
        <w:rPr>
          <w:color w:val="231F1F"/>
          <w:spacing w:val="-12"/>
          <w:w w:val="110"/>
        </w:rPr>
        <w:t> </w:t>
      </w:r>
      <w:r>
        <w:rPr>
          <w:color w:val="231F1F"/>
          <w:spacing w:val="-5"/>
          <w:w w:val="110"/>
        </w:rPr>
        <w:t>RR</w:t>
      </w:r>
    </w:p>
    <w:p>
      <w:pPr>
        <w:pStyle w:val="BodyText"/>
        <w:spacing w:before="11"/>
        <w:ind w:left="283"/>
      </w:pPr>
      <w:r>
        <w:rPr>
          <w:color w:val="231F1F"/>
          <w:w w:val="105"/>
        </w:rPr>
        <w:t>0,89</w:t>
      </w:r>
      <w:r>
        <w:rPr>
          <w:color w:val="231F1F"/>
          <w:spacing w:val="-11"/>
          <w:w w:val="105"/>
        </w:rPr>
        <w:t> </w:t>
      </w:r>
      <w:r>
        <w:rPr>
          <w:color w:val="231F1F"/>
          <w:w w:val="105"/>
        </w:rPr>
        <w:t>[IC</w:t>
      </w:r>
      <w:r>
        <w:rPr>
          <w:color w:val="231F1F"/>
          <w:spacing w:val="-10"/>
          <w:w w:val="105"/>
        </w:rPr>
        <w:t> </w:t>
      </w:r>
      <w:r>
        <w:rPr>
          <w:color w:val="231F1F"/>
          <w:w w:val="105"/>
        </w:rPr>
        <w:t>95%</w:t>
      </w:r>
      <w:r>
        <w:rPr>
          <w:color w:val="231F1F"/>
          <w:spacing w:val="-10"/>
          <w:w w:val="105"/>
        </w:rPr>
        <w:t> </w:t>
      </w:r>
      <w:r>
        <w:rPr>
          <w:color w:val="231F1F"/>
          <w:w w:val="105"/>
        </w:rPr>
        <w:t>0,64</w:t>
      </w:r>
      <w:r>
        <w:rPr>
          <w:color w:val="231F1F"/>
          <w:spacing w:val="-10"/>
          <w:w w:val="105"/>
        </w:rPr>
        <w:t> </w:t>
      </w:r>
      <w:r>
        <w:rPr>
          <w:color w:val="231F1F"/>
          <w:w w:val="105"/>
        </w:rPr>
        <w:t>a</w:t>
      </w:r>
      <w:r>
        <w:rPr>
          <w:color w:val="231F1F"/>
          <w:spacing w:val="-10"/>
          <w:w w:val="105"/>
        </w:rPr>
        <w:t> </w:t>
      </w:r>
      <w:r>
        <w:rPr>
          <w:color w:val="231F1F"/>
          <w:spacing w:val="-2"/>
          <w:w w:val="105"/>
        </w:rPr>
        <w:t>1,24].</w:t>
      </w:r>
    </w:p>
    <w:p>
      <w:pPr>
        <w:spacing w:line="247" w:lineRule="auto" w:before="112"/>
        <w:ind w:left="283" w:right="254" w:firstLine="453"/>
        <w:jc w:val="left"/>
        <w:rPr>
          <w:sz w:val="22"/>
        </w:rPr>
      </w:pPr>
      <w:r>
        <w:rPr>
          <w:color w:val="231F1F"/>
          <w:w w:val="105"/>
          <w:sz w:val="22"/>
        </w:rPr>
        <w:t>Por</w:t>
      </w:r>
      <w:r>
        <w:rPr>
          <w:color w:val="231F1F"/>
          <w:spacing w:val="26"/>
          <w:w w:val="105"/>
          <w:sz w:val="22"/>
        </w:rPr>
        <w:t> </w:t>
      </w:r>
      <w:r>
        <w:rPr>
          <w:color w:val="231F1F"/>
          <w:w w:val="105"/>
          <w:sz w:val="22"/>
        </w:rPr>
        <w:t>otro</w:t>
      </w:r>
      <w:r>
        <w:rPr>
          <w:color w:val="231F1F"/>
          <w:spacing w:val="27"/>
          <w:w w:val="105"/>
          <w:sz w:val="22"/>
        </w:rPr>
        <w:t> </w:t>
      </w:r>
      <w:r>
        <w:rPr>
          <w:color w:val="231F1F"/>
          <w:w w:val="105"/>
          <w:sz w:val="22"/>
        </w:rPr>
        <w:t>lado,</w:t>
      </w:r>
      <w:r>
        <w:rPr>
          <w:color w:val="231F1F"/>
          <w:spacing w:val="27"/>
          <w:w w:val="105"/>
          <w:sz w:val="22"/>
        </w:rPr>
        <w:t> </w:t>
      </w:r>
      <w:r>
        <w:rPr>
          <w:color w:val="231F1F"/>
          <w:w w:val="105"/>
          <w:sz w:val="22"/>
        </w:rPr>
        <w:t>en</w:t>
      </w:r>
      <w:r>
        <w:rPr>
          <w:color w:val="231F1F"/>
          <w:spacing w:val="27"/>
          <w:w w:val="105"/>
          <w:sz w:val="22"/>
        </w:rPr>
        <w:t> </w:t>
      </w:r>
      <w:r>
        <w:rPr>
          <w:color w:val="231F1F"/>
          <w:w w:val="105"/>
          <w:sz w:val="22"/>
        </w:rPr>
        <w:t>el</w:t>
      </w:r>
      <w:r>
        <w:rPr>
          <w:color w:val="231F1F"/>
          <w:spacing w:val="27"/>
          <w:w w:val="105"/>
          <w:sz w:val="22"/>
        </w:rPr>
        <w:t> </w:t>
      </w:r>
      <w:r>
        <w:rPr>
          <w:color w:val="231F1F"/>
          <w:w w:val="105"/>
          <w:sz w:val="22"/>
        </w:rPr>
        <w:t>análisis</w:t>
      </w:r>
      <w:r>
        <w:rPr>
          <w:color w:val="231F1F"/>
          <w:spacing w:val="27"/>
          <w:w w:val="105"/>
          <w:sz w:val="22"/>
        </w:rPr>
        <w:t> </w:t>
      </w:r>
      <w:r>
        <w:rPr>
          <w:color w:val="231F1F"/>
          <w:w w:val="105"/>
          <w:sz w:val="22"/>
        </w:rPr>
        <w:t>de</w:t>
      </w:r>
      <w:r>
        <w:rPr>
          <w:color w:val="231F1F"/>
          <w:spacing w:val="27"/>
          <w:w w:val="105"/>
          <w:sz w:val="22"/>
        </w:rPr>
        <w:t> </w:t>
      </w:r>
      <w:r>
        <w:rPr>
          <w:color w:val="231F1F"/>
          <w:w w:val="105"/>
          <w:sz w:val="22"/>
        </w:rPr>
        <w:t>los</w:t>
      </w:r>
      <w:r>
        <w:rPr>
          <w:color w:val="231F1F"/>
          <w:spacing w:val="27"/>
          <w:w w:val="105"/>
          <w:sz w:val="22"/>
        </w:rPr>
        <w:t> </w:t>
      </w:r>
      <w:r>
        <w:rPr>
          <w:color w:val="231F1F"/>
          <w:w w:val="105"/>
          <w:sz w:val="22"/>
        </w:rPr>
        <w:t>estudios</w:t>
      </w:r>
      <w:r>
        <w:rPr>
          <w:color w:val="231F1F"/>
          <w:spacing w:val="27"/>
          <w:w w:val="105"/>
          <w:sz w:val="22"/>
        </w:rPr>
        <w:t> </w:t>
      </w:r>
      <w:r>
        <w:rPr>
          <w:color w:val="231F1F"/>
          <w:w w:val="105"/>
          <w:sz w:val="22"/>
        </w:rPr>
        <w:t>que</w:t>
      </w:r>
      <w:r>
        <w:rPr>
          <w:color w:val="231F1F"/>
          <w:spacing w:val="27"/>
          <w:w w:val="105"/>
          <w:sz w:val="22"/>
        </w:rPr>
        <w:t> </w:t>
      </w:r>
      <w:r>
        <w:rPr>
          <w:color w:val="231F1F"/>
          <w:w w:val="105"/>
          <w:sz w:val="22"/>
        </w:rPr>
        <w:t>analizaban</w:t>
      </w:r>
      <w:r>
        <w:rPr>
          <w:color w:val="231F1F"/>
          <w:spacing w:val="27"/>
          <w:w w:val="105"/>
          <w:sz w:val="22"/>
        </w:rPr>
        <w:t> </w:t>
      </w:r>
      <w:r>
        <w:rPr>
          <w:color w:val="231F1F"/>
          <w:w w:val="105"/>
          <w:sz w:val="22"/>
        </w:rPr>
        <w:t>el</w:t>
      </w:r>
      <w:r>
        <w:rPr>
          <w:color w:val="231F1F"/>
          <w:spacing w:val="25"/>
          <w:w w:val="105"/>
          <w:sz w:val="22"/>
        </w:rPr>
        <w:t> </w:t>
      </w:r>
      <w:r>
        <w:rPr>
          <w:i/>
          <w:color w:val="231F1F"/>
          <w:w w:val="105"/>
          <w:sz w:val="22"/>
        </w:rPr>
        <w:t>apoyo por</w:t>
      </w:r>
      <w:r>
        <w:rPr>
          <w:i/>
          <w:color w:val="231F1F"/>
          <w:spacing w:val="40"/>
          <w:w w:val="105"/>
          <w:sz w:val="22"/>
        </w:rPr>
        <w:t>  </w:t>
      </w:r>
      <w:r>
        <w:rPr>
          <w:rFonts w:ascii="Arial MT" w:hAnsi="Arial MT"/>
          <w:color w:val="231F1F"/>
          <w:w w:val="105"/>
          <w:sz w:val="18"/>
        </w:rPr>
        <w:t>RS de </w:t>
      </w:r>
      <w:r>
        <w:rPr>
          <w:i/>
          <w:color w:val="231F1F"/>
          <w:w w:val="105"/>
          <w:sz w:val="22"/>
        </w:rPr>
        <w:t>parte</w:t>
      </w:r>
      <w:r>
        <w:rPr>
          <w:i/>
          <w:color w:val="231F1F"/>
          <w:spacing w:val="20"/>
          <w:w w:val="105"/>
          <w:sz w:val="22"/>
        </w:rPr>
        <w:t> </w:t>
      </w:r>
      <w:r>
        <w:rPr>
          <w:i/>
          <w:color w:val="231F1F"/>
          <w:w w:val="105"/>
          <w:sz w:val="22"/>
        </w:rPr>
        <w:t>de</w:t>
      </w:r>
      <w:r>
        <w:rPr>
          <w:i/>
          <w:color w:val="231F1F"/>
          <w:spacing w:val="18"/>
          <w:w w:val="105"/>
          <w:sz w:val="22"/>
        </w:rPr>
        <w:t> </w:t>
      </w:r>
      <w:r>
        <w:rPr>
          <w:i/>
          <w:color w:val="231F1F"/>
          <w:w w:val="105"/>
          <w:sz w:val="22"/>
        </w:rPr>
        <w:t>personal</w:t>
      </w:r>
      <w:r>
        <w:rPr>
          <w:i/>
          <w:color w:val="231F1F"/>
          <w:spacing w:val="20"/>
          <w:w w:val="105"/>
          <w:sz w:val="22"/>
        </w:rPr>
        <w:t> </w:t>
      </w:r>
      <w:r>
        <w:rPr>
          <w:i/>
          <w:color w:val="231F1F"/>
          <w:w w:val="105"/>
          <w:sz w:val="22"/>
        </w:rPr>
        <w:t>no</w:t>
      </w:r>
      <w:r>
        <w:rPr>
          <w:i/>
          <w:color w:val="231F1F"/>
          <w:spacing w:val="18"/>
          <w:w w:val="105"/>
          <w:sz w:val="22"/>
        </w:rPr>
        <w:t> </w:t>
      </w:r>
      <w:r>
        <w:rPr>
          <w:i/>
          <w:color w:val="231F1F"/>
          <w:w w:val="105"/>
          <w:sz w:val="22"/>
        </w:rPr>
        <w:t>vinculado</w:t>
      </w:r>
      <w:r>
        <w:rPr>
          <w:i/>
          <w:color w:val="231F1F"/>
          <w:spacing w:val="18"/>
          <w:w w:val="105"/>
          <w:sz w:val="22"/>
        </w:rPr>
        <w:t> </w:t>
      </w:r>
      <w:r>
        <w:rPr>
          <w:i/>
          <w:color w:val="231F1F"/>
          <w:w w:val="105"/>
          <w:sz w:val="22"/>
        </w:rPr>
        <w:t>al</w:t>
      </w:r>
      <w:r>
        <w:rPr>
          <w:i/>
          <w:color w:val="231F1F"/>
          <w:spacing w:val="20"/>
          <w:w w:val="105"/>
          <w:sz w:val="22"/>
        </w:rPr>
        <w:t> </w:t>
      </w:r>
      <w:r>
        <w:rPr>
          <w:i/>
          <w:color w:val="231F1F"/>
          <w:w w:val="105"/>
          <w:sz w:val="22"/>
        </w:rPr>
        <w:t>hospital</w:t>
      </w:r>
      <w:r>
        <w:rPr>
          <w:i/>
          <w:color w:val="231F1F"/>
          <w:spacing w:val="20"/>
          <w:w w:val="105"/>
          <w:sz w:val="22"/>
        </w:rPr>
        <w:t> </w:t>
      </w:r>
      <w:r>
        <w:rPr>
          <w:color w:val="231F1F"/>
          <w:w w:val="105"/>
          <w:sz w:val="22"/>
        </w:rPr>
        <w:t>se</w:t>
      </w:r>
      <w:r>
        <w:rPr>
          <w:color w:val="231F1F"/>
          <w:spacing w:val="39"/>
          <w:w w:val="105"/>
          <w:sz w:val="22"/>
        </w:rPr>
        <w:t> </w:t>
      </w:r>
      <w:r>
        <w:rPr>
          <w:color w:val="231F1F"/>
          <w:w w:val="105"/>
          <w:sz w:val="22"/>
        </w:rPr>
        <w:t>observó</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las</w:t>
      </w:r>
      <w:r>
        <w:rPr>
          <w:color w:val="231F1F"/>
          <w:spacing w:val="39"/>
          <w:w w:val="105"/>
          <w:sz w:val="22"/>
        </w:rPr>
        <w:t> </w:t>
      </w:r>
      <w:r>
        <w:rPr>
          <w:color w:val="231F1F"/>
          <w:w w:val="105"/>
          <w:sz w:val="22"/>
        </w:rPr>
        <w:t>diferencias</w:t>
      </w:r>
      <w:r>
        <w:rPr>
          <w:color w:val="231F1F"/>
          <w:spacing w:val="39"/>
          <w:w w:val="105"/>
          <w:sz w:val="22"/>
        </w:rPr>
        <w:t> </w:t>
      </w:r>
      <w:r>
        <w:rPr>
          <w:color w:val="231F1F"/>
          <w:w w:val="105"/>
          <w:sz w:val="22"/>
        </w:rPr>
        <w:t>sig-</w:t>
      </w:r>
      <w:r>
        <w:rPr>
          <w:color w:val="231F1F"/>
          <w:spacing w:val="80"/>
          <w:w w:val="150"/>
          <w:sz w:val="22"/>
        </w:rPr>
        <w:t> </w:t>
      </w:r>
      <w:r>
        <w:rPr>
          <w:rFonts w:ascii="Arial MT" w:hAnsi="Arial MT"/>
          <w:color w:val="231F1F"/>
          <w:w w:val="105"/>
          <w:position w:val="4"/>
          <w:sz w:val="18"/>
        </w:rPr>
        <w:t>ECAs </w:t>
      </w:r>
      <w:r>
        <w:rPr>
          <w:color w:val="231F1F"/>
          <w:w w:val="105"/>
          <w:sz w:val="22"/>
        </w:rPr>
        <w:t>nificativas</w:t>
      </w:r>
      <w:r>
        <w:rPr>
          <w:color w:val="231F1F"/>
          <w:spacing w:val="37"/>
          <w:w w:val="105"/>
          <w:sz w:val="22"/>
        </w:rPr>
        <w:t> </w:t>
      </w:r>
      <w:r>
        <w:rPr>
          <w:color w:val="231F1F"/>
          <w:w w:val="105"/>
          <w:sz w:val="22"/>
        </w:rPr>
        <w:t>se</w:t>
      </w:r>
      <w:r>
        <w:rPr>
          <w:color w:val="231F1F"/>
          <w:spacing w:val="37"/>
          <w:w w:val="105"/>
          <w:sz w:val="22"/>
        </w:rPr>
        <w:t> </w:t>
      </w:r>
      <w:r>
        <w:rPr>
          <w:color w:val="231F1F"/>
          <w:w w:val="105"/>
          <w:sz w:val="22"/>
        </w:rPr>
        <w:t>mantenían</w:t>
      </w:r>
      <w:r>
        <w:rPr>
          <w:color w:val="231F1F"/>
          <w:spacing w:val="37"/>
          <w:w w:val="105"/>
          <w:sz w:val="22"/>
        </w:rPr>
        <w:t> </w:t>
      </w:r>
      <w:r>
        <w:rPr>
          <w:color w:val="231F1F"/>
          <w:w w:val="105"/>
          <w:sz w:val="22"/>
        </w:rPr>
        <w:t>en</w:t>
      </w:r>
      <w:r>
        <w:rPr>
          <w:color w:val="231F1F"/>
          <w:spacing w:val="37"/>
          <w:w w:val="105"/>
          <w:sz w:val="22"/>
        </w:rPr>
        <w:t> </w:t>
      </w:r>
      <w:r>
        <w:rPr>
          <w:color w:val="231F1F"/>
          <w:w w:val="105"/>
          <w:sz w:val="22"/>
        </w:rPr>
        <w:t>el</w:t>
      </w:r>
      <w:r>
        <w:rPr>
          <w:color w:val="231F1F"/>
          <w:spacing w:val="37"/>
          <w:w w:val="105"/>
          <w:sz w:val="22"/>
        </w:rPr>
        <w:t> </w:t>
      </w:r>
      <w:r>
        <w:rPr>
          <w:color w:val="231F1F"/>
          <w:w w:val="105"/>
          <w:sz w:val="22"/>
        </w:rPr>
        <w:t>efecto</w:t>
      </w:r>
      <w:r>
        <w:rPr>
          <w:color w:val="231F1F"/>
          <w:spacing w:val="37"/>
          <w:w w:val="105"/>
          <w:sz w:val="22"/>
        </w:rPr>
        <w:t> </w:t>
      </w:r>
      <w:r>
        <w:rPr>
          <w:color w:val="231F1F"/>
          <w:w w:val="105"/>
          <w:sz w:val="22"/>
        </w:rPr>
        <w:t>positivo</w:t>
      </w:r>
      <w:r>
        <w:rPr>
          <w:color w:val="231F1F"/>
          <w:spacing w:val="37"/>
          <w:w w:val="105"/>
          <w:sz w:val="22"/>
        </w:rPr>
        <w:t> </w:t>
      </w:r>
      <w:r>
        <w:rPr>
          <w:color w:val="231F1F"/>
          <w:w w:val="105"/>
          <w:sz w:val="22"/>
        </w:rPr>
        <w:t>sobre</w:t>
      </w:r>
      <w:r>
        <w:rPr>
          <w:color w:val="231F1F"/>
          <w:spacing w:val="37"/>
          <w:w w:val="105"/>
          <w:sz w:val="22"/>
        </w:rPr>
        <w:t> </w:t>
      </w:r>
      <w:r>
        <w:rPr>
          <w:color w:val="231F1F"/>
          <w:w w:val="105"/>
          <w:sz w:val="22"/>
        </w:rPr>
        <w:t>el</w:t>
      </w:r>
      <w:r>
        <w:rPr>
          <w:color w:val="231F1F"/>
          <w:spacing w:val="37"/>
          <w:w w:val="105"/>
          <w:sz w:val="22"/>
        </w:rPr>
        <w:t> </w:t>
      </w:r>
      <w:r>
        <w:rPr>
          <w:color w:val="231F1F"/>
          <w:w w:val="105"/>
          <w:sz w:val="22"/>
        </w:rPr>
        <w:t>parto</w:t>
      </w:r>
      <w:r>
        <w:rPr>
          <w:color w:val="231F1F"/>
          <w:spacing w:val="37"/>
          <w:w w:val="105"/>
          <w:sz w:val="22"/>
        </w:rPr>
        <w:t> </w:t>
      </w:r>
      <w:r>
        <w:rPr>
          <w:color w:val="231F1F"/>
          <w:w w:val="105"/>
          <w:sz w:val="22"/>
        </w:rPr>
        <w:t>vaginal</w:t>
      </w:r>
      <w:r>
        <w:rPr>
          <w:color w:val="231F1F"/>
          <w:spacing w:val="37"/>
          <w:w w:val="105"/>
          <w:sz w:val="22"/>
        </w:rPr>
        <w:t> </w:t>
      </w:r>
      <w:r>
        <w:rPr>
          <w:color w:val="231F1F"/>
          <w:w w:val="105"/>
          <w:sz w:val="22"/>
        </w:rPr>
        <w:t>espontáneo:</w:t>
      </w:r>
      <w:r>
        <w:rPr>
          <w:color w:val="231F1F"/>
          <w:spacing w:val="80"/>
          <w:w w:val="105"/>
          <w:sz w:val="22"/>
        </w:rPr>
        <w:t> </w:t>
      </w:r>
      <w:r>
        <w:rPr>
          <w:rFonts w:ascii="Arial MT" w:hAnsi="Arial MT"/>
          <w:color w:val="231F1F"/>
          <w:w w:val="105"/>
          <w:position w:val="8"/>
          <w:sz w:val="18"/>
        </w:rPr>
        <w:t>1+ </w:t>
      </w:r>
      <w:r>
        <w:rPr>
          <w:color w:val="231F1F"/>
          <w:w w:val="105"/>
          <w:sz w:val="22"/>
        </w:rPr>
        <w:t>RR</w:t>
      </w:r>
      <w:r>
        <w:rPr>
          <w:color w:val="231F1F"/>
          <w:spacing w:val="28"/>
          <w:w w:val="105"/>
          <w:sz w:val="22"/>
        </w:rPr>
        <w:t> </w:t>
      </w:r>
      <w:r>
        <w:rPr>
          <w:color w:val="231F1F"/>
          <w:w w:val="105"/>
          <w:sz w:val="22"/>
        </w:rPr>
        <w:t>1,12</w:t>
      </w:r>
      <w:r>
        <w:rPr>
          <w:color w:val="231F1F"/>
          <w:spacing w:val="27"/>
          <w:w w:val="105"/>
          <w:sz w:val="22"/>
        </w:rPr>
        <w:t> </w:t>
      </w:r>
      <w:r>
        <w:rPr>
          <w:color w:val="231F1F"/>
          <w:w w:val="105"/>
          <w:sz w:val="22"/>
        </w:rPr>
        <w:t>[IC</w:t>
      </w:r>
      <w:r>
        <w:rPr>
          <w:color w:val="231F1F"/>
          <w:spacing w:val="28"/>
          <w:w w:val="105"/>
          <w:sz w:val="22"/>
        </w:rPr>
        <w:t> </w:t>
      </w:r>
      <w:r>
        <w:rPr>
          <w:color w:val="231F1F"/>
          <w:w w:val="105"/>
          <w:sz w:val="22"/>
        </w:rPr>
        <w:t>95%</w:t>
      </w:r>
      <w:r>
        <w:rPr>
          <w:color w:val="231F1F"/>
          <w:spacing w:val="29"/>
          <w:w w:val="105"/>
          <w:sz w:val="22"/>
        </w:rPr>
        <w:t> </w:t>
      </w:r>
      <w:r>
        <w:rPr>
          <w:color w:val="231F1F"/>
          <w:w w:val="105"/>
          <w:sz w:val="22"/>
        </w:rPr>
        <w:t>1,07</w:t>
      </w:r>
      <w:r>
        <w:rPr>
          <w:color w:val="231F1F"/>
          <w:spacing w:val="28"/>
          <w:w w:val="105"/>
          <w:sz w:val="22"/>
        </w:rPr>
        <w:t> </w:t>
      </w:r>
      <w:r>
        <w:rPr>
          <w:color w:val="231F1F"/>
          <w:w w:val="105"/>
          <w:sz w:val="22"/>
        </w:rPr>
        <w:t>a</w:t>
      </w:r>
      <w:r>
        <w:rPr>
          <w:color w:val="231F1F"/>
          <w:spacing w:val="28"/>
          <w:w w:val="105"/>
          <w:sz w:val="22"/>
        </w:rPr>
        <w:t> </w:t>
      </w:r>
      <w:r>
        <w:rPr>
          <w:color w:val="231F1F"/>
          <w:w w:val="105"/>
          <w:sz w:val="22"/>
        </w:rPr>
        <w:t>1,18]</w:t>
      </w:r>
      <w:r>
        <w:rPr>
          <w:color w:val="231F1F"/>
          <w:spacing w:val="27"/>
          <w:w w:val="105"/>
          <w:sz w:val="22"/>
        </w:rPr>
        <w:t> </w:t>
      </w:r>
      <w:r>
        <w:rPr>
          <w:color w:val="231F1F"/>
          <w:w w:val="105"/>
          <w:sz w:val="22"/>
        </w:rPr>
        <w:t>y</w:t>
      </w:r>
      <w:r>
        <w:rPr>
          <w:color w:val="231F1F"/>
          <w:spacing w:val="28"/>
          <w:w w:val="105"/>
          <w:sz w:val="22"/>
        </w:rPr>
        <w:t> </w:t>
      </w:r>
      <w:r>
        <w:rPr>
          <w:color w:val="231F1F"/>
          <w:w w:val="105"/>
          <w:sz w:val="22"/>
        </w:rPr>
        <w:t>parto</w:t>
      </w:r>
      <w:r>
        <w:rPr>
          <w:color w:val="231F1F"/>
          <w:spacing w:val="27"/>
          <w:w w:val="105"/>
          <w:sz w:val="22"/>
        </w:rPr>
        <w:t> </w:t>
      </w:r>
      <w:r>
        <w:rPr>
          <w:color w:val="231F1F"/>
          <w:w w:val="105"/>
          <w:sz w:val="22"/>
        </w:rPr>
        <w:t>instrumental:</w:t>
      </w:r>
      <w:r>
        <w:rPr>
          <w:color w:val="231F1F"/>
          <w:spacing w:val="27"/>
          <w:w w:val="105"/>
          <w:sz w:val="22"/>
        </w:rPr>
        <w:t> </w:t>
      </w:r>
      <w:r>
        <w:rPr>
          <w:color w:val="231F1F"/>
          <w:w w:val="105"/>
          <w:sz w:val="22"/>
        </w:rPr>
        <w:t>RR</w:t>
      </w:r>
      <w:r>
        <w:rPr>
          <w:color w:val="231F1F"/>
          <w:spacing w:val="28"/>
          <w:w w:val="105"/>
          <w:sz w:val="22"/>
        </w:rPr>
        <w:t> </w:t>
      </w:r>
      <w:r>
        <w:rPr>
          <w:color w:val="231F1F"/>
          <w:w w:val="105"/>
          <w:sz w:val="22"/>
        </w:rPr>
        <w:t>0,59</w:t>
      </w:r>
      <w:r>
        <w:rPr>
          <w:color w:val="231F1F"/>
          <w:spacing w:val="27"/>
          <w:w w:val="105"/>
          <w:sz w:val="22"/>
        </w:rPr>
        <w:t> </w:t>
      </w:r>
      <w:r>
        <w:rPr>
          <w:color w:val="231F1F"/>
          <w:w w:val="105"/>
          <w:sz w:val="22"/>
        </w:rPr>
        <w:t>[IC</w:t>
      </w:r>
      <w:r>
        <w:rPr>
          <w:color w:val="231F1F"/>
          <w:spacing w:val="28"/>
          <w:w w:val="105"/>
          <w:sz w:val="22"/>
        </w:rPr>
        <w:t> </w:t>
      </w:r>
      <w:r>
        <w:rPr>
          <w:color w:val="231F1F"/>
          <w:w w:val="105"/>
          <w:sz w:val="22"/>
        </w:rPr>
        <w:t>95%</w:t>
      </w:r>
      <w:r>
        <w:rPr>
          <w:color w:val="231F1F"/>
          <w:spacing w:val="29"/>
          <w:w w:val="105"/>
          <w:sz w:val="22"/>
        </w:rPr>
        <w:t> </w:t>
      </w:r>
      <w:r>
        <w:rPr>
          <w:color w:val="231F1F"/>
          <w:w w:val="105"/>
          <w:sz w:val="22"/>
        </w:rPr>
        <w:t>0,42</w:t>
      </w:r>
      <w:r>
        <w:rPr>
          <w:color w:val="231F1F"/>
          <w:spacing w:val="27"/>
          <w:w w:val="105"/>
          <w:sz w:val="22"/>
        </w:rPr>
        <w:t> </w:t>
      </w:r>
      <w:r>
        <w:rPr>
          <w:color w:val="231F1F"/>
          <w:w w:val="105"/>
          <w:sz w:val="22"/>
        </w:rPr>
        <w:t>a</w:t>
      </w:r>
    </w:p>
    <w:p>
      <w:pPr>
        <w:pStyle w:val="BodyText"/>
        <w:spacing w:line="244" w:lineRule="auto" w:before="1"/>
        <w:ind w:left="283" w:right="1386"/>
      </w:pPr>
      <w:r>
        <w:rPr>
          <w:color w:val="231F1F"/>
          <w:w w:val="105"/>
        </w:rPr>
        <w:t>0,81]. Además, en este caso, también se observó que las mujeres que recibie- ron apoyo de personal no vinculado al hospital mostraron una menor tasa de cesáreas:</w:t>
      </w:r>
      <w:r>
        <w:rPr>
          <w:color w:val="231F1F"/>
          <w:spacing w:val="-4"/>
          <w:w w:val="105"/>
        </w:rPr>
        <w:t> </w:t>
      </w:r>
      <w:r>
        <w:rPr>
          <w:color w:val="231F1F"/>
          <w:w w:val="105"/>
        </w:rPr>
        <w:t>RR</w:t>
      </w:r>
      <w:r>
        <w:rPr>
          <w:color w:val="231F1F"/>
          <w:spacing w:val="-3"/>
          <w:w w:val="105"/>
        </w:rPr>
        <w:t> </w:t>
      </w:r>
      <w:r>
        <w:rPr>
          <w:color w:val="231F1F"/>
          <w:w w:val="105"/>
        </w:rPr>
        <w:t>0,74</w:t>
      </w:r>
      <w:r>
        <w:rPr>
          <w:color w:val="231F1F"/>
          <w:spacing w:val="-4"/>
          <w:w w:val="105"/>
        </w:rPr>
        <w:t> </w:t>
      </w:r>
      <w:r>
        <w:rPr>
          <w:color w:val="231F1F"/>
          <w:w w:val="105"/>
        </w:rPr>
        <w:t>[IC</w:t>
      </w:r>
      <w:r>
        <w:rPr>
          <w:color w:val="231F1F"/>
          <w:spacing w:val="-3"/>
          <w:w w:val="105"/>
        </w:rPr>
        <w:t> </w:t>
      </w:r>
      <w:r>
        <w:rPr>
          <w:color w:val="231F1F"/>
          <w:w w:val="105"/>
        </w:rPr>
        <w:t>95%</w:t>
      </w:r>
      <w:r>
        <w:rPr>
          <w:color w:val="231F1F"/>
          <w:spacing w:val="-3"/>
          <w:w w:val="105"/>
        </w:rPr>
        <w:t> </w:t>
      </w:r>
      <w:r>
        <w:rPr>
          <w:color w:val="231F1F"/>
          <w:w w:val="105"/>
        </w:rPr>
        <w:t>0,61</w:t>
      </w:r>
      <w:r>
        <w:rPr>
          <w:color w:val="231F1F"/>
          <w:spacing w:val="-4"/>
          <w:w w:val="105"/>
        </w:rPr>
        <w:t> </w:t>
      </w:r>
      <w:r>
        <w:rPr>
          <w:color w:val="231F1F"/>
          <w:w w:val="105"/>
        </w:rPr>
        <w:t>a</w:t>
      </w:r>
      <w:r>
        <w:rPr>
          <w:color w:val="231F1F"/>
          <w:spacing w:val="-3"/>
          <w:w w:val="105"/>
        </w:rPr>
        <w:t> </w:t>
      </w:r>
      <w:r>
        <w:rPr>
          <w:color w:val="231F1F"/>
          <w:w w:val="105"/>
        </w:rPr>
        <w:t>0,90]</w:t>
      </w:r>
      <w:r>
        <w:rPr>
          <w:color w:val="231F1F"/>
          <w:spacing w:val="-4"/>
          <w:w w:val="105"/>
        </w:rPr>
        <w:t> </w:t>
      </w:r>
      <w:r>
        <w:rPr>
          <w:color w:val="231F1F"/>
          <w:w w:val="105"/>
        </w:rPr>
        <w:t>y</w:t>
      </w:r>
      <w:r>
        <w:rPr>
          <w:color w:val="231F1F"/>
          <w:spacing w:val="-4"/>
          <w:w w:val="105"/>
        </w:rPr>
        <w:t> </w:t>
      </w:r>
      <w:r>
        <w:rPr>
          <w:color w:val="231F1F"/>
          <w:w w:val="105"/>
        </w:rPr>
        <w:t>de</w:t>
      </w:r>
      <w:r>
        <w:rPr>
          <w:color w:val="231F1F"/>
          <w:spacing w:val="-3"/>
          <w:w w:val="105"/>
        </w:rPr>
        <w:t> </w:t>
      </w:r>
      <w:r>
        <w:rPr>
          <w:color w:val="231F1F"/>
          <w:w w:val="105"/>
        </w:rPr>
        <w:t>insatisfacción:</w:t>
      </w:r>
      <w:r>
        <w:rPr>
          <w:color w:val="231F1F"/>
          <w:spacing w:val="-4"/>
          <w:w w:val="105"/>
        </w:rPr>
        <w:t> </w:t>
      </w:r>
      <w:r>
        <w:rPr>
          <w:color w:val="231F1F"/>
          <w:w w:val="105"/>
        </w:rPr>
        <w:t>RR</w:t>
      </w:r>
      <w:r>
        <w:rPr>
          <w:color w:val="231F1F"/>
          <w:spacing w:val="-3"/>
          <w:w w:val="105"/>
        </w:rPr>
        <w:t> </w:t>
      </w:r>
      <w:r>
        <w:rPr>
          <w:color w:val="231F1F"/>
          <w:w w:val="105"/>
        </w:rPr>
        <w:t>0,64</w:t>
      </w:r>
      <w:r>
        <w:rPr>
          <w:color w:val="231F1F"/>
          <w:spacing w:val="-4"/>
          <w:w w:val="105"/>
        </w:rPr>
        <w:t> </w:t>
      </w:r>
      <w:r>
        <w:rPr>
          <w:color w:val="231F1F"/>
          <w:w w:val="105"/>
        </w:rPr>
        <w:t>[IC</w:t>
      </w:r>
      <w:r>
        <w:rPr>
          <w:color w:val="231F1F"/>
          <w:spacing w:val="-3"/>
          <w:w w:val="105"/>
        </w:rPr>
        <w:t> </w:t>
      </w:r>
      <w:r>
        <w:rPr>
          <w:color w:val="231F1F"/>
          <w:w w:val="105"/>
        </w:rPr>
        <w:t>95% 0,58 a 0,78], comparado con las que recibieron un cuidado estándar.</w:t>
      </w:r>
    </w:p>
    <w:p>
      <w:pPr>
        <w:pStyle w:val="BodyText"/>
        <w:spacing w:line="252" w:lineRule="auto" w:before="52"/>
        <w:ind w:left="283" w:right="1367" w:firstLine="453"/>
        <w:jc w:val="both"/>
      </w:pPr>
      <w:r>
        <w:rPr>
          <w:color w:val="231F1F"/>
          <w:w w:val="105"/>
        </w:rPr>
        <w:t>En general se sugiere que las mujeres con cuidados una a una durante el parto tienen menor probabilidad de utilizar analgesia, de tener partos vagina- les instrumentados o cesáreas, y mayor probabilidad de tener un parto vaginal espontáneo, así como de alcanzar una mayor satisfacción y de tener una expe- riencia</w:t>
      </w:r>
      <w:r>
        <w:rPr>
          <w:color w:val="231F1F"/>
          <w:spacing w:val="-4"/>
          <w:w w:val="105"/>
        </w:rPr>
        <w:t> </w:t>
      </w:r>
      <w:r>
        <w:rPr>
          <w:color w:val="231F1F"/>
          <w:w w:val="105"/>
        </w:rPr>
        <w:t>positiva</w:t>
      </w:r>
      <w:r>
        <w:rPr>
          <w:color w:val="231F1F"/>
          <w:spacing w:val="-4"/>
          <w:w w:val="105"/>
        </w:rPr>
        <w:t> </w:t>
      </w:r>
      <w:r>
        <w:rPr>
          <w:color w:val="231F1F"/>
          <w:w w:val="105"/>
        </w:rPr>
        <w:t>del</w:t>
      </w:r>
      <w:r>
        <w:rPr>
          <w:color w:val="231F1F"/>
          <w:spacing w:val="-4"/>
          <w:w w:val="105"/>
        </w:rPr>
        <w:t> </w:t>
      </w:r>
      <w:r>
        <w:rPr>
          <w:color w:val="231F1F"/>
          <w:w w:val="105"/>
        </w:rPr>
        <w:t>nacimiento.</w:t>
      </w:r>
      <w:r>
        <w:rPr>
          <w:color w:val="231F1F"/>
          <w:spacing w:val="-4"/>
          <w:w w:val="105"/>
        </w:rPr>
        <w:t> </w:t>
      </w:r>
      <w:r>
        <w:rPr>
          <w:color w:val="231F1F"/>
          <w:w w:val="105"/>
        </w:rPr>
        <w:t>Este</w:t>
      </w:r>
      <w:r>
        <w:rPr>
          <w:color w:val="231F1F"/>
          <w:spacing w:val="-4"/>
          <w:w w:val="105"/>
        </w:rPr>
        <w:t> </w:t>
      </w:r>
      <w:r>
        <w:rPr>
          <w:color w:val="231F1F"/>
          <w:w w:val="105"/>
        </w:rPr>
        <w:t>impacto,</w:t>
      </w:r>
      <w:r>
        <w:rPr>
          <w:color w:val="231F1F"/>
          <w:spacing w:val="-4"/>
          <w:w w:val="105"/>
        </w:rPr>
        <w:t> </w:t>
      </w:r>
      <w:r>
        <w:rPr>
          <w:color w:val="231F1F"/>
          <w:w w:val="105"/>
        </w:rPr>
        <w:t>se</w:t>
      </w:r>
      <w:r>
        <w:rPr>
          <w:color w:val="231F1F"/>
          <w:spacing w:val="-4"/>
          <w:w w:val="105"/>
        </w:rPr>
        <w:t> </w:t>
      </w:r>
      <w:r>
        <w:rPr>
          <w:color w:val="231F1F"/>
          <w:w w:val="105"/>
        </w:rPr>
        <w:t>hace</w:t>
      </w:r>
      <w:r>
        <w:rPr>
          <w:color w:val="231F1F"/>
          <w:spacing w:val="-4"/>
          <w:w w:val="105"/>
        </w:rPr>
        <w:t> </w:t>
      </w:r>
      <w:r>
        <w:rPr>
          <w:color w:val="231F1F"/>
          <w:w w:val="105"/>
        </w:rPr>
        <w:t>más</w:t>
      </w:r>
      <w:r>
        <w:rPr>
          <w:color w:val="231F1F"/>
          <w:spacing w:val="-4"/>
          <w:w w:val="105"/>
        </w:rPr>
        <w:t> </w:t>
      </w:r>
      <w:r>
        <w:rPr>
          <w:color w:val="231F1F"/>
          <w:w w:val="105"/>
        </w:rPr>
        <w:t>aparente</w:t>
      </w:r>
      <w:r>
        <w:rPr>
          <w:color w:val="231F1F"/>
          <w:spacing w:val="-4"/>
          <w:w w:val="105"/>
        </w:rPr>
        <w:t> </w:t>
      </w:r>
      <w:r>
        <w:rPr>
          <w:color w:val="231F1F"/>
          <w:w w:val="105"/>
        </w:rPr>
        <w:t>cuando</w:t>
      </w:r>
      <w:r>
        <w:rPr>
          <w:color w:val="231F1F"/>
          <w:spacing w:val="-4"/>
          <w:w w:val="105"/>
        </w:rPr>
        <w:t> </w:t>
      </w:r>
      <w:r>
        <w:rPr>
          <w:color w:val="231F1F"/>
          <w:w w:val="105"/>
        </w:rPr>
        <w:t>los cuidados son proporcionados por personal no vinculado al hospital.</w:t>
      </w:r>
    </w:p>
    <w:p>
      <w:pPr>
        <w:pStyle w:val="BodyText"/>
        <w:spacing w:before="68"/>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4"/>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4" w:lineRule="auto" w:before="205"/>
        <w:ind w:left="283" w:right="1369"/>
        <w:jc w:val="both"/>
      </w:pPr>
      <w:r>
        <w:rPr>
          <w:color w:val="231F1F"/>
          <w:w w:val="110"/>
        </w:rPr>
        <w:t>El</w:t>
      </w:r>
      <w:r>
        <w:rPr>
          <w:color w:val="231F1F"/>
          <w:spacing w:val="-5"/>
          <w:w w:val="110"/>
        </w:rPr>
        <w:t> </w:t>
      </w:r>
      <w:r>
        <w:rPr>
          <w:color w:val="231F1F"/>
          <w:w w:val="110"/>
        </w:rPr>
        <w:t>artículo</w:t>
      </w:r>
      <w:r>
        <w:rPr>
          <w:color w:val="231F1F"/>
          <w:spacing w:val="-4"/>
          <w:w w:val="110"/>
        </w:rPr>
        <w:t> </w:t>
      </w:r>
      <w:r>
        <w:rPr>
          <w:color w:val="231F1F"/>
          <w:w w:val="110"/>
        </w:rPr>
        <w:t>seleccionado</w:t>
      </w:r>
      <w:r>
        <w:rPr>
          <w:color w:val="231F1F"/>
          <w:spacing w:val="-5"/>
          <w:w w:val="110"/>
        </w:rPr>
        <w:t> </w:t>
      </w: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actualización</w:t>
      </w:r>
      <w:r>
        <w:rPr>
          <w:color w:val="231F1F"/>
          <w:spacing w:val="-5"/>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evidencia,</w:t>
      </w:r>
      <w:r>
        <w:rPr>
          <w:color w:val="231F1F"/>
          <w:spacing w:val="-5"/>
          <w:w w:val="110"/>
        </w:rPr>
        <w:t> </w:t>
      </w:r>
      <w:r>
        <w:rPr>
          <w:color w:val="231F1F"/>
          <w:w w:val="110"/>
        </w:rPr>
        <w:t>es</w:t>
      </w:r>
      <w:r>
        <w:rPr>
          <w:color w:val="231F1F"/>
          <w:spacing w:val="-4"/>
          <w:w w:val="110"/>
        </w:rPr>
        <w:t> </w:t>
      </w:r>
      <w:r>
        <w:rPr>
          <w:color w:val="231F1F"/>
          <w:w w:val="110"/>
        </w:rPr>
        <w:t>una</w:t>
      </w:r>
      <w:r>
        <w:rPr>
          <w:color w:val="231F1F"/>
          <w:spacing w:val="-4"/>
          <w:w w:val="110"/>
        </w:rPr>
        <w:t> </w:t>
      </w:r>
      <w:r>
        <w:rPr>
          <w:color w:val="231F1F"/>
          <w:w w:val="110"/>
        </w:rPr>
        <w:t>revisión Cochrane</w:t>
      </w:r>
      <w:r>
        <w:rPr>
          <w:color w:val="231F1F"/>
          <w:spacing w:val="-15"/>
          <w:w w:val="110"/>
        </w:rPr>
        <w:t> </w:t>
      </w:r>
      <w:r>
        <w:rPr>
          <w:color w:val="231F1F"/>
          <w:w w:val="110"/>
        </w:rPr>
        <w:t>(46).</w:t>
      </w:r>
      <w:r>
        <w:rPr>
          <w:color w:val="231F1F"/>
          <w:spacing w:val="-15"/>
          <w:w w:val="110"/>
        </w:rPr>
        <w:t> </w:t>
      </w:r>
      <w:r>
        <w:rPr>
          <w:color w:val="231F1F"/>
          <w:w w:val="110"/>
        </w:rPr>
        <w:t>Se</w:t>
      </w:r>
      <w:r>
        <w:rPr>
          <w:color w:val="231F1F"/>
          <w:spacing w:val="-15"/>
          <w:w w:val="110"/>
        </w:rPr>
        <w:t> </w:t>
      </w:r>
      <w:r>
        <w:rPr>
          <w:color w:val="231F1F"/>
          <w:w w:val="110"/>
        </w:rPr>
        <w:t>trata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actualización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revisión</w:t>
      </w:r>
      <w:r>
        <w:rPr>
          <w:color w:val="231F1F"/>
          <w:spacing w:val="-14"/>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había</w:t>
      </w:r>
      <w:r>
        <w:rPr>
          <w:color w:val="231F1F"/>
          <w:spacing w:val="-15"/>
          <w:w w:val="110"/>
        </w:rPr>
        <w:t> </w:t>
      </w:r>
      <w:r>
        <w:rPr>
          <w:color w:val="231F1F"/>
          <w:w w:val="110"/>
        </w:rPr>
        <w:t>inclui- do</w:t>
      </w:r>
      <w:r>
        <w:rPr>
          <w:color w:val="231F1F"/>
          <w:spacing w:val="-11"/>
          <w:w w:val="110"/>
        </w:rPr>
        <w:t> </w:t>
      </w:r>
      <w:r>
        <w:rPr>
          <w:color w:val="231F1F"/>
          <w:w w:val="110"/>
        </w:rPr>
        <w:t>en</w:t>
      </w:r>
      <w:r>
        <w:rPr>
          <w:color w:val="231F1F"/>
          <w:spacing w:val="-11"/>
          <w:w w:val="110"/>
        </w:rPr>
        <w:t> </w:t>
      </w:r>
      <w:r>
        <w:rPr>
          <w:color w:val="231F1F"/>
          <w:w w:val="110"/>
        </w:rPr>
        <w:t>la</w:t>
      </w:r>
      <w:r>
        <w:rPr>
          <w:color w:val="231F1F"/>
          <w:spacing w:val="-12"/>
          <w:w w:val="110"/>
        </w:rPr>
        <w:t> </w:t>
      </w:r>
      <w:r>
        <w:rPr>
          <w:color w:val="231F1F"/>
          <w:w w:val="110"/>
        </w:rPr>
        <w:t>guía</w:t>
      </w:r>
      <w:r>
        <w:rPr>
          <w:color w:val="231F1F"/>
          <w:spacing w:val="-12"/>
          <w:w w:val="110"/>
        </w:rPr>
        <w:t> </w:t>
      </w:r>
      <w:r>
        <w:rPr>
          <w:color w:val="231F1F"/>
          <w:w w:val="110"/>
        </w:rPr>
        <w:t>NICE</w:t>
      </w:r>
      <w:r>
        <w:rPr>
          <w:color w:val="231F1F"/>
          <w:spacing w:val="-11"/>
          <w:w w:val="110"/>
        </w:rPr>
        <w:t> </w:t>
      </w:r>
      <w:r>
        <w:rPr>
          <w:color w:val="231F1F"/>
          <w:w w:val="110"/>
        </w:rPr>
        <w:t>(10)</w:t>
      </w:r>
      <w:r>
        <w:rPr>
          <w:color w:val="231F1F"/>
          <w:spacing w:val="-12"/>
          <w:w w:val="110"/>
        </w:rPr>
        <w:t> </w:t>
      </w:r>
      <w:r>
        <w:rPr>
          <w:color w:val="231F1F"/>
          <w:w w:val="110"/>
        </w:rPr>
        <w:t>y</w:t>
      </w:r>
      <w:r>
        <w:rPr>
          <w:color w:val="231F1F"/>
          <w:spacing w:val="-11"/>
          <w:w w:val="110"/>
        </w:rPr>
        <w:t> </w:t>
      </w:r>
      <w:r>
        <w:rPr>
          <w:color w:val="231F1F"/>
          <w:w w:val="110"/>
        </w:rPr>
        <w:t>en</w:t>
      </w:r>
      <w:r>
        <w:rPr>
          <w:color w:val="231F1F"/>
          <w:spacing w:val="-11"/>
          <w:w w:val="110"/>
        </w:rPr>
        <w:t> </w:t>
      </w:r>
      <w:r>
        <w:rPr>
          <w:color w:val="231F1F"/>
          <w:w w:val="110"/>
        </w:rPr>
        <w:t>la</w:t>
      </w:r>
      <w:r>
        <w:rPr>
          <w:color w:val="231F1F"/>
          <w:spacing w:val="-12"/>
          <w:w w:val="110"/>
        </w:rPr>
        <w:t> </w:t>
      </w:r>
      <w:r>
        <w:rPr>
          <w:color w:val="231F1F"/>
          <w:w w:val="110"/>
        </w:rPr>
        <w:t>que</w:t>
      </w:r>
      <w:r>
        <w:rPr>
          <w:color w:val="231F1F"/>
          <w:spacing w:val="-12"/>
          <w:w w:val="110"/>
        </w:rPr>
        <w:t> </w:t>
      </w:r>
      <w:r>
        <w:rPr>
          <w:color w:val="231F1F"/>
          <w:w w:val="110"/>
        </w:rPr>
        <w:t>se</w:t>
      </w:r>
      <w:r>
        <w:rPr>
          <w:color w:val="231F1F"/>
          <w:spacing w:val="-12"/>
          <w:w w:val="110"/>
        </w:rPr>
        <w:t> </w:t>
      </w:r>
      <w:r>
        <w:rPr>
          <w:color w:val="231F1F"/>
          <w:w w:val="110"/>
        </w:rPr>
        <w:t>incluye</w:t>
      </w:r>
      <w:r>
        <w:rPr>
          <w:color w:val="231F1F"/>
          <w:spacing w:val="-11"/>
          <w:w w:val="110"/>
        </w:rPr>
        <w:t> </w:t>
      </w:r>
      <w:r>
        <w:rPr>
          <w:color w:val="231F1F"/>
          <w:w w:val="110"/>
        </w:rPr>
        <w:t>un</w:t>
      </w:r>
      <w:r>
        <w:rPr>
          <w:color w:val="231F1F"/>
          <w:spacing w:val="-11"/>
          <w:w w:val="110"/>
        </w:rPr>
        <w:t> </w:t>
      </w:r>
      <w:r>
        <w:rPr>
          <w:color w:val="231F1F"/>
          <w:w w:val="110"/>
        </w:rPr>
        <w:t>nuevo</w:t>
      </w:r>
      <w:r>
        <w:rPr>
          <w:color w:val="231F1F"/>
          <w:spacing w:val="-12"/>
          <w:w w:val="110"/>
        </w:rPr>
        <w:t> </w:t>
      </w:r>
      <w:r>
        <w:rPr>
          <w:color w:val="231F1F"/>
          <w:w w:val="110"/>
        </w:rPr>
        <w:t>ensayo</w:t>
      </w:r>
      <w:r>
        <w:rPr>
          <w:color w:val="231F1F"/>
          <w:spacing w:val="-11"/>
          <w:w w:val="110"/>
        </w:rPr>
        <w:t> </w:t>
      </w:r>
      <w:r>
        <w:rPr>
          <w:color w:val="231F1F"/>
          <w:w w:val="110"/>
        </w:rPr>
        <w:t>clínico</w:t>
      </w:r>
      <w:r>
        <w:rPr>
          <w:color w:val="231F1F"/>
          <w:spacing w:val="-12"/>
          <w:w w:val="110"/>
        </w:rPr>
        <w:t> </w:t>
      </w:r>
      <w:r>
        <w:rPr>
          <w:color w:val="231F1F"/>
          <w:w w:val="110"/>
        </w:rPr>
        <w:t>en</w:t>
      </w:r>
      <w:r>
        <w:rPr>
          <w:color w:val="231F1F"/>
          <w:spacing w:val="-11"/>
          <w:w w:val="110"/>
        </w:rPr>
        <w:t> </w:t>
      </w:r>
      <w:r>
        <w:rPr>
          <w:color w:val="231F1F"/>
          <w:w w:val="110"/>
        </w:rPr>
        <w:t>el que se prestaba apoyo por personas no vinculadas al hospital.</w:t>
      </w:r>
    </w:p>
    <w:p>
      <w:pPr>
        <w:pStyle w:val="BodyText"/>
        <w:tabs>
          <w:tab w:pos="7966" w:val="left" w:leader="none"/>
          <w:tab w:pos="8114" w:val="left" w:leader="none"/>
        </w:tabs>
        <w:spacing w:line="249" w:lineRule="auto" w:before="100"/>
        <w:ind w:left="283" w:right="450" w:firstLine="453"/>
      </w:pPr>
      <w:r>
        <w:rPr>
          <w:color w:val="231F1F"/>
          <w:w w:val="105"/>
        </w:rPr>
        <w:t>Teniendo en cuenta sólo los resultados del análisis estratificado por </w:t>
      </w:r>
      <w:r>
        <w:rPr>
          <w:i/>
          <w:color w:val="231F1F"/>
          <w:w w:val="105"/>
        </w:rPr>
        <w:t>cui-</w:t>
      </w:r>
      <w:r>
        <w:rPr>
          <w:i/>
          <w:color w:val="231F1F"/>
        </w:rPr>
        <w:tab/>
      </w:r>
      <w:r>
        <w:rPr>
          <w:rFonts w:ascii="Arial MT" w:hAnsi="Arial MT"/>
          <w:color w:val="231F1F"/>
          <w:spacing w:val="-6"/>
          <w:w w:val="105"/>
          <w:sz w:val="18"/>
        </w:rPr>
        <w:t>RS</w:t>
      </w:r>
      <w:r>
        <w:rPr>
          <w:rFonts w:ascii="Arial MT" w:hAnsi="Arial MT"/>
          <w:color w:val="231F1F"/>
          <w:spacing w:val="-8"/>
          <w:w w:val="105"/>
          <w:sz w:val="18"/>
        </w:rPr>
        <w:t> </w:t>
      </w:r>
      <w:r>
        <w:rPr>
          <w:rFonts w:ascii="Arial MT" w:hAnsi="Arial MT"/>
          <w:color w:val="231F1F"/>
          <w:spacing w:val="-6"/>
          <w:w w:val="105"/>
          <w:sz w:val="18"/>
        </w:rPr>
        <w:t>de </w:t>
      </w:r>
      <w:r>
        <w:rPr>
          <w:i/>
          <w:color w:val="231F1F"/>
          <w:w w:val="105"/>
        </w:rPr>
        <w:t>dados</w:t>
      </w:r>
      <w:r>
        <w:rPr>
          <w:i/>
          <w:color w:val="231F1F"/>
          <w:spacing w:val="-4"/>
          <w:w w:val="105"/>
        </w:rPr>
        <w:t> </w:t>
      </w:r>
      <w:r>
        <w:rPr>
          <w:i/>
          <w:color w:val="231F1F"/>
          <w:w w:val="105"/>
        </w:rPr>
        <w:t>prestados</w:t>
      </w:r>
      <w:r>
        <w:rPr>
          <w:i/>
          <w:color w:val="231F1F"/>
          <w:spacing w:val="-4"/>
          <w:w w:val="105"/>
        </w:rPr>
        <w:t> </w:t>
      </w:r>
      <w:r>
        <w:rPr>
          <w:i/>
          <w:color w:val="231F1F"/>
          <w:w w:val="105"/>
        </w:rPr>
        <w:t>por</w:t>
      </w:r>
      <w:r>
        <w:rPr>
          <w:i/>
          <w:color w:val="231F1F"/>
          <w:spacing w:val="-4"/>
          <w:w w:val="105"/>
        </w:rPr>
        <w:t> </w:t>
      </w:r>
      <w:r>
        <w:rPr>
          <w:i/>
          <w:color w:val="231F1F"/>
          <w:w w:val="105"/>
        </w:rPr>
        <w:t>profesionales</w:t>
      </w:r>
      <w:r>
        <w:rPr>
          <w:i/>
          <w:color w:val="231F1F"/>
          <w:spacing w:val="-4"/>
          <w:w w:val="105"/>
        </w:rPr>
        <w:t> </w:t>
      </w:r>
      <w:r>
        <w:rPr>
          <w:i/>
          <w:color w:val="231F1F"/>
          <w:w w:val="105"/>
        </w:rPr>
        <w:t>del</w:t>
      </w:r>
      <w:r>
        <w:rPr>
          <w:i/>
          <w:color w:val="231F1F"/>
          <w:spacing w:val="-4"/>
          <w:w w:val="105"/>
        </w:rPr>
        <w:t> </w:t>
      </w:r>
      <w:r>
        <w:rPr>
          <w:i/>
          <w:color w:val="231F1F"/>
          <w:w w:val="105"/>
        </w:rPr>
        <w:t>hospital</w:t>
      </w:r>
      <w:r>
        <w:rPr>
          <w:color w:val="231F1F"/>
          <w:w w:val="105"/>
        </w:rPr>
        <w:t>, los resultados fueron los mismos</w:t>
      </w:r>
      <w:r>
        <w:rPr>
          <w:color w:val="231F1F"/>
          <w:spacing w:val="80"/>
          <w:w w:val="105"/>
        </w:rPr>
        <w:t> </w:t>
      </w:r>
      <w:r>
        <w:rPr>
          <w:rFonts w:ascii="Arial MT" w:hAnsi="Arial MT"/>
          <w:color w:val="231F1F"/>
          <w:w w:val="105"/>
          <w:position w:val="4"/>
          <w:sz w:val="18"/>
        </w:rPr>
        <w:t>ECAs </w:t>
      </w:r>
      <w:r>
        <w:rPr>
          <w:color w:val="231F1F"/>
          <w:w w:val="105"/>
        </w:rPr>
        <w:t>que los de la RS del año 2004, ya que en el nuevo ensayo incluido en la actua-</w:t>
      </w:r>
      <w:r>
        <w:rPr>
          <w:color w:val="231F1F"/>
        </w:rPr>
        <w:tab/>
        <w:tab/>
      </w:r>
      <w:r>
        <w:rPr>
          <w:rFonts w:ascii="Arial MT" w:hAnsi="Arial MT"/>
          <w:color w:val="231F1F"/>
          <w:spacing w:val="-6"/>
          <w:w w:val="105"/>
          <w:position w:val="8"/>
          <w:sz w:val="18"/>
        </w:rPr>
        <w:t>1+ </w:t>
      </w:r>
      <w:r>
        <w:rPr>
          <w:color w:val="231F1F"/>
          <w:w w:val="105"/>
        </w:rPr>
        <w:t>lización no evaluaba el apoyo profesional: las mujeres que recibieron atención</w:t>
      </w:r>
    </w:p>
    <w:p>
      <w:pPr>
        <w:pStyle w:val="BodyText"/>
        <w:spacing w:line="252" w:lineRule="auto"/>
        <w:ind w:left="283" w:right="1366"/>
        <w:jc w:val="both"/>
      </w:pPr>
      <w:r>
        <w:rPr>
          <w:color w:val="231F1F"/>
          <w:w w:val="105"/>
        </w:rPr>
        <w:t>una</w:t>
      </w:r>
      <w:r>
        <w:rPr>
          <w:color w:val="231F1F"/>
          <w:spacing w:val="-11"/>
          <w:w w:val="105"/>
        </w:rPr>
        <w:t> </w:t>
      </w:r>
      <w:r>
        <w:rPr>
          <w:color w:val="231F1F"/>
          <w:w w:val="105"/>
        </w:rPr>
        <w:t>a</w:t>
      </w:r>
      <w:r>
        <w:rPr>
          <w:color w:val="231F1F"/>
          <w:spacing w:val="-11"/>
          <w:w w:val="105"/>
        </w:rPr>
        <w:t> </w:t>
      </w:r>
      <w:r>
        <w:rPr>
          <w:color w:val="231F1F"/>
          <w:w w:val="105"/>
        </w:rPr>
        <w:t>una</w:t>
      </w:r>
      <w:r>
        <w:rPr>
          <w:color w:val="231F1F"/>
          <w:spacing w:val="-11"/>
          <w:w w:val="105"/>
        </w:rPr>
        <w:t> </w:t>
      </w:r>
      <w:r>
        <w:rPr>
          <w:color w:val="231F1F"/>
          <w:w w:val="105"/>
        </w:rPr>
        <w:t>tienen</w:t>
      </w:r>
      <w:r>
        <w:rPr>
          <w:color w:val="231F1F"/>
          <w:spacing w:val="-11"/>
          <w:w w:val="105"/>
        </w:rPr>
        <w:t> </w:t>
      </w:r>
      <w:r>
        <w:rPr>
          <w:color w:val="231F1F"/>
          <w:w w:val="105"/>
        </w:rPr>
        <w:t>menor</w:t>
      </w:r>
      <w:r>
        <w:rPr>
          <w:color w:val="231F1F"/>
          <w:spacing w:val="-11"/>
          <w:w w:val="105"/>
        </w:rPr>
        <w:t> </w:t>
      </w:r>
      <w:r>
        <w:rPr>
          <w:color w:val="231F1F"/>
          <w:w w:val="105"/>
        </w:rPr>
        <w:t>probabilidad</w:t>
      </w:r>
      <w:r>
        <w:rPr>
          <w:color w:val="231F1F"/>
          <w:spacing w:val="-11"/>
          <w:w w:val="105"/>
        </w:rPr>
        <w:t> </w:t>
      </w:r>
      <w:r>
        <w:rPr>
          <w:color w:val="231F1F"/>
          <w:w w:val="105"/>
        </w:rPr>
        <w:t>de</w:t>
      </w:r>
      <w:r>
        <w:rPr>
          <w:color w:val="231F1F"/>
          <w:spacing w:val="-11"/>
          <w:w w:val="105"/>
        </w:rPr>
        <w:t> </w:t>
      </w:r>
      <w:r>
        <w:rPr>
          <w:color w:val="231F1F"/>
          <w:w w:val="105"/>
        </w:rPr>
        <w:t>utilizar</w:t>
      </w:r>
      <w:r>
        <w:rPr>
          <w:color w:val="231F1F"/>
          <w:spacing w:val="-11"/>
          <w:w w:val="105"/>
        </w:rPr>
        <w:t> </w:t>
      </w:r>
      <w:r>
        <w:rPr>
          <w:color w:val="231F1F"/>
          <w:w w:val="105"/>
        </w:rPr>
        <w:t>analgesia</w:t>
      </w:r>
      <w:r>
        <w:rPr>
          <w:color w:val="231F1F"/>
          <w:spacing w:val="-10"/>
          <w:w w:val="105"/>
        </w:rPr>
        <w:t> </w:t>
      </w:r>
      <w:r>
        <w:rPr>
          <w:color w:val="231F1F"/>
          <w:w w:val="105"/>
        </w:rPr>
        <w:t>(6</w:t>
      </w:r>
      <w:r>
        <w:rPr>
          <w:color w:val="231F1F"/>
          <w:spacing w:val="-11"/>
          <w:w w:val="105"/>
        </w:rPr>
        <w:t> </w:t>
      </w:r>
      <w:r>
        <w:rPr>
          <w:color w:val="231F1F"/>
          <w:w w:val="105"/>
        </w:rPr>
        <w:t>ensayos;</w:t>
      </w:r>
      <w:r>
        <w:rPr>
          <w:color w:val="231F1F"/>
          <w:spacing w:val="-11"/>
          <w:w w:val="105"/>
        </w:rPr>
        <w:t> </w:t>
      </w:r>
      <w:r>
        <w:rPr>
          <w:color w:val="231F1F"/>
          <w:w w:val="105"/>
        </w:rPr>
        <w:t>n=9.152): RR 0,97 [IC 95% 0,95 a 0,99], mayor probabilidad de tener un parto vaginal espontáneo (8 ensayos; n=10.713): RR 1,03 [IC 95% 1,01 a 1,06], menor pro- babilidad de un parto vaginal instrumentado (8 ensayos; n=10.713): RR 0,92 [IC 95% 0,85 a 0,99].</w:t>
      </w:r>
    </w:p>
    <w:p>
      <w:pPr>
        <w:pStyle w:val="BodyText"/>
        <w:spacing w:after="0" w:line="252" w:lineRule="auto"/>
        <w:jc w:val="both"/>
        <w:sectPr>
          <w:pgSz w:w="11900" w:h="16840"/>
          <w:pgMar w:header="0" w:footer="622" w:top="1560" w:bottom="820" w:left="1417" w:right="1559"/>
        </w:sectPr>
      </w:pPr>
    </w:p>
    <w:p>
      <w:pPr>
        <w:pStyle w:val="BodyText"/>
        <w:tabs>
          <w:tab w:pos="8005" w:val="left" w:leader="none"/>
        </w:tabs>
        <w:spacing w:line="242" w:lineRule="auto" w:before="73"/>
        <w:ind w:left="283" w:right="437" w:firstLine="453"/>
        <w:jc w:val="both"/>
        <w:rPr>
          <w:rFonts w:ascii="Arial MT" w:hAnsi="Arial MT"/>
          <w:position w:val="8"/>
          <w:sz w:val="18"/>
        </w:rPr>
      </w:pPr>
      <w:r>
        <w:rPr>
          <w:color w:val="231F1F"/>
          <w:w w:val="105"/>
        </w:rPr>
        <w:t>No</w:t>
      </w:r>
      <w:r>
        <w:rPr>
          <w:color w:val="231F1F"/>
          <w:w w:val="105"/>
        </w:rPr>
        <w:t> se</w:t>
      </w:r>
      <w:r>
        <w:rPr>
          <w:color w:val="231F1F"/>
          <w:w w:val="105"/>
        </w:rPr>
        <w:t> encontraron</w:t>
      </w:r>
      <w:r>
        <w:rPr>
          <w:color w:val="231F1F"/>
          <w:w w:val="105"/>
        </w:rPr>
        <w:t> diferencias</w:t>
      </w:r>
      <w:r>
        <w:rPr>
          <w:color w:val="231F1F"/>
          <w:w w:val="105"/>
        </w:rPr>
        <w:t> significativas</w:t>
      </w:r>
      <w:r>
        <w:rPr>
          <w:color w:val="231F1F"/>
          <w:w w:val="105"/>
        </w:rPr>
        <w:t> entre</w:t>
      </w:r>
      <w:r>
        <w:rPr>
          <w:color w:val="231F1F"/>
          <w:w w:val="105"/>
        </w:rPr>
        <w:t> los</w:t>
      </w:r>
      <w:r>
        <w:rPr>
          <w:color w:val="231F1F"/>
          <w:w w:val="105"/>
        </w:rPr>
        <w:t> dos</w:t>
      </w:r>
      <w:r>
        <w:rPr>
          <w:color w:val="231F1F"/>
          <w:w w:val="105"/>
        </w:rPr>
        <w:t> grupos</w:t>
      </w:r>
      <w:r>
        <w:rPr>
          <w:color w:val="231F1F"/>
          <w:w w:val="105"/>
        </w:rPr>
        <w:t> en</w:t>
      </w:r>
      <w:r>
        <w:rPr>
          <w:color w:val="231F1F"/>
          <w:w w:val="105"/>
        </w:rPr>
        <w:t> los</w:t>
      </w:r>
      <w:r>
        <w:rPr>
          <w:color w:val="231F1F"/>
          <w:spacing w:val="40"/>
          <w:w w:val="105"/>
        </w:rPr>
        <w:t> </w:t>
      </w:r>
      <w:r>
        <w:rPr>
          <w:rFonts w:ascii="Arial MT" w:hAnsi="Arial MT"/>
          <w:color w:val="231F1F"/>
          <w:w w:val="105"/>
          <w:sz w:val="18"/>
        </w:rPr>
        <w:t>RS</w:t>
      </w:r>
      <w:r>
        <w:rPr>
          <w:rFonts w:ascii="Arial MT" w:hAnsi="Arial MT"/>
          <w:color w:val="231F1F"/>
          <w:w w:val="105"/>
          <w:sz w:val="18"/>
        </w:rPr>
        <w:t> de </w:t>
      </w:r>
      <w:r>
        <w:rPr>
          <w:color w:val="231F1F"/>
          <w:w w:val="105"/>
        </w:rPr>
        <w:t>siguientes</w:t>
      </w:r>
      <w:r>
        <w:rPr>
          <w:color w:val="231F1F"/>
          <w:spacing w:val="40"/>
          <w:w w:val="105"/>
        </w:rPr>
        <w:t> </w:t>
      </w:r>
      <w:r>
        <w:rPr>
          <w:color w:val="231F1F"/>
          <w:w w:val="105"/>
        </w:rPr>
        <w:t>resultados</w:t>
      </w:r>
      <w:r>
        <w:rPr>
          <w:color w:val="231F1F"/>
          <w:spacing w:val="40"/>
          <w:w w:val="105"/>
        </w:rPr>
        <w:t> </w:t>
      </w:r>
      <w:r>
        <w:rPr>
          <w:color w:val="231F1F"/>
          <w:w w:val="105"/>
        </w:rPr>
        <w:t>adversos:</w:t>
      </w:r>
      <w:r>
        <w:rPr>
          <w:color w:val="231F1F"/>
          <w:spacing w:val="40"/>
          <w:w w:val="105"/>
        </w:rPr>
        <w:t> </w:t>
      </w:r>
      <w:r>
        <w:rPr>
          <w:color w:val="231F1F"/>
          <w:w w:val="105"/>
        </w:rPr>
        <w:t>tasa</w:t>
      </w:r>
      <w:r>
        <w:rPr>
          <w:color w:val="231F1F"/>
          <w:spacing w:val="40"/>
          <w:w w:val="105"/>
        </w:rPr>
        <w:t> </w:t>
      </w:r>
      <w:r>
        <w:rPr>
          <w:color w:val="231F1F"/>
          <w:w w:val="105"/>
        </w:rPr>
        <w:t>de</w:t>
      </w:r>
      <w:r>
        <w:rPr>
          <w:color w:val="231F1F"/>
          <w:spacing w:val="40"/>
          <w:w w:val="105"/>
        </w:rPr>
        <w:t> </w:t>
      </w:r>
      <w:r>
        <w:rPr>
          <w:color w:val="231F1F"/>
          <w:w w:val="105"/>
        </w:rPr>
        <w:t>cesáreas</w:t>
      </w:r>
      <w:r>
        <w:rPr>
          <w:color w:val="231F1F"/>
          <w:spacing w:val="40"/>
          <w:w w:val="105"/>
        </w:rPr>
        <w:t> </w:t>
      </w:r>
      <w:r>
        <w:rPr>
          <w:color w:val="231F1F"/>
          <w:w w:val="105"/>
        </w:rPr>
        <w:t>(8</w:t>
      </w:r>
      <w:r>
        <w:rPr>
          <w:color w:val="231F1F"/>
          <w:spacing w:val="40"/>
          <w:w w:val="105"/>
        </w:rPr>
        <w:t> </w:t>
      </w:r>
      <w:r>
        <w:rPr>
          <w:color w:val="231F1F"/>
          <w:w w:val="105"/>
        </w:rPr>
        <w:t>ensayos</w:t>
      </w:r>
      <w:r>
        <w:rPr>
          <w:color w:val="231F1F"/>
          <w:spacing w:val="40"/>
          <w:w w:val="105"/>
        </w:rPr>
        <w:t> </w:t>
      </w:r>
      <w:r>
        <w:rPr>
          <w:color w:val="231F1F"/>
          <w:w w:val="105"/>
        </w:rPr>
        <w:t>n=10,713):</w:t>
      </w:r>
      <w:r>
        <w:rPr>
          <w:color w:val="231F1F"/>
          <w:spacing w:val="40"/>
          <w:w w:val="105"/>
        </w:rPr>
        <w:t> </w:t>
      </w:r>
      <w:r>
        <w:rPr>
          <w:color w:val="231F1F"/>
          <w:w w:val="105"/>
        </w:rPr>
        <w:t>RR</w:t>
      </w:r>
      <w:r>
        <w:rPr>
          <w:color w:val="231F1F"/>
          <w:spacing w:val="80"/>
          <w:w w:val="105"/>
        </w:rPr>
        <w:t>  </w:t>
      </w:r>
      <w:r>
        <w:rPr>
          <w:rFonts w:ascii="Arial MT" w:hAnsi="Arial MT"/>
          <w:color w:val="231F1F"/>
          <w:w w:val="105"/>
          <w:position w:val="4"/>
          <w:sz w:val="18"/>
        </w:rPr>
        <w:t>ECAs </w:t>
      </w:r>
      <w:r>
        <w:rPr>
          <w:color w:val="231F1F"/>
          <w:w w:val="105"/>
        </w:rPr>
        <w:t>0,95 [IC 95% 0.86 a 1,06], insatisfacción materna o experiencia negativa del</w:t>
      </w:r>
      <w:r>
        <w:rPr>
          <w:color w:val="231F1F"/>
        </w:rPr>
        <w:tab/>
      </w:r>
      <w:r>
        <w:rPr>
          <w:rFonts w:ascii="Arial MT" w:hAnsi="Arial MT"/>
          <w:color w:val="231F1F"/>
          <w:spacing w:val="-6"/>
          <w:w w:val="105"/>
          <w:position w:val="8"/>
          <w:sz w:val="18"/>
        </w:rPr>
        <w:t>1+</w:t>
      </w:r>
    </w:p>
    <w:p>
      <w:pPr>
        <w:pStyle w:val="BodyText"/>
        <w:spacing w:line="251" w:lineRule="exact"/>
        <w:ind w:left="283"/>
        <w:jc w:val="both"/>
      </w:pPr>
      <w:r>
        <w:rPr>
          <w:color w:val="231F1F"/>
          <w:w w:val="105"/>
        </w:rPr>
        <w:t>parto</w:t>
      </w:r>
      <w:r>
        <w:rPr>
          <w:color w:val="231F1F"/>
          <w:spacing w:val="14"/>
          <w:w w:val="105"/>
        </w:rPr>
        <w:t> </w:t>
      </w:r>
      <w:r>
        <w:rPr>
          <w:color w:val="231F1F"/>
          <w:w w:val="105"/>
        </w:rPr>
        <w:t>(3</w:t>
      </w:r>
      <w:r>
        <w:rPr>
          <w:color w:val="231F1F"/>
          <w:spacing w:val="16"/>
          <w:w w:val="105"/>
        </w:rPr>
        <w:t> </w:t>
      </w:r>
      <w:r>
        <w:rPr>
          <w:color w:val="231F1F"/>
          <w:w w:val="105"/>
        </w:rPr>
        <w:t>ensayos;</w:t>
      </w:r>
      <w:r>
        <w:rPr>
          <w:color w:val="231F1F"/>
          <w:spacing w:val="15"/>
          <w:w w:val="105"/>
        </w:rPr>
        <w:t> </w:t>
      </w:r>
      <w:r>
        <w:rPr>
          <w:color w:val="231F1F"/>
          <w:w w:val="105"/>
        </w:rPr>
        <w:t>n=8.499):</w:t>
      </w:r>
      <w:r>
        <w:rPr>
          <w:color w:val="231F1F"/>
          <w:spacing w:val="15"/>
          <w:w w:val="105"/>
        </w:rPr>
        <w:t> </w:t>
      </w:r>
      <w:r>
        <w:rPr>
          <w:color w:val="231F1F"/>
          <w:w w:val="105"/>
        </w:rPr>
        <w:t>RR</w:t>
      </w:r>
      <w:r>
        <w:rPr>
          <w:color w:val="231F1F"/>
          <w:spacing w:val="16"/>
          <w:w w:val="105"/>
        </w:rPr>
        <w:t> </w:t>
      </w:r>
      <w:r>
        <w:rPr>
          <w:color w:val="231F1F"/>
          <w:w w:val="105"/>
        </w:rPr>
        <w:t>0,83</w:t>
      </w:r>
      <w:r>
        <w:rPr>
          <w:color w:val="231F1F"/>
          <w:spacing w:val="15"/>
          <w:w w:val="105"/>
        </w:rPr>
        <w:t> </w:t>
      </w:r>
      <w:r>
        <w:rPr>
          <w:color w:val="231F1F"/>
          <w:w w:val="105"/>
        </w:rPr>
        <w:t>[IC</w:t>
      </w:r>
      <w:r>
        <w:rPr>
          <w:color w:val="231F1F"/>
          <w:spacing w:val="15"/>
          <w:w w:val="105"/>
        </w:rPr>
        <w:t> </w:t>
      </w:r>
      <w:r>
        <w:rPr>
          <w:color w:val="231F1F"/>
          <w:w w:val="105"/>
        </w:rPr>
        <w:t>95%</w:t>
      </w:r>
      <w:r>
        <w:rPr>
          <w:color w:val="231F1F"/>
          <w:spacing w:val="17"/>
          <w:w w:val="105"/>
        </w:rPr>
        <w:t> </w:t>
      </w:r>
      <w:r>
        <w:rPr>
          <w:color w:val="231F1F"/>
          <w:w w:val="105"/>
        </w:rPr>
        <w:t>0,67</w:t>
      </w:r>
      <w:r>
        <w:rPr>
          <w:color w:val="231F1F"/>
          <w:spacing w:val="14"/>
          <w:w w:val="105"/>
        </w:rPr>
        <w:t> </w:t>
      </w:r>
      <w:r>
        <w:rPr>
          <w:color w:val="231F1F"/>
          <w:w w:val="105"/>
        </w:rPr>
        <w:t>a</w:t>
      </w:r>
      <w:r>
        <w:rPr>
          <w:color w:val="231F1F"/>
          <w:spacing w:val="17"/>
          <w:w w:val="105"/>
        </w:rPr>
        <w:t> </w:t>
      </w:r>
      <w:r>
        <w:rPr>
          <w:color w:val="231F1F"/>
          <w:w w:val="105"/>
        </w:rPr>
        <w:t>1,02],</w:t>
      </w:r>
      <w:r>
        <w:rPr>
          <w:color w:val="231F1F"/>
          <w:spacing w:val="14"/>
          <w:w w:val="105"/>
        </w:rPr>
        <w:t> </w:t>
      </w:r>
      <w:r>
        <w:rPr>
          <w:color w:val="231F1F"/>
          <w:w w:val="105"/>
        </w:rPr>
        <w:t>valores</w:t>
      </w:r>
      <w:r>
        <w:rPr>
          <w:color w:val="231F1F"/>
          <w:spacing w:val="14"/>
          <w:w w:val="105"/>
        </w:rPr>
        <w:t> </w:t>
      </w:r>
      <w:r>
        <w:rPr>
          <w:color w:val="231F1F"/>
          <w:w w:val="105"/>
        </w:rPr>
        <w:t>del</w:t>
      </w:r>
      <w:r>
        <w:rPr>
          <w:color w:val="231F1F"/>
          <w:spacing w:val="15"/>
          <w:w w:val="105"/>
        </w:rPr>
        <w:t> </w:t>
      </w:r>
      <w:r>
        <w:rPr>
          <w:color w:val="231F1F"/>
          <w:spacing w:val="-4"/>
          <w:w w:val="105"/>
        </w:rPr>
        <w:t>test</w:t>
      </w:r>
    </w:p>
    <w:p>
      <w:pPr>
        <w:pStyle w:val="BodyText"/>
        <w:spacing w:line="244" w:lineRule="auto" w:before="20"/>
        <w:ind w:left="283" w:right="1374"/>
        <w:jc w:val="both"/>
      </w:pPr>
      <w:r>
        <w:rPr>
          <w:color w:val="231F1F"/>
          <w:w w:val="110"/>
        </w:rPr>
        <w:t>Apgar a los 5 minutos: RR 0,83 [IC 95% 0,56 a 1,02], depresión posparto (tras soporte o no por enfermeras especialmente entrenadas): RR 0,89 [IC 95% 0,75 a 1,05].</w:t>
      </w:r>
    </w:p>
    <w:p>
      <w:pPr>
        <w:pStyle w:val="BodyText"/>
        <w:tabs>
          <w:tab w:pos="7966" w:val="left" w:leader="none"/>
          <w:tab w:pos="8114" w:val="left" w:leader="none"/>
        </w:tabs>
        <w:spacing w:line="249" w:lineRule="auto" w:before="100"/>
        <w:ind w:left="283" w:right="450" w:firstLine="453"/>
      </w:pPr>
      <w:r>
        <w:rPr>
          <w:color w:val="231F1F"/>
          <w:w w:val="105"/>
        </w:rPr>
        <w:t>En relación a los resultados de los estudios que analizaban el apoyo por</w:t>
      </w:r>
      <w:r>
        <w:rPr>
          <w:color w:val="231F1F"/>
        </w:rPr>
        <w:tab/>
      </w:r>
      <w:r>
        <w:rPr>
          <w:rFonts w:ascii="Arial MT" w:hAnsi="Arial MT"/>
          <w:color w:val="231F1F"/>
          <w:spacing w:val="-6"/>
          <w:w w:val="105"/>
          <w:sz w:val="18"/>
        </w:rPr>
        <w:t>RS</w:t>
      </w:r>
      <w:r>
        <w:rPr>
          <w:rFonts w:ascii="Arial MT" w:hAnsi="Arial MT"/>
          <w:color w:val="231F1F"/>
          <w:spacing w:val="-8"/>
          <w:w w:val="105"/>
          <w:sz w:val="18"/>
        </w:rPr>
        <w:t> </w:t>
      </w:r>
      <w:r>
        <w:rPr>
          <w:rFonts w:ascii="Arial MT" w:hAnsi="Arial MT"/>
          <w:color w:val="231F1F"/>
          <w:spacing w:val="-6"/>
          <w:w w:val="105"/>
          <w:sz w:val="18"/>
        </w:rPr>
        <w:t>de </w:t>
      </w:r>
      <w:r>
        <w:rPr>
          <w:color w:val="231F1F"/>
          <w:w w:val="105"/>
        </w:rPr>
        <w:t>parte</w:t>
      </w:r>
      <w:r>
        <w:rPr>
          <w:color w:val="231F1F"/>
          <w:w w:val="105"/>
        </w:rPr>
        <w:t> de</w:t>
      </w:r>
      <w:r>
        <w:rPr>
          <w:color w:val="231F1F"/>
          <w:w w:val="105"/>
        </w:rPr>
        <w:t> </w:t>
      </w:r>
      <w:r>
        <w:rPr>
          <w:i/>
          <w:color w:val="231F1F"/>
          <w:w w:val="105"/>
        </w:rPr>
        <w:t>personal no vinculado al hospital, </w:t>
      </w:r>
      <w:r>
        <w:rPr>
          <w:color w:val="231F1F"/>
          <w:w w:val="105"/>
        </w:rPr>
        <w:t>se</w:t>
      </w:r>
      <w:r>
        <w:rPr>
          <w:color w:val="231F1F"/>
          <w:w w:val="105"/>
        </w:rPr>
        <w:t> observó</w:t>
      </w:r>
      <w:r>
        <w:rPr>
          <w:color w:val="231F1F"/>
          <w:w w:val="105"/>
        </w:rPr>
        <w:t> que</w:t>
      </w:r>
      <w:r>
        <w:rPr>
          <w:color w:val="231F1F"/>
          <w:w w:val="105"/>
        </w:rPr>
        <w:t> las</w:t>
      </w:r>
      <w:r>
        <w:rPr>
          <w:color w:val="231F1F"/>
          <w:w w:val="105"/>
        </w:rPr>
        <w:t> diferencias</w:t>
      </w:r>
      <w:r>
        <w:rPr>
          <w:color w:val="231F1F"/>
          <w:w w:val="105"/>
        </w:rPr>
        <w:t> sig-</w:t>
      </w:r>
      <w:r>
        <w:rPr>
          <w:color w:val="231F1F"/>
        </w:rPr>
        <w:tab/>
      </w:r>
      <w:r>
        <w:rPr>
          <w:color w:val="231F1F"/>
          <w:spacing w:val="-35"/>
        </w:rPr>
        <w:t> </w:t>
      </w:r>
      <w:r>
        <w:rPr>
          <w:rFonts w:ascii="Arial MT" w:hAnsi="Arial MT"/>
          <w:color w:val="231F1F"/>
          <w:spacing w:val="-2"/>
          <w:w w:val="105"/>
          <w:position w:val="4"/>
          <w:sz w:val="18"/>
        </w:rPr>
        <w:t>ECAs </w:t>
      </w:r>
      <w:r>
        <w:rPr>
          <w:color w:val="231F1F"/>
          <w:w w:val="105"/>
        </w:rPr>
        <w:t>nificativas se mantenían en el efecto positivo sobre el menor uso de analgesia</w:t>
      </w:r>
      <w:r>
        <w:rPr>
          <w:color w:val="231F1F"/>
        </w:rPr>
        <w:tab/>
        <w:tab/>
      </w:r>
      <w:r>
        <w:rPr>
          <w:rFonts w:ascii="Arial MT" w:hAnsi="Arial MT"/>
          <w:color w:val="231F1F"/>
          <w:spacing w:val="-6"/>
          <w:w w:val="105"/>
          <w:position w:val="8"/>
          <w:sz w:val="18"/>
        </w:rPr>
        <w:t>1+ </w:t>
      </w:r>
      <w:r>
        <w:rPr>
          <w:color w:val="231F1F"/>
          <w:w w:val="105"/>
        </w:rPr>
        <w:t>(6 ensayos; n=2.499): RR 0,80 [IC 95% 0,66 a 0,97], mayores tasas de parto</w:t>
      </w:r>
    </w:p>
    <w:p>
      <w:pPr>
        <w:pStyle w:val="BodyText"/>
        <w:spacing w:before="14"/>
        <w:ind w:left="283"/>
        <w:jc w:val="both"/>
      </w:pPr>
      <w:r>
        <w:rPr>
          <w:color w:val="231F1F"/>
        </w:rPr>
        <w:t>vaginal</w:t>
      </w:r>
      <w:r>
        <w:rPr>
          <w:color w:val="231F1F"/>
          <w:spacing w:val="-13"/>
        </w:rPr>
        <w:t> </w:t>
      </w:r>
      <w:r>
        <w:rPr>
          <w:color w:val="231F1F"/>
        </w:rPr>
        <w:t>espontáneo</w:t>
      </w:r>
      <w:r>
        <w:rPr>
          <w:color w:val="231F1F"/>
          <w:spacing w:val="-10"/>
        </w:rPr>
        <w:t> </w:t>
      </w:r>
      <w:r>
        <w:rPr>
          <w:color w:val="231F1F"/>
        </w:rPr>
        <w:t>(7</w:t>
      </w:r>
      <w:r>
        <w:rPr>
          <w:color w:val="231F1F"/>
          <w:spacing w:val="-10"/>
        </w:rPr>
        <w:t> </w:t>
      </w:r>
      <w:r>
        <w:rPr>
          <w:color w:val="231F1F"/>
        </w:rPr>
        <w:t>ensayos;</w:t>
      </w:r>
      <w:r>
        <w:rPr>
          <w:color w:val="231F1F"/>
          <w:spacing w:val="-10"/>
        </w:rPr>
        <w:t> </w:t>
      </w:r>
      <w:r>
        <w:rPr>
          <w:color w:val="231F1F"/>
        </w:rPr>
        <w:t>n=3.244):</w:t>
      </w:r>
      <w:r>
        <w:rPr>
          <w:color w:val="231F1F"/>
          <w:spacing w:val="-10"/>
        </w:rPr>
        <w:t> </w:t>
      </w:r>
      <w:r>
        <w:rPr>
          <w:color w:val="231F1F"/>
        </w:rPr>
        <w:t>RR</w:t>
      </w:r>
      <w:r>
        <w:rPr>
          <w:color w:val="231F1F"/>
          <w:spacing w:val="-11"/>
        </w:rPr>
        <w:t> </w:t>
      </w:r>
      <w:r>
        <w:rPr>
          <w:color w:val="231F1F"/>
        </w:rPr>
        <w:t>1,10</w:t>
      </w:r>
      <w:r>
        <w:rPr>
          <w:color w:val="231F1F"/>
          <w:spacing w:val="-9"/>
        </w:rPr>
        <w:t> </w:t>
      </w:r>
      <w:r>
        <w:rPr>
          <w:color w:val="231F1F"/>
        </w:rPr>
        <w:t>[IC</w:t>
      </w:r>
      <w:r>
        <w:rPr>
          <w:color w:val="231F1F"/>
          <w:spacing w:val="-11"/>
        </w:rPr>
        <w:t> </w:t>
      </w:r>
      <w:r>
        <w:rPr>
          <w:color w:val="231F1F"/>
        </w:rPr>
        <w:t>95%</w:t>
      </w:r>
      <w:r>
        <w:rPr>
          <w:color w:val="231F1F"/>
          <w:spacing w:val="-8"/>
        </w:rPr>
        <w:t> </w:t>
      </w:r>
      <w:r>
        <w:rPr>
          <w:color w:val="231F1F"/>
        </w:rPr>
        <w:t>1,05</w:t>
      </w:r>
      <w:r>
        <w:rPr>
          <w:color w:val="231F1F"/>
          <w:spacing w:val="-11"/>
        </w:rPr>
        <w:t> </w:t>
      </w:r>
      <w:r>
        <w:rPr>
          <w:color w:val="231F1F"/>
        </w:rPr>
        <w:t>a</w:t>
      </w:r>
      <w:r>
        <w:rPr>
          <w:color w:val="231F1F"/>
          <w:spacing w:val="-9"/>
        </w:rPr>
        <w:t> </w:t>
      </w:r>
      <w:r>
        <w:rPr>
          <w:color w:val="231F1F"/>
        </w:rPr>
        <w:t>1,14]</w:t>
      </w:r>
      <w:r>
        <w:rPr>
          <w:color w:val="231F1F"/>
          <w:spacing w:val="-11"/>
        </w:rPr>
        <w:t> </w:t>
      </w:r>
      <w:r>
        <w:rPr>
          <w:color w:val="231F1F"/>
        </w:rPr>
        <w:t>y</w:t>
      </w:r>
      <w:r>
        <w:rPr>
          <w:color w:val="231F1F"/>
          <w:spacing w:val="-9"/>
        </w:rPr>
        <w:t> </w:t>
      </w:r>
      <w:r>
        <w:rPr>
          <w:color w:val="231F1F"/>
          <w:spacing w:val="-2"/>
        </w:rPr>
        <w:t>menor</w:t>
      </w:r>
    </w:p>
    <w:p>
      <w:pPr>
        <w:pStyle w:val="BodyText"/>
        <w:spacing w:line="247" w:lineRule="auto" w:before="11"/>
        <w:ind w:left="283" w:right="1369"/>
        <w:jc w:val="both"/>
      </w:pPr>
      <w:r>
        <w:rPr>
          <w:color w:val="231F1F"/>
          <w:w w:val="105"/>
        </w:rPr>
        <w:t>riesgo</w:t>
      </w:r>
      <w:r>
        <w:rPr>
          <w:color w:val="231F1F"/>
          <w:w w:val="105"/>
        </w:rPr>
        <w:t> de</w:t>
      </w:r>
      <w:r>
        <w:rPr>
          <w:color w:val="231F1F"/>
          <w:w w:val="105"/>
        </w:rPr>
        <w:t> parto</w:t>
      </w:r>
      <w:r>
        <w:rPr>
          <w:color w:val="231F1F"/>
          <w:w w:val="105"/>
        </w:rPr>
        <w:t> instrumental</w:t>
      </w:r>
      <w:r>
        <w:rPr>
          <w:color w:val="231F1F"/>
          <w:w w:val="105"/>
        </w:rPr>
        <w:t> (7</w:t>
      </w:r>
      <w:r>
        <w:rPr>
          <w:color w:val="231F1F"/>
          <w:w w:val="105"/>
        </w:rPr>
        <w:t> ensayos;</w:t>
      </w:r>
      <w:r>
        <w:rPr>
          <w:color w:val="231F1F"/>
          <w:w w:val="105"/>
        </w:rPr>
        <w:t> n=2.644):</w:t>
      </w:r>
      <w:r>
        <w:rPr>
          <w:color w:val="231F1F"/>
          <w:w w:val="105"/>
        </w:rPr>
        <w:t> RR</w:t>
      </w:r>
      <w:r>
        <w:rPr>
          <w:color w:val="231F1F"/>
          <w:w w:val="105"/>
        </w:rPr>
        <w:t> 0,59</w:t>
      </w:r>
      <w:r>
        <w:rPr>
          <w:color w:val="231F1F"/>
          <w:w w:val="105"/>
        </w:rPr>
        <w:t> [IC</w:t>
      </w:r>
      <w:r>
        <w:rPr>
          <w:color w:val="231F1F"/>
          <w:w w:val="105"/>
        </w:rPr>
        <w:t> 95%</w:t>
      </w:r>
      <w:r>
        <w:rPr>
          <w:color w:val="231F1F"/>
          <w:w w:val="105"/>
        </w:rPr>
        <w:t> 0,44</w:t>
      </w:r>
      <w:r>
        <w:rPr>
          <w:color w:val="231F1F"/>
          <w:w w:val="105"/>
        </w:rPr>
        <w:t> a 0,79]. Además, también se observaron mejores resultados a favor de las mu- jeres</w:t>
      </w:r>
      <w:r>
        <w:rPr>
          <w:color w:val="231F1F"/>
          <w:spacing w:val="-15"/>
          <w:w w:val="105"/>
        </w:rPr>
        <w:t> </w:t>
      </w:r>
      <w:r>
        <w:rPr>
          <w:color w:val="231F1F"/>
          <w:w w:val="105"/>
        </w:rPr>
        <w:t>que</w:t>
      </w:r>
      <w:r>
        <w:rPr>
          <w:color w:val="231F1F"/>
          <w:spacing w:val="-14"/>
          <w:w w:val="105"/>
        </w:rPr>
        <w:t> </w:t>
      </w:r>
      <w:r>
        <w:rPr>
          <w:color w:val="231F1F"/>
          <w:w w:val="105"/>
        </w:rPr>
        <w:t>recibieron</w:t>
      </w:r>
      <w:r>
        <w:rPr>
          <w:color w:val="231F1F"/>
          <w:spacing w:val="-15"/>
          <w:w w:val="105"/>
        </w:rPr>
        <w:t> </w:t>
      </w:r>
      <w:r>
        <w:rPr>
          <w:color w:val="231F1F"/>
          <w:w w:val="105"/>
        </w:rPr>
        <w:t>apoyo</w:t>
      </w:r>
      <w:r>
        <w:rPr>
          <w:color w:val="231F1F"/>
          <w:spacing w:val="-14"/>
          <w:w w:val="105"/>
        </w:rPr>
        <w:t> </w:t>
      </w:r>
      <w:r>
        <w:rPr>
          <w:color w:val="231F1F"/>
          <w:w w:val="105"/>
        </w:rPr>
        <w:t>en</w:t>
      </w:r>
      <w:r>
        <w:rPr>
          <w:color w:val="231F1F"/>
          <w:spacing w:val="-15"/>
          <w:w w:val="105"/>
        </w:rPr>
        <w:t> </w:t>
      </w:r>
      <w:r>
        <w:rPr>
          <w:color w:val="231F1F"/>
          <w:w w:val="105"/>
        </w:rPr>
        <w:t>relación</w:t>
      </w:r>
      <w:r>
        <w:rPr>
          <w:color w:val="231F1F"/>
          <w:spacing w:val="-14"/>
          <w:w w:val="105"/>
        </w:rPr>
        <w:t> </w:t>
      </w:r>
      <w:r>
        <w:rPr>
          <w:color w:val="231F1F"/>
          <w:w w:val="105"/>
        </w:rPr>
        <w:t>a</w:t>
      </w:r>
      <w:r>
        <w:rPr>
          <w:color w:val="231F1F"/>
          <w:spacing w:val="-15"/>
          <w:w w:val="105"/>
        </w:rPr>
        <w:t> </w:t>
      </w:r>
      <w:r>
        <w:rPr>
          <w:color w:val="231F1F"/>
          <w:w w:val="105"/>
        </w:rPr>
        <w:t>la</w:t>
      </w:r>
      <w:r>
        <w:rPr>
          <w:color w:val="231F1F"/>
          <w:spacing w:val="-14"/>
          <w:w w:val="105"/>
        </w:rPr>
        <w:t> </w:t>
      </w:r>
      <w:r>
        <w:rPr>
          <w:color w:val="231F1F"/>
          <w:w w:val="105"/>
        </w:rPr>
        <w:t>tasa</w:t>
      </w:r>
      <w:r>
        <w:rPr>
          <w:color w:val="231F1F"/>
          <w:spacing w:val="-14"/>
          <w:w w:val="105"/>
        </w:rPr>
        <w:t> </w:t>
      </w:r>
      <w:r>
        <w:rPr>
          <w:color w:val="231F1F"/>
          <w:w w:val="105"/>
        </w:rPr>
        <w:t>de</w:t>
      </w:r>
      <w:r>
        <w:rPr>
          <w:color w:val="231F1F"/>
          <w:spacing w:val="-15"/>
          <w:w w:val="105"/>
        </w:rPr>
        <w:t> </w:t>
      </w:r>
      <w:r>
        <w:rPr>
          <w:color w:val="231F1F"/>
          <w:w w:val="105"/>
        </w:rPr>
        <w:t>cesáreas</w:t>
      </w:r>
      <w:r>
        <w:rPr>
          <w:color w:val="231F1F"/>
          <w:spacing w:val="-14"/>
          <w:w w:val="105"/>
        </w:rPr>
        <w:t> </w:t>
      </w:r>
      <w:r>
        <w:rPr>
          <w:color w:val="231F1F"/>
          <w:w w:val="105"/>
        </w:rPr>
        <w:t>(8</w:t>
      </w:r>
      <w:r>
        <w:rPr>
          <w:color w:val="231F1F"/>
          <w:spacing w:val="-15"/>
          <w:w w:val="105"/>
        </w:rPr>
        <w:t> </w:t>
      </w:r>
      <w:r>
        <w:rPr>
          <w:color w:val="231F1F"/>
          <w:w w:val="105"/>
        </w:rPr>
        <w:t>ensayos</w:t>
      </w:r>
      <w:r>
        <w:rPr>
          <w:color w:val="231F1F"/>
          <w:spacing w:val="-14"/>
          <w:w w:val="105"/>
        </w:rPr>
        <w:t> </w:t>
      </w:r>
      <w:r>
        <w:rPr>
          <w:color w:val="231F1F"/>
          <w:w w:val="105"/>
        </w:rPr>
        <w:t>n=2.678): RR 0,80</w:t>
      </w:r>
      <w:r>
        <w:rPr>
          <w:color w:val="231F1F"/>
          <w:spacing w:val="-1"/>
          <w:w w:val="105"/>
        </w:rPr>
        <w:t> </w:t>
      </w:r>
      <w:r>
        <w:rPr>
          <w:color w:val="231F1F"/>
          <w:w w:val="105"/>
        </w:rPr>
        <w:t>[IC 95% 0,68</w:t>
      </w:r>
      <w:r>
        <w:rPr>
          <w:color w:val="231F1F"/>
          <w:spacing w:val="-1"/>
          <w:w w:val="105"/>
        </w:rPr>
        <w:t> </w:t>
      </w:r>
      <w:r>
        <w:rPr>
          <w:color w:val="231F1F"/>
          <w:w w:val="105"/>
        </w:rPr>
        <w:t>a</w:t>
      </w:r>
      <w:r>
        <w:rPr>
          <w:color w:val="231F1F"/>
          <w:spacing w:val="-1"/>
          <w:w w:val="105"/>
        </w:rPr>
        <w:t> </w:t>
      </w:r>
      <w:r>
        <w:rPr>
          <w:color w:val="231F1F"/>
          <w:w w:val="105"/>
        </w:rPr>
        <w:t>0,95],</w:t>
      </w:r>
      <w:r>
        <w:rPr>
          <w:color w:val="231F1F"/>
          <w:spacing w:val="-1"/>
          <w:w w:val="105"/>
        </w:rPr>
        <w:t> </w:t>
      </w:r>
      <w:r>
        <w:rPr>
          <w:color w:val="231F1F"/>
          <w:w w:val="105"/>
        </w:rPr>
        <w:t>Apgar</w:t>
      </w:r>
      <w:r>
        <w:rPr>
          <w:color w:val="231F1F"/>
          <w:spacing w:val="-1"/>
          <w:w w:val="105"/>
        </w:rPr>
        <w:t> </w:t>
      </w:r>
      <w:r>
        <w:rPr>
          <w:color w:val="231F1F"/>
          <w:w w:val="105"/>
        </w:rPr>
        <w:t>&lt;5</w:t>
      </w:r>
      <w:r>
        <w:rPr>
          <w:color w:val="231F1F"/>
          <w:spacing w:val="-1"/>
          <w:w w:val="105"/>
        </w:rPr>
        <w:t> </w:t>
      </w:r>
      <w:r>
        <w:rPr>
          <w:color w:val="231F1F"/>
          <w:w w:val="105"/>
        </w:rPr>
        <w:t>a</w:t>
      </w:r>
      <w:r>
        <w:rPr>
          <w:color w:val="231F1F"/>
          <w:spacing w:val="-1"/>
          <w:w w:val="105"/>
        </w:rPr>
        <w:t> </w:t>
      </w:r>
      <w:r>
        <w:rPr>
          <w:color w:val="231F1F"/>
          <w:w w:val="105"/>
        </w:rPr>
        <w:t>los</w:t>
      </w:r>
      <w:r>
        <w:rPr>
          <w:color w:val="231F1F"/>
          <w:spacing w:val="-1"/>
          <w:w w:val="105"/>
        </w:rPr>
        <w:t> </w:t>
      </w:r>
      <w:r>
        <w:rPr>
          <w:color w:val="231F1F"/>
          <w:w w:val="105"/>
        </w:rPr>
        <w:t>5</w:t>
      </w:r>
      <w:r>
        <w:rPr>
          <w:color w:val="231F1F"/>
          <w:spacing w:val="-1"/>
          <w:w w:val="105"/>
        </w:rPr>
        <w:t> </w:t>
      </w:r>
      <w:r>
        <w:rPr>
          <w:color w:val="231F1F"/>
          <w:w w:val="105"/>
        </w:rPr>
        <w:t>minutos</w:t>
      </w:r>
      <w:r>
        <w:rPr>
          <w:color w:val="231F1F"/>
          <w:spacing w:val="-1"/>
          <w:w w:val="105"/>
        </w:rPr>
        <w:t> </w:t>
      </w:r>
      <w:r>
        <w:rPr>
          <w:color w:val="231F1F"/>
          <w:w w:val="105"/>
        </w:rPr>
        <w:t>(3</w:t>
      </w:r>
      <w:r>
        <w:rPr>
          <w:color w:val="231F1F"/>
          <w:spacing w:val="-1"/>
          <w:w w:val="105"/>
        </w:rPr>
        <w:t> </w:t>
      </w:r>
      <w:r>
        <w:rPr>
          <w:color w:val="231F1F"/>
          <w:w w:val="105"/>
        </w:rPr>
        <w:t>ensayos n=1.201): RR 0,36 [IC 95% 0,14 a 0,90] y una menor insatisfacción o experiencia nega- tiva: RR 0,67 [IC 95% 0,58 a 0,78].</w:t>
      </w:r>
    </w:p>
    <w:p>
      <w:pPr>
        <w:pStyle w:val="BodyText"/>
        <w:tabs>
          <w:tab w:pos="7920" w:val="left" w:leader="none"/>
          <w:tab w:pos="8088" w:val="left" w:leader="none"/>
        </w:tabs>
        <w:spacing w:line="247" w:lineRule="auto" w:before="88"/>
        <w:ind w:left="283" w:right="450" w:firstLine="453"/>
      </w:pPr>
      <w:r>
        <w:rPr>
          <w:color w:val="231F1F"/>
          <w:w w:val="105"/>
        </w:rPr>
        <w:t>En</w:t>
      </w:r>
      <w:r>
        <w:rPr>
          <w:color w:val="231F1F"/>
          <w:w w:val="105"/>
        </w:rPr>
        <w:t> relación</w:t>
      </w:r>
      <w:r>
        <w:rPr>
          <w:color w:val="231F1F"/>
          <w:w w:val="105"/>
        </w:rPr>
        <w:t> a</w:t>
      </w:r>
      <w:r>
        <w:rPr>
          <w:color w:val="231F1F"/>
          <w:w w:val="105"/>
        </w:rPr>
        <w:t> la</w:t>
      </w:r>
      <w:r>
        <w:rPr>
          <w:color w:val="231F1F"/>
          <w:w w:val="105"/>
        </w:rPr>
        <w:t> </w:t>
      </w:r>
      <w:r>
        <w:rPr>
          <w:i/>
          <w:color w:val="231F1F"/>
          <w:w w:val="105"/>
        </w:rPr>
        <w:t>comparación entre los dos subgrupos </w:t>
      </w:r>
      <w:r>
        <w:rPr>
          <w:color w:val="231F1F"/>
          <w:w w:val="105"/>
        </w:rPr>
        <w:t>(para</w:t>
      </w:r>
      <w:r>
        <w:rPr>
          <w:color w:val="231F1F"/>
          <w:w w:val="105"/>
        </w:rPr>
        <w:t> valorar</w:t>
      </w:r>
      <w:r>
        <w:rPr>
          <w:color w:val="231F1F"/>
          <w:w w:val="105"/>
        </w:rPr>
        <w:t> la</w:t>
      </w:r>
      <w:r>
        <w:rPr>
          <w:color w:val="231F1F"/>
        </w:rPr>
        <w:tab/>
      </w:r>
      <w:r>
        <w:rPr>
          <w:rFonts w:ascii="Arial MT" w:hAnsi="Arial MT"/>
          <w:color w:val="231F1F"/>
          <w:w w:val="105"/>
          <w:sz w:val="18"/>
        </w:rPr>
        <w:t>RS</w:t>
      </w:r>
      <w:r>
        <w:rPr>
          <w:rFonts w:ascii="Arial MT" w:hAnsi="Arial MT"/>
          <w:color w:val="231F1F"/>
          <w:spacing w:val="-12"/>
          <w:w w:val="105"/>
          <w:sz w:val="18"/>
        </w:rPr>
        <w:t> </w:t>
      </w:r>
      <w:r>
        <w:rPr>
          <w:rFonts w:ascii="Arial MT" w:hAnsi="Arial MT"/>
          <w:color w:val="231F1F"/>
          <w:w w:val="105"/>
          <w:sz w:val="18"/>
        </w:rPr>
        <w:t>de </w:t>
      </w:r>
      <w:r>
        <w:rPr>
          <w:color w:val="231F1F"/>
          <w:w w:val="105"/>
        </w:rPr>
        <w:t>influencia</w:t>
      </w:r>
      <w:r>
        <w:rPr>
          <w:color w:val="231F1F"/>
          <w:spacing w:val="25"/>
          <w:w w:val="105"/>
        </w:rPr>
        <w:t> </w:t>
      </w:r>
      <w:r>
        <w:rPr>
          <w:color w:val="231F1F"/>
          <w:w w:val="105"/>
        </w:rPr>
        <w:t>del</w:t>
      </w:r>
      <w:r>
        <w:rPr>
          <w:color w:val="231F1F"/>
          <w:spacing w:val="23"/>
          <w:w w:val="105"/>
        </w:rPr>
        <w:t> </w:t>
      </w:r>
      <w:r>
        <w:rPr>
          <w:color w:val="231F1F"/>
          <w:w w:val="105"/>
        </w:rPr>
        <w:t>perfil</w:t>
      </w:r>
      <w:r>
        <w:rPr>
          <w:color w:val="231F1F"/>
          <w:spacing w:val="23"/>
          <w:w w:val="105"/>
        </w:rPr>
        <w:t> </w:t>
      </w:r>
      <w:r>
        <w:rPr>
          <w:color w:val="231F1F"/>
          <w:w w:val="105"/>
        </w:rPr>
        <w:t>de</w:t>
      </w:r>
      <w:r>
        <w:rPr>
          <w:color w:val="231F1F"/>
          <w:spacing w:val="25"/>
          <w:w w:val="105"/>
        </w:rPr>
        <w:t> </w:t>
      </w:r>
      <w:r>
        <w:rPr>
          <w:color w:val="231F1F"/>
          <w:w w:val="105"/>
        </w:rPr>
        <w:t>la</w:t>
      </w:r>
      <w:r>
        <w:rPr>
          <w:color w:val="231F1F"/>
          <w:spacing w:val="25"/>
          <w:w w:val="105"/>
        </w:rPr>
        <w:t> </w:t>
      </w:r>
      <w:r>
        <w:rPr>
          <w:color w:val="231F1F"/>
          <w:w w:val="105"/>
        </w:rPr>
        <w:t>persona</w:t>
      </w:r>
      <w:r>
        <w:rPr>
          <w:color w:val="231F1F"/>
          <w:spacing w:val="25"/>
          <w:w w:val="105"/>
        </w:rPr>
        <w:t> </w:t>
      </w:r>
      <w:r>
        <w:rPr>
          <w:color w:val="231F1F"/>
          <w:w w:val="105"/>
        </w:rPr>
        <w:t>cuidadora</w:t>
      </w:r>
      <w:r>
        <w:rPr>
          <w:color w:val="231F1F"/>
          <w:spacing w:val="25"/>
          <w:w w:val="105"/>
        </w:rPr>
        <w:t> </w:t>
      </w:r>
      <w:r>
        <w:rPr>
          <w:color w:val="231F1F"/>
          <w:w w:val="105"/>
        </w:rPr>
        <w:t>en</w:t>
      </w:r>
      <w:r>
        <w:rPr>
          <w:color w:val="231F1F"/>
          <w:spacing w:val="25"/>
          <w:w w:val="105"/>
        </w:rPr>
        <w:t> </w:t>
      </w:r>
      <w:r>
        <w:rPr>
          <w:color w:val="231F1F"/>
          <w:w w:val="105"/>
        </w:rPr>
        <w:t>el</w:t>
      </w:r>
      <w:r>
        <w:rPr>
          <w:color w:val="231F1F"/>
          <w:spacing w:val="23"/>
          <w:w w:val="105"/>
        </w:rPr>
        <w:t> </w:t>
      </w:r>
      <w:r>
        <w:rPr>
          <w:color w:val="231F1F"/>
          <w:w w:val="105"/>
        </w:rPr>
        <w:t>efecto),</w:t>
      </w:r>
      <w:r>
        <w:rPr>
          <w:color w:val="231F1F"/>
          <w:spacing w:val="23"/>
          <w:w w:val="105"/>
        </w:rPr>
        <w:t> </w:t>
      </w:r>
      <w:r>
        <w:rPr>
          <w:color w:val="231F1F"/>
          <w:w w:val="105"/>
        </w:rPr>
        <w:t>cuando</w:t>
      </w:r>
      <w:r>
        <w:rPr>
          <w:color w:val="231F1F"/>
          <w:spacing w:val="25"/>
          <w:w w:val="105"/>
        </w:rPr>
        <w:t> </w:t>
      </w:r>
      <w:r>
        <w:rPr>
          <w:color w:val="231F1F"/>
          <w:w w:val="105"/>
        </w:rPr>
        <w:t>el</w:t>
      </w:r>
      <w:r>
        <w:rPr>
          <w:color w:val="231F1F"/>
          <w:spacing w:val="23"/>
          <w:w w:val="105"/>
        </w:rPr>
        <w:t> </w:t>
      </w:r>
      <w:r>
        <w:rPr>
          <w:color w:val="231F1F"/>
          <w:w w:val="105"/>
        </w:rPr>
        <w:t>prestador</w:t>
      </w:r>
      <w:r>
        <w:rPr>
          <w:color w:val="231F1F"/>
          <w:spacing w:val="80"/>
          <w:w w:val="150"/>
        </w:rPr>
        <w:t> </w:t>
      </w:r>
      <w:r>
        <w:rPr>
          <w:rFonts w:ascii="Arial MT" w:hAnsi="Arial MT"/>
          <w:color w:val="231F1F"/>
          <w:w w:val="105"/>
          <w:position w:val="4"/>
          <w:sz w:val="18"/>
        </w:rPr>
        <w:t>ECAs </w:t>
      </w:r>
      <w:r>
        <w:rPr>
          <w:color w:val="231F1F"/>
          <w:w w:val="105"/>
        </w:rPr>
        <w:t>no es un profesional, se reduce más la utilización de analgesia (cuidados por</w:t>
      </w:r>
      <w:r>
        <w:rPr>
          <w:color w:val="231F1F"/>
        </w:rPr>
        <w:tab/>
        <w:tab/>
      </w:r>
      <w:r>
        <w:rPr>
          <w:rFonts w:ascii="Arial MT" w:hAnsi="Arial MT"/>
          <w:color w:val="231F1F"/>
          <w:spacing w:val="-6"/>
          <w:w w:val="105"/>
          <w:position w:val="8"/>
          <w:sz w:val="18"/>
        </w:rPr>
        <w:t>1+ </w:t>
      </w:r>
      <w:r>
        <w:rPr>
          <w:color w:val="231F1F"/>
          <w:w w:val="105"/>
        </w:rPr>
        <w:t>profesionales RR 0,97 [IC 95% 0,95 a 0,99] vs no profesionales RR 0,80 [IC</w:t>
      </w:r>
    </w:p>
    <w:p>
      <w:pPr>
        <w:pStyle w:val="BodyText"/>
        <w:spacing w:line="247" w:lineRule="auto"/>
        <w:ind w:left="283" w:right="1480"/>
        <w:jc w:val="both"/>
      </w:pPr>
      <w:r>
        <w:rPr>
          <w:color w:val="231F1F"/>
          <w:w w:val="105"/>
        </w:rPr>
        <w:t>95%</w:t>
      </w:r>
      <w:r>
        <w:rPr>
          <w:color w:val="231F1F"/>
          <w:spacing w:val="-3"/>
          <w:w w:val="105"/>
        </w:rPr>
        <w:t> </w:t>
      </w:r>
      <w:r>
        <w:rPr>
          <w:color w:val="231F1F"/>
          <w:w w:val="105"/>
        </w:rPr>
        <w:t>0,66</w:t>
      </w:r>
      <w:r>
        <w:rPr>
          <w:color w:val="231F1F"/>
          <w:spacing w:val="-3"/>
          <w:w w:val="105"/>
        </w:rPr>
        <w:t> </w:t>
      </w:r>
      <w:r>
        <w:rPr>
          <w:color w:val="231F1F"/>
          <w:w w:val="105"/>
        </w:rPr>
        <w:t>a</w:t>
      </w:r>
      <w:r>
        <w:rPr>
          <w:color w:val="231F1F"/>
          <w:spacing w:val="-3"/>
          <w:w w:val="105"/>
        </w:rPr>
        <w:t> </w:t>
      </w:r>
      <w:r>
        <w:rPr>
          <w:color w:val="231F1F"/>
          <w:w w:val="105"/>
        </w:rPr>
        <w:t>0,97]):</w:t>
      </w:r>
      <w:r>
        <w:rPr>
          <w:color w:val="231F1F"/>
          <w:spacing w:val="-4"/>
          <w:w w:val="105"/>
        </w:rPr>
        <w:t> </w:t>
      </w:r>
      <w:r>
        <w:rPr>
          <w:color w:val="231F1F"/>
          <w:w w:val="105"/>
        </w:rPr>
        <w:t>ji</w:t>
      </w:r>
      <w:r>
        <w:rPr>
          <w:color w:val="231F1F"/>
          <w:spacing w:val="-4"/>
          <w:w w:val="105"/>
        </w:rPr>
        <w:t> </w:t>
      </w:r>
      <w:r>
        <w:rPr>
          <w:color w:val="231F1F"/>
          <w:w w:val="105"/>
        </w:rPr>
        <w:t>cuadrado=3,82;</w:t>
      </w:r>
      <w:r>
        <w:rPr>
          <w:color w:val="231F1F"/>
          <w:spacing w:val="-4"/>
          <w:w w:val="105"/>
        </w:rPr>
        <w:t> </w:t>
      </w:r>
      <w:r>
        <w:rPr>
          <w:color w:val="231F1F"/>
          <w:w w:val="105"/>
        </w:rPr>
        <w:t>p=0,05;</w:t>
      </w:r>
      <w:r>
        <w:rPr>
          <w:color w:val="231F1F"/>
          <w:spacing w:val="-4"/>
          <w:w w:val="105"/>
        </w:rPr>
        <w:t> </w:t>
      </w:r>
      <w:r>
        <w:rPr>
          <w:color w:val="231F1F"/>
          <w:w w:val="105"/>
        </w:rPr>
        <w:t>se</w:t>
      </w:r>
      <w:r>
        <w:rPr>
          <w:color w:val="231F1F"/>
          <w:spacing w:val="-3"/>
          <w:w w:val="105"/>
        </w:rPr>
        <w:t> </w:t>
      </w:r>
      <w:r>
        <w:rPr>
          <w:color w:val="231F1F"/>
          <w:w w:val="105"/>
        </w:rPr>
        <w:t>aumenta</w:t>
      </w:r>
      <w:r>
        <w:rPr>
          <w:color w:val="231F1F"/>
          <w:spacing w:val="-3"/>
          <w:w w:val="105"/>
        </w:rPr>
        <w:t> </w:t>
      </w:r>
      <w:r>
        <w:rPr>
          <w:color w:val="231F1F"/>
          <w:w w:val="105"/>
        </w:rPr>
        <w:t>más</w:t>
      </w:r>
      <w:r>
        <w:rPr>
          <w:color w:val="231F1F"/>
          <w:spacing w:val="-3"/>
          <w:w w:val="105"/>
        </w:rPr>
        <w:t> </w:t>
      </w:r>
      <w:r>
        <w:rPr>
          <w:color w:val="231F1F"/>
          <w:w w:val="105"/>
        </w:rPr>
        <w:t>la</w:t>
      </w:r>
      <w:r>
        <w:rPr>
          <w:color w:val="231F1F"/>
          <w:spacing w:val="-3"/>
          <w:w w:val="105"/>
        </w:rPr>
        <w:t> </w:t>
      </w:r>
      <w:r>
        <w:rPr>
          <w:color w:val="231F1F"/>
          <w:w w:val="105"/>
        </w:rPr>
        <w:t>tasa</w:t>
      </w:r>
      <w:r>
        <w:rPr>
          <w:color w:val="231F1F"/>
          <w:spacing w:val="-3"/>
          <w:w w:val="105"/>
        </w:rPr>
        <w:t> </w:t>
      </w:r>
      <w:r>
        <w:rPr>
          <w:color w:val="231F1F"/>
          <w:w w:val="105"/>
        </w:rPr>
        <w:t>de</w:t>
      </w:r>
      <w:r>
        <w:rPr>
          <w:color w:val="231F1F"/>
          <w:spacing w:val="-3"/>
          <w:w w:val="105"/>
        </w:rPr>
        <w:t> </w:t>
      </w:r>
      <w:r>
        <w:rPr>
          <w:color w:val="231F1F"/>
          <w:w w:val="105"/>
        </w:rPr>
        <w:t>parto vaginal</w:t>
      </w:r>
      <w:r>
        <w:rPr>
          <w:color w:val="231F1F"/>
          <w:spacing w:val="-2"/>
          <w:w w:val="105"/>
        </w:rPr>
        <w:t> </w:t>
      </w:r>
      <w:r>
        <w:rPr>
          <w:color w:val="231F1F"/>
          <w:w w:val="105"/>
        </w:rPr>
        <w:t>espontáneo:</w:t>
      </w:r>
      <w:r>
        <w:rPr>
          <w:color w:val="231F1F"/>
          <w:spacing w:val="-2"/>
          <w:w w:val="105"/>
        </w:rPr>
        <w:t> </w:t>
      </w:r>
      <w:r>
        <w:rPr>
          <w:color w:val="231F1F"/>
          <w:w w:val="105"/>
        </w:rPr>
        <w:t>ji</w:t>
      </w:r>
      <w:r>
        <w:rPr>
          <w:color w:val="231F1F"/>
          <w:spacing w:val="-2"/>
          <w:w w:val="105"/>
        </w:rPr>
        <w:t> </w:t>
      </w:r>
      <w:r>
        <w:rPr>
          <w:color w:val="231F1F"/>
          <w:w w:val="105"/>
        </w:rPr>
        <w:t>cuadrado=9,14;</w:t>
      </w:r>
      <w:r>
        <w:rPr>
          <w:color w:val="231F1F"/>
          <w:spacing w:val="-2"/>
          <w:w w:val="105"/>
        </w:rPr>
        <w:t> </w:t>
      </w:r>
      <w:r>
        <w:rPr>
          <w:color w:val="231F1F"/>
          <w:w w:val="105"/>
        </w:rPr>
        <w:t>p=0,01</w:t>
      </w:r>
      <w:r>
        <w:rPr>
          <w:color w:val="231F1F"/>
          <w:spacing w:val="-1"/>
          <w:w w:val="105"/>
        </w:rPr>
        <w:t> </w:t>
      </w:r>
      <w:r>
        <w:rPr>
          <w:color w:val="231F1F"/>
          <w:w w:val="105"/>
        </w:rPr>
        <w:t>y</w:t>
      </w:r>
      <w:r>
        <w:rPr>
          <w:color w:val="231F1F"/>
          <w:spacing w:val="-1"/>
          <w:w w:val="105"/>
        </w:rPr>
        <w:t> </w:t>
      </w:r>
      <w:r>
        <w:rPr>
          <w:color w:val="231F1F"/>
          <w:w w:val="105"/>
        </w:rPr>
        <w:t>disminuye</w:t>
      </w:r>
      <w:r>
        <w:rPr>
          <w:color w:val="231F1F"/>
          <w:spacing w:val="-1"/>
          <w:w w:val="105"/>
        </w:rPr>
        <w:t> </w:t>
      </w:r>
      <w:r>
        <w:rPr>
          <w:color w:val="231F1F"/>
          <w:w w:val="105"/>
        </w:rPr>
        <w:t>más</w:t>
      </w:r>
      <w:r>
        <w:rPr>
          <w:color w:val="231F1F"/>
          <w:spacing w:val="-1"/>
          <w:w w:val="105"/>
        </w:rPr>
        <w:t> </w:t>
      </w:r>
      <w:r>
        <w:rPr>
          <w:color w:val="231F1F"/>
          <w:w w:val="105"/>
        </w:rPr>
        <w:t>parto</w:t>
      </w:r>
      <w:r>
        <w:rPr>
          <w:color w:val="231F1F"/>
          <w:spacing w:val="-1"/>
          <w:w w:val="105"/>
        </w:rPr>
        <w:t> </w:t>
      </w:r>
      <w:r>
        <w:rPr>
          <w:color w:val="231F1F"/>
          <w:w w:val="105"/>
        </w:rPr>
        <w:t>vaginal instrumentado: ji cuadrado=7,21; p=0,01.</w:t>
      </w:r>
    </w:p>
    <w:p>
      <w:pPr>
        <w:pStyle w:val="BodyText"/>
        <w:tabs>
          <w:tab w:pos="7933" w:val="left" w:leader="none"/>
          <w:tab w:pos="8047" w:val="left" w:leader="none"/>
        </w:tabs>
        <w:spacing w:line="252" w:lineRule="auto" w:before="102"/>
        <w:ind w:left="283" w:right="450" w:firstLine="453"/>
      </w:pPr>
      <w:r>
        <w:rPr>
          <w:color w:val="231F1F"/>
          <w:w w:val="105"/>
        </w:rPr>
        <w:t>Por otro lado, parece que el estatus de la persona cuidadora no influye</w:t>
      </w:r>
      <w:r>
        <w:rPr>
          <w:color w:val="231F1F"/>
        </w:rPr>
        <w:tab/>
      </w:r>
      <w:r>
        <w:rPr>
          <w:rFonts w:ascii="Arial MT" w:hAnsi="Arial MT"/>
          <w:color w:val="231F1F"/>
          <w:w w:val="105"/>
          <w:sz w:val="18"/>
        </w:rPr>
        <w:t>RS</w:t>
      </w:r>
      <w:r>
        <w:rPr>
          <w:rFonts w:ascii="Arial MT" w:hAnsi="Arial MT"/>
          <w:color w:val="231F1F"/>
          <w:spacing w:val="-14"/>
          <w:w w:val="105"/>
          <w:sz w:val="18"/>
        </w:rPr>
        <w:t> </w:t>
      </w:r>
      <w:r>
        <w:rPr>
          <w:rFonts w:ascii="Arial MT" w:hAnsi="Arial MT"/>
          <w:color w:val="231F1F"/>
          <w:w w:val="105"/>
          <w:sz w:val="18"/>
        </w:rPr>
        <w:t>de </w:t>
      </w:r>
      <w:r>
        <w:rPr>
          <w:color w:val="231F1F"/>
          <w:w w:val="105"/>
        </w:rPr>
        <w:t>en los efectos de la atención una a una, en la tasa de cesáreas y la insatisfacción</w:t>
      </w:r>
      <w:r>
        <w:rPr>
          <w:color w:val="231F1F"/>
          <w:spacing w:val="37"/>
          <w:w w:val="105"/>
        </w:rPr>
        <w:t> </w:t>
      </w:r>
      <w:r>
        <w:rPr>
          <w:rFonts w:ascii="Arial MT" w:hAnsi="Arial MT"/>
          <w:color w:val="231F1F"/>
          <w:w w:val="105"/>
          <w:position w:val="4"/>
          <w:sz w:val="18"/>
        </w:rPr>
        <w:t>ECAs</w:t>
      </w:r>
      <w:r>
        <w:rPr>
          <w:rFonts w:ascii="Arial MT" w:hAnsi="Arial MT"/>
          <w:color w:val="231F1F"/>
          <w:spacing w:val="40"/>
          <w:w w:val="105"/>
          <w:position w:val="4"/>
          <w:sz w:val="18"/>
        </w:rPr>
        <w:t> </w:t>
      </w:r>
      <w:r>
        <w:rPr>
          <w:color w:val="231F1F"/>
          <w:w w:val="105"/>
        </w:rPr>
        <w:t>materna, ya que la diferencia entre los dos subgrupos no fue significativa (ji</w:t>
      </w:r>
      <w:r>
        <w:rPr>
          <w:color w:val="231F1F"/>
        </w:rPr>
        <w:tab/>
        <w:tab/>
      </w:r>
      <w:r>
        <w:rPr>
          <w:rFonts w:ascii="Arial MT" w:hAnsi="Arial MT"/>
          <w:color w:val="231F1F"/>
          <w:spacing w:val="-6"/>
          <w:w w:val="105"/>
          <w:position w:val="8"/>
          <w:sz w:val="18"/>
        </w:rPr>
        <w:t>1+ </w:t>
      </w:r>
      <w:r>
        <w:rPr>
          <w:color w:val="231F1F"/>
          <w:w w:val="105"/>
        </w:rPr>
        <w:t>cuadrado=1,92; p=0,17</w:t>
      </w:r>
      <w:r>
        <w:rPr>
          <w:color w:val="231F1F"/>
          <w:w w:val="105"/>
        </w:rPr>
        <w:t> y</w:t>
      </w:r>
      <w:r>
        <w:rPr>
          <w:color w:val="231F1F"/>
          <w:w w:val="105"/>
        </w:rPr>
        <w:t> ji</w:t>
      </w:r>
      <w:r>
        <w:rPr>
          <w:color w:val="231F1F"/>
          <w:w w:val="105"/>
        </w:rPr>
        <w:t> cuadrado=3,09;</w:t>
      </w:r>
      <w:r>
        <w:rPr>
          <w:color w:val="231F1F"/>
          <w:w w:val="105"/>
        </w:rPr>
        <w:t> p=0,08,</w:t>
      </w:r>
      <w:r>
        <w:rPr>
          <w:color w:val="231F1F"/>
          <w:w w:val="105"/>
        </w:rPr>
        <w:t> respectivamente).</w:t>
      </w:r>
    </w:p>
    <w:p>
      <w:pPr>
        <w:pStyle w:val="BodyText"/>
        <w:spacing w:line="244" w:lineRule="auto" w:before="57"/>
        <w:ind w:left="283" w:right="1364" w:firstLine="453"/>
        <w:jc w:val="both"/>
      </w:pPr>
      <w:r>
        <w:rPr>
          <w:color w:val="231F1F"/>
          <w:w w:val="105"/>
        </w:rPr>
        <w:t>No</w:t>
      </w:r>
      <w:r>
        <w:rPr>
          <w:color w:val="231F1F"/>
          <w:w w:val="105"/>
        </w:rPr>
        <w:t> hay</w:t>
      </w:r>
      <w:r>
        <w:rPr>
          <w:color w:val="231F1F"/>
          <w:w w:val="105"/>
        </w:rPr>
        <w:t> evidencia</w:t>
      </w:r>
      <w:r>
        <w:rPr>
          <w:color w:val="231F1F"/>
          <w:w w:val="105"/>
        </w:rPr>
        <w:t> suficiente</w:t>
      </w:r>
      <w:r>
        <w:rPr>
          <w:color w:val="231F1F"/>
          <w:w w:val="105"/>
        </w:rPr>
        <w:t> sobre</w:t>
      </w:r>
      <w:r>
        <w:rPr>
          <w:color w:val="231F1F"/>
          <w:w w:val="105"/>
        </w:rPr>
        <w:t> la</w:t>
      </w:r>
      <w:r>
        <w:rPr>
          <w:color w:val="231F1F"/>
          <w:w w:val="105"/>
        </w:rPr>
        <w:t> mortalidad</w:t>
      </w:r>
      <w:r>
        <w:rPr>
          <w:color w:val="231F1F"/>
          <w:w w:val="105"/>
        </w:rPr>
        <w:t> perinatal,</w:t>
      </w:r>
      <w:r>
        <w:rPr>
          <w:color w:val="231F1F"/>
          <w:w w:val="105"/>
        </w:rPr>
        <w:t> el</w:t>
      </w:r>
      <w:r>
        <w:rPr>
          <w:color w:val="231F1F"/>
          <w:w w:val="105"/>
        </w:rPr>
        <w:t> bienestar materno y neonatal a largo plazo. Además, en la actualización de la revisión no</w:t>
      </w:r>
      <w:r>
        <w:rPr>
          <w:color w:val="231F1F"/>
          <w:w w:val="105"/>
        </w:rPr>
        <w:t> se</w:t>
      </w:r>
      <w:r>
        <w:rPr>
          <w:color w:val="231F1F"/>
          <w:w w:val="105"/>
        </w:rPr>
        <w:t> tienen</w:t>
      </w:r>
      <w:r>
        <w:rPr>
          <w:color w:val="231F1F"/>
          <w:w w:val="105"/>
        </w:rPr>
        <w:t> en</w:t>
      </w:r>
      <w:r>
        <w:rPr>
          <w:color w:val="231F1F"/>
          <w:w w:val="105"/>
        </w:rPr>
        <w:t> cuenta</w:t>
      </w:r>
      <w:r>
        <w:rPr>
          <w:color w:val="231F1F"/>
          <w:w w:val="105"/>
        </w:rPr>
        <w:t> los</w:t>
      </w:r>
      <w:r>
        <w:rPr>
          <w:color w:val="231F1F"/>
          <w:w w:val="105"/>
        </w:rPr>
        <w:t> resultados</w:t>
      </w:r>
      <w:r>
        <w:rPr>
          <w:color w:val="231F1F"/>
          <w:w w:val="105"/>
        </w:rPr>
        <w:t> sobre</w:t>
      </w:r>
      <w:r>
        <w:rPr>
          <w:color w:val="231F1F"/>
          <w:w w:val="105"/>
        </w:rPr>
        <w:t> la</w:t>
      </w:r>
      <w:r>
        <w:rPr>
          <w:color w:val="231F1F"/>
          <w:w w:val="105"/>
        </w:rPr>
        <w:t> salud</w:t>
      </w:r>
      <w:r>
        <w:rPr>
          <w:color w:val="231F1F"/>
          <w:w w:val="105"/>
        </w:rPr>
        <w:t> mental</w:t>
      </w:r>
      <w:r>
        <w:rPr>
          <w:color w:val="231F1F"/>
          <w:w w:val="105"/>
        </w:rPr>
        <w:t> y</w:t>
      </w:r>
      <w:r>
        <w:rPr>
          <w:color w:val="231F1F"/>
          <w:w w:val="105"/>
        </w:rPr>
        <w:t> psicológica</w:t>
      </w:r>
      <w:r>
        <w:rPr>
          <w:color w:val="231F1F"/>
          <w:w w:val="105"/>
        </w:rPr>
        <w:t> de</w:t>
      </w:r>
      <w:r>
        <w:rPr>
          <w:color w:val="231F1F"/>
          <w:spacing w:val="80"/>
          <w:w w:val="105"/>
        </w:rPr>
        <w:t> </w:t>
      </w:r>
      <w:r>
        <w:rPr>
          <w:color w:val="231F1F"/>
          <w:w w:val="105"/>
        </w:rPr>
        <w:t>las</w:t>
      </w:r>
      <w:r>
        <w:rPr>
          <w:color w:val="231F1F"/>
          <w:spacing w:val="-7"/>
          <w:w w:val="105"/>
        </w:rPr>
        <w:t> </w:t>
      </w:r>
      <w:r>
        <w:rPr>
          <w:color w:val="231F1F"/>
          <w:w w:val="105"/>
        </w:rPr>
        <w:t>mujeres</w:t>
      </w:r>
      <w:r>
        <w:rPr>
          <w:color w:val="231F1F"/>
          <w:spacing w:val="-7"/>
          <w:w w:val="105"/>
        </w:rPr>
        <w:t> </w:t>
      </w:r>
      <w:r>
        <w:rPr>
          <w:color w:val="231F1F"/>
          <w:w w:val="105"/>
        </w:rPr>
        <w:t>a</w:t>
      </w:r>
      <w:r>
        <w:rPr>
          <w:color w:val="231F1F"/>
          <w:spacing w:val="-7"/>
          <w:w w:val="105"/>
        </w:rPr>
        <w:t> </w:t>
      </w:r>
      <w:r>
        <w:rPr>
          <w:color w:val="231F1F"/>
          <w:w w:val="105"/>
        </w:rPr>
        <w:t>largo</w:t>
      </w:r>
      <w:r>
        <w:rPr>
          <w:color w:val="231F1F"/>
          <w:spacing w:val="-7"/>
          <w:w w:val="105"/>
        </w:rPr>
        <w:t> </w:t>
      </w:r>
      <w:r>
        <w:rPr>
          <w:color w:val="231F1F"/>
          <w:w w:val="105"/>
        </w:rPr>
        <w:t>plazo</w:t>
      </w:r>
      <w:r>
        <w:rPr>
          <w:color w:val="231F1F"/>
          <w:spacing w:val="-7"/>
          <w:w w:val="105"/>
        </w:rPr>
        <w:t> </w:t>
      </w:r>
      <w:r>
        <w:rPr>
          <w:color w:val="231F1F"/>
          <w:w w:val="105"/>
        </w:rPr>
        <w:t>a</w:t>
      </w:r>
      <w:r>
        <w:rPr>
          <w:color w:val="231F1F"/>
          <w:spacing w:val="-7"/>
          <w:w w:val="105"/>
        </w:rPr>
        <w:t> </w:t>
      </w:r>
      <w:r>
        <w:rPr>
          <w:color w:val="231F1F"/>
          <w:w w:val="105"/>
        </w:rPr>
        <w:t>pesar</w:t>
      </w:r>
      <w:r>
        <w:rPr>
          <w:color w:val="231F1F"/>
          <w:spacing w:val="-7"/>
          <w:w w:val="105"/>
        </w:rPr>
        <w:t> </w:t>
      </w:r>
      <w:r>
        <w:rPr>
          <w:color w:val="231F1F"/>
          <w:w w:val="105"/>
        </w:rPr>
        <w:t>de</w:t>
      </w:r>
      <w:r>
        <w:rPr>
          <w:color w:val="231F1F"/>
          <w:spacing w:val="-7"/>
          <w:w w:val="105"/>
        </w:rPr>
        <w:t> </w:t>
      </w:r>
      <w:r>
        <w:rPr>
          <w:color w:val="231F1F"/>
          <w:w w:val="105"/>
        </w:rPr>
        <w:t>que</w:t>
      </w:r>
      <w:r>
        <w:rPr>
          <w:color w:val="231F1F"/>
          <w:spacing w:val="-7"/>
          <w:w w:val="105"/>
        </w:rPr>
        <w:t> </w:t>
      </w:r>
      <w:r>
        <w:rPr>
          <w:color w:val="231F1F"/>
          <w:w w:val="105"/>
        </w:rPr>
        <w:t>en</w:t>
      </w:r>
      <w:r>
        <w:rPr>
          <w:color w:val="231F1F"/>
          <w:spacing w:val="-7"/>
          <w:w w:val="105"/>
        </w:rPr>
        <w:t> </w:t>
      </w:r>
      <w:r>
        <w:rPr>
          <w:color w:val="231F1F"/>
          <w:w w:val="105"/>
        </w:rPr>
        <w:t>la</w:t>
      </w:r>
      <w:r>
        <w:rPr>
          <w:color w:val="231F1F"/>
          <w:spacing w:val="-7"/>
          <w:w w:val="105"/>
        </w:rPr>
        <w:t> </w:t>
      </w:r>
      <w:r>
        <w:rPr>
          <w:color w:val="231F1F"/>
          <w:w w:val="105"/>
        </w:rPr>
        <w:t>revisión</w:t>
      </w:r>
      <w:r>
        <w:rPr>
          <w:color w:val="231F1F"/>
          <w:spacing w:val="-6"/>
          <w:w w:val="105"/>
        </w:rPr>
        <w:t> </w:t>
      </w:r>
      <w:r>
        <w:rPr>
          <w:color w:val="231F1F"/>
          <w:w w:val="105"/>
        </w:rPr>
        <w:t>previa,</w:t>
      </w:r>
      <w:r>
        <w:rPr>
          <w:color w:val="231F1F"/>
          <w:spacing w:val="-8"/>
          <w:w w:val="105"/>
        </w:rPr>
        <w:t> </w:t>
      </w:r>
      <w:r>
        <w:rPr>
          <w:color w:val="231F1F"/>
          <w:w w:val="105"/>
        </w:rPr>
        <w:t>incluida</w:t>
      </w:r>
      <w:r>
        <w:rPr>
          <w:color w:val="231F1F"/>
          <w:spacing w:val="-7"/>
          <w:w w:val="105"/>
        </w:rPr>
        <w:t> </w:t>
      </w:r>
      <w:r>
        <w:rPr>
          <w:color w:val="231F1F"/>
          <w:w w:val="105"/>
        </w:rPr>
        <w:t>en</w:t>
      </w:r>
      <w:r>
        <w:rPr>
          <w:color w:val="231F1F"/>
          <w:spacing w:val="-7"/>
          <w:w w:val="105"/>
        </w:rPr>
        <w:t> </w:t>
      </w:r>
      <w:r>
        <w:rPr>
          <w:color w:val="231F1F"/>
          <w:w w:val="105"/>
        </w:rPr>
        <w:t>NICE (10), si se valoraron.</w:t>
      </w:r>
    </w:p>
    <w:p>
      <w:pPr>
        <w:pStyle w:val="BodyText"/>
        <w:spacing w:line="247" w:lineRule="auto" w:before="140"/>
        <w:ind w:left="283" w:right="1367" w:firstLine="453"/>
        <w:jc w:val="both"/>
      </w:pPr>
      <w:r>
        <w:rPr>
          <w:color w:val="231F1F"/>
          <w:w w:val="110"/>
        </w:rPr>
        <w:t>Resumiendo</w:t>
      </w:r>
      <w:r>
        <w:rPr>
          <w:color w:val="231F1F"/>
          <w:spacing w:val="-6"/>
          <w:w w:val="110"/>
        </w:rPr>
        <w:t> </w:t>
      </w:r>
      <w:r>
        <w:rPr>
          <w:color w:val="231F1F"/>
          <w:w w:val="110"/>
        </w:rPr>
        <w:t>y</w:t>
      </w:r>
      <w:r>
        <w:rPr>
          <w:color w:val="231F1F"/>
          <w:spacing w:val="-6"/>
          <w:w w:val="110"/>
        </w:rPr>
        <w:t> </w:t>
      </w:r>
      <w:r>
        <w:rPr>
          <w:color w:val="231F1F"/>
          <w:w w:val="110"/>
        </w:rPr>
        <w:t>analizando</w:t>
      </w:r>
      <w:r>
        <w:rPr>
          <w:color w:val="231F1F"/>
          <w:spacing w:val="-6"/>
          <w:w w:val="110"/>
        </w:rPr>
        <w:t> </w:t>
      </w:r>
      <w:r>
        <w:rPr>
          <w:color w:val="231F1F"/>
          <w:w w:val="110"/>
        </w:rPr>
        <w:t>los</w:t>
      </w:r>
      <w:r>
        <w:rPr>
          <w:color w:val="231F1F"/>
          <w:spacing w:val="-6"/>
          <w:w w:val="110"/>
        </w:rPr>
        <w:t> </w:t>
      </w:r>
      <w:r>
        <w:rPr>
          <w:color w:val="231F1F"/>
          <w:w w:val="110"/>
        </w:rPr>
        <w:t>resultados</w:t>
      </w:r>
      <w:r>
        <w:rPr>
          <w:color w:val="231F1F"/>
          <w:spacing w:val="-6"/>
          <w:w w:val="110"/>
        </w:rPr>
        <w:t> </w:t>
      </w:r>
      <w:r>
        <w:rPr>
          <w:color w:val="231F1F"/>
          <w:w w:val="110"/>
        </w:rPr>
        <w:t>de</w:t>
      </w:r>
      <w:r>
        <w:rPr>
          <w:color w:val="231F1F"/>
          <w:spacing w:val="-6"/>
          <w:w w:val="110"/>
        </w:rPr>
        <w:t> </w:t>
      </w:r>
      <w:r>
        <w:rPr>
          <w:color w:val="231F1F"/>
          <w:w w:val="110"/>
        </w:rPr>
        <w:t>los</w:t>
      </w:r>
      <w:r>
        <w:rPr>
          <w:color w:val="231F1F"/>
          <w:spacing w:val="-6"/>
          <w:w w:val="110"/>
        </w:rPr>
        <w:t> </w:t>
      </w:r>
      <w:r>
        <w:rPr>
          <w:color w:val="231F1F"/>
          <w:w w:val="110"/>
        </w:rPr>
        <w:t>subgrupos</w:t>
      </w:r>
      <w:r>
        <w:rPr>
          <w:color w:val="231F1F"/>
          <w:spacing w:val="-7"/>
          <w:w w:val="110"/>
        </w:rPr>
        <w:t> </w:t>
      </w:r>
      <w:r>
        <w:rPr>
          <w:color w:val="231F1F"/>
          <w:w w:val="110"/>
        </w:rPr>
        <w:t>en</w:t>
      </w:r>
      <w:r>
        <w:rPr>
          <w:color w:val="231F1F"/>
          <w:spacing w:val="-6"/>
          <w:w w:val="110"/>
        </w:rPr>
        <w:t> </w:t>
      </w:r>
      <w:r>
        <w:rPr>
          <w:color w:val="231F1F"/>
          <w:w w:val="110"/>
        </w:rPr>
        <w:t>conjunto, es</w:t>
      </w:r>
      <w:r>
        <w:rPr>
          <w:color w:val="231F1F"/>
          <w:spacing w:val="-16"/>
          <w:w w:val="110"/>
        </w:rPr>
        <w:t> </w:t>
      </w:r>
      <w:r>
        <w:rPr>
          <w:color w:val="231F1F"/>
          <w:w w:val="110"/>
        </w:rPr>
        <w:t>decir,</w:t>
      </w:r>
      <w:r>
        <w:rPr>
          <w:color w:val="231F1F"/>
          <w:spacing w:val="-15"/>
          <w:w w:val="110"/>
        </w:rPr>
        <w:t> </w:t>
      </w:r>
      <w:r>
        <w:rPr>
          <w:color w:val="231F1F"/>
          <w:w w:val="110"/>
        </w:rPr>
        <w:t>sin</w:t>
      </w:r>
      <w:r>
        <w:rPr>
          <w:color w:val="231F1F"/>
          <w:spacing w:val="-15"/>
          <w:w w:val="110"/>
        </w:rPr>
        <w:t> </w:t>
      </w:r>
      <w:r>
        <w:rPr>
          <w:color w:val="231F1F"/>
          <w:w w:val="110"/>
        </w:rPr>
        <w:t>tener</w:t>
      </w:r>
      <w:r>
        <w:rPr>
          <w:color w:val="231F1F"/>
          <w:spacing w:val="-15"/>
          <w:w w:val="110"/>
        </w:rPr>
        <w:t> </w:t>
      </w:r>
      <w:r>
        <w:rPr>
          <w:color w:val="231F1F"/>
          <w:w w:val="110"/>
        </w:rPr>
        <w:t>en</w:t>
      </w:r>
      <w:r>
        <w:rPr>
          <w:color w:val="231F1F"/>
          <w:spacing w:val="-15"/>
          <w:w w:val="110"/>
        </w:rPr>
        <w:t> </w:t>
      </w:r>
      <w:r>
        <w:rPr>
          <w:color w:val="231F1F"/>
          <w:w w:val="110"/>
        </w:rPr>
        <w:t>cuenta</w:t>
      </w:r>
      <w:r>
        <w:rPr>
          <w:color w:val="231F1F"/>
          <w:spacing w:val="-15"/>
          <w:w w:val="110"/>
        </w:rPr>
        <w:t> </w:t>
      </w:r>
      <w:r>
        <w:rPr>
          <w:color w:val="231F1F"/>
          <w:w w:val="110"/>
        </w:rPr>
        <w:t>el</w:t>
      </w:r>
      <w:r>
        <w:rPr>
          <w:color w:val="231F1F"/>
          <w:spacing w:val="-15"/>
          <w:w w:val="110"/>
        </w:rPr>
        <w:t> </w:t>
      </w:r>
      <w:r>
        <w:rPr>
          <w:color w:val="231F1F"/>
          <w:w w:val="110"/>
        </w:rPr>
        <w:t>perfil</w:t>
      </w:r>
      <w:r>
        <w:rPr>
          <w:color w:val="231F1F"/>
          <w:spacing w:val="-15"/>
          <w:w w:val="110"/>
        </w:rPr>
        <w:t> </w:t>
      </w:r>
      <w:r>
        <w:rPr>
          <w:color w:val="231F1F"/>
          <w:w w:val="110"/>
        </w:rPr>
        <w:t>de</w:t>
      </w:r>
      <w:r>
        <w:rPr>
          <w:color w:val="231F1F"/>
          <w:spacing w:val="-16"/>
          <w:w w:val="110"/>
        </w:rPr>
        <w:t> </w:t>
      </w:r>
      <w:r>
        <w:rPr>
          <w:color w:val="231F1F"/>
          <w:w w:val="110"/>
        </w:rPr>
        <w:t>la</w:t>
      </w:r>
      <w:r>
        <w:rPr>
          <w:color w:val="231F1F"/>
          <w:spacing w:val="-15"/>
          <w:w w:val="110"/>
        </w:rPr>
        <w:t> </w:t>
      </w:r>
      <w:r>
        <w:rPr>
          <w:color w:val="231F1F"/>
          <w:w w:val="110"/>
        </w:rPr>
        <w:t>persona</w:t>
      </w:r>
      <w:r>
        <w:rPr>
          <w:color w:val="231F1F"/>
          <w:spacing w:val="-15"/>
          <w:w w:val="110"/>
        </w:rPr>
        <w:t> </w:t>
      </w:r>
      <w:r>
        <w:rPr>
          <w:color w:val="231F1F"/>
          <w:w w:val="110"/>
        </w:rPr>
        <w:t>cuidadora,</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con </w:t>
      </w:r>
      <w:r>
        <w:rPr>
          <w:color w:val="231F1F"/>
          <w:spacing w:val="-2"/>
          <w:w w:val="110"/>
        </w:rPr>
        <w:t>apoyo</w:t>
      </w:r>
      <w:r>
        <w:rPr>
          <w:color w:val="231F1F"/>
          <w:spacing w:val="-9"/>
          <w:w w:val="110"/>
        </w:rPr>
        <w:t> </w:t>
      </w:r>
      <w:r>
        <w:rPr>
          <w:color w:val="231F1F"/>
          <w:spacing w:val="-2"/>
          <w:w w:val="110"/>
        </w:rPr>
        <w:t>intraparto</w:t>
      </w:r>
      <w:r>
        <w:rPr>
          <w:color w:val="231F1F"/>
          <w:spacing w:val="-10"/>
          <w:w w:val="110"/>
        </w:rPr>
        <w:t> </w:t>
      </w:r>
      <w:r>
        <w:rPr>
          <w:color w:val="231F1F"/>
          <w:spacing w:val="-2"/>
          <w:w w:val="110"/>
        </w:rPr>
        <w:t>continuo</w:t>
      </w:r>
      <w:r>
        <w:rPr>
          <w:color w:val="231F1F"/>
          <w:spacing w:val="-10"/>
          <w:w w:val="110"/>
        </w:rPr>
        <w:t> </w:t>
      </w:r>
      <w:r>
        <w:rPr>
          <w:color w:val="231F1F"/>
          <w:spacing w:val="-2"/>
          <w:w w:val="110"/>
        </w:rPr>
        <w:t>probablemente</w:t>
      </w:r>
      <w:r>
        <w:rPr>
          <w:color w:val="231F1F"/>
          <w:spacing w:val="-11"/>
          <w:w w:val="110"/>
        </w:rPr>
        <w:t> </w:t>
      </w:r>
      <w:r>
        <w:rPr>
          <w:color w:val="231F1F"/>
          <w:spacing w:val="-2"/>
          <w:w w:val="110"/>
        </w:rPr>
        <w:t>tenían</w:t>
      </w:r>
      <w:r>
        <w:rPr>
          <w:color w:val="231F1F"/>
          <w:spacing w:val="-10"/>
          <w:w w:val="110"/>
        </w:rPr>
        <w:t> </w:t>
      </w:r>
      <w:r>
        <w:rPr>
          <w:color w:val="231F1F"/>
          <w:spacing w:val="-2"/>
          <w:w w:val="110"/>
        </w:rPr>
        <w:t>un</w:t>
      </w:r>
      <w:r>
        <w:rPr>
          <w:color w:val="231F1F"/>
          <w:spacing w:val="-10"/>
          <w:w w:val="110"/>
        </w:rPr>
        <w:t> </w:t>
      </w:r>
      <w:r>
        <w:rPr>
          <w:color w:val="231F1F"/>
          <w:spacing w:val="-2"/>
          <w:w w:val="110"/>
        </w:rPr>
        <w:t>trabajo</w:t>
      </w:r>
      <w:r>
        <w:rPr>
          <w:color w:val="231F1F"/>
          <w:spacing w:val="-10"/>
          <w:w w:val="110"/>
        </w:rPr>
        <w:t> </w:t>
      </w:r>
      <w:r>
        <w:rPr>
          <w:color w:val="231F1F"/>
          <w:spacing w:val="-2"/>
          <w:w w:val="110"/>
        </w:rPr>
        <w:t>de</w:t>
      </w:r>
      <w:r>
        <w:rPr>
          <w:color w:val="231F1F"/>
          <w:spacing w:val="-10"/>
          <w:w w:val="110"/>
        </w:rPr>
        <w:t> </w:t>
      </w:r>
      <w:r>
        <w:rPr>
          <w:color w:val="231F1F"/>
          <w:spacing w:val="-2"/>
          <w:w w:val="110"/>
        </w:rPr>
        <w:t>parto</w:t>
      </w:r>
      <w:r>
        <w:rPr>
          <w:color w:val="231F1F"/>
          <w:spacing w:val="-10"/>
          <w:w w:val="110"/>
        </w:rPr>
        <w:t> </w:t>
      </w:r>
      <w:r>
        <w:rPr>
          <w:color w:val="231F1F"/>
          <w:spacing w:val="-2"/>
          <w:w w:val="110"/>
        </w:rPr>
        <w:t>algo</w:t>
      </w:r>
      <w:r>
        <w:rPr>
          <w:color w:val="231F1F"/>
          <w:spacing w:val="-10"/>
          <w:w w:val="110"/>
        </w:rPr>
        <w:t> </w:t>
      </w:r>
      <w:r>
        <w:rPr>
          <w:color w:val="231F1F"/>
          <w:spacing w:val="-2"/>
          <w:w w:val="110"/>
        </w:rPr>
        <w:t>más </w:t>
      </w:r>
      <w:r>
        <w:rPr>
          <w:color w:val="231F1F"/>
          <w:w w:val="110"/>
        </w:rPr>
        <w:t>corto,</w:t>
      </w:r>
      <w:r>
        <w:rPr>
          <w:color w:val="231F1F"/>
          <w:w w:val="110"/>
        </w:rPr>
        <w:t> mayor</w:t>
      </w:r>
      <w:r>
        <w:rPr>
          <w:color w:val="231F1F"/>
          <w:w w:val="110"/>
        </w:rPr>
        <w:t> probabilidad</w:t>
      </w:r>
      <w:r>
        <w:rPr>
          <w:color w:val="231F1F"/>
          <w:w w:val="110"/>
        </w:rPr>
        <w:t> de</w:t>
      </w:r>
      <w:r>
        <w:rPr>
          <w:color w:val="231F1F"/>
          <w:w w:val="110"/>
        </w:rPr>
        <w:t> tener</w:t>
      </w:r>
      <w:r>
        <w:rPr>
          <w:color w:val="231F1F"/>
          <w:w w:val="110"/>
        </w:rPr>
        <w:t> un</w:t>
      </w:r>
      <w:r>
        <w:rPr>
          <w:color w:val="231F1F"/>
          <w:w w:val="110"/>
        </w:rPr>
        <w:t> parto</w:t>
      </w:r>
      <w:r>
        <w:rPr>
          <w:color w:val="231F1F"/>
          <w:w w:val="110"/>
        </w:rPr>
        <w:t> vaginal</w:t>
      </w:r>
      <w:r>
        <w:rPr>
          <w:color w:val="231F1F"/>
          <w:w w:val="110"/>
        </w:rPr>
        <w:t> espontáneo</w:t>
      </w:r>
      <w:r>
        <w:rPr>
          <w:color w:val="231F1F"/>
          <w:w w:val="110"/>
        </w:rPr>
        <w:t> y</w:t>
      </w:r>
      <w:r>
        <w:rPr>
          <w:color w:val="231F1F"/>
          <w:w w:val="110"/>
        </w:rPr>
        <w:t> menor probabilidad</w:t>
      </w:r>
      <w:r>
        <w:rPr>
          <w:color w:val="231F1F"/>
          <w:spacing w:val="-13"/>
          <w:w w:val="110"/>
        </w:rPr>
        <w:t> </w:t>
      </w:r>
      <w:r>
        <w:rPr>
          <w:color w:val="231F1F"/>
          <w:w w:val="110"/>
        </w:rPr>
        <w:t>de</w:t>
      </w:r>
      <w:r>
        <w:rPr>
          <w:color w:val="231F1F"/>
          <w:spacing w:val="-13"/>
          <w:w w:val="110"/>
        </w:rPr>
        <w:t> </w:t>
      </w:r>
      <w:r>
        <w:rPr>
          <w:color w:val="231F1F"/>
          <w:w w:val="110"/>
        </w:rPr>
        <w:t>recibir</w:t>
      </w:r>
      <w:r>
        <w:rPr>
          <w:color w:val="231F1F"/>
          <w:spacing w:val="-13"/>
          <w:w w:val="110"/>
        </w:rPr>
        <w:t> </w:t>
      </w:r>
      <w:r>
        <w:rPr>
          <w:color w:val="231F1F"/>
          <w:w w:val="110"/>
        </w:rPr>
        <w:t>analgesia</w:t>
      </w:r>
      <w:r>
        <w:rPr>
          <w:color w:val="231F1F"/>
          <w:spacing w:val="-13"/>
          <w:w w:val="110"/>
        </w:rPr>
        <w:t> </w:t>
      </w:r>
      <w:r>
        <w:rPr>
          <w:color w:val="231F1F"/>
          <w:w w:val="110"/>
        </w:rPr>
        <w:t>intraparto</w:t>
      </w:r>
      <w:r>
        <w:rPr>
          <w:color w:val="231F1F"/>
          <w:spacing w:val="-13"/>
          <w:w w:val="110"/>
        </w:rPr>
        <w:t> </w:t>
      </w:r>
      <w:r>
        <w:rPr>
          <w:color w:val="231F1F"/>
          <w:w w:val="110"/>
        </w:rPr>
        <w:t>o</w:t>
      </w:r>
      <w:r>
        <w:rPr>
          <w:color w:val="231F1F"/>
          <w:spacing w:val="-13"/>
          <w:w w:val="110"/>
        </w:rPr>
        <w:t> </w:t>
      </w:r>
      <w:r>
        <w:rPr>
          <w:color w:val="231F1F"/>
          <w:w w:val="110"/>
        </w:rPr>
        <w:t>de</w:t>
      </w:r>
      <w:r>
        <w:rPr>
          <w:color w:val="231F1F"/>
          <w:spacing w:val="-13"/>
          <w:w w:val="110"/>
        </w:rPr>
        <w:t> </w:t>
      </w:r>
      <w:r>
        <w:rPr>
          <w:color w:val="231F1F"/>
          <w:w w:val="110"/>
        </w:rPr>
        <w:t>informar</w:t>
      </w:r>
      <w:r>
        <w:rPr>
          <w:color w:val="231F1F"/>
          <w:spacing w:val="-14"/>
          <w:w w:val="110"/>
        </w:rPr>
        <w:t> </w:t>
      </w:r>
      <w:r>
        <w:rPr>
          <w:color w:val="231F1F"/>
          <w:w w:val="110"/>
        </w:rPr>
        <w:t>insatisfacción</w:t>
      </w:r>
      <w:r>
        <w:rPr>
          <w:color w:val="231F1F"/>
          <w:spacing w:val="-12"/>
          <w:w w:val="110"/>
        </w:rPr>
        <w:t> </w:t>
      </w:r>
      <w:r>
        <w:rPr>
          <w:color w:val="231F1F"/>
          <w:w w:val="110"/>
        </w:rPr>
        <w:t>con </w:t>
      </w:r>
      <w:r>
        <w:rPr>
          <w:color w:val="231F1F"/>
          <w:spacing w:val="-2"/>
          <w:w w:val="110"/>
        </w:rPr>
        <w:t>sus</w:t>
      </w:r>
      <w:r>
        <w:rPr>
          <w:color w:val="231F1F"/>
          <w:spacing w:val="-7"/>
          <w:w w:val="110"/>
        </w:rPr>
        <w:t> </w:t>
      </w:r>
      <w:r>
        <w:rPr>
          <w:color w:val="231F1F"/>
          <w:spacing w:val="-2"/>
          <w:w w:val="110"/>
        </w:rPr>
        <w:t>experiencias</w:t>
      </w:r>
      <w:r>
        <w:rPr>
          <w:color w:val="231F1F"/>
          <w:spacing w:val="-7"/>
          <w:w w:val="110"/>
        </w:rPr>
        <w:t> </w:t>
      </w:r>
      <w:r>
        <w:rPr>
          <w:color w:val="231F1F"/>
          <w:spacing w:val="-2"/>
          <w:w w:val="110"/>
        </w:rPr>
        <w:t>de</w:t>
      </w:r>
      <w:r>
        <w:rPr>
          <w:color w:val="231F1F"/>
          <w:spacing w:val="-7"/>
          <w:w w:val="110"/>
        </w:rPr>
        <w:t> </w:t>
      </w:r>
      <w:r>
        <w:rPr>
          <w:color w:val="231F1F"/>
          <w:spacing w:val="-2"/>
          <w:w w:val="110"/>
        </w:rPr>
        <w:t>parto.</w:t>
      </w:r>
      <w:r>
        <w:rPr>
          <w:color w:val="231F1F"/>
          <w:spacing w:val="-7"/>
          <w:w w:val="110"/>
        </w:rPr>
        <w:t> </w:t>
      </w:r>
      <w:r>
        <w:rPr>
          <w:color w:val="231F1F"/>
          <w:spacing w:val="-2"/>
          <w:w w:val="110"/>
        </w:rPr>
        <w:t>Analizando</w:t>
      </w:r>
      <w:r>
        <w:rPr>
          <w:color w:val="231F1F"/>
          <w:spacing w:val="-7"/>
          <w:w w:val="110"/>
        </w:rPr>
        <w:t> </w:t>
      </w:r>
      <w:r>
        <w:rPr>
          <w:color w:val="231F1F"/>
          <w:spacing w:val="-2"/>
          <w:w w:val="110"/>
        </w:rPr>
        <w:t>los</w:t>
      </w:r>
      <w:r>
        <w:rPr>
          <w:color w:val="231F1F"/>
          <w:spacing w:val="-7"/>
          <w:w w:val="110"/>
        </w:rPr>
        <w:t> </w:t>
      </w:r>
      <w:r>
        <w:rPr>
          <w:color w:val="231F1F"/>
          <w:spacing w:val="-2"/>
          <w:w w:val="110"/>
        </w:rPr>
        <w:t>resultados</w:t>
      </w:r>
      <w:r>
        <w:rPr>
          <w:color w:val="231F1F"/>
          <w:spacing w:val="-7"/>
          <w:w w:val="110"/>
        </w:rPr>
        <w:t> </w:t>
      </w:r>
      <w:r>
        <w:rPr>
          <w:color w:val="231F1F"/>
          <w:spacing w:val="-2"/>
          <w:w w:val="110"/>
        </w:rPr>
        <w:t>por</w:t>
      </w:r>
      <w:r>
        <w:rPr>
          <w:color w:val="231F1F"/>
          <w:spacing w:val="-7"/>
          <w:w w:val="110"/>
        </w:rPr>
        <w:t> </w:t>
      </w:r>
      <w:r>
        <w:rPr>
          <w:color w:val="231F1F"/>
          <w:spacing w:val="-2"/>
          <w:w w:val="110"/>
        </w:rPr>
        <w:t>subgrupos,</w:t>
      </w:r>
      <w:r>
        <w:rPr>
          <w:color w:val="231F1F"/>
          <w:spacing w:val="-8"/>
          <w:w w:val="110"/>
        </w:rPr>
        <w:t> </w:t>
      </w:r>
      <w:r>
        <w:rPr>
          <w:color w:val="231F1F"/>
          <w:spacing w:val="-2"/>
          <w:w w:val="110"/>
        </w:rPr>
        <w:t>el</w:t>
      </w:r>
      <w:r>
        <w:rPr>
          <w:color w:val="231F1F"/>
          <w:spacing w:val="-7"/>
          <w:w w:val="110"/>
        </w:rPr>
        <w:t> </w:t>
      </w:r>
      <w:r>
        <w:rPr>
          <w:color w:val="231F1F"/>
          <w:spacing w:val="-2"/>
          <w:w w:val="110"/>
        </w:rPr>
        <w:t>apoyo </w:t>
      </w:r>
      <w:r>
        <w:rPr>
          <w:color w:val="231F1F"/>
          <w:w w:val="110"/>
        </w:rPr>
        <w:t>intraparto</w:t>
      </w:r>
      <w:r>
        <w:rPr>
          <w:color w:val="231F1F"/>
          <w:spacing w:val="-7"/>
          <w:w w:val="110"/>
        </w:rPr>
        <w:t> </w:t>
      </w:r>
      <w:r>
        <w:rPr>
          <w:color w:val="231F1F"/>
          <w:w w:val="110"/>
        </w:rPr>
        <w:t>continuo</w:t>
      </w:r>
      <w:r>
        <w:rPr>
          <w:color w:val="231F1F"/>
          <w:spacing w:val="-7"/>
          <w:w w:val="110"/>
        </w:rPr>
        <w:t> </w:t>
      </w:r>
      <w:r>
        <w:rPr>
          <w:color w:val="231F1F"/>
          <w:w w:val="110"/>
        </w:rPr>
        <w:t>se</w:t>
      </w:r>
      <w:r>
        <w:rPr>
          <w:color w:val="231F1F"/>
          <w:spacing w:val="-7"/>
          <w:w w:val="110"/>
        </w:rPr>
        <w:t> </w:t>
      </w:r>
      <w:r>
        <w:rPr>
          <w:color w:val="231F1F"/>
          <w:w w:val="110"/>
        </w:rPr>
        <w:t>asoció</w:t>
      </w:r>
      <w:r>
        <w:rPr>
          <w:color w:val="231F1F"/>
          <w:spacing w:val="-6"/>
          <w:w w:val="110"/>
        </w:rPr>
        <w:t> </w:t>
      </w:r>
      <w:r>
        <w:rPr>
          <w:color w:val="231F1F"/>
          <w:w w:val="110"/>
        </w:rPr>
        <w:t>con</w:t>
      </w:r>
      <w:r>
        <w:rPr>
          <w:color w:val="231F1F"/>
          <w:spacing w:val="-6"/>
          <w:w w:val="110"/>
        </w:rPr>
        <w:t> </w:t>
      </w:r>
      <w:r>
        <w:rPr>
          <w:color w:val="231F1F"/>
          <w:w w:val="110"/>
        </w:rPr>
        <w:t>mayores</w:t>
      </w:r>
      <w:r>
        <w:rPr>
          <w:color w:val="231F1F"/>
          <w:spacing w:val="-7"/>
          <w:w w:val="110"/>
        </w:rPr>
        <w:t> </w:t>
      </w:r>
      <w:r>
        <w:rPr>
          <w:color w:val="231F1F"/>
          <w:w w:val="110"/>
        </w:rPr>
        <w:t>beneficios</w:t>
      </w:r>
      <w:r>
        <w:rPr>
          <w:color w:val="231F1F"/>
          <w:spacing w:val="-7"/>
          <w:w w:val="110"/>
        </w:rPr>
        <w:t> </w:t>
      </w:r>
      <w:r>
        <w:rPr>
          <w:color w:val="231F1F"/>
          <w:w w:val="110"/>
        </w:rPr>
        <w:t>cuando</w:t>
      </w:r>
      <w:r>
        <w:rPr>
          <w:color w:val="231F1F"/>
          <w:spacing w:val="-6"/>
          <w:w w:val="110"/>
        </w:rPr>
        <w:t> </w:t>
      </w:r>
      <w:r>
        <w:rPr>
          <w:color w:val="231F1F"/>
          <w:w w:val="110"/>
        </w:rPr>
        <w:t>el</w:t>
      </w:r>
      <w:r>
        <w:rPr>
          <w:color w:val="231F1F"/>
          <w:spacing w:val="-7"/>
          <w:w w:val="110"/>
        </w:rPr>
        <w:t> </w:t>
      </w:r>
      <w:r>
        <w:rPr>
          <w:color w:val="231F1F"/>
          <w:w w:val="110"/>
        </w:rPr>
        <w:t>personal</w:t>
      </w:r>
      <w:r>
        <w:rPr>
          <w:color w:val="231F1F"/>
          <w:spacing w:val="-8"/>
          <w:w w:val="110"/>
        </w:rPr>
        <w:t> </w:t>
      </w:r>
      <w:r>
        <w:rPr>
          <w:color w:val="231F1F"/>
          <w:w w:val="110"/>
        </w:rPr>
        <w:t>de la atención no era miembro del personal del hospital. Por ello, la principal conclusión</w:t>
      </w:r>
      <w:r>
        <w:rPr>
          <w:color w:val="231F1F"/>
          <w:spacing w:val="-6"/>
          <w:w w:val="110"/>
        </w:rPr>
        <w:t> </w:t>
      </w:r>
      <w:r>
        <w:rPr>
          <w:color w:val="231F1F"/>
          <w:w w:val="110"/>
        </w:rPr>
        <w:t>del</w:t>
      </w:r>
      <w:r>
        <w:rPr>
          <w:color w:val="231F1F"/>
          <w:spacing w:val="-7"/>
          <w:w w:val="110"/>
        </w:rPr>
        <w:t> </w:t>
      </w:r>
      <w:r>
        <w:rPr>
          <w:color w:val="231F1F"/>
          <w:w w:val="110"/>
        </w:rPr>
        <w:t>estudio</w:t>
      </w:r>
      <w:r>
        <w:rPr>
          <w:color w:val="231F1F"/>
          <w:spacing w:val="-6"/>
          <w:w w:val="110"/>
        </w:rPr>
        <w:t> </w:t>
      </w:r>
      <w:r>
        <w:rPr>
          <w:color w:val="231F1F"/>
          <w:w w:val="110"/>
        </w:rPr>
        <w:t>es</w:t>
      </w:r>
      <w:r>
        <w:rPr>
          <w:color w:val="231F1F"/>
          <w:spacing w:val="-7"/>
          <w:w w:val="110"/>
        </w:rPr>
        <w:t> </w:t>
      </w:r>
      <w:r>
        <w:rPr>
          <w:color w:val="231F1F"/>
          <w:w w:val="110"/>
        </w:rPr>
        <w:t>que</w:t>
      </w:r>
      <w:r>
        <w:rPr>
          <w:color w:val="231F1F"/>
          <w:spacing w:val="-7"/>
          <w:w w:val="110"/>
        </w:rPr>
        <w:t> </w:t>
      </w:r>
      <w:r>
        <w:rPr>
          <w:color w:val="231F1F"/>
          <w:w w:val="110"/>
        </w:rPr>
        <w:t>todas</w:t>
      </w:r>
      <w:r>
        <w:rPr>
          <w:color w:val="231F1F"/>
          <w:spacing w:val="-7"/>
          <w:w w:val="110"/>
        </w:rPr>
        <w:t> </w:t>
      </w:r>
      <w:r>
        <w:rPr>
          <w:color w:val="231F1F"/>
          <w:w w:val="110"/>
        </w:rPr>
        <w:t>las</w:t>
      </w:r>
      <w:r>
        <w:rPr>
          <w:color w:val="231F1F"/>
          <w:spacing w:val="-7"/>
          <w:w w:val="110"/>
        </w:rPr>
        <w:t> </w:t>
      </w:r>
      <w:r>
        <w:rPr>
          <w:color w:val="231F1F"/>
          <w:w w:val="110"/>
        </w:rPr>
        <w:t>mujeres</w:t>
      </w:r>
      <w:r>
        <w:rPr>
          <w:color w:val="231F1F"/>
          <w:spacing w:val="-6"/>
          <w:w w:val="110"/>
        </w:rPr>
        <w:t> </w:t>
      </w:r>
      <w:r>
        <w:rPr>
          <w:color w:val="231F1F"/>
          <w:w w:val="110"/>
        </w:rPr>
        <w:t>deben</w:t>
      </w:r>
      <w:r>
        <w:rPr>
          <w:color w:val="231F1F"/>
          <w:spacing w:val="-7"/>
          <w:w w:val="110"/>
        </w:rPr>
        <w:t> </w:t>
      </w:r>
      <w:r>
        <w:rPr>
          <w:color w:val="231F1F"/>
          <w:w w:val="110"/>
        </w:rPr>
        <w:t>contar</w:t>
      </w:r>
      <w:r>
        <w:rPr>
          <w:color w:val="231F1F"/>
          <w:spacing w:val="-7"/>
          <w:w w:val="110"/>
        </w:rPr>
        <w:t> </w:t>
      </w:r>
      <w:r>
        <w:rPr>
          <w:color w:val="231F1F"/>
          <w:w w:val="110"/>
        </w:rPr>
        <w:t>con</w:t>
      </w:r>
      <w:r>
        <w:rPr>
          <w:color w:val="231F1F"/>
          <w:spacing w:val="-6"/>
          <w:w w:val="110"/>
        </w:rPr>
        <w:t> </w:t>
      </w:r>
      <w:r>
        <w:rPr>
          <w:color w:val="231F1F"/>
          <w:w w:val="110"/>
        </w:rPr>
        <w:t>apoyo</w:t>
      </w:r>
      <w:r>
        <w:rPr>
          <w:color w:val="231F1F"/>
          <w:spacing w:val="-6"/>
          <w:w w:val="110"/>
        </w:rPr>
        <w:t> </w:t>
      </w:r>
      <w:r>
        <w:rPr>
          <w:color w:val="231F1F"/>
          <w:w w:val="110"/>
        </w:rPr>
        <w:t>du- rante todo el trabajo del parto.</w:t>
      </w:r>
    </w:p>
    <w:p>
      <w:pPr>
        <w:pStyle w:val="BodyText"/>
        <w:spacing w:after="0" w:line="247" w:lineRule="auto"/>
        <w:jc w:val="both"/>
        <w:sectPr>
          <w:pgSz w:w="11900" w:h="16840"/>
          <w:pgMar w:header="0" w:footer="622" w:top="1560" w:bottom="820" w:left="1417" w:right="1559"/>
        </w:sectPr>
      </w:pPr>
    </w:p>
    <w:p>
      <w:pPr>
        <w:pStyle w:val="BodyText"/>
        <w:spacing w:line="252" w:lineRule="auto" w:before="73"/>
        <w:ind w:left="283" w:right="1365" w:firstLine="453"/>
        <w:jc w:val="both"/>
      </w:pPr>
      <w:r>
        <w:rPr>
          <w:color w:val="231F1F"/>
          <w:w w:val="110"/>
        </w:rPr>
        <w:t>Por</w:t>
      </w:r>
      <w:r>
        <w:rPr>
          <w:color w:val="231F1F"/>
          <w:spacing w:val="-16"/>
          <w:w w:val="110"/>
        </w:rPr>
        <w:t> </w:t>
      </w:r>
      <w:r>
        <w:rPr>
          <w:color w:val="231F1F"/>
          <w:w w:val="110"/>
        </w:rPr>
        <w:t>otro</w:t>
      </w:r>
      <w:r>
        <w:rPr>
          <w:color w:val="231F1F"/>
          <w:spacing w:val="-15"/>
          <w:w w:val="110"/>
        </w:rPr>
        <w:t> </w:t>
      </w:r>
      <w:r>
        <w:rPr>
          <w:color w:val="231F1F"/>
          <w:w w:val="110"/>
        </w:rPr>
        <w:t>lado,</w:t>
      </w:r>
      <w:r>
        <w:rPr>
          <w:color w:val="231F1F"/>
          <w:spacing w:val="-15"/>
          <w:w w:val="110"/>
        </w:rPr>
        <w:t> </w:t>
      </w:r>
      <w:r>
        <w:rPr>
          <w:color w:val="231F1F"/>
          <w:w w:val="110"/>
        </w:rPr>
        <w:t>ante</w:t>
      </w:r>
      <w:r>
        <w:rPr>
          <w:color w:val="231F1F"/>
          <w:spacing w:val="-15"/>
          <w:w w:val="110"/>
        </w:rPr>
        <w:t> </w:t>
      </w:r>
      <w:r>
        <w:rPr>
          <w:color w:val="231F1F"/>
          <w:w w:val="110"/>
        </w:rPr>
        <w:t>el</w:t>
      </w:r>
      <w:r>
        <w:rPr>
          <w:color w:val="231F1F"/>
          <w:spacing w:val="-15"/>
          <w:w w:val="110"/>
        </w:rPr>
        <w:t> </w:t>
      </w:r>
      <w:r>
        <w:rPr>
          <w:color w:val="231F1F"/>
          <w:w w:val="110"/>
        </w:rPr>
        <w:t>hecho</w:t>
      </w:r>
      <w:r>
        <w:rPr>
          <w:color w:val="231F1F"/>
          <w:spacing w:val="-15"/>
          <w:w w:val="110"/>
        </w:rPr>
        <w:t> </w:t>
      </w:r>
      <w:r>
        <w:rPr>
          <w:color w:val="231F1F"/>
          <w:w w:val="110"/>
        </w:rPr>
        <w:t>de</w:t>
      </w:r>
      <w:r>
        <w:rPr>
          <w:color w:val="231F1F"/>
          <w:spacing w:val="-15"/>
          <w:w w:val="110"/>
        </w:rPr>
        <w:t> </w:t>
      </w:r>
      <w:r>
        <w:rPr>
          <w:color w:val="231F1F"/>
          <w:w w:val="110"/>
        </w:rPr>
        <w:t>que</w:t>
      </w:r>
      <w:r>
        <w:rPr>
          <w:color w:val="231F1F"/>
          <w:spacing w:val="-15"/>
          <w:w w:val="110"/>
        </w:rPr>
        <w:t> </w:t>
      </w:r>
      <w:r>
        <w:rPr>
          <w:color w:val="231F1F"/>
          <w:w w:val="110"/>
        </w:rPr>
        <w:t>se</w:t>
      </w:r>
      <w:r>
        <w:rPr>
          <w:color w:val="231F1F"/>
          <w:spacing w:val="-16"/>
          <w:w w:val="110"/>
        </w:rPr>
        <w:t> </w:t>
      </w:r>
      <w:r>
        <w:rPr>
          <w:color w:val="231F1F"/>
          <w:w w:val="110"/>
        </w:rPr>
        <w:t>obtienen</w:t>
      </w:r>
      <w:r>
        <w:rPr>
          <w:color w:val="231F1F"/>
          <w:spacing w:val="-15"/>
          <w:w w:val="110"/>
        </w:rPr>
        <w:t> </w:t>
      </w:r>
      <w:r>
        <w:rPr>
          <w:color w:val="231F1F"/>
          <w:w w:val="110"/>
        </w:rPr>
        <w:t>mejores</w:t>
      </w:r>
      <w:r>
        <w:rPr>
          <w:color w:val="231F1F"/>
          <w:spacing w:val="-15"/>
          <w:w w:val="110"/>
        </w:rPr>
        <w:t> </w:t>
      </w:r>
      <w:r>
        <w:rPr>
          <w:color w:val="231F1F"/>
          <w:w w:val="110"/>
        </w:rPr>
        <w:t>resultados</w:t>
      </w:r>
      <w:r>
        <w:rPr>
          <w:color w:val="231F1F"/>
          <w:spacing w:val="-15"/>
          <w:w w:val="110"/>
        </w:rPr>
        <w:t> </w:t>
      </w:r>
      <w:r>
        <w:rPr>
          <w:color w:val="231F1F"/>
          <w:w w:val="110"/>
        </w:rPr>
        <w:t>cuan- do</w:t>
      </w:r>
      <w:r>
        <w:rPr>
          <w:color w:val="231F1F"/>
          <w:spacing w:val="-1"/>
          <w:w w:val="110"/>
        </w:rPr>
        <w:t> </w:t>
      </w:r>
      <w:r>
        <w:rPr>
          <w:color w:val="231F1F"/>
          <w:w w:val="110"/>
        </w:rPr>
        <w:t>la</w:t>
      </w:r>
      <w:r>
        <w:rPr>
          <w:color w:val="231F1F"/>
          <w:spacing w:val="-2"/>
          <w:w w:val="110"/>
        </w:rPr>
        <w:t> </w:t>
      </w:r>
      <w:r>
        <w:rPr>
          <w:color w:val="231F1F"/>
          <w:w w:val="110"/>
        </w:rPr>
        <w:t>persona</w:t>
      </w:r>
      <w:r>
        <w:rPr>
          <w:color w:val="231F1F"/>
          <w:spacing w:val="-2"/>
          <w:w w:val="110"/>
        </w:rPr>
        <w:t> </w:t>
      </w:r>
      <w:r>
        <w:rPr>
          <w:color w:val="231F1F"/>
          <w:w w:val="110"/>
        </w:rPr>
        <w:t>que</w:t>
      </w:r>
      <w:r>
        <w:rPr>
          <w:color w:val="231F1F"/>
          <w:spacing w:val="-2"/>
          <w:w w:val="110"/>
        </w:rPr>
        <w:t> </w:t>
      </w:r>
      <w:r>
        <w:rPr>
          <w:color w:val="231F1F"/>
          <w:w w:val="110"/>
        </w:rPr>
        <w:t>presta</w:t>
      </w:r>
      <w:r>
        <w:rPr>
          <w:color w:val="231F1F"/>
          <w:spacing w:val="-2"/>
          <w:w w:val="110"/>
        </w:rPr>
        <w:t> </w:t>
      </w:r>
      <w:r>
        <w:rPr>
          <w:color w:val="231F1F"/>
          <w:w w:val="110"/>
        </w:rPr>
        <w:t>el</w:t>
      </w:r>
      <w:r>
        <w:rPr>
          <w:color w:val="231F1F"/>
          <w:spacing w:val="-2"/>
          <w:w w:val="110"/>
        </w:rPr>
        <w:t> </w:t>
      </w:r>
      <w:r>
        <w:rPr>
          <w:color w:val="231F1F"/>
          <w:w w:val="110"/>
        </w:rPr>
        <w:t>cuidado</w:t>
      </w:r>
      <w:r>
        <w:rPr>
          <w:color w:val="231F1F"/>
          <w:spacing w:val="-1"/>
          <w:w w:val="110"/>
        </w:rPr>
        <w:t> </w:t>
      </w:r>
      <w:r>
        <w:rPr>
          <w:color w:val="231F1F"/>
          <w:w w:val="110"/>
        </w:rPr>
        <w:t>no</w:t>
      </w:r>
      <w:r>
        <w:rPr>
          <w:color w:val="231F1F"/>
          <w:spacing w:val="-2"/>
          <w:w w:val="110"/>
        </w:rPr>
        <w:t> </w:t>
      </w:r>
      <w:r>
        <w:rPr>
          <w:color w:val="231F1F"/>
          <w:w w:val="110"/>
        </w:rPr>
        <w:t>es</w:t>
      </w:r>
      <w:r>
        <w:rPr>
          <w:color w:val="231F1F"/>
          <w:spacing w:val="-2"/>
          <w:w w:val="110"/>
        </w:rPr>
        <w:t> </w:t>
      </w:r>
      <w:r>
        <w:rPr>
          <w:color w:val="231F1F"/>
          <w:w w:val="110"/>
        </w:rPr>
        <w:t>empleada</w:t>
      </w:r>
      <w:r>
        <w:rPr>
          <w:color w:val="231F1F"/>
          <w:spacing w:val="-2"/>
          <w:w w:val="110"/>
        </w:rPr>
        <w:t> </w:t>
      </w:r>
      <w:r>
        <w:rPr>
          <w:color w:val="231F1F"/>
          <w:w w:val="110"/>
        </w:rPr>
        <w:t>de</w:t>
      </w:r>
      <w:r>
        <w:rPr>
          <w:color w:val="231F1F"/>
          <w:spacing w:val="-2"/>
          <w:w w:val="110"/>
        </w:rPr>
        <w:t> </w:t>
      </w:r>
      <w:r>
        <w:rPr>
          <w:color w:val="231F1F"/>
          <w:w w:val="110"/>
        </w:rPr>
        <w:t>la</w:t>
      </w:r>
      <w:r>
        <w:rPr>
          <w:color w:val="231F1F"/>
          <w:spacing w:val="-2"/>
          <w:w w:val="110"/>
        </w:rPr>
        <w:t> </w:t>
      </w:r>
      <w:r>
        <w:rPr>
          <w:color w:val="231F1F"/>
          <w:w w:val="110"/>
        </w:rPr>
        <w:t>maternidad,</w:t>
      </w:r>
      <w:r>
        <w:rPr>
          <w:color w:val="231F1F"/>
          <w:spacing w:val="-2"/>
          <w:w w:val="110"/>
        </w:rPr>
        <w:t> </w:t>
      </w:r>
      <w:r>
        <w:rPr>
          <w:color w:val="231F1F"/>
          <w:w w:val="110"/>
        </w:rPr>
        <w:t>la</w:t>
      </w:r>
      <w:r>
        <w:rPr>
          <w:color w:val="231F1F"/>
          <w:spacing w:val="-2"/>
          <w:w w:val="110"/>
        </w:rPr>
        <w:t> </w:t>
      </w:r>
      <w:r>
        <w:rPr>
          <w:color w:val="231F1F"/>
          <w:w w:val="110"/>
        </w:rPr>
        <w:t>re- </w:t>
      </w:r>
      <w:r>
        <w:rPr>
          <w:color w:val="231F1F"/>
        </w:rPr>
        <w:t>visión advierte a los responsables de hospitales de países de ingresos altos que deseen realizar reducciones clínicamente importantes en las tasas de cesáreas,</w:t>
      </w:r>
      <w:r>
        <w:rPr>
          <w:color w:val="231F1F"/>
          <w:spacing w:val="80"/>
          <w:w w:val="110"/>
        </w:rPr>
        <w:t> </w:t>
      </w:r>
      <w:r>
        <w:rPr>
          <w:color w:val="231F1F"/>
          <w:w w:val="110"/>
        </w:rPr>
        <w:t>que el</w:t>
      </w:r>
      <w:r>
        <w:rPr>
          <w:color w:val="231F1F"/>
          <w:spacing w:val="-1"/>
          <w:w w:val="110"/>
        </w:rPr>
        <w:t> </w:t>
      </w:r>
      <w:r>
        <w:rPr>
          <w:color w:val="231F1F"/>
          <w:w w:val="110"/>
        </w:rPr>
        <w:t>apoyo continuo por parte de matronas no puede</w:t>
      </w:r>
      <w:r>
        <w:rPr>
          <w:color w:val="231F1F"/>
          <w:spacing w:val="-1"/>
          <w:w w:val="110"/>
        </w:rPr>
        <w:t> </w:t>
      </w:r>
      <w:r>
        <w:rPr>
          <w:color w:val="231F1F"/>
          <w:w w:val="110"/>
        </w:rPr>
        <w:t>lograr</w:t>
      </w:r>
      <w:r>
        <w:rPr>
          <w:color w:val="231F1F"/>
          <w:spacing w:val="-1"/>
          <w:w w:val="110"/>
        </w:rPr>
        <w:t> </w:t>
      </w:r>
      <w:r>
        <w:rPr>
          <w:color w:val="231F1F"/>
          <w:w w:val="110"/>
        </w:rPr>
        <w:t>este objetivo, si</w:t>
      </w:r>
      <w:r>
        <w:rPr>
          <w:color w:val="231F1F"/>
          <w:spacing w:val="-15"/>
          <w:w w:val="110"/>
        </w:rPr>
        <w:t> </w:t>
      </w:r>
      <w:r>
        <w:rPr>
          <w:color w:val="231F1F"/>
          <w:w w:val="110"/>
        </w:rPr>
        <w:t>no</w:t>
      </w:r>
      <w:r>
        <w:rPr>
          <w:color w:val="231F1F"/>
          <w:spacing w:val="-15"/>
          <w:w w:val="110"/>
        </w:rPr>
        <w:t> </w:t>
      </w:r>
      <w:r>
        <w:rPr>
          <w:color w:val="231F1F"/>
          <w:w w:val="110"/>
        </w:rPr>
        <w:t>se</w:t>
      </w:r>
      <w:r>
        <w:rPr>
          <w:color w:val="231F1F"/>
          <w:spacing w:val="-15"/>
          <w:w w:val="110"/>
        </w:rPr>
        <w:t> </w:t>
      </w:r>
      <w:r>
        <w:rPr>
          <w:color w:val="231F1F"/>
          <w:w w:val="110"/>
        </w:rPr>
        <w:t>llevan</w:t>
      </w:r>
      <w:r>
        <w:rPr>
          <w:color w:val="231F1F"/>
          <w:spacing w:val="-15"/>
          <w:w w:val="110"/>
        </w:rPr>
        <w:t> </w:t>
      </w:r>
      <w:r>
        <w:rPr>
          <w:color w:val="231F1F"/>
          <w:w w:val="110"/>
        </w:rPr>
        <w:t>a</w:t>
      </w:r>
      <w:r>
        <w:rPr>
          <w:color w:val="231F1F"/>
          <w:spacing w:val="-15"/>
          <w:w w:val="110"/>
        </w:rPr>
        <w:t> </w:t>
      </w:r>
      <w:r>
        <w:rPr>
          <w:color w:val="231F1F"/>
          <w:w w:val="110"/>
        </w:rPr>
        <w:t>cabo</w:t>
      </w:r>
      <w:r>
        <w:rPr>
          <w:color w:val="231F1F"/>
          <w:spacing w:val="-15"/>
          <w:w w:val="110"/>
        </w:rPr>
        <w:t> </w:t>
      </w:r>
      <w:r>
        <w:rPr>
          <w:color w:val="231F1F"/>
          <w:w w:val="110"/>
        </w:rPr>
        <w:t>otros</w:t>
      </w:r>
      <w:r>
        <w:rPr>
          <w:color w:val="231F1F"/>
          <w:spacing w:val="-15"/>
          <w:w w:val="110"/>
        </w:rPr>
        <w:t> </w:t>
      </w:r>
      <w:r>
        <w:rPr>
          <w:color w:val="231F1F"/>
          <w:w w:val="110"/>
        </w:rPr>
        <w:t>cambios</w:t>
      </w:r>
      <w:r>
        <w:rPr>
          <w:color w:val="231F1F"/>
          <w:spacing w:val="-15"/>
          <w:w w:val="110"/>
        </w:rPr>
        <w:t> </w:t>
      </w:r>
      <w:r>
        <w:rPr>
          <w:color w:val="231F1F"/>
          <w:w w:val="110"/>
        </w:rPr>
        <w:t>en</w:t>
      </w:r>
      <w:r>
        <w:rPr>
          <w:color w:val="231F1F"/>
          <w:spacing w:val="-15"/>
          <w:w w:val="110"/>
        </w:rPr>
        <w:t> </w:t>
      </w:r>
      <w:r>
        <w:rPr>
          <w:color w:val="231F1F"/>
          <w:w w:val="110"/>
        </w:rPr>
        <w:t>las</w:t>
      </w:r>
      <w:r>
        <w:rPr>
          <w:color w:val="231F1F"/>
          <w:spacing w:val="-15"/>
          <w:w w:val="110"/>
        </w:rPr>
        <w:t> </w:t>
      </w:r>
      <w:r>
        <w:rPr>
          <w:color w:val="231F1F"/>
          <w:w w:val="110"/>
        </w:rPr>
        <w:t>políticas</w:t>
      </w:r>
      <w:r>
        <w:rPr>
          <w:color w:val="231F1F"/>
          <w:spacing w:val="-15"/>
          <w:w w:val="110"/>
        </w:rPr>
        <w:t> </w:t>
      </w:r>
      <w:r>
        <w:rPr>
          <w:color w:val="231F1F"/>
          <w:w w:val="110"/>
        </w:rPr>
        <w:t>y</w:t>
      </w:r>
      <w:r>
        <w:rPr>
          <w:color w:val="231F1F"/>
          <w:spacing w:val="-15"/>
          <w:w w:val="110"/>
        </w:rPr>
        <w:t> </w:t>
      </w:r>
      <w:r>
        <w:rPr>
          <w:color w:val="231F1F"/>
          <w:w w:val="110"/>
        </w:rPr>
        <w:t>rutinas.</w:t>
      </w:r>
      <w:r>
        <w:rPr>
          <w:color w:val="231F1F"/>
          <w:spacing w:val="-15"/>
          <w:w w:val="110"/>
        </w:rPr>
        <w:t> </w:t>
      </w:r>
      <w:r>
        <w:rPr>
          <w:color w:val="231F1F"/>
          <w:w w:val="110"/>
        </w:rPr>
        <w:t>Como</w:t>
      </w:r>
      <w:r>
        <w:rPr>
          <w:color w:val="231F1F"/>
          <w:spacing w:val="-15"/>
          <w:w w:val="110"/>
        </w:rPr>
        <w:t> </w:t>
      </w:r>
      <w:r>
        <w:rPr>
          <w:color w:val="231F1F"/>
          <w:w w:val="110"/>
        </w:rPr>
        <w:t>las</w:t>
      </w:r>
      <w:r>
        <w:rPr>
          <w:color w:val="231F1F"/>
          <w:spacing w:val="-15"/>
          <w:w w:val="110"/>
        </w:rPr>
        <w:t> </w:t>
      </w:r>
      <w:r>
        <w:rPr>
          <w:color w:val="231F1F"/>
          <w:w w:val="110"/>
        </w:rPr>
        <w:t>salas de parto funcionan de acuerdo con una atención orientada a los riesgos y dominada</w:t>
      </w:r>
      <w:r>
        <w:rPr>
          <w:color w:val="231F1F"/>
          <w:spacing w:val="-4"/>
          <w:w w:val="110"/>
        </w:rPr>
        <w:t> </w:t>
      </w:r>
      <w:r>
        <w:rPr>
          <w:color w:val="231F1F"/>
          <w:w w:val="110"/>
        </w:rPr>
        <w:t>por</w:t>
      </w:r>
      <w:r>
        <w:rPr>
          <w:color w:val="231F1F"/>
          <w:spacing w:val="-4"/>
          <w:w w:val="110"/>
        </w:rPr>
        <w:t> </w:t>
      </w:r>
      <w:r>
        <w:rPr>
          <w:color w:val="231F1F"/>
          <w:w w:val="110"/>
        </w:rPr>
        <w:t>tecnología</w:t>
      </w:r>
      <w:r>
        <w:rPr>
          <w:color w:val="231F1F"/>
          <w:spacing w:val="-4"/>
          <w:w w:val="110"/>
        </w:rPr>
        <w:t> </w:t>
      </w:r>
      <w:r>
        <w:rPr>
          <w:color w:val="231F1F"/>
          <w:w w:val="110"/>
        </w:rPr>
        <w:t>es</w:t>
      </w:r>
      <w:r>
        <w:rPr>
          <w:color w:val="231F1F"/>
          <w:spacing w:val="-4"/>
          <w:w w:val="110"/>
        </w:rPr>
        <w:t> </w:t>
      </w:r>
      <w:r>
        <w:rPr>
          <w:color w:val="231F1F"/>
          <w:w w:val="110"/>
        </w:rPr>
        <w:t>probable</w:t>
      </w:r>
      <w:r>
        <w:rPr>
          <w:color w:val="231F1F"/>
          <w:spacing w:val="-4"/>
          <w:w w:val="110"/>
        </w:rPr>
        <w:t> </w:t>
      </w:r>
      <w:r>
        <w:rPr>
          <w:color w:val="231F1F"/>
          <w:w w:val="110"/>
        </w:rPr>
        <w:t>que</w:t>
      </w:r>
      <w:r>
        <w:rPr>
          <w:color w:val="231F1F"/>
          <w:spacing w:val="-4"/>
          <w:w w:val="110"/>
        </w:rPr>
        <w:t> </w:t>
      </w:r>
      <w:r>
        <w:rPr>
          <w:color w:val="231F1F"/>
          <w:w w:val="110"/>
        </w:rPr>
        <w:t>el</w:t>
      </w:r>
      <w:r>
        <w:rPr>
          <w:color w:val="231F1F"/>
          <w:spacing w:val="-5"/>
          <w:w w:val="110"/>
        </w:rPr>
        <w:t> </w:t>
      </w:r>
      <w:r>
        <w:rPr>
          <w:color w:val="231F1F"/>
          <w:w w:val="110"/>
        </w:rPr>
        <w:t>personal</w:t>
      </w:r>
      <w:r>
        <w:rPr>
          <w:color w:val="231F1F"/>
          <w:spacing w:val="-5"/>
          <w:w w:val="110"/>
        </w:rPr>
        <w:t> </w:t>
      </w:r>
      <w:r>
        <w:rPr>
          <w:color w:val="231F1F"/>
          <w:w w:val="110"/>
        </w:rPr>
        <w:t>no</w:t>
      </w:r>
      <w:r>
        <w:rPr>
          <w:color w:val="231F1F"/>
          <w:spacing w:val="-4"/>
          <w:w w:val="110"/>
        </w:rPr>
        <w:t> </w:t>
      </w:r>
      <w:r>
        <w:rPr>
          <w:color w:val="231F1F"/>
          <w:w w:val="110"/>
        </w:rPr>
        <w:t>pueda</w:t>
      </w:r>
      <w:r>
        <w:rPr>
          <w:color w:val="231F1F"/>
          <w:spacing w:val="-4"/>
          <w:w w:val="110"/>
        </w:rPr>
        <w:t> </w:t>
      </w:r>
      <w:r>
        <w:rPr>
          <w:color w:val="231F1F"/>
          <w:w w:val="110"/>
        </w:rPr>
        <w:t>ofrecer</w:t>
      </w:r>
      <w:r>
        <w:rPr>
          <w:color w:val="231F1F"/>
          <w:spacing w:val="-5"/>
          <w:w w:val="110"/>
        </w:rPr>
        <w:t> </w:t>
      </w:r>
      <w:r>
        <w:rPr>
          <w:color w:val="231F1F"/>
          <w:w w:val="110"/>
        </w:rPr>
        <w:t>a</w:t>
      </w:r>
      <w:r>
        <w:rPr>
          <w:color w:val="231F1F"/>
          <w:spacing w:val="-4"/>
          <w:w w:val="110"/>
        </w:rPr>
        <w:t> </w:t>
      </w:r>
      <w:r>
        <w:rPr>
          <w:color w:val="231F1F"/>
          <w:w w:val="110"/>
        </w:rPr>
        <w:t>las mujeres</w:t>
      </w:r>
      <w:r>
        <w:rPr>
          <w:color w:val="231F1F"/>
          <w:spacing w:val="-14"/>
          <w:w w:val="110"/>
        </w:rPr>
        <w:t> </w:t>
      </w:r>
      <w:r>
        <w:rPr>
          <w:color w:val="231F1F"/>
          <w:w w:val="110"/>
        </w:rPr>
        <w:t>en</w:t>
      </w:r>
      <w:r>
        <w:rPr>
          <w:color w:val="231F1F"/>
          <w:spacing w:val="-14"/>
          <w:w w:val="110"/>
        </w:rPr>
        <w:t> </w:t>
      </w:r>
      <w:r>
        <w:rPr>
          <w:color w:val="231F1F"/>
          <w:w w:val="110"/>
        </w:rPr>
        <w:t>trabajo</w:t>
      </w:r>
      <w:r>
        <w:rPr>
          <w:color w:val="231F1F"/>
          <w:spacing w:val="-14"/>
          <w:w w:val="110"/>
        </w:rPr>
        <w:t> </w:t>
      </w:r>
      <w:r>
        <w:rPr>
          <w:color w:val="231F1F"/>
          <w:w w:val="110"/>
        </w:rPr>
        <w:t>de</w:t>
      </w:r>
      <w:r>
        <w:rPr>
          <w:color w:val="231F1F"/>
          <w:spacing w:val="-14"/>
          <w:w w:val="110"/>
        </w:rPr>
        <w:t> </w:t>
      </w:r>
      <w:r>
        <w:rPr>
          <w:color w:val="231F1F"/>
          <w:w w:val="110"/>
        </w:rPr>
        <w:t>parto</w:t>
      </w:r>
      <w:r>
        <w:rPr>
          <w:color w:val="231F1F"/>
          <w:spacing w:val="-14"/>
          <w:w w:val="110"/>
        </w:rPr>
        <w:t> </w:t>
      </w:r>
      <w:r>
        <w:rPr>
          <w:color w:val="231F1F"/>
          <w:w w:val="110"/>
        </w:rPr>
        <w:t>beneficios</w:t>
      </w:r>
      <w:r>
        <w:rPr>
          <w:color w:val="231F1F"/>
          <w:spacing w:val="-15"/>
          <w:w w:val="110"/>
        </w:rPr>
        <w:t> </w:t>
      </w:r>
      <w:r>
        <w:rPr>
          <w:color w:val="231F1F"/>
          <w:w w:val="110"/>
        </w:rPr>
        <w:t>equivalentes</w:t>
      </w:r>
      <w:r>
        <w:rPr>
          <w:color w:val="231F1F"/>
          <w:spacing w:val="-15"/>
          <w:w w:val="110"/>
        </w:rPr>
        <w:t> </w:t>
      </w:r>
      <w:r>
        <w:rPr>
          <w:color w:val="231F1F"/>
          <w:w w:val="110"/>
        </w:rPr>
        <w:t>a</w:t>
      </w:r>
      <w:r>
        <w:rPr>
          <w:color w:val="231F1F"/>
          <w:spacing w:val="-14"/>
          <w:w w:val="110"/>
        </w:rPr>
        <w:t> </w:t>
      </w:r>
      <w:r>
        <w:rPr>
          <w:color w:val="231F1F"/>
          <w:w w:val="110"/>
        </w:rPr>
        <w:t>los</w:t>
      </w:r>
      <w:r>
        <w:rPr>
          <w:color w:val="231F1F"/>
          <w:spacing w:val="-14"/>
          <w:w w:val="110"/>
        </w:rPr>
        <w:t> </w:t>
      </w:r>
      <w:r>
        <w:rPr>
          <w:color w:val="231F1F"/>
          <w:w w:val="110"/>
        </w:rPr>
        <w:t>de</w:t>
      </w:r>
      <w:r>
        <w:rPr>
          <w:color w:val="231F1F"/>
          <w:spacing w:val="-14"/>
          <w:w w:val="110"/>
        </w:rPr>
        <w:t> </w:t>
      </w:r>
      <w:r>
        <w:rPr>
          <w:color w:val="231F1F"/>
          <w:w w:val="110"/>
        </w:rPr>
        <w:t>las</w:t>
      </w:r>
      <w:r>
        <w:rPr>
          <w:color w:val="231F1F"/>
          <w:spacing w:val="-14"/>
          <w:w w:val="110"/>
        </w:rPr>
        <w:t> </w:t>
      </w:r>
      <w:r>
        <w:rPr>
          <w:color w:val="231F1F"/>
          <w:w w:val="110"/>
        </w:rPr>
        <w:t>personas</w:t>
      </w:r>
      <w:r>
        <w:rPr>
          <w:color w:val="231F1F"/>
          <w:spacing w:val="-15"/>
          <w:w w:val="110"/>
        </w:rPr>
        <w:t> </w:t>
      </w:r>
      <w:r>
        <w:rPr>
          <w:color w:val="231F1F"/>
          <w:w w:val="110"/>
        </w:rPr>
        <w:t>que </w:t>
      </w:r>
      <w:r>
        <w:rPr>
          <w:color w:val="231F1F"/>
          <w:spacing w:val="-2"/>
          <w:w w:val="110"/>
        </w:rPr>
        <w:t>no</w:t>
      </w:r>
      <w:r>
        <w:rPr>
          <w:color w:val="231F1F"/>
          <w:spacing w:val="-11"/>
          <w:w w:val="110"/>
        </w:rPr>
        <w:t> </w:t>
      </w:r>
      <w:r>
        <w:rPr>
          <w:color w:val="231F1F"/>
          <w:spacing w:val="-2"/>
          <w:w w:val="110"/>
        </w:rPr>
        <w:t>son</w:t>
      </w:r>
      <w:r>
        <w:rPr>
          <w:color w:val="231F1F"/>
          <w:spacing w:val="-11"/>
          <w:w w:val="110"/>
        </w:rPr>
        <w:t> </w:t>
      </w:r>
      <w:r>
        <w:rPr>
          <w:color w:val="231F1F"/>
          <w:spacing w:val="-2"/>
          <w:w w:val="110"/>
        </w:rPr>
        <w:t>miembros</w:t>
      </w:r>
      <w:r>
        <w:rPr>
          <w:color w:val="231F1F"/>
          <w:spacing w:val="-11"/>
          <w:w w:val="110"/>
        </w:rPr>
        <w:t> </w:t>
      </w:r>
      <w:r>
        <w:rPr>
          <w:color w:val="231F1F"/>
          <w:spacing w:val="-2"/>
          <w:w w:val="110"/>
        </w:rPr>
        <w:t>del</w:t>
      </w:r>
      <w:r>
        <w:rPr>
          <w:color w:val="231F1F"/>
          <w:spacing w:val="-11"/>
          <w:w w:val="110"/>
        </w:rPr>
        <w:t> </w:t>
      </w:r>
      <w:r>
        <w:rPr>
          <w:color w:val="231F1F"/>
          <w:spacing w:val="-2"/>
          <w:w w:val="110"/>
        </w:rPr>
        <w:t>personal,</w:t>
      </w:r>
      <w:r>
        <w:rPr>
          <w:color w:val="231F1F"/>
          <w:spacing w:val="-12"/>
          <w:w w:val="110"/>
        </w:rPr>
        <w:t> </w:t>
      </w:r>
      <w:r>
        <w:rPr>
          <w:color w:val="231F1F"/>
          <w:spacing w:val="-2"/>
          <w:w w:val="110"/>
        </w:rPr>
        <w:t>a</w:t>
      </w:r>
      <w:r>
        <w:rPr>
          <w:color w:val="231F1F"/>
          <w:spacing w:val="-11"/>
          <w:w w:val="110"/>
        </w:rPr>
        <w:t> </w:t>
      </w:r>
      <w:r>
        <w:rPr>
          <w:color w:val="231F1F"/>
          <w:spacing w:val="-2"/>
          <w:w w:val="110"/>
        </w:rPr>
        <w:t>menos</w:t>
      </w:r>
      <w:r>
        <w:rPr>
          <w:color w:val="231F1F"/>
          <w:spacing w:val="-11"/>
          <w:w w:val="110"/>
        </w:rPr>
        <w:t> </w:t>
      </w:r>
      <w:r>
        <w:rPr>
          <w:color w:val="231F1F"/>
          <w:spacing w:val="-2"/>
          <w:w w:val="110"/>
        </w:rPr>
        <w:t>que</w:t>
      </w:r>
      <w:r>
        <w:rPr>
          <w:color w:val="231F1F"/>
          <w:spacing w:val="-11"/>
          <w:w w:val="110"/>
        </w:rPr>
        <w:t> </w:t>
      </w:r>
      <w:r>
        <w:rPr>
          <w:color w:val="231F1F"/>
          <w:spacing w:val="-2"/>
          <w:w w:val="110"/>
        </w:rPr>
        <w:t>se</w:t>
      </w:r>
      <w:r>
        <w:rPr>
          <w:color w:val="231F1F"/>
          <w:spacing w:val="-11"/>
          <w:w w:val="110"/>
        </w:rPr>
        <w:t> </w:t>
      </w:r>
      <w:r>
        <w:rPr>
          <w:color w:val="231F1F"/>
          <w:spacing w:val="-2"/>
          <w:w w:val="110"/>
        </w:rPr>
        <w:t>realicen</w:t>
      </w:r>
      <w:r>
        <w:rPr>
          <w:color w:val="231F1F"/>
          <w:spacing w:val="-11"/>
          <w:w w:val="110"/>
        </w:rPr>
        <w:t> </w:t>
      </w:r>
      <w:r>
        <w:rPr>
          <w:color w:val="231F1F"/>
          <w:spacing w:val="-2"/>
          <w:w w:val="110"/>
        </w:rPr>
        <w:t>cambios</w:t>
      </w:r>
      <w:r>
        <w:rPr>
          <w:color w:val="231F1F"/>
          <w:spacing w:val="-11"/>
          <w:w w:val="110"/>
        </w:rPr>
        <w:t> </w:t>
      </w:r>
      <w:r>
        <w:rPr>
          <w:color w:val="231F1F"/>
          <w:spacing w:val="-2"/>
          <w:w w:val="110"/>
        </w:rPr>
        <w:t>fundamenta- </w:t>
      </w:r>
      <w:r>
        <w:rPr>
          <w:color w:val="231F1F"/>
          <w:w w:val="110"/>
        </w:rPr>
        <w:t>les en los cuidados que se proporcionan.</w:t>
      </w:r>
    </w:p>
    <w:p>
      <w:pPr>
        <w:pStyle w:val="BodyText"/>
        <w:spacing w:before="14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37" w:hRule="atLeast"/>
        </w:trPr>
        <w:tc>
          <w:tcPr>
            <w:tcW w:w="7373" w:type="dxa"/>
          </w:tcPr>
          <w:p>
            <w:pPr>
              <w:pStyle w:val="TableParagraph"/>
              <w:spacing w:line="254" w:lineRule="auto" w:before="44"/>
              <w:ind w:right="115"/>
              <w:jc w:val="both"/>
              <w:rPr>
                <w:sz w:val="22"/>
              </w:rPr>
            </w:pPr>
            <w:r>
              <w:rPr>
                <w:color w:val="231F1F"/>
                <w:w w:val="110"/>
                <w:sz w:val="22"/>
              </w:rPr>
              <w:t>El contar con apoyo una a una durante todo el trabajo del parto se asocio con</w:t>
            </w:r>
            <w:r>
              <w:rPr>
                <w:color w:val="231F1F"/>
                <w:spacing w:val="-12"/>
                <w:w w:val="110"/>
                <w:sz w:val="22"/>
              </w:rPr>
              <w:t> </w:t>
            </w:r>
            <w:r>
              <w:rPr>
                <w:color w:val="231F1F"/>
                <w:w w:val="110"/>
                <w:sz w:val="22"/>
              </w:rPr>
              <w:t>una</w:t>
            </w:r>
            <w:r>
              <w:rPr>
                <w:color w:val="231F1F"/>
                <w:spacing w:val="-12"/>
                <w:w w:val="110"/>
                <w:sz w:val="22"/>
              </w:rPr>
              <w:t> </w:t>
            </w:r>
            <w:r>
              <w:rPr>
                <w:color w:val="231F1F"/>
                <w:w w:val="110"/>
                <w:sz w:val="22"/>
              </w:rPr>
              <w:t>menor</w:t>
            </w:r>
            <w:r>
              <w:rPr>
                <w:color w:val="231F1F"/>
                <w:spacing w:val="-12"/>
                <w:w w:val="110"/>
                <w:sz w:val="22"/>
              </w:rPr>
              <w:t> </w:t>
            </w:r>
            <w:r>
              <w:rPr>
                <w:color w:val="231F1F"/>
                <w:w w:val="110"/>
                <w:sz w:val="22"/>
              </w:rPr>
              <w:t>probabilidad</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utilizar</w:t>
            </w:r>
            <w:r>
              <w:rPr>
                <w:color w:val="231F1F"/>
                <w:spacing w:val="-12"/>
                <w:w w:val="110"/>
                <w:sz w:val="22"/>
              </w:rPr>
              <w:t> </w:t>
            </w:r>
            <w:r>
              <w:rPr>
                <w:color w:val="231F1F"/>
                <w:w w:val="110"/>
                <w:sz w:val="22"/>
              </w:rPr>
              <w:t>analgesia</w:t>
            </w:r>
            <w:r>
              <w:rPr>
                <w:color w:val="231F1F"/>
                <w:spacing w:val="-12"/>
                <w:w w:val="110"/>
                <w:sz w:val="22"/>
              </w:rPr>
              <w:t> </w:t>
            </w:r>
            <w:r>
              <w:rPr>
                <w:color w:val="231F1F"/>
                <w:w w:val="110"/>
                <w:sz w:val="22"/>
              </w:rPr>
              <w:t>y</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parto</w:t>
            </w:r>
            <w:r>
              <w:rPr>
                <w:color w:val="231F1F"/>
                <w:spacing w:val="-12"/>
                <w:w w:val="110"/>
                <w:sz w:val="22"/>
              </w:rPr>
              <w:t> </w:t>
            </w:r>
            <w:r>
              <w:rPr>
                <w:color w:val="231F1F"/>
                <w:w w:val="110"/>
                <w:sz w:val="22"/>
              </w:rPr>
              <w:t>vaginal</w:t>
            </w:r>
            <w:r>
              <w:rPr>
                <w:color w:val="231F1F"/>
                <w:spacing w:val="-13"/>
                <w:w w:val="110"/>
                <w:sz w:val="22"/>
              </w:rPr>
              <w:t> </w:t>
            </w:r>
            <w:r>
              <w:rPr>
                <w:color w:val="231F1F"/>
                <w:w w:val="110"/>
                <w:sz w:val="22"/>
              </w:rPr>
              <w:t>instru- mentado, así como con una mayor probabilidad de tener un parto vaginal espontáneo (13;46).</w:t>
            </w:r>
          </w:p>
        </w:tc>
        <w:tc>
          <w:tcPr>
            <w:tcW w:w="1133" w:type="dxa"/>
          </w:tcPr>
          <w:p>
            <w:pPr>
              <w:pStyle w:val="TableParagraph"/>
              <w:spacing w:before="203"/>
              <w:ind w:left="0"/>
              <w:rPr>
                <w:rFonts w:ascii="Arial MT"/>
                <w:sz w:val="22"/>
              </w:rPr>
            </w:pPr>
          </w:p>
          <w:p>
            <w:pPr>
              <w:pStyle w:val="TableParagraph"/>
              <w:spacing w:before="1"/>
              <w:ind w:left="49" w:right="22"/>
              <w:jc w:val="center"/>
              <w:rPr>
                <w:sz w:val="22"/>
              </w:rPr>
            </w:pPr>
            <w:r>
              <w:rPr>
                <w:color w:val="231F1F"/>
                <w:spacing w:val="-5"/>
                <w:w w:val="105"/>
                <w:sz w:val="22"/>
              </w:rPr>
              <w:t>1+</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76"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37" w:lineRule="auto" w:before="55"/>
              <w:ind w:right="155"/>
              <w:rPr>
                <w:sz w:val="22"/>
              </w:rPr>
            </w:pPr>
            <w:r>
              <w:rPr>
                <w:color w:val="231F1F"/>
                <w:sz w:val="22"/>
              </w:rPr>
              <w:t>Se</w:t>
            </w:r>
            <w:r>
              <w:rPr>
                <w:color w:val="231F1F"/>
                <w:spacing w:val="30"/>
                <w:sz w:val="22"/>
              </w:rPr>
              <w:t> </w:t>
            </w:r>
            <w:r>
              <w:rPr>
                <w:color w:val="231F1F"/>
                <w:sz w:val="22"/>
              </w:rPr>
              <w:t>recomienda</w:t>
            </w:r>
            <w:r>
              <w:rPr>
                <w:color w:val="231F1F"/>
                <w:spacing w:val="31"/>
                <w:sz w:val="22"/>
              </w:rPr>
              <w:t> </w:t>
            </w:r>
            <w:r>
              <w:rPr>
                <w:color w:val="231F1F"/>
                <w:sz w:val="22"/>
              </w:rPr>
              <w:t>que</w:t>
            </w:r>
            <w:r>
              <w:rPr>
                <w:color w:val="231F1F"/>
                <w:spacing w:val="30"/>
                <w:sz w:val="22"/>
              </w:rPr>
              <w:t> </w:t>
            </w:r>
            <w:r>
              <w:rPr>
                <w:color w:val="231F1F"/>
                <w:sz w:val="22"/>
              </w:rPr>
              <w:t>la</w:t>
            </w:r>
            <w:r>
              <w:rPr>
                <w:color w:val="231F1F"/>
                <w:spacing w:val="30"/>
                <w:sz w:val="22"/>
              </w:rPr>
              <w:t> </w:t>
            </w:r>
            <w:r>
              <w:rPr>
                <w:color w:val="231F1F"/>
                <w:sz w:val="22"/>
              </w:rPr>
              <w:t>mujer</w:t>
            </w:r>
            <w:r>
              <w:rPr>
                <w:color w:val="231F1F"/>
                <w:spacing w:val="30"/>
                <w:sz w:val="22"/>
              </w:rPr>
              <w:t> </w:t>
            </w:r>
            <w:r>
              <w:rPr>
                <w:color w:val="231F1F"/>
                <w:sz w:val="22"/>
              </w:rPr>
              <w:t>en</w:t>
            </w:r>
            <w:r>
              <w:rPr>
                <w:color w:val="231F1F"/>
                <w:spacing w:val="30"/>
                <w:sz w:val="22"/>
              </w:rPr>
              <w:t> </w:t>
            </w:r>
            <w:r>
              <w:rPr>
                <w:color w:val="231F1F"/>
                <w:sz w:val="22"/>
              </w:rPr>
              <w:t>trabajo</w:t>
            </w:r>
            <w:r>
              <w:rPr>
                <w:color w:val="231F1F"/>
                <w:spacing w:val="30"/>
                <w:sz w:val="22"/>
              </w:rPr>
              <w:t> </w:t>
            </w:r>
            <w:r>
              <w:rPr>
                <w:color w:val="231F1F"/>
                <w:sz w:val="22"/>
              </w:rPr>
              <w:t>de</w:t>
            </w:r>
            <w:r>
              <w:rPr>
                <w:color w:val="231F1F"/>
                <w:spacing w:val="30"/>
                <w:sz w:val="22"/>
              </w:rPr>
              <w:t> </w:t>
            </w:r>
            <w:r>
              <w:rPr>
                <w:color w:val="231F1F"/>
                <w:sz w:val="22"/>
              </w:rPr>
              <w:t>parto</w:t>
            </w:r>
            <w:r>
              <w:rPr>
                <w:color w:val="231F1F"/>
                <w:spacing w:val="30"/>
                <w:sz w:val="22"/>
              </w:rPr>
              <w:t> </w:t>
            </w:r>
            <w:r>
              <w:rPr>
                <w:color w:val="231F1F"/>
                <w:sz w:val="22"/>
              </w:rPr>
              <w:t>sea</w:t>
            </w:r>
            <w:r>
              <w:rPr>
                <w:color w:val="231F1F"/>
                <w:spacing w:val="30"/>
                <w:sz w:val="22"/>
              </w:rPr>
              <w:t> </w:t>
            </w:r>
            <w:r>
              <w:rPr>
                <w:color w:val="231F1F"/>
                <w:sz w:val="22"/>
              </w:rPr>
              <w:t>atendida</w:t>
            </w:r>
            <w:r>
              <w:rPr>
                <w:color w:val="231F1F"/>
                <w:spacing w:val="30"/>
                <w:sz w:val="22"/>
              </w:rPr>
              <w:t> </w:t>
            </w:r>
            <w:r>
              <w:rPr>
                <w:color w:val="231F1F"/>
                <w:sz w:val="22"/>
              </w:rPr>
              <w:t>individualmente</w:t>
            </w:r>
            <w:r>
              <w:rPr>
                <w:color w:val="231F1F"/>
                <w:spacing w:val="31"/>
                <w:sz w:val="22"/>
              </w:rPr>
              <w:t> </w:t>
            </w:r>
            <w:r>
              <w:rPr>
                <w:color w:val="231F1F"/>
                <w:sz w:val="22"/>
              </w:rPr>
              <w:t>desde su</w:t>
            </w:r>
            <w:r>
              <w:rPr>
                <w:color w:val="231F1F"/>
                <w:spacing w:val="40"/>
                <w:sz w:val="22"/>
              </w:rPr>
              <w:t> </w:t>
            </w:r>
            <w:r>
              <w:rPr>
                <w:color w:val="231F1F"/>
                <w:sz w:val="22"/>
              </w:rPr>
              <w:t>ingreso</w:t>
            </w:r>
            <w:r>
              <w:rPr>
                <w:color w:val="231F1F"/>
                <w:spacing w:val="40"/>
                <w:sz w:val="22"/>
              </w:rPr>
              <w:t> </w:t>
            </w:r>
            <w:r>
              <w:rPr>
                <w:color w:val="231F1F"/>
                <w:sz w:val="22"/>
              </w:rPr>
              <w:t>y</w:t>
            </w:r>
            <w:r>
              <w:rPr>
                <w:color w:val="231F1F"/>
                <w:spacing w:val="40"/>
                <w:sz w:val="22"/>
              </w:rPr>
              <w:t> </w:t>
            </w:r>
            <w:r>
              <w:rPr>
                <w:color w:val="231F1F"/>
                <w:sz w:val="22"/>
              </w:rPr>
              <w:t>de</w:t>
            </w:r>
            <w:r>
              <w:rPr>
                <w:color w:val="231F1F"/>
                <w:spacing w:val="40"/>
                <w:sz w:val="22"/>
              </w:rPr>
              <w:t> </w:t>
            </w:r>
            <w:r>
              <w:rPr>
                <w:color w:val="231F1F"/>
                <w:sz w:val="22"/>
              </w:rPr>
              <w:t>forma</w:t>
            </w:r>
            <w:r>
              <w:rPr>
                <w:color w:val="231F1F"/>
                <w:spacing w:val="40"/>
                <w:sz w:val="22"/>
              </w:rPr>
              <w:t> </w:t>
            </w:r>
            <w:r>
              <w:rPr>
                <w:color w:val="231F1F"/>
                <w:sz w:val="22"/>
              </w:rPr>
              <w:t>continua</w:t>
            </w:r>
            <w:r>
              <w:rPr>
                <w:color w:val="231F1F"/>
                <w:spacing w:val="40"/>
                <w:sz w:val="22"/>
              </w:rPr>
              <w:t> </w:t>
            </w:r>
            <w:r>
              <w:rPr>
                <w:color w:val="231F1F"/>
                <w:sz w:val="22"/>
              </w:rPr>
              <w:t>por</w:t>
            </w:r>
            <w:r>
              <w:rPr>
                <w:color w:val="231F1F"/>
                <w:spacing w:val="40"/>
                <w:sz w:val="22"/>
              </w:rPr>
              <w:t> </w:t>
            </w:r>
            <w:r>
              <w:rPr>
                <w:color w:val="231F1F"/>
                <w:sz w:val="22"/>
              </w:rPr>
              <w:t>una</w:t>
            </w:r>
            <w:r>
              <w:rPr>
                <w:color w:val="231F1F"/>
                <w:spacing w:val="40"/>
                <w:sz w:val="22"/>
              </w:rPr>
              <w:t> </w:t>
            </w:r>
            <w:r>
              <w:rPr>
                <w:color w:val="231F1F"/>
                <w:sz w:val="22"/>
              </w:rPr>
              <w:t>matrona.</w:t>
            </w:r>
          </w:p>
        </w:tc>
      </w:tr>
      <w:tr>
        <w:trPr>
          <w:trHeight w:val="686" w:hRule="atLeast"/>
        </w:trPr>
        <w:tc>
          <w:tcPr>
            <w:tcW w:w="456" w:type="dxa"/>
          </w:tcPr>
          <w:p>
            <w:pPr>
              <w:pStyle w:val="TableParagraph"/>
              <w:spacing w:before="183"/>
              <w:ind w:left="46" w:right="43"/>
              <w:jc w:val="center"/>
              <w:rPr>
                <w:sz w:val="22"/>
              </w:rPr>
            </w:pPr>
            <w:r>
              <w:rPr>
                <w:color w:val="231F1F"/>
                <w:spacing w:val="-10"/>
                <w:w w:val="115"/>
                <w:sz w:val="22"/>
              </w:rPr>
              <w:t>A</w:t>
            </w:r>
          </w:p>
        </w:tc>
        <w:tc>
          <w:tcPr>
            <w:tcW w:w="8050" w:type="dxa"/>
          </w:tcPr>
          <w:p>
            <w:pPr>
              <w:pStyle w:val="TableParagraph"/>
              <w:spacing w:before="49"/>
              <w:ind w:right="155"/>
              <w:rPr>
                <w:sz w:val="22"/>
              </w:rPr>
            </w:pPr>
            <w:r>
              <w:rPr>
                <w:color w:val="231F1F"/>
                <w:w w:val="110"/>
                <w:sz w:val="22"/>
              </w:rPr>
              <w:t>Una</w:t>
            </w:r>
            <w:r>
              <w:rPr>
                <w:color w:val="231F1F"/>
                <w:spacing w:val="-9"/>
                <w:w w:val="110"/>
                <w:sz w:val="22"/>
              </w:rPr>
              <w:t> </w:t>
            </w:r>
            <w:r>
              <w:rPr>
                <w:color w:val="231F1F"/>
                <w:w w:val="110"/>
                <w:sz w:val="22"/>
              </w:rPr>
              <w:t>mujer</w:t>
            </w:r>
            <w:r>
              <w:rPr>
                <w:color w:val="231F1F"/>
                <w:spacing w:val="-9"/>
                <w:w w:val="110"/>
                <w:sz w:val="22"/>
              </w:rPr>
              <w:t> </w:t>
            </w:r>
            <w:r>
              <w:rPr>
                <w:color w:val="231F1F"/>
                <w:w w:val="110"/>
                <w:sz w:val="22"/>
              </w:rPr>
              <w:t>en</w:t>
            </w:r>
            <w:r>
              <w:rPr>
                <w:color w:val="231F1F"/>
                <w:spacing w:val="-9"/>
                <w:w w:val="110"/>
                <w:sz w:val="22"/>
              </w:rPr>
              <w:t> </w:t>
            </w:r>
            <w:r>
              <w:rPr>
                <w:color w:val="231F1F"/>
                <w:w w:val="110"/>
                <w:sz w:val="22"/>
              </w:rPr>
              <w:t>fase</w:t>
            </w:r>
            <w:r>
              <w:rPr>
                <w:color w:val="231F1F"/>
                <w:spacing w:val="-9"/>
                <w:w w:val="110"/>
                <w:sz w:val="22"/>
              </w:rPr>
              <w:t> </w:t>
            </w:r>
            <w:r>
              <w:rPr>
                <w:color w:val="231F1F"/>
                <w:w w:val="110"/>
                <w:sz w:val="22"/>
              </w:rPr>
              <w:t>activa</w:t>
            </w:r>
            <w:r>
              <w:rPr>
                <w:color w:val="231F1F"/>
                <w:spacing w:val="-9"/>
                <w:w w:val="110"/>
                <w:sz w:val="22"/>
              </w:rPr>
              <w:t> </w:t>
            </w:r>
            <w:r>
              <w:rPr>
                <w:color w:val="231F1F"/>
                <w:w w:val="110"/>
                <w:sz w:val="22"/>
              </w:rPr>
              <w:t>de</w:t>
            </w:r>
            <w:r>
              <w:rPr>
                <w:color w:val="231F1F"/>
                <w:spacing w:val="-9"/>
                <w:w w:val="110"/>
                <w:sz w:val="22"/>
              </w:rPr>
              <w:t> </w:t>
            </w:r>
            <w:r>
              <w:rPr>
                <w:color w:val="231F1F"/>
                <w:w w:val="110"/>
                <w:sz w:val="22"/>
              </w:rPr>
              <w:t>parto</w:t>
            </w:r>
            <w:r>
              <w:rPr>
                <w:color w:val="231F1F"/>
                <w:spacing w:val="-9"/>
                <w:w w:val="110"/>
                <w:sz w:val="22"/>
              </w:rPr>
              <w:t> </w:t>
            </w:r>
            <w:r>
              <w:rPr>
                <w:color w:val="231F1F"/>
                <w:w w:val="110"/>
                <w:sz w:val="22"/>
              </w:rPr>
              <w:t>no</w:t>
            </w:r>
            <w:r>
              <w:rPr>
                <w:color w:val="231F1F"/>
                <w:spacing w:val="-9"/>
                <w:w w:val="110"/>
                <w:sz w:val="22"/>
              </w:rPr>
              <w:t> </w:t>
            </w:r>
            <w:r>
              <w:rPr>
                <w:color w:val="231F1F"/>
                <w:w w:val="110"/>
                <w:sz w:val="22"/>
              </w:rPr>
              <w:t>debería</w:t>
            </w:r>
            <w:r>
              <w:rPr>
                <w:color w:val="231F1F"/>
                <w:spacing w:val="-9"/>
                <w:w w:val="110"/>
                <w:sz w:val="22"/>
              </w:rPr>
              <w:t> </w:t>
            </w:r>
            <w:r>
              <w:rPr>
                <w:color w:val="231F1F"/>
                <w:w w:val="110"/>
                <w:sz w:val="22"/>
              </w:rPr>
              <w:t>dejarse</w:t>
            </w:r>
            <w:r>
              <w:rPr>
                <w:color w:val="231F1F"/>
                <w:spacing w:val="-9"/>
                <w:w w:val="110"/>
                <w:sz w:val="22"/>
              </w:rPr>
              <w:t> </w:t>
            </w:r>
            <w:r>
              <w:rPr>
                <w:color w:val="231F1F"/>
                <w:w w:val="110"/>
                <w:sz w:val="22"/>
              </w:rPr>
              <w:t>sin</w:t>
            </w:r>
            <w:r>
              <w:rPr>
                <w:color w:val="231F1F"/>
                <w:spacing w:val="-9"/>
                <w:w w:val="110"/>
                <w:sz w:val="22"/>
              </w:rPr>
              <w:t> </w:t>
            </w:r>
            <w:r>
              <w:rPr>
                <w:color w:val="231F1F"/>
                <w:w w:val="110"/>
                <w:sz w:val="22"/>
              </w:rPr>
              <w:t>atención</w:t>
            </w:r>
            <w:r>
              <w:rPr>
                <w:color w:val="231F1F"/>
                <w:spacing w:val="-9"/>
                <w:w w:val="110"/>
                <w:sz w:val="22"/>
              </w:rPr>
              <w:t> </w:t>
            </w:r>
            <w:r>
              <w:rPr>
                <w:color w:val="231F1F"/>
                <w:w w:val="110"/>
                <w:sz w:val="22"/>
              </w:rPr>
              <w:t>profesional</w:t>
            </w:r>
            <w:r>
              <w:rPr>
                <w:color w:val="231F1F"/>
                <w:spacing w:val="-11"/>
                <w:w w:val="110"/>
                <w:sz w:val="22"/>
              </w:rPr>
              <w:t> </w:t>
            </w:r>
            <w:r>
              <w:rPr>
                <w:color w:val="231F1F"/>
                <w:w w:val="110"/>
                <w:sz w:val="22"/>
              </w:rPr>
              <w:t>ex- cepto por cortos períodos de tiempo o cuando la mujer lo solicite.</w:t>
            </w:r>
          </w:p>
        </w:tc>
      </w:tr>
    </w:tbl>
    <w:p>
      <w:pPr>
        <w:pStyle w:val="TableParagraph"/>
        <w:spacing w:after="0"/>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w w:val="105"/>
        </w:rPr>
        <w:t>Movilización</w:t>
      </w:r>
      <w:r>
        <w:rPr>
          <w:color w:val="231F1F"/>
          <w:spacing w:val="4"/>
          <w:w w:val="105"/>
        </w:rPr>
        <w:t> </w:t>
      </w:r>
      <w:r>
        <w:rPr>
          <w:color w:val="231F1F"/>
          <w:w w:val="105"/>
        </w:rPr>
        <w:t>y</w:t>
      </w:r>
      <w:r>
        <w:rPr>
          <w:color w:val="231F1F"/>
          <w:spacing w:val="5"/>
          <w:w w:val="105"/>
        </w:rPr>
        <w:t> </w:t>
      </w:r>
      <w:r>
        <w:rPr>
          <w:color w:val="231F1F"/>
          <w:w w:val="105"/>
        </w:rPr>
        <w:t>adopción</w:t>
      </w:r>
      <w:r>
        <w:rPr>
          <w:color w:val="231F1F"/>
          <w:spacing w:val="6"/>
          <w:w w:val="105"/>
        </w:rPr>
        <w:t> </w:t>
      </w:r>
      <w:r>
        <w:rPr>
          <w:color w:val="231F1F"/>
          <w:w w:val="105"/>
        </w:rPr>
        <w:t>de</w:t>
      </w:r>
      <w:r>
        <w:rPr>
          <w:color w:val="231F1F"/>
          <w:spacing w:val="5"/>
          <w:w w:val="105"/>
        </w:rPr>
        <w:t> </w:t>
      </w:r>
      <w:r>
        <w:rPr>
          <w:color w:val="231F1F"/>
          <w:w w:val="105"/>
        </w:rPr>
        <w:t>diferentes</w:t>
      </w:r>
      <w:r>
        <w:rPr>
          <w:color w:val="231F1F"/>
          <w:spacing w:val="4"/>
          <w:w w:val="105"/>
        </w:rPr>
        <w:t> </w:t>
      </w:r>
      <w:r>
        <w:rPr>
          <w:color w:val="231F1F"/>
          <w:spacing w:val="-2"/>
          <w:w w:val="105"/>
        </w:rPr>
        <w:t>posiciones</w:t>
      </w:r>
    </w:p>
    <w:p>
      <w:pPr>
        <w:pStyle w:val="BodyText"/>
        <w:spacing w:before="20"/>
        <w:rPr>
          <w:sz w:val="20"/>
        </w:rPr>
      </w:pPr>
      <w:r>
        <w:rPr>
          <w:sz w:val="20"/>
        </w:rPr>
        <mc:AlternateContent>
          <mc:Choice Requires="wps">
            <w:drawing>
              <wp:anchor distT="0" distB="0" distL="0" distR="0" allowOverlap="1" layoutInCell="1" locked="0" behindDoc="1" simplePos="0" relativeHeight="487603200">
                <wp:simplePos x="0" y="0"/>
                <wp:positionH relativeFrom="page">
                  <wp:posOffset>1082675</wp:posOffset>
                </wp:positionH>
                <wp:positionV relativeFrom="paragraph">
                  <wp:posOffset>177184</wp:posOffset>
                </wp:positionV>
                <wp:extent cx="5400040" cy="40386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5400040" cy="403860"/>
                        </a:xfrm>
                        <a:prstGeom prst="rect">
                          <a:avLst/>
                        </a:prstGeom>
                        <a:ln w="6350">
                          <a:solidFill>
                            <a:srgbClr val="A30046"/>
                          </a:solidFill>
                          <a:prstDash val="solid"/>
                        </a:ln>
                      </wps:spPr>
                      <wps:txbx>
                        <w:txbxContent>
                          <w:p>
                            <w:pPr>
                              <w:pStyle w:val="BodyText"/>
                              <w:numPr>
                                <w:ilvl w:val="0"/>
                                <w:numId w:val="27"/>
                              </w:numPr>
                              <w:tabs>
                                <w:tab w:pos="322" w:val="left" w:leader="none"/>
                              </w:tabs>
                              <w:spacing w:line="244" w:lineRule="auto" w:before="17" w:after="0"/>
                              <w:ind w:left="322" w:right="270" w:hanging="218"/>
                              <w:jc w:val="left"/>
                            </w:pPr>
                            <w:r>
                              <w:rPr>
                                <w:color w:val="231F1F"/>
                                <w:w w:val="105"/>
                              </w:rPr>
                              <w:t>¿Qué</w:t>
                            </w:r>
                            <w:r>
                              <w:rPr>
                                <w:color w:val="231F1F"/>
                                <w:spacing w:val="-11"/>
                                <w:w w:val="105"/>
                              </w:rPr>
                              <w:t> </w:t>
                            </w:r>
                            <w:r>
                              <w:rPr>
                                <w:color w:val="231F1F"/>
                                <w:w w:val="105"/>
                              </w:rPr>
                              <w:t>efecto</w:t>
                            </w:r>
                            <w:r>
                              <w:rPr>
                                <w:color w:val="231F1F"/>
                                <w:spacing w:val="-10"/>
                                <w:w w:val="105"/>
                              </w:rPr>
                              <w:t> </w:t>
                            </w:r>
                            <w:r>
                              <w:rPr>
                                <w:color w:val="231F1F"/>
                                <w:w w:val="105"/>
                              </w:rPr>
                              <w:t>tiene</w:t>
                            </w:r>
                            <w:r>
                              <w:rPr>
                                <w:color w:val="231F1F"/>
                                <w:spacing w:val="-12"/>
                                <w:w w:val="105"/>
                              </w:rPr>
                              <w:t> </w:t>
                            </w:r>
                            <w:r>
                              <w:rPr>
                                <w:color w:val="231F1F"/>
                                <w:w w:val="105"/>
                              </w:rPr>
                              <w:t>la</w:t>
                            </w:r>
                            <w:r>
                              <w:rPr>
                                <w:color w:val="231F1F"/>
                                <w:spacing w:val="-10"/>
                                <w:w w:val="105"/>
                              </w:rPr>
                              <w:t> </w:t>
                            </w:r>
                            <w:r>
                              <w:rPr>
                                <w:color w:val="231F1F"/>
                                <w:w w:val="105"/>
                              </w:rPr>
                              <w:t>movilización</w:t>
                            </w:r>
                            <w:r>
                              <w:rPr>
                                <w:color w:val="231F1F"/>
                                <w:spacing w:val="-12"/>
                                <w:w w:val="105"/>
                              </w:rPr>
                              <w:t> </w:t>
                            </w:r>
                            <w:r>
                              <w:rPr>
                                <w:color w:val="231F1F"/>
                                <w:w w:val="105"/>
                              </w:rPr>
                              <w:t>y</w:t>
                            </w:r>
                            <w:r>
                              <w:rPr>
                                <w:color w:val="231F1F"/>
                                <w:spacing w:val="-10"/>
                                <w:w w:val="105"/>
                              </w:rPr>
                              <w:t> </w:t>
                            </w:r>
                            <w:r>
                              <w:rPr>
                                <w:color w:val="231F1F"/>
                                <w:w w:val="105"/>
                              </w:rPr>
                              <w:t>la</w:t>
                            </w:r>
                            <w:r>
                              <w:rPr>
                                <w:color w:val="231F1F"/>
                                <w:spacing w:val="-10"/>
                                <w:w w:val="105"/>
                              </w:rPr>
                              <w:t> </w:t>
                            </w:r>
                            <w:r>
                              <w:rPr>
                                <w:color w:val="231F1F"/>
                                <w:w w:val="105"/>
                              </w:rPr>
                              <w:t>adopción</w:t>
                            </w:r>
                            <w:r>
                              <w:rPr>
                                <w:color w:val="231F1F"/>
                                <w:spacing w:val="-10"/>
                                <w:w w:val="105"/>
                              </w:rPr>
                              <w:t> </w:t>
                            </w:r>
                            <w:r>
                              <w:rPr>
                                <w:color w:val="231F1F"/>
                                <w:w w:val="105"/>
                              </w:rPr>
                              <w:t>de</w:t>
                            </w:r>
                            <w:r>
                              <w:rPr>
                                <w:color w:val="231F1F"/>
                                <w:spacing w:val="-11"/>
                                <w:w w:val="105"/>
                              </w:rPr>
                              <w:t> </w:t>
                            </w:r>
                            <w:r>
                              <w:rPr>
                                <w:color w:val="231F1F"/>
                                <w:w w:val="105"/>
                              </w:rPr>
                              <w:t>diferentes</w:t>
                            </w:r>
                            <w:r>
                              <w:rPr>
                                <w:color w:val="231F1F"/>
                                <w:spacing w:val="-12"/>
                                <w:w w:val="105"/>
                              </w:rPr>
                              <w:t> </w:t>
                            </w:r>
                            <w:r>
                              <w:rPr>
                                <w:color w:val="231F1F"/>
                                <w:w w:val="105"/>
                              </w:rPr>
                              <w:t>posiciones</w:t>
                            </w:r>
                            <w:r>
                              <w:rPr>
                                <w:color w:val="231F1F"/>
                                <w:spacing w:val="-12"/>
                                <w:w w:val="105"/>
                              </w:rPr>
                              <w:t> </w:t>
                            </w:r>
                            <w:r>
                              <w:rPr>
                                <w:color w:val="231F1F"/>
                                <w:w w:val="105"/>
                              </w:rPr>
                              <w:t>sobre</w:t>
                            </w:r>
                            <w:r>
                              <w:rPr>
                                <w:color w:val="231F1F"/>
                                <w:spacing w:val="-12"/>
                                <w:w w:val="105"/>
                              </w:rPr>
                              <w:t> </w:t>
                            </w:r>
                            <w:r>
                              <w:rPr>
                                <w:color w:val="231F1F"/>
                                <w:w w:val="105"/>
                              </w:rPr>
                              <w:t>el</w:t>
                            </w:r>
                            <w:r>
                              <w:rPr>
                                <w:color w:val="231F1F"/>
                                <w:spacing w:val="-12"/>
                                <w:w w:val="105"/>
                              </w:rPr>
                              <w:t> </w:t>
                            </w:r>
                            <w:r>
                              <w:rPr>
                                <w:color w:val="231F1F"/>
                                <w:w w:val="105"/>
                              </w:rPr>
                              <w:t>parto y sus resultados?</w:t>
                            </w:r>
                          </w:p>
                        </w:txbxContent>
                      </wps:txbx>
                      <wps:bodyPr wrap="square" lIns="0" tIns="0" rIns="0" bIns="0" rtlCol="0">
                        <a:noAutofit/>
                      </wps:bodyPr>
                    </wps:wsp>
                  </a:graphicData>
                </a:graphic>
              </wp:anchor>
            </w:drawing>
          </mc:Choice>
          <mc:Fallback>
            <w:pict>
              <v:shape style="position:absolute;margin-left:85.25pt;margin-top:13.951563pt;width:425.2pt;height:31.8pt;mso-position-horizontal-relative:page;mso-position-vertical-relative:paragraph;z-index:-15713280;mso-wrap-distance-left:0;mso-wrap-distance-right:0" type="#_x0000_t202" id="docshape53" filled="false" stroked="true" strokeweight=".5pt" strokecolor="#a30046">
                <v:textbox inset="0,0,0,0">
                  <w:txbxContent>
                    <w:p>
                      <w:pPr>
                        <w:pStyle w:val="BodyText"/>
                        <w:numPr>
                          <w:ilvl w:val="0"/>
                          <w:numId w:val="27"/>
                        </w:numPr>
                        <w:tabs>
                          <w:tab w:pos="322" w:val="left" w:leader="none"/>
                        </w:tabs>
                        <w:spacing w:line="244" w:lineRule="auto" w:before="17" w:after="0"/>
                        <w:ind w:left="322" w:right="270" w:hanging="218"/>
                        <w:jc w:val="left"/>
                      </w:pPr>
                      <w:r>
                        <w:rPr>
                          <w:color w:val="231F1F"/>
                          <w:w w:val="105"/>
                        </w:rPr>
                        <w:t>¿Qué</w:t>
                      </w:r>
                      <w:r>
                        <w:rPr>
                          <w:color w:val="231F1F"/>
                          <w:spacing w:val="-11"/>
                          <w:w w:val="105"/>
                        </w:rPr>
                        <w:t> </w:t>
                      </w:r>
                      <w:r>
                        <w:rPr>
                          <w:color w:val="231F1F"/>
                          <w:w w:val="105"/>
                        </w:rPr>
                        <w:t>efecto</w:t>
                      </w:r>
                      <w:r>
                        <w:rPr>
                          <w:color w:val="231F1F"/>
                          <w:spacing w:val="-10"/>
                          <w:w w:val="105"/>
                        </w:rPr>
                        <w:t> </w:t>
                      </w:r>
                      <w:r>
                        <w:rPr>
                          <w:color w:val="231F1F"/>
                          <w:w w:val="105"/>
                        </w:rPr>
                        <w:t>tiene</w:t>
                      </w:r>
                      <w:r>
                        <w:rPr>
                          <w:color w:val="231F1F"/>
                          <w:spacing w:val="-12"/>
                          <w:w w:val="105"/>
                        </w:rPr>
                        <w:t> </w:t>
                      </w:r>
                      <w:r>
                        <w:rPr>
                          <w:color w:val="231F1F"/>
                          <w:w w:val="105"/>
                        </w:rPr>
                        <w:t>la</w:t>
                      </w:r>
                      <w:r>
                        <w:rPr>
                          <w:color w:val="231F1F"/>
                          <w:spacing w:val="-10"/>
                          <w:w w:val="105"/>
                        </w:rPr>
                        <w:t> </w:t>
                      </w:r>
                      <w:r>
                        <w:rPr>
                          <w:color w:val="231F1F"/>
                          <w:w w:val="105"/>
                        </w:rPr>
                        <w:t>movilización</w:t>
                      </w:r>
                      <w:r>
                        <w:rPr>
                          <w:color w:val="231F1F"/>
                          <w:spacing w:val="-12"/>
                          <w:w w:val="105"/>
                        </w:rPr>
                        <w:t> </w:t>
                      </w:r>
                      <w:r>
                        <w:rPr>
                          <w:color w:val="231F1F"/>
                          <w:w w:val="105"/>
                        </w:rPr>
                        <w:t>y</w:t>
                      </w:r>
                      <w:r>
                        <w:rPr>
                          <w:color w:val="231F1F"/>
                          <w:spacing w:val="-10"/>
                          <w:w w:val="105"/>
                        </w:rPr>
                        <w:t> </w:t>
                      </w:r>
                      <w:r>
                        <w:rPr>
                          <w:color w:val="231F1F"/>
                          <w:w w:val="105"/>
                        </w:rPr>
                        <w:t>la</w:t>
                      </w:r>
                      <w:r>
                        <w:rPr>
                          <w:color w:val="231F1F"/>
                          <w:spacing w:val="-10"/>
                          <w:w w:val="105"/>
                        </w:rPr>
                        <w:t> </w:t>
                      </w:r>
                      <w:r>
                        <w:rPr>
                          <w:color w:val="231F1F"/>
                          <w:w w:val="105"/>
                        </w:rPr>
                        <w:t>adopción</w:t>
                      </w:r>
                      <w:r>
                        <w:rPr>
                          <w:color w:val="231F1F"/>
                          <w:spacing w:val="-10"/>
                          <w:w w:val="105"/>
                        </w:rPr>
                        <w:t> </w:t>
                      </w:r>
                      <w:r>
                        <w:rPr>
                          <w:color w:val="231F1F"/>
                          <w:w w:val="105"/>
                        </w:rPr>
                        <w:t>de</w:t>
                      </w:r>
                      <w:r>
                        <w:rPr>
                          <w:color w:val="231F1F"/>
                          <w:spacing w:val="-11"/>
                          <w:w w:val="105"/>
                        </w:rPr>
                        <w:t> </w:t>
                      </w:r>
                      <w:r>
                        <w:rPr>
                          <w:color w:val="231F1F"/>
                          <w:w w:val="105"/>
                        </w:rPr>
                        <w:t>diferentes</w:t>
                      </w:r>
                      <w:r>
                        <w:rPr>
                          <w:color w:val="231F1F"/>
                          <w:spacing w:val="-12"/>
                          <w:w w:val="105"/>
                        </w:rPr>
                        <w:t> </w:t>
                      </w:r>
                      <w:r>
                        <w:rPr>
                          <w:color w:val="231F1F"/>
                          <w:w w:val="105"/>
                        </w:rPr>
                        <w:t>posiciones</w:t>
                      </w:r>
                      <w:r>
                        <w:rPr>
                          <w:color w:val="231F1F"/>
                          <w:spacing w:val="-12"/>
                          <w:w w:val="105"/>
                        </w:rPr>
                        <w:t> </w:t>
                      </w:r>
                      <w:r>
                        <w:rPr>
                          <w:color w:val="231F1F"/>
                          <w:w w:val="105"/>
                        </w:rPr>
                        <w:t>sobre</w:t>
                      </w:r>
                      <w:r>
                        <w:rPr>
                          <w:color w:val="231F1F"/>
                          <w:spacing w:val="-12"/>
                          <w:w w:val="105"/>
                        </w:rPr>
                        <w:t> </w:t>
                      </w:r>
                      <w:r>
                        <w:rPr>
                          <w:color w:val="231F1F"/>
                          <w:w w:val="105"/>
                        </w:rPr>
                        <w:t>el</w:t>
                      </w:r>
                      <w:r>
                        <w:rPr>
                          <w:color w:val="231F1F"/>
                          <w:spacing w:val="-12"/>
                          <w:w w:val="105"/>
                        </w:rPr>
                        <w:t> </w:t>
                      </w:r>
                      <w:r>
                        <w:rPr>
                          <w:color w:val="231F1F"/>
                          <w:w w:val="105"/>
                        </w:rPr>
                        <w:t>parto y sus resultados?</w:t>
                      </w:r>
                    </w:p>
                  </w:txbxContent>
                </v:textbox>
                <v:stroke dashstyle="solid"/>
                <w10:wrap type="topAndBottom"/>
              </v:shape>
            </w:pict>
          </mc:Fallback>
        </mc:AlternateContent>
      </w:r>
    </w:p>
    <w:p>
      <w:pPr>
        <w:pStyle w:val="BodyText"/>
        <w:spacing w:line="247" w:lineRule="auto" w:before="264"/>
        <w:ind w:left="281" w:right="113"/>
        <w:jc w:val="both"/>
      </w:pPr>
      <w:r>
        <w:rPr>
          <w:color w:val="231F1F"/>
          <w:w w:val="110"/>
        </w:rPr>
        <w:t>En la actualidad, la mayoría de las mujeres en España permanecen acostadas desde su ingreso</w:t>
      </w:r>
      <w:r>
        <w:rPr>
          <w:color w:val="231F1F"/>
          <w:w w:val="110"/>
        </w:rPr>
        <w:t> en</w:t>
      </w:r>
      <w:r>
        <w:rPr>
          <w:color w:val="231F1F"/>
          <w:w w:val="110"/>
        </w:rPr>
        <w:t> el</w:t>
      </w:r>
      <w:r>
        <w:rPr>
          <w:color w:val="231F1F"/>
          <w:w w:val="110"/>
        </w:rPr>
        <w:t> hospital.</w:t>
      </w:r>
      <w:r>
        <w:rPr>
          <w:color w:val="231F1F"/>
          <w:w w:val="110"/>
        </w:rPr>
        <w:t> La</w:t>
      </w:r>
      <w:r>
        <w:rPr>
          <w:color w:val="231F1F"/>
          <w:w w:val="110"/>
        </w:rPr>
        <w:t> monitorización</w:t>
      </w:r>
      <w:r>
        <w:rPr>
          <w:color w:val="231F1F"/>
          <w:w w:val="110"/>
        </w:rPr>
        <w:t> electrónica</w:t>
      </w:r>
      <w:r>
        <w:rPr>
          <w:color w:val="231F1F"/>
          <w:w w:val="110"/>
        </w:rPr>
        <w:t> fetal</w:t>
      </w:r>
      <w:r>
        <w:rPr>
          <w:color w:val="231F1F"/>
          <w:w w:val="110"/>
        </w:rPr>
        <w:t> sistemática,</w:t>
      </w:r>
      <w:r>
        <w:rPr>
          <w:color w:val="231F1F"/>
          <w:w w:val="110"/>
        </w:rPr>
        <w:t> las</w:t>
      </w:r>
      <w:r>
        <w:rPr>
          <w:color w:val="231F1F"/>
          <w:w w:val="110"/>
        </w:rPr>
        <w:t> infusiones intravenosas, la utilización generalizada de la analgesia neuroaxial y las rutinas asisten- ciales han limitado las posibilidades de las mujeres de deambular durante la dilatación</w:t>
      </w:r>
      <w:r>
        <w:rPr>
          <w:color w:val="231F1F"/>
          <w:spacing w:val="80"/>
          <w:w w:val="110"/>
        </w:rPr>
        <w:t> </w:t>
      </w:r>
      <w:r>
        <w:rPr>
          <w:color w:val="231F1F"/>
          <w:w w:val="110"/>
        </w:rPr>
        <w:t>o adoptar posiciones diferentes al decúbito. Sin embargo, se ha sugerido que las posi- ciones verticales y la deambulación podrían acortar la duración de la primera fase del parto y que la libertad de movimientos permite adoptar posiciones que alivian el dolor</w:t>
      </w:r>
      <w:r>
        <w:rPr>
          <w:color w:val="231F1F"/>
          <w:spacing w:val="80"/>
          <w:w w:val="110"/>
        </w:rPr>
        <w:t> </w:t>
      </w:r>
      <w:r>
        <w:rPr>
          <w:color w:val="231F1F"/>
          <w:w w:val="110"/>
        </w:rPr>
        <w:t>y mejoran el bienestar de la mujer y su sensación de protagonismo y control.</w:t>
      </w:r>
    </w:p>
    <w:p>
      <w:pPr>
        <w:pStyle w:val="BodyText"/>
        <w:spacing w:before="9"/>
        <w:rPr>
          <w:sz w:val="19"/>
        </w:rPr>
      </w:pPr>
    </w:p>
    <w:p>
      <w:pPr>
        <w:pStyle w:val="BodyText"/>
        <w:spacing w:after="0"/>
        <w:rPr>
          <w:sz w:val="19"/>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180"/>
        <w:ind w:left="287" w:right="40"/>
        <w:jc w:val="both"/>
      </w:pPr>
      <w:r>
        <w:rPr>
          <w:color w:val="231F1F"/>
          <w:w w:val="105"/>
        </w:rPr>
        <w:t>La guía NICE (10) evalúa la movilización y distintas posiciones en la primera etapa del parto (de pie, de cuclillas, de rodillas, semi-acostada, etc.) recogien- do una RS (47) con NE=1- y cuatro ECAs con un NE=1+ (48-51) y otro ECA con NE=1- (52).</w:t>
      </w:r>
    </w:p>
    <w:p>
      <w:pPr>
        <w:pStyle w:val="BodyText"/>
        <w:spacing w:line="249" w:lineRule="auto" w:before="173"/>
        <w:ind w:left="287" w:right="38" w:firstLine="453"/>
        <w:jc w:val="both"/>
      </w:pPr>
      <w:r>
        <w:rPr>
          <w:color w:val="231F1F"/>
          <w:w w:val="105"/>
        </w:rPr>
        <w:t>La</w:t>
      </w:r>
      <w:r>
        <w:rPr>
          <w:color w:val="231F1F"/>
          <w:spacing w:val="-7"/>
          <w:w w:val="105"/>
        </w:rPr>
        <w:t> </w:t>
      </w:r>
      <w:r>
        <w:rPr>
          <w:color w:val="231F1F"/>
          <w:w w:val="105"/>
        </w:rPr>
        <w:t>RS</w:t>
      </w:r>
      <w:r>
        <w:rPr>
          <w:color w:val="231F1F"/>
          <w:spacing w:val="-7"/>
          <w:w w:val="105"/>
        </w:rPr>
        <w:t> </w:t>
      </w:r>
      <w:r>
        <w:rPr>
          <w:color w:val="231F1F"/>
          <w:w w:val="105"/>
        </w:rPr>
        <w:t>(47)</w:t>
      </w:r>
      <w:r>
        <w:rPr>
          <w:color w:val="231F1F"/>
          <w:spacing w:val="-7"/>
          <w:w w:val="105"/>
        </w:rPr>
        <w:t> </w:t>
      </w:r>
      <w:r>
        <w:rPr>
          <w:color w:val="231F1F"/>
          <w:w w:val="105"/>
        </w:rPr>
        <w:t>incluía</w:t>
      </w:r>
      <w:r>
        <w:rPr>
          <w:color w:val="231F1F"/>
          <w:spacing w:val="-7"/>
          <w:w w:val="105"/>
        </w:rPr>
        <w:t> </w:t>
      </w:r>
      <w:r>
        <w:rPr>
          <w:color w:val="231F1F"/>
          <w:w w:val="105"/>
        </w:rPr>
        <w:t>catorce</w:t>
      </w:r>
      <w:r>
        <w:rPr>
          <w:color w:val="231F1F"/>
          <w:spacing w:val="-7"/>
          <w:w w:val="105"/>
        </w:rPr>
        <w:t> </w:t>
      </w:r>
      <w:r>
        <w:rPr>
          <w:color w:val="231F1F"/>
          <w:w w:val="105"/>
        </w:rPr>
        <w:t>ECAs,</w:t>
      </w:r>
      <w:r>
        <w:rPr>
          <w:color w:val="231F1F"/>
          <w:spacing w:val="-7"/>
          <w:w w:val="105"/>
        </w:rPr>
        <w:t> </w:t>
      </w:r>
      <w:r>
        <w:rPr>
          <w:color w:val="231F1F"/>
          <w:w w:val="105"/>
        </w:rPr>
        <w:t>en</w:t>
      </w:r>
      <w:r>
        <w:rPr>
          <w:color w:val="231F1F"/>
          <w:spacing w:val="-7"/>
          <w:w w:val="105"/>
        </w:rPr>
        <w:t> </w:t>
      </w:r>
      <w:r>
        <w:rPr>
          <w:color w:val="231F1F"/>
          <w:w w:val="105"/>
        </w:rPr>
        <w:t>siete</w:t>
      </w:r>
      <w:r>
        <w:rPr>
          <w:color w:val="231F1F"/>
          <w:spacing w:val="-7"/>
          <w:w w:val="105"/>
        </w:rPr>
        <w:t> </w:t>
      </w:r>
      <w:r>
        <w:rPr>
          <w:color w:val="231F1F"/>
          <w:w w:val="105"/>
        </w:rPr>
        <w:t>de</w:t>
      </w:r>
      <w:r>
        <w:rPr>
          <w:color w:val="231F1F"/>
          <w:spacing w:val="-7"/>
          <w:w w:val="105"/>
        </w:rPr>
        <w:t> </w:t>
      </w:r>
      <w:r>
        <w:rPr>
          <w:color w:val="231F1F"/>
          <w:w w:val="105"/>
        </w:rPr>
        <w:t>los</w:t>
      </w:r>
      <w:r>
        <w:rPr>
          <w:color w:val="231F1F"/>
          <w:spacing w:val="-7"/>
          <w:w w:val="105"/>
        </w:rPr>
        <w:t> </w:t>
      </w:r>
      <w:r>
        <w:rPr>
          <w:color w:val="231F1F"/>
          <w:w w:val="105"/>
        </w:rPr>
        <w:t>cuales</w:t>
      </w:r>
      <w:r>
        <w:rPr>
          <w:color w:val="231F1F"/>
          <w:spacing w:val="-7"/>
          <w:w w:val="105"/>
        </w:rPr>
        <w:t> </w:t>
      </w:r>
      <w:r>
        <w:rPr>
          <w:color w:val="231F1F"/>
          <w:w w:val="105"/>
        </w:rPr>
        <w:t>las</w:t>
      </w:r>
      <w:r>
        <w:rPr>
          <w:color w:val="231F1F"/>
          <w:spacing w:val="-7"/>
          <w:w w:val="105"/>
        </w:rPr>
        <w:t> </w:t>
      </w:r>
      <w:r>
        <w:rPr>
          <w:color w:val="231F1F"/>
          <w:w w:val="105"/>
        </w:rPr>
        <w:t>mujeres</w:t>
      </w:r>
      <w:r>
        <w:rPr>
          <w:color w:val="231F1F"/>
          <w:spacing w:val="-7"/>
          <w:w w:val="105"/>
        </w:rPr>
        <w:t> </w:t>
      </w:r>
      <w:r>
        <w:rPr>
          <w:color w:val="231F1F"/>
          <w:w w:val="105"/>
        </w:rPr>
        <w:t>fueron sus propios controles y el número de mujeres incluidas era muy bajo: n≤23;</w:t>
      </w:r>
      <w:r>
        <w:rPr>
          <w:color w:val="231F1F"/>
          <w:spacing w:val="80"/>
          <w:w w:val="105"/>
        </w:rPr>
        <w:t> </w:t>
      </w:r>
      <w:r>
        <w:rPr>
          <w:color w:val="231F1F"/>
          <w:w w:val="105"/>
        </w:rPr>
        <w:t>en</w:t>
      </w:r>
      <w:r>
        <w:rPr>
          <w:color w:val="231F1F"/>
          <w:w w:val="105"/>
        </w:rPr>
        <w:t> los</w:t>
      </w:r>
      <w:r>
        <w:rPr>
          <w:color w:val="231F1F"/>
          <w:w w:val="105"/>
        </w:rPr>
        <w:t> siete</w:t>
      </w:r>
      <w:r>
        <w:rPr>
          <w:color w:val="231F1F"/>
          <w:w w:val="105"/>
        </w:rPr>
        <w:t> estudios</w:t>
      </w:r>
      <w:r>
        <w:rPr>
          <w:color w:val="231F1F"/>
          <w:w w:val="105"/>
        </w:rPr>
        <w:t> restantes</w:t>
      </w:r>
      <w:r>
        <w:rPr>
          <w:color w:val="231F1F"/>
          <w:w w:val="105"/>
        </w:rPr>
        <w:t> el</w:t>
      </w:r>
      <w:r>
        <w:rPr>
          <w:color w:val="231F1F"/>
          <w:w w:val="105"/>
        </w:rPr>
        <w:t> número</w:t>
      </w:r>
      <w:r>
        <w:rPr>
          <w:color w:val="231F1F"/>
          <w:w w:val="105"/>
        </w:rPr>
        <w:t> de</w:t>
      </w:r>
      <w:r>
        <w:rPr>
          <w:color w:val="231F1F"/>
          <w:w w:val="105"/>
        </w:rPr>
        <w:t> mujeres</w:t>
      </w:r>
      <w:r>
        <w:rPr>
          <w:color w:val="231F1F"/>
          <w:w w:val="105"/>
        </w:rPr>
        <w:t> presentaba</w:t>
      </w:r>
      <w:r>
        <w:rPr>
          <w:color w:val="231F1F"/>
          <w:w w:val="105"/>
        </w:rPr>
        <w:t> un</w:t>
      </w:r>
      <w:r>
        <w:rPr>
          <w:color w:val="231F1F"/>
          <w:w w:val="105"/>
        </w:rPr>
        <w:t> rango</w:t>
      </w:r>
      <w:r>
        <w:rPr>
          <w:color w:val="231F1F"/>
          <w:w w:val="105"/>
        </w:rPr>
        <w:t> de</w:t>
      </w:r>
      <w:r>
        <w:rPr>
          <w:color w:val="231F1F"/>
          <w:spacing w:val="80"/>
          <w:w w:val="105"/>
        </w:rPr>
        <w:t> </w:t>
      </w:r>
      <w:r>
        <w:rPr>
          <w:color w:val="231F1F"/>
          <w:w w:val="105"/>
        </w:rPr>
        <w:t>40</w:t>
      </w:r>
      <w:r>
        <w:rPr>
          <w:color w:val="231F1F"/>
          <w:w w:val="105"/>
        </w:rPr>
        <w:t> a</w:t>
      </w:r>
      <w:r>
        <w:rPr>
          <w:color w:val="231F1F"/>
          <w:w w:val="105"/>
        </w:rPr>
        <w:t> 1.067.</w:t>
      </w:r>
      <w:r>
        <w:rPr>
          <w:color w:val="231F1F"/>
          <w:w w:val="105"/>
        </w:rPr>
        <w:t> Los</w:t>
      </w:r>
      <w:r>
        <w:rPr>
          <w:color w:val="231F1F"/>
          <w:w w:val="105"/>
        </w:rPr>
        <w:t> estudios</w:t>
      </w:r>
      <w:r>
        <w:rPr>
          <w:color w:val="231F1F"/>
          <w:w w:val="105"/>
        </w:rPr>
        <w:t> compararon</w:t>
      </w:r>
      <w:r>
        <w:rPr>
          <w:color w:val="231F1F"/>
          <w:w w:val="105"/>
        </w:rPr>
        <w:t> la</w:t>
      </w:r>
      <w:r>
        <w:rPr>
          <w:color w:val="231F1F"/>
          <w:w w:val="105"/>
        </w:rPr>
        <w:t> deambulación</w:t>
      </w:r>
      <w:r>
        <w:rPr>
          <w:color w:val="231F1F"/>
          <w:w w:val="105"/>
        </w:rPr>
        <w:t> o</w:t>
      </w:r>
      <w:r>
        <w:rPr>
          <w:color w:val="231F1F"/>
          <w:w w:val="105"/>
        </w:rPr>
        <w:t> la</w:t>
      </w:r>
      <w:r>
        <w:rPr>
          <w:color w:val="231F1F"/>
          <w:w w:val="105"/>
        </w:rPr>
        <w:t> posición</w:t>
      </w:r>
      <w:r>
        <w:rPr>
          <w:color w:val="231F1F"/>
          <w:w w:val="105"/>
        </w:rPr>
        <w:t> vertical durante la</w:t>
      </w:r>
      <w:r>
        <w:rPr>
          <w:color w:val="231F1F"/>
          <w:spacing w:val="22"/>
          <w:w w:val="105"/>
        </w:rPr>
        <w:t> </w:t>
      </w:r>
      <w:r>
        <w:rPr>
          <w:color w:val="231F1F"/>
          <w:w w:val="105"/>
        </w:rPr>
        <w:t>primera</w:t>
      </w:r>
      <w:r>
        <w:rPr>
          <w:color w:val="231F1F"/>
          <w:spacing w:val="22"/>
          <w:w w:val="105"/>
        </w:rPr>
        <w:t> </w:t>
      </w:r>
      <w:r>
        <w:rPr>
          <w:color w:val="231F1F"/>
          <w:w w:val="105"/>
        </w:rPr>
        <w:t>etapa</w:t>
      </w:r>
      <w:r>
        <w:rPr>
          <w:color w:val="231F1F"/>
          <w:spacing w:val="23"/>
          <w:w w:val="105"/>
        </w:rPr>
        <w:t> </w:t>
      </w:r>
      <w:r>
        <w:rPr>
          <w:color w:val="231F1F"/>
          <w:w w:val="105"/>
        </w:rPr>
        <w:t>del parto</w:t>
      </w:r>
      <w:r>
        <w:rPr>
          <w:color w:val="231F1F"/>
          <w:spacing w:val="22"/>
          <w:w w:val="105"/>
        </w:rPr>
        <w:t> </w:t>
      </w:r>
      <w:r>
        <w:rPr>
          <w:color w:val="231F1F"/>
          <w:w w:val="105"/>
        </w:rPr>
        <w:t>con</w:t>
      </w:r>
      <w:r>
        <w:rPr>
          <w:color w:val="231F1F"/>
          <w:spacing w:val="23"/>
          <w:w w:val="105"/>
        </w:rPr>
        <w:t> </w:t>
      </w:r>
      <w:r>
        <w:rPr>
          <w:color w:val="231F1F"/>
          <w:w w:val="105"/>
        </w:rPr>
        <w:t>una</w:t>
      </w:r>
      <w:r>
        <w:rPr>
          <w:color w:val="231F1F"/>
          <w:spacing w:val="23"/>
          <w:w w:val="105"/>
        </w:rPr>
        <w:t> </w:t>
      </w:r>
      <w:r>
        <w:rPr>
          <w:color w:val="231F1F"/>
          <w:w w:val="105"/>
        </w:rPr>
        <w:t>o</w:t>
      </w:r>
      <w:r>
        <w:rPr>
          <w:color w:val="231F1F"/>
          <w:spacing w:val="23"/>
          <w:w w:val="105"/>
        </w:rPr>
        <w:t> </w:t>
      </w:r>
      <w:r>
        <w:rPr>
          <w:color w:val="231F1F"/>
          <w:w w:val="105"/>
        </w:rPr>
        <w:t>más posiciones</w:t>
      </w:r>
      <w:r>
        <w:rPr>
          <w:color w:val="231F1F"/>
          <w:spacing w:val="22"/>
          <w:w w:val="105"/>
        </w:rPr>
        <w:t> </w:t>
      </w:r>
      <w:r>
        <w:rPr>
          <w:color w:val="231F1F"/>
          <w:w w:val="105"/>
        </w:rPr>
        <w:t>horizontales en la cama. Sin embargo, debido a los diferentes diseños de los estudios, la falta de detalles para evaluar la presencia de sesgos en muchos de los estudios y las diferentes</w:t>
      </w:r>
      <w:r>
        <w:rPr>
          <w:color w:val="231F1F"/>
          <w:spacing w:val="40"/>
          <w:w w:val="105"/>
        </w:rPr>
        <w:t> </w:t>
      </w:r>
      <w:r>
        <w:rPr>
          <w:color w:val="231F1F"/>
          <w:w w:val="105"/>
        </w:rPr>
        <w:t>escalas</w:t>
      </w:r>
      <w:r>
        <w:rPr>
          <w:color w:val="231F1F"/>
          <w:spacing w:val="40"/>
          <w:w w:val="105"/>
        </w:rPr>
        <w:t> </w:t>
      </w:r>
      <w:r>
        <w:rPr>
          <w:color w:val="231F1F"/>
          <w:w w:val="105"/>
        </w:rPr>
        <w:t>de</w:t>
      </w:r>
      <w:r>
        <w:rPr>
          <w:color w:val="231F1F"/>
          <w:spacing w:val="40"/>
          <w:w w:val="105"/>
        </w:rPr>
        <w:t> </w:t>
      </w:r>
      <w:r>
        <w:rPr>
          <w:color w:val="231F1F"/>
          <w:w w:val="105"/>
        </w:rPr>
        <w:t>medida</w:t>
      </w:r>
      <w:r>
        <w:rPr>
          <w:color w:val="231F1F"/>
          <w:spacing w:val="40"/>
          <w:w w:val="105"/>
        </w:rPr>
        <w:t> </w:t>
      </w:r>
      <w:r>
        <w:rPr>
          <w:color w:val="231F1F"/>
          <w:w w:val="105"/>
        </w:rPr>
        <w:t>no</w:t>
      </w:r>
      <w:r>
        <w:rPr>
          <w:color w:val="231F1F"/>
          <w:spacing w:val="40"/>
          <w:w w:val="105"/>
        </w:rPr>
        <w:t> </w:t>
      </w:r>
      <w:r>
        <w:rPr>
          <w:color w:val="231F1F"/>
          <w:w w:val="105"/>
        </w:rPr>
        <w:t>se</w:t>
      </w:r>
      <w:r>
        <w:rPr>
          <w:color w:val="231F1F"/>
          <w:spacing w:val="40"/>
          <w:w w:val="105"/>
        </w:rPr>
        <w:t> </w:t>
      </w:r>
      <w:r>
        <w:rPr>
          <w:color w:val="231F1F"/>
          <w:w w:val="105"/>
        </w:rPr>
        <w:t>pudo</w:t>
      </w:r>
      <w:r>
        <w:rPr>
          <w:color w:val="231F1F"/>
          <w:spacing w:val="40"/>
          <w:w w:val="105"/>
        </w:rPr>
        <w:t> </w:t>
      </w:r>
      <w:r>
        <w:rPr>
          <w:color w:val="231F1F"/>
          <w:w w:val="105"/>
        </w:rPr>
        <w:t>realizar</w:t>
      </w:r>
      <w:r>
        <w:rPr>
          <w:color w:val="231F1F"/>
          <w:spacing w:val="40"/>
          <w:w w:val="105"/>
        </w:rPr>
        <w:t> </w:t>
      </w:r>
      <w:r>
        <w:rPr>
          <w:color w:val="231F1F"/>
          <w:w w:val="105"/>
        </w:rPr>
        <w:t>un</w:t>
      </w:r>
      <w:r>
        <w:rPr>
          <w:color w:val="231F1F"/>
          <w:spacing w:val="40"/>
          <w:w w:val="105"/>
        </w:rPr>
        <w:t> </w:t>
      </w:r>
      <w:r>
        <w:rPr>
          <w:color w:val="231F1F"/>
          <w:w w:val="105"/>
        </w:rPr>
        <w:t>metaanálisis.</w:t>
      </w:r>
    </w:p>
    <w:p>
      <w:pPr>
        <w:pStyle w:val="BodyText"/>
        <w:spacing w:line="259" w:lineRule="auto" w:before="170"/>
        <w:ind w:left="287" w:right="39" w:firstLine="453"/>
        <w:jc w:val="both"/>
      </w:pPr>
      <w:r>
        <w:rPr>
          <w:color w:val="231F1F"/>
        </w:rPr>
        <w:t>Uno de los hallazgos consistentes observado fue que ninguna de las mu-</w:t>
      </w:r>
      <w:r>
        <w:rPr>
          <w:color w:val="231F1F"/>
          <w:spacing w:val="40"/>
        </w:rPr>
        <w:t> </w:t>
      </w:r>
      <w:r>
        <w:rPr>
          <w:color w:val="231F1F"/>
        </w:rPr>
        <w:t>jeres incluidas en los estudio señaló experimentar un mayor confort en posición supina. Además, la alternancia entre diferentes pares de posiciones mostraba diferente</w:t>
      </w:r>
      <w:r>
        <w:rPr>
          <w:color w:val="231F1F"/>
          <w:spacing w:val="40"/>
        </w:rPr>
        <w:t> </w:t>
      </w:r>
      <w:r>
        <w:rPr>
          <w:color w:val="231F1F"/>
        </w:rPr>
        <w:t>efecto</w:t>
      </w:r>
      <w:r>
        <w:rPr>
          <w:color w:val="231F1F"/>
          <w:spacing w:val="40"/>
        </w:rPr>
        <w:t> </w:t>
      </w:r>
      <w:r>
        <w:rPr>
          <w:color w:val="231F1F"/>
        </w:rPr>
        <w:t>sobre</w:t>
      </w:r>
      <w:r>
        <w:rPr>
          <w:color w:val="231F1F"/>
          <w:spacing w:val="40"/>
        </w:rPr>
        <w:t> </w:t>
      </w:r>
      <w:r>
        <w:rPr>
          <w:color w:val="231F1F"/>
        </w:rPr>
        <w:t>la</w:t>
      </w:r>
      <w:r>
        <w:rPr>
          <w:color w:val="231F1F"/>
          <w:spacing w:val="40"/>
        </w:rPr>
        <w:t> </w:t>
      </w:r>
      <w:r>
        <w:rPr>
          <w:color w:val="231F1F"/>
        </w:rPr>
        <w:t>actividad</w:t>
      </w:r>
      <w:r>
        <w:rPr>
          <w:color w:val="231F1F"/>
          <w:spacing w:val="40"/>
        </w:rPr>
        <w:t> </w:t>
      </w:r>
      <w:r>
        <w:rPr>
          <w:color w:val="231F1F"/>
        </w:rPr>
        <w:t>uterina.</w:t>
      </w:r>
    </w:p>
    <w:p>
      <w:pPr>
        <w:pStyle w:val="BodyText"/>
        <w:spacing w:line="244" w:lineRule="auto" w:before="88"/>
        <w:ind w:left="288" w:right="38" w:firstLine="453"/>
        <w:jc w:val="both"/>
      </w:pPr>
      <w:r>
        <w:rPr>
          <w:color w:val="231F1F"/>
        </w:rPr>
        <w:t>La alternancia entre posición supina y sentarse parece reducir la actividad </w:t>
      </w:r>
      <w:r>
        <w:rPr>
          <w:color w:val="231F1F"/>
          <w:w w:val="110"/>
        </w:rPr>
        <w:t>uterina,</w:t>
      </w:r>
      <w:r>
        <w:rPr>
          <w:color w:val="231F1F"/>
          <w:spacing w:val="-10"/>
          <w:w w:val="110"/>
        </w:rPr>
        <w:t> </w:t>
      </w:r>
      <w:r>
        <w:rPr>
          <w:color w:val="231F1F"/>
          <w:w w:val="110"/>
        </w:rPr>
        <w:t>si</w:t>
      </w:r>
      <w:r>
        <w:rPr>
          <w:color w:val="231F1F"/>
          <w:spacing w:val="-9"/>
          <w:w w:val="110"/>
        </w:rPr>
        <w:t> </w:t>
      </w:r>
      <w:r>
        <w:rPr>
          <w:color w:val="231F1F"/>
          <w:w w:val="110"/>
        </w:rPr>
        <w:t>se</w:t>
      </w:r>
      <w:r>
        <w:rPr>
          <w:color w:val="231F1F"/>
          <w:spacing w:val="-9"/>
          <w:w w:val="110"/>
        </w:rPr>
        <w:t> </w:t>
      </w:r>
      <w:r>
        <w:rPr>
          <w:color w:val="231F1F"/>
          <w:w w:val="110"/>
        </w:rPr>
        <w:t>compara</w:t>
      </w:r>
      <w:r>
        <w:rPr>
          <w:color w:val="231F1F"/>
          <w:spacing w:val="-9"/>
          <w:w w:val="110"/>
        </w:rPr>
        <w:t> </w:t>
      </w:r>
      <w:r>
        <w:rPr>
          <w:color w:val="231F1F"/>
          <w:w w:val="110"/>
        </w:rPr>
        <w:t>con</w:t>
      </w:r>
      <w:r>
        <w:rPr>
          <w:color w:val="231F1F"/>
          <w:spacing w:val="-8"/>
          <w:w w:val="110"/>
        </w:rPr>
        <w:t> </w:t>
      </w:r>
      <w:r>
        <w:rPr>
          <w:color w:val="231F1F"/>
          <w:w w:val="110"/>
        </w:rPr>
        <w:t>la</w:t>
      </w:r>
      <w:r>
        <w:rPr>
          <w:color w:val="231F1F"/>
          <w:spacing w:val="-9"/>
          <w:w w:val="110"/>
        </w:rPr>
        <w:t> </w:t>
      </w:r>
      <w:r>
        <w:rPr>
          <w:color w:val="231F1F"/>
          <w:w w:val="110"/>
        </w:rPr>
        <w:t>alternancia</w:t>
      </w:r>
      <w:r>
        <w:rPr>
          <w:color w:val="231F1F"/>
          <w:spacing w:val="-9"/>
          <w:w w:val="110"/>
        </w:rPr>
        <w:t> </w:t>
      </w:r>
      <w:r>
        <w:rPr>
          <w:color w:val="231F1F"/>
          <w:w w:val="110"/>
        </w:rPr>
        <w:t>entre</w:t>
      </w:r>
      <w:r>
        <w:rPr>
          <w:color w:val="231F1F"/>
          <w:spacing w:val="-9"/>
          <w:w w:val="110"/>
        </w:rPr>
        <w:t> </w:t>
      </w:r>
      <w:r>
        <w:rPr>
          <w:color w:val="231F1F"/>
          <w:w w:val="110"/>
        </w:rPr>
        <w:t>posición</w:t>
      </w:r>
      <w:r>
        <w:rPr>
          <w:color w:val="231F1F"/>
          <w:spacing w:val="-8"/>
          <w:w w:val="110"/>
        </w:rPr>
        <w:t> </w:t>
      </w:r>
      <w:r>
        <w:rPr>
          <w:color w:val="231F1F"/>
          <w:w w:val="110"/>
        </w:rPr>
        <w:t>supina</w:t>
      </w:r>
      <w:r>
        <w:rPr>
          <w:color w:val="231F1F"/>
          <w:spacing w:val="-9"/>
          <w:w w:val="110"/>
        </w:rPr>
        <w:t> </w:t>
      </w:r>
      <w:r>
        <w:rPr>
          <w:color w:val="231F1F"/>
          <w:w w:val="110"/>
        </w:rPr>
        <w:t>y</w:t>
      </w:r>
      <w:r>
        <w:rPr>
          <w:color w:val="231F1F"/>
          <w:spacing w:val="-9"/>
          <w:w w:val="110"/>
        </w:rPr>
        <w:t> </w:t>
      </w:r>
      <w:r>
        <w:rPr>
          <w:color w:val="231F1F"/>
          <w:w w:val="110"/>
        </w:rPr>
        <w:t>estar</w:t>
      </w:r>
      <w:r>
        <w:rPr>
          <w:color w:val="231F1F"/>
          <w:spacing w:val="-9"/>
          <w:w w:val="110"/>
        </w:rPr>
        <w:t> </w:t>
      </w:r>
      <w:r>
        <w:rPr>
          <w:color w:val="231F1F"/>
          <w:w w:val="110"/>
        </w:rPr>
        <w:t>de</w:t>
      </w:r>
      <w:r>
        <w:rPr>
          <w:color w:val="231F1F"/>
          <w:spacing w:val="-9"/>
          <w:w w:val="110"/>
        </w:rPr>
        <w:t> </w:t>
      </w:r>
      <w:r>
        <w:rPr>
          <w:color w:val="231F1F"/>
          <w:w w:val="110"/>
        </w:rPr>
        <w:t>pie o</w:t>
      </w:r>
      <w:r>
        <w:rPr>
          <w:color w:val="231F1F"/>
          <w:spacing w:val="-13"/>
          <w:w w:val="110"/>
        </w:rPr>
        <w:t> </w:t>
      </w:r>
      <w:r>
        <w:rPr>
          <w:color w:val="231F1F"/>
          <w:w w:val="110"/>
        </w:rPr>
        <w:t>acostada</w:t>
      </w:r>
      <w:r>
        <w:rPr>
          <w:color w:val="231F1F"/>
          <w:spacing w:val="-12"/>
          <w:w w:val="110"/>
        </w:rPr>
        <w:t> </w:t>
      </w:r>
      <w:r>
        <w:rPr>
          <w:color w:val="231F1F"/>
          <w:w w:val="110"/>
        </w:rPr>
        <w:t>de</w:t>
      </w:r>
      <w:r>
        <w:rPr>
          <w:color w:val="231F1F"/>
          <w:spacing w:val="-13"/>
          <w:w w:val="110"/>
        </w:rPr>
        <w:t> </w:t>
      </w:r>
      <w:r>
        <w:rPr>
          <w:color w:val="231F1F"/>
          <w:w w:val="110"/>
        </w:rPr>
        <w:t>lado.</w:t>
      </w:r>
      <w:r>
        <w:rPr>
          <w:color w:val="231F1F"/>
          <w:spacing w:val="-14"/>
          <w:w w:val="110"/>
        </w:rPr>
        <w:t> </w:t>
      </w:r>
      <w:r>
        <w:rPr>
          <w:color w:val="231F1F"/>
          <w:w w:val="110"/>
        </w:rPr>
        <w:t>Además</w:t>
      </w:r>
      <w:r>
        <w:rPr>
          <w:color w:val="231F1F"/>
          <w:spacing w:val="-14"/>
          <w:w w:val="110"/>
        </w:rPr>
        <w:t> </w:t>
      </w:r>
      <w:r>
        <w:rPr>
          <w:color w:val="231F1F"/>
          <w:w w:val="110"/>
        </w:rPr>
        <w:t>la</w:t>
      </w:r>
      <w:r>
        <w:rPr>
          <w:color w:val="231F1F"/>
          <w:spacing w:val="-13"/>
          <w:w w:val="110"/>
        </w:rPr>
        <w:t> </w:t>
      </w:r>
      <w:r>
        <w:rPr>
          <w:color w:val="231F1F"/>
          <w:w w:val="110"/>
        </w:rPr>
        <w:t>mayoría</w:t>
      </w:r>
      <w:r>
        <w:rPr>
          <w:color w:val="231F1F"/>
          <w:spacing w:val="-13"/>
          <w:w w:val="110"/>
        </w:rPr>
        <w:t> </w:t>
      </w:r>
      <w:r>
        <w:rPr>
          <w:color w:val="231F1F"/>
          <w:w w:val="110"/>
        </w:rPr>
        <w:t>de</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3"/>
          <w:w w:val="110"/>
        </w:rPr>
        <w:t> </w:t>
      </w:r>
      <w:r>
        <w:rPr>
          <w:color w:val="231F1F"/>
          <w:w w:val="110"/>
        </w:rPr>
        <w:t>tuvo</w:t>
      </w:r>
      <w:r>
        <w:rPr>
          <w:color w:val="231F1F"/>
          <w:spacing w:val="-13"/>
          <w:w w:val="110"/>
        </w:rPr>
        <w:t> </w:t>
      </w:r>
      <w:r>
        <w:rPr>
          <w:color w:val="231F1F"/>
          <w:w w:val="110"/>
        </w:rPr>
        <w:t>dificultades</w:t>
      </w:r>
      <w:r>
        <w:rPr>
          <w:color w:val="231F1F"/>
          <w:spacing w:val="-14"/>
          <w:w w:val="110"/>
        </w:rPr>
        <w:t> </w:t>
      </w:r>
      <w:r>
        <w:rPr>
          <w:color w:val="231F1F"/>
          <w:w w:val="110"/>
        </w:rPr>
        <w:t>para mantenerse</w:t>
      </w:r>
      <w:r>
        <w:rPr>
          <w:color w:val="231F1F"/>
          <w:spacing w:val="-6"/>
          <w:w w:val="110"/>
        </w:rPr>
        <w:t> </w:t>
      </w:r>
      <w:r>
        <w:rPr>
          <w:color w:val="231F1F"/>
          <w:w w:val="110"/>
        </w:rPr>
        <w:t>de</w:t>
      </w:r>
      <w:r>
        <w:rPr>
          <w:color w:val="231F1F"/>
          <w:spacing w:val="-7"/>
          <w:w w:val="110"/>
        </w:rPr>
        <w:t> </w:t>
      </w:r>
      <w:r>
        <w:rPr>
          <w:color w:val="231F1F"/>
          <w:w w:val="110"/>
        </w:rPr>
        <w:t>pie</w:t>
      </w:r>
      <w:r>
        <w:rPr>
          <w:color w:val="231F1F"/>
          <w:spacing w:val="-6"/>
          <w:w w:val="110"/>
        </w:rPr>
        <w:t> </w:t>
      </w:r>
      <w:r>
        <w:rPr>
          <w:color w:val="231F1F"/>
          <w:w w:val="110"/>
        </w:rPr>
        <w:t>y/o</w:t>
      </w:r>
      <w:r>
        <w:rPr>
          <w:color w:val="231F1F"/>
          <w:spacing w:val="-6"/>
          <w:w w:val="110"/>
        </w:rPr>
        <w:t> </w:t>
      </w:r>
      <w:r>
        <w:rPr>
          <w:color w:val="231F1F"/>
          <w:w w:val="110"/>
        </w:rPr>
        <w:t>deambular</w:t>
      </w:r>
      <w:r>
        <w:rPr>
          <w:color w:val="231F1F"/>
          <w:spacing w:val="-8"/>
          <w:w w:val="110"/>
        </w:rPr>
        <w:t> </w:t>
      </w:r>
      <w:r>
        <w:rPr>
          <w:color w:val="231F1F"/>
          <w:w w:val="110"/>
        </w:rPr>
        <w:t>durante</w:t>
      </w:r>
      <w:r>
        <w:rPr>
          <w:color w:val="231F1F"/>
          <w:spacing w:val="-7"/>
          <w:w w:val="110"/>
        </w:rPr>
        <w:t> </w:t>
      </w:r>
      <w:r>
        <w:rPr>
          <w:color w:val="231F1F"/>
          <w:w w:val="110"/>
        </w:rPr>
        <w:t>el</w:t>
      </w:r>
      <w:r>
        <w:rPr>
          <w:color w:val="231F1F"/>
          <w:spacing w:val="-7"/>
          <w:w w:val="110"/>
        </w:rPr>
        <w:t> </w:t>
      </w:r>
      <w:r>
        <w:rPr>
          <w:color w:val="231F1F"/>
          <w:w w:val="110"/>
        </w:rPr>
        <w:t>parto,</w:t>
      </w:r>
      <w:r>
        <w:rPr>
          <w:color w:val="231F1F"/>
          <w:spacing w:val="-7"/>
          <w:w w:val="110"/>
        </w:rPr>
        <w:t> </w:t>
      </w:r>
      <w:r>
        <w:rPr>
          <w:color w:val="231F1F"/>
          <w:w w:val="110"/>
        </w:rPr>
        <w:t>especialmente</w:t>
      </w:r>
      <w:r>
        <w:rPr>
          <w:color w:val="231F1F"/>
          <w:spacing w:val="-7"/>
          <w:w w:val="110"/>
        </w:rPr>
        <w:t> </w:t>
      </w:r>
      <w:r>
        <w:rPr>
          <w:color w:val="231F1F"/>
          <w:w w:val="110"/>
        </w:rPr>
        <w:t>durante</w:t>
      </w:r>
      <w:r>
        <w:rPr>
          <w:color w:val="231F1F"/>
          <w:spacing w:val="-7"/>
          <w:w w:val="110"/>
        </w:rPr>
        <w:t> </w:t>
      </w:r>
      <w:r>
        <w:rPr>
          <w:color w:val="231F1F"/>
          <w:w w:val="110"/>
        </w:rPr>
        <w:t>el final de la primera etapa del parto y la segunda etapa.</w:t>
      </w:r>
    </w:p>
    <w:p>
      <w:pPr>
        <w:pStyle w:val="BodyText"/>
        <w:spacing w:line="247" w:lineRule="auto" w:before="116"/>
        <w:ind w:left="287" w:right="39" w:firstLine="453"/>
        <w:jc w:val="both"/>
      </w:pPr>
      <w:r>
        <w:rPr>
          <w:color w:val="231F1F"/>
          <w:w w:val="105"/>
        </w:rPr>
        <w:t>El</w:t>
      </w:r>
      <w:r>
        <w:rPr>
          <w:color w:val="231F1F"/>
          <w:spacing w:val="-1"/>
          <w:w w:val="105"/>
        </w:rPr>
        <w:t> </w:t>
      </w:r>
      <w:r>
        <w:rPr>
          <w:color w:val="231F1F"/>
          <w:w w:val="105"/>
        </w:rPr>
        <w:t>primero</w:t>
      </w:r>
      <w:r>
        <w:rPr>
          <w:color w:val="231F1F"/>
          <w:spacing w:val="-1"/>
          <w:w w:val="105"/>
        </w:rPr>
        <w:t> </w:t>
      </w:r>
      <w:r>
        <w:rPr>
          <w:color w:val="231F1F"/>
          <w:w w:val="105"/>
        </w:rPr>
        <w:t>de</w:t>
      </w:r>
      <w:r>
        <w:rPr>
          <w:color w:val="231F1F"/>
          <w:spacing w:val="-1"/>
          <w:w w:val="105"/>
        </w:rPr>
        <w:t> </w:t>
      </w:r>
      <w:r>
        <w:rPr>
          <w:color w:val="231F1F"/>
          <w:w w:val="105"/>
        </w:rPr>
        <w:t>los ECAs con un buen nivel</w:t>
      </w:r>
      <w:r>
        <w:rPr>
          <w:color w:val="231F1F"/>
          <w:spacing w:val="-1"/>
          <w:w w:val="105"/>
        </w:rPr>
        <w:t> </w:t>
      </w:r>
      <w:r>
        <w:rPr>
          <w:color w:val="231F1F"/>
          <w:w w:val="105"/>
        </w:rPr>
        <w:t>de</w:t>
      </w:r>
      <w:r>
        <w:rPr>
          <w:color w:val="231F1F"/>
          <w:spacing w:val="-1"/>
          <w:w w:val="105"/>
        </w:rPr>
        <w:t> </w:t>
      </w:r>
      <w:r>
        <w:rPr>
          <w:color w:val="231F1F"/>
          <w:w w:val="105"/>
        </w:rPr>
        <w:t>calidad (48) se llevó</w:t>
      </w:r>
      <w:r>
        <w:rPr>
          <w:color w:val="231F1F"/>
          <w:spacing w:val="-1"/>
          <w:w w:val="105"/>
        </w:rPr>
        <w:t> </w:t>
      </w:r>
      <w:r>
        <w:rPr>
          <w:color w:val="231F1F"/>
          <w:w w:val="105"/>
        </w:rPr>
        <w:t>a cabo en</w:t>
      </w:r>
      <w:r>
        <w:rPr>
          <w:color w:val="231F1F"/>
          <w:spacing w:val="-11"/>
          <w:w w:val="105"/>
        </w:rPr>
        <w:t> </w:t>
      </w:r>
      <w:r>
        <w:rPr>
          <w:color w:val="231F1F"/>
          <w:w w:val="105"/>
        </w:rPr>
        <w:t>EEUU</w:t>
      </w:r>
      <w:r>
        <w:rPr>
          <w:color w:val="231F1F"/>
          <w:spacing w:val="-11"/>
          <w:w w:val="105"/>
        </w:rPr>
        <w:t> </w:t>
      </w:r>
      <w:r>
        <w:rPr>
          <w:color w:val="231F1F"/>
          <w:w w:val="105"/>
        </w:rPr>
        <w:t>con</w:t>
      </w:r>
      <w:r>
        <w:rPr>
          <w:color w:val="231F1F"/>
          <w:spacing w:val="-11"/>
          <w:w w:val="105"/>
        </w:rPr>
        <w:t> </w:t>
      </w:r>
      <w:r>
        <w:rPr>
          <w:color w:val="231F1F"/>
          <w:w w:val="105"/>
        </w:rPr>
        <w:t>un</w:t>
      </w:r>
      <w:r>
        <w:rPr>
          <w:color w:val="231F1F"/>
          <w:spacing w:val="-11"/>
          <w:w w:val="105"/>
        </w:rPr>
        <w:t> </w:t>
      </w:r>
      <w:r>
        <w:rPr>
          <w:color w:val="231F1F"/>
          <w:w w:val="105"/>
        </w:rPr>
        <w:t>total</w:t>
      </w:r>
      <w:r>
        <w:rPr>
          <w:color w:val="231F1F"/>
          <w:spacing w:val="-11"/>
          <w:w w:val="105"/>
        </w:rPr>
        <w:t> </w:t>
      </w:r>
      <w:r>
        <w:rPr>
          <w:color w:val="231F1F"/>
          <w:w w:val="105"/>
        </w:rPr>
        <w:t>de</w:t>
      </w:r>
      <w:r>
        <w:rPr>
          <w:color w:val="231F1F"/>
          <w:spacing w:val="-11"/>
          <w:w w:val="105"/>
        </w:rPr>
        <w:t> </w:t>
      </w:r>
      <w:r>
        <w:rPr>
          <w:color w:val="231F1F"/>
          <w:w w:val="105"/>
        </w:rPr>
        <w:t>1.067</w:t>
      </w:r>
      <w:r>
        <w:rPr>
          <w:color w:val="231F1F"/>
          <w:spacing w:val="-11"/>
          <w:w w:val="105"/>
        </w:rPr>
        <w:t> </w:t>
      </w:r>
      <w:r>
        <w:rPr>
          <w:color w:val="231F1F"/>
          <w:w w:val="105"/>
        </w:rPr>
        <w:t>mujeres</w:t>
      </w:r>
      <w:r>
        <w:rPr>
          <w:color w:val="231F1F"/>
          <w:spacing w:val="-11"/>
          <w:w w:val="105"/>
        </w:rPr>
        <w:t> </w:t>
      </w:r>
      <w:r>
        <w:rPr>
          <w:color w:val="231F1F"/>
          <w:w w:val="105"/>
        </w:rPr>
        <w:t>y</w:t>
      </w:r>
      <w:r>
        <w:rPr>
          <w:color w:val="231F1F"/>
          <w:spacing w:val="-11"/>
          <w:w w:val="105"/>
        </w:rPr>
        <w:t> </w:t>
      </w:r>
      <w:r>
        <w:rPr>
          <w:color w:val="231F1F"/>
          <w:w w:val="105"/>
        </w:rPr>
        <w:t>comparó</w:t>
      </w:r>
      <w:r>
        <w:rPr>
          <w:color w:val="231F1F"/>
          <w:spacing w:val="-11"/>
          <w:w w:val="105"/>
        </w:rPr>
        <w:t> </w:t>
      </w:r>
      <w:r>
        <w:rPr>
          <w:color w:val="231F1F"/>
          <w:w w:val="105"/>
        </w:rPr>
        <w:t>el</w:t>
      </w:r>
      <w:r>
        <w:rPr>
          <w:color w:val="231F1F"/>
          <w:spacing w:val="-11"/>
          <w:w w:val="105"/>
        </w:rPr>
        <w:t> </w:t>
      </w:r>
      <w:r>
        <w:rPr>
          <w:color w:val="231F1F"/>
          <w:w w:val="105"/>
        </w:rPr>
        <w:t>caminar</w:t>
      </w:r>
      <w:r>
        <w:rPr>
          <w:color w:val="231F1F"/>
          <w:spacing w:val="-11"/>
          <w:w w:val="105"/>
        </w:rPr>
        <w:t> </w:t>
      </w:r>
      <w:r>
        <w:rPr>
          <w:color w:val="231F1F"/>
          <w:w w:val="105"/>
        </w:rPr>
        <w:t>(536</w:t>
      </w:r>
      <w:r>
        <w:rPr>
          <w:color w:val="231F1F"/>
          <w:spacing w:val="-11"/>
          <w:w w:val="105"/>
        </w:rPr>
        <w:t> </w:t>
      </w:r>
      <w:r>
        <w:rPr>
          <w:color w:val="231F1F"/>
          <w:w w:val="105"/>
        </w:rPr>
        <w:t>mujeres)</w:t>
      </w:r>
      <w:r>
        <w:rPr>
          <w:color w:val="231F1F"/>
          <w:spacing w:val="-11"/>
          <w:w w:val="105"/>
        </w:rPr>
        <w:t> </w:t>
      </w:r>
      <w:r>
        <w:rPr>
          <w:color w:val="231F1F"/>
          <w:w w:val="105"/>
        </w:rPr>
        <w:t>en </w:t>
      </w:r>
      <w:r>
        <w:rPr>
          <w:color w:val="231F1F"/>
          <w:spacing w:val="-2"/>
          <w:w w:val="105"/>
        </w:rPr>
        <w:t>la</w:t>
      </w:r>
      <w:r>
        <w:rPr>
          <w:color w:val="231F1F"/>
          <w:spacing w:val="-10"/>
          <w:w w:val="105"/>
        </w:rPr>
        <w:t> </w:t>
      </w:r>
      <w:r>
        <w:rPr>
          <w:color w:val="231F1F"/>
          <w:spacing w:val="-2"/>
          <w:w w:val="105"/>
        </w:rPr>
        <w:t>primera</w:t>
      </w:r>
      <w:r>
        <w:rPr>
          <w:color w:val="231F1F"/>
          <w:spacing w:val="-10"/>
          <w:w w:val="105"/>
        </w:rPr>
        <w:t> </w:t>
      </w:r>
      <w:r>
        <w:rPr>
          <w:color w:val="231F1F"/>
          <w:spacing w:val="-2"/>
          <w:w w:val="105"/>
        </w:rPr>
        <w:t>etapa</w:t>
      </w:r>
      <w:r>
        <w:rPr>
          <w:color w:val="231F1F"/>
          <w:spacing w:val="-10"/>
          <w:w w:val="105"/>
        </w:rPr>
        <w:t> </w:t>
      </w:r>
      <w:r>
        <w:rPr>
          <w:color w:val="231F1F"/>
          <w:spacing w:val="-2"/>
          <w:w w:val="105"/>
        </w:rPr>
        <w:t>del</w:t>
      </w:r>
      <w:r>
        <w:rPr>
          <w:color w:val="231F1F"/>
          <w:spacing w:val="-10"/>
          <w:w w:val="105"/>
        </w:rPr>
        <w:t> </w:t>
      </w:r>
      <w:r>
        <w:rPr>
          <w:color w:val="231F1F"/>
          <w:spacing w:val="-2"/>
          <w:w w:val="105"/>
        </w:rPr>
        <w:t>parto</w:t>
      </w:r>
      <w:r>
        <w:rPr>
          <w:color w:val="231F1F"/>
          <w:spacing w:val="-10"/>
          <w:w w:val="105"/>
        </w:rPr>
        <w:t> </w:t>
      </w:r>
      <w:r>
        <w:rPr>
          <w:color w:val="231F1F"/>
          <w:spacing w:val="-2"/>
          <w:w w:val="105"/>
        </w:rPr>
        <w:t>frente</w:t>
      </w:r>
      <w:r>
        <w:rPr>
          <w:color w:val="231F1F"/>
          <w:spacing w:val="-10"/>
          <w:w w:val="105"/>
        </w:rPr>
        <w:t> </w:t>
      </w:r>
      <w:r>
        <w:rPr>
          <w:color w:val="231F1F"/>
          <w:spacing w:val="-2"/>
          <w:w w:val="105"/>
        </w:rPr>
        <w:t>a</w:t>
      </w:r>
      <w:r>
        <w:rPr>
          <w:color w:val="231F1F"/>
          <w:spacing w:val="-10"/>
          <w:w w:val="105"/>
        </w:rPr>
        <w:t> </w:t>
      </w:r>
      <w:r>
        <w:rPr>
          <w:color w:val="231F1F"/>
          <w:spacing w:val="-2"/>
          <w:w w:val="105"/>
        </w:rPr>
        <w:t>no</w:t>
      </w:r>
      <w:r>
        <w:rPr>
          <w:color w:val="231F1F"/>
          <w:spacing w:val="-10"/>
          <w:w w:val="105"/>
        </w:rPr>
        <w:t> </w:t>
      </w:r>
      <w:r>
        <w:rPr>
          <w:color w:val="231F1F"/>
          <w:spacing w:val="-2"/>
          <w:w w:val="105"/>
        </w:rPr>
        <w:t>caminar</w:t>
      </w:r>
      <w:r>
        <w:rPr>
          <w:color w:val="231F1F"/>
          <w:spacing w:val="-10"/>
          <w:w w:val="105"/>
        </w:rPr>
        <w:t> </w:t>
      </w:r>
      <w:r>
        <w:rPr>
          <w:color w:val="231F1F"/>
          <w:spacing w:val="-2"/>
          <w:w w:val="105"/>
        </w:rPr>
        <w:t>(531).</w:t>
      </w:r>
      <w:r>
        <w:rPr>
          <w:color w:val="231F1F"/>
          <w:spacing w:val="-9"/>
          <w:w w:val="105"/>
        </w:rPr>
        <w:t> </w:t>
      </w:r>
      <w:r>
        <w:rPr>
          <w:color w:val="231F1F"/>
          <w:spacing w:val="-2"/>
          <w:w w:val="105"/>
        </w:rPr>
        <w:t>El</w:t>
      </w:r>
      <w:r>
        <w:rPr>
          <w:color w:val="231F1F"/>
          <w:spacing w:val="-10"/>
          <w:w w:val="105"/>
        </w:rPr>
        <w:t> </w:t>
      </w:r>
      <w:r>
        <w:rPr>
          <w:color w:val="231F1F"/>
          <w:spacing w:val="-2"/>
          <w:w w:val="105"/>
        </w:rPr>
        <w:t>79%</w:t>
      </w:r>
      <w:r>
        <w:rPr>
          <w:color w:val="231F1F"/>
          <w:spacing w:val="-9"/>
          <w:w w:val="105"/>
        </w:rPr>
        <w:t> </w:t>
      </w:r>
      <w:r>
        <w:rPr>
          <w:color w:val="231F1F"/>
          <w:spacing w:val="-2"/>
          <w:w w:val="105"/>
        </w:rPr>
        <w:t>de</w:t>
      </w:r>
      <w:r>
        <w:rPr>
          <w:color w:val="231F1F"/>
          <w:spacing w:val="-10"/>
          <w:w w:val="105"/>
        </w:rPr>
        <w:t> </w:t>
      </w:r>
      <w:r>
        <w:rPr>
          <w:color w:val="231F1F"/>
          <w:spacing w:val="-2"/>
          <w:w w:val="105"/>
        </w:rPr>
        <w:t>las</w:t>
      </w:r>
      <w:r>
        <w:rPr>
          <w:color w:val="231F1F"/>
          <w:spacing w:val="-9"/>
          <w:w w:val="105"/>
        </w:rPr>
        <w:t> </w:t>
      </w:r>
      <w:r>
        <w:rPr>
          <w:color w:val="231F1F"/>
          <w:spacing w:val="-2"/>
          <w:w w:val="105"/>
        </w:rPr>
        <w:t>mujeres</w:t>
      </w:r>
      <w:r>
        <w:rPr>
          <w:color w:val="231F1F"/>
          <w:spacing w:val="-10"/>
          <w:w w:val="105"/>
        </w:rPr>
        <w:t> </w:t>
      </w:r>
      <w:r>
        <w:rPr>
          <w:color w:val="231F1F"/>
          <w:spacing w:val="-2"/>
          <w:w w:val="105"/>
        </w:rPr>
        <w:t>quiso </w:t>
      </w:r>
      <w:r>
        <w:rPr>
          <w:color w:val="231F1F"/>
          <w:w w:val="105"/>
        </w:rPr>
        <w:t>andar</w:t>
      </w:r>
      <w:r>
        <w:rPr>
          <w:color w:val="231F1F"/>
          <w:spacing w:val="-6"/>
          <w:w w:val="105"/>
        </w:rPr>
        <w:t> </w:t>
      </w:r>
      <w:r>
        <w:rPr>
          <w:color w:val="231F1F"/>
          <w:w w:val="105"/>
        </w:rPr>
        <w:t>y</w:t>
      </w:r>
      <w:r>
        <w:rPr>
          <w:color w:val="231F1F"/>
          <w:spacing w:val="-6"/>
          <w:w w:val="105"/>
        </w:rPr>
        <w:t> </w:t>
      </w:r>
      <w:r>
        <w:rPr>
          <w:color w:val="231F1F"/>
          <w:w w:val="105"/>
        </w:rPr>
        <w:t>lo</w:t>
      </w:r>
      <w:r>
        <w:rPr>
          <w:color w:val="231F1F"/>
          <w:spacing w:val="-6"/>
          <w:w w:val="105"/>
        </w:rPr>
        <w:t> </w:t>
      </w:r>
      <w:r>
        <w:rPr>
          <w:color w:val="231F1F"/>
          <w:w w:val="105"/>
        </w:rPr>
        <w:t>hicieron</w:t>
      </w:r>
      <w:r>
        <w:rPr>
          <w:color w:val="231F1F"/>
          <w:spacing w:val="-7"/>
          <w:w w:val="105"/>
        </w:rPr>
        <w:t> </w:t>
      </w:r>
      <w:r>
        <w:rPr>
          <w:color w:val="231F1F"/>
          <w:w w:val="105"/>
        </w:rPr>
        <w:t>una</w:t>
      </w:r>
      <w:r>
        <w:rPr>
          <w:color w:val="231F1F"/>
          <w:spacing w:val="-7"/>
          <w:w w:val="105"/>
        </w:rPr>
        <w:t> </w:t>
      </w:r>
      <w:r>
        <w:rPr>
          <w:color w:val="231F1F"/>
          <w:w w:val="105"/>
        </w:rPr>
        <w:t>media</w:t>
      </w:r>
      <w:r>
        <w:rPr>
          <w:color w:val="231F1F"/>
          <w:spacing w:val="-7"/>
          <w:w w:val="105"/>
        </w:rPr>
        <w:t> </w:t>
      </w:r>
      <w:r>
        <w:rPr>
          <w:color w:val="231F1F"/>
          <w:w w:val="105"/>
        </w:rPr>
        <w:t>de</w:t>
      </w:r>
      <w:r>
        <w:rPr>
          <w:color w:val="231F1F"/>
          <w:spacing w:val="-6"/>
          <w:w w:val="105"/>
        </w:rPr>
        <w:t> </w:t>
      </w:r>
      <w:r>
        <w:rPr>
          <w:color w:val="231F1F"/>
          <w:w w:val="105"/>
        </w:rPr>
        <w:t>56</w:t>
      </w:r>
      <w:r>
        <w:rPr>
          <w:color w:val="231F1F"/>
          <w:spacing w:val="-6"/>
          <w:w w:val="105"/>
        </w:rPr>
        <w:t> </w:t>
      </w:r>
      <w:r>
        <w:rPr>
          <w:color w:val="231F1F"/>
          <w:w w:val="105"/>
        </w:rPr>
        <w:t>minutos</w:t>
      </w:r>
      <w:r>
        <w:rPr>
          <w:color w:val="231F1F"/>
          <w:spacing w:val="-7"/>
          <w:w w:val="105"/>
        </w:rPr>
        <w:t> </w:t>
      </w:r>
      <w:r>
        <w:rPr>
          <w:color w:val="231F1F"/>
          <w:w w:val="105"/>
        </w:rPr>
        <w:t>(DE=46</w:t>
      </w:r>
      <w:r>
        <w:rPr>
          <w:color w:val="231F1F"/>
          <w:spacing w:val="-6"/>
          <w:w w:val="105"/>
        </w:rPr>
        <w:t> </w:t>
      </w:r>
      <w:r>
        <w:rPr>
          <w:color w:val="231F1F"/>
          <w:w w:val="105"/>
        </w:rPr>
        <w:t>minutos).</w:t>
      </w:r>
      <w:r>
        <w:rPr>
          <w:color w:val="231F1F"/>
          <w:spacing w:val="-7"/>
          <w:w w:val="105"/>
        </w:rPr>
        <w:t> </w:t>
      </w:r>
      <w:r>
        <w:rPr>
          <w:color w:val="231F1F"/>
          <w:w w:val="105"/>
        </w:rPr>
        <w:t>No</w:t>
      </w:r>
      <w:r>
        <w:rPr>
          <w:color w:val="231F1F"/>
          <w:spacing w:val="-6"/>
          <w:w w:val="105"/>
        </w:rPr>
        <w:t> </w:t>
      </w:r>
      <w:r>
        <w:rPr>
          <w:color w:val="231F1F"/>
          <w:w w:val="105"/>
        </w:rPr>
        <w:t>se</w:t>
      </w:r>
      <w:r>
        <w:rPr>
          <w:color w:val="231F1F"/>
          <w:spacing w:val="-7"/>
          <w:w w:val="105"/>
        </w:rPr>
        <w:t> </w:t>
      </w:r>
      <w:r>
        <w:rPr>
          <w:color w:val="231F1F"/>
          <w:w w:val="105"/>
        </w:rPr>
        <w:t>observa- ron diferencias significativas, entre los dos grupos, en los resultados de parto (duración,</w:t>
      </w:r>
      <w:r>
        <w:rPr>
          <w:color w:val="231F1F"/>
          <w:spacing w:val="-10"/>
          <w:w w:val="105"/>
        </w:rPr>
        <w:t> </w:t>
      </w:r>
      <w:r>
        <w:rPr>
          <w:color w:val="231F1F"/>
          <w:w w:val="105"/>
        </w:rPr>
        <w:t>uso</w:t>
      </w:r>
      <w:r>
        <w:rPr>
          <w:color w:val="231F1F"/>
          <w:spacing w:val="-11"/>
          <w:w w:val="105"/>
        </w:rPr>
        <w:t> </w:t>
      </w:r>
      <w:r>
        <w:rPr>
          <w:color w:val="231F1F"/>
          <w:w w:val="105"/>
        </w:rPr>
        <w:t>de</w:t>
      </w:r>
      <w:r>
        <w:rPr>
          <w:color w:val="231F1F"/>
          <w:spacing w:val="-11"/>
          <w:w w:val="105"/>
        </w:rPr>
        <w:t> </w:t>
      </w:r>
      <w:r>
        <w:rPr>
          <w:color w:val="231F1F"/>
          <w:w w:val="105"/>
        </w:rPr>
        <w:t>oxitocina,</w:t>
      </w:r>
      <w:r>
        <w:rPr>
          <w:color w:val="231F1F"/>
          <w:spacing w:val="-11"/>
          <w:w w:val="105"/>
        </w:rPr>
        <w:t> </w:t>
      </w:r>
      <w:r>
        <w:rPr>
          <w:color w:val="231F1F"/>
          <w:w w:val="105"/>
        </w:rPr>
        <w:t>uso</w:t>
      </w:r>
      <w:r>
        <w:rPr>
          <w:color w:val="231F1F"/>
          <w:spacing w:val="-11"/>
          <w:w w:val="105"/>
        </w:rPr>
        <w:t> </w:t>
      </w:r>
      <w:r>
        <w:rPr>
          <w:color w:val="231F1F"/>
          <w:w w:val="105"/>
        </w:rPr>
        <w:t>de</w:t>
      </w:r>
      <w:r>
        <w:rPr>
          <w:color w:val="231F1F"/>
          <w:spacing w:val="-11"/>
          <w:w w:val="105"/>
        </w:rPr>
        <w:t> </w:t>
      </w:r>
      <w:r>
        <w:rPr>
          <w:color w:val="231F1F"/>
          <w:w w:val="105"/>
        </w:rPr>
        <w:t>analgésicos),</w:t>
      </w:r>
      <w:r>
        <w:rPr>
          <w:color w:val="231F1F"/>
          <w:spacing w:val="-10"/>
          <w:w w:val="105"/>
        </w:rPr>
        <w:t> </w:t>
      </w:r>
      <w:r>
        <w:rPr>
          <w:color w:val="231F1F"/>
          <w:w w:val="105"/>
        </w:rPr>
        <w:t>tipo</w:t>
      </w:r>
      <w:r>
        <w:rPr>
          <w:color w:val="231F1F"/>
          <w:spacing w:val="-11"/>
          <w:w w:val="105"/>
        </w:rPr>
        <w:t> </w:t>
      </w:r>
      <w:r>
        <w:rPr>
          <w:color w:val="231F1F"/>
          <w:w w:val="105"/>
        </w:rPr>
        <w:t>de</w:t>
      </w:r>
      <w:r>
        <w:rPr>
          <w:color w:val="231F1F"/>
          <w:spacing w:val="-11"/>
          <w:w w:val="105"/>
        </w:rPr>
        <w:t> </w:t>
      </w:r>
      <w:r>
        <w:rPr>
          <w:color w:val="231F1F"/>
          <w:w w:val="105"/>
        </w:rPr>
        <w:t>parto,</w:t>
      </w:r>
      <w:r>
        <w:rPr>
          <w:color w:val="231F1F"/>
          <w:spacing w:val="-11"/>
          <w:w w:val="105"/>
        </w:rPr>
        <w:t> </w:t>
      </w:r>
      <w:r>
        <w:rPr>
          <w:color w:val="231F1F"/>
          <w:w w:val="105"/>
        </w:rPr>
        <w:t>y</w:t>
      </w:r>
      <w:r>
        <w:rPr>
          <w:color w:val="231F1F"/>
          <w:spacing w:val="-11"/>
          <w:w w:val="105"/>
        </w:rPr>
        <w:t> </w:t>
      </w:r>
      <w:r>
        <w:rPr>
          <w:color w:val="231F1F"/>
          <w:w w:val="105"/>
        </w:rPr>
        <w:t>resultados</w:t>
      </w:r>
      <w:r>
        <w:rPr>
          <w:color w:val="231F1F"/>
          <w:spacing w:val="-10"/>
          <w:w w:val="105"/>
        </w:rPr>
        <w:t> </w:t>
      </w:r>
      <w:r>
        <w:rPr>
          <w:color w:val="231F1F"/>
          <w:w w:val="105"/>
        </w:rPr>
        <w:t>ma- ternos o neonatales. Cuando se preguntó a las mujeres (n=278) si en un futuro parto</w:t>
      </w:r>
      <w:r>
        <w:rPr>
          <w:color w:val="231F1F"/>
          <w:spacing w:val="-1"/>
          <w:w w:val="105"/>
        </w:rPr>
        <w:t> </w:t>
      </w:r>
      <w:r>
        <w:rPr>
          <w:color w:val="231F1F"/>
          <w:w w:val="105"/>
        </w:rPr>
        <w:t>volverían</w:t>
      </w:r>
      <w:r>
        <w:rPr>
          <w:color w:val="231F1F"/>
          <w:spacing w:val="-1"/>
          <w:w w:val="105"/>
        </w:rPr>
        <w:t> </w:t>
      </w:r>
      <w:r>
        <w:rPr>
          <w:color w:val="231F1F"/>
          <w:w w:val="105"/>
        </w:rPr>
        <w:t>a estar en el grupo</w:t>
      </w:r>
      <w:r>
        <w:rPr>
          <w:color w:val="231F1F"/>
          <w:spacing w:val="-1"/>
          <w:w w:val="105"/>
        </w:rPr>
        <w:t> </w:t>
      </w:r>
      <w:r>
        <w:rPr>
          <w:color w:val="231F1F"/>
          <w:w w:val="105"/>
        </w:rPr>
        <w:t>donde</w:t>
      </w:r>
      <w:r>
        <w:rPr>
          <w:color w:val="231F1F"/>
          <w:spacing w:val="-1"/>
          <w:w w:val="105"/>
        </w:rPr>
        <w:t> </w:t>
      </w:r>
      <w:r>
        <w:rPr>
          <w:color w:val="231F1F"/>
          <w:w w:val="105"/>
        </w:rPr>
        <w:t>se</w:t>
      </w:r>
      <w:r>
        <w:rPr>
          <w:color w:val="231F1F"/>
          <w:spacing w:val="-1"/>
          <w:w w:val="105"/>
        </w:rPr>
        <w:t> </w:t>
      </w:r>
      <w:r>
        <w:rPr>
          <w:color w:val="231F1F"/>
          <w:w w:val="105"/>
        </w:rPr>
        <w:t>caminaba, el 99% contestó que</w:t>
      </w:r>
      <w:r>
        <w:rPr>
          <w:color w:val="231F1F"/>
          <w:spacing w:val="-1"/>
          <w:w w:val="105"/>
        </w:rPr>
        <w:t> </w:t>
      </w:r>
      <w:r>
        <w:rPr>
          <w:color w:val="231F1F"/>
          <w:w w:val="105"/>
        </w:rPr>
        <w:t>sí.</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1"/>
        <w:rPr>
          <w:sz w:val="18"/>
        </w:rPr>
      </w:pPr>
    </w:p>
    <w:p>
      <w:pPr>
        <w:spacing w:line="278" w:lineRule="auto" w:before="0"/>
        <w:ind w:left="385" w:right="520" w:hanging="97"/>
        <w:jc w:val="left"/>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47"/>
        <w:rPr>
          <w:rFonts w:ascii="Arial MT"/>
          <w:sz w:val="18"/>
        </w:rPr>
      </w:pPr>
    </w:p>
    <w:p>
      <w:pPr>
        <w:spacing w:line="278" w:lineRule="auto" w:before="0"/>
        <w:ind w:left="365" w:right="514" w:hanging="78"/>
        <w:jc w:val="left"/>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95" w:space="161"/>
            <w:col w:w="1168"/>
          </w:cols>
        </w:sectPr>
      </w:pPr>
    </w:p>
    <w:p>
      <w:pPr>
        <w:pStyle w:val="BodyText"/>
        <w:spacing w:line="242" w:lineRule="auto" w:before="73"/>
        <w:ind w:left="283" w:right="38" w:firstLine="453"/>
        <w:jc w:val="both"/>
      </w:pPr>
      <w:r>
        <w:rPr>
          <w:color w:val="231F1F"/>
          <w:w w:val="110"/>
        </w:rPr>
        <w:t>El</w:t>
      </w:r>
      <w:r>
        <w:rPr>
          <w:color w:val="231F1F"/>
          <w:spacing w:val="-6"/>
          <w:w w:val="110"/>
        </w:rPr>
        <w:t> </w:t>
      </w:r>
      <w:r>
        <w:rPr>
          <w:color w:val="231F1F"/>
          <w:w w:val="110"/>
        </w:rPr>
        <w:t>segundo</w:t>
      </w:r>
      <w:r>
        <w:rPr>
          <w:color w:val="231F1F"/>
          <w:spacing w:val="-6"/>
          <w:w w:val="110"/>
        </w:rPr>
        <w:t> </w:t>
      </w:r>
      <w:r>
        <w:rPr>
          <w:color w:val="231F1F"/>
          <w:w w:val="110"/>
        </w:rPr>
        <w:t>de</w:t>
      </w:r>
      <w:r>
        <w:rPr>
          <w:color w:val="231F1F"/>
          <w:spacing w:val="-5"/>
          <w:w w:val="110"/>
        </w:rPr>
        <w:t> </w:t>
      </w:r>
      <w:r>
        <w:rPr>
          <w:color w:val="231F1F"/>
          <w:w w:val="110"/>
        </w:rPr>
        <w:t>los</w:t>
      </w:r>
      <w:r>
        <w:rPr>
          <w:color w:val="231F1F"/>
          <w:spacing w:val="-5"/>
          <w:w w:val="110"/>
        </w:rPr>
        <w:t> </w:t>
      </w:r>
      <w:r>
        <w:rPr>
          <w:color w:val="231F1F"/>
          <w:w w:val="110"/>
        </w:rPr>
        <w:t>ensayos</w:t>
      </w:r>
      <w:r>
        <w:rPr>
          <w:color w:val="231F1F"/>
          <w:spacing w:val="-4"/>
          <w:w w:val="110"/>
        </w:rPr>
        <w:t> </w:t>
      </w:r>
      <w:r>
        <w:rPr>
          <w:color w:val="231F1F"/>
          <w:w w:val="110"/>
        </w:rPr>
        <w:t>(49),</w:t>
      </w:r>
      <w:r>
        <w:rPr>
          <w:color w:val="231F1F"/>
          <w:spacing w:val="-6"/>
          <w:w w:val="110"/>
        </w:rPr>
        <w:t> </w:t>
      </w:r>
      <w:r>
        <w:rPr>
          <w:color w:val="231F1F"/>
          <w:w w:val="110"/>
        </w:rPr>
        <w:t>realizado</w:t>
      </w:r>
      <w:r>
        <w:rPr>
          <w:color w:val="231F1F"/>
          <w:spacing w:val="-5"/>
          <w:w w:val="110"/>
        </w:rPr>
        <w:t> </w:t>
      </w:r>
      <w:r>
        <w:rPr>
          <w:color w:val="231F1F"/>
          <w:w w:val="110"/>
        </w:rPr>
        <w:t>en</w:t>
      </w:r>
      <w:r>
        <w:rPr>
          <w:color w:val="231F1F"/>
          <w:spacing w:val="-5"/>
          <w:w w:val="110"/>
        </w:rPr>
        <w:t> </w:t>
      </w:r>
      <w:r>
        <w:rPr>
          <w:color w:val="231F1F"/>
          <w:w w:val="110"/>
        </w:rPr>
        <w:t>Australia</w:t>
      </w:r>
      <w:r>
        <w:rPr>
          <w:color w:val="231F1F"/>
          <w:spacing w:val="-5"/>
          <w:w w:val="110"/>
        </w:rPr>
        <w:t> </w:t>
      </w:r>
      <w:r>
        <w:rPr>
          <w:color w:val="231F1F"/>
          <w:w w:val="110"/>
        </w:rPr>
        <w:t>incluyó</w:t>
      </w:r>
      <w:r>
        <w:rPr>
          <w:color w:val="231F1F"/>
          <w:spacing w:val="-5"/>
          <w:w w:val="110"/>
        </w:rPr>
        <w:t> </w:t>
      </w:r>
      <w:r>
        <w:rPr>
          <w:color w:val="231F1F"/>
          <w:w w:val="110"/>
        </w:rPr>
        <w:t>un</w:t>
      </w:r>
      <w:r>
        <w:rPr>
          <w:color w:val="231F1F"/>
          <w:spacing w:val="-5"/>
          <w:w w:val="110"/>
        </w:rPr>
        <w:t> </w:t>
      </w:r>
      <w:r>
        <w:rPr>
          <w:color w:val="231F1F"/>
          <w:w w:val="110"/>
        </w:rPr>
        <w:t>total de</w:t>
      </w:r>
      <w:r>
        <w:rPr>
          <w:color w:val="231F1F"/>
          <w:w w:val="110"/>
        </w:rPr>
        <w:t> 196</w:t>
      </w:r>
      <w:r>
        <w:rPr>
          <w:color w:val="231F1F"/>
          <w:w w:val="110"/>
        </w:rPr>
        <w:t> mujeres</w:t>
      </w:r>
      <w:r>
        <w:rPr>
          <w:color w:val="231F1F"/>
          <w:w w:val="110"/>
        </w:rPr>
        <w:t> en</w:t>
      </w:r>
      <w:r>
        <w:rPr>
          <w:color w:val="231F1F"/>
          <w:w w:val="110"/>
        </w:rPr>
        <w:t> dos</w:t>
      </w:r>
      <w:r>
        <w:rPr>
          <w:color w:val="231F1F"/>
          <w:w w:val="110"/>
        </w:rPr>
        <w:t> grupos, comparando</w:t>
      </w:r>
      <w:r>
        <w:rPr>
          <w:color w:val="231F1F"/>
          <w:w w:val="110"/>
        </w:rPr>
        <w:t> caminar</w:t>
      </w:r>
      <w:r>
        <w:rPr>
          <w:color w:val="231F1F"/>
          <w:w w:val="110"/>
        </w:rPr>
        <w:t> frente</w:t>
      </w:r>
      <w:r>
        <w:rPr>
          <w:color w:val="231F1F"/>
          <w:w w:val="110"/>
        </w:rPr>
        <w:t> a</w:t>
      </w:r>
      <w:r>
        <w:rPr>
          <w:color w:val="231F1F"/>
          <w:w w:val="110"/>
        </w:rPr>
        <w:t> no</w:t>
      </w:r>
      <w:r>
        <w:rPr>
          <w:color w:val="231F1F"/>
          <w:w w:val="110"/>
        </w:rPr>
        <w:t> caminar. Durante el</w:t>
      </w:r>
      <w:r>
        <w:rPr>
          <w:color w:val="231F1F"/>
          <w:spacing w:val="-1"/>
          <w:w w:val="110"/>
        </w:rPr>
        <w:t> </w:t>
      </w:r>
      <w:r>
        <w:rPr>
          <w:color w:val="231F1F"/>
          <w:w w:val="110"/>
        </w:rPr>
        <w:t>reclutamiento, 389 mujeres declinaron</w:t>
      </w:r>
      <w:r>
        <w:rPr>
          <w:color w:val="231F1F"/>
          <w:spacing w:val="-1"/>
          <w:w w:val="110"/>
        </w:rPr>
        <w:t> </w:t>
      </w:r>
      <w:r>
        <w:rPr>
          <w:color w:val="231F1F"/>
          <w:w w:val="110"/>
        </w:rPr>
        <w:t>a participar</w:t>
      </w:r>
      <w:r>
        <w:rPr>
          <w:color w:val="231F1F"/>
          <w:spacing w:val="-1"/>
          <w:w w:val="110"/>
        </w:rPr>
        <w:t> </w:t>
      </w:r>
      <w:r>
        <w:rPr>
          <w:color w:val="231F1F"/>
          <w:w w:val="110"/>
        </w:rPr>
        <w:t>y un 46% de ellas lo hizo por miedo a perder la opción de caminar durante el parto. Del grupo de las 96 mujeres asignadas a caminar el 39% caminaron más de 30 minutos y el tiempo medio de permanecer</w:t>
      </w:r>
      <w:r>
        <w:rPr>
          <w:color w:val="231F1F"/>
          <w:spacing w:val="-1"/>
          <w:w w:val="110"/>
        </w:rPr>
        <w:t> </w:t>
      </w:r>
      <w:r>
        <w:rPr>
          <w:color w:val="231F1F"/>
          <w:w w:val="110"/>
        </w:rPr>
        <w:t>de pie fue de 1,5 horas (DE=0,8 horas).</w:t>
      </w:r>
      <w:r>
        <w:rPr>
          <w:color w:val="231F1F"/>
          <w:spacing w:val="-7"/>
          <w:w w:val="110"/>
        </w:rPr>
        <w:t> </w:t>
      </w:r>
      <w:r>
        <w:rPr>
          <w:color w:val="231F1F"/>
          <w:w w:val="110"/>
        </w:rPr>
        <w:t>No</w:t>
      </w:r>
      <w:r>
        <w:rPr>
          <w:color w:val="231F1F"/>
          <w:spacing w:val="-6"/>
          <w:w w:val="110"/>
        </w:rPr>
        <w:t> </w:t>
      </w:r>
      <w:r>
        <w:rPr>
          <w:color w:val="231F1F"/>
          <w:w w:val="110"/>
        </w:rPr>
        <w:t>se</w:t>
      </w:r>
      <w:r>
        <w:rPr>
          <w:color w:val="231F1F"/>
          <w:spacing w:val="-6"/>
          <w:w w:val="110"/>
        </w:rPr>
        <w:t> </w:t>
      </w:r>
      <w:r>
        <w:rPr>
          <w:color w:val="231F1F"/>
          <w:w w:val="110"/>
        </w:rPr>
        <w:t>encontraron</w:t>
      </w:r>
      <w:r>
        <w:rPr>
          <w:color w:val="231F1F"/>
          <w:spacing w:val="-6"/>
          <w:w w:val="110"/>
        </w:rPr>
        <w:t> </w:t>
      </w:r>
      <w:r>
        <w:rPr>
          <w:color w:val="231F1F"/>
          <w:w w:val="110"/>
        </w:rPr>
        <w:t>diferencias</w:t>
      </w:r>
      <w:r>
        <w:rPr>
          <w:color w:val="231F1F"/>
          <w:spacing w:val="-6"/>
          <w:w w:val="110"/>
        </w:rPr>
        <w:t> </w:t>
      </w:r>
      <w:r>
        <w:rPr>
          <w:color w:val="231F1F"/>
          <w:w w:val="110"/>
        </w:rPr>
        <w:t>entre</w:t>
      </w:r>
      <w:r>
        <w:rPr>
          <w:color w:val="231F1F"/>
          <w:spacing w:val="-6"/>
          <w:w w:val="110"/>
        </w:rPr>
        <w:t> </w:t>
      </w:r>
      <w:r>
        <w:rPr>
          <w:color w:val="231F1F"/>
          <w:w w:val="110"/>
        </w:rPr>
        <w:t>los</w:t>
      </w:r>
      <w:r>
        <w:rPr>
          <w:color w:val="231F1F"/>
          <w:spacing w:val="-7"/>
          <w:w w:val="110"/>
        </w:rPr>
        <w:t> </w:t>
      </w:r>
      <w:r>
        <w:rPr>
          <w:color w:val="231F1F"/>
          <w:w w:val="110"/>
        </w:rPr>
        <w:t>dos</w:t>
      </w:r>
      <w:r>
        <w:rPr>
          <w:color w:val="231F1F"/>
          <w:spacing w:val="-6"/>
          <w:w w:val="110"/>
        </w:rPr>
        <w:t> </w:t>
      </w:r>
      <w:r>
        <w:rPr>
          <w:color w:val="231F1F"/>
          <w:w w:val="110"/>
        </w:rPr>
        <w:t>grupos,</w:t>
      </w:r>
      <w:r>
        <w:rPr>
          <w:color w:val="231F1F"/>
          <w:spacing w:val="-7"/>
          <w:w w:val="110"/>
        </w:rPr>
        <w:t> </w:t>
      </w:r>
      <w:r>
        <w:rPr>
          <w:color w:val="231F1F"/>
          <w:w w:val="110"/>
        </w:rPr>
        <w:t>como</w:t>
      </w:r>
      <w:r>
        <w:rPr>
          <w:color w:val="231F1F"/>
          <w:spacing w:val="-6"/>
          <w:w w:val="110"/>
        </w:rPr>
        <w:t> </w:t>
      </w:r>
      <w:r>
        <w:rPr>
          <w:color w:val="231F1F"/>
          <w:w w:val="110"/>
        </w:rPr>
        <w:t>en</w:t>
      </w:r>
      <w:r>
        <w:rPr>
          <w:color w:val="231F1F"/>
          <w:spacing w:val="-6"/>
          <w:w w:val="110"/>
        </w:rPr>
        <w:t> </w:t>
      </w:r>
      <w:r>
        <w:rPr>
          <w:color w:val="231F1F"/>
          <w:w w:val="110"/>
        </w:rPr>
        <w:t>el</w:t>
      </w:r>
      <w:r>
        <w:rPr>
          <w:color w:val="231F1F"/>
          <w:spacing w:val="-7"/>
          <w:w w:val="110"/>
        </w:rPr>
        <w:t> </w:t>
      </w:r>
      <w:r>
        <w:rPr>
          <w:color w:val="231F1F"/>
          <w:w w:val="110"/>
        </w:rPr>
        <w:t>caso anterior</w:t>
      </w:r>
      <w:r>
        <w:rPr>
          <w:color w:val="231F1F"/>
          <w:spacing w:val="-11"/>
          <w:w w:val="110"/>
        </w:rPr>
        <w:t> </w:t>
      </w:r>
      <w:r>
        <w:rPr>
          <w:color w:val="231F1F"/>
          <w:w w:val="110"/>
        </w:rPr>
        <w:t>para</w:t>
      </w:r>
      <w:r>
        <w:rPr>
          <w:color w:val="231F1F"/>
          <w:spacing w:val="-11"/>
          <w:w w:val="110"/>
        </w:rPr>
        <w:t> </w:t>
      </w:r>
      <w:r>
        <w:rPr>
          <w:color w:val="231F1F"/>
          <w:w w:val="110"/>
        </w:rPr>
        <w:t>resultados</w:t>
      </w:r>
      <w:r>
        <w:rPr>
          <w:color w:val="231F1F"/>
          <w:spacing w:val="-10"/>
          <w:w w:val="110"/>
        </w:rPr>
        <w:t> </w:t>
      </w:r>
      <w:r>
        <w:rPr>
          <w:color w:val="231F1F"/>
          <w:w w:val="110"/>
        </w:rPr>
        <w:t>del</w:t>
      </w:r>
      <w:r>
        <w:rPr>
          <w:color w:val="231F1F"/>
          <w:spacing w:val="-12"/>
          <w:w w:val="110"/>
        </w:rPr>
        <w:t> </w:t>
      </w:r>
      <w:r>
        <w:rPr>
          <w:color w:val="231F1F"/>
          <w:w w:val="110"/>
        </w:rPr>
        <w:t>parto,</w:t>
      </w:r>
      <w:r>
        <w:rPr>
          <w:color w:val="231F1F"/>
          <w:spacing w:val="-12"/>
          <w:w w:val="110"/>
        </w:rPr>
        <w:t> </w:t>
      </w:r>
      <w:r>
        <w:rPr>
          <w:color w:val="231F1F"/>
          <w:w w:val="110"/>
        </w:rPr>
        <w:t>tipo</w:t>
      </w:r>
      <w:r>
        <w:rPr>
          <w:color w:val="231F1F"/>
          <w:spacing w:val="-11"/>
          <w:w w:val="110"/>
        </w:rPr>
        <w:t> </w:t>
      </w:r>
      <w:r>
        <w:rPr>
          <w:color w:val="231F1F"/>
          <w:w w:val="110"/>
        </w:rPr>
        <w:t>de</w:t>
      </w:r>
      <w:r>
        <w:rPr>
          <w:color w:val="231F1F"/>
          <w:spacing w:val="-11"/>
          <w:w w:val="110"/>
        </w:rPr>
        <w:t> </w:t>
      </w:r>
      <w:r>
        <w:rPr>
          <w:color w:val="231F1F"/>
          <w:w w:val="110"/>
        </w:rPr>
        <w:t>nacimiento,</w:t>
      </w:r>
      <w:r>
        <w:rPr>
          <w:color w:val="231F1F"/>
          <w:spacing w:val="-12"/>
          <w:w w:val="110"/>
        </w:rPr>
        <w:t> </w:t>
      </w:r>
      <w:r>
        <w:rPr>
          <w:color w:val="231F1F"/>
          <w:w w:val="110"/>
        </w:rPr>
        <w:t>y</w:t>
      </w:r>
      <w:r>
        <w:rPr>
          <w:color w:val="231F1F"/>
          <w:spacing w:val="-11"/>
          <w:w w:val="110"/>
        </w:rPr>
        <w:t> </w:t>
      </w:r>
      <w:r>
        <w:rPr>
          <w:color w:val="231F1F"/>
          <w:w w:val="110"/>
        </w:rPr>
        <w:t>resultados</w:t>
      </w:r>
      <w:r>
        <w:rPr>
          <w:color w:val="231F1F"/>
          <w:spacing w:val="-10"/>
          <w:w w:val="110"/>
        </w:rPr>
        <w:t> </w:t>
      </w:r>
      <w:r>
        <w:rPr>
          <w:color w:val="231F1F"/>
          <w:w w:val="110"/>
        </w:rPr>
        <w:t>maternos o neonatales.</w:t>
      </w:r>
    </w:p>
    <w:p>
      <w:pPr>
        <w:pStyle w:val="BodyText"/>
        <w:spacing w:line="242" w:lineRule="auto" w:before="105"/>
        <w:ind w:left="283" w:right="40" w:firstLine="453"/>
        <w:jc w:val="both"/>
      </w:pPr>
      <w:r>
        <w:rPr>
          <w:color w:val="231F1F"/>
          <w:w w:val="105"/>
        </w:rPr>
        <w:t>En</w:t>
      </w:r>
      <w:r>
        <w:rPr>
          <w:color w:val="231F1F"/>
          <w:w w:val="105"/>
        </w:rPr>
        <w:t> otro</w:t>
      </w:r>
      <w:r>
        <w:rPr>
          <w:color w:val="231F1F"/>
          <w:w w:val="105"/>
        </w:rPr>
        <w:t> pequeño</w:t>
      </w:r>
      <w:r>
        <w:rPr>
          <w:color w:val="231F1F"/>
          <w:w w:val="105"/>
        </w:rPr>
        <w:t> estudio</w:t>
      </w:r>
      <w:r>
        <w:rPr>
          <w:color w:val="231F1F"/>
          <w:w w:val="105"/>
        </w:rPr>
        <w:t> de</w:t>
      </w:r>
      <w:r>
        <w:rPr>
          <w:color w:val="231F1F"/>
          <w:w w:val="105"/>
        </w:rPr>
        <w:t> EEUU</w:t>
      </w:r>
      <w:r>
        <w:rPr>
          <w:color w:val="231F1F"/>
          <w:w w:val="105"/>
        </w:rPr>
        <w:t> (51)</w:t>
      </w:r>
      <w:r>
        <w:rPr>
          <w:color w:val="231F1F"/>
          <w:w w:val="105"/>
        </w:rPr>
        <w:t> se</w:t>
      </w:r>
      <w:r>
        <w:rPr>
          <w:color w:val="231F1F"/>
          <w:w w:val="105"/>
        </w:rPr>
        <w:t> compararon</w:t>
      </w:r>
      <w:r>
        <w:rPr>
          <w:color w:val="231F1F"/>
          <w:w w:val="105"/>
        </w:rPr>
        <w:t> dos</w:t>
      </w:r>
      <w:r>
        <w:rPr>
          <w:color w:val="231F1F"/>
          <w:w w:val="105"/>
        </w:rPr>
        <w:t> grupos</w:t>
      </w:r>
      <w:r>
        <w:rPr>
          <w:color w:val="231F1F"/>
          <w:w w:val="105"/>
        </w:rPr>
        <w:t> con</w:t>
      </w:r>
      <w:r>
        <w:rPr>
          <w:color w:val="231F1F"/>
          <w:spacing w:val="80"/>
          <w:w w:val="105"/>
        </w:rPr>
        <w:t> </w:t>
      </w:r>
      <w:r>
        <w:rPr>
          <w:color w:val="231F1F"/>
          <w:w w:val="105"/>
        </w:rPr>
        <w:t>20 mujeres cada uno, un grupo que adoptaba posiciones de pie (de rodillas, en cuclillas,</w:t>
      </w:r>
      <w:r>
        <w:rPr>
          <w:color w:val="231F1F"/>
          <w:w w:val="105"/>
        </w:rPr>
        <w:t> andando</w:t>
      </w:r>
      <w:r>
        <w:rPr>
          <w:color w:val="231F1F"/>
          <w:w w:val="105"/>
        </w:rPr>
        <w:t> o</w:t>
      </w:r>
      <w:r>
        <w:rPr>
          <w:color w:val="231F1F"/>
          <w:w w:val="105"/>
        </w:rPr>
        <w:t> sentadas)</w:t>
      </w:r>
      <w:r>
        <w:rPr>
          <w:color w:val="231F1F"/>
          <w:w w:val="105"/>
        </w:rPr>
        <w:t> y</w:t>
      </w:r>
      <w:r>
        <w:rPr>
          <w:color w:val="231F1F"/>
          <w:w w:val="105"/>
        </w:rPr>
        <w:t> el</w:t>
      </w:r>
      <w:r>
        <w:rPr>
          <w:color w:val="231F1F"/>
          <w:w w:val="105"/>
        </w:rPr>
        <w:t> otro</w:t>
      </w:r>
      <w:r>
        <w:rPr>
          <w:color w:val="231F1F"/>
          <w:w w:val="105"/>
        </w:rPr>
        <w:t> posición</w:t>
      </w:r>
      <w:r>
        <w:rPr>
          <w:color w:val="231F1F"/>
          <w:w w:val="105"/>
        </w:rPr>
        <w:t> acostada</w:t>
      </w:r>
      <w:r>
        <w:rPr>
          <w:color w:val="231F1F"/>
          <w:w w:val="105"/>
        </w:rPr>
        <w:t> (posición</w:t>
      </w:r>
      <w:r>
        <w:rPr>
          <w:color w:val="231F1F"/>
          <w:w w:val="105"/>
        </w:rPr>
        <w:t> supina, lateral</w:t>
      </w:r>
      <w:r>
        <w:rPr>
          <w:color w:val="231F1F"/>
          <w:spacing w:val="-4"/>
          <w:w w:val="105"/>
        </w:rPr>
        <w:t> </w:t>
      </w:r>
      <w:r>
        <w:rPr>
          <w:color w:val="231F1F"/>
          <w:w w:val="105"/>
        </w:rPr>
        <w:t>o</w:t>
      </w:r>
      <w:r>
        <w:rPr>
          <w:color w:val="231F1F"/>
          <w:spacing w:val="-3"/>
          <w:w w:val="105"/>
        </w:rPr>
        <w:t> </w:t>
      </w:r>
      <w:r>
        <w:rPr>
          <w:color w:val="231F1F"/>
          <w:w w:val="105"/>
        </w:rPr>
        <w:t>semi-acostada).</w:t>
      </w:r>
      <w:r>
        <w:rPr>
          <w:color w:val="231F1F"/>
          <w:spacing w:val="-3"/>
          <w:w w:val="105"/>
        </w:rPr>
        <w:t> </w:t>
      </w:r>
      <w:r>
        <w:rPr>
          <w:color w:val="231F1F"/>
          <w:w w:val="105"/>
        </w:rPr>
        <w:t>Las</w:t>
      </w:r>
      <w:r>
        <w:rPr>
          <w:color w:val="231F1F"/>
          <w:spacing w:val="-3"/>
          <w:w w:val="105"/>
        </w:rPr>
        <w:t> </w:t>
      </w:r>
      <w:r>
        <w:rPr>
          <w:color w:val="231F1F"/>
          <w:w w:val="105"/>
        </w:rPr>
        <w:t>mujeres</w:t>
      </w:r>
      <w:r>
        <w:rPr>
          <w:color w:val="231F1F"/>
          <w:spacing w:val="-4"/>
          <w:w w:val="105"/>
        </w:rPr>
        <w:t> </w:t>
      </w:r>
      <w:r>
        <w:rPr>
          <w:color w:val="231F1F"/>
          <w:w w:val="105"/>
        </w:rPr>
        <w:t>asignadas</w:t>
      </w:r>
      <w:r>
        <w:rPr>
          <w:color w:val="231F1F"/>
          <w:spacing w:val="-2"/>
          <w:w w:val="105"/>
        </w:rPr>
        <w:t> </w:t>
      </w:r>
      <w:r>
        <w:rPr>
          <w:color w:val="231F1F"/>
          <w:w w:val="105"/>
        </w:rPr>
        <w:t>al</w:t>
      </w:r>
      <w:r>
        <w:rPr>
          <w:color w:val="231F1F"/>
          <w:spacing w:val="-4"/>
          <w:w w:val="105"/>
        </w:rPr>
        <w:t> </w:t>
      </w:r>
      <w:r>
        <w:rPr>
          <w:color w:val="231F1F"/>
          <w:w w:val="105"/>
        </w:rPr>
        <w:t>grupo</w:t>
      </w:r>
      <w:r>
        <w:rPr>
          <w:color w:val="231F1F"/>
          <w:spacing w:val="-4"/>
          <w:w w:val="105"/>
        </w:rPr>
        <w:t> </w:t>
      </w:r>
      <w:r>
        <w:rPr>
          <w:color w:val="231F1F"/>
          <w:w w:val="105"/>
        </w:rPr>
        <w:t>de</w:t>
      </w:r>
      <w:r>
        <w:rPr>
          <w:color w:val="231F1F"/>
          <w:spacing w:val="-4"/>
          <w:w w:val="105"/>
        </w:rPr>
        <w:t> </w:t>
      </w:r>
      <w:r>
        <w:rPr>
          <w:color w:val="231F1F"/>
          <w:w w:val="105"/>
        </w:rPr>
        <w:t>pie</w:t>
      </w:r>
      <w:r>
        <w:rPr>
          <w:color w:val="231F1F"/>
          <w:spacing w:val="-3"/>
          <w:w w:val="105"/>
        </w:rPr>
        <w:t> </w:t>
      </w:r>
      <w:r>
        <w:rPr>
          <w:color w:val="231F1F"/>
          <w:w w:val="105"/>
        </w:rPr>
        <w:t>tenían</w:t>
      </w:r>
      <w:r>
        <w:rPr>
          <w:color w:val="231F1F"/>
          <w:spacing w:val="-4"/>
          <w:w w:val="105"/>
        </w:rPr>
        <w:t> </w:t>
      </w:r>
      <w:r>
        <w:rPr>
          <w:color w:val="231F1F"/>
          <w:w w:val="105"/>
        </w:rPr>
        <w:t>una</w:t>
      </w:r>
      <w:r>
        <w:rPr>
          <w:color w:val="231F1F"/>
          <w:spacing w:val="-4"/>
          <w:w w:val="105"/>
        </w:rPr>
        <w:t> </w:t>
      </w:r>
      <w:r>
        <w:rPr>
          <w:color w:val="231F1F"/>
          <w:w w:val="105"/>
        </w:rPr>
        <w:t>fase activa</w:t>
      </w:r>
      <w:r>
        <w:rPr>
          <w:color w:val="231F1F"/>
          <w:w w:val="105"/>
        </w:rPr>
        <w:t> significativamente</w:t>
      </w:r>
      <w:r>
        <w:rPr>
          <w:color w:val="231F1F"/>
          <w:w w:val="105"/>
        </w:rPr>
        <w:t> más</w:t>
      </w:r>
      <w:r>
        <w:rPr>
          <w:color w:val="231F1F"/>
          <w:w w:val="105"/>
        </w:rPr>
        <w:t> corta</w:t>
      </w:r>
      <w:r>
        <w:rPr>
          <w:color w:val="231F1F"/>
          <w:w w:val="105"/>
        </w:rPr>
        <w:t> de</w:t>
      </w:r>
      <w:r>
        <w:rPr>
          <w:color w:val="231F1F"/>
          <w:w w:val="105"/>
        </w:rPr>
        <w:t> parto:</w:t>
      </w:r>
      <w:r>
        <w:rPr>
          <w:color w:val="231F1F"/>
          <w:w w:val="105"/>
        </w:rPr>
        <w:t> DM</w:t>
      </w:r>
      <w:r>
        <w:rPr>
          <w:color w:val="231F1F"/>
          <w:w w:val="105"/>
        </w:rPr>
        <w:t> 90,25</w:t>
      </w:r>
      <w:r>
        <w:rPr>
          <w:color w:val="231F1F"/>
          <w:w w:val="105"/>
        </w:rPr>
        <w:t> minutos;</w:t>
      </w:r>
      <w:r>
        <w:rPr>
          <w:color w:val="231F1F"/>
          <w:w w:val="105"/>
        </w:rPr>
        <w:t> p=0,003</w:t>
      </w:r>
      <w:r>
        <w:rPr>
          <w:color w:val="231F1F"/>
          <w:w w:val="105"/>
        </w:rPr>
        <w:t> y tenían contracciones más largas y más frecuentes que las mujeres en el grupo reclinado.</w:t>
      </w:r>
      <w:r>
        <w:rPr>
          <w:color w:val="231F1F"/>
          <w:w w:val="105"/>
        </w:rPr>
        <w:t> No</w:t>
      </w:r>
      <w:r>
        <w:rPr>
          <w:color w:val="231F1F"/>
          <w:w w:val="105"/>
        </w:rPr>
        <w:t> hubo</w:t>
      </w:r>
      <w:r>
        <w:rPr>
          <w:color w:val="231F1F"/>
          <w:w w:val="105"/>
        </w:rPr>
        <w:t> diferencias</w:t>
      </w:r>
      <w:r>
        <w:rPr>
          <w:color w:val="231F1F"/>
          <w:w w:val="105"/>
        </w:rPr>
        <w:t> significativas</w:t>
      </w:r>
      <w:r>
        <w:rPr>
          <w:color w:val="231F1F"/>
          <w:w w:val="105"/>
        </w:rPr>
        <w:t> relativas</w:t>
      </w:r>
      <w:r>
        <w:rPr>
          <w:color w:val="231F1F"/>
          <w:w w:val="105"/>
        </w:rPr>
        <w:t> al</w:t>
      </w:r>
      <w:r>
        <w:rPr>
          <w:color w:val="231F1F"/>
          <w:w w:val="105"/>
        </w:rPr>
        <w:t> confort</w:t>
      </w:r>
      <w:r>
        <w:rPr>
          <w:color w:val="231F1F"/>
          <w:w w:val="105"/>
        </w:rPr>
        <w:t> físico</w:t>
      </w:r>
      <w:r>
        <w:rPr>
          <w:color w:val="231F1F"/>
          <w:w w:val="105"/>
        </w:rPr>
        <w:t> de</w:t>
      </w:r>
      <w:r>
        <w:rPr>
          <w:color w:val="231F1F"/>
          <w:w w:val="105"/>
        </w:rPr>
        <w:t> la </w:t>
      </w:r>
      <w:r>
        <w:rPr>
          <w:color w:val="231F1F"/>
          <w:spacing w:val="-2"/>
          <w:w w:val="105"/>
        </w:rPr>
        <w:t>madre.</w:t>
      </w:r>
    </w:p>
    <w:p>
      <w:pPr>
        <w:pStyle w:val="BodyText"/>
        <w:spacing w:line="244" w:lineRule="auto" w:before="101"/>
        <w:ind w:left="283" w:right="39" w:firstLine="453"/>
        <w:jc w:val="both"/>
      </w:pPr>
      <w:r>
        <w:rPr>
          <w:color w:val="231F1F"/>
          <w:w w:val="105"/>
        </w:rPr>
        <w:t>Un ensayo argentino (50) comparó el dolor en dos grupos de 50 mujeres, un grupo que alternaban cada 15 minutos posiciones verticales (sentarse, estar de</w:t>
      </w:r>
      <w:r>
        <w:rPr>
          <w:color w:val="231F1F"/>
          <w:w w:val="105"/>
        </w:rPr>
        <w:t> pie</w:t>
      </w:r>
      <w:r>
        <w:rPr>
          <w:color w:val="231F1F"/>
          <w:w w:val="105"/>
        </w:rPr>
        <w:t> o</w:t>
      </w:r>
      <w:r>
        <w:rPr>
          <w:color w:val="231F1F"/>
          <w:w w:val="105"/>
        </w:rPr>
        <w:t> andar)</w:t>
      </w:r>
      <w:r>
        <w:rPr>
          <w:color w:val="231F1F"/>
          <w:w w:val="105"/>
        </w:rPr>
        <w:t> y</w:t>
      </w:r>
      <w:r>
        <w:rPr>
          <w:color w:val="231F1F"/>
          <w:w w:val="105"/>
        </w:rPr>
        <w:t> otro</w:t>
      </w:r>
      <w:r>
        <w:rPr>
          <w:color w:val="231F1F"/>
          <w:w w:val="105"/>
        </w:rPr>
        <w:t> grupo</w:t>
      </w:r>
      <w:r>
        <w:rPr>
          <w:color w:val="231F1F"/>
          <w:w w:val="105"/>
        </w:rPr>
        <w:t> que</w:t>
      </w:r>
      <w:r>
        <w:rPr>
          <w:color w:val="231F1F"/>
          <w:w w:val="105"/>
        </w:rPr>
        <w:t> alternaban</w:t>
      </w:r>
      <w:r>
        <w:rPr>
          <w:color w:val="231F1F"/>
          <w:w w:val="105"/>
        </w:rPr>
        <w:t> posiciones</w:t>
      </w:r>
      <w:r>
        <w:rPr>
          <w:color w:val="231F1F"/>
          <w:w w:val="105"/>
        </w:rPr>
        <w:t> horizontales</w:t>
      </w:r>
      <w:r>
        <w:rPr>
          <w:color w:val="231F1F"/>
          <w:w w:val="105"/>
        </w:rPr>
        <w:t> (acosta-</w:t>
      </w:r>
      <w:r>
        <w:rPr>
          <w:color w:val="231F1F"/>
          <w:spacing w:val="40"/>
          <w:w w:val="105"/>
        </w:rPr>
        <w:t> </w:t>
      </w:r>
      <w:r>
        <w:rPr>
          <w:color w:val="231F1F"/>
          <w:w w:val="105"/>
        </w:rPr>
        <w:t>da de lado o de espaldas), realizando controles para cada intervalo de dilata- ción (2–3 cm, 4–5 cm, 6–7 cm y 8–9 cm). No se encontraron diferencias en el dolor durante la primera mitad de la primera etapa del parto (entre 2 y 5 cm) entre los dos grupos. Pero a medida que el parto avanzaba, el grado de dolor, tanto de la contracción abdominal como de la zona lumbar, fue significativa- mente más intenso en la posición horizontal.</w:t>
      </w:r>
    </w:p>
    <w:p>
      <w:pPr>
        <w:pStyle w:val="BodyText"/>
        <w:spacing w:line="244" w:lineRule="auto" w:before="112"/>
        <w:ind w:left="283" w:right="38" w:firstLine="453"/>
        <w:jc w:val="both"/>
      </w:pPr>
      <w:r>
        <w:rPr>
          <w:color w:val="231F1F"/>
          <w:w w:val="110"/>
        </w:rPr>
        <w:t>El</w:t>
      </w:r>
      <w:r>
        <w:rPr>
          <w:color w:val="231F1F"/>
          <w:spacing w:val="-16"/>
          <w:w w:val="110"/>
        </w:rPr>
        <w:t> </w:t>
      </w:r>
      <w:r>
        <w:rPr>
          <w:color w:val="231F1F"/>
          <w:w w:val="110"/>
        </w:rPr>
        <w:t>último</w:t>
      </w:r>
      <w:r>
        <w:rPr>
          <w:color w:val="231F1F"/>
          <w:spacing w:val="-15"/>
          <w:w w:val="110"/>
        </w:rPr>
        <w:t> </w:t>
      </w:r>
      <w:r>
        <w:rPr>
          <w:color w:val="231F1F"/>
          <w:w w:val="110"/>
        </w:rPr>
        <w:t>de</w:t>
      </w:r>
      <w:r>
        <w:rPr>
          <w:color w:val="231F1F"/>
          <w:spacing w:val="-15"/>
          <w:w w:val="110"/>
        </w:rPr>
        <w:t> </w:t>
      </w:r>
      <w:r>
        <w:rPr>
          <w:color w:val="231F1F"/>
          <w:w w:val="110"/>
        </w:rPr>
        <w:t>los</w:t>
      </w:r>
      <w:r>
        <w:rPr>
          <w:color w:val="231F1F"/>
          <w:spacing w:val="-15"/>
          <w:w w:val="110"/>
        </w:rPr>
        <w:t> </w:t>
      </w:r>
      <w:r>
        <w:rPr>
          <w:color w:val="231F1F"/>
          <w:w w:val="110"/>
        </w:rPr>
        <w:t>ECAs</w:t>
      </w:r>
      <w:r>
        <w:rPr>
          <w:color w:val="231F1F"/>
          <w:spacing w:val="-15"/>
          <w:w w:val="110"/>
        </w:rPr>
        <w:t> </w:t>
      </w:r>
      <w:r>
        <w:rPr>
          <w:color w:val="231F1F"/>
          <w:w w:val="110"/>
        </w:rPr>
        <w:t>incluidos</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guía</w:t>
      </w:r>
      <w:r>
        <w:rPr>
          <w:color w:val="231F1F"/>
          <w:spacing w:val="-16"/>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un</w:t>
      </w:r>
      <w:r>
        <w:rPr>
          <w:color w:val="231F1F"/>
          <w:spacing w:val="-15"/>
          <w:w w:val="110"/>
        </w:rPr>
        <w:t> </w:t>
      </w:r>
      <w:r>
        <w:rPr>
          <w:color w:val="231F1F"/>
          <w:w w:val="110"/>
        </w:rPr>
        <w:t>pequeño</w:t>
      </w:r>
      <w:r>
        <w:rPr>
          <w:color w:val="231F1F"/>
          <w:spacing w:val="-15"/>
          <w:w w:val="110"/>
        </w:rPr>
        <w:t> </w:t>
      </w:r>
      <w:r>
        <w:rPr>
          <w:color w:val="231F1F"/>
          <w:w w:val="110"/>
        </w:rPr>
        <w:t>estu- dio realizado en el Reino Unido (52) con un NE=1-, también comparó el efecto de caminar</w:t>
      </w:r>
      <w:r>
        <w:rPr>
          <w:color w:val="231F1F"/>
          <w:spacing w:val="-1"/>
          <w:w w:val="110"/>
        </w:rPr>
        <w:t> </w:t>
      </w:r>
      <w:r>
        <w:rPr>
          <w:color w:val="231F1F"/>
          <w:w w:val="110"/>
        </w:rPr>
        <w:t>frente a no hacerlo</w:t>
      </w:r>
      <w:r>
        <w:rPr>
          <w:color w:val="231F1F"/>
          <w:spacing w:val="-1"/>
          <w:w w:val="110"/>
        </w:rPr>
        <w:t> </w:t>
      </w:r>
      <w:r>
        <w:rPr>
          <w:color w:val="231F1F"/>
          <w:w w:val="110"/>
        </w:rPr>
        <w:t>en 68 mujeres.</w:t>
      </w:r>
      <w:r>
        <w:rPr>
          <w:color w:val="231F1F"/>
          <w:spacing w:val="-1"/>
          <w:w w:val="110"/>
        </w:rPr>
        <w:t> </w:t>
      </w:r>
      <w:r>
        <w:rPr>
          <w:color w:val="231F1F"/>
          <w:w w:val="110"/>
        </w:rPr>
        <w:t>Las</w:t>
      </w:r>
      <w:r>
        <w:rPr>
          <w:color w:val="231F1F"/>
          <w:spacing w:val="-1"/>
          <w:w w:val="110"/>
        </w:rPr>
        <w:t> </w:t>
      </w:r>
      <w:r>
        <w:rPr>
          <w:color w:val="231F1F"/>
          <w:w w:val="110"/>
        </w:rPr>
        <w:t>mujeres incluidas </w:t>
      </w:r>
      <w:r>
        <w:rPr>
          <w:color w:val="231F1F"/>
          <w:spacing w:val="-2"/>
          <w:w w:val="110"/>
        </w:rPr>
        <w:t>fueron</w:t>
      </w:r>
      <w:r>
        <w:rPr>
          <w:color w:val="231F1F"/>
          <w:spacing w:val="-5"/>
          <w:w w:val="110"/>
        </w:rPr>
        <w:t> </w:t>
      </w:r>
      <w:r>
        <w:rPr>
          <w:color w:val="231F1F"/>
          <w:spacing w:val="-2"/>
          <w:w w:val="110"/>
        </w:rPr>
        <w:t>seleccionadas</w:t>
      </w:r>
      <w:r>
        <w:rPr>
          <w:color w:val="231F1F"/>
          <w:spacing w:val="-7"/>
          <w:w w:val="110"/>
        </w:rPr>
        <w:t> </w:t>
      </w:r>
      <w:r>
        <w:rPr>
          <w:color w:val="231F1F"/>
          <w:spacing w:val="-2"/>
          <w:w w:val="110"/>
        </w:rPr>
        <w:t>de</w:t>
      </w:r>
      <w:r>
        <w:rPr>
          <w:color w:val="231F1F"/>
          <w:spacing w:val="-6"/>
          <w:w w:val="110"/>
        </w:rPr>
        <w:t> </w:t>
      </w:r>
      <w:r>
        <w:rPr>
          <w:color w:val="231F1F"/>
          <w:spacing w:val="-2"/>
          <w:w w:val="110"/>
        </w:rPr>
        <w:t>un</w:t>
      </w:r>
      <w:r>
        <w:rPr>
          <w:color w:val="231F1F"/>
          <w:spacing w:val="-6"/>
          <w:w w:val="110"/>
        </w:rPr>
        <w:t> </w:t>
      </w:r>
      <w:r>
        <w:rPr>
          <w:color w:val="231F1F"/>
          <w:spacing w:val="-2"/>
          <w:w w:val="110"/>
        </w:rPr>
        <w:t>grupo</w:t>
      </w:r>
      <w:r>
        <w:rPr>
          <w:color w:val="231F1F"/>
          <w:spacing w:val="-6"/>
          <w:w w:val="110"/>
        </w:rPr>
        <w:t> </w:t>
      </w:r>
      <w:r>
        <w:rPr>
          <w:color w:val="231F1F"/>
          <w:spacing w:val="-2"/>
          <w:w w:val="110"/>
        </w:rPr>
        <w:t>de</w:t>
      </w:r>
      <w:r>
        <w:rPr>
          <w:color w:val="231F1F"/>
          <w:spacing w:val="-6"/>
          <w:w w:val="110"/>
        </w:rPr>
        <w:t> </w:t>
      </w:r>
      <w:r>
        <w:rPr>
          <w:color w:val="231F1F"/>
          <w:spacing w:val="-2"/>
          <w:w w:val="110"/>
        </w:rPr>
        <w:t>mujeres</w:t>
      </w:r>
      <w:r>
        <w:rPr>
          <w:color w:val="231F1F"/>
          <w:spacing w:val="-6"/>
          <w:w w:val="110"/>
        </w:rPr>
        <w:t> </w:t>
      </w:r>
      <w:r>
        <w:rPr>
          <w:color w:val="231F1F"/>
          <w:spacing w:val="-2"/>
          <w:w w:val="110"/>
        </w:rPr>
        <w:t>que</w:t>
      </w:r>
      <w:r>
        <w:rPr>
          <w:color w:val="231F1F"/>
          <w:spacing w:val="-6"/>
          <w:w w:val="110"/>
        </w:rPr>
        <w:t> </w:t>
      </w:r>
      <w:r>
        <w:rPr>
          <w:color w:val="231F1F"/>
          <w:spacing w:val="-2"/>
          <w:w w:val="110"/>
        </w:rPr>
        <w:t>antenatalmente</w:t>
      </w:r>
      <w:r>
        <w:rPr>
          <w:color w:val="231F1F"/>
          <w:spacing w:val="-6"/>
          <w:w w:val="110"/>
        </w:rPr>
        <w:t> </w:t>
      </w:r>
      <w:r>
        <w:rPr>
          <w:color w:val="231F1F"/>
          <w:spacing w:val="-2"/>
          <w:w w:val="110"/>
        </w:rPr>
        <w:t>expresaron </w:t>
      </w:r>
      <w:r>
        <w:rPr>
          <w:color w:val="231F1F"/>
          <w:w w:val="110"/>
        </w:rPr>
        <w:t>querer</w:t>
      </w:r>
      <w:r>
        <w:rPr>
          <w:color w:val="231F1F"/>
          <w:spacing w:val="-10"/>
          <w:w w:val="110"/>
        </w:rPr>
        <w:t> </w:t>
      </w:r>
      <w:r>
        <w:rPr>
          <w:color w:val="231F1F"/>
          <w:w w:val="110"/>
        </w:rPr>
        <w:t>caminar.</w:t>
      </w:r>
      <w:r>
        <w:rPr>
          <w:color w:val="231F1F"/>
          <w:spacing w:val="-10"/>
          <w:w w:val="110"/>
        </w:rPr>
        <w:t> </w:t>
      </w:r>
      <w:r>
        <w:rPr>
          <w:color w:val="231F1F"/>
          <w:w w:val="110"/>
        </w:rPr>
        <w:t>Se</w:t>
      </w:r>
      <w:r>
        <w:rPr>
          <w:color w:val="231F1F"/>
          <w:spacing w:val="-10"/>
          <w:w w:val="110"/>
        </w:rPr>
        <w:t> </w:t>
      </w:r>
      <w:r>
        <w:rPr>
          <w:color w:val="231F1F"/>
          <w:w w:val="110"/>
        </w:rPr>
        <w:t>encontraron</w:t>
      </w:r>
      <w:r>
        <w:rPr>
          <w:color w:val="231F1F"/>
          <w:spacing w:val="-9"/>
          <w:w w:val="110"/>
        </w:rPr>
        <w:t> </w:t>
      </w:r>
      <w:r>
        <w:rPr>
          <w:color w:val="231F1F"/>
          <w:w w:val="110"/>
        </w:rPr>
        <w:t>diferencias</w:t>
      </w:r>
      <w:r>
        <w:rPr>
          <w:color w:val="231F1F"/>
          <w:spacing w:val="-11"/>
          <w:w w:val="110"/>
        </w:rPr>
        <w:t> </w:t>
      </w:r>
      <w:r>
        <w:rPr>
          <w:color w:val="231F1F"/>
          <w:w w:val="110"/>
        </w:rPr>
        <w:t>entre</w:t>
      </w:r>
      <w:r>
        <w:rPr>
          <w:color w:val="231F1F"/>
          <w:spacing w:val="-10"/>
          <w:w w:val="110"/>
        </w:rPr>
        <w:t> </w:t>
      </w:r>
      <w:r>
        <w:rPr>
          <w:color w:val="231F1F"/>
          <w:w w:val="110"/>
        </w:rPr>
        <w:t>los</w:t>
      </w:r>
      <w:r>
        <w:rPr>
          <w:color w:val="231F1F"/>
          <w:spacing w:val="-10"/>
          <w:w w:val="110"/>
        </w:rPr>
        <w:t> </w:t>
      </w:r>
      <w:r>
        <w:rPr>
          <w:color w:val="231F1F"/>
          <w:w w:val="110"/>
        </w:rPr>
        <w:t>grupos,</w:t>
      </w:r>
      <w:r>
        <w:rPr>
          <w:color w:val="231F1F"/>
          <w:spacing w:val="-10"/>
          <w:w w:val="110"/>
        </w:rPr>
        <w:t> </w:t>
      </w:r>
      <w:r>
        <w:rPr>
          <w:color w:val="231F1F"/>
          <w:w w:val="110"/>
        </w:rPr>
        <w:t>con</w:t>
      </w:r>
      <w:r>
        <w:rPr>
          <w:color w:val="231F1F"/>
          <w:spacing w:val="-9"/>
          <w:w w:val="110"/>
        </w:rPr>
        <w:t> </w:t>
      </w:r>
      <w:r>
        <w:rPr>
          <w:color w:val="231F1F"/>
          <w:w w:val="110"/>
        </w:rPr>
        <w:t>una</w:t>
      </w:r>
      <w:r>
        <w:rPr>
          <w:color w:val="231F1F"/>
          <w:spacing w:val="-10"/>
          <w:w w:val="110"/>
        </w:rPr>
        <w:t> </w:t>
      </w:r>
      <w:r>
        <w:rPr>
          <w:color w:val="231F1F"/>
          <w:w w:val="110"/>
        </w:rPr>
        <w:t>menor necesidad de analgesia a favor del grupo que caminaba, con contracciones </w:t>
      </w:r>
      <w:r>
        <w:rPr>
          <w:color w:val="231F1F"/>
        </w:rPr>
        <w:t>menos frecuentes y más amplias, disminución de la duración del parto, mayor </w:t>
      </w:r>
      <w:r>
        <w:rPr>
          <w:color w:val="231F1F"/>
          <w:w w:val="110"/>
        </w:rPr>
        <w:t>número</w:t>
      </w:r>
      <w:r>
        <w:rPr>
          <w:color w:val="231F1F"/>
          <w:spacing w:val="-16"/>
          <w:w w:val="110"/>
        </w:rPr>
        <w:t> </w:t>
      </w:r>
      <w:r>
        <w:rPr>
          <w:color w:val="231F1F"/>
          <w:w w:val="110"/>
        </w:rPr>
        <w:t>de</w:t>
      </w:r>
      <w:r>
        <w:rPr>
          <w:color w:val="231F1F"/>
          <w:spacing w:val="-15"/>
          <w:w w:val="110"/>
        </w:rPr>
        <w:t> </w:t>
      </w:r>
      <w:r>
        <w:rPr>
          <w:color w:val="231F1F"/>
          <w:w w:val="110"/>
        </w:rPr>
        <w:t>partos</w:t>
      </w:r>
      <w:r>
        <w:rPr>
          <w:color w:val="231F1F"/>
          <w:spacing w:val="-15"/>
          <w:w w:val="110"/>
        </w:rPr>
        <w:t> </w:t>
      </w:r>
      <w:r>
        <w:rPr>
          <w:color w:val="231F1F"/>
          <w:w w:val="110"/>
        </w:rPr>
        <w:t>normales</w:t>
      </w:r>
      <w:r>
        <w:rPr>
          <w:color w:val="231F1F"/>
          <w:spacing w:val="-15"/>
          <w:w w:val="110"/>
        </w:rPr>
        <w:t> </w:t>
      </w:r>
      <w:r>
        <w:rPr>
          <w:color w:val="231F1F"/>
          <w:w w:val="110"/>
        </w:rPr>
        <w:t>y</w:t>
      </w:r>
      <w:r>
        <w:rPr>
          <w:color w:val="231F1F"/>
          <w:spacing w:val="-15"/>
          <w:w w:val="110"/>
        </w:rPr>
        <w:t> </w:t>
      </w:r>
      <w:r>
        <w:rPr>
          <w:color w:val="231F1F"/>
          <w:w w:val="110"/>
        </w:rPr>
        <w:t>niños</w:t>
      </w:r>
      <w:r>
        <w:rPr>
          <w:color w:val="231F1F"/>
          <w:spacing w:val="-15"/>
          <w:w w:val="110"/>
        </w:rPr>
        <w:t> </w:t>
      </w:r>
      <w:r>
        <w:rPr>
          <w:color w:val="231F1F"/>
          <w:w w:val="110"/>
        </w:rPr>
        <w:t>con</w:t>
      </w:r>
      <w:r>
        <w:rPr>
          <w:color w:val="231F1F"/>
          <w:spacing w:val="-15"/>
          <w:w w:val="110"/>
        </w:rPr>
        <w:t> </w:t>
      </w:r>
      <w:r>
        <w:rPr>
          <w:color w:val="231F1F"/>
          <w:w w:val="110"/>
        </w:rPr>
        <w:t>mayor</w:t>
      </w:r>
      <w:r>
        <w:rPr>
          <w:color w:val="231F1F"/>
          <w:spacing w:val="-15"/>
          <w:w w:val="110"/>
        </w:rPr>
        <w:t> </w:t>
      </w:r>
      <w:r>
        <w:rPr>
          <w:color w:val="231F1F"/>
          <w:w w:val="110"/>
        </w:rPr>
        <w:t>Apgar.</w:t>
      </w:r>
      <w:r>
        <w:rPr>
          <w:color w:val="231F1F"/>
          <w:spacing w:val="-16"/>
          <w:w w:val="110"/>
        </w:rPr>
        <w:t> </w:t>
      </w:r>
      <w:r>
        <w:rPr>
          <w:color w:val="231F1F"/>
          <w:w w:val="110"/>
        </w:rPr>
        <w:t>Caminaron</w:t>
      </w:r>
      <w:r>
        <w:rPr>
          <w:color w:val="231F1F"/>
          <w:spacing w:val="-15"/>
          <w:w w:val="110"/>
        </w:rPr>
        <w:t> </w:t>
      </w:r>
      <w:r>
        <w:rPr>
          <w:color w:val="231F1F"/>
          <w:w w:val="110"/>
        </w:rPr>
        <w:t>una</w:t>
      </w:r>
      <w:r>
        <w:rPr>
          <w:color w:val="231F1F"/>
          <w:spacing w:val="-15"/>
          <w:w w:val="110"/>
        </w:rPr>
        <w:t> </w:t>
      </w:r>
      <w:r>
        <w:rPr>
          <w:color w:val="231F1F"/>
          <w:w w:val="110"/>
        </w:rPr>
        <w:t>media de 2,2 horas con un rango entre (0,8 – 8,3) horas.</w:t>
      </w:r>
    </w:p>
    <w:p>
      <w:pPr>
        <w:pStyle w:val="BodyText"/>
        <w:spacing w:before="78"/>
      </w:pPr>
    </w:p>
    <w:p>
      <w:pPr>
        <w:pStyle w:val="Heading5"/>
        <w:jc w:val="both"/>
      </w:pPr>
      <w:r>
        <w:rPr>
          <w:color w:val="231F1F"/>
        </w:rPr>
        <w:t>Movilización</w:t>
      </w:r>
      <w:r>
        <w:rPr>
          <w:color w:val="231F1F"/>
          <w:spacing w:val="-7"/>
        </w:rPr>
        <w:t> </w:t>
      </w:r>
      <w:r>
        <w:rPr>
          <w:color w:val="231F1F"/>
        </w:rPr>
        <w:t>de</w:t>
      </w:r>
      <w:r>
        <w:rPr>
          <w:color w:val="231F1F"/>
          <w:spacing w:val="-9"/>
        </w:rPr>
        <w:t> </w:t>
      </w:r>
      <w:r>
        <w:rPr>
          <w:color w:val="231F1F"/>
        </w:rPr>
        <w:t>mujeres</w:t>
      </w:r>
      <w:r>
        <w:rPr>
          <w:color w:val="231F1F"/>
          <w:spacing w:val="-7"/>
        </w:rPr>
        <w:t> </w:t>
      </w:r>
      <w:r>
        <w:rPr>
          <w:color w:val="231F1F"/>
        </w:rPr>
        <w:t>con</w:t>
      </w:r>
      <w:r>
        <w:rPr>
          <w:color w:val="231F1F"/>
          <w:spacing w:val="-5"/>
        </w:rPr>
        <w:t> </w:t>
      </w:r>
      <w:r>
        <w:rPr>
          <w:color w:val="231F1F"/>
          <w:spacing w:val="-2"/>
        </w:rPr>
        <w:t>anestesia</w:t>
      </w:r>
    </w:p>
    <w:p>
      <w:pPr>
        <w:pStyle w:val="BodyText"/>
        <w:spacing w:line="247" w:lineRule="auto" w:before="210"/>
        <w:ind w:left="283" w:right="46"/>
        <w:jc w:val="both"/>
      </w:pPr>
      <w:r>
        <w:rPr>
          <w:color w:val="231F1F"/>
          <w:w w:val="105"/>
        </w:rPr>
        <w:t>La guía NICE (10) también aborda la posición del parto cuando existe anal- gesia tanto en la primera etapa, como en la segunda etapa del parto, desarro- llada en el capítulo correspondiente a la segunda etapa del parto (capítulo 5).</w:t>
      </w:r>
    </w:p>
    <w:p>
      <w:pPr>
        <w:pStyle w:val="BodyText"/>
        <w:spacing w:line="249" w:lineRule="auto" w:before="144"/>
        <w:ind w:left="283" w:right="40" w:firstLine="453"/>
        <w:jc w:val="both"/>
      </w:pPr>
      <w:r>
        <w:rPr>
          <w:color w:val="231F1F"/>
          <w:w w:val="105"/>
        </w:rPr>
        <w:t>La</w:t>
      </w:r>
      <w:r>
        <w:rPr>
          <w:color w:val="231F1F"/>
          <w:spacing w:val="-2"/>
          <w:w w:val="105"/>
        </w:rPr>
        <w:t> </w:t>
      </w:r>
      <w:r>
        <w:rPr>
          <w:color w:val="231F1F"/>
          <w:w w:val="105"/>
        </w:rPr>
        <w:t>guía</w:t>
      </w:r>
      <w:r>
        <w:rPr>
          <w:color w:val="231F1F"/>
          <w:spacing w:val="-2"/>
          <w:w w:val="105"/>
        </w:rPr>
        <w:t> </w:t>
      </w:r>
      <w:r>
        <w:rPr>
          <w:color w:val="231F1F"/>
          <w:w w:val="105"/>
        </w:rPr>
        <w:t>NICE</w:t>
      </w:r>
      <w:r>
        <w:rPr>
          <w:color w:val="231F1F"/>
          <w:spacing w:val="-2"/>
          <w:w w:val="105"/>
        </w:rPr>
        <w:t> </w:t>
      </w:r>
      <w:r>
        <w:rPr>
          <w:color w:val="231F1F"/>
          <w:w w:val="105"/>
        </w:rPr>
        <w:t>(10)</w:t>
      </w:r>
      <w:r>
        <w:rPr>
          <w:color w:val="231F1F"/>
          <w:spacing w:val="-2"/>
          <w:w w:val="105"/>
        </w:rPr>
        <w:t> </w:t>
      </w:r>
      <w:r>
        <w:rPr>
          <w:color w:val="231F1F"/>
          <w:w w:val="105"/>
        </w:rPr>
        <w:t>identificó</w:t>
      </w:r>
      <w:r>
        <w:rPr>
          <w:color w:val="231F1F"/>
          <w:spacing w:val="-2"/>
          <w:w w:val="105"/>
        </w:rPr>
        <w:t> </w:t>
      </w:r>
      <w:r>
        <w:rPr>
          <w:color w:val="231F1F"/>
          <w:w w:val="105"/>
        </w:rPr>
        <w:t>una</w:t>
      </w:r>
      <w:r>
        <w:rPr>
          <w:color w:val="231F1F"/>
          <w:spacing w:val="-2"/>
          <w:w w:val="105"/>
        </w:rPr>
        <w:t> </w:t>
      </w:r>
      <w:r>
        <w:rPr>
          <w:color w:val="231F1F"/>
          <w:w w:val="105"/>
        </w:rPr>
        <w:t>RS</w:t>
      </w:r>
      <w:r>
        <w:rPr>
          <w:color w:val="231F1F"/>
          <w:spacing w:val="-2"/>
          <w:w w:val="105"/>
        </w:rPr>
        <w:t> </w:t>
      </w:r>
      <w:r>
        <w:rPr>
          <w:color w:val="231F1F"/>
          <w:w w:val="105"/>
        </w:rPr>
        <w:t>del</w:t>
      </w:r>
      <w:r>
        <w:rPr>
          <w:color w:val="231F1F"/>
          <w:spacing w:val="-2"/>
          <w:w w:val="105"/>
        </w:rPr>
        <w:t> </w:t>
      </w:r>
      <w:r>
        <w:rPr>
          <w:color w:val="231F1F"/>
          <w:w w:val="105"/>
        </w:rPr>
        <w:t>año</w:t>
      </w:r>
      <w:r>
        <w:rPr>
          <w:color w:val="231F1F"/>
          <w:spacing w:val="-2"/>
          <w:w w:val="105"/>
        </w:rPr>
        <w:t> </w:t>
      </w:r>
      <w:r>
        <w:rPr>
          <w:color w:val="231F1F"/>
          <w:w w:val="105"/>
        </w:rPr>
        <w:t>2004</w:t>
      </w:r>
      <w:r>
        <w:rPr>
          <w:color w:val="231F1F"/>
          <w:spacing w:val="-2"/>
          <w:w w:val="105"/>
        </w:rPr>
        <w:t> </w:t>
      </w:r>
      <w:r>
        <w:rPr>
          <w:color w:val="231F1F"/>
          <w:w w:val="105"/>
        </w:rPr>
        <w:t>(53)</w:t>
      </w:r>
      <w:r>
        <w:rPr>
          <w:color w:val="231F1F"/>
          <w:spacing w:val="-2"/>
          <w:w w:val="105"/>
        </w:rPr>
        <w:t> </w:t>
      </w:r>
      <w:r>
        <w:rPr>
          <w:color w:val="231F1F"/>
          <w:w w:val="105"/>
        </w:rPr>
        <w:t>que</w:t>
      </w:r>
      <w:r>
        <w:rPr>
          <w:color w:val="231F1F"/>
          <w:spacing w:val="-2"/>
          <w:w w:val="105"/>
        </w:rPr>
        <w:t> </w:t>
      </w:r>
      <w:r>
        <w:rPr>
          <w:color w:val="231F1F"/>
          <w:w w:val="105"/>
        </w:rPr>
        <w:t>incluye</w:t>
      </w:r>
      <w:r>
        <w:rPr>
          <w:color w:val="231F1F"/>
          <w:spacing w:val="-2"/>
          <w:w w:val="105"/>
        </w:rPr>
        <w:t> </w:t>
      </w:r>
      <w:r>
        <w:rPr>
          <w:color w:val="231F1F"/>
          <w:w w:val="105"/>
        </w:rPr>
        <w:t>cinco ECAs y que realiza un metaanálisis con un total de 1.161 mujeres. El objetivo fue</w:t>
      </w:r>
      <w:r>
        <w:rPr>
          <w:color w:val="231F1F"/>
          <w:w w:val="105"/>
        </w:rPr>
        <w:t> analizar</w:t>
      </w:r>
      <w:r>
        <w:rPr>
          <w:color w:val="231F1F"/>
          <w:w w:val="105"/>
        </w:rPr>
        <w:t> el</w:t>
      </w:r>
      <w:r>
        <w:rPr>
          <w:color w:val="231F1F"/>
          <w:w w:val="105"/>
        </w:rPr>
        <w:t> efecto</w:t>
      </w:r>
      <w:r>
        <w:rPr>
          <w:color w:val="231F1F"/>
          <w:w w:val="105"/>
        </w:rPr>
        <w:t> de</w:t>
      </w:r>
      <w:r>
        <w:rPr>
          <w:color w:val="231F1F"/>
          <w:w w:val="105"/>
        </w:rPr>
        <w:t> la</w:t>
      </w:r>
      <w:r>
        <w:rPr>
          <w:color w:val="231F1F"/>
          <w:w w:val="105"/>
        </w:rPr>
        <w:t> deambulación</w:t>
      </w:r>
      <w:r>
        <w:rPr>
          <w:color w:val="231F1F"/>
          <w:w w:val="105"/>
        </w:rPr>
        <w:t> frente</w:t>
      </w:r>
      <w:r>
        <w:rPr>
          <w:color w:val="231F1F"/>
          <w:w w:val="105"/>
        </w:rPr>
        <w:t> a</w:t>
      </w:r>
      <w:r>
        <w:rPr>
          <w:color w:val="231F1F"/>
          <w:w w:val="105"/>
        </w:rPr>
        <w:t> la</w:t>
      </w:r>
      <w:r>
        <w:rPr>
          <w:color w:val="231F1F"/>
          <w:w w:val="105"/>
        </w:rPr>
        <w:t> no</w:t>
      </w:r>
      <w:r>
        <w:rPr>
          <w:color w:val="231F1F"/>
          <w:w w:val="105"/>
        </w:rPr>
        <w:t> deambulación</w:t>
      </w:r>
      <w:r>
        <w:rPr>
          <w:color w:val="231F1F"/>
          <w:w w:val="105"/>
        </w:rPr>
        <w:t> en</w:t>
      </w:r>
      <w:r>
        <w:rPr>
          <w:color w:val="231F1F"/>
          <w:w w:val="105"/>
        </w:rPr>
        <w:t> la primera</w:t>
      </w:r>
      <w:r>
        <w:rPr>
          <w:color w:val="231F1F"/>
          <w:spacing w:val="40"/>
          <w:w w:val="105"/>
        </w:rPr>
        <w:t> </w:t>
      </w:r>
      <w:r>
        <w:rPr>
          <w:color w:val="231F1F"/>
          <w:w w:val="105"/>
        </w:rPr>
        <w:t>etapa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en</w:t>
      </w:r>
      <w:r>
        <w:rPr>
          <w:color w:val="231F1F"/>
          <w:spacing w:val="40"/>
          <w:w w:val="105"/>
        </w:rPr>
        <w:t> </w:t>
      </w:r>
      <w:r>
        <w:rPr>
          <w:color w:val="231F1F"/>
          <w:w w:val="105"/>
        </w:rPr>
        <w:t>mujeres</w:t>
      </w:r>
      <w:r>
        <w:rPr>
          <w:color w:val="231F1F"/>
          <w:spacing w:val="40"/>
          <w:w w:val="105"/>
        </w:rPr>
        <w:t> </w:t>
      </w:r>
      <w:r>
        <w:rPr>
          <w:color w:val="231F1F"/>
          <w:w w:val="105"/>
        </w:rPr>
        <w:t>con</w:t>
      </w:r>
      <w:r>
        <w:rPr>
          <w:color w:val="231F1F"/>
          <w:spacing w:val="40"/>
          <w:w w:val="105"/>
        </w:rPr>
        <w:t> </w:t>
      </w:r>
      <w:r>
        <w:rPr>
          <w:color w:val="231F1F"/>
          <w:w w:val="105"/>
        </w:rPr>
        <w:t>anestesia</w:t>
      </w:r>
      <w:r>
        <w:rPr>
          <w:color w:val="231F1F"/>
          <w:spacing w:val="40"/>
          <w:w w:val="105"/>
        </w:rPr>
        <w:t> </w:t>
      </w:r>
      <w:r>
        <w:rPr>
          <w:color w:val="231F1F"/>
          <w:w w:val="105"/>
        </w:rPr>
        <w:t>epidural.</w:t>
      </w:r>
    </w:p>
    <w:p>
      <w:pPr>
        <w:spacing w:line="278" w:lineRule="auto" w:before="124"/>
        <w:ind w:left="361" w:right="522" w:hanging="78"/>
        <w:jc w:val="left"/>
        <w:rPr>
          <w:rFonts w:ascii="Arial MT"/>
          <w:sz w:val="18"/>
        </w:rPr>
      </w:pPr>
      <w:r>
        <w:rPr/>
        <w:br w:type="column"/>
      </w: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37"/>
        <w:rPr>
          <w:rFonts w:ascii="Arial MT"/>
          <w:sz w:val="18"/>
        </w:rPr>
      </w:pPr>
    </w:p>
    <w:p>
      <w:pPr>
        <w:spacing w:line="278" w:lineRule="auto" w:before="0"/>
        <w:ind w:left="361" w:right="522" w:hanging="78"/>
        <w:jc w:val="left"/>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8"/>
        <w:rPr>
          <w:rFonts w:ascii="Arial MT"/>
          <w:sz w:val="18"/>
        </w:rPr>
      </w:pPr>
    </w:p>
    <w:p>
      <w:pPr>
        <w:spacing w:line="283" w:lineRule="auto" w:before="0"/>
        <w:ind w:left="361" w:right="522" w:hanging="78"/>
        <w:jc w:val="left"/>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4"/>
        <w:rPr>
          <w:rFonts w:ascii="Arial MT"/>
          <w:sz w:val="18"/>
        </w:rPr>
      </w:pPr>
    </w:p>
    <w:p>
      <w:pPr>
        <w:spacing w:line="278" w:lineRule="auto" w:before="0"/>
        <w:ind w:left="379" w:right="527" w:hanging="97"/>
        <w:jc w:val="left"/>
        <w:rPr>
          <w:rFonts w:ascii="Arial MT"/>
          <w:sz w:val="18"/>
        </w:rPr>
      </w:pPr>
      <w:r>
        <w:rPr>
          <w:rFonts w:ascii="Arial MT"/>
          <w:color w:val="231F1F"/>
          <w:spacing w:val="-6"/>
          <w:sz w:val="18"/>
        </w:rPr>
        <w:t>ECA 1-</w:t>
      </w:r>
    </w:p>
    <w:p>
      <w:pPr>
        <w:spacing w:after="0" w:line="278" w:lineRule="auto"/>
        <w:jc w:val="left"/>
        <w:rPr>
          <w:rFonts w:ascii="Arial MT"/>
          <w:sz w:val="18"/>
        </w:rPr>
        <w:sectPr>
          <w:pgSz w:w="11900" w:h="16840"/>
          <w:pgMar w:header="0" w:footer="622" w:top="1560" w:bottom="820" w:left="1417" w:right="1559"/>
          <w:cols w:num="2" w:equalWidth="0">
            <w:col w:w="7594" w:space="158"/>
            <w:col w:w="1172"/>
          </w:cols>
        </w:sectPr>
      </w:pPr>
    </w:p>
    <w:p>
      <w:pPr>
        <w:pStyle w:val="BodyText"/>
        <w:spacing w:line="254" w:lineRule="auto" w:before="73"/>
        <w:ind w:left="283" w:right="42" w:firstLine="453"/>
        <w:jc w:val="both"/>
      </w:pPr>
      <w:r>
        <w:rPr>
          <w:color w:val="231F1F"/>
          <w:w w:val="105"/>
        </w:rPr>
        <w:t>No</w:t>
      </w:r>
      <w:r>
        <w:rPr>
          <w:color w:val="231F1F"/>
          <w:w w:val="105"/>
        </w:rPr>
        <w:t> existieron</w:t>
      </w:r>
      <w:r>
        <w:rPr>
          <w:color w:val="231F1F"/>
          <w:w w:val="105"/>
        </w:rPr>
        <w:t> diferencias</w:t>
      </w:r>
      <w:r>
        <w:rPr>
          <w:color w:val="231F1F"/>
          <w:w w:val="105"/>
        </w:rPr>
        <w:t> estadísticamente</w:t>
      </w:r>
      <w:r>
        <w:rPr>
          <w:color w:val="231F1F"/>
          <w:w w:val="105"/>
        </w:rPr>
        <w:t> significativas</w:t>
      </w:r>
      <w:r>
        <w:rPr>
          <w:color w:val="231F1F"/>
          <w:w w:val="105"/>
        </w:rPr>
        <w:t> entre</w:t>
      </w:r>
      <w:r>
        <w:rPr>
          <w:color w:val="231F1F"/>
          <w:w w:val="105"/>
        </w:rPr>
        <w:t> los</w:t>
      </w:r>
      <w:r>
        <w:rPr>
          <w:color w:val="231F1F"/>
          <w:w w:val="105"/>
        </w:rPr>
        <w:t> dos grupos</w:t>
      </w:r>
      <w:r>
        <w:rPr>
          <w:color w:val="231F1F"/>
          <w:spacing w:val="-9"/>
          <w:w w:val="105"/>
        </w:rPr>
        <w:t> </w:t>
      </w:r>
      <w:r>
        <w:rPr>
          <w:color w:val="231F1F"/>
          <w:w w:val="105"/>
        </w:rPr>
        <w:t>para</w:t>
      </w:r>
      <w:r>
        <w:rPr>
          <w:color w:val="231F1F"/>
          <w:spacing w:val="-9"/>
          <w:w w:val="105"/>
        </w:rPr>
        <w:t> </w:t>
      </w:r>
      <w:r>
        <w:rPr>
          <w:color w:val="231F1F"/>
          <w:w w:val="105"/>
        </w:rPr>
        <w:t>el</w:t>
      </w:r>
      <w:r>
        <w:rPr>
          <w:color w:val="231F1F"/>
          <w:spacing w:val="-9"/>
          <w:w w:val="105"/>
        </w:rPr>
        <w:t> </w:t>
      </w:r>
      <w:r>
        <w:rPr>
          <w:color w:val="231F1F"/>
          <w:w w:val="105"/>
        </w:rPr>
        <w:t>tipo</w:t>
      </w:r>
      <w:r>
        <w:rPr>
          <w:color w:val="231F1F"/>
          <w:spacing w:val="-9"/>
          <w:w w:val="105"/>
        </w:rPr>
        <w:t> </w:t>
      </w:r>
      <w:r>
        <w:rPr>
          <w:color w:val="231F1F"/>
          <w:w w:val="105"/>
        </w:rPr>
        <w:t>de</w:t>
      </w:r>
      <w:r>
        <w:rPr>
          <w:color w:val="231F1F"/>
          <w:spacing w:val="-9"/>
          <w:w w:val="105"/>
        </w:rPr>
        <w:t> </w:t>
      </w:r>
      <w:r>
        <w:rPr>
          <w:color w:val="231F1F"/>
          <w:w w:val="105"/>
        </w:rPr>
        <w:t>nacimiento:</w:t>
      </w:r>
      <w:r>
        <w:rPr>
          <w:color w:val="231F1F"/>
          <w:spacing w:val="-9"/>
          <w:w w:val="105"/>
        </w:rPr>
        <w:t> </w:t>
      </w:r>
      <w:r>
        <w:rPr>
          <w:color w:val="231F1F"/>
          <w:w w:val="105"/>
        </w:rPr>
        <w:t>RR</w:t>
      </w:r>
      <w:r>
        <w:rPr>
          <w:color w:val="231F1F"/>
          <w:spacing w:val="-9"/>
          <w:w w:val="105"/>
        </w:rPr>
        <w:t> </w:t>
      </w:r>
      <w:r>
        <w:rPr>
          <w:color w:val="231F1F"/>
          <w:w w:val="105"/>
        </w:rPr>
        <w:t>0,91</w:t>
      </w:r>
      <w:r>
        <w:rPr>
          <w:color w:val="231F1F"/>
          <w:spacing w:val="-9"/>
          <w:w w:val="105"/>
        </w:rPr>
        <w:t> </w:t>
      </w:r>
      <w:r>
        <w:rPr>
          <w:color w:val="231F1F"/>
          <w:w w:val="105"/>
        </w:rPr>
        <w:t>[IC</w:t>
      </w:r>
      <w:r>
        <w:rPr>
          <w:color w:val="231F1F"/>
          <w:spacing w:val="-9"/>
          <w:w w:val="105"/>
        </w:rPr>
        <w:t> </w:t>
      </w:r>
      <w:r>
        <w:rPr>
          <w:color w:val="231F1F"/>
          <w:w w:val="105"/>
        </w:rPr>
        <w:t>95%</w:t>
      </w:r>
      <w:r>
        <w:rPr>
          <w:color w:val="231F1F"/>
          <w:spacing w:val="-9"/>
          <w:w w:val="105"/>
        </w:rPr>
        <w:t> </w:t>
      </w:r>
      <w:r>
        <w:rPr>
          <w:color w:val="231F1F"/>
          <w:w w:val="105"/>
        </w:rPr>
        <w:t>0,93</w:t>
      </w:r>
      <w:r>
        <w:rPr>
          <w:color w:val="231F1F"/>
          <w:spacing w:val="-9"/>
          <w:w w:val="105"/>
        </w:rPr>
        <w:t> </w:t>
      </w:r>
      <w:r>
        <w:rPr>
          <w:color w:val="231F1F"/>
          <w:w w:val="105"/>
        </w:rPr>
        <w:t>a</w:t>
      </w:r>
      <w:r>
        <w:rPr>
          <w:color w:val="231F1F"/>
          <w:spacing w:val="-9"/>
          <w:w w:val="105"/>
        </w:rPr>
        <w:t> </w:t>
      </w:r>
      <w:r>
        <w:rPr>
          <w:color w:val="231F1F"/>
          <w:w w:val="105"/>
        </w:rPr>
        <w:t>1,44]</w:t>
      </w:r>
      <w:r>
        <w:rPr>
          <w:color w:val="231F1F"/>
          <w:spacing w:val="-9"/>
          <w:w w:val="105"/>
        </w:rPr>
        <w:t> </w:t>
      </w:r>
      <w:r>
        <w:rPr>
          <w:color w:val="231F1F"/>
          <w:w w:val="105"/>
        </w:rPr>
        <w:t>o</w:t>
      </w:r>
      <w:r>
        <w:rPr>
          <w:color w:val="231F1F"/>
          <w:spacing w:val="-9"/>
          <w:w w:val="105"/>
        </w:rPr>
        <w:t> </w:t>
      </w:r>
      <w:r>
        <w:rPr>
          <w:color w:val="231F1F"/>
          <w:w w:val="105"/>
        </w:rPr>
        <w:t>las</w:t>
      </w:r>
      <w:r>
        <w:rPr>
          <w:color w:val="231F1F"/>
          <w:spacing w:val="-9"/>
          <w:w w:val="105"/>
        </w:rPr>
        <w:t> </w:t>
      </w:r>
      <w:r>
        <w:rPr>
          <w:color w:val="231F1F"/>
          <w:w w:val="105"/>
        </w:rPr>
        <w:t>cesáreas: RR 0,91 [IC 95% 0,70 a 1,19]. Tampoco existían diferencias en el uso de oxi- tocina, duración del parto, satisfacción con la anestesia, hipotensión, frecuen- cia cardiaca fetal o la puntuación Apgar del neonato.</w:t>
      </w:r>
    </w:p>
    <w:p>
      <w:pPr>
        <w:pStyle w:val="BodyText"/>
        <w:spacing w:line="252" w:lineRule="auto" w:before="46"/>
        <w:ind w:left="283" w:right="45" w:firstLine="453"/>
        <w:jc w:val="both"/>
      </w:pPr>
      <w:r>
        <w:rPr>
          <w:color w:val="231F1F"/>
          <w:w w:val="110"/>
        </w:rPr>
        <w:t>En</w:t>
      </w:r>
      <w:r>
        <w:rPr>
          <w:color w:val="231F1F"/>
          <w:spacing w:val="-11"/>
          <w:w w:val="110"/>
        </w:rPr>
        <w:t> </w:t>
      </w:r>
      <w:r>
        <w:rPr>
          <w:color w:val="231F1F"/>
          <w:w w:val="110"/>
        </w:rPr>
        <w:t>resumen,</w:t>
      </w:r>
      <w:r>
        <w:rPr>
          <w:color w:val="231F1F"/>
          <w:spacing w:val="-12"/>
          <w:w w:val="110"/>
        </w:rPr>
        <w:t> </w:t>
      </w:r>
      <w:r>
        <w:rPr>
          <w:color w:val="231F1F"/>
          <w:w w:val="110"/>
        </w:rPr>
        <w:t>los</w:t>
      </w:r>
      <w:r>
        <w:rPr>
          <w:color w:val="231F1F"/>
          <w:spacing w:val="-12"/>
          <w:w w:val="110"/>
        </w:rPr>
        <w:t> </w:t>
      </w:r>
      <w:r>
        <w:rPr>
          <w:color w:val="231F1F"/>
          <w:w w:val="110"/>
        </w:rPr>
        <w:t>resultados</w:t>
      </w:r>
      <w:r>
        <w:rPr>
          <w:color w:val="231F1F"/>
          <w:spacing w:val="-11"/>
          <w:w w:val="110"/>
        </w:rPr>
        <w:t> </w:t>
      </w:r>
      <w:r>
        <w:rPr>
          <w:color w:val="231F1F"/>
          <w:w w:val="110"/>
        </w:rPr>
        <w:t>presentados</w:t>
      </w:r>
      <w:r>
        <w:rPr>
          <w:color w:val="231F1F"/>
          <w:spacing w:val="-12"/>
          <w:w w:val="110"/>
        </w:rPr>
        <w:t> </w:t>
      </w:r>
      <w:r>
        <w:rPr>
          <w:color w:val="231F1F"/>
          <w:w w:val="110"/>
        </w:rPr>
        <w:t>son</w:t>
      </w:r>
      <w:r>
        <w:rPr>
          <w:color w:val="231F1F"/>
          <w:spacing w:val="-11"/>
          <w:w w:val="110"/>
        </w:rPr>
        <w:t> </w:t>
      </w:r>
      <w:r>
        <w:rPr>
          <w:color w:val="231F1F"/>
          <w:w w:val="110"/>
        </w:rPr>
        <w:t>diferentes</w:t>
      </w:r>
      <w:r>
        <w:rPr>
          <w:color w:val="231F1F"/>
          <w:spacing w:val="-11"/>
          <w:w w:val="110"/>
        </w:rPr>
        <w:t> </w:t>
      </w:r>
      <w:r>
        <w:rPr>
          <w:color w:val="231F1F"/>
          <w:w w:val="110"/>
        </w:rPr>
        <w:t>en</w:t>
      </w:r>
      <w:r>
        <w:rPr>
          <w:color w:val="231F1F"/>
          <w:spacing w:val="-11"/>
          <w:w w:val="110"/>
        </w:rPr>
        <w:t> </w:t>
      </w:r>
      <w:r>
        <w:rPr>
          <w:color w:val="231F1F"/>
          <w:w w:val="110"/>
        </w:rPr>
        <w:t>unos</w:t>
      </w:r>
      <w:r>
        <w:rPr>
          <w:color w:val="231F1F"/>
          <w:spacing w:val="-11"/>
          <w:w w:val="110"/>
        </w:rPr>
        <w:t> </w:t>
      </w:r>
      <w:r>
        <w:rPr>
          <w:color w:val="231F1F"/>
          <w:w w:val="110"/>
        </w:rPr>
        <w:t>estudios y</w:t>
      </w:r>
      <w:r>
        <w:rPr>
          <w:color w:val="231F1F"/>
          <w:spacing w:val="-2"/>
          <w:w w:val="110"/>
        </w:rPr>
        <w:t> </w:t>
      </w:r>
      <w:r>
        <w:rPr>
          <w:color w:val="231F1F"/>
          <w:w w:val="110"/>
        </w:rPr>
        <w:t>otros,</w:t>
      </w:r>
      <w:r>
        <w:rPr>
          <w:color w:val="231F1F"/>
          <w:spacing w:val="-2"/>
          <w:w w:val="110"/>
        </w:rPr>
        <w:t> </w:t>
      </w:r>
      <w:r>
        <w:rPr>
          <w:color w:val="231F1F"/>
          <w:w w:val="110"/>
        </w:rPr>
        <w:t>unos</w:t>
      </w:r>
      <w:r>
        <w:rPr>
          <w:color w:val="231F1F"/>
          <w:spacing w:val="-2"/>
          <w:w w:val="110"/>
        </w:rPr>
        <w:t> </w:t>
      </w:r>
      <w:r>
        <w:rPr>
          <w:color w:val="231F1F"/>
          <w:w w:val="110"/>
        </w:rPr>
        <w:t>no</w:t>
      </w:r>
      <w:r>
        <w:rPr>
          <w:color w:val="231F1F"/>
          <w:spacing w:val="-2"/>
          <w:w w:val="110"/>
        </w:rPr>
        <w:t> </w:t>
      </w:r>
      <w:r>
        <w:rPr>
          <w:color w:val="231F1F"/>
          <w:w w:val="110"/>
        </w:rPr>
        <w:t>encuentran</w:t>
      </w:r>
      <w:r>
        <w:rPr>
          <w:color w:val="231F1F"/>
          <w:spacing w:val="-2"/>
          <w:w w:val="110"/>
        </w:rPr>
        <w:t> </w:t>
      </w:r>
      <w:r>
        <w:rPr>
          <w:color w:val="231F1F"/>
          <w:w w:val="110"/>
        </w:rPr>
        <w:t>diferencias</w:t>
      </w:r>
      <w:r>
        <w:rPr>
          <w:color w:val="231F1F"/>
          <w:spacing w:val="-2"/>
          <w:w w:val="110"/>
        </w:rPr>
        <w:t> </w:t>
      </w:r>
      <w:r>
        <w:rPr>
          <w:color w:val="231F1F"/>
          <w:w w:val="110"/>
        </w:rPr>
        <w:t>entre</w:t>
      </w:r>
      <w:r>
        <w:rPr>
          <w:color w:val="231F1F"/>
          <w:spacing w:val="-2"/>
          <w:w w:val="110"/>
        </w:rPr>
        <w:t> </w:t>
      </w:r>
      <w:r>
        <w:rPr>
          <w:color w:val="231F1F"/>
          <w:w w:val="110"/>
        </w:rPr>
        <w:t>los</w:t>
      </w:r>
      <w:r>
        <w:rPr>
          <w:color w:val="231F1F"/>
          <w:spacing w:val="-2"/>
          <w:w w:val="110"/>
        </w:rPr>
        <w:t> </w:t>
      </w:r>
      <w:r>
        <w:rPr>
          <w:color w:val="231F1F"/>
          <w:w w:val="110"/>
        </w:rPr>
        <w:t>grupos</w:t>
      </w:r>
      <w:r>
        <w:rPr>
          <w:color w:val="231F1F"/>
          <w:spacing w:val="-2"/>
          <w:w w:val="110"/>
        </w:rPr>
        <w:t> </w:t>
      </w:r>
      <w:r>
        <w:rPr>
          <w:color w:val="231F1F"/>
          <w:w w:val="110"/>
        </w:rPr>
        <w:t>(andar/no</w:t>
      </w:r>
      <w:r>
        <w:rPr>
          <w:color w:val="231F1F"/>
          <w:spacing w:val="-2"/>
          <w:w w:val="110"/>
        </w:rPr>
        <w:t> </w:t>
      </w:r>
      <w:r>
        <w:rPr>
          <w:color w:val="231F1F"/>
          <w:w w:val="110"/>
        </w:rPr>
        <w:t>andar)</w:t>
      </w:r>
      <w:r>
        <w:rPr>
          <w:color w:val="231F1F"/>
          <w:spacing w:val="-2"/>
          <w:w w:val="110"/>
        </w:rPr>
        <w:t> </w:t>
      </w:r>
      <w:r>
        <w:rPr>
          <w:color w:val="231F1F"/>
          <w:w w:val="110"/>
        </w:rPr>
        <w:t>y otros</w:t>
      </w:r>
      <w:r>
        <w:rPr>
          <w:color w:val="231F1F"/>
          <w:spacing w:val="-10"/>
          <w:w w:val="110"/>
        </w:rPr>
        <w:t> </w:t>
      </w:r>
      <w:r>
        <w:rPr>
          <w:color w:val="231F1F"/>
          <w:w w:val="110"/>
        </w:rPr>
        <w:t>si,</w:t>
      </w:r>
      <w:r>
        <w:rPr>
          <w:color w:val="231F1F"/>
          <w:spacing w:val="-10"/>
          <w:w w:val="110"/>
        </w:rPr>
        <w:t> </w:t>
      </w:r>
      <w:r>
        <w:rPr>
          <w:color w:val="231F1F"/>
          <w:w w:val="110"/>
        </w:rPr>
        <w:t>unos</w:t>
      </w:r>
      <w:r>
        <w:rPr>
          <w:color w:val="231F1F"/>
          <w:spacing w:val="-9"/>
          <w:w w:val="110"/>
        </w:rPr>
        <w:t> </w:t>
      </w:r>
      <w:r>
        <w:rPr>
          <w:color w:val="231F1F"/>
          <w:w w:val="110"/>
        </w:rPr>
        <w:t>encuentran</w:t>
      </w:r>
      <w:r>
        <w:rPr>
          <w:color w:val="231F1F"/>
          <w:spacing w:val="-9"/>
          <w:w w:val="110"/>
        </w:rPr>
        <w:t> </w:t>
      </w:r>
      <w:r>
        <w:rPr>
          <w:color w:val="231F1F"/>
          <w:w w:val="110"/>
        </w:rPr>
        <w:t>diferencias</w:t>
      </w:r>
      <w:r>
        <w:rPr>
          <w:color w:val="231F1F"/>
          <w:spacing w:val="-10"/>
          <w:w w:val="110"/>
        </w:rPr>
        <w:t> </w:t>
      </w:r>
      <w:r>
        <w:rPr>
          <w:color w:val="231F1F"/>
          <w:w w:val="110"/>
        </w:rPr>
        <w:t>en</w:t>
      </w:r>
      <w:r>
        <w:rPr>
          <w:color w:val="231F1F"/>
          <w:spacing w:val="-9"/>
          <w:w w:val="110"/>
        </w:rPr>
        <w:t> </w:t>
      </w:r>
      <w:r>
        <w:rPr>
          <w:color w:val="231F1F"/>
          <w:w w:val="110"/>
        </w:rPr>
        <w:t>el</w:t>
      </w:r>
      <w:r>
        <w:rPr>
          <w:color w:val="231F1F"/>
          <w:spacing w:val="-10"/>
          <w:w w:val="110"/>
        </w:rPr>
        <w:t> </w:t>
      </w:r>
      <w:r>
        <w:rPr>
          <w:color w:val="231F1F"/>
          <w:w w:val="110"/>
        </w:rPr>
        <w:t>dolor</w:t>
      </w:r>
      <w:r>
        <w:rPr>
          <w:color w:val="231F1F"/>
          <w:spacing w:val="-10"/>
          <w:w w:val="110"/>
        </w:rPr>
        <w:t> </w:t>
      </w:r>
      <w:r>
        <w:rPr>
          <w:color w:val="231F1F"/>
          <w:w w:val="110"/>
        </w:rPr>
        <w:t>y</w:t>
      </w:r>
      <w:r>
        <w:rPr>
          <w:color w:val="231F1F"/>
          <w:spacing w:val="-9"/>
          <w:w w:val="110"/>
        </w:rPr>
        <w:t> </w:t>
      </w:r>
      <w:r>
        <w:rPr>
          <w:color w:val="231F1F"/>
          <w:w w:val="110"/>
        </w:rPr>
        <w:t>otros</w:t>
      </w:r>
      <w:r>
        <w:rPr>
          <w:color w:val="231F1F"/>
          <w:spacing w:val="-10"/>
          <w:w w:val="110"/>
        </w:rPr>
        <w:t> </w:t>
      </w:r>
      <w:r>
        <w:rPr>
          <w:color w:val="231F1F"/>
          <w:w w:val="110"/>
        </w:rPr>
        <w:t>no.</w:t>
      </w:r>
      <w:r>
        <w:rPr>
          <w:color w:val="231F1F"/>
          <w:spacing w:val="-10"/>
          <w:w w:val="110"/>
        </w:rPr>
        <w:t> </w:t>
      </w:r>
      <w:r>
        <w:rPr>
          <w:color w:val="231F1F"/>
          <w:w w:val="110"/>
        </w:rPr>
        <w:t>La</w:t>
      </w:r>
      <w:r>
        <w:rPr>
          <w:color w:val="231F1F"/>
          <w:spacing w:val="-9"/>
          <w:w w:val="110"/>
        </w:rPr>
        <w:t> </w:t>
      </w:r>
      <w:r>
        <w:rPr>
          <w:color w:val="231F1F"/>
          <w:w w:val="110"/>
        </w:rPr>
        <w:t>comparación </w:t>
      </w:r>
      <w:r>
        <w:rPr>
          <w:color w:val="231F1F"/>
        </w:rPr>
        <w:t>entre los grupos es difícil ya que no son homogéneos y las preguntas de inves- </w:t>
      </w:r>
      <w:r>
        <w:rPr>
          <w:color w:val="231F1F"/>
          <w:w w:val="110"/>
        </w:rPr>
        <w:t>tigación son distintas.</w:t>
      </w:r>
    </w:p>
    <w:p>
      <w:pPr>
        <w:pStyle w:val="BodyText"/>
        <w:spacing w:line="244" w:lineRule="auto" w:before="126"/>
        <w:ind w:left="283" w:right="40" w:firstLine="453"/>
        <w:jc w:val="both"/>
      </w:pPr>
      <w:r>
        <w:rPr>
          <w:color w:val="231F1F"/>
          <w:w w:val="110"/>
        </w:rPr>
        <w:t>No</w:t>
      </w:r>
      <w:r>
        <w:rPr>
          <w:color w:val="231F1F"/>
          <w:w w:val="110"/>
        </w:rPr>
        <w:t> se</w:t>
      </w:r>
      <w:r>
        <w:rPr>
          <w:color w:val="231F1F"/>
          <w:w w:val="110"/>
        </w:rPr>
        <w:t> encontraron</w:t>
      </w:r>
      <w:r>
        <w:rPr>
          <w:color w:val="231F1F"/>
          <w:w w:val="110"/>
        </w:rPr>
        <w:t> estudios</w:t>
      </w:r>
      <w:r>
        <w:rPr>
          <w:color w:val="231F1F"/>
          <w:w w:val="110"/>
        </w:rPr>
        <w:t> que</w:t>
      </w:r>
      <w:r>
        <w:rPr>
          <w:color w:val="231F1F"/>
          <w:w w:val="110"/>
        </w:rPr>
        <w:t> compararan</w:t>
      </w:r>
      <w:r>
        <w:rPr>
          <w:color w:val="231F1F"/>
          <w:w w:val="110"/>
        </w:rPr>
        <w:t> el</w:t>
      </w:r>
      <w:r>
        <w:rPr>
          <w:color w:val="231F1F"/>
          <w:w w:val="110"/>
        </w:rPr>
        <w:t> efecto</w:t>
      </w:r>
      <w:r>
        <w:rPr>
          <w:color w:val="231F1F"/>
          <w:w w:val="110"/>
        </w:rPr>
        <w:t> de</w:t>
      </w:r>
      <w:r>
        <w:rPr>
          <w:color w:val="231F1F"/>
          <w:w w:val="110"/>
        </w:rPr>
        <w:t> libertad</w:t>
      </w:r>
      <w:r>
        <w:rPr>
          <w:color w:val="231F1F"/>
          <w:w w:val="110"/>
        </w:rPr>
        <w:t> de movimiento</w:t>
      </w:r>
      <w:r>
        <w:rPr>
          <w:color w:val="231F1F"/>
          <w:spacing w:val="-10"/>
          <w:w w:val="110"/>
        </w:rPr>
        <w:t> </w:t>
      </w:r>
      <w:r>
        <w:rPr>
          <w:color w:val="231F1F"/>
          <w:w w:val="110"/>
        </w:rPr>
        <w:t>durante</w:t>
      </w:r>
      <w:r>
        <w:rPr>
          <w:color w:val="231F1F"/>
          <w:spacing w:val="-10"/>
          <w:w w:val="110"/>
        </w:rPr>
        <w:t> </w:t>
      </w:r>
      <w:r>
        <w:rPr>
          <w:color w:val="231F1F"/>
          <w:w w:val="110"/>
        </w:rPr>
        <w:t>el</w:t>
      </w:r>
      <w:r>
        <w:rPr>
          <w:color w:val="231F1F"/>
          <w:spacing w:val="-10"/>
          <w:w w:val="110"/>
        </w:rPr>
        <w:t> </w:t>
      </w:r>
      <w:r>
        <w:rPr>
          <w:color w:val="231F1F"/>
          <w:w w:val="110"/>
        </w:rPr>
        <w:t>parto</w:t>
      </w:r>
      <w:r>
        <w:rPr>
          <w:color w:val="231F1F"/>
          <w:spacing w:val="-10"/>
          <w:w w:val="110"/>
        </w:rPr>
        <w:t> </w:t>
      </w:r>
      <w:r>
        <w:rPr>
          <w:color w:val="231F1F"/>
          <w:w w:val="110"/>
        </w:rPr>
        <w:t>frente</w:t>
      </w:r>
      <w:r>
        <w:rPr>
          <w:color w:val="231F1F"/>
          <w:spacing w:val="-10"/>
          <w:w w:val="110"/>
        </w:rPr>
        <w:t> </w:t>
      </w:r>
      <w:r>
        <w:rPr>
          <w:color w:val="231F1F"/>
          <w:w w:val="110"/>
        </w:rPr>
        <w:t>a</w:t>
      </w:r>
      <w:r>
        <w:rPr>
          <w:color w:val="231F1F"/>
          <w:spacing w:val="-10"/>
          <w:w w:val="110"/>
        </w:rPr>
        <w:t> </w:t>
      </w:r>
      <w:r>
        <w:rPr>
          <w:color w:val="231F1F"/>
          <w:w w:val="110"/>
        </w:rPr>
        <w:t>restricción</w:t>
      </w:r>
      <w:r>
        <w:rPr>
          <w:color w:val="231F1F"/>
          <w:spacing w:val="-9"/>
          <w:w w:val="110"/>
        </w:rPr>
        <w:t> </w:t>
      </w:r>
      <w:r>
        <w:rPr>
          <w:color w:val="231F1F"/>
          <w:w w:val="110"/>
        </w:rPr>
        <w:t>del</w:t>
      </w:r>
      <w:r>
        <w:rPr>
          <w:color w:val="231F1F"/>
          <w:spacing w:val="-11"/>
          <w:w w:val="110"/>
        </w:rPr>
        <w:t> </w:t>
      </w:r>
      <w:r>
        <w:rPr>
          <w:color w:val="231F1F"/>
          <w:w w:val="110"/>
        </w:rPr>
        <w:t>mismo</w:t>
      </w:r>
      <w:r>
        <w:rPr>
          <w:color w:val="231F1F"/>
          <w:spacing w:val="-10"/>
          <w:w w:val="110"/>
        </w:rPr>
        <w:t> </w:t>
      </w:r>
      <w:r>
        <w:rPr>
          <w:color w:val="231F1F"/>
          <w:w w:val="110"/>
        </w:rPr>
        <w:t>sobre</w:t>
      </w:r>
      <w:r>
        <w:rPr>
          <w:color w:val="231F1F"/>
          <w:spacing w:val="-10"/>
          <w:w w:val="110"/>
        </w:rPr>
        <w:t> </w:t>
      </w:r>
      <w:r>
        <w:rPr>
          <w:color w:val="231F1F"/>
          <w:w w:val="110"/>
        </w:rPr>
        <w:t>resultados como</w:t>
      </w:r>
      <w:r>
        <w:rPr>
          <w:color w:val="231F1F"/>
          <w:spacing w:val="-16"/>
          <w:w w:val="110"/>
        </w:rPr>
        <w:t> </w:t>
      </w:r>
      <w:r>
        <w:rPr>
          <w:color w:val="231F1F"/>
          <w:w w:val="110"/>
        </w:rPr>
        <w:t>confort,</w:t>
      </w:r>
      <w:r>
        <w:rPr>
          <w:color w:val="231F1F"/>
          <w:spacing w:val="-15"/>
          <w:w w:val="110"/>
        </w:rPr>
        <w:t> </w:t>
      </w:r>
      <w:r>
        <w:rPr>
          <w:color w:val="231F1F"/>
          <w:w w:val="110"/>
        </w:rPr>
        <w:t>progreso</w:t>
      </w:r>
      <w:r>
        <w:rPr>
          <w:color w:val="231F1F"/>
          <w:spacing w:val="-15"/>
          <w:w w:val="110"/>
        </w:rPr>
        <w:t> </w:t>
      </w:r>
      <w:r>
        <w:rPr>
          <w:color w:val="231F1F"/>
          <w:w w:val="110"/>
        </w:rPr>
        <w:t>de</w:t>
      </w:r>
      <w:r>
        <w:rPr>
          <w:color w:val="231F1F"/>
          <w:spacing w:val="-15"/>
          <w:w w:val="110"/>
        </w:rPr>
        <w:t> </w:t>
      </w:r>
      <w:r>
        <w:rPr>
          <w:color w:val="231F1F"/>
          <w:w w:val="110"/>
        </w:rPr>
        <w:t>parto</w:t>
      </w:r>
      <w:r>
        <w:rPr>
          <w:color w:val="231F1F"/>
          <w:spacing w:val="-15"/>
          <w:w w:val="110"/>
        </w:rPr>
        <w:t> </w:t>
      </w:r>
      <w:r>
        <w:rPr>
          <w:color w:val="231F1F"/>
          <w:w w:val="110"/>
        </w:rPr>
        <w:t>y</w:t>
      </w:r>
      <w:r>
        <w:rPr>
          <w:color w:val="231F1F"/>
          <w:spacing w:val="-15"/>
          <w:w w:val="110"/>
        </w:rPr>
        <w:t> </w:t>
      </w:r>
      <w:r>
        <w:rPr>
          <w:color w:val="231F1F"/>
          <w:w w:val="110"/>
        </w:rPr>
        <w:t>bienestar</w:t>
      </w:r>
      <w:r>
        <w:rPr>
          <w:color w:val="231F1F"/>
          <w:spacing w:val="-15"/>
          <w:w w:val="110"/>
        </w:rPr>
        <w:t> </w:t>
      </w:r>
      <w:r>
        <w:rPr>
          <w:color w:val="231F1F"/>
          <w:w w:val="110"/>
        </w:rPr>
        <w:t>fetal.</w:t>
      </w:r>
      <w:r>
        <w:rPr>
          <w:color w:val="231F1F"/>
          <w:spacing w:val="-15"/>
          <w:w w:val="110"/>
        </w:rPr>
        <w:t> </w:t>
      </w:r>
      <w:r>
        <w:rPr>
          <w:color w:val="231F1F"/>
          <w:w w:val="110"/>
        </w:rPr>
        <w:t>Existe</w:t>
      </w:r>
      <w:r>
        <w:rPr>
          <w:color w:val="231F1F"/>
          <w:spacing w:val="-16"/>
          <w:w w:val="110"/>
        </w:rPr>
        <w:t> </w:t>
      </w:r>
      <w:r>
        <w:rPr>
          <w:color w:val="231F1F"/>
          <w:w w:val="110"/>
        </w:rPr>
        <w:t>una</w:t>
      </w:r>
      <w:r>
        <w:rPr>
          <w:color w:val="231F1F"/>
          <w:spacing w:val="-15"/>
          <w:w w:val="110"/>
        </w:rPr>
        <w:t> </w:t>
      </w:r>
      <w:r>
        <w:rPr>
          <w:color w:val="231F1F"/>
          <w:w w:val="110"/>
        </w:rPr>
        <w:t>falta</w:t>
      </w:r>
      <w:r>
        <w:rPr>
          <w:color w:val="231F1F"/>
          <w:spacing w:val="-15"/>
          <w:w w:val="110"/>
        </w:rPr>
        <w:t> </w:t>
      </w:r>
      <w:r>
        <w:rPr>
          <w:color w:val="231F1F"/>
          <w:w w:val="110"/>
        </w:rPr>
        <w:t>de</w:t>
      </w:r>
      <w:r>
        <w:rPr>
          <w:color w:val="231F1F"/>
          <w:spacing w:val="-15"/>
          <w:w w:val="110"/>
        </w:rPr>
        <w:t> </w:t>
      </w:r>
      <w:r>
        <w:rPr>
          <w:color w:val="231F1F"/>
          <w:w w:val="110"/>
        </w:rPr>
        <w:t>eviden- cia de alto nivel que sugiera que la movilización o cualquier otra posición particular afecten a los resultados.</w:t>
      </w:r>
    </w:p>
    <w:p>
      <w:pPr>
        <w:pStyle w:val="BodyText"/>
        <w:spacing w:before="170"/>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9"/>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7" w:lineRule="auto" w:before="176"/>
        <w:ind w:left="283" w:right="41"/>
        <w:jc w:val="both"/>
      </w:pPr>
      <w:r>
        <w:rPr>
          <w:color w:val="231F1F"/>
          <w:w w:val="110"/>
        </w:rPr>
        <w:t>En</w:t>
      </w:r>
      <w:r>
        <w:rPr>
          <w:color w:val="231F1F"/>
          <w:spacing w:val="-16"/>
          <w:w w:val="110"/>
        </w:rPr>
        <w:t> </w:t>
      </w:r>
      <w:r>
        <w:rPr>
          <w:color w:val="231F1F"/>
          <w:w w:val="110"/>
        </w:rPr>
        <w:t>la</w:t>
      </w:r>
      <w:r>
        <w:rPr>
          <w:color w:val="231F1F"/>
          <w:spacing w:val="-15"/>
          <w:w w:val="110"/>
        </w:rPr>
        <w:t> </w:t>
      </w:r>
      <w:r>
        <w:rPr>
          <w:color w:val="231F1F"/>
          <w:w w:val="110"/>
        </w:rPr>
        <w:t>actualización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evidencia</w:t>
      </w:r>
      <w:r>
        <w:rPr>
          <w:color w:val="231F1F"/>
          <w:spacing w:val="-15"/>
          <w:w w:val="110"/>
        </w:rPr>
        <w:t> </w:t>
      </w:r>
      <w:r>
        <w:rPr>
          <w:color w:val="231F1F"/>
          <w:w w:val="110"/>
        </w:rPr>
        <w:t>se</w:t>
      </w:r>
      <w:r>
        <w:rPr>
          <w:color w:val="231F1F"/>
          <w:spacing w:val="-15"/>
          <w:w w:val="110"/>
        </w:rPr>
        <w:t> </w:t>
      </w:r>
      <w:r>
        <w:rPr>
          <w:color w:val="231F1F"/>
          <w:w w:val="110"/>
        </w:rPr>
        <w:t>incluyó</w:t>
      </w:r>
      <w:r>
        <w:rPr>
          <w:color w:val="231F1F"/>
          <w:spacing w:val="-15"/>
          <w:w w:val="110"/>
        </w:rPr>
        <w:t> </w:t>
      </w:r>
      <w:r>
        <w:rPr>
          <w:color w:val="231F1F"/>
          <w:w w:val="110"/>
        </w:rPr>
        <w:t>el</w:t>
      </w:r>
      <w:r>
        <w:rPr>
          <w:color w:val="231F1F"/>
          <w:spacing w:val="-16"/>
          <w:w w:val="110"/>
        </w:rPr>
        <w:t> </w:t>
      </w:r>
      <w:r>
        <w:rPr>
          <w:color w:val="231F1F"/>
          <w:w w:val="110"/>
        </w:rPr>
        <w:t>único</w:t>
      </w:r>
      <w:r>
        <w:rPr>
          <w:color w:val="231F1F"/>
          <w:spacing w:val="-15"/>
          <w:w w:val="110"/>
        </w:rPr>
        <w:t> </w:t>
      </w:r>
      <w:r>
        <w:rPr>
          <w:color w:val="231F1F"/>
          <w:w w:val="110"/>
        </w:rPr>
        <w:t>estudio</w:t>
      </w:r>
      <w:r>
        <w:rPr>
          <w:color w:val="231F1F"/>
          <w:spacing w:val="-15"/>
          <w:w w:val="110"/>
        </w:rPr>
        <w:t> </w:t>
      </w:r>
      <w:r>
        <w:rPr>
          <w:color w:val="231F1F"/>
          <w:w w:val="110"/>
        </w:rPr>
        <w:t>encontrado</w:t>
      </w:r>
      <w:r>
        <w:rPr>
          <w:color w:val="231F1F"/>
          <w:spacing w:val="-15"/>
          <w:w w:val="110"/>
        </w:rPr>
        <w:t> </w:t>
      </w:r>
      <w:r>
        <w:rPr>
          <w:color w:val="231F1F"/>
          <w:w w:val="110"/>
        </w:rPr>
        <w:t>en la búsqueda. Se trata de una RS (54) que incluye nueve ECAs de variable calidad</w:t>
      </w:r>
      <w:r>
        <w:rPr>
          <w:color w:val="231F1F"/>
          <w:spacing w:val="-3"/>
          <w:w w:val="110"/>
        </w:rPr>
        <w:t> </w:t>
      </w:r>
      <w:r>
        <w:rPr>
          <w:color w:val="231F1F"/>
          <w:w w:val="110"/>
        </w:rPr>
        <w:t>(dos</w:t>
      </w:r>
      <w:r>
        <w:rPr>
          <w:color w:val="231F1F"/>
          <w:spacing w:val="-3"/>
          <w:w w:val="110"/>
        </w:rPr>
        <w:t> </w:t>
      </w:r>
      <w:r>
        <w:rPr>
          <w:color w:val="231F1F"/>
          <w:w w:val="110"/>
        </w:rPr>
        <w:t>de</w:t>
      </w:r>
      <w:r>
        <w:rPr>
          <w:color w:val="231F1F"/>
          <w:spacing w:val="-3"/>
          <w:w w:val="110"/>
        </w:rPr>
        <w:t> </w:t>
      </w:r>
      <w:r>
        <w:rPr>
          <w:color w:val="231F1F"/>
          <w:w w:val="110"/>
        </w:rPr>
        <w:t>ellos</w:t>
      </w:r>
      <w:r>
        <w:rPr>
          <w:color w:val="231F1F"/>
          <w:spacing w:val="-3"/>
          <w:w w:val="110"/>
        </w:rPr>
        <w:t> </w:t>
      </w:r>
      <w:r>
        <w:rPr>
          <w:color w:val="231F1F"/>
          <w:w w:val="110"/>
        </w:rPr>
        <w:t>incluidos</w:t>
      </w:r>
      <w:r>
        <w:rPr>
          <w:color w:val="231F1F"/>
          <w:spacing w:val="-3"/>
          <w:w w:val="110"/>
        </w:rPr>
        <w:t> </w:t>
      </w:r>
      <w:r>
        <w:rPr>
          <w:color w:val="231F1F"/>
          <w:w w:val="110"/>
        </w:rPr>
        <w:t>en</w:t>
      </w:r>
      <w:r>
        <w:rPr>
          <w:color w:val="231F1F"/>
          <w:spacing w:val="-2"/>
          <w:w w:val="110"/>
        </w:rPr>
        <w:t> </w:t>
      </w:r>
      <w:r>
        <w:rPr>
          <w:color w:val="231F1F"/>
          <w:w w:val="110"/>
        </w:rPr>
        <w:t>la</w:t>
      </w:r>
      <w:r>
        <w:rPr>
          <w:color w:val="231F1F"/>
          <w:spacing w:val="-3"/>
          <w:w w:val="110"/>
        </w:rPr>
        <w:t> </w:t>
      </w:r>
      <w:r>
        <w:rPr>
          <w:color w:val="231F1F"/>
          <w:w w:val="110"/>
        </w:rPr>
        <w:t>guía</w:t>
      </w:r>
      <w:r>
        <w:rPr>
          <w:color w:val="231F1F"/>
          <w:spacing w:val="-3"/>
          <w:w w:val="110"/>
        </w:rPr>
        <w:t> </w:t>
      </w:r>
      <w:r>
        <w:rPr>
          <w:color w:val="231F1F"/>
          <w:w w:val="110"/>
        </w:rPr>
        <w:t>NICE</w:t>
      </w:r>
      <w:r>
        <w:rPr>
          <w:color w:val="231F1F"/>
          <w:spacing w:val="-2"/>
          <w:w w:val="110"/>
        </w:rPr>
        <w:t> </w:t>
      </w:r>
      <w:r>
        <w:rPr>
          <w:color w:val="231F1F"/>
          <w:w w:val="110"/>
        </w:rPr>
        <w:t>(10)),</w:t>
      </w:r>
      <w:r>
        <w:rPr>
          <w:color w:val="231F1F"/>
          <w:spacing w:val="-3"/>
          <w:w w:val="110"/>
        </w:rPr>
        <w:t> </w:t>
      </w:r>
      <w:r>
        <w:rPr>
          <w:color w:val="231F1F"/>
          <w:w w:val="110"/>
        </w:rPr>
        <w:t>con</w:t>
      </w:r>
      <w:r>
        <w:rPr>
          <w:color w:val="231F1F"/>
          <w:spacing w:val="-2"/>
          <w:w w:val="110"/>
        </w:rPr>
        <w:t> </w:t>
      </w:r>
      <w:r>
        <w:rPr>
          <w:color w:val="231F1F"/>
          <w:w w:val="110"/>
        </w:rPr>
        <w:t>un</w:t>
      </w:r>
      <w:r>
        <w:rPr>
          <w:color w:val="231F1F"/>
          <w:spacing w:val="-2"/>
          <w:w w:val="110"/>
        </w:rPr>
        <w:t> </w:t>
      </w:r>
      <w:r>
        <w:rPr>
          <w:color w:val="231F1F"/>
          <w:w w:val="110"/>
        </w:rPr>
        <w:t>total</w:t>
      </w:r>
      <w:r>
        <w:rPr>
          <w:color w:val="231F1F"/>
          <w:spacing w:val="-3"/>
          <w:w w:val="110"/>
        </w:rPr>
        <w:t> </w:t>
      </w:r>
      <w:r>
        <w:rPr>
          <w:color w:val="231F1F"/>
          <w:w w:val="110"/>
        </w:rPr>
        <w:t>de</w:t>
      </w:r>
      <w:r>
        <w:rPr>
          <w:color w:val="231F1F"/>
          <w:spacing w:val="-3"/>
          <w:w w:val="110"/>
        </w:rPr>
        <w:t> </w:t>
      </w:r>
      <w:r>
        <w:rPr>
          <w:color w:val="231F1F"/>
          <w:w w:val="110"/>
        </w:rPr>
        <w:t>2.220 </w:t>
      </w:r>
      <w:r>
        <w:rPr>
          <w:color w:val="231F1F"/>
        </w:rPr>
        <w:t>mujeres (rango de mujeres incluidas en los diferentes estudios 14-1.067) y que </w:t>
      </w:r>
      <w:r>
        <w:rPr>
          <w:color w:val="231F1F"/>
          <w:w w:val="110"/>
        </w:rPr>
        <w:t>pretende evaluar el efecto de la posición materna durante la primera etapa del</w:t>
      </w:r>
      <w:r>
        <w:rPr>
          <w:color w:val="231F1F"/>
          <w:spacing w:val="-10"/>
          <w:w w:val="110"/>
        </w:rPr>
        <w:t> </w:t>
      </w:r>
      <w:r>
        <w:rPr>
          <w:color w:val="231F1F"/>
          <w:w w:val="110"/>
        </w:rPr>
        <w:t>parto.</w:t>
      </w:r>
      <w:r>
        <w:rPr>
          <w:color w:val="231F1F"/>
          <w:spacing w:val="-10"/>
          <w:w w:val="110"/>
        </w:rPr>
        <w:t> </w:t>
      </w:r>
      <w:r>
        <w:rPr>
          <w:color w:val="231F1F"/>
          <w:w w:val="110"/>
        </w:rPr>
        <w:t>Principalmente,</w:t>
      </w:r>
      <w:r>
        <w:rPr>
          <w:color w:val="231F1F"/>
          <w:spacing w:val="-10"/>
          <w:w w:val="110"/>
        </w:rPr>
        <w:t> </w:t>
      </w:r>
      <w:r>
        <w:rPr>
          <w:color w:val="231F1F"/>
          <w:w w:val="110"/>
        </w:rPr>
        <w:t>si</w:t>
      </w:r>
      <w:r>
        <w:rPr>
          <w:color w:val="231F1F"/>
          <w:spacing w:val="-10"/>
          <w:w w:val="110"/>
        </w:rPr>
        <w:t> </w:t>
      </w:r>
      <w:r>
        <w:rPr>
          <w:color w:val="231F1F"/>
          <w:w w:val="110"/>
        </w:rPr>
        <w:t>la</w:t>
      </w:r>
      <w:r>
        <w:rPr>
          <w:color w:val="231F1F"/>
          <w:spacing w:val="-9"/>
          <w:w w:val="110"/>
        </w:rPr>
        <w:t> </w:t>
      </w:r>
      <w:r>
        <w:rPr>
          <w:color w:val="231F1F"/>
          <w:w w:val="110"/>
        </w:rPr>
        <w:t>posición</w:t>
      </w:r>
      <w:r>
        <w:rPr>
          <w:color w:val="231F1F"/>
          <w:spacing w:val="-9"/>
          <w:w w:val="110"/>
        </w:rPr>
        <w:t> </w:t>
      </w:r>
      <w:r>
        <w:rPr>
          <w:color w:val="231F1F"/>
          <w:w w:val="110"/>
        </w:rPr>
        <w:t>vertical</w:t>
      </w:r>
      <w:r>
        <w:rPr>
          <w:color w:val="231F1F"/>
          <w:spacing w:val="-10"/>
          <w:w w:val="110"/>
        </w:rPr>
        <w:t> </w:t>
      </w:r>
      <w:r>
        <w:rPr>
          <w:color w:val="231F1F"/>
          <w:w w:val="110"/>
        </w:rPr>
        <w:t>(sentada,</w:t>
      </w:r>
      <w:r>
        <w:rPr>
          <w:color w:val="231F1F"/>
          <w:spacing w:val="-9"/>
          <w:w w:val="110"/>
        </w:rPr>
        <w:t> </w:t>
      </w:r>
      <w:r>
        <w:rPr>
          <w:color w:val="231F1F"/>
          <w:w w:val="110"/>
        </w:rPr>
        <w:t>de</w:t>
      </w:r>
      <w:r>
        <w:rPr>
          <w:color w:val="231F1F"/>
          <w:spacing w:val="-9"/>
          <w:w w:val="110"/>
        </w:rPr>
        <w:t> </w:t>
      </w:r>
      <w:r>
        <w:rPr>
          <w:color w:val="231F1F"/>
          <w:w w:val="110"/>
        </w:rPr>
        <w:t>pie,</w:t>
      </w:r>
      <w:r>
        <w:rPr>
          <w:color w:val="231F1F"/>
          <w:spacing w:val="-10"/>
          <w:w w:val="110"/>
        </w:rPr>
        <w:t> </w:t>
      </w:r>
      <w:r>
        <w:rPr>
          <w:color w:val="231F1F"/>
          <w:w w:val="110"/>
        </w:rPr>
        <w:t>de</w:t>
      </w:r>
      <w:r>
        <w:rPr>
          <w:color w:val="231F1F"/>
          <w:spacing w:val="-9"/>
          <w:w w:val="110"/>
        </w:rPr>
        <w:t> </w:t>
      </w:r>
      <w:r>
        <w:rPr>
          <w:color w:val="231F1F"/>
          <w:w w:val="110"/>
        </w:rPr>
        <w:t>rodillas y en cuclillas) o la deambulación reducen la duración de la primera etapa frente a cualquier otra posición.</w:t>
      </w:r>
    </w:p>
    <w:p>
      <w:pPr>
        <w:pStyle w:val="BodyText"/>
        <w:spacing w:line="259" w:lineRule="auto" w:before="99"/>
        <w:ind w:left="283" w:right="43" w:firstLine="453"/>
        <w:jc w:val="both"/>
      </w:pPr>
      <w:r>
        <w:rPr>
          <w:color w:val="231F1F"/>
        </w:rPr>
        <w:t>En la RS se realiza un metaanálisis sobre distintas medidas de resultados, observándose</w:t>
      </w:r>
      <w:r>
        <w:rPr>
          <w:color w:val="231F1F"/>
          <w:spacing w:val="40"/>
        </w:rPr>
        <w:t> </w:t>
      </w:r>
      <w:r>
        <w:rPr>
          <w:color w:val="231F1F"/>
        </w:rPr>
        <w:t>una</w:t>
      </w:r>
      <w:r>
        <w:rPr>
          <w:color w:val="231F1F"/>
          <w:spacing w:val="40"/>
        </w:rPr>
        <w:t> </w:t>
      </w:r>
      <w:r>
        <w:rPr>
          <w:color w:val="231F1F"/>
        </w:rPr>
        <w:t>diferencia</w:t>
      </w:r>
      <w:r>
        <w:rPr>
          <w:color w:val="231F1F"/>
          <w:spacing w:val="40"/>
        </w:rPr>
        <w:t> </w:t>
      </w:r>
      <w:r>
        <w:rPr>
          <w:color w:val="231F1F"/>
        </w:rPr>
        <w:t>estadísticamente</w:t>
      </w:r>
      <w:r>
        <w:rPr>
          <w:color w:val="231F1F"/>
          <w:spacing w:val="40"/>
        </w:rPr>
        <w:t> </w:t>
      </w:r>
      <w:r>
        <w:rPr>
          <w:color w:val="231F1F"/>
        </w:rPr>
        <w:t>significativa</w:t>
      </w:r>
      <w:r>
        <w:rPr>
          <w:color w:val="231F1F"/>
          <w:spacing w:val="40"/>
        </w:rPr>
        <w:t> </w:t>
      </w:r>
      <w:r>
        <w:rPr>
          <w:color w:val="231F1F"/>
        </w:rPr>
        <w:t>sólo</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duración de la primera etapa, a favor del grupo que deambula (7 estudios con 2.166 mujeres): DMP -0,83 horas [IC 95% -1,60 a -0,06 horas] pero existía una alta heterogeneidad</w:t>
      </w:r>
      <w:r>
        <w:rPr>
          <w:color w:val="231F1F"/>
          <w:spacing w:val="40"/>
        </w:rPr>
        <w:t> </w:t>
      </w:r>
      <w:r>
        <w:rPr>
          <w:color w:val="231F1F"/>
        </w:rPr>
        <w:t>(I2=88,4%)</w:t>
      </w:r>
      <w:r>
        <w:rPr>
          <w:color w:val="231F1F"/>
          <w:spacing w:val="40"/>
        </w:rPr>
        <w:t> </w:t>
      </w:r>
      <w:r>
        <w:rPr>
          <w:color w:val="231F1F"/>
        </w:rPr>
        <w:t>que</w:t>
      </w:r>
      <w:r>
        <w:rPr>
          <w:color w:val="231F1F"/>
          <w:spacing w:val="40"/>
        </w:rPr>
        <w:t> </w:t>
      </w:r>
      <w:r>
        <w:rPr>
          <w:color w:val="231F1F"/>
        </w:rPr>
        <w:t>hace</w:t>
      </w:r>
      <w:r>
        <w:rPr>
          <w:color w:val="231F1F"/>
          <w:spacing w:val="40"/>
        </w:rPr>
        <w:t> </w:t>
      </w:r>
      <w:r>
        <w:rPr>
          <w:color w:val="231F1F"/>
        </w:rPr>
        <w:t>problemática</w:t>
      </w:r>
      <w:r>
        <w:rPr>
          <w:color w:val="231F1F"/>
          <w:spacing w:val="40"/>
        </w:rPr>
        <w:t> </w:t>
      </w:r>
      <w:r>
        <w:rPr>
          <w:color w:val="231F1F"/>
        </w:rPr>
        <w:t>la</w:t>
      </w:r>
      <w:r>
        <w:rPr>
          <w:color w:val="231F1F"/>
          <w:spacing w:val="40"/>
        </w:rPr>
        <w:t> </w:t>
      </w:r>
      <w:r>
        <w:rPr>
          <w:color w:val="231F1F"/>
        </w:rPr>
        <w:t>interpretación.</w:t>
      </w:r>
      <w:r>
        <w:rPr>
          <w:color w:val="231F1F"/>
          <w:spacing w:val="40"/>
        </w:rPr>
        <w:t> </w:t>
      </w:r>
      <w:r>
        <w:rPr>
          <w:color w:val="231F1F"/>
        </w:rPr>
        <w:t>En</w:t>
      </w:r>
      <w:r>
        <w:rPr>
          <w:color w:val="231F1F"/>
          <w:spacing w:val="40"/>
        </w:rPr>
        <w:t> </w:t>
      </w:r>
      <w:r>
        <w:rPr>
          <w:color w:val="231F1F"/>
        </w:rPr>
        <w:t>el resto</w:t>
      </w:r>
      <w:r>
        <w:rPr>
          <w:color w:val="231F1F"/>
          <w:spacing w:val="40"/>
        </w:rPr>
        <w:t> </w:t>
      </w:r>
      <w:r>
        <w:rPr>
          <w:color w:val="231F1F"/>
        </w:rPr>
        <w:t>de</w:t>
      </w:r>
      <w:r>
        <w:rPr>
          <w:color w:val="231F1F"/>
          <w:spacing w:val="40"/>
        </w:rPr>
        <w:t> </w:t>
      </w:r>
      <w:r>
        <w:rPr>
          <w:color w:val="231F1F"/>
        </w:rPr>
        <w:t>los</w:t>
      </w:r>
      <w:r>
        <w:rPr>
          <w:color w:val="231F1F"/>
          <w:spacing w:val="40"/>
        </w:rPr>
        <w:t> </w:t>
      </w:r>
      <w:r>
        <w:rPr>
          <w:color w:val="231F1F"/>
        </w:rPr>
        <w:t>resultados</w:t>
      </w:r>
      <w:r>
        <w:rPr>
          <w:color w:val="231F1F"/>
          <w:spacing w:val="40"/>
        </w:rPr>
        <w:t> </w:t>
      </w:r>
      <w:r>
        <w:rPr>
          <w:color w:val="231F1F"/>
        </w:rPr>
        <w:t>evaluados</w:t>
      </w:r>
      <w:r>
        <w:rPr>
          <w:color w:val="231F1F"/>
          <w:spacing w:val="40"/>
        </w:rPr>
        <w:t> </w:t>
      </w:r>
      <w:r>
        <w:rPr>
          <w:color w:val="231F1F"/>
        </w:rPr>
        <w:t>no</w:t>
      </w:r>
      <w:r>
        <w:rPr>
          <w:color w:val="231F1F"/>
          <w:spacing w:val="40"/>
        </w:rPr>
        <w:t> </w:t>
      </w:r>
      <w:r>
        <w:rPr>
          <w:color w:val="231F1F"/>
        </w:rPr>
        <w:t>se</w:t>
      </w:r>
      <w:r>
        <w:rPr>
          <w:color w:val="231F1F"/>
          <w:spacing w:val="40"/>
        </w:rPr>
        <w:t> </w:t>
      </w:r>
      <w:r>
        <w:rPr>
          <w:color w:val="231F1F"/>
        </w:rPr>
        <w:t>encontraron</w:t>
      </w:r>
      <w:r>
        <w:rPr>
          <w:color w:val="231F1F"/>
          <w:spacing w:val="40"/>
        </w:rPr>
        <w:t> </w:t>
      </w:r>
      <w:r>
        <w:rPr>
          <w:color w:val="231F1F"/>
        </w:rPr>
        <w:t>diferencias</w:t>
      </w:r>
      <w:r>
        <w:rPr>
          <w:color w:val="231F1F"/>
          <w:spacing w:val="40"/>
        </w:rPr>
        <w:t> </w:t>
      </w:r>
      <w:r>
        <w:rPr>
          <w:color w:val="231F1F"/>
        </w:rPr>
        <w:t>sobre</w:t>
      </w:r>
      <w:r>
        <w:rPr>
          <w:color w:val="231F1F"/>
          <w:spacing w:val="40"/>
        </w:rPr>
        <w:t> </w:t>
      </w:r>
      <w:r>
        <w:rPr>
          <w:color w:val="231F1F"/>
        </w:rPr>
        <w:t>el</w:t>
      </w:r>
      <w:r>
        <w:rPr>
          <w:color w:val="231F1F"/>
          <w:spacing w:val="40"/>
        </w:rPr>
        <w:t> </w:t>
      </w:r>
      <w:r>
        <w:rPr>
          <w:color w:val="231F1F"/>
        </w:rPr>
        <w:t>tipo de</w:t>
      </w:r>
      <w:r>
        <w:rPr>
          <w:color w:val="231F1F"/>
          <w:spacing w:val="19"/>
        </w:rPr>
        <w:t> </w:t>
      </w:r>
      <w:r>
        <w:rPr>
          <w:color w:val="231F1F"/>
        </w:rPr>
        <w:t>parto</w:t>
      </w:r>
      <w:r>
        <w:rPr>
          <w:color w:val="231F1F"/>
          <w:spacing w:val="19"/>
        </w:rPr>
        <w:t> </w:t>
      </w:r>
      <w:r>
        <w:rPr>
          <w:color w:val="231F1F"/>
        </w:rPr>
        <w:t>(8</w:t>
      </w:r>
      <w:r>
        <w:rPr>
          <w:color w:val="231F1F"/>
          <w:spacing w:val="20"/>
        </w:rPr>
        <w:t> </w:t>
      </w:r>
      <w:r>
        <w:rPr>
          <w:color w:val="231F1F"/>
        </w:rPr>
        <w:t>estudios</w:t>
      </w:r>
      <w:r>
        <w:rPr>
          <w:color w:val="231F1F"/>
          <w:spacing w:val="19"/>
        </w:rPr>
        <w:t> </w:t>
      </w:r>
      <w:r>
        <w:rPr>
          <w:color w:val="231F1F"/>
        </w:rPr>
        <w:t>con</w:t>
      </w:r>
      <w:r>
        <w:rPr>
          <w:color w:val="231F1F"/>
          <w:spacing w:val="19"/>
        </w:rPr>
        <w:t> </w:t>
      </w:r>
      <w:r>
        <w:rPr>
          <w:color w:val="231F1F"/>
        </w:rPr>
        <w:t>2.180</w:t>
      </w:r>
      <w:r>
        <w:rPr>
          <w:color w:val="231F1F"/>
          <w:spacing w:val="20"/>
        </w:rPr>
        <w:t> </w:t>
      </w:r>
      <w:r>
        <w:rPr>
          <w:color w:val="231F1F"/>
        </w:rPr>
        <w:t>mujeres):</w:t>
      </w:r>
      <w:r>
        <w:rPr>
          <w:color w:val="231F1F"/>
          <w:spacing w:val="19"/>
        </w:rPr>
        <w:t> </w:t>
      </w:r>
      <w:r>
        <w:rPr>
          <w:color w:val="231F1F"/>
        </w:rPr>
        <w:t>OR</w:t>
      </w:r>
      <w:r>
        <w:rPr>
          <w:color w:val="231F1F"/>
          <w:spacing w:val="20"/>
        </w:rPr>
        <w:t> </w:t>
      </w:r>
      <w:r>
        <w:rPr>
          <w:color w:val="231F1F"/>
        </w:rPr>
        <w:t>0,98</w:t>
      </w:r>
      <w:r>
        <w:rPr>
          <w:color w:val="231F1F"/>
          <w:spacing w:val="19"/>
        </w:rPr>
        <w:t> </w:t>
      </w:r>
      <w:r>
        <w:rPr>
          <w:color w:val="231F1F"/>
        </w:rPr>
        <w:t>[IC</w:t>
      </w:r>
      <w:r>
        <w:rPr>
          <w:color w:val="231F1F"/>
          <w:spacing w:val="19"/>
        </w:rPr>
        <w:t> </w:t>
      </w:r>
      <w:r>
        <w:rPr>
          <w:color w:val="231F1F"/>
        </w:rPr>
        <w:t>95%</w:t>
      </w:r>
      <w:r>
        <w:rPr>
          <w:color w:val="231F1F"/>
          <w:spacing w:val="20"/>
        </w:rPr>
        <w:t> </w:t>
      </w:r>
      <w:r>
        <w:rPr>
          <w:color w:val="231F1F"/>
        </w:rPr>
        <w:t>0,67</w:t>
      </w:r>
      <w:r>
        <w:rPr>
          <w:color w:val="231F1F"/>
          <w:spacing w:val="19"/>
        </w:rPr>
        <w:t> </w:t>
      </w:r>
      <w:r>
        <w:rPr>
          <w:color w:val="231F1F"/>
        </w:rPr>
        <w:t>a</w:t>
      </w:r>
      <w:r>
        <w:rPr>
          <w:color w:val="231F1F"/>
          <w:spacing w:val="19"/>
        </w:rPr>
        <w:t> </w:t>
      </w:r>
      <w:r>
        <w:rPr>
          <w:color w:val="231F1F"/>
        </w:rPr>
        <w:t>1,43],</w:t>
      </w:r>
      <w:r>
        <w:rPr>
          <w:color w:val="231F1F"/>
          <w:spacing w:val="20"/>
        </w:rPr>
        <w:t> </w:t>
      </w:r>
      <w:r>
        <w:rPr>
          <w:color w:val="231F1F"/>
        </w:rPr>
        <w:t>uso</w:t>
      </w:r>
      <w:r>
        <w:rPr>
          <w:color w:val="231F1F"/>
          <w:spacing w:val="19"/>
        </w:rPr>
        <w:t> </w:t>
      </w:r>
      <w:r>
        <w:rPr>
          <w:color w:val="231F1F"/>
        </w:rPr>
        <w:t>de</w:t>
      </w:r>
    </w:p>
    <w:p>
      <w:pPr>
        <w:pStyle w:val="BodyText"/>
        <w:spacing w:line="246" w:lineRule="exact"/>
        <w:ind w:left="283"/>
        <w:jc w:val="both"/>
      </w:pPr>
      <w:r>
        <w:rPr>
          <w:color w:val="231F1F"/>
        </w:rPr>
        <w:t>analgesia (6</w:t>
      </w:r>
      <w:r>
        <w:rPr>
          <w:color w:val="231F1F"/>
          <w:spacing w:val="2"/>
        </w:rPr>
        <w:t> </w:t>
      </w:r>
      <w:r>
        <w:rPr>
          <w:color w:val="231F1F"/>
        </w:rPr>
        <w:t>estudios</w:t>
      </w:r>
      <w:r>
        <w:rPr>
          <w:color w:val="231F1F"/>
          <w:spacing w:val="1"/>
        </w:rPr>
        <w:t> </w:t>
      </w:r>
      <w:r>
        <w:rPr>
          <w:color w:val="231F1F"/>
        </w:rPr>
        <w:t>con</w:t>
      </w:r>
      <w:r>
        <w:rPr>
          <w:color w:val="231F1F"/>
          <w:spacing w:val="2"/>
        </w:rPr>
        <w:t> </w:t>
      </w:r>
      <w:r>
        <w:rPr>
          <w:color w:val="231F1F"/>
        </w:rPr>
        <w:t>1.966</w:t>
      </w:r>
      <w:r>
        <w:rPr>
          <w:color w:val="231F1F"/>
          <w:spacing w:val="3"/>
        </w:rPr>
        <w:t> </w:t>
      </w:r>
      <w:r>
        <w:rPr>
          <w:color w:val="231F1F"/>
        </w:rPr>
        <w:t>mujeres):</w:t>
      </w:r>
      <w:r>
        <w:rPr>
          <w:color w:val="231F1F"/>
          <w:spacing w:val="-2"/>
        </w:rPr>
        <w:t> </w:t>
      </w:r>
      <w:r>
        <w:rPr>
          <w:color w:val="231F1F"/>
        </w:rPr>
        <w:t>OR</w:t>
      </w:r>
      <w:r>
        <w:rPr>
          <w:color w:val="231F1F"/>
          <w:spacing w:val="2"/>
        </w:rPr>
        <w:t> </w:t>
      </w:r>
      <w:r>
        <w:rPr>
          <w:color w:val="231F1F"/>
        </w:rPr>
        <w:t>0,69 [IC</w:t>
      </w:r>
      <w:r>
        <w:rPr>
          <w:color w:val="231F1F"/>
          <w:spacing w:val="2"/>
        </w:rPr>
        <w:t> </w:t>
      </w:r>
      <w:r>
        <w:rPr>
          <w:color w:val="231F1F"/>
        </w:rPr>
        <w:t>95%</w:t>
      </w:r>
      <w:r>
        <w:rPr>
          <w:color w:val="231F1F"/>
          <w:spacing w:val="3"/>
        </w:rPr>
        <w:t> </w:t>
      </w:r>
      <w:r>
        <w:rPr>
          <w:color w:val="231F1F"/>
        </w:rPr>
        <w:t>0,37</w:t>
      </w:r>
      <w:r>
        <w:rPr>
          <w:color w:val="231F1F"/>
          <w:spacing w:val="1"/>
        </w:rPr>
        <w:t> </w:t>
      </w:r>
      <w:r>
        <w:rPr>
          <w:color w:val="231F1F"/>
        </w:rPr>
        <w:t>a 1,30],</w:t>
      </w:r>
      <w:r>
        <w:rPr>
          <w:color w:val="231F1F"/>
          <w:spacing w:val="-1"/>
        </w:rPr>
        <w:t> </w:t>
      </w:r>
      <w:r>
        <w:rPr>
          <w:color w:val="231F1F"/>
          <w:spacing w:val="-2"/>
        </w:rPr>
        <w:t>induc-</w:t>
      </w:r>
    </w:p>
    <w:p>
      <w:pPr>
        <w:pStyle w:val="BodyText"/>
        <w:spacing w:before="31"/>
        <w:ind w:left="283"/>
        <w:jc w:val="both"/>
      </w:pPr>
      <w:r>
        <w:rPr>
          <w:color w:val="231F1F"/>
        </w:rPr>
        <w:t>ción</w:t>
      </w:r>
      <w:r>
        <w:rPr>
          <w:color w:val="231F1F"/>
          <w:spacing w:val="4"/>
        </w:rPr>
        <w:t> </w:t>
      </w:r>
      <w:r>
        <w:rPr>
          <w:color w:val="231F1F"/>
        </w:rPr>
        <w:t>del</w:t>
      </w:r>
      <w:r>
        <w:rPr>
          <w:color w:val="231F1F"/>
          <w:spacing w:val="9"/>
        </w:rPr>
        <w:t> </w:t>
      </w:r>
      <w:r>
        <w:rPr>
          <w:color w:val="231F1F"/>
        </w:rPr>
        <w:t>parto</w:t>
      </w:r>
      <w:r>
        <w:rPr>
          <w:color w:val="231F1F"/>
          <w:spacing w:val="11"/>
        </w:rPr>
        <w:t> </w:t>
      </w:r>
      <w:r>
        <w:rPr>
          <w:color w:val="231F1F"/>
        </w:rPr>
        <w:t>(4</w:t>
      </w:r>
      <w:r>
        <w:rPr>
          <w:color w:val="231F1F"/>
          <w:spacing w:val="9"/>
        </w:rPr>
        <w:t> </w:t>
      </w:r>
      <w:r>
        <w:rPr>
          <w:color w:val="231F1F"/>
        </w:rPr>
        <w:t>estudios</w:t>
      </w:r>
      <w:r>
        <w:rPr>
          <w:color w:val="231F1F"/>
          <w:spacing w:val="10"/>
        </w:rPr>
        <w:t> </w:t>
      </w:r>
      <w:r>
        <w:rPr>
          <w:color w:val="231F1F"/>
        </w:rPr>
        <w:t>con</w:t>
      </w:r>
      <w:r>
        <w:rPr>
          <w:color w:val="231F1F"/>
          <w:spacing w:val="10"/>
        </w:rPr>
        <w:t> </w:t>
      </w:r>
      <w:r>
        <w:rPr>
          <w:color w:val="231F1F"/>
        </w:rPr>
        <w:t>1.802</w:t>
      </w:r>
      <w:r>
        <w:rPr>
          <w:color w:val="231F1F"/>
          <w:spacing w:val="8"/>
        </w:rPr>
        <w:t> </w:t>
      </w:r>
      <w:r>
        <w:rPr>
          <w:color w:val="231F1F"/>
        </w:rPr>
        <w:t>mujeres</w:t>
      </w:r>
      <w:r>
        <w:rPr>
          <w:color w:val="231F1F"/>
          <w:spacing w:val="11"/>
        </w:rPr>
        <w:t> </w:t>
      </w:r>
      <w:r>
        <w:rPr>
          <w:color w:val="231F1F"/>
        </w:rPr>
        <w:t>1.802</w:t>
      </w:r>
      <w:r>
        <w:rPr>
          <w:color w:val="231F1F"/>
          <w:spacing w:val="9"/>
        </w:rPr>
        <w:t> </w:t>
      </w:r>
      <w:r>
        <w:rPr>
          <w:color w:val="231F1F"/>
        </w:rPr>
        <w:t>mujeres):</w:t>
      </w:r>
      <w:r>
        <w:rPr>
          <w:color w:val="231F1F"/>
          <w:spacing w:val="9"/>
        </w:rPr>
        <w:t> </w:t>
      </w:r>
      <w:r>
        <w:rPr>
          <w:color w:val="231F1F"/>
        </w:rPr>
        <w:t>OR</w:t>
      </w:r>
      <w:r>
        <w:rPr>
          <w:color w:val="231F1F"/>
          <w:spacing w:val="11"/>
        </w:rPr>
        <w:t> </w:t>
      </w:r>
      <w:r>
        <w:rPr>
          <w:color w:val="231F1F"/>
        </w:rPr>
        <w:t>0,81</w:t>
      </w:r>
      <w:r>
        <w:rPr>
          <w:color w:val="231F1F"/>
          <w:spacing w:val="9"/>
        </w:rPr>
        <w:t> </w:t>
      </w:r>
      <w:r>
        <w:rPr>
          <w:color w:val="231F1F"/>
        </w:rPr>
        <w:t>[IC</w:t>
      </w:r>
      <w:r>
        <w:rPr>
          <w:color w:val="231F1F"/>
          <w:spacing w:val="11"/>
        </w:rPr>
        <w:t> </w:t>
      </w:r>
      <w:r>
        <w:rPr>
          <w:color w:val="231F1F"/>
          <w:spacing w:val="-5"/>
        </w:rPr>
        <w:t>95%</w:t>
      </w:r>
    </w:p>
    <w:p>
      <w:pPr>
        <w:pStyle w:val="BodyText"/>
        <w:spacing w:line="244" w:lineRule="auto" w:before="16"/>
        <w:ind w:left="283" w:right="38"/>
        <w:jc w:val="both"/>
      </w:pPr>
      <w:r>
        <w:rPr>
          <w:color w:val="231F1F"/>
          <w:w w:val="105"/>
        </w:rPr>
        <w:t>0,65</w:t>
      </w:r>
      <w:r>
        <w:rPr>
          <w:color w:val="231F1F"/>
          <w:spacing w:val="-13"/>
          <w:w w:val="105"/>
        </w:rPr>
        <w:t> </w:t>
      </w:r>
      <w:r>
        <w:rPr>
          <w:color w:val="231F1F"/>
          <w:w w:val="105"/>
        </w:rPr>
        <w:t>a</w:t>
      </w:r>
      <w:r>
        <w:rPr>
          <w:color w:val="231F1F"/>
          <w:spacing w:val="-13"/>
          <w:w w:val="105"/>
        </w:rPr>
        <w:t> </w:t>
      </w:r>
      <w:r>
        <w:rPr>
          <w:color w:val="231F1F"/>
          <w:w w:val="105"/>
        </w:rPr>
        <w:t>1,01]</w:t>
      </w:r>
      <w:r>
        <w:rPr>
          <w:color w:val="231F1F"/>
          <w:spacing w:val="-13"/>
          <w:w w:val="105"/>
        </w:rPr>
        <w:t> </w:t>
      </w:r>
      <w:r>
        <w:rPr>
          <w:color w:val="231F1F"/>
          <w:w w:val="105"/>
        </w:rPr>
        <w:t>y</w:t>
      </w:r>
      <w:r>
        <w:rPr>
          <w:color w:val="231F1F"/>
          <w:spacing w:val="-13"/>
          <w:w w:val="105"/>
        </w:rPr>
        <w:t> </w:t>
      </w:r>
      <w:r>
        <w:rPr>
          <w:color w:val="231F1F"/>
          <w:w w:val="105"/>
        </w:rPr>
        <w:t>Apgar&lt;7</w:t>
      </w:r>
      <w:r>
        <w:rPr>
          <w:color w:val="231F1F"/>
          <w:spacing w:val="-13"/>
          <w:w w:val="105"/>
        </w:rPr>
        <w:t> </w:t>
      </w:r>
      <w:r>
        <w:rPr>
          <w:color w:val="231F1F"/>
          <w:w w:val="105"/>
        </w:rPr>
        <w:t>a</w:t>
      </w:r>
      <w:r>
        <w:rPr>
          <w:color w:val="231F1F"/>
          <w:spacing w:val="-13"/>
          <w:w w:val="105"/>
        </w:rPr>
        <w:t> </w:t>
      </w:r>
      <w:r>
        <w:rPr>
          <w:color w:val="231F1F"/>
          <w:w w:val="105"/>
        </w:rPr>
        <w:t>los</w:t>
      </w:r>
      <w:r>
        <w:rPr>
          <w:color w:val="231F1F"/>
          <w:spacing w:val="-13"/>
          <w:w w:val="105"/>
        </w:rPr>
        <w:t> </w:t>
      </w:r>
      <w:r>
        <w:rPr>
          <w:color w:val="231F1F"/>
          <w:w w:val="105"/>
        </w:rPr>
        <w:t>5</w:t>
      </w:r>
      <w:r>
        <w:rPr>
          <w:color w:val="231F1F"/>
          <w:spacing w:val="-13"/>
          <w:w w:val="105"/>
        </w:rPr>
        <w:t> </w:t>
      </w:r>
      <w:r>
        <w:rPr>
          <w:color w:val="231F1F"/>
          <w:w w:val="105"/>
        </w:rPr>
        <w:t>minutos</w:t>
      </w:r>
      <w:r>
        <w:rPr>
          <w:color w:val="231F1F"/>
          <w:spacing w:val="-14"/>
          <w:w w:val="105"/>
        </w:rPr>
        <w:t> </w:t>
      </w:r>
      <w:r>
        <w:rPr>
          <w:color w:val="231F1F"/>
          <w:w w:val="105"/>
        </w:rPr>
        <w:t>(6</w:t>
      </w:r>
      <w:r>
        <w:rPr>
          <w:color w:val="231F1F"/>
          <w:spacing w:val="-13"/>
          <w:w w:val="105"/>
        </w:rPr>
        <w:t> </w:t>
      </w:r>
      <w:r>
        <w:rPr>
          <w:color w:val="231F1F"/>
          <w:w w:val="105"/>
        </w:rPr>
        <w:t>estudios</w:t>
      </w:r>
      <w:r>
        <w:rPr>
          <w:color w:val="231F1F"/>
          <w:spacing w:val="-13"/>
          <w:w w:val="105"/>
        </w:rPr>
        <w:t> </w:t>
      </w:r>
      <w:r>
        <w:rPr>
          <w:color w:val="231F1F"/>
          <w:w w:val="105"/>
        </w:rPr>
        <w:t>con</w:t>
      </w:r>
      <w:r>
        <w:rPr>
          <w:color w:val="231F1F"/>
          <w:spacing w:val="-13"/>
          <w:w w:val="105"/>
        </w:rPr>
        <w:t> </w:t>
      </w:r>
      <w:r>
        <w:rPr>
          <w:color w:val="231F1F"/>
          <w:w w:val="105"/>
        </w:rPr>
        <w:t>913</w:t>
      </w:r>
      <w:r>
        <w:rPr>
          <w:color w:val="231F1F"/>
          <w:spacing w:val="-13"/>
          <w:w w:val="105"/>
        </w:rPr>
        <w:t> </w:t>
      </w:r>
      <w:r>
        <w:rPr>
          <w:color w:val="231F1F"/>
          <w:w w:val="105"/>
        </w:rPr>
        <w:t>mujeres):</w:t>
      </w:r>
      <w:r>
        <w:rPr>
          <w:color w:val="231F1F"/>
          <w:spacing w:val="-14"/>
          <w:w w:val="105"/>
        </w:rPr>
        <w:t> </w:t>
      </w:r>
      <w:r>
        <w:rPr>
          <w:color w:val="231F1F"/>
          <w:w w:val="105"/>
        </w:rPr>
        <w:t>DMP</w:t>
      </w:r>
      <w:r>
        <w:rPr>
          <w:color w:val="231F1F"/>
          <w:spacing w:val="-13"/>
          <w:w w:val="105"/>
        </w:rPr>
        <w:t> </w:t>
      </w:r>
      <w:r>
        <w:rPr>
          <w:color w:val="231F1F"/>
          <w:w w:val="105"/>
        </w:rPr>
        <w:t>0,11 [IC 95% - 0,07 a 0,28]. Aunque los resultados no fueron significativos, todos los estudios mostraban la misma tendencia a favor de un efecto protector de</w:t>
      </w:r>
      <w:r>
        <w:rPr>
          <w:color w:val="231F1F"/>
          <w:spacing w:val="80"/>
          <w:w w:val="150"/>
        </w:rPr>
        <w:t> </w:t>
      </w:r>
      <w:r>
        <w:rPr>
          <w:color w:val="231F1F"/>
          <w:w w:val="105"/>
        </w:rPr>
        <w:t>la deambulación.</w:t>
      </w:r>
    </w:p>
    <w:p>
      <w:pPr>
        <w:pStyle w:val="BodyText"/>
        <w:spacing w:line="252" w:lineRule="auto" w:before="95"/>
        <w:ind w:left="283" w:right="41" w:firstLine="453"/>
        <w:jc w:val="both"/>
      </w:pPr>
      <w:r>
        <w:rPr>
          <w:color w:val="231F1F"/>
          <w:w w:val="110"/>
        </w:rPr>
        <w:t>Los</w:t>
      </w:r>
      <w:r>
        <w:rPr>
          <w:color w:val="231F1F"/>
          <w:spacing w:val="-4"/>
          <w:w w:val="110"/>
        </w:rPr>
        <w:t> </w:t>
      </w:r>
      <w:r>
        <w:rPr>
          <w:color w:val="231F1F"/>
          <w:w w:val="110"/>
        </w:rPr>
        <w:t>resultados</w:t>
      </w:r>
      <w:r>
        <w:rPr>
          <w:color w:val="231F1F"/>
          <w:spacing w:val="-3"/>
          <w:w w:val="110"/>
        </w:rPr>
        <w:t> </w:t>
      </w:r>
      <w:r>
        <w:rPr>
          <w:color w:val="231F1F"/>
          <w:w w:val="110"/>
        </w:rPr>
        <w:t>relacionados</w:t>
      </w:r>
      <w:r>
        <w:rPr>
          <w:color w:val="231F1F"/>
          <w:spacing w:val="-3"/>
          <w:w w:val="110"/>
        </w:rPr>
        <w:t> </w:t>
      </w:r>
      <w:r>
        <w:rPr>
          <w:color w:val="231F1F"/>
          <w:w w:val="110"/>
        </w:rPr>
        <w:t>con</w:t>
      </w:r>
      <w:r>
        <w:rPr>
          <w:color w:val="231F1F"/>
          <w:spacing w:val="-3"/>
          <w:w w:val="110"/>
        </w:rPr>
        <w:t> </w:t>
      </w:r>
      <w:r>
        <w:rPr>
          <w:color w:val="231F1F"/>
          <w:w w:val="110"/>
        </w:rPr>
        <w:t>el</w:t>
      </w:r>
      <w:r>
        <w:rPr>
          <w:color w:val="231F1F"/>
          <w:spacing w:val="-4"/>
          <w:w w:val="110"/>
        </w:rPr>
        <w:t> </w:t>
      </w:r>
      <w:r>
        <w:rPr>
          <w:color w:val="231F1F"/>
          <w:w w:val="110"/>
        </w:rPr>
        <w:t>confort</w:t>
      </w:r>
      <w:r>
        <w:rPr>
          <w:color w:val="231F1F"/>
          <w:spacing w:val="-3"/>
          <w:w w:val="110"/>
        </w:rPr>
        <w:t> </w:t>
      </w:r>
      <w:r>
        <w:rPr>
          <w:color w:val="231F1F"/>
          <w:w w:val="110"/>
        </w:rPr>
        <w:t>materno</w:t>
      </w:r>
      <w:r>
        <w:rPr>
          <w:color w:val="231F1F"/>
          <w:spacing w:val="-3"/>
          <w:w w:val="110"/>
        </w:rPr>
        <w:t> </w:t>
      </w:r>
      <w:r>
        <w:rPr>
          <w:color w:val="231F1F"/>
          <w:w w:val="110"/>
        </w:rPr>
        <w:t>fueron</w:t>
      </w:r>
      <w:r>
        <w:rPr>
          <w:color w:val="231F1F"/>
          <w:spacing w:val="-3"/>
          <w:w w:val="110"/>
        </w:rPr>
        <w:t> </w:t>
      </w:r>
      <w:r>
        <w:rPr>
          <w:color w:val="231F1F"/>
          <w:w w:val="110"/>
        </w:rPr>
        <w:t>medidos</w:t>
      </w:r>
      <w:r>
        <w:rPr>
          <w:color w:val="231F1F"/>
          <w:spacing w:val="-4"/>
          <w:w w:val="110"/>
        </w:rPr>
        <w:t> </w:t>
      </w:r>
      <w:r>
        <w:rPr>
          <w:color w:val="231F1F"/>
          <w:w w:val="110"/>
        </w:rPr>
        <w:t>de manera</w:t>
      </w:r>
      <w:r>
        <w:rPr>
          <w:color w:val="231F1F"/>
          <w:w w:val="110"/>
        </w:rPr>
        <w:t> diferente</w:t>
      </w:r>
      <w:r>
        <w:rPr>
          <w:color w:val="231F1F"/>
          <w:w w:val="110"/>
        </w:rPr>
        <w:t> en</w:t>
      </w:r>
      <w:r>
        <w:rPr>
          <w:color w:val="231F1F"/>
          <w:w w:val="110"/>
        </w:rPr>
        <w:t> los</w:t>
      </w:r>
      <w:r>
        <w:rPr>
          <w:color w:val="231F1F"/>
          <w:w w:val="110"/>
        </w:rPr>
        <w:t> tres</w:t>
      </w:r>
      <w:r>
        <w:rPr>
          <w:color w:val="231F1F"/>
          <w:w w:val="110"/>
        </w:rPr>
        <w:t> estudios</w:t>
      </w:r>
      <w:r>
        <w:rPr>
          <w:color w:val="231F1F"/>
          <w:w w:val="110"/>
        </w:rPr>
        <w:t> que</w:t>
      </w:r>
      <w:r>
        <w:rPr>
          <w:color w:val="231F1F"/>
          <w:w w:val="110"/>
        </w:rPr>
        <w:t> lo</w:t>
      </w:r>
      <w:r>
        <w:rPr>
          <w:color w:val="231F1F"/>
          <w:w w:val="110"/>
        </w:rPr>
        <w:t> evaluaban</w:t>
      </w:r>
      <w:r>
        <w:rPr>
          <w:color w:val="231F1F"/>
          <w:w w:val="110"/>
        </w:rPr>
        <w:t> por</w:t>
      </w:r>
      <w:r>
        <w:rPr>
          <w:color w:val="231F1F"/>
          <w:w w:val="110"/>
        </w:rPr>
        <w:t> lo</w:t>
      </w:r>
      <w:r>
        <w:rPr>
          <w:color w:val="231F1F"/>
          <w:w w:val="110"/>
        </w:rPr>
        <w:t> que</w:t>
      </w:r>
      <w:r>
        <w:rPr>
          <w:color w:val="231F1F"/>
          <w:w w:val="110"/>
        </w:rPr>
        <w:t> no</w:t>
      </w:r>
      <w:r>
        <w:rPr>
          <w:color w:val="231F1F"/>
          <w:w w:val="110"/>
        </w:rPr>
        <w:t> han </w:t>
      </w:r>
      <w:r>
        <w:rPr>
          <w:color w:val="231F1F"/>
        </w:rPr>
        <w:t>podido</w:t>
      </w:r>
      <w:r>
        <w:rPr>
          <w:color w:val="231F1F"/>
          <w:spacing w:val="35"/>
        </w:rPr>
        <w:t> </w:t>
      </w:r>
      <w:r>
        <w:rPr>
          <w:color w:val="231F1F"/>
        </w:rPr>
        <w:t>agruparse.</w:t>
      </w:r>
      <w:r>
        <w:rPr>
          <w:color w:val="231F1F"/>
          <w:spacing w:val="35"/>
        </w:rPr>
        <w:t> </w:t>
      </w:r>
      <w:r>
        <w:rPr>
          <w:color w:val="231F1F"/>
        </w:rPr>
        <w:t>Dos</w:t>
      </w:r>
      <w:r>
        <w:rPr>
          <w:color w:val="231F1F"/>
          <w:spacing w:val="35"/>
        </w:rPr>
        <w:t> </w:t>
      </w:r>
      <w:r>
        <w:rPr>
          <w:color w:val="231F1F"/>
        </w:rPr>
        <w:t>de</w:t>
      </w:r>
      <w:r>
        <w:rPr>
          <w:color w:val="231F1F"/>
          <w:spacing w:val="35"/>
        </w:rPr>
        <w:t> </w:t>
      </w:r>
      <w:r>
        <w:rPr>
          <w:color w:val="231F1F"/>
        </w:rPr>
        <w:t>ellos</w:t>
      </w:r>
      <w:r>
        <w:rPr>
          <w:color w:val="231F1F"/>
          <w:spacing w:val="35"/>
        </w:rPr>
        <w:t> </w:t>
      </w:r>
      <w:r>
        <w:rPr>
          <w:color w:val="231F1F"/>
        </w:rPr>
        <w:t>no</w:t>
      </w:r>
      <w:r>
        <w:rPr>
          <w:color w:val="231F1F"/>
          <w:spacing w:val="35"/>
        </w:rPr>
        <w:t> </w:t>
      </w:r>
      <w:r>
        <w:rPr>
          <w:color w:val="231F1F"/>
        </w:rPr>
        <w:t>mostraron</w:t>
      </w:r>
      <w:r>
        <w:rPr>
          <w:color w:val="231F1F"/>
          <w:spacing w:val="35"/>
        </w:rPr>
        <w:t> </w:t>
      </w:r>
      <w:r>
        <w:rPr>
          <w:color w:val="231F1F"/>
        </w:rPr>
        <w:t>diferencias</w:t>
      </w:r>
      <w:r>
        <w:rPr>
          <w:color w:val="231F1F"/>
          <w:spacing w:val="35"/>
        </w:rPr>
        <w:t> </w:t>
      </w:r>
      <w:r>
        <w:rPr>
          <w:color w:val="231F1F"/>
        </w:rPr>
        <w:t>entre</w:t>
      </w:r>
      <w:r>
        <w:rPr>
          <w:color w:val="231F1F"/>
          <w:spacing w:val="35"/>
        </w:rPr>
        <w:t> </w:t>
      </w:r>
      <w:r>
        <w:rPr>
          <w:color w:val="231F1F"/>
        </w:rPr>
        <w:t>los</w:t>
      </w:r>
      <w:r>
        <w:rPr>
          <w:color w:val="231F1F"/>
          <w:spacing w:val="35"/>
        </w:rPr>
        <w:t> </w:t>
      </w:r>
      <w:r>
        <w:rPr>
          <w:color w:val="231F1F"/>
        </w:rPr>
        <w:t>dos</w:t>
      </w:r>
      <w:r>
        <w:rPr>
          <w:color w:val="231F1F"/>
          <w:spacing w:val="35"/>
        </w:rPr>
        <w:t> </w:t>
      </w:r>
      <w:r>
        <w:rPr>
          <w:color w:val="231F1F"/>
        </w:rPr>
        <w:t>grupos, </w:t>
      </w:r>
      <w:r>
        <w:rPr>
          <w:color w:val="231F1F"/>
          <w:w w:val="110"/>
        </w:rPr>
        <w:t>en</w:t>
      </w:r>
      <w:r>
        <w:rPr>
          <w:color w:val="231F1F"/>
          <w:spacing w:val="-16"/>
          <w:w w:val="110"/>
        </w:rPr>
        <w:t> </w:t>
      </w:r>
      <w:r>
        <w:rPr>
          <w:color w:val="231F1F"/>
          <w:w w:val="110"/>
        </w:rPr>
        <w:t>otro</w:t>
      </w:r>
      <w:r>
        <w:rPr>
          <w:color w:val="231F1F"/>
          <w:spacing w:val="-15"/>
          <w:w w:val="110"/>
        </w:rPr>
        <w:t> </w:t>
      </w:r>
      <w:r>
        <w:rPr>
          <w:color w:val="231F1F"/>
          <w:w w:val="110"/>
        </w:rPr>
        <w:t>se</w:t>
      </w:r>
      <w:r>
        <w:rPr>
          <w:color w:val="231F1F"/>
          <w:spacing w:val="-15"/>
          <w:w w:val="110"/>
        </w:rPr>
        <w:t> </w:t>
      </w:r>
      <w:r>
        <w:rPr>
          <w:color w:val="231F1F"/>
          <w:w w:val="110"/>
        </w:rPr>
        <w:t>observó</w:t>
      </w:r>
      <w:r>
        <w:rPr>
          <w:color w:val="231F1F"/>
          <w:spacing w:val="-15"/>
          <w:w w:val="110"/>
        </w:rPr>
        <w:t> </w:t>
      </w:r>
      <w:r>
        <w:rPr>
          <w:color w:val="231F1F"/>
          <w:w w:val="110"/>
        </w:rPr>
        <w:t>una</w:t>
      </w:r>
      <w:r>
        <w:rPr>
          <w:color w:val="231F1F"/>
          <w:spacing w:val="-15"/>
          <w:w w:val="110"/>
        </w:rPr>
        <w:t> </w:t>
      </w:r>
      <w:r>
        <w:rPr>
          <w:color w:val="231F1F"/>
          <w:w w:val="110"/>
        </w:rPr>
        <w:t>valoración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experiencia</w:t>
      </w:r>
      <w:r>
        <w:rPr>
          <w:color w:val="231F1F"/>
          <w:spacing w:val="-16"/>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más</w:t>
      </w:r>
      <w:r>
        <w:rPr>
          <w:color w:val="231F1F"/>
          <w:spacing w:val="-15"/>
          <w:w w:val="110"/>
        </w:rPr>
        <w:t> </w:t>
      </w:r>
      <w:r>
        <w:rPr>
          <w:color w:val="231F1F"/>
          <w:w w:val="110"/>
        </w:rPr>
        <w:t>positiva</w:t>
      </w:r>
      <w:r>
        <w:rPr>
          <w:color w:val="231F1F"/>
          <w:spacing w:val="-15"/>
          <w:w w:val="110"/>
        </w:rPr>
        <w:t> </w:t>
      </w:r>
      <w:r>
        <w:rPr>
          <w:color w:val="231F1F"/>
          <w:w w:val="110"/>
        </w:rPr>
        <w:t>en el grupo de deambulación.</w:t>
      </w:r>
    </w:p>
    <w:p>
      <w:pPr>
        <w:spacing w:line="278" w:lineRule="auto" w:before="124"/>
        <w:ind w:left="283" w:right="456" w:firstLine="0"/>
        <w:jc w:val="center"/>
        <w:rPr>
          <w:rFonts w:ascii="Arial MT"/>
          <w:sz w:val="18"/>
        </w:rPr>
      </w:pPr>
      <w:r>
        <w:rPr/>
        <w:br w:type="column"/>
      </w:r>
      <w:r>
        <w:rPr>
          <w:rFonts w:ascii="Arial MT"/>
          <w:color w:val="231F1F"/>
          <w:spacing w:val="-4"/>
          <w:sz w:val="18"/>
        </w:rPr>
        <w:t>RS</w:t>
      </w:r>
      <w:r>
        <w:rPr>
          <w:rFonts w:ascii="Arial MT"/>
          <w:color w:val="231F1F"/>
          <w:spacing w:val="-19"/>
          <w:sz w:val="18"/>
        </w:rPr>
        <w:t> </w:t>
      </w:r>
      <w:r>
        <w:rPr>
          <w:rFonts w:ascii="Arial MT"/>
          <w:color w:val="231F1F"/>
          <w:spacing w:val="-4"/>
          <w:sz w:val="18"/>
        </w:rPr>
        <w:t>de 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33"/>
        <w:rPr>
          <w:rFonts w:ascii="Arial MT"/>
          <w:sz w:val="18"/>
        </w:rPr>
      </w:pPr>
    </w:p>
    <w:p>
      <w:pPr>
        <w:spacing w:line="276" w:lineRule="auto" w:before="0"/>
        <w:ind w:left="283" w:right="456" w:firstLine="0"/>
        <w:jc w:val="center"/>
        <w:rPr>
          <w:rFonts w:ascii="Arial MT"/>
          <w:sz w:val="18"/>
        </w:rPr>
      </w:pPr>
      <w:r>
        <w:rPr>
          <w:rFonts w:ascii="Arial MT"/>
          <w:color w:val="231F1F"/>
          <w:spacing w:val="-4"/>
          <w:sz w:val="18"/>
        </w:rPr>
        <w:t>RS</w:t>
      </w:r>
      <w:r>
        <w:rPr>
          <w:rFonts w:ascii="Arial MT"/>
          <w:color w:val="231F1F"/>
          <w:spacing w:val="-19"/>
          <w:sz w:val="18"/>
        </w:rPr>
        <w:t> </w:t>
      </w:r>
      <w:r>
        <w:rPr>
          <w:rFonts w:ascii="Arial MT"/>
          <w:color w:val="231F1F"/>
          <w:spacing w:val="-4"/>
          <w:sz w:val="18"/>
        </w:rPr>
        <w:t>de 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2"/>
        <w:rPr>
          <w:rFonts w:ascii="Arial MT"/>
          <w:sz w:val="18"/>
        </w:rPr>
      </w:pPr>
    </w:p>
    <w:p>
      <w:pPr>
        <w:spacing w:line="278" w:lineRule="auto" w:before="1"/>
        <w:ind w:left="283" w:right="456" w:firstLine="0"/>
        <w:jc w:val="center"/>
        <w:rPr>
          <w:rFonts w:ascii="Arial MT"/>
          <w:sz w:val="18"/>
        </w:rPr>
      </w:pPr>
      <w:r>
        <w:rPr>
          <w:rFonts w:ascii="Arial MT"/>
          <w:color w:val="231F1F"/>
          <w:spacing w:val="-4"/>
          <w:sz w:val="18"/>
        </w:rPr>
        <w:t>RS</w:t>
      </w:r>
      <w:r>
        <w:rPr>
          <w:rFonts w:ascii="Arial MT"/>
          <w:color w:val="231F1F"/>
          <w:spacing w:val="-19"/>
          <w:sz w:val="18"/>
        </w:rPr>
        <w:t> </w:t>
      </w:r>
      <w:r>
        <w:rPr>
          <w:rFonts w:ascii="Arial MT"/>
          <w:color w:val="231F1F"/>
          <w:spacing w:val="-4"/>
          <w:sz w:val="18"/>
        </w:rPr>
        <w:t>de ECAs </w:t>
      </w:r>
      <w:r>
        <w:rPr>
          <w:rFonts w:ascii="Arial MT"/>
          <w:color w:val="231F1F"/>
          <w:spacing w:val="-6"/>
          <w:sz w:val="18"/>
        </w:rPr>
        <w:t>1+</w:t>
      </w:r>
    </w:p>
    <w:p>
      <w:pPr>
        <w:spacing w:after="0" w:line="278" w:lineRule="auto"/>
        <w:jc w:val="center"/>
        <w:rPr>
          <w:rFonts w:ascii="Arial MT"/>
          <w:sz w:val="18"/>
        </w:rPr>
        <w:sectPr>
          <w:pgSz w:w="11900" w:h="16840"/>
          <w:pgMar w:header="0" w:footer="622" w:top="1560" w:bottom="820" w:left="1417" w:right="1559"/>
          <w:cols w:num="2" w:equalWidth="0">
            <w:col w:w="7596" w:space="110"/>
            <w:col w:w="1218"/>
          </w:cols>
        </w:sectPr>
      </w:pPr>
    </w:p>
    <w:p>
      <w:pPr>
        <w:pStyle w:val="BodyText"/>
        <w:spacing w:line="252" w:lineRule="auto" w:before="73"/>
        <w:ind w:left="283" w:right="1362" w:firstLine="453"/>
        <w:jc w:val="both"/>
      </w:pPr>
      <w:r>
        <w:rPr>
          <w:color w:val="231F1F"/>
          <w:w w:val="105"/>
        </w:rPr>
        <w:t>En la RS se concluye que a pesar de que la posición vertical o deambu- lación en la primera etapa del parto parece ser segura, no se recomienda</w:t>
      </w:r>
      <w:r>
        <w:rPr>
          <w:color w:val="231F1F"/>
          <w:spacing w:val="-2"/>
          <w:w w:val="105"/>
        </w:rPr>
        <w:t> </w:t>
      </w:r>
      <w:r>
        <w:rPr>
          <w:color w:val="231F1F"/>
          <w:w w:val="105"/>
        </w:rPr>
        <w:t>como una intervención eficaz para reducir la duración de la primera etapa del parto. También</w:t>
      </w:r>
      <w:r>
        <w:rPr>
          <w:color w:val="231F1F"/>
          <w:w w:val="105"/>
        </w:rPr>
        <w:t> se</w:t>
      </w:r>
      <w:r>
        <w:rPr>
          <w:color w:val="231F1F"/>
          <w:w w:val="105"/>
        </w:rPr>
        <w:t> recomienda</w:t>
      </w:r>
      <w:r>
        <w:rPr>
          <w:color w:val="231F1F"/>
          <w:w w:val="105"/>
        </w:rPr>
        <w:t> realizar</w:t>
      </w:r>
      <w:r>
        <w:rPr>
          <w:color w:val="231F1F"/>
          <w:w w:val="105"/>
        </w:rPr>
        <w:t> nuevos</w:t>
      </w:r>
      <w:r>
        <w:rPr>
          <w:color w:val="231F1F"/>
          <w:w w:val="105"/>
        </w:rPr>
        <w:t> estudios</w:t>
      </w:r>
      <w:r>
        <w:rPr>
          <w:color w:val="231F1F"/>
          <w:w w:val="105"/>
        </w:rPr>
        <w:t> bien</w:t>
      </w:r>
      <w:r>
        <w:rPr>
          <w:color w:val="231F1F"/>
          <w:w w:val="105"/>
        </w:rPr>
        <w:t> diseñados</w:t>
      </w:r>
      <w:r>
        <w:rPr>
          <w:color w:val="231F1F"/>
          <w:w w:val="105"/>
        </w:rPr>
        <w:t> que</w:t>
      </w:r>
      <w:r>
        <w:rPr>
          <w:color w:val="231F1F"/>
          <w:w w:val="105"/>
        </w:rPr>
        <w:t> investi- guen la eficacia de la posición materna sobre la duración del trabajo de parto</w:t>
      </w:r>
      <w:r>
        <w:rPr>
          <w:color w:val="231F1F"/>
          <w:spacing w:val="80"/>
          <w:w w:val="105"/>
        </w:rPr>
        <w:t> </w:t>
      </w:r>
      <w:r>
        <w:rPr>
          <w:color w:val="231F1F"/>
          <w:w w:val="105"/>
        </w:rPr>
        <w:t>y sobre otros resultados.</w:t>
      </w:r>
    </w:p>
    <w:p>
      <w:pPr>
        <w:pStyle w:val="BodyText"/>
        <w:spacing w:line="249" w:lineRule="auto" w:before="124"/>
        <w:ind w:left="283" w:right="1364" w:firstLine="453"/>
        <w:jc w:val="both"/>
      </w:pPr>
      <w:r>
        <w:rPr>
          <w:color w:val="231F1F"/>
          <w:w w:val="110"/>
        </w:rPr>
        <w:t>En</w:t>
      </w:r>
      <w:r>
        <w:rPr>
          <w:color w:val="231F1F"/>
          <w:spacing w:val="-4"/>
          <w:w w:val="110"/>
        </w:rPr>
        <w:t> </w:t>
      </w:r>
      <w:r>
        <w:rPr>
          <w:color w:val="231F1F"/>
          <w:w w:val="110"/>
        </w:rPr>
        <w:t>resumen</w:t>
      </w:r>
      <w:r>
        <w:rPr>
          <w:color w:val="231F1F"/>
          <w:spacing w:val="-4"/>
          <w:w w:val="110"/>
        </w:rPr>
        <w:t> </w:t>
      </w:r>
      <w:r>
        <w:rPr>
          <w:color w:val="231F1F"/>
          <w:w w:val="110"/>
        </w:rPr>
        <w:t>existe</w:t>
      </w:r>
      <w:r>
        <w:rPr>
          <w:color w:val="231F1F"/>
          <w:spacing w:val="-4"/>
          <w:w w:val="110"/>
        </w:rPr>
        <w:t> </w:t>
      </w:r>
      <w:r>
        <w:rPr>
          <w:color w:val="231F1F"/>
          <w:w w:val="110"/>
        </w:rPr>
        <w:t>evidencia</w:t>
      </w:r>
      <w:r>
        <w:rPr>
          <w:color w:val="231F1F"/>
          <w:spacing w:val="-4"/>
          <w:w w:val="110"/>
        </w:rPr>
        <w:t> </w:t>
      </w:r>
      <w:r>
        <w:rPr>
          <w:color w:val="231F1F"/>
          <w:w w:val="110"/>
        </w:rPr>
        <w:t>de</w:t>
      </w:r>
      <w:r>
        <w:rPr>
          <w:color w:val="231F1F"/>
          <w:spacing w:val="-4"/>
          <w:w w:val="110"/>
        </w:rPr>
        <w:t> </w:t>
      </w:r>
      <w:r>
        <w:rPr>
          <w:color w:val="231F1F"/>
          <w:w w:val="110"/>
        </w:rPr>
        <w:t>buena</w:t>
      </w:r>
      <w:r>
        <w:rPr>
          <w:color w:val="231F1F"/>
          <w:spacing w:val="-4"/>
          <w:w w:val="110"/>
        </w:rPr>
        <w:t> </w:t>
      </w:r>
      <w:r>
        <w:rPr>
          <w:color w:val="231F1F"/>
          <w:w w:val="110"/>
        </w:rPr>
        <w:t>calidad</w:t>
      </w:r>
      <w:r>
        <w:rPr>
          <w:color w:val="231F1F"/>
          <w:spacing w:val="-4"/>
          <w:w w:val="110"/>
        </w:rPr>
        <w:t> </w:t>
      </w:r>
      <w:r>
        <w:rPr>
          <w:color w:val="231F1F"/>
          <w:w w:val="110"/>
        </w:rPr>
        <w:t>sobre</w:t>
      </w:r>
      <w:r>
        <w:rPr>
          <w:color w:val="231F1F"/>
          <w:spacing w:val="-4"/>
          <w:w w:val="110"/>
        </w:rPr>
        <w:t> </w:t>
      </w:r>
      <w:r>
        <w:rPr>
          <w:color w:val="231F1F"/>
          <w:w w:val="110"/>
        </w:rPr>
        <w:t>la</w:t>
      </w:r>
      <w:r>
        <w:rPr>
          <w:color w:val="231F1F"/>
          <w:spacing w:val="-4"/>
          <w:w w:val="110"/>
        </w:rPr>
        <w:t> </w:t>
      </w:r>
      <w:r>
        <w:rPr>
          <w:color w:val="231F1F"/>
          <w:w w:val="110"/>
        </w:rPr>
        <w:t>influencia</w:t>
      </w:r>
      <w:r>
        <w:rPr>
          <w:color w:val="231F1F"/>
          <w:spacing w:val="-4"/>
          <w:w w:val="110"/>
        </w:rPr>
        <w:t> </w:t>
      </w:r>
      <w:r>
        <w:rPr>
          <w:color w:val="231F1F"/>
          <w:w w:val="110"/>
        </w:rPr>
        <w:t>de</w:t>
      </w:r>
      <w:r>
        <w:rPr>
          <w:color w:val="231F1F"/>
          <w:spacing w:val="-4"/>
          <w:w w:val="110"/>
        </w:rPr>
        <w:t> </w:t>
      </w:r>
      <w:r>
        <w:rPr>
          <w:color w:val="231F1F"/>
          <w:w w:val="110"/>
        </w:rPr>
        <w:t>la </w:t>
      </w:r>
      <w:r>
        <w:rPr>
          <w:color w:val="231F1F"/>
        </w:rPr>
        <w:t>adopción de diferentes posiciones (verticales vs horizontales), que no muestra </w:t>
      </w:r>
      <w:r>
        <w:rPr>
          <w:color w:val="231F1F"/>
          <w:w w:val="110"/>
        </w:rPr>
        <w:t>diferencias</w:t>
      </w:r>
      <w:r>
        <w:rPr>
          <w:color w:val="231F1F"/>
          <w:spacing w:val="-7"/>
          <w:w w:val="110"/>
        </w:rPr>
        <w:t> </w:t>
      </w:r>
      <w:r>
        <w:rPr>
          <w:color w:val="231F1F"/>
          <w:w w:val="110"/>
        </w:rPr>
        <w:t>significativas</w:t>
      </w:r>
      <w:r>
        <w:rPr>
          <w:color w:val="231F1F"/>
          <w:spacing w:val="-7"/>
          <w:w w:val="110"/>
        </w:rPr>
        <w:t> </w:t>
      </w:r>
      <w:r>
        <w:rPr>
          <w:color w:val="231F1F"/>
          <w:w w:val="110"/>
        </w:rPr>
        <w:t>en</w:t>
      </w:r>
      <w:r>
        <w:rPr>
          <w:color w:val="231F1F"/>
          <w:spacing w:val="-6"/>
          <w:w w:val="110"/>
        </w:rPr>
        <w:t> </w:t>
      </w:r>
      <w:r>
        <w:rPr>
          <w:color w:val="231F1F"/>
          <w:w w:val="110"/>
        </w:rPr>
        <w:t>resultados</w:t>
      </w:r>
      <w:r>
        <w:rPr>
          <w:color w:val="231F1F"/>
          <w:spacing w:val="-7"/>
          <w:w w:val="110"/>
        </w:rPr>
        <w:t> </w:t>
      </w:r>
      <w:r>
        <w:rPr>
          <w:color w:val="231F1F"/>
          <w:w w:val="110"/>
        </w:rPr>
        <w:t>de</w:t>
      </w:r>
      <w:r>
        <w:rPr>
          <w:color w:val="231F1F"/>
          <w:spacing w:val="-6"/>
          <w:w w:val="110"/>
        </w:rPr>
        <w:t> </w:t>
      </w:r>
      <w:r>
        <w:rPr>
          <w:color w:val="231F1F"/>
          <w:w w:val="110"/>
        </w:rPr>
        <w:t>parto</w:t>
      </w:r>
      <w:r>
        <w:rPr>
          <w:color w:val="231F1F"/>
          <w:spacing w:val="-7"/>
          <w:w w:val="110"/>
        </w:rPr>
        <w:t> </w:t>
      </w:r>
      <w:r>
        <w:rPr>
          <w:color w:val="231F1F"/>
          <w:w w:val="110"/>
        </w:rPr>
        <w:t>como</w:t>
      </w:r>
      <w:r>
        <w:rPr>
          <w:color w:val="231F1F"/>
          <w:spacing w:val="-6"/>
          <w:w w:val="110"/>
        </w:rPr>
        <w:t> </w:t>
      </w:r>
      <w:r>
        <w:rPr>
          <w:color w:val="231F1F"/>
          <w:w w:val="110"/>
        </w:rPr>
        <w:t>uso</w:t>
      </w:r>
      <w:r>
        <w:rPr>
          <w:color w:val="231F1F"/>
          <w:spacing w:val="-7"/>
          <w:w w:val="110"/>
        </w:rPr>
        <w:t> </w:t>
      </w:r>
      <w:r>
        <w:rPr>
          <w:color w:val="231F1F"/>
          <w:w w:val="110"/>
        </w:rPr>
        <w:t>de</w:t>
      </w:r>
      <w:r>
        <w:rPr>
          <w:color w:val="231F1F"/>
          <w:spacing w:val="-6"/>
          <w:w w:val="110"/>
        </w:rPr>
        <w:t> </w:t>
      </w:r>
      <w:r>
        <w:rPr>
          <w:color w:val="231F1F"/>
          <w:w w:val="110"/>
        </w:rPr>
        <w:t>oxitocina</w:t>
      </w:r>
      <w:r>
        <w:rPr>
          <w:color w:val="231F1F"/>
          <w:spacing w:val="-7"/>
          <w:w w:val="110"/>
        </w:rPr>
        <w:t> </w:t>
      </w:r>
      <w:r>
        <w:rPr>
          <w:color w:val="231F1F"/>
          <w:w w:val="110"/>
        </w:rPr>
        <w:t>y</w:t>
      </w:r>
      <w:r>
        <w:rPr>
          <w:color w:val="231F1F"/>
          <w:spacing w:val="-6"/>
          <w:w w:val="110"/>
        </w:rPr>
        <w:t> </w:t>
      </w:r>
      <w:r>
        <w:rPr>
          <w:color w:val="231F1F"/>
          <w:w w:val="110"/>
        </w:rPr>
        <w:t>de analgésicos,</w:t>
      </w:r>
      <w:r>
        <w:rPr>
          <w:color w:val="231F1F"/>
          <w:spacing w:val="-10"/>
          <w:w w:val="110"/>
        </w:rPr>
        <w:t> </w:t>
      </w:r>
      <w:r>
        <w:rPr>
          <w:color w:val="231F1F"/>
          <w:w w:val="110"/>
        </w:rPr>
        <w:t>tipo</w:t>
      </w:r>
      <w:r>
        <w:rPr>
          <w:color w:val="231F1F"/>
          <w:spacing w:val="-10"/>
          <w:w w:val="110"/>
        </w:rPr>
        <w:t> </w:t>
      </w:r>
      <w:r>
        <w:rPr>
          <w:color w:val="231F1F"/>
          <w:w w:val="110"/>
        </w:rPr>
        <w:t>de</w:t>
      </w:r>
      <w:r>
        <w:rPr>
          <w:color w:val="231F1F"/>
          <w:spacing w:val="-10"/>
          <w:w w:val="110"/>
        </w:rPr>
        <w:t> </w:t>
      </w:r>
      <w:r>
        <w:rPr>
          <w:color w:val="231F1F"/>
          <w:w w:val="110"/>
        </w:rPr>
        <w:t>parto</w:t>
      </w:r>
      <w:r>
        <w:rPr>
          <w:color w:val="231F1F"/>
          <w:spacing w:val="-10"/>
          <w:w w:val="110"/>
        </w:rPr>
        <w:t> </w:t>
      </w:r>
      <w:r>
        <w:rPr>
          <w:color w:val="231F1F"/>
          <w:w w:val="110"/>
        </w:rPr>
        <w:t>y</w:t>
      </w:r>
      <w:r>
        <w:rPr>
          <w:color w:val="231F1F"/>
          <w:spacing w:val="-10"/>
          <w:w w:val="110"/>
        </w:rPr>
        <w:t> </w:t>
      </w:r>
      <w:r>
        <w:rPr>
          <w:color w:val="231F1F"/>
          <w:w w:val="110"/>
        </w:rPr>
        <w:t>resultados</w:t>
      </w:r>
      <w:r>
        <w:rPr>
          <w:color w:val="231F1F"/>
          <w:spacing w:val="-9"/>
          <w:w w:val="110"/>
        </w:rPr>
        <w:t> </w:t>
      </w:r>
      <w:r>
        <w:rPr>
          <w:color w:val="231F1F"/>
          <w:w w:val="110"/>
        </w:rPr>
        <w:t>maternos</w:t>
      </w:r>
      <w:r>
        <w:rPr>
          <w:color w:val="231F1F"/>
          <w:spacing w:val="-10"/>
          <w:w w:val="110"/>
        </w:rPr>
        <w:t> </w:t>
      </w:r>
      <w:r>
        <w:rPr>
          <w:color w:val="231F1F"/>
          <w:w w:val="110"/>
        </w:rPr>
        <w:t>o</w:t>
      </w:r>
      <w:r>
        <w:rPr>
          <w:color w:val="231F1F"/>
          <w:spacing w:val="-10"/>
          <w:w w:val="110"/>
        </w:rPr>
        <w:t> </w:t>
      </w:r>
      <w:r>
        <w:rPr>
          <w:color w:val="231F1F"/>
          <w:w w:val="110"/>
        </w:rPr>
        <w:t>neonatales.</w:t>
      </w:r>
      <w:r>
        <w:rPr>
          <w:color w:val="231F1F"/>
          <w:spacing w:val="-11"/>
          <w:w w:val="110"/>
        </w:rPr>
        <w:t> </w:t>
      </w:r>
      <w:r>
        <w:rPr>
          <w:color w:val="231F1F"/>
          <w:w w:val="110"/>
        </w:rPr>
        <w:t>Por</w:t>
      </w:r>
      <w:r>
        <w:rPr>
          <w:color w:val="231F1F"/>
          <w:spacing w:val="-11"/>
          <w:w w:val="110"/>
        </w:rPr>
        <w:t> </w:t>
      </w:r>
      <w:r>
        <w:rPr>
          <w:color w:val="231F1F"/>
          <w:w w:val="110"/>
        </w:rPr>
        <w:t>otro</w:t>
      </w:r>
      <w:r>
        <w:rPr>
          <w:color w:val="231F1F"/>
          <w:spacing w:val="-10"/>
          <w:w w:val="110"/>
        </w:rPr>
        <w:t> </w:t>
      </w:r>
      <w:r>
        <w:rPr>
          <w:color w:val="231F1F"/>
          <w:w w:val="110"/>
        </w:rPr>
        <w:t>lado, en</w:t>
      </w:r>
      <w:r>
        <w:rPr>
          <w:color w:val="231F1F"/>
          <w:spacing w:val="-7"/>
          <w:w w:val="110"/>
        </w:rPr>
        <w:t> </w:t>
      </w:r>
      <w:r>
        <w:rPr>
          <w:color w:val="231F1F"/>
          <w:w w:val="110"/>
        </w:rPr>
        <w:t>relación</w:t>
      </w:r>
      <w:r>
        <w:rPr>
          <w:color w:val="231F1F"/>
          <w:spacing w:val="-6"/>
          <w:w w:val="110"/>
        </w:rPr>
        <w:t> </w:t>
      </w:r>
      <w:r>
        <w:rPr>
          <w:color w:val="231F1F"/>
          <w:w w:val="110"/>
        </w:rPr>
        <w:t>a</w:t>
      </w:r>
      <w:r>
        <w:rPr>
          <w:color w:val="231F1F"/>
          <w:spacing w:val="-7"/>
          <w:w w:val="110"/>
        </w:rPr>
        <w:t> </w:t>
      </w:r>
      <w:r>
        <w:rPr>
          <w:color w:val="231F1F"/>
          <w:w w:val="110"/>
        </w:rPr>
        <w:t>la</w:t>
      </w:r>
      <w:r>
        <w:rPr>
          <w:color w:val="231F1F"/>
          <w:spacing w:val="-7"/>
          <w:w w:val="110"/>
        </w:rPr>
        <w:t> </w:t>
      </w:r>
      <w:r>
        <w:rPr>
          <w:color w:val="231F1F"/>
          <w:w w:val="110"/>
        </w:rPr>
        <w:t>duración</w:t>
      </w:r>
      <w:r>
        <w:rPr>
          <w:color w:val="231F1F"/>
          <w:spacing w:val="-7"/>
          <w:w w:val="110"/>
        </w:rPr>
        <w:t> </w:t>
      </w:r>
      <w:r>
        <w:rPr>
          <w:color w:val="231F1F"/>
          <w:w w:val="110"/>
        </w:rPr>
        <w:t>del</w:t>
      </w:r>
      <w:r>
        <w:rPr>
          <w:color w:val="231F1F"/>
          <w:spacing w:val="-8"/>
          <w:w w:val="110"/>
        </w:rPr>
        <w:t> </w:t>
      </w:r>
      <w:r>
        <w:rPr>
          <w:color w:val="231F1F"/>
          <w:w w:val="110"/>
        </w:rPr>
        <w:t>parto</w:t>
      </w:r>
      <w:r>
        <w:rPr>
          <w:color w:val="231F1F"/>
          <w:spacing w:val="-7"/>
          <w:w w:val="110"/>
        </w:rPr>
        <w:t> </w:t>
      </w:r>
      <w:r>
        <w:rPr>
          <w:color w:val="231F1F"/>
          <w:w w:val="110"/>
        </w:rPr>
        <w:t>y</w:t>
      </w:r>
      <w:r>
        <w:rPr>
          <w:color w:val="231F1F"/>
          <w:spacing w:val="-7"/>
          <w:w w:val="110"/>
        </w:rPr>
        <w:t> </w:t>
      </w:r>
      <w:r>
        <w:rPr>
          <w:color w:val="231F1F"/>
          <w:w w:val="110"/>
        </w:rPr>
        <w:t>el</w:t>
      </w:r>
      <w:r>
        <w:rPr>
          <w:color w:val="231F1F"/>
          <w:spacing w:val="-8"/>
          <w:w w:val="110"/>
        </w:rPr>
        <w:t> </w:t>
      </w:r>
      <w:r>
        <w:rPr>
          <w:color w:val="231F1F"/>
          <w:w w:val="110"/>
        </w:rPr>
        <w:t>confort</w:t>
      </w:r>
      <w:r>
        <w:rPr>
          <w:color w:val="231F1F"/>
          <w:spacing w:val="-7"/>
          <w:w w:val="110"/>
        </w:rPr>
        <w:t> </w:t>
      </w:r>
      <w:r>
        <w:rPr>
          <w:color w:val="231F1F"/>
          <w:w w:val="110"/>
        </w:rPr>
        <w:t>materno,</w:t>
      </w:r>
      <w:r>
        <w:rPr>
          <w:color w:val="231F1F"/>
          <w:spacing w:val="-7"/>
          <w:w w:val="110"/>
        </w:rPr>
        <w:t> </w:t>
      </w:r>
      <w:r>
        <w:rPr>
          <w:color w:val="231F1F"/>
          <w:w w:val="110"/>
        </w:rPr>
        <w:t>la</w:t>
      </w:r>
      <w:r>
        <w:rPr>
          <w:color w:val="231F1F"/>
          <w:spacing w:val="-7"/>
          <w:w w:val="110"/>
        </w:rPr>
        <w:t> </w:t>
      </w:r>
      <w:r>
        <w:rPr>
          <w:color w:val="231F1F"/>
          <w:w w:val="110"/>
        </w:rPr>
        <w:t>evidencia</w:t>
      </w:r>
      <w:r>
        <w:rPr>
          <w:color w:val="231F1F"/>
          <w:spacing w:val="-7"/>
          <w:w w:val="110"/>
        </w:rPr>
        <w:t> </w:t>
      </w:r>
      <w:r>
        <w:rPr>
          <w:color w:val="231F1F"/>
          <w:w w:val="110"/>
        </w:rPr>
        <w:t>encon- trada no es consistente entre diferentes estudios ni concluyente.</w:t>
      </w:r>
    </w:p>
    <w:p>
      <w:pPr>
        <w:pStyle w:val="BodyText"/>
        <w:spacing w:line="247" w:lineRule="auto" w:before="131"/>
        <w:ind w:left="283" w:right="1370" w:firstLine="453"/>
        <w:jc w:val="both"/>
      </w:pPr>
      <w:r>
        <w:rPr>
          <w:color w:val="231F1F"/>
          <w:w w:val="110"/>
        </w:rPr>
        <w:t>A</w:t>
      </w:r>
      <w:r>
        <w:rPr>
          <w:color w:val="231F1F"/>
          <w:spacing w:val="-7"/>
          <w:w w:val="110"/>
        </w:rPr>
        <w:t> </w:t>
      </w:r>
      <w:r>
        <w:rPr>
          <w:color w:val="231F1F"/>
          <w:w w:val="110"/>
        </w:rPr>
        <w:t>pesar</w:t>
      </w:r>
      <w:r>
        <w:rPr>
          <w:color w:val="231F1F"/>
          <w:spacing w:val="-9"/>
          <w:w w:val="110"/>
        </w:rPr>
        <w:t> </w:t>
      </w:r>
      <w:r>
        <w:rPr>
          <w:color w:val="231F1F"/>
          <w:w w:val="110"/>
        </w:rPr>
        <w:t>de</w:t>
      </w:r>
      <w:r>
        <w:rPr>
          <w:color w:val="231F1F"/>
          <w:spacing w:val="-8"/>
          <w:w w:val="110"/>
        </w:rPr>
        <w:t> </w:t>
      </w:r>
      <w:r>
        <w:rPr>
          <w:color w:val="231F1F"/>
          <w:w w:val="110"/>
        </w:rPr>
        <w:t>que</w:t>
      </w:r>
      <w:r>
        <w:rPr>
          <w:color w:val="231F1F"/>
          <w:spacing w:val="-8"/>
          <w:w w:val="110"/>
        </w:rPr>
        <w:t> </w:t>
      </w:r>
      <w:r>
        <w:rPr>
          <w:color w:val="231F1F"/>
          <w:w w:val="110"/>
        </w:rPr>
        <w:t>Souza</w:t>
      </w:r>
      <w:r>
        <w:rPr>
          <w:color w:val="231F1F"/>
          <w:spacing w:val="-9"/>
          <w:w w:val="110"/>
        </w:rPr>
        <w:t> </w:t>
      </w:r>
      <w:r>
        <w:rPr>
          <w:color w:val="231F1F"/>
          <w:w w:val="110"/>
        </w:rPr>
        <w:t>(54)</w:t>
      </w:r>
      <w:r>
        <w:rPr>
          <w:color w:val="231F1F"/>
          <w:spacing w:val="-8"/>
          <w:w w:val="110"/>
        </w:rPr>
        <w:t> </w:t>
      </w:r>
      <w:r>
        <w:rPr>
          <w:color w:val="231F1F"/>
          <w:w w:val="110"/>
        </w:rPr>
        <w:t>evalúa</w:t>
      </w:r>
      <w:r>
        <w:rPr>
          <w:color w:val="231F1F"/>
          <w:spacing w:val="-8"/>
          <w:w w:val="110"/>
        </w:rPr>
        <w:t> </w:t>
      </w:r>
      <w:r>
        <w:rPr>
          <w:color w:val="231F1F"/>
          <w:w w:val="110"/>
        </w:rPr>
        <w:t>las</w:t>
      </w:r>
      <w:r>
        <w:rPr>
          <w:color w:val="231F1F"/>
          <w:spacing w:val="-9"/>
          <w:w w:val="110"/>
        </w:rPr>
        <w:t> </w:t>
      </w:r>
      <w:r>
        <w:rPr>
          <w:color w:val="231F1F"/>
          <w:w w:val="110"/>
        </w:rPr>
        <w:t>diferentes</w:t>
      </w:r>
      <w:r>
        <w:rPr>
          <w:color w:val="231F1F"/>
          <w:spacing w:val="-9"/>
          <w:w w:val="110"/>
        </w:rPr>
        <w:t> </w:t>
      </w:r>
      <w:r>
        <w:rPr>
          <w:color w:val="231F1F"/>
          <w:w w:val="110"/>
        </w:rPr>
        <w:t>posiciones</w:t>
      </w:r>
      <w:r>
        <w:rPr>
          <w:color w:val="231F1F"/>
          <w:spacing w:val="-8"/>
          <w:w w:val="110"/>
        </w:rPr>
        <w:t> </w:t>
      </w:r>
      <w:r>
        <w:rPr>
          <w:color w:val="231F1F"/>
          <w:w w:val="110"/>
        </w:rPr>
        <w:t>como</w:t>
      </w:r>
      <w:r>
        <w:rPr>
          <w:color w:val="231F1F"/>
          <w:spacing w:val="-8"/>
          <w:w w:val="110"/>
        </w:rPr>
        <w:t> </w:t>
      </w:r>
      <w:r>
        <w:rPr>
          <w:color w:val="231F1F"/>
          <w:w w:val="110"/>
        </w:rPr>
        <w:t>inter- venciones</w:t>
      </w:r>
      <w:r>
        <w:rPr>
          <w:color w:val="231F1F"/>
          <w:spacing w:val="-2"/>
          <w:w w:val="110"/>
        </w:rPr>
        <w:t> </w:t>
      </w:r>
      <w:r>
        <w:rPr>
          <w:color w:val="231F1F"/>
          <w:w w:val="110"/>
        </w:rPr>
        <w:t>para</w:t>
      </w:r>
      <w:r>
        <w:rPr>
          <w:color w:val="231F1F"/>
          <w:spacing w:val="-2"/>
          <w:w w:val="110"/>
        </w:rPr>
        <w:t> </w:t>
      </w:r>
      <w:r>
        <w:rPr>
          <w:color w:val="231F1F"/>
          <w:w w:val="110"/>
        </w:rPr>
        <w:t>la</w:t>
      </w:r>
      <w:r>
        <w:rPr>
          <w:color w:val="231F1F"/>
          <w:spacing w:val="-2"/>
          <w:w w:val="110"/>
        </w:rPr>
        <w:t> </w:t>
      </w:r>
      <w:r>
        <w:rPr>
          <w:color w:val="231F1F"/>
          <w:w w:val="110"/>
        </w:rPr>
        <w:t>disminución</w:t>
      </w:r>
      <w:r>
        <w:rPr>
          <w:color w:val="231F1F"/>
          <w:spacing w:val="-2"/>
          <w:w w:val="110"/>
        </w:rPr>
        <w:t> </w:t>
      </w:r>
      <w:r>
        <w:rPr>
          <w:color w:val="231F1F"/>
          <w:w w:val="110"/>
        </w:rPr>
        <w:t>de</w:t>
      </w:r>
      <w:r>
        <w:rPr>
          <w:color w:val="231F1F"/>
          <w:spacing w:val="-2"/>
          <w:w w:val="110"/>
        </w:rPr>
        <w:t> </w:t>
      </w:r>
      <w:r>
        <w:rPr>
          <w:color w:val="231F1F"/>
          <w:w w:val="110"/>
        </w:rPr>
        <w:t>la</w:t>
      </w:r>
      <w:r>
        <w:rPr>
          <w:color w:val="231F1F"/>
          <w:spacing w:val="-2"/>
          <w:w w:val="110"/>
        </w:rPr>
        <w:t> </w:t>
      </w:r>
      <w:r>
        <w:rPr>
          <w:color w:val="231F1F"/>
          <w:w w:val="110"/>
        </w:rPr>
        <w:t>duración</w:t>
      </w:r>
      <w:r>
        <w:rPr>
          <w:color w:val="231F1F"/>
          <w:spacing w:val="-2"/>
          <w:w w:val="110"/>
        </w:rPr>
        <w:t> </w:t>
      </w:r>
      <w:r>
        <w:rPr>
          <w:color w:val="231F1F"/>
          <w:w w:val="110"/>
        </w:rPr>
        <w:t>de</w:t>
      </w:r>
      <w:r>
        <w:rPr>
          <w:color w:val="231F1F"/>
          <w:spacing w:val="-2"/>
          <w:w w:val="110"/>
        </w:rPr>
        <w:t> </w:t>
      </w:r>
      <w:r>
        <w:rPr>
          <w:color w:val="231F1F"/>
          <w:w w:val="110"/>
        </w:rPr>
        <w:t>la</w:t>
      </w:r>
      <w:r>
        <w:rPr>
          <w:color w:val="231F1F"/>
          <w:spacing w:val="-2"/>
          <w:w w:val="110"/>
        </w:rPr>
        <w:t> </w:t>
      </w:r>
      <w:r>
        <w:rPr>
          <w:color w:val="231F1F"/>
          <w:w w:val="110"/>
        </w:rPr>
        <w:t>primera</w:t>
      </w:r>
      <w:r>
        <w:rPr>
          <w:color w:val="231F1F"/>
          <w:spacing w:val="-2"/>
          <w:w w:val="110"/>
        </w:rPr>
        <w:t> </w:t>
      </w:r>
      <w:r>
        <w:rPr>
          <w:color w:val="231F1F"/>
          <w:w w:val="110"/>
        </w:rPr>
        <w:t>etapa</w:t>
      </w:r>
      <w:r>
        <w:rPr>
          <w:color w:val="231F1F"/>
          <w:spacing w:val="-2"/>
          <w:w w:val="110"/>
        </w:rPr>
        <w:t> </w:t>
      </w:r>
      <w:r>
        <w:rPr>
          <w:color w:val="231F1F"/>
          <w:w w:val="110"/>
        </w:rPr>
        <w:t>del</w:t>
      </w:r>
      <w:r>
        <w:rPr>
          <w:color w:val="231F1F"/>
          <w:spacing w:val="-2"/>
          <w:w w:val="110"/>
        </w:rPr>
        <w:t> </w:t>
      </w:r>
      <w:r>
        <w:rPr>
          <w:color w:val="231F1F"/>
          <w:w w:val="110"/>
        </w:rPr>
        <w:t>parto, cabe</w:t>
      </w:r>
      <w:r>
        <w:rPr>
          <w:color w:val="231F1F"/>
          <w:spacing w:val="-15"/>
          <w:w w:val="110"/>
        </w:rPr>
        <w:t> </w:t>
      </w:r>
      <w:r>
        <w:rPr>
          <w:color w:val="231F1F"/>
          <w:w w:val="110"/>
        </w:rPr>
        <w:t>mencionar</w:t>
      </w:r>
      <w:r>
        <w:rPr>
          <w:color w:val="231F1F"/>
          <w:spacing w:val="-15"/>
          <w:w w:val="110"/>
        </w:rPr>
        <w:t> </w:t>
      </w:r>
      <w:r>
        <w:rPr>
          <w:color w:val="231F1F"/>
          <w:w w:val="110"/>
        </w:rPr>
        <w:t>que</w:t>
      </w:r>
      <w:r>
        <w:rPr>
          <w:color w:val="231F1F"/>
          <w:spacing w:val="-15"/>
          <w:w w:val="110"/>
        </w:rPr>
        <w:t> </w:t>
      </w:r>
      <w:r>
        <w:rPr>
          <w:color w:val="231F1F"/>
          <w:w w:val="110"/>
        </w:rPr>
        <w:t>la</w:t>
      </w:r>
      <w:r>
        <w:rPr>
          <w:color w:val="231F1F"/>
          <w:spacing w:val="-15"/>
          <w:w w:val="110"/>
        </w:rPr>
        <w:t> </w:t>
      </w:r>
      <w:r>
        <w:rPr>
          <w:color w:val="231F1F"/>
          <w:w w:val="110"/>
        </w:rPr>
        <w:t>duración</w:t>
      </w:r>
      <w:r>
        <w:rPr>
          <w:color w:val="231F1F"/>
          <w:spacing w:val="-15"/>
          <w:w w:val="110"/>
        </w:rPr>
        <w:t> </w:t>
      </w:r>
      <w:r>
        <w:rPr>
          <w:color w:val="231F1F"/>
          <w:w w:val="110"/>
        </w:rPr>
        <w:t>no</w:t>
      </w:r>
      <w:r>
        <w:rPr>
          <w:color w:val="231F1F"/>
          <w:spacing w:val="-15"/>
          <w:w w:val="110"/>
        </w:rPr>
        <w:t> </w:t>
      </w:r>
      <w:r>
        <w:rPr>
          <w:color w:val="231F1F"/>
          <w:w w:val="110"/>
        </w:rPr>
        <w:t>tiene</w:t>
      </w:r>
      <w:r>
        <w:rPr>
          <w:color w:val="231F1F"/>
          <w:spacing w:val="-15"/>
          <w:w w:val="110"/>
        </w:rPr>
        <w:t> </w:t>
      </w:r>
      <w:r>
        <w:rPr>
          <w:color w:val="231F1F"/>
          <w:w w:val="110"/>
        </w:rPr>
        <w:t>la</w:t>
      </w:r>
      <w:r>
        <w:rPr>
          <w:color w:val="231F1F"/>
          <w:spacing w:val="-15"/>
          <w:w w:val="110"/>
        </w:rPr>
        <w:t> </w:t>
      </w:r>
      <w:r>
        <w:rPr>
          <w:color w:val="231F1F"/>
          <w:w w:val="110"/>
        </w:rPr>
        <w:t>trascendencia</w:t>
      </w:r>
      <w:r>
        <w:rPr>
          <w:color w:val="231F1F"/>
          <w:spacing w:val="-14"/>
          <w:w w:val="110"/>
        </w:rPr>
        <w:t> </w:t>
      </w:r>
      <w:r>
        <w:rPr>
          <w:color w:val="231F1F"/>
          <w:w w:val="110"/>
        </w:rPr>
        <w:t>clínica</w:t>
      </w:r>
      <w:r>
        <w:rPr>
          <w:color w:val="231F1F"/>
          <w:spacing w:val="-15"/>
          <w:w w:val="110"/>
        </w:rPr>
        <w:t> </w:t>
      </w:r>
      <w:r>
        <w:rPr>
          <w:color w:val="231F1F"/>
          <w:w w:val="110"/>
        </w:rPr>
        <w:t>que</w:t>
      </w:r>
      <w:r>
        <w:rPr>
          <w:color w:val="231F1F"/>
          <w:spacing w:val="-15"/>
          <w:w w:val="110"/>
        </w:rPr>
        <w:t> </w:t>
      </w:r>
      <w:r>
        <w:rPr>
          <w:color w:val="231F1F"/>
          <w:w w:val="110"/>
        </w:rPr>
        <w:t>inicial- mente</w:t>
      </w:r>
      <w:r>
        <w:rPr>
          <w:color w:val="231F1F"/>
          <w:spacing w:val="-7"/>
          <w:w w:val="110"/>
        </w:rPr>
        <w:t> </w:t>
      </w:r>
      <w:r>
        <w:rPr>
          <w:color w:val="231F1F"/>
          <w:w w:val="110"/>
        </w:rPr>
        <w:t>se</w:t>
      </w:r>
      <w:r>
        <w:rPr>
          <w:color w:val="231F1F"/>
          <w:spacing w:val="-7"/>
          <w:w w:val="110"/>
        </w:rPr>
        <w:t> </w:t>
      </w:r>
      <w:r>
        <w:rPr>
          <w:color w:val="231F1F"/>
          <w:w w:val="110"/>
        </w:rPr>
        <w:t>creyó,</w:t>
      </w:r>
      <w:r>
        <w:rPr>
          <w:color w:val="231F1F"/>
          <w:spacing w:val="-7"/>
          <w:w w:val="110"/>
        </w:rPr>
        <w:t> </w:t>
      </w:r>
      <w:r>
        <w:rPr>
          <w:color w:val="231F1F"/>
          <w:w w:val="110"/>
        </w:rPr>
        <w:t>además</w:t>
      </w:r>
      <w:r>
        <w:rPr>
          <w:color w:val="231F1F"/>
          <w:spacing w:val="-7"/>
          <w:w w:val="110"/>
        </w:rPr>
        <w:t> </w:t>
      </w:r>
      <w:r>
        <w:rPr>
          <w:color w:val="231F1F"/>
          <w:w w:val="110"/>
        </w:rPr>
        <w:t>la</w:t>
      </w:r>
      <w:r>
        <w:rPr>
          <w:color w:val="231F1F"/>
          <w:spacing w:val="-7"/>
          <w:w w:val="110"/>
        </w:rPr>
        <w:t> </w:t>
      </w:r>
      <w:r>
        <w:rPr>
          <w:color w:val="231F1F"/>
          <w:w w:val="110"/>
        </w:rPr>
        <w:t>evidencia</w:t>
      </w:r>
      <w:r>
        <w:rPr>
          <w:color w:val="231F1F"/>
          <w:spacing w:val="-7"/>
          <w:w w:val="110"/>
        </w:rPr>
        <w:t> </w:t>
      </w:r>
      <w:r>
        <w:rPr>
          <w:color w:val="231F1F"/>
          <w:w w:val="110"/>
        </w:rPr>
        <w:t>encontrada</w:t>
      </w:r>
      <w:r>
        <w:rPr>
          <w:color w:val="231F1F"/>
          <w:spacing w:val="-6"/>
          <w:w w:val="110"/>
        </w:rPr>
        <w:t> </w:t>
      </w:r>
      <w:r>
        <w:rPr>
          <w:color w:val="231F1F"/>
          <w:w w:val="110"/>
        </w:rPr>
        <w:t>respecto</w:t>
      </w:r>
      <w:r>
        <w:rPr>
          <w:color w:val="231F1F"/>
          <w:spacing w:val="-6"/>
          <w:w w:val="110"/>
        </w:rPr>
        <w:t> </w:t>
      </w:r>
      <w:r>
        <w:rPr>
          <w:color w:val="231F1F"/>
          <w:w w:val="110"/>
        </w:rPr>
        <w:t>a</w:t>
      </w:r>
      <w:r>
        <w:rPr>
          <w:color w:val="231F1F"/>
          <w:spacing w:val="-7"/>
          <w:w w:val="110"/>
        </w:rPr>
        <w:t> </w:t>
      </w:r>
      <w:r>
        <w:rPr>
          <w:color w:val="231F1F"/>
          <w:w w:val="110"/>
        </w:rPr>
        <w:t>la</w:t>
      </w:r>
      <w:r>
        <w:rPr>
          <w:color w:val="231F1F"/>
          <w:spacing w:val="-7"/>
          <w:w w:val="110"/>
        </w:rPr>
        <w:t> </w:t>
      </w:r>
      <w:r>
        <w:rPr>
          <w:color w:val="231F1F"/>
          <w:w w:val="110"/>
        </w:rPr>
        <w:t>relación</w:t>
      </w:r>
      <w:r>
        <w:rPr>
          <w:color w:val="231F1F"/>
          <w:spacing w:val="-6"/>
          <w:w w:val="110"/>
        </w:rPr>
        <w:t> </w:t>
      </w:r>
      <w:r>
        <w:rPr>
          <w:color w:val="231F1F"/>
          <w:w w:val="110"/>
        </w:rPr>
        <w:t>entre </w:t>
      </w:r>
      <w:r>
        <w:rPr>
          <w:color w:val="231F1F"/>
          <w:spacing w:val="-2"/>
          <w:w w:val="110"/>
        </w:rPr>
        <w:t>diferentes</w:t>
      </w:r>
      <w:r>
        <w:rPr>
          <w:color w:val="231F1F"/>
          <w:spacing w:val="-11"/>
          <w:w w:val="110"/>
        </w:rPr>
        <w:t> </w:t>
      </w:r>
      <w:r>
        <w:rPr>
          <w:color w:val="231F1F"/>
          <w:spacing w:val="-2"/>
          <w:w w:val="110"/>
        </w:rPr>
        <w:t>posiciones</w:t>
      </w:r>
      <w:r>
        <w:rPr>
          <w:color w:val="231F1F"/>
          <w:spacing w:val="-11"/>
          <w:w w:val="110"/>
        </w:rPr>
        <w:t> </w:t>
      </w:r>
      <w:r>
        <w:rPr>
          <w:color w:val="231F1F"/>
          <w:spacing w:val="-2"/>
          <w:w w:val="110"/>
        </w:rPr>
        <w:t>y</w:t>
      </w:r>
      <w:r>
        <w:rPr>
          <w:color w:val="231F1F"/>
          <w:spacing w:val="-11"/>
          <w:w w:val="110"/>
        </w:rPr>
        <w:t> </w:t>
      </w:r>
      <w:r>
        <w:rPr>
          <w:color w:val="231F1F"/>
          <w:spacing w:val="-2"/>
          <w:w w:val="110"/>
        </w:rPr>
        <w:t>la</w:t>
      </w:r>
      <w:r>
        <w:rPr>
          <w:color w:val="231F1F"/>
          <w:spacing w:val="-11"/>
          <w:w w:val="110"/>
        </w:rPr>
        <w:t> </w:t>
      </w:r>
      <w:r>
        <w:rPr>
          <w:color w:val="231F1F"/>
          <w:spacing w:val="-2"/>
          <w:w w:val="110"/>
        </w:rPr>
        <w:t>duración</w:t>
      </w:r>
      <w:r>
        <w:rPr>
          <w:color w:val="231F1F"/>
          <w:spacing w:val="-11"/>
          <w:w w:val="110"/>
        </w:rPr>
        <w:t> </w:t>
      </w:r>
      <w:r>
        <w:rPr>
          <w:color w:val="231F1F"/>
          <w:spacing w:val="-2"/>
          <w:w w:val="110"/>
        </w:rPr>
        <w:t>no</w:t>
      </w:r>
      <w:r>
        <w:rPr>
          <w:color w:val="231F1F"/>
          <w:spacing w:val="-11"/>
          <w:w w:val="110"/>
        </w:rPr>
        <w:t> </w:t>
      </w:r>
      <w:r>
        <w:rPr>
          <w:color w:val="231F1F"/>
          <w:spacing w:val="-2"/>
          <w:w w:val="110"/>
        </w:rPr>
        <w:t>es</w:t>
      </w:r>
      <w:r>
        <w:rPr>
          <w:color w:val="231F1F"/>
          <w:spacing w:val="-11"/>
          <w:w w:val="110"/>
        </w:rPr>
        <w:t> </w:t>
      </w:r>
      <w:r>
        <w:rPr>
          <w:color w:val="231F1F"/>
          <w:spacing w:val="-2"/>
          <w:w w:val="110"/>
        </w:rPr>
        <w:t>consistente</w:t>
      </w:r>
      <w:r>
        <w:rPr>
          <w:color w:val="231F1F"/>
          <w:spacing w:val="-11"/>
          <w:w w:val="110"/>
        </w:rPr>
        <w:t> </w:t>
      </w:r>
      <w:r>
        <w:rPr>
          <w:color w:val="231F1F"/>
          <w:spacing w:val="-2"/>
          <w:w w:val="110"/>
        </w:rPr>
        <w:t>entre</w:t>
      </w:r>
      <w:r>
        <w:rPr>
          <w:color w:val="231F1F"/>
          <w:spacing w:val="-11"/>
          <w:w w:val="110"/>
        </w:rPr>
        <w:t> </w:t>
      </w:r>
      <w:r>
        <w:rPr>
          <w:color w:val="231F1F"/>
          <w:spacing w:val="-2"/>
          <w:w w:val="110"/>
        </w:rPr>
        <w:t>diferentes</w:t>
      </w:r>
      <w:r>
        <w:rPr>
          <w:color w:val="231F1F"/>
          <w:spacing w:val="-11"/>
          <w:w w:val="110"/>
        </w:rPr>
        <w:t> </w:t>
      </w:r>
      <w:r>
        <w:rPr>
          <w:color w:val="231F1F"/>
          <w:spacing w:val="-2"/>
          <w:w w:val="110"/>
        </w:rPr>
        <w:t>estudios </w:t>
      </w:r>
      <w:r>
        <w:rPr>
          <w:color w:val="231F1F"/>
          <w:w w:val="110"/>
        </w:rPr>
        <w:t>ni concluyente.</w:t>
      </w:r>
    </w:p>
    <w:p>
      <w:pPr>
        <w:pStyle w:val="BodyText"/>
        <w:spacing w:before="155"/>
        <w:ind w:left="283" w:right="1365" w:firstLine="453"/>
        <w:jc w:val="both"/>
      </w:pPr>
      <w:r>
        <w:rPr>
          <w:color w:val="231F1F"/>
          <w:w w:val="105"/>
        </w:rPr>
        <w:t>La evidencia sugiere que la adopción de diferentes posiciones durante la primera</w:t>
      </w:r>
      <w:r>
        <w:rPr>
          <w:color w:val="231F1F"/>
          <w:spacing w:val="40"/>
          <w:w w:val="105"/>
        </w:rPr>
        <w:t> </w:t>
      </w:r>
      <w:r>
        <w:rPr>
          <w:color w:val="231F1F"/>
          <w:w w:val="105"/>
        </w:rPr>
        <w:t>etapa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es</w:t>
      </w:r>
      <w:r>
        <w:rPr>
          <w:color w:val="231F1F"/>
          <w:spacing w:val="40"/>
          <w:w w:val="105"/>
        </w:rPr>
        <w:t> </w:t>
      </w:r>
      <w:r>
        <w:rPr>
          <w:color w:val="231F1F"/>
          <w:w w:val="105"/>
        </w:rPr>
        <w:t>segura</w:t>
      </w:r>
      <w:r>
        <w:rPr>
          <w:color w:val="231F1F"/>
          <w:spacing w:val="40"/>
          <w:w w:val="105"/>
        </w:rPr>
        <w:t> </w:t>
      </w:r>
      <w:r>
        <w:rPr>
          <w:color w:val="231F1F"/>
          <w:w w:val="105"/>
        </w:rPr>
        <w:t>y</w:t>
      </w:r>
      <w:r>
        <w:rPr>
          <w:color w:val="231F1F"/>
          <w:spacing w:val="40"/>
          <w:w w:val="105"/>
        </w:rPr>
        <w:t> </w:t>
      </w:r>
      <w:r>
        <w:rPr>
          <w:color w:val="231F1F"/>
          <w:w w:val="105"/>
        </w:rPr>
        <w:t>no</w:t>
      </w:r>
      <w:r>
        <w:rPr>
          <w:color w:val="231F1F"/>
          <w:spacing w:val="40"/>
          <w:w w:val="105"/>
        </w:rPr>
        <w:t> </w:t>
      </w:r>
      <w:r>
        <w:rPr>
          <w:color w:val="231F1F"/>
          <w:w w:val="105"/>
        </w:rPr>
        <w:t>afecta</w:t>
      </w:r>
      <w:r>
        <w:rPr>
          <w:color w:val="231F1F"/>
          <w:spacing w:val="40"/>
          <w:w w:val="105"/>
        </w:rPr>
        <w:t> </w:t>
      </w:r>
      <w:r>
        <w:rPr>
          <w:color w:val="231F1F"/>
          <w:w w:val="105"/>
        </w:rPr>
        <w:t>a</w:t>
      </w:r>
      <w:r>
        <w:rPr>
          <w:color w:val="231F1F"/>
          <w:spacing w:val="40"/>
          <w:w w:val="105"/>
        </w:rPr>
        <w:t> </w:t>
      </w:r>
      <w:r>
        <w:rPr>
          <w:color w:val="231F1F"/>
          <w:w w:val="105"/>
        </w:rPr>
        <w:t>los</w:t>
      </w:r>
      <w:r>
        <w:rPr>
          <w:color w:val="231F1F"/>
          <w:spacing w:val="40"/>
          <w:w w:val="105"/>
        </w:rPr>
        <w:t> </w:t>
      </w:r>
      <w:r>
        <w:rPr>
          <w:color w:val="231F1F"/>
          <w:w w:val="105"/>
        </w:rPr>
        <w:t>resultados</w:t>
      </w:r>
      <w:r>
        <w:rPr>
          <w:color w:val="231F1F"/>
          <w:spacing w:val="40"/>
          <w:w w:val="105"/>
        </w:rPr>
        <w:t> </w:t>
      </w:r>
      <w:r>
        <w:rPr>
          <w:color w:val="231F1F"/>
          <w:w w:val="105"/>
        </w:rPr>
        <w:t>del</w:t>
      </w:r>
      <w:r>
        <w:rPr>
          <w:color w:val="231F1F"/>
          <w:spacing w:val="40"/>
          <w:w w:val="105"/>
        </w:rPr>
        <w:t> </w:t>
      </w:r>
      <w:r>
        <w:rPr>
          <w:color w:val="231F1F"/>
          <w:w w:val="105"/>
        </w:rPr>
        <w:t>parto.</w:t>
      </w:r>
    </w:p>
    <w:p>
      <w:pPr>
        <w:pStyle w:val="BodyText"/>
        <w:spacing w:before="17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37" w:hRule="atLeast"/>
        </w:trPr>
        <w:tc>
          <w:tcPr>
            <w:tcW w:w="7373" w:type="dxa"/>
          </w:tcPr>
          <w:p>
            <w:pPr>
              <w:pStyle w:val="TableParagraph"/>
              <w:spacing w:line="244" w:lineRule="auto" w:before="44"/>
              <w:ind w:right="81"/>
              <w:jc w:val="both"/>
              <w:rPr>
                <w:sz w:val="22"/>
              </w:rPr>
            </w:pPr>
            <w:r>
              <w:rPr>
                <w:color w:val="231F1F"/>
                <w:w w:val="105"/>
                <w:sz w:val="22"/>
              </w:rPr>
              <w:t>Entre las mujeres (con y sin analgesia epidural) que adoptan diferentes po- siciones</w:t>
            </w:r>
            <w:r>
              <w:rPr>
                <w:color w:val="231F1F"/>
                <w:w w:val="105"/>
                <w:sz w:val="22"/>
              </w:rPr>
              <w:t> durante</w:t>
            </w:r>
            <w:r>
              <w:rPr>
                <w:color w:val="231F1F"/>
                <w:w w:val="105"/>
                <w:sz w:val="22"/>
              </w:rPr>
              <w:t> la</w:t>
            </w:r>
            <w:r>
              <w:rPr>
                <w:color w:val="231F1F"/>
                <w:w w:val="105"/>
                <w:sz w:val="22"/>
              </w:rPr>
              <w:t> primera</w:t>
            </w:r>
            <w:r>
              <w:rPr>
                <w:color w:val="231F1F"/>
                <w:w w:val="105"/>
                <w:sz w:val="22"/>
              </w:rPr>
              <w:t> etapa</w:t>
            </w:r>
            <w:r>
              <w:rPr>
                <w:color w:val="231F1F"/>
                <w:w w:val="105"/>
                <w:sz w:val="22"/>
              </w:rPr>
              <w:t> del</w:t>
            </w:r>
            <w:r>
              <w:rPr>
                <w:color w:val="231F1F"/>
                <w:w w:val="105"/>
                <w:sz w:val="22"/>
              </w:rPr>
              <w:t> parto,</w:t>
            </w:r>
            <w:r>
              <w:rPr>
                <w:color w:val="231F1F"/>
                <w:w w:val="105"/>
                <w:sz w:val="22"/>
              </w:rPr>
              <w:t> no</w:t>
            </w:r>
            <w:r>
              <w:rPr>
                <w:color w:val="231F1F"/>
                <w:w w:val="105"/>
                <w:sz w:val="22"/>
              </w:rPr>
              <w:t> se</w:t>
            </w:r>
            <w:r>
              <w:rPr>
                <w:color w:val="231F1F"/>
                <w:w w:val="105"/>
                <w:sz w:val="22"/>
              </w:rPr>
              <w:t> encuentran</w:t>
            </w:r>
            <w:r>
              <w:rPr>
                <w:color w:val="231F1F"/>
                <w:w w:val="105"/>
                <w:sz w:val="22"/>
              </w:rPr>
              <w:t> diferencias significativas en cuanto al uso de oxitocina y de analgésicos, tipo de parto y resultados maternos o neonatales (48-51;53;54).</w:t>
            </w:r>
          </w:p>
        </w:tc>
        <w:tc>
          <w:tcPr>
            <w:tcW w:w="1133" w:type="dxa"/>
          </w:tcPr>
          <w:p>
            <w:pPr>
              <w:pStyle w:val="TableParagraph"/>
              <w:spacing w:before="203"/>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964" w:hRule="atLeast"/>
        </w:trPr>
        <w:tc>
          <w:tcPr>
            <w:tcW w:w="7373" w:type="dxa"/>
          </w:tcPr>
          <w:p>
            <w:pPr>
              <w:pStyle w:val="TableParagraph"/>
              <w:spacing w:line="244" w:lineRule="auto" w:before="49"/>
              <w:ind w:right="91"/>
              <w:jc w:val="both"/>
              <w:rPr>
                <w:sz w:val="22"/>
              </w:rPr>
            </w:pPr>
            <w:r>
              <w:rPr>
                <w:color w:val="231F1F"/>
                <w:w w:val="110"/>
                <w:sz w:val="22"/>
              </w:rPr>
              <w:t>La evidencia sobre el efecto de la adopción de diferentes posiciones en la duración</w:t>
            </w:r>
            <w:r>
              <w:rPr>
                <w:color w:val="231F1F"/>
                <w:spacing w:val="-1"/>
                <w:w w:val="110"/>
                <w:sz w:val="22"/>
              </w:rPr>
              <w:t> </w:t>
            </w:r>
            <w:r>
              <w:rPr>
                <w:color w:val="231F1F"/>
                <w:w w:val="110"/>
                <w:sz w:val="22"/>
              </w:rPr>
              <w:t>de</w:t>
            </w:r>
            <w:r>
              <w:rPr>
                <w:color w:val="231F1F"/>
                <w:spacing w:val="-1"/>
                <w:w w:val="110"/>
                <w:sz w:val="22"/>
              </w:rPr>
              <w:t> </w:t>
            </w:r>
            <w:r>
              <w:rPr>
                <w:color w:val="231F1F"/>
                <w:w w:val="110"/>
                <w:sz w:val="22"/>
              </w:rPr>
              <w:t>la</w:t>
            </w:r>
            <w:r>
              <w:rPr>
                <w:color w:val="231F1F"/>
                <w:spacing w:val="-1"/>
                <w:w w:val="110"/>
                <w:sz w:val="22"/>
              </w:rPr>
              <w:t> </w:t>
            </w:r>
            <w:r>
              <w:rPr>
                <w:color w:val="231F1F"/>
                <w:w w:val="110"/>
                <w:sz w:val="22"/>
              </w:rPr>
              <w:t>primera</w:t>
            </w:r>
            <w:r>
              <w:rPr>
                <w:color w:val="231F1F"/>
                <w:spacing w:val="-1"/>
                <w:w w:val="110"/>
                <w:sz w:val="22"/>
              </w:rPr>
              <w:t> </w:t>
            </w:r>
            <w:r>
              <w:rPr>
                <w:color w:val="231F1F"/>
                <w:w w:val="110"/>
                <w:sz w:val="22"/>
              </w:rPr>
              <w:t>etapa</w:t>
            </w:r>
            <w:r>
              <w:rPr>
                <w:color w:val="231F1F"/>
                <w:spacing w:val="-1"/>
                <w:w w:val="110"/>
                <w:sz w:val="22"/>
              </w:rPr>
              <w:t> </w:t>
            </w:r>
            <w:r>
              <w:rPr>
                <w:color w:val="231F1F"/>
                <w:w w:val="110"/>
                <w:sz w:val="22"/>
              </w:rPr>
              <w:t>de</w:t>
            </w:r>
            <w:r>
              <w:rPr>
                <w:color w:val="231F1F"/>
                <w:spacing w:val="-1"/>
                <w:w w:val="110"/>
                <w:sz w:val="22"/>
              </w:rPr>
              <w:t> </w:t>
            </w:r>
            <w:r>
              <w:rPr>
                <w:color w:val="231F1F"/>
                <w:w w:val="110"/>
                <w:sz w:val="22"/>
              </w:rPr>
              <w:t>parto</w:t>
            </w:r>
            <w:r>
              <w:rPr>
                <w:color w:val="231F1F"/>
                <w:spacing w:val="-1"/>
                <w:w w:val="110"/>
                <w:sz w:val="22"/>
              </w:rPr>
              <w:t> </w:t>
            </w:r>
            <w:r>
              <w:rPr>
                <w:color w:val="231F1F"/>
                <w:w w:val="110"/>
                <w:sz w:val="22"/>
              </w:rPr>
              <w:t>y en el</w:t>
            </w:r>
            <w:r>
              <w:rPr>
                <w:color w:val="231F1F"/>
                <w:spacing w:val="-1"/>
                <w:w w:val="110"/>
                <w:sz w:val="22"/>
              </w:rPr>
              <w:t> </w:t>
            </w:r>
            <w:r>
              <w:rPr>
                <w:color w:val="231F1F"/>
                <w:w w:val="110"/>
                <w:sz w:val="22"/>
              </w:rPr>
              <w:t>confort materno es inconsis- tente y no concluyente (48;51;54).</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9"/>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1242" w:hRule="atLeast"/>
        </w:trPr>
        <w:tc>
          <w:tcPr>
            <w:tcW w:w="456" w:type="dxa"/>
          </w:tcPr>
          <w:p>
            <w:pPr>
              <w:pStyle w:val="TableParagraph"/>
              <w:spacing w:before="203"/>
              <w:ind w:left="0"/>
              <w:rPr>
                <w:rFonts w:ascii="Arial MT"/>
                <w:sz w:val="22"/>
              </w:rPr>
            </w:pPr>
          </w:p>
          <w:p>
            <w:pPr>
              <w:pStyle w:val="TableParagraph"/>
              <w:spacing w:before="1"/>
              <w:rPr>
                <w:sz w:val="22"/>
              </w:rPr>
            </w:pPr>
            <w:r>
              <w:rPr>
                <w:color w:val="231F1F"/>
                <w:spacing w:val="-10"/>
                <w:w w:val="115"/>
                <w:sz w:val="22"/>
              </w:rPr>
              <w:t>A</w:t>
            </w:r>
          </w:p>
        </w:tc>
        <w:tc>
          <w:tcPr>
            <w:tcW w:w="8050" w:type="dxa"/>
          </w:tcPr>
          <w:p>
            <w:pPr>
              <w:pStyle w:val="TableParagraph"/>
              <w:spacing w:line="256" w:lineRule="auto" w:before="39"/>
              <w:ind w:right="155"/>
              <w:rPr>
                <w:sz w:val="22"/>
              </w:rPr>
            </w:pPr>
            <w:r>
              <w:rPr>
                <w:color w:val="231F1F"/>
                <w:w w:val="105"/>
                <w:sz w:val="22"/>
              </w:rPr>
              <w:t>Se</w:t>
            </w:r>
            <w:r>
              <w:rPr>
                <w:color w:val="231F1F"/>
                <w:spacing w:val="-3"/>
                <w:w w:val="105"/>
                <w:sz w:val="22"/>
              </w:rPr>
              <w:t> </w:t>
            </w:r>
            <w:r>
              <w:rPr>
                <w:color w:val="231F1F"/>
                <w:w w:val="105"/>
                <w:sz w:val="22"/>
              </w:rPr>
              <w:t>debe</w:t>
            </w:r>
            <w:r>
              <w:rPr>
                <w:color w:val="231F1F"/>
                <w:spacing w:val="-3"/>
                <w:w w:val="105"/>
                <w:sz w:val="22"/>
              </w:rPr>
              <w:t> </w:t>
            </w:r>
            <w:r>
              <w:rPr>
                <w:color w:val="231F1F"/>
                <w:w w:val="105"/>
                <w:sz w:val="22"/>
              </w:rPr>
              <w:t>alentar</w:t>
            </w:r>
            <w:r>
              <w:rPr>
                <w:color w:val="231F1F"/>
                <w:spacing w:val="-3"/>
                <w:w w:val="105"/>
                <w:sz w:val="22"/>
              </w:rPr>
              <w:t> </w:t>
            </w:r>
            <w:r>
              <w:rPr>
                <w:color w:val="231F1F"/>
                <w:w w:val="105"/>
                <w:sz w:val="22"/>
              </w:rPr>
              <w:t>y</w:t>
            </w:r>
            <w:r>
              <w:rPr>
                <w:color w:val="231F1F"/>
                <w:spacing w:val="-3"/>
                <w:w w:val="105"/>
                <w:sz w:val="22"/>
              </w:rPr>
              <w:t> </w:t>
            </w:r>
            <w:r>
              <w:rPr>
                <w:color w:val="231F1F"/>
                <w:w w:val="105"/>
                <w:sz w:val="22"/>
              </w:rPr>
              <w:t>ayudar</w:t>
            </w:r>
            <w:r>
              <w:rPr>
                <w:color w:val="231F1F"/>
                <w:spacing w:val="-3"/>
                <w:w w:val="105"/>
                <w:sz w:val="22"/>
              </w:rPr>
              <w:t> </w:t>
            </w:r>
            <w:r>
              <w:rPr>
                <w:color w:val="231F1F"/>
                <w:w w:val="105"/>
                <w:sz w:val="22"/>
              </w:rPr>
              <w:t>a</w:t>
            </w:r>
            <w:r>
              <w:rPr>
                <w:color w:val="231F1F"/>
                <w:spacing w:val="-3"/>
                <w:w w:val="105"/>
                <w:sz w:val="22"/>
              </w:rPr>
              <w:t> </w:t>
            </w:r>
            <w:r>
              <w:rPr>
                <w:color w:val="231F1F"/>
                <w:w w:val="105"/>
                <w:sz w:val="22"/>
              </w:rPr>
              <w:t>las</w:t>
            </w:r>
            <w:r>
              <w:rPr>
                <w:color w:val="231F1F"/>
                <w:spacing w:val="-3"/>
                <w:w w:val="105"/>
                <w:sz w:val="22"/>
              </w:rPr>
              <w:t> </w:t>
            </w:r>
            <w:r>
              <w:rPr>
                <w:color w:val="231F1F"/>
                <w:w w:val="105"/>
                <w:sz w:val="22"/>
              </w:rPr>
              <w:t>mujeres,</w:t>
            </w:r>
            <w:r>
              <w:rPr>
                <w:color w:val="231F1F"/>
                <w:spacing w:val="-3"/>
                <w:w w:val="105"/>
                <w:sz w:val="22"/>
              </w:rPr>
              <w:t> </w:t>
            </w:r>
            <w:r>
              <w:rPr>
                <w:color w:val="231F1F"/>
                <w:w w:val="105"/>
                <w:sz w:val="22"/>
              </w:rPr>
              <w:t>incluso</w:t>
            </w:r>
            <w:r>
              <w:rPr>
                <w:color w:val="231F1F"/>
                <w:spacing w:val="-3"/>
                <w:w w:val="105"/>
                <w:sz w:val="22"/>
              </w:rPr>
              <w:t> </w:t>
            </w:r>
            <w:r>
              <w:rPr>
                <w:color w:val="231F1F"/>
                <w:w w:val="105"/>
                <w:sz w:val="22"/>
              </w:rPr>
              <w:t>a</w:t>
            </w:r>
            <w:r>
              <w:rPr>
                <w:color w:val="231F1F"/>
                <w:spacing w:val="-3"/>
                <w:w w:val="105"/>
                <w:sz w:val="22"/>
              </w:rPr>
              <w:t> </w:t>
            </w:r>
            <w:r>
              <w:rPr>
                <w:color w:val="231F1F"/>
                <w:w w:val="105"/>
                <w:sz w:val="22"/>
              </w:rPr>
              <w:t>las</w:t>
            </w:r>
            <w:r>
              <w:rPr>
                <w:color w:val="231F1F"/>
                <w:spacing w:val="-3"/>
                <w:w w:val="105"/>
                <w:sz w:val="22"/>
              </w:rPr>
              <w:t> </w:t>
            </w:r>
            <w:r>
              <w:rPr>
                <w:color w:val="231F1F"/>
                <w:w w:val="105"/>
                <w:sz w:val="22"/>
              </w:rPr>
              <w:t>que</w:t>
            </w:r>
            <w:r>
              <w:rPr>
                <w:color w:val="231F1F"/>
                <w:spacing w:val="-3"/>
                <w:w w:val="105"/>
                <w:sz w:val="22"/>
              </w:rPr>
              <w:t> </w:t>
            </w:r>
            <w:r>
              <w:rPr>
                <w:color w:val="231F1F"/>
                <w:w w:val="105"/>
                <w:sz w:val="22"/>
              </w:rPr>
              <w:t>utilizan</w:t>
            </w:r>
            <w:r>
              <w:rPr>
                <w:color w:val="231F1F"/>
                <w:spacing w:val="-3"/>
                <w:w w:val="105"/>
                <w:sz w:val="22"/>
              </w:rPr>
              <w:t> </w:t>
            </w:r>
            <w:r>
              <w:rPr>
                <w:color w:val="231F1F"/>
                <w:w w:val="105"/>
                <w:sz w:val="22"/>
              </w:rPr>
              <w:t>analgesia</w:t>
            </w:r>
            <w:r>
              <w:rPr>
                <w:color w:val="231F1F"/>
                <w:spacing w:val="-3"/>
                <w:w w:val="105"/>
                <w:sz w:val="22"/>
              </w:rPr>
              <w:t> </w:t>
            </w:r>
            <w:r>
              <w:rPr>
                <w:color w:val="231F1F"/>
                <w:w w:val="105"/>
                <w:sz w:val="22"/>
              </w:rPr>
              <w:t>epidural, a adoptar cualquier posición que encuentren cómoda a lo largo del periodo de di- latación y a movilizarse si así lo desean, previa comprobación del bloqueo motor y </w:t>
            </w:r>
            <w:r>
              <w:rPr>
                <w:color w:val="231F1F"/>
                <w:spacing w:val="-2"/>
                <w:w w:val="105"/>
                <w:sz w:val="22"/>
              </w:rPr>
              <w:t>propioceptivo.</w:t>
            </w:r>
          </w:p>
        </w:tc>
      </w:tr>
    </w:tbl>
    <w:p>
      <w:pPr>
        <w:pStyle w:val="TableParagraph"/>
        <w:spacing w:after="0" w:line="256" w:lineRule="auto"/>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w w:val="105"/>
        </w:rPr>
        <w:t>Amniorrexis</w:t>
      </w:r>
      <w:r>
        <w:rPr>
          <w:color w:val="231F1F"/>
          <w:spacing w:val="1"/>
          <w:w w:val="105"/>
        </w:rPr>
        <w:t> </w:t>
      </w:r>
      <w:r>
        <w:rPr>
          <w:color w:val="231F1F"/>
          <w:w w:val="105"/>
        </w:rPr>
        <w:t>y</w:t>
      </w:r>
      <w:r>
        <w:rPr>
          <w:color w:val="231F1F"/>
          <w:spacing w:val="3"/>
          <w:w w:val="105"/>
        </w:rPr>
        <w:t> </w:t>
      </w:r>
      <w:r>
        <w:rPr>
          <w:color w:val="231F1F"/>
          <w:w w:val="105"/>
        </w:rPr>
        <w:t>utilización</w:t>
      </w:r>
      <w:r>
        <w:rPr>
          <w:color w:val="231F1F"/>
          <w:spacing w:val="1"/>
          <w:w w:val="105"/>
        </w:rPr>
        <w:t> </w:t>
      </w:r>
      <w:r>
        <w:rPr>
          <w:color w:val="231F1F"/>
          <w:w w:val="105"/>
        </w:rPr>
        <w:t>de</w:t>
      </w:r>
      <w:r>
        <w:rPr>
          <w:color w:val="231F1F"/>
          <w:spacing w:val="3"/>
          <w:w w:val="105"/>
        </w:rPr>
        <w:t> </w:t>
      </w:r>
      <w:r>
        <w:rPr>
          <w:color w:val="231F1F"/>
          <w:spacing w:val="-2"/>
          <w:w w:val="105"/>
        </w:rPr>
        <w:t>oxitocina</w:t>
      </w:r>
    </w:p>
    <w:p>
      <w:pPr>
        <w:pStyle w:val="BodyText"/>
        <w:spacing w:before="20"/>
        <w:rPr>
          <w:sz w:val="20"/>
        </w:rPr>
      </w:pPr>
      <w:r>
        <w:rPr>
          <w:sz w:val="20"/>
        </w:rPr>
        <mc:AlternateContent>
          <mc:Choice Requires="wps">
            <w:drawing>
              <wp:anchor distT="0" distB="0" distL="0" distR="0" allowOverlap="1" layoutInCell="1" locked="0" behindDoc="1" simplePos="0" relativeHeight="487603712">
                <wp:simplePos x="0" y="0"/>
                <wp:positionH relativeFrom="page">
                  <wp:posOffset>1082675</wp:posOffset>
                </wp:positionH>
                <wp:positionV relativeFrom="paragraph">
                  <wp:posOffset>177184</wp:posOffset>
                </wp:positionV>
                <wp:extent cx="5400040" cy="44005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5400040" cy="440055"/>
                        </a:xfrm>
                        <a:prstGeom prst="rect">
                          <a:avLst/>
                        </a:prstGeom>
                        <a:ln w="6350">
                          <a:solidFill>
                            <a:srgbClr val="A30046"/>
                          </a:solidFill>
                          <a:prstDash val="solid"/>
                        </a:ln>
                      </wps:spPr>
                      <wps:txbx>
                        <w:txbxContent>
                          <w:p>
                            <w:pPr>
                              <w:pStyle w:val="BodyText"/>
                              <w:numPr>
                                <w:ilvl w:val="0"/>
                                <w:numId w:val="28"/>
                              </w:numPr>
                              <w:tabs>
                                <w:tab w:pos="324" w:val="left" w:leader="none"/>
                              </w:tabs>
                              <w:spacing w:line="254" w:lineRule="auto" w:before="65" w:after="0"/>
                              <w:ind w:left="324" w:right="308" w:hanging="220"/>
                              <w:jc w:val="left"/>
                            </w:pPr>
                            <w:r>
                              <w:rPr>
                                <w:color w:val="231F1F"/>
                              </w:rPr>
                              <w:t>¿Cuál</w:t>
                            </w:r>
                            <w:r>
                              <w:rPr>
                                <w:color w:val="231F1F"/>
                                <w:spacing w:val="24"/>
                              </w:rPr>
                              <w:t> </w:t>
                            </w:r>
                            <w:r>
                              <w:rPr>
                                <w:color w:val="231F1F"/>
                              </w:rPr>
                              <w:t>es</w:t>
                            </w:r>
                            <w:r>
                              <w:rPr>
                                <w:color w:val="231F1F"/>
                                <w:spacing w:val="24"/>
                              </w:rPr>
                              <w:t> </w:t>
                            </w:r>
                            <w:r>
                              <w:rPr>
                                <w:color w:val="231F1F"/>
                              </w:rPr>
                              <w:t>la</w:t>
                            </w:r>
                            <w:r>
                              <w:rPr>
                                <w:color w:val="231F1F"/>
                                <w:spacing w:val="24"/>
                              </w:rPr>
                              <w:t> </w:t>
                            </w:r>
                            <w:r>
                              <w:rPr>
                                <w:color w:val="231F1F"/>
                              </w:rPr>
                              <w:t>efectividad</w:t>
                            </w:r>
                            <w:r>
                              <w:rPr>
                                <w:color w:val="231F1F"/>
                                <w:spacing w:val="24"/>
                              </w:rPr>
                              <w:t> </w:t>
                            </w:r>
                            <w:r>
                              <w:rPr>
                                <w:color w:val="231F1F"/>
                              </w:rPr>
                              <w:t>de</w:t>
                            </w:r>
                            <w:r>
                              <w:rPr>
                                <w:color w:val="231F1F"/>
                                <w:spacing w:val="24"/>
                              </w:rPr>
                              <w:t> </w:t>
                            </w:r>
                            <w:r>
                              <w:rPr>
                                <w:color w:val="231F1F"/>
                              </w:rPr>
                              <w:t>la</w:t>
                            </w:r>
                            <w:r>
                              <w:rPr>
                                <w:color w:val="231F1F"/>
                                <w:spacing w:val="24"/>
                              </w:rPr>
                              <w:t> </w:t>
                            </w:r>
                            <w:r>
                              <w:rPr>
                                <w:color w:val="231F1F"/>
                              </w:rPr>
                              <w:t>amniorrexis</w:t>
                            </w:r>
                            <w:r>
                              <w:rPr>
                                <w:color w:val="231F1F"/>
                                <w:spacing w:val="24"/>
                              </w:rPr>
                              <w:t> </w:t>
                            </w:r>
                            <w:r>
                              <w:rPr>
                                <w:color w:val="231F1F"/>
                              </w:rPr>
                              <w:t>artificial</w:t>
                            </w:r>
                            <w:r>
                              <w:rPr>
                                <w:color w:val="231F1F"/>
                                <w:spacing w:val="24"/>
                              </w:rPr>
                              <w:t> </w:t>
                            </w:r>
                            <w:r>
                              <w:rPr>
                                <w:color w:val="231F1F"/>
                              </w:rPr>
                              <w:t>rutinaria</w:t>
                            </w:r>
                            <w:r>
                              <w:rPr>
                                <w:color w:val="231F1F"/>
                                <w:spacing w:val="25"/>
                              </w:rPr>
                              <w:t> </w:t>
                            </w:r>
                            <w:r>
                              <w:rPr>
                                <w:color w:val="231F1F"/>
                              </w:rPr>
                              <w:t>y</w:t>
                            </w:r>
                            <w:r>
                              <w:rPr>
                                <w:color w:val="231F1F"/>
                                <w:spacing w:val="24"/>
                              </w:rPr>
                              <w:t> </w:t>
                            </w:r>
                            <w:r>
                              <w:rPr>
                                <w:color w:val="231F1F"/>
                              </w:rPr>
                              <w:t>de</w:t>
                            </w:r>
                            <w:r>
                              <w:rPr>
                                <w:color w:val="231F1F"/>
                                <w:spacing w:val="24"/>
                              </w:rPr>
                              <w:t> </w:t>
                            </w:r>
                            <w:r>
                              <w:rPr>
                                <w:color w:val="231F1F"/>
                              </w:rPr>
                              <w:t>la</w:t>
                            </w:r>
                            <w:r>
                              <w:rPr>
                                <w:color w:val="231F1F"/>
                                <w:spacing w:val="24"/>
                              </w:rPr>
                              <w:t> </w:t>
                            </w:r>
                            <w:r>
                              <w:rPr>
                                <w:color w:val="231F1F"/>
                              </w:rPr>
                              <w:t>perfusión</w:t>
                            </w:r>
                            <w:r>
                              <w:rPr>
                                <w:color w:val="231F1F"/>
                                <w:spacing w:val="24"/>
                              </w:rPr>
                              <w:t> </w:t>
                            </w:r>
                            <w:r>
                              <w:rPr>
                                <w:color w:val="231F1F"/>
                              </w:rPr>
                              <w:t>rutinaria de oxitocina?</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712768;mso-wrap-distance-left:0;mso-wrap-distance-right:0" type="#_x0000_t202" id="docshape54" filled="false" stroked="true" strokeweight=".5pt" strokecolor="#a30046">
                <v:textbox inset="0,0,0,0">
                  <w:txbxContent>
                    <w:p>
                      <w:pPr>
                        <w:pStyle w:val="BodyText"/>
                        <w:numPr>
                          <w:ilvl w:val="0"/>
                          <w:numId w:val="28"/>
                        </w:numPr>
                        <w:tabs>
                          <w:tab w:pos="324" w:val="left" w:leader="none"/>
                        </w:tabs>
                        <w:spacing w:line="254" w:lineRule="auto" w:before="65" w:after="0"/>
                        <w:ind w:left="324" w:right="308" w:hanging="220"/>
                        <w:jc w:val="left"/>
                      </w:pPr>
                      <w:r>
                        <w:rPr>
                          <w:color w:val="231F1F"/>
                        </w:rPr>
                        <w:t>¿Cuál</w:t>
                      </w:r>
                      <w:r>
                        <w:rPr>
                          <w:color w:val="231F1F"/>
                          <w:spacing w:val="24"/>
                        </w:rPr>
                        <w:t> </w:t>
                      </w:r>
                      <w:r>
                        <w:rPr>
                          <w:color w:val="231F1F"/>
                        </w:rPr>
                        <w:t>es</w:t>
                      </w:r>
                      <w:r>
                        <w:rPr>
                          <w:color w:val="231F1F"/>
                          <w:spacing w:val="24"/>
                        </w:rPr>
                        <w:t> </w:t>
                      </w:r>
                      <w:r>
                        <w:rPr>
                          <w:color w:val="231F1F"/>
                        </w:rPr>
                        <w:t>la</w:t>
                      </w:r>
                      <w:r>
                        <w:rPr>
                          <w:color w:val="231F1F"/>
                          <w:spacing w:val="24"/>
                        </w:rPr>
                        <w:t> </w:t>
                      </w:r>
                      <w:r>
                        <w:rPr>
                          <w:color w:val="231F1F"/>
                        </w:rPr>
                        <w:t>efectividad</w:t>
                      </w:r>
                      <w:r>
                        <w:rPr>
                          <w:color w:val="231F1F"/>
                          <w:spacing w:val="24"/>
                        </w:rPr>
                        <w:t> </w:t>
                      </w:r>
                      <w:r>
                        <w:rPr>
                          <w:color w:val="231F1F"/>
                        </w:rPr>
                        <w:t>de</w:t>
                      </w:r>
                      <w:r>
                        <w:rPr>
                          <w:color w:val="231F1F"/>
                          <w:spacing w:val="24"/>
                        </w:rPr>
                        <w:t> </w:t>
                      </w:r>
                      <w:r>
                        <w:rPr>
                          <w:color w:val="231F1F"/>
                        </w:rPr>
                        <w:t>la</w:t>
                      </w:r>
                      <w:r>
                        <w:rPr>
                          <w:color w:val="231F1F"/>
                          <w:spacing w:val="24"/>
                        </w:rPr>
                        <w:t> </w:t>
                      </w:r>
                      <w:r>
                        <w:rPr>
                          <w:color w:val="231F1F"/>
                        </w:rPr>
                        <w:t>amniorrexis</w:t>
                      </w:r>
                      <w:r>
                        <w:rPr>
                          <w:color w:val="231F1F"/>
                          <w:spacing w:val="24"/>
                        </w:rPr>
                        <w:t> </w:t>
                      </w:r>
                      <w:r>
                        <w:rPr>
                          <w:color w:val="231F1F"/>
                        </w:rPr>
                        <w:t>artificial</w:t>
                      </w:r>
                      <w:r>
                        <w:rPr>
                          <w:color w:val="231F1F"/>
                          <w:spacing w:val="24"/>
                        </w:rPr>
                        <w:t> </w:t>
                      </w:r>
                      <w:r>
                        <w:rPr>
                          <w:color w:val="231F1F"/>
                        </w:rPr>
                        <w:t>rutinaria</w:t>
                      </w:r>
                      <w:r>
                        <w:rPr>
                          <w:color w:val="231F1F"/>
                          <w:spacing w:val="25"/>
                        </w:rPr>
                        <w:t> </w:t>
                      </w:r>
                      <w:r>
                        <w:rPr>
                          <w:color w:val="231F1F"/>
                        </w:rPr>
                        <w:t>y</w:t>
                      </w:r>
                      <w:r>
                        <w:rPr>
                          <w:color w:val="231F1F"/>
                          <w:spacing w:val="24"/>
                        </w:rPr>
                        <w:t> </w:t>
                      </w:r>
                      <w:r>
                        <w:rPr>
                          <w:color w:val="231F1F"/>
                        </w:rPr>
                        <w:t>de</w:t>
                      </w:r>
                      <w:r>
                        <w:rPr>
                          <w:color w:val="231F1F"/>
                          <w:spacing w:val="24"/>
                        </w:rPr>
                        <w:t> </w:t>
                      </w:r>
                      <w:r>
                        <w:rPr>
                          <w:color w:val="231F1F"/>
                        </w:rPr>
                        <w:t>la</w:t>
                      </w:r>
                      <w:r>
                        <w:rPr>
                          <w:color w:val="231F1F"/>
                          <w:spacing w:val="24"/>
                        </w:rPr>
                        <w:t> </w:t>
                      </w:r>
                      <w:r>
                        <w:rPr>
                          <w:color w:val="231F1F"/>
                        </w:rPr>
                        <w:t>perfusión</w:t>
                      </w:r>
                      <w:r>
                        <w:rPr>
                          <w:color w:val="231F1F"/>
                          <w:spacing w:val="24"/>
                        </w:rPr>
                        <w:t> </w:t>
                      </w:r>
                      <w:r>
                        <w:rPr>
                          <w:color w:val="231F1F"/>
                        </w:rPr>
                        <w:t>rutinaria de oxitocina?</w:t>
                      </w:r>
                    </w:p>
                  </w:txbxContent>
                </v:textbox>
                <v:stroke dashstyle="solid"/>
                <w10:wrap type="topAndBottom"/>
              </v:shape>
            </w:pict>
          </mc:Fallback>
        </mc:AlternateContent>
      </w:r>
    </w:p>
    <w:p>
      <w:pPr>
        <w:pStyle w:val="BodyText"/>
        <w:spacing w:line="244" w:lineRule="auto" w:before="323"/>
        <w:ind w:left="283" w:right="123"/>
        <w:jc w:val="both"/>
      </w:pPr>
      <w:r>
        <w:rPr>
          <w:color w:val="231F1F"/>
          <w:w w:val="110"/>
        </w:rPr>
        <w:t>La</w:t>
      </w:r>
      <w:r>
        <w:rPr>
          <w:color w:val="231F1F"/>
          <w:spacing w:val="-4"/>
          <w:w w:val="110"/>
        </w:rPr>
        <w:t> </w:t>
      </w:r>
      <w:r>
        <w:rPr>
          <w:color w:val="231F1F"/>
          <w:w w:val="110"/>
        </w:rPr>
        <w:t>amniorrexis</w:t>
      </w:r>
      <w:r>
        <w:rPr>
          <w:color w:val="231F1F"/>
          <w:spacing w:val="-5"/>
          <w:w w:val="110"/>
        </w:rPr>
        <w:t> </w:t>
      </w:r>
      <w:r>
        <w:rPr>
          <w:color w:val="231F1F"/>
          <w:w w:val="110"/>
        </w:rPr>
        <w:t>artificial</w:t>
      </w:r>
      <w:r>
        <w:rPr>
          <w:color w:val="231F1F"/>
          <w:spacing w:val="-5"/>
          <w:w w:val="110"/>
        </w:rPr>
        <w:t> </w:t>
      </w:r>
      <w:r>
        <w:rPr>
          <w:color w:val="231F1F"/>
          <w:w w:val="110"/>
        </w:rPr>
        <w:t>rutinaria,</w:t>
      </w:r>
      <w:r>
        <w:rPr>
          <w:color w:val="231F1F"/>
          <w:spacing w:val="-4"/>
          <w:w w:val="110"/>
        </w:rPr>
        <w:t> </w:t>
      </w:r>
      <w:r>
        <w:rPr>
          <w:color w:val="231F1F"/>
          <w:w w:val="110"/>
        </w:rPr>
        <w:t>acompañada</w:t>
      </w:r>
      <w:r>
        <w:rPr>
          <w:color w:val="231F1F"/>
          <w:spacing w:val="-4"/>
          <w:w w:val="110"/>
        </w:rPr>
        <w:t> </w:t>
      </w:r>
      <w:r>
        <w:rPr>
          <w:color w:val="231F1F"/>
          <w:w w:val="110"/>
        </w:rPr>
        <w:t>o</w:t>
      </w:r>
      <w:r>
        <w:rPr>
          <w:color w:val="231F1F"/>
          <w:spacing w:val="-4"/>
          <w:w w:val="110"/>
        </w:rPr>
        <w:t> </w:t>
      </w:r>
      <w:r>
        <w:rPr>
          <w:color w:val="231F1F"/>
          <w:w w:val="110"/>
        </w:rPr>
        <w:t>no</w:t>
      </w:r>
      <w:r>
        <w:rPr>
          <w:color w:val="231F1F"/>
          <w:spacing w:val="-4"/>
          <w:w w:val="110"/>
        </w:rPr>
        <w:t> </w:t>
      </w:r>
      <w:r>
        <w:rPr>
          <w:color w:val="231F1F"/>
          <w:w w:val="110"/>
        </w:rPr>
        <w:t>de</w:t>
      </w:r>
      <w:r>
        <w:rPr>
          <w:color w:val="231F1F"/>
          <w:spacing w:val="-5"/>
          <w:w w:val="110"/>
        </w:rPr>
        <w:t> </w:t>
      </w:r>
      <w:r>
        <w:rPr>
          <w:color w:val="231F1F"/>
          <w:w w:val="110"/>
        </w:rPr>
        <w:t>perfusión</w:t>
      </w:r>
      <w:r>
        <w:rPr>
          <w:color w:val="231F1F"/>
          <w:spacing w:val="-5"/>
          <w:w w:val="110"/>
        </w:rPr>
        <w:t> </w:t>
      </w:r>
      <w:r>
        <w:rPr>
          <w:color w:val="231F1F"/>
          <w:w w:val="110"/>
        </w:rPr>
        <w:t>de</w:t>
      </w:r>
      <w:r>
        <w:rPr>
          <w:color w:val="231F1F"/>
          <w:spacing w:val="-4"/>
          <w:w w:val="110"/>
        </w:rPr>
        <w:t> </w:t>
      </w:r>
      <w:r>
        <w:rPr>
          <w:color w:val="231F1F"/>
          <w:w w:val="110"/>
        </w:rPr>
        <w:t>oxitocina</w:t>
      </w:r>
      <w:r>
        <w:rPr>
          <w:color w:val="231F1F"/>
          <w:spacing w:val="-5"/>
          <w:w w:val="110"/>
        </w:rPr>
        <w:t> </w:t>
      </w:r>
      <w:r>
        <w:rPr>
          <w:color w:val="231F1F"/>
          <w:w w:val="110"/>
        </w:rPr>
        <w:t>es</w:t>
      </w:r>
      <w:r>
        <w:rPr>
          <w:color w:val="231F1F"/>
          <w:spacing w:val="-5"/>
          <w:w w:val="110"/>
        </w:rPr>
        <w:t> </w:t>
      </w:r>
      <w:r>
        <w:rPr>
          <w:color w:val="231F1F"/>
          <w:w w:val="110"/>
        </w:rPr>
        <w:t>uno</w:t>
      </w:r>
      <w:r>
        <w:rPr>
          <w:color w:val="231F1F"/>
          <w:spacing w:val="-4"/>
          <w:w w:val="110"/>
        </w:rPr>
        <w:t> </w:t>
      </w:r>
      <w:r>
        <w:rPr>
          <w:color w:val="231F1F"/>
          <w:w w:val="110"/>
        </w:rPr>
        <w:t>de los</w:t>
      </w:r>
      <w:r>
        <w:rPr>
          <w:color w:val="231F1F"/>
          <w:spacing w:val="-9"/>
          <w:w w:val="110"/>
        </w:rPr>
        <w:t> </w:t>
      </w:r>
      <w:r>
        <w:rPr>
          <w:color w:val="231F1F"/>
          <w:w w:val="110"/>
        </w:rPr>
        <w:t>procedimientos</w:t>
      </w:r>
      <w:r>
        <w:rPr>
          <w:color w:val="231F1F"/>
          <w:spacing w:val="-9"/>
          <w:w w:val="110"/>
        </w:rPr>
        <w:t> </w:t>
      </w:r>
      <w:r>
        <w:rPr>
          <w:color w:val="231F1F"/>
          <w:w w:val="110"/>
        </w:rPr>
        <w:t>más</w:t>
      </w:r>
      <w:r>
        <w:rPr>
          <w:color w:val="231F1F"/>
          <w:spacing w:val="-9"/>
          <w:w w:val="110"/>
        </w:rPr>
        <w:t> </w:t>
      </w:r>
      <w:r>
        <w:rPr>
          <w:color w:val="231F1F"/>
          <w:w w:val="110"/>
        </w:rPr>
        <w:t>comunes</w:t>
      </w:r>
      <w:r>
        <w:rPr>
          <w:color w:val="231F1F"/>
          <w:spacing w:val="-9"/>
          <w:w w:val="110"/>
        </w:rPr>
        <w:t> </w:t>
      </w:r>
      <w:r>
        <w:rPr>
          <w:color w:val="231F1F"/>
          <w:w w:val="110"/>
        </w:rPr>
        <w:t>en</w:t>
      </w:r>
      <w:r>
        <w:rPr>
          <w:color w:val="231F1F"/>
          <w:spacing w:val="-9"/>
          <w:w w:val="110"/>
        </w:rPr>
        <w:t> </w:t>
      </w:r>
      <w:r>
        <w:rPr>
          <w:color w:val="231F1F"/>
          <w:w w:val="110"/>
        </w:rPr>
        <w:t>obstetricia.</w:t>
      </w:r>
      <w:r>
        <w:rPr>
          <w:color w:val="231F1F"/>
          <w:spacing w:val="-9"/>
          <w:w w:val="110"/>
        </w:rPr>
        <w:t> </w:t>
      </w:r>
      <w:r>
        <w:rPr>
          <w:color w:val="231F1F"/>
          <w:w w:val="110"/>
        </w:rPr>
        <w:t>Se</w:t>
      </w:r>
      <w:r>
        <w:rPr>
          <w:color w:val="231F1F"/>
          <w:spacing w:val="-9"/>
          <w:w w:val="110"/>
        </w:rPr>
        <w:t> </w:t>
      </w:r>
      <w:r>
        <w:rPr>
          <w:color w:val="231F1F"/>
          <w:w w:val="110"/>
        </w:rPr>
        <w:t>practica</w:t>
      </w:r>
      <w:r>
        <w:rPr>
          <w:color w:val="231F1F"/>
          <w:spacing w:val="-9"/>
          <w:w w:val="110"/>
        </w:rPr>
        <w:t> </w:t>
      </w:r>
      <w:r>
        <w:rPr>
          <w:color w:val="231F1F"/>
          <w:w w:val="110"/>
        </w:rPr>
        <w:t>con</w:t>
      </w:r>
      <w:r>
        <w:rPr>
          <w:color w:val="231F1F"/>
          <w:spacing w:val="-9"/>
          <w:w w:val="110"/>
        </w:rPr>
        <w:t> </w:t>
      </w:r>
      <w:r>
        <w:rPr>
          <w:color w:val="231F1F"/>
          <w:w w:val="110"/>
        </w:rPr>
        <w:t>el</w:t>
      </w:r>
      <w:r>
        <w:rPr>
          <w:color w:val="231F1F"/>
          <w:spacing w:val="-9"/>
          <w:w w:val="110"/>
        </w:rPr>
        <w:t> </w:t>
      </w:r>
      <w:r>
        <w:rPr>
          <w:color w:val="231F1F"/>
          <w:w w:val="110"/>
        </w:rPr>
        <w:t>propósito</w:t>
      </w:r>
      <w:r>
        <w:rPr>
          <w:color w:val="231F1F"/>
          <w:spacing w:val="-9"/>
          <w:w w:val="110"/>
        </w:rPr>
        <w:t> </w:t>
      </w:r>
      <w:r>
        <w:rPr>
          <w:color w:val="231F1F"/>
          <w:w w:val="110"/>
        </w:rPr>
        <w:t>principal</w:t>
      </w:r>
      <w:r>
        <w:rPr>
          <w:color w:val="231F1F"/>
          <w:spacing w:val="-9"/>
          <w:w w:val="110"/>
        </w:rPr>
        <w:t> </w:t>
      </w:r>
      <w:r>
        <w:rPr>
          <w:color w:val="231F1F"/>
          <w:w w:val="110"/>
        </w:rPr>
        <w:t>de aumentar</w:t>
      </w:r>
      <w:r>
        <w:rPr>
          <w:color w:val="231F1F"/>
          <w:spacing w:val="-10"/>
          <w:w w:val="110"/>
        </w:rPr>
        <w:t> </w:t>
      </w:r>
      <w:r>
        <w:rPr>
          <w:color w:val="231F1F"/>
          <w:w w:val="110"/>
        </w:rPr>
        <w:t>las</w:t>
      </w:r>
      <w:r>
        <w:rPr>
          <w:color w:val="231F1F"/>
          <w:spacing w:val="-9"/>
          <w:w w:val="110"/>
        </w:rPr>
        <w:t> </w:t>
      </w:r>
      <w:r>
        <w:rPr>
          <w:color w:val="231F1F"/>
          <w:w w:val="110"/>
        </w:rPr>
        <w:t>contracciones</w:t>
      </w:r>
      <w:r>
        <w:rPr>
          <w:color w:val="231F1F"/>
          <w:spacing w:val="-9"/>
          <w:w w:val="110"/>
        </w:rPr>
        <w:t> </w:t>
      </w:r>
      <w:r>
        <w:rPr>
          <w:color w:val="231F1F"/>
          <w:w w:val="110"/>
        </w:rPr>
        <w:t>y,</w:t>
      </w:r>
      <w:r>
        <w:rPr>
          <w:color w:val="231F1F"/>
          <w:spacing w:val="-10"/>
          <w:w w:val="110"/>
        </w:rPr>
        <w:t> </w:t>
      </w:r>
      <w:r>
        <w:rPr>
          <w:color w:val="231F1F"/>
          <w:w w:val="110"/>
        </w:rPr>
        <w:t>por</w:t>
      </w:r>
      <w:r>
        <w:rPr>
          <w:color w:val="231F1F"/>
          <w:spacing w:val="-10"/>
          <w:w w:val="110"/>
        </w:rPr>
        <w:t> </w:t>
      </w:r>
      <w:r>
        <w:rPr>
          <w:color w:val="231F1F"/>
          <w:w w:val="110"/>
        </w:rPr>
        <w:t>tanto,</w:t>
      </w:r>
      <w:r>
        <w:rPr>
          <w:color w:val="231F1F"/>
          <w:spacing w:val="-10"/>
          <w:w w:val="110"/>
        </w:rPr>
        <w:t> </w:t>
      </w:r>
      <w:r>
        <w:rPr>
          <w:color w:val="231F1F"/>
          <w:w w:val="110"/>
        </w:rPr>
        <w:t>de</w:t>
      </w:r>
      <w:r>
        <w:rPr>
          <w:color w:val="231F1F"/>
          <w:spacing w:val="-9"/>
          <w:w w:val="110"/>
        </w:rPr>
        <w:t> </w:t>
      </w:r>
      <w:r>
        <w:rPr>
          <w:color w:val="231F1F"/>
          <w:w w:val="110"/>
        </w:rPr>
        <w:t>disminuir</w:t>
      </w:r>
      <w:r>
        <w:rPr>
          <w:color w:val="231F1F"/>
          <w:spacing w:val="-10"/>
          <w:w w:val="110"/>
        </w:rPr>
        <w:t> </w:t>
      </w:r>
      <w:r>
        <w:rPr>
          <w:color w:val="231F1F"/>
          <w:w w:val="110"/>
        </w:rPr>
        <w:t>la</w:t>
      </w:r>
      <w:r>
        <w:rPr>
          <w:color w:val="231F1F"/>
          <w:spacing w:val="-9"/>
          <w:w w:val="110"/>
        </w:rPr>
        <w:t> </w:t>
      </w:r>
      <w:r>
        <w:rPr>
          <w:color w:val="231F1F"/>
          <w:w w:val="110"/>
        </w:rPr>
        <w:t>duración</w:t>
      </w:r>
      <w:r>
        <w:rPr>
          <w:color w:val="231F1F"/>
          <w:spacing w:val="-10"/>
          <w:w w:val="110"/>
        </w:rPr>
        <w:t> </w:t>
      </w:r>
      <w:r>
        <w:rPr>
          <w:color w:val="231F1F"/>
          <w:w w:val="110"/>
        </w:rPr>
        <w:t>del</w:t>
      </w:r>
      <w:r>
        <w:rPr>
          <w:color w:val="231F1F"/>
          <w:spacing w:val="-10"/>
          <w:w w:val="110"/>
        </w:rPr>
        <w:t> </w:t>
      </w:r>
      <w:r>
        <w:rPr>
          <w:color w:val="231F1F"/>
          <w:w w:val="110"/>
        </w:rPr>
        <w:t>parto.</w:t>
      </w:r>
      <w:r>
        <w:rPr>
          <w:color w:val="231F1F"/>
          <w:spacing w:val="-10"/>
          <w:w w:val="110"/>
        </w:rPr>
        <w:t> </w:t>
      </w:r>
      <w:r>
        <w:rPr>
          <w:color w:val="231F1F"/>
          <w:w w:val="110"/>
        </w:rPr>
        <w:t>Sin</w:t>
      </w:r>
      <w:r>
        <w:rPr>
          <w:color w:val="231F1F"/>
          <w:spacing w:val="-9"/>
          <w:w w:val="110"/>
        </w:rPr>
        <w:t> </w:t>
      </w:r>
      <w:r>
        <w:rPr>
          <w:color w:val="231F1F"/>
          <w:w w:val="110"/>
        </w:rPr>
        <w:t>embargo, hay interrogantes en cuanto a los efectos no deseados sobre la madre y el feto.</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5"/>
        <w:ind w:left="283" w:right="1372"/>
        <w:jc w:val="both"/>
      </w:pPr>
      <w:r>
        <w:rPr>
          <w:color w:val="231F1F"/>
          <w:w w:val="110"/>
        </w:rPr>
        <w:t>La</w:t>
      </w:r>
      <w:r>
        <w:rPr>
          <w:color w:val="231F1F"/>
          <w:spacing w:val="-16"/>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4"/>
          <w:w w:val="110"/>
        </w:rPr>
        <w:t> </w:t>
      </w:r>
      <w:r>
        <w:rPr>
          <w:color w:val="231F1F"/>
          <w:w w:val="110"/>
        </w:rPr>
        <w:t>evalúa,</w:t>
      </w:r>
      <w:r>
        <w:rPr>
          <w:color w:val="231F1F"/>
          <w:spacing w:val="-16"/>
          <w:w w:val="110"/>
        </w:rPr>
        <w:t> </w:t>
      </w:r>
      <w:r>
        <w:rPr>
          <w:color w:val="231F1F"/>
          <w:w w:val="110"/>
        </w:rPr>
        <w:t>dentro</w:t>
      </w:r>
      <w:r>
        <w:rPr>
          <w:color w:val="231F1F"/>
          <w:spacing w:val="-14"/>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intervenciones</w:t>
      </w:r>
      <w:r>
        <w:rPr>
          <w:color w:val="231F1F"/>
          <w:spacing w:val="-15"/>
          <w:w w:val="110"/>
        </w:rPr>
        <w:t> </w:t>
      </w:r>
      <w:r>
        <w:rPr>
          <w:color w:val="231F1F"/>
          <w:w w:val="110"/>
        </w:rPr>
        <w:t>realizadas</w:t>
      </w:r>
      <w:r>
        <w:rPr>
          <w:color w:val="231F1F"/>
          <w:spacing w:val="-15"/>
          <w:w w:val="110"/>
        </w:rPr>
        <w:t> </w:t>
      </w:r>
      <w:r>
        <w:rPr>
          <w:color w:val="231F1F"/>
          <w:w w:val="110"/>
        </w:rPr>
        <w:t>durante</w:t>
      </w:r>
      <w:r>
        <w:rPr>
          <w:color w:val="231F1F"/>
          <w:spacing w:val="-15"/>
          <w:w w:val="110"/>
        </w:rPr>
        <w:t> </w:t>
      </w:r>
      <w:r>
        <w:rPr>
          <w:color w:val="231F1F"/>
          <w:w w:val="110"/>
        </w:rPr>
        <w:t>la primera</w:t>
      </w:r>
      <w:r>
        <w:rPr>
          <w:color w:val="231F1F"/>
          <w:spacing w:val="-12"/>
          <w:w w:val="110"/>
        </w:rPr>
        <w:t> </w:t>
      </w:r>
      <w:r>
        <w:rPr>
          <w:color w:val="231F1F"/>
          <w:w w:val="110"/>
        </w:rPr>
        <w:t>etapa</w:t>
      </w:r>
      <w:r>
        <w:rPr>
          <w:color w:val="231F1F"/>
          <w:spacing w:val="-12"/>
          <w:w w:val="110"/>
        </w:rPr>
        <w:t> </w:t>
      </w:r>
      <w:r>
        <w:rPr>
          <w:color w:val="231F1F"/>
          <w:w w:val="110"/>
        </w:rPr>
        <w:t>del</w:t>
      </w:r>
      <w:r>
        <w:rPr>
          <w:color w:val="231F1F"/>
          <w:spacing w:val="-12"/>
          <w:w w:val="110"/>
        </w:rPr>
        <w:t> </w:t>
      </w:r>
      <w:r>
        <w:rPr>
          <w:color w:val="231F1F"/>
          <w:w w:val="110"/>
        </w:rPr>
        <w:t>parto,</w:t>
      </w:r>
      <w:r>
        <w:rPr>
          <w:color w:val="231F1F"/>
          <w:spacing w:val="-12"/>
          <w:w w:val="110"/>
        </w:rPr>
        <w:t> </w:t>
      </w:r>
      <w:r>
        <w:rPr>
          <w:color w:val="231F1F"/>
          <w:w w:val="110"/>
        </w:rPr>
        <w:t>la</w:t>
      </w:r>
      <w:r>
        <w:rPr>
          <w:color w:val="231F1F"/>
          <w:spacing w:val="-12"/>
          <w:w w:val="110"/>
        </w:rPr>
        <w:t> </w:t>
      </w:r>
      <w:r>
        <w:rPr>
          <w:color w:val="231F1F"/>
          <w:w w:val="110"/>
        </w:rPr>
        <w:t>efectividad</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amniorrexis</w:t>
      </w:r>
      <w:r>
        <w:rPr>
          <w:color w:val="231F1F"/>
          <w:spacing w:val="-12"/>
          <w:w w:val="110"/>
        </w:rPr>
        <w:t> </w:t>
      </w:r>
      <w:r>
        <w:rPr>
          <w:color w:val="231F1F"/>
          <w:w w:val="110"/>
        </w:rPr>
        <w:t>artificial</w:t>
      </w:r>
      <w:r>
        <w:rPr>
          <w:color w:val="231F1F"/>
          <w:spacing w:val="-12"/>
          <w:w w:val="110"/>
        </w:rPr>
        <w:t> </w:t>
      </w:r>
      <w:r>
        <w:rPr>
          <w:color w:val="231F1F"/>
          <w:w w:val="110"/>
        </w:rPr>
        <w:t>rutinaria</w:t>
      </w:r>
      <w:r>
        <w:rPr>
          <w:color w:val="231F1F"/>
          <w:spacing w:val="-11"/>
          <w:w w:val="110"/>
        </w:rPr>
        <w:t> </w:t>
      </w:r>
      <w:r>
        <w:rPr>
          <w:color w:val="231F1F"/>
          <w:w w:val="110"/>
        </w:rPr>
        <w:t>y la utilización de amniorrexis junto a oxitocina en los resultados del parto.</w:t>
      </w:r>
    </w:p>
    <w:p>
      <w:pPr>
        <w:pStyle w:val="BodyText"/>
        <w:spacing w:before="162"/>
      </w:pPr>
    </w:p>
    <w:p>
      <w:pPr>
        <w:pStyle w:val="Heading5"/>
        <w:spacing w:line="242" w:lineRule="auto"/>
        <w:ind w:right="2260"/>
      </w:pPr>
      <w:r>
        <w:rPr>
          <w:color w:val="231F1F"/>
        </w:rPr>
        <w:t>Amniorrexis</w:t>
      </w:r>
      <w:r>
        <w:rPr>
          <w:color w:val="231F1F"/>
          <w:spacing w:val="-14"/>
        </w:rPr>
        <w:t> </w:t>
      </w:r>
      <w:r>
        <w:rPr>
          <w:color w:val="231F1F"/>
        </w:rPr>
        <w:t>temprana</w:t>
      </w:r>
      <w:r>
        <w:rPr>
          <w:color w:val="231F1F"/>
          <w:spacing w:val="-14"/>
        </w:rPr>
        <w:t> </w:t>
      </w:r>
      <w:r>
        <w:rPr>
          <w:color w:val="231F1F"/>
        </w:rPr>
        <w:t>+</w:t>
      </w:r>
      <w:r>
        <w:rPr>
          <w:color w:val="231F1F"/>
          <w:spacing w:val="-14"/>
        </w:rPr>
        <w:t> </w:t>
      </w:r>
      <w:r>
        <w:rPr>
          <w:color w:val="231F1F"/>
        </w:rPr>
        <w:t>oxitocina</w:t>
      </w:r>
      <w:r>
        <w:rPr>
          <w:color w:val="231F1F"/>
          <w:spacing w:val="-14"/>
        </w:rPr>
        <w:t> </w:t>
      </w:r>
      <w:r>
        <w:rPr>
          <w:color w:val="231F1F"/>
        </w:rPr>
        <w:t>selectiva</w:t>
      </w:r>
      <w:r>
        <w:rPr>
          <w:color w:val="231F1F"/>
          <w:spacing w:val="-15"/>
        </w:rPr>
        <w:t> </w:t>
      </w:r>
      <w:r>
        <w:rPr>
          <w:color w:val="231F1F"/>
        </w:rPr>
        <w:t>frente</w:t>
      </w:r>
      <w:r>
        <w:rPr>
          <w:color w:val="231F1F"/>
          <w:spacing w:val="-14"/>
        </w:rPr>
        <w:t> </w:t>
      </w:r>
      <w:r>
        <w:rPr>
          <w:color w:val="231F1F"/>
        </w:rPr>
        <w:t>a</w:t>
      </w:r>
      <w:r>
        <w:rPr>
          <w:color w:val="231F1F"/>
          <w:spacing w:val="-15"/>
        </w:rPr>
        <w:t> </w:t>
      </w:r>
      <w:r>
        <w:rPr>
          <w:color w:val="231F1F"/>
        </w:rPr>
        <w:t>manejo </w:t>
      </w:r>
      <w:r>
        <w:rPr>
          <w:color w:val="231F1F"/>
          <w:spacing w:val="-2"/>
        </w:rPr>
        <w:t>conservador</w:t>
      </w:r>
    </w:p>
    <w:p>
      <w:pPr>
        <w:pStyle w:val="BodyText"/>
        <w:spacing w:line="252" w:lineRule="auto" w:before="211"/>
        <w:ind w:left="283" w:right="1368" w:firstLine="453"/>
        <w:jc w:val="both"/>
      </w:pPr>
      <w:r>
        <w:rPr>
          <w:color w:val="231F1F"/>
          <w:w w:val="105"/>
        </w:rPr>
        <w:t>Se incluyeron estudios que comparaban la amniorrexis rutinaria realiza- da de forma temprana (con administración de oxitocina si existe trabajo lento de parto, frente a no hacer nada (manejo conservador). La evidencia existen-</w:t>
      </w:r>
      <w:r>
        <w:rPr>
          <w:color w:val="231F1F"/>
          <w:spacing w:val="40"/>
          <w:w w:val="105"/>
        </w:rPr>
        <w:t> </w:t>
      </w:r>
      <w:r>
        <w:rPr>
          <w:color w:val="231F1F"/>
          <w:w w:val="105"/>
        </w:rPr>
        <w:t>te se basa en dos ECAs (55) y (56), el primero con 306 nulíparas y el segundo con 705. Debido a su homogeneidad se realizó un metaanálisis con los datos de ambos ensayos con un NE=1+.</w:t>
      </w:r>
    </w:p>
    <w:p>
      <w:pPr>
        <w:pStyle w:val="BodyText"/>
        <w:tabs>
          <w:tab w:pos="7687" w:val="left" w:leader="none"/>
          <w:tab w:pos="7917" w:val="left" w:leader="none"/>
          <w:tab w:pos="8114" w:val="left" w:leader="none"/>
        </w:tabs>
        <w:spacing w:line="247" w:lineRule="auto" w:before="72"/>
        <w:ind w:left="283" w:right="388" w:firstLine="453"/>
      </w:pPr>
      <w:r>
        <w:rPr>
          <w:color w:val="231F1F"/>
        </w:rPr>
        <w:t>Los resultados del metaanálisis no mostraron la existencia de diferencias</w:t>
        <w:tab/>
      </w:r>
      <w:r>
        <w:rPr>
          <w:rFonts w:ascii="Arial MT" w:hAnsi="Arial MT"/>
          <w:color w:val="231F1F"/>
          <w:sz w:val="18"/>
        </w:rPr>
        <w:t>RS-MA</w:t>
      </w:r>
      <w:r>
        <w:rPr>
          <w:rFonts w:ascii="Arial MT" w:hAnsi="Arial MT"/>
          <w:color w:val="231F1F"/>
          <w:spacing w:val="-13"/>
          <w:sz w:val="18"/>
        </w:rPr>
        <w:t> </w:t>
      </w:r>
      <w:r>
        <w:rPr>
          <w:rFonts w:ascii="Arial MT" w:hAnsi="Arial MT"/>
          <w:color w:val="231F1F"/>
          <w:sz w:val="18"/>
        </w:rPr>
        <w:t>de </w:t>
      </w:r>
      <w:r>
        <w:rPr>
          <w:color w:val="231F1F"/>
          <w:w w:val="105"/>
        </w:rPr>
        <w:t>significativas con respecto a tipo de nacimiento: RR 0,80 [IC 95% 0,55 a 1,17],</w:t>
      </w:r>
      <w:r>
        <w:rPr>
          <w:color w:val="231F1F"/>
        </w:rPr>
        <w:tab/>
        <w:tab/>
      </w:r>
      <w:r>
        <w:rPr>
          <w:rFonts w:ascii="Arial MT" w:hAnsi="Arial MT"/>
          <w:color w:val="231F1F"/>
          <w:spacing w:val="-4"/>
          <w:w w:val="105"/>
          <w:position w:val="4"/>
          <w:sz w:val="18"/>
        </w:rPr>
        <w:t>ECAs </w:t>
      </w:r>
      <w:r>
        <w:rPr>
          <w:color w:val="231F1F"/>
          <w:w w:val="105"/>
        </w:rPr>
        <w:t>duración de la primera etapa del de parto: RR 1,06 [IC 95% 0,97 a 1,16], uso</w:t>
      </w:r>
      <w:r>
        <w:rPr>
          <w:color w:val="231F1F"/>
        </w:rPr>
        <w:tab/>
        <w:tab/>
        <w:tab/>
      </w:r>
      <w:r>
        <w:rPr>
          <w:rFonts w:ascii="Arial MT" w:hAnsi="Arial MT"/>
          <w:color w:val="231F1F"/>
          <w:spacing w:val="-6"/>
          <w:w w:val="105"/>
          <w:position w:val="8"/>
          <w:sz w:val="18"/>
        </w:rPr>
        <w:t>1+ </w:t>
      </w:r>
      <w:r>
        <w:rPr>
          <w:color w:val="231F1F"/>
          <w:w w:val="105"/>
        </w:rPr>
        <w:t>de</w:t>
      </w:r>
      <w:r>
        <w:rPr>
          <w:color w:val="231F1F"/>
          <w:spacing w:val="40"/>
          <w:w w:val="105"/>
        </w:rPr>
        <w:t> </w:t>
      </w:r>
      <w:r>
        <w:rPr>
          <w:color w:val="231F1F"/>
          <w:w w:val="105"/>
        </w:rPr>
        <w:t>anestesia</w:t>
      </w:r>
      <w:r>
        <w:rPr>
          <w:color w:val="231F1F"/>
          <w:spacing w:val="40"/>
          <w:w w:val="105"/>
        </w:rPr>
        <w:t> </w:t>
      </w:r>
      <w:r>
        <w:rPr>
          <w:color w:val="231F1F"/>
          <w:w w:val="105"/>
        </w:rPr>
        <w:t>epidural:</w:t>
      </w:r>
      <w:r>
        <w:rPr>
          <w:color w:val="231F1F"/>
          <w:spacing w:val="40"/>
          <w:w w:val="105"/>
        </w:rPr>
        <w:t> </w:t>
      </w:r>
      <w:r>
        <w:rPr>
          <w:color w:val="231F1F"/>
          <w:w w:val="105"/>
        </w:rPr>
        <w:t>DMP</w:t>
      </w:r>
      <w:r>
        <w:rPr>
          <w:color w:val="231F1F"/>
          <w:spacing w:val="40"/>
          <w:w w:val="105"/>
        </w:rPr>
        <w:t> </w:t>
      </w:r>
      <w:r>
        <w:rPr>
          <w:color w:val="231F1F"/>
          <w:w w:val="105"/>
        </w:rPr>
        <w:t>65,06</w:t>
      </w:r>
      <w:r>
        <w:rPr>
          <w:color w:val="231F1F"/>
          <w:spacing w:val="40"/>
          <w:w w:val="105"/>
        </w:rPr>
        <w:t> </w:t>
      </w:r>
      <w:r>
        <w:rPr>
          <w:color w:val="231F1F"/>
          <w:w w:val="105"/>
        </w:rPr>
        <w:t>minutos</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-134,83</w:t>
      </w:r>
      <w:r>
        <w:rPr>
          <w:color w:val="231F1F"/>
          <w:spacing w:val="40"/>
          <w:w w:val="105"/>
        </w:rPr>
        <w:t> </w:t>
      </w:r>
      <w:r>
        <w:rPr>
          <w:color w:val="231F1F"/>
          <w:w w:val="105"/>
        </w:rPr>
        <w:t>a</w:t>
      </w:r>
      <w:r>
        <w:rPr>
          <w:color w:val="231F1F"/>
          <w:spacing w:val="40"/>
          <w:w w:val="105"/>
        </w:rPr>
        <w:t> </w:t>
      </w:r>
      <w:r>
        <w:rPr>
          <w:color w:val="231F1F"/>
          <w:w w:val="105"/>
        </w:rPr>
        <w:t>4,71</w:t>
      </w:r>
      <w:r>
        <w:rPr>
          <w:color w:val="231F1F"/>
          <w:spacing w:val="40"/>
          <w:w w:val="105"/>
        </w:rPr>
        <w:t> </w:t>
      </w:r>
      <w:r>
        <w:rPr>
          <w:color w:val="231F1F"/>
          <w:w w:val="105"/>
        </w:rPr>
        <w:t>minutos], duración</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segunda</w:t>
      </w:r>
      <w:r>
        <w:rPr>
          <w:color w:val="231F1F"/>
          <w:spacing w:val="40"/>
          <w:w w:val="105"/>
        </w:rPr>
        <w:t> </w:t>
      </w:r>
      <w:r>
        <w:rPr>
          <w:color w:val="231F1F"/>
          <w:w w:val="105"/>
        </w:rPr>
        <w:t>etapa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1,80</w:t>
      </w:r>
      <w:r>
        <w:rPr>
          <w:color w:val="231F1F"/>
          <w:spacing w:val="40"/>
          <w:w w:val="105"/>
        </w:rPr>
        <w:t> </w:t>
      </w:r>
      <w:r>
        <w:rPr>
          <w:color w:val="231F1F"/>
          <w:w w:val="105"/>
        </w:rPr>
        <w:t>minutos</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-1,83</w:t>
      </w:r>
      <w:r>
        <w:rPr>
          <w:color w:val="231F1F"/>
          <w:spacing w:val="40"/>
          <w:w w:val="105"/>
        </w:rPr>
        <w:t> </w:t>
      </w:r>
      <w:r>
        <w:rPr>
          <w:color w:val="231F1F"/>
          <w:w w:val="105"/>
        </w:rPr>
        <w:t>a</w:t>
      </w:r>
      <w:r>
        <w:rPr>
          <w:color w:val="231F1F"/>
          <w:spacing w:val="40"/>
          <w:w w:val="105"/>
        </w:rPr>
        <w:t> </w:t>
      </w:r>
      <w:r>
        <w:rPr>
          <w:color w:val="231F1F"/>
          <w:w w:val="105"/>
        </w:rPr>
        <w:t>5,44 minutos], Apgar menor de 7 a los 5 minutos: RR 1,22 [IC 95% 0,38 a 3,93] ni</w:t>
      </w:r>
    </w:p>
    <w:p>
      <w:pPr>
        <w:pStyle w:val="BodyText"/>
        <w:spacing w:before="8"/>
        <w:ind w:left="283"/>
      </w:pPr>
      <w:r>
        <w:rPr>
          <w:color w:val="231F1F"/>
        </w:rPr>
        <w:t>ingreso</w:t>
      </w:r>
      <w:r>
        <w:rPr>
          <w:color w:val="231F1F"/>
          <w:spacing w:val="24"/>
        </w:rPr>
        <w:t> </w:t>
      </w:r>
      <w:r>
        <w:rPr>
          <w:color w:val="231F1F"/>
        </w:rPr>
        <w:t>en</w:t>
      </w:r>
      <w:r>
        <w:rPr>
          <w:color w:val="231F1F"/>
          <w:spacing w:val="25"/>
        </w:rPr>
        <w:t> </w:t>
      </w:r>
      <w:r>
        <w:rPr>
          <w:color w:val="231F1F"/>
        </w:rPr>
        <w:t>unidad</w:t>
      </w:r>
      <w:r>
        <w:rPr>
          <w:color w:val="231F1F"/>
          <w:spacing w:val="25"/>
        </w:rPr>
        <w:t> </w:t>
      </w:r>
      <w:r>
        <w:rPr>
          <w:color w:val="231F1F"/>
        </w:rPr>
        <w:t>neonatal:</w:t>
      </w:r>
      <w:r>
        <w:rPr>
          <w:color w:val="231F1F"/>
          <w:spacing w:val="23"/>
        </w:rPr>
        <w:t> </w:t>
      </w:r>
      <w:r>
        <w:rPr>
          <w:color w:val="231F1F"/>
        </w:rPr>
        <w:t>RR</w:t>
      </w:r>
      <w:r>
        <w:rPr>
          <w:color w:val="231F1F"/>
          <w:spacing w:val="26"/>
        </w:rPr>
        <w:t> </w:t>
      </w:r>
      <w:r>
        <w:rPr>
          <w:color w:val="231F1F"/>
        </w:rPr>
        <w:t>0,90</w:t>
      </w:r>
      <w:r>
        <w:rPr>
          <w:color w:val="231F1F"/>
          <w:spacing w:val="25"/>
        </w:rPr>
        <w:t> </w:t>
      </w:r>
      <w:r>
        <w:rPr>
          <w:color w:val="231F1F"/>
        </w:rPr>
        <w:t>[IC</w:t>
      </w:r>
      <w:r>
        <w:rPr>
          <w:color w:val="231F1F"/>
          <w:spacing w:val="25"/>
        </w:rPr>
        <w:t> </w:t>
      </w:r>
      <w:r>
        <w:rPr>
          <w:color w:val="231F1F"/>
        </w:rPr>
        <w:t>95%</w:t>
      </w:r>
      <w:r>
        <w:rPr>
          <w:color w:val="231F1F"/>
          <w:spacing w:val="27"/>
        </w:rPr>
        <w:t> </w:t>
      </w:r>
      <w:r>
        <w:rPr>
          <w:color w:val="231F1F"/>
        </w:rPr>
        <w:t>0,47</w:t>
      </w:r>
      <w:r>
        <w:rPr>
          <w:color w:val="231F1F"/>
          <w:spacing w:val="27"/>
        </w:rPr>
        <w:t> </w:t>
      </w:r>
      <w:r>
        <w:rPr>
          <w:color w:val="231F1F"/>
        </w:rPr>
        <w:t>a</w:t>
      </w:r>
      <w:r>
        <w:rPr>
          <w:color w:val="231F1F"/>
          <w:spacing w:val="25"/>
        </w:rPr>
        <w:t> </w:t>
      </w:r>
      <w:r>
        <w:rPr>
          <w:color w:val="231F1F"/>
          <w:spacing w:val="-2"/>
        </w:rPr>
        <w:t>1,72].</w:t>
      </w:r>
    </w:p>
    <w:p>
      <w:pPr>
        <w:pStyle w:val="BodyText"/>
        <w:spacing w:line="244" w:lineRule="auto" w:before="73"/>
        <w:ind w:left="283" w:right="1371" w:firstLine="453"/>
        <w:jc w:val="both"/>
      </w:pPr>
      <w:r>
        <w:rPr>
          <w:color w:val="231F1F"/>
          <w:w w:val="110"/>
        </w:rPr>
        <w:t>No</w:t>
      </w:r>
      <w:r>
        <w:rPr>
          <w:color w:val="231F1F"/>
          <w:spacing w:val="-5"/>
          <w:w w:val="110"/>
        </w:rPr>
        <w:t> </w:t>
      </w:r>
      <w:r>
        <w:rPr>
          <w:color w:val="231F1F"/>
          <w:w w:val="110"/>
        </w:rPr>
        <w:t>existen</w:t>
      </w:r>
      <w:r>
        <w:rPr>
          <w:color w:val="231F1F"/>
          <w:spacing w:val="-5"/>
          <w:w w:val="110"/>
        </w:rPr>
        <w:t> </w:t>
      </w:r>
      <w:r>
        <w:rPr>
          <w:color w:val="231F1F"/>
          <w:w w:val="110"/>
        </w:rPr>
        <w:t>pruebas</w:t>
      </w:r>
      <w:r>
        <w:rPr>
          <w:color w:val="231F1F"/>
          <w:spacing w:val="-5"/>
          <w:w w:val="110"/>
        </w:rPr>
        <w:t> </w:t>
      </w:r>
      <w:r>
        <w:rPr>
          <w:color w:val="231F1F"/>
          <w:w w:val="110"/>
        </w:rPr>
        <w:t>de</w:t>
      </w:r>
      <w:r>
        <w:rPr>
          <w:color w:val="231F1F"/>
          <w:spacing w:val="-5"/>
          <w:w w:val="110"/>
        </w:rPr>
        <w:t> </w:t>
      </w:r>
      <w:r>
        <w:rPr>
          <w:color w:val="231F1F"/>
          <w:w w:val="110"/>
        </w:rPr>
        <w:t>diferencias</w:t>
      </w:r>
      <w:r>
        <w:rPr>
          <w:color w:val="231F1F"/>
          <w:spacing w:val="-5"/>
          <w:w w:val="110"/>
        </w:rPr>
        <w:t> </w:t>
      </w:r>
      <w:r>
        <w:rPr>
          <w:color w:val="231F1F"/>
          <w:w w:val="110"/>
        </w:rPr>
        <w:t>en</w:t>
      </w:r>
      <w:r>
        <w:rPr>
          <w:color w:val="231F1F"/>
          <w:spacing w:val="-5"/>
          <w:w w:val="110"/>
        </w:rPr>
        <w:t> </w:t>
      </w:r>
      <w:r>
        <w:rPr>
          <w:color w:val="231F1F"/>
          <w:w w:val="110"/>
        </w:rPr>
        <w:t>el</w:t>
      </w:r>
      <w:r>
        <w:rPr>
          <w:color w:val="231F1F"/>
          <w:spacing w:val="-5"/>
          <w:w w:val="110"/>
        </w:rPr>
        <w:t> </w:t>
      </w:r>
      <w:r>
        <w:rPr>
          <w:color w:val="231F1F"/>
          <w:w w:val="110"/>
        </w:rPr>
        <w:t>tipo</w:t>
      </w:r>
      <w:r>
        <w:rPr>
          <w:color w:val="231F1F"/>
          <w:spacing w:val="-5"/>
          <w:w w:val="110"/>
        </w:rPr>
        <w:t> </w:t>
      </w:r>
      <w:r>
        <w:rPr>
          <w:color w:val="231F1F"/>
          <w:w w:val="110"/>
        </w:rPr>
        <w:t>de</w:t>
      </w:r>
      <w:r>
        <w:rPr>
          <w:color w:val="231F1F"/>
          <w:spacing w:val="-5"/>
          <w:w w:val="110"/>
        </w:rPr>
        <w:t> </w:t>
      </w:r>
      <w:r>
        <w:rPr>
          <w:color w:val="231F1F"/>
          <w:w w:val="110"/>
        </w:rPr>
        <w:t>nacimiento,</w:t>
      </w:r>
      <w:r>
        <w:rPr>
          <w:color w:val="231F1F"/>
          <w:spacing w:val="-5"/>
          <w:w w:val="110"/>
        </w:rPr>
        <w:t> </w:t>
      </w:r>
      <w:r>
        <w:rPr>
          <w:color w:val="231F1F"/>
          <w:w w:val="110"/>
        </w:rPr>
        <w:t>uso</w:t>
      </w:r>
      <w:r>
        <w:rPr>
          <w:color w:val="231F1F"/>
          <w:spacing w:val="-5"/>
          <w:w w:val="110"/>
        </w:rPr>
        <w:t> </w:t>
      </w:r>
      <w:r>
        <w:rPr>
          <w:color w:val="231F1F"/>
          <w:w w:val="110"/>
        </w:rPr>
        <w:t>de</w:t>
      </w:r>
      <w:r>
        <w:rPr>
          <w:color w:val="231F1F"/>
          <w:spacing w:val="-5"/>
          <w:w w:val="110"/>
        </w:rPr>
        <w:t> </w:t>
      </w:r>
      <w:r>
        <w:rPr>
          <w:color w:val="231F1F"/>
          <w:w w:val="110"/>
        </w:rPr>
        <w:t>epi- dural,</w:t>
      </w:r>
      <w:r>
        <w:rPr>
          <w:color w:val="231F1F"/>
          <w:spacing w:val="-16"/>
          <w:w w:val="110"/>
        </w:rPr>
        <w:t> </w:t>
      </w:r>
      <w:r>
        <w:rPr>
          <w:color w:val="231F1F"/>
          <w:w w:val="110"/>
        </w:rPr>
        <w:t>duración</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o</w:t>
      </w:r>
      <w:r>
        <w:rPr>
          <w:color w:val="231F1F"/>
          <w:spacing w:val="-15"/>
          <w:w w:val="110"/>
        </w:rPr>
        <w:t> </w:t>
      </w:r>
      <w:r>
        <w:rPr>
          <w:color w:val="231F1F"/>
          <w:w w:val="110"/>
        </w:rPr>
        <w:t>resultados</w:t>
      </w:r>
      <w:r>
        <w:rPr>
          <w:color w:val="231F1F"/>
          <w:spacing w:val="-15"/>
          <w:w w:val="110"/>
        </w:rPr>
        <w:t> </w:t>
      </w:r>
      <w:r>
        <w:rPr>
          <w:color w:val="231F1F"/>
          <w:w w:val="110"/>
        </w:rPr>
        <w:t>neonatales</w:t>
      </w:r>
      <w:r>
        <w:rPr>
          <w:color w:val="231F1F"/>
          <w:spacing w:val="-15"/>
          <w:w w:val="110"/>
        </w:rPr>
        <w:t> </w:t>
      </w:r>
      <w:r>
        <w:rPr>
          <w:color w:val="231F1F"/>
          <w:w w:val="110"/>
        </w:rPr>
        <w:t>entre</w:t>
      </w:r>
      <w:r>
        <w:rPr>
          <w:color w:val="231F1F"/>
          <w:spacing w:val="-15"/>
          <w:w w:val="110"/>
        </w:rPr>
        <w:t> </w:t>
      </w:r>
      <w:r>
        <w:rPr>
          <w:color w:val="231F1F"/>
          <w:w w:val="110"/>
        </w:rPr>
        <w:t>la</w:t>
      </w:r>
      <w:r>
        <w:rPr>
          <w:color w:val="231F1F"/>
          <w:spacing w:val="-16"/>
          <w:w w:val="110"/>
        </w:rPr>
        <w:t> </w:t>
      </w:r>
      <w:r>
        <w:rPr>
          <w:color w:val="231F1F"/>
          <w:w w:val="110"/>
        </w:rPr>
        <w:t>amniorrexis</w:t>
      </w:r>
      <w:r>
        <w:rPr>
          <w:color w:val="231F1F"/>
          <w:spacing w:val="-15"/>
          <w:w w:val="110"/>
        </w:rPr>
        <w:t> </w:t>
      </w:r>
      <w:r>
        <w:rPr>
          <w:color w:val="231F1F"/>
          <w:w w:val="110"/>
        </w:rPr>
        <w:t>rutina- ria</w:t>
      </w:r>
      <w:r>
        <w:rPr>
          <w:color w:val="231F1F"/>
          <w:spacing w:val="-16"/>
          <w:w w:val="110"/>
        </w:rPr>
        <w:t> </w:t>
      </w:r>
      <w:r>
        <w:rPr>
          <w:color w:val="231F1F"/>
          <w:w w:val="110"/>
        </w:rPr>
        <w:t>realizada</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5"/>
          <w:w w:val="110"/>
        </w:rPr>
        <w:t> </w:t>
      </w:r>
      <w:r>
        <w:rPr>
          <w:color w:val="231F1F"/>
          <w:w w:val="110"/>
        </w:rPr>
        <w:t>temprana</w:t>
      </w:r>
      <w:r>
        <w:rPr>
          <w:color w:val="231F1F"/>
          <w:spacing w:val="-15"/>
          <w:w w:val="110"/>
        </w:rPr>
        <w:t> </w:t>
      </w:r>
      <w:r>
        <w:rPr>
          <w:color w:val="231F1F"/>
          <w:w w:val="110"/>
        </w:rPr>
        <w:t>más</w:t>
      </w:r>
      <w:r>
        <w:rPr>
          <w:color w:val="231F1F"/>
          <w:spacing w:val="-15"/>
          <w:w w:val="110"/>
        </w:rPr>
        <w:t> </w:t>
      </w:r>
      <w:r>
        <w:rPr>
          <w:color w:val="231F1F"/>
          <w:w w:val="110"/>
        </w:rPr>
        <w:t>utilización</w:t>
      </w:r>
      <w:r>
        <w:rPr>
          <w:color w:val="231F1F"/>
          <w:spacing w:val="-15"/>
          <w:w w:val="110"/>
        </w:rPr>
        <w:t> </w:t>
      </w:r>
      <w:r>
        <w:rPr>
          <w:color w:val="231F1F"/>
          <w:w w:val="110"/>
        </w:rPr>
        <w:t>selectiva</w:t>
      </w:r>
      <w:r>
        <w:rPr>
          <w:color w:val="231F1F"/>
          <w:spacing w:val="-15"/>
          <w:w w:val="110"/>
        </w:rPr>
        <w:t> </w:t>
      </w:r>
      <w:r>
        <w:rPr>
          <w:color w:val="231F1F"/>
          <w:w w:val="110"/>
        </w:rPr>
        <w:t>de</w:t>
      </w:r>
      <w:r>
        <w:rPr>
          <w:color w:val="231F1F"/>
          <w:spacing w:val="-16"/>
          <w:w w:val="110"/>
        </w:rPr>
        <w:t> </w:t>
      </w:r>
      <w:r>
        <w:rPr>
          <w:color w:val="231F1F"/>
          <w:w w:val="110"/>
        </w:rPr>
        <w:t>oxitocina</w:t>
      </w:r>
      <w:r>
        <w:rPr>
          <w:color w:val="231F1F"/>
          <w:spacing w:val="-15"/>
          <w:w w:val="110"/>
        </w:rPr>
        <w:t> </w:t>
      </w:r>
      <w:r>
        <w:rPr>
          <w:color w:val="231F1F"/>
          <w:w w:val="110"/>
        </w:rPr>
        <w:t>frente a un manejo más conservador.</w:t>
      </w:r>
    </w:p>
    <w:p>
      <w:pPr>
        <w:pStyle w:val="BodyText"/>
        <w:spacing w:before="164"/>
      </w:pPr>
    </w:p>
    <w:p>
      <w:pPr>
        <w:pStyle w:val="Heading5"/>
      </w:pPr>
      <w:r>
        <w:rPr>
          <w:color w:val="231F1F"/>
        </w:rPr>
        <w:t>Amniorrexis</w:t>
      </w:r>
      <w:r>
        <w:rPr>
          <w:color w:val="231F1F"/>
          <w:spacing w:val="-11"/>
        </w:rPr>
        <w:t> </w:t>
      </w:r>
      <w:r>
        <w:rPr>
          <w:color w:val="231F1F"/>
        </w:rPr>
        <w:t>y</w:t>
      </w:r>
      <w:r>
        <w:rPr>
          <w:color w:val="231F1F"/>
          <w:spacing w:val="-8"/>
        </w:rPr>
        <w:t> </w:t>
      </w:r>
      <w:r>
        <w:rPr>
          <w:color w:val="231F1F"/>
        </w:rPr>
        <w:t>oxitocina</w:t>
      </w:r>
      <w:r>
        <w:rPr>
          <w:color w:val="231F1F"/>
          <w:spacing w:val="-6"/>
        </w:rPr>
        <w:t> </w:t>
      </w:r>
      <w:r>
        <w:rPr>
          <w:color w:val="231F1F"/>
        </w:rPr>
        <w:t>tempranas</w:t>
      </w:r>
      <w:r>
        <w:rPr>
          <w:color w:val="231F1F"/>
          <w:spacing w:val="-8"/>
        </w:rPr>
        <w:t> </w:t>
      </w:r>
      <w:r>
        <w:rPr>
          <w:color w:val="231F1F"/>
        </w:rPr>
        <w:t>frente</w:t>
      </w:r>
      <w:r>
        <w:rPr>
          <w:color w:val="231F1F"/>
          <w:spacing w:val="-7"/>
        </w:rPr>
        <w:t> </w:t>
      </w:r>
      <w:r>
        <w:rPr>
          <w:color w:val="231F1F"/>
        </w:rPr>
        <w:t>a</w:t>
      </w:r>
      <w:r>
        <w:rPr>
          <w:color w:val="231F1F"/>
          <w:spacing w:val="-9"/>
        </w:rPr>
        <w:t> </w:t>
      </w:r>
      <w:r>
        <w:rPr>
          <w:color w:val="231F1F"/>
        </w:rPr>
        <w:t>manejo</w:t>
      </w:r>
      <w:r>
        <w:rPr>
          <w:color w:val="231F1F"/>
          <w:spacing w:val="-6"/>
        </w:rPr>
        <w:t> </w:t>
      </w:r>
      <w:r>
        <w:rPr>
          <w:color w:val="231F1F"/>
          <w:spacing w:val="-2"/>
        </w:rPr>
        <w:t>conservador</w:t>
      </w:r>
    </w:p>
    <w:p>
      <w:pPr>
        <w:pStyle w:val="BodyText"/>
        <w:spacing w:line="249" w:lineRule="auto" w:before="214"/>
        <w:ind w:left="283" w:right="1368"/>
        <w:jc w:val="both"/>
      </w:pPr>
      <w:r>
        <w:rPr>
          <w:color w:val="231F1F"/>
          <w:w w:val="105"/>
        </w:rPr>
        <w:t>La guía NICE (10) incluye un ECA realizado en EEUU (57), con un total de 150 mujeres nulíparas (75 en cada grupo). El estudio comparó el uso rutinario de oxitocina y amniorrexis temprana frente a un manejo más conservador, en mujeres sanas al comienzo del trabajo de parto.</w:t>
      </w:r>
    </w:p>
    <w:p>
      <w:pPr>
        <w:pStyle w:val="BodyText"/>
        <w:spacing w:after="0" w:line="249" w:lineRule="auto"/>
        <w:jc w:val="both"/>
        <w:sectPr>
          <w:pgSz w:w="11900" w:h="16840"/>
          <w:pgMar w:header="0" w:footer="622" w:top="1560" w:bottom="820" w:left="1417" w:right="1559"/>
        </w:sectPr>
      </w:pPr>
    </w:p>
    <w:p>
      <w:pPr>
        <w:pStyle w:val="BodyText"/>
        <w:spacing w:line="264" w:lineRule="auto" w:before="62"/>
        <w:ind w:left="283" w:firstLine="453"/>
        <w:jc w:val="both"/>
      </w:pPr>
      <w:r>
        <w:rPr>
          <w:color w:val="231F1F"/>
        </w:rPr>
        <w:t>Los</w:t>
      </w:r>
      <w:r>
        <w:rPr>
          <w:color w:val="231F1F"/>
          <w:spacing w:val="40"/>
        </w:rPr>
        <w:t> </w:t>
      </w:r>
      <w:r>
        <w:rPr>
          <w:color w:val="231F1F"/>
        </w:rPr>
        <w:t>resultados</w:t>
      </w:r>
      <w:r>
        <w:rPr>
          <w:color w:val="231F1F"/>
          <w:spacing w:val="40"/>
        </w:rPr>
        <w:t> </w:t>
      </w:r>
      <w:r>
        <w:rPr>
          <w:color w:val="231F1F"/>
        </w:rPr>
        <w:t>no</w:t>
      </w:r>
      <w:r>
        <w:rPr>
          <w:color w:val="231F1F"/>
          <w:spacing w:val="40"/>
        </w:rPr>
        <w:t> </w:t>
      </w:r>
      <w:r>
        <w:rPr>
          <w:color w:val="231F1F"/>
        </w:rPr>
        <w:t>muestran</w:t>
      </w:r>
      <w:r>
        <w:rPr>
          <w:color w:val="231F1F"/>
          <w:spacing w:val="40"/>
        </w:rPr>
        <w:t> </w:t>
      </w:r>
      <w:r>
        <w:rPr>
          <w:color w:val="231F1F"/>
        </w:rPr>
        <w:t>diferencias</w:t>
      </w:r>
      <w:r>
        <w:rPr>
          <w:color w:val="231F1F"/>
          <w:spacing w:val="40"/>
        </w:rPr>
        <w:t> </w:t>
      </w:r>
      <w:r>
        <w:rPr>
          <w:color w:val="231F1F"/>
        </w:rPr>
        <w:t>del</w:t>
      </w:r>
      <w:r>
        <w:rPr>
          <w:color w:val="231F1F"/>
          <w:spacing w:val="40"/>
        </w:rPr>
        <w:t> </w:t>
      </w:r>
      <w:r>
        <w:rPr>
          <w:color w:val="231F1F"/>
        </w:rPr>
        <w:t>manejo</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tipo</w:t>
      </w:r>
      <w:r>
        <w:rPr>
          <w:color w:val="231F1F"/>
          <w:spacing w:val="40"/>
        </w:rPr>
        <w:t> </w:t>
      </w:r>
      <w:r>
        <w:rPr>
          <w:color w:val="231F1F"/>
        </w:rPr>
        <w:t>de</w:t>
      </w:r>
      <w:r>
        <w:rPr>
          <w:color w:val="231F1F"/>
          <w:spacing w:val="40"/>
        </w:rPr>
        <w:t> </w:t>
      </w:r>
      <w:r>
        <w:rPr>
          <w:color w:val="231F1F"/>
        </w:rPr>
        <w:t>parto: tasa</w:t>
      </w:r>
      <w:r>
        <w:rPr>
          <w:color w:val="231F1F"/>
          <w:spacing w:val="37"/>
        </w:rPr>
        <w:t> </w:t>
      </w:r>
      <w:r>
        <w:rPr>
          <w:color w:val="231F1F"/>
        </w:rPr>
        <w:t>de</w:t>
      </w:r>
      <w:r>
        <w:rPr>
          <w:color w:val="231F1F"/>
          <w:spacing w:val="36"/>
        </w:rPr>
        <w:t> </w:t>
      </w:r>
      <w:r>
        <w:rPr>
          <w:color w:val="231F1F"/>
        </w:rPr>
        <w:t>partos</w:t>
      </w:r>
      <w:r>
        <w:rPr>
          <w:color w:val="231F1F"/>
          <w:spacing w:val="36"/>
        </w:rPr>
        <w:t> </w:t>
      </w:r>
      <w:r>
        <w:rPr>
          <w:color w:val="231F1F"/>
        </w:rPr>
        <w:t>espontáneos:</w:t>
      </w:r>
      <w:r>
        <w:rPr>
          <w:color w:val="231F1F"/>
          <w:spacing w:val="37"/>
        </w:rPr>
        <w:t> </w:t>
      </w:r>
      <w:r>
        <w:rPr>
          <w:color w:val="231F1F"/>
        </w:rPr>
        <w:t>RR</w:t>
      </w:r>
      <w:r>
        <w:rPr>
          <w:color w:val="231F1F"/>
          <w:spacing w:val="37"/>
        </w:rPr>
        <w:t> </w:t>
      </w:r>
      <w:r>
        <w:rPr>
          <w:color w:val="231F1F"/>
        </w:rPr>
        <w:t>0,97</w:t>
      </w:r>
      <w:r>
        <w:rPr>
          <w:color w:val="231F1F"/>
          <w:spacing w:val="36"/>
        </w:rPr>
        <w:t> </w:t>
      </w:r>
      <w:r>
        <w:rPr>
          <w:color w:val="231F1F"/>
        </w:rPr>
        <w:t>[IC</w:t>
      </w:r>
      <w:r>
        <w:rPr>
          <w:color w:val="231F1F"/>
          <w:spacing w:val="37"/>
        </w:rPr>
        <w:t> </w:t>
      </w:r>
      <w:r>
        <w:rPr>
          <w:color w:val="231F1F"/>
        </w:rPr>
        <w:t>95%</w:t>
      </w:r>
      <w:r>
        <w:rPr>
          <w:color w:val="231F1F"/>
          <w:spacing w:val="37"/>
        </w:rPr>
        <w:t> </w:t>
      </w:r>
      <w:r>
        <w:rPr>
          <w:color w:val="231F1F"/>
        </w:rPr>
        <w:t>0,82</w:t>
      </w:r>
      <w:r>
        <w:rPr>
          <w:color w:val="231F1F"/>
          <w:spacing w:val="36"/>
        </w:rPr>
        <w:t> </w:t>
      </w:r>
      <w:r>
        <w:rPr>
          <w:color w:val="231F1F"/>
        </w:rPr>
        <w:t>a</w:t>
      </w:r>
      <w:r>
        <w:rPr>
          <w:color w:val="231F1F"/>
          <w:spacing w:val="37"/>
        </w:rPr>
        <w:t> </w:t>
      </w:r>
      <w:r>
        <w:rPr>
          <w:color w:val="231F1F"/>
        </w:rPr>
        <w:t>1,14]</w:t>
      </w:r>
      <w:r>
        <w:rPr>
          <w:color w:val="231F1F"/>
          <w:spacing w:val="37"/>
        </w:rPr>
        <w:t> </w:t>
      </w:r>
      <w:r>
        <w:rPr>
          <w:color w:val="231F1F"/>
        </w:rPr>
        <w:t>y</w:t>
      </w:r>
      <w:r>
        <w:rPr>
          <w:color w:val="231F1F"/>
          <w:spacing w:val="36"/>
        </w:rPr>
        <w:t> </w:t>
      </w:r>
      <w:r>
        <w:rPr>
          <w:color w:val="231F1F"/>
        </w:rPr>
        <w:t>de</w:t>
      </w:r>
      <w:r>
        <w:rPr>
          <w:color w:val="231F1F"/>
          <w:spacing w:val="36"/>
        </w:rPr>
        <w:t> </w:t>
      </w:r>
      <w:r>
        <w:rPr>
          <w:color w:val="231F1F"/>
        </w:rPr>
        <w:t>cesáreas:</w:t>
      </w:r>
      <w:r>
        <w:rPr>
          <w:color w:val="231F1F"/>
          <w:spacing w:val="37"/>
        </w:rPr>
        <w:t> </w:t>
      </w:r>
      <w:r>
        <w:rPr>
          <w:color w:val="231F1F"/>
        </w:rPr>
        <w:t>RR 0,91 [IC 95% 0,41 a 2,01]. A pesar de que se observaron pequeñas diferencias, entre el uso rutinario de oxitocina y amniorrexis frente a manejo conservador, éstas no fueron clínicamente relevantes: duración de la fase latente: DM -0,73 horas</w:t>
      </w:r>
      <w:r>
        <w:rPr>
          <w:color w:val="231F1F"/>
          <w:spacing w:val="33"/>
        </w:rPr>
        <w:t> </w:t>
      </w:r>
      <w:r>
        <w:rPr>
          <w:color w:val="231F1F"/>
        </w:rPr>
        <w:t>[IC</w:t>
      </w:r>
      <w:r>
        <w:rPr>
          <w:color w:val="231F1F"/>
          <w:spacing w:val="33"/>
        </w:rPr>
        <w:t> </w:t>
      </w:r>
      <w:r>
        <w:rPr>
          <w:color w:val="231F1F"/>
        </w:rPr>
        <w:t>95%</w:t>
      </w:r>
      <w:r>
        <w:rPr>
          <w:color w:val="231F1F"/>
          <w:spacing w:val="33"/>
        </w:rPr>
        <w:t> </w:t>
      </w:r>
      <w:r>
        <w:rPr>
          <w:color w:val="231F1F"/>
        </w:rPr>
        <w:t>-0,84</w:t>
      </w:r>
      <w:r>
        <w:rPr>
          <w:color w:val="231F1F"/>
          <w:spacing w:val="33"/>
        </w:rPr>
        <w:t> </w:t>
      </w:r>
      <w:r>
        <w:rPr>
          <w:color w:val="231F1F"/>
        </w:rPr>
        <w:t>a-0,62</w:t>
      </w:r>
      <w:r>
        <w:rPr>
          <w:color w:val="231F1F"/>
          <w:spacing w:val="33"/>
        </w:rPr>
        <w:t> </w:t>
      </w:r>
      <w:r>
        <w:rPr>
          <w:color w:val="231F1F"/>
        </w:rPr>
        <w:t>horas],</w:t>
      </w:r>
      <w:r>
        <w:rPr>
          <w:color w:val="231F1F"/>
          <w:spacing w:val="33"/>
        </w:rPr>
        <w:t> </w:t>
      </w:r>
      <w:r>
        <w:rPr>
          <w:color w:val="231F1F"/>
        </w:rPr>
        <w:t>duración</w:t>
      </w:r>
      <w:r>
        <w:rPr>
          <w:color w:val="231F1F"/>
          <w:spacing w:val="33"/>
        </w:rPr>
        <w:t> </w:t>
      </w:r>
      <w:r>
        <w:rPr>
          <w:color w:val="231F1F"/>
        </w:rPr>
        <w:t>de</w:t>
      </w:r>
      <w:r>
        <w:rPr>
          <w:color w:val="231F1F"/>
          <w:spacing w:val="33"/>
        </w:rPr>
        <w:t> </w:t>
      </w:r>
      <w:r>
        <w:rPr>
          <w:color w:val="231F1F"/>
        </w:rPr>
        <w:t>la</w:t>
      </w:r>
      <w:r>
        <w:rPr>
          <w:color w:val="231F1F"/>
          <w:spacing w:val="33"/>
        </w:rPr>
        <w:t> </w:t>
      </w:r>
      <w:r>
        <w:rPr>
          <w:color w:val="231F1F"/>
        </w:rPr>
        <w:t>fase</w:t>
      </w:r>
      <w:r>
        <w:rPr>
          <w:color w:val="231F1F"/>
          <w:spacing w:val="33"/>
        </w:rPr>
        <w:t> </w:t>
      </w:r>
      <w:r>
        <w:rPr>
          <w:color w:val="231F1F"/>
        </w:rPr>
        <w:t>activa:</w:t>
      </w:r>
      <w:r>
        <w:rPr>
          <w:color w:val="231F1F"/>
          <w:spacing w:val="33"/>
        </w:rPr>
        <w:t> </w:t>
      </w:r>
      <w:r>
        <w:rPr>
          <w:color w:val="231F1F"/>
        </w:rPr>
        <w:t>DM</w:t>
      </w:r>
      <w:r>
        <w:rPr>
          <w:color w:val="231F1F"/>
          <w:spacing w:val="33"/>
        </w:rPr>
        <w:t> </w:t>
      </w:r>
      <w:r>
        <w:rPr>
          <w:color w:val="231F1F"/>
        </w:rPr>
        <w:t>0,24</w:t>
      </w:r>
      <w:r>
        <w:rPr>
          <w:color w:val="231F1F"/>
          <w:spacing w:val="33"/>
        </w:rPr>
        <w:t> </w:t>
      </w:r>
      <w:r>
        <w:rPr>
          <w:color w:val="231F1F"/>
        </w:rPr>
        <w:t>horas [IC</w:t>
      </w:r>
      <w:r>
        <w:rPr>
          <w:color w:val="231F1F"/>
          <w:spacing w:val="18"/>
        </w:rPr>
        <w:t> </w:t>
      </w:r>
      <w:r>
        <w:rPr>
          <w:color w:val="231F1F"/>
        </w:rPr>
        <w:t>95%</w:t>
      </w:r>
      <w:r>
        <w:rPr>
          <w:color w:val="231F1F"/>
          <w:spacing w:val="18"/>
        </w:rPr>
        <w:t> </w:t>
      </w:r>
      <w:r>
        <w:rPr>
          <w:color w:val="231F1F"/>
        </w:rPr>
        <w:t>0,12</w:t>
      </w:r>
      <w:r>
        <w:rPr>
          <w:color w:val="231F1F"/>
          <w:spacing w:val="18"/>
        </w:rPr>
        <w:t> </w:t>
      </w:r>
      <w:r>
        <w:rPr>
          <w:color w:val="231F1F"/>
        </w:rPr>
        <w:t>a</w:t>
      </w:r>
      <w:r>
        <w:rPr>
          <w:color w:val="231F1F"/>
          <w:spacing w:val="18"/>
        </w:rPr>
        <w:t> </w:t>
      </w:r>
      <w:r>
        <w:rPr>
          <w:color w:val="231F1F"/>
        </w:rPr>
        <w:t>0,36</w:t>
      </w:r>
      <w:r>
        <w:rPr>
          <w:color w:val="231F1F"/>
          <w:spacing w:val="18"/>
        </w:rPr>
        <w:t> </w:t>
      </w:r>
      <w:r>
        <w:rPr>
          <w:color w:val="231F1F"/>
        </w:rPr>
        <w:t>horas],</w:t>
      </w:r>
      <w:r>
        <w:rPr>
          <w:color w:val="231F1F"/>
          <w:spacing w:val="18"/>
        </w:rPr>
        <w:t> </w:t>
      </w:r>
      <w:r>
        <w:rPr>
          <w:color w:val="231F1F"/>
        </w:rPr>
        <w:t>Apgar</w:t>
      </w:r>
      <w:r>
        <w:rPr>
          <w:color w:val="231F1F"/>
          <w:spacing w:val="18"/>
        </w:rPr>
        <w:t> </w:t>
      </w:r>
      <w:r>
        <w:rPr>
          <w:color w:val="231F1F"/>
        </w:rPr>
        <w:t>al</w:t>
      </w:r>
      <w:r>
        <w:rPr>
          <w:color w:val="231F1F"/>
          <w:spacing w:val="18"/>
        </w:rPr>
        <w:t> </w:t>
      </w:r>
      <w:r>
        <w:rPr>
          <w:color w:val="231F1F"/>
        </w:rPr>
        <w:t>minuto:</w:t>
      </w:r>
      <w:r>
        <w:rPr>
          <w:color w:val="231F1F"/>
          <w:spacing w:val="18"/>
        </w:rPr>
        <w:t> </w:t>
      </w:r>
      <w:r>
        <w:rPr>
          <w:color w:val="231F1F"/>
        </w:rPr>
        <w:t>DM</w:t>
      </w:r>
      <w:r>
        <w:rPr>
          <w:color w:val="231F1F"/>
          <w:spacing w:val="18"/>
        </w:rPr>
        <w:t> </w:t>
      </w:r>
      <w:r>
        <w:rPr>
          <w:color w:val="231F1F"/>
        </w:rPr>
        <w:t>0,35</w:t>
      </w:r>
      <w:r>
        <w:rPr>
          <w:color w:val="231F1F"/>
          <w:spacing w:val="18"/>
        </w:rPr>
        <w:t> </w:t>
      </w:r>
      <w:r>
        <w:rPr>
          <w:color w:val="231F1F"/>
        </w:rPr>
        <w:t>[IC</w:t>
      </w:r>
      <w:r>
        <w:rPr>
          <w:color w:val="231F1F"/>
          <w:spacing w:val="18"/>
        </w:rPr>
        <w:t> </w:t>
      </w:r>
      <w:r>
        <w:rPr>
          <w:color w:val="231F1F"/>
        </w:rPr>
        <w:t>95%</w:t>
      </w:r>
      <w:r>
        <w:rPr>
          <w:color w:val="231F1F"/>
          <w:spacing w:val="18"/>
        </w:rPr>
        <w:t> </w:t>
      </w:r>
      <w:r>
        <w:rPr>
          <w:color w:val="231F1F"/>
        </w:rPr>
        <w:t>0,30</w:t>
      </w:r>
      <w:r>
        <w:rPr>
          <w:color w:val="231F1F"/>
          <w:spacing w:val="18"/>
        </w:rPr>
        <w:t> </w:t>
      </w:r>
      <w:r>
        <w:rPr>
          <w:color w:val="231F1F"/>
        </w:rPr>
        <w:t>a</w:t>
      </w:r>
      <w:r>
        <w:rPr>
          <w:color w:val="231F1F"/>
          <w:spacing w:val="19"/>
        </w:rPr>
        <w:t> </w:t>
      </w:r>
      <w:r>
        <w:rPr>
          <w:color w:val="231F1F"/>
        </w:rPr>
        <w:t>0,40]</w:t>
      </w:r>
      <w:r>
        <w:rPr>
          <w:color w:val="231F1F"/>
          <w:spacing w:val="18"/>
        </w:rPr>
        <w:t> </w:t>
      </w:r>
      <w:r>
        <w:rPr>
          <w:color w:val="231F1F"/>
        </w:rPr>
        <w:t>y</w:t>
      </w:r>
    </w:p>
    <w:p>
      <w:pPr>
        <w:pStyle w:val="BodyText"/>
        <w:spacing w:line="249" w:lineRule="exact"/>
        <w:ind w:left="283"/>
        <w:jc w:val="both"/>
      </w:pPr>
      <w:r>
        <w:rPr>
          <w:color w:val="231F1F"/>
          <w:w w:val="105"/>
        </w:rPr>
        <w:t>Apgar</w:t>
      </w:r>
      <w:r>
        <w:rPr>
          <w:color w:val="231F1F"/>
          <w:spacing w:val="-7"/>
          <w:w w:val="105"/>
        </w:rPr>
        <w:t> </w:t>
      </w:r>
      <w:r>
        <w:rPr>
          <w:color w:val="231F1F"/>
          <w:w w:val="105"/>
        </w:rPr>
        <w:t>a</w:t>
      </w:r>
      <w:r>
        <w:rPr>
          <w:color w:val="231F1F"/>
          <w:spacing w:val="-4"/>
          <w:w w:val="105"/>
        </w:rPr>
        <w:t> </w:t>
      </w:r>
      <w:r>
        <w:rPr>
          <w:color w:val="231F1F"/>
          <w:w w:val="105"/>
        </w:rPr>
        <w:t>los</w:t>
      </w:r>
      <w:r>
        <w:rPr>
          <w:color w:val="231F1F"/>
          <w:spacing w:val="-4"/>
          <w:w w:val="105"/>
        </w:rPr>
        <w:t> </w:t>
      </w:r>
      <w:r>
        <w:rPr>
          <w:color w:val="231F1F"/>
          <w:w w:val="105"/>
        </w:rPr>
        <w:t>5</w:t>
      </w:r>
      <w:r>
        <w:rPr>
          <w:color w:val="231F1F"/>
          <w:spacing w:val="-3"/>
          <w:w w:val="105"/>
        </w:rPr>
        <w:t> </w:t>
      </w:r>
      <w:r>
        <w:rPr>
          <w:color w:val="231F1F"/>
          <w:w w:val="105"/>
        </w:rPr>
        <w:t>minutos:</w:t>
      </w:r>
      <w:r>
        <w:rPr>
          <w:color w:val="231F1F"/>
          <w:spacing w:val="-6"/>
          <w:w w:val="105"/>
        </w:rPr>
        <w:t> </w:t>
      </w:r>
      <w:r>
        <w:rPr>
          <w:color w:val="231F1F"/>
          <w:w w:val="105"/>
        </w:rPr>
        <w:t>DM</w:t>
      </w:r>
      <w:r>
        <w:rPr>
          <w:color w:val="231F1F"/>
          <w:spacing w:val="-3"/>
          <w:w w:val="105"/>
        </w:rPr>
        <w:t> </w:t>
      </w:r>
      <w:r>
        <w:rPr>
          <w:color w:val="231F1F"/>
          <w:w w:val="105"/>
        </w:rPr>
        <w:t>0,02</w:t>
      </w:r>
      <w:r>
        <w:rPr>
          <w:color w:val="231F1F"/>
          <w:spacing w:val="-4"/>
          <w:w w:val="105"/>
        </w:rPr>
        <w:t> </w:t>
      </w:r>
      <w:r>
        <w:rPr>
          <w:color w:val="231F1F"/>
          <w:w w:val="105"/>
        </w:rPr>
        <w:t>[IC</w:t>
      </w:r>
      <w:r>
        <w:rPr>
          <w:color w:val="231F1F"/>
          <w:spacing w:val="-3"/>
          <w:w w:val="105"/>
        </w:rPr>
        <w:t> </w:t>
      </w:r>
      <w:r>
        <w:rPr>
          <w:color w:val="231F1F"/>
          <w:w w:val="105"/>
        </w:rPr>
        <w:t>95%</w:t>
      </w:r>
      <w:r>
        <w:rPr>
          <w:color w:val="231F1F"/>
          <w:spacing w:val="-6"/>
          <w:w w:val="105"/>
        </w:rPr>
        <w:t> </w:t>
      </w:r>
      <w:r>
        <w:rPr>
          <w:color w:val="231F1F"/>
          <w:w w:val="105"/>
        </w:rPr>
        <w:t>0,00</w:t>
      </w:r>
      <w:r>
        <w:rPr>
          <w:color w:val="231F1F"/>
          <w:spacing w:val="-3"/>
          <w:w w:val="105"/>
        </w:rPr>
        <w:t> </w:t>
      </w:r>
      <w:r>
        <w:rPr>
          <w:color w:val="231F1F"/>
          <w:w w:val="105"/>
        </w:rPr>
        <w:t>a</w:t>
      </w:r>
      <w:r>
        <w:rPr>
          <w:color w:val="231F1F"/>
          <w:spacing w:val="-6"/>
          <w:w w:val="105"/>
        </w:rPr>
        <w:t> </w:t>
      </w:r>
      <w:r>
        <w:rPr>
          <w:color w:val="231F1F"/>
          <w:spacing w:val="-2"/>
          <w:w w:val="105"/>
        </w:rPr>
        <w:t>0,04].</w:t>
      </w:r>
    </w:p>
    <w:p>
      <w:pPr>
        <w:pStyle w:val="BodyText"/>
        <w:spacing w:before="94"/>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(2005</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line="244" w:lineRule="auto" w:before="214"/>
        <w:ind w:left="283" w:right="4"/>
        <w:jc w:val="both"/>
      </w:pPr>
      <w:r>
        <w:rPr>
          <w:color w:val="231F1F"/>
          <w:w w:val="110"/>
        </w:rPr>
        <w:t>En</w:t>
      </w:r>
      <w:r>
        <w:rPr>
          <w:color w:val="231F1F"/>
          <w:spacing w:val="-14"/>
          <w:w w:val="110"/>
        </w:rPr>
        <w:t> </w:t>
      </w:r>
      <w:r>
        <w:rPr>
          <w:color w:val="231F1F"/>
          <w:w w:val="110"/>
        </w:rPr>
        <w:t>la</w:t>
      </w:r>
      <w:r>
        <w:rPr>
          <w:color w:val="231F1F"/>
          <w:spacing w:val="-14"/>
          <w:w w:val="110"/>
        </w:rPr>
        <w:t> </w:t>
      </w:r>
      <w:r>
        <w:rPr>
          <w:color w:val="231F1F"/>
          <w:w w:val="110"/>
        </w:rPr>
        <w:t>búsqueda</w:t>
      </w:r>
      <w:r>
        <w:rPr>
          <w:color w:val="231F1F"/>
          <w:spacing w:val="-14"/>
          <w:w w:val="110"/>
        </w:rPr>
        <w:t> </w:t>
      </w:r>
      <w:r>
        <w:rPr>
          <w:color w:val="231F1F"/>
          <w:w w:val="110"/>
        </w:rPr>
        <w:t>sistemática</w:t>
      </w:r>
      <w:r>
        <w:rPr>
          <w:color w:val="231F1F"/>
          <w:spacing w:val="-14"/>
          <w:w w:val="110"/>
        </w:rPr>
        <w:t> </w:t>
      </w:r>
      <w:r>
        <w:rPr>
          <w:color w:val="231F1F"/>
          <w:w w:val="110"/>
        </w:rPr>
        <w:t>para</w:t>
      </w:r>
      <w:r>
        <w:rPr>
          <w:color w:val="231F1F"/>
          <w:spacing w:val="-14"/>
          <w:w w:val="110"/>
        </w:rPr>
        <w:t> </w:t>
      </w:r>
      <w:r>
        <w:rPr>
          <w:color w:val="231F1F"/>
          <w:w w:val="110"/>
        </w:rPr>
        <w:t>la</w:t>
      </w:r>
      <w:r>
        <w:rPr>
          <w:color w:val="231F1F"/>
          <w:spacing w:val="-14"/>
          <w:w w:val="110"/>
        </w:rPr>
        <w:t> </w:t>
      </w:r>
      <w:r>
        <w:rPr>
          <w:color w:val="231F1F"/>
          <w:w w:val="110"/>
        </w:rPr>
        <w:t>actualización</w:t>
      </w:r>
      <w:r>
        <w:rPr>
          <w:color w:val="231F1F"/>
          <w:spacing w:val="-14"/>
          <w:w w:val="110"/>
        </w:rPr>
        <w:t> </w:t>
      </w:r>
      <w:r>
        <w:rPr>
          <w:color w:val="231F1F"/>
          <w:w w:val="110"/>
        </w:rPr>
        <w:t>de</w:t>
      </w:r>
      <w:r>
        <w:rPr>
          <w:color w:val="231F1F"/>
          <w:spacing w:val="-14"/>
          <w:w w:val="110"/>
        </w:rPr>
        <w:t> </w:t>
      </w:r>
      <w:r>
        <w:rPr>
          <w:color w:val="231F1F"/>
          <w:w w:val="110"/>
        </w:rPr>
        <w:t>este</w:t>
      </w:r>
      <w:r>
        <w:rPr>
          <w:color w:val="231F1F"/>
          <w:spacing w:val="-14"/>
          <w:w w:val="110"/>
        </w:rPr>
        <w:t> </w:t>
      </w:r>
      <w:r>
        <w:rPr>
          <w:color w:val="231F1F"/>
          <w:w w:val="110"/>
        </w:rPr>
        <w:t>tema</w:t>
      </w:r>
      <w:r>
        <w:rPr>
          <w:color w:val="231F1F"/>
          <w:spacing w:val="-14"/>
          <w:w w:val="110"/>
        </w:rPr>
        <w:t> </w:t>
      </w:r>
      <w:r>
        <w:rPr>
          <w:color w:val="231F1F"/>
          <w:w w:val="110"/>
        </w:rPr>
        <w:t>se</w:t>
      </w:r>
      <w:r>
        <w:rPr>
          <w:color w:val="231F1F"/>
          <w:spacing w:val="-14"/>
          <w:w w:val="110"/>
        </w:rPr>
        <w:t> </w:t>
      </w:r>
      <w:r>
        <w:rPr>
          <w:color w:val="231F1F"/>
          <w:w w:val="110"/>
        </w:rPr>
        <w:t>ha</w:t>
      </w:r>
      <w:r>
        <w:rPr>
          <w:color w:val="231F1F"/>
          <w:spacing w:val="-14"/>
          <w:w w:val="110"/>
        </w:rPr>
        <w:t> </w:t>
      </w:r>
      <w:r>
        <w:rPr>
          <w:color w:val="231F1F"/>
          <w:w w:val="110"/>
        </w:rPr>
        <w:t>seleccio- nado</w:t>
      </w:r>
      <w:r>
        <w:rPr>
          <w:color w:val="231F1F"/>
          <w:spacing w:val="-14"/>
          <w:w w:val="110"/>
        </w:rPr>
        <w:t> </w:t>
      </w:r>
      <w:r>
        <w:rPr>
          <w:color w:val="231F1F"/>
          <w:w w:val="110"/>
        </w:rPr>
        <w:t>una</w:t>
      </w:r>
      <w:r>
        <w:rPr>
          <w:color w:val="231F1F"/>
          <w:spacing w:val="-14"/>
          <w:w w:val="110"/>
        </w:rPr>
        <w:t> </w:t>
      </w:r>
      <w:r>
        <w:rPr>
          <w:color w:val="231F1F"/>
          <w:w w:val="110"/>
        </w:rPr>
        <w:t>RS</w:t>
      </w:r>
      <w:r>
        <w:rPr>
          <w:color w:val="231F1F"/>
          <w:spacing w:val="-14"/>
          <w:w w:val="110"/>
        </w:rPr>
        <w:t> </w:t>
      </w:r>
      <w:r>
        <w:rPr>
          <w:color w:val="231F1F"/>
          <w:w w:val="110"/>
        </w:rPr>
        <w:t>(58)</w:t>
      </w:r>
      <w:r>
        <w:rPr>
          <w:color w:val="231F1F"/>
          <w:spacing w:val="-14"/>
          <w:w w:val="110"/>
        </w:rPr>
        <w:t> </w:t>
      </w:r>
      <w:r>
        <w:rPr>
          <w:color w:val="231F1F"/>
          <w:w w:val="110"/>
        </w:rPr>
        <w:t>de</w:t>
      </w:r>
      <w:r>
        <w:rPr>
          <w:color w:val="231F1F"/>
          <w:spacing w:val="-14"/>
          <w:w w:val="110"/>
        </w:rPr>
        <w:t> </w:t>
      </w:r>
      <w:r>
        <w:rPr>
          <w:color w:val="231F1F"/>
          <w:w w:val="110"/>
        </w:rPr>
        <w:t>buena</w:t>
      </w:r>
      <w:r>
        <w:rPr>
          <w:color w:val="231F1F"/>
          <w:spacing w:val="-14"/>
          <w:w w:val="110"/>
        </w:rPr>
        <w:t> </w:t>
      </w:r>
      <w:r>
        <w:rPr>
          <w:color w:val="231F1F"/>
          <w:w w:val="110"/>
        </w:rPr>
        <w:t>calidad</w:t>
      </w:r>
      <w:r>
        <w:rPr>
          <w:color w:val="231F1F"/>
          <w:spacing w:val="-14"/>
          <w:w w:val="110"/>
        </w:rPr>
        <w:t> </w:t>
      </w:r>
      <w:r>
        <w:rPr>
          <w:color w:val="231F1F"/>
          <w:w w:val="110"/>
        </w:rPr>
        <w:t>(NE=1+)</w:t>
      </w:r>
      <w:r>
        <w:rPr>
          <w:color w:val="231F1F"/>
          <w:spacing w:val="-14"/>
          <w:w w:val="110"/>
        </w:rPr>
        <w:t> </w:t>
      </w:r>
      <w:r>
        <w:rPr>
          <w:color w:val="231F1F"/>
          <w:w w:val="110"/>
        </w:rPr>
        <w:t>que</w:t>
      </w:r>
      <w:r>
        <w:rPr>
          <w:color w:val="231F1F"/>
          <w:spacing w:val="-14"/>
          <w:w w:val="110"/>
        </w:rPr>
        <w:t> </w:t>
      </w:r>
      <w:r>
        <w:rPr>
          <w:color w:val="231F1F"/>
          <w:w w:val="110"/>
        </w:rPr>
        <w:t>engloba</w:t>
      </w:r>
      <w:r>
        <w:rPr>
          <w:color w:val="231F1F"/>
          <w:spacing w:val="-14"/>
          <w:w w:val="110"/>
        </w:rPr>
        <w:t> </w:t>
      </w:r>
      <w:r>
        <w:rPr>
          <w:color w:val="231F1F"/>
          <w:w w:val="110"/>
        </w:rPr>
        <w:t>un</w:t>
      </w:r>
      <w:r>
        <w:rPr>
          <w:color w:val="231F1F"/>
          <w:spacing w:val="-14"/>
          <w:w w:val="110"/>
        </w:rPr>
        <w:t> </w:t>
      </w:r>
      <w:r>
        <w:rPr>
          <w:color w:val="231F1F"/>
          <w:w w:val="110"/>
        </w:rPr>
        <w:t>total</w:t>
      </w:r>
      <w:r>
        <w:rPr>
          <w:color w:val="231F1F"/>
          <w:spacing w:val="-14"/>
          <w:w w:val="110"/>
        </w:rPr>
        <w:t> </w:t>
      </w:r>
      <w:r>
        <w:rPr>
          <w:color w:val="231F1F"/>
          <w:w w:val="110"/>
        </w:rPr>
        <w:t>de</w:t>
      </w:r>
      <w:r>
        <w:rPr>
          <w:color w:val="231F1F"/>
          <w:spacing w:val="-14"/>
          <w:w w:val="110"/>
        </w:rPr>
        <w:t> </w:t>
      </w:r>
      <w:r>
        <w:rPr>
          <w:color w:val="231F1F"/>
          <w:w w:val="110"/>
        </w:rPr>
        <w:t>catorce ECAs</w:t>
      </w:r>
      <w:r>
        <w:rPr>
          <w:color w:val="231F1F"/>
          <w:spacing w:val="-10"/>
          <w:w w:val="110"/>
        </w:rPr>
        <w:t> </w:t>
      </w:r>
      <w:r>
        <w:rPr>
          <w:color w:val="231F1F"/>
          <w:w w:val="110"/>
        </w:rPr>
        <w:t>con</w:t>
      </w:r>
      <w:r>
        <w:rPr>
          <w:color w:val="231F1F"/>
          <w:spacing w:val="-10"/>
          <w:w w:val="110"/>
        </w:rPr>
        <w:t> </w:t>
      </w:r>
      <w:r>
        <w:rPr>
          <w:color w:val="231F1F"/>
          <w:w w:val="110"/>
        </w:rPr>
        <w:t>un</w:t>
      </w:r>
      <w:r>
        <w:rPr>
          <w:color w:val="231F1F"/>
          <w:spacing w:val="-10"/>
          <w:w w:val="110"/>
        </w:rPr>
        <w:t> </w:t>
      </w:r>
      <w:r>
        <w:rPr>
          <w:color w:val="231F1F"/>
          <w:w w:val="110"/>
        </w:rPr>
        <w:t>total</w:t>
      </w:r>
      <w:r>
        <w:rPr>
          <w:color w:val="231F1F"/>
          <w:spacing w:val="-10"/>
          <w:w w:val="110"/>
        </w:rPr>
        <w:t> </w:t>
      </w:r>
      <w:r>
        <w:rPr>
          <w:color w:val="231F1F"/>
          <w:w w:val="110"/>
        </w:rPr>
        <w:t>de</w:t>
      </w:r>
      <w:r>
        <w:rPr>
          <w:color w:val="231F1F"/>
          <w:spacing w:val="-10"/>
          <w:w w:val="110"/>
        </w:rPr>
        <w:t> </w:t>
      </w:r>
      <w:r>
        <w:rPr>
          <w:color w:val="231F1F"/>
          <w:w w:val="110"/>
        </w:rPr>
        <w:t>4.893</w:t>
      </w:r>
      <w:r>
        <w:rPr>
          <w:color w:val="231F1F"/>
          <w:spacing w:val="-10"/>
          <w:w w:val="110"/>
        </w:rPr>
        <w:t> </w:t>
      </w:r>
      <w:r>
        <w:rPr>
          <w:color w:val="231F1F"/>
          <w:w w:val="110"/>
        </w:rPr>
        <w:t>mujeres</w:t>
      </w:r>
      <w:r>
        <w:rPr>
          <w:color w:val="231F1F"/>
          <w:spacing w:val="-10"/>
          <w:w w:val="110"/>
        </w:rPr>
        <w:t> </w:t>
      </w:r>
      <w:r>
        <w:rPr>
          <w:color w:val="231F1F"/>
          <w:w w:val="110"/>
        </w:rPr>
        <w:t>(rango</w:t>
      </w:r>
      <w:r>
        <w:rPr>
          <w:color w:val="231F1F"/>
          <w:spacing w:val="-10"/>
          <w:w w:val="110"/>
        </w:rPr>
        <w:t> </w:t>
      </w:r>
      <w:r>
        <w:rPr>
          <w:color w:val="231F1F"/>
          <w:w w:val="110"/>
        </w:rPr>
        <w:t>de</w:t>
      </w:r>
      <w:r>
        <w:rPr>
          <w:color w:val="231F1F"/>
          <w:spacing w:val="-10"/>
          <w:w w:val="110"/>
        </w:rPr>
        <w:t> </w:t>
      </w:r>
      <w:r>
        <w:rPr>
          <w:color w:val="231F1F"/>
          <w:w w:val="110"/>
        </w:rPr>
        <w:t>entre</w:t>
      </w:r>
      <w:r>
        <w:rPr>
          <w:color w:val="231F1F"/>
          <w:spacing w:val="-10"/>
          <w:w w:val="110"/>
        </w:rPr>
        <w:t> </w:t>
      </w:r>
      <w:r>
        <w:rPr>
          <w:color w:val="231F1F"/>
          <w:w w:val="110"/>
        </w:rPr>
        <w:t>estudios</w:t>
      </w:r>
      <w:r>
        <w:rPr>
          <w:color w:val="231F1F"/>
          <w:spacing w:val="-10"/>
          <w:w w:val="110"/>
        </w:rPr>
        <w:t> </w:t>
      </w:r>
      <w:r>
        <w:rPr>
          <w:color w:val="231F1F"/>
          <w:w w:val="110"/>
        </w:rPr>
        <w:t>n=32</w:t>
      </w:r>
      <w:r>
        <w:rPr>
          <w:color w:val="231F1F"/>
          <w:spacing w:val="-10"/>
          <w:w w:val="110"/>
        </w:rPr>
        <w:t> </w:t>
      </w:r>
      <w:r>
        <w:rPr>
          <w:color w:val="231F1F"/>
          <w:w w:val="110"/>
        </w:rPr>
        <w:t>a</w:t>
      </w:r>
      <w:r>
        <w:rPr>
          <w:color w:val="231F1F"/>
          <w:spacing w:val="-10"/>
          <w:w w:val="110"/>
        </w:rPr>
        <w:t> </w:t>
      </w:r>
      <w:r>
        <w:rPr>
          <w:color w:val="231F1F"/>
          <w:w w:val="110"/>
        </w:rPr>
        <w:t>1.463).</w:t>
      </w:r>
    </w:p>
    <w:p>
      <w:pPr>
        <w:pStyle w:val="BodyText"/>
        <w:spacing w:line="244" w:lineRule="auto" w:before="138"/>
        <w:ind w:left="283" w:right="1" w:firstLine="453"/>
        <w:jc w:val="both"/>
      </w:pPr>
      <w:r>
        <w:rPr>
          <w:color w:val="231F1F"/>
          <w:w w:val="110"/>
        </w:rPr>
        <w:t>El</w:t>
      </w:r>
      <w:r>
        <w:rPr>
          <w:color w:val="231F1F"/>
          <w:spacing w:val="-10"/>
          <w:w w:val="110"/>
        </w:rPr>
        <w:t> </w:t>
      </w:r>
      <w:r>
        <w:rPr>
          <w:color w:val="231F1F"/>
          <w:w w:val="110"/>
        </w:rPr>
        <w:t>objetivo</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revisión</w:t>
      </w:r>
      <w:r>
        <w:rPr>
          <w:color w:val="231F1F"/>
          <w:spacing w:val="-9"/>
          <w:w w:val="110"/>
        </w:rPr>
        <w:t> </w:t>
      </w:r>
      <w:r>
        <w:rPr>
          <w:color w:val="231F1F"/>
          <w:w w:val="110"/>
        </w:rPr>
        <w:t>es</w:t>
      </w:r>
      <w:r>
        <w:rPr>
          <w:color w:val="231F1F"/>
          <w:spacing w:val="-10"/>
          <w:w w:val="110"/>
        </w:rPr>
        <w:t> </w:t>
      </w:r>
      <w:r>
        <w:rPr>
          <w:color w:val="231F1F"/>
          <w:w w:val="110"/>
        </w:rPr>
        <w:t>determinar</w:t>
      </w:r>
      <w:r>
        <w:rPr>
          <w:color w:val="231F1F"/>
          <w:spacing w:val="-10"/>
          <w:w w:val="110"/>
        </w:rPr>
        <w:t> </w:t>
      </w:r>
      <w:r>
        <w:rPr>
          <w:color w:val="231F1F"/>
          <w:w w:val="110"/>
        </w:rPr>
        <w:t>la</w:t>
      </w:r>
      <w:r>
        <w:rPr>
          <w:color w:val="231F1F"/>
          <w:spacing w:val="-9"/>
          <w:w w:val="110"/>
        </w:rPr>
        <w:t> </w:t>
      </w:r>
      <w:r>
        <w:rPr>
          <w:color w:val="231F1F"/>
          <w:w w:val="110"/>
        </w:rPr>
        <w:t>efectividad</w:t>
      </w:r>
      <w:r>
        <w:rPr>
          <w:color w:val="231F1F"/>
          <w:spacing w:val="-9"/>
          <w:w w:val="110"/>
        </w:rPr>
        <w:t> </w:t>
      </w:r>
      <w:r>
        <w:rPr>
          <w:color w:val="231F1F"/>
          <w:w w:val="110"/>
        </w:rPr>
        <w:t>y</w:t>
      </w:r>
      <w:r>
        <w:rPr>
          <w:color w:val="231F1F"/>
          <w:spacing w:val="-9"/>
          <w:w w:val="110"/>
        </w:rPr>
        <w:t> </w:t>
      </w:r>
      <w:r>
        <w:rPr>
          <w:color w:val="231F1F"/>
          <w:w w:val="110"/>
        </w:rPr>
        <w:t>la</w:t>
      </w:r>
      <w:r>
        <w:rPr>
          <w:color w:val="231F1F"/>
          <w:spacing w:val="-9"/>
          <w:w w:val="110"/>
        </w:rPr>
        <w:t> </w:t>
      </w:r>
      <w:r>
        <w:rPr>
          <w:color w:val="231F1F"/>
          <w:w w:val="110"/>
        </w:rPr>
        <w:t>seguridad</w:t>
      </w:r>
      <w:r>
        <w:rPr>
          <w:color w:val="231F1F"/>
          <w:spacing w:val="-10"/>
          <w:w w:val="110"/>
        </w:rPr>
        <w:t> </w:t>
      </w:r>
      <w:r>
        <w:rPr>
          <w:color w:val="231F1F"/>
          <w:w w:val="110"/>
        </w:rPr>
        <w:t>de la</w:t>
      </w:r>
      <w:r>
        <w:rPr>
          <w:color w:val="231F1F"/>
          <w:spacing w:val="-12"/>
          <w:w w:val="110"/>
        </w:rPr>
        <w:t> </w:t>
      </w:r>
      <w:r>
        <w:rPr>
          <w:color w:val="231F1F"/>
          <w:w w:val="110"/>
        </w:rPr>
        <w:t>amniorrexis</w:t>
      </w:r>
      <w:r>
        <w:rPr>
          <w:color w:val="231F1F"/>
          <w:spacing w:val="-12"/>
          <w:w w:val="110"/>
        </w:rPr>
        <w:t> </w:t>
      </w:r>
      <w:r>
        <w:rPr>
          <w:color w:val="231F1F"/>
          <w:w w:val="110"/>
        </w:rPr>
        <w:t>sola</w:t>
      </w:r>
      <w:r>
        <w:rPr>
          <w:color w:val="231F1F"/>
          <w:spacing w:val="-12"/>
          <w:w w:val="110"/>
        </w:rPr>
        <w:t> </w:t>
      </w:r>
      <w:r>
        <w:rPr>
          <w:color w:val="231F1F"/>
          <w:w w:val="110"/>
        </w:rPr>
        <w:t>para</w:t>
      </w:r>
      <w:r>
        <w:rPr>
          <w:color w:val="231F1F"/>
          <w:spacing w:val="-12"/>
          <w:w w:val="110"/>
        </w:rPr>
        <w:t> </w:t>
      </w:r>
      <w:r>
        <w:rPr>
          <w:color w:val="231F1F"/>
          <w:w w:val="110"/>
        </w:rPr>
        <w:t>el</w:t>
      </w:r>
      <w:r>
        <w:rPr>
          <w:color w:val="231F1F"/>
          <w:spacing w:val="-13"/>
          <w:w w:val="110"/>
        </w:rPr>
        <w:t> </w:t>
      </w:r>
      <w:r>
        <w:rPr>
          <w:color w:val="231F1F"/>
          <w:w w:val="110"/>
        </w:rPr>
        <w:t>acortamiento</w:t>
      </w:r>
      <w:r>
        <w:rPr>
          <w:color w:val="231F1F"/>
          <w:spacing w:val="-12"/>
          <w:w w:val="110"/>
        </w:rPr>
        <w:t> </w:t>
      </w:r>
      <w:r>
        <w:rPr>
          <w:color w:val="231F1F"/>
          <w:w w:val="110"/>
        </w:rPr>
        <w:t>sistemático</w:t>
      </w:r>
      <w:r>
        <w:rPr>
          <w:color w:val="231F1F"/>
          <w:spacing w:val="-13"/>
          <w:w w:val="110"/>
        </w:rPr>
        <w:t> </w:t>
      </w:r>
      <w:r>
        <w:rPr>
          <w:color w:val="231F1F"/>
          <w:w w:val="110"/>
        </w:rPr>
        <w:t>de</w:t>
      </w:r>
      <w:r>
        <w:rPr>
          <w:color w:val="231F1F"/>
          <w:spacing w:val="-12"/>
          <w:w w:val="110"/>
        </w:rPr>
        <w:t> </w:t>
      </w:r>
      <w:r>
        <w:rPr>
          <w:color w:val="231F1F"/>
          <w:w w:val="110"/>
        </w:rPr>
        <w:t>todos</w:t>
      </w:r>
      <w:r>
        <w:rPr>
          <w:color w:val="231F1F"/>
          <w:spacing w:val="-12"/>
          <w:w w:val="110"/>
        </w:rPr>
        <w:t> </w:t>
      </w:r>
      <w:r>
        <w:rPr>
          <w:color w:val="231F1F"/>
          <w:w w:val="110"/>
        </w:rPr>
        <w:t>los</w:t>
      </w:r>
      <w:r>
        <w:rPr>
          <w:color w:val="231F1F"/>
          <w:spacing w:val="-12"/>
          <w:w w:val="110"/>
        </w:rPr>
        <w:t> </w:t>
      </w:r>
      <w:r>
        <w:rPr>
          <w:color w:val="231F1F"/>
          <w:w w:val="110"/>
        </w:rPr>
        <w:t>trabajos</w:t>
      </w:r>
      <w:r>
        <w:rPr>
          <w:color w:val="231F1F"/>
          <w:spacing w:val="-12"/>
          <w:w w:val="110"/>
        </w:rPr>
        <w:t> </w:t>
      </w:r>
      <w:r>
        <w:rPr>
          <w:color w:val="231F1F"/>
          <w:w w:val="110"/>
        </w:rPr>
        <w:t>de parto</w:t>
      </w:r>
      <w:r>
        <w:rPr>
          <w:color w:val="231F1F"/>
          <w:spacing w:val="-9"/>
          <w:w w:val="110"/>
        </w:rPr>
        <w:t> </w:t>
      </w:r>
      <w:r>
        <w:rPr>
          <w:color w:val="231F1F"/>
          <w:w w:val="110"/>
        </w:rPr>
        <w:t>de</w:t>
      </w:r>
      <w:r>
        <w:rPr>
          <w:color w:val="231F1F"/>
          <w:spacing w:val="-9"/>
          <w:w w:val="110"/>
        </w:rPr>
        <w:t> </w:t>
      </w:r>
      <w:r>
        <w:rPr>
          <w:color w:val="231F1F"/>
          <w:w w:val="110"/>
        </w:rPr>
        <w:t>comienzo</w:t>
      </w:r>
      <w:r>
        <w:rPr>
          <w:color w:val="231F1F"/>
          <w:spacing w:val="-9"/>
          <w:w w:val="110"/>
        </w:rPr>
        <w:t> </w:t>
      </w:r>
      <w:r>
        <w:rPr>
          <w:color w:val="231F1F"/>
          <w:w w:val="110"/>
        </w:rPr>
        <w:t>espontáneo,</w:t>
      </w:r>
      <w:r>
        <w:rPr>
          <w:color w:val="231F1F"/>
          <w:spacing w:val="-9"/>
          <w:w w:val="110"/>
        </w:rPr>
        <w:t> </w:t>
      </w:r>
      <w:r>
        <w:rPr>
          <w:color w:val="231F1F"/>
          <w:w w:val="110"/>
        </w:rPr>
        <w:t>y</w:t>
      </w:r>
      <w:r>
        <w:rPr>
          <w:color w:val="231F1F"/>
          <w:spacing w:val="-9"/>
          <w:w w:val="110"/>
        </w:rPr>
        <w:t> </w:t>
      </w:r>
      <w:r>
        <w:rPr>
          <w:color w:val="231F1F"/>
          <w:w w:val="110"/>
        </w:rPr>
        <w:t>el</w:t>
      </w:r>
      <w:r>
        <w:rPr>
          <w:color w:val="231F1F"/>
          <w:spacing w:val="-10"/>
          <w:w w:val="110"/>
        </w:rPr>
        <w:t> </w:t>
      </w:r>
      <w:r>
        <w:rPr>
          <w:color w:val="231F1F"/>
          <w:w w:val="110"/>
        </w:rPr>
        <w:t>acortamiento</w:t>
      </w:r>
      <w:r>
        <w:rPr>
          <w:color w:val="231F1F"/>
          <w:spacing w:val="-9"/>
          <w:w w:val="110"/>
        </w:rPr>
        <w:t> </w:t>
      </w:r>
      <w:r>
        <w:rPr>
          <w:color w:val="231F1F"/>
          <w:w w:val="110"/>
        </w:rPr>
        <w:t>de</w:t>
      </w:r>
      <w:r>
        <w:rPr>
          <w:color w:val="231F1F"/>
          <w:spacing w:val="-9"/>
          <w:w w:val="110"/>
        </w:rPr>
        <w:t> </w:t>
      </w:r>
      <w:r>
        <w:rPr>
          <w:color w:val="231F1F"/>
          <w:w w:val="110"/>
        </w:rPr>
        <w:t>los</w:t>
      </w:r>
      <w:r>
        <w:rPr>
          <w:color w:val="231F1F"/>
          <w:spacing w:val="-10"/>
          <w:w w:val="110"/>
        </w:rPr>
        <w:t> </w:t>
      </w:r>
      <w:r>
        <w:rPr>
          <w:color w:val="231F1F"/>
          <w:w w:val="110"/>
        </w:rPr>
        <w:t>trabajos</w:t>
      </w:r>
      <w:r>
        <w:rPr>
          <w:color w:val="231F1F"/>
          <w:spacing w:val="-9"/>
          <w:w w:val="110"/>
        </w:rPr>
        <w:t> </w:t>
      </w:r>
      <w:r>
        <w:rPr>
          <w:color w:val="231F1F"/>
          <w:w w:val="110"/>
        </w:rPr>
        <w:t>de</w:t>
      </w:r>
      <w:r>
        <w:rPr>
          <w:color w:val="231F1F"/>
          <w:spacing w:val="-9"/>
          <w:w w:val="110"/>
        </w:rPr>
        <w:t> </w:t>
      </w:r>
      <w:r>
        <w:rPr>
          <w:color w:val="231F1F"/>
          <w:w w:val="110"/>
        </w:rPr>
        <w:t>parto</w:t>
      </w:r>
      <w:r>
        <w:rPr>
          <w:color w:val="231F1F"/>
          <w:spacing w:val="-9"/>
          <w:w w:val="110"/>
        </w:rPr>
        <w:t> </w:t>
      </w:r>
      <w:r>
        <w:rPr>
          <w:color w:val="231F1F"/>
          <w:w w:val="110"/>
        </w:rPr>
        <w:t>de comienzo</w:t>
      </w:r>
      <w:r>
        <w:rPr>
          <w:color w:val="231F1F"/>
          <w:spacing w:val="-16"/>
          <w:w w:val="110"/>
        </w:rPr>
        <w:t> </w:t>
      </w:r>
      <w:r>
        <w:rPr>
          <w:color w:val="231F1F"/>
          <w:w w:val="110"/>
        </w:rPr>
        <w:t>espontáneo,</w:t>
      </w:r>
      <w:r>
        <w:rPr>
          <w:color w:val="231F1F"/>
          <w:spacing w:val="-15"/>
          <w:w w:val="110"/>
        </w:rPr>
        <w:t> </w:t>
      </w:r>
      <w:r>
        <w:rPr>
          <w:color w:val="231F1F"/>
          <w:w w:val="110"/>
        </w:rPr>
        <w:t>pero</w:t>
      </w:r>
      <w:r>
        <w:rPr>
          <w:color w:val="231F1F"/>
          <w:spacing w:val="-15"/>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prolongaron.</w:t>
      </w:r>
      <w:r>
        <w:rPr>
          <w:color w:val="231F1F"/>
          <w:spacing w:val="-15"/>
          <w:w w:val="110"/>
        </w:rPr>
        <w:t> </w:t>
      </w:r>
      <w:r>
        <w:rPr>
          <w:color w:val="231F1F"/>
          <w:w w:val="110"/>
        </w:rPr>
        <w:t>La</w:t>
      </w:r>
      <w:r>
        <w:rPr>
          <w:color w:val="231F1F"/>
          <w:spacing w:val="-15"/>
          <w:w w:val="110"/>
        </w:rPr>
        <w:t> </w:t>
      </w:r>
      <w:r>
        <w:rPr>
          <w:color w:val="231F1F"/>
          <w:w w:val="110"/>
        </w:rPr>
        <w:t>RS</w:t>
      </w:r>
      <w:r>
        <w:rPr>
          <w:color w:val="231F1F"/>
          <w:spacing w:val="-15"/>
          <w:w w:val="110"/>
        </w:rPr>
        <w:t> </w:t>
      </w:r>
      <w:r>
        <w:rPr>
          <w:color w:val="231F1F"/>
          <w:w w:val="110"/>
        </w:rPr>
        <w:t>realiza</w:t>
      </w:r>
      <w:r>
        <w:rPr>
          <w:color w:val="231F1F"/>
          <w:spacing w:val="-15"/>
          <w:w w:val="110"/>
        </w:rPr>
        <w:t> </w:t>
      </w:r>
      <w:r>
        <w:rPr>
          <w:color w:val="231F1F"/>
          <w:w w:val="110"/>
        </w:rPr>
        <w:t>un</w:t>
      </w:r>
      <w:r>
        <w:rPr>
          <w:color w:val="231F1F"/>
          <w:spacing w:val="-15"/>
          <w:w w:val="110"/>
        </w:rPr>
        <w:t> </w:t>
      </w:r>
      <w:r>
        <w:rPr>
          <w:color w:val="231F1F"/>
          <w:w w:val="110"/>
        </w:rPr>
        <w:t>metaanáli- sis</w:t>
      </w:r>
      <w:r>
        <w:rPr>
          <w:color w:val="231F1F"/>
          <w:w w:val="110"/>
        </w:rPr>
        <w:t> para</w:t>
      </w:r>
      <w:r>
        <w:rPr>
          <w:color w:val="231F1F"/>
          <w:w w:val="110"/>
        </w:rPr>
        <w:t> cada</w:t>
      </w:r>
      <w:r>
        <w:rPr>
          <w:color w:val="231F1F"/>
          <w:w w:val="110"/>
        </w:rPr>
        <w:t> una</w:t>
      </w:r>
      <w:r>
        <w:rPr>
          <w:color w:val="231F1F"/>
          <w:w w:val="110"/>
        </w:rPr>
        <w:t> de</w:t>
      </w:r>
      <w:r>
        <w:rPr>
          <w:color w:val="231F1F"/>
          <w:w w:val="110"/>
        </w:rPr>
        <w:t> las</w:t>
      </w:r>
      <w:r>
        <w:rPr>
          <w:color w:val="231F1F"/>
          <w:w w:val="110"/>
        </w:rPr>
        <w:t> variables</w:t>
      </w:r>
      <w:r>
        <w:rPr>
          <w:color w:val="231F1F"/>
          <w:w w:val="110"/>
        </w:rPr>
        <w:t> estudiadas,</w:t>
      </w:r>
      <w:r>
        <w:rPr>
          <w:color w:val="231F1F"/>
          <w:w w:val="110"/>
        </w:rPr>
        <w:t> comparando</w:t>
      </w:r>
      <w:r>
        <w:rPr>
          <w:color w:val="231F1F"/>
          <w:w w:val="110"/>
        </w:rPr>
        <w:t> el</w:t>
      </w:r>
      <w:r>
        <w:rPr>
          <w:color w:val="231F1F"/>
          <w:w w:val="110"/>
        </w:rPr>
        <w:t> efecto</w:t>
      </w:r>
      <w:r>
        <w:rPr>
          <w:color w:val="231F1F"/>
          <w:w w:val="110"/>
        </w:rPr>
        <w:t> de</w:t>
      </w:r>
      <w:r>
        <w:rPr>
          <w:color w:val="231F1F"/>
          <w:w w:val="110"/>
        </w:rPr>
        <w:t> la realización de amniorrexis frente a no realizarla.</w:t>
      </w:r>
    </w:p>
    <w:p>
      <w:pPr>
        <w:pStyle w:val="BodyText"/>
        <w:spacing w:line="244" w:lineRule="auto" w:before="103"/>
        <w:ind w:left="283" w:right="5" w:firstLine="453"/>
        <w:jc w:val="both"/>
      </w:pPr>
      <w:r>
        <w:rPr>
          <w:color w:val="231F1F"/>
          <w:w w:val="105"/>
        </w:rPr>
        <w:t>Los resultados principales del metaanálisis muestran que no existe dife- rencias, entre los dos grupos de tratamiento, en la duración del período de di- latación</w:t>
      </w:r>
      <w:r>
        <w:rPr>
          <w:color w:val="231F1F"/>
          <w:spacing w:val="-12"/>
          <w:w w:val="105"/>
        </w:rPr>
        <w:t> </w:t>
      </w:r>
      <w:r>
        <w:rPr>
          <w:color w:val="231F1F"/>
          <w:w w:val="105"/>
        </w:rPr>
        <w:t>(5</w:t>
      </w:r>
      <w:r>
        <w:rPr>
          <w:color w:val="231F1F"/>
          <w:spacing w:val="-10"/>
          <w:w w:val="105"/>
        </w:rPr>
        <w:t> </w:t>
      </w:r>
      <w:r>
        <w:rPr>
          <w:color w:val="231F1F"/>
          <w:w w:val="105"/>
        </w:rPr>
        <w:t>ensayos</w:t>
      </w:r>
      <w:r>
        <w:rPr>
          <w:color w:val="231F1F"/>
          <w:spacing w:val="-9"/>
          <w:w w:val="105"/>
        </w:rPr>
        <w:t> </w:t>
      </w:r>
      <w:r>
        <w:rPr>
          <w:color w:val="231F1F"/>
          <w:w w:val="105"/>
        </w:rPr>
        <w:t>con</w:t>
      </w:r>
      <w:r>
        <w:rPr>
          <w:color w:val="231F1F"/>
          <w:spacing w:val="-10"/>
          <w:w w:val="105"/>
        </w:rPr>
        <w:t> </w:t>
      </w:r>
      <w:r>
        <w:rPr>
          <w:color w:val="231F1F"/>
          <w:w w:val="105"/>
        </w:rPr>
        <w:t>1.127</w:t>
      </w:r>
      <w:r>
        <w:rPr>
          <w:color w:val="231F1F"/>
          <w:spacing w:val="-9"/>
          <w:w w:val="105"/>
        </w:rPr>
        <w:t> </w:t>
      </w:r>
      <w:r>
        <w:rPr>
          <w:color w:val="231F1F"/>
          <w:w w:val="105"/>
        </w:rPr>
        <w:t>mujeres):</w:t>
      </w:r>
      <w:r>
        <w:rPr>
          <w:color w:val="231F1F"/>
          <w:spacing w:val="-12"/>
          <w:w w:val="105"/>
        </w:rPr>
        <w:t> </w:t>
      </w:r>
      <w:r>
        <w:rPr>
          <w:color w:val="231F1F"/>
          <w:w w:val="105"/>
        </w:rPr>
        <w:t>DMP</w:t>
      </w:r>
      <w:r>
        <w:rPr>
          <w:color w:val="231F1F"/>
          <w:spacing w:val="-9"/>
          <w:w w:val="105"/>
        </w:rPr>
        <w:t> </w:t>
      </w:r>
      <w:r>
        <w:rPr>
          <w:color w:val="231F1F"/>
          <w:w w:val="105"/>
        </w:rPr>
        <w:t>-20,43</w:t>
      </w:r>
      <w:r>
        <w:rPr>
          <w:color w:val="231F1F"/>
          <w:spacing w:val="-12"/>
          <w:w w:val="105"/>
        </w:rPr>
        <w:t> </w:t>
      </w:r>
      <w:r>
        <w:rPr>
          <w:color w:val="231F1F"/>
          <w:w w:val="105"/>
        </w:rPr>
        <w:t>minutos</w:t>
      </w:r>
      <w:r>
        <w:rPr>
          <w:color w:val="231F1F"/>
          <w:spacing w:val="-11"/>
          <w:w w:val="105"/>
        </w:rPr>
        <w:t> </w:t>
      </w:r>
      <w:r>
        <w:rPr>
          <w:color w:val="231F1F"/>
          <w:w w:val="105"/>
        </w:rPr>
        <w:t>[IC</w:t>
      </w:r>
      <w:r>
        <w:rPr>
          <w:color w:val="231F1F"/>
          <w:spacing w:val="-10"/>
          <w:w w:val="105"/>
        </w:rPr>
        <w:t> </w:t>
      </w:r>
      <w:r>
        <w:rPr>
          <w:color w:val="231F1F"/>
          <w:w w:val="105"/>
        </w:rPr>
        <w:t>95%</w:t>
      </w:r>
      <w:r>
        <w:rPr>
          <w:color w:val="231F1F"/>
          <w:spacing w:val="-10"/>
          <w:w w:val="105"/>
        </w:rPr>
        <w:t> </w:t>
      </w:r>
      <w:r>
        <w:rPr>
          <w:color w:val="231F1F"/>
          <w:w w:val="105"/>
        </w:rPr>
        <w:t>-95,93</w:t>
      </w:r>
      <w:r>
        <w:rPr>
          <w:color w:val="231F1F"/>
          <w:spacing w:val="-11"/>
          <w:w w:val="105"/>
        </w:rPr>
        <w:t> </w:t>
      </w:r>
      <w:r>
        <w:rPr>
          <w:color w:val="231F1F"/>
          <w:w w:val="105"/>
        </w:rPr>
        <w:t>a</w:t>
      </w:r>
    </w:p>
    <w:p>
      <w:pPr>
        <w:pStyle w:val="BodyText"/>
        <w:spacing w:before="3"/>
        <w:ind w:left="283"/>
        <w:jc w:val="both"/>
      </w:pPr>
      <w:r>
        <w:rPr>
          <w:color w:val="231F1F"/>
          <w:w w:val="105"/>
        </w:rPr>
        <w:t>55,06],</w:t>
      </w:r>
      <w:r>
        <w:rPr>
          <w:color w:val="231F1F"/>
          <w:spacing w:val="-11"/>
          <w:w w:val="105"/>
        </w:rPr>
        <w:t> </w:t>
      </w:r>
      <w:r>
        <w:rPr>
          <w:color w:val="231F1F"/>
          <w:w w:val="105"/>
        </w:rPr>
        <w:t>nulíparas</w:t>
      </w:r>
      <w:r>
        <w:rPr>
          <w:color w:val="231F1F"/>
          <w:spacing w:val="-10"/>
          <w:w w:val="105"/>
        </w:rPr>
        <w:t> </w:t>
      </w:r>
      <w:r>
        <w:rPr>
          <w:color w:val="231F1F"/>
          <w:w w:val="105"/>
        </w:rPr>
        <w:t>-57,93</w:t>
      </w:r>
      <w:r>
        <w:rPr>
          <w:color w:val="231F1F"/>
          <w:spacing w:val="-8"/>
          <w:w w:val="105"/>
        </w:rPr>
        <w:t> </w:t>
      </w:r>
      <w:r>
        <w:rPr>
          <w:color w:val="231F1F"/>
          <w:w w:val="105"/>
        </w:rPr>
        <w:t>minutos</w:t>
      </w:r>
      <w:r>
        <w:rPr>
          <w:color w:val="231F1F"/>
          <w:spacing w:val="-9"/>
          <w:w w:val="105"/>
        </w:rPr>
        <w:t> </w:t>
      </w:r>
      <w:r>
        <w:rPr>
          <w:color w:val="231F1F"/>
          <w:w w:val="105"/>
        </w:rPr>
        <w:t>[IC</w:t>
      </w:r>
      <w:r>
        <w:rPr>
          <w:color w:val="231F1F"/>
          <w:spacing w:val="-9"/>
          <w:w w:val="105"/>
        </w:rPr>
        <w:t> </w:t>
      </w:r>
      <w:r>
        <w:rPr>
          <w:color w:val="231F1F"/>
          <w:w w:val="105"/>
        </w:rPr>
        <w:t>95%</w:t>
      </w:r>
      <w:r>
        <w:rPr>
          <w:color w:val="231F1F"/>
          <w:spacing w:val="-9"/>
          <w:w w:val="105"/>
        </w:rPr>
        <w:t> </w:t>
      </w:r>
      <w:r>
        <w:rPr>
          <w:color w:val="231F1F"/>
          <w:w w:val="105"/>
        </w:rPr>
        <w:t>-152,66</w:t>
      </w:r>
      <w:r>
        <w:rPr>
          <w:color w:val="231F1F"/>
          <w:spacing w:val="-9"/>
          <w:w w:val="105"/>
        </w:rPr>
        <w:t> </w:t>
      </w:r>
      <w:r>
        <w:rPr>
          <w:color w:val="231F1F"/>
          <w:w w:val="105"/>
        </w:rPr>
        <w:t>a</w:t>
      </w:r>
      <w:r>
        <w:rPr>
          <w:color w:val="231F1F"/>
          <w:spacing w:val="-8"/>
          <w:w w:val="105"/>
        </w:rPr>
        <w:t> </w:t>
      </w:r>
      <w:r>
        <w:rPr>
          <w:color w:val="231F1F"/>
          <w:w w:val="105"/>
        </w:rPr>
        <w:t>36,80]</w:t>
      </w:r>
      <w:r>
        <w:rPr>
          <w:color w:val="231F1F"/>
          <w:spacing w:val="-10"/>
          <w:w w:val="105"/>
        </w:rPr>
        <w:t> </w:t>
      </w:r>
      <w:r>
        <w:rPr>
          <w:color w:val="231F1F"/>
          <w:w w:val="105"/>
        </w:rPr>
        <w:t>y</w:t>
      </w:r>
      <w:r>
        <w:rPr>
          <w:color w:val="231F1F"/>
          <w:spacing w:val="-9"/>
          <w:w w:val="105"/>
        </w:rPr>
        <w:t> </w:t>
      </w:r>
      <w:r>
        <w:rPr>
          <w:color w:val="231F1F"/>
          <w:w w:val="105"/>
        </w:rPr>
        <w:t>multíparas</w:t>
      </w:r>
      <w:r>
        <w:rPr>
          <w:color w:val="231F1F"/>
          <w:spacing w:val="-10"/>
          <w:w w:val="105"/>
        </w:rPr>
        <w:t> </w:t>
      </w:r>
      <w:r>
        <w:rPr>
          <w:color w:val="231F1F"/>
          <w:spacing w:val="-2"/>
          <w:w w:val="105"/>
        </w:rPr>
        <w:t>23,10</w:t>
      </w:r>
    </w:p>
    <w:p>
      <w:pPr>
        <w:pStyle w:val="BodyText"/>
        <w:spacing w:line="264" w:lineRule="auto" w:before="26"/>
        <w:ind w:left="283" w:right="2"/>
        <w:jc w:val="both"/>
      </w:pPr>
      <w:r>
        <w:rPr>
          <w:color w:val="231F1F"/>
        </w:rPr>
        <w:t>minutos [IC 95% -50,89 a 97,09], en la tasa de cesáreas, (9 ensayos con 4.370 mujeres): RR 1,26 [IC 95% 0,98 a 1,62], en la satisfacción materna con la expe- riencia del parto (2 ensayos con 123 mujeres): DM 0,27 [IC 95% -0,49 a 1,04] y en la puntuación Apgar menor de 7 a los 5 minutos (6 ensayos con 2.947 muje- res): RR 0,55 [IC 95% 0,29 a 1,05], observándose, sin embargo una diferencia significativa</w:t>
      </w:r>
      <w:r>
        <w:rPr>
          <w:color w:val="231F1F"/>
          <w:spacing w:val="32"/>
        </w:rPr>
        <w:t> </w:t>
      </w:r>
      <w:r>
        <w:rPr>
          <w:color w:val="231F1F"/>
        </w:rPr>
        <w:t>en</w:t>
      </w:r>
      <w:r>
        <w:rPr>
          <w:color w:val="231F1F"/>
          <w:spacing w:val="31"/>
        </w:rPr>
        <w:t> </w:t>
      </w:r>
      <w:r>
        <w:rPr>
          <w:color w:val="231F1F"/>
        </w:rPr>
        <w:t>el</w:t>
      </w:r>
      <w:r>
        <w:rPr>
          <w:color w:val="231F1F"/>
          <w:spacing w:val="31"/>
        </w:rPr>
        <w:t> </w:t>
      </w:r>
      <w:r>
        <w:rPr>
          <w:color w:val="231F1F"/>
        </w:rPr>
        <w:t>subgrupo</w:t>
      </w:r>
      <w:r>
        <w:rPr>
          <w:color w:val="231F1F"/>
          <w:spacing w:val="32"/>
        </w:rPr>
        <w:t> </w:t>
      </w:r>
      <w:r>
        <w:rPr>
          <w:color w:val="231F1F"/>
        </w:rPr>
        <w:t>de</w:t>
      </w:r>
      <w:r>
        <w:rPr>
          <w:color w:val="231F1F"/>
          <w:spacing w:val="31"/>
        </w:rPr>
        <w:t> </w:t>
      </w:r>
      <w:r>
        <w:rPr>
          <w:color w:val="231F1F"/>
        </w:rPr>
        <w:t>las</w:t>
      </w:r>
      <w:r>
        <w:rPr>
          <w:color w:val="231F1F"/>
          <w:spacing w:val="31"/>
        </w:rPr>
        <w:t> </w:t>
      </w:r>
      <w:r>
        <w:rPr>
          <w:color w:val="231F1F"/>
        </w:rPr>
        <w:t>primíparas:</w:t>
      </w:r>
      <w:r>
        <w:rPr>
          <w:color w:val="231F1F"/>
          <w:spacing w:val="31"/>
        </w:rPr>
        <w:t> </w:t>
      </w:r>
      <w:r>
        <w:rPr>
          <w:color w:val="231F1F"/>
        </w:rPr>
        <w:t>RR</w:t>
      </w:r>
      <w:r>
        <w:rPr>
          <w:color w:val="231F1F"/>
          <w:spacing w:val="31"/>
        </w:rPr>
        <w:t> </w:t>
      </w:r>
      <w:r>
        <w:rPr>
          <w:color w:val="231F1F"/>
        </w:rPr>
        <w:t>0,42</w:t>
      </w:r>
      <w:r>
        <w:rPr>
          <w:color w:val="231F1F"/>
          <w:spacing w:val="31"/>
        </w:rPr>
        <w:t> </w:t>
      </w:r>
      <w:r>
        <w:rPr>
          <w:color w:val="231F1F"/>
        </w:rPr>
        <w:t>[IC</w:t>
      </w:r>
      <w:r>
        <w:rPr>
          <w:color w:val="231F1F"/>
          <w:spacing w:val="31"/>
        </w:rPr>
        <w:t> </w:t>
      </w:r>
      <w:r>
        <w:rPr>
          <w:color w:val="231F1F"/>
        </w:rPr>
        <w:t>95%</w:t>
      </w:r>
      <w:r>
        <w:rPr>
          <w:color w:val="231F1F"/>
          <w:spacing w:val="33"/>
        </w:rPr>
        <w:t> </w:t>
      </w:r>
      <w:r>
        <w:rPr>
          <w:color w:val="231F1F"/>
        </w:rPr>
        <w:t>0,20</w:t>
      </w:r>
      <w:r>
        <w:rPr>
          <w:color w:val="231F1F"/>
          <w:spacing w:val="31"/>
        </w:rPr>
        <w:t> </w:t>
      </w:r>
      <w:r>
        <w:rPr>
          <w:color w:val="231F1F"/>
        </w:rPr>
        <w:t>a</w:t>
      </w:r>
      <w:r>
        <w:rPr>
          <w:color w:val="231F1F"/>
          <w:spacing w:val="31"/>
        </w:rPr>
        <w:t> </w:t>
      </w:r>
      <w:r>
        <w:rPr>
          <w:color w:val="231F1F"/>
        </w:rPr>
        <w:t>0,88].</w:t>
      </w:r>
    </w:p>
    <w:p>
      <w:pPr>
        <w:pStyle w:val="BodyText"/>
        <w:spacing w:line="244" w:lineRule="auto" w:before="92"/>
        <w:ind w:left="283" w:right="2" w:firstLine="453"/>
        <w:jc w:val="both"/>
      </w:pPr>
      <w:r>
        <w:rPr>
          <w:color w:val="231F1F"/>
        </w:rPr>
        <w:t>Tampoco se observaron diferencias significativas en resultados secunda-</w:t>
      </w:r>
      <w:r>
        <w:rPr>
          <w:color w:val="231F1F"/>
          <w:spacing w:val="40"/>
          <w:w w:val="110"/>
        </w:rPr>
        <w:t> </w:t>
      </w:r>
      <w:r>
        <w:rPr>
          <w:color w:val="231F1F"/>
          <w:w w:val="110"/>
        </w:rPr>
        <w:t>rios</w:t>
      </w:r>
      <w:r>
        <w:rPr>
          <w:color w:val="231F1F"/>
          <w:spacing w:val="-16"/>
          <w:w w:val="110"/>
        </w:rPr>
        <w:t> </w:t>
      </w:r>
      <w:r>
        <w:rPr>
          <w:color w:val="231F1F"/>
          <w:w w:val="110"/>
        </w:rPr>
        <w:t>como</w:t>
      </w:r>
      <w:r>
        <w:rPr>
          <w:color w:val="231F1F"/>
          <w:spacing w:val="-15"/>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analgesia</w:t>
      </w:r>
      <w:r>
        <w:rPr>
          <w:color w:val="231F1F"/>
          <w:spacing w:val="-15"/>
          <w:w w:val="110"/>
        </w:rPr>
        <w:t> </w:t>
      </w:r>
      <w:r>
        <w:rPr>
          <w:color w:val="231F1F"/>
          <w:w w:val="110"/>
        </w:rPr>
        <w:t>(8</w:t>
      </w:r>
      <w:r>
        <w:rPr>
          <w:color w:val="231F1F"/>
          <w:spacing w:val="-15"/>
          <w:w w:val="110"/>
        </w:rPr>
        <w:t> </w:t>
      </w:r>
      <w:r>
        <w:rPr>
          <w:color w:val="231F1F"/>
          <w:w w:val="110"/>
        </w:rPr>
        <w:t>ensayos</w:t>
      </w:r>
      <w:r>
        <w:rPr>
          <w:color w:val="231F1F"/>
          <w:spacing w:val="-15"/>
          <w:w w:val="110"/>
        </w:rPr>
        <w:t> </w:t>
      </w:r>
      <w:r>
        <w:rPr>
          <w:color w:val="231F1F"/>
          <w:w w:val="110"/>
        </w:rPr>
        <w:t>con</w:t>
      </w:r>
      <w:r>
        <w:rPr>
          <w:color w:val="231F1F"/>
          <w:spacing w:val="-15"/>
          <w:w w:val="110"/>
        </w:rPr>
        <w:t> </w:t>
      </w:r>
      <w:r>
        <w:rPr>
          <w:color w:val="231F1F"/>
          <w:w w:val="110"/>
        </w:rPr>
        <w:t>2.824</w:t>
      </w:r>
      <w:r>
        <w:rPr>
          <w:color w:val="231F1F"/>
          <w:spacing w:val="-16"/>
          <w:w w:val="110"/>
        </w:rPr>
        <w:t> </w:t>
      </w:r>
      <w:r>
        <w:rPr>
          <w:color w:val="231F1F"/>
          <w:w w:val="110"/>
        </w:rPr>
        <w:t>mujeres):</w:t>
      </w:r>
      <w:r>
        <w:rPr>
          <w:color w:val="231F1F"/>
          <w:spacing w:val="-15"/>
          <w:w w:val="110"/>
        </w:rPr>
        <w:t> </w:t>
      </w:r>
      <w:r>
        <w:rPr>
          <w:color w:val="231F1F"/>
          <w:w w:val="110"/>
        </w:rPr>
        <w:t>RR</w:t>
      </w:r>
      <w:r>
        <w:rPr>
          <w:color w:val="231F1F"/>
          <w:spacing w:val="-15"/>
          <w:w w:val="110"/>
        </w:rPr>
        <w:t> </w:t>
      </w:r>
      <w:r>
        <w:rPr>
          <w:color w:val="231F1F"/>
          <w:w w:val="110"/>
        </w:rPr>
        <w:t>1,01</w:t>
      </w:r>
      <w:r>
        <w:rPr>
          <w:color w:val="231F1F"/>
          <w:spacing w:val="-15"/>
          <w:w w:val="110"/>
        </w:rPr>
        <w:t> </w:t>
      </w:r>
      <w:r>
        <w:rPr>
          <w:color w:val="231F1F"/>
          <w:w w:val="110"/>
        </w:rPr>
        <w:t>[IC</w:t>
      </w:r>
      <w:r>
        <w:rPr>
          <w:color w:val="231F1F"/>
          <w:spacing w:val="-15"/>
          <w:w w:val="110"/>
        </w:rPr>
        <w:t> </w:t>
      </w:r>
      <w:r>
        <w:rPr>
          <w:color w:val="231F1F"/>
          <w:w w:val="110"/>
        </w:rPr>
        <w:t>95% 0,94</w:t>
      </w:r>
      <w:r>
        <w:rPr>
          <w:color w:val="231F1F"/>
          <w:spacing w:val="-10"/>
          <w:w w:val="110"/>
        </w:rPr>
        <w:t> </w:t>
      </w:r>
      <w:r>
        <w:rPr>
          <w:color w:val="231F1F"/>
          <w:w w:val="110"/>
        </w:rPr>
        <w:t>a</w:t>
      </w:r>
      <w:r>
        <w:rPr>
          <w:color w:val="231F1F"/>
          <w:spacing w:val="-9"/>
          <w:w w:val="110"/>
        </w:rPr>
        <w:t> </w:t>
      </w:r>
      <w:r>
        <w:rPr>
          <w:color w:val="231F1F"/>
          <w:w w:val="110"/>
        </w:rPr>
        <w:t>1,09],</w:t>
      </w:r>
      <w:r>
        <w:rPr>
          <w:color w:val="231F1F"/>
          <w:spacing w:val="-12"/>
          <w:w w:val="110"/>
        </w:rPr>
        <w:t> </w:t>
      </w:r>
      <w:r>
        <w:rPr>
          <w:color w:val="231F1F"/>
          <w:w w:val="110"/>
        </w:rPr>
        <w:t>tasa</w:t>
      </w:r>
      <w:r>
        <w:rPr>
          <w:color w:val="231F1F"/>
          <w:spacing w:val="-9"/>
          <w:w w:val="110"/>
        </w:rPr>
        <w:t> </w:t>
      </w:r>
      <w:r>
        <w:rPr>
          <w:color w:val="231F1F"/>
          <w:w w:val="110"/>
        </w:rPr>
        <w:t>de</w:t>
      </w:r>
      <w:r>
        <w:rPr>
          <w:color w:val="231F1F"/>
          <w:spacing w:val="-10"/>
          <w:w w:val="110"/>
        </w:rPr>
        <w:t> </w:t>
      </w:r>
      <w:r>
        <w:rPr>
          <w:color w:val="231F1F"/>
          <w:w w:val="110"/>
        </w:rPr>
        <w:t>partos</w:t>
      </w:r>
      <w:r>
        <w:rPr>
          <w:color w:val="231F1F"/>
          <w:spacing w:val="-9"/>
          <w:w w:val="110"/>
        </w:rPr>
        <w:t> </w:t>
      </w:r>
      <w:r>
        <w:rPr>
          <w:color w:val="231F1F"/>
          <w:w w:val="110"/>
        </w:rPr>
        <w:t>vaginales</w:t>
      </w:r>
      <w:r>
        <w:rPr>
          <w:color w:val="231F1F"/>
          <w:spacing w:val="-12"/>
          <w:w w:val="110"/>
        </w:rPr>
        <w:t> </w:t>
      </w:r>
      <w:r>
        <w:rPr>
          <w:color w:val="231F1F"/>
          <w:w w:val="110"/>
        </w:rPr>
        <w:t>instrumentados</w:t>
      </w:r>
      <w:r>
        <w:rPr>
          <w:color w:val="231F1F"/>
          <w:spacing w:val="-9"/>
          <w:w w:val="110"/>
        </w:rPr>
        <w:t> </w:t>
      </w:r>
      <w:r>
        <w:rPr>
          <w:color w:val="231F1F"/>
          <w:w w:val="110"/>
        </w:rPr>
        <w:t>(10</w:t>
      </w:r>
      <w:r>
        <w:rPr>
          <w:color w:val="231F1F"/>
          <w:spacing w:val="-10"/>
          <w:w w:val="110"/>
        </w:rPr>
        <w:t> </w:t>
      </w:r>
      <w:r>
        <w:rPr>
          <w:color w:val="231F1F"/>
          <w:w w:val="110"/>
        </w:rPr>
        <w:t>ensayos</w:t>
      </w:r>
      <w:r>
        <w:rPr>
          <w:color w:val="231F1F"/>
          <w:spacing w:val="-9"/>
          <w:w w:val="110"/>
        </w:rPr>
        <w:t> </w:t>
      </w:r>
      <w:r>
        <w:rPr>
          <w:color w:val="231F1F"/>
          <w:w w:val="110"/>
        </w:rPr>
        <w:t>con</w:t>
      </w:r>
      <w:r>
        <w:rPr>
          <w:color w:val="231F1F"/>
          <w:spacing w:val="-10"/>
          <w:w w:val="110"/>
        </w:rPr>
        <w:t> </w:t>
      </w:r>
      <w:r>
        <w:rPr>
          <w:color w:val="231F1F"/>
          <w:w w:val="110"/>
        </w:rPr>
        <w:t>4.470</w:t>
      </w:r>
    </w:p>
    <w:p>
      <w:pPr>
        <w:pStyle w:val="BodyText"/>
        <w:spacing w:before="18"/>
        <w:ind w:left="283"/>
        <w:jc w:val="both"/>
      </w:pPr>
      <w:r>
        <w:rPr>
          <w:color w:val="231F1F"/>
        </w:rPr>
        <w:t>mujeres):</w:t>
      </w:r>
      <w:r>
        <w:rPr>
          <w:color w:val="231F1F"/>
          <w:spacing w:val="21"/>
        </w:rPr>
        <w:t> </w:t>
      </w:r>
      <w:r>
        <w:rPr>
          <w:color w:val="231F1F"/>
        </w:rPr>
        <w:t>RR</w:t>
      </w:r>
      <w:r>
        <w:rPr>
          <w:color w:val="231F1F"/>
          <w:spacing w:val="22"/>
        </w:rPr>
        <w:t> </w:t>
      </w:r>
      <w:r>
        <w:rPr>
          <w:color w:val="231F1F"/>
        </w:rPr>
        <w:t>1,01</w:t>
      </w:r>
      <w:r>
        <w:rPr>
          <w:color w:val="231F1F"/>
          <w:spacing w:val="23"/>
        </w:rPr>
        <w:t> </w:t>
      </w:r>
      <w:r>
        <w:rPr>
          <w:color w:val="231F1F"/>
        </w:rPr>
        <w:t>[IC</w:t>
      </w:r>
      <w:r>
        <w:rPr>
          <w:color w:val="231F1F"/>
          <w:spacing w:val="23"/>
        </w:rPr>
        <w:t> </w:t>
      </w:r>
      <w:r>
        <w:rPr>
          <w:color w:val="231F1F"/>
        </w:rPr>
        <w:t>95%</w:t>
      </w:r>
      <w:r>
        <w:rPr>
          <w:color w:val="231F1F"/>
          <w:spacing w:val="23"/>
        </w:rPr>
        <w:t> </w:t>
      </w:r>
      <w:r>
        <w:rPr>
          <w:color w:val="231F1F"/>
        </w:rPr>
        <w:t>0,88</w:t>
      </w:r>
      <w:r>
        <w:rPr>
          <w:color w:val="231F1F"/>
          <w:spacing w:val="23"/>
        </w:rPr>
        <w:t> </w:t>
      </w:r>
      <w:r>
        <w:rPr>
          <w:color w:val="231F1F"/>
        </w:rPr>
        <w:t>a</w:t>
      </w:r>
      <w:r>
        <w:rPr>
          <w:color w:val="231F1F"/>
          <w:spacing w:val="23"/>
        </w:rPr>
        <w:t> </w:t>
      </w:r>
      <w:r>
        <w:rPr>
          <w:color w:val="231F1F"/>
        </w:rPr>
        <w:t>1,15],</w:t>
      </w:r>
      <w:r>
        <w:rPr>
          <w:color w:val="231F1F"/>
          <w:spacing w:val="23"/>
        </w:rPr>
        <w:t> </w:t>
      </w:r>
      <w:r>
        <w:rPr>
          <w:color w:val="231F1F"/>
        </w:rPr>
        <w:t>morbilidad</w:t>
      </w:r>
      <w:r>
        <w:rPr>
          <w:color w:val="231F1F"/>
          <w:spacing w:val="23"/>
        </w:rPr>
        <w:t> </w:t>
      </w:r>
      <w:r>
        <w:rPr>
          <w:color w:val="231F1F"/>
        </w:rPr>
        <w:t>por</w:t>
      </w:r>
      <w:r>
        <w:rPr>
          <w:color w:val="231F1F"/>
          <w:spacing w:val="23"/>
        </w:rPr>
        <w:t> </w:t>
      </w:r>
      <w:r>
        <w:rPr>
          <w:color w:val="231F1F"/>
        </w:rPr>
        <w:t>infección</w:t>
      </w:r>
      <w:r>
        <w:rPr>
          <w:color w:val="231F1F"/>
          <w:spacing w:val="25"/>
        </w:rPr>
        <w:t> </w:t>
      </w:r>
      <w:r>
        <w:rPr>
          <w:color w:val="231F1F"/>
        </w:rPr>
        <w:t>materna</w:t>
      </w:r>
      <w:r>
        <w:rPr>
          <w:color w:val="231F1F"/>
          <w:spacing w:val="23"/>
        </w:rPr>
        <w:t> </w:t>
      </w:r>
      <w:r>
        <w:rPr>
          <w:color w:val="231F1F"/>
          <w:spacing w:val="-5"/>
        </w:rPr>
        <w:t>(2</w:t>
      </w:r>
    </w:p>
    <w:p>
      <w:pPr>
        <w:pStyle w:val="BodyText"/>
        <w:spacing w:line="249" w:lineRule="auto" w:before="20"/>
        <w:ind w:left="283"/>
        <w:jc w:val="both"/>
      </w:pPr>
      <w:r>
        <w:rPr>
          <w:color w:val="231F1F"/>
          <w:w w:val="105"/>
        </w:rPr>
        <w:t>ensayos</w:t>
      </w:r>
      <w:r>
        <w:rPr>
          <w:color w:val="231F1F"/>
          <w:spacing w:val="-7"/>
          <w:w w:val="105"/>
        </w:rPr>
        <w:t> </w:t>
      </w:r>
      <w:r>
        <w:rPr>
          <w:color w:val="231F1F"/>
          <w:w w:val="105"/>
        </w:rPr>
        <w:t>con</w:t>
      </w:r>
      <w:r>
        <w:rPr>
          <w:color w:val="231F1F"/>
          <w:spacing w:val="-7"/>
          <w:w w:val="105"/>
        </w:rPr>
        <w:t> </w:t>
      </w:r>
      <w:r>
        <w:rPr>
          <w:color w:val="231F1F"/>
          <w:w w:val="105"/>
        </w:rPr>
        <w:t>1.460</w:t>
      </w:r>
      <w:r>
        <w:rPr>
          <w:color w:val="231F1F"/>
          <w:spacing w:val="-7"/>
          <w:w w:val="105"/>
        </w:rPr>
        <w:t> </w:t>
      </w:r>
      <w:r>
        <w:rPr>
          <w:color w:val="231F1F"/>
          <w:w w:val="105"/>
        </w:rPr>
        <w:t>mujeres):</w:t>
      </w:r>
      <w:r>
        <w:rPr>
          <w:color w:val="231F1F"/>
          <w:spacing w:val="-7"/>
          <w:w w:val="105"/>
        </w:rPr>
        <w:t> </w:t>
      </w:r>
      <w:r>
        <w:rPr>
          <w:color w:val="231F1F"/>
          <w:w w:val="105"/>
        </w:rPr>
        <w:t>RR</w:t>
      </w:r>
      <w:r>
        <w:rPr>
          <w:color w:val="231F1F"/>
          <w:spacing w:val="-7"/>
          <w:w w:val="105"/>
        </w:rPr>
        <w:t> </w:t>
      </w:r>
      <w:r>
        <w:rPr>
          <w:color w:val="231F1F"/>
          <w:w w:val="105"/>
        </w:rPr>
        <w:t>0,81</w:t>
      </w:r>
      <w:r>
        <w:rPr>
          <w:color w:val="231F1F"/>
          <w:spacing w:val="-7"/>
          <w:w w:val="105"/>
        </w:rPr>
        <w:t> </w:t>
      </w:r>
      <w:r>
        <w:rPr>
          <w:color w:val="231F1F"/>
          <w:w w:val="105"/>
        </w:rPr>
        <w:t>[IC</w:t>
      </w:r>
      <w:r>
        <w:rPr>
          <w:color w:val="231F1F"/>
          <w:spacing w:val="-7"/>
          <w:w w:val="105"/>
        </w:rPr>
        <w:t> </w:t>
      </w:r>
      <w:r>
        <w:rPr>
          <w:color w:val="231F1F"/>
          <w:w w:val="105"/>
        </w:rPr>
        <w:t>95%</w:t>
      </w:r>
      <w:r>
        <w:rPr>
          <w:color w:val="231F1F"/>
          <w:spacing w:val="-7"/>
          <w:w w:val="105"/>
        </w:rPr>
        <w:t> </w:t>
      </w:r>
      <w:r>
        <w:rPr>
          <w:color w:val="231F1F"/>
          <w:w w:val="105"/>
        </w:rPr>
        <w:t>0,38</w:t>
      </w:r>
      <w:r>
        <w:rPr>
          <w:color w:val="231F1F"/>
          <w:spacing w:val="-7"/>
          <w:w w:val="105"/>
        </w:rPr>
        <w:t> </w:t>
      </w:r>
      <w:r>
        <w:rPr>
          <w:color w:val="231F1F"/>
          <w:w w:val="105"/>
        </w:rPr>
        <w:t>a</w:t>
      </w:r>
      <w:r>
        <w:rPr>
          <w:color w:val="231F1F"/>
          <w:spacing w:val="-7"/>
          <w:w w:val="105"/>
        </w:rPr>
        <w:t> </w:t>
      </w:r>
      <w:r>
        <w:rPr>
          <w:color w:val="231F1F"/>
          <w:w w:val="105"/>
        </w:rPr>
        <w:t>1,72],</w:t>
      </w:r>
      <w:r>
        <w:rPr>
          <w:color w:val="231F1F"/>
          <w:spacing w:val="-7"/>
          <w:w w:val="105"/>
        </w:rPr>
        <w:t> </w:t>
      </w:r>
      <w:r>
        <w:rPr>
          <w:color w:val="231F1F"/>
          <w:w w:val="105"/>
        </w:rPr>
        <w:t>ingresos</w:t>
      </w:r>
      <w:r>
        <w:rPr>
          <w:color w:val="231F1F"/>
          <w:spacing w:val="-7"/>
          <w:w w:val="105"/>
        </w:rPr>
        <w:t> </w:t>
      </w:r>
      <w:r>
        <w:rPr>
          <w:color w:val="231F1F"/>
          <w:w w:val="105"/>
        </w:rPr>
        <w:t>en</w:t>
      </w:r>
      <w:r>
        <w:rPr>
          <w:color w:val="231F1F"/>
          <w:spacing w:val="-7"/>
          <w:w w:val="105"/>
        </w:rPr>
        <w:t> </w:t>
      </w:r>
      <w:r>
        <w:rPr>
          <w:color w:val="231F1F"/>
          <w:w w:val="105"/>
        </w:rPr>
        <w:t>unidad de cuidados intensivos neonatal (5 ensayos con 2.035 mujeres): RR 1,12 [IC 95%</w:t>
      </w:r>
      <w:r>
        <w:rPr>
          <w:color w:val="231F1F"/>
          <w:spacing w:val="-1"/>
          <w:w w:val="105"/>
        </w:rPr>
        <w:t> </w:t>
      </w:r>
      <w:r>
        <w:rPr>
          <w:color w:val="231F1F"/>
          <w:w w:val="105"/>
        </w:rPr>
        <w:t>0,79</w:t>
      </w:r>
      <w:r>
        <w:rPr>
          <w:color w:val="231F1F"/>
          <w:spacing w:val="-1"/>
          <w:w w:val="105"/>
        </w:rPr>
        <w:t> </w:t>
      </w:r>
      <w:r>
        <w:rPr>
          <w:color w:val="231F1F"/>
          <w:w w:val="105"/>
        </w:rPr>
        <w:t>a</w:t>
      </w:r>
      <w:r>
        <w:rPr>
          <w:color w:val="231F1F"/>
          <w:spacing w:val="-1"/>
          <w:w w:val="105"/>
        </w:rPr>
        <w:t> </w:t>
      </w:r>
      <w:r>
        <w:rPr>
          <w:color w:val="231F1F"/>
          <w:w w:val="105"/>
        </w:rPr>
        <w:t>1,57],</w:t>
      </w:r>
      <w:r>
        <w:rPr>
          <w:color w:val="231F1F"/>
          <w:spacing w:val="-2"/>
          <w:w w:val="105"/>
        </w:rPr>
        <w:t> </w:t>
      </w:r>
      <w:r>
        <w:rPr>
          <w:color w:val="231F1F"/>
          <w:w w:val="105"/>
        </w:rPr>
        <w:t>ni</w:t>
      </w:r>
      <w:r>
        <w:rPr>
          <w:color w:val="231F1F"/>
          <w:spacing w:val="-1"/>
          <w:w w:val="105"/>
        </w:rPr>
        <w:t> </w:t>
      </w:r>
      <w:r>
        <w:rPr>
          <w:color w:val="231F1F"/>
          <w:w w:val="105"/>
        </w:rPr>
        <w:t>en</w:t>
      </w:r>
      <w:r>
        <w:rPr>
          <w:color w:val="231F1F"/>
          <w:spacing w:val="-1"/>
          <w:w w:val="105"/>
        </w:rPr>
        <w:t> </w:t>
      </w:r>
      <w:r>
        <w:rPr>
          <w:color w:val="231F1F"/>
          <w:w w:val="105"/>
        </w:rPr>
        <w:t>la</w:t>
      </w:r>
      <w:r>
        <w:rPr>
          <w:color w:val="231F1F"/>
          <w:spacing w:val="-1"/>
          <w:w w:val="105"/>
        </w:rPr>
        <w:t> </w:t>
      </w:r>
      <w:r>
        <w:rPr>
          <w:color w:val="231F1F"/>
          <w:w w:val="105"/>
        </w:rPr>
        <w:t>frecuencia</w:t>
      </w:r>
      <w:r>
        <w:rPr>
          <w:color w:val="231F1F"/>
          <w:spacing w:val="-1"/>
          <w:w w:val="105"/>
        </w:rPr>
        <w:t> </w:t>
      </w:r>
      <w:r>
        <w:rPr>
          <w:color w:val="231F1F"/>
          <w:w w:val="105"/>
        </w:rPr>
        <w:t>cardíaca</w:t>
      </w:r>
      <w:r>
        <w:rPr>
          <w:color w:val="231F1F"/>
          <w:spacing w:val="-1"/>
          <w:w w:val="105"/>
        </w:rPr>
        <w:t> </w:t>
      </w:r>
      <w:r>
        <w:rPr>
          <w:color w:val="231F1F"/>
          <w:w w:val="105"/>
        </w:rPr>
        <w:t>fetal</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etapa</w:t>
      </w:r>
      <w:r>
        <w:rPr>
          <w:color w:val="231F1F"/>
          <w:spacing w:val="-1"/>
          <w:w w:val="105"/>
        </w:rPr>
        <w:t> </w:t>
      </w:r>
      <w:r>
        <w:rPr>
          <w:color w:val="231F1F"/>
          <w:w w:val="105"/>
        </w:rPr>
        <w:t>de</w:t>
      </w:r>
      <w:r>
        <w:rPr>
          <w:color w:val="231F1F"/>
          <w:spacing w:val="-1"/>
          <w:w w:val="105"/>
        </w:rPr>
        <w:t> </w:t>
      </w:r>
      <w:r>
        <w:rPr>
          <w:color w:val="231F1F"/>
          <w:w w:val="105"/>
        </w:rPr>
        <w:t>dilatación</w:t>
      </w:r>
      <w:r>
        <w:rPr>
          <w:color w:val="231F1F"/>
          <w:spacing w:val="-1"/>
          <w:w w:val="105"/>
        </w:rPr>
        <w:t> </w:t>
      </w:r>
      <w:r>
        <w:rPr>
          <w:color w:val="231F1F"/>
          <w:w w:val="105"/>
        </w:rPr>
        <w:t>(4 ensayos con 1.284 mujeres): RR 1,09 [IC 95% 0,97 a 1,23].</w:t>
      </w:r>
    </w:p>
    <w:p>
      <w:pPr>
        <w:pStyle w:val="BodyText"/>
        <w:spacing w:line="244" w:lineRule="auto" w:before="52"/>
        <w:ind w:left="283" w:right="1" w:firstLine="453"/>
        <w:jc w:val="both"/>
      </w:pPr>
      <w:r>
        <w:rPr>
          <w:color w:val="231F1F"/>
          <w:w w:val="110"/>
        </w:rPr>
        <w:t>La RS concluye diciendo que no se recomienda la introducción de la amniorrexis</w:t>
      </w:r>
      <w:r>
        <w:rPr>
          <w:color w:val="231F1F"/>
          <w:w w:val="110"/>
        </w:rPr>
        <w:t> como</w:t>
      </w:r>
      <w:r>
        <w:rPr>
          <w:color w:val="231F1F"/>
          <w:w w:val="110"/>
        </w:rPr>
        <w:t> parte</w:t>
      </w:r>
      <w:r>
        <w:rPr>
          <w:color w:val="231F1F"/>
          <w:w w:val="110"/>
        </w:rPr>
        <w:t> del</w:t>
      </w:r>
      <w:r>
        <w:rPr>
          <w:color w:val="231F1F"/>
          <w:w w:val="110"/>
        </w:rPr>
        <w:t> tratamiento</w:t>
      </w:r>
      <w:r>
        <w:rPr>
          <w:color w:val="231F1F"/>
          <w:w w:val="110"/>
        </w:rPr>
        <w:t> y</w:t>
      </w:r>
      <w:r>
        <w:rPr>
          <w:color w:val="231F1F"/>
          <w:w w:val="110"/>
        </w:rPr>
        <w:t> el</w:t>
      </w:r>
      <w:r>
        <w:rPr>
          <w:color w:val="231F1F"/>
          <w:w w:val="110"/>
        </w:rPr>
        <w:t> cuidado</w:t>
      </w:r>
      <w:r>
        <w:rPr>
          <w:color w:val="231F1F"/>
          <w:w w:val="110"/>
        </w:rPr>
        <w:t> estándar</w:t>
      </w:r>
      <w:r>
        <w:rPr>
          <w:color w:val="231F1F"/>
          <w:w w:val="110"/>
        </w:rPr>
        <w:t> durante</w:t>
      </w:r>
      <w:r>
        <w:rPr>
          <w:color w:val="231F1F"/>
          <w:w w:val="110"/>
        </w:rPr>
        <w:t> el trabajo de parto.</w:t>
      </w:r>
    </w:p>
    <w:p>
      <w:pPr>
        <w:pStyle w:val="BodyText"/>
        <w:spacing w:line="249" w:lineRule="auto" w:before="147"/>
        <w:ind w:left="283" w:right="1" w:firstLine="453"/>
        <w:jc w:val="both"/>
      </w:pPr>
      <w:r>
        <w:rPr>
          <w:color w:val="231F1F"/>
          <w:w w:val="105"/>
        </w:rPr>
        <w:t>Existe</w:t>
      </w:r>
      <w:r>
        <w:rPr>
          <w:color w:val="231F1F"/>
          <w:w w:val="105"/>
        </w:rPr>
        <w:t> un</w:t>
      </w:r>
      <w:r>
        <w:rPr>
          <w:color w:val="231F1F"/>
          <w:w w:val="105"/>
        </w:rPr>
        <w:t> alto</w:t>
      </w:r>
      <w:r>
        <w:rPr>
          <w:color w:val="231F1F"/>
          <w:w w:val="105"/>
        </w:rPr>
        <w:t> nivel</w:t>
      </w:r>
      <w:r>
        <w:rPr>
          <w:color w:val="231F1F"/>
          <w:w w:val="105"/>
        </w:rPr>
        <w:t> evidencia</w:t>
      </w:r>
      <w:r>
        <w:rPr>
          <w:color w:val="231F1F"/>
          <w:w w:val="105"/>
        </w:rPr>
        <w:t> para</w:t>
      </w:r>
      <w:r>
        <w:rPr>
          <w:color w:val="231F1F"/>
          <w:w w:val="105"/>
        </w:rPr>
        <w:t> no</w:t>
      </w:r>
      <w:r>
        <w:rPr>
          <w:color w:val="231F1F"/>
          <w:w w:val="105"/>
        </w:rPr>
        <w:t> realizar</w:t>
      </w:r>
      <w:r>
        <w:rPr>
          <w:color w:val="231F1F"/>
          <w:w w:val="105"/>
        </w:rPr>
        <w:t> la</w:t>
      </w:r>
      <w:r>
        <w:rPr>
          <w:color w:val="231F1F"/>
          <w:w w:val="105"/>
        </w:rPr>
        <w:t> amniorrexis</w:t>
      </w:r>
      <w:r>
        <w:rPr>
          <w:color w:val="231F1F"/>
          <w:w w:val="105"/>
        </w:rPr>
        <w:t> de</w:t>
      </w:r>
      <w:r>
        <w:rPr>
          <w:color w:val="231F1F"/>
          <w:w w:val="105"/>
        </w:rPr>
        <w:t> forma rutinaria en partos vaginales que progresan de forma normal, ya que las prue- bas muestran que esto no mejora los resultados.</w:t>
      </w:r>
    </w:p>
    <w:p>
      <w:pPr>
        <w:spacing w:line="278" w:lineRule="auto" w:before="104"/>
        <w:ind w:left="386" w:right="444" w:firstLine="0"/>
        <w:jc w:val="center"/>
        <w:rPr>
          <w:rFonts w:ascii="Arial MT"/>
          <w:sz w:val="18"/>
        </w:rPr>
      </w:pPr>
      <w:r>
        <w:rPr/>
        <w:br w:type="column"/>
      </w:r>
      <w:r>
        <w:rPr>
          <w:rFonts w:ascii="Arial MT"/>
          <w:color w:val="231F1F"/>
          <w:spacing w:val="-10"/>
          <w:sz w:val="18"/>
        </w:rPr>
        <w:t>ECAs</w:t>
      </w:r>
      <w:r>
        <w:rPr>
          <w:rFonts w:ascii="Arial MT"/>
          <w:color w:val="231F1F"/>
          <w:spacing w:val="-6"/>
          <w:sz w:val="18"/>
        </w:rPr>
        <w:t>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2"/>
        <w:rPr>
          <w:rFonts w:ascii="Arial MT"/>
          <w:sz w:val="18"/>
        </w:rPr>
      </w:pPr>
    </w:p>
    <w:p>
      <w:pPr>
        <w:spacing w:line="278" w:lineRule="auto" w:before="1"/>
        <w:ind w:left="96" w:right="154"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86" w:right="44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47"/>
        <w:rPr>
          <w:rFonts w:ascii="Arial MT"/>
          <w:sz w:val="18"/>
        </w:rPr>
      </w:pPr>
    </w:p>
    <w:p>
      <w:pPr>
        <w:spacing w:line="273" w:lineRule="auto" w:before="0"/>
        <w:ind w:left="96" w:right="154"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5" w:lineRule="exact" w:before="0"/>
        <w:ind w:left="386" w:right="443" w:firstLine="0"/>
        <w:jc w:val="center"/>
        <w:rPr>
          <w:rFonts w:ascii="Arial MT"/>
          <w:sz w:val="18"/>
        </w:rPr>
      </w:pPr>
      <w:r>
        <w:rPr>
          <w:rFonts w:ascii="Arial MT"/>
          <w:color w:val="231F1F"/>
          <w:spacing w:val="-5"/>
          <w:sz w:val="18"/>
        </w:rPr>
        <w:t>1+</w:t>
      </w:r>
    </w:p>
    <w:p>
      <w:pPr>
        <w:spacing w:after="0" w:line="205" w:lineRule="exact"/>
        <w:jc w:val="center"/>
        <w:rPr>
          <w:rFonts w:ascii="Arial MT"/>
          <w:sz w:val="18"/>
        </w:rPr>
        <w:sectPr>
          <w:pgSz w:w="11900" w:h="16840"/>
          <w:pgMar w:header="0" w:footer="622" w:top="1580" w:bottom="820" w:left="1417" w:right="1559"/>
          <w:cols w:num="2" w:equalWidth="0">
            <w:col w:w="7553" w:space="40"/>
            <w:col w:w="1331"/>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6" w:lineRule="auto" w:before="39"/>
              <w:ind w:right="156"/>
              <w:rPr>
                <w:sz w:val="22"/>
              </w:rPr>
            </w:pPr>
            <w:r>
              <w:rPr>
                <w:color w:val="231F1F"/>
                <w:w w:val="105"/>
                <w:sz w:val="22"/>
              </w:rPr>
              <w:t>No existen pruebas de diferencias en el tipo de nacimiento, uso de epidural, duración del parto o resultados neonatales entre la amniorrexis rutinaria y uso</w:t>
            </w:r>
            <w:r>
              <w:rPr>
                <w:color w:val="231F1F"/>
                <w:spacing w:val="25"/>
                <w:w w:val="105"/>
                <w:sz w:val="22"/>
              </w:rPr>
              <w:t> </w:t>
            </w:r>
            <w:r>
              <w:rPr>
                <w:color w:val="231F1F"/>
                <w:w w:val="105"/>
                <w:sz w:val="22"/>
              </w:rPr>
              <w:t>de</w:t>
            </w:r>
            <w:r>
              <w:rPr>
                <w:color w:val="231F1F"/>
                <w:spacing w:val="24"/>
                <w:w w:val="105"/>
                <w:sz w:val="22"/>
              </w:rPr>
              <w:t> </w:t>
            </w:r>
            <w:r>
              <w:rPr>
                <w:color w:val="231F1F"/>
                <w:w w:val="105"/>
                <w:sz w:val="22"/>
              </w:rPr>
              <w:t>oxitocina</w:t>
            </w:r>
            <w:r>
              <w:rPr>
                <w:color w:val="231F1F"/>
                <w:spacing w:val="24"/>
                <w:w w:val="105"/>
                <w:sz w:val="22"/>
              </w:rPr>
              <w:t> </w:t>
            </w:r>
            <w:r>
              <w:rPr>
                <w:color w:val="231F1F"/>
                <w:w w:val="105"/>
                <w:sz w:val="22"/>
              </w:rPr>
              <w:t>frente</w:t>
            </w:r>
            <w:r>
              <w:rPr>
                <w:color w:val="231F1F"/>
                <w:spacing w:val="25"/>
                <w:w w:val="105"/>
                <w:sz w:val="22"/>
              </w:rPr>
              <w:t> </w:t>
            </w:r>
            <w:r>
              <w:rPr>
                <w:color w:val="231F1F"/>
                <w:w w:val="105"/>
                <w:sz w:val="22"/>
              </w:rPr>
              <w:t>a</w:t>
            </w:r>
            <w:r>
              <w:rPr>
                <w:color w:val="231F1F"/>
                <w:spacing w:val="25"/>
                <w:w w:val="105"/>
                <w:sz w:val="22"/>
              </w:rPr>
              <w:t> </w:t>
            </w:r>
            <w:r>
              <w:rPr>
                <w:color w:val="231F1F"/>
                <w:w w:val="105"/>
                <w:sz w:val="22"/>
              </w:rPr>
              <w:t>un</w:t>
            </w:r>
            <w:r>
              <w:rPr>
                <w:color w:val="231F1F"/>
                <w:spacing w:val="25"/>
                <w:w w:val="105"/>
                <w:sz w:val="22"/>
              </w:rPr>
              <w:t> </w:t>
            </w:r>
            <w:r>
              <w:rPr>
                <w:color w:val="231F1F"/>
                <w:w w:val="105"/>
                <w:sz w:val="22"/>
              </w:rPr>
              <w:t>manejo</w:t>
            </w:r>
            <w:r>
              <w:rPr>
                <w:color w:val="231F1F"/>
                <w:spacing w:val="25"/>
                <w:w w:val="105"/>
                <w:sz w:val="22"/>
              </w:rPr>
              <w:t> </w:t>
            </w:r>
            <w:r>
              <w:rPr>
                <w:color w:val="231F1F"/>
                <w:w w:val="105"/>
                <w:sz w:val="22"/>
              </w:rPr>
              <w:t>más</w:t>
            </w:r>
            <w:r>
              <w:rPr>
                <w:color w:val="231F1F"/>
                <w:spacing w:val="25"/>
                <w:w w:val="105"/>
                <w:sz w:val="22"/>
              </w:rPr>
              <w:t> </w:t>
            </w:r>
            <w:r>
              <w:rPr>
                <w:color w:val="231F1F"/>
                <w:w w:val="105"/>
                <w:sz w:val="22"/>
              </w:rPr>
              <w:t>conservador</w:t>
            </w:r>
            <w:r>
              <w:rPr>
                <w:color w:val="231F1F"/>
                <w:spacing w:val="25"/>
                <w:w w:val="105"/>
                <w:sz w:val="22"/>
              </w:rPr>
              <w:t> </w:t>
            </w:r>
            <w:r>
              <w:rPr>
                <w:color w:val="231F1F"/>
                <w:w w:val="105"/>
                <w:sz w:val="22"/>
              </w:rPr>
              <w:t>de</w:t>
            </w:r>
            <w:r>
              <w:rPr>
                <w:color w:val="231F1F"/>
                <w:spacing w:val="24"/>
                <w:w w:val="105"/>
                <w:sz w:val="22"/>
              </w:rPr>
              <w:t> </w:t>
            </w:r>
            <w:r>
              <w:rPr>
                <w:color w:val="231F1F"/>
                <w:w w:val="105"/>
                <w:sz w:val="22"/>
              </w:rPr>
              <w:t>la</w:t>
            </w:r>
            <w:r>
              <w:rPr>
                <w:color w:val="231F1F"/>
                <w:spacing w:val="25"/>
                <w:w w:val="105"/>
                <w:sz w:val="22"/>
              </w:rPr>
              <w:t> </w:t>
            </w:r>
            <w:r>
              <w:rPr>
                <w:color w:val="231F1F"/>
                <w:w w:val="105"/>
                <w:sz w:val="22"/>
              </w:rPr>
              <w:t>primera</w:t>
            </w:r>
            <w:r>
              <w:rPr>
                <w:color w:val="231F1F"/>
                <w:spacing w:val="24"/>
                <w:w w:val="105"/>
                <w:sz w:val="22"/>
              </w:rPr>
              <w:t> </w:t>
            </w:r>
            <w:r>
              <w:rPr>
                <w:color w:val="231F1F"/>
                <w:w w:val="105"/>
                <w:sz w:val="22"/>
              </w:rPr>
              <w:t>etapa del parto (10;55;56;58).</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spacing w:before="255"/>
        <w:ind w:left="283" w:right="0" w:firstLine="0"/>
        <w:jc w:val="left"/>
        <w:rPr>
          <w:rFonts w:ascii="Arial MT"/>
          <w:sz w:val="24"/>
        </w:rPr>
      </w:pPr>
      <w:r>
        <w:rPr>
          <w:rFonts w:ascii="Arial MT"/>
          <w:color w:val="231F1F"/>
          <w:spacing w:val="-2"/>
          <w:w w:val="105"/>
          <w:sz w:val="24"/>
        </w:rPr>
        <w:t>Recomendaciones</w:t>
      </w:r>
    </w:p>
    <w:p>
      <w:pPr>
        <w:pStyle w:val="BodyText"/>
        <w:spacing w:before="3"/>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64" w:hRule="atLeast"/>
        </w:trPr>
        <w:tc>
          <w:tcPr>
            <w:tcW w:w="456" w:type="dxa"/>
          </w:tcPr>
          <w:p>
            <w:pPr>
              <w:pStyle w:val="TableParagraph"/>
              <w:spacing w:before="69"/>
              <w:ind w:left="0"/>
              <w:rPr>
                <w:rFonts w:ascii="Arial MT"/>
                <w:sz w:val="22"/>
              </w:rPr>
            </w:pPr>
          </w:p>
          <w:p>
            <w:pPr>
              <w:pStyle w:val="TableParagraph"/>
              <w:ind w:left="142"/>
              <w:rPr>
                <w:sz w:val="22"/>
              </w:rPr>
            </w:pPr>
            <w:r>
              <w:rPr>
                <w:color w:val="231F1F"/>
                <w:spacing w:val="-10"/>
                <w:w w:val="115"/>
                <w:sz w:val="22"/>
              </w:rPr>
              <w:t>A</w:t>
            </w:r>
          </w:p>
        </w:tc>
        <w:tc>
          <w:tcPr>
            <w:tcW w:w="8050" w:type="dxa"/>
          </w:tcPr>
          <w:p>
            <w:pPr>
              <w:pStyle w:val="TableParagraph"/>
              <w:spacing w:line="254" w:lineRule="auto" w:before="44"/>
              <w:ind w:left="120" w:right="155"/>
              <w:jc w:val="both"/>
              <w:rPr>
                <w:sz w:val="22"/>
              </w:rPr>
            </w:pPr>
            <w:r>
              <w:rPr>
                <w:color w:val="231F1F"/>
                <w:w w:val="105"/>
                <w:sz w:val="22"/>
              </w:rPr>
              <w:t>Se recomienda no realizar amniorrexis artificial ni perfusión de oxitocina de forma rutinaria</w:t>
            </w:r>
            <w:r>
              <w:rPr>
                <w:color w:val="231F1F"/>
                <w:w w:val="105"/>
                <w:sz w:val="22"/>
              </w:rPr>
              <w:t> en</w:t>
            </w:r>
            <w:r>
              <w:rPr>
                <w:color w:val="231F1F"/>
                <w:w w:val="105"/>
                <w:sz w:val="22"/>
              </w:rPr>
              <w:t> partos</w:t>
            </w:r>
            <w:r>
              <w:rPr>
                <w:color w:val="231F1F"/>
                <w:w w:val="105"/>
                <w:sz w:val="22"/>
              </w:rPr>
              <w:t> vaginales</w:t>
            </w:r>
            <w:r>
              <w:rPr>
                <w:color w:val="231F1F"/>
                <w:w w:val="105"/>
                <w:sz w:val="22"/>
              </w:rPr>
              <w:t> que</w:t>
            </w:r>
            <w:r>
              <w:rPr>
                <w:color w:val="231F1F"/>
                <w:w w:val="105"/>
                <w:sz w:val="22"/>
              </w:rPr>
              <w:t> progresan</w:t>
            </w:r>
            <w:r>
              <w:rPr>
                <w:color w:val="231F1F"/>
                <w:w w:val="105"/>
                <w:sz w:val="22"/>
              </w:rPr>
              <w:t> de</w:t>
            </w:r>
            <w:r>
              <w:rPr>
                <w:color w:val="231F1F"/>
                <w:w w:val="105"/>
                <w:sz w:val="22"/>
              </w:rPr>
              <w:t> forma</w:t>
            </w:r>
            <w:r>
              <w:rPr>
                <w:color w:val="231F1F"/>
                <w:w w:val="105"/>
                <w:sz w:val="22"/>
              </w:rPr>
              <w:t> normal,</w:t>
            </w:r>
            <w:r>
              <w:rPr>
                <w:color w:val="231F1F"/>
                <w:w w:val="105"/>
                <w:sz w:val="22"/>
              </w:rPr>
              <w:t> ya</w:t>
            </w:r>
            <w:r>
              <w:rPr>
                <w:color w:val="231F1F"/>
                <w:w w:val="105"/>
                <w:sz w:val="22"/>
              </w:rPr>
              <w:t> que</w:t>
            </w:r>
            <w:r>
              <w:rPr>
                <w:color w:val="231F1F"/>
                <w:w w:val="105"/>
                <w:sz w:val="22"/>
              </w:rPr>
              <w:t> las</w:t>
            </w:r>
            <w:r>
              <w:rPr>
                <w:color w:val="231F1F"/>
                <w:w w:val="105"/>
                <w:sz w:val="22"/>
              </w:rPr>
              <w:t> pruebas muestran que esto no mejora los resultados.</w:t>
            </w:r>
          </w:p>
        </w:tc>
      </w:tr>
    </w:tbl>
    <w:p>
      <w:pPr>
        <w:pStyle w:val="TableParagraph"/>
        <w:spacing w:after="0" w:line="254" w:lineRule="auto"/>
        <w:jc w:val="both"/>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w w:val="105"/>
        </w:rPr>
        <w:t>Lavado</w:t>
      </w:r>
      <w:r>
        <w:rPr>
          <w:color w:val="231F1F"/>
          <w:spacing w:val="18"/>
          <w:w w:val="105"/>
        </w:rPr>
        <w:t> </w:t>
      </w:r>
      <w:r>
        <w:rPr>
          <w:color w:val="231F1F"/>
          <w:spacing w:val="-2"/>
          <w:w w:val="105"/>
        </w:rPr>
        <w:t>perineal</w:t>
      </w:r>
    </w:p>
    <w:p>
      <w:pPr>
        <w:pStyle w:val="BodyText"/>
        <w:spacing w:before="5"/>
        <w:rPr>
          <w:sz w:val="13"/>
        </w:rPr>
      </w:pPr>
      <w:r>
        <w:rPr>
          <w:sz w:val="13"/>
        </w:rPr>
        <mc:AlternateContent>
          <mc:Choice Requires="wps">
            <w:drawing>
              <wp:anchor distT="0" distB="0" distL="0" distR="0" allowOverlap="1" layoutInCell="1" locked="0" behindDoc="1" simplePos="0" relativeHeight="487604224">
                <wp:simplePos x="0" y="0"/>
                <wp:positionH relativeFrom="page">
                  <wp:posOffset>1082675</wp:posOffset>
                </wp:positionH>
                <wp:positionV relativeFrom="paragraph">
                  <wp:posOffset>116859</wp:posOffset>
                </wp:positionV>
                <wp:extent cx="5400040" cy="26225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5400040" cy="262255"/>
                        </a:xfrm>
                        <a:prstGeom prst="rect">
                          <a:avLst/>
                        </a:prstGeom>
                        <a:ln w="6350">
                          <a:solidFill>
                            <a:srgbClr val="A30046"/>
                          </a:solidFill>
                          <a:prstDash val="solid"/>
                        </a:ln>
                      </wps:spPr>
                      <wps:txbx>
                        <w:txbxContent>
                          <w:p>
                            <w:pPr>
                              <w:pStyle w:val="BodyText"/>
                              <w:numPr>
                                <w:ilvl w:val="0"/>
                                <w:numId w:val="29"/>
                              </w:numPr>
                              <w:tabs>
                                <w:tab w:pos="322" w:val="left" w:leader="none"/>
                              </w:tabs>
                              <w:spacing w:line="240" w:lineRule="auto" w:before="54" w:after="0"/>
                              <w:ind w:left="322" w:right="0" w:hanging="218"/>
                              <w:jc w:val="left"/>
                            </w:pPr>
                            <w:r>
                              <w:rPr>
                                <w:color w:val="231F1F"/>
                              </w:rPr>
                              <w:t>¿Es</w:t>
                            </w:r>
                            <w:r>
                              <w:rPr>
                                <w:color w:val="231F1F"/>
                                <w:spacing w:val="29"/>
                              </w:rPr>
                              <w:t> </w:t>
                            </w:r>
                            <w:r>
                              <w:rPr>
                                <w:color w:val="231F1F"/>
                              </w:rPr>
                              <w:t>necesario</w:t>
                            </w:r>
                            <w:r>
                              <w:rPr>
                                <w:color w:val="231F1F"/>
                                <w:spacing w:val="29"/>
                              </w:rPr>
                              <w:t> </w:t>
                            </w:r>
                            <w:r>
                              <w:rPr>
                                <w:color w:val="231F1F"/>
                              </w:rPr>
                              <w:t>el</w:t>
                            </w:r>
                            <w:r>
                              <w:rPr>
                                <w:color w:val="231F1F"/>
                                <w:spacing w:val="30"/>
                              </w:rPr>
                              <w:t> </w:t>
                            </w:r>
                            <w:r>
                              <w:rPr>
                                <w:color w:val="231F1F"/>
                              </w:rPr>
                              <w:t>empleo</w:t>
                            </w:r>
                            <w:r>
                              <w:rPr>
                                <w:color w:val="231F1F"/>
                                <w:spacing w:val="29"/>
                              </w:rPr>
                              <w:t> </w:t>
                            </w:r>
                            <w:r>
                              <w:rPr>
                                <w:color w:val="231F1F"/>
                              </w:rPr>
                              <w:t>de</w:t>
                            </w:r>
                            <w:r>
                              <w:rPr>
                                <w:color w:val="231F1F"/>
                                <w:spacing w:val="29"/>
                              </w:rPr>
                              <w:t> </w:t>
                            </w:r>
                            <w:r>
                              <w:rPr>
                                <w:color w:val="231F1F"/>
                              </w:rPr>
                              <w:t>antisépticos</w:t>
                            </w:r>
                            <w:r>
                              <w:rPr>
                                <w:color w:val="231F1F"/>
                                <w:spacing w:val="30"/>
                              </w:rPr>
                              <w:t> </w:t>
                            </w:r>
                            <w:r>
                              <w:rPr>
                                <w:color w:val="231F1F"/>
                              </w:rPr>
                              <w:t>en</w:t>
                            </w:r>
                            <w:r>
                              <w:rPr>
                                <w:color w:val="231F1F"/>
                                <w:spacing w:val="30"/>
                              </w:rPr>
                              <w:t> </w:t>
                            </w:r>
                            <w:r>
                              <w:rPr>
                                <w:color w:val="231F1F"/>
                              </w:rPr>
                              <w:t>el</w:t>
                            </w:r>
                            <w:r>
                              <w:rPr>
                                <w:color w:val="231F1F"/>
                                <w:spacing w:val="29"/>
                              </w:rPr>
                              <w:t> </w:t>
                            </w:r>
                            <w:r>
                              <w:rPr>
                                <w:color w:val="231F1F"/>
                              </w:rPr>
                              <w:t>lavado</w:t>
                            </w:r>
                            <w:r>
                              <w:rPr>
                                <w:color w:val="231F1F"/>
                                <w:spacing w:val="30"/>
                              </w:rPr>
                              <w:t> </w:t>
                            </w:r>
                            <w:r>
                              <w:rPr>
                                <w:color w:val="231F1F"/>
                              </w:rPr>
                              <w:t>perineal</w:t>
                            </w:r>
                            <w:r>
                              <w:rPr>
                                <w:color w:val="231F1F"/>
                                <w:spacing w:val="28"/>
                              </w:rPr>
                              <w:t> </w:t>
                            </w:r>
                            <w:r>
                              <w:rPr>
                                <w:color w:val="231F1F"/>
                              </w:rPr>
                              <w:t>previo</w:t>
                            </w:r>
                            <w:r>
                              <w:rPr>
                                <w:color w:val="231F1F"/>
                                <w:spacing w:val="29"/>
                              </w:rPr>
                              <w:t> </w:t>
                            </w:r>
                            <w:r>
                              <w:rPr>
                                <w:color w:val="231F1F"/>
                              </w:rPr>
                              <w:t>al</w:t>
                            </w:r>
                            <w:r>
                              <w:rPr>
                                <w:color w:val="231F1F"/>
                                <w:spacing w:val="29"/>
                              </w:rPr>
                              <w:t> </w:t>
                            </w:r>
                            <w:r>
                              <w:rPr>
                                <w:color w:val="231F1F"/>
                              </w:rPr>
                              <w:t>tacto</w:t>
                            </w:r>
                            <w:r>
                              <w:rPr>
                                <w:color w:val="231F1F"/>
                                <w:spacing w:val="30"/>
                              </w:rPr>
                              <w:t> </w:t>
                            </w:r>
                            <w:r>
                              <w:rPr>
                                <w:color w:val="231F1F"/>
                                <w:spacing w:val="-2"/>
                              </w:rPr>
                              <w:t>vaginal?</w:t>
                            </w:r>
                          </w:p>
                        </w:txbxContent>
                      </wps:txbx>
                      <wps:bodyPr wrap="square" lIns="0" tIns="0" rIns="0" bIns="0" rtlCol="0">
                        <a:noAutofit/>
                      </wps:bodyPr>
                    </wps:wsp>
                  </a:graphicData>
                </a:graphic>
              </wp:anchor>
            </w:drawing>
          </mc:Choice>
          <mc:Fallback>
            <w:pict>
              <v:shape style="position:absolute;margin-left:85.25pt;margin-top:9.201563pt;width:425.2pt;height:20.65pt;mso-position-horizontal-relative:page;mso-position-vertical-relative:paragraph;z-index:-15712256;mso-wrap-distance-left:0;mso-wrap-distance-right:0" type="#_x0000_t202" id="docshape55" filled="false" stroked="true" strokeweight=".5pt" strokecolor="#a30046">
                <v:textbox inset="0,0,0,0">
                  <w:txbxContent>
                    <w:p>
                      <w:pPr>
                        <w:pStyle w:val="BodyText"/>
                        <w:numPr>
                          <w:ilvl w:val="0"/>
                          <w:numId w:val="29"/>
                        </w:numPr>
                        <w:tabs>
                          <w:tab w:pos="322" w:val="left" w:leader="none"/>
                        </w:tabs>
                        <w:spacing w:line="240" w:lineRule="auto" w:before="54" w:after="0"/>
                        <w:ind w:left="322" w:right="0" w:hanging="218"/>
                        <w:jc w:val="left"/>
                      </w:pPr>
                      <w:r>
                        <w:rPr>
                          <w:color w:val="231F1F"/>
                        </w:rPr>
                        <w:t>¿Es</w:t>
                      </w:r>
                      <w:r>
                        <w:rPr>
                          <w:color w:val="231F1F"/>
                          <w:spacing w:val="29"/>
                        </w:rPr>
                        <w:t> </w:t>
                      </w:r>
                      <w:r>
                        <w:rPr>
                          <w:color w:val="231F1F"/>
                        </w:rPr>
                        <w:t>necesario</w:t>
                      </w:r>
                      <w:r>
                        <w:rPr>
                          <w:color w:val="231F1F"/>
                          <w:spacing w:val="29"/>
                        </w:rPr>
                        <w:t> </w:t>
                      </w:r>
                      <w:r>
                        <w:rPr>
                          <w:color w:val="231F1F"/>
                        </w:rPr>
                        <w:t>el</w:t>
                      </w:r>
                      <w:r>
                        <w:rPr>
                          <w:color w:val="231F1F"/>
                          <w:spacing w:val="30"/>
                        </w:rPr>
                        <w:t> </w:t>
                      </w:r>
                      <w:r>
                        <w:rPr>
                          <w:color w:val="231F1F"/>
                        </w:rPr>
                        <w:t>empleo</w:t>
                      </w:r>
                      <w:r>
                        <w:rPr>
                          <w:color w:val="231F1F"/>
                          <w:spacing w:val="29"/>
                        </w:rPr>
                        <w:t> </w:t>
                      </w:r>
                      <w:r>
                        <w:rPr>
                          <w:color w:val="231F1F"/>
                        </w:rPr>
                        <w:t>de</w:t>
                      </w:r>
                      <w:r>
                        <w:rPr>
                          <w:color w:val="231F1F"/>
                          <w:spacing w:val="29"/>
                        </w:rPr>
                        <w:t> </w:t>
                      </w:r>
                      <w:r>
                        <w:rPr>
                          <w:color w:val="231F1F"/>
                        </w:rPr>
                        <w:t>antisépticos</w:t>
                      </w:r>
                      <w:r>
                        <w:rPr>
                          <w:color w:val="231F1F"/>
                          <w:spacing w:val="30"/>
                        </w:rPr>
                        <w:t> </w:t>
                      </w:r>
                      <w:r>
                        <w:rPr>
                          <w:color w:val="231F1F"/>
                        </w:rPr>
                        <w:t>en</w:t>
                      </w:r>
                      <w:r>
                        <w:rPr>
                          <w:color w:val="231F1F"/>
                          <w:spacing w:val="30"/>
                        </w:rPr>
                        <w:t> </w:t>
                      </w:r>
                      <w:r>
                        <w:rPr>
                          <w:color w:val="231F1F"/>
                        </w:rPr>
                        <w:t>el</w:t>
                      </w:r>
                      <w:r>
                        <w:rPr>
                          <w:color w:val="231F1F"/>
                          <w:spacing w:val="29"/>
                        </w:rPr>
                        <w:t> </w:t>
                      </w:r>
                      <w:r>
                        <w:rPr>
                          <w:color w:val="231F1F"/>
                        </w:rPr>
                        <w:t>lavado</w:t>
                      </w:r>
                      <w:r>
                        <w:rPr>
                          <w:color w:val="231F1F"/>
                          <w:spacing w:val="30"/>
                        </w:rPr>
                        <w:t> </w:t>
                      </w:r>
                      <w:r>
                        <w:rPr>
                          <w:color w:val="231F1F"/>
                        </w:rPr>
                        <w:t>perineal</w:t>
                      </w:r>
                      <w:r>
                        <w:rPr>
                          <w:color w:val="231F1F"/>
                          <w:spacing w:val="28"/>
                        </w:rPr>
                        <w:t> </w:t>
                      </w:r>
                      <w:r>
                        <w:rPr>
                          <w:color w:val="231F1F"/>
                        </w:rPr>
                        <w:t>previo</w:t>
                      </w:r>
                      <w:r>
                        <w:rPr>
                          <w:color w:val="231F1F"/>
                          <w:spacing w:val="29"/>
                        </w:rPr>
                        <w:t> </w:t>
                      </w:r>
                      <w:r>
                        <w:rPr>
                          <w:color w:val="231F1F"/>
                        </w:rPr>
                        <w:t>al</w:t>
                      </w:r>
                      <w:r>
                        <w:rPr>
                          <w:color w:val="231F1F"/>
                          <w:spacing w:val="29"/>
                        </w:rPr>
                        <w:t> </w:t>
                      </w:r>
                      <w:r>
                        <w:rPr>
                          <w:color w:val="231F1F"/>
                        </w:rPr>
                        <w:t>tacto</w:t>
                      </w:r>
                      <w:r>
                        <w:rPr>
                          <w:color w:val="231F1F"/>
                          <w:spacing w:val="30"/>
                        </w:rPr>
                        <w:t> </w:t>
                      </w:r>
                      <w:r>
                        <w:rPr>
                          <w:color w:val="231F1F"/>
                          <w:spacing w:val="-2"/>
                        </w:rPr>
                        <w:t>vaginal?</w:t>
                      </w:r>
                    </w:p>
                  </w:txbxContent>
                </v:textbox>
                <v:stroke dashstyle="solid"/>
                <w10:wrap type="topAndBottom"/>
              </v:shape>
            </w:pict>
          </mc:Fallback>
        </mc:AlternateContent>
      </w:r>
    </w:p>
    <w:p>
      <w:pPr>
        <w:pStyle w:val="BodyText"/>
        <w:spacing w:line="249" w:lineRule="auto" w:before="328"/>
        <w:ind w:left="284" w:right="122"/>
        <w:jc w:val="both"/>
      </w:pPr>
      <w:r>
        <w:rPr>
          <w:color w:val="231F1F"/>
          <w:w w:val="105"/>
        </w:rPr>
        <w:t>La preocupación por qué los tactos vaginales facilitan la diseminación de gérmenes patóge- nos hacia el tracto genital superior es antigua. Diferentes aproximaciones tales como reali- zar tactos rectales, proceder a un riguroso lavado vaginal antes de la exploración, evitar al máximo</w:t>
      </w:r>
      <w:r>
        <w:rPr>
          <w:color w:val="231F1F"/>
          <w:spacing w:val="-2"/>
          <w:w w:val="105"/>
        </w:rPr>
        <w:t> </w:t>
      </w:r>
      <w:r>
        <w:rPr>
          <w:color w:val="231F1F"/>
          <w:w w:val="105"/>
        </w:rPr>
        <w:t>los</w:t>
      </w:r>
      <w:r>
        <w:rPr>
          <w:color w:val="231F1F"/>
          <w:spacing w:val="-2"/>
          <w:w w:val="105"/>
        </w:rPr>
        <w:t> </w:t>
      </w:r>
      <w:r>
        <w:rPr>
          <w:color w:val="231F1F"/>
          <w:w w:val="105"/>
        </w:rPr>
        <w:t>tactos</w:t>
      </w:r>
      <w:r>
        <w:rPr>
          <w:color w:val="231F1F"/>
          <w:spacing w:val="-2"/>
          <w:w w:val="105"/>
        </w:rPr>
        <w:t> </w:t>
      </w:r>
      <w:r>
        <w:rPr>
          <w:color w:val="231F1F"/>
          <w:w w:val="105"/>
        </w:rPr>
        <w:t>vaginales</w:t>
      </w:r>
      <w:r>
        <w:rPr>
          <w:color w:val="231F1F"/>
          <w:spacing w:val="-2"/>
          <w:w w:val="105"/>
        </w:rPr>
        <w:t> </w:t>
      </w:r>
      <w:r>
        <w:rPr>
          <w:color w:val="231F1F"/>
          <w:w w:val="105"/>
        </w:rPr>
        <w:t>sobre</w:t>
      </w:r>
      <w:r>
        <w:rPr>
          <w:color w:val="231F1F"/>
          <w:spacing w:val="-2"/>
          <w:w w:val="105"/>
        </w:rPr>
        <w:t> </w:t>
      </w:r>
      <w:r>
        <w:rPr>
          <w:color w:val="231F1F"/>
          <w:w w:val="105"/>
        </w:rPr>
        <w:t>todo</w:t>
      </w:r>
      <w:r>
        <w:rPr>
          <w:color w:val="231F1F"/>
          <w:spacing w:val="-2"/>
          <w:w w:val="105"/>
        </w:rPr>
        <w:t> </w:t>
      </w:r>
      <w:r>
        <w:rPr>
          <w:color w:val="231F1F"/>
          <w:w w:val="105"/>
        </w:rPr>
        <w:t>si</w:t>
      </w:r>
      <w:r>
        <w:rPr>
          <w:color w:val="231F1F"/>
          <w:spacing w:val="-2"/>
          <w:w w:val="105"/>
        </w:rPr>
        <w:t> </w:t>
      </w:r>
      <w:r>
        <w:rPr>
          <w:color w:val="231F1F"/>
          <w:w w:val="105"/>
        </w:rPr>
        <w:t>las</w:t>
      </w:r>
      <w:r>
        <w:rPr>
          <w:color w:val="231F1F"/>
          <w:spacing w:val="-2"/>
          <w:w w:val="105"/>
        </w:rPr>
        <w:t> </w:t>
      </w:r>
      <w:r>
        <w:rPr>
          <w:color w:val="231F1F"/>
          <w:w w:val="105"/>
        </w:rPr>
        <w:t>membranas</w:t>
      </w:r>
      <w:r>
        <w:rPr>
          <w:color w:val="231F1F"/>
          <w:spacing w:val="-2"/>
          <w:w w:val="105"/>
        </w:rPr>
        <w:t> </w:t>
      </w:r>
      <w:r>
        <w:rPr>
          <w:color w:val="231F1F"/>
          <w:w w:val="105"/>
        </w:rPr>
        <w:t>están</w:t>
      </w:r>
      <w:r>
        <w:rPr>
          <w:color w:val="231F1F"/>
          <w:spacing w:val="-2"/>
          <w:w w:val="105"/>
        </w:rPr>
        <w:t> </w:t>
      </w:r>
      <w:r>
        <w:rPr>
          <w:color w:val="231F1F"/>
          <w:w w:val="105"/>
        </w:rPr>
        <w:t>rotas,</w:t>
      </w:r>
      <w:r>
        <w:rPr>
          <w:color w:val="231F1F"/>
          <w:spacing w:val="-2"/>
          <w:w w:val="105"/>
        </w:rPr>
        <w:t> </w:t>
      </w:r>
      <w:r>
        <w:rPr>
          <w:color w:val="231F1F"/>
          <w:w w:val="105"/>
        </w:rPr>
        <w:t>utilizar</w:t>
      </w:r>
      <w:r>
        <w:rPr>
          <w:color w:val="231F1F"/>
          <w:spacing w:val="-2"/>
          <w:w w:val="105"/>
        </w:rPr>
        <w:t> </w:t>
      </w:r>
      <w:r>
        <w:rPr>
          <w:color w:val="231F1F"/>
          <w:w w:val="105"/>
        </w:rPr>
        <w:t>la</w:t>
      </w:r>
      <w:r>
        <w:rPr>
          <w:color w:val="231F1F"/>
          <w:spacing w:val="-2"/>
          <w:w w:val="105"/>
        </w:rPr>
        <w:t> </w:t>
      </w:r>
      <w:r>
        <w:rPr>
          <w:color w:val="231F1F"/>
          <w:w w:val="105"/>
        </w:rPr>
        <w:t>línea</w:t>
      </w:r>
      <w:r>
        <w:rPr>
          <w:color w:val="231F1F"/>
          <w:spacing w:val="-2"/>
          <w:w w:val="105"/>
        </w:rPr>
        <w:t> </w:t>
      </w:r>
      <w:r>
        <w:rPr>
          <w:color w:val="231F1F"/>
          <w:w w:val="105"/>
        </w:rPr>
        <w:t>púrpu- ra u otros signos indirectos del progreso de la dilatación, han sido utilizadas para disminuir la posibilidad de producir una infección materna o neonatal. Conocer las condiciones higié- nicas en que debe realizarse un tacto vaginal indicado ayudará a prevenir estas infecciones.</w:t>
      </w:r>
    </w:p>
    <w:p>
      <w:pPr>
        <w:pStyle w:val="BodyText"/>
        <w:spacing w:before="55"/>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2" w:lineRule="auto" w:before="176"/>
        <w:ind w:left="283" w:right="1358"/>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evalúa</w:t>
      </w:r>
      <w:r>
        <w:rPr>
          <w:color w:val="231F1F"/>
          <w:w w:val="105"/>
        </w:rPr>
        <w:t> la</w:t>
      </w:r>
      <w:r>
        <w:rPr>
          <w:color w:val="231F1F"/>
          <w:w w:val="105"/>
        </w:rPr>
        <w:t> efectividad</w:t>
      </w:r>
      <w:r>
        <w:rPr>
          <w:color w:val="231F1F"/>
          <w:w w:val="105"/>
        </w:rPr>
        <w:t> de</w:t>
      </w:r>
      <w:r>
        <w:rPr>
          <w:color w:val="231F1F"/>
          <w:w w:val="105"/>
        </w:rPr>
        <w:t> diferentes</w:t>
      </w:r>
      <w:r>
        <w:rPr>
          <w:color w:val="231F1F"/>
          <w:w w:val="105"/>
        </w:rPr>
        <w:t> estrategias</w:t>
      </w:r>
      <w:r>
        <w:rPr>
          <w:color w:val="231F1F"/>
          <w:w w:val="105"/>
        </w:rPr>
        <w:t> de</w:t>
      </w:r>
      <w:r>
        <w:rPr>
          <w:color w:val="231F1F"/>
          <w:w w:val="105"/>
        </w:rPr>
        <w:t> higiene sobre</w:t>
      </w:r>
      <w:r>
        <w:rPr>
          <w:color w:val="231F1F"/>
          <w:w w:val="105"/>
        </w:rPr>
        <w:t> las</w:t>
      </w:r>
      <w:r>
        <w:rPr>
          <w:color w:val="231F1F"/>
          <w:w w:val="105"/>
        </w:rPr>
        <w:t> tasas</w:t>
      </w:r>
      <w:r>
        <w:rPr>
          <w:color w:val="231F1F"/>
          <w:w w:val="105"/>
        </w:rPr>
        <w:t> de</w:t>
      </w:r>
      <w:r>
        <w:rPr>
          <w:color w:val="231F1F"/>
          <w:w w:val="105"/>
        </w:rPr>
        <w:t> infección</w:t>
      </w:r>
      <w:r>
        <w:rPr>
          <w:color w:val="231F1F"/>
          <w:w w:val="105"/>
        </w:rPr>
        <w:t> de</w:t>
      </w:r>
      <w:r>
        <w:rPr>
          <w:color w:val="231F1F"/>
          <w:w w:val="105"/>
        </w:rPr>
        <w:t> madres,</w:t>
      </w:r>
      <w:r>
        <w:rPr>
          <w:color w:val="231F1F"/>
          <w:w w:val="105"/>
        </w:rPr>
        <w:t> neonatos</w:t>
      </w:r>
      <w:r>
        <w:rPr>
          <w:color w:val="231F1F"/>
          <w:w w:val="105"/>
        </w:rPr>
        <w:t> y</w:t>
      </w:r>
      <w:r>
        <w:rPr>
          <w:color w:val="231F1F"/>
          <w:w w:val="105"/>
        </w:rPr>
        <w:t> profesionales</w:t>
      </w:r>
      <w:r>
        <w:rPr>
          <w:color w:val="231F1F"/>
          <w:w w:val="105"/>
        </w:rPr>
        <w:t> sanitarios durante el</w:t>
      </w:r>
      <w:r>
        <w:rPr>
          <w:color w:val="231F1F"/>
          <w:spacing w:val="-1"/>
          <w:w w:val="105"/>
        </w:rPr>
        <w:t> </w:t>
      </w:r>
      <w:r>
        <w:rPr>
          <w:color w:val="231F1F"/>
          <w:w w:val="105"/>
        </w:rPr>
        <w:t>parto vaginal. La guía evalúa medidas higiénicas durante el</w:t>
      </w:r>
      <w:r>
        <w:rPr>
          <w:color w:val="231F1F"/>
          <w:spacing w:val="-1"/>
          <w:w w:val="105"/>
        </w:rPr>
        <w:t> </w:t>
      </w:r>
      <w:r>
        <w:rPr>
          <w:color w:val="231F1F"/>
          <w:w w:val="105"/>
        </w:rPr>
        <w:t>examen vaginal</w:t>
      </w:r>
      <w:r>
        <w:rPr>
          <w:color w:val="231F1F"/>
          <w:spacing w:val="-1"/>
          <w:w w:val="105"/>
        </w:rPr>
        <w:t> </w:t>
      </w:r>
      <w:r>
        <w:rPr>
          <w:color w:val="231F1F"/>
          <w:w w:val="105"/>
        </w:rPr>
        <w:t>y</w:t>
      </w:r>
      <w:r>
        <w:rPr>
          <w:color w:val="231F1F"/>
          <w:spacing w:val="-1"/>
          <w:w w:val="105"/>
        </w:rPr>
        <w:t> </w:t>
      </w:r>
      <w:r>
        <w:rPr>
          <w:color w:val="231F1F"/>
          <w:w w:val="105"/>
        </w:rPr>
        <w:t>la</w:t>
      </w:r>
      <w:r>
        <w:rPr>
          <w:color w:val="231F1F"/>
          <w:spacing w:val="-1"/>
          <w:w w:val="105"/>
        </w:rPr>
        <w:t> </w:t>
      </w:r>
      <w:r>
        <w:rPr>
          <w:color w:val="231F1F"/>
          <w:w w:val="105"/>
        </w:rPr>
        <w:t>antisepsia, analizando dos</w:t>
      </w:r>
      <w:r>
        <w:rPr>
          <w:color w:val="231F1F"/>
          <w:spacing w:val="-1"/>
          <w:w w:val="105"/>
        </w:rPr>
        <w:t> </w:t>
      </w:r>
      <w:r>
        <w:rPr>
          <w:color w:val="231F1F"/>
          <w:w w:val="105"/>
        </w:rPr>
        <w:t>estudios, una</w:t>
      </w:r>
      <w:r>
        <w:rPr>
          <w:color w:val="231F1F"/>
          <w:spacing w:val="-1"/>
          <w:w w:val="105"/>
        </w:rPr>
        <w:t> </w:t>
      </w:r>
      <w:r>
        <w:rPr>
          <w:color w:val="231F1F"/>
          <w:w w:val="105"/>
        </w:rPr>
        <w:t>RS</w:t>
      </w:r>
      <w:r>
        <w:rPr>
          <w:color w:val="231F1F"/>
          <w:spacing w:val="-1"/>
          <w:w w:val="105"/>
        </w:rPr>
        <w:t> </w:t>
      </w:r>
      <w:r>
        <w:rPr>
          <w:color w:val="231F1F"/>
          <w:w w:val="105"/>
        </w:rPr>
        <w:t>(59) y</w:t>
      </w:r>
      <w:r>
        <w:rPr>
          <w:color w:val="231F1F"/>
          <w:spacing w:val="-2"/>
          <w:w w:val="105"/>
        </w:rPr>
        <w:t> </w:t>
      </w:r>
      <w:r>
        <w:rPr>
          <w:color w:val="231F1F"/>
          <w:w w:val="105"/>
        </w:rPr>
        <w:t>un</w:t>
      </w:r>
      <w:r>
        <w:rPr>
          <w:color w:val="231F1F"/>
          <w:spacing w:val="-1"/>
          <w:w w:val="105"/>
        </w:rPr>
        <w:t> </w:t>
      </w:r>
      <w:r>
        <w:rPr>
          <w:color w:val="231F1F"/>
          <w:w w:val="105"/>
        </w:rPr>
        <w:t>estudio con- trolado (60) en la que se evalúan dos estrategias diferentes de lavado vaginal.</w:t>
      </w:r>
    </w:p>
    <w:p>
      <w:pPr>
        <w:pStyle w:val="BodyText"/>
        <w:spacing w:before="45"/>
      </w:pPr>
    </w:p>
    <w:p>
      <w:pPr>
        <w:pStyle w:val="Heading5"/>
        <w:jc w:val="both"/>
      </w:pPr>
      <w:r>
        <w:rPr>
          <w:color w:val="231F1F"/>
        </w:rPr>
        <w:t>Irrigación</w:t>
      </w:r>
      <w:r>
        <w:rPr>
          <w:color w:val="231F1F"/>
          <w:spacing w:val="-11"/>
        </w:rPr>
        <w:t> </w:t>
      </w:r>
      <w:r>
        <w:rPr>
          <w:color w:val="231F1F"/>
        </w:rPr>
        <w:t>vaginal</w:t>
      </w:r>
      <w:r>
        <w:rPr>
          <w:color w:val="231F1F"/>
          <w:spacing w:val="-8"/>
        </w:rPr>
        <w:t> </w:t>
      </w:r>
      <w:r>
        <w:rPr>
          <w:color w:val="231F1F"/>
        </w:rPr>
        <w:t>con</w:t>
      </w:r>
      <w:r>
        <w:rPr>
          <w:color w:val="231F1F"/>
          <w:spacing w:val="-6"/>
        </w:rPr>
        <w:t> </w:t>
      </w:r>
      <w:r>
        <w:rPr>
          <w:color w:val="231F1F"/>
        </w:rPr>
        <w:t>clorhexidina</w:t>
      </w:r>
      <w:r>
        <w:rPr>
          <w:color w:val="231F1F"/>
          <w:spacing w:val="-8"/>
        </w:rPr>
        <w:t> </w:t>
      </w:r>
      <w:r>
        <w:rPr>
          <w:color w:val="231F1F"/>
        </w:rPr>
        <w:t>frente</w:t>
      </w:r>
      <w:r>
        <w:rPr>
          <w:color w:val="231F1F"/>
          <w:spacing w:val="-7"/>
        </w:rPr>
        <w:t> </w:t>
      </w:r>
      <w:r>
        <w:rPr>
          <w:color w:val="231F1F"/>
        </w:rPr>
        <w:t>a</w:t>
      </w:r>
      <w:r>
        <w:rPr>
          <w:color w:val="231F1F"/>
          <w:spacing w:val="-6"/>
        </w:rPr>
        <w:t> </w:t>
      </w:r>
      <w:r>
        <w:rPr>
          <w:color w:val="231F1F"/>
        </w:rPr>
        <w:t>agua</w:t>
      </w:r>
      <w:r>
        <w:rPr>
          <w:color w:val="231F1F"/>
          <w:spacing w:val="-8"/>
        </w:rPr>
        <w:t> </w:t>
      </w:r>
      <w:r>
        <w:rPr>
          <w:color w:val="231F1F"/>
          <w:spacing w:val="-2"/>
        </w:rPr>
        <w:t>estéril</w:t>
      </w:r>
    </w:p>
    <w:p>
      <w:pPr>
        <w:pStyle w:val="BodyText"/>
        <w:spacing w:line="261" w:lineRule="auto" w:before="191"/>
        <w:ind w:left="283" w:right="1371"/>
        <w:jc w:val="both"/>
      </w:pPr>
      <w:r>
        <w:rPr>
          <w:color w:val="231F1F"/>
        </w:rPr>
        <w:t>La</w:t>
      </w:r>
      <w:r>
        <w:rPr>
          <w:color w:val="231F1F"/>
          <w:spacing w:val="28"/>
        </w:rPr>
        <w:t> </w:t>
      </w:r>
      <w:r>
        <w:rPr>
          <w:color w:val="231F1F"/>
        </w:rPr>
        <w:t>RS</w:t>
      </w:r>
      <w:r>
        <w:rPr>
          <w:color w:val="231F1F"/>
          <w:spacing w:val="28"/>
        </w:rPr>
        <w:t> </w:t>
      </w:r>
      <w:r>
        <w:rPr>
          <w:color w:val="231F1F"/>
        </w:rPr>
        <w:t>(59)</w:t>
      </w:r>
      <w:r>
        <w:rPr>
          <w:color w:val="231F1F"/>
          <w:spacing w:val="29"/>
        </w:rPr>
        <w:t> </w:t>
      </w:r>
      <w:r>
        <w:rPr>
          <w:color w:val="231F1F"/>
        </w:rPr>
        <w:t>con</w:t>
      </w:r>
      <w:r>
        <w:rPr>
          <w:color w:val="231F1F"/>
          <w:spacing w:val="28"/>
        </w:rPr>
        <w:t> </w:t>
      </w:r>
      <w:r>
        <w:rPr>
          <w:color w:val="231F1F"/>
        </w:rPr>
        <w:t>un</w:t>
      </w:r>
      <w:r>
        <w:rPr>
          <w:color w:val="231F1F"/>
          <w:spacing w:val="28"/>
        </w:rPr>
        <w:t> </w:t>
      </w:r>
      <w:r>
        <w:rPr>
          <w:color w:val="231F1F"/>
        </w:rPr>
        <w:t>NE=1++</w:t>
      </w:r>
      <w:r>
        <w:rPr>
          <w:color w:val="231F1F"/>
          <w:spacing w:val="28"/>
        </w:rPr>
        <w:t> </w:t>
      </w:r>
      <w:r>
        <w:rPr>
          <w:color w:val="231F1F"/>
        </w:rPr>
        <w:t>incluyó</w:t>
      </w:r>
      <w:r>
        <w:rPr>
          <w:color w:val="231F1F"/>
          <w:spacing w:val="29"/>
        </w:rPr>
        <w:t> </w:t>
      </w:r>
      <w:r>
        <w:rPr>
          <w:color w:val="231F1F"/>
        </w:rPr>
        <w:t>tres</w:t>
      </w:r>
      <w:r>
        <w:rPr>
          <w:color w:val="231F1F"/>
          <w:spacing w:val="28"/>
        </w:rPr>
        <w:t> </w:t>
      </w:r>
      <w:r>
        <w:rPr>
          <w:color w:val="231F1F"/>
        </w:rPr>
        <w:t>ECAs</w:t>
      </w:r>
      <w:r>
        <w:rPr>
          <w:color w:val="231F1F"/>
          <w:spacing w:val="28"/>
        </w:rPr>
        <w:t> </w:t>
      </w:r>
      <w:r>
        <w:rPr>
          <w:color w:val="231F1F"/>
        </w:rPr>
        <w:t>realizados</w:t>
      </w:r>
      <w:r>
        <w:rPr>
          <w:color w:val="231F1F"/>
          <w:spacing w:val="29"/>
        </w:rPr>
        <w:t> </w:t>
      </w:r>
      <w:r>
        <w:rPr>
          <w:color w:val="231F1F"/>
        </w:rPr>
        <w:t>en</w:t>
      </w:r>
      <w:r>
        <w:rPr>
          <w:color w:val="231F1F"/>
          <w:spacing w:val="28"/>
        </w:rPr>
        <w:t> </w:t>
      </w:r>
      <w:r>
        <w:rPr>
          <w:color w:val="231F1F"/>
        </w:rPr>
        <w:t>USA,</w:t>
      </w:r>
      <w:r>
        <w:rPr>
          <w:color w:val="231F1F"/>
          <w:spacing w:val="28"/>
        </w:rPr>
        <w:t> </w:t>
      </w:r>
      <w:r>
        <w:rPr>
          <w:color w:val="231F1F"/>
        </w:rPr>
        <w:t>en</w:t>
      </w:r>
      <w:r>
        <w:rPr>
          <w:color w:val="231F1F"/>
          <w:spacing w:val="28"/>
        </w:rPr>
        <w:t> </w:t>
      </w:r>
      <w:r>
        <w:rPr>
          <w:color w:val="231F1F"/>
        </w:rPr>
        <w:t>los</w:t>
      </w:r>
      <w:r>
        <w:rPr>
          <w:color w:val="231F1F"/>
          <w:spacing w:val="28"/>
        </w:rPr>
        <w:t> </w:t>
      </w:r>
      <w:r>
        <w:rPr>
          <w:color w:val="231F1F"/>
        </w:rPr>
        <w:t>que se comparaba la irrigación vaginal con clorhexidina con la irrigación con agua estéril</w:t>
      </w:r>
      <w:r>
        <w:rPr>
          <w:color w:val="231F1F"/>
          <w:spacing w:val="22"/>
        </w:rPr>
        <w:t> </w:t>
      </w:r>
      <w:r>
        <w:rPr>
          <w:color w:val="231F1F"/>
        </w:rPr>
        <w:t>utilizada</w:t>
      </w:r>
      <w:r>
        <w:rPr>
          <w:color w:val="231F1F"/>
          <w:spacing w:val="24"/>
        </w:rPr>
        <w:t> </w:t>
      </w:r>
      <w:r>
        <w:rPr>
          <w:color w:val="231F1F"/>
        </w:rPr>
        <w:t>como</w:t>
      </w:r>
      <w:r>
        <w:rPr>
          <w:color w:val="231F1F"/>
          <w:spacing w:val="22"/>
        </w:rPr>
        <w:t> </w:t>
      </w:r>
      <w:r>
        <w:rPr>
          <w:color w:val="231F1F"/>
        </w:rPr>
        <w:t>control,</w:t>
      </w:r>
      <w:r>
        <w:rPr>
          <w:color w:val="231F1F"/>
          <w:spacing w:val="22"/>
        </w:rPr>
        <w:t> </w:t>
      </w:r>
      <w:r>
        <w:rPr>
          <w:color w:val="231F1F"/>
        </w:rPr>
        <w:t>en</w:t>
      </w:r>
      <w:r>
        <w:rPr>
          <w:color w:val="231F1F"/>
          <w:spacing w:val="22"/>
        </w:rPr>
        <w:t> </w:t>
      </w:r>
      <w:r>
        <w:rPr>
          <w:color w:val="231F1F"/>
        </w:rPr>
        <w:t>un</w:t>
      </w:r>
      <w:r>
        <w:rPr>
          <w:color w:val="231F1F"/>
          <w:spacing w:val="24"/>
        </w:rPr>
        <w:t> </w:t>
      </w:r>
      <w:r>
        <w:rPr>
          <w:color w:val="231F1F"/>
        </w:rPr>
        <w:t>total</w:t>
      </w:r>
      <w:r>
        <w:rPr>
          <w:color w:val="231F1F"/>
          <w:spacing w:val="22"/>
        </w:rPr>
        <w:t> </w:t>
      </w:r>
      <w:r>
        <w:rPr>
          <w:color w:val="231F1F"/>
        </w:rPr>
        <w:t>de</w:t>
      </w:r>
      <w:r>
        <w:rPr>
          <w:color w:val="231F1F"/>
          <w:spacing w:val="24"/>
        </w:rPr>
        <w:t> </w:t>
      </w:r>
      <w:r>
        <w:rPr>
          <w:color w:val="231F1F"/>
        </w:rPr>
        <w:t>3.012</w:t>
      </w:r>
      <w:r>
        <w:rPr>
          <w:color w:val="231F1F"/>
          <w:spacing w:val="22"/>
        </w:rPr>
        <w:t> </w:t>
      </w:r>
      <w:r>
        <w:rPr>
          <w:color w:val="231F1F"/>
        </w:rPr>
        <w:t>mujeres</w:t>
      </w:r>
      <w:r>
        <w:rPr>
          <w:color w:val="231F1F"/>
          <w:spacing w:val="24"/>
        </w:rPr>
        <w:t> </w:t>
      </w:r>
      <w:r>
        <w:rPr>
          <w:color w:val="231F1F"/>
        </w:rPr>
        <w:t>en</w:t>
      </w:r>
      <w:r>
        <w:rPr>
          <w:color w:val="231F1F"/>
          <w:spacing w:val="22"/>
        </w:rPr>
        <w:t> </w:t>
      </w:r>
      <w:r>
        <w:rPr>
          <w:color w:val="231F1F"/>
        </w:rPr>
        <w:t>trabajo</w:t>
      </w:r>
      <w:r>
        <w:rPr>
          <w:color w:val="231F1F"/>
          <w:spacing w:val="24"/>
        </w:rPr>
        <w:t> </w:t>
      </w:r>
      <w:r>
        <w:rPr>
          <w:color w:val="231F1F"/>
        </w:rPr>
        <w:t>de</w:t>
      </w:r>
      <w:r>
        <w:rPr>
          <w:color w:val="231F1F"/>
          <w:spacing w:val="22"/>
        </w:rPr>
        <w:t> </w:t>
      </w:r>
      <w:r>
        <w:rPr>
          <w:color w:val="231F1F"/>
        </w:rPr>
        <w:t>parto.</w:t>
      </w:r>
    </w:p>
    <w:p>
      <w:pPr>
        <w:pStyle w:val="BodyText"/>
        <w:tabs>
          <w:tab w:pos="7229" w:val="left" w:leader="none"/>
        </w:tabs>
        <w:spacing w:before="65"/>
        <w:ind w:right="439"/>
        <w:jc w:val="right"/>
        <w:rPr>
          <w:rFonts w:ascii="Arial MT"/>
          <w:sz w:val="18"/>
        </w:rPr>
      </w:pPr>
      <w:r>
        <w:rPr>
          <w:color w:val="231F1F"/>
        </w:rPr>
        <w:t>Los</w:t>
      </w:r>
      <w:r>
        <w:rPr>
          <w:color w:val="231F1F"/>
          <w:spacing w:val="38"/>
        </w:rPr>
        <w:t> </w:t>
      </w:r>
      <w:r>
        <w:rPr>
          <w:color w:val="231F1F"/>
        </w:rPr>
        <w:t>tres</w:t>
      </w:r>
      <w:r>
        <w:rPr>
          <w:color w:val="231F1F"/>
          <w:spacing w:val="41"/>
        </w:rPr>
        <w:t> </w:t>
      </w:r>
      <w:r>
        <w:rPr>
          <w:color w:val="231F1F"/>
        </w:rPr>
        <w:t>ensayos</w:t>
      </w:r>
      <w:r>
        <w:rPr>
          <w:color w:val="231F1F"/>
          <w:spacing w:val="40"/>
        </w:rPr>
        <w:t> </w:t>
      </w:r>
      <w:r>
        <w:rPr>
          <w:color w:val="231F1F"/>
        </w:rPr>
        <w:t>obtuvieron</w:t>
      </w:r>
      <w:r>
        <w:rPr>
          <w:color w:val="231F1F"/>
          <w:spacing w:val="41"/>
        </w:rPr>
        <w:t> </w:t>
      </w:r>
      <w:r>
        <w:rPr>
          <w:color w:val="231F1F"/>
        </w:rPr>
        <w:t>resultados</w:t>
      </w:r>
      <w:r>
        <w:rPr>
          <w:color w:val="231F1F"/>
          <w:spacing w:val="40"/>
        </w:rPr>
        <w:t> </w:t>
      </w:r>
      <w:r>
        <w:rPr>
          <w:color w:val="231F1F"/>
        </w:rPr>
        <w:t>con</w:t>
      </w:r>
      <w:r>
        <w:rPr>
          <w:color w:val="231F1F"/>
          <w:spacing w:val="41"/>
        </w:rPr>
        <w:t> </w:t>
      </w:r>
      <w:r>
        <w:rPr>
          <w:color w:val="231F1F"/>
        </w:rPr>
        <w:t>diferencias</w:t>
      </w:r>
      <w:r>
        <w:rPr>
          <w:color w:val="231F1F"/>
          <w:spacing w:val="40"/>
        </w:rPr>
        <w:t> </w:t>
      </w:r>
      <w:r>
        <w:rPr>
          <w:color w:val="231F1F"/>
        </w:rPr>
        <w:t>no</w:t>
      </w:r>
      <w:r>
        <w:rPr>
          <w:color w:val="231F1F"/>
          <w:spacing w:val="41"/>
        </w:rPr>
        <w:t> </w:t>
      </w:r>
      <w:r>
        <w:rPr>
          <w:color w:val="231F1F"/>
          <w:spacing w:val="-2"/>
        </w:rPr>
        <w:t>significativas</w:t>
      </w:r>
      <w:r>
        <w:rPr>
          <w:color w:val="231F1F"/>
        </w:rPr>
        <w:tab/>
      </w:r>
      <w:r>
        <w:rPr>
          <w:rFonts w:ascii="Arial MT"/>
          <w:color w:val="231F1F"/>
          <w:sz w:val="18"/>
        </w:rPr>
        <w:t>RS</w:t>
      </w:r>
      <w:r>
        <w:rPr>
          <w:rFonts w:ascii="Arial MT"/>
          <w:color w:val="231F1F"/>
          <w:spacing w:val="-12"/>
          <w:sz w:val="18"/>
        </w:rPr>
        <w:t> </w:t>
      </w:r>
      <w:r>
        <w:rPr>
          <w:rFonts w:ascii="Arial MT"/>
          <w:color w:val="231F1F"/>
          <w:spacing w:val="-5"/>
          <w:sz w:val="18"/>
        </w:rPr>
        <w:t>de</w:t>
      </w:r>
    </w:p>
    <w:p>
      <w:pPr>
        <w:pStyle w:val="BodyText"/>
        <w:tabs>
          <w:tab w:pos="7731" w:val="left" w:leader="none"/>
        </w:tabs>
        <w:spacing w:before="3"/>
        <w:ind w:right="435"/>
        <w:jc w:val="right"/>
        <w:rPr>
          <w:rFonts w:ascii="Arial MT"/>
          <w:position w:val="4"/>
          <w:sz w:val="18"/>
        </w:rPr>
      </w:pPr>
      <w:r>
        <w:rPr>
          <w:color w:val="231F1F"/>
          <w:w w:val="105"/>
        </w:rPr>
        <w:t>sobre</w:t>
      </w:r>
      <w:r>
        <w:rPr>
          <w:color w:val="231F1F"/>
          <w:spacing w:val="-4"/>
          <w:w w:val="105"/>
        </w:rPr>
        <w:t> </w:t>
      </w:r>
      <w:r>
        <w:rPr>
          <w:color w:val="231F1F"/>
          <w:w w:val="105"/>
        </w:rPr>
        <w:t>la</w:t>
      </w:r>
      <w:r>
        <w:rPr>
          <w:color w:val="231F1F"/>
          <w:spacing w:val="-1"/>
          <w:w w:val="105"/>
        </w:rPr>
        <w:t> </w:t>
      </w:r>
      <w:r>
        <w:rPr>
          <w:color w:val="231F1F"/>
          <w:w w:val="105"/>
        </w:rPr>
        <w:t>incidencia</w:t>
      </w:r>
      <w:r>
        <w:rPr>
          <w:color w:val="231F1F"/>
          <w:spacing w:val="-3"/>
          <w:w w:val="105"/>
        </w:rPr>
        <w:t> </w:t>
      </w:r>
      <w:r>
        <w:rPr>
          <w:color w:val="231F1F"/>
          <w:w w:val="105"/>
        </w:rPr>
        <w:t>de</w:t>
      </w:r>
      <w:r>
        <w:rPr>
          <w:color w:val="231F1F"/>
          <w:spacing w:val="-2"/>
          <w:w w:val="105"/>
        </w:rPr>
        <w:t> </w:t>
      </w:r>
      <w:r>
        <w:rPr>
          <w:color w:val="231F1F"/>
          <w:w w:val="105"/>
        </w:rPr>
        <w:t>corioamnionitis</w:t>
      </w:r>
      <w:r>
        <w:rPr>
          <w:color w:val="231F1F"/>
          <w:spacing w:val="-1"/>
          <w:w w:val="105"/>
        </w:rPr>
        <w:t> </w:t>
      </w:r>
      <w:r>
        <w:rPr>
          <w:color w:val="231F1F"/>
          <w:w w:val="105"/>
        </w:rPr>
        <w:t>(1.514/1.498</w:t>
      </w:r>
      <w:r>
        <w:rPr>
          <w:color w:val="231F1F"/>
          <w:spacing w:val="-2"/>
          <w:w w:val="105"/>
        </w:rPr>
        <w:t> </w:t>
      </w:r>
      <w:r>
        <w:rPr>
          <w:color w:val="231F1F"/>
          <w:w w:val="105"/>
        </w:rPr>
        <w:t>mujeres</w:t>
      </w:r>
      <w:r>
        <w:rPr>
          <w:color w:val="231F1F"/>
          <w:spacing w:val="-2"/>
          <w:w w:val="105"/>
        </w:rPr>
        <w:t> </w:t>
      </w:r>
      <w:r>
        <w:rPr>
          <w:color w:val="231F1F"/>
          <w:w w:val="105"/>
        </w:rPr>
        <w:t>en los</w:t>
      </w:r>
      <w:r>
        <w:rPr>
          <w:color w:val="231F1F"/>
          <w:spacing w:val="-1"/>
          <w:w w:val="105"/>
        </w:rPr>
        <w:t> </w:t>
      </w:r>
      <w:r>
        <w:rPr>
          <w:color w:val="231F1F"/>
          <w:w w:val="105"/>
        </w:rPr>
        <w:t>grupos</w:t>
      </w:r>
      <w:r>
        <w:rPr>
          <w:color w:val="231F1F"/>
          <w:spacing w:val="-1"/>
          <w:w w:val="105"/>
        </w:rPr>
        <w:t> </w:t>
      </w:r>
      <w:r>
        <w:rPr>
          <w:color w:val="231F1F"/>
          <w:spacing w:val="-5"/>
          <w:w w:val="105"/>
        </w:rPr>
        <w:t>de</w:t>
      </w:r>
      <w:r>
        <w:rPr>
          <w:color w:val="231F1F"/>
        </w:rPr>
        <w:tab/>
      </w:r>
      <w:r>
        <w:rPr>
          <w:rFonts w:ascii="Arial MT"/>
          <w:color w:val="231F1F"/>
          <w:spacing w:val="-4"/>
          <w:w w:val="105"/>
          <w:position w:val="4"/>
          <w:sz w:val="18"/>
        </w:rPr>
        <w:t>ECAs</w:t>
      </w:r>
    </w:p>
    <w:p>
      <w:pPr>
        <w:pStyle w:val="BodyText"/>
        <w:spacing w:after="0"/>
        <w:jc w:val="right"/>
        <w:rPr>
          <w:rFonts w:ascii="Arial MT"/>
          <w:position w:val="4"/>
          <w:sz w:val="18"/>
        </w:rPr>
        <w:sectPr>
          <w:pgSz w:w="11900" w:h="16840"/>
          <w:pgMar w:header="0" w:footer="622" w:top="1560" w:bottom="820" w:left="1417" w:right="1559"/>
        </w:sectPr>
      </w:pPr>
    </w:p>
    <w:p>
      <w:pPr>
        <w:pStyle w:val="BodyText"/>
        <w:spacing w:line="259" w:lineRule="auto" w:before="54"/>
        <w:ind w:left="283" w:right="38"/>
        <w:jc w:val="both"/>
      </w:pPr>
      <w:r>
        <w:rPr>
          <w:color w:val="231F1F"/>
        </w:rPr>
        <w:t>clorhexidina/control, respectivamente): RR 1,10 [IC 95% 0,86 a 1,42] e inci- dencia de endometritis posparto: RR 0,83 [IC 95% 0,61 a 1,13]. En los estudios</w:t>
      </w:r>
      <w:r>
        <w:rPr>
          <w:color w:val="231F1F"/>
          <w:spacing w:val="40"/>
        </w:rPr>
        <w:t> </w:t>
      </w:r>
      <w:r>
        <w:rPr>
          <w:color w:val="231F1F"/>
        </w:rPr>
        <w:t>no se recogieron datos acerca de otros resultados maternos o efectos secun-</w:t>
      </w:r>
      <w:r>
        <w:rPr>
          <w:color w:val="231F1F"/>
          <w:spacing w:val="80"/>
          <w:w w:val="150"/>
        </w:rPr>
        <w:t> </w:t>
      </w:r>
      <w:r>
        <w:rPr>
          <w:color w:val="231F1F"/>
        </w:rPr>
        <w:t>darios</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clorhexidina.</w:t>
      </w:r>
    </w:p>
    <w:p>
      <w:pPr>
        <w:spacing w:before="9"/>
        <w:ind w:left="283" w:right="0" w:firstLine="0"/>
        <w:jc w:val="left"/>
        <w:rPr>
          <w:rFonts w:ascii="Arial MT"/>
          <w:sz w:val="18"/>
        </w:rPr>
      </w:pPr>
      <w:r>
        <w:rPr/>
        <w:br w:type="column"/>
      </w:r>
      <w:r>
        <w:rPr>
          <w:rFonts w:ascii="Arial MT"/>
          <w:color w:val="231F1F"/>
          <w:spacing w:val="-5"/>
          <w:sz w:val="18"/>
        </w:rPr>
        <w:t>1++</w:t>
      </w:r>
    </w:p>
    <w:p>
      <w:pPr>
        <w:spacing w:after="0"/>
        <w:jc w:val="left"/>
        <w:rPr>
          <w:rFonts w:ascii="Arial MT"/>
          <w:sz w:val="18"/>
        </w:rPr>
        <w:sectPr>
          <w:type w:val="continuous"/>
          <w:pgSz w:w="11900" w:h="16840"/>
          <w:pgMar w:header="0" w:footer="622" w:top="560" w:bottom="280" w:left="1417" w:right="1559"/>
          <w:cols w:num="2" w:equalWidth="0">
            <w:col w:w="7592" w:space="183"/>
            <w:col w:w="1149"/>
          </w:cols>
        </w:sectPr>
      </w:pPr>
    </w:p>
    <w:p>
      <w:pPr>
        <w:pStyle w:val="BodyText"/>
        <w:tabs>
          <w:tab w:pos="7229" w:val="left" w:leader="none"/>
        </w:tabs>
        <w:spacing w:before="78"/>
        <w:ind w:right="440"/>
        <w:jc w:val="right"/>
        <w:rPr>
          <w:rFonts w:ascii="Arial MT" w:hAnsi="Arial MT"/>
          <w:sz w:val="18"/>
        </w:rPr>
      </w:pPr>
      <w:r>
        <w:rPr>
          <w:color w:val="231F1F"/>
          <w:w w:val="110"/>
        </w:rPr>
        <w:t>En</w:t>
      </w:r>
      <w:r>
        <w:rPr>
          <w:color w:val="231F1F"/>
          <w:spacing w:val="3"/>
          <w:w w:val="110"/>
        </w:rPr>
        <w:t> </w:t>
      </w:r>
      <w:r>
        <w:rPr>
          <w:color w:val="231F1F"/>
          <w:w w:val="110"/>
        </w:rPr>
        <w:t>relación</w:t>
      </w:r>
      <w:r>
        <w:rPr>
          <w:color w:val="231F1F"/>
          <w:spacing w:val="3"/>
          <w:w w:val="110"/>
        </w:rPr>
        <w:t> </w:t>
      </w:r>
      <w:r>
        <w:rPr>
          <w:color w:val="231F1F"/>
          <w:w w:val="110"/>
        </w:rPr>
        <w:t>a</w:t>
      </w:r>
      <w:r>
        <w:rPr>
          <w:color w:val="231F1F"/>
          <w:spacing w:val="4"/>
          <w:w w:val="110"/>
        </w:rPr>
        <w:t> </w:t>
      </w:r>
      <w:r>
        <w:rPr>
          <w:color w:val="231F1F"/>
          <w:w w:val="110"/>
        </w:rPr>
        <w:t>resultados</w:t>
      </w:r>
      <w:r>
        <w:rPr>
          <w:color w:val="231F1F"/>
          <w:spacing w:val="3"/>
          <w:w w:val="110"/>
        </w:rPr>
        <w:t> </w:t>
      </w:r>
      <w:r>
        <w:rPr>
          <w:color w:val="231F1F"/>
          <w:w w:val="110"/>
        </w:rPr>
        <w:t>en</w:t>
      </w:r>
      <w:r>
        <w:rPr>
          <w:color w:val="231F1F"/>
          <w:spacing w:val="6"/>
          <w:w w:val="110"/>
        </w:rPr>
        <w:t> </w:t>
      </w:r>
      <w:r>
        <w:rPr>
          <w:color w:val="231F1F"/>
          <w:w w:val="110"/>
        </w:rPr>
        <w:t>los</w:t>
      </w:r>
      <w:r>
        <w:rPr>
          <w:color w:val="231F1F"/>
          <w:spacing w:val="3"/>
          <w:w w:val="110"/>
        </w:rPr>
        <w:t> </w:t>
      </w:r>
      <w:r>
        <w:rPr>
          <w:color w:val="231F1F"/>
          <w:w w:val="110"/>
        </w:rPr>
        <w:t>RN,</w:t>
      </w:r>
      <w:r>
        <w:rPr>
          <w:color w:val="231F1F"/>
          <w:spacing w:val="2"/>
          <w:w w:val="110"/>
        </w:rPr>
        <w:t> </w:t>
      </w:r>
      <w:r>
        <w:rPr>
          <w:color w:val="231F1F"/>
          <w:w w:val="110"/>
        </w:rPr>
        <w:t>en</w:t>
      </w:r>
      <w:r>
        <w:rPr>
          <w:color w:val="231F1F"/>
          <w:spacing w:val="3"/>
          <w:w w:val="110"/>
        </w:rPr>
        <w:t> </w:t>
      </w:r>
      <w:r>
        <w:rPr>
          <w:color w:val="231F1F"/>
          <w:w w:val="110"/>
        </w:rPr>
        <w:t>los</w:t>
      </w:r>
      <w:r>
        <w:rPr>
          <w:color w:val="231F1F"/>
          <w:spacing w:val="6"/>
          <w:w w:val="110"/>
        </w:rPr>
        <w:t> </w:t>
      </w:r>
      <w:r>
        <w:rPr>
          <w:color w:val="231F1F"/>
          <w:w w:val="110"/>
        </w:rPr>
        <w:t>tres</w:t>
      </w:r>
      <w:r>
        <w:rPr>
          <w:color w:val="231F1F"/>
          <w:spacing w:val="3"/>
          <w:w w:val="110"/>
        </w:rPr>
        <w:t> </w:t>
      </w:r>
      <w:r>
        <w:rPr>
          <w:color w:val="231F1F"/>
          <w:w w:val="110"/>
        </w:rPr>
        <w:t>ensayos</w:t>
      </w:r>
      <w:r>
        <w:rPr>
          <w:color w:val="231F1F"/>
          <w:spacing w:val="3"/>
          <w:w w:val="110"/>
        </w:rPr>
        <w:t> </w:t>
      </w:r>
      <w:r>
        <w:rPr>
          <w:color w:val="231F1F"/>
          <w:w w:val="110"/>
        </w:rPr>
        <w:t>se</w:t>
      </w:r>
      <w:r>
        <w:rPr>
          <w:color w:val="231F1F"/>
          <w:spacing w:val="4"/>
          <w:w w:val="110"/>
        </w:rPr>
        <w:t> </w:t>
      </w:r>
      <w:r>
        <w:rPr>
          <w:color w:val="231F1F"/>
          <w:spacing w:val="-2"/>
          <w:w w:val="110"/>
        </w:rPr>
        <w:t>recogieron</w:t>
      </w:r>
      <w:r>
        <w:rPr>
          <w:color w:val="231F1F"/>
        </w:rPr>
        <w:tab/>
      </w:r>
      <w:r>
        <w:rPr>
          <w:rFonts w:ascii="Arial MT" w:hAnsi="Arial MT"/>
          <w:color w:val="231F1F"/>
          <w:sz w:val="18"/>
        </w:rPr>
        <w:t>RS</w:t>
      </w:r>
      <w:r>
        <w:rPr>
          <w:rFonts w:ascii="Arial MT" w:hAnsi="Arial MT"/>
          <w:color w:val="231F1F"/>
          <w:spacing w:val="-12"/>
          <w:sz w:val="18"/>
        </w:rPr>
        <w:t> </w:t>
      </w:r>
      <w:r>
        <w:rPr>
          <w:rFonts w:ascii="Arial MT" w:hAnsi="Arial MT"/>
          <w:color w:val="231F1F"/>
          <w:spacing w:val="-5"/>
          <w:w w:val="110"/>
          <w:sz w:val="18"/>
        </w:rPr>
        <w:t>de</w:t>
      </w:r>
    </w:p>
    <w:p>
      <w:pPr>
        <w:pStyle w:val="BodyText"/>
        <w:tabs>
          <w:tab w:pos="7706" w:val="left" w:leader="none"/>
        </w:tabs>
        <w:spacing w:before="3"/>
        <w:ind w:right="461"/>
        <w:jc w:val="right"/>
        <w:rPr>
          <w:rFonts w:ascii="Arial MT"/>
          <w:position w:val="4"/>
          <w:sz w:val="18"/>
        </w:rPr>
      </w:pPr>
      <w:r>
        <w:rPr>
          <w:color w:val="231F1F"/>
          <w:w w:val="105"/>
        </w:rPr>
        <w:t>datos</w:t>
      </w:r>
      <w:r>
        <w:rPr>
          <w:color w:val="231F1F"/>
          <w:spacing w:val="-2"/>
          <w:w w:val="105"/>
        </w:rPr>
        <w:t> </w:t>
      </w:r>
      <w:r>
        <w:rPr>
          <w:color w:val="231F1F"/>
          <w:w w:val="105"/>
        </w:rPr>
        <w:t>de</w:t>
      </w:r>
      <w:r>
        <w:rPr>
          <w:color w:val="231F1F"/>
          <w:spacing w:val="-1"/>
          <w:w w:val="105"/>
        </w:rPr>
        <w:t> </w:t>
      </w:r>
      <w:r>
        <w:rPr>
          <w:color w:val="231F1F"/>
          <w:w w:val="105"/>
        </w:rPr>
        <w:t>1.495</w:t>
      </w:r>
      <w:r>
        <w:rPr>
          <w:color w:val="231F1F"/>
          <w:spacing w:val="2"/>
          <w:w w:val="105"/>
        </w:rPr>
        <w:t> </w:t>
      </w:r>
      <w:r>
        <w:rPr>
          <w:color w:val="231F1F"/>
          <w:w w:val="105"/>
        </w:rPr>
        <w:t>y</w:t>
      </w:r>
      <w:r>
        <w:rPr>
          <w:color w:val="231F1F"/>
          <w:spacing w:val="2"/>
          <w:w w:val="105"/>
        </w:rPr>
        <w:t> </w:t>
      </w:r>
      <w:r>
        <w:rPr>
          <w:color w:val="231F1F"/>
          <w:w w:val="105"/>
        </w:rPr>
        <w:t>1.492</w:t>
      </w:r>
      <w:r>
        <w:rPr>
          <w:color w:val="231F1F"/>
          <w:spacing w:val="1"/>
          <w:w w:val="105"/>
        </w:rPr>
        <w:t> </w:t>
      </w:r>
      <w:r>
        <w:rPr>
          <w:color w:val="231F1F"/>
          <w:w w:val="105"/>
        </w:rPr>
        <w:t>neonatos en</w:t>
      </w:r>
      <w:r>
        <w:rPr>
          <w:color w:val="231F1F"/>
          <w:spacing w:val="2"/>
          <w:w w:val="105"/>
        </w:rPr>
        <w:t> </w:t>
      </w:r>
      <w:r>
        <w:rPr>
          <w:color w:val="231F1F"/>
          <w:w w:val="105"/>
        </w:rPr>
        <w:t>los grupos</w:t>
      </w:r>
      <w:r>
        <w:rPr>
          <w:color w:val="231F1F"/>
          <w:spacing w:val="1"/>
          <w:w w:val="105"/>
        </w:rPr>
        <w:t> </w:t>
      </w:r>
      <w:r>
        <w:rPr>
          <w:color w:val="231F1F"/>
          <w:w w:val="105"/>
        </w:rPr>
        <w:t>de clorhexidina</w:t>
      </w:r>
      <w:r>
        <w:rPr>
          <w:color w:val="231F1F"/>
          <w:spacing w:val="2"/>
          <w:w w:val="105"/>
        </w:rPr>
        <w:t> </w:t>
      </w:r>
      <w:r>
        <w:rPr>
          <w:color w:val="231F1F"/>
          <w:w w:val="105"/>
        </w:rPr>
        <w:t>o</w:t>
      </w:r>
      <w:r>
        <w:rPr>
          <w:color w:val="231F1F"/>
          <w:spacing w:val="2"/>
          <w:w w:val="105"/>
        </w:rPr>
        <w:t> </w:t>
      </w:r>
      <w:r>
        <w:rPr>
          <w:color w:val="231F1F"/>
          <w:w w:val="105"/>
        </w:rPr>
        <w:t>control,</w:t>
      </w:r>
      <w:r>
        <w:rPr>
          <w:color w:val="231F1F"/>
          <w:spacing w:val="1"/>
          <w:w w:val="105"/>
        </w:rPr>
        <w:t> </w:t>
      </w:r>
      <w:r>
        <w:rPr>
          <w:color w:val="231F1F"/>
          <w:spacing w:val="-4"/>
          <w:w w:val="105"/>
        </w:rPr>
        <w:t>res-</w:t>
      </w:r>
      <w:r>
        <w:rPr>
          <w:color w:val="231F1F"/>
        </w:rPr>
        <w:tab/>
      </w:r>
      <w:r>
        <w:rPr>
          <w:rFonts w:ascii="Arial MT"/>
          <w:color w:val="231F1F"/>
          <w:spacing w:val="-4"/>
          <w:w w:val="105"/>
          <w:position w:val="4"/>
          <w:sz w:val="18"/>
        </w:rPr>
        <w:t>ECAs</w:t>
      </w:r>
    </w:p>
    <w:p>
      <w:pPr>
        <w:pStyle w:val="BodyText"/>
        <w:spacing w:after="0"/>
        <w:jc w:val="right"/>
        <w:rPr>
          <w:rFonts w:ascii="Arial MT"/>
          <w:position w:val="4"/>
          <w:sz w:val="18"/>
        </w:rPr>
        <w:sectPr>
          <w:type w:val="continuous"/>
          <w:pgSz w:w="11900" w:h="16840"/>
          <w:pgMar w:header="0" w:footer="622" w:top="560" w:bottom="280" w:left="1417" w:right="1559"/>
        </w:sectPr>
      </w:pPr>
    </w:p>
    <w:p>
      <w:pPr>
        <w:pStyle w:val="BodyText"/>
        <w:spacing w:line="247" w:lineRule="auto" w:before="40"/>
        <w:ind w:left="283" w:right="40"/>
        <w:jc w:val="both"/>
      </w:pPr>
      <w:r>
        <w:rPr>
          <w:color w:val="231F1F"/>
          <w:w w:val="110"/>
        </w:rPr>
        <w:t>pectivamente.</w:t>
      </w:r>
      <w:r>
        <w:rPr>
          <w:color w:val="231F1F"/>
          <w:spacing w:val="-16"/>
          <w:w w:val="110"/>
        </w:rPr>
        <w:t> </w:t>
      </w:r>
      <w:r>
        <w:rPr>
          <w:color w:val="231F1F"/>
          <w:w w:val="110"/>
        </w:rPr>
        <w:t>No</w:t>
      </w:r>
      <w:r>
        <w:rPr>
          <w:color w:val="231F1F"/>
          <w:spacing w:val="-15"/>
          <w:w w:val="110"/>
        </w:rPr>
        <w:t> </w:t>
      </w:r>
      <w:r>
        <w:rPr>
          <w:color w:val="231F1F"/>
          <w:w w:val="110"/>
        </w:rPr>
        <w:t>se</w:t>
      </w:r>
      <w:r>
        <w:rPr>
          <w:color w:val="231F1F"/>
          <w:spacing w:val="-15"/>
          <w:w w:val="110"/>
        </w:rPr>
        <w:t> </w:t>
      </w:r>
      <w:r>
        <w:rPr>
          <w:color w:val="231F1F"/>
          <w:w w:val="110"/>
        </w:rPr>
        <w:t>encontraron</w:t>
      </w:r>
      <w:r>
        <w:rPr>
          <w:color w:val="231F1F"/>
          <w:spacing w:val="-14"/>
          <w:w w:val="110"/>
        </w:rPr>
        <w:t> </w:t>
      </w:r>
      <w:r>
        <w:rPr>
          <w:color w:val="231F1F"/>
          <w:w w:val="110"/>
        </w:rPr>
        <w:t>diferencias</w:t>
      </w:r>
      <w:r>
        <w:rPr>
          <w:color w:val="231F1F"/>
          <w:spacing w:val="-15"/>
          <w:w w:val="110"/>
        </w:rPr>
        <w:t> </w:t>
      </w:r>
      <w:r>
        <w:rPr>
          <w:color w:val="231F1F"/>
          <w:w w:val="110"/>
        </w:rPr>
        <w:t>estadísticamente</w:t>
      </w:r>
      <w:r>
        <w:rPr>
          <w:color w:val="231F1F"/>
          <w:spacing w:val="-15"/>
          <w:w w:val="110"/>
        </w:rPr>
        <w:t> </w:t>
      </w:r>
      <w:r>
        <w:rPr>
          <w:color w:val="231F1F"/>
          <w:w w:val="110"/>
        </w:rPr>
        <w:t>significativas entre los dos grupos, en relación al riesgo de neumonía neonatal (1 ensayo con</w:t>
      </w:r>
      <w:r>
        <w:rPr>
          <w:color w:val="231F1F"/>
          <w:spacing w:val="-12"/>
          <w:w w:val="110"/>
        </w:rPr>
        <w:t> </w:t>
      </w:r>
      <w:r>
        <w:rPr>
          <w:color w:val="231F1F"/>
          <w:w w:val="110"/>
        </w:rPr>
        <w:t>910</w:t>
      </w:r>
      <w:r>
        <w:rPr>
          <w:color w:val="231F1F"/>
          <w:spacing w:val="-12"/>
          <w:w w:val="110"/>
        </w:rPr>
        <w:t> </w:t>
      </w:r>
      <w:r>
        <w:rPr>
          <w:color w:val="231F1F"/>
          <w:w w:val="110"/>
        </w:rPr>
        <w:t>neonatos):</w:t>
      </w:r>
      <w:r>
        <w:rPr>
          <w:color w:val="231F1F"/>
          <w:spacing w:val="-13"/>
          <w:w w:val="110"/>
        </w:rPr>
        <w:t> </w:t>
      </w:r>
      <w:r>
        <w:rPr>
          <w:color w:val="231F1F"/>
          <w:w w:val="110"/>
        </w:rPr>
        <w:t>RR</w:t>
      </w:r>
      <w:r>
        <w:rPr>
          <w:color w:val="231F1F"/>
          <w:spacing w:val="-12"/>
          <w:w w:val="110"/>
        </w:rPr>
        <w:t> </w:t>
      </w:r>
      <w:r>
        <w:rPr>
          <w:color w:val="231F1F"/>
          <w:w w:val="110"/>
        </w:rPr>
        <w:t>de</w:t>
      </w:r>
      <w:r>
        <w:rPr>
          <w:color w:val="231F1F"/>
          <w:spacing w:val="-12"/>
          <w:w w:val="110"/>
        </w:rPr>
        <w:t> </w:t>
      </w:r>
      <w:r>
        <w:rPr>
          <w:color w:val="231F1F"/>
          <w:w w:val="110"/>
        </w:rPr>
        <w:t>0,33</w:t>
      </w:r>
      <w:r>
        <w:rPr>
          <w:color w:val="231F1F"/>
          <w:spacing w:val="-12"/>
          <w:w w:val="110"/>
        </w:rPr>
        <w:t> </w:t>
      </w:r>
      <w:r>
        <w:rPr>
          <w:color w:val="231F1F"/>
          <w:w w:val="110"/>
        </w:rPr>
        <w:t>[IC</w:t>
      </w:r>
      <w:r>
        <w:rPr>
          <w:color w:val="231F1F"/>
          <w:spacing w:val="-12"/>
          <w:w w:val="110"/>
        </w:rPr>
        <w:t> </w:t>
      </w:r>
      <w:r>
        <w:rPr>
          <w:color w:val="231F1F"/>
          <w:w w:val="110"/>
        </w:rPr>
        <w:t>95%</w:t>
      </w:r>
      <w:r>
        <w:rPr>
          <w:color w:val="231F1F"/>
          <w:spacing w:val="-12"/>
          <w:w w:val="110"/>
        </w:rPr>
        <w:t> </w:t>
      </w:r>
      <w:r>
        <w:rPr>
          <w:color w:val="231F1F"/>
          <w:w w:val="110"/>
        </w:rPr>
        <w:t>0,01</w:t>
      </w:r>
      <w:r>
        <w:rPr>
          <w:color w:val="231F1F"/>
          <w:spacing w:val="-12"/>
          <w:w w:val="110"/>
        </w:rPr>
        <w:t> </w:t>
      </w:r>
      <w:r>
        <w:rPr>
          <w:color w:val="231F1F"/>
          <w:w w:val="110"/>
        </w:rPr>
        <w:t>a</w:t>
      </w:r>
      <w:r>
        <w:rPr>
          <w:color w:val="231F1F"/>
          <w:spacing w:val="-12"/>
          <w:w w:val="110"/>
        </w:rPr>
        <w:t> </w:t>
      </w:r>
      <w:r>
        <w:rPr>
          <w:color w:val="231F1F"/>
          <w:w w:val="110"/>
        </w:rPr>
        <w:t>8,09],</w:t>
      </w:r>
      <w:r>
        <w:rPr>
          <w:color w:val="231F1F"/>
          <w:spacing w:val="-13"/>
          <w:w w:val="110"/>
        </w:rPr>
        <w:t> </w:t>
      </w:r>
      <w:r>
        <w:rPr>
          <w:color w:val="231F1F"/>
          <w:w w:val="110"/>
        </w:rPr>
        <w:t>meningitis</w:t>
      </w:r>
      <w:r>
        <w:rPr>
          <w:color w:val="231F1F"/>
          <w:spacing w:val="-13"/>
          <w:w w:val="110"/>
        </w:rPr>
        <w:t> </w:t>
      </w:r>
      <w:r>
        <w:rPr>
          <w:color w:val="231F1F"/>
          <w:w w:val="110"/>
        </w:rPr>
        <w:t>neonatal</w:t>
      </w:r>
      <w:r>
        <w:rPr>
          <w:color w:val="231F1F"/>
          <w:spacing w:val="-13"/>
          <w:w w:val="110"/>
        </w:rPr>
        <w:t> </w:t>
      </w:r>
      <w:r>
        <w:rPr>
          <w:color w:val="231F1F"/>
          <w:w w:val="110"/>
        </w:rPr>
        <w:t>(1 </w:t>
      </w:r>
      <w:r>
        <w:rPr>
          <w:color w:val="231F1F"/>
        </w:rPr>
        <w:t>ensayo con n=1.021): RR 0,34 [IC 95% 0,01 a 8,29], cultivos de sangre confir- </w:t>
      </w:r>
      <w:r>
        <w:rPr>
          <w:color w:val="231F1F"/>
          <w:w w:val="110"/>
        </w:rPr>
        <w:t>matorios</w:t>
      </w:r>
      <w:r>
        <w:rPr>
          <w:color w:val="231F1F"/>
          <w:spacing w:val="-8"/>
          <w:w w:val="110"/>
        </w:rPr>
        <w:t> </w:t>
      </w:r>
      <w:r>
        <w:rPr>
          <w:color w:val="231F1F"/>
          <w:w w:val="110"/>
        </w:rPr>
        <w:t>de</w:t>
      </w:r>
      <w:r>
        <w:rPr>
          <w:color w:val="231F1F"/>
          <w:spacing w:val="-7"/>
          <w:w w:val="110"/>
        </w:rPr>
        <w:t> </w:t>
      </w:r>
      <w:r>
        <w:rPr>
          <w:color w:val="231F1F"/>
          <w:w w:val="110"/>
        </w:rPr>
        <w:t>sepsis</w:t>
      </w:r>
      <w:r>
        <w:rPr>
          <w:color w:val="231F1F"/>
          <w:spacing w:val="-9"/>
          <w:w w:val="110"/>
        </w:rPr>
        <w:t> </w:t>
      </w:r>
      <w:r>
        <w:rPr>
          <w:color w:val="231F1F"/>
          <w:w w:val="110"/>
        </w:rPr>
        <w:t>(2</w:t>
      </w:r>
      <w:r>
        <w:rPr>
          <w:color w:val="231F1F"/>
          <w:spacing w:val="-7"/>
          <w:w w:val="110"/>
        </w:rPr>
        <w:t> </w:t>
      </w:r>
      <w:r>
        <w:rPr>
          <w:color w:val="231F1F"/>
          <w:w w:val="110"/>
        </w:rPr>
        <w:t>ensayos</w:t>
      </w:r>
      <w:r>
        <w:rPr>
          <w:color w:val="231F1F"/>
          <w:spacing w:val="-7"/>
          <w:w w:val="110"/>
        </w:rPr>
        <w:t> </w:t>
      </w:r>
      <w:r>
        <w:rPr>
          <w:color w:val="231F1F"/>
          <w:w w:val="110"/>
        </w:rPr>
        <w:t>con</w:t>
      </w:r>
      <w:r>
        <w:rPr>
          <w:color w:val="231F1F"/>
          <w:spacing w:val="-7"/>
          <w:w w:val="110"/>
        </w:rPr>
        <w:t> </w:t>
      </w:r>
      <w:r>
        <w:rPr>
          <w:color w:val="231F1F"/>
          <w:w w:val="110"/>
        </w:rPr>
        <w:t>n=2.077):</w:t>
      </w:r>
      <w:r>
        <w:rPr>
          <w:color w:val="231F1F"/>
          <w:spacing w:val="-7"/>
          <w:w w:val="110"/>
        </w:rPr>
        <w:t> </w:t>
      </w:r>
      <w:r>
        <w:rPr>
          <w:color w:val="231F1F"/>
          <w:w w:val="110"/>
        </w:rPr>
        <w:t>RR</w:t>
      </w:r>
      <w:r>
        <w:rPr>
          <w:color w:val="231F1F"/>
          <w:spacing w:val="-7"/>
          <w:w w:val="110"/>
        </w:rPr>
        <w:t> </w:t>
      </w:r>
      <w:r>
        <w:rPr>
          <w:color w:val="231F1F"/>
          <w:w w:val="110"/>
        </w:rPr>
        <w:t>0,75</w:t>
      </w:r>
      <w:r>
        <w:rPr>
          <w:color w:val="231F1F"/>
          <w:spacing w:val="-7"/>
          <w:w w:val="110"/>
        </w:rPr>
        <w:t> </w:t>
      </w:r>
      <w:r>
        <w:rPr>
          <w:color w:val="231F1F"/>
          <w:w w:val="110"/>
        </w:rPr>
        <w:t>[IC</w:t>
      </w:r>
      <w:r>
        <w:rPr>
          <w:color w:val="231F1F"/>
          <w:spacing w:val="-7"/>
          <w:w w:val="110"/>
        </w:rPr>
        <w:t> </w:t>
      </w:r>
      <w:r>
        <w:rPr>
          <w:color w:val="231F1F"/>
          <w:w w:val="110"/>
        </w:rPr>
        <w:t>95%</w:t>
      </w:r>
      <w:r>
        <w:rPr>
          <w:color w:val="231F1F"/>
          <w:spacing w:val="-5"/>
          <w:w w:val="110"/>
        </w:rPr>
        <w:t> </w:t>
      </w:r>
      <w:r>
        <w:rPr>
          <w:color w:val="231F1F"/>
          <w:w w:val="110"/>
        </w:rPr>
        <w:t>0,17</w:t>
      </w:r>
      <w:r>
        <w:rPr>
          <w:color w:val="231F1F"/>
          <w:spacing w:val="-8"/>
          <w:w w:val="110"/>
        </w:rPr>
        <w:t> </w:t>
      </w:r>
      <w:r>
        <w:rPr>
          <w:color w:val="231F1F"/>
          <w:w w:val="110"/>
        </w:rPr>
        <w:t>a</w:t>
      </w:r>
      <w:r>
        <w:rPr>
          <w:color w:val="231F1F"/>
          <w:spacing w:val="-7"/>
          <w:w w:val="110"/>
        </w:rPr>
        <w:t> </w:t>
      </w:r>
      <w:r>
        <w:rPr>
          <w:color w:val="231F1F"/>
          <w:w w:val="110"/>
        </w:rPr>
        <w:t>3,35],</w:t>
      </w:r>
    </w:p>
    <w:p>
      <w:pPr>
        <w:pStyle w:val="BodyText"/>
        <w:spacing w:line="247" w:lineRule="auto" w:before="8"/>
        <w:ind w:left="283" w:right="38"/>
        <w:jc w:val="both"/>
      </w:pPr>
      <w:r>
        <w:rPr>
          <w:color w:val="231F1F"/>
          <w:w w:val="105"/>
        </w:rPr>
        <w:t>mortalidad perinatal (2 ensayos con n=2.077): RR 1,00 [IC 95% 0,17 a 5,79]</w:t>
      </w:r>
      <w:r>
        <w:rPr>
          <w:color w:val="231F1F"/>
          <w:spacing w:val="40"/>
          <w:w w:val="105"/>
        </w:rPr>
        <w:t> </w:t>
      </w:r>
      <w:r>
        <w:rPr>
          <w:color w:val="231F1F"/>
          <w:w w:val="105"/>
        </w:rPr>
        <w:t>y riesgo de sepsis neonatal de (3 ensayos, n=2.987): RR 0,75 [95% IC 0,17 a 3,35]. También se observó una tendencia que sugería asociación entre el uso de</w:t>
      </w:r>
      <w:r>
        <w:rPr>
          <w:color w:val="231F1F"/>
          <w:spacing w:val="30"/>
          <w:w w:val="105"/>
        </w:rPr>
        <w:t> </w:t>
      </w:r>
      <w:r>
        <w:rPr>
          <w:color w:val="231F1F"/>
          <w:w w:val="105"/>
        </w:rPr>
        <w:t>clorhexidina</w:t>
      </w:r>
      <w:r>
        <w:rPr>
          <w:color w:val="231F1F"/>
          <w:spacing w:val="31"/>
          <w:w w:val="105"/>
        </w:rPr>
        <w:t> </w:t>
      </w:r>
      <w:r>
        <w:rPr>
          <w:color w:val="231F1F"/>
          <w:w w:val="105"/>
        </w:rPr>
        <w:t>vaginal</w:t>
      </w:r>
      <w:r>
        <w:rPr>
          <w:color w:val="231F1F"/>
          <w:spacing w:val="29"/>
          <w:w w:val="105"/>
        </w:rPr>
        <w:t> </w:t>
      </w:r>
      <w:r>
        <w:rPr>
          <w:color w:val="231F1F"/>
          <w:w w:val="105"/>
        </w:rPr>
        <w:t>durante</w:t>
      </w:r>
      <w:r>
        <w:rPr>
          <w:color w:val="231F1F"/>
          <w:spacing w:val="30"/>
          <w:w w:val="105"/>
        </w:rPr>
        <w:t> </w:t>
      </w:r>
      <w:r>
        <w:rPr>
          <w:color w:val="231F1F"/>
          <w:w w:val="105"/>
        </w:rPr>
        <w:t>el</w:t>
      </w:r>
      <w:r>
        <w:rPr>
          <w:color w:val="231F1F"/>
          <w:spacing w:val="30"/>
          <w:w w:val="105"/>
        </w:rPr>
        <w:t> </w:t>
      </w:r>
      <w:r>
        <w:rPr>
          <w:color w:val="231F1F"/>
          <w:w w:val="105"/>
        </w:rPr>
        <w:t>trabajo</w:t>
      </w:r>
      <w:r>
        <w:rPr>
          <w:color w:val="231F1F"/>
          <w:spacing w:val="30"/>
          <w:w w:val="105"/>
        </w:rPr>
        <w:t> </w:t>
      </w:r>
      <w:r>
        <w:rPr>
          <w:color w:val="231F1F"/>
          <w:w w:val="105"/>
        </w:rPr>
        <w:t>de</w:t>
      </w:r>
      <w:r>
        <w:rPr>
          <w:color w:val="231F1F"/>
          <w:spacing w:val="30"/>
          <w:w w:val="105"/>
        </w:rPr>
        <w:t> </w:t>
      </w:r>
      <w:r>
        <w:rPr>
          <w:color w:val="231F1F"/>
          <w:w w:val="105"/>
        </w:rPr>
        <w:t>parto</w:t>
      </w:r>
      <w:r>
        <w:rPr>
          <w:color w:val="231F1F"/>
          <w:spacing w:val="30"/>
          <w:w w:val="105"/>
        </w:rPr>
        <w:t> </w:t>
      </w:r>
      <w:r>
        <w:rPr>
          <w:color w:val="231F1F"/>
          <w:w w:val="105"/>
        </w:rPr>
        <w:t>y</w:t>
      </w:r>
      <w:r>
        <w:rPr>
          <w:color w:val="231F1F"/>
          <w:spacing w:val="30"/>
          <w:w w:val="105"/>
        </w:rPr>
        <w:t> </w:t>
      </w:r>
      <w:r>
        <w:rPr>
          <w:color w:val="231F1F"/>
          <w:w w:val="105"/>
        </w:rPr>
        <w:t>una</w:t>
      </w:r>
      <w:r>
        <w:rPr>
          <w:color w:val="231F1F"/>
          <w:spacing w:val="30"/>
          <w:w w:val="105"/>
        </w:rPr>
        <w:t> </w:t>
      </w:r>
      <w:r>
        <w:rPr>
          <w:color w:val="231F1F"/>
          <w:w w:val="105"/>
        </w:rPr>
        <w:t>mayor</w:t>
      </w:r>
      <w:r>
        <w:rPr>
          <w:color w:val="231F1F"/>
          <w:spacing w:val="30"/>
          <w:w w:val="105"/>
        </w:rPr>
        <w:t> </w:t>
      </w:r>
      <w:r>
        <w:rPr>
          <w:color w:val="231F1F"/>
          <w:w w:val="105"/>
        </w:rPr>
        <w:t>utilización de</w:t>
      </w:r>
      <w:r>
        <w:rPr>
          <w:color w:val="231F1F"/>
          <w:w w:val="105"/>
        </w:rPr>
        <w:t> antibióticos</w:t>
      </w:r>
      <w:r>
        <w:rPr>
          <w:color w:val="231F1F"/>
          <w:w w:val="105"/>
        </w:rPr>
        <w:t> en</w:t>
      </w:r>
      <w:r>
        <w:rPr>
          <w:color w:val="231F1F"/>
          <w:w w:val="105"/>
        </w:rPr>
        <w:t> neonatos,</w:t>
      </w:r>
      <w:r>
        <w:rPr>
          <w:color w:val="231F1F"/>
          <w:w w:val="105"/>
        </w:rPr>
        <w:t> si</w:t>
      </w:r>
      <w:r>
        <w:rPr>
          <w:color w:val="231F1F"/>
          <w:w w:val="105"/>
        </w:rPr>
        <w:t> bien</w:t>
      </w:r>
      <w:r>
        <w:rPr>
          <w:color w:val="231F1F"/>
          <w:w w:val="105"/>
        </w:rPr>
        <w:t> esta</w:t>
      </w:r>
      <w:r>
        <w:rPr>
          <w:color w:val="231F1F"/>
          <w:w w:val="105"/>
        </w:rPr>
        <w:t> asociación</w:t>
      </w:r>
      <w:r>
        <w:rPr>
          <w:color w:val="231F1F"/>
          <w:w w:val="105"/>
        </w:rPr>
        <w:t> no</w:t>
      </w:r>
      <w:r>
        <w:rPr>
          <w:color w:val="231F1F"/>
          <w:w w:val="105"/>
        </w:rPr>
        <w:t> fue</w:t>
      </w:r>
      <w:r>
        <w:rPr>
          <w:color w:val="231F1F"/>
          <w:w w:val="105"/>
        </w:rPr>
        <w:t> significativa</w:t>
      </w:r>
      <w:r>
        <w:rPr>
          <w:color w:val="231F1F"/>
          <w:w w:val="105"/>
        </w:rPr>
        <w:t> (RR 1,65</w:t>
      </w:r>
      <w:r>
        <w:rPr>
          <w:color w:val="231F1F"/>
          <w:w w:val="105"/>
        </w:rPr>
        <w:t> [95%</w:t>
      </w:r>
      <w:r>
        <w:rPr>
          <w:color w:val="231F1F"/>
          <w:w w:val="105"/>
        </w:rPr>
        <w:t> IC</w:t>
      </w:r>
      <w:r>
        <w:rPr>
          <w:color w:val="231F1F"/>
          <w:w w:val="105"/>
        </w:rPr>
        <w:t> 0,73</w:t>
      </w:r>
      <w:r>
        <w:rPr>
          <w:color w:val="231F1F"/>
          <w:w w:val="105"/>
        </w:rPr>
        <w:t> a</w:t>
      </w:r>
      <w:r>
        <w:rPr>
          <w:color w:val="231F1F"/>
          <w:w w:val="105"/>
        </w:rPr>
        <w:t> 3,74]).</w:t>
      </w:r>
      <w:r>
        <w:rPr>
          <w:color w:val="231F1F"/>
          <w:w w:val="105"/>
        </w:rPr>
        <w:t> No</w:t>
      </w:r>
      <w:r>
        <w:rPr>
          <w:color w:val="231F1F"/>
          <w:w w:val="105"/>
        </w:rPr>
        <w:t> se</w:t>
      </w:r>
      <w:r>
        <w:rPr>
          <w:color w:val="231F1F"/>
          <w:w w:val="105"/>
        </w:rPr>
        <w:t> estudiaron</w:t>
      </w:r>
      <w:r>
        <w:rPr>
          <w:color w:val="231F1F"/>
          <w:w w:val="105"/>
        </w:rPr>
        <w:t> otros</w:t>
      </w:r>
      <w:r>
        <w:rPr>
          <w:color w:val="231F1F"/>
          <w:w w:val="105"/>
        </w:rPr>
        <w:t> resultados</w:t>
      </w:r>
      <w:r>
        <w:rPr>
          <w:color w:val="231F1F"/>
          <w:w w:val="105"/>
        </w:rPr>
        <w:t> neonatales</w:t>
      </w:r>
      <w:r>
        <w:rPr>
          <w:color w:val="231F1F"/>
          <w:w w:val="105"/>
        </w:rPr>
        <w:t> o efectos secundarios de la clorhexidina.</w:t>
      </w:r>
    </w:p>
    <w:p>
      <w:pPr>
        <w:spacing w:before="5"/>
        <w:ind w:left="283" w:right="0" w:firstLine="0"/>
        <w:jc w:val="left"/>
        <w:rPr>
          <w:rFonts w:ascii="Arial MT"/>
          <w:sz w:val="18"/>
        </w:rPr>
      </w:pPr>
      <w:r>
        <w:rPr/>
        <w:br w:type="column"/>
      </w:r>
      <w:r>
        <w:rPr>
          <w:rFonts w:ascii="Arial MT"/>
          <w:color w:val="231F1F"/>
          <w:spacing w:val="-5"/>
          <w:sz w:val="18"/>
        </w:rPr>
        <w:t>1++</w:t>
      </w:r>
    </w:p>
    <w:p>
      <w:pPr>
        <w:spacing w:after="0"/>
        <w:jc w:val="left"/>
        <w:rPr>
          <w:rFonts w:ascii="Arial MT"/>
          <w:sz w:val="18"/>
        </w:rPr>
        <w:sectPr>
          <w:type w:val="continuous"/>
          <w:pgSz w:w="11900" w:h="16840"/>
          <w:pgMar w:header="0" w:footer="622" w:top="560" w:bottom="280" w:left="1417" w:right="1559"/>
          <w:cols w:num="2" w:equalWidth="0">
            <w:col w:w="7591" w:space="184"/>
            <w:col w:w="1149"/>
          </w:cols>
        </w:sectPr>
      </w:pPr>
    </w:p>
    <w:p>
      <w:pPr>
        <w:pStyle w:val="Heading5"/>
        <w:spacing w:before="82"/>
        <w:jc w:val="both"/>
      </w:pPr>
      <w:r>
        <w:rPr>
          <w:color w:val="231F1F"/>
        </w:rPr>
        <w:t>Lavado</w:t>
      </w:r>
      <w:r>
        <w:rPr>
          <w:color w:val="231F1F"/>
          <w:spacing w:val="-9"/>
        </w:rPr>
        <w:t> </w:t>
      </w:r>
      <w:r>
        <w:rPr>
          <w:color w:val="231F1F"/>
        </w:rPr>
        <w:t>perineal</w:t>
      </w:r>
      <w:r>
        <w:rPr>
          <w:color w:val="231F1F"/>
          <w:spacing w:val="-5"/>
        </w:rPr>
        <w:t> </w:t>
      </w:r>
      <w:r>
        <w:rPr>
          <w:color w:val="231F1F"/>
        </w:rPr>
        <w:t>con</w:t>
      </w:r>
      <w:r>
        <w:rPr>
          <w:color w:val="231F1F"/>
          <w:spacing w:val="-2"/>
        </w:rPr>
        <w:t> </w:t>
      </w:r>
      <w:r>
        <w:rPr>
          <w:color w:val="231F1F"/>
        </w:rPr>
        <w:t>cetrimida/clorhexidina</w:t>
      </w:r>
      <w:r>
        <w:rPr>
          <w:color w:val="231F1F"/>
          <w:spacing w:val="-4"/>
        </w:rPr>
        <w:t> </w:t>
      </w:r>
      <w:r>
        <w:rPr>
          <w:color w:val="231F1F"/>
        </w:rPr>
        <w:t>frente</w:t>
      </w:r>
      <w:r>
        <w:rPr>
          <w:color w:val="231F1F"/>
          <w:spacing w:val="-5"/>
        </w:rPr>
        <w:t> </w:t>
      </w:r>
      <w:r>
        <w:rPr>
          <w:color w:val="231F1F"/>
        </w:rPr>
        <w:t>a</w:t>
      </w:r>
      <w:r>
        <w:rPr>
          <w:color w:val="231F1F"/>
          <w:spacing w:val="-2"/>
        </w:rPr>
        <w:t> </w:t>
      </w:r>
      <w:r>
        <w:rPr>
          <w:color w:val="231F1F"/>
          <w:spacing w:val="-4"/>
        </w:rPr>
        <w:t>agua</w:t>
      </w:r>
    </w:p>
    <w:p>
      <w:pPr>
        <w:pStyle w:val="BodyText"/>
        <w:spacing w:line="249" w:lineRule="auto" w:before="195"/>
        <w:ind w:left="283" w:right="1368"/>
        <w:jc w:val="both"/>
      </w:pPr>
      <w:r>
        <w:rPr>
          <w:color w:val="231F1F"/>
          <w:spacing w:val="-2"/>
          <w:w w:val="110"/>
        </w:rPr>
        <w:t>Un</w:t>
      </w:r>
      <w:r>
        <w:rPr>
          <w:color w:val="231F1F"/>
          <w:spacing w:val="-9"/>
          <w:w w:val="110"/>
        </w:rPr>
        <w:t> </w:t>
      </w:r>
      <w:r>
        <w:rPr>
          <w:color w:val="231F1F"/>
          <w:spacing w:val="-2"/>
          <w:w w:val="110"/>
        </w:rPr>
        <w:t>estudio</w:t>
      </w:r>
      <w:r>
        <w:rPr>
          <w:color w:val="231F1F"/>
          <w:spacing w:val="-9"/>
          <w:w w:val="110"/>
        </w:rPr>
        <w:t> </w:t>
      </w:r>
      <w:r>
        <w:rPr>
          <w:color w:val="231F1F"/>
          <w:spacing w:val="-2"/>
          <w:w w:val="110"/>
        </w:rPr>
        <w:t>de</w:t>
      </w:r>
      <w:r>
        <w:rPr>
          <w:color w:val="231F1F"/>
          <w:spacing w:val="-9"/>
          <w:w w:val="110"/>
        </w:rPr>
        <w:t> </w:t>
      </w:r>
      <w:r>
        <w:rPr>
          <w:color w:val="231F1F"/>
          <w:spacing w:val="-2"/>
          <w:w w:val="110"/>
        </w:rPr>
        <w:t>cohortes</w:t>
      </w:r>
      <w:r>
        <w:rPr>
          <w:color w:val="231F1F"/>
          <w:spacing w:val="-9"/>
          <w:w w:val="110"/>
        </w:rPr>
        <w:t> </w:t>
      </w:r>
      <w:r>
        <w:rPr>
          <w:color w:val="231F1F"/>
          <w:spacing w:val="-2"/>
          <w:w w:val="110"/>
        </w:rPr>
        <w:t>(60)</w:t>
      </w:r>
      <w:r>
        <w:rPr>
          <w:color w:val="231F1F"/>
          <w:spacing w:val="-9"/>
          <w:w w:val="110"/>
        </w:rPr>
        <w:t> </w:t>
      </w:r>
      <w:r>
        <w:rPr>
          <w:color w:val="231F1F"/>
          <w:spacing w:val="-2"/>
          <w:w w:val="110"/>
        </w:rPr>
        <w:t>realizado</w:t>
      </w:r>
      <w:r>
        <w:rPr>
          <w:color w:val="231F1F"/>
          <w:spacing w:val="-9"/>
          <w:w w:val="110"/>
        </w:rPr>
        <w:t> </w:t>
      </w:r>
      <w:r>
        <w:rPr>
          <w:color w:val="231F1F"/>
          <w:spacing w:val="-2"/>
          <w:w w:val="110"/>
        </w:rPr>
        <w:t>en</w:t>
      </w:r>
      <w:r>
        <w:rPr>
          <w:color w:val="231F1F"/>
          <w:spacing w:val="-9"/>
          <w:w w:val="110"/>
        </w:rPr>
        <w:t> </w:t>
      </w:r>
      <w:r>
        <w:rPr>
          <w:color w:val="231F1F"/>
          <w:spacing w:val="-2"/>
          <w:w w:val="110"/>
        </w:rPr>
        <w:t>Gran</w:t>
      </w:r>
      <w:r>
        <w:rPr>
          <w:color w:val="231F1F"/>
          <w:spacing w:val="-9"/>
          <w:w w:val="110"/>
        </w:rPr>
        <w:t> </w:t>
      </w:r>
      <w:r>
        <w:rPr>
          <w:color w:val="231F1F"/>
          <w:spacing w:val="-2"/>
          <w:w w:val="110"/>
        </w:rPr>
        <w:t>Bretaña</w:t>
      </w:r>
      <w:r>
        <w:rPr>
          <w:color w:val="231F1F"/>
          <w:spacing w:val="-9"/>
          <w:w w:val="110"/>
        </w:rPr>
        <w:t> </w:t>
      </w:r>
      <w:r>
        <w:rPr>
          <w:color w:val="231F1F"/>
          <w:spacing w:val="-2"/>
          <w:w w:val="110"/>
        </w:rPr>
        <w:t>incluyó</w:t>
      </w:r>
      <w:r>
        <w:rPr>
          <w:color w:val="231F1F"/>
          <w:spacing w:val="-9"/>
          <w:w w:val="110"/>
        </w:rPr>
        <w:t> </w:t>
      </w:r>
      <w:r>
        <w:rPr>
          <w:color w:val="231F1F"/>
          <w:spacing w:val="-2"/>
          <w:w w:val="110"/>
        </w:rPr>
        <w:t>a</w:t>
      </w:r>
      <w:r>
        <w:rPr>
          <w:color w:val="231F1F"/>
          <w:spacing w:val="-9"/>
          <w:w w:val="110"/>
        </w:rPr>
        <w:t> </w:t>
      </w:r>
      <w:r>
        <w:rPr>
          <w:color w:val="231F1F"/>
          <w:spacing w:val="-2"/>
          <w:w w:val="110"/>
        </w:rPr>
        <w:t>3.905</w:t>
      </w:r>
      <w:r>
        <w:rPr>
          <w:color w:val="231F1F"/>
          <w:spacing w:val="-9"/>
          <w:w w:val="110"/>
        </w:rPr>
        <w:t> </w:t>
      </w:r>
      <w:r>
        <w:rPr>
          <w:color w:val="231F1F"/>
          <w:spacing w:val="-2"/>
          <w:w w:val="110"/>
        </w:rPr>
        <w:t>muje- res</w:t>
      </w:r>
      <w:r>
        <w:rPr>
          <w:color w:val="231F1F"/>
          <w:spacing w:val="-8"/>
          <w:w w:val="110"/>
        </w:rPr>
        <w:t> </w:t>
      </w:r>
      <w:r>
        <w:rPr>
          <w:color w:val="231F1F"/>
          <w:spacing w:val="-2"/>
          <w:w w:val="110"/>
        </w:rPr>
        <w:t>en</w:t>
      </w:r>
      <w:r>
        <w:rPr>
          <w:color w:val="231F1F"/>
          <w:spacing w:val="-7"/>
          <w:w w:val="110"/>
        </w:rPr>
        <w:t> </w:t>
      </w:r>
      <w:r>
        <w:rPr>
          <w:color w:val="231F1F"/>
          <w:spacing w:val="-2"/>
          <w:w w:val="110"/>
        </w:rPr>
        <w:t>las</w:t>
      </w:r>
      <w:r>
        <w:rPr>
          <w:color w:val="231F1F"/>
          <w:spacing w:val="-7"/>
          <w:w w:val="110"/>
        </w:rPr>
        <w:t> </w:t>
      </w:r>
      <w:r>
        <w:rPr>
          <w:color w:val="231F1F"/>
          <w:spacing w:val="-2"/>
          <w:w w:val="110"/>
        </w:rPr>
        <w:t>que</w:t>
      </w:r>
      <w:r>
        <w:rPr>
          <w:color w:val="231F1F"/>
          <w:spacing w:val="-7"/>
          <w:w w:val="110"/>
        </w:rPr>
        <w:t> </w:t>
      </w:r>
      <w:r>
        <w:rPr>
          <w:color w:val="231F1F"/>
          <w:spacing w:val="-2"/>
          <w:w w:val="110"/>
        </w:rPr>
        <w:t>se</w:t>
      </w:r>
      <w:r>
        <w:rPr>
          <w:color w:val="231F1F"/>
          <w:spacing w:val="-7"/>
          <w:w w:val="110"/>
        </w:rPr>
        <w:t> </w:t>
      </w:r>
      <w:r>
        <w:rPr>
          <w:color w:val="231F1F"/>
          <w:spacing w:val="-2"/>
          <w:w w:val="110"/>
        </w:rPr>
        <w:t>comparaba</w:t>
      </w:r>
      <w:r>
        <w:rPr>
          <w:color w:val="231F1F"/>
          <w:spacing w:val="-7"/>
          <w:w w:val="110"/>
        </w:rPr>
        <w:t> </w:t>
      </w:r>
      <w:r>
        <w:rPr>
          <w:color w:val="231F1F"/>
          <w:spacing w:val="-2"/>
          <w:w w:val="110"/>
        </w:rPr>
        <w:t>la</w:t>
      </w:r>
      <w:r>
        <w:rPr>
          <w:color w:val="231F1F"/>
          <w:spacing w:val="-7"/>
          <w:w w:val="110"/>
        </w:rPr>
        <w:t> </w:t>
      </w:r>
      <w:r>
        <w:rPr>
          <w:color w:val="231F1F"/>
          <w:spacing w:val="-2"/>
          <w:w w:val="110"/>
        </w:rPr>
        <w:t>cetrimida/clorhexidina</w:t>
      </w:r>
      <w:r>
        <w:rPr>
          <w:color w:val="231F1F"/>
          <w:spacing w:val="-8"/>
          <w:w w:val="110"/>
        </w:rPr>
        <w:t> </w:t>
      </w:r>
      <w:r>
        <w:rPr>
          <w:color w:val="231F1F"/>
          <w:spacing w:val="-2"/>
          <w:w w:val="110"/>
        </w:rPr>
        <w:t>para</w:t>
      </w:r>
      <w:r>
        <w:rPr>
          <w:color w:val="231F1F"/>
          <w:spacing w:val="-7"/>
          <w:w w:val="110"/>
        </w:rPr>
        <w:t> </w:t>
      </w:r>
      <w:r>
        <w:rPr>
          <w:color w:val="231F1F"/>
          <w:spacing w:val="-2"/>
          <w:w w:val="110"/>
        </w:rPr>
        <w:t>el</w:t>
      </w:r>
      <w:r>
        <w:rPr>
          <w:color w:val="231F1F"/>
          <w:spacing w:val="-8"/>
          <w:w w:val="110"/>
        </w:rPr>
        <w:t> </w:t>
      </w:r>
      <w:r>
        <w:rPr>
          <w:color w:val="231F1F"/>
          <w:spacing w:val="-2"/>
          <w:w w:val="110"/>
        </w:rPr>
        <w:t>lavado</w:t>
      </w:r>
      <w:r>
        <w:rPr>
          <w:color w:val="231F1F"/>
          <w:spacing w:val="-7"/>
          <w:w w:val="110"/>
        </w:rPr>
        <w:t> </w:t>
      </w:r>
      <w:r>
        <w:rPr>
          <w:color w:val="231F1F"/>
          <w:spacing w:val="-2"/>
          <w:w w:val="110"/>
        </w:rPr>
        <w:t>perineal </w:t>
      </w:r>
      <w:r>
        <w:rPr>
          <w:color w:val="231F1F"/>
          <w:w w:val="110"/>
        </w:rPr>
        <w:t>durante</w:t>
      </w:r>
      <w:r>
        <w:rPr>
          <w:color w:val="231F1F"/>
          <w:spacing w:val="-14"/>
          <w:w w:val="110"/>
        </w:rPr>
        <w:t> </w:t>
      </w:r>
      <w:r>
        <w:rPr>
          <w:color w:val="231F1F"/>
          <w:w w:val="110"/>
        </w:rPr>
        <w:t>el</w:t>
      </w:r>
      <w:r>
        <w:rPr>
          <w:color w:val="231F1F"/>
          <w:spacing w:val="-14"/>
          <w:w w:val="110"/>
        </w:rPr>
        <w:t> </w:t>
      </w:r>
      <w:r>
        <w:rPr>
          <w:color w:val="231F1F"/>
          <w:w w:val="110"/>
        </w:rPr>
        <w:t>trabajo</w:t>
      </w:r>
      <w:r>
        <w:rPr>
          <w:color w:val="231F1F"/>
          <w:spacing w:val="-13"/>
          <w:w w:val="110"/>
        </w:rPr>
        <w:t> </w:t>
      </w:r>
      <w:r>
        <w:rPr>
          <w:color w:val="231F1F"/>
          <w:w w:val="110"/>
        </w:rPr>
        <w:t>de</w:t>
      </w:r>
      <w:r>
        <w:rPr>
          <w:color w:val="231F1F"/>
          <w:spacing w:val="-13"/>
          <w:w w:val="110"/>
        </w:rPr>
        <w:t> </w:t>
      </w:r>
      <w:r>
        <w:rPr>
          <w:color w:val="231F1F"/>
          <w:w w:val="110"/>
        </w:rPr>
        <w:t>parto</w:t>
      </w:r>
      <w:r>
        <w:rPr>
          <w:color w:val="231F1F"/>
          <w:spacing w:val="-13"/>
          <w:w w:val="110"/>
        </w:rPr>
        <w:t> </w:t>
      </w:r>
      <w:r>
        <w:rPr>
          <w:color w:val="231F1F"/>
          <w:w w:val="110"/>
        </w:rPr>
        <w:t>con</w:t>
      </w:r>
      <w:r>
        <w:rPr>
          <w:color w:val="231F1F"/>
          <w:spacing w:val="-13"/>
          <w:w w:val="110"/>
        </w:rPr>
        <w:t> </w:t>
      </w:r>
      <w:r>
        <w:rPr>
          <w:color w:val="231F1F"/>
          <w:w w:val="110"/>
        </w:rPr>
        <w:t>el</w:t>
      </w:r>
      <w:r>
        <w:rPr>
          <w:color w:val="231F1F"/>
          <w:spacing w:val="-14"/>
          <w:w w:val="110"/>
        </w:rPr>
        <w:t> </w:t>
      </w:r>
      <w:r>
        <w:rPr>
          <w:color w:val="231F1F"/>
          <w:w w:val="110"/>
        </w:rPr>
        <w:t>agua</w:t>
      </w:r>
      <w:r>
        <w:rPr>
          <w:color w:val="231F1F"/>
          <w:spacing w:val="-13"/>
          <w:w w:val="110"/>
        </w:rPr>
        <w:t> </w:t>
      </w:r>
      <w:r>
        <w:rPr>
          <w:color w:val="231F1F"/>
          <w:w w:val="110"/>
        </w:rPr>
        <w:t>del</w:t>
      </w:r>
      <w:r>
        <w:rPr>
          <w:color w:val="231F1F"/>
          <w:spacing w:val="-14"/>
          <w:w w:val="110"/>
        </w:rPr>
        <w:t> </w:t>
      </w:r>
      <w:r>
        <w:rPr>
          <w:color w:val="231F1F"/>
          <w:w w:val="110"/>
        </w:rPr>
        <w:t>grifo.</w:t>
      </w:r>
      <w:r>
        <w:rPr>
          <w:color w:val="231F1F"/>
          <w:spacing w:val="-14"/>
          <w:w w:val="110"/>
        </w:rPr>
        <w:t> </w:t>
      </w:r>
      <w:r>
        <w:rPr>
          <w:color w:val="231F1F"/>
          <w:w w:val="110"/>
        </w:rPr>
        <w:t>La</w:t>
      </w:r>
      <w:r>
        <w:rPr>
          <w:color w:val="231F1F"/>
          <w:spacing w:val="-13"/>
          <w:w w:val="110"/>
        </w:rPr>
        <w:t> </w:t>
      </w:r>
      <w:r>
        <w:rPr>
          <w:color w:val="231F1F"/>
          <w:w w:val="110"/>
        </w:rPr>
        <w:t>asignación</w:t>
      </w:r>
      <w:r>
        <w:rPr>
          <w:color w:val="231F1F"/>
          <w:spacing w:val="-13"/>
          <w:w w:val="110"/>
        </w:rPr>
        <w:t> </w:t>
      </w:r>
      <w:r>
        <w:rPr>
          <w:color w:val="231F1F"/>
          <w:w w:val="110"/>
        </w:rPr>
        <w:t>al</w:t>
      </w:r>
      <w:r>
        <w:rPr>
          <w:color w:val="231F1F"/>
          <w:spacing w:val="-14"/>
          <w:w w:val="110"/>
        </w:rPr>
        <w:t> </w:t>
      </w:r>
      <w:r>
        <w:rPr>
          <w:color w:val="231F1F"/>
          <w:w w:val="110"/>
        </w:rPr>
        <w:t>grupo</w:t>
      </w:r>
      <w:r>
        <w:rPr>
          <w:color w:val="231F1F"/>
          <w:spacing w:val="-13"/>
          <w:w w:val="110"/>
        </w:rPr>
        <w:t> </w:t>
      </w:r>
      <w:r>
        <w:rPr>
          <w:color w:val="231F1F"/>
          <w:w w:val="110"/>
        </w:rPr>
        <w:t>con- trol</w:t>
      </w:r>
      <w:r>
        <w:rPr>
          <w:color w:val="231F1F"/>
          <w:spacing w:val="-15"/>
          <w:w w:val="110"/>
        </w:rPr>
        <w:t> </w:t>
      </w:r>
      <w:r>
        <w:rPr>
          <w:color w:val="231F1F"/>
          <w:w w:val="110"/>
        </w:rPr>
        <w:t>o</w:t>
      </w:r>
      <w:r>
        <w:rPr>
          <w:color w:val="231F1F"/>
          <w:spacing w:val="-14"/>
          <w:w w:val="110"/>
        </w:rPr>
        <w:t> </w:t>
      </w:r>
      <w:r>
        <w:rPr>
          <w:color w:val="231F1F"/>
          <w:w w:val="110"/>
        </w:rPr>
        <w:t>de</w:t>
      </w:r>
      <w:r>
        <w:rPr>
          <w:color w:val="231F1F"/>
          <w:spacing w:val="-14"/>
          <w:w w:val="110"/>
        </w:rPr>
        <w:t> </w:t>
      </w:r>
      <w:r>
        <w:rPr>
          <w:color w:val="231F1F"/>
          <w:w w:val="110"/>
        </w:rPr>
        <w:t>intervención</w:t>
      </w:r>
      <w:r>
        <w:rPr>
          <w:color w:val="231F1F"/>
          <w:spacing w:val="-14"/>
          <w:w w:val="110"/>
        </w:rPr>
        <w:t> </w:t>
      </w:r>
      <w:r>
        <w:rPr>
          <w:color w:val="231F1F"/>
          <w:w w:val="110"/>
        </w:rPr>
        <w:t>fue</w:t>
      </w:r>
      <w:r>
        <w:rPr>
          <w:color w:val="231F1F"/>
          <w:spacing w:val="-14"/>
          <w:w w:val="110"/>
        </w:rPr>
        <w:t> </w:t>
      </w:r>
      <w:r>
        <w:rPr>
          <w:color w:val="231F1F"/>
          <w:w w:val="110"/>
        </w:rPr>
        <w:t>por</w:t>
      </w:r>
      <w:r>
        <w:rPr>
          <w:color w:val="231F1F"/>
          <w:spacing w:val="-15"/>
          <w:w w:val="110"/>
        </w:rPr>
        <w:t> </w:t>
      </w:r>
      <w:r>
        <w:rPr>
          <w:color w:val="231F1F"/>
          <w:w w:val="110"/>
        </w:rPr>
        <w:t>meses</w:t>
      </w:r>
      <w:r>
        <w:rPr>
          <w:color w:val="231F1F"/>
          <w:spacing w:val="-14"/>
          <w:w w:val="110"/>
        </w:rPr>
        <w:t> </w:t>
      </w:r>
      <w:r>
        <w:rPr>
          <w:color w:val="231F1F"/>
          <w:w w:val="110"/>
        </w:rPr>
        <w:t>alternos</w:t>
      </w:r>
      <w:r>
        <w:rPr>
          <w:color w:val="231F1F"/>
          <w:spacing w:val="-14"/>
          <w:w w:val="110"/>
        </w:rPr>
        <w:t> </w:t>
      </w:r>
      <w:r>
        <w:rPr>
          <w:color w:val="231F1F"/>
          <w:w w:val="110"/>
        </w:rPr>
        <w:t>y</w:t>
      </w:r>
      <w:r>
        <w:rPr>
          <w:color w:val="231F1F"/>
          <w:spacing w:val="-14"/>
          <w:w w:val="110"/>
        </w:rPr>
        <w:t> </w:t>
      </w:r>
      <w:r>
        <w:rPr>
          <w:color w:val="231F1F"/>
          <w:w w:val="110"/>
        </w:rPr>
        <w:t>la</w:t>
      </w:r>
      <w:r>
        <w:rPr>
          <w:color w:val="231F1F"/>
          <w:spacing w:val="-14"/>
          <w:w w:val="110"/>
        </w:rPr>
        <w:t> </w:t>
      </w:r>
      <w:r>
        <w:rPr>
          <w:color w:val="231F1F"/>
          <w:w w:val="110"/>
        </w:rPr>
        <w:t>población</w:t>
      </w:r>
      <w:r>
        <w:rPr>
          <w:color w:val="231F1F"/>
          <w:spacing w:val="-14"/>
          <w:w w:val="110"/>
        </w:rPr>
        <w:t> </w:t>
      </w:r>
      <w:r>
        <w:rPr>
          <w:color w:val="231F1F"/>
          <w:w w:val="110"/>
        </w:rPr>
        <w:t>de</w:t>
      </w:r>
      <w:r>
        <w:rPr>
          <w:color w:val="231F1F"/>
          <w:spacing w:val="-14"/>
          <w:w w:val="110"/>
        </w:rPr>
        <w:t> </w:t>
      </w:r>
      <w:r>
        <w:rPr>
          <w:color w:val="231F1F"/>
          <w:w w:val="110"/>
        </w:rPr>
        <w:t>estudio</w:t>
      </w:r>
      <w:r>
        <w:rPr>
          <w:color w:val="231F1F"/>
          <w:spacing w:val="-14"/>
          <w:w w:val="110"/>
        </w:rPr>
        <w:t> </w:t>
      </w:r>
      <w:r>
        <w:rPr>
          <w:color w:val="231F1F"/>
          <w:w w:val="110"/>
        </w:rPr>
        <w:t>inclu- </w:t>
      </w:r>
      <w:r>
        <w:rPr>
          <w:color w:val="231F1F"/>
          <w:spacing w:val="-2"/>
          <w:w w:val="110"/>
        </w:rPr>
        <w:t>yó</w:t>
      </w:r>
      <w:r>
        <w:rPr>
          <w:color w:val="231F1F"/>
          <w:spacing w:val="-11"/>
          <w:w w:val="110"/>
        </w:rPr>
        <w:t> </w:t>
      </w:r>
      <w:r>
        <w:rPr>
          <w:color w:val="231F1F"/>
          <w:spacing w:val="-2"/>
          <w:w w:val="110"/>
        </w:rPr>
        <w:t>mujeres</w:t>
      </w:r>
      <w:r>
        <w:rPr>
          <w:color w:val="231F1F"/>
          <w:spacing w:val="-11"/>
          <w:w w:val="110"/>
        </w:rPr>
        <w:t> </w:t>
      </w:r>
      <w:r>
        <w:rPr>
          <w:color w:val="231F1F"/>
          <w:spacing w:val="-2"/>
          <w:w w:val="110"/>
        </w:rPr>
        <w:t>con</w:t>
      </w:r>
      <w:r>
        <w:rPr>
          <w:color w:val="231F1F"/>
          <w:spacing w:val="-11"/>
          <w:w w:val="110"/>
        </w:rPr>
        <w:t> </w:t>
      </w:r>
      <w:r>
        <w:rPr>
          <w:color w:val="231F1F"/>
          <w:spacing w:val="-2"/>
          <w:w w:val="110"/>
        </w:rPr>
        <w:t>cesáreas</w:t>
      </w:r>
      <w:r>
        <w:rPr>
          <w:color w:val="231F1F"/>
          <w:spacing w:val="-11"/>
          <w:w w:val="110"/>
        </w:rPr>
        <w:t> </w:t>
      </w:r>
      <w:r>
        <w:rPr>
          <w:color w:val="231F1F"/>
          <w:spacing w:val="-2"/>
          <w:w w:val="110"/>
        </w:rPr>
        <w:t>previas</w:t>
      </w:r>
      <w:r>
        <w:rPr>
          <w:color w:val="231F1F"/>
          <w:spacing w:val="-11"/>
          <w:w w:val="110"/>
        </w:rPr>
        <w:t> </w:t>
      </w:r>
      <w:r>
        <w:rPr>
          <w:color w:val="231F1F"/>
          <w:spacing w:val="-2"/>
          <w:w w:val="110"/>
        </w:rPr>
        <w:t>(17,2%</w:t>
      </w:r>
      <w:r>
        <w:rPr>
          <w:color w:val="231F1F"/>
          <w:spacing w:val="-11"/>
          <w:w w:val="110"/>
        </w:rPr>
        <w:t> </w:t>
      </w:r>
      <w:r>
        <w:rPr>
          <w:color w:val="231F1F"/>
          <w:spacing w:val="-2"/>
          <w:w w:val="110"/>
        </w:rPr>
        <w:t>para</w:t>
      </w:r>
      <w:r>
        <w:rPr>
          <w:color w:val="231F1F"/>
          <w:spacing w:val="-11"/>
          <w:w w:val="110"/>
        </w:rPr>
        <w:t> </w:t>
      </w:r>
      <w:r>
        <w:rPr>
          <w:color w:val="231F1F"/>
          <w:spacing w:val="-2"/>
          <w:w w:val="110"/>
        </w:rPr>
        <w:t>el</w:t>
      </w:r>
      <w:r>
        <w:rPr>
          <w:color w:val="231F1F"/>
          <w:spacing w:val="-11"/>
          <w:w w:val="110"/>
        </w:rPr>
        <w:t> </w:t>
      </w:r>
      <w:r>
        <w:rPr>
          <w:color w:val="231F1F"/>
          <w:spacing w:val="-2"/>
          <w:w w:val="110"/>
        </w:rPr>
        <w:t>grupo</w:t>
      </w:r>
      <w:r>
        <w:rPr>
          <w:color w:val="231F1F"/>
          <w:spacing w:val="-11"/>
          <w:w w:val="110"/>
        </w:rPr>
        <w:t> </w:t>
      </w:r>
      <w:r>
        <w:rPr>
          <w:color w:val="231F1F"/>
          <w:spacing w:val="-2"/>
          <w:w w:val="110"/>
        </w:rPr>
        <w:t>cetrimida/clorhexidina </w:t>
      </w:r>
      <w:r>
        <w:rPr>
          <w:color w:val="231F1F"/>
          <w:w w:val="110"/>
        </w:rPr>
        <w:t>y 16,3% para el grupo control o con agua del grifo).</w:t>
      </w:r>
    </w:p>
    <w:p>
      <w:pPr>
        <w:pStyle w:val="BodyText"/>
        <w:tabs>
          <w:tab w:pos="8111" w:val="left" w:leader="none"/>
        </w:tabs>
        <w:spacing w:line="242" w:lineRule="auto" w:before="63"/>
        <w:ind w:left="283" w:right="388" w:firstLine="453"/>
        <w:rPr>
          <w:rFonts w:ascii="Arial MT" w:hAnsi="Arial MT"/>
          <w:position w:val="8"/>
          <w:sz w:val="18"/>
        </w:rPr>
      </w:pPr>
      <w:r>
        <w:rPr>
          <w:color w:val="231F1F"/>
          <w:w w:val="110"/>
        </w:rPr>
        <w:t>En relación a resultados maternos no se observaron diferencias signifi-</w:t>
      </w:r>
      <w:r>
        <w:rPr>
          <w:color w:val="231F1F"/>
        </w:rPr>
        <w:tab/>
      </w:r>
      <w:r>
        <w:rPr>
          <w:rFonts w:ascii="Arial MT" w:hAnsi="Arial MT"/>
          <w:color w:val="231F1F"/>
          <w:spacing w:val="-4"/>
          <w:w w:val="110"/>
          <w:sz w:val="18"/>
        </w:rPr>
        <w:t>E.. </w:t>
      </w:r>
      <w:r>
        <w:rPr>
          <w:color w:val="231F1F"/>
          <w:w w:val="110"/>
        </w:rPr>
        <w:t>cativas</w:t>
      </w:r>
      <w:r>
        <w:rPr>
          <w:color w:val="231F1F"/>
          <w:spacing w:val="-12"/>
          <w:w w:val="110"/>
        </w:rPr>
        <w:t> </w:t>
      </w:r>
      <w:r>
        <w:rPr>
          <w:color w:val="231F1F"/>
          <w:w w:val="110"/>
        </w:rPr>
        <w:t>entre</w:t>
      </w:r>
      <w:r>
        <w:rPr>
          <w:color w:val="231F1F"/>
          <w:spacing w:val="-11"/>
          <w:w w:val="110"/>
        </w:rPr>
        <w:t> </w:t>
      </w:r>
      <w:r>
        <w:rPr>
          <w:color w:val="231F1F"/>
          <w:w w:val="110"/>
        </w:rPr>
        <w:t>los</w:t>
      </w:r>
      <w:r>
        <w:rPr>
          <w:color w:val="231F1F"/>
          <w:spacing w:val="-12"/>
          <w:w w:val="110"/>
        </w:rPr>
        <w:t> </w:t>
      </w:r>
      <w:r>
        <w:rPr>
          <w:color w:val="231F1F"/>
          <w:w w:val="110"/>
        </w:rPr>
        <w:t>dos</w:t>
      </w:r>
      <w:r>
        <w:rPr>
          <w:color w:val="231F1F"/>
          <w:spacing w:val="-12"/>
          <w:w w:val="110"/>
        </w:rPr>
        <w:t> </w:t>
      </w:r>
      <w:r>
        <w:rPr>
          <w:color w:val="231F1F"/>
          <w:w w:val="110"/>
        </w:rPr>
        <w:t>grupos</w:t>
      </w:r>
      <w:r>
        <w:rPr>
          <w:color w:val="231F1F"/>
          <w:spacing w:val="-12"/>
          <w:w w:val="110"/>
        </w:rPr>
        <w:t> </w:t>
      </w:r>
      <w:r>
        <w:rPr>
          <w:color w:val="231F1F"/>
          <w:w w:val="110"/>
        </w:rPr>
        <w:t>en</w:t>
      </w:r>
      <w:r>
        <w:rPr>
          <w:color w:val="231F1F"/>
          <w:spacing w:val="-11"/>
          <w:w w:val="110"/>
        </w:rPr>
        <w:t> </w:t>
      </w:r>
      <w:r>
        <w:rPr>
          <w:color w:val="231F1F"/>
          <w:w w:val="110"/>
        </w:rPr>
        <w:t>el</w:t>
      </w:r>
      <w:r>
        <w:rPr>
          <w:color w:val="231F1F"/>
          <w:spacing w:val="-11"/>
          <w:w w:val="110"/>
        </w:rPr>
        <w:t> </w:t>
      </w:r>
      <w:r>
        <w:rPr>
          <w:color w:val="231F1F"/>
          <w:w w:val="110"/>
        </w:rPr>
        <w:t>número</w:t>
      </w:r>
      <w:r>
        <w:rPr>
          <w:color w:val="231F1F"/>
          <w:spacing w:val="-11"/>
          <w:w w:val="110"/>
        </w:rPr>
        <w:t> </w:t>
      </w:r>
      <w:r>
        <w:rPr>
          <w:color w:val="231F1F"/>
          <w:w w:val="110"/>
        </w:rPr>
        <w:t>de</w:t>
      </w:r>
      <w:r>
        <w:rPr>
          <w:color w:val="231F1F"/>
          <w:spacing w:val="-11"/>
          <w:w w:val="110"/>
        </w:rPr>
        <w:t> </w:t>
      </w:r>
      <w:r>
        <w:rPr>
          <w:color w:val="231F1F"/>
          <w:w w:val="110"/>
        </w:rPr>
        <w:t>mujeres</w:t>
      </w:r>
      <w:r>
        <w:rPr>
          <w:color w:val="231F1F"/>
          <w:spacing w:val="-12"/>
          <w:w w:val="110"/>
        </w:rPr>
        <w:t> </w:t>
      </w:r>
      <w:r>
        <w:rPr>
          <w:color w:val="231F1F"/>
          <w:w w:val="110"/>
        </w:rPr>
        <w:t>que</w:t>
      </w:r>
      <w:r>
        <w:rPr>
          <w:color w:val="231F1F"/>
          <w:spacing w:val="-11"/>
          <w:w w:val="110"/>
        </w:rPr>
        <w:t> </w:t>
      </w:r>
      <w:r>
        <w:rPr>
          <w:color w:val="231F1F"/>
          <w:w w:val="110"/>
        </w:rPr>
        <w:t>desarrollaron</w:t>
      </w:r>
      <w:r>
        <w:rPr>
          <w:color w:val="231F1F"/>
          <w:spacing w:val="-11"/>
          <w:w w:val="110"/>
        </w:rPr>
        <w:t> </w:t>
      </w:r>
      <w:r>
        <w:rPr>
          <w:color w:val="231F1F"/>
          <w:w w:val="110"/>
        </w:rPr>
        <w:t>fiebre</w:t>
      </w:r>
      <w:r>
        <w:rPr>
          <w:color w:val="231F1F"/>
          <w:spacing w:val="-4"/>
          <w:w w:val="110"/>
        </w:rPr>
        <w:t> </w:t>
      </w:r>
      <w:r>
        <w:rPr>
          <w:rFonts w:ascii="Arial MT" w:hAnsi="Arial MT"/>
          <w:color w:val="231F1F"/>
          <w:w w:val="110"/>
          <w:position w:val="4"/>
          <w:sz w:val="18"/>
        </w:rPr>
        <w:t>Cohortes </w:t>
      </w:r>
      <w:r>
        <w:rPr>
          <w:color w:val="231F1F"/>
          <w:w w:val="110"/>
        </w:rPr>
        <w:t>(temperatura &gt;38°C): OR 1,0 [IC 95% 0,9 a 1,9], en la utilización de antibió-</w:t>
      </w:r>
      <w:r>
        <w:rPr>
          <w:color w:val="231F1F"/>
        </w:rPr>
        <w:tab/>
      </w:r>
      <w:r>
        <w:rPr>
          <w:color w:val="231F1F"/>
          <w:spacing w:val="-55"/>
        </w:rPr>
        <w:t> </w:t>
      </w:r>
      <w:r>
        <w:rPr>
          <w:rFonts w:ascii="Arial MT" w:hAnsi="Arial MT"/>
          <w:color w:val="231F1F"/>
          <w:spacing w:val="-6"/>
          <w:w w:val="110"/>
          <w:position w:val="8"/>
          <w:sz w:val="18"/>
        </w:rPr>
        <w:t>2+</w:t>
      </w:r>
    </w:p>
    <w:p>
      <w:pPr>
        <w:pStyle w:val="BodyText"/>
        <w:spacing w:line="252" w:lineRule="auto" w:before="7"/>
        <w:ind w:left="283" w:right="1368"/>
        <w:jc w:val="both"/>
      </w:pPr>
      <w:r>
        <w:rPr>
          <w:color w:val="231F1F"/>
          <w:w w:val="110"/>
        </w:rPr>
        <w:t>ticos:</w:t>
      </w:r>
      <w:r>
        <w:rPr>
          <w:color w:val="231F1F"/>
          <w:spacing w:val="-10"/>
          <w:w w:val="110"/>
        </w:rPr>
        <w:t> </w:t>
      </w:r>
      <w:r>
        <w:rPr>
          <w:color w:val="231F1F"/>
          <w:w w:val="110"/>
        </w:rPr>
        <w:t>OR</w:t>
      </w:r>
      <w:r>
        <w:rPr>
          <w:color w:val="231F1F"/>
          <w:spacing w:val="-10"/>
          <w:w w:val="110"/>
        </w:rPr>
        <w:t> </w:t>
      </w:r>
      <w:r>
        <w:rPr>
          <w:color w:val="231F1F"/>
          <w:w w:val="110"/>
        </w:rPr>
        <w:t>1,02</w:t>
      </w:r>
      <w:r>
        <w:rPr>
          <w:color w:val="231F1F"/>
          <w:spacing w:val="-10"/>
          <w:w w:val="110"/>
        </w:rPr>
        <w:t> </w:t>
      </w:r>
      <w:r>
        <w:rPr>
          <w:color w:val="231F1F"/>
          <w:w w:val="110"/>
        </w:rPr>
        <w:t>[IC</w:t>
      </w:r>
      <w:r>
        <w:rPr>
          <w:color w:val="231F1F"/>
          <w:spacing w:val="-9"/>
          <w:w w:val="110"/>
        </w:rPr>
        <w:t> </w:t>
      </w:r>
      <w:r>
        <w:rPr>
          <w:color w:val="231F1F"/>
          <w:w w:val="110"/>
        </w:rPr>
        <w:t>95%</w:t>
      </w:r>
      <w:r>
        <w:rPr>
          <w:color w:val="231F1F"/>
          <w:spacing w:val="-9"/>
          <w:w w:val="110"/>
        </w:rPr>
        <w:t> </w:t>
      </w:r>
      <w:r>
        <w:rPr>
          <w:color w:val="231F1F"/>
          <w:w w:val="110"/>
        </w:rPr>
        <w:t>0,8</w:t>
      </w:r>
      <w:r>
        <w:rPr>
          <w:color w:val="231F1F"/>
          <w:spacing w:val="-10"/>
          <w:w w:val="110"/>
        </w:rPr>
        <w:t> </w:t>
      </w:r>
      <w:r>
        <w:rPr>
          <w:color w:val="231F1F"/>
          <w:w w:val="110"/>
        </w:rPr>
        <w:t>a</w:t>
      </w:r>
      <w:r>
        <w:rPr>
          <w:color w:val="231F1F"/>
          <w:spacing w:val="-10"/>
          <w:w w:val="110"/>
        </w:rPr>
        <w:t> </w:t>
      </w:r>
      <w:r>
        <w:rPr>
          <w:color w:val="231F1F"/>
          <w:w w:val="110"/>
        </w:rPr>
        <w:t>1,9],</w:t>
      </w:r>
      <w:r>
        <w:rPr>
          <w:color w:val="231F1F"/>
          <w:spacing w:val="-11"/>
          <w:w w:val="110"/>
        </w:rPr>
        <w:t> </w:t>
      </w:r>
      <w:r>
        <w:rPr>
          <w:color w:val="231F1F"/>
          <w:w w:val="110"/>
        </w:rPr>
        <w:t>infección</w:t>
      </w:r>
      <w:r>
        <w:rPr>
          <w:color w:val="231F1F"/>
          <w:spacing w:val="-10"/>
          <w:w w:val="110"/>
        </w:rPr>
        <w:t> </w:t>
      </w:r>
      <w:r>
        <w:rPr>
          <w:color w:val="231F1F"/>
          <w:w w:val="110"/>
        </w:rPr>
        <w:t>perineal:</w:t>
      </w:r>
      <w:r>
        <w:rPr>
          <w:color w:val="231F1F"/>
          <w:spacing w:val="-11"/>
          <w:w w:val="110"/>
        </w:rPr>
        <w:t> </w:t>
      </w:r>
      <w:r>
        <w:rPr>
          <w:color w:val="231F1F"/>
          <w:w w:val="110"/>
        </w:rPr>
        <w:t>OR</w:t>
      </w:r>
      <w:r>
        <w:rPr>
          <w:color w:val="231F1F"/>
          <w:spacing w:val="-9"/>
          <w:w w:val="110"/>
        </w:rPr>
        <w:t> </w:t>
      </w:r>
      <w:r>
        <w:rPr>
          <w:color w:val="231F1F"/>
          <w:w w:val="110"/>
        </w:rPr>
        <w:t>1,4</w:t>
      </w:r>
      <w:r>
        <w:rPr>
          <w:color w:val="231F1F"/>
          <w:spacing w:val="-10"/>
          <w:w w:val="110"/>
        </w:rPr>
        <w:t> </w:t>
      </w:r>
      <w:r>
        <w:rPr>
          <w:color w:val="231F1F"/>
          <w:w w:val="110"/>
        </w:rPr>
        <w:t>[IC</w:t>
      </w:r>
      <w:r>
        <w:rPr>
          <w:color w:val="231F1F"/>
          <w:spacing w:val="-9"/>
          <w:w w:val="110"/>
        </w:rPr>
        <w:t> </w:t>
      </w:r>
      <w:r>
        <w:rPr>
          <w:color w:val="231F1F"/>
          <w:w w:val="110"/>
        </w:rPr>
        <w:t>95%</w:t>
      </w:r>
      <w:r>
        <w:rPr>
          <w:color w:val="231F1F"/>
          <w:spacing w:val="-9"/>
          <w:w w:val="110"/>
        </w:rPr>
        <w:t> </w:t>
      </w:r>
      <w:r>
        <w:rPr>
          <w:color w:val="231F1F"/>
          <w:w w:val="110"/>
        </w:rPr>
        <w:t>0,8</w:t>
      </w:r>
      <w:r>
        <w:rPr>
          <w:color w:val="231F1F"/>
          <w:spacing w:val="-10"/>
          <w:w w:val="110"/>
        </w:rPr>
        <w:t> </w:t>
      </w:r>
      <w:r>
        <w:rPr>
          <w:color w:val="231F1F"/>
          <w:w w:val="110"/>
        </w:rPr>
        <w:t>a </w:t>
      </w:r>
      <w:r>
        <w:rPr>
          <w:color w:val="231F1F"/>
        </w:rPr>
        <w:t>2,7], rotura perineal: OR 5,8 [IC 95% 0,3 a 999] o en la tasa de infección de la </w:t>
      </w:r>
      <w:r>
        <w:rPr>
          <w:color w:val="231F1F"/>
          <w:w w:val="110"/>
        </w:rPr>
        <w:t>herida</w:t>
      </w:r>
      <w:r>
        <w:rPr>
          <w:color w:val="231F1F"/>
          <w:spacing w:val="-1"/>
          <w:w w:val="110"/>
        </w:rPr>
        <w:t> </w:t>
      </w:r>
      <w:r>
        <w:rPr>
          <w:color w:val="231F1F"/>
          <w:w w:val="110"/>
        </w:rPr>
        <w:t>quirúrgica</w:t>
      </w:r>
      <w:r>
        <w:rPr>
          <w:color w:val="231F1F"/>
          <w:spacing w:val="-1"/>
          <w:w w:val="110"/>
        </w:rPr>
        <w:t> </w:t>
      </w:r>
      <w:r>
        <w:rPr>
          <w:color w:val="231F1F"/>
          <w:w w:val="110"/>
        </w:rPr>
        <w:t>en la cesárea:</w:t>
      </w:r>
      <w:r>
        <w:rPr>
          <w:color w:val="231F1F"/>
          <w:spacing w:val="-1"/>
          <w:w w:val="110"/>
        </w:rPr>
        <w:t> </w:t>
      </w:r>
      <w:r>
        <w:rPr>
          <w:color w:val="231F1F"/>
          <w:w w:val="110"/>
        </w:rPr>
        <w:t>OR 1,3 [IC 95% 0,9 a 1,9].</w:t>
      </w:r>
      <w:r>
        <w:rPr>
          <w:color w:val="231F1F"/>
          <w:spacing w:val="-1"/>
          <w:w w:val="110"/>
        </w:rPr>
        <w:t> </w:t>
      </w:r>
      <w:r>
        <w:rPr>
          <w:color w:val="231F1F"/>
          <w:w w:val="110"/>
        </w:rPr>
        <w:t>Se</w:t>
      </w:r>
      <w:r>
        <w:rPr>
          <w:color w:val="231F1F"/>
          <w:spacing w:val="-1"/>
          <w:w w:val="110"/>
        </w:rPr>
        <w:t> </w:t>
      </w:r>
      <w:r>
        <w:rPr>
          <w:color w:val="231F1F"/>
          <w:w w:val="110"/>
        </w:rPr>
        <w:t>produjo</w:t>
      </w:r>
      <w:r>
        <w:rPr>
          <w:color w:val="231F1F"/>
          <w:spacing w:val="-1"/>
          <w:w w:val="110"/>
        </w:rPr>
        <w:t> </w:t>
      </w:r>
      <w:r>
        <w:rPr>
          <w:color w:val="231F1F"/>
          <w:w w:val="110"/>
        </w:rPr>
        <w:t>una muerte</w:t>
      </w:r>
      <w:r>
        <w:rPr>
          <w:color w:val="231F1F"/>
          <w:spacing w:val="-5"/>
          <w:w w:val="110"/>
        </w:rPr>
        <w:t> </w:t>
      </w:r>
      <w:r>
        <w:rPr>
          <w:color w:val="231F1F"/>
          <w:w w:val="110"/>
        </w:rPr>
        <w:t>materna</w:t>
      </w:r>
      <w:r>
        <w:rPr>
          <w:color w:val="231F1F"/>
          <w:spacing w:val="-4"/>
          <w:w w:val="110"/>
        </w:rPr>
        <w:t> </w:t>
      </w:r>
      <w:r>
        <w:rPr>
          <w:color w:val="231F1F"/>
          <w:w w:val="110"/>
        </w:rPr>
        <w:t>en</w:t>
      </w:r>
      <w:r>
        <w:rPr>
          <w:color w:val="231F1F"/>
          <w:spacing w:val="-5"/>
          <w:w w:val="110"/>
        </w:rPr>
        <w:t> </w:t>
      </w:r>
      <w:r>
        <w:rPr>
          <w:color w:val="231F1F"/>
          <w:w w:val="110"/>
        </w:rPr>
        <w:t>cada</w:t>
      </w:r>
      <w:r>
        <w:rPr>
          <w:color w:val="231F1F"/>
          <w:spacing w:val="-5"/>
          <w:w w:val="110"/>
        </w:rPr>
        <w:t> </w:t>
      </w:r>
      <w:r>
        <w:rPr>
          <w:color w:val="231F1F"/>
          <w:w w:val="110"/>
        </w:rPr>
        <w:t>grupo,</w:t>
      </w:r>
      <w:r>
        <w:rPr>
          <w:color w:val="231F1F"/>
          <w:spacing w:val="-5"/>
          <w:w w:val="110"/>
        </w:rPr>
        <w:t> </w:t>
      </w:r>
      <w:r>
        <w:rPr>
          <w:color w:val="231F1F"/>
          <w:w w:val="110"/>
        </w:rPr>
        <w:t>si</w:t>
      </w:r>
      <w:r>
        <w:rPr>
          <w:color w:val="231F1F"/>
          <w:spacing w:val="-5"/>
          <w:w w:val="110"/>
        </w:rPr>
        <w:t> </w:t>
      </w:r>
      <w:r>
        <w:rPr>
          <w:color w:val="231F1F"/>
          <w:w w:val="110"/>
        </w:rPr>
        <w:t>bien</w:t>
      </w:r>
      <w:r>
        <w:rPr>
          <w:color w:val="231F1F"/>
          <w:spacing w:val="-5"/>
          <w:w w:val="110"/>
        </w:rPr>
        <w:t> </w:t>
      </w:r>
      <w:r>
        <w:rPr>
          <w:color w:val="231F1F"/>
          <w:w w:val="110"/>
        </w:rPr>
        <w:t>ambas</w:t>
      </w:r>
      <w:r>
        <w:rPr>
          <w:color w:val="231F1F"/>
          <w:spacing w:val="-5"/>
          <w:w w:val="110"/>
        </w:rPr>
        <w:t> </w:t>
      </w:r>
      <w:r>
        <w:rPr>
          <w:color w:val="231F1F"/>
          <w:w w:val="110"/>
        </w:rPr>
        <w:t>fueron</w:t>
      </w:r>
      <w:r>
        <w:rPr>
          <w:color w:val="231F1F"/>
          <w:spacing w:val="-5"/>
          <w:w w:val="110"/>
        </w:rPr>
        <w:t> </w:t>
      </w:r>
      <w:r>
        <w:rPr>
          <w:color w:val="231F1F"/>
          <w:w w:val="110"/>
        </w:rPr>
        <w:t>debidas</w:t>
      </w:r>
      <w:r>
        <w:rPr>
          <w:color w:val="231F1F"/>
          <w:spacing w:val="-5"/>
          <w:w w:val="110"/>
        </w:rPr>
        <w:t> </w:t>
      </w:r>
      <w:r>
        <w:rPr>
          <w:color w:val="231F1F"/>
          <w:w w:val="110"/>
        </w:rPr>
        <w:t>a</w:t>
      </w:r>
      <w:r>
        <w:rPr>
          <w:color w:val="231F1F"/>
          <w:spacing w:val="-5"/>
          <w:w w:val="110"/>
        </w:rPr>
        <w:t> </w:t>
      </w:r>
      <w:r>
        <w:rPr>
          <w:color w:val="231F1F"/>
          <w:w w:val="110"/>
        </w:rPr>
        <w:t>un</w:t>
      </w:r>
      <w:r>
        <w:rPr>
          <w:color w:val="231F1F"/>
          <w:spacing w:val="-5"/>
          <w:w w:val="110"/>
        </w:rPr>
        <w:t> </w:t>
      </w:r>
      <w:r>
        <w:rPr>
          <w:color w:val="231F1F"/>
          <w:w w:val="110"/>
        </w:rPr>
        <w:t>síndrome </w:t>
      </w:r>
      <w:r>
        <w:rPr>
          <w:color w:val="231F1F"/>
          <w:spacing w:val="-2"/>
          <w:w w:val="110"/>
        </w:rPr>
        <w:t>anticardiolipina.</w:t>
      </w:r>
    </w:p>
    <w:p>
      <w:pPr>
        <w:pStyle w:val="BodyText"/>
        <w:tabs>
          <w:tab w:pos="8031" w:val="left" w:leader="none"/>
        </w:tabs>
        <w:spacing w:before="54"/>
        <w:ind w:left="736"/>
        <w:jc w:val="both"/>
        <w:rPr>
          <w:rFonts w:ascii="Arial MT"/>
          <w:sz w:val="18"/>
        </w:rPr>
      </w:pPr>
      <w:r>
        <w:rPr>
          <w:color w:val="231F1F"/>
          <w:w w:val="105"/>
        </w:rPr>
        <w:t>Los</w:t>
      </w:r>
      <w:r>
        <w:rPr>
          <w:color w:val="231F1F"/>
          <w:spacing w:val="-7"/>
          <w:w w:val="105"/>
        </w:rPr>
        <w:t> </w:t>
      </w:r>
      <w:r>
        <w:rPr>
          <w:color w:val="231F1F"/>
          <w:w w:val="105"/>
        </w:rPr>
        <w:t>resultados</w:t>
      </w:r>
      <w:r>
        <w:rPr>
          <w:color w:val="231F1F"/>
          <w:spacing w:val="-4"/>
          <w:w w:val="105"/>
        </w:rPr>
        <w:t> </w:t>
      </w:r>
      <w:r>
        <w:rPr>
          <w:color w:val="231F1F"/>
          <w:w w:val="105"/>
        </w:rPr>
        <w:t>de</w:t>
      </w:r>
      <w:r>
        <w:rPr>
          <w:color w:val="231F1F"/>
          <w:spacing w:val="-7"/>
          <w:w w:val="105"/>
        </w:rPr>
        <w:t> </w:t>
      </w:r>
      <w:r>
        <w:rPr>
          <w:color w:val="231F1F"/>
          <w:w w:val="105"/>
        </w:rPr>
        <w:t>los</w:t>
      </w:r>
      <w:r>
        <w:rPr>
          <w:color w:val="231F1F"/>
          <w:spacing w:val="-4"/>
          <w:w w:val="105"/>
        </w:rPr>
        <w:t> </w:t>
      </w:r>
      <w:r>
        <w:rPr>
          <w:color w:val="231F1F"/>
          <w:w w:val="105"/>
        </w:rPr>
        <w:t>RN</w:t>
      </w:r>
      <w:r>
        <w:rPr>
          <w:color w:val="231F1F"/>
          <w:spacing w:val="-5"/>
          <w:w w:val="105"/>
        </w:rPr>
        <w:t> </w:t>
      </w:r>
      <w:r>
        <w:rPr>
          <w:color w:val="231F1F"/>
          <w:w w:val="105"/>
        </w:rPr>
        <w:t>tampoco</w:t>
      </w:r>
      <w:r>
        <w:rPr>
          <w:color w:val="231F1F"/>
          <w:spacing w:val="-5"/>
          <w:w w:val="105"/>
        </w:rPr>
        <w:t> </w:t>
      </w:r>
      <w:r>
        <w:rPr>
          <w:color w:val="231F1F"/>
          <w:w w:val="105"/>
        </w:rPr>
        <w:t>mostraron</w:t>
      </w:r>
      <w:r>
        <w:rPr>
          <w:color w:val="231F1F"/>
          <w:spacing w:val="-7"/>
          <w:w w:val="105"/>
        </w:rPr>
        <w:t> </w:t>
      </w:r>
      <w:r>
        <w:rPr>
          <w:color w:val="231F1F"/>
          <w:w w:val="105"/>
        </w:rPr>
        <w:t>diferencias</w:t>
      </w:r>
      <w:r>
        <w:rPr>
          <w:color w:val="231F1F"/>
          <w:spacing w:val="-5"/>
          <w:w w:val="105"/>
        </w:rPr>
        <w:t> </w:t>
      </w:r>
      <w:r>
        <w:rPr>
          <w:color w:val="231F1F"/>
          <w:w w:val="105"/>
        </w:rPr>
        <w:t>en</w:t>
      </w:r>
      <w:r>
        <w:rPr>
          <w:color w:val="231F1F"/>
          <w:spacing w:val="-6"/>
          <w:w w:val="105"/>
        </w:rPr>
        <w:t> </w:t>
      </w:r>
      <w:r>
        <w:rPr>
          <w:color w:val="231F1F"/>
          <w:spacing w:val="-2"/>
          <w:w w:val="105"/>
        </w:rPr>
        <w:t>infecciones</w:t>
      </w:r>
      <w:r>
        <w:rPr>
          <w:color w:val="231F1F"/>
        </w:rPr>
        <w:tab/>
      </w:r>
      <w:r>
        <w:rPr>
          <w:rFonts w:ascii="Arial MT"/>
          <w:color w:val="231F1F"/>
          <w:spacing w:val="-5"/>
          <w:w w:val="105"/>
          <w:sz w:val="18"/>
        </w:rPr>
        <w:t>E..</w:t>
      </w:r>
    </w:p>
    <w:p>
      <w:pPr>
        <w:pStyle w:val="BodyText"/>
        <w:spacing w:line="247" w:lineRule="exact" w:before="3"/>
        <w:ind w:left="283"/>
        <w:jc w:val="both"/>
        <w:rPr>
          <w:rFonts w:ascii="Arial MT" w:hAnsi="Arial MT"/>
          <w:position w:val="4"/>
          <w:sz w:val="18"/>
        </w:rPr>
      </w:pPr>
      <w:r>
        <w:rPr>
          <w:color w:val="231F1F"/>
          <w:w w:val="105"/>
        </w:rPr>
        <w:t>oculares:</w:t>
      </w:r>
      <w:r>
        <w:rPr>
          <w:color w:val="231F1F"/>
          <w:spacing w:val="-15"/>
          <w:w w:val="105"/>
        </w:rPr>
        <w:t> </w:t>
      </w:r>
      <w:r>
        <w:rPr>
          <w:color w:val="231F1F"/>
          <w:w w:val="105"/>
        </w:rPr>
        <w:t>OR</w:t>
      </w:r>
      <w:r>
        <w:rPr>
          <w:color w:val="231F1F"/>
          <w:spacing w:val="-14"/>
          <w:w w:val="105"/>
        </w:rPr>
        <w:t> </w:t>
      </w:r>
      <w:r>
        <w:rPr>
          <w:color w:val="231F1F"/>
          <w:w w:val="105"/>
        </w:rPr>
        <w:t>1,1</w:t>
      </w:r>
      <w:r>
        <w:rPr>
          <w:color w:val="231F1F"/>
          <w:spacing w:val="-15"/>
          <w:w w:val="105"/>
        </w:rPr>
        <w:t> </w:t>
      </w:r>
      <w:r>
        <w:rPr>
          <w:color w:val="231F1F"/>
          <w:w w:val="105"/>
        </w:rPr>
        <w:t>[IC</w:t>
      </w:r>
      <w:r>
        <w:rPr>
          <w:color w:val="231F1F"/>
          <w:spacing w:val="-14"/>
          <w:w w:val="105"/>
        </w:rPr>
        <w:t> </w:t>
      </w:r>
      <w:r>
        <w:rPr>
          <w:color w:val="231F1F"/>
          <w:w w:val="105"/>
        </w:rPr>
        <w:t>95%</w:t>
      </w:r>
      <w:r>
        <w:rPr>
          <w:color w:val="231F1F"/>
          <w:spacing w:val="-15"/>
          <w:w w:val="105"/>
        </w:rPr>
        <w:t> </w:t>
      </w:r>
      <w:r>
        <w:rPr>
          <w:color w:val="231F1F"/>
          <w:w w:val="105"/>
        </w:rPr>
        <w:t>0,8</w:t>
      </w:r>
      <w:r>
        <w:rPr>
          <w:color w:val="231F1F"/>
          <w:spacing w:val="-14"/>
          <w:w w:val="105"/>
        </w:rPr>
        <w:t> </w:t>
      </w:r>
      <w:r>
        <w:rPr>
          <w:color w:val="231F1F"/>
          <w:w w:val="105"/>
        </w:rPr>
        <w:t>a</w:t>
      </w:r>
      <w:r>
        <w:rPr>
          <w:color w:val="231F1F"/>
          <w:spacing w:val="-15"/>
          <w:w w:val="105"/>
        </w:rPr>
        <w:t> </w:t>
      </w:r>
      <w:r>
        <w:rPr>
          <w:color w:val="231F1F"/>
          <w:w w:val="105"/>
        </w:rPr>
        <w:t>1,7],</w:t>
      </w:r>
      <w:r>
        <w:rPr>
          <w:color w:val="231F1F"/>
          <w:spacing w:val="-14"/>
          <w:w w:val="105"/>
        </w:rPr>
        <w:t> </w:t>
      </w:r>
      <w:r>
        <w:rPr>
          <w:color w:val="231F1F"/>
          <w:w w:val="105"/>
        </w:rPr>
        <w:t>infección</w:t>
      </w:r>
      <w:r>
        <w:rPr>
          <w:color w:val="231F1F"/>
          <w:spacing w:val="-14"/>
          <w:w w:val="105"/>
        </w:rPr>
        <w:t> </w:t>
      </w:r>
      <w:r>
        <w:rPr>
          <w:color w:val="231F1F"/>
          <w:w w:val="105"/>
        </w:rPr>
        <w:t>del</w:t>
      </w:r>
      <w:r>
        <w:rPr>
          <w:color w:val="231F1F"/>
          <w:spacing w:val="-15"/>
          <w:w w:val="105"/>
        </w:rPr>
        <w:t> </w:t>
      </w:r>
      <w:r>
        <w:rPr>
          <w:color w:val="231F1F"/>
          <w:w w:val="105"/>
        </w:rPr>
        <w:t>cordón:</w:t>
      </w:r>
      <w:r>
        <w:rPr>
          <w:color w:val="231F1F"/>
          <w:spacing w:val="-14"/>
          <w:w w:val="105"/>
        </w:rPr>
        <w:t> </w:t>
      </w:r>
      <w:r>
        <w:rPr>
          <w:color w:val="231F1F"/>
          <w:w w:val="105"/>
        </w:rPr>
        <w:t>OR</w:t>
      </w:r>
      <w:r>
        <w:rPr>
          <w:color w:val="231F1F"/>
          <w:spacing w:val="-15"/>
          <w:w w:val="105"/>
        </w:rPr>
        <w:t> </w:t>
      </w:r>
      <w:r>
        <w:rPr>
          <w:color w:val="231F1F"/>
          <w:w w:val="105"/>
        </w:rPr>
        <w:t>1,3</w:t>
      </w:r>
      <w:r>
        <w:rPr>
          <w:color w:val="231F1F"/>
          <w:spacing w:val="-14"/>
          <w:w w:val="105"/>
        </w:rPr>
        <w:t> </w:t>
      </w:r>
      <w:r>
        <w:rPr>
          <w:color w:val="231F1F"/>
          <w:w w:val="105"/>
        </w:rPr>
        <w:t>[IC</w:t>
      </w:r>
      <w:r>
        <w:rPr>
          <w:color w:val="231F1F"/>
          <w:spacing w:val="-15"/>
          <w:w w:val="105"/>
        </w:rPr>
        <w:t> </w:t>
      </w:r>
      <w:r>
        <w:rPr>
          <w:color w:val="231F1F"/>
          <w:w w:val="105"/>
        </w:rPr>
        <w:t>95%</w:t>
      </w:r>
      <w:r>
        <w:rPr>
          <w:color w:val="231F1F"/>
          <w:spacing w:val="-14"/>
          <w:w w:val="105"/>
        </w:rPr>
        <w:t> </w:t>
      </w:r>
      <w:r>
        <w:rPr>
          <w:color w:val="231F1F"/>
          <w:w w:val="105"/>
        </w:rPr>
        <w:t>0,7</w:t>
      </w:r>
      <w:r>
        <w:rPr>
          <w:color w:val="231F1F"/>
          <w:spacing w:val="72"/>
          <w:w w:val="150"/>
        </w:rPr>
        <w:t>  </w:t>
      </w:r>
      <w:r>
        <w:rPr>
          <w:rFonts w:ascii="Arial MT" w:hAnsi="Arial MT"/>
          <w:color w:val="231F1F"/>
          <w:spacing w:val="-2"/>
          <w:w w:val="105"/>
          <w:position w:val="4"/>
          <w:sz w:val="18"/>
        </w:rPr>
        <w:t>Cohortes</w:t>
      </w:r>
    </w:p>
    <w:p>
      <w:pPr>
        <w:pStyle w:val="BodyText"/>
        <w:tabs>
          <w:tab w:pos="8114" w:val="left" w:leader="none"/>
        </w:tabs>
        <w:spacing w:line="287" w:lineRule="exact"/>
        <w:ind w:left="283"/>
        <w:jc w:val="both"/>
        <w:rPr>
          <w:rFonts w:ascii="Arial MT"/>
          <w:position w:val="8"/>
          <w:sz w:val="18"/>
        </w:rPr>
      </w:pPr>
      <w:r>
        <w:rPr>
          <w:color w:val="231F1F"/>
        </w:rPr>
        <w:t>a</w:t>
      </w:r>
      <w:r>
        <w:rPr>
          <w:color w:val="231F1F"/>
          <w:spacing w:val="-3"/>
        </w:rPr>
        <w:t> </w:t>
      </w:r>
      <w:r>
        <w:rPr>
          <w:color w:val="231F1F"/>
        </w:rPr>
        <w:t>2,1],</w:t>
      </w:r>
      <w:r>
        <w:rPr>
          <w:color w:val="231F1F"/>
          <w:spacing w:val="-4"/>
        </w:rPr>
        <w:t> </w:t>
      </w:r>
      <w:r>
        <w:rPr>
          <w:color w:val="231F1F"/>
        </w:rPr>
        <w:t>otras</w:t>
      </w:r>
      <w:r>
        <w:rPr>
          <w:color w:val="231F1F"/>
          <w:spacing w:val="-2"/>
        </w:rPr>
        <w:t> </w:t>
      </w:r>
      <w:r>
        <w:rPr>
          <w:color w:val="231F1F"/>
        </w:rPr>
        <w:t>infecciones no</w:t>
      </w:r>
      <w:r>
        <w:rPr>
          <w:color w:val="231F1F"/>
          <w:spacing w:val="-3"/>
        </w:rPr>
        <w:t> </w:t>
      </w:r>
      <w:r>
        <w:rPr>
          <w:color w:val="231F1F"/>
        </w:rPr>
        <w:t>especificadas:</w:t>
      </w:r>
      <w:r>
        <w:rPr>
          <w:color w:val="231F1F"/>
          <w:spacing w:val="-1"/>
        </w:rPr>
        <w:t> </w:t>
      </w:r>
      <w:r>
        <w:rPr>
          <w:color w:val="231F1F"/>
        </w:rPr>
        <w:t>OR</w:t>
      </w:r>
      <w:r>
        <w:rPr>
          <w:color w:val="231F1F"/>
          <w:spacing w:val="-2"/>
        </w:rPr>
        <w:t> </w:t>
      </w:r>
      <w:r>
        <w:rPr>
          <w:color w:val="231F1F"/>
        </w:rPr>
        <w:t>0,9</w:t>
      </w:r>
      <w:r>
        <w:rPr>
          <w:color w:val="231F1F"/>
          <w:spacing w:val="-2"/>
        </w:rPr>
        <w:t> </w:t>
      </w:r>
      <w:r>
        <w:rPr>
          <w:color w:val="231F1F"/>
        </w:rPr>
        <w:t>[IC</w:t>
      </w:r>
      <w:r>
        <w:rPr>
          <w:color w:val="231F1F"/>
          <w:spacing w:val="-2"/>
        </w:rPr>
        <w:t> </w:t>
      </w:r>
      <w:r>
        <w:rPr>
          <w:color w:val="231F1F"/>
        </w:rPr>
        <w:t>95%</w:t>
      </w:r>
      <w:r>
        <w:rPr>
          <w:color w:val="231F1F"/>
          <w:spacing w:val="-1"/>
        </w:rPr>
        <w:t> </w:t>
      </w:r>
      <w:r>
        <w:rPr>
          <w:color w:val="231F1F"/>
        </w:rPr>
        <w:t>0,6</w:t>
      </w:r>
      <w:r>
        <w:rPr>
          <w:color w:val="231F1F"/>
          <w:spacing w:val="-2"/>
        </w:rPr>
        <w:t> </w:t>
      </w:r>
      <w:r>
        <w:rPr>
          <w:color w:val="231F1F"/>
        </w:rPr>
        <w:t>a</w:t>
      </w:r>
      <w:r>
        <w:rPr>
          <w:color w:val="231F1F"/>
          <w:spacing w:val="-1"/>
        </w:rPr>
        <w:t> </w:t>
      </w:r>
      <w:r>
        <w:rPr>
          <w:color w:val="231F1F"/>
        </w:rPr>
        <w:t>1,2],</w:t>
      </w:r>
      <w:r>
        <w:rPr>
          <w:color w:val="231F1F"/>
          <w:spacing w:val="-4"/>
        </w:rPr>
        <w:t> </w:t>
      </w:r>
      <w:r>
        <w:rPr>
          <w:color w:val="231F1F"/>
        </w:rPr>
        <w:t>ingreso</w:t>
      </w:r>
      <w:r>
        <w:rPr>
          <w:color w:val="231F1F"/>
          <w:spacing w:val="-1"/>
        </w:rPr>
        <w:t> </w:t>
      </w:r>
      <w:r>
        <w:rPr>
          <w:color w:val="231F1F"/>
          <w:spacing w:val="-5"/>
        </w:rPr>
        <w:t>en</w:t>
      </w:r>
      <w:r>
        <w:rPr>
          <w:color w:val="231F1F"/>
        </w:rPr>
        <w:tab/>
      </w:r>
      <w:r>
        <w:rPr>
          <w:rFonts w:ascii="Arial MT"/>
          <w:color w:val="231F1F"/>
          <w:spacing w:val="-5"/>
          <w:position w:val="8"/>
          <w:sz w:val="18"/>
        </w:rPr>
        <w:t>2+</w:t>
      </w:r>
    </w:p>
    <w:p>
      <w:pPr>
        <w:pStyle w:val="BodyText"/>
        <w:spacing w:before="35"/>
        <w:ind w:left="283"/>
        <w:jc w:val="both"/>
      </w:pPr>
      <w:r>
        <w:rPr>
          <w:color w:val="231F1F"/>
        </w:rPr>
        <w:t>unidad</w:t>
      </w:r>
      <w:r>
        <w:rPr>
          <w:color w:val="231F1F"/>
          <w:spacing w:val="1"/>
        </w:rPr>
        <w:t> </w:t>
      </w:r>
      <w:r>
        <w:rPr>
          <w:color w:val="231F1F"/>
        </w:rPr>
        <w:t>de</w:t>
      </w:r>
      <w:r>
        <w:rPr>
          <w:color w:val="231F1F"/>
          <w:spacing w:val="1"/>
        </w:rPr>
        <w:t> </w:t>
      </w:r>
      <w:r>
        <w:rPr>
          <w:color w:val="231F1F"/>
        </w:rPr>
        <w:t>neonatos:</w:t>
      </w:r>
      <w:r>
        <w:rPr>
          <w:color w:val="231F1F"/>
          <w:spacing w:val="2"/>
        </w:rPr>
        <w:t> </w:t>
      </w:r>
      <w:r>
        <w:rPr>
          <w:color w:val="231F1F"/>
        </w:rPr>
        <w:t>OR</w:t>
      </w:r>
      <w:r>
        <w:rPr>
          <w:color w:val="231F1F"/>
          <w:spacing w:val="4"/>
        </w:rPr>
        <w:t> </w:t>
      </w:r>
      <w:r>
        <w:rPr>
          <w:color w:val="231F1F"/>
        </w:rPr>
        <w:t>1,1</w:t>
      </w:r>
      <w:r>
        <w:rPr>
          <w:color w:val="231F1F"/>
          <w:spacing w:val="1"/>
        </w:rPr>
        <w:t> </w:t>
      </w:r>
      <w:r>
        <w:rPr>
          <w:color w:val="231F1F"/>
        </w:rPr>
        <w:t>[IC</w:t>
      </w:r>
      <w:r>
        <w:rPr>
          <w:color w:val="231F1F"/>
          <w:spacing w:val="3"/>
        </w:rPr>
        <w:t> </w:t>
      </w:r>
      <w:r>
        <w:rPr>
          <w:color w:val="231F1F"/>
        </w:rPr>
        <w:t>95%</w:t>
      </w:r>
      <w:r>
        <w:rPr>
          <w:color w:val="231F1F"/>
          <w:spacing w:val="4"/>
        </w:rPr>
        <w:t> </w:t>
      </w:r>
      <w:r>
        <w:rPr>
          <w:color w:val="231F1F"/>
        </w:rPr>
        <w:t>0,9</w:t>
      </w:r>
      <w:r>
        <w:rPr>
          <w:color w:val="231F1F"/>
          <w:spacing w:val="3"/>
        </w:rPr>
        <w:t> </w:t>
      </w:r>
      <w:r>
        <w:rPr>
          <w:color w:val="231F1F"/>
        </w:rPr>
        <w:t>a</w:t>
      </w:r>
      <w:r>
        <w:rPr>
          <w:color w:val="231F1F"/>
          <w:spacing w:val="1"/>
        </w:rPr>
        <w:t> </w:t>
      </w:r>
      <w:r>
        <w:rPr>
          <w:color w:val="231F1F"/>
        </w:rPr>
        <w:t>1,4],</w:t>
      </w:r>
      <w:r>
        <w:rPr>
          <w:color w:val="231F1F"/>
          <w:spacing w:val="3"/>
        </w:rPr>
        <w:t> </w:t>
      </w:r>
      <w:r>
        <w:rPr>
          <w:color w:val="231F1F"/>
        </w:rPr>
        <w:t>uso</w:t>
      </w:r>
      <w:r>
        <w:rPr>
          <w:color w:val="231F1F"/>
          <w:spacing w:val="3"/>
        </w:rPr>
        <w:t> </w:t>
      </w:r>
      <w:r>
        <w:rPr>
          <w:color w:val="231F1F"/>
        </w:rPr>
        <w:t>de</w:t>
      </w:r>
      <w:r>
        <w:rPr>
          <w:color w:val="231F1F"/>
          <w:spacing w:val="1"/>
        </w:rPr>
        <w:t> </w:t>
      </w:r>
      <w:r>
        <w:rPr>
          <w:color w:val="231F1F"/>
        </w:rPr>
        <w:t>antibióticos:</w:t>
      </w:r>
      <w:r>
        <w:rPr>
          <w:color w:val="231F1F"/>
          <w:spacing w:val="4"/>
        </w:rPr>
        <w:t> </w:t>
      </w:r>
      <w:r>
        <w:rPr>
          <w:color w:val="231F1F"/>
        </w:rPr>
        <w:t>OR</w:t>
      </w:r>
      <w:r>
        <w:rPr>
          <w:color w:val="231F1F"/>
          <w:spacing w:val="3"/>
        </w:rPr>
        <w:t> </w:t>
      </w:r>
      <w:r>
        <w:rPr>
          <w:color w:val="231F1F"/>
        </w:rPr>
        <w:t>1,0</w:t>
      </w:r>
      <w:r>
        <w:rPr>
          <w:color w:val="231F1F"/>
          <w:spacing w:val="3"/>
        </w:rPr>
        <w:t> </w:t>
      </w:r>
      <w:r>
        <w:rPr>
          <w:color w:val="231F1F"/>
          <w:spacing w:val="-5"/>
        </w:rPr>
        <w:t>[IC</w:t>
      </w:r>
    </w:p>
    <w:p>
      <w:pPr>
        <w:pStyle w:val="BodyText"/>
        <w:spacing w:line="247" w:lineRule="auto" w:before="16"/>
        <w:ind w:left="283" w:right="1368"/>
        <w:jc w:val="both"/>
      </w:pPr>
      <w:r>
        <w:rPr>
          <w:color w:val="231F1F"/>
          <w:w w:val="105"/>
        </w:rPr>
        <w:t>95% 0,8 a 1,2]) o fiebre (temperatura &gt;38°C): OR 1,4 [IC 95% 0,7 a 3,0]. A pesar de que se produjeron 27 muertes neonatales en el grupo cetrimida/clor- hexidina y 21 en el grupo control, la mayoría fueron debidas a anormalidades congénitas o peso inferior a 1.000 g (en el grupo de clorhexidina un caso por ruptura</w:t>
      </w:r>
      <w:r>
        <w:rPr>
          <w:color w:val="231F1F"/>
          <w:spacing w:val="-5"/>
          <w:w w:val="105"/>
        </w:rPr>
        <w:t> </w:t>
      </w:r>
      <w:r>
        <w:rPr>
          <w:color w:val="231F1F"/>
          <w:w w:val="105"/>
        </w:rPr>
        <w:t>uterina</w:t>
      </w:r>
      <w:r>
        <w:rPr>
          <w:color w:val="231F1F"/>
          <w:spacing w:val="-5"/>
          <w:w w:val="105"/>
        </w:rPr>
        <w:t> </w:t>
      </w:r>
      <w:r>
        <w:rPr>
          <w:color w:val="231F1F"/>
          <w:w w:val="105"/>
        </w:rPr>
        <w:t>y</w:t>
      </w:r>
      <w:r>
        <w:rPr>
          <w:color w:val="231F1F"/>
          <w:spacing w:val="-5"/>
          <w:w w:val="105"/>
        </w:rPr>
        <w:t> </w:t>
      </w:r>
      <w:r>
        <w:rPr>
          <w:color w:val="231F1F"/>
          <w:w w:val="105"/>
        </w:rPr>
        <w:t>tres</w:t>
      </w:r>
      <w:r>
        <w:rPr>
          <w:color w:val="231F1F"/>
          <w:spacing w:val="-5"/>
          <w:w w:val="105"/>
        </w:rPr>
        <w:t> </w:t>
      </w:r>
      <w:r>
        <w:rPr>
          <w:color w:val="231F1F"/>
          <w:w w:val="105"/>
        </w:rPr>
        <w:t>casos</w:t>
      </w:r>
      <w:r>
        <w:rPr>
          <w:color w:val="231F1F"/>
          <w:spacing w:val="-5"/>
          <w:w w:val="105"/>
        </w:rPr>
        <w:t> </w:t>
      </w:r>
      <w:r>
        <w:rPr>
          <w:color w:val="231F1F"/>
          <w:w w:val="105"/>
        </w:rPr>
        <w:t>por</w:t>
      </w:r>
      <w:r>
        <w:rPr>
          <w:color w:val="231F1F"/>
          <w:spacing w:val="-5"/>
          <w:w w:val="105"/>
        </w:rPr>
        <w:t> </w:t>
      </w:r>
      <w:r>
        <w:rPr>
          <w:color w:val="231F1F"/>
          <w:w w:val="105"/>
        </w:rPr>
        <w:t>hipoxia</w:t>
      </w:r>
      <w:r>
        <w:rPr>
          <w:color w:val="231F1F"/>
          <w:spacing w:val="-5"/>
          <w:w w:val="105"/>
        </w:rPr>
        <w:t> </w:t>
      </w:r>
      <w:r>
        <w:rPr>
          <w:color w:val="231F1F"/>
          <w:w w:val="105"/>
        </w:rPr>
        <w:t>intraparto</w:t>
      </w:r>
      <w:r>
        <w:rPr>
          <w:color w:val="231F1F"/>
          <w:spacing w:val="-5"/>
          <w:w w:val="105"/>
        </w:rPr>
        <w:t> </w:t>
      </w:r>
      <w:r>
        <w:rPr>
          <w:color w:val="231F1F"/>
          <w:w w:val="105"/>
        </w:rPr>
        <w:t>y</w:t>
      </w:r>
      <w:r>
        <w:rPr>
          <w:color w:val="231F1F"/>
          <w:spacing w:val="-6"/>
          <w:w w:val="105"/>
        </w:rPr>
        <w:t> </w:t>
      </w:r>
      <w:r>
        <w:rPr>
          <w:color w:val="231F1F"/>
          <w:w w:val="105"/>
        </w:rPr>
        <w:t>en</w:t>
      </w:r>
      <w:r>
        <w:rPr>
          <w:color w:val="231F1F"/>
          <w:spacing w:val="-5"/>
          <w:w w:val="105"/>
        </w:rPr>
        <w:t> </w:t>
      </w:r>
      <w:r>
        <w:rPr>
          <w:color w:val="231F1F"/>
          <w:w w:val="105"/>
        </w:rPr>
        <w:t>el</w:t>
      </w:r>
      <w:r>
        <w:rPr>
          <w:color w:val="231F1F"/>
          <w:spacing w:val="-5"/>
          <w:w w:val="105"/>
        </w:rPr>
        <w:t> </w:t>
      </w:r>
      <w:r>
        <w:rPr>
          <w:color w:val="231F1F"/>
          <w:w w:val="105"/>
        </w:rPr>
        <w:t>grupo</w:t>
      </w:r>
      <w:r>
        <w:rPr>
          <w:color w:val="231F1F"/>
          <w:spacing w:val="-5"/>
          <w:w w:val="105"/>
        </w:rPr>
        <w:t> </w:t>
      </w:r>
      <w:r>
        <w:rPr>
          <w:color w:val="231F1F"/>
          <w:w w:val="105"/>
        </w:rPr>
        <w:t>control</w:t>
      </w:r>
      <w:r>
        <w:rPr>
          <w:color w:val="231F1F"/>
          <w:spacing w:val="-5"/>
          <w:w w:val="105"/>
        </w:rPr>
        <w:t> </w:t>
      </w:r>
      <w:r>
        <w:rPr>
          <w:color w:val="231F1F"/>
          <w:w w:val="105"/>
        </w:rPr>
        <w:t>un</w:t>
      </w:r>
      <w:r>
        <w:rPr>
          <w:color w:val="231F1F"/>
          <w:spacing w:val="-5"/>
          <w:w w:val="105"/>
        </w:rPr>
        <w:t> </w:t>
      </w:r>
      <w:r>
        <w:rPr>
          <w:color w:val="231F1F"/>
          <w:w w:val="105"/>
        </w:rPr>
        <w:t>caso debido a enterocolitis necrotizante y otro caso por septicemia neonatal).</w:t>
      </w:r>
    </w:p>
    <w:p>
      <w:pPr>
        <w:pStyle w:val="BodyText"/>
        <w:spacing w:before="69"/>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1"/>
          <w:sz w:val="24"/>
        </w:rPr>
        <w:t> </w:t>
      </w:r>
      <w:r>
        <w:rPr>
          <w:rFonts w:ascii="Arial MT" w:hAnsi="Arial MT"/>
          <w:color w:val="231F1F"/>
          <w:sz w:val="24"/>
        </w:rPr>
        <w:t>(2005</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z w:val="24"/>
        </w:rPr>
        <w:t>abril</w:t>
      </w:r>
      <w:r>
        <w:rPr>
          <w:rFonts w:ascii="Arial MT" w:hAnsi="Arial MT"/>
          <w:color w:val="231F1F"/>
          <w:spacing w:val="16"/>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line="244" w:lineRule="auto" w:before="210"/>
        <w:ind w:left="283" w:right="1372"/>
        <w:jc w:val="both"/>
      </w:pPr>
      <w:r>
        <w:rPr>
          <w:color w:val="231F1F"/>
          <w:w w:val="110"/>
        </w:rPr>
        <w:t>La</w:t>
      </w:r>
      <w:r>
        <w:rPr>
          <w:color w:val="231F1F"/>
          <w:spacing w:val="-5"/>
          <w:w w:val="110"/>
        </w:rPr>
        <w:t> </w:t>
      </w:r>
      <w:r>
        <w:rPr>
          <w:color w:val="231F1F"/>
          <w:w w:val="110"/>
        </w:rPr>
        <w:t>nueva</w:t>
      </w:r>
      <w:r>
        <w:rPr>
          <w:color w:val="231F1F"/>
          <w:spacing w:val="-5"/>
          <w:w w:val="110"/>
        </w:rPr>
        <w:t> </w:t>
      </w:r>
      <w:r>
        <w:rPr>
          <w:color w:val="231F1F"/>
          <w:w w:val="110"/>
        </w:rPr>
        <w:t>búsqueda</w:t>
      </w:r>
      <w:r>
        <w:rPr>
          <w:color w:val="231F1F"/>
          <w:spacing w:val="-5"/>
          <w:w w:val="110"/>
        </w:rPr>
        <w:t> </w:t>
      </w:r>
      <w:r>
        <w:rPr>
          <w:color w:val="231F1F"/>
          <w:w w:val="110"/>
        </w:rPr>
        <w:t>de</w:t>
      </w:r>
      <w:r>
        <w:rPr>
          <w:color w:val="231F1F"/>
          <w:spacing w:val="-5"/>
          <w:w w:val="110"/>
        </w:rPr>
        <w:t> </w:t>
      </w:r>
      <w:r>
        <w:rPr>
          <w:color w:val="231F1F"/>
          <w:w w:val="110"/>
        </w:rPr>
        <w:t>RS,</w:t>
      </w:r>
      <w:r>
        <w:rPr>
          <w:color w:val="231F1F"/>
          <w:spacing w:val="-6"/>
          <w:w w:val="110"/>
        </w:rPr>
        <w:t> </w:t>
      </w:r>
      <w:r>
        <w:rPr>
          <w:color w:val="231F1F"/>
          <w:w w:val="110"/>
        </w:rPr>
        <w:t>no</w:t>
      </w:r>
      <w:r>
        <w:rPr>
          <w:color w:val="231F1F"/>
          <w:spacing w:val="-5"/>
          <w:w w:val="110"/>
        </w:rPr>
        <w:t> </w:t>
      </w:r>
      <w:r>
        <w:rPr>
          <w:color w:val="231F1F"/>
          <w:w w:val="110"/>
        </w:rPr>
        <w:t>arroja</w:t>
      </w:r>
      <w:r>
        <w:rPr>
          <w:color w:val="231F1F"/>
          <w:spacing w:val="-5"/>
          <w:w w:val="110"/>
        </w:rPr>
        <w:t> </w:t>
      </w:r>
      <w:r>
        <w:rPr>
          <w:color w:val="231F1F"/>
          <w:w w:val="110"/>
        </w:rPr>
        <w:t>ningún</w:t>
      </w:r>
      <w:r>
        <w:rPr>
          <w:color w:val="231F1F"/>
          <w:spacing w:val="-5"/>
          <w:w w:val="110"/>
        </w:rPr>
        <w:t> </w:t>
      </w:r>
      <w:r>
        <w:rPr>
          <w:color w:val="231F1F"/>
          <w:w w:val="110"/>
        </w:rPr>
        <w:t>documento</w:t>
      </w:r>
      <w:r>
        <w:rPr>
          <w:color w:val="231F1F"/>
          <w:spacing w:val="-5"/>
          <w:w w:val="110"/>
        </w:rPr>
        <w:t> </w:t>
      </w:r>
      <w:r>
        <w:rPr>
          <w:color w:val="231F1F"/>
          <w:w w:val="110"/>
        </w:rPr>
        <w:t>nuevo.</w:t>
      </w:r>
      <w:r>
        <w:rPr>
          <w:color w:val="231F1F"/>
          <w:spacing w:val="-6"/>
          <w:w w:val="110"/>
        </w:rPr>
        <w:t> </w:t>
      </w:r>
      <w:r>
        <w:rPr>
          <w:color w:val="231F1F"/>
          <w:w w:val="110"/>
        </w:rPr>
        <w:t>Por</w:t>
      </w:r>
      <w:r>
        <w:rPr>
          <w:color w:val="231F1F"/>
          <w:spacing w:val="-6"/>
          <w:w w:val="110"/>
        </w:rPr>
        <w:t> </w:t>
      </w:r>
      <w:r>
        <w:rPr>
          <w:color w:val="231F1F"/>
          <w:w w:val="110"/>
        </w:rPr>
        <w:t>ello,</w:t>
      </w:r>
      <w:r>
        <w:rPr>
          <w:color w:val="231F1F"/>
          <w:spacing w:val="-6"/>
          <w:w w:val="110"/>
        </w:rPr>
        <w:t> </w:t>
      </w:r>
      <w:r>
        <w:rPr>
          <w:color w:val="231F1F"/>
          <w:w w:val="110"/>
        </w:rPr>
        <w:t>las recomendaciones</w:t>
      </w:r>
      <w:r>
        <w:rPr>
          <w:color w:val="231F1F"/>
          <w:spacing w:val="-9"/>
          <w:w w:val="110"/>
        </w:rPr>
        <w:t> </w:t>
      </w:r>
      <w:r>
        <w:rPr>
          <w:color w:val="231F1F"/>
          <w:w w:val="110"/>
        </w:rPr>
        <w:t>se</w:t>
      </w:r>
      <w:r>
        <w:rPr>
          <w:color w:val="231F1F"/>
          <w:spacing w:val="-9"/>
          <w:w w:val="110"/>
        </w:rPr>
        <w:t> </w:t>
      </w:r>
      <w:r>
        <w:rPr>
          <w:color w:val="231F1F"/>
          <w:w w:val="110"/>
        </w:rPr>
        <w:t>basan</w:t>
      </w:r>
      <w:r>
        <w:rPr>
          <w:color w:val="231F1F"/>
          <w:spacing w:val="-9"/>
          <w:w w:val="110"/>
        </w:rPr>
        <w:t> </w:t>
      </w:r>
      <w:r>
        <w:rPr>
          <w:color w:val="231F1F"/>
          <w:w w:val="110"/>
        </w:rPr>
        <w:t>en</w:t>
      </w:r>
      <w:r>
        <w:rPr>
          <w:color w:val="231F1F"/>
          <w:spacing w:val="-9"/>
          <w:w w:val="110"/>
        </w:rPr>
        <w:t> </w:t>
      </w:r>
      <w:r>
        <w:rPr>
          <w:color w:val="231F1F"/>
          <w:w w:val="110"/>
        </w:rPr>
        <w:t>los</w:t>
      </w:r>
      <w:r>
        <w:rPr>
          <w:color w:val="231F1F"/>
          <w:spacing w:val="-9"/>
          <w:w w:val="110"/>
        </w:rPr>
        <w:t> </w:t>
      </w:r>
      <w:r>
        <w:rPr>
          <w:color w:val="231F1F"/>
          <w:w w:val="110"/>
        </w:rPr>
        <w:t>hallazgos</w:t>
      </w:r>
      <w:r>
        <w:rPr>
          <w:color w:val="231F1F"/>
          <w:spacing w:val="-9"/>
          <w:w w:val="110"/>
        </w:rPr>
        <w:t> </w:t>
      </w:r>
      <w:r>
        <w:rPr>
          <w:color w:val="231F1F"/>
          <w:w w:val="110"/>
        </w:rPr>
        <w:t>descritos</w:t>
      </w:r>
      <w:r>
        <w:rPr>
          <w:color w:val="231F1F"/>
          <w:spacing w:val="-9"/>
          <w:w w:val="110"/>
        </w:rPr>
        <w:t> </w:t>
      </w:r>
      <w:r>
        <w:rPr>
          <w:color w:val="231F1F"/>
          <w:w w:val="110"/>
        </w:rPr>
        <w:t>por</w:t>
      </w:r>
      <w:r>
        <w:rPr>
          <w:color w:val="231F1F"/>
          <w:spacing w:val="-9"/>
          <w:w w:val="110"/>
        </w:rPr>
        <w:t> </w:t>
      </w:r>
      <w:r>
        <w:rPr>
          <w:color w:val="231F1F"/>
          <w:w w:val="110"/>
        </w:rPr>
        <w:t>la</w:t>
      </w:r>
      <w:r>
        <w:rPr>
          <w:color w:val="231F1F"/>
          <w:spacing w:val="-9"/>
          <w:w w:val="110"/>
        </w:rPr>
        <w:t> </w:t>
      </w:r>
      <w:r>
        <w:rPr>
          <w:color w:val="231F1F"/>
          <w:w w:val="110"/>
        </w:rPr>
        <w:t>guía</w:t>
      </w:r>
      <w:r>
        <w:rPr>
          <w:color w:val="231F1F"/>
          <w:spacing w:val="-9"/>
          <w:w w:val="110"/>
        </w:rPr>
        <w:t> </w:t>
      </w:r>
      <w:r>
        <w:rPr>
          <w:color w:val="231F1F"/>
          <w:w w:val="110"/>
        </w:rPr>
        <w:t>NICE</w:t>
      </w:r>
      <w:r>
        <w:rPr>
          <w:color w:val="231F1F"/>
          <w:spacing w:val="-9"/>
          <w:w w:val="110"/>
        </w:rPr>
        <w:t> </w:t>
      </w:r>
      <w:r>
        <w:rPr>
          <w:color w:val="231F1F"/>
          <w:w w:val="110"/>
        </w:rPr>
        <w:t>(10).</w:t>
      </w:r>
    </w:p>
    <w:p>
      <w:pPr>
        <w:pStyle w:val="BodyText"/>
        <w:spacing w:line="244" w:lineRule="auto" w:before="137"/>
        <w:ind w:left="283" w:right="1386" w:firstLine="453"/>
      </w:pPr>
      <w:r>
        <w:rPr>
          <w:color w:val="231F1F"/>
        </w:rPr>
        <w:t>Existe</w:t>
      </w:r>
      <w:r>
        <w:rPr>
          <w:color w:val="231F1F"/>
          <w:spacing w:val="31"/>
        </w:rPr>
        <w:t> </w:t>
      </w:r>
      <w:r>
        <w:rPr>
          <w:color w:val="231F1F"/>
        </w:rPr>
        <w:t>alta</w:t>
      </w:r>
      <w:r>
        <w:rPr>
          <w:color w:val="231F1F"/>
          <w:spacing w:val="33"/>
        </w:rPr>
        <w:t> </w:t>
      </w:r>
      <w:r>
        <w:rPr>
          <w:color w:val="231F1F"/>
        </w:rPr>
        <w:t>evidencia</w:t>
      </w:r>
      <w:r>
        <w:rPr>
          <w:color w:val="231F1F"/>
          <w:spacing w:val="33"/>
        </w:rPr>
        <w:t> </w:t>
      </w:r>
      <w:r>
        <w:rPr>
          <w:color w:val="231F1F"/>
        </w:rPr>
        <w:t>de</w:t>
      </w:r>
      <w:r>
        <w:rPr>
          <w:color w:val="231F1F"/>
          <w:spacing w:val="33"/>
        </w:rPr>
        <w:t> </w:t>
      </w:r>
      <w:r>
        <w:rPr>
          <w:color w:val="231F1F"/>
        </w:rPr>
        <w:t>que</w:t>
      </w:r>
      <w:r>
        <w:rPr>
          <w:color w:val="231F1F"/>
          <w:spacing w:val="33"/>
        </w:rPr>
        <w:t> </w:t>
      </w:r>
      <w:r>
        <w:rPr>
          <w:color w:val="231F1F"/>
        </w:rPr>
        <w:t>el</w:t>
      </w:r>
      <w:r>
        <w:rPr>
          <w:color w:val="231F1F"/>
          <w:spacing w:val="33"/>
        </w:rPr>
        <w:t> </w:t>
      </w:r>
      <w:r>
        <w:rPr>
          <w:color w:val="231F1F"/>
        </w:rPr>
        <w:t>uso</w:t>
      </w:r>
      <w:r>
        <w:rPr>
          <w:color w:val="231F1F"/>
          <w:spacing w:val="33"/>
        </w:rPr>
        <w:t> </w:t>
      </w:r>
      <w:r>
        <w:rPr>
          <w:color w:val="231F1F"/>
        </w:rPr>
        <w:t>de</w:t>
      </w:r>
      <w:r>
        <w:rPr>
          <w:color w:val="231F1F"/>
          <w:spacing w:val="33"/>
        </w:rPr>
        <w:t> </w:t>
      </w:r>
      <w:r>
        <w:rPr>
          <w:color w:val="231F1F"/>
        </w:rPr>
        <w:t>cetrimida/clorhexidina</w:t>
      </w:r>
      <w:r>
        <w:rPr>
          <w:color w:val="231F1F"/>
          <w:spacing w:val="31"/>
        </w:rPr>
        <w:t> </w:t>
      </w:r>
      <w:r>
        <w:rPr>
          <w:color w:val="231F1F"/>
        </w:rPr>
        <w:t>para</w:t>
      </w:r>
      <w:r>
        <w:rPr>
          <w:color w:val="231F1F"/>
          <w:spacing w:val="33"/>
        </w:rPr>
        <w:t> </w:t>
      </w:r>
      <w:r>
        <w:rPr>
          <w:color w:val="231F1F"/>
        </w:rPr>
        <w:t>el</w:t>
      </w:r>
      <w:r>
        <w:rPr>
          <w:color w:val="231F1F"/>
          <w:spacing w:val="33"/>
        </w:rPr>
        <w:t> </w:t>
      </w:r>
      <w:r>
        <w:rPr>
          <w:color w:val="231F1F"/>
        </w:rPr>
        <w:t>la- </w:t>
      </w:r>
      <w:r>
        <w:rPr>
          <w:color w:val="231F1F"/>
          <w:w w:val="110"/>
        </w:rPr>
        <w:t>vado perineal no es más efectivo que el agua corriente.</w:t>
      </w:r>
    </w:p>
    <w:p>
      <w:pPr>
        <w:pStyle w:val="BodyText"/>
        <w:spacing w:before="166"/>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53"/>
              <w:ind w:right="156"/>
              <w:rPr>
                <w:sz w:val="22"/>
              </w:rPr>
            </w:pPr>
            <w:r>
              <w:rPr>
                <w:color w:val="231F1F"/>
                <w:sz w:val="22"/>
              </w:rPr>
              <w:t>El</w:t>
            </w:r>
            <w:r>
              <w:rPr>
                <w:color w:val="231F1F"/>
                <w:spacing w:val="29"/>
                <w:sz w:val="22"/>
              </w:rPr>
              <w:t> </w:t>
            </w:r>
            <w:r>
              <w:rPr>
                <w:color w:val="231F1F"/>
                <w:sz w:val="22"/>
              </w:rPr>
              <w:t>uso</w:t>
            </w:r>
            <w:r>
              <w:rPr>
                <w:color w:val="231F1F"/>
                <w:spacing w:val="29"/>
                <w:sz w:val="22"/>
              </w:rPr>
              <w:t> </w:t>
            </w:r>
            <w:r>
              <w:rPr>
                <w:color w:val="231F1F"/>
                <w:sz w:val="22"/>
              </w:rPr>
              <w:t>de</w:t>
            </w:r>
            <w:r>
              <w:rPr>
                <w:color w:val="231F1F"/>
                <w:spacing w:val="29"/>
                <w:sz w:val="22"/>
              </w:rPr>
              <w:t> </w:t>
            </w:r>
            <w:r>
              <w:rPr>
                <w:color w:val="231F1F"/>
                <w:sz w:val="22"/>
              </w:rPr>
              <w:t>cetrimida/clorhexidina para</w:t>
            </w:r>
            <w:r>
              <w:rPr>
                <w:color w:val="231F1F"/>
                <w:spacing w:val="29"/>
                <w:sz w:val="22"/>
              </w:rPr>
              <w:t> </w:t>
            </w:r>
            <w:r>
              <w:rPr>
                <w:color w:val="231F1F"/>
                <w:sz w:val="22"/>
              </w:rPr>
              <w:t>el</w:t>
            </w:r>
            <w:r>
              <w:rPr>
                <w:color w:val="231F1F"/>
                <w:spacing w:val="29"/>
                <w:sz w:val="22"/>
              </w:rPr>
              <w:t> </w:t>
            </w:r>
            <w:r>
              <w:rPr>
                <w:color w:val="231F1F"/>
                <w:sz w:val="22"/>
              </w:rPr>
              <w:t>lavado</w:t>
            </w:r>
            <w:r>
              <w:rPr>
                <w:color w:val="231F1F"/>
                <w:spacing w:val="30"/>
                <w:sz w:val="22"/>
              </w:rPr>
              <w:t> </w:t>
            </w:r>
            <w:r>
              <w:rPr>
                <w:color w:val="231F1F"/>
                <w:sz w:val="22"/>
              </w:rPr>
              <w:t>perineal</w:t>
            </w:r>
            <w:r>
              <w:rPr>
                <w:color w:val="231F1F"/>
                <w:spacing w:val="27"/>
                <w:sz w:val="22"/>
              </w:rPr>
              <w:t> </w:t>
            </w:r>
            <w:r>
              <w:rPr>
                <w:color w:val="231F1F"/>
                <w:sz w:val="22"/>
              </w:rPr>
              <w:t>no</w:t>
            </w:r>
            <w:r>
              <w:rPr>
                <w:color w:val="231F1F"/>
                <w:spacing w:val="29"/>
                <w:sz w:val="22"/>
              </w:rPr>
              <w:t> </w:t>
            </w:r>
            <w:r>
              <w:rPr>
                <w:color w:val="231F1F"/>
                <w:sz w:val="22"/>
              </w:rPr>
              <w:t>es</w:t>
            </w:r>
            <w:r>
              <w:rPr>
                <w:color w:val="231F1F"/>
                <w:spacing w:val="29"/>
                <w:sz w:val="22"/>
              </w:rPr>
              <w:t> </w:t>
            </w:r>
            <w:r>
              <w:rPr>
                <w:color w:val="231F1F"/>
                <w:sz w:val="22"/>
              </w:rPr>
              <w:t>más</w:t>
            </w:r>
            <w:r>
              <w:rPr>
                <w:color w:val="231F1F"/>
                <w:spacing w:val="29"/>
                <w:sz w:val="22"/>
              </w:rPr>
              <w:t> </w:t>
            </w:r>
            <w:r>
              <w:rPr>
                <w:color w:val="231F1F"/>
                <w:sz w:val="22"/>
              </w:rPr>
              <w:t>efectivo que</w:t>
            </w:r>
            <w:r>
              <w:rPr>
                <w:color w:val="231F1F"/>
                <w:spacing w:val="40"/>
                <w:sz w:val="22"/>
              </w:rPr>
              <w:t> </w:t>
            </w:r>
            <w:r>
              <w:rPr>
                <w:color w:val="231F1F"/>
                <w:sz w:val="22"/>
              </w:rPr>
              <w:t>el</w:t>
            </w:r>
            <w:r>
              <w:rPr>
                <w:color w:val="231F1F"/>
                <w:spacing w:val="40"/>
                <w:sz w:val="22"/>
              </w:rPr>
              <w:t> </w:t>
            </w:r>
            <w:r>
              <w:rPr>
                <w:color w:val="231F1F"/>
                <w:sz w:val="22"/>
              </w:rPr>
              <w:t>agua</w:t>
            </w:r>
            <w:r>
              <w:rPr>
                <w:color w:val="231F1F"/>
                <w:spacing w:val="40"/>
                <w:sz w:val="22"/>
              </w:rPr>
              <w:t> </w:t>
            </w:r>
            <w:r>
              <w:rPr>
                <w:color w:val="231F1F"/>
                <w:sz w:val="22"/>
              </w:rPr>
              <w:t>corriente</w:t>
            </w:r>
            <w:r>
              <w:rPr>
                <w:color w:val="231F1F"/>
                <w:spacing w:val="40"/>
                <w:sz w:val="22"/>
              </w:rPr>
              <w:t> </w:t>
            </w:r>
            <w:r>
              <w:rPr>
                <w:color w:val="231F1F"/>
                <w:sz w:val="22"/>
              </w:rPr>
              <w:t>(59;60).</w:t>
            </w:r>
          </w:p>
        </w:tc>
        <w:tc>
          <w:tcPr>
            <w:tcW w:w="1133" w:type="dxa"/>
          </w:tcPr>
          <w:p>
            <w:pPr>
              <w:pStyle w:val="TableParagraph"/>
              <w:spacing w:before="178"/>
              <w:ind w:left="388"/>
              <w:rPr>
                <w:sz w:val="22"/>
              </w:rPr>
            </w:pPr>
            <w:r>
              <w:rPr>
                <w:color w:val="231F1F"/>
                <w:spacing w:val="-5"/>
                <w:w w:val="105"/>
                <w:sz w:val="22"/>
              </w:rPr>
              <w:t>1++</w:t>
            </w:r>
          </w:p>
        </w:tc>
      </w:tr>
    </w:tbl>
    <w:p>
      <w:pPr>
        <w:pStyle w:val="BodyText"/>
        <w:spacing w:before="117"/>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before="44"/>
              <w:ind w:right="155"/>
              <w:rPr>
                <w:sz w:val="22"/>
              </w:rPr>
            </w:pPr>
            <w:r>
              <w:rPr>
                <w:color w:val="231F1F"/>
                <w:w w:val="105"/>
                <w:sz w:val="22"/>
              </w:rPr>
              <w:t>Se</w:t>
            </w:r>
            <w:r>
              <w:rPr>
                <w:color w:val="231F1F"/>
                <w:spacing w:val="-8"/>
                <w:w w:val="105"/>
                <w:sz w:val="22"/>
              </w:rPr>
              <w:t> </w:t>
            </w:r>
            <w:r>
              <w:rPr>
                <w:color w:val="231F1F"/>
                <w:w w:val="105"/>
                <w:sz w:val="22"/>
              </w:rPr>
              <w:t>recomienda</w:t>
            </w:r>
            <w:r>
              <w:rPr>
                <w:color w:val="231F1F"/>
                <w:spacing w:val="-7"/>
                <w:w w:val="105"/>
                <w:sz w:val="22"/>
              </w:rPr>
              <w:t> </w:t>
            </w:r>
            <w:r>
              <w:rPr>
                <w:color w:val="231F1F"/>
                <w:w w:val="105"/>
                <w:sz w:val="22"/>
              </w:rPr>
              <w:t>utilizar</w:t>
            </w:r>
            <w:r>
              <w:rPr>
                <w:color w:val="231F1F"/>
                <w:spacing w:val="-8"/>
                <w:w w:val="105"/>
                <w:sz w:val="22"/>
              </w:rPr>
              <w:t> </w:t>
            </w:r>
            <w:r>
              <w:rPr>
                <w:color w:val="231F1F"/>
                <w:w w:val="105"/>
                <w:sz w:val="22"/>
              </w:rPr>
              <w:t>agua</w:t>
            </w:r>
            <w:r>
              <w:rPr>
                <w:color w:val="231F1F"/>
                <w:spacing w:val="-7"/>
                <w:w w:val="105"/>
                <w:sz w:val="22"/>
              </w:rPr>
              <w:t> </w:t>
            </w:r>
            <w:r>
              <w:rPr>
                <w:color w:val="231F1F"/>
                <w:w w:val="105"/>
                <w:sz w:val="22"/>
              </w:rPr>
              <w:t>corriente</w:t>
            </w:r>
            <w:r>
              <w:rPr>
                <w:color w:val="231F1F"/>
                <w:spacing w:val="-7"/>
                <w:w w:val="105"/>
                <w:sz w:val="22"/>
              </w:rPr>
              <w:t> </w:t>
            </w:r>
            <w:r>
              <w:rPr>
                <w:color w:val="231F1F"/>
                <w:w w:val="105"/>
                <w:sz w:val="22"/>
              </w:rPr>
              <w:t>si</w:t>
            </w:r>
            <w:r>
              <w:rPr>
                <w:color w:val="231F1F"/>
                <w:spacing w:val="-8"/>
                <w:w w:val="105"/>
                <w:sz w:val="22"/>
              </w:rPr>
              <w:t> </w:t>
            </w:r>
            <w:r>
              <w:rPr>
                <w:color w:val="231F1F"/>
                <w:w w:val="105"/>
                <w:sz w:val="22"/>
              </w:rPr>
              <w:t>se</w:t>
            </w:r>
            <w:r>
              <w:rPr>
                <w:color w:val="231F1F"/>
                <w:spacing w:val="-8"/>
                <w:w w:val="105"/>
                <w:sz w:val="22"/>
              </w:rPr>
              <w:t> </w:t>
            </w:r>
            <w:r>
              <w:rPr>
                <w:color w:val="231F1F"/>
                <w:w w:val="105"/>
                <w:sz w:val="22"/>
              </w:rPr>
              <w:t>necesita</w:t>
            </w:r>
            <w:r>
              <w:rPr>
                <w:color w:val="231F1F"/>
                <w:spacing w:val="-8"/>
                <w:w w:val="105"/>
                <w:sz w:val="22"/>
              </w:rPr>
              <w:t> </w:t>
            </w:r>
            <w:r>
              <w:rPr>
                <w:color w:val="231F1F"/>
                <w:w w:val="105"/>
                <w:sz w:val="22"/>
              </w:rPr>
              <w:t>un</w:t>
            </w:r>
            <w:r>
              <w:rPr>
                <w:color w:val="231F1F"/>
                <w:spacing w:val="-6"/>
                <w:w w:val="105"/>
                <w:sz w:val="22"/>
              </w:rPr>
              <w:t> </w:t>
            </w:r>
            <w:r>
              <w:rPr>
                <w:color w:val="231F1F"/>
                <w:w w:val="105"/>
                <w:sz w:val="22"/>
              </w:rPr>
              <w:t>lavado</w:t>
            </w:r>
            <w:r>
              <w:rPr>
                <w:color w:val="231F1F"/>
                <w:spacing w:val="-7"/>
                <w:w w:val="105"/>
                <w:sz w:val="22"/>
              </w:rPr>
              <w:t> </w:t>
            </w:r>
            <w:r>
              <w:rPr>
                <w:color w:val="231F1F"/>
                <w:w w:val="105"/>
                <w:sz w:val="22"/>
              </w:rPr>
              <w:t>antes</w:t>
            </w:r>
            <w:r>
              <w:rPr>
                <w:color w:val="231F1F"/>
                <w:spacing w:val="-6"/>
                <w:w w:val="105"/>
                <w:sz w:val="22"/>
              </w:rPr>
              <w:t> </w:t>
            </w:r>
            <w:r>
              <w:rPr>
                <w:color w:val="231F1F"/>
                <w:w w:val="105"/>
                <w:sz w:val="22"/>
              </w:rPr>
              <w:t>de</w:t>
            </w:r>
            <w:r>
              <w:rPr>
                <w:color w:val="231F1F"/>
                <w:spacing w:val="-8"/>
                <w:w w:val="105"/>
                <w:sz w:val="22"/>
              </w:rPr>
              <w:t> </w:t>
            </w:r>
            <w:r>
              <w:rPr>
                <w:color w:val="231F1F"/>
                <w:w w:val="105"/>
                <w:sz w:val="22"/>
              </w:rPr>
              <w:t>un</w:t>
            </w:r>
            <w:r>
              <w:rPr>
                <w:color w:val="231F1F"/>
                <w:spacing w:val="-6"/>
                <w:w w:val="105"/>
                <w:sz w:val="22"/>
              </w:rPr>
              <w:t> </w:t>
            </w:r>
            <w:r>
              <w:rPr>
                <w:color w:val="231F1F"/>
                <w:w w:val="105"/>
                <w:sz w:val="22"/>
              </w:rPr>
              <w:t>examen vaginal, no siendo necesario el uso de antisépticos.</w:t>
            </w:r>
          </w:p>
        </w:tc>
      </w:tr>
    </w:tbl>
    <w:p>
      <w:pPr>
        <w:pStyle w:val="TableParagraph"/>
        <w:spacing w:after="0"/>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rPr>
        <w:t>Utilización</w:t>
      </w:r>
      <w:r>
        <w:rPr>
          <w:color w:val="231F1F"/>
          <w:spacing w:val="51"/>
        </w:rPr>
        <w:t> </w:t>
      </w:r>
      <w:r>
        <w:rPr>
          <w:color w:val="231F1F"/>
        </w:rPr>
        <w:t>de</w:t>
      </w:r>
      <w:r>
        <w:rPr>
          <w:color w:val="231F1F"/>
          <w:spacing w:val="53"/>
        </w:rPr>
        <w:t> </w:t>
      </w:r>
      <w:r>
        <w:rPr>
          <w:color w:val="231F1F"/>
          <w:spacing w:val="-2"/>
        </w:rPr>
        <w:t>partograma</w:t>
      </w:r>
    </w:p>
    <w:p>
      <w:pPr>
        <w:pStyle w:val="BodyText"/>
        <w:spacing w:before="20"/>
        <w:rPr>
          <w:sz w:val="20"/>
        </w:rPr>
      </w:pPr>
      <w:r>
        <w:rPr>
          <w:sz w:val="20"/>
        </w:rPr>
        <mc:AlternateContent>
          <mc:Choice Requires="wps">
            <w:drawing>
              <wp:anchor distT="0" distB="0" distL="0" distR="0" allowOverlap="1" layoutInCell="1" locked="0" behindDoc="1" simplePos="0" relativeHeight="487604736">
                <wp:simplePos x="0" y="0"/>
                <wp:positionH relativeFrom="page">
                  <wp:posOffset>1082675</wp:posOffset>
                </wp:positionH>
                <wp:positionV relativeFrom="paragraph">
                  <wp:posOffset>177184</wp:posOffset>
                </wp:positionV>
                <wp:extent cx="5400040" cy="262255"/>
                <wp:effectExtent l="0" t="0" r="0" b="0"/>
                <wp:wrapTopAndBottom/>
                <wp:docPr id="67" name="Textbox 67"/>
                <wp:cNvGraphicFramePr>
                  <a:graphicFrameLocks/>
                </wp:cNvGraphicFramePr>
                <a:graphic>
                  <a:graphicData uri="http://schemas.microsoft.com/office/word/2010/wordprocessingShape">
                    <wps:wsp>
                      <wps:cNvPr id="67" name="Textbox 67"/>
                      <wps:cNvSpPr txBox="1"/>
                      <wps:spPr>
                        <a:xfrm>
                          <a:off x="0" y="0"/>
                          <a:ext cx="5400040" cy="262255"/>
                        </a:xfrm>
                        <a:prstGeom prst="rect">
                          <a:avLst/>
                        </a:prstGeom>
                        <a:ln w="6350">
                          <a:solidFill>
                            <a:srgbClr val="A30046"/>
                          </a:solidFill>
                          <a:prstDash val="solid"/>
                        </a:ln>
                      </wps:spPr>
                      <wps:txbx>
                        <w:txbxContent>
                          <w:p>
                            <w:pPr>
                              <w:pStyle w:val="BodyText"/>
                              <w:numPr>
                                <w:ilvl w:val="0"/>
                                <w:numId w:val="30"/>
                              </w:numPr>
                              <w:tabs>
                                <w:tab w:pos="322" w:val="left" w:leader="none"/>
                              </w:tabs>
                              <w:spacing w:line="240" w:lineRule="auto" w:before="55" w:after="0"/>
                              <w:ind w:left="322" w:right="0" w:hanging="218"/>
                              <w:jc w:val="left"/>
                            </w:pPr>
                            <w:r>
                              <w:rPr>
                                <w:color w:val="231F1F"/>
                              </w:rPr>
                              <w:t>¿La</w:t>
                            </w:r>
                            <w:r>
                              <w:rPr>
                                <w:color w:val="231F1F"/>
                                <w:spacing w:val="38"/>
                              </w:rPr>
                              <w:t> </w:t>
                            </w:r>
                            <w:r>
                              <w:rPr>
                                <w:color w:val="231F1F"/>
                              </w:rPr>
                              <w:t>utilización</w:t>
                            </w:r>
                            <w:r>
                              <w:rPr>
                                <w:color w:val="231F1F"/>
                                <w:spacing w:val="43"/>
                              </w:rPr>
                              <w:t> </w:t>
                            </w:r>
                            <w:r>
                              <w:rPr>
                                <w:color w:val="231F1F"/>
                              </w:rPr>
                              <w:t>del</w:t>
                            </w:r>
                            <w:r>
                              <w:rPr>
                                <w:color w:val="231F1F"/>
                                <w:spacing w:val="36"/>
                              </w:rPr>
                              <w:t> </w:t>
                            </w:r>
                            <w:r>
                              <w:rPr>
                                <w:color w:val="231F1F"/>
                              </w:rPr>
                              <w:t>partograma</w:t>
                            </w:r>
                            <w:r>
                              <w:rPr>
                                <w:color w:val="231F1F"/>
                                <w:spacing w:val="42"/>
                              </w:rPr>
                              <w:t> </w:t>
                            </w:r>
                            <w:r>
                              <w:rPr>
                                <w:color w:val="231F1F"/>
                              </w:rPr>
                              <w:t>mejora</w:t>
                            </w:r>
                            <w:r>
                              <w:rPr>
                                <w:color w:val="231F1F"/>
                                <w:spacing w:val="40"/>
                              </w:rPr>
                              <w:t> </w:t>
                            </w:r>
                            <w:r>
                              <w:rPr>
                                <w:color w:val="231F1F"/>
                              </w:rPr>
                              <w:t>los</w:t>
                            </w:r>
                            <w:r>
                              <w:rPr>
                                <w:color w:val="231F1F"/>
                                <w:spacing w:val="42"/>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711744;mso-wrap-distance-left:0;mso-wrap-distance-right:0" type="#_x0000_t202" id="docshape56" filled="false" stroked="true" strokeweight=".5pt" strokecolor="#a30046">
                <v:textbox inset="0,0,0,0">
                  <w:txbxContent>
                    <w:p>
                      <w:pPr>
                        <w:pStyle w:val="BodyText"/>
                        <w:numPr>
                          <w:ilvl w:val="0"/>
                          <w:numId w:val="30"/>
                        </w:numPr>
                        <w:tabs>
                          <w:tab w:pos="322" w:val="left" w:leader="none"/>
                        </w:tabs>
                        <w:spacing w:line="240" w:lineRule="auto" w:before="55" w:after="0"/>
                        <w:ind w:left="322" w:right="0" w:hanging="218"/>
                        <w:jc w:val="left"/>
                      </w:pPr>
                      <w:r>
                        <w:rPr>
                          <w:color w:val="231F1F"/>
                        </w:rPr>
                        <w:t>¿La</w:t>
                      </w:r>
                      <w:r>
                        <w:rPr>
                          <w:color w:val="231F1F"/>
                          <w:spacing w:val="38"/>
                        </w:rPr>
                        <w:t> </w:t>
                      </w:r>
                      <w:r>
                        <w:rPr>
                          <w:color w:val="231F1F"/>
                        </w:rPr>
                        <w:t>utilización</w:t>
                      </w:r>
                      <w:r>
                        <w:rPr>
                          <w:color w:val="231F1F"/>
                          <w:spacing w:val="43"/>
                        </w:rPr>
                        <w:t> </w:t>
                      </w:r>
                      <w:r>
                        <w:rPr>
                          <w:color w:val="231F1F"/>
                        </w:rPr>
                        <w:t>del</w:t>
                      </w:r>
                      <w:r>
                        <w:rPr>
                          <w:color w:val="231F1F"/>
                          <w:spacing w:val="36"/>
                        </w:rPr>
                        <w:t> </w:t>
                      </w:r>
                      <w:r>
                        <w:rPr>
                          <w:color w:val="231F1F"/>
                        </w:rPr>
                        <w:t>partograma</w:t>
                      </w:r>
                      <w:r>
                        <w:rPr>
                          <w:color w:val="231F1F"/>
                          <w:spacing w:val="42"/>
                        </w:rPr>
                        <w:t> </w:t>
                      </w:r>
                      <w:r>
                        <w:rPr>
                          <w:color w:val="231F1F"/>
                        </w:rPr>
                        <w:t>mejora</w:t>
                      </w:r>
                      <w:r>
                        <w:rPr>
                          <w:color w:val="231F1F"/>
                          <w:spacing w:val="40"/>
                        </w:rPr>
                        <w:t> </w:t>
                      </w:r>
                      <w:r>
                        <w:rPr>
                          <w:color w:val="231F1F"/>
                        </w:rPr>
                        <w:t>los</w:t>
                      </w:r>
                      <w:r>
                        <w:rPr>
                          <w:color w:val="231F1F"/>
                          <w:spacing w:val="42"/>
                        </w:rPr>
                        <w:t> </w:t>
                      </w:r>
                      <w:r>
                        <w:rPr>
                          <w:color w:val="231F1F"/>
                          <w:spacing w:val="-2"/>
                        </w:rPr>
                        <w:t>resultados?</w:t>
                      </w:r>
                    </w:p>
                  </w:txbxContent>
                </v:textbox>
                <v:stroke dashstyle="solid"/>
                <w10:wrap type="topAndBottom"/>
              </v:shape>
            </w:pict>
          </mc:Fallback>
        </mc:AlternateContent>
      </w:r>
    </w:p>
    <w:p>
      <w:pPr>
        <w:pStyle w:val="BodyText"/>
        <w:spacing w:line="249" w:lineRule="auto" w:before="334"/>
        <w:ind w:left="283" w:right="117"/>
        <w:jc w:val="both"/>
      </w:pPr>
      <w:r>
        <w:rPr>
          <w:color w:val="231F1F"/>
          <w:w w:val="105"/>
        </w:rPr>
        <w:t>En la mayoría de las maternidades se usan gráficos, usualmente denominados partogramas, para anotar las exploraciones durante la fase activa de la dilatación. En el partograma, las matronas registran las constantes de la mujer, frecuencia e intensidad de las contracciones, descenso de la cabeza fetal y dilatación cervical.</w:t>
      </w:r>
    </w:p>
    <w:p>
      <w:pPr>
        <w:pStyle w:val="BodyText"/>
        <w:spacing w:line="252" w:lineRule="auto" w:before="133"/>
        <w:ind w:left="283" w:right="112" w:firstLine="453"/>
        <w:jc w:val="both"/>
      </w:pPr>
      <w:r>
        <w:rPr>
          <w:color w:val="231F1F"/>
          <w:w w:val="105"/>
        </w:rPr>
        <w:t>Se han usado diversos tipos de partograma, algunos de los cuales contienen líneas para </w:t>
      </w:r>
      <w:r>
        <w:rPr>
          <w:color w:val="231F1F"/>
          <w:spacing w:val="-2"/>
          <w:w w:val="105"/>
        </w:rPr>
        <w:t>guiar</w:t>
      </w:r>
      <w:r>
        <w:rPr>
          <w:color w:val="231F1F"/>
          <w:spacing w:val="-10"/>
          <w:w w:val="105"/>
        </w:rPr>
        <w:t> </w:t>
      </w:r>
      <w:r>
        <w:rPr>
          <w:color w:val="231F1F"/>
          <w:spacing w:val="-2"/>
          <w:w w:val="105"/>
        </w:rPr>
        <w:t>las</w:t>
      </w:r>
      <w:r>
        <w:rPr>
          <w:color w:val="231F1F"/>
          <w:spacing w:val="-10"/>
          <w:w w:val="105"/>
        </w:rPr>
        <w:t> </w:t>
      </w:r>
      <w:r>
        <w:rPr>
          <w:color w:val="231F1F"/>
          <w:spacing w:val="-2"/>
          <w:w w:val="105"/>
        </w:rPr>
        <w:t>intervenciones,</w:t>
      </w:r>
      <w:r>
        <w:rPr>
          <w:color w:val="231F1F"/>
          <w:spacing w:val="-10"/>
          <w:w w:val="105"/>
        </w:rPr>
        <w:t> </w:t>
      </w:r>
      <w:r>
        <w:rPr>
          <w:color w:val="231F1F"/>
          <w:spacing w:val="-2"/>
          <w:w w:val="105"/>
        </w:rPr>
        <w:t>generalmente</w:t>
      </w:r>
      <w:r>
        <w:rPr>
          <w:color w:val="231F1F"/>
          <w:spacing w:val="-10"/>
          <w:w w:val="105"/>
        </w:rPr>
        <w:t> </w:t>
      </w:r>
      <w:r>
        <w:rPr>
          <w:color w:val="231F1F"/>
          <w:spacing w:val="-2"/>
          <w:w w:val="105"/>
        </w:rPr>
        <w:t>llamadas</w:t>
      </w:r>
      <w:r>
        <w:rPr>
          <w:color w:val="231F1F"/>
          <w:spacing w:val="-10"/>
          <w:w w:val="105"/>
        </w:rPr>
        <w:t> </w:t>
      </w:r>
      <w:r>
        <w:rPr>
          <w:color w:val="231F1F"/>
          <w:spacing w:val="-2"/>
          <w:w w:val="105"/>
        </w:rPr>
        <w:t>líneas</w:t>
      </w:r>
      <w:r>
        <w:rPr>
          <w:color w:val="231F1F"/>
          <w:spacing w:val="-10"/>
          <w:w w:val="105"/>
        </w:rPr>
        <w:t> </w:t>
      </w:r>
      <w:r>
        <w:rPr>
          <w:color w:val="231F1F"/>
          <w:spacing w:val="-2"/>
          <w:w w:val="105"/>
        </w:rPr>
        <w:t>de</w:t>
      </w:r>
      <w:r>
        <w:rPr>
          <w:color w:val="231F1F"/>
          <w:spacing w:val="-10"/>
          <w:w w:val="105"/>
        </w:rPr>
        <w:t> </w:t>
      </w:r>
      <w:r>
        <w:rPr>
          <w:color w:val="231F1F"/>
          <w:spacing w:val="-2"/>
          <w:w w:val="105"/>
        </w:rPr>
        <w:t>alerta</w:t>
      </w:r>
      <w:r>
        <w:rPr>
          <w:color w:val="231F1F"/>
          <w:spacing w:val="-10"/>
          <w:w w:val="105"/>
        </w:rPr>
        <w:t> </w:t>
      </w:r>
      <w:r>
        <w:rPr>
          <w:color w:val="231F1F"/>
          <w:spacing w:val="-2"/>
          <w:w w:val="105"/>
        </w:rPr>
        <w:t>y</w:t>
      </w:r>
      <w:r>
        <w:rPr>
          <w:color w:val="231F1F"/>
          <w:spacing w:val="-10"/>
          <w:w w:val="105"/>
        </w:rPr>
        <w:t> </w:t>
      </w:r>
      <w:r>
        <w:rPr>
          <w:color w:val="231F1F"/>
          <w:spacing w:val="-2"/>
          <w:w w:val="105"/>
        </w:rPr>
        <w:t>de</w:t>
      </w:r>
      <w:r>
        <w:rPr>
          <w:color w:val="231F1F"/>
          <w:spacing w:val="-10"/>
          <w:w w:val="105"/>
        </w:rPr>
        <w:t> </w:t>
      </w:r>
      <w:r>
        <w:rPr>
          <w:color w:val="231F1F"/>
          <w:spacing w:val="-2"/>
          <w:w w:val="105"/>
        </w:rPr>
        <w:t>acción.</w:t>
      </w:r>
      <w:r>
        <w:rPr>
          <w:color w:val="231F1F"/>
          <w:spacing w:val="-10"/>
          <w:w w:val="105"/>
        </w:rPr>
        <w:t> </w:t>
      </w:r>
      <w:r>
        <w:rPr>
          <w:color w:val="231F1F"/>
          <w:spacing w:val="-2"/>
          <w:w w:val="105"/>
        </w:rPr>
        <w:t>La</w:t>
      </w:r>
      <w:r>
        <w:rPr>
          <w:color w:val="231F1F"/>
          <w:spacing w:val="-10"/>
          <w:w w:val="105"/>
        </w:rPr>
        <w:t> </w:t>
      </w:r>
      <w:r>
        <w:rPr>
          <w:color w:val="231F1F"/>
          <w:spacing w:val="-2"/>
          <w:w w:val="105"/>
        </w:rPr>
        <w:t>línea</w:t>
      </w:r>
      <w:r>
        <w:rPr>
          <w:color w:val="231F1F"/>
          <w:spacing w:val="-10"/>
          <w:w w:val="105"/>
        </w:rPr>
        <w:t> </w:t>
      </w:r>
      <w:r>
        <w:rPr>
          <w:color w:val="231F1F"/>
          <w:spacing w:val="-2"/>
          <w:w w:val="105"/>
        </w:rPr>
        <w:t>de</w:t>
      </w:r>
      <w:r>
        <w:rPr>
          <w:color w:val="231F1F"/>
          <w:spacing w:val="-10"/>
          <w:w w:val="105"/>
        </w:rPr>
        <w:t> </w:t>
      </w:r>
      <w:r>
        <w:rPr>
          <w:color w:val="231F1F"/>
          <w:spacing w:val="-2"/>
          <w:w w:val="105"/>
        </w:rPr>
        <w:t>acción </w:t>
      </w:r>
      <w:r>
        <w:rPr>
          <w:color w:val="231F1F"/>
          <w:w w:val="105"/>
        </w:rPr>
        <w:t>se</w:t>
      </w:r>
      <w:r>
        <w:rPr>
          <w:color w:val="231F1F"/>
          <w:spacing w:val="-6"/>
          <w:w w:val="105"/>
        </w:rPr>
        <w:t> </w:t>
      </w:r>
      <w:r>
        <w:rPr>
          <w:color w:val="231F1F"/>
          <w:w w:val="105"/>
        </w:rPr>
        <w:t>dibuja</w:t>
      </w:r>
      <w:r>
        <w:rPr>
          <w:color w:val="231F1F"/>
          <w:spacing w:val="-6"/>
          <w:w w:val="105"/>
        </w:rPr>
        <w:t> </w:t>
      </w:r>
      <w:r>
        <w:rPr>
          <w:color w:val="231F1F"/>
          <w:w w:val="105"/>
        </w:rPr>
        <w:t>a</w:t>
      </w:r>
      <w:r>
        <w:rPr>
          <w:color w:val="231F1F"/>
          <w:spacing w:val="-6"/>
          <w:w w:val="105"/>
        </w:rPr>
        <w:t> </w:t>
      </w:r>
      <w:r>
        <w:rPr>
          <w:color w:val="231F1F"/>
          <w:w w:val="105"/>
        </w:rPr>
        <w:t>la</w:t>
      </w:r>
      <w:r>
        <w:rPr>
          <w:color w:val="231F1F"/>
          <w:spacing w:val="-6"/>
          <w:w w:val="105"/>
        </w:rPr>
        <w:t> </w:t>
      </w:r>
      <w:r>
        <w:rPr>
          <w:color w:val="231F1F"/>
          <w:w w:val="105"/>
        </w:rPr>
        <w:t>derecha</w:t>
      </w:r>
      <w:r>
        <w:rPr>
          <w:color w:val="231F1F"/>
          <w:spacing w:val="-7"/>
          <w:w w:val="105"/>
        </w:rPr>
        <w:t> </w:t>
      </w:r>
      <w:r>
        <w:rPr>
          <w:color w:val="231F1F"/>
          <w:w w:val="105"/>
        </w:rPr>
        <w:t>de</w:t>
      </w:r>
      <w:r>
        <w:rPr>
          <w:color w:val="231F1F"/>
          <w:spacing w:val="-6"/>
          <w:w w:val="105"/>
        </w:rPr>
        <w:t> </w:t>
      </w:r>
      <w:r>
        <w:rPr>
          <w:color w:val="231F1F"/>
          <w:w w:val="105"/>
        </w:rPr>
        <w:t>la</w:t>
      </w:r>
      <w:r>
        <w:rPr>
          <w:color w:val="231F1F"/>
          <w:spacing w:val="-6"/>
          <w:w w:val="105"/>
        </w:rPr>
        <w:t> </w:t>
      </w:r>
      <w:r>
        <w:rPr>
          <w:color w:val="231F1F"/>
          <w:w w:val="105"/>
        </w:rPr>
        <w:t>línea</w:t>
      </w:r>
      <w:r>
        <w:rPr>
          <w:color w:val="231F1F"/>
          <w:spacing w:val="-6"/>
          <w:w w:val="105"/>
        </w:rPr>
        <w:t> </w:t>
      </w:r>
      <w:r>
        <w:rPr>
          <w:color w:val="231F1F"/>
          <w:w w:val="105"/>
        </w:rPr>
        <w:t>que</w:t>
      </w:r>
      <w:r>
        <w:rPr>
          <w:color w:val="231F1F"/>
          <w:spacing w:val="-6"/>
          <w:w w:val="105"/>
        </w:rPr>
        <w:t> </w:t>
      </w:r>
      <w:r>
        <w:rPr>
          <w:color w:val="231F1F"/>
          <w:w w:val="105"/>
        </w:rPr>
        <w:t>muestra</w:t>
      </w:r>
      <w:r>
        <w:rPr>
          <w:color w:val="231F1F"/>
          <w:spacing w:val="-6"/>
          <w:w w:val="105"/>
        </w:rPr>
        <w:t> </w:t>
      </w:r>
      <w:r>
        <w:rPr>
          <w:color w:val="231F1F"/>
          <w:w w:val="105"/>
        </w:rPr>
        <w:t>el</w:t>
      </w:r>
      <w:r>
        <w:rPr>
          <w:color w:val="231F1F"/>
          <w:spacing w:val="-6"/>
          <w:w w:val="105"/>
        </w:rPr>
        <w:t> </w:t>
      </w:r>
      <w:r>
        <w:rPr>
          <w:color w:val="231F1F"/>
          <w:w w:val="105"/>
        </w:rPr>
        <w:t>progreso</w:t>
      </w:r>
      <w:r>
        <w:rPr>
          <w:color w:val="231F1F"/>
          <w:spacing w:val="-6"/>
          <w:w w:val="105"/>
        </w:rPr>
        <w:t> </w:t>
      </w:r>
      <w:r>
        <w:rPr>
          <w:color w:val="231F1F"/>
          <w:w w:val="105"/>
        </w:rPr>
        <w:t>de</w:t>
      </w:r>
      <w:r>
        <w:rPr>
          <w:color w:val="231F1F"/>
          <w:spacing w:val="-6"/>
          <w:w w:val="105"/>
        </w:rPr>
        <w:t> </w:t>
      </w:r>
      <w:r>
        <w:rPr>
          <w:color w:val="231F1F"/>
          <w:w w:val="105"/>
        </w:rPr>
        <w:t>la</w:t>
      </w:r>
      <w:r>
        <w:rPr>
          <w:color w:val="231F1F"/>
          <w:spacing w:val="-6"/>
          <w:w w:val="105"/>
        </w:rPr>
        <w:t> </w:t>
      </w:r>
      <w:r>
        <w:rPr>
          <w:color w:val="231F1F"/>
          <w:w w:val="105"/>
        </w:rPr>
        <w:t>dilatación</w:t>
      </w:r>
      <w:r>
        <w:rPr>
          <w:color w:val="231F1F"/>
          <w:spacing w:val="-6"/>
          <w:w w:val="105"/>
        </w:rPr>
        <w:t> </w:t>
      </w:r>
      <w:r>
        <w:rPr>
          <w:color w:val="231F1F"/>
          <w:w w:val="105"/>
        </w:rPr>
        <w:t>cervical,</w:t>
      </w:r>
      <w:r>
        <w:rPr>
          <w:color w:val="231F1F"/>
          <w:spacing w:val="-6"/>
          <w:w w:val="105"/>
        </w:rPr>
        <w:t> </w:t>
      </w:r>
      <w:r>
        <w:rPr>
          <w:color w:val="231F1F"/>
          <w:w w:val="105"/>
        </w:rPr>
        <w:t>a</w:t>
      </w:r>
      <w:r>
        <w:rPr>
          <w:color w:val="231F1F"/>
          <w:spacing w:val="-6"/>
          <w:w w:val="105"/>
        </w:rPr>
        <w:t> </w:t>
      </w:r>
      <w:r>
        <w:rPr>
          <w:color w:val="231F1F"/>
          <w:w w:val="105"/>
        </w:rPr>
        <w:t>un</w:t>
      </w:r>
      <w:r>
        <w:rPr>
          <w:color w:val="231F1F"/>
          <w:spacing w:val="-6"/>
          <w:w w:val="105"/>
        </w:rPr>
        <w:t> </w:t>
      </w:r>
      <w:r>
        <w:rPr>
          <w:color w:val="231F1F"/>
          <w:w w:val="105"/>
        </w:rPr>
        <w:t>ritmo de 1 cm por hora. Una línea de acción de 2 horas está desplazada 2 horas a la derecha de la línea de progreso y si el progreso se ralentiza de manera que la línea de progreso cruza la línea</w:t>
      </w:r>
      <w:r>
        <w:rPr>
          <w:color w:val="231F1F"/>
          <w:spacing w:val="-5"/>
          <w:w w:val="105"/>
        </w:rPr>
        <w:t> </w:t>
      </w:r>
      <w:r>
        <w:rPr>
          <w:color w:val="231F1F"/>
          <w:w w:val="105"/>
        </w:rPr>
        <w:t>de</w:t>
      </w:r>
      <w:r>
        <w:rPr>
          <w:color w:val="231F1F"/>
          <w:spacing w:val="-5"/>
          <w:w w:val="105"/>
        </w:rPr>
        <w:t> </w:t>
      </w:r>
      <w:r>
        <w:rPr>
          <w:color w:val="231F1F"/>
          <w:w w:val="105"/>
        </w:rPr>
        <w:t>acción</w:t>
      </w:r>
      <w:r>
        <w:rPr>
          <w:color w:val="231F1F"/>
          <w:spacing w:val="-5"/>
          <w:w w:val="105"/>
        </w:rPr>
        <w:t> </w:t>
      </w:r>
      <w:r>
        <w:rPr>
          <w:color w:val="231F1F"/>
          <w:w w:val="105"/>
        </w:rPr>
        <w:t>se</w:t>
      </w:r>
      <w:r>
        <w:rPr>
          <w:color w:val="231F1F"/>
          <w:spacing w:val="-5"/>
          <w:w w:val="105"/>
        </w:rPr>
        <w:t> </w:t>
      </w:r>
      <w:r>
        <w:rPr>
          <w:color w:val="231F1F"/>
          <w:w w:val="105"/>
        </w:rPr>
        <w:t>establece</w:t>
      </w:r>
      <w:r>
        <w:rPr>
          <w:color w:val="231F1F"/>
          <w:spacing w:val="-5"/>
          <w:w w:val="105"/>
        </w:rPr>
        <w:t> </w:t>
      </w:r>
      <w:r>
        <w:rPr>
          <w:color w:val="231F1F"/>
          <w:w w:val="105"/>
        </w:rPr>
        <w:t>el</w:t>
      </w:r>
      <w:r>
        <w:rPr>
          <w:color w:val="231F1F"/>
          <w:spacing w:val="-5"/>
          <w:w w:val="105"/>
        </w:rPr>
        <w:t> </w:t>
      </w:r>
      <w:r>
        <w:rPr>
          <w:color w:val="231F1F"/>
          <w:w w:val="105"/>
        </w:rPr>
        <w:t>diagnóstico</w:t>
      </w:r>
      <w:r>
        <w:rPr>
          <w:color w:val="231F1F"/>
          <w:spacing w:val="-5"/>
          <w:w w:val="105"/>
        </w:rPr>
        <w:t> </w:t>
      </w:r>
      <w:r>
        <w:rPr>
          <w:color w:val="231F1F"/>
          <w:w w:val="105"/>
        </w:rPr>
        <w:t>de</w:t>
      </w:r>
      <w:r>
        <w:rPr>
          <w:color w:val="231F1F"/>
          <w:spacing w:val="-5"/>
          <w:w w:val="105"/>
        </w:rPr>
        <w:t> </w:t>
      </w:r>
      <w:r>
        <w:rPr>
          <w:color w:val="231F1F"/>
          <w:w w:val="105"/>
        </w:rPr>
        <w:t>retardo</w:t>
      </w:r>
      <w:r>
        <w:rPr>
          <w:color w:val="231F1F"/>
          <w:spacing w:val="-4"/>
          <w:w w:val="105"/>
        </w:rPr>
        <w:t> </w:t>
      </w:r>
      <w:r>
        <w:rPr>
          <w:color w:val="231F1F"/>
          <w:w w:val="105"/>
        </w:rPr>
        <w:t>de</w:t>
      </w:r>
      <w:r>
        <w:rPr>
          <w:color w:val="231F1F"/>
          <w:spacing w:val="-5"/>
          <w:w w:val="105"/>
        </w:rPr>
        <w:t> </w:t>
      </w:r>
      <w:r>
        <w:rPr>
          <w:color w:val="231F1F"/>
          <w:w w:val="105"/>
        </w:rPr>
        <w:t>la</w:t>
      </w:r>
      <w:r>
        <w:rPr>
          <w:color w:val="231F1F"/>
          <w:spacing w:val="-5"/>
          <w:w w:val="105"/>
        </w:rPr>
        <w:t> </w:t>
      </w:r>
      <w:r>
        <w:rPr>
          <w:color w:val="231F1F"/>
          <w:w w:val="105"/>
        </w:rPr>
        <w:t>dilatación.</w:t>
      </w:r>
      <w:r>
        <w:rPr>
          <w:color w:val="231F1F"/>
          <w:spacing w:val="-4"/>
          <w:w w:val="105"/>
        </w:rPr>
        <w:t> </w:t>
      </w:r>
      <w:r>
        <w:rPr>
          <w:color w:val="231F1F"/>
          <w:w w:val="105"/>
        </w:rPr>
        <w:t>Una</w:t>
      </w:r>
      <w:r>
        <w:rPr>
          <w:color w:val="231F1F"/>
          <w:spacing w:val="-5"/>
          <w:w w:val="105"/>
        </w:rPr>
        <w:t> </w:t>
      </w:r>
      <w:r>
        <w:rPr>
          <w:color w:val="231F1F"/>
          <w:w w:val="105"/>
        </w:rPr>
        <w:t>línea</w:t>
      </w:r>
      <w:r>
        <w:rPr>
          <w:color w:val="231F1F"/>
          <w:spacing w:val="-5"/>
          <w:w w:val="105"/>
        </w:rPr>
        <w:t> </w:t>
      </w:r>
      <w:r>
        <w:rPr>
          <w:color w:val="231F1F"/>
          <w:w w:val="105"/>
        </w:rPr>
        <w:t>de</w:t>
      </w:r>
      <w:r>
        <w:rPr>
          <w:color w:val="231F1F"/>
          <w:spacing w:val="-5"/>
          <w:w w:val="105"/>
        </w:rPr>
        <w:t> </w:t>
      </w:r>
      <w:r>
        <w:rPr>
          <w:color w:val="231F1F"/>
          <w:w w:val="105"/>
        </w:rPr>
        <w:t>acción</w:t>
      </w:r>
      <w:r>
        <w:rPr>
          <w:color w:val="231F1F"/>
          <w:spacing w:val="-5"/>
          <w:w w:val="105"/>
        </w:rPr>
        <w:t> </w:t>
      </w:r>
      <w:r>
        <w:rPr>
          <w:color w:val="231F1F"/>
          <w:w w:val="105"/>
        </w:rPr>
        <w:t>de 4 horas se sitúa 4 horas a la derecha de la línea de progreso, dándose más tiempo antes de emprender alguna acción por retardo de la dilatación.</w:t>
      </w:r>
    </w:p>
    <w:p>
      <w:pPr>
        <w:pStyle w:val="BodyText"/>
        <w:spacing w:before="151"/>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65"/>
        <w:jc w:val="both"/>
      </w:pPr>
      <w:r>
        <w:rPr>
          <w:color w:val="231F1F"/>
          <w:w w:val="110"/>
        </w:rPr>
        <w:t>La</w:t>
      </w:r>
      <w:r>
        <w:rPr>
          <w:color w:val="231F1F"/>
          <w:w w:val="110"/>
        </w:rPr>
        <w:t> guía</w:t>
      </w:r>
      <w:r>
        <w:rPr>
          <w:color w:val="231F1F"/>
          <w:w w:val="110"/>
        </w:rPr>
        <w:t> NICE</w:t>
      </w:r>
      <w:r>
        <w:rPr>
          <w:color w:val="231F1F"/>
          <w:w w:val="110"/>
        </w:rPr>
        <w:t> (10)</w:t>
      </w:r>
      <w:r>
        <w:rPr>
          <w:color w:val="231F1F"/>
          <w:w w:val="110"/>
        </w:rPr>
        <w:t> evalúa</w:t>
      </w:r>
      <w:r>
        <w:rPr>
          <w:color w:val="231F1F"/>
          <w:w w:val="110"/>
        </w:rPr>
        <w:t> la</w:t>
      </w:r>
      <w:r>
        <w:rPr>
          <w:color w:val="231F1F"/>
          <w:w w:val="110"/>
        </w:rPr>
        <w:t> efectividad</w:t>
      </w:r>
      <w:r>
        <w:rPr>
          <w:color w:val="231F1F"/>
          <w:w w:val="110"/>
        </w:rPr>
        <w:t> de</w:t>
      </w:r>
      <w:r>
        <w:rPr>
          <w:color w:val="231F1F"/>
          <w:w w:val="110"/>
        </w:rPr>
        <w:t> la</w:t>
      </w:r>
      <w:r>
        <w:rPr>
          <w:color w:val="231F1F"/>
          <w:w w:val="110"/>
        </w:rPr>
        <w:t> utilización</w:t>
      </w:r>
      <w:r>
        <w:rPr>
          <w:color w:val="231F1F"/>
          <w:w w:val="110"/>
        </w:rPr>
        <w:t> del</w:t>
      </w:r>
      <w:r>
        <w:rPr>
          <w:color w:val="231F1F"/>
          <w:w w:val="110"/>
        </w:rPr>
        <w:t> partograma comparándola</w:t>
      </w:r>
      <w:r>
        <w:rPr>
          <w:color w:val="231F1F"/>
          <w:spacing w:val="-16"/>
          <w:w w:val="110"/>
        </w:rPr>
        <w:t> </w:t>
      </w:r>
      <w:r>
        <w:rPr>
          <w:color w:val="231F1F"/>
          <w:w w:val="110"/>
        </w:rPr>
        <w:t>con</w:t>
      </w:r>
      <w:r>
        <w:rPr>
          <w:color w:val="231F1F"/>
          <w:spacing w:val="-15"/>
          <w:w w:val="110"/>
        </w:rPr>
        <w:t> </w:t>
      </w:r>
      <w:r>
        <w:rPr>
          <w:color w:val="231F1F"/>
          <w:w w:val="110"/>
        </w:rPr>
        <w:t>la</w:t>
      </w:r>
      <w:r>
        <w:rPr>
          <w:color w:val="231F1F"/>
          <w:spacing w:val="-15"/>
          <w:w w:val="110"/>
        </w:rPr>
        <w:t> </w:t>
      </w:r>
      <w:r>
        <w:rPr>
          <w:color w:val="231F1F"/>
          <w:w w:val="110"/>
        </w:rPr>
        <w:t>no</w:t>
      </w:r>
      <w:r>
        <w:rPr>
          <w:color w:val="231F1F"/>
          <w:spacing w:val="-15"/>
          <w:w w:val="110"/>
        </w:rPr>
        <w:t> </w:t>
      </w:r>
      <w:r>
        <w:rPr>
          <w:color w:val="231F1F"/>
          <w:w w:val="110"/>
        </w:rPr>
        <w:t>utilización</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efectividad</w:t>
      </w:r>
      <w:r>
        <w:rPr>
          <w:color w:val="231F1F"/>
          <w:spacing w:val="-15"/>
          <w:w w:val="110"/>
        </w:rPr>
        <w:t> </w:t>
      </w:r>
      <w:r>
        <w:rPr>
          <w:color w:val="231F1F"/>
          <w:w w:val="110"/>
        </w:rPr>
        <w:t>de</w:t>
      </w:r>
      <w:r>
        <w:rPr>
          <w:color w:val="231F1F"/>
          <w:spacing w:val="-16"/>
          <w:w w:val="110"/>
        </w:rPr>
        <w:t> </w:t>
      </w:r>
      <w:r>
        <w:rPr>
          <w:color w:val="231F1F"/>
          <w:w w:val="110"/>
        </w:rPr>
        <w:t>partogramas</w:t>
      </w:r>
      <w:r>
        <w:rPr>
          <w:color w:val="231F1F"/>
          <w:spacing w:val="-15"/>
          <w:w w:val="110"/>
        </w:rPr>
        <w:t> </w:t>
      </w:r>
      <w:r>
        <w:rPr>
          <w:color w:val="231F1F"/>
          <w:w w:val="110"/>
        </w:rPr>
        <w:t>con</w:t>
      </w:r>
      <w:r>
        <w:rPr>
          <w:color w:val="231F1F"/>
          <w:spacing w:val="-15"/>
          <w:w w:val="110"/>
        </w:rPr>
        <w:t> </w:t>
      </w:r>
      <w:r>
        <w:rPr>
          <w:color w:val="231F1F"/>
          <w:w w:val="110"/>
        </w:rPr>
        <w:t>dife- rentes tipos de líneas de acción.</w:t>
      </w:r>
    </w:p>
    <w:p>
      <w:pPr>
        <w:pStyle w:val="BodyText"/>
        <w:spacing w:before="94"/>
        <w:rPr>
          <w:sz w:val="20"/>
        </w:rPr>
      </w:pPr>
    </w:p>
    <w:p>
      <w:pPr>
        <w:pStyle w:val="BodyText"/>
        <w:spacing w:after="0"/>
        <w:rPr>
          <w:sz w:val="20"/>
        </w:rPr>
        <w:sectPr>
          <w:pgSz w:w="11900" w:h="16840"/>
          <w:pgMar w:header="0" w:footer="622" w:top="1560" w:bottom="820" w:left="1417" w:right="1559"/>
        </w:sectPr>
      </w:pPr>
    </w:p>
    <w:p>
      <w:pPr>
        <w:pStyle w:val="Heading5"/>
        <w:spacing w:before="92"/>
        <w:ind w:left="287"/>
        <w:jc w:val="both"/>
      </w:pPr>
      <w:r>
        <w:rPr>
          <w:color w:val="231F1F"/>
        </w:rPr>
        <w:t>Utilización</w:t>
      </w:r>
      <w:r>
        <w:rPr>
          <w:color w:val="231F1F"/>
          <w:spacing w:val="-2"/>
        </w:rPr>
        <w:t> </w:t>
      </w:r>
      <w:r>
        <w:rPr>
          <w:color w:val="231F1F"/>
        </w:rPr>
        <w:t>/</w:t>
      </w:r>
      <w:r>
        <w:rPr>
          <w:color w:val="231F1F"/>
          <w:spacing w:val="-3"/>
        </w:rPr>
        <w:t> </w:t>
      </w:r>
      <w:r>
        <w:rPr>
          <w:color w:val="231F1F"/>
        </w:rPr>
        <w:t>No</w:t>
      </w:r>
      <w:r>
        <w:rPr>
          <w:color w:val="231F1F"/>
          <w:spacing w:val="-1"/>
        </w:rPr>
        <w:t> </w:t>
      </w:r>
      <w:r>
        <w:rPr>
          <w:color w:val="231F1F"/>
        </w:rPr>
        <w:t>utilización</w:t>
      </w:r>
      <w:r>
        <w:rPr>
          <w:color w:val="231F1F"/>
          <w:spacing w:val="-2"/>
        </w:rPr>
        <w:t> </w:t>
      </w:r>
      <w:r>
        <w:rPr>
          <w:color w:val="231F1F"/>
        </w:rPr>
        <w:t>del </w:t>
      </w:r>
      <w:r>
        <w:rPr>
          <w:color w:val="231F1F"/>
          <w:spacing w:val="-2"/>
        </w:rPr>
        <w:t>partograma</w:t>
      </w:r>
    </w:p>
    <w:p>
      <w:pPr>
        <w:pStyle w:val="BodyText"/>
        <w:spacing w:line="244" w:lineRule="auto" w:before="209"/>
        <w:ind w:left="288" w:right="44"/>
        <w:jc w:val="both"/>
      </w:pPr>
      <w:r>
        <w:rPr>
          <w:color w:val="231F1F"/>
          <w:w w:val="110"/>
        </w:rPr>
        <w:t>La</w:t>
      </w:r>
      <w:r>
        <w:rPr>
          <w:color w:val="231F1F"/>
          <w:spacing w:val="-16"/>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incluyó</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(61)</w:t>
      </w:r>
      <w:r>
        <w:rPr>
          <w:color w:val="231F1F"/>
          <w:spacing w:val="-15"/>
          <w:w w:val="110"/>
        </w:rPr>
        <w:t> </w:t>
      </w:r>
      <w:r>
        <w:rPr>
          <w:color w:val="231F1F"/>
          <w:w w:val="110"/>
        </w:rPr>
        <w:t>realizado</w:t>
      </w:r>
      <w:r>
        <w:rPr>
          <w:color w:val="231F1F"/>
          <w:spacing w:val="-16"/>
          <w:w w:val="110"/>
        </w:rPr>
        <w:t> </w:t>
      </w:r>
      <w:r>
        <w:rPr>
          <w:color w:val="231F1F"/>
          <w:w w:val="110"/>
        </w:rPr>
        <w:t>por</w:t>
      </w:r>
      <w:r>
        <w:rPr>
          <w:color w:val="231F1F"/>
          <w:spacing w:val="-15"/>
          <w:w w:val="110"/>
        </w:rPr>
        <w:t> </w:t>
      </w:r>
      <w:r>
        <w:rPr>
          <w:color w:val="231F1F"/>
          <w:w w:val="110"/>
        </w:rPr>
        <w:t>la</w:t>
      </w:r>
      <w:r>
        <w:rPr>
          <w:color w:val="231F1F"/>
          <w:spacing w:val="-15"/>
          <w:w w:val="110"/>
        </w:rPr>
        <w:t> </w:t>
      </w:r>
      <w:r>
        <w:rPr>
          <w:color w:val="231F1F"/>
          <w:w w:val="110"/>
        </w:rPr>
        <w:t>OMS</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sures- </w:t>
      </w:r>
      <w:r>
        <w:rPr>
          <w:color w:val="231F1F"/>
          <w:spacing w:val="-2"/>
          <w:w w:val="110"/>
        </w:rPr>
        <w:t>te</w:t>
      </w:r>
      <w:r>
        <w:rPr>
          <w:color w:val="231F1F"/>
          <w:spacing w:val="-10"/>
          <w:w w:val="110"/>
        </w:rPr>
        <w:t> </w:t>
      </w:r>
      <w:r>
        <w:rPr>
          <w:color w:val="231F1F"/>
          <w:spacing w:val="-2"/>
          <w:w w:val="110"/>
        </w:rPr>
        <w:t>de</w:t>
      </w:r>
      <w:r>
        <w:rPr>
          <w:color w:val="231F1F"/>
          <w:spacing w:val="-10"/>
          <w:w w:val="110"/>
        </w:rPr>
        <w:t> </w:t>
      </w:r>
      <w:r>
        <w:rPr>
          <w:color w:val="231F1F"/>
          <w:spacing w:val="-2"/>
          <w:w w:val="110"/>
        </w:rPr>
        <w:t>Asia</w:t>
      </w:r>
      <w:r>
        <w:rPr>
          <w:color w:val="231F1F"/>
          <w:spacing w:val="-10"/>
          <w:w w:val="110"/>
        </w:rPr>
        <w:t> </w:t>
      </w:r>
      <w:r>
        <w:rPr>
          <w:color w:val="231F1F"/>
          <w:spacing w:val="-2"/>
          <w:w w:val="110"/>
        </w:rPr>
        <w:t>(n=8</w:t>
      </w:r>
      <w:r>
        <w:rPr>
          <w:color w:val="231F1F"/>
          <w:spacing w:val="-10"/>
          <w:w w:val="110"/>
        </w:rPr>
        <w:t> </w:t>
      </w:r>
      <w:r>
        <w:rPr>
          <w:color w:val="231F1F"/>
          <w:spacing w:val="-2"/>
          <w:w w:val="110"/>
        </w:rPr>
        <w:t>hospitales;</w:t>
      </w:r>
      <w:r>
        <w:rPr>
          <w:color w:val="231F1F"/>
          <w:spacing w:val="-11"/>
          <w:w w:val="110"/>
        </w:rPr>
        <w:t> </w:t>
      </w:r>
      <w:r>
        <w:rPr>
          <w:color w:val="231F1F"/>
          <w:spacing w:val="-2"/>
          <w:w w:val="110"/>
        </w:rPr>
        <w:t>35.484</w:t>
      </w:r>
      <w:r>
        <w:rPr>
          <w:color w:val="231F1F"/>
          <w:spacing w:val="-10"/>
          <w:w w:val="110"/>
        </w:rPr>
        <w:t> </w:t>
      </w:r>
      <w:r>
        <w:rPr>
          <w:color w:val="231F1F"/>
          <w:spacing w:val="-2"/>
          <w:w w:val="110"/>
        </w:rPr>
        <w:t>mujeres)</w:t>
      </w:r>
      <w:r>
        <w:rPr>
          <w:color w:val="231F1F"/>
          <w:spacing w:val="-11"/>
          <w:w w:val="110"/>
        </w:rPr>
        <w:t> </w:t>
      </w:r>
      <w:r>
        <w:rPr>
          <w:color w:val="231F1F"/>
          <w:spacing w:val="-2"/>
          <w:w w:val="110"/>
        </w:rPr>
        <w:t>que</w:t>
      </w:r>
      <w:r>
        <w:rPr>
          <w:color w:val="231F1F"/>
          <w:spacing w:val="-10"/>
          <w:w w:val="110"/>
        </w:rPr>
        <w:t> </w:t>
      </w:r>
      <w:r>
        <w:rPr>
          <w:color w:val="231F1F"/>
          <w:spacing w:val="-2"/>
          <w:w w:val="110"/>
        </w:rPr>
        <w:t>comparó</w:t>
      </w:r>
      <w:r>
        <w:rPr>
          <w:color w:val="231F1F"/>
          <w:spacing w:val="-10"/>
          <w:w w:val="110"/>
        </w:rPr>
        <w:t> </w:t>
      </w:r>
      <w:r>
        <w:rPr>
          <w:color w:val="231F1F"/>
          <w:spacing w:val="-2"/>
          <w:w w:val="110"/>
        </w:rPr>
        <w:t>el</w:t>
      </w:r>
      <w:r>
        <w:rPr>
          <w:color w:val="231F1F"/>
          <w:spacing w:val="-11"/>
          <w:w w:val="110"/>
        </w:rPr>
        <w:t> </w:t>
      </w:r>
      <w:r>
        <w:rPr>
          <w:color w:val="231F1F"/>
          <w:spacing w:val="-2"/>
          <w:w w:val="110"/>
        </w:rPr>
        <w:t>uso</w:t>
      </w:r>
      <w:r>
        <w:rPr>
          <w:color w:val="231F1F"/>
          <w:spacing w:val="-10"/>
          <w:w w:val="110"/>
        </w:rPr>
        <w:t> </w:t>
      </w:r>
      <w:r>
        <w:rPr>
          <w:color w:val="231F1F"/>
          <w:spacing w:val="-2"/>
          <w:w w:val="110"/>
        </w:rPr>
        <w:t>del</w:t>
      </w:r>
      <w:r>
        <w:rPr>
          <w:color w:val="231F1F"/>
          <w:spacing w:val="-11"/>
          <w:w w:val="110"/>
        </w:rPr>
        <w:t> </w:t>
      </w:r>
      <w:r>
        <w:rPr>
          <w:color w:val="231F1F"/>
          <w:spacing w:val="-2"/>
          <w:w w:val="110"/>
        </w:rPr>
        <w:t>partogra- </w:t>
      </w:r>
      <w:r>
        <w:rPr>
          <w:color w:val="231F1F"/>
          <w:w w:val="110"/>
        </w:rPr>
        <w:t>ma</w:t>
      </w:r>
      <w:r>
        <w:rPr>
          <w:color w:val="231F1F"/>
          <w:spacing w:val="-16"/>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OMS</w:t>
      </w:r>
      <w:r>
        <w:rPr>
          <w:color w:val="231F1F"/>
          <w:spacing w:val="-15"/>
          <w:w w:val="110"/>
        </w:rPr>
        <w:t> </w:t>
      </w:r>
      <w:r>
        <w:rPr>
          <w:color w:val="231F1F"/>
          <w:w w:val="110"/>
        </w:rPr>
        <w:t>(partograma</w:t>
      </w:r>
      <w:r>
        <w:rPr>
          <w:color w:val="231F1F"/>
          <w:spacing w:val="-15"/>
          <w:w w:val="110"/>
        </w:rPr>
        <w:t> </w:t>
      </w:r>
      <w:r>
        <w:rPr>
          <w:color w:val="231F1F"/>
          <w:w w:val="110"/>
        </w:rPr>
        <w:t>con</w:t>
      </w:r>
      <w:r>
        <w:rPr>
          <w:color w:val="231F1F"/>
          <w:spacing w:val="-15"/>
          <w:w w:val="110"/>
        </w:rPr>
        <w:t> </w:t>
      </w:r>
      <w:r>
        <w:rPr>
          <w:color w:val="231F1F"/>
          <w:w w:val="110"/>
        </w:rPr>
        <w:t>una</w:t>
      </w:r>
      <w:r>
        <w:rPr>
          <w:color w:val="231F1F"/>
          <w:spacing w:val="-15"/>
          <w:w w:val="110"/>
        </w:rPr>
        <w:t> </w:t>
      </w:r>
      <w:r>
        <w:rPr>
          <w:color w:val="231F1F"/>
          <w:w w:val="110"/>
        </w:rPr>
        <w:t>línea</w:t>
      </w:r>
      <w:r>
        <w:rPr>
          <w:color w:val="231F1F"/>
          <w:spacing w:val="-15"/>
          <w:w w:val="110"/>
        </w:rPr>
        <w:t> </w:t>
      </w:r>
      <w:r>
        <w:rPr>
          <w:color w:val="231F1F"/>
          <w:w w:val="110"/>
        </w:rPr>
        <w:t>de</w:t>
      </w:r>
      <w:r>
        <w:rPr>
          <w:color w:val="231F1F"/>
          <w:spacing w:val="-16"/>
          <w:w w:val="110"/>
        </w:rPr>
        <w:t> </w:t>
      </w:r>
      <w:r>
        <w:rPr>
          <w:color w:val="231F1F"/>
          <w:w w:val="110"/>
        </w:rPr>
        <w:t>acción)</w:t>
      </w:r>
      <w:r>
        <w:rPr>
          <w:color w:val="231F1F"/>
          <w:spacing w:val="-15"/>
          <w:w w:val="110"/>
        </w:rPr>
        <w:t> </w:t>
      </w:r>
      <w:r>
        <w:rPr>
          <w:color w:val="231F1F"/>
          <w:w w:val="110"/>
        </w:rPr>
        <w:t>con</w:t>
      </w:r>
      <w:r>
        <w:rPr>
          <w:color w:val="231F1F"/>
          <w:spacing w:val="-15"/>
          <w:w w:val="110"/>
        </w:rPr>
        <w:t> </w:t>
      </w:r>
      <w:r>
        <w:rPr>
          <w:color w:val="231F1F"/>
          <w:w w:val="110"/>
        </w:rPr>
        <w:t>la</w:t>
      </w:r>
      <w:r>
        <w:rPr>
          <w:color w:val="231F1F"/>
          <w:spacing w:val="-15"/>
          <w:w w:val="110"/>
        </w:rPr>
        <w:t> </w:t>
      </w:r>
      <w:r>
        <w:rPr>
          <w:color w:val="231F1F"/>
          <w:w w:val="110"/>
        </w:rPr>
        <w:t>no</w:t>
      </w:r>
      <w:r>
        <w:rPr>
          <w:color w:val="231F1F"/>
          <w:spacing w:val="-15"/>
          <w:w w:val="110"/>
        </w:rPr>
        <w:t> </w:t>
      </w:r>
      <w:r>
        <w:rPr>
          <w:color w:val="231F1F"/>
          <w:w w:val="110"/>
        </w:rPr>
        <w:t>utilización</w:t>
      </w:r>
      <w:r>
        <w:rPr>
          <w:color w:val="231F1F"/>
          <w:spacing w:val="-15"/>
          <w:w w:val="110"/>
        </w:rPr>
        <w:t> </w:t>
      </w:r>
      <w:r>
        <w:rPr>
          <w:color w:val="231F1F"/>
          <w:w w:val="110"/>
        </w:rPr>
        <w:t>del mismo.</w:t>
      </w:r>
      <w:r>
        <w:rPr>
          <w:color w:val="231F1F"/>
          <w:spacing w:val="-1"/>
          <w:w w:val="110"/>
        </w:rPr>
        <w:t> </w:t>
      </w:r>
      <w:r>
        <w:rPr>
          <w:color w:val="231F1F"/>
          <w:w w:val="110"/>
        </w:rPr>
        <w:t>El</w:t>
      </w:r>
      <w:r>
        <w:rPr>
          <w:color w:val="231F1F"/>
          <w:spacing w:val="-1"/>
          <w:w w:val="110"/>
        </w:rPr>
        <w:t> </w:t>
      </w:r>
      <w:r>
        <w:rPr>
          <w:color w:val="231F1F"/>
          <w:w w:val="110"/>
        </w:rPr>
        <w:t>estudio presentado como un ECA por la guía NICE (10),</w:t>
      </w:r>
      <w:r>
        <w:rPr>
          <w:color w:val="231F1F"/>
          <w:spacing w:val="-1"/>
          <w:w w:val="110"/>
        </w:rPr>
        <w:t> </w:t>
      </w:r>
      <w:r>
        <w:rPr>
          <w:color w:val="231F1F"/>
          <w:w w:val="110"/>
        </w:rPr>
        <w:t>no fue tal debido a una asignación parcialmente no aleatorizada. Por otro lado, se incluyeron en el estudio gestaciones a partir de la 34 semana, inducciones, malposiciones</w:t>
      </w:r>
      <w:r>
        <w:rPr>
          <w:color w:val="231F1F"/>
          <w:spacing w:val="-3"/>
          <w:w w:val="110"/>
        </w:rPr>
        <w:t> </w:t>
      </w:r>
      <w:r>
        <w:rPr>
          <w:color w:val="231F1F"/>
          <w:w w:val="110"/>
        </w:rPr>
        <w:t>y</w:t>
      </w:r>
      <w:r>
        <w:rPr>
          <w:color w:val="231F1F"/>
          <w:spacing w:val="-3"/>
          <w:w w:val="110"/>
        </w:rPr>
        <w:t> </w:t>
      </w:r>
      <w:r>
        <w:rPr>
          <w:color w:val="231F1F"/>
          <w:w w:val="110"/>
        </w:rPr>
        <w:t>gestaciones</w:t>
      </w:r>
      <w:r>
        <w:rPr>
          <w:color w:val="231F1F"/>
          <w:spacing w:val="-3"/>
          <w:w w:val="110"/>
        </w:rPr>
        <w:t> </w:t>
      </w:r>
      <w:r>
        <w:rPr>
          <w:color w:val="231F1F"/>
          <w:w w:val="110"/>
        </w:rPr>
        <w:t>múltiples,</w:t>
      </w:r>
      <w:r>
        <w:rPr>
          <w:color w:val="231F1F"/>
          <w:spacing w:val="-4"/>
          <w:w w:val="110"/>
        </w:rPr>
        <w:t> </w:t>
      </w:r>
      <w:r>
        <w:rPr>
          <w:color w:val="231F1F"/>
          <w:w w:val="110"/>
        </w:rPr>
        <w:t>por</w:t>
      </w:r>
      <w:r>
        <w:rPr>
          <w:color w:val="231F1F"/>
          <w:spacing w:val="-3"/>
          <w:w w:val="110"/>
        </w:rPr>
        <w:t> </w:t>
      </w:r>
      <w:r>
        <w:rPr>
          <w:color w:val="231F1F"/>
          <w:w w:val="110"/>
        </w:rPr>
        <w:t>lo</w:t>
      </w:r>
      <w:r>
        <w:rPr>
          <w:color w:val="231F1F"/>
          <w:spacing w:val="-3"/>
          <w:w w:val="110"/>
        </w:rPr>
        <w:t> </w:t>
      </w:r>
      <w:r>
        <w:rPr>
          <w:color w:val="231F1F"/>
          <w:w w:val="110"/>
        </w:rPr>
        <w:t>que</w:t>
      </w:r>
      <w:r>
        <w:rPr>
          <w:color w:val="231F1F"/>
          <w:spacing w:val="-3"/>
          <w:w w:val="110"/>
        </w:rPr>
        <w:t> </w:t>
      </w:r>
      <w:r>
        <w:rPr>
          <w:color w:val="231F1F"/>
          <w:w w:val="110"/>
        </w:rPr>
        <w:t>los</w:t>
      </w:r>
      <w:r>
        <w:rPr>
          <w:color w:val="231F1F"/>
          <w:spacing w:val="-3"/>
          <w:w w:val="110"/>
        </w:rPr>
        <w:t> </w:t>
      </w:r>
      <w:r>
        <w:rPr>
          <w:color w:val="231F1F"/>
          <w:w w:val="110"/>
        </w:rPr>
        <w:t>resultados</w:t>
      </w:r>
      <w:r>
        <w:rPr>
          <w:color w:val="231F1F"/>
          <w:spacing w:val="-3"/>
          <w:w w:val="110"/>
        </w:rPr>
        <w:t> </w:t>
      </w:r>
      <w:r>
        <w:rPr>
          <w:color w:val="231F1F"/>
          <w:w w:val="110"/>
        </w:rPr>
        <w:t>pueden</w:t>
      </w:r>
      <w:r>
        <w:rPr>
          <w:color w:val="231F1F"/>
          <w:spacing w:val="-3"/>
          <w:w w:val="110"/>
        </w:rPr>
        <w:t> </w:t>
      </w:r>
      <w:r>
        <w:rPr>
          <w:color w:val="231F1F"/>
          <w:w w:val="110"/>
        </w:rPr>
        <w:t>no ser directamente aplicables al ámbito de partos normales.</w:t>
      </w:r>
    </w:p>
    <w:p>
      <w:pPr>
        <w:pStyle w:val="BodyText"/>
        <w:spacing w:line="266" w:lineRule="auto" w:before="202"/>
        <w:ind w:left="287" w:right="38" w:firstLine="453"/>
        <w:jc w:val="both"/>
      </w:pPr>
      <w:r>
        <w:rPr>
          <w:color w:val="231F1F"/>
        </w:rPr>
        <w:t>Los resultados del estudio se presentan por separado para nulíparas y multíparas. En las mujeres nulíparas el uso del partograma parece reducir la proporción</w:t>
      </w:r>
      <w:r>
        <w:rPr>
          <w:color w:val="231F1F"/>
          <w:spacing w:val="24"/>
        </w:rPr>
        <w:t> </w:t>
      </w:r>
      <w:r>
        <w:rPr>
          <w:color w:val="231F1F"/>
        </w:rPr>
        <w:t>de</w:t>
      </w:r>
      <w:r>
        <w:rPr>
          <w:color w:val="231F1F"/>
          <w:spacing w:val="24"/>
        </w:rPr>
        <w:t> </w:t>
      </w:r>
      <w:r>
        <w:rPr>
          <w:color w:val="231F1F"/>
        </w:rPr>
        <w:t>partos</w:t>
      </w:r>
      <w:r>
        <w:rPr>
          <w:color w:val="231F1F"/>
          <w:spacing w:val="24"/>
        </w:rPr>
        <w:t> </w:t>
      </w:r>
      <w:r>
        <w:rPr>
          <w:color w:val="231F1F"/>
        </w:rPr>
        <w:t>prolongados</w:t>
      </w:r>
      <w:r>
        <w:rPr>
          <w:color w:val="231F1F"/>
          <w:spacing w:val="24"/>
        </w:rPr>
        <w:t> </w:t>
      </w:r>
      <w:r>
        <w:rPr>
          <w:color w:val="231F1F"/>
        </w:rPr>
        <w:t>(duración</w:t>
      </w:r>
      <w:r>
        <w:rPr>
          <w:color w:val="231F1F"/>
          <w:spacing w:val="25"/>
        </w:rPr>
        <w:t> </w:t>
      </w:r>
      <w:r>
        <w:rPr>
          <w:color w:val="231F1F"/>
        </w:rPr>
        <w:t>&gt;18</w:t>
      </w:r>
      <w:r>
        <w:rPr>
          <w:color w:val="231F1F"/>
          <w:spacing w:val="24"/>
        </w:rPr>
        <w:t> </w:t>
      </w:r>
      <w:r>
        <w:rPr>
          <w:color w:val="231F1F"/>
        </w:rPr>
        <w:t>horas):</w:t>
      </w:r>
      <w:r>
        <w:rPr>
          <w:color w:val="231F1F"/>
          <w:spacing w:val="24"/>
        </w:rPr>
        <w:t> </w:t>
      </w:r>
      <w:r>
        <w:rPr>
          <w:color w:val="231F1F"/>
        </w:rPr>
        <w:t>RR</w:t>
      </w:r>
      <w:r>
        <w:rPr>
          <w:color w:val="231F1F"/>
          <w:spacing w:val="24"/>
        </w:rPr>
        <w:t> </w:t>
      </w:r>
      <w:r>
        <w:rPr>
          <w:color w:val="231F1F"/>
        </w:rPr>
        <w:t>0,56</w:t>
      </w:r>
      <w:r>
        <w:rPr>
          <w:color w:val="231F1F"/>
          <w:spacing w:val="24"/>
        </w:rPr>
        <w:t> </w:t>
      </w:r>
      <w:r>
        <w:rPr>
          <w:color w:val="231F1F"/>
        </w:rPr>
        <w:t>[IC</w:t>
      </w:r>
      <w:r>
        <w:rPr>
          <w:color w:val="231F1F"/>
          <w:spacing w:val="24"/>
        </w:rPr>
        <w:t> </w:t>
      </w:r>
      <w:r>
        <w:rPr>
          <w:color w:val="231F1F"/>
        </w:rPr>
        <w:t>95%</w:t>
      </w:r>
      <w:r>
        <w:rPr>
          <w:color w:val="231F1F"/>
          <w:spacing w:val="24"/>
        </w:rPr>
        <w:t> </w:t>
      </w:r>
      <w:r>
        <w:rPr>
          <w:color w:val="231F1F"/>
        </w:rPr>
        <w:t>0,47 a 0,67], el uso de oxitocina: RR 0,43 [IC 95% 0,39 a 0,47], tasa de sepsis pos- parto:</w:t>
      </w:r>
      <w:r>
        <w:rPr>
          <w:color w:val="231F1F"/>
          <w:spacing w:val="19"/>
        </w:rPr>
        <w:t> </w:t>
      </w:r>
      <w:r>
        <w:rPr>
          <w:color w:val="231F1F"/>
        </w:rPr>
        <w:t>RR</w:t>
      </w:r>
      <w:r>
        <w:rPr>
          <w:color w:val="231F1F"/>
          <w:spacing w:val="19"/>
        </w:rPr>
        <w:t> </w:t>
      </w:r>
      <w:r>
        <w:rPr>
          <w:color w:val="231F1F"/>
        </w:rPr>
        <w:t>0,09</w:t>
      </w:r>
      <w:r>
        <w:rPr>
          <w:color w:val="231F1F"/>
          <w:spacing w:val="19"/>
        </w:rPr>
        <w:t> </w:t>
      </w:r>
      <w:r>
        <w:rPr>
          <w:color w:val="231F1F"/>
        </w:rPr>
        <w:t>[IC</w:t>
      </w:r>
      <w:r>
        <w:rPr>
          <w:color w:val="231F1F"/>
          <w:spacing w:val="19"/>
        </w:rPr>
        <w:t> </w:t>
      </w:r>
      <w:r>
        <w:rPr>
          <w:color w:val="231F1F"/>
        </w:rPr>
        <w:t>95%</w:t>
      </w:r>
      <w:r>
        <w:rPr>
          <w:color w:val="231F1F"/>
          <w:spacing w:val="18"/>
        </w:rPr>
        <w:t> </w:t>
      </w:r>
      <w:r>
        <w:rPr>
          <w:color w:val="231F1F"/>
        </w:rPr>
        <w:t>0,03</w:t>
      </w:r>
      <w:r>
        <w:rPr>
          <w:color w:val="231F1F"/>
          <w:spacing w:val="19"/>
        </w:rPr>
        <w:t> </w:t>
      </w:r>
      <w:r>
        <w:rPr>
          <w:color w:val="231F1F"/>
        </w:rPr>
        <w:t>a</w:t>
      </w:r>
      <w:r>
        <w:rPr>
          <w:color w:val="231F1F"/>
          <w:spacing w:val="19"/>
        </w:rPr>
        <w:t> </w:t>
      </w:r>
      <w:r>
        <w:rPr>
          <w:color w:val="231F1F"/>
        </w:rPr>
        <w:t>0,31]</w:t>
      </w:r>
      <w:r>
        <w:rPr>
          <w:color w:val="231F1F"/>
          <w:spacing w:val="19"/>
        </w:rPr>
        <w:t> </w:t>
      </w:r>
      <w:r>
        <w:rPr>
          <w:color w:val="231F1F"/>
        </w:rPr>
        <w:t>y</w:t>
      </w:r>
      <w:r>
        <w:rPr>
          <w:color w:val="231F1F"/>
          <w:spacing w:val="19"/>
        </w:rPr>
        <w:t> </w:t>
      </w:r>
      <w:r>
        <w:rPr>
          <w:color w:val="231F1F"/>
        </w:rPr>
        <w:t>tasa</w:t>
      </w:r>
      <w:r>
        <w:rPr>
          <w:color w:val="231F1F"/>
          <w:spacing w:val="19"/>
        </w:rPr>
        <w:t> </w:t>
      </w:r>
      <w:r>
        <w:rPr>
          <w:color w:val="231F1F"/>
        </w:rPr>
        <w:t>de</w:t>
      </w:r>
      <w:r>
        <w:rPr>
          <w:color w:val="231F1F"/>
          <w:spacing w:val="19"/>
        </w:rPr>
        <w:t> </w:t>
      </w:r>
      <w:r>
        <w:rPr>
          <w:color w:val="231F1F"/>
        </w:rPr>
        <w:t>cesáreas:</w:t>
      </w:r>
      <w:r>
        <w:rPr>
          <w:color w:val="231F1F"/>
          <w:spacing w:val="19"/>
        </w:rPr>
        <w:t> </w:t>
      </w:r>
      <w:r>
        <w:rPr>
          <w:color w:val="231F1F"/>
        </w:rPr>
        <w:t>RR</w:t>
      </w:r>
      <w:r>
        <w:rPr>
          <w:color w:val="231F1F"/>
          <w:spacing w:val="19"/>
        </w:rPr>
        <w:t> </w:t>
      </w:r>
      <w:r>
        <w:rPr>
          <w:color w:val="231F1F"/>
        </w:rPr>
        <w:t>0,70</w:t>
      </w:r>
      <w:r>
        <w:rPr>
          <w:color w:val="231F1F"/>
          <w:spacing w:val="19"/>
        </w:rPr>
        <w:t> </w:t>
      </w:r>
      <w:r>
        <w:rPr>
          <w:color w:val="231F1F"/>
        </w:rPr>
        <w:t>[IC</w:t>
      </w:r>
      <w:r>
        <w:rPr>
          <w:color w:val="231F1F"/>
          <w:spacing w:val="19"/>
        </w:rPr>
        <w:t> </w:t>
      </w:r>
      <w:r>
        <w:rPr>
          <w:color w:val="231F1F"/>
        </w:rPr>
        <w:t>95%</w:t>
      </w:r>
      <w:r>
        <w:rPr>
          <w:color w:val="231F1F"/>
          <w:spacing w:val="18"/>
        </w:rPr>
        <w:t> </w:t>
      </w:r>
      <w:r>
        <w:rPr>
          <w:color w:val="231F1F"/>
        </w:rPr>
        <w:t>0,61 a 0,81], mientras que incrementa el índice de partos cefálicos espontáneos RR</w:t>
      </w:r>
      <w:r>
        <w:rPr>
          <w:color w:val="231F1F"/>
          <w:spacing w:val="40"/>
        </w:rPr>
        <w:t> </w:t>
      </w:r>
      <w:r>
        <w:rPr>
          <w:color w:val="231F1F"/>
        </w:rPr>
        <w:t>1,05 [IC 95% 1,03 a 1,08], cuando se compara con el no empleo del partograma.</w:t>
      </w:r>
    </w:p>
    <w:p>
      <w:pPr>
        <w:pStyle w:val="BodyText"/>
        <w:spacing w:before="50"/>
        <w:ind w:left="740"/>
        <w:jc w:val="both"/>
      </w:pPr>
      <w:r>
        <w:rPr>
          <w:color w:val="231F1F"/>
        </w:rPr>
        <w:t>En</w:t>
      </w:r>
      <w:r>
        <w:rPr>
          <w:color w:val="231F1F"/>
          <w:spacing w:val="17"/>
        </w:rPr>
        <w:t> </w:t>
      </w:r>
      <w:r>
        <w:rPr>
          <w:color w:val="231F1F"/>
        </w:rPr>
        <w:t>el</w:t>
      </w:r>
      <w:r>
        <w:rPr>
          <w:color w:val="231F1F"/>
          <w:spacing w:val="19"/>
        </w:rPr>
        <w:t> </w:t>
      </w:r>
      <w:r>
        <w:rPr>
          <w:color w:val="231F1F"/>
        </w:rPr>
        <w:t>caso</w:t>
      </w:r>
      <w:r>
        <w:rPr>
          <w:color w:val="231F1F"/>
          <w:spacing w:val="20"/>
        </w:rPr>
        <w:t> </w:t>
      </w:r>
      <w:r>
        <w:rPr>
          <w:color w:val="231F1F"/>
        </w:rPr>
        <w:t>de</w:t>
      </w:r>
      <w:r>
        <w:rPr>
          <w:color w:val="231F1F"/>
          <w:spacing w:val="19"/>
        </w:rPr>
        <w:t> </w:t>
      </w:r>
      <w:r>
        <w:rPr>
          <w:color w:val="231F1F"/>
        </w:rPr>
        <w:t>las</w:t>
      </w:r>
      <w:r>
        <w:rPr>
          <w:color w:val="231F1F"/>
          <w:spacing w:val="19"/>
        </w:rPr>
        <w:t> </w:t>
      </w:r>
      <w:r>
        <w:rPr>
          <w:color w:val="231F1F"/>
        </w:rPr>
        <w:t>mujeres</w:t>
      </w:r>
      <w:r>
        <w:rPr>
          <w:color w:val="231F1F"/>
          <w:spacing w:val="20"/>
        </w:rPr>
        <w:t> </w:t>
      </w:r>
      <w:r>
        <w:rPr>
          <w:color w:val="231F1F"/>
        </w:rPr>
        <w:t>multíparas</w:t>
      </w:r>
      <w:r>
        <w:rPr>
          <w:color w:val="231F1F"/>
          <w:spacing w:val="19"/>
        </w:rPr>
        <w:t> </w:t>
      </w:r>
      <w:r>
        <w:rPr>
          <w:color w:val="231F1F"/>
        </w:rPr>
        <w:t>las</w:t>
      </w:r>
      <w:r>
        <w:rPr>
          <w:color w:val="231F1F"/>
          <w:spacing w:val="19"/>
        </w:rPr>
        <w:t> </w:t>
      </w:r>
      <w:r>
        <w:rPr>
          <w:color w:val="231F1F"/>
        </w:rPr>
        <w:t>conclusiones</w:t>
      </w:r>
      <w:r>
        <w:rPr>
          <w:color w:val="231F1F"/>
          <w:spacing w:val="20"/>
        </w:rPr>
        <w:t> </w:t>
      </w:r>
      <w:r>
        <w:rPr>
          <w:color w:val="231F1F"/>
        </w:rPr>
        <w:t>fueron</w:t>
      </w:r>
      <w:r>
        <w:rPr>
          <w:color w:val="231F1F"/>
          <w:spacing w:val="19"/>
        </w:rPr>
        <w:t> </w:t>
      </w:r>
      <w:r>
        <w:rPr>
          <w:color w:val="231F1F"/>
          <w:spacing w:val="-2"/>
        </w:rPr>
        <w:t>semejantes.</w:t>
      </w:r>
    </w:p>
    <w:p>
      <w:pPr>
        <w:pStyle w:val="BodyText"/>
        <w:spacing w:line="254" w:lineRule="auto" w:before="141"/>
        <w:ind w:left="288" w:right="86" w:firstLine="453"/>
        <w:jc w:val="both"/>
      </w:pPr>
      <w:r>
        <w:rPr>
          <w:color w:val="231F1F"/>
          <w:spacing w:val="-2"/>
          <w:w w:val="110"/>
        </w:rPr>
        <w:t>No</w:t>
      </w:r>
      <w:r>
        <w:rPr>
          <w:color w:val="231F1F"/>
          <w:spacing w:val="-9"/>
          <w:w w:val="110"/>
        </w:rPr>
        <w:t> </w:t>
      </w:r>
      <w:r>
        <w:rPr>
          <w:color w:val="231F1F"/>
          <w:spacing w:val="-2"/>
          <w:w w:val="110"/>
        </w:rPr>
        <w:t>se</w:t>
      </w:r>
      <w:r>
        <w:rPr>
          <w:color w:val="231F1F"/>
          <w:spacing w:val="-9"/>
          <w:w w:val="110"/>
        </w:rPr>
        <w:t> </w:t>
      </w:r>
      <w:r>
        <w:rPr>
          <w:color w:val="231F1F"/>
          <w:spacing w:val="-2"/>
          <w:w w:val="110"/>
        </w:rPr>
        <w:t>identificaron</w:t>
      </w:r>
      <w:r>
        <w:rPr>
          <w:color w:val="231F1F"/>
          <w:spacing w:val="-9"/>
          <w:w w:val="110"/>
        </w:rPr>
        <w:t> </w:t>
      </w:r>
      <w:r>
        <w:rPr>
          <w:color w:val="231F1F"/>
          <w:spacing w:val="-2"/>
          <w:w w:val="110"/>
        </w:rPr>
        <w:t>estudios</w:t>
      </w:r>
      <w:r>
        <w:rPr>
          <w:color w:val="231F1F"/>
          <w:spacing w:val="-9"/>
          <w:w w:val="110"/>
        </w:rPr>
        <w:t> </w:t>
      </w:r>
      <w:r>
        <w:rPr>
          <w:color w:val="231F1F"/>
          <w:spacing w:val="-2"/>
          <w:w w:val="110"/>
        </w:rPr>
        <w:t>que</w:t>
      </w:r>
      <w:r>
        <w:rPr>
          <w:color w:val="231F1F"/>
          <w:spacing w:val="-9"/>
          <w:w w:val="110"/>
        </w:rPr>
        <w:t> </w:t>
      </w:r>
      <w:r>
        <w:rPr>
          <w:color w:val="231F1F"/>
          <w:spacing w:val="-2"/>
          <w:w w:val="110"/>
        </w:rPr>
        <w:t>evaluaran</w:t>
      </w:r>
      <w:r>
        <w:rPr>
          <w:color w:val="231F1F"/>
          <w:spacing w:val="-8"/>
          <w:w w:val="110"/>
        </w:rPr>
        <w:t> </w:t>
      </w:r>
      <w:r>
        <w:rPr>
          <w:color w:val="231F1F"/>
          <w:spacing w:val="-2"/>
          <w:w w:val="110"/>
        </w:rPr>
        <w:t>resultados</w:t>
      </w:r>
      <w:r>
        <w:rPr>
          <w:color w:val="231F1F"/>
          <w:spacing w:val="-8"/>
          <w:w w:val="110"/>
        </w:rPr>
        <w:t> </w:t>
      </w:r>
      <w:r>
        <w:rPr>
          <w:color w:val="231F1F"/>
          <w:spacing w:val="-2"/>
          <w:w w:val="110"/>
        </w:rPr>
        <w:t>empleando</w:t>
      </w:r>
      <w:r>
        <w:rPr>
          <w:color w:val="231F1F"/>
          <w:spacing w:val="-8"/>
          <w:w w:val="110"/>
        </w:rPr>
        <w:t> </w:t>
      </w:r>
      <w:r>
        <w:rPr>
          <w:color w:val="231F1F"/>
          <w:spacing w:val="-2"/>
          <w:w w:val="110"/>
        </w:rPr>
        <w:t>parto- </w:t>
      </w:r>
      <w:r>
        <w:rPr>
          <w:color w:val="231F1F"/>
          <w:w w:val="110"/>
        </w:rPr>
        <w:t>gramas sin líneas de acción o alerta.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8"/>
        <w:rPr>
          <w:sz w:val="18"/>
        </w:rPr>
      </w:pPr>
    </w:p>
    <w:p>
      <w:pPr>
        <w:spacing w:line="278" w:lineRule="auto" w:before="0"/>
        <w:ind w:left="269" w:right="490" w:firstLine="0"/>
        <w:jc w:val="center"/>
        <w:rPr>
          <w:rFonts w:ascii="Arial MT"/>
          <w:sz w:val="18"/>
        </w:rPr>
      </w:pPr>
      <w:r>
        <w:rPr>
          <w:rFonts w:ascii="Arial MT"/>
          <w:color w:val="231F1F"/>
          <w:spacing w:val="-8"/>
          <w:sz w:val="18"/>
        </w:rPr>
        <w:t>ECC </w:t>
      </w:r>
      <w:r>
        <w:rPr>
          <w:rFonts w:ascii="Arial MT"/>
          <w:color w:val="231F1F"/>
          <w:spacing w:val="-6"/>
          <w:sz w:val="18"/>
        </w:rPr>
        <w:t>II</w:t>
      </w:r>
    </w:p>
    <w:p>
      <w:pPr>
        <w:spacing w:after="0" w:line="278" w:lineRule="auto"/>
        <w:jc w:val="center"/>
        <w:rPr>
          <w:rFonts w:ascii="Arial MT"/>
          <w:sz w:val="18"/>
        </w:rPr>
        <w:sectPr>
          <w:type w:val="continuous"/>
          <w:pgSz w:w="11900" w:h="16840"/>
          <w:pgMar w:header="0" w:footer="622" w:top="560" w:bottom="280" w:left="1417" w:right="1559"/>
          <w:cols w:num="2" w:equalWidth="0">
            <w:col w:w="7600" w:space="160"/>
            <w:col w:w="1164"/>
          </w:cols>
        </w:sectPr>
      </w:pPr>
    </w:p>
    <w:p>
      <w:pPr>
        <w:pStyle w:val="BodyText"/>
        <w:spacing w:line="244" w:lineRule="auto" w:before="62"/>
        <w:ind w:left="283" w:right="1386" w:firstLine="453"/>
      </w:pPr>
      <w:r>
        <w:rPr>
          <w:color w:val="231F1F"/>
          <w:w w:val="105"/>
        </w:rPr>
        <w:t>Basándose</w:t>
      </w:r>
      <w:r>
        <w:rPr>
          <w:color w:val="231F1F"/>
          <w:spacing w:val="-3"/>
          <w:w w:val="105"/>
        </w:rPr>
        <w:t> </w:t>
      </w:r>
      <w:r>
        <w:rPr>
          <w:color w:val="231F1F"/>
          <w:w w:val="105"/>
        </w:rPr>
        <w:t>en</w:t>
      </w:r>
      <w:r>
        <w:rPr>
          <w:color w:val="231F1F"/>
          <w:spacing w:val="-2"/>
          <w:w w:val="105"/>
        </w:rPr>
        <w:t> </w:t>
      </w:r>
      <w:r>
        <w:rPr>
          <w:color w:val="231F1F"/>
          <w:w w:val="105"/>
        </w:rPr>
        <w:t>estos</w:t>
      </w:r>
      <w:r>
        <w:rPr>
          <w:color w:val="231F1F"/>
          <w:spacing w:val="-2"/>
          <w:w w:val="105"/>
        </w:rPr>
        <w:t> </w:t>
      </w:r>
      <w:r>
        <w:rPr>
          <w:color w:val="231F1F"/>
          <w:w w:val="105"/>
        </w:rPr>
        <w:t>resultados</w:t>
      </w:r>
      <w:r>
        <w:rPr>
          <w:color w:val="231F1F"/>
          <w:spacing w:val="-1"/>
          <w:w w:val="105"/>
        </w:rPr>
        <w:t> </w:t>
      </w:r>
      <w:r>
        <w:rPr>
          <w:color w:val="231F1F"/>
          <w:w w:val="105"/>
        </w:rPr>
        <w:t>la</w:t>
      </w:r>
      <w:r>
        <w:rPr>
          <w:color w:val="231F1F"/>
          <w:spacing w:val="-2"/>
          <w:w w:val="105"/>
        </w:rPr>
        <w:t> </w:t>
      </w:r>
      <w:r>
        <w:rPr>
          <w:color w:val="231F1F"/>
          <w:w w:val="105"/>
        </w:rPr>
        <w:t>OMS</w:t>
      </w:r>
      <w:r>
        <w:rPr>
          <w:color w:val="231F1F"/>
          <w:spacing w:val="-2"/>
          <w:w w:val="105"/>
        </w:rPr>
        <w:t> </w:t>
      </w:r>
      <w:r>
        <w:rPr>
          <w:color w:val="231F1F"/>
          <w:w w:val="105"/>
        </w:rPr>
        <w:t>recomienda</w:t>
      </w:r>
      <w:r>
        <w:rPr>
          <w:color w:val="231F1F"/>
          <w:spacing w:val="-1"/>
          <w:w w:val="105"/>
        </w:rPr>
        <w:t> </w:t>
      </w:r>
      <w:r>
        <w:rPr>
          <w:color w:val="231F1F"/>
          <w:w w:val="105"/>
        </w:rPr>
        <w:t>la</w:t>
      </w:r>
      <w:r>
        <w:rPr>
          <w:color w:val="231F1F"/>
          <w:spacing w:val="-2"/>
          <w:w w:val="105"/>
        </w:rPr>
        <w:t> </w:t>
      </w:r>
      <w:r>
        <w:rPr>
          <w:color w:val="231F1F"/>
          <w:w w:val="105"/>
        </w:rPr>
        <w:t>utilización</w:t>
      </w:r>
      <w:r>
        <w:rPr>
          <w:color w:val="231F1F"/>
          <w:spacing w:val="-3"/>
          <w:w w:val="105"/>
        </w:rPr>
        <w:t> </w:t>
      </w:r>
      <w:r>
        <w:rPr>
          <w:color w:val="231F1F"/>
          <w:w w:val="105"/>
        </w:rPr>
        <w:t>de</w:t>
      </w:r>
      <w:r>
        <w:rPr>
          <w:color w:val="231F1F"/>
          <w:spacing w:val="-2"/>
          <w:w w:val="105"/>
        </w:rPr>
        <w:t> </w:t>
      </w:r>
      <w:r>
        <w:rPr>
          <w:color w:val="231F1F"/>
          <w:w w:val="105"/>
        </w:rPr>
        <w:t>par- togramas con línea de acción a las 4h.</w:t>
      </w:r>
    </w:p>
    <w:p>
      <w:pPr>
        <w:pStyle w:val="BodyText"/>
        <w:spacing w:before="93"/>
        <w:rPr>
          <w:sz w:val="20"/>
        </w:rPr>
      </w:pPr>
    </w:p>
    <w:p>
      <w:pPr>
        <w:pStyle w:val="BodyText"/>
        <w:spacing w:after="0"/>
        <w:rPr>
          <w:sz w:val="20"/>
        </w:rPr>
        <w:sectPr>
          <w:pgSz w:w="11900" w:h="16840"/>
          <w:pgMar w:header="0" w:footer="622" w:top="1580" w:bottom="820" w:left="1417" w:right="1559"/>
        </w:sectPr>
      </w:pPr>
    </w:p>
    <w:p>
      <w:pPr>
        <w:pStyle w:val="Heading5"/>
        <w:spacing w:before="92"/>
      </w:pPr>
      <w:r>
        <w:rPr>
          <w:color w:val="231F1F"/>
        </w:rPr>
        <w:t>Comparación</w:t>
      </w:r>
      <w:r>
        <w:rPr>
          <w:color w:val="231F1F"/>
          <w:spacing w:val="-8"/>
        </w:rPr>
        <w:t> </w:t>
      </w:r>
      <w:r>
        <w:rPr>
          <w:color w:val="231F1F"/>
        </w:rPr>
        <w:t>de</w:t>
      </w:r>
      <w:r>
        <w:rPr>
          <w:color w:val="231F1F"/>
          <w:spacing w:val="-5"/>
        </w:rPr>
        <w:t> </w:t>
      </w:r>
      <w:r>
        <w:rPr>
          <w:color w:val="231F1F"/>
        </w:rPr>
        <w:t>partogramas</w:t>
      </w:r>
      <w:r>
        <w:rPr>
          <w:color w:val="231F1F"/>
          <w:spacing w:val="-6"/>
        </w:rPr>
        <w:t> </w:t>
      </w:r>
      <w:r>
        <w:rPr>
          <w:color w:val="231F1F"/>
        </w:rPr>
        <w:t>con</w:t>
      </w:r>
      <w:r>
        <w:rPr>
          <w:color w:val="231F1F"/>
          <w:spacing w:val="-4"/>
        </w:rPr>
        <w:t> </w:t>
      </w:r>
      <w:r>
        <w:rPr>
          <w:color w:val="231F1F"/>
        </w:rPr>
        <w:t>línea</w:t>
      </w:r>
      <w:r>
        <w:rPr>
          <w:color w:val="231F1F"/>
          <w:spacing w:val="-5"/>
        </w:rPr>
        <w:t> </w:t>
      </w:r>
      <w:r>
        <w:rPr>
          <w:color w:val="231F1F"/>
        </w:rPr>
        <w:t>de</w:t>
      </w:r>
      <w:r>
        <w:rPr>
          <w:color w:val="231F1F"/>
          <w:spacing w:val="-6"/>
        </w:rPr>
        <w:t> </w:t>
      </w:r>
      <w:r>
        <w:rPr>
          <w:color w:val="231F1F"/>
        </w:rPr>
        <w:t>acción</w:t>
      </w:r>
      <w:r>
        <w:rPr>
          <w:color w:val="231F1F"/>
          <w:spacing w:val="-4"/>
        </w:rPr>
        <w:t> </w:t>
      </w:r>
      <w:r>
        <w:rPr>
          <w:color w:val="231F1F"/>
          <w:spacing w:val="-2"/>
        </w:rPr>
        <w:t>diferentes</w:t>
      </w:r>
    </w:p>
    <w:p>
      <w:pPr>
        <w:pStyle w:val="BodyText"/>
        <w:spacing w:line="244" w:lineRule="auto" w:before="214"/>
        <w:ind w:left="283"/>
      </w:pP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guía</w:t>
      </w:r>
      <w:r>
        <w:rPr>
          <w:color w:val="231F1F"/>
          <w:spacing w:val="-4"/>
          <w:w w:val="110"/>
        </w:rPr>
        <w:t> </w:t>
      </w:r>
      <w:r>
        <w:rPr>
          <w:color w:val="231F1F"/>
          <w:w w:val="110"/>
        </w:rPr>
        <w:t>NICE</w:t>
      </w:r>
      <w:r>
        <w:rPr>
          <w:color w:val="231F1F"/>
          <w:spacing w:val="-4"/>
          <w:w w:val="110"/>
        </w:rPr>
        <w:t> </w:t>
      </w:r>
      <w:r>
        <w:rPr>
          <w:color w:val="231F1F"/>
          <w:w w:val="110"/>
        </w:rPr>
        <w:t>(10)</w:t>
      </w:r>
      <w:r>
        <w:rPr>
          <w:color w:val="231F1F"/>
          <w:spacing w:val="-4"/>
          <w:w w:val="110"/>
        </w:rPr>
        <w:t> </w:t>
      </w:r>
      <w:r>
        <w:rPr>
          <w:color w:val="231F1F"/>
          <w:w w:val="110"/>
        </w:rPr>
        <w:t>se</w:t>
      </w:r>
      <w:r>
        <w:rPr>
          <w:color w:val="231F1F"/>
          <w:spacing w:val="-4"/>
          <w:w w:val="110"/>
        </w:rPr>
        <w:t> </w:t>
      </w:r>
      <w:r>
        <w:rPr>
          <w:color w:val="231F1F"/>
          <w:w w:val="110"/>
        </w:rPr>
        <w:t>incluyen</w:t>
      </w:r>
      <w:r>
        <w:rPr>
          <w:color w:val="231F1F"/>
          <w:spacing w:val="-4"/>
          <w:w w:val="110"/>
        </w:rPr>
        <w:t> </w:t>
      </w:r>
      <w:r>
        <w:rPr>
          <w:color w:val="231F1F"/>
          <w:w w:val="110"/>
        </w:rPr>
        <w:t>tres</w:t>
      </w:r>
      <w:r>
        <w:rPr>
          <w:color w:val="231F1F"/>
          <w:spacing w:val="-4"/>
          <w:w w:val="110"/>
        </w:rPr>
        <w:t> </w:t>
      </w:r>
      <w:r>
        <w:rPr>
          <w:color w:val="231F1F"/>
          <w:w w:val="110"/>
        </w:rPr>
        <w:t>ECAs</w:t>
      </w:r>
      <w:r>
        <w:rPr>
          <w:color w:val="231F1F"/>
          <w:spacing w:val="-4"/>
          <w:w w:val="110"/>
        </w:rPr>
        <w:t> </w:t>
      </w:r>
      <w:r>
        <w:rPr>
          <w:color w:val="231F1F"/>
          <w:w w:val="110"/>
        </w:rPr>
        <w:t>que</w:t>
      </w:r>
      <w:r>
        <w:rPr>
          <w:color w:val="231F1F"/>
          <w:spacing w:val="-4"/>
          <w:w w:val="110"/>
        </w:rPr>
        <w:t> </w:t>
      </w:r>
      <w:r>
        <w:rPr>
          <w:color w:val="231F1F"/>
          <w:w w:val="110"/>
        </w:rPr>
        <w:t>comparaban</w:t>
      </w:r>
      <w:r>
        <w:rPr>
          <w:color w:val="231F1F"/>
          <w:spacing w:val="-4"/>
          <w:w w:val="110"/>
        </w:rPr>
        <w:t> </w:t>
      </w:r>
      <w:r>
        <w:rPr>
          <w:color w:val="231F1F"/>
          <w:w w:val="110"/>
        </w:rPr>
        <w:t>dos</w:t>
      </w:r>
      <w:r>
        <w:rPr>
          <w:color w:val="231F1F"/>
          <w:spacing w:val="-4"/>
          <w:w w:val="110"/>
        </w:rPr>
        <w:t> </w:t>
      </w:r>
      <w:r>
        <w:rPr>
          <w:color w:val="231F1F"/>
          <w:w w:val="110"/>
        </w:rPr>
        <w:t>posibles emplazamientos de las líneas de acción del partograma.</w:t>
      </w:r>
    </w:p>
    <w:p>
      <w:pPr>
        <w:pStyle w:val="BodyText"/>
        <w:spacing w:line="252" w:lineRule="auto" w:before="137"/>
        <w:ind w:left="283" w:right="43" w:firstLine="453"/>
        <w:jc w:val="both"/>
      </w:pPr>
      <w:r>
        <w:rPr>
          <w:color w:val="231F1F"/>
          <w:w w:val="105"/>
        </w:rPr>
        <w:t>El</w:t>
      </w:r>
      <w:r>
        <w:rPr>
          <w:color w:val="231F1F"/>
          <w:w w:val="105"/>
        </w:rPr>
        <w:t> primer</w:t>
      </w:r>
      <w:r>
        <w:rPr>
          <w:color w:val="231F1F"/>
          <w:w w:val="105"/>
        </w:rPr>
        <w:t> ensayo</w:t>
      </w:r>
      <w:r>
        <w:rPr>
          <w:color w:val="231F1F"/>
          <w:w w:val="105"/>
        </w:rPr>
        <w:t> (62)</w:t>
      </w:r>
      <w:r>
        <w:rPr>
          <w:color w:val="231F1F"/>
          <w:w w:val="105"/>
        </w:rPr>
        <w:t> realizado</w:t>
      </w:r>
      <w:r>
        <w:rPr>
          <w:color w:val="231F1F"/>
          <w:w w:val="105"/>
        </w:rPr>
        <w:t> en</w:t>
      </w:r>
      <w:r>
        <w:rPr>
          <w:color w:val="231F1F"/>
          <w:w w:val="105"/>
        </w:rPr>
        <w:t> Liverpool</w:t>
      </w:r>
      <w:r>
        <w:rPr>
          <w:color w:val="231F1F"/>
          <w:w w:val="105"/>
        </w:rPr>
        <w:t> incluía</w:t>
      </w:r>
      <w:r>
        <w:rPr>
          <w:color w:val="231F1F"/>
          <w:w w:val="105"/>
        </w:rPr>
        <w:t> a</w:t>
      </w:r>
      <w:r>
        <w:rPr>
          <w:color w:val="231F1F"/>
          <w:w w:val="105"/>
        </w:rPr>
        <w:t> 928</w:t>
      </w:r>
      <w:r>
        <w:rPr>
          <w:color w:val="231F1F"/>
          <w:w w:val="105"/>
        </w:rPr>
        <w:t> mujeres</w:t>
      </w:r>
      <w:r>
        <w:rPr>
          <w:color w:val="231F1F"/>
          <w:w w:val="105"/>
        </w:rPr>
        <w:t> en trabajo</w:t>
      </w:r>
      <w:r>
        <w:rPr>
          <w:color w:val="231F1F"/>
          <w:spacing w:val="-4"/>
          <w:w w:val="105"/>
        </w:rPr>
        <w:t> </w:t>
      </w:r>
      <w:r>
        <w:rPr>
          <w:color w:val="231F1F"/>
          <w:w w:val="105"/>
        </w:rPr>
        <w:t>de</w:t>
      </w:r>
      <w:r>
        <w:rPr>
          <w:color w:val="231F1F"/>
          <w:spacing w:val="-4"/>
          <w:w w:val="105"/>
        </w:rPr>
        <w:t> </w:t>
      </w:r>
      <w:r>
        <w:rPr>
          <w:color w:val="231F1F"/>
          <w:w w:val="105"/>
        </w:rPr>
        <w:t>parto.</w:t>
      </w:r>
      <w:r>
        <w:rPr>
          <w:color w:val="231F1F"/>
          <w:spacing w:val="-3"/>
          <w:w w:val="105"/>
        </w:rPr>
        <w:t> </w:t>
      </w:r>
      <w:r>
        <w:rPr>
          <w:color w:val="231F1F"/>
          <w:w w:val="105"/>
        </w:rPr>
        <w:t>En</w:t>
      </w:r>
      <w:r>
        <w:rPr>
          <w:color w:val="231F1F"/>
          <w:spacing w:val="-4"/>
          <w:w w:val="105"/>
        </w:rPr>
        <w:t> </w:t>
      </w:r>
      <w:r>
        <w:rPr>
          <w:color w:val="231F1F"/>
          <w:w w:val="105"/>
        </w:rPr>
        <w:t>él</w:t>
      </w:r>
      <w:r>
        <w:rPr>
          <w:color w:val="231F1F"/>
          <w:spacing w:val="-3"/>
          <w:w w:val="105"/>
        </w:rPr>
        <w:t> </w:t>
      </w:r>
      <w:r>
        <w:rPr>
          <w:color w:val="231F1F"/>
          <w:w w:val="105"/>
        </w:rPr>
        <w:t>se</w:t>
      </w:r>
      <w:r>
        <w:rPr>
          <w:color w:val="231F1F"/>
          <w:spacing w:val="-4"/>
          <w:w w:val="105"/>
        </w:rPr>
        <w:t> </w:t>
      </w:r>
      <w:r>
        <w:rPr>
          <w:color w:val="231F1F"/>
          <w:w w:val="105"/>
        </w:rPr>
        <w:t>comparaba</w:t>
      </w:r>
      <w:r>
        <w:rPr>
          <w:color w:val="231F1F"/>
          <w:spacing w:val="-4"/>
          <w:w w:val="105"/>
        </w:rPr>
        <w:t> </w:t>
      </w:r>
      <w:r>
        <w:rPr>
          <w:color w:val="231F1F"/>
          <w:w w:val="105"/>
        </w:rPr>
        <w:t>el</w:t>
      </w:r>
      <w:r>
        <w:rPr>
          <w:color w:val="231F1F"/>
          <w:spacing w:val="-3"/>
          <w:w w:val="105"/>
        </w:rPr>
        <w:t> </w:t>
      </w:r>
      <w:r>
        <w:rPr>
          <w:color w:val="231F1F"/>
          <w:w w:val="105"/>
        </w:rPr>
        <w:t>uso</w:t>
      </w:r>
      <w:r>
        <w:rPr>
          <w:color w:val="231F1F"/>
          <w:spacing w:val="-4"/>
          <w:w w:val="105"/>
        </w:rPr>
        <w:t> </w:t>
      </w:r>
      <w:r>
        <w:rPr>
          <w:color w:val="231F1F"/>
          <w:w w:val="105"/>
        </w:rPr>
        <w:t>de</w:t>
      </w:r>
      <w:r>
        <w:rPr>
          <w:color w:val="231F1F"/>
          <w:spacing w:val="-4"/>
          <w:w w:val="105"/>
        </w:rPr>
        <w:t> </w:t>
      </w:r>
      <w:r>
        <w:rPr>
          <w:color w:val="231F1F"/>
          <w:w w:val="105"/>
        </w:rPr>
        <w:t>partogramas</w:t>
      </w:r>
      <w:r>
        <w:rPr>
          <w:color w:val="231F1F"/>
          <w:spacing w:val="-3"/>
          <w:w w:val="105"/>
        </w:rPr>
        <w:t> </w:t>
      </w:r>
      <w:r>
        <w:rPr>
          <w:color w:val="231F1F"/>
          <w:w w:val="105"/>
        </w:rPr>
        <w:t>con</w:t>
      </w:r>
      <w:r>
        <w:rPr>
          <w:color w:val="231F1F"/>
          <w:spacing w:val="-4"/>
          <w:w w:val="105"/>
        </w:rPr>
        <w:t> </w:t>
      </w:r>
      <w:r>
        <w:rPr>
          <w:color w:val="231F1F"/>
          <w:w w:val="105"/>
        </w:rPr>
        <w:t>línea</w:t>
      </w:r>
      <w:r>
        <w:rPr>
          <w:color w:val="231F1F"/>
          <w:spacing w:val="-4"/>
          <w:w w:val="105"/>
        </w:rPr>
        <w:t> </w:t>
      </w:r>
      <w:r>
        <w:rPr>
          <w:color w:val="231F1F"/>
          <w:w w:val="105"/>
        </w:rPr>
        <w:t>de</w:t>
      </w:r>
      <w:r>
        <w:rPr>
          <w:color w:val="231F1F"/>
          <w:spacing w:val="-4"/>
          <w:w w:val="105"/>
        </w:rPr>
        <w:t> </w:t>
      </w:r>
      <w:r>
        <w:rPr>
          <w:color w:val="231F1F"/>
          <w:w w:val="105"/>
        </w:rPr>
        <w:t>acción de 2 horas, 3 horas y 4 horas.</w:t>
      </w:r>
    </w:p>
    <w:p>
      <w:pPr>
        <w:pStyle w:val="BodyText"/>
        <w:spacing w:line="252" w:lineRule="auto" w:before="91"/>
        <w:ind w:left="283" w:right="45" w:firstLine="453"/>
        <w:jc w:val="both"/>
      </w:pPr>
      <w:r>
        <w:rPr>
          <w:color w:val="231F1F"/>
          <w:w w:val="110"/>
        </w:rPr>
        <w:t>Los</w:t>
      </w:r>
      <w:r>
        <w:rPr>
          <w:color w:val="231F1F"/>
          <w:spacing w:val="-14"/>
          <w:w w:val="110"/>
        </w:rPr>
        <w:t> </w:t>
      </w:r>
      <w:r>
        <w:rPr>
          <w:color w:val="231F1F"/>
          <w:w w:val="110"/>
        </w:rPr>
        <w:t>hallazgos</w:t>
      </w:r>
      <w:r>
        <w:rPr>
          <w:color w:val="231F1F"/>
          <w:spacing w:val="-10"/>
          <w:w w:val="110"/>
        </w:rPr>
        <w:t> </w:t>
      </w:r>
      <w:r>
        <w:rPr>
          <w:color w:val="231F1F"/>
          <w:w w:val="110"/>
        </w:rPr>
        <w:t>de</w:t>
      </w:r>
      <w:r>
        <w:rPr>
          <w:color w:val="231F1F"/>
          <w:spacing w:val="-10"/>
          <w:w w:val="110"/>
        </w:rPr>
        <w:t> </w:t>
      </w:r>
      <w:r>
        <w:rPr>
          <w:color w:val="231F1F"/>
          <w:w w:val="110"/>
        </w:rPr>
        <w:t>este</w:t>
      </w:r>
      <w:r>
        <w:rPr>
          <w:color w:val="231F1F"/>
          <w:spacing w:val="-9"/>
          <w:w w:val="110"/>
        </w:rPr>
        <w:t> </w:t>
      </w:r>
      <w:r>
        <w:rPr>
          <w:color w:val="231F1F"/>
          <w:w w:val="110"/>
        </w:rPr>
        <w:t>ECA</w:t>
      </w:r>
      <w:r>
        <w:rPr>
          <w:color w:val="231F1F"/>
          <w:spacing w:val="-9"/>
          <w:w w:val="110"/>
        </w:rPr>
        <w:t> </w:t>
      </w:r>
      <w:r>
        <w:rPr>
          <w:color w:val="231F1F"/>
          <w:w w:val="110"/>
        </w:rPr>
        <w:t>(62)</w:t>
      </w:r>
      <w:r>
        <w:rPr>
          <w:color w:val="231F1F"/>
          <w:spacing w:val="-10"/>
          <w:w w:val="110"/>
        </w:rPr>
        <w:t> </w:t>
      </w:r>
      <w:r>
        <w:rPr>
          <w:color w:val="231F1F"/>
          <w:w w:val="110"/>
        </w:rPr>
        <w:t>sugieren</w:t>
      </w:r>
      <w:r>
        <w:rPr>
          <w:color w:val="231F1F"/>
          <w:spacing w:val="-10"/>
          <w:w w:val="110"/>
        </w:rPr>
        <w:t> </w:t>
      </w:r>
      <w:r>
        <w:rPr>
          <w:color w:val="231F1F"/>
          <w:w w:val="110"/>
        </w:rPr>
        <w:t>que</w:t>
      </w:r>
      <w:r>
        <w:rPr>
          <w:color w:val="231F1F"/>
          <w:spacing w:val="-10"/>
          <w:w w:val="110"/>
        </w:rPr>
        <w:t> </w:t>
      </w:r>
      <w:r>
        <w:rPr>
          <w:color w:val="231F1F"/>
          <w:w w:val="110"/>
        </w:rPr>
        <w:t>la</w:t>
      </w:r>
      <w:r>
        <w:rPr>
          <w:color w:val="231F1F"/>
          <w:spacing w:val="-10"/>
          <w:w w:val="110"/>
        </w:rPr>
        <w:t> </w:t>
      </w:r>
      <w:r>
        <w:rPr>
          <w:color w:val="231F1F"/>
          <w:w w:val="110"/>
        </w:rPr>
        <w:t>utilización</w:t>
      </w:r>
      <w:r>
        <w:rPr>
          <w:color w:val="231F1F"/>
          <w:spacing w:val="-10"/>
          <w:w w:val="110"/>
        </w:rPr>
        <w:t> </w:t>
      </w:r>
      <w:r>
        <w:rPr>
          <w:color w:val="231F1F"/>
          <w:w w:val="110"/>
        </w:rPr>
        <w:t>de</w:t>
      </w:r>
      <w:r>
        <w:rPr>
          <w:color w:val="231F1F"/>
          <w:spacing w:val="-10"/>
          <w:w w:val="110"/>
        </w:rPr>
        <w:t> </w:t>
      </w:r>
      <w:r>
        <w:rPr>
          <w:i/>
          <w:color w:val="231F1F"/>
          <w:w w:val="110"/>
        </w:rPr>
        <w:t>líneas</w:t>
      </w:r>
      <w:r>
        <w:rPr>
          <w:i/>
          <w:color w:val="231F1F"/>
          <w:spacing w:val="-16"/>
          <w:w w:val="110"/>
        </w:rPr>
        <w:t> </w:t>
      </w:r>
      <w:r>
        <w:rPr>
          <w:i/>
          <w:color w:val="231F1F"/>
          <w:w w:val="110"/>
        </w:rPr>
        <w:t>de acción</w:t>
      </w:r>
      <w:r>
        <w:rPr>
          <w:i/>
          <w:color w:val="231F1F"/>
          <w:spacing w:val="-16"/>
          <w:w w:val="110"/>
        </w:rPr>
        <w:t> </w:t>
      </w:r>
      <w:r>
        <w:rPr>
          <w:i/>
          <w:color w:val="231F1F"/>
          <w:w w:val="110"/>
        </w:rPr>
        <w:t>de</w:t>
      </w:r>
      <w:r>
        <w:rPr>
          <w:i/>
          <w:color w:val="231F1F"/>
          <w:spacing w:val="-15"/>
          <w:w w:val="110"/>
        </w:rPr>
        <w:t> </w:t>
      </w:r>
      <w:r>
        <w:rPr>
          <w:i/>
          <w:color w:val="231F1F"/>
          <w:w w:val="110"/>
        </w:rPr>
        <w:t>2</w:t>
      </w:r>
      <w:r>
        <w:rPr>
          <w:i/>
          <w:color w:val="231F1F"/>
          <w:spacing w:val="-15"/>
          <w:w w:val="110"/>
        </w:rPr>
        <w:t> </w:t>
      </w:r>
      <w:r>
        <w:rPr>
          <w:i/>
          <w:color w:val="231F1F"/>
          <w:w w:val="110"/>
        </w:rPr>
        <w:t>horas,</w:t>
      </w:r>
      <w:r>
        <w:rPr>
          <w:i/>
          <w:color w:val="231F1F"/>
          <w:spacing w:val="-15"/>
          <w:w w:val="110"/>
        </w:rPr>
        <w:t> </w:t>
      </w:r>
      <w:r>
        <w:rPr>
          <w:i/>
          <w:color w:val="231F1F"/>
          <w:w w:val="110"/>
        </w:rPr>
        <w:t>comparado</w:t>
      </w:r>
      <w:r>
        <w:rPr>
          <w:i/>
          <w:color w:val="231F1F"/>
          <w:spacing w:val="-15"/>
          <w:w w:val="110"/>
        </w:rPr>
        <w:t> </w:t>
      </w:r>
      <w:r>
        <w:rPr>
          <w:i/>
          <w:color w:val="231F1F"/>
          <w:w w:val="110"/>
        </w:rPr>
        <w:t>con</w:t>
      </w:r>
      <w:r>
        <w:rPr>
          <w:i/>
          <w:color w:val="231F1F"/>
          <w:spacing w:val="-15"/>
          <w:w w:val="110"/>
        </w:rPr>
        <w:t> </w:t>
      </w:r>
      <w:r>
        <w:rPr>
          <w:i/>
          <w:color w:val="231F1F"/>
          <w:w w:val="110"/>
        </w:rPr>
        <w:t>las</w:t>
      </w:r>
      <w:r>
        <w:rPr>
          <w:i/>
          <w:color w:val="231F1F"/>
          <w:spacing w:val="-15"/>
          <w:w w:val="110"/>
        </w:rPr>
        <w:t> </w:t>
      </w:r>
      <w:r>
        <w:rPr>
          <w:i/>
          <w:color w:val="231F1F"/>
          <w:w w:val="110"/>
        </w:rPr>
        <w:t>de</w:t>
      </w:r>
      <w:r>
        <w:rPr>
          <w:i/>
          <w:color w:val="231F1F"/>
          <w:spacing w:val="-15"/>
          <w:w w:val="110"/>
        </w:rPr>
        <w:t> </w:t>
      </w:r>
      <w:r>
        <w:rPr>
          <w:i/>
          <w:color w:val="231F1F"/>
          <w:w w:val="110"/>
        </w:rPr>
        <w:t>3</w:t>
      </w:r>
      <w:r>
        <w:rPr>
          <w:i/>
          <w:color w:val="231F1F"/>
          <w:spacing w:val="-16"/>
          <w:w w:val="110"/>
        </w:rPr>
        <w:t> </w:t>
      </w:r>
      <w:r>
        <w:rPr>
          <w:i/>
          <w:color w:val="231F1F"/>
          <w:w w:val="110"/>
        </w:rPr>
        <w:t>horas</w:t>
      </w:r>
      <w:r>
        <w:rPr>
          <w:color w:val="231F1F"/>
          <w:w w:val="110"/>
        </w:rPr>
        <w:t>,</w:t>
      </w:r>
      <w:r>
        <w:rPr>
          <w:color w:val="231F1F"/>
          <w:spacing w:val="-15"/>
          <w:w w:val="110"/>
        </w:rPr>
        <w:t> </w:t>
      </w:r>
      <w:r>
        <w:rPr>
          <w:color w:val="231F1F"/>
          <w:w w:val="110"/>
        </w:rPr>
        <w:t>incrementa</w:t>
      </w:r>
      <w:r>
        <w:rPr>
          <w:color w:val="231F1F"/>
          <w:spacing w:val="-15"/>
          <w:w w:val="110"/>
        </w:rPr>
        <w:t> </w:t>
      </w:r>
      <w:r>
        <w:rPr>
          <w:color w:val="231F1F"/>
          <w:w w:val="110"/>
        </w:rPr>
        <w:t>el</w:t>
      </w:r>
      <w:r>
        <w:rPr>
          <w:color w:val="231F1F"/>
          <w:spacing w:val="-15"/>
          <w:w w:val="110"/>
        </w:rPr>
        <w:t> </w:t>
      </w:r>
      <w:r>
        <w:rPr>
          <w:color w:val="231F1F"/>
          <w:w w:val="110"/>
        </w:rPr>
        <w:t>grado</w:t>
      </w:r>
      <w:r>
        <w:rPr>
          <w:color w:val="231F1F"/>
          <w:spacing w:val="-15"/>
          <w:w w:val="110"/>
        </w:rPr>
        <w:t> </w:t>
      </w:r>
      <w:r>
        <w:rPr>
          <w:color w:val="231F1F"/>
          <w:w w:val="110"/>
        </w:rPr>
        <w:t>de</w:t>
      </w:r>
      <w:r>
        <w:rPr>
          <w:color w:val="231F1F"/>
          <w:spacing w:val="-15"/>
          <w:w w:val="110"/>
        </w:rPr>
        <w:t> </w:t>
      </w:r>
      <w:r>
        <w:rPr>
          <w:color w:val="231F1F"/>
          <w:w w:val="110"/>
        </w:rPr>
        <w:t>sa- </w:t>
      </w:r>
      <w:r>
        <w:rPr>
          <w:color w:val="231F1F"/>
        </w:rPr>
        <w:t>tisfacción de las mujeres: DM 3,5 [IC 95% 1,7 a 5,3], sin evidencia de diferen- </w:t>
      </w:r>
      <w:r>
        <w:rPr>
          <w:color w:val="231F1F"/>
          <w:w w:val="110"/>
        </w:rPr>
        <w:t>cias</w:t>
      </w:r>
      <w:r>
        <w:rPr>
          <w:color w:val="231F1F"/>
          <w:spacing w:val="-16"/>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intervenciones,</w:t>
      </w:r>
      <w:r>
        <w:rPr>
          <w:color w:val="231F1F"/>
          <w:spacing w:val="-15"/>
          <w:w w:val="110"/>
        </w:rPr>
        <w:t> </w:t>
      </w:r>
      <w:r>
        <w:rPr>
          <w:color w:val="231F1F"/>
          <w:w w:val="110"/>
        </w:rPr>
        <w:t>como</w:t>
      </w:r>
      <w:r>
        <w:rPr>
          <w:color w:val="231F1F"/>
          <w:spacing w:val="-14"/>
          <w:w w:val="110"/>
        </w:rPr>
        <w:t> </w:t>
      </w:r>
      <w:r>
        <w:rPr>
          <w:color w:val="231F1F"/>
          <w:w w:val="110"/>
        </w:rPr>
        <w:t>amniorrexis,</w:t>
      </w:r>
      <w:r>
        <w:rPr>
          <w:color w:val="231F1F"/>
          <w:spacing w:val="-16"/>
          <w:w w:val="110"/>
        </w:rPr>
        <w:t> </w:t>
      </w:r>
      <w:r>
        <w:rPr>
          <w:color w:val="231F1F"/>
          <w:w w:val="110"/>
        </w:rPr>
        <w:t>epidural,</w:t>
      </w:r>
      <w:r>
        <w:rPr>
          <w:color w:val="231F1F"/>
          <w:spacing w:val="-15"/>
          <w:w w:val="110"/>
        </w:rPr>
        <w:t> </w:t>
      </w:r>
      <w:r>
        <w:rPr>
          <w:color w:val="231F1F"/>
          <w:w w:val="110"/>
        </w:rPr>
        <w:t>cesárea</w:t>
      </w:r>
      <w:r>
        <w:rPr>
          <w:color w:val="231F1F"/>
          <w:spacing w:val="-14"/>
          <w:w w:val="110"/>
        </w:rPr>
        <w:t> </w:t>
      </w:r>
      <w:r>
        <w:rPr>
          <w:color w:val="231F1F"/>
          <w:w w:val="110"/>
        </w:rPr>
        <w:t>por</w:t>
      </w:r>
      <w:r>
        <w:rPr>
          <w:color w:val="231F1F"/>
          <w:spacing w:val="-15"/>
          <w:w w:val="110"/>
        </w:rPr>
        <w:t> </w:t>
      </w:r>
      <w:r>
        <w:rPr>
          <w:color w:val="231F1F"/>
          <w:w w:val="110"/>
        </w:rPr>
        <w:t>re- traso</w:t>
      </w:r>
      <w:r>
        <w:rPr>
          <w:color w:val="231F1F"/>
          <w:spacing w:val="-7"/>
          <w:w w:val="110"/>
        </w:rPr>
        <w:t> </w:t>
      </w:r>
      <w:r>
        <w:rPr>
          <w:color w:val="231F1F"/>
          <w:w w:val="110"/>
        </w:rPr>
        <w:t>del</w:t>
      </w:r>
      <w:r>
        <w:rPr>
          <w:color w:val="231F1F"/>
          <w:spacing w:val="-8"/>
          <w:w w:val="110"/>
        </w:rPr>
        <w:t> </w:t>
      </w:r>
      <w:r>
        <w:rPr>
          <w:color w:val="231F1F"/>
          <w:w w:val="110"/>
        </w:rPr>
        <w:t>progreso</w:t>
      </w:r>
      <w:r>
        <w:rPr>
          <w:color w:val="231F1F"/>
          <w:spacing w:val="-7"/>
          <w:w w:val="110"/>
        </w:rPr>
        <w:t> </w:t>
      </w:r>
      <w:r>
        <w:rPr>
          <w:color w:val="231F1F"/>
          <w:w w:val="110"/>
        </w:rPr>
        <w:t>normal</w:t>
      </w:r>
      <w:r>
        <w:rPr>
          <w:color w:val="231F1F"/>
          <w:spacing w:val="-8"/>
          <w:w w:val="110"/>
        </w:rPr>
        <w:t> </w:t>
      </w:r>
      <w:r>
        <w:rPr>
          <w:color w:val="231F1F"/>
          <w:w w:val="110"/>
        </w:rPr>
        <w:t>o</w:t>
      </w:r>
      <w:r>
        <w:rPr>
          <w:color w:val="231F1F"/>
          <w:spacing w:val="-7"/>
          <w:w w:val="110"/>
        </w:rPr>
        <w:t> </w:t>
      </w:r>
      <w:r>
        <w:rPr>
          <w:color w:val="231F1F"/>
          <w:w w:val="110"/>
        </w:rPr>
        <w:t>partos</w:t>
      </w:r>
      <w:r>
        <w:rPr>
          <w:color w:val="231F1F"/>
          <w:spacing w:val="-7"/>
          <w:w w:val="110"/>
        </w:rPr>
        <w:t> </w:t>
      </w:r>
      <w:r>
        <w:rPr>
          <w:color w:val="231F1F"/>
          <w:w w:val="110"/>
        </w:rPr>
        <w:t>instrumentados.</w:t>
      </w:r>
      <w:r>
        <w:rPr>
          <w:color w:val="231F1F"/>
          <w:spacing w:val="-8"/>
          <w:w w:val="110"/>
        </w:rPr>
        <w:t> </w:t>
      </w:r>
      <w:r>
        <w:rPr>
          <w:color w:val="231F1F"/>
          <w:w w:val="110"/>
        </w:rPr>
        <w:t>Tampoco</w:t>
      </w:r>
      <w:r>
        <w:rPr>
          <w:color w:val="231F1F"/>
          <w:spacing w:val="-7"/>
          <w:w w:val="110"/>
        </w:rPr>
        <w:t> </w:t>
      </w:r>
      <w:r>
        <w:rPr>
          <w:color w:val="231F1F"/>
          <w:w w:val="110"/>
        </w:rPr>
        <w:t>se</w:t>
      </w:r>
      <w:r>
        <w:rPr>
          <w:color w:val="231F1F"/>
          <w:spacing w:val="-7"/>
          <w:w w:val="110"/>
        </w:rPr>
        <w:t> </w:t>
      </w:r>
      <w:r>
        <w:rPr>
          <w:color w:val="231F1F"/>
          <w:w w:val="110"/>
        </w:rPr>
        <w:t>observaron diferencias</w:t>
      </w:r>
      <w:r>
        <w:rPr>
          <w:color w:val="231F1F"/>
          <w:spacing w:val="-6"/>
          <w:w w:val="110"/>
        </w:rPr>
        <w:t> </w:t>
      </w:r>
      <w:r>
        <w:rPr>
          <w:color w:val="231F1F"/>
          <w:w w:val="110"/>
        </w:rPr>
        <w:t>en</w:t>
      </w:r>
      <w:r>
        <w:rPr>
          <w:color w:val="231F1F"/>
          <w:spacing w:val="-5"/>
          <w:w w:val="110"/>
        </w:rPr>
        <w:t> </w:t>
      </w:r>
      <w:r>
        <w:rPr>
          <w:color w:val="231F1F"/>
          <w:w w:val="110"/>
        </w:rPr>
        <w:t>los</w:t>
      </w:r>
      <w:r>
        <w:rPr>
          <w:color w:val="231F1F"/>
          <w:spacing w:val="-6"/>
          <w:w w:val="110"/>
        </w:rPr>
        <w:t> </w:t>
      </w:r>
      <w:r>
        <w:rPr>
          <w:color w:val="231F1F"/>
          <w:w w:val="110"/>
        </w:rPr>
        <w:t>resultados</w:t>
      </w:r>
      <w:r>
        <w:rPr>
          <w:color w:val="231F1F"/>
          <w:spacing w:val="-5"/>
          <w:w w:val="110"/>
        </w:rPr>
        <w:t> </w:t>
      </w:r>
      <w:r>
        <w:rPr>
          <w:color w:val="231F1F"/>
          <w:w w:val="110"/>
        </w:rPr>
        <w:t>neonatales</w:t>
      </w:r>
      <w:r>
        <w:rPr>
          <w:color w:val="231F1F"/>
          <w:spacing w:val="-6"/>
          <w:w w:val="110"/>
        </w:rPr>
        <w:t> </w:t>
      </w:r>
      <w:r>
        <w:rPr>
          <w:color w:val="231F1F"/>
          <w:w w:val="110"/>
        </w:rPr>
        <w:t>entre</w:t>
      </w:r>
      <w:r>
        <w:rPr>
          <w:color w:val="231F1F"/>
          <w:spacing w:val="-5"/>
          <w:w w:val="110"/>
        </w:rPr>
        <w:t> </w:t>
      </w:r>
      <w:r>
        <w:rPr>
          <w:color w:val="231F1F"/>
          <w:w w:val="110"/>
        </w:rPr>
        <w:t>emplear</w:t>
      </w:r>
      <w:r>
        <w:rPr>
          <w:color w:val="231F1F"/>
          <w:spacing w:val="-6"/>
          <w:w w:val="110"/>
        </w:rPr>
        <w:t> </w:t>
      </w:r>
      <w:r>
        <w:rPr>
          <w:color w:val="231F1F"/>
          <w:w w:val="110"/>
        </w:rPr>
        <w:t>líneas</w:t>
      </w:r>
      <w:r>
        <w:rPr>
          <w:color w:val="231F1F"/>
          <w:spacing w:val="-5"/>
          <w:w w:val="110"/>
        </w:rPr>
        <w:t> </w:t>
      </w:r>
      <w:r>
        <w:rPr>
          <w:color w:val="231F1F"/>
          <w:w w:val="110"/>
        </w:rPr>
        <w:t>de</w:t>
      </w:r>
      <w:r>
        <w:rPr>
          <w:color w:val="231F1F"/>
          <w:spacing w:val="-5"/>
          <w:w w:val="110"/>
        </w:rPr>
        <w:t> </w:t>
      </w:r>
      <w:r>
        <w:rPr>
          <w:color w:val="231F1F"/>
          <w:w w:val="110"/>
        </w:rPr>
        <w:t>acción</w:t>
      </w:r>
      <w:r>
        <w:rPr>
          <w:color w:val="231F1F"/>
          <w:spacing w:val="-5"/>
          <w:w w:val="110"/>
        </w:rPr>
        <w:t> </w:t>
      </w:r>
      <w:r>
        <w:rPr>
          <w:color w:val="231F1F"/>
          <w:w w:val="110"/>
        </w:rPr>
        <w:t>de</w:t>
      </w:r>
      <w:r>
        <w:rPr>
          <w:color w:val="231F1F"/>
          <w:spacing w:val="-5"/>
          <w:w w:val="110"/>
        </w:rPr>
        <w:t> </w:t>
      </w:r>
      <w:r>
        <w:rPr>
          <w:color w:val="231F1F"/>
          <w:w w:val="110"/>
        </w:rPr>
        <w:t>2 o 3 horas.</w:t>
      </w:r>
    </w:p>
    <w:p>
      <w:pPr>
        <w:pStyle w:val="BodyText"/>
        <w:spacing w:line="249" w:lineRule="auto" w:before="80"/>
        <w:ind w:left="283" w:right="42" w:firstLine="453"/>
        <w:jc w:val="both"/>
      </w:pPr>
      <w:r>
        <w:rPr>
          <w:color w:val="231F1F"/>
          <w:w w:val="105"/>
        </w:rPr>
        <w:t>Al comparar </w:t>
      </w:r>
      <w:r>
        <w:rPr>
          <w:i/>
          <w:color w:val="231F1F"/>
          <w:w w:val="105"/>
        </w:rPr>
        <w:t>líneas</w:t>
      </w:r>
      <w:r>
        <w:rPr>
          <w:i/>
          <w:color w:val="231F1F"/>
          <w:spacing w:val="-13"/>
          <w:w w:val="105"/>
        </w:rPr>
        <w:t> </w:t>
      </w:r>
      <w:r>
        <w:rPr>
          <w:i/>
          <w:color w:val="231F1F"/>
          <w:w w:val="105"/>
        </w:rPr>
        <w:t>de</w:t>
      </w:r>
      <w:r>
        <w:rPr>
          <w:i/>
          <w:color w:val="231F1F"/>
          <w:spacing w:val="-13"/>
          <w:w w:val="105"/>
        </w:rPr>
        <w:t> </w:t>
      </w:r>
      <w:r>
        <w:rPr>
          <w:i/>
          <w:color w:val="231F1F"/>
          <w:w w:val="105"/>
        </w:rPr>
        <w:t>acción</w:t>
      </w:r>
      <w:r>
        <w:rPr>
          <w:i/>
          <w:color w:val="231F1F"/>
          <w:spacing w:val="-14"/>
          <w:w w:val="105"/>
        </w:rPr>
        <w:t> </w:t>
      </w:r>
      <w:r>
        <w:rPr>
          <w:i/>
          <w:color w:val="231F1F"/>
          <w:w w:val="105"/>
        </w:rPr>
        <w:t>de</w:t>
      </w:r>
      <w:r>
        <w:rPr>
          <w:i/>
          <w:color w:val="231F1F"/>
          <w:spacing w:val="-13"/>
          <w:w w:val="105"/>
        </w:rPr>
        <w:t> </w:t>
      </w:r>
      <w:r>
        <w:rPr>
          <w:i/>
          <w:color w:val="231F1F"/>
          <w:w w:val="105"/>
        </w:rPr>
        <w:t>3</w:t>
      </w:r>
      <w:r>
        <w:rPr>
          <w:i/>
          <w:color w:val="231F1F"/>
          <w:spacing w:val="-13"/>
          <w:w w:val="105"/>
        </w:rPr>
        <w:t> </w:t>
      </w:r>
      <w:r>
        <w:rPr>
          <w:i/>
          <w:color w:val="231F1F"/>
          <w:w w:val="105"/>
        </w:rPr>
        <w:t>horas</w:t>
      </w:r>
      <w:r>
        <w:rPr>
          <w:i/>
          <w:color w:val="231F1F"/>
          <w:spacing w:val="-13"/>
          <w:w w:val="105"/>
        </w:rPr>
        <w:t> </w:t>
      </w:r>
      <w:r>
        <w:rPr>
          <w:i/>
          <w:color w:val="231F1F"/>
          <w:w w:val="105"/>
        </w:rPr>
        <w:t>con</w:t>
      </w:r>
      <w:r>
        <w:rPr>
          <w:i/>
          <w:color w:val="231F1F"/>
          <w:spacing w:val="-13"/>
          <w:w w:val="105"/>
        </w:rPr>
        <w:t> </w:t>
      </w:r>
      <w:r>
        <w:rPr>
          <w:i/>
          <w:color w:val="231F1F"/>
          <w:w w:val="105"/>
        </w:rPr>
        <w:t>las</w:t>
      </w:r>
      <w:r>
        <w:rPr>
          <w:i/>
          <w:color w:val="231F1F"/>
          <w:spacing w:val="-13"/>
          <w:w w:val="105"/>
        </w:rPr>
        <w:t> </w:t>
      </w:r>
      <w:r>
        <w:rPr>
          <w:i/>
          <w:color w:val="231F1F"/>
          <w:w w:val="105"/>
        </w:rPr>
        <w:t>de</w:t>
      </w:r>
      <w:r>
        <w:rPr>
          <w:i/>
          <w:color w:val="231F1F"/>
          <w:spacing w:val="-13"/>
          <w:w w:val="105"/>
        </w:rPr>
        <w:t> </w:t>
      </w:r>
      <w:r>
        <w:rPr>
          <w:i/>
          <w:color w:val="231F1F"/>
          <w:w w:val="105"/>
        </w:rPr>
        <w:t>4</w:t>
      </w:r>
      <w:r>
        <w:rPr>
          <w:i/>
          <w:color w:val="231F1F"/>
          <w:spacing w:val="-13"/>
          <w:w w:val="105"/>
        </w:rPr>
        <w:t> </w:t>
      </w:r>
      <w:r>
        <w:rPr>
          <w:i/>
          <w:color w:val="231F1F"/>
          <w:w w:val="105"/>
        </w:rPr>
        <w:t>horas</w:t>
      </w:r>
      <w:r>
        <w:rPr>
          <w:color w:val="231F1F"/>
          <w:w w:val="105"/>
        </w:rPr>
        <w:t>, se observa un incremento en la tasa de cesáreas con las líneas de 3 horas: OR 1,8 [IC 95% 1,1 a 3,2], pero no en la tasa de cesáreas por estrés fetal o por anomalías en el progreso normal. No se observaron diferencias en otras intervenciones, satis- facción de las mujeres o resultados neonatales.</w:t>
      </w:r>
    </w:p>
    <w:p>
      <w:pPr>
        <w:spacing w:line="244" w:lineRule="auto" w:before="91"/>
        <w:ind w:left="283" w:right="39" w:firstLine="453"/>
        <w:jc w:val="both"/>
        <w:rPr>
          <w:sz w:val="22"/>
        </w:rPr>
      </w:pPr>
      <w:r>
        <w:rPr>
          <w:color w:val="231F1F"/>
          <w:w w:val="105"/>
          <w:sz w:val="22"/>
        </w:rPr>
        <w:t>Por último, el uso de </w:t>
      </w:r>
      <w:r>
        <w:rPr>
          <w:i/>
          <w:color w:val="231F1F"/>
          <w:w w:val="105"/>
          <w:sz w:val="22"/>
        </w:rPr>
        <w:t>líneas</w:t>
      </w:r>
      <w:r>
        <w:rPr>
          <w:i/>
          <w:color w:val="231F1F"/>
          <w:spacing w:val="-6"/>
          <w:w w:val="105"/>
          <w:sz w:val="22"/>
        </w:rPr>
        <w:t> </w:t>
      </w:r>
      <w:r>
        <w:rPr>
          <w:i/>
          <w:color w:val="231F1F"/>
          <w:w w:val="105"/>
          <w:sz w:val="22"/>
        </w:rPr>
        <w:t>de</w:t>
      </w:r>
      <w:r>
        <w:rPr>
          <w:i/>
          <w:color w:val="231F1F"/>
          <w:spacing w:val="-6"/>
          <w:w w:val="105"/>
          <w:sz w:val="22"/>
        </w:rPr>
        <w:t> </w:t>
      </w:r>
      <w:r>
        <w:rPr>
          <w:i/>
          <w:color w:val="231F1F"/>
          <w:w w:val="105"/>
          <w:sz w:val="22"/>
        </w:rPr>
        <w:t>acción</w:t>
      </w:r>
      <w:r>
        <w:rPr>
          <w:i/>
          <w:color w:val="231F1F"/>
          <w:spacing w:val="-7"/>
          <w:w w:val="105"/>
          <w:sz w:val="22"/>
        </w:rPr>
        <w:t> </w:t>
      </w:r>
      <w:r>
        <w:rPr>
          <w:i/>
          <w:color w:val="231F1F"/>
          <w:w w:val="105"/>
          <w:sz w:val="22"/>
        </w:rPr>
        <w:t>de</w:t>
      </w:r>
      <w:r>
        <w:rPr>
          <w:i/>
          <w:color w:val="231F1F"/>
          <w:spacing w:val="-6"/>
          <w:w w:val="105"/>
          <w:sz w:val="22"/>
        </w:rPr>
        <w:t> </w:t>
      </w:r>
      <w:r>
        <w:rPr>
          <w:i/>
          <w:color w:val="231F1F"/>
          <w:w w:val="105"/>
          <w:sz w:val="22"/>
        </w:rPr>
        <w:t>2</w:t>
      </w:r>
      <w:r>
        <w:rPr>
          <w:i/>
          <w:color w:val="231F1F"/>
          <w:spacing w:val="-6"/>
          <w:w w:val="105"/>
          <w:sz w:val="22"/>
        </w:rPr>
        <w:t> </w:t>
      </w:r>
      <w:r>
        <w:rPr>
          <w:i/>
          <w:color w:val="231F1F"/>
          <w:w w:val="105"/>
          <w:sz w:val="22"/>
        </w:rPr>
        <w:t>horas</w:t>
      </w:r>
      <w:r>
        <w:rPr>
          <w:i/>
          <w:color w:val="231F1F"/>
          <w:spacing w:val="-6"/>
          <w:w w:val="105"/>
          <w:sz w:val="22"/>
        </w:rPr>
        <w:t> </w:t>
      </w:r>
      <w:r>
        <w:rPr>
          <w:i/>
          <w:color w:val="231F1F"/>
          <w:w w:val="105"/>
          <w:sz w:val="22"/>
        </w:rPr>
        <w:t>comparado</w:t>
      </w:r>
      <w:r>
        <w:rPr>
          <w:i/>
          <w:color w:val="231F1F"/>
          <w:spacing w:val="-6"/>
          <w:w w:val="105"/>
          <w:sz w:val="22"/>
        </w:rPr>
        <w:t> </w:t>
      </w:r>
      <w:r>
        <w:rPr>
          <w:i/>
          <w:color w:val="231F1F"/>
          <w:w w:val="105"/>
          <w:sz w:val="22"/>
        </w:rPr>
        <w:t>con</w:t>
      </w:r>
      <w:r>
        <w:rPr>
          <w:i/>
          <w:color w:val="231F1F"/>
          <w:spacing w:val="-6"/>
          <w:w w:val="105"/>
          <w:sz w:val="22"/>
        </w:rPr>
        <w:t> </w:t>
      </w:r>
      <w:r>
        <w:rPr>
          <w:i/>
          <w:color w:val="231F1F"/>
          <w:w w:val="105"/>
          <w:sz w:val="22"/>
        </w:rPr>
        <w:t>las</w:t>
      </w:r>
      <w:r>
        <w:rPr>
          <w:i/>
          <w:color w:val="231F1F"/>
          <w:spacing w:val="-6"/>
          <w:w w:val="105"/>
          <w:sz w:val="22"/>
        </w:rPr>
        <w:t> </w:t>
      </w:r>
      <w:r>
        <w:rPr>
          <w:i/>
          <w:color w:val="231F1F"/>
          <w:w w:val="105"/>
          <w:sz w:val="22"/>
        </w:rPr>
        <w:t>de</w:t>
      </w:r>
      <w:r>
        <w:rPr>
          <w:i/>
          <w:color w:val="231F1F"/>
          <w:spacing w:val="-6"/>
          <w:w w:val="105"/>
          <w:sz w:val="22"/>
        </w:rPr>
        <w:t> </w:t>
      </w:r>
      <w:r>
        <w:rPr>
          <w:i/>
          <w:color w:val="231F1F"/>
          <w:w w:val="105"/>
          <w:sz w:val="22"/>
        </w:rPr>
        <w:t>4 horas </w:t>
      </w:r>
      <w:r>
        <w:rPr>
          <w:color w:val="231F1F"/>
          <w:w w:val="105"/>
          <w:sz w:val="22"/>
        </w:rPr>
        <w:t>incrementó la satisfacción de las mujeres: DM 5,2 [IC 95% 3,4 a 7,0]. No hubo evidencia de diferencias en el índice de intervenciones o de resulta- dos neonatales.</w:t>
      </w:r>
    </w:p>
    <w:p>
      <w:pPr>
        <w:spacing w:line="254" w:lineRule="auto" w:before="95"/>
        <w:ind w:left="283" w:right="47" w:firstLine="453"/>
        <w:jc w:val="both"/>
        <w:rPr>
          <w:i/>
          <w:sz w:val="22"/>
        </w:rPr>
      </w:pPr>
      <w:r>
        <w:rPr>
          <w:color w:val="231F1F"/>
          <w:w w:val="105"/>
          <w:sz w:val="22"/>
        </w:rPr>
        <w:t>Un</w:t>
      </w:r>
      <w:r>
        <w:rPr>
          <w:color w:val="231F1F"/>
          <w:spacing w:val="-9"/>
          <w:w w:val="105"/>
          <w:sz w:val="22"/>
        </w:rPr>
        <w:t> </w:t>
      </w:r>
      <w:r>
        <w:rPr>
          <w:color w:val="231F1F"/>
          <w:w w:val="105"/>
          <w:sz w:val="22"/>
        </w:rPr>
        <w:t>segundo</w:t>
      </w:r>
      <w:r>
        <w:rPr>
          <w:color w:val="231F1F"/>
          <w:spacing w:val="-10"/>
          <w:w w:val="105"/>
          <w:sz w:val="22"/>
        </w:rPr>
        <w:t> </w:t>
      </w:r>
      <w:r>
        <w:rPr>
          <w:color w:val="231F1F"/>
          <w:w w:val="105"/>
          <w:sz w:val="22"/>
        </w:rPr>
        <w:t>estudio</w:t>
      </w:r>
      <w:r>
        <w:rPr>
          <w:color w:val="231F1F"/>
          <w:spacing w:val="-9"/>
          <w:w w:val="105"/>
          <w:sz w:val="22"/>
        </w:rPr>
        <w:t> </w:t>
      </w:r>
      <w:r>
        <w:rPr>
          <w:color w:val="231F1F"/>
          <w:w w:val="105"/>
          <w:sz w:val="22"/>
        </w:rPr>
        <w:t>elaborado</w:t>
      </w:r>
      <w:r>
        <w:rPr>
          <w:color w:val="231F1F"/>
          <w:spacing w:val="-8"/>
          <w:w w:val="105"/>
          <w:sz w:val="22"/>
        </w:rPr>
        <w:t> </w:t>
      </w:r>
      <w:r>
        <w:rPr>
          <w:color w:val="231F1F"/>
          <w:w w:val="105"/>
          <w:sz w:val="22"/>
        </w:rPr>
        <w:t>en</w:t>
      </w:r>
      <w:r>
        <w:rPr>
          <w:color w:val="231F1F"/>
          <w:spacing w:val="-9"/>
          <w:w w:val="105"/>
          <w:sz w:val="22"/>
        </w:rPr>
        <w:t> </w:t>
      </w:r>
      <w:r>
        <w:rPr>
          <w:color w:val="231F1F"/>
          <w:w w:val="105"/>
          <w:sz w:val="22"/>
        </w:rPr>
        <w:t>Sudáfrica</w:t>
      </w:r>
      <w:r>
        <w:rPr>
          <w:color w:val="231F1F"/>
          <w:spacing w:val="-10"/>
          <w:w w:val="105"/>
          <w:sz w:val="22"/>
        </w:rPr>
        <w:t> </w:t>
      </w:r>
      <w:r>
        <w:rPr>
          <w:color w:val="231F1F"/>
          <w:w w:val="105"/>
          <w:sz w:val="22"/>
        </w:rPr>
        <w:t>(63)</w:t>
      </w:r>
      <w:r>
        <w:rPr>
          <w:color w:val="231F1F"/>
          <w:spacing w:val="-9"/>
          <w:w w:val="105"/>
          <w:sz w:val="22"/>
        </w:rPr>
        <w:t> </w:t>
      </w:r>
      <w:r>
        <w:rPr>
          <w:color w:val="231F1F"/>
          <w:w w:val="105"/>
          <w:sz w:val="22"/>
        </w:rPr>
        <w:t>con</w:t>
      </w:r>
      <w:r>
        <w:rPr>
          <w:color w:val="231F1F"/>
          <w:spacing w:val="-9"/>
          <w:w w:val="105"/>
          <w:sz w:val="22"/>
        </w:rPr>
        <w:t> </w:t>
      </w:r>
      <w:r>
        <w:rPr>
          <w:color w:val="231F1F"/>
          <w:w w:val="105"/>
          <w:sz w:val="22"/>
        </w:rPr>
        <w:t>694</w:t>
      </w:r>
      <w:r>
        <w:rPr>
          <w:color w:val="231F1F"/>
          <w:spacing w:val="-9"/>
          <w:w w:val="105"/>
          <w:sz w:val="22"/>
        </w:rPr>
        <w:t> </w:t>
      </w:r>
      <w:r>
        <w:rPr>
          <w:color w:val="231F1F"/>
          <w:w w:val="105"/>
          <w:sz w:val="22"/>
        </w:rPr>
        <w:t>mujeres,</w:t>
      </w:r>
      <w:r>
        <w:rPr>
          <w:color w:val="231F1F"/>
          <w:spacing w:val="-10"/>
          <w:w w:val="105"/>
          <w:sz w:val="22"/>
        </w:rPr>
        <w:t> </w:t>
      </w:r>
      <w:r>
        <w:rPr>
          <w:color w:val="231F1F"/>
          <w:w w:val="105"/>
          <w:sz w:val="22"/>
        </w:rPr>
        <w:t>compa- </w:t>
      </w:r>
      <w:r>
        <w:rPr>
          <w:color w:val="231F1F"/>
          <w:sz w:val="22"/>
        </w:rPr>
        <w:t>ró el </w:t>
      </w:r>
      <w:r>
        <w:rPr>
          <w:i/>
          <w:color w:val="231F1F"/>
          <w:sz w:val="22"/>
        </w:rPr>
        <w:t>partograma</w:t>
      </w:r>
      <w:r>
        <w:rPr>
          <w:i/>
          <w:color w:val="231F1F"/>
          <w:spacing w:val="-7"/>
          <w:sz w:val="22"/>
        </w:rPr>
        <w:t> </w:t>
      </w:r>
      <w:r>
        <w:rPr>
          <w:i/>
          <w:color w:val="231F1F"/>
          <w:sz w:val="22"/>
        </w:rPr>
        <w:t>con</w:t>
      </w:r>
      <w:r>
        <w:rPr>
          <w:i/>
          <w:color w:val="231F1F"/>
          <w:spacing w:val="-7"/>
          <w:sz w:val="22"/>
        </w:rPr>
        <w:t> </w:t>
      </w:r>
      <w:r>
        <w:rPr>
          <w:i/>
          <w:color w:val="231F1F"/>
          <w:sz w:val="22"/>
        </w:rPr>
        <w:t>una</w:t>
      </w:r>
      <w:r>
        <w:rPr>
          <w:i/>
          <w:color w:val="231F1F"/>
          <w:spacing w:val="-7"/>
          <w:sz w:val="22"/>
        </w:rPr>
        <w:t> </w:t>
      </w:r>
      <w:r>
        <w:rPr>
          <w:i/>
          <w:color w:val="231F1F"/>
          <w:sz w:val="22"/>
        </w:rPr>
        <w:t>única</w:t>
      </w:r>
      <w:r>
        <w:rPr>
          <w:i/>
          <w:color w:val="231F1F"/>
          <w:spacing w:val="-7"/>
          <w:sz w:val="22"/>
        </w:rPr>
        <w:t> </w:t>
      </w:r>
      <w:r>
        <w:rPr>
          <w:i/>
          <w:color w:val="231F1F"/>
          <w:sz w:val="22"/>
        </w:rPr>
        <w:t>línea</w:t>
      </w:r>
      <w:r>
        <w:rPr>
          <w:i/>
          <w:color w:val="231F1F"/>
          <w:spacing w:val="-6"/>
          <w:sz w:val="22"/>
        </w:rPr>
        <w:t> </w:t>
      </w:r>
      <w:r>
        <w:rPr>
          <w:i/>
          <w:color w:val="231F1F"/>
          <w:sz w:val="22"/>
        </w:rPr>
        <w:t>de</w:t>
      </w:r>
      <w:r>
        <w:rPr>
          <w:i/>
          <w:color w:val="231F1F"/>
          <w:spacing w:val="-7"/>
          <w:sz w:val="22"/>
        </w:rPr>
        <w:t> </w:t>
      </w:r>
      <w:r>
        <w:rPr>
          <w:i/>
          <w:color w:val="231F1F"/>
          <w:sz w:val="22"/>
        </w:rPr>
        <w:t>acción</w:t>
      </w:r>
      <w:r>
        <w:rPr>
          <w:i/>
          <w:color w:val="231F1F"/>
          <w:spacing w:val="-7"/>
          <w:sz w:val="22"/>
        </w:rPr>
        <w:t> </w:t>
      </w:r>
      <w:r>
        <w:rPr>
          <w:i/>
          <w:color w:val="231F1F"/>
          <w:sz w:val="22"/>
        </w:rPr>
        <w:t>a</w:t>
      </w:r>
      <w:r>
        <w:rPr>
          <w:i/>
          <w:color w:val="231F1F"/>
          <w:spacing w:val="-7"/>
          <w:sz w:val="22"/>
        </w:rPr>
        <w:t> </w:t>
      </w:r>
      <w:r>
        <w:rPr>
          <w:i/>
          <w:color w:val="231F1F"/>
          <w:sz w:val="22"/>
        </w:rPr>
        <w:t>las</w:t>
      </w:r>
      <w:r>
        <w:rPr>
          <w:i/>
          <w:color w:val="231F1F"/>
          <w:spacing w:val="-6"/>
          <w:sz w:val="22"/>
        </w:rPr>
        <w:t> </w:t>
      </w:r>
      <w:r>
        <w:rPr>
          <w:i/>
          <w:color w:val="231F1F"/>
          <w:sz w:val="22"/>
        </w:rPr>
        <w:t>dos</w:t>
      </w:r>
      <w:r>
        <w:rPr>
          <w:i/>
          <w:color w:val="231F1F"/>
          <w:spacing w:val="-7"/>
          <w:sz w:val="22"/>
        </w:rPr>
        <w:t> </w:t>
      </w:r>
      <w:r>
        <w:rPr>
          <w:i/>
          <w:color w:val="231F1F"/>
          <w:sz w:val="22"/>
        </w:rPr>
        <w:t>horas</w:t>
      </w:r>
      <w:r>
        <w:rPr>
          <w:i/>
          <w:color w:val="231F1F"/>
          <w:spacing w:val="-7"/>
          <w:sz w:val="22"/>
        </w:rPr>
        <w:t> </w:t>
      </w:r>
      <w:r>
        <w:rPr>
          <w:i/>
          <w:color w:val="231F1F"/>
          <w:sz w:val="22"/>
        </w:rPr>
        <w:t>con</w:t>
      </w:r>
      <w:r>
        <w:rPr>
          <w:i/>
          <w:color w:val="231F1F"/>
          <w:spacing w:val="-7"/>
          <w:sz w:val="22"/>
        </w:rPr>
        <w:t> </w:t>
      </w:r>
      <w:r>
        <w:rPr>
          <w:i/>
          <w:color w:val="231F1F"/>
          <w:sz w:val="22"/>
        </w:rPr>
        <w:t>el</w:t>
      </w:r>
      <w:r>
        <w:rPr>
          <w:i/>
          <w:color w:val="231F1F"/>
          <w:spacing w:val="-7"/>
          <w:sz w:val="22"/>
        </w:rPr>
        <w:t> </w:t>
      </w:r>
      <w:r>
        <w:rPr>
          <w:i/>
          <w:color w:val="231F1F"/>
          <w:sz w:val="22"/>
        </w:rPr>
        <w:t>partograma </w:t>
      </w:r>
      <w:r>
        <w:rPr>
          <w:i/>
          <w:color w:val="231F1F"/>
          <w:spacing w:val="-4"/>
          <w:w w:val="105"/>
          <w:sz w:val="22"/>
        </w:rPr>
        <w:t>de</w:t>
      </w:r>
      <w:r>
        <w:rPr>
          <w:i/>
          <w:color w:val="231F1F"/>
          <w:spacing w:val="-11"/>
          <w:w w:val="105"/>
          <w:sz w:val="22"/>
        </w:rPr>
        <w:t> </w:t>
      </w:r>
      <w:r>
        <w:rPr>
          <w:i/>
          <w:color w:val="231F1F"/>
          <w:spacing w:val="-4"/>
          <w:w w:val="105"/>
          <w:sz w:val="22"/>
        </w:rPr>
        <w:t>la</w:t>
      </w:r>
      <w:r>
        <w:rPr>
          <w:i/>
          <w:color w:val="231F1F"/>
          <w:spacing w:val="-11"/>
          <w:w w:val="105"/>
          <w:sz w:val="22"/>
        </w:rPr>
        <w:t> </w:t>
      </w:r>
      <w:r>
        <w:rPr>
          <w:i/>
          <w:color w:val="231F1F"/>
          <w:spacing w:val="-4"/>
          <w:w w:val="105"/>
          <w:sz w:val="22"/>
        </w:rPr>
        <w:t>OMS</w:t>
      </w:r>
      <w:r>
        <w:rPr>
          <w:i/>
          <w:color w:val="231F1F"/>
          <w:spacing w:val="-11"/>
          <w:w w:val="105"/>
          <w:sz w:val="22"/>
        </w:rPr>
        <w:t> </w:t>
      </w:r>
      <w:r>
        <w:rPr>
          <w:i/>
          <w:color w:val="231F1F"/>
          <w:spacing w:val="-4"/>
          <w:w w:val="105"/>
          <w:sz w:val="22"/>
        </w:rPr>
        <w:t>(con</w:t>
      </w:r>
      <w:r>
        <w:rPr>
          <w:i/>
          <w:color w:val="231F1F"/>
          <w:spacing w:val="-11"/>
          <w:w w:val="105"/>
          <w:sz w:val="22"/>
        </w:rPr>
        <w:t> </w:t>
      </w:r>
      <w:r>
        <w:rPr>
          <w:i/>
          <w:color w:val="231F1F"/>
          <w:spacing w:val="-4"/>
          <w:w w:val="105"/>
          <w:sz w:val="22"/>
        </w:rPr>
        <w:t>dos</w:t>
      </w:r>
      <w:r>
        <w:rPr>
          <w:i/>
          <w:color w:val="231F1F"/>
          <w:spacing w:val="-11"/>
          <w:w w:val="105"/>
          <w:sz w:val="22"/>
        </w:rPr>
        <w:t> </w:t>
      </w:r>
      <w:r>
        <w:rPr>
          <w:i/>
          <w:color w:val="231F1F"/>
          <w:spacing w:val="-4"/>
          <w:w w:val="105"/>
          <w:sz w:val="22"/>
        </w:rPr>
        <w:t>líneas</w:t>
      </w:r>
      <w:r>
        <w:rPr>
          <w:i/>
          <w:color w:val="231F1F"/>
          <w:spacing w:val="-11"/>
          <w:w w:val="105"/>
          <w:sz w:val="22"/>
        </w:rPr>
        <w:t> </w:t>
      </w:r>
      <w:r>
        <w:rPr>
          <w:i/>
          <w:color w:val="231F1F"/>
          <w:spacing w:val="-4"/>
          <w:w w:val="105"/>
          <w:sz w:val="22"/>
        </w:rPr>
        <w:t>paralelas,</w:t>
      </w:r>
      <w:r>
        <w:rPr>
          <w:i/>
          <w:color w:val="231F1F"/>
          <w:spacing w:val="-11"/>
          <w:w w:val="105"/>
          <w:sz w:val="22"/>
        </w:rPr>
        <w:t> </w:t>
      </w:r>
      <w:r>
        <w:rPr>
          <w:i/>
          <w:color w:val="231F1F"/>
          <w:spacing w:val="-4"/>
          <w:w w:val="105"/>
          <w:sz w:val="22"/>
        </w:rPr>
        <w:t>una</w:t>
      </w:r>
      <w:r>
        <w:rPr>
          <w:i/>
          <w:color w:val="231F1F"/>
          <w:spacing w:val="-11"/>
          <w:w w:val="105"/>
          <w:sz w:val="22"/>
        </w:rPr>
        <w:t> </w:t>
      </w:r>
      <w:r>
        <w:rPr>
          <w:i/>
          <w:color w:val="231F1F"/>
          <w:spacing w:val="-4"/>
          <w:w w:val="105"/>
          <w:sz w:val="22"/>
        </w:rPr>
        <w:t>de</w:t>
      </w:r>
      <w:r>
        <w:rPr>
          <w:i/>
          <w:color w:val="231F1F"/>
          <w:spacing w:val="-11"/>
          <w:w w:val="105"/>
          <w:sz w:val="22"/>
        </w:rPr>
        <w:t> </w:t>
      </w:r>
      <w:r>
        <w:rPr>
          <w:i/>
          <w:color w:val="231F1F"/>
          <w:spacing w:val="-4"/>
          <w:w w:val="105"/>
          <w:sz w:val="22"/>
        </w:rPr>
        <w:t>alerta</w:t>
      </w:r>
      <w:r>
        <w:rPr>
          <w:i/>
          <w:color w:val="231F1F"/>
          <w:spacing w:val="-12"/>
          <w:w w:val="105"/>
          <w:sz w:val="22"/>
        </w:rPr>
        <w:t> </w:t>
      </w:r>
      <w:r>
        <w:rPr>
          <w:i/>
          <w:color w:val="231F1F"/>
          <w:spacing w:val="-4"/>
          <w:w w:val="105"/>
          <w:sz w:val="22"/>
        </w:rPr>
        <w:t>y</w:t>
      </w:r>
      <w:r>
        <w:rPr>
          <w:i/>
          <w:color w:val="231F1F"/>
          <w:spacing w:val="-11"/>
          <w:w w:val="105"/>
          <w:sz w:val="22"/>
        </w:rPr>
        <w:t> </w:t>
      </w:r>
      <w:r>
        <w:rPr>
          <w:i/>
          <w:color w:val="231F1F"/>
          <w:spacing w:val="-4"/>
          <w:w w:val="105"/>
          <w:sz w:val="22"/>
        </w:rPr>
        <w:t>otra</w:t>
      </w:r>
      <w:r>
        <w:rPr>
          <w:i/>
          <w:color w:val="231F1F"/>
          <w:spacing w:val="-11"/>
          <w:w w:val="105"/>
          <w:sz w:val="22"/>
        </w:rPr>
        <w:t> </w:t>
      </w:r>
      <w:r>
        <w:rPr>
          <w:i/>
          <w:color w:val="231F1F"/>
          <w:spacing w:val="-4"/>
          <w:w w:val="105"/>
          <w:sz w:val="22"/>
        </w:rPr>
        <w:t>de</w:t>
      </w:r>
      <w:r>
        <w:rPr>
          <w:i/>
          <w:color w:val="231F1F"/>
          <w:spacing w:val="-11"/>
          <w:w w:val="105"/>
          <w:sz w:val="22"/>
        </w:rPr>
        <w:t> </w:t>
      </w:r>
      <w:r>
        <w:rPr>
          <w:i/>
          <w:color w:val="231F1F"/>
          <w:spacing w:val="-4"/>
          <w:w w:val="105"/>
          <w:sz w:val="22"/>
        </w:rPr>
        <w:t>acción</w:t>
      </w:r>
      <w:r>
        <w:rPr>
          <w:i/>
          <w:color w:val="231F1F"/>
          <w:spacing w:val="-11"/>
          <w:w w:val="105"/>
          <w:sz w:val="22"/>
        </w:rPr>
        <w:t> </w:t>
      </w:r>
      <w:r>
        <w:rPr>
          <w:i/>
          <w:color w:val="231F1F"/>
          <w:spacing w:val="-4"/>
          <w:w w:val="105"/>
          <w:sz w:val="22"/>
        </w:rPr>
        <w:t>a</w:t>
      </w:r>
      <w:r>
        <w:rPr>
          <w:i/>
          <w:color w:val="231F1F"/>
          <w:spacing w:val="-11"/>
          <w:w w:val="105"/>
          <w:sz w:val="22"/>
        </w:rPr>
        <w:t> </w:t>
      </w:r>
      <w:r>
        <w:rPr>
          <w:i/>
          <w:color w:val="231F1F"/>
          <w:spacing w:val="-4"/>
          <w:w w:val="105"/>
          <w:sz w:val="22"/>
        </w:rPr>
        <w:t>las</w:t>
      </w:r>
      <w:r>
        <w:rPr>
          <w:i/>
          <w:color w:val="231F1F"/>
          <w:spacing w:val="-11"/>
          <w:w w:val="105"/>
          <w:sz w:val="22"/>
        </w:rPr>
        <w:t> </w:t>
      </w:r>
      <w:r>
        <w:rPr>
          <w:i/>
          <w:color w:val="231F1F"/>
          <w:spacing w:val="-4"/>
          <w:w w:val="105"/>
          <w:sz w:val="22"/>
        </w:rPr>
        <w:t>4</w:t>
      </w:r>
      <w:r>
        <w:rPr>
          <w:i/>
          <w:color w:val="231F1F"/>
          <w:spacing w:val="-11"/>
          <w:w w:val="105"/>
          <w:sz w:val="22"/>
        </w:rPr>
        <w:t> </w:t>
      </w:r>
      <w:r>
        <w:rPr>
          <w:i/>
          <w:color w:val="231F1F"/>
          <w:spacing w:val="-4"/>
          <w:w w:val="105"/>
          <w:sz w:val="22"/>
        </w:rPr>
        <w:t>horas).</w:t>
      </w:r>
    </w:p>
    <w:p>
      <w:pPr>
        <w:pStyle w:val="BodyText"/>
        <w:spacing w:line="249" w:lineRule="auto" w:before="94"/>
        <w:ind w:left="283" w:right="42" w:firstLine="453"/>
        <w:jc w:val="both"/>
      </w:pPr>
      <w:r>
        <w:rPr>
          <w:color w:val="231F1F"/>
          <w:w w:val="105"/>
        </w:rPr>
        <w:t>Los resultados mostraron que el uso de una única </w:t>
      </w:r>
      <w:r>
        <w:rPr>
          <w:i/>
          <w:color w:val="231F1F"/>
          <w:w w:val="105"/>
        </w:rPr>
        <w:t>línea de alerta a las 2 horas</w:t>
      </w:r>
      <w:r>
        <w:rPr>
          <w:i/>
          <w:color w:val="231F1F"/>
          <w:spacing w:val="-3"/>
          <w:w w:val="105"/>
        </w:rPr>
        <w:t> </w:t>
      </w:r>
      <w:r>
        <w:rPr>
          <w:i/>
          <w:color w:val="231F1F"/>
          <w:w w:val="105"/>
        </w:rPr>
        <w:t>frente</w:t>
      </w:r>
      <w:r>
        <w:rPr>
          <w:i/>
          <w:color w:val="231F1F"/>
          <w:spacing w:val="-3"/>
          <w:w w:val="105"/>
        </w:rPr>
        <w:t> </w:t>
      </w:r>
      <w:r>
        <w:rPr>
          <w:i/>
          <w:color w:val="231F1F"/>
          <w:w w:val="105"/>
        </w:rPr>
        <w:t>al</w:t>
      </w:r>
      <w:r>
        <w:rPr>
          <w:i/>
          <w:color w:val="231F1F"/>
          <w:spacing w:val="-3"/>
          <w:w w:val="105"/>
        </w:rPr>
        <w:t> </w:t>
      </w:r>
      <w:r>
        <w:rPr>
          <w:i/>
          <w:color w:val="231F1F"/>
          <w:w w:val="105"/>
        </w:rPr>
        <w:t>partograma</w:t>
      </w:r>
      <w:r>
        <w:rPr>
          <w:i/>
          <w:color w:val="231F1F"/>
          <w:spacing w:val="-3"/>
          <w:w w:val="105"/>
        </w:rPr>
        <w:t> </w:t>
      </w:r>
      <w:r>
        <w:rPr>
          <w:i/>
          <w:color w:val="231F1F"/>
          <w:w w:val="105"/>
        </w:rPr>
        <w:t>de</w:t>
      </w:r>
      <w:r>
        <w:rPr>
          <w:i/>
          <w:color w:val="231F1F"/>
          <w:spacing w:val="-3"/>
          <w:w w:val="105"/>
        </w:rPr>
        <w:t> </w:t>
      </w:r>
      <w:r>
        <w:rPr>
          <w:i/>
          <w:color w:val="231F1F"/>
          <w:w w:val="105"/>
        </w:rPr>
        <w:t>la</w:t>
      </w:r>
      <w:r>
        <w:rPr>
          <w:i/>
          <w:color w:val="231F1F"/>
          <w:spacing w:val="-3"/>
          <w:w w:val="105"/>
        </w:rPr>
        <w:t> </w:t>
      </w:r>
      <w:r>
        <w:rPr>
          <w:i/>
          <w:color w:val="231F1F"/>
          <w:w w:val="105"/>
        </w:rPr>
        <w:t>OMS</w:t>
      </w:r>
      <w:r>
        <w:rPr>
          <w:i/>
          <w:color w:val="231F1F"/>
          <w:spacing w:val="-3"/>
          <w:w w:val="105"/>
        </w:rPr>
        <w:t> </w:t>
      </w:r>
      <w:r>
        <w:rPr>
          <w:color w:val="231F1F"/>
          <w:w w:val="105"/>
        </w:rPr>
        <w:t>(con dos líneas paralelas, una de alerta y otra de acción a las 4 horas) reduce el índice de cesáreas: RR 0,68 [IC 95% 0,50</w:t>
      </w:r>
      <w:r>
        <w:rPr>
          <w:color w:val="231F1F"/>
          <w:spacing w:val="-6"/>
          <w:w w:val="105"/>
        </w:rPr>
        <w:t> </w:t>
      </w:r>
      <w:r>
        <w:rPr>
          <w:color w:val="231F1F"/>
          <w:w w:val="105"/>
        </w:rPr>
        <w:t>a</w:t>
      </w:r>
      <w:r>
        <w:rPr>
          <w:color w:val="231F1F"/>
          <w:spacing w:val="-6"/>
          <w:w w:val="105"/>
        </w:rPr>
        <w:t> </w:t>
      </w:r>
      <w:r>
        <w:rPr>
          <w:color w:val="231F1F"/>
          <w:w w:val="105"/>
        </w:rPr>
        <w:t>0,93]</w:t>
      </w:r>
      <w:r>
        <w:rPr>
          <w:color w:val="231F1F"/>
          <w:spacing w:val="-6"/>
          <w:w w:val="105"/>
        </w:rPr>
        <w:t> </w:t>
      </w:r>
      <w:r>
        <w:rPr>
          <w:color w:val="231F1F"/>
          <w:w w:val="105"/>
        </w:rPr>
        <w:t>y</w:t>
      </w:r>
      <w:r>
        <w:rPr>
          <w:color w:val="231F1F"/>
          <w:spacing w:val="-6"/>
          <w:w w:val="105"/>
        </w:rPr>
        <w:t> </w:t>
      </w:r>
      <w:r>
        <w:rPr>
          <w:color w:val="231F1F"/>
          <w:w w:val="105"/>
        </w:rPr>
        <w:t>partos</w:t>
      </w:r>
      <w:r>
        <w:rPr>
          <w:color w:val="231F1F"/>
          <w:spacing w:val="-6"/>
          <w:w w:val="105"/>
        </w:rPr>
        <w:t> </w:t>
      </w:r>
      <w:r>
        <w:rPr>
          <w:color w:val="231F1F"/>
          <w:w w:val="105"/>
        </w:rPr>
        <w:t>instrumentales:</w:t>
      </w:r>
      <w:r>
        <w:rPr>
          <w:color w:val="231F1F"/>
          <w:spacing w:val="-6"/>
          <w:w w:val="105"/>
        </w:rPr>
        <w:t> </w:t>
      </w:r>
      <w:r>
        <w:rPr>
          <w:color w:val="231F1F"/>
          <w:w w:val="105"/>
        </w:rPr>
        <w:t>RR</w:t>
      </w:r>
      <w:r>
        <w:rPr>
          <w:color w:val="231F1F"/>
          <w:spacing w:val="-6"/>
          <w:w w:val="105"/>
        </w:rPr>
        <w:t> </w:t>
      </w:r>
      <w:r>
        <w:rPr>
          <w:color w:val="231F1F"/>
          <w:w w:val="105"/>
        </w:rPr>
        <w:t>0,73</w:t>
      </w:r>
      <w:r>
        <w:rPr>
          <w:color w:val="231F1F"/>
          <w:spacing w:val="-6"/>
          <w:w w:val="105"/>
        </w:rPr>
        <w:t> </w:t>
      </w:r>
      <w:r>
        <w:rPr>
          <w:color w:val="231F1F"/>
          <w:w w:val="105"/>
        </w:rPr>
        <w:t>[IC</w:t>
      </w:r>
      <w:r>
        <w:rPr>
          <w:color w:val="231F1F"/>
          <w:spacing w:val="-6"/>
          <w:w w:val="105"/>
        </w:rPr>
        <w:t> </w:t>
      </w:r>
      <w:r>
        <w:rPr>
          <w:color w:val="231F1F"/>
          <w:w w:val="105"/>
        </w:rPr>
        <w:t>95%</w:t>
      </w:r>
      <w:r>
        <w:rPr>
          <w:color w:val="231F1F"/>
          <w:spacing w:val="-5"/>
          <w:w w:val="105"/>
        </w:rPr>
        <w:t> </w:t>
      </w:r>
      <w:r>
        <w:rPr>
          <w:color w:val="231F1F"/>
          <w:w w:val="105"/>
        </w:rPr>
        <w:t>0,56</w:t>
      </w:r>
      <w:r>
        <w:rPr>
          <w:color w:val="231F1F"/>
          <w:spacing w:val="-6"/>
          <w:w w:val="105"/>
        </w:rPr>
        <w:t> </w:t>
      </w:r>
      <w:r>
        <w:rPr>
          <w:color w:val="231F1F"/>
          <w:w w:val="105"/>
        </w:rPr>
        <w:t>a</w:t>
      </w:r>
      <w:r>
        <w:rPr>
          <w:color w:val="231F1F"/>
          <w:spacing w:val="-6"/>
          <w:w w:val="105"/>
        </w:rPr>
        <w:t> </w:t>
      </w:r>
      <w:r>
        <w:rPr>
          <w:color w:val="231F1F"/>
          <w:w w:val="105"/>
        </w:rPr>
        <w:t>0,96],</w:t>
      </w:r>
      <w:r>
        <w:rPr>
          <w:color w:val="231F1F"/>
          <w:spacing w:val="-6"/>
          <w:w w:val="105"/>
        </w:rPr>
        <w:t> </w:t>
      </w:r>
      <w:r>
        <w:rPr>
          <w:color w:val="231F1F"/>
          <w:w w:val="105"/>
        </w:rPr>
        <w:t>aumentan- do</w:t>
      </w:r>
      <w:r>
        <w:rPr>
          <w:color w:val="231F1F"/>
          <w:spacing w:val="-1"/>
          <w:w w:val="105"/>
        </w:rPr>
        <w:t> </w:t>
      </w:r>
      <w:r>
        <w:rPr>
          <w:color w:val="231F1F"/>
          <w:w w:val="105"/>
        </w:rPr>
        <w:t>el</w:t>
      </w:r>
      <w:r>
        <w:rPr>
          <w:color w:val="231F1F"/>
          <w:spacing w:val="-1"/>
          <w:w w:val="105"/>
        </w:rPr>
        <w:t> </w:t>
      </w:r>
      <w:r>
        <w:rPr>
          <w:color w:val="231F1F"/>
          <w:w w:val="105"/>
        </w:rPr>
        <w:t>uso</w:t>
      </w:r>
      <w:r>
        <w:rPr>
          <w:color w:val="231F1F"/>
          <w:spacing w:val="-1"/>
          <w:w w:val="105"/>
        </w:rPr>
        <w:t> </w:t>
      </w:r>
      <w:r>
        <w:rPr>
          <w:color w:val="231F1F"/>
          <w:w w:val="105"/>
        </w:rPr>
        <w:t>de</w:t>
      </w:r>
      <w:r>
        <w:rPr>
          <w:color w:val="231F1F"/>
          <w:spacing w:val="-1"/>
          <w:w w:val="105"/>
        </w:rPr>
        <w:t> </w:t>
      </w:r>
      <w:r>
        <w:rPr>
          <w:color w:val="231F1F"/>
          <w:w w:val="105"/>
        </w:rPr>
        <w:t>oxitocina:</w:t>
      </w:r>
      <w:r>
        <w:rPr>
          <w:color w:val="231F1F"/>
          <w:spacing w:val="-1"/>
          <w:w w:val="105"/>
        </w:rPr>
        <w:t> </w:t>
      </w:r>
      <w:r>
        <w:rPr>
          <w:color w:val="231F1F"/>
          <w:w w:val="105"/>
        </w:rPr>
        <w:t>RR</w:t>
      </w:r>
      <w:r>
        <w:rPr>
          <w:color w:val="231F1F"/>
          <w:spacing w:val="-1"/>
          <w:w w:val="105"/>
        </w:rPr>
        <w:t> </w:t>
      </w:r>
      <w:r>
        <w:rPr>
          <w:color w:val="231F1F"/>
          <w:w w:val="105"/>
        </w:rPr>
        <w:t>1,51</w:t>
      </w:r>
      <w:r>
        <w:rPr>
          <w:color w:val="231F1F"/>
          <w:spacing w:val="-1"/>
          <w:w w:val="105"/>
        </w:rPr>
        <w:t> </w:t>
      </w:r>
      <w:r>
        <w:rPr>
          <w:color w:val="231F1F"/>
          <w:w w:val="105"/>
        </w:rPr>
        <w:t>[IC</w:t>
      </w:r>
      <w:r>
        <w:rPr>
          <w:color w:val="231F1F"/>
          <w:spacing w:val="-1"/>
          <w:w w:val="105"/>
        </w:rPr>
        <w:t> </w:t>
      </w:r>
      <w:r>
        <w:rPr>
          <w:color w:val="231F1F"/>
          <w:w w:val="105"/>
        </w:rPr>
        <w:t>95%</w:t>
      </w:r>
      <w:r>
        <w:rPr>
          <w:color w:val="231F1F"/>
          <w:spacing w:val="-1"/>
          <w:w w:val="105"/>
        </w:rPr>
        <w:t> </w:t>
      </w:r>
      <w:r>
        <w:rPr>
          <w:color w:val="231F1F"/>
          <w:w w:val="105"/>
        </w:rPr>
        <w:t>1,10</w:t>
      </w:r>
      <w:r>
        <w:rPr>
          <w:color w:val="231F1F"/>
          <w:spacing w:val="-1"/>
          <w:w w:val="105"/>
        </w:rPr>
        <w:t> </w:t>
      </w:r>
      <w:r>
        <w:rPr>
          <w:color w:val="231F1F"/>
          <w:w w:val="105"/>
        </w:rPr>
        <w:t>a</w:t>
      </w:r>
      <w:r>
        <w:rPr>
          <w:color w:val="231F1F"/>
          <w:spacing w:val="-1"/>
          <w:w w:val="105"/>
        </w:rPr>
        <w:t> </w:t>
      </w:r>
      <w:r>
        <w:rPr>
          <w:color w:val="231F1F"/>
          <w:w w:val="105"/>
        </w:rPr>
        <w:t>2,07].</w:t>
      </w:r>
      <w:r>
        <w:rPr>
          <w:color w:val="231F1F"/>
          <w:spacing w:val="-1"/>
          <w:w w:val="105"/>
        </w:rPr>
        <w:t> </w:t>
      </w:r>
      <w:r>
        <w:rPr>
          <w:color w:val="231F1F"/>
          <w:w w:val="105"/>
        </w:rPr>
        <w:t>No</w:t>
      </w:r>
      <w:r>
        <w:rPr>
          <w:color w:val="231F1F"/>
          <w:spacing w:val="-1"/>
          <w:w w:val="105"/>
        </w:rPr>
        <w:t> </w:t>
      </w:r>
      <w:r>
        <w:rPr>
          <w:color w:val="231F1F"/>
          <w:w w:val="105"/>
        </w:rPr>
        <w:t>se</w:t>
      </w:r>
      <w:r>
        <w:rPr>
          <w:color w:val="231F1F"/>
          <w:spacing w:val="-1"/>
          <w:w w:val="105"/>
        </w:rPr>
        <w:t> </w:t>
      </w:r>
      <w:r>
        <w:rPr>
          <w:color w:val="231F1F"/>
          <w:w w:val="105"/>
        </w:rPr>
        <w:t>encontraron</w:t>
      </w:r>
      <w:r>
        <w:rPr>
          <w:color w:val="231F1F"/>
          <w:spacing w:val="-1"/>
          <w:w w:val="105"/>
        </w:rPr>
        <w:t> </w:t>
      </w:r>
      <w:r>
        <w:rPr>
          <w:color w:val="231F1F"/>
          <w:w w:val="105"/>
        </w:rPr>
        <w:t>dife- rencias</w:t>
      </w:r>
      <w:r>
        <w:rPr>
          <w:color w:val="231F1F"/>
          <w:spacing w:val="22"/>
          <w:w w:val="105"/>
        </w:rPr>
        <w:t> </w:t>
      </w:r>
      <w:r>
        <w:rPr>
          <w:color w:val="231F1F"/>
          <w:w w:val="105"/>
        </w:rPr>
        <w:t>en</w:t>
      </w:r>
      <w:r>
        <w:rPr>
          <w:color w:val="231F1F"/>
          <w:spacing w:val="22"/>
          <w:w w:val="105"/>
        </w:rPr>
        <w:t> </w:t>
      </w:r>
      <w:r>
        <w:rPr>
          <w:color w:val="231F1F"/>
          <w:w w:val="105"/>
        </w:rPr>
        <w:t>el</w:t>
      </w:r>
      <w:r>
        <w:rPr>
          <w:color w:val="231F1F"/>
          <w:spacing w:val="21"/>
          <w:w w:val="105"/>
        </w:rPr>
        <w:t> </w:t>
      </w:r>
      <w:r>
        <w:rPr>
          <w:color w:val="231F1F"/>
          <w:w w:val="105"/>
        </w:rPr>
        <w:t>uso</w:t>
      </w:r>
      <w:r>
        <w:rPr>
          <w:color w:val="231F1F"/>
          <w:spacing w:val="22"/>
          <w:w w:val="105"/>
        </w:rPr>
        <w:t> </w:t>
      </w:r>
      <w:r>
        <w:rPr>
          <w:color w:val="231F1F"/>
          <w:w w:val="105"/>
        </w:rPr>
        <w:t>de</w:t>
      </w:r>
      <w:r>
        <w:rPr>
          <w:color w:val="231F1F"/>
          <w:spacing w:val="22"/>
          <w:w w:val="105"/>
        </w:rPr>
        <w:t> </w:t>
      </w:r>
      <w:r>
        <w:rPr>
          <w:color w:val="231F1F"/>
          <w:w w:val="105"/>
        </w:rPr>
        <w:t>analgesia</w:t>
      </w:r>
      <w:r>
        <w:rPr>
          <w:color w:val="231F1F"/>
          <w:spacing w:val="22"/>
          <w:w w:val="105"/>
        </w:rPr>
        <w:t> </w:t>
      </w:r>
      <w:r>
        <w:rPr>
          <w:color w:val="231F1F"/>
          <w:w w:val="105"/>
        </w:rPr>
        <w:t>o</w:t>
      </w:r>
      <w:r>
        <w:rPr>
          <w:color w:val="231F1F"/>
          <w:spacing w:val="22"/>
          <w:w w:val="105"/>
        </w:rPr>
        <w:t> </w:t>
      </w:r>
      <w:r>
        <w:rPr>
          <w:color w:val="231F1F"/>
          <w:w w:val="105"/>
        </w:rPr>
        <w:t>en</w:t>
      </w:r>
      <w:r>
        <w:rPr>
          <w:color w:val="231F1F"/>
          <w:spacing w:val="22"/>
          <w:w w:val="105"/>
        </w:rPr>
        <w:t> </w:t>
      </w:r>
      <w:r>
        <w:rPr>
          <w:color w:val="231F1F"/>
          <w:w w:val="105"/>
        </w:rPr>
        <w:t>los</w:t>
      </w:r>
      <w:r>
        <w:rPr>
          <w:color w:val="231F1F"/>
          <w:spacing w:val="22"/>
          <w:w w:val="105"/>
        </w:rPr>
        <w:t> </w:t>
      </w:r>
      <w:r>
        <w:rPr>
          <w:color w:val="231F1F"/>
          <w:w w:val="105"/>
        </w:rPr>
        <w:t>resultados</w:t>
      </w:r>
      <w:r>
        <w:rPr>
          <w:color w:val="231F1F"/>
          <w:spacing w:val="22"/>
          <w:w w:val="105"/>
        </w:rPr>
        <w:t> </w:t>
      </w:r>
      <w:r>
        <w:rPr>
          <w:color w:val="231F1F"/>
          <w:w w:val="105"/>
        </w:rPr>
        <w:t>neonatales</w:t>
      </w:r>
      <w:r>
        <w:rPr>
          <w:color w:val="231F1F"/>
          <w:spacing w:val="21"/>
          <w:w w:val="105"/>
        </w:rPr>
        <w:t> </w:t>
      </w:r>
      <w:r>
        <w:rPr>
          <w:color w:val="231F1F"/>
          <w:w w:val="105"/>
        </w:rPr>
        <w:t>(valores</w:t>
      </w:r>
      <w:r>
        <w:rPr>
          <w:color w:val="231F1F"/>
          <w:spacing w:val="22"/>
          <w:w w:val="105"/>
        </w:rPr>
        <w:t> </w:t>
      </w:r>
      <w:r>
        <w:rPr>
          <w:color w:val="231F1F"/>
          <w:w w:val="105"/>
        </w:rPr>
        <w:t>Apgar y mortalidad perinatal).</w:t>
      </w:r>
    </w:p>
    <w:p>
      <w:pPr>
        <w:pStyle w:val="BodyText"/>
        <w:spacing w:line="244" w:lineRule="auto" w:before="64"/>
        <w:ind w:left="283" w:right="38" w:firstLine="453"/>
        <w:jc w:val="both"/>
      </w:pPr>
      <w:r>
        <w:rPr>
          <w:color w:val="231F1F"/>
          <w:w w:val="105"/>
        </w:rPr>
        <w:t>En</w:t>
      </w:r>
      <w:r>
        <w:rPr>
          <w:color w:val="231F1F"/>
          <w:w w:val="105"/>
        </w:rPr>
        <w:t> el</w:t>
      </w:r>
      <w:r>
        <w:rPr>
          <w:color w:val="231F1F"/>
          <w:w w:val="105"/>
        </w:rPr>
        <w:t> tercer</w:t>
      </w:r>
      <w:r>
        <w:rPr>
          <w:color w:val="231F1F"/>
          <w:w w:val="105"/>
        </w:rPr>
        <w:t> y</w:t>
      </w:r>
      <w:r>
        <w:rPr>
          <w:color w:val="231F1F"/>
          <w:w w:val="105"/>
        </w:rPr>
        <w:t> último</w:t>
      </w:r>
      <w:r>
        <w:rPr>
          <w:color w:val="231F1F"/>
          <w:w w:val="105"/>
        </w:rPr>
        <w:t> ECA</w:t>
      </w:r>
      <w:r>
        <w:rPr>
          <w:color w:val="231F1F"/>
          <w:w w:val="105"/>
        </w:rPr>
        <w:t> (64)</w:t>
      </w:r>
      <w:r>
        <w:rPr>
          <w:color w:val="231F1F"/>
          <w:w w:val="105"/>
        </w:rPr>
        <w:t> comparó</w:t>
      </w:r>
      <w:r>
        <w:rPr>
          <w:color w:val="231F1F"/>
          <w:w w:val="105"/>
        </w:rPr>
        <w:t> un</w:t>
      </w:r>
      <w:r>
        <w:rPr>
          <w:color w:val="231F1F"/>
          <w:w w:val="105"/>
        </w:rPr>
        <w:t> </w:t>
      </w:r>
      <w:r>
        <w:rPr>
          <w:i/>
          <w:color w:val="231F1F"/>
          <w:w w:val="105"/>
        </w:rPr>
        <w:t>partograma</w:t>
      </w:r>
      <w:r>
        <w:rPr>
          <w:i/>
          <w:color w:val="231F1F"/>
          <w:w w:val="105"/>
        </w:rPr>
        <w:t> con</w:t>
      </w:r>
      <w:r>
        <w:rPr>
          <w:i/>
          <w:color w:val="231F1F"/>
          <w:w w:val="105"/>
        </w:rPr>
        <w:t> línea</w:t>
      </w:r>
      <w:r>
        <w:rPr>
          <w:i/>
          <w:color w:val="231F1F"/>
          <w:w w:val="105"/>
        </w:rPr>
        <w:t> de acción de 2 horas con otro de línea de acción de 4 horas</w:t>
      </w:r>
      <w:r>
        <w:rPr>
          <w:color w:val="231F1F"/>
          <w:w w:val="105"/>
        </w:rPr>
        <w:t>. El estudio incluyó 2.975 mujeres nulíparas y comparaba los resultados del seguimiento emplean- do el partograma con líneas de acción de 2 y 4 horas a la derecha de la línea</w:t>
      </w:r>
      <w:r>
        <w:rPr>
          <w:color w:val="231F1F"/>
          <w:spacing w:val="40"/>
          <w:w w:val="105"/>
        </w:rPr>
        <w:t> </w:t>
      </w:r>
      <w:r>
        <w:rPr>
          <w:color w:val="231F1F"/>
          <w:w w:val="105"/>
        </w:rPr>
        <w:t>de alerta. Si la línea del progreso del parto cruzaba la línea de acción se hacía un</w:t>
      </w:r>
      <w:r>
        <w:rPr>
          <w:color w:val="231F1F"/>
          <w:w w:val="105"/>
        </w:rPr>
        <w:t> diagnostico</w:t>
      </w:r>
      <w:r>
        <w:rPr>
          <w:color w:val="231F1F"/>
          <w:w w:val="105"/>
        </w:rPr>
        <w:t> de</w:t>
      </w:r>
      <w:r>
        <w:rPr>
          <w:color w:val="231F1F"/>
          <w:w w:val="105"/>
        </w:rPr>
        <w:t> parto</w:t>
      </w:r>
      <w:r>
        <w:rPr>
          <w:color w:val="231F1F"/>
          <w:w w:val="105"/>
        </w:rPr>
        <w:t> prolongado</w:t>
      </w:r>
      <w:r>
        <w:rPr>
          <w:color w:val="231F1F"/>
          <w:w w:val="105"/>
        </w:rPr>
        <w:t> de</w:t>
      </w:r>
      <w:r>
        <w:rPr>
          <w:color w:val="231F1F"/>
          <w:w w:val="105"/>
        </w:rPr>
        <w:t> acuerdo</w:t>
      </w:r>
      <w:r>
        <w:rPr>
          <w:color w:val="231F1F"/>
          <w:w w:val="105"/>
        </w:rPr>
        <w:t> al</w:t>
      </w:r>
      <w:r>
        <w:rPr>
          <w:color w:val="231F1F"/>
          <w:w w:val="105"/>
        </w:rPr>
        <w:t> protocolo</w:t>
      </w:r>
      <w:r>
        <w:rPr>
          <w:color w:val="231F1F"/>
          <w:w w:val="105"/>
        </w:rPr>
        <w:t> estándar.</w:t>
      </w:r>
      <w:r>
        <w:rPr>
          <w:color w:val="231F1F"/>
          <w:w w:val="105"/>
        </w:rPr>
        <w:t> Los resultados primarios medidos fueron el índice de cesáreas y el grado de satis-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5"/>
        <w:rPr>
          <w:sz w:val="18"/>
        </w:rPr>
      </w:pPr>
    </w:p>
    <w:p>
      <w:pPr>
        <w:spacing w:before="0"/>
        <w:ind w:left="283" w:right="0" w:firstLine="0"/>
        <w:jc w:val="left"/>
        <w:rPr>
          <w:rFonts w:ascii="Arial MT"/>
          <w:sz w:val="18"/>
        </w:rPr>
      </w:pPr>
      <w:r>
        <w:rPr>
          <w:rFonts w:ascii="Arial MT"/>
          <w:color w:val="231F1F"/>
          <w:spacing w:val="-5"/>
          <w:sz w:val="18"/>
        </w:rPr>
        <w:t>ECA</w:t>
      </w:r>
    </w:p>
    <w:p>
      <w:pPr>
        <w:spacing w:before="43"/>
        <w:ind w:left="387" w:right="0" w:firstLine="0"/>
        <w:jc w:val="left"/>
        <w:rPr>
          <w:rFonts w:ascii="Arial MT"/>
          <w:sz w:val="18"/>
        </w:rPr>
      </w:pPr>
      <w:r>
        <w:rPr>
          <w:rFonts w:ascii="Arial MT"/>
          <w:color w:val="231F1F"/>
          <w:spacing w:val="-5"/>
          <w:sz w:val="18"/>
        </w:rPr>
        <w:t>lb</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53"/>
        <w:rPr>
          <w:rFonts w:ascii="Arial MT"/>
          <w:sz w:val="18"/>
        </w:rPr>
      </w:pPr>
    </w:p>
    <w:p>
      <w:pPr>
        <w:spacing w:before="1"/>
        <w:ind w:left="283" w:right="0" w:firstLine="0"/>
        <w:jc w:val="left"/>
        <w:rPr>
          <w:rFonts w:ascii="Arial MT"/>
          <w:sz w:val="18"/>
        </w:rPr>
      </w:pPr>
      <w:r>
        <w:rPr>
          <w:rFonts w:ascii="Arial MT"/>
          <w:color w:val="231F1F"/>
          <w:spacing w:val="-5"/>
          <w:sz w:val="18"/>
        </w:rPr>
        <w:t>ECA</w:t>
      </w:r>
    </w:p>
    <w:p>
      <w:pPr>
        <w:spacing w:before="37"/>
        <w:ind w:left="387" w:right="0" w:firstLine="0"/>
        <w:jc w:val="left"/>
        <w:rPr>
          <w:rFonts w:ascii="Arial MT"/>
          <w:sz w:val="18"/>
        </w:rPr>
      </w:pPr>
      <w:r>
        <w:rPr>
          <w:rFonts w:ascii="Arial MT"/>
          <w:color w:val="231F1F"/>
          <w:spacing w:val="-5"/>
          <w:sz w:val="18"/>
        </w:rPr>
        <w:t>lb</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1"/>
        <w:rPr>
          <w:rFonts w:ascii="Arial MT"/>
          <w:sz w:val="18"/>
        </w:rPr>
      </w:pPr>
    </w:p>
    <w:p>
      <w:pPr>
        <w:spacing w:before="0"/>
        <w:ind w:left="283" w:right="0" w:firstLine="0"/>
        <w:jc w:val="left"/>
        <w:rPr>
          <w:rFonts w:ascii="Arial MT"/>
          <w:sz w:val="18"/>
        </w:rPr>
      </w:pPr>
      <w:r>
        <w:rPr>
          <w:rFonts w:ascii="Arial MT"/>
          <w:color w:val="231F1F"/>
          <w:spacing w:val="-5"/>
          <w:sz w:val="18"/>
        </w:rPr>
        <w:t>ECA</w:t>
      </w:r>
    </w:p>
    <w:p>
      <w:pPr>
        <w:spacing w:before="38"/>
        <w:ind w:left="387" w:right="0" w:firstLine="0"/>
        <w:jc w:val="left"/>
        <w:rPr>
          <w:rFonts w:ascii="Arial MT"/>
          <w:sz w:val="18"/>
        </w:rPr>
      </w:pPr>
      <w:r>
        <w:rPr>
          <w:rFonts w:ascii="Arial MT"/>
          <w:color w:val="231F1F"/>
          <w:spacing w:val="-5"/>
          <w:sz w:val="18"/>
        </w:rPr>
        <w:t>lb</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47"/>
        <w:rPr>
          <w:rFonts w:ascii="Arial MT"/>
          <w:sz w:val="18"/>
        </w:rPr>
      </w:pPr>
    </w:p>
    <w:p>
      <w:pPr>
        <w:spacing w:before="1"/>
        <w:ind w:left="283" w:right="0" w:firstLine="0"/>
        <w:jc w:val="left"/>
        <w:rPr>
          <w:rFonts w:ascii="Arial MT"/>
          <w:sz w:val="18"/>
        </w:rPr>
      </w:pPr>
      <w:r>
        <w:rPr>
          <w:rFonts w:ascii="Arial MT"/>
          <w:color w:val="231F1F"/>
          <w:spacing w:val="-5"/>
          <w:sz w:val="18"/>
        </w:rPr>
        <w:t>ECA</w:t>
      </w:r>
    </w:p>
    <w:p>
      <w:pPr>
        <w:spacing w:before="37"/>
        <w:ind w:left="387" w:right="0" w:firstLine="0"/>
        <w:jc w:val="left"/>
        <w:rPr>
          <w:rFonts w:ascii="Arial MT"/>
          <w:sz w:val="18"/>
        </w:rPr>
      </w:pPr>
      <w:r>
        <w:rPr>
          <w:rFonts w:ascii="Arial MT"/>
          <w:color w:val="231F1F"/>
          <w:spacing w:val="-5"/>
          <w:sz w:val="18"/>
        </w:rPr>
        <w:t>lb</w:t>
      </w:r>
    </w:p>
    <w:p>
      <w:pPr>
        <w:spacing w:after="0"/>
        <w:jc w:val="left"/>
        <w:rPr>
          <w:rFonts w:ascii="Arial MT"/>
          <w:sz w:val="18"/>
        </w:rPr>
        <w:sectPr>
          <w:type w:val="continuous"/>
          <w:pgSz w:w="11900" w:h="16840"/>
          <w:pgMar w:header="0" w:footer="622" w:top="560" w:bottom="280" w:left="1417" w:right="1559"/>
          <w:cols w:num="2" w:equalWidth="0">
            <w:col w:w="7595" w:space="161"/>
            <w:col w:w="1168"/>
          </w:cols>
        </w:sectPr>
      </w:pPr>
    </w:p>
    <w:p>
      <w:pPr>
        <w:pStyle w:val="BodyText"/>
        <w:spacing w:line="244" w:lineRule="auto" w:before="72"/>
        <w:ind w:left="283" w:right="1386"/>
      </w:pPr>
      <w:r>
        <w:rPr>
          <w:color w:val="231F1F"/>
        </w:rPr>
        <w:t>facción</w:t>
      </w:r>
      <w:r>
        <w:rPr>
          <w:color w:val="231F1F"/>
          <w:spacing w:val="-9"/>
        </w:rPr>
        <w:t> </w:t>
      </w:r>
      <w:r>
        <w:rPr>
          <w:color w:val="231F1F"/>
        </w:rPr>
        <w:t>de</w:t>
      </w:r>
      <w:r>
        <w:rPr>
          <w:color w:val="231F1F"/>
          <w:spacing w:val="-9"/>
        </w:rPr>
        <w:t> </w:t>
      </w:r>
      <w:r>
        <w:rPr>
          <w:color w:val="231F1F"/>
        </w:rPr>
        <w:t>las</w:t>
      </w:r>
      <w:r>
        <w:rPr>
          <w:color w:val="231F1F"/>
          <w:spacing w:val="-9"/>
        </w:rPr>
        <w:t> </w:t>
      </w:r>
      <w:r>
        <w:rPr>
          <w:color w:val="231F1F"/>
        </w:rPr>
        <w:t>mujeres.</w:t>
      </w:r>
      <w:r>
        <w:rPr>
          <w:color w:val="231F1F"/>
          <w:spacing w:val="-9"/>
        </w:rPr>
        <w:t> </w:t>
      </w:r>
      <w:r>
        <w:rPr>
          <w:color w:val="231F1F"/>
        </w:rPr>
        <w:t>Para</w:t>
      </w:r>
      <w:r>
        <w:rPr>
          <w:color w:val="231F1F"/>
          <w:spacing w:val="-9"/>
        </w:rPr>
        <w:t> </w:t>
      </w:r>
      <w:r>
        <w:rPr>
          <w:color w:val="231F1F"/>
        </w:rPr>
        <w:t>esto</w:t>
      </w:r>
      <w:r>
        <w:rPr>
          <w:color w:val="231F1F"/>
          <w:spacing w:val="-9"/>
        </w:rPr>
        <w:t> </w:t>
      </w:r>
      <w:r>
        <w:rPr>
          <w:color w:val="231F1F"/>
        </w:rPr>
        <w:t>último,</w:t>
      </w:r>
      <w:r>
        <w:rPr>
          <w:color w:val="231F1F"/>
          <w:spacing w:val="-9"/>
        </w:rPr>
        <w:t> </w:t>
      </w:r>
      <w:r>
        <w:rPr>
          <w:color w:val="231F1F"/>
        </w:rPr>
        <w:t>1.925</w:t>
      </w:r>
      <w:r>
        <w:rPr>
          <w:color w:val="231F1F"/>
          <w:spacing w:val="-9"/>
        </w:rPr>
        <w:t> </w:t>
      </w:r>
      <w:r>
        <w:rPr>
          <w:color w:val="231F1F"/>
        </w:rPr>
        <w:t>mujeres</w:t>
      </w:r>
      <w:r>
        <w:rPr>
          <w:color w:val="231F1F"/>
          <w:spacing w:val="-9"/>
        </w:rPr>
        <w:t> </w:t>
      </w:r>
      <w:r>
        <w:rPr>
          <w:color w:val="231F1F"/>
        </w:rPr>
        <w:t>(65%)</w:t>
      </w:r>
      <w:r>
        <w:rPr>
          <w:color w:val="231F1F"/>
          <w:spacing w:val="-9"/>
        </w:rPr>
        <w:t> </w:t>
      </w:r>
      <w:r>
        <w:rPr>
          <w:color w:val="231F1F"/>
        </w:rPr>
        <w:t>cumplimentaron unos</w:t>
      </w:r>
      <w:r>
        <w:rPr>
          <w:color w:val="231F1F"/>
          <w:spacing w:val="80"/>
        </w:rPr>
        <w:t> </w:t>
      </w:r>
      <w:r>
        <w:rPr>
          <w:color w:val="231F1F"/>
        </w:rPr>
        <w:t>cuestionarios</w:t>
      </w:r>
      <w:r>
        <w:rPr>
          <w:color w:val="231F1F"/>
          <w:spacing w:val="80"/>
        </w:rPr>
        <w:t> </w:t>
      </w:r>
      <w:r>
        <w:rPr>
          <w:color w:val="231F1F"/>
        </w:rPr>
        <w:t>postales</w:t>
      </w:r>
      <w:r>
        <w:rPr>
          <w:color w:val="231F1F"/>
          <w:spacing w:val="80"/>
        </w:rPr>
        <w:t> </w:t>
      </w:r>
      <w:r>
        <w:rPr>
          <w:color w:val="231F1F"/>
        </w:rPr>
        <w:t>entre</w:t>
      </w:r>
      <w:r>
        <w:rPr>
          <w:color w:val="231F1F"/>
          <w:spacing w:val="80"/>
        </w:rPr>
        <w:t> </w:t>
      </w:r>
      <w:r>
        <w:rPr>
          <w:color w:val="231F1F"/>
        </w:rPr>
        <w:t>dos</w:t>
      </w:r>
      <w:r>
        <w:rPr>
          <w:color w:val="231F1F"/>
          <w:spacing w:val="80"/>
        </w:rPr>
        <w:t> </w:t>
      </w:r>
      <w:r>
        <w:rPr>
          <w:color w:val="231F1F"/>
        </w:rPr>
        <w:t>y</w:t>
      </w:r>
      <w:r>
        <w:rPr>
          <w:color w:val="231F1F"/>
          <w:spacing w:val="80"/>
        </w:rPr>
        <w:t> </w:t>
      </w:r>
      <w:r>
        <w:rPr>
          <w:color w:val="231F1F"/>
        </w:rPr>
        <w:t>diez</w:t>
      </w:r>
      <w:r>
        <w:rPr>
          <w:color w:val="231F1F"/>
          <w:spacing w:val="80"/>
        </w:rPr>
        <w:t> </w:t>
      </w:r>
      <w:r>
        <w:rPr>
          <w:color w:val="231F1F"/>
        </w:rPr>
        <w:t>días</w:t>
      </w:r>
      <w:r>
        <w:rPr>
          <w:color w:val="231F1F"/>
          <w:spacing w:val="80"/>
        </w:rPr>
        <w:t> </w:t>
      </w:r>
      <w:r>
        <w:rPr>
          <w:color w:val="231F1F"/>
        </w:rPr>
        <w:t>después</w:t>
      </w:r>
      <w:r>
        <w:rPr>
          <w:color w:val="231F1F"/>
          <w:spacing w:val="80"/>
        </w:rPr>
        <w:t> </w:t>
      </w:r>
      <w:r>
        <w:rPr>
          <w:color w:val="231F1F"/>
        </w:rPr>
        <w:t>del</w:t>
      </w:r>
      <w:r>
        <w:rPr>
          <w:color w:val="231F1F"/>
          <w:spacing w:val="80"/>
        </w:rPr>
        <w:t> </w:t>
      </w:r>
      <w:r>
        <w:rPr>
          <w:color w:val="231F1F"/>
        </w:rPr>
        <w:t>parto.</w:t>
      </w:r>
    </w:p>
    <w:p>
      <w:pPr>
        <w:pStyle w:val="BodyText"/>
        <w:tabs>
          <w:tab w:pos="8036" w:val="left" w:leader="none"/>
          <w:tab w:pos="8141" w:val="left" w:leader="none"/>
        </w:tabs>
        <w:spacing w:line="252" w:lineRule="auto" w:before="103"/>
        <w:ind w:left="283" w:right="524" w:firstLine="453"/>
      </w:pPr>
      <w:r>
        <w:rPr>
          <w:color w:val="231F1F"/>
          <w:w w:val="105"/>
        </w:rPr>
        <w:t>No se observaron diferencias entre las líneas de acción de 2 y 4 horas en</w:t>
      </w:r>
      <w:r>
        <w:rPr>
          <w:color w:val="231F1F"/>
        </w:rPr>
        <w:tab/>
      </w:r>
      <w:r>
        <w:rPr>
          <w:rFonts w:ascii="Arial MT" w:hAnsi="Arial MT"/>
          <w:color w:val="231F1F"/>
          <w:spacing w:val="-12"/>
          <w:w w:val="105"/>
          <w:sz w:val="18"/>
        </w:rPr>
        <w:t>ECA </w:t>
      </w:r>
      <w:r>
        <w:rPr>
          <w:color w:val="231F1F"/>
          <w:w w:val="105"/>
        </w:rPr>
        <w:t>ningún resultado primario (cesáreas o insatisfacción de la mujer con la expe-</w:t>
      </w:r>
      <w:r>
        <w:rPr>
          <w:color w:val="231F1F"/>
        </w:rPr>
        <w:tab/>
        <w:tab/>
      </w:r>
      <w:r>
        <w:rPr>
          <w:rFonts w:ascii="Arial MT" w:hAnsi="Arial MT"/>
          <w:color w:val="231F1F"/>
          <w:spacing w:val="-6"/>
          <w:w w:val="105"/>
          <w:position w:val="4"/>
          <w:sz w:val="18"/>
        </w:rPr>
        <w:t>lb </w:t>
      </w:r>
      <w:r>
        <w:rPr>
          <w:color w:val="231F1F"/>
          <w:w w:val="105"/>
        </w:rPr>
        <w:t>riencia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Sin</w:t>
      </w:r>
      <w:r>
        <w:rPr>
          <w:color w:val="231F1F"/>
          <w:spacing w:val="40"/>
          <w:w w:val="105"/>
        </w:rPr>
        <w:t> </w:t>
      </w:r>
      <w:r>
        <w:rPr>
          <w:color w:val="231F1F"/>
          <w:w w:val="105"/>
        </w:rPr>
        <w:t>embargo,</w:t>
      </w:r>
      <w:r>
        <w:rPr>
          <w:color w:val="231F1F"/>
          <w:spacing w:val="40"/>
          <w:w w:val="105"/>
        </w:rPr>
        <w:t> </w:t>
      </w:r>
      <w:r>
        <w:rPr>
          <w:color w:val="231F1F"/>
          <w:w w:val="105"/>
        </w:rPr>
        <w:t>un</w:t>
      </w:r>
      <w:r>
        <w:rPr>
          <w:color w:val="231F1F"/>
          <w:spacing w:val="40"/>
          <w:w w:val="105"/>
        </w:rPr>
        <w:t> </w:t>
      </w:r>
      <w:r>
        <w:rPr>
          <w:color w:val="231F1F"/>
          <w:w w:val="105"/>
        </w:rPr>
        <w:t>mayor</w:t>
      </w:r>
      <w:r>
        <w:rPr>
          <w:color w:val="231F1F"/>
          <w:spacing w:val="40"/>
          <w:w w:val="105"/>
        </w:rPr>
        <w:t> </w:t>
      </w:r>
      <w:r>
        <w:rPr>
          <w:color w:val="231F1F"/>
          <w:w w:val="105"/>
        </w:rPr>
        <w:t>número</w:t>
      </w:r>
      <w:r>
        <w:rPr>
          <w:color w:val="231F1F"/>
          <w:spacing w:val="40"/>
          <w:w w:val="105"/>
        </w:rPr>
        <w:t> </w:t>
      </w:r>
      <w:r>
        <w:rPr>
          <w:color w:val="231F1F"/>
          <w:w w:val="105"/>
        </w:rPr>
        <w:t>de</w:t>
      </w:r>
      <w:r>
        <w:rPr>
          <w:color w:val="231F1F"/>
          <w:spacing w:val="40"/>
          <w:w w:val="105"/>
        </w:rPr>
        <w:t> </w:t>
      </w:r>
      <w:r>
        <w:rPr>
          <w:color w:val="231F1F"/>
          <w:w w:val="105"/>
        </w:rPr>
        <w:t>mujeres</w:t>
      </w:r>
      <w:r>
        <w:rPr>
          <w:color w:val="231F1F"/>
          <w:spacing w:val="40"/>
          <w:w w:val="105"/>
        </w:rPr>
        <w:t> </w:t>
      </w:r>
      <w:r>
        <w:rPr>
          <w:color w:val="231F1F"/>
          <w:w w:val="105"/>
        </w:rPr>
        <w:t>del</w:t>
      </w:r>
      <w:r>
        <w:rPr>
          <w:color w:val="231F1F"/>
          <w:spacing w:val="40"/>
          <w:w w:val="105"/>
        </w:rPr>
        <w:t> </w:t>
      </w:r>
      <w:r>
        <w:rPr>
          <w:color w:val="231F1F"/>
          <w:w w:val="105"/>
        </w:rPr>
        <w:t>grupo</w:t>
      </w:r>
      <w:r>
        <w:rPr>
          <w:color w:val="231F1F"/>
          <w:spacing w:val="40"/>
          <w:w w:val="105"/>
        </w:rPr>
        <w:t> </w:t>
      </w:r>
      <w:r>
        <w:rPr>
          <w:color w:val="231F1F"/>
          <w:w w:val="105"/>
        </w:rPr>
        <w:t>con</w:t>
      </w:r>
    </w:p>
    <w:p>
      <w:pPr>
        <w:pStyle w:val="BodyText"/>
        <w:spacing w:line="252" w:lineRule="auto"/>
        <w:ind w:left="283" w:right="1362"/>
        <w:jc w:val="both"/>
      </w:pPr>
      <w:r>
        <w:rPr>
          <w:color w:val="231F1F"/>
          <w:w w:val="105"/>
        </w:rPr>
        <w:t>línea</w:t>
      </w:r>
      <w:r>
        <w:rPr>
          <w:color w:val="231F1F"/>
          <w:w w:val="105"/>
        </w:rPr>
        <w:t> de</w:t>
      </w:r>
      <w:r>
        <w:rPr>
          <w:color w:val="231F1F"/>
          <w:w w:val="105"/>
        </w:rPr>
        <w:t> acción</w:t>
      </w:r>
      <w:r>
        <w:rPr>
          <w:color w:val="231F1F"/>
          <w:w w:val="105"/>
        </w:rPr>
        <w:t> a</w:t>
      </w:r>
      <w:r>
        <w:rPr>
          <w:color w:val="231F1F"/>
          <w:w w:val="105"/>
        </w:rPr>
        <w:t> las</w:t>
      </w:r>
      <w:r>
        <w:rPr>
          <w:color w:val="231F1F"/>
          <w:w w:val="105"/>
        </w:rPr>
        <w:t> dos</w:t>
      </w:r>
      <w:r>
        <w:rPr>
          <w:color w:val="231F1F"/>
          <w:w w:val="105"/>
        </w:rPr>
        <w:t> horas</w:t>
      </w:r>
      <w:r>
        <w:rPr>
          <w:color w:val="231F1F"/>
          <w:w w:val="105"/>
        </w:rPr>
        <w:t> cruzaron</w:t>
      </w:r>
      <w:r>
        <w:rPr>
          <w:color w:val="231F1F"/>
          <w:w w:val="105"/>
        </w:rPr>
        <w:t> la</w:t>
      </w:r>
      <w:r>
        <w:rPr>
          <w:color w:val="231F1F"/>
          <w:w w:val="105"/>
        </w:rPr>
        <w:t> línea</w:t>
      </w:r>
      <w:r>
        <w:rPr>
          <w:color w:val="231F1F"/>
          <w:w w:val="105"/>
        </w:rPr>
        <w:t> de</w:t>
      </w:r>
      <w:r>
        <w:rPr>
          <w:color w:val="231F1F"/>
          <w:w w:val="105"/>
        </w:rPr>
        <w:t> acción</w:t>
      </w:r>
      <w:r>
        <w:rPr>
          <w:color w:val="231F1F"/>
          <w:w w:val="105"/>
        </w:rPr>
        <w:t> del</w:t>
      </w:r>
      <w:r>
        <w:rPr>
          <w:color w:val="231F1F"/>
          <w:w w:val="105"/>
        </w:rPr>
        <w:t> partograma (854/1490 frente a 673/1485): RR 1,27 [IC 95% 1,18 a 1,37], por lo que reci- bieron</w:t>
      </w:r>
      <w:r>
        <w:rPr>
          <w:color w:val="231F1F"/>
          <w:spacing w:val="-15"/>
          <w:w w:val="105"/>
        </w:rPr>
        <w:t> </w:t>
      </w:r>
      <w:r>
        <w:rPr>
          <w:color w:val="231F1F"/>
          <w:w w:val="105"/>
        </w:rPr>
        <w:t>más</w:t>
      </w:r>
      <w:r>
        <w:rPr>
          <w:color w:val="231F1F"/>
          <w:spacing w:val="-14"/>
          <w:w w:val="105"/>
        </w:rPr>
        <w:t> </w:t>
      </w:r>
      <w:r>
        <w:rPr>
          <w:color w:val="231F1F"/>
          <w:w w:val="105"/>
        </w:rPr>
        <w:t>intervenciones</w:t>
      </w:r>
      <w:r>
        <w:rPr>
          <w:color w:val="231F1F"/>
          <w:spacing w:val="-15"/>
          <w:w w:val="105"/>
        </w:rPr>
        <w:t> </w:t>
      </w:r>
      <w:r>
        <w:rPr>
          <w:color w:val="231F1F"/>
          <w:w w:val="105"/>
        </w:rPr>
        <w:t>para</w:t>
      </w:r>
      <w:r>
        <w:rPr>
          <w:color w:val="231F1F"/>
          <w:spacing w:val="-14"/>
          <w:w w:val="105"/>
        </w:rPr>
        <w:t> </w:t>
      </w:r>
      <w:r>
        <w:rPr>
          <w:color w:val="231F1F"/>
          <w:w w:val="105"/>
        </w:rPr>
        <w:t>estimular</w:t>
      </w:r>
      <w:r>
        <w:rPr>
          <w:color w:val="231F1F"/>
          <w:spacing w:val="-15"/>
          <w:w w:val="105"/>
        </w:rPr>
        <w:t> </w:t>
      </w:r>
      <w:r>
        <w:rPr>
          <w:color w:val="231F1F"/>
          <w:w w:val="105"/>
        </w:rPr>
        <w:t>el</w:t>
      </w:r>
      <w:r>
        <w:rPr>
          <w:color w:val="231F1F"/>
          <w:spacing w:val="-14"/>
          <w:w w:val="105"/>
        </w:rPr>
        <w:t> </w:t>
      </w:r>
      <w:r>
        <w:rPr>
          <w:color w:val="231F1F"/>
          <w:w w:val="105"/>
        </w:rPr>
        <w:t>parto</w:t>
      </w:r>
      <w:r>
        <w:rPr>
          <w:color w:val="231F1F"/>
          <w:spacing w:val="-15"/>
          <w:w w:val="105"/>
        </w:rPr>
        <w:t> </w:t>
      </w:r>
      <w:r>
        <w:rPr>
          <w:color w:val="231F1F"/>
          <w:w w:val="105"/>
        </w:rPr>
        <w:t>(772/1490</w:t>
      </w:r>
      <w:r>
        <w:rPr>
          <w:color w:val="231F1F"/>
          <w:spacing w:val="-14"/>
          <w:w w:val="105"/>
        </w:rPr>
        <w:t> </w:t>
      </w:r>
      <w:r>
        <w:rPr>
          <w:color w:val="231F1F"/>
          <w:w w:val="105"/>
        </w:rPr>
        <w:t>frente</w:t>
      </w:r>
      <w:r>
        <w:rPr>
          <w:color w:val="231F1F"/>
          <w:spacing w:val="-14"/>
          <w:w w:val="105"/>
        </w:rPr>
        <w:t> </w:t>
      </w:r>
      <w:r>
        <w:rPr>
          <w:color w:val="231F1F"/>
          <w:w w:val="105"/>
        </w:rPr>
        <w:t>a</w:t>
      </w:r>
      <w:r>
        <w:rPr>
          <w:color w:val="231F1F"/>
          <w:spacing w:val="-15"/>
          <w:w w:val="105"/>
        </w:rPr>
        <w:t> </w:t>
      </w:r>
      <w:r>
        <w:rPr>
          <w:color w:val="231F1F"/>
          <w:w w:val="105"/>
        </w:rPr>
        <w:t>624/1485): RR</w:t>
      </w:r>
      <w:r>
        <w:rPr>
          <w:color w:val="231F1F"/>
          <w:w w:val="105"/>
        </w:rPr>
        <w:t> 1.23</w:t>
      </w:r>
      <w:r>
        <w:rPr>
          <w:color w:val="231F1F"/>
          <w:w w:val="105"/>
        </w:rPr>
        <w:t> [IC</w:t>
      </w:r>
      <w:r>
        <w:rPr>
          <w:color w:val="231F1F"/>
          <w:w w:val="105"/>
        </w:rPr>
        <w:t> 95%</w:t>
      </w:r>
      <w:r>
        <w:rPr>
          <w:color w:val="231F1F"/>
          <w:w w:val="105"/>
        </w:rPr>
        <w:t> 1,14</w:t>
      </w:r>
      <w:r>
        <w:rPr>
          <w:color w:val="231F1F"/>
          <w:w w:val="105"/>
        </w:rPr>
        <w:t> a</w:t>
      </w:r>
      <w:r>
        <w:rPr>
          <w:color w:val="231F1F"/>
          <w:w w:val="105"/>
        </w:rPr>
        <w:t> 1,33].</w:t>
      </w:r>
      <w:r>
        <w:rPr>
          <w:color w:val="231F1F"/>
          <w:w w:val="105"/>
        </w:rPr>
        <w:t> No</w:t>
      </w:r>
      <w:r>
        <w:rPr>
          <w:color w:val="231F1F"/>
          <w:w w:val="105"/>
        </w:rPr>
        <w:t> se</w:t>
      </w:r>
      <w:r>
        <w:rPr>
          <w:color w:val="231F1F"/>
          <w:w w:val="105"/>
        </w:rPr>
        <w:t> encontraron</w:t>
      </w:r>
      <w:r>
        <w:rPr>
          <w:color w:val="231F1F"/>
          <w:w w:val="105"/>
        </w:rPr>
        <w:t> diferencias</w:t>
      </w:r>
      <w:r>
        <w:rPr>
          <w:color w:val="231F1F"/>
          <w:w w:val="105"/>
        </w:rPr>
        <w:t> significativas entre</w:t>
      </w:r>
      <w:r>
        <w:rPr>
          <w:color w:val="231F1F"/>
          <w:w w:val="105"/>
        </w:rPr>
        <w:t> los</w:t>
      </w:r>
      <w:r>
        <w:rPr>
          <w:color w:val="231F1F"/>
          <w:w w:val="105"/>
        </w:rPr>
        <w:t> dos</w:t>
      </w:r>
      <w:r>
        <w:rPr>
          <w:color w:val="231F1F"/>
          <w:w w:val="105"/>
        </w:rPr>
        <w:t> grupos</w:t>
      </w:r>
      <w:r>
        <w:rPr>
          <w:color w:val="231F1F"/>
          <w:w w:val="105"/>
        </w:rPr>
        <w:t> en</w:t>
      </w:r>
      <w:r>
        <w:rPr>
          <w:color w:val="231F1F"/>
          <w:w w:val="105"/>
        </w:rPr>
        <w:t> el</w:t>
      </w:r>
      <w:r>
        <w:rPr>
          <w:color w:val="231F1F"/>
          <w:w w:val="105"/>
        </w:rPr>
        <w:t> número</w:t>
      </w:r>
      <w:r>
        <w:rPr>
          <w:color w:val="231F1F"/>
          <w:w w:val="105"/>
        </w:rPr>
        <w:t> de</w:t>
      </w:r>
      <w:r>
        <w:rPr>
          <w:color w:val="231F1F"/>
          <w:w w:val="105"/>
        </w:rPr>
        <w:t> partos</w:t>
      </w:r>
      <w:r>
        <w:rPr>
          <w:color w:val="231F1F"/>
          <w:w w:val="105"/>
        </w:rPr>
        <w:t> instrumentados,</w:t>
      </w:r>
      <w:r>
        <w:rPr>
          <w:color w:val="231F1F"/>
          <w:w w:val="105"/>
        </w:rPr>
        <w:t> pH</w:t>
      </w:r>
      <w:r>
        <w:rPr>
          <w:color w:val="231F1F"/>
          <w:w w:val="105"/>
        </w:rPr>
        <w:t> del</w:t>
      </w:r>
      <w:r>
        <w:rPr>
          <w:color w:val="231F1F"/>
          <w:w w:val="105"/>
        </w:rPr>
        <w:t> cor- dón&lt;7,1,</w:t>
      </w:r>
      <w:r>
        <w:rPr>
          <w:color w:val="231F1F"/>
          <w:spacing w:val="-2"/>
          <w:w w:val="105"/>
        </w:rPr>
        <w:t> </w:t>
      </w:r>
      <w:r>
        <w:rPr>
          <w:color w:val="231F1F"/>
          <w:w w:val="105"/>
        </w:rPr>
        <w:t>valores</w:t>
      </w:r>
      <w:r>
        <w:rPr>
          <w:color w:val="231F1F"/>
          <w:spacing w:val="-2"/>
          <w:w w:val="105"/>
        </w:rPr>
        <w:t> </w:t>
      </w:r>
      <w:r>
        <w:rPr>
          <w:color w:val="231F1F"/>
          <w:w w:val="105"/>
        </w:rPr>
        <w:t>Apgar&lt;7</w:t>
      </w:r>
      <w:r>
        <w:rPr>
          <w:color w:val="231F1F"/>
          <w:spacing w:val="-2"/>
          <w:w w:val="105"/>
        </w:rPr>
        <w:t> </w:t>
      </w:r>
      <w:r>
        <w:rPr>
          <w:color w:val="231F1F"/>
          <w:w w:val="105"/>
        </w:rPr>
        <w:t>a</w:t>
      </w:r>
      <w:r>
        <w:rPr>
          <w:color w:val="231F1F"/>
          <w:spacing w:val="-1"/>
          <w:w w:val="105"/>
        </w:rPr>
        <w:t> </w:t>
      </w:r>
      <w:r>
        <w:rPr>
          <w:color w:val="231F1F"/>
          <w:w w:val="105"/>
        </w:rPr>
        <w:t>los</w:t>
      </w:r>
      <w:r>
        <w:rPr>
          <w:color w:val="231F1F"/>
          <w:spacing w:val="-2"/>
          <w:w w:val="105"/>
        </w:rPr>
        <w:t> </w:t>
      </w:r>
      <w:r>
        <w:rPr>
          <w:color w:val="231F1F"/>
          <w:w w:val="105"/>
        </w:rPr>
        <w:t>5</w:t>
      </w:r>
      <w:r>
        <w:rPr>
          <w:color w:val="231F1F"/>
          <w:spacing w:val="-1"/>
          <w:w w:val="105"/>
        </w:rPr>
        <w:t> </w:t>
      </w:r>
      <w:r>
        <w:rPr>
          <w:color w:val="231F1F"/>
          <w:w w:val="105"/>
        </w:rPr>
        <w:t>minutos</w:t>
      </w:r>
      <w:r>
        <w:rPr>
          <w:color w:val="231F1F"/>
          <w:spacing w:val="-3"/>
          <w:w w:val="105"/>
        </w:rPr>
        <w:t> </w:t>
      </w:r>
      <w:r>
        <w:rPr>
          <w:color w:val="231F1F"/>
          <w:w w:val="105"/>
        </w:rPr>
        <w:t>o</w:t>
      </w:r>
      <w:r>
        <w:rPr>
          <w:color w:val="231F1F"/>
          <w:spacing w:val="-1"/>
          <w:w w:val="105"/>
        </w:rPr>
        <w:t> </w:t>
      </w:r>
      <w:r>
        <w:rPr>
          <w:color w:val="231F1F"/>
          <w:w w:val="105"/>
        </w:rPr>
        <w:t>ingresos</w:t>
      </w:r>
      <w:r>
        <w:rPr>
          <w:color w:val="231F1F"/>
          <w:spacing w:val="-3"/>
          <w:w w:val="105"/>
        </w:rPr>
        <w:t> </w:t>
      </w:r>
      <w:r>
        <w:rPr>
          <w:color w:val="231F1F"/>
          <w:w w:val="105"/>
        </w:rPr>
        <w:t>en</w:t>
      </w:r>
      <w:r>
        <w:rPr>
          <w:color w:val="231F1F"/>
          <w:spacing w:val="-1"/>
          <w:w w:val="105"/>
        </w:rPr>
        <w:t> </w:t>
      </w:r>
      <w:r>
        <w:rPr>
          <w:color w:val="231F1F"/>
          <w:w w:val="105"/>
        </w:rPr>
        <w:t>unidades</w:t>
      </w:r>
      <w:r>
        <w:rPr>
          <w:color w:val="231F1F"/>
          <w:spacing w:val="-2"/>
          <w:w w:val="105"/>
        </w:rPr>
        <w:t> </w:t>
      </w:r>
      <w:r>
        <w:rPr>
          <w:color w:val="231F1F"/>
          <w:w w:val="105"/>
        </w:rPr>
        <w:t>de</w:t>
      </w:r>
      <w:r>
        <w:rPr>
          <w:color w:val="231F1F"/>
          <w:spacing w:val="-2"/>
          <w:w w:val="105"/>
        </w:rPr>
        <w:t> </w:t>
      </w:r>
      <w:r>
        <w:rPr>
          <w:color w:val="231F1F"/>
          <w:w w:val="105"/>
        </w:rPr>
        <w:t>neonatos.</w:t>
      </w:r>
    </w:p>
    <w:p>
      <w:pPr>
        <w:pStyle w:val="BodyText"/>
        <w:tabs>
          <w:tab w:pos="8024" w:val="left" w:leader="none"/>
        </w:tabs>
        <w:spacing w:line="247" w:lineRule="auto" w:before="73"/>
        <w:ind w:left="283" w:right="512" w:firstLine="453"/>
      </w:pPr>
      <w:r>
        <w:rPr>
          <w:color w:val="231F1F"/>
          <w:w w:val="110"/>
        </w:rPr>
        <w:t>En la guía NICE de cesáreas del año 2004 (65), se recomendaba utilizar</w:t>
      </w:r>
      <w:r>
        <w:rPr>
          <w:color w:val="231F1F"/>
        </w:rPr>
        <w:tab/>
      </w:r>
      <w:r>
        <w:rPr>
          <w:rFonts w:ascii="Arial MT" w:hAnsi="Arial MT"/>
          <w:color w:val="231F1F"/>
          <w:spacing w:val="-12"/>
          <w:w w:val="105"/>
          <w:sz w:val="18"/>
        </w:rPr>
        <w:t>GPC </w:t>
      </w:r>
      <w:r>
        <w:rPr>
          <w:color w:val="231F1F"/>
          <w:w w:val="110"/>
        </w:rPr>
        <w:t>el partograma con líneas de acción a las 4h en partos normales debido a que disminuye la tasa de cesáreas, y la guía NICE del cuidado intraparto (10)</w:t>
      </w:r>
    </w:p>
    <w:p>
      <w:pPr>
        <w:pStyle w:val="BodyText"/>
        <w:spacing w:before="6"/>
        <w:ind w:left="283"/>
      </w:pPr>
      <w:r>
        <w:rPr>
          <w:color w:val="231F1F"/>
          <w:w w:val="110"/>
        </w:rPr>
        <w:t>reitera</w:t>
      </w:r>
      <w:r>
        <w:rPr>
          <w:color w:val="231F1F"/>
          <w:spacing w:val="-7"/>
          <w:w w:val="110"/>
        </w:rPr>
        <w:t> </w:t>
      </w:r>
      <w:r>
        <w:rPr>
          <w:color w:val="231F1F"/>
          <w:w w:val="110"/>
        </w:rPr>
        <w:t>esta</w:t>
      </w:r>
      <w:r>
        <w:rPr>
          <w:color w:val="231F1F"/>
          <w:spacing w:val="-6"/>
          <w:w w:val="110"/>
        </w:rPr>
        <w:t> </w:t>
      </w:r>
      <w:r>
        <w:rPr>
          <w:color w:val="231F1F"/>
          <w:spacing w:val="-2"/>
          <w:w w:val="110"/>
        </w:rPr>
        <w:t>recomendación.</w:t>
      </w:r>
    </w:p>
    <w:p>
      <w:pPr>
        <w:pStyle w:val="BodyText"/>
        <w:spacing w:before="93"/>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(2005</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junio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line="244" w:lineRule="auto" w:before="210"/>
        <w:ind w:left="283" w:right="1368"/>
        <w:jc w:val="both"/>
      </w:pPr>
      <w:r>
        <w:rPr>
          <w:color w:val="231F1F"/>
          <w:w w:val="110"/>
        </w:rPr>
        <w:t>En la búsqueda sistemática</w:t>
      </w:r>
      <w:r>
        <w:rPr>
          <w:color w:val="231F1F"/>
          <w:spacing w:val="-1"/>
          <w:w w:val="110"/>
        </w:rPr>
        <w:t> </w:t>
      </w:r>
      <w:r>
        <w:rPr>
          <w:color w:val="231F1F"/>
          <w:w w:val="110"/>
        </w:rPr>
        <w:t>realizada para la actualización de esta pregunta no</w:t>
      </w:r>
      <w:r>
        <w:rPr>
          <w:color w:val="231F1F"/>
          <w:spacing w:val="-16"/>
          <w:w w:val="110"/>
        </w:rPr>
        <w:t> </w:t>
      </w:r>
      <w:r>
        <w:rPr>
          <w:color w:val="231F1F"/>
          <w:w w:val="110"/>
        </w:rPr>
        <w:t>se</w:t>
      </w:r>
      <w:r>
        <w:rPr>
          <w:color w:val="231F1F"/>
          <w:spacing w:val="-15"/>
          <w:w w:val="110"/>
        </w:rPr>
        <w:t> </w:t>
      </w:r>
      <w:r>
        <w:rPr>
          <w:color w:val="231F1F"/>
          <w:w w:val="110"/>
        </w:rPr>
        <w:t>encontró</w:t>
      </w:r>
      <w:r>
        <w:rPr>
          <w:color w:val="231F1F"/>
          <w:spacing w:val="-15"/>
          <w:w w:val="110"/>
        </w:rPr>
        <w:t> </w:t>
      </w:r>
      <w:r>
        <w:rPr>
          <w:color w:val="231F1F"/>
          <w:w w:val="110"/>
        </w:rPr>
        <w:t>ningún</w:t>
      </w:r>
      <w:r>
        <w:rPr>
          <w:color w:val="231F1F"/>
          <w:spacing w:val="-15"/>
          <w:w w:val="110"/>
        </w:rPr>
        <w:t> </w:t>
      </w:r>
      <w:r>
        <w:rPr>
          <w:color w:val="231F1F"/>
          <w:w w:val="110"/>
        </w:rPr>
        <w:t>documento.</w:t>
      </w:r>
      <w:r>
        <w:rPr>
          <w:color w:val="231F1F"/>
          <w:spacing w:val="-15"/>
          <w:w w:val="110"/>
        </w:rPr>
        <w:t> </w:t>
      </w:r>
      <w:r>
        <w:rPr>
          <w:color w:val="231F1F"/>
          <w:w w:val="110"/>
        </w:rPr>
        <w:t>Sin</w:t>
      </w:r>
      <w:r>
        <w:rPr>
          <w:color w:val="231F1F"/>
          <w:spacing w:val="-15"/>
          <w:w w:val="110"/>
        </w:rPr>
        <w:t> </w:t>
      </w:r>
      <w:r>
        <w:rPr>
          <w:color w:val="231F1F"/>
          <w:w w:val="110"/>
        </w:rPr>
        <w:t>embargo,</w:t>
      </w:r>
      <w:r>
        <w:rPr>
          <w:color w:val="231F1F"/>
          <w:spacing w:val="-15"/>
          <w:w w:val="110"/>
        </w:rPr>
        <w:t> </w:t>
      </w:r>
      <w:r>
        <w:rPr>
          <w:color w:val="231F1F"/>
          <w:w w:val="110"/>
        </w:rPr>
        <w:t>se</w:t>
      </w:r>
      <w:r>
        <w:rPr>
          <w:color w:val="231F1F"/>
          <w:spacing w:val="-15"/>
          <w:w w:val="110"/>
        </w:rPr>
        <w:t> </w:t>
      </w:r>
      <w:r>
        <w:rPr>
          <w:color w:val="231F1F"/>
          <w:w w:val="110"/>
        </w:rPr>
        <w:t>pudo</w:t>
      </w:r>
      <w:r>
        <w:rPr>
          <w:color w:val="231F1F"/>
          <w:spacing w:val="-16"/>
          <w:w w:val="110"/>
        </w:rPr>
        <w:t> </w:t>
      </w:r>
      <w:r>
        <w:rPr>
          <w:color w:val="231F1F"/>
          <w:w w:val="110"/>
        </w:rPr>
        <w:t>seleccionar</w:t>
      </w:r>
      <w:r>
        <w:rPr>
          <w:color w:val="231F1F"/>
          <w:spacing w:val="-15"/>
          <w:w w:val="110"/>
        </w:rPr>
        <w:t> </w:t>
      </w:r>
      <w:r>
        <w:rPr>
          <w:color w:val="231F1F"/>
          <w:w w:val="110"/>
        </w:rPr>
        <w:t>una</w:t>
      </w:r>
      <w:r>
        <w:rPr>
          <w:color w:val="231F1F"/>
          <w:spacing w:val="-15"/>
          <w:w w:val="110"/>
        </w:rPr>
        <w:t> </w:t>
      </w:r>
      <w:r>
        <w:rPr>
          <w:color w:val="231F1F"/>
          <w:w w:val="110"/>
        </w:rPr>
        <w:t>RS publicada</w:t>
      </w:r>
      <w:r>
        <w:rPr>
          <w:color w:val="231F1F"/>
          <w:spacing w:val="-16"/>
          <w:w w:val="110"/>
        </w:rPr>
        <w:t> </w:t>
      </w:r>
      <w:r>
        <w:rPr>
          <w:color w:val="231F1F"/>
          <w:w w:val="110"/>
        </w:rPr>
        <w:t>en</w:t>
      </w:r>
      <w:r>
        <w:rPr>
          <w:color w:val="231F1F"/>
          <w:spacing w:val="-15"/>
          <w:w w:val="110"/>
        </w:rPr>
        <w:t> </w:t>
      </w:r>
      <w:r>
        <w:rPr>
          <w:color w:val="231F1F"/>
          <w:w w:val="110"/>
        </w:rPr>
        <w:t>octubre</w:t>
      </w:r>
      <w:r>
        <w:rPr>
          <w:color w:val="231F1F"/>
          <w:spacing w:val="-15"/>
          <w:w w:val="110"/>
        </w:rPr>
        <w:t> </w:t>
      </w:r>
      <w:r>
        <w:rPr>
          <w:color w:val="231F1F"/>
          <w:w w:val="110"/>
        </w:rPr>
        <w:t>de</w:t>
      </w:r>
      <w:r>
        <w:rPr>
          <w:color w:val="231F1F"/>
          <w:spacing w:val="-15"/>
          <w:w w:val="110"/>
        </w:rPr>
        <w:t> </w:t>
      </w:r>
      <w:r>
        <w:rPr>
          <w:color w:val="231F1F"/>
          <w:w w:val="110"/>
        </w:rPr>
        <w:t>2008</w:t>
      </w:r>
      <w:r>
        <w:rPr>
          <w:color w:val="231F1F"/>
          <w:spacing w:val="-15"/>
          <w:w w:val="110"/>
        </w:rPr>
        <w:t> </w:t>
      </w:r>
      <w:r>
        <w:rPr>
          <w:color w:val="231F1F"/>
          <w:w w:val="110"/>
        </w:rPr>
        <w:t>(66),</w:t>
      </w:r>
      <w:r>
        <w:rPr>
          <w:color w:val="231F1F"/>
          <w:spacing w:val="-15"/>
          <w:w w:val="110"/>
        </w:rPr>
        <w:t> </w:t>
      </w:r>
      <w:r>
        <w:rPr>
          <w:color w:val="231F1F"/>
          <w:w w:val="110"/>
        </w:rPr>
        <w:t>gracias</w:t>
      </w:r>
      <w:r>
        <w:rPr>
          <w:color w:val="231F1F"/>
          <w:spacing w:val="-15"/>
          <w:w w:val="110"/>
        </w:rPr>
        <w:t> </w:t>
      </w:r>
      <w:r>
        <w:rPr>
          <w:color w:val="231F1F"/>
          <w:w w:val="110"/>
        </w:rPr>
        <w:t>a</w:t>
      </w:r>
      <w:r>
        <w:rPr>
          <w:color w:val="231F1F"/>
          <w:spacing w:val="-15"/>
          <w:w w:val="110"/>
        </w:rPr>
        <w:t> </w:t>
      </w:r>
      <w:r>
        <w:rPr>
          <w:color w:val="231F1F"/>
          <w:w w:val="110"/>
        </w:rPr>
        <w:t>las</w:t>
      </w:r>
      <w:r>
        <w:rPr>
          <w:color w:val="231F1F"/>
          <w:spacing w:val="-16"/>
          <w:w w:val="110"/>
        </w:rPr>
        <w:t> </w:t>
      </w:r>
      <w:r>
        <w:rPr>
          <w:color w:val="231F1F"/>
          <w:w w:val="110"/>
        </w:rPr>
        <w:t>alertas</w:t>
      </w:r>
      <w:r>
        <w:rPr>
          <w:color w:val="231F1F"/>
          <w:spacing w:val="-15"/>
          <w:w w:val="110"/>
        </w:rPr>
        <w:t> </w:t>
      </w:r>
      <w:r>
        <w:rPr>
          <w:color w:val="231F1F"/>
          <w:w w:val="110"/>
        </w:rPr>
        <w:t>incluidas</w:t>
      </w:r>
      <w:r>
        <w:rPr>
          <w:color w:val="231F1F"/>
          <w:spacing w:val="-15"/>
          <w:w w:val="110"/>
        </w:rPr>
        <w:t> </w:t>
      </w:r>
      <w:r>
        <w:rPr>
          <w:color w:val="231F1F"/>
          <w:w w:val="110"/>
        </w:rPr>
        <w:t>en</w:t>
      </w:r>
      <w:r>
        <w:rPr>
          <w:color w:val="231F1F"/>
          <w:spacing w:val="-15"/>
          <w:w w:val="110"/>
        </w:rPr>
        <w:t> </w:t>
      </w:r>
      <w:r>
        <w:rPr>
          <w:color w:val="231F1F"/>
          <w:w w:val="110"/>
        </w:rPr>
        <w:t>las</w:t>
      </w:r>
      <w:r>
        <w:rPr>
          <w:color w:val="231F1F"/>
          <w:spacing w:val="-15"/>
          <w:w w:val="110"/>
        </w:rPr>
        <w:t> </w:t>
      </w:r>
      <w:r>
        <w:rPr>
          <w:color w:val="231F1F"/>
          <w:w w:val="110"/>
        </w:rPr>
        <w:t>estra- tegias de búsquedas.</w:t>
      </w:r>
    </w:p>
    <w:p>
      <w:pPr>
        <w:pStyle w:val="BodyText"/>
        <w:tabs>
          <w:tab w:pos="7989" w:val="left" w:leader="none"/>
          <w:tab w:pos="8143" w:val="left" w:leader="none"/>
        </w:tabs>
        <w:spacing w:line="249" w:lineRule="auto" w:before="100"/>
        <w:ind w:left="283" w:right="355" w:firstLine="453"/>
      </w:pPr>
      <w:r>
        <w:rPr>
          <w:color w:val="231F1F"/>
          <w:w w:val="105"/>
        </w:rPr>
        <w:t>La</w:t>
      </w:r>
      <w:r>
        <w:rPr>
          <w:color w:val="231F1F"/>
          <w:spacing w:val="-9"/>
          <w:w w:val="105"/>
        </w:rPr>
        <w:t> </w:t>
      </w:r>
      <w:r>
        <w:rPr>
          <w:color w:val="231F1F"/>
          <w:w w:val="105"/>
        </w:rPr>
        <w:t>RS</w:t>
      </w:r>
      <w:r>
        <w:rPr>
          <w:color w:val="231F1F"/>
          <w:spacing w:val="-8"/>
          <w:w w:val="105"/>
        </w:rPr>
        <w:t> </w:t>
      </w:r>
      <w:r>
        <w:rPr>
          <w:color w:val="231F1F"/>
          <w:w w:val="105"/>
        </w:rPr>
        <w:t>seleccionada</w:t>
      </w:r>
      <w:r>
        <w:rPr>
          <w:color w:val="231F1F"/>
          <w:spacing w:val="-9"/>
          <w:w w:val="105"/>
        </w:rPr>
        <w:t> </w:t>
      </w:r>
      <w:r>
        <w:rPr>
          <w:color w:val="231F1F"/>
          <w:w w:val="105"/>
        </w:rPr>
        <w:t>para</w:t>
      </w:r>
      <w:r>
        <w:rPr>
          <w:color w:val="231F1F"/>
          <w:spacing w:val="-9"/>
          <w:w w:val="105"/>
        </w:rPr>
        <w:t> </w:t>
      </w:r>
      <w:r>
        <w:rPr>
          <w:color w:val="231F1F"/>
          <w:w w:val="105"/>
        </w:rPr>
        <w:t>la</w:t>
      </w:r>
      <w:r>
        <w:rPr>
          <w:color w:val="231F1F"/>
          <w:spacing w:val="-8"/>
          <w:w w:val="105"/>
        </w:rPr>
        <w:t> </w:t>
      </w:r>
      <w:r>
        <w:rPr>
          <w:color w:val="231F1F"/>
          <w:w w:val="105"/>
        </w:rPr>
        <w:t>actualización,</w:t>
      </w:r>
      <w:r>
        <w:rPr>
          <w:color w:val="231F1F"/>
          <w:spacing w:val="-8"/>
          <w:w w:val="105"/>
        </w:rPr>
        <w:t> </w:t>
      </w:r>
      <w:r>
        <w:rPr>
          <w:color w:val="231F1F"/>
          <w:w w:val="105"/>
        </w:rPr>
        <w:t>incluye</w:t>
      </w:r>
      <w:r>
        <w:rPr>
          <w:color w:val="231F1F"/>
          <w:spacing w:val="-9"/>
          <w:w w:val="105"/>
        </w:rPr>
        <w:t> </w:t>
      </w:r>
      <w:r>
        <w:rPr>
          <w:color w:val="231F1F"/>
          <w:w w:val="105"/>
        </w:rPr>
        <w:t>cinco</w:t>
      </w:r>
      <w:r>
        <w:rPr>
          <w:color w:val="231F1F"/>
          <w:spacing w:val="-8"/>
          <w:w w:val="105"/>
        </w:rPr>
        <w:t> </w:t>
      </w:r>
      <w:r>
        <w:rPr>
          <w:color w:val="231F1F"/>
          <w:w w:val="105"/>
        </w:rPr>
        <w:t>ensayos</w:t>
      </w:r>
      <w:r>
        <w:rPr>
          <w:color w:val="231F1F"/>
          <w:spacing w:val="-8"/>
          <w:w w:val="105"/>
        </w:rPr>
        <w:t> </w:t>
      </w:r>
      <w:r>
        <w:rPr>
          <w:color w:val="231F1F"/>
          <w:w w:val="105"/>
        </w:rPr>
        <w:t>aleatorios</w:t>
      </w:r>
      <w:r>
        <w:rPr>
          <w:color w:val="231F1F"/>
          <w:spacing w:val="71"/>
          <w:w w:val="105"/>
        </w:rPr>
        <w:t> </w:t>
      </w:r>
      <w:r>
        <w:rPr>
          <w:rFonts w:ascii="Arial MT" w:hAnsi="Arial MT"/>
          <w:color w:val="231F1F"/>
          <w:w w:val="105"/>
          <w:sz w:val="18"/>
        </w:rPr>
        <w:t>RS-MA</w:t>
      </w:r>
      <w:r>
        <w:rPr>
          <w:rFonts w:ascii="Arial MT" w:hAnsi="Arial MT"/>
          <w:color w:val="231F1F"/>
          <w:spacing w:val="-14"/>
          <w:w w:val="105"/>
          <w:sz w:val="18"/>
        </w:rPr>
        <w:t> </w:t>
      </w:r>
      <w:r>
        <w:rPr>
          <w:rFonts w:ascii="Arial MT" w:hAnsi="Arial MT"/>
          <w:color w:val="231F1F"/>
          <w:w w:val="105"/>
          <w:sz w:val="18"/>
        </w:rPr>
        <w:t>de </w:t>
      </w:r>
      <w:r>
        <w:rPr>
          <w:color w:val="231F1F"/>
          <w:w w:val="105"/>
        </w:rPr>
        <w:t>(tres de los cuales fueron incluidos también en la guía NICE (10) y cuasi-</w:t>
      </w:r>
      <w:r>
        <w:rPr>
          <w:color w:val="231F1F"/>
        </w:rPr>
        <w:tab/>
      </w:r>
      <w:r>
        <w:rPr>
          <w:rFonts w:ascii="Arial MT" w:hAnsi="Arial MT"/>
          <w:color w:val="231F1F"/>
          <w:spacing w:val="-4"/>
          <w:w w:val="105"/>
          <w:position w:val="4"/>
          <w:sz w:val="18"/>
        </w:rPr>
        <w:t>ECAs </w:t>
      </w:r>
      <w:r>
        <w:rPr>
          <w:color w:val="231F1F"/>
          <w:w w:val="105"/>
        </w:rPr>
        <w:t>aleatorios, con un total de 6.187 mujeres, que compararon la utilización del</w:t>
      </w:r>
      <w:r>
        <w:rPr>
          <w:color w:val="231F1F"/>
        </w:rPr>
        <w:tab/>
        <w:tab/>
      </w:r>
      <w:r>
        <w:rPr>
          <w:rFonts w:ascii="Arial MT" w:hAnsi="Arial MT"/>
          <w:color w:val="231F1F"/>
          <w:spacing w:val="-6"/>
          <w:w w:val="105"/>
          <w:position w:val="8"/>
          <w:sz w:val="18"/>
        </w:rPr>
        <w:t>Ia </w:t>
      </w:r>
      <w:r>
        <w:rPr>
          <w:color w:val="231F1F"/>
          <w:w w:val="105"/>
        </w:rPr>
        <w:t>partograma</w:t>
      </w:r>
      <w:r>
        <w:rPr>
          <w:color w:val="231F1F"/>
          <w:spacing w:val="40"/>
          <w:w w:val="105"/>
        </w:rPr>
        <w:t> </w:t>
      </w:r>
      <w:r>
        <w:rPr>
          <w:color w:val="231F1F"/>
          <w:w w:val="105"/>
        </w:rPr>
        <w:t>frente</w:t>
      </w:r>
      <w:r>
        <w:rPr>
          <w:color w:val="231F1F"/>
          <w:spacing w:val="40"/>
          <w:w w:val="105"/>
        </w:rPr>
        <w:t> </w:t>
      </w:r>
      <w:r>
        <w:rPr>
          <w:color w:val="231F1F"/>
          <w:w w:val="105"/>
        </w:rPr>
        <w:t>a</w:t>
      </w:r>
      <w:r>
        <w:rPr>
          <w:color w:val="231F1F"/>
          <w:spacing w:val="40"/>
          <w:w w:val="105"/>
        </w:rPr>
        <w:t> </w:t>
      </w:r>
      <w:r>
        <w:rPr>
          <w:color w:val="231F1F"/>
          <w:w w:val="105"/>
        </w:rPr>
        <w:t>la</w:t>
      </w:r>
      <w:r>
        <w:rPr>
          <w:color w:val="231F1F"/>
          <w:spacing w:val="40"/>
          <w:w w:val="105"/>
        </w:rPr>
        <w:t> </w:t>
      </w:r>
      <w:r>
        <w:rPr>
          <w:color w:val="231F1F"/>
          <w:w w:val="105"/>
        </w:rPr>
        <w:t>no</w:t>
      </w:r>
      <w:r>
        <w:rPr>
          <w:color w:val="231F1F"/>
          <w:spacing w:val="40"/>
          <w:w w:val="105"/>
        </w:rPr>
        <w:t> </w:t>
      </w:r>
      <w:r>
        <w:rPr>
          <w:color w:val="231F1F"/>
          <w:w w:val="105"/>
        </w:rPr>
        <w:t>utilización</w:t>
      </w:r>
      <w:r>
        <w:rPr>
          <w:color w:val="231F1F"/>
          <w:spacing w:val="40"/>
          <w:w w:val="105"/>
        </w:rPr>
        <w:t> </w:t>
      </w:r>
      <w:r>
        <w:rPr>
          <w:color w:val="231F1F"/>
          <w:w w:val="105"/>
        </w:rPr>
        <w:t>(en</w:t>
      </w:r>
      <w:r>
        <w:rPr>
          <w:color w:val="231F1F"/>
          <w:spacing w:val="40"/>
          <w:w w:val="105"/>
        </w:rPr>
        <w:t> </w:t>
      </w:r>
      <w:r>
        <w:rPr>
          <w:color w:val="231F1F"/>
          <w:w w:val="105"/>
        </w:rPr>
        <w:t>2</w:t>
      </w:r>
      <w:r>
        <w:rPr>
          <w:color w:val="231F1F"/>
          <w:spacing w:val="40"/>
          <w:w w:val="105"/>
        </w:rPr>
        <w:t> </w:t>
      </w:r>
      <w:r>
        <w:rPr>
          <w:color w:val="231F1F"/>
          <w:w w:val="105"/>
        </w:rPr>
        <w:t>estudios</w:t>
      </w:r>
      <w:r>
        <w:rPr>
          <w:color w:val="231F1F"/>
          <w:spacing w:val="40"/>
          <w:w w:val="105"/>
        </w:rPr>
        <w:t> </w:t>
      </w:r>
      <w:r>
        <w:rPr>
          <w:color w:val="231F1F"/>
          <w:w w:val="105"/>
        </w:rPr>
        <w:t>con</w:t>
      </w:r>
      <w:r>
        <w:rPr>
          <w:color w:val="231F1F"/>
          <w:spacing w:val="40"/>
          <w:w w:val="105"/>
        </w:rPr>
        <w:t> </w:t>
      </w:r>
      <w:r>
        <w:rPr>
          <w:color w:val="231F1F"/>
          <w:w w:val="105"/>
        </w:rPr>
        <w:t>1.590</w:t>
      </w:r>
      <w:r>
        <w:rPr>
          <w:color w:val="231F1F"/>
          <w:spacing w:val="40"/>
          <w:w w:val="105"/>
        </w:rPr>
        <w:t> </w:t>
      </w:r>
      <w:r>
        <w:rPr>
          <w:color w:val="231F1F"/>
          <w:w w:val="105"/>
        </w:rPr>
        <w:t>mujeres)</w:t>
      </w:r>
      <w:r>
        <w:rPr>
          <w:color w:val="231F1F"/>
          <w:spacing w:val="40"/>
          <w:w w:val="105"/>
        </w:rPr>
        <w:t> </w:t>
      </w:r>
      <w:r>
        <w:rPr>
          <w:color w:val="231F1F"/>
          <w:w w:val="105"/>
        </w:rPr>
        <w:t>y</w:t>
      </w:r>
      <w:r>
        <w:rPr>
          <w:color w:val="231F1F"/>
          <w:spacing w:val="40"/>
          <w:w w:val="105"/>
        </w:rPr>
        <w:t> </w:t>
      </w:r>
      <w:r>
        <w:rPr>
          <w:color w:val="231F1F"/>
          <w:w w:val="105"/>
        </w:rPr>
        <w:t>la utilización de diferentes tipos de partograma. En la RS se realiza un metaa-</w:t>
      </w:r>
    </w:p>
    <w:p>
      <w:pPr>
        <w:pStyle w:val="BodyText"/>
        <w:spacing w:line="244" w:lineRule="exact"/>
        <w:ind w:left="283"/>
      </w:pPr>
      <w:r>
        <w:rPr>
          <w:color w:val="231F1F"/>
          <w:w w:val="105"/>
        </w:rPr>
        <w:t>nálisis</w:t>
      </w:r>
      <w:r>
        <w:rPr>
          <w:color w:val="231F1F"/>
          <w:spacing w:val="-4"/>
          <w:w w:val="105"/>
        </w:rPr>
        <w:t> </w:t>
      </w:r>
      <w:r>
        <w:rPr>
          <w:color w:val="231F1F"/>
          <w:w w:val="105"/>
        </w:rPr>
        <w:t>de</w:t>
      </w:r>
      <w:r>
        <w:rPr>
          <w:color w:val="231F1F"/>
          <w:spacing w:val="-3"/>
          <w:w w:val="105"/>
        </w:rPr>
        <w:t> </w:t>
      </w:r>
      <w:r>
        <w:rPr>
          <w:color w:val="231F1F"/>
          <w:w w:val="105"/>
        </w:rPr>
        <w:t>los</w:t>
      </w:r>
      <w:r>
        <w:rPr>
          <w:color w:val="231F1F"/>
          <w:spacing w:val="-3"/>
          <w:w w:val="105"/>
        </w:rPr>
        <w:t> </w:t>
      </w:r>
      <w:r>
        <w:rPr>
          <w:color w:val="231F1F"/>
          <w:spacing w:val="-2"/>
          <w:w w:val="105"/>
        </w:rPr>
        <w:t>resultados.</w:t>
      </w:r>
    </w:p>
    <w:p>
      <w:pPr>
        <w:tabs>
          <w:tab w:pos="7791" w:val="left" w:leader="none"/>
          <w:tab w:pos="7989" w:val="left" w:leader="none"/>
          <w:tab w:pos="8143" w:val="left" w:leader="none"/>
        </w:tabs>
        <w:spacing w:line="242" w:lineRule="auto" w:before="112"/>
        <w:ind w:left="283" w:right="312" w:firstLine="453"/>
        <w:jc w:val="left"/>
        <w:rPr>
          <w:rFonts w:ascii="Arial MT" w:hAnsi="Arial MT"/>
          <w:position w:val="8"/>
          <w:sz w:val="18"/>
        </w:rPr>
      </w:pPr>
      <w:r>
        <w:rPr>
          <w:color w:val="231F1F"/>
          <w:sz w:val="22"/>
        </w:rPr>
        <w:t>No hubo evidencia de diferencias, entre el </w:t>
      </w:r>
      <w:r>
        <w:rPr>
          <w:i/>
          <w:color w:val="231F1F"/>
          <w:sz w:val="22"/>
        </w:rPr>
        <w:t>uso de partograma frente al no</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i/>
          <w:color w:val="231F1F"/>
          <w:w w:val="105"/>
          <w:sz w:val="22"/>
        </w:rPr>
        <w:t>uso</w:t>
      </w:r>
      <w:r>
        <w:rPr>
          <w:color w:val="231F1F"/>
          <w:w w:val="105"/>
          <w:sz w:val="22"/>
        </w:rPr>
        <w:t>, en las tasas de cesárea: RR 0,64 [IC 95% 0,24 a 1,70), de parto instrumen-</w:t>
      </w:r>
      <w:r>
        <w:rPr>
          <w:color w:val="231F1F"/>
          <w:sz w:val="22"/>
        </w:rPr>
        <w:tab/>
        <w:tab/>
      </w:r>
      <w:r>
        <w:rPr>
          <w:rFonts w:ascii="Arial MT" w:hAnsi="Arial MT"/>
          <w:color w:val="231F1F"/>
          <w:spacing w:val="-4"/>
          <w:w w:val="105"/>
          <w:position w:val="4"/>
          <w:sz w:val="18"/>
        </w:rPr>
        <w:t>ECAs </w:t>
      </w:r>
      <w:r>
        <w:rPr>
          <w:color w:val="231F1F"/>
          <w:w w:val="105"/>
          <w:sz w:val="22"/>
        </w:rPr>
        <w:t>tal: RR 1,00 [IC 95% 0,85 a 1,17] o puntuación Apgar &lt;7 a los 5 minutos: RR</w:t>
      </w:r>
      <w:r>
        <w:rPr>
          <w:color w:val="231F1F"/>
          <w:sz w:val="22"/>
        </w:rPr>
        <w:tab/>
        <w:tab/>
        <w:tab/>
      </w:r>
      <w:r>
        <w:rPr>
          <w:rFonts w:ascii="Arial MT" w:hAnsi="Arial MT"/>
          <w:color w:val="231F1F"/>
          <w:spacing w:val="-6"/>
          <w:w w:val="105"/>
          <w:position w:val="8"/>
          <w:sz w:val="18"/>
        </w:rPr>
        <w:t>Ia</w:t>
      </w:r>
    </w:p>
    <w:p>
      <w:pPr>
        <w:pStyle w:val="BodyText"/>
        <w:spacing w:before="7"/>
        <w:ind w:left="283"/>
      </w:pPr>
      <w:r>
        <w:rPr>
          <w:color w:val="231F1F"/>
          <w:w w:val="105"/>
        </w:rPr>
        <w:t>0,77</w:t>
      </w:r>
      <w:r>
        <w:rPr>
          <w:color w:val="231F1F"/>
          <w:spacing w:val="-11"/>
          <w:w w:val="105"/>
        </w:rPr>
        <w:t> </w:t>
      </w:r>
      <w:r>
        <w:rPr>
          <w:color w:val="231F1F"/>
          <w:w w:val="105"/>
        </w:rPr>
        <w:t>[IC</w:t>
      </w:r>
      <w:r>
        <w:rPr>
          <w:color w:val="231F1F"/>
          <w:spacing w:val="-10"/>
          <w:w w:val="105"/>
        </w:rPr>
        <w:t> </w:t>
      </w:r>
      <w:r>
        <w:rPr>
          <w:color w:val="231F1F"/>
          <w:w w:val="105"/>
        </w:rPr>
        <w:t>95%</w:t>
      </w:r>
      <w:r>
        <w:rPr>
          <w:color w:val="231F1F"/>
          <w:spacing w:val="-10"/>
          <w:w w:val="105"/>
        </w:rPr>
        <w:t> </w:t>
      </w:r>
      <w:r>
        <w:rPr>
          <w:color w:val="231F1F"/>
          <w:w w:val="105"/>
        </w:rPr>
        <w:t>0,29</w:t>
      </w:r>
      <w:r>
        <w:rPr>
          <w:color w:val="231F1F"/>
          <w:spacing w:val="-10"/>
          <w:w w:val="105"/>
        </w:rPr>
        <w:t> </w:t>
      </w:r>
      <w:r>
        <w:rPr>
          <w:color w:val="231F1F"/>
          <w:w w:val="105"/>
        </w:rPr>
        <w:t>a</w:t>
      </w:r>
      <w:r>
        <w:rPr>
          <w:color w:val="231F1F"/>
          <w:spacing w:val="-10"/>
          <w:w w:val="105"/>
        </w:rPr>
        <w:t> </w:t>
      </w:r>
      <w:r>
        <w:rPr>
          <w:color w:val="231F1F"/>
          <w:spacing w:val="-2"/>
          <w:w w:val="105"/>
        </w:rPr>
        <w:t>2,06].</w:t>
      </w:r>
    </w:p>
    <w:p>
      <w:pPr>
        <w:pStyle w:val="BodyText"/>
        <w:tabs>
          <w:tab w:pos="7989" w:val="left" w:leader="none"/>
          <w:tab w:pos="8168" w:val="left" w:leader="none"/>
        </w:tabs>
        <w:spacing w:line="242" w:lineRule="auto" w:before="107"/>
        <w:ind w:left="283" w:right="335" w:firstLine="453"/>
        <w:rPr>
          <w:rFonts w:ascii="Arial MT" w:hAnsi="Arial MT"/>
          <w:position w:val="8"/>
          <w:sz w:val="18"/>
        </w:rPr>
      </w:pPr>
      <w:r>
        <w:rPr>
          <w:color w:val="231F1F"/>
          <w:w w:val="110"/>
        </w:rPr>
        <w:t>Cuando</w:t>
      </w:r>
      <w:r>
        <w:rPr>
          <w:color w:val="231F1F"/>
          <w:spacing w:val="-13"/>
          <w:w w:val="110"/>
        </w:rPr>
        <w:t> </w:t>
      </w:r>
      <w:r>
        <w:rPr>
          <w:color w:val="231F1F"/>
          <w:w w:val="110"/>
        </w:rPr>
        <w:t>se</w:t>
      </w:r>
      <w:r>
        <w:rPr>
          <w:color w:val="231F1F"/>
          <w:spacing w:val="-9"/>
          <w:w w:val="110"/>
        </w:rPr>
        <w:t> </w:t>
      </w:r>
      <w:r>
        <w:rPr>
          <w:color w:val="231F1F"/>
          <w:w w:val="110"/>
        </w:rPr>
        <w:t>comparan</w:t>
      </w:r>
      <w:r>
        <w:rPr>
          <w:color w:val="231F1F"/>
          <w:spacing w:val="-9"/>
          <w:w w:val="110"/>
        </w:rPr>
        <w:t> </w:t>
      </w:r>
      <w:r>
        <w:rPr>
          <w:color w:val="231F1F"/>
          <w:w w:val="110"/>
        </w:rPr>
        <w:t>partograma</w:t>
      </w:r>
      <w:r>
        <w:rPr>
          <w:color w:val="231F1F"/>
          <w:spacing w:val="-9"/>
          <w:w w:val="110"/>
        </w:rPr>
        <w:t> </w:t>
      </w:r>
      <w:r>
        <w:rPr>
          <w:color w:val="231F1F"/>
          <w:w w:val="110"/>
        </w:rPr>
        <w:t>con</w:t>
      </w:r>
      <w:r>
        <w:rPr>
          <w:color w:val="231F1F"/>
          <w:spacing w:val="-9"/>
          <w:w w:val="110"/>
        </w:rPr>
        <w:t> </w:t>
      </w:r>
      <w:r>
        <w:rPr>
          <w:i/>
          <w:color w:val="231F1F"/>
          <w:w w:val="110"/>
        </w:rPr>
        <w:t>línea</w:t>
      </w:r>
      <w:r>
        <w:rPr>
          <w:i/>
          <w:color w:val="231F1F"/>
          <w:spacing w:val="-12"/>
          <w:w w:val="110"/>
        </w:rPr>
        <w:t> </w:t>
      </w:r>
      <w:r>
        <w:rPr>
          <w:i/>
          <w:color w:val="231F1F"/>
          <w:w w:val="110"/>
        </w:rPr>
        <w:t>de</w:t>
      </w:r>
      <w:r>
        <w:rPr>
          <w:i/>
          <w:color w:val="231F1F"/>
          <w:spacing w:val="-13"/>
          <w:w w:val="110"/>
        </w:rPr>
        <w:t> </w:t>
      </w:r>
      <w:r>
        <w:rPr>
          <w:i/>
          <w:color w:val="231F1F"/>
          <w:w w:val="110"/>
        </w:rPr>
        <w:t>acción</w:t>
      </w:r>
      <w:r>
        <w:rPr>
          <w:i/>
          <w:color w:val="231F1F"/>
          <w:spacing w:val="-13"/>
          <w:w w:val="110"/>
        </w:rPr>
        <w:t> </w:t>
      </w:r>
      <w:r>
        <w:rPr>
          <w:i/>
          <w:color w:val="231F1F"/>
          <w:w w:val="110"/>
        </w:rPr>
        <w:t>de</w:t>
      </w:r>
      <w:r>
        <w:rPr>
          <w:i/>
          <w:color w:val="231F1F"/>
          <w:spacing w:val="-13"/>
          <w:w w:val="110"/>
        </w:rPr>
        <w:t> </w:t>
      </w:r>
      <w:r>
        <w:rPr>
          <w:i/>
          <w:color w:val="231F1F"/>
          <w:w w:val="110"/>
        </w:rPr>
        <w:t>2</w:t>
      </w:r>
      <w:r>
        <w:rPr>
          <w:i/>
          <w:color w:val="231F1F"/>
          <w:spacing w:val="-13"/>
          <w:w w:val="110"/>
        </w:rPr>
        <w:t> </w:t>
      </w:r>
      <w:r>
        <w:rPr>
          <w:i/>
          <w:color w:val="231F1F"/>
          <w:w w:val="110"/>
        </w:rPr>
        <w:t>horas</w:t>
      </w:r>
      <w:r>
        <w:rPr>
          <w:color w:val="231F1F"/>
          <w:w w:val="110"/>
        </w:rPr>
        <w:t>,</w:t>
      </w:r>
      <w:r>
        <w:rPr>
          <w:color w:val="231F1F"/>
          <w:spacing w:val="-10"/>
          <w:w w:val="110"/>
        </w:rPr>
        <w:t> </w:t>
      </w:r>
      <w:r>
        <w:rPr>
          <w:color w:val="231F1F"/>
          <w:w w:val="110"/>
        </w:rPr>
        <w:t>frente</w:t>
      </w:r>
      <w:r>
        <w:rPr>
          <w:color w:val="231F1F"/>
          <w:spacing w:val="68"/>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al de 4 h, el primer grupo muestra una mayor probabilidad de requerir esti-</w:t>
      </w:r>
      <w:r>
        <w:rPr>
          <w:color w:val="231F1F"/>
        </w:rPr>
        <w:tab/>
      </w:r>
      <w:r>
        <w:rPr>
          <w:rFonts w:ascii="Arial MT" w:hAnsi="Arial MT"/>
          <w:color w:val="231F1F"/>
          <w:spacing w:val="-4"/>
          <w:w w:val="110"/>
          <w:position w:val="4"/>
          <w:sz w:val="18"/>
        </w:rPr>
        <w:t>ECAs </w:t>
      </w:r>
      <w:r>
        <w:rPr>
          <w:color w:val="231F1F"/>
          <w:w w:val="110"/>
        </w:rPr>
        <w:t>mulación con oxitocina: RR 1,14 [IC 95% 1,05 a 1,22].</w:t>
      </w:r>
      <w:r>
        <w:rPr>
          <w:color w:val="231F1F"/>
        </w:rPr>
        <w:tab/>
        <w:tab/>
      </w:r>
      <w:r>
        <w:rPr>
          <w:rFonts w:ascii="Arial MT" w:hAnsi="Arial MT"/>
          <w:color w:val="231F1F"/>
          <w:spacing w:val="-6"/>
          <w:w w:val="110"/>
          <w:position w:val="8"/>
          <w:sz w:val="18"/>
        </w:rPr>
        <w:t>Ia</w:t>
      </w:r>
    </w:p>
    <w:p>
      <w:pPr>
        <w:pStyle w:val="BodyText"/>
        <w:tabs>
          <w:tab w:pos="7989" w:val="left" w:leader="none"/>
          <w:tab w:pos="8143" w:val="left" w:leader="none"/>
        </w:tabs>
        <w:spacing w:line="242" w:lineRule="auto" w:before="104"/>
        <w:ind w:left="283" w:right="335" w:firstLine="453"/>
        <w:rPr>
          <w:rFonts w:ascii="Arial MT" w:hAnsi="Arial MT"/>
          <w:position w:val="8"/>
          <w:sz w:val="18"/>
        </w:rPr>
      </w:pPr>
      <w:r>
        <w:rPr>
          <w:color w:val="231F1F"/>
          <w:w w:val="110"/>
        </w:rPr>
        <w:t>Cuando</w:t>
      </w:r>
      <w:r>
        <w:rPr>
          <w:color w:val="231F1F"/>
          <w:spacing w:val="-13"/>
          <w:w w:val="110"/>
        </w:rPr>
        <w:t> </w:t>
      </w:r>
      <w:r>
        <w:rPr>
          <w:color w:val="231F1F"/>
          <w:w w:val="110"/>
        </w:rPr>
        <w:t>se</w:t>
      </w:r>
      <w:r>
        <w:rPr>
          <w:color w:val="231F1F"/>
          <w:spacing w:val="-9"/>
          <w:w w:val="110"/>
        </w:rPr>
        <w:t> </w:t>
      </w:r>
      <w:r>
        <w:rPr>
          <w:color w:val="231F1F"/>
          <w:w w:val="110"/>
        </w:rPr>
        <w:t>comparan</w:t>
      </w:r>
      <w:r>
        <w:rPr>
          <w:color w:val="231F1F"/>
          <w:spacing w:val="-9"/>
          <w:w w:val="110"/>
        </w:rPr>
        <w:t> </w:t>
      </w:r>
      <w:r>
        <w:rPr>
          <w:color w:val="231F1F"/>
          <w:w w:val="110"/>
        </w:rPr>
        <w:t>partograma</w:t>
      </w:r>
      <w:r>
        <w:rPr>
          <w:color w:val="231F1F"/>
          <w:spacing w:val="-9"/>
          <w:w w:val="110"/>
        </w:rPr>
        <w:t> </w:t>
      </w:r>
      <w:r>
        <w:rPr>
          <w:color w:val="231F1F"/>
          <w:w w:val="110"/>
        </w:rPr>
        <w:t>con</w:t>
      </w:r>
      <w:r>
        <w:rPr>
          <w:color w:val="231F1F"/>
          <w:spacing w:val="-9"/>
          <w:w w:val="110"/>
        </w:rPr>
        <w:t> </w:t>
      </w:r>
      <w:r>
        <w:rPr>
          <w:i/>
          <w:color w:val="231F1F"/>
          <w:w w:val="110"/>
        </w:rPr>
        <w:t>línea</w:t>
      </w:r>
      <w:r>
        <w:rPr>
          <w:i/>
          <w:color w:val="231F1F"/>
          <w:spacing w:val="-12"/>
          <w:w w:val="110"/>
        </w:rPr>
        <w:t> </w:t>
      </w:r>
      <w:r>
        <w:rPr>
          <w:i/>
          <w:color w:val="231F1F"/>
          <w:w w:val="110"/>
        </w:rPr>
        <w:t>de</w:t>
      </w:r>
      <w:r>
        <w:rPr>
          <w:i/>
          <w:color w:val="231F1F"/>
          <w:spacing w:val="-13"/>
          <w:w w:val="110"/>
        </w:rPr>
        <w:t> </w:t>
      </w:r>
      <w:r>
        <w:rPr>
          <w:i/>
          <w:color w:val="231F1F"/>
          <w:w w:val="110"/>
        </w:rPr>
        <w:t>acción</w:t>
      </w:r>
      <w:r>
        <w:rPr>
          <w:i/>
          <w:color w:val="231F1F"/>
          <w:spacing w:val="-13"/>
          <w:w w:val="110"/>
        </w:rPr>
        <w:t> </w:t>
      </w:r>
      <w:r>
        <w:rPr>
          <w:i/>
          <w:color w:val="231F1F"/>
          <w:w w:val="110"/>
        </w:rPr>
        <w:t>de</w:t>
      </w:r>
      <w:r>
        <w:rPr>
          <w:i/>
          <w:color w:val="231F1F"/>
          <w:spacing w:val="-13"/>
          <w:w w:val="110"/>
        </w:rPr>
        <w:t> </w:t>
      </w:r>
      <w:r>
        <w:rPr>
          <w:i/>
          <w:color w:val="231F1F"/>
          <w:w w:val="110"/>
        </w:rPr>
        <w:t>3</w:t>
      </w:r>
      <w:r>
        <w:rPr>
          <w:i/>
          <w:color w:val="231F1F"/>
          <w:spacing w:val="-13"/>
          <w:w w:val="110"/>
        </w:rPr>
        <w:t> </w:t>
      </w:r>
      <w:r>
        <w:rPr>
          <w:i/>
          <w:color w:val="231F1F"/>
          <w:w w:val="110"/>
        </w:rPr>
        <w:t>horas</w:t>
      </w:r>
      <w:r>
        <w:rPr>
          <w:color w:val="231F1F"/>
          <w:w w:val="110"/>
        </w:rPr>
        <w:t>,</w:t>
      </w:r>
      <w:r>
        <w:rPr>
          <w:color w:val="231F1F"/>
          <w:spacing w:val="-10"/>
          <w:w w:val="110"/>
        </w:rPr>
        <w:t> </w:t>
      </w:r>
      <w:r>
        <w:rPr>
          <w:color w:val="231F1F"/>
          <w:w w:val="110"/>
        </w:rPr>
        <w:t>frente</w:t>
      </w:r>
      <w:r>
        <w:rPr>
          <w:color w:val="231F1F"/>
          <w:spacing w:val="68"/>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al de 4 h, la tasa de cesáreas fue mayor para el grupo con el partograma de</w:t>
      </w:r>
      <w:r>
        <w:rPr>
          <w:color w:val="231F1F"/>
        </w:rPr>
        <w:tab/>
      </w:r>
      <w:r>
        <w:rPr>
          <w:rFonts w:ascii="Arial MT" w:hAnsi="Arial MT"/>
          <w:color w:val="231F1F"/>
          <w:spacing w:val="-4"/>
          <w:w w:val="110"/>
          <w:position w:val="4"/>
          <w:sz w:val="18"/>
        </w:rPr>
        <w:t>ECAs </w:t>
      </w:r>
      <w:r>
        <w:rPr>
          <w:color w:val="231F1F"/>
          <w:w w:val="110"/>
        </w:rPr>
        <w:t>línea de acción de 3 h (n=613) RR 1,70, [IC 95%1,07 a 2,70].</w:t>
      </w:r>
      <w:r>
        <w:rPr>
          <w:color w:val="231F1F"/>
        </w:rPr>
        <w:tab/>
        <w:tab/>
      </w:r>
      <w:r>
        <w:rPr>
          <w:rFonts w:ascii="Arial MT" w:hAnsi="Arial MT"/>
          <w:color w:val="231F1F"/>
          <w:spacing w:val="-6"/>
          <w:w w:val="110"/>
          <w:position w:val="8"/>
          <w:sz w:val="18"/>
        </w:rPr>
        <w:t>Ia</w:t>
      </w:r>
    </w:p>
    <w:p>
      <w:pPr>
        <w:pStyle w:val="BodyText"/>
        <w:spacing w:line="249" w:lineRule="auto" w:before="60"/>
        <w:ind w:left="283" w:right="1369" w:firstLine="453"/>
        <w:jc w:val="both"/>
      </w:pPr>
      <w:r>
        <w:rPr>
          <w:color w:val="231F1F"/>
          <w:w w:val="105"/>
        </w:rPr>
        <w:t>En</w:t>
      </w:r>
      <w:r>
        <w:rPr>
          <w:color w:val="231F1F"/>
          <w:w w:val="105"/>
        </w:rPr>
        <w:t> base</w:t>
      </w:r>
      <w:r>
        <w:rPr>
          <w:color w:val="231F1F"/>
          <w:w w:val="105"/>
        </w:rPr>
        <w:t> a</w:t>
      </w:r>
      <w:r>
        <w:rPr>
          <w:color w:val="231F1F"/>
          <w:w w:val="105"/>
        </w:rPr>
        <w:t> los</w:t>
      </w:r>
      <w:r>
        <w:rPr>
          <w:color w:val="231F1F"/>
          <w:w w:val="105"/>
        </w:rPr>
        <w:t> resultados</w:t>
      </w:r>
      <w:r>
        <w:rPr>
          <w:color w:val="231F1F"/>
          <w:w w:val="105"/>
        </w:rPr>
        <w:t> hallados,</w:t>
      </w:r>
      <w:r>
        <w:rPr>
          <w:color w:val="231F1F"/>
          <w:w w:val="105"/>
        </w:rPr>
        <w:t> la</w:t>
      </w:r>
      <w:r>
        <w:rPr>
          <w:color w:val="231F1F"/>
          <w:w w:val="105"/>
        </w:rPr>
        <w:t> RS</w:t>
      </w:r>
      <w:r>
        <w:rPr>
          <w:color w:val="231F1F"/>
          <w:w w:val="105"/>
        </w:rPr>
        <w:t> concluye</w:t>
      </w:r>
      <w:r>
        <w:rPr>
          <w:color w:val="231F1F"/>
          <w:w w:val="105"/>
        </w:rPr>
        <w:t> diciendo</w:t>
      </w:r>
      <w:r>
        <w:rPr>
          <w:color w:val="231F1F"/>
          <w:w w:val="105"/>
        </w:rPr>
        <w:t> que</w:t>
      </w:r>
      <w:r>
        <w:rPr>
          <w:color w:val="231F1F"/>
          <w:w w:val="105"/>
        </w:rPr>
        <w:t> no</w:t>
      </w:r>
      <w:r>
        <w:rPr>
          <w:color w:val="231F1F"/>
          <w:w w:val="105"/>
        </w:rPr>
        <w:t> se puede recomendar el uso del partograma rutinario durante el parto y que son necesarios nuevos ensayos para establecer la eficacia del uso del partograma.</w:t>
      </w:r>
    </w:p>
    <w:p>
      <w:pPr>
        <w:pStyle w:val="BodyText"/>
        <w:spacing w:line="244" w:lineRule="auto" w:before="142"/>
        <w:ind w:left="283" w:right="1376" w:firstLine="453"/>
        <w:jc w:val="both"/>
      </w:pPr>
      <w:r>
        <w:rPr>
          <w:color w:val="231F1F"/>
          <w:w w:val="110"/>
        </w:rPr>
        <w:t>Debido a la importante inconsistencia encontrada sobre la efectividad del uso del partograma en diferentes resultados clínicos, el GEG no puede</w:t>
      </w:r>
    </w:p>
    <w:p>
      <w:pPr>
        <w:pStyle w:val="BodyText"/>
        <w:spacing w:after="0" w:line="244" w:lineRule="auto"/>
        <w:jc w:val="both"/>
        <w:sectPr>
          <w:pgSz w:w="11900" w:h="16840"/>
          <w:pgMar w:header="0" w:footer="622" w:top="1580" w:bottom="820" w:left="1417" w:right="1559"/>
        </w:sectPr>
      </w:pPr>
    </w:p>
    <w:p>
      <w:pPr>
        <w:pStyle w:val="BodyText"/>
        <w:spacing w:line="247" w:lineRule="auto" w:before="73"/>
        <w:ind w:left="283" w:right="1372"/>
        <w:jc w:val="both"/>
      </w:pPr>
      <w:r>
        <w:rPr>
          <w:color w:val="231F1F"/>
          <w:w w:val="110"/>
        </w:rPr>
        <w:t>recomendar</w:t>
      </w:r>
      <w:r>
        <w:rPr>
          <w:color w:val="231F1F"/>
          <w:spacing w:val="-7"/>
          <w:w w:val="110"/>
        </w:rPr>
        <w:t> </w:t>
      </w:r>
      <w:r>
        <w:rPr>
          <w:color w:val="231F1F"/>
          <w:w w:val="110"/>
        </w:rPr>
        <w:t>o</w:t>
      </w:r>
      <w:r>
        <w:rPr>
          <w:color w:val="231F1F"/>
          <w:spacing w:val="-7"/>
          <w:w w:val="110"/>
        </w:rPr>
        <w:t> </w:t>
      </w:r>
      <w:r>
        <w:rPr>
          <w:color w:val="231F1F"/>
          <w:w w:val="110"/>
        </w:rPr>
        <w:t>no</w:t>
      </w:r>
      <w:r>
        <w:rPr>
          <w:color w:val="231F1F"/>
          <w:spacing w:val="-7"/>
          <w:w w:val="110"/>
        </w:rPr>
        <w:t> </w:t>
      </w:r>
      <w:r>
        <w:rPr>
          <w:color w:val="231F1F"/>
          <w:w w:val="110"/>
        </w:rPr>
        <w:t>su</w:t>
      </w:r>
      <w:r>
        <w:rPr>
          <w:color w:val="231F1F"/>
          <w:spacing w:val="-7"/>
          <w:w w:val="110"/>
        </w:rPr>
        <w:t> </w:t>
      </w:r>
      <w:r>
        <w:rPr>
          <w:color w:val="231F1F"/>
          <w:w w:val="110"/>
        </w:rPr>
        <w:t>uso</w:t>
      </w:r>
      <w:r>
        <w:rPr>
          <w:color w:val="231F1F"/>
          <w:spacing w:val="-7"/>
          <w:w w:val="110"/>
        </w:rPr>
        <w:t> </w:t>
      </w:r>
      <w:r>
        <w:rPr>
          <w:color w:val="231F1F"/>
          <w:w w:val="110"/>
        </w:rPr>
        <w:t>sistemático.</w:t>
      </w:r>
      <w:r>
        <w:rPr>
          <w:color w:val="231F1F"/>
          <w:spacing w:val="-8"/>
          <w:w w:val="110"/>
        </w:rPr>
        <w:t> </w:t>
      </w:r>
      <w:r>
        <w:rPr>
          <w:color w:val="231F1F"/>
          <w:w w:val="110"/>
        </w:rPr>
        <w:t>En</w:t>
      </w:r>
      <w:r>
        <w:rPr>
          <w:color w:val="231F1F"/>
          <w:spacing w:val="-7"/>
          <w:w w:val="110"/>
        </w:rPr>
        <w:t> </w:t>
      </w:r>
      <w:r>
        <w:rPr>
          <w:color w:val="231F1F"/>
          <w:w w:val="110"/>
        </w:rPr>
        <w:t>cambio,</w:t>
      </w:r>
      <w:r>
        <w:rPr>
          <w:color w:val="231F1F"/>
          <w:spacing w:val="-7"/>
          <w:w w:val="110"/>
        </w:rPr>
        <w:t> </w:t>
      </w:r>
      <w:r>
        <w:rPr>
          <w:color w:val="231F1F"/>
          <w:w w:val="110"/>
        </w:rPr>
        <w:t>sí</w:t>
      </w:r>
      <w:r>
        <w:rPr>
          <w:color w:val="231F1F"/>
          <w:spacing w:val="-7"/>
          <w:w w:val="110"/>
        </w:rPr>
        <w:t> </w:t>
      </w:r>
      <w:r>
        <w:rPr>
          <w:color w:val="231F1F"/>
          <w:w w:val="110"/>
        </w:rPr>
        <w:t>existe</w:t>
      </w:r>
      <w:r>
        <w:rPr>
          <w:color w:val="231F1F"/>
          <w:spacing w:val="-7"/>
          <w:w w:val="110"/>
        </w:rPr>
        <w:t> </w:t>
      </w:r>
      <w:r>
        <w:rPr>
          <w:color w:val="231F1F"/>
          <w:w w:val="110"/>
        </w:rPr>
        <w:t>evidencia</w:t>
      </w:r>
      <w:r>
        <w:rPr>
          <w:color w:val="231F1F"/>
          <w:spacing w:val="-7"/>
          <w:w w:val="110"/>
        </w:rPr>
        <w:t> </w:t>
      </w:r>
      <w:r>
        <w:rPr>
          <w:color w:val="231F1F"/>
          <w:w w:val="110"/>
        </w:rPr>
        <w:t>para</w:t>
      </w:r>
      <w:r>
        <w:rPr>
          <w:color w:val="231F1F"/>
          <w:spacing w:val="-7"/>
          <w:w w:val="110"/>
        </w:rPr>
        <w:t> </w:t>
      </w:r>
      <w:r>
        <w:rPr>
          <w:color w:val="231F1F"/>
          <w:w w:val="110"/>
        </w:rPr>
        <w:t>re- comendar,</w:t>
      </w:r>
      <w:r>
        <w:rPr>
          <w:color w:val="231F1F"/>
          <w:spacing w:val="-10"/>
          <w:w w:val="110"/>
        </w:rPr>
        <w:t> </w:t>
      </w:r>
      <w:r>
        <w:rPr>
          <w:color w:val="231F1F"/>
          <w:w w:val="110"/>
        </w:rPr>
        <w:t>en</w:t>
      </w:r>
      <w:r>
        <w:rPr>
          <w:color w:val="231F1F"/>
          <w:spacing w:val="-10"/>
          <w:w w:val="110"/>
        </w:rPr>
        <w:t> </w:t>
      </w:r>
      <w:r>
        <w:rPr>
          <w:color w:val="231F1F"/>
          <w:w w:val="110"/>
        </w:rPr>
        <w:t>el</w:t>
      </w:r>
      <w:r>
        <w:rPr>
          <w:color w:val="231F1F"/>
          <w:spacing w:val="-10"/>
          <w:w w:val="110"/>
        </w:rPr>
        <w:t> </w:t>
      </w:r>
      <w:r>
        <w:rPr>
          <w:color w:val="231F1F"/>
          <w:w w:val="110"/>
        </w:rPr>
        <w:t>caso</w:t>
      </w:r>
      <w:r>
        <w:rPr>
          <w:color w:val="231F1F"/>
          <w:spacing w:val="-10"/>
          <w:w w:val="110"/>
        </w:rPr>
        <w:t> </w:t>
      </w:r>
      <w:r>
        <w:rPr>
          <w:color w:val="231F1F"/>
          <w:w w:val="110"/>
        </w:rPr>
        <w:t>de</w:t>
      </w:r>
      <w:r>
        <w:rPr>
          <w:color w:val="231F1F"/>
          <w:spacing w:val="-10"/>
          <w:w w:val="110"/>
        </w:rPr>
        <w:t> </w:t>
      </w:r>
      <w:r>
        <w:rPr>
          <w:color w:val="231F1F"/>
          <w:w w:val="110"/>
        </w:rPr>
        <w:t>que</w:t>
      </w:r>
      <w:r>
        <w:rPr>
          <w:color w:val="231F1F"/>
          <w:spacing w:val="-10"/>
          <w:w w:val="110"/>
        </w:rPr>
        <w:t> </w:t>
      </w:r>
      <w:r>
        <w:rPr>
          <w:color w:val="231F1F"/>
          <w:w w:val="110"/>
        </w:rPr>
        <w:t>se</w:t>
      </w:r>
      <w:r>
        <w:rPr>
          <w:color w:val="231F1F"/>
          <w:spacing w:val="-10"/>
          <w:w w:val="110"/>
        </w:rPr>
        <w:t> </w:t>
      </w:r>
      <w:r>
        <w:rPr>
          <w:color w:val="231F1F"/>
          <w:w w:val="110"/>
        </w:rPr>
        <w:t>elija</w:t>
      </w:r>
      <w:r>
        <w:rPr>
          <w:color w:val="231F1F"/>
          <w:spacing w:val="-10"/>
          <w:w w:val="110"/>
        </w:rPr>
        <w:t> </w:t>
      </w:r>
      <w:r>
        <w:rPr>
          <w:color w:val="231F1F"/>
          <w:w w:val="110"/>
        </w:rPr>
        <w:t>el</w:t>
      </w:r>
      <w:r>
        <w:rPr>
          <w:color w:val="231F1F"/>
          <w:spacing w:val="-10"/>
          <w:w w:val="110"/>
        </w:rPr>
        <w:t> </w:t>
      </w:r>
      <w:r>
        <w:rPr>
          <w:color w:val="231F1F"/>
          <w:w w:val="110"/>
        </w:rPr>
        <w:t>uso</w:t>
      </w:r>
      <w:r>
        <w:rPr>
          <w:color w:val="231F1F"/>
          <w:spacing w:val="-10"/>
          <w:w w:val="110"/>
        </w:rPr>
        <w:t> </w:t>
      </w:r>
      <w:r>
        <w:rPr>
          <w:color w:val="231F1F"/>
          <w:w w:val="110"/>
        </w:rPr>
        <w:t>de</w:t>
      </w:r>
      <w:r>
        <w:rPr>
          <w:color w:val="231F1F"/>
          <w:spacing w:val="-10"/>
          <w:w w:val="110"/>
        </w:rPr>
        <w:t> </w:t>
      </w:r>
      <w:r>
        <w:rPr>
          <w:color w:val="231F1F"/>
          <w:w w:val="110"/>
        </w:rPr>
        <w:t>partogramas,</w:t>
      </w:r>
      <w:r>
        <w:rPr>
          <w:color w:val="231F1F"/>
          <w:spacing w:val="-11"/>
          <w:w w:val="110"/>
        </w:rPr>
        <w:t> </w:t>
      </w:r>
      <w:r>
        <w:rPr>
          <w:color w:val="231F1F"/>
          <w:w w:val="110"/>
        </w:rPr>
        <w:t>que</w:t>
      </w:r>
      <w:r>
        <w:rPr>
          <w:color w:val="231F1F"/>
          <w:spacing w:val="-10"/>
          <w:w w:val="110"/>
        </w:rPr>
        <w:t> </w:t>
      </w:r>
      <w:r>
        <w:rPr>
          <w:color w:val="231F1F"/>
          <w:w w:val="110"/>
        </w:rPr>
        <w:t>éstos</w:t>
      </w:r>
      <w:r>
        <w:rPr>
          <w:color w:val="231F1F"/>
          <w:spacing w:val="-10"/>
          <w:w w:val="110"/>
        </w:rPr>
        <w:t> </w:t>
      </w:r>
      <w:r>
        <w:rPr>
          <w:color w:val="231F1F"/>
          <w:w w:val="110"/>
        </w:rPr>
        <w:t>tengan una</w:t>
      </w:r>
      <w:r>
        <w:rPr>
          <w:color w:val="231F1F"/>
          <w:spacing w:val="-16"/>
          <w:w w:val="110"/>
        </w:rPr>
        <w:t> </w:t>
      </w:r>
      <w:r>
        <w:rPr>
          <w:color w:val="231F1F"/>
          <w:w w:val="110"/>
        </w:rPr>
        <w:t>línea</w:t>
      </w:r>
      <w:r>
        <w:rPr>
          <w:color w:val="231F1F"/>
          <w:spacing w:val="-15"/>
          <w:w w:val="110"/>
        </w:rPr>
        <w:t> </w:t>
      </w:r>
      <w:r>
        <w:rPr>
          <w:color w:val="231F1F"/>
          <w:w w:val="110"/>
        </w:rPr>
        <w:t>de</w:t>
      </w:r>
      <w:r>
        <w:rPr>
          <w:color w:val="231F1F"/>
          <w:spacing w:val="-15"/>
          <w:w w:val="110"/>
        </w:rPr>
        <w:t> </w:t>
      </w:r>
      <w:r>
        <w:rPr>
          <w:color w:val="231F1F"/>
          <w:w w:val="110"/>
        </w:rPr>
        <w:t>acción</w:t>
      </w:r>
      <w:r>
        <w:rPr>
          <w:color w:val="231F1F"/>
          <w:spacing w:val="-15"/>
          <w:w w:val="110"/>
        </w:rPr>
        <w:t> </w:t>
      </w:r>
      <w:r>
        <w:rPr>
          <w:color w:val="231F1F"/>
          <w:w w:val="110"/>
        </w:rPr>
        <w:t>de</w:t>
      </w:r>
      <w:r>
        <w:rPr>
          <w:color w:val="231F1F"/>
          <w:spacing w:val="-15"/>
          <w:w w:val="110"/>
        </w:rPr>
        <w:t> </w:t>
      </w:r>
      <w:r>
        <w:rPr>
          <w:color w:val="231F1F"/>
          <w:w w:val="110"/>
        </w:rPr>
        <w:t>4h,</w:t>
      </w:r>
      <w:r>
        <w:rPr>
          <w:color w:val="231F1F"/>
          <w:spacing w:val="-15"/>
          <w:w w:val="110"/>
        </w:rPr>
        <w:t> </w:t>
      </w:r>
      <w:r>
        <w:rPr>
          <w:color w:val="231F1F"/>
          <w:w w:val="110"/>
        </w:rPr>
        <w:t>ya</w:t>
      </w:r>
      <w:r>
        <w:rPr>
          <w:color w:val="231F1F"/>
          <w:spacing w:val="-15"/>
          <w:w w:val="110"/>
        </w:rPr>
        <w:t> </w:t>
      </w:r>
      <w:r>
        <w:rPr>
          <w:color w:val="231F1F"/>
          <w:w w:val="110"/>
        </w:rPr>
        <w:t>que</w:t>
      </w:r>
      <w:r>
        <w:rPr>
          <w:color w:val="231F1F"/>
          <w:spacing w:val="-15"/>
          <w:w w:val="110"/>
        </w:rPr>
        <w:t> </w:t>
      </w:r>
      <w:r>
        <w:rPr>
          <w:color w:val="231F1F"/>
          <w:w w:val="110"/>
        </w:rPr>
        <w:t>líneas</w:t>
      </w:r>
      <w:r>
        <w:rPr>
          <w:color w:val="231F1F"/>
          <w:spacing w:val="-16"/>
          <w:w w:val="110"/>
        </w:rPr>
        <w:t> </w:t>
      </w:r>
      <w:r>
        <w:rPr>
          <w:color w:val="231F1F"/>
          <w:w w:val="110"/>
        </w:rPr>
        <w:t>de</w:t>
      </w:r>
      <w:r>
        <w:rPr>
          <w:color w:val="231F1F"/>
          <w:spacing w:val="-15"/>
          <w:w w:val="110"/>
        </w:rPr>
        <w:t> </w:t>
      </w:r>
      <w:r>
        <w:rPr>
          <w:color w:val="231F1F"/>
          <w:w w:val="110"/>
        </w:rPr>
        <w:t>acción</w:t>
      </w:r>
      <w:r>
        <w:rPr>
          <w:color w:val="231F1F"/>
          <w:spacing w:val="-15"/>
          <w:w w:val="110"/>
        </w:rPr>
        <w:t> </w:t>
      </w:r>
      <w:r>
        <w:rPr>
          <w:color w:val="231F1F"/>
          <w:w w:val="110"/>
        </w:rPr>
        <w:t>de</w:t>
      </w:r>
      <w:r>
        <w:rPr>
          <w:color w:val="231F1F"/>
          <w:spacing w:val="-15"/>
          <w:w w:val="110"/>
        </w:rPr>
        <w:t> </w:t>
      </w:r>
      <w:r>
        <w:rPr>
          <w:color w:val="231F1F"/>
          <w:w w:val="110"/>
        </w:rPr>
        <w:t>2</w:t>
      </w:r>
      <w:r>
        <w:rPr>
          <w:color w:val="231F1F"/>
          <w:spacing w:val="-15"/>
          <w:w w:val="110"/>
        </w:rPr>
        <w:t> </w:t>
      </w:r>
      <w:r>
        <w:rPr>
          <w:color w:val="231F1F"/>
          <w:w w:val="110"/>
        </w:rPr>
        <w:t>y</w:t>
      </w:r>
      <w:r>
        <w:rPr>
          <w:color w:val="231F1F"/>
          <w:spacing w:val="-15"/>
          <w:w w:val="110"/>
        </w:rPr>
        <w:t> </w:t>
      </w:r>
      <w:r>
        <w:rPr>
          <w:color w:val="231F1F"/>
          <w:w w:val="110"/>
        </w:rPr>
        <w:t>3</w:t>
      </w:r>
      <w:r>
        <w:rPr>
          <w:color w:val="231F1F"/>
          <w:spacing w:val="-15"/>
          <w:w w:val="110"/>
        </w:rPr>
        <w:t> </w:t>
      </w:r>
      <w:r>
        <w:rPr>
          <w:color w:val="231F1F"/>
          <w:w w:val="110"/>
        </w:rPr>
        <w:t>horas</w:t>
      </w:r>
      <w:r>
        <w:rPr>
          <w:color w:val="231F1F"/>
          <w:spacing w:val="-15"/>
          <w:w w:val="110"/>
        </w:rPr>
        <w:t> </w:t>
      </w:r>
      <w:r>
        <w:rPr>
          <w:color w:val="231F1F"/>
          <w:w w:val="110"/>
        </w:rPr>
        <w:t>incrementan las intervenciones, sin obtener beneficios maternos ni fetales.</w:t>
      </w:r>
    </w:p>
    <w:p>
      <w:pPr>
        <w:pStyle w:val="BodyText"/>
        <w:spacing w:before="129"/>
        <w:ind w:left="736"/>
        <w:jc w:val="both"/>
      </w:pPr>
      <w:r>
        <w:rPr>
          <w:color w:val="231F1F"/>
          <w:w w:val="110"/>
        </w:rPr>
        <w:t>Ver</w:t>
      </w:r>
      <w:r>
        <w:rPr>
          <w:color w:val="231F1F"/>
          <w:spacing w:val="-16"/>
          <w:w w:val="110"/>
        </w:rPr>
        <w:t> </w:t>
      </w:r>
      <w:r>
        <w:rPr>
          <w:color w:val="231F1F"/>
          <w:w w:val="110"/>
        </w:rPr>
        <w:t>anexo</w:t>
      </w:r>
      <w:r>
        <w:rPr>
          <w:color w:val="231F1F"/>
          <w:spacing w:val="-12"/>
          <w:w w:val="110"/>
        </w:rPr>
        <w:t> </w:t>
      </w:r>
      <w:r>
        <w:rPr>
          <w:color w:val="231F1F"/>
          <w:spacing w:val="-4"/>
          <w:w w:val="110"/>
        </w:rPr>
        <w:t>4.1.</w:t>
      </w:r>
    </w:p>
    <w:p>
      <w:pPr>
        <w:pStyle w:val="BodyText"/>
        <w:spacing w:before="175"/>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37" w:hRule="atLeast"/>
        </w:trPr>
        <w:tc>
          <w:tcPr>
            <w:tcW w:w="7373" w:type="dxa"/>
          </w:tcPr>
          <w:p>
            <w:pPr>
              <w:pStyle w:val="TableParagraph"/>
              <w:spacing w:line="249" w:lineRule="auto" w:before="44"/>
              <w:ind w:right="84"/>
              <w:jc w:val="both"/>
              <w:rPr>
                <w:sz w:val="22"/>
              </w:rPr>
            </w:pPr>
            <w:r>
              <w:rPr>
                <w:i/>
                <w:color w:val="231F1F"/>
                <w:w w:val="105"/>
                <w:sz w:val="22"/>
              </w:rPr>
              <w:t>El</w:t>
            </w:r>
            <w:r>
              <w:rPr>
                <w:i/>
                <w:color w:val="231F1F"/>
                <w:w w:val="105"/>
                <w:sz w:val="22"/>
              </w:rPr>
              <w:t> uso,</w:t>
            </w:r>
            <w:r>
              <w:rPr>
                <w:i/>
                <w:color w:val="231F1F"/>
                <w:w w:val="105"/>
                <w:sz w:val="22"/>
              </w:rPr>
              <w:t> frente</w:t>
            </w:r>
            <w:r>
              <w:rPr>
                <w:i/>
                <w:color w:val="231F1F"/>
                <w:w w:val="105"/>
                <w:sz w:val="22"/>
              </w:rPr>
              <w:t> al</w:t>
            </w:r>
            <w:r>
              <w:rPr>
                <w:i/>
                <w:color w:val="231F1F"/>
                <w:w w:val="105"/>
                <w:sz w:val="22"/>
              </w:rPr>
              <w:t> no</w:t>
            </w:r>
            <w:r>
              <w:rPr>
                <w:i/>
                <w:color w:val="231F1F"/>
                <w:w w:val="105"/>
                <w:sz w:val="22"/>
              </w:rPr>
              <w:t> uso</w:t>
            </w:r>
            <w:r>
              <w:rPr>
                <w:color w:val="231F1F"/>
                <w:w w:val="105"/>
                <w:sz w:val="22"/>
              </w:rPr>
              <w:t>, del</w:t>
            </w:r>
            <w:r>
              <w:rPr>
                <w:color w:val="231F1F"/>
                <w:w w:val="105"/>
                <w:sz w:val="22"/>
              </w:rPr>
              <w:t> partograma parece reducir la proporción de partos con duración mayor de 18 horas, uso de oxitocina, tasa de sepsis pos- parto</w:t>
            </w:r>
            <w:r>
              <w:rPr>
                <w:color w:val="231F1F"/>
                <w:w w:val="105"/>
                <w:sz w:val="22"/>
              </w:rPr>
              <w:t> y</w:t>
            </w:r>
            <w:r>
              <w:rPr>
                <w:color w:val="231F1F"/>
                <w:w w:val="105"/>
                <w:sz w:val="22"/>
              </w:rPr>
              <w:t> las</w:t>
            </w:r>
            <w:r>
              <w:rPr>
                <w:color w:val="231F1F"/>
                <w:w w:val="105"/>
                <w:sz w:val="22"/>
              </w:rPr>
              <w:t> tasas</w:t>
            </w:r>
            <w:r>
              <w:rPr>
                <w:color w:val="231F1F"/>
                <w:w w:val="105"/>
                <w:sz w:val="22"/>
              </w:rPr>
              <w:t> de</w:t>
            </w:r>
            <w:r>
              <w:rPr>
                <w:color w:val="231F1F"/>
                <w:w w:val="105"/>
                <w:sz w:val="22"/>
              </w:rPr>
              <w:t> cesáreas,</w:t>
            </w:r>
            <w:r>
              <w:rPr>
                <w:color w:val="231F1F"/>
                <w:w w:val="105"/>
                <w:sz w:val="22"/>
              </w:rPr>
              <w:t> mientras</w:t>
            </w:r>
            <w:r>
              <w:rPr>
                <w:color w:val="231F1F"/>
                <w:w w:val="105"/>
                <w:sz w:val="22"/>
              </w:rPr>
              <w:t> que</w:t>
            </w:r>
            <w:r>
              <w:rPr>
                <w:color w:val="231F1F"/>
                <w:w w:val="105"/>
                <w:sz w:val="22"/>
              </w:rPr>
              <w:t> incrementa</w:t>
            </w:r>
            <w:r>
              <w:rPr>
                <w:color w:val="231F1F"/>
                <w:w w:val="105"/>
                <w:sz w:val="22"/>
              </w:rPr>
              <w:t> el</w:t>
            </w:r>
            <w:r>
              <w:rPr>
                <w:color w:val="231F1F"/>
                <w:w w:val="105"/>
                <w:sz w:val="22"/>
              </w:rPr>
              <w:t> índice</w:t>
            </w:r>
            <w:r>
              <w:rPr>
                <w:color w:val="231F1F"/>
                <w:w w:val="105"/>
                <w:sz w:val="22"/>
              </w:rPr>
              <w:t> de</w:t>
            </w:r>
            <w:r>
              <w:rPr>
                <w:color w:val="231F1F"/>
                <w:w w:val="105"/>
                <w:sz w:val="22"/>
              </w:rPr>
              <w:t> partos espontáneos (61).</w:t>
            </w:r>
          </w:p>
        </w:tc>
        <w:tc>
          <w:tcPr>
            <w:tcW w:w="1133" w:type="dxa"/>
          </w:tcPr>
          <w:p>
            <w:pPr>
              <w:pStyle w:val="TableParagraph"/>
              <w:spacing w:before="203"/>
              <w:ind w:left="0"/>
              <w:rPr>
                <w:rFonts w:ascii="Arial MT"/>
                <w:sz w:val="22"/>
              </w:rPr>
            </w:pPr>
          </w:p>
          <w:p>
            <w:pPr>
              <w:pStyle w:val="TableParagraph"/>
              <w:spacing w:before="1"/>
              <w:ind w:left="49" w:right="22"/>
              <w:jc w:val="center"/>
              <w:rPr>
                <w:sz w:val="22"/>
              </w:rPr>
            </w:pPr>
            <w:r>
              <w:rPr>
                <w:color w:val="231F1F"/>
                <w:spacing w:val="-5"/>
                <w:w w:val="115"/>
                <w:sz w:val="22"/>
              </w:rPr>
              <w:t>II</w:t>
            </w:r>
          </w:p>
        </w:tc>
      </w:tr>
      <w:tr>
        <w:trPr>
          <w:trHeight w:val="964" w:hRule="atLeast"/>
        </w:trPr>
        <w:tc>
          <w:tcPr>
            <w:tcW w:w="7373" w:type="dxa"/>
          </w:tcPr>
          <w:p>
            <w:pPr>
              <w:pStyle w:val="TableParagraph"/>
              <w:spacing w:line="244" w:lineRule="auto" w:before="53"/>
              <w:ind w:right="88"/>
              <w:jc w:val="both"/>
              <w:rPr>
                <w:sz w:val="22"/>
              </w:rPr>
            </w:pPr>
            <w:r>
              <w:rPr>
                <w:color w:val="231F1F"/>
                <w:w w:val="105"/>
                <w:sz w:val="22"/>
              </w:rPr>
              <w:t>No existe evidencia de diferencias </w:t>
            </w:r>
            <w:r>
              <w:rPr>
                <w:i/>
                <w:color w:val="231F1F"/>
                <w:w w:val="105"/>
                <w:sz w:val="22"/>
              </w:rPr>
              <w:t>entre</w:t>
            </w:r>
            <w:r>
              <w:rPr>
                <w:i/>
                <w:color w:val="231F1F"/>
                <w:spacing w:val="-11"/>
                <w:w w:val="105"/>
                <w:sz w:val="22"/>
              </w:rPr>
              <w:t> </w:t>
            </w:r>
            <w:r>
              <w:rPr>
                <w:i/>
                <w:color w:val="231F1F"/>
                <w:w w:val="105"/>
                <w:sz w:val="22"/>
              </w:rPr>
              <w:t>el</w:t>
            </w:r>
            <w:r>
              <w:rPr>
                <w:i/>
                <w:color w:val="231F1F"/>
                <w:spacing w:val="-11"/>
                <w:w w:val="105"/>
                <w:sz w:val="22"/>
              </w:rPr>
              <w:t> </w:t>
            </w:r>
            <w:r>
              <w:rPr>
                <w:i/>
                <w:color w:val="231F1F"/>
                <w:w w:val="105"/>
                <w:sz w:val="22"/>
              </w:rPr>
              <w:t>uso</w:t>
            </w:r>
            <w:r>
              <w:rPr>
                <w:i/>
                <w:color w:val="231F1F"/>
                <w:spacing w:val="-11"/>
                <w:w w:val="105"/>
                <w:sz w:val="22"/>
              </w:rPr>
              <w:t> </w:t>
            </w:r>
            <w:r>
              <w:rPr>
                <w:i/>
                <w:color w:val="231F1F"/>
                <w:w w:val="105"/>
                <w:sz w:val="22"/>
              </w:rPr>
              <w:t>y</w:t>
            </w:r>
            <w:r>
              <w:rPr>
                <w:i/>
                <w:color w:val="231F1F"/>
                <w:spacing w:val="-11"/>
                <w:w w:val="105"/>
                <w:sz w:val="22"/>
              </w:rPr>
              <w:t> </w:t>
            </w:r>
            <w:r>
              <w:rPr>
                <w:i/>
                <w:color w:val="231F1F"/>
                <w:w w:val="105"/>
                <w:sz w:val="22"/>
              </w:rPr>
              <w:t>no</w:t>
            </w:r>
            <w:r>
              <w:rPr>
                <w:i/>
                <w:color w:val="231F1F"/>
                <w:spacing w:val="-11"/>
                <w:w w:val="105"/>
                <w:sz w:val="22"/>
              </w:rPr>
              <w:t> </w:t>
            </w:r>
            <w:r>
              <w:rPr>
                <w:i/>
                <w:color w:val="231F1F"/>
                <w:w w:val="105"/>
                <w:sz w:val="22"/>
              </w:rPr>
              <w:t>uso</w:t>
            </w:r>
            <w:r>
              <w:rPr>
                <w:i/>
                <w:color w:val="231F1F"/>
                <w:spacing w:val="-12"/>
                <w:w w:val="105"/>
                <w:sz w:val="22"/>
              </w:rPr>
              <w:t> </w:t>
            </w:r>
            <w:r>
              <w:rPr>
                <w:color w:val="231F1F"/>
                <w:w w:val="105"/>
                <w:sz w:val="22"/>
              </w:rPr>
              <w:t>del partograma sobre las</w:t>
            </w:r>
            <w:r>
              <w:rPr>
                <w:color w:val="231F1F"/>
                <w:spacing w:val="23"/>
                <w:w w:val="105"/>
                <w:sz w:val="22"/>
              </w:rPr>
              <w:t> </w:t>
            </w:r>
            <w:r>
              <w:rPr>
                <w:color w:val="231F1F"/>
                <w:w w:val="105"/>
                <w:sz w:val="22"/>
              </w:rPr>
              <w:t>tasas</w:t>
            </w:r>
            <w:r>
              <w:rPr>
                <w:color w:val="231F1F"/>
                <w:spacing w:val="23"/>
                <w:w w:val="105"/>
                <w:sz w:val="22"/>
              </w:rPr>
              <w:t> </w:t>
            </w:r>
            <w:r>
              <w:rPr>
                <w:color w:val="231F1F"/>
                <w:w w:val="105"/>
                <w:sz w:val="22"/>
              </w:rPr>
              <w:t>de</w:t>
            </w:r>
            <w:r>
              <w:rPr>
                <w:color w:val="231F1F"/>
                <w:spacing w:val="23"/>
                <w:w w:val="105"/>
                <w:sz w:val="22"/>
              </w:rPr>
              <w:t> </w:t>
            </w:r>
            <w:r>
              <w:rPr>
                <w:color w:val="231F1F"/>
                <w:w w:val="105"/>
                <w:sz w:val="22"/>
              </w:rPr>
              <w:t>cesáreas,</w:t>
            </w:r>
            <w:r>
              <w:rPr>
                <w:color w:val="231F1F"/>
                <w:spacing w:val="24"/>
                <w:w w:val="105"/>
                <w:sz w:val="22"/>
              </w:rPr>
              <w:t> </w:t>
            </w:r>
            <w:r>
              <w:rPr>
                <w:color w:val="231F1F"/>
                <w:w w:val="105"/>
                <w:sz w:val="22"/>
              </w:rPr>
              <w:t>parto</w:t>
            </w:r>
            <w:r>
              <w:rPr>
                <w:color w:val="231F1F"/>
                <w:spacing w:val="23"/>
                <w:w w:val="105"/>
                <w:sz w:val="22"/>
              </w:rPr>
              <w:t> </w:t>
            </w:r>
            <w:r>
              <w:rPr>
                <w:color w:val="231F1F"/>
                <w:w w:val="105"/>
                <w:sz w:val="22"/>
              </w:rPr>
              <w:t>vaginal</w:t>
            </w:r>
            <w:r>
              <w:rPr>
                <w:color w:val="231F1F"/>
                <w:spacing w:val="23"/>
                <w:w w:val="105"/>
                <w:sz w:val="22"/>
              </w:rPr>
              <w:t> </w:t>
            </w:r>
            <w:r>
              <w:rPr>
                <w:color w:val="231F1F"/>
                <w:w w:val="105"/>
                <w:sz w:val="22"/>
              </w:rPr>
              <w:t>instrumentado</w:t>
            </w:r>
            <w:r>
              <w:rPr>
                <w:color w:val="231F1F"/>
                <w:spacing w:val="23"/>
                <w:w w:val="105"/>
                <w:sz w:val="22"/>
              </w:rPr>
              <w:t> </w:t>
            </w:r>
            <w:r>
              <w:rPr>
                <w:color w:val="231F1F"/>
                <w:w w:val="105"/>
                <w:sz w:val="22"/>
              </w:rPr>
              <w:t>y</w:t>
            </w:r>
            <w:r>
              <w:rPr>
                <w:color w:val="231F1F"/>
                <w:spacing w:val="23"/>
                <w:w w:val="105"/>
                <w:sz w:val="22"/>
              </w:rPr>
              <w:t> </w:t>
            </w:r>
            <w:r>
              <w:rPr>
                <w:color w:val="231F1F"/>
                <w:w w:val="105"/>
                <w:sz w:val="22"/>
              </w:rPr>
              <w:t>puntuaciones</w:t>
            </w:r>
            <w:r>
              <w:rPr>
                <w:color w:val="231F1F"/>
                <w:spacing w:val="23"/>
                <w:w w:val="105"/>
                <w:sz w:val="22"/>
              </w:rPr>
              <w:t> </w:t>
            </w:r>
            <w:r>
              <w:rPr>
                <w:color w:val="231F1F"/>
                <w:w w:val="105"/>
                <w:sz w:val="22"/>
              </w:rPr>
              <w:t>Apgar&lt;7 a los 5 minutos (66).</w:t>
            </w:r>
          </w:p>
        </w:tc>
        <w:tc>
          <w:tcPr>
            <w:tcW w:w="1133" w:type="dxa"/>
          </w:tcPr>
          <w:p>
            <w:pPr>
              <w:pStyle w:val="TableParagraph"/>
              <w:spacing w:before="69"/>
              <w:ind w:left="0"/>
              <w:rPr>
                <w:rFonts w:ascii="Arial MT"/>
                <w:sz w:val="22"/>
              </w:rPr>
            </w:pPr>
          </w:p>
          <w:p>
            <w:pPr>
              <w:pStyle w:val="TableParagraph"/>
              <w:ind w:left="49" w:right="23"/>
              <w:jc w:val="center"/>
              <w:rPr>
                <w:sz w:val="22"/>
              </w:rPr>
            </w:pPr>
            <w:r>
              <w:rPr>
                <w:color w:val="231F1F"/>
                <w:spacing w:val="-5"/>
                <w:w w:val="115"/>
                <w:sz w:val="22"/>
              </w:rPr>
              <w:t>Ia</w:t>
            </w:r>
          </w:p>
        </w:tc>
      </w:tr>
      <w:tr>
        <w:trPr>
          <w:trHeight w:val="959" w:hRule="atLeast"/>
        </w:trPr>
        <w:tc>
          <w:tcPr>
            <w:tcW w:w="7373" w:type="dxa"/>
          </w:tcPr>
          <w:p>
            <w:pPr>
              <w:pStyle w:val="TableParagraph"/>
              <w:spacing w:line="244" w:lineRule="auto" w:before="44"/>
              <w:ind w:right="90"/>
              <w:jc w:val="both"/>
              <w:rPr>
                <w:sz w:val="22"/>
              </w:rPr>
            </w:pPr>
            <w:r>
              <w:rPr>
                <w:color w:val="231F1F"/>
                <w:w w:val="105"/>
                <w:sz w:val="22"/>
              </w:rPr>
              <w:t>Los partogramas con línea de acción de </w:t>
            </w:r>
            <w:r>
              <w:rPr>
                <w:i/>
                <w:color w:val="231F1F"/>
                <w:w w:val="105"/>
                <w:sz w:val="22"/>
              </w:rPr>
              <w:t>2</w:t>
            </w:r>
            <w:r>
              <w:rPr>
                <w:i/>
                <w:color w:val="231F1F"/>
                <w:spacing w:val="-14"/>
                <w:w w:val="105"/>
                <w:sz w:val="22"/>
              </w:rPr>
              <w:t> </w:t>
            </w:r>
            <w:r>
              <w:rPr>
                <w:i/>
                <w:color w:val="231F1F"/>
                <w:w w:val="105"/>
                <w:sz w:val="22"/>
              </w:rPr>
              <w:t>horas,</w:t>
            </w:r>
            <w:r>
              <w:rPr>
                <w:i/>
                <w:color w:val="231F1F"/>
                <w:spacing w:val="-13"/>
                <w:w w:val="105"/>
                <w:sz w:val="22"/>
              </w:rPr>
              <w:t> </w:t>
            </w:r>
            <w:r>
              <w:rPr>
                <w:i/>
                <w:color w:val="231F1F"/>
                <w:w w:val="105"/>
                <w:sz w:val="22"/>
              </w:rPr>
              <w:t>frente</w:t>
            </w:r>
            <w:r>
              <w:rPr>
                <w:i/>
                <w:color w:val="231F1F"/>
                <w:spacing w:val="-12"/>
                <w:w w:val="105"/>
                <w:sz w:val="22"/>
              </w:rPr>
              <w:t> </w:t>
            </w:r>
            <w:r>
              <w:rPr>
                <w:color w:val="231F1F"/>
                <w:w w:val="105"/>
                <w:sz w:val="22"/>
              </w:rPr>
              <w:t>a los partogramas con líneas de </w:t>
            </w:r>
            <w:r>
              <w:rPr>
                <w:i/>
                <w:color w:val="231F1F"/>
                <w:w w:val="105"/>
                <w:sz w:val="22"/>
              </w:rPr>
              <w:t>3 y 4 horas</w:t>
            </w:r>
            <w:r>
              <w:rPr>
                <w:color w:val="231F1F"/>
                <w:w w:val="105"/>
                <w:sz w:val="22"/>
              </w:rPr>
              <w:t>, parecen mejorar la satisfacción materna, sin embargo incrementan el uso de oxitocina (62;66).</w:t>
            </w:r>
          </w:p>
        </w:tc>
        <w:tc>
          <w:tcPr>
            <w:tcW w:w="1133" w:type="dxa"/>
          </w:tcPr>
          <w:p>
            <w:pPr>
              <w:pStyle w:val="TableParagraph"/>
              <w:spacing w:before="69"/>
              <w:ind w:left="0"/>
              <w:rPr>
                <w:rFonts w:ascii="Arial MT"/>
                <w:sz w:val="22"/>
              </w:rPr>
            </w:pPr>
          </w:p>
          <w:p>
            <w:pPr>
              <w:pStyle w:val="TableParagraph"/>
              <w:ind w:left="49" w:right="23"/>
              <w:jc w:val="center"/>
              <w:rPr>
                <w:sz w:val="22"/>
              </w:rPr>
            </w:pPr>
            <w:r>
              <w:rPr>
                <w:color w:val="231F1F"/>
                <w:spacing w:val="-5"/>
                <w:w w:val="115"/>
                <w:sz w:val="22"/>
              </w:rPr>
              <w:t>Ia</w:t>
            </w:r>
          </w:p>
        </w:tc>
      </w:tr>
      <w:tr>
        <w:trPr>
          <w:trHeight w:val="964" w:hRule="atLeast"/>
        </w:trPr>
        <w:tc>
          <w:tcPr>
            <w:tcW w:w="7373" w:type="dxa"/>
          </w:tcPr>
          <w:p>
            <w:pPr>
              <w:pStyle w:val="TableParagraph"/>
              <w:spacing w:line="244" w:lineRule="auto" w:before="53"/>
              <w:ind w:right="87"/>
              <w:jc w:val="both"/>
              <w:rPr>
                <w:sz w:val="22"/>
              </w:rPr>
            </w:pPr>
            <w:r>
              <w:rPr>
                <w:color w:val="231F1F"/>
                <w:w w:val="105"/>
                <w:sz w:val="22"/>
              </w:rPr>
              <w:t>Los partogramas con línea de acción de </w:t>
            </w:r>
            <w:r>
              <w:rPr>
                <w:i/>
                <w:color w:val="231F1F"/>
                <w:w w:val="105"/>
                <w:sz w:val="22"/>
              </w:rPr>
              <w:t>3</w:t>
            </w:r>
            <w:r>
              <w:rPr>
                <w:i/>
                <w:color w:val="231F1F"/>
                <w:spacing w:val="-13"/>
                <w:w w:val="105"/>
                <w:sz w:val="22"/>
              </w:rPr>
              <w:t> </w:t>
            </w:r>
            <w:r>
              <w:rPr>
                <w:i/>
                <w:color w:val="231F1F"/>
                <w:w w:val="105"/>
                <w:sz w:val="22"/>
              </w:rPr>
              <w:t>horas</w:t>
            </w:r>
            <w:r>
              <w:rPr>
                <w:i/>
                <w:color w:val="231F1F"/>
                <w:spacing w:val="-13"/>
                <w:w w:val="105"/>
                <w:sz w:val="22"/>
              </w:rPr>
              <w:t> </w:t>
            </w:r>
            <w:r>
              <w:rPr>
                <w:i/>
                <w:color w:val="231F1F"/>
                <w:w w:val="105"/>
                <w:sz w:val="22"/>
              </w:rPr>
              <w:t>comparada</w:t>
            </w:r>
            <w:r>
              <w:rPr>
                <w:i/>
                <w:color w:val="231F1F"/>
                <w:spacing w:val="-13"/>
                <w:w w:val="105"/>
                <w:sz w:val="22"/>
              </w:rPr>
              <w:t> </w:t>
            </w:r>
            <w:r>
              <w:rPr>
                <w:i/>
                <w:color w:val="231F1F"/>
                <w:w w:val="105"/>
                <w:sz w:val="22"/>
              </w:rPr>
              <w:t>con</w:t>
            </w:r>
            <w:r>
              <w:rPr>
                <w:i/>
                <w:color w:val="231F1F"/>
                <w:spacing w:val="-13"/>
                <w:w w:val="105"/>
                <w:sz w:val="22"/>
              </w:rPr>
              <w:t> </w:t>
            </w:r>
            <w:r>
              <w:rPr>
                <w:i/>
                <w:color w:val="231F1F"/>
                <w:w w:val="105"/>
                <w:sz w:val="22"/>
              </w:rPr>
              <w:t>la</w:t>
            </w:r>
            <w:r>
              <w:rPr>
                <w:i/>
                <w:color w:val="231F1F"/>
                <w:spacing w:val="-13"/>
                <w:w w:val="105"/>
                <w:sz w:val="22"/>
              </w:rPr>
              <w:t> </w:t>
            </w:r>
            <w:r>
              <w:rPr>
                <w:i/>
                <w:color w:val="231F1F"/>
                <w:w w:val="105"/>
                <w:sz w:val="22"/>
              </w:rPr>
              <w:t>de</w:t>
            </w:r>
            <w:r>
              <w:rPr>
                <w:i/>
                <w:color w:val="231F1F"/>
                <w:spacing w:val="-13"/>
                <w:w w:val="105"/>
                <w:sz w:val="22"/>
              </w:rPr>
              <w:t> </w:t>
            </w:r>
            <w:r>
              <w:rPr>
                <w:i/>
                <w:color w:val="231F1F"/>
                <w:w w:val="105"/>
                <w:sz w:val="22"/>
              </w:rPr>
              <w:t>4</w:t>
            </w:r>
            <w:r>
              <w:rPr>
                <w:i/>
                <w:color w:val="231F1F"/>
                <w:spacing w:val="-13"/>
                <w:w w:val="105"/>
                <w:sz w:val="22"/>
              </w:rPr>
              <w:t> </w:t>
            </w:r>
            <w:r>
              <w:rPr>
                <w:i/>
                <w:color w:val="231F1F"/>
                <w:w w:val="105"/>
                <w:sz w:val="22"/>
              </w:rPr>
              <w:t>horas </w:t>
            </w:r>
            <w:r>
              <w:rPr>
                <w:color w:val="231F1F"/>
                <w:w w:val="105"/>
                <w:sz w:val="22"/>
              </w:rPr>
              <w:t>incrementan</w:t>
            </w:r>
            <w:r>
              <w:rPr>
                <w:color w:val="231F1F"/>
                <w:w w:val="105"/>
                <w:sz w:val="22"/>
              </w:rPr>
              <w:t> el</w:t>
            </w:r>
            <w:r>
              <w:rPr>
                <w:color w:val="231F1F"/>
                <w:w w:val="105"/>
                <w:sz w:val="22"/>
              </w:rPr>
              <w:t> número</w:t>
            </w:r>
            <w:r>
              <w:rPr>
                <w:color w:val="231F1F"/>
                <w:w w:val="105"/>
                <w:sz w:val="22"/>
              </w:rPr>
              <w:t> de</w:t>
            </w:r>
            <w:r>
              <w:rPr>
                <w:color w:val="231F1F"/>
                <w:w w:val="105"/>
                <w:sz w:val="22"/>
              </w:rPr>
              <w:t> cesáreas</w:t>
            </w:r>
            <w:r>
              <w:rPr>
                <w:color w:val="231F1F"/>
                <w:w w:val="105"/>
                <w:sz w:val="22"/>
              </w:rPr>
              <w:t> (pero</w:t>
            </w:r>
            <w:r>
              <w:rPr>
                <w:color w:val="231F1F"/>
                <w:w w:val="105"/>
                <w:sz w:val="22"/>
              </w:rPr>
              <w:t> no</w:t>
            </w:r>
            <w:r>
              <w:rPr>
                <w:color w:val="231F1F"/>
                <w:w w:val="105"/>
                <w:sz w:val="22"/>
              </w:rPr>
              <w:t> las</w:t>
            </w:r>
            <w:r>
              <w:rPr>
                <w:color w:val="231F1F"/>
                <w:w w:val="105"/>
                <w:sz w:val="22"/>
              </w:rPr>
              <w:t> cesáreas</w:t>
            </w:r>
            <w:r>
              <w:rPr>
                <w:color w:val="231F1F"/>
                <w:w w:val="105"/>
                <w:sz w:val="22"/>
              </w:rPr>
              <w:t> por</w:t>
            </w:r>
            <w:r>
              <w:rPr>
                <w:color w:val="231F1F"/>
                <w:w w:val="105"/>
                <w:sz w:val="22"/>
              </w:rPr>
              <w:t> estrés</w:t>
            </w:r>
            <w:r>
              <w:rPr>
                <w:color w:val="231F1F"/>
                <w:w w:val="105"/>
                <w:sz w:val="22"/>
              </w:rPr>
              <w:t> fetal) </w:t>
            </w:r>
            <w:r>
              <w:rPr>
                <w:color w:val="231F1F"/>
                <w:spacing w:val="-2"/>
                <w:w w:val="105"/>
                <w:sz w:val="22"/>
              </w:rPr>
              <w:t>(62;66).</w:t>
            </w:r>
          </w:p>
        </w:tc>
        <w:tc>
          <w:tcPr>
            <w:tcW w:w="1133" w:type="dxa"/>
          </w:tcPr>
          <w:p>
            <w:pPr>
              <w:pStyle w:val="TableParagraph"/>
              <w:spacing w:before="69"/>
              <w:ind w:left="0"/>
              <w:rPr>
                <w:rFonts w:ascii="Arial MT"/>
                <w:sz w:val="22"/>
              </w:rPr>
            </w:pPr>
          </w:p>
          <w:p>
            <w:pPr>
              <w:pStyle w:val="TableParagraph"/>
              <w:ind w:left="49" w:right="23"/>
              <w:jc w:val="center"/>
              <w:rPr>
                <w:sz w:val="22"/>
              </w:rPr>
            </w:pPr>
            <w:r>
              <w:rPr>
                <w:color w:val="231F1F"/>
                <w:spacing w:val="-5"/>
                <w:w w:val="115"/>
                <w:sz w:val="22"/>
              </w:rPr>
              <w:t>Ia</w:t>
            </w:r>
          </w:p>
        </w:tc>
      </w:tr>
      <w:tr>
        <w:trPr>
          <w:trHeight w:val="1521" w:hRule="atLeast"/>
        </w:trPr>
        <w:tc>
          <w:tcPr>
            <w:tcW w:w="7373" w:type="dxa"/>
          </w:tcPr>
          <w:p>
            <w:pPr>
              <w:pStyle w:val="TableParagraph"/>
              <w:spacing w:line="244" w:lineRule="auto" w:before="44"/>
              <w:ind w:right="89"/>
              <w:jc w:val="both"/>
              <w:rPr>
                <w:sz w:val="22"/>
              </w:rPr>
            </w:pPr>
            <w:r>
              <w:rPr>
                <w:color w:val="231F1F"/>
                <w:w w:val="110"/>
                <w:sz w:val="22"/>
              </w:rPr>
              <w:t>No se observaron diferencias entre las </w:t>
            </w:r>
            <w:r>
              <w:rPr>
                <w:i/>
                <w:color w:val="231F1F"/>
                <w:w w:val="110"/>
                <w:sz w:val="22"/>
              </w:rPr>
              <w:t>líneas</w:t>
            </w:r>
            <w:r>
              <w:rPr>
                <w:i/>
                <w:color w:val="231F1F"/>
                <w:spacing w:val="-2"/>
                <w:w w:val="110"/>
                <w:sz w:val="22"/>
              </w:rPr>
              <w:t> </w:t>
            </w:r>
            <w:r>
              <w:rPr>
                <w:i/>
                <w:color w:val="231F1F"/>
                <w:w w:val="110"/>
                <w:sz w:val="22"/>
              </w:rPr>
              <w:t>de</w:t>
            </w:r>
            <w:r>
              <w:rPr>
                <w:i/>
                <w:color w:val="231F1F"/>
                <w:spacing w:val="-2"/>
                <w:w w:val="110"/>
                <w:sz w:val="22"/>
              </w:rPr>
              <w:t> </w:t>
            </w:r>
            <w:r>
              <w:rPr>
                <w:i/>
                <w:color w:val="231F1F"/>
                <w:w w:val="110"/>
                <w:sz w:val="22"/>
              </w:rPr>
              <w:t>acción</w:t>
            </w:r>
            <w:r>
              <w:rPr>
                <w:i/>
                <w:color w:val="231F1F"/>
                <w:spacing w:val="-2"/>
                <w:w w:val="110"/>
                <w:sz w:val="22"/>
              </w:rPr>
              <w:t> </w:t>
            </w:r>
            <w:r>
              <w:rPr>
                <w:i/>
                <w:color w:val="231F1F"/>
                <w:w w:val="110"/>
                <w:sz w:val="22"/>
              </w:rPr>
              <w:t>de</w:t>
            </w:r>
            <w:r>
              <w:rPr>
                <w:i/>
                <w:color w:val="231F1F"/>
                <w:spacing w:val="-2"/>
                <w:w w:val="110"/>
                <w:sz w:val="22"/>
              </w:rPr>
              <w:t> </w:t>
            </w:r>
            <w:r>
              <w:rPr>
                <w:i/>
                <w:color w:val="231F1F"/>
                <w:w w:val="110"/>
                <w:sz w:val="22"/>
              </w:rPr>
              <w:t>2</w:t>
            </w:r>
            <w:r>
              <w:rPr>
                <w:i/>
                <w:color w:val="231F1F"/>
                <w:spacing w:val="-2"/>
                <w:w w:val="110"/>
                <w:sz w:val="22"/>
              </w:rPr>
              <w:t> </w:t>
            </w:r>
            <w:r>
              <w:rPr>
                <w:i/>
                <w:color w:val="231F1F"/>
                <w:w w:val="110"/>
                <w:sz w:val="22"/>
              </w:rPr>
              <w:t>y</w:t>
            </w:r>
            <w:r>
              <w:rPr>
                <w:i/>
                <w:color w:val="231F1F"/>
                <w:spacing w:val="-2"/>
                <w:w w:val="110"/>
                <w:sz w:val="22"/>
              </w:rPr>
              <w:t> </w:t>
            </w:r>
            <w:r>
              <w:rPr>
                <w:i/>
                <w:color w:val="231F1F"/>
                <w:w w:val="110"/>
                <w:sz w:val="22"/>
              </w:rPr>
              <w:t>4</w:t>
            </w:r>
            <w:r>
              <w:rPr>
                <w:i/>
                <w:color w:val="231F1F"/>
                <w:spacing w:val="-2"/>
                <w:w w:val="110"/>
                <w:sz w:val="22"/>
              </w:rPr>
              <w:t> </w:t>
            </w:r>
            <w:r>
              <w:rPr>
                <w:i/>
                <w:color w:val="231F1F"/>
                <w:w w:val="110"/>
                <w:sz w:val="22"/>
              </w:rPr>
              <w:t>horas</w:t>
            </w:r>
            <w:r>
              <w:rPr>
                <w:i/>
                <w:color w:val="231F1F"/>
                <w:spacing w:val="-1"/>
                <w:w w:val="110"/>
                <w:sz w:val="22"/>
              </w:rPr>
              <w:t> </w:t>
            </w:r>
            <w:r>
              <w:rPr>
                <w:color w:val="231F1F"/>
                <w:w w:val="110"/>
                <w:sz w:val="22"/>
              </w:rPr>
              <w:t>en ningún</w:t>
            </w:r>
            <w:r>
              <w:rPr>
                <w:color w:val="231F1F"/>
                <w:spacing w:val="-8"/>
                <w:w w:val="110"/>
                <w:sz w:val="22"/>
              </w:rPr>
              <w:t> </w:t>
            </w:r>
            <w:r>
              <w:rPr>
                <w:color w:val="231F1F"/>
                <w:w w:val="110"/>
                <w:sz w:val="22"/>
              </w:rPr>
              <w:t>resultado</w:t>
            </w:r>
            <w:r>
              <w:rPr>
                <w:color w:val="231F1F"/>
                <w:spacing w:val="-7"/>
                <w:w w:val="110"/>
                <w:sz w:val="22"/>
              </w:rPr>
              <w:t> </w:t>
            </w:r>
            <w:r>
              <w:rPr>
                <w:color w:val="231F1F"/>
                <w:w w:val="110"/>
                <w:sz w:val="22"/>
              </w:rPr>
              <w:t>primario</w:t>
            </w:r>
            <w:r>
              <w:rPr>
                <w:color w:val="231F1F"/>
                <w:spacing w:val="-8"/>
                <w:w w:val="110"/>
                <w:sz w:val="22"/>
              </w:rPr>
              <w:t> </w:t>
            </w:r>
            <w:r>
              <w:rPr>
                <w:color w:val="231F1F"/>
                <w:w w:val="110"/>
                <w:sz w:val="22"/>
              </w:rPr>
              <w:t>(cesáreas</w:t>
            </w:r>
            <w:r>
              <w:rPr>
                <w:color w:val="231F1F"/>
                <w:spacing w:val="-9"/>
                <w:w w:val="110"/>
                <w:sz w:val="22"/>
              </w:rPr>
              <w:t> </w:t>
            </w:r>
            <w:r>
              <w:rPr>
                <w:color w:val="231F1F"/>
                <w:w w:val="110"/>
                <w:sz w:val="22"/>
              </w:rPr>
              <w:t>o</w:t>
            </w:r>
            <w:r>
              <w:rPr>
                <w:color w:val="231F1F"/>
                <w:spacing w:val="-8"/>
                <w:w w:val="110"/>
                <w:sz w:val="22"/>
              </w:rPr>
              <w:t> </w:t>
            </w:r>
            <w:r>
              <w:rPr>
                <w:color w:val="231F1F"/>
                <w:w w:val="110"/>
                <w:sz w:val="22"/>
              </w:rPr>
              <w:t>insatisfacción</w:t>
            </w:r>
            <w:r>
              <w:rPr>
                <w:color w:val="231F1F"/>
                <w:spacing w:val="-7"/>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mujer</w:t>
            </w:r>
            <w:r>
              <w:rPr>
                <w:color w:val="231F1F"/>
                <w:spacing w:val="-9"/>
                <w:w w:val="110"/>
                <w:sz w:val="22"/>
              </w:rPr>
              <w:t> </w:t>
            </w:r>
            <w:r>
              <w:rPr>
                <w:color w:val="231F1F"/>
                <w:w w:val="110"/>
                <w:sz w:val="22"/>
              </w:rPr>
              <w:t>con</w:t>
            </w:r>
            <w:r>
              <w:rPr>
                <w:color w:val="231F1F"/>
                <w:spacing w:val="-8"/>
                <w:w w:val="110"/>
                <w:sz w:val="22"/>
              </w:rPr>
              <w:t> </w:t>
            </w:r>
            <w:r>
              <w:rPr>
                <w:color w:val="231F1F"/>
                <w:w w:val="110"/>
                <w:sz w:val="22"/>
              </w:rPr>
              <w:t>la</w:t>
            </w:r>
            <w:r>
              <w:rPr>
                <w:color w:val="231F1F"/>
                <w:spacing w:val="-8"/>
                <w:w w:val="110"/>
                <w:sz w:val="22"/>
              </w:rPr>
              <w:t> </w:t>
            </w:r>
            <w:r>
              <w:rPr>
                <w:color w:val="231F1F"/>
                <w:w w:val="110"/>
                <w:sz w:val="22"/>
              </w:rPr>
              <w:t>ex- periencia</w:t>
            </w:r>
            <w:r>
              <w:rPr>
                <w:color w:val="231F1F"/>
                <w:spacing w:val="-5"/>
                <w:w w:val="110"/>
                <w:sz w:val="22"/>
              </w:rPr>
              <w:t> </w:t>
            </w:r>
            <w:r>
              <w:rPr>
                <w:color w:val="231F1F"/>
                <w:w w:val="110"/>
                <w:sz w:val="22"/>
              </w:rPr>
              <w:t>del</w:t>
            </w:r>
            <w:r>
              <w:rPr>
                <w:color w:val="231F1F"/>
                <w:spacing w:val="-6"/>
                <w:w w:val="110"/>
                <w:sz w:val="22"/>
              </w:rPr>
              <w:t> </w:t>
            </w:r>
            <w:r>
              <w:rPr>
                <w:color w:val="231F1F"/>
                <w:w w:val="110"/>
                <w:sz w:val="22"/>
              </w:rPr>
              <w:t>parto).</w:t>
            </w:r>
            <w:r>
              <w:rPr>
                <w:color w:val="231F1F"/>
                <w:spacing w:val="-6"/>
                <w:w w:val="110"/>
                <w:sz w:val="22"/>
              </w:rPr>
              <w:t> </w:t>
            </w:r>
            <w:r>
              <w:rPr>
                <w:color w:val="231F1F"/>
                <w:w w:val="110"/>
                <w:sz w:val="22"/>
              </w:rPr>
              <w:t>Sin</w:t>
            </w:r>
            <w:r>
              <w:rPr>
                <w:color w:val="231F1F"/>
                <w:spacing w:val="-5"/>
                <w:w w:val="110"/>
                <w:sz w:val="22"/>
              </w:rPr>
              <w:t> </w:t>
            </w:r>
            <w:r>
              <w:rPr>
                <w:color w:val="231F1F"/>
                <w:w w:val="110"/>
                <w:sz w:val="22"/>
              </w:rPr>
              <w:t>embargo,</w:t>
            </w:r>
            <w:r>
              <w:rPr>
                <w:color w:val="231F1F"/>
                <w:spacing w:val="-5"/>
                <w:w w:val="110"/>
                <w:sz w:val="22"/>
              </w:rPr>
              <w:t> </w:t>
            </w:r>
            <w:r>
              <w:rPr>
                <w:color w:val="231F1F"/>
                <w:w w:val="110"/>
                <w:sz w:val="22"/>
              </w:rPr>
              <w:t>un</w:t>
            </w:r>
            <w:r>
              <w:rPr>
                <w:color w:val="231F1F"/>
                <w:spacing w:val="-5"/>
                <w:w w:val="110"/>
                <w:sz w:val="22"/>
              </w:rPr>
              <w:t> </w:t>
            </w:r>
            <w:r>
              <w:rPr>
                <w:color w:val="231F1F"/>
                <w:w w:val="110"/>
                <w:sz w:val="22"/>
              </w:rPr>
              <w:t>mayor</w:t>
            </w:r>
            <w:r>
              <w:rPr>
                <w:color w:val="231F1F"/>
                <w:spacing w:val="-5"/>
                <w:w w:val="110"/>
                <w:sz w:val="22"/>
              </w:rPr>
              <w:t> </w:t>
            </w:r>
            <w:r>
              <w:rPr>
                <w:color w:val="231F1F"/>
                <w:w w:val="110"/>
                <w:sz w:val="22"/>
              </w:rPr>
              <w:t>número</w:t>
            </w:r>
            <w:r>
              <w:rPr>
                <w:color w:val="231F1F"/>
                <w:spacing w:val="-5"/>
                <w:w w:val="110"/>
                <w:sz w:val="22"/>
              </w:rPr>
              <w:t> </w:t>
            </w:r>
            <w:r>
              <w:rPr>
                <w:color w:val="231F1F"/>
                <w:w w:val="110"/>
                <w:sz w:val="22"/>
              </w:rPr>
              <w:t>de</w:t>
            </w:r>
            <w:r>
              <w:rPr>
                <w:color w:val="231F1F"/>
                <w:spacing w:val="-5"/>
                <w:w w:val="110"/>
                <w:sz w:val="22"/>
              </w:rPr>
              <w:t> </w:t>
            </w:r>
            <w:r>
              <w:rPr>
                <w:color w:val="231F1F"/>
                <w:w w:val="110"/>
                <w:sz w:val="22"/>
              </w:rPr>
              <w:t>mujeres</w:t>
            </w:r>
            <w:r>
              <w:rPr>
                <w:color w:val="231F1F"/>
                <w:spacing w:val="-5"/>
                <w:w w:val="110"/>
                <w:sz w:val="22"/>
              </w:rPr>
              <w:t> </w:t>
            </w:r>
            <w:r>
              <w:rPr>
                <w:color w:val="231F1F"/>
                <w:w w:val="110"/>
                <w:sz w:val="22"/>
              </w:rPr>
              <w:t>del</w:t>
            </w:r>
            <w:r>
              <w:rPr>
                <w:color w:val="231F1F"/>
                <w:spacing w:val="-6"/>
                <w:w w:val="110"/>
                <w:sz w:val="22"/>
              </w:rPr>
              <w:t> </w:t>
            </w:r>
            <w:r>
              <w:rPr>
                <w:color w:val="231F1F"/>
                <w:w w:val="110"/>
                <w:sz w:val="22"/>
              </w:rPr>
              <w:t>grupo con</w:t>
            </w:r>
            <w:r>
              <w:rPr>
                <w:color w:val="231F1F"/>
                <w:spacing w:val="-16"/>
                <w:w w:val="110"/>
                <w:sz w:val="22"/>
              </w:rPr>
              <w:t> </w:t>
            </w:r>
            <w:r>
              <w:rPr>
                <w:color w:val="231F1F"/>
                <w:w w:val="110"/>
                <w:sz w:val="22"/>
              </w:rPr>
              <w:t>línea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acción</w:t>
            </w:r>
            <w:r>
              <w:rPr>
                <w:color w:val="231F1F"/>
                <w:spacing w:val="-15"/>
                <w:w w:val="110"/>
                <w:sz w:val="22"/>
              </w:rPr>
              <w:t> </w:t>
            </w:r>
            <w:r>
              <w:rPr>
                <w:color w:val="231F1F"/>
                <w:w w:val="110"/>
                <w:sz w:val="22"/>
              </w:rPr>
              <w:t>a</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dos</w:t>
            </w:r>
            <w:r>
              <w:rPr>
                <w:color w:val="231F1F"/>
                <w:spacing w:val="-15"/>
                <w:w w:val="110"/>
                <w:sz w:val="22"/>
              </w:rPr>
              <w:t> </w:t>
            </w:r>
            <w:r>
              <w:rPr>
                <w:color w:val="231F1F"/>
                <w:w w:val="110"/>
                <w:sz w:val="22"/>
              </w:rPr>
              <w:t>horas,</w:t>
            </w:r>
            <w:r>
              <w:rPr>
                <w:color w:val="231F1F"/>
                <w:spacing w:val="-15"/>
                <w:w w:val="110"/>
                <w:sz w:val="22"/>
              </w:rPr>
              <w:t> </w:t>
            </w:r>
            <w:r>
              <w:rPr>
                <w:color w:val="231F1F"/>
                <w:w w:val="110"/>
                <w:sz w:val="22"/>
              </w:rPr>
              <w:t>recibieron</w:t>
            </w:r>
            <w:r>
              <w:rPr>
                <w:color w:val="231F1F"/>
                <w:spacing w:val="-16"/>
                <w:w w:val="110"/>
                <w:sz w:val="22"/>
              </w:rPr>
              <w:t> </w:t>
            </w:r>
            <w:r>
              <w:rPr>
                <w:color w:val="231F1F"/>
                <w:w w:val="110"/>
                <w:sz w:val="22"/>
              </w:rPr>
              <w:t>más</w:t>
            </w:r>
            <w:r>
              <w:rPr>
                <w:color w:val="231F1F"/>
                <w:spacing w:val="-15"/>
                <w:w w:val="110"/>
                <w:sz w:val="22"/>
              </w:rPr>
              <w:t> </w:t>
            </w:r>
            <w:r>
              <w:rPr>
                <w:color w:val="231F1F"/>
                <w:w w:val="110"/>
                <w:sz w:val="22"/>
              </w:rPr>
              <w:t>intervenciones</w:t>
            </w:r>
            <w:r>
              <w:rPr>
                <w:color w:val="231F1F"/>
                <w:spacing w:val="-15"/>
                <w:w w:val="110"/>
                <w:sz w:val="22"/>
              </w:rPr>
              <w:t> </w:t>
            </w:r>
            <w:r>
              <w:rPr>
                <w:color w:val="231F1F"/>
                <w:w w:val="110"/>
                <w:sz w:val="22"/>
              </w:rPr>
              <w:t>para</w:t>
            </w:r>
            <w:r>
              <w:rPr>
                <w:color w:val="231F1F"/>
                <w:spacing w:val="-15"/>
                <w:w w:val="110"/>
                <w:sz w:val="22"/>
              </w:rPr>
              <w:t> </w:t>
            </w:r>
            <w:r>
              <w:rPr>
                <w:color w:val="231F1F"/>
                <w:w w:val="110"/>
                <w:sz w:val="22"/>
              </w:rPr>
              <w:t>esti- mular el parto (64).</w:t>
            </w:r>
          </w:p>
        </w:tc>
        <w:tc>
          <w:tcPr>
            <w:tcW w:w="1133" w:type="dxa"/>
          </w:tcPr>
          <w:p>
            <w:pPr>
              <w:pStyle w:val="TableParagraph"/>
              <w:ind w:left="0"/>
              <w:rPr>
                <w:rFonts w:ascii="Arial MT"/>
                <w:sz w:val="22"/>
              </w:rPr>
            </w:pPr>
          </w:p>
          <w:p>
            <w:pPr>
              <w:pStyle w:val="TableParagraph"/>
              <w:spacing w:before="94"/>
              <w:ind w:left="0"/>
              <w:rPr>
                <w:rFonts w:ascii="Arial MT"/>
                <w:sz w:val="22"/>
              </w:rPr>
            </w:pPr>
          </w:p>
          <w:p>
            <w:pPr>
              <w:pStyle w:val="TableParagraph"/>
              <w:spacing w:before="1"/>
              <w:ind w:left="49" w:right="23"/>
              <w:jc w:val="center"/>
              <w:rPr>
                <w:sz w:val="22"/>
              </w:rPr>
            </w:pPr>
            <w:r>
              <w:rPr>
                <w:color w:val="231F1F"/>
                <w:spacing w:val="-5"/>
                <w:w w:val="115"/>
                <w:sz w:val="22"/>
              </w:rPr>
              <w:t>Ib</w:t>
            </w:r>
          </w:p>
        </w:tc>
      </w:tr>
    </w:tbl>
    <w:p>
      <w:pPr>
        <w:pStyle w:val="BodyText"/>
        <w:spacing w:before="125"/>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5"/>
                <w:sz w:val="22"/>
              </w:rPr>
              <w:t>A</w:t>
            </w:r>
          </w:p>
        </w:tc>
        <w:tc>
          <w:tcPr>
            <w:tcW w:w="8050" w:type="dxa"/>
          </w:tcPr>
          <w:p>
            <w:pPr>
              <w:pStyle w:val="TableParagraph"/>
              <w:spacing w:before="49"/>
              <w:rPr>
                <w:sz w:val="22"/>
              </w:rPr>
            </w:pPr>
            <w:r>
              <w:rPr>
                <w:color w:val="231F1F"/>
                <w:sz w:val="22"/>
              </w:rPr>
              <w:t>Si</w:t>
            </w:r>
            <w:r>
              <w:rPr>
                <w:color w:val="231F1F"/>
                <w:spacing w:val="20"/>
                <w:sz w:val="22"/>
              </w:rPr>
              <w:t> </w:t>
            </w:r>
            <w:r>
              <w:rPr>
                <w:color w:val="231F1F"/>
                <w:sz w:val="22"/>
              </w:rPr>
              <w:t>se</w:t>
            </w:r>
            <w:r>
              <w:rPr>
                <w:color w:val="231F1F"/>
                <w:spacing w:val="24"/>
                <w:sz w:val="22"/>
              </w:rPr>
              <w:t> </w:t>
            </w:r>
            <w:r>
              <w:rPr>
                <w:color w:val="231F1F"/>
                <w:sz w:val="22"/>
              </w:rPr>
              <w:t>utiliza</w:t>
            </w:r>
            <w:r>
              <w:rPr>
                <w:color w:val="231F1F"/>
                <w:spacing w:val="24"/>
                <w:sz w:val="22"/>
              </w:rPr>
              <w:t> </w:t>
            </w:r>
            <w:r>
              <w:rPr>
                <w:color w:val="231F1F"/>
                <w:sz w:val="22"/>
              </w:rPr>
              <w:t>el</w:t>
            </w:r>
            <w:r>
              <w:rPr>
                <w:color w:val="231F1F"/>
                <w:spacing w:val="24"/>
                <w:sz w:val="22"/>
              </w:rPr>
              <w:t> </w:t>
            </w:r>
            <w:r>
              <w:rPr>
                <w:color w:val="231F1F"/>
                <w:sz w:val="22"/>
              </w:rPr>
              <w:t>partograma</w:t>
            </w:r>
            <w:r>
              <w:rPr>
                <w:color w:val="231F1F"/>
                <w:spacing w:val="24"/>
                <w:sz w:val="22"/>
              </w:rPr>
              <w:t> </w:t>
            </w:r>
            <w:r>
              <w:rPr>
                <w:color w:val="231F1F"/>
                <w:sz w:val="22"/>
              </w:rPr>
              <w:t>se</w:t>
            </w:r>
            <w:r>
              <w:rPr>
                <w:color w:val="231F1F"/>
                <w:spacing w:val="23"/>
                <w:sz w:val="22"/>
              </w:rPr>
              <w:t> </w:t>
            </w:r>
            <w:r>
              <w:rPr>
                <w:color w:val="231F1F"/>
                <w:sz w:val="22"/>
              </w:rPr>
              <w:t>recomienda</w:t>
            </w:r>
            <w:r>
              <w:rPr>
                <w:color w:val="231F1F"/>
                <w:spacing w:val="26"/>
                <w:sz w:val="22"/>
              </w:rPr>
              <w:t> </w:t>
            </w:r>
            <w:r>
              <w:rPr>
                <w:color w:val="231F1F"/>
                <w:sz w:val="22"/>
              </w:rPr>
              <w:t>el</w:t>
            </w:r>
            <w:r>
              <w:rPr>
                <w:color w:val="231F1F"/>
                <w:spacing w:val="24"/>
                <w:sz w:val="22"/>
              </w:rPr>
              <w:t> </w:t>
            </w:r>
            <w:r>
              <w:rPr>
                <w:color w:val="231F1F"/>
                <w:sz w:val="22"/>
              </w:rPr>
              <w:t>de</w:t>
            </w:r>
            <w:r>
              <w:rPr>
                <w:color w:val="231F1F"/>
                <w:spacing w:val="24"/>
                <w:sz w:val="22"/>
              </w:rPr>
              <w:t> </w:t>
            </w:r>
            <w:r>
              <w:rPr>
                <w:color w:val="231F1F"/>
                <w:sz w:val="22"/>
              </w:rPr>
              <w:t>una</w:t>
            </w:r>
            <w:r>
              <w:rPr>
                <w:color w:val="231F1F"/>
                <w:spacing w:val="24"/>
                <w:sz w:val="22"/>
              </w:rPr>
              <w:t> </w:t>
            </w:r>
            <w:r>
              <w:rPr>
                <w:color w:val="231F1F"/>
                <w:sz w:val="22"/>
              </w:rPr>
              <w:t>línea</w:t>
            </w:r>
            <w:r>
              <w:rPr>
                <w:color w:val="231F1F"/>
                <w:spacing w:val="24"/>
                <w:sz w:val="22"/>
              </w:rPr>
              <w:t> </w:t>
            </w:r>
            <w:r>
              <w:rPr>
                <w:color w:val="231F1F"/>
                <w:sz w:val="22"/>
              </w:rPr>
              <w:t>de</w:t>
            </w:r>
            <w:r>
              <w:rPr>
                <w:color w:val="231F1F"/>
                <w:spacing w:val="24"/>
                <w:sz w:val="22"/>
              </w:rPr>
              <w:t> </w:t>
            </w:r>
            <w:r>
              <w:rPr>
                <w:color w:val="231F1F"/>
                <w:sz w:val="22"/>
              </w:rPr>
              <w:t>acción</w:t>
            </w:r>
            <w:r>
              <w:rPr>
                <w:color w:val="231F1F"/>
                <w:spacing w:val="24"/>
                <w:sz w:val="22"/>
              </w:rPr>
              <w:t> </w:t>
            </w:r>
            <w:r>
              <w:rPr>
                <w:color w:val="231F1F"/>
                <w:sz w:val="22"/>
              </w:rPr>
              <w:t>de</w:t>
            </w:r>
            <w:r>
              <w:rPr>
                <w:color w:val="231F1F"/>
                <w:spacing w:val="23"/>
                <w:sz w:val="22"/>
              </w:rPr>
              <w:t> </w:t>
            </w:r>
            <w:r>
              <w:rPr>
                <w:color w:val="231F1F"/>
                <w:sz w:val="22"/>
              </w:rPr>
              <w:t>4</w:t>
            </w:r>
            <w:r>
              <w:rPr>
                <w:color w:val="231F1F"/>
                <w:spacing w:val="25"/>
                <w:sz w:val="22"/>
              </w:rPr>
              <w:t> </w:t>
            </w:r>
            <w:r>
              <w:rPr>
                <w:color w:val="231F1F"/>
                <w:spacing w:val="-2"/>
                <w:sz w:val="22"/>
              </w:rPr>
              <w:t>horas.</w:t>
            </w:r>
          </w:p>
        </w:tc>
      </w:tr>
    </w:tbl>
    <w:p>
      <w:pPr>
        <w:pStyle w:val="TableParagraph"/>
        <w:spacing w:after="0"/>
        <w:rPr>
          <w:sz w:val="22"/>
        </w:rPr>
        <w:sectPr>
          <w:pgSz w:w="11900" w:h="16840"/>
          <w:pgMar w:header="0" w:footer="622" w:top="1560" w:bottom="820" w:left="1417" w:right="1559"/>
        </w:sectPr>
      </w:pPr>
    </w:p>
    <w:p>
      <w:pPr>
        <w:pStyle w:val="Heading3"/>
        <w:numPr>
          <w:ilvl w:val="2"/>
          <w:numId w:val="24"/>
        </w:numPr>
        <w:tabs>
          <w:tab w:pos="1158" w:val="left" w:leader="none"/>
        </w:tabs>
        <w:spacing w:line="240" w:lineRule="auto" w:before="71" w:after="0"/>
        <w:ind w:left="1158" w:right="0" w:hanging="875"/>
        <w:jc w:val="left"/>
        <w:rPr>
          <w:color w:val="231F1F"/>
        </w:rPr>
      </w:pPr>
      <w:r>
        <w:rPr>
          <w:color w:val="231F1F"/>
        </w:rPr>
        <w:t>Frecuencia</w:t>
      </w:r>
      <w:r>
        <w:rPr>
          <w:color w:val="231F1F"/>
          <w:spacing w:val="60"/>
        </w:rPr>
        <w:t> </w:t>
      </w:r>
      <w:r>
        <w:rPr>
          <w:color w:val="231F1F"/>
        </w:rPr>
        <w:t>de</w:t>
      </w:r>
      <w:r>
        <w:rPr>
          <w:color w:val="231F1F"/>
          <w:spacing w:val="59"/>
        </w:rPr>
        <w:t> </w:t>
      </w:r>
      <w:r>
        <w:rPr>
          <w:color w:val="231F1F"/>
        </w:rPr>
        <w:t>tactos</w:t>
      </w:r>
      <w:r>
        <w:rPr>
          <w:color w:val="231F1F"/>
          <w:spacing w:val="58"/>
        </w:rPr>
        <w:t> </w:t>
      </w:r>
      <w:r>
        <w:rPr>
          <w:color w:val="231F1F"/>
          <w:spacing w:val="-2"/>
        </w:rPr>
        <w:t>vaginales</w:t>
      </w:r>
    </w:p>
    <w:p>
      <w:pPr>
        <w:pStyle w:val="BodyText"/>
        <w:spacing w:before="8"/>
        <w:rPr>
          <w:sz w:val="20"/>
        </w:rPr>
      </w:pPr>
      <w:r>
        <w:rPr>
          <w:sz w:val="20"/>
        </w:rPr>
        <mc:AlternateContent>
          <mc:Choice Requires="wps">
            <w:drawing>
              <wp:anchor distT="0" distB="0" distL="0" distR="0" allowOverlap="1" layoutInCell="1" locked="0" behindDoc="1" simplePos="0" relativeHeight="487605248">
                <wp:simplePos x="0" y="0"/>
                <wp:positionH relativeFrom="page">
                  <wp:posOffset>1082675</wp:posOffset>
                </wp:positionH>
                <wp:positionV relativeFrom="paragraph">
                  <wp:posOffset>169564</wp:posOffset>
                </wp:positionV>
                <wp:extent cx="5400040" cy="262255"/>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5400040" cy="262255"/>
                        </a:xfrm>
                        <a:prstGeom prst="rect">
                          <a:avLst/>
                        </a:prstGeom>
                        <a:ln w="6350">
                          <a:solidFill>
                            <a:srgbClr val="A30046"/>
                          </a:solidFill>
                          <a:prstDash val="solid"/>
                        </a:ln>
                      </wps:spPr>
                      <wps:txbx>
                        <w:txbxContent>
                          <w:p>
                            <w:pPr>
                              <w:pStyle w:val="BodyText"/>
                              <w:numPr>
                                <w:ilvl w:val="0"/>
                                <w:numId w:val="31"/>
                              </w:numPr>
                              <w:tabs>
                                <w:tab w:pos="315" w:val="left" w:leader="none"/>
                              </w:tabs>
                              <w:spacing w:line="240" w:lineRule="auto" w:before="63" w:after="0"/>
                              <w:ind w:left="315" w:right="0" w:hanging="211"/>
                              <w:jc w:val="left"/>
                            </w:pPr>
                            <w:r>
                              <w:rPr>
                                <w:color w:val="231F1F"/>
                              </w:rPr>
                              <w:t>¿Cuál</w:t>
                            </w:r>
                            <w:r>
                              <w:rPr>
                                <w:color w:val="231F1F"/>
                                <w:spacing w:val="-14"/>
                              </w:rPr>
                              <w:t> </w:t>
                            </w:r>
                            <w:r>
                              <w:rPr>
                                <w:color w:val="231F1F"/>
                              </w:rPr>
                              <w:t>es</w:t>
                            </w:r>
                            <w:r>
                              <w:rPr>
                                <w:color w:val="231F1F"/>
                                <w:spacing w:val="-9"/>
                              </w:rPr>
                              <w:t> </w:t>
                            </w:r>
                            <w:r>
                              <w:rPr>
                                <w:color w:val="231F1F"/>
                              </w:rPr>
                              <w:t>la</w:t>
                            </w:r>
                            <w:r>
                              <w:rPr>
                                <w:color w:val="231F1F"/>
                                <w:spacing w:val="-8"/>
                              </w:rPr>
                              <w:t> </w:t>
                            </w:r>
                            <w:r>
                              <w:rPr>
                                <w:color w:val="231F1F"/>
                              </w:rPr>
                              <w:t>frecuencia</w:t>
                            </w:r>
                            <w:r>
                              <w:rPr>
                                <w:color w:val="231F1F"/>
                                <w:spacing w:val="-8"/>
                              </w:rPr>
                              <w:t> </w:t>
                            </w:r>
                            <w:r>
                              <w:rPr>
                                <w:color w:val="231F1F"/>
                              </w:rPr>
                              <w:t>óptima</w:t>
                            </w:r>
                            <w:r>
                              <w:rPr>
                                <w:color w:val="231F1F"/>
                                <w:spacing w:val="-7"/>
                              </w:rPr>
                              <w:t> </w:t>
                            </w:r>
                            <w:r>
                              <w:rPr>
                                <w:color w:val="231F1F"/>
                              </w:rPr>
                              <w:t>de</w:t>
                            </w:r>
                            <w:r>
                              <w:rPr>
                                <w:color w:val="231F1F"/>
                                <w:spacing w:val="-10"/>
                              </w:rPr>
                              <w:t> </w:t>
                            </w:r>
                            <w:r>
                              <w:rPr>
                                <w:color w:val="231F1F"/>
                              </w:rPr>
                              <w:t>exploraciones</w:t>
                            </w:r>
                            <w:r>
                              <w:rPr>
                                <w:color w:val="231F1F"/>
                                <w:spacing w:val="-8"/>
                              </w:rPr>
                              <w:t> </w:t>
                            </w:r>
                            <w:r>
                              <w:rPr>
                                <w:color w:val="231F1F"/>
                              </w:rPr>
                              <w:t>vaginales</w:t>
                            </w:r>
                            <w:r>
                              <w:rPr>
                                <w:color w:val="231F1F"/>
                                <w:spacing w:val="-9"/>
                              </w:rPr>
                              <w:t> </w:t>
                            </w:r>
                            <w:r>
                              <w:rPr>
                                <w:color w:val="231F1F"/>
                              </w:rPr>
                              <w:t>durante</w:t>
                            </w:r>
                            <w:r>
                              <w:rPr>
                                <w:color w:val="231F1F"/>
                                <w:spacing w:val="-9"/>
                              </w:rPr>
                              <w:t> </w:t>
                            </w:r>
                            <w:r>
                              <w:rPr>
                                <w:color w:val="231F1F"/>
                              </w:rPr>
                              <w:t>el</w:t>
                            </w:r>
                            <w:r>
                              <w:rPr>
                                <w:color w:val="231F1F"/>
                                <w:spacing w:val="-8"/>
                              </w:rPr>
                              <w:t> </w:t>
                            </w:r>
                            <w:r>
                              <w:rPr>
                                <w:color w:val="231F1F"/>
                              </w:rPr>
                              <w:t>periodo</w:t>
                            </w:r>
                            <w:r>
                              <w:rPr>
                                <w:color w:val="231F1F"/>
                                <w:spacing w:val="-9"/>
                              </w:rPr>
                              <w:t> </w:t>
                            </w:r>
                            <w:r>
                              <w:rPr>
                                <w:color w:val="231F1F"/>
                              </w:rPr>
                              <w:t>de</w:t>
                            </w:r>
                            <w:r>
                              <w:rPr>
                                <w:color w:val="231F1F"/>
                                <w:spacing w:val="-8"/>
                              </w:rPr>
                              <w:t> </w:t>
                            </w:r>
                            <w:r>
                              <w:rPr>
                                <w:color w:val="231F1F"/>
                                <w:spacing w:val="-2"/>
                              </w:rPr>
                              <w:t>dilatación?</w:t>
                            </w:r>
                          </w:p>
                        </w:txbxContent>
                      </wps:txbx>
                      <wps:bodyPr wrap="square" lIns="0" tIns="0" rIns="0" bIns="0" rtlCol="0">
                        <a:noAutofit/>
                      </wps:bodyPr>
                    </wps:wsp>
                  </a:graphicData>
                </a:graphic>
              </wp:anchor>
            </w:drawing>
          </mc:Choice>
          <mc:Fallback>
            <w:pict>
              <v:shape style="position:absolute;margin-left:85.25pt;margin-top:13.351563pt;width:425.2pt;height:20.65pt;mso-position-horizontal-relative:page;mso-position-vertical-relative:paragraph;z-index:-15711232;mso-wrap-distance-left:0;mso-wrap-distance-right:0" type="#_x0000_t202" id="docshape57" filled="false" stroked="true" strokeweight=".5pt" strokecolor="#a30046">
                <v:textbox inset="0,0,0,0">
                  <w:txbxContent>
                    <w:p>
                      <w:pPr>
                        <w:pStyle w:val="BodyText"/>
                        <w:numPr>
                          <w:ilvl w:val="0"/>
                          <w:numId w:val="31"/>
                        </w:numPr>
                        <w:tabs>
                          <w:tab w:pos="315" w:val="left" w:leader="none"/>
                        </w:tabs>
                        <w:spacing w:line="240" w:lineRule="auto" w:before="63" w:after="0"/>
                        <w:ind w:left="315" w:right="0" w:hanging="211"/>
                        <w:jc w:val="left"/>
                      </w:pPr>
                      <w:r>
                        <w:rPr>
                          <w:color w:val="231F1F"/>
                        </w:rPr>
                        <w:t>¿Cuál</w:t>
                      </w:r>
                      <w:r>
                        <w:rPr>
                          <w:color w:val="231F1F"/>
                          <w:spacing w:val="-14"/>
                        </w:rPr>
                        <w:t> </w:t>
                      </w:r>
                      <w:r>
                        <w:rPr>
                          <w:color w:val="231F1F"/>
                        </w:rPr>
                        <w:t>es</w:t>
                      </w:r>
                      <w:r>
                        <w:rPr>
                          <w:color w:val="231F1F"/>
                          <w:spacing w:val="-9"/>
                        </w:rPr>
                        <w:t> </w:t>
                      </w:r>
                      <w:r>
                        <w:rPr>
                          <w:color w:val="231F1F"/>
                        </w:rPr>
                        <w:t>la</w:t>
                      </w:r>
                      <w:r>
                        <w:rPr>
                          <w:color w:val="231F1F"/>
                          <w:spacing w:val="-8"/>
                        </w:rPr>
                        <w:t> </w:t>
                      </w:r>
                      <w:r>
                        <w:rPr>
                          <w:color w:val="231F1F"/>
                        </w:rPr>
                        <w:t>frecuencia</w:t>
                      </w:r>
                      <w:r>
                        <w:rPr>
                          <w:color w:val="231F1F"/>
                          <w:spacing w:val="-8"/>
                        </w:rPr>
                        <w:t> </w:t>
                      </w:r>
                      <w:r>
                        <w:rPr>
                          <w:color w:val="231F1F"/>
                        </w:rPr>
                        <w:t>óptima</w:t>
                      </w:r>
                      <w:r>
                        <w:rPr>
                          <w:color w:val="231F1F"/>
                          <w:spacing w:val="-7"/>
                        </w:rPr>
                        <w:t> </w:t>
                      </w:r>
                      <w:r>
                        <w:rPr>
                          <w:color w:val="231F1F"/>
                        </w:rPr>
                        <w:t>de</w:t>
                      </w:r>
                      <w:r>
                        <w:rPr>
                          <w:color w:val="231F1F"/>
                          <w:spacing w:val="-10"/>
                        </w:rPr>
                        <w:t> </w:t>
                      </w:r>
                      <w:r>
                        <w:rPr>
                          <w:color w:val="231F1F"/>
                        </w:rPr>
                        <w:t>exploraciones</w:t>
                      </w:r>
                      <w:r>
                        <w:rPr>
                          <w:color w:val="231F1F"/>
                          <w:spacing w:val="-8"/>
                        </w:rPr>
                        <w:t> </w:t>
                      </w:r>
                      <w:r>
                        <w:rPr>
                          <w:color w:val="231F1F"/>
                        </w:rPr>
                        <w:t>vaginales</w:t>
                      </w:r>
                      <w:r>
                        <w:rPr>
                          <w:color w:val="231F1F"/>
                          <w:spacing w:val="-9"/>
                        </w:rPr>
                        <w:t> </w:t>
                      </w:r>
                      <w:r>
                        <w:rPr>
                          <w:color w:val="231F1F"/>
                        </w:rPr>
                        <w:t>durante</w:t>
                      </w:r>
                      <w:r>
                        <w:rPr>
                          <w:color w:val="231F1F"/>
                          <w:spacing w:val="-9"/>
                        </w:rPr>
                        <w:t> </w:t>
                      </w:r>
                      <w:r>
                        <w:rPr>
                          <w:color w:val="231F1F"/>
                        </w:rPr>
                        <w:t>el</w:t>
                      </w:r>
                      <w:r>
                        <w:rPr>
                          <w:color w:val="231F1F"/>
                          <w:spacing w:val="-8"/>
                        </w:rPr>
                        <w:t> </w:t>
                      </w:r>
                      <w:r>
                        <w:rPr>
                          <w:color w:val="231F1F"/>
                        </w:rPr>
                        <w:t>periodo</w:t>
                      </w:r>
                      <w:r>
                        <w:rPr>
                          <w:color w:val="231F1F"/>
                          <w:spacing w:val="-9"/>
                        </w:rPr>
                        <w:t> </w:t>
                      </w:r>
                      <w:r>
                        <w:rPr>
                          <w:color w:val="231F1F"/>
                        </w:rPr>
                        <w:t>de</w:t>
                      </w:r>
                      <w:r>
                        <w:rPr>
                          <w:color w:val="231F1F"/>
                          <w:spacing w:val="-8"/>
                        </w:rPr>
                        <w:t> </w:t>
                      </w:r>
                      <w:r>
                        <w:rPr>
                          <w:color w:val="231F1F"/>
                          <w:spacing w:val="-2"/>
                        </w:rPr>
                        <w:t>dilatación?</w:t>
                      </w:r>
                    </w:p>
                  </w:txbxContent>
                </v:textbox>
                <v:stroke dashstyle="solid"/>
                <w10:wrap type="topAndBottom"/>
              </v:shape>
            </w:pict>
          </mc:Fallback>
        </mc:AlternateContent>
      </w:r>
    </w:p>
    <w:p>
      <w:pPr>
        <w:pStyle w:val="BodyText"/>
        <w:spacing w:line="247" w:lineRule="auto" w:before="207"/>
        <w:ind w:left="284" w:right="121"/>
        <w:jc w:val="both"/>
      </w:pPr>
      <w:r>
        <w:rPr>
          <w:color w:val="231F1F"/>
          <w:w w:val="110"/>
        </w:rPr>
        <w:t>El</w:t>
      </w:r>
      <w:r>
        <w:rPr>
          <w:color w:val="231F1F"/>
          <w:spacing w:val="-9"/>
          <w:w w:val="110"/>
        </w:rPr>
        <w:t> </w:t>
      </w:r>
      <w:r>
        <w:rPr>
          <w:color w:val="231F1F"/>
          <w:w w:val="110"/>
        </w:rPr>
        <w:t>propósito</w:t>
      </w:r>
      <w:r>
        <w:rPr>
          <w:color w:val="231F1F"/>
          <w:spacing w:val="-8"/>
          <w:w w:val="110"/>
        </w:rPr>
        <w:t> </w:t>
      </w:r>
      <w:r>
        <w:rPr>
          <w:color w:val="231F1F"/>
          <w:w w:val="110"/>
        </w:rPr>
        <w:t>del</w:t>
      </w:r>
      <w:r>
        <w:rPr>
          <w:color w:val="231F1F"/>
          <w:spacing w:val="-9"/>
          <w:w w:val="110"/>
        </w:rPr>
        <w:t> </w:t>
      </w:r>
      <w:r>
        <w:rPr>
          <w:color w:val="231F1F"/>
          <w:w w:val="110"/>
        </w:rPr>
        <w:t>tacto</w:t>
      </w:r>
      <w:r>
        <w:rPr>
          <w:color w:val="231F1F"/>
          <w:spacing w:val="-8"/>
          <w:w w:val="110"/>
        </w:rPr>
        <w:t> </w:t>
      </w:r>
      <w:r>
        <w:rPr>
          <w:color w:val="231F1F"/>
          <w:w w:val="110"/>
        </w:rPr>
        <w:t>vaginal</w:t>
      </w:r>
      <w:r>
        <w:rPr>
          <w:color w:val="231F1F"/>
          <w:spacing w:val="-9"/>
          <w:w w:val="110"/>
        </w:rPr>
        <w:t> </w:t>
      </w:r>
      <w:r>
        <w:rPr>
          <w:color w:val="231F1F"/>
          <w:w w:val="110"/>
        </w:rPr>
        <w:t>es</w:t>
      </w:r>
      <w:r>
        <w:rPr>
          <w:color w:val="231F1F"/>
          <w:spacing w:val="-9"/>
          <w:w w:val="110"/>
        </w:rPr>
        <w:t> </w:t>
      </w:r>
      <w:r>
        <w:rPr>
          <w:color w:val="231F1F"/>
          <w:w w:val="110"/>
        </w:rPr>
        <w:t>comprobar</w:t>
      </w:r>
      <w:r>
        <w:rPr>
          <w:color w:val="231F1F"/>
          <w:spacing w:val="-8"/>
          <w:w w:val="110"/>
        </w:rPr>
        <w:t> </w:t>
      </w:r>
      <w:r>
        <w:rPr>
          <w:color w:val="231F1F"/>
          <w:w w:val="110"/>
        </w:rPr>
        <w:t>la</w:t>
      </w:r>
      <w:r>
        <w:rPr>
          <w:color w:val="231F1F"/>
          <w:spacing w:val="-8"/>
          <w:w w:val="110"/>
        </w:rPr>
        <w:t> </w:t>
      </w:r>
      <w:r>
        <w:rPr>
          <w:color w:val="231F1F"/>
          <w:w w:val="110"/>
        </w:rPr>
        <w:t>evolución</w:t>
      </w:r>
      <w:r>
        <w:rPr>
          <w:color w:val="231F1F"/>
          <w:spacing w:val="-8"/>
          <w:w w:val="110"/>
        </w:rPr>
        <w:t> </w:t>
      </w:r>
      <w:r>
        <w:rPr>
          <w:color w:val="231F1F"/>
          <w:w w:val="110"/>
        </w:rPr>
        <w:t>del</w:t>
      </w:r>
      <w:r>
        <w:rPr>
          <w:color w:val="231F1F"/>
          <w:spacing w:val="-9"/>
          <w:w w:val="110"/>
        </w:rPr>
        <w:t> </w:t>
      </w:r>
      <w:r>
        <w:rPr>
          <w:color w:val="231F1F"/>
          <w:w w:val="110"/>
        </w:rPr>
        <w:t>parto.</w:t>
      </w:r>
      <w:r>
        <w:rPr>
          <w:color w:val="231F1F"/>
          <w:spacing w:val="-9"/>
          <w:w w:val="110"/>
        </w:rPr>
        <w:t> </w:t>
      </w:r>
      <w:r>
        <w:rPr>
          <w:color w:val="231F1F"/>
          <w:w w:val="110"/>
        </w:rPr>
        <w:t>Sin</w:t>
      </w:r>
      <w:r>
        <w:rPr>
          <w:color w:val="231F1F"/>
          <w:spacing w:val="-8"/>
          <w:w w:val="110"/>
        </w:rPr>
        <w:t> </w:t>
      </w:r>
      <w:r>
        <w:rPr>
          <w:color w:val="231F1F"/>
          <w:w w:val="110"/>
        </w:rPr>
        <w:t>embargo,</w:t>
      </w:r>
      <w:r>
        <w:rPr>
          <w:color w:val="231F1F"/>
          <w:spacing w:val="-9"/>
          <w:w w:val="110"/>
        </w:rPr>
        <w:t> </w:t>
      </w:r>
      <w:r>
        <w:rPr>
          <w:color w:val="231F1F"/>
          <w:w w:val="110"/>
        </w:rPr>
        <w:t>hay</w:t>
      </w:r>
      <w:r>
        <w:rPr>
          <w:color w:val="231F1F"/>
          <w:spacing w:val="-8"/>
          <w:w w:val="110"/>
        </w:rPr>
        <w:t> </w:t>
      </w:r>
      <w:r>
        <w:rPr>
          <w:color w:val="231F1F"/>
          <w:w w:val="110"/>
        </w:rPr>
        <w:t>pu- blicaciones</w:t>
      </w:r>
      <w:r>
        <w:rPr>
          <w:color w:val="231F1F"/>
          <w:spacing w:val="-6"/>
          <w:w w:val="110"/>
        </w:rPr>
        <w:t> </w:t>
      </w:r>
      <w:r>
        <w:rPr>
          <w:color w:val="231F1F"/>
          <w:w w:val="110"/>
        </w:rPr>
        <w:t>que</w:t>
      </w:r>
      <w:r>
        <w:rPr>
          <w:color w:val="231F1F"/>
          <w:spacing w:val="-6"/>
          <w:w w:val="110"/>
        </w:rPr>
        <w:t> </w:t>
      </w:r>
      <w:r>
        <w:rPr>
          <w:color w:val="231F1F"/>
          <w:w w:val="110"/>
        </w:rPr>
        <w:t>asocian</w:t>
      </w:r>
      <w:r>
        <w:rPr>
          <w:color w:val="231F1F"/>
          <w:spacing w:val="-5"/>
          <w:w w:val="110"/>
        </w:rPr>
        <w:t> </w:t>
      </w:r>
      <w:r>
        <w:rPr>
          <w:color w:val="231F1F"/>
          <w:w w:val="110"/>
        </w:rPr>
        <w:t>el</w:t>
      </w:r>
      <w:r>
        <w:rPr>
          <w:color w:val="231F1F"/>
          <w:spacing w:val="-6"/>
          <w:w w:val="110"/>
        </w:rPr>
        <w:t> </w:t>
      </w:r>
      <w:r>
        <w:rPr>
          <w:color w:val="231F1F"/>
          <w:w w:val="110"/>
        </w:rPr>
        <w:t>riesgo</w:t>
      </w:r>
      <w:r>
        <w:rPr>
          <w:color w:val="231F1F"/>
          <w:spacing w:val="-5"/>
          <w:w w:val="110"/>
        </w:rPr>
        <w:t> </w:t>
      </w:r>
      <w:r>
        <w:rPr>
          <w:color w:val="231F1F"/>
          <w:w w:val="110"/>
        </w:rPr>
        <w:t>de</w:t>
      </w:r>
      <w:r>
        <w:rPr>
          <w:color w:val="231F1F"/>
          <w:spacing w:val="-5"/>
          <w:w w:val="110"/>
        </w:rPr>
        <w:t> </w:t>
      </w:r>
      <w:r>
        <w:rPr>
          <w:color w:val="231F1F"/>
          <w:w w:val="110"/>
        </w:rPr>
        <w:t>infección</w:t>
      </w:r>
      <w:r>
        <w:rPr>
          <w:color w:val="231F1F"/>
          <w:spacing w:val="-5"/>
          <w:w w:val="110"/>
        </w:rPr>
        <w:t> </w:t>
      </w:r>
      <w:r>
        <w:rPr>
          <w:color w:val="231F1F"/>
          <w:w w:val="110"/>
        </w:rPr>
        <w:t>con</w:t>
      </w:r>
      <w:r>
        <w:rPr>
          <w:color w:val="231F1F"/>
          <w:spacing w:val="-5"/>
          <w:w w:val="110"/>
        </w:rPr>
        <w:t> </w:t>
      </w:r>
      <w:r>
        <w:rPr>
          <w:color w:val="231F1F"/>
          <w:w w:val="110"/>
        </w:rPr>
        <w:t>el</w:t>
      </w:r>
      <w:r>
        <w:rPr>
          <w:color w:val="231F1F"/>
          <w:spacing w:val="-6"/>
          <w:w w:val="110"/>
        </w:rPr>
        <w:t> </w:t>
      </w:r>
      <w:r>
        <w:rPr>
          <w:color w:val="231F1F"/>
          <w:w w:val="110"/>
        </w:rPr>
        <w:t>número</w:t>
      </w:r>
      <w:r>
        <w:rPr>
          <w:color w:val="231F1F"/>
          <w:spacing w:val="-6"/>
          <w:w w:val="110"/>
        </w:rPr>
        <w:t> </w:t>
      </w:r>
      <w:r>
        <w:rPr>
          <w:color w:val="231F1F"/>
          <w:w w:val="110"/>
        </w:rPr>
        <w:t>de</w:t>
      </w:r>
      <w:r>
        <w:rPr>
          <w:color w:val="231F1F"/>
          <w:spacing w:val="-6"/>
          <w:w w:val="110"/>
        </w:rPr>
        <w:t> </w:t>
      </w:r>
      <w:r>
        <w:rPr>
          <w:color w:val="231F1F"/>
          <w:w w:val="110"/>
        </w:rPr>
        <w:t>exploraciones</w:t>
      </w:r>
      <w:r>
        <w:rPr>
          <w:color w:val="231F1F"/>
          <w:spacing w:val="-5"/>
          <w:w w:val="110"/>
        </w:rPr>
        <w:t> </w:t>
      </w:r>
      <w:r>
        <w:rPr>
          <w:color w:val="231F1F"/>
          <w:w w:val="110"/>
        </w:rPr>
        <w:t>vaginales (67;68).</w:t>
      </w:r>
      <w:r>
        <w:rPr>
          <w:color w:val="231F1F"/>
          <w:spacing w:val="-7"/>
          <w:w w:val="110"/>
        </w:rPr>
        <w:t> </w:t>
      </w:r>
      <w:r>
        <w:rPr>
          <w:color w:val="231F1F"/>
          <w:w w:val="110"/>
        </w:rPr>
        <w:t>Además</w:t>
      </w:r>
      <w:r>
        <w:rPr>
          <w:color w:val="231F1F"/>
          <w:spacing w:val="-7"/>
          <w:w w:val="110"/>
        </w:rPr>
        <w:t> </w:t>
      </w:r>
      <w:r>
        <w:rPr>
          <w:color w:val="231F1F"/>
          <w:w w:val="110"/>
        </w:rPr>
        <w:t>el</w:t>
      </w:r>
      <w:r>
        <w:rPr>
          <w:color w:val="231F1F"/>
          <w:spacing w:val="-7"/>
          <w:w w:val="110"/>
        </w:rPr>
        <w:t> </w:t>
      </w:r>
      <w:r>
        <w:rPr>
          <w:color w:val="231F1F"/>
          <w:w w:val="110"/>
        </w:rPr>
        <w:t>tacto</w:t>
      </w:r>
      <w:r>
        <w:rPr>
          <w:color w:val="231F1F"/>
          <w:spacing w:val="-7"/>
          <w:w w:val="110"/>
        </w:rPr>
        <w:t> </w:t>
      </w:r>
      <w:r>
        <w:rPr>
          <w:color w:val="231F1F"/>
          <w:w w:val="110"/>
        </w:rPr>
        <w:t>vaginal</w:t>
      </w:r>
      <w:r>
        <w:rPr>
          <w:color w:val="231F1F"/>
          <w:spacing w:val="-8"/>
          <w:w w:val="110"/>
        </w:rPr>
        <w:t> </w:t>
      </w:r>
      <w:r>
        <w:rPr>
          <w:color w:val="231F1F"/>
          <w:w w:val="110"/>
        </w:rPr>
        <w:t>durante</w:t>
      </w:r>
      <w:r>
        <w:rPr>
          <w:color w:val="231F1F"/>
          <w:spacing w:val="-7"/>
          <w:w w:val="110"/>
        </w:rPr>
        <w:t> </w:t>
      </w:r>
      <w:r>
        <w:rPr>
          <w:color w:val="231F1F"/>
          <w:w w:val="110"/>
        </w:rPr>
        <w:t>el</w:t>
      </w:r>
      <w:r>
        <w:rPr>
          <w:color w:val="231F1F"/>
          <w:spacing w:val="-7"/>
          <w:w w:val="110"/>
        </w:rPr>
        <w:t> </w:t>
      </w:r>
      <w:r>
        <w:rPr>
          <w:color w:val="231F1F"/>
          <w:w w:val="110"/>
        </w:rPr>
        <w:t>parto</w:t>
      </w:r>
      <w:r>
        <w:rPr>
          <w:color w:val="231F1F"/>
          <w:spacing w:val="-7"/>
          <w:w w:val="110"/>
        </w:rPr>
        <w:t> </w:t>
      </w:r>
      <w:r>
        <w:rPr>
          <w:color w:val="231F1F"/>
          <w:w w:val="110"/>
        </w:rPr>
        <w:t>puede</w:t>
      </w:r>
      <w:r>
        <w:rPr>
          <w:color w:val="231F1F"/>
          <w:spacing w:val="-7"/>
          <w:w w:val="110"/>
        </w:rPr>
        <w:t> </w:t>
      </w:r>
      <w:r>
        <w:rPr>
          <w:color w:val="231F1F"/>
          <w:w w:val="110"/>
        </w:rPr>
        <w:t>ser</w:t>
      </w:r>
      <w:r>
        <w:rPr>
          <w:color w:val="231F1F"/>
          <w:spacing w:val="-8"/>
          <w:w w:val="110"/>
        </w:rPr>
        <w:t> </w:t>
      </w:r>
      <w:r>
        <w:rPr>
          <w:color w:val="231F1F"/>
          <w:w w:val="110"/>
        </w:rPr>
        <w:t>molesto</w:t>
      </w:r>
      <w:r>
        <w:rPr>
          <w:color w:val="231F1F"/>
          <w:spacing w:val="-7"/>
          <w:w w:val="110"/>
        </w:rPr>
        <w:t> </w:t>
      </w:r>
      <w:r>
        <w:rPr>
          <w:color w:val="231F1F"/>
          <w:w w:val="110"/>
        </w:rPr>
        <w:t>y</w:t>
      </w:r>
      <w:r>
        <w:rPr>
          <w:color w:val="231F1F"/>
          <w:spacing w:val="-7"/>
          <w:w w:val="110"/>
        </w:rPr>
        <w:t> </w:t>
      </w:r>
      <w:r>
        <w:rPr>
          <w:color w:val="231F1F"/>
          <w:w w:val="110"/>
        </w:rPr>
        <w:t>a</w:t>
      </w:r>
      <w:r>
        <w:rPr>
          <w:color w:val="231F1F"/>
          <w:spacing w:val="-7"/>
          <w:w w:val="110"/>
        </w:rPr>
        <w:t> </w:t>
      </w:r>
      <w:r>
        <w:rPr>
          <w:color w:val="231F1F"/>
          <w:w w:val="110"/>
        </w:rPr>
        <w:t>menudo</w:t>
      </w:r>
      <w:r>
        <w:rPr>
          <w:color w:val="231F1F"/>
          <w:spacing w:val="-7"/>
          <w:w w:val="110"/>
        </w:rPr>
        <w:t> </w:t>
      </w:r>
      <w:r>
        <w:rPr>
          <w:color w:val="231F1F"/>
          <w:w w:val="110"/>
        </w:rPr>
        <w:t>crea</w:t>
      </w:r>
      <w:r>
        <w:rPr>
          <w:color w:val="231F1F"/>
          <w:spacing w:val="-7"/>
          <w:w w:val="110"/>
        </w:rPr>
        <w:t> </w:t>
      </w:r>
      <w:r>
        <w:rPr>
          <w:color w:val="231F1F"/>
          <w:w w:val="110"/>
        </w:rPr>
        <w:t>an- siedad y distrae a la mujer de la atención que presta a su parto.</w:t>
      </w:r>
    </w:p>
    <w:p>
      <w:pPr>
        <w:pStyle w:val="BodyText"/>
        <w:spacing w:before="19"/>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180"/>
        <w:ind w:left="283" w:right="1369"/>
        <w:jc w:val="both"/>
      </w:pPr>
      <w:r>
        <w:rPr>
          <w:color w:val="231F1F"/>
          <w:w w:val="110"/>
        </w:rPr>
        <w:t>La</w:t>
      </w:r>
      <w:r>
        <w:rPr>
          <w:color w:val="231F1F"/>
          <w:spacing w:val="-13"/>
          <w:w w:val="110"/>
        </w:rPr>
        <w:t> </w:t>
      </w:r>
      <w:r>
        <w:rPr>
          <w:color w:val="231F1F"/>
          <w:w w:val="110"/>
        </w:rPr>
        <w:t>guía</w:t>
      </w:r>
      <w:r>
        <w:rPr>
          <w:color w:val="231F1F"/>
          <w:spacing w:val="-13"/>
          <w:w w:val="110"/>
        </w:rPr>
        <w:t> </w:t>
      </w:r>
      <w:r>
        <w:rPr>
          <w:color w:val="231F1F"/>
          <w:w w:val="110"/>
        </w:rPr>
        <w:t>NICE</w:t>
      </w:r>
      <w:r>
        <w:rPr>
          <w:color w:val="231F1F"/>
          <w:spacing w:val="-12"/>
          <w:w w:val="110"/>
        </w:rPr>
        <w:t> </w:t>
      </w:r>
      <w:r>
        <w:rPr>
          <w:color w:val="231F1F"/>
          <w:w w:val="110"/>
        </w:rPr>
        <w:t>(10)</w:t>
      </w:r>
      <w:r>
        <w:rPr>
          <w:color w:val="231F1F"/>
          <w:spacing w:val="-13"/>
          <w:w w:val="110"/>
        </w:rPr>
        <w:t> </w:t>
      </w:r>
      <w:r>
        <w:rPr>
          <w:color w:val="231F1F"/>
          <w:w w:val="110"/>
        </w:rPr>
        <w:t>evalúa</w:t>
      </w:r>
      <w:r>
        <w:rPr>
          <w:color w:val="231F1F"/>
          <w:spacing w:val="-13"/>
          <w:w w:val="110"/>
        </w:rPr>
        <w:t> </w:t>
      </w:r>
      <w:r>
        <w:rPr>
          <w:color w:val="231F1F"/>
          <w:w w:val="110"/>
        </w:rPr>
        <w:t>la</w:t>
      </w:r>
      <w:r>
        <w:rPr>
          <w:color w:val="231F1F"/>
          <w:spacing w:val="-13"/>
          <w:w w:val="110"/>
        </w:rPr>
        <w:t> </w:t>
      </w:r>
      <w:r>
        <w:rPr>
          <w:color w:val="231F1F"/>
          <w:w w:val="110"/>
        </w:rPr>
        <w:t>evidencia</w:t>
      </w:r>
      <w:r>
        <w:rPr>
          <w:color w:val="231F1F"/>
          <w:spacing w:val="-13"/>
          <w:w w:val="110"/>
        </w:rPr>
        <w:t> </w:t>
      </w:r>
      <w:r>
        <w:rPr>
          <w:color w:val="231F1F"/>
          <w:w w:val="110"/>
        </w:rPr>
        <w:t>en</w:t>
      </w:r>
      <w:r>
        <w:rPr>
          <w:color w:val="231F1F"/>
          <w:spacing w:val="-13"/>
          <w:w w:val="110"/>
        </w:rPr>
        <w:t> </w:t>
      </w:r>
      <w:r>
        <w:rPr>
          <w:color w:val="231F1F"/>
          <w:w w:val="110"/>
        </w:rPr>
        <w:t>relación</w:t>
      </w:r>
      <w:r>
        <w:rPr>
          <w:color w:val="231F1F"/>
          <w:spacing w:val="-12"/>
          <w:w w:val="110"/>
        </w:rPr>
        <w:t> </w:t>
      </w:r>
      <w:r>
        <w:rPr>
          <w:color w:val="231F1F"/>
          <w:w w:val="110"/>
        </w:rPr>
        <w:t>a</w:t>
      </w:r>
      <w:r>
        <w:rPr>
          <w:color w:val="231F1F"/>
          <w:spacing w:val="-13"/>
          <w:w w:val="110"/>
        </w:rPr>
        <w:t> </w:t>
      </w:r>
      <w:r>
        <w:rPr>
          <w:color w:val="231F1F"/>
          <w:w w:val="110"/>
        </w:rPr>
        <w:t>la</w:t>
      </w:r>
      <w:r>
        <w:rPr>
          <w:color w:val="231F1F"/>
          <w:spacing w:val="-13"/>
          <w:w w:val="110"/>
        </w:rPr>
        <w:t> </w:t>
      </w:r>
      <w:r>
        <w:rPr>
          <w:color w:val="231F1F"/>
          <w:w w:val="110"/>
        </w:rPr>
        <w:t>influencia</w:t>
      </w:r>
      <w:r>
        <w:rPr>
          <w:color w:val="231F1F"/>
          <w:spacing w:val="-13"/>
          <w:w w:val="110"/>
        </w:rPr>
        <w:t> </w:t>
      </w:r>
      <w:r>
        <w:rPr>
          <w:color w:val="231F1F"/>
          <w:w w:val="110"/>
        </w:rPr>
        <w:t>de</w:t>
      </w:r>
      <w:r>
        <w:rPr>
          <w:color w:val="231F1F"/>
          <w:spacing w:val="-13"/>
          <w:w w:val="110"/>
        </w:rPr>
        <w:t> </w:t>
      </w:r>
      <w:r>
        <w:rPr>
          <w:color w:val="231F1F"/>
          <w:w w:val="110"/>
        </w:rPr>
        <w:t>los</w:t>
      </w:r>
      <w:r>
        <w:rPr>
          <w:color w:val="231F1F"/>
          <w:spacing w:val="-13"/>
          <w:w w:val="110"/>
        </w:rPr>
        <w:t> </w:t>
      </w:r>
      <w:r>
        <w:rPr>
          <w:color w:val="231F1F"/>
          <w:w w:val="110"/>
        </w:rPr>
        <w:t>exá- menes</w:t>
      </w:r>
      <w:r>
        <w:rPr>
          <w:color w:val="231F1F"/>
          <w:spacing w:val="-10"/>
          <w:w w:val="110"/>
        </w:rPr>
        <w:t> </w:t>
      </w:r>
      <w:r>
        <w:rPr>
          <w:color w:val="231F1F"/>
          <w:w w:val="110"/>
        </w:rPr>
        <w:t>vaginales</w:t>
      </w:r>
      <w:r>
        <w:rPr>
          <w:color w:val="231F1F"/>
          <w:spacing w:val="-11"/>
          <w:w w:val="110"/>
        </w:rPr>
        <w:t> </w:t>
      </w:r>
      <w:r>
        <w:rPr>
          <w:color w:val="231F1F"/>
          <w:w w:val="110"/>
        </w:rPr>
        <w:t>durante</w:t>
      </w:r>
      <w:r>
        <w:rPr>
          <w:color w:val="231F1F"/>
          <w:spacing w:val="-10"/>
          <w:w w:val="110"/>
        </w:rPr>
        <w:t> </w:t>
      </w:r>
      <w:r>
        <w:rPr>
          <w:color w:val="231F1F"/>
          <w:w w:val="110"/>
        </w:rPr>
        <w:t>la</w:t>
      </w:r>
      <w:r>
        <w:rPr>
          <w:color w:val="231F1F"/>
          <w:spacing w:val="-10"/>
          <w:w w:val="110"/>
        </w:rPr>
        <w:t> </w:t>
      </w:r>
      <w:r>
        <w:rPr>
          <w:color w:val="231F1F"/>
          <w:w w:val="110"/>
        </w:rPr>
        <w:t>primera</w:t>
      </w:r>
      <w:r>
        <w:rPr>
          <w:color w:val="231F1F"/>
          <w:spacing w:val="-10"/>
          <w:w w:val="110"/>
        </w:rPr>
        <w:t> </w:t>
      </w:r>
      <w:r>
        <w:rPr>
          <w:color w:val="231F1F"/>
          <w:w w:val="110"/>
        </w:rPr>
        <w:t>etapa</w:t>
      </w:r>
      <w:r>
        <w:rPr>
          <w:color w:val="231F1F"/>
          <w:spacing w:val="-10"/>
          <w:w w:val="110"/>
        </w:rPr>
        <w:t> </w:t>
      </w:r>
      <w:r>
        <w:rPr>
          <w:color w:val="231F1F"/>
          <w:w w:val="110"/>
        </w:rPr>
        <w:t>sobre</w:t>
      </w:r>
      <w:r>
        <w:rPr>
          <w:color w:val="231F1F"/>
          <w:spacing w:val="-11"/>
          <w:w w:val="110"/>
        </w:rPr>
        <w:t> </w:t>
      </w:r>
      <w:r>
        <w:rPr>
          <w:color w:val="231F1F"/>
          <w:w w:val="110"/>
        </w:rPr>
        <w:t>los</w:t>
      </w:r>
      <w:r>
        <w:rPr>
          <w:color w:val="231F1F"/>
          <w:spacing w:val="-11"/>
          <w:w w:val="110"/>
        </w:rPr>
        <w:t> </w:t>
      </w:r>
      <w:r>
        <w:rPr>
          <w:color w:val="231F1F"/>
          <w:w w:val="110"/>
        </w:rPr>
        <w:t>resultados</w:t>
      </w:r>
      <w:r>
        <w:rPr>
          <w:color w:val="231F1F"/>
          <w:spacing w:val="-10"/>
          <w:w w:val="110"/>
        </w:rPr>
        <w:t> </w:t>
      </w:r>
      <w:r>
        <w:rPr>
          <w:color w:val="231F1F"/>
          <w:w w:val="110"/>
        </w:rPr>
        <w:t>del</w:t>
      </w:r>
      <w:r>
        <w:rPr>
          <w:color w:val="231F1F"/>
          <w:spacing w:val="-11"/>
          <w:w w:val="110"/>
        </w:rPr>
        <w:t> </w:t>
      </w:r>
      <w:r>
        <w:rPr>
          <w:color w:val="231F1F"/>
          <w:w w:val="110"/>
        </w:rPr>
        <w:t>parto.</w:t>
      </w:r>
      <w:r>
        <w:rPr>
          <w:color w:val="231F1F"/>
          <w:spacing w:val="-11"/>
          <w:w w:val="110"/>
        </w:rPr>
        <w:t> </w:t>
      </w:r>
      <w:r>
        <w:rPr>
          <w:color w:val="231F1F"/>
          <w:w w:val="110"/>
        </w:rPr>
        <w:t>Por otro lado, también aborda los factores de riesgo asociados con la infección materna después de una rotura prematura de membranas, incluyendo entre dichos factores los exámenes vaginales.</w:t>
      </w:r>
    </w:p>
    <w:p>
      <w:pPr>
        <w:pStyle w:val="BodyText"/>
        <w:spacing w:line="244" w:lineRule="auto" w:before="117"/>
        <w:ind w:left="283" w:right="1373" w:firstLine="453"/>
        <w:jc w:val="both"/>
        <w:rPr>
          <w:i/>
        </w:rPr>
      </w:pPr>
      <w:r>
        <w:rPr>
          <w:color w:val="231F1F"/>
          <w:w w:val="105"/>
        </w:rPr>
        <w:t>Dentro de la primera etapa de parto, la evidencia incluida en NICE (10) consta</w:t>
      </w:r>
      <w:r>
        <w:rPr>
          <w:color w:val="231F1F"/>
          <w:spacing w:val="-8"/>
          <w:w w:val="105"/>
        </w:rPr>
        <w:t> </w:t>
      </w:r>
      <w:r>
        <w:rPr>
          <w:color w:val="231F1F"/>
          <w:w w:val="105"/>
        </w:rPr>
        <w:t>de</w:t>
      </w:r>
      <w:r>
        <w:rPr>
          <w:color w:val="231F1F"/>
          <w:spacing w:val="-8"/>
          <w:w w:val="105"/>
        </w:rPr>
        <w:t> </w:t>
      </w:r>
      <w:r>
        <w:rPr>
          <w:color w:val="231F1F"/>
          <w:w w:val="105"/>
        </w:rPr>
        <w:t>dos</w:t>
      </w:r>
      <w:r>
        <w:rPr>
          <w:color w:val="231F1F"/>
          <w:spacing w:val="-8"/>
          <w:w w:val="105"/>
        </w:rPr>
        <w:t> </w:t>
      </w:r>
      <w:r>
        <w:rPr>
          <w:color w:val="231F1F"/>
          <w:w w:val="105"/>
        </w:rPr>
        <w:t>estudios.</w:t>
      </w:r>
      <w:r>
        <w:rPr>
          <w:color w:val="231F1F"/>
          <w:spacing w:val="-8"/>
          <w:w w:val="105"/>
        </w:rPr>
        <w:t> </w:t>
      </w:r>
      <w:r>
        <w:rPr>
          <w:color w:val="231F1F"/>
          <w:w w:val="105"/>
        </w:rPr>
        <w:t>El</w:t>
      </w:r>
      <w:r>
        <w:rPr>
          <w:color w:val="231F1F"/>
          <w:spacing w:val="-8"/>
          <w:w w:val="105"/>
        </w:rPr>
        <w:t> </w:t>
      </w:r>
      <w:r>
        <w:rPr>
          <w:color w:val="231F1F"/>
          <w:w w:val="105"/>
        </w:rPr>
        <w:t>primero</w:t>
      </w:r>
      <w:r>
        <w:rPr>
          <w:color w:val="231F1F"/>
          <w:spacing w:val="-8"/>
          <w:w w:val="105"/>
        </w:rPr>
        <w:t> </w:t>
      </w:r>
      <w:r>
        <w:rPr>
          <w:color w:val="231F1F"/>
          <w:w w:val="105"/>
        </w:rPr>
        <w:t>es</w:t>
      </w:r>
      <w:r>
        <w:rPr>
          <w:color w:val="231F1F"/>
          <w:spacing w:val="-8"/>
          <w:w w:val="105"/>
        </w:rPr>
        <w:t> </w:t>
      </w:r>
      <w:r>
        <w:rPr>
          <w:color w:val="231F1F"/>
          <w:w w:val="105"/>
        </w:rPr>
        <w:t>un</w:t>
      </w:r>
      <w:r>
        <w:rPr>
          <w:color w:val="231F1F"/>
          <w:spacing w:val="-8"/>
          <w:w w:val="105"/>
        </w:rPr>
        <w:t> </w:t>
      </w:r>
      <w:r>
        <w:rPr>
          <w:color w:val="231F1F"/>
          <w:w w:val="105"/>
        </w:rPr>
        <w:t>ensayo</w:t>
      </w:r>
      <w:r>
        <w:rPr>
          <w:color w:val="231F1F"/>
          <w:spacing w:val="-8"/>
          <w:w w:val="105"/>
        </w:rPr>
        <w:t> </w:t>
      </w:r>
      <w:r>
        <w:rPr>
          <w:color w:val="231F1F"/>
          <w:w w:val="105"/>
        </w:rPr>
        <w:t>clínico</w:t>
      </w:r>
      <w:r>
        <w:rPr>
          <w:color w:val="231F1F"/>
          <w:spacing w:val="-8"/>
          <w:w w:val="105"/>
        </w:rPr>
        <w:t> </w:t>
      </w:r>
      <w:r>
        <w:rPr>
          <w:color w:val="231F1F"/>
          <w:w w:val="105"/>
        </w:rPr>
        <w:t>(69)</w:t>
      </w:r>
      <w:r>
        <w:rPr>
          <w:color w:val="231F1F"/>
          <w:spacing w:val="-8"/>
          <w:w w:val="105"/>
        </w:rPr>
        <w:t> </w:t>
      </w:r>
      <w:r>
        <w:rPr>
          <w:color w:val="231F1F"/>
          <w:w w:val="105"/>
        </w:rPr>
        <w:t>realizado</w:t>
      </w:r>
      <w:r>
        <w:rPr>
          <w:color w:val="231F1F"/>
          <w:spacing w:val="-8"/>
          <w:w w:val="105"/>
        </w:rPr>
        <w:t> </w:t>
      </w:r>
      <w:r>
        <w:rPr>
          <w:color w:val="231F1F"/>
          <w:w w:val="105"/>
        </w:rPr>
        <w:t>en</w:t>
      </w:r>
      <w:r>
        <w:rPr>
          <w:color w:val="231F1F"/>
          <w:spacing w:val="-8"/>
          <w:w w:val="105"/>
        </w:rPr>
        <w:t> </w:t>
      </w:r>
      <w:r>
        <w:rPr>
          <w:color w:val="231F1F"/>
          <w:w w:val="105"/>
        </w:rPr>
        <w:t>Reino Unido</w:t>
      </w:r>
      <w:r>
        <w:rPr>
          <w:color w:val="231F1F"/>
          <w:spacing w:val="-9"/>
          <w:w w:val="105"/>
        </w:rPr>
        <w:t> </w:t>
      </w:r>
      <w:r>
        <w:rPr>
          <w:color w:val="231F1F"/>
          <w:w w:val="105"/>
        </w:rPr>
        <w:t>con</w:t>
      </w:r>
      <w:r>
        <w:rPr>
          <w:color w:val="231F1F"/>
          <w:spacing w:val="-9"/>
          <w:w w:val="105"/>
        </w:rPr>
        <w:t> </w:t>
      </w:r>
      <w:r>
        <w:rPr>
          <w:color w:val="231F1F"/>
          <w:w w:val="105"/>
        </w:rPr>
        <w:t>109</w:t>
      </w:r>
      <w:r>
        <w:rPr>
          <w:color w:val="231F1F"/>
          <w:spacing w:val="-9"/>
          <w:w w:val="105"/>
        </w:rPr>
        <w:t> </w:t>
      </w:r>
      <w:r>
        <w:rPr>
          <w:color w:val="231F1F"/>
          <w:w w:val="105"/>
        </w:rPr>
        <w:t>mujeres</w:t>
      </w:r>
      <w:r>
        <w:rPr>
          <w:color w:val="231F1F"/>
          <w:spacing w:val="-9"/>
          <w:w w:val="105"/>
        </w:rPr>
        <w:t> </w:t>
      </w:r>
      <w:r>
        <w:rPr>
          <w:color w:val="231F1F"/>
          <w:w w:val="105"/>
        </w:rPr>
        <w:t>nulíparas</w:t>
      </w:r>
      <w:r>
        <w:rPr>
          <w:color w:val="231F1F"/>
          <w:spacing w:val="-9"/>
          <w:w w:val="105"/>
        </w:rPr>
        <w:t> </w:t>
      </w:r>
      <w:r>
        <w:rPr>
          <w:color w:val="231F1F"/>
          <w:w w:val="105"/>
        </w:rPr>
        <w:t>y</w:t>
      </w:r>
      <w:r>
        <w:rPr>
          <w:color w:val="231F1F"/>
          <w:spacing w:val="-9"/>
          <w:w w:val="105"/>
        </w:rPr>
        <w:t> </w:t>
      </w:r>
      <w:r>
        <w:rPr>
          <w:color w:val="231F1F"/>
          <w:w w:val="105"/>
        </w:rPr>
        <w:t>con</w:t>
      </w:r>
      <w:r>
        <w:rPr>
          <w:color w:val="231F1F"/>
          <w:spacing w:val="-9"/>
          <w:w w:val="105"/>
        </w:rPr>
        <w:t> </w:t>
      </w:r>
      <w:r>
        <w:rPr>
          <w:color w:val="231F1F"/>
          <w:w w:val="105"/>
        </w:rPr>
        <w:t>alto</w:t>
      </w:r>
      <w:r>
        <w:rPr>
          <w:color w:val="231F1F"/>
          <w:spacing w:val="-9"/>
          <w:w w:val="105"/>
        </w:rPr>
        <w:t> </w:t>
      </w:r>
      <w:r>
        <w:rPr>
          <w:color w:val="231F1F"/>
          <w:w w:val="105"/>
        </w:rPr>
        <w:t>riesgo</w:t>
      </w:r>
      <w:r>
        <w:rPr>
          <w:color w:val="231F1F"/>
          <w:spacing w:val="-9"/>
          <w:w w:val="105"/>
        </w:rPr>
        <w:t> </w:t>
      </w:r>
      <w:r>
        <w:rPr>
          <w:color w:val="231F1F"/>
          <w:w w:val="105"/>
        </w:rPr>
        <w:t>de</w:t>
      </w:r>
      <w:r>
        <w:rPr>
          <w:color w:val="231F1F"/>
          <w:spacing w:val="-9"/>
          <w:w w:val="105"/>
        </w:rPr>
        <w:t> </w:t>
      </w:r>
      <w:r>
        <w:rPr>
          <w:color w:val="231F1F"/>
          <w:w w:val="105"/>
        </w:rPr>
        <w:t>presentar</w:t>
      </w:r>
      <w:r>
        <w:rPr>
          <w:color w:val="231F1F"/>
          <w:spacing w:val="-10"/>
          <w:w w:val="105"/>
        </w:rPr>
        <w:t> </w:t>
      </w:r>
      <w:r>
        <w:rPr>
          <w:color w:val="231F1F"/>
          <w:w w:val="105"/>
        </w:rPr>
        <w:t>sesgos.</w:t>
      </w:r>
      <w:r>
        <w:rPr>
          <w:color w:val="231F1F"/>
          <w:spacing w:val="-10"/>
          <w:w w:val="105"/>
        </w:rPr>
        <w:t> </w:t>
      </w:r>
      <w:r>
        <w:rPr>
          <w:color w:val="231F1F"/>
          <w:w w:val="105"/>
        </w:rPr>
        <w:t>En</w:t>
      </w:r>
      <w:r>
        <w:rPr>
          <w:color w:val="231F1F"/>
          <w:spacing w:val="-9"/>
          <w:w w:val="105"/>
        </w:rPr>
        <w:t> </w:t>
      </w:r>
      <w:r>
        <w:rPr>
          <w:color w:val="231F1F"/>
          <w:w w:val="105"/>
        </w:rPr>
        <w:t>él</w:t>
      </w:r>
      <w:r>
        <w:rPr>
          <w:color w:val="231F1F"/>
          <w:spacing w:val="-9"/>
          <w:w w:val="105"/>
        </w:rPr>
        <w:t> </w:t>
      </w:r>
      <w:r>
        <w:rPr>
          <w:color w:val="231F1F"/>
          <w:w w:val="105"/>
        </w:rPr>
        <w:t>se </w:t>
      </w:r>
      <w:r>
        <w:rPr>
          <w:color w:val="231F1F"/>
          <w:spacing w:val="-2"/>
          <w:w w:val="105"/>
        </w:rPr>
        <w:t>comparó</w:t>
      </w:r>
      <w:r>
        <w:rPr>
          <w:color w:val="231F1F"/>
          <w:spacing w:val="-16"/>
          <w:w w:val="105"/>
        </w:rPr>
        <w:t> </w:t>
      </w:r>
      <w:r>
        <w:rPr>
          <w:color w:val="231F1F"/>
          <w:spacing w:val="-2"/>
          <w:w w:val="105"/>
        </w:rPr>
        <w:t>la</w:t>
      </w:r>
      <w:r>
        <w:rPr>
          <w:color w:val="231F1F"/>
          <w:spacing w:val="-15"/>
          <w:w w:val="105"/>
        </w:rPr>
        <w:t> </w:t>
      </w:r>
      <w:r>
        <w:rPr>
          <w:color w:val="231F1F"/>
          <w:spacing w:val="-2"/>
          <w:w w:val="105"/>
        </w:rPr>
        <w:t>realización</w:t>
      </w:r>
      <w:r>
        <w:rPr>
          <w:color w:val="231F1F"/>
          <w:spacing w:val="-16"/>
          <w:w w:val="105"/>
        </w:rPr>
        <w:t> </w:t>
      </w:r>
      <w:r>
        <w:rPr>
          <w:color w:val="231F1F"/>
          <w:spacing w:val="-2"/>
          <w:w w:val="105"/>
        </w:rPr>
        <w:t>de</w:t>
      </w:r>
      <w:r>
        <w:rPr>
          <w:color w:val="231F1F"/>
          <w:spacing w:val="-16"/>
          <w:w w:val="105"/>
        </w:rPr>
        <w:t> </w:t>
      </w:r>
      <w:r>
        <w:rPr>
          <w:i/>
          <w:color w:val="231F1F"/>
          <w:spacing w:val="-2"/>
          <w:w w:val="105"/>
        </w:rPr>
        <w:t>exploraciones</w:t>
      </w:r>
      <w:r>
        <w:rPr>
          <w:i/>
          <w:color w:val="231F1F"/>
          <w:spacing w:val="-18"/>
          <w:w w:val="105"/>
        </w:rPr>
        <w:t> </w:t>
      </w:r>
      <w:r>
        <w:rPr>
          <w:i/>
          <w:color w:val="231F1F"/>
          <w:spacing w:val="-2"/>
          <w:w w:val="105"/>
        </w:rPr>
        <w:t>vaginales</w:t>
      </w:r>
      <w:r>
        <w:rPr>
          <w:i/>
          <w:color w:val="231F1F"/>
          <w:spacing w:val="-17"/>
          <w:w w:val="105"/>
        </w:rPr>
        <w:t> </w:t>
      </w:r>
      <w:r>
        <w:rPr>
          <w:i/>
          <w:color w:val="231F1F"/>
          <w:spacing w:val="-2"/>
          <w:w w:val="105"/>
        </w:rPr>
        <w:t>cada</w:t>
      </w:r>
      <w:r>
        <w:rPr>
          <w:i/>
          <w:color w:val="231F1F"/>
          <w:spacing w:val="-18"/>
          <w:w w:val="105"/>
        </w:rPr>
        <w:t> </w:t>
      </w:r>
      <w:r>
        <w:rPr>
          <w:i/>
          <w:color w:val="231F1F"/>
          <w:spacing w:val="-2"/>
          <w:w w:val="105"/>
        </w:rPr>
        <w:t>dos</w:t>
      </w:r>
      <w:r>
        <w:rPr>
          <w:i/>
          <w:color w:val="231F1F"/>
          <w:spacing w:val="-16"/>
          <w:w w:val="105"/>
        </w:rPr>
        <w:t> </w:t>
      </w:r>
      <w:r>
        <w:rPr>
          <w:i/>
          <w:color w:val="231F1F"/>
          <w:spacing w:val="-2"/>
          <w:w w:val="105"/>
        </w:rPr>
        <w:t>o</w:t>
      </w:r>
      <w:r>
        <w:rPr>
          <w:i/>
          <w:color w:val="231F1F"/>
          <w:spacing w:val="-18"/>
          <w:w w:val="105"/>
        </w:rPr>
        <w:t> </w:t>
      </w:r>
      <w:r>
        <w:rPr>
          <w:i/>
          <w:color w:val="231F1F"/>
          <w:spacing w:val="-2"/>
          <w:w w:val="105"/>
        </w:rPr>
        <w:t>cada</w:t>
      </w:r>
      <w:r>
        <w:rPr>
          <w:i/>
          <w:color w:val="231F1F"/>
          <w:spacing w:val="-17"/>
          <w:w w:val="105"/>
        </w:rPr>
        <w:t> </w:t>
      </w:r>
      <w:r>
        <w:rPr>
          <w:i/>
          <w:color w:val="231F1F"/>
          <w:spacing w:val="-2"/>
          <w:w w:val="105"/>
        </w:rPr>
        <w:t>cuatro</w:t>
      </w:r>
      <w:r>
        <w:rPr>
          <w:i/>
          <w:color w:val="231F1F"/>
          <w:spacing w:val="-18"/>
          <w:w w:val="105"/>
        </w:rPr>
        <w:t> </w:t>
      </w:r>
      <w:r>
        <w:rPr>
          <w:i/>
          <w:color w:val="231F1F"/>
          <w:spacing w:val="-2"/>
          <w:w w:val="105"/>
        </w:rPr>
        <w:t>horas.</w:t>
      </w:r>
    </w:p>
    <w:p>
      <w:pPr>
        <w:pStyle w:val="BodyText"/>
        <w:tabs>
          <w:tab w:pos="8036" w:val="left" w:leader="none"/>
          <w:tab w:pos="8133" w:val="left" w:leader="none"/>
        </w:tabs>
        <w:spacing w:line="249" w:lineRule="auto" w:before="76"/>
        <w:ind w:left="283" w:right="524" w:firstLine="453"/>
      </w:pPr>
      <w:r>
        <w:rPr>
          <w:color w:val="231F1F"/>
          <w:w w:val="110"/>
        </w:rPr>
        <w:t>No se encontraron diferencias sobre la duración del parto entre los dos</w:t>
      </w:r>
      <w:r>
        <w:rPr>
          <w:color w:val="231F1F"/>
        </w:rPr>
        <w:tab/>
      </w:r>
      <w:r>
        <w:rPr>
          <w:rFonts w:ascii="Arial MT" w:hAnsi="Arial MT"/>
          <w:color w:val="231F1F"/>
          <w:spacing w:val="-12"/>
          <w:w w:val="105"/>
          <w:sz w:val="18"/>
        </w:rPr>
        <w:t>ECA </w:t>
      </w:r>
      <w:r>
        <w:rPr>
          <w:color w:val="231F1F"/>
          <w:w w:val="110"/>
        </w:rPr>
        <w:t>grupos, no habiendo diferencias en el número de exámenes vaginales realiza-</w:t>
      </w:r>
      <w:r>
        <w:rPr>
          <w:color w:val="231F1F"/>
        </w:rPr>
        <w:tab/>
        <w:tab/>
      </w:r>
      <w:r>
        <w:rPr>
          <w:rFonts w:ascii="Arial MT" w:hAnsi="Arial MT"/>
          <w:color w:val="231F1F"/>
          <w:spacing w:val="-6"/>
          <w:w w:val="110"/>
          <w:position w:val="4"/>
          <w:sz w:val="18"/>
        </w:rPr>
        <w:t>1- </w:t>
      </w:r>
      <w:r>
        <w:rPr>
          <w:color w:val="231F1F"/>
          <w:w w:val="110"/>
        </w:rPr>
        <w:t>do en ambos grupos.</w:t>
      </w:r>
    </w:p>
    <w:p>
      <w:pPr>
        <w:pStyle w:val="BodyText"/>
        <w:tabs>
          <w:tab w:pos="8133" w:val="left" w:leader="none"/>
        </w:tabs>
        <w:spacing w:line="244" w:lineRule="auto" w:before="67"/>
        <w:ind w:left="283" w:right="265" w:firstLine="470"/>
        <w:jc w:val="both"/>
        <w:rPr>
          <w:rFonts w:ascii="Arial MT" w:hAnsi="Arial MT"/>
          <w:position w:val="8"/>
          <w:sz w:val="18"/>
        </w:rPr>
      </w:pPr>
      <w:r>
        <w:rPr>
          <w:color w:val="231F1F"/>
          <w:w w:val="105"/>
        </w:rPr>
        <w:t>El</w:t>
      </w:r>
      <w:r>
        <w:rPr>
          <w:color w:val="231F1F"/>
          <w:spacing w:val="-4"/>
          <w:w w:val="105"/>
        </w:rPr>
        <w:t> </w:t>
      </w:r>
      <w:r>
        <w:rPr>
          <w:color w:val="231F1F"/>
          <w:w w:val="105"/>
        </w:rPr>
        <w:t>otro,</w:t>
      </w:r>
      <w:r>
        <w:rPr>
          <w:color w:val="231F1F"/>
          <w:spacing w:val="-5"/>
          <w:w w:val="105"/>
        </w:rPr>
        <w:t> </w:t>
      </w:r>
      <w:r>
        <w:rPr>
          <w:color w:val="231F1F"/>
          <w:w w:val="105"/>
        </w:rPr>
        <w:t>es</w:t>
      </w:r>
      <w:r>
        <w:rPr>
          <w:color w:val="231F1F"/>
          <w:spacing w:val="-4"/>
          <w:w w:val="105"/>
        </w:rPr>
        <w:t> </w:t>
      </w:r>
      <w:r>
        <w:rPr>
          <w:color w:val="231F1F"/>
          <w:w w:val="105"/>
        </w:rPr>
        <w:t>un</w:t>
      </w:r>
      <w:r>
        <w:rPr>
          <w:color w:val="231F1F"/>
          <w:spacing w:val="-4"/>
          <w:w w:val="105"/>
        </w:rPr>
        <w:t> </w:t>
      </w:r>
      <w:r>
        <w:rPr>
          <w:color w:val="231F1F"/>
          <w:w w:val="105"/>
        </w:rPr>
        <w:t>estudio</w:t>
      </w:r>
      <w:r>
        <w:rPr>
          <w:color w:val="231F1F"/>
          <w:spacing w:val="-4"/>
          <w:w w:val="105"/>
        </w:rPr>
        <w:t> </w:t>
      </w:r>
      <w:r>
        <w:rPr>
          <w:color w:val="231F1F"/>
          <w:w w:val="105"/>
        </w:rPr>
        <w:t>sueco</w:t>
      </w:r>
      <w:r>
        <w:rPr>
          <w:color w:val="231F1F"/>
          <w:spacing w:val="-4"/>
          <w:w w:val="105"/>
        </w:rPr>
        <w:t> </w:t>
      </w:r>
      <w:r>
        <w:rPr>
          <w:color w:val="231F1F"/>
          <w:w w:val="105"/>
        </w:rPr>
        <w:t>de</w:t>
      </w:r>
      <w:r>
        <w:rPr>
          <w:color w:val="231F1F"/>
          <w:spacing w:val="-4"/>
          <w:w w:val="105"/>
        </w:rPr>
        <w:t> </w:t>
      </w:r>
      <w:r>
        <w:rPr>
          <w:color w:val="231F1F"/>
          <w:w w:val="105"/>
        </w:rPr>
        <w:t>caso</w:t>
      </w:r>
      <w:r>
        <w:rPr>
          <w:color w:val="231F1F"/>
          <w:spacing w:val="-4"/>
          <w:w w:val="105"/>
        </w:rPr>
        <w:t> </w:t>
      </w:r>
      <w:r>
        <w:rPr>
          <w:color w:val="231F1F"/>
          <w:w w:val="105"/>
        </w:rPr>
        <w:t>y</w:t>
      </w:r>
      <w:r>
        <w:rPr>
          <w:color w:val="231F1F"/>
          <w:spacing w:val="-4"/>
          <w:w w:val="105"/>
        </w:rPr>
        <w:t> </w:t>
      </w:r>
      <w:r>
        <w:rPr>
          <w:color w:val="231F1F"/>
          <w:w w:val="105"/>
        </w:rPr>
        <w:t>control</w:t>
      </w:r>
      <w:r>
        <w:rPr>
          <w:color w:val="231F1F"/>
          <w:spacing w:val="-4"/>
          <w:w w:val="105"/>
        </w:rPr>
        <w:t> </w:t>
      </w:r>
      <w:r>
        <w:rPr>
          <w:color w:val="231F1F"/>
          <w:w w:val="105"/>
        </w:rPr>
        <w:t>(70)</w:t>
      </w:r>
      <w:r>
        <w:rPr>
          <w:color w:val="231F1F"/>
          <w:spacing w:val="-4"/>
          <w:w w:val="105"/>
        </w:rPr>
        <w:t> </w:t>
      </w:r>
      <w:r>
        <w:rPr>
          <w:color w:val="231F1F"/>
          <w:w w:val="105"/>
        </w:rPr>
        <w:t>de</w:t>
      </w:r>
      <w:r>
        <w:rPr>
          <w:color w:val="231F1F"/>
          <w:spacing w:val="-4"/>
          <w:w w:val="105"/>
        </w:rPr>
        <w:t> </w:t>
      </w:r>
      <w:r>
        <w:rPr>
          <w:color w:val="231F1F"/>
          <w:w w:val="105"/>
        </w:rPr>
        <w:t>baja</w:t>
      </w:r>
      <w:r>
        <w:rPr>
          <w:color w:val="231F1F"/>
          <w:spacing w:val="-5"/>
          <w:w w:val="105"/>
        </w:rPr>
        <w:t> </w:t>
      </w:r>
      <w:r>
        <w:rPr>
          <w:color w:val="231F1F"/>
          <w:w w:val="105"/>
        </w:rPr>
        <w:t>calidad</w:t>
      </w:r>
      <w:r>
        <w:rPr>
          <w:color w:val="231F1F"/>
          <w:spacing w:val="-4"/>
          <w:w w:val="105"/>
        </w:rPr>
        <w:t> </w:t>
      </w:r>
      <w:r>
        <w:rPr>
          <w:color w:val="231F1F"/>
          <w:w w:val="105"/>
        </w:rPr>
        <w:t>(NE=2,</w:t>
      </w:r>
      <w:r>
        <w:rPr>
          <w:color w:val="231F1F"/>
          <w:spacing w:val="40"/>
          <w:w w:val="105"/>
        </w:rPr>
        <w:t>  </w:t>
      </w:r>
      <w:r>
        <w:rPr>
          <w:rFonts w:ascii="Arial MT" w:hAnsi="Arial MT"/>
          <w:color w:val="231F1F"/>
          <w:w w:val="105"/>
          <w:sz w:val="18"/>
        </w:rPr>
        <w:t>E</w:t>
      </w:r>
      <w:r>
        <w:rPr>
          <w:rFonts w:ascii="Arial MT" w:hAnsi="Arial MT"/>
          <w:color w:val="231F1F"/>
          <w:spacing w:val="-12"/>
          <w:w w:val="105"/>
          <w:sz w:val="18"/>
        </w:rPr>
        <w:t> </w:t>
      </w:r>
      <w:r>
        <w:rPr>
          <w:rFonts w:ascii="Arial MT" w:hAnsi="Arial MT"/>
          <w:color w:val="231F1F"/>
          <w:w w:val="105"/>
          <w:sz w:val="18"/>
        </w:rPr>
        <w:t>de</w:t>
      </w:r>
      <w:r>
        <w:rPr>
          <w:rFonts w:ascii="Arial MT" w:hAnsi="Arial MT"/>
          <w:color w:val="231F1F"/>
          <w:spacing w:val="-12"/>
          <w:w w:val="105"/>
          <w:sz w:val="18"/>
        </w:rPr>
        <w:t> </w:t>
      </w:r>
      <w:r>
        <w:rPr>
          <w:rFonts w:ascii="Arial MT" w:hAnsi="Arial MT"/>
          <w:color w:val="231F1F"/>
          <w:w w:val="105"/>
          <w:sz w:val="18"/>
        </w:rPr>
        <w:t>Caso </w:t>
      </w:r>
      <w:r>
        <w:rPr>
          <w:color w:val="231F1F"/>
          <w:w w:val="105"/>
        </w:rPr>
        <w:t>con un análisis estadístico inapropiado) que incluye un total de 68 mujeres, y</w:t>
      </w:r>
      <w:r>
        <w:rPr>
          <w:color w:val="231F1F"/>
          <w:spacing w:val="40"/>
          <w:w w:val="105"/>
        </w:rPr>
        <w:t>  </w:t>
      </w:r>
      <w:r>
        <w:rPr>
          <w:rFonts w:ascii="Arial MT" w:hAnsi="Arial MT"/>
          <w:color w:val="231F1F"/>
          <w:w w:val="105"/>
          <w:position w:val="4"/>
          <w:sz w:val="18"/>
        </w:rPr>
        <w:t>de</w:t>
      </w:r>
      <w:r>
        <w:rPr>
          <w:rFonts w:ascii="Arial MT" w:hAnsi="Arial MT"/>
          <w:color w:val="231F1F"/>
          <w:spacing w:val="-1"/>
          <w:w w:val="105"/>
          <w:position w:val="4"/>
          <w:sz w:val="18"/>
        </w:rPr>
        <w:t> </w:t>
      </w:r>
      <w:r>
        <w:rPr>
          <w:rFonts w:ascii="Arial MT" w:hAnsi="Arial MT"/>
          <w:color w:val="231F1F"/>
          <w:w w:val="105"/>
          <w:position w:val="4"/>
          <w:sz w:val="18"/>
        </w:rPr>
        <w:t>control </w:t>
      </w:r>
      <w:r>
        <w:rPr>
          <w:color w:val="231F1F"/>
          <w:w w:val="105"/>
        </w:rPr>
        <w:t>que pretende analizar cuáles son los factores predictores de la sepsis neonatal,</w:t>
      </w:r>
      <w:r>
        <w:rPr>
          <w:color w:val="231F1F"/>
        </w:rPr>
        <w:tab/>
      </w:r>
      <w:r>
        <w:rPr>
          <w:rFonts w:ascii="Arial MT" w:hAnsi="Arial MT"/>
          <w:color w:val="231F1F"/>
          <w:spacing w:val="-6"/>
          <w:w w:val="105"/>
          <w:position w:val="8"/>
          <w:sz w:val="18"/>
        </w:rPr>
        <w:t>2-</w:t>
      </w:r>
    </w:p>
    <w:p>
      <w:pPr>
        <w:pStyle w:val="BodyText"/>
        <w:spacing w:line="244" w:lineRule="auto" w:before="9"/>
        <w:ind w:left="283" w:right="1550"/>
        <w:jc w:val="both"/>
      </w:pPr>
      <w:r>
        <w:rPr>
          <w:color w:val="231F1F"/>
          <w:spacing w:val="-2"/>
          <w:w w:val="105"/>
        </w:rPr>
        <w:t>considerando</w:t>
      </w:r>
      <w:r>
        <w:rPr>
          <w:color w:val="231F1F"/>
          <w:spacing w:val="-6"/>
          <w:w w:val="105"/>
        </w:rPr>
        <w:t> </w:t>
      </w:r>
      <w:r>
        <w:rPr>
          <w:color w:val="231F1F"/>
          <w:spacing w:val="-2"/>
          <w:w w:val="105"/>
        </w:rPr>
        <w:t>siete</w:t>
      </w:r>
      <w:r>
        <w:rPr>
          <w:color w:val="231F1F"/>
          <w:spacing w:val="-7"/>
          <w:w w:val="105"/>
        </w:rPr>
        <w:t> </w:t>
      </w:r>
      <w:r>
        <w:rPr>
          <w:color w:val="231F1F"/>
          <w:spacing w:val="-2"/>
          <w:w w:val="105"/>
        </w:rPr>
        <w:t>posibles</w:t>
      </w:r>
      <w:r>
        <w:rPr>
          <w:color w:val="231F1F"/>
          <w:spacing w:val="-7"/>
          <w:w w:val="105"/>
        </w:rPr>
        <w:t> </w:t>
      </w:r>
      <w:r>
        <w:rPr>
          <w:color w:val="231F1F"/>
          <w:spacing w:val="-2"/>
          <w:w w:val="105"/>
        </w:rPr>
        <w:t>variables</w:t>
      </w:r>
      <w:r>
        <w:rPr>
          <w:color w:val="231F1F"/>
          <w:spacing w:val="-7"/>
          <w:w w:val="105"/>
        </w:rPr>
        <w:t> </w:t>
      </w:r>
      <w:r>
        <w:rPr>
          <w:color w:val="231F1F"/>
          <w:spacing w:val="-2"/>
          <w:w w:val="105"/>
        </w:rPr>
        <w:t>como</w:t>
      </w:r>
      <w:r>
        <w:rPr>
          <w:color w:val="231F1F"/>
          <w:spacing w:val="-7"/>
          <w:w w:val="105"/>
        </w:rPr>
        <w:t> </w:t>
      </w:r>
      <w:r>
        <w:rPr>
          <w:color w:val="231F1F"/>
          <w:spacing w:val="-2"/>
          <w:w w:val="105"/>
        </w:rPr>
        <w:t>predictoras</w:t>
      </w:r>
      <w:r>
        <w:rPr>
          <w:color w:val="231F1F"/>
          <w:spacing w:val="-7"/>
          <w:w w:val="105"/>
        </w:rPr>
        <w:t> </w:t>
      </w:r>
      <w:r>
        <w:rPr>
          <w:color w:val="231F1F"/>
          <w:spacing w:val="-2"/>
          <w:w w:val="105"/>
        </w:rPr>
        <w:t>de</w:t>
      </w:r>
      <w:r>
        <w:rPr>
          <w:color w:val="231F1F"/>
          <w:spacing w:val="-7"/>
          <w:w w:val="105"/>
        </w:rPr>
        <w:t> </w:t>
      </w:r>
      <w:r>
        <w:rPr>
          <w:color w:val="231F1F"/>
          <w:spacing w:val="-2"/>
          <w:w w:val="105"/>
        </w:rPr>
        <w:t>una</w:t>
      </w:r>
      <w:r>
        <w:rPr>
          <w:color w:val="231F1F"/>
          <w:spacing w:val="-7"/>
          <w:w w:val="105"/>
        </w:rPr>
        <w:t> </w:t>
      </w:r>
      <w:r>
        <w:rPr>
          <w:color w:val="231F1F"/>
          <w:spacing w:val="-2"/>
          <w:w w:val="105"/>
        </w:rPr>
        <w:t>sepsis</w:t>
      </w:r>
      <w:r>
        <w:rPr>
          <w:color w:val="231F1F"/>
          <w:spacing w:val="-7"/>
          <w:w w:val="105"/>
        </w:rPr>
        <w:t> </w:t>
      </w:r>
      <w:r>
        <w:rPr>
          <w:color w:val="231F1F"/>
          <w:spacing w:val="-2"/>
          <w:w w:val="105"/>
        </w:rPr>
        <w:t>neonatal, </w:t>
      </w:r>
      <w:r>
        <w:rPr>
          <w:color w:val="231F1F"/>
          <w:w w:val="105"/>
        </w:rPr>
        <w:t>entre las que se encontraría el tacto vaginal.</w:t>
      </w:r>
    </w:p>
    <w:p>
      <w:pPr>
        <w:pStyle w:val="BodyText"/>
        <w:spacing w:before="41"/>
        <w:ind w:left="283" w:right="1386" w:firstLine="453"/>
      </w:pPr>
      <w:r>
        <w:rPr>
          <w:color w:val="231F1F"/>
          <w:w w:val="110"/>
        </w:rPr>
        <w:t>En</w:t>
      </w:r>
      <w:r>
        <w:rPr>
          <w:color w:val="231F1F"/>
          <w:spacing w:val="-9"/>
          <w:w w:val="110"/>
        </w:rPr>
        <w:t> </w:t>
      </w:r>
      <w:r>
        <w:rPr>
          <w:color w:val="231F1F"/>
          <w:w w:val="110"/>
        </w:rPr>
        <w:t>los</w:t>
      </w:r>
      <w:r>
        <w:rPr>
          <w:color w:val="231F1F"/>
          <w:spacing w:val="-9"/>
          <w:w w:val="110"/>
        </w:rPr>
        <w:t> </w:t>
      </w:r>
      <w:r>
        <w:rPr>
          <w:color w:val="231F1F"/>
          <w:w w:val="110"/>
        </w:rPr>
        <w:t>resultados</w:t>
      </w:r>
      <w:r>
        <w:rPr>
          <w:color w:val="231F1F"/>
          <w:spacing w:val="-9"/>
          <w:w w:val="110"/>
        </w:rPr>
        <w:t> </w:t>
      </w:r>
      <w:r>
        <w:rPr>
          <w:color w:val="231F1F"/>
          <w:w w:val="110"/>
        </w:rPr>
        <w:t>no</w:t>
      </w:r>
      <w:r>
        <w:rPr>
          <w:color w:val="231F1F"/>
          <w:spacing w:val="-9"/>
          <w:w w:val="110"/>
        </w:rPr>
        <w:t> </w:t>
      </w:r>
      <w:r>
        <w:rPr>
          <w:color w:val="231F1F"/>
          <w:w w:val="110"/>
        </w:rPr>
        <w:t>se</w:t>
      </w:r>
      <w:r>
        <w:rPr>
          <w:color w:val="231F1F"/>
          <w:spacing w:val="-9"/>
          <w:w w:val="110"/>
        </w:rPr>
        <w:t> </w:t>
      </w:r>
      <w:r>
        <w:rPr>
          <w:color w:val="231F1F"/>
          <w:w w:val="110"/>
        </w:rPr>
        <w:t>hallaron</w:t>
      </w:r>
      <w:r>
        <w:rPr>
          <w:color w:val="231F1F"/>
          <w:spacing w:val="-9"/>
          <w:w w:val="110"/>
        </w:rPr>
        <w:t> </w:t>
      </w:r>
      <w:r>
        <w:rPr>
          <w:color w:val="231F1F"/>
          <w:w w:val="110"/>
        </w:rPr>
        <w:t>factores</w:t>
      </w:r>
      <w:r>
        <w:rPr>
          <w:color w:val="231F1F"/>
          <w:spacing w:val="-9"/>
          <w:w w:val="110"/>
        </w:rPr>
        <w:t> </w:t>
      </w:r>
      <w:r>
        <w:rPr>
          <w:color w:val="231F1F"/>
          <w:w w:val="110"/>
        </w:rPr>
        <w:t>que</w:t>
      </w:r>
      <w:r>
        <w:rPr>
          <w:color w:val="231F1F"/>
          <w:spacing w:val="-9"/>
          <w:w w:val="110"/>
        </w:rPr>
        <w:t> </w:t>
      </w:r>
      <w:r>
        <w:rPr>
          <w:color w:val="231F1F"/>
          <w:w w:val="110"/>
        </w:rPr>
        <w:t>pronosticasen</w:t>
      </w:r>
      <w:r>
        <w:rPr>
          <w:color w:val="231F1F"/>
          <w:spacing w:val="-9"/>
          <w:w w:val="110"/>
        </w:rPr>
        <w:t> </w:t>
      </w:r>
      <w:r>
        <w:rPr>
          <w:color w:val="231F1F"/>
          <w:w w:val="110"/>
        </w:rPr>
        <w:t>la</w:t>
      </w:r>
      <w:r>
        <w:rPr>
          <w:color w:val="231F1F"/>
          <w:spacing w:val="-9"/>
          <w:w w:val="110"/>
        </w:rPr>
        <w:t> </w:t>
      </w:r>
      <w:r>
        <w:rPr>
          <w:color w:val="231F1F"/>
          <w:w w:val="110"/>
        </w:rPr>
        <w:t>sepsis </w:t>
      </w:r>
      <w:r>
        <w:rPr>
          <w:color w:val="231F1F"/>
          <w:spacing w:val="-2"/>
          <w:w w:val="110"/>
        </w:rPr>
        <w:t>neonatal.</w:t>
      </w:r>
    </w:p>
    <w:p>
      <w:pPr>
        <w:pStyle w:val="BodyText"/>
        <w:tabs>
          <w:tab w:pos="8031" w:val="left" w:leader="none"/>
        </w:tabs>
        <w:spacing w:before="80"/>
        <w:ind w:left="736"/>
        <w:rPr>
          <w:rFonts w:ascii="Arial MT" w:hAnsi="Arial MT"/>
          <w:position w:val="3"/>
          <w:sz w:val="18"/>
        </w:rPr>
      </w:pPr>
      <w:r>
        <w:rPr>
          <w:color w:val="231F1F"/>
          <w:w w:val="105"/>
        </w:rPr>
        <w:t>Otro</w:t>
      </w:r>
      <w:r>
        <w:rPr>
          <w:color w:val="231F1F"/>
          <w:spacing w:val="16"/>
          <w:w w:val="105"/>
        </w:rPr>
        <w:t> </w:t>
      </w:r>
      <w:r>
        <w:rPr>
          <w:color w:val="231F1F"/>
          <w:w w:val="105"/>
        </w:rPr>
        <w:t>estudio</w:t>
      </w:r>
      <w:r>
        <w:rPr>
          <w:color w:val="231F1F"/>
          <w:spacing w:val="17"/>
          <w:w w:val="105"/>
        </w:rPr>
        <w:t> </w:t>
      </w:r>
      <w:r>
        <w:rPr>
          <w:color w:val="231F1F"/>
          <w:w w:val="105"/>
        </w:rPr>
        <w:t>multicéntrico</w:t>
      </w:r>
      <w:r>
        <w:rPr>
          <w:color w:val="231F1F"/>
          <w:spacing w:val="18"/>
          <w:w w:val="105"/>
        </w:rPr>
        <w:t> </w:t>
      </w:r>
      <w:r>
        <w:rPr>
          <w:color w:val="231F1F"/>
          <w:w w:val="105"/>
        </w:rPr>
        <w:t>internacional</w:t>
      </w:r>
      <w:r>
        <w:rPr>
          <w:color w:val="231F1F"/>
          <w:spacing w:val="16"/>
          <w:w w:val="105"/>
        </w:rPr>
        <w:t> </w:t>
      </w:r>
      <w:r>
        <w:rPr>
          <w:color w:val="231F1F"/>
          <w:w w:val="105"/>
        </w:rPr>
        <w:t>(71)</w:t>
      </w:r>
      <w:r>
        <w:rPr>
          <w:color w:val="231F1F"/>
          <w:spacing w:val="17"/>
          <w:w w:val="105"/>
        </w:rPr>
        <w:t> </w:t>
      </w:r>
      <w:r>
        <w:rPr>
          <w:color w:val="231F1F"/>
          <w:w w:val="105"/>
        </w:rPr>
        <w:t>incluido</w:t>
      </w:r>
      <w:r>
        <w:rPr>
          <w:color w:val="231F1F"/>
          <w:spacing w:val="19"/>
          <w:w w:val="105"/>
        </w:rPr>
        <w:t> </w:t>
      </w:r>
      <w:r>
        <w:rPr>
          <w:color w:val="231F1F"/>
          <w:w w:val="105"/>
        </w:rPr>
        <w:t>en</w:t>
      </w:r>
      <w:r>
        <w:rPr>
          <w:color w:val="231F1F"/>
          <w:spacing w:val="17"/>
          <w:w w:val="105"/>
        </w:rPr>
        <w:t> </w:t>
      </w:r>
      <w:r>
        <w:rPr>
          <w:color w:val="231F1F"/>
          <w:w w:val="105"/>
        </w:rPr>
        <w:t>la</w:t>
      </w:r>
      <w:r>
        <w:rPr>
          <w:color w:val="231F1F"/>
          <w:spacing w:val="16"/>
          <w:w w:val="105"/>
        </w:rPr>
        <w:t> </w:t>
      </w:r>
      <w:r>
        <w:rPr>
          <w:color w:val="231F1F"/>
          <w:w w:val="105"/>
        </w:rPr>
        <w:t>guía</w:t>
      </w:r>
      <w:r>
        <w:rPr>
          <w:color w:val="231F1F"/>
          <w:spacing w:val="18"/>
          <w:w w:val="105"/>
        </w:rPr>
        <w:t> </w:t>
      </w:r>
      <w:r>
        <w:rPr>
          <w:color w:val="231F1F"/>
          <w:spacing w:val="-4"/>
          <w:w w:val="105"/>
        </w:rPr>
        <w:t>NICE</w:t>
      </w:r>
      <w:r>
        <w:rPr>
          <w:color w:val="231F1F"/>
        </w:rPr>
        <w:tab/>
      </w:r>
      <w:r>
        <w:rPr>
          <w:rFonts w:ascii="Arial MT" w:hAnsi="Arial MT"/>
          <w:color w:val="231F1F"/>
          <w:position w:val="3"/>
          <w:sz w:val="18"/>
        </w:rPr>
        <w:t>E</w:t>
      </w:r>
      <w:r>
        <w:rPr>
          <w:rFonts w:ascii="Arial MT" w:hAnsi="Arial MT"/>
          <w:color w:val="231F1F"/>
          <w:spacing w:val="-10"/>
          <w:position w:val="3"/>
          <w:sz w:val="18"/>
        </w:rPr>
        <w:t> </w:t>
      </w:r>
      <w:r>
        <w:rPr>
          <w:rFonts w:ascii="Arial MT" w:hAnsi="Arial MT"/>
          <w:color w:val="231F1F"/>
          <w:spacing w:val="-5"/>
          <w:w w:val="110"/>
          <w:position w:val="3"/>
          <w:sz w:val="18"/>
        </w:rPr>
        <w:t>de</w:t>
      </w:r>
    </w:p>
    <w:p>
      <w:pPr>
        <w:pStyle w:val="BodyText"/>
        <w:spacing w:after="0"/>
        <w:rPr>
          <w:rFonts w:ascii="Arial MT" w:hAnsi="Arial MT"/>
          <w:position w:val="3"/>
          <w:sz w:val="18"/>
        </w:rPr>
        <w:sectPr>
          <w:pgSz w:w="11900" w:h="16840"/>
          <w:pgMar w:header="0" w:footer="622" w:top="1560" w:bottom="820" w:left="1417" w:right="1559"/>
        </w:sectPr>
      </w:pPr>
    </w:p>
    <w:p>
      <w:pPr>
        <w:pStyle w:val="BodyText"/>
        <w:spacing w:line="247" w:lineRule="auto" w:before="25"/>
        <w:ind w:left="283"/>
        <w:jc w:val="both"/>
      </w:pPr>
      <w:r>
        <w:rPr>
          <w:color w:val="231F1F"/>
          <w:w w:val="105"/>
        </w:rPr>
        <w:t>(10) también evaluó los factores de riesgo asociados con la infección materna después</w:t>
      </w:r>
      <w:r>
        <w:rPr>
          <w:color w:val="231F1F"/>
          <w:w w:val="105"/>
        </w:rPr>
        <w:t> de</w:t>
      </w:r>
      <w:r>
        <w:rPr>
          <w:color w:val="231F1F"/>
          <w:w w:val="105"/>
        </w:rPr>
        <w:t> una</w:t>
      </w:r>
      <w:r>
        <w:rPr>
          <w:color w:val="231F1F"/>
          <w:w w:val="105"/>
        </w:rPr>
        <w:t> rotura</w:t>
      </w:r>
      <w:r>
        <w:rPr>
          <w:color w:val="231F1F"/>
          <w:w w:val="105"/>
        </w:rPr>
        <w:t> prematura</w:t>
      </w:r>
      <w:r>
        <w:rPr>
          <w:color w:val="231F1F"/>
          <w:w w:val="105"/>
        </w:rPr>
        <w:t> de</w:t>
      </w:r>
      <w:r>
        <w:rPr>
          <w:color w:val="231F1F"/>
          <w:w w:val="105"/>
        </w:rPr>
        <w:t> membranas,</w:t>
      </w:r>
      <w:r>
        <w:rPr>
          <w:color w:val="231F1F"/>
          <w:w w:val="105"/>
        </w:rPr>
        <w:t> estudiando</w:t>
      </w:r>
      <w:r>
        <w:rPr>
          <w:color w:val="231F1F"/>
          <w:w w:val="105"/>
        </w:rPr>
        <w:t> factores</w:t>
      </w:r>
      <w:r>
        <w:rPr>
          <w:color w:val="231F1F"/>
          <w:w w:val="105"/>
        </w:rPr>
        <w:t> que pronostican la corioamnionitis y la fiebre posparto.</w:t>
      </w:r>
    </w:p>
    <w:p>
      <w:pPr>
        <w:pStyle w:val="BodyText"/>
        <w:spacing w:line="244" w:lineRule="auto" w:before="34"/>
        <w:ind w:left="283" w:right="1" w:firstLine="453"/>
        <w:jc w:val="both"/>
      </w:pPr>
      <w:r>
        <w:rPr>
          <w:color w:val="231F1F"/>
          <w:w w:val="110"/>
        </w:rPr>
        <w:t>Un</w:t>
      </w:r>
      <w:r>
        <w:rPr>
          <w:color w:val="231F1F"/>
          <w:spacing w:val="-10"/>
          <w:w w:val="110"/>
        </w:rPr>
        <w:t> </w:t>
      </w:r>
      <w:r>
        <w:rPr>
          <w:color w:val="231F1F"/>
          <w:w w:val="110"/>
        </w:rPr>
        <w:t>estudio</w:t>
      </w:r>
      <w:r>
        <w:rPr>
          <w:color w:val="231F1F"/>
          <w:spacing w:val="-10"/>
          <w:w w:val="110"/>
        </w:rPr>
        <w:t> </w:t>
      </w:r>
      <w:r>
        <w:rPr>
          <w:color w:val="231F1F"/>
          <w:w w:val="110"/>
        </w:rPr>
        <w:t>(72)</w:t>
      </w:r>
      <w:r>
        <w:rPr>
          <w:color w:val="231F1F"/>
          <w:spacing w:val="-10"/>
          <w:w w:val="110"/>
        </w:rPr>
        <w:t> </w:t>
      </w:r>
      <w:r>
        <w:rPr>
          <w:color w:val="231F1F"/>
          <w:w w:val="110"/>
        </w:rPr>
        <w:t>que</w:t>
      </w:r>
      <w:r>
        <w:rPr>
          <w:color w:val="231F1F"/>
          <w:spacing w:val="-10"/>
          <w:w w:val="110"/>
        </w:rPr>
        <w:t> </w:t>
      </w:r>
      <w:r>
        <w:rPr>
          <w:color w:val="231F1F"/>
          <w:w w:val="110"/>
        </w:rPr>
        <w:t>realizó</w:t>
      </w:r>
      <w:r>
        <w:rPr>
          <w:color w:val="231F1F"/>
          <w:spacing w:val="-10"/>
          <w:w w:val="110"/>
        </w:rPr>
        <w:t> </w:t>
      </w:r>
      <w:r>
        <w:rPr>
          <w:color w:val="231F1F"/>
          <w:w w:val="110"/>
        </w:rPr>
        <w:t>un</w:t>
      </w:r>
      <w:r>
        <w:rPr>
          <w:color w:val="231F1F"/>
          <w:spacing w:val="-10"/>
          <w:w w:val="110"/>
        </w:rPr>
        <w:t> </w:t>
      </w:r>
      <w:r>
        <w:rPr>
          <w:color w:val="231F1F"/>
          <w:w w:val="110"/>
        </w:rPr>
        <w:t>análisis</w:t>
      </w:r>
      <w:r>
        <w:rPr>
          <w:color w:val="231F1F"/>
          <w:spacing w:val="-10"/>
          <w:w w:val="110"/>
        </w:rPr>
        <w:t> </w:t>
      </w:r>
      <w:r>
        <w:rPr>
          <w:color w:val="231F1F"/>
          <w:w w:val="110"/>
        </w:rPr>
        <w:t>secundario</w:t>
      </w:r>
      <w:r>
        <w:rPr>
          <w:color w:val="231F1F"/>
          <w:spacing w:val="-11"/>
          <w:w w:val="110"/>
        </w:rPr>
        <w:t> </w:t>
      </w:r>
      <w:r>
        <w:rPr>
          <w:color w:val="231F1F"/>
          <w:w w:val="110"/>
        </w:rPr>
        <w:t>de</w:t>
      </w:r>
      <w:r>
        <w:rPr>
          <w:color w:val="231F1F"/>
          <w:spacing w:val="-10"/>
          <w:w w:val="110"/>
        </w:rPr>
        <w:t> </w:t>
      </w:r>
      <w:r>
        <w:rPr>
          <w:color w:val="231F1F"/>
          <w:w w:val="110"/>
        </w:rPr>
        <w:t>los</w:t>
      </w:r>
      <w:r>
        <w:rPr>
          <w:color w:val="231F1F"/>
          <w:spacing w:val="-10"/>
          <w:w w:val="110"/>
        </w:rPr>
        <w:t> </w:t>
      </w:r>
      <w:r>
        <w:rPr>
          <w:color w:val="231F1F"/>
          <w:w w:val="110"/>
        </w:rPr>
        <w:t>resultados</w:t>
      </w:r>
      <w:r>
        <w:rPr>
          <w:color w:val="231F1F"/>
          <w:spacing w:val="-10"/>
          <w:w w:val="110"/>
        </w:rPr>
        <w:t> </w:t>
      </w:r>
      <w:r>
        <w:rPr>
          <w:color w:val="231F1F"/>
          <w:w w:val="110"/>
        </w:rPr>
        <w:t>del estudio</w:t>
      </w:r>
      <w:r>
        <w:rPr>
          <w:color w:val="231F1F"/>
          <w:spacing w:val="-9"/>
          <w:w w:val="110"/>
        </w:rPr>
        <w:t> </w:t>
      </w:r>
      <w:r>
        <w:rPr>
          <w:color w:val="231F1F"/>
          <w:w w:val="110"/>
        </w:rPr>
        <w:t>internacional</w:t>
      </w:r>
      <w:r>
        <w:rPr>
          <w:color w:val="231F1F"/>
          <w:spacing w:val="-9"/>
          <w:w w:val="110"/>
        </w:rPr>
        <w:t> </w:t>
      </w:r>
      <w:r>
        <w:rPr>
          <w:color w:val="231F1F"/>
          <w:w w:val="110"/>
        </w:rPr>
        <w:t>mencionado</w:t>
      </w:r>
      <w:r>
        <w:rPr>
          <w:color w:val="231F1F"/>
          <w:spacing w:val="-8"/>
          <w:w w:val="110"/>
        </w:rPr>
        <w:t> </w:t>
      </w:r>
      <w:r>
        <w:rPr>
          <w:color w:val="231F1F"/>
          <w:w w:val="110"/>
        </w:rPr>
        <w:t>antes</w:t>
      </w:r>
      <w:r>
        <w:rPr>
          <w:color w:val="231F1F"/>
          <w:spacing w:val="-9"/>
          <w:w w:val="110"/>
        </w:rPr>
        <w:t> </w:t>
      </w:r>
      <w:r>
        <w:rPr>
          <w:color w:val="231F1F"/>
          <w:w w:val="110"/>
        </w:rPr>
        <w:t>(71),</w:t>
      </w:r>
      <w:r>
        <w:rPr>
          <w:color w:val="231F1F"/>
          <w:spacing w:val="-9"/>
          <w:w w:val="110"/>
        </w:rPr>
        <w:t> </w:t>
      </w:r>
      <w:r>
        <w:rPr>
          <w:color w:val="231F1F"/>
          <w:w w:val="110"/>
        </w:rPr>
        <w:t>comparó</w:t>
      </w:r>
      <w:r>
        <w:rPr>
          <w:color w:val="231F1F"/>
          <w:spacing w:val="-8"/>
          <w:w w:val="110"/>
        </w:rPr>
        <w:t> </w:t>
      </w:r>
      <w:r>
        <w:rPr>
          <w:color w:val="231F1F"/>
          <w:w w:val="110"/>
        </w:rPr>
        <w:t>el</w:t>
      </w:r>
      <w:r>
        <w:rPr>
          <w:color w:val="231F1F"/>
          <w:spacing w:val="-9"/>
          <w:w w:val="110"/>
        </w:rPr>
        <w:t> </w:t>
      </w:r>
      <w:r>
        <w:rPr>
          <w:color w:val="231F1F"/>
          <w:w w:val="110"/>
        </w:rPr>
        <w:t>manejo</w:t>
      </w:r>
      <w:r>
        <w:rPr>
          <w:color w:val="231F1F"/>
          <w:spacing w:val="-8"/>
          <w:w w:val="110"/>
        </w:rPr>
        <w:t> </w:t>
      </w:r>
      <w:r>
        <w:rPr>
          <w:color w:val="231F1F"/>
          <w:w w:val="110"/>
        </w:rPr>
        <w:t>inmediato tras la rotura prematura de membranas con el manejo expectante hasta el cuarto</w:t>
      </w:r>
      <w:r>
        <w:rPr>
          <w:color w:val="231F1F"/>
          <w:spacing w:val="-13"/>
          <w:w w:val="110"/>
        </w:rPr>
        <w:t> </w:t>
      </w:r>
      <w:r>
        <w:rPr>
          <w:color w:val="231F1F"/>
          <w:w w:val="110"/>
        </w:rPr>
        <w:t>día,</w:t>
      </w:r>
      <w:r>
        <w:rPr>
          <w:color w:val="231F1F"/>
          <w:spacing w:val="-14"/>
          <w:w w:val="110"/>
        </w:rPr>
        <w:t> </w:t>
      </w:r>
      <w:r>
        <w:rPr>
          <w:color w:val="231F1F"/>
          <w:w w:val="110"/>
        </w:rPr>
        <w:t>encontrando</w:t>
      </w:r>
      <w:r>
        <w:rPr>
          <w:color w:val="231F1F"/>
          <w:spacing w:val="-13"/>
          <w:w w:val="110"/>
        </w:rPr>
        <w:t> </w:t>
      </w:r>
      <w:r>
        <w:rPr>
          <w:color w:val="231F1F"/>
          <w:w w:val="110"/>
        </w:rPr>
        <w:t>que</w:t>
      </w:r>
      <w:r>
        <w:rPr>
          <w:color w:val="231F1F"/>
          <w:spacing w:val="-13"/>
          <w:w w:val="110"/>
        </w:rPr>
        <w:t> </w:t>
      </w:r>
      <w:r>
        <w:rPr>
          <w:color w:val="231F1F"/>
          <w:w w:val="110"/>
        </w:rPr>
        <w:t>el</w:t>
      </w:r>
      <w:r>
        <w:rPr>
          <w:color w:val="231F1F"/>
          <w:spacing w:val="-14"/>
          <w:w w:val="110"/>
        </w:rPr>
        <w:t> </w:t>
      </w:r>
      <w:r>
        <w:rPr>
          <w:color w:val="231F1F"/>
          <w:w w:val="110"/>
        </w:rPr>
        <w:t>número</w:t>
      </w:r>
      <w:r>
        <w:rPr>
          <w:color w:val="231F1F"/>
          <w:spacing w:val="-13"/>
          <w:w w:val="110"/>
        </w:rPr>
        <w:t> </w:t>
      </w:r>
      <w:r>
        <w:rPr>
          <w:color w:val="231F1F"/>
          <w:w w:val="110"/>
        </w:rPr>
        <w:t>de</w:t>
      </w:r>
      <w:r>
        <w:rPr>
          <w:color w:val="231F1F"/>
          <w:spacing w:val="-13"/>
          <w:w w:val="110"/>
        </w:rPr>
        <w:t> </w:t>
      </w:r>
      <w:r>
        <w:rPr>
          <w:color w:val="231F1F"/>
          <w:w w:val="110"/>
        </w:rPr>
        <w:t>tactos</w:t>
      </w:r>
      <w:r>
        <w:rPr>
          <w:color w:val="231F1F"/>
          <w:spacing w:val="-13"/>
          <w:w w:val="110"/>
        </w:rPr>
        <w:t> </w:t>
      </w:r>
      <w:r>
        <w:rPr>
          <w:color w:val="231F1F"/>
          <w:w w:val="110"/>
        </w:rPr>
        <w:t>vaginales</w:t>
      </w:r>
      <w:r>
        <w:rPr>
          <w:color w:val="231F1F"/>
          <w:spacing w:val="-14"/>
          <w:w w:val="110"/>
        </w:rPr>
        <w:t> </w:t>
      </w:r>
      <w:r>
        <w:rPr>
          <w:color w:val="231F1F"/>
          <w:w w:val="110"/>
        </w:rPr>
        <w:t>era</w:t>
      </w:r>
      <w:r>
        <w:rPr>
          <w:color w:val="231F1F"/>
          <w:spacing w:val="-13"/>
          <w:w w:val="110"/>
        </w:rPr>
        <w:t> </w:t>
      </w:r>
      <w:r>
        <w:rPr>
          <w:color w:val="231F1F"/>
          <w:w w:val="110"/>
        </w:rPr>
        <w:t>el</w:t>
      </w:r>
      <w:r>
        <w:rPr>
          <w:color w:val="231F1F"/>
          <w:spacing w:val="-14"/>
          <w:w w:val="110"/>
        </w:rPr>
        <w:t> </w:t>
      </w:r>
      <w:r>
        <w:rPr>
          <w:color w:val="231F1F"/>
          <w:w w:val="110"/>
        </w:rPr>
        <w:t>factor</w:t>
      </w:r>
      <w:r>
        <w:rPr>
          <w:color w:val="231F1F"/>
          <w:spacing w:val="-14"/>
          <w:w w:val="110"/>
        </w:rPr>
        <w:t> </w:t>
      </w:r>
      <w:r>
        <w:rPr>
          <w:color w:val="231F1F"/>
          <w:w w:val="110"/>
        </w:rPr>
        <w:t>inde- pendiente</w:t>
      </w:r>
      <w:r>
        <w:rPr>
          <w:color w:val="231F1F"/>
          <w:spacing w:val="-6"/>
          <w:w w:val="110"/>
        </w:rPr>
        <w:t> </w:t>
      </w:r>
      <w:r>
        <w:rPr>
          <w:color w:val="231F1F"/>
          <w:w w:val="110"/>
        </w:rPr>
        <w:t>más</w:t>
      </w:r>
      <w:r>
        <w:rPr>
          <w:color w:val="231F1F"/>
          <w:spacing w:val="-6"/>
          <w:w w:val="110"/>
        </w:rPr>
        <w:t> </w:t>
      </w:r>
      <w:r>
        <w:rPr>
          <w:color w:val="231F1F"/>
          <w:w w:val="110"/>
        </w:rPr>
        <w:t>importante</w:t>
      </w:r>
      <w:r>
        <w:rPr>
          <w:color w:val="231F1F"/>
          <w:spacing w:val="-6"/>
          <w:w w:val="110"/>
        </w:rPr>
        <w:t> </w:t>
      </w:r>
      <w:r>
        <w:rPr>
          <w:color w:val="231F1F"/>
          <w:w w:val="110"/>
        </w:rPr>
        <w:t>para</w:t>
      </w:r>
      <w:r>
        <w:rPr>
          <w:color w:val="231F1F"/>
          <w:spacing w:val="-6"/>
          <w:w w:val="110"/>
        </w:rPr>
        <w:t> </w:t>
      </w:r>
      <w:r>
        <w:rPr>
          <w:color w:val="231F1F"/>
          <w:w w:val="110"/>
        </w:rPr>
        <w:t>predecir</w:t>
      </w:r>
      <w:r>
        <w:rPr>
          <w:color w:val="231F1F"/>
          <w:spacing w:val="-7"/>
          <w:w w:val="110"/>
        </w:rPr>
        <w:t> </w:t>
      </w:r>
      <w:r>
        <w:rPr>
          <w:color w:val="231F1F"/>
          <w:w w:val="110"/>
        </w:rPr>
        <w:t>una</w:t>
      </w:r>
      <w:r>
        <w:rPr>
          <w:color w:val="231F1F"/>
          <w:spacing w:val="-6"/>
          <w:w w:val="110"/>
        </w:rPr>
        <w:t> </w:t>
      </w:r>
      <w:r>
        <w:rPr>
          <w:color w:val="231F1F"/>
          <w:w w:val="110"/>
        </w:rPr>
        <w:t>infección</w:t>
      </w:r>
      <w:r>
        <w:rPr>
          <w:color w:val="231F1F"/>
          <w:spacing w:val="-6"/>
          <w:w w:val="110"/>
        </w:rPr>
        <w:t> </w:t>
      </w:r>
      <w:r>
        <w:rPr>
          <w:color w:val="231F1F"/>
          <w:w w:val="110"/>
        </w:rPr>
        <w:t>y</w:t>
      </w:r>
      <w:r>
        <w:rPr>
          <w:color w:val="231F1F"/>
          <w:spacing w:val="-6"/>
          <w:w w:val="110"/>
        </w:rPr>
        <w:t> </w:t>
      </w:r>
      <w:r>
        <w:rPr>
          <w:color w:val="231F1F"/>
          <w:w w:val="110"/>
        </w:rPr>
        <w:t>que</w:t>
      </w:r>
      <w:r>
        <w:rPr>
          <w:color w:val="231F1F"/>
          <w:spacing w:val="-6"/>
          <w:w w:val="110"/>
        </w:rPr>
        <w:t> </w:t>
      </w:r>
      <w:r>
        <w:rPr>
          <w:color w:val="231F1F"/>
          <w:w w:val="110"/>
        </w:rPr>
        <w:t>el</w:t>
      </w:r>
      <w:r>
        <w:rPr>
          <w:color w:val="231F1F"/>
          <w:spacing w:val="-6"/>
          <w:w w:val="110"/>
        </w:rPr>
        <w:t> </w:t>
      </w:r>
      <w:r>
        <w:rPr>
          <w:color w:val="231F1F"/>
          <w:w w:val="110"/>
        </w:rPr>
        <w:t>riesgo</w:t>
      </w:r>
      <w:r>
        <w:rPr>
          <w:color w:val="231F1F"/>
          <w:spacing w:val="-6"/>
          <w:w w:val="110"/>
        </w:rPr>
        <w:t> </w:t>
      </w:r>
      <w:r>
        <w:rPr>
          <w:color w:val="231F1F"/>
          <w:w w:val="110"/>
        </w:rPr>
        <w:t>de</w:t>
      </w:r>
      <w:r>
        <w:rPr>
          <w:color w:val="231F1F"/>
          <w:spacing w:val="-6"/>
          <w:w w:val="110"/>
        </w:rPr>
        <w:t> </w:t>
      </w:r>
      <w:r>
        <w:rPr>
          <w:color w:val="231F1F"/>
          <w:w w:val="110"/>
        </w:rPr>
        <w:t>in- fección aumentaba con el número de los tactos vaginales.</w:t>
      </w:r>
    </w:p>
    <w:p>
      <w:pPr>
        <w:spacing w:line="278" w:lineRule="auto" w:before="4"/>
        <w:ind w:left="513" w:right="407" w:hanging="231"/>
        <w:jc w:val="left"/>
        <w:rPr>
          <w:rFonts w:ascii="Arial MT"/>
          <w:sz w:val="18"/>
        </w:rPr>
      </w:pPr>
      <w:r>
        <w:rPr/>
        <w:br w:type="column"/>
      </w:r>
      <w:r>
        <w:rPr>
          <w:rFonts w:ascii="Arial MT"/>
          <w:color w:val="231F1F"/>
          <w:spacing w:val="-4"/>
          <w:sz w:val="18"/>
        </w:rPr>
        <w:t>Cohorte </w:t>
      </w:r>
      <w:r>
        <w:rPr>
          <w:rFonts w:ascii="Arial MT"/>
          <w:color w:val="231F1F"/>
          <w:spacing w:val="-6"/>
          <w:sz w:val="18"/>
        </w:rPr>
        <w:t>2+</w:t>
      </w:r>
    </w:p>
    <w:p>
      <w:pPr>
        <w:spacing w:after="0" w:line="278" w:lineRule="auto"/>
        <w:jc w:val="left"/>
        <w:rPr>
          <w:rFonts w:ascii="Arial MT"/>
          <w:sz w:val="18"/>
        </w:rPr>
        <w:sectPr>
          <w:type w:val="continuous"/>
          <w:pgSz w:w="11900" w:h="16840"/>
          <w:pgMar w:header="0" w:footer="622" w:top="560" w:bottom="280" w:left="1417" w:right="1559"/>
          <w:cols w:num="2" w:equalWidth="0">
            <w:col w:w="7550" w:space="53"/>
            <w:col w:w="1321"/>
          </w:cols>
        </w:sectPr>
      </w:pPr>
    </w:p>
    <w:p>
      <w:pPr>
        <w:tabs>
          <w:tab w:pos="7054" w:val="left" w:leader="none"/>
        </w:tabs>
        <w:spacing w:before="74"/>
        <w:ind w:left="0" w:right="258" w:firstLine="0"/>
        <w:jc w:val="right"/>
        <w:rPr>
          <w:rFonts w:ascii="Arial MT" w:hAnsi="Arial MT"/>
          <w:sz w:val="18"/>
        </w:rPr>
      </w:pPr>
      <w:r>
        <w:rPr>
          <w:color w:val="231F1F"/>
          <w:sz w:val="22"/>
        </w:rPr>
        <w:t>Así,</w:t>
      </w:r>
      <w:r>
        <w:rPr>
          <w:color w:val="231F1F"/>
          <w:spacing w:val="-3"/>
          <w:sz w:val="22"/>
        </w:rPr>
        <w:t> </w:t>
      </w:r>
      <w:r>
        <w:rPr>
          <w:color w:val="231F1F"/>
          <w:sz w:val="22"/>
        </w:rPr>
        <w:t>cuando</w:t>
      </w:r>
      <w:r>
        <w:rPr>
          <w:color w:val="231F1F"/>
          <w:spacing w:val="1"/>
          <w:sz w:val="22"/>
        </w:rPr>
        <w:t> </w:t>
      </w:r>
      <w:r>
        <w:rPr>
          <w:color w:val="231F1F"/>
          <w:sz w:val="22"/>
        </w:rPr>
        <w:t>se comparaban</w:t>
      </w:r>
      <w:r>
        <w:rPr>
          <w:color w:val="231F1F"/>
          <w:spacing w:val="-2"/>
          <w:sz w:val="22"/>
        </w:rPr>
        <w:t> </w:t>
      </w:r>
      <w:r>
        <w:rPr>
          <w:i/>
          <w:color w:val="231F1F"/>
          <w:sz w:val="22"/>
        </w:rPr>
        <w:t>menos de 3 tactos frente a</w:t>
      </w:r>
      <w:r>
        <w:rPr>
          <w:i/>
          <w:color w:val="231F1F"/>
          <w:spacing w:val="-1"/>
          <w:sz w:val="22"/>
        </w:rPr>
        <w:t> </w:t>
      </w:r>
      <w:r>
        <w:rPr>
          <w:i/>
          <w:color w:val="231F1F"/>
          <w:sz w:val="22"/>
        </w:rPr>
        <w:t>3-4</w:t>
      </w:r>
      <w:r>
        <w:rPr>
          <w:i/>
          <w:color w:val="231F1F"/>
          <w:spacing w:val="1"/>
          <w:sz w:val="22"/>
        </w:rPr>
        <w:t> </w:t>
      </w:r>
      <w:r>
        <w:rPr>
          <w:i/>
          <w:color w:val="231F1F"/>
          <w:sz w:val="22"/>
        </w:rPr>
        <w:t>tactos </w:t>
      </w:r>
      <w:r>
        <w:rPr>
          <w:i/>
          <w:color w:val="231F1F"/>
          <w:spacing w:val="-2"/>
          <w:sz w:val="22"/>
        </w:rPr>
        <w:t>vaginales</w:t>
      </w:r>
      <w:r>
        <w:rPr>
          <w:color w:val="231F1F"/>
          <w:spacing w:val="-2"/>
          <w:sz w:val="22"/>
        </w:rPr>
        <w:t>,</w:t>
      </w:r>
      <w:r>
        <w:rPr>
          <w:color w:val="231F1F"/>
          <w:sz w:val="22"/>
        </w:rPr>
        <w:tab/>
      </w:r>
      <w:r>
        <w:rPr>
          <w:rFonts w:ascii="Arial MT" w:hAnsi="Arial MT"/>
          <w:color w:val="231F1F"/>
          <w:sz w:val="18"/>
        </w:rPr>
        <w:t>E</w:t>
      </w:r>
      <w:r>
        <w:rPr>
          <w:rFonts w:ascii="Arial MT" w:hAnsi="Arial MT"/>
          <w:color w:val="231F1F"/>
          <w:spacing w:val="-4"/>
          <w:sz w:val="18"/>
        </w:rPr>
        <w:t> </w:t>
      </w:r>
      <w:r>
        <w:rPr>
          <w:rFonts w:ascii="Arial MT" w:hAnsi="Arial MT"/>
          <w:color w:val="231F1F"/>
          <w:sz w:val="18"/>
        </w:rPr>
        <w:t>de</w:t>
      </w:r>
      <w:r>
        <w:rPr>
          <w:rFonts w:ascii="Arial MT" w:hAnsi="Arial MT"/>
          <w:color w:val="231F1F"/>
          <w:spacing w:val="-2"/>
          <w:sz w:val="18"/>
        </w:rPr>
        <w:t> </w:t>
      </w:r>
      <w:r>
        <w:rPr>
          <w:rFonts w:ascii="Arial MT" w:hAnsi="Arial MT"/>
          <w:color w:val="231F1F"/>
          <w:spacing w:val="-4"/>
          <w:sz w:val="18"/>
        </w:rPr>
        <w:t>Caso</w:t>
      </w:r>
    </w:p>
    <w:p>
      <w:pPr>
        <w:pStyle w:val="BodyText"/>
        <w:tabs>
          <w:tab w:pos="7512" w:val="left" w:leader="none"/>
        </w:tabs>
        <w:spacing w:before="8"/>
        <w:ind w:right="268"/>
        <w:jc w:val="right"/>
        <w:rPr>
          <w:rFonts w:ascii="Arial MT" w:hAnsi="Arial MT"/>
          <w:position w:val="4"/>
          <w:sz w:val="18"/>
        </w:rPr>
      </w:pPr>
      <w:r>
        <w:rPr>
          <w:color w:val="231F1F"/>
          <w:w w:val="105"/>
        </w:rPr>
        <w:t>en</w:t>
      </w:r>
      <w:r>
        <w:rPr>
          <w:color w:val="231F1F"/>
          <w:spacing w:val="13"/>
          <w:w w:val="105"/>
        </w:rPr>
        <w:t> </w:t>
      </w:r>
      <w:r>
        <w:rPr>
          <w:color w:val="231F1F"/>
          <w:w w:val="105"/>
        </w:rPr>
        <w:t>el</w:t>
      </w:r>
      <w:r>
        <w:rPr>
          <w:color w:val="231F1F"/>
          <w:spacing w:val="12"/>
          <w:w w:val="105"/>
        </w:rPr>
        <w:t> </w:t>
      </w:r>
      <w:r>
        <w:rPr>
          <w:color w:val="231F1F"/>
          <w:w w:val="105"/>
        </w:rPr>
        <w:t>primer</w:t>
      </w:r>
      <w:r>
        <w:rPr>
          <w:color w:val="231F1F"/>
          <w:spacing w:val="12"/>
          <w:w w:val="105"/>
        </w:rPr>
        <w:t> </w:t>
      </w:r>
      <w:r>
        <w:rPr>
          <w:color w:val="231F1F"/>
          <w:w w:val="105"/>
        </w:rPr>
        <w:t>grupo</w:t>
      </w:r>
      <w:r>
        <w:rPr>
          <w:color w:val="231F1F"/>
          <w:spacing w:val="12"/>
          <w:w w:val="105"/>
        </w:rPr>
        <w:t> </w:t>
      </w:r>
      <w:r>
        <w:rPr>
          <w:color w:val="231F1F"/>
          <w:w w:val="105"/>
        </w:rPr>
        <w:t>se</w:t>
      </w:r>
      <w:r>
        <w:rPr>
          <w:color w:val="231F1F"/>
          <w:spacing w:val="12"/>
          <w:w w:val="105"/>
        </w:rPr>
        <w:t> </w:t>
      </w:r>
      <w:r>
        <w:rPr>
          <w:color w:val="231F1F"/>
          <w:w w:val="105"/>
        </w:rPr>
        <w:t>observó</w:t>
      </w:r>
      <w:r>
        <w:rPr>
          <w:color w:val="231F1F"/>
          <w:spacing w:val="12"/>
          <w:w w:val="105"/>
        </w:rPr>
        <w:t> </w:t>
      </w:r>
      <w:r>
        <w:rPr>
          <w:color w:val="231F1F"/>
          <w:w w:val="105"/>
        </w:rPr>
        <w:t>una</w:t>
      </w:r>
      <w:r>
        <w:rPr>
          <w:color w:val="231F1F"/>
          <w:spacing w:val="11"/>
          <w:w w:val="105"/>
        </w:rPr>
        <w:t> </w:t>
      </w:r>
      <w:r>
        <w:rPr>
          <w:color w:val="231F1F"/>
          <w:w w:val="105"/>
        </w:rPr>
        <w:t>mayor</w:t>
      </w:r>
      <w:r>
        <w:rPr>
          <w:color w:val="231F1F"/>
          <w:spacing w:val="12"/>
          <w:w w:val="105"/>
        </w:rPr>
        <w:t> </w:t>
      </w:r>
      <w:r>
        <w:rPr>
          <w:color w:val="231F1F"/>
          <w:w w:val="105"/>
        </w:rPr>
        <w:t>incidencia</w:t>
      </w:r>
      <w:r>
        <w:rPr>
          <w:color w:val="231F1F"/>
          <w:spacing w:val="12"/>
          <w:w w:val="105"/>
        </w:rPr>
        <w:t> </w:t>
      </w:r>
      <w:r>
        <w:rPr>
          <w:color w:val="231F1F"/>
          <w:w w:val="105"/>
        </w:rPr>
        <w:t>de</w:t>
      </w:r>
      <w:r>
        <w:rPr>
          <w:color w:val="231F1F"/>
          <w:spacing w:val="13"/>
          <w:w w:val="105"/>
        </w:rPr>
        <w:t> </w:t>
      </w:r>
      <w:r>
        <w:rPr>
          <w:color w:val="231F1F"/>
          <w:w w:val="105"/>
        </w:rPr>
        <w:t>coriamnionitis:</w:t>
      </w:r>
      <w:r>
        <w:rPr>
          <w:color w:val="231F1F"/>
          <w:spacing w:val="14"/>
          <w:w w:val="105"/>
        </w:rPr>
        <w:t> </w:t>
      </w:r>
      <w:r>
        <w:rPr>
          <w:color w:val="231F1F"/>
          <w:spacing w:val="-5"/>
          <w:w w:val="105"/>
        </w:rPr>
        <w:t>OR</w:t>
      </w:r>
      <w:r>
        <w:rPr>
          <w:color w:val="231F1F"/>
        </w:rPr>
        <w:tab/>
      </w:r>
      <w:r>
        <w:rPr>
          <w:rFonts w:ascii="Arial MT" w:hAnsi="Arial MT"/>
          <w:color w:val="231F1F"/>
          <w:w w:val="105"/>
          <w:position w:val="4"/>
          <w:sz w:val="18"/>
        </w:rPr>
        <w:t>de</w:t>
      </w:r>
      <w:r>
        <w:rPr>
          <w:rFonts w:ascii="Arial MT" w:hAnsi="Arial MT"/>
          <w:color w:val="231F1F"/>
          <w:spacing w:val="-9"/>
          <w:w w:val="105"/>
          <w:position w:val="4"/>
          <w:sz w:val="18"/>
        </w:rPr>
        <w:t> </w:t>
      </w:r>
      <w:r>
        <w:rPr>
          <w:rFonts w:ascii="Arial MT" w:hAnsi="Arial MT"/>
          <w:color w:val="231F1F"/>
          <w:spacing w:val="-2"/>
          <w:w w:val="105"/>
          <w:position w:val="4"/>
          <w:sz w:val="18"/>
        </w:rPr>
        <w:t>control</w:t>
      </w:r>
    </w:p>
    <w:p>
      <w:pPr>
        <w:pStyle w:val="BodyText"/>
        <w:spacing w:after="0"/>
        <w:jc w:val="right"/>
        <w:rPr>
          <w:rFonts w:ascii="Arial MT" w:hAnsi="Arial MT"/>
          <w:position w:val="4"/>
          <w:sz w:val="18"/>
        </w:rPr>
        <w:sectPr>
          <w:type w:val="continuous"/>
          <w:pgSz w:w="11900" w:h="16840"/>
          <w:pgMar w:header="0" w:footer="622" w:top="560" w:bottom="280" w:left="1417" w:right="1559"/>
        </w:sectPr>
      </w:pPr>
    </w:p>
    <w:p>
      <w:pPr>
        <w:spacing w:before="45"/>
        <w:ind w:left="283" w:right="0" w:firstLine="0"/>
        <w:jc w:val="left"/>
        <w:rPr>
          <w:sz w:val="22"/>
        </w:rPr>
      </w:pPr>
      <w:r>
        <w:rPr>
          <w:color w:val="231F1F"/>
          <w:sz w:val="22"/>
        </w:rPr>
        <w:t>2,06</w:t>
      </w:r>
      <w:r>
        <w:rPr>
          <w:color w:val="231F1F"/>
          <w:spacing w:val="2"/>
          <w:sz w:val="22"/>
        </w:rPr>
        <w:t> </w:t>
      </w:r>
      <w:r>
        <w:rPr>
          <w:color w:val="231F1F"/>
          <w:sz w:val="22"/>
        </w:rPr>
        <w:t>[IC</w:t>
      </w:r>
      <w:r>
        <w:rPr>
          <w:color w:val="231F1F"/>
          <w:spacing w:val="6"/>
          <w:sz w:val="22"/>
        </w:rPr>
        <w:t> </w:t>
      </w:r>
      <w:r>
        <w:rPr>
          <w:color w:val="231F1F"/>
          <w:sz w:val="22"/>
        </w:rPr>
        <w:t>95%</w:t>
      </w:r>
      <w:r>
        <w:rPr>
          <w:color w:val="231F1F"/>
          <w:spacing w:val="6"/>
          <w:sz w:val="22"/>
        </w:rPr>
        <w:t> </w:t>
      </w:r>
      <w:r>
        <w:rPr>
          <w:color w:val="231F1F"/>
          <w:sz w:val="22"/>
        </w:rPr>
        <w:t>1,07</w:t>
      </w:r>
      <w:r>
        <w:rPr>
          <w:color w:val="231F1F"/>
          <w:spacing w:val="5"/>
          <w:sz w:val="22"/>
        </w:rPr>
        <w:t> </w:t>
      </w:r>
      <w:r>
        <w:rPr>
          <w:color w:val="231F1F"/>
          <w:sz w:val="22"/>
        </w:rPr>
        <w:t>a</w:t>
      </w:r>
      <w:r>
        <w:rPr>
          <w:color w:val="231F1F"/>
          <w:spacing w:val="7"/>
          <w:sz w:val="22"/>
        </w:rPr>
        <w:t> </w:t>
      </w:r>
      <w:r>
        <w:rPr>
          <w:color w:val="231F1F"/>
          <w:sz w:val="22"/>
        </w:rPr>
        <w:t>3,97]</w:t>
      </w:r>
      <w:r>
        <w:rPr>
          <w:color w:val="231F1F"/>
          <w:spacing w:val="5"/>
          <w:sz w:val="22"/>
        </w:rPr>
        <w:t> </w:t>
      </w:r>
      <w:r>
        <w:rPr>
          <w:color w:val="231F1F"/>
          <w:sz w:val="22"/>
        </w:rPr>
        <w:t>y</w:t>
      </w:r>
      <w:r>
        <w:rPr>
          <w:color w:val="231F1F"/>
          <w:spacing w:val="7"/>
          <w:sz w:val="22"/>
        </w:rPr>
        <w:t> </w:t>
      </w:r>
      <w:r>
        <w:rPr>
          <w:color w:val="231F1F"/>
          <w:sz w:val="22"/>
        </w:rPr>
        <w:t>cuando</w:t>
      </w:r>
      <w:r>
        <w:rPr>
          <w:color w:val="231F1F"/>
          <w:spacing w:val="5"/>
          <w:sz w:val="22"/>
        </w:rPr>
        <w:t> </w:t>
      </w:r>
      <w:r>
        <w:rPr>
          <w:color w:val="231F1F"/>
          <w:sz w:val="22"/>
        </w:rPr>
        <w:t>se</w:t>
      </w:r>
      <w:r>
        <w:rPr>
          <w:color w:val="231F1F"/>
          <w:spacing w:val="7"/>
          <w:sz w:val="22"/>
        </w:rPr>
        <w:t> </w:t>
      </w:r>
      <w:r>
        <w:rPr>
          <w:color w:val="231F1F"/>
          <w:sz w:val="22"/>
        </w:rPr>
        <w:t>comparaban</w:t>
      </w:r>
      <w:r>
        <w:rPr>
          <w:color w:val="231F1F"/>
          <w:spacing w:val="3"/>
          <w:sz w:val="22"/>
        </w:rPr>
        <w:t> </w:t>
      </w:r>
      <w:r>
        <w:rPr>
          <w:i/>
          <w:color w:val="231F1F"/>
          <w:sz w:val="22"/>
        </w:rPr>
        <w:t>menos</w:t>
      </w:r>
      <w:r>
        <w:rPr>
          <w:i/>
          <w:color w:val="231F1F"/>
          <w:spacing w:val="7"/>
          <w:sz w:val="22"/>
        </w:rPr>
        <w:t> </w:t>
      </w:r>
      <w:r>
        <w:rPr>
          <w:i/>
          <w:color w:val="231F1F"/>
          <w:sz w:val="22"/>
        </w:rPr>
        <w:t>de</w:t>
      </w:r>
      <w:r>
        <w:rPr>
          <w:i/>
          <w:color w:val="231F1F"/>
          <w:spacing w:val="5"/>
          <w:sz w:val="22"/>
        </w:rPr>
        <w:t> </w:t>
      </w:r>
      <w:r>
        <w:rPr>
          <w:i/>
          <w:color w:val="231F1F"/>
          <w:sz w:val="22"/>
        </w:rPr>
        <w:t>3</w:t>
      </w:r>
      <w:r>
        <w:rPr>
          <w:i/>
          <w:color w:val="231F1F"/>
          <w:spacing w:val="7"/>
          <w:sz w:val="22"/>
        </w:rPr>
        <w:t> </w:t>
      </w:r>
      <w:r>
        <w:rPr>
          <w:i/>
          <w:color w:val="231F1F"/>
          <w:sz w:val="22"/>
        </w:rPr>
        <w:t>vs</w:t>
      </w:r>
      <w:r>
        <w:rPr>
          <w:i/>
          <w:color w:val="231F1F"/>
          <w:spacing w:val="5"/>
          <w:sz w:val="22"/>
        </w:rPr>
        <w:t> </w:t>
      </w:r>
      <w:r>
        <w:rPr>
          <w:i/>
          <w:color w:val="231F1F"/>
          <w:sz w:val="22"/>
        </w:rPr>
        <w:t>7-8</w:t>
      </w:r>
      <w:r>
        <w:rPr>
          <w:color w:val="231F1F"/>
          <w:sz w:val="22"/>
        </w:rPr>
        <w:t>,</w:t>
      </w:r>
      <w:r>
        <w:rPr>
          <w:color w:val="231F1F"/>
          <w:spacing w:val="7"/>
          <w:sz w:val="22"/>
        </w:rPr>
        <w:t> </w:t>
      </w:r>
      <w:r>
        <w:rPr>
          <w:color w:val="231F1F"/>
          <w:spacing w:val="-2"/>
          <w:sz w:val="22"/>
        </w:rPr>
        <w:t>también</w:t>
      </w:r>
    </w:p>
    <w:p>
      <w:pPr>
        <w:pStyle w:val="BodyText"/>
        <w:spacing w:line="244" w:lineRule="auto" w:before="25"/>
        <w:ind w:left="283"/>
      </w:pPr>
      <w:r>
        <w:rPr>
          <w:color w:val="231F1F"/>
          <w:w w:val="105"/>
        </w:rPr>
        <w:t>se</w:t>
      </w:r>
      <w:r>
        <w:rPr>
          <w:color w:val="231F1F"/>
          <w:spacing w:val="-5"/>
          <w:w w:val="105"/>
        </w:rPr>
        <w:t> </w:t>
      </w:r>
      <w:r>
        <w:rPr>
          <w:color w:val="231F1F"/>
          <w:w w:val="105"/>
        </w:rPr>
        <w:t>observó</w:t>
      </w:r>
      <w:r>
        <w:rPr>
          <w:color w:val="231F1F"/>
          <w:spacing w:val="-5"/>
          <w:w w:val="105"/>
        </w:rPr>
        <w:t> </w:t>
      </w:r>
      <w:r>
        <w:rPr>
          <w:color w:val="231F1F"/>
          <w:w w:val="105"/>
        </w:rPr>
        <w:t>una</w:t>
      </w:r>
      <w:r>
        <w:rPr>
          <w:color w:val="231F1F"/>
          <w:spacing w:val="-5"/>
          <w:w w:val="105"/>
        </w:rPr>
        <w:t> </w:t>
      </w:r>
      <w:r>
        <w:rPr>
          <w:color w:val="231F1F"/>
          <w:w w:val="105"/>
        </w:rPr>
        <w:t>mayor</w:t>
      </w:r>
      <w:r>
        <w:rPr>
          <w:color w:val="231F1F"/>
          <w:spacing w:val="-5"/>
          <w:w w:val="105"/>
        </w:rPr>
        <w:t> </w:t>
      </w:r>
      <w:r>
        <w:rPr>
          <w:color w:val="231F1F"/>
          <w:w w:val="105"/>
        </w:rPr>
        <w:t>incidencia:</w:t>
      </w:r>
      <w:r>
        <w:rPr>
          <w:color w:val="231F1F"/>
          <w:spacing w:val="-5"/>
          <w:w w:val="105"/>
        </w:rPr>
        <w:t> </w:t>
      </w:r>
      <w:r>
        <w:rPr>
          <w:color w:val="231F1F"/>
          <w:w w:val="105"/>
        </w:rPr>
        <w:t>OR</w:t>
      </w:r>
      <w:r>
        <w:rPr>
          <w:color w:val="231F1F"/>
          <w:spacing w:val="-4"/>
          <w:w w:val="105"/>
        </w:rPr>
        <w:t> </w:t>
      </w:r>
      <w:r>
        <w:rPr>
          <w:color w:val="231F1F"/>
          <w:w w:val="105"/>
        </w:rPr>
        <w:t>3,80</w:t>
      </w:r>
      <w:r>
        <w:rPr>
          <w:color w:val="231F1F"/>
          <w:spacing w:val="-5"/>
          <w:w w:val="105"/>
        </w:rPr>
        <w:t> </w:t>
      </w:r>
      <w:r>
        <w:rPr>
          <w:color w:val="231F1F"/>
          <w:w w:val="105"/>
        </w:rPr>
        <w:t>[IC</w:t>
      </w:r>
      <w:r>
        <w:rPr>
          <w:color w:val="231F1F"/>
          <w:spacing w:val="-4"/>
          <w:w w:val="105"/>
        </w:rPr>
        <w:t> </w:t>
      </w:r>
      <w:r>
        <w:rPr>
          <w:color w:val="231F1F"/>
          <w:w w:val="105"/>
        </w:rPr>
        <w:t>95%</w:t>
      </w:r>
      <w:r>
        <w:rPr>
          <w:color w:val="231F1F"/>
          <w:spacing w:val="-4"/>
          <w:w w:val="105"/>
        </w:rPr>
        <w:t> </w:t>
      </w:r>
      <w:r>
        <w:rPr>
          <w:color w:val="231F1F"/>
          <w:w w:val="105"/>
        </w:rPr>
        <w:t>1,92</w:t>
      </w:r>
      <w:r>
        <w:rPr>
          <w:color w:val="231F1F"/>
          <w:spacing w:val="-4"/>
          <w:w w:val="105"/>
        </w:rPr>
        <w:t> </w:t>
      </w:r>
      <w:r>
        <w:rPr>
          <w:color w:val="231F1F"/>
          <w:w w:val="105"/>
        </w:rPr>
        <w:t>a</w:t>
      </w:r>
      <w:r>
        <w:rPr>
          <w:color w:val="231F1F"/>
          <w:spacing w:val="-4"/>
          <w:w w:val="105"/>
        </w:rPr>
        <w:t> </w:t>
      </w:r>
      <w:r>
        <w:rPr>
          <w:color w:val="231F1F"/>
          <w:w w:val="105"/>
        </w:rPr>
        <w:t>7,53],</w:t>
      </w:r>
      <w:r>
        <w:rPr>
          <w:color w:val="231F1F"/>
          <w:spacing w:val="-5"/>
          <w:w w:val="105"/>
        </w:rPr>
        <w:t> </w:t>
      </w:r>
      <w:r>
        <w:rPr>
          <w:color w:val="231F1F"/>
          <w:w w:val="105"/>
        </w:rPr>
        <w:t>aumentando la</w:t>
      </w:r>
      <w:r>
        <w:rPr>
          <w:color w:val="231F1F"/>
          <w:spacing w:val="40"/>
          <w:w w:val="105"/>
        </w:rPr>
        <w:t> </w:t>
      </w:r>
      <w:r>
        <w:rPr>
          <w:color w:val="231F1F"/>
          <w:w w:val="105"/>
        </w:rPr>
        <w:t>incidencia</w:t>
      </w:r>
      <w:r>
        <w:rPr>
          <w:color w:val="231F1F"/>
          <w:spacing w:val="40"/>
          <w:w w:val="105"/>
        </w:rPr>
        <w:t> </w:t>
      </w:r>
      <w:r>
        <w:rPr>
          <w:color w:val="231F1F"/>
          <w:w w:val="105"/>
        </w:rPr>
        <w:t>de</w:t>
      </w:r>
      <w:r>
        <w:rPr>
          <w:color w:val="231F1F"/>
          <w:spacing w:val="40"/>
          <w:w w:val="105"/>
        </w:rPr>
        <w:t> </w:t>
      </w:r>
      <w:r>
        <w:rPr>
          <w:color w:val="231F1F"/>
          <w:w w:val="105"/>
        </w:rPr>
        <w:t>corioamnionitis</w:t>
      </w:r>
      <w:r>
        <w:rPr>
          <w:color w:val="231F1F"/>
          <w:spacing w:val="40"/>
          <w:w w:val="105"/>
        </w:rPr>
        <w:t> </w:t>
      </w:r>
      <w:r>
        <w:rPr>
          <w:color w:val="231F1F"/>
          <w:w w:val="105"/>
        </w:rPr>
        <w:t>de</w:t>
      </w:r>
      <w:r>
        <w:rPr>
          <w:color w:val="231F1F"/>
          <w:spacing w:val="40"/>
          <w:w w:val="105"/>
        </w:rPr>
        <w:t> </w:t>
      </w:r>
      <w:r>
        <w:rPr>
          <w:color w:val="231F1F"/>
          <w:w w:val="105"/>
        </w:rPr>
        <w:t>un</w:t>
      </w:r>
      <w:r>
        <w:rPr>
          <w:color w:val="231F1F"/>
          <w:spacing w:val="40"/>
          <w:w w:val="105"/>
        </w:rPr>
        <w:t> </w:t>
      </w:r>
      <w:r>
        <w:rPr>
          <w:color w:val="231F1F"/>
          <w:w w:val="105"/>
        </w:rPr>
        <w:t>2%</w:t>
      </w:r>
      <w:r>
        <w:rPr>
          <w:color w:val="231F1F"/>
          <w:spacing w:val="40"/>
          <w:w w:val="105"/>
        </w:rPr>
        <w:t> </w:t>
      </w:r>
      <w:r>
        <w:rPr>
          <w:color w:val="231F1F"/>
          <w:w w:val="105"/>
        </w:rPr>
        <w:t>a</w:t>
      </w:r>
      <w:r>
        <w:rPr>
          <w:color w:val="231F1F"/>
          <w:spacing w:val="40"/>
          <w:w w:val="105"/>
        </w:rPr>
        <w:t> </w:t>
      </w:r>
      <w:r>
        <w:rPr>
          <w:color w:val="231F1F"/>
          <w:w w:val="105"/>
        </w:rPr>
        <w:t>un</w:t>
      </w:r>
      <w:r>
        <w:rPr>
          <w:color w:val="231F1F"/>
          <w:spacing w:val="40"/>
          <w:w w:val="105"/>
        </w:rPr>
        <w:t> </w:t>
      </w:r>
      <w:r>
        <w:rPr>
          <w:color w:val="231F1F"/>
          <w:w w:val="105"/>
        </w:rPr>
        <w:t>13%.</w:t>
      </w:r>
    </w:p>
    <w:p>
      <w:pPr>
        <w:spacing w:before="4"/>
        <w:ind w:left="283" w:right="0" w:firstLine="0"/>
        <w:jc w:val="left"/>
        <w:rPr>
          <w:rFonts w:ascii="Arial MT"/>
          <w:sz w:val="18"/>
        </w:rPr>
      </w:pPr>
      <w:r>
        <w:rPr/>
        <w:br w:type="column"/>
      </w:r>
      <w:r>
        <w:rPr>
          <w:rFonts w:ascii="Arial MT"/>
          <w:color w:val="231F1F"/>
          <w:spacing w:val="-5"/>
          <w:sz w:val="18"/>
        </w:rPr>
        <w:t>2++</w:t>
      </w:r>
    </w:p>
    <w:p>
      <w:pPr>
        <w:spacing w:after="0"/>
        <w:jc w:val="left"/>
        <w:rPr>
          <w:rFonts w:ascii="Arial MT"/>
          <w:sz w:val="18"/>
        </w:rPr>
        <w:sectPr>
          <w:type w:val="continuous"/>
          <w:pgSz w:w="11900" w:h="16840"/>
          <w:pgMar w:header="0" w:footer="622" w:top="560" w:bottom="280" w:left="1417" w:right="1559"/>
          <w:cols w:num="2" w:equalWidth="0">
            <w:col w:w="7495" w:space="280"/>
            <w:col w:w="1149"/>
          </w:cols>
        </w:sectPr>
      </w:pPr>
    </w:p>
    <w:p>
      <w:pPr>
        <w:pStyle w:val="BodyText"/>
        <w:spacing w:line="242" w:lineRule="auto" w:before="73"/>
        <w:ind w:left="283" w:right="265" w:firstLine="453"/>
        <w:jc w:val="both"/>
        <w:rPr>
          <w:rFonts w:ascii="Arial MT" w:hAnsi="Arial MT"/>
          <w:position w:val="8"/>
          <w:sz w:val="18"/>
        </w:rPr>
      </w:pPr>
      <w:r>
        <w:rPr>
          <w:color w:val="231F1F"/>
          <w:w w:val="110"/>
        </w:rPr>
        <w:t>Otro</w:t>
      </w:r>
      <w:r>
        <w:rPr>
          <w:color w:val="231F1F"/>
          <w:spacing w:val="-6"/>
          <w:w w:val="110"/>
        </w:rPr>
        <w:t> </w:t>
      </w:r>
      <w:r>
        <w:rPr>
          <w:color w:val="231F1F"/>
          <w:w w:val="110"/>
        </w:rPr>
        <w:t>estudio</w:t>
      </w:r>
      <w:r>
        <w:rPr>
          <w:color w:val="231F1F"/>
          <w:spacing w:val="-3"/>
          <w:w w:val="110"/>
        </w:rPr>
        <w:t> </w:t>
      </w:r>
      <w:r>
        <w:rPr>
          <w:color w:val="231F1F"/>
          <w:w w:val="110"/>
        </w:rPr>
        <w:t>retrospectivo</w:t>
      </w:r>
      <w:r>
        <w:rPr>
          <w:color w:val="231F1F"/>
          <w:spacing w:val="-3"/>
          <w:w w:val="110"/>
        </w:rPr>
        <w:t> </w:t>
      </w:r>
      <w:r>
        <w:rPr>
          <w:color w:val="231F1F"/>
          <w:w w:val="110"/>
        </w:rPr>
        <w:t>de</w:t>
      </w:r>
      <w:r>
        <w:rPr>
          <w:color w:val="231F1F"/>
          <w:spacing w:val="-3"/>
          <w:w w:val="110"/>
        </w:rPr>
        <w:t> </w:t>
      </w:r>
      <w:r>
        <w:rPr>
          <w:color w:val="231F1F"/>
          <w:w w:val="110"/>
        </w:rPr>
        <w:t>casos</w:t>
      </w:r>
      <w:r>
        <w:rPr>
          <w:color w:val="231F1F"/>
          <w:spacing w:val="-3"/>
          <w:w w:val="110"/>
        </w:rPr>
        <w:t> </w:t>
      </w:r>
      <w:r>
        <w:rPr>
          <w:color w:val="231F1F"/>
          <w:w w:val="110"/>
        </w:rPr>
        <w:t>y</w:t>
      </w:r>
      <w:r>
        <w:rPr>
          <w:color w:val="231F1F"/>
          <w:spacing w:val="-3"/>
          <w:w w:val="110"/>
        </w:rPr>
        <w:t> </w:t>
      </w:r>
      <w:r>
        <w:rPr>
          <w:color w:val="231F1F"/>
          <w:w w:val="110"/>
        </w:rPr>
        <w:t>controles</w:t>
      </w:r>
      <w:r>
        <w:rPr>
          <w:color w:val="231F1F"/>
          <w:spacing w:val="-4"/>
          <w:w w:val="110"/>
        </w:rPr>
        <w:t> </w:t>
      </w:r>
      <w:r>
        <w:rPr>
          <w:color w:val="231F1F"/>
          <w:w w:val="110"/>
        </w:rPr>
        <w:t>(73)</w:t>
      </w:r>
      <w:r>
        <w:rPr>
          <w:color w:val="231F1F"/>
          <w:spacing w:val="-4"/>
          <w:w w:val="110"/>
        </w:rPr>
        <w:t> </w:t>
      </w:r>
      <w:r>
        <w:rPr>
          <w:color w:val="231F1F"/>
          <w:w w:val="110"/>
        </w:rPr>
        <w:t>realizado</w:t>
      </w:r>
      <w:r>
        <w:rPr>
          <w:color w:val="231F1F"/>
          <w:spacing w:val="-3"/>
          <w:w w:val="110"/>
        </w:rPr>
        <w:t> </w:t>
      </w:r>
      <w:r>
        <w:rPr>
          <w:color w:val="231F1F"/>
          <w:w w:val="110"/>
        </w:rPr>
        <w:t>en</w:t>
      </w:r>
      <w:r>
        <w:rPr>
          <w:color w:val="231F1F"/>
          <w:spacing w:val="-3"/>
          <w:w w:val="110"/>
        </w:rPr>
        <w:t> </w:t>
      </w:r>
      <w:r>
        <w:rPr>
          <w:color w:val="231F1F"/>
          <w:w w:val="110"/>
        </w:rPr>
        <w:t>Israel,</w:t>
      </w:r>
      <w:r>
        <w:rPr>
          <w:color w:val="231F1F"/>
          <w:spacing w:val="40"/>
          <w:w w:val="110"/>
        </w:rPr>
        <w:t> </w:t>
      </w:r>
      <w:r>
        <w:rPr>
          <w:rFonts w:ascii="Arial MT" w:hAnsi="Arial MT"/>
          <w:color w:val="231F1F"/>
          <w:w w:val="110"/>
          <w:sz w:val="18"/>
        </w:rPr>
        <w:t>E</w:t>
      </w:r>
      <w:r>
        <w:rPr>
          <w:rFonts w:ascii="Arial MT" w:hAnsi="Arial MT"/>
          <w:color w:val="231F1F"/>
          <w:spacing w:val="-14"/>
          <w:w w:val="110"/>
          <w:sz w:val="18"/>
        </w:rPr>
        <w:t> </w:t>
      </w:r>
      <w:r>
        <w:rPr>
          <w:rFonts w:ascii="Arial MT" w:hAnsi="Arial MT"/>
          <w:color w:val="231F1F"/>
          <w:w w:val="110"/>
          <w:sz w:val="18"/>
        </w:rPr>
        <w:t>de</w:t>
      </w:r>
      <w:r>
        <w:rPr>
          <w:rFonts w:ascii="Arial MT" w:hAnsi="Arial MT"/>
          <w:color w:val="231F1F"/>
          <w:spacing w:val="-14"/>
          <w:w w:val="110"/>
          <w:sz w:val="18"/>
        </w:rPr>
        <w:t> </w:t>
      </w:r>
      <w:r>
        <w:rPr>
          <w:rFonts w:ascii="Arial MT" w:hAnsi="Arial MT"/>
          <w:color w:val="231F1F"/>
          <w:w w:val="110"/>
          <w:sz w:val="18"/>
        </w:rPr>
        <w:t>Caso </w:t>
      </w:r>
      <w:r>
        <w:rPr>
          <w:color w:val="231F1F"/>
          <w:w w:val="110"/>
        </w:rPr>
        <w:t>que</w:t>
      </w:r>
      <w:r>
        <w:rPr>
          <w:color w:val="231F1F"/>
          <w:spacing w:val="-16"/>
          <w:w w:val="110"/>
        </w:rPr>
        <w:t> </w:t>
      </w:r>
      <w:r>
        <w:rPr>
          <w:color w:val="231F1F"/>
          <w:w w:val="110"/>
        </w:rPr>
        <w:t>incluía</w:t>
      </w:r>
      <w:r>
        <w:rPr>
          <w:color w:val="231F1F"/>
          <w:spacing w:val="-13"/>
          <w:w w:val="110"/>
        </w:rPr>
        <w:t> </w:t>
      </w:r>
      <w:r>
        <w:rPr>
          <w:color w:val="231F1F"/>
          <w:w w:val="110"/>
        </w:rPr>
        <w:t>a</w:t>
      </w:r>
      <w:r>
        <w:rPr>
          <w:color w:val="231F1F"/>
          <w:spacing w:val="-13"/>
          <w:w w:val="110"/>
        </w:rPr>
        <w:t> </w:t>
      </w:r>
      <w:r>
        <w:rPr>
          <w:color w:val="231F1F"/>
          <w:w w:val="110"/>
        </w:rPr>
        <w:t>411</w:t>
      </w:r>
      <w:r>
        <w:rPr>
          <w:color w:val="231F1F"/>
          <w:spacing w:val="-13"/>
          <w:w w:val="110"/>
        </w:rPr>
        <w:t> </w:t>
      </w:r>
      <w:r>
        <w:rPr>
          <w:color w:val="231F1F"/>
          <w:w w:val="110"/>
        </w:rPr>
        <w:t>mujeres,</w:t>
      </w:r>
      <w:r>
        <w:rPr>
          <w:color w:val="231F1F"/>
          <w:spacing w:val="-14"/>
          <w:w w:val="110"/>
        </w:rPr>
        <w:t> </w:t>
      </w:r>
      <w:r>
        <w:rPr>
          <w:color w:val="231F1F"/>
          <w:w w:val="110"/>
        </w:rPr>
        <w:t>también</w:t>
      </w:r>
      <w:r>
        <w:rPr>
          <w:color w:val="231F1F"/>
          <w:spacing w:val="-13"/>
          <w:w w:val="110"/>
        </w:rPr>
        <w:t> </w:t>
      </w:r>
      <w:r>
        <w:rPr>
          <w:color w:val="231F1F"/>
          <w:w w:val="110"/>
        </w:rPr>
        <w:t>observó</w:t>
      </w:r>
      <w:r>
        <w:rPr>
          <w:color w:val="231F1F"/>
          <w:spacing w:val="-14"/>
          <w:w w:val="110"/>
        </w:rPr>
        <w:t> </w:t>
      </w:r>
      <w:r>
        <w:rPr>
          <w:color w:val="231F1F"/>
          <w:w w:val="110"/>
        </w:rPr>
        <w:t>que</w:t>
      </w:r>
      <w:r>
        <w:rPr>
          <w:color w:val="231F1F"/>
          <w:spacing w:val="-14"/>
          <w:w w:val="110"/>
        </w:rPr>
        <w:t> </w:t>
      </w:r>
      <w:r>
        <w:rPr>
          <w:color w:val="231F1F"/>
          <w:w w:val="110"/>
        </w:rPr>
        <w:t>el</w:t>
      </w:r>
      <w:r>
        <w:rPr>
          <w:color w:val="231F1F"/>
          <w:spacing w:val="-14"/>
          <w:w w:val="110"/>
        </w:rPr>
        <w:t> </w:t>
      </w:r>
      <w:r>
        <w:rPr>
          <w:color w:val="231F1F"/>
          <w:w w:val="110"/>
        </w:rPr>
        <w:t>número</w:t>
      </w:r>
      <w:r>
        <w:rPr>
          <w:color w:val="231F1F"/>
          <w:spacing w:val="-14"/>
          <w:w w:val="110"/>
        </w:rPr>
        <w:t> </w:t>
      </w:r>
      <w:r>
        <w:rPr>
          <w:color w:val="231F1F"/>
          <w:w w:val="110"/>
        </w:rPr>
        <w:t>de</w:t>
      </w:r>
      <w:r>
        <w:rPr>
          <w:color w:val="231F1F"/>
          <w:spacing w:val="-14"/>
          <w:w w:val="110"/>
        </w:rPr>
        <w:t> </w:t>
      </w:r>
      <w:r>
        <w:rPr>
          <w:color w:val="231F1F"/>
          <w:w w:val="110"/>
        </w:rPr>
        <w:t>tactos</w:t>
      </w:r>
      <w:r>
        <w:rPr>
          <w:color w:val="231F1F"/>
          <w:spacing w:val="-13"/>
          <w:w w:val="110"/>
        </w:rPr>
        <w:t> </w:t>
      </w:r>
      <w:r>
        <w:rPr>
          <w:color w:val="231F1F"/>
          <w:w w:val="110"/>
        </w:rPr>
        <w:t>vaginales</w:t>
      </w:r>
      <w:r>
        <w:rPr>
          <w:color w:val="231F1F"/>
          <w:spacing w:val="28"/>
          <w:w w:val="110"/>
        </w:rPr>
        <w:t> </w:t>
      </w:r>
      <w:r>
        <w:rPr>
          <w:rFonts w:ascii="Arial MT" w:hAnsi="Arial MT"/>
          <w:color w:val="231F1F"/>
          <w:w w:val="110"/>
          <w:position w:val="4"/>
          <w:sz w:val="18"/>
        </w:rPr>
        <w:t>de</w:t>
      </w:r>
      <w:r>
        <w:rPr>
          <w:rFonts w:ascii="Arial MT" w:hAnsi="Arial MT"/>
          <w:color w:val="231F1F"/>
          <w:spacing w:val="-14"/>
          <w:w w:val="110"/>
          <w:position w:val="4"/>
          <w:sz w:val="18"/>
        </w:rPr>
        <w:t> </w:t>
      </w:r>
      <w:r>
        <w:rPr>
          <w:rFonts w:ascii="Arial MT" w:hAnsi="Arial MT"/>
          <w:color w:val="231F1F"/>
          <w:w w:val="110"/>
          <w:position w:val="4"/>
          <w:sz w:val="18"/>
        </w:rPr>
        <w:t>control </w:t>
      </w:r>
      <w:r>
        <w:rPr>
          <w:color w:val="231F1F"/>
          <w:w w:val="110"/>
        </w:rPr>
        <w:t>era un predictor independiente de infección (tanto materna como neonatal).</w:t>
      </w:r>
      <w:r>
        <w:rPr>
          <w:color w:val="231F1F"/>
          <w:spacing w:val="80"/>
          <w:w w:val="150"/>
        </w:rPr>
        <w:t>  </w:t>
      </w:r>
      <w:r>
        <w:rPr>
          <w:rFonts w:ascii="Arial MT" w:hAnsi="Arial MT"/>
          <w:color w:val="231F1F"/>
          <w:w w:val="110"/>
          <w:position w:val="8"/>
          <w:sz w:val="18"/>
        </w:rPr>
        <w:t>2+</w:t>
      </w:r>
    </w:p>
    <w:p>
      <w:pPr>
        <w:spacing w:line="244" w:lineRule="auto" w:before="7"/>
        <w:ind w:left="283" w:right="1368" w:firstLine="0"/>
        <w:jc w:val="both"/>
        <w:rPr>
          <w:sz w:val="22"/>
        </w:rPr>
      </w:pPr>
      <w:r>
        <w:rPr>
          <w:color w:val="231F1F"/>
          <w:w w:val="105"/>
          <w:sz w:val="22"/>
        </w:rPr>
        <w:t>Las mujeres a las que se realizaron </w:t>
      </w:r>
      <w:r>
        <w:rPr>
          <w:i/>
          <w:color w:val="231F1F"/>
          <w:w w:val="105"/>
          <w:sz w:val="22"/>
        </w:rPr>
        <w:t>siete o más tactos vaginales comparadas con</w:t>
      </w:r>
      <w:r>
        <w:rPr>
          <w:i/>
          <w:color w:val="231F1F"/>
          <w:w w:val="105"/>
          <w:sz w:val="22"/>
        </w:rPr>
        <w:t> </w:t>
      </w:r>
      <w:r>
        <w:rPr>
          <w:color w:val="231F1F"/>
          <w:w w:val="105"/>
          <w:sz w:val="22"/>
        </w:rPr>
        <w:t>las</w:t>
      </w:r>
      <w:r>
        <w:rPr>
          <w:color w:val="231F1F"/>
          <w:w w:val="105"/>
          <w:sz w:val="22"/>
        </w:rPr>
        <w:t> que</w:t>
      </w:r>
      <w:r>
        <w:rPr>
          <w:color w:val="231F1F"/>
          <w:w w:val="105"/>
          <w:sz w:val="22"/>
        </w:rPr>
        <w:t> tuvieron</w:t>
      </w:r>
      <w:r>
        <w:rPr>
          <w:color w:val="231F1F"/>
          <w:w w:val="105"/>
          <w:sz w:val="22"/>
        </w:rPr>
        <w:t> </w:t>
      </w:r>
      <w:r>
        <w:rPr>
          <w:i/>
          <w:color w:val="231F1F"/>
          <w:w w:val="105"/>
          <w:sz w:val="22"/>
        </w:rPr>
        <w:t>menos</w:t>
      </w:r>
      <w:r>
        <w:rPr>
          <w:i/>
          <w:color w:val="231F1F"/>
          <w:w w:val="105"/>
          <w:sz w:val="22"/>
        </w:rPr>
        <w:t> de</w:t>
      </w:r>
      <w:r>
        <w:rPr>
          <w:i/>
          <w:color w:val="231F1F"/>
          <w:w w:val="105"/>
          <w:sz w:val="22"/>
        </w:rPr>
        <w:t> siete </w:t>
      </w:r>
      <w:r>
        <w:rPr>
          <w:color w:val="231F1F"/>
          <w:w w:val="105"/>
          <w:sz w:val="22"/>
        </w:rPr>
        <w:t>tactos</w:t>
      </w:r>
      <w:r>
        <w:rPr>
          <w:color w:val="231F1F"/>
          <w:w w:val="105"/>
          <w:sz w:val="22"/>
        </w:rPr>
        <w:t> presentaban</w:t>
      </w:r>
      <w:r>
        <w:rPr>
          <w:color w:val="231F1F"/>
          <w:w w:val="105"/>
          <w:sz w:val="22"/>
        </w:rPr>
        <w:t> un</w:t>
      </w:r>
      <w:r>
        <w:rPr>
          <w:color w:val="231F1F"/>
          <w:w w:val="105"/>
          <w:sz w:val="22"/>
        </w:rPr>
        <w:t> mayor</w:t>
      </w:r>
      <w:r>
        <w:rPr>
          <w:color w:val="231F1F"/>
          <w:w w:val="105"/>
          <w:sz w:val="22"/>
        </w:rPr>
        <w:t> riesgo</w:t>
      </w:r>
      <w:r>
        <w:rPr>
          <w:color w:val="231F1F"/>
          <w:w w:val="105"/>
          <w:sz w:val="22"/>
        </w:rPr>
        <w:t> de infección materna, así como neonatal): OR 2,70 [IC 95% 1,66 a 4,34].</w:t>
      </w:r>
    </w:p>
    <w:p>
      <w:pPr>
        <w:pStyle w:val="BodyText"/>
        <w:tabs>
          <w:tab w:pos="8031" w:val="left" w:leader="none"/>
          <w:tab w:pos="8114" w:val="left" w:leader="none"/>
        </w:tabs>
        <w:spacing w:line="247" w:lineRule="auto" w:before="104"/>
        <w:ind w:left="283" w:right="432" w:firstLine="453"/>
      </w:pPr>
      <w:r>
        <w:rPr>
          <w:color w:val="231F1F"/>
          <w:w w:val="110"/>
        </w:rPr>
        <w:t>Otro de los estudios (74) que también era un análisis secundario de los</w:t>
      </w:r>
      <w:r>
        <w:rPr>
          <w:color w:val="231F1F"/>
        </w:rPr>
        <w:tab/>
      </w:r>
      <w:r>
        <w:rPr>
          <w:rFonts w:ascii="Arial MT" w:hAnsi="Arial MT"/>
          <w:color w:val="231F1F"/>
          <w:w w:val="110"/>
          <w:sz w:val="18"/>
        </w:rPr>
        <w:t>E de </w:t>
      </w:r>
      <w:r>
        <w:rPr>
          <w:color w:val="231F1F"/>
          <w:w w:val="110"/>
        </w:rPr>
        <w:t>resultados</w:t>
      </w:r>
      <w:r>
        <w:rPr>
          <w:color w:val="231F1F"/>
          <w:spacing w:val="-12"/>
          <w:w w:val="110"/>
        </w:rPr>
        <w:t> </w:t>
      </w:r>
      <w:r>
        <w:rPr>
          <w:color w:val="231F1F"/>
          <w:w w:val="110"/>
        </w:rPr>
        <w:t>del</w:t>
      </w:r>
      <w:r>
        <w:rPr>
          <w:color w:val="231F1F"/>
          <w:spacing w:val="-14"/>
          <w:w w:val="110"/>
        </w:rPr>
        <w:t> </w:t>
      </w:r>
      <w:r>
        <w:rPr>
          <w:color w:val="231F1F"/>
          <w:w w:val="110"/>
        </w:rPr>
        <w:t>ensayo</w:t>
      </w:r>
      <w:r>
        <w:rPr>
          <w:color w:val="231F1F"/>
          <w:spacing w:val="-12"/>
          <w:w w:val="110"/>
        </w:rPr>
        <w:t> </w:t>
      </w:r>
      <w:r>
        <w:rPr>
          <w:color w:val="231F1F"/>
          <w:w w:val="110"/>
        </w:rPr>
        <w:t>multicéntrico</w:t>
      </w:r>
      <w:r>
        <w:rPr>
          <w:color w:val="231F1F"/>
          <w:spacing w:val="-12"/>
          <w:w w:val="110"/>
        </w:rPr>
        <w:t> </w:t>
      </w:r>
      <w:r>
        <w:rPr>
          <w:color w:val="231F1F"/>
          <w:w w:val="110"/>
        </w:rPr>
        <w:t>internacional</w:t>
      </w:r>
      <w:r>
        <w:rPr>
          <w:color w:val="231F1F"/>
          <w:spacing w:val="-13"/>
          <w:w w:val="110"/>
        </w:rPr>
        <w:t> </w:t>
      </w:r>
      <w:r>
        <w:rPr>
          <w:color w:val="231F1F"/>
          <w:w w:val="110"/>
        </w:rPr>
        <w:t>(71)</w:t>
      </w:r>
      <w:r>
        <w:rPr>
          <w:color w:val="231F1F"/>
          <w:spacing w:val="-12"/>
          <w:w w:val="110"/>
        </w:rPr>
        <w:t> </w:t>
      </w:r>
      <w:r>
        <w:rPr>
          <w:color w:val="231F1F"/>
          <w:w w:val="110"/>
        </w:rPr>
        <w:t>intentó</w:t>
      </w:r>
      <w:r>
        <w:rPr>
          <w:color w:val="231F1F"/>
          <w:spacing w:val="-12"/>
          <w:w w:val="110"/>
        </w:rPr>
        <w:t> </w:t>
      </w:r>
      <w:r>
        <w:rPr>
          <w:color w:val="231F1F"/>
          <w:w w:val="110"/>
        </w:rPr>
        <w:t>identificar</w:t>
      </w:r>
      <w:r>
        <w:rPr>
          <w:color w:val="231F1F"/>
          <w:spacing w:val="-12"/>
          <w:w w:val="110"/>
        </w:rPr>
        <w:t> </w:t>
      </w:r>
      <w:r>
        <w:rPr>
          <w:color w:val="231F1F"/>
          <w:w w:val="110"/>
        </w:rPr>
        <w:t>fac-</w:t>
      </w:r>
      <w:r>
        <w:rPr>
          <w:color w:val="231F1F"/>
          <w:spacing w:val="69"/>
          <w:w w:val="110"/>
        </w:rPr>
        <w:t> </w:t>
      </w:r>
      <w:r>
        <w:rPr>
          <w:rFonts w:ascii="Arial MT" w:hAnsi="Arial MT"/>
          <w:color w:val="231F1F"/>
          <w:w w:val="110"/>
          <w:position w:val="4"/>
          <w:sz w:val="18"/>
        </w:rPr>
        <w:t>Cohorte </w:t>
      </w:r>
      <w:r>
        <w:rPr>
          <w:color w:val="231F1F"/>
          <w:w w:val="110"/>
        </w:rPr>
        <w:t>tores predictores de la infección neonatal. En él se observó que el predictor</w:t>
      </w:r>
      <w:r>
        <w:rPr>
          <w:color w:val="231F1F"/>
        </w:rPr>
        <w:tab/>
        <w:tab/>
      </w:r>
      <w:r>
        <w:rPr>
          <w:rFonts w:ascii="Arial MT" w:hAnsi="Arial MT"/>
          <w:color w:val="231F1F"/>
          <w:spacing w:val="-6"/>
          <w:w w:val="110"/>
          <w:position w:val="8"/>
          <w:sz w:val="18"/>
        </w:rPr>
        <w:t>2+ </w:t>
      </w:r>
      <w:r>
        <w:rPr>
          <w:color w:val="231F1F"/>
          <w:w w:val="110"/>
        </w:rPr>
        <w:t>más robusto de la infección neonatal fue la corioamnionitis clínica en partos</w:t>
      </w:r>
    </w:p>
    <w:p>
      <w:pPr>
        <w:pStyle w:val="BodyText"/>
        <w:spacing w:line="244" w:lineRule="auto" w:before="1"/>
        <w:ind w:left="283" w:right="1320"/>
      </w:pPr>
      <w:r>
        <w:rPr>
          <w:color w:val="231F1F"/>
          <w:w w:val="110"/>
        </w:rPr>
        <w:t>con rotura prematura de membranas: OR 5,89 [IC 95% 2,02 a 4,68]. Otro factor</w:t>
      </w:r>
      <w:r>
        <w:rPr>
          <w:color w:val="231F1F"/>
          <w:spacing w:val="-5"/>
          <w:w w:val="110"/>
        </w:rPr>
        <w:t> </w:t>
      </w:r>
      <w:r>
        <w:rPr>
          <w:color w:val="231F1F"/>
          <w:w w:val="110"/>
        </w:rPr>
        <w:t>predictor</w:t>
      </w:r>
      <w:r>
        <w:rPr>
          <w:color w:val="231F1F"/>
          <w:spacing w:val="-5"/>
          <w:w w:val="110"/>
        </w:rPr>
        <w:t> </w:t>
      </w:r>
      <w:r>
        <w:rPr>
          <w:color w:val="231F1F"/>
          <w:w w:val="110"/>
        </w:rPr>
        <w:t>independiente</w:t>
      </w:r>
      <w:r>
        <w:rPr>
          <w:color w:val="231F1F"/>
          <w:spacing w:val="-5"/>
          <w:w w:val="110"/>
        </w:rPr>
        <w:t> </w:t>
      </w:r>
      <w:r>
        <w:rPr>
          <w:color w:val="231F1F"/>
          <w:w w:val="110"/>
        </w:rPr>
        <w:t>fue</w:t>
      </w:r>
      <w:r>
        <w:rPr>
          <w:color w:val="231F1F"/>
          <w:spacing w:val="-5"/>
          <w:w w:val="110"/>
        </w:rPr>
        <w:t> </w:t>
      </w:r>
      <w:r>
        <w:rPr>
          <w:color w:val="231F1F"/>
          <w:w w:val="110"/>
        </w:rPr>
        <w:t>la</w:t>
      </w:r>
      <w:r>
        <w:rPr>
          <w:color w:val="231F1F"/>
          <w:spacing w:val="-5"/>
          <w:w w:val="110"/>
        </w:rPr>
        <w:t> </w:t>
      </w:r>
      <w:r>
        <w:rPr>
          <w:color w:val="231F1F"/>
          <w:w w:val="110"/>
        </w:rPr>
        <w:t>realización</w:t>
      </w:r>
      <w:r>
        <w:rPr>
          <w:color w:val="231F1F"/>
          <w:spacing w:val="-5"/>
          <w:w w:val="110"/>
        </w:rPr>
        <w:t> </w:t>
      </w:r>
      <w:r>
        <w:rPr>
          <w:color w:val="231F1F"/>
          <w:w w:val="110"/>
        </w:rPr>
        <w:t>de</w:t>
      </w:r>
      <w:r>
        <w:rPr>
          <w:color w:val="231F1F"/>
          <w:spacing w:val="-5"/>
          <w:w w:val="110"/>
        </w:rPr>
        <w:t> </w:t>
      </w:r>
      <w:r>
        <w:rPr>
          <w:color w:val="231F1F"/>
          <w:w w:val="110"/>
        </w:rPr>
        <w:t>7-8</w:t>
      </w:r>
      <w:r>
        <w:rPr>
          <w:color w:val="231F1F"/>
          <w:spacing w:val="-5"/>
          <w:w w:val="110"/>
        </w:rPr>
        <w:t> </w:t>
      </w:r>
      <w:r>
        <w:rPr>
          <w:color w:val="231F1F"/>
          <w:w w:val="110"/>
        </w:rPr>
        <w:t>exámenes</w:t>
      </w:r>
      <w:r>
        <w:rPr>
          <w:color w:val="231F1F"/>
          <w:spacing w:val="-5"/>
          <w:w w:val="110"/>
        </w:rPr>
        <w:t> </w:t>
      </w:r>
      <w:r>
        <w:rPr>
          <w:color w:val="231F1F"/>
          <w:w w:val="110"/>
        </w:rPr>
        <w:t>vaginales (frente a 0-2 tactos): OR 2,37 [IC 95% 1,03 a 5,43].</w:t>
      </w:r>
    </w:p>
    <w:p>
      <w:pPr>
        <w:pStyle w:val="BodyText"/>
        <w:spacing w:before="86"/>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9"/>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4" w:lineRule="auto" w:before="209"/>
        <w:ind w:left="283" w:right="1372"/>
        <w:jc w:val="both"/>
      </w:pPr>
      <w:r>
        <w:rPr>
          <w:color w:val="231F1F"/>
          <w:w w:val="110"/>
        </w:rPr>
        <w:t>En</w:t>
      </w:r>
      <w:r>
        <w:rPr>
          <w:color w:val="231F1F"/>
          <w:spacing w:val="-10"/>
          <w:w w:val="110"/>
        </w:rPr>
        <w:t> </w:t>
      </w:r>
      <w:r>
        <w:rPr>
          <w:color w:val="231F1F"/>
          <w:w w:val="110"/>
        </w:rPr>
        <w:t>la</w:t>
      </w:r>
      <w:r>
        <w:rPr>
          <w:color w:val="231F1F"/>
          <w:spacing w:val="-10"/>
          <w:w w:val="110"/>
        </w:rPr>
        <w:t> </w:t>
      </w:r>
      <w:r>
        <w:rPr>
          <w:color w:val="231F1F"/>
          <w:w w:val="110"/>
        </w:rPr>
        <w:t>actualización</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búsqueda</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guía</w:t>
      </w:r>
      <w:r>
        <w:rPr>
          <w:color w:val="231F1F"/>
          <w:spacing w:val="-10"/>
          <w:w w:val="110"/>
        </w:rPr>
        <w:t> </w:t>
      </w:r>
      <w:r>
        <w:rPr>
          <w:color w:val="231F1F"/>
          <w:w w:val="110"/>
        </w:rPr>
        <w:t>de</w:t>
      </w:r>
      <w:r>
        <w:rPr>
          <w:color w:val="231F1F"/>
          <w:spacing w:val="-10"/>
          <w:w w:val="110"/>
        </w:rPr>
        <w:t> </w:t>
      </w:r>
      <w:r>
        <w:rPr>
          <w:color w:val="231F1F"/>
          <w:w w:val="110"/>
        </w:rPr>
        <w:t>NICE</w:t>
      </w:r>
      <w:r>
        <w:rPr>
          <w:color w:val="231F1F"/>
          <w:spacing w:val="-10"/>
          <w:w w:val="110"/>
        </w:rPr>
        <w:t> </w:t>
      </w:r>
      <w:r>
        <w:rPr>
          <w:color w:val="231F1F"/>
          <w:w w:val="110"/>
        </w:rPr>
        <w:t>(10)</w:t>
      </w:r>
      <w:r>
        <w:rPr>
          <w:color w:val="231F1F"/>
          <w:spacing w:val="-10"/>
          <w:w w:val="110"/>
        </w:rPr>
        <w:t> </w:t>
      </w:r>
      <w:r>
        <w:rPr>
          <w:color w:val="231F1F"/>
          <w:w w:val="110"/>
        </w:rPr>
        <w:t>no</w:t>
      </w:r>
      <w:r>
        <w:rPr>
          <w:color w:val="231F1F"/>
          <w:spacing w:val="-10"/>
          <w:w w:val="110"/>
        </w:rPr>
        <w:t> </w:t>
      </w:r>
      <w:r>
        <w:rPr>
          <w:color w:val="231F1F"/>
          <w:w w:val="110"/>
        </w:rPr>
        <w:t>se</w:t>
      </w:r>
      <w:r>
        <w:rPr>
          <w:color w:val="231F1F"/>
          <w:spacing w:val="-10"/>
          <w:w w:val="110"/>
        </w:rPr>
        <w:t> </w:t>
      </w:r>
      <w:r>
        <w:rPr>
          <w:color w:val="231F1F"/>
          <w:w w:val="110"/>
        </w:rPr>
        <w:t>seleccionó ningún</w:t>
      </w:r>
      <w:r>
        <w:rPr>
          <w:color w:val="231F1F"/>
          <w:spacing w:val="-15"/>
          <w:w w:val="110"/>
        </w:rPr>
        <w:t> </w:t>
      </w:r>
      <w:r>
        <w:rPr>
          <w:color w:val="231F1F"/>
          <w:w w:val="110"/>
        </w:rPr>
        <w:t>estudio,</w:t>
      </w:r>
      <w:r>
        <w:rPr>
          <w:color w:val="231F1F"/>
          <w:spacing w:val="-15"/>
          <w:w w:val="110"/>
        </w:rPr>
        <w:t> </w:t>
      </w:r>
      <w:r>
        <w:rPr>
          <w:color w:val="231F1F"/>
          <w:w w:val="110"/>
        </w:rPr>
        <w:t>por</w:t>
      </w:r>
      <w:r>
        <w:rPr>
          <w:color w:val="231F1F"/>
          <w:spacing w:val="-15"/>
          <w:w w:val="110"/>
        </w:rPr>
        <w:t> </w:t>
      </w:r>
      <w:r>
        <w:rPr>
          <w:color w:val="231F1F"/>
          <w:w w:val="110"/>
        </w:rPr>
        <w:t>lo</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GEG</w:t>
      </w:r>
      <w:r>
        <w:rPr>
          <w:color w:val="231F1F"/>
          <w:spacing w:val="-14"/>
          <w:w w:val="110"/>
        </w:rPr>
        <w:t> </w:t>
      </w:r>
      <w:r>
        <w:rPr>
          <w:color w:val="231F1F"/>
          <w:w w:val="110"/>
        </w:rPr>
        <w:t>ha</w:t>
      </w:r>
      <w:r>
        <w:rPr>
          <w:color w:val="231F1F"/>
          <w:spacing w:val="-15"/>
          <w:w w:val="110"/>
        </w:rPr>
        <w:t> </w:t>
      </w:r>
      <w:r>
        <w:rPr>
          <w:color w:val="231F1F"/>
          <w:w w:val="110"/>
        </w:rPr>
        <w:t>basado</w:t>
      </w:r>
      <w:r>
        <w:rPr>
          <w:color w:val="231F1F"/>
          <w:spacing w:val="-15"/>
          <w:w w:val="110"/>
        </w:rPr>
        <w:t> </w:t>
      </w:r>
      <w:r>
        <w:rPr>
          <w:color w:val="231F1F"/>
          <w:w w:val="110"/>
        </w:rPr>
        <w:t>sus</w:t>
      </w:r>
      <w:r>
        <w:rPr>
          <w:color w:val="231F1F"/>
          <w:spacing w:val="-15"/>
          <w:w w:val="110"/>
        </w:rPr>
        <w:t> </w:t>
      </w:r>
      <w:r>
        <w:rPr>
          <w:color w:val="231F1F"/>
          <w:w w:val="110"/>
        </w:rPr>
        <w:t>recomendaciones</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evi- dencia aportada en la guía NICE (10).</w:t>
      </w:r>
    </w:p>
    <w:p>
      <w:pPr>
        <w:pStyle w:val="BodyText"/>
        <w:spacing w:before="163"/>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9" w:lineRule="auto" w:before="39"/>
              <w:ind w:right="157"/>
              <w:jc w:val="both"/>
              <w:rPr>
                <w:sz w:val="22"/>
              </w:rPr>
            </w:pPr>
            <w:r>
              <w:rPr>
                <w:color w:val="231F1F"/>
                <w:sz w:val="22"/>
              </w:rPr>
              <w:t>El riesgo de infección se incrementa con el número de los tactos vaginales. Además, el número de tactos vaginales en el manejo de la primera etapa del parto tras la rotura prematura de membranas, es el factor independiente más </w:t>
            </w:r>
            <w:r>
              <w:rPr>
                <w:color w:val="231F1F"/>
                <w:w w:val="110"/>
                <w:sz w:val="22"/>
              </w:rPr>
              <w:t>importante para predecir una infección materna y/o neonatal (71-74).</w:t>
            </w:r>
          </w:p>
        </w:tc>
        <w:tc>
          <w:tcPr>
            <w:tcW w:w="1133" w:type="dxa"/>
          </w:tcPr>
          <w:p>
            <w:pPr>
              <w:pStyle w:val="TableParagraph"/>
              <w:spacing w:before="203"/>
              <w:ind w:left="0"/>
              <w:rPr>
                <w:rFonts w:ascii="Arial MT"/>
                <w:sz w:val="22"/>
              </w:rPr>
            </w:pPr>
          </w:p>
          <w:p>
            <w:pPr>
              <w:pStyle w:val="TableParagraph"/>
              <w:spacing w:before="1"/>
              <w:ind w:left="388"/>
              <w:rPr>
                <w:sz w:val="22"/>
              </w:rPr>
            </w:pPr>
            <w:r>
              <w:rPr>
                <w:color w:val="231F1F"/>
                <w:spacing w:val="-5"/>
                <w:w w:val="105"/>
                <w:sz w:val="22"/>
              </w:rPr>
              <w:t>2++</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86" w:right="43"/>
              <w:jc w:val="center"/>
              <w:rPr>
                <w:sz w:val="22"/>
              </w:rPr>
            </w:pPr>
            <w:r>
              <w:rPr>
                <w:color w:val="231F1F"/>
                <w:spacing w:val="-10"/>
                <w:w w:val="110"/>
                <w:sz w:val="22"/>
              </w:rPr>
              <w:t>√</w:t>
            </w:r>
          </w:p>
        </w:tc>
        <w:tc>
          <w:tcPr>
            <w:tcW w:w="8050" w:type="dxa"/>
          </w:tcPr>
          <w:p>
            <w:pPr>
              <w:pStyle w:val="TableParagraph"/>
              <w:spacing w:line="254" w:lineRule="auto" w:before="63"/>
              <w:ind w:left="120" w:right="155"/>
              <w:rPr>
                <w:sz w:val="22"/>
              </w:rPr>
            </w:pPr>
            <w:r>
              <w:rPr>
                <w:color w:val="231F1F"/>
                <w:sz w:val="22"/>
              </w:rPr>
              <w:t>Se</w:t>
            </w:r>
            <w:r>
              <w:rPr>
                <w:color w:val="231F1F"/>
                <w:spacing w:val="-8"/>
                <w:sz w:val="22"/>
              </w:rPr>
              <w:t> </w:t>
            </w:r>
            <w:r>
              <w:rPr>
                <w:color w:val="231F1F"/>
                <w:sz w:val="22"/>
              </w:rPr>
              <w:t>recomienda</w:t>
            </w:r>
            <w:r>
              <w:rPr>
                <w:color w:val="231F1F"/>
                <w:spacing w:val="-7"/>
                <w:sz w:val="22"/>
              </w:rPr>
              <w:t> </w:t>
            </w:r>
            <w:r>
              <w:rPr>
                <w:color w:val="231F1F"/>
                <w:sz w:val="22"/>
              </w:rPr>
              <w:t>que,</w:t>
            </w:r>
            <w:r>
              <w:rPr>
                <w:color w:val="231F1F"/>
                <w:spacing w:val="-8"/>
                <w:sz w:val="22"/>
              </w:rPr>
              <w:t> </w:t>
            </w:r>
            <w:r>
              <w:rPr>
                <w:color w:val="231F1F"/>
                <w:sz w:val="22"/>
              </w:rPr>
              <w:t>en</w:t>
            </w:r>
            <w:r>
              <w:rPr>
                <w:color w:val="231F1F"/>
                <w:spacing w:val="-8"/>
                <w:sz w:val="22"/>
              </w:rPr>
              <w:t> </w:t>
            </w:r>
            <w:r>
              <w:rPr>
                <w:color w:val="231F1F"/>
                <w:sz w:val="22"/>
              </w:rPr>
              <w:t>condiciones</w:t>
            </w:r>
            <w:r>
              <w:rPr>
                <w:color w:val="231F1F"/>
                <w:spacing w:val="-8"/>
                <w:sz w:val="22"/>
              </w:rPr>
              <w:t> </w:t>
            </w:r>
            <w:r>
              <w:rPr>
                <w:color w:val="231F1F"/>
                <w:sz w:val="22"/>
              </w:rPr>
              <w:t>normales,</w:t>
            </w:r>
            <w:r>
              <w:rPr>
                <w:color w:val="231F1F"/>
                <w:spacing w:val="-8"/>
                <w:sz w:val="22"/>
              </w:rPr>
              <w:t> </w:t>
            </w:r>
            <w:r>
              <w:rPr>
                <w:color w:val="231F1F"/>
                <w:sz w:val="22"/>
              </w:rPr>
              <w:t>las</w:t>
            </w:r>
            <w:r>
              <w:rPr>
                <w:color w:val="231F1F"/>
                <w:spacing w:val="-8"/>
                <w:sz w:val="22"/>
              </w:rPr>
              <w:t> </w:t>
            </w:r>
            <w:r>
              <w:rPr>
                <w:color w:val="231F1F"/>
                <w:sz w:val="22"/>
              </w:rPr>
              <w:t>exploraciones</w:t>
            </w:r>
            <w:r>
              <w:rPr>
                <w:color w:val="231F1F"/>
                <w:spacing w:val="-8"/>
                <w:sz w:val="22"/>
              </w:rPr>
              <w:t> </w:t>
            </w:r>
            <w:r>
              <w:rPr>
                <w:color w:val="231F1F"/>
                <w:sz w:val="22"/>
              </w:rPr>
              <w:t>vaginales</w:t>
            </w:r>
            <w:r>
              <w:rPr>
                <w:color w:val="231F1F"/>
                <w:spacing w:val="-8"/>
                <w:sz w:val="22"/>
              </w:rPr>
              <w:t> </w:t>
            </w:r>
            <w:r>
              <w:rPr>
                <w:color w:val="231F1F"/>
                <w:sz w:val="22"/>
              </w:rPr>
              <w:t>se</w:t>
            </w:r>
            <w:r>
              <w:rPr>
                <w:color w:val="231F1F"/>
                <w:spacing w:val="-8"/>
                <w:sz w:val="22"/>
              </w:rPr>
              <w:t> </w:t>
            </w:r>
            <w:r>
              <w:rPr>
                <w:color w:val="231F1F"/>
                <w:sz w:val="22"/>
              </w:rPr>
              <w:t>realicen cada 4 horas.</w:t>
            </w:r>
          </w:p>
        </w:tc>
      </w:tr>
      <w:tr>
        <w:trPr>
          <w:trHeight w:val="964" w:hRule="atLeast"/>
        </w:trPr>
        <w:tc>
          <w:tcPr>
            <w:tcW w:w="456" w:type="dxa"/>
          </w:tcPr>
          <w:p>
            <w:pPr>
              <w:pStyle w:val="TableParagraph"/>
              <w:spacing w:before="69"/>
              <w:ind w:left="0"/>
              <w:rPr>
                <w:rFonts w:ascii="Arial MT"/>
                <w:sz w:val="22"/>
              </w:rPr>
            </w:pPr>
          </w:p>
          <w:p>
            <w:pPr>
              <w:pStyle w:val="TableParagraph"/>
              <w:ind w:left="86" w:right="43"/>
              <w:jc w:val="center"/>
              <w:rPr>
                <w:sz w:val="22"/>
              </w:rPr>
            </w:pPr>
            <w:r>
              <w:rPr>
                <w:color w:val="231F1F"/>
                <w:spacing w:val="-10"/>
                <w:w w:val="110"/>
                <w:sz w:val="22"/>
              </w:rPr>
              <w:t>√</w:t>
            </w:r>
          </w:p>
        </w:tc>
        <w:tc>
          <w:tcPr>
            <w:tcW w:w="8050" w:type="dxa"/>
          </w:tcPr>
          <w:p>
            <w:pPr>
              <w:pStyle w:val="TableParagraph"/>
              <w:spacing w:line="252" w:lineRule="auto" w:before="44"/>
              <w:ind w:left="120" w:right="81"/>
              <w:jc w:val="both"/>
              <w:rPr>
                <w:sz w:val="22"/>
              </w:rPr>
            </w:pPr>
            <w:r>
              <w:rPr>
                <w:color w:val="231F1F"/>
                <w:w w:val="105"/>
                <w:sz w:val="22"/>
              </w:rPr>
              <w:t>Las</w:t>
            </w:r>
            <w:r>
              <w:rPr>
                <w:color w:val="231F1F"/>
                <w:w w:val="105"/>
                <w:sz w:val="22"/>
              </w:rPr>
              <w:t> exploraciones</w:t>
            </w:r>
            <w:r>
              <w:rPr>
                <w:color w:val="231F1F"/>
                <w:w w:val="105"/>
                <w:sz w:val="22"/>
              </w:rPr>
              <w:t> vaginales</w:t>
            </w:r>
            <w:r>
              <w:rPr>
                <w:color w:val="231F1F"/>
                <w:w w:val="105"/>
                <w:sz w:val="22"/>
              </w:rPr>
              <w:t> antes</w:t>
            </w:r>
            <w:r>
              <w:rPr>
                <w:color w:val="231F1F"/>
                <w:w w:val="105"/>
                <w:sz w:val="22"/>
              </w:rPr>
              <w:t> de</w:t>
            </w:r>
            <w:r>
              <w:rPr>
                <w:color w:val="231F1F"/>
                <w:w w:val="105"/>
                <w:sz w:val="22"/>
              </w:rPr>
              <w:t> 4</w:t>
            </w:r>
            <w:r>
              <w:rPr>
                <w:color w:val="231F1F"/>
                <w:w w:val="105"/>
                <w:sz w:val="22"/>
              </w:rPr>
              <w:t> horas</w:t>
            </w:r>
            <w:r>
              <w:rPr>
                <w:color w:val="231F1F"/>
                <w:w w:val="105"/>
                <w:sz w:val="22"/>
              </w:rPr>
              <w:t> se</w:t>
            </w:r>
            <w:r>
              <w:rPr>
                <w:color w:val="231F1F"/>
                <w:w w:val="105"/>
                <w:sz w:val="22"/>
              </w:rPr>
              <w:t> realizarán</w:t>
            </w:r>
            <w:r>
              <w:rPr>
                <w:color w:val="231F1F"/>
                <w:w w:val="105"/>
                <w:sz w:val="22"/>
              </w:rPr>
              <w:t> en</w:t>
            </w:r>
            <w:r>
              <w:rPr>
                <w:color w:val="231F1F"/>
                <w:w w:val="105"/>
                <w:sz w:val="22"/>
              </w:rPr>
              <w:t> las</w:t>
            </w:r>
            <w:r>
              <w:rPr>
                <w:color w:val="231F1F"/>
                <w:w w:val="105"/>
                <w:sz w:val="22"/>
              </w:rPr>
              <w:t> mujeres</w:t>
            </w:r>
            <w:r>
              <w:rPr>
                <w:color w:val="231F1F"/>
                <w:w w:val="105"/>
                <w:sz w:val="22"/>
              </w:rPr>
              <w:t> con</w:t>
            </w:r>
            <w:r>
              <w:rPr>
                <w:color w:val="231F1F"/>
                <w:w w:val="105"/>
                <w:sz w:val="22"/>
              </w:rPr>
              <w:t> un progreso lento del parto, ante la presencia de complicaciones o si la mujer manifies- ta sensación de pujos.</w:t>
            </w:r>
          </w:p>
        </w:tc>
      </w:tr>
      <w:tr>
        <w:trPr>
          <w:trHeight w:val="2702" w:hRule="atLeast"/>
        </w:trPr>
        <w:tc>
          <w:tcPr>
            <w:tcW w:w="456"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79"/>
              <w:ind w:left="0"/>
              <w:rPr>
                <w:rFonts w:ascii="Arial MT"/>
                <w:sz w:val="22"/>
              </w:rPr>
            </w:pPr>
          </w:p>
          <w:p>
            <w:pPr>
              <w:pStyle w:val="TableParagraph"/>
              <w:ind w:left="86" w:right="43"/>
              <w:jc w:val="center"/>
              <w:rPr>
                <w:sz w:val="22"/>
              </w:rPr>
            </w:pPr>
            <w:r>
              <w:rPr>
                <w:color w:val="231F1F"/>
                <w:spacing w:val="-10"/>
                <w:w w:val="110"/>
                <w:sz w:val="22"/>
              </w:rPr>
              <w:t>√</w:t>
            </w:r>
          </w:p>
        </w:tc>
        <w:tc>
          <w:tcPr>
            <w:tcW w:w="8050" w:type="dxa"/>
          </w:tcPr>
          <w:p>
            <w:pPr>
              <w:pStyle w:val="TableParagraph"/>
              <w:spacing w:before="39"/>
              <w:ind w:left="120"/>
              <w:rPr>
                <w:sz w:val="22"/>
              </w:rPr>
            </w:pPr>
            <w:r>
              <w:rPr>
                <w:color w:val="231F1F"/>
                <w:sz w:val="22"/>
              </w:rPr>
              <w:t>Antes</w:t>
            </w:r>
            <w:r>
              <w:rPr>
                <w:color w:val="231F1F"/>
                <w:spacing w:val="33"/>
                <w:sz w:val="22"/>
              </w:rPr>
              <w:t> </w:t>
            </w:r>
            <w:r>
              <w:rPr>
                <w:color w:val="231F1F"/>
                <w:sz w:val="22"/>
              </w:rPr>
              <w:t>de</w:t>
            </w:r>
            <w:r>
              <w:rPr>
                <w:color w:val="231F1F"/>
                <w:spacing w:val="33"/>
                <w:sz w:val="22"/>
              </w:rPr>
              <w:t> </w:t>
            </w:r>
            <w:r>
              <w:rPr>
                <w:color w:val="231F1F"/>
                <w:sz w:val="22"/>
              </w:rPr>
              <w:t>practicar</w:t>
            </w:r>
            <w:r>
              <w:rPr>
                <w:color w:val="231F1F"/>
                <w:spacing w:val="32"/>
                <w:sz w:val="22"/>
              </w:rPr>
              <w:t> </w:t>
            </w:r>
            <w:r>
              <w:rPr>
                <w:color w:val="231F1F"/>
                <w:sz w:val="22"/>
              </w:rPr>
              <w:t>un</w:t>
            </w:r>
            <w:r>
              <w:rPr>
                <w:color w:val="231F1F"/>
                <w:spacing w:val="33"/>
                <w:sz w:val="22"/>
              </w:rPr>
              <w:t> </w:t>
            </w:r>
            <w:r>
              <w:rPr>
                <w:color w:val="231F1F"/>
                <w:sz w:val="22"/>
              </w:rPr>
              <w:t>tacto</w:t>
            </w:r>
            <w:r>
              <w:rPr>
                <w:color w:val="231F1F"/>
                <w:spacing w:val="35"/>
                <w:sz w:val="22"/>
              </w:rPr>
              <w:t> </w:t>
            </w:r>
            <w:r>
              <w:rPr>
                <w:color w:val="231F1F"/>
                <w:sz w:val="22"/>
              </w:rPr>
              <w:t>vaginal,</w:t>
            </w:r>
            <w:r>
              <w:rPr>
                <w:color w:val="231F1F"/>
                <w:spacing w:val="30"/>
                <w:sz w:val="22"/>
              </w:rPr>
              <w:t> </w:t>
            </w:r>
            <w:r>
              <w:rPr>
                <w:color w:val="231F1F"/>
                <w:sz w:val="22"/>
              </w:rPr>
              <w:t>se</w:t>
            </w:r>
            <w:r>
              <w:rPr>
                <w:color w:val="231F1F"/>
                <w:spacing w:val="35"/>
                <w:sz w:val="22"/>
              </w:rPr>
              <w:t> </w:t>
            </w:r>
            <w:r>
              <w:rPr>
                <w:color w:val="231F1F"/>
                <w:spacing w:val="-2"/>
                <w:sz w:val="22"/>
              </w:rPr>
              <w:t>debería:</w:t>
            </w:r>
          </w:p>
          <w:p>
            <w:pPr>
              <w:pStyle w:val="TableParagraph"/>
              <w:numPr>
                <w:ilvl w:val="0"/>
                <w:numId w:val="32"/>
              </w:numPr>
              <w:tabs>
                <w:tab w:pos="793" w:val="left" w:leader="none"/>
              </w:tabs>
              <w:spacing w:line="254" w:lineRule="auto" w:before="112" w:after="0"/>
              <w:ind w:left="793" w:right="289" w:hanging="219"/>
              <w:jc w:val="left"/>
              <w:rPr>
                <w:sz w:val="22"/>
              </w:rPr>
            </w:pPr>
            <w:r>
              <w:rPr>
                <w:color w:val="231F1F"/>
                <w:sz w:val="22"/>
              </w:rPr>
              <w:t>confirmar que es realmente</w:t>
            </w:r>
            <w:r>
              <w:rPr>
                <w:color w:val="231F1F"/>
                <w:spacing w:val="27"/>
                <w:sz w:val="22"/>
              </w:rPr>
              <w:t> </w:t>
            </w:r>
            <w:r>
              <w:rPr>
                <w:color w:val="231F1F"/>
                <w:sz w:val="22"/>
              </w:rPr>
              <w:t>necesario y que la información</w:t>
            </w:r>
            <w:r>
              <w:rPr>
                <w:color w:val="231F1F"/>
                <w:spacing w:val="27"/>
                <w:sz w:val="22"/>
              </w:rPr>
              <w:t> </w:t>
            </w:r>
            <w:r>
              <w:rPr>
                <w:color w:val="231F1F"/>
                <w:sz w:val="22"/>
              </w:rPr>
              <w:t>que proporcione será</w:t>
            </w:r>
            <w:r>
              <w:rPr>
                <w:color w:val="231F1F"/>
                <w:spacing w:val="40"/>
                <w:sz w:val="22"/>
              </w:rPr>
              <w:t> </w:t>
            </w:r>
            <w:r>
              <w:rPr>
                <w:color w:val="231F1F"/>
                <w:sz w:val="22"/>
              </w:rPr>
              <w:t>relevante</w:t>
            </w:r>
            <w:r>
              <w:rPr>
                <w:color w:val="231F1F"/>
                <w:spacing w:val="40"/>
                <w:sz w:val="22"/>
              </w:rPr>
              <w:t> </w:t>
            </w:r>
            <w:r>
              <w:rPr>
                <w:color w:val="231F1F"/>
                <w:sz w:val="22"/>
              </w:rPr>
              <w:t>en</w:t>
            </w:r>
            <w:r>
              <w:rPr>
                <w:color w:val="231F1F"/>
                <w:spacing w:val="40"/>
                <w:sz w:val="22"/>
              </w:rPr>
              <w:t> </w:t>
            </w:r>
            <w:r>
              <w:rPr>
                <w:color w:val="231F1F"/>
                <w:sz w:val="22"/>
              </w:rPr>
              <w:t>la</w:t>
            </w:r>
            <w:r>
              <w:rPr>
                <w:color w:val="231F1F"/>
                <w:spacing w:val="40"/>
                <w:sz w:val="22"/>
              </w:rPr>
              <w:t> </w:t>
            </w:r>
            <w:r>
              <w:rPr>
                <w:color w:val="231F1F"/>
                <w:sz w:val="22"/>
              </w:rPr>
              <w:t>toma</w:t>
            </w:r>
            <w:r>
              <w:rPr>
                <w:color w:val="231F1F"/>
                <w:spacing w:val="40"/>
                <w:sz w:val="22"/>
              </w:rPr>
              <w:t> </w:t>
            </w:r>
            <w:r>
              <w:rPr>
                <w:color w:val="231F1F"/>
                <w:sz w:val="22"/>
              </w:rPr>
              <w:t>de</w:t>
            </w:r>
            <w:r>
              <w:rPr>
                <w:color w:val="231F1F"/>
                <w:spacing w:val="40"/>
                <w:sz w:val="22"/>
              </w:rPr>
              <w:t> </w:t>
            </w:r>
            <w:r>
              <w:rPr>
                <w:color w:val="231F1F"/>
                <w:sz w:val="22"/>
              </w:rPr>
              <w:t>decisiones.</w:t>
            </w:r>
          </w:p>
          <w:p>
            <w:pPr>
              <w:pStyle w:val="TableParagraph"/>
              <w:numPr>
                <w:ilvl w:val="0"/>
                <w:numId w:val="32"/>
              </w:numPr>
              <w:tabs>
                <w:tab w:pos="793" w:val="left" w:leader="none"/>
              </w:tabs>
              <w:spacing w:line="254" w:lineRule="auto" w:before="102" w:after="0"/>
              <w:ind w:left="793" w:right="189" w:hanging="220"/>
              <w:jc w:val="left"/>
              <w:rPr>
                <w:sz w:val="22"/>
              </w:rPr>
            </w:pPr>
            <w:r>
              <w:rPr>
                <w:color w:val="231F1F"/>
                <w:sz w:val="22"/>
              </w:rPr>
              <w:t>Ser</w:t>
            </w:r>
            <w:r>
              <w:rPr>
                <w:color w:val="231F1F"/>
                <w:spacing w:val="28"/>
                <w:sz w:val="22"/>
              </w:rPr>
              <w:t> </w:t>
            </w:r>
            <w:r>
              <w:rPr>
                <w:color w:val="231F1F"/>
                <w:sz w:val="22"/>
              </w:rPr>
              <w:t>consciente</w:t>
            </w:r>
            <w:r>
              <w:rPr>
                <w:color w:val="231F1F"/>
                <w:spacing w:val="28"/>
                <w:sz w:val="22"/>
              </w:rPr>
              <w:t> </w:t>
            </w:r>
            <w:r>
              <w:rPr>
                <w:color w:val="231F1F"/>
                <w:sz w:val="22"/>
              </w:rPr>
              <w:t>de</w:t>
            </w:r>
            <w:r>
              <w:rPr>
                <w:color w:val="231F1F"/>
                <w:spacing w:val="28"/>
                <w:sz w:val="22"/>
              </w:rPr>
              <w:t> </w:t>
            </w:r>
            <w:r>
              <w:rPr>
                <w:color w:val="231F1F"/>
                <w:sz w:val="22"/>
              </w:rPr>
              <w:t>que</w:t>
            </w:r>
            <w:r>
              <w:rPr>
                <w:color w:val="231F1F"/>
                <w:spacing w:val="28"/>
                <w:sz w:val="22"/>
              </w:rPr>
              <w:t> </w:t>
            </w:r>
            <w:r>
              <w:rPr>
                <w:color w:val="231F1F"/>
                <w:sz w:val="22"/>
              </w:rPr>
              <w:t>el</w:t>
            </w:r>
            <w:r>
              <w:rPr>
                <w:color w:val="231F1F"/>
                <w:spacing w:val="28"/>
                <w:sz w:val="22"/>
              </w:rPr>
              <w:t> </w:t>
            </w:r>
            <w:r>
              <w:rPr>
                <w:color w:val="231F1F"/>
                <w:sz w:val="22"/>
              </w:rPr>
              <w:t>examen</w:t>
            </w:r>
            <w:r>
              <w:rPr>
                <w:color w:val="231F1F"/>
                <w:spacing w:val="28"/>
                <w:sz w:val="22"/>
              </w:rPr>
              <w:t> </w:t>
            </w:r>
            <w:r>
              <w:rPr>
                <w:color w:val="231F1F"/>
                <w:sz w:val="22"/>
              </w:rPr>
              <w:t>vaginal</w:t>
            </w:r>
            <w:r>
              <w:rPr>
                <w:color w:val="231F1F"/>
                <w:spacing w:val="28"/>
                <w:sz w:val="22"/>
              </w:rPr>
              <w:t> </w:t>
            </w:r>
            <w:r>
              <w:rPr>
                <w:color w:val="231F1F"/>
                <w:sz w:val="22"/>
              </w:rPr>
              <w:t>es</w:t>
            </w:r>
            <w:r>
              <w:rPr>
                <w:color w:val="231F1F"/>
                <w:spacing w:val="28"/>
                <w:sz w:val="22"/>
              </w:rPr>
              <w:t> </w:t>
            </w:r>
            <w:r>
              <w:rPr>
                <w:color w:val="231F1F"/>
                <w:sz w:val="22"/>
              </w:rPr>
              <w:t>una</w:t>
            </w:r>
            <w:r>
              <w:rPr>
                <w:color w:val="231F1F"/>
                <w:spacing w:val="28"/>
                <w:sz w:val="22"/>
              </w:rPr>
              <w:t> </w:t>
            </w:r>
            <w:r>
              <w:rPr>
                <w:color w:val="231F1F"/>
                <w:sz w:val="22"/>
              </w:rPr>
              <w:t>exploración</w:t>
            </w:r>
            <w:r>
              <w:rPr>
                <w:color w:val="231F1F"/>
                <w:spacing w:val="28"/>
                <w:sz w:val="22"/>
              </w:rPr>
              <w:t> </w:t>
            </w:r>
            <w:r>
              <w:rPr>
                <w:color w:val="231F1F"/>
                <w:sz w:val="22"/>
              </w:rPr>
              <w:t>molesta</w:t>
            </w:r>
            <w:r>
              <w:rPr>
                <w:color w:val="231F1F"/>
                <w:spacing w:val="28"/>
                <w:sz w:val="22"/>
              </w:rPr>
              <w:t> </w:t>
            </w:r>
            <w:r>
              <w:rPr>
                <w:color w:val="231F1F"/>
                <w:sz w:val="22"/>
              </w:rPr>
              <w:t>e</w:t>
            </w:r>
            <w:r>
              <w:rPr>
                <w:color w:val="231F1F"/>
                <w:spacing w:val="28"/>
                <w:sz w:val="22"/>
              </w:rPr>
              <w:t> </w:t>
            </w:r>
            <w:r>
              <w:rPr>
                <w:color w:val="231F1F"/>
                <w:sz w:val="22"/>
              </w:rPr>
              <w:t>inva- siva,</w:t>
            </w:r>
            <w:r>
              <w:rPr>
                <w:color w:val="231F1F"/>
                <w:spacing w:val="40"/>
                <w:sz w:val="22"/>
              </w:rPr>
              <w:t> </w:t>
            </w:r>
            <w:r>
              <w:rPr>
                <w:color w:val="231F1F"/>
                <w:sz w:val="22"/>
              </w:rPr>
              <w:t>asociada</w:t>
            </w:r>
            <w:r>
              <w:rPr>
                <w:color w:val="231F1F"/>
                <w:spacing w:val="40"/>
                <w:sz w:val="22"/>
              </w:rPr>
              <w:t> </w:t>
            </w:r>
            <w:r>
              <w:rPr>
                <w:color w:val="231F1F"/>
                <w:sz w:val="22"/>
              </w:rPr>
              <w:t>a</w:t>
            </w:r>
            <w:r>
              <w:rPr>
                <w:color w:val="231F1F"/>
                <w:spacing w:val="40"/>
                <w:sz w:val="22"/>
              </w:rPr>
              <w:t> </w:t>
            </w:r>
            <w:r>
              <w:rPr>
                <w:color w:val="231F1F"/>
                <w:sz w:val="22"/>
              </w:rPr>
              <w:t>un</w:t>
            </w:r>
            <w:r>
              <w:rPr>
                <w:color w:val="231F1F"/>
                <w:spacing w:val="40"/>
                <w:sz w:val="22"/>
              </w:rPr>
              <w:t> </w:t>
            </w:r>
            <w:r>
              <w:rPr>
                <w:color w:val="231F1F"/>
                <w:sz w:val="22"/>
              </w:rPr>
              <w:t>incremento</w:t>
            </w:r>
            <w:r>
              <w:rPr>
                <w:color w:val="231F1F"/>
                <w:spacing w:val="40"/>
                <w:sz w:val="22"/>
              </w:rPr>
              <w:t> </w:t>
            </w:r>
            <w:r>
              <w:rPr>
                <w:color w:val="231F1F"/>
                <w:sz w:val="22"/>
              </w:rPr>
              <w:t>del</w:t>
            </w:r>
            <w:r>
              <w:rPr>
                <w:color w:val="231F1F"/>
                <w:spacing w:val="40"/>
                <w:sz w:val="22"/>
              </w:rPr>
              <w:t> </w:t>
            </w:r>
            <w:r>
              <w:rPr>
                <w:color w:val="231F1F"/>
                <w:sz w:val="22"/>
              </w:rPr>
              <w:t>riesgo</w:t>
            </w:r>
            <w:r>
              <w:rPr>
                <w:color w:val="231F1F"/>
                <w:spacing w:val="40"/>
                <w:sz w:val="22"/>
              </w:rPr>
              <w:t> </w:t>
            </w:r>
            <w:r>
              <w:rPr>
                <w:color w:val="231F1F"/>
                <w:sz w:val="22"/>
              </w:rPr>
              <w:t>de</w:t>
            </w:r>
            <w:r>
              <w:rPr>
                <w:color w:val="231F1F"/>
                <w:spacing w:val="40"/>
                <w:sz w:val="22"/>
              </w:rPr>
              <w:t> </w:t>
            </w:r>
            <w:r>
              <w:rPr>
                <w:color w:val="231F1F"/>
                <w:sz w:val="22"/>
              </w:rPr>
              <w:t>infección.</w:t>
            </w:r>
          </w:p>
          <w:p>
            <w:pPr>
              <w:pStyle w:val="TableParagraph"/>
              <w:numPr>
                <w:ilvl w:val="0"/>
                <w:numId w:val="32"/>
              </w:numPr>
              <w:tabs>
                <w:tab w:pos="791" w:val="left" w:leader="none"/>
              </w:tabs>
              <w:spacing w:line="240" w:lineRule="auto" w:before="78" w:after="0"/>
              <w:ind w:left="791" w:right="0" w:hanging="218"/>
              <w:jc w:val="left"/>
              <w:rPr>
                <w:sz w:val="22"/>
              </w:rPr>
            </w:pPr>
            <w:r>
              <w:rPr>
                <w:color w:val="231F1F"/>
                <w:w w:val="105"/>
                <w:sz w:val="22"/>
              </w:rPr>
              <w:t>Garantizar</w:t>
            </w:r>
            <w:r>
              <w:rPr>
                <w:color w:val="231F1F"/>
                <w:spacing w:val="2"/>
                <w:w w:val="105"/>
                <w:sz w:val="22"/>
              </w:rPr>
              <w:t> </w:t>
            </w:r>
            <w:r>
              <w:rPr>
                <w:color w:val="231F1F"/>
                <w:w w:val="105"/>
                <w:sz w:val="22"/>
              </w:rPr>
              <w:t>la</w:t>
            </w:r>
            <w:r>
              <w:rPr>
                <w:color w:val="231F1F"/>
                <w:spacing w:val="3"/>
                <w:w w:val="105"/>
                <w:sz w:val="22"/>
              </w:rPr>
              <w:t> </w:t>
            </w:r>
            <w:r>
              <w:rPr>
                <w:color w:val="231F1F"/>
                <w:w w:val="105"/>
                <w:sz w:val="22"/>
              </w:rPr>
              <w:t>privacidad,</w:t>
            </w:r>
            <w:r>
              <w:rPr>
                <w:color w:val="231F1F"/>
                <w:spacing w:val="3"/>
                <w:w w:val="105"/>
                <w:sz w:val="22"/>
              </w:rPr>
              <w:t> </w:t>
            </w:r>
            <w:r>
              <w:rPr>
                <w:color w:val="231F1F"/>
                <w:w w:val="105"/>
                <w:sz w:val="22"/>
              </w:rPr>
              <w:t>dignidad</w:t>
            </w:r>
            <w:r>
              <w:rPr>
                <w:color w:val="231F1F"/>
                <w:spacing w:val="3"/>
                <w:w w:val="105"/>
                <w:sz w:val="22"/>
              </w:rPr>
              <w:t> </w:t>
            </w:r>
            <w:r>
              <w:rPr>
                <w:color w:val="231F1F"/>
                <w:w w:val="105"/>
                <w:sz w:val="22"/>
              </w:rPr>
              <w:t>y</w:t>
            </w:r>
            <w:r>
              <w:rPr>
                <w:color w:val="231F1F"/>
                <w:spacing w:val="5"/>
                <w:w w:val="105"/>
                <w:sz w:val="22"/>
              </w:rPr>
              <w:t> </w:t>
            </w:r>
            <w:r>
              <w:rPr>
                <w:color w:val="231F1F"/>
                <w:w w:val="105"/>
                <w:sz w:val="22"/>
              </w:rPr>
              <w:t>comodidad</w:t>
            </w:r>
            <w:r>
              <w:rPr>
                <w:color w:val="231F1F"/>
                <w:spacing w:val="5"/>
                <w:w w:val="105"/>
                <w:sz w:val="22"/>
              </w:rPr>
              <w:t> </w:t>
            </w:r>
            <w:r>
              <w:rPr>
                <w:color w:val="231F1F"/>
                <w:w w:val="105"/>
                <w:sz w:val="22"/>
              </w:rPr>
              <w:t>de</w:t>
            </w:r>
            <w:r>
              <w:rPr>
                <w:color w:val="231F1F"/>
                <w:spacing w:val="4"/>
                <w:w w:val="105"/>
                <w:sz w:val="22"/>
              </w:rPr>
              <w:t> </w:t>
            </w:r>
            <w:r>
              <w:rPr>
                <w:color w:val="231F1F"/>
                <w:w w:val="105"/>
                <w:sz w:val="22"/>
              </w:rPr>
              <w:t>la</w:t>
            </w:r>
            <w:r>
              <w:rPr>
                <w:color w:val="231F1F"/>
                <w:spacing w:val="5"/>
                <w:w w:val="105"/>
                <w:sz w:val="22"/>
              </w:rPr>
              <w:t> </w:t>
            </w:r>
            <w:r>
              <w:rPr>
                <w:color w:val="231F1F"/>
                <w:spacing w:val="-2"/>
                <w:w w:val="105"/>
                <w:sz w:val="22"/>
              </w:rPr>
              <w:t>mujer.</w:t>
            </w:r>
          </w:p>
          <w:p>
            <w:pPr>
              <w:pStyle w:val="TableParagraph"/>
              <w:numPr>
                <w:ilvl w:val="0"/>
                <w:numId w:val="32"/>
              </w:numPr>
              <w:tabs>
                <w:tab w:pos="793" w:val="left" w:leader="none"/>
              </w:tabs>
              <w:spacing w:line="244" w:lineRule="auto" w:before="93" w:after="0"/>
              <w:ind w:left="793" w:right="223" w:hanging="220"/>
              <w:jc w:val="left"/>
              <w:rPr>
                <w:sz w:val="22"/>
              </w:rPr>
            </w:pPr>
            <w:r>
              <w:rPr>
                <w:color w:val="231F1F"/>
                <w:w w:val="105"/>
                <w:sz w:val="22"/>
              </w:rPr>
              <w:t>Explicar</w:t>
            </w:r>
            <w:r>
              <w:rPr>
                <w:color w:val="231F1F"/>
                <w:spacing w:val="26"/>
                <w:w w:val="105"/>
                <w:sz w:val="22"/>
              </w:rPr>
              <w:t> </w:t>
            </w:r>
            <w:r>
              <w:rPr>
                <w:color w:val="231F1F"/>
                <w:w w:val="105"/>
                <w:sz w:val="22"/>
              </w:rPr>
              <w:t>la</w:t>
            </w:r>
            <w:r>
              <w:rPr>
                <w:color w:val="231F1F"/>
                <w:spacing w:val="28"/>
                <w:w w:val="105"/>
                <w:sz w:val="22"/>
              </w:rPr>
              <w:t> </w:t>
            </w:r>
            <w:r>
              <w:rPr>
                <w:color w:val="231F1F"/>
                <w:w w:val="105"/>
                <w:sz w:val="22"/>
              </w:rPr>
              <w:t>razón</w:t>
            </w:r>
            <w:r>
              <w:rPr>
                <w:color w:val="231F1F"/>
                <w:spacing w:val="28"/>
                <w:w w:val="105"/>
                <w:sz w:val="22"/>
              </w:rPr>
              <w:t> </w:t>
            </w:r>
            <w:r>
              <w:rPr>
                <w:color w:val="231F1F"/>
                <w:w w:val="105"/>
                <w:sz w:val="22"/>
              </w:rPr>
              <w:t>por</w:t>
            </w:r>
            <w:r>
              <w:rPr>
                <w:color w:val="231F1F"/>
                <w:spacing w:val="27"/>
                <w:w w:val="105"/>
                <w:sz w:val="22"/>
              </w:rPr>
              <w:t> </w:t>
            </w:r>
            <w:r>
              <w:rPr>
                <w:color w:val="231F1F"/>
                <w:w w:val="105"/>
                <w:sz w:val="22"/>
              </w:rPr>
              <w:t>la</w:t>
            </w:r>
            <w:r>
              <w:rPr>
                <w:color w:val="231F1F"/>
                <w:spacing w:val="28"/>
                <w:w w:val="105"/>
                <w:sz w:val="22"/>
              </w:rPr>
              <w:t> </w:t>
            </w:r>
            <w:r>
              <w:rPr>
                <w:color w:val="231F1F"/>
                <w:w w:val="105"/>
                <w:sz w:val="22"/>
              </w:rPr>
              <w:t>que</w:t>
            </w:r>
            <w:r>
              <w:rPr>
                <w:color w:val="231F1F"/>
                <w:spacing w:val="27"/>
                <w:w w:val="105"/>
                <w:sz w:val="22"/>
              </w:rPr>
              <w:t> </w:t>
            </w:r>
            <w:r>
              <w:rPr>
                <w:color w:val="231F1F"/>
                <w:w w:val="105"/>
                <w:sz w:val="22"/>
              </w:rPr>
              <w:t>se</w:t>
            </w:r>
            <w:r>
              <w:rPr>
                <w:color w:val="231F1F"/>
                <w:spacing w:val="27"/>
                <w:w w:val="105"/>
                <w:sz w:val="22"/>
              </w:rPr>
              <w:t> </w:t>
            </w:r>
            <w:r>
              <w:rPr>
                <w:color w:val="231F1F"/>
                <w:w w:val="105"/>
                <w:sz w:val="22"/>
              </w:rPr>
              <w:t>practica</w:t>
            </w:r>
            <w:r>
              <w:rPr>
                <w:color w:val="231F1F"/>
                <w:spacing w:val="27"/>
                <w:w w:val="105"/>
                <w:sz w:val="22"/>
              </w:rPr>
              <w:t> </w:t>
            </w:r>
            <w:r>
              <w:rPr>
                <w:color w:val="231F1F"/>
                <w:w w:val="105"/>
                <w:sz w:val="22"/>
              </w:rPr>
              <w:t>y</w:t>
            </w:r>
            <w:r>
              <w:rPr>
                <w:color w:val="231F1F"/>
                <w:spacing w:val="28"/>
                <w:w w:val="105"/>
                <w:sz w:val="22"/>
              </w:rPr>
              <w:t> </w:t>
            </w:r>
            <w:r>
              <w:rPr>
                <w:color w:val="231F1F"/>
                <w:w w:val="105"/>
                <w:sz w:val="22"/>
              </w:rPr>
              <w:t>los</w:t>
            </w:r>
            <w:r>
              <w:rPr>
                <w:color w:val="231F1F"/>
                <w:spacing w:val="28"/>
                <w:w w:val="105"/>
                <w:sz w:val="22"/>
              </w:rPr>
              <w:t> </w:t>
            </w:r>
            <w:r>
              <w:rPr>
                <w:color w:val="231F1F"/>
                <w:w w:val="105"/>
                <w:sz w:val="22"/>
              </w:rPr>
              <w:t>hallazgos</w:t>
            </w:r>
            <w:r>
              <w:rPr>
                <w:color w:val="231F1F"/>
                <w:spacing w:val="28"/>
                <w:w w:val="105"/>
                <w:sz w:val="22"/>
              </w:rPr>
              <w:t> </w:t>
            </w:r>
            <w:r>
              <w:rPr>
                <w:color w:val="231F1F"/>
                <w:w w:val="105"/>
                <w:sz w:val="22"/>
              </w:rPr>
              <w:t>encontrados,</w:t>
            </w:r>
            <w:r>
              <w:rPr>
                <w:color w:val="231F1F"/>
                <w:spacing w:val="28"/>
                <w:w w:val="105"/>
                <w:sz w:val="22"/>
              </w:rPr>
              <w:t> </w:t>
            </w:r>
            <w:r>
              <w:rPr>
                <w:color w:val="231F1F"/>
                <w:w w:val="105"/>
                <w:sz w:val="22"/>
              </w:rPr>
              <w:t>con delicadeza, sobre todo si no son los esperados por la mujer.</w:t>
            </w:r>
          </w:p>
        </w:tc>
      </w:tr>
    </w:tbl>
    <w:p>
      <w:pPr>
        <w:pStyle w:val="TableParagraph"/>
        <w:spacing w:after="0" w:line="244" w:lineRule="auto"/>
        <w:jc w:val="left"/>
        <w:rPr>
          <w:sz w:val="22"/>
        </w:rPr>
        <w:sectPr>
          <w:pgSz w:w="11900" w:h="16840"/>
          <w:pgMar w:header="0" w:footer="622" w:top="1560" w:bottom="820" w:left="1417" w:right="1559"/>
        </w:sectPr>
      </w:pPr>
    </w:p>
    <w:p>
      <w:pPr>
        <w:pStyle w:val="ListParagraph"/>
        <w:numPr>
          <w:ilvl w:val="2"/>
          <w:numId w:val="24"/>
        </w:numPr>
        <w:tabs>
          <w:tab w:pos="1158" w:val="left" w:leader="none"/>
        </w:tabs>
        <w:spacing w:line="240" w:lineRule="auto" w:before="76" w:after="0"/>
        <w:ind w:left="1158" w:right="0" w:hanging="875"/>
        <w:jc w:val="left"/>
        <w:rPr>
          <w:sz w:val="32"/>
        </w:rPr>
      </w:pPr>
      <w:r>
        <w:rPr>
          <w:w w:val="110"/>
          <w:sz w:val="32"/>
        </w:rPr>
        <w:t>Tratamiento</w:t>
      </w:r>
      <w:r>
        <w:rPr>
          <w:spacing w:val="-8"/>
          <w:w w:val="110"/>
          <w:sz w:val="32"/>
        </w:rPr>
        <w:t> </w:t>
      </w:r>
      <w:r>
        <w:rPr>
          <w:w w:val="110"/>
          <w:sz w:val="32"/>
        </w:rPr>
        <w:t>de</w:t>
      </w:r>
      <w:r>
        <w:rPr>
          <w:spacing w:val="-7"/>
          <w:w w:val="110"/>
          <w:sz w:val="32"/>
        </w:rPr>
        <w:t> </w:t>
      </w:r>
      <w:r>
        <w:rPr>
          <w:w w:val="110"/>
          <w:sz w:val="32"/>
        </w:rPr>
        <w:t>retardo</w:t>
      </w:r>
      <w:r>
        <w:rPr>
          <w:spacing w:val="-10"/>
          <w:w w:val="110"/>
          <w:sz w:val="32"/>
        </w:rPr>
        <w:t> </w:t>
      </w:r>
      <w:r>
        <w:rPr>
          <w:w w:val="110"/>
          <w:sz w:val="32"/>
        </w:rPr>
        <w:t>de</w:t>
      </w:r>
      <w:r>
        <w:rPr>
          <w:spacing w:val="-7"/>
          <w:w w:val="110"/>
          <w:sz w:val="32"/>
        </w:rPr>
        <w:t> </w:t>
      </w:r>
      <w:r>
        <w:rPr>
          <w:w w:val="110"/>
          <w:sz w:val="32"/>
        </w:rPr>
        <w:t>la</w:t>
      </w:r>
      <w:r>
        <w:rPr>
          <w:spacing w:val="-9"/>
          <w:w w:val="110"/>
          <w:sz w:val="32"/>
        </w:rPr>
        <w:t> </w:t>
      </w:r>
      <w:r>
        <w:rPr>
          <w:spacing w:val="-2"/>
          <w:w w:val="110"/>
          <w:sz w:val="32"/>
        </w:rPr>
        <w:t>dilatación</w:t>
      </w:r>
    </w:p>
    <w:p>
      <w:pPr>
        <w:pStyle w:val="BodyText"/>
        <w:spacing w:before="18"/>
        <w:rPr>
          <w:sz w:val="20"/>
        </w:rPr>
      </w:pPr>
      <w:r>
        <w:rPr>
          <w:sz w:val="20"/>
        </w:rPr>
        <mc:AlternateContent>
          <mc:Choice Requires="wps">
            <w:drawing>
              <wp:anchor distT="0" distB="0" distL="0" distR="0" allowOverlap="1" layoutInCell="1" locked="0" behindDoc="1" simplePos="0" relativeHeight="487605760">
                <wp:simplePos x="0" y="0"/>
                <wp:positionH relativeFrom="page">
                  <wp:posOffset>1082675</wp:posOffset>
                </wp:positionH>
                <wp:positionV relativeFrom="paragraph">
                  <wp:posOffset>175914</wp:posOffset>
                </wp:positionV>
                <wp:extent cx="5400040" cy="262255"/>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5400040" cy="262255"/>
                        </a:xfrm>
                        <a:prstGeom prst="rect">
                          <a:avLst/>
                        </a:prstGeom>
                        <a:ln w="6350">
                          <a:solidFill>
                            <a:srgbClr val="A30044"/>
                          </a:solidFill>
                          <a:prstDash val="solid"/>
                        </a:ln>
                      </wps:spPr>
                      <wps:txbx>
                        <w:txbxContent>
                          <w:p>
                            <w:pPr>
                              <w:pStyle w:val="BodyText"/>
                              <w:numPr>
                                <w:ilvl w:val="0"/>
                                <w:numId w:val="33"/>
                              </w:numPr>
                              <w:tabs>
                                <w:tab w:pos="322" w:val="left" w:leader="none"/>
                              </w:tabs>
                              <w:spacing w:line="240" w:lineRule="auto" w:before="44" w:after="0"/>
                              <w:ind w:left="322" w:right="0" w:hanging="218"/>
                              <w:jc w:val="left"/>
                            </w:pPr>
                            <w:r>
                              <w:rPr>
                                <w:w w:val="110"/>
                              </w:rPr>
                              <w:t>¿Qué</w:t>
                            </w:r>
                            <w:r>
                              <w:rPr>
                                <w:spacing w:val="-12"/>
                                <w:w w:val="110"/>
                              </w:rPr>
                              <w:t> </w:t>
                            </w:r>
                            <w:r>
                              <w:rPr>
                                <w:w w:val="110"/>
                              </w:rPr>
                              <w:t>métodos</w:t>
                            </w:r>
                            <w:r>
                              <w:rPr>
                                <w:spacing w:val="-10"/>
                                <w:w w:val="110"/>
                              </w:rPr>
                              <w:t> </w:t>
                            </w:r>
                            <w:r>
                              <w:rPr>
                                <w:w w:val="110"/>
                              </w:rPr>
                              <w:t>son</w:t>
                            </w:r>
                            <w:r>
                              <w:rPr>
                                <w:spacing w:val="-10"/>
                                <w:w w:val="110"/>
                              </w:rPr>
                              <w:t> </w:t>
                            </w:r>
                            <w:r>
                              <w:rPr>
                                <w:w w:val="110"/>
                              </w:rPr>
                              <w:t>eficaces</w:t>
                            </w:r>
                            <w:r>
                              <w:rPr>
                                <w:spacing w:val="-10"/>
                                <w:w w:val="110"/>
                              </w:rPr>
                              <w:t> </w:t>
                            </w:r>
                            <w:r>
                              <w:rPr>
                                <w:w w:val="110"/>
                              </w:rPr>
                              <w:t>para</w:t>
                            </w:r>
                            <w:r>
                              <w:rPr>
                                <w:spacing w:val="-10"/>
                                <w:w w:val="110"/>
                              </w:rPr>
                              <w:t> </w:t>
                            </w:r>
                            <w:r>
                              <w:rPr>
                                <w:w w:val="110"/>
                              </w:rPr>
                              <w:t>tratar</w:t>
                            </w:r>
                            <w:r>
                              <w:rPr>
                                <w:spacing w:val="-9"/>
                                <w:w w:val="110"/>
                              </w:rPr>
                              <w:t> </w:t>
                            </w:r>
                            <w:r>
                              <w:rPr>
                                <w:w w:val="110"/>
                              </w:rPr>
                              <w:t>el</w:t>
                            </w:r>
                            <w:r>
                              <w:rPr>
                                <w:spacing w:val="-11"/>
                                <w:w w:val="110"/>
                              </w:rPr>
                              <w:t> </w:t>
                            </w:r>
                            <w:r>
                              <w:rPr>
                                <w:w w:val="110"/>
                              </w:rPr>
                              <w:t>retardo</w:t>
                            </w:r>
                            <w:r>
                              <w:rPr>
                                <w:spacing w:val="-11"/>
                                <w:w w:val="110"/>
                              </w:rPr>
                              <w:t> </w:t>
                            </w:r>
                            <w:r>
                              <w:rPr>
                                <w:w w:val="110"/>
                              </w:rPr>
                              <w:t>de</w:t>
                            </w:r>
                            <w:r>
                              <w:rPr>
                                <w:spacing w:val="-10"/>
                                <w:w w:val="110"/>
                              </w:rPr>
                              <w:t> </w:t>
                            </w:r>
                            <w:r>
                              <w:rPr>
                                <w:w w:val="110"/>
                              </w:rPr>
                              <w:t>la</w:t>
                            </w:r>
                            <w:r>
                              <w:rPr>
                                <w:spacing w:val="-10"/>
                                <w:w w:val="110"/>
                              </w:rPr>
                              <w:t> </w:t>
                            </w:r>
                            <w:r>
                              <w:rPr>
                                <w:w w:val="110"/>
                              </w:rPr>
                              <w:t>primera</w:t>
                            </w:r>
                            <w:r>
                              <w:rPr>
                                <w:spacing w:val="-9"/>
                                <w:w w:val="110"/>
                              </w:rPr>
                              <w:t> </w:t>
                            </w:r>
                            <w:r>
                              <w:rPr>
                                <w:w w:val="110"/>
                              </w:rPr>
                              <w:t>etapa</w:t>
                            </w:r>
                            <w:r>
                              <w:rPr>
                                <w:spacing w:val="-10"/>
                                <w:w w:val="110"/>
                              </w:rPr>
                              <w:t> </w:t>
                            </w:r>
                            <w:r>
                              <w:rPr>
                                <w:w w:val="110"/>
                              </w:rPr>
                              <w:t>del</w:t>
                            </w:r>
                            <w:r>
                              <w:rPr>
                                <w:spacing w:val="-12"/>
                                <w:w w:val="110"/>
                              </w:rPr>
                              <w:t> </w:t>
                            </w:r>
                            <w:r>
                              <w:rPr>
                                <w:spacing w:val="-2"/>
                                <w:w w:val="110"/>
                              </w:rPr>
                              <w:t>parto?</w:t>
                            </w:r>
                          </w:p>
                        </w:txbxContent>
                      </wps:txbx>
                      <wps:bodyPr wrap="square" lIns="0" tIns="0" rIns="0" bIns="0" rtlCol="0">
                        <a:noAutofit/>
                      </wps:bodyPr>
                    </wps:wsp>
                  </a:graphicData>
                </a:graphic>
              </wp:anchor>
            </w:drawing>
          </mc:Choice>
          <mc:Fallback>
            <w:pict>
              <v:shape style="position:absolute;margin-left:85.25pt;margin-top:13.851563pt;width:425.2pt;height:20.65pt;mso-position-horizontal-relative:page;mso-position-vertical-relative:paragraph;z-index:-15710720;mso-wrap-distance-left:0;mso-wrap-distance-right:0" type="#_x0000_t202" id="docshape62" filled="false" stroked="true" strokeweight=".5pt" strokecolor="#a30044">
                <v:textbox inset="0,0,0,0">
                  <w:txbxContent>
                    <w:p>
                      <w:pPr>
                        <w:pStyle w:val="BodyText"/>
                        <w:numPr>
                          <w:ilvl w:val="0"/>
                          <w:numId w:val="33"/>
                        </w:numPr>
                        <w:tabs>
                          <w:tab w:pos="322" w:val="left" w:leader="none"/>
                        </w:tabs>
                        <w:spacing w:line="240" w:lineRule="auto" w:before="44" w:after="0"/>
                        <w:ind w:left="322" w:right="0" w:hanging="218"/>
                        <w:jc w:val="left"/>
                      </w:pPr>
                      <w:r>
                        <w:rPr>
                          <w:w w:val="110"/>
                        </w:rPr>
                        <w:t>¿Qué</w:t>
                      </w:r>
                      <w:r>
                        <w:rPr>
                          <w:spacing w:val="-12"/>
                          <w:w w:val="110"/>
                        </w:rPr>
                        <w:t> </w:t>
                      </w:r>
                      <w:r>
                        <w:rPr>
                          <w:w w:val="110"/>
                        </w:rPr>
                        <w:t>métodos</w:t>
                      </w:r>
                      <w:r>
                        <w:rPr>
                          <w:spacing w:val="-10"/>
                          <w:w w:val="110"/>
                        </w:rPr>
                        <w:t> </w:t>
                      </w:r>
                      <w:r>
                        <w:rPr>
                          <w:w w:val="110"/>
                        </w:rPr>
                        <w:t>son</w:t>
                      </w:r>
                      <w:r>
                        <w:rPr>
                          <w:spacing w:val="-10"/>
                          <w:w w:val="110"/>
                        </w:rPr>
                        <w:t> </w:t>
                      </w:r>
                      <w:r>
                        <w:rPr>
                          <w:w w:val="110"/>
                        </w:rPr>
                        <w:t>eficaces</w:t>
                      </w:r>
                      <w:r>
                        <w:rPr>
                          <w:spacing w:val="-10"/>
                          <w:w w:val="110"/>
                        </w:rPr>
                        <w:t> </w:t>
                      </w:r>
                      <w:r>
                        <w:rPr>
                          <w:w w:val="110"/>
                        </w:rPr>
                        <w:t>para</w:t>
                      </w:r>
                      <w:r>
                        <w:rPr>
                          <w:spacing w:val="-10"/>
                          <w:w w:val="110"/>
                        </w:rPr>
                        <w:t> </w:t>
                      </w:r>
                      <w:r>
                        <w:rPr>
                          <w:w w:val="110"/>
                        </w:rPr>
                        <w:t>tratar</w:t>
                      </w:r>
                      <w:r>
                        <w:rPr>
                          <w:spacing w:val="-9"/>
                          <w:w w:val="110"/>
                        </w:rPr>
                        <w:t> </w:t>
                      </w:r>
                      <w:r>
                        <w:rPr>
                          <w:w w:val="110"/>
                        </w:rPr>
                        <w:t>el</w:t>
                      </w:r>
                      <w:r>
                        <w:rPr>
                          <w:spacing w:val="-11"/>
                          <w:w w:val="110"/>
                        </w:rPr>
                        <w:t> </w:t>
                      </w:r>
                      <w:r>
                        <w:rPr>
                          <w:w w:val="110"/>
                        </w:rPr>
                        <w:t>retardo</w:t>
                      </w:r>
                      <w:r>
                        <w:rPr>
                          <w:spacing w:val="-11"/>
                          <w:w w:val="110"/>
                        </w:rPr>
                        <w:t> </w:t>
                      </w:r>
                      <w:r>
                        <w:rPr>
                          <w:w w:val="110"/>
                        </w:rPr>
                        <w:t>de</w:t>
                      </w:r>
                      <w:r>
                        <w:rPr>
                          <w:spacing w:val="-10"/>
                          <w:w w:val="110"/>
                        </w:rPr>
                        <w:t> </w:t>
                      </w:r>
                      <w:r>
                        <w:rPr>
                          <w:w w:val="110"/>
                        </w:rPr>
                        <w:t>la</w:t>
                      </w:r>
                      <w:r>
                        <w:rPr>
                          <w:spacing w:val="-10"/>
                          <w:w w:val="110"/>
                        </w:rPr>
                        <w:t> </w:t>
                      </w:r>
                      <w:r>
                        <w:rPr>
                          <w:w w:val="110"/>
                        </w:rPr>
                        <w:t>primera</w:t>
                      </w:r>
                      <w:r>
                        <w:rPr>
                          <w:spacing w:val="-9"/>
                          <w:w w:val="110"/>
                        </w:rPr>
                        <w:t> </w:t>
                      </w:r>
                      <w:r>
                        <w:rPr>
                          <w:w w:val="110"/>
                        </w:rPr>
                        <w:t>etapa</w:t>
                      </w:r>
                      <w:r>
                        <w:rPr>
                          <w:spacing w:val="-10"/>
                          <w:w w:val="110"/>
                        </w:rPr>
                        <w:t> </w:t>
                      </w:r>
                      <w:r>
                        <w:rPr>
                          <w:w w:val="110"/>
                        </w:rPr>
                        <w:t>del</w:t>
                      </w:r>
                      <w:r>
                        <w:rPr>
                          <w:spacing w:val="-12"/>
                          <w:w w:val="110"/>
                        </w:rPr>
                        <w:t> </w:t>
                      </w:r>
                      <w:r>
                        <w:rPr>
                          <w:spacing w:val="-2"/>
                          <w:w w:val="110"/>
                        </w:rPr>
                        <w:t>parto?</w:t>
                      </w:r>
                    </w:p>
                  </w:txbxContent>
                </v:textbox>
                <v:stroke dashstyle="solid"/>
                <w10:wrap type="topAndBottom"/>
              </v:shape>
            </w:pict>
          </mc:Fallback>
        </mc:AlternateContent>
      </w:r>
    </w:p>
    <w:p>
      <w:pPr>
        <w:pStyle w:val="BodyText"/>
        <w:spacing w:line="247" w:lineRule="auto" w:before="322"/>
        <w:ind w:left="282" w:right="122" w:firstLine="1"/>
        <w:jc w:val="both"/>
      </w:pPr>
      <w:r>
        <w:rPr>
          <w:w w:val="110"/>
        </w:rPr>
        <w:t>La</w:t>
      </w:r>
      <w:r>
        <w:rPr>
          <w:spacing w:val="-13"/>
          <w:w w:val="110"/>
        </w:rPr>
        <w:t> </w:t>
      </w:r>
      <w:r>
        <w:rPr>
          <w:w w:val="110"/>
        </w:rPr>
        <w:t>guía</w:t>
      </w:r>
      <w:r>
        <w:rPr>
          <w:spacing w:val="-13"/>
          <w:w w:val="110"/>
        </w:rPr>
        <w:t> </w:t>
      </w:r>
      <w:r>
        <w:rPr>
          <w:w w:val="110"/>
        </w:rPr>
        <w:t>NICE</w:t>
      </w:r>
      <w:r>
        <w:rPr>
          <w:spacing w:val="-13"/>
          <w:w w:val="110"/>
        </w:rPr>
        <w:t> </w:t>
      </w:r>
      <w:r>
        <w:rPr>
          <w:w w:val="110"/>
        </w:rPr>
        <w:t>(10)</w:t>
      </w:r>
      <w:r>
        <w:rPr>
          <w:spacing w:val="-13"/>
          <w:w w:val="110"/>
        </w:rPr>
        <w:t> </w:t>
      </w:r>
      <w:r>
        <w:rPr>
          <w:w w:val="110"/>
        </w:rPr>
        <w:t>recomienda</w:t>
      </w:r>
      <w:r>
        <w:rPr>
          <w:spacing w:val="-13"/>
          <w:w w:val="110"/>
        </w:rPr>
        <w:t> </w:t>
      </w:r>
      <w:r>
        <w:rPr>
          <w:w w:val="110"/>
        </w:rPr>
        <w:t>como</w:t>
      </w:r>
      <w:r>
        <w:rPr>
          <w:spacing w:val="-13"/>
          <w:w w:val="110"/>
        </w:rPr>
        <w:t> </w:t>
      </w:r>
      <w:r>
        <w:rPr>
          <w:w w:val="110"/>
        </w:rPr>
        <w:t>diagnóstico</w:t>
      </w:r>
      <w:r>
        <w:rPr>
          <w:spacing w:val="-13"/>
          <w:w w:val="110"/>
        </w:rPr>
        <w:t> </w:t>
      </w:r>
      <w:r>
        <w:rPr>
          <w:w w:val="110"/>
        </w:rPr>
        <w:t>del</w:t>
      </w:r>
      <w:r>
        <w:rPr>
          <w:spacing w:val="-14"/>
          <w:w w:val="110"/>
        </w:rPr>
        <w:t> </w:t>
      </w:r>
      <w:r>
        <w:rPr>
          <w:w w:val="110"/>
        </w:rPr>
        <w:t>retraso</w:t>
      </w:r>
      <w:r>
        <w:rPr>
          <w:spacing w:val="-13"/>
          <w:w w:val="110"/>
        </w:rPr>
        <w:t> </w:t>
      </w:r>
      <w:r>
        <w:rPr>
          <w:w w:val="110"/>
        </w:rPr>
        <w:t>de</w:t>
      </w:r>
      <w:r>
        <w:rPr>
          <w:spacing w:val="-13"/>
          <w:w w:val="110"/>
        </w:rPr>
        <w:t> </w:t>
      </w:r>
      <w:r>
        <w:rPr>
          <w:w w:val="110"/>
        </w:rPr>
        <w:t>la</w:t>
      </w:r>
      <w:r>
        <w:rPr>
          <w:spacing w:val="-13"/>
          <w:w w:val="110"/>
        </w:rPr>
        <w:t> </w:t>
      </w:r>
      <w:r>
        <w:rPr>
          <w:w w:val="110"/>
        </w:rPr>
        <w:t>primera</w:t>
      </w:r>
      <w:r>
        <w:rPr>
          <w:spacing w:val="-14"/>
          <w:w w:val="110"/>
        </w:rPr>
        <w:t> </w:t>
      </w:r>
      <w:r>
        <w:rPr>
          <w:w w:val="110"/>
        </w:rPr>
        <w:t>etapa</w:t>
      </w:r>
      <w:r>
        <w:rPr>
          <w:spacing w:val="-13"/>
          <w:w w:val="110"/>
        </w:rPr>
        <w:t> </w:t>
      </w:r>
      <w:r>
        <w:rPr>
          <w:w w:val="110"/>
        </w:rPr>
        <w:t>conside- rar</w:t>
      </w:r>
      <w:r>
        <w:rPr>
          <w:w w:val="110"/>
        </w:rPr>
        <w:t> todos</w:t>
      </w:r>
      <w:r>
        <w:rPr>
          <w:w w:val="110"/>
        </w:rPr>
        <w:t> los</w:t>
      </w:r>
      <w:r>
        <w:rPr>
          <w:w w:val="110"/>
        </w:rPr>
        <w:t> aspectos</w:t>
      </w:r>
      <w:r>
        <w:rPr>
          <w:w w:val="110"/>
        </w:rPr>
        <w:t> de</w:t>
      </w:r>
      <w:r>
        <w:rPr>
          <w:w w:val="110"/>
        </w:rPr>
        <w:t> la</w:t>
      </w:r>
      <w:r>
        <w:rPr>
          <w:w w:val="110"/>
        </w:rPr>
        <w:t> progresión</w:t>
      </w:r>
      <w:r>
        <w:rPr>
          <w:w w:val="110"/>
        </w:rPr>
        <w:t> del parto, incluyendo</w:t>
      </w:r>
      <w:r>
        <w:rPr>
          <w:w w:val="110"/>
        </w:rPr>
        <w:t> los</w:t>
      </w:r>
      <w:r>
        <w:rPr>
          <w:w w:val="110"/>
        </w:rPr>
        <w:t> siguientes:</w:t>
      </w:r>
      <w:r>
        <w:rPr>
          <w:w w:val="110"/>
        </w:rPr>
        <w:t> dilatación cervical</w:t>
      </w:r>
      <w:r>
        <w:rPr>
          <w:spacing w:val="-4"/>
          <w:w w:val="110"/>
        </w:rPr>
        <w:t> </w:t>
      </w:r>
      <w:r>
        <w:rPr>
          <w:w w:val="110"/>
        </w:rPr>
        <w:t>menor</w:t>
      </w:r>
      <w:r>
        <w:rPr>
          <w:spacing w:val="-4"/>
          <w:w w:val="110"/>
        </w:rPr>
        <w:t> </w:t>
      </w:r>
      <w:r>
        <w:rPr>
          <w:w w:val="110"/>
        </w:rPr>
        <w:t>de</w:t>
      </w:r>
      <w:r>
        <w:rPr>
          <w:spacing w:val="-4"/>
          <w:w w:val="110"/>
        </w:rPr>
        <w:t> </w:t>
      </w:r>
      <w:r>
        <w:rPr>
          <w:w w:val="110"/>
        </w:rPr>
        <w:t>2</w:t>
      </w:r>
      <w:r>
        <w:rPr>
          <w:spacing w:val="-4"/>
          <w:w w:val="110"/>
        </w:rPr>
        <w:t> </w:t>
      </w:r>
      <w:r>
        <w:rPr>
          <w:w w:val="110"/>
        </w:rPr>
        <w:t>cm</w:t>
      </w:r>
      <w:r>
        <w:rPr>
          <w:spacing w:val="-3"/>
          <w:w w:val="110"/>
        </w:rPr>
        <w:t> </w:t>
      </w:r>
      <w:r>
        <w:rPr>
          <w:w w:val="110"/>
        </w:rPr>
        <w:t>a</w:t>
      </w:r>
      <w:r>
        <w:rPr>
          <w:spacing w:val="-4"/>
          <w:w w:val="110"/>
        </w:rPr>
        <w:t> </w:t>
      </w:r>
      <w:r>
        <w:rPr>
          <w:w w:val="110"/>
        </w:rPr>
        <w:t>las</w:t>
      </w:r>
      <w:r>
        <w:rPr>
          <w:spacing w:val="-4"/>
          <w:w w:val="110"/>
        </w:rPr>
        <w:t> </w:t>
      </w:r>
      <w:r>
        <w:rPr>
          <w:w w:val="110"/>
        </w:rPr>
        <w:t>4</w:t>
      </w:r>
      <w:r>
        <w:rPr>
          <w:spacing w:val="-4"/>
          <w:w w:val="110"/>
        </w:rPr>
        <w:t> </w:t>
      </w:r>
      <w:r>
        <w:rPr>
          <w:w w:val="110"/>
        </w:rPr>
        <w:t>horas</w:t>
      </w:r>
      <w:r>
        <w:rPr>
          <w:spacing w:val="-4"/>
          <w:w w:val="110"/>
        </w:rPr>
        <w:t> </w:t>
      </w:r>
      <w:r>
        <w:rPr>
          <w:w w:val="110"/>
        </w:rPr>
        <w:t>para</w:t>
      </w:r>
      <w:r>
        <w:rPr>
          <w:spacing w:val="-4"/>
          <w:w w:val="110"/>
        </w:rPr>
        <w:t> </w:t>
      </w:r>
      <w:r>
        <w:rPr>
          <w:w w:val="110"/>
        </w:rPr>
        <w:t>nulíparas,</w:t>
      </w:r>
      <w:r>
        <w:rPr>
          <w:spacing w:val="-5"/>
          <w:w w:val="110"/>
        </w:rPr>
        <w:t> </w:t>
      </w:r>
      <w:r>
        <w:rPr>
          <w:w w:val="110"/>
        </w:rPr>
        <w:t>dilatación</w:t>
      </w:r>
      <w:r>
        <w:rPr>
          <w:spacing w:val="-4"/>
          <w:w w:val="110"/>
        </w:rPr>
        <w:t> </w:t>
      </w:r>
      <w:r>
        <w:rPr>
          <w:w w:val="110"/>
        </w:rPr>
        <w:t>cervical</w:t>
      </w:r>
      <w:r>
        <w:rPr>
          <w:spacing w:val="-5"/>
          <w:w w:val="110"/>
        </w:rPr>
        <w:t> </w:t>
      </w:r>
      <w:r>
        <w:rPr>
          <w:w w:val="110"/>
        </w:rPr>
        <w:t>menor</w:t>
      </w:r>
      <w:r>
        <w:rPr>
          <w:spacing w:val="-4"/>
          <w:w w:val="110"/>
        </w:rPr>
        <w:t> </w:t>
      </w:r>
      <w:r>
        <w:rPr>
          <w:w w:val="110"/>
        </w:rPr>
        <w:t>de</w:t>
      </w:r>
      <w:r>
        <w:rPr>
          <w:spacing w:val="-4"/>
          <w:w w:val="110"/>
        </w:rPr>
        <w:t> </w:t>
      </w:r>
      <w:r>
        <w:rPr>
          <w:w w:val="110"/>
        </w:rPr>
        <w:t>2</w:t>
      </w:r>
      <w:r>
        <w:rPr>
          <w:spacing w:val="-4"/>
          <w:w w:val="110"/>
        </w:rPr>
        <w:t> </w:t>
      </w:r>
      <w:r>
        <w:rPr>
          <w:w w:val="110"/>
        </w:rPr>
        <w:t>cm</w:t>
      </w:r>
      <w:r>
        <w:rPr>
          <w:spacing w:val="-3"/>
          <w:w w:val="110"/>
        </w:rPr>
        <w:t> </w:t>
      </w:r>
      <w:r>
        <w:rPr>
          <w:w w:val="110"/>
        </w:rPr>
        <w:t>a las 4 horas o enlentecimiento del progreso del parto en el segundo parto y posteriores, descenso</w:t>
      </w:r>
      <w:r>
        <w:rPr>
          <w:spacing w:val="-2"/>
          <w:w w:val="110"/>
        </w:rPr>
        <w:t> </w:t>
      </w:r>
      <w:r>
        <w:rPr>
          <w:w w:val="110"/>
        </w:rPr>
        <w:t>y</w:t>
      </w:r>
      <w:r>
        <w:rPr>
          <w:spacing w:val="-2"/>
          <w:w w:val="110"/>
        </w:rPr>
        <w:t> </w:t>
      </w:r>
      <w:r>
        <w:rPr>
          <w:w w:val="110"/>
        </w:rPr>
        <w:t>deflexión</w:t>
      </w:r>
      <w:r>
        <w:rPr>
          <w:spacing w:val="-3"/>
          <w:w w:val="110"/>
        </w:rPr>
        <w:t> </w:t>
      </w:r>
      <w:r>
        <w:rPr>
          <w:w w:val="110"/>
        </w:rPr>
        <w:t>de</w:t>
      </w:r>
      <w:r>
        <w:rPr>
          <w:spacing w:val="-3"/>
          <w:w w:val="110"/>
        </w:rPr>
        <w:t> </w:t>
      </w:r>
      <w:r>
        <w:rPr>
          <w:w w:val="110"/>
        </w:rPr>
        <w:t>la</w:t>
      </w:r>
      <w:r>
        <w:rPr>
          <w:spacing w:val="-2"/>
          <w:w w:val="110"/>
        </w:rPr>
        <w:t> </w:t>
      </w:r>
      <w:r>
        <w:rPr>
          <w:w w:val="110"/>
        </w:rPr>
        <w:t>cabeza</w:t>
      </w:r>
      <w:r>
        <w:rPr>
          <w:spacing w:val="-2"/>
          <w:w w:val="110"/>
        </w:rPr>
        <w:t> </w:t>
      </w:r>
      <w:r>
        <w:rPr>
          <w:w w:val="110"/>
        </w:rPr>
        <w:t>fetal</w:t>
      </w:r>
      <w:r>
        <w:rPr>
          <w:spacing w:val="-3"/>
          <w:w w:val="110"/>
        </w:rPr>
        <w:t> </w:t>
      </w:r>
      <w:r>
        <w:rPr>
          <w:w w:val="110"/>
        </w:rPr>
        <w:t>y</w:t>
      </w:r>
      <w:r>
        <w:rPr>
          <w:spacing w:val="-2"/>
          <w:w w:val="110"/>
        </w:rPr>
        <w:t> </w:t>
      </w:r>
      <w:r>
        <w:rPr>
          <w:w w:val="110"/>
        </w:rPr>
        <w:t>cambios</w:t>
      </w:r>
      <w:r>
        <w:rPr>
          <w:spacing w:val="-3"/>
          <w:w w:val="110"/>
        </w:rPr>
        <w:t> </w:t>
      </w:r>
      <w:r>
        <w:rPr>
          <w:w w:val="110"/>
        </w:rPr>
        <w:t>en</w:t>
      </w:r>
      <w:r>
        <w:rPr>
          <w:spacing w:val="-2"/>
          <w:w w:val="110"/>
        </w:rPr>
        <w:t> </w:t>
      </w:r>
      <w:r>
        <w:rPr>
          <w:w w:val="110"/>
        </w:rPr>
        <w:t>la</w:t>
      </w:r>
      <w:r>
        <w:rPr>
          <w:spacing w:val="-2"/>
          <w:w w:val="110"/>
        </w:rPr>
        <w:t> </w:t>
      </w:r>
      <w:r>
        <w:rPr>
          <w:w w:val="110"/>
        </w:rPr>
        <w:t>fuerza,</w:t>
      </w:r>
      <w:r>
        <w:rPr>
          <w:spacing w:val="-3"/>
          <w:w w:val="110"/>
        </w:rPr>
        <w:t> </w:t>
      </w:r>
      <w:r>
        <w:rPr>
          <w:w w:val="110"/>
        </w:rPr>
        <w:t>duración</w:t>
      </w:r>
      <w:r>
        <w:rPr>
          <w:spacing w:val="-3"/>
          <w:w w:val="110"/>
        </w:rPr>
        <w:t> </w:t>
      </w:r>
      <w:r>
        <w:rPr>
          <w:w w:val="110"/>
        </w:rPr>
        <w:t>y</w:t>
      </w:r>
      <w:r>
        <w:rPr>
          <w:spacing w:val="-2"/>
          <w:w w:val="110"/>
        </w:rPr>
        <w:t> </w:t>
      </w:r>
      <w:r>
        <w:rPr>
          <w:w w:val="110"/>
        </w:rPr>
        <w:t>frecuencia</w:t>
      </w:r>
      <w:r>
        <w:rPr>
          <w:spacing w:val="-2"/>
          <w:w w:val="110"/>
        </w:rPr>
        <w:t> </w:t>
      </w:r>
      <w:r>
        <w:rPr>
          <w:w w:val="110"/>
        </w:rPr>
        <w:t>de contracciones uterinas.</w:t>
      </w:r>
    </w:p>
    <w:p>
      <w:pPr>
        <w:pStyle w:val="BodyText"/>
        <w:spacing w:line="247" w:lineRule="auto" w:before="131"/>
        <w:ind w:left="283" w:right="119" w:firstLine="454"/>
        <w:jc w:val="both"/>
      </w:pPr>
      <w:r>
        <w:rPr>
          <w:w w:val="110"/>
        </w:rPr>
        <w:t>Como</w:t>
      </w:r>
      <w:r>
        <w:rPr>
          <w:spacing w:val="-4"/>
          <w:w w:val="110"/>
        </w:rPr>
        <w:t> </w:t>
      </w:r>
      <w:r>
        <w:rPr>
          <w:w w:val="110"/>
        </w:rPr>
        <w:t>se</w:t>
      </w:r>
      <w:r>
        <w:rPr>
          <w:spacing w:val="-4"/>
          <w:w w:val="110"/>
        </w:rPr>
        <w:t> </w:t>
      </w:r>
      <w:r>
        <w:rPr>
          <w:w w:val="110"/>
        </w:rPr>
        <w:t>dice</w:t>
      </w:r>
      <w:r>
        <w:rPr>
          <w:spacing w:val="-4"/>
          <w:w w:val="110"/>
        </w:rPr>
        <w:t> </w:t>
      </w:r>
      <w:r>
        <w:rPr>
          <w:w w:val="110"/>
        </w:rPr>
        <w:t>en</w:t>
      </w:r>
      <w:r>
        <w:rPr>
          <w:spacing w:val="-4"/>
          <w:w w:val="110"/>
        </w:rPr>
        <w:t> </w:t>
      </w:r>
      <w:r>
        <w:rPr>
          <w:w w:val="110"/>
        </w:rPr>
        <w:t>la</w:t>
      </w:r>
      <w:r>
        <w:rPr>
          <w:spacing w:val="-4"/>
          <w:w w:val="110"/>
        </w:rPr>
        <w:t> </w:t>
      </w:r>
      <w:r>
        <w:rPr>
          <w:w w:val="110"/>
        </w:rPr>
        <w:t>guía</w:t>
      </w:r>
      <w:r>
        <w:rPr>
          <w:spacing w:val="-4"/>
          <w:w w:val="110"/>
        </w:rPr>
        <w:t> </w:t>
      </w:r>
      <w:r>
        <w:rPr>
          <w:w w:val="110"/>
        </w:rPr>
        <w:t>NICE</w:t>
      </w:r>
      <w:r>
        <w:rPr>
          <w:spacing w:val="-4"/>
          <w:w w:val="110"/>
        </w:rPr>
        <w:t> </w:t>
      </w:r>
      <w:r>
        <w:rPr>
          <w:w w:val="110"/>
        </w:rPr>
        <w:t>(10),</w:t>
      </w:r>
      <w:r>
        <w:rPr>
          <w:spacing w:val="-4"/>
          <w:w w:val="110"/>
        </w:rPr>
        <w:t> </w:t>
      </w:r>
      <w:r>
        <w:rPr>
          <w:w w:val="110"/>
        </w:rPr>
        <w:t>aunque</w:t>
      </w:r>
      <w:r>
        <w:rPr>
          <w:spacing w:val="-4"/>
          <w:w w:val="110"/>
        </w:rPr>
        <w:t> </w:t>
      </w:r>
      <w:r>
        <w:rPr>
          <w:w w:val="110"/>
        </w:rPr>
        <w:t>la</w:t>
      </w:r>
      <w:r>
        <w:rPr>
          <w:spacing w:val="-4"/>
          <w:w w:val="110"/>
        </w:rPr>
        <w:t> </w:t>
      </w:r>
      <w:r>
        <w:rPr>
          <w:w w:val="110"/>
        </w:rPr>
        <w:t>duración</w:t>
      </w:r>
      <w:r>
        <w:rPr>
          <w:spacing w:val="-4"/>
          <w:w w:val="110"/>
        </w:rPr>
        <w:t> </w:t>
      </w:r>
      <w:r>
        <w:rPr>
          <w:w w:val="110"/>
        </w:rPr>
        <w:t>del</w:t>
      </w:r>
      <w:r>
        <w:rPr>
          <w:spacing w:val="-5"/>
          <w:w w:val="110"/>
        </w:rPr>
        <w:t> </w:t>
      </w:r>
      <w:r>
        <w:rPr>
          <w:w w:val="110"/>
        </w:rPr>
        <w:t>parto</w:t>
      </w:r>
      <w:r>
        <w:rPr>
          <w:spacing w:val="-4"/>
          <w:w w:val="110"/>
        </w:rPr>
        <w:t> </w:t>
      </w:r>
      <w:r>
        <w:rPr>
          <w:w w:val="110"/>
        </w:rPr>
        <w:t>no</w:t>
      </w:r>
      <w:r>
        <w:rPr>
          <w:spacing w:val="-4"/>
          <w:w w:val="110"/>
        </w:rPr>
        <w:t> </w:t>
      </w:r>
      <w:r>
        <w:rPr>
          <w:w w:val="110"/>
        </w:rPr>
        <w:t>deba</w:t>
      </w:r>
      <w:r>
        <w:rPr>
          <w:spacing w:val="-4"/>
          <w:w w:val="110"/>
        </w:rPr>
        <w:t> </w:t>
      </w:r>
      <w:r>
        <w:rPr>
          <w:w w:val="110"/>
        </w:rPr>
        <w:t>constituir </w:t>
      </w:r>
      <w:r>
        <w:rPr>
          <w:spacing w:val="-2"/>
          <w:w w:val="110"/>
        </w:rPr>
        <w:t>un</w:t>
      </w:r>
      <w:r>
        <w:rPr>
          <w:spacing w:val="-8"/>
          <w:w w:val="110"/>
        </w:rPr>
        <w:t> </w:t>
      </w:r>
      <w:r>
        <w:rPr>
          <w:spacing w:val="-2"/>
          <w:w w:val="110"/>
        </w:rPr>
        <w:t>factor</w:t>
      </w:r>
      <w:r>
        <w:rPr>
          <w:spacing w:val="-9"/>
          <w:w w:val="110"/>
        </w:rPr>
        <w:t> </w:t>
      </w:r>
      <w:r>
        <w:rPr>
          <w:spacing w:val="-2"/>
          <w:w w:val="110"/>
        </w:rPr>
        <w:t>clave</w:t>
      </w:r>
      <w:r>
        <w:rPr>
          <w:spacing w:val="-8"/>
          <w:w w:val="110"/>
        </w:rPr>
        <w:t> </w:t>
      </w:r>
      <w:r>
        <w:rPr>
          <w:spacing w:val="-2"/>
          <w:w w:val="110"/>
        </w:rPr>
        <w:t>de</w:t>
      </w:r>
      <w:r>
        <w:rPr>
          <w:spacing w:val="-8"/>
          <w:w w:val="110"/>
        </w:rPr>
        <w:t> </w:t>
      </w:r>
      <w:r>
        <w:rPr>
          <w:spacing w:val="-2"/>
          <w:w w:val="110"/>
        </w:rPr>
        <w:t>preocupación</w:t>
      </w:r>
      <w:r>
        <w:rPr>
          <w:spacing w:val="-9"/>
          <w:w w:val="110"/>
        </w:rPr>
        <w:t> </w:t>
      </w:r>
      <w:r>
        <w:rPr>
          <w:spacing w:val="-2"/>
          <w:w w:val="110"/>
        </w:rPr>
        <w:t>por</w:t>
      </w:r>
      <w:r>
        <w:rPr>
          <w:spacing w:val="-9"/>
          <w:w w:val="110"/>
        </w:rPr>
        <w:t> </w:t>
      </w:r>
      <w:r>
        <w:rPr>
          <w:spacing w:val="-2"/>
          <w:w w:val="110"/>
        </w:rPr>
        <w:t>sí</w:t>
      </w:r>
      <w:r>
        <w:rPr>
          <w:spacing w:val="-9"/>
          <w:w w:val="110"/>
        </w:rPr>
        <w:t> </w:t>
      </w:r>
      <w:r>
        <w:rPr>
          <w:spacing w:val="-2"/>
          <w:w w:val="110"/>
        </w:rPr>
        <w:t>misma,</w:t>
      </w:r>
      <w:r>
        <w:rPr>
          <w:spacing w:val="-9"/>
          <w:w w:val="110"/>
        </w:rPr>
        <w:t> </w:t>
      </w:r>
      <w:r>
        <w:rPr>
          <w:spacing w:val="-2"/>
          <w:w w:val="110"/>
        </w:rPr>
        <w:t>su</w:t>
      </w:r>
      <w:r>
        <w:rPr>
          <w:spacing w:val="-8"/>
          <w:w w:val="110"/>
        </w:rPr>
        <w:t> </w:t>
      </w:r>
      <w:r>
        <w:rPr>
          <w:spacing w:val="-2"/>
          <w:w w:val="110"/>
        </w:rPr>
        <w:t>prolongación</w:t>
      </w:r>
      <w:r>
        <w:rPr>
          <w:spacing w:val="-9"/>
          <w:w w:val="110"/>
        </w:rPr>
        <w:t> </w:t>
      </w:r>
      <w:r>
        <w:rPr>
          <w:spacing w:val="-2"/>
          <w:w w:val="110"/>
        </w:rPr>
        <w:t>más</w:t>
      </w:r>
      <w:r>
        <w:rPr>
          <w:spacing w:val="-9"/>
          <w:w w:val="110"/>
        </w:rPr>
        <w:t> </w:t>
      </w:r>
      <w:r>
        <w:rPr>
          <w:spacing w:val="-2"/>
          <w:w w:val="110"/>
        </w:rPr>
        <w:t>allá</w:t>
      </w:r>
      <w:r>
        <w:rPr>
          <w:spacing w:val="-9"/>
          <w:w w:val="110"/>
        </w:rPr>
        <w:t> </w:t>
      </w:r>
      <w:r>
        <w:rPr>
          <w:spacing w:val="-2"/>
          <w:w w:val="110"/>
        </w:rPr>
        <w:t>de</w:t>
      </w:r>
      <w:r>
        <w:rPr>
          <w:spacing w:val="-8"/>
          <w:w w:val="110"/>
        </w:rPr>
        <w:t> </w:t>
      </w:r>
      <w:r>
        <w:rPr>
          <w:spacing w:val="-2"/>
          <w:w w:val="110"/>
        </w:rPr>
        <w:t>los</w:t>
      </w:r>
      <w:r>
        <w:rPr>
          <w:spacing w:val="-9"/>
          <w:w w:val="110"/>
        </w:rPr>
        <w:t> </w:t>
      </w:r>
      <w:r>
        <w:rPr>
          <w:spacing w:val="-2"/>
          <w:w w:val="110"/>
        </w:rPr>
        <w:t>límites</w:t>
      </w:r>
      <w:r>
        <w:rPr>
          <w:spacing w:val="-9"/>
          <w:w w:val="110"/>
        </w:rPr>
        <w:t> </w:t>
      </w:r>
      <w:r>
        <w:rPr>
          <w:spacing w:val="-2"/>
          <w:w w:val="110"/>
        </w:rPr>
        <w:t>nor- males</w:t>
      </w:r>
      <w:r>
        <w:rPr>
          <w:spacing w:val="-8"/>
          <w:w w:val="110"/>
        </w:rPr>
        <w:t> </w:t>
      </w:r>
      <w:r>
        <w:rPr>
          <w:spacing w:val="-2"/>
          <w:w w:val="110"/>
        </w:rPr>
        <w:t>podría</w:t>
      </w:r>
      <w:r>
        <w:rPr>
          <w:spacing w:val="-8"/>
          <w:w w:val="110"/>
        </w:rPr>
        <w:t> </w:t>
      </w:r>
      <w:r>
        <w:rPr>
          <w:spacing w:val="-2"/>
          <w:w w:val="110"/>
        </w:rPr>
        <w:t>ser</w:t>
      </w:r>
      <w:r>
        <w:rPr>
          <w:spacing w:val="-8"/>
          <w:w w:val="110"/>
        </w:rPr>
        <w:t> </w:t>
      </w:r>
      <w:r>
        <w:rPr>
          <w:spacing w:val="-2"/>
          <w:w w:val="110"/>
        </w:rPr>
        <w:t>la</w:t>
      </w:r>
      <w:r>
        <w:rPr>
          <w:spacing w:val="-8"/>
          <w:w w:val="110"/>
        </w:rPr>
        <w:t> </w:t>
      </w:r>
      <w:r>
        <w:rPr>
          <w:spacing w:val="-2"/>
          <w:w w:val="110"/>
        </w:rPr>
        <w:t>primera</w:t>
      </w:r>
      <w:r>
        <w:rPr>
          <w:spacing w:val="-8"/>
          <w:w w:val="110"/>
        </w:rPr>
        <w:t> </w:t>
      </w:r>
      <w:r>
        <w:rPr>
          <w:spacing w:val="-2"/>
          <w:w w:val="110"/>
        </w:rPr>
        <w:t>manifestación</w:t>
      </w:r>
      <w:r>
        <w:rPr>
          <w:spacing w:val="-8"/>
          <w:w w:val="110"/>
        </w:rPr>
        <w:t> </w:t>
      </w:r>
      <w:r>
        <w:rPr>
          <w:spacing w:val="-2"/>
          <w:w w:val="110"/>
        </w:rPr>
        <w:t>de</w:t>
      </w:r>
      <w:r>
        <w:rPr>
          <w:spacing w:val="-8"/>
          <w:w w:val="110"/>
        </w:rPr>
        <w:t> </w:t>
      </w:r>
      <w:r>
        <w:rPr>
          <w:spacing w:val="-2"/>
          <w:w w:val="110"/>
        </w:rPr>
        <w:t>la</w:t>
      </w:r>
      <w:r>
        <w:rPr>
          <w:spacing w:val="-8"/>
          <w:w w:val="110"/>
        </w:rPr>
        <w:t> </w:t>
      </w:r>
      <w:r>
        <w:rPr>
          <w:spacing w:val="-2"/>
          <w:w w:val="110"/>
        </w:rPr>
        <w:t>existencia</w:t>
      </w:r>
      <w:r>
        <w:rPr>
          <w:spacing w:val="-8"/>
          <w:w w:val="110"/>
        </w:rPr>
        <w:t> </w:t>
      </w:r>
      <w:r>
        <w:rPr>
          <w:spacing w:val="-2"/>
          <w:w w:val="110"/>
        </w:rPr>
        <w:t>de</w:t>
      </w:r>
      <w:r>
        <w:rPr>
          <w:spacing w:val="-8"/>
          <w:w w:val="110"/>
        </w:rPr>
        <w:t> </w:t>
      </w:r>
      <w:r>
        <w:rPr>
          <w:spacing w:val="-2"/>
          <w:w w:val="110"/>
        </w:rPr>
        <w:t>algún</w:t>
      </w:r>
      <w:r>
        <w:rPr>
          <w:spacing w:val="-8"/>
          <w:w w:val="110"/>
        </w:rPr>
        <w:t> </w:t>
      </w:r>
      <w:r>
        <w:rPr>
          <w:spacing w:val="-2"/>
          <w:w w:val="110"/>
        </w:rPr>
        <w:t>problema.</w:t>
      </w:r>
      <w:r>
        <w:rPr>
          <w:spacing w:val="-9"/>
          <w:w w:val="110"/>
        </w:rPr>
        <w:t> </w:t>
      </w:r>
      <w:r>
        <w:rPr>
          <w:spacing w:val="-2"/>
          <w:w w:val="110"/>
        </w:rPr>
        <w:t>Mayor</w:t>
      </w:r>
      <w:r>
        <w:rPr>
          <w:spacing w:val="-8"/>
          <w:w w:val="110"/>
        </w:rPr>
        <w:t> </w:t>
      </w:r>
      <w:r>
        <w:rPr>
          <w:spacing w:val="-2"/>
          <w:w w:val="110"/>
        </w:rPr>
        <w:t>rele- </w:t>
      </w:r>
      <w:r>
        <w:rPr>
          <w:w w:val="110"/>
        </w:rPr>
        <w:t>vancia</w:t>
      </w:r>
      <w:r>
        <w:rPr>
          <w:spacing w:val="-12"/>
          <w:w w:val="110"/>
        </w:rPr>
        <w:t> </w:t>
      </w:r>
      <w:r>
        <w:rPr>
          <w:w w:val="110"/>
        </w:rPr>
        <w:t>que</w:t>
      </w:r>
      <w:r>
        <w:rPr>
          <w:spacing w:val="-11"/>
          <w:w w:val="110"/>
        </w:rPr>
        <w:t> </w:t>
      </w:r>
      <w:r>
        <w:rPr>
          <w:w w:val="110"/>
        </w:rPr>
        <w:t>la</w:t>
      </w:r>
      <w:r>
        <w:rPr>
          <w:spacing w:val="-11"/>
          <w:w w:val="110"/>
        </w:rPr>
        <w:t> </w:t>
      </w:r>
      <w:r>
        <w:rPr>
          <w:w w:val="110"/>
        </w:rPr>
        <w:t>duración</w:t>
      </w:r>
      <w:r>
        <w:rPr>
          <w:spacing w:val="-11"/>
          <w:w w:val="110"/>
        </w:rPr>
        <w:t> </w:t>
      </w:r>
      <w:r>
        <w:rPr>
          <w:w w:val="110"/>
        </w:rPr>
        <w:t>total</w:t>
      </w:r>
      <w:r>
        <w:rPr>
          <w:spacing w:val="-12"/>
          <w:w w:val="110"/>
        </w:rPr>
        <w:t> </w:t>
      </w:r>
      <w:r>
        <w:rPr>
          <w:w w:val="110"/>
        </w:rPr>
        <w:t>del</w:t>
      </w:r>
      <w:r>
        <w:rPr>
          <w:spacing w:val="-12"/>
          <w:w w:val="110"/>
        </w:rPr>
        <w:t> </w:t>
      </w:r>
      <w:r>
        <w:rPr>
          <w:w w:val="110"/>
        </w:rPr>
        <w:t>periodo</w:t>
      </w:r>
      <w:r>
        <w:rPr>
          <w:spacing w:val="-11"/>
          <w:w w:val="110"/>
        </w:rPr>
        <w:t> </w:t>
      </w:r>
      <w:r>
        <w:rPr>
          <w:w w:val="110"/>
        </w:rPr>
        <w:t>de</w:t>
      </w:r>
      <w:r>
        <w:rPr>
          <w:spacing w:val="-11"/>
          <w:w w:val="110"/>
        </w:rPr>
        <w:t> </w:t>
      </w:r>
      <w:r>
        <w:rPr>
          <w:w w:val="110"/>
        </w:rPr>
        <w:t>dilatación</w:t>
      </w:r>
      <w:r>
        <w:rPr>
          <w:spacing w:val="-11"/>
          <w:w w:val="110"/>
        </w:rPr>
        <w:t> </w:t>
      </w:r>
      <w:r>
        <w:rPr>
          <w:w w:val="110"/>
        </w:rPr>
        <w:t>la</w:t>
      </w:r>
      <w:r>
        <w:rPr>
          <w:spacing w:val="-11"/>
          <w:w w:val="110"/>
        </w:rPr>
        <w:t> </w:t>
      </w:r>
      <w:r>
        <w:rPr>
          <w:w w:val="110"/>
        </w:rPr>
        <w:t>tiene</w:t>
      </w:r>
      <w:r>
        <w:rPr>
          <w:spacing w:val="-11"/>
          <w:w w:val="110"/>
        </w:rPr>
        <w:t> </w:t>
      </w:r>
      <w:r>
        <w:rPr>
          <w:w w:val="110"/>
        </w:rPr>
        <w:t>el</w:t>
      </w:r>
      <w:r>
        <w:rPr>
          <w:spacing w:val="-12"/>
          <w:w w:val="110"/>
        </w:rPr>
        <w:t> </w:t>
      </w:r>
      <w:r>
        <w:rPr>
          <w:w w:val="110"/>
        </w:rPr>
        <w:t>progreso</w:t>
      </w:r>
      <w:r>
        <w:rPr>
          <w:spacing w:val="-11"/>
          <w:w w:val="110"/>
        </w:rPr>
        <w:t> </w:t>
      </w:r>
      <w:r>
        <w:rPr>
          <w:w w:val="110"/>
        </w:rPr>
        <w:t>de</w:t>
      </w:r>
      <w:r>
        <w:rPr>
          <w:spacing w:val="-11"/>
          <w:w w:val="110"/>
        </w:rPr>
        <w:t> </w:t>
      </w:r>
      <w:r>
        <w:rPr>
          <w:w w:val="110"/>
        </w:rPr>
        <w:t>la</w:t>
      </w:r>
      <w:r>
        <w:rPr>
          <w:spacing w:val="-11"/>
          <w:w w:val="110"/>
        </w:rPr>
        <w:t> </w:t>
      </w:r>
      <w:r>
        <w:rPr>
          <w:w w:val="110"/>
        </w:rPr>
        <w:t>dilatación, ya</w:t>
      </w:r>
      <w:r>
        <w:rPr>
          <w:spacing w:val="-14"/>
          <w:w w:val="110"/>
        </w:rPr>
        <w:t> </w:t>
      </w:r>
      <w:r>
        <w:rPr>
          <w:w w:val="110"/>
        </w:rPr>
        <w:t>que</w:t>
      </w:r>
      <w:r>
        <w:rPr>
          <w:spacing w:val="-14"/>
          <w:w w:val="110"/>
        </w:rPr>
        <w:t> </w:t>
      </w:r>
      <w:r>
        <w:rPr>
          <w:w w:val="110"/>
        </w:rPr>
        <w:t>nos</w:t>
      </w:r>
      <w:r>
        <w:rPr>
          <w:spacing w:val="-14"/>
          <w:w w:val="110"/>
        </w:rPr>
        <w:t> </w:t>
      </w:r>
      <w:r>
        <w:rPr>
          <w:w w:val="110"/>
        </w:rPr>
        <w:t>permite</w:t>
      </w:r>
      <w:r>
        <w:rPr>
          <w:spacing w:val="-14"/>
          <w:w w:val="110"/>
        </w:rPr>
        <w:t> </w:t>
      </w:r>
      <w:r>
        <w:rPr>
          <w:w w:val="110"/>
        </w:rPr>
        <w:t>identificar</w:t>
      </w:r>
      <w:r>
        <w:rPr>
          <w:spacing w:val="-14"/>
          <w:w w:val="110"/>
        </w:rPr>
        <w:t> </w:t>
      </w:r>
      <w:r>
        <w:rPr>
          <w:w w:val="110"/>
        </w:rPr>
        <w:t>y</w:t>
      </w:r>
      <w:r>
        <w:rPr>
          <w:spacing w:val="-13"/>
          <w:w w:val="110"/>
        </w:rPr>
        <w:t> </w:t>
      </w:r>
      <w:r>
        <w:rPr>
          <w:w w:val="110"/>
        </w:rPr>
        <w:t>tratar</w:t>
      </w:r>
      <w:r>
        <w:rPr>
          <w:spacing w:val="-14"/>
          <w:w w:val="110"/>
        </w:rPr>
        <w:t> </w:t>
      </w:r>
      <w:r>
        <w:rPr>
          <w:w w:val="110"/>
        </w:rPr>
        <w:t>precozmente</w:t>
      </w:r>
      <w:r>
        <w:rPr>
          <w:spacing w:val="-14"/>
          <w:w w:val="110"/>
        </w:rPr>
        <w:t> </w:t>
      </w:r>
      <w:r>
        <w:rPr>
          <w:w w:val="110"/>
        </w:rPr>
        <w:t>el</w:t>
      </w:r>
      <w:r>
        <w:rPr>
          <w:spacing w:val="-14"/>
          <w:w w:val="110"/>
        </w:rPr>
        <w:t> </w:t>
      </w:r>
      <w:r>
        <w:rPr>
          <w:w w:val="110"/>
        </w:rPr>
        <w:t>trastorno.</w:t>
      </w:r>
      <w:r>
        <w:rPr>
          <w:spacing w:val="-14"/>
          <w:w w:val="110"/>
        </w:rPr>
        <w:t> </w:t>
      </w:r>
      <w:r>
        <w:rPr>
          <w:w w:val="110"/>
        </w:rPr>
        <w:t>Aunque</w:t>
      </w:r>
      <w:r>
        <w:rPr>
          <w:spacing w:val="-13"/>
          <w:w w:val="110"/>
        </w:rPr>
        <w:t> </w:t>
      </w:r>
      <w:r>
        <w:rPr>
          <w:w w:val="110"/>
        </w:rPr>
        <w:t>los</w:t>
      </w:r>
      <w:r>
        <w:rPr>
          <w:spacing w:val="-14"/>
          <w:w w:val="110"/>
        </w:rPr>
        <w:t> </w:t>
      </w:r>
      <w:r>
        <w:rPr>
          <w:w w:val="110"/>
        </w:rPr>
        <w:t>factores</w:t>
      </w:r>
      <w:r>
        <w:rPr>
          <w:spacing w:val="-14"/>
          <w:w w:val="110"/>
        </w:rPr>
        <w:t> </w:t>
      </w:r>
      <w:r>
        <w:rPr>
          <w:w w:val="110"/>
        </w:rPr>
        <w:t>etio- lógicos que pueden conducir a un retraso de la primera etapa del parto son variados, la actividad</w:t>
      </w:r>
      <w:r>
        <w:rPr>
          <w:spacing w:val="-16"/>
          <w:w w:val="110"/>
        </w:rPr>
        <w:t> </w:t>
      </w:r>
      <w:r>
        <w:rPr>
          <w:w w:val="110"/>
        </w:rPr>
        <w:t>uterina</w:t>
      </w:r>
      <w:r>
        <w:rPr>
          <w:spacing w:val="-15"/>
          <w:w w:val="110"/>
        </w:rPr>
        <w:t> </w:t>
      </w:r>
      <w:r>
        <w:rPr>
          <w:w w:val="110"/>
        </w:rPr>
        <w:t>insuficiente</w:t>
      </w:r>
      <w:r>
        <w:rPr>
          <w:spacing w:val="-15"/>
          <w:w w:val="110"/>
        </w:rPr>
        <w:t> </w:t>
      </w:r>
      <w:r>
        <w:rPr>
          <w:w w:val="110"/>
        </w:rPr>
        <w:t>es</w:t>
      </w:r>
      <w:r>
        <w:rPr>
          <w:spacing w:val="-15"/>
          <w:w w:val="110"/>
        </w:rPr>
        <w:t> </w:t>
      </w:r>
      <w:r>
        <w:rPr>
          <w:w w:val="110"/>
        </w:rPr>
        <w:t>la</w:t>
      </w:r>
      <w:r>
        <w:rPr>
          <w:spacing w:val="-15"/>
          <w:w w:val="110"/>
        </w:rPr>
        <w:t> </w:t>
      </w:r>
      <w:r>
        <w:rPr>
          <w:w w:val="110"/>
        </w:rPr>
        <w:t>causa</w:t>
      </w:r>
      <w:r>
        <w:rPr>
          <w:spacing w:val="-15"/>
          <w:w w:val="110"/>
        </w:rPr>
        <w:t> </w:t>
      </w:r>
      <w:r>
        <w:rPr>
          <w:w w:val="110"/>
        </w:rPr>
        <w:t>más</w:t>
      </w:r>
      <w:r>
        <w:rPr>
          <w:spacing w:val="-15"/>
          <w:w w:val="110"/>
        </w:rPr>
        <w:t> </w:t>
      </w:r>
      <w:r>
        <w:rPr>
          <w:w w:val="110"/>
        </w:rPr>
        <w:t>común</w:t>
      </w:r>
      <w:r>
        <w:rPr>
          <w:spacing w:val="-15"/>
          <w:w w:val="110"/>
        </w:rPr>
        <w:t> </w:t>
      </w:r>
      <w:r>
        <w:rPr>
          <w:w w:val="110"/>
        </w:rPr>
        <w:t>y</w:t>
      </w:r>
      <w:r>
        <w:rPr>
          <w:spacing w:val="-16"/>
          <w:w w:val="110"/>
        </w:rPr>
        <w:t> </w:t>
      </w:r>
      <w:r>
        <w:rPr>
          <w:w w:val="110"/>
        </w:rPr>
        <w:t>corregible</w:t>
      </w:r>
      <w:r>
        <w:rPr>
          <w:spacing w:val="-15"/>
          <w:w w:val="110"/>
        </w:rPr>
        <w:t> </w:t>
      </w:r>
      <w:r>
        <w:rPr>
          <w:w w:val="110"/>
        </w:rPr>
        <w:t>de</w:t>
      </w:r>
      <w:r>
        <w:rPr>
          <w:spacing w:val="-15"/>
          <w:w w:val="110"/>
        </w:rPr>
        <w:t> </w:t>
      </w:r>
      <w:r>
        <w:rPr>
          <w:w w:val="110"/>
        </w:rPr>
        <w:t>progreso</w:t>
      </w:r>
      <w:r>
        <w:rPr>
          <w:spacing w:val="-15"/>
          <w:w w:val="110"/>
        </w:rPr>
        <w:t> </w:t>
      </w:r>
      <w:r>
        <w:rPr>
          <w:w w:val="110"/>
        </w:rPr>
        <w:t>anormal</w:t>
      </w:r>
      <w:r>
        <w:rPr>
          <w:spacing w:val="-15"/>
          <w:w w:val="110"/>
        </w:rPr>
        <w:t> </w:t>
      </w:r>
      <w:r>
        <w:rPr>
          <w:w w:val="110"/>
        </w:rPr>
        <w:t>del trabajo del parto.</w:t>
      </w:r>
    </w:p>
    <w:p>
      <w:pPr>
        <w:pStyle w:val="BodyText"/>
        <w:spacing w:line="244" w:lineRule="auto" w:before="143"/>
        <w:ind w:left="284" w:right="120" w:firstLine="452"/>
        <w:jc w:val="both"/>
      </w:pPr>
      <w:r>
        <w:rPr>
          <w:spacing w:val="-2"/>
          <w:w w:val="110"/>
        </w:rPr>
        <w:t>El</w:t>
      </w:r>
      <w:r>
        <w:rPr>
          <w:spacing w:val="-7"/>
          <w:w w:val="110"/>
        </w:rPr>
        <w:t> </w:t>
      </w:r>
      <w:r>
        <w:rPr>
          <w:spacing w:val="-2"/>
          <w:w w:val="110"/>
        </w:rPr>
        <w:t>diagnóstico</w:t>
      </w:r>
      <w:r>
        <w:rPr>
          <w:spacing w:val="-7"/>
          <w:w w:val="110"/>
        </w:rPr>
        <w:t> </w:t>
      </w:r>
      <w:r>
        <w:rPr>
          <w:spacing w:val="-2"/>
          <w:w w:val="110"/>
        </w:rPr>
        <w:t>de</w:t>
      </w:r>
      <w:r>
        <w:rPr>
          <w:spacing w:val="-7"/>
          <w:w w:val="110"/>
        </w:rPr>
        <w:t> </w:t>
      </w:r>
      <w:r>
        <w:rPr>
          <w:spacing w:val="-2"/>
          <w:w w:val="110"/>
        </w:rPr>
        <w:t>distocia</w:t>
      </w:r>
      <w:r>
        <w:rPr>
          <w:spacing w:val="-7"/>
          <w:w w:val="110"/>
        </w:rPr>
        <w:t> </w:t>
      </w:r>
      <w:r>
        <w:rPr>
          <w:spacing w:val="-2"/>
          <w:w w:val="110"/>
        </w:rPr>
        <w:t>es</w:t>
      </w:r>
      <w:r>
        <w:rPr>
          <w:spacing w:val="-7"/>
          <w:w w:val="110"/>
        </w:rPr>
        <w:t> </w:t>
      </w:r>
      <w:r>
        <w:rPr>
          <w:spacing w:val="-2"/>
          <w:w w:val="110"/>
        </w:rPr>
        <w:t>en</w:t>
      </w:r>
      <w:r>
        <w:rPr>
          <w:spacing w:val="-7"/>
          <w:w w:val="110"/>
        </w:rPr>
        <w:t> </w:t>
      </w:r>
      <w:r>
        <w:rPr>
          <w:spacing w:val="-2"/>
          <w:w w:val="110"/>
        </w:rPr>
        <w:t>la</w:t>
      </w:r>
      <w:r>
        <w:rPr>
          <w:spacing w:val="-7"/>
          <w:w w:val="110"/>
        </w:rPr>
        <w:t> </w:t>
      </w:r>
      <w:r>
        <w:rPr>
          <w:spacing w:val="-2"/>
          <w:w w:val="110"/>
        </w:rPr>
        <w:t>actualidad</w:t>
      </w:r>
      <w:r>
        <w:rPr>
          <w:spacing w:val="-7"/>
          <w:w w:val="110"/>
        </w:rPr>
        <w:t> </w:t>
      </w:r>
      <w:r>
        <w:rPr>
          <w:spacing w:val="-2"/>
          <w:w w:val="110"/>
        </w:rPr>
        <w:t>la</w:t>
      </w:r>
      <w:r>
        <w:rPr>
          <w:spacing w:val="-7"/>
          <w:w w:val="110"/>
        </w:rPr>
        <w:t> </w:t>
      </w:r>
      <w:r>
        <w:rPr>
          <w:spacing w:val="-2"/>
          <w:w w:val="110"/>
        </w:rPr>
        <w:t>principal</w:t>
      </w:r>
      <w:r>
        <w:rPr>
          <w:spacing w:val="-8"/>
          <w:w w:val="110"/>
        </w:rPr>
        <w:t> </w:t>
      </w:r>
      <w:r>
        <w:rPr>
          <w:spacing w:val="-2"/>
          <w:w w:val="110"/>
        </w:rPr>
        <w:t>indicación</w:t>
      </w:r>
      <w:r>
        <w:rPr>
          <w:spacing w:val="-6"/>
          <w:w w:val="110"/>
        </w:rPr>
        <w:t> </w:t>
      </w:r>
      <w:r>
        <w:rPr>
          <w:spacing w:val="-2"/>
          <w:w w:val="110"/>
        </w:rPr>
        <w:t>de</w:t>
      </w:r>
      <w:r>
        <w:rPr>
          <w:spacing w:val="-7"/>
          <w:w w:val="110"/>
        </w:rPr>
        <w:t> </w:t>
      </w:r>
      <w:r>
        <w:rPr>
          <w:spacing w:val="-2"/>
          <w:w w:val="110"/>
        </w:rPr>
        <w:t>cesárea.</w:t>
      </w:r>
      <w:r>
        <w:rPr>
          <w:spacing w:val="-7"/>
          <w:w w:val="110"/>
        </w:rPr>
        <w:t> </w:t>
      </w:r>
      <w:r>
        <w:rPr>
          <w:spacing w:val="-2"/>
          <w:w w:val="110"/>
        </w:rPr>
        <w:t>Dado </w:t>
      </w:r>
      <w:r>
        <w:rPr>
          <w:w w:val="110"/>
        </w:rPr>
        <w:t>que</w:t>
      </w:r>
      <w:r>
        <w:rPr>
          <w:spacing w:val="-16"/>
          <w:w w:val="110"/>
        </w:rPr>
        <w:t> </w:t>
      </w:r>
      <w:r>
        <w:rPr>
          <w:w w:val="110"/>
        </w:rPr>
        <w:t>la</w:t>
      </w:r>
      <w:r>
        <w:rPr>
          <w:spacing w:val="-15"/>
          <w:w w:val="110"/>
        </w:rPr>
        <w:t> </w:t>
      </w:r>
      <w:r>
        <w:rPr>
          <w:w w:val="110"/>
        </w:rPr>
        <w:t>tasa</w:t>
      </w:r>
      <w:r>
        <w:rPr>
          <w:spacing w:val="-15"/>
          <w:w w:val="110"/>
        </w:rPr>
        <w:t> </w:t>
      </w:r>
      <w:r>
        <w:rPr>
          <w:w w:val="110"/>
        </w:rPr>
        <w:t>de</w:t>
      </w:r>
      <w:r>
        <w:rPr>
          <w:spacing w:val="-15"/>
          <w:w w:val="110"/>
        </w:rPr>
        <w:t> </w:t>
      </w:r>
      <w:r>
        <w:rPr>
          <w:w w:val="110"/>
        </w:rPr>
        <w:t>cesáreas</w:t>
      </w:r>
      <w:r>
        <w:rPr>
          <w:spacing w:val="-15"/>
          <w:w w:val="110"/>
        </w:rPr>
        <w:t> </w:t>
      </w:r>
      <w:r>
        <w:rPr>
          <w:w w:val="110"/>
        </w:rPr>
        <w:t>continúa</w:t>
      </w:r>
      <w:r>
        <w:rPr>
          <w:spacing w:val="-15"/>
          <w:w w:val="110"/>
        </w:rPr>
        <w:t> </w:t>
      </w:r>
      <w:r>
        <w:rPr>
          <w:w w:val="110"/>
        </w:rPr>
        <w:t>en</w:t>
      </w:r>
      <w:r>
        <w:rPr>
          <w:spacing w:val="-15"/>
          <w:w w:val="110"/>
        </w:rPr>
        <w:t> </w:t>
      </w:r>
      <w:r>
        <w:rPr>
          <w:w w:val="110"/>
        </w:rPr>
        <w:t>ascenso,</w:t>
      </w:r>
      <w:r>
        <w:rPr>
          <w:spacing w:val="-15"/>
          <w:w w:val="110"/>
        </w:rPr>
        <w:t> </w:t>
      </w:r>
      <w:r>
        <w:rPr>
          <w:w w:val="110"/>
        </w:rPr>
        <w:t>la</w:t>
      </w:r>
      <w:r>
        <w:rPr>
          <w:spacing w:val="-16"/>
          <w:w w:val="110"/>
        </w:rPr>
        <w:t> </w:t>
      </w:r>
      <w:r>
        <w:rPr>
          <w:w w:val="110"/>
        </w:rPr>
        <w:t>identificación</w:t>
      </w:r>
      <w:r>
        <w:rPr>
          <w:spacing w:val="-15"/>
          <w:w w:val="110"/>
        </w:rPr>
        <w:t> </w:t>
      </w:r>
      <w:r>
        <w:rPr>
          <w:w w:val="110"/>
        </w:rPr>
        <w:t>de</w:t>
      </w:r>
      <w:r>
        <w:rPr>
          <w:spacing w:val="-15"/>
          <w:w w:val="110"/>
        </w:rPr>
        <w:t> </w:t>
      </w:r>
      <w:r>
        <w:rPr>
          <w:w w:val="110"/>
        </w:rPr>
        <w:t>los</w:t>
      </w:r>
      <w:r>
        <w:rPr>
          <w:spacing w:val="-15"/>
          <w:w w:val="110"/>
        </w:rPr>
        <w:t> </w:t>
      </w:r>
      <w:r>
        <w:rPr>
          <w:w w:val="110"/>
        </w:rPr>
        <w:t>trastornos</w:t>
      </w:r>
      <w:r>
        <w:rPr>
          <w:spacing w:val="-15"/>
          <w:w w:val="110"/>
        </w:rPr>
        <w:t> </w:t>
      </w:r>
      <w:r>
        <w:rPr>
          <w:w w:val="110"/>
        </w:rPr>
        <w:t>de</w:t>
      </w:r>
      <w:r>
        <w:rPr>
          <w:spacing w:val="-15"/>
          <w:w w:val="110"/>
        </w:rPr>
        <w:t> </w:t>
      </w:r>
      <w:r>
        <w:rPr>
          <w:w w:val="110"/>
        </w:rPr>
        <w:t>la</w:t>
      </w:r>
      <w:r>
        <w:rPr>
          <w:spacing w:val="-15"/>
          <w:w w:val="110"/>
        </w:rPr>
        <w:t> </w:t>
      </w:r>
      <w:r>
        <w:rPr>
          <w:w w:val="110"/>
        </w:rPr>
        <w:t>dilata- ción y la corrección de los patrones anormales de contracción uterina pueden eliminar muchas de estas cesáreas sin que se comprometan los resultados maternos ni fetales.</w:t>
      </w:r>
    </w:p>
    <w:p>
      <w:pPr>
        <w:pStyle w:val="BodyText"/>
        <w:spacing w:before="82"/>
      </w:pPr>
    </w:p>
    <w:p>
      <w:pPr>
        <w:spacing w:before="0"/>
        <w:ind w:left="283" w:right="0" w:firstLine="0"/>
        <w:jc w:val="both"/>
        <w:rPr>
          <w:rFonts w:ascii="Arial MT" w:hAnsi="Arial MT"/>
          <w:sz w:val="24"/>
        </w:rPr>
      </w:pPr>
      <w:r>
        <w:rPr>
          <w:rFonts w:ascii="Arial MT" w:hAnsi="Arial MT"/>
          <w:sz w:val="24"/>
        </w:rPr>
        <w:t>Evidencia</w:t>
      </w:r>
      <w:r>
        <w:rPr>
          <w:rFonts w:ascii="Arial MT" w:hAnsi="Arial MT"/>
          <w:spacing w:val="24"/>
          <w:sz w:val="24"/>
        </w:rPr>
        <w:t> </w:t>
      </w:r>
      <w:r>
        <w:rPr>
          <w:rFonts w:ascii="Arial MT" w:hAnsi="Arial MT"/>
          <w:spacing w:val="-2"/>
          <w:sz w:val="24"/>
        </w:rPr>
        <w:t>científica</w:t>
      </w:r>
    </w:p>
    <w:p>
      <w:pPr>
        <w:pStyle w:val="BodyText"/>
        <w:spacing w:line="244" w:lineRule="auto" w:before="209"/>
        <w:ind w:left="282" w:right="1372" w:firstLine="1"/>
        <w:jc w:val="both"/>
      </w:pPr>
      <w:r>
        <w:rPr>
          <w:w w:val="110"/>
        </w:rPr>
        <w:t>La</w:t>
      </w:r>
      <w:r>
        <w:rPr>
          <w:spacing w:val="-4"/>
          <w:w w:val="110"/>
        </w:rPr>
        <w:t> </w:t>
      </w:r>
      <w:r>
        <w:rPr>
          <w:w w:val="110"/>
        </w:rPr>
        <w:t>guía</w:t>
      </w:r>
      <w:r>
        <w:rPr>
          <w:spacing w:val="-4"/>
          <w:w w:val="110"/>
        </w:rPr>
        <w:t> </w:t>
      </w:r>
      <w:r>
        <w:rPr>
          <w:w w:val="110"/>
        </w:rPr>
        <w:t>NICE</w:t>
      </w:r>
      <w:r>
        <w:rPr>
          <w:spacing w:val="-4"/>
          <w:w w:val="110"/>
        </w:rPr>
        <w:t> </w:t>
      </w:r>
      <w:r>
        <w:rPr>
          <w:w w:val="110"/>
        </w:rPr>
        <w:t>(10)</w:t>
      </w:r>
      <w:r>
        <w:rPr>
          <w:spacing w:val="-4"/>
          <w:w w:val="110"/>
        </w:rPr>
        <w:t> </w:t>
      </w:r>
      <w:r>
        <w:rPr>
          <w:w w:val="110"/>
        </w:rPr>
        <w:t>evalúa</w:t>
      </w:r>
      <w:r>
        <w:rPr>
          <w:spacing w:val="-4"/>
          <w:w w:val="110"/>
        </w:rPr>
        <w:t> </w:t>
      </w:r>
      <w:r>
        <w:rPr>
          <w:w w:val="110"/>
        </w:rPr>
        <w:t>las</w:t>
      </w:r>
      <w:r>
        <w:rPr>
          <w:spacing w:val="-4"/>
          <w:w w:val="110"/>
        </w:rPr>
        <w:t> </w:t>
      </w:r>
      <w:r>
        <w:rPr>
          <w:w w:val="110"/>
        </w:rPr>
        <w:t>intervenciones</w:t>
      </w:r>
      <w:r>
        <w:rPr>
          <w:spacing w:val="-4"/>
          <w:w w:val="110"/>
        </w:rPr>
        <w:t> </w:t>
      </w:r>
      <w:r>
        <w:rPr>
          <w:w w:val="110"/>
        </w:rPr>
        <w:t>para</w:t>
      </w:r>
      <w:r>
        <w:rPr>
          <w:spacing w:val="-5"/>
          <w:w w:val="110"/>
        </w:rPr>
        <w:t> </w:t>
      </w:r>
      <w:r>
        <w:rPr>
          <w:w w:val="110"/>
        </w:rPr>
        <w:t>el</w:t>
      </w:r>
      <w:r>
        <w:rPr>
          <w:spacing w:val="-5"/>
          <w:w w:val="110"/>
        </w:rPr>
        <w:t> </w:t>
      </w:r>
      <w:r>
        <w:rPr>
          <w:w w:val="110"/>
        </w:rPr>
        <w:t>manejo</w:t>
      </w:r>
      <w:r>
        <w:rPr>
          <w:spacing w:val="-4"/>
          <w:w w:val="110"/>
        </w:rPr>
        <w:t> </w:t>
      </w:r>
      <w:r>
        <w:rPr>
          <w:w w:val="110"/>
        </w:rPr>
        <w:t>de</w:t>
      </w:r>
      <w:r>
        <w:rPr>
          <w:spacing w:val="-4"/>
          <w:w w:val="110"/>
        </w:rPr>
        <w:t> </w:t>
      </w:r>
      <w:r>
        <w:rPr>
          <w:w w:val="110"/>
        </w:rPr>
        <w:t>retrasos</w:t>
      </w:r>
      <w:r>
        <w:rPr>
          <w:spacing w:val="-4"/>
          <w:w w:val="110"/>
        </w:rPr>
        <w:t> </w:t>
      </w:r>
      <w:r>
        <w:rPr>
          <w:w w:val="110"/>
        </w:rPr>
        <w:t>de- tectados</w:t>
      </w:r>
      <w:r>
        <w:rPr>
          <w:w w:val="110"/>
        </w:rPr>
        <w:t> en</w:t>
      </w:r>
      <w:r>
        <w:rPr>
          <w:w w:val="110"/>
        </w:rPr>
        <w:t> la</w:t>
      </w:r>
      <w:r>
        <w:rPr>
          <w:w w:val="110"/>
        </w:rPr>
        <w:t> primera</w:t>
      </w:r>
      <w:r>
        <w:rPr>
          <w:w w:val="110"/>
        </w:rPr>
        <w:t> etapa</w:t>
      </w:r>
      <w:r>
        <w:rPr>
          <w:w w:val="110"/>
        </w:rPr>
        <w:t> del</w:t>
      </w:r>
      <w:r>
        <w:rPr>
          <w:w w:val="110"/>
        </w:rPr>
        <w:t> parto,</w:t>
      </w:r>
      <w:r>
        <w:rPr>
          <w:w w:val="110"/>
        </w:rPr>
        <w:t> empleando</w:t>
      </w:r>
      <w:r>
        <w:rPr>
          <w:w w:val="110"/>
        </w:rPr>
        <w:t> cuatro</w:t>
      </w:r>
      <w:r>
        <w:rPr>
          <w:w w:val="110"/>
        </w:rPr>
        <w:t> apartados</w:t>
      </w:r>
      <w:r>
        <w:rPr>
          <w:w w:val="110"/>
        </w:rPr>
        <w:t> para </w:t>
      </w:r>
      <w:r>
        <w:rPr>
          <w:spacing w:val="-2"/>
          <w:w w:val="110"/>
        </w:rPr>
        <w:t>contestarla:</w:t>
      </w:r>
    </w:p>
    <w:p>
      <w:pPr>
        <w:pStyle w:val="BodyText"/>
        <w:spacing w:before="144"/>
      </w:pPr>
    </w:p>
    <w:p>
      <w:pPr>
        <w:spacing w:before="0"/>
        <w:ind w:left="283" w:right="0" w:firstLine="0"/>
        <w:jc w:val="both"/>
        <w:rPr>
          <w:rFonts w:ascii="Arial"/>
          <w:i/>
          <w:sz w:val="24"/>
        </w:rPr>
      </w:pPr>
      <w:r>
        <w:rPr>
          <w:rFonts w:ascii="Arial"/>
          <w:i/>
          <w:sz w:val="24"/>
        </w:rPr>
        <w:t>Amniorrexis</w:t>
      </w:r>
      <w:r>
        <w:rPr>
          <w:rFonts w:ascii="Arial"/>
          <w:i/>
          <w:spacing w:val="-11"/>
          <w:sz w:val="24"/>
        </w:rPr>
        <w:t> </w:t>
      </w:r>
      <w:r>
        <w:rPr>
          <w:rFonts w:ascii="Arial"/>
          <w:i/>
          <w:sz w:val="24"/>
        </w:rPr>
        <w:t>frente</w:t>
      </w:r>
      <w:r>
        <w:rPr>
          <w:rFonts w:ascii="Arial"/>
          <w:i/>
          <w:spacing w:val="-10"/>
          <w:sz w:val="24"/>
        </w:rPr>
        <w:t> </w:t>
      </w:r>
      <w:r>
        <w:rPr>
          <w:rFonts w:ascii="Arial"/>
          <w:i/>
          <w:sz w:val="24"/>
        </w:rPr>
        <w:t>a</w:t>
      </w:r>
      <w:r>
        <w:rPr>
          <w:rFonts w:ascii="Arial"/>
          <w:i/>
          <w:spacing w:val="-10"/>
          <w:sz w:val="24"/>
        </w:rPr>
        <w:t> </w:t>
      </w:r>
      <w:r>
        <w:rPr>
          <w:rFonts w:ascii="Arial"/>
          <w:i/>
          <w:sz w:val="24"/>
        </w:rPr>
        <w:t>manejo</w:t>
      </w:r>
      <w:r>
        <w:rPr>
          <w:rFonts w:ascii="Arial"/>
          <w:i/>
          <w:spacing w:val="-8"/>
          <w:sz w:val="24"/>
        </w:rPr>
        <w:t> </w:t>
      </w:r>
      <w:r>
        <w:rPr>
          <w:rFonts w:ascii="Arial"/>
          <w:i/>
          <w:spacing w:val="-2"/>
          <w:sz w:val="24"/>
        </w:rPr>
        <w:t>expectante</w:t>
      </w:r>
    </w:p>
    <w:p>
      <w:pPr>
        <w:pStyle w:val="BodyText"/>
        <w:spacing w:line="244" w:lineRule="auto" w:before="219"/>
        <w:ind w:left="283" w:right="1365"/>
        <w:jc w:val="both"/>
      </w:pPr>
      <w:r>
        <w:rPr>
          <w:w w:val="105"/>
        </w:rPr>
        <w:t>En este apartado se utilizó una RS (75) publicada en 1999, y actualizada en el 2005 en la que se incluyeron 9 estudios. La revisión, de buena calidad con un NE=1++,</w:t>
      </w:r>
      <w:r>
        <w:rPr>
          <w:w w:val="105"/>
        </w:rPr>
        <w:t> realizó</w:t>
      </w:r>
      <w:r>
        <w:rPr>
          <w:w w:val="105"/>
        </w:rPr>
        <w:t> un</w:t>
      </w:r>
      <w:r>
        <w:rPr>
          <w:w w:val="105"/>
        </w:rPr>
        <w:t> metaanálisis</w:t>
      </w:r>
      <w:r>
        <w:rPr>
          <w:w w:val="105"/>
        </w:rPr>
        <w:t> con</w:t>
      </w:r>
      <w:r>
        <w:rPr>
          <w:w w:val="105"/>
        </w:rPr>
        <w:t> los</w:t>
      </w:r>
      <w:r>
        <w:rPr>
          <w:w w:val="105"/>
        </w:rPr>
        <w:t> resultados</w:t>
      </w:r>
      <w:r>
        <w:rPr>
          <w:w w:val="105"/>
        </w:rPr>
        <w:t> estratificados</w:t>
      </w:r>
      <w:r>
        <w:rPr>
          <w:w w:val="105"/>
        </w:rPr>
        <w:t> por</w:t>
      </w:r>
      <w:r>
        <w:rPr>
          <w:w w:val="105"/>
        </w:rPr>
        <w:t> el</w:t>
      </w:r>
      <w:r>
        <w:rPr>
          <w:w w:val="105"/>
        </w:rPr>
        <w:t> nú- mero</w:t>
      </w:r>
      <w:r>
        <w:rPr>
          <w:w w:val="105"/>
        </w:rPr>
        <w:t> de</w:t>
      </w:r>
      <w:r>
        <w:rPr>
          <w:w w:val="105"/>
        </w:rPr>
        <w:t> partos</w:t>
      </w:r>
      <w:r>
        <w:rPr>
          <w:w w:val="105"/>
        </w:rPr>
        <w:t> previos</w:t>
      </w:r>
      <w:r>
        <w:rPr>
          <w:w w:val="105"/>
        </w:rPr>
        <w:t> de</w:t>
      </w:r>
      <w:r>
        <w:rPr>
          <w:w w:val="105"/>
        </w:rPr>
        <w:t> las</w:t>
      </w:r>
      <w:r>
        <w:rPr>
          <w:w w:val="105"/>
        </w:rPr>
        <w:t> mujeres</w:t>
      </w:r>
      <w:r>
        <w:rPr>
          <w:w w:val="105"/>
        </w:rPr>
        <w:t> (por</w:t>
      </w:r>
      <w:r>
        <w:rPr>
          <w:w w:val="105"/>
        </w:rPr>
        <w:t> paridad).</w:t>
      </w:r>
      <w:r>
        <w:rPr>
          <w:w w:val="105"/>
        </w:rPr>
        <w:t> La</w:t>
      </w:r>
      <w:r>
        <w:rPr>
          <w:w w:val="105"/>
        </w:rPr>
        <w:t> intervención</w:t>
      </w:r>
      <w:r>
        <w:rPr>
          <w:w w:val="105"/>
        </w:rPr>
        <w:t> fue</w:t>
      </w:r>
      <w:r>
        <w:rPr>
          <w:w w:val="105"/>
        </w:rPr>
        <w:t> la amniorrexis en aquellas mujeres que requerían estimulación</w:t>
      </w:r>
      <w:r>
        <w:rPr>
          <w:w w:val="105"/>
        </w:rPr>
        <w:t> del parto, frente</w:t>
      </w:r>
      <w:r>
        <w:rPr>
          <w:spacing w:val="40"/>
          <w:w w:val="105"/>
        </w:rPr>
        <w:t> </w:t>
      </w:r>
      <w:r>
        <w:rPr>
          <w:w w:val="105"/>
        </w:rPr>
        <w:t>al manejo expectante.</w:t>
      </w:r>
    </w:p>
    <w:p>
      <w:pPr>
        <w:pStyle w:val="BodyText"/>
        <w:spacing w:before="112"/>
        <w:ind w:left="736"/>
        <w:jc w:val="both"/>
        <w:rPr>
          <w:rFonts w:ascii="Arial MT" w:hAnsi="Arial MT"/>
          <w:sz w:val="18"/>
        </w:rPr>
      </w:pPr>
      <w:r>
        <w:rPr/>
        <w:t>El</w:t>
      </w:r>
      <w:r>
        <w:rPr>
          <w:spacing w:val="23"/>
        </w:rPr>
        <w:t> </w:t>
      </w:r>
      <w:r>
        <w:rPr/>
        <w:t>metaanálisis</w:t>
      </w:r>
      <w:r>
        <w:rPr>
          <w:spacing w:val="25"/>
        </w:rPr>
        <w:t> </w:t>
      </w:r>
      <w:r>
        <w:rPr/>
        <w:t>mostró</w:t>
      </w:r>
      <w:r>
        <w:rPr>
          <w:spacing w:val="25"/>
        </w:rPr>
        <w:t> </w:t>
      </w:r>
      <w:r>
        <w:rPr/>
        <w:t>una</w:t>
      </w:r>
      <w:r>
        <w:rPr>
          <w:spacing w:val="26"/>
        </w:rPr>
        <w:t> </w:t>
      </w:r>
      <w:r>
        <w:rPr/>
        <w:t>fuerte</w:t>
      </w:r>
      <w:r>
        <w:rPr>
          <w:spacing w:val="25"/>
        </w:rPr>
        <w:t> </w:t>
      </w:r>
      <w:r>
        <w:rPr/>
        <w:t>evidencia</w:t>
      </w:r>
      <w:r>
        <w:rPr>
          <w:spacing w:val="26"/>
        </w:rPr>
        <w:t> </w:t>
      </w:r>
      <w:r>
        <w:rPr/>
        <w:t>de</w:t>
      </w:r>
      <w:r>
        <w:rPr>
          <w:spacing w:val="25"/>
        </w:rPr>
        <w:t> </w:t>
      </w:r>
      <w:r>
        <w:rPr/>
        <w:t>que</w:t>
      </w:r>
      <w:r>
        <w:rPr>
          <w:spacing w:val="25"/>
        </w:rPr>
        <w:t> </w:t>
      </w:r>
      <w:r>
        <w:rPr/>
        <w:t>la</w:t>
      </w:r>
      <w:r>
        <w:rPr>
          <w:spacing w:val="24"/>
        </w:rPr>
        <w:t> </w:t>
      </w:r>
      <w:r>
        <w:rPr/>
        <w:t>amniorrexis</w:t>
      </w:r>
      <w:r>
        <w:rPr>
          <w:spacing w:val="26"/>
        </w:rPr>
        <w:t> </w:t>
      </w:r>
      <w:r>
        <w:rPr/>
        <w:t>reali-</w:t>
      </w:r>
      <w:r>
        <w:rPr>
          <w:spacing w:val="75"/>
          <w:w w:val="150"/>
        </w:rPr>
        <w:t>  </w:t>
      </w:r>
      <w:r>
        <w:rPr>
          <w:rFonts w:ascii="Arial MT" w:hAnsi="Arial MT"/>
          <w:sz w:val="18"/>
        </w:rPr>
        <w:t>RS-MA</w:t>
      </w:r>
      <w:r>
        <w:rPr>
          <w:rFonts w:ascii="Arial MT" w:hAnsi="Arial MT"/>
          <w:spacing w:val="27"/>
          <w:sz w:val="18"/>
        </w:rPr>
        <w:t> </w:t>
      </w:r>
      <w:r>
        <w:rPr>
          <w:rFonts w:ascii="Arial MT" w:hAnsi="Arial MT"/>
          <w:spacing w:val="-5"/>
          <w:sz w:val="18"/>
        </w:rPr>
        <w:t>de</w:t>
      </w:r>
    </w:p>
    <w:p>
      <w:pPr>
        <w:pStyle w:val="BodyText"/>
        <w:spacing w:before="3"/>
        <w:ind w:left="284"/>
        <w:jc w:val="both"/>
        <w:rPr>
          <w:rFonts w:ascii="Arial MT" w:hAnsi="Arial MT"/>
          <w:position w:val="4"/>
          <w:sz w:val="18"/>
        </w:rPr>
      </w:pPr>
      <w:r>
        <w:rPr>
          <w:w w:val="105"/>
        </w:rPr>
        <w:t>zada</w:t>
      </w:r>
      <w:r>
        <w:rPr>
          <w:spacing w:val="3"/>
          <w:w w:val="105"/>
        </w:rPr>
        <w:t> </w:t>
      </w:r>
      <w:r>
        <w:rPr>
          <w:w w:val="105"/>
        </w:rPr>
        <w:t>a</w:t>
      </w:r>
      <w:r>
        <w:rPr>
          <w:spacing w:val="5"/>
          <w:w w:val="105"/>
        </w:rPr>
        <w:t> </w:t>
      </w:r>
      <w:r>
        <w:rPr>
          <w:w w:val="105"/>
        </w:rPr>
        <w:t>nulíparas</w:t>
      </w:r>
      <w:r>
        <w:rPr>
          <w:spacing w:val="4"/>
          <w:w w:val="105"/>
        </w:rPr>
        <w:t> </w:t>
      </w:r>
      <w:r>
        <w:rPr>
          <w:w w:val="105"/>
        </w:rPr>
        <w:t>reduce</w:t>
      </w:r>
      <w:r>
        <w:rPr>
          <w:spacing w:val="5"/>
          <w:w w:val="105"/>
        </w:rPr>
        <w:t> </w:t>
      </w:r>
      <w:r>
        <w:rPr>
          <w:w w:val="105"/>
        </w:rPr>
        <w:t>significativamente</w:t>
      </w:r>
      <w:r>
        <w:rPr>
          <w:spacing w:val="4"/>
          <w:w w:val="105"/>
        </w:rPr>
        <w:t> </w:t>
      </w:r>
      <w:r>
        <w:rPr>
          <w:w w:val="105"/>
        </w:rPr>
        <w:t>la</w:t>
      </w:r>
      <w:r>
        <w:rPr>
          <w:spacing w:val="3"/>
          <w:w w:val="105"/>
        </w:rPr>
        <w:t> </w:t>
      </w:r>
      <w:r>
        <w:rPr>
          <w:w w:val="105"/>
        </w:rPr>
        <w:t>duración</w:t>
      </w:r>
      <w:r>
        <w:rPr>
          <w:spacing w:val="4"/>
          <w:w w:val="105"/>
        </w:rPr>
        <w:t> </w:t>
      </w:r>
      <w:r>
        <w:rPr>
          <w:w w:val="105"/>
        </w:rPr>
        <w:t>del</w:t>
      </w:r>
      <w:r>
        <w:rPr>
          <w:spacing w:val="3"/>
          <w:w w:val="105"/>
        </w:rPr>
        <w:t> </w:t>
      </w:r>
      <w:r>
        <w:rPr>
          <w:w w:val="105"/>
        </w:rPr>
        <w:t>parto</w:t>
      </w:r>
      <w:r>
        <w:rPr>
          <w:spacing w:val="3"/>
          <w:w w:val="105"/>
        </w:rPr>
        <w:t> </w:t>
      </w:r>
      <w:r>
        <w:rPr>
          <w:w w:val="105"/>
        </w:rPr>
        <w:t>(2</w:t>
      </w:r>
      <w:r>
        <w:rPr>
          <w:spacing w:val="6"/>
          <w:w w:val="105"/>
        </w:rPr>
        <w:t> </w:t>
      </w:r>
      <w:r>
        <w:rPr>
          <w:w w:val="105"/>
        </w:rPr>
        <w:t>estudios,</w:t>
      </w:r>
      <w:r>
        <w:rPr>
          <w:spacing w:val="78"/>
          <w:w w:val="150"/>
        </w:rPr>
        <w:t>   </w:t>
      </w:r>
      <w:r>
        <w:rPr>
          <w:rFonts w:ascii="Arial MT" w:hAnsi="Arial MT"/>
          <w:spacing w:val="-4"/>
          <w:w w:val="105"/>
          <w:position w:val="4"/>
          <w:sz w:val="18"/>
        </w:rPr>
        <w:t>ECAs</w:t>
      </w:r>
    </w:p>
    <w:p>
      <w:pPr>
        <w:pStyle w:val="BodyText"/>
        <w:spacing w:after="0"/>
        <w:jc w:val="both"/>
        <w:rPr>
          <w:rFonts w:ascii="Arial MT" w:hAnsi="Arial MT"/>
          <w:position w:val="4"/>
          <w:sz w:val="18"/>
        </w:rPr>
        <w:sectPr>
          <w:footerReference w:type="even" r:id="rId38"/>
          <w:footerReference w:type="default" r:id="rId39"/>
          <w:pgSz w:w="11900" w:h="16840"/>
          <w:pgMar w:header="0" w:footer="915" w:top="1540" w:bottom="1100" w:left="1417" w:right="1559"/>
          <w:pgNumType w:start="92"/>
        </w:sectPr>
      </w:pPr>
    </w:p>
    <w:p>
      <w:pPr>
        <w:pStyle w:val="BodyText"/>
        <w:spacing w:line="266" w:lineRule="auto" w:before="50"/>
        <w:ind w:left="281" w:right="38"/>
        <w:jc w:val="both"/>
      </w:pPr>
      <w:r>
        <w:rPr/>
        <w:t>n=117): DM=-53,67 minutos [IC 95% -66,50 a -40,83 minutos], el tiempo de dilatación</w:t>
      </w:r>
      <w:r>
        <w:rPr>
          <w:spacing w:val="40"/>
        </w:rPr>
        <w:t> </w:t>
      </w:r>
      <w:r>
        <w:rPr/>
        <w:t>completa</w:t>
      </w:r>
      <w:r>
        <w:rPr>
          <w:spacing w:val="40"/>
        </w:rPr>
        <w:t> </w:t>
      </w:r>
      <w:r>
        <w:rPr/>
        <w:t>(3</w:t>
      </w:r>
      <w:r>
        <w:rPr>
          <w:spacing w:val="40"/>
        </w:rPr>
        <w:t> </w:t>
      </w:r>
      <w:r>
        <w:rPr/>
        <w:t>estudios,</w:t>
      </w:r>
      <w:r>
        <w:rPr>
          <w:spacing w:val="40"/>
        </w:rPr>
        <w:t> </w:t>
      </w:r>
      <w:r>
        <w:rPr/>
        <w:t>n=298):</w:t>
      </w:r>
      <w:r>
        <w:rPr>
          <w:spacing w:val="40"/>
        </w:rPr>
        <w:t> </w:t>
      </w:r>
      <w:r>
        <w:rPr/>
        <w:t>DM</w:t>
      </w:r>
      <w:r>
        <w:rPr>
          <w:spacing w:val="40"/>
        </w:rPr>
        <w:t> </w:t>
      </w:r>
      <w:r>
        <w:rPr/>
        <w:t>-39,45</w:t>
      </w:r>
      <w:r>
        <w:rPr>
          <w:spacing w:val="40"/>
        </w:rPr>
        <w:t> </w:t>
      </w:r>
      <w:r>
        <w:rPr/>
        <w:t>minutos</w:t>
      </w:r>
      <w:r>
        <w:rPr>
          <w:spacing w:val="40"/>
        </w:rPr>
        <w:t> </w:t>
      </w:r>
      <w:r>
        <w:rPr/>
        <w:t>[IC</w:t>
      </w:r>
      <w:r>
        <w:rPr>
          <w:spacing w:val="40"/>
        </w:rPr>
        <w:t> </w:t>
      </w:r>
      <w:r>
        <w:rPr/>
        <w:t>95%</w:t>
      </w:r>
      <w:r>
        <w:rPr>
          <w:spacing w:val="40"/>
        </w:rPr>
        <w:t> </w:t>
      </w:r>
      <w:r>
        <w:rPr/>
        <w:t>-50,10 a</w:t>
      </w:r>
      <w:r>
        <w:rPr>
          <w:spacing w:val="18"/>
        </w:rPr>
        <w:t> </w:t>
      </w:r>
      <w:r>
        <w:rPr/>
        <w:t>-28,80</w:t>
      </w:r>
      <w:r>
        <w:rPr>
          <w:spacing w:val="18"/>
        </w:rPr>
        <w:t> </w:t>
      </w:r>
      <w:r>
        <w:rPr/>
        <w:t>minutos],</w:t>
      </w:r>
      <w:r>
        <w:rPr>
          <w:spacing w:val="18"/>
        </w:rPr>
        <w:t> </w:t>
      </w:r>
      <w:r>
        <w:rPr/>
        <w:t>tasa</w:t>
      </w:r>
      <w:r>
        <w:rPr>
          <w:spacing w:val="18"/>
        </w:rPr>
        <w:t> </w:t>
      </w:r>
      <w:r>
        <w:rPr/>
        <w:t>de</w:t>
      </w:r>
      <w:r>
        <w:rPr>
          <w:spacing w:val="18"/>
        </w:rPr>
        <w:t> </w:t>
      </w:r>
      <w:r>
        <w:rPr/>
        <w:t>distocias</w:t>
      </w:r>
      <w:r>
        <w:rPr>
          <w:spacing w:val="18"/>
        </w:rPr>
        <w:t> </w:t>
      </w:r>
      <w:r>
        <w:rPr/>
        <w:t>(un</w:t>
      </w:r>
      <w:r>
        <w:rPr>
          <w:spacing w:val="18"/>
        </w:rPr>
        <w:t> </w:t>
      </w:r>
      <w:r>
        <w:rPr/>
        <w:t>estudio,</w:t>
      </w:r>
      <w:r>
        <w:rPr>
          <w:spacing w:val="18"/>
        </w:rPr>
        <w:t> </w:t>
      </w:r>
      <w:r>
        <w:rPr/>
        <w:t>n=925):</w:t>
      </w:r>
      <w:r>
        <w:rPr>
          <w:spacing w:val="18"/>
        </w:rPr>
        <w:t> </w:t>
      </w:r>
      <w:r>
        <w:rPr/>
        <w:t>OR</w:t>
      </w:r>
      <w:r>
        <w:rPr>
          <w:spacing w:val="18"/>
        </w:rPr>
        <w:t> </w:t>
      </w:r>
      <w:r>
        <w:rPr/>
        <w:t>0,63</w:t>
      </w:r>
      <w:r>
        <w:rPr>
          <w:spacing w:val="18"/>
        </w:rPr>
        <w:t> </w:t>
      </w:r>
      <w:r>
        <w:rPr/>
        <w:t>[IC</w:t>
      </w:r>
      <w:r>
        <w:rPr>
          <w:spacing w:val="18"/>
        </w:rPr>
        <w:t> </w:t>
      </w:r>
      <w:r>
        <w:rPr/>
        <w:t>95%</w:t>
      </w:r>
      <w:r>
        <w:rPr>
          <w:spacing w:val="18"/>
        </w:rPr>
        <w:t> </w:t>
      </w:r>
      <w:r>
        <w:rPr/>
        <w:t>0,48 a 0,82], y la proporción de mujeres con dolor insoportable (3 estudios, n=1.283): OR</w:t>
      </w:r>
      <w:r>
        <w:rPr>
          <w:spacing w:val="40"/>
        </w:rPr>
        <w:t> </w:t>
      </w:r>
      <w:r>
        <w:rPr/>
        <w:t>0,76</w:t>
      </w:r>
      <w:r>
        <w:rPr>
          <w:spacing w:val="40"/>
        </w:rPr>
        <w:t> </w:t>
      </w:r>
      <w:r>
        <w:rPr/>
        <w:t>[IC</w:t>
      </w:r>
      <w:r>
        <w:rPr>
          <w:spacing w:val="40"/>
        </w:rPr>
        <w:t> </w:t>
      </w:r>
      <w:r>
        <w:rPr/>
        <w:t>95%</w:t>
      </w:r>
      <w:r>
        <w:rPr>
          <w:spacing w:val="40"/>
        </w:rPr>
        <w:t> </w:t>
      </w:r>
      <w:r>
        <w:rPr/>
        <w:t>0,60</w:t>
      </w:r>
      <w:r>
        <w:rPr>
          <w:spacing w:val="40"/>
        </w:rPr>
        <w:t> </w:t>
      </w:r>
      <w:r>
        <w:rPr/>
        <w:t>a</w:t>
      </w:r>
      <w:r>
        <w:rPr>
          <w:spacing w:val="40"/>
        </w:rPr>
        <w:t> </w:t>
      </w:r>
      <w:r>
        <w:rPr/>
        <w:t>0,97].</w:t>
      </w:r>
    </w:p>
    <w:p>
      <w:pPr>
        <w:spacing w:before="5"/>
        <w:ind w:left="281" w:right="0" w:firstLine="0"/>
        <w:jc w:val="left"/>
        <w:rPr>
          <w:rFonts w:ascii="Arial MT"/>
          <w:sz w:val="18"/>
        </w:rPr>
      </w:pPr>
      <w:r>
        <w:rPr/>
        <w:br w:type="column"/>
      </w:r>
      <w:r>
        <w:rPr>
          <w:rFonts w:ascii="Arial MT"/>
          <w:spacing w:val="-5"/>
          <w:sz w:val="18"/>
        </w:rPr>
        <w:t>1++</w:t>
      </w:r>
    </w:p>
    <w:p>
      <w:pPr>
        <w:spacing w:after="0"/>
        <w:jc w:val="left"/>
        <w:rPr>
          <w:rFonts w:ascii="Arial MT"/>
          <w:sz w:val="18"/>
        </w:rPr>
        <w:sectPr>
          <w:type w:val="continuous"/>
          <w:pgSz w:w="11900" w:h="16840"/>
          <w:pgMar w:header="0" w:footer="915" w:top="560" w:bottom="280" w:left="1417" w:right="1559"/>
          <w:cols w:num="2" w:equalWidth="0">
            <w:col w:w="7591" w:space="190"/>
            <w:col w:w="1143"/>
          </w:cols>
        </w:sectPr>
      </w:pPr>
    </w:p>
    <w:p>
      <w:pPr>
        <w:pStyle w:val="BodyText"/>
        <w:tabs>
          <w:tab w:pos="7989" w:val="left" w:leader="none"/>
          <w:tab w:pos="8060" w:val="left" w:leader="none"/>
        </w:tabs>
        <w:spacing w:line="242" w:lineRule="auto" w:before="73"/>
        <w:ind w:left="283" w:right="340" w:firstLine="453"/>
        <w:rPr>
          <w:rFonts w:ascii="Arial MT" w:hAnsi="Arial MT"/>
          <w:position w:val="8"/>
          <w:sz w:val="18"/>
        </w:rPr>
      </w:pPr>
      <w:r>
        <w:rPr>
          <w:color w:val="231F1F"/>
          <w:w w:val="110"/>
        </w:rPr>
        <w:t>No</w:t>
      </w:r>
      <w:r>
        <w:rPr>
          <w:color w:val="231F1F"/>
          <w:spacing w:val="-15"/>
          <w:w w:val="110"/>
        </w:rPr>
        <w:t> </w:t>
      </w:r>
      <w:r>
        <w:rPr>
          <w:color w:val="231F1F"/>
          <w:w w:val="110"/>
        </w:rPr>
        <w:t>hubo</w:t>
      </w:r>
      <w:r>
        <w:rPr>
          <w:color w:val="231F1F"/>
          <w:spacing w:val="-12"/>
          <w:w w:val="110"/>
        </w:rPr>
        <w:t> </w:t>
      </w:r>
      <w:r>
        <w:rPr>
          <w:color w:val="231F1F"/>
          <w:w w:val="110"/>
        </w:rPr>
        <w:t>evidencia</w:t>
      </w:r>
      <w:r>
        <w:rPr>
          <w:color w:val="231F1F"/>
          <w:spacing w:val="-12"/>
          <w:w w:val="110"/>
        </w:rPr>
        <w:t> </w:t>
      </w:r>
      <w:r>
        <w:rPr>
          <w:color w:val="231F1F"/>
          <w:w w:val="110"/>
        </w:rPr>
        <w:t>de</w:t>
      </w:r>
      <w:r>
        <w:rPr>
          <w:color w:val="231F1F"/>
          <w:spacing w:val="-12"/>
          <w:w w:val="110"/>
        </w:rPr>
        <w:t> </w:t>
      </w:r>
      <w:r>
        <w:rPr>
          <w:color w:val="231F1F"/>
          <w:w w:val="110"/>
        </w:rPr>
        <w:t>diferencias</w:t>
      </w:r>
      <w:r>
        <w:rPr>
          <w:color w:val="231F1F"/>
          <w:spacing w:val="-12"/>
          <w:w w:val="110"/>
        </w:rPr>
        <w:t> </w:t>
      </w:r>
      <w:r>
        <w:rPr>
          <w:color w:val="231F1F"/>
          <w:w w:val="110"/>
        </w:rPr>
        <w:t>en</w:t>
      </w:r>
      <w:r>
        <w:rPr>
          <w:color w:val="231F1F"/>
          <w:spacing w:val="-12"/>
          <w:w w:val="110"/>
        </w:rPr>
        <w:t> </w:t>
      </w:r>
      <w:r>
        <w:rPr>
          <w:color w:val="231F1F"/>
          <w:w w:val="110"/>
        </w:rPr>
        <w:t>otros</w:t>
      </w:r>
      <w:r>
        <w:rPr>
          <w:color w:val="231F1F"/>
          <w:spacing w:val="-12"/>
          <w:w w:val="110"/>
        </w:rPr>
        <w:t> </w:t>
      </w:r>
      <w:r>
        <w:rPr>
          <w:color w:val="231F1F"/>
          <w:w w:val="110"/>
        </w:rPr>
        <w:t>resultados</w:t>
      </w:r>
      <w:r>
        <w:rPr>
          <w:color w:val="231F1F"/>
          <w:spacing w:val="-12"/>
          <w:w w:val="110"/>
        </w:rPr>
        <w:t> </w:t>
      </w:r>
      <w:r>
        <w:rPr>
          <w:color w:val="231F1F"/>
          <w:w w:val="110"/>
        </w:rPr>
        <w:t>maternos</w:t>
      </w:r>
      <w:r>
        <w:rPr>
          <w:color w:val="231F1F"/>
          <w:spacing w:val="-12"/>
          <w:w w:val="110"/>
        </w:rPr>
        <w:t> </w:t>
      </w:r>
      <w:r>
        <w:rPr>
          <w:color w:val="231F1F"/>
          <w:w w:val="110"/>
        </w:rPr>
        <w:t>como</w:t>
      </w:r>
      <w:r>
        <w:rPr>
          <w:color w:val="231F1F"/>
          <w:spacing w:val="-12"/>
          <w:w w:val="110"/>
        </w:rPr>
        <w:t> </w:t>
      </w:r>
      <w:r>
        <w:rPr>
          <w:color w:val="231F1F"/>
          <w:w w:val="110"/>
        </w:rPr>
        <w:t>el</w:t>
      </w:r>
      <w:r>
        <w:rPr>
          <w:color w:val="231F1F"/>
          <w:spacing w:val="71"/>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uso de oxitocina, uso de analgesia, tasa de cesáreas, incidencia de anormali-</w:t>
      </w:r>
      <w:r>
        <w:rPr>
          <w:color w:val="231F1F"/>
        </w:rPr>
        <w:tab/>
      </w:r>
      <w:r>
        <w:rPr>
          <w:rFonts w:ascii="Arial MT" w:hAnsi="Arial MT"/>
          <w:color w:val="231F1F"/>
          <w:spacing w:val="-4"/>
          <w:w w:val="110"/>
          <w:position w:val="4"/>
          <w:sz w:val="18"/>
        </w:rPr>
        <w:t>ECAs </w:t>
      </w:r>
      <w:r>
        <w:rPr>
          <w:color w:val="231F1F"/>
          <w:w w:val="110"/>
        </w:rPr>
        <w:t>dades de la FCF, morbilidad materna febril, transfusiones de sangre materna</w:t>
      </w:r>
      <w:r>
        <w:rPr>
          <w:color w:val="231F1F"/>
        </w:rPr>
        <w:tab/>
        <w:tab/>
      </w:r>
      <w:r>
        <w:rPr>
          <w:rFonts w:ascii="Arial MT" w:hAnsi="Arial MT"/>
          <w:color w:val="231F1F"/>
          <w:spacing w:val="-4"/>
          <w:w w:val="110"/>
          <w:position w:val="8"/>
          <w:sz w:val="18"/>
        </w:rPr>
        <w:t>1++</w:t>
      </w:r>
    </w:p>
    <w:p>
      <w:pPr>
        <w:pStyle w:val="BodyText"/>
        <w:spacing w:before="17"/>
        <w:ind w:left="283"/>
      </w:pPr>
      <w:r>
        <w:rPr>
          <w:color w:val="231F1F"/>
        </w:rPr>
        <w:t>o</w:t>
      </w:r>
      <w:r>
        <w:rPr>
          <w:color w:val="231F1F"/>
          <w:spacing w:val="18"/>
        </w:rPr>
        <w:t> </w:t>
      </w:r>
      <w:r>
        <w:rPr>
          <w:color w:val="231F1F"/>
        </w:rPr>
        <w:t>satisfacción</w:t>
      </w:r>
      <w:r>
        <w:rPr>
          <w:color w:val="231F1F"/>
          <w:spacing w:val="20"/>
        </w:rPr>
        <w:t> </w:t>
      </w:r>
      <w:r>
        <w:rPr>
          <w:color w:val="231F1F"/>
          <w:spacing w:val="-2"/>
        </w:rPr>
        <w:t>materna.</w:t>
      </w:r>
    </w:p>
    <w:p>
      <w:pPr>
        <w:pStyle w:val="BodyText"/>
        <w:tabs>
          <w:tab w:pos="7989" w:val="left" w:leader="none"/>
          <w:tab w:pos="8060" w:val="left" w:leader="none"/>
        </w:tabs>
        <w:spacing w:line="242" w:lineRule="auto" w:before="112"/>
        <w:ind w:left="283" w:right="331" w:firstLine="453"/>
      </w:pPr>
      <w:r>
        <w:rPr>
          <w:color w:val="231F1F"/>
          <w:w w:val="110"/>
        </w:rPr>
        <w:t>En</w:t>
      </w:r>
      <w:r>
        <w:rPr>
          <w:color w:val="231F1F"/>
          <w:spacing w:val="-16"/>
          <w:w w:val="110"/>
        </w:rPr>
        <w:t> </w:t>
      </w:r>
      <w:r>
        <w:rPr>
          <w:color w:val="231F1F"/>
          <w:w w:val="110"/>
        </w:rPr>
        <w:t>relación</w:t>
      </w:r>
      <w:r>
        <w:rPr>
          <w:color w:val="231F1F"/>
          <w:spacing w:val="-12"/>
          <w:w w:val="110"/>
        </w:rPr>
        <w:t> </w:t>
      </w:r>
      <w:r>
        <w:rPr>
          <w:color w:val="231F1F"/>
          <w:w w:val="110"/>
        </w:rPr>
        <w:t>a</w:t>
      </w:r>
      <w:r>
        <w:rPr>
          <w:color w:val="231F1F"/>
          <w:spacing w:val="-12"/>
          <w:w w:val="110"/>
        </w:rPr>
        <w:t> </w:t>
      </w:r>
      <w:r>
        <w:rPr>
          <w:color w:val="231F1F"/>
          <w:w w:val="110"/>
        </w:rPr>
        <w:t>los</w:t>
      </w:r>
      <w:r>
        <w:rPr>
          <w:color w:val="231F1F"/>
          <w:spacing w:val="-12"/>
          <w:w w:val="110"/>
        </w:rPr>
        <w:t> </w:t>
      </w:r>
      <w:r>
        <w:rPr>
          <w:color w:val="231F1F"/>
          <w:w w:val="110"/>
        </w:rPr>
        <w:t>resultados</w:t>
      </w:r>
      <w:r>
        <w:rPr>
          <w:color w:val="231F1F"/>
          <w:spacing w:val="-12"/>
          <w:w w:val="110"/>
        </w:rPr>
        <w:t> </w:t>
      </w:r>
      <w:r>
        <w:rPr>
          <w:color w:val="231F1F"/>
          <w:w w:val="110"/>
        </w:rPr>
        <w:t>neonatales</w:t>
      </w:r>
      <w:r>
        <w:rPr>
          <w:color w:val="231F1F"/>
          <w:spacing w:val="-13"/>
          <w:w w:val="110"/>
        </w:rPr>
        <w:t> </w:t>
      </w:r>
      <w:r>
        <w:rPr>
          <w:color w:val="231F1F"/>
          <w:w w:val="110"/>
        </w:rPr>
        <w:t>tampoco</w:t>
      </w:r>
      <w:r>
        <w:rPr>
          <w:color w:val="231F1F"/>
          <w:spacing w:val="-12"/>
          <w:w w:val="110"/>
        </w:rPr>
        <w:t> </w:t>
      </w:r>
      <w:r>
        <w:rPr>
          <w:color w:val="231F1F"/>
          <w:w w:val="110"/>
        </w:rPr>
        <w:t>hubo</w:t>
      </w:r>
      <w:r>
        <w:rPr>
          <w:color w:val="231F1F"/>
          <w:spacing w:val="-12"/>
          <w:w w:val="110"/>
        </w:rPr>
        <w:t> </w:t>
      </w:r>
      <w:r>
        <w:rPr>
          <w:color w:val="231F1F"/>
          <w:w w:val="110"/>
        </w:rPr>
        <w:t>evidencia</w:t>
      </w:r>
      <w:r>
        <w:rPr>
          <w:color w:val="231F1F"/>
          <w:spacing w:val="-12"/>
          <w:w w:val="110"/>
        </w:rPr>
        <w:t> </w:t>
      </w:r>
      <w:r>
        <w:rPr>
          <w:color w:val="231F1F"/>
          <w:w w:val="110"/>
        </w:rPr>
        <w:t>de</w:t>
      </w:r>
      <w:r>
        <w:rPr>
          <w:color w:val="231F1F"/>
          <w:spacing w:val="-12"/>
          <w:w w:val="110"/>
        </w:rPr>
        <w:t> </w:t>
      </w:r>
      <w:r>
        <w:rPr>
          <w:color w:val="231F1F"/>
          <w:w w:val="110"/>
        </w:rPr>
        <w:t>dife-</w:t>
      </w:r>
      <w:r>
        <w:rPr>
          <w:color w:val="231F1F"/>
          <w:spacing w:val="6"/>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rencias en la tasa de prolapso de cordón, la mala deflexión de la cabeza fetal,</w:t>
      </w:r>
      <w:r>
        <w:rPr>
          <w:color w:val="231F1F"/>
        </w:rPr>
        <w:tab/>
      </w:r>
      <w:r>
        <w:rPr>
          <w:rFonts w:ascii="Arial MT" w:hAnsi="Arial MT"/>
          <w:color w:val="231F1F"/>
          <w:spacing w:val="-4"/>
          <w:w w:val="110"/>
          <w:position w:val="4"/>
          <w:sz w:val="18"/>
        </w:rPr>
        <w:t>ECAs </w:t>
      </w:r>
      <w:r>
        <w:rPr>
          <w:color w:val="231F1F"/>
          <w:w w:val="110"/>
        </w:rPr>
        <w:t>puntuación Apgar&lt;7 a los 5 minutos, ictericia neonatal, tasa de admisión en</w:t>
      </w:r>
      <w:r>
        <w:rPr>
          <w:color w:val="231F1F"/>
        </w:rPr>
        <w:tab/>
        <w:tab/>
      </w:r>
      <w:r>
        <w:rPr>
          <w:rFonts w:ascii="Arial MT" w:hAnsi="Arial MT"/>
          <w:color w:val="231F1F"/>
          <w:spacing w:val="-4"/>
          <w:w w:val="110"/>
          <w:position w:val="8"/>
          <w:sz w:val="18"/>
        </w:rPr>
        <w:t>1++</w:t>
      </w:r>
      <w:r>
        <w:rPr>
          <w:rFonts w:ascii="Arial MT" w:hAnsi="Arial MT"/>
          <w:color w:val="231F1F"/>
          <w:spacing w:val="40"/>
          <w:w w:val="110"/>
          <w:position w:val="8"/>
          <w:sz w:val="18"/>
        </w:rPr>
        <w:t> </w:t>
      </w:r>
      <w:r>
        <w:rPr>
          <w:color w:val="231F1F"/>
          <w:w w:val="110"/>
        </w:rPr>
        <w:t>la UCIN y morbilidad neonatal infecciosa.</w:t>
      </w:r>
    </w:p>
    <w:p>
      <w:pPr>
        <w:pStyle w:val="BodyText"/>
        <w:tabs>
          <w:tab w:pos="7989" w:val="left" w:leader="none"/>
        </w:tabs>
        <w:spacing w:line="244" w:lineRule="auto" w:before="107"/>
        <w:ind w:left="283" w:right="335" w:firstLine="453"/>
      </w:pPr>
      <w:r>
        <w:rPr>
          <w:color w:val="231F1F"/>
          <w:w w:val="110"/>
        </w:rPr>
        <w:t>Por</w:t>
      </w:r>
      <w:r>
        <w:rPr>
          <w:color w:val="231F1F"/>
          <w:spacing w:val="-15"/>
          <w:w w:val="110"/>
        </w:rPr>
        <w:t> </w:t>
      </w:r>
      <w:r>
        <w:rPr>
          <w:color w:val="231F1F"/>
          <w:w w:val="110"/>
        </w:rPr>
        <w:t>otro</w:t>
      </w:r>
      <w:r>
        <w:rPr>
          <w:color w:val="231F1F"/>
          <w:spacing w:val="-10"/>
          <w:w w:val="110"/>
        </w:rPr>
        <w:t> </w:t>
      </w:r>
      <w:r>
        <w:rPr>
          <w:color w:val="231F1F"/>
          <w:w w:val="110"/>
        </w:rPr>
        <w:t>lado,</w:t>
      </w:r>
      <w:r>
        <w:rPr>
          <w:color w:val="231F1F"/>
          <w:spacing w:val="-11"/>
          <w:w w:val="110"/>
        </w:rPr>
        <w:t> </w:t>
      </w:r>
      <w:r>
        <w:rPr>
          <w:color w:val="231F1F"/>
          <w:w w:val="110"/>
        </w:rPr>
        <w:t>en</w:t>
      </w:r>
      <w:r>
        <w:rPr>
          <w:color w:val="231F1F"/>
          <w:spacing w:val="-10"/>
          <w:w w:val="110"/>
        </w:rPr>
        <w:t> </w:t>
      </w:r>
      <w:r>
        <w:rPr>
          <w:color w:val="231F1F"/>
          <w:w w:val="110"/>
        </w:rPr>
        <w:t>mujeres</w:t>
      </w:r>
      <w:r>
        <w:rPr>
          <w:color w:val="231F1F"/>
          <w:spacing w:val="-10"/>
          <w:w w:val="110"/>
        </w:rPr>
        <w:t> </w:t>
      </w:r>
      <w:r>
        <w:rPr>
          <w:color w:val="231F1F"/>
          <w:w w:val="110"/>
        </w:rPr>
        <w:t>multíparas</w:t>
      </w:r>
      <w:r>
        <w:rPr>
          <w:color w:val="231F1F"/>
          <w:spacing w:val="-10"/>
          <w:w w:val="110"/>
        </w:rPr>
        <w:t> </w:t>
      </w:r>
      <w:r>
        <w:rPr>
          <w:color w:val="231F1F"/>
          <w:w w:val="110"/>
        </w:rPr>
        <w:t>a</w:t>
      </w:r>
      <w:r>
        <w:rPr>
          <w:color w:val="231F1F"/>
          <w:spacing w:val="-10"/>
          <w:w w:val="110"/>
        </w:rPr>
        <w:t> </w:t>
      </w:r>
      <w:r>
        <w:rPr>
          <w:color w:val="231F1F"/>
          <w:w w:val="110"/>
        </w:rPr>
        <w:t>las</w:t>
      </w:r>
      <w:r>
        <w:rPr>
          <w:color w:val="231F1F"/>
          <w:spacing w:val="-10"/>
          <w:w w:val="110"/>
        </w:rPr>
        <w:t> </w:t>
      </w:r>
      <w:r>
        <w:rPr>
          <w:color w:val="231F1F"/>
          <w:w w:val="110"/>
        </w:rPr>
        <w:t>que</w:t>
      </w:r>
      <w:r>
        <w:rPr>
          <w:color w:val="231F1F"/>
          <w:spacing w:val="-10"/>
          <w:w w:val="110"/>
        </w:rPr>
        <w:t> </w:t>
      </w:r>
      <w:r>
        <w:rPr>
          <w:color w:val="231F1F"/>
          <w:w w:val="110"/>
        </w:rPr>
        <w:t>se</w:t>
      </w:r>
      <w:r>
        <w:rPr>
          <w:color w:val="231F1F"/>
          <w:spacing w:val="-10"/>
          <w:w w:val="110"/>
        </w:rPr>
        <w:t> </w:t>
      </w:r>
      <w:r>
        <w:rPr>
          <w:color w:val="231F1F"/>
          <w:w w:val="110"/>
        </w:rPr>
        <w:t>les</w:t>
      </w:r>
      <w:r>
        <w:rPr>
          <w:color w:val="231F1F"/>
          <w:spacing w:val="-10"/>
          <w:w w:val="110"/>
        </w:rPr>
        <w:t> </w:t>
      </w:r>
      <w:r>
        <w:rPr>
          <w:color w:val="231F1F"/>
          <w:w w:val="110"/>
        </w:rPr>
        <w:t>realizó</w:t>
      </w:r>
      <w:r>
        <w:rPr>
          <w:color w:val="231F1F"/>
          <w:spacing w:val="-10"/>
          <w:w w:val="110"/>
        </w:rPr>
        <w:t> </w:t>
      </w:r>
      <w:r>
        <w:rPr>
          <w:color w:val="231F1F"/>
          <w:w w:val="110"/>
        </w:rPr>
        <w:t>amniorrexis</w:t>
      </w:r>
      <w:r>
        <w:rPr>
          <w:color w:val="231F1F"/>
          <w:spacing w:val="23"/>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se observó una reducción en el tiempo de dilatación completa (un estudio,</w:t>
      </w:r>
      <w:r>
        <w:rPr>
          <w:color w:val="231F1F"/>
        </w:rPr>
        <w:tab/>
      </w:r>
      <w:r>
        <w:rPr>
          <w:rFonts w:ascii="Arial MT" w:hAnsi="Arial MT"/>
          <w:color w:val="231F1F"/>
          <w:spacing w:val="-4"/>
          <w:w w:val="110"/>
          <w:position w:val="4"/>
          <w:sz w:val="18"/>
        </w:rPr>
        <w:t>ECAs </w:t>
      </w:r>
      <w:r>
        <w:rPr>
          <w:color w:val="231F1F"/>
          <w:w w:val="110"/>
        </w:rPr>
        <w:t>n=269: DM 54,00 minutos [IC 95% -101,37 a -6,63 minutos], no encontrándo-</w:t>
      </w:r>
      <w:r>
        <w:rPr>
          <w:color w:val="231F1F"/>
          <w:spacing w:val="80"/>
          <w:w w:val="110"/>
        </w:rPr>
        <w:t> </w:t>
      </w:r>
      <w:r>
        <w:rPr>
          <w:rFonts w:ascii="Arial MT" w:hAnsi="Arial MT"/>
          <w:color w:val="231F1F"/>
          <w:w w:val="110"/>
          <w:position w:val="8"/>
          <w:sz w:val="18"/>
        </w:rPr>
        <w:t>1++ </w:t>
      </w:r>
      <w:r>
        <w:rPr>
          <w:color w:val="231F1F"/>
          <w:w w:val="110"/>
        </w:rPr>
        <w:t>se diferencias en el resto de las variables evaluadas.</w:t>
      </w:r>
    </w:p>
    <w:p>
      <w:pPr>
        <w:pStyle w:val="BodyText"/>
        <w:spacing w:line="249" w:lineRule="auto" w:before="58"/>
        <w:ind w:left="283" w:right="1386" w:firstLine="453"/>
      </w:pPr>
      <w:r>
        <w:rPr>
          <w:color w:val="231F1F"/>
          <w:w w:val="110"/>
        </w:rPr>
        <w:t>Existe</w:t>
      </w:r>
      <w:r>
        <w:rPr>
          <w:color w:val="231F1F"/>
          <w:spacing w:val="-8"/>
          <w:w w:val="110"/>
        </w:rPr>
        <w:t> </w:t>
      </w:r>
      <w:r>
        <w:rPr>
          <w:color w:val="231F1F"/>
          <w:w w:val="110"/>
        </w:rPr>
        <w:t>evidencia</w:t>
      </w:r>
      <w:r>
        <w:rPr>
          <w:color w:val="231F1F"/>
          <w:spacing w:val="-8"/>
          <w:w w:val="110"/>
        </w:rPr>
        <w:t> </w:t>
      </w:r>
      <w:r>
        <w:rPr>
          <w:color w:val="231F1F"/>
          <w:w w:val="110"/>
        </w:rPr>
        <w:t>de</w:t>
      </w:r>
      <w:r>
        <w:rPr>
          <w:color w:val="231F1F"/>
          <w:spacing w:val="-8"/>
          <w:w w:val="110"/>
        </w:rPr>
        <w:t> </w:t>
      </w:r>
      <w:r>
        <w:rPr>
          <w:color w:val="231F1F"/>
          <w:w w:val="110"/>
        </w:rPr>
        <w:t>alta</w:t>
      </w:r>
      <w:r>
        <w:rPr>
          <w:color w:val="231F1F"/>
          <w:spacing w:val="-8"/>
          <w:w w:val="110"/>
        </w:rPr>
        <w:t> </w:t>
      </w:r>
      <w:r>
        <w:rPr>
          <w:color w:val="231F1F"/>
          <w:w w:val="110"/>
        </w:rPr>
        <w:t>calidad</w:t>
      </w:r>
      <w:r>
        <w:rPr>
          <w:color w:val="231F1F"/>
          <w:spacing w:val="-8"/>
          <w:w w:val="110"/>
        </w:rPr>
        <w:t> </w:t>
      </w:r>
      <w:r>
        <w:rPr>
          <w:color w:val="231F1F"/>
          <w:w w:val="110"/>
        </w:rPr>
        <w:t>que</w:t>
      </w:r>
      <w:r>
        <w:rPr>
          <w:color w:val="231F1F"/>
          <w:spacing w:val="-8"/>
          <w:w w:val="110"/>
        </w:rPr>
        <w:t> </w:t>
      </w:r>
      <w:r>
        <w:rPr>
          <w:color w:val="231F1F"/>
          <w:w w:val="110"/>
        </w:rPr>
        <w:t>la</w:t>
      </w:r>
      <w:r>
        <w:rPr>
          <w:color w:val="231F1F"/>
          <w:spacing w:val="-8"/>
          <w:w w:val="110"/>
        </w:rPr>
        <w:t> </w:t>
      </w:r>
      <w:r>
        <w:rPr>
          <w:color w:val="231F1F"/>
          <w:w w:val="110"/>
        </w:rPr>
        <w:t>amniorrexis</w:t>
      </w:r>
      <w:r>
        <w:rPr>
          <w:color w:val="231F1F"/>
          <w:spacing w:val="-8"/>
          <w:w w:val="110"/>
        </w:rPr>
        <w:t> </w:t>
      </w:r>
      <w:r>
        <w:rPr>
          <w:color w:val="231F1F"/>
          <w:w w:val="110"/>
        </w:rPr>
        <w:t>acorta</w:t>
      </w:r>
      <w:r>
        <w:rPr>
          <w:color w:val="231F1F"/>
          <w:spacing w:val="-8"/>
          <w:w w:val="110"/>
        </w:rPr>
        <w:t> </w:t>
      </w:r>
      <w:r>
        <w:rPr>
          <w:color w:val="231F1F"/>
          <w:w w:val="110"/>
        </w:rPr>
        <w:t>la</w:t>
      </w:r>
      <w:r>
        <w:rPr>
          <w:color w:val="231F1F"/>
          <w:spacing w:val="-8"/>
          <w:w w:val="110"/>
        </w:rPr>
        <w:t> </w:t>
      </w:r>
      <w:r>
        <w:rPr>
          <w:color w:val="231F1F"/>
          <w:w w:val="110"/>
        </w:rPr>
        <w:t>duración cuando se da un retraso de la primera etapa de parto.</w:t>
      </w:r>
    </w:p>
    <w:p>
      <w:pPr>
        <w:pStyle w:val="BodyText"/>
        <w:spacing w:before="161"/>
      </w:pPr>
    </w:p>
    <w:p>
      <w:pPr>
        <w:pStyle w:val="Heading5"/>
      </w:pPr>
      <w:r>
        <w:rPr>
          <w:color w:val="231F1F"/>
        </w:rPr>
        <w:t>Amniorrexis</w:t>
      </w:r>
      <w:r>
        <w:rPr>
          <w:color w:val="231F1F"/>
          <w:spacing w:val="-9"/>
        </w:rPr>
        <w:t> </w:t>
      </w:r>
      <w:r>
        <w:rPr>
          <w:color w:val="231F1F"/>
        </w:rPr>
        <w:t>y</w:t>
      </w:r>
      <w:r>
        <w:rPr>
          <w:color w:val="231F1F"/>
          <w:spacing w:val="-6"/>
        </w:rPr>
        <w:t> </w:t>
      </w:r>
      <w:r>
        <w:rPr>
          <w:color w:val="231F1F"/>
        </w:rPr>
        <w:t>oxitocina</w:t>
      </w:r>
      <w:r>
        <w:rPr>
          <w:color w:val="231F1F"/>
          <w:spacing w:val="-5"/>
        </w:rPr>
        <w:t> </w:t>
      </w:r>
      <w:r>
        <w:rPr>
          <w:color w:val="231F1F"/>
        </w:rPr>
        <w:t>frente</w:t>
      </w:r>
      <w:r>
        <w:rPr>
          <w:color w:val="231F1F"/>
          <w:spacing w:val="-6"/>
        </w:rPr>
        <w:t> </w:t>
      </w:r>
      <w:r>
        <w:rPr>
          <w:color w:val="231F1F"/>
        </w:rPr>
        <w:t>a</w:t>
      </w:r>
      <w:r>
        <w:rPr>
          <w:color w:val="231F1F"/>
          <w:spacing w:val="-5"/>
        </w:rPr>
        <w:t> </w:t>
      </w:r>
      <w:r>
        <w:rPr>
          <w:color w:val="231F1F"/>
          <w:spacing w:val="-2"/>
        </w:rPr>
        <w:t>oxitocina</w:t>
      </w:r>
    </w:p>
    <w:p>
      <w:pPr>
        <w:pStyle w:val="BodyText"/>
        <w:tabs>
          <w:tab w:pos="8036" w:val="left" w:leader="none"/>
          <w:tab w:pos="8114" w:val="left" w:leader="none"/>
        </w:tabs>
        <w:spacing w:line="254" w:lineRule="auto" w:before="162"/>
        <w:ind w:left="283" w:right="524"/>
      </w:pPr>
      <w:r>
        <w:rPr>
          <w:color w:val="231F1F"/>
          <w:w w:val="110"/>
        </w:rPr>
        <w:t>Se identificó un ECA (76) realizado en Estados Unidos (n=118 mujeres: am-</w:t>
      </w:r>
      <w:r>
        <w:rPr>
          <w:color w:val="231F1F"/>
        </w:rPr>
        <w:tab/>
      </w:r>
      <w:r>
        <w:rPr>
          <w:rFonts w:ascii="Arial MT" w:hAnsi="Arial MT"/>
          <w:color w:val="231F1F"/>
          <w:spacing w:val="-12"/>
          <w:w w:val="105"/>
          <w:sz w:val="18"/>
        </w:rPr>
        <w:t>ECA </w:t>
      </w:r>
      <w:r>
        <w:rPr>
          <w:color w:val="231F1F"/>
          <w:w w:val="110"/>
        </w:rPr>
        <w:t>niorrexis=58, control=60). La población del estudio incluía tanto a nulíparas</w:t>
      </w:r>
      <w:r>
        <w:rPr>
          <w:color w:val="231F1F"/>
        </w:rPr>
        <w:tab/>
        <w:tab/>
      </w:r>
      <w:r>
        <w:rPr>
          <w:rFonts w:ascii="Arial MT" w:hAnsi="Arial MT"/>
          <w:color w:val="231F1F"/>
          <w:spacing w:val="-6"/>
          <w:w w:val="110"/>
          <w:position w:val="4"/>
          <w:sz w:val="18"/>
        </w:rPr>
        <w:t>1+ </w:t>
      </w:r>
      <w:r>
        <w:rPr>
          <w:color w:val="231F1F"/>
          <w:w w:val="110"/>
        </w:rPr>
        <w:t>como</w:t>
      </w:r>
      <w:r>
        <w:rPr>
          <w:color w:val="231F1F"/>
          <w:spacing w:val="40"/>
          <w:w w:val="110"/>
        </w:rPr>
        <w:t> </w:t>
      </w:r>
      <w:r>
        <w:rPr>
          <w:color w:val="231F1F"/>
          <w:w w:val="110"/>
        </w:rPr>
        <w:t>multíparas</w:t>
      </w:r>
      <w:r>
        <w:rPr>
          <w:color w:val="231F1F"/>
          <w:spacing w:val="40"/>
          <w:w w:val="110"/>
        </w:rPr>
        <w:t> </w:t>
      </w:r>
      <w:r>
        <w:rPr>
          <w:color w:val="231F1F"/>
          <w:w w:val="110"/>
        </w:rPr>
        <w:t>con</w:t>
      </w:r>
      <w:r>
        <w:rPr>
          <w:color w:val="231F1F"/>
          <w:spacing w:val="40"/>
          <w:w w:val="110"/>
        </w:rPr>
        <w:t> </w:t>
      </w:r>
      <w:r>
        <w:rPr>
          <w:color w:val="231F1F"/>
          <w:w w:val="110"/>
        </w:rPr>
        <w:t>fase</w:t>
      </w:r>
      <w:r>
        <w:rPr>
          <w:color w:val="231F1F"/>
          <w:spacing w:val="40"/>
          <w:w w:val="110"/>
        </w:rPr>
        <w:t> </w:t>
      </w:r>
      <w:r>
        <w:rPr>
          <w:color w:val="231F1F"/>
          <w:w w:val="110"/>
        </w:rPr>
        <w:t>activa</w:t>
      </w:r>
      <w:r>
        <w:rPr>
          <w:color w:val="231F1F"/>
          <w:spacing w:val="40"/>
          <w:w w:val="110"/>
        </w:rPr>
        <w:t> </w:t>
      </w:r>
      <w:r>
        <w:rPr>
          <w:color w:val="231F1F"/>
          <w:w w:val="110"/>
        </w:rPr>
        <w:t>detenida.</w:t>
      </w:r>
      <w:r>
        <w:rPr>
          <w:color w:val="231F1F"/>
          <w:spacing w:val="40"/>
          <w:w w:val="110"/>
        </w:rPr>
        <w:t> </w:t>
      </w:r>
      <w:r>
        <w:rPr>
          <w:color w:val="231F1F"/>
          <w:w w:val="110"/>
        </w:rPr>
        <w:t>La</w:t>
      </w:r>
      <w:r>
        <w:rPr>
          <w:color w:val="231F1F"/>
          <w:spacing w:val="40"/>
          <w:w w:val="110"/>
        </w:rPr>
        <w:t> </w:t>
      </w:r>
      <w:r>
        <w:rPr>
          <w:color w:val="231F1F"/>
          <w:w w:val="110"/>
        </w:rPr>
        <w:t>intervención</w:t>
      </w:r>
      <w:r>
        <w:rPr>
          <w:color w:val="231F1F"/>
          <w:spacing w:val="40"/>
          <w:w w:val="110"/>
        </w:rPr>
        <w:t> </w:t>
      </w:r>
      <w:r>
        <w:rPr>
          <w:color w:val="231F1F"/>
          <w:w w:val="110"/>
        </w:rPr>
        <w:t>de</w:t>
      </w:r>
      <w:r>
        <w:rPr>
          <w:color w:val="231F1F"/>
          <w:spacing w:val="40"/>
          <w:w w:val="110"/>
        </w:rPr>
        <w:t> </w:t>
      </w:r>
      <w:r>
        <w:rPr>
          <w:color w:val="231F1F"/>
          <w:w w:val="110"/>
        </w:rPr>
        <w:t>amniorrexis rutinaria seguida de oxitocina se comparó con un grupo control con oxitocina </w:t>
      </w:r>
      <w:r>
        <w:rPr>
          <w:color w:val="231F1F"/>
        </w:rPr>
        <w:t>seguida</w:t>
      </w:r>
      <w:r>
        <w:rPr>
          <w:color w:val="231F1F"/>
          <w:spacing w:val="40"/>
        </w:rPr>
        <w:t> </w:t>
      </w:r>
      <w:r>
        <w:rPr>
          <w:color w:val="231F1F"/>
        </w:rPr>
        <w:t>de</w:t>
      </w:r>
      <w:r>
        <w:rPr>
          <w:color w:val="231F1F"/>
          <w:spacing w:val="40"/>
        </w:rPr>
        <w:t> </w:t>
      </w:r>
      <w:r>
        <w:rPr>
          <w:color w:val="231F1F"/>
        </w:rPr>
        <w:t>amniorrexis</w:t>
      </w:r>
      <w:r>
        <w:rPr>
          <w:color w:val="231F1F"/>
          <w:spacing w:val="40"/>
        </w:rPr>
        <w:t> </w:t>
      </w:r>
      <w:r>
        <w:rPr>
          <w:color w:val="231F1F"/>
        </w:rPr>
        <w:t>selectiva.</w:t>
      </w:r>
      <w:r>
        <w:rPr>
          <w:color w:val="231F1F"/>
          <w:spacing w:val="40"/>
        </w:rPr>
        <w:t> </w:t>
      </w:r>
      <w:r>
        <w:rPr>
          <w:color w:val="231F1F"/>
        </w:rPr>
        <w:t>Aunque</w:t>
      </w:r>
      <w:r>
        <w:rPr>
          <w:color w:val="231F1F"/>
          <w:spacing w:val="40"/>
        </w:rPr>
        <w:t> </w:t>
      </w:r>
      <w:r>
        <w:rPr>
          <w:color w:val="231F1F"/>
        </w:rPr>
        <w:t>no</w:t>
      </w:r>
      <w:r>
        <w:rPr>
          <w:color w:val="231F1F"/>
          <w:spacing w:val="40"/>
        </w:rPr>
        <w:t> </w:t>
      </w:r>
      <w:r>
        <w:rPr>
          <w:color w:val="231F1F"/>
        </w:rPr>
        <w:t>presenta</w:t>
      </w:r>
      <w:r>
        <w:rPr>
          <w:color w:val="231F1F"/>
          <w:spacing w:val="40"/>
        </w:rPr>
        <w:t> </w:t>
      </w:r>
      <w:r>
        <w:rPr>
          <w:color w:val="231F1F"/>
        </w:rPr>
        <w:t>diferencias</w:t>
      </w:r>
      <w:r>
        <w:rPr>
          <w:color w:val="231F1F"/>
          <w:spacing w:val="40"/>
        </w:rPr>
        <w:t> </w:t>
      </w:r>
      <w:r>
        <w:rPr>
          <w:color w:val="231F1F"/>
        </w:rPr>
        <w:t>estadística-</w:t>
      </w:r>
    </w:p>
    <w:p>
      <w:pPr>
        <w:pStyle w:val="BodyText"/>
        <w:spacing w:line="254" w:lineRule="auto"/>
        <w:ind w:left="283" w:right="1386"/>
      </w:pPr>
      <w:r>
        <w:rPr>
          <w:color w:val="231F1F"/>
          <w:w w:val="105"/>
        </w:rPr>
        <w:t>mente</w:t>
      </w:r>
      <w:r>
        <w:rPr>
          <w:color w:val="231F1F"/>
          <w:spacing w:val="32"/>
          <w:w w:val="105"/>
        </w:rPr>
        <w:t> </w:t>
      </w:r>
      <w:r>
        <w:rPr>
          <w:color w:val="231F1F"/>
          <w:w w:val="105"/>
        </w:rPr>
        <w:t>significativas</w:t>
      </w:r>
      <w:r>
        <w:rPr>
          <w:color w:val="231F1F"/>
          <w:spacing w:val="32"/>
          <w:w w:val="105"/>
        </w:rPr>
        <w:t> </w:t>
      </w:r>
      <w:r>
        <w:rPr>
          <w:color w:val="231F1F"/>
          <w:w w:val="105"/>
        </w:rPr>
        <w:t>hubo</w:t>
      </w:r>
      <w:r>
        <w:rPr>
          <w:color w:val="231F1F"/>
          <w:spacing w:val="33"/>
          <w:w w:val="105"/>
        </w:rPr>
        <w:t> </w:t>
      </w:r>
      <w:r>
        <w:rPr>
          <w:color w:val="231F1F"/>
          <w:w w:val="105"/>
        </w:rPr>
        <w:t>más</w:t>
      </w:r>
      <w:r>
        <w:rPr>
          <w:color w:val="231F1F"/>
          <w:spacing w:val="33"/>
          <w:w w:val="105"/>
        </w:rPr>
        <w:t> </w:t>
      </w:r>
      <w:r>
        <w:rPr>
          <w:color w:val="231F1F"/>
          <w:w w:val="105"/>
        </w:rPr>
        <w:t>mujeres</w:t>
      </w:r>
      <w:r>
        <w:rPr>
          <w:color w:val="231F1F"/>
          <w:spacing w:val="33"/>
          <w:w w:val="105"/>
        </w:rPr>
        <w:t> </w:t>
      </w:r>
      <w:r>
        <w:rPr>
          <w:color w:val="231F1F"/>
          <w:w w:val="105"/>
        </w:rPr>
        <w:t>con</w:t>
      </w:r>
      <w:r>
        <w:rPr>
          <w:color w:val="231F1F"/>
          <w:spacing w:val="33"/>
          <w:w w:val="105"/>
        </w:rPr>
        <w:t> </w:t>
      </w:r>
      <w:r>
        <w:rPr>
          <w:color w:val="231F1F"/>
          <w:w w:val="105"/>
        </w:rPr>
        <w:t>infección</w:t>
      </w:r>
      <w:r>
        <w:rPr>
          <w:color w:val="231F1F"/>
          <w:spacing w:val="32"/>
          <w:w w:val="105"/>
        </w:rPr>
        <w:t> </w:t>
      </w:r>
      <w:r>
        <w:rPr>
          <w:color w:val="231F1F"/>
          <w:w w:val="105"/>
        </w:rPr>
        <w:t>posparto</w:t>
      </w:r>
      <w:r>
        <w:rPr>
          <w:color w:val="231F1F"/>
          <w:spacing w:val="32"/>
          <w:w w:val="105"/>
        </w:rPr>
        <w:t> </w:t>
      </w:r>
      <w:r>
        <w:rPr>
          <w:color w:val="231F1F"/>
          <w:w w:val="105"/>
        </w:rPr>
        <w:t>en</w:t>
      </w:r>
      <w:r>
        <w:rPr>
          <w:color w:val="231F1F"/>
          <w:spacing w:val="33"/>
          <w:w w:val="105"/>
        </w:rPr>
        <w:t> </w:t>
      </w:r>
      <w:r>
        <w:rPr>
          <w:color w:val="231F1F"/>
          <w:w w:val="105"/>
        </w:rPr>
        <w:t>el</w:t>
      </w:r>
      <w:r>
        <w:rPr>
          <w:color w:val="231F1F"/>
          <w:spacing w:val="32"/>
          <w:w w:val="105"/>
        </w:rPr>
        <w:t> </w:t>
      </w:r>
      <w:r>
        <w:rPr>
          <w:color w:val="231F1F"/>
          <w:w w:val="105"/>
        </w:rPr>
        <w:t>grupo intervención</w:t>
      </w:r>
      <w:r>
        <w:rPr>
          <w:color w:val="231F1F"/>
          <w:spacing w:val="-6"/>
          <w:w w:val="105"/>
        </w:rPr>
        <w:t> </w:t>
      </w:r>
      <w:r>
        <w:rPr>
          <w:color w:val="231F1F"/>
          <w:w w:val="105"/>
        </w:rPr>
        <w:t>que</w:t>
      </w:r>
      <w:r>
        <w:rPr>
          <w:color w:val="231F1F"/>
          <w:spacing w:val="-5"/>
          <w:w w:val="105"/>
        </w:rPr>
        <w:t> </w:t>
      </w:r>
      <w:r>
        <w:rPr>
          <w:color w:val="231F1F"/>
          <w:w w:val="105"/>
        </w:rPr>
        <w:t>en</w:t>
      </w:r>
      <w:r>
        <w:rPr>
          <w:color w:val="231F1F"/>
          <w:spacing w:val="-5"/>
          <w:w w:val="105"/>
        </w:rPr>
        <w:t> </w:t>
      </w:r>
      <w:r>
        <w:rPr>
          <w:color w:val="231F1F"/>
          <w:w w:val="105"/>
        </w:rPr>
        <w:t>el</w:t>
      </w:r>
      <w:r>
        <w:rPr>
          <w:color w:val="231F1F"/>
          <w:spacing w:val="-6"/>
          <w:w w:val="105"/>
        </w:rPr>
        <w:t> </w:t>
      </w:r>
      <w:r>
        <w:rPr>
          <w:color w:val="231F1F"/>
          <w:w w:val="105"/>
        </w:rPr>
        <w:t>grupo</w:t>
      </w:r>
      <w:r>
        <w:rPr>
          <w:color w:val="231F1F"/>
          <w:spacing w:val="-5"/>
          <w:w w:val="105"/>
        </w:rPr>
        <w:t> </w:t>
      </w:r>
      <w:r>
        <w:rPr>
          <w:color w:val="231F1F"/>
          <w:w w:val="105"/>
        </w:rPr>
        <w:t>control</w:t>
      </w:r>
      <w:r>
        <w:rPr>
          <w:color w:val="231F1F"/>
          <w:spacing w:val="-5"/>
          <w:w w:val="105"/>
        </w:rPr>
        <w:t> </w:t>
      </w:r>
      <w:r>
        <w:rPr>
          <w:color w:val="231F1F"/>
          <w:w w:val="105"/>
        </w:rPr>
        <w:t>(amniorrexis</w:t>
      </w:r>
      <w:r>
        <w:rPr>
          <w:color w:val="231F1F"/>
          <w:spacing w:val="-6"/>
          <w:w w:val="105"/>
        </w:rPr>
        <w:t> </w:t>
      </w:r>
      <w:r>
        <w:rPr>
          <w:color w:val="231F1F"/>
          <w:w w:val="105"/>
        </w:rPr>
        <w:t>7/60;</w:t>
      </w:r>
      <w:r>
        <w:rPr>
          <w:color w:val="231F1F"/>
          <w:spacing w:val="-5"/>
          <w:w w:val="105"/>
        </w:rPr>
        <w:t> </w:t>
      </w:r>
      <w:r>
        <w:rPr>
          <w:color w:val="231F1F"/>
          <w:w w:val="105"/>
        </w:rPr>
        <w:t>control</w:t>
      </w:r>
      <w:r>
        <w:rPr>
          <w:color w:val="231F1F"/>
          <w:spacing w:val="-5"/>
          <w:w w:val="105"/>
        </w:rPr>
        <w:t> </w:t>
      </w:r>
      <w:r>
        <w:rPr>
          <w:color w:val="231F1F"/>
          <w:w w:val="105"/>
        </w:rPr>
        <w:t>0/58;</w:t>
      </w:r>
      <w:r>
        <w:rPr>
          <w:color w:val="231F1F"/>
          <w:spacing w:val="-6"/>
          <w:w w:val="105"/>
        </w:rPr>
        <w:t> </w:t>
      </w:r>
      <w:r>
        <w:rPr>
          <w:color w:val="231F1F"/>
          <w:spacing w:val="-2"/>
          <w:w w:val="105"/>
        </w:rPr>
        <w:t>p=0,01).</w:t>
      </w:r>
    </w:p>
    <w:p>
      <w:pPr>
        <w:pStyle w:val="BodyText"/>
        <w:tabs>
          <w:tab w:pos="7299" w:val="left" w:leader="none"/>
        </w:tabs>
        <w:spacing w:before="77"/>
        <w:ind w:right="508"/>
        <w:jc w:val="right"/>
        <w:rPr>
          <w:rFonts w:ascii="Arial MT" w:hAnsi="Arial MT"/>
          <w:sz w:val="18"/>
        </w:rPr>
      </w:pPr>
      <w:r>
        <w:rPr>
          <w:color w:val="231F1F"/>
          <w:w w:val="105"/>
        </w:rPr>
        <w:t>No</w:t>
      </w:r>
      <w:r>
        <w:rPr>
          <w:color w:val="231F1F"/>
          <w:spacing w:val="10"/>
          <w:w w:val="105"/>
        </w:rPr>
        <w:t> </w:t>
      </w:r>
      <w:r>
        <w:rPr>
          <w:color w:val="231F1F"/>
          <w:w w:val="105"/>
        </w:rPr>
        <w:t>se</w:t>
      </w:r>
      <w:r>
        <w:rPr>
          <w:color w:val="231F1F"/>
          <w:spacing w:val="11"/>
          <w:w w:val="105"/>
        </w:rPr>
        <w:t> </w:t>
      </w:r>
      <w:r>
        <w:rPr>
          <w:color w:val="231F1F"/>
          <w:w w:val="105"/>
        </w:rPr>
        <w:t>observaron</w:t>
      </w:r>
      <w:r>
        <w:rPr>
          <w:color w:val="231F1F"/>
          <w:spacing w:val="8"/>
          <w:w w:val="105"/>
        </w:rPr>
        <w:t> </w:t>
      </w:r>
      <w:r>
        <w:rPr>
          <w:color w:val="231F1F"/>
          <w:w w:val="105"/>
        </w:rPr>
        <w:t>diferencias</w:t>
      </w:r>
      <w:r>
        <w:rPr>
          <w:color w:val="231F1F"/>
          <w:spacing w:val="11"/>
          <w:w w:val="105"/>
        </w:rPr>
        <w:t> </w:t>
      </w:r>
      <w:r>
        <w:rPr>
          <w:color w:val="231F1F"/>
          <w:w w:val="105"/>
        </w:rPr>
        <w:t>en</w:t>
      </w:r>
      <w:r>
        <w:rPr>
          <w:color w:val="231F1F"/>
          <w:spacing w:val="12"/>
          <w:w w:val="105"/>
        </w:rPr>
        <w:t> </w:t>
      </w:r>
      <w:r>
        <w:rPr>
          <w:color w:val="231F1F"/>
          <w:w w:val="105"/>
        </w:rPr>
        <w:t>la</w:t>
      </w:r>
      <w:r>
        <w:rPr>
          <w:color w:val="231F1F"/>
          <w:spacing w:val="11"/>
          <w:w w:val="105"/>
        </w:rPr>
        <w:t> </w:t>
      </w:r>
      <w:r>
        <w:rPr>
          <w:color w:val="231F1F"/>
          <w:w w:val="105"/>
        </w:rPr>
        <w:t>duración</w:t>
      </w:r>
      <w:r>
        <w:rPr>
          <w:color w:val="231F1F"/>
          <w:spacing w:val="11"/>
          <w:w w:val="105"/>
        </w:rPr>
        <w:t> </w:t>
      </w:r>
      <w:r>
        <w:rPr>
          <w:color w:val="231F1F"/>
          <w:w w:val="105"/>
        </w:rPr>
        <w:t>del</w:t>
      </w:r>
      <w:r>
        <w:rPr>
          <w:color w:val="231F1F"/>
          <w:spacing w:val="9"/>
          <w:w w:val="105"/>
        </w:rPr>
        <w:t> </w:t>
      </w:r>
      <w:r>
        <w:rPr>
          <w:color w:val="231F1F"/>
          <w:w w:val="105"/>
        </w:rPr>
        <w:t>parto:</w:t>
      </w:r>
      <w:r>
        <w:rPr>
          <w:color w:val="231F1F"/>
          <w:spacing w:val="10"/>
          <w:w w:val="105"/>
        </w:rPr>
        <w:t> </w:t>
      </w:r>
      <w:r>
        <w:rPr>
          <w:color w:val="231F1F"/>
          <w:w w:val="105"/>
        </w:rPr>
        <w:t>DM</w:t>
      </w:r>
      <w:r>
        <w:rPr>
          <w:color w:val="231F1F"/>
          <w:spacing w:val="12"/>
          <w:w w:val="105"/>
        </w:rPr>
        <w:t> </w:t>
      </w:r>
      <w:r>
        <w:rPr>
          <w:color w:val="231F1F"/>
          <w:w w:val="105"/>
        </w:rPr>
        <w:t>-0,70</w:t>
      </w:r>
      <w:r>
        <w:rPr>
          <w:color w:val="231F1F"/>
          <w:spacing w:val="12"/>
          <w:w w:val="105"/>
        </w:rPr>
        <w:t> </w:t>
      </w:r>
      <w:r>
        <w:rPr>
          <w:color w:val="231F1F"/>
          <w:spacing w:val="-4"/>
          <w:w w:val="105"/>
        </w:rPr>
        <w:t>horas</w:t>
      </w:r>
      <w:r>
        <w:rPr>
          <w:color w:val="231F1F"/>
        </w:rPr>
        <w:tab/>
      </w:r>
      <w:r>
        <w:rPr>
          <w:rFonts w:ascii="Arial MT" w:hAnsi="Arial MT"/>
          <w:color w:val="231F1F"/>
          <w:spacing w:val="-5"/>
          <w:w w:val="105"/>
          <w:sz w:val="18"/>
        </w:rPr>
        <w:t>ECA</w:t>
      </w:r>
    </w:p>
    <w:p>
      <w:pPr>
        <w:pStyle w:val="BodyText"/>
        <w:tabs>
          <w:tab w:pos="7830" w:val="left" w:leader="none"/>
        </w:tabs>
        <w:spacing w:before="22"/>
        <w:ind w:right="588"/>
        <w:jc w:val="right"/>
        <w:rPr>
          <w:rFonts w:ascii="Arial MT" w:hAnsi="Arial MT"/>
          <w:position w:val="4"/>
          <w:sz w:val="18"/>
        </w:rPr>
      </w:pPr>
      <w:r>
        <w:rPr>
          <w:color w:val="231F1F"/>
          <w:w w:val="105"/>
        </w:rPr>
        <w:t>[IC</w:t>
      </w:r>
      <w:r>
        <w:rPr>
          <w:color w:val="231F1F"/>
          <w:spacing w:val="-13"/>
          <w:w w:val="105"/>
        </w:rPr>
        <w:t> </w:t>
      </w:r>
      <w:r>
        <w:rPr>
          <w:color w:val="231F1F"/>
          <w:w w:val="105"/>
        </w:rPr>
        <w:t>95%</w:t>
      </w:r>
      <w:r>
        <w:rPr>
          <w:color w:val="231F1F"/>
          <w:spacing w:val="-12"/>
          <w:w w:val="105"/>
        </w:rPr>
        <w:t> </w:t>
      </w:r>
      <w:r>
        <w:rPr>
          <w:color w:val="231F1F"/>
          <w:w w:val="105"/>
        </w:rPr>
        <w:t>--1,55</w:t>
      </w:r>
      <w:r>
        <w:rPr>
          <w:color w:val="231F1F"/>
          <w:spacing w:val="-12"/>
          <w:w w:val="105"/>
        </w:rPr>
        <w:t> </w:t>
      </w:r>
      <w:r>
        <w:rPr>
          <w:color w:val="231F1F"/>
          <w:w w:val="105"/>
        </w:rPr>
        <w:t>a</w:t>
      </w:r>
      <w:r>
        <w:rPr>
          <w:color w:val="231F1F"/>
          <w:spacing w:val="-12"/>
          <w:w w:val="105"/>
        </w:rPr>
        <w:t> </w:t>
      </w:r>
      <w:r>
        <w:rPr>
          <w:color w:val="231F1F"/>
          <w:w w:val="105"/>
        </w:rPr>
        <w:t>0,15</w:t>
      </w:r>
      <w:r>
        <w:rPr>
          <w:color w:val="231F1F"/>
          <w:spacing w:val="-12"/>
          <w:w w:val="105"/>
        </w:rPr>
        <w:t> </w:t>
      </w:r>
      <w:r>
        <w:rPr>
          <w:color w:val="231F1F"/>
          <w:w w:val="105"/>
        </w:rPr>
        <w:t>horas],</w:t>
      </w:r>
      <w:r>
        <w:rPr>
          <w:color w:val="231F1F"/>
          <w:spacing w:val="-13"/>
          <w:w w:val="105"/>
        </w:rPr>
        <w:t> </w:t>
      </w:r>
      <w:r>
        <w:rPr>
          <w:color w:val="231F1F"/>
          <w:w w:val="105"/>
        </w:rPr>
        <w:t>tasa</w:t>
      </w:r>
      <w:r>
        <w:rPr>
          <w:color w:val="231F1F"/>
          <w:spacing w:val="-14"/>
          <w:w w:val="105"/>
        </w:rPr>
        <w:t> </w:t>
      </w:r>
      <w:r>
        <w:rPr>
          <w:color w:val="231F1F"/>
          <w:w w:val="105"/>
        </w:rPr>
        <w:t>de</w:t>
      </w:r>
      <w:r>
        <w:rPr>
          <w:color w:val="231F1F"/>
          <w:spacing w:val="-12"/>
          <w:w w:val="105"/>
        </w:rPr>
        <w:t> </w:t>
      </w:r>
      <w:r>
        <w:rPr>
          <w:color w:val="231F1F"/>
          <w:w w:val="105"/>
        </w:rPr>
        <w:t>cesáreas:</w:t>
      </w:r>
      <w:r>
        <w:rPr>
          <w:color w:val="231F1F"/>
          <w:spacing w:val="-15"/>
          <w:w w:val="105"/>
        </w:rPr>
        <w:t> </w:t>
      </w:r>
      <w:r>
        <w:rPr>
          <w:color w:val="231F1F"/>
          <w:w w:val="105"/>
        </w:rPr>
        <w:t>RR</w:t>
      </w:r>
      <w:r>
        <w:rPr>
          <w:color w:val="231F1F"/>
          <w:spacing w:val="-10"/>
          <w:w w:val="105"/>
        </w:rPr>
        <w:t> </w:t>
      </w:r>
      <w:r>
        <w:rPr>
          <w:color w:val="231F1F"/>
          <w:w w:val="105"/>
        </w:rPr>
        <w:t>1,21</w:t>
      </w:r>
      <w:r>
        <w:rPr>
          <w:color w:val="231F1F"/>
          <w:spacing w:val="-15"/>
          <w:w w:val="105"/>
        </w:rPr>
        <w:t> </w:t>
      </w:r>
      <w:r>
        <w:rPr>
          <w:color w:val="231F1F"/>
          <w:w w:val="105"/>
        </w:rPr>
        <w:t>[IC</w:t>
      </w:r>
      <w:r>
        <w:rPr>
          <w:color w:val="231F1F"/>
          <w:spacing w:val="-10"/>
          <w:w w:val="105"/>
        </w:rPr>
        <w:t> </w:t>
      </w:r>
      <w:r>
        <w:rPr>
          <w:color w:val="231F1F"/>
          <w:w w:val="105"/>
        </w:rPr>
        <w:t>95%</w:t>
      </w:r>
      <w:r>
        <w:rPr>
          <w:color w:val="231F1F"/>
          <w:spacing w:val="-13"/>
          <w:w w:val="105"/>
        </w:rPr>
        <w:t> </w:t>
      </w:r>
      <w:r>
        <w:rPr>
          <w:color w:val="231F1F"/>
          <w:w w:val="105"/>
        </w:rPr>
        <w:t>0,34</w:t>
      </w:r>
      <w:r>
        <w:rPr>
          <w:color w:val="231F1F"/>
          <w:spacing w:val="-11"/>
          <w:w w:val="105"/>
        </w:rPr>
        <w:t> </w:t>
      </w:r>
      <w:r>
        <w:rPr>
          <w:color w:val="231F1F"/>
          <w:w w:val="105"/>
        </w:rPr>
        <w:t>a</w:t>
      </w:r>
      <w:r>
        <w:rPr>
          <w:color w:val="231F1F"/>
          <w:spacing w:val="-13"/>
          <w:w w:val="105"/>
        </w:rPr>
        <w:t> </w:t>
      </w:r>
      <w:r>
        <w:rPr>
          <w:color w:val="231F1F"/>
          <w:w w:val="105"/>
        </w:rPr>
        <w:t>4,28]</w:t>
      </w:r>
      <w:r>
        <w:rPr>
          <w:color w:val="231F1F"/>
          <w:spacing w:val="-12"/>
          <w:w w:val="105"/>
        </w:rPr>
        <w:t> </w:t>
      </w:r>
      <w:r>
        <w:rPr>
          <w:color w:val="231F1F"/>
          <w:spacing w:val="-10"/>
          <w:w w:val="105"/>
        </w:rPr>
        <w:t>e</w:t>
      </w:r>
      <w:r>
        <w:rPr>
          <w:color w:val="231F1F"/>
        </w:rPr>
        <w:tab/>
      </w:r>
      <w:r>
        <w:rPr>
          <w:rFonts w:ascii="Arial MT" w:hAnsi="Arial MT"/>
          <w:color w:val="231F1F"/>
          <w:spacing w:val="-5"/>
          <w:w w:val="105"/>
          <w:position w:val="4"/>
          <w:sz w:val="18"/>
        </w:rPr>
        <w:t>1+</w:t>
      </w:r>
    </w:p>
    <w:p>
      <w:pPr>
        <w:pStyle w:val="BodyText"/>
        <w:spacing w:before="7"/>
        <w:ind w:left="283"/>
      </w:pPr>
      <w:r>
        <w:rPr>
          <w:color w:val="231F1F"/>
          <w:w w:val="105"/>
        </w:rPr>
        <w:t>infecciones</w:t>
      </w:r>
      <w:r>
        <w:rPr>
          <w:color w:val="231F1F"/>
          <w:spacing w:val="-5"/>
          <w:w w:val="105"/>
        </w:rPr>
        <w:t> </w:t>
      </w:r>
      <w:r>
        <w:rPr>
          <w:color w:val="231F1F"/>
          <w:w w:val="105"/>
        </w:rPr>
        <w:t>neonatales:</w:t>
      </w:r>
      <w:r>
        <w:rPr>
          <w:color w:val="231F1F"/>
          <w:spacing w:val="-4"/>
          <w:w w:val="105"/>
        </w:rPr>
        <w:t> </w:t>
      </w:r>
      <w:r>
        <w:rPr>
          <w:color w:val="231F1F"/>
          <w:w w:val="105"/>
        </w:rPr>
        <w:t>RR</w:t>
      </w:r>
      <w:r>
        <w:rPr>
          <w:color w:val="231F1F"/>
          <w:spacing w:val="-4"/>
          <w:w w:val="105"/>
        </w:rPr>
        <w:t> </w:t>
      </w:r>
      <w:r>
        <w:rPr>
          <w:color w:val="231F1F"/>
          <w:w w:val="105"/>
        </w:rPr>
        <w:t>4,83</w:t>
      </w:r>
      <w:r>
        <w:rPr>
          <w:color w:val="231F1F"/>
          <w:spacing w:val="-3"/>
          <w:w w:val="105"/>
        </w:rPr>
        <w:t> </w:t>
      </w:r>
      <w:r>
        <w:rPr>
          <w:color w:val="231F1F"/>
          <w:w w:val="105"/>
        </w:rPr>
        <w:t>[IC</w:t>
      </w:r>
      <w:r>
        <w:rPr>
          <w:color w:val="231F1F"/>
          <w:spacing w:val="-1"/>
          <w:w w:val="105"/>
        </w:rPr>
        <w:t> </w:t>
      </w:r>
      <w:r>
        <w:rPr>
          <w:color w:val="231F1F"/>
          <w:w w:val="105"/>
        </w:rPr>
        <w:t>95%</w:t>
      </w:r>
      <w:r>
        <w:rPr>
          <w:color w:val="231F1F"/>
          <w:spacing w:val="-4"/>
          <w:w w:val="105"/>
        </w:rPr>
        <w:t> </w:t>
      </w:r>
      <w:r>
        <w:rPr>
          <w:color w:val="231F1F"/>
          <w:w w:val="105"/>
        </w:rPr>
        <w:t>0,58</w:t>
      </w:r>
      <w:r>
        <w:rPr>
          <w:color w:val="231F1F"/>
          <w:spacing w:val="-3"/>
          <w:w w:val="105"/>
        </w:rPr>
        <w:t> </w:t>
      </w:r>
      <w:r>
        <w:rPr>
          <w:color w:val="231F1F"/>
          <w:w w:val="105"/>
        </w:rPr>
        <w:t>a</w:t>
      </w:r>
      <w:r>
        <w:rPr>
          <w:color w:val="231F1F"/>
          <w:spacing w:val="-3"/>
          <w:w w:val="105"/>
        </w:rPr>
        <w:t> </w:t>
      </w:r>
      <w:r>
        <w:rPr>
          <w:color w:val="231F1F"/>
          <w:spacing w:val="-2"/>
          <w:w w:val="105"/>
        </w:rPr>
        <w:t>40,13].</w:t>
      </w:r>
    </w:p>
    <w:p>
      <w:pPr>
        <w:pStyle w:val="BodyText"/>
        <w:spacing w:before="98"/>
      </w:pPr>
    </w:p>
    <w:p>
      <w:pPr>
        <w:pStyle w:val="Heading5"/>
      </w:pPr>
      <w:r>
        <w:rPr>
          <w:color w:val="231F1F"/>
        </w:rPr>
        <w:t>Amniorrexis</w:t>
      </w:r>
      <w:r>
        <w:rPr>
          <w:color w:val="231F1F"/>
          <w:spacing w:val="-14"/>
        </w:rPr>
        <w:t> </w:t>
      </w:r>
      <w:r>
        <w:rPr>
          <w:color w:val="231F1F"/>
        </w:rPr>
        <w:t>frente</w:t>
      </w:r>
      <w:r>
        <w:rPr>
          <w:color w:val="231F1F"/>
          <w:spacing w:val="-13"/>
        </w:rPr>
        <w:t> </w:t>
      </w:r>
      <w:r>
        <w:rPr>
          <w:color w:val="231F1F"/>
        </w:rPr>
        <w:t>a</w:t>
      </w:r>
      <w:r>
        <w:rPr>
          <w:color w:val="231F1F"/>
          <w:spacing w:val="-13"/>
        </w:rPr>
        <w:t> </w:t>
      </w:r>
      <w:r>
        <w:rPr>
          <w:color w:val="231F1F"/>
        </w:rPr>
        <w:t>amniorrexis</w:t>
      </w:r>
      <w:r>
        <w:rPr>
          <w:color w:val="231F1F"/>
          <w:spacing w:val="-14"/>
        </w:rPr>
        <w:t> </w:t>
      </w:r>
      <w:r>
        <w:rPr>
          <w:color w:val="231F1F"/>
        </w:rPr>
        <w:t>y</w:t>
      </w:r>
      <w:r>
        <w:rPr>
          <w:color w:val="231F1F"/>
          <w:spacing w:val="-13"/>
        </w:rPr>
        <w:t> </w:t>
      </w:r>
      <w:r>
        <w:rPr>
          <w:color w:val="231F1F"/>
          <w:spacing w:val="-2"/>
        </w:rPr>
        <w:t>oxitocina</w:t>
      </w:r>
    </w:p>
    <w:p>
      <w:pPr>
        <w:pStyle w:val="BodyText"/>
        <w:spacing w:before="209"/>
        <w:ind w:left="283"/>
        <w:jc w:val="both"/>
      </w:pPr>
      <w:r>
        <w:rPr>
          <w:color w:val="231F1F"/>
        </w:rPr>
        <w:t>Se</w:t>
      </w:r>
      <w:r>
        <w:rPr>
          <w:color w:val="231F1F"/>
          <w:spacing w:val="32"/>
        </w:rPr>
        <w:t> </w:t>
      </w:r>
      <w:r>
        <w:rPr>
          <w:color w:val="231F1F"/>
        </w:rPr>
        <w:t>identificaron</w:t>
      </w:r>
      <w:r>
        <w:rPr>
          <w:color w:val="231F1F"/>
          <w:spacing w:val="35"/>
        </w:rPr>
        <w:t> </w:t>
      </w:r>
      <w:r>
        <w:rPr>
          <w:color w:val="231F1F"/>
        </w:rPr>
        <w:t>tres</w:t>
      </w:r>
      <w:r>
        <w:rPr>
          <w:color w:val="231F1F"/>
          <w:spacing w:val="32"/>
        </w:rPr>
        <w:t> </w:t>
      </w:r>
      <w:r>
        <w:rPr>
          <w:color w:val="231F1F"/>
        </w:rPr>
        <w:t>estudios</w:t>
      </w:r>
      <w:r>
        <w:rPr>
          <w:color w:val="231F1F"/>
          <w:spacing w:val="34"/>
        </w:rPr>
        <w:t> </w:t>
      </w:r>
      <w:r>
        <w:rPr>
          <w:color w:val="231F1F"/>
        </w:rPr>
        <w:t>realizados</w:t>
      </w:r>
      <w:r>
        <w:rPr>
          <w:color w:val="231F1F"/>
          <w:spacing w:val="33"/>
        </w:rPr>
        <w:t> </w:t>
      </w:r>
      <w:r>
        <w:rPr>
          <w:color w:val="231F1F"/>
        </w:rPr>
        <w:t>en</w:t>
      </w:r>
      <w:r>
        <w:rPr>
          <w:color w:val="231F1F"/>
          <w:spacing w:val="34"/>
        </w:rPr>
        <w:t> </w:t>
      </w:r>
      <w:r>
        <w:rPr>
          <w:color w:val="231F1F"/>
        </w:rPr>
        <w:t>Reino</w:t>
      </w:r>
      <w:r>
        <w:rPr>
          <w:color w:val="231F1F"/>
          <w:spacing w:val="32"/>
        </w:rPr>
        <w:t> </w:t>
      </w:r>
      <w:r>
        <w:rPr>
          <w:color w:val="231F1F"/>
        </w:rPr>
        <w:t>Unido.</w:t>
      </w:r>
      <w:r>
        <w:rPr>
          <w:color w:val="231F1F"/>
          <w:spacing w:val="34"/>
        </w:rPr>
        <w:t> </w:t>
      </w:r>
      <w:r>
        <w:rPr>
          <w:color w:val="231F1F"/>
        </w:rPr>
        <w:t>El</w:t>
      </w:r>
      <w:r>
        <w:rPr>
          <w:color w:val="231F1F"/>
          <w:spacing w:val="32"/>
        </w:rPr>
        <w:t> </w:t>
      </w:r>
      <w:r>
        <w:rPr>
          <w:color w:val="231F1F"/>
        </w:rPr>
        <w:t>primero</w:t>
      </w:r>
      <w:r>
        <w:rPr>
          <w:color w:val="231F1F"/>
          <w:spacing w:val="34"/>
        </w:rPr>
        <w:t> </w:t>
      </w:r>
      <w:r>
        <w:rPr>
          <w:color w:val="231F1F"/>
        </w:rPr>
        <w:t>de</w:t>
      </w:r>
      <w:r>
        <w:rPr>
          <w:color w:val="231F1F"/>
          <w:spacing w:val="34"/>
        </w:rPr>
        <w:t> </w:t>
      </w:r>
      <w:r>
        <w:rPr>
          <w:color w:val="231F1F"/>
          <w:spacing w:val="-2"/>
        </w:rPr>
        <w:t>ellos</w:t>
      </w:r>
    </w:p>
    <w:p>
      <w:pPr>
        <w:pStyle w:val="BodyText"/>
        <w:spacing w:line="244" w:lineRule="auto" w:before="16"/>
        <w:ind w:left="283" w:right="1368"/>
        <w:jc w:val="both"/>
      </w:pPr>
      <w:r>
        <w:rPr>
          <w:color w:val="231F1F"/>
          <w:w w:val="105"/>
        </w:rPr>
        <w:t>(77) incluía 926 nulíparas y multíparas que precisaron estimulación del parto (oxitocina=465, control=461). El segundo (78) incluyó 61 nulíparas que pro- gresaban lentamente en tres grupos (amniorrexis+alta dosis de oxitocina=19, amniorrexis+dosis bajas de</w:t>
      </w:r>
      <w:r>
        <w:rPr>
          <w:color w:val="231F1F"/>
          <w:w w:val="105"/>
        </w:rPr>
        <w:t> oxitocina=21,</w:t>
      </w:r>
      <w:r>
        <w:rPr>
          <w:color w:val="231F1F"/>
          <w:w w:val="105"/>
        </w:rPr>
        <w:t> control=20).</w:t>
      </w:r>
      <w:r>
        <w:rPr>
          <w:color w:val="231F1F"/>
          <w:w w:val="105"/>
        </w:rPr>
        <w:t> El tercer</w:t>
      </w:r>
      <w:r>
        <w:rPr>
          <w:color w:val="231F1F"/>
          <w:w w:val="105"/>
        </w:rPr>
        <w:t> estudio</w:t>
      </w:r>
      <w:r>
        <w:rPr>
          <w:color w:val="231F1F"/>
          <w:w w:val="105"/>
        </w:rPr>
        <w:t> (79) incluyó mujeres nulíparas y multíparas que precisaron estimulación del parto (oxitocina+amniorrexis=21, sólo amniorrexis=20).</w:t>
      </w:r>
    </w:p>
    <w:p>
      <w:pPr>
        <w:pStyle w:val="BodyText"/>
        <w:tabs>
          <w:tab w:pos="7791" w:val="left" w:leader="none"/>
          <w:tab w:pos="7989" w:val="left" w:leader="none"/>
          <w:tab w:pos="8114" w:val="left" w:leader="none"/>
        </w:tabs>
        <w:spacing w:before="113"/>
        <w:ind w:left="283" w:right="312" w:firstLine="453"/>
        <w:rPr>
          <w:rFonts w:ascii="Arial MT" w:hAnsi="Arial MT"/>
          <w:position w:val="8"/>
          <w:sz w:val="18"/>
        </w:rPr>
      </w:pPr>
      <w:r>
        <w:rPr>
          <w:color w:val="231F1F"/>
        </w:rPr>
        <w:t>El metaanálisis de los tres estudios, realizado en la guía NICE (10), no</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mostró evidencias de diferencias en la tasa de cesáreas (3 estudios n=443) RR</w:t>
      </w:r>
      <w:r>
        <w:rPr>
          <w:color w:val="231F1F"/>
        </w:rPr>
        <w:tab/>
        <w:tab/>
      </w:r>
      <w:r>
        <w:rPr>
          <w:rFonts w:ascii="Arial MT" w:hAnsi="Arial MT"/>
          <w:color w:val="231F1F"/>
          <w:spacing w:val="-4"/>
          <w:w w:val="105"/>
          <w:position w:val="4"/>
          <w:sz w:val="18"/>
        </w:rPr>
        <w:t>ECAs </w:t>
      </w:r>
      <w:r>
        <w:rPr>
          <w:color w:val="231F1F"/>
          <w:w w:val="105"/>
        </w:rPr>
        <w:t>0,82 [IC 95% 0,47 a 1,40], uso de epidural (2 estudios n=967) RR 1,01 [IC 95%</w:t>
      </w:r>
      <w:r>
        <w:rPr>
          <w:color w:val="231F1F"/>
        </w:rPr>
        <w:tab/>
        <w:tab/>
        <w:tab/>
      </w:r>
      <w:r>
        <w:rPr>
          <w:rFonts w:ascii="Arial MT" w:hAnsi="Arial MT"/>
          <w:color w:val="231F1F"/>
          <w:spacing w:val="-6"/>
          <w:w w:val="105"/>
          <w:position w:val="8"/>
          <w:sz w:val="18"/>
        </w:rPr>
        <w:t>1+</w:t>
      </w:r>
    </w:p>
    <w:p>
      <w:pPr>
        <w:pStyle w:val="BodyText"/>
        <w:spacing w:line="244" w:lineRule="auto" w:before="15"/>
        <w:ind w:left="283" w:right="1369"/>
        <w:jc w:val="both"/>
      </w:pPr>
      <w:r>
        <w:rPr>
          <w:color w:val="231F1F"/>
          <w:w w:val="105"/>
        </w:rPr>
        <w:t>0,79</w:t>
      </w:r>
      <w:r>
        <w:rPr>
          <w:color w:val="231F1F"/>
          <w:spacing w:val="-6"/>
          <w:w w:val="105"/>
        </w:rPr>
        <w:t> </w:t>
      </w:r>
      <w:r>
        <w:rPr>
          <w:color w:val="231F1F"/>
          <w:w w:val="105"/>
        </w:rPr>
        <w:t>a</w:t>
      </w:r>
      <w:r>
        <w:rPr>
          <w:color w:val="231F1F"/>
          <w:spacing w:val="-6"/>
          <w:w w:val="105"/>
        </w:rPr>
        <w:t> </w:t>
      </w:r>
      <w:r>
        <w:rPr>
          <w:color w:val="231F1F"/>
          <w:w w:val="105"/>
        </w:rPr>
        <w:t>1,30],</w:t>
      </w:r>
      <w:r>
        <w:rPr>
          <w:color w:val="231F1F"/>
          <w:spacing w:val="-6"/>
          <w:w w:val="105"/>
        </w:rPr>
        <w:t> </w:t>
      </w:r>
      <w:r>
        <w:rPr>
          <w:color w:val="231F1F"/>
          <w:w w:val="105"/>
        </w:rPr>
        <w:t>Apgar&lt;7</w:t>
      </w:r>
      <w:r>
        <w:rPr>
          <w:color w:val="231F1F"/>
          <w:spacing w:val="-6"/>
          <w:w w:val="105"/>
        </w:rPr>
        <w:t> </w:t>
      </w:r>
      <w:r>
        <w:rPr>
          <w:color w:val="231F1F"/>
          <w:w w:val="105"/>
        </w:rPr>
        <w:t>a</w:t>
      </w:r>
      <w:r>
        <w:rPr>
          <w:color w:val="231F1F"/>
          <w:spacing w:val="-6"/>
          <w:w w:val="105"/>
        </w:rPr>
        <w:t> </w:t>
      </w:r>
      <w:r>
        <w:rPr>
          <w:color w:val="231F1F"/>
          <w:w w:val="105"/>
        </w:rPr>
        <w:t>los</w:t>
      </w:r>
      <w:r>
        <w:rPr>
          <w:color w:val="231F1F"/>
          <w:spacing w:val="-6"/>
          <w:w w:val="105"/>
        </w:rPr>
        <w:t> </w:t>
      </w:r>
      <w:r>
        <w:rPr>
          <w:color w:val="231F1F"/>
          <w:w w:val="105"/>
        </w:rPr>
        <w:t>5</w:t>
      </w:r>
      <w:r>
        <w:rPr>
          <w:color w:val="231F1F"/>
          <w:spacing w:val="-6"/>
          <w:w w:val="105"/>
        </w:rPr>
        <w:t> </w:t>
      </w:r>
      <w:r>
        <w:rPr>
          <w:color w:val="231F1F"/>
          <w:w w:val="105"/>
        </w:rPr>
        <w:t>minutos</w:t>
      </w:r>
      <w:r>
        <w:rPr>
          <w:color w:val="231F1F"/>
          <w:spacing w:val="-6"/>
          <w:w w:val="105"/>
        </w:rPr>
        <w:t> </w:t>
      </w:r>
      <w:r>
        <w:rPr>
          <w:color w:val="231F1F"/>
          <w:w w:val="105"/>
        </w:rPr>
        <w:t>(2</w:t>
      </w:r>
      <w:r>
        <w:rPr>
          <w:color w:val="231F1F"/>
          <w:spacing w:val="-6"/>
          <w:w w:val="105"/>
        </w:rPr>
        <w:t> </w:t>
      </w:r>
      <w:r>
        <w:rPr>
          <w:color w:val="231F1F"/>
          <w:w w:val="105"/>
        </w:rPr>
        <w:t>estudios</w:t>
      </w:r>
      <w:r>
        <w:rPr>
          <w:color w:val="231F1F"/>
          <w:spacing w:val="-5"/>
          <w:w w:val="105"/>
        </w:rPr>
        <w:t> </w:t>
      </w:r>
      <w:r>
        <w:rPr>
          <w:color w:val="231F1F"/>
          <w:w w:val="105"/>
        </w:rPr>
        <w:t>n=82)</w:t>
      </w:r>
      <w:r>
        <w:rPr>
          <w:color w:val="231F1F"/>
          <w:spacing w:val="-6"/>
          <w:w w:val="105"/>
        </w:rPr>
        <w:t> </w:t>
      </w:r>
      <w:r>
        <w:rPr>
          <w:color w:val="231F1F"/>
          <w:w w:val="105"/>
        </w:rPr>
        <w:t>RR</w:t>
      </w:r>
      <w:r>
        <w:rPr>
          <w:color w:val="231F1F"/>
          <w:spacing w:val="-6"/>
          <w:w w:val="105"/>
        </w:rPr>
        <w:t> </w:t>
      </w:r>
      <w:r>
        <w:rPr>
          <w:color w:val="231F1F"/>
          <w:w w:val="105"/>
        </w:rPr>
        <w:t>0,95</w:t>
      </w:r>
      <w:r>
        <w:rPr>
          <w:color w:val="231F1F"/>
          <w:spacing w:val="-6"/>
          <w:w w:val="105"/>
        </w:rPr>
        <w:t> </w:t>
      </w:r>
      <w:r>
        <w:rPr>
          <w:color w:val="231F1F"/>
          <w:w w:val="105"/>
        </w:rPr>
        <w:t>[IC</w:t>
      </w:r>
      <w:r>
        <w:rPr>
          <w:color w:val="231F1F"/>
          <w:spacing w:val="-6"/>
          <w:w w:val="105"/>
        </w:rPr>
        <w:t> </w:t>
      </w:r>
      <w:r>
        <w:rPr>
          <w:color w:val="231F1F"/>
          <w:w w:val="105"/>
        </w:rPr>
        <w:t>95%</w:t>
      </w:r>
      <w:r>
        <w:rPr>
          <w:color w:val="231F1F"/>
          <w:spacing w:val="-6"/>
          <w:w w:val="105"/>
        </w:rPr>
        <w:t> </w:t>
      </w:r>
      <w:r>
        <w:rPr>
          <w:color w:val="231F1F"/>
          <w:w w:val="105"/>
        </w:rPr>
        <w:t>0,13 a 7,09], en las admisiones en unidades de neonatos (1 estudio, n=41) RR 3,00 [IC 95% 0,12</w:t>
      </w:r>
      <w:r>
        <w:rPr>
          <w:color w:val="231F1F"/>
          <w:spacing w:val="-1"/>
          <w:w w:val="105"/>
        </w:rPr>
        <w:t> </w:t>
      </w:r>
      <w:r>
        <w:rPr>
          <w:color w:val="231F1F"/>
          <w:w w:val="105"/>
        </w:rPr>
        <w:t>a 78,04] y en la satisfacción</w:t>
      </w:r>
      <w:r>
        <w:rPr>
          <w:color w:val="231F1F"/>
          <w:spacing w:val="-1"/>
          <w:w w:val="105"/>
        </w:rPr>
        <w:t> </w:t>
      </w:r>
      <w:r>
        <w:rPr>
          <w:color w:val="231F1F"/>
          <w:w w:val="105"/>
        </w:rPr>
        <w:t>materna</w:t>
      </w:r>
      <w:r>
        <w:rPr>
          <w:color w:val="231F1F"/>
          <w:spacing w:val="-1"/>
          <w:w w:val="105"/>
        </w:rPr>
        <w:t> </w:t>
      </w:r>
      <w:r>
        <w:rPr>
          <w:color w:val="231F1F"/>
          <w:w w:val="105"/>
        </w:rPr>
        <w:t>(1 estudio, n=41) DM 9,00</w:t>
      </w:r>
    </w:p>
    <w:p>
      <w:pPr>
        <w:pStyle w:val="BodyText"/>
        <w:spacing w:line="252" w:lineRule="exact"/>
        <w:ind w:left="283"/>
        <w:jc w:val="both"/>
      </w:pPr>
      <w:r>
        <w:rPr>
          <w:color w:val="231F1F"/>
          <w:w w:val="105"/>
        </w:rPr>
        <w:t>[IC</w:t>
      </w:r>
      <w:r>
        <w:rPr>
          <w:color w:val="231F1F"/>
          <w:spacing w:val="-7"/>
          <w:w w:val="105"/>
        </w:rPr>
        <w:t> </w:t>
      </w:r>
      <w:r>
        <w:rPr>
          <w:color w:val="231F1F"/>
          <w:w w:val="105"/>
        </w:rPr>
        <w:t>95%</w:t>
      </w:r>
      <w:r>
        <w:rPr>
          <w:color w:val="231F1F"/>
          <w:spacing w:val="-7"/>
          <w:w w:val="105"/>
        </w:rPr>
        <w:t> </w:t>
      </w:r>
      <w:r>
        <w:rPr>
          <w:color w:val="231F1F"/>
          <w:w w:val="105"/>
        </w:rPr>
        <w:t>-6,73</w:t>
      </w:r>
      <w:r>
        <w:rPr>
          <w:color w:val="231F1F"/>
          <w:spacing w:val="-6"/>
          <w:w w:val="105"/>
        </w:rPr>
        <w:t> </w:t>
      </w:r>
      <w:r>
        <w:rPr>
          <w:color w:val="231F1F"/>
          <w:w w:val="105"/>
        </w:rPr>
        <w:t>a</w:t>
      </w:r>
      <w:r>
        <w:rPr>
          <w:color w:val="231F1F"/>
          <w:spacing w:val="-8"/>
          <w:w w:val="105"/>
        </w:rPr>
        <w:t> </w:t>
      </w:r>
      <w:r>
        <w:rPr>
          <w:color w:val="231F1F"/>
          <w:spacing w:val="-2"/>
          <w:w w:val="105"/>
        </w:rPr>
        <w:t>24,73].</w:t>
      </w:r>
    </w:p>
    <w:p>
      <w:pPr>
        <w:pStyle w:val="BodyText"/>
        <w:spacing w:after="0" w:line="252" w:lineRule="exact"/>
        <w:jc w:val="both"/>
        <w:sectPr>
          <w:pgSz w:w="11900" w:h="16840"/>
          <w:pgMar w:header="0" w:footer="622" w:top="1560" w:bottom="820" w:left="1417" w:right="1559"/>
        </w:sectPr>
      </w:pPr>
    </w:p>
    <w:p>
      <w:pPr>
        <w:pStyle w:val="Heading5"/>
        <w:spacing w:before="82"/>
        <w:jc w:val="both"/>
      </w:pPr>
      <w:r>
        <w:rPr>
          <w:color w:val="231F1F"/>
        </w:rPr>
        <w:t>Amniorrexis</w:t>
      </w:r>
      <w:r>
        <w:rPr>
          <w:color w:val="231F1F"/>
          <w:spacing w:val="-10"/>
        </w:rPr>
        <w:t> </w:t>
      </w:r>
      <w:r>
        <w:rPr>
          <w:color w:val="231F1F"/>
        </w:rPr>
        <w:t>y</w:t>
      </w:r>
      <w:r>
        <w:rPr>
          <w:color w:val="231F1F"/>
          <w:spacing w:val="-8"/>
        </w:rPr>
        <w:t> </w:t>
      </w:r>
      <w:r>
        <w:rPr>
          <w:color w:val="231F1F"/>
        </w:rPr>
        <w:t>oxitocina</w:t>
      </w:r>
      <w:r>
        <w:rPr>
          <w:color w:val="231F1F"/>
          <w:spacing w:val="-8"/>
        </w:rPr>
        <w:t> </w:t>
      </w:r>
      <w:r>
        <w:rPr>
          <w:color w:val="231F1F"/>
        </w:rPr>
        <w:t>frente</w:t>
      </w:r>
      <w:r>
        <w:rPr>
          <w:color w:val="231F1F"/>
          <w:spacing w:val="-6"/>
        </w:rPr>
        <w:t> </w:t>
      </w:r>
      <w:r>
        <w:rPr>
          <w:color w:val="231F1F"/>
        </w:rPr>
        <w:t>a</w:t>
      </w:r>
      <w:r>
        <w:rPr>
          <w:color w:val="231F1F"/>
          <w:spacing w:val="-7"/>
        </w:rPr>
        <w:t> </w:t>
      </w:r>
      <w:r>
        <w:rPr>
          <w:color w:val="231F1F"/>
        </w:rPr>
        <w:t>amniorrexis</w:t>
      </w:r>
      <w:r>
        <w:rPr>
          <w:color w:val="231F1F"/>
          <w:spacing w:val="-8"/>
        </w:rPr>
        <w:t> </w:t>
      </w:r>
      <w:r>
        <w:rPr>
          <w:color w:val="231F1F"/>
        </w:rPr>
        <w:t>y</w:t>
      </w:r>
      <w:r>
        <w:rPr>
          <w:color w:val="231F1F"/>
          <w:spacing w:val="-8"/>
        </w:rPr>
        <w:t> </w:t>
      </w:r>
      <w:r>
        <w:rPr>
          <w:color w:val="231F1F"/>
        </w:rPr>
        <w:t>oxitocina</w:t>
      </w:r>
      <w:r>
        <w:rPr>
          <w:color w:val="231F1F"/>
          <w:spacing w:val="-6"/>
        </w:rPr>
        <w:t> </w:t>
      </w:r>
      <w:r>
        <w:rPr>
          <w:color w:val="231F1F"/>
          <w:spacing w:val="-2"/>
        </w:rPr>
        <w:t>retardadas</w:t>
      </w:r>
    </w:p>
    <w:p>
      <w:pPr>
        <w:pStyle w:val="BodyText"/>
        <w:spacing w:line="244" w:lineRule="auto" w:before="214"/>
        <w:ind w:left="283" w:right="1368"/>
        <w:jc w:val="both"/>
      </w:pPr>
      <w:r>
        <w:rPr>
          <w:color w:val="231F1F"/>
          <w:w w:val="105"/>
        </w:rPr>
        <w:t>Un</w:t>
      </w:r>
      <w:r>
        <w:rPr>
          <w:color w:val="231F1F"/>
          <w:w w:val="105"/>
        </w:rPr>
        <w:t> estudio</w:t>
      </w:r>
      <w:r>
        <w:rPr>
          <w:color w:val="231F1F"/>
          <w:w w:val="105"/>
        </w:rPr>
        <w:t> incluido</w:t>
      </w:r>
      <w:r>
        <w:rPr>
          <w:color w:val="231F1F"/>
          <w:w w:val="105"/>
        </w:rPr>
        <w:t> en</w:t>
      </w:r>
      <w:r>
        <w:rPr>
          <w:color w:val="231F1F"/>
          <w:w w:val="105"/>
        </w:rPr>
        <w:t> la</w:t>
      </w:r>
      <w:r>
        <w:rPr>
          <w:color w:val="231F1F"/>
          <w:w w:val="105"/>
        </w:rPr>
        <w:t> anterior</w:t>
      </w:r>
      <w:r>
        <w:rPr>
          <w:color w:val="231F1F"/>
          <w:w w:val="105"/>
        </w:rPr>
        <w:t> pregunta</w:t>
      </w:r>
      <w:r>
        <w:rPr>
          <w:color w:val="231F1F"/>
          <w:w w:val="105"/>
        </w:rPr>
        <w:t> (79)</w:t>
      </w:r>
      <w:r>
        <w:rPr>
          <w:color w:val="231F1F"/>
          <w:w w:val="105"/>
        </w:rPr>
        <w:t> también</w:t>
      </w:r>
      <w:r>
        <w:rPr>
          <w:color w:val="231F1F"/>
          <w:w w:val="105"/>
        </w:rPr>
        <w:t> investigaba</w:t>
      </w:r>
      <w:r>
        <w:rPr>
          <w:color w:val="231F1F"/>
          <w:w w:val="105"/>
        </w:rPr>
        <w:t> esta comparación.</w:t>
      </w:r>
      <w:r>
        <w:rPr>
          <w:color w:val="231F1F"/>
          <w:w w:val="105"/>
        </w:rPr>
        <w:t> La</w:t>
      </w:r>
      <w:r>
        <w:rPr>
          <w:color w:val="231F1F"/>
          <w:w w:val="105"/>
        </w:rPr>
        <w:t> población</w:t>
      </w:r>
      <w:r>
        <w:rPr>
          <w:color w:val="231F1F"/>
          <w:w w:val="105"/>
        </w:rPr>
        <w:t> del</w:t>
      </w:r>
      <w:r>
        <w:rPr>
          <w:color w:val="231F1F"/>
          <w:w w:val="105"/>
        </w:rPr>
        <w:t> estudio</w:t>
      </w:r>
      <w:r>
        <w:rPr>
          <w:color w:val="231F1F"/>
          <w:w w:val="105"/>
        </w:rPr>
        <w:t> estaba</w:t>
      </w:r>
      <w:r>
        <w:rPr>
          <w:color w:val="231F1F"/>
          <w:w w:val="105"/>
        </w:rPr>
        <w:t> formada</w:t>
      </w:r>
      <w:r>
        <w:rPr>
          <w:color w:val="231F1F"/>
          <w:w w:val="105"/>
        </w:rPr>
        <w:t> por</w:t>
      </w:r>
      <w:r>
        <w:rPr>
          <w:color w:val="231F1F"/>
          <w:w w:val="105"/>
        </w:rPr>
        <w:t> mujeres</w:t>
      </w:r>
      <w:r>
        <w:rPr>
          <w:color w:val="231F1F"/>
          <w:w w:val="105"/>
        </w:rPr>
        <w:t> nulípa-</w:t>
      </w:r>
      <w:r>
        <w:rPr>
          <w:color w:val="231F1F"/>
          <w:spacing w:val="80"/>
          <w:w w:val="105"/>
        </w:rPr>
        <w:t> </w:t>
      </w:r>
      <w:r>
        <w:rPr>
          <w:color w:val="231F1F"/>
          <w:w w:val="105"/>
        </w:rPr>
        <w:t>ras</w:t>
      </w:r>
      <w:r>
        <w:rPr>
          <w:color w:val="231F1F"/>
          <w:w w:val="105"/>
        </w:rPr>
        <w:t> y</w:t>
      </w:r>
      <w:r>
        <w:rPr>
          <w:color w:val="231F1F"/>
          <w:w w:val="105"/>
        </w:rPr>
        <w:t> multíparas</w:t>
      </w:r>
      <w:r>
        <w:rPr>
          <w:color w:val="231F1F"/>
          <w:w w:val="105"/>
        </w:rPr>
        <w:t> que</w:t>
      </w:r>
      <w:r>
        <w:rPr>
          <w:color w:val="231F1F"/>
          <w:w w:val="105"/>
        </w:rPr>
        <w:t> precisaron</w:t>
      </w:r>
      <w:r>
        <w:rPr>
          <w:color w:val="231F1F"/>
          <w:w w:val="105"/>
        </w:rPr>
        <w:t> estimulación</w:t>
      </w:r>
      <w:r>
        <w:rPr>
          <w:color w:val="231F1F"/>
          <w:w w:val="105"/>
        </w:rPr>
        <w:t> del</w:t>
      </w:r>
      <w:r>
        <w:rPr>
          <w:color w:val="231F1F"/>
          <w:w w:val="105"/>
        </w:rPr>
        <w:t> parto</w:t>
      </w:r>
      <w:r>
        <w:rPr>
          <w:color w:val="231F1F"/>
          <w:w w:val="105"/>
        </w:rPr>
        <w:t> divididas</w:t>
      </w:r>
      <w:r>
        <w:rPr>
          <w:color w:val="231F1F"/>
          <w:w w:val="105"/>
        </w:rPr>
        <w:t> en</w:t>
      </w:r>
      <w:r>
        <w:rPr>
          <w:color w:val="231F1F"/>
          <w:w w:val="105"/>
        </w:rPr>
        <w:t> dos</w:t>
      </w:r>
      <w:r>
        <w:rPr>
          <w:color w:val="231F1F"/>
          <w:spacing w:val="80"/>
          <w:w w:val="105"/>
        </w:rPr>
        <w:t> </w:t>
      </w:r>
      <w:r>
        <w:rPr>
          <w:color w:val="231F1F"/>
          <w:w w:val="105"/>
        </w:rPr>
        <w:t>grupos</w:t>
      </w:r>
      <w:r>
        <w:rPr>
          <w:color w:val="231F1F"/>
          <w:w w:val="105"/>
        </w:rPr>
        <w:t> de</w:t>
      </w:r>
      <w:r>
        <w:rPr>
          <w:color w:val="231F1F"/>
          <w:w w:val="105"/>
        </w:rPr>
        <w:t> intervención:</w:t>
      </w:r>
      <w:r>
        <w:rPr>
          <w:color w:val="231F1F"/>
          <w:w w:val="105"/>
        </w:rPr>
        <w:t> oxitocina+amniorrexis=21</w:t>
      </w:r>
      <w:r>
        <w:rPr>
          <w:color w:val="231F1F"/>
          <w:w w:val="105"/>
        </w:rPr>
        <w:t> mujeres</w:t>
      </w:r>
      <w:r>
        <w:rPr>
          <w:color w:val="231F1F"/>
          <w:w w:val="105"/>
        </w:rPr>
        <w:t> y</w:t>
      </w:r>
      <w:r>
        <w:rPr>
          <w:color w:val="231F1F"/>
          <w:w w:val="105"/>
        </w:rPr>
        <w:t> actitud</w:t>
      </w:r>
      <w:r>
        <w:rPr>
          <w:color w:val="231F1F"/>
          <w:w w:val="105"/>
        </w:rPr>
        <w:t> expec- </w:t>
      </w:r>
      <w:r>
        <w:rPr>
          <w:color w:val="231F1F"/>
          <w:spacing w:val="-2"/>
          <w:w w:val="105"/>
        </w:rPr>
        <w:t>tante=19.</w:t>
      </w:r>
    </w:p>
    <w:p>
      <w:pPr>
        <w:pStyle w:val="BodyText"/>
        <w:tabs>
          <w:tab w:pos="8036" w:val="left" w:leader="none"/>
          <w:tab w:pos="8114" w:val="left" w:leader="none"/>
        </w:tabs>
        <w:spacing w:line="252" w:lineRule="auto" w:before="97"/>
        <w:ind w:left="283" w:right="524" w:firstLine="453"/>
      </w:pPr>
      <w:r>
        <w:rPr>
          <w:color w:val="231F1F"/>
          <w:w w:val="105"/>
        </w:rPr>
        <w:t>El estudio mostró diferencias significativas a favor de la amniorrexis y</w:t>
      </w:r>
      <w:r>
        <w:rPr>
          <w:color w:val="231F1F"/>
        </w:rPr>
        <w:tab/>
      </w:r>
      <w:r>
        <w:rPr>
          <w:rFonts w:ascii="Arial MT" w:hAnsi="Arial MT"/>
          <w:color w:val="231F1F"/>
          <w:spacing w:val="-12"/>
          <w:w w:val="105"/>
          <w:sz w:val="18"/>
        </w:rPr>
        <w:t>ECA </w:t>
      </w:r>
      <w:r>
        <w:rPr>
          <w:color w:val="231F1F"/>
          <w:w w:val="105"/>
        </w:rPr>
        <w:t>oxitocina, con una menor duración del parto: Intervención=266 minutos</w:t>
      </w:r>
      <w:r>
        <w:rPr>
          <w:color w:val="231F1F"/>
        </w:rPr>
        <w:tab/>
        <w:tab/>
      </w:r>
      <w:r>
        <w:rPr>
          <w:rFonts w:ascii="Arial MT" w:hAnsi="Arial MT"/>
          <w:color w:val="231F1F"/>
          <w:spacing w:val="-6"/>
          <w:w w:val="105"/>
          <w:position w:val="4"/>
          <w:sz w:val="18"/>
        </w:rPr>
        <w:t>1+ </w:t>
      </w:r>
      <w:r>
        <w:rPr>
          <w:color w:val="231F1F"/>
          <w:w w:val="105"/>
        </w:rPr>
        <w:t>(DE=166 minutos), control=463 minutos (DE=164 minutos); p&lt;0,001 y mayor</w:t>
      </w:r>
    </w:p>
    <w:p>
      <w:pPr>
        <w:pStyle w:val="BodyText"/>
        <w:spacing w:line="244" w:lineRule="auto"/>
        <w:ind w:left="283" w:right="1386"/>
      </w:pPr>
      <w:r>
        <w:rPr>
          <w:color w:val="231F1F"/>
          <w:w w:val="105"/>
        </w:rPr>
        <w:t>grado</w:t>
      </w:r>
      <w:r>
        <w:rPr>
          <w:color w:val="231F1F"/>
          <w:spacing w:val="33"/>
          <w:w w:val="105"/>
        </w:rPr>
        <w:t> </w:t>
      </w:r>
      <w:r>
        <w:rPr>
          <w:color w:val="231F1F"/>
          <w:w w:val="105"/>
        </w:rPr>
        <w:t>de</w:t>
      </w:r>
      <w:r>
        <w:rPr>
          <w:color w:val="231F1F"/>
          <w:spacing w:val="33"/>
          <w:w w:val="105"/>
        </w:rPr>
        <w:t> </w:t>
      </w:r>
      <w:r>
        <w:rPr>
          <w:color w:val="231F1F"/>
          <w:w w:val="105"/>
        </w:rPr>
        <w:t>satisfacción</w:t>
      </w:r>
      <w:r>
        <w:rPr>
          <w:color w:val="231F1F"/>
          <w:spacing w:val="33"/>
          <w:w w:val="105"/>
        </w:rPr>
        <w:t> </w:t>
      </w:r>
      <w:r>
        <w:rPr>
          <w:color w:val="231F1F"/>
          <w:w w:val="105"/>
        </w:rPr>
        <w:t>materna:</w:t>
      </w:r>
      <w:r>
        <w:rPr>
          <w:color w:val="231F1F"/>
          <w:spacing w:val="33"/>
          <w:w w:val="105"/>
        </w:rPr>
        <w:t> </w:t>
      </w:r>
      <w:r>
        <w:rPr>
          <w:color w:val="231F1F"/>
          <w:w w:val="105"/>
        </w:rPr>
        <w:t>Intervención=149</w:t>
      </w:r>
      <w:r>
        <w:rPr>
          <w:color w:val="231F1F"/>
          <w:spacing w:val="33"/>
          <w:w w:val="105"/>
        </w:rPr>
        <w:t> </w:t>
      </w:r>
      <w:r>
        <w:rPr>
          <w:color w:val="231F1F"/>
          <w:w w:val="105"/>
        </w:rPr>
        <w:t>(DE=23),</w:t>
      </w:r>
      <w:r>
        <w:rPr>
          <w:color w:val="231F1F"/>
          <w:spacing w:val="33"/>
          <w:w w:val="105"/>
        </w:rPr>
        <w:t> </w:t>
      </w:r>
      <w:r>
        <w:rPr>
          <w:color w:val="231F1F"/>
          <w:w w:val="105"/>
        </w:rPr>
        <w:t>control=118 (DE=33); p=0,002.</w:t>
      </w:r>
    </w:p>
    <w:p>
      <w:pPr>
        <w:pStyle w:val="BodyText"/>
        <w:tabs>
          <w:tab w:pos="8036" w:val="left" w:leader="none"/>
        </w:tabs>
        <w:spacing w:line="252" w:lineRule="exact" w:before="85"/>
        <w:ind w:left="736"/>
        <w:rPr>
          <w:rFonts w:ascii="Arial MT" w:hAnsi="Arial MT"/>
          <w:sz w:val="18"/>
        </w:rPr>
      </w:pPr>
      <w:r>
        <w:rPr>
          <w:color w:val="231F1F"/>
          <w:w w:val="105"/>
        </w:rPr>
        <w:t>No</w:t>
      </w:r>
      <w:r>
        <w:rPr>
          <w:color w:val="231F1F"/>
          <w:spacing w:val="20"/>
          <w:w w:val="105"/>
        </w:rPr>
        <w:t> </w:t>
      </w:r>
      <w:r>
        <w:rPr>
          <w:color w:val="231F1F"/>
          <w:w w:val="105"/>
        </w:rPr>
        <w:t>se</w:t>
      </w:r>
      <w:r>
        <w:rPr>
          <w:color w:val="231F1F"/>
          <w:spacing w:val="20"/>
          <w:w w:val="105"/>
        </w:rPr>
        <w:t> </w:t>
      </w:r>
      <w:r>
        <w:rPr>
          <w:color w:val="231F1F"/>
          <w:w w:val="105"/>
        </w:rPr>
        <w:t>observaron</w:t>
      </w:r>
      <w:r>
        <w:rPr>
          <w:color w:val="231F1F"/>
          <w:spacing w:val="20"/>
          <w:w w:val="105"/>
        </w:rPr>
        <w:t> </w:t>
      </w:r>
      <w:r>
        <w:rPr>
          <w:color w:val="231F1F"/>
          <w:w w:val="105"/>
        </w:rPr>
        <w:t>diferencias</w:t>
      </w:r>
      <w:r>
        <w:rPr>
          <w:color w:val="231F1F"/>
          <w:spacing w:val="20"/>
          <w:w w:val="105"/>
        </w:rPr>
        <w:t> </w:t>
      </w:r>
      <w:r>
        <w:rPr>
          <w:color w:val="231F1F"/>
          <w:w w:val="105"/>
        </w:rPr>
        <w:t>en</w:t>
      </w:r>
      <w:r>
        <w:rPr>
          <w:color w:val="231F1F"/>
          <w:spacing w:val="22"/>
          <w:w w:val="105"/>
        </w:rPr>
        <w:t> </w:t>
      </w:r>
      <w:r>
        <w:rPr>
          <w:color w:val="231F1F"/>
          <w:w w:val="105"/>
        </w:rPr>
        <w:t>relación</w:t>
      </w:r>
      <w:r>
        <w:rPr>
          <w:color w:val="231F1F"/>
          <w:spacing w:val="20"/>
          <w:w w:val="105"/>
        </w:rPr>
        <w:t> </w:t>
      </w:r>
      <w:r>
        <w:rPr>
          <w:color w:val="231F1F"/>
          <w:w w:val="105"/>
        </w:rPr>
        <w:t>al</w:t>
      </w:r>
      <w:r>
        <w:rPr>
          <w:color w:val="231F1F"/>
          <w:spacing w:val="21"/>
          <w:w w:val="105"/>
        </w:rPr>
        <w:t> </w:t>
      </w:r>
      <w:r>
        <w:rPr>
          <w:color w:val="231F1F"/>
          <w:w w:val="105"/>
        </w:rPr>
        <w:t>uso</w:t>
      </w:r>
      <w:r>
        <w:rPr>
          <w:color w:val="231F1F"/>
          <w:spacing w:val="21"/>
          <w:w w:val="105"/>
        </w:rPr>
        <w:t> </w:t>
      </w:r>
      <w:r>
        <w:rPr>
          <w:color w:val="231F1F"/>
          <w:w w:val="105"/>
        </w:rPr>
        <w:t>de</w:t>
      </w:r>
      <w:r>
        <w:rPr>
          <w:color w:val="231F1F"/>
          <w:spacing w:val="23"/>
          <w:w w:val="105"/>
        </w:rPr>
        <w:t> </w:t>
      </w:r>
      <w:r>
        <w:rPr>
          <w:color w:val="231F1F"/>
          <w:w w:val="105"/>
        </w:rPr>
        <w:t>analgesia</w:t>
      </w:r>
      <w:r>
        <w:rPr>
          <w:color w:val="231F1F"/>
          <w:spacing w:val="21"/>
          <w:w w:val="105"/>
        </w:rPr>
        <w:t> </w:t>
      </w:r>
      <w:r>
        <w:rPr>
          <w:color w:val="231F1F"/>
          <w:spacing w:val="-2"/>
          <w:w w:val="105"/>
        </w:rPr>
        <w:t>epidural,</w:t>
      </w:r>
      <w:r>
        <w:rPr>
          <w:color w:val="231F1F"/>
        </w:rPr>
        <w:tab/>
      </w:r>
      <w:r>
        <w:rPr>
          <w:rFonts w:ascii="Arial MT" w:hAnsi="Arial MT"/>
          <w:color w:val="231F1F"/>
          <w:spacing w:val="-5"/>
          <w:w w:val="105"/>
          <w:sz w:val="18"/>
        </w:rPr>
        <w:t>ECA</w:t>
      </w:r>
    </w:p>
    <w:p>
      <w:pPr>
        <w:pStyle w:val="BodyText"/>
        <w:tabs>
          <w:tab w:pos="8287" w:val="right" w:leader="none"/>
        </w:tabs>
        <w:spacing w:line="237" w:lineRule="exact"/>
        <w:ind w:left="283"/>
        <w:rPr>
          <w:rFonts w:ascii="Arial MT" w:hAnsi="Arial MT"/>
          <w:position w:val="4"/>
          <w:sz w:val="18"/>
        </w:rPr>
      </w:pPr>
      <w:r>
        <w:rPr>
          <w:color w:val="231F1F"/>
        </w:rPr>
        <w:t>tasa</w:t>
      </w:r>
      <w:r>
        <w:rPr>
          <w:color w:val="231F1F"/>
          <w:spacing w:val="25"/>
        </w:rPr>
        <w:t> </w:t>
      </w:r>
      <w:r>
        <w:rPr>
          <w:color w:val="231F1F"/>
        </w:rPr>
        <w:t>de</w:t>
      </w:r>
      <w:r>
        <w:rPr>
          <w:color w:val="231F1F"/>
          <w:spacing w:val="28"/>
        </w:rPr>
        <w:t> </w:t>
      </w:r>
      <w:r>
        <w:rPr>
          <w:color w:val="231F1F"/>
        </w:rPr>
        <w:t>cesáreas</w:t>
      </w:r>
      <w:r>
        <w:rPr>
          <w:color w:val="231F1F"/>
          <w:spacing w:val="29"/>
        </w:rPr>
        <w:t> </w:t>
      </w:r>
      <w:r>
        <w:rPr>
          <w:color w:val="231F1F"/>
        </w:rPr>
        <w:t>y</w:t>
      </w:r>
      <w:r>
        <w:rPr>
          <w:color w:val="231F1F"/>
          <w:spacing w:val="28"/>
        </w:rPr>
        <w:t> </w:t>
      </w:r>
      <w:r>
        <w:rPr>
          <w:color w:val="231F1F"/>
        </w:rPr>
        <w:t>resultados</w:t>
      </w:r>
      <w:r>
        <w:rPr>
          <w:color w:val="231F1F"/>
          <w:spacing w:val="29"/>
        </w:rPr>
        <w:t> </w:t>
      </w:r>
      <w:r>
        <w:rPr>
          <w:color w:val="231F1F"/>
        </w:rPr>
        <w:t>neonatales</w:t>
      </w:r>
      <w:r>
        <w:rPr>
          <w:color w:val="231F1F"/>
          <w:spacing w:val="28"/>
        </w:rPr>
        <w:t> </w:t>
      </w:r>
      <w:r>
        <w:rPr>
          <w:color w:val="231F1F"/>
        </w:rPr>
        <w:t>(puntuación</w:t>
      </w:r>
      <w:r>
        <w:rPr>
          <w:color w:val="231F1F"/>
          <w:spacing w:val="30"/>
        </w:rPr>
        <w:t> </w:t>
      </w:r>
      <w:r>
        <w:rPr>
          <w:color w:val="231F1F"/>
        </w:rPr>
        <w:t>Apgar</w:t>
      </w:r>
      <w:r>
        <w:rPr>
          <w:color w:val="231F1F"/>
          <w:spacing w:val="27"/>
        </w:rPr>
        <w:t> </w:t>
      </w:r>
      <w:r>
        <w:rPr>
          <w:color w:val="231F1F"/>
        </w:rPr>
        <w:t>a</w:t>
      </w:r>
      <w:r>
        <w:rPr>
          <w:color w:val="231F1F"/>
          <w:spacing w:val="28"/>
        </w:rPr>
        <w:t> </w:t>
      </w:r>
      <w:r>
        <w:rPr>
          <w:color w:val="231F1F"/>
        </w:rPr>
        <w:t>los</w:t>
      </w:r>
      <w:r>
        <w:rPr>
          <w:color w:val="231F1F"/>
          <w:spacing w:val="29"/>
        </w:rPr>
        <w:t> </w:t>
      </w:r>
      <w:r>
        <w:rPr>
          <w:color w:val="231F1F"/>
        </w:rPr>
        <w:t>5</w:t>
      </w:r>
      <w:r>
        <w:rPr>
          <w:color w:val="231F1F"/>
          <w:spacing w:val="28"/>
        </w:rPr>
        <w:t> </w:t>
      </w:r>
      <w:r>
        <w:rPr>
          <w:color w:val="231F1F"/>
        </w:rPr>
        <w:t>minutos</w:t>
      </w:r>
      <w:r>
        <w:rPr>
          <w:color w:val="231F1F"/>
          <w:spacing w:val="28"/>
        </w:rPr>
        <w:t> </w:t>
      </w:r>
      <w:r>
        <w:rPr>
          <w:color w:val="231F1F"/>
          <w:spacing w:val="-10"/>
        </w:rPr>
        <w:t>e</w:t>
      </w:r>
      <w:r>
        <w:rPr>
          <w:color w:val="231F1F"/>
        </w:rPr>
        <w:tab/>
      </w:r>
      <w:r>
        <w:rPr>
          <w:rFonts w:ascii="Arial MT" w:hAnsi="Arial MT"/>
          <w:color w:val="231F1F"/>
          <w:spacing w:val="-10"/>
          <w:position w:val="4"/>
          <w:sz w:val="18"/>
        </w:rPr>
        <w:t>1</w:t>
      </w:r>
    </w:p>
    <w:p>
      <w:pPr>
        <w:pStyle w:val="BodyText"/>
        <w:tabs>
          <w:tab w:pos="8036" w:val="left" w:leader="none"/>
        </w:tabs>
        <w:spacing w:line="275" w:lineRule="exact"/>
        <w:ind w:left="283"/>
        <w:rPr>
          <w:rFonts w:ascii="Arial MT"/>
          <w:position w:val="8"/>
          <w:sz w:val="18"/>
        </w:rPr>
      </w:pPr>
      <w:r>
        <w:rPr>
          <w:color w:val="231F1F"/>
          <w:w w:val="105"/>
        </w:rPr>
        <w:t>ingreso</w:t>
      </w:r>
      <w:r>
        <w:rPr>
          <w:color w:val="231F1F"/>
          <w:spacing w:val="-1"/>
          <w:w w:val="105"/>
        </w:rPr>
        <w:t> </w:t>
      </w:r>
      <w:r>
        <w:rPr>
          <w:color w:val="231F1F"/>
          <w:w w:val="105"/>
        </w:rPr>
        <w:t>en </w:t>
      </w:r>
      <w:r>
        <w:rPr>
          <w:color w:val="231F1F"/>
          <w:spacing w:val="-2"/>
          <w:w w:val="105"/>
        </w:rPr>
        <w:t>UCIN).</w:t>
      </w:r>
      <w:r>
        <w:rPr>
          <w:color w:val="231F1F"/>
        </w:rPr>
        <w:tab/>
      </w:r>
      <w:r>
        <w:rPr>
          <w:rFonts w:ascii="Arial MT"/>
          <w:color w:val="231F1F"/>
          <w:spacing w:val="-5"/>
          <w:w w:val="105"/>
          <w:position w:val="8"/>
          <w:sz w:val="18"/>
        </w:rPr>
        <w:t>ECA</w:t>
      </w:r>
    </w:p>
    <w:p>
      <w:pPr>
        <w:spacing w:line="204" w:lineRule="exact" w:before="0"/>
        <w:ind w:left="0" w:right="586" w:firstLine="0"/>
        <w:jc w:val="right"/>
        <w:rPr>
          <w:rFonts w:ascii="Arial MT"/>
          <w:sz w:val="18"/>
        </w:rPr>
      </w:pPr>
      <w:r>
        <w:rPr>
          <w:rFonts w:ascii="Arial MT"/>
          <w:color w:val="231F1F"/>
          <w:spacing w:val="-5"/>
          <w:sz w:val="18"/>
        </w:rPr>
        <w:t>1+</w:t>
      </w:r>
    </w:p>
    <w:p>
      <w:pPr>
        <w:spacing w:line="249" w:lineRule="auto" w:before="78"/>
        <w:ind w:left="283" w:right="1369" w:firstLine="453"/>
        <w:jc w:val="both"/>
        <w:rPr>
          <w:sz w:val="22"/>
        </w:rPr>
      </w:pPr>
      <w:r>
        <w:rPr>
          <w:color w:val="231F1F"/>
          <w:w w:val="105"/>
          <w:sz w:val="22"/>
        </w:rPr>
        <w:t>Por otro lado la guía NICE (10) también evalúa los </w:t>
      </w:r>
      <w:r>
        <w:rPr>
          <w:i/>
          <w:color w:val="231F1F"/>
          <w:w w:val="105"/>
          <w:sz w:val="22"/>
        </w:rPr>
        <w:t>efectos</w:t>
      </w:r>
      <w:r>
        <w:rPr>
          <w:i/>
          <w:color w:val="231F1F"/>
          <w:spacing w:val="-2"/>
          <w:w w:val="105"/>
          <w:sz w:val="22"/>
        </w:rPr>
        <w:t> </w:t>
      </w:r>
      <w:r>
        <w:rPr>
          <w:i/>
          <w:color w:val="231F1F"/>
          <w:w w:val="105"/>
          <w:sz w:val="22"/>
        </w:rPr>
        <w:t>de</w:t>
      </w:r>
      <w:r>
        <w:rPr>
          <w:i/>
          <w:color w:val="231F1F"/>
          <w:spacing w:val="-2"/>
          <w:w w:val="105"/>
          <w:sz w:val="22"/>
        </w:rPr>
        <w:t> </w:t>
      </w:r>
      <w:r>
        <w:rPr>
          <w:i/>
          <w:color w:val="231F1F"/>
          <w:w w:val="105"/>
          <w:sz w:val="22"/>
        </w:rPr>
        <w:t>la</w:t>
      </w:r>
      <w:r>
        <w:rPr>
          <w:i/>
          <w:color w:val="231F1F"/>
          <w:spacing w:val="-2"/>
          <w:w w:val="105"/>
          <w:sz w:val="22"/>
        </w:rPr>
        <w:t> </w:t>
      </w:r>
      <w:r>
        <w:rPr>
          <w:i/>
          <w:color w:val="231F1F"/>
          <w:w w:val="105"/>
          <w:sz w:val="22"/>
        </w:rPr>
        <w:t>estimu- lación</w:t>
      </w:r>
      <w:r>
        <w:rPr>
          <w:i/>
          <w:color w:val="231F1F"/>
          <w:spacing w:val="-3"/>
          <w:w w:val="105"/>
          <w:sz w:val="22"/>
        </w:rPr>
        <w:t> </w:t>
      </w:r>
      <w:r>
        <w:rPr>
          <w:color w:val="231F1F"/>
          <w:w w:val="105"/>
          <w:sz w:val="22"/>
        </w:rPr>
        <w:t>(mediante realización de</w:t>
      </w:r>
      <w:r>
        <w:rPr>
          <w:color w:val="231F1F"/>
          <w:spacing w:val="-2"/>
          <w:w w:val="105"/>
          <w:sz w:val="22"/>
        </w:rPr>
        <w:t> </w:t>
      </w:r>
      <w:r>
        <w:rPr>
          <w:color w:val="231F1F"/>
          <w:w w:val="105"/>
          <w:sz w:val="22"/>
        </w:rPr>
        <w:t>amniorrexis</w:t>
      </w:r>
      <w:r>
        <w:rPr>
          <w:color w:val="231F1F"/>
          <w:spacing w:val="-1"/>
          <w:w w:val="105"/>
          <w:sz w:val="22"/>
        </w:rPr>
        <w:t> </w:t>
      </w:r>
      <w:r>
        <w:rPr>
          <w:color w:val="231F1F"/>
          <w:w w:val="105"/>
          <w:sz w:val="22"/>
        </w:rPr>
        <w:t>o uso</w:t>
      </w:r>
      <w:r>
        <w:rPr>
          <w:color w:val="231F1F"/>
          <w:spacing w:val="-1"/>
          <w:w w:val="105"/>
          <w:sz w:val="22"/>
        </w:rPr>
        <w:t> </w:t>
      </w:r>
      <w:r>
        <w:rPr>
          <w:color w:val="231F1F"/>
          <w:w w:val="105"/>
          <w:sz w:val="22"/>
        </w:rPr>
        <w:t>de</w:t>
      </w:r>
      <w:r>
        <w:rPr>
          <w:color w:val="231F1F"/>
          <w:spacing w:val="-2"/>
          <w:w w:val="105"/>
          <w:sz w:val="22"/>
        </w:rPr>
        <w:t> </w:t>
      </w:r>
      <w:r>
        <w:rPr>
          <w:color w:val="231F1F"/>
          <w:w w:val="105"/>
          <w:sz w:val="22"/>
        </w:rPr>
        <w:t>oxitocina)</w:t>
      </w:r>
      <w:r>
        <w:rPr>
          <w:color w:val="231F1F"/>
          <w:spacing w:val="-9"/>
          <w:w w:val="105"/>
          <w:sz w:val="22"/>
        </w:rPr>
        <w:t> </w:t>
      </w:r>
      <w:r>
        <w:rPr>
          <w:i/>
          <w:color w:val="231F1F"/>
          <w:w w:val="105"/>
          <w:sz w:val="22"/>
        </w:rPr>
        <w:t>sobre</w:t>
      </w:r>
      <w:r>
        <w:rPr>
          <w:i/>
          <w:color w:val="231F1F"/>
          <w:spacing w:val="-4"/>
          <w:w w:val="105"/>
          <w:sz w:val="22"/>
        </w:rPr>
        <w:t> </w:t>
      </w:r>
      <w:r>
        <w:rPr>
          <w:i/>
          <w:color w:val="231F1F"/>
          <w:w w:val="105"/>
          <w:sz w:val="22"/>
        </w:rPr>
        <w:t>la</w:t>
      </w:r>
      <w:r>
        <w:rPr>
          <w:i/>
          <w:color w:val="231F1F"/>
          <w:spacing w:val="-3"/>
          <w:w w:val="105"/>
          <w:sz w:val="22"/>
        </w:rPr>
        <w:t> </w:t>
      </w:r>
      <w:r>
        <w:rPr>
          <w:i/>
          <w:color w:val="231F1F"/>
          <w:w w:val="105"/>
          <w:sz w:val="22"/>
        </w:rPr>
        <w:t>FCF</w:t>
      </w:r>
      <w:r>
        <w:rPr>
          <w:color w:val="231F1F"/>
          <w:w w:val="105"/>
          <w:sz w:val="22"/>
        </w:rPr>
        <w:t>.</w:t>
      </w:r>
    </w:p>
    <w:p>
      <w:pPr>
        <w:pStyle w:val="BodyText"/>
        <w:spacing w:line="244" w:lineRule="auto" w:before="132"/>
        <w:ind w:left="283" w:right="1372" w:firstLine="453"/>
        <w:jc w:val="both"/>
      </w:pPr>
      <w:r>
        <w:rPr>
          <w:color w:val="231F1F"/>
          <w:w w:val="110"/>
        </w:rPr>
        <w:t>Para</w:t>
      </w:r>
      <w:r>
        <w:rPr>
          <w:color w:val="231F1F"/>
          <w:spacing w:val="-9"/>
          <w:w w:val="110"/>
        </w:rPr>
        <w:t> </w:t>
      </w:r>
      <w:r>
        <w:rPr>
          <w:color w:val="231F1F"/>
          <w:w w:val="110"/>
        </w:rPr>
        <w:t>estudiar</w:t>
      </w:r>
      <w:r>
        <w:rPr>
          <w:color w:val="231F1F"/>
          <w:spacing w:val="-8"/>
          <w:w w:val="110"/>
        </w:rPr>
        <w:t> </w:t>
      </w:r>
      <w:r>
        <w:rPr>
          <w:color w:val="231F1F"/>
          <w:w w:val="110"/>
        </w:rPr>
        <w:t>el</w:t>
      </w:r>
      <w:r>
        <w:rPr>
          <w:color w:val="231F1F"/>
          <w:spacing w:val="-8"/>
          <w:w w:val="110"/>
        </w:rPr>
        <w:t> </w:t>
      </w:r>
      <w:r>
        <w:rPr>
          <w:color w:val="231F1F"/>
          <w:w w:val="110"/>
        </w:rPr>
        <w:t>efecto</w:t>
      </w:r>
      <w:r>
        <w:rPr>
          <w:color w:val="231F1F"/>
          <w:spacing w:val="-7"/>
          <w:w w:val="110"/>
        </w:rPr>
        <w:t> </w:t>
      </w:r>
      <w:r>
        <w:rPr>
          <w:color w:val="231F1F"/>
          <w:w w:val="110"/>
        </w:rPr>
        <w:t>de</w:t>
      </w:r>
      <w:r>
        <w:rPr>
          <w:color w:val="231F1F"/>
          <w:spacing w:val="-8"/>
          <w:w w:val="110"/>
        </w:rPr>
        <w:t> </w:t>
      </w:r>
      <w:r>
        <w:rPr>
          <w:color w:val="231F1F"/>
          <w:w w:val="110"/>
        </w:rPr>
        <w:t>la</w:t>
      </w:r>
      <w:r>
        <w:rPr>
          <w:color w:val="231F1F"/>
          <w:spacing w:val="-8"/>
          <w:w w:val="110"/>
        </w:rPr>
        <w:t> </w:t>
      </w:r>
      <w:r>
        <w:rPr>
          <w:i/>
          <w:color w:val="231F1F"/>
          <w:w w:val="110"/>
        </w:rPr>
        <w:t>amniorrexis</w:t>
      </w:r>
      <w:r>
        <w:rPr>
          <w:i/>
          <w:color w:val="231F1F"/>
          <w:spacing w:val="-16"/>
          <w:w w:val="110"/>
        </w:rPr>
        <w:t> </w:t>
      </w:r>
      <w:r>
        <w:rPr>
          <w:color w:val="231F1F"/>
          <w:w w:val="110"/>
        </w:rPr>
        <w:t>NICE</w:t>
      </w:r>
      <w:r>
        <w:rPr>
          <w:color w:val="231F1F"/>
          <w:spacing w:val="-6"/>
          <w:w w:val="110"/>
        </w:rPr>
        <w:t> </w:t>
      </w:r>
      <w:r>
        <w:rPr>
          <w:color w:val="231F1F"/>
          <w:w w:val="110"/>
        </w:rPr>
        <w:t>(10)</w:t>
      </w:r>
      <w:r>
        <w:rPr>
          <w:color w:val="231F1F"/>
          <w:spacing w:val="-8"/>
          <w:w w:val="110"/>
        </w:rPr>
        <w:t> </w:t>
      </w:r>
      <w:r>
        <w:rPr>
          <w:color w:val="231F1F"/>
          <w:w w:val="110"/>
        </w:rPr>
        <w:t>utiliza</w:t>
      </w:r>
      <w:r>
        <w:rPr>
          <w:color w:val="231F1F"/>
          <w:spacing w:val="-7"/>
          <w:w w:val="110"/>
        </w:rPr>
        <w:t> </w:t>
      </w:r>
      <w:r>
        <w:rPr>
          <w:color w:val="231F1F"/>
          <w:w w:val="110"/>
        </w:rPr>
        <w:t>tres</w:t>
      </w:r>
      <w:r>
        <w:rPr>
          <w:color w:val="231F1F"/>
          <w:spacing w:val="-8"/>
          <w:w w:val="110"/>
        </w:rPr>
        <w:t> </w:t>
      </w:r>
      <w:r>
        <w:rPr>
          <w:color w:val="231F1F"/>
          <w:w w:val="110"/>
        </w:rPr>
        <w:t>de</w:t>
      </w:r>
      <w:r>
        <w:rPr>
          <w:color w:val="231F1F"/>
          <w:spacing w:val="-8"/>
          <w:w w:val="110"/>
        </w:rPr>
        <w:t> </w:t>
      </w:r>
      <w:r>
        <w:rPr>
          <w:color w:val="231F1F"/>
          <w:w w:val="110"/>
        </w:rPr>
        <w:t>los</w:t>
      </w:r>
      <w:r>
        <w:rPr>
          <w:color w:val="231F1F"/>
          <w:spacing w:val="-8"/>
          <w:w w:val="110"/>
        </w:rPr>
        <w:t> </w:t>
      </w:r>
      <w:r>
        <w:rPr>
          <w:color w:val="231F1F"/>
          <w:w w:val="110"/>
        </w:rPr>
        <w:t>9 estudios</w:t>
      </w:r>
      <w:r>
        <w:rPr>
          <w:color w:val="231F1F"/>
          <w:spacing w:val="-5"/>
          <w:w w:val="110"/>
        </w:rPr>
        <w:t> </w:t>
      </w:r>
      <w:r>
        <w:rPr>
          <w:color w:val="231F1F"/>
          <w:w w:val="110"/>
        </w:rPr>
        <w:t>incluidos</w:t>
      </w:r>
      <w:r>
        <w:rPr>
          <w:color w:val="231F1F"/>
          <w:spacing w:val="-5"/>
          <w:w w:val="110"/>
        </w:rPr>
        <w:t> </w:t>
      </w:r>
      <w:r>
        <w:rPr>
          <w:color w:val="231F1F"/>
          <w:w w:val="110"/>
        </w:rPr>
        <w:t>en</w:t>
      </w:r>
      <w:r>
        <w:rPr>
          <w:color w:val="231F1F"/>
          <w:spacing w:val="-4"/>
          <w:w w:val="110"/>
        </w:rPr>
        <w:t> </w:t>
      </w:r>
      <w:r>
        <w:rPr>
          <w:color w:val="231F1F"/>
          <w:w w:val="110"/>
        </w:rPr>
        <w:t>la</w:t>
      </w:r>
      <w:r>
        <w:rPr>
          <w:color w:val="231F1F"/>
          <w:spacing w:val="-5"/>
          <w:w w:val="110"/>
        </w:rPr>
        <w:t> </w:t>
      </w:r>
      <w:r>
        <w:rPr>
          <w:color w:val="231F1F"/>
          <w:w w:val="110"/>
        </w:rPr>
        <w:t>RS</w:t>
      </w:r>
      <w:r>
        <w:rPr>
          <w:color w:val="231F1F"/>
          <w:spacing w:val="-4"/>
          <w:w w:val="110"/>
        </w:rPr>
        <w:t> </w:t>
      </w:r>
      <w:r>
        <w:rPr>
          <w:color w:val="231F1F"/>
          <w:w w:val="110"/>
        </w:rPr>
        <w:t>mencionada</w:t>
      </w:r>
      <w:r>
        <w:rPr>
          <w:color w:val="231F1F"/>
          <w:spacing w:val="-4"/>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primer</w:t>
      </w:r>
      <w:r>
        <w:rPr>
          <w:color w:val="231F1F"/>
          <w:spacing w:val="-5"/>
          <w:w w:val="110"/>
        </w:rPr>
        <w:t> </w:t>
      </w:r>
      <w:r>
        <w:rPr>
          <w:color w:val="231F1F"/>
          <w:w w:val="110"/>
        </w:rPr>
        <w:t>punto</w:t>
      </w:r>
      <w:r>
        <w:rPr>
          <w:color w:val="231F1F"/>
          <w:spacing w:val="-5"/>
          <w:w w:val="110"/>
        </w:rPr>
        <w:t> </w:t>
      </w:r>
      <w:r>
        <w:rPr>
          <w:color w:val="231F1F"/>
          <w:w w:val="110"/>
        </w:rPr>
        <w:t>(75),</w:t>
      </w:r>
      <w:r>
        <w:rPr>
          <w:color w:val="231F1F"/>
          <w:spacing w:val="-5"/>
          <w:w w:val="110"/>
        </w:rPr>
        <w:t> </w:t>
      </w:r>
      <w:r>
        <w:rPr>
          <w:color w:val="231F1F"/>
          <w:w w:val="110"/>
        </w:rPr>
        <w:t>evaluando los ECAs que analizan el efecto de la amniorrexis en la FCF.</w:t>
      </w:r>
    </w:p>
    <w:p>
      <w:pPr>
        <w:pStyle w:val="BodyText"/>
        <w:tabs>
          <w:tab w:pos="7791" w:val="left" w:leader="none"/>
          <w:tab w:pos="8036" w:val="left" w:leader="none"/>
          <w:tab w:pos="8114" w:val="left" w:leader="none"/>
        </w:tabs>
        <w:spacing w:line="242" w:lineRule="auto" w:before="109"/>
        <w:ind w:left="283" w:right="312" w:firstLine="453"/>
        <w:rPr>
          <w:rFonts w:ascii="Arial MT" w:hAnsi="Arial MT"/>
          <w:position w:val="8"/>
          <w:sz w:val="18"/>
        </w:rPr>
      </w:pPr>
      <w:r>
        <w:rPr>
          <w:color w:val="231F1F"/>
        </w:rPr>
        <w:t>No se encontraron diferencias en la FCF, entre los dos grupos de mujeres</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rPr>
        <w:t>nulíparas: RR 1,06 [IC 95% 0,80 a 1,42], ni tampoco entre las multíparas: RR</w:t>
        <w:tab/>
        <w:tab/>
      </w:r>
      <w:r>
        <w:rPr>
          <w:rFonts w:ascii="Arial MT" w:hAnsi="Arial MT"/>
          <w:color w:val="231F1F"/>
          <w:spacing w:val="-4"/>
          <w:position w:val="4"/>
          <w:sz w:val="18"/>
        </w:rPr>
        <w:t>ECA </w:t>
      </w:r>
      <w:r>
        <w:rPr>
          <w:color w:val="231F1F"/>
        </w:rPr>
        <w:t>0,93 [IC 95% 0,67 a 1,31].</w:t>
        <w:tab/>
        <w:tab/>
        <w:tab/>
      </w:r>
      <w:r>
        <w:rPr>
          <w:rFonts w:ascii="Arial MT" w:hAnsi="Arial MT"/>
          <w:color w:val="231F1F"/>
          <w:spacing w:val="-6"/>
          <w:position w:val="8"/>
          <w:sz w:val="18"/>
        </w:rPr>
        <w:t>1+</w:t>
      </w:r>
    </w:p>
    <w:p>
      <w:pPr>
        <w:pStyle w:val="BodyText"/>
        <w:spacing w:line="249" w:lineRule="auto" w:before="65"/>
        <w:ind w:left="283" w:right="1371" w:firstLine="453"/>
        <w:jc w:val="both"/>
      </w:pPr>
      <w:r>
        <w:rPr>
          <w:color w:val="231F1F"/>
          <w:w w:val="105"/>
        </w:rPr>
        <w:t>Para analizar el efecto de la </w:t>
      </w:r>
      <w:r>
        <w:rPr>
          <w:i/>
          <w:color w:val="231F1F"/>
          <w:w w:val="105"/>
        </w:rPr>
        <w:t>oxitocina </w:t>
      </w:r>
      <w:r>
        <w:rPr>
          <w:color w:val="231F1F"/>
          <w:w w:val="105"/>
        </w:rPr>
        <w:t>en la FCF, NICE (10) evaluó dos ensayos</w:t>
      </w:r>
      <w:r>
        <w:rPr>
          <w:color w:val="231F1F"/>
          <w:w w:val="105"/>
        </w:rPr>
        <w:t> (77;79),</w:t>
      </w:r>
      <w:r>
        <w:rPr>
          <w:color w:val="231F1F"/>
          <w:w w:val="105"/>
        </w:rPr>
        <w:t> también</w:t>
      </w:r>
      <w:r>
        <w:rPr>
          <w:color w:val="231F1F"/>
          <w:w w:val="105"/>
        </w:rPr>
        <w:t> mencionados</w:t>
      </w:r>
      <w:r>
        <w:rPr>
          <w:color w:val="231F1F"/>
          <w:w w:val="105"/>
        </w:rPr>
        <w:t> anteriormente,</w:t>
      </w:r>
      <w:r>
        <w:rPr>
          <w:color w:val="231F1F"/>
          <w:w w:val="105"/>
        </w:rPr>
        <w:t> que</w:t>
      </w:r>
      <w:r>
        <w:rPr>
          <w:color w:val="231F1F"/>
          <w:w w:val="105"/>
        </w:rPr>
        <w:t> analizan</w:t>
      </w:r>
      <w:r>
        <w:rPr>
          <w:color w:val="231F1F"/>
          <w:w w:val="105"/>
        </w:rPr>
        <w:t> el</w:t>
      </w:r>
      <w:r>
        <w:rPr>
          <w:color w:val="231F1F"/>
          <w:w w:val="105"/>
        </w:rPr>
        <w:t> efecto de</w:t>
      </w:r>
      <w:r>
        <w:rPr>
          <w:color w:val="231F1F"/>
          <w:spacing w:val="40"/>
          <w:w w:val="105"/>
        </w:rPr>
        <w:t> </w:t>
      </w:r>
      <w:r>
        <w:rPr>
          <w:color w:val="231F1F"/>
          <w:w w:val="105"/>
        </w:rPr>
        <w:t>la</w:t>
      </w:r>
      <w:r>
        <w:rPr>
          <w:color w:val="231F1F"/>
          <w:spacing w:val="40"/>
          <w:w w:val="105"/>
        </w:rPr>
        <w:t> </w:t>
      </w:r>
      <w:r>
        <w:rPr>
          <w:color w:val="231F1F"/>
          <w:w w:val="105"/>
        </w:rPr>
        <w:t>oxitocina</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tasa</w:t>
      </w:r>
      <w:r>
        <w:rPr>
          <w:color w:val="231F1F"/>
          <w:spacing w:val="40"/>
          <w:w w:val="105"/>
        </w:rPr>
        <w:t> </w:t>
      </w:r>
      <w:r>
        <w:rPr>
          <w:color w:val="231F1F"/>
          <w:w w:val="105"/>
        </w:rPr>
        <w:t>de</w:t>
      </w:r>
      <w:r>
        <w:rPr>
          <w:color w:val="231F1F"/>
          <w:spacing w:val="40"/>
          <w:w w:val="105"/>
        </w:rPr>
        <w:t> </w:t>
      </w:r>
      <w:r>
        <w:rPr>
          <w:color w:val="231F1F"/>
          <w:w w:val="105"/>
        </w:rPr>
        <w:t>cesáreas</w:t>
      </w:r>
      <w:r>
        <w:rPr>
          <w:color w:val="231F1F"/>
          <w:spacing w:val="40"/>
          <w:w w:val="105"/>
        </w:rPr>
        <w:t> </w:t>
      </w:r>
      <w:r>
        <w:rPr>
          <w:color w:val="231F1F"/>
          <w:w w:val="105"/>
        </w:rPr>
        <w:t>por</w:t>
      </w:r>
      <w:r>
        <w:rPr>
          <w:color w:val="231F1F"/>
          <w:spacing w:val="40"/>
          <w:w w:val="105"/>
        </w:rPr>
        <w:t> </w:t>
      </w:r>
      <w:r>
        <w:rPr>
          <w:color w:val="231F1F"/>
          <w:w w:val="105"/>
        </w:rPr>
        <w:t>sufrimiento</w:t>
      </w:r>
      <w:r>
        <w:rPr>
          <w:color w:val="231F1F"/>
          <w:spacing w:val="40"/>
          <w:w w:val="105"/>
        </w:rPr>
        <w:t> </w:t>
      </w:r>
      <w:r>
        <w:rPr>
          <w:color w:val="231F1F"/>
          <w:w w:val="105"/>
        </w:rPr>
        <w:t>fetal.</w:t>
      </w:r>
    </w:p>
    <w:p>
      <w:pPr>
        <w:pStyle w:val="BodyText"/>
        <w:tabs>
          <w:tab w:pos="7246" w:val="left" w:leader="none"/>
        </w:tabs>
        <w:spacing w:line="252" w:lineRule="exact" w:before="94"/>
        <w:ind w:right="560"/>
        <w:jc w:val="right"/>
        <w:rPr>
          <w:rFonts w:ascii="Arial MT"/>
          <w:sz w:val="18"/>
        </w:rPr>
      </w:pPr>
      <w:r>
        <w:rPr>
          <w:color w:val="231F1F"/>
        </w:rPr>
        <w:t>En</w:t>
      </w:r>
      <w:r>
        <w:rPr>
          <w:color w:val="231F1F"/>
          <w:spacing w:val="9"/>
        </w:rPr>
        <w:t> </w:t>
      </w:r>
      <w:r>
        <w:rPr>
          <w:color w:val="231F1F"/>
        </w:rPr>
        <w:t>estos</w:t>
      </w:r>
      <w:r>
        <w:rPr>
          <w:color w:val="231F1F"/>
          <w:spacing w:val="9"/>
        </w:rPr>
        <w:t> </w:t>
      </w:r>
      <w:r>
        <w:rPr>
          <w:color w:val="231F1F"/>
        </w:rPr>
        <w:t>casos</w:t>
      </w:r>
      <w:r>
        <w:rPr>
          <w:color w:val="231F1F"/>
          <w:spacing w:val="11"/>
        </w:rPr>
        <w:t> </w:t>
      </w:r>
      <w:r>
        <w:rPr>
          <w:color w:val="231F1F"/>
        </w:rPr>
        <w:t>tampoco</w:t>
      </w:r>
      <w:r>
        <w:rPr>
          <w:color w:val="231F1F"/>
          <w:spacing w:val="6"/>
        </w:rPr>
        <w:t> </w:t>
      </w:r>
      <w:r>
        <w:rPr>
          <w:color w:val="231F1F"/>
        </w:rPr>
        <w:t>se</w:t>
      </w:r>
      <w:r>
        <w:rPr>
          <w:color w:val="231F1F"/>
          <w:spacing w:val="9"/>
        </w:rPr>
        <w:t> </w:t>
      </w:r>
      <w:r>
        <w:rPr>
          <w:color w:val="231F1F"/>
        </w:rPr>
        <w:t>observaron</w:t>
      </w:r>
      <w:r>
        <w:rPr>
          <w:color w:val="231F1F"/>
          <w:spacing w:val="7"/>
        </w:rPr>
        <w:t> </w:t>
      </w:r>
      <w:r>
        <w:rPr>
          <w:color w:val="231F1F"/>
        </w:rPr>
        <w:t>diferencias,</w:t>
      </w:r>
      <w:r>
        <w:rPr>
          <w:color w:val="231F1F"/>
          <w:spacing w:val="8"/>
        </w:rPr>
        <w:t> </w:t>
      </w:r>
      <w:r>
        <w:rPr>
          <w:color w:val="231F1F"/>
        </w:rPr>
        <w:t>ni</w:t>
      </w:r>
      <w:r>
        <w:rPr>
          <w:color w:val="231F1F"/>
          <w:spacing w:val="7"/>
        </w:rPr>
        <w:t> </w:t>
      </w:r>
      <w:r>
        <w:rPr>
          <w:color w:val="231F1F"/>
        </w:rPr>
        <w:t>en</w:t>
      </w:r>
      <w:r>
        <w:rPr>
          <w:color w:val="231F1F"/>
          <w:spacing w:val="10"/>
        </w:rPr>
        <w:t> </w:t>
      </w:r>
      <w:r>
        <w:rPr>
          <w:color w:val="231F1F"/>
        </w:rPr>
        <w:t>el</w:t>
      </w:r>
      <w:r>
        <w:rPr>
          <w:color w:val="231F1F"/>
          <w:spacing w:val="8"/>
        </w:rPr>
        <w:t> </w:t>
      </w:r>
      <w:r>
        <w:rPr>
          <w:color w:val="231F1F"/>
        </w:rPr>
        <w:t>primer</w:t>
      </w:r>
      <w:r>
        <w:rPr>
          <w:color w:val="231F1F"/>
          <w:spacing w:val="7"/>
        </w:rPr>
        <w:t> </w:t>
      </w:r>
      <w:r>
        <w:rPr>
          <w:color w:val="231F1F"/>
          <w:spacing w:val="-2"/>
        </w:rPr>
        <w:t>ensayo</w:t>
      </w:r>
      <w:r>
        <w:rPr>
          <w:color w:val="231F1F"/>
        </w:rPr>
        <w:tab/>
      </w:r>
      <w:r>
        <w:rPr>
          <w:rFonts w:ascii="Arial MT"/>
          <w:color w:val="231F1F"/>
          <w:spacing w:val="-5"/>
          <w:sz w:val="18"/>
        </w:rPr>
        <w:t>ECA</w:t>
      </w:r>
    </w:p>
    <w:p>
      <w:pPr>
        <w:pStyle w:val="BodyText"/>
        <w:tabs>
          <w:tab w:pos="7831" w:val="left" w:leader="none"/>
        </w:tabs>
        <w:spacing w:line="234" w:lineRule="exact"/>
        <w:ind w:right="588"/>
        <w:jc w:val="right"/>
        <w:rPr>
          <w:rFonts w:ascii="Arial MT"/>
          <w:position w:val="4"/>
          <w:sz w:val="18"/>
        </w:rPr>
      </w:pPr>
      <w:r>
        <w:rPr>
          <w:color w:val="231F1F"/>
        </w:rPr>
        <w:t>(77):</w:t>
      </w:r>
      <w:r>
        <w:rPr>
          <w:color w:val="231F1F"/>
          <w:spacing w:val="7"/>
        </w:rPr>
        <w:t> </w:t>
      </w:r>
      <w:r>
        <w:rPr>
          <w:color w:val="231F1F"/>
        </w:rPr>
        <w:t>RR</w:t>
      </w:r>
      <w:r>
        <w:rPr>
          <w:color w:val="231F1F"/>
          <w:spacing w:val="10"/>
        </w:rPr>
        <w:t> </w:t>
      </w:r>
      <w:r>
        <w:rPr>
          <w:color w:val="231F1F"/>
        </w:rPr>
        <w:t>2,86</w:t>
      </w:r>
      <w:r>
        <w:rPr>
          <w:color w:val="231F1F"/>
          <w:spacing w:val="10"/>
        </w:rPr>
        <w:t> </w:t>
      </w:r>
      <w:r>
        <w:rPr>
          <w:color w:val="231F1F"/>
        </w:rPr>
        <w:t>[IC</w:t>
      </w:r>
      <w:r>
        <w:rPr>
          <w:color w:val="231F1F"/>
          <w:spacing w:val="10"/>
        </w:rPr>
        <w:t> </w:t>
      </w:r>
      <w:r>
        <w:rPr>
          <w:color w:val="231F1F"/>
        </w:rPr>
        <w:t>95%</w:t>
      </w:r>
      <w:r>
        <w:rPr>
          <w:color w:val="231F1F"/>
          <w:spacing w:val="11"/>
        </w:rPr>
        <w:t> </w:t>
      </w:r>
      <w:r>
        <w:rPr>
          <w:color w:val="231F1F"/>
        </w:rPr>
        <w:t>0,32</w:t>
      </w:r>
      <w:r>
        <w:rPr>
          <w:color w:val="231F1F"/>
          <w:spacing w:val="7"/>
        </w:rPr>
        <w:t> </w:t>
      </w:r>
      <w:r>
        <w:rPr>
          <w:color w:val="231F1F"/>
        </w:rPr>
        <w:t>a</w:t>
      </w:r>
      <w:r>
        <w:rPr>
          <w:color w:val="231F1F"/>
          <w:spacing w:val="10"/>
        </w:rPr>
        <w:t> </w:t>
      </w:r>
      <w:r>
        <w:rPr>
          <w:color w:val="231F1F"/>
        </w:rPr>
        <w:t>25,24],</w:t>
      </w:r>
      <w:r>
        <w:rPr>
          <w:color w:val="231F1F"/>
          <w:spacing w:val="8"/>
        </w:rPr>
        <w:t> </w:t>
      </w:r>
      <w:r>
        <w:rPr>
          <w:color w:val="231F1F"/>
        </w:rPr>
        <w:t>ni</w:t>
      </w:r>
      <w:r>
        <w:rPr>
          <w:color w:val="231F1F"/>
          <w:spacing w:val="7"/>
        </w:rPr>
        <w:t> </w:t>
      </w:r>
      <w:r>
        <w:rPr>
          <w:color w:val="231F1F"/>
        </w:rPr>
        <w:t>en</w:t>
      </w:r>
      <w:r>
        <w:rPr>
          <w:color w:val="231F1F"/>
          <w:spacing w:val="10"/>
        </w:rPr>
        <w:t> </w:t>
      </w:r>
      <w:r>
        <w:rPr>
          <w:color w:val="231F1F"/>
        </w:rPr>
        <w:t>los</w:t>
      </w:r>
      <w:r>
        <w:rPr>
          <w:color w:val="231F1F"/>
          <w:spacing w:val="10"/>
        </w:rPr>
        <w:t> </w:t>
      </w:r>
      <w:r>
        <w:rPr>
          <w:color w:val="231F1F"/>
        </w:rPr>
        <w:t>diferentes</w:t>
      </w:r>
      <w:r>
        <w:rPr>
          <w:color w:val="231F1F"/>
          <w:spacing w:val="8"/>
        </w:rPr>
        <w:t> </w:t>
      </w:r>
      <w:r>
        <w:rPr>
          <w:color w:val="231F1F"/>
        </w:rPr>
        <w:t>subgrupos</w:t>
      </w:r>
      <w:r>
        <w:rPr>
          <w:color w:val="231F1F"/>
          <w:spacing w:val="10"/>
        </w:rPr>
        <w:t> </w:t>
      </w:r>
      <w:r>
        <w:rPr>
          <w:color w:val="231F1F"/>
        </w:rPr>
        <w:t>grupos</w:t>
      </w:r>
      <w:r>
        <w:rPr>
          <w:color w:val="231F1F"/>
          <w:spacing w:val="10"/>
        </w:rPr>
        <w:t> </w:t>
      </w:r>
      <w:r>
        <w:rPr>
          <w:color w:val="231F1F"/>
          <w:spacing w:val="-5"/>
        </w:rPr>
        <w:t>del</w:t>
      </w:r>
      <w:r>
        <w:rPr>
          <w:color w:val="231F1F"/>
        </w:rPr>
        <w:tab/>
      </w:r>
      <w:r>
        <w:rPr>
          <w:rFonts w:ascii="Arial MT"/>
          <w:color w:val="231F1F"/>
          <w:spacing w:val="-5"/>
          <w:position w:val="4"/>
          <w:sz w:val="18"/>
        </w:rPr>
        <w:t>1+</w:t>
      </w:r>
    </w:p>
    <w:p>
      <w:pPr>
        <w:pStyle w:val="BodyText"/>
        <w:tabs>
          <w:tab w:pos="7753" w:val="left" w:leader="none"/>
        </w:tabs>
        <w:spacing w:line="258" w:lineRule="exact"/>
        <w:ind w:right="489"/>
        <w:jc w:val="right"/>
        <w:rPr>
          <w:rFonts w:ascii="Arial MT" w:hAnsi="Arial MT"/>
          <w:position w:val="8"/>
          <w:sz w:val="18"/>
        </w:rPr>
      </w:pPr>
      <w:r>
        <w:rPr>
          <w:color w:val="231F1F"/>
          <w:w w:val="105"/>
        </w:rPr>
        <w:t>segundo</w:t>
      </w:r>
      <w:r>
        <w:rPr>
          <w:color w:val="231F1F"/>
          <w:spacing w:val="-1"/>
          <w:w w:val="105"/>
        </w:rPr>
        <w:t> </w:t>
      </w:r>
      <w:r>
        <w:rPr>
          <w:color w:val="231F1F"/>
          <w:w w:val="105"/>
        </w:rPr>
        <w:t>ensayo</w:t>
      </w:r>
      <w:r>
        <w:rPr>
          <w:color w:val="231F1F"/>
          <w:spacing w:val="-1"/>
          <w:w w:val="105"/>
        </w:rPr>
        <w:t> </w:t>
      </w:r>
      <w:r>
        <w:rPr>
          <w:color w:val="231F1F"/>
          <w:w w:val="105"/>
        </w:rPr>
        <w:t>(79):</w:t>
      </w:r>
      <w:r>
        <w:rPr>
          <w:color w:val="231F1F"/>
          <w:spacing w:val="-1"/>
          <w:w w:val="105"/>
        </w:rPr>
        <w:t> </w:t>
      </w:r>
      <w:r>
        <w:rPr>
          <w:color w:val="231F1F"/>
          <w:w w:val="105"/>
        </w:rPr>
        <w:t>nulíparas:</w:t>
      </w:r>
      <w:r>
        <w:rPr>
          <w:color w:val="231F1F"/>
          <w:spacing w:val="-1"/>
          <w:w w:val="105"/>
        </w:rPr>
        <w:t> </w:t>
      </w:r>
      <w:r>
        <w:rPr>
          <w:color w:val="231F1F"/>
          <w:w w:val="105"/>
        </w:rPr>
        <w:t>RR 0,40</w:t>
      </w:r>
      <w:r>
        <w:rPr>
          <w:color w:val="231F1F"/>
          <w:spacing w:val="-1"/>
          <w:w w:val="105"/>
        </w:rPr>
        <w:t> </w:t>
      </w:r>
      <w:r>
        <w:rPr>
          <w:color w:val="231F1F"/>
          <w:w w:val="105"/>
        </w:rPr>
        <w:t>[IC 95% 0,45</w:t>
      </w:r>
      <w:r>
        <w:rPr>
          <w:color w:val="231F1F"/>
          <w:spacing w:val="1"/>
          <w:w w:val="105"/>
        </w:rPr>
        <w:t> </w:t>
      </w:r>
      <w:r>
        <w:rPr>
          <w:color w:val="231F1F"/>
          <w:w w:val="105"/>
        </w:rPr>
        <w:t>a</w:t>
      </w:r>
      <w:r>
        <w:rPr>
          <w:color w:val="231F1F"/>
          <w:spacing w:val="-2"/>
          <w:w w:val="105"/>
        </w:rPr>
        <w:t> </w:t>
      </w:r>
      <w:r>
        <w:rPr>
          <w:color w:val="231F1F"/>
          <w:w w:val="105"/>
        </w:rPr>
        <w:t>1,03],</w:t>
      </w:r>
      <w:r>
        <w:rPr>
          <w:color w:val="231F1F"/>
          <w:spacing w:val="-2"/>
          <w:w w:val="105"/>
        </w:rPr>
        <w:t> </w:t>
      </w:r>
      <w:r>
        <w:rPr>
          <w:color w:val="231F1F"/>
          <w:w w:val="105"/>
        </w:rPr>
        <w:t>y </w:t>
      </w:r>
      <w:r>
        <w:rPr>
          <w:color w:val="231F1F"/>
          <w:spacing w:val="-2"/>
          <w:w w:val="105"/>
        </w:rPr>
        <w:t>multíparas:</w:t>
      </w:r>
      <w:r>
        <w:rPr>
          <w:color w:val="231F1F"/>
        </w:rPr>
        <w:tab/>
      </w:r>
      <w:r>
        <w:rPr>
          <w:rFonts w:ascii="Arial MT" w:hAnsi="Arial MT"/>
          <w:color w:val="231F1F"/>
          <w:spacing w:val="-5"/>
          <w:w w:val="105"/>
          <w:position w:val="8"/>
          <w:sz w:val="18"/>
        </w:rPr>
        <w:t>ECA</w:t>
      </w:r>
    </w:p>
    <w:p>
      <w:pPr>
        <w:pStyle w:val="BodyText"/>
        <w:tabs>
          <w:tab w:pos="8114" w:val="left" w:leader="none"/>
        </w:tabs>
        <w:spacing w:line="319" w:lineRule="exact"/>
        <w:ind w:left="283"/>
        <w:rPr>
          <w:rFonts w:ascii="Arial MT"/>
          <w:position w:val="12"/>
          <w:sz w:val="18"/>
        </w:rPr>
      </w:pPr>
      <w:r>
        <w:rPr>
          <w:color w:val="231F1F"/>
          <w:w w:val="105"/>
        </w:rPr>
        <w:t>RR</w:t>
      </w:r>
      <w:r>
        <w:rPr>
          <w:color w:val="231F1F"/>
          <w:spacing w:val="-5"/>
          <w:w w:val="105"/>
        </w:rPr>
        <w:t> </w:t>
      </w:r>
      <w:r>
        <w:rPr>
          <w:color w:val="231F1F"/>
          <w:w w:val="105"/>
        </w:rPr>
        <w:t>0,66</w:t>
      </w:r>
      <w:r>
        <w:rPr>
          <w:color w:val="231F1F"/>
          <w:spacing w:val="-4"/>
          <w:w w:val="105"/>
        </w:rPr>
        <w:t> </w:t>
      </w:r>
      <w:r>
        <w:rPr>
          <w:color w:val="231F1F"/>
          <w:w w:val="105"/>
        </w:rPr>
        <w:t>[IC</w:t>
      </w:r>
      <w:r>
        <w:rPr>
          <w:color w:val="231F1F"/>
          <w:spacing w:val="-5"/>
          <w:w w:val="105"/>
        </w:rPr>
        <w:t> </w:t>
      </w:r>
      <w:r>
        <w:rPr>
          <w:color w:val="231F1F"/>
          <w:w w:val="105"/>
        </w:rPr>
        <w:t>95%</w:t>
      </w:r>
      <w:r>
        <w:rPr>
          <w:color w:val="231F1F"/>
          <w:spacing w:val="-4"/>
          <w:w w:val="105"/>
        </w:rPr>
        <w:t> </w:t>
      </w:r>
      <w:r>
        <w:rPr>
          <w:color w:val="231F1F"/>
          <w:w w:val="105"/>
        </w:rPr>
        <w:t>0,20</w:t>
      </w:r>
      <w:r>
        <w:rPr>
          <w:color w:val="231F1F"/>
          <w:spacing w:val="-6"/>
          <w:w w:val="105"/>
        </w:rPr>
        <w:t> </w:t>
      </w:r>
      <w:r>
        <w:rPr>
          <w:color w:val="231F1F"/>
          <w:w w:val="105"/>
        </w:rPr>
        <w:t>a</w:t>
      </w:r>
      <w:r>
        <w:rPr>
          <w:color w:val="231F1F"/>
          <w:spacing w:val="-4"/>
          <w:w w:val="105"/>
        </w:rPr>
        <w:t> </w:t>
      </w:r>
      <w:r>
        <w:rPr>
          <w:color w:val="231F1F"/>
          <w:spacing w:val="-2"/>
          <w:w w:val="105"/>
        </w:rPr>
        <w:t>2,13].</w:t>
      </w:r>
      <w:r>
        <w:rPr>
          <w:color w:val="231F1F"/>
        </w:rPr>
        <w:tab/>
      </w:r>
      <w:r>
        <w:rPr>
          <w:rFonts w:ascii="Arial MT"/>
          <w:color w:val="231F1F"/>
          <w:spacing w:val="-5"/>
          <w:w w:val="105"/>
          <w:position w:val="12"/>
          <w:sz w:val="18"/>
        </w:rPr>
        <w:t>1+</w:t>
      </w:r>
    </w:p>
    <w:p>
      <w:pPr>
        <w:pStyle w:val="BodyText"/>
        <w:spacing w:line="244" w:lineRule="auto" w:before="102"/>
        <w:ind w:left="283" w:right="1373" w:firstLine="453"/>
        <w:jc w:val="both"/>
      </w:pPr>
      <w:r>
        <w:rPr>
          <w:color w:val="231F1F"/>
          <w:w w:val="110"/>
        </w:rPr>
        <w:t>El</w:t>
      </w:r>
      <w:r>
        <w:rPr>
          <w:color w:val="231F1F"/>
          <w:spacing w:val="-9"/>
          <w:w w:val="110"/>
        </w:rPr>
        <w:t> </w:t>
      </w:r>
      <w:r>
        <w:rPr>
          <w:color w:val="231F1F"/>
          <w:w w:val="110"/>
        </w:rPr>
        <w:t>GEG</w:t>
      </w:r>
      <w:r>
        <w:rPr>
          <w:color w:val="231F1F"/>
          <w:spacing w:val="-8"/>
          <w:w w:val="110"/>
        </w:rPr>
        <w:t> </w:t>
      </w:r>
      <w:r>
        <w:rPr>
          <w:color w:val="231F1F"/>
          <w:w w:val="110"/>
        </w:rPr>
        <w:t>opina</w:t>
      </w:r>
      <w:r>
        <w:rPr>
          <w:color w:val="231F1F"/>
          <w:spacing w:val="-9"/>
          <w:w w:val="110"/>
        </w:rPr>
        <w:t> </w:t>
      </w:r>
      <w:r>
        <w:rPr>
          <w:color w:val="231F1F"/>
          <w:w w:val="110"/>
        </w:rPr>
        <w:t>que</w:t>
      </w:r>
      <w:r>
        <w:rPr>
          <w:color w:val="231F1F"/>
          <w:spacing w:val="-9"/>
          <w:w w:val="110"/>
        </w:rPr>
        <w:t> </w:t>
      </w:r>
      <w:r>
        <w:rPr>
          <w:color w:val="231F1F"/>
          <w:w w:val="110"/>
        </w:rPr>
        <w:t>no</w:t>
      </w:r>
      <w:r>
        <w:rPr>
          <w:color w:val="231F1F"/>
          <w:spacing w:val="-9"/>
          <w:w w:val="110"/>
        </w:rPr>
        <w:t> </w:t>
      </w:r>
      <w:r>
        <w:rPr>
          <w:color w:val="231F1F"/>
          <w:w w:val="110"/>
        </w:rPr>
        <w:t>existen</w:t>
      </w:r>
      <w:r>
        <w:rPr>
          <w:color w:val="231F1F"/>
          <w:spacing w:val="-9"/>
          <w:w w:val="110"/>
        </w:rPr>
        <w:t> </w:t>
      </w:r>
      <w:r>
        <w:rPr>
          <w:color w:val="231F1F"/>
          <w:w w:val="110"/>
        </w:rPr>
        <w:t>pruebas</w:t>
      </w:r>
      <w:r>
        <w:rPr>
          <w:color w:val="231F1F"/>
          <w:spacing w:val="-9"/>
          <w:w w:val="110"/>
        </w:rPr>
        <w:t> </w:t>
      </w:r>
      <w:r>
        <w:rPr>
          <w:color w:val="231F1F"/>
          <w:w w:val="110"/>
        </w:rPr>
        <w:t>sobre</w:t>
      </w:r>
      <w:r>
        <w:rPr>
          <w:color w:val="231F1F"/>
          <w:spacing w:val="-9"/>
          <w:w w:val="110"/>
        </w:rPr>
        <w:t> </w:t>
      </w:r>
      <w:r>
        <w:rPr>
          <w:color w:val="231F1F"/>
          <w:w w:val="110"/>
        </w:rPr>
        <w:t>el</w:t>
      </w:r>
      <w:r>
        <w:rPr>
          <w:color w:val="231F1F"/>
          <w:spacing w:val="-9"/>
          <w:w w:val="110"/>
        </w:rPr>
        <w:t> </w:t>
      </w:r>
      <w:r>
        <w:rPr>
          <w:color w:val="231F1F"/>
          <w:w w:val="110"/>
        </w:rPr>
        <w:t>efecto</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oxitocina</w:t>
      </w:r>
      <w:r>
        <w:rPr>
          <w:color w:val="231F1F"/>
          <w:spacing w:val="-9"/>
          <w:w w:val="110"/>
        </w:rPr>
        <w:t> </w:t>
      </w:r>
      <w:r>
        <w:rPr>
          <w:color w:val="231F1F"/>
          <w:w w:val="110"/>
        </w:rPr>
        <w:t>en el</w:t>
      </w:r>
      <w:r>
        <w:rPr>
          <w:color w:val="231F1F"/>
          <w:spacing w:val="-3"/>
          <w:w w:val="110"/>
        </w:rPr>
        <w:t> </w:t>
      </w:r>
      <w:r>
        <w:rPr>
          <w:color w:val="231F1F"/>
          <w:w w:val="110"/>
        </w:rPr>
        <w:t>trazado</w:t>
      </w:r>
      <w:r>
        <w:rPr>
          <w:color w:val="231F1F"/>
          <w:spacing w:val="-2"/>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FCF</w:t>
      </w:r>
      <w:r>
        <w:rPr>
          <w:color w:val="231F1F"/>
          <w:spacing w:val="-3"/>
          <w:w w:val="110"/>
        </w:rPr>
        <w:t> </w:t>
      </w:r>
      <w:r>
        <w:rPr>
          <w:color w:val="231F1F"/>
          <w:w w:val="110"/>
        </w:rPr>
        <w:t>ni</w:t>
      </w:r>
      <w:r>
        <w:rPr>
          <w:color w:val="231F1F"/>
          <w:spacing w:val="-3"/>
          <w:w w:val="110"/>
        </w:rPr>
        <w:t> </w:t>
      </w:r>
      <w:r>
        <w:rPr>
          <w:color w:val="231F1F"/>
          <w:w w:val="110"/>
        </w:rPr>
        <w:t>en</w:t>
      </w:r>
      <w:r>
        <w:rPr>
          <w:color w:val="231F1F"/>
          <w:spacing w:val="-2"/>
          <w:w w:val="110"/>
        </w:rPr>
        <w:t> </w:t>
      </w:r>
      <w:r>
        <w:rPr>
          <w:color w:val="231F1F"/>
          <w:w w:val="110"/>
        </w:rPr>
        <w:t>la</w:t>
      </w:r>
      <w:r>
        <w:rPr>
          <w:color w:val="231F1F"/>
          <w:spacing w:val="-3"/>
          <w:w w:val="110"/>
        </w:rPr>
        <w:t> </w:t>
      </w:r>
      <w:r>
        <w:rPr>
          <w:color w:val="231F1F"/>
          <w:w w:val="110"/>
        </w:rPr>
        <w:t>tasa</w:t>
      </w:r>
      <w:r>
        <w:rPr>
          <w:color w:val="231F1F"/>
          <w:spacing w:val="-2"/>
          <w:w w:val="110"/>
        </w:rPr>
        <w:t> </w:t>
      </w:r>
      <w:r>
        <w:rPr>
          <w:color w:val="231F1F"/>
          <w:w w:val="110"/>
        </w:rPr>
        <w:t>de</w:t>
      </w:r>
      <w:r>
        <w:rPr>
          <w:color w:val="231F1F"/>
          <w:spacing w:val="-3"/>
          <w:w w:val="110"/>
        </w:rPr>
        <w:t> </w:t>
      </w:r>
      <w:r>
        <w:rPr>
          <w:color w:val="231F1F"/>
          <w:w w:val="110"/>
        </w:rPr>
        <w:t>cesáreas</w:t>
      </w:r>
      <w:r>
        <w:rPr>
          <w:color w:val="231F1F"/>
          <w:spacing w:val="-2"/>
          <w:w w:val="110"/>
        </w:rPr>
        <w:t> </w:t>
      </w:r>
      <w:r>
        <w:rPr>
          <w:color w:val="231F1F"/>
          <w:w w:val="110"/>
        </w:rPr>
        <w:t>por</w:t>
      </w:r>
      <w:r>
        <w:rPr>
          <w:color w:val="231F1F"/>
          <w:spacing w:val="-3"/>
          <w:w w:val="110"/>
        </w:rPr>
        <w:t> </w:t>
      </w:r>
      <w:r>
        <w:rPr>
          <w:color w:val="231F1F"/>
          <w:w w:val="110"/>
        </w:rPr>
        <w:t>sufrimiento</w:t>
      </w:r>
      <w:r>
        <w:rPr>
          <w:color w:val="231F1F"/>
          <w:spacing w:val="-3"/>
          <w:w w:val="110"/>
        </w:rPr>
        <w:t> </w:t>
      </w:r>
      <w:r>
        <w:rPr>
          <w:color w:val="231F1F"/>
          <w:w w:val="110"/>
        </w:rPr>
        <w:t>fetal.</w:t>
      </w:r>
      <w:r>
        <w:rPr>
          <w:color w:val="231F1F"/>
          <w:spacing w:val="-3"/>
          <w:w w:val="110"/>
        </w:rPr>
        <w:t> </w:t>
      </w:r>
      <w:r>
        <w:rPr>
          <w:color w:val="231F1F"/>
          <w:w w:val="110"/>
        </w:rPr>
        <w:t>Sin</w:t>
      </w:r>
      <w:r>
        <w:rPr>
          <w:color w:val="231F1F"/>
          <w:spacing w:val="-3"/>
          <w:w w:val="110"/>
        </w:rPr>
        <w:t> </w:t>
      </w:r>
      <w:r>
        <w:rPr>
          <w:color w:val="231F1F"/>
          <w:w w:val="110"/>
        </w:rPr>
        <w:t>em- bargo,</w:t>
      </w:r>
      <w:r>
        <w:rPr>
          <w:color w:val="231F1F"/>
          <w:spacing w:val="-13"/>
          <w:w w:val="110"/>
        </w:rPr>
        <w:t> </w:t>
      </w:r>
      <w:r>
        <w:rPr>
          <w:color w:val="231F1F"/>
          <w:w w:val="110"/>
        </w:rPr>
        <w:t>considera</w:t>
      </w:r>
      <w:r>
        <w:rPr>
          <w:color w:val="231F1F"/>
          <w:spacing w:val="-11"/>
          <w:w w:val="110"/>
        </w:rPr>
        <w:t> </w:t>
      </w:r>
      <w:r>
        <w:rPr>
          <w:color w:val="231F1F"/>
          <w:w w:val="110"/>
        </w:rPr>
        <w:t>necesario</w:t>
      </w:r>
      <w:r>
        <w:rPr>
          <w:color w:val="231F1F"/>
          <w:spacing w:val="-12"/>
          <w:w w:val="110"/>
        </w:rPr>
        <w:t> </w:t>
      </w:r>
      <w:r>
        <w:rPr>
          <w:color w:val="231F1F"/>
          <w:w w:val="110"/>
        </w:rPr>
        <w:t>vigilar</w:t>
      </w:r>
      <w:r>
        <w:rPr>
          <w:color w:val="231F1F"/>
          <w:spacing w:val="-12"/>
          <w:w w:val="110"/>
        </w:rPr>
        <w:t> </w:t>
      </w:r>
      <w:r>
        <w:rPr>
          <w:color w:val="231F1F"/>
          <w:w w:val="110"/>
        </w:rPr>
        <w:t>la</w:t>
      </w:r>
      <w:r>
        <w:rPr>
          <w:color w:val="231F1F"/>
          <w:spacing w:val="-12"/>
          <w:w w:val="110"/>
        </w:rPr>
        <w:t> </w:t>
      </w:r>
      <w:r>
        <w:rPr>
          <w:color w:val="231F1F"/>
          <w:w w:val="110"/>
        </w:rPr>
        <w:t>FCF</w:t>
      </w:r>
      <w:r>
        <w:rPr>
          <w:color w:val="231F1F"/>
          <w:spacing w:val="-12"/>
          <w:w w:val="110"/>
        </w:rPr>
        <w:t> </w:t>
      </w:r>
      <w:r>
        <w:rPr>
          <w:color w:val="231F1F"/>
          <w:w w:val="110"/>
        </w:rPr>
        <w:t>cuando</w:t>
      </w:r>
      <w:r>
        <w:rPr>
          <w:color w:val="231F1F"/>
          <w:spacing w:val="-11"/>
          <w:w w:val="110"/>
        </w:rPr>
        <w:t> </w:t>
      </w:r>
      <w:r>
        <w:rPr>
          <w:color w:val="231F1F"/>
          <w:w w:val="110"/>
        </w:rPr>
        <w:t>se</w:t>
      </w:r>
      <w:r>
        <w:rPr>
          <w:color w:val="231F1F"/>
          <w:spacing w:val="-12"/>
          <w:w w:val="110"/>
        </w:rPr>
        <w:t> </w:t>
      </w:r>
      <w:r>
        <w:rPr>
          <w:color w:val="231F1F"/>
          <w:w w:val="110"/>
        </w:rPr>
        <w:t>utiliza</w:t>
      </w:r>
      <w:r>
        <w:rPr>
          <w:color w:val="231F1F"/>
          <w:spacing w:val="-12"/>
          <w:w w:val="110"/>
        </w:rPr>
        <w:t> </w:t>
      </w:r>
      <w:r>
        <w:rPr>
          <w:color w:val="231F1F"/>
          <w:w w:val="110"/>
        </w:rPr>
        <w:t>la</w:t>
      </w:r>
      <w:r>
        <w:rPr>
          <w:color w:val="231F1F"/>
          <w:spacing w:val="-12"/>
          <w:w w:val="110"/>
        </w:rPr>
        <w:t> </w:t>
      </w:r>
      <w:r>
        <w:rPr>
          <w:color w:val="231F1F"/>
          <w:w w:val="110"/>
        </w:rPr>
        <w:t>oxitocina</w:t>
      </w:r>
      <w:r>
        <w:rPr>
          <w:color w:val="231F1F"/>
          <w:spacing w:val="-12"/>
          <w:w w:val="110"/>
        </w:rPr>
        <w:t> </w:t>
      </w:r>
      <w:r>
        <w:rPr>
          <w:color w:val="231F1F"/>
          <w:w w:val="110"/>
        </w:rPr>
        <w:t>para inducir el trabajo de parto.</w:t>
      </w:r>
    </w:p>
    <w:p>
      <w:pPr>
        <w:spacing w:line="244" w:lineRule="auto" w:before="139"/>
        <w:ind w:left="283" w:right="1386" w:firstLine="453"/>
        <w:jc w:val="left"/>
        <w:rPr>
          <w:sz w:val="22"/>
        </w:rPr>
      </w:pPr>
      <w:r>
        <w:rPr>
          <w:color w:val="231F1F"/>
          <w:w w:val="105"/>
          <w:sz w:val="22"/>
        </w:rPr>
        <w:t>Por</w:t>
      </w:r>
      <w:r>
        <w:rPr>
          <w:color w:val="231F1F"/>
          <w:spacing w:val="-11"/>
          <w:w w:val="105"/>
          <w:sz w:val="22"/>
        </w:rPr>
        <w:t> </w:t>
      </w:r>
      <w:r>
        <w:rPr>
          <w:color w:val="231F1F"/>
          <w:w w:val="105"/>
          <w:sz w:val="22"/>
        </w:rPr>
        <w:t>último</w:t>
      </w:r>
      <w:r>
        <w:rPr>
          <w:color w:val="231F1F"/>
          <w:spacing w:val="-9"/>
          <w:w w:val="105"/>
          <w:sz w:val="22"/>
        </w:rPr>
        <w:t> </w:t>
      </w:r>
      <w:r>
        <w:rPr>
          <w:color w:val="231F1F"/>
          <w:w w:val="105"/>
          <w:sz w:val="22"/>
        </w:rPr>
        <w:t>la</w:t>
      </w:r>
      <w:r>
        <w:rPr>
          <w:color w:val="231F1F"/>
          <w:spacing w:val="-9"/>
          <w:w w:val="105"/>
          <w:sz w:val="22"/>
        </w:rPr>
        <w:t> </w:t>
      </w:r>
      <w:r>
        <w:rPr>
          <w:color w:val="231F1F"/>
          <w:w w:val="105"/>
          <w:sz w:val="22"/>
        </w:rPr>
        <w:t>guía</w:t>
      </w:r>
      <w:r>
        <w:rPr>
          <w:color w:val="231F1F"/>
          <w:spacing w:val="-10"/>
          <w:w w:val="105"/>
          <w:sz w:val="22"/>
        </w:rPr>
        <w:t> </w:t>
      </w:r>
      <w:r>
        <w:rPr>
          <w:color w:val="231F1F"/>
          <w:w w:val="105"/>
          <w:sz w:val="22"/>
        </w:rPr>
        <w:t>NICE</w:t>
      </w:r>
      <w:r>
        <w:rPr>
          <w:color w:val="231F1F"/>
          <w:spacing w:val="-9"/>
          <w:w w:val="105"/>
          <w:sz w:val="22"/>
        </w:rPr>
        <w:t> </w:t>
      </w:r>
      <w:r>
        <w:rPr>
          <w:color w:val="231F1F"/>
          <w:w w:val="105"/>
          <w:sz w:val="22"/>
        </w:rPr>
        <w:t>(10)</w:t>
      </w:r>
      <w:r>
        <w:rPr>
          <w:color w:val="231F1F"/>
          <w:spacing w:val="-9"/>
          <w:w w:val="105"/>
          <w:sz w:val="22"/>
        </w:rPr>
        <w:t> </w:t>
      </w:r>
      <w:r>
        <w:rPr>
          <w:color w:val="231F1F"/>
          <w:w w:val="105"/>
          <w:sz w:val="22"/>
        </w:rPr>
        <w:t>analiza</w:t>
      </w:r>
      <w:r>
        <w:rPr>
          <w:color w:val="231F1F"/>
          <w:spacing w:val="-9"/>
          <w:w w:val="105"/>
          <w:sz w:val="22"/>
        </w:rPr>
        <w:t> </w:t>
      </w:r>
      <w:r>
        <w:rPr>
          <w:color w:val="231F1F"/>
          <w:w w:val="105"/>
          <w:sz w:val="22"/>
        </w:rPr>
        <w:t>el</w:t>
      </w:r>
      <w:r>
        <w:rPr>
          <w:color w:val="231F1F"/>
          <w:spacing w:val="-10"/>
          <w:w w:val="105"/>
          <w:sz w:val="22"/>
        </w:rPr>
        <w:t> </w:t>
      </w:r>
      <w:r>
        <w:rPr>
          <w:color w:val="231F1F"/>
          <w:w w:val="105"/>
          <w:sz w:val="22"/>
        </w:rPr>
        <w:t>efecto</w:t>
      </w:r>
      <w:r>
        <w:rPr>
          <w:color w:val="231F1F"/>
          <w:spacing w:val="-9"/>
          <w:w w:val="105"/>
          <w:sz w:val="22"/>
        </w:rPr>
        <w:t> </w:t>
      </w:r>
      <w:r>
        <w:rPr>
          <w:color w:val="231F1F"/>
          <w:w w:val="105"/>
          <w:sz w:val="22"/>
        </w:rPr>
        <w:t>de</w:t>
      </w:r>
      <w:r>
        <w:rPr>
          <w:color w:val="231F1F"/>
          <w:spacing w:val="-10"/>
          <w:w w:val="105"/>
          <w:sz w:val="22"/>
        </w:rPr>
        <w:t> </w:t>
      </w:r>
      <w:r>
        <w:rPr>
          <w:color w:val="231F1F"/>
          <w:w w:val="105"/>
          <w:sz w:val="22"/>
        </w:rPr>
        <w:t>los</w:t>
      </w:r>
      <w:r>
        <w:rPr>
          <w:color w:val="231F1F"/>
          <w:spacing w:val="-7"/>
          <w:w w:val="105"/>
          <w:sz w:val="22"/>
        </w:rPr>
        <w:t> </w:t>
      </w:r>
      <w:r>
        <w:rPr>
          <w:i/>
          <w:color w:val="231F1F"/>
          <w:w w:val="105"/>
          <w:sz w:val="22"/>
        </w:rPr>
        <w:t>diferentes</w:t>
      </w:r>
      <w:r>
        <w:rPr>
          <w:i/>
          <w:color w:val="231F1F"/>
          <w:spacing w:val="-15"/>
          <w:w w:val="105"/>
          <w:sz w:val="22"/>
        </w:rPr>
        <w:t> </w:t>
      </w:r>
      <w:r>
        <w:rPr>
          <w:i/>
          <w:color w:val="231F1F"/>
          <w:w w:val="105"/>
          <w:sz w:val="22"/>
        </w:rPr>
        <w:t>regímenes de dosificación de oxitocina </w:t>
      </w:r>
      <w:r>
        <w:rPr>
          <w:color w:val="231F1F"/>
          <w:w w:val="105"/>
          <w:sz w:val="22"/>
        </w:rPr>
        <w:t>en el tratamiento del retardo de la primera etapa.</w:t>
      </w:r>
    </w:p>
    <w:p>
      <w:pPr>
        <w:pStyle w:val="BodyText"/>
        <w:spacing w:line="247" w:lineRule="auto" w:before="141"/>
        <w:ind w:left="283" w:right="1369" w:firstLine="453"/>
        <w:jc w:val="both"/>
      </w:pPr>
      <w:r>
        <w:rPr>
          <w:color w:val="231F1F"/>
          <w:spacing w:val="-2"/>
          <w:w w:val="110"/>
        </w:rPr>
        <w:t>En</w:t>
      </w:r>
      <w:r>
        <w:rPr>
          <w:color w:val="231F1F"/>
          <w:spacing w:val="-10"/>
          <w:w w:val="110"/>
        </w:rPr>
        <w:t> </w:t>
      </w:r>
      <w:r>
        <w:rPr>
          <w:color w:val="231F1F"/>
          <w:spacing w:val="-2"/>
          <w:w w:val="110"/>
        </w:rPr>
        <w:t>la</w:t>
      </w:r>
      <w:r>
        <w:rPr>
          <w:color w:val="231F1F"/>
          <w:spacing w:val="-10"/>
          <w:w w:val="110"/>
        </w:rPr>
        <w:t> </w:t>
      </w:r>
      <w:r>
        <w:rPr>
          <w:color w:val="231F1F"/>
          <w:spacing w:val="-2"/>
          <w:w w:val="110"/>
        </w:rPr>
        <w:t>guía</w:t>
      </w:r>
      <w:r>
        <w:rPr>
          <w:color w:val="231F1F"/>
          <w:spacing w:val="-10"/>
          <w:w w:val="110"/>
        </w:rPr>
        <w:t> </w:t>
      </w:r>
      <w:r>
        <w:rPr>
          <w:color w:val="231F1F"/>
          <w:spacing w:val="-2"/>
          <w:w w:val="110"/>
        </w:rPr>
        <w:t>NICE</w:t>
      </w:r>
      <w:r>
        <w:rPr>
          <w:color w:val="231F1F"/>
          <w:spacing w:val="-10"/>
          <w:w w:val="110"/>
        </w:rPr>
        <w:t> </w:t>
      </w:r>
      <w:r>
        <w:rPr>
          <w:color w:val="231F1F"/>
          <w:spacing w:val="-2"/>
          <w:w w:val="110"/>
        </w:rPr>
        <w:t>(10)</w:t>
      </w:r>
      <w:r>
        <w:rPr>
          <w:color w:val="231F1F"/>
          <w:spacing w:val="-10"/>
          <w:w w:val="110"/>
        </w:rPr>
        <w:t> </w:t>
      </w:r>
      <w:r>
        <w:rPr>
          <w:color w:val="231F1F"/>
          <w:spacing w:val="-2"/>
          <w:w w:val="110"/>
        </w:rPr>
        <w:t>se</w:t>
      </w:r>
      <w:r>
        <w:rPr>
          <w:color w:val="231F1F"/>
          <w:spacing w:val="-10"/>
          <w:w w:val="110"/>
        </w:rPr>
        <w:t> </w:t>
      </w:r>
      <w:r>
        <w:rPr>
          <w:color w:val="231F1F"/>
          <w:spacing w:val="-2"/>
          <w:w w:val="110"/>
        </w:rPr>
        <w:t>incluyeron</w:t>
      </w:r>
      <w:r>
        <w:rPr>
          <w:color w:val="231F1F"/>
          <w:spacing w:val="-10"/>
          <w:w w:val="110"/>
        </w:rPr>
        <w:t> </w:t>
      </w:r>
      <w:r>
        <w:rPr>
          <w:color w:val="231F1F"/>
          <w:spacing w:val="-2"/>
          <w:w w:val="110"/>
        </w:rPr>
        <w:t>cuatro</w:t>
      </w:r>
      <w:r>
        <w:rPr>
          <w:color w:val="231F1F"/>
          <w:spacing w:val="-10"/>
          <w:w w:val="110"/>
        </w:rPr>
        <w:t> </w:t>
      </w:r>
      <w:r>
        <w:rPr>
          <w:color w:val="231F1F"/>
          <w:spacing w:val="-2"/>
          <w:w w:val="110"/>
        </w:rPr>
        <w:t>ECAs</w:t>
      </w:r>
      <w:r>
        <w:rPr>
          <w:color w:val="231F1F"/>
          <w:spacing w:val="-10"/>
          <w:w w:val="110"/>
        </w:rPr>
        <w:t> </w:t>
      </w:r>
      <w:r>
        <w:rPr>
          <w:color w:val="231F1F"/>
          <w:spacing w:val="-2"/>
          <w:w w:val="110"/>
        </w:rPr>
        <w:t>(78-82)</w:t>
      </w:r>
      <w:r>
        <w:rPr>
          <w:color w:val="231F1F"/>
          <w:spacing w:val="-10"/>
          <w:w w:val="110"/>
        </w:rPr>
        <w:t> </w:t>
      </w:r>
      <w:r>
        <w:rPr>
          <w:color w:val="231F1F"/>
          <w:spacing w:val="-2"/>
          <w:w w:val="110"/>
        </w:rPr>
        <w:t>con</w:t>
      </w:r>
      <w:r>
        <w:rPr>
          <w:color w:val="231F1F"/>
          <w:spacing w:val="-10"/>
          <w:w w:val="110"/>
        </w:rPr>
        <w:t> </w:t>
      </w:r>
      <w:r>
        <w:rPr>
          <w:color w:val="231F1F"/>
          <w:spacing w:val="-2"/>
          <w:w w:val="110"/>
        </w:rPr>
        <w:t>buen</w:t>
      </w:r>
      <w:r>
        <w:rPr>
          <w:color w:val="231F1F"/>
          <w:spacing w:val="-10"/>
          <w:w w:val="110"/>
        </w:rPr>
        <w:t> </w:t>
      </w:r>
      <w:r>
        <w:rPr>
          <w:color w:val="231F1F"/>
          <w:spacing w:val="-2"/>
          <w:w w:val="110"/>
        </w:rPr>
        <w:t>nivel </w:t>
      </w:r>
      <w:r>
        <w:rPr>
          <w:color w:val="231F1F"/>
          <w:w w:val="110"/>
        </w:rPr>
        <w:t>de evidencia, que comparaban altas dosis (dosis de inicio y un incremento </w:t>
      </w:r>
      <w:r>
        <w:rPr>
          <w:color w:val="231F1F"/>
          <w:spacing w:val="-2"/>
          <w:w w:val="110"/>
        </w:rPr>
        <w:t>igual</w:t>
      </w:r>
      <w:r>
        <w:rPr>
          <w:color w:val="231F1F"/>
          <w:spacing w:val="-11"/>
          <w:w w:val="110"/>
        </w:rPr>
        <w:t> </w:t>
      </w:r>
      <w:r>
        <w:rPr>
          <w:color w:val="231F1F"/>
          <w:spacing w:val="-2"/>
          <w:w w:val="110"/>
        </w:rPr>
        <w:t>o</w:t>
      </w:r>
      <w:r>
        <w:rPr>
          <w:color w:val="231F1F"/>
          <w:spacing w:val="-11"/>
          <w:w w:val="110"/>
        </w:rPr>
        <w:t> </w:t>
      </w:r>
      <w:r>
        <w:rPr>
          <w:color w:val="231F1F"/>
          <w:spacing w:val="-2"/>
          <w:w w:val="110"/>
        </w:rPr>
        <w:t>mayor</w:t>
      </w:r>
      <w:r>
        <w:rPr>
          <w:color w:val="231F1F"/>
          <w:spacing w:val="-11"/>
          <w:w w:val="110"/>
        </w:rPr>
        <w:t> </w:t>
      </w:r>
      <w:r>
        <w:rPr>
          <w:color w:val="231F1F"/>
          <w:spacing w:val="-2"/>
          <w:w w:val="110"/>
        </w:rPr>
        <w:t>de</w:t>
      </w:r>
      <w:r>
        <w:rPr>
          <w:color w:val="231F1F"/>
          <w:spacing w:val="-11"/>
          <w:w w:val="110"/>
        </w:rPr>
        <w:t> </w:t>
      </w:r>
      <w:r>
        <w:rPr>
          <w:color w:val="231F1F"/>
          <w:spacing w:val="-2"/>
          <w:w w:val="110"/>
        </w:rPr>
        <w:t>4,5</w:t>
      </w:r>
      <w:r>
        <w:rPr>
          <w:color w:val="231F1F"/>
          <w:spacing w:val="-11"/>
          <w:w w:val="110"/>
        </w:rPr>
        <w:t> </w:t>
      </w:r>
      <w:r>
        <w:rPr>
          <w:color w:val="231F1F"/>
          <w:spacing w:val="-2"/>
          <w:w w:val="110"/>
        </w:rPr>
        <w:t>mU/min)</w:t>
      </w:r>
      <w:r>
        <w:rPr>
          <w:color w:val="231F1F"/>
          <w:spacing w:val="-11"/>
          <w:w w:val="110"/>
        </w:rPr>
        <w:t> </w:t>
      </w:r>
      <w:r>
        <w:rPr>
          <w:color w:val="231F1F"/>
          <w:spacing w:val="-2"/>
          <w:w w:val="110"/>
        </w:rPr>
        <w:t>y</w:t>
      </w:r>
      <w:r>
        <w:rPr>
          <w:color w:val="231F1F"/>
          <w:spacing w:val="-11"/>
          <w:w w:val="110"/>
        </w:rPr>
        <w:t> </w:t>
      </w:r>
      <w:r>
        <w:rPr>
          <w:color w:val="231F1F"/>
          <w:spacing w:val="-2"/>
          <w:w w:val="110"/>
        </w:rPr>
        <w:t>bajas</w:t>
      </w:r>
      <w:r>
        <w:rPr>
          <w:color w:val="231F1F"/>
          <w:spacing w:val="-11"/>
          <w:w w:val="110"/>
        </w:rPr>
        <w:t> </w:t>
      </w:r>
      <w:r>
        <w:rPr>
          <w:color w:val="231F1F"/>
          <w:spacing w:val="-2"/>
          <w:w w:val="110"/>
        </w:rPr>
        <w:t>dosis</w:t>
      </w:r>
      <w:r>
        <w:rPr>
          <w:color w:val="231F1F"/>
          <w:spacing w:val="-11"/>
          <w:w w:val="110"/>
        </w:rPr>
        <w:t> </w:t>
      </w:r>
      <w:r>
        <w:rPr>
          <w:color w:val="231F1F"/>
          <w:spacing w:val="-2"/>
          <w:w w:val="110"/>
        </w:rPr>
        <w:t>de</w:t>
      </w:r>
      <w:r>
        <w:rPr>
          <w:color w:val="231F1F"/>
          <w:spacing w:val="-11"/>
          <w:w w:val="110"/>
        </w:rPr>
        <w:t> </w:t>
      </w:r>
      <w:r>
        <w:rPr>
          <w:color w:val="231F1F"/>
          <w:spacing w:val="-2"/>
          <w:w w:val="110"/>
        </w:rPr>
        <w:t>oxitocina</w:t>
      </w:r>
      <w:r>
        <w:rPr>
          <w:color w:val="231F1F"/>
          <w:spacing w:val="-11"/>
          <w:w w:val="110"/>
        </w:rPr>
        <w:t> </w:t>
      </w:r>
      <w:r>
        <w:rPr>
          <w:color w:val="231F1F"/>
          <w:spacing w:val="-2"/>
          <w:w w:val="110"/>
        </w:rPr>
        <w:t>(dosis</w:t>
      </w:r>
      <w:r>
        <w:rPr>
          <w:color w:val="231F1F"/>
          <w:spacing w:val="-11"/>
          <w:w w:val="110"/>
        </w:rPr>
        <w:t> </w:t>
      </w:r>
      <w:r>
        <w:rPr>
          <w:color w:val="231F1F"/>
          <w:spacing w:val="-2"/>
          <w:w w:val="110"/>
        </w:rPr>
        <w:t>de</w:t>
      </w:r>
      <w:r>
        <w:rPr>
          <w:color w:val="231F1F"/>
          <w:spacing w:val="-11"/>
          <w:w w:val="110"/>
        </w:rPr>
        <w:t> </w:t>
      </w:r>
      <w:r>
        <w:rPr>
          <w:color w:val="231F1F"/>
          <w:spacing w:val="-2"/>
          <w:w w:val="110"/>
        </w:rPr>
        <w:t>inicio</w:t>
      </w:r>
      <w:r>
        <w:rPr>
          <w:color w:val="231F1F"/>
          <w:spacing w:val="-11"/>
          <w:w w:val="110"/>
        </w:rPr>
        <w:t> </w:t>
      </w:r>
      <w:r>
        <w:rPr>
          <w:color w:val="231F1F"/>
          <w:spacing w:val="-2"/>
          <w:w w:val="110"/>
        </w:rPr>
        <w:t>y</w:t>
      </w:r>
      <w:r>
        <w:rPr>
          <w:color w:val="231F1F"/>
          <w:spacing w:val="-11"/>
          <w:w w:val="110"/>
        </w:rPr>
        <w:t> </w:t>
      </w:r>
      <w:r>
        <w:rPr>
          <w:color w:val="231F1F"/>
          <w:spacing w:val="-2"/>
          <w:w w:val="110"/>
        </w:rPr>
        <w:t>un </w:t>
      </w:r>
      <w:r>
        <w:rPr>
          <w:color w:val="231F1F"/>
          <w:w w:val="110"/>
        </w:rPr>
        <w:t>incremento</w:t>
      </w:r>
      <w:r>
        <w:rPr>
          <w:color w:val="231F1F"/>
          <w:spacing w:val="-16"/>
          <w:w w:val="110"/>
        </w:rPr>
        <w:t> </w:t>
      </w:r>
      <w:r>
        <w:rPr>
          <w:color w:val="231F1F"/>
          <w:w w:val="110"/>
        </w:rPr>
        <w:t>hasta</w:t>
      </w:r>
      <w:r>
        <w:rPr>
          <w:color w:val="231F1F"/>
          <w:spacing w:val="-15"/>
          <w:w w:val="110"/>
        </w:rPr>
        <w:t> </w:t>
      </w:r>
      <w:r>
        <w:rPr>
          <w:color w:val="231F1F"/>
          <w:w w:val="110"/>
        </w:rPr>
        <w:t>2</w:t>
      </w:r>
      <w:r>
        <w:rPr>
          <w:color w:val="231F1F"/>
          <w:spacing w:val="-15"/>
          <w:w w:val="110"/>
        </w:rPr>
        <w:t> </w:t>
      </w:r>
      <w:r>
        <w:rPr>
          <w:color w:val="231F1F"/>
          <w:w w:val="110"/>
        </w:rPr>
        <w:t>mU/min)</w:t>
      </w:r>
      <w:r>
        <w:rPr>
          <w:color w:val="231F1F"/>
          <w:spacing w:val="-15"/>
          <w:w w:val="110"/>
        </w:rPr>
        <w:t> </w:t>
      </w:r>
      <w:r>
        <w:rPr>
          <w:color w:val="231F1F"/>
          <w:w w:val="110"/>
        </w:rPr>
        <w:t>con</w:t>
      </w:r>
      <w:r>
        <w:rPr>
          <w:color w:val="231F1F"/>
          <w:spacing w:val="-15"/>
          <w:w w:val="110"/>
        </w:rPr>
        <w:t> </w:t>
      </w:r>
      <w:r>
        <w:rPr>
          <w:color w:val="231F1F"/>
          <w:w w:val="110"/>
        </w:rPr>
        <w:t>diferentes</w:t>
      </w:r>
      <w:r>
        <w:rPr>
          <w:color w:val="231F1F"/>
          <w:spacing w:val="-15"/>
          <w:w w:val="110"/>
        </w:rPr>
        <w:t> </w:t>
      </w:r>
      <w:r>
        <w:rPr>
          <w:color w:val="231F1F"/>
          <w:w w:val="110"/>
        </w:rPr>
        <w:t>intervalos</w:t>
      </w:r>
      <w:r>
        <w:rPr>
          <w:color w:val="231F1F"/>
          <w:spacing w:val="-15"/>
          <w:w w:val="110"/>
        </w:rPr>
        <w:t> </w:t>
      </w:r>
      <w:r>
        <w:rPr>
          <w:color w:val="231F1F"/>
          <w:w w:val="110"/>
        </w:rPr>
        <w:t>de</w:t>
      </w:r>
      <w:r>
        <w:rPr>
          <w:color w:val="231F1F"/>
          <w:spacing w:val="-15"/>
          <w:w w:val="110"/>
        </w:rPr>
        <w:t> </w:t>
      </w:r>
      <w:r>
        <w:rPr>
          <w:color w:val="231F1F"/>
          <w:w w:val="110"/>
        </w:rPr>
        <w:t>dosificación</w:t>
      </w:r>
      <w:r>
        <w:rPr>
          <w:color w:val="231F1F"/>
          <w:spacing w:val="-16"/>
          <w:w w:val="110"/>
        </w:rPr>
        <w:t> </w:t>
      </w:r>
      <w:r>
        <w:rPr>
          <w:color w:val="231F1F"/>
          <w:w w:val="110"/>
        </w:rPr>
        <w:t>(entre 15</w:t>
      </w:r>
      <w:r>
        <w:rPr>
          <w:color w:val="231F1F"/>
          <w:spacing w:val="-16"/>
          <w:w w:val="110"/>
        </w:rPr>
        <w:t> </w:t>
      </w:r>
      <w:r>
        <w:rPr>
          <w:color w:val="231F1F"/>
          <w:w w:val="110"/>
        </w:rPr>
        <w:t>y</w:t>
      </w:r>
      <w:r>
        <w:rPr>
          <w:color w:val="231F1F"/>
          <w:spacing w:val="-15"/>
          <w:w w:val="110"/>
        </w:rPr>
        <w:t> </w:t>
      </w:r>
      <w:r>
        <w:rPr>
          <w:color w:val="231F1F"/>
          <w:w w:val="110"/>
        </w:rPr>
        <w:t>40</w:t>
      </w:r>
      <w:r>
        <w:rPr>
          <w:color w:val="231F1F"/>
          <w:spacing w:val="-15"/>
          <w:w w:val="110"/>
        </w:rPr>
        <w:t> </w:t>
      </w:r>
      <w:r>
        <w:rPr>
          <w:color w:val="231F1F"/>
          <w:w w:val="110"/>
        </w:rPr>
        <w:t>minutos:</w:t>
      </w:r>
      <w:r>
        <w:rPr>
          <w:color w:val="231F1F"/>
          <w:spacing w:val="-15"/>
          <w:w w:val="110"/>
        </w:rPr>
        <w:t> </w:t>
      </w:r>
      <w:r>
        <w:rPr>
          <w:color w:val="231F1F"/>
          <w:w w:val="110"/>
        </w:rPr>
        <w:t>administración</w:t>
      </w:r>
      <w:r>
        <w:rPr>
          <w:color w:val="231F1F"/>
          <w:spacing w:val="-15"/>
          <w:w w:val="110"/>
        </w:rPr>
        <w:t> </w:t>
      </w:r>
      <w:r>
        <w:rPr>
          <w:color w:val="231F1F"/>
          <w:w w:val="110"/>
        </w:rPr>
        <w:t>rápida</w:t>
      </w:r>
      <w:r>
        <w:rPr>
          <w:color w:val="231F1F"/>
          <w:spacing w:val="-15"/>
          <w:w w:val="110"/>
        </w:rPr>
        <w:t> </w:t>
      </w:r>
      <w:r>
        <w:rPr>
          <w:color w:val="231F1F"/>
          <w:w w:val="110"/>
        </w:rPr>
        <w:t>y</w:t>
      </w:r>
      <w:r>
        <w:rPr>
          <w:color w:val="231F1F"/>
          <w:spacing w:val="-15"/>
          <w:w w:val="110"/>
        </w:rPr>
        <w:t> </w:t>
      </w:r>
      <w:r>
        <w:rPr>
          <w:color w:val="231F1F"/>
          <w:w w:val="110"/>
        </w:rPr>
        <w:t>lenta</w:t>
      </w:r>
      <w:r>
        <w:rPr>
          <w:color w:val="231F1F"/>
          <w:spacing w:val="-15"/>
          <w:w w:val="110"/>
        </w:rPr>
        <w:t> </w:t>
      </w:r>
      <w:r>
        <w:rPr>
          <w:color w:val="231F1F"/>
          <w:w w:val="110"/>
        </w:rPr>
        <w:t>respectivamente)</w:t>
      </w:r>
      <w:r>
        <w:rPr>
          <w:color w:val="231F1F"/>
          <w:spacing w:val="-16"/>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esti- mulación del trabajo de parto.</w:t>
      </w:r>
    </w:p>
    <w:p>
      <w:pPr>
        <w:pStyle w:val="BodyText"/>
        <w:spacing w:after="0" w:line="247" w:lineRule="auto"/>
        <w:jc w:val="both"/>
        <w:sectPr>
          <w:footerReference w:type="even" r:id="rId40"/>
          <w:footerReference w:type="default" r:id="rId41"/>
          <w:pgSz w:w="11900" w:h="16840"/>
          <w:pgMar w:header="0" w:footer="622" w:top="1560" w:bottom="820" w:left="1417" w:right="1559"/>
          <w:pgNumType w:start="94"/>
        </w:sectPr>
      </w:pPr>
    </w:p>
    <w:p>
      <w:pPr>
        <w:pStyle w:val="BodyText"/>
        <w:tabs>
          <w:tab w:pos="7791" w:val="left" w:leader="none"/>
          <w:tab w:pos="7989" w:val="left" w:leader="none"/>
          <w:tab w:pos="8114" w:val="left" w:leader="none"/>
        </w:tabs>
        <w:spacing w:line="252" w:lineRule="auto" w:before="67"/>
        <w:ind w:left="283" w:right="312" w:firstLine="453"/>
      </w:pPr>
      <w:r>
        <w:rPr>
          <w:color w:val="231F1F"/>
        </w:rPr>
        <w:t>La guía realizó un metaanálisis con los cuatro ECAs, y los resultados</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obtenidos mostraron que existe evidencia de alta calidad de que las mujeres</w:t>
      </w:r>
      <w:r>
        <w:rPr>
          <w:color w:val="231F1F"/>
        </w:rPr>
        <w:tab/>
        <w:tab/>
      </w:r>
      <w:r>
        <w:rPr>
          <w:rFonts w:ascii="Arial MT" w:hAnsi="Arial MT"/>
          <w:color w:val="231F1F"/>
          <w:spacing w:val="-4"/>
          <w:w w:val="105"/>
          <w:position w:val="4"/>
          <w:sz w:val="18"/>
        </w:rPr>
        <w:t>ECAs </w:t>
      </w:r>
      <w:r>
        <w:rPr>
          <w:color w:val="231F1F"/>
          <w:w w:val="105"/>
        </w:rPr>
        <w:t>que reciben altas dosis de oxitocina durante la estimulación del parto presen-</w:t>
      </w:r>
      <w:r>
        <w:rPr>
          <w:color w:val="231F1F"/>
        </w:rPr>
        <w:tab/>
        <w:tab/>
        <w:tab/>
      </w:r>
      <w:r>
        <w:rPr>
          <w:rFonts w:ascii="Arial MT" w:hAnsi="Arial MT"/>
          <w:color w:val="231F1F"/>
          <w:spacing w:val="-6"/>
          <w:w w:val="105"/>
          <w:position w:val="8"/>
          <w:sz w:val="18"/>
        </w:rPr>
        <w:t>1+</w:t>
      </w:r>
      <w:r>
        <w:rPr>
          <w:rFonts w:ascii="Arial MT" w:hAnsi="Arial MT"/>
          <w:color w:val="231F1F"/>
          <w:w w:val="105"/>
          <w:position w:val="8"/>
          <w:sz w:val="18"/>
        </w:rPr>
        <w:t> </w:t>
      </w:r>
      <w:r>
        <w:rPr>
          <w:color w:val="231F1F"/>
          <w:w w:val="105"/>
        </w:rPr>
        <w:t>tan un menor número de cesáreas totales (4 estudios con 1.041 mujeres): RR</w:t>
      </w:r>
    </w:p>
    <w:p>
      <w:pPr>
        <w:pStyle w:val="BodyText"/>
        <w:spacing w:line="249" w:lineRule="auto"/>
        <w:ind w:left="283" w:right="1386"/>
      </w:pPr>
      <w:r>
        <w:rPr>
          <w:color w:val="231F1F"/>
          <w:w w:val="105"/>
        </w:rPr>
        <w:t>0,69</w:t>
      </w:r>
      <w:r>
        <w:rPr>
          <w:color w:val="231F1F"/>
          <w:spacing w:val="-7"/>
          <w:w w:val="105"/>
        </w:rPr>
        <w:t> </w:t>
      </w:r>
      <w:r>
        <w:rPr>
          <w:color w:val="231F1F"/>
          <w:w w:val="105"/>
        </w:rPr>
        <w:t>[IC</w:t>
      </w:r>
      <w:r>
        <w:rPr>
          <w:color w:val="231F1F"/>
          <w:spacing w:val="-6"/>
          <w:w w:val="105"/>
        </w:rPr>
        <w:t> </w:t>
      </w:r>
      <w:r>
        <w:rPr>
          <w:color w:val="231F1F"/>
          <w:w w:val="105"/>
        </w:rPr>
        <w:t>95%</w:t>
      </w:r>
      <w:r>
        <w:rPr>
          <w:color w:val="231F1F"/>
          <w:spacing w:val="-6"/>
          <w:w w:val="105"/>
        </w:rPr>
        <w:t> </w:t>
      </w:r>
      <w:r>
        <w:rPr>
          <w:color w:val="231F1F"/>
          <w:w w:val="105"/>
        </w:rPr>
        <w:t>0,49</w:t>
      </w:r>
      <w:r>
        <w:rPr>
          <w:color w:val="231F1F"/>
          <w:spacing w:val="-6"/>
          <w:w w:val="105"/>
        </w:rPr>
        <w:t> </w:t>
      </w:r>
      <w:r>
        <w:rPr>
          <w:color w:val="231F1F"/>
          <w:w w:val="105"/>
        </w:rPr>
        <w:t>a</w:t>
      </w:r>
      <w:r>
        <w:rPr>
          <w:color w:val="231F1F"/>
          <w:spacing w:val="-6"/>
          <w:w w:val="105"/>
        </w:rPr>
        <w:t> </w:t>
      </w:r>
      <w:r>
        <w:rPr>
          <w:color w:val="231F1F"/>
          <w:w w:val="105"/>
        </w:rPr>
        <w:t>0,95]</w:t>
      </w:r>
      <w:r>
        <w:rPr>
          <w:color w:val="231F1F"/>
          <w:spacing w:val="-7"/>
          <w:w w:val="105"/>
        </w:rPr>
        <w:t> </w:t>
      </w:r>
      <w:r>
        <w:rPr>
          <w:color w:val="231F1F"/>
          <w:w w:val="105"/>
        </w:rPr>
        <w:t>así</w:t>
      </w:r>
      <w:r>
        <w:rPr>
          <w:color w:val="231F1F"/>
          <w:spacing w:val="-7"/>
          <w:w w:val="105"/>
        </w:rPr>
        <w:t> </w:t>
      </w:r>
      <w:r>
        <w:rPr>
          <w:color w:val="231F1F"/>
          <w:w w:val="105"/>
        </w:rPr>
        <w:t>como</w:t>
      </w:r>
      <w:r>
        <w:rPr>
          <w:color w:val="231F1F"/>
          <w:spacing w:val="-6"/>
          <w:w w:val="105"/>
        </w:rPr>
        <w:t> </w:t>
      </w:r>
      <w:r>
        <w:rPr>
          <w:color w:val="231F1F"/>
          <w:w w:val="105"/>
        </w:rPr>
        <w:t>mayor</w:t>
      </w:r>
      <w:r>
        <w:rPr>
          <w:color w:val="231F1F"/>
          <w:spacing w:val="-7"/>
          <w:w w:val="105"/>
        </w:rPr>
        <w:t> </w:t>
      </w:r>
      <w:r>
        <w:rPr>
          <w:color w:val="231F1F"/>
          <w:w w:val="105"/>
        </w:rPr>
        <w:t>número</w:t>
      </w:r>
      <w:r>
        <w:rPr>
          <w:color w:val="231F1F"/>
          <w:spacing w:val="-6"/>
          <w:w w:val="105"/>
        </w:rPr>
        <w:t> </w:t>
      </w:r>
      <w:r>
        <w:rPr>
          <w:color w:val="231F1F"/>
          <w:w w:val="105"/>
        </w:rPr>
        <w:t>de</w:t>
      </w:r>
      <w:r>
        <w:rPr>
          <w:color w:val="231F1F"/>
          <w:spacing w:val="-7"/>
          <w:w w:val="105"/>
        </w:rPr>
        <w:t> </w:t>
      </w:r>
      <w:r>
        <w:rPr>
          <w:color w:val="231F1F"/>
          <w:w w:val="105"/>
        </w:rPr>
        <w:t>partos</w:t>
      </w:r>
      <w:r>
        <w:rPr>
          <w:color w:val="231F1F"/>
          <w:spacing w:val="-7"/>
          <w:w w:val="105"/>
        </w:rPr>
        <w:t> </w:t>
      </w:r>
      <w:r>
        <w:rPr>
          <w:color w:val="231F1F"/>
          <w:w w:val="105"/>
        </w:rPr>
        <w:t>vaginales</w:t>
      </w:r>
      <w:r>
        <w:rPr>
          <w:color w:val="231F1F"/>
          <w:spacing w:val="-7"/>
          <w:w w:val="105"/>
        </w:rPr>
        <w:t> </w:t>
      </w:r>
      <w:r>
        <w:rPr>
          <w:color w:val="231F1F"/>
          <w:w w:val="105"/>
        </w:rPr>
        <w:t>espon- táneos (1 estudio con 310 mujeres): RR 1,38 [IC 95% 1,15 a 1,65].</w:t>
      </w:r>
    </w:p>
    <w:p>
      <w:pPr>
        <w:pStyle w:val="BodyText"/>
        <w:tabs>
          <w:tab w:pos="7791" w:val="left" w:leader="none"/>
          <w:tab w:pos="7989" w:val="left" w:leader="none"/>
          <w:tab w:pos="8114" w:val="left" w:leader="none"/>
        </w:tabs>
        <w:spacing w:line="242" w:lineRule="auto" w:before="83"/>
        <w:ind w:left="283" w:right="308" w:firstLine="453"/>
        <w:rPr>
          <w:rFonts w:ascii="Arial MT" w:hAnsi="Arial MT"/>
          <w:position w:val="8"/>
          <w:sz w:val="18"/>
        </w:rPr>
      </w:pPr>
      <w:r>
        <w:rPr>
          <w:color w:val="231F1F"/>
        </w:rPr>
        <w:t>En relación a otros resultados (del parto, maternos y neonatales) no se</w:t>
        <w:tab/>
      </w:r>
      <w:r>
        <w:rPr>
          <w:rFonts w:ascii="Arial MT" w:hAnsi="Arial MT"/>
          <w:color w:val="231F1F"/>
          <w:spacing w:val="-2"/>
          <w:sz w:val="18"/>
        </w:rPr>
        <w:t>RS-MA</w:t>
      </w:r>
      <w:r>
        <w:rPr>
          <w:rFonts w:ascii="Arial MT" w:hAnsi="Arial MT"/>
          <w:color w:val="231F1F"/>
          <w:spacing w:val="-11"/>
          <w:sz w:val="18"/>
        </w:rPr>
        <w:t> </w:t>
      </w:r>
      <w:r>
        <w:rPr>
          <w:rFonts w:ascii="Arial MT" w:hAnsi="Arial MT"/>
          <w:color w:val="231F1F"/>
          <w:spacing w:val="-2"/>
          <w:sz w:val="18"/>
        </w:rPr>
        <w:t>de </w:t>
      </w:r>
      <w:r>
        <w:rPr>
          <w:color w:val="231F1F"/>
          <w:w w:val="105"/>
        </w:rPr>
        <w:t>observaron diferencias estadísticamente significativas entre altas y bajas dosis</w:t>
      </w:r>
      <w:r>
        <w:rPr>
          <w:color w:val="231F1F"/>
        </w:rPr>
        <w:tab/>
        <w:tab/>
      </w:r>
      <w:r>
        <w:rPr>
          <w:rFonts w:ascii="Arial MT" w:hAnsi="Arial MT"/>
          <w:color w:val="231F1F"/>
          <w:spacing w:val="-4"/>
          <w:w w:val="105"/>
          <w:position w:val="4"/>
          <w:sz w:val="18"/>
        </w:rPr>
        <w:t>ECAs </w:t>
      </w:r>
      <w:r>
        <w:rPr>
          <w:color w:val="231F1F"/>
          <w:w w:val="105"/>
        </w:rPr>
        <w:t>de oxitocina.</w:t>
      </w:r>
      <w:r>
        <w:rPr>
          <w:color w:val="231F1F"/>
        </w:rPr>
        <w:tab/>
        <w:tab/>
        <w:tab/>
      </w:r>
      <w:r>
        <w:rPr>
          <w:rFonts w:ascii="Arial MT" w:hAnsi="Arial MT"/>
          <w:color w:val="231F1F"/>
          <w:spacing w:val="-6"/>
          <w:w w:val="105"/>
          <w:position w:val="8"/>
          <w:sz w:val="18"/>
        </w:rPr>
        <w:t>1+</w:t>
      </w:r>
    </w:p>
    <w:p>
      <w:pPr>
        <w:pStyle w:val="BodyText"/>
        <w:spacing w:line="247" w:lineRule="auto" w:before="79"/>
        <w:ind w:left="283" w:right="1365" w:firstLine="453"/>
        <w:jc w:val="both"/>
      </w:pPr>
      <w:r>
        <w:rPr>
          <w:color w:val="231F1F"/>
        </w:rPr>
        <w:t>La evidencia sobre la utilización de altas dosis de oxitocina frente a bajas </w:t>
      </w:r>
      <w:r>
        <w:rPr>
          <w:color w:val="231F1F"/>
          <w:w w:val="110"/>
        </w:rPr>
        <w:t>dosis</w:t>
      </w:r>
      <w:r>
        <w:rPr>
          <w:color w:val="231F1F"/>
          <w:spacing w:val="-9"/>
          <w:w w:val="110"/>
        </w:rPr>
        <w:t> </w:t>
      </w:r>
      <w:r>
        <w:rPr>
          <w:color w:val="231F1F"/>
          <w:w w:val="110"/>
        </w:rPr>
        <w:t>es</w:t>
      </w:r>
      <w:r>
        <w:rPr>
          <w:color w:val="231F1F"/>
          <w:spacing w:val="-9"/>
          <w:w w:val="110"/>
        </w:rPr>
        <w:t> </w:t>
      </w:r>
      <w:r>
        <w:rPr>
          <w:color w:val="231F1F"/>
          <w:w w:val="110"/>
        </w:rPr>
        <w:t>clínicamente</w:t>
      </w:r>
      <w:r>
        <w:rPr>
          <w:color w:val="231F1F"/>
          <w:spacing w:val="-9"/>
          <w:w w:val="110"/>
        </w:rPr>
        <w:t> </w:t>
      </w:r>
      <w:r>
        <w:rPr>
          <w:color w:val="231F1F"/>
          <w:w w:val="110"/>
        </w:rPr>
        <w:t>inconsistente</w:t>
      </w:r>
      <w:r>
        <w:rPr>
          <w:color w:val="231F1F"/>
          <w:spacing w:val="-8"/>
          <w:w w:val="110"/>
        </w:rPr>
        <w:t> </w:t>
      </w:r>
      <w:r>
        <w:rPr>
          <w:color w:val="231F1F"/>
          <w:w w:val="110"/>
        </w:rPr>
        <w:t>ya</w:t>
      </w:r>
      <w:r>
        <w:rPr>
          <w:color w:val="231F1F"/>
          <w:spacing w:val="-9"/>
          <w:w w:val="110"/>
        </w:rPr>
        <w:t> </w:t>
      </w:r>
      <w:r>
        <w:rPr>
          <w:color w:val="231F1F"/>
          <w:w w:val="110"/>
        </w:rPr>
        <w:t>que</w:t>
      </w:r>
      <w:r>
        <w:rPr>
          <w:color w:val="231F1F"/>
          <w:spacing w:val="-9"/>
          <w:w w:val="110"/>
        </w:rPr>
        <w:t> </w:t>
      </w:r>
      <w:r>
        <w:rPr>
          <w:color w:val="231F1F"/>
          <w:w w:val="110"/>
        </w:rPr>
        <w:t>las</w:t>
      </w:r>
      <w:r>
        <w:rPr>
          <w:color w:val="231F1F"/>
          <w:spacing w:val="-9"/>
          <w:w w:val="110"/>
        </w:rPr>
        <w:t> </w:t>
      </w:r>
      <w:r>
        <w:rPr>
          <w:color w:val="231F1F"/>
          <w:w w:val="110"/>
        </w:rPr>
        <w:t>altas</w:t>
      </w:r>
      <w:r>
        <w:rPr>
          <w:color w:val="231F1F"/>
          <w:spacing w:val="-9"/>
          <w:w w:val="110"/>
        </w:rPr>
        <w:t> </w:t>
      </w:r>
      <w:r>
        <w:rPr>
          <w:color w:val="231F1F"/>
          <w:w w:val="110"/>
        </w:rPr>
        <w:t>dosis</w:t>
      </w:r>
      <w:r>
        <w:rPr>
          <w:color w:val="231F1F"/>
          <w:spacing w:val="-9"/>
          <w:w w:val="110"/>
        </w:rPr>
        <w:t> </w:t>
      </w:r>
      <w:r>
        <w:rPr>
          <w:color w:val="231F1F"/>
          <w:w w:val="110"/>
        </w:rPr>
        <w:t>se</w:t>
      </w:r>
      <w:r>
        <w:rPr>
          <w:color w:val="231F1F"/>
          <w:spacing w:val="-9"/>
          <w:w w:val="110"/>
        </w:rPr>
        <w:t> </w:t>
      </w:r>
      <w:r>
        <w:rPr>
          <w:color w:val="231F1F"/>
          <w:w w:val="110"/>
        </w:rPr>
        <w:t>han</w:t>
      </w:r>
      <w:r>
        <w:rPr>
          <w:color w:val="231F1F"/>
          <w:spacing w:val="-9"/>
          <w:w w:val="110"/>
        </w:rPr>
        <w:t> </w:t>
      </w:r>
      <w:r>
        <w:rPr>
          <w:color w:val="231F1F"/>
          <w:w w:val="110"/>
        </w:rPr>
        <w:t>relacionado con</w:t>
      </w:r>
      <w:r>
        <w:rPr>
          <w:color w:val="231F1F"/>
          <w:spacing w:val="-10"/>
          <w:w w:val="110"/>
        </w:rPr>
        <w:t> </w:t>
      </w:r>
      <w:r>
        <w:rPr>
          <w:color w:val="231F1F"/>
          <w:w w:val="110"/>
        </w:rPr>
        <w:t>menor</w:t>
      </w:r>
      <w:r>
        <w:rPr>
          <w:color w:val="231F1F"/>
          <w:spacing w:val="-11"/>
          <w:w w:val="110"/>
        </w:rPr>
        <w:t> </w:t>
      </w:r>
      <w:r>
        <w:rPr>
          <w:color w:val="231F1F"/>
          <w:w w:val="110"/>
        </w:rPr>
        <w:t>número</w:t>
      </w:r>
      <w:r>
        <w:rPr>
          <w:color w:val="231F1F"/>
          <w:spacing w:val="-10"/>
          <w:w w:val="110"/>
        </w:rPr>
        <w:t> </w:t>
      </w:r>
      <w:r>
        <w:rPr>
          <w:color w:val="231F1F"/>
          <w:w w:val="110"/>
        </w:rPr>
        <w:t>de</w:t>
      </w:r>
      <w:r>
        <w:rPr>
          <w:color w:val="231F1F"/>
          <w:spacing w:val="-10"/>
          <w:w w:val="110"/>
        </w:rPr>
        <w:t> </w:t>
      </w:r>
      <w:r>
        <w:rPr>
          <w:color w:val="231F1F"/>
          <w:w w:val="110"/>
        </w:rPr>
        <w:t>cesáreas</w:t>
      </w:r>
      <w:r>
        <w:rPr>
          <w:color w:val="231F1F"/>
          <w:spacing w:val="-10"/>
          <w:w w:val="110"/>
        </w:rPr>
        <w:t> </w:t>
      </w:r>
      <w:r>
        <w:rPr>
          <w:color w:val="231F1F"/>
          <w:w w:val="110"/>
        </w:rPr>
        <w:t>en</w:t>
      </w:r>
      <w:r>
        <w:rPr>
          <w:color w:val="231F1F"/>
          <w:spacing w:val="-10"/>
          <w:w w:val="110"/>
        </w:rPr>
        <w:t> </w:t>
      </w:r>
      <w:r>
        <w:rPr>
          <w:color w:val="231F1F"/>
          <w:w w:val="110"/>
        </w:rPr>
        <w:t>4</w:t>
      </w:r>
      <w:r>
        <w:rPr>
          <w:color w:val="231F1F"/>
          <w:spacing w:val="-10"/>
          <w:w w:val="110"/>
        </w:rPr>
        <w:t> </w:t>
      </w:r>
      <w:r>
        <w:rPr>
          <w:color w:val="231F1F"/>
          <w:w w:val="110"/>
        </w:rPr>
        <w:t>estudios,</w:t>
      </w:r>
      <w:r>
        <w:rPr>
          <w:color w:val="231F1F"/>
          <w:spacing w:val="-10"/>
          <w:w w:val="110"/>
        </w:rPr>
        <w:t> </w:t>
      </w:r>
      <w:r>
        <w:rPr>
          <w:color w:val="231F1F"/>
          <w:w w:val="110"/>
        </w:rPr>
        <w:t>así</w:t>
      </w:r>
      <w:r>
        <w:rPr>
          <w:color w:val="231F1F"/>
          <w:spacing w:val="-10"/>
          <w:w w:val="110"/>
        </w:rPr>
        <w:t> </w:t>
      </w:r>
      <w:r>
        <w:rPr>
          <w:color w:val="231F1F"/>
          <w:w w:val="110"/>
        </w:rPr>
        <w:t>como</w:t>
      </w:r>
      <w:r>
        <w:rPr>
          <w:color w:val="231F1F"/>
          <w:spacing w:val="-10"/>
          <w:w w:val="110"/>
        </w:rPr>
        <w:t> </w:t>
      </w:r>
      <w:r>
        <w:rPr>
          <w:color w:val="231F1F"/>
          <w:w w:val="110"/>
        </w:rPr>
        <w:t>con</w:t>
      </w:r>
      <w:r>
        <w:rPr>
          <w:color w:val="231F1F"/>
          <w:spacing w:val="-10"/>
          <w:w w:val="110"/>
        </w:rPr>
        <w:t> </w:t>
      </w:r>
      <w:r>
        <w:rPr>
          <w:color w:val="231F1F"/>
          <w:w w:val="110"/>
        </w:rPr>
        <w:t>más</w:t>
      </w:r>
      <w:r>
        <w:rPr>
          <w:color w:val="231F1F"/>
          <w:spacing w:val="-10"/>
          <w:w w:val="110"/>
        </w:rPr>
        <w:t> </w:t>
      </w:r>
      <w:r>
        <w:rPr>
          <w:color w:val="231F1F"/>
          <w:w w:val="110"/>
        </w:rPr>
        <w:t>partos</w:t>
      </w:r>
      <w:r>
        <w:rPr>
          <w:color w:val="231F1F"/>
          <w:spacing w:val="-11"/>
          <w:w w:val="110"/>
        </w:rPr>
        <w:t> </w:t>
      </w:r>
      <w:r>
        <w:rPr>
          <w:color w:val="231F1F"/>
          <w:w w:val="110"/>
        </w:rPr>
        <w:t>vagi- nales</w:t>
      </w:r>
      <w:r>
        <w:rPr>
          <w:color w:val="231F1F"/>
          <w:spacing w:val="-14"/>
          <w:w w:val="110"/>
        </w:rPr>
        <w:t> </w:t>
      </w:r>
      <w:r>
        <w:rPr>
          <w:color w:val="231F1F"/>
          <w:w w:val="110"/>
        </w:rPr>
        <w:t>espontáneos</w:t>
      </w:r>
      <w:r>
        <w:rPr>
          <w:color w:val="231F1F"/>
          <w:spacing w:val="-12"/>
          <w:w w:val="110"/>
        </w:rPr>
        <w:t> </w:t>
      </w:r>
      <w:r>
        <w:rPr>
          <w:color w:val="231F1F"/>
          <w:w w:val="110"/>
        </w:rPr>
        <w:t>en</w:t>
      </w:r>
      <w:r>
        <w:rPr>
          <w:color w:val="231F1F"/>
          <w:spacing w:val="-13"/>
          <w:w w:val="110"/>
        </w:rPr>
        <w:t> </w:t>
      </w:r>
      <w:r>
        <w:rPr>
          <w:color w:val="231F1F"/>
          <w:w w:val="110"/>
        </w:rPr>
        <w:t>1</w:t>
      </w:r>
      <w:r>
        <w:rPr>
          <w:color w:val="231F1F"/>
          <w:spacing w:val="-13"/>
          <w:w w:val="110"/>
        </w:rPr>
        <w:t> </w:t>
      </w:r>
      <w:r>
        <w:rPr>
          <w:color w:val="231F1F"/>
          <w:w w:val="110"/>
        </w:rPr>
        <w:t>estudio.</w:t>
      </w:r>
      <w:r>
        <w:rPr>
          <w:color w:val="231F1F"/>
          <w:spacing w:val="-14"/>
          <w:w w:val="110"/>
        </w:rPr>
        <w:t> </w:t>
      </w:r>
      <w:r>
        <w:rPr>
          <w:color w:val="231F1F"/>
          <w:w w:val="110"/>
        </w:rPr>
        <w:t>Este</w:t>
      </w:r>
      <w:r>
        <w:rPr>
          <w:color w:val="231F1F"/>
          <w:spacing w:val="-13"/>
          <w:w w:val="110"/>
        </w:rPr>
        <w:t> </w:t>
      </w:r>
      <w:r>
        <w:rPr>
          <w:color w:val="231F1F"/>
          <w:w w:val="110"/>
        </w:rPr>
        <w:t>hecho</w:t>
      </w:r>
      <w:r>
        <w:rPr>
          <w:color w:val="231F1F"/>
          <w:spacing w:val="-13"/>
          <w:w w:val="110"/>
        </w:rPr>
        <w:t> </w:t>
      </w:r>
      <w:r>
        <w:rPr>
          <w:color w:val="231F1F"/>
          <w:w w:val="110"/>
        </w:rPr>
        <w:t>puede</w:t>
      </w:r>
      <w:r>
        <w:rPr>
          <w:color w:val="231F1F"/>
          <w:spacing w:val="-14"/>
          <w:w w:val="110"/>
        </w:rPr>
        <w:t> </w:t>
      </w:r>
      <w:r>
        <w:rPr>
          <w:color w:val="231F1F"/>
          <w:w w:val="110"/>
        </w:rPr>
        <w:t>ser</w:t>
      </w:r>
      <w:r>
        <w:rPr>
          <w:color w:val="231F1F"/>
          <w:spacing w:val="-14"/>
          <w:w w:val="110"/>
        </w:rPr>
        <w:t> </w:t>
      </w:r>
      <w:r>
        <w:rPr>
          <w:color w:val="231F1F"/>
          <w:w w:val="110"/>
        </w:rPr>
        <w:t>debido</w:t>
      </w:r>
      <w:r>
        <w:rPr>
          <w:color w:val="231F1F"/>
          <w:spacing w:val="-13"/>
          <w:w w:val="110"/>
        </w:rPr>
        <w:t> </w:t>
      </w:r>
      <w:r>
        <w:rPr>
          <w:color w:val="231F1F"/>
          <w:w w:val="110"/>
        </w:rPr>
        <w:t>a</w:t>
      </w:r>
      <w:r>
        <w:rPr>
          <w:color w:val="231F1F"/>
          <w:spacing w:val="-13"/>
          <w:w w:val="110"/>
        </w:rPr>
        <w:t> </w:t>
      </w:r>
      <w:r>
        <w:rPr>
          <w:color w:val="231F1F"/>
          <w:w w:val="110"/>
        </w:rPr>
        <w:t>la</w:t>
      </w:r>
      <w:r>
        <w:rPr>
          <w:color w:val="231F1F"/>
          <w:spacing w:val="-13"/>
          <w:w w:val="110"/>
        </w:rPr>
        <w:t> </w:t>
      </w:r>
      <w:r>
        <w:rPr>
          <w:color w:val="231F1F"/>
          <w:w w:val="110"/>
        </w:rPr>
        <w:t>alta</w:t>
      </w:r>
      <w:r>
        <w:rPr>
          <w:color w:val="231F1F"/>
          <w:spacing w:val="-14"/>
          <w:w w:val="110"/>
        </w:rPr>
        <w:t> </w:t>
      </w:r>
      <w:r>
        <w:rPr>
          <w:color w:val="231F1F"/>
          <w:w w:val="110"/>
        </w:rPr>
        <w:t>hetero- geneidad que existe entre los diferentes estudios.</w:t>
      </w:r>
    </w:p>
    <w:p>
      <w:pPr>
        <w:pStyle w:val="BodyText"/>
        <w:tabs>
          <w:tab w:pos="7989" w:val="left" w:leader="none"/>
          <w:tab w:pos="8114" w:val="left" w:leader="none"/>
        </w:tabs>
        <w:spacing w:line="242" w:lineRule="auto" w:before="94"/>
        <w:ind w:left="283" w:right="335" w:firstLine="453"/>
        <w:rPr>
          <w:rFonts w:ascii="Arial MT" w:hAnsi="Arial MT"/>
          <w:position w:val="8"/>
          <w:sz w:val="18"/>
        </w:rPr>
      </w:pPr>
      <w:r>
        <w:rPr>
          <w:color w:val="231F1F"/>
          <w:w w:val="110"/>
        </w:rPr>
        <w:t>Las</w:t>
      </w:r>
      <w:r>
        <w:rPr>
          <w:color w:val="231F1F"/>
          <w:spacing w:val="-16"/>
          <w:w w:val="110"/>
        </w:rPr>
        <w:t> </w:t>
      </w:r>
      <w:r>
        <w:rPr>
          <w:color w:val="231F1F"/>
          <w:w w:val="110"/>
        </w:rPr>
        <w:t>mujeres</w:t>
      </w:r>
      <w:r>
        <w:rPr>
          <w:color w:val="231F1F"/>
          <w:spacing w:val="-11"/>
          <w:w w:val="110"/>
        </w:rPr>
        <w:t> </w:t>
      </w:r>
      <w:r>
        <w:rPr>
          <w:color w:val="231F1F"/>
          <w:w w:val="110"/>
        </w:rPr>
        <w:t>de</w:t>
      </w:r>
      <w:r>
        <w:rPr>
          <w:color w:val="231F1F"/>
          <w:spacing w:val="-12"/>
          <w:w w:val="110"/>
        </w:rPr>
        <w:t> </w:t>
      </w:r>
      <w:r>
        <w:rPr>
          <w:color w:val="231F1F"/>
          <w:w w:val="110"/>
        </w:rPr>
        <w:t>parto</w:t>
      </w:r>
      <w:r>
        <w:rPr>
          <w:color w:val="231F1F"/>
          <w:spacing w:val="-12"/>
          <w:w w:val="110"/>
        </w:rPr>
        <w:t> </w:t>
      </w:r>
      <w:r>
        <w:rPr>
          <w:color w:val="231F1F"/>
          <w:w w:val="110"/>
        </w:rPr>
        <w:t>inducido</w:t>
      </w:r>
      <w:r>
        <w:rPr>
          <w:color w:val="231F1F"/>
          <w:spacing w:val="-12"/>
          <w:w w:val="110"/>
        </w:rPr>
        <w:t> </w:t>
      </w:r>
      <w:r>
        <w:rPr>
          <w:color w:val="231F1F"/>
          <w:w w:val="110"/>
        </w:rPr>
        <w:t>con</w:t>
      </w:r>
      <w:r>
        <w:rPr>
          <w:color w:val="231F1F"/>
          <w:spacing w:val="-12"/>
          <w:w w:val="110"/>
        </w:rPr>
        <w:t> </w:t>
      </w:r>
      <w:r>
        <w:rPr>
          <w:color w:val="231F1F"/>
          <w:w w:val="110"/>
        </w:rPr>
        <w:t>dosis</w:t>
      </w:r>
      <w:r>
        <w:rPr>
          <w:color w:val="231F1F"/>
          <w:spacing w:val="-12"/>
          <w:w w:val="110"/>
        </w:rPr>
        <w:t> </w:t>
      </w:r>
      <w:r>
        <w:rPr>
          <w:color w:val="231F1F"/>
          <w:w w:val="110"/>
        </w:rPr>
        <w:t>altas</w:t>
      </w:r>
      <w:r>
        <w:rPr>
          <w:color w:val="231F1F"/>
          <w:spacing w:val="-12"/>
          <w:w w:val="110"/>
        </w:rPr>
        <w:t> </w:t>
      </w:r>
      <w:r>
        <w:rPr>
          <w:color w:val="231F1F"/>
          <w:w w:val="110"/>
        </w:rPr>
        <w:t>de</w:t>
      </w:r>
      <w:r>
        <w:rPr>
          <w:color w:val="231F1F"/>
          <w:spacing w:val="-12"/>
          <w:w w:val="110"/>
        </w:rPr>
        <w:t> </w:t>
      </w:r>
      <w:r>
        <w:rPr>
          <w:color w:val="231F1F"/>
          <w:w w:val="110"/>
        </w:rPr>
        <w:t>oxitocina</w:t>
      </w:r>
      <w:r>
        <w:rPr>
          <w:color w:val="231F1F"/>
          <w:spacing w:val="-12"/>
          <w:w w:val="110"/>
        </w:rPr>
        <w:t> </w:t>
      </w:r>
      <w:r>
        <w:rPr>
          <w:color w:val="231F1F"/>
          <w:w w:val="110"/>
        </w:rPr>
        <w:t>podrían</w:t>
      </w:r>
      <w:r>
        <w:rPr>
          <w:color w:val="231F1F"/>
          <w:spacing w:val="-12"/>
          <w:w w:val="110"/>
        </w:rPr>
        <w:t> </w:t>
      </w:r>
      <w:r>
        <w:rPr>
          <w:color w:val="231F1F"/>
          <w:w w:val="110"/>
        </w:rPr>
        <w:t>tener</w:t>
      </w:r>
      <w:r>
        <w:rPr>
          <w:color w:val="231F1F"/>
          <w:spacing w:val="-10"/>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partos más cortos, menos cesáreas y más partos vaginales espontáneos, com-</w:t>
      </w:r>
      <w:r>
        <w:rPr>
          <w:color w:val="231F1F"/>
        </w:rPr>
        <w:tab/>
      </w:r>
      <w:r>
        <w:rPr>
          <w:rFonts w:ascii="Arial MT" w:hAnsi="Arial MT"/>
          <w:color w:val="231F1F"/>
          <w:spacing w:val="-4"/>
          <w:w w:val="110"/>
          <w:position w:val="4"/>
          <w:sz w:val="18"/>
        </w:rPr>
        <w:t>ECAs </w:t>
      </w:r>
      <w:r>
        <w:rPr>
          <w:color w:val="231F1F"/>
          <w:w w:val="110"/>
        </w:rPr>
        <w:t>parando con las que reciben bajas dosis de oxitocina.</w:t>
      </w:r>
      <w:r>
        <w:rPr>
          <w:color w:val="231F1F"/>
        </w:rPr>
        <w:tab/>
        <w:tab/>
      </w:r>
      <w:r>
        <w:rPr>
          <w:rFonts w:ascii="Arial MT" w:hAnsi="Arial MT"/>
          <w:color w:val="231F1F"/>
          <w:spacing w:val="-6"/>
          <w:w w:val="110"/>
          <w:position w:val="8"/>
          <w:sz w:val="18"/>
        </w:rPr>
        <w:t>1+</w:t>
      </w:r>
    </w:p>
    <w:p>
      <w:pPr>
        <w:pStyle w:val="BodyText"/>
        <w:spacing w:line="244" w:lineRule="auto" w:before="70"/>
        <w:ind w:left="283" w:right="1363" w:firstLine="453"/>
        <w:jc w:val="both"/>
      </w:pPr>
      <w:r>
        <w:rPr>
          <w:color w:val="231F1F"/>
          <w:w w:val="110"/>
        </w:rPr>
        <w:t>De</w:t>
      </w:r>
      <w:r>
        <w:rPr>
          <w:color w:val="231F1F"/>
          <w:w w:val="110"/>
        </w:rPr>
        <w:t> todos modos, en</w:t>
      </w:r>
      <w:r>
        <w:rPr>
          <w:color w:val="231F1F"/>
          <w:w w:val="110"/>
        </w:rPr>
        <w:t> la</w:t>
      </w:r>
      <w:r>
        <w:rPr>
          <w:color w:val="231F1F"/>
          <w:w w:val="110"/>
        </w:rPr>
        <w:t> guía</w:t>
      </w:r>
      <w:r>
        <w:rPr>
          <w:color w:val="231F1F"/>
          <w:w w:val="110"/>
        </w:rPr>
        <w:t> NICE</w:t>
      </w:r>
      <w:r>
        <w:rPr>
          <w:color w:val="231F1F"/>
          <w:w w:val="110"/>
        </w:rPr>
        <w:t> (10) se</w:t>
      </w:r>
      <w:r>
        <w:rPr>
          <w:color w:val="231F1F"/>
          <w:w w:val="110"/>
        </w:rPr>
        <w:t> realiza</w:t>
      </w:r>
      <w:r>
        <w:rPr>
          <w:color w:val="231F1F"/>
          <w:w w:val="110"/>
        </w:rPr>
        <w:t> una</w:t>
      </w:r>
      <w:r>
        <w:rPr>
          <w:color w:val="231F1F"/>
          <w:w w:val="110"/>
        </w:rPr>
        <w:t> advertencia</w:t>
      </w:r>
      <w:r>
        <w:rPr>
          <w:color w:val="231F1F"/>
          <w:w w:val="110"/>
        </w:rPr>
        <w:t> de cautela</w:t>
      </w:r>
      <w:r>
        <w:rPr>
          <w:color w:val="231F1F"/>
          <w:spacing w:val="-13"/>
          <w:w w:val="110"/>
        </w:rPr>
        <w:t> </w:t>
      </w:r>
      <w:r>
        <w:rPr>
          <w:color w:val="231F1F"/>
          <w:w w:val="110"/>
        </w:rPr>
        <w:t>a</w:t>
      </w:r>
      <w:r>
        <w:rPr>
          <w:color w:val="231F1F"/>
          <w:spacing w:val="-12"/>
          <w:w w:val="110"/>
        </w:rPr>
        <w:t> </w:t>
      </w:r>
      <w:r>
        <w:rPr>
          <w:color w:val="231F1F"/>
          <w:w w:val="110"/>
        </w:rPr>
        <w:t>la</w:t>
      </w:r>
      <w:r>
        <w:rPr>
          <w:color w:val="231F1F"/>
          <w:spacing w:val="-12"/>
          <w:w w:val="110"/>
        </w:rPr>
        <w:t> </w:t>
      </w:r>
      <w:r>
        <w:rPr>
          <w:color w:val="231F1F"/>
          <w:w w:val="110"/>
        </w:rPr>
        <w:t>hora</w:t>
      </w:r>
      <w:r>
        <w:rPr>
          <w:color w:val="231F1F"/>
          <w:spacing w:val="-12"/>
          <w:w w:val="110"/>
        </w:rPr>
        <w:t> </w:t>
      </w:r>
      <w:r>
        <w:rPr>
          <w:color w:val="231F1F"/>
          <w:w w:val="110"/>
        </w:rPr>
        <w:t>de</w:t>
      </w:r>
      <w:r>
        <w:rPr>
          <w:color w:val="231F1F"/>
          <w:spacing w:val="-12"/>
          <w:w w:val="110"/>
        </w:rPr>
        <w:t> </w:t>
      </w:r>
      <w:r>
        <w:rPr>
          <w:color w:val="231F1F"/>
          <w:w w:val="110"/>
        </w:rPr>
        <w:t>utilizar</w:t>
      </w:r>
      <w:r>
        <w:rPr>
          <w:color w:val="231F1F"/>
          <w:spacing w:val="-13"/>
          <w:w w:val="110"/>
        </w:rPr>
        <w:t> </w:t>
      </w:r>
      <w:r>
        <w:rPr>
          <w:color w:val="231F1F"/>
          <w:w w:val="110"/>
        </w:rPr>
        <w:t>altas</w:t>
      </w:r>
      <w:r>
        <w:rPr>
          <w:color w:val="231F1F"/>
          <w:spacing w:val="-13"/>
          <w:w w:val="110"/>
        </w:rPr>
        <w:t> </w:t>
      </w:r>
      <w:r>
        <w:rPr>
          <w:color w:val="231F1F"/>
          <w:w w:val="110"/>
        </w:rPr>
        <w:t>dosis,</w:t>
      </w:r>
      <w:r>
        <w:rPr>
          <w:color w:val="231F1F"/>
          <w:spacing w:val="-13"/>
          <w:w w:val="110"/>
        </w:rPr>
        <w:t> </w:t>
      </w:r>
      <w:r>
        <w:rPr>
          <w:color w:val="231F1F"/>
          <w:w w:val="110"/>
        </w:rPr>
        <w:t>debido</w:t>
      </w:r>
      <w:r>
        <w:rPr>
          <w:color w:val="231F1F"/>
          <w:spacing w:val="-12"/>
          <w:w w:val="110"/>
        </w:rPr>
        <w:t> </w:t>
      </w:r>
      <w:r>
        <w:rPr>
          <w:color w:val="231F1F"/>
          <w:w w:val="110"/>
        </w:rPr>
        <w:t>a</w:t>
      </w:r>
      <w:r>
        <w:rPr>
          <w:color w:val="231F1F"/>
          <w:spacing w:val="-12"/>
          <w:w w:val="110"/>
        </w:rPr>
        <w:t> </w:t>
      </w:r>
      <w:r>
        <w:rPr>
          <w:color w:val="231F1F"/>
          <w:w w:val="110"/>
        </w:rPr>
        <w:t>que</w:t>
      </w:r>
      <w:r>
        <w:rPr>
          <w:color w:val="231F1F"/>
          <w:spacing w:val="-12"/>
          <w:w w:val="110"/>
        </w:rPr>
        <w:t> </w:t>
      </w:r>
      <w:r>
        <w:rPr>
          <w:color w:val="231F1F"/>
          <w:w w:val="110"/>
        </w:rPr>
        <w:t>no</w:t>
      </w:r>
      <w:r>
        <w:rPr>
          <w:color w:val="231F1F"/>
          <w:spacing w:val="-12"/>
          <w:w w:val="110"/>
        </w:rPr>
        <w:t> </w:t>
      </w:r>
      <w:r>
        <w:rPr>
          <w:color w:val="231F1F"/>
          <w:w w:val="110"/>
        </w:rPr>
        <w:t>existe</w:t>
      </w:r>
      <w:r>
        <w:rPr>
          <w:color w:val="231F1F"/>
          <w:spacing w:val="-12"/>
          <w:w w:val="110"/>
        </w:rPr>
        <w:t> </w:t>
      </w:r>
      <w:r>
        <w:rPr>
          <w:color w:val="231F1F"/>
          <w:w w:val="110"/>
        </w:rPr>
        <w:t>suficiente</w:t>
      </w:r>
      <w:r>
        <w:rPr>
          <w:color w:val="231F1F"/>
          <w:spacing w:val="-13"/>
          <w:w w:val="110"/>
        </w:rPr>
        <w:t> </w:t>
      </w:r>
      <w:r>
        <w:rPr>
          <w:color w:val="231F1F"/>
          <w:w w:val="110"/>
        </w:rPr>
        <w:t>evi- dencia</w:t>
      </w:r>
      <w:r>
        <w:rPr>
          <w:color w:val="231F1F"/>
          <w:spacing w:val="-7"/>
          <w:w w:val="110"/>
        </w:rPr>
        <w:t> </w:t>
      </w:r>
      <w:r>
        <w:rPr>
          <w:color w:val="231F1F"/>
          <w:w w:val="110"/>
        </w:rPr>
        <w:t>sobre</w:t>
      </w:r>
      <w:r>
        <w:rPr>
          <w:color w:val="231F1F"/>
          <w:spacing w:val="-7"/>
          <w:w w:val="110"/>
        </w:rPr>
        <w:t> </w:t>
      </w:r>
      <w:r>
        <w:rPr>
          <w:color w:val="231F1F"/>
          <w:w w:val="110"/>
        </w:rPr>
        <w:t>los</w:t>
      </w:r>
      <w:r>
        <w:rPr>
          <w:color w:val="231F1F"/>
          <w:spacing w:val="-6"/>
          <w:w w:val="110"/>
        </w:rPr>
        <w:t> </w:t>
      </w:r>
      <w:r>
        <w:rPr>
          <w:color w:val="231F1F"/>
          <w:w w:val="110"/>
        </w:rPr>
        <w:t>efectos</w:t>
      </w:r>
      <w:r>
        <w:rPr>
          <w:color w:val="231F1F"/>
          <w:spacing w:val="-6"/>
          <w:w w:val="110"/>
        </w:rPr>
        <w:t> </w:t>
      </w:r>
      <w:r>
        <w:rPr>
          <w:color w:val="231F1F"/>
          <w:w w:val="110"/>
        </w:rPr>
        <w:t>de</w:t>
      </w:r>
      <w:r>
        <w:rPr>
          <w:color w:val="231F1F"/>
          <w:spacing w:val="-6"/>
          <w:w w:val="110"/>
        </w:rPr>
        <w:t> </w:t>
      </w:r>
      <w:r>
        <w:rPr>
          <w:color w:val="231F1F"/>
          <w:w w:val="110"/>
        </w:rPr>
        <w:t>esta</w:t>
      </w:r>
      <w:r>
        <w:rPr>
          <w:color w:val="231F1F"/>
          <w:spacing w:val="-6"/>
          <w:w w:val="110"/>
        </w:rPr>
        <w:t> </w:t>
      </w:r>
      <w:r>
        <w:rPr>
          <w:color w:val="231F1F"/>
          <w:w w:val="110"/>
        </w:rPr>
        <w:t>intervención</w:t>
      </w:r>
      <w:r>
        <w:rPr>
          <w:color w:val="231F1F"/>
          <w:spacing w:val="-6"/>
          <w:w w:val="110"/>
        </w:rPr>
        <w:t> </w:t>
      </w:r>
      <w:r>
        <w:rPr>
          <w:color w:val="231F1F"/>
          <w:w w:val="110"/>
        </w:rPr>
        <w:t>en</w:t>
      </w:r>
      <w:r>
        <w:rPr>
          <w:color w:val="231F1F"/>
          <w:spacing w:val="-6"/>
          <w:w w:val="110"/>
        </w:rPr>
        <w:t> </w:t>
      </w:r>
      <w:r>
        <w:rPr>
          <w:color w:val="231F1F"/>
          <w:w w:val="110"/>
        </w:rPr>
        <w:t>los</w:t>
      </w:r>
      <w:r>
        <w:rPr>
          <w:color w:val="231F1F"/>
          <w:spacing w:val="-6"/>
          <w:w w:val="110"/>
        </w:rPr>
        <w:t> </w:t>
      </w:r>
      <w:r>
        <w:rPr>
          <w:color w:val="231F1F"/>
          <w:w w:val="110"/>
        </w:rPr>
        <w:t>resultados</w:t>
      </w:r>
      <w:r>
        <w:rPr>
          <w:color w:val="231F1F"/>
          <w:spacing w:val="-6"/>
          <w:w w:val="110"/>
        </w:rPr>
        <w:t> </w:t>
      </w:r>
      <w:r>
        <w:rPr>
          <w:color w:val="231F1F"/>
          <w:w w:val="110"/>
        </w:rPr>
        <w:t>neonatales,</w:t>
      </w:r>
      <w:r>
        <w:rPr>
          <w:color w:val="231F1F"/>
          <w:spacing w:val="-7"/>
          <w:w w:val="110"/>
        </w:rPr>
        <w:t> </w:t>
      </w:r>
      <w:r>
        <w:rPr>
          <w:color w:val="231F1F"/>
          <w:w w:val="110"/>
        </w:rPr>
        <w:t>y ninguna evidencia sobre el dolor de las mujeres que reciben altas dosis de oxitocina para la estimulación .</w:t>
      </w:r>
    </w:p>
    <w:p>
      <w:pPr>
        <w:spacing w:line="244" w:lineRule="auto" w:before="140"/>
        <w:ind w:left="283" w:right="1370" w:firstLine="453"/>
        <w:jc w:val="both"/>
        <w:rPr>
          <w:sz w:val="22"/>
        </w:rPr>
      </w:pPr>
      <w:r>
        <w:rPr>
          <w:color w:val="231F1F"/>
          <w:w w:val="105"/>
          <w:sz w:val="22"/>
        </w:rPr>
        <w:t>La</w:t>
      </w:r>
      <w:r>
        <w:rPr>
          <w:color w:val="231F1F"/>
          <w:w w:val="105"/>
          <w:sz w:val="22"/>
        </w:rPr>
        <w:t> guía</w:t>
      </w:r>
      <w:r>
        <w:rPr>
          <w:color w:val="231F1F"/>
          <w:w w:val="105"/>
          <w:sz w:val="22"/>
        </w:rPr>
        <w:t> NICE</w:t>
      </w:r>
      <w:r>
        <w:rPr>
          <w:color w:val="231F1F"/>
          <w:w w:val="105"/>
          <w:sz w:val="22"/>
        </w:rPr>
        <w:t> (10)</w:t>
      </w:r>
      <w:r>
        <w:rPr>
          <w:color w:val="231F1F"/>
          <w:w w:val="105"/>
          <w:sz w:val="22"/>
        </w:rPr>
        <w:t> también</w:t>
      </w:r>
      <w:r>
        <w:rPr>
          <w:color w:val="231F1F"/>
          <w:w w:val="105"/>
          <w:sz w:val="22"/>
        </w:rPr>
        <w:t> evalúa</w:t>
      </w:r>
      <w:r>
        <w:rPr>
          <w:color w:val="231F1F"/>
          <w:w w:val="105"/>
          <w:sz w:val="22"/>
        </w:rPr>
        <w:t> </w:t>
      </w:r>
      <w:r>
        <w:rPr>
          <w:i/>
          <w:color w:val="231F1F"/>
          <w:w w:val="105"/>
          <w:sz w:val="22"/>
        </w:rPr>
        <w:t>diferentes formas de administración de</w:t>
      </w:r>
      <w:r>
        <w:rPr>
          <w:i/>
          <w:color w:val="231F1F"/>
          <w:spacing w:val="-6"/>
          <w:w w:val="105"/>
          <w:sz w:val="22"/>
        </w:rPr>
        <w:t> </w:t>
      </w:r>
      <w:r>
        <w:rPr>
          <w:i/>
          <w:color w:val="231F1F"/>
          <w:w w:val="105"/>
          <w:sz w:val="22"/>
        </w:rPr>
        <w:t>diferentes</w:t>
      </w:r>
      <w:r>
        <w:rPr>
          <w:i/>
          <w:color w:val="231F1F"/>
          <w:spacing w:val="-6"/>
          <w:w w:val="105"/>
          <w:sz w:val="22"/>
        </w:rPr>
        <w:t> </w:t>
      </w:r>
      <w:r>
        <w:rPr>
          <w:i/>
          <w:color w:val="231F1F"/>
          <w:w w:val="105"/>
          <w:sz w:val="22"/>
        </w:rPr>
        <w:t>regímenes</w:t>
      </w:r>
      <w:r>
        <w:rPr>
          <w:i/>
          <w:color w:val="231F1F"/>
          <w:spacing w:val="-6"/>
          <w:w w:val="105"/>
          <w:sz w:val="22"/>
        </w:rPr>
        <w:t> </w:t>
      </w:r>
      <w:r>
        <w:rPr>
          <w:i/>
          <w:color w:val="231F1F"/>
          <w:w w:val="105"/>
          <w:sz w:val="22"/>
        </w:rPr>
        <w:t>de</w:t>
      </w:r>
      <w:r>
        <w:rPr>
          <w:i/>
          <w:color w:val="231F1F"/>
          <w:spacing w:val="-6"/>
          <w:w w:val="105"/>
          <w:sz w:val="22"/>
        </w:rPr>
        <w:t> </w:t>
      </w:r>
      <w:r>
        <w:rPr>
          <w:i/>
          <w:color w:val="231F1F"/>
          <w:w w:val="105"/>
          <w:sz w:val="22"/>
        </w:rPr>
        <w:t>dosificación</w:t>
      </w:r>
      <w:r>
        <w:rPr>
          <w:i/>
          <w:color w:val="231F1F"/>
          <w:spacing w:val="-7"/>
          <w:w w:val="105"/>
          <w:sz w:val="22"/>
        </w:rPr>
        <w:t> </w:t>
      </w:r>
      <w:r>
        <w:rPr>
          <w:color w:val="231F1F"/>
          <w:w w:val="105"/>
          <w:sz w:val="22"/>
        </w:rPr>
        <w:t>para la estimulación del parto, pero la evidencia</w:t>
      </w:r>
      <w:r>
        <w:rPr>
          <w:color w:val="231F1F"/>
          <w:spacing w:val="-1"/>
          <w:w w:val="105"/>
          <w:sz w:val="22"/>
        </w:rPr>
        <w:t> </w:t>
      </w:r>
      <w:r>
        <w:rPr>
          <w:color w:val="231F1F"/>
          <w:w w:val="105"/>
          <w:sz w:val="22"/>
        </w:rPr>
        <w:t>es</w:t>
      </w:r>
      <w:r>
        <w:rPr>
          <w:color w:val="231F1F"/>
          <w:spacing w:val="-2"/>
          <w:w w:val="105"/>
          <w:sz w:val="22"/>
        </w:rPr>
        <w:t> </w:t>
      </w:r>
      <w:r>
        <w:rPr>
          <w:color w:val="231F1F"/>
          <w:w w:val="105"/>
          <w:sz w:val="22"/>
        </w:rPr>
        <w:t>limitada,</w:t>
      </w:r>
      <w:r>
        <w:rPr>
          <w:color w:val="231F1F"/>
          <w:spacing w:val="-2"/>
          <w:w w:val="105"/>
          <w:sz w:val="22"/>
        </w:rPr>
        <w:t> </w:t>
      </w:r>
      <w:r>
        <w:rPr>
          <w:color w:val="231F1F"/>
          <w:w w:val="105"/>
          <w:sz w:val="22"/>
        </w:rPr>
        <w:t>ya</w:t>
      </w:r>
      <w:r>
        <w:rPr>
          <w:color w:val="231F1F"/>
          <w:spacing w:val="-2"/>
          <w:w w:val="105"/>
          <w:sz w:val="22"/>
        </w:rPr>
        <w:t> </w:t>
      </w:r>
      <w:r>
        <w:rPr>
          <w:color w:val="231F1F"/>
          <w:w w:val="105"/>
          <w:sz w:val="22"/>
        </w:rPr>
        <w:t>que</w:t>
      </w:r>
      <w:r>
        <w:rPr>
          <w:color w:val="231F1F"/>
          <w:spacing w:val="-2"/>
          <w:w w:val="105"/>
          <w:sz w:val="22"/>
        </w:rPr>
        <w:t> </w:t>
      </w:r>
      <w:r>
        <w:rPr>
          <w:color w:val="231F1F"/>
          <w:w w:val="105"/>
          <w:sz w:val="22"/>
        </w:rPr>
        <w:t>los</w:t>
      </w:r>
      <w:r>
        <w:rPr>
          <w:color w:val="231F1F"/>
          <w:spacing w:val="-2"/>
          <w:w w:val="105"/>
          <w:sz w:val="22"/>
        </w:rPr>
        <w:t> </w:t>
      </w:r>
      <w:r>
        <w:rPr>
          <w:color w:val="231F1F"/>
          <w:w w:val="105"/>
          <w:sz w:val="22"/>
        </w:rPr>
        <w:t>estudios</w:t>
      </w:r>
      <w:r>
        <w:rPr>
          <w:color w:val="231F1F"/>
          <w:spacing w:val="-1"/>
          <w:w w:val="105"/>
          <w:sz w:val="22"/>
        </w:rPr>
        <w:t> </w:t>
      </w:r>
      <w:r>
        <w:rPr>
          <w:color w:val="231F1F"/>
          <w:w w:val="105"/>
          <w:sz w:val="22"/>
        </w:rPr>
        <w:t>incluidos</w:t>
      </w:r>
      <w:r>
        <w:rPr>
          <w:color w:val="231F1F"/>
          <w:spacing w:val="-2"/>
          <w:w w:val="105"/>
          <w:sz w:val="22"/>
        </w:rPr>
        <w:t> </w:t>
      </w:r>
      <w:r>
        <w:rPr>
          <w:color w:val="231F1F"/>
          <w:w w:val="105"/>
          <w:sz w:val="22"/>
        </w:rPr>
        <w:t>(82-86)</w:t>
      </w:r>
      <w:r>
        <w:rPr>
          <w:color w:val="231F1F"/>
          <w:spacing w:val="-2"/>
          <w:w w:val="105"/>
          <w:sz w:val="22"/>
        </w:rPr>
        <w:t> </w:t>
      </w:r>
      <w:r>
        <w:rPr>
          <w:color w:val="231F1F"/>
          <w:w w:val="105"/>
          <w:sz w:val="22"/>
        </w:rPr>
        <w:t>no</w:t>
      </w:r>
      <w:r>
        <w:rPr>
          <w:color w:val="231F1F"/>
          <w:spacing w:val="-2"/>
          <w:w w:val="105"/>
          <w:sz w:val="22"/>
        </w:rPr>
        <w:t> </w:t>
      </w:r>
      <w:r>
        <w:rPr>
          <w:color w:val="231F1F"/>
          <w:w w:val="105"/>
          <w:sz w:val="22"/>
        </w:rPr>
        <w:t>tienen</w:t>
      </w:r>
      <w:r>
        <w:rPr>
          <w:color w:val="231F1F"/>
          <w:spacing w:val="-2"/>
          <w:w w:val="105"/>
          <w:sz w:val="22"/>
        </w:rPr>
        <w:t> </w:t>
      </w:r>
      <w:r>
        <w:rPr>
          <w:color w:val="231F1F"/>
          <w:w w:val="105"/>
          <w:sz w:val="22"/>
        </w:rPr>
        <w:t>suficien- te poder y además utilizan muchos regímenes diferentes.</w:t>
      </w:r>
    </w:p>
    <w:p>
      <w:pPr>
        <w:tabs>
          <w:tab w:pos="8036" w:val="left" w:leader="none"/>
          <w:tab w:pos="8114" w:val="left" w:leader="none"/>
        </w:tabs>
        <w:spacing w:line="252" w:lineRule="auto" w:before="101"/>
        <w:ind w:left="283" w:right="524" w:firstLine="453"/>
        <w:jc w:val="left"/>
        <w:rPr>
          <w:sz w:val="22"/>
        </w:rPr>
      </w:pPr>
      <w:r>
        <w:rPr>
          <w:color w:val="231F1F"/>
          <w:w w:val="105"/>
          <w:sz w:val="22"/>
        </w:rPr>
        <w:t>En resumen, las mujeres con </w:t>
      </w:r>
      <w:r>
        <w:rPr>
          <w:i/>
          <w:color w:val="231F1F"/>
          <w:w w:val="105"/>
          <w:sz w:val="22"/>
        </w:rPr>
        <w:t>incrementos rápidos de altas dosis de oxito-</w:t>
      </w:r>
      <w:r>
        <w:rPr>
          <w:i/>
          <w:color w:val="231F1F"/>
          <w:sz w:val="22"/>
        </w:rPr>
        <w:tab/>
      </w:r>
      <w:r>
        <w:rPr>
          <w:rFonts w:ascii="Arial MT" w:hAnsi="Arial MT"/>
          <w:color w:val="231F1F"/>
          <w:spacing w:val="-12"/>
          <w:w w:val="105"/>
          <w:sz w:val="18"/>
        </w:rPr>
        <w:t>ECA </w:t>
      </w:r>
      <w:r>
        <w:rPr>
          <w:i/>
          <w:color w:val="231F1F"/>
          <w:w w:val="105"/>
          <w:sz w:val="22"/>
        </w:rPr>
        <w:t>cina, comparadas con </w:t>
      </w:r>
      <w:r>
        <w:rPr>
          <w:color w:val="231F1F"/>
          <w:w w:val="105"/>
          <w:sz w:val="22"/>
        </w:rPr>
        <w:t>incrementos </w:t>
      </w:r>
      <w:r>
        <w:rPr>
          <w:i/>
          <w:color w:val="231F1F"/>
          <w:w w:val="105"/>
          <w:sz w:val="22"/>
        </w:rPr>
        <w:t>lentos </w:t>
      </w:r>
      <w:r>
        <w:rPr>
          <w:color w:val="231F1F"/>
          <w:w w:val="105"/>
          <w:sz w:val="22"/>
        </w:rPr>
        <w:t>(de altas dosis), parecen mostrar</w:t>
      </w:r>
      <w:r>
        <w:rPr>
          <w:color w:val="231F1F"/>
          <w:sz w:val="22"/>
        </w:rPr>
        <w:tab/>
        <w:tab/>
      </w:r>
      <w:r>
        <w:rPr>
          <w:rFonts w:ascii="Arial MT" w:hAnsi="Arial MT"/>
          <w:color w:val="231F1F"/>
          <w:spacing w:val="-6"/>
          <w:w w:val="105"/>
          <w:position w:val="4"/>
          <w:sz w:val="18"/>
        </w:rPr>
        <w:t>1+ </w:t>
      </w:r>
      <w:r>
        <w:rPr>
          <w:color w:val="231F1F"/>
          <w:w w:val="105"/>
          <w:sz w:val="22"/>
        </w:rPr>
        <w:t>menores tasas de cesáreas por distocia: OR 0,6 [IC 95% 0,4 a 0,9] y se sugiere</w:t>
      </w:r>
    </w:p>
    <w:p>
      <w:pPr>
        <w:pStyle w:val="BodyText"/>
        <w:spacing w:before="11"/>
        <w:ind w:left="283"/>
      </w:pPr>
      <w:r>
        <w:rPr>
          <w:color w:val="231F1F"/>
        </w:rPr>
        <w:t>una</w:t>
      </w:r>
      <w:r>
        <w:rPr>
          <w:color w:val="231F1F"/>
          <w:spacing w:val="21"/>
        </w:rPr>
        <w:t> </w:t>
      </w:r>
      <w:r>
        <w:rPr>
          <w:color w:val="231F1F"/>
        </w:rPr>
        <w:t>mayor</w:t>
      </w:r>
      <w:r>
        <w:rPr>
          <w:color w:val="231F1F"/>
          <w:spacing w:val="26"/>
        </w:rPr>
        <w:t> </w:t>
      </w:r>
      <w:r>
        <w:rPr>
          <w:color w:val="231F1F"/>
        </w:rPr>
        <w:t>hiperestimulación</w:t>
      </w:r>
      <w:r>
        <w:rPr>
          <w:color w:val="231F1F"/>
          <w:spacing w:val="25"/>
        </w:rPr>
        <w:t> </w:t>
      </w:r>
      <w:r>
        <w:rPr>
          <w:color w:val="231F1F"/>
        </w:rPr>
        <w:t>uterina:</w:t>
      </w:r>
      <w:r>
        <w:rPr>
          <w:color w:val="231F1F"/>
          <w:spacing w:val="28"/>
        </w:rPr>
        <w:t> </w:t>
      </w:r>
      <w:r>
        <w:rPr>
          <w:color w:val="231F1F"/>
        </w:rPr>
        <w:t>OR</w:t>
      </w:r>
      <w:r>
        <w:rPr>
          <w:color w:val="231F1F"/>
          <w:spacing w:val="25"/>
        </w:rPr>
        <w:t> </w:t>
      </w:r>
      <w:r>
        <w:rPr>
          <w:color w:val="231F1F"/>
        </w:rPr>
        <w:t>1,3</w:t>
      </w:r>
      <w:r>
        <w:rPr>
          <w:color w:val="231F1F"/>
          <w:spacing w:val="26"/>
        </w:rPr>
        <w:t> </w:t>
      </w:r>
      <w:r>
        <w:rPr>
          <w:color w:val="231F1F"/>
        </w:rPr>
        <w:t>[IC</w:t>
      </w:r>
      <w:r>
        <w:rPr>
          <w:color w:val="231F1F"/>
          <w:spacing w:val="25"/>
        </w:rPr>
        <w:t> </w:t>
      </w:r>
      <w:r>
        <w:rPr>
          <w:color w:val="231F1F"/>
        </w:rPr>
        <w:t>95%</w:t>
      </w:r>
      <w:r>
        <w:rPr>
          <w:color w:val="231F1F"/>
          <w:spacing w:val="28"/>
        </w:rPr>
        <w:t> </w:t>
      </w:r>
      <w:r>
        <w:rPr>
          <w:color w:val="231F1F"/>
        </w:rPr>
        <w:t>0,9</w:t>
      </w:r>
      <w:r>
        <w:rPr>
          <w:color w:val="231F1F"/>
          <w:spacing w:val="25"/>
        </w:rPr>
        <w:t> </w:t>
      </w:r>
      <w:r>
        <w:rPr>
          <w:color w:val="231F1F"/>
        </w:rPr>
        <w:t>a</w:t>
      </w:r>
      <w:r>
        <w:rPr>
          <w:color w:val="231F1F"/>
          <w:spacing w:val="26"/>
        </w:rPr>
        <w:t> </w:t>
      </w:r>
      <w:r>
        <w:rPr>
          <w:color w:val="231F1F"/>
        </w:rPr>
        <w:t>1,7]</w:t>
      </w:r>
      <w:r>
        <w:rPr>
          <w:color w:val="231F1F"/>
          <w:spacing w:val="27"/>
        </w:rPr>
        <w:t> </w:t>
      </w:r>
      <w:r>
        <w:rPr>
          <w:color w:val="231F1F"/>
          <w:spacing w:val="-2"/>
        </w:rPr>
        <w:t>(83).</w:t>
      </w:r>
    </w:p>
    <w:p>
      <w:pPr>
        <w:tabs>
          <w:tab w:pos="8036" w:val="left" w:leader="none"/>
          <w:tab w:pos="8114" w:val="left" w:leader="none"/>
        </w:tabs>
        <w:spacing w:line="252" w:lineRule="auto" w:before="107"/>
        <w:ind w:left="283" w:right="524" w:firstLine="453"/>
        <w:jc w:val="left"/>
        <w:rPr>
          <w:sz w:val="22"/>
        </w:rPr>
      </w:pPr>
      <w:r>
        <w:rPr>
          <w:color w:val="231F1F"/>
          <w:w w:val="110"/>
          <w:sz w:val="22"/>
        </w:rPr>
        <w:t>En la comparación de </w:t>
      </w:r>
      <w:r>
        <w:rPr>
          <w:i/>
          <w:color w:val="231F1F"/>
          <w:w w:val="110"/>
          <w:sz w:val="22"/>
        </w:rPr>
        <w:t>bajas dosis de oxitocina con incrementos rápidos</w:t>
      </w:r>
      <w:r>
        <w:rPr>
          <w:i/>
          <w:color w:val="231F1F"/>
          <w:sz w:val="22"/>
        </w:rPr>
        <w:tab/>
      </w:r>
      <w:r>
        <w:rPr>
          <w:rFonts w:ascii="Arial MT" w:hAnsi="Arial MT"/>
          <w:color w:val="231F1F"/>
          <w:spacing w:val="-12"/>
          <w:w w:val="105"/>
          <w:sz w:val="18"/>
        </w:rPr>
        <w:t>ECA </w:t>
      </w:r>
      <w:r>
        <w:rPr>
          <w:i/>
          <w:color w:val="231F1F"/>
          <w:w w:val="110"/>
          <w:sz w:val="22"/>
        </w:rPr>
        <w:t>frente a incrementos lentos</w:t>
      </w:r>
      <w:r>
        <w:rPr>
          <w:color w:val="231F1F"/>
          <w:w w:val="110"/>
          <w:sz w:val="22"/>
        </w:rPr>
        <w:t>, no existen diferencias en la tasa de cesáreas. Sin</w:t>
      </w:r>
      <w:r>
        <w:rPr>
          <w:color w:val="231F1F"/>
          <w:sz w:val="22"/>
        </w:rPr>
        <w:tab/>
        <w:tab/>
      </w:r>
      <w:r>
        <w:rPr>
          <w:rFonts w:ascii="Arial MT" w:hAnsi="Arial MT"/>
          <w:color w:val="231F1F"/>
          <w:spacing w:val="-6"/>
          <w:w w:val="110"/>
          <w:position w:val="4"/>
          <w:sz w:val="18"/>
        </w:rPr>
        <w:t>1+ </w:t>
      </w:r>
      <w:r>
        <w:rPr>
          <w:color w:val="231F1F"/>
          <w:w w:val="110"/>
          <w:sz w:val="22"/>
        </w:rPr>
        <w:t>embargo, las mujeres con incrementos rápidos de bajas dosis de oxitocina</w:t>
      </w:r>
    </w:p>
    <w:p>
      <w:pPr>
        <w:pStyle w:val="BodyText"/>
        <w:spacing w:line="249" w:lineRule="auto"/>
        <w:ind w:left="283" w:right="1365"/>
        <w:jc w:val="both"/>
      </w:pPr>
      <w:r>
        <w:rPr>
          <w:color w:val="231F1F"/>
          <w:w w:val="105"/>
        </w:rPr>
        <w:t>parecen</w:t>
      </w:r>
      <w:r>
        <w:rPr>
          <w:color w:val="231F1F"/>
          <w:w w:val="105"/>
        </w:rPr>
        <w:t> experimentar</w:t>
      </w:r>
      <w:r>
        <w:rPr>
          <w:color w:val="231F1F"/>
          <w:w w:val="105"/>
        </w:rPr>
        <w:t> mayor</w:t>
      </w:r>
      <w:r>
        <w:rPr>
          <w:color w:val="231F1F"/>
          <w:w w:val="105"/>
        </w:rPr>
        <w:t> sufrimiento</w:t>
      </w:r>
      <w:r>
        <w:rPr>
          <w:color w:val="231F1F"/>
          <w:w w:val="105"/>
        </w:rPr>
        <w:t> fetal:</w:t>
      </w:r>
      <w:r>
        <w:rPr>
          <w:color w:val="231F1F"/>
          <w:w w:val="105"/>
        </w:rPr>
        <w:t> RR</w:t>
      </w:r>
      <w:r>
        <w:rPr>
          <w:color w:val="231F1F"/>
          <w:w w:val="105"/>
        </w:rPr>
        <w:t> 1,68</w:t>
      </w:r>
      <w:r>
        <w:rPr>
          <w:color w:val="231F1F"/>
          <w:w w:val="105"/>
        </w:rPr>
        <w:t> p&lt;0,005</w:t>
      </w:r>
      <w:r>
        <w:rPr>
          <w:color w:val="231F1F"/>
          <w:w w:val="105"/>
        </w:rPr>
        <w:t> e</w:t>
      </w:r>
      <w:r>
        <w:rPr>
          <w:color w:val="231F1F"/>
          <w:w w:val="105"/>
        </w:rPr>
        <w:t> hiperesti- mulación uterina: RR 1,69 p&lt;0,001, comparadas con las tuvieron incrementos lentos (84).</w:t>
      </w:r>
    </w:p>
    <w:p>
      <w:pPr>
        <w:spacing w:line="252" w:lineRule="auto" w:before="90"/>
        <w:ind w:left="283" w:right="571" w:firstLine="453"/>
        <w:jc w:val="both"/>
        <w:rPr>
          <w:sz w:val="22"/>
        </w:rPr>
      </w:pPr>
      <w:r>
        <w:rPr>
          <w:color w:val="231F1F"/>
          <w:w w:val="110"/>
          <w:sz w:val="22"/>
        </w:rPr>
        <w:t>En</w:t>
      </w:r>
      <w:r>
        <w:rPr>
          <w:color w:val="231F1F"/>
          <w:spacing w:val="-11"/>
          <w:w w:val="110"/>
          <w:sz w:val="22"/>
        </w:rPr>
        <w:t> </w:t>
      </w:r>
      <w:r>
        <w:rPr>
          <w:color w:val="231F1F"/>
          <w:w w:val="110"/>
          <w:sz w:val="22"/>
        </w:rPr>
        <w:t>relación</w:t>
      </w:r>
      <w:r>
        <w:rPr>
          <w:color w:val="231F1F"/>
          <w:spacing w:val="-11"/>
          <w:w w:val="110"/>
          <w:sz w:val="22"/>
        </w:rPr>
        <w:t> </w:t>
      </w:r>
      <w:r>
        <w:rPr>
          <w:color w:val="231F1F"/>
          <w:w w:val="110"/>
          <w:sz w:val="22"/>
        </w:rPr>
        <w:t>a</w:t>
      </w:r>
      <w:r>
        <w:rPr>
          <w:color w:val="231F1F"/>
          <w:spacing w:val="-11"/>
          <w:w w:val="110"/>
          <w:sz w:val="22"/>
        </w:rPr>
        <w:t> </w:t>
      </w:r>
      <w:r>
        <w:rPr>
          <w:color w:val="231F1F"/>
          <w:w w:val="110"/>
          <w:sz w:val="22"/>
        </w:rPr>
        <w:t>la</w:t>
      </w:r>
      <w:r>
        <w:rPr>
          <w:color w:val="231F1F"/>
          <w:spacing w:val="-11"/>
          <w:w w:val="110"/>
          <w:sz w:val="22"/>
        </w:rPr>
        <w:t> </w:t>
      </w:r>
      <w:r>
        <w:rPr>
          <w:i/>
          <w:color w:val="231F1F"/>
          <w:w w:val="110"/>
          <w:sz w:val="22"/>
        </w:rPr>
        <w:t>comparación</w:t>
      </w:r>
      <w:r>
        <w:rPr>
          <w:i/>
          <w:color w:val="231F1F"/>
          <w:spacing w:val="-15"/>
          <w:w w:val="110"/>
          <w:sz w:val="22"/>
        </w:rPr>
        <w:t> </w:t>
      </w:r>
      <w:r>
        <w:rPr>
          <w:i/>
          <w:color w:val="231F1F"/>
          <w:w w:val="110"/>
          <w:sz w:val="22"/>
        </w:rPr>
        <w:t>entre</w:t>
      </w:r>
      <w:r>
        <w:rPr>
          <w:i/>
          <w:color w:val="231F1F"/>
          <w:spacing w:val="-15"/>
          <w:w w:val="110"/>
          <w:sz w:val="22"/>
        </w:rPr>
        <w:t> </w:t>
      </w:r>
      <w:r>
        <w:rPr>
          <w:i/>
          <w:color w:val="231F1F"/>
          <w:w w:val="110"/>
          <w:sz w:val="22"/>
        </w:rPr>
        <w:t>la</w:t>
      </w:r>
      <w:r>
        <w:rPr>
          <w:i/>
          <w:color w:val="231F1F"/>
          <w:spacing w:val="-15"/>
          <w:w w:val="110"/>
          <w:sz w:val="22"/>
        </w:rPr>
        <w:t> </w:t>
      </w:r>
      <w:r>
        <w:rPr>
          <w:i/>
          <w:color w:val="231F1F"/>
          <w:w w:val="110"/>
          <w:sz w:val="22"/>
        </w:rPr>
        <w:t>administración</w:t>
      </w:r>
      <w:r>
        <w:rPr>
          <w:i/>
          <w:color w:val="231F1F"/>
          <w:spacing w:val="-15"/>
          <w:w w:val="110"/>
          <w:sz w:val="22"/>
        </w:rPr>
        <w:t> </w:t>
      </w:r>
      <w:r>
        <w:rPr>
          <w:i/>
          <w:color w:val="231F1F"/>
          <w:w w:val="110"/>
          <w:sz w:val="22"/>
        </w:rPr>
        <w:t>pulsátil</w:t>
      </w:r>
      <w:r>
        <w:rPr>
          <w:i/>
          <w:color w:val="231F1F"/>
          <w:spacing w:val="-15"/>
          <w:w w:val="110"/>
          <w:sz w:val="22"/>
        </w:rPr>
        <w:t> </w:t>
      </w:r>
      <w:r>
        <w:rPr>
          <w:color w:val="231F1F"/>
          <w:w w:val="110"/>
          <w:sz w:val="22"/>
        </w:rPr>
        <w:t>de</w:t>
      </w:r>
      <w:r>
        <w:rPr>
          <w:color w:val="231F1F"/>
          <w:spacing w:val="-11"/>
          <w:w w:val="110"/>
          <w:sz w:val="22"/>
        </w:rPr>
        <w:t> </w:t>
      </w:r>
      <w:r>
        <w:rPr>
          <w:color w:val="231F1F"/>
          <w:w w:val="110"/>
          <w:sz w:val="22"/>
        </w:rPr>
        <w:t>oxitocina</w:t>
      </w:r>
      <w:r>
        <w:rPr>
          <w:color w:val="231F1F"/>
          <w:spacing w:val="12"/>
          <w:w w:val="110"/>
          <w:sz w:val="22"/>
        </w:rPr>
        <w:t> </w:t>
      </w:r>
      <w:r>
        <w:rPr>
          <w:rFonts w:ascii="Arial MT" w:hAnsi="Arial MT"/>
          <w:color w:val="231F1F"/>
          <w:w w:val="110"/>
          <w:sz w:val="18"/>
        </w:rPr>
        <w:t>ECA </w:t>
      </w:r>
      <w:r>
        <w:rPr>
          <w:color w:val="231F1F"/>
          <w:w w:val="110"/>
          <w:sz w:val="22"/>
        </w:rPr>
        <w:t>y</w:t>
      </w:r>
      <w:r>
        <w:rPr>
          <w:color w:val="231F1F"/>
          <w:spacing w:val="-2"/>
          <w:w w:val="110"/>
          <w:sz w:val="22"/>
        </w:rPr>
        <w:t> </w:t>
      </w:r>
      <w:r>
        <w:rPr>
          <w:color w:val="231F1F"/>
          <w:w w:val="110"/>
          <w:sz w:val="22"/>
        </w:rPr>
        <w:t>la</w:t>
      </w:r>
      <w:r>
        <w:rPr>
          <w:color w:val="231F1F"/>
          <w:spacing w:val="-2"/>
          <w:w w:val="110"/>
          <w:sz w:val="22"/>
        </w:rPr>
        <w:t> </w:t>
      </w:r>
      <w:r>
        <w:rPr>
          <w:i/>
          <w:color w:val="231F1F"/>
          <w:w w:val="110"/>
          <w:sz w:val="22"/>
        </w:rPr>
        <w:t>administración</w:t>
      </w:r>
      <w:r>
        <w:rPr>
          <w:i/>
          <w:color w:val="231F1F"/>
          <w:spacing w:val="-4"/>
          <w:w w:val="110"/>
          <w:sz w:val="22"/>
        </w:rPr>
        <w:t> </w:t>
      </w:r>
      <w:r>
        <w:rPr>
          <w:i/>
          <w:color w:val="231F1F"/>
          <w:w w:val="110"/>
          <w:sz w:val="22"/>
        </w:rPr>
        <w:t>continua</w:t>
      </w:r>
      <w:r>
        <w:rPr>
          <w:color w:val="231F1F"/>
          <w:w w:val="110"/>
          <w:sz w:val="22"/>
        </w:rPr>
        <w:t>,</w:t>
      </w:r>
      <w:r>
        <w:rPr>
          <w:color w:val="231F1F"/>
          <w:spacing w:val="-3"/>
          <w:w w:val="110"/>
          <w:sz w:val="22"/>
        </w:rPr>
        <w:t> </w:t>
      </w:r>
      <w:r>
        <w:rPr>
          <w:color w:val="231F1F"/>
          <w:w w:val="110"/>
          <w:sz w:val="22"/>
        </w:rPr>
        <w:t>la</w:t>
      </w:r>
      <w:r>
        <w:rPr>
          <w:color w:val="231F1F"/>
          <w:spacing w:val="-2"/>
          <w:w w:val="110"/>
          <w:sz w:val="22"/>
        </w:rPr>
        <w:t> </w:t>
      </w:r>
      <w:r>
        <w:rPr>
          <w:color w:val="231F1F"/>
          <w:w w:val="110"/>
          <w:sz w:val="22"/>
        </w:rPr>
        <w:t>evidencia</w:t>
      </w:r>
      <w:r>
        <w:rPr>
          <w:color w:val="231F1F"/>
          <w:spacing w:val="-2"/>
          <w:w w:val="110"/>
          <w:sz w:val="22"/>
        </w:rPr>
        <w:t> </w:t>
      </w:r>
      <w:r>
        <w:rPr>
          <w:color w:val="231F1F"/>
          <w:w w:val="110"/>
          <w:sz w:val="22"/>
        </w:rPr>
        <w:t>limitada</w:t>
      </w:r>
      <w:r>
        <w:rPr>
          <w:color w:val="231F1F"/>
          <w:spacing w:val="-2"/>
          <w:w w:val="110"/>
          <w:sz w:val="22"/>
        </w:rPr>
        <w:t> </w:t>
      </w:r>
      <w:r>
        <w:rPr>
          <w:color w:val="231F1F"/>
          <w:w w:val="110"/>
          <w:sz w:val="22"/>
        </w:rPr>
        <w:t>mostró</w:t>
      </w:r>
      <w:r>
        <w:rPr>
          <w:color w:val="231F1F"/>
          <w:spacing w:val="-2"/>
          <w:w w:val="110"/>
          <w:sz w:val="22"/>
        </w:rPr>
        <w:t> </w:t>
      </w:r>
      <w:r>
        <w:rPr>
          <w:color w:val="231F1F"/>
          <w:w w:val="110"/>
          <w:sz w:val="22"/>
        </w:rPr>
        <w:t>una</w:t>
      </w:r>
      <w:r>
        <w:rPr>
          <w:color w:val="231F1F"/>
          <w:spacing w:val="-2"/>
          <w:w w:val="110"/>
          <w:sz w:val="22"/>
        </w:rPr>
        <w:t> </w:t>
      </w:r>
      <w:r>
        <w:rPr>
          <w:color w:val="231F1F"/>
          <w:w w:val="110"/>
          <w:sz w:val="22"/>
        </w:rPr>
        <w:t>menor</w:t>
      </w:r>
      <w:r>
        <w:rPr>
          <w:color w:val="231F1F"/>
          <w:spacing w:val="-2"/>
          <w:w w:val="110"/>
          <w:sz w:val="22"/>
        </w:rPr>
        <w:t> </w:t>
      </w:r>
      <w:r>
        <w:rPr>
          <w:color w:val="231F1F"/>
          <w:w w:val="110"/>
          <w:sz w:val="22"/>
        </w:rPr>
        <w:t>cantidad</w:t>
      </w:r>
      <w:r>
        <w:rPr>
          <w:color w:val="231F1F"/>
          <w:spacing w:val="80"/>
          <w:w w:val="110"/>
          <w:sz w:val="22"/>
        </w:rPr>
        <w:t> </w:t>
      </w:r>
      <w:r>
        <w:rPr>
          <w:rFonts w:ascii="Arial MT" w:hAnsi="Arial MT"/>
          <w:color w:val="231F1F"/>
          <w:w w:val="110"/>
          <w:position w:val="4"/>
          <w:sz w:val="18"/>
        </w:rPr>
        <w:t>1+ </w:t>
      </w:r>
      <w:r>
        <w:rPr>
          <w:color w:val="231F1F"/>
          <w:w w:val="110"/>
          <w:sz w:val="22"/>
        </w:rPr>
        <w:t>de oxitocina en la administración pulsátil (pulsátil: 1.300 mU (DE 332 mU)</w:t>
      </w:r>
    </w:p>
    <w:p>
      <w:pPr>
        <w:pStyle w:val="BodyText"/>
        <w:spacing w:line="244" w:lineRule="auto"/>
        <w:ind w:left="283" w:right="1446"/>
        <w:jc w:val="both"/>
      </w:pPr>
      <w:r>
        <w:rPr>
          <w:color w:val="231F1F"/>
          <w:spacing w:val="-2"/>
          <w:w w:val="105"/>
        </w:rPr>
        <w:t>vs</w:t>
      </w:r>
      <w:r>
        <w:rPr>
          <w:color w:val="231F1F"/>
          <w:spacing w:val="-8"/>
          <w:w w:val="105"/>
        </w:rPr>
        <w:t> </w:t>
      </w:r>
      <w:r>
        <w:rPr>
          <w:color w:val="231F1F"/>
          <w:spacing w:val="-2"/>
          <w:w w:val="105"/>
        </w:rPr>
        <w:t>continua:</w:t>
      </w:r>
      <w:r>
        <w:rPr>
          <w:color w:val="231F1F"/>
          <w:spacing w:val="-7"/>
          <w:w w:val="105"/>
        </w:rPr>
        <w:t> </w:t>
      </w:r>
      <w:r>
        <w:rPr>
          <w:color w:val="231F1F"/>
          <w:spacing w:val="-2"/>
          <w:w w:val="105"/>
        </w:rPr>
        <w:t>1.803</w:t>
      </w:r>
      <w:r>
        <w:rPr>
          <w:color w:val="231F1F"/>
          <w:spacing w:val="-8"/>
          <w:w w:val="105"/>
        </w:rPr>
        <w:t> </w:t>
      </w:r>
      <w:r>
        <w:rPr>
          <w:color w:val="231F1F"/>
          <w:spacing w:val="-2"/>
          <w:w w:val="105"/>
        </w:rPr>
        <w:t>mU</w:t>
      </w:r>
      <w:r>
        <w:rPr>
          <w:color w:val="231F1F"/>
          <w:spacing w:val="-7"/>
          <w:w w:val="105"/>
        </w:rPr>
        <w:t> </w:t>
      </w:r>
      <w:r>
        <w:rPr>
          <w:color w:val="231F1F"/>
          <w:spacing w:val="-2"/>
          <w:w w:val="105"/>
        </w:rPr>
        <w:t>(DE</w:t>
      </w:r>
      <w:r>
        <w:rPr>
          <w:color w:val="231F1F"/>
          <w:spacing w:val="-8"/>
          <w:w w:val="105"/>
        </w:rPr>
        <w:t> </w:t>
      </w:r>
      <w:r>
        <w:rPr>
          <w:color w:val="231F1F"/>
          <w:spacing w:val="-2"/>
          <w:w w:val="105"/>
        </w:rPr>
        <w:t>302</w:t>
      </w:r>
      <w:r>
        <w:rPr>
          <w:color w:val="231F1F"/>
          <w:spacing w:val="-7"/>
          <w:w w:val="105"/>
        </w:rPr>
        <w:t> </w:t>
      </w:r>
      <w:r>
        <w:rPr>
          <w:color w:val="231F1F"/>
          <w:spacing w:val="-2"/>
          <w:w w:val="105"/>
        </w:rPr>
        <w:t>mU);</w:t>
      </w:r>
      <w:r>
        <w:rPr>
          <w:color w:val="231F1F"/>
          <w:spacing w:val="-9"/>
          <w:w w:val="105"/>
        </w:rPr>
        <w:t> </w:t>
      </w:r>
      <w:r>
        <w:rPr>
          <w:color w:val="231F1F"/>
          <w:spacing w:val="-2"/>
          <w:w w:val="105"/>
        </w:rPr>
        <w:t>p&lt;0,001)</w:t>
      </w:r>
      <w:r>
        <w:rPr>
          <w:color w:val="231F1F"/>
          <w:spacing w:val="-7"/>
          <w:w w:val="105"/>
        </w:rPr>
        <w:t> </w:t>
      </w:r>
      <w:r>
        <w:rPr>
          <w:color w:val="231F1F"/>
          <w:spacing w:val="-2"/>
          <w:w w:val="105"/>
        </w:rPr>
        <w:t>sin</w:t>
      </w:r>
      <w:r>
        <w:rPr>
          <w:color w:val="231F1F"/>
          <w:spacing w:val="-7"/>
          <w:w w:val="105"/>
        </w:rPr>
        <w:t> </w:t>
      </w:r>
      <w:r>
        <w:rPr>
          <w:color w:val="231F1F"/>
          <w:spacing w:val="-2"/>
          <w:w w:val="105"/>
        </w:rPr>
        <w:t>que</w:t>
      </w:r>
      <w:r>
        <w:rPr>
          <w:color w:val="231F1F"/>
          <w:spacing w:val="-9"/>
          <w:w w:val="105"/>
        </w:rPr>
        <w:t> </w:t>
      </w:r>
      <w:r>
        <w:rPr>
          <w:color w:val="231F1F"/>
          <w:spacing w:val="-2"/>
          <w:w w:val="105"/>
        </w:rPr>
        <w:t>hubiera</w:t>
      </w:r>
      <w:r>
        <w:rPr>
          <w:color w:val="231F1F"/>
          <w:spacing w:val="-8"/>
          <w:w w:val="105"/>
        </w:rPr>
        <w:t> </w:t>
      </w:r>
      <w:r>
        <w:rPr>
          <w:color w:val="231F1F"/>
          <w:spacing w:val="-2"/>
          <w:w w:val="105"/>
        </w:rPr>
        <w:t>más</w:t>
      </w:r>
      <w:r>
        <w:rPr>
          <w:color w:val="231F1F"/>
          <w:spacing w:val="-8"/>
          <w:w w:val="105"/>
        </w:rPr>
        <w:t> </w:t>
      </w:r>
      <w:r>
        <w:rPr>
          <w:color w:val="231F1F"/>
          <w:spacing w:val="-2"/>
          <w:w w:val="105"/>
        </w:rPr>
        <w:t>diferencias </w:t>
      </w:r>
      <w:r>
        <w:rPr>
          <w:color w:val="231F1F"/>
          <w:w w:val="105"/>
        </w:rPr>
        <w:t>en otros resultados (85).</w:t>
      </w:r>
    </w:p>
    <w:p>
      <w:pPr>
        <w:pStyle w:val="BodyText"/>
        <w:spacing w:line="254" w:lineRule="auto" w:before="52"/>
        <w:ind w:left="283" w:right="1515" w:firstLine="453"/>
        <w:jc w:val="both"/>
      </w:pPr>
      <w:r>
        <w:rPr>
          <w:color w:val="231F1F"/>
          <w:w w:val="105"/>
        </w:rPr>
        <w:t>La</w:t>
      </w:r>
      <w:r>
        <w:rPr>
          <w:color w:val="231F1F"/>
          <w:spacing w:val="-8"/>
          <w:w w:val="105"/>
        </w:rPr>
        <w:t> </w:t>
      </w:r>
      <w:r>
        <w:rPr>
          <w:color w:val="231F1F"/>
          <w:w w:val="105"/>
        </w:rPr>
        <w:t>evidencia</w:t>
      </w:r>
      <w:r>
        <w:rPr>
          <w:color w:val="231F1F"/>
          <w:spacing w:val="-8"/>
          <w:w w:val="105"/>
        </w:rPr>
        <w:t> </w:t>
      </w:r>
      <w:r>
        <w:rPr>
          <w:color w:val="231F1F"/>
          <w:w w:val="105"/>
        </w:rPr>
        <w:t>sobre</w:t>
      </w:r>
      <w:r>
        <w:rPr>
          <w:color w:val="231F1F"/>
          <w:spacing w:val="-9"/>
          <w:w w:val="105"/>
        </w:rPr>
        <w:t> </w:t>
      </w:r>
      <w:r>
        <w:rPr>
          <w:color w:val="231F1F"/>
          <w:w w:val="105"/>
        </w:rPr>
        <w:t>otros</w:t>
      </w:r>
      <w:r>
        <w:rPr>
          <w:color w:val="231F1F"/>
          <w:spacing w:val="-8"/>
          <w:w w:val="105"/>
        </w:rPr>
        <w:t> </w:t>
      </w:r>
      <w:r>
        <w:rPr>
          <w:color w:val="231F1F"/>
          <w:w w:val="105"/>
        </w:rPr>
        <w:t>resultados</w:t>
      </w:r>
      <w:r>
        <w:rPr>
          <w:color w:val="231F1F"/>
          <w:spacing w:val="-8"/>
          <w:w w:val="105"/>
        </w:rPr>
        <w:t> </w:t>
      </w:r>
      <w:r>
        <w:rPr>
          <w:color w:val="231F1F"/>
          <w:w w:val="105"/>
        </w:rPr>
        <w:t>sobre</w:t>
      </w:r>
      <w:r>
        <w:rPr>
          <w:color w:val="231F1F"/>
          <w:spacing w:val="-9"/>
          <w:w w:val="105"/>
        </w:rPr>
        <w:t> </w:t>
      </w:r>
      <w:r>
        <w:rPr>
          <w:color w:val="231F1F"/>
          <w:w w:val="105"/>
        </w:rPr>
        <w:t>el</w:t>
      </w:r>
      <w:r>
        <w:rPr>
          <w:color w:val="231F1F"/>
          <w:spacing w:val="-10"/>
          <w:w w:val="105"/>
        </w:rPr>
        <w:t> </w:t>
      </w:r>
      <w:r>
        <w:rPr>
          <w:color w:val="231F1F"/>
          <w:w w:val="105"/>
        </w:rPr>
        <w:t>parto,</w:t>
      </w:r>
      <w:r>
        <w:rPr>
          <w:color w:val="231F1F"/>
          <w:spacing w:val="-9"/>
          <w:w w:val="105"/>
        </w:rPr>
        <w:t> </w:t>
      </w:r>
      <w:r>
        <w:rPr>
          <w:color w:val="231F1F"/>
          <w:w w:val="105"/>
        </w:rPr>
        <w:t>incluyendo</w:t>
      </w:r>
      <w:r>
        <w:rPr>
          <w:color w:val="231F1F"/>
          <w:spacing w:val="-9"/>
          <w:w w:val="105"/>
        </w:rPr>
        <w:t> </w:t>
      </w:r>
      <w:r>
        <w:rPr>
          <w:color w:val="231F1F"/>
          <w:w w:val="105"/>
        </w:rPr>
        <w:t>resultados neonatales y satisfacción materna también fue insuficiente.</w:t>
      </w:r>
    </w:p>
    <w:p>
      <w:pPr>
        <w:pStyle w:val="BodyText"/>
        <w:spacing w:after="0" w:line="254" w:lineRule="auto"/>
        <w:jc w:val="both"/>
        <w:sectPr>
          <w:pgSz w:w="11900" w:h="16840"/>
          <w:pgMar w:header="0" w:footer="622" w:top="1580" w:bottom="820" w:left="1417" w:right="1559"/>
        </w:sectPr>
      </w:pPr>
    </w:p>
    <w:p>
      <w:pPr>
        <w:spacing w:before="82"/>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9"/>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54" w:lineRule="auto" w:before="228"/>
        <w:ind w:left="283" w:right="1386"/>
      </w:pPr>
      <w:r>
        <w:rPr>
          <w:color w:val="231F1F"/>
        </w:rPr>
        <w:t>En</w:t>
      </w:r>
      <w:r>
        <w:rPr>
          <w:color w:val="231F1F"/>
          <w:spacing w:val="33"/>
        </w:rPr>
        <w:t> </w:t>
      </w:r>
      <w:r>
        <w:rPr>
          <w:color w:val="231F1F"/>
        </w:rPr>
        <w:t>la</w:t>
      </w:r>
      <w:r>
        <w:rPr>
          <w:color w:val="231F1F"/>
          <w:spacing w:val="33"/>
        </w:rPr>
        <w:t> </w:t>
      </w:r>
      <w:r>
        <w:rPr>
          <w:color w:val="231F1F"/>
        </w:rPr>
        <w:t>actualización</w:t>
      </w:r>
      <w:r>
        <w:rPr>
          <w:color w:val="231F1F"/>
          <w:spacing w:val="33"/>
        </w:rPr>
        <w:t> </w:t>
      </w:r>
      <w:r>
        <w:rPr>
          <w:color w:val="231F1F"/>
        </w:rPr>
        <w:t>de</w:t>
      </w:r>
      <w:r>
        <w:rPr>
          <w:color w:val="231F1F"/>
          <w:spacing w:val="33"/>
        </w:rPr>
        <w:t> </w:t>
      </w:r>
      <w:r>
        <w:rPr>
          <w:color w:val="231F1F"/>
        </w:rPr>
        <w:t>esta</w:t>
      </w:r>
      <w:r>
        <w:rPr>
          <w:color w:val="231F1F"/>
          <w:spacing w:val="33"/>
        </w:rPr>
        <w:t> </w:t>
      </w:r>
      <w:r>
        <w:rPr>
          <w:color w:val="231F1F"/>
        </w:rPr>
        <w:t>pregunta</w:t>
      </w:r>
      <w:r>
        <w:rPr>
          <w:color w:val="231F1F"/>
          <w:spacing w:val="33"/>
        </w:rPr>
        <w:t> </w:t>
      </w:r>
      <w:r>
        <w:rPr>
          <w:color w:val="231F1F"/>
        </w:rPr>
        <w:t>clínica,</w:t>
      </w:r>
      <w:r>
        <w:rPr>
          <w:color w:val="231F1F"/>
          <w:spacing w:val="33"/>
        </w:rPr>
        <w:t> </w:t>
      </w:r>
      <w:r>
        <w:rPr>
          <w:color w:val="231F1F"/>
        </w:rPr>
        <w:t>se</w:t>
      </w:r>
      <w:r>
        <w:rPr>
          <w:color w:val="231F1F"/>
          <w:spacing w:val="33"/>
        </w:rPr>
        <w:t> </w:t>
      </w:r>
      <w:r>
        <w:rPr>
          <w:color w:val="231F1F"/>
        </w:rPr>
        <w:t>ha</w:t>
      </w:r>
      <w:r>
        <w:rPr>
          <w:color w:val="231F1F"/>
          <w:spacing w:val="33"/>
        </w:rPr>
        <w:t> </w:t>
      </w:r>
      <w:r>
        <w:rPr>
          <w:color w:val="231F1F"/>
        </w:rPr>
        <w:t>encontrado</w:t>
      </w:r>
      <w:r>
        <w:rPr>
          <w:color w:val="231F1F"/>
          <w:spacing w:val="33"/>
        </w:rPr>
        <w:t> </w:t>
      </w:r>
      <w:r>
        <w:rPr>
          <w:color w:val="231F1F"/>
        </w:rPr>
        <w:t>la</w:t>
      </w:r>
      <w:r>
        <w:rPr>
          <w:color w:val="231F1F"/>
          <w:spacing w:val="33"/>
        </w:rPr>
        <w:t> </w:t>
      </w:r>
      <w:r>
        <w:rPr>
          <w:color w:val="231F1F"/>
        </w:rPr>
        <w:t>actualización de</w:t>
      </w:r>
      <w:r>
        <w:rPr>
          <w:color w:val="231F1F"/>
          <w:spacing w:val="40"/>
        </w:rPr>
        <w:t> </w:t>
      </w:r>
      <w:r>
        <w:rPr>
          <w:color w:val="231F1F"/>
        </w:rPr>
        <w:t>la</w:t>
      </w:r>
      <w:r>
        <w:rPr>
          <w:color w:val="231F1F"/>
          <w:spacing w:val="40"/>
        </w:rPr>
        <w:t> </w:t>
      </w:r>
      <w:r>
        <w:rPr>
          <w:color w:val="231F1F"/>
        </w:rPr>
        <w:t>RS</w:t>
      </w:r>
      <w:r>
        <w:rPr>
          <w:color w:val="231F1F"/>
          <w:spacing w:val="40"/>
        </w:rPr>
        <w:t> </w:t>
      </w:r>
      <w:r>
        <w:rPr>
          <w:color w:val="231F1F"/>
        </w:rPr>
        <w:t>resumida</w:t>
      </w:r>
      <w:r>
        <w:rPr>
          <w:color w:val="231F1F"/>
          <w:spacing w:val="40"/>
        </w:rPr>
        <w:t> </w:t>
      </w:r>
      <w:r>
        <w:rPr>
          <w:color w:val="231F1F"/>
        </w:rPr>
        <w:t>anteriormente</w:t>
      </w:r>
      <w:r>
        <w:rPr>
          <w:color w:val="231F1F"/>
          <w:spacing w:val="40"/>
        </w:rPr>
        <w:t> </w:t>
      </w:r>
      <w:r>
        <w:rPr>
          <w:color w:val="231F1F"/>
        </w:rPr>
        <w:t>(87).</w:t>
      </w:r>
    </w:p>
    <w:p>
      <w:pPr>
        <w:pStyle w:val="BodyText"/>
        <w:spacing w:line="244" w:lineRule="auto" w:before="141"/>
        <w:ind w:left="283" w:right="1366" w:firstLine="453"/>
        <w:jc w:val="both"/>
      </w:pPr>
      <w:r>
        <w:rPr>
          <w:color w:val="231F1F"/>
          <w:w w:val="110"/>
        </w:rPr>
        <w:t>La</w:t>
      </w:r>
      <w:r>
        <w:rPr>
          <w:color w:val="231F1F"/>
          <w:spacing w:val="-16"/>
          <w:w w:val="110"/>
        </w:rPr>
        <w:t> </w:t>
      </w:r>
      <w:r>
        <w:rPr>
          <w:color w:val="231F1F"/>
          <w:w w:val="110"/>
        </w:rPr>
        <w:t>RS</w:t>
      </w:r>
      <w:r>
        <w:rPr>
          <w:color w:val="231F1F"/>
          <w:spacing w:val="-15"/>
          <w:w w:val="110"/>
        </w:rPr>
        <w:t> </w:t>
      </w:r>
      <w:r>
        <w:rPr>
          <w:color w:val="231F1F"/>
          <w:w w:val="110"/>
        </w:rPr>
        <w:t>(87)</w:t>
      </w:r>
      <w:r>
        <w:rPr>
          <w:color w:val="231F1F"/>
          <w:spacing w:val="-15"/>
          <w:w w:val="110"/>
        </w:rPr>
        <w:t> </w:t>
      </w:r>
      <w:r>
        <w:rPr>
          <w:color w:val="231F1F"/>
          <w:w w:val="110"/>
        </w:rPr>
        <w:t>tiene</w:t>
      </w:r>
      <w:r>
        <w:rPr>
          <w:color w:val="231F1F"/>
          <w:spacing w:val="-15"/>
          <w:w w:val="110"/>
        </w:rPr>
        <w:t> </w:t>
      </w:r>
      <w:r>
        <w:rPr>
          <w:color w:val="231F1F"/>
          <w:w w:val="110"/>
        </w:rPr>
        <w:t>como</w:t>
      </w:r>
      <w:r>
        <w:rPr>
          <w:color w:val="231F1F"/>
          <w:spacing w:val="-15"/>
          <w:w w:val="110"/>
        </w:rPr>
        <w:t> </w:t>
      </w:r>
      <w:r>
        <w:rPr>
          <w:color w:val="231F1F"/>
          <w:w w:val="110"/>
        </w:rPr>
        <w:t>objetivo</w:t>
      </w:r>
      <w:r>
        <w:rPr>
          <w:color w:val="231F1F"/>
          <w:spacing w:val="-15"/>
          <w:w w:val="110"/>
        </w:rPr>
        <w:t> </w:t>
      </w:r>
      <w:r>
        <w:rPr>
          <w:color w:val="231F1F"/>
          <w:w w:val="110"/>
        </w:rPr>
        <w:t>determinar</w:t>
      </w:r>
      <w:r>
        <w:rPr>
          <w:color w:val="231F1F"/>
          <w:spacing w:val="-15"/>
          <w:w w:val="110"/>
        </w:rPr>
        <w:t> </w:t>
      </w:r>
      <w:r>
        <w:rPr>
          <w:color w:val="231F1F"/>
          <w:w w:val="110"/>
        </w:rPr>
        <w:t>la</w:t>
      </w:r>
      <w:r>
        <w:rPr>
          <w:color w:val="231F1F"/>
          <w:spacing w:val="-15"/>
          <w:w w:val="110"/>
        </w:rPr>
        <w:t> </w:t>
      </w:r>
      <w:r>
        <w:rPr>
          <w:color w:val="231F1F"/>
          <w:w w:val="110"/>
        </w:rPr>
        <w:t>efectividad</w:t>
      </w:r>
      <w:r>
        <w:rPr>
          <w:color w:val="231F1F"/>
          <w:spacing w:val="-16"/>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seguridad de</w:t>
      </w:r>
      <w:r>
        <w:rPr>
          <w:color w:val="231F1F"/>
          <w:spacing w:val="-16"/>
          <w:w w:val="110"/>
        </w:rPr>
        <w:t> </w:t>
      </w:r>
      <w:r>
        <w:rPr>
          <w:color w:val="231F1F"/>
          <w:w w:val="110"/>
        </w:rPr>
        <w:t>la</w:t>
      </w:r>
      <w:r>
        <w:rPr>
          <w:color w:val="231F1F"/>
          <w:spacing w:val="-15"/>
          <w:w w:val="110"/>
        </w:rPr>
        <w:t> </w:t>
      </w:r>
      <w:r>
        <w:rPr>
          <w:i/>
          <w:color w:val="231F1F"/>
          <w:w w:val="110"/>
        </w:rPr>
        <w:t>amniorrexis</w:t>
      </w:r>
      <w:r>
        <w:rPr>
          <w:i/>
          <w:color w:val="231F1F"/>
          <w:spacing w:val="-15"/>
          <w:w w:val="110"/>
        </w:rPr>
        <w:t> </w:t>
      </w:r>
      <w:r>
        <w:rPr>
          <w:i/>
          <w:color w:val="231F1F"/>
          <w:w w:val="110"/>
        </w:rPr>
        <w:t>sola</w:t>
      </w:r>
      <w:r>
        <w:rPr>
          <w:i/>
          <w:color w:val="231F1F"/>
          <w:spacing w:val="-15"/>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acortamiento</w:t>
      </w:r>
      <w:r>
        <w:rPr>
          <w:color w:val="231F1F"/>
          <w:spacing w:val="-13"/>
          <w:w w:val="110"/>
        </w:rPr>
        <w:t> </w:t>
      </w:r>
      <w:r>
        <w:rPr>
          <w:color w:val="231F1F"/>
          <w:w w:val="110"/>
        </w:rPr>
        <w:t>sistemático</w:t>
      </w:r>
      <w:r>
        <w:rPr>
          <w:color w:val="231F1F"/>
          <w:spacing w:val="-12"/>
          <w:w w:val="110"/>
        </w:rPr>
        <w:t> </w:t>
      </w:r>
      <w:r>
        <w:rPr>
          <w:color w:val="231F1F"/>
          <w:w w:val="110"/>
        </w:rPr>
        <w:t>de</w:t>
      </w:r>
      <w:r>
        <w:rPr>
          <w:color w:val="231F1F"/>
          <w:spacing w:val="-12"/>
          <w:w w:val="110"/>
        </w:rPr>
        <w:t> </w:t>
      </w:r>
      <w:r>
        <w:rPr>
          <w:color w:val="231F1F"/>
          <w:w w:val="110"/>
        </w:rPr>
        <w:t>todos</w:t>
      </w:r>
      <w:r>
        <w:rPr>
          <w:color w:val="231F1F"/>
          <w:spacing w:val="-12"/>
          <w:w w:val="110"/>
        </w:rPr>
        <w:t> </w:t>
      </w:r>
      <w:r>
        <w:rPr>
          <w:color w:val="231F1F"/>
          <w:w w:val="110"/>
        </w:rPr>
        <w:t>los</w:t>
      </w:r>
      <w:r>
        <w:rPr>
          <w:color w:val="231F1F"/>
          <w:spacing w:val="-12"/>
          <w:w w:val="110"/>
        </w:rPr>
        <w:t> </w:t>
      </w:r>
      <w:r>
        <w:rPr>
          <w:color w:val="231F1F"/>
          <w:w w:val="110"/>
        </w:rPr>
        <w:t>trabajos de</w:t>
      </w:r>
      <w:r>
        <w:rPr>
          <w:color w:val="231F1F"/>
          <w:spacing w:val="-8"/>
          <w:w w:val="110"/>
        </w:rPr>
        <w:t> </w:t>
      </w:r>
      <w:r>
        <w:rPr>
          <w:color w:val="231F1F"/>
          <w:w w:val="110"/>
        </w:rPr>
        <w:t>parto</w:t>
      </w:r>
      <w:r>
        <w:rPr>
          <w:color w:val="231F1F"/>
          <w:spacing w:val="-8"/>
          <w:w w:val="110"/>
        </w:rPr>
        <w:t> </w:t>
      </w:r>
      <w:r>
        <w:rPr>
          <w:color w:val="231F1F"/>
          <w:w w:val="110"/>
        </w:rPr>
        <w:t>de</w:t>
      </w:r>
      <w:r>
        <w:rPr>
          <w:color w:val="231F1F"/>
          <w:spacing w:val="-8"/>
          <w:w w:val="110"/>
        </w:rPr>
        <w:t> </w:t>
      </w:r>
      <w:r>
        <w:rPr>
          <w:color w:val="231F1F"/>
          <w:w w:val="110"/>
        </w:rPr>
        <w:t>comienzo</w:t>
      </w:r>
      <w:r>
        <w:rPr>
          <w:color w:val="231F1F"/>
          <w:spacing w:val="-8"/>
          <w:w w:val="110"/>
        </w:rPr>
        <w:t> </w:t>
      </w:r>
      <w:r>
        <w:rPr>
          <w:color w:val="231F1F"/>
          <w:w w:val="110"/>
        </w:rPr>
        <w:t>espontáneo,</w:t>
      </w:r>
      <w:r>
        <w:rPr>
          <w:color w:val="231F1F"/>
          <w:spacing w:val="-8"/>
          <w:w w:val="110"/>
        </w:rPr>
        <w:t> </w:t>
      </w:r>
      <w:r>
        <w:rPr>
          <w:color w:val="231F1F"/>
          <w:w w:val="110"/>
        </w:rPr>
        <w:t>y</w:t>
      </w:r>
      <w:r>
        <w:rPr>
          <w:color w:val="231F1F"/>
          <w:spacing w:val="-8"/>
          <w:w w:val="110"/>
        </w:rPr>
        <w:t> </w:t>
      </w:r>
      <w:r>
        <w:rPr>
          <w:color w:val="231F1F"/>
          <w:w w:val="110"/>
        </w:rPr>
        <w:t>el</w:t>
      </w:r>
      <w:r>
        <w:rPr>
          <w:color w:val="231F1F"/>
          <w:spacing w:val="-9"/>
          <w:w w:val="110"/>
        </w:rPr>
        <w:t> </w:t>
      </w:r>
      <w:r>
        <w:rPr>
          <w:color w:val="231F1F"/>
          <w:w w:val="110"/>
        </w:rPr>
        <w:t>acortamiento</w:t>
      </w:r>
      <w:r>
        <w:rPr>
          <w:color w:val="231F1F"/>
          <w:spacing w:val="-8"/>
          <w:w w:val="110"/>
        </w:rPr>
        <w:t> </w:t>
      </w:r>
      <w:r>
        <w:rPr>
          <w:color w:val="231F1F"/>
          <w:w w:val="110"/>
        </w:rPr>
        <w:t>de</w:t>
      </w:r>
      <w:r>
        <w:rPr>
          <w:color w:val="231F1F"/>
          <w:spacing w:val="-8"/>
          <w:w w:val="110"/>
        </w:rPr>
        <w:t> </w:t>
      </w:r>
      <w:r>
        <w:rPr>
          <w:color w:val="231F1F"/>
          <w:w w:val="110"/>
        </w:rPr>
        <w:t>los</w:t>
      </w:r>
      <w:r>
        <w:rPr>
          <w:color w:val="231F1F"/>
          <w:spacing w:val="-8"/>
          <w:w w:val="110"/>
        </w:rPr>
        <w:t> </w:t>
      </w:r>
      <w:r>
        <w:rPr>
          <w:color w:val="231F1F"/>
          <w:w w:val="110"/>
        </w:rPr>
        <w:t>trabajos</w:t>
      </w:r>
      <w:r>
        <w:rPr>
          <w:color w:val="231F1F"/>
          <w:spacing w:val="-8"/>
          <w:w w:val="110"/>
        </w:rPr>
        <w:t> </w:t>
      </w:r>
      <w:r>
        <w:rPr>
          <w:color w:val="231F1F"/>
          <w:w w:val="110"/>
        </w:rPr>
        <w:t>de</w:t>
      </w:r>
      <w:r>
        <w:rPr>
          <w:color w:val="231F1F"/>
          <w:spacing w:val="-8"/>
          <w:w w:val="110"/>
        </w:rPr>
        <w:t> </w:t>
      </w:r>
      <w:r>
        <w:rPr>
          <w:color w:val="231F1F"/>
          <w:w w:val="110"/>
        </w:rPr>
        <w:t>parto de comienzo espontáneo pero prolongados. Se han incluido catorce ECAs con 4.893 mujeres.</w:t>
      </w:r>
    </w:p>
    <w:p>
      <w:pPr>
        <w:pStyle w:val="BodyText"/>
        <w:tabs>
          <w:tab w:pos="7791" w:val="left" w:leader="none"/>
          <w:tab w:pos="7989" w:val="left" w:leader="none"/>
          <w:tab w:pos="8114" w:val="left" w:leader="none"/>
        </w:tabs>
        <w:spacing w:line="247" w:lineRule="auto" w:before="111"/>
        <w:ind w:left="283" w:right="312" w:firstLine="453"/>
      </w:pPr>
      <w:r>
        <w:rPr>
          <w:color w:val="231F1F"/>
        </w:rPr>
        <w:t>No hubo diferencias estadísticas en la duración del período de dilatación</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(8 ensayos con 1.127 mujeres): DMP -20,43 minutos [IC 95% -95,93 a 55,06],</w:t>
      </w:r>
      <w:r>
        <w:rPr>
          <w:color w:val="231F1F"/>
        </w:rPr>
        <w:tab/>
        <w:tab/>
      </w:r>
      <w:r>
        <w:rPr>
          <w:rFonts w:ascii="Arial MT" w:hAnsi="Arial MT"/>
          <w:color w:val="231F1F"/>
          <w:spacing w:val="-4"/>
          <w:w w:val="105"/>
          <w:position w:val="4"/>
          <w:sz w:val="18"/>
        </w:rPr>
        <w:t>ECAs </w:t>
      </w:r>
      <w:r>
        <w:rPr>
          <w:color w:val="231F1F"/>
          <w:w w:val="105"/>
        </w:rPr>
        <w:t>ni en la satisfacción materna con la experiencia del parto (dos ECAs con 123</w:t>
      </w:r>
      <w:r>
        <w:rPr>
          <w:color w:val="231F1F"/>
        </w:rPr>
        <w:tab/>
        <w:tab/>
        <w:tab/>
      </w:r>
      <w:r>
        <w:rPr>
          <w:rFonts w:ascii="Arial MT" w:hAnsi="Arial MT"/>
          <w:color w:val="231F1F"/>
          <w:spacing w:val="-6"/>
          <w:w w:val="105"/>
          <w:position w:val="8"/>
          <w:sz w:val="18"/>
        </w:rPr>
        <w:t>1+ </w:t>
      </w:r>
      <w:r>
        <w:rPr>
          <w:color w:val="231F1F"/>
          <w:w w:val="105"/>
        </w:rPr>
        <w:t>mujeres): DMP 0,27 [IC 95% -0,49 a 1,04], ni en la puntuación de Apgar&lt;7 a</w:t>
      </w:r>
    </w:p>
    <w:p>
      <w:pPr>
        <w:pStyle w:val="BodyText"/>
        <w:spacing w:line="249" w:lineRule="exact"/>
        <w:ind w:left="283"/>
      </w:pPr>
      <w:r>
        <w:rPr>
          <w:color w:val="231F1F"/>
          <w:w w:val="105"/>
        </w:rPr>
        <w:t>los</w:t>
      </w:r>
      <w:r>
        <w:rPr>
          <w:color w:val="231F1F"/>
          <w:spacing w:val="-4"/>
          <w:w w:val="105"/>
        </w:rPr>
        <w:t> </w:t>
      </w:r>
      <w:r>
        <w:rPr>
          <w:color w:val="231F1F"/>
          <w:w w:val="105"/>
        </w:rPr>
        <w:t>cinco</w:t>
      </w:r>
      <w:r>
        <w:rPr>
          <w:color w:val="231F1F"/>
          <w:spacing w:val="-4"/>
          <w:w w:val="105"/>
        </w:rPr>
        <w:t> </w:t>
      </w:r>
      <w:r>
        <w:rPr>
          <w:color w:val="231F1F"/>
          <w:w w:val="105"/>
        </w:rPr>
        <w:t>minutos</w:t>
      </w:r>
      <w:r>
        <w:rPr>
          <w:color w:val="231F1F"/>
          <w:spacing w:val="-4"/>
          <w:w w:val="105"/>
        </w:rPr>
        <w:t> </w:t>
      </w:r>
      <w:r>
        <w:rPr>
          <w:color w:val="231F1F"/>
          <w:w w:val="105"/>
        </w:rPr>
        <w:t>(seis</w:t>
      </w:r>
      <w:r>
        <w:rPr>
          <w:color w:val="231F1F"/>
          <w:spacing w:val="-3"/>
          <w:w w:val="105"/>
        </w:rPr>
        <w:t> </w:t>
      </w:r>
      <w:r>
        <w:rPr>
          <w:color w:val="231F1F"/>
          <w:w w:val="105"/>
        </w:rPr>
        <w:t>ECAs</w:t>
      </w:r>
      <w:r>
        <w:rPr>
          <w:color w:val="231F1F"/>
          <w:spacing w:val="-4"/>
          <w:w w:val="105"/>
        </w:rPr>
        <w:t> </w:t>
      </w:r>
      <w:r>
        <w:rPr>
          <w:color w:val="231F1F"/>
          <w:w w:val="105"/>
        </w:rPr>
        <w:t>con</w:t>
      </w:r>
      <w:r>
        <w:rPr>
          <w:color w:val="231F1F"/>
          <w:spacing w:val="-4"/>
          <w:w w:val="105"/>
        </w:rPr>
        <w:t> </w:t>
      </w:r>
      <w:r>
        <w:rPr>
          <w:color w:val="231F1F"/>
          <w:w w:val="105"/>
        </w:rPr>
        <w:t>2.947):</w:t>
      </w:r>
      <w:r>
        <w:rPr>
          <w:color w:val="231F1F"/>
          <w:spacing w:val="-4"/>
          <w:w w:val="105"/>
        </w:rPr>
        <w:t> </w:t>
      </w:r>
      <w:r>
        <w:rPr>
          <w:color w:val="231F1F"/>
          <w:w w:val="105"/>
        </w:rPr>
        <w:t>RR</w:t>
      </w:r>
      <w:r>
        <w:rPr>
          <w:color w:val="231F1F"/>
          <w:spacing w:val="-3"/>
          <w:w w:val="105"/>
        </w:rPr>
        <w:t> </w:t>
      </w:r>
      <w:r>
        <w:rPr>
          <w:color w:val="231F1F"/>
          <w:w w:val="105"/>
        </w:rPr>
        <w:t>0,55</w:t>
      </w:r>
      <w:r>
        <w:rPr>
          <w:color w:val="231F1F"/>
          <w:spacing w:val="-4"/>
          <w:w w:val="105"/>
        </w:rPr>
        <w:t> </w:t>
      </w:r>
      <w:r>
        <w:rPr>
          <w:color w:val="231F1F"/>
          <w:w w:val="105"/>
        </w:rPr>
        <w:t>[IC</w:t>
      </w:r>
      <w:r>
        <w:rPr>
          <w:color w:val="231F1F"/>
          <w:spacing w:val="-4"/>
          <w:w w:val="105"/>
        </w:rPr>
        <w:t> </w:t>
      </w:r>
      <w:r>
        <w:rPr>
          <w:color w:val="231F1F"/>
          <w:w w:val="105"/>
        </w:rPr>
        <w:t>95%</w:t>
      </w:r>
      <w:r>
        <w:rPr>
          <w:color w:val="231F1F"/>
          <w:spacing w:val="-4"/>
          <w:w w:val="105"/>
        </w:rPr>
        <w:t> </w:t>
      </w:r>
      <w:r>
        <w:rPr>
          <w:color w:val="231F1F"/>
          <w:w w:val="105"/>
        </w:rPr>
        <w:t>0,29</w:t>
      </w:r>
      <w:r>
        <w:rPr>
          <w:color w:val="231F1F"/>
          <w:spacing w:val="-3"/>
          <w:w w:val="105"/>
        </w:rPr>
        <w:t> </w:t>
      </w:r>
      <w:r>
        <w:rPr>
          <w:color w:val="231F1F"/>
          <w:w w:val="105"/>
        </w:rPr>
        <w:t>a</w:t>
      </w:r>
      <w:r>
        <w:rPr>
          <w:color w:val="231F1F"/>
          <w:spacing w:val="-4"/>
          <w:w w:val="105"/>
        </w:rPr>
        <w:t> </w:t>
      </w:r>
      <w:r>
        <w:rPr>
          <w:color w:val="231F1F"/>
          <w:spacing w:val="-2"/>
          <w:w w:val="105"/>
        </w:rPr>
        <w:t>1,05].</w:t>
      </w:r>
    </w:p>
    <w:p>
      <w:pPr>
        <w:pStyle w:val="BodyText"/>
        <w:spacing w:line="256" w:lineRule="auto" w:before="117"/>
        <w:ind w:left="283" w:firstLine="453"/>
      </w:pPr>
      <w:r>
        <w:rPr>
          <w:color w:val="231F1F"/>
          <w:w w:val="110"/>
        </w:rPr>
        <w:t>La</w:t>
      </w:r>
      <w:r>
        <w:rPr>
          <w:color w:val="231F1F"/>
          <w:spacing w:val="-16"/>
          <w:w w:val="110"/>
        </w:rPr>
        <w:t> </w:t>
      </w:r>
      <w:r>
        <w:rPr>
          <w:color w:val="231F1F"/>
          <w:w w:val="110"/>
        </w:rPr>
        <w:t>amniorrexis</w:t>
      </w:r>
      <w:r>
        <w:rPr>
          <w:color w:val="231F1F"/>
          <w:spacing w:val="-15"/>
          <w:w w:val="110"/>
        </w:rPr>
        <w:t> </w:t>
      </w:r>
      <w:r>
        <w:rPr>
          <w:color w:val="231F1F"/>
          <w:w w:val="110"/>
        </w:rPr>
        <w:t>se</w:t>
      </w:r>
      <w:r>
        <w:rPr>
          <w:color w:val="231F1F"/>
          <w:spacing w:val="-12"/>
          <w:w w:val="110"/>
        </w:rPr>
        <w:t> </w:t>
      </w:r>
      <w:r>
        <w:rPr>
          <w:color w:val="231F1F"/>
          <w:w w:val="110"/>
        </w:rPr>
        <w:t>asoció</w:t>
      </w:r>
      <w:r>
        <w:rPr>
          <w:color w:val="231F1F"/>
          <w:spacing w:val="-11"/>
          <w:w w:val="110"/>
        </w:rPr>
        <w:t> </w:t>
      </w:r>
      <w:r>
        <w:rPr>
          <w:color w:val="231F1F"/>
          <w:w w:val="110"/>
        </w:rPr>
        <w:t>con</w:t>
      </w:r>
      <w:r>
        <w:rPr>
          <w:color w:val="231F1F"/>
          <w:spacing w:val="-11"/>
          <w:w w:val="110"/>
        </w:rPr>
        <w:t> </w:t>
      </w:r>
      <w:r>
        <w:rPr>
          <w:color w:val="231F1F"/>
          <w:w w:val="110"/>
        </w:rPr>
        <w:t>un</w:t>
      </w:r>
      <w:r>
        <w:rPr>
          <w:color w:val="231F1F"/>
          <w:spacing w:val="-11"/>
          <w:w w:val="110"/>
        </w:rPr>
        <w:t> </w:t>
      </w:r>
      <w:r>
        <w:rPr>
          <w:color w:val="231F1F"/>
          <w:w w:val="110"/>
        </w:rPr>
        <w:t>mayor</w:t>
      </w:r>
      <w:r>
        <w:rPr>
          <w:color w:val="231F1F"/>
          <w:spacing w:val="-11"/>
          <w:w w:val="110"/>
        </w:rPr>
        <w:t> </w:t>
      </w:r>
      <w:r>
        <w:rPr>
          <w:color w:val="231F1F"/>
          <w:w w:val="110"/>
        </w:rPr>
        <w:t>riesgo</w:t>
      </w:r>
      <w:r>
        <w:rPr>
          <w:color w:val="231F1F"/>
          <w:spacing w:val="-11"/>
          <w:w w:val="110"/>
        </w:rPr>
        <w:t> </w:t>
      </w:r>
      <w:r>
        <w:rPr>
          <w:color w:val="231F1F"/>
          <w:w w:val="110"/>
        </w:rPr>
        <w:t>de</w:t>
      </w:r>
      <w:r>
        <w:rPr>
          <w:color w:val="231F1F"/>
          <w:spacing w:val="-11"/>
          <w:w w:val="110"/>
        </w:rPr>
        <w:t> </w:t>
      </w:r>
      <w:r>
        <w:rPr>
          <w:color w:val="231F1F"/>
          <w:w w:val="110"/>
        </w:rPr>
        <w:t>parto</w:t>
      </w:r>
      <w:r>
        <w:rPr>
          <w:color w:val="231F1F"/>
          <w:spacing w:val="-11"/>
          <w:w w:val="110"/>
        </w:rPr>
        <w:t> </w:t>
      </w:r>
      <w:r>
        <w:rPr>
          <w:color w:val="231F1F"/>
          <w:w w:val="110"/>
        </w:rPr>
        <w:t>por</w:t>
      </w:r>
      <w:r>
        <w:rPr>
          <w:color w:val="231F1F"/>
          <w:spacing w:val="-11"/>
          <w:w w:val="110"/>
        </w:rPr>
        <w:t> </w:t>
      </w:r>
      <w:r>
        <w:rPr>
          <w:color w:val="231F1F"/>
          <w:w w:val="110"/>
        </w:rPr>
        <w:t>cesárea</w:t>
      </w:r>
      <w:r>
        <w:rPr>
          <w:color w:val="231F1F"/>
          <w:spacing w:val="-11"/>
          <w:w w:val="110"/>
        </w:rPr>
        <w:t> </w:t>
      </w:r>
      <w:r>
        <w:rPr>
          <w:color w:val="231F1F"/>
          <w:w w:val="110"/>
        </w:rPr>
        <w:t>com-</w:t>
      </w:r>
      <w:r>
        <w:rPr>
          <w:color w:val="231F1F"/>
          <w:spacing w:val="-18"/>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parada con las mujeres del grupo de control, aunque la diferencia tampoco fue</w:t>
      </w:r>
      <w:r>
        <w:rPr>
          <w:color w:val="231F1F"/>
          <w:spacing w:val="40"/>
          <w:w w:val="110"/>
        </w:rPr>
        <w:t> </w:t>
      </w:r>
      <w:r>
        <w:rPr>
          <w:rFonts w:ascii="Arial MT" w:hAnsi="Arial MT"/>
          <w:color w:val="231F1F"/>
          <w:w w:val="110"/>
          <w:position w:val="4"/>
          <w:sz w:val="18"/>
        </w:rPr>
        <w:t>ECAs </w:t>
      </w:r>
      <w:r>
        <w:rPr>
          <w:color w:val="231F1F"/>
          <w:w w:val="110"/>
        </w:rPr>
        <w:t>estadísticamente significativa (diez ECAs con 4.370 mujeres): RR 1,26 [IC 95%</w:t>
      </w:r>
    </w:p>
    <w:p>
      <w:pPr>
        <w:spacing w:line="258" w:lineRule="exact" w:before="0"/>
        <w:ind w:left="7793" w:right="0" w:firstLine="0"/>
        <w:jc w:val="left"/>
        <w:rPr>
          <w:sz w:val="22"/>
        </w:rPr>
      </w:pPr>
      <w:r>
        <w:rPr>
          <w:rFonts w:ascii="Arial MT"/>
          <w:color w:val="231F1F"/>
          <w:position w:val="8"/>
          <w:sz w:val="18"/>
        </w:rPr>
        <w:t>1+</w:t>
      </w:r>
      <w:r>
        <w:rPr>
          <w:rFonts w:ascii="Arial MT"/>
          <w:color w:val="231F1F"/>
          <w:spacing w:val="12"/>
          <w:position w:val="8"/>
          <w:sz w:val="18"/>
        </w:rPr>
        <w:t> </w:t>
      </w:r>
      <w:r>
        <w:rPr>
          <w:color w:val="231F1F"/>
          <w:sz w:val="22"/>
        </w:rPr>
        <w:t>0,98</w:t>
      </w:r>
      <w:r>
        <w:rPr>
          <w:color w:val="231F1F"/>
          <w:spacing w:val="19"/>
          <w:sz w:val="22"/>
        </w:rPr>
        <w:t> </w:t>
      </w:r>
      <w:r>
        <w:rPr>
          <w:color w:val="231F1F"/>
          <w:spacing w:val="-10"/>
          <w:sz w:val="22"/>
        </w:rPr>
        <w:t>a</w:t>
      </w:r>
    </w:p>
    <w:p>
      <w:pPr>
        <w:pStyle w:val="BodyText"/>
        <w:spacing w:before="25"/>
        <w:ind w:left="283"/>
        <w:jc w:val="both"/>
      </w:pPr>
      <w:r>
        <w:rPr>
          <w:color w:val="231F1F"/>
        </w:rPr>
        <w:t>1,62].</w:t>
      </w:r>
      <w:r>
        <w:rPr>
          <w:color w:val="231F1F"/>
          <w:spacing w:val="32"/>
        </w:rPr>
        <w:t> </w:t>
      </w:r>
      <w:r>
        <w:rPr>
          <w:color w:val="231F1F"/>
        </w:rPr>
        <w:t>No</w:t>
      </w:r>
      <w:r>
        <w:rPr>
          <w:color w:val="231F1F"/>
          <w:spacing w:val="37"/>
        </w:rPr>
        <w:t> </w:t>
      </w:r>
      <w:r>
        <w:rPr>
          <w:color w:val="231F1F"/>
        </w:rPr>
        <w:t>hubo</w:t>
      </w:r>
      <w:r>
        <w:rPr>
          <w:color w:val="231F1F"/>
          <w:spacing w:val="38"/>
        </w:rPr>
        <w:t> </w:t>
      </w:r>
      <w:r>
        <w:rPr>
          <w:color w:val="231F1F"/>
        </w:rPr>
        <w:t>concordancia</w:t>
      </w:r>
      <w:r>
        <w:rPr>
          <w:color w:val="231F1F"/>
          <w:spacing w:val="38"/>
        </w:rPr>
        <w:t> </w:t>
      </w:r>
      <w:r>
        <w:rPr>
          <w:color w:val="231F1F"/>
        </w:rPr>
        <w:t>entre</w:t>
      </w:r>
      <w:r>
        <w:rPr>
          <w:color w:val="231F1F"/>
          <w:spacing w:val="38"/>
        </w:rPr>
        <w:t> </w:t>
      </w:r>
      <w:r>
        <w:rPr>
          <w:color w:val="231F1F"/>
        </w:rPr>
        <w:t>los</w:t>
      </w:r>
      <w:r>
        <w:rPr>
          <w:color w:val="231F1F"/>
          <w:spacing w:val="37"/>
        </w:rPr>
        <w:t> </w:t>
      </w:r>
      <w:r>
        <w:rPr>
          <w:color w:val="231F1F"/>
        </w:rPr>
        <w:t>artículos</w:t>
      </w:r>
      <w:r>
        <w:rPr>
          <w:color w:val="231F1F"/>
          <w:spacing w:val="38"/>
        </w:rPr>
        <w:t> </w:t>
      </w:r>
      <w:r>
        <w:rPr>
          <w:color w:val="231F1F"/>
        </w:rPr>
        <w:t>en</w:t>
      </w:r>
      <w:r>
        <w:rPr>
          <w:color w:val="231F1F"/>
          <w:spacing w:val="38"/>
        </w:rPr>
        <w:t> </w:t>
      </w:r>
      <w:r>
        <w:rPr>
          <w:color w:val="231F1F"/>
        </w:rPr>
        <w:t>cuanto</w:t>
      </w:r>
      <w:r>
        <w:rPr>
          <w:color w:val="231F1F"/>
          <w:spacing w:val="38"/>
        </w:rPr>
        <w:t> </w:t>
      </w:r>
      <w:r>
        <w:rPr>
          <w:color w:val="231F1F"/>
        </w:rPr>
        <w:t>al</w:t>
      </w:r>
      <w:r>
        <w:rPr>
          <w:color w:val="231F1F"/>
          <w:spacing w:val="36"/>
        </w:rPr>
        <w:t> </w:t>
      </w:r>
      <w:r>
        <w:rPr>
          <w:color w:val="231F1F"/>
          <w:spacing w:val="-2"/>
        </w:rPr>
        <w:t>momento</w:t>
      </w:r>
    </w:p>
    <w:p>
      <w:pPr>
        <w:pStyle w:val="BodyText"/>
        <w:spacing w:before="21"/>
        <w:ind w:left="283"/>
        <w:jc w:val="both"/>
      </w:pPr>
      <w:r>
        <w:rPr>
          <w:color w:val="231F1F"/>
        </w:rPr>
        <w:t>de</w:t>
      </w:r>
      <w:r>
        <w:rPr>
          <w:color w:val="231F1F"/>
          <w:spacing w:val="8"/>
        </w:rPr>
        <w:t> </w:t>
      </w:r>
      <w:r>
        <w:rPr>
          <w:color w:val="231F1F"/>
        </w:rPr>
        <w:t>la</w:t>
      </w:r>
      <w:r>
        <w:rPr>
          <w:color w:val="231F1F"/>
          <w:spacing w:val="8"/>
        </w:rPr>
        <w:t> </w:t>
      </w:r>
      <w:r>
        <w:rPr>
          <w:color w:val="231F1F"/>
        </w:rPr>
        <w:t>amniorrexis</w:t>
      </w:r>
      <w:r>
        <w:rPr>
          <w:color w:val="231F1F"/>
          <w:spacing w:val="8"/>
        </w:rPr>
        <w:t> </w:t>
      </w:r>
      <w:r>
        <w:rPr>
          <w:color w:val="231F1F"/>
        </w:rPr>
        <w:t>durante</w:t>
      </w:r>
      <w:r>
        <w:rPr>
          <w:color w:val="231F1F"/>
          <w:spacing w:val="8"/>
        </w:rPr>
        <w:t> </w:t>
      </w:r>
      <w:r>
        <w:rPr>
          <w:color w:val="231F1F"/>
        </w:rPr>
        <w:t>el</w:t>
      </w:r>
      <w:r>
        <w:rPr>
          <w:color w:val="231F1F"/>
          <w:spacing w:val="8"/>
        </w:rPr>
        <w:t> </w:t>
      </w:r>
      <w:r>
        <w:rPr>
          <w:color w:val="231F1F"/>
        </w:rPr>
        <w:t>trabajo</w:t>
      </w:r>
      <w:r>
        <w:rPr>
          <w:color w:val="231F1F"/>
          <w:spacing w:val="9"/>
        </w:rPr>
        <w:t> </w:t>
      </w:r>
      <w:r>
        <w:rPr>
          <w:color w:val="231F1F"/>
        </w:rPr>
        <w:t>de</w:t>
      </w:r>
      <w:r>
        <w:rPr>
          <w:color w:val="231F1F"/>
          <w:spacing w:val="8"/>
        </w:rPr>
        <w:t> </w:t>
      </w:r>
      <w:r>
        <w:rPr>
          <w:color w:val="231F1F"/>
        </w:rPr>
        <w:t>parto</w:t>
      </w:r>
      <w:r>
        <w:rPr>
          <w:color w:val="231F1F"/>
          <w:spacing w:val="8"/>
        </w:rPr>
        <w:t> </w:t>
      </w:r>
      <w:r>
        <w:rPr>
          <w:color w:val="231F1F"/>
        </w:rPr>
        <w:t>en</w:t>
      </w:r>
      <w:r>
        <w:rPr>
          <w:color w:val="231F1F"/>
          <w:spacing w:val="8"/>
        </w:rPr>
        <w:t> </w:t>
      </w:r>
      <w:r>
        <w:rPr>
          <w:color w:val="231F1F"/>
        </w:rPr>
        <w:t>términos</w:t>
      </w:r>
      <w:r>
        <w:rPr>
          <w:color w:val="231F1F"/>
          <w:spacing w:val="10"/>
        </w:rPr>
        <w:t> </w:t>
      </w:r>
      <w:r>
        <w:rPr>
          <w:color w:val="231F1F"/>
        </w:rPr>
        <w:t>de</w:t>
      </w:r>
      <w:r>
        <w:rPr>
          <w:color w:val="231F1F"/>
          <w:spacing w:val="8"/>
        </w:rPr>
        <w:t> </w:t>
      </w:r>
      <w:r>
        <w:rPr>
          <w:color w:val="231F1F"/>
        </w:rPr>
        <w:t>dilatación</w:t>
      </w:r>
      <w:r>
        <w:rPr>
          <w:color w:val="231F1F"/>
          <w:spacing w:val="9"/>
        </w:rPr>
        <w:t> </w:t>
      </w:r>
      <w:r>
        <w:rPr>
          <w:color w:val="231F1F"/>
          <w:spacing w:val="-2"/>
        </w:rPr>
        <w:t>cervical.</w:t>
      </w:r>
    </w:p>
    <w:p>
      <w:pPr>
        <w:pStyle w:val="BodyText"/>
        <w:spacing w:line="261" w:lineRule="auto" w:before="88"/>
        <w:ind w:left="283" w:right="1364" w:firstLine="453"/>
        <w:jc w:val="both"/>
      </w:pPr>
      <w:r>
        <w:rPr>
          <w:color w:val="231F1F"/>
        </w:rPr>
        <w:t>La revisión concluye que no es posible recomendar la introducción de la amniorrexis sistemática como parte del tratamiento y el cuidado durante el</w:t>
      </w:r>
      <w:r>
        <w:rPr>
          <w:color w:val="231F1F"/>
          <w:spacing w:val="80"/>
          <w:w w:val="150"/>
        </w:rPr>
        <w:t> </w:t>
      </w:r>
      <w:r>
        <w:rPr>
          <w:color w:val="231F1F"/>
        </w:rPr>
        <w:t>trabajo</w:t>
      </w:r>
      <w:r>
        <w:rPr>
          <w:color w:val="231F1F"/>
          <w:spacing w:val="37"/>
        </w:rPr>
        <w:t> </w:t>
      </w:r>
      <w:r>
        <w:rPr>
          <w:color w:val="231F1F"/>
        </w:rPr>
        <w:t>de</w:t>
      </w:r>
      <w:r>
        <w:rPr>
          <w:color w:val="231F1F"/>
          <w:spacing w:val="39"/>
        </w:rPr>
        <w:t> </w:t>
      </w:r>
      <w:r>
        <w:rPr>
          <w:color w:val="231F1F"/>
        </w:rPr>
        <w:t>parto</w:t>
      </w:r>
      <w:r>
        <w:rPr>
          <w:color w:val="231F1F"/>
          <w:spacing w:val="39"/>
        </w:rPr>
        <w:t> </w:t>
      </w:r>
      <w:r>
        <w:rPr>
          <w:color w:val="231F1F"/>
        </w:rPr>
        <w:t>de</w:t>
      </w:r>
      <w:r>
        <w:rPr>
          <w:color w:val="231F1F"/>
          <w:spacing w:val="39"/>
        </w:rPr>
        <w:t> </w:t>
      </w:r>
      <w:r>
        <w:rPr>
          <w:color w:val="231F1F"/>
        </w:rPr>
        <w:t>evolución</w:t>
      </w:r>
      <w:r>
        <w:rPr>
          <w:color w:val="231F1F"/>
          <w:spacing w:val="39"/>
        </w:rPr>
        <w:t> </w:t>
      </w:r>
      <w:r>
        <w:rPr>
          <w:color w:val="231F1F"/>
        </w:rPr>
        <w:t>normal</w:t>
      </w:r>
      <w:r>
        <w:rPr>
          <w:color w:val="231F1F"/>
          <w:spacing w:val="39"/>
        </w:rPr>
        <w:t> </w:t>
      </w:r>
      <w:r>
        <w:rPr>
          <w:color w:val="231F1F"/>
        </w:rPr>
        <w:t>ni</w:t>
      </w:r>
      <w:r>
        <w:rPr>
          <w:color w:val="231F1F"/>
          <w:spacing w:val="39"/>
        </w:rPr>
        <w:t> </w:t>
      </w:r>
      <w:r>
        <w:rPr>
          <w:color w:val="231F1F"/>
        </w:rPr>
        <w:t>en</w:t>
      </w:r>
      <w:r>
        <w:rPr>
          <w:color w:val="231F1F"/>
          <w:spacing w:val="39"/>
        </w:rPr>
        <w:t> </w:t>
      </w:r>
      <w:r>
        <w:rPr>
          <w:color w:val="231F1F"/>
        </w:rPr>
        <w:t>los</w:t>
      </w:r>
      <w:r>
        <w:rPr>
          <w:color w:val="231F1F"/>
          <w:spacing w:val="39"/>
        </w:rPr>
        <w:t> </w:t>
      </w:r>
      <w:r>
        <w:rPr>
          <w:color w:val="231F1F"/>
        </w:rPr>
        <w:t>trabajos</w:t>
      </w:r>
      <w:r>
        <w:rPr>
          <w:color w:val="231F1F"/>
          <w:spacing w:val="40"/>
        </w:rPr>
        <w:t> </w:t>
      </w:r>
      <w:r>
        <w:rPr>
          <w:color w:val="231F1F"/>
        </w:rPr>
        <w:t>de</w:t>
      </w:r>
      <w:r>
        <w:rPr>
          <w:color w:val="231F1F"/>
          <w:spacing w:val="37"/>
        </w:rPr>
        <w:t> </w:t>
      </w:r>
      <w:r>
        <w:rPr>
          <w:color w:val="231F1F"/>
        </w:rPr>
        <w:t>parto</w:t>
      </w:r>
      <w:r>
        <w:rPr>
          <w:color w:val="231F1F"/>
          <w:spacing w:val="39"/>
        </w:rPr>
        <w:t> </w:t>
      </w:r>
      <w:r>
        <w:rPr>
          <w:color w:val="231F1F"/>
        </w:rPr>
        <w:t>prolongados.</w:t>
      </w:r>
    </w:p>
    <w:p>
      <w:pPr>
        <w:pStyle w:val="BodyText"/>
        <w:spacing w:before="152"/>
      </w:pPr>
    </w:p>
    <w:p>
      <w:pPr>
        <w:spacing w:before="1"/>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4"/>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before="49"/>
              <w:ind w:right="156"/>
              <w:rPr>
                <w:sz w:val="22"/>
              </w:rPr>
            </w:pPr>
            <w:r>
              <w:rPr>
                <w:color w:val="231F1F"/>
                <w:w w:val="110"/>
                <w:sz w:val="22"/>
              </w:rPr>
              <w:t>La</w:t>
            </w:r>
            <w:r>
              <w:rPr>
                <w:color w:val="231F1F"/>
                <w:spacing w:val="-16"/>
                <w:w w:val="110"/>
                <w:sz w:val="22"/>
              </w:rPr>
              <w:t> </w:t>
            </w:r>
            <w:r>
              <w:rPr>
                <w:color w:val="231F1F"/>
                <w:w w:val="110"/>
                <w:sz w:val="22"/>
              </w:rPr>
              <w:t>realización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i/>
                <w:color w:val="231F1F"/>
                <w:w w:val="110"/>
                <w:sz w:val="22"/>
              </w:rPr>
              <w:t>amniorrexis</w:t>
            </w:r>
            <w:r>
              <w:rPr>
                <w:color w:val="231F1F"/>
                <w:w w:val="110"/>
                <w:sz w:val="22"/>
              </w:rPr>
              <w:t>,</w:t>
            </w:r>
            <w:r>
              <w:rPr>
                <w:color w:val="231F1F"/>
                <w:spacing w:val="-15"/>
                <w:w w:val="110"/>
                <w:sz w:val="22"/>
              </w:rPr>
              <w:t> </w:t>
            </w:r>
            <w:r>
              <w:rPr>
                <w:color w:val="231F1F"/>
                <w:w w:val="110"/>
                <w:sz w:val="22"/>
              </w:rPr>
              <w:t>comparada</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manejo</w:t>
            </w:r>
            <w:r>
              <w:rPr>
                <w:color w:val="231F1F"/>
                <w:spacing w:val="-16"/>
                <w:w w:val="110"/>
                <w:sz w:val="22"/>
              </w:rPr>
              <w:t> </w:t>
            </w:r>
            <w:r>
              <w:rPr>
                <w:color w:val="231F1F"/>
                <w:w w:val="110"/>
                <w:sz w:val="22"/>
              </w:rPr>
              <w:t>expectante,</w:t>
            </w:r>
            <w:r>
              <w:rPr>
                <w:color w:val="231F1F"/>
                <w:spacing w:val="-15"/>
                <w:w w:val="110"/>
                <w:sz w:val="22"/>
              </w:rPr>
              <w:t> </w:t>
            </w:r>
            <w:r>
              <w:rPr>
                <w:color w:val="231F1F"/>
                <w:w w:val="110"/>
                <w:sz w:val="22"/>
              </w:rPr>
              <w:t>no muestra mejores resultados (87).</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1242" w:hRule="atLeast"/>
        </w:trPr>
        <w:tc>
          <w:tcPr>
            <w:tcW w:w="7373" w:type="dxa"/>
          </w:tcPr>
          <w:p>
            <w:pPr>
              <w:pStyle w:val="TableParagraph"/>
              <w:spacing w:line="244" w:lineRule="auto" w:before="44"/>
              <w:ind w:right="90"/>
              <w:jc w:val="both"/>
              <w:rPr>
                <w:sz w:val="22"/>
              </w:rPr>
            </w:pPr>
            <w:r>
              <w:rPr>
                <w:color w:val="231F1F"/>
                <w:w w:val="110"/>
                <w:sz w:val="22"/>
              </w:rPr>
              <w:t>Cuando existe un retardo del parto, la </w:t>
            </w:r>
            <w:r>
              <w:rPr>
                <w:i/>
                <w:color w:val="231F1F"/>
                <w:w w:val="110"/>
                <w:sz w:val="22"/>
              </w:rPr>
              <w:t>amniorrexis</w:t>
            </w:r>
            <w:r>
              <w:rPr>
                <w:i/>
                <w:color w:val="231F1F"/>
                <w:spacing w:val="-12"/>
                <w:w w:val="110"/>
                <w:sz w:val="22"/>
              </w:rPr>
              <w:t> </w:t>
            </w:r>
            <w:r>
              <w:rPr>
                <w:i/>
                <w:color w:val="231F1F"/>
                <w:w w:val="110"/>
                <w:sz w:val="22"/>
              </w:rPr>
              <w:t>seguida</w:t>
            </w:r>
            <w:r>
              <w:rPr>
                <w:i/>
                <w:color w:val="231F1F"/>
                <w:spacing w:val="-12"/>
                <w:w w:val="110"/>
                <w:sz w:val="22"/>
              </w:rPr>
              <w:t> </w:t>
            </w:r>
            <w:r>
              <w:rPr>
                <w:i/>
                <w:color w:val="231F1F"/>
                <w:w w:val="110"/>
                <w:sz w:val="22"/>
              </w:rPr>
              <w:t>de</w:t>
            </w:r>
            <w:r>
              <w:rPr>
                <w:i/>
                <w:color w:val="231F1F"/>
                <w:spacing w:val="-12"/>
                <w:w w:val="110"/>
                <w:sz w:val="22"/>
              </w:rPr>
              <w:t> </w:t>
            </w:r>
            <w:r>
              <w:rPr>
                <w:color w:val="231F1F"/>
                <w:w w:val="110"/>
                <w:sz w:val="22"/>
              </w:rPr>
              <w:t>infusión de </w:t>
            </w:r>
            <w:r>
              <w:rPr>
                <w:i/>
                <w:color w:val="231F1F"/>
                <w:w w:val="110"/>
                <w:sz w:val="22"/>
              </w:rPr>
              <w:t>oxitocina</w:t>
            </w:r>
            <w:r>
              <w:rPr>
                <w:i/>
                <w:color w:val="231F1F"/>
                <w:spacing w:val="-6"/>
                <w:w w:val="110"/>
                <w:sz w:val="22"/>
              </w:rPr>
              <w:t> </w:t>
            </w:r>
            <w:r>
              <w:rPr>
                <w:color w:val="231F1F"/>
                <w:w w:val="110"/>
                <w:sz w:val="22"/>
              </w:rPr>
              <w:t>a bajas dosis acorta la duración de la primera etapa del parto y mejora</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grado</w:t>
            </w:r>
            <w:r>
              <w:rPr>
                <w:color w:val="231F1F"/>
                <w:spacing w:val="-11"/>
                <w:w w:val="110"/>
                <w:sz w:val="22"/>
              </w:rPr>
              <w:t> </w:t>
            </w:r>
            <w:r>
              <w:rPr>
                <w:color w:val="231F1F"/>
                <w:w w:val="110"/>
                <w:sz w:val="22"/>
              </w:rPr>
              <w:t>de</w:t>
            </w:r>
            <w:r>
              <w:rPr>
                <w:color w:val="231F1F"/>
                <w:spacing w:val="-10"/>
                <w:w w:val="110"/>
                <w:sz w:val="22"/>
              </w:rPr>
              <w:t> </w:t>
            </w:r>
            <w:r>
              <w:rPr>
                <w:color w:val="231F1F"/>
                <w:w w:val="110"/>
                <w:sz w:val="22"/>
              </w:rPr>
              <w:t>satisfacción</w:t>
            </w:r>
            <w:r>
              <w:rPr>
                <w:color w:val="231F1F"/>
                <w:spacing w:val="-11"/>
                <w:w w:val="110"/>
                <w:sz w:val="22"/>
              </w:rPr>
              <w:t> </w:t>
            </w:r>
            <w:r>
              <w:rPr>
                <w:color w:val="231F1F"/>
                <w:w w:val="110"/>
                <w:sz w:val="22"/>
              </w:rPr>
              <w:t>materna,</w:t>
            </w:r>
            <w:r>
              <w:rPr>
                <w:color w:val="231F1F"/>
                <w:spacing w:val="-11"/>
                <w:w w:val="110"/>
                <w:sz w:val="22"/>
              </w:rPr>
              <w:t> </w:t>
            </w:r>
            <w:r>
              <w:rPr>
                <w:color w:val="231F1F"/>
                <w:w w:val="110"/>
                <w:sz w:val="22"/>
              </w:rPr>
              <w:t>pero</w:t>
            </w:r>
            <w:r>
              <w:rPr>
                <w:color w:val="231F1F"/>
                <w:spacing w:val="-11"/>
                <w:w w:val="110"/>
                <w:sz w:val="22"/>
              </w:rPr>
              <w:t> </w:t>
            </w:r>
            <w:r>
              <w:rPr>
                <w:color w:val="231F1F"/>
                <w:w w:val="110"/>
                <w:sz w:val="22"/>
              </w:rPr>
              <w:t>no</w:t>
            </w:r>
            <w:r>
              <w:rPr>
                <w:color w:val="231F1F"/>
                <w:spacing w:val="-10"/>
                <w:w w:val="110"/>
                <w:sz w:val="22"/>
              </w:rPr>
              <w:t> </w:t>
            </w:r>
            <w:r>
              <w:rPr>
                <w:color w:val="231F1F"/>
                <w:w w:val="110"/>
                <w:sz w:val="22"/>
              </w:rPr>
              <w:t>mejora</w:t>
            </w:r>
            <w:r>
              <w:rPr>
                <w:color w:val="231F1F"/>
                <w:spacing w:val="-10"/>
                <w:w w:val="110"/>
                <w:sz w:val="22"/>
              </w:rPr>
              <w:t> </w:t>
            </w:r>
            <w:r>
              <w:rPr>
                <w:color w:val="231F1F"/>
                <w:w w:val="110"/>
                <w:sz w:val="22"/>
              </w:rPr>
              <w:t>las</w:t>
            </w:r>
            <w:r>
              <w:rPr>
                <w:color w:val="231F1F"/>
                <w:spacing w:val="-11"/>
                <w:w w:val="110"/>
                <w:sz w:val="22"/>
              </w:rPr>
              <w:t> </w:t>
            </w:r>
            <w:r>
              <w:rPr>
                <w:color w:val="231F1F"/>
                <w:w w:val="110"/>
                <w:sz w:val="22"/>
              </w:rPr>
              <w:t>tasas</w:t>
            </w:r>
            <w:r>
              <w:rPr>
                <w:color w:val="231F1F"/>
                <w:spacing w:val="-11"/>
                <w:w w:val="110"/>
                <w:sz w:val="22"/>
              </w:rPr>
              <w:t> </w:t>
            </w:r>
            <w:r>
              <w:rPr>
                <w:color w:val="231F1F"/>
                <w:w w:val="110"/>
                <w:sz w:val="22"/>
              </w:rPr>
              <w:t>de</w:t>
            </w:r>
            <w:r>
              <w:rPr>
                <w:color w:val="231F1F"/>
                <w:spacing w:val="-10"/>
                <w:w w:val="110"/>
                <w:sz w:val="22"/>
              </w:rPr>
              <w:t> </w:t>
            </w:r>
            <w:r>
              <w:rPr>
                <w:color w:val="231F1F"/>
                <w:w w:val="110"/>
                <w:sz w:val="22"/>
              </w:rPr>
              <w:t>partos vaginales ni otros resultados (79).</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r>
        <w:trPr>
          <w:trHeight w:val="402" w:hRule="atLeast"/>
        </w:trPr>
        <w:tc>
          <w:tcPr>
            <w:tcW w:w="7373" w:type="dxa"/>
          </w:tcPr>
          <w:p>
            <w:pPr>
              <w:pStyle w:val="TableParagraph"/>
              <w:spacing w:before="39"/>
              <w:rPr>
                <w:sz w:val="22"/>
              </w:rPr>
            </w:pPr>
            <w:r>
              <w:rPr>
                <w:color w:val="231F1F"/>
                <w:sz w:val="22"/>
              </w:rPr>
              <w:t>No</w:t>
            </w:r>
            <w:r>
              <w:rPr>
                <w:color w:val="231F1F"/>
                <w:spacing w:val="26"/>
                <w:sz w:val="22"/>
              </w:rPr>
              <w:t> </w:t>
            </w:r>
            <w:r>
              <w:rPr>
                <w:color w:val="231F1F"/>
                <w:sz w:val="22"/>
              </w:rPr>
              <w:t>existen</w:t>
            </w:r>
            <w:r>
              <w:rPr>
                <w:color w:val="231F1F"/>
                <w:spacing w:val="27"/>
                <w:sz w:val="22"/>
              </w:rPr>
              <w:t> </w:t>
            </w:r>
            <w:r>
              <w:rPr>
                <w:color w:val="231F1F"/>
                <w:sz w:val="22"/>
              </w:rPr>
              <w:t>pruebas</w:t>
            </w:r>
            <w:r>
              <w:rPr>
                <w:color w:val="231F1F"/>
                <w:spacing w:val="28"/>
                <w:sz w:val="22"/>
              </w:rPr>
              <w:t> </w:t>
            </w:r>
            <w:r>
              <w:rPr>
                <w:color w:val="231F1F"/>
                <w:sz w:val="22"/>
              </w:rPr>
              <w:t>sobre</w:t>
            </w:r>
            <w:r>
              <w:rPr>
                <w:color w:val="231F1F"/>
                <w:spacing w:val="26"/>
                <w:sz w:val="22"/>
              </w:rPr>
              <w:t> </w:t>
            </w:r>
            <w:r>
              <w:rPr>
                <w:color w:val="231F1F"/>
                <w:sz w:val="22"/>
              </w:rPr>
              <w:t>el</w:t>
            </w:r>
            <w:r>
              <w:rPr>
                <w:color w:val="231F1F"/>
                <w:spacing w:val="28"/>
                <w:sz w:val="22"/>
              </w:rPr>
              <w:t> </w:t>
            </w:r>
            <w:r>
              <w:rPr>
                <w:color w:val="231F1F"/>
                <w:sz w:val="22"/>
              </w:rPr>
              <w:t>efecto</w:t>
            </w:r>
            <w:r>
              <w:rPr>
                <w:color w:val="231F1F"/>
                <w:spacing w:val="28"/>
                <w:sz w:val="22"/>
              </w:rPr>
              <w:t> </w:t>
            </w:r>
            <w:r>
              <w:rPr>
                <w:color w:val="231F1F"/>
                <w:sz w:val="22"/>
              </w:rPr>
              <w:t>de</w:t>
            </w:r>
            <w:r>
              <w:rPr>
                <w:color w:val="231F1F"/>
                <w:spacing w:val="26"/>
                <w:sz w:val="22"/>
              </w:rPr>
              <w:t> </w:t>
            </w:r>
            <w:r>
              <w:rPr>
                <w:color w:val="231F1F"/>
                <w:sz w:val="22"/>
              </w:rPr>
              <w:t>la</w:t>
            </w:r>
            <w:r>
              <w:rPr>
                <w:color w:val="231F1F"/>
                <w:spacing w:val="28"/>
                <w:sz w:val="22"/>
              </w:rPr>
              <w:t> </w:t>
            </w:r>
            <w:r>
              <w:rPr>
                <w:i/>
                <w:color w:val="231F1F"/>
                <w:sz w:val="22"/>
              </w:rPr>
              <w:t>oxitocina</w:t>
            </w:r>
            <w:r>
              <w:rPr>
                <w:i/>
                <w:color w:val="231F1F"/>
                <w:spacing w:val="23"/>
                <w:sz w:val="22"/>
              </w:rPr>
              <w:t> </w:t>
            </w:r>
            <w:r>
              <w:rPr>
                <w:color w:val="231F1F"/>
                <w:sz w:val="22"/>
              </w:rPr>
              <w:t>en</w:t>
            </w:r>
            <w:r>
              <w:rPr>
                <w:color w:val="231F1F"/>
                <w:spacing w:val="26"/>
                <w:sz w:val="22"/>
              </w:rPr>
              <w:t> </w:t>
            </w:r>
            <w:r>
              <w:rPr>
                <w:color w:val="231F1F"/>
                <w:sz w:val="22"/>
              </w:rPr>
              <w:t>el</w:t>
            </w:r>
            <w:r>
              <w:rPr>
                <w:color w:val="231F1F"/>
                <w:spacing w:val="27"/>
                <w:sz w:val="22"/>
              </w:rPr>
              <w:t> </w:t>
            </w:r>
            <w:r>
              <w:rPr>
                <w:color w:val="231F1F"/>
                <w:sz w:val="22"/>
              </w:rPr>
              <w:t>trazado</w:t>
            </w:r>
            <w:r>
              <w:rPr>
                <w:color w:val="231F1F"/>
                <w:spacing w:val="28"/>
                <w:sz w:val="22"/>
              </w:rPr>
              <w:t> </w:t>
            </w:r>
            <w:r>
              <w:rPr>
                <w:color w:val="231F1F"/>
                <w:sz w:val="22"/>
              </w:rPr>
              <w:t>de</w:t>
            </w:r>
            <w:r>
              <w:rPr>
                <w:color w:val="231F1F"/>
                <w:spacing w:val="28"/>
                <w:sz w:val="22"/>
              </w:rPr>
              <w:t> </w:t>
            </w:r>
            <w:r>
              <w:rPr>
                <w:color w:val="231F1F"/>
                <w:sz w:val="22"/>
              </w:rPr>
              <w:t>la</w:t>
            </w:r>
            <w:r>
              <w:rPr>
                <w:color w:val="231F1F"/>
                <w:spacing w:val="28"/>
                <w:sz w:val="22"/>
              </w:rPr>
              <w:t> </w:t>
            </w:r>
            <w:r>
              <w:rPr>
                <w:color w:val="231F1F"/>
                <w:spacing w:val="-4"/>
                <w:sz w:val="22"/>
              </w:rPr>
              <w:t>FCF.</w:t>
            </w:r>
          </w:p>
        </w:tc>
        <w:tc>
          <w:tcPr>
            <w:tcW w:w="1133" w:type="dxa"/>
          </w:tcPr>
          <w:p>
            <w:pPr>
              <w:pStyle w:val="TableParagraph"/>
              <w:ind w:left="0"/>
              <w:rPr>
                <w:sz w:val="22"/>
              </w:rPr>
            </w:pPr>
          </w:p>
        </w:tc>
      </w:tr>
      <w:tr>
        <w:trPr>
          <w:trHeight w:val="1242" w:hRule="atLeast"/>
        </w:trPr>
        <w:tc>
          <w:tcPr>
            <w:tcW w:w="7373" w:type="dxa"/>
          </w:tcPr>
          <w:p>
            <w:pPr>
              <w:pStyle w:val="TableParagraph"/>
              <w:spacing w:line="249" w:lineRule="auto" w:before="44"/>
              <w:ind w:right="87"/>
              <w:jc w:val="both"/>
              <w:rPr>
                <w:sz w:val="22"/>
              </w:rPr>
            </w:pPr>
            <w:r>
              <w:rPr>
                <w:color w:val="231F1F"/>
                <w:w w:val="105"/>
                <w:sz w:val="22"/>
              </w:rPr>
              <w:t>Existe incertidumbre clínica sobre la utilización de altas dosis de oxitocina, ya que las mujeres que lo reciben durante</w:t>
            </w:r>
            <w:r>
              <w:rPr>
                <w:color w:val="231F1F"/>
                <w:spacing w:val="-1"/>
                <w:w w:val="105"/>
                <w:sz w:val="22"/>
              </w:rPr>
              <w:t> </w:t>
            </w:r>
            <w:r>
              <w:rPr>
                <w:color w:val="231F1F"/>
                <w:w w:val="105"/>
                <w:sz w:val="22"/>
              </w:rPr>
              <w:t>la estimulación del parto presentan un</w:t>
            </w:r>
            <w:r>
              <w:rPr>
                <w:color w:val="231F1F"/>
                <w:w w:val="105"/>
                <w:sz w:val="22"/>
              </w:rPr>
              <w:t> menor</w:t>
            </w:r>
            <w:r>
              <w:rPr>
                <w:color w:val="231F1F"/>
                <w:w w:val="105"/>
                <w:sz w:val="22"/>
              </w:rPr>
              <w:t> número</w:t>
            </w:r>
            <w:r>
              <w:rPr>
                <w:color w:val="231F1F"/>
                <w:w w:val="105"/>
                <w:sz w:val="22"/>
              </w:rPr>
              <w:t> de</w:t>
            </w:r>
            <w:r>
              <w:rPr>
                <w:color w:val="231F1F"/>
                <w:w w:val="105"/>
                <w:sz w:val="22"/>
              </w:rPr>
              <w:t> cesáreas</w:t>
            </w:r>
            <w:r>
              <w:rPr>
                <w:color w:val="231F1F"/>
                <w:w w:val="105"/>
                <w:sz w:val="22"/>
              </w:rPr>
              <w:t> totales,</w:t>
            </w:r>
            <w:r>
              <w:rPr>
                <w:color w:val="231F1F"/>
                <w:w w:val="105"/>
                <w:sz w:val="22"/>
              </w:rPr>
              <w:t> así</w:t>
            </w:r>
            <w:r>
              <w:rPr>
                <w:color w:val="231F1F"/>
                <w:w w:val="105"/>
                <w:sz w:val="22"/>
              </w:rPr>
              <w:t> como</w:t>
            </w:r>
            <w:r>
              <w:rPr>
                <w:color w:val="231F1F"/>
                <w:w w:val="105"/>
                <w:sz w:val="22"/>
              </w:rPr>
              <w:t> mayor</w:t>
            </w:r>
            <w:r>
              <w:rPr>
                <w:color w:val="231F1F"/>
                <w:w w:val="105"/>
                <w:sz w:val="22"/>
              </w:rPr>
              <w:t> número</w:t>
            </w:r>
            <w:r>
              <w:rPr>
                <w:color w:val="231F1F"/>
                <w:w w:val="105"/>
                <w:sz w:val="22"/>
              </w:rPr>
              <w:t> de</w:t>
            </w:r>
            <w:r>
              <w:rPr>
                <w:color w:val="231F1F"/>
                <w:w w:val="105"/>
                <w:sz w:val="22"/>
              </w:rPr>
              <w:t> partos vaginales espontáneos (78;80;81;88).</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r>
        <w:trPr>
          <w:trHeight w:val="1660" w:hRule="atLeast"/>
        </w:trPr>
        <w:tc>
          <w:tcPr>
            <w:tcW w:w="7373" w:type="dxa"/>
          </w:tcPr>
          <w:p>
            <w:pPr>
              <w:pStyle w:val="TableParagraph"/>
              <w:spacing w:line="244" w:lineRule="auto" w:before="53"/>
              <w:ind w:right="90"/>
              <w:jc w:val="both"/>
              <w:rPr>
                <w:sz w:val="22"/>
              </w:rPr>
            </w:pPr>
            <w:r>
              <w:rPr>
                <w:color w:val="231F1F"/>
                <w:w w:val="105"/>
                <w:sz w:val="22"/>
              </w:rPr>
              <w:t>La evidencia sobre regímenes de </w:t>
            </w:r>
            <w:r>
              <w:rPr>
                <w:i/>
                <w:color w:val="231F1F"/>
                <w:w w:val="105"/>
                <w:sz w:val="22"/>
              </w:rPr>
              <w:t>dosificación de oxitocina </w:t>
            </w:r>
            <w:r>
              <w:rPr>
                <w:color w:val="231F1F"/>
                <w:w w:val="105"/>
                <w:sz w:val="22"/>
              </w:rPr>
              <w:t>para la estimula- ción del parto es limitada, por la falta de potencia de los estudios y porque utilizan diferentes comparaciones (78;80;81;88).</w:t>
            </w:r>
          </w:p>
          <w:p>
            <w:pPr>
              <w:pStyle w:val="TableParagraph"/>
              <w:spacing w:line="244" w:lineRule="auto" w:before="138"/>
              <w:ind w:right="90"/>
              <w:jc w:val="both"/>
              <w:rPr>
                <w:sz w:val="22"/>
              </w:rPr>
            </w:pPr>
            <w:r>
              <w:rPr>
                <w:color w:val="231F1F"/>
                <w:w w:val="110"/>
                <w:sz w:val="22"/>
              </w:rPr>
              <w:t>Aumentar la frecuencia de administración, a menos de 20 minutos,</w:t>
            </w:r>
            <w:r>
              <w:rPr>
                <w:color w:val="231F1F"/>
                <w:spacing w:val="-1"/>
                <w:w w:val="110"/>
                <w:sz w:val="22"/>
              </w:rPr>
              <w:t> </w:t>
            </w:r>
            <w:r>
              <w:rPr>
                <w:color w:val="231F1F"/>
                <w:w w:val="110"/>
                <w:sz w:val="22"/>
              </w:rPr>
              <w:t>puede estar asociado a una mayor hiperestimulación uterina (83).</w:t>
            </w:r>
          </w:p>
        </w:tc>
        <w:tc>
          <w:tcPr>
            <w:tcW w:w="1133" w:type="dxa"/>
          </w:tcPr>
          <w:p>
            <w:pPr>
              <w:pStyle w:val="TableParagraph"/>
              <w:ind w:left="0"/>
              <w:rPr>
                <w:rFonts w:ascii="Arial MT"/>
                <w:sz w:val="22"/>
              </w:rPr>
            </w:pPr>
          </w:p>
          <w:p>
            <w:pPr>
              <w:pStyle w:val="TableParagraph"/>
              <w:spacing w:before="162"/>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5164" w:hRule="atLeast"/>
        </w:trPr>
        <w:tc>
          <w:tcPr>
            <w:tcW w:w="456"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43"/>
              <w:ind w:left="0"/>
              <w:rPr>
                <w:rFonts w:ascii="Arial MT"/>
                <w:sz w:val="22"/>
              </w:rPr>
            </w:pPr>
          </w:p>
          <w:p>
            <w:pPr>
              <w:pStyle w:val="TableParagraph"/>
              <w:ind w:left="173"/>
              <w:rPr>
                <w:sz w:val="22"/>
              </w:rPr>
            </w:pPr>
            <w:r>
              <w:rPr>
                <w:color w:val="231F1F"/>
                <w:spacing w:val="-10"/>
                <w:w w:val="110"/>
                <w:sz w:val="22"/>
              </w:rPr>
              <w:t>√</w:t>
            </w:r>
          </w:p>
        </w:tc>
        <w:tc>
          <w:tcPr>
            <w:tcW w:w="8050" w:type="dxa"/>
          </w:tcPr>
          <w:p>
            <w:pPr>
              <w:pStyle w:val="TableParagraph"/>
              <w:spacing w:line="244" w:lineRule="auto" w:before="44"/>
              <w:ind w:left="120" w:right="155"/>
              <w:rPr>
                <w:sz w:val="22"/>
              </w:rPr>
            </w:pPr>
            <w:r>
              <w:rPr>
                <w:color w:val="231F1F"/>
                <w:w w:val="110"/>
                <w:sz w:val="22"/>
              </w:rPr>
              <w:t>Cuando</w:t>
            </w:r>
            <w:r>
              <w:rPr>
                <w:color w:val="231F1F"/>
                <w:spacing w:val="-6"/>
                <w:w w:val="110"/>
                <w:sz w:val="22"/>
              </w:rPr>
              <w:t> </w:t>
            </w:r>
            <w:r>
              <w:rPr>
                <w:color w:val="231F1F"/>
                <w:w w:val="110"/>
                <w:sz w:val="22"/>
              </w:rPr>
              <w:t>se</w:t>
            </w:r>
            <w:r>
              <w:rPr>
                <w:color w:val="231F1F"/>
                <w:spacing w:val="-6"/>
                <w:w w:val="110"/>
                <w:sz w:val="22"/>
              </w:rPr>
              <w:t> </w:t>
            </w:r>
            <w:r>
              <w:rPr>
                <w:color w:val="231F1F"/>
                <w:w w:val="110"/>
                <w:sz w:val="22"/>
              </w:rPr>
              <w:t>sospecha</w:t>
            </w:r>
            <w:r>
              <w:rPr>
                <w:color w:val="231F1F"/>
                <w:spacing w:val="-7"/>
                <w:w w:val="110"/>
                <w:sz w:val="22"/>
              </w:rPr>
              <w:t> </w:t>
            </w:r>
            <w:r>
              <w:rPr>
                <w:color w:val="231F1F"/>
                <w:w w:val="110"/>
                <w:sz w:val="22"/>
              </w:rPr>
              <w:t>un</w:t>
            </w:r>
            <w:r>
              <w:rPr>
                <w:color w:val="231F1F"/>
                <w:spacing w:val="-6"/>
                <w:w w:val="110"/>
                <w:sz w:val="22"/>
              </w:rPr>
              <w:t> </w:t>
            </w:r>
            <w:r>
              <w:rPr>
                <w:color w:val="231F1F"/>
                <w:w w:val="110"/>
                <w:sz w:val="22"/>
              </w:rPr>
              <w:t>retardo</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6"/>
                <w:w w:val="110"/>
                <w:sz w:val="22"/>
              </w:rPr>
              <w:t> </w:t>
            </w:r>
            <w:r>
              <w:rPr>
                <w:color w:val="231F1F"/>
                <w:w w:val="110"/>
                <w:sz w:val="22"/>
              </w:rPr>
              <w:t>fase</w:t>
            </w:r>
            <w:r>
              <w:rPr>
                <w:color w:val="231F1F"/>
                <w:spacing w:val="-6"/>
                <w:w w:val="110"/>
                <w:sz w:val="22"/>
              </w:rPr>
              <w:t> </w:t>
            </w:r>
            <w:r>
              <w:rPr>
                <w:color w:val="231F1F"/>
                <w:w w:val="110"/>
                <w:sz w:val="22"/>
              </w:rPr>
              <w:t>activa</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6"/>
                <w:w w:val="110"/>
                <w:sz w:val="22"/>
              </w:rPr>
              <w:t> </w:t>
            </w:r>
            <w:r>
              <w:rPr>
                <w:color w:val="231F1F"/>
                <w:w w:val="110"/>
                <w:sz w:val="22"/>
              </w:rPr>
              <w:t>primera</w:t>
            </w:r>
            <w:r>
              <w:rPr>
                <w:color w:val="231F1F"/>
                <w:spacing w:val="-6"/>
                <w:w w:val="110"/>
                <w:sz w:val="22"/>
              </w:rPr>
              <w:t> </w:t>
            </w:r>
            <w:r>
              <w:rPr>
                <w:color w:val="231F1F"/>
                <w:w w:val="110"/>
                <w:sz w:val="22"/>
              </w:rPr>
              <w:t>etapa</w:t>
            </w:r>
            <w:r>
              <w:rPr>
                <w:color w:val="231F1F"/>
                <w:spacing w:val="-6"/>
                <w:w w:val="110"/>
                <w:sz w:val="22"/>
              </w:rPr>
              <w:t> </w:t>
            </w:r>
            <w:r>
              <w:rPr>
                <w:color w:val="231F1F"/>
                <w:w w:val="110"/>
                <w:sz w:val="22"/>
              </w:rPr>
              <w:t>del</w:t>
            </w:r>
            <w:r>
              <w:rPr>
                <w:color w:val="231F1F"/>
                <w:spacing w:val="-7"/>
                <w:w w:val="110"/>
                <w:sz w:val="22"/>
              </w:rPr>
              <w:t> </w:t>
            </w:r>
            <w:r>
              <w:rPr>
                <w:color w:val="231F1F"/>
                <w:w w:val="110"/>
                <w:sz w:val="22"/>
              </w:rPr>
              <w:t>parto</w:t>
            </w:r>
            <w:r>
              <w:rPr>
                <w:color w:val="231F1F"/>
                <w:spacing w:val="-6"/>
                <w:w w:val="110"/>
                <w:sz w:val="22"/>
              </w:rPr>
              <w:t> </w:t>
            </w:r>
            <w:r>
              <w:rPr>
                <w:color w:val="231F1F"/>
                <w:w w:val="110"/>
                <w:sz w:val="22"/>
              </w:rPr>
              <w:t>se </w:t>
            </w:r>
            <w:r>
              <w:rPr>
                <w:color w:val="231F1F"/>
                <w:spacing w:val="-2"/>
                <w:w w:val="110"/>
                <w:sz w:val="22"/>
              </w:rPr>
              <w:t>recomienda:</w:t>
            </w:r>
          </w:p>
          <w:p>
            <w:pPr>
              <w:pStyle w:val="TableParagraph"/>
              <w:numPr>
                <w:ilvl w:val="0"/>
                <w:numId w:val="34"/>
              </w:numPr>
              <w:tabs>
                <w:tab w:pos="338" w:val="left" w:leader="none"/>
                <w:tab w:pos="341" w:val="left" w:leader="none"/>
              </w:tabs>
              <w:spacing w:line="249" w:lineRule="auto" w:before="136" w:after="0"/>
              <w:ind w:left="341" w:right="142" w:hanging="221"/>
              <w:jc w:val="both"/>
              <w:rPr>
                <w:sz w:val="22"/>
              </w:rPr>
            </w:pPr>
            <w:r>
              <w:rPr>
                <w:color w:val="231F1F"/>
                <w:w w:val="110"/>
                <w:sz w:val="22"/>
              </w:rPr>
              <w:t>Ofrecer</w:t>
            </w:r>
            <w:r>
              <w:rPr>
                <w:color w:val="231F1F"/>
                <w:spacing w:val="-12"/>
                <w:w w:val="110"/>
                <w:sz w:val="22"/>
              </w:rPr>
              <w:t> </w:t>
            </w:r>
            <w:r>
              <w:rPr>
                <w:color w:val="231F1F"/>
                <w:w w:val="110"/>
                <w:sz w:val="22"/>
              </w:rPr>
              <w:t>apoyo</w:t>
            </w:r>
            <w:r>
              <w:rPr>
                <w:color w:val="231F1F"/>
                <w:spacing w:val="-10"/>
                <w:w w:val="110"/>
                <w:sz w:val="22"/>
              </w:rPr>
              <w:t> </w:t>
            </w:r>
            <w:r>
              <w:rPr>
                <w:color w:val="231F1F"/>
                <w:w w:val="110"/>
                <w:sz w:val="22"/>
              </w:rPr>
              <w:t>a</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mujer,</w:t>
            </w:r>
            <w:r>
              <w:rPr>
                <w:color w:val="231F1F"/>
                <w:spacing w:val="-11"/>
                <w:w w:val="110"/>
                <w:sz w:val="22"/>
              </w:rPr>
              <w:t> </w:t>
            </w:r>
            <w:r>
              <w:rPr>
                <w:color w:val="231F1F"/>
                <w:w w:val="110"/>
                <w:sz w:val="22"/>
              </w:rPr>
              <w:t>hidratación</w:t>
            </w:r>
            <w:r>
              <w:rPr>
                <w:color w:val="231F1F"/>
                <w:spacing w:val="-11"/>
                <w:w w:val="110"/>
                <w:sz w:val="22"/>
              </w:rPr>
              <w:t> </w:t>
            </w:r>
            <w:r>
              <w:rPr>
                <w:color w:val="231F1F"/>
                <w:w w:val="110"/>
                <w:sz w:val="22"/>
              </w:rPr>
              <w:t>y</w:t>
            </w:r>
            <w:r>
              <w:rPr>
                <w:color w:val="231F1F"/>
                <w:spacing w:val="-11"/>
                <w:w w:val="110"/>
                <w:sz w:val="22"/>
              </w:rPr>
              <w:t> </w:t>
            </w:r>
            <w:r>
              <w:rPr>
                <w:color w:val="231F1F"/>
                <w:w w:val="110"/>
                <w:sz w:val="22"/>
              </w:rPr>
              <w:t>un</w:t>
            </w:r>
            <w:r>
              <w:rPr>
                <w:color w:val="231F1F"/>
                <w:spacing w:val="-11"/>
                <w:w w:val="110"/>
                <w:sz w:val="22"/>
              </w:rPr>
              <w:t> </w:t>
            </w:r>
            <w:r>
              <w:rPr>
                <w:color w:val="231F1F"/>
                <w:w w:val="110"/>
                <w:sz w:val="22"/>
              </w:rPr>
              <w:t>método</w:t>
            </w:r>
            <w:r>
              <w:rPr>
                <w:color w:val="231F1F"/>
                <w:spacing w:val="-11"/>
                <w:w w:val="110"/>
                <w:sz w:val="22"/>
              </w:rPr>
              <w:t> </w:t>
            </w:r>
            <w:r>
              <w:rPr>
                <w:color w:val="231F1F"/>
                <w:w w:val="110"/>
                <w:sz w:val="22"/>
              </w:rPr>
              <w:t>apropiado</w:t>
            </w:r>
            <w:r>
              <w:rPr>
                <w:color w:val="231F1F"/>
                <w:spacing w:val="-11"/>
                <w:w w:val="110"/>
                <w:sz w:val="22"/>
              </w:rPr>
              <w:t> </w:t>
            </w:r>
            <w:r>
              <w:rPr>
                <w:color w:val="231F1F"/>
                <w:w w:val="110"/>
                <w:sz w:val="22"/>
              </w:rPr>
              <w:t>y</w:t>
            </w:r>
            <w:r>
              <w:rPr>
                <w:color w:val="231F1F"/>
                <w:spacing w:val="-11"/>
                <w:w w:val="110"/>
                <w:sz w:val="22"/>
              </w:rPr>
              <w:t> </w:t>
            </w:r>
            <w:r>
              <w:rPr>
                <w:color w:val="231F1F"/>
                <w:w w:val="110"/>
                <w:sz w:val="22"/>
              </w:rPr>
              <w:t>efectivo</w:t>
            </w:r>
            <w:r>
              <w:rPr>
                <w:color w:val="231F1F"/>
                <w:spacing w:val="-11"/>
                <w:w w:val="110"/>
                <w:sz w:val="22"/>
              </w:rPr>
              <w:t> </w:t>
            </w:r>
            <w:r>
              <w:rPr>
                <w:color w:val="231F1F"/>
                <w:w w:val="110"/>
                <w:sz w:val="22"/>
              </w:rPr>
              <w:t>para</w:t>
            </w:r>
            <w:r>
              <w:rPr>
                <w:color w:val="231F1F"/>
                <w:spacing w:val="-11"/>
                <w:w w:val="110"/>
                <w:sz w:val="22"/>
              </w:rPr>
              <w:t> </w:t>
            </w:r>
            <w:r>
              <w:rPr>
                <w:color w:val="231F1F"/>
                <w:w w:val="110"/>
                <w:sz w:val="22"/>
              </w:rPr>
              <w:t>el control del dolor.</w:t>
            </w:r>
          </w:p>
          <w:p>
            <w:pPr>
              <w:pStyle w:val="TableParagraph"/>
              <w:numPr>
                <w:ilvl w:val="0"/>
                <w:numId w:val="34"/>
              </w:numPr>
              <w:tabs>
                <w:tab w:pos="339" w:val="left" w:leader="none"/>
              </w:tabs>
              <w:spacing w:line="240" w:lineRule="auto" w:before="137" w:after="0"/>
              <w:ind w:left="339" w:right="0" w:hanging="218"/>
              <w:jc w:val="left"/>
              <w:rPr>
                <w:sz w:val="22"/>
              </w:rPr>
            </w:pPr>
            <w:r>
              <w:rPr>
                <w:color w:val="231F1F"/>
                <w:w w:val="105"/>
                <w:sz w:val="22"/>
              </w:rPr>
              <w:t>Si</w:t>
            </w:r>
            <w:r>
              <w:rPr>
                <w:color w:val="231F1F"/>
                <w:spacing w:val="2"/>
                <w:w w:val="105"/>
                <w:sz w:val="22"/>
              </w:rPr>
              <w:t> </w:t>
            </w:r>
            <w:r>
              <w:rPr>
                <w:color w:val="231F1F"/>
                <w:w w:val="105"/>
                <w:sz w:val="22"/>
              </w:rPr>
              <w:t>las</w:t>
            </w:r>
            <w:r>
              <w:rPr>
                <w:color w:val="231F1F"/>
                <w:spacing w:val="3"/>
                <w:w w:val="105"/>
                <w:sz w:val="22"/>
              </w:rPr>
              <w:t> </w:t>
            </w:r>
            <w:r>
              <w:rPr>
                <w:color w:val="231F1F"/>
                <w:w w:val="105"/>
                <w:sz w:val="22"/>
              </w:rPr>
              <w:t>membranas</w:t>
            </w:r>
            <w:r>
              <w:rPr>
                <w:color w:val="231F1F"/>
                <w:spacing w:val="5"/>
                <w:w w:val="105"/>
                <w:sz w:val="22"/>
              </w:rPr>
              <w:t> </w:t>
            </w:r>
            <w:r>
              <w:rPr>
                <w:color w:val="231F1F"/>
                <w:w w:val="105"/>
                <w:sz w:val="22"/>
              </w:rPr>
              <w:t>están</w:t>
            </w:r>
            <w:r>
              <w:rPr>
                <w:color w:val="231F1F"/>
                <w:spacing w:val="5"/>
                <w:w w:val="105"/>
                <w:sz w:val="22"/>
              </w:rPr>
              <w:t> </w:t>
            </w:r>
            <w:r>
              <w:rPr>
                <w:color w:val="231F1F"/>
                <w:w w:val="105"/>
                <w:sz w:val="22"/>
              </w:rPr>
              <w:t>intactas</w:t>
            </w:r>
            <w:r>
              <w:rPr>
                <w:color w:val="231F1F"/>
                <w:spacing w:val="3"/>
                <w:w w:val="105"/>
                <w:sz w:val="22"/>
              </w:rPr>
              <w:t> </w:t>
            </w:r>
            <w:r>
              <w:rPr>
                <w:color w:val="231F1F"/>
                <w:w w:val="105"/>
                <w:sz w:val="22"/>
              </w:rPr>
              <w:t>se</w:t>
            </w:r>
            <w:r>
              <w:rPr>
                <w:color w:val="231F1F"/>
                <w:spacing w:val="4"/>
                <w:w w:val="105"/>
                <w:sz w:val="22"/>
              </w:rPr>
              <w:t> </w:t>
            </w:r>
            <w:r>
              <w:rPr>
                <w:color w:val="231F1F"/>
                <w:w w:val="105"/>
                <w:sz w:val="22"/>
              </w:rPr>
              <w:t>procederá</w:t>
            </w:r>
            <w:r>
              <w:rPr>
                <w:color w:val="231F1F"/>
                <w:spacing w:val="3"/>
                <w:w w:val="105"/>
                <w:sz w:val="22"/>
              </w:rPr>
              <w:t> </w:t>
            </w:r>
            <w:r>
              <w:rPr>
                <w:color w:val="231F1F"/>
                <w:w w:val="105"/>
                <w:sz w:val="22"/>
              </w:rPr>
              <w:t>a</w:t>
            </w:r>
            <w:r>
              <w:rPr>
                <w:color w:val="231F1F"/>
                <w:spacing w:val="4"/>
                <w:w w:val="105"/>
                <w:sz w:val="22"/>
              </w:rPr>
              <w:t> </w:t>
            </w:r>
            <w:r>
              <w:rPr>
                <w:color w:val="231F1F"/>
                <w:w w:val="105"/>
                <w:sz w:val="22"/>
              </w:rPr>
              <w:t>la</w:t>
            </w:r>
            <w:r>
              <w:rPr>
                <w:color w:val="231F1F"/>
                <w:spacing w:val="5"/>
                <w:w w:val="105"/>
                <w:sz w:val="22"/>
              </w:rPr>
              <w:t> </w:t>
            </w:r>
            <w:r>
              <w:rPr>
                <w:color w:val="231F1F"/>
                <w:spacing w:val="-2"/>
                <w:w w:val="105"/>
                <w:sz w:val="22"/>
              </w:rPr>
              <w:t>amniorrexis.</w:t>
            </w:r>
          </w:p>
          <w:p>
            <w:pPr>
              <w:pStyle w:val="TableParagraph"/>
              <w:numPr>
                <w:ilvl w:val="0"/>
                <w:numId w:val="34"/>
              </w:numPr>
              <w:tabs>
                <w:tab w:pos="341" w:val="left" w:leader="none"/>
              </w:tabs>
              <w:spacing w:line="254" w:lineRule="auto" w:before="164" w:after="0"/>
              <w:ind w:left="341" w:right="168" w:hanging="220"/>
              <w:jc w:val="both"/>
              <w:rPr>
                <w:sz w:val="22"/>
              </w:rPr>
            </w:pPr>
            <w:r>
              <w:rPr>
                <w:color w:val="231F1F"/>
                <w:sz w:val="22"/>
              </w:rPr>
              <w:t>Exploración</w:t>
            </w:r>
            <w:r>
              <w:rPr>
                <w:color w:val="231F1F"/>
                <w:spacing w:val="23"/>
                <w:sz w:val="22"/>
              </w:rPr>
              <w:t> </w:t>
            </w:r>
            <w:r>
              <w:rPr>
                <w:color w:val="231F1F"/>
                <w:sz w:val="22"/>
              </w:rPr>
              <w:t>vaginal</w:t>
            </w:r>
            <w:r>
              <w:rPr>
                <w:color w:val="231F1F"/>
                <w:spacing w:val="23"/>
                <w:sz w:val="22"/>
              </w:rPr>
              <w:t> </w:t>
            </w:r>
            <w:r>
              <w:rPr>
                <w:color w:val="231F1F"/>
                <w:sz w:val="22"/>
              </w:rPr>
              <w:t>2</w:t>
            </w:r>
            <w:r>
              <w:rPr>
                <w:color w:val="231F1F"/>
                <w:spacing w:val="23"/>
                <w:sz w:val="22"/>
              </w:rPr>
              <w:t> </w:t>
            </w:r>
            <w:r>
              <w:rPr>
                <w:color w:val="231F1F"/>
                <w:sz w:val="22"/>
              </w:rPr>
              <w:t>horas</w:t>
            </w:r>
            <w:r>
              <w:rPr>
                <w:color w:val="231F1F"/>
                <w:spacing w:val="24"/>
                <w:sz w:val="22"/>
              </w:rPr>
              <w:t> </w:t>
            </w:r>
            <w:r>
              <w:rPr>
                <w:color w:val="231F1F"/>
                <w:sz w:val="22"/>
              </w:rPr>
              <w:t>después</w:t>
            </w:r>
            <w:r>
              <w:rPr>
                <w:color w:val="231F1F"/>
                <w:spacing w:val="24"/>
                <w:sz w:val="22"/>
              </w:rPr>
              <w:t> </w:t>
            </w:r>
            <w:r>
              <w:rPr>
                <w:color w:val="231F1F"/>
                <w:sz w:val="22"/>
              </w:rPr>
              <w:t>y</w:t>
            </w:r>
            <w:r>
              <w:rPr>
                <w:color w:val="231F1F"/>
                <w:spacing w:val="23"/>
                <w:sz w:val="22"/>
              </w:rPr>
              <w:t> </w:t>
            </w:r>
            <w:r>
              <w:rPr>
                <w:color w:val="231F1F"/>
                <w:sz w:val="22"/>
              </w:rPr>
              <w:t>si</w:t>
            </w:r>
            <w:r>
              <w:rPr>
                <w:color w:val="231F1F"/>
                <w:spacing w:val="24"/>
                <w:sz w:val="22"/>
              </w:rPr>
              <w:t> </w:t>
            </w:r>
            <w:r>
              <w:rPr>
                <w:color w:val="231F1F"/>
                <w:sz w:val="22"/>
              </w:rPr>
              <w:t>el</w:t>
            </w:r>
            <w:r>
              <w:rPr>
                <w:color w:val="231F1F"/>
                <w:spacing w:val="24"/>
                <w:sz w:val="22"/>
              </w:rPr>
              <w:t> </w:t>
            </w:r>
            <w:r>
              <w:rPr>
                <w:color w:val="231F1F"/>
                <w:sz w:val="22"/>
              </w:rPr>
              <w:t>progreso</w:t>
            </w:r>
            <w:r>
              <w:rPr>
                <w:color w:val="231F1F"/>
                <w:spacing w:val="23"/>
                <w:sz w:val="22"/>
              </w:rPr>
              <w:t> </w:t>
            </w:r>
            <w:r>
              <w:rPr>
                <w:color w:val="231F1F"/>
                <w:sz w:val="22"/>
              </w:rPr>
              <w:t>de</w:t>
            </w:r>
            <w:r>
              <w:rPr>
                <w:color w:val="231F1F"/>
                <w:spacing w:val="24"/>
                <w:sz w:val="22"/>
              </w:rPr>
              <w:t> </w:t>
            </w:r>
            <w:r>
              <w:rPr>
                <w:color w:val="231F1F"/>
                <w:sz w:val="22"/>
              </w:rPr>
              <w:t>la</w:t>
            </w:r>
            <w:r>
              <w:rPr>
                <w:color w:val="231F1F"/>
                <w:spacing w:val="23"/>
                <w:sz w:val="22"/>
              </w:rPr>
              <w:t> </w:t>
            </w:r>
            <w:r>
              <w:rPr>
                <w:color w:val="231F1F"/>
                <w:sz w:val="22"/>
              </w:rPr>
              <w:t>dilatación</w:t>
            </w:r>
            <w:r>
              <w:rPr>
                <w:color w:val="231F1F"/>
                <w:spacing w:val="23"/>
                <w:sz w:val="22"/>
              </w:rPr>
              <w:t> </w:t>
            </w:r>
            <w:r>
              <w:rPr>
                <w:color w:val="231F1F"/>
                <w:sz w:val="22"/>
              </w:rPr>
              <w:t>es</w:t>
            </w:r>
            <w:r>
              <w:rPr>
                <w:color w:val="231F1F"/>
                <w:spacing w:val="24"/>
                <w:sz w:val="22"/>
              </w:rPr>
              <w:t> </w:t>
            </w:r>
            <w:r>
              <w:rPr>
                <w:color w:val="231F1F"/>
                <w:sz w:val="22"/>
              </w:rPr>
              <w:t>menos</w:t>
            </w:r>
            <w:r>
              <w:rPr>
                <w:color w:val="231F1F"/>
                <w:spacing w:val="24"/>
                <w:sz w:val="22"/>
              </w:rPr>
              <w:t> </w:t>
            </w:r>
            <w:r>
              <w:rPr>
                <w:color w:val="231F1F"/>
                <w:sz w:val="22"/>
              </w:rPr>
              <w:t>de 1</w:t>
            </w:r>
            <w:r>
              <w:rPr>
                <w:color w:val="231F1F"/>
                <w:spacing w:val="40"/>
                <w:sz w:val="22"/>
              </w:rPr>
              <w:t> </w:t>
            </w:r>
            <w:r>
              <w:rPr>
                <w:color w:val="231F1F"/>
                <w:sz w:val="22"/>
              </w:rPr>
              <w:t>cm</w:t>
            </w:r>
            <w:r>
              <w:rPr>
                <w:color w:val="231F1F"/>
                <w:spacing w:val="40"/>
                <w:sz w:val="22"/>
              </w:rPr>
              <w:t> </w:t>
            </w:r>
            <w:r>
              <w:rPr>
                <w:color w:val="231F1F"/>
                <w:sz w:val="22"/>
              </w:rPr>
              <w:t>se</w:t>
            </w:r>
            <w:r>
              <w:rPr>
                <w:color w:val="231F1F"/>
                <w:spacing w:val="40"/>
                <w:sz w:val="22"/>
              </w:rPr>
              <w:t> </w:t>
            </w:r>
            <w:r>
              <w:rPr>
                <w:color w:val="231F1F"/>
                <w:sz w:val="22"/>
              </w:rPr>
              <w:t>establece</w:t>
            </w:r>
            <w:r>
              <w:rPr>
                <w:color w:val="231F1F"/>
                <w:spacing w:val="40"/>
                <w:sz w:val="22"/>
              </w:rPr>
              <w:t> </w:t>
            </w:r>
            <w:r>
              <w:rPr>
                <w:color w:val="231F1F"/>
                <w:sz w:val="22"/>
              </w:rPr>
              <w:t>el</w:t>
            </w:r>
            <w:r>
              <w:rPr>
                <w:color w:val="231F1F"/>
                <w:spacing w:val="40"/>
                <w:sz w:val="22"/>
              </w:rPr>
              <w:t> </w:t>
            </w:r>
            <w:r>
              <w:rPr>
                <w:color w:val="231F1F"/>
                <w:sz w:val="22"/>
              </w:rPr>
              <w:t>diagnóstico</w:t>
            </w:r>
            <w:r>
              <w:rPr>
                <w:color w:val="231F1F"/>
                <w:spacing w:val="40"/>
                <w:sz w:val="22"/>
              </w:rPr>
              <w:t> </w:t>
            </w:r>
            <w:r>
              <w:rPr>
                <w:color w:val="231F1F"/>
                <w:sz w:val="22"/>
              </w:rPr>
              <w:t>de</w:t>
            </w:r>
            <w:r>
              <w:rPr>
                <w:color w:val="231F1F"/>
                <w:spacing w:val="40"/>
                <w:sz w:val="22"/>
              </w:rPr>
              <w:t> </w:t>
            </w:r>
            <w:r>
              <w:rPr>
                <w:color w:val="231F1F"/>
                <w:sz w:val="22"/>
              </w:rPr>
              <w:t>retardo</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dilatación.</w:t>
            </w:r>
          </w:p>
          <w:p>
            <w:pPr>
              <w:pStyle w:val="TableParagraph"/>
              <w:numPr>
                <w:ilvl w:val="0"/>
                <w:numId w:val="34"/>
              </w:numPr>
              <w:tabs>
                <w:tab w:pos="341" w:val="left" w:leader="none"/>
              </w:tabs>
              <w:spacing w:line="244" w:lineRule="auto" w:before="141" w:after="0"/>
              <w:ind w:left="341" w:right="139" w:hanging="220"/>
              <w:jc w:val="both"/>
              <w:rPr>
                <w:sz w:val="22"/>
              </w:rPr>
            </w:pPr>
            <w:r>
              <w:rPr>
                <w:color w:val="231F1F"/>
                <w:w w:val="110"/>
                <w:sz w:val="22"/>
              </w:rPr>
              <w:t>Una</w:t>
            </w:r>
            <w:r>
              <w:rPr>
                <w:color w:val="231F1F"/>
                <w:spacing w:val="-13"/>
                <w:w w:val="110"/>
                <w:sz w:val="22"/>
              </w:rPr>
              <w:t> </w:t>
            </w:r>
            <w:r>
              <w:rPr>
                <w:color w:val="231F1F"/>
                <w:w w:val="110"/>
                <w:sz w:val="22"/>
              </w:rPr>
              <w:t>vez</w:t>
            </w:r>
            <w:r>
              <w:rPr>
                <w:color w:val="231F1F"/>
                <w:spacing w:val="-13"/>
                <w:w w:val="110"/>
                <w:sz w:val="22"/>
              </w:rPr>
              <w:t> </w:t>
            </w:r>
            <w:r>
              <w:rPr>
                <w:color w:val="231F1F"/>
                <w:w w:val="110"/>
                <w:sz w:val="22"/>
              </w:rPr>
              <w:t>establecido</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diagnóstico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retardo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dilatación,</w:t>
            </w:r>
            <w:r>
              <w:rPr>
                <w:color w:val="231F1F"/>
                <w:spacing w:val="-14"/>
                <w:w w:val="110"/>
                <w:sz w:val="22"/>
              </w:rPr>
              <w:t> </w:t>
            </w:r>
            <w:r>
              <w:rPr>
                <w:color w:val="231F1F"/>
                <w:w w:val="110"/>
                <w:sz w:val="22"/>
              </w:rPr>
              <w:t>se</w:t>
            </w:r>
            <w:r>
              <w:rPr>
                <w:color w:val="231F1F"/>
                <w:spacing w:val="-13"/>
                <w:w w:val="110"/>
                <w:sz w:val="22"/>
              </w:rPr>
              <w:t> </w:t>
            </w:r>
            <w:r>
              <w:rPr>
                <w:color w:val="231F1F"/>
                <w:w w:val="110"/>
                <w:sz w:val="22"/>
              </w:rPr>
              <w:t>ofrecerá</w:t>
            </w:r>
            <w:r>
              <w:rPr>
                <w:color w:val="231F1F"/>
                <w:spacing w:val="-14"/>
                <w:w w:val="110"/>
                <w:sz w:val="22"/>
              </w:rPr>
              <w:t> </w:t>
            </w:r>
            <w:r>
              <w:rPr>
                <w:color w:val="231F1F"/>
                <w:w w:val="110"/>
                <w:sz w:val="22"/>
              </w:rPr>
              <w:t>la</w:t>
            </w:r>
            <w:r>
              <w:rPr>
                <w:color w:val="231F1F"/>
                <w:spacing w:val="-13"/>
                <w:w w:val="110"/>
                <w:sz w:val="22"/>
              </w:rPr>
              <w:t> </w:t>
            </w:r>
            <w:r>
              <w:rPr>
                <w:color w:val="231F1F"/>
                <w:w w:val="110"/>
                <w:sz w:val="22"/>
              </w:rPr>
              <w:t>es- timulación con oxitocina.</w:t>
            </w:r>
          </w:p>
          <w:p>
            <w:pPr>
              <w:pStyle w:val="TableParagraph"/>
              <w:numPr>
                <w:ilvl w:val="0"/>
                <w:numId w:val="34"/>
              </w:numPr>
              <w:tabs>
                <w:tab w:pos="341" w:val="left" w:leader="none"/>
              </w:tabs>
              <w:spacing w:line="244" w:lineRule="auto" w:before="136" w:after="0"/>
              <w:ind w:left="341" w:right="140" w:hanging="220"/>
              <w:jc w:val="both"/>
              <w:rPr>
                <w:sz w:val="22"/>
              </w:rPr>
            </w:pPr>
            <w:r>
              <w:rPr>
                <w:color w:val="231F1F"/>
                <w:w w:val="110"/>
                <w:sz w:val="22"/>
              </w:rPr>
              <w:t>Se</w:t>
            </w:r>
            <w:r>
              <w:rPr>
                <w:color w:val="231F1F"/>
                <w:spacing w:val="-16"/>
                <w:w w:val="110"/>
                <w:sz w:val="22"/>
              </w:rPr>
              <w:t> </w:t>
            </w:r>
            <w:r>
              <w:rPr>
                <w:color w:val="231F1F"/>
                <w:w w:val="110"/>
                <w:sz w:val="22"/>
              </w:rPr>
              <w:t>practicará</w:t>
            </w:r>
            <w:r>
              <w:rPr>
                <w:color w:val="231F1F"/>
                <w:spacing w:val="-15"/>
                <w:w w:val="110"/>
                <w:sz w:val="22"/>
              </w:rPr>
              <w:t> </w:t>
            </w:r>
            <w:r>
              <w:rPr>
                <w:color w:val="231F1F"/>
                <w:w w:val="110"/>
                <w:sz w:val="22"/>
              </w:rPr>
              <w:t>monitorización</w:t>
            </w:r>
            <w:r>
              <w:rPr>
                <w:color w:val="231F1F"/>
                <w:spacing w:val="-15"/>
                <w:w w:val="110"/>
                <w:sz w:val="22"/>
              </w:rPr>
              <w:t> </w:t>
            </w:r>
            <w:r>
              <w:rPr>
                <w:color w:val="231F1F"/>
                <w:w w:val="110"/>
                <w:sz w:val="22"/>
              </w:rPr>
              <w:t>continua</w:t>
            </w:r>
            <w:r>
              <w:rPr>
                <w:color w:val="231F1F"/>
                <w:spacing w:val="-15"/>
                <w:w w:val="110"/>
                <w:sz w:val="22"/>
              </w:rPr>
              <w:t> </w:t>
            </w:r>
            <w:r>
              <w:rPr>
                <w:color w:val="231F1F"/>
                <w:w w:val="110"/>
                <w:sz w:val="22"/>
              </w:rPr>
              <w:t>y</w:t>
            </w:r>
            <w:r>
              <w:rPr>
                <w:color w:val="231F1F"/>
                <w:spacing w:val="-15"/>
                <w:w w:val="110"/>
                <w:sz w:val="22"/>
              </w:rPr>
              <w:t> </w:t>
            </w:r>
            <w:r>
              <w:rPr>
                <w:color w:val="231F1F"/>
                <w:w w:val="110"/>
                <w:sz w:val="22"/>
              </w:rPr>
              <w:t>se</w:t>
            </w:r>
            <w:r>
              <w:rPr>
                <w:color w:val="231F1F"/>
                <w:spacing w:val="-15"/>
                <w:w w:val="110"/>
                <w:sz w:val="22"/>
              </w:rPr>
              <w:t> </w:t>
            </w:r>
            <w:r>
              <w:rPr>
                <w:color w:val="231F1F"/>
                <w:w w:val="110"/>
                <w:sz w:val="22"/>
              </w:rPr>
              <w:t>ofrecerá</w:t>
            </w:r>
            <w:r>
              <w:rPr>
                <w:color w:val="231F1F"/>
                <w:spacing w:val="-15"/>
                <w:w w:val="110"/>
                <w:sz w:val="22"/>
              </w:rPr>
              <w:t> </w:t>
            </w:r>
            <w:r>
              <w:rPr>
                <w:color w:val="231F1F"/>
                <w:w w:val="110"/>
                <w:sz w:val="22"/>
              </w:rPr>
              <w:t>anestesia</w:t>
            </w:r>
            <w:r>
              <w:rPr>
                <w:color w:val="231F1F"/>
                <w:spacing w:val="-15"/>
                <w:w w:val="110"/>
                <w:sz w:val="22"/>
              </w:rPr>
              <w:t> </w:t>
            </w:r>
            <w:r>
              <w:rPr>
                <w:color w:val="231F1F"/>
                <w:w w:val="110"/>
                <w:sz w:val="22"/>
              </w:rPr>
              <w:t>epidural</w:t>
            </w:r>
            <w:r>
              <w:rPr>
                <w:color w:val="231F1F"/>
                <w:spacing w:val="-16"/>
                <w:w w:val="110"/>
                <w:sz w:val="22"/>
              </w:rPr>
              <w:t> </w:t>
            </w:r>
            <w:r>
              <w:rPr>
                <w:color w:val="231F1F"/>
                <w:w w:val="110"/>
                <w:sz w:val="22"/>
              </w:rPr>
              <w:t>antes</w:t>
            </w:r>
            <w:r>
              <w:rPr>
                <w:color w:val="231F1F"/>
                <w:spacing w:val="-15"/>
                <w:w w:val="110"/>
                <w:sz w:val="22"/>
              </w:rPr>
              <w:t> </w:t>
            </w:r>
            <w:r>
              <w:rPr>
                <w:color w:val="231F1F"/>
                <w:w w:val="110"/>
                <w:sz w:val="22"/>
              </w:rPr>
              <w:t>del uso de la oxitocina.</w:t>
            </w:r>
          </w:p>
          <w:p>
            <w:pPr>
              <w:pStyle w:val="TableParagraph"/>
              <w:numPr>
                <w:ilvl w:val="0"/>
                <w:numId w:val="34"/>
              </w:numPr>
              <w:tabs>
                <w:tab w:pos="342" w:val="left" w:leader="none"/>
              </w:tabs>
              <w:spacing w:line="254" w:lineRule="auto" w:before="147" w:after="0"/>
              <w:ind w:left="342" w:right="73" w:hanging="221"/>
              <w:jc w:val="both"/>
              <w:rPr>
                <w:sz w:val="22"/>
              </w:rPr>
            </w:pPr>
            <w:r>
              <w:rPr>
                <w:color w:val="231F1F"/>
                <w:w w:val="110"/>
                <w:sz w:val="22"/>
              </w:rPr>
              <w:t>Se</w:t>
            </w:r>
            <w:r>
              <w:rPr>
                <w:color w:val="231F1F"/>
                <w:spacing w:val="-1"/>
                <w:w w:val="110"/>
                <w:sz w:val="22"/>
              </w:rPr>
              <w:t> </w:t>
            </w:r>
            <w:r>
              <w:rPr>
                <w:color w:val="231F1F"/>
                <w:w w:val="110"/>
                <w:sz w:val="22"/>
              </w:rPr>
              <w:t>procederá</w:t>
            </w:r>
            <w:r>
              <w:rPr>
                <w:color w:val="231F1F"/>
                <w:spacing w:val="-2"/>
                <w:w w:val="110"/>
                <w:sz w:val="22"/>
              </w:rPr>
              <w:t> </w:t>
            </w:r>
            <w:r>
              <w:rPr>
                <w:color w:val="231F1F"/>
                <w:w w:val="110"/>
                <w:sz w:val="22"/>
              </w:rPr>
              <w:t>a</w:t>
            </w:r>
            <w:r>
              <w:rPr>
                <w:color w:val="231F1F"/>
                <w:spacing w:val="-1"/>
                <w:w w:val="110"/>
                <w:sz w:val="22"/>
              </w:rPr>
              <w:t> </w:t>
            </w:r>
            <w:r>
              <w:rPr>
                <w:color w:val="231F1F"/>
                <w:w w:val="110"/>
                <w:sz w:val="22"/>
              </w:rPr>
              <w:t>un</w:t>
            </w:r>
            <w:r>
              <w:rPr>
                <w:color w:val="231F1F"/>
                <w:spacing w:val="-1"/>
                <w:w w:val="110"/>
                <w:sz w:val="22"/>
              </w:rPr>
              <w:t> </w:t>
            </w:r>
            <w:r>
              <w:rPr>
                <w:color w:val="231F1F"/>
                <w:w w:val="110"/>
                <w:sz w:val="22"/>
              </w:rPr>
              <w:t>nuevo</w:t>
            </w:r>
            <w:r>
              <w:rPr>
                <w:color w:val="231F1F"/>
                <w:spacing w:val="-1"/>
                <w:w w:val="110"/>
                <w:sz w:val="22"/>
              </w:rPr>
              <w:t> </w:t>
            </w:r>
            <w:r>
              <w:rPr>
                <w:color w:val="231F1F"/>
                <w:w w:val="110"/>
                <w:sz w:val="22"/>
              </w:rPr>
              <w:t>tacto</w:t>
            </w:r>
            <w:r>
              <w:rPr>
                <w:color w:val="231F1F"/>
                <w:spacing w:val="-1"/>
                <w:w w:val="110"/>
                <w:sz w:val="22"/>
              </w:rPr>
              <w:t> </w:t>
            </w:r>
            <w:r>
              <w:rPr>
                <w:color w:val="231F1F"/>
                <w:w w:val="110"/>
                <w:sz w:val="22"/>
              </w:rPr>
              <w:t>vaginal</w:t>
            </w:r>
            <w:r>
              <w:rPr>
                <w:color w:val="231F1F"/>
                <w:spacing w:val="-3"/>
                <w:w w:val="110"/>
                <w:sz w:val="22"/>
              </w:rPr>
              <w:t> </w:t>
            </w:r>
            <w:r>
              <w:rPr>
                <w:color w:val="231F1F"/>
                <w:w w:val="110"/>
                <w:sz w:val="22"/>
              </w:rPr>
              <w:t>4</w:t>
            </w:r>
            <w:r>
              <w:rPr>
                <w:color w:val="231F1F"/>
                <w:spacing w:val="-1"/>
                <w:w w:val="110"/>
                <w:sz w:val="22"/>
              </w:rPr>
              <w:t> </w:t>
            </w:r>
            <w:r>
              <w:rPr>
                <w:color w:val="231F1F"/>
                <w:w w:val="110"/>
                <w:sz w:val="22"/>
              </w:rPr>
              <w:t>horas</w:t>
            </w:r>
            <w:r>
              <w:rPr>
                <w:color w:val="231F1F"/>
                <w:spacing w:val="-2"/>
                <w:w w:val="110"/>
                <w:sz w:val="22"/>
              </w:rPr>
              <w:t> </w:t>
            </w:r>
            <w:r>
              <w:rPr>
                <w:color w:val="231F1F"/>
                <w:w w:val="110"/>
                <w:sz w:val="22"/>
              </w:rPr>
              <w:t>después</w:t>
            </w:r>
            <w:r>
              <w:rPr>
                <w:color w:val="231F1F"/>
                <w:spacing w:val="-2"/>
                <w:w w:val="110"/>
                <w:sz w:val="22"/>
              </w:rPr>
              <w:t> </w:t>
            </w:r>
            <w:r>
              <w:rPr>
                <w:color w:val="231F1F"/>
                <w:w w:val="110"/>
                <w:sz w:val="22"/>
              </w:rPr>
              <w:t>de</w:t>
            </w:r>
            <w:r>
              <w:rPr>
                <w:color w:val="231F1F"/>
                <w:spacing w:val="-1"/>
                <w:w w:val="110"/>
                <w:sz w:val="22"/>
              </w:rPr>
              <w:t> </w:t>
            </w:r>
            <w:r>
              <w:rPr>
                <w:color w:val="231F1F"/>
                <w:w w:val="110"/>
                <w:sz w:val="22"/>
              </w:rPr>
              <w:t>iniciada</w:t>
            </w:r>
            <w:r>
              <w:rPr>
                <w:color w:val="231F1F"/>
                <w:spacing w:val="-1"/>
                <w:w w:val="110"/>
                <w:sz w:val="22"/>
              </w:rPr>
              <w:t> </w:t>
            </w:r>
            <w:r>
              <w:rPr>
                <w:color w:val="231F1F"/>
                <w:w w:val="110"/>
                <w:sz w:val="22"/>
              </w:rPr>
              <w:t>la</w:t>
            </w:r>
            <w:r>
              <w:rPr>
                <w:color w:val="231F1F"/>
                <w:spacing w:val="-1"/>
                <w:w w:val="110"/>
                <w:sz w:val="22"/>
              </w:rPr>
              <w:t> </w:t>
            </w:r>
            <w:r>
              <w:rPr>
                <w:color w:val="231F1F"/>
                <w:w w:val="110"/>
                <w:sz w:val="22"/>
              </w:rPr>
              <w:t>perfusión </w:t>
            </w:r>
            <w:r>
              <w:rPr>
                <w:color w:val="231F1F"/>
                <w:sz w:val="22"/>
              </w:rPr>
              <w:t>de oxitocina. Si el progreso de la dilatación es inferior a 2 cm se reevaluará el caso </w:t>
            </w:r>
            <w:r>
              <w:rPr>
                <w:color w:val="231F1F"/>
                <w:w w:val="110"/>
                <w:sz w:val="22"/>
              </w:rPr>
              <w:t>tomando</w:t>
            </w:r>
            <w:r>
              <w:rPr>
                <w:color w:val="231F1F"/>
                <w:spacing w:val="-16"/>
                <w:w w:val="110"/>
                <w:sz w:val="22"/>
              </w:rPr>
              <w:t> </w:t>
            </w:r>
            <w:r>
              <w:rPr>
                <w:color w:val="231F1F"/>
                <w:w w:val="110"/>
                <w:sz w:val="22"/>
              </w:rPr>
              <w:t>en</w:t>
            </w:r>
            <w:r>
              <w:rPr>
                <w:color w:val="231F1F"/>
                <w:spacing w:val="-15"/>
                <w:w w:val="110"/>
                <w:sz w:val="22"/>
              </w:rPr>
              <w:t> </w:t>
            </w:r>
            <w:r>
              <w:rPr>
                <w:color w:val="231F1F"/>
                <w:w w:val="110"/>
                <w:sz w:val="22"/>
              </w:rPr>
              <w:t>consideración</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posibilidad</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practicar</w:t>
            </w:r>
            <w:r>
              <w:rPr>
                <w:color w:val="231F1F"/>
                <w:spacing w:val="-15"/>
                <w:w w:val="110"/>
                <w:sz w:val="22"/>
              </w:rPr>
              <w:t> </w:t>
            </w:r>
            <w:r>
              <w:rPr>
                <w:color w:val="231F1F"/>
                <w:w w:val="110"/>
                <w:sz w:val="22"/>
              </w:rPr>
              <w:t>una</w:t>
            </w:r>
            <w:r>
              <w:rPr>
                <w:color w:val="231F1F"/>
                <w:spacing w:val="-15"/>
                <w:w w:val="110"/>
                <w:sz w:val="22"/>
              </w:rPr>
              <w:t> </w:t>
            </w:r>
            <w:r>
              <w:rPr>
                <w:color w:val="231F1F"/>
                <w:w w:val="110"/>
                <w:sz w:val="22"/>
              </w:rPr>
              <w:t>cesárea.</w:t>
            </w:r>
            <w:r>
              <w:rPr>
                <w:color w:val="231F1F"/>
                <w:spacing w:val="-16"/>
                <w:w w:val="110"/>
                <w:sz w:val="22"/>
              </w:rPr>
              <w:t> </w:t>
            </w:r>
            <w:r>
              <w:rPr>
                <w:color w:val="231F1F"/>
                <w:w w:val="110"/>
                <w:sz w:val="22"/>
              </w:rPr>
              <w:t>Si</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progreso es superior a 2 cm se realizará una nueva exploración 4 horas después.</w:t>
            </w:r>
          </w:p>
        </w:tc>
      </w:tr>
    </w:tbl>
    <w:p>
      <w:pPr>
        <w:pStyle w:val="TableParagraph"/>
        <w:spacing w:after="0" w:line="254" w:lineRule="auto"/>
        <w:jc w:val="both"/>
        <w:rPr>
          <w:sz w:val="22"/>
        </w:rPr>
        <w:sectPr>
          <w:pgSz w:w="11900" w:h="16840"/>
          <w:pgMar w:header="0" w:footer="622" w:top="1560" w:bottom="820" w:left="1417" w:right="1559"/>
        </w:sectPr>
      </w:pPr>
    </w:p>
    <w:p>
      <w:pPr>
        <w:pStyle w:val="BodyText"/>
        <w:spacing w:before="4"/>
        <w:rPr>
          <w:rFonts w:ascii="Arial MT"/>
          <w:sz w:val="17"/>
        </w:rPr>
      </w:pPr>
    </w:p>
    <w:p>
      <w:pPr>
        <w:pStyle w:val="BodyText"/>
        <w:spacing w:after="0"/>
        <w:rPr>
          <w:rFonts w:ascii="Arial MT"/>
          <w:sz w:val="17"/>
        </w:rPr>
        <w:sectPr>
          <w:footerReference w:type="even" r:id="rId42"/>
          <w:pgSz w:w="11900" w:h="16840"/>
          <w:pgMar w:header="0" w:footer="0" w:top="1940" w:bottom="28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41" w:id="15"/>
      <w:r>
        <w:rPr>
          <w:color w:val="231F1F"/>
          <w:w w:val="110"/>
        </w:rPr>
        <w:t>Segunda</w:t>
      </w:r>
      <w:r>
        <w:rPr>
          <w:color w:val="231F1F"/>
          <w:spacing w:val="-26"/>
          <w:w w:val="110"/>
        </w:rPr>
        <w:t> </w:t>
      </w:r>
      <w:r>
        <w:rPr>
          <w:color w:val="231F1F"/>
          <w:w w:val="110"/>
        </w:rPr>
        <w:t>etapa</w:t>
      </w:r>
      <w:r>
        <w:rPr>
          <w:color w:val="231F1F"/>
          <w:spacing w:val="-23"/>
          <w:w w:val="110"/>
        </w:rPr>
        <w:t> </w:t>
      </w:r>
      <w:r>
        <w:rPr>
          <w:color w:val="231F1F"/>
          <w:w w:val="110"/>
        </w:rPr>
        <w:t>del</w:t>
      </w:r>
      <w:r>
        <w:rPr>
          <w:color w:val="231F1F"/>
          <w:spacing w:val="-24"/>
          <w:w w:val="110"/>
        </w:rPr>
        <w:t> </w:t>
      </w:r>
      <w:bookmarkEnd w:id="15"/>
      <w:r>
        <w:rPr>
          <w:color w:val="231F1F"/>
          <w:spacing w:val="-2"/>
          <w:w w:val="110"/>
        </w:rPr>
        <w:t>parto</w:t>
      </w:r>
    </w:p>
    <w:p>
      <w:pPr>
        <w:pStyle w:val="Heading2"/>
        <w:numPr>
          <w:ilvl w:val="2"/>
          <w:numId w:val="2"/>
        </w:numPr>
        <w:tabs>
          <w:tab w:pos="1004" w:val="left" w:leader="none"/>
        </w:tabs>
        <w:spacing w:line="240" w:lineRule="auto" w:before="564" w:after="0"/>
        <w:ind w:left="1004" w:right="0" w:hanging="721"/>
        <w:jc w:val="left"/>
      </w:pPr>
      <w:bookmarkStart w:name="_TOC_250040" w:id="16"/>
      <w:bookmarkEnd w:id="16"/>
      <w:r>
        <w:rPr>
          <w:color w:val="231F1F"/>
          <w:spacing w:val="-2"/>
        </w:rPr>
        <w:t>Definición</w:t>
      </w:r>
    </w:p>
    <w:p>
      <w:pPr>
        <w:pStyle w:val="BodyText"/>
        <w:spacing w:before="26"/>
        <w:rPr>
          <w:sz w:val="20"/>
        </w:rPr>
      </w:pPr>
      <w:r>
        <w:rPr>
          <w:sz w:val="20"/>
        </w:rPr>
        <mc:AlternateContent>
          <mc:Choice Requires="wps">
            <w:drawing>
              <wp:anchor distT="0" distB="0" distL="0" distR="0" allowOverlap="1" layoutInCell="1" locked="0" behindDoc="1" simplePos="0" relativeHeight="487606272">
                <wp:simplePos x="0" y="0"/>
                <wp:positionH relativeFrom="page">
                  <wp:posOffset>1082675</wp:posOffset>
                </wp:positionH>
                <wp:positionV relativeFrom="paragraph">
                  <wp:posOffset>181028</wp:posOffset>
                </wp:positionV>
                <wp:extent cx="5400040" cy="52895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5400040" cy="528955"/>
                        </a:xfrm>
                        <a:prstGeom prst="rect">
                          <a:avLst/>
                        </a:prstGeom>
                        <a:ln w="6350">
                          <a:solidFill>
                            <a:srgbClr val="A30046"/>
                          </a:solidFill>
                          <a:prstDash val="solid"/>
                        </a:ln>
                      </wps:spPr>
                      <wps:txbx>
                        <w:txbxContent>
                          <w:p>
                            <w:pPr>
                              <w:pStyle w:val="BodyText"/>
                              <w:numPr>
                                <w:ilvl w:val="0"/>
                                <w:numId w:val="35"/>
                              </w:numPr>
                              <w:tabs>
                                <w:tab w:pos="322" w:val="left" w:leader="none"/>
                              </w:tabs>
                              <w:spacing w:line="240" w:lineRule="auto" w:before="41" w:after="0"/>
                              <w:ind w:left="322" w:right="0" w:hanging="218"/>
                              <w:jc w:val="left"/>
                            </w:pPr>
                            <w:r>
                              <w:rPr>
                                <w:color w:val="231F1F"/>
                              </w:rPr>
                              <w:t>¿Cuál</w:t>
                            </w:r>
                            <w:r>
                              <w:rPr>
                                <w:color w:val="231F1F"/>
                                <w:spacing w:val="27"/>
                              </w:rPr>
                              <w:t> </w:t>
                            </w:r>
                            <w:r>
                              <w:rPr>
                                <w:color w:val="231F1F"/>
                              </w:rPr>
                              <w:t>es</w:t>
                            </w:r>
                            <w:r>
                              <w:rPr>
                                <w:color w:val="231F1F"/>
                                <w:spacing w:val="28"/>
                              </w:rPr>
                              <w:t> </w:t>
                            </w:r>
                            <w:r>
                              <w:rPr>
                                <w:color w:val="231F1F"/>
                              </w:rPr>
                              <w:t>la</w:t>
                            </w:r>
                            <w:r>
                              <w:rPr>
                                <w:color w:val="231F1F"/>
                                <w:spacing w:val="29"/>
                              </w:rPr>
                              <w:t> </w:t>
                            </w:r>
                            <w:r>
                              <w:rPr>
                                <w:color w:val="231F1F"/>
                              </w:rPr>
                              <w:t>definición</w:t>
                            </w:r>
                            <w:r>
                              <w:rPr>
                                <w:color w:val="231F1F"/>
                                <w:spacing w:val="30"/>
                              </w:rPr>
                              <w:t> </w:t>
                            </w:r>
                            <w:r>
                              <w:rPr>
                                <w:color w:val="231F1F"/>
                              </w:rPr>
                              <w:t>de</w:t>
                            </w:r>
                            <w:r>
                              <w:rPr>
                                <w:color w:val="231F1F"/>
                                <w:spacing w:val="29"/>
                              </w:rPr>
                              <w:t> </w:t>
                            </w:r>
                            <w:r>
                              <w:rPr>
                                <w:color w:val="231F1F"/>
                              </w:rPr>
                              <w:t>fase</w:t>
                            </w:r>
                            <w:r>
                              <w:rPr>
                                <w:color w:val="231F1F"/>
                                <w:spacing w:val="28"/>
                              </w:rPr>
                              <w:t> </w:t>
                            </w:r>
                            <w:r>
                              <w:rPr>
                                <w:color w:val="231F1F"/>
                              </w:rPr>
                              <w:t>latente</w:t>
                            </w:r>
                            <w:r>
                              <w:rPr>
                                <w:color w:val="231F1F"/>
                                <w:spacing w:val="31"/>
                              </w:rPr>
                              <w:t> </w:t>
                            </w:r>
                            <w:r>
                              <w:rPr>
                                <w:color w:val="231F1F"/>
                              </w:rPr>
                              <w:t>de</w:t>
                            </w:r>
                            <w:r>
                              <w:rPr>
                                <w:color w:val="231F1F"/>
                                <w:spacing w:val="28"/>
                              </w:rPr>
                              <w:t> </w:t>
                            </w:r>
                            <w:r>
                              <w:rPr>
                                <w:color w:val="231F1F"/>
                              </w:rPr>
                              <w:t>la</w:t>
                            </w:r>
                            <w:r>
                              <w:rPr>
                                <w:color w:val="231F1F"/>
                                <w:spacing w:val="30"/>
                              </w:rPr>
                              <w:t> </w:t>
                            </w:r>
                            <w:r>
                              <w:rPr>
                                <w:color w:val="231F1F"/>
                              </w:rPr>
                              <w:t>segunda</w:t>
                            </w:r>
                            <w:r>
                              <w:rPr>
                                <w:color w:val="231F1F"/>
                                <w:spacing w:val="29"/>
                              </w:rPr>
                              <w:t> </w:t>
                            </w:r>
                            <w:r>
                              <w:rPr>
                                <w:color w:val="231F1F"/>
                              </w:rPr>
                              <w:t>etapa</w:t>
                            </w:r>
                            <w:r>
                              <w:rPr>
                                <w:color w:val="231F1F"/>
                                <w:spacing w:val="30"/>
                              </w:rPr>
                              <w:t> </w:t>
                            </w:r>
                            <w:r>
                              <w:rPr>
                                <w:color w:val="231F1F"/>
                              </w:rPr>
                              <w:t>del</w:t>
                            </w:r>
                            <w:r>
                              <w:rPr>
                                <w:color w:val="231F1F"/>
                                <w:spacing w:val="24"/>
                              </w:rPr>
                              <w:t> </w:t>
                            </w:r>
                            <w:r>
                              <w:rPr>
                                <w:color w:val="231F1F"/>
                                <w:spacing w:val="-2"/>
                              </w:rPr>
                              <w:t>parto?</w:t>
                            </w:r>
                          </w:p>
                          <w:p>
                            <w:pPr>
                              <w:pStyle w:val="BodyText"/>
                              <w:numPr>
                                <w:ilvl w:val="0"/>
                                <w:numId w:val="35"/>
                              </w:numPr>
                              <w:tabs>
                                <w:tab w:pos="322" w:val="left" w:leader="none"/>
                              </w:tabs>
                              <w:spacing w:line="240" w:lineRule="auto" w:before="160" w:after="0"/>
                              <w:ind w:left="322" w:right="0" w:hanging="218"/>
                              <w:jc w:val="left"/>
                            </w:pPr>
                            <w:r>
                              <w:rPr>
                                <w:color w:val="231F1F"/>
                              </w:rPr>
                              <w:t>¿Cuál</w:t>
                            </w:r>
                            <w:r>
                              <w:rPr>
                                <w:color w:val="231F1F"/>
                                <w:spacing w:val="21"/>
                              </w:rPr>
                              <w:t> </w:t>
                            </w:r>
                            <w:r>
                              <w:rPr>
                                <w:color w:val="231F1F"/>
                              </w:rPr>
                              <w:t>es</w:t>
                            </w:r>
                            <w:r>
                              <w:rPr>
                                <w:color w:val="231F1F"/>
                                <w:spacing w:val="25"/>
                              </w:rPr>
                              <w:t> </w:t>
                            </w:r>
                            <w:r>
                              <w:rPr>
                                <w:color w:val="231F1F"/>
                              </w:rPr>
                              <w:t>la</w:t>
                            </w:r>
                            <w:r>
                              <w:rPr>
                                <w:color w:val="231F1F"/>
                                <w:spacing w:val="24"/>
                              </w:rPr>
                              <w:t> </w:t>
                            </w:r>
                            <w:r>
                              <w:rPr>
                                <w:color w:val="231F1F"/>
                              </w:rPr>
                              <w:t>definición</w:t>
                            </w:r>
                            <w:r>
                              <w:rPr>
                                <w:color w:val="231F1F"/>
                                <w:spacing w:val="25"/>
                              </w:rPr>
                              <w:t> </w:t>
                            </w:r>
                            <w:r>
                              <w:rPr>
                                <w:color w:val="231F1F"/>
                              </w:rPr>
                              <w:t>de</w:t>
                            </w:r>
                            <w:r>
                              <w:rPr>
                                <w:color w:val="231F1F"/>
                                <w:spacing w:val="24"/>
                              </w:rPr>
                              <w:t> </w:t>
                            </w:r>
                            <w:r>
                              <w:rPr>
                                <w:color w:val="231F1F"/>
                              </w:rPr>
                              <w:t>fase</w:t>
                            </w:r>
                            <w:r>
                              <w:rPr>
                                <w:color w:val="231F1F"/>
                                <w:spacing w:val="26"/>
                              </w:rPr>
                              <w:t> </w:t>
                            </w:r>
                            <w:r>
                              <w:rPr>
                                <w:color w:val="231F1F"/>
                              </w:rPr>
                              <w:t>activa</w:t>
                            </w:r>
                            <w:r>
                              <w:rPr>
                                <w:color w:val="231F1F"/>
                                <w:spacing w:val="24"/>
                              </w:rPr>
                              <w:t> </w:t>
                            </w:r>
                            <w:r>
                              <w:rPr>
                                <w:color w:val="231F1F"/>
                              </w:rPr>
                              <w:t>de</w:t>
                            </w:r>
                            <w:r>
                              <w:rPr>
                                <w:color w:val="231F1F"/>
                                <w:spacing w:val="24"/>
                              </w:rPr>
                              <w:t> </w:t>
                            </w:r>
                            <w:r>
                              <w:rPr>
                                <w:color w:val="231F1F"/>
                              </w:rPr>
                              <w:t>la</w:t>
                            </w:r>
                            <w:r>
                              <w:rPr>
                                <w:color w:val="231F1F"/>
                                <w:spacing w:val="25"/>
                              </w:rPr>
                              <w:t> </w:t>
                            </w:r>
                            <w:r>
                              <w:rPr>
                                <w:color w:val="231F1F"/>
                              </w:rPr>
                              <w:t>segunda</w:t>
                            </w:r>
                            <w:r>
                              <w:rPr>
                                <w:color w:val="231F1F"/>
                                <w:spacing w:val="25"/>
                              </w:rPr>
                              <w:t> </w:t>
                            </w:r>
                            <w:r>
                              <w:rPr>
                                <w:color w:val="231F1F"/>
                              </w:rPr>
                              <w:t>etapa</w:t>
                            </w:r>
                            <w:r>
                              <w:rPr>
                                <w:color w:val="231F1F"/>
                                <w:spacing w:val="25"/>
                              </w:rPr>
                              <w:t> </w:t>
                            </w:r>
                            <w:r>
                              <w:rPr>
                                <w:color w:val="231F1F"/>
                              </w:rPr>
                              <w:t>del</w:t>
                            </w:r>
                            <w:r>
                              <w:rPr>
                                <w:color w:val="231F1F"/>
                                <w:spacing w:val="24"/>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4.254199pt;width:425.2pt;height:41.65pt;mso-position-horizontal-relative:page;mso-position-vertical-relative:paragraph;z-index:-15710208;mso-wrap-distance-left:0;mso-wrap-distance-right:0" type="#_x0000_t202" id="docshape71" filled="false" stroked="true" strokeweight=".5pt" strokecolor="#a30046">
                <v:textbox inset="0,0,0,0">
                  <w:txbxContent>
                    <w:p>
                      <w:pPr>
                        <w:pStyle w:val="BodyText"/>
                        <w:numPr>
                          <w:ilvl w:val="0"/>
                          <w:numId w:val="35"/>
                        </w:numPr>
                        <w:tabs>
                          <w:tab w:pos="322" w:val="left" w:leader="none"/>
                        </w:tabs>
                        <w:spacing w:line="240" w:lineRule="auto" w:before="41" w:after="0"/>
                        <w:ind w:left="322" w:right="0" w:hanging="218"/>
                        <w:jc w:val="left"/>
                      </w:pPr>
                      <w:r>
                        <w:rPr>
                          <w:color w:val="231F1F"/>
                        </w:rPr>
                        <w:t>¿Cuál</w:t>
                      </w:r>
                      <w:r>
                        <w:rPr>
                          <w:color w:val="231F1F"/>
                          <w:spacing w:val="27"/>
                        </w:rPr>
                        <w:t> </w:t>
                      </w:r>
                      <w:r>
                        <w:rPr>
                          <w:color w:val="231F1F"/>
                        </w:rPr>
                        <w:t>es</w:t>
                      </w:r>
                      <w:r>
                        <w:rPr>
                          <w:color w:val="231F1F"/>
                          <w:spacing w:val="28"/>
                        </w:rPr>
                        <w:t> </w:t>
                      </w:r>
                      <w:r>
                        <w:rPr>
                          <w:color w:val="231F1F"/>
                        </w:rPr>
                        <w:t>la</w:t>
                      </w:r>
                      <w:r>
                        <w:rPr>
                          <w:color w:val="231F1F"/>
                          <w:spacing w:val="29"/>
                        </w:rPr>
                        <w:t> </w:t>
                      </w:r>
                      <w:r>
                        <w:rPr>
                          <w:color w:val="231F1F"/>
                        </w:rPr>
                        <w:t>definición</w:t>
                      </w:r>
                      <w:r>
                        <w:rPr>
                          <w:color w:val="231F1F"/>
                          <w:spacing w:val="30"/>
                        </w:rPr>
                        <w:t> </w:t>
                      </w:r>
                      <w:r>
                        <w:rPr>
                          <w:color w:val="231F1F"/>
                        </w:rPr>
                        <w:t>de</w:t>
                      </w:r>
                      <w:r>
                        <w:rPr>
                          <w:color w:val="231F1F"/>
                          <w:spacing w:val="29"/>
                        </w:rPr>
                        <w:t> </w:t>
                      </w:r>
                      <w:r>
                        <w:rPr>
                          <w:color w:val="231F1F"/>
                        </w:rPr>
                        <w:t>fase</w:t>
                      </w:r>
                      <w:r>
                        <w:rPr>
                          <w:color w:val="231F1F"/>
                          <w:spacing w:val="28"/>
                        </w:rPr>
                        <w:t> </w:t>
                      </w:r>
                      <w:r>
                        <w:rPr>
                          <w:color w:val="231F1F"/>
                        </w:rPr>
                        <w:t>latente</w:t>
                      </w:r>
                      <w:r>
                        <w:rPr>
                          <w:color w:val="231F1F"/>
                          <w:spacing w:val="31"/>
                        </w:rPr>
                        <w:t> </w:t>
                      </w:r>
                      <w:r>
                        <w:rPr>
                          <w:color w:val="231F1F"/>
                        </w:rPr>
                        <w:t>de</w:t>
                      </w:r>
                      <w:r>
                        <w:rPr>
                          <w:color w:val="231F1F"/>
                          <w:spacing w:val="28"/>
                        </w:rPr>
                        <w:t> </w:t>
                      </w:r>
                      <w:r>
                        <w:rPr>
                          <w:color w:val="231F1F"/>
                        </w:rPr>
                        <w:t>la</w:t>
                      </w:r>
                      <w:r>
                        <w:rPr>
                          <w:color w:val="231F1F"/>
                          <w:spacing w:val="30"/>
                        </w:rPr>
                        <w:t> </w:t>
                      </w:r>
                      <w:r>
                        <w:rPr>
                          <w:color w:val="231F1F"/>
                        </w:rPr>
                        <w:t>segunda</w:t>
                      </w:r>
                      <w:r>
                        <w:rPr>
                          <w:color w:val="231F1F"/>
                          <w:spacing w:val="29"/>
                        </w:rPr>
                        <w:t> </w:t>
                      </w:r>
                      <w:r>
                        <w:rPr>
                          <w:color w:val="231F1F"/>
                        </w:rPr>
                        <w:t>etapa</w:t>
                      </w:r>
                      <w:r>
                        <w:rPr>
                          <w:color w:val="231F1F"/>
                          <w:spacing w:val="30"/>
                        </w:rPr>
                        <w:t> </w:t>
                      </w:r>
                      <w:r>
                        <w:rPr>
                          <w:color w:val="231F1F"/>
                        </w:rPr>
                        <w:t>del</w:t>
                      </w:r>
                      <w:r>
                        <w:rPr>
                          <w:color w:val="231F1F"/>
                          <w:spacing w:val="24"/>
                        </w:rPr>
                        <w:t> </w:t>
                      </w:r>
                      <w:r>
                        <w:rPr>
                          <w:color w:val="231F1F"/>
                          <w:spacing w:val="-2"/>
                        </w:rPr>
                        <w:t>parto?</w:t>
                      </w:r>
                    </w:p>
                    <w:p>
                      <w:pPr>
                        <w:pStyle w:val="BodyText"/>
                        <w:numPr>
                          <w:ilvl w:val="0"/>
                          <w:numId w:val="35"/>
                        </w:numPr>
                        <w:tabs>
                          <w:tab w:pos="322" w:val="left" w:leader="none"/>
                        </w:tabs>
                        <w:spacing w:line="240" w:lineRule="auto" w:before="160" w:after="0"/>
                        <w:ind w:left="322" w:right="0" w:hanging="218"/>
                        <w:jc w:val="left"/>
                      </w:pPr>
                      <w:r>
                        <w:rPr>
                          <w:color w:val="231F1F"/>
                        </w:rPr>
                        <w:t>¿Cuál</w:t>
                      </w:r>
                      <w:r>
                        <w:rPr>
                          <w:color w:val="231F1F"/>
                          <w:spacing w:val="21"/>
                        </w:rPr>
                        <w:t> </w:t>
                      </w:r>
                      <w:r>
                        <w:rPr>
                          <w:color w:val="231F1F"/>
                        </w:rPr>
                        <w:t>es</w:t>
                      </w:r>
                      <w:r>
                        <w:rPr>
                          <w:color w:val="231F1F"/>
                          <w:spacing w:val="25"/>
                        </w:rPr>
                        <w:t> </w:t>
                      </w:r>
                      <w:r>
                        <w:rPr>
                          <w:color w:val="231F1F"/>
                        </w:rPr>
                        <w:t>la</w:t>
                      </w:r>
                      <w:r>
                        <w:rPr>
                          <w:color w:val="231F1F"/>
                          <w:spacing w:val="24"/>
                        </w:rPr>
                        <w:t> </w:t>
                      </w:r>
                      <w:r>
                        <w:rPr>
                          <w:color w:val="231F1F"/>
                        </w:rPr>
                        <w:t>definición</w:t>
                      </w:r>
                      <w:r>
                        <w:rPr>
                          <w:color w:val="231F1F"/>
                          <w:spacing w:val="25"/>
                        </w:rPr>
                        <w:t> </w:t>
                      </w:r>
                      <w:r>
                        <w:rPr>
                          <w:color w:val="231F1F"/>
                        </w:rPr>
                        <w:t>de</w:t>
                      </w:r>
                      <w:r>
                        <w:rPr>
                          <w:color w:val="231F1F"/>
                          <w:spacing w:val="24"/>
                        </w:rPr>
                        <w:t> </w:t>
                      </w:r>
                      <w:r>
                        <w:rPr>
                          <w:color w:val="231F1F"/>
                        </w:rPr>
                        <w:t>fase</w:t>
                      </w:r>
                      <w:r>
                        <w:rPr>
                          <w:color w:val="231F1F"/>
                          <w:spacing w:val="26"/>
                        </w:rPr>
                        <w:t> </w:t>
                      </w:r>
                      <w:r>
                        <w:rPr>
                          <w:color w:val="231F1F"/>
                        </w:rPr>
                        <w:t>activa</w:t>
                      </w:r>
                      <w:r>
                        <w:rPr>
                          <w:color w:val="231F1F"/>
                          <w:spacing w:val="24"/>
                        </w:rPr>
                        <w:t> </w:t>
                      </w:r>
                      <w:r>
                        <w:rPr>
                          <w:color w:val="231F1F"/>
                        </w:rPr>
                        <w:t>de</w:t>
                      </w:r>
                      <w:r>
                        <w:rPr>
                          <w:color w:val="231F1F"/>
                          <w:spacing w:val="24"/>
                        </w:rPr>
                        <w:t> </w:t>
                      </w:r>
                      <w:r>
                        <w:rPr>
                          <w:color w:val="231F1F"/>
                        </w:rPr>
                        <w:t>la</w:t>
                      </w:r>
                      <w:r>
                        <w:rPr>
                          <w:color w:val="231F1F"/>
                          <w:spacing w:val="25"/>
                        </w:rPr>
                        <w:t> </w:t>
                      </w:r>
                      <w:r>
                        <w:rPr>
                          <w:color w:val="231F1F"/>
                        </w:rPr>
                        <w:t>segunda</w:t>
                      </w:r>
                      <w:r>
                        <w:rPr>
                          <w:color w:val="231F1F"/>
                          <w:spacing w:val="25"/>
                        </w:rPr>
                        <w:t> </w:t>
                      </w:r>
                      <w:r>
                        <w:rPr>
                          <w:color w:val="231F1F"/>
                        </w:rPr>
                        <w:t>etapa</w:t>
                      </w:r>
                      <w:r>
                        <w:rPr>
                          <w:color w:val="231F1F"/>
                          <w:spacing w:val="25"/>
                        </w:rPr>
                        <w:t> </w:t>
                      </w:r>
                      <w:r>
                        <w:rPr>
                          <w:color w:val="231F1F"/>
                        </w:rPr>
                        <w:t>del</w:t>
                      </w:r>
                      <w:r>
                        <w:rPr>
                          <w:color w:val="231F1F"/>
                          <w:spacing w:val="24"/>
                        </w:rPr>
                        <w:t> </w:t>
                      </w:r>
                      <w:r>
                        <w:rPr>
                          <w:color w:val="231F1F"/>
                          <w:spacing w:val="-2"/>
                        </w:rPr>
                        <w:t>parto?</w:t>
                      </w:r>
                    </w:p>
                  </w:txbxContent>
                </v:textbox>
                <v:stroke dashstyle="solid"/>
                <w10:wrap type="topAndBottom"/>
              </v:shape>
            </w:pict>
          </mc:Fallback>
        </mc:AlternateContent>
      </w:r>
    </w:p>
    <w:p>
      <w:pPr>
        <w:pStyle w:val="BodyText"/>
        <w:spacing w:line="244" w:lineRule="auto" w:before="322"/>
        <w:ind w:left="283" w:right="123"/>
        <w:jc w:val="both"/>
      </w:pPr>
      <w:r>
        <w:rPr>
          <w:color w:val="231F1F"/>
          <w:w w:val="110"/>
        </w:rPr>
        <w:t>Las</w:t>
      </w:r>
      <w:r>
        <w:rPr>
          <w:color w:val="231F1F"/>
          <w:spacing w:val="-5"/>
          <w:w w:val="110"/>
        </w:rPr>
        <w:t> </w:t>
      </w:r>
      <w:r>
        <w:rPr>
          <w:color w:val="231F1F"/>
          <w:w w:val="110"/>
        </w:rPr>
        <w:t>definiciones</w:t>
      </w:r>
      <w:r>
        <w:rPr>
          <w:color w:val="231F1F"/>
          <w:spacing w:val="-5"/>
          <w:w w:val="110"/>
        </w:rPr>
        <w:t> </w:t>
      </w:r>
      <w:r>
        <w:rPr>
          <w:color w:val="231F1F"/>
          <w:w w:val="110"/>
        </w:rPr>
        <w:t>de</w:t>
      </w:r>
      <w:r>
        <w:rPr>
          <w:color w:val="231F1F"/>
          <w:spacing w:val="-5"/>
          <w:w w:val="110"/>
        </w:rPr>
        <w:t> </w:t>
      </w:r>
      <w:r>
        <w:rPr>
          <w:color w:val="231F1F"/>
          <w:w w:val="110"/>
        </w:rPr>
        <w:t>las</w:t>
      </w:r>
      <w:r>
        <w:rPr>
          <w:color w:val="231F1F"/>
          <w:spacing w:val="-5"/>
          <w:w w:val="110"/>
        </w:rPr>
        <w:t> </w:t>
      </w:r>
      <w:r>
        <w:rPr>
          <w:color w:val="231F1F"/>
          <w:w w:val="110"/>
        </w:rPr>
        <w:t>etapas</w:t>
      </w:r>
      <w:r>
        <w:rPr>
          <w:color w:val="231F1F"/>
          <w:spacing w:val="-5"/>
          <w:w w:val="110"/>
        </w:rPr>
        <w:t> </w:t>
      </w:r>
      <w:r>
        <w:rPr>
          <w:color w:val="231F1F"/>
          <w:w w:val="110"/>
        </w:rPr>
        <w:t>del</w:t>
      </w:r>
      <w:r>
        <w:rPr>
          <w:color w:val="231F1F"/>
          <w:spacing w:val="-5"/>
          <w:w w:val="110"/>
        </w:rPr>
        <w:t> </w:t>
      </w:r>
      <w:r>
        <w:rPr>
          <w:color w:val="231F1F"/>
          <w:w w:val="110"/>
        </w:rPr>
        <w:t>parto</w:t>
      </w:r>
      <w:r>
        <w:rPr>
          <w:color w:val="231F1F"/>
          <w:spacing w:val="-5"/>
          <w:w w:val="110"/>
        </w:rPr>
        <w:t> </w:t>
      </w:r>
      <w:r>
        <w:rPr>
          <w:color w:val="231F1F"/>
          <w:w w:val="110"/>
        </w:rPr>
        <w:t>deben</w:t>
      </w:r>
      <w:r>
        <w:rPr>
          <w:color w:val="231F1F"/>
          <w:spacing w:val="-5"/>
          <w:w w:val="110"/>
        </w:rPr>
        <w:t> </w:t>
      </w:r>
      <w:r>
        <w:rPr>
          <w:color w:val="231F1F"/>
          <w:w w:val="110"/>
        </w:rPr>
        <w:t>ser</w:t>
      </w:r>
      <w:r>
        <w:rPr>
          <w:color w:val="231F1F"/>
          <w:spacing w:val="-5"/>
          <w:w w:val="110"/>
        </w:rPr>
        <w:t> </w:t>
      </w:r>
      <w:r>
        <w:rPr>
          <w:color w:val="231F1F"/>
          <w:w w:val="110"/>
        </w:rPr>
        <w:t>claras,</w:t>
      </w:r>
      <w:r>
        <w:rPr>
          <w:color w:val="231F1F"/>
          <w:spacing w:val="-5"/>
          <w:w w:val="110"/>
        </w:rPr>
        <w:t> </w:t>
      </w:r>
      <w:r>
        <w:rPr>
          <w:color w:val="231F1F"/>
          <w:w w:val="110"/>
        </w:rPr>
        <w:t>a</w:t>
      </w:r>
      <w:r>
        <w:rPr>
          <w:color w:val="231F1F"/>
          <w:spacing w:val="-5"/>
          <w:w w:val="110"/>
        </w:rPr>
        <w:t> </w:t>
      </w:r>
      <w:r>
        <w:rPr>
          <w:color w:val="231F1F"/>
          <w:w w:val="110"/>
        </w:rPr>
        <w:t>fin</w:t>
      </w:r>
      <w:r>
        <w:rPr>
          <w:color w:val="231F1F"/>
          <w:spacing w:val="-4"/>
          <w:w w:val="110"/>
        </w:rPr>
        <w:t> </w:t>
      </w:r>
      <w:r>
        <w:rPr>
          <w:color w:val="231F1F"/>
          <w:w w:val="110"/>
        </w:rPr>
        <w:t>de</w:t>
      </w:r>
      <w:r>
        <w:rPr>
          <w:color w:val="231F1F"/>
          <w:spacing w:val="-5"/>
          <w:w w:val="110"/>
        </w:rPr>
        <w:t> </w:t>
      </w:r>
      <w:r>
        <w:rPr>
          <w:color w:val="231F1F"/>
          <w:w w:val="110"/>
        </w:rPr>
        <w:t>garantizar</w:t>
      </w:r>
      <w:r>
        <w:rPr>
          <w:color w:val="231F1F"/>
          <w:spacing w:val="-5"/>
          <w:w w:val="110"/>
        </w:rPr>
        <w:t> </w:t>
      </w:r>
      <w:r>
        <w:rPr>
          <w:color w:val="231F1F"/>
          <w:w w:val="110"/>
        </w:rPr>
        <w:t>que</w:t>
      </w:r>
      <w:r>
        <w:rPr>
          <w:color w:val="231F1F"/>
          <w:spacing w:val="-5"/>
          <w:w w:val="110"/>
        </w:rPr>
        <w:t> </w:t>
      </w:r>
      <w:r>
        <w:rPr>
          <w:color w:val="231F1F"/>
          <w:w w:val="110"/>
        </w:rPr>
        <w:t>tanto</w:t>
      </w:r>
      <w:r>
        <w:rPr>
          <w:color w:val="231F1F"/>
          <w:spacing w:val="-4"/>
          <w:w w:val="110"/>
        </w:rPr>
        <w:t> </w:t>
      </w:r>
      <w:r>
        <w:rPr>
          <w:color w:val="231F1F"/>
          <w:w w:val="110"/>
        </w:rPr>
        <w:t>las </w:t>
      </w:r>
      <w:r>
        <w:rPr>
          <w:color w:val="231F1F"/>
          <w:spacing w:val="-2"/>
          <w:w w:val="110"/>
        </w:rPr>
        <w:t>mujeres</w:t>
      </w:r>
      <w:r>
        <w:rPr>
          <w:color w:val="231F1F"/>
          <w:spacing w:val="-5"/>
          <w:w w:val="110"/>
        </w:rPr>
        <w:t> </w:t>
      </w:r>
      <w:r>
        <w:rPr>
          <w:color w:val="231F1F"/>
          <w:spacing w:val="-2"/>
          <w:w w:val="110"/>
        </w:rPr>
        <w:t>como</w:t>
      </w:r>
      <w:r>
        <w:rPr>
          <w:color w:val="231F1F"/>
          <w:spacing w:val="-5"/>
          <w:w w:val="110"/>
        </w:rPr>
        <w:t> </w:t>
      </w:r>
      <w:r>
        <w:rPr>
          <w:color w:val="231F1F"/>
          <w:spacing w:val="-2"/>
          <w:w w:val="110"/>
        </w:rPr>
        <w:t>los</w:t>
      </w:r>
      <w:r>
        <w:rPr>
          <w:color w:val="231F1F"/>
          <w:spacing w:val="-6"/>
          <w:w w:val="110"/>
        </w:rPr>
        <w:t> </w:t>
      </w:r>
      <w:r>
        <w:rPr>
          <w:color w:val="231F1F"/>
          <w:spacing w:val="-2"/>
          <w:w w:val="110"/>
        </w:rPr>
        <w:t>profesionales</w:t>
      </w:r>
      <w:r>
        <w:rPr>
          <w:color w:val="231F1F"/>
          <w:spacing w:val="-6"/>
          <w:w w:val="110"/>
        </w:rPr>
        <w:t> </w:t>
      </w:r>
      <w:r>
        <w:rPr>
          <w:color w:val="231F1F"/>
          <w:spacing w:val="-2"/>
          <w:w w:val="110"/>
        </w:rPr>
        <w:t>comparten</w:t>
      </w:r>
      <w:r>
        <w:rPr>
          <w:color w:val="231F1F"/>
          <w:spacing w:val="-5"/>
          <w:w w:val="110"/>
        </w:rPr>
        <w:t> </w:t>
      </w:r>
      <w:r>
        <w:rPr>
          <w:color w:val="231F1F"/>
          <w:spacing w:val="-2"/>
          <w:w w:val="110"/>
        </w:rPr>
        <w:t>los</w:t>
      </w:r>
      <w:r>
        <w:rPr>
          <w:color w:val="231F1F"/>
          <w:spacing w:val="-6"/>
          <w:w w:val="110"/>
        </w:rPr>
        <w:t> </w:t>
      </w:r>
      <w:r>
        <w:rPr>
          <w:color w:val="231F1F"/>
          <w:spacing w:val="-2"/>
          <w:w w:val="110"/>
        </w:rPr>
        <w:t>mismos</w:t>
      </w:r>
      <w:r>
        <w:rPr>
          <w:color w:val="231F1F"/>
          <w:spacing w:val="-6"/>
          <w:w w:val="110"/>
        </w:rPr>
        <w:t> </w:t>
      </w:r>
      <w:r>
        <w:rPr>
          <w:color w:val="231F1F"/>
          <w:spacing w:val="-2"/>
          <w:w w:val="110"/>
        </w:rPr>
        <w:t>conceptos,</w:t>
      </w:r>
      <w:r>
        <w:rPr>
          <w:color w:val="231F1F"/>
          <w:spacing w:val="-5"/>
          <w:w w:val="110"/>
        </w:rPr>
        <w:t> </w:t>
      </w:r>
      <w:r>
        <w:rPr>
          <w:color w:val="231F1F"/>
          <w:spacing w:val="-2"/>
          <w:w w:val="110"/>
        </w:rPr>
        <w:t>lo</w:t>
      </w:r>
      <w:r>
        <w:rPr>
          <w:color w:val="231F1F"/>
          <w:spacing w:val="-5"/>
          <w:w w:val="110"/>
        </w:rPr>
        <w:t> </w:t>
      </w:r>
      <w:r>
        <w:rPr>
          <w:color w:val="231F1F"/>
          <w:spacing w:val="-2"/>
          <w:w w:val="110"/>
        </w:rPr>
        <w:t>que</w:t>
      </w:r>
      <w:r>
        <w:rPr>
          <w:color w:val="231F1F"/>
          <w:spacing w:val="-5"/>
          <w:w w:val="110"/>
        </w:rPr>
        <w:t> </w:t>
      </w:r>
      <w:r>
        <w:rPr>
          <w:color w:val="231F1F"/>
          <w:spacing w:val="-2"/>
          <w:w w:val="110"/>
        </w:rPr>
        <w:t>les</w:t>
      </w:r>
      <w:r>
        <w:rPr>
          <w:color w:val="231F1F"/>
          <w:spacing w:val="-5"/>
          <w:w w:val="110"/>
        </w:rPr>
        <w:t> </w:t>
      </w:r>
      <w:r>
        <w:rPr>
          <w:color w:val="231F1F"/>
          <w:spacing w:val="-2"/>
          <w:w w:val="110"/>
        </w:rPr>
        <w:t>permitirá</w:t>
      </w:r>
      <w:r>
        <w:rPr>
          <w:color w:val="231F1F"/>
          <w:spacing w:val="-5"/>
          <w:w w:val="110"/>
        </w:rPr>
        <w:t> </w:t>
      </w:r>
      <w:r>
        <w:rPr>
          <w:color w:val="231F1F"/>
          <w:spacing w:val="-2"/>
          <w:w w:val="110"/>
        </w:rPr>
        <w:t>co- </w:t>
      </w:r>
      <w:r>
        <w:rPr>
          <w:color w:val="231F1F"/>
          <w:w w:val="110"/>
        </w:rPr>
        <w:t>municarse de una manera efectiva.</w:t>
      </w:r>
    </w:p>
    <w:p>
      <w:pPr>
        <w:pStyle w:val="BodyText"/>
        <w:spacing w:before="167"/>
      </w:pPr>
    </w:p>
    <w:p>
      <w:pPr>
        <w:spacing w:before="0"/>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5"/>
        <w:ind w:left="283" w:right="1370"/>
        <w:jc w:val="both"/>
      </w:pPr>
      <w:r>
        <w:rPr>
          <w:color w:val="231F1F"/>
          <w:w w:val="110"/>
        </w:rPr>
        <w:t>La</w:t>
      </w:r>
      <w:r>
        <w:rPr>
          <w:color w:val="231F1F"/>
          <w:spacing w:val="-3"/>
          <w:w w:val="110"/>
        </w:rPr>
        <w:t> </w:t>
      </w:r>
      <w:r>
        <w:rPr>
          <w:color w:val="231F1F"/>
          <w:w w:val="110"/>
        </w:rPr>
        <w:t>guía</w:t>
      </w:r>
      <w:r>
        <w:rPr>
          <w:color w:val="231F1F"/>
          <w:spacing w:val="-3"/>
          <w:w w:val="110"/>
        </w:rPr>
        <w:t> </w:t>
      </w:r>
      <w:r>
        <w:rPr>
          <w:color w:val="231F1F"/>
          <w:w w:val="110"/>
        </w:rPr>
        <w:t>NICE</w:t>
      </w:r>
      <w:r>
        <w:rPr>
          <w:color w:val="231F1F"/>
          <w:spacing w:val="-2"/>
          <w:w w:val="110"/>
        </w:rPr>
        <w:t> </w:t>
      </w:r>
      <w:r>
        <w:rPr>
          <w:color w:val="231F1F"/>
          <w:w w:val="110"/>
        </w:rPr>
        <w:t>(10)</w:t>
      </w:r>
      <w:r>
        <w:rPr>
          <w:color w:val="231F1F"/>
          <w:spacing w:val="-3"/>
          <w:w w:val="110"/>
        </w:rPr>
        <w:t> </w:t>
      </w:r>
      <w:r>
        <w:rPr>
          <w:color w:val="231F1F"/>
          <w:w w:val="110"/>
        </w:rPr>
        <w:t>aborda</w:t>
      </w:r>
      <w:r>
        <w:rPr>
          <w:color w:val="231F1F"/>
          <w:spacing w:val="-2"/>
          <w:w w:val="110"/>
        </w:rPr>
        <w:t> </w:t>
      </w:r>
      <w:r>
        <w:rPr>
          <w:color w:val="231F1F"/>
          <w:w w:val="110"/>
        </w:rPr>
        <w:t>estas</w:t>
      </w:r>
      <w:r>
        <w:rPr>
          <w:color w:val="231F1F"/>
          <w:spacing w:val="-3"/>
          <w:w w:val="110"/>
        </w:rPr>
        <w:t> </w:t>
      </w:r>
      <w:r>
        <w:rPr>
          <w:color w:val="231F1F"/>
          <w:w w:val="110"/>
        </w:rPr>
        <w:t>preguntas</w:t>
      </w:r>
      <w:r>
        <w:rPr>
          <w:color w:val="231F1F"/>
          <w:spacing w:val="-3"/>
          <w:w w:val="110"/>
        </w:rPr>
        <w:t> </w:t>
      </w:r>
      <w:r>
        <w:rPr>
          <w:color w:val="231F1F"/>
          <w:w w:val="110"/>
        </w:rPr>
        <w:t>por</w:t>
      </w:r>
      <w:r>
        <w:rPr>
          <w:color w:val="231F1F"/>
          <w:spacing w:val="-3"/>
          <w:w w:val="110"/>
        </w:rPr>
        <w:t> </w:t>
      </w:r>
      <w:r>
        <w:rPr>
          <w:color w:val="231F1F"/>
          <w:w w:val="110"/>
        </w:rPr>
        <w:t>primera</w:t>
      </w:r>
      <w:r>
        <w:rPr>
          <w:color w:val="231F1F"/>
          <w:spacing w:val="-3"/>
          <w:w w:val="110"/>
        </w:rPr>
        <w:t> </w:t>
      </w:r>
      <w:r>
        <w:rPr>
          <w:color w:val="231F1F"/>
          <w:w w:val="110"/>
        </w:rPr>
        <w:t>vez,</w:t>
      </w:r>
      <w:r>
        <w:rPr>
          <w:color w:val="231F1F"/>
          <w:spacing w:val="-3"/>
          <w:w w:val="110"/>
        </w:rPr>
        <w:t> </w:t>
      </w:r>
      <w:r>
        <w:rPr>
          <w:color w:val="231F1F"/>
          <w:w w:val="110"/>
        </w:rPr>
        <w:t>ya</w:t>
      </w:r>
      <w:r>
        <w:rPr>
          <w:color w:val="231F1F"/>
          <w:spacing w:val="-3"/>
          <w:w w:val="110"/>
        </w:rPr>
        <w:t> </w:t>
      </w:r>
      <w:r>
        <w:rPr>
          <w:color w:val="231F1F"/>
          <w:w w:val="110"/>
        </w:rPr>
        <w:t>que</w:t>
      </w:r>
      <w:r>
        <w:rPr>
          <w:color w:val="231F1F"/>
          <w:spacing w:val="-3"/>
          <w:w w:val="110"/>
        </w:rPr>
        <w:t> </w:t>
      </w:r>
      <w:r>
        <w:rPr>
          <w:color w:val="231F1F"/>
          <w:w w:val="110"/>
        </w:rPr>
        <w:t>ninguna guía previa ha considerado las definiciones de las etapas del parto.</w:t>
      </w:r>
    </w:p>
    <w:p>
      <w:pPr>
        <w:pStyle w:val="BodyText"/>
        <w:spacing w:line="244" w:lineRule="auto" w:before="142"/>
        <w:ind w:left="283" w:right="1366" w:firstLine="453"/>
        <w:jc w:val="both"/>
      </w:pPr>
      <w:r>
        <w:rPr>
          <w:color w:val="231F1F"/>
          <w:w w:val="110"/>
        </w:rPr>
        <w:t>A</w:t>
      </w:r>
      <w:r>
        <w:rPr>
          <w:color w:val="231F1F"/>
          <w:spacing w:val="-7"/>
          <w:w w:val="110"/>
        </w:rPr>
        <w:t> </w:t>
      </w:r>
      <w:r>
        <w:rPr>
          <w:color w:val="231F1F"/>
          <w:w w:val="110"/>
        </w:rPr>
        <w:t>pesar</w:t>
      </w:r>
      <w:r>
        <w:rPr>
          <w:color w:val="231F1F"/>
          <w:spacing w:val="-8"/>
          <w:w w:val="110"/>
        </w:rPr>
        <w:t> </w:t>
      </w:r>
      <w:r>
        <w:rPr>
          <w:color w:val="231F1F"/>
          <w:w w:val="110"/>
        </w:rPr>
        <w:t>de</w:t>
      </w:r>
      <w:r>
        <w:rPr>
          <w:color w:val="231F1F"/>
          <w:spacing w:val="-7"/>
          <w:w w:val="110"/>
        </w:rPr>
        <w:t> </w:t>
      </w:r>
      <w:r>
        <w:rPr>
          <w:color w:val="231F1F"/>
          <w:w w:val="110"/>
        </w:rPr>
        <w:t>que</w:t>
      </w:r>
      <w:r>
        <w:rPr>
          <w:color w:val="231F1F"/>
          <w:spacing w:val="-8"/>
          <w:w w:val="110"/>
        </w:rPr>
        <w:t> </w:t>
      </w:r>
      <w:r>
        <w:rPr>
          <w:color w:val="231F1F"/>
          <w:w w:val="110"/>
        </w:rPr>
        <w:t>no</w:t>
      </w:r>
      <w:r>
        <w:rPr>
          <w:color w:val="231F1F"/>
          <w:spacing w:val="-7"/>
          <w:w w:val="110"/>
        </w:rPr>
        <w:t> </w:t>
      </w:r>
      <w:r>
        <w:rPr>
          <w:color w:val="231F1F"/>
          <w:w w:val="110"/>
        </w:rPr>
        <w:t>se</w:t>
      </w:r>
      <w:r>
        <w:rPr>
          <w:color w:val="231F1F"/>
          <w:spacing w:val="-8"/>
          <w:w w:val="110"/>
        </w:rPr>
        <w:t> </w:t>
      </w:r>
      <w:r>
        <w:rPr>
          <w:color w:val="231F1F"/>
          <w:w w:val="110"/>
        </w:rPr>
        <w:t>identificaron</w:t>
      </w:r>
      <w:r>
        <w:rPr>
          <w:color w:val="231F1F"/>
          <w:spacing w:val="-7"/>
          <w:w w:val="110"/>
        </w:rPr>
        <w:t> </w:t>
      </w:r>
      <w:r>
        <w:rPr>
          <w:color w:val="231F1F"/>
          <w:w w:val="110"/>
        </w:rPr>
        <w:t>estudios</w:t>
      </w:r>
      <w:r>
        <w:rPr>
          <w:color w:val="231F1F"/>
          <w:spacing w:val="-7"/>
          <w:w w:val="110"/>
        </w:rPr>
        <w:t> </w:t>
      </w:r>
      <w:r>
        <w:rPr>
          <w:color w:val="231F1F"/>
          <w:w w:val="110"/>
        </w:rPr>
        <w:t>relevantes</w:t>
      </w:r>
      <w:r>
        <w:rPr>
          <w:color w:val="231F1F"/>
          <w:spacing w:val="-7"/>
          <w:w w:val="110"/>
        </w:rPr>
        <w:t> </w:t>
      </w:r>
      <w:r>
        <w:rPr>
          <w:color w:val="231F1F"/>
          <w:w w:val="110"/>
        </w:rPr>
        <w:t>que</w:t>
      </w:r>
      <w:r>
        <w:rPr>
          <w:color w:val="231F1F"/>
          <w:spacing w:val="-8"/>
          <w:w w:val="110"/>
        </w:rPr>
        <w:t> </w:t>
      </w:r>
      <w:r>
        <w:rPr>
          <w:color w:val="231F1F"/>
          <w:w w:val="110"/>
        </w:rPr>
        <w:t>investigaran los resultados de diferentes definiciones de parto, en la guía NICE (10) se examinaron varias definiciones usadas en la práctica y en la investigación, utilizándose</w:t>
      </w:r>
      <w:r>
        <w:rPr>
          <w:color w:val="231F1F"/>
          <w:spacing w:val="-16"/>
          <w:w w:val="110"/>
        </w:rPr>
        <w:t> </w:t>
      </w:r>
      <w:r>
        <w:rPr>
          <w:color w:val="231F1F"/>
          <w:w w:val="110"/>
        </w:rPr>
        <w:t>las</w:t>
      </w:r>
      <w:r>
        <w:rPr>
          <w:color w:val="231F1F"/>
          <w:spacing w:val="-15"/>
          <w:w w:val="110"/>
        </w:rPr>
        <w:t> </w:t>
      </w:r>
      <w:r>
        <w:rPr>
          <w:color w:val="231F1F"/>
          <w:w w:val="110"/>
        </w:rPr>
        <w:t>definiciones</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etapas</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usadas</w:t>
      </w:r>
      <w:r>
        <w:rPr>
          <w:color w:val="231F1F"/>
          <w:spacing w:val="-16"/>
          <w:w w:val="110"/>
        </w:rPr>
        <w:t> </w:t>
      </w:r>
      <w:r>
        <w:rPr>
          <w:color w:val="231F1F"/>
          <w:w w:val="110"/>
        </w:rPr>
        <w:t>en</w:t>
      </w:r>
      <w:r>
        <w:rPr>
          <w:color w:val="231F1F"/>
          <w:spacing w:val="-15"/>
          <w:w w:val="110"/>
        </w:rPr>
        <w:t> </w:t>
      </w:r>
      <w:r>
        <w:rPr>
          <w:color w:val="231F1F"/>
          <w:w w:val="110"/>
        </w:rPr>
        <w:t>6</w:t>
      </w:r>
      <w:r>
        <w:rPr>
          <w:color w:val="231F1F"/>
          <w:spacing w:val="-15"/>
          <w:w w:val="110"/>
        </w:rPr>
        <w:t> </w:t>
      </w:r>
      <w:r>
        <w:rPr>
          <w:color w:val="231F1F"/>
          <w:w w:val="110"/>
        </w:rPr>
        <w:t>estudios</w:t>
      </w:r>
      <w:r>
        <w:rPr>
          <w:color w:val="231F1F"/>
          <w:spacing w:val="-15"/>
          <w:w w:val="110"/>
        </w:rPr>
        <w:t> </w:t>
      </w:r>
      <w:r>
        <w:rPr>
          <w:color w:val="231F1F"/>
          <w:w w:val="110"/>
        </w:rPr>
        <w:t>des- criptivos que investigaban la duración del parto.</w:t>
      </w:r>
    </w:p>
    <w:p>
      <w:pPr>
        <w:pStyle w:val="BodyText"/>
        <w:tabs>
          <w:tab w:pos="7932" w:val="left" w:leader="none"/>
          <w:tab w:pos="7975" w:val="left" w:leader="none"/>
          <w:tab w:pos="8113" w:val="left" w:leader="none"/>
        </w:tabs>
        <w:spacing w:line="252" w:lineRule="auto" w:before="97"/>
        <w:ind w:left="283" w:right="435" w:firstLine="431"/>
      </w:pPr>
      <w:r>
        <w:rPr>
          <w:color w:val="231F1F"/>
          <w:w w:val="110"/>
        </w:rPr>
        <w:t>Las definiciones de la segunda etapa del parto consideran que comienza</w:t>
      </w:r>
      <w:r>
        <w:rPr>
          <w:color w:val="231F1F"/>
        </w:rPr>
        <w:tab/>
      </w:r>
      <w:r>
        <w:rPr>
          <w:rFonts w:ascii="Arial MT" w:hAnsi="Arial MT"/>
          <w:color w:val="231F1F"/>
          <w:spacing w:val="-4"/>
          <w:w w:val="110"/>
          <w:sz w:val="18"/>
        </w:rPr>
        <w:t>Series </w:t>
      </w:r>
      <w:r>
        <w:rPr>
          <w:color w:val="231F1F"/>
          <w:w w:val="110"/>
        </w:rPr>
        <w:t>con la dilatación cervical completa, y finaliza con el nacimiento del feto (23).</w:t>
      </w:r>
      <w:r>
        <w:rPr>
          <w:color w:val="231F1F"/>
        </w:rPr>
        <w:tab/>
        <w:tab/>
      </w:r>
      <w:r>
        <w:rPr>
          <w:rFonts w:ascii="Arial MT" w:hAnsi="Arial MT"/>
          <w:color w:val="231F1F"/>
          <w:spacing w:val="-4"/>
          <w:w w:val="110"/>
          <w:position w:val="4"/>
          <w:sz w:val="18"/>
        </w:rPr>
        <w:t>casos </w:t>
      </w:r>
      <w:r>
        <w:rPr>
          <w:color w:val="231F1F"/>
          <w:w w:val="110"/>
        </w:rPr>
        <w:t>Alternativamente, tienen en cuenta el pujo materno, considerando su comien-</w:t>
      </w:r>
      <w:r>
        <w:rPr>
          <w:color w:val="231F1F"/>
        </w:rPr>
        <w:tab/>
        <w:tab/>
        <w:tab/>
      </w:r>
      <w:r>
        <w:rPr>
          <w:rFonts w:ascii="Arial MT" w:hAnsi="Arial MT"/>
          <w:color w:val="231F1F"/>
          <w:spacing w:val="-10"/>
          <w:w w:val="110"/>
          <w:position w:val="8"/>
          <w:sz w:val="18"/>
        </w:rPr>
        <w:t>3</w:t>
      </w:r>
      <w:r>
        <w:rPr>
          <w:rFonts w:ascii="Arial MT" w:hAnsi="Arial MT"/>
          <w:color w:val="231F1F"/>
          <w:w w:val="110"/>
          <w:position w:val="8"/>
          <w:sz w:val="18"/>
        </w:rPr>
        <w:t> </w:t>
      </w:r>
      <w:r>
        <w:rPr>
          <w:color w:val="231F1F"/>
        </w:rPr>
        <w:t>zo,</w:t>
      </w:r>
      <w:r>
        <w:rPr>
          <w:color w:val="231F1F"/>
          <w:spacing w:val="36"/>
        </w:rPr>
        <w:t> </w:t>
      </w:r>
      <w:r>
        <w:rPr>
          <w:color w:val="231F1F"/>
        </w:rPr>
        <w:t>desde</w:t>
      </w:r>
      <w:r>
        <w:rPr>
          <w:color w:val="231F1F"/>
          <w:spacing w:val="36"/>
        </w:rPr>
        <w:t> </w:t>
      </w:r>
      <w:r>
        <w:rPr>
          <w:color w:val="231F1F"/>
        </w:rPr>
        <w:t>el</w:t>
      </w:r>
      <w:r>
        <w:rPr>
          <w:color w:val="231F1F"/>
          <w:spacing w:val="36"/>
        </w:rPr>
        <w:t> </w:t>
      </w:r>
      <w:r>
        <w:rPr>
          <w:color w:val="231F1F"/>
        </w:rPr>
        <w:t>inicio</w:t>
      </w:r>
      <w:r>
        <w:rPr>
          <w:color w:val="231F1F"/>
          <w:spacing w:val="36"/>
        </w:rPr>
        <w:t> </w:t>
      </w:r>
      <w:r>
        <w:rPr>
          <w:color w:val="231F1F"/>
        </w:rPr>
        <w:t>del</w:t>
      </w:r>
      <w:r>
        <w:rPr>
          <w:color w:val="231F1F"/>
          <w:spacing w:val="36"/>
        </w:rPr>
        <w:t> </w:t>
      </w:r>
      <w:r>
        <w:rPr>
          <w:color w:val="231F1F"/>
        </w:rPr>
        <w:t>pujo</w:t>
      </w:r>
      <w:r>
        <w:rPr>
          <w:color w:val="231F1F"/>
          <w:spacing w:val="36"/>
        </w:rPr>
        <w:t> </w:t>
      </w:r>
      <w:r>
        <w:rPr>
          <w:color w:val="231F1F"/>
        </w:rPr>
        <w:t>materno</w:t>
      </w:r>
      <w:r>
        <w:rPr>
          <w:color w:val="231F1F"/>
          <w:spacing w:val="36"/>
        </w:rPr>
        <w:t> </w:t>
      </w:r>
      <w:r>
        <w:rPr>
          <w:color w:val="231F1F"/>
        </w:rPr>
        <w:t>con</w:t>
      </w:r>
      <w:r>
        <w:rPr>
          <w:color w:val="231F1F"/>
          <w:spacing w:val="36"/>
        </w:rPr>
        <w:t> </w:t>
      </w:r>
      <w:r>
        <w:rPr>
          <w:color w:val="231F1F"/>
        </w:rPr>
        <w:t>dilatación</w:t>
      </w:r>
      <w:r>
        <w:rPr>
          <w:color w:val="231F1F"/>
          <w:spacing w:val="36"/>
        </w:rPr>
        <w:t> </w:t>
      </w:r>
      <w:r>
        <w:rPr>
          <w:color w:val="231F1F"/>
        </w:rPr>
        <w:t>completa</w:t>
      </w:r>
      <w:r>
        <w:rPr>
          <w:color w:val="231F1F"/>
          <w:spacing w:val="37"/>
        </w:rPr>
        <w:t> </w:t>
      </w:r>
      <w:r>
        <w:rPr>
          <w:color w:val="231F1F"/>
        </w:rPr>
        <w:t>(26).</w:t>
      </w:r>
      <w:r>
        <w:rPr>
          <w:color w:val="231F1F"/>
          <w:spacing w:val="36"/>
        </w:rPr>
        <w:t> </w:t>
      </w:r>
      <w:r>
        <w:rPr>
          <w:color w:val="231F1F"/>
        </w:rPr>
        <w:t>Se</w:t>
      </w:r>
      <w:r>
        <w:rPr>
          <w:color w:val="231F1F"/>
          <w:spacing w:val="36"/>
        </w:rPr>
        <w:t> </w:t>
      </w:r>
      <w:r>
        <w:rPr>
          <w:color w:val="231F1F"/>
        </w:rPr>
        <w:t>diferencia</w:t>
      </w:r>
    </w:p>
    <w:p>
      <w:pPr>
        <w:pStyle w:val="BodyText"/>
        <w:spacing w:line="249" w:lineRule="auto"/>
        <w:ind w:left="283" w:right="1361"/>
        <w:jc w:val="both"/>
      </w:pPr>
      <w:r>
        <w:rPr>
          <w:color w:val="231F1F"/>
          <w:w w:val="105"/>
        </w:rPr>
        <w:t>una fase activa, de una segunda etapa temprana o pasiva. Esta diferenciación resulta</w:t>
      </w:r>
      <w:r>
        <w:rPr>
          <w:color w:val="231F1F"/>
          <w:spacing w:val="-10"/>
          <w:w w:val="105"/>
        </w:rPr>
        <w:t> </w:t>
      </w:r>
      <w:r>
        <w:rPr>
          <w:color w:val="231F1F"/>
          <w:w w:val="105"/>
        </w:rPr>
        <w:t>de</w:t>
      </w:r>
      <w:r>
        <w:rPr>
          <w:color w:val="231F1F"/>
          <w:spacing w:val="-11"/>
          <w:w w:val="105"/>
        </w:rPr>
        <w:t> </w:t>
      </w:r>
      <w:r>
        <w:rPr>
          <w:color w:val="231F1F"/>
          <w:w w:val="105"/>
        </w:rPr>
        <w:t>utilidad</w:t>
      </w:r>
      <w:r>
        <w:rPr>
          <w:color w:val="231F1F"/>
          <w:spacing w:val="-10"/>
          <w:w w:val="105"/>
        </w:rPr>
        <w:t> </w:t>
      </w:r>
      <w:r>
        <w:rPr>
          <w:color w:val="231F1F"/>
          <w:w w:val="105"/>
        </w:rPr>
        <w:t>cuando</w:t>
      </w:r>
      <w:r>
        <w:rPr>
          <w:color w:val="231F1F"/>
          <w:spacing w:val="-11"/>
          <w:w w:val="105"/>
        </w:rPr>
        <w:t> </w:t>
      </w:r>
      <w:r>
        <w:rPr>
          <w:color w:val="231F1F"/>
          <w:w w:val="105"/>
        </w:rPr>
        <w:t>una</w:t>
      </w:r>
      <w:r>
        <w:rPr>
          <w:color w:val="231F1F"/>
          <w:spacing w:val="-11"/>
          <w:w w:val="105"/>
        </w:rPr>
        <w:t> </w:t>
      </w:r>
      <w:r>
        <w:rPr>
          <w:color w:val="231F1F"/>
          <w:w w:val="105"/>
        </w:rPr>
        <w:t>mujer</w:t>
      </w:r>
      <w:r>
        <w:rPr>
          <w:color w:val="231F1F"/>
          <w:spacing w:val="-11"/>
          <w:w w:val="105"/>
        </w:rPr>
        <w:t> </w:t>
      </w:r>
      <w:r>
        <w:rPr>
          <w:color w:val="231F1F"/>
          <w:w w:val="105"/>
        </w:rPr>
        <w:t>llega</w:t>
      </w:r>
      <w:r>
        <w:rPr>
          <w:color w:val="231F1F"/>
          <w:spacing w:val="-11"/>
          <w:w w:val="105"/>
        </w:rPr>
        <w:t> </w:t>
      </w:r>
      <w:r>
        <w:rPr>
          <w:color w:val="231F1F"/>
          <w:w w:val="105"/>
        </w:rPr>
        <w:t>a</w:t>
      </w:r>
      <w:r>
        <w:rPr>
          <w:color w:val="231F1F"/>
          <w:spacing w:val="-11"/>
          <w:w w:val="105"/>
        </w:rPr>
        <w:t> </w:t>
      </w:r>
      <w:r>
        <w:rPr>
          <w:color w:val="231F1F"/>
          <w:w w:val="105"/>
        </w:rPr>
        <w:t>la</w:t>
      </w:r>
      <w:r>
        <w:rPr>
          <w:color w:val="231F1F"/>
          <w:spacing w:val="-11"/>
          <w:w w:val="105"/>
        </w:rPr>
        <w:t> </w:t>
      </w:r>
      <w:r>
        <w:rPr>
          <w:color w:val="231F1F"/>
          <w:w w:val="105"/>
        </w:rPr>
        <w:t>segunda</w:t>
      </w:r>
      <w:r>
        <w:rPr>
          <w:color w:val="231F1F"/>
          <w:spacing w:val="-11"/>
          <w:w w:val="105"/>
        </w:rPr>
        <w:t> </w:t>
      </w:r>
      <w:r>
        <w:rPr>
          <w:color w:val="231F1F"/>
          <w:w w:val="105"/>
        </w:rPr>
        <w:t>etapa</w:t>
      </w:r>
      <w:r>
        <w:rPr>
          <w:color w:val="231F1F"/>
          <w:spacing w:val="-10"/>
          <w:w w:val="105"/>
        </w:rPr>
        <w:t> </w:t>
      </w:r>
      <w:r>
        <w:rPr>
          <w:color w:val="231F1F"/>
          <w:w w:val="105"/>
        </w:rPr>
        <w:t>con</w:t>
      </w:r>
      <w:r>
        <w:rPr>
          <w:color w:val="231F1F"/>
          <w:spacing w:val="-11"/>
          <w:w w:val="105"/>
        </w:rPr>
        <w:t> </w:t>
      </w:r>
      <w:r>
        <w:rPr>
          <w:color w:val="231F1F"/>
          <w:w w:val="105"/>
        </w:rPr>
        <w:t>la</w:t>
      </w:r>
      <w:r>
        <w:rPr>
          <w:color w:val="231F1F"/>
          <w:spacing w:val="-11"/>
          <w:w w:val="105"/>
        </w:rPr>
        <w:t> </w:t>
      </w:r>
      <w:r>
        <w:rPr>
          <w:color w:val="231F1F"/>
          <w:w w:val="105"/>
        </w:rPr>
        <w:t>cabeza</w:t>
      </w:r>
      <w:r>
        <w:rPr>
          <w:color w:val="231F1F"/>
          <w:spacing w:val="-11"/>
          <w:w w:val="105"/>
        </w:rPr>
        <w:t> </w:t>
      </w:r>
      <w:r>
        <w:rPr>
          <w:color w:val="231F1F"/>
          <w:w w:val="105"/>
        </w:rPr>
        <w:t>fetal relativamente alta en la pelvis sin necesidad de pujar o con anestesia epidural.</w:t>
      </w:r>
    </w:p>
    <w:p>
      <w:pPr>
        <w:pStyle w:val="BodyText"/>
        <w:spacing w:before="41"/>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enero</w:t>
      </w:r>
      <w:r>
        <w:rPr>
          <w:rFonts w:ascii="Arial MT" w:hAnsi="Arial MT"/>
          <w:color w:val="231F1F"/>
          <w:spacing w:val="15"/>
          <w:sz w:val="24"/>
        </w:rPr>
        <w:t> </w:t>
      </w:r>
      <w:r>
        <w:rPr>
          <w:rFonts w:ascii="Arial MT" w:hAnsi="Arial MT"/>
          <w:color w:val="231F1F"/>
          <w:spacing w:val="-2"/>
          <w:sz w:val="24"/>
        </w:rPr>
        <w:t>2009)</w:t>
      </w:r>
    </w:p>
    <w:p>
      <w:pPr>
        <w:pStyle w:val="BodyText"/>
        <w:spacing w:line="244" w:lineRule="auto" w:before="209"/>
        <w:ind w:left="283" w:right="1369"/>
        <w:jc w:val="both"/>
      </w:pPr>
      <w:r>
        <w:rPr>
          <w:color w:val="231F1F"/>
          <w:w w:val="110"/>
        </w:rPr>
        <w:t>La</w:t>
      </w:r>
      <w:r>
        <w:rPr>
          <w:color w:val="231F1F"/>
          <w:spacing w:val="-9"/>
          <w:w w:val="110"/>
        </w:rPr>
        <w:t> </w:t>
      </w:r>
      <w:r>
        <w:rPr>
          <w:color w:val="231F1F"/>
          <w:w w:val="110"/>
        </w:rPr>
        <w:t>búsqueda</w:t>
      </w:r>
      <w:r>
        <w:rPr>
          <w:color w:val="231F1F"/>
          <w:spacing w:val="-9"/>
          <w:w w:val="110"/>
        </w:rPr>
        <w:t> </w:t>
      </w:r>
      <w:r>
        <w:rPr>
          <w:color w:val="231F1F"/>
          <w:w w:val="110"/>
        </w:rPr>
        <w:t>llevada</w:t>
      </w:r>
      <w:r>
        <w:rPr>
          <w:color w:val="231F1F"/>
          <w:spacing w:val="-9"/>
          <w:w w:val="110"/>
        </w:rPr>
        <w:t> </w:t>
      </w:r>
      <w:r>
        <w:rPr>
          <w:color w:val="231F1F"/>
          <w:w w:val="110"/>
        </w:rPr>
        <w:t>a</w:t>
      </w:r>
      <w:r>
        <w:rPr>
          <w:color w:val="231F1F"/>
          <w:spacing w:val="-9"/>
          <w:w w:val="110"/>
        </w:rPr>
        <w:t> </w:t>
      </w:r>
      <w:r>
        <w:rPr>
          <w:color w:val="231F1F"/>
          <w:w w:val="110"/>
        </w:rPr>
        <w:t>cabo</w:t>
      </w:r>
      <w:r>
        <w:rPr>
          <w:color w:val="231F1F"/>
          <w:spacing w:val="-9"/>
          <w:w w:val="110"/>
        </w:rPr>
        <w:t> </w:t>
      </w:r>
      <w:r>
        <w:rPr>
          <w:color w:val="231F1F"/>
          <w:w w:val="110"/>
        </w:rPr>
        <w:t>para</w:t>
      </w:r>
      <w:r>
        <w:rPr>
          <w:color w:val="231F1F"/>
          <w:spacing w:val="-9"/>
          <w:w w:val="110"/>
        </w:rPr>
        <w:t> </w:t>
      </w:r>
      <w:r>
        <w:rPr>
          <w:color w:val="231F1F"/>
          <w:w w:val="110"/>
        </w:rPr>
        <w:t>la</w:t>
      </w:r>
      <w:r>
        <w:rPr>
          <w:color w:val="231F1F"/>
          <w:spacing w:val="-9"/>
          <w:w w:val="110"/>
        </w:rPr>
        <w:t> </w:t>
      </w:r>
      <w:r>
        <w:rPr>
          <w:color w:val="231F1F"/>
          <w:w w:val="110"/>
        </w:rPr>
        <w:t>actualización</w:t>
      </w:r>
      <w:r>
        <w:rPr>
          <w:color w:val="231F1F"/>
          <w:spacing w:val="-10"/>
          <w:w w:val="110"/>
        </w:rPr>
        <w:t> </w:t>
      </w:r>
      <w:r>
        <w:rPr>
          <w:color w:val="231F1F"/>
          <w:w w:val="110"/>
        </w:rPr>
        <w:t>no</w:t>
      </w:r>
      <w:r>
        <w:rPr>
          <w:color w:val="231F1F"/>
          <w:spacing w:val="-9"/>
          <w:w w:val="110"/>
        </w:rPr>
        <w:t> </w:t>
      </w:r>
      <w:r>
        <w:rPr>
          <w:color w:val="231F1F"/>
          <w:w w:val="110"/>
        </w:rPr>
        <w:t>arrojó</w:t>
      </w:r>
      <w:r>
        <w:rPr>
          <w:color w:val="231F1F"/>
          <w:spacing w:val="-9"/>
          <w:w w:val="110"/>
        </w:rPr>
        <w:t> </w:t>
      </w:r>
      <w:r>
        <w:rPr>
          <w:color w:val="231F1F"/>
          <w:w w:val="110"/>
        </w:rPr>
        <w:t>nuevos</w:t>
      </w:r>
      <w:r>
        <w:rPr>
          <w:color w:val="231F1F"/>
          <w:spacing w:val="-9"/>
          <w:w w:val="110"/>
        </w:rPr>
        <w:t> </w:t>
      </w:r>
      <w:r>
        <w:rPr>
          <w:color w:val="231F1F"/>
          <w:w w:val="110"/>
        </w:rPr>
        <w:t>estudios. Por</w:t>
      </w:r>
      <w:r>
        <w:rPr>
          <w:color w:val="231F1F"/>
          <w:spacing w:val="-16"/>
          <w:w w:val="110"/>
        </w:rPr>
        <w:t> </w:t>
      </w:r>
      <w:r>
        <w:rPr>
          <w:color w:val="231F1F"/>
          <w:w w:val="110"/>
        </w:rPr>
        <w:t>ello,</w:t>
      </w:r>
      <w:r>
        <w:rPr>
          <w:color w:val="231F1F"/>
          <w:spacing w:val="-15"/>
          <w:w w:val="110"/>
        </w:rPr>
        <w:t> </w:t>
      </w:r>
      <w:r>
        <w:rPr>
          <w:color w:val="231F1F"/>
          <w:w w:val="110"/>
        </w:rPr>
        <w:t>el</w:t>
      </w:r>
      <w:r>
        <w:rPr>
          <w:color w:val="231F1F"/>
          <w:spacing w:val="-15"/>
          <w:w w:val="110"/>
        </w:rPr>
        <w:t> </w:t>
      </w:r>
      <w:r>
        <w:rPr>
          <w:color w:val="231F1F"/>
          <w:w w:val="110"/>
        </w:rPr>
        <w:t>GEG</w:t>
      </w:r>
      <w:r>
        <w:rPr>
          <w:color w:val="231F1F"/>
          <w:spacing w:val="-15"/>
          <w:w w:val="110"/>
        </w:rPr>
        <w:t> </w:t>
      </w:r>
      <w:r>
        <w:rPr>
          <w:color w:val="231F1F"/>
          <w:w w:val="110"/>
        </w:rPr>
        <w:t>ha</w:t>
      </w:r>
      <w:r>
        <w:rPr>
          <w:color w:val="231F1F"/>
          <w:spacing w:val="-15"/>
          <w:w w:val="110"/>
        </w:rPr>
        <w:t> </w:t>
      </w:r>
      <w:r>
        <w:rPr>
          <w:color w:val="231F1F"/>
          <w:w w:val="110"/>
        </w:rPr>
        <w:t>utilizado</w:t>
      </w:r>
      <w:r>
        <w:rPr>
          <w:color w:val="231F1F"/>
          <w:spacing w:val="-15"/>
          <w:w w:val="110"/>
        </w:rPr>
        <w:t> </w:t>
      </w:r>
      <w:r>
        <w:rPr>
          <w:color w:val="231F1F"/>
          <w:w w:val="110"/>
        </w:rPr>
        <w:t>la</w:t>
      </w:r>
      <w:r>
        <w:rPr>
          <w:color w:val="231F1F"/>
          <w:spacing w:val="-15"/>
          <w:w w:val="110"/>
        </w:rPr>
        <w:t> </w:t>
      </w:r>
      <w:r>
        <w:rPr>
          <w:color w:val="231F1F"/>
          <w:w w:val="110"/>
        </w:rPr>
        <w:t>evidencia</w:t>
      </w:r>
      <w:r>
        <w:rPr>
          <w:color w:val="231F1F"/>
          <w:spacing w:val="-15"/>
          <w:w w:val="110"/>
        </w:rPr>
        <w:t> </w:t>
      </w:r>
      <w:r>
        <w:rPr>
          <w:color w:val="231F1F"/>
          <w:w w:val="110"/>
        </w:rPr>
        <w:t>de</w:t>
      </w:r>
      <w:r>
        <w:rPr>
          <w:color w:val="231F1F"/>
          <w:spacing w:val="-16"/>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discu- sión de la misma y para la elaboración de recomendaciones.</w:t>
      </w:r>
    </w:p>
    <w:p>
      <w:pPr>
        <w:pStyle w:val="BodyText"/>
        <w:spacing w:before="144"/>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521" w:hRule="atLeast"/>
        </w:trPr>
        <w:tc>
          <w:tcPr>
            <w:tcW w:w="7373" w:type="dxa"/>
          </w:tcPr>
          <w:p>
            <w:pPr>
              <w:pStyle w:val="TableParagraph"/>
              <w:spacing w:line="266" w:lineRule="auto" w:before="53"/>
              <w:ind w:left="164" w:right="134" w:hanging="1"/>
              <w:jc w:val="both"/>
              <w:rPr>
                <w:sz w:val="22"/>
              </w:rPr>
            </w:pPr>
            <w:r>
              <w:rPr>
                <w:color w:val="231F1F"/>
                <w:sz w:val="22"/>
              </w:rPr>
              <w:t>Las definiciones de la segunda etapa del parto consideran que comienza con la dilatación cervical completa, y finaliza con el nacimiento del feto. Alternativa- mente, también es considerada desde el comienzo del pujo materno con dila- tación completa hasta el nacimiento (26). Además, se diferencian una fase ac- tiva de la segunda etapa del parto de una segunda etapa temprana o pasiva (23).</w:t>
            </w:r>
          </w:p>
        </w:tc>
        <w:tc>
          <w:tcPr>
            <w:tcW w:w="1133" w:type="dxa"/>
          </w:tcPr>
          <w:p>
            <w:pPr>
              <w:pStyle w:val="TableParagraph"/>
              <w:ind w:left="0"/>
              <w:rPr>
                <w:rFonts w:ascii="Arial MT"/>
                <w:sz w:val="22"/>
              </w:rPr>
            </w:pPr>
          </w:p>
          <w:p>
            <w:pPr>
              <w:pStyle w:val="TableParagraph"/>
              <w:spacing w:before="114"/>
              <w:ind w:left="0"/>
              <w:rPr>
                <w:rFonts w:ascii="Arial MT"/>
                <w:sz w:val="22"/>
              </w:rPr>
            </w:pPr>
          </w:p>
          <w:p>
            <w:pPr>
              <w:pStyle w:val="TableParagraph"/>
              <w:ind w:left="49"/>
              <w:jc w:val="center"/>
              <w:rPr>
                <w:sz w:val="22"/>
              </w:rPr>
            </w:pPr>
            <w:r>
              <w:rPr>
                <w:color w:val="231F1F"/>
                <w:spacing w:val="-10"/>
                <w:sz w:val="22"/>
              </w:rPr>
              <w:t>3</w:t>
            </w:r>
          </w:p>
        </w:tc>
      </w:tr>
    </w:tbl>
    <w:p>
      <w:pPr>
        <w:pStyle w:val="TableParagraph"/>
        <w:spacing w:after="0"/>
        <w:jc w:val="center"/>
        <w:rPr>
          <w:sz w:val="22"/>
        </w:rPr>
        <w:sectPr>
          <w:footerReference w:type="default" r:id="rId43"/>
          <w:footerReference w:type="even" r:id="rId44"/>
          <w:pgSz w:w="11900" w:h="16840"/>
          <w:pgMar w:header="0" w:footer="622" w:top="1500" w:bottom="820" w:left="1417" w:right="1559"/>
          <w:pgNumType w:start="9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3340" w:hRule="atLeast"/>
        </w:trPr>
        <w:tc>
          <w:tcPr>
            <w:tcW w:w="456"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247"/>
              <w:ind w:left="0"/>
              <w:rPr>
                <w:rFonts w:ascii="Arial MT"/>
                <w:sz w:val="22"/>
              </w:rPr>
            </w:pPr>
          </w:p>
          <w:p>
            <w:pPr>
              <w:pStyle w:val="TableParagraph"/>
              <w:spacing w:before="1"/>
              <w:rPr>
                <w:sz w:val="22"/>
              </w:rPr>
            </w:pPr>
            <w:r>
              <w:rPr>
                <w:color w:val="231F1F"/>
                <w:spacing w:val="-10"/>
                <w:w w:val="110"/>
                <w:sz w:val="22"/>
              </w:rPr>
              <w:t>√</w:t>
            </w:r>
          </w:p>
        </w:tc>
        <w:tc>
          <w:tcPr>
            <w:tcW w:w="8050" w:type="dxa"/>
          </w:tcPr>
          <w:p>
            <w:pPr>
              <w:pStyle w:val="TableParagraph"/>
              <w:spacing w:line="244" w:lineRule="auto" w:before="44"/>
              <w:ind w:right="87"/>
              <w:jc w:val="both"/>
              <w:rPr>
                <w:sz w:val="22"/>
              </w:rPr>
            </w:pPr>
            <w:r>
              <w:rPr>
                <w:color w:val="231F1F"/>
                <w:w w:val="110"/>
                <w:sz w:val="22"/>
              </w:rPr>
              <w:t>La</w:t>
            </w:r>
            <w:r>
              <w:rPr>
                <w:color w:val="231F1F"/>
                <w:spacing w:val="-2"/>
                <w:w w:val="110"/>
                <w:sz w:val="22"/>
              </w:rPr>
              <w:t> </w:t>
            </w:r>
            <w:r>
              <w:rPr>
                <w:color w:val="231F1F"/>
                <w:w w:val="110"/>
                <w:sz w:val="22"/>
              </w:rPr>
              <w:t>segunda</w:t>
            </w:r>
            <w:r>
              <w:rPr>
                <w:color w:val="231F1F"/>
                <w:spacing w:val="-2"/>
                <w:w w:val="110"/>
                <w:sz w:val="22"/>
              </w:rPr>
              <w:t> </w:t>
            </w:r>
            <w:r>
              <w:rPr>
                <w:color w:val="231F1F"/>
                <w:w w:val="110"/>
                <w:sz w:val="22"/>
              </w:rPr>
              <w:t>etapa</w:t>
            </w:r>
            <w:r>
              <w:rPr>
                <w:color w:val="231F1F"/>
                <w:spacing w:val="-2"/>
                <w:w w:val="110"/>
                <w:sz w:val="22"/>
              </w:rPr>
              <w:t> </w:t>
            </w:r>
            <w:r>
              <w:rPr>
                <w:color w:val="231F1F"/>
                <w:w w:val="110"/>
                <w:sz w:val="22"/>
              </w:rPr>
              <w:t>del</w:t>
            </w:r>
            <w:r>
              <w:rPr>
                <w:color w:val="231F1F"/>
                <w:spacing w:val="-3"/>
                <w:w w:val="110"/>
                <w:sz w:val="22"/>
              </w:rPr>
              <w:t> </w:t>
            </w:r>
            <w:r>
              <w:rPr>
                <w:color w:val="231F1F"/>
                <w:w w:val="110"/>
                <w:sz w:val="22"/>
              </w:rPr>
              <w:t>parto</w:t>
            </w:r>
            <w:r>
              <w:rPr>
                <w:color w:val="231F1F"/>
                <w:spacing w:val="-2"/>
                <w:w w:val="110"/>
                <w:sz w:val="22"/>
              </w:rPr>
              <w:t> </w:t>
            </w:r>
            <w:r>
              <w:rPr>
                <w:color w:val="231F1F"/>
                <w:w w:val="110"/>
                <w:sz w:val="22"/>
              </w:rPr>
              <w:t>o</w:t>
            </w:r>
            <w:r>
              <w:rPr>
                <w:color w:val="231F1F"/>
                <w:spacing w:val="-2"/>
                <w:w w:val="110"/>
                <w:sz w:val="22"/>
              </w:rPr>
              <w:t> </w:t>
            </w:r>
            <w:r>
              <w:rPr>
                <w:color w:val="231F1F"/>
                <w:w w:val="110"/>
                <w:sz w:val="22"/>
              </w:rPr>
              <w:t>periodo</w:t>
            </w:r>
            <w:r>
              <w:rPr>
                <w:color w:val="231F1F"/>
                <w:spacing w:val="-2"/>
                <w:w w:val="110"/>
                <w:sz w:val="22"/>
              </w:rPr>
              <w:t> </w:t>
            </w:r>
            <w:r>
              <w:rPr>
                <w:color w:val="231F1F"/>
                <w:w w:val="110"/>
                <w:sz w:val="22"/>
              </w:rPr>
              <w:t>expulsivo</w:t>
            </w:r>
            <w:r>
              <w:rPr>
                <w:color w:val="231F1F"/>
                <w:spacing w:val="-2"/>
                <w:w w:val="110"/>
                <w:sz w:val="22"/>
              </w:rPr>
              <w:t> </w:t>
            </w:r>
            <w:r>
              <w:rPr>
                <w:color w:val="231F1F"/>
                <w:w w:val="110"/>
                <w:sz w:val="22"/>
              </w:rPr>
              <w:t>es</w:t>
            </w:r>
            <w:r>
              <w:rPr>
                <w:color w:val="231F1F"/>
                <w:spacing w:val="-2"/>
                <w:w w:val="110"/>
                <w:sz w:val="22"/>
              </w:rPr>
              <w:t> </w:t>
            </w:r>
            <w:r>
              <w:rPr>
                <w:color w:val="231F1F"/>
                <w:w w:val="110"/>
                <w:sz w:val="22"/>
              </w:rPr>
              <w:t>aquella</w:t>
            </w:r>
            <w:r>
              <w:rPr>
                <w:color w:val="231F1F"/>
                <w:spacing w:val="-2"/>
                <w:w w:val="110"/>
                <w:sz w:val="22"/>
              </w:rPr>
              <w:t> </w:t>
            </w:r>
            <w:r>
              <w:rPr>
                <w:color w:val="231F1F"/>
                <w:w w:val="110"/>
                <w:sz w:val="22"/>
              </w:rPr>
              <w:t>que</w:t>
            </w:r>
            <w:r>
              <w:rPr>
                <w:color w:val="231F1F"/>
                <w:spacing w:val="-2"/>
                <w:w w:val="110"/>
                <w:sz w:val="22"/>
              </w:rPr>
              <w:t> </w:t>
            </w:r>
            <w:r>
              <w:rPr>
                <w:color w:val="231F1F"/>
                <w:w w:val="110"/>
                <w:sz w:val="22"/>
              </w:rPr>
              <w:t>transcurre</w:t>
            </w:r>
            <w:r>
              <w:rPr>
                <w:color w:val="231F1F"/>
                <w:spacing w:val="-2"/>
                <w:w w:val="110"/>
                <w:sz w:val="22"/>
              </w:rPr>
              <w:t> </w:t>
            </w:r>
            <w:r>
              <w:rPr>
                <w:color w:val="231F1F"/>
                <w:w w:val="110"/>
                <w:sz w:val="22"/>
              </w:rPr>
              <w:t>entre</w:t>
            </w:r>
            <w:r>
              <w:rPr>
                <w:color w:val="231F1F"/>
                <w:spacing w:val="-2"/>
                <w:w w:val="110"/>
                <w:sz w:val="22"/>
              </w:rPr>
              <w:t> </w:t>
            </w:r>
            <w:r>
              <w:rPr>
                <w:color w:val="231F1F"/>
                <w:w w:val="110"/>
                <w:sz w:val="22"/>
              </w:rPr>
              <w:t>el </w:t>
            </w:r>
            <w:r>
              <w:rPr>
                <w:color w:val="231F1F"/>
                <w:spacing w:val="-2"/>
                <w:w w:val="110"/>
                <w:sz w:val="22"/>
              </w:rPr>
              <w:t>momento</w:t>
            </w:r>
            <w:r>
              <w:rPr>
                <w:color w:val="231F1F"/>
                <w:spacing w:val="-9"/>
                <w:w w:val="110"/>
                <w:sz w:val="22"/>
              </w:rPr>
              <w:t> </w:t>
            </w:r>
            <w:r>
              <w:rPr>
                <w:color w:val="231F1F"/>
                <w:spacing w:val="-2"/>
                <w:w w:val="110"/>
                <w:sz w:val="22"/>
              </w:rPr>
              <w:t>en</w:t>
            </w:r>
            <w:r>
              <w:rPr>
                <w:color w:val="231F1F"/>
                <w:spacing w:val="-9"/>
                <w:w w:val="110"/>
                <w:sz w:val="22"/>
              </w:rPr>
              <w:t> </w:t>
            </w:r>
            <w:r>
              <w:rPr>
                <w:color w:val="231F1F"/>
                <w:spacing w:val="-2"/>
                <w:w w:val="110"/>
                <w:sz w:val="22"/>
              </w:rPr>
              <w:t>que</w:t>
            </w:r>
            <w:r>
              <w:rPr>
                <w:color w:val="231F1F"/>
                <w:spacing w:val="-10"/>
                <w:w w:val="110"/>
                <w:sz w:val="22"/>
              </w:rPr>
              <w:t> </w:t>
            </w:r>
            <w:r>
              <w:rPr>
                <w:color w:val="231F1F"/>
                <w:spacing w:val="-2"/>
                <w:w w:val="110"/>
                <w:sz w:val="22"/>
              </w:rPr>
              <w:t>se</w:t>
            </w:r>
            <w:r>
              <w:rPr>
                <w:color w:val="231F1F"/>
                <w:spacing w:val="-10"/>
                <w:w w:val="110"/>
                <w:sz w:val="22"/>
              </w:rPr>
              <w:t> </w:t>
            </w:r>
            <w:r>
              <w:rPr>
                <w:color w:val="231F1F"/>
                <w:spacing w:val="-2"/>
                <w:w w:val="110"/>
                <w:sz w:val="22"/>
              </w:rPr>
              <w:t>alcanza</w:t>
            </w:r>
            <w:r>
              <w:rPr>
                <w:color w:val="231F1F"/>
                <w:spacing w:val="-10"/>
                <w:w w:val="110"/>
                <w:sz w:val="22"/>
              </w:rPr>
              <w:t> </w:t>
            </w:r>
            <w:r>
              <w:rPr>
                <w:color w:val="231F1F"/>
                <w:spacing w:val="-2"/>
                <w:w w:val="110"/>
                <w:sz w:val="22"/>
              </w:rPr>
              <w:t>la</w:t>
            </w:r>
            <w:r>
              <w:rPr>
                <w:color w:val="231F1F"/>
                <w:spacing w:val="-10"/>
                <w:w w:val="110"/>
                <w:sz w:val="22"/>
              </w:rPr>
              <w:t> </w:t>
            </w:r>
            <w:r>
              <w:rPr>
                <w:color w:val="231F1F"/>
                <w:spacing w:val="-2"/>
                <w:w w:val="110"/>
                <w:sz w:val="22"/>
              </w:rPr>
              <w:t>dilatación</w:t>
            </w:r>
            <w:r>
              <w:rPr>
                <w:color w:val="231F1F"/>
                <w:spacing w:val="-10"/>
                <w:w w:val="110"/>
                <w:sz w:val="22"/>
              </w:rPr>
              <w:t> </w:t>
            </w:r>
            <w:r>
              <w:rPr>
                <w:color w:val="231F1F"/>
                <w:spacing w:val="-2"/>
                <w:w w:val="110"/>
                <w:sz w:val="22"/>
              </w:rPr>
              <w:t>completa</w:t>
            </w:r>
            <w:r>
              <w:rPr>
                <w:color w:val="231F1F"/>
                <w:spacing w:val="-10"/>
                <w:w w:val="110"/>
                <w:sz w:val="22"/>
              </w:rPr>
              <w:t> </w:t>
            </w:r>
            <w:r>
              <w:rPr>
                <w:color w:val="231F1F"/>
                <w:spacing w:val="-2"/>
                <w:w w:val="110"/>
                <w:sz w:val="22"/>
              </w:rPr>
              <w:t>y</w:t>
            </w:r>
            <w:r>
              <w:rPr>
                <w:color w:val="231F1F"/>
                <w:spacing w:val="-10"/>
                <w:w w:val="110"/>
                <w:sz w:val="22"/>
              </w:rPr>
              <w:t> </w:t>
            </w:r>
            <w:r>
              <w:rPr>
                <w:color w:val="231F1F"/>
                <w:spacing w:val="-2"/>
                <w:w w:val="110"/>
                <w:sz w:val="22"/>
              </w:rPr>
              <w:t>el</w:t>
            </w:r>
            <w:r>
              <w:rPr>
                <w:color w:val="231F1F"/>
                <w:spacing w:val="-10"/>
                <w:w w:val="110"/>
                <w:sz w:val="22"/>
              </w:rPr>
              <w:t> </w:t>
            </w:r>
            <w:r>
              <w:rPr>
                <w:color w:val="231F1F"/>
                <w:spacing w:val="-2"/>
                <w:w w:val="110"/>
                <w:sz w:val="22"/>
              </w:rPr>
              <w:t>momento</w:t>
            </w:r>
            <w:r>
              <w:rPr>
                <w:color w:val="231F1F"/>
                <w:spacing w:val="-9"/>
                <w:w w:val="110"/>
                <w:sz w:val="22"/>
              </w:rPr>
              <w:t> </w:t>
            </w:r>
            <w:r>
              <w:rPr>
                <w:color w:val="231F1F"/>
                <w:spacing w:val="-2"/>
                <w:w w:val="110"/>
                <w:sz w:val="22"/>
              </w:rPr>
              <w:t>en</w:t>
            </w:r>
            <w:r>
              <w:rPr>
                <w:color w:val="231F1F"/>
                <w:spacing w:val="-9"/>
                <w:w w:val="110"/>
                <w:sz w:val="22"/>
              </w:rPr>
              <w:t> </w:t>
            </w:r>
            <w:r>
              <w:rPr>
                <w:color w:val="231F1F"/>
                <w:spacing w:val="-2"/>
                <w:w w:val="110"/>
                <w:sz w:val="22"/>
              </w:rPr>
              <w:t>que</w:t>
            </w:r>
            <w:r>
              <w:rPr>
                <w:color w:val="231F1F"/>
                <w:spacing w:val="-10"/>
                <w:w w:val="110"/>
                <w:sz w:val="22"/>
              </w:rPr>
              <w:t> </w:t>
            </w:r>
            <w:r>
              <w:rPr>
                <w:color w:val="231F1F"/>
                <w:spacing w:val="-2"/>
                <w:w w:val="110"/>
                <w:sz w:val="22"/>
              </w:rPr>
              <w:t>se</w:t>
            </w:r>
            <w:r>
              <w:rPr>
                <w:color w:val="231F1F"/>
                <w:spacing w:val="-10"/>
                <w:w w:val="110"/>
                <w:sz w:val="22"/>
              </w:rPr>
              <w:t> </w:t>
            </w:r>
            <w:r>
              <w:rPr>
                <w:color w:val="231F1F"/>
                <w:spacing w:val="-2"/>
                <w:w w:val="110"/>
                <w:sz w:val="22"/>
              </w:rPr>
              <w:t>produce </w:t>
            </w:r>
            <w:r>
              <w:rPr>
                <w:color w:val="231F1F"/>
                <w:w w:val="110"/>
                <w:sz w:val="22"/>
              </w:rPr>
              <w:t>la expulsión fetal. A su vez se subdivide en dos fases:</w:t>
            </w:r>
          </w:p>
          <w:p>
            <w:pPr>
              <w:pStyle w:val="TableParagraph"/>
              <w:numPr>
                <w:ilvl w:val="0"/>
                <w:numId w:val="36"/>
              </w:numPr>
              <w:tabs>
                <w:tab w:pos="340" w:val="left" w:leader="none"/>
              </w:tabs>
              <w:spacing w:line="268" w:lineRule="auto" w:before="152" w:after="0"/>
              <w:ind w:left="340" w:right="212" w:hanging="219"/>
              <w:jc w:val="left"/>
              <w:rPr>
                <w:sz w:val="22"/>
              </w:rPr>
            </w:pPr>
            <w:r>
              <w:rPr>
                <w:color w:val="231F1F"/>
                <w:sz w:val="22"/>
              </w:rPr>
              <w:t>Periodo</w:t>
            </w:r>
            <w:r>
              <w:rPr>
                <w:color w:val="231F1F"/>
                <w:spacing w:val="35"/>
                <w:sz w:val="22"/>
              </w:rPr>
              <w:t> </w:t>
            </w:r>
            <w:r>
              <w:rPr>
                <w:color w:val="231F1F"/>
                <w:sz w:val="22"/>
              </w:rPr>
              <w:t>expulsivo</w:t>
            </w:r>
            <w:r>
              <w:rPr>
                <w:color w:val="231F1F"/>
                <w:spacing w:val="36"/>
                <w:sz w:val="22"/>
              </w:rPr>
              <w:t> </w:t>
            </w:r>
            <w:r>
              <w:rPr>
                <w:color w:val="231F1F"/>
                <w:sz w:val="22"/>
              </w:rPr>
              <w:t>pasivo:</w:t>
            </w:r>
            <w:r>
              <w:rPr>
                <w:color w:val="231F1F"/>
                <w:spacing w:val="35"/>
                <w:sz w:val="22"/>
              </w:rPr>
              <w:t> </w:t>
            </w:r>
            <w:r>
              <w:rPr>
                <w:color w:val="231F1F"/>
                <w:sz w:val="22"/>
              </w:rPr>
              <w:t>dilatación</w:t>
            </w:r>
            <w:r>
              <w:rPr>
                <w:color w:val="231F1F"/>
                <w:spacing w:val="36"/>
                <w:sz w:val="22"/>
              </w:rPr>
              <w:t> </w:t>
            </w:r>
            <w:r>
              <w:rPr>
                <w:color w:val="231F1F"/>
                <w:sz w:val="22"/>
              </w:rPr>
              <w:t>completa</w:t>
            </w:r>
            <w:r>
              <w:rPr>
                <w:color w:val="231F1F"/>
                <w:spacing w:val="35"/>
                <w:sz w:val="22"/>
              </w:rPr>
              <w:t> </w:t>
            </w:r>
            <w:r>
              <w:rPr>
                <w:color w:val="231F1F"/>
                <w:sz w:val="22"/>
              </w:rPr>
              <w:t>del</w:t>
            </w:r>
            <w:r>
              <w:rPr>
                <w:color w:val="231F1F"/>
                <w:spacing w:val="36"/>
                <w:sz w:val="22"/>
              </w:rPr>
              <w:t> </w:t>
            </w:r>
            <w:r>
              <w:rPr>
                <w:color w:val="231F1F"/>
                <w:sz w:val="22"/>
              </w:rPr>
              <w:t>cuello,</w:t>
            </w:r>
            <w:r>
              <w:rPr>
                <w:color w:val="231F1F"/>
                <w:spacing w:val="35"/>
                <w:sz w:val="22"/>
              </w:rPr>
              <w:t> </w:t>
            </w:r>
            <w:r>
              <w:rPr>
                <w:color w:val="231F1F"/>
                <w:sz w:val="22"/>
              </w:rPr>
              <w:t>antes</w:t>
            </w:r>
            <w:r>
              <w:rPr>
                <w:color w:val="231F1F"/>
                <w:spacing w:val="36"/>
                <w:sz w:val="22"/>
              </w:rPr>
              <w:t> </w:t>
            </w:r>
            <w:r>
              <w:rPr>
                <w:color w:val="231F1F"/>
                <w:sz w:val="22"/>
              </w:rPr>
              <w:t>o</w:t>
            </w:r>
            <w:r>
              <w:rPr>
                <w:color w:val="231F1F"/>
                <w:spacing w:val="35"/>
                <w:sz w:val="22"/>
              </w:rPr>
              <w:t> </w:t>
            </w:r>
            <w:r>
              <w:rPr>
                <w:color w:val="231F1F"/>
                <w:sz w:val="22"/>
              </w:rPr>
              <w:t>en</w:t>
            </w:r>
            <w:r>
              <w:rPr>
                <w:color w:val="231F1F"/>
                <w:spacing w:val="36"/>
                <w:sz w:val="22"/>
              </w:rPr>
              <w:t> </w:t>
            </w:r>
            <w:r>
              <w:rPr>
                <w:color w:val="231F1F"/>
                <w:sz w:val="22"/>
              </w:rPr>
              <w:t>ausencia</w:t>
            </w:r>
            <w:r>
              <w:rPr>
                <w:color w:val="231F1F"/>
                <w:spacing w:val="36"/>
                <w:sz w:val="22"/>
              </w:rPr>
              <w:t> </w:t>
            </w:r>
            <w:r>
              <w:rPr>
                <w:color w:val="231F1F"/>
                <w:sz w:val="22"/>
              </w:rPr>
              <w:t>de contracciones</w:t>
            </w:r>
            <w:r>
              <w:rPr>
                <w:color w:val="231F1F"/>
                <w:spacing w:val="40"/>
                <w:sz w:val="22"/>
              </w:rPr>
              <w:t> </w:t>
            </w:r>
            <w:r>
              <w:rPr>
                <w:color w:val="231F1F"/>
                <w:sz w:val="22"/>
              </w:rPr>
              <w:t>involuntarias</w:t>
            </w:r>
            <w:r>
              <w:rPr>
                <w:color w:val="231F1F"/>
                <w:spacing w:val="40"/>
                <w:sz w:val="22"/>
              </w:rPr>
              <w:t> </w:t>
            </w:r>
            <w:r>
              <w:rPr>
                <w:color w:val="231F1F"/>
                <w:sz w:val="22"/>
              </w:rPr>
              <w:t>de</w:t>
            </w:r>
            <w:r>
              <w:rPr>
                <w:color w:val="231F1F"/>
                <w:spacing w:val="40"/>
                <w:sz w:val="22"/>
              </w:rPr>
              <w:t> </w:t>
            </w:r>
            <w:r>
              <w:rPr>
                <w:color w:val="231F1F"/>
                <w:sz w:val="22"/>
              </w:rPr>
              <w:t>expulsivo.</w:t>
            </w:r>
          </w:p>
          <w:p>
            <w:pPr>
              <w:pStyle w:val="TableParagraph"/>
              <w:numPr>
                <w:ilvl w:val="0"/>
                <w:numId w:val="36"/>
              </w:numPr>
              <w:tabs>
                <w:tab w:pos="338" w:val="left" w:leader="none"/>
                <w:tab w:pos="574" w:val="left" w:leader="none"/>
              </w:tabs>
              <w:spacing w:line="408" w:lineRule="exact" w:before="8" w:after="0"/>
              <w:ind w:left="574" w:right="4642" w:hanging="454"/>
              <w:jc w:val="left"/>
              <w:rPr>
                <w:sz w:val="22"/>
              </w:rPr>
            </w:pPr>
            <w:r>
              <w:rPr>
                <w:color w:val="231F1F"/>
                <w:w w:val="105"/>
                <w:sz w:val="22"/>
              </w:rPr>
              <w:t>Periodo</w:t>
            </w:r>
            <w:r>
              <w:rPr>
                <w:color w:val="231F1F"/>
                <w:spacing w:val="-15"/>
                <w:w w:val="105"/>
                <w:sz w:val="22"/>
              </w:rPr>
              <w:t> </w:t>
            </w:r>
            <w:r>
              <w:rPr>
                <w:color w:val="231F1F"/>
                <w:w w:val="105"/>
                <w:sz w:val="22"/>
              </w:rPr>
              <w:t>expulsivo</w:t>
            </w:r>
            <w:r>
              <w:rPr>
                <w:color w:val="231F1F"/>
                <w:spacing w:val="-14"/>
                <w:w w:val="105"/>
                <w:sz w:val="22"/>
              </w:rPr>
              <w:t> </w:t>
            </w:r>
            <w:r>
              <w:rPr>
                <w:color w:val="231F1F"/>
                <w:w w:val="105"/>
                <w:sz w:val="22"/>
              </w:rPr>
              <w:t>activo</w:t>
            </w:r>
            <w:r>
              <w:rPr>
                <w:color w:val="231F1F"/>
                <w:spacing w:val="-15"/>
                <w:w w:val="105"/>
                <w:sz w:val="22"/>
              </w:rPr>
              <w:t> </w:t>
            </w:r>
            <w:r>
              <w:rPr>
                <w:color w:val="231F1F"/>
                <w:w w:val="105"/>
                <w:sz w:val="22"/>
              </w:rPr>
              <w:t>cuando, El feto es visible ó</w:t>
            </w:r>
          </w:p>
          <w:p>
            <w:pPr>
              <w:pStyle w:val="TableParagraph"/>
              <w:spacing w:line="244" w:lineRule="auto"/>
              <w:ind w:left="574" w:right="155"/>
              <w:rPr>
                <w:sz w:val="22"/>
              </w:rPr>
            </w:pPr>
            <w:r>
              <w:rPr>
                <w:color w:val="231F1F"/>
                <w:w w:val="110"/>
                <w:sz w:val="22"/>
              </w:rPr>
              <w:t>Existen contracciones de expulsivo en presencia de dilatación completa ó </w:t>
            </w:r>
            <w:r>
              <w:rPr>
                <w:color w:val="231F1F"/>
                <w:sz w:val="22"/>
              </w:rPr>
              <w:t>Pujos</w:t>
            </w:r>
            <w:r>
              <w:rPr>
                <w:color w:val="231F1F"/>
                <w:spacing w:val="29"/>
                <w:sz w:val="22"/>
              </w:rPr>
              <w:t> </w:t>
            </w:r>
            <w:r>
              <w:rPr>
                <w:color w:val="231F1F"/>
                <w:sz w:val="22"/>
              </w:rPr>
              <w:t>maternos</w:t>
            </w:r>
            <w:r>
              <w:rPr>
                <w:color w:val="231F1F"/>
                <w:spacing w:val="32"/>
                <w:sz w:val="22"/>
              </w:rPr>
              <w:t> </w:t>
            </w:r>
            <w:r>
              <w:rPr>
                <w:color w:val="231F1F"/>
                <w:sz w:val="22"/>
              </w:rPr>
              <w:t>en</w:t>
            </w:r>
            <w:r>
              <w:rPr>
                <w:color w:val="231F1F"/>
                <w:spacing w:val="32"/>
                <w:sz w:val="22"/>
              </w:rPr>
              <w:t> </w:t>
            </w:r>
            <w:r>
              <w:rPr>
                <w:color w:val="231F1F"/>
                <w:sz w:val="22"/>
              </w:rPr>
              <w:t>presencia</w:t>
            </w:r>
            <w:r>
              <w:rPr>
                <w:color w:val="231F1F"/>
                <w:spacing w:val="32"/>
                <w:sz w:val="22"/>
              </w:rPr>
              <w:t> </w:t>
            </w:r>
            <w:r>
              <w:rPr>
                <w:color w:val="231F1F"/>
                <w:sz w:val="22"/>
              </w:rPr>
              <w:t>de</w:t>
            </w:r>
            <w:r>
              <w:rPr>
                <w:color w:val="231F1F"/>
                <w:spacing w:val="32"/>
                <w:sz w:val="22"/>
              </w:rPr>
              <w:t> </w:t>
            </w:r>
            <w:r>
              <w:rPr>
                <w:color w:val="231F1F"/>
                <w:sz w:val="22"/>
              </w:rPr>
              <w:t>dilatación</w:t>
            </w:r>
            <w:r>
              <w:rPr>
                <w:color w:val="231F1F"/>
                <w:spacing w:val="32"/>
                <w:sz w:val="22"/>
              </w:rPr>
              <w:t> </w:t>
            </w:r>
            <w:r>
              <w:rPr>
                <w:color w:val="231F1F"/>
                <w:sz w:val="22"/>
              </w:rPr>
              <w:t>completa</w:t>
            </w:r>
            <w:r>
              <w:rPr>
                <w:color w:val="231F1F"/>
                <w:spacing w:val="32"/>
                <w:sz w:val="22"/>
              </w:rPr>
              <w:t> </w:t>
            </w:r>
            <w:r>
              <w:rPr>
                <w:color w:val="231F1F"/>
                <w:sz w:val="22"/>
              </w:rPr>
              <w:t>con</w:t>
            </w:r>
            <w:r>
              <w:rPr>
                <w:color w:val="231F1F"/>
                <w:spacing w:val="32"/>
                <w:sz w:val="22"/>
              </w:rPr>
              <w:t> </w:t>
            </w:r>
            <w:r>
              <w:rPr>
                <w:color w:val="231F1F"/>
                <w:sz w:val="22"/>
              </w:rPr>
              <w:t>ausencia</w:t>
            </w:r>
            <w:r>
              <w:rPr>
                <w:color w:val="231F1F"/>
                <w:spacing w:val="31"/>
                <w:sz w:val="22"/>
              </w:rPr>
              <w:t> </w:t>
            </w:r>
            <w:r>
              <w:rPr>
                <w:color w:val="231F1F"/>
                <w:sz w:val="22"/>
              </w:rPr>
              <w:t>de</w:t>
            </w:r>
            <w:r>
              <w:rPr>
                <w:color w:val="231F1F"/>
                <w:spacing w:val="32"/>
                <w:sz w:val="22"/>
              </w:rPr>
              <w:t> </w:t>
            </w:r>
            <w:r>
              <w:rPr>
                <w:color w:val="231F1F"/>
                <w:sz w:val="22"/>
              </w:rPr>
              <w:t>contrac- </w:t>
            </w:r>
            <w:r>
              <w:rPr>
                <w:color w:val="231F1F"/>
                <w:w w:val="110"/>
                <w:sz w:val="22"/>
              </w:rPr>
              <w:t>ciones de expulsivo.</w:t>
            </w:r>
          </w:p>
        </w:tc>
      </w:tr>
    </w:tbl>
    <w:p>
      <w:pPr>
        <w:pStyle w:val="TableParagraph"/>
        <w:spacing w:after="0" w:line="244" w:lineRule="auto"/>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9" w:id="17"/>
      <w:r>
        <w:rPr>
          <w:color w:val="231F1F"/>
        </w:rPr>
        <w:t>Duración</w:t>
      </w:r>
      <w:r>
        <w:rPr>
          <w:color w:val="231F1F"/>
          <w:spacing w:val="50"/>
        </w:rPr>
        <w:t> </w:t>
      </w:r>
      <w:r>
        <w:rPr>
          <w:color w:val="231F1F"/>
        </w:rPr>
        <w:t>y</w:t>
      </w:r>
      <w:r>
        <w:rPr>
          <w:color w:val="231F1F"/>
          <w:spacing w:val="51"/>
        </w:rPr>
        <w:t> </w:t>
      </w:r>
      <w:bookmarkEnd w:id="17"/>
      <w:r>
        <w:rPr>
          <w:color w:val="231F1F"/>
          <w:spacing w:val="-2"/>
        </w:rPr>
        <w:t>progreso</w:t>
      </w:r>
    </w:p>
    <w:p>
      <w:pPr>
        <w:pStyle w:val="BodyText"/>
        <w:spacing w:before="26"/>
        <w:rPr>
          <w:sz w:val="20"/>
        </w:rPr>
      </w:pPr>
      <w:r>
        <w:rPr>
          <w:sz w:val="20"/>
        </w:rPr>
        <mc:AlternateContent>
          <mc:Choice Requires="wps">
            <w:drawing>
              <wp:anchor distT="0" distB="0" distL="0" distR="0" allowOverlap="1" layoutInCell="1" locked="0" behindDoc="1" simplePos="0" relativeHeight="487606784">
                <wp:simplePos x="0" y="0"/>
                <wp:positionH relativeFrom="page">
                  <wp:posOffset>1082675</wp:posOffset>
                </wp:positionH>
                <wp:positionV relativeFrom="paragraph">
                  <wp:posOffset>180997</wp:posOffset>
                </wp:positionV>
                <wp:extent cx="5400040" cy="262255"/>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5400040" cy="262255"/>
                        </a:xfrm>
                        <a:prstGeom prst="rect">
                          <a:avLst/>
                        </a:prstGeom>
                        <a:ln w="6350">
                          <a:solidFill>
                            <a:srgbClr val="A30046"/>
                          </a:solidFill>
                          <a:prstDash val="solid"/>
                        </a:ln>
                      </wps:spPr>
                      <wps:txbx>
                        <w:txbxContent>
                          <w:p>
                            <w:pPr>
                              <w:pStyle w:val="BodyText"/>
                              <w:numPr>
                                <w:ilvl w:val="0"/>
                                <w:numId w:val="37"/>
                              </w:numPr>
                              <w:tabs>
                                <w:tab w:pos="322" w:val="left" w:leader="none"/>
                              </w:tabs>
                              <w:spacing w:line="240" w:lineRule="auto" w:before="51" w:after="0"/>
                              <w:ind w:left="322" w:right="0" w:hanging="218"/>
                              <w:jc w:val="left"/>
                            </w:pPr>
                            <w:r>
                              <w:rPr>
                                <w:color w:val="231F1F"/>
                              </w:rPr>
                              <w:t>¿Influyen</w:t>
                            </w:r>
                            <w:r>
                              <w:rPr>
                                <w:color w:val="231F1F"/>
                                <w:spacing w:val="29"/>
                              </w:rPr>
                              <w:t> </w:t>
                            </w:r>
                            <w:r>
                              <w:rPr>
                                <w:color w:val="231F1F"/>
                              </w:rPr>
                              <w:t>la</w:t>
                            </w:r>
                            <w:r>
                              <w:rPr>
                                <w:color w:val="231F1F"/>
                                <w:spacing w:val="29"/>
                              </w:rPr>
                              <w:t> </w:t>
                            </w:r>
                            <w:r>
                              <w:rPr>
                                <w:color w:val="231F1F"/>
                              </w:rPr>
                              <w:t>duración</w:t>
                            </w:r>
                            <w:r>
                              <w:rPr>
                                <w:color w:val="231F1F"/>
                                <w:spacing w:val="29"/>
                              </w:rPr>
                              <w:t> </w:t>
                            </w:r>
                            <w:r>
                              <w:rPr>
                                <w:color w:val="231F1F"/>
                              </w:rPr>
                              <w:t>y</w:t>
                            </w:r>
                            <w:r>
                              <w:rPr>
                                <w:color w:val="231F1F"/>
                                <w:spacing w:val="30"/>
                              </w:rPr>
                              <w:t> </w:t>
                            </w:r>
                            <w:r>
                              <w:rPr>
                                <w:color w:val="231F1F"/>
                              </w:rPr>
                              <w:t>el</w:t>
                            </w:r>
                            <w:r>
                              <w:rPr>
                                <w:color w:val="231F1F"/>
                                <w:spacing w:val="30"/>
                              </w:rPr>
                              <w:t> </w:t>
                            </w:r>
                            <w:r>
                              <w:rPr>
                                <w:color w:val="231F1F"/>
                              </w:rPr>
                              <w:t>progreso</w:t>
                            </w:r>
                            <w:r>
                              <w:rPr>
                                <w:color w:val="231F1F"/>
                                <w:spacing w:val="29"/>
                              </w:rPr>
                              <w:t> </w:t>
                            </w:r>
                            <w:r>
                              <w:rPr>
                                <w:color w:val="231F1F"/>
                              </w:rPr>
                              <w:t>de</w:t>
                            </w:r>
                            <w:r>
                              <w:rPr>
                                <w:color w:val="231F1F"/>
                                <w:spacing w:val="30"/>
                              </w:rPr>
                              <w:t> </w:t>
                            </w:r>
                            <w:r>
                              <w:rPr>
                                <w:color w:val="231F1F"/>
                              </w:rPr>
                              <w:t>la</w:t>
                            </w:r>
                            <w:r>
                              <w:rPr>
                                <w:color w:val="231F1F"/>
                                <w:spacing w:val="29"/>
                              </w:rPr>
                              <w:t> </w:t>
                            </w:r>
                            <w:r>
                              <w:rPr>
                                <w:color w:val="231F1F"/>
                              </w:rPr>
                              <w:t>segunda</w:t>
                            </w:r>
                            <w:r>
                              <w:rPr>
                                <w:color w:val="231F1F"/>
                                <w:spacing w:val="29"/>
                              </w:rPr>
                              <w:t> </w:t>
                            </w:r>
                            <w:r>
                              <w:rPr>
                                <w:color w:val="231F1F"/>
                              </w:rPr>
                              <w:t>etapa</w:t>
                            </w:r>
                            <w:r>
                              <w:rPr>
                                <w:color w:val="231F1F"/>
                                <w:spacing w:val="31"/>
                              </w:rPr>
                              <w:t> </w:t>
                            </w:r>
                            <w:r>
                              <w:rPr>
                                <w:color w:val="231F1F"/>
                              </w:rPr>
                              <w:t>del</w:t>
                            </w:r>
                            <w:r>
                              <w:rPr>
                                <w:color w:val="231F1F"/>
                                <w:spacing w:val="26"/>
                              </w:rPr>
                              <w:t> </w:t>
                            </w:r>
                            <w:r>
                              <w:rPr>
                                <w:color w:val="231F1F"/>
                              </w:rPr>
                              <w:t>parto</w:t>
                            </w:r>
                            <w:r>
                              <w:rPr>
                                <w:color w:val="231F1F"/>
                                <w:spacing w:val="29"/>
                              </w:rPr>
                              <w:t> </w:t>
                            </w:r>
                            <w:r>
                              <w:rPr>
                                <w:color w:val="231F1F"/>
                              </w:rPr>
                              <w:t>en</w:t>
                            </w:r>
                            <w:r>
                              <w:rPr>
                                <w:color w:val="231F1F"/>
                                <w:spacing w:val="31"/>
                              </w:rPr>
                              <w:t> </w:t>
                            </w:r>
                            <w:r>
                              <w:rPr>
                                <w:color w:val="231F1F"/>
                              </w:rPr>
                              <w:t>los</w:t>
                            </w:r>
                            <w:r>
                              <w:rPr>
                                <w:color w:val="231F1F"/>
                                <w:spacing w:val="29"/>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9696;mso-wrap-distance-left:0;mso-wrap-distance-right:0" type="#_x0000_t202" id="docshape76" filled="false" stroked="true" strokeweight=".5pt" strokecolor="#a30046">
                <v:textbox inset="0,0,0,0">
                  <w:txbxContent>
                    <w:p>
                      <w:pPr>
                        <w:pStyle w:val="BodyText"/>
                        <w:numPr>
                          <w:ilvl w:val="0"/>
                          <w:numId w:val="37"/>
                        </w:numPr>
                        <w:tabs>
                          <w:tab w:pos="322" w:val="left" w:leader="none"/>
                        </w:tabs>
                        <w:spacing w:line="240" w:lineRule="auto" w:before="51" w:after="0"/>
                        <w:ind w:left="322" w:right="0" w:hanging="218"/>
                        <w:jc w:val="left"/>
                      </w:pPr>
                      <w:r>
                        <w:rPr>
                          <w:color w:val="231F1F"/>
                        </w:rPr>
                        <w:t>¿Influyen</w:t>
                      </w:r>
                      <w:r>
                        <w:rPr>
                          <w:color w:val="231F1F"/>
                          <w:spacing w:val="29"/>
                        </w:rPr>
                        <w:t> </w:t>
                      </w:r>
                      <w:r>
                        <w:rPr>
                          <w:color w:val="231F1F"/>
                        </w:rPr>
                        <w:t>la</w:t>
                      </w:r>
                      <w:r>
                        <w:rPr>
                          <w:color w:val="231F1F"/>
                          <w:spacing w:val="29"/>
                        </w:rPr>
                        <w:t> </w:t>
                      </w:r>
                      <w:r>
                        <w:rPr>
                          <w:color w:val="231F1F"/>
                        </w:rPr>
                        <w:t>duración</w:t>
                      </w:r>
                      <w:r>
                        <w:rPr>
                          <w:color w:val="231F1F"/>
                          <w:spacing w:val="29"/>
                        </w:rPr>
                        <w:t> </w:t>
                      </w:r>
                      <w:r>
                        <w:rPr>
                          <w:color w:val="231F1F"/>
                        </w:rPr>
                        <w:t>y</w:t>
                      </w:r>
                      <w:r>
                        <w:rPr>
                          <w:color w:val="231F1F"/>
                          <w:spacing w:val="30"/>
                        </w:rPr>
                        <w:t> </w:t>
                      </w:r>
                      <w:r>
                        <w:rPr>
                          <w:color w:val="231F1F"/>
                        </w:rPr>
                        <w:t>el</w:t>
                      </w:r>
                      <w:r>
                        <w:rPr>
                          <w:color w:val="231F1F"/>
                          <w:spacing w:val="30"/>
                        </w:rPr>
                        <w:t> </w:t>
                      </w:r>
                      <w:r>
                        <w:rPr>
                          <w:color w:val="231F1F"/>
                        </w:rPr>
                        <w:t>progreso</w:t>
                      </w:r>
                      <w:r>
                        <w:rPr>
                          <w:color w:val="231F1F"/>
                          <w:spacing w:val="29"/>
                        </w:rPr>
                        <w:t> </w:t>
                      </w:r>
                      <w:r>
                        <w:rPr>
                          <w:color w:val="231F1F"/>
                        </w:rPr>
                        <w:t>de</w:t>
                      </w:r>
                      <w:r>
                        <w:rPr>
                          <w:color w:val="231F1F"/>
                          <w:spacing w:val="30"/>
                        </w:rPr>
                        <w:t> </w:t>
                      </w:r>
                      <w:r>
                        <w:rPr>
                          <w:color w:val="231F1F"/>
                        </w:rPr>
                        <w:t>la</w:t>
                      </w:r>
                      <w:r>
                        <w:rPr>
                          <w:color w:val="231F1F"/>
                          <w:spacing w:val="29"/>
                        </w:rPr>
                        <w:t> </w:t>
                      </w:r>
                      <w:r>
                        <w:rPr>
                          <w:color w:val="231F1F"/>
                        </w:rPr>
                        <w:t>segunda</w:t>
                      </w:r>
                      <w:r>
                        <w:rPr>
                          <w:color w:val="231F1F"/>
                          <w:spacing w:val="29"/>
                        </w:rPr>
                        <w:t> </w:t>
                      </w:r>
                      <w:r>
                        <w:rPr>
                          <w:color w:val="231F1F"/>
                        </w:rPr>
                        <w:t>etapa</w:t>
                      </w:r>
                      <w:r>
                        <w:rPr>
                          <w:color w:val="231F1F"/>
                          <w:spacing w:val="31"/>
                        </w:rPr>
                        <w:t> </w:t>
                      </w:r>
                      <w:r>
                        <w:rPr>
                          <w:color w:val="231F1F"/>
                        </w:rPr>
                        <w:t>del</w:t>
                      </w:r>
                      <w:r>
                        <w:rPr>
                          <w:color w:val="231F1F"/>
                          <w:spacing w:val="26"/>
                        </w:rPr>
                        <w:t> </w:t>
                      </w:r>
                      <w:r>
                        <w:rPr>
                          <w:color w:val="231F1F"/>
                        </w:rPr>
                        <w:t>parto</w:t>
                      </w:r>
                      <w:r>
                        <w:rPr>
                          <w:color w:val="231F1F"/>
                          <w:spacing w:val="29"/>
                        </w:rPr>
                        <w:t> </w:t>
                      </w:r>
                      <w:r>
                        <w:rPr>
                          <w:color w:val="231F1F"/>
                        </w:rPr>
                        <w:t>en</w:t>
                      </w:r>
                      <w:r>
                        <w:rPr>
                          <w:color w:val="231F1F"/>
                          <w:spacing w:val="31"/>
                        </w:rPr>
                        <w:t> </w:t>
                      </w:r>
                      <w:r>
                        <w:rPr>
                          <w:color w:val="231F1F"/>
                        </w:rPr>
                        <w:t>los</w:t>
                      </w:r>
                      <w:r>
                        <w:rPr>
                          <w:color w:val="231F1F"/>
                          <w:spacing w:val="29"/>
                        </w:rPr>
                        <w:t> </w:t>
                      </w:r>
                      <w:r>
                        <w:rPr>
                          <w:color w:val="231F1F"/>
                          <w:spacing w:val="-2"/>
                        </w:rPr>
                        <w:t>resultados?</w:t>
                      </w:r>
                    </w:p>
                  </w:txbxContent>
                </v:textbox>
                <v:stroke dashstyle="solid"/>
                <w10:wrap type="topAndBottom"/>
              </v:shape>
            </w:pict>
          </mc:Fallback>
        </mc:AlternateContent>
      </w:r>
    </w:p>
    <w:p>
      <w:pPr>
        <w:pStyle w:val="BodyText"/>
        <w:spacing w:line="249" w:lineRule="auto" w:before="324"/>
        <w:ind w:left="283" w:right="119"/>
        <w:jc w:val="both"/>
      </w:pPr>
      <w:r>
        <w:rPr>
          <w:color w:val="231F1F"/>
          <w:w w:val="105"/>
        </w:rPr>
        <w:t>El manejo seguro y eficaz de la segunda etapa del parto representa un reto clínico para las mujeres en trabajo de parto y para los profesionales de la asistencia obstétrica. Sin embar- go, la duración óptima de la segunda etapa del trabajo todavía no ha sido bien establecida.</w:t>
      </w:r>
    </w:p>
    <w:p>
      <w:pPr>
        <w:pStyle w:val="BodyText"/>
        <w:spacing w:line="244" w:lineRule="auto" w:before="137"/>
        <w:ind w:left="283" w:right="121" w:firstLine="453"/>
        <w:jc w:val="both"/>
      </w:pPr>
      <w:r>
        <w:rPr>
          <w:color w:val="231F1F"/>
          <w:w w:val="110"/>
        </w:rPr>
        <w:t>La creencia actual es que con la vigilancia intensiva intraparto se pueden detectar precozmente</w:t>
      </w:r>
      <w:r>
        <w:rPr>
          <w:color w:val="231F1F"/>
          <w:spacing w:val="-9"/>
          <w:w w:val="110"/>
        </w:rPr>
        <w:t> </w:t>
      </w:r>
      <w:r>
        <w:rPr>
          <w:color w:val="231F1F"/>
          <w:w w:val="110"/>
        </w:rPr>
        <w:t>los</w:t>
      </w:r>
      <w:r>
        <w:rPr>
          <w:color w:val="231F1F"/>
          <w:spacing w:val="-9"/>
          <w:w w:val="110"/>
        </w:rPr>
        <w:t> </w:t>
      </w:r>
      <w:r>
        <w:rPr>
          <w:color w:val="231F1F"/>
          <w:w w:val="110"/>
        </w:rPr>
        <w:t>fetos</w:t>
      </w:r>
      <w:r>
        <w:rPr>
          <w:color w:val="231F1F"/>
          <w:spacing w:val="-9"/>
          <w:w w:val="110"/>
        </w:rPr>
        <w:t> </w:t>
      </w:r>
      <w:r>
        <w:rPr>
          <w:color w:val="231F1F"/>
          <w:w w:val="110"/>
        </w:rPr>
        <w:t>que</w:t>
      </w:r>
      <w:r>
        <w:rPr>
          <w:color w:val="231F1F"/>
          <w:spacing w:val="-9"/>
          <w:w w:val="110"/>
        </w:rPr>
        <w:t> </w:t>
      </w:r>
      <w:r>
        <w:rPr>
          <w:color w:val="231F1F"/>
          <w:w w:val="110"/>
        </w:rPr>
        <w:t>no</w:t>
      </w:r>
      <w:r>
        <w:rPr>
          <w:color w:val="231F1F"/>
          <w:spacing w:val="-9"/>
          <w:w w:val="110"/>
        </w:rPr>
        <w:t> </w:t>
      </w:r>
      <w:r>
        <w:rPr>
          <w:color w:val="231F1F"/>
          <w:w w:val="110"/>
        </w:rPr>
        <w:t>toleran</w:t>
      </w:r>
      <w:r>
        <w:rPr>
          <w:color w:val="231F1F"/>
          <w:spacing w:val="-9"/>
          <w:w w:val="110"/>
        </w:rPr>
        <w:t> </w:t>
      </w:r>
      <w:r>
        <w:rPr>
          <w:color w:val="231F1F"/>
          <w:w w:val="110"/>
        </w:rPr>
        <w:t>el</w:t>
      </w:r>
      <w:r>
        <w:rPr>
          <w:color w:val="231F1F"/>
          <w:spacing w:val="-9"/>
          <w:w w:val="110"/>
        </w:rPr>
        <w:t> </w:t>
      </w:r>
      <w:r>
        <w:rPr>
          <w:color w:val="231F1F"/>
          <w:w w:val="110"/>
        </w:rPr>
        <w:t>trabajo</w:t>
      </w:r>
      <w:r>
        <w:rPr>
          <w:color w:val="231F1F"/>
          <w:spacing w:val="-9"/>
          <w:w w:val="110"/>
        </w:rPr>
        <w:t> </w:t>
      </w:r>
      <w:r>
        <w:rPr>
          <w:color w:val="231F1F"/>
          <w:w w:val="110"/>
        </w:rPr>
        <w:t>de</w:t>
      </w:r>
      <w:r>
        <w:rPr>
          <w:color w:val="231F1F"/>
          <w:spacing w:val="-9"/>
          <w:w w:val="110"/>
        </w:rPr>
        <w:t> </w:t>
      </w:r>
      <w:r>
        <w:rPr>
          <w:color w:val="231F1F"/>
          <w:w w:val="110"/>
        </w:rPr>
        <w:t>parto,</w:t>
      </w:r>
      <w:r>
        <w:rPr>
          <w:color w:val="231F1F"/>
          <w:spacing w:val="-9"/>
          <w:w w:val="110"/>
        </w:rPr>
        <w:t> </w:t>
      </w:r>
      <w:r>
        <w:rPr>
          <w:color w:val="231F1F"/>
          <w:w w:val="110"/>
        </w:rPr>
        <w:t>pudiéndose</w:t>
      </w:r>
      <w:r>
        <w:rPr>
          <w:color w:val="231F1F"/>
          <w:spacing w:val="-9"/>
          <w:w w:val="110"/>
        </w:rPr>
        <w:t> </w:t>
      </w:r>
      <w:r>
        <w:rPr>
          <w:color w:val="231F1F"/>
          <w:w w:val="110"/>
        </w:rPr>
        <w:t>emprender</w:t>
      </w:r>
      <w:r>
        <w:rPr>
          <w:color w:val="231F1F"/>
          <w:spacing w:val="-9"/>
          <w:w w:val="110"/>
        </w:rPr>
        <w:t> </w:t>
      </w:r>
      <w:r>
        <w:rPr>
          <w:color w:val="231F1F"/>
          <w:w w:val="110"/>
        </w:rPr>
        <w:t>acciones que</w:t>
      </w:r>
      <w:r>
        <w:rPr>
          <w:color w:val="231F1F"/>
          <w:spacing w:val="-15"/>
          <w:w w:val="110"/>
        </w:rPr>
        <w:t> </w:t>
      </w:r>
      <w:r>
        <w:rPr>
          <w:color w:val="231F1F"/>
          <w:w w:val="110"/>
        </w:rPr>
        <w:t>eviten</w:t>
      </w:r>
      <w:r>
        <w:rPr>
          <w:color w:val="231F1F"/>
          <w:spacing w:val="-15"/>
          <w:w w:val="110"/>
        </w:rPr>
        <w:t> </w:t>
      </w:r>
      <w:r>
        <w:rPr>
          <w:color w:val="231F1F"/>
          <w:w w:val="110"/>
        </w:rPr>
        <w:t>la</w:t>
      </w:r>
      <w:r>
        <w:rPr>
          <w:color w:val="231F1F"/>
          <w:spacing w:val="-15"/>
          <w:w w:val="110"/>
        </w:rPr>
        <w:t> </w:t>
      </w:r>
      <w:r>
        <w:rPr>
          <w:color w:val="231F1F"/>
          <w:w w:val="110"/>
        </w:rPr>
        <w:t>asfixia</w:t>
      </w:r>
      <w:r>
        <w:rPr>
          <w:color w:val="231F1F"/>
          <w:spacing w:val="-15"/>
          <w:w w:val="110"/>
        </w:rPr>
        <w:t> </w:t>
      </w:r>
      <w:r>
        <w:rPr>
          <w:color w:val="231F1F"/>
          <w:w w:val="110"/>
        </w:rPr>
        <w:t>fetal,</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5"/>
          <w:w w:val="110"/>
        </w:rPr>
        <w:t> </w:t>
      </w:r>
      <w:r>
        <w:rPr>
          <w:color w:val="231F1F"/>
          <w:w w:val="110"/>
        </w:rPr>
        <w:t>que</w:t>
      </w:r>
      <w:r>
        <w:rPr>
          <w:color w:val="231F1F"/>
          <w:spacing w:val="-15"/>
          <w:w w:val="110"/>
        </w:rPr>
        <w:t> </w:t>
      </w:r>
      <w:r>
        <w:rPr>
          <w:color w:val="231F1F"/>
          <w:w w:val="110"/>
        </w:rPr>
        <w:t>como</w:t>
      </w:r>
      <w:r>
        <w:rPr>
          <w:color w:val="231F1F"/>
          <w:spacing w:val="-15"/>
          <w:w w:val="110"/>
        </w:rPr>
        <w:t> </w:t>
      </w:r>
      <w:r>
        <w:rPr>
          <w:color w:val="231F1F"/>
          <w:w w:val="110"/>
        </w:rPr>
        <w:t>ya</w:t>
      </w:r>
      <w:r>
        <w:rPr>
          <w:color w:val="231F1F"/>
          <w:spacing w:val="-15"/>
          <w:w w:val="110"/>
        </w:rPr>
        <w:t> </w:t>
      </w:r>
      <w:r>
        <w:rPr>
          <w:color w:val="231F1F"/>
          <w:w w:val="110"/>
        </w:rPr>
        <w:t>advirtió</w:t>
      </w:r>
      <w:r>
        <w:rPr>
          <w:color w:val="231F1F"/>
          <w:spacing w:val="-15"/>
          <w:w w:val="110"/>
        </w:rPr>
        <w:t> </w:t>
      </w:r>
      <w:r>
        <w:rPr>
          <w:color w:val="231F1F"/>
          <w:w w:val="110"/>
        </w:rPr>
        <w:t>la</w:t>
      </w:r>
      <w:r>
        <w:rPr>
          <w:color w:val="231F1F"/>
          <w:spacing w:val="-15"/>
          <w:w w:val="110"/>
        </w:rPr>
        <w:t> </w:t>
      </w:r>
      <w:r>
        <w:rPr>
          <w:color w:val="231F1F"/>
          <w:w w:val="110"/>
        </w:rPr>
        <w:t>ACOG,</w:t>
      </w:r>
      <w:r>
        <w:rPr>
          <w:color w:val="231F1F"/>
          <w:spacing w:val="-16"/>
          <w:w w:val="110"/>
        </w:rPr>
        <w:t> </w:t>
      </w:r>
      <w:r>
        <w:rPr>
          <w:color w:val="231F1F"/>
          <w:w w:val="110"/>
        </w:rPr>
        <w:t>la</w:t>
      </w:r>
      <w:r>
        <w:rPr>
          <w:color w:val="231F1F"/>
          <w:spacing w:val="-13"/>
          <w:w w:val="110"/>
        </w:rPr>
        <w:t> </w:t>
      </w:r>
      <w:r>
        <w:rPr>
          <w:color w:val="231F1F"/>
          <w:w w:val="110"/>
        </w:rPr>
        <w:t>duración</w:t>
      </w:r>
      <w:r>
        <w:rPr>
          <w:color w:val="231F1F"/>
          <w:spacing w:val="-15"/>
          <w:w w:val="110"/>
        </w:rPr>
        <w:t> </w:t>
      </w:r>
      <w:r>
        <w:rPr>
          <w:color w:val="231F1F"/>
          <w:w w:val="110"/>
        </w:rPr>
        <w:t>del</w:t>
      </w:r>
      <w:r>
        <w:rPr>
          <w:color w:val="231F1F"/>
          <w:spacing w:val="-16"/>
          <w:w w:val="110"/>
        </w:rPr>
        <w:t> </w:t>
      </w:r>
      <w:r>
        <w:rPr>
          <w:color w:val="231F1F"/>
          <w:w w:val="110"/>
        </w:rPr>
        <w:t>perio- do</w:t>
      </w:r>
      <w:r>
        <w:rPr>
          <w:color w:val="231F1F"/>
          <w:spacing w:val="-16"/>
          <w:w w:val="110"/>
        </w:rPr>
        <w:t> </w:t>
      </w:r>
      <w:r>
        <w:rPr>
          <w:color w:val="231F1F"/>
          <w:w w:val="110"/>
        </w:rPr>
        <w:t>expulsivo,</w:t>
      </w:r>
      <w:r>
        <w:rPr>
          <w:color w:val="231F1F"/>
          <w:spacing w:val="-15"/>
          <w:w w:val="110"/>
        </w:rPr>
        <w:t> </w:t>
      </w:r>
      <w:r>
        <w:rPr>
          <w:color w:val="231F1F"/>
          <w:w w:val="110"/>
        </w:rPr>
        <w:t>por</w:t>
      </w:r>
      <w:r>
        <w:rPr>
          <w:color w:val="231F1F"/>
          <w:spacing w:val="-15"/>
          <w:w w:val="110"/>
        </w:rPr>
        <w:t> </w:t>
      </w:r>
      <w:r>
        <w:rPr>
          <w:color w:val="231F1F"/>
          <w:w w:val="110"/>
        </w:rPr>
        <w:t>sí</w:t>
      </w:r>
      <w:r>
        <w:rPr>
          <w:color w:val="231F1F"/>
          <w:spacing w:val="-15"/>
          <w:w w:val="110"/>
        </w:rPr>
        <w:t> </w:t>
      </w:r>
      <w:r>
        <w:rPr>
          <w:color w:val="231F1F"/>
          <w:w w:val="110"/>
        </w:rPr>
        <w:t>misma,</w:t>
      </w:r>
      <w:r>
        <w:rPr>
          <w:color w:val="231F1F"/>
          <w:spacing w:val="-15"/>
          <w:w w:val="110"/>
        </w:rPr>
        <w:t> </w:t>
      </w:r>
      <w:r>
        <w:rPr>
          <w:color w:val="231F1F"/>
          <w:w w:val="110"/>
        </w:rPr>
        <w:t>no</w:t>
      </w:r>
      <w:r>
        <w:rPr>
          <w:color w:val="231F1F"/>
          <w:spacing w:val="-15"/>
          <w:w w:val="110"/>
        </w:rPr>
        <w:t> </w:t>
      </w:r>
      <w:r>
        <w:rPr>
          <w:color w:val="231F1F"/>
          <w:w w:val="110"/>
        </w:rPr>
        <w:t>es</w:t>
      </w:r>
      <w:r>
        <w:rPr>
          <w:color w:val="231F1F"/>
          <w:spacing w:val="-15"/>
          <w:w w:val="110"/>
        </w:rPr>
        <w:t> </w:t>
      </w:r>
      <w:r>
        <w:rPr>
          <w:color w:val="231F1F"/>
          <w:w w:val="110"/>
        </w:rPr>
        <w:t>una</w:t>
      </w:r>
      <w:r>
        <w:rPr>
          <w:color w:val="231F1F"/>
          <w:spacing w:val="-15"/>
          <w:w w:val="110"/>
        </w:rPr>
        <w:t> </w:t>
      </w:r>
      <w:r>
        <w:rPr>
          <w:color w:val="231F1F"/>
          <w:w w:val="110"/>
        </w:rPr>
        <w:t>indicación</w:t>
      </w:r>
      <w:r>
        <w:rPr>
          <w:color w:val="231F1F"/>
          <w:spacing w:val="-16"/>
          <w:w w:val="110"/>
        </w:rPr>
        <w:t> </w:t>
      </w:r>
      <w:r>
        <w:rPr>
          <w:color w:val="231F1F"/>
          <w:w w:val="110"/>
        </w:rPr>
        <w:t>para</w:t>
      </w:r>
      <w:r>
        <w:rPr>
          <w:color w:val="231F1F"/>
          <w:spacing w:val="-15"/>
          <w:w w:val="110"/>
        </w:rPr>
        <w:t> </w:t>
      </w:r>
      <w:r>
        <w:rPr>
          <w:color w:val="231F1F"/>
          <w:w w:val="110"/>
        </w:rPr>
        <w:t>terminar</w:t>
      </w:r>
      <w:r>
        <w:rPr>
          <w:color w:val="231F1F"/>
          <w:spacing w:val="-15"/>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(89).</w:t>
      </w:r>
      <w:r>
        <w:rPr>
          <w:color w:val="231F1F"/>
          <w:spacing w:val="-15"/>
          <w:w w:val="110"/>
        </w:rPr>
        <w:t> </w:t>
      </w:r>
      <w:r>
        <w:rPr>
          <w:color w:val="231F1F"/>
          <w:w w:val="110"/>
        </w:rPr>
        <w:t>El</w:t>
      </w:r>
      <w:r>
        <w:rPr>
          <w:color w:val="231F1F"/>
          <w:spacing w:val="-15"/>
          <w:w w:val="110"/>
        </w:rPr>
        <w:t> </w:t>
      </w:r>
      <w:r>
        <w:rPr>
          <w:color w:val="231F1F"/>
          <w:w w:val="110"/>
        </w:rPr>
        <w:t>manejo</w:t>
      </w:r>
      <w:r>
        <w:rPr>
          <w:color w:val="231F1F"/>
          <w:spacing w:val="-15"/>
          <w:w w:val="110"/>
        </w:rPr>
        <w:t> </w:t>
      </w:r>
      <w:r>
        <w:rPr>
          <w:color w:val="231F1F"/>
          <w:w w:val="110"/>
        </w:rPr>
        <w:t>de la</w:t>
      </w:r>
      <w:r>
        <w:rPr>
          <w:color w:val="231F1F"/>
          <w:spacing w:val="-10"/>
          <w:w w:val="110"/>
        </w:rPr>
        <w:t> </w:t>
      </w:r>
      <w:r>
        <w:rPr>
          <w:color w:val="231F1F"/>
          <w:w w:val="110"/>
        </w:rPr>
        <w:t>segunda</w:t>
      </w:r>
      <w:r>
        <w:rPr>
          <w:color w:val="231F1F"/>
          <w:spacing w:val="-10"/>
          <w:w w:val="110"/>
        </w:rPr>
        <w:t> </w:t>
      </w:r>
      <w:r>
        <w:rPr>
          <w:color w:val="231F1F"/>
          <w:w w:val="110"/>
        </w:rPr>
        <w:t>etapa</w:t>
      </w:r>
      <w:r>
        <w:rPr>
          <w:color w:val="231F1F"/>
          <w:spacing w:val="-10"/>
          <w:w w:val="110"/>
        </w:rPr>
        <w:t> </w:t>
      </w:r>
      <w:r>
        <w:rPr>
          <w:color w:val="231F1F"/>
          <w:w w:val="110"/>
        </w:rPr>
        <w:t>del</w:t>
      </w:r>
      <w:r>
        <w:rPr>
          <w:color w:val="231F1F"/>
          <w:spacing w:val="-11"/>
          <w:w w:val="110"/>
        </w:rPr>
        <w:t> </w:t>
      </w:r>
      <w:r>
        <w:rPr>
          <w:color w:val="231F1F"/>
          <w:w w:val="110"/>
        </w:rPr>
        <w:t>parto</w:t>
      </w:r>
      <w:r>
        <w:rPr>
          <w:color w:val="231F1F"/>
          <w:spacing w:val="-10"/>
          <w:w w:val="110"/>
        </w:rPr>
        <w:t> </w:t>
      </w:r>
      <w:r>
        <w:rPr>
          <w:color w:val="231F1F"/>
          <w:w w:val="110"/>
        </w:rPr>
        <w:t>debería</w:t>
      </w:r>
      <w:r>
        <w:rPr>
          <w:color w:val="231F1F"/>
          <w:spacing w:val="-10"/>
          <w:w w:val="110"/>
        </w:rPr>
        <w:t> </w:t>
      </w:r>
      <w:r>
        <w:rPr>
          <w:color w:val="231F1F"/>
          <w:w w:val="110"/>
        </w:rPr>
        <w:t>maximizar</w:t>
      </w:r>
      <w:r>
        <w:rPr>
          <w:color w:val="231F1F"/>
          <w:spacing w:val="-10"/>
          <w:w w:val="110"/>
        </w:rPr>
        <w:t> </w:t>
      </w:r>
      <w:r>
        <w:rPr>
          <w:color w:val="231F1F"/>
          <w:w w:val="110"/>
        </w:rPr>
        <w:t>la</w:t>
      </w:r>
      <w:r>
        <w:rPr>
          <w:color w:val="231F1F"/>
          <w:spacing w:val="-10"/>
          <w:w w:val="110"/>
        </w:rPr>
        <w:t> </w:t>
      </w:r>
      <w:r>
        <w:rPr>
          <w:color w:val="231F1F"/>
          <w:w w:val="110"/>
        </w:rPr>
        <w:t>probabilidad</w:t>
      </w:r>
      <w:r>
        <w:rPr>
          <w:color w:val="231F1F"/>
          <w:spacing w:val="-10"/>
          <w:w w:val="110"/>
        </w:rPr>
        <w:t> </w:t>
      </w:r>
      <w:r>
        <w:rPr>
          <w:color w:val="231F1F"/>
          <w:w w:val="110"/>
        </w:rPr>
        <w:t>de</w:t>
      </w:r>
      <w:r>
        <w:rPr>
          <w:color w:val="231F1F"/>
          <w:spacing w:val="-10"/>
          <w:w w:val="110"/>
        </w:rPr>
        <w:t> </w:t>
      </w:r>
      <w:r>
        <w:rPr>
          <w:color w:val="231F1F"/>
          <w:w w:val="110"/>
        </w:rPr>
        <w:t>un</w:t>
      </w:r>
      <w:r>
        <w:rPr>
          <w:color w:val="231F1F"/>
          <w:spacing w:val="-10"/>
          <w:w w:val="110"/>
        </w:rPr>
        <w:t> </w:t>
      </w:r>
      <w:r>
        <w:rPr>
          <w:color w:val="231F1F"/>
          <w:w w:val="110"/>
        </w:rPr>
        <w:t>parto</w:t>
      </w:r>
      <w:r>
        <w:rPr>
          <w:color w:val="231F1F"/>
          <w:spacing w:val="-10"/>
          <w:w w:val="110"/>
        </w:rPr>
        <w:t> </w:t>
      </w:r>
      <w:r>
        <w:rPr>
          <w:color w:val="231F1F"/>
          <w:w w:val="110"/>
        </w:rPr>
        <w:t>vaginal</w:t>
      </w:r>
      <w:r>
        <w:rPr>
          <w:color w:val="231F1F"/>
          <w:spacing w:val="-11"/>
          <w:w w:val="110"/>
        </w:rPr>
        <w:t> </w:t>
      </w:r>
      <w:r>
        <w:rPr>
          <w:color w:val="231F1F"/>
          <w:w w:val="110"/>
        </w:rPr>
        <w:t>a</w:t>
      </w:r>
      <w:r>
        <w:rPr>
          <w:color w:val="231F1F"/>
          <w:spacing w:val="-10"/>
          <w:w w:val="110"/>
        </w:rPr>
        <w:t> </w:t>
      </w:r>
      <w:r>
        <w:rPr>
          <w:color w:val="231F1F"/>
          <w:w w:val="110"/>
        </w:rPr>
        <w:t>la</w:t>
      </w:r>
      <w:r>
        <w:rPr>
          <w:color w:val="231F1F"/>
          <w:spacing w:val="-10"/>
          <w:w w:val="110"/>
        </w:rPr>
        <w:t> </w:t>
      </w:r>
      <w:r>
        <w:rPr>
          <w:color w:val="231F1F"/>
          <w:w w:val="110"/>
        </w:rPr>
        <w:t>vez de minimizar el riesgo de morbimortalidad materna y neonatal (90).</w:t>
      </w:r>
    </w:p>
    <w:p>
      <w:pPr>
        <w:pStyle w:val="BodyText"/>
        <w:spacing w:before="162"/>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65"/>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empleó</w:t>
      </w:r>
      <w:r>
        <w:rPr>
          <w:color w:val="231F1F"/>
          <w:w w:val="105"/>
        </w:rPr>
        <w:t> 16</w:t>
      </w:r>
      <w:r>
        <w:rPr>
          <w:color w:val="231F1F"/>
          <w:w w:val="105"/>
        </w:rPr>
        <w:t> estudios</w:t>
      </w:r>
      <w:r>
        <w:rPr>
          <w:color w:val="231F1F"/>
          <w:w w:val="105"/>
        </w:rPr>
        <w:t> para</w:t>
      </w:r>
      <w:r>
        <w:rPr>
          <w:color w:val="231F1F"/>
          <w:w w:val="105"/>
        </w:rPr>
        <w:t> responder</w:t>
      </w:r>
      <w:r>
        <w:rPr>
          <w:color w:val="231F1F"/>
          <w:w w:val="105"/>
        </w:rPr>
        <w:t> a</w:t>
      </w:r>
      <w:r>
        <w:rPr>
          <w:color w:val="231F1F"/>
          <w:w w:val="105"/>
        </w:rPr>
        <w:t> esta cuestión.</w:t>
      </w:r>
      <w:r>
        <w:rPr>
          <w:color w:val="231F1F"/>
          <w:w w:val="105"/>
        </w:rPr>
        <w:t> Diez estudios observacionales de variada calidad, que analizaban la duración de la segunda etapa del parto y sus consecuencias, tres estudios descriptivos y otros tres en los que no se especificaban las etapas del parto.</w:t>
      </w:r>
    </w:p>
    <w:p>
      <w:pPr>
        <w:pStyle w:val="BodyText"/>
        <w:spacing w:line="244" w:lineRule="auto" w:before="139"/>
        <w:ind w:left="283" w:right="1370" w:firstLine="453"/>
        <w:jc w:val="both"/>
      </w:pPr>
      <w:r>
        <w:rPr>
          <w:color w:val="231F1F"/>
          <w:w w:val="105"/>
        </w:rPr>
        <w:t>Entre</w:t>
      </w:r>
      <w:r>
        <w:rPr>
          <w:color w:val="231F1F"/>
          <w:w w:val="105"/>
        </w:rPr>
        <w:t> los</w:t>
      </w:r>
      <w:r>
        <w:rPr>
          <w:color w:val="231F1F"/>
          <w:w w:val="105"/>
        </w:rPr>
        <w:t> </w:t>
      </w:r>
      <w:r>
        <w:rPr>
          <w:i/>
          <w:color w:val="231F1F"/>
          <w:w w:val="105"/>
        </w:rPr>
        <w:t>estudios</w:t>
      </w:r>
      <w:r>
        <w:rPr>
          <w:i/>
          <w:color w:val="231F1F"/>
          <w:w w:val="105"/>
        </w:rPr>
        <w:t> observacionales</w:t>
      </w:r>
      <w:r>
        <w:rPr>
          <w:color w:val="231F1F"/>
          <w:w w:val="105"/>
        </w:rPr>
        <w:t>,</w:t>
      </w:r>
      <w:r>
        <w:rPr>
          <w:color w:val="231F1F"/>
          <w:w w:val="105"/>
        </w:rPr>
        <w:t> un</w:t>
      </w:r>
      <w:r>
        <w:rPr>
          <w:color w:val="231F1F"/>
          <w:w w:val="105"/>
        </w:rPr>
        <w:t> estudio</w:t>
      </w:r>
      <w:r>
        <w:rPr>
          <w:color w:val="231F1F"/>
          <w:w w:val="105"/>
        </w:rPr>
        <w:t> transversal</w:t>
      </w:r>
      <w:r>
        <w:rPr>
          <w:color w:val="231F1F"/>
          <w:w w:val="105"/>
        </w:rPr>
        <w:t> realizado</w:t>
      </w:r>
      <w:r>
        <w:rPr>
          <w:color w:val="231F1F"/>
          <w:w w:val="105"/>
        </w:rPr>
        <w:t> en EEUU (90) que incluía a 15.759 mujeres, investigó la prolongación de la du- ración de la segunda etapa (más de 4 horas) y sus consecuencias.</w:t>
      </w:r>
    </w:p>
    <w:p>
      <w:pPr>
        <w:pStyle w:val="BodyText"/>
        <w:tabs>
          <w:tab w:pos="7528" w:val="left" w:leader="none"/>
        </w:tabs>
        <w:spacing w:before="100"/>
        <w:ind w:left="127"/>
        <w:jc w:val="center"/>
        <w:rPr>
          <w:rFonts w:ascii="Arial MT" w:hAnsi="Arial MT"/>
          <w:sz w:val="18"/>
        </w:rPr>
      </w:pPr>
      <w:r>
        <w:rPr>
          <w:color w:val="231F1F"/>
        </w:rPr>
        <w:t>La</w:t>
      </w:r>
      <w:r>
        <w:rPr>
          <w:color w:val="231F1F"/>
          <w:spacing w:val="7"/>
        </w:rPr>
        <w:t> </w:t>
      </w:r>
      <w:r>
        <w:rPr>
          <w:color w:val="231F1F"/>
        </w:rPr>
        <w:t>regresión</w:t>
      </w:r>
      <w:r>
        <w:rPr>
          <w:color w:val="231F1F"/>
          <w:spacing w:val="8"/>
        </w:rPr>
        <w:t> </w:t>
      </w:r>
      <w:r>
        <w:rPr>
          <w:color w:val="231F1F"/>
        </w:rPr>
        <w:t>logística</w:t>
      </w:r>
      <w:r>
        <w:rPr>
          <w:color w:val="231F1F"/>
          <w:spacing w:val="8"/>
        </w:rPr>
        <w:t> </w:t>
      </w:r>
      <w:r>
        <w:rPr>
          <w:color w:val="231F1F"/>
        </w:rPr>
        <w:t>realizada</w:t>
      </w:r>
      <w:r>
        <w:rPr>
          <w:color w:val="231F1F"/>
          <w:spacing w:val="5"/>
        </w:rPr>
        <w:t> </w:t>
      </w:r>
      <w:r>
        <w:rPr>
          <w:color w:val="231F1F"/>
        </w:rPr>
        <w:t>controlando</w:t>
      </w:r>
      <w:r>
        <w:rPr>
          <w:color w:val="231F1F"/>
          <w:spacing w:val="8"/>
        </w:rPr>
        <w:t> </w:t>
      </w:r>
      <w:r>
        <w:rPr>
          <w:color w:val="231F1F"/>
        </w:rPr>
        <w:t>las</w:t>
      </w:r>
      <w:r>
        <w:rPr>
          <w:color w:val="231F1F"/>
          <w:spacing w:val="8"/>
        </w:rPr>
        <w:t> </w:t>
      </w:r>
      <w:r>
        <w:rPr>
          <w:color w:val="231F1F"/>
        </w:rPr>
        <w:t>variables</w:t>
      </w:r>
      <w:r>
        <w:rPr>
          <w:color w:val="231F1F"/>
          <w:spacing w:val="6"/>
        </w:rPr>
        <w:t> </w:t>
      </w:r>
      <w:r>
        <w:rPr>
          <w:color w:val="231F1F"/>
        </w:rPr>
        <w:t>confusoras,</w:t>
      </w:r>
      <w:r>
        <w:rPr>
          <w:color w:val="231F1F"/>
          <w:spacing w:val="7"/>
        </w:rPr>
        <w:t> </w:t>
      </w:r>
      <w:r>
        <w:rPr>
          <w:color w:val="231F1F"/>
          <w:spacing w:val="-4"/>
        </w:rPr>
        <w:t>mos-</w:t>
      </w:r>
      <w:r>
        <w:rPr>
          <w:color w:val="231F1F"/>
        </w:rPr>
        <w:tab/>
      </w:r>
      <w:r>
        <w:rPr>
          <w:rFonts w:ascii="Arial MT" w:hAnsi="Arial MT"/>
          <w:color w:val="231F1F"/>
          <w:spacing w:val="-5"/>
          <w:sz w:val="18"/>
        </w:rPr>
        <w:t>E.</w:t>
      </w:r>
    </w:p>
    <w:p>
      <w:pPr>
        <w:pStyle w:val="BodyText"/>
        <w:spacing w:before="3"/>
        <w:ind w:left="68"/>
        <w:jc w:val="center"/>
        <w:rPr>
          <w:rFonts w:ascii="Arial MT" w:hAnsi="Arial MT"/>
          <w:position w:val="4"/>
          <w:sz w:val="18"/>
        </w:rPr>
      </w:pPr>
      <w:r>
        <w:rPr>
          <w:color w:val="231F1F"/>
          <w:w w:val="110"/>
        </w:rPr>
        <w:t>tró</w:t>
      </w:r>
      <w:r>
        <w:rPr>
          <w:color w:val="231F1F"/>
          <w:spacing w:val="-16"/>
          <w:w w:val="110"/>
        </w:rPr>
        <w:t> </w:t>
      </w:r>
      <w:r>
        <w:rPr>
          <w:color w:val="231F1F"/>
          <w:w w:val="110"/>
        </w:rPr>
        <w:t>una</w:t>
      </w:r>
      <w:r>
        <w:rPr>
          <w:color w:val="231F1F"/>
          <w:spacing w:val="-15"/>
          <w:w w:val="110"/>
        </w:rPr>
        <w:t> </w:t>
      </w:r>
      <w:r>
        <w:rPr>
          <w:color w:val="231F1F"/>
          <w:w w:val="110"/>
        </w:rPr>
        <w:t>moderada</w:t>
      </w:r>
      <w:r>
        <w:rPr>
          <w:color w:val="231F1F"/>
          <w:spacing w:val="-15"/>
          <w:w w:val="110"/>
        </w:rPr>
        <w:t> </w:t>
      </w:r>
      <w:r>
        <w:rPr>
          <w:color w:val="231F1F"/>
          <w:w w:val="110"/>
        </w:rPr>
        <w:t>evidencia</w:t>
      </w:r>
      <w:r>
        <w:rPr>
          <w:color w:val="231F1F"/>
          <w:spacing w:val="-15"/>
          <w:w w:val="110"/>
        </w:rPr>
        <w:t> </w:t>
      </w:r>
      <w:r>
        <w:rPr>
          <w:color w:val="231F1F"/>
          <w:w w:val="110"/>
        </w:rPr>
        <w:t>de</w:t>
      </w:r>
      <w:r>
        <w:rPr>
          <w:color w:val="231F1F"/>
          <w:spacing w:val="-15"/>
          <w:w w:val="110"/>
        </w:rPr>
        <w:t> </w:t>
      </w:r>
      <w:r>
        <w:rPr>
          <w:color w:val="231F1F"/>
          <w:w w:val="110"/>
        </w:rPr>
        <w:t>asociación</w:t>
      </w:r>
      <w:r>
        <w:rPr>
          <w:color w:val="231F1F"/>
          <w:spacing w:val="-15"/>
          <w:w w:val="110"/>
        </w:rPr>
        <w:t> </w:t>
      </w:r>
      <w:r>
        <w:rPr>
          <w:color w:val="231F1F"/>
          <w:w w:val="110"/>
        </w:rPr>
        <w:t>entre</w:t>
      </w:r>
      <w:r>
        <w:rPr>
          <w:color w:val="231F1F"/>
          <w:spacing w:val="-15"/>
          <w:w w:val="110"/>
        </w:rPr>
        <w:t> </w:t>
      </w:r>
      <w:r>
        <w:rPr>
          <w:color w:val="231F1F"/>
          <w:w w:val="110"/>
        </w:rPr>
        <w:t>una</w:t>
      </w:r>
      <w:r>
        <w:rPr>
          <w:color w:val="231F1F"/>
          <w:spacing w:val="-15"/>
          <w:w w:val="110"/>
        </w:rPr>
        <w:t> </w:t>
      </w:r>
      <w:r>
        <w:rPr>
          <w:color w:val="231F1F"/>
          <w:w w:val="110"/>
        </w:rPr>
        <w:t>segunda</w:t>
      </w:r>
      <w:r>
        <w:rPr>
          <w:color w:val="231F1F"/>
          <w:spacing w:val="-16"/>
          <w:w w:val="110"/>
        </w:rPr>
        <w:t> </w:t>
      </w:r>
      <w:r>
        <w:rPr>
          <w:color w:val="231F1F"/>
          <w:w w:val="110"/>
        </w:rPr>
        <w:t>etapa</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69"/>
          <w:w w:val="110"/>
        </w:rPr>
        <w:t> </w:t>
      </w:r>
      <w:r>
        <w:rPr>
          <w:rFonts w:ascii="Arial MT" w:hAnsi="Arial MT"/>
          <w:color w:val="231F1F"/>
          <w:spacing w:val="-2"/>
          <w:w w:val="110"/>
          <w:position w:val="4"/>
          <w:sz w:val="18"/>
        </w:rPr>
        <w:t>Transversal</w:t>
      </w:r>
    </w:p>
    <w:p>
      <w:pPr>
        <w:pStyle w:val="BodyText"/>
        <w:tabs>
          <w:tab w:pos="7822" w:val="left" w:leader="none"/>
        </w:tabs>
        <w:spacing w:before="1"/>
        <w:ind w:right="416"/>
        <w:jc w:val="center"/>
        <w:rPr>
          <w:rFonts w:ascii="Arial MT"/>
          <w:position w:val="8"/>
          <w:sz w:val="18"/>
        </w:rPr>
      </w:pPr>
      <w:r>
        <w:rPr>
          <w:color w:val="231F1F"/>
        </w:rPr>
        <w:t>prolongada</w:t>
      </w:r>
      <w:r>
        <w:rPr>
          <w:color w:val="231F1F"/>
          <w:spacing w:val="1"/>
        </w:rPr>
        <w:t> </w:t>
      </w:r>
      <w:r>
        <w:rPr>
          <w:color w:val="231F1F"/>
        </w:rPr>
        <w:t>y</w:t>
      </w:r>
      <w:r>
        <w:rPr>
          <w:color w:val="231F1F"/>
          <w:spacing w:val="6"/>
        </w:rPr>
        <w:t> </w:t>
      </w:r>
      <w:r>
        <w:rPr>
          <w:color w:val="231F1F"/>
        </w:rPr>
        <w:t>la</w:t>
      </w:r>
      <w:r>
        <w:rPr>
          <w:color w:val="231F1F"/>
          <w:spacing w:val="6"/>
        </w:rPr>
        <w:t> </w:t>
      </w:r>
      <w:r>
        <w:rPr>
          <w:color w:val="231F1F"/>
        </w:rPr>
        <w:t>corioamnionitis:</w:t>
      </w:r>
      <w:r>
        <w:rPr>
          <w:color w:val="231F1F"/>
          <w:spacing w:val="5"/>
        </w:rPr>
        <w:t> </w:t>
      </w:r>
      <w:r>
        <w:rPr>
          <w:color w:val="231F1F"/>
        </w:rPr>
        <w:t>OR</w:t>
      </w:r>
      <w:r>
        <w:rPr>
          <w:color w:val="231F1F"/>
          <w:spacing w:val="5"/>
        </w:rPr>
        <w:t> </w:t>
      </w:r>
      <w:r>
        <w:rPr>
          <w:color w:val="231F1F"/>
        </w:rPr>
        <w:t>1,79</w:t>
      </w:r>
      <w:r>
        <w:rPr>
          <w:color w:val="231F1F"/>
          <w:spacing w:val="4"/>
        </w:rPr>
        <w:t> </w:t>
      </w:r>
      <w:r>
        <w:rPr>
          <w:color w:val="231F1F"/>
        </w:rPr>
        <w:t>[IC</w:t>
      </w:r>
      <w:r>
        <w:rPr>
          <w:color w:val="231F1F"/>
          <w:spacing w:val="5"/>
        </w:rPr>
        <w:t> </w:t>
      </w:r>
      <w:r>
        <w:rPr>
          <w:color w:val="231F1F"/>
        </w:rPr>
        <w:t>95%</w:t>
      </w:r>
      <w:r>
        <w:rPr>
          <w:color w:val="231F1F"/>
          <w:spacing w:val="6"/>
        </w:rPr>
        <w:t> </w:t>
      </w:r>
      <w:r>
        <w:rPr>
          <w:color w:val="231F1F"/>
        </w:rPr>
        <w:t>1,44</w:t>
      </w:r>
      <w:r>
        <w:rPr>
          <w:color w:val="231F1F"/>
          <w:spacing w:val="3"/>
        </w:rPr>
        <w:t> </w:t>
      </w:r>
      <w:r>
        <w:rPr>
          <w:color w:val="231F1F"/>
        </w:rPr>
        <w:t>a</w:t>
      </w:r>
      <w:r>
        <w:rPr>
          <w:color w:val="231F1F"/>
          <w:spacing w:val="5"/>
        </w:rPr>
        <w:t> </w:t>
      </w:r>
      <w:r>
        <w:rPr>
          <w:color w:val="231F1F"/>
        </w:rPr>
        <w:t>2,22],</w:t>
      </w:r>
      <w:r>
        <w:rPr>
          <w:color w:val="231F1F"/>
          <w:spacing w:val="4"/>
        </w:rPr>
        <w:t> </w:t>
      </w:r>
      <w:r>
        <w:rPr>
          <w:color w:val="231F1F"/>
        </w:rPr>
        <w:t>laceraciones</w:t>
      </w:r>
      <w:r>
        <w:rPr>
          <w:color w:val="231F1F"/>
          <w:spacing w:val="5"/>
        </w:rPr>
        <w:t> </w:t>
      </w:r>
      <w:r>
        <w:rPr>
          <w:color w:val="231F1F"/>
          <w:spacing w:val="-5"/>
        </w:rPr>
        <w:t>de</w:t>
      </w:r>
      <w:r>
        <w:rPr>
          <w:color w:val="231F1F"/>
        </w:rPr>
        <w:tab/>
      </w:r>
      <w:r>
        <w:rPr>
          <w:rFonts w:ascii="Arial MT"/>
          <w:color w:val="231F1F"/>
          <w:spacing w:val="-10"/>
          <w:position w:val="8"/>
          <w:sz w:val="18"/>
        </w:rPr>
        <w:t>3</w:t>
      </w:r>
    </w:p>
    <w:p>
      <w:pPr>
        <w:pStyle w:val="BodyText"/>
        <w:spacing w:before="6"/>
        <w:ind w:left="283"/>
        <w:jc w:val="both"/>
      </w:pPr>
      <w:r>
        <w:rPr>
          <w:color w:val="231F1F"/>
          <w:w w:val="105"/>
        </w:rPr>
        <w:t>3º</w:t>
      </w:r>
      <w:r>
        <w:rPr>
          <w:color w:val="231F1F"/>
          <w:spacing w:val="-14"/>
          <w:w w:val="105"/>
        </w:rPr>
        <w:t> </w:t>
      </w:r>
      <w:r>
        <w:rPr>
          <w:color w:val="231F1F"/>
          <w:w w:val="105"/>
        </w:rPr>
        <w:t>o</w:t>
      </w:r>
      <w:r>
        <w:rPr>
          <w:color w:val="231F1F"/>
          <w:spacing w:val="-12"/>
          <w:w w:val="105"/>
        </w:rPr>
        <w:t> </w:t>
      </w:r>
      <w:r>
        <w:rPr>
          <w:color w:val="231F1F"/>
          <w:w w:val="105"/>
        </w:rPr>
        <w:t>4º</w:t>
      </w:r>
      <w:r>
        <w:rPr>
          <w:color w:val="231F1F"/>
          <w:spacing w:val="-11"/>
          <w:w w:val="105"/>
        </w:rPr>
        <w:t> </w:t>
      </w:r>
      <w:r>
        <w:rPr>
          <w:color w:val="231F1F"/>
          <w:w w:val="105"/>
        </w:rPr>
        <w:t>grado</w:t>
      </w:r>
      <w:r>
        <w:rPr>
          <w:color w:val="231F1F"/>
          <w:spacing w:val="-13"/>
          <w:w w:val="105"/>
        </w:rPr>
        <w:t> </w:t>
      </w:r>
      <w:r>
        <w:rPr>
          <w:color w:val="231F1F"/>
          <w:w w:val="105"/>
        </w:rPr>
        <w:t>OR</w:t>
      </w:r>
      <w:r>
        <w:rPr>
          <w:color w:val="231F1F"/>
          <w:spacing w:val="-13"/>
          <w:w w:val="105"/>
        </w:rPr>
        <w:t> </w:t>
      </w:r>
      <w:r>
        <w:rPr>
          <w:color w:val="231F1F"/>
          <w:w w:val="105"/>
        </w:rPr>
        <w:t>1,33</w:t>
      </w:r>
      <w:r>
        <w:rPr>
          <w:color w:val="231F1F"/>
          <w:spacing w:val="-11"/>
          <w:w w:val="105"/>
        </w:rPr>
        <w:t> </w:t>
      </w:r>
      <w:r>
        <w:rPr>
          <w:color w:val="231F1F"/>
          <w:w w:val="105"/>
        </w:rPr>
        <w:t>[IC</w:t>
      </w:r>
      <w:r>
        <w:rPr>
          <w:color w:val="231F1F"/>
          <w:spacing w:val="-12"/>
          <w:w w:val="105"/>
        </w:rPr>
        <w:t> </w:t>
      </w:r>
      <w:r>
        <w:rPr>
          <w:color w:val="231F1F"/>
          <w:w w:val="105"/>
        </w:rPr>
        <w:t>95%</w:t>
      </w:r>
      <w:r>
        <w:rPr>
          <w:color w:val="231F1F"/>
          <w:spacing w:val="-11"/>
          <w:w w:val="105"/>
        </w:rPr>
        <w:t> </w:t>
      </w:r>
      <w:r>
        <w:rPr>
          <w:color w:val="231F1F"/>
          <w:w w:val="105"/>
        </w:rPr>
        <w:t>1,07</w:t>
      </w:r>
      <w:r>
        <w:rPr>
          <w:color w:val="231F1F"/>
          <w:spacing w:val="-13"/>
          <w:w w:val="105"/>
        </w:rPr>
        <w:t> </w:t>
      </w:r>
      <w:r>
        <w:rPr>
          <w:color w:val="231F1F"/>
          <w:w w:val="105"/>
        </w:rPr>
        <w:t>a</w:t>
      </w:r>
      <w:r>
        <w:rPr>
          <w:color w:val="231F1F"/>
          <w:spacing w:val="-12"/>
          <w:w w:val="105"/>
        </w:rPr>
        <w:t> </w:t>
      </w:r>
      <w:r>
        <w:rPr>
          <w:color w:val="231F1F"/>
          <w:w w:val="105"/>
        </w:rPr>
        <w:t>1,67],</w:t>
      </w:r>
      <w:r>
        <w:rPr>
          <w:color w:val="231F1F"/>
          <w:spacing w:val="-14"/>
          <w:w w:val="105"/>
        </w:rPr>
        <w:t> </w:t>
      </w:r>
      <w:r>
        <w:rPr>
          <w:color w:val="231F1F"/>
          <w:w w:val="105"/>
        </w:rPr>
        <w:t>cesáreas:</w:t>
      </w:r>
      <w:r>
        <w:rPr>
          <w:color w:val="231F1F"/>
          <w:spacing w:val="-13"/>
          <w:w w:val="105"/>
        </w:rPr>
        <w:t> </w:t>
      </w:r>
      <w:r>
        <w:rPr>
          <w:color w:val="231F1F"/>
          <w:w w:val="105"/>
        </w:rPr>
        <w:t>OR</w:t>
      </w:r>
      <w:r>
        <w:rPr>
          <w:color w:val="231F1F"/>
          <w:spacing w:val="-11"/>
          <w:w w:val="105"/>
        </w:rPr>
        <w:t> </w:t>
      </w:r>
      <w:r>
        <w:rPr>
          <w:color w:val="231F1F"/>
          <w:w w:val="105"/>
        </w:rPr>
        <w:t>5,65</w:t>
      </w:r>
      <w:r>
        <w:rPr>
          <w:color w:val="231F1F"/>
          <w:spacing w:val="-14"/>
          <w:w w:val="105"/>
        </w:rPr>
        <w:t> </w:t>
      </w:r>
      <w:r>
        <w:rPr>
          <w:color w:val="231F1F"/>
          <w:w w:val="105"/>
        </w:rPr>
        <w:t>[IC</w:t>
      </w:r>
      <w:r>
        <w:rPr>
          <w:color w:val="231F1F"/>
          <w:spacing w:val="-12"/>
          <w:w w:val="105"/>
        </w:rPr>
        <w:t> </w:t>
      </w:r>
      <w:r>
        <w:rPr>
          <w:color w:val="231F1F"/>
          <w:w w:val="105"/>
        </w:rPr>
        <w:t>95%</w:t>
      </w:r>
      <w:r>
        <w:rPr>
          <w:color w:val="231F1F"/>
          <w:spacing w:val="-11"/>
          <w:w w:val="105"/>
        </w:rPr>
        <w:t> </w:t>
      </w:r>
      <w:r>
        <w:rPr>
          <w:color w:val="231F1F"/>
          <w:w w:val="105"/>
        </w:rPr>
        <w:t>4,46</w:t>
      </w:r>
      <w:r>
        <w:rPr>
          <w:color w:val="231F1F"/>
          <w:spacing w:val="-11"/>
          <w:w w:val="105"/>
        </w:rPr>
        <w:t> </w:t>
      </w:r>
      <w:r>
        <w:rPr>
          <w:color w:val="231F1F"/>
          <w:spacing w:val="-10"/>
          <w:w w:val="105"/>
        </w:rPr>
        <w:t>a</w:t>
      </w:r>
    </w:p>
    <w:p>
      <w:pPr>
        <w:pStyle w:val="BodyText"/>
        <w:spacing w:line="259" w:lineRule="auto" w:before="35"/>
        <w:ind w:left="283" w:right="1368"/>
        <w:jc w:val="both"/>
      </w:pPr>
      <w:r>
        <w:rPr>
          <w:color w:val="231F1F"/>
        </w:rPr>
        <w:t>7,16], partos vaginales instrumentados: OR 2,83 [IC 95% 2,38 a 3,36] y puntua- ción de Apgar&lt;7 a los 5 minutos: OR 0,45 [IC 95% 0,25 a 0,84]. Por otro lado,</w:t>
      </w:r>
      <w:r>
        <w:rPr>
          <w:color w:val="231F1F"/>
          <w:spacing w:val="80"/>
        </w:rPr>
        <w:t> </w:t>
      </w:r>
      <w:r>
        <w:rPr>
          <w:color w:val="231F1F"/>
        </w:rPr>
        <w:t>no encontraron asociación entre la prolongación de la segunda etapa y endo- metritis, hemorragias posparto, líquido meconial o admisión en unidad neonatal.</w:t>
      </w:r>
    </w:p>
    <w:p>
      <w:pPr>
        <w:pStyle w:val="BodyText"/>
        <w:spacing w:line="249" w:lineRule="auto" w:before="45"/>
        <w:ind w:left="283" w:right="1361" w:firstLine="453"/>
        <w:jc w:val="both"/>
      </w:pPr>
      <w:r>
        <w:rPr>
          <w:color w:val="231F1F"/>
          <w:w w:val="105"/>
        </w:rPr>
        <w:t>Otro</w:t>
      </w:r>
      <w:r>
        <w:rPr>
          <w:color w:val="231F1F"/>
          <w:w w:val="105"/>
        </w:rPr>
        <w:t> estudio</w:t>
      </w:r>
      <w:r>
        <w:rPr>
          <w:color w:val="231F1F"/>
          <w:w w:val="105"/>
        </w:rPr>
        <w:t> transversal</w:t>
      </w:r>
      <w:r>
        <w:rPr>
          <w:color w:val="231F1F"/>
          <w:w w:val="105"/>
        </w:rPr>
        <w:t> estadounidense</w:t>
      </w:r>
      <w:r>
        <w:rPr>
          <w:color w:val="231F1F"/>
          <w:w w:val="105"/>
        </w:rPr>
        <w:t> (91)</w:t>
      </w:r>
      <w:r>
        <w:rPr>
          <w:color w:val="231F1F"/>
          <w:w w:val="105"/>
        </w:rPr>
        <w:t> evaluó</w:t>
      </w:r>
      <w:r>
        <w:rPr>
          <w:color w:val="231F1F"/>
          <w:w w:val="105"/>
        </w:rPr>
        <w:t> los</w:t>
      </w:r>
      <w:r>
        <w:rPr>
          <w:color w:val="231F1F"/>
          <w:w w:val="105"/>
        </w:rPr>
        <w:t> resultados</w:t>
      </w:r>
      <w:r>
        <w:rPr>
          <w:color w:val="231F1F"/>
          <w:w w:val="105"/>
        </w:rPr>
        <w:t> ma- ternos</w:t>
      </w:r>
      <w:r>
        <w:rPr>
          <w:color w:val="231F1F"/>
          <w:w w:val="105"/>
        </w:rPr>
        <w:t> y</w:t>
      </w:r>
      <w:r>
        <w:rPr>
          <w:color w:val="231F1F"/>
          <w:w w:val="105"/>
        </w:rPr>
        <w:t> neonatales</w:t>
      </w:r>
      <w:r>
        <w:rPr>
          <w:color w:val="231F1F"/>
          <w:w w:val="105"/>
        </w:rPr>
        <w:t> de</w:t>
      </w:r>
      <w:r>
        <w:rPr>
          <w:color w:val="231F1F"/>
          <w:w w:val="105"/>
        </w:rPr>
        <w:t> partos</w:t>
      </w:r>
      <w:r>
        <w:rPr>
          <w:color w:val="231F1F"/>
          <w:w w:val="105"/>
        </w:rPr>
        <w:t> de</w:t>
      </w:r>
      <w:r>
        <w:rPr>
          <w:color w:val="231F1F"/>
          <w:w w:val="105"/>
        </w:rPr>
        <w:t> 7.818</w:t>
      </w:r>
      <w:r>
        <w:rPr>
          <w:color w:val="231F1F"/>
          <w:w w:val="105"/>
        </w:rPr>
        <w:t> mujeres,</w:t>
      </w:r>
      <w:r>
        <w:rPr>
          <w:color w:val="231F1F"/>
          <w:w w:val="105"/>
        </w:rPr>
        <w:t> para</w:t>
      </w:r>
      <w:r>
        <w:rPr>
          <w:color w:val="231F1F"/>
          <w:w w:val="105"/>
        </w:rPr>
        <w:t> determinar</w:t>
      </w:r>
      <w:r>
        <w:rPr>
          <w:color w:val="231F1F"/>
          <w:w w:val="105"/>
        </w:rPr>
        <w:t> los</w:t>
      </w:r>
      <w:r>
        <w:rPr>
          <w:color w:val="231F1F"/>
          <w:w w:val="105"/>
        </w:rPr>
        <w:t> factores</w:t>
      </w:r>
      <w:r>
        <w:rPr>
          <w:color w:val="231F1F"/>
          <w:spacing w:val="80"/>
          <w:w w:val="105"/>
        </w:rPr>
        <w:t> </w:t>
      </w:r>
      <w:r>
        <w:rPr>
          <w:color w:val="231F1F"/>
          <w:w w:val="105"/>
        </w:rPr>
        <w:t>de riesgo de una segunda etapa prolongada. Comparó los resultados del grupo de mujeres con una segunda etapa mayor de 121 minutos frente a los resulta- dos</w:t>
      </w:r>
      <w:r>
        <w:rPr>
          <w:color w:val="231F1F"/>
          <w:w w:val="105"/>
        </w:rPr>
        <w:t> del</w:t>
      </w:r>
      <w:r>
        <w:rPr>
          <w:color w:val="231F1F"/>
          <w:w w:val="105"/>
        </w:rPr>
        <w:t> grupo</w:t>
      </w:r>
      <w:r>
        <w:rPr>
          <w:color w:val="231F1F"/>
          <w:w w:val="105"/>
        </w:rPr>
        <w:t> con</w:t>
      </w:r>
      <w:r>
        <w:rPr>
          <w:color w:val="231F1F"/>
          <w:w w:val="105"/>
        </w:rPr>
        <w:t> una</w:t>
      </w:r>
      <w:r>
        <w:rPr>
          <w:color w:val="231F1F"/>
          <w:w w:val="105"/>
        </w:rPr>
        <w:t> segunda</w:t>
      </w:r>
      <w:r>
        <w:rPr>
          <w:color w:val="231F1F"/>
          <w:w w:val="105"/>
        </w:rPr>
        <w:t> etapa</w:t>
      </w:r>
      <w:r>
        <w:rPr>
          <w:color w:val="231F1F"/>
          <w:w w:val="105"/>
        </w:rPr>
        <w:t> entre</w:t>
      </w:r>
      <w:r>
        <w:rPr>
          <w:color w:val="231F1F"/>
          <w:w w:val="105"/>
        </w:rPr>
        <w:t> uno</w:t>
      </w:r>
      <w:r>
        <w:rPr>
          <w:color w:val="231F1F"/>
          <w:w w:val="105"/>
        </w:rPr>
        <w:t> y</w:t>
      </w:r>
      <w:r>
        <w:rPr>
          <w:color w:val="231F1F"/>
          <w:w w:val="105"/>
        </w:rPr>
        <w:t> 120</w:t>
      </w:r>
      <w:r>
        <w:rPr>
          <w:color w:val="231F1F"/>
          <w:w w:val="105"/>
        </w:rPr>
        <w:t> minutos.</w:t>
      </w:r>
      <w:r>
        <w:rPr>
          <w:color w:val="231F1F"/>
          <w:w w:val="105"/>
        </w:rPr>
        <w:t> Además, también se compararon los subgrupos de partos con segunda etapa entre 121- 140 minutos vs &gt;241 minutos.</w:t>
      </w:r>
    </w:p>
    <w:p>
      <w:pPr>
        <w:pStyle w:val="BodyText"/>
        <w:tabs>
          <w:tab w:pos="7717" w:val="left" w:leader="none"/>
          <w:tab w:pos="8138" w:val="left" w:leader="none"/>
        </w:tabs>
        <w:spacing w:before="92"/>
        <w:ind w:left="261" w:right="238" w:firstLine="476"/>
        <w:rPr>
          <w:rFonts w:ascii="Arial MT" w:hAnsi="Arial MT"/>
          <w:position w:val="8"/>
          <w:sz w:val="18"/>
        </w:rPr>
      </w:pPr>
      <w:r>
        <w:rPr>
          <w:color w:val="231F1F"/>
          <w:w w:val="105"/>
        </w:rPr>
        <w:t>El análisis, que no tuvo en cuenta factores de confusión, mostró cierta</w:t>
      </w:r>
      <w:r>
        <w:rPr>
          <w:color w:val="231F1F"/>
        </w:rPr>
        <w:tab/>
        <w:tab/>
      </w:r>
      <w:r>
        <w:rPr>
          <w:rFonts w:ascii="Arial MT" w:hAnsi="Arial MT"/>
          <w:color w:val="231F1F"/>
          <w:spacing w:val="-6"/>
          <w:w w:val="105"/>
          <w:sz w:val="18"/>
        </w:rPr>
        <w:t>E. </w:t>
      </w:r>
      <w:r>
        <w:rPr>
          <w:color w:val="231F1F"/>
        </w:rPr>
        <w:t>evidencia de que la duración de una segunda etapa mayor de 120 minutos</w:t>
        <w:tab/>
      </w:r>
      <w:r>
        <w:rPr>
          <w:rFonts w:ascii="Arial MT" w:hAnsi="Arial MT"/>
          <w:color w:val="231F1F"/>
          <w:spacing w:val="-2"/>
          <w:position w:val="4"/>
          <w:sz w:val="18"/>
        </w:rPr>
        <w:t>Transversal </w:t>
      </w:r>
      <w:r>
        <w:rPr>
          <w:color w:val="231F1F"/>
          <w:w w:val="105"/>
        </w:rPr>
        <w:t>frente</w:t>
      </w:r>
      <w:r>
        <w:rPr>
          <w:color w:val="231F1F"/>
          <w:spacing w:val="40"/>
          <w:w w:val="105"/>
        </w:rPr>
        <w:t> </w:t>
      </w:r>
      <w:r>
        <w:rPr>
          <w:color w:val="231F1F"/>
          <w:w w:val="105"/>
        </w:rPr>
        <w:t>a</w:t>
      </w:r>
      <w:r>
        <w:rPr>
          <w:color w:val="231F1F"/>
          <w:spacing w:val="40"/>
          <w:w w:val="105"/>
        </w:rPr>
        <w:t> </w:t>
      </w:r>
      <w:r>
        <w:rPr>
          <w:color w:val="231F1F"/>
          <w:w w:val="105"/>
        </w:rPr>
        <w:t>1-120</w:t>
      </w:r>
      <w:r>
        <w:rPr>
          <w:color w:val="231F1F"/>
          <w:spacing w:val="40"/>
          <w:w w:val="105"/>
        </w:rPr>
        <w:t> </w:t>
      </w:r>
      <w:r>
        <w:rPr>
          <w:color w:val="231F1F"/>
          <w:w w:val="105"/>
        </w:rPr>
        <w:t>minutos,</w:t>
      </w:r>
      <w:r>
        <w:rPr>
          <w:color w:val="231F1F"/>
          <w:spacing w:val="40"/>
          <w:w w:val="105"/>
        </w:rPr>
        <w:t> </w:t>
      </w:r>
      <w:r>
        <w:rPr>
          <w:color w:val="231F1F"/>
          <w:w w:val="105"/>
        </w:rPr>
        <w:t>así</w:t>
      </w:r>
      <w:r>
        <w:rPr>
          <w:color w:val="231F1F"/>
          <w:spacing w:val="40"/>
          <w:w w:val="105"/>
        </w:rPr>
        <w:t> </w:t>
      </w:r>
      <w:r>
        <w:rPr>
          <w:color w:val="231F1F"/>
          <w:w w:val="105"/>
        </w:rPr>
        <w:t>como</w:t>
      </w:r>
      <w:r>
        <w:rPr>
          <w:color w:val="231F1F"/>
          <w:spacing w:val="40"/>
          <w:w w:val="105"/>
        </w:rPr>
        <w:t> </w:t>
      </w:r>
      <w:r>
        <w:rPr>
          <w:color w:val="231F1F"/>
          <w:w w:val="105"/>
        </w:rPr>
        <w:t>&gt;240</w:t>
      </w:r>
      <w:r>
        <w:rPr>
          <w:color w:val="231F1F"/>
          <w:spacing w:val="40"/>
          <w:w w:val="105"/>
        </w:rPr>
        <w:t> </w:t>
      </w:r>
      <w:r>
        <w:rPr>
          <w:color w:val="231F1F"/>
          <w:w w:val="105"/>
        </w:rPr>
        <w:t>minutos</w:t>
      </w:r>
      <w:r>
        <w:rPr>
          <w:color w:val="231F1F"/>
          <w:spacing w:val="40"/>
          <w:w w:val="105"/>
        </w:rPr>
        <w:t> </w:t>
      </w:r>
      <w:r>
        <w:rPr>
          <w:color w:val="231F1F"/>
          <w:w w:val="105"/>
        </w:rPr>
        <w:t>frente</w:t>
      </w:r>
      <w:r>
        <w:rPr>
          <w:color w:val="231F1F"/>
          <w:spacing w:val="40"/>
          <w:w w:val="105"/>
        </w:rPr>
        <w:t> </w:t>
      </w:r>
      <w:r>
        <w:rPr>
          <w:color w:val="231F1F"/>
          <w:w w:val="105"/>
        </w:rPr>
        <w:t>121-240</w:t>
      </w:r>
      <w:r>
        <w:rPr>
          <w:color w:val="231F1F"/>
          <w:spacing w:val="40"/>
          <w:w w:val="105"/>
        </w:rPr>
        <w:t> </w:t>
      </w:r>
      <w:r>
        <w:rPr>
          <w:color w:val="231F1F"/>
          <w:w w:val="105"/>
        </w:rPr>
        <w:t>minutos,</w:t>
      </w:r>
      <w:r>
        <w:rPr>
          <w:color w:val="231F1F"/>
          <w:spacing w:val="40"/>
          <w:w w:val="105"/>
        </w:rPr>
        <w:t> </w:t>
      </w:r>
      <w:r>
        <w:rPr>
          <w:color w:val="231F1F"/>
          <w:w w:val="105"/>
        </w:rPr>
        <w:t>está</w:t>
      </w:r>
      <w:r>
        <w:rPr>
          <w:color w:val="231F1F"/>
        </w:rPr>
        <w:tab/>
      </w:r>
      <w:r>
        <w:rPr>
          <w:color w:val="231F1F"/>
          <w:spacing w:val="-38"/>
        </w:rPr>
        <w:t> </w:t>
      </w:r>
      <w:r>
        <w:rPr>
          <w:rFonts w:ascii="Arial MT" w:hAnsi="Arial MT"/>
          <w:color w:val="231F1F"/>
          <w:w w:val="105"/>
          <w:position w:val="8"/>
          <w:sz w:val="18"/>
        </w:rPr>
        <w:t>3</w:t>
      </w:r>
    </w:p>
    <w:p>
      <w:pPr>
        <w:pStyle w:val="BodyText"/>
        <w:spacing w:line="244" w:lineRule="auto" w:before="30"/>
        <w:ind w:left="283" w:right="1386"/>
      </w:pPr>
      <w:r>
        <w:rPr>
          <w:color w:val="231F1F"/>
        </w:rPr>
        <w:t>asociada</w:t>
      </w:r>
      <w:r>
        <w:rPr>
          <w:color w:val="231F1F"/>
          <w:spacing w:val="-8"/>
        </w:rPr>
        <w:t> </w:t>
      </w:r>
      <w:r>
        <w:rPr>
          <w:color w:val="231F1F"/>
        </w:rPr>
        <w:t>con</w:t>
      </w:r>
      <w:r>
        <w:rPr>
          <w:color w:val="231F1F"/>
          <w:spacing w:val="-8"/>
        </w:rPr>
        <w:t> </w:t>
      </w:r>
      <w:r>
        <w:rPr>
          <w:color w:val="231F1F"/>
        </w:rPr>
        <w:t>diversas</w:t>
      </w:r>
      <w:r>
        <w:rPr>
          <w:color w:val="231F1F"/>
          <w:spacing w:val="-8"/>
        </w:rPr>
        <w:t> </w:t>
      </w:r>
      <w:r>
        <w:rPr>
          <w:color w:val="231F1F"/>
        </w:rPr>
        <w:t>intervenciones</w:t>
      </w:r>
      <w:r>
        <w:rPr>
          <w:color w:val="231F1F"/>
          <w:spacing w:val="-7"/>
        </w:rPr>
        <w:t> </w:t>
      </w:r>
      <w:r>
        <w:rPr>
          <w:color w:val="231F1F"/>
        </w:rPr>
        <w:t>médicas,</w:t>
      </w:r>
      <w:r>
        <w:rPr>
          <w:color w:val="231F1F"/>
          <w:spacing w:val="-8"/>
        </w:rPr>
        <w:t> </w:t>
      </w:r>
      <w:r>
        <w:rPr>
          <w:color w:val="231F1F"/>
        </w:rPr>
        <w:t>tales</w:t>
      </w:r>
      <w:r>
        <w:rPr>
          <w:color w:val="231F1F"/>
          <w:spacing w:val="-8"/>
        </w:rPr>
        <w:t> </w:t>
      </w:r>
      <w:r>
        <w:rPr>
          <w:color w:val="231F1F"/>
        </w:rPr>
        <w:t>como</w:t>
      </w:r>
      <w:r>
        <w:rPr>
          <w:color w:val="231F1F"/>
          <w:spacing w:val="-8"/>
        </w:rPr>
        <w:t> </w:t>
      </w:r>
      <w:r>
        <w:rPr>
          <w:color w:val="231F1F"/>
        </w:rPr>
        <w:t>uso</w:t>
      </w:r>
      <w:r>
        <w:rPr>
          <w:color w:val="231F1F"/>
          <w:spacing w:val="-8"/>
        </w:rPr>
        <w:t> </w:t>
      </w:r>
      <w:r>
        <w:rPr>
          <w:color w:val="231F1F"/>
        </w:rPr>
        <w:t>de</w:t>
      </w:r>
      <w:r>
        <w:rPr>
          <w:color w:val="231F1F"/>
          <w:spacing w:val="-8"/>
        </w:rPr>
        <w:t> </w:t>
      </w:r>
      <w:r>
        <w:rPr>
          <w:color w:val="231F1F"/>
        </w:rPr>
        <w:t>la</w:t>
      </w:r>
      <w:r>
        <w:rPr>
          <w:color w:val="231F1F"/>
          <w:spacing w:val="-8"/>
        </w:rPr>
        <w:t> </w:t>
      </w:r>
      <w:r>
        <w:rPr>
          <w:color w:val="231F1F"/>
        </w:rPr>
        <w:t>episiotomía, parto</w:t>
      </w:r>
      <w:r>
        <w:rPr>
          <w:color w:val="231F1F"/>
          <w:spacing w:val="80"/>
        </w:rPr>
        <w:t> </w:t>
      </w:r>
      <w:r>
        <w:rPr>
          <w:color w:val="231F1F"/>
        </w:rPr>
        <w:t>vaginal</w:t>
      </w:r>
      <w:r>
        <w:rPr>
          <w:color w:val="231F1F"/>
          <w:spacing w:val="80"/>
        </w:rPr>
        <w:t> </w:t>
      </w:r>
      <w:r>
        <w:rPr>
          <w:color w:val="231F1F"/>
        </w:rPr>
        <w:t>operatorio</w:t>
      </w:r>
      <w:r>
        <w:rPr>
          <w:color w:val="231F1F"/>
          <w:spacing w:val="80"/>
        </w:rPr>
        <w:t> </w:t>
      </w:r>
      <w:r>
        <w:rPr>
          <w:color w:val="231F1F"/>
        </w:rPr>
        <w:t>y</w:t>
      </w:r>
      <w:r>
        <w:rPr>
          <w:color w:val="231F1F"/>
          <w:spacing w:val="80"/>
        </w:rPr>
        <w:t> </w:t>
      </w:r>
      <w:r>
        <w:rPr>
          <w:color w:val="231F1F"/>
        </w:rPr>
        <w:t>mayor</w:t>
      </w:r>
      <w:r>
        <w:rPr>
          <w:color w:val="231F1F"/>
          <w:spacing w:val="80"/>
        </w:rPr>
        <w:t> </w:t>
      </w:r>
      <w:r>
        <w:rPr>
          <w:color w:val="231F1F"/>
        </w:rPr>
        <w:t>frecuencia</w:t>
      </w:r>
      <w:r>
        <w:rPr>
          <w:color w:val="231F1F"/>
          <w:spacing w:val="80"/>
        </w:rPr>
        <w:t> </w:t>
      </w:r>
      <w:r>
        <w:rPr>
          <w:color w:val="231F1F"/>
        </w:rPr>
        <w:t>de</w:t>
      </w:r>
      <w:r>
        <w:rPr>
          <w:color w:val="231F1F"/>
          <w:spacing w:val="80"/>
        </w:rPr>
        <w:t> </w:t>
      </w:r>
      <w:r>
        <w:rPr>
          <w:color w:val="231F1F"/>
        </w:rPr>
        <w:t>trauma</w:t>
      </w:r>
      <w:r>
        <w:rPr>
          <w:color w:val="231F1F"/>
          <w:spacing w:val="80"/>
        </w:rPr>
        <w:t> </w:t>
      </w:r>
      <w:r>
        <w:rPr>
          <w:color w:val="231F1F"/>
        </w:rPr>
        <w:t>perineal.</w:t>
      </w:r>
    </w:p>
    <w:p>
      <w:pPr>
        <w:pStyle w:val="BodyText"/>
        <w:spacing w:after="0" w:line="244" w:lineRule="auto"/>
        <w:sectPr>
          <w:footerReference w:type="default" r:id="rId45"/>
          <w:footerReference w:type="even" r:id="rId46"/>
          <w:pgSz w:w="11900" w:h="16840"/>
          <w:pgMar w:header="0" w:footer="622" w:top="1560" w:bottom="820" w:left="1417" w:right="1559"/>
          <w:pgNumType w:start="101"/>
        </w:sectPr>
      </w:pPr>
    </w:p>
    <w:p>
      <w:pPr>
        <w:pStyle w:val="BodyText"/>
        <w:tabs>
          <w:tab w:pos="8136" w:val="left" w:leader="none"/>
          <w:tab w:pos="8168" w:val="left" w:leader="none"/>
        </w:tabs>
        <w:spacing w:line="242" w:lineRule="auto" w:before="73"/>
        <w:ind w:left="283" w:right="355" w:firstLine="453"/>
        <w:rPr>
          <w:rFonts w:ascii="Arial MT" w:hAnsi="Arial MT"/>
          <w:position w:val="8"/>
          <w:sz w:val="18"/>
        </w:rPr>
      </w:pPr>
      <w:r>
        <w:rPr>
          <w:color w:val="231F1F"/>
          <w:w w:val="110"/>
        </w:rPr>
        <w:t>El estudio transversal alemán (92) en la que se incluyeron 1.200 mujeres,</w:t>
      </w:r>
      <w:r>
        <w:rPr>
          <w:color w:val="231F1F"/>
        </w:rPr>
        <w:tab/>
      </w:r>
      <w:r>
        <w:rPr>
          <w:rFonts w:ascii="Arial MT" w:hAnsi="Arial MT"/>
          <w:color w:val="231F1F"/>
          <w:spacing w:val="-6"/>
          <w:w w:val="110"/>
          <w:sz w:val="18"/>
        </w:rPr>
        <w:t>E. </w:t>
      </w:r>
      <w:r>
        <w:rPr>
          <w:color w:val="231F1F"/>
        </w:rPr>
        <w:t>investigó</w:t>
      </w:r>
      <w:r>
        <w:rPr>
          <w:color w:val="231F1F"/>
          <w:spacing w:val="31"/>
        </w:rPr>
        <w:t> </w:t>
      </w:r>
      <w:r>
        <w:rPr>
          <w:color w:val="231F1F"/>
        </w:rPr>
        <w:t>el</w:t>
      </w:r>
      <w:r>
        <w:rPr>
          <w:color w:val="231F1F"/>
          <w:spacing w:val="33"/>
        </w:rPr>
        <w:t> </w:t>
      </w:r>
      <w:r>
        <w:rPr>
          <w:color w:val="231F1F"/>
        </w:rPr>
        <w:t>efecto</w:t>
      </w:r>
      <w:r>
        <w:rPr>
          <w:color w:val="231F1F"/>
          <w:spacing w:val="33"/>
        </w:rPr>
        <w:t> </w:t>
      </w:r>
      <w:r>
        <w:rPr>
          <w:color w:val="231F1F"/>
        </w:rPr>
        <w:t>de</w:t>
      </w:r>
      <w:r>
        <w:rPr>
          <w:color w:val="231F1F"/>
          <w:spacing w:val="33"/>
        </w:rPr>
        <w:t> </w:t>
      </w:r>
      <w:r>
        <w:rPr>
          <w:color w:val="231F1F"/>
        </w:rPr>
        <w:t>una</w:t>
      </w:r>
      <w:r>
        <w:rPr>
          <w:color w:val="231F1F"/>
          <w:spacing w:val="33"/>
        </w:rPr>
        <w:t> </w:t>
      </w:r>
      <w:r>
        <w:rPr>
          <w:color w:val="231F1F"/>
        </w:rPr>
        <w:t>2ª</w:t>
      </w:r>
      <w:r>
        <w:rPr>
          <w:color w:val="231F1F"/>
          <w:spacing w:val="31"/>
        </w:rPr>
        <w:t> </w:t>
      </w:r>
      <w:r>
        <w:rPr>
          <w:color w:val="231F1F"/>
        </w:rPr>
        <w:t>etapa</w:t>
      </w:r>
      <w:r>
        <w:rPr>
          <w:color w:val="231F1F"/>
          <w:spacing w:val="33"/>
        </w:rPr>
        <w:t> </w:t>
      </w:r>
      <w:r>
        <w:rPr>
          <w:color w:val="231F1F"/>
        </w:rPr>
        <w:t>prolongada</w:t>
      </w:r>
      <w:r>
        <w:rPr>
          <w:color w:val="231F1F"/>
          <w:spacing w:val="33"/>
        </w:rPr>
        <w:t> </w:t>
      </w:r>
      <w:r>
        <w:rPr>
          <w:color w:val="231F1F"/>
        </w:rPr>
        <w:t>(&gt;2</w:t>
      </w:r>
      <w:r>
        <w:rPr>
          <w:color w:val="231F1F"/>
          <w:spacing w:val="31"/>
        </w:rPr>
        <w:t> </w:t>
      </w:r>
      <w:r>
        <w:rPr>
          <w:color w:val="231F1F"/>
        </w:rPr>
        <w:t>horas)</w:t>
      </w:r>
      <w:r>
        <w:rPr>
          <w:color w:val="231F1F"/>
          <w:spacing w:val="33"/>
        </w:rPr>
        <w:t> </w:t>
      </w:r>
      <w:r>
        <w:rPr>
          <w:color w:val="231F1F"/>
        </w:rPr>
        <w:t>sobre</w:t>
      </w:r>
      <w:r>
        <w:rPr>
          <w:color w:val="231F1F"/>
          <w:spacing w:val="33"/>
        </w:rPr>
        <w:t> </w:t>
      </w:r>
      <w:r>
        <w:rPr>
          <w:color w:val="231F1F"/>
        </w:rPr>
        <w:t>los</w:t>
      </w:r>
      <w:r>
        <w:rPr>
          <w:color w:val="231F1F"/>
          <w:spacing w:val="33"/>
        </w:rPr>
        <w:t> </w:t>
      </w:r>
      <w:r>
        <w:rPr>
          <w:color w:val="231F1F"/>
        </w:rPr>
        <w:t>resultados</w:t>
      </w:r>
      <w:r>
        <w:rPr>
          <w:color w:val="231F1F"/>
          <w:spacing w:val="31"/>
        </w:rPr>
        <w:t> </w:t>
      </w:r>
      <w:r>
        <w:rPr>
          <w:rFonts w:ascii="Arial MT" w:hAnsi="Arial MT"/>
          <w:color w:val="231F1F"/>
          <w:position w:val="4"/>
          <w:sz w:val="18"/>
        </w:rPr>
        <w:t>Transversal </w:t>
      </w:r>
      <w:r>
        <w:rPr>
          <w:color w:val="231F1F"/>
          <w:w w:val="110"/>
        </w:rPr>
        <w:t>del parto. Los resultados mostraron una asociación entre 2ª etapa prolongada</w:t>
      </w:r>
      <w:r>
        <w:rPr>
          <w:color w:val="231F1F"/>
        </w:rPr>
        <w:tab/>
        <w:tab/>
      </w:r>
      <w:r>
        <w:rPr>
          <w:rFonts w:ascii="Arial MT" w:hAnsi="Arial MT"/>
          <w:color w:val="231F1F"/>
          <w:spacing w:val="-10"/>
          <w:w w:val="110"/>
          <w:position w:val="8"/>
          <w:sz w:val="18"/>
        </w:rPr>
        <w:t>3</w:t>
      </w:r>
    </w:p>
    <w:p>
      <w:pPr>
        <w:pStyle w:val="BodyText"/>
        <w:spacing w:line="244" w:lineRule="auto" w:before="7"/>
        <w:ind w:left="283" w:right="1370"/>
        <w:jc w:val="both"/>
      </w:pPr>
      <w:r>
        <w:rPr>
          <w:color w:val="231F1F"/>
          <w:w w:val="110"/>
        </w:rPr>
        <w:t>y</w:t>
      </w:r>
      <w:r>
        <w:rPr>
          <w:color w:val="231F1F"/>
          <w:spacing w:val="-4"/>
          <w:w w:val="110"/>
        </w:rPr>
        <w:t> </w:t>
      </w:r>
      <w:r>
        <w:rPr>
          <w:color w:val="231F1F"/>
          <w:w w:val="110"/>
        </w:rPr>
        <w:t>valores</w:t>
      </w:r>
      <w:r>
        <w:rPr>
          <w:color w:val="231F1F"/>
          <w:spacing w:val="-5"/>
          <w:w w:val="110"/>
        </w:rPr>
        <w:t> </w:t>
      </w:r>
      <w:r>
        <w:rPr>
          <w:color w:val="231F1F"/>
          <w:w w:val="110"/>
        </w:rPr>
        <w:t>bajos</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test</w:t>
      </w:r>
      <w:r>
        <w:rPr>
          <w:color w:val="231F1F"/>
          <w:spacing w:val="-5"/>
          <w:w w:val="110"/>
        </w:rPr>
        <w:t> </w:t>
      </w:r>
      <w:r>
        <w:rPr>
          <w:color w:val="231F1F"/>
          <w:w w:val="110"/>
        </w:rPr>
        <w:t>Apgar</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primer</w:t>
      </w:r>
      <w:r>
        <w:rPr>
          <w:color w:val="231F1F"/>
          <w:spacing w:val="-5"/>
          <w:w w:val="110"/>
        </w:rPr>
        <w:t> </w:t>
      </w:r>
      <w:r>
        <w:rPr>
          <w:color w:val="231F1F"/>
          <w:w w:val="110"/>
        </w:rPr>
        <w:t>minuto,</w:t>
      </w:r>
      <w:r>
        <w:rPr>
          <w:color w:val="231F1F"/>
          <w:spacing w:val="-5"/>
          <w:w w:val="110"/>
        </w:rPr>
        <w:t> </w:t>
      </w:r>
      <w:r>
        <w:rPr>
          <w:color w:val="231F1F"/>
          <w:w w:val="110"/>
        </w:rPr>
        <w:t>hemorragias</w:t>
      </w:r>
      <w:r>
        <w:rPr>
          <w:color w:val="231F1F"/>
          <w:spacing w:val="-5"/>
          <w:w w:val="110"/>
        </w:rPr>
        <w:t> </w:t>
      </w:r>
      <w:r>
        <w:rPr>
          <w:color w:val="231F1F"/>
          <w:w w:val="110"/>
        </w:rPr>
        <w:t>posparto, desgarros</w:t>
      </w:r>
      <w:r>
        <w:rPr>
          <w:color w:val="231F1F"/>
          <w:spacing w:val="-2"/>
          <w:w w:val="110"/>
        </w:rPr>
        <w:t> </w:t>
      </w:r>
      <w:r>
        <w:rPr>
          <w:color w:val="231F1F"/>
          <w:w w:val="110"/>
        </w:rPr>
        <w:t>perineales</w:t>
      </w:r>
      <w:r>
        <w:rPr>
          <w:color w:val="231F1F"/>
          <w:spacing w:val="-3"/>
          <w:w w:val="110"/>
        </w:rPr>
        <w:t> </w:t>
      </w:r>
      <w:r>
        <w:rPr>
          <w:color w:val="231F1F"/>
          <w:w w:val="110"/>
        </w:rPr>
        <w:t>y</w:t>
      </w:r>
      <w:r>
        <w:rPr>
          <w:color w:val="231F1F"/>
          <w:spacing w:val="-2"/>
          <w:w w:val="110"/>
        </w:rPr>
        <w:t> </w:t>
      </w:r>
      <w:r>
        <w:rPr>
          <w:color w:val="231F1F"/>
          <w:w w:val="110"/>
        </w:rPr>
        <w:t>fiebre</w:t>
      </w:r>
      <w:r>
        <w:rPr>
          <w:color w:val="231F1F"/>
          <w:spacing w:val="-2"/>
          <w:w w:val="110"/>
        </w:rPr>
        <w:t> </w:t>
      </w:r>
      <w:r>
        <w:rPr>
          <w:color w:val="231F1F"/>
          <w:w w:val="110"/>
        </w:rPr>
        <w:t>posparto,</w:t>
      </w:r>
      <w:r>
        <w:rPr>
          <w:color w:val="231F1F"/>
          <w:spacing w:val="-2"/>
          <w:w w:val="110"/>
        </w:rPr>
        <w:t> </w:t>
      </w:r>
      <w:r>
        <w:rPr>
          <w:color w:val="231F1F"/>
          <w:w w:val="110"/>
        </w:rPr>
        <w:t>aunque</w:t>
      </w:r>
      <w:r>
        <w:rPr>
          <w:color w:val="231F1F"/>
          <w:spacing w:val="-2"/>
          <w:w w:val="110"/>
        </w:rPr>
        <w:t> </w:t>
      </w:r>
      <w:r>
        <w:rPr>
          <w:color w:val="231F1F"/>
          <w:w w:val="110"/>
        </w:rPr>
        <w:t>no</w:t>
      </w:r>
      <w:r>
        <w:rPr>
          <w:color w:val="231F1F"/>
          <w:spacing w:val="-2"/>
          <w:w w:val="110"/>
        </w:rPr>
        <w:t> </w:t>
      </w:r>
      <w:r>
        <w:rPr>
          <w:color w:val="231F1F"/>
          <w:w w:val="110"/>
        </w:rPr>
        <w:t>se</w:t>
      </w:r>
      <w:r>
        <w:rPr>
          <w:color w:val="231F1F"/>
          <w:spacing w:val="-2"/>
          <w:w w:val="110"/>
        </w:rPr>
        <w:t> </w:t>
      </w:r>
      <w:r>
        <w:rPr>
          <w:color w:val="231F1F"/>
          <w:w w:val="110"/>
        </w:rPr>
        <w:t>tuvieron</w:t>
      </w:r>
      <w:r>
        <w:rPr>
          <w:color w:val="231F1F"/>
          <w:spacing w:val="-2"/>
          <w:w w:val="110"/>
        </w:rPr>
        <w:t> </w:t>
      </w:r>
      <w:r>
        <w:rPr>
          <w:color w:val="231F1F"/>
          <w:w w:val="110"/>
        </w:rPr>
        <w:t>en</w:t>
      </w:r>
      <w:r>
        <w:rPr>
          <w:color w:val="231F1F"/>
          <w:spacing w:val="-2"/>
          <w:w w:val="110"/>
        </w:rPr>
        <w:t> </w:t>
      </w:r>
      <w:r>
        <w:rPr>
          <w:color w:val="231F1F"/>
          <w:w w:val="110"/>
        </w:rPr>
        <w:t>cuenta</w:t>
      </w:r>
      <w:r>
        <w:rPr>
          <w:color w:val="231F1F"/>
          <w:spacing w:val="-2"/>
          <w:w w:val="110"/>
        </w:rPr>
        <w:t> </w:t>
      </w:r>
      <w:r>
        <w:rPr>
          <w:color w:val="231F1F"/>
          <w:w w:val="110"/>
        </w:rPr>
        <w:t>los factores de confusión.</w:t>
      </w:r>
    </w:p>
    <w:p>
      <w:pPr>
        <w:pStyle w:val="BodyText"/>
        <w:tabs>
          <w:tab w:pos="8136" w:val="left" w:leader="none"/>
          <w:tab w:pos="8168" w:val="left" w:leader="none"/>
        </w:tabs>
        <w:spacing w:line="242" w:lineRule="auto" w:before="85"/>
        <w:ind w:left="283" w:right="467" w:firstLine="453"/>
        <w:rPr>
          <w:rFonts w:ascii="Arial MT" w:hAnsi="Arial MT"/>
          <w:position w:val="8"/>
          <w:sz w:val="18"/>
        </w:rPr>
      </w:pPr>
      <w:r>
        <w:rPr>
          <w:color w:val="231F1F"/>
          <w:w w:val="110"/>
        </w:rPr>
        <w:t>Otro estudio transversal llevado a cabo en Taiwán con 1.915 mujeres (93)</w:t>
      </w:r>
      <w:r>
        <w:rPr>
          <w:color w:val="231F1F"/>
        </w:rPr>
        <w:tab/>
      </w:r>
      <w:r>
        <w:rPr>
          <w:rFonts w:ascii="Arial MT" w:hAnsi="Arial MT"/>
          <w:color w:val="231F1F"/>
          <w:spacing w:val="-6"/>
          <w:w w:val="110"/>
          <w:sz w:val="18"/>
        </w:rPr>
        <w:t>E. </w:t>
      </w:r>
      <w:r>
        <w:rPr>
          <w:color w:val="231F1F"/>
          <w:w w:val="110"/>
        </w:rPr>
        <w:t>evaluó</w:t>
      </w:r>
      <w:r>
        <w:rPr>
          <w:color w:val="231F1F"/>
          <w:spacing w:val="-6"/>
          <w:w w:val="110"/>
        </w:rPr>
        <w:t> </w:t>
      </w:r>
      <w:r>
        <w:rPr>
          <w:color w:val="231F1F"/>
          <w:w w:val="110"/>
        </w:rPr>
        <w:t>el</w:t>
      </w:r>
      <w:r>
        <w:rPr>
          <w:color w:val="231F1F"/>
          <w:spacing w:val="-6"/>
          <w:w w:val="110"/>
        </w:rPr>
        <w:t> </w:t>
      </w:r>
      <w:r>
        <w:rPr>
          <w:color w:val="231F1F"/>
          <w:w w:val="110"/>
        </w:rPr>
        <w:t>efecto</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prolongación</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segunda</w:t>
      </w:r>
      <w:r>
        <w:rPr>
          <w:color w:val="231F1F"/>
          <w:spacing w:val="-6"/>
          <w:w w:val="110"/>
        </w:rPr>
        <w:t> </w:t>
      </w:r>
      <w:r>
        <w:rPr>
          <w:color w:val="231F1F"/>
          <w:w w:val="110"/>
        </w:rPr>
        <w:t>etapa</w:t>
      </w:r>
      <w:r>
        <w:rPr>
          <w:color w:val="231F1F"/>
          <w:spacing w:val="-6"/>
          <w:w w:val="110"/>
        </w:rPr>
        <w:t> </w:t>
      </w:r>
      <w:r>
        <w:rPr>
          <w:color w:val="231F1F"/>
          <w:w w:val="110"/>
        </w:rPr>
        <w:t>(sin</w:t>
      </w:r>
      <w:r>
        <w:rPr>
          <w:color w:val="231F1F"/>
          <w:spacing w:val="-6"/>
          <w:w w:val="110"/>
        </w:rPr>
        <w:t> </w:t>
      </w:r>
      <w:r>
        <w:rPr>
          <w:color w:val="231F1F"/>
          <w:w w:val="110"/>
        </w:rPr>
        <w:t>controlar</w:t>
      </w:r>
      <w:r>
        <w:rPr>
          <w:color w:val="231F1F"/>
          <w:spacing w:val="-6"/>
          <w:w w:val="110"/>
        </w:rPr>
        <w:t> </w:t>
      </w:r>
      <w:r>
        <w:rPr>
          <w:color w:val="231F1F"/>
          <w:w w:val="110"/>
        </w:rPr>
        <w:t>los</w:t>
      </w:r>
      <w:r>
        <w:rPr>
          <w:color w:val="231F1F"/>
          <w:spacing w:val="66"/>
          <w:w w:val="110"/>
        </w:rPr>
        <w:t> </w:t>
      </w:r>
      <w:r>
        <w:rPr>
          <w:rFonts w:ascii="Arial MT" w:hAnsi="Arial MT"/>
          <w:color w:val="231F1F"/>
          <w:w w:val="110"/>
          <w:position w:val="4"/>
          <w:sz w:val="18"/>
        </w:rPr>
        <w:t>Transversal </w:t>
      </w:r>
      <w:r>
        <w:rPr>
          <w:color w:val="231F1F"/>
          <w:w w:val="110"/>
        </w:rPr>
        <w:t>factores de confusión) sobre los resultados del parto, no encontrándose aso-</w:t>
      </w:r>
      <w:r>
        <w:rPr>
          <w:color w:val="231F1F"/>
        </w:rPr>
        <w:tab/>
        <w:tab/>
      </w:r>
      <w:r>
        <w:rPr>
          <w:rFonts w:ascii="Arial MT" w:hAnsi="Arial MT"/>
          <w:color w:val="231F1F"/>
          <w:spacing w:val="-10"/>
          <w:w w:val="110"/>
          <w:position w:val="8"/>
          <w:sz w:val="18"/>
        </w:rPr>
        <w:t>3</w:t>
      </w:r>
    </w:p>
    <w:p>
      <w:pPr>
        <w:pStyle w:val="BodyText"/>
        <w:spacing w:before="8"/>
        <w:ind w:left="283"/>
      </w:pPr>
      <w:r>
        <w:rPr>
          <w:color w:val="231F1F"/>
        </w:rPr>
        <w:t>ciación</w:t>
      </w:r>
      <w:r>
        <w:rPr>
          <w:color w:val="231F1F"/>
          <w:spacing w:val="37"/>
        </w:rPr>
        <w:t> </w:t>
      </w:r>
      <w:r>
        <w:rPr>
          <w:color w:val="231F1F"/>
        </w:rPr>
        <w:t>entre</w:t>
      </w:r>
      <w:r>
        <w:rPr>
          <w:color w:val="231F1F"/>
          <w:spacing w:val="40"/>
        </w:rPr>
        <w:t> </w:t>
      </w:r>
      <w:r>
        <w:rPr>
          <w:color w:val="231F1F"/>
        </w:rPr>
        <w:t>la</w:t>
      </w:r>
      <w:r>
        <w:rPr>
          <w:color w:val="231F1F"/>
          <w:spacing w:val="40"/>
        </w:rPr>
        <w:t> </w:t>
      </w:r>
      <w:r>
        <w:rPr>
          <w:color w:val="231F1F"/>
        </w:rPr>
        <w:t>prolongación</w:t>
      </w:r>
      <w:r>
        <w:rPr>
          <w:color w:val="231F1F"/>
          <w:spacing w:val="40"/>
        </w:rPr>
        <w:t> </w:t>
      </w:r>
      <w:r>
        <w:rPr>
          <w:color w:val="231F1F"/>
        </w:rPr>
        <w:t>y</w:t>
      </w:r>
      <w:r>
        <w:rPr>
          <w:color w:val="231F1F"/>
          <w:spacing w:val="41"/>
        </w:rPr>
        <w:t> </w:t>
      </w:r>
      <w:r>
        <w:rPr>
          <w:color w:val="231F1F"/>
        </w:rPr>
        <w:t>resultados</w:t>
      </w:r>
      <w:r>
        <w:rPr>
          <w:color w:val="231F1F"/>
          <w:spacing w:val="41"/>
        </w:rPr>
        <w:t> </w:t>
      </w:r>
      <w:r>
        <w:rPr>
          <w:color w:val="231F1F"/>
        </w:rPr>
        <w:t>maternos</w:t>
      </w:r>
      <w:r>
        <w:rPr>
          <w:color w:val="231F1F"/>
          <w:spacing w:val="39"/>
        </w:rPr>
        <w:t> </w:t>
      </w:r>
      <w:r>
        <w:rPr>
          <w:color w:val="231F1F"/>
        </w:rPr>
        <w:t>y</w:t>
      </w:r>
      <w:r>
        <w:rPr>
          <w:color w:val="231F1F"/>
          <w:spacing w:val="40"/>
        </w:rPr>
        <w:t> </w:t>
      </w:r>
      <w:r>
        <w:rPr>
          <w:color w:val="231F1F"/>
        </w:rPr>
        <w:t>neonatales</w:t>
      </w:r>
      <w:r>
        <w:rPr>
          <w:color w:val="231F1F"/>
          <w:spacing w:val="39"/>
        </w:rPr>
        <w:t> </w:t>
      </w:r>
      <w:r>
        <w:rPr>
          <w:color w:val="231F1F"/>
          <w:spacing w:val="-2"/>
        </w:rPr>
        <w:t>intraparto.</w:t>
      </w:r>
    </w:p>
    <w:p>
      <w:pPr>
        <w:pStyle w:val="BodyText"/>
        <w:tabs>
          <w:tab w:pos="7909" w:val="left" w:leader="none"/>
          <w:tab w:pos="8168" w:val="left" w:leader="none"/>
        </w:tabs>
        <w:spacing w:line="235" w:lineRule="auto" w:before="96"/>
        <w:ind w:left="283" w:right="335" w:firstLine="453"/>
        <w:rPr>
          <w:rFonts w:ascii="Arial MT" w:hAnsi="Arial MT"/>
          <w:position w:val="12"/>
          <w:sz w:val="18"/>
        </w:rPr>
      </w:pPr>
      <w:r>
        <w:rPr>
          <w:color w:val="231F1F"/>
          <w:w w:val="110"/>
        </w:rPr>
        <w:t>Otro estudio retrospectivo de casos y controles (94), analizó la asociación</w:t>
      </w:r>
      <w:r>
        <w:rPr>
          <w:color w:val="231F1F"/>
          <w:spacing w:val="80"/>
          <w:w w:val="110"/>
        </w:rPr>
        <w:t> </w:t>
      </w:r>
      <w:r>
        <w:rPr>
          <w:rFonts w:ascii="Arial MT" w:hAnsi="Arial MT"/>
          <w:color w:val="231F1F"/>
          <w:w w:val="110"/>
          <w:sz w:val="18"/>
        </w:rPr>
        <w:t>E.</w:t>
      </w:r>
      <w:r>
        <w:rPr>
          <w:rFonts w:ascii="Arial MT" w:hAnsi="Arial MT"/>
          <w:color w:val="231F1F"/>
          <w:spacing w:val="-6"/>
          <w:w w:val="110"/>
          <w:sz w:val="18"/>
        </w:rPr>
        <w:t> </w:t>
      </w:r>
      <w:r>
        <w:rPr>
          <w:rFonts w:ascii="Arial MT" w:hAnsi="Arial MT"/>
          <w:color w:val="231F1F"/>
          <w:w w:val="110"/>
          <w:sz w:val="18"/>
        </w:rPr>
        <w:t>de </w:t>
      </w:r>
      <w:r>
        <w:rPr>
          <w:color w:val="231F1F"/>
          <w:w w:val="110"/>
        </w:rPr>
        <w:t>entre</w:t>
      </w:r>
      <w:r>
        <w:rPr>
          <w:color w:val="231F1F"/>
          <w:spacing w:val="-9"/>
          <w:w w:val="110"/>
        </w:rPr>
        <w:t> </w:t>
      </w:r>
      <w:r>
        <w:rPr>
          <w:color w:val="231F1F"/>
          <w:w w:val="110"/>
        </w:rPr>
        <w:t>la</w:t>
      </w:r>
      <w:r>
        <w:rPr>
          <w:color w:val="231F1F"/>
          <w:spacing w:val="-6"/>
          <w:w w:val="110"/>
        </w:rPr>
        <w:t> </w:t>
      </w:r>
      <w:r>
        <w:rPr>
          <w:color w:val="231F1F"/>
          <w:w w:val="110"/>
        </w:rPr>
        <w:t>duración</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segunda</w:t>
      </w:r>
      <w:r>
        <w:rPr>
          <w:color w:val="231F1F"/>
          <w:spacing w:val="-6"/>
          <w:w w:val="110"/>
        </w:rPr>
        <w:t> </w:t>
      </w:r>
      <w:r>
        <w:rPr>
          <w:color w:val="231F1F"/>
          <w:w w:val="110"/>
        </w:rPr>
        <w:t>etapa</w:t>
      </w:r>
      <w:r>
        <w:rPr>
          <w:color w:val="231F1F"/>
          <w:spacing w:val="-6"/>
          <w:w w:val="110"/>
        </w:rPr>
        <w:t> </w:t>
      </w:r>
      <w:r>
        <w:rPr>
          <w:color w:val="231F1F"/>
          <w:w w:val="110"/>
        </w:rPr>
        <w:t>del</w:t>
      </w:r>
      <w:r>
        <w:rPr>
          <w:color w:val="231F1F"/>
          <w:spacing w:val="-6"/>
          <w:w w:val="110"/>
        </w:rPr>
        <w:t> </w:t>
      </w:r>
      <w:r>
        <w:rPr>
          <w:color w:val="231F1F"/>
          <w:w w:val="110"/>
        </w:rPr>
        <w:t>parto</w:t>
      </w:r>
      <w:r>
        <w:rPr>
          <w:color w:val="231F1F"/>
          <w:spacing w:val="-6"/>
          <w:w w:val="110"/>
        </w:rPr>
        <w:t> </w:t>
      </w:r>
      <w:r>
        <w:rPr>
          <w:color w:val="231F1F"/>
          <w:w w:val="110"/>
        </w:rPr>
        <w:t>en</w:t>
      </w:r>
      <w:r>
        <w:rPr>
          <w:color w:val="231F1F"/>
          <w:spacing w:val="-6"/>
          <w:w w:val="110"/>
        </w:rPr>
        <w:t> </w:t>
      </w:r>
      <w:r>
        <w:rPr>
          <w:color w:val="231F1F"/>
          <w:w w:val="110"/>
        </w:rPr>
        <w:t>173</w:t>
      </w:r>
      <w:r>
        <w:rPr>
          <w:color w:val="231F1F"/>
          <w:spacing w:val="-6"/>
          <w:w w:val="110"/>
        </w:rPr>
        <w:t> </w:t>
      </w:r>
      <w:r>
        <w:rPr>
          <w:color w:val="231F1F"/>
          <w:w w:val="110"/>
        </w:rPr>
        <w:t>mujeres</w:t>
      </w:r>
      <w:r>
        <w:rPr>
          <w:color w:val="231F1F"/>
          <w:spacing w:val="-7"/>
          <w:w w:val="110"/>
        </w:rPr>
        <w:t> </w:t>
      </w:r>
      <w:r>
        <w:rPr>
          <w:color w:val="231F1F"/>
          <w:w w:val="110"/>
        </w:rPr>
        <w:t>nulíparas</w:t>
      </w:r>
      <w:r>
        <w:rPr>
          <w:color w:val="231F1F"/>
          <w:spacing w:val="-7"/>
          <w:w w:val="110"/>
        </w:rPr>
        <w:t> </w:t>
      </w:r>
      <w:r>
        <w:rPr>
          <w:color w:val="231F1F"/>
          <w:w w:val="110"/>
        </w:rPr>
        <w:t>y</w:t>
      </w:r>
      <w:r>
        <w:rPr>
          <w:color w:val="231F1F"/>
          <w:spacing w:val="-6"/>
          <w:w w:val="110"/>
        </w:rPr>
        <w:t> </w:t>
      </w:r>
      <w:r>
        <w:rPr>
          <w:color w:val="231F1F"/>
          <w:w w:val="110"/>
        </w:rPr>
        <w:t>la</w:t>
      </w:r>
      <w:r>
        <w:rPr>
          <w:color w:val="231F1F"/>
          <w:spacing w:val="80"/>
          <w:w w:val="110"/>
        </w:rPr>
        <w:t> </w:t>
      </w:r>
      <w:r>
        <w:rPr>
          <w:rFonts w:ascii="Arial MT" w:hAnsi="Arial MT"/>
          <w:color w:val="231F1F"/>
          <w:w w:val="110"/>
          <w:position w:val="4"/>
          <w:sz w:val="18"/>
        </w:rPr>
        <w:t>Casos</w:t>
      </w:r>
      <w:r>
        <w:rPr>
          <w:rFonts w:ascii="Arial MT" w:hAnsi="Arial MT"/>
          <w:color w:val="231F1F"/>
          <w:spacing w:val="-14"/>
          <w:w w:val="110"/>
          <w:position w:val="4"/>
          <w:sz w:val="18"/>
        </w:rPr>
        <w:t> </w:t>
      </w:r>
      <w:r>
        <w:rPr>
          <w:rFonts w:ascii="Arial MT" w:hAnsi="Arial MT"/>
          <w:color w:val="231F1F"/>
          <w:w w:val="110"/>
          <w:position w:val="4"/>
          <w:sz w:val="18"/>
        </w:rPr>
        <w:t>de </w:t>
      </w:r>
      <w:r>
        <w:rPr>
          <w:color w:val="231F1F"/>
          <w:w w:val="110"/>
        </w:rPr>
        <w:t>incontinencia urinaria de esfuerzo, no encontrando evidencia de asociación</w:t>
      </w:r>
      <w:r>
        <w:rPr>
          <w:color w:val="231F1F"/>
        </w:rPr>
        <w:tab/>
      </w:r>
      <w:r>
        <w:rPr>
          <w:rFonts w:ascii="Arial MT" w:hAnsi="Arial MT"/>
          <w:color w:val="231F1F"/>
          <w:spacing w:val="-2"/>
          <w:w w:val="110"/>
          <w:position w:val="3"/>
          <w:sz w:val="18"/>
        </w:rPr>
        <w:t>Control </w:t>
      </w:r>
      <w:r>
        <w:rPr>
          <w:color w:val="231F1F"/>
          <w:w w:val="110"/>
        </w:rPr>
        <w:t>en un periodo de 7-8 años tras el parto: OR 1,07 [IC 95% 0,9 a 1,3].</w:t>
      </w:r>
      <w:r>
        <w:rPr>
          <w:color w:val="231F1F"/>
        </w:rPr>
        <w:tab/>
        <w:tab/>
      </w:r>
      <w:r>
        <w:rPr>
          <w:rFonts w:ascii="Arial MT" w:hAnsi="Arial MT"/>
          <w:color w:val="231F1F"/>
          <w:spacing w:val="-10"/>
          <w:w w:val="110"/>
          <w:position w:val="12"/>
          <w:sz w:val="18"/>
        </w:rPr>
        <w:t>2</w:t>
      </w:r>
    </w:p>
    <w:p>
      <w:pPr>
        <w:pStyle w:val="BodyText"/>
        <w:tabs>
          <w:tab w:pos="8114" w:val="left" w:leader="none"/>
        </w:tabs>
        <w:spacing w:before="89"/>
        <w:ind w:left="283" w:right="335" w:firstLine="453"/>
        <w:rPr>
          <w:rFonts w:ascii="Arial MT" w:hAnsi="Arial MT"/>
          <w:position w:val="8"/>
          <w:sz w:val="18"/>
        </w:rPr>
      </w:pPr>
      <w:r>
        <w:rPr>
          <w:color w:val="231F1F"/>
          <w:w w:val="105"/>
        </w:rPr>
        <w:t>Otro gran estudio transversal canadiense (95) que incluyó a 6.041 muje-</w:t>
      </w:r>
      <w:r>
        <w:rPr>
          <w:color w:val="231F1F"/>
        </w:rPr>
        <w:tab/>
      </w:r>
      <w:r>
        <w:rPr>
          <w:color w:val="231F1F"/>
          <w:spacing w:val="-33"/>
        </w:rPr>
        <w:t> </w:t>
      </w:r>
      <w:r>
        <w:rPr>
          <w:rFonts w:ascii="Arial MT" w:hAnsi="Arial MT"/>
          <w:color w:val="231F1F"/>
          <w:w w:val="105"/>
          <w:sz w:val="18"/>
        </w:rPr>
        <w:t>E. </w:t>
      </w:r>
      <w:r>
        <w:rPr>
          <w:color w:val="231F1F"/>
          <w:w w:val="105"/>
        </w:rPr>
        <w:t>res,</w:t>
      </w:r>
      <w:r>
        <w:rPr>
          <w:color w:val="231F1F"/>
          <w:spacing w:val="19"/>
          <w:w w:val="105"/>
        </w:rPr>
        <w:t> </w:t>
      </w:r>
      <w:r>
        <w:rPr>
          <w:color w:val="231F1F"/>
          <w:w w:val="105"/>
        </w:rPr>
        <w:t>analizó</w:t>
      </w:r>
      <w:r>
        <w:rPr>
          <w:color w:val="231F1F"/>
          <w:spacing w:val="20"/>
          <w:w w:val="105"/>
        </w:rPr>
        <w:t> </w:t>
      </w:r>
      <w:r>
        <w:rPr>
          <w:color w:val="231F1F"/>
          <w:w w:val="105"/>
        </w:rPr>
        <w:t>la</w:t>
      </w:r>
      <w:r>
        <w:rPr>
          <w:color w:val="231F1F"/>
          <w:spacing w:val="20"/>
          <w:w w:val="105"/>
        </w:rPr>
        <w:t> </w:t>
      </w:r>
      <w:r>
        <w:rPr>
          <w:color w:val="231F1F"/>
          <w:w w:val="105"/>
        </w:rPr>
        <w:t>duración</w:t>
      </w:r>
      <w:r>
        <w:rPr>
          <w:color w:val="231F1F"/>
          <w:spacing w:val="20"/>
          <w:w w:val="105"/>
        </w:rPr>
        <w:t> </w:t>
      </w:r>
      <w:r>
        <w:rPr>
          <w:color w:val="231F1F"/>
          <w:w w:val="105"/>
        </w:rPr>
        <w:t>de</w:t>
      </w:r>
      <w:r>
        <w:rPr>
          <w:color w:val="231F1F"/>
          <w:spacing w:val="19"/>
          <w:w w:val="105"/>
        </w:rPr>
        <w:t> </w:t>
      </w:r>
      <w:r>
        <w:rPr>
          <w:color w:val="231F1F"/>
          <w:w w:val="105"/>
        </w:rPr>
        <w:t>la</w:t>
      </w:r>
      <w:r>
        <w:rPr>
          <w:color w:val="231F1F"/>
          <w:spacing w:val="20"/>
          <w:w w:val="105"/>
        </w:rPr>
        <w:t> </w:t>
      </w:r>
      <w:r>
        <w:rPr>
          <w:color w:val="231F1F"/>
          <w:w w:val="105"/>
        </w:rPr>
        <w:t>2ª</w:t>
      </w:r>
      <w:r>
        <w:rPr>
          <w:color w:val="231F1F"/>
          <w:spacing w:val="18"/>
          <w:w w:val="105"/>
        </w:rPr>
        <w:t> </w:t>
      </w:r>
      <w:r>
        <w:rPr>
          <w:color w:val="231F1F"/>
          <w:w w:val="105"/>
        </w:rPr>
        <w:t>etapa</w:t>
      </w:r>
      <w:r>
        <w:rPr>
          <w:color w:val="231F1F"/>
          <w:spacing w:val="20"/>
          <w:w w:val="105"/>
        </w:rPr>
        <w:t> </w:t>
      </w:r>
      <w:r>
        <w:rPr>
          <w:color w:val="231F1F"/>
          <w:w w:val="105"/>
        </w:rPr>
        <w:t>parto</w:t>
      </w:r>
      <w:r>
        <w:rPr>
          <w:color w:val="231F1F"/>
          <w:spacing w:val="19"/>
          <w:w w:val="105"/>
        </w:rPr>
        <w:t> </w:t>
      </w:r>
      <w:r>
        <w:rPr>
          <w:color w:val="231F1F"/>
          <w:w w:val="105"/>
        </w:rPr>
        <w:t>y</w:t>
      </w:r>
      <w:r>
        <w:rPr>
          <w:color w:val="231F1F"/>
          <w:spacing w:val="20"/>
          <w:w w:val="105"/>
        </w:rPr>
        <w:t> </w:t>
      </w:r>
      <w:r>
        <w:rPr>
          <w:color w:val="231F1F"/>
          <w:w w:val="105"/>
        </w:rPr>
        <w:t>los</w:t>
      </w:r>
      <w:r>
        <w:rPr>
          <w:color w:val="231F1F"/>
          <w:spacing w:val="20"/>
          <w:w w:val="105"/>
        </w:rPr>
        <w:t> </w:t>
      </w:r>
      <w:r>
        <w:rPr>
          <w:color w:val="231F1F"/>
          <w:w w:val="105"/>
        </w:rPr>
        <w:t>resultados</w:t>
      </w:r>
      <w:r>
        <w:rPr>
          <w:color w:val="231F1F"/>
          <w:spacing w:val="20"/>
          <w:w w:val="105"/>
        </w:rPr>
        <w:t> </w:t>
      </w:r>
      <w:r>
        <w:rPr>
          <w:color w:val="231F1F"/>
          <w:w w:val="105"/>
        </w:rPr>
        <w:t>perinatales,</w:t>
      </w:r>
      <w:r>
        <w:rPr>
          <w:color w:val="231F1F"/>
          <w:spacing w:val="18"/>
          <w:w w:val="105"/>
        </w:rPr>
        <w:t> </w:t>
      </w:r>
      <w:r>
        <w:rPr>
          <w:color w:val="231F1F"/>
          <w:w w:val="105"/>
        </w:rPr>
        <w:t>no</w:t>
      </w:r>
      <w:r>
        <w:rPr>
          <w:color w:val="231F1F"/>
          <w:spacing w:val="80"/>
          <w:w w:val="150"/>
        </w:rPr>
        <w:t> </w:t>
      </w:r>
      <w:r>
        <w:rPr>
          <w:rFonts w:ascii="Arial MT" w:hAnsi="Arial MT"/>
          <w:color w:val="231F1F"/>
          <w:w w:val="105"/>
          <w:position w:val="4"/>
          <w:sz w:val="18"/>
        </w:rPr>
        <w:t>Transversal </w:t>
      </w:r>
      <w:r>
        <w:rPr>
          <w:color w:val="231F1F"/>
          <w:w w:val="105"/>
        </w:rPr>
        <w:t>encontrando asociación entre la duración y la puntuación baja de Apgar a los</w:t>
      </w:r>
      <w:r>
        <w:rPr>
          <w:color w:val="231F1F"/>
        </w:rPr>
        <w:tab/>
      </w:r>
      <w:r>
        <w:rPr>
          <w:rFonts w:ascii="Arial MT" w:hAnsi="Arial MT"/>
          <w:color w:val="231F1F"/>
          <w:spacing w:val="-6"/>
          <w:w w:val="105"/>
          <w:position w:val="8"/>
          <w:sz w:val="18"/>
        </w:rPr>
        <w:t>2+</w:t>
      </w:r>
    </w:p>
    <w:p>
      <w:pPr>
        <w:pStyle w:val="BodyText"/>
        <w:spacing w:before="15"/>
        <w:ind w:left="283"/>
      </w:pPr>
      <w:r>
        <w:rPr>
          <w:color w:val="231F1F"/>
          <w:w w:val="105"/>
        </w:rPr>
        <w:t>5 minutos,</w:t>
      </w:r>
      <w:r>
        <w:rPr>
          <w:color w:val="231F1F"/>
          <w:spacing w:val="-1"/>
          <w:w w:val="105"/>
        </w:rPr>
        <w:t> </w:t>
      </w:r>
      <w:r>
        <w:rPr>
          <w:color w:val="231F1F"/>
          <w:w w:val="105"/>
        </w:rPr>
        <w:t>convulsiones</w:t>
      </w:r>
      <w:r>
        <w:rPr>
          <w:color w:val="231F1F"/>
          <w:spacing w:val="1"/>
          <w:w w:val="105"/>
        </w:rPr>
        <w:t> </w:t>
      </w:r>
      <w:r>
        <w:rPr>
          <w:color w:val="231F1F"/>
          <w:w w:val="105"/>
        </w:rPr>
        <w:t>neonatales</w:t>
      </w:r>
      <w:r>
        <w:rPr>
          <w:color w:val="231F1F"/>
          <w:spacing w:val="-1"/>
          <w:w w:val="105"/>
        </w:rPr>
        <w:t> </w:t>
      </w:r>
      <w:r>
        <w:rPr>
          <w:color w:val="231F1F"/>
          <w:w w:val="105"/>
        </w:rPr>
        <w:t>ni en</w:t>
      </w:r>
      <w:r>
        <w:rPr>
          <w:color w:val="231F1F"/>
          <w:spacing w:val="1"/>
          <w:w w:val="105"/>
        </w:rPr>
        <w:t> </w:t>
      </w:r>
      <w:r>
        <w:rPr>
          <w:color w:val="231F1F"/>
          <w:w w:val="105"/>
        </w:rPr>
        <w:t>la</w:t>
      </w:r>
      <w:r>
        <w:rPr>
          <w:color w:val="231F1F"/>
          <w:spacing w:val="2"/>
          <w:w w:val="105"/>
        </w:rPr>
        <w:t> </w:t>
      </w:r>
      <w:r>
        <w:rPr>
          <w:color w:val="231F1F"/>
          <w:w w:val="105"/>
        </w:rPr>
        <w:t>tasa</w:t>
      </w:r>
      <w:r>
        <w:rPr>
          <w:color w:val="231F1F"/>
          <w:spacing w:val="-1"/>
          <w:w w:val="105"/>
        </w:rPr>
        <w:t> </w:t>
      </w:r>
      <w:r>
        <w:rPr>
          <w:color w:val="231F1F"/>
          <w:w w:val="105"/>
        </w:rPr>
        <w:t>de ingresos</w:t>
      </w:r>
      <w:r>
        <w:rPr>
          <w:color w:val="231F1F"/>
          <w:spacing w:val="-1"/>
          <w:w w:val="105"/>
        </w:rPr>
        <w:t> </w:t>
      </w:r>
      <w:r>
        <w:rPr>
          <w:color w:val="231F1F"/>
          <w:w w:val="105"/>
        </w:rPr>
        <w:t>en</w:t>
      </w:r>
      <w:r>
        <w:rPr>
          <w:color w:val="231F1F"/>
          <w:spacing w:val="2"/>
          <w:w w:val="105"/>
        </w:rPr>
        <w:t> </w:t>
      </w:r>
      <w:r>
        <w:rPr>
          <w:color w:val="231F1F"/>
          <w:w w:val="105"/>
        </w:rPr>
        <w:t>la</w:t>
      </w:r>
      <w:r>
        <w:rPr>
          <w:color w:val="231F1F"/>
          <w:spacing w:val="1"/>
          <w:w w:val="105"/>
        </w:rPr>
        <w:t> </w:t>
      </w:r>
      <w:r>
        <w:rPr>
          <w:color w:val="231F1F"/>
          <w:spacing w:val="-2"/>
          <w:w w:val="105"/>
        </w:rPr>
        <w:t>UCIN.</w:t>
      </w:r>
    </w:p>
    <w:p>
      <w:pPr>
        <w:pStyle w:val="BodyText"/>
        <w:spacing w:line="247" w:lineRule="auto" w:before="54"/>
        <w:ind w:left="283" w:right="1373" w:firstLine="453"/>
        <w:jc w:val="both"/>
      </w:pPr>
      <w:r>
        <w:rPr>
          <w:color w:val="231F1F"/>
          <w:w w:val="110"/>
        </w:rPr>
        <w:t>Otro estudio transversal del Reino Unido (96;97) investigó,</w:t>
      </w:r>
      <w:r>
        <w:rPr>
          <w:color w:val="231F1F"/>
          <w:spacing w:val="-1"/>
          <w:w w:val="110"/>
        </w:rPr>
        <w:t> </w:t>
      </w:r>
      <w:r>
        <w:rPr>
          <w:color w:val="231F1F"/>
          <w:w w:val="110"/>
        </w:rPr>
        <w:t>en 25.069 mujeres,</w:t>
      </w:r>
      <w:r>
        <w:rPr>
          <w:color w:val="231F1F"/>
          <w:spacing w:val="-3"/>
          <w:w w:val="110"/>
        </w:rPr>
        <w:t> </w:t>
      </w:r>
      <w:r>
        <w:rPr>
          <w:color w:val="231F1F"/>
          <w:w w:val="110"/>
        </w:rPr>
        <w:t>el</w:t>
      </w:r>
      <w:r>
        <w:rPr>
          <w:color w:val="231F1F"/>
          <w:spacing w:val="-3"/>
          <w:w w:val="110"/>
        </w:rPr>
        <w:t> </w:t>
      </w:r>
      <w:r>
        <w:rPr>
          <w:color w:val="231F1F"/>
          <w:w w:val="110"/>
        </w:rPr>
        <w:t>efecto</w:t>
      </w:r>
      <w:r>
        <w:rPr>
          <w:color w:val="231F1F"/>
          <w:spacing w:val="-3"/>
          <w:w w:val="110"/>
        </w:rPr>
        <w:t> </w:t>
      </w:r>
      <w:r>
        <w:rPr>
          <w:color w:val="231F1F"/>
          <w:w w:val="110"/>
        </w:rPr>
        <w:t>de</w:t>
      </w:r>
      <w:r>
        <w:rPr>
          <w:color w:val="231F1F"/>
          <w:spacing w:val="-3"/>
          <w:w w:val="110"/>
        </w:rPr>
        <w:t> </w:t>
      </w:r>
      <w:r>
        <w:rPr>
          <w:color w:val="231F1F"/>
          <w:w w:val="110"/>
        </w:rPr>
        <w:t>una</w:t>
      </w:r>
      <w:r>
        <w:rPr>
          <w:color w:val="231F1F"/>
          <w:spacing w:val="-3"/>
          <w:w w:val="110"/>
        </w:rPr>
        <w:t> </w:t>
      </w:r>
      <w:r>
        <w:rPr>
          <w:color w:val="231F1F"/>
          <w:w w:val="110"/>
        </w:rPr>
        <w:t>2ª</w:t>
      </w:r>
      <w:r>
        <w:rPr>
          <w:color w:val="231F1F"/>
          <w:spacing w:val="-3"/>
          <w:w w:val="110"/>
        </w:rPr>
        <w:t> </w:t>
      </w:r>
      <w:r>
        <w:rPr>
          <w:color w:val="231F1F"/>
          <w:w w:val="110"/>
        </w:rPr>
        <w:t>etapa</w:t>
      </w:r>
      <w:r>
        <w:rPr>
          <w:color w:val="231F1F"/>
          <w:spacing w:val="-3"/>
          <w:w w:val="110"/>
        </w:rPr>
        <w:t> </w:t>
      </w:r>
      <w:r>
        <w:rPr>
          <w:color w:val="231F1F"/>
          <w:w w:val="110"/>
        </w:rPr>
        <w:t>prolongada</w:t>
      </w:r>
      <w:r>
        <w:rPr>
          <w:color w:val="231F1F"/>
          <w:spacing w:val="-3"/>
          <w:w w:val="110"/>
        </w:rPr>
        <w:t> </w:t>
      </w:r>
      <w:r>
        <w:rPr>
          <w:color w:val="231F1F"/>
          <w:w w:val="110"/>
        </w:rPr>
        <w:t>del</w:t>
      </w:r>
      <w:r>
        <w:rPr>
          <w:color w:val="231F1F"/>
          <w:spacing w:val="-3"/>
          <w:w w:val="110"/>
        </w:rPr>
        <w:t> </w:t>
      </w:r>
      <w:r>
        <w:rPr>
          <w:color w:val="231F1F"/>
          <w:w w:val="110"/>
        </w:rPr>
        <w:t>parto</w:t>
      </w:r>
      <w:r>
        <w:rPr>
          <w:color w:val="231F1F"/>
          <w:spacing w:val="-3"/>
          <w:w w:val="110"/>
        </w:rPr>
        <w:t> </w:t>
      </w:r>
      <w:r>
        <w:rPr>
          <w:color w:val="231F1F"/>
          <w:w w:val="110"/>
        </w:rPr>
        <w:t>sobre</w:t>
      </w:r>
      <w:r>
        <w:rPr>
          <w:color w:val="231F1F"/>
          <w:spacing w:val="-3"/>
          <w:w w:val="110"/>
        </w:rPr>
        <w:t> </w:t>
      </w:r>
      <w:r>
        <w:rPr>
          <w:color w:val="231F1F"/>
          <w:w w:val="110"/>
        </w:rPr>
        <w:t>los</w:t>
      </w:r>
      <w:r>
        <w:rPr>
          <w:color w:val="231F1F"/>
          <w:spacing w:val="-3"/>
          <w:w w:val="110"/>
        </w:rPr>
        <w:t> </w:t>
      </w:r>
      <w:r>
        <w:rPr>
          <w:color w:val="231F1F"/>
          <w:w w:val="110"/>
        </w:rPr>
        <w:t>resultados </w:t>
      </w:r>
      <w:r>
        <w:rPr>
          <w:color w:val="231F1F"/>
          <w:spacing w:val="-2"/>
          <w:w w:val="110"/>
        </w:rPr>
        <w:t>perinatales.</w:t>
      </w:r>
    </w:p>
    <w:p>
      <w:pPr>
        <w:pStyle w:val="BodyText"/>
        <w:tabs>
          <w:tab w:pos="7737" w:val="left" w:leader="none"/>
          <w:tab w:pos="8136" w:val="left" w:leader="none"/>
        </w:tabs>
        <w:spacing w:line="242" w:lineRule="auto" w:before="82"/>
        <w:ind w:left="283" w:right="263" w:firstLine="453"/>
        <w:rPr>
          <w:rFonts w:ascii="Arial MT" w:hAnsi="Arial MT"/>
          <w:position w:val="8"/>
          <w:sz w:val="18"/>
        </w:rPr>
      </w:pPr>
      <w:r>
        <w:rPr>
          <w:color w:val="231F1F"/>
          <w:w w:val="110"/>
        </w:rPr>
        <w:t>El análisis de regresión logística realizado mostró evidencia de asociación</w:t>
      </w:r>
      <w:r>
        <w:rPr>
          <w:color w:val="231F1F"/>
        </w:rPr>
        <w:tab/>
      </w:r>
      <w:r>
        <w:rPr>
          <w:rFonts w:ascii="Arial MT" w:hAnsi="Arial MT"/>
          <w:color w:val="231F1F"/>
          <w:spacing w:val="-6"/>
          <w:w w:val="110"/>
          <w:sz w:val="18"/>
        </w:rPr>
        <w:t>E. </w:t>
      </w:r>
      <w:r>
        <w:rPr>
          <w:color w:val="231F1F"/>
          <w:w w:val="110"/>
        </w:rPr>
        <w:t>entre una larga duración de la 2ª etapa y mayores tasas de hemorragia pos-</w:t>
      </w:r>
      <w:r>
        <w:rPr>
          <w:color w:val="231F1F"/>
        </w:rPr>
        <w:tab/>
      </w:r>
      <w:r>
        <w:rPr>
          <w:rFonts w:ascii="Arial MT" w:hAnsi="Arial MT"/>
          <w:color w:val="231F1F"/>
          <w:spacing w:val="-4"/>
          <w:position w:val="4"/>
          <w:sz w:val="18"/>
        </w:rPr>
        <w:t>Transversal </w:t>
      </w:r>
      <w:r>
        <w:rPr>
          <w:color w:val="231F1F"/>
          <w:w w:val="110"/>
        </w:rPr>
        <w:t>parto: duración de 120–179 minutos: OR 1,6 [IC 95% 1,3 a 1,9]; duración de</w:t>
      </w:r>
      <w:r>
        <w:rPr>
          <w:color w:val="231F1F"/>
          <w:spacing w:val="-7"/>
          <w:w w:val="110"/>
        </w:rPr>
        <w:t> </w:t>
      </w:r>
      <w:r>
        <w:rPr>
          <w:rFonts w:ascii="Arial MT" w:hAnsi="Arial MT"/>
          <w:color w:val="231F1F"/>
          <w:w w:val="110"/>
          <w:position w:val="8"/>
          <w:sz w:val="18"/>
        </w:rPr>
        <w:t>2+</w:t>
      </w:r>
    </w:p>
    <w:p>
      <w:pPr>
        <w:pStyle w:val="BodyText"/>
        <w:spacing w:line="244" w:lineRule="auto" w:before="8"/>
        <w:ind w:left="283" w:right="1368"/>
        <w:jc w:val="both"/>
      </w:pPr>
      <w:r>
        <w:rPr>
          <w:color w:val="231F1F"/>
          <w:w w:val="105"/>
        </w:rPr>
        <w:t>180–239 minutos: OR 1,7 [IC 95% 1,3 a 2,3], duración de &gt;240 minutos: OR 1,9 [IC 95% 1,2 a 2,8]. Sin embargo, no hubo evidencia de asociación con la infección posparto ni con una puntuación Apgar&lt;7 a los 5 minutos.</w:t>
      </w:r>
    </w:p>
    <w:p>
      <w:pPr>
        <w:pStyle w:val="BodyText"/>
        <w:tabs>
          <w:tab w:pos="8136" w:val="left" w:leader="none"/>
        </w:tabs>
        <w:spacing w:line="247" w:lineRule="auto" w:before="90"/>
        <w:ind w:left="283" w:right="405" w:firstLine="453"/>
      </w:pPr>
      <w:r>
        <w:rPr>
          <w:color w:val="231F1F"/>
          <w:w w:val="105"/>
        </w:rPr>
        <w:t>Un estudio poblacional de EEUU (98), investigó la relación entre una 2ª</w:t>
      </w:r>
      <w:r>
        <w:rPr>
          <w:color w:val="231F1F"/>
        </w:rPr>
        <w:tab/>
      </w:r>
      <w:r>
        <w:rPr>
          <w:rFonts w:ascii="Arial MT" w:hAnsi="Arial MT"/>
          <w:color w:val="231F1F"/>
          <w:spacing w:val="-6"/>
          <w:w w:val="105"/>
          <w:sz w:val="18"/>
        </w:rPr>
        <w:t>E. </w:t>
      </w:r>
      <w:r>
        <w:rPr>
          <w:color w:val="231F1F"/>
        </w:rPr>
        <w:t>etapa</w:t>
      </w:r>
      <w:r>
        <w:rPr>
          <w:color w:val="231F1F"/>
          <w:spacing w:val="-9"/>
        </w:rPr>
        <w:t> </w:t>
      </w:r>
      <w:r>
        <w:rPr>
          <w:color w:val="231F1F"/>
        </w:rPr>
        <w:t>prolongada</w:t>
      </w:r>
      <w:r>
        <w:rPr>
          <w:color w:val="231F1F"/>
          <w:spacing w:val="-9"/>
        </w:rPr>
        <w:t> </w:t>
      </w:r>
      <w:r>
        <w:rPr>
          <w:color w:val="231F1F"/>
        </w:rPr>
        <w:t>y</w:t>
      </w:r>
      <w:r>
        <w:rPr>
          <w:color w:val="231F1F"/>
          <w:spacing w:val="-9"/>
        </w:rPr>
        <w:t> </w:t>
      </w:r>
      <w:r>
        <w:rPr>
          <w:color w:val="231F1F"/>
        </w:rPr>
        <w:t>los</w:t>
      </w:r>
      <w:r>
        <w:rPr>
          <w:color w:val="231F1F"/>
          <w:spacing w:val="-9"/>
        </w:rPr>
        <w:t> </w:t>
      </w:r>
      <w:r>
        <w:rPr>
          <w:color w:val="231F1F"/>
        </w:rPr>
        <w:t>resultados</w:t>
      </w:r>
      <w:r>
        <w:rPr>
          <w:color w:val="231F1F"/>
          <w:spacing w:val="-7"/>
        </w:rPr>
        <w:t> </w:t>
      </w:r>
      <w:r>
        <w:rPr>
          <w:color w:val="231F1F"/>
        </w:rPr>
        <w:t>del</w:t>
      </w:r>
      <w:r>
        <w:rPr>
          <w:color w:val="231F1F"/>
          <w:spacing w:val="-9"/>
        </w:rPr>
        <w:t> </w:t>
      </w:r>
      <w:r>
        <w:rPr>
          <w:color w:val="231F1F"/>
        </w:rPr>
        <w:t>parto</w:t>
      </w:r>
      <w:r>
        <w:rPr>
          <w:color w:val="231F1F"/>
          <w:spacing w:val="-9"/>
        </w:rPr>
        <w:t> </w:t>
      </w:r>
      <w:r>
        <w:rPr>
          <w:color w:val="231F1F"/>
        </w:rPr>
        <w:t>en</w:t>
      </w:r>
      <w:r>
        <w:rPr>
          <w:color w:val="231F1F"/>
          <w:spacing w:val="-9"/>
        </w:rPr>
        <w:t> </w:t>
      </w:r>
      <w:r>
        <w:rPr>
          <w:color w:val="231F1F"/>
        </w:rPr>
        <w:t>1.432</w:t>
      </w:r>
      <w:r>
        <w:rPr>
          <w:color w:val="231F1F"/>
          <w:spacing w:val="-9"/>
        </w:rPr>
        <w:t> </w:t>
      </w:r>
      <w:r>
        <w:rPr>
          <w:color w:val="231F1F"/>
        </w:rPr>
        <w:t>mujeres.</w:t>
      </w:r>
      <w:r>
        <w:rPr>
          <w:color w:val="231F1F"/>
          <w:spacing w:val="-9"/>
        </w:rPr>
        <w:t> </w:t>
      </w:r>
      <w:r>
        <w:rPr>
          <w:color w:val="231F1F"/>
        </w:rPr>
        <w:t>Los</w:t>
      </w:r>
      <w:r>
        <w:rPr>
          <w:color w:val="231F1F"/>
          <w:spacing w:val="-9"/>
        </w:rPr>
        <w:t> </w:t>
      </w:r>
      <w:r>
        <w:rPr>
          <w:color w:val="231F1F"/>
        </w:rPr>
        <w:t>resultados</w:t>
      </w:r>
      <w:r>
        <w:rPr>
          <w:color w:val="231F1F"/>
          <w:spacing w:val="-7"/>
        </w:rPr>
        <w:t> </w:t>
      </w:r>
      <w:r>
        <w:rPr>
          <w:color w:val="231F1F"/>
        </w:rPr>
        <w:t>mos-</w:t>
      </w:r>
      <w:r>
        <w:rPr>
          <w:color w:val="231F1F"/>
          <w:spacing w:val="80"/>
        </w:rPr>
        <w:t> </w:t>
      </w:r>
      <w:r>
        <w:rPr>
          <w:rFonts w:ascii="Arial MT" w:hAnsi="Arial MT"/>
          <w:color w:val="231F1F"/>
          <w:position w:val="4"/>
          <w:sz w:val="18"/>
        </w:rPr>
        <w:t>Poblacional </w:t>
      </w:r>
      <w:r>
        <w:rPr>
          <w:color w:val="231F1F"/>
          <w:w w:val="105"/>
        </w:rPr>
        <w:t>traron</w:t>
      </w:r>
      <w:r>
        <w:rPr>
          <w:color w:val="231F1F"/>
          <w:spacing w:val="40"/>
          <w:w w:val="105"/>
        </w:rPr>
        <w:t> </w:t>
      </w:r>
      <w:r>
        <w:rPr>
          <w:color w:val="231F1F"/>
          <w:w w:val="105"/>
        </w:rPr>
        <w:t>una</w:t>
      </w:r>
      <w:r>
        <w:rPr>
          <w:color w:val="231F1F"/>
          <w:spacing w:val="40"/>
          <w:w w:val="105"/>
        </w:rPr>
        <w:t> </w:t>
      </w:r>
      <w:r>
        <w:rPr>
          <w:color w:val="231F1F"/>
          <w:w w:val="105"/>
        </w:rPr>
        <w:t>asociación</w:t>
      </w:r>
      <w:r>
        <w:rPr>
          <w:color w:val="231F1F"/>
          <w:spacing w:val="40"/>
          <w:w w:val="105"/>
        </w:rPr>
        <w:t> </w:t>
      </w:r>
      <w:r>
        <w:rPr>
          <w:color w:val="231F1F"/>
          <w:w w:val="105"/>
        </w:rPr>
        <w:t>entre</w:t>
      </w:r>
      <w:r>
        <w:rPr>
          <w:color w:val="231F1F"/>
          <w:spacing w:val="40"/>
          <w:w w:val="105"/>
        </w:rPr>
        <w:t> </w:t>
      </w:r>
      <w:r>
        <w:rPr>
          <w:color w:val="231F1F"/>
          <w:w w:val="105"/>
        </w:rPr>
        <w:t>una</w:t>
      </w:r>
      <w:r>
        <w:rPr>
          <w:color w:val="231F1F"/>
          <w:spacing w:val="40"/>
          <w:w w:val="105"/>
        </w:rPr>
        <w:t> </w:t>
      </w:r>
      <w:r>
        <w:rPr>
          <w:color w:val="231F1F"/>
          <w:w w:val="105"/>
        </w:rPr>
        <w:t>segunda</w:t>
      </w:r>
      <w:r>
        <w:rPr>
          <w:color w:val="231F1F"/>
          <w:spacing w:val="40"/>
          <w:w w:val="105"/>
        </w:rPr>
        <w:t> </w:t>
      </w:r>
      <w:r>
        <w:rPr>
          <w:color w:val="231F1F"/>
          <w:w w:val="105"/>
        </w:rPr>
        <w:t>etapa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prolongada</w:t>
      </w:r>
      <w:r>
        <w:rPr>
          <w:color w:val="231F1F"/>
          <w:spacing w:val="40"/>
          <w:w w:val="105"/>
        </w:rPr>
        <w:t> </w:t>
      </w:r>
      <w:r>
        <w:rPr>
          <w:color w:val="231F1F"/>
          <w:w w:val="105"/>
        </w:rPr>
        <w:t>con</w:t>
      </w:r>
      <w:r>
        <w:rPr>
          <w:color w:val="231F1F"/>
          <w:spacing w:val="40"/>
          <w:w w:val="105"/>
        </w:rPr>
        <w:t> </w:t>
      </w:r>
      <w:r>
        <w:rPr>
          <w:color w:val="231F1F"/>
          <w:w w:val="105"/>
        </w:rPr>
        <w:t>mayores </w:t>
      </w:r>
      <w:r>
        <w:rPr>
          <w:rFonts w:ascii="Arial MT" w:hAnsi="Arial MT"/>
          <w:color w:val="231F1F"/>
          <w:w w:val="105"/>
          <w:position w:val="8"/>
          <w:sz w:val="18"/>
        </w:rPr>
        <w:t>2+ </w:t>
      </w:r>
      <w:r>
        <w:rPr>
          <w:color w:val="231F1F"/>
          <w:w w:val="105"/>
        </w:rPr>
        <w:t>índices de cesáreas y de partos instrumentales, aunque hay que tener precaución</w:t>
      </w:r>
    </w:p>
    <w:p>
      <w:pPr>
        <w:pStyle w:val="BodyText"/>
        <w:spacing w:line="249" w:lineRule="auto" w:before="14"/>
        <w:ind w:left="283" w:right="1386"/>
      </w:pPr>
      <w:r>
        <w:rPr>
          <w:color w:val="231F1F"/>
        </w:rPr>
        <w:t>en</w:t>
      </w:r>
      <w:r>
        <w:rPr>
          <w:color w:val="231F1F"/>
          <w:spacing w:val="-3"/>
        </w:rPr>
        <w:t> </w:t>
      </w:r>
      <w:r>
        <w:rPr>
          <w:color w:val="231F1F"/>
        </w:rPr>
        <w:t>su</w:t>
      </w:r>
      <w:r>
        <w:rPr>
          <w:color w:val="231F1F"/>
          <w:spacing w:val="-3"/>
        </w:rPr>
        <w:t> </w:t>
      </w:r>
      <w:r>
        <w:rPr>
          <w:color w:val="231F1F"/>
        </w:rPr>
        <w:t>interpretación</w:t>
      </w:r>
      <w:r>
        <w:rPr>
          <w:color w:val="231F1F"/>
          <w:spacing w:val="-3"/>
        </w:rPr>
        <w:t> </w:t>
      </w:r>
      <w:r>
        <w:rPr>
          <w:color w:val="231F1F"/>
        </w:rPr>
        <w:t>ya</w:t>
      </w:r>
      <w:r>
        <w:rPr>
          <w:color w:val="231F1F"/>
          <w:spacing w:val="-3"/>
        </w:rPr>
        <w:t> </w:t>
      </w:r>
      <w:r>
        <w:rPr>
          <w:color w:val="231F1F"/>
        </w:rPr>
        <w:t>que</w:t>
      </w:r>
      <w:r>
        <w:rPr>
          <w:color w:val="231F1F"/>
          <w:spacing w:val="-3"/>
        </w:rPr>
        <w:t> </w:t>
      </w:r>
      <w:r>
        <w:rPr>
          <w:color w:val="231F1F"/>
        </w:rPr>
        <w:t>el</w:t>
      </w:r>
      <w:r>
        <w:rPr>
          <w:color w:val="231F1F"/>
          <w:spacing w:val="-3"/>
        </w:rPr>
        <w:t> </w:t>
      </w:r>
      <w:r>
        <w:rPr>
          <w:color w:val="231F1F"/>
        </w:rPr>
        <w:t>análisis</w:t>
      </w:r>
      <w:r>
        <w:rPr>
          <w:color w:val="231F1F"/>
          <w:spacing w:val="-3"/>
        </w:rPr>
        <w:t> </w:t>
      </w:r>
      <w:r>
        <w:rPr>
          <w:color w:val="231F1F"/>
        </w:rPr>
        <w:t>no</w:t>
      </w:r>
      <w:r>
        <w:rPr>
          <w:color w:val="231F1F"/>
          <w:spacing w:val="-3"/>
        </w:rPr>
        <w:t> </w:t>
      </w:r>
      <w:r>
        <w:rPr>
          <w:color w:val="231F1F"/>
        </w:rPr>
        <w:t>fue</w:t>
      </w:r>
      <w:r>
        <w:rPr>
          <w:color w:val="231F1F"/>
          <w:spacing w:val="-3"/>
        </w:rPr>
        <w:t> </w:t>
      </w:r>
      <w:r>
        <w:rPr>
          <w:color w:val="231F1F"/>
        </w:rPr>
        <w:t>controlado</w:t>
      </w:r>
      <w:r>
        <w:rPr>
          <w:color w:val="231F1F"/>
          <w:spacing w:val="-3"/>
        </w:rPr>
        <w:t> </w:t>
      </w:r>
      <w:r>
        <w:rPr>
          <w:color w:val="231F1F"/>
        </w:rPr>
        <w:t>por</w:t>
      </w:r>
      <w:r>
        <w:rPr>
          <w:color w:val="231F1F"/>
          <w:spacing w:val="-3"/>
        </w:rPr>
        <w:t> </w:t>
      </w:r>
      <w:r>
        <w:rPr>
          <w:color w:val="231F1F"/>
        </w:rPr>
        <w:t>factores</w:t>
      </w:r>
      <w:r>
        <w:rPr>
          <w:color w:val="231F1F"/>
          <w:spacing w:val="-3"/>
        </w:rPr>
        <w:t> </w:t>
      </w:r>
      <w:r>
        <w:rPr>
          <w:color w:val="231F1F"/>
        </w:rPr>
        <w:t>de</w:t>
      </w:r>
      <w:r>
        <w:rPr>
          <w:color w:val="231F1F"/>
          <w:spacing w:val="-3"/>
        </w:rPr>
        <w:t> </w:t>
      </w:r>
      <w:r>
        <w:rPr>
          <w:color w:val="231F1F"/>
        </w:rPr>
        <w:t>confusión. No</w:t>
      </w:r>
      <w:r>
        <w:rPr>
          <w:color w:val="231F1F"/>
          <w:spacing w:val="40"/>
        </w:rPr>
        <w:t> </w:t>
      </w:r>
      <w:r>
        <w:rPr>
          <w:color w:val="231F1F"/>
        </w:rPr>
        <w:t>hubo</w:t>
      </w:r>
      <w:r>
        <w:rPr>
          <w:color w:val="231F1F"/>
          <w:spacing w:val="40"/>
        </w:rPr>
        <w:t> </w:t>
      </w:r>
      <w:r>
        <w:rPr>
          <w:color w:val="231F1F"/>
        </w:rPr>
        <w:t>evidencia</w:t>
      </w:r>
      <w:r>
        <w:rPr>
          <w:color w:val="231F1F"/>
          <w:spacing w:val="40"/>
        </w:rPr>
        <w:t> </w:t>
      </w:r>
      <w:r>
        <w:rPr>
          <w:color w:val="231F1F"/>
        </w:rPr>
        <w:t>de</w:t>
      </w:r>
      <w:r>
        <w:rPr>
          <w:color w:val="231F1F"/>
          <w:spacing w:val="40"/>
        </w:rPr>
        <w:t> </w:t>
      </w:r>
      <w:r>
        <w:rPr>
          <w:color w:val="231F1F"/>
        </w:rPr>
        <w:t>asociación</w:t>
      </w:r>
      <w:r>
        <w:rPr>
          <w:color w:val="231F1F"/>
          <w:spacing w:val="40"/>
        </w:rPr>
        <w:t> </w:t>
      </w:r>
      <w:r>
        <w:rPr>
          <w:color w:val="231F1F"/>
        </w:rPr>
        <w:t>con</w:t>
      </w:r>
      <w:r>
        <w:rPr>
          <w:color w:val="231F1F"/>
          <w:spacing w:val="40"/>
        </w:rPr>
        <w:t> </w:t>
      </w:r>
      <w:r>
        <w:rPr>
          <w:color w:val="231F1F"/>
        </w:rPr>
        <w:t>resultados</w:t>
      </w:r>
      <w:r>
        <w:rPr>
          <w:color w:val="231F1F"/>
          <w:spacing w:val="40"/>
        </w:rPr>
        <w:t> </w:t>
      </w:r>
      <w:r>
        <w:rPr>
          <w:color w:val="231F1F"/>
        </w:rPr>
        <w:t>adversos</w:t>
      </w:r>
      <w:r>
        <w:rPr>
          <w:color w:val="231F1F"/>
          <w:spacing w:val="40"/>
        </w:rPr>
        <w:t> </w:t>
      </w:r>
      <w:r>
        <w:rPr>
          <w:color w:val="231F1F"/>
        </w:rPr>
        <w:t>neonatales.</w:t>
      </w:r>
    </w:p>
    <w:p>
      <w:pPr>
        <w:pStyle w:val="BodyText"/>
        <w:tabs>
          <w:tab w:pos="7969" w:val="left" w:leader="none"/>
          <w:tab w:pos="8133" w:val="left" w:leader="none"/>
        </w:tabs>
        <w:spacing w:line="242" w:lineRule="auto" w:before="89"/>
        <w:ind w:left="283" w:right="335" w:firstLine="453"/>
        <w:rPr>
          <w:rFonts w:ascii="Arial MT" w:hAnsi="Arial MT"/>
          <w:position w:val="8"/>
          <w:sz w:val="18"/>
        </w:rPr>
      </w:pPr>
      <w:r>
        <w:rPr>
          <w:color w:val="231F1F"/>
          <w:w w:val="105"/>
        </w:rPr>
        <w:t>Un</w:t>
      </w:r>
      <w:r>
        <w:rPr>
          <w:color w:val="231F1F"/>
          <w:spacing w:val="-6"/>
          <w:w w:val="105"/>
        </w:rPr>
        <w:t> </w:t>
      </w:r>
      <w:r>
        <w:rPr>
          <w:color w:val="231F1F"/>
          <w:w w:val="105"/>
        </w:rPr>
        <w:t>pequeño</w:t>
      </w:r>
      <w:r>
        <w:rPr>
          <w:color w:val="231F1F"/>
          <w:spacing w:val="-6"/>
          <w:w w:val="105"/>
        </w:rPr>
        <w:t> </w:t>
      </w:r>
      <w:r>
        <w:rPr>
          <w:color w:val="231F1F"/>
          <w:w w:val="105"/>
        </w:rPr>
        <w:t>estudio</w:t>
      </w:r>
      <w:r>
        <w:rPr>
          <w:color w:val="231F1F"/>
          <w:spacing w:val="-6"/>
          <w:w w:val="105"/>
        </w:rPr>
        <w:t> </w:t>
      </w:r>
      <w:r>
        <w:rPr>
          <w:color w:val="231F1F"/>
          <w:w w:val="105"/>
        </w:rPr>
        <w:t>(n=30)</w:t>
      </w:r>
      <w:r>
        <w:rPr>
          <w:color w:val="231F1F"/>
          <w:spacing w:val="-6"/>
          <w:w w:val="105"/>
        </w:rPr>
        <w:t> </w:t>
      </w:r>
      <w:r>
        <w:rPr>
          <w:color w:val="231F1F"/>
          <w:w w:val="105"/>
        </w:rPr>
        <w:t>longitudinal</w:t>
      </w:r>
      <w:r>
        <w:rPr>
          <w:color w:val="231F1F"/>
          <w:spacing w:val="-7"/>
          <w:w w:val="105"/>
        </w:rPr>
        <w:t> </w:t>
      </w:r>
      <w:r>
        <w:rPr>
          <w:color w:val="231F1F"/>
          <w:w w:val="105"/>
        </w:rPr>
        <w:t>descriptivo</w:t>
      </w:r>
      <w:r>
        <w:rPr>
          <w:color w:val="231F1F"/>
          <w:spacing w:val="-6"/>
          <w:w w:val="105"/>
        </w:rPr>
        <w:t> </w:t>
      </w:r>
      <w:r>
        <w:rPr>
          <w:color w:val="231F1F"/>
          <w:w w:val="105"/>
        </w:rPr>
        <w:t>estadounidense</w:t>
      </w:r>
      <w:r>
        <w:rPr>
          <w:color w:val="231F1F"/>
          <w:spacing w:val="-6"/>
          <w:w w:val="105"/>
        </w:rPr>
        <w:t> </w:t>
      </w:r>
      <w:r>
        <w:rPr>
          <w:color w:val="231F1F"/>
          <w:w w:val="105"/>
        </w:rPr>
        <w:t>(99)</w:t>
      </w:r>
      <w:r>
        <w:rPr>
          <w:color w:val="231F1F"/>
          <w:spacing w:val="80"/>
          <w:w w:val="105"/>
        </w:rPr>
        <w:t> </w:t>
      </w:r>
      <w:r>
        <w:rPr>
          <w:rFonts w:ascii="Arial MT" w:hAnsi="Arial MT"/>
          <w:color w:val="231F1F"/>
          <w:w w:val="105"/>
          <w:sz w:val="18"/>
        </w:rPr>
        <w:t>E.</w:t>
      </w:r>
      <w:r>
        <w:rPr>
          <w:rFonts w:ascii="Arial MT" w:hAnsi="Arial MT"/>
          <w:color w:val="231F1F"/>
          <w:spacing w:val="-1"/>
          <w:w w:val="105"/>
          <w:sz w:val="18"/>
        </w:rPr>
        <w:t> </w:t>
      </w:r>
      <w:r>
        <w:rPr>
          <w:rFonts w:ascii="Arial MT" w:hAnsi="Arial MT"/>
          <w:color w:val="231F1F"/>
          <w:w w:val="105"/>
          <w:sz w:val="18"/>
        </w:rPr>
        <w:t>Observa- </w:t>
      </w:r>
      <w:r>
        <w:rPr>
          <w:color w:val="231F1F"/>
          <w:w w:val="105"/>
        </w:rPr>
        <w:t>investigó la asociación entre la duración de la 2ª etapa (desde 10 cm de dila-</w:t>
      </w:r>
      <w:r>
        <w:rPr>
          <w:color w:val="231F1F"/>
        </w:rPr>
        <w:tab/>
      </w:r>
      <w:r>
        <w:rPr>
          <w:rFonts w:ascii="Arial MT" w:hAnsi="Arial MT"/>
          <w:color w:val="231F1F"/>
          <w:spacing w:val="-2"/>
          <w:w w:val="105"/>
          <w:position w:val="4"/>
          <w:sz w:val="18"/>
        </w:rPr>
        <w:t>cional </w:t>
      </w:r>
      <w:r>
        <w:rPr>
          <w:color w:val="231F1F"/>
          <w:w w:val="105"/>
        </w:rPr>
        <w:t>tación cervical hasta el nacimiento) y puntuaciones de ansiedad y no se en-</w:t>
      </w:r>
      <w:r>
        <w:rPr>
          <w:color w:val="231F1F"/>
        </w:rPr>
        <w:tab/>
        <w:tab/>
      </w:r>
      <w:r>
        <w:rPr>
          <w:rFonts w:ascii="Arial MT" w:hAnsi="Arial MT"/>
          <w:color w:val="231F1F"/>
          <w:spacing w:val="-6"/>
          <w:w w:val="105"/>
          <w:position w:val="8"/>
          <w:sz w:val="18"/>
        </w:rPr>
        <w:t>2-</w:t>
      </w:r>
    </w:p>
    <w:p>
      <w:pPr>
        <w:pStyle w:val="BodyText"/>
        <w:spacing w:before="12"/>
        <w:ind w:left="283"/>
      </w:pPr>
      <w:r>
        <w:rPr>
          <w:color w:val="231F1F"/>
          <w:w w:val="110"/>
        </w:rPr>
        <w:t>contró</w:t>
      </w:r>
      <w:r>
        <w:rPr>
          <w:color w:val="231F1F"/>
          <w:spacing w:val="-9"/>
          <w:w w:val="110"/>
        </w:rPr>
        <w:t> </w:t>
      </w:r>
      <w:r>
        <w:rPr>
          <w:color w:val="231F1F"/>
          <w:w w:val="110"/>
        </w:rPr>
        <w:t>evidencia</w:t>
      </w:r>
      <w:r>
        <w:rPr>
          <w:color w:val="231F1F"/>
          <w:spacing w:val="-9"/>
          <w:w w:val="110"/>
        </w:rPr>
        <w:t> </w:t>
      </w:r>
      <w:r>
        <w:rPr>
          <w:color w:val="231F1F"/>
          <w:w w:val="110"/>
        </w:rPr>
        <w:t>de</w:t>
      </w:r>
      <w:r>
        <w:rPr>
          <w:color w:val="231F1F"/>
          <w:spacing w:val="-9"/>
          <w:w w:val="110"/>
        </w:rPr>
        <w:t> </w:t>
      </w:r>
      <w:r>
        <w:rPr>
          <w:color w:val="231F1F"/>
          <w:w w:val="110"/>
        </w:rPr>
        <w:t>dicha</w:t>
      </w:r>
      <w:r>
        <w:rPr>
          <w:color w:val="231F1F"/>
          <w:spacing w:val="-7"/>
          <w:w w:val="110"/>
        </w:rPr>
        <w:t> </w:t>
      </w:r>
      <w:r>
        <w:rPr>
          <w:color w:val="231F1F"/>
          <w:spacing w:val="-2"/>
          <w:w w:val="110"/>
        </w:rPr>
        <w:t>asociación.</w:t>
      </w:r>
    </w:p>
    <w:p>
      <w:pPr>
        <w:pStyle w:val="BodyText"/>
        <w:tabs>
          <w:tab w:pos="8133" w:val="left" w:leader="none"/>
        </w:tabs>
        <w:spacing w:line="247" w:lineRule="auto" w:before="97"/>
        <w:ind w:left="283" w:right="335" w:firstLine="453"/>
        <w:rPr>
          <w:rFonts w:ascii="Arial MT" w:hAnsi="Arial MT"/>
          <w:position w:val="8"/>
          <w:sz w:val="18"/>
        </w:rPr>
      </w:pPr>
      <w:r>
        <w:rPr>
          <w:color w:val="231F1F"/>
          <w:w w:val="105"/>
        </w:rPr>
        <w:t>Otro estudio transversal realizado en EEUU (100), investigó diferentes</w:t>
      </w:r>
      <w:r>
        <w:rPr>
          <w:color w:val="231F1F"/>
        </w:rPr>
        <w:tab/>
      </w:r>
      <w:r>
        <w:rPr>
          <w:color w:val="231F1F"/>
          <w:spacing w:val="-55"/>
        </w:rPr>
        <w:t> </w:t>
      </w:r>
      <w:r>
        <w:rPr>
          <w:rFonts w:ascii="Arial MT" w:hAnsi="Arial MT"/>
          <w:color w:val="231F1F"/>
          <w:spacing w:val="-6"/>
          <w:w w:val="105"/>
          <w:sz w:val="18"/>
        </w:rPr>
        <w:t>E. </w:t>
      </w:r>
      <w:r>
        <w:rPr>
          <w:color w:val="231F1F"/>
          <w:w w:val="105"/>
        </w:rPr>
        <w:t>duraciones</w:t>
      </w:r>
      <w:r>
        <w:rPr>
          <w:color w:val="231F1F"/>
          <w:w w:val="105"/>
        </w:rPr>
        <w:t> de</w:t>
      </w:r>
      <w:r>
        <w:rPr>
          <w:color w:val="231F1F"/>
          <w:w w:val="105"/>
        </w:rPr>
        <w:t> la</w:t>
      </w:r>
      <w:r>
        <w:rPr>
          <w:color w:val="231F1F"/>
          <w:w w:val="105"/>
        </w:rPr>
        <w:t> 2ª</w:t>
      </w:r>
      <w:r>
        <w:rPr>
          <w:color w:val="231F1F"/>
          <w:w w:val="105"/>
        </w:rPr>
        <w:t> etapa</w:t>
      </w:r>
      <w:r>
        <w:rPr>
          <w:color w:val="231F1F"/>
          <w:w w:val="105"/>
        </w:rPr>
        <w:t> del</w:t>
      </w:r>
      <w:r>
        <w:rPr>
          <w:color w:val="231F1F"/>
          <w:w w:val="105"/>
        </w:rPr>
        <w:t> parto</w:t>
      </w:r>
      <w:r>
        <w:rPr>
          <w:color w:val="231F1F"/>
          <w:w w:val="105"/>
        </w:rPr>
        <w:t> y</w:t>
      </w:r>
      <w:r>
        <w:rPr>
          <w:color w:val="231F1F"/>
          <w:w w:val="105"/>
        </w:rPr>
        <w:t> su</w:t>
      </w:r>
      <w:r>
        <w:rPr>
          <w:color w:val="231F1F"/>
          <w:w w:val="105"/>
        </w:rPr>
        <w:t> asociación</w:t>
      </w:r>
      <w:r>
        <w:rPr>
          <w:color w:val="231F1F"/>
          <w:w w:val="105"/>
        </w:rPr>
        <w:t> con</w:t>
      </w:r>
      <w:r>
        <w:rPr>
          <w:color w:val="231F1F"/>
          <w:w w:val="105"/>
        </w:rPr>
        <w:t> los</w:t>
      </w:r>
      <w:r>
        <w:rPr>
          <w:color w:val="231F1F"/>
          <w:w w:val="105"/>
        </w:rPr>
        <w:t> resultados</w:t>
      </w:r>
      <w:r>
        <w:rPr>
          <w:color w:val="231F1F"/>
          <w:spacing w:val="5"/>
          <w:w w:val="105"/>
        </w:rPr>
        <w:t> </w:t>
      </w:r>
      <w:r>
        <w:rPr>
          <w:color w:val="231F1F"/>
          <w:w w:val="105"/>
        </w:rPr>
        <w:t>del</w:t>
      </w:r>
      <w:r>
        <w:rPr>
          <w:color w:val="231F1F"/>
          <w:w w:val="105"/>
        </w:rPr>
        <w:t> parto</w:t>
      </w:r>
      <w:r>
        <w:rPr>
          <w:color w:val="231F1F"/>
          <w:spacing w:val="-3"/>
          <w:w w:val="105"/>
        </w:rPr>
        <w:t> </w:t>
      </w:r>
      <w:r>
        <w:rPr>
          <w:rFonts w:ascii="Arial MT" w:hAnsi="Arial MT"/>
          <w:color w:val="231F1F"/>
          <w:w w:val="105"/>
          <w:position w:val="4"/>
          <w:sz w:val="18"/>
        </w:rPr>
        <w:t>Transversal </w:t>
      </w:r>
      <w:r>
        <w:rPr>
          <w:color w:val="231F1F"/>
          <w:w w:val="105"/>
        </w:rPr>
        <w:t>en 4.403 mujeres. El análisis, no controlado por factores de confusión, no</w:t>
      </w:r>
      <w:r>
        <w:rPr>
          <w:color w:val="231F1F"/>
        </w:rPr>
        <w:tab/>
      </w:r>
      <w:r>
        <w:rPr>
          <w:rFonts w:ascii="Arial MT" w:hAnsi="Arial MT"/>
          <w:color w:val="231F1F"/>
          <w:spacing w:val="-6"/>
          <w:w w:val="105"/>
          <w:position w:val="8"/>
          <w:sz w:val="18"/>
        </w:rPr>
        <w:t>2-</w:t>
      </w:r>
    </w:p>
    <w:p>
      <w:pPr>
        <w:pStyle w:val="BodyText"/>
        <w:spacing w:line="249" w:lineRule="auto" w:before="2"/>
        <w:ind w:left="283" w:right="1320"/>
      </w:pPr>
      <w:r>
        <w:rPr>
          <w:color w:val="231F1F"/>
          <w:w w:val="105"/>
        </w:rPr>
        <w:t>mostró</w:t>
      </w:r>
      <w:r>
        <w:rPr>
          <w:color w:val="231F1F"/>
          <w:spacing w:val="24"/>
          <w:w w:val="105"/>
        </w:rPr>
        <w:t> </w:t>
      </w:r>
      <w:r>
        <w:rPr>
          <w:color w:val="231F1F"/>
          <w:w w:val="105"/>
        </w:rPr>
        <w:t>evidencia</w:t>
      </w:r>
      <w:r>
        <w:rPr>
          <w:color w:val="231F1F"/>
          <w:spacing w:val="25"/>
          <w:w w:val="105"/>
        </w:rPr>
        <w:t> </w:t>
      </w:r>
      <w:r>
        <w:rPr>
          <w:color w:val="231F1F"/>
          <w:w w:val="105"/>
        </w:rPr>
        <w:t>de</w:t>
      </w:r>
      <w:r>
        <w:rPr>
          <w:color w:val="231F1F"/>
          <w:spacing w:val="24"/>
          <w:w w:val="105"/>
        </w:rPr>
        <w:t> </w:t>
      </w:r>
      <w:r>
        <w:rPr>
          <w:color w:val="231F1F"/>
          <w:w w:val="105"/>
        </w:rPr>
        <w:t>asociación</w:t>
      </w:r>
      <w:r>
        <w:rPr>
          <w:color w:val="231F1F"/>
          <w:spacing w:val="25"/>
          <w:w w:val="105"/>
        </w:rPr>
        <w:t> </w:t>
      </w:r>
      <w:r>
        <w:rPr>
          <w:color w:val="231F1F"/>
          <w:w w:val="105"/>
        </w:rPr>
        <w:t>entre</w:t>
      </w:r>
      <w:r>
        <w:rPr>
          <w:color w:val="231F1F"/>
          <w:spacing w:val="25"/>
          <w:w w:val="105"/>
        </w:rPr>
        <w:t> </w:t>
      </w:r>
      <w:r>
        <w:rPr>
          <w:color w:val="231F1F"/>
          <w:w w:val="105"/>
        </w:rPr>
        <w:t>la</w:t>
      </w:r>
      <w:r>
        <w:rPr>
          <w:color w:val="231F1F"/>
          <w:spacing w:val="25"/>
          <w:w w:val="105"/>
        </w:rPr>
        <w:t> </w:t>
      </w:r>
      <w:r>
        <w:rPr>
          <w:color w:val="231F1F"/>
          <w:w w:val="105"/>
        </w:rPr>
        <w:t>duración</w:t>
      </w:r>
      <w:r>
        <w:rPr>
          <w:color w:val="231F1F"/>
          <w:spacing w:val="24"/>
          <w:w w:val="105"/>
        </w:rPr>
        <w:t> </w:t>
      </w:r>
      <w:r>
        <w:rPr>
          <w:color w:val="231F1F"/>
          <w:w w:val="105"/>
        </w:rPr>
        <w:t>y</w:t>
      </w:r>
      <w:r>
        <w:rPr>
          <w:color w:val="231F1F"/>
          <w:spacing w:val="25"/>
          <w:w w:val="105"/>
        </w:rPr>
        <w:t> </w:t>
      </w:r>
      <w:r>
        <w:rPr>
          <w:color w:val="231F1F"/>
          <w:w w:val="105"/>
        </w:rPr>
        <w:t>los</w:t>
      </w:r>
      <w:r>
        <w:rPr>
          <w:color w:val="231F1F"/>
          <w:spacing w:val="25"/>
          <w:w w:val="105"/>
        </w:rPr>
        <w:t> </w:t>
      </w:r>
      <w:r>
        <w:rPr>
          <w:color w:val="231F1F"/>
          <w:w w:val="105"/>
        </w:rPr>
        <w:t>resultados</w:t>
      </w:r>
      <w:r>
        <w:rPr>
          <w:color w:val="231F1F"/>
          <w:spacing w:val="25"/>
          <w:w w:val="105"/>
        </w:rPr>
        <w:t> </w:t>
      </w:r>
      <w:r>
        <w:rPr>
          <w:color w:val="231F1F"/>
          <w:w w:val="105"/>
        </w:rPr>
        <w:t>neonatales a excepción de bajas puntuaciones Apgar al minuto; (p&lt;0,003). Por otro lado, la hemorragia puerperal y la morbilidad febril si mostraron asociación con la duración del parto; (p&lt;0,001, para los dos).</w:t>
      </w:r>
    </w:p>
    <w:p>
      <w:pPr>
        <w:pStyle w:val="BodyText"/>
        <w:spacing w:after="0" w:line="249" w:lineRule="auto"/>
        <w:sectPr>
          <w:pgSz w:w="11900" w:h="16840"/>
          <w:pgMar w:header="0" w:footer="622" w:top="1560" w:bottom="820" w:left="1417" w:right="1559"/>
        </w:sectPr>
      </w:pPr>
    </w:p>
    <w:p>
      <w:pPr>
        <w:pStyle w:val="BodyText"/>
        <w:spacing w:before="73"/>
        <w:ind w:left="283" w:right="1386" w:firstLine="453"/>
      </w:pPr>
      <w:r>
        <w:rPr>
          <w:color w:val="231F1F"/>
          <w:w w:val="110"/>
        </w:rPr>
        <w:t>En</w:t>
      </w:r>
      <w:r>
        <w:rPr>
          <w:color w:val="231F1F"/>
          <w:spacing w:val="-11"/>
          <w:w w:val="110"/>
        </w:rPr>
        <w:t> </w:t>
      </w:r>
      <w:r>
        <w:rPr>
          <w:color w:val="231F1F"/>
          <w:w w:val="110"/>
        </w:rPr>
        <w:t>la</w:t>
      </w:r>
      <w:r>
        <w:rPr>
          <w:color w:val="231F1F"/>
          <w:spacing w:val="-11"/>
          <w:w w:val="110"/>
        </w:rPr>
        <w:t> </w:t>
      </w:r>
      <w:r>
        <w:rPr>
          <w:color w:val="231F1F"/>
          <w:w w:val="110"/>
        </w:rPr>
        <w:t>guía</w:t>
      </w:r>
      <w:r>
        <w:rPr>
          <w:color w:val="231F1F"/>
          <w:spacing w:val="-11"/>
          <w:w w:val="110"/>
        </w:rPr>
        <w:t> </w:t>
      </w:r>
      <w:r>
        <w:rPr>
          <w:color w:val="231F1F"/>
          <w:w w:val="110"/>
        </w:rPr>
        <w:t>NICE</w:t>
      </w:r>
      <w:r>
        <w:rPr>
          <w:color w:val="231F1F"/>
          <w:spacing w:val="-11"/>
          <w:w w:val="110"/>
        </w:rPr>
        <w:t> </w:t>
      </w:r>
      <w:r>
        <w:rPr>
          <w:color w:val="231F1F"/>
          <w:w w:val="110"/>
        </w:rPr>
        <w:t>(10)</w:t>
      </w:r>
      <w:r>
        <w:rPr>
          <w:color w:val="231F1F"/>
          <w:spacing w:val="-11"/>
          <w:w w:val="110"/>
        </w:rPr>
        <w:t> </w:t>
      </w:r>
      <w:r>
        <w:rPr>
          <w:color w:val="231F1F"/>
          <w:w w:val="110"/>
        </w:rPr>
        <w:t>también</w:t>
      </w:r>
      <w:r>
        <w:rPr>
          <w:color w:val="231F1F"/>
          <w:spacing w:val="-11"/>
          <w:w w:val="110"/>
        </w:rPr>
        <w:t> </w:t>
      </w:r>
      <w:r>
        <w:rPr>
          <w:color w:val="231F1F"/>
          <w:w w:val="110"/>
        </w:rPr>
        <w:t>se</w:t>
      </w:r>
      <w:r>
        <w:rPr>
          <w:color w:val="231F1F"/>
          <w:spacing w:val="-11"/>
          <w:w w:val="110"/>
        </w:rPr>
        <w:t> </w:t>
      </w:r>
      <w:r>
        <w:rPr>
          <w:color w:val="231F1F"/>
          <w:w w:val="110"/>
        </w:rPr>
        <w:t>seleccionaron</w:t>
      </w:r>
      <w:r>
        <w:rPr>
          <w:color w:val="231F1F"/>
          <w:spacing w:val="-12"/>
          <w:w w:val="110"/>
        </w:rPr>
        <w:t> </w:t>
      </w:r>
      <w:r>
        <w:rPr>
          <w:color w:val="231F1F"/>
          <w:w w:val="110"/>
        </w:rPr>
        <w:t>tres</w:t>
      </w:r>
      <w:r>
        <w:rPr>
          <w:color w:val="231F1F"/>
          <w:spacing w:val="-11"/>
          <w:w w:val="110"/>
        </w:rPr>
        <w:t> </w:t>
      </w:r>
      <w:r>
        <w:rPr>
          <w:color w:val="231F1F"/>
          <w:w w:val="110"/>
        </w:rPr>
        <w:t>pequeños</w:t>
      </w:r>
      <w:r>
        <w:rPr>
          <w:color w:val="231F1F"/>
          <w:spacing w:val="-11"/>
          <w:w w:val="110"/>
        </w:rPr>
        <w:t> </w:t>
      </w:r>
      <w:r>
        <w:rPr>
          <w:color w:val="231F1F"/>
          <w:w w:val="110"/>
        </w:rPr>
        <w:t>estudios en los que no se especificaba la etapa del parto:</w:t>
      </w:r>
    </w:p>
    <w:p>
      <w:pPr>
        <w:pStyle w:val="BodyText"/>
        <w:tabs>
          <w:tab w:pos="7766" w:val="left" w:leader="none"/>
          <w:tab w:pos="7926" w:val="left" w:leader="none"/>
          <w:tab w:pos="8133" w:val="left" w:leader="none"/>
        </w:tabs>
        <w:spacing w:line="247" w:lineRule="auto" w:before="60"/>
        <w:ind w:left="283" w:right="290" w:firstLine="453"/>
        <w:rPr>
          <w:rFonts w:ascii="Arial MT" w:hAnsi="Arial MT"/>
          <w:position w:val="7"/>
          <w:sz w:val="18"/>
        </w:rPr>
      </w:pPr>
      <w:r>
        <w:rPr>
          <w:color w:val="231F1F"/>
        </w:rPr>
        <w:t>Un estudio apareado de caso y control (101) con alto riesgo de sesgos</w:t>
        <w:tab/>
      </w:r>
      <w:r>
        <w:rPr>
          <w:rFonts w:ascii="Arial MT" w:hAnsi="Arial MT"/>
          <w:color w:val="231F1F"/>
          <w:spacing w:val="-2"/>
          <w:sz w:val="18"/>
        </w:rPr>
        <w:t>E.</w:t>
      </w:r>
      <w:r>
        <w:rPr>
          <w:rFonts w:ascii="Arial MT" w:hAnsi="Arial MT"/>
          <w:color w:val="231F1F"/>
          <w:spacing w:val="-18"/>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Caso </w:t>
      </w:r>
      <w:r>
        <w:rPr>
          <w:color w:val="231F1F"/>
        </w:rPr>
        <w:t>(n=34), que mostró cierta evidencia de que una duración elevada del parto se</w:t>
        <w:tab/>
        <w:tab/>
      </w:r>
      <w:r>
        <w:rPr>
          <w:rFonts w:ascii="Arial MT" w:hAnsi="Arial MT"/>
          <w:color w:val="231F1F"/>
          <w:spacing w:val="-2"/>
          <w:position w:val="4"/>
          <w:sz w:val="18"/>
        </w:rPr>
        <w:t>control </w:t>
      </w:r>
      <w:r>
        <w:rPr>
          <w:color w:val="231F1F"/>
        </w:rPr>
        <w:t>asocia con psicosis puerperal: DM 4,6 horas; p&lt;0,05.</w:t>
      </w:r>
      <w:r>
        <w:rPr>
          <w:color w:val="231F1F"/>
        </w:rPr>
        <w:tab/>
        <w:tab/>
        <w:tab/>
      </w:r>
      <w:r>
        <w:rPr>
          <w:rFonts w:ascii="Arial MT" w:hAnsi="Arial MT"/>
          <w:color w:val="231F1F"/>
          <w:spacing w:val="-6"/>
          <w:position w:val="7"/>
          <w:sz w:val="18"/>
        </w:rPr>
        <w:t>2-</w:t>
      </w:r>
    </w:p>
    <w:p>
      <w:pPr>
        <w:pStyle w:val="BodyText"/>
        <w:tabs>
          <w:tab w:pos="8136" w:val="left" w:leader="none"/>
          <w:tab w:pos="8168" w:val="left" w:leader="none"/>
        </w:tabs>
        <w:spacing w:line="244" w:lineRule="auto" w:before="41"/>
        <w:ind w:left="283" w:right="355" w:firstLine="453"/>
        <w:rPr>
          <w:rFonts w:ascii="Arial MT" w:hAnsi="Arial MT"/>
          <w:position w:val="7"/>
          <w:sz w:val="18"/>
        </w:rPr>
      </w:pPr>
      <w:r>
        <w:rPr>
          <w:color w:val="231F1F"/>
          <w:w w:val="110"/>
        </w:rPr>
        <w:t>Un estudio transversal (102) que investigó el impacto de una duración</w:t>
      </w:r>
      <w:r>
        <w:rPr>
          <w:color w:val="231F1F"/>
        </w:rPr>
        <w:tab/>
      </w:r>
      <w:r>
        <w:rPr>
          <w:rFonts w:ascii="Arial MT" w:hAnsi="Arial MT"/>
          <w:color w:val="231F1F"/>
          <w:spacing w:val="-6"/>
          <w:w w:val="110"/>
          <w:sz w:val="18"/>
        </w:rPr>
        <w:t>E. </w:t>
      </w:r>
      <w:r>
        <w:rPr>
          <w:color w:val="231F1F"/>
        </w:rPr>
        <w:t>corta</w:t>
      </w:r>
      <w:r>
        <w:rPr>
          <w:color w:val="231F1F"/>
          <w:spacing w:val="32"/>
        </w:rPr>
        <w:t> </w:t>
      </w:r>
      <w:r>
        <w:rPr>
          <w:color w:val="231F1F"/>
        </w:rPr>
        <w:t>(&lt;</w:t>
      </w:r>
      <w:r>
        <w:rPr>
          <w:color w:val="231F1F"/>
          <w:spacing w:val="33"/>
        </w:rPr>
        <w:t> </w:t>
      </w:r>
      <w:r>
        <w:rPr>
          <w:color w:val="231F1F"/>
        </w:rPr>
        <w:t>3</w:t>
      </w:r>
      <w:r>
        <w:rPr>
          <w:color w:val="231F1F"/>
          <w:spacing w:val="33"/>
        </w:rPr>
        <w:t> </w:t>
      </w:r>
      <w:r>
        <w:rPr>
          <w:color w:val="231F1F"/>
        </w:rPr>
        <w:t>horas</w:t>
      </w:r>
      <w:r>
        <w:rPr>
          <w:color w:val="231F1F"/>
          <w:spacing w:val="35"/>
        </w:rPr>
        <w:t> </w:t>
      </w:r>
      <w:r>
        <w:rPr>
          <w:color w:val="231F1F"/>
        </w:rPr>
        <w:t>de</w:t>
      </w:r>
      <w:r>
        <w:rPr>
          <w:color w:val="231F1F"/>
          <w:spacing w:val="35"/>
        </w:rPr>
        <w:t> </w:t>
      </w:r>
      <w:r>
        <w:rPr>
          <w:color w:val="231F1F"/>
        </w:rPr>
        <w:t>primera</w:t>
      </w:r>
      <w:r>
        <w:rPr>
          <w:color w:val="231F1F"/>
          <w:spacing w:val="35"/>
        </w:rPr>
        <w:t> </w:t>
      </w:r>
      <w:r>
        <w:rPr>
          <w:color w:val="231F1F"/>
        </w:rPr>
        <w:t>y</w:t>
      </w:r>
      <w:r>
        <w:rPr>
          <w:color w:val="231F1F"/>
          <w:spacing w:val="35"/>
        </w:rPr>
        <w:t> </w:t>
      </w:r>
      <w:r>
        <w:rPr>
          <w:color w:val="231F1F"/>
        </w:rPr>
        <w:t>segunda</w:t>
      </w:r>
      <w:r>
        <w:rPr>
          <w:color w:val="231F1F"/>
          <w:spacing w:val="35"/>
        </w:rPr>
        <w:t> </w:t>
      </w:r>
      <w:r>
        <w:rPr>
          <w:color w:val="231F1F"/>
        </w:rPr>
        <w:t>etapa)</w:t>
      </w:r>
      <w:r>
        <w:rPr>
          <w:color w:val="231F1F"/>
          <w:spacing w:val="35"/>
        </w:rPr>
        <w:t> </w:t>
      </w:r>
      <w:r>
        <w:rPr>
          <w:color w:val="231F1F"/>
        </w:rPr>
        <w:t>sobre</w:t>
      </w:r>
      <w:r>
        <w:rPr>
          <w:color w:val="231F1F"/>
          <w:spacing w:val="35"/>
        </w:rPr>
        <w:t> </w:t>
      </w:r>
      <w:r>
        <w:rPr>
          <w:color w:val="231F1F"/>
        </w:rPr>
        <w:t>los</w:t>
      </w:r>
      <w:r>
        <w:rPr>
          <w:color w:val="231F1F"/>
          <w:spacing w:val="35"/>
        </w:rPr>
        <w:t> </w:t>
      </w:r>
      <w:r>
        <w:rPr>
          <w:color w:val="231F1F"/>
        </w:rPr>
        <w:t>resultados</w:t>
      </w:r>
      <w:r>
        <w:rPr>
          <w:color w:val="231F1F"/>
          <w:spacing w:val="35"/>
        </w:rPr>
        <w:t> </w:t>
      </w:r>
      <w:r>
        <w:rPr>
          <w:color w:val="231F1F"/>
        </w:rPr>
        <w:t>perinatales,</w:t>
      </w:r>
      <w:r>
        <w:rPr>
          <w:color w:val="231F1F"/>
          <w:spacing w:val="30"/>
        </w:rPr>
        <w:t> </w:t>
      </w:r>
      <w:r>
        <w:rPr>
          <w:rFonts w:ascii="Arial MT" w:hAnsi="Arial MT"/>
          <w:color w:val="231F1F"/>
          <w:position w:val="4"/>
          <w:sz w:val="18"/>
        </w:rPr>
        <w:t>Transversal </w:t>
      </w:r>
      <w:r>
        <w:rPr>
          <w:color w:val="231F1F"/>
          <w:w w:val="110"/>
        </w:rPr>
        <w:t>utilizando controles pareados (por edad maternal, paridad y peso en el naci-</w:t>
      </w:r>
      <w:r>
        <w:rPr>
          <w:color w:val="231F1F"/>
        </w:rPr>
        <w:tab/>
        <w:tab/>
      </w:r>
      <w:r>
        <w:rPr>
          <w:rFonts w:ascii="Arial MT" w:hAnsi="Arial MT"/>
          <w:color w:val="231F1F"/>
          <w:spacing w:val="-10"/>
          <w:w w:val="110"/>
          <w:position w:val="7"/>
          <w:sz w:val="18"/>
        </w:rPr>
        <w:t>3</w:t>
      </w:r>
    </w:p>
    <w:p>
      <w:pPr>
        <w:pStyle w:val="BodyText"/>
        <w:spacing w:line="232" w:lineRule="auto" w:before="25"/>
        <w:ind w:left="283" w:right="1386"/>
      </w:pPr>
      <w:r>
        <w:rPr>
          <w:color w:val="231F1F"/>
        </w:rPr>
        <w:t>miento)</w:t>
      </w:r>
      <w:r>
        <w:rPr>
          <w:color w:val="231F1F"/>
          <w:spacing w:val="-8"/>
        </w:rPr>
        <w:t> </w:t>
      </w:r>
      <w:r>
        <w:rPr>
          <w:color w:val="231F1F"/>
        </w:rPr>
        <w:t>sin</w:t>
      </w:r>
      <w:r>
        <w:rPr>
          <w:color w:val="231F1F"/>
          <w:spacing w:val="-8"/>
        </w:rPr>
        <w:t> </w:t>
      </w:r>
      <w:r>
        <w:rPr>
          <w:color w:val="231F1F"/>
        </w:rPr>
        <w:t>observar</w:t>
      </w:r>
      <w:r>
        <w:rPr>
          <w:color w:val="231F1F"/>
          <w:spacing w:val="-8"/>
        </w:rPr>
        <w:t> </w:t>
      </w:r>
      <w:r>
        <w:rPr>
          <w:color w:val="231F1F"/>
        </w:rPr>
        <w:t>asociación</w:t>
      </w:r>
      <w:r>
        <w:rPr>
          <w:color w:val="231F1F"/>
          <w:spacing w:val="-8"/>
        </w:rPr>
        <w:t> </w:t>
      </w:r>
      <w:r>
        <w:rPr>
          <w:color w:val="231F1F"/>
        </w:rPr>
        <w:t>entre</w:t>
      </w:r>
      <w:r>
        <w:rPr>
          <w:color w:val="231F1F"/>
          <w:spacing w:val="-8"/>
        </w:rPr>
        <w:t> </w:t>
      </w:r>
      <w:r>
        <w:rPr>
          <w:color w:val="231F1F"/>
        </w:rPr>
        <w:t>una</w:t>
      </w:r>
      <w:r>
        <w:rPr>
          <w:color w:val="231F1F"/>
          <w:spacing w:val="-8"/>
        </w:rPr>
        <w:t> </w:t>
      </w:r>
      <w:r>
        <w:rPr>
          <w:color w:val="231F1F"/>
        </w:rPr>
        <w:t>duración</w:t>
      </w:r>
      <w:r>
        <w:rPr>
          <w:color w:val="231F1F"/>
          <w:spacing w:val="-8"/>
        </w:rPr>
        <w:t> </w:t>
      </w:r>
      <w:r>
        <w:rPr>
          <w:color w:val="231F1F"/>
        </w:rPr>
        <w:t>corta</w:t>
      </w:r>
      <w:r>
        <w:rPr>
          <w:color w:val="231F1F"/>
          <w:spacing w:val="-8"/>
        </w:rPr>
        <w:t> </w:t>
      </w:r>
      <w:r>
        <w:rPr>
          <w:color w:val="231F1F"/>
        </w:rPr>
        <w:t>y</w:t>
      </w:r>
      <w:r>
        <w:rPr>
          <w:color w:val="231F1F"/>
          <w:spacing w:val="-8"/>
        </w:rPr>
        <w:t> </w:t>
      </w:r>
      <w:r>
        <w:rPr>
          <w:color w:val="231F1F"/>
        </w:rPr>
        <w:t>laceración</w:t>
      </w:r>
      <w:r>
        <w:rPr>
          <w:color w:val="231F1F"/>
          <w:spacing w:val="-7"/>
        </w:rPr>
        <w:t> </w:t>
      </w:r>
      <w:r>
        <w:rPr>
          <w:color w:val="231F1F"/>
        </w:rPr>
        <w:t>perineal, hemorragia</w:t>
      </w:r>
      <w:r>
        <w:rPr>
          <w:color w:val="231F1F"/>
          <w:spacing w:val="80"/>
        </w:rPr>
        <w:t> </w:t>
      </w:r>
      <w:r>
        <w:rPr>
          <w:color w:val="231F1F"/>
        </w:rPr>
        <w:t>posparto</w:t>
      </w:r>
      <w:r>
        <w:rPr>
          <w:color w:val="231F1F"/>
          <w:spacing w:val="80"/>
        </w:rPr>
        <w:t> </w:t>
      </w:r>
      <w:r>
        <w:rPr>
          <w:color w:val="231F1F"/>
        </w:rPr>
        <w:t>o</w:t>
      </w:r>
      <w:r>
        <w:rPr>
          <w:color w:val="231F1F"/>
          <w:spacing w:val="80"/>
        </w:rPr>
        <w:t> </w:t>
      </w:r>
      <w:r>
        <w:rPr>
          <w:color w:val="231F1F"/>
        </w:rPr>
        <w:t>puntuación</w:t>
      </w:r>
      <w:r>
        <w:rPr>
          <w:color w:val="231F1F"/>
          <w:spacing w:val="80"/>
        </w:rPr>
        <w:t> </w:t>
      </w:r>
      <w:r>
        <w:rPr>
          <w:color w:val="231F1F"/>
        </w:rPr>
        <w:t>Apgar&lt;7</w:t>
      </w:r>
      <w:r>
        <w:rPr>
          <w:color w:val="231F1F"/>
          <w:spacing w:val="80"/>
        </w:rPr>
        <w:t> </w:t>
      </w:r>
      <w:r>
        <w:rPr>
          <w:color w:val="231F1F"/>
        </w:rPr>
        <w:t>a</w:t>
      </w:r>
      <w:r>
        <w:rPr>
          <w:color w:val="231F1F"/>
          <w:spacing w:val="80"/>
        </w:rPr>
        <w:t> </w:t>
      </w:r>
      <w:r>
        <w:rPr>
          <w:color w:val="231F1F"/>
        </w:rPr>
        <w:t>los</w:t>
      </w:r>
      <w:r>
        <w:rPr>
          <w:color w:val="231F1F"/>
          <w:spacing w:val="80"/>
        </w:rPr>
        <w:t> </w:t>
      </w:r>
      <w:r>
        <w:rPr>
          <w:color w:val="231F1F"/>
        </w:rPr>
        <w:t>5</w:t>
      </w:r>
      <w:r>
        <w:rPr>
          <w:color w:val="231F1F"/>
          <w:spacing w:val="80"/>
        </w:rPr>
        <w:t> </w:t>
      </w:r>
      <w:r>
        <w:rPr>
          <w:color w:val="231F1F"/>
        </w:rPr>
        <w:t>minutos.</w:t>
      </w:r>
    </w:p>
    <w:p>
      <w:pPr>
        <w:pStyle w:val="BodyText"/>
        <w:tabs>
          <w:tab w:pos="7766" w:val="left" w:leader="none"/>
          <w:tab w:pos="8133" w:val="left" w:leader="none"/>
        </w:tabs>
        <w:spacing w:line="247" w:lineRule="auto" w:before="75"/>
        <w:ind w:left="283" w:right="290" w:firstLine="453"/>
        <w:rPr>
          <w:rFonts w:ascii="Arial MT" w:hAnsi="Arial MT"/>
          <w:position w:val="7"/>
          <w:sz w:val="18"/>
        </w:rPr>
      </w:pPr>
      <w:r>
        <w:rPr>
          <w:color w:val="231F1F"/>
        </w:rPr>
        <w:t>El último estudio de casos y controles anidados, con alto riesgo de sesgos</w:t>
        <w:tab/>
      </w:r>
      <w:r>
        <w:rPr>
          <w:rFonts w:ascii="Arial MT" w:hAnsi="Arial MT"/>
          <w:color w:val="231F1F"/>
          <w:spacing w:val="-2"/>
          <w:sz w:val="18"/>
        </w:rPr>
        <w:t>E.</w:t>
      </w:r>
      <w:r>
        <w:rPr>
          <w:rFonts w:ascii="Arial MT" w:hAnsi="Arial MT"/>
          <w:color w:val="231F1F"/>
          <w:spacing w:val="-18"/>
          <w:sz w:val="18"/>
        </w:rPr>
        <w:t> </w:t>
      </w:r>
      <w:r>
        <w:rPr>
          <w:rFonts w:ascii="Arial MT" w:hAnsi="Arial MT"/>
          <w:color w:val="231F1F"/>
          <w:spacing w:val="-2"/>
          <w:sz w:val="18"/>
        </w:rPr>
        <w:t>de</w:t>
      </w:r>
      <w:r>
        <w:rPr>
          <w:rFonts w:ascii="Arial MT" w:hAnsi="Arial MT"/>
          <w:color w:val="231F1F"/>
          <w:spacing w:val="-14"/>
          <w:sz w:val="18"/>
        </w:rPr>
        <w:t> </w:t>
      </w:r>
      <w:r>
        <w:rPr>
          <w:rFonts w:ascii="Arial MT" w:hAnsi="Arial MT"/>
          <w:color w:val="231F1F"/>
          <w:spacing w:val="-2"/>
          <w:sz w:val="18"/>
        </w:rPr>
        <w:t>Caso </w:t>
      </w:r>
      <w:r>
        <w:rPr>
          <w:color w:val="231F1F"/>
        </w:rPr>
        <w:t>(103),</w:t>
      </w:r>
      <w:r>
        <w:rPr>
          <w:color w:val="231F1F"/>
          <w:spacing w:val="38"/>
        </w:rPr>
        <w:t> </w:t>
      </w:r>
      <w:r>
        <w:rPr>
          <w:color w:val="231F1F"/>
        </w:rPr>
        <w:t>evaluó</w:t>
      </w:r>
      <w:r>
        <w:rPr>
          <w:color w:val="231F1F"/>
          <w:spacing w:val="38"/>
        </w:rPr>
        <w:t> </w:t>
      </w:r>
      <w:r>
        <w:rPr>
          <w:color w:val="231F1F"/>
        </w:rPr>
        <w:t>el</w:t>
      </w:r>
      <w:r>
        <w:rPr>
          <w:color w:val="231F1F"/>
          <w:spacing w:val="38"/>
        </w:rPr>
        <w:t> </w:t>
      </w:r>
      <w:r>
        <w:rPr>
          <w:color w:val="231F1F"/>
        </w:rPr>
        <w:t>efecto</w:t>
      </w:r>
      <w:r>
        <w:rPr>
          <w:color w:val="231F1F"/>
          <w:spacing w:val="38"/>
        </w:rPr>
        <w:t> </w:t>
      </w:r>
      <w:r>
        <w:rPr>
          <w:color w:val="231F1F"/>
        </w:rPr>
        <w:t>de</w:t>
      </w:r>
      <w:r>
        <w:rPr>
          <w:color w:val="231F1F"/>
          <w:spacing w:val="39"/>
        </w:rPr>
        <w:t> </w:t>
      </w:r>
      <w:r>
        <w:rPr>
          <w:color w:val="231F1F"/>
        </w:rPr>
        <w:t>un</w:t>
      </w:r>
      <w:r>
        <w:rPr>
          <w:color w:val="231F1F"/>
          <w:spacing w:val="38"/>
        </w:rPr>
        <w:t> </w:t>
      </w:r>
      <w:r>
        <w:rPr>
          <w:color w:val="231F1F"/>
        </w:rPr>
        <w:t>parto</w:t>
      </w:r>
      <w:r>
        <w:rPr>
          <w:color w:val="231F1F"/>
          <w:spacing w:val="38"/>
        </w:rPr>
        <w:t> </w:t>
      </w:r>
      <w:r>
        <w:rPr>
          <w:color w:val="231F1F"/>
        </w:rPr>
        <w:t>prolongado</w:t>
      </w:r>
      <w:r>
        <w:rPr>
          <w:color w:val="231F1F"/>
          <w:spacing w:val="38"/>
        </w:rPr>
        <w:t> </w:t>
      </w:r>
      <w:r>
        <w:rPr>
          <w:color w:val="231F1F"/>
        </w:rPr>
        <w:t>sobre</w:t>
      </w:r>
      <w:r>
        <w:rPr>
          <w:color w:val="231F1F"/>
          <w:spacing w:val="39"/>
        </w:rPr>
        <w:t> </w:t>
      </w:r>
      <w:r>
        <w:rPr>
          <w:color w:val="231F1F"/>
        </w:rPr>
        <w:t>las</w:t>
      </w:r>
      <w:r>
        <w:rPr>
          <w:color w:val="231F1F"/>
          <w:spacing w:val="38"/>
        </w:rPr>
        <w:t> </w:t>
      </w:r>
      <w:r>
        <w:rPr>
          <w:color w:val="231F1F"/>
        </w:rPr>
        <w:t>complicaciones</w:t>
      </w:r>
      <w:r>
        <w:rPr>
          <w:color w:val="231F1F"/>
          <w:spacing w:val="38"/>
        </w:rPr>
        <w:t> </w:t>
      </w:r>
      <w:r>
        <w:rPr>
          <w:color w:val="231F1F"/>
        </w:rPr>
        <w:t>maternas</w:t>
      </w:r>
      <w:r>
        <w:rPr>
          <w:color w:val="231F1F"/>
          <w:spacing w:val="80"/>
        </w:rPr>
        <w:t> </w:t>
      </w:r>
      <w:r>
        <w:rPr>
          <w:rFonts w:ascii="Arial MT" w:hAnsi="Arial MT"/>
          <w:color w:val="231F1F"/>
          <w:position w:val="4"/>
          <w:sz w:val="18"/>
        </w:rPr>
        <w:t>control </w:t>
      </w:r>
      <w:r>
        <w:rPr>
          <w:color w:val="231F1F"/>
        </w:rPr>
        <w:t>durante el parto. El estudio mostró evidencia de asociación entre partos prolon-</w:t>
      </w:r>
      <w:r>
        <w:rPr>
          <w:color w:val="231F1F"/>
        </w:rPr>
        <w:tab/>
        <w:tab/>
      </w:r>
      <w:r>
        <w:rPr>
          <w:rFonts w:ascii="Arial MT" w:hAnsi="Arial MT"/>
          <w:color w:val="231F1F"/>
          <w:spacing w:val="-6"/>
          <w:position w:val="7"/>
          <w:sz w:val="18"/>
        </w:rPr>
        <w:t>2-</w:t>
      </w:r>
    </w:p>
    <w:p>
      <w:pPr>
        <w:pStyle w:val="BodyText"/>
        <w:spacing w:line="242" w:lineRule="auto"/>
        <w:ind w:left="283" w:right="1245"/>
      </w:pPr>
      <w:r>
        <w:rPr>
          <w:color w:val="231F1F"/>
          <w:spacing w:val="-2"/>
          <w:w w:val="105"/>
        </w:rPr>
        <w:t>gados</w:t>
      </w:r>
      <w:r>
        <w:rPr>
          <w:color w:val="231F1F"/>
          <w:spacing w:val="-7"/>
          <w:w w:val="105"/>
        </w:rPr>
        <w:t> </w:t>
      </w:r>
      <w:r>
        <w:rPr>
          <w:color w:val="231F1F"/>
          <w:spacing w:val="-2"/>
          <w:w w:val="105"/>
        </w:rPr>
        <w:t>con</w:t>
      </w:r>
      <w:r>
        <w:rPr>
          <w:color w:val="231F1F"/>
          <w:spacing w:val="-5"/>
          <w:w w:val="105"/>
        </w:rPr>
        <w:t> </w:t>
      </w:r>
      <w:r>
        <w:rPr>
          <w:color w:val="231F1F"/>
          <w:spacing w:val="-2"/>
          <w:w w:val="105"/>
        </w:rPr>
        <w:t>complicaciones</w:t>
      </w:r>
      <w:r>
        <w:rPr>
          <w:color w:val="231F1F"/>
          <w:spacing w:val="-7"/>
          <w:w w:val="105"/>
        </w:rPr>
        <w:t> </w:t>
      </w:r>
      <w:r>
        <w:rPr>
          <w:color w:val="231F1F"/>
          <w:spacing w:val="-2"/>
          <w:w w:val="105"/>
        </w:rPr>
        <w:t>maternas,</w:t>
      </w:r>
      <w:r>
        <w:rPr>
          <w:color w:val="231F1F"/>
          <w:spacing w:val="-7"/>
          <w:w w:val="105"/>
        </w:rPr>
        <w:t> </w:t>
      </w:r>
      <w:r>
        <w:rPr>
          <w:color w:val="231F1F"/>
          <w:spacing w:val="-2"/>
          <w:w w:val="105"/>
        </w:rPr>
        <w:t>tanto</w:t>
      </w:r>
      <w:r>
        <w:rPr>
          <w:color w:val="231F1F"/>
          <w:spacing w:val="-7"/>
          <w:w w:val="105"/>
        </w:rPr>
        <w:t> </w:t>
      </w:r>
      <w:r>
        <w:rPr>
          <w:color w:val="231F1F"/>
          <w:spacing w:val="-2"/>
          <w:w w:val="105"/>
        </w:rPr>
        <w:t>en</w:t>
      </w:r>
      <w:r>
        <w:rPr>
          <w:color w:val="231F1F"/>
          <w:spacing w:val="-5"/>
          <w:w w:val="105"/>
        </w:rPr>
        <w:t> </w:t>
      </w:r>
      <w:r>
        <w:rPr>
          <w:color w:val="231F1F"/>
          <w:spacing w:val="-2"/>
          <w:w w:val="105"/>
        </w:rPr>
        <w:t>mujeres</w:t>
      </w:r>
      <w:r>
        <w:rPr>
          <w:color w:val="231F1F"/>
          <w:spacing w:val="-7"/>
          <w:w w:val="105"/>
        </w:rPr>
        <w:t> </w:t>
      </w:r>
      <w:r>
        <w:rPr>
          <w:color w:val="231F1F"/>
          <w:spacing w:val="-2"/>
          <w:w w:val="105"/>
        </w:rPr>
        <w:t>con</w:t>
      </w:r>
      <w:r>
        <w:rPr>
          <w:color w:val="231F1F"/>
          <w:spacing w:val="-5"/>
          <w:w w:val="105"/>
        </w:rPr>
        <w:t> </w:t>
      </w:r>
      <w:r>
        <w:rPr>
          <w:color w:val="231F1F"/>
          <w:spacing w:val="-2"/>
          <w:w w:val="105"/>
        </w:rPr>
        <w:t>parto</w:t>
      </w:r>
      <w:r>
        <w:rPr>
          <w:color w:val="231F1F"/>
          <w:spacing w:val="-7"/>
          <w:w w:val="105"/>
        </w:rPr>
        <w:t> </w:t>
      </w:r>
      <w:r>
        <w:rPr>
          <w:color w:val="231F1F"/>
          <w:spacing w:val="-2"/>
          <w:w w:val="105"/>
        </w:rPr>
        <w:t>vaginal:</w:t>
      </w:r>
      <w:r>
        <w:rPr>
          <w:color w:val="231F1F"/>
          <w:spacing w:val="-8"/>
          <w:w w:val="105"/>
        </w:rPr>
        <w:t> </w:t>
      </w:r>
      <w:r>
        <w:rPr>
          <w:color w:val="231F1F"/>
          <w:spacing w:val="-2"/>
          <w:w w:val="105"/>
        </w:rPr>
        <w:t>RR</w:t>
      </w:r>
      <w:r>
        <w:rPr>
          <w:color w:val="231F1F"/>
          <w:spacing w:val="-5"/>
          <w:w w:val="105"/>
        </w:rPr>
        <w:t> </w:t>
      </w:r>
      <w:r>
        <w:rPr>
          <w:color w:val="231F1F"/>
          <w:spacing w:val="-2"/>
          <w:w w:val="105"/>
        </w:rPr>
        <w:t>12,5 </w:t>
      </w:r>
      <w:r>
        <w:rPr>
          <w:color w:val="231F1F"/>
          <w:w w:val="105"/>
        </w:rPr>
        <w:t>[IC</w:t>
      </w:r>
      <w:r>
        <w:rPr>
          <w:color w:val="231F1F"/>
          <w:spacing w:val="-5"/>
          <w:w w:val="105"/>
        </w:rPr>
        <w:t> </w:t>
      </w:r>
      <w:r>
        <w:rPr>
          <w:color w:val="231F1F"/>
          <w:w w:val="105"/>
        </w:rPr>
        <w:t>95%</w:t>
      </w:r>
      <w:r>
        <w:rPr>
          <w:color w:val="231F1F"/>
          <w:spacing w:val="-4"/>
          <w:w w:val="105"/>
        </w:rPr>
        <w:t> </w:t>
      </w:r>
      <w:r>
        <w:rPr>
          <w:color w:val="231F1F"/>
          <w:w w:val="105"/>
        </w:rPr>
        <w:t>4,94</w:t>
      </w:r>
      <w:r>
        <w:rPr>
          <w:color w:val="231F1F"/>
          <w:spacing w:val="-5"/>
          <w:w w:val="105"/>
        </w:rPr>
        <w:t> </w:t>
      </w:r>
      <w:r>
        <w:rPr>
          <w:color w:val="231F1F"/>
          <w:w w:val="105"/>
        </w:rPr>
        <w:t>a</w:t>
      </w:r>
      <w:r>
        <w:rPr>
          <w:color w:val="231F1F"/>
          <w:spacing w:val="-4"/>
          <w:w w:val="105"/>
        </w:rPr>
        <w:t> </w:t>
      </w:r>
      <w:r>
        <w:rPr>
          <w:color w:val="231F1F"/>
          <w:w w:val="105"/>
        </w:rPr>
        <w:t>23,38],</w:t>
      </w:r>
      <w:r>
        <w:rPr>
          <w:color w:val="231F1F"/>
          <w:spacing w:val="-6"/>
          <w:w w:val="105"/>
        </w:rPr>
        <w:t> </w:t>
      </w:r>
      <w:r>
        <w:rPr>
          <w:color w:val="231F1F"/>
          <w:w w:val="105"/>
        </w:rPr>
        <w:t>como</w:t>
      </w:r>
      <w:r>
        <w:rPr>
          <w:color w:val="231F1F"/>
          <w:spacing w:val="-4"/>
          <w:w w:val="105"/>
        </w:rPr>
        <w:t> </w:t>
      </w:r>
      <w:r>
        <w:rPr>
          <w:color w:val="231F1F"/>
          <w:w w:val="105"/>
        </w:rPr>
        <w:t>en</w:t>
      </w:r>
      <w:r>
        <w:rPr>
          <w:color w:val="231F1F"/>
          <w:spacing w:val="-5"/>
          <w:w w:val="105"/>
        </w:rPr>
        <w:t> </w:t>
      </w:r>
      <w:r>
        <w:rPr>
          <w:color w:val="231F1F"/>
          <w:w w:val="105"/>
        </w:rPr>
        <w:t>cesáreas:</w:t>
      </w:r>
      <w:r>
        <w:rPr>
          <w:color w:val="231F1F"/>
          <w:spacing w:val="-5"/>
          <w:w w:val="105"/>
        </w:rPr>
        <w:t> </w:t>
      </w:r>
      <w:r>
        <w:rPr>
          <w:color w:val="231F1F"/>
          <w:w w:val="105"/>
        </w:rPr>
        <w:t>RR</w:t>
      </w:r>
      <w:r>
        <w:rPr>
          <w:color w:val="231F1F"/>
          <w:spacing w:val="-4"/>
          <w:w w:val="105"/>
        </w:rPr>
        <w:t> </w:t>
      </w:r>
      <w:r>
        <w:rPr>
          <w:color w:val="231F1F"/>
          <w:w w:val="105"/>
        </w:rPr>
        <w:t>28,89</w:t>
      </w:r>
      <w:r>
        <w:rPr>
          <w:color w:val="231F1F"/>
          <w:spacing w:val="-5"/>
          <w:w w:val="105"/>
        </w:rPr>
        <w:t> </w:t>
      </w:r>
      <w:r>
        <w:rPr>
          <w:color w:val="231F1F"/>
          <w:w w:val="105"/>
        </w:rPr>
        <w:t>[IC</w:t>
      </w:r>
      <w:r>
        <w:rPr>
          <w:color w:val="231F1F"/>
          <w:spacing w:val="-4"/>
          <w:w w:val="105"/>
        </w:rPr>
        <w:t> </w:t>
      </w:r>
      <w:r>
        <w:rPr>
          <w:color w:val="231F1F"/>
          <w:w w:val="105"/>
        </w:rPr>
        <w:t>95%</w:t>
      </w:r>
      <w:r>
        <w:rPr>
          <w:color w:val="231F1F"/>
          <w:spacing w:val="-5"/>
          <w:w w:val="105"/>
        </w:rPr>
        <w:t> </w:t>
      </w:r>
      <w:r>
        <w:rPr>
          <w:color w:val="231F1F"/>
          <w:w w:val="105"/>
        </w:rPr>
        <w:t>20,00</w:t>
      </w:r>
      <w:r>
        <w:rPr>
          <w:color w:val="231F1F"/>
          <w:spacing w:val="-4"/>
          <w:w w:val="105"/>
        </w:rPr>
        <w:t> </w:t>
      </w:r>
      <w:r>
        <w:rPr>
          <w:color w:val="231F1F"/>
          <w:w w:val="105"/>
        </w:rPr>
        <w:t>a</w:t>
      </w:r>
      <w:r>
        <w:rPr>
          <w:color w:val="231F1F"/>
          <w:spacing w:val="-5"/>
          <w:w w:val="105"/>
        </w:rPr>
        <w:t> </w:t>
      </w:r>
      <w:r>
        <w:rPr>
          <w:color w:val="231F1F"/>
          <w:w w:val="105"/>
        </w:rPr>
        <w:t>39,43].</w:t>
      </w:r>
    </w:p>
    <w:p>
      <w:pPr>
        <w:pStyle w:val="BodyText"/>
        <w:ind w:left="283" w:right="1371" w:firstLine="453"/>
        <w:jc w:val="both"/>
      </w:pPr>
      <w:r>
        <w:rPr>
          <w:color w:val="231F1F"/>
          <w:w w:val="110"/>
        </w:rPr>
        <w:t>Los</w:t>
      </w:r>
      <w:r>
        <w:rPr>
          <w:color w:val="231F1F"/>
          <w:spacing w:val="-14"/>
          <w:w w:val="110"/>
        </w:rPr>
        <w:t> </w:t>
      </w:r>
      <w:r>
        <w:rPr>
          <w:color w:val="231F1F"/>
          <w:w w:val="110"/>
        </w:rPr>
        <w:t>tres</w:t>
      </w:r>
      <w:r>
        <w:rPr>
          <w:color w:val="231F1F"/>
          <w:spacing w:val="-7"/>
          <w:w w:val="110"/>
        </w:rPr>
        <w:t> </w:t>
      </w:r>
      <w:r>
        <w:rPr>
          <w:i/>
          <w:color w:val="231F1F"/>
          <w:w w:val="110"/>
        </w:rPr>
        <w:t>estudios</w:t>
      </w:r>
      <w:r>
        <w:rPr>
          <w:i/>
          <w:color w:val="231F1F"/>
          <w:spacing w:val="-16"/>
          <w:w w:val="110"/>
        </w:rPr>
        <w:t> </w:t>
      </w:r>
      <w:r>
        <w:rPr>
          <w:i/>
          <w:color w:val="231F1F"/>
          <w:w w:val="110"/>
        </w:rPr>
        <w:t>descriptivos</w:t>
      </w:r>
      <w:r>
        <w:rPr>
          <w:color w:val="231F1F"/>
          <w:w w:val="110"/>
        </w:rPr>
        <w:t>,</w:t>
      </w:r>
      <w:r>
        <w:rPr>
          <w:color w:val="231F1F"/>
          <w:spacing w:val="-7"/>
          <w:w w:val="110"/>
        </w:rPr>
        <w:t> </w:t>
      </w:r>
      <w:r>
        <w:rPr>
          <w:color w:val="231F1F"/>
          <w:w w:val="110"/>
        </w:rPr>
        <w:t>estudiaban</w:t>
      </w:r>
      <w:r>
        <w:rPr>
          <w:color w:val="231F1F"/>
          <w:spacing w:val="-7"/>
          <w:w w:val="110"/>
        </w:rPr>
        <w:t> </w:t>
      </w:r>
      <w:r>
        <w:rPr>
          <w:color w:val="231F1F"/>
          <w:w w:val="110"/>
        </w:rPr>
        <w:t>únicamente</w:t>
      </w:r>
      <w:r>
        <w:rPr>
          <w:color w:val="231F1F"/>
          <w:spacing w:val="-8"/>
          <w:w w:val="110"/>
        </w:rPr>
        <w:t> </w:t>
      </w:r>
      <w:r>
        <w:rPr>
          <w:color w:val="231F1F"/>
          <w:w w:val="110"/>
        </w:rPr>
        <w:t>la</w:t>
      </w:r>
      <w:r>
        <w:rPr>
          <w:color w:val="231F1F"/>
          <w:spacing w:val="-7"/>
          <w:w w:val="110"/>
        </w:rPr>
        <w:t> </w:t>
      </w:r>
      <w:r>
        <w:rPr>
          <w:color w:val="231F1F"/>
          <w:w w:val="110"/>
        </w:rPr>
        <w:t>duración</w:t>
      </w:r>
      <w:r>
        <w:rPr>
          <w:color w:val="231F1F"/>
          <w:spacing w:val="-8"/>
          <w:w w:val="110"/>
        </w:rPr>
        <w:t> </w:t>
      </w:r>
      <w:r>
        <w:rPr>
          <w:color w:val="231F1F"/>
          <w:w w:val="110"/>
        </w:rPr>
        <w:t>de</w:t>
      </w:r>
      <w:r>
        <w:rPr>
          <w:color w:val="231F1F"/>
          <w:spacing w:val="-7"/>
          <w:w w:val="110"/>
        </w:rPr>
        <w:t> </w:t>
      </w:r>
      <w:r>
        <w:rPr>
          <w:color w:val="231F1F"/>
          <w:w w:val="110"/>
        </w:rPr>
        <w:t>la segunda</w:t>
      </w:r>
      <w:r>
        <w:rPr>
          <w:color w:val="231F1F"/>
          <w:spacing w:val="-16"/>
          <w:w w:val="110"/>
        </w:rPr>
        <w:t> </w:t>
      </w:r>
      <w:r>
        <w:rPr>
          <w:color w:val="231F1F"/>
          <w:w w:val="110"/>
        </w:rPr>
        <w:t>etapa</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aunque</w:t>
      </w:r>
      <w:r>
        <w:rPr>
          <w:color w:val="231F1F"/>
          <w:spacing w:val="-15"/>
          <w:w w:val="110"/>
        </w:rPr>
        <w:t> </w:t>
      </w:r>
      <w:r>
        <w:rPr>
          <w:color w:val="231F1F"/>
          <w:w w:val="110"/>
        </w:rPr>
        <w:t>en</w:t>
      </w:r>
      <w:r>
        <w:rPr>
          <w:color w:val="231F1F"/>
          <w:spacing w:val="-14"/>
          <w:w w:val="110"/>
        </w:rPr>
        <w:t> </w:t>
      </w:r>
      <w:r>
        <w:rPr>
          <w:color w:val="231F1F"/>
          <w:w w:val="110"/>
        </w:rPr>
        <w:t>algunos</w:t>
      </w:r>
      <w:r>
        <w:rPr>
          <w:color w:val="231F1F"/>
          <w:spacing w:val="-15"/>
          <w:w w:val="110"/>
        </w:rPr>
        <w:t> </w:t>
      </w:r>
      <w:r>
        <w:rPr>
          <w:color w:val="231F1F"/>
          <w:w w:val="110"/>
        </w:rPr>
        <w:t>casos</w:t>
      </w:r>
      <w:r>
        <w:rPr>
          <w:color w:val="231F1F"/>
          <w:spacing w:val="-15"/>
          <w:w w:val="110"/>
        </w:rPr>
        <w:t> </w:t>
      </w:r>
      <w:r>
        <w:rPr>
          <w:color w:val="231F1F"/>
          <w:w w:val="110"/>
        </w:rPr>
        <w:t>también</w:t>
      </w:r>
      <w:r>
        <w:rPr>
          <w:color w:val="231F1F"/>
          <w:spacing w:val="-15"/>
          <w:w w:val="110"/>
        </w:rPr>
        <w:t> </w:t>
      </w:r>
      <w:r>
        <w:rPr>
          <w:color w:val="231F1F"/>
          <w:w w:val="110"/>
        </w:rPr>
        <w:t>valoraron</w:t>
      </w:r>
      <w:r>
        <w:rPr>
          <w:color w:val="231F1F"/>
          <w:spacing w:val="-15"/>
          <w:w w:val="110"/>
        </w:rPr>
        <w:t> </w:t>
      </w:r>
      <w:r>
        <w:rPr>
          <w:color w:val="231F1F"/>
          <w:w w:val="110"/>
        </w:rPr>
        <w:t>los</w:t>
      </w:r>
      <w:r>
        <w:rPr>
          <w:color w:val="231F1F"/>
          <w:spacing w:val="-14"/>
          <w:w w:val="110"/>
        </w:rPr>
        <w:t> </w:t>
      </w:r>
      <w:r>
        <w:rPr>
          <w:color w:val="231F1F"/>
          <w:w w:val="110"/>
        </w:rPr>
        <w:t>fac- tores asociados con la duración del parto.</w:t>
      </w:r>
    </w:p>
    <w:p>
      <w:pPr>
        <w:pStyle w:val="BodyText"/>
        <w:spacing w:line="244" w:lineRule="auto" w:before="90"/>
        <w:ind w:left="283" w:right="1369" w:firstLine="453"/>
        <w:jc w:val="both"/>
      </w:pPr>
      <w:r>
        <w:rPr>
          <w:color w:val="231F1F"/>
          <w:w w:val="105"/>
        </w:rPr>
        <w:t>En</w:t>
      </w:r>
      <w:r>
        <w:rPr>
          <w:color w:val="231F1F"/>
          <w:w w:val="105"/>
        </w:rPr>
        <w:t> un</w:t>
      </w:r>
      <w:r>
        <w:rPr>
          <w:color w:val="231F1F"/>
          <w:w w:val="105"/>
        </w:rPr>
        <w:t> estudio</w:t>
      </w:r>
      <w:r>
        <w:rPr>
          <w:color w:val="231F1F"/>
          <w:w w:val="105"/>
        </w:rPr>
        <w:t> estadounidense</w:t>
      </w:r>
      <w:r>
        <w:rPr>
          <w:color w:val="231F1F"/>
          <w:w w:val="105"/>
        </w:rPr>
        <w:t> (29)</w:t>
      </w:r>
      <w:r>
        <w:rPr>
          <w:color w:val="231F1F"/>
          <w:w w:val="105"/>
        </w:rPr>
        <w:t> que</w:t>
      </w:r>
      <w:r>
        <w:rPr>
          <w:color w:val="231F1F"/>
          <w:w w:val="105"/>
        </w:rPr>
        <w:t> pretendía</w:t>
      </w:r>
      <w:r>
        <w:rPr>
          <w:color w:val="231F1F"/>
          <w:w w:val="105"/>
        </w:rPr>
        <w:t> describir</w:t>
      </w:r>
      <w:r>
        <w:rPr>
          <w:color w:val="231F1F"/>
          <w:w w:val="105"/>
        </w:rPr>
        <w:t> la</w:t>
      </w:r>
      <w:r>
        <w:rPr>
          <w:color w:val="231F1F"/>
          <w:w w:val="105"/>
        </w:rPr>
        <w:t> duración</w:t>
      </w:r>
      <w:r>
        <w:rPr>
          <w:color w:val="231F1F"/>
          <w:spacing w:val="80"/>
          <w:w w:val="105"/>
        </w:rPr>
        <w:t> </w:t>
      </w:r>
      <w:r>
        <w:rPr>
          <w:color w:val="231F1F"/>
          <w:w w:val="105"/>
        </w:rPr>
        <w:t>del parto y los factores clínicos asociados a partos prolongados se recogieron datos</w:t>
      </w:r>
      <w:r>
        <w:rPr>
          <w:color w:val="231F1F"/>
          <w:spacing w:val="40"/>
          <w:w w:val="105"/>
        </w:rPr>
        <w:t> </w:t>
      </w:r>
      <w:r>
        <w:rPr>
          <w:color w:val="231F1F"/>
          <w:w w:val="105"/>
        </w:rPr>
        <w:t>de</w:t>
      </w:r>
      <w:r>
        <w:rPr>
          <w:color w:val="231F1F"/>
          <w:spacing w:val="40"/>
          <w:w w:val="105"/>
        </w:rPr>
        <w:t> </w:t>
      </w:r>
      <w:r>
        <w:rPr>
          <w:color w:val="231F1F"/>
          <w:w w:val="105"/>
        </w:rPr>
        <w:t>2.511</w:t>
      </w:r>
      <w:r>
        <w:rPr>
          <w:color w:val="231F1F"/>
          <w:spacing w:val="40"/>
          <w:w w:val="105"/>
        </w:rPr>
        <w:t> </w:t>
      </w:r>
      <w:r>
        <w:rPr>
          <w:color w:val="231F1F"/>
          <w:w w:val="105"/>
        </w:rPr>
        <w:t>mujeres</w:t>
      </w:r>
      <w:r>
        <w:rPr>
          <w:color w:val="231F1F"/>
          <w:spacing w:val="40"/>
          <w:w w:val="105"/>
        </w:rPr>
        <w:t> </w:t>
      </w:r>
      <w:r>
        <w:rPr>
          <w:color w:val="231F1F"/>
          <w:w w:val="105"/>
        </w:rPr>
        <w:t>de</w:t>
      </w:r>
      <w:r>
        <w:rPr>
          <w:color w:val="231F1F"/>
          <w:spacing w:val="40"/>
          <w:w w:val="105"/>
        </w:rPr>
        <w:t> </w:t>
      </w:r>
      <w:r>
        <w:rPr>
          <w:color w:val="231F1F"/>
          <w:w w:val="105"/>
        </w:rPr>
        <w:t>nueve</w:t>
      </w:r>
      <w:r>
        <w:rPr>
          <w:color w:val="231F1F"/>
          <w:spacing w:val="40"/>
          <w:w w:val="105"/>
        </w:rPr>
        <w:t> </w:t>
      </w:r>
      <w:r>
        <w:rPr>
          <w:color w:val="231F1F"/>
          <w:w w:val="105"/>
        </w:rPr>
        <w:t>casas</w:t>
      </w:r>
      <w:r>
        <w:rPr>
          <w:color w:val="231F1F"/>
          <w:spacing w:val="40"/>
          <w:w w:val="105"/>
        </w:rPr>
        <w:t> </w:t>
      </w:r>
      <w:r>
        <w:rPr>
          <w:color w:val="231F1F"/>
          <w:w w:val="105"/>
        </w:rPr>
        <w:t>de</w:t>
      </w:r>
      <w:r>
        <w:rPr>
          <w:color w:val="231F1F"/>
          <w:spacing w:val="40"/>
          <w:w w:val="105"/>
        </w:rPr>
        <w:t> </w:t>
      </w:r>
      <w:r>
        <w:rPr>
          <w:color w:val="231F1F"/>
          <w:w w:val="105"/>
        </w:rPr>
        <w:t>matronas.</w:t>
      </w:r>
    </w:p>
    <w:p>
      <w:pPr>
        <w:pStyle w:val="BodyText"/>
        <w:tabs>
          <w:tab w:pos="7971" w:val="left" w:leader="none"/>
          <w:tab w:pos="8168" w:val="left" w:leader="none"/>
        </w:tabs>
        <w:spacing w:line="242" w:lineRule="auto" w:before="52"/>
        <w:ind w:left="283" w:right="364" w:firstLine="453"/>
        <w:rPr>
          <w:rFonts w:ascii="Arial MT" w:hAnsi="Arial MT"/>
          <w:position w:val="7"/>
          <w:sz w:val="18"/>
        </w:rPr>
      </w:pPr>
      <w:r>
        <w:rPr>
          <w:color w:val="231F1F"/>
          <w:w w:val="110"/>
        </w:rPr>
        <w:t>La</w:t>
      </w:r>
      <w:r>
        <w:rPr>
          <w:color w:val="231F1F"/>
          <w:spacing w:val="-13"/>
          <w:w w:val="110"/>
        </w:rPr>
        <w:t> </w:t>
      </w:r>
      <w:r>
        <w:rPr>
          <w:color w:val="231F1F"/>
          <w:w w:val="110"/>
        </w:rPr>
        <w:t>duración</w:t>
      </w:r>
      <w:r>
        <w:rPr>
          <w:color w:val="231F1F"/>
          <w:spacing w:val="-9"/>
          <w:w w:val="110"/>
        </w:rPr>
        <w:t> </w:t>
      </w:r>
      <w:r>
        <w:rPr>
          <w:color w:val="231F1F"/>
          <w:w w:val="110"/>
        </w:rPr>
        <w:t>media</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2ª</w:t>
      </w:r>
      <w:r>
        <w:rPr>
          <w:color w:val="231F1F"/>
          <w:spacing w:val="-11"/>
          <w:w w:val="110"/>
        </w:rPr>
        <w:t> </w:t>
      </w:r>
      <w:r>
        <w:rPr>
          <w:color w:val="231F1F"/>
          <w:w w:val="110"/>
        </w:rPr>
        <w:t>etapa</w:t>
      </w:r>
      <w:r>
        <w:rPr>
          <w:color w:val="231F1F"/>
          <w:spacing w:val="-9"/>
          <w:w w:val="110"/>
        </w:rPr>
        <w:t> </w:t>
      </w:r>
      <w:r>
        <w:rPr>
          <w:color w:val="231F1F"/>
          <w:w w:val="110"/>
        </w:rPr>
        <w:t>fue</w:t>
      </w:r>
      <w:r>
        <w:rPr>
          <w:color w:val="231F1F"/>
          <w:spacing w:val="-9"/>
          <w:w w:val="110"/>
        </w:rPr>
        <w:t> </w:t>
      </w:r>
      <w:r>
        <w:rPr>
          <w:color w:val="231F1F"/>
          <w:w w:val="110"/>
        </w:rPr>
        <w:t>de</w:t>
      </w:r>
      <w:r>
        <w:rPr>
          <w:color w:val="231F1F"/>
          <w:spacing w:val="-9"/>
          <w:w w:val="110"/>
        </w:rPr>
        <w:t> </w:t>
      </w:r>
      <w:r>
        <w:rPr>
          <w:color w:val="231F1F"/>
          <w:w w:val="110"/>
        </w:rPr>
        <w:t>54</w:t>
      </w:r>
      <w:r>
        <w:rPr>
          <w:color w:val="231F1F"/>
          <w:spacing w:val="-9"/>
          <w:w w:val="110"/>
        </w:rPr>
        <w:t> </w:t>
      </w:r>
      <w:r>
        <w:rPr>
          <w:color w:val="231F1F"/>
          <w:w w:val="110"/>
        </w:rPr>
        <w:t>minutos</w:t>
      </w:r>
      <w:r>
        <w:rPr>
          <w:color w:val="231F1F"/>
          <w:spacing w:val="-9"/>
          <w:w w:val="110"/>
        </w:rPr>
        <w:t> </w:t>
      </w:r>
      <w:r>
        <w:rPr>
          <w:color w:val="231F1F"/>
          <w:w w:val="110"/>
        </w:rPr>
        <w:t>(límite</w:t>
      </w:r>
      <w:r>
        <w:rPr>
          <w:color w:val="231F1F"/>
          <w:spacing w:val="-9"/>
          <w:w w:val="110"/>
        </w:rPr>
        <w:t> </w:t>
      </w:r>
      <w:r>
        <w:rPr>
          <w:color w:val="231F1F"/>
          <w:w w:val="110"/>
        </w:rPr>
        <w:t>superior:</w:t>
      </w:r>
      <w:r>
        <w:rPr>
          <w:color w:val="231F1F"/>
          <w:spacing w:val="-11"/>
          <w:w w:val="110"/>
        </w:rPr>
        <w:t> </w:t>
      </w:r>
      <w:r>
        <w:rPr>
          <w:color w:val="231F1F"/>
          <w:w w:val="110"/>
        </w:rPr>
        <w:t>164</w:t>
      </w:r>
      <w:r>
        <w:rPr>
          <w:color w:val="231F1F"/>
          <w:spacing w:val="14"/>
          <w:w w:val="110"/>
        </w:rPr>
        <w:t> </w:t>
      </w:r>
      <w:r>
        <w:rPr>
          <w:rFonts w:ascii="Arial MT" w:hAnsi="Arial MT"/>
          <w:color w:val="231F1F"/>
          <w:w w:val="110"/>
          <w:sz w:val="18"/>
        </w:rPr>
        <w:t>Series</w:t>
      </w:r>
      <w:r>
        <w:rPr>
          <w:rFonts w:ascii="Arial MT" w:hAnsi="Arial MT"/>
          <w:color w:val="231F1F"/>
          <w:spacing w:val="-14"/>
          <w:w w:val="110"/>
          <w:sz w:val="18"/>
        </w:rPr>
        <w:t> </w:t>
      </w:r>
      <w:r>
        <w:rPr>
          <w:rFonts w:ascii="Arial MT" w:hAnsi="Arial MT"/>
          <w:color w:val="231F1F"/>
          <w:w w:val="110"/>
          <w:sz w:val="18"/>
        </w:rPr>
        <w:t>de </w:t>
      </w:r>
      <w:r>
        <w:rPr>
          <w:color w:val="231F1F"/>
          <w:w w:val="110"/>
        </w:rPr>
        <w:t>min) en las nulíparas y de 18 minutos (límite superior: 64 min) en las multí-</w:t>
      </w:r>
      <w:r>
        <w:rPr>
          <w:color w:val="231F1F"/>
        </w:rPr>
        <w:tab/>
      </w:r>
      <w:r>
        <w:rPr>
          <w:rFonts w:ascii="Arial MT" w:hAnsi="Arial MT"/>
          <w:color w:val="231F1F"/>
          <w:spacing w:val="-4"/>
          <w:w w:val="110"/>
          <w:position w:val="4"/>
          <w:sz w:val="18"/>
        </w:rPr>
        <w:t>casos </w:t>
      </w:r>
      <w:r>
        <w:rPr>
          <w:color w:val="231F1F"/>
          <w:w w:val="110"/>
        </w:rPr>
        <w:t>paras. Además, el análisis multivariante de regresión logística mostró que los</w:t>
      </w:r>
      <w:r>
        <w:rPr>
          <w:color w:val="231F1F"/>
        </w:rPr>
        <w:tab/>
        <w:tab/>
      </w:r>
      <w:r>
        <w:rPr>
          <w:rFonts w:ascii="Arial MT" w:hAnsi="Arial MT"/>
          <w:color w:val="231F1F"/>
          <w:spacing w:val="-10"/>
          <w:w w:val="110"/>
          <w:position w:val="7"/>
          <w:sz w:val="18"/>
        </w:rPr>
        <w:t>3</w:t>
      </w:r>
    </w:p>
    <w:p>
      <w:pPr>
        <w:pStyle w:val="BodyText"/>
        <w:spacing w:line="244" w:lineRule="auto"/>
        <w:ind w:left="283" w:right="1368"/>
        <w:jc w:val="both"/>
      </w:pPr>
      <w:r>
        <w:rPr>
          <w:color w:val="231F1F"/>
          <w:w w:val="105"/>
        </w:rPr>
        <w:t>partos</w:t>
      </w:r>
      <w:r>
        <w:rPr>
          <w:color w:val="231F1F"/>
          <w:w w:val="105"/>
        </w:rPr>
        <w:t> prolongados</w:t>
      </w:r>
      <w:r>
        <w:rPr>
          <w:color w:val="231F1F"/>
          <w:w w:val="105"/>
        </w:rPr>
        <w:t> se</w:t>
      </w:r>
      <w:r>
        <w:rPr>
          <w:color w:val="231F1F"/>
          <w:w w:val="105"/>
        </w:rPr>
        <w:t> asociaban</w:t>
      </w:r>
      <w:r>
        <w:rPr>
          <w:color w:val="231F1F"/>
          <w:w w:val="105"/>
        </w:rPr>
        <w:t> con</w:t>
      </w:r>
      <w:r>
        <w:rPr>
          <w:color w:val="231F1F"/>
          <w:w w:val="105"/>
        </w:rPr>
        <w:t> la</w:t>
      </w:r>
      <w:r>
        <w:rPr>
          <w:color w:val="231F1F"/>
          <w:w w:val="105"/>
        </w:rPr>
        <w:t> MEF,</w:t>
      </w:r>
      <w:r>
        <w:rPr>
          <w:color w:val="231F1F"/>
          <w:w w:val="105"/>
        </w:rPr>
        <w:t> la</w:t>
      </w:r>
      <w:r>
        <w:rPr>
          <w:color w:val="231F1F"/>
          <w:w w:val="105"/>
        </w:rPr>
        <w:t> deambulación</w:t>
      </w:r>
      <w:r>
        <w:rPr>
          <w:color w:val="231F1F"/>
          <w:w w:val="105"/>
        </w:rPr>
        <w:t> y</w:t>
      </w:r>
      <w:r>
        <w:rPr>
          <w:color w:val="231F1F"/>
          <w:w w:val="105"/>
        </w:rPr>
        <w:t> el</w:t>
      </w:r>
      <w:r>
        <w:rPr>
          <w:color w:val="231F1F"/>
          <w:w w:val="105"/>
        </w:rPr>
        <w:t> uso</w:t>
      </w:r>
      <w:r>
        <w:rPr>
          <w:color w:val="231F1F"/>
          <w:w w:val="105"/>
        </w:rPr>
        <w:t> de analgésicos narcóticos (en multíparas). Además, la edad materna &gt;de 30 años se</w:t>
      </w:r>
      <w:r>
        <w:rPr>
          <w:color w:val="231F1F"/>
          <w:spacing w:val="40"/>
          <w:w w:val="105"/>
        </w:rPr>
        <w:t> </w:t>
      </w:r>
      <w:r>
        <w:rPr>
          <w:color w:val="231F1F"/>
          <w:w w:val="105"/>
        </w:rPr>
        <w:t>asociaba</w:t>
      </w:r>
      <w:r>
        <w:rPr>
          <w:color w:val="231F1F"/>
          <w:spacing w:val="40"/>
          <w:w w:val="105"/>
        </w:rPr>
        <w:t> </w:t>
      </w:r>
      <w:r>
        <w:rPr>
          <w:color w:val="231F1F"/>
          <w:w w:val="105"/>
        </w:rPr>
        <w:t>con</w:t>
      </w:r>
      <w:r>
        <w:rPr>
          <w:color w:val="231F1F"/>
          <w:spacing w:val="40"/>
          <w:w w:val="105"/>
        </w:rPr>
        <w:t> </w:t>
      </w:r>
      <w:r>
        <w:rPr>
          <w:color w:val="231F1F"/>
          <w:w w:val="105"/>
        </w:rPr>
        <w:t>una</w:t>
      </w:r>
      <w:r>
        <w:rPr>
          <w:color w:val="231F1F"/>
          <w:spacing w:val="40"/>
          <w:w w:val="105"/>
        </w:rPr>
        <w:t> </w:t>
      </w:r>
      <w:r>
        <w:rPr>
          <w:color w:val="231F1F"/>
          <w:w w:val="105"/>
        </w:rPr>
        <w:t>2ª</w:t>
      </w:r>
      <w:r>
        <w:rPr>
          <w:color w:val="231F1F"/>
          <w:spacing w:val="40"/>
          <w:w w:val="105"/>
        </w:rPr>
        <w:t> </w:t>
      </w:r>
      <w:r>
        <w:rPr>
          <w:color w:val="231F1F"/>
          <w:w w:val="105"/>
        </w:rPr>
        <w:t>etapa</w:t>
      </w:r>
      <w:r>
        <w:rPr>
          <w:color w:val="231F1F"/>
          <w:spacing w:val="40"/>
          <w:w w:val="105"/>
        </w:rPr>
        <w:t> </w:t>
      </w:r>
      <w:r>
        <w:rPr>
          <w:color w:val="231F1F"/>
          <w:w w:val="105"/>
        </w:rPr>
        <w:t>más</w:t>
      </w:r>
      <w:r>
        <w:rPr>
          <w:color w:val="231F1F"/>
          <w:spacing w:val="40"/>
          <w:w w:val="105"/>
        </w:rPr>
        <w:t> </w:t>
      </w:r>
      <w:r>
        <w:rPr>
          <w:color w:val="231F1F"/>
          <w:w w:val="105"/>
        </w:rPr>
        <w:t>larga,</w:t>
      </w:r>
      <w:r>
        <w:rPr>
          <w:color w:val="231F1F"/>
          <w:spacing w:val="40"/>
          <w:w w:val="105"/>
        </w:rPr>
        <w:t> </w:t>
      </w:r>
      <w:r>
        <w:rPr>
          <w:color w:val="231F1F"/>
          <w:w w:val="105"/>
        </w:rPr>
        <w:t>especialmente</w:t>
      </w:r>
      <w:r>
        <w:rPr>
          <w:color w:val="231F1F"/>
          <w:spacing w:val="40"/>
          <w:w w:val="105"/>
        </w:rPr>
        <w:t> </w:t>
      </w:r>
      <w:r>
        <w:rPr>
          <w:color w:val="231F1F"/>
          <w:w w:val="105"/>
        </w:rPr>
        <w:t>en</w:t>
      </w:r>
      <w:r>
        <w:rPr>
          <w:color w:val="231F1F"/>
          <w:spacing w:val="40"/>
          <w:w w:val="105"/>
        </w:rPr>
        <w:t> </w:t>
      </w:r>
      <w:r>
        <w:rPr>
          <w:color w:val="231F1F"/>
          <w:w w:val="105"/>
        </w:rPr>
        <w:t>nulíparas.</w:t>
      </w:r>
    </w:p>
    <w:p>
      <w:pPr>
        <w:pStyle w:val="BodyText"/>
        <w:spacing w:line="247" w:lineRule="auto" w:before="6"/>
        <w:ind w:left="283" w:right="1365" w:firstLine="453"/>
        <w:jc w:val="both"/>
      </w:pPr>
      <w:r>
        <w:rPr>
          <w:color w:val="231F1F"/>
          <w:w w:val="110"/>
        </w:rPr>
        <w:t>Se</w:t>
      </w:r>
      <w:r>
        <w:rPr>
          <w:color w:val="231F1F"/>
          <w:spacing w:val="-9"/>
          <w:w w:val="110"/>
        </w:rPr>
        <w:t> </w:t>
      </w:r>
      <w:r>
        <w:rPr>
          <w:color w:val="231F1F"/>
          <w:w w:val="110"/>
        </w:rPr>
        <w:t>debe</w:t>
      </w:r>
      <w:r>
        <w:rPr>
          <w:color w:val="231F1F"/>
          <w:spacing w:val="-9"/>
          <w:w w:val="110"/>
        </w:rPr>
        <w:t> </w:t>
      </w:r>
      <w:r>
        <w:rPr>
          <w:color w:val="231F1F"/>
          <w:w w:val="110"/>
        </w:rPr>
        <w:t>tener</w:t>
      </w:r>
      <w:r>
        <w:rPr>
          <w:color w:val="231F1F"/>
          <w:spacing w:val="-9"/>
          <w:w w:val="110"/>
        </w:rPr>
        <w:t> </w:t>
      </w:r>
      <w:r>
        <w:rPr>
          <w:color w:val="231F1F"/>
          <w:w w:val="110"/>
        </w:rPr>
        <w:t>en</w:t>
      </w:r>
      <w:r>
        <w:rPr>
          <w:color w:val="231F1F"/>
          <w:spacing w:val="-8"/>
          <w:w w:val="110"/>
        </w:rPr>
        <w:t> </w:t>
      </w:r>
      <w:r>
        <w:rPr>
          <w:color w:val="231F1F"/>
          <w:w w:val="110"/>
        </w:rPr>
        <w:t>cuenta,</w:t>
      </w:r>
      <w:r>
        <w:rPr>
          <w:color w:val="231F1F"/>
          <w:spacing w:val="-9"/>
          <w:w w:val="110"/>
        </w:rPr>
        <w:t> </w:t>
      </w:r>
      <w:r>
        <w:rPr>
          <w:color w:val="231F1F"/>
          <w:w w:val="110"/>
        </w:rPr>
        <w:t>en</w:t>
      </w:r>
      <w:r>
        <w:rPr>
          <w:color w:val="231F1F"/>
          <w:spacing w:val="-8"/>
          <w:w w:val="110"/>
        </w:rPr>
        <w:t> </w:t>
      </w:r>
      <w:r>
        <w:rPr>
          <w:color w:val="231F1F"/>
          <w:w w:val="110"/>
        </w:rPr>
        <w:t>éste</w:t>
      </w:r>
      <w:r>
        <w:rPr>
          <w:color w:val="231F1F"/>
          <w:spacing w:val="-8"/>
          <w:w w:val="110"/>
        </w:rPr>
        <w:t> </w:t>
      </w:r>
      <w:r>
        <w:rPr>
          <w:color w:val="231F1F"/>
          <w:w w:val="110"/>
        </w:rPr>
        <w:t>y</w:t>
      </w:r>
      <w:r>
        <w:rPr>
          <w:color w:val="231F1F"/>
          <w:spacing w:val="-9"/>
          <w:w w:val="110"/>
        </w:rPr>
        <w:t> </w:t>
      </w:r>
      <w:r>
        <w:rPr>
          <w:color w:val="231F1F"/>
          <w:w w:val="110"/>
        </w:rPr>
        <w:t>los</w:t>
      </w:r>
      <w:r>
        <w:rPr>
          <w:color w:val="231F1F"/>
          <w:spacing w:val="-9"/>
          <w:w w:val="110"/>
        </w:rPr>
        <w:t> </w:t>
      </w:r>
      <w:r>
        <w:rPr>
          <w:color w:val="231F1F"/>
          <w:w w:val="110"/>
        </w:rPr>
        <w:t>demás</w:t>
      </w:r>
      <w:r>
        <w:rPr>
          <w:color w:val="231F1F"/>
          <w:spacing w:val="-9"/>
          <w:w w:val="110"/>
        </w:rPr>
        <w:t> </w:t>
      </w:r>
      <w:r>
        <w:rPr>
          <w:color w:val="231F1F"/>
          <w:w w:val="110"/>
        </w:rPr>
        <w:t>estudios,</w:t>
      </w:r>
      <w:r>
        <w:rPr>
          <w:color w:val="231F1F"/>
          <w:spacing w:val="-9"/>
          <w:w w:val="110"/>
        </w:rPr>
        <w:t> </w:t>
      </w:r>
      <w:r>
        <w:rPr>
          <w:color w:val="231F1F"/>
          <w:w w:val="110"/>
        </w:rPr>
        <w:t>que</w:t>
      </w:r>
      <w:r>
        <w:rPr>
          <w:color w:val="231F1F"/>
          <w:spacing w:val="-9"/>
          <w:w w:val="110"/>
        </w:rPr>
        <w:t> </w:t>
      </w:r>
      <w:r>
        <w:rPr>
          <w:color w:val="231F1F"/>
          <w:w w:val="110"/>
        </w:rPr>
        <w:t>el</w:t>
      </w:r>
      <w:r>
        <w:rPr>
          <w:color w:val="231F1F"/>
          <w:spacing w:val="-9"/>
          <w:w w:val="110"/>
        </w:rPr>
        <w:t> </w:t>
      </w:r>
      <w:r>
        <w:rPr>
          <w:color w:val="231F1F"/>
          <w:w w:val="110"/>
        </w:rPr>
        <w:t>empleo</w:t>
      </w:r>
      <w:r>
        <w:rPr>
          <w:color w:val="231F1F"/>
          <w:spacing w:val="-9"/>
          <w:w w:val="110"/>
        </w:rPr>
        <w:t> </w:t>
      </w:r>
      <w:r>
        <w:rPr>
          <w:color w:val="231F1F"/>
          <w:w w:val="110"/>
        </w:rPr>
        <w:t>de medias</w:t>
      </w:r>
      <w:r>
        <w:rPr>
          <w:color w:val="231F1F"/>
          <w:w w:val="110"/>
        </w:rPr>
        <w:t> y</w:t>
      </w:r>
      <w:r>
        <w:rPr>
          <w:color w:val="231F1F"/>
          <w:w w:val="110"/>
        </w:rPr>
        <w:t> desviaciones</w:t>
      </w:r>
      <w:r>
        <w:rPr>
          <w:color w:val="231F1F"/>
          <w:w w:val="110"/>
        </w:rPr>
        <w:t> estándar</w:t>
      </w:r>
      <w:r>
        <w:rPr>
          <w:color w:val="231F1F"/>
          <w:w w:val="110"/>
        </w:rPr>
        <w:t> son</w:t>
      </w:r>
      <w:r>
        <w:rPr>
          <w:color w:val="231F1F"/>
          <w:w w:val="110"/>
        </w:rPr>
        <w:t> inapropiadas</w:t>
      </w:r>
      <w:r>
        <w:rPr>
          <w:color w:val="231F1F"/>
          <w:w w:val="110"/>
        </w:rPr>
        <w:t> como</w:t>
      </w:r>
      <w:r>
        <w:rPr>
          <w:color w:val="231F1F"/>
          <w:w w:val="110"/>
        </w:rPr>
        <w:t> descriptores</w:t>
      </w:r>
      <w:r>
        <w:rPr>
          <w:color w:val="231F1F"/>
          <w:w w:val="110"/>
        </w:rPr>
        <w:t> de</w:t>
      </w:r>
      <w:r>
        <w:rPr>
          <w:color w:val="231F1F"/>
          <w:w w:val="110"/>
        </w:rPr>
        <w:t> la </w:t>
      </w:r>
      <w:r>
        <w:rPr>
          <w:color w:val="231F1F"/>
        </w:rPr>
        <w:t>duración del parto, ya que esta no sigue una distribución normal (muestra una </w:t>
      </w:r>
      <w:r>
        <w:rPr>
          <w:color w:val="231F1F"/>
          <w:w w:val="110"/>
        </w:rPr>
        <w:t>larga cola hacia la derecha).</w:t>
      </w:r>
    </w:p>
    <w:p>
      <w:pPr>
        <w:pStyle w:val="BodyText"/>
        <w:tabs>
          <w:tab w:pos="7971" w:val="left" w:leader="none"/>
          <w:tab w:pos="8168" w:val="left" w:leader="none"/>
        </w:tabs>
        <w:spacing w:line="244" w:lineRule="auto" w:before="52"/>
        <w:ind w:left="283" w:right="364" w:firstLine="453"/>
        <w:rPr>
          <w:rFonts w:ascii="Arial MT" w:hAnsi="Arial MT"/>
          <w:position w:val="7"/>
          <w:sz w:val="18"/>
        </w:rPr>
      </w:pPr>
      <w:r>
        <w:rPr>
          <w:color w:val="231F1F"/>
          <w:w w:val="110"/>
        </w:rPr>
        <w:t>Un</w:t>
      </w:r>
      <w:r>
        <w:rPr>
          <w:color w:val="231F1F"/>
          <w:spacing w:val="-16"/>
          <w:w w:val="110"/>
        </w:rPr>
        <w:t> </w:t>
      </w:r>
      <w:r>
        <w:rPr>
          <w:color w:val="231F1F"/>
          <w:w w:val="110"/>
        </w:rPr>
        <w:t>estudio</w:t>
      </w:r>
      <w:r>
        <w:rPr>
          <w:color w:val="231F1F"/>
          <w:spacing w:val="-10"/>
          <w:w w:val="110"/>
        </w:rPr>
        <w:t> </w:t>
      </w:r>
      <w:r>
        <w:rPr>
          <w:color w:val="231F1F"/>
          <w:w w:val="110"/>
        </w:rPr>
        <w:t>previo</w:t>
      </w:r>
      <w:r>
        <w:rPr>
          <w:color w:val="231F1F"/>
          <w:spacing w:val="-11"/>
          <w:w w:val="110"/>
        </w:rPr>
        <w:t> </w:t>
      </w:r>
      <w:r>
        <w:rPr>
          <w:color w:val="231F1F"/>
          <w:w w:val="110"/>
        </w:rPr>
        <w:t>llevado</w:t>
      </w:r>
      <w:r>
        <w:rPr>
          <w:color w:val="231F1F"/>
          <w:spacing w:val="-11"/>
          <w:w w:val="110"/>
        </w:rPr>
        <w:t> </w:t>
      </w:r>
      <w:r>
        <w:rPr>
          <w:color w:val="231F1F"/>
          <w:w w:val="110"/>
        </w:rPr>
        <w:t>a</w:t>
      </w:r>
      <w:r>
        <w:rPr>
          <w:color w:val="231F1F"/>
          <w:spacing w:val="-11"/>
          <w:w w:val="110"/>
        </w:rPr>
        <w:t> </w:t>
      </w:r>
      <w:r>
        <w:rPr>
          <w:color w:val="231F1F"/>
          <w:w w:val="110"/>
        </w:rPr>
        <w:t>cabo</w:t>
      </w:r>
      <w:r>
        <w:rPr>
          <w:color w:val="231F1F"/>
          <w:spacing w:val="-11"/>
          <w:w w:val="110"/>
        </w:rPr>
        <w:t> </w:t>
      </w:r>
      <w:r>
        <w:rPr>
          <w:color w:val="231F1F"/>
          <w:w w:val="110"/>
        </w:rPr>
        <w:t>en</w:t>
      </w:r>
      <w:r>
        <w:rPr>
          <w:color w:val="231F1F"/>
          <w:spacing w:val="-11"/>
          <w:w w:val="110"/>
        </w:rPr>
        <w:t> </w:t>
      </w:r>
      <w:r>
        <w:rPr>
          <w:color w:val="231F1F"/>
          <w:w w:val="110"/>
        </w:rPr>
        <w:t>EEUU</w:t>
      </w:r>
      <w:r>
        <w:rPr>
          <w:color w:val="231F1F"/>
          <w:spacing w:val="-11"/>
          <w:w w:val="110"/>
        </w:rPr>
        <w:t> </w:t>
      </w:r>
      <w:r>
        <w:rPr>
          <w:color w:val="231F1F"/>
          <w:w w:val="110"/>
        </w:rPr>
        <w:t>(28)</w:t>
      </w:r>
      <w:r>
        <w:rPr>
          <w:color w:val="231F1F"/>
          <w:spacing w:val="-11"/>
          <w:w w:val="110"/>
        </w:rPr>
        <w:t> </w:t>
      </w:r>
      <w:r>
        <w:rPr>
          <w:color w:val="231F1F"/>
          <w:w w:val="110"/>
        </w:rPr>
        <w:t>examinó</w:t>
      </w:r>
      <w:r>
        <w:rPr>
          <w:color w:val="231F1F"/>
          <w:spacing w:val="-11"/>
          <w:w w:val="110"/>
        </w:rPr>
        <w:t> </w:t>
      </w:r>
      <w:r>
        <w:rPr>
          <w:color w:val="231F1F"/>
          <w:w w:val="110"/>
        </w:rPr>
        <w:t>la</w:t>
      </w:r>
      <w:r>
        <w:rPr>
          <w:color w:val="231F1F"/>
          <w:spacing w:val="-11"/>
          <w:w w:val="110"/>
        </w:rPr>
        <w:t> </w:t>
      </w:r>
      <w:r>
        <w:rPr>
          <w:color w:val="231F1F"/>
          <w:w w:val="110"/>
        </w:rPr>
        <w:t>duración</w:t>
      </w:r>
      <w:r>
        <w:rPr>
          <w:color w:val="231F1F"/>
          <w:spacing w:val="-11"/>
          <w:w w:val="110"/>
        </w:rPr>
        <w:t> </w:t>
      </w:r>
      <w:r>
        <w:rPr>
          <w:color w:val="231F1F"/>
          <w:w w:val="110"/>
        </w:rPr>
        <w:t>del</w:t>
      </w:r>
      <w:r>
        <w:rPr>
          <w:color w:val="231F1F"/>
          <w:spacing w:val="-16"/>
          <w:w w:val="110"/>
        </w:rPr>
        <w:t> </w:t>
      </w:r>
      <w:r>
        <w:rPr>
          <w:rFonts w:ascii="Arial MT" w:hAnsi="Arial MT"/>
          <w:color w:val="231F1F"/>
          <w:w w:val="110"/>
          <w:sz w:val="18"/>
        </w:rPr>
        <w:t>Series</w:t>
      </w:r>
      <w:r>
        <w:rPr>
          <w:rFonts w:ascii="Arial MT" w:hAnsi="Arial MT"/>
          <w:color w:val="231F1F"/>
          <w:spacing w:val="-13"/>
          <w:w w:val="110"/>
          <w:sz w:val="18"/>
        </w:rPr>
        <w:t> </w:t>
      </w:r>
      <w:r>
        <w:rPr>
          <w:rFonts w:ascii="Arial MT" w:hAnsi="Arial MT"/>
          <w:color w:val="231F1F"/>
          <w:w w:val="110"/>
          <w:sz w:val="18"/>
        </w:rPr>
        <w:t>de </w:t>
      </w:r>
      <w:r>
        <w:rPr>
          <w:color w:val="231F1F"/>
          <w:w w:val="110"/>
        </w:rPr>
        <w:t>parto en 1.473 mujeres de bajo riesgo. El objetivo del estudio fue identificar</w:t>
      </w:r>
      <w:r>
        <w:rPr>
          <w:color w:val="231F1F"/>
        </w:rPr>
        <w:tab/>
      </w:r>
      <w:r>
        <w:rPr>
          <w:rFonts w:ascii="Arial MT" w:hAnsi="Arial MT"/>
          <w:color w:val="231F1F"/>
          <w:spacing w:val="-4"/>
          <w:w w:val="110"/>
          <w:position w:val="4"/>
          <w:sz w:val="18"/>
        </w:rPr>
        <w:t>casos </w:t>
      </w:r>
      <w:r>
        <w:rPr>
          <w:color w:val="231F1F"/>
          <w:w w:val="110"/>
        </w:rPr>
        <w:t>diferencias entre los grupos étnicos de blancas no hispanas, hispanas y muje-</w:t>
      </w:r>
      <w:r>
        <w:rPr>
          <w:color w:val="231F1F"/>
        </w:rPr>
        <w:tab/>
        <w:tab/>
      </w:r>
      <w:r>
        <w:rPr>
          <w:rFonts w:ascii="Arial MT" w:hAnsi="Arial MT"/>
          <w:color w:val="231F1F"/>
          <w:spacing w:val="-10"/>
          <w:w w:val="110"/>
          <w:position w:val="7"/>
          <w:sz w:val="18"/>
        </w:rPr>
        <w:t>3</w:t>
      </w:r>
    </w:p>
    <w:p>
      <w:pPr>
        <w:pStyle w:val="BodyText"/>
        <w:spacing w:line="242" w:lineRule="auto"/>
        <w:ind w:left="283" w:right="1367"/>
        <w:jc w:val="both"/>
      </w:pPr>
      <w:r>
        <w:rPr>
          <w:color w:val="231F1F"/>
          <w:w w:val="105"/>
        </w:rPr>
        <w:t>res</w:t>
      </w:r>
      <w:r>
        <w:rPr>
          <w:color w:val="231F1F"/>
          <w:w w:val="105"/>
        </w:rPr>
        <w:t> indias</w:t>
      </w:r>
      <w:r>
        <w:rPr>
          <w:color w:val="231F1F"/>
          <w:w w:val="105"/>
        </w:rPr>
        <w:t> americanas.</w:t>
      </w:r>
      <w:r>
        <w:rPr>
          <w:color w:val="231F1F"/>
          <w:w w:val="105"/>
        </w:rPr>
        <w:t> La</w:t>
      </w:r>
      <w:r>
        <w:rPr>
          <w:color w:val="231F1F"/>
          <w:w w:val="105"/>
        </w:rPr>
        <w:t> duración</w:t>
      </w:r>
      <w:r>
        <w:rPr>
          <w:color w:val="231F1F"/>
          <w:w w:val="105"/>
        </w:rPr>
        <w:t> media</w:t>
      </w:r>
      <w:r>
        <w:rPr>
          <w:color w:val="231F1F"/>
          <w:w w:val="105"/>
        </w:rPr>
        <w:t> de</w:t>
      </w:r>
      <w:r>
        <w:rPr>
          <w:color w:val="231F1F"/>
          <w:w w:val="105"/>
        </w:rPr>
        <w:t> la</w:t>
      </w:r>
      <w:r>
        <w:rPr>
          <w:color w:val="231F1F"/>
          <w:w w:val="105"/>
        </w:rPr>
        <w:t> 2ª</w:t>
      </w:r>
      <w:r>
        <w:rPr>
          <w:color w:val="231F1F"/>
          <w:w w:val="105"/>
        </w:rPr>
        <w:t> etapa</w:t>
      </w:r>
      <w:r>
        <w:rPr>
          <w:color w:val="231F1F"/>
          <w:w w:val="105"/>
        </w:rPr>
        <w:t> del</w:t>
      </w:r>
      <w:r>
        <w:rPr>
          <w:color w:val="231F1F"/>
          <w:w w:val="105"/>
        </w:rPr>
        <w:t> parto</w:t>
      </w:r>
      <w:r>
        <w:rPr>
          <w:color w:val="231F1F"/>
          <w:w w:val="105"/>
        </w:rPr>
        <w:t> fue</w:t>
      </w:r>
      <w:r>
        <w:rPr>
          <w:color w:val="231F1F"/>
          <w:w w:val="105"/>
        </w:rPr>
        <w:t> de</w:t>
      </w:r>
      <w:r>
        <w:rPr>
          <w:color w:val="231F1F"/>
          <w:w w:val="105"/>
        </w:rPr>
        <w:t> 53 minutos (límite superior: 147 minutos) en nulíparas y 17 minutos (límite su- perior:</w:t>
      </w:r>
      <w:r>
        <w:rPr>
          <w:color w:val="231F1F"/>
          <w:w w:val="105"/>
        </w:rPr>
        <w:t> 57</w:t>
      </w:r>
      <w:r>
        <w:rPr>
          <w:color w:val="231F1F"/>
          <w:w w:val="105"/>
        </w:rPr>
        <w:t> minutos).</w:t>
      </w:r>
      <w:r>
        <w:rPr>
          <w:color w:val="231F1F"/>
          <w:w w:val="105"/>
        </w:rPr>
        <w:t> Las</w:t>
      </w:r>
      <w:r>
        <w:rPr>
          <w:color w:val="231F1F"/>
          <w:w w:val="105"/>
        </w:rPr>
        <w:t> nulíparas</w:t>
      </w:r>
      <w:r>
        <w:rPr>
          <w:color w:val="231F1F"/>
          <w:w w:val="105"/>
        </w:rPr>
        <w:t> indias</w:t>
      </w:r>
      <w:r>
        <w:rPr>
          <w:color w:val="231F1F"/>
          <w:w w:val="105"/>
        </w:rPr>
        <w:t> americanas</w:t>
      </w:r>
      <w:r>
        <w:rPr>
          <w:color w:val="231F1F"/>
          <w:w w:val="105"/>
        </w:rPr>
        <w:t> mostraban</w:t>
      </w:r>
      <w:r>
        <w:rPr>
          <w:color w:val="231F1F"/>
          <w:w w:val="105"/>
        </w:rPr>
        <w:t> un</w:t>
      </w:r>
      <w:r>
        <w:rPr>
          <w:color w:val="231F1F"/>
          <w:w w:val="105"/>
        </w:rPr>
        <w:t> duración significativamente más corta que las nulíparas blancas no hispanas; (p&lt;0,05).</w:t>
      </w:r>
    </w:p>
    <w:p>
      <w:pPr>
        <w:pStyle w:val="BodyText"/>
        <w:tabs>
          <w:tab w:pos="8168" w:val="left" w:leader="none"/>
        </w:tabs>
        <w:spacing w:line="242" w:lineRule="auto" w:before="44"/>
        <w:ind w:left="283" w:right="364" w:firstLine="453"/>
        <w:rPr>
          <w:rFonts w:ascii="Arial MT" w:hAnsi="Arial MT"/>
          <w:position w:val="7"/>
          <w:sz w:val="18"/>
        </w:rPr>
      </w:pPr>
      <w:r>
        <w:rPr>
          <w:color w:val="231F1F"/>
          <w:w w:val="110"/>
        </w:rPr>
        <w:t>Un</w:t>
      </w:r>
      <w:r>
        <w:rPr>
          <w:color w:val="231F1F"/>
          <w:spacing w:val="-16"/>
          <w:w w:val="110"/>
        </w:rPr>
        <w:t> </w:t>
      </w:r>
      <w:r>
        <w:rPr>
          <w:color w:val="231F1F"/>
          <w:w w:val="110"/>
        </w:rPr>
        <w:t>análisis</w:t>
      </w:r>
      <w:r>
        <w:rPr>
          <w:color w:val="231F1F"/>
          <w:spacing w:val="-14"/>
          <w:w w:val="110"/>
        </w:rPr>
        <w:t> </w:t>
      </w:r>
      <w:r>
        <w:rPr>
          <w:color w:val="231F1F"/>
          <w:w w:val="110"/>
        </w:rPr>
        <w:t>secundario</w:t>
      </w:r>
      <w:r>
        <w:rPr>
          <w:color w:val="231F1F"/>
          <w:spacing w:val="-11"/>
          <w:w w:val="110"/>
        </w:rPr>
        <w:t> </w:t>
      </w:r>
      <w:r>
        <w:rPr>
          <w:color w:val="231F1F"/>
          <w:w w:val="110"/>
        </w:rPr>
        <w:t>llevado</w:t>
      </w:r>
      <w:r>
        <w:rPr>
          <w:color w:val="231F1F"/>
          <w:spacing w:val="-10"/>
          <w:w w:val="110"/>
        </w:rPr>
        <w:t> </w:t>
      </w:r>
      <w:r>
        <w:rPr>
          <w:color w:val="231F1F"/>
          <w:w w:val="110"/>
        </w:rPr>
        <w:t>a</w:t>
      </w:r>
      <w:r>
        <w:rPr>
          <w:color w:val="231F1F"/>
          <w:spacing w:val="-11"/>
          <w:w w:val="110"/>
        </w:rPr>
        <w:t> </w:t>
      </w:r>
      <w:r>
        <w:rPr>
          <w:color w:val="231F1F"/>
          <w:w w:val="110"/>
        </w:rPr>
        <w:t>cabo</w:t>
      </w:r>
      <w:r>
        <w:rPr>
          <w:color w:val="231F1F"/>
          <w:spacing w:val="-11"/>
          <w:w w:val="110"/>
        </w:rPr>
        <w:t> </w:t>
      </w:r>
      <w:r>
        <w:rPr>
          <w:color w:val="231F1F"/>
          <w:w w:val="110"/>
        </w:rPr>
        <w:t>en</w:t>
      </w:r>
      <w:r>
        <w:rPr>
          <w:color w:val="231F1F"/>
          <w:spacing w:val="-11"/>
          <w:w w:val="110"/>
        </w:rPr>
        <w:t> </w:t>
      </w:r>
      <w:r>
        <w:rPr>
          <w:color w:val="231F1F"/>
          <w:w w:val="110"/>
        </w:rPr>
        <w:t>los</w:t>
      </w:r>
      <w:r>
        <w:rPr>
          <w:color w:val="231F1F"/>
          <w:spacing w:val="-12"/>
          <w:w w:val="110"/>
        </w:rPr>
        <w:t> </w:t>
      </w:r>
      <w:r>
        <w:rPr>
          <w:color w:val="231F1F"/>
          <w:w w:val="110"/>
        </w:rPr>
        <w:t>EEUU</w:t>
      </w:r>
      <w:r>
        <w:rPr>
          <w:color w:val="231F1F"/>
          <w:spacing w:val="-11"/>
          <w:w w:val="110"/>
        </w:rPr>
        <w:t> </w:t>
      </w:r>
      <w:r>
        <w:rPr>
          <w:color w:val="231F1F"/>
          <w:w w:val="110"/>
        </w:rPr>
        <w:t>(23),</w:t>
      </w:r>
      <w:r>
        <w:rPr>
          <w:color w:val="231F1F"/>
          <w:spacing w:val="-12"/>
          <w:w w:val="110"/>
        </w:rPr>
        <w:t> </w:t>
      </w:r>
      <w:r>
        <w:rPr>
          <w:color w:val="231F1F"/>
          <w:w w:val="110"/>
        </w:rPr>
        <w:t>utilizó</w:t>
      </w:r>
      <w:r>
        <w:rPr>
          <w:color w:val="231F1F"/>
          <w:spacing w:val="-11"/>
          <w:w w:val="110"/>
        </w:rPr>
        <w:t> </w:t>
      </w:r>
      <w:r>
        <w:rPr>
          <w:color w:val="231F1F"/>
          <w:w w:val="110"/>
        </w:rPr>
        <w:t>datos</w:t>
      </w:r>
      <w:r>
        <w:rPr>
          <w:color w:val="231F1F"/>
          <w:spacing w:val="-12"/>
          <w:w w:val="110"/>
        </w:rPr>
        <w:t> </w:t>
      </w:r>
      <w:r>
        <w:rPr>
          <w:color w:val="231F1F"/>
          <w:w w:val="110"/>
        </w:rPr>
        <w:t>de</w:t>
      </w:r>
      <w:r>
        <w:rPr>
          <w:color w:val="231F1F"/>
          <w:spacing w:val="-16"/>
          <w:w w:val="110"/>
        </w:rPr>
        <w:t> </w:t>
      </w:r>
      <w:r>
        <w:rPr>
          <w:rFonts w:ascii="Arial MT" w:hAnsi="Arial MT"/>
          <w:color w:val="231F1F"/>
          <w:w w:val="110"/>
          <w:sz w:val="18"/>
        </w:rPr>
        <w:t>Series</w:t>
      </w:r>
      <w:r>
        <w:rPr>
          <w:rFonts w:ascii="Arial MT" w:hAnsi="Arial MT"/>
          <w:color w:val="231F1F"/>
          <w:spacing w:val="-13"/>
          <w:w w:val="110"/>
          <w:sz w:val="18"/>
        </w:rPr>
        <w:t> </w:t>
      </w:r>
      <w:r>
        <w:rPr>
          <w:rFonts w:ascii="Arial MT" w:hAnsi="Arial MT"/>
          <w:color w:val="231F1F"/>
          <w:w w:val="110"/>
          <w:sz w:val="18"/>
        </w:rPr>
        <w:t>de </w:t>
      </w:r>
      <w:r>
        <w:rPr>
          <w:color w:val="231F1F"/>
          <w:w w:val="110"/>
        </w:rPr>
        <w:t>nacimientos ocurridos entre 1976-1987 para describir la duración del parto de</w:t>
      </w:r>
      <w:r>
        <w:rPr>
          <w:color w:val="231F1F"/>
          <w:spacing w:val="80"/>
          <w:w w:val="110"/>
        </w:rPr>
        <w:t> </w:t>
      </w:r>
      <w:r>
        <w:rPr>
          <w:rFonts w:ascii="Arial MT" w:hAnsi="Arial MT"/>
          <w:color w:val="231F1F"/>
          <w:w w:val="110"/>
          <w:position w:val="4"/>
          <w:sz w:val="18"/>
        </w:rPr>
        <w:t>casos </w:t>
      </w:r>
      <w:r>
        <w:rPr>
          <w:color w:val="231F1F"/>
          <w:w w:val="110"/>
        </w:rPr>
        <w:t>6.991 mujeres. Se analizaron cuatro subgrupos de mujeres: nulíparas y multí-</w:t>
      </w:r>
      <w:r>
        <w:rPr>
          <w:color w:val="231F1F"/>
        </w:rPr>
        <w:tab/>
      </w:r>
      <w:r>
        <w:rPr>
          <w:rFonts w:ascii="Arial MT" w:hAnsi="Arial MT"/>
          <w:color w:val="231F1F"/>
          <w:spacing w:val="-10"/>
          <w:w w:val="110"/>
          <w:position w:val="7"/>
          <w:sz w:val="18"/>
        </w:rPr>
        <w:t>3</w:t>
      </w:r>
    </w:p>
    <w:p>
      <w:pPr>
        <w:pStyle w:val="BodyText"/>
        <w:spacing w:line="242" w:lineRule="auto" w:before="3"/>
        <w:ind w:left="283" w:right="1366"/>
        <w:jc w:val="both"/>
      </w:pPr>
      <w:r>
        <w:rPr>
          <w:color w:val="231F1F"/>
          <w:w w:val="105"/>
        </w:rPr>
        <w:t>paras</w:t>
      </w:r>
      <w:r>
        <w:rPr>
          <w:color w:val="231F1F"/>
          <w:spacing w:val="-1"/>
          <w:w w:val="105"/>
        </w:rPr>
        <w:t> </w:t>
      </w:r>
      <w:r>
        <w:rPr>
          <w:color w:val="231F1F"/>
          <w:w w:val="105"/>
        </w:rPr>
        <w:t>con o sin</w:t>
      </w:r>
      <w:r>
        <w:rPr>
          <w:color w:val="231F1F"/>
          <w:spacing w:val="-1"/>
          <w:w w:val="105"/>
        </w:rPr>
        <w:t> </w:t>
      </w:r>
      <w:r>
        <w:rPr>
          <w:color w:val="231F1F"/>
          <w:w w:val="105"/>
        </w:rPr>
        <w:t>anestesia (en el</w:t>
      </w:r>
      <w:r>
        <w:rPr>
          <w:color w:val="231F1F"/>
          <w:spacing w:val="-1"/>
          <w:w w:val="105"/>
        </w:rPr>
        <w:t> </w:t>
      </w:r>
      <w:r>
        <w:rPr>
          <w:color w:val="231F1F"/>
          <w:w w:val="105"/>
        </w:rPr>
        <w:t>95% de</w:t>
      </w:r>
      <w:r>
        <w:rPr>
          <w:color w:val="231F1F"/>
          <w:spacing w:val="-1"/>
          <w:w w:val="105"/>
        </w:rPr>
        <w:t> </w:t>
      </w:r>
      <w:r>
        <w:rPr>
          <w:color w:val="231F1F"/>
          <w:w w:val="105"/>
        </w:rPr>
        <w:t>los casos epidural). La duración</w:t>
      </w:r>
      <w:r>
        <w:rPr>
          <w:color w:val="231F1F"/>
          <w:spacing w:val="-1"/>
          <w:w w:val="105"/>
        </w:rPr>
        <w:t> </w:t>
      </w:r>
      <w:r>
        <w:rPr>
          <w:color w:val="231F1F"/>
          <w:w w:val="105"/>
        </w:rPr>
        <w:t>media y los límites superiores</w:t>
      </w:r>
      <w:r>
        <w:rPr>
          <w:color w:val="231F1F"/>
          <w:spacing w:val="-1"/>
          <w:w w:val="105"/>
        </w:rPr>
        <w:t> </w:t>
      </w:r>
      <w:r>
        <w:rPr>
          <w:color w:val="231F1F"/>
          <w:w w:val="105"/>
        </w:rPr>
        <w:t>(percentil 95) de la 2ª etapa del parto</w:t>
      </w:r>
      <w:r>
        <w:rPr>
          <w:color w:val="231F1F"/>
          <w:spacing w:val="-1"/>
          <w:w w:val="105"/>
        </w:rPr>
        <w:t> </w:t>
      </w:r>
      <w:r>
        <w:rPr>
          <w:color w:val="231F1F"/>
          <w:w w:val="105"/>
        </w:rPr>
        <w:t>fueron: nulíparas sin anestesia: 54 minutos (132 minutos), nulíparas con anestesia: 79 minutos (185 minutos), multíparas sin anestesia: 19 minutos (61 minutos) y multíparas con anestesia: 45 minutos (131 minutos).</w:t>
      </w:r>
    </w:p>
    <w:p>
      <w:pPr>
        <w:pStyle w:val="BodyText"/>
        <w:spacing w:after="0" w:line="242" w:lineRule="auto"/>
        <w:jc w:val="both"/>
        <w:sectPr>
          <w:pgSz w:w="11900" w:h="16840"/>
          <w:pgMar w:header="0" w:footer="622" w:top="1560" w:bottom="820" w:left="1417" w:right="1559"/>
        </w:sectPr>
      </w:pPr>
    </w:p>
    <w:p>
      <w:pPr>
        <w:pStyle w:val="BodyText"/>
        <w:spacing w:line="247" w:lineRule="auto" w:before="73"/>
        <w:ind w:left="283" w:firstLine="453"/>
        <w:jc w:val="both"/>
      </w:pPr>
      <w:r>
        <w:rPr/>
        <mc:AlternateContent>
          <mc:Choice Requires="wps">
            <w:drawing>
              <wp:anchor distT="0" distB="0" distL="0" distR="0" allowOverlap="1" layoutInCell="1" locked="0" behindDoc="0" simplePos="0" relativeHeight="15748096">
                <wp:simplePos x="0" y="0"/>
                <wp:positionH relativeFrom="page">
                  <wp:posOffset>1043939</wp:posOffset>
                </wp:positionH>
                <wp:positionV relativeFrom="paragraph">
                  <wp:posOffset>862583</wp:posOffset>
                </wp:positionV>
                <wp:extent cx="4697095" cy="80772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697095" cy="807720"/>
                        </a:xfrm>
                        <a:prstGeom prst="rect">
                          <a:avLst/>
                        </a:prstGeom>
                      </wps:spPr>
                      <wps:txbx>
                        <w:txbxContent>
                          <w:tbl>
                            <w:tblPr>
                              <w:tblW w:w="0" w:type="auto"/>
                              <w:jc w:val="left"/>
                              <w:tblInd w:w="67"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2424"/>
                              <w:gridCol w:w="2419"/>
                              <w:gridCol w:w="2424"/>
                            </w:tblGrid>
                            <w:tr>
                              <w:trPr>
                                <w:trHeight w:val="542" w:hRule="atLeast"/>
                              </w:trPr>
                              <w:tc>
                                <w:tcPr>
                                  <w:tcW w:w="2424" w:type="dxa"/>
                                  <w:tcBorders>
                                    <w:top w:val="nil"/>
                                    <w:left w:val="nil"/>
                                  </w:tcBorders>
                                </w:tcPr>
                                <w:p>
                                  <w:pPr>
                                    <w:pStyle w:val="TableParagraph"/>
                                    <w:ind w:left="0"/>
                                    <w:rPr>
                                      <w:sz w:val="22"/>
                                    </w:rPr>
                                  </w:pPr>
                                </w:p>
                              </w:tc>
                              <w:tc>
                                <w:tcPr>
                                  <w:tcW w:w="2419" w:type="dxa"/>
                                  <w:shd w:val="clear" w:color="auto" w:fill="E8C3C8"/>
                                </w:tcPr>
                                <w:p>
                                  <w:pPr>
                                    <w:pStyle w:val="TableParagraph"/>
                                    <w:spacing w:line="232" w:lineRule="auto" w:before="61"/>
                                    <w:ind w:left="830" w:right="82" w:hanging="71"/>
                                    <w:rPr>
                                      <w:rFonts w:ascii="Arial MT"/>
                                      <w:sz w:val="18"/>
                                    </w:rPr>
                                  </w:pPr>
                                  <w:r>
                                    <w:rPr>
                                      <w:rFonts w:ascii="Arial MT"/>
                                      <w:color w:val="231F1F"/>
                                      <w:spacing w:val="-4"/>
                                      <w:sz w:val="18"/>
                                    </w:rPr>
                                    <w:t>Media</w:t>
                                  </w:r>
                                  <w:r>
                                    <w:rPr>
                                      <w:rFonts w:ascii="Arial MT"/>
                                      <w:color w:val="231F1F"/>
                                      <w:spacing w:val="-19"/>
                                      <w:sz w:val="18"/>
                                    </w:rPr>
                                    <w:t> </w:t>
                                  </w:r>
                                  <w:r>
                                    <w:rPr>
                                      <w:rFonts w:ascii="Arial MT"/>
                                      <w:color w:val="231F1F"/>
                                      <w:spacing w:val="-4"/>
                                      <w:sz w:val="18"/>
                                    </w:rPr>
                                    <w:t>(DE) </w:t>
                                  </w:r>
                                  <w:r>
                                    <w:rPr>
                                      <w:rFonts w:ascii="Arial MT"/>
                                      <w:color w:val="231F1F"/>
                                      <w:spacing w:val="-2"/>
                                      <w:sz w:val="18"/>
                                    </w:rPr>
                                    <w:t>(minutos)</w:t>
                                  </w:r>
                                </w:p>
                              </w:tc>
                              <w:tc>
                                <w:tcPr>
                                  <w:tcW w:w="2424" w:type="dxa"/>
                                  <w:shd w:val="clear" w:color="auto" w:fill="E8C3C8"/>
                                </w:tcPr>
                                <w:p>
                                  <w:pPr>
                                    <w:pStyle w:val="TableParagraph"/>
                                    <w:spacing w:line="232" w:lineRule="auto" w:before="61"/>
                                    <w:ind w:left="256" w:firstLine="342"/>
                                    <w:rPr>
                                      <w:rFonts w:ascii="Arial MT" w:hAnsi="Arial MT"/>
                                      <w:sz w:val="18"/>
                                    </w:rPr>
                                  </w:pPr>
                                  <w:r>
                                    <w:rPr>
                                      <w:rFonts w:ascii="Arial MT" w:hAnsi="Arial MT"/>
                                      <w:color w:val="231F1F"/>
                                      <w:sz w:val="18"/>
                                    </w:rPr>
                                    <w:t>Límite superior </w:t>
                                  </w:r>
                                  <w:r>
                                    <w:rPr>
                                      <w:rFonts w:ascii="Arial MT" w:hAnsi="Arial MT"/>
                                      <w:color w:val="231F1F"/>
                                      <w:spacing w:val="-4"/>
                                      <w:sz w:val="18"/>
                                    </w:rPr>
                                    <w:t>(media+2SDs)</w:t>
                                  </w:r>
                                  <w:r>
                                    <w:rPr>
                                      <w:rFonts w:ascii="Arial MT" w:hAnsi="Arial MT"/>
                                      <w:color w:val="231F1F"/>
                                      <w:spacing w:val="-17"/>
                                      <w:sz w:val="18"/>
                                    </w:rPr>
                                    <w:t> </w:t>
                                  </w:r>
                                  <w:r>
                                    <w:rPr>
                                      <w:rFonts w:ascii="Arial MT" w:hAnsi="Arial MT"/>
                                      <w:color w:val="231F1F"/>
                                      <w:spacing w:val="-4"/>
                                      <w:sz w:val="18"/>
                                    </w:rPr>
                                    <w:t>(minutos)</w:t>
                                  </w:r>
                                </w:p>
                              </w:tc>
                            </w:tr>
                            <w:tr>
                              <w:trPr>
                                <w:trHeight w:val="345" w:hRule="atLeast"/>
                              </w:trPr>
                              <w:tc>
                                <w:tcPr>
                                  <w:tcW w:w="2424" w:type="dxa"/>
                                </w:tcPr>
                                <w:p>
                                  <w:pPr>
                                    <w:pStyle w:val="TableParagraph"/>
                                    <w:spacing w:before="66"/>
                                    <w:ind w:left="87"/>
                                    <w:rPr>
                                      <w:rFonts w:ascii="Arial MT" w:hAnsi="Arial MT"/>
                                      <w:sz w:val="18"/>
                                    </w:rPr>
                                  </w:pPr>
                                  <w:r>
                                    <w:rPr>
                                      <w:rFonts w:ascii="Arial MT" w:hAnsi="Arial MT"/>
                                      <w:color w:val="231F1F"/>
                                      <w:w w:val="90"/>
                                      <w:sz w:val="18"/>
                                    </w:rPr>
                                    <w:t>Nulíparas</w:t>
                                  </w:r>
                                  <w:r>
                                    <w:rPr>
                                      <w:rFonts w:ascii="Arial MT" w:hAnsi="Arial MT"/>
                                      <w:color w:val="231F1F"/>
                                      <w:spacing w:val="5"/>
                                      <w:sz w:val="18"/>
                                    </w:rPr>
                                    <w:t> </w:t>
                                  </w:r>
                                  <w:r>
                                    <w:rPr>
                                      <w:rFonts w:ascii="Arial MT" w:hAnsi="Arial MT"/>
                                      <w:color w:val="231F1F"/>
                                      <w:spacing w:val="-2"/>
                                      <w:sz w:val="18"/>
                                    </w:rPr>
                                    <w:t>(n=3.664)</w:t>
                                  </w:r>
                                </w:p>
                              </w:tc>
                              <w:tc>
                                <w:tcPr>
                                  <w:tcW w:w="2419" w:type="dxa"/>
                                </w:tcPr>
                                <w:p>
                                  <w:pPr>
                                    <w:pStyle w:val="TableParagraph"/>
                                    <w:spacing w:before="66"/>
                                    <w:ind w:left="29"/>
                                    <w:jc w:val="center"/>
                                    <w:rPr>
                                      <w:rFonts w:ascii="Arial MT"/>
                                      <w:sz w:val="18"/>
                                    </w:rPr>
                                  </w:pPr>
                                  <w:r>
                                    <w:rPr>
                                      <w:rFonts w:ascii="Arial MT"/>
                                      <w:color w:val="231F1F"/>
                                      <w:sz w:val="18"/>
                                    </w:rPr>
                                    <w:t>54</w:t>
                                  </w:r>
                                  <w:r>
                                    <w:rPr>
                                      <w:rFonts w:ascii="Arial MT"/>
                                      <w:color w:val="231F1F"/>
                                      <w:spacing w:val="-8"/>
                                      <w:sz w:val="18"/>
                                    </w:rPr>
                                    <w:t> </w:t>
                                  </w:r>
                                  <w:r>
                                    <w:rPr>
                                      <w:rFonts w:ascii="Arial MT"/>
                                      <w:color w:val="231F1F"/>
                                      <w:spacing w:val="-4"/>
                                      <w:sz w:val="18"/>
                                    </w:rPr>
                                    <w:t>(44)</w:t>
                                  </w:r>
                                </w:p>
                              </w:tc>
                              <w:tc>
                                <w:tcPr>
                                  <w:tcW w:w="2424" w:type="dxa"/>
                                </w:tcPr>
                                <w:p>
                                  <w:pPr>
                                    <w:pStyle w:val="TableParagraph"/>
                                    <w:spacing w:before="66"/>
                                    <w:ind w:left="115" w:right="90"/>
                                    <w:jc w:val="center"/>
                                    <w:rPr>
                                      <w:rFonts w:ascii="Arial MT"/>
                                      <w:sz w:val="18"/>
                                    </w:rPr>
                                  </w:pPr>
                                  <w:r>
                                    <w:rPr>
                                      <w:rFonts w:ascii="Arial MT"/>
                                      <w:color w:val="231F1F"/>
                                      <w:spacing w:val="-5"/>
                                      <w:sz w:val="18"/>
                                    </w:rPr>
                                    <w:t>142</w:t>
                                  </w:r>
                                </w:p>
                              </w:tc>
                            </w:tr>
                            <w:tr>
                              <w:trPr>
                                <w:trHeight w:val="345" w:hRule="atLeast"/>
                              </w:trPr>
                              <w:tc>
                                <w:tcPr>
                                  <w:tcW w:w="2424" w:type="dxa"/>
                                </w:tcPr>
                                <w:p>
                                  <w:pPr>
                                    <w:pStyle w:val="TableParagraph"/>
                                    <w:spacing w:before="66"/>
                                    <w:ind w:left="87"/>
                                    <w:rPr>
                                      <w:rFonts w:ascii="Arial MT" w:hAnsi="Arial MT"/>
                                      <w:sz w:val="18"/>
                                    </w:rPr>
                                  </w:pPr>
                                  <w:r>
                                    <w:rPr>
                                      <w:rFonts w:ascii="Arial MT" w:hAnsi="Arial MT"/>
                                      <w:color w:val="231F1F"/>
                                      <w:spacing w:val="-6"/>
                                      <w:sz w:val="18"/>
                                    </w:rPr>
                                    <w:t>Multíparas</w:t>
                                  </w:r>
                                  <w:r>
                                    <w:rPr>
                                      <w:rFonts w:ascii="Arial MT" w:hAnsi="Arial MT"/>
                                      <w:color w:val="231F1F"/>
                                      <w:spacing w:val="-1"/>
                                      <w:sz w:val="18"/>
                                    </w:rPr>
                                    <w:t> </w:t>
                                  </w:r>
                                  <w:r>
                                    <w:rPr>
                                      <w:rFonts w:ascii="Arial MT" w:hAnsi="Arial MT"/>
                                      <w:color w:val="231F1F"/>
                                      <w:spacing w:val="-2"/>
                                      <w:sz w:val="18"/>
                                    </w:rPr>
                                    <w:t>(n=6.389)</w:t>
                                  </w:r>
                                </w:p>
                              </w:tc>
                              <w:tc>
                                <w:tcPr>
                                  <w:tcW w:w="2419" w:type="dxa"/>
                                </w:tcPr>
                                <w:p>
                                  <w:pPr>
                                    <w:pStyle w:val="TableParagraph"/>
                                    <w:spacing w:before="66"/>
                                    <w:ind w:left="29"/>
                                    <w:jc w:val="center"/>
                                    <w:rPr>
                                      <w:rFonts w:ascii="Arial MT"/>
                                      <w:sz w:val="18"/>
                                    </w:rPr>
                                  </w:pPr>
                                  <w:r>
                                    <w:rPr>
                                      <w:rFonts w:ascii="Arial MT"/>
                                      <w:color w:val="231F1F"/>
                                      <w:sz w:val="18"/>
                                    </w:rPr>
                                    <w:t>18</w:t>
                                  </w:r>
                                  <w:r>
                                    <w:rPr>
                                      <w:rFonts w:ascii="Arial MT"/>
                                      <w:color w:val="231F1F"/>
                                      <w:spacing w:val="-8"/>
                                      <w:sz w:val="18"/>
                                    </w:rPr>
                                    <w:t> </w:t>
                                  </w:r>
                                  <w:r>
                                    <w:rPr>
                                      <w:rFonts w:ascii="Arial MT"/>
                                      <w:color w:val="231F1F"/>
                                      <w:spacing w:val="-4"/>
                                      <w:sz w:val="18"/>
                                    </w:rPr>
                                    <w:t>(21)</w:t>
                                  </w:r>
                                </w:p>
                              </w:tc>
                              <w:tc>
                                <w:tcPr>
                                  <w:tcW w:w="2424" w:type="dxa"/>
                                </w:tcPr>
                                <w:p>
                                  <w:pPr>
                                    <w:pStyle w:val="TableParagraph"/>
                                    <w:spacing w:before="66"/>
                                    <w:ind w:left="115"/>
                                    <w:jc w:val="center"/>
                                    <w:rPr>
                                      <w:rFonts w:ascii="Arial MT"/>
                                      <w:sz w:val="18"/>
                                    </w:rPr>
                                  </w:pPr>
                                  <w:r>
                                    <w:rPr>
                                      <w:rFonts w:ascii="Arial MT"/>
                                      <w:color w:val="231F1F"/>
                                      <w:spacing w:val="-5"/>
                                      <w:sz w:val="18"/>
                                    </w:rPr>
                                    <w:t>60</w:t>
                                  </w:r>
                                </w:p>
                              </w:tc>
                            </w:tr>
                          </w:tbl>
                          <w:p>
                            <w:pPr>
                              <w:pStyle w:val="BodyText"/>
                            </w:pPr>
                          </w:p>
                        </w:txbxContent>
                      </wps:txbx>
                      <wps:bodyPr wrap="square" lIns="0" tIns="0" rIns="0" bIns="0" rtlCol="0">
                        <a:noAutofit/>
                      </wps:bodyPr>
                    </wps:wsp>
                  </a:graphicData>
                </a:graphic>
              </wp:anchor>
            </w:drawing>
          </mc:Choice>
          <mc:Fallback>
            <w:pict>
              <v:shape style="position:absolute;margin-left:82.199997pt;margin-top:67.919998pt;width:369.85pt;height:63.6pt;mso-position-horizontal-relative:page;mso-position-vertical-relative:paragraph;z-index:15748096" type="#_x0000_t202" id="docshape77" filled="false" stroked="false">
                <v:textbox inset="0,0,0,0">
                  <w:txbxContent>
                    <w:tbl>
                      <w:tblPr>
                        <w:tblW w:w="0" w:type="auto"/>
                        <w:jc w:val="left"/>
                        <w:tblInd w:w="67"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2424"/>
                        <w:gridCol w:w="2419"/>
                        <w:gridCol w:w="2424"/>
                      </w:tblGrid>
                      <w:tr>
                        <w:trPr>
                          <w:trHeight w:val="542" w:hRule="atLeast"/>
                        </w:trPr>
                        <w:tc>
                          <w:tcPr>
                            <w:tcW w:w="2424" w:type="dxa"/>
                            <w:tcBorders>
                              <w:top w:val="nil"/>
                              <w:left w:val="nil"/>
                            </w:tcBorders>
                          </w:tcPr>
                          <w:p>
                            <w:pPr>
                              <w:pStyle w:val="TableParagraph"/>
                              <w:ind w:left="0"/>
                              <w:rPr>
                                <w:sz w:val="22"/>
                              </w:rPr>
                            </w:pPr>
                          </w:p>
                        </w:tc>
                        <w:tc>
                          <w:tcPr>
                            <w:tcW w:w="2419" w:type="dxa"/>
                            <w:shd w:val="clear" w:color="auto" w:fill="E8C3C8"/>
                          </w:tcPr>
                          <w:p>
                            <w:pPr>
                              <w:pStyle w:val="TableParagraph"/>
                              <w:spacing w:line="232" w:lineRule="auto" w:before="61"/>
                              <w:ind w:left="830" w:right="82" w:hanging="71"/>
                              <w:rPr>
                                <w:rFonts w:ascii="Arial MT"/>
                                <w:sz w:val="18"/>
                              </w:rPr>
                            </w:pPr>
                            <w:r>
                              <w:rPr>
                                <w:rFonts w:ascii="Arial MT"/>
                                <w:color w:val="231F1F"/>
                                <w:spacing w:val="-4"/>
                                <w:sz w:val="18"/>
                              </w:rPr>
                              <w:t>Media</w:t>
                            </w:r>
                            <w:r>
                              <w:rPr>
                                <w:rFonts w:ascii="Arial MT"/>
                                <w:color w:val="231F1F"/>
                                <w:spacing w:val="-19"/>
                                <w:sz w:val="18"/>
                              </w:rPr>
                              <w:t> </w:t>
                            </w:r>
                            <w:r>
                              <w:rPr>
                                <w:rFonts w:ascii="Arial MT"/>
                                <w:color w:val="231F1F"/>
                                <w:spacing w:val="-4"/>
                                <w:sz w:val="18"/>
                              </w:rPr>
                              <w:t>(DE) </w:t>
                            </w:r>
                            <w:r>
                              <w:rPr>
                                <w:rFonts w:ascii="Arial MT"/>
                                <w:color w:val="231F1F"/>
                                <w:spacing w:val="-2"/>
                                <w:sz w:val="18"/>
                              </w:rPr>
                              <w:t>(minutos)</w:t>
                            </w:r>
                          </w:p>
                        </w:tc>
                        <w:tc>
                          <w:tcPr>
                            <w:tcW w:w="2424" w:type="dxa"/>
                            <w:shd w:val="clear" w:color="auto" w:fill="E8C3C8"/>
                          </w:tcPr>
                          <w:p>
                            <w:pPr>
                              <w:pStyle w:val="TableParagraph"/>
                              <w:spacing w:line="232" w:lineRule="auto" w:before="61"/>
                              <w:ind w:left="256" w:firstLine="342"/>
                              <w:rPr>
                                <w:rFonts w:ascii="Arial MT" w:hAnsi="Arial MT"/>
                                <w:sz w:val="18"/>
                              </w:rPr>
                            </w:pPr>
                            <w:r>
                              <w:rPr>
                                <w:rFonts w:ascii="Arial MT" w:hAnsi="Arial MT"/>
                                <w:color w:val="231F1F"/>
                                <w:sz w:val="18"/>
                              </w:rPr>
                              <w:t>Límite superior </w:t>
                            </w:r>
                            <w:r>
                              <w:rPr>
                                <w:rFonts w:ascii="Arial MT" w:hAnsi="Arial MT"/>
                                <w:color w:val="231F1F"/>
                                <w:spacing w:val="-4"/>
                                <w:sz w:val="18"/>
                              </w:rPr>
                              <w:t>(media+2SDs)</w:t>
                            </w:r>
                            <w:r>
                              <w:rPr>
                                <w:rFonts w:ascii="Arial MT" w:hAnsi="Arial MT"/>
                                <w:color w:val="231F1F"/>
                                <w:spacing w:val="-17"/>
                                <w:sz w:val="18"/>
                              </w:rPr>
                              <w:t> </w:t>
                            </w:r>
                            <w:r>
                              <w:rPr>
                                <w:rFonts w:ascii="Arial MT" w:hAnsi="Arial MT"/>
                                <w:color w:val="231F1F"/>
                                <w:spacing w:val="-4"/>
                                <w:sz w:val="18"/>
                              </w:rPr>
                              <w:t>(minutos)</w:t>
                            </w:r>
                          </w:p>
                        </w:tc>
                      </w:tr>
                      <w:tr>
                        <w:trPr>
                          <w:trHeight w:val="345" w:hRule="atLeast"/>
                        </w:trPr>
                        <w:tc>
                          <w:tcPr>
                            <w:tcW w:w="2424" w:type="dxa"/>
                          </w:tcPr>
                          <w:p>
                            <w:pPr>
                              <w:pStyle w:val="TableParagraph"/>
                              <w:spacing w:before="66"/>
                              <w:ind w:left="87"/>
                              <w:rPr>
                                <w:rFonts w:ascii="Arial MT" w:hAnsi="Arial MT"/>
                                <w:sz w:val="18"/>
                              </w:rPr>
                            </w:pPr>
                            <w:r>
                              <w:rPr>
                                <w:rFonts w:ascii="Arial MT" w:hAnsi="Arial MT"/>
                                <w:color w:val="231F1F"/>
                                <w:w w:val="90"/>
                                <w:sz w:val="18"/>
                              </w:rPr>
                              <w:t>Nulíparas</w:t>
                            </w:r>
                            <w:r>
                              <w:rPr>
                                <w:rFonts w:ascii="Arial MT" w:hAnsi="Arial MT"/>
                                <w:color w:val="231F1F"/>
                                <w:spacing w:val="5"/>
                                <w:sz w:val="18"/>
                              </w:rPr>
                              <w:t> </w:t>
                            </w:r>
                            <w:r>
                              <w:rPr>
                                <w:rFonts w:ascii="Arial MT" w:hAnsi="Arial MT"/>
                                <w:color w:val="231F1F"/>
                                <w:spacing w:val="-2"/>
                                <w:sz w:val="18"/>
                              </w:rPr>
                              <w:t>(n=3.664)</w:t>
                            </w:r>
                          </w:p>
                        </w:tc>
                        <w:tc>
                          <w:tcPr>
                            <w:tcW w:w="2419" w:type="dxa"/>
                          </w:tcPr>
                          <w:p>
                            <w:pPr>
                              <w:pStyle w:val="TableParagraph"/>
                              <w:spacing w:before="66"/>
                              <w:ind w:left="29"/>
                              <w:jc w:val="center"/>
                              <w:rPr>
                                <w:rFonts w:ascii="Arial MT"/>
                                <w:sz w:val="18"/>
                              </w:rPr>
                            </w:pPr>
                            <w:r>
                              <w:rPr>
                                <w:rFonts w:ascii="Arial MT"/>
                                <w:color w:val="231F1F"/>
                                <w:sz w:val="18"/>
                              </w:rPr>
                              <w:t>54</w:t>
                            </w:r>
                            <w:r>
                              <w:rPr>
                                <w:rFonts w:ascii="Arial MT"/>
                                <w:color w:val="231F1F"/>
                                <w:spacing w:val="-8"/>
                                <w:sz w:val="18"/>
                              </w:rPr>
                              <w:t> </w:t>
                            </w:r>
                            <w:r>
                              <w:rPr>
                                <w:rFonts w:ascii="Arial MT"/>
                                <w:color w:val="231F1F"/>
                                <w:spacing w:val="-4"/>
                                <w:sz w:val="18"/>
                              </w:rPr>
                              <w:t>(44)</w:t>
                            </w:r>
                          </w:p>
                        </w:tc>
                        <w:tc>
                          <w:tcPr>
                            <w:tcW w:w="2424" w:type="dxa"/>
                          </w:tcPr>
                          <w:p>
                            <w:pPr>
                              <w:pStyle w:val="TableParagraph"/>
                              <w:spacing w:before="66"/>
                              <w:ind w:left="115" w:right="90"/>
                              <w:jc w:val="center"/>
                              <w:rPr>
                                <w:rFonts w:ascii="Arial MT"/>
                                <w:sz w:val="18"/>
                              </w:rPr>
                            </w:pPr>
                            <w:r>
                              <w:rPr>
                                <w:rFonts w:ascii="Arial MT"/>
                                <w:color w:val="231F1F"/>
                                <w:spacing w:val="-5"/>
                                <w:sz w:val="18"/>
                              </w:rPr>
                              <w:t>142</w:t>
                            </w:r>
                          </w:p>
                        </w:tc>
                      </w:tr>
                      <w:tr>
                        <w:trPr>
                          <w:trHeight w:val="345" w:hRule="atLeast"/>
                        </w:trPr>
                        <w:tc>
                          <w:tcPr>
                            <w:tcW w:w="2424" w:type="dxa"/>
                          </w:tcPr>
                          <w:p>
                            <w:pPr>
                              <w:pStyle w:val="TableParagraph"/>
                              <w:spacing w:before="66"/>
                              <w:ind w:left="87"/>
                              <w:rPr>
                                <w:rFonts w:ascii="Arial MT" w:hAnsi="Arial MT"/>
                                <w:sz w:val="18"/>
                              </w:rPr>
                            </w:pPr>
                            <w:r>
                              <w:rPr>
                                <w:rFonts w:ascii="Arial MT" w:hAnsi="Arial MT"/>
                                <w:color w:val="231F1F"/>
                                <w:spacing w:val="-6"/>
                                <w:sz w:val="18"/>
                              </w:rPr>
                              <w:t>Multíparas</w:t>
                            </w:r>
                            <w:r>
                              <w:rPr>
                                <w:rFonts w:ascii="Arial MT" w:hAnsi="Arial MT"/>
                                <w:color w:val="231F1F"/>
                                <w:spacing w:val="-1"/>
                                <w:sz w:val="18"/>
                              </w:rPr>
                              <w:t> </w:t>
                            </w:r>
                            <w:r>
                              <w:rPr>
                                <w:rFonts w:ascii="Arial MT" w:hAnsi="Arial MT"/>
                                <w:color w:val="231F1F"/>
                                <w:spacing w:val="-2"/>
                                <w:sz w:val="18"/>
                              </w:rPr>
                              <w:t>(n=6.389)</w:t>
                            </w:r>
                          </w:p>
                        </w:tc>
                        <w:tc>
                          <w:tcPr>
                            <w:tcW w:w="2419" w:type="dxa"/>
                          </w:tcPr>
                          <w:p>
                            <w:pPr>
                              <w:pStyle w:val="TableParagraph"/>
                              <w:spacing w:before="66"/>
                              <w:ind w:left="29"/>
                              <w:jc w:val="center"/>
                              <w:rPr>
                                <w:rFonts w:ascii="Arial MT"/>
                                <w:sz w:val="18"/>
                              </w:rPr>
                            </w:pPr>
                            <w:r>
                              <w:rPr>
                                <w:rFonts w:ascii="Arial MT"/>
                                <w:color w:val="231F1F"/>
                                <w:sz w:val="18"/>
                              </w:rPr>
                              <w:t>18</w:t>
                            </w:r>
                            <w:r>
                              <w:rPr>
                                <w:rFonts w:ascii="Arial MT"/>
                                <w:color w:val="231F1F"/>
                                <w:spacing w:val="-8"/>
                                <w:sz w:val="18"/>
                              </w:rPr>
                              <w:t> </w:t>
                            </w:r>
                            <w:r>
                              <w:rPr>
                                <w:rFonts w:ascii="Arial MT"/>
                                <w:color w:val="231F1F"/>
                                <w:spacing w:val="-4"/>
                                <w:sz w:val="18"/>
                              </w:rPr>
                              <w:t>(21)</w:t>
                            </w:r>
                          </w:p>
                        </w:tc>
                        <w:tc>
                          <w:tcPr>
                            <w:tcW w:w="2424" w:type="dxa"/>
                          </w:tcPr>
                          <w:p>
                            <w:pPr>
                              <w:pStyle w:val="TableParagraph"/>
                              <w:spacing w:before="66"/>
                              <w:ind w:left="115"/>
                              <w:jc w:val="center"/>
                              <w:rPr>
                                <w:rFonts w:ascii="Arial MT"/>
                                <w:sz w:val="18"/>
                              </w:rPr>
                            </w:pPr>
                            <w:r>
                              <w:rPr>
                                <w:rFonts w:ascii="Arial MT"/>
                                <w:color w:val="231F1F"/>
                                <w:spacing w:val="-5"/>
                                <w:sz w:val="18"/>
                              </w:rPr>
                              <w:t>60</w:t>
                            </w:r>
                          </w:p>
                        </w:tc>
                      </w:tr>
                    </w:tbl>
                    <w:p>
                      <w:pPr>
                        <w:pStyle w:val="BodyText"/>
                      </w:pPr>
                    </w:p>
                  </w:txbxContent>
                </v:textbox>
                <w10:wrap type="none"/>
              </v:shape>
            </w:pict>
          </mc:Fallback>
        </mc:AlternateContent>
      </w:r>
      <w:r>
        <w:rPr>
          <w:color w:val="231F1F"/>
          <w:w w:val="105"/>
        </w:rPr>
        <w:t>En</w:t>
      </w:r>
      <w:r>
        <w:rPr>
          <w:color w:val="231F1F"/>
          <w:w w:val="105"/>
        </w:rPr>
        <w:t> la</w:t>
      </w:r>
      <w:r>
        <w:rPr>
          <w:color w:val="231F1F"/>
          <w:w w:val="105"/>
        </w:rPr>
        <w:t> siguiente</w:t>
      </w:r>
      <w:r>
        <w:rPr>
          <w:color w:val="231F1F"/>
          <w:w w:val="105"/>
        </w:rPr>
        <w:t> tabla</w:t>
      </w:r>
      <w:r>
        <w:rPr>
          <w:color w:val="231F1F"/>
          <w:w w:val="105"/>
        </w:rPr>
        <w:t> se</w:t>
      </w:r>
      <w:r>
        <w:rPr>
          <w:color w:val="231F1F"/>
          <w:w w:val="105"/>
        </w:rPr>
        <w:t> muestra</w:t>
      </w:r>
      <w:r>
        <w:rPr>
          <w:color w:val="231F1F"/>
          <w:w w:val="105"/>
        </w:rPr>
        <w:t> un</w:t>
      </w:r>
      <w:r>
        <w:rPr>
          <w:color w:val="231F1F"/>
          <w:w w:val="105"/>
        </w:rPr>
        <w:t> resumen</w:t>
      </w:r>
      <w:r>
        <w:rPr>
          <w:color w:val="231F1F"/>
          <w:w w:val="105"/>
        </w:rPr>
        <w:t> de</w:t>
      </w:r>
      <w:r>
        <w:rPr>
          <w:color w:val="231F1F"/>
          <w:w w:val="105"/>
        </w:rPr>
        <w:t> la</w:t>
      </w:r>
      <w:r>
        <w:rPr>
          <w:color w:val="231F1F"/>
          <w:w w:val="105"/>
        </w:rPr>
        <w:t> media</w:t>
      </w:r>
      <w:r>
        <w:rPr>
          <w:color w:val="231F1F"/>
          <w:w w:val="105"/>
        </w:rPr>
        <w:t> y</w:t>
      </w:r>
      <w:r>
        <w:rPr>
          <w:color w:val="231F1F"/>
          <w:w w:val="105"/>
        </w:rPr>
        <w:t> del</w:t>
      </w:r>
      <w:r>
        <w:rPr>
          <w:color w:val="231F1F"/>
          <w:w w:val="105"/>
        </w:rPr>
        <w:t> límite superior de la duración de la segunda etapa del parto en mujeres sin anestesia epidural</w:t>
      </w:r>
      <w:r>
        <w:rPr>
          <w:color w:val="231F1F"/>
          <w:w w:val="105"/>
        </w:rPr>
        <w:t> calculados</w:t>
      </w:r>
      <w:r>
        <w:rPr>
          <w:color w:val="231F1F"/>
          <w:w w:val="105"/>
        </w:rPr>
        <w:t> a</w:t>
      </w:r>
      <w:r>
        <w:rPr>
          <w:color w:val="231F1F"/>
          <w:w w:val="105"/>
        </w:rPr>
        <w:t> partir</w:t>
      </w:r>
      <w:r>
        <w:rPr>
          <w:color w:val="231F1F"/>
          <w:w w:val="105"/>
        </w:rPr>
        <w:t> de</w:t>
      </w:r>
      <w:r>
        <w:rPr>
          <w:color w:val="231F1F"/>
          <w:w w:val="105"/>
        </w:rPr>
        <w:t> los</w:t>
      </w:r>
      <w:r>
        <w:rPr>
          <w:color w:val="231F1F"/>
          <w:w w:val="105"/>
        </w:rPr>
        <w:t> datos</w:t>
      </w:r>
      <w:r>
        <w:rPr>
          <w:color w:val="231F1F"/>
          <w:w w:val="105"/>
        </w:rPr>
        <w:t> de</w:t>
      </w:r>
      <w:r>
        <w:rPr>
          <w:color w:val="231F1F"/>
          <w:w w:val="105"/>
        </w:rPr>
        <w:t> los</w:t>
      </w:r>
      <w:r>
        <w:rPr>
          <w:color w:val="231F1F"/>
          <w:w w:val="105"/>
        </w:rPr>
        <w:t> tres</w:t>
      </w:r>
      <w:r>
        <w:rPr>
          <w:color w:val="231F1F"/>
          <w:w w:val="105"/>
        </w:rPr>
        <w:t> estudios</w:t>
      </w:r>
      <w:r>
        <w:rPr>
          <w:color w:val="231F1F"/>
          <w:w w:val="105"/>
        </w:rPr>
        <w:t> descriptivos</w:t>
      </w:r>
      <w:r>
        <w:rPr>
          <w:color w:val="231F1F"/>
          <w:w w:val="105"/>
        </w:rPr>
        <w:t> in- cluidos (101-103).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7"/>
        <w:rPr>
          <w:sz w:val="18"/>
        </w:rPr>
      </w:pPr>
    </w:p>
    <w:p>
      <w:pPr>
        <w:spacing w:before="0"/>
        <w:ind w:left="0" w:right="63" w:firstLine="0"/>
        <w:jc w:val="center"/>
        <w:rPr>
          <w:rFonts w:ascii="Arial MT"/>
          <w:sz w:val="18"/>
        </w:rPr>
      </w:pPr>
      <w:r>
        <w:rPr>
          <w:rFonts w:ascii="Arial MT"/>
          <w:color w:val="231F1F"/>
          <w:spacing w:val="-5"/>
          <w:sz w:val="18"/>
        </w:rPr>
        <w:t>E.</w:t>
      </w:r>
    </w:p>
    <w:p>
      <w:pPr>
        <w:spacing w:line="278" w:lineRule="auto" w:before="33"/>
        <w:ind w:left="160" w:right="220" w:firstLine="0"/>
        <w:jc w:val="center"/>
        <w:rPr>
          <w:rFonts w:ascii="Arial MT"/>
          <w:sz w:val="18"/>
        </w:rPr>
      </w:pPr>
      <w:r>
        <w:rPr>
          <w:rFonts w:ascii="Arial MT"/>
          <w:color w:val="231F1F"/>
          <w:spacing w:val="-4"/>
          <w:sz w:val="18"/>
        </w:rPr>
        <w:t>Observacio- </w:t>
      </w:r>
      <w:r>
        <w:rPr>
          <w:rFonts w:ascii="Arial MT"/>
          <w:color w:val="231F1F"/>
          <w:spacing w:val="-2"/>
          <w:sz w:val="18"/>
        </w:rPr>
        <w:t>nales</w:t>
      </w:r>
    </w:p>
    <w:p>
      <w:pPr>
        <w:spacing w:line="197" w:lineRule="exact" w:before="0"/>
        <w:ind w:left="0" w:right="38" w:firstLine="0"/>
        <w:jc w:val="center"/>
        <w:rPr>
          <w:rFonts w:ascii="Arial MT"/>
          <w:sz w:val="18"/>
        </w:rPr>
      </w:pPr>
      <w:r>
        <w:rPr>
          <w:rFonts w:ascii="Arial MT"/>
          <w:color w:val="231F1F"/>
          <w:spacing w:val="-10"/>
          <w:sz w:val="18"/>
        </w:rPr>
        <w:t>3</w:t>
      </w:r>
    </w:p>
    <w:p>
      <w:pPr>
        <w:spacing w:after="0" w:line="197" w:lineRule="exact"/>
        <w:jc w:val="center"/>
        <w:rPr>
          <w:rFonts w:ascii="Arial MT"/>
          <w:sz w:val="18"/>
        </w:rPr>
        <w:sectPr>
          <w:pgSz w:w="11900" w:h="16840"/>
          <w:pgMar w:header="0" w:footer="622" w:top="1560" w:bottom="820" w:left="1417" w:right="1559"/>
          <w:cols w:num="2" w:equalWidth="0">
            <w:col w:w="7550" w:space="40"/>
            <w:col w:w="1334"/>
          </w:cols>
        </w:sectPr>
      </w:pPr>
    </w:p>
    <w:p>
      <w:pPr>
        <w:pStyle w:val="BodyText"/>
        <w:rPr>
          <w:rFonts w:ascii="Arial MT"/>
          <w:sz w:val="24"/>
        </w:rPr>
      </w:pPr>
    </w:p>
    <w:p>
      <w:pPr>
        <w:pStyle w:val="BodyText"/>
        <w:spacing w:before="236"/>
        <w:rPr>
          <w:rFonts w:ascii="Arial MT"/>
          <w:sz w:val="24"/>
        </w:rPr>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before="200"/>
        <w:ind w:left="283"/>
        <w:jc w:val="both"/>
      </w:pPr>
      <w:r>
        <w:rPr>
          <w:color w:val="231F1F"/>
        </w:rPr>
        <w:t>De</w:t>
      </w:r>
      <w:r>
        <w:rPr>
          <w:color w:val="231F1F"/>
          <w:spacing w:val="36"/>
        </w:rPr>
        <w:t> </w:t>
      </w:r>
      <w:r>
        <w:rPr>
          <w:color w:val="231F1F"/>
        </w:rPr>
        <w:t>las</w:t>
      </w:r>
      <w:r>
        <w:rPr>
          <w:color w:val="231F1F"/>
          <w:spacing w:val="39"/>
        </w:rPr>
        <w:t> </w:t>
      </w:r>
      <w:r>
        <w:rPr>
          <w:color w:val="231F1F"/>
        </w:rPr>
        <w:t>10</w:t>
      </w:r>
      <w:r>
        <w:rPr>
          <w:color w:val="231F1F"/>
          <w:spacing w:val="36"/>
        </w:rPr>
        <w:t> </w:t>
      </w:r>
      <w:r>
        <w:rPr>
          <w:color w:val="231F1F"/>
        </w:rPr>
        <w:t>referencias</w:t>
      </w:r>
      <w:r>
        <w:rPr>
          <w:color w:val="231F1F"/>
          <w:spacing w:val="40"/>
        </w:rPr>
        <w:t> </w:t>
      </w:r>
      <w:r>
        <w:rPr>
          <w:color w:val="231F1F"/>
        </w:rPr>
        <w:t>encontradas</w:t>
      </w:r>
      <w:r>
        <w:rPr>
          <w:color w:val="231F1F"/>
          <w:spacing w:val="38"/>
        </w:rPr>
        <w:t> </w:t>
      </w:r>
      <w:r>
        <w:rPr>
          <w:color w:val="231F1F"/>
        </w:rPr>
        <w:t>en</w:t>
      </w:r>
      <w:r>
        <w:rPr>
          <w:color w:val="231F1F"/>
          <w:spacing w:val="38"/>
        </w:rPr>
        <w:t> </w:t>
      </w:r>
      <w:r>
        <w:rPr>
          <w:color w:val="231F1F"/>
        </w:rPr>
        <w:t>la</w:t>
      </w:r>
      <w:r>
        <w:rPr>
          <w:color w:val="231F1F"/>
          <w:spacing w:val="38"/>
        </w:rPr>
        <w:t> </w:t>
      </w:r>
      <w:r>
        <w:rPr>
          <w:color w:val="231F1F"/>
        </w:rPr>
        <w:t>búsqueda</w:t>
      </w:r>
      <w:r>
        <w:rPr>
          <w:color w:val="231F1F"/>
          <w:spacing w:val="38"/>
        </w:rPr>
        <w:t> </w:t>
      </w:r>
      <w:r>
        <w:rPr>
          <w:color w:val="231F1F"/>
        </w:rPr>
        <w:t>se</w:t>
      </w:r>
      <w:r>
        <w:rPr>
          <w:color w:val="231F1F"/>
          <w:spacing w:val="40"/>
        </w:rPr>
        <w:t> </w:t>
      </w:r>
      <w:r>
        <w:rPr>
          <w:color w:val="231F1F"/>
        </w:rPr>
        <w:t>seleccionó</w:t>
      </w:r>
      <w:r>
        <w:rPr>
          <w:color w:val="231F1F"/>
          <w:spacing w:val="34"/>
        </w:rPr>
        <w:t> </w:t>
      </w:r>
      <w:r>
        <w:rPr>
          <w:color w:val="231F1F"/>
        </w:rPr>
        <w:t>una</w:t>
      </w:r>
      <w:r>
        <w:rPr>
          <w:color w:val="231F1F"/>
          <w:spacing w:val="38"/>
        </w:rPr>
        <w:t> </w:t>
      </w:r>
      <w:r>
        <w:rPr>
          <w:color w:val="231F1F"/>
          <w:spacing w:val="-2"/>
        </w:rPr>
        <w:t>revisión</w:t>
      </w:r>
    </w:p>
    <w:p>
      <w:pPr>
        <w:pStyle w:val="BodyText"/>
        <w:spacing w:line="249" w:lineRule="auto" w:before="25"/>
        <w:ind w:left="283" w:right="1365"/>
        <w:jc w:val="both"/>
      </w:pPr>
      <w:r>
        <w:rPr>
          <w:color w:val="231F1F"/>
          <w:w w:val="105"/>
        </w:rPr>
        <w:t>(104)</w:t>
      </w:r>
      <w:r>
        <w:rPr>
          <w:color w:val="231F1F"/>
          <w:spacing w:val="-5"/>
          <w:w w:val="105"/>
        </w:rPr>
        <w:t> </w:t>
      </w:r>
      <w:r>
        <w:rPr>
          <w:color w:val="231F1F"/>
          <w:w w:val="105"/>
        </w:rPr>
        <w:t>en</w:t>
      </w:r>
      <w:r>
        <w:rPr>
          <w:color w:val="231F1F"/>
          <w:spacing w:val="-6"/>
          <w:w w:val="105"/>
        </w:rPr>
        <w:t> </w:t>
      </w:r>
      <w:r>
        <w:rPr>
          <w:color w:val="231F1F"/>
          <w:w w:val="105"/>
        </w:rPr>
        <w:t>la</w:t>
      </w:r>
      <w:r>
        <w:rPr>
          <w:color w:val="231F1F"/>
          <w:spacing w:val="-5"/>
          <w:w w:val="105"/>
        </w:rPr>
        <w:t> </w:t>
      </w:r>
      <w:r>
        <w:rPr>
          <w:color w:val="231F1F"/>
          <w:w w:val="105"/>
        </w:rPr>
        <w:t>que</w:t>
      </w:r>
      <w:r>
        <w:rPr>
          <w:color w:val="231F1F"/>
          <w:spacing w:val="-5"/>
          <w:w w:val="105"/>
        </w:rPr>
        <w:t> </w:t>
      </w:r>
      <w:r>
        <w:rPr>
          <w:color w:val="231F1F"/>
          <w:w w:val="105"/>
        </w:rPr>
        <w:t>todos</w:t>
      </w:r>
      <w:r>
        <w:rPr>
          <w:color w:val="231F1F"/>
          <w:spacing w:val="-5"/>
          <w:w w:val="105"/>
        </w:rPr>
        <w:t> </w:t>
      </w:r>
      <w:r>
        <w:rPr>
          <w:color w:val="231F1F"/>
          <w:w w:val="105"/>
        </w:rPr>
        <w:t>los</w:t>
      </w:r>
      <w:r>
        <w:rPr>
          <w:color w:val="231F1F"/>
          <w:spacing w:val="-5"/>
          <w:w w:val="105"/>
        </w:rPr>
        <w:t> </w:t>
      </w:r>
      <w:r>
        <w:rPr>
          <w:color w:val="231F1F"/>
          <w:w w:val="105"/>
        </w:rPr>
        <w:t>estudios</w:t>
      </w:r>
      <w:r>
        <w:rPr>
          <w:color w:val="231F1F"/>
          <w:spacing w:val="-5"/>
          <w:w w:val="105"/>
        </w:rPr>
        <w:t> </w:t>
      </w:r>
      <w:r>
        <w:rPr>
          <w:color w:val="231F1F"/>
          <w:w w:val="105"/>
        </w:rPr>
        <w:t>incluidos</w:t>
      </w:r>
      <w:r>
        <w:rPr>
          <w:color w:val="231F1F"/>
          <w:spacing w:val="-5"/>
          <w:w w:val="105"/>
        </w:rPr>
        <w:t> </w:t>
      </w:r>
      <w:r>
        <w:rPr>
          <w:color w:val="231F1F"/>
          <w:w w:val="105"/>
        </w:rPr>
        <w:t>ya</w:t>
      </w:r>
      <w:r>
        <w:rPr>
          <w:color w:val="231F1F"/>
          <w:spacing w:val="-5"/>
          <w:w w:val="105"/>
        </w:rPr>
        <w:t> </w:t>
      </w:r>
      <w:r>
        <w:rPr>
          <w:color w:val="231F1F"/>
          <w:w w:val="105"/>
        </w:rPr>
        <w:t>habían</w:t>
      </w:r>
      <w:r>
        <w:rPr>
          <w:color w:val="231F1F"/>
          <w:spacing w:val="-6"/>
          <w:w w:val="105"/>
        </w:rPr>
        <w:t> </w:t>
      </w:r>
      <w:r>
        <w:rPr>
          <w:color w:val="231F1F"/>
          <w:w w:val="105"/>
        </w:rPr>
        <w:t>sido</w:t>
      </w:r>
      <w:r>
        <w:rPr>
          <w:color w:val="231F1F"/>
          <w:spacing w:val="-6"/>
          <w:w w:val="105"/>
        </w:rPr>
        <w:t> </w:t>
      </w:r>
      <w:r>
        <w:rPr>
          <w:color w:val="231F1F"/>
          <w:w w:val="105"/>
        </w:rPr>
        <w:t>recogidos</w:t>
      </w:r>
      <w:r>
        <w:rPr>
          <w:color w:val="231F1F"/>
          <w:spacing w:val="-5"/>
          <w:w w:val="105"/>
        </w:rPr>
        <w:t> </w:t>
      </w:r>
      <w:r>
        <w:rPr>
          <w:color w:val="231F1F"/>
          <w:w w:val="105"/>
        </w:rPr>
        <w:t>en</w:t>
      </w:r>
      <w:r>
        <w:rPr>
          <w:color w:val="231F1F"/>
          <w:spacing w:val="-6"/>
          <w:w w:val="105"/>
        </w:rPr>
        <w:t> </w:t>
      </w:r>
      <w:r>
        <w:rPr>
          <w:color w:val="231F1F"/>
          <w:w w:val="105"/>
        </w:rPr>
        <w:t>la</w:t>
      </w:r>
      <w:r>
        <w:rPr>
          <w:color w:val="231F1F"/>
          <w:spacing w:val="-5"/>
          <w:w w:val="105"/>
        </w:rPr>
        <w:t> </w:t>
      </w:r>
      <w:r>
        <w:rPr>
          <w:color w:val="231F1F"/>
          <w:w w:val="105"/>
        </w:rPr>
        <w:t>guía NICE (10). Además, también se seleccionó una guía de práctica clínica cana- diense</w:t>
      </w:r>
      <w:r>
        <w:rPr>
          <w:color w:val="231F1F"/>
          <w:w w:val="105"/>
        </w:rPr>
        <w:t> sobre</w:t>
      </w:r>
      <w:r>
        <w:rPr>
          <w:color w:val="231F1F"/>
          <w:w w:val="105"/>
        </w:rPr>
        <w:t> la</w:t>
      </w:r>
      <w:r>
        <w:rPr>
          <w:color w:val="231F1F"/>
          <w:w w:val="105"/>
        </w:rPr>
        <w:t> segunda</w:t>
      </w:r>
      <w:r>
        <w:rPr>
          <w:color w:val="231F1F"/>
          <w:w w:val="105"/>
        </w:rPr>
        <w:t> etapa</w:t>
      </w:r>
      <w:r>
        <w:rPr>
          <w:color w:val="231F1F"/>
          <w:w w:val="105"/>
        </w:rPr>
        <w:t> del</w:t>
      </w:r>
      <w:r>
        <w:rPr>
          <w:color w:val="231F1F"/>
          <w:w w:val="105"/>
        </w:rPr>
        <w:t> parto</w:t>
      </w:r>
      <w:r>
        <w:rPr>
          <w:color w:val="231F1F"/>
          <w:w w:val="105"/>
        </w:rPr>
        <w:t> (105)</w:t>
      </w:r>
      <w:r>
        <w:rPr>
          <w:color w:val="231F1F"/>
          <w:w w:val="105"/>
        </w:rPr>
        <w:t> (encontrada</w:t>
      </w:r>
      <w:r>
        <w:rPr>
          <w:color w:val="231F1F"/>
          <w:w w:val="105"/>
        </w:rPr>
        <w:t> en</w:t>
      </w:r>
      <w:r>
        <w:rPr>
          <w:color w:val="231F1F"/>
          <w:w w:val="105"/>
        </w:rPr>
        <w:t> la</w:t>
      </w:r>
      <w:r>
        <w:rPr>
          <w:color w:val="231F1F"/>
          <w:w w:val="105"/>
        </w:rPr>
        <w:t> búsqueda realizada para otra pregunta).</w:t>
      </w:r>
    </w:p>
    <w:p>
      <w:pPr>
        <w:pStyle w:val="BodyText"/>
        <w:spacing w:line="249" w:lineRule="auto" w:before="138"/>
        <w:ind w:left="283" w:right="1365" w:firstLine="453"/>
        <w:jc w:val="both"/>
      </w:pPr>
      <w:r>
        <w:rPr>
          <w:color w:val="231F1F"/>
          <w:w w:val="105"/>
        </w:rPr>
        <w:t>Esta guía (105) se elaboró siguiendo los 7 pasos del proceso ADAPTE: revisión</w:t>
      </w:r>
      <w:r>
        <w:rPr>
          <w:color w:val="231F1F"/>
          <w:spacing w:val="28"/>
          <w:w w:val="105"/>
        </w:rPr>
        <w:t> </w:t>
      </w:r>
      <w:r>
        <w:rPr>
          <w:color w:val="231F1F"/>
          <w:w w:val="105"/>
        </w:rPr>
        <w:t>de</w:t>
      </w:r>
      <w:r>
        <w:rPr>
          <w:color w:val="231F1F"/>
          <w:spacing w:val="28"/>
          <w:w w:val="105"/>
        </w:rPr>
        <w:t> </w:t>
      </w:r>
      <w:r>
        <w:rPr>
          <w:color w:val="231F1F"/>
          <w:w w:val="105"/>
        </w:rPr>
        <w:t>la</w:t>
      </w:r>
      <w:r>
        <w:rPr>
          <w:color w:val="231F1F"/>
          <w:spacing w:val="28"/>
          <w:w w:val="105"/>
        </w:rPr>
        <w:t> </w:t>
      </w:r>
      <w:r>
        <w:rPr>
          <w:color w:val="231F1F"/>
          <w:w w:val="105"/>
        </w:rPr>
        <w:t>literatura</w:t>
      </w:r>
      <w:r>
        <w:rPr>
          <w:color w:val="231F1F"/>
          <w:spacing w:val="27"/>
          <w:w w:val="105"/>
        </w:rPr>
        <w:t> </w:t>
      </w:r>
      <w:r>
        <w:rPr>
          <w:color w:val="231F1F"/>
          <w:w w:val="105"/>
        </w:rPr>
        <w:t>(GPCs</w:t>
      </w:r>
      <w:r>
        <w:rPr>
          <w:color w:val="231F1F"/>
          <w:spacing w:val="27"/>
          <w:w w:val="105"/>
        </w:rPr>
        <w:t> </w:t>
      </w:r>
      <w:r>
        <w:rPr>
          <w:color w:val="231F1F"/>
          <w:w w:val="105"/>
        </w:rPr>
        <w:t>y</w:t>
      </w:r>
      <w:r>
        <w:rPr>
          <w:color w:val="231F1F"/>
          <w:spacing w:val="28"/>
          <w:w w:val="105"/>
        </w:rPr>
        <w:t> </w:t>
      </w:r>
      <w:r>
        <w:rPr>
          <w:color w:val="231F1F"/>
          <w:w w:val="105"/>
        </w:rPr>
        <w:t>nuevos</w:t>
      </w:r>
      <w:r>
        <w:rPr>
          <w:color w:val="231F1F"/>
          <w:spacing w:val="28"/>
          <w:w w:val="105"/>
        </w:rPr>
        <w:t> </w:t>
      </w:r>
      <w:r>
        <w:rPr>
          <w:color w:val="231F1F"/>
          <w:w w:val="105"/>
        </w:rPr>
        <w:t>estudios),</w:t>
      </w:r>
      <w:r>
        <w:rPr>
          <w:color w:val="231F1F"/>
          <w:spacing w:val="28"/>
          <w:w w:val="105"/>
        </w:rPr>
        <w:t> </w:t>
      </w:r>
      <w:r>
        <w:rPr>
          <w:color w:val="231F1F"/>
          <w:w w:val="105"/>
        </w:rPr>
        <w:t>evaluación</w:t>
      </w:r>
      <w:r>
        <w:rPr>
          <w:color w:val="231F1F"/>
          <w:spacing w:val="28"/>
          <w:w w:val="105"/>
        </w:rPr>
        <w:t> </w:t>
      </w:r>
      <w:r>
        <w:rPr>
          <w:color w:val="231F1F"/>
          <w:w w:val="105"/>
        </w:rPr>
        <w:t>de</w:t>
      </w:r>
      <w:r>
        <w:rPr>
          <w:color w:val="231F1F"/>
          <w:spacing w:val="28"/>
          <w:w w:val="105"/>
        </w:rPr>
        <w:t> </w:t>
      </w:r>
      <w:r>
        <w:rPr>
          <w:color w:val="231F1F"/>
          <w:w w:val="105"/>
        </w:rPr>
        <w:t>la</w:t>
      </w:r>
      <w:r>
        <w:rPr>
          <w:color w:val="231F1F"/>
          <w:spacing w:val="28"/>
          <w:w w:val="105"/>
        </w:rPr>
        <w:t> </w:t>
      </w:r>
      <w:r>
        <w:rPr>
          <w:color w:val="231F1F"/>
          <w:w w:val="105"/>
        </w:rPr>
        <w:t>calidad de la evidencia con instrumentos validados, elaboración de recomendaciones, elaboración</w:t>
      </w:r>
      <w:r>
        <w:rPr>
          <w:color w:val="231F1F"/>
          <w:w w:val="105"/>
        </w:rPr>
        <w:t> de</w:t>
      </w:r>
      <w:r>
        <w:rPr>
          <w:color w:val="231F1F"/>
          <w:w w:val="105"/>
        </w:rPr>
        <w:t> un</w:t>
      </w:r>
      <w:r>
        <w:rPr>
          <w:color w:val="231F1F"/>
          <w:w w:val="105"/>
        </w:rPr>
        <w:t> borrador,</w:t>
      </w:r>
      <w:r>
        <w:rPr>
          <w:color w:val="231F1F"/>
          <w:w w:val="105"/>
        </w:rPr>
        <w:t> obtención</w:t>
      </w:r>
      <w:r>
        <w:rPr>
          <w:color w:val="231F1F"/>
          <w:w w:val="105"/>
        </w:rPr>
        <w:t> de</w:t>
      </w:r>
      <w:r>
        <w:rPr>
          <w:color w:val="231F1F"/>
          <w:w w:val="105"/>
        </w:rPr>
        <w:t> un</w:t>
      </w:r>
      <w:r>
        <w:rPr>
          <w:color w:val="231F1F"/>
          <w:w w:val="105"/>
        </w:rPr>
        <w:t> feedback</w:t>
      </w:r>
      <w:r>
        <w:rPr>
          <w:color w:val="231F1F"/>
          <w:w w:val="105"/>
        </w:rPr>
        <w:t> sobre</w:t>
      </w:r>
      <w:r>
        <w:rPr>
          <w:color w:val="231F1F"/>
          <w:w w:val="105"/>
        </w:rPr>
        <w:t> el</w:t>
      </w:r>
      <w:r>
        <w:rPr>
          <w:color w:val="231F1F"/>
          <w:w w:val="105"/>
        </w:rPr>
        <w:t> borrador</w:t>
      </w:r>
      <w:r>
        <w:rPr>
          <w:color w:val="231F1F"/>
          <w:w w:val="105"/>
        </w:rPr>
        <w:t> de profesionales clínicos, reevaluación y elaboración final de la guía y su imple- </w:t>
      </w:r>
      <w:r>
        <w:rPr>
          <w:color w:val="231F1F"/>
          <w:spacing w:val="-2"/>
          <w:w w:val="105"/>
        </w:rPr>
        <w:t>mentación.</w:t>
      </w:r>
    </w:p>
    <w:p>
      <w:pPr>
        <w:pStyle w:val="BodyText"/>
        <w:tabs>
          <w:tab w:pos="7287" w:val="left" w:leader="none"/>
        </w:tabs>
        <w:spacing w:before="58"/>
        <w:ind w:right="496"/>
        <w:jc w:val="right"/>
        <w:rPr>
          <w:rFonts w:ascii="Arial MT" w:hAnsi="Arial MT"/>
          <w:sz w:val="18"/>
        </w:rPr>
      </w:pPr>
      <w:r>
        <w:rPr>
          <w:color w:val="231F1F"/>
          <w:w w:val="110"/>
        </w:rPr>
        <w:t>El</w:t>
      </w:r>
      <w:r>
        <w:rPr>
          <w:color w:val="231F1F"/>
          <w:spacing w:val="3"/>
          <w:w w:val="110"/>
        </w:rPr>
        <w:t> </w:t>
      </w:r>
      <w:r>
        <w:rPr>
          <w:color w:val="231F1F"/>
          <w:w w:val="110"/>
        </w:rPr>
        <w:t>protocolo</w:t>
      </w:r>
      <w:r>
        <w:rPr>
          <w:color w:val="231F1F"/>
          <w:spacing w:val="4"/>
          <w:w w:val="110"/>
        </w:rPr>
        <w:t> </w:t>
      </w:r>
      <w:r>
        <w:rPr>
          <w:color w:val="231F1F"/>
          <w:w w:val="110"/>
        </w:rPr>
        <w:t>de</w:t>
      </w:r>
      <w:r>
        <w:rPr>
          <w:color w:val="231F1F"/>
          <w:spacing w:val="6"/>
          <w:w w:val="110"/>
        </w:rPr>
        <w:t> </w:t>
      </w:r>
      <w:r>
        <w:rPr>
          <w:color w:val="231F1F"/>
          <w:w w:val="110"/>
        </w:rPr>
        <w:t>esta</w:t>
      </w:r>
      <w:r>
        <w:rPr>
          <w:color w:val="231F1F"/>
          <w:spacing w:val="4"/>
          <w:w w:val="110"/>
        </w:rPr>
        <w:t> </w:t>
      </w:r>
      <w:r>
        <w:rPr>
          <w:color w:val="231F1F"/>
          <w:w w:val="110"/>
        </w:rPr>
        <w:t>guía</w:t>
      </w:r>
      <w:r>
        <w:rPr>
          <w:color w:val="231F1F"/>
          <w:spacing w:val="5"/>
          <w:w w:val="110"/>
        </w:rPr>
        <w:t> </w:t>
      </w:r>
      <w:r>
        <w:rPr>
          <w:color w:val="231F1F"/>
          <w:w w:val="110"/>
        </w:rPr>
        <w:t>canadiense</w:t>
      </w:r>
      <w:r>
        <w:rPr>
          <w:color w:val="231F1F"/>
          <w:spacing w:val="4"/>
          <w:w w:val="110"/>
        </w:rPr>
        <w:t> </w:t>
      </w:r>
      <w:r>
        <w:rPr>
          <w:color w:val="231F1F"/>
          <w:w w:val="110"/>
        </w:rPr>
        <w:t>(105),</w:t>
      </w:r>
      <w:r>
        <w:rPr>
          <w:color w:val="231F1F"/>
          <w:spacing w:val="5"/>
          <w:w w:val="110"/>
        </w:rPr>
        <w:t> </w:t>
      </w:r>
      <w:r>
        <w:rPr>
          <w:color w:val="231F1F"/>
          <w:w w:val="110"/>
        </w:rPr>
        <w:t>da</w:t>
      </w:r>
      <w:r>
        <w:rPr>
          <w:color w:val="231F1F"/>
          <w:spacing w:val="5"/>
          <w:w w:val="110"/>
        </w:rPr>
        <w:t> </w:t>
      </w:r>
      <w:r>
        <w:rPr>
          <w:color w:val="231F1F"/>
          <w:w w:val="110"/>
        </w:rPr>
        <w:t>más</w:t>
      </w:r>
      <w:r>
        <w:rPr>
          <w:color w:val="231F1F"/>
          <w:spacing w:val="3"/>
          <w:w w:val="110"/>
        </w:rPr>
        <w:t> </w:t>
      </w:r>
      <w:r>
        <w:rPr>
          <w:color w:val="231F1F"/>
          <w:w w:val="110"/>
        </w:rPr>
        <w:t>oportunidades</w:t>
      </w:r>
      <w:r>
        <w:rPr>
          <w:color w:val="231F1F"/>
          <w:spacing w:val="6"/>
          <w:w w:val="110"/>
        </w:rPr>
        <w:t> </w:t>
      </w:r>
      <w:r>
        <w:rPr>
          <w:color w:val="231F1F"/>
          <w:spacing w:val="-5"/>
          <w:w w:val="110"/>
        </w:rPr>
        <w:t>de</w:t>
      </w:r>
      <w:r>
        <w:rPr>
          <w:color w:val="231F1F"/>
        </w:rPr>
        <w:tab/>
      </w:r>
      <w:r>
        <w:rPr>
          <w:rFonts w:ascii="Arial MT" w:hAnsi="Arial MT"/>
          <w:color w:val="231F1F"/>
          <w:spacing w:val="-5"/>
          <w:w w:val="110"/>
          <w:sz w:val="18"/>
        </w:rPr>
        <w:t>GPC</w:t>
      </w:r>
    </w:p>
    <w:p>
      <w:pPr>
        <w:pStyle w:val="BodyText"/>
        <w:tabs>
          <w:tab w:pos="7830" w:val="left" w:leader="none"/>
        </w:tabs>
        <w:spacing w:before="22"/>
        <w:ind w:right="588"/>
        <w:jc w:val="right"/>
        <w:rPr>
          <w:rFonts w:ascii="Arial MT" w:hAnsi="Arial MT"/>
          <w:position w:val="4"/>
          <w:sz w:val="18"/>
        </w:rPr>
      </w:pPr>
      <w:r>
        <w:rPr>
          <w:color w:val="231F1F"/>
          <w:w w:val="105"/>
        </w:rPr>
        <w:t>tener</w:t>
      </w:r>
      <w:r>
        <w:rPr>
          <w:color w:val="231F1F"/>
          <w:spacing w:val="5"/>
          <w:w w:val="105"/>
        </w:rPr>
        <w:t> </w:t>
      </w:r>
      <w:r>
        <w:rPr>
          <w:color w:val="231F1F"/>
          <w:w w:val="105"/>
        </w:rPr>
        <w:t>un</w:t>
      </w:r>
      <w:r>
        <w:rPr>
          <w:color w:val="231F1F"/>
          <w:spacing w:val="9"/>
          <w:w w:val="105"/>
        </w:rPr>
        <w:t> </w:t>
      </w:r>
      <w:r>
        <w:rPr>
          <w:color w:val="231F1F"/>
          <w:w w:val="105"/>
        </w:rPr>
        <w:t>parto</w:t>
      </w:r>
      <w:r>
        <w:rPr>
          <w:color w:val="231F1F"/>
          <w:spacing w:val="7"/>
          <w:w w:val="105"/>
        </w:rPr>
        <w:t> </w:t>
      </w:r>
      <w:r>
        <w:rPr>
          <w:color w:val="231F1F"/>
          <w:w w:val="105"/>
        </w:rPr>
        <w:t>vaginal</w:t>
      </w:r>
      <w:r>
        <w:rPr>
          <w:color w:val="231F1F"/>
          <w:spacing w:val="6"/>
          <w:w w:val="105"/>
        </w:rPr>
        <w:t> </w:t>
      </w:r>
      <w:r>
        <w:rPr>
          <w:color w:val="231F1F"/>
          <w:w w:val="105"/>
        </w:rPr>
        <w:t>que</w:t>
      </w:r>
      <w:r>
        <w:rPr>
          <w:color w:val="231F1F"/>
          <w:spacing w:val="7"/>
          <w:w w:val="105"/>
        </w:rPr>
        <w:t> </w:t>
      </w:r>
      <w:r>
        <w:rPr>
          <w:color w:val="231F1F"/>
          <w:w w:val="105"/>
        </w:rPr>
        <w:t>las</w:t>
      </w:r>
      <w:r>
        <w:rPr>
          <w:color w:val="231F1F"/>
          <w:spacing w:val="8"/>
          <w:w w:val="105"/>
        </w:rPr>
        <w:t> </w:t>
      </w:r>
      <w:r>
        <w:rPr>
          <w:color w:val="231F1F"/>
          <w:w w:val="105"/>
        </w:rPr>
        <w:t>otras</w:t>
      </w:r>
      <w:r>
        <w:rPr>
          <w:color w:val="231F1F"/>
          <w:spacing w:val="8"/>
          <w:w w:val="105"/>
        </w:rPr>
        <w:t> </w:t>
      </w:r>
      <w:r>
        <w:rPr>
          <w:color w:val="231F1F"/>
          <w:w w:val="105"/>
        </w:rPr>
        <w:t>guías</w:t>
      </w:r>
      <w:r>
        <w:rPr>
          <w:color w:val="231F1F"/>
          <w:spacing w:val="9"/>
          <w:w w:val="105"/>
        </w:rPr>
        <w:t> </w:t>
      </w:r>
      <w:r>
        <w:rPr>
          <w:color w:val="231F1F"/>
          <w:w w:val="105"/>
        </w:rPr>
        <w:t>incluidas</w:t>
      </w:r>
      <w:r>
        <w:rPr>
          <w:color w:val="231F1F"/>
          <w:spacing w:val="6"/>
          <w:w w:val="105"/>
        </w:rPr>
        <w:t> </w:t>
      </w:r>
      <w:r>
        <w:rPr>
          <w:color w:val="231F1F"/>
          <w:w w:val="105"/>
        </w:rPr>
        <w:t>en</w:t>
      </w:r>
      <w:r>
        <w:rPr>
          <w:color w:val="231F1F"/>
          <w:spacing w:val="8"/>
          <w:w w:val="105"/>
        </w:rPr>
        <w:t> </w:t>
      </w:r>
      <w:r>
        <w:rPr>
          <w:color w:val="231F1F"/>
          <w:w w:val="105"/>
        </w:rPr>
        <w:t>la</w:t>
      </w:r>
      <w:r>
        <w:rPr>
          <w:color w:val="231F1F"/>
          <w:spacing w:val="9"/>
          <w:w w:val="105"/>
        </w:rPr>
        <w:t> </w:t>
      </w:r>
      <w:r>
        <w:rPr>
          <w:color w:val="231F1F"/>
          <w:w w:val="105"/>
        </w:rPr>
        <w:t>misma:</w:t>
      </w:r>
      <w:r>
        <w:rPr>
          <w:color w:val="231F1F"/>
          <w:spacing w:val="7"/>
          <w:w w:val="105"/>
        </w:rPr>
        <w:t> </w:t>
      </w:r>
      <w:r>
        <w:rPr>
          <w:color w:val="231F1F"/>
          <w:spacing w:val="-2"/>
          <w:w w:val="105"/>
        </w:rPr>
        <w:t>AWHONN</w:t>
      </w:r>
      <w:r>
        <w:rPr>
          <w:color w:val="231F1F"/>
        </w:rPr>
        <w:tab/>
      </w:r>
      <w:r>
        <w:rPr>
          <w:rFonts w:ascii="Arial MT" w:hAnsi="Arial MT"/>
          <w:color w:val="231F1F"/>
          <w:spacing w:val="-5"/>
          <w:w w:val="110"/>
          <w:position w:val="4"/>
          <w:sz w:val="18"/>
        </w:rPr>
        <w:t>2+</w:t>
      </w:r>
    </w:p>
    <w:p>
      <w:pPr>
        <w:pStyle w:val="BodyText"/>
        <w:spacing w:line="247" w:lineRule="auto" w:before="16"/>
        <w:ind w:left="283" w:right="1359"/>
        <w:jc w:val="both"/>
      </w:pPr>
      <w:r>
        <w:rPr>
          <w:color w:val="231F1F"/>
          <w:w w:val="105"/>
        </w:rPr>
        <w:t>(106) (duración en nulíparas con anestesia 3 horas, sin ella 2; multíparas con anestesia 2 horas y sin ella 1 hora) y Sociedad de Obstetricia y Ginecología Canadiense</w:t>
      </w:r>
      <w:r>
        <w:rPr>
          <w:color w:val="231F1F"/>
          <w:w w:val="105"/>
        </w:rPr>
        <w:t> (SOGC)</w:t>
      </w:r>
      <w:r>
        <w:rPr>
          <w:color w:val="231F1F"/>
          <w:w w:val="105"/>
        </w:rPr>
        <w:t> (107)</w:t>
      </w:r>
      <w:r>
        <w:rPr>
          <w:color w:val="231F1F"/>
          <w:w w:val="105"/>
        </w:rPr>
        <w:t> (dos</w:t>
      </w:r>
      <w:r>
        <w:rPr>
          <w:color w:val="231F1F"/>
          <w:w w:val="105"/>
        </w:rPr>
        <w:t> horas</w:t>
      </w:r>
      <w:r>
        <w:rPr>
          <w:color w:val="231F1F"/>
          <w:w w:val="105"/>
        </w:rPr>
        <w:t> nulíparas</w:t>
      </w:r>
      <w:r>
        <w:rPr>
          <w:color w:val="231F1F"/>
          <w:w w:val="105"/>
        </w:rPr>
        <w:t> y</w:t>
      </w:r>
      <w:r>
        <w:rPr>
          <w:color w:val="231F1F"/>
          <w:w w:val="105"/>
        </w:rPr>
        <w:t> una</w:t>
      </w:r>
      <w:r>
        <w:rPr>
          <w:color w:val="231F1F"/>
          <w:w w:val="105"/>
        </w:rPr>
        <w:t> hora</w:t>
      </w:r>
      <w:r>
        <w:rPr>
          <w:color w:val="231F1F"/>
          <w:w w:val="105"/>
        </w:rPr>
        <w:t> multíparas).</w:t>
      </w:r>
      <w:r>
        <w:rPr>
          <w:color w:val="231F1F"/>
          <w:w w:val="105"/>
        </w:rPr>
        <w:t> La guía canadiense seleccionada (105) sin embargo, considera una duración nor- mal de la 2ª etapa de hasta 4 horas para nulíparas con anestesia epidural, hasta 3 horas en nulíparas sin anestesia y multíparas con anestesia y hasta un máxi- mo de 2 horas en multíparas sin anestesia epidural.</w:t>
      </w:r>
    </w:p>
    <w:p>
      <w:pPr>
        <w:pStyle w:val="BodyText"/>
        <w:spacing w:line="244" w:lineRule="auto" w:before="19"/>
        <w:ind w:left="283" w:right="1367" w:firstLine="453"/>
        <w:jc w:val="both"/>
      </w:pPr>
      <w:r>
        <w:rPr>
          <w:color w:val="231F1F"/>
          <w:w w:val="110"/>
        </w:rPr>
        <w:t>Por</w:t>
      </w:r>
      <w:r>
        <w:rPr>
          <w:color w:val="231F1F"/>
          <w:spacing w:val="-8"/>
          <w:w w:val="110"/>
        </w:rPr>
        <w:t> </w:t>
      </w:r>
      <w:r>
        <w:rPr>
          <w:color w:val="231F1F"/>
          <w:w w:val="110"/>
        </w:rPr>
        <w:t>otro</w:t>
      </w:r>
      <w:r>
        <w:rPr>
          <w:color w:val="231F1F"/>
          <w:spacing w:val="-7"/>
          <w:w w:val="110"/>
        </w:rPr>
        <w:t> </w:t>
      </w:r>
      <w:r>
        <w:rPr>
          <w:color w:val="231F1F"/>
          <w:w w:val="110"/>
        </w:rPr>
        <w:t>lado,</w:t>
      </w:r>
      <w:r>
        <w:rPr>
          <w:color w:val="231F1F"/>
          <w:spacing w:val="-8"/>
          <w:w w:val="110"/>
        </w:rPr>
        <w:t> </w:t>
      </w:r>
      <w:r>
        <w:rPr>
          <w:color w:val="231F1F"/>
          <w:w w:val="110"/>
        </w:rPr>
        <w:t>también</w:t>
      </w:r>
      <w:r>
        <w:rPr>
          <w:color w:val="231F1F"/>
          <w:spacing w:val="-7"/>
          <w:w w:val="110"/>
        </w:rPr>
        <w:t> </w:t>
      </w:r>
      <w:r>
        <w:rPr>
          <w:color w:val="231F1F"/>
          <w:w w:val="110"/>
        </w:rPr>
        <w:t>se</w:t>
      </w:r>
      <w:r>
        <w:rPr>
          <w:color w:val="231F1F"/>
          <w:spacing w:val="-8"/>
          <w:w w:val="110"/>
        </w:rPr>
        <w:t> </w:t>
      </w:r>
      <w:r>
        <w:rPr>
          <w:color w:val="231F1F"/>
          <w:w w:val="110"/>
        </w:rPr>
        <w:t>recomienda</w:t>
      </w:r>
      <w:r>
        <w:rPr>
          <w:color w:val="231F1F"/>
          <w:spacing w:val="-7"/>
          <w:w w:val="110"/>
        </w:rPr>
        <w:t> </w:t>
      </w:r>
      <w:r>
        <w:rPr>
          <w:color w:val="231F1F"/>
          <w:w w:val="110"/>
        </w:rPr>
        <w:t>una</w:t>
      </w:r>
      <w:r>
        <w:rPr>
          <w:color w:val="231F1F"/>
          <w:spacing w:val="-8"/>
          <w:w w:val="110"/>
        </w:rPr>
        <w:t> </w:t>
      </w:r>
      <w:r>
        <w:rPr>
          <w:color w:val="231F1F"/>
          <w:w w:val="110"/>
        </w:rPr>
        <w:t>evaluación</w:t>
      </w:r>
      <w:r>
        <w:rPr>
          <w:color w:val="231F1F"/>
          <w:spacing w:val="-7"/>
          <w:w w:val="110"/>
        </w:rPr>
        <w:t> </w:t>
      </w:r>
      <w:r>
        <w:rPr>
          <w:color w:val="231F1F"/>
          <w:w w:val="110"/>
        </w:rPr>
        <w:t>reiterada</w:t>
      </w:r>
      <w:r>
        <w:rPr>
          <w:color w:val="231F1F"/>
          <w:spacing w:val="-7"/>
          <w:w w:val="110"/>
        </w:rPr>
        <w:t> </w:t>
      </w:r>
      <w:r>
        <w:rPr>
          <w:color w:val="231F1F"/>
          <w:w w:val="110"/>
        </w:rPr>
        <w:t>y</w:t>
      </w:r>
      <w:r>
        <w:rPr>
          <w:color w:val="231F1F"/>
          <w:spacing w:val="-7"/>
          <w:w w:val="110"/>
        </w:rPr>
        <w:t> </w:t>
      </w:r>
      <w:r>
        <w:rPr>
          <w:color w:val="231F1F"/>
          <w:w w:val="110"/>
        </w:rPr>
        <w:t>el</w:t>
      </w:r>
      <w:r>
        <w:rPr>
          <w:color w:val="231F1F"/>
          <w:spacing w:val="-8"/>
          <w:w w:val="110"/>
        </w:rPr>
        <w:t> </w:t>
      </w:r>
      <w:r>
        <w:rPr>
          <w:color w:val="231F1F"/>
          <w:w w:val="110"/>
        </w:rPr>
        <w:t>uso de</w:t>
      </w:r>
      <w:r>
        <w:rPr>
          <w:color w:val="231F1F"/>
          <w:spacing w:val="-16"/>
          <w:w w:val="110"/>
        </w:rPr>
        <w:t> </w:t>
      </w:r>
      <w:r>
        <w:rPr>
          <w:color w:val="231F1F"/>
          <w:w w:val="110"/>
        </w:rPr>
        <w:t>medidas</w:t>
      </w:r>
      <w:r>
        <w:rPr>
          <w:color w:val="231F1F"/>
          <w:spacing w:val="-14"/>
          <w:w w:val="110"/>
        </w:rPr>
        <w:t> </w:t>
      </w:r>
      <w:r>
        <w:rPr>
          <w:color w:val="231F1F"/>
          <w:w w:val="110"/>
        </w:rPr>
        <w:t>que</w:t>
      </w:r>
      <w:r>
        <w:rPr>
          <w:color w:val="231F1F"/>
          <w:spacing w:val="-15"/>
          <w:w w:val="110"/>
        </w:rPr>
        <w:t> </w:t>
      </w:r>
      <w:r>
        <w:rPr>
          <w:color w:val="231F1F"/>
          <w:w w:val="110"/>
        </w:rPr>
        <w:t>faciliten</w:t>
      </w:r>
      <w:r>
        <w:rPr>
          <w:color w:val="231F1F"/>
          <w:spacing w:val="-14"/>
          <w:w w:val="110"/>
        </w:rPr>
        <w:t> </w:t>
      </w:r>
      <w:r>
        <w:rPr>
          <w:color w:val="231F1F"/>
          <w:w w:val="110"/>
        </w:rPr>
        <w:t>el</w:t>
      </w:r>
      <w:r>
        <w:rPr>
          <w:color w:val="231F1F"/>
          <w:spacing w:val="-15"/>
          <w:w w:val="110"/>
        </w:rPr>
        <w:t> </w:t>
      </w:r>
      <w:r>
        <w:rPr>
          <w:color w:val="231F1F"/>
          <w:w w:val="110"/>
        </w:rPr>
        <w:t>progreso</w:t>
      </w:r>
      <w:r>
        <w:rPr>
          <w:color w:val="231F1F"/>
          <w:spacing w:val="-15"/>
          <w:w w:val="110"/>
        </w:rPr>
        <w:t> </w:t>
      </w:r>
      <w:r>
        <w:rPr>
          <w:color w:val="231F1F"/>
          <w:w w:val="110"/>
        </w:rPr>
        <w:t>y</w:t>
      </w:r>
      <w:r>
        <w:rPr>
          <w:color w:val="231F1F"/>
          <w:spacing w:val="-15"/>
          <w:w w:val="110"/>
        </w:rPr>
        <w:t> </w:t>
      </w:r>
      <w:r>
        <w:rPr>
          <w:color w:val="231F1F"/>
          <w:w w:val="110"/>
        </w:rPr>
        <w:t>descenso.</w:t>
      </w:r>
      <w:r>
        <w:rPr>
          <w:color w:val="231F1F"/>
          <w:spacing w:val="-15"/>
          <w:w w:val="110"/>
        </w:rPr>
        <w:t> </w:t>
      </w:r>
      <w:r>
        <w:rPr>
          <w:color w:val="231F1F"/>
          <w:w w:val="110"/>
        </w:rPr>
        <w:t>Los</w:t>
      </w:r>
      <w:r>
        <w:rPr>
          <w:color w:val="231F1F"/>
          <w:spacing w:val="-15"/>
          <w:w w:val="110"/>
        </w:rPr>
        <w:t> </w:t>
      </w:r>
      <w:r>
        <w:rPr>
          <w:color w:val="231F1F"/>
          <w:w w:val="110"/>
        </w:rPr>
        <w:t>profesionales</w:t>
      </w:r>
      <w:r>
        <w:rPr>
          <w:color w:val="231F1F"/>
          <w:spacing w:val="-16"/>
          <w:w w:val="110"/>
        </w:rPr>
        <w:t> </w:t>
      </w:r>
      <w:r>
        <w:rPr>
          <w:color w:val="231F1F"/>
          <w:w w:val="110"/>
        </w:rPr>
        <w:t>de</w:t>
      </w:r>
      <w:r>
        <w:rPr>
          <w:color w:val="231F1F"/>
          <w:spacing w:val="-14"/>
          <w:w w:val="110"/>
        </w:rPr>
        <w:t> </w:t>
      </w:r>
      <w:r>
        <w:rPr>
          <w:color w:val="231F1F"/>
          <w:w w:val="110"/>
        </w:rPr>
        <w:t>obste- tricia</w:t>
      </w:r>
      <w:r>
        <w:rPr>
          <w:color w:val="231F1F"/>
          <w:spacing w:val="-7"/>
          <w:w w:val="110"/>
        </w:rPr>
        <w:t> </w:t>
      </w:r>
      <w:r>
        <w:rPr>
          <w:color w:val="231F1F"/>
          <w:w w:val="110"/>
        </w:rPr>
        <w:t>deben</w:t>
      </w:r>
      <w:r>
        <w:rPr>
          <w:color w:val="231F1F"/>
          <w:spacing w:val="-7"/>
          <w:w w:val="110"/>
        </w:rPr>
        <w:t> </w:t>
      </w:r>
      <w:r>
        <w:rPr>
          <w:color w:val="231F1F"/>
          <w:w w:val="110"/>
        </w:rPr>
        <w:t>ser</w:t>
      </w:r>
      <w:r>
        <w:rPr>
          <w:color w:val="231F1F"/>
          <w:spacing w:val="-7"/>
          <w:w w:val="110"/>
        </w:rPr>
        <w:t> </w:t>
      </w:r>
      <w:r>
        <w:rPr>
          <w:color w:val="231F1F"/>
          <w:w w:val="110"/>
        </w:rPr>
        <w:t>informados</w:t>
      </w:r>
      <w:r>
        <w:rPr>
          <w:color w:val="231F1F"/>
          <w:spacing w:val="-7"/>
          <w:w w:val="110"/>
        </w:rPr>
        <w:t> </w:t>
      </w:r>
      <w:r>
        <w:rPr>
          <w:color w:val="231F1F"/>
          <w:w w:val="110"/>
        </w:rPr>
        <w:t>para</w:t>
      </w:r>
      <w:r>
        <w:rPr>
          <w:color w:val="231F1F"/>
          <w:spacing w:val="-7"/>
          <w:w w:val="110"/>
        </w:rPr>
        <w:t> </w:t>
      </w:r>
      <w:r>
        <w:rPr>
          <w:color w:val="231F1F"/>
          <w:w w:val="110"/>
        </w:rPr>
        <w:t>que</w:t>
      </w:r>
      <w:r>
        <w:rPr>
          <w:color w:val="231F1F"/>
          <w:spacing w:val="-7"/>
          <w:w w:val="110"/>
        </w:rPr>
        <w:t> </w:t>
      </w:r>
      <w:r>
        <w:rPr>
          <w:color w:val="231F1F"/>
          <w:w w:val="110"/>
        </w:rPr>
        <w:t>reevalúen</w:t>
      </w:r>
      <w:r>
        <w:rPr>
          <w:color w:val="231F1F"/>
          <w:spacing w:val="-7"/>
          <w:w w:val="110"/>
        </w:rPr>
        <w:t> </w:t>
      </w:r>
      <w:r>
        <w:rPr>
          <w:color w:val="231F1F"/>
          <w:w w:val="110"/>
        </w:rPr>
        <w:t>a</w:t>
      </w:r>
      <w:r>
        <w:rPr>
          <w:color w:val="231F1F"/>
          <w:spacing w:val="-7"/>
          <w:w w:val="110"/>
        </w:rPr>
        <w:t> </w:t>
      </w:r>
      <w:r>
        <w:rPr>
          <w:color w:val="231F1F"/>
          <w:w w:val="110"/>
        </w:rPr>
        <w:t>la</w:t>
      </w:r>
      <w:r>
        <w:rPr>
          <w:color w:val="231F1F"/>
          <w:spacing w:val="-7"/>
          <w:w w:val="110"/>
        </w:rPr>
        <w:t> </w:t>
      </w:r>
      <w:r>
        <w:rPr>
          <w:color w:val="231F1F"/>
          <w:w w:val="110"/>
        </w:rPr>
        <w:t>mujer</w:t>
      </w:r>
      <w:r>
        <w:rPr>
          <w:color w:val="231F1F"/>
          <w:spacing w:val="-7"/>
          <w:w w:val="110"/>
        </w:rPr>
        <w:t> </w:t>
      </w:r>
      <w:r>
        <w:rPr>
          <w:color w:val="231F1F"/>
          <w:w w:val="110"/>
        </w:rPr>
        <w:t>al</w:t>
      </w:r>
      <w:r>
        <w:rPr>
          <w:color w:val="231F1F"/>
          <w:spacing w:val="-7"/>
          <w:w w:val="110"/>
        </w:rPr>
        <w:t> </w:t>
      </w:r>
      <w:r>
        <w:rPr>
          <w:color w:val="231F1F"/>
          <w:w w:val="110"/>
        </w:rPr>
        <w:t>comienzo</w:t>
      </w:r>
      <w:r>
        <w:rPr>
          <w:color w:val="231F1F"/>
          <w:spacing w:val="-7"/>
          <w:w w:val="110"/>
        </w:rPr>
        <w:t> </w:t>
      </w:r>
      <w:r>
        <w:rPr>
          <w:color w:val="231F1F"/>
          <w:w w:val="110"/>
        </w:rPr>
        <w:t>de</w:t>
      </w:r>
      <w:r>
        <w:rPr>
          <w:color w:val="231F1F"/>
          <w:spacing w:val="-7"/>
          <w:w w:val="110"/>
        </w:rPr>
        <w:t> </w:t>
      </w:r>
      <w:r>
        <w:rPr>
          <w:color w:val="231F1F"/>
          <w:w w:val="110"/>
        </w:rPr>
        <w:t>la cuarta</w:t>
      </w:r>
      <w:r>
        <w:rPr>
          <w:color w:val="231F1F"/>
          <w:spacing w:val="-3"/>
          <w:w w:val="110"/>
        </w:rPr>
        <w:t> </w:t>
      </w:r>
      <w:r>
        <w:rPr>
          <w:color w:val="231F1F"/>
          <w:w w:val="110"/>
        </w:rPr>
        <w:t>hora</w:t>
      </w:r>
      <w:r>
        <w:rPr>
          <w:color w:val="231F1F"/>
          <w:spacing w:val="-3"/>
          <w:w w:val="110"/>
        </w:rPr>
        <w:t> </w:t>
      </w:r>
      <w:r>
        <w:rPr>
          <w:color w:val="231F1F"/>
          <w:w w:val="110"/>
        </w:rPr>
        <w:t>de</w:t>
      </w:r>
      <w:r>
        <w:rPr>
          <w:color w:val="231F1F"/>
          <w:spacing w:val="-3"/>
          <w:w w:val="110"/>
        </w:rPr>
        <w:t> </w:t>
      </w:r>
      <w:r>
        <w:rPr>
          <w:color w:val="231F1F"/>
          <w:w w:val="110"/>
        </w:rPr>
        <w:t>la</w:t>
      </w:r>
      <w:r>
        <w:rPr>
          <w:color w:val="231F1F"/>
          <w:spacing w:val="-3"/>
          <w:w w:val="110"/>
        </w:rPr>
        <w:t> </w:t>
      </w:r>
      <w:r>
        <w:rPr>
          <w:color w:val="231F1F"/>
          <w:w w:val="110"/>
        </w:rPr>
        <w:t>segunda</w:t>
      </w:r>
      <w:r>
        <w:rPr>
          <w:color w:val="231F1F"/>
          <w:spacing w:val="-4"/>
          <w:w w:val="110"/>
        </w:rPr>
        <w:t> </w:t>
      </w:r>
      <w:r>
        <w:rPr>
          <w:color w:val="231F1F"/>
          <w:w w:val="110"/>
        </w:rPr>
        <w:t>etapa,</w:t>
      </w:r>
      <w:r>
        <w:rPr>
          <w:color w:val="231F1F"/>
          <w:spacing w:val="-4"/>
          <w:w w:val="110"/>
        </w:rPr>
        <w:t> </w:t>
      </w:r>
      <w:r>
        <w:rPr>
          <w:color w:val="231F1F"/>
          <w:w w:val="110"/>
        </w:rPr>
        <w:t>para</w:t>
      </w:r>
      <w:r>
        <w:rPr>
          <w:color w:val="231F1F"/>
          <w:spacing w:val="-3"/>
          <w:w w:val="110"/>
        </w:rPr>
        <w:t> </w:t>
      </w:r>
      <w:r>
        <w:rPr>
          <w:color w:val="231F1F"/>
          <w:w w:val="110"/>
        </w:rPr>
        <w:t>determinar</w:t>
      </w:r>
      <w:r>
        <w:rPr>
          <w:color w:val="231F1F"/>
          <w:spacing w:val="-4"/>
          <w:w w:val="110"/>
        </w:rPr>
        <w:t> </w:t>
      </w:r>
      <w:r>
        <w:rPr>
          <w:color w:val="231F1F"/>
          <w:w w:val="110"/>
        </w:rPr>
        <w:t>si</w:t>
      </w:r>
      <w:r>
        <w:rPr>
          <w:color w:val="231F1F"/>
          <w:spacing w:val="-4"/>
          <w:w w:val="110"/>
        </w:rPr>
        <w:t> </w:t>
      </w:r>
      <w:r>
        <w:rPr>
          <w:color w:val="231F1F"/>
          <w:w w:val="110"/>
        </w:rPr>
        <w:t>es</w:t>
      </w:r>
      <w:r>
        <w:rPr>
          <w:color w:val="231F1F"/>
          <w:spacing w:val="-3"/>
          <w:w w:val="110"/>
        </w:rPr>
        <w:t> </w:t>
      </w:r>
      <w:r>
        <w:rPr>
          <w:color w:val="231F1F"/>
          <w:w w:val="110"/>
        </w:rPr>
        <w:t>probable</w:t>
      </w:r>
      <w:r>
        <w:rPr>
          <w:color w:val="231F1F"/>
          <w:spacing w:val="-4"/>
          <w:w w:val="110"/>
        </w:rPr>
        <w:t> </w:t>
      </w:r>
      <w:r>
        <w:rPr>
          <w:color w:val="231F1F"/>
          <w:w w:val="110"/>
        </w:rPr>
        <w:t>un</w:t>
      </w:r>
      <w:r>
        <w:rPr>
          <w:color w:val="231F1F"/>
          <w:spacing w:val="-3"/>
          <w:w w:val="110"/>
        </w:rPr>
        <w:t> </w:t>
      </w:r>
      <w:r>
        <w:rPr>
          <w:color w:val="231F1F"/>
          <w:w w:val="110"/>
        </w:rPr>
        <w:t>parto</w:t>
      </w:r>
      <w:r>
        <w:rPr>
          <w:color w:val="231F1F"/>
          <w:spacing w:val="-3"/>
          <w:w w:val="110"/>
        </w:rPr>
        <w:t> </w:t>
      </w:r>
      <w:r>
        <w:rPr>
          <w:color w:val="231F1F"/>
          <w:w w:val="110"/>
        </w:rPr>
        <w:t>es- pontáneo.</w:t>
      </w:r>
      <w:r>
        <w:rPr>
          <w:color w:val="231F1F"/>
          <w:spacing w:val="-9"/>
          <w:w w:val="110"/>
        </w:rPr>
        <w:t> </w:t>
      </w:r>
      <w:r>
        <w:rPr>
          <w:color w:val="231F1F"/>
          <w:w w:val="110"/>
        </w:rPr>
        <w:t>Si</w:t>
      </w:r>
      <w:r>
        <w:rPr>
          <w:color w:val="231F1F"/>
          <w:spacing w:val="-9"/>
          <w:w w:val="110"/>
        </w:rPr>
        <w:t> </w:t>
      </w:r>
      <w:r>
        <w:rPr>
          <w:color w:val="231F1F"/>
          <w:w w:val="110"/>
        </w:rPr>
        <w:t>no</w:t>
      </w:r>
      <w:r>
        <w:rPr>
          <w:color w:val="231F1F"/>
          <w:spacing w:val="-8"/>
          <w:w w:val="110"/>
        </w:rPr>
        <w:t> </w:t>
      </w:r>
      <w:r>
        <w:rPr>
          <w:color w:val="231F1F"/>
          <w:w w:val="110"/>
        </w:rPr>
        <w:t>lo</w:t>
      </w:r>
      <w:r>
        <w:rPr>
          <w:color w:val="231F1F"/>
          <w:spacing w:val="-8"/>
          <w:w w:val="110"/>
        </w:rPr>
        <w:t> </w:t>
      </w:r>
      <w:r>
        <w:rPr>
          <w:color w:val="231F1F"/>
          <w:w w:val="110"/>
        </w:rPr>
        <w:t>es,</w:t>
      </w:r>
      <w:r>
        <w:rPr>
          <w:color w:val="231F1F"/>
          <w:spacing w:val="-9"/>
          <w:w w:val="110"/>
        </w:rPr>
        <w:t> </w:t>
      </w:r>
      <w:r>
        <w:rPr>
          <w:color w:val="231F1F"/>
          <w:w w:val="110"/>
        </w:rPr>
        <w:t>se</w:t>
      </w:r>
      <w:r>
        <w:rPr>
          <w:color w:val="231F1F"/>
          <w:spacing w:val="-8"/>
          <w:w w:val="110"/>
        </w:rPr>
        <w:t> </w:t>
      </w:r>
      <w:r>
        <w:rPr>
          <w:color w:val="231F1F"/>
          <w:w w:val="110"/>
        </w:rPr>
        <w:t>debe</w:t>
      </w:r>
      <w:r>
        <w:rPr>
          <w:color w:val="231F1F"/>
          <w:spacing w:val="-8"/>
          <w:w w:val="110"/>
        </w:rPr>
        <w:t> </w:t>
      </w:r>
      <w:r>
        <w:rPr>
          <w:color w:val="231F1F"/>
          <w:w w:val="110"/>
        </w:rPr>
        <w:t>estimar</w:t>
      </w:r>
      <w:r>
        <w:rPr>
          <w:color w:val="231F1F"/>
          <w:spacing w:val="-9"/>
          <w:w w:val="110"/>
        </w:rPr>
        <w:t> </w:t>
      </w:r>
      <w:r>
        <w:rPr>
          <w:color w:val="231F1F"/>
          <w:w w:val="110"/>
        </w:rPr>
        <w:t>cuanto</w:t>
      </w:r>
      <w:r>
        <w:rPr>
          <w:color w:val="231F1F"/>
          <w:spacing w:val="-8"/>
          <w:w w:val="110"/>
        </w:rPr>
        <w:t> </w:t>
      </w:r>
      <w:r>
        <w:rPr>
          <w:color w:val="231F1F"/>
          <w:w w:val="110"/>
        </w:rPr>
        <w:t>más</w:t>
      </w:r>
      <w:r>
        <w:rPr>
          <w:color w:val="231F1F"/>
          <w:spacing w:val="-8"/>
          <w:w w:val="110"/>
        </w:rPr>
        <w:t> </w:t>
      </w:r>
      <w:r>
        <w:rPr>
          <w:color w:val="231F1F"/>
          <w:w w:val="110"/>
        </w:rPr>
        <w:t>de</w:t>
      </w:r>
      <w:r>
        <w:rPr>
          <w:color w:val="231F1F"/>
          <w:spacing w:val="-8"/>
          <w:w w:val="110"/>
        </w:rPr>
        <w:t> </w:t>
      </w:r>
      <w:r>
        <w:rPr>
          <w:color w:val="231F1F"/>
          <w:w w:val="110"/>
        </w:rPr>
        <w:t>esas</w:t>
      </w:r>
      <w:r>
        <w:rPr>
          <w:color w:val="231F1F"/>
          <w:spacing w:val="-8"/>
          <w:w w:val="110"/>
        </w:rPr>
        <w:t> </w:t>
      </w:r>
      <w:r>
        <w:rPr>
          <w:color w:val="231F1F"/>
          <w:w w:val="110"/>
        </w:rPr>
        <w:t>cuatro</w:t>
      </w:r>
      <w:r>
        <w:rPr>
          <w:color w:val="231F1F"/>
          <w:spacing w:val="-8"/>
          <w:w w:val="110"/>
        </w:rPr>
        <w:t> </w:t>
      </w:r>
      <w:r>
        <w:rPr>
          <w:color w:val="231F1F"/>
          <w:w w:val="110"/>
        </w:rPr>
        <w:t>horas</w:t>
      </w:r>
      <w:r>
        <w:rPr>
          <w:color w:val="231F1F"/>
          <w:spacing w:val="-9"/>
          <w:w w:val="110"/>
        </w:rPr>
        <w:t> </w:t>
      </w:r>
      <w:r>
        <w:rPr>
          <w:color w:val="231F1F"/>
          <w:w w:val="110"/>
        </w:rPr>
        <w:t>se</w:t>
      </w:r>
      <w:r>
        <w:rPr>
          <w:color w:val="231F1F"/>
          <w:spacing w:val="-8"/>
          <w:w w:val="110"/>
        </w:rPr>
        <w:t> </w:t>
      </w:r>
      <w:r>
        <w:rPr>
          <w:color w:val="231F1F"/>
          <w:w w:val="110"/>
        </w:rPr>
        <w:t>va a prolongar para considerar posibles alternativas. La probabilidad de parto vaginal espontáneo en mujeres nulíparas que no han dado a luz después de cuatro</w:t>
      </w:r>
      <w:r>
        <w:rPr>
          <w:color w:val="231F1F"/>
          <w:spacing w:val="-10"/>
          <w:w w:val="110"/>
        </w:rPr>
        <w:t> </w:t>
      </w:r>
      <w:r>
        <w:rPr>
          <w:color w:val="231F1F"/>
          <w:w w:val="110"/>
        </w:rPr>
        <w:t>horas</w:t>
      </w:r>
      <w:r>
        <w:rPr>
          <w:color w:val="231F1F"/>
          <w:spacing w:val="-10"/>
          <w:w w:val="110"/>
        </w:rPr>
        <w:t> </w:t>
      </w:r>
      <w:r>
        <w:rPr>
          <w:color w:val="231F1F"/>
          <w:w w:val="110"/>
        </w:rPr>
        <w:t>es</w:t>
      </w:r>
      <w:r>
        <w:rPr>
          <w:color w:val="231F1F"/>
          <w:spacing w:val="-10"/>
          <w:w w:val="110"/>
        </w:rPr>
        <w:t> </w:t>
      </w:r>
      <w:r>
        <w:rPr>
          <w:color w:val="231F1F"/>
          <w:w w:val="110"/>
        </w:rPr>
        <w:t>del</w:t>
      </w:r>
      <w:r>
        <w:rPr>
          <w:color w:val="231F1F"/>
          <w:spacing w:val="-10"/>
          <w:w w:val="110"/>
        </w:rPr>
        <w:t> </w:t>
      </w:r>
      <w:r>
        <w:rPr>
          <w:color w:val="231F1F"/>
          <w:w w:val="110"/>
        </w:rPr>
        <w:t>24%</w:t>
      </w:r>
      <w:r>
        <w:rPr>
          <w:color w:val="231F1F"/>
          <w:spacing w:val="-9"/>
          <w:w w:val="110"/>
        </w:rPr>
        <w:t> </w:t>
      </w:r>
      <w:r>
        <w:rPr>
          <w:color w:val="231F1F"/>
          <w:w w:val="110"/>
        </w:rPr>
        <w:t>en</w:t>
      </w:r>
      <w:r>
        <w:rPr>
          <w:color w:val="231F1F"/>
          <w:spacing w:val="-10"/>
          <w:w w:val="110"/>
        </w:rPr>
        <w:t> </w:t>
      </w:r>
      <w:r>
        <w:rPr>
          <w:color w:val="231F1F"/>
          <w:w w:val="110"/>
        </w:rPr>
        <w:t>mujeres</w:t>
      </w:r>
      <w:r>
        <w:rPr>
          <w:color w:val="231F1F"/>
          <w:spacing w:val="-10"/>
          <w:w w:val="110"/>
        </w:rPr>
        <w:t> </w:t>
      </w:r>
      <w:r>
        <w:rPr>
          <w:color w:val="231F1F"/>
          <w:w w:val="110"/>
        </w:rPr>
        <w:t>sin</w:t>
      </w:r>
      <w:r>
        <w:rPr>
          <w:color w:val="231F1F"/>
          <w:spacing w:val="-10"/>
          <w:w w:val="110"/>
        </w:rPr>
        <w:t> </w:t>
      </w:r>
      <w:r>
        <w:rPr>
          <w:color w:val="231F1F"/>
          <w:w w:val="110"/>
        </w:rPr>
        <w:t>anestesia</w:t>
      </w:r>
      <w:r>
        <w:rPr>
          <w:color w:val="231F1F"/>
          <w:spacing w:val="-10"/>
          <w:w w:val="110"/>
        </w:rPr>
        <w:t> </w:t>
      </w:r>
      <w:r>
        <w:rPr>
          <w:color w:val="231F1F"/>
          <w:w w:val="110"/>
        </w:rPr>
        <w:t>epidural</w:t>
      </w:r>
      <w:r>
        <w:rPr>
          <w:color w:val="231F1F"/>
          <w:spacing w:val="-10"/>
          <w:w w:val="110"/>
        </w:rPr>
        <w:t> </w:t>
      </w:r>
      <w:r>
        <w:rPr>
          <w:color w:val="231F1F"/>
          <w:w w:val="110"/>
        </w:rPr>
        <w:t>y</w:t>
      </w:r>
      <w:r>
        <w:rPr>
          <w:color w:val="231F1F"/>
          <w:spacing w:val="-10"/>
          <w:w w:val="110"/>
        </w:rPr>
        <w:t> </w:t>
      </w:r>
      <w:r>
        <w:rPr>
          <w:color w:val="231F1F"/>
          <w:w w:val="110"/>
        </w:rPr>
        <w:t>28%</w:t>
      </w:r>
      <w:r>
        <w:rPr>
          <w:color w:val="231F1F"/>
          <w:spacing w:val="-9"/>
          <w:w w:val="110"/>
        </w:rPr>
        <w:t> </w:t>
      </w:r>
      <w:r>
        <w:rPr>
          <w:color w:val="231F1F"/>
          <w:w w:val="110"/>
        </w:rPr>
        <w:t>en</w:t>
      </w:r>
      <w:r>
        <w:rPr>
          <w:color w:val="231F1F"/>
          <w:spacing w:val="-10"/>
          <w:w w:val="110"/>
        </w:rPr>
        <w:t> </w:t>
      </w:r>
      <w:r>
        <w:rPr>
          <w:color w:val="231F1F"/>
          <w:w w:val="110"/>
        </w:rPr>
        <w:t>mujeres con anestesia epidural.</w:t>
      </w:r>
    </w:p>
    <w:p>
      <w:pPr>
        <w:pStyle w:val="BodyText"/>
        <w:spacing w:line="249" w:lineRule="auto" w:before="121"/>
        <w:ind w:left="283" w:right="1369" w:firstLine="453"/>
        <w:jc w:val="both"/>
      </w:pPr>
      <w:r>
        <w:rPr>
          <w:color w:val="231F1F"/>
          <w:w w:val="105"/>
        </w:rPr>
        <w:t>En ocasiones la duración prolongada de la segunda etapa puede ser con- secuencia de desproporciones céfalo-pélvicas o malposiciones, por lo que se propone valorar dicha causalidad a fin de decidir el realizar un parto asistido.</w:t>
      </w:r>
    </w:p>
    <w:p>
      <w:pPr>
        <w:pStyle w:val="BodyText"/>
        <w:spacing w:after="0" w:line="249" w:lineRule="auto"/>
        <w:jc w:val="both"/>
        <w:sectPr>
          <w:type w:val="continuous"/>
          <w:pgSz w:w="11900" w:h="16840"/>
          <w:pgMar w:header="0" w:footer="622" w:top="560" w:bottom="280" w:left="1417" w:right="1559"/>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44" w:lineRule="auto" w:before="44"/>
              <w:ind w:right="81"/>
              <w:jc w:val="both"/>
              <w:rPr>
                <w:sz w:val="22"/>
              </w:rPr>
            </w:pPr>
            <w:r>
              <w:rPr>
                <w:color w:val="231F1F"/>
                <w:w w:val="105"/>
                <w:sz w:val="22"/>
              </w:rPr>
              <w:t>Existe</w:t>
            </w:r>
            <w:r>
              <w:rPr>
                <w:color w:val="231F1F"/>
                <w:w w:val="105"/>
                <w:sz w:val="22"/>
              </w:rPr>
              <w:t> una</w:t>
            </w:r>
            <w:r>
              <w:rPr>
                <w:color w:val="231F1F"/>
                <w:w w:val="105"/>
                <w:sz w:val="22"/>
              </w:rPr>
              <w:t> moderada</w:t>
            </w:r>
            <w:r>
              <w:rPr>
                <w:color w:val="231F1F"/>
                <w:w w:val="105"/>
                <w:sz w:val="22"/>
              </w:rPr>
              <w:t> evidencia</w:t>
            </w:r>
            <w:r>
              <w:rPr>
                <w:color w:val="231F1F"/>
                <w:w w:val="105"/>
                <w:sz w:val="22"/>
              </w:rPr>
              <w:t> de</w:t>
            </w:r>
            <w:r>
              <w:rPr>
                <w:color w:val="231F1F"/>
                <w:w w:val="105"/>
                <w:sz w:val="22"/>
              </w:rPr>
              <w:t> asociación</w:t>
            </w:r>
            <w:r>
              <w:rPr>
                <w:color w:val="231F1F"/>
                <w:w w:val="105"/>
                <w:sz w:val="22"/>
              </w:rPr>
              <w:t> entre</w:t>
            </w:r>
            <w:r>
              <w:rPr>
                <w:color w:val="231F1F"/>
                <w:w w:val="105"/>
                <w:sz w:val="22"/>
              </w:rPr>
              <w:t> una</w:t>
            </w:r>
            <w:r>
              <w:rPr>
                <w:color w:val="231F1F"/>
                <w:w w:val="105"/>
                <w:sz w:val="22"/>
              </w:rPr>
              <w:t> segunda</w:t>
            </w:r>
            <w:r>
              <w:rPr>
                <w:color w:val="231F1F"/>
                <w:w w:val="105"/>
                <w:sz w:val="22"/>
              </w:rPr>
              <w:t> etapa</w:t>
            </w:r>
            <w:r>
              <w:rPr>
                <w:color w:val="231F1F"/>
                <w:w w:val="105"/>
                <w:sz w:val="22"/>
              </w:rPr>
              <w:t> del parto</w:t>
            </w:r>
            <w:r>
              <w:rPr>
                <w:color w:val="231F1F"/>
                <w:spacing w:val="-8"/>
                <w:w w:val="105"/>
                <w:sz w:val="22"/>
              </w:rPr>
              <w:t> </w:t>
            </w:r>
            <w:r>
              <w:rPr>
                <w:color w:val="231F1F"/>
                <w:w w:val="105"/>
                <w:sz w:val="22"/>
              </w:rPr>
              <w:t>prolongada</w:t>
            </w:r>
            <w:r>
              <w:rPr>
                <w:color w:val="231F1F"/>
                <w:spacing w:val="-8"/>
                <w:w w:val="105"/>
                <w:sz w:val="22"/>
              </w:rPr>
              <w:t> </w:t>
            </w:r>
            <w:r>
              <w:rPr>
                <w:color w:val="231F1F"/>
                <w:w w:val="105"/>
                <w:sz w:val="22"/>
              </w:rPr>
              <w:t>y</w:t>
            </w:r>
            <w:r>
              <w:rPr>
                <w:color w:val="231F1F"/>
                <w:spacing w:val="-7"/>
                <w:w w:val="105"/>
                <w:sz w:val="22"/>
              </w:rPr>
              <w:t> </w:t>
            </w:r>
            <w:r>
              <w:rPr>
                <w:color w:val="231F1F"/>
                <w:w w:val="105"/>
                <w:sz w:val="22"/>
              </w:rPr>
              <w:t>la</w:t>
            </w:r>
            <w:r>
              <w:rPr>
                <w:color w:val="231F1F"/>
                <w:spacing w:val="-7"/>
                <w:w w:val="105"/>
                <w:sz w:val="22"/>
              </w:rPr>
              <w:t> </w:t>
            </w:r>
            <w:r>
              <w:rPr>
                <w:color w:val="231F1F"/>
                <w:w w:val="105"/>
                <w:sz w:val="22"/>
              </w:rPr>
              <w:t>corioamnionitis,</w:t>
            </w:r>
            <w:r>
              <w:rPr>
                <w:color w:val="231F1F"/>
                <w:spacing w:val="-6"/>
                <w:w w:val="105"/>
                <w:sz w:val="22"/>
              </w:rPr>
              <w:t> </w:t>
            </w:r>
            <w:r>
              <w:rPr>
                <w:color w:val="231F1F"/>
                <w:w w:val="105"/>
                <w:sz w:val="22"/>
              </w:rPr>
              <w:t>laceraciones</w:t>
            </w:r>
            <w:r>
              <w:rPr>
                <w:color w:val="231F1F"/>
                <w:spacing w:val="-9"/>
                <w:w w:val="105"/>
                <w:sz w:val="22"/>
              </w:rPr>
              <w:t> </w:t>
            </w:r>
            <w:r>
              <w:rPr>
                <w:color w:val="231F1F"/>
                <w:w w:val="105"/>
                <w:sz w:val="22"/>
              </w:rPr>
              <w:t>de</w:t>
            </w:r>
            <w:r>
              <w:rPr>
                <w:color w:val="231F1F"/>
                <w:spacing w:val="-7"/>
                <w:w w:val="105"/>
                <w:sz w:val="22"/>
              </w:rPr>
              <w:t> </w:t>
            </w:r>
            <w:r>
              <w:rPr>
                <w:color w:val="231F1F"/>
                <w:w w:val="105"/>
                <w:sz w:val="22"/>
              </w:rPr>
              <w:t>3º</w:t>
            </w:r>
            <w:r>
              <w:rPr>
                <w:color w:val="231F1F"/>
                <w:spacing w:val="-7"/>
                <w:w w:val="105"/>
                <w:sz w:val="22"/>
              </w:rPr>
              <w:t> </w:t>
            </w:r>
            <w:r>
              <w:rPr>
                <w:color w:val="231F1F"/>
                <w:w w:val="105"/>
                <w:sz w:val="22"/>
              </w:rPr>
              <w:t>ó</w:t>
            </w:r>
            <w:r>
              <w:rPr>
                <w:color w:val="231F1F"/>
                <w:spacing w:val="-7"/>
                <w:w w:val="105"/>
                <w:sz w:val="22"/>
              </w:rPr>
              <w:t> </w:t>
            </w:r>
            <w:r>
              <w:rPr>
                <w:color w:val="231F1F"/>
                <w:w w:val="105"/>
                <w:sz w:val="22"/>
              </w:rPr>
              <w:t>4º</w:t>
            </w:r>
            <w:r>
              <w:rPr>
                <w:color w:val="231F1F"/>
                <w:spacing w:val="-7"/>
                <w:w w:val="105"/>
                <w:sz w:val="22"/>
              </w:rPr>
              <w:t> </w:t>
            </w:r>
            <w:r>
              <w:rPr>
                <w:color w:val="231F1F"/>
                <w:w w:val="105"/>
                <w:sz w:val="22"/>
              </w:rPr>
              <w:t>grado,</w:t>
            </w:r>
            <w:r>
              <w:rPr>
                <w:color w:val="231F1F"/>
                <w:spacing w:val="-8"/>
                <w:w w:val="105"/>
                <w:sz w:val="22"/>
              </w:rPr>
              <w:t> </w:t>
            </w:r>
            <w:r>
              <w:rPr>
                <w:color w:val="231F1F"/>
                <w:w w:val="105"/>
                <w:sz w:val="22"/>
              </w:rPr>
              <w:t>cesáreas, partos vaginales instrumentados y valores bajos en el test de Apgar (&lt;7 a los 5 minutos) (90).</w:t>
            </w:r>
          </w:p>
        </w:tc>
        <w:tc>
          <w:tcPr>
            <w:tcW w:w="1133" w:type="dxa"/>
          </w:tcPr>
          <w:p>
            <w:pPr>
              <w:pStyle w:val="TableParagraph"/>
              <w:spacing w:before="227"/>
              <w:ind w:left="0"/>
              <w:rPr>
                <w:rFonts w:ascii="Arial MT"/>
                <w:sz w:val="22"/>
              </w:rPr>
            </w:pPr>
          </w:p>
          <w:p>
            <w:pPr>
              <w:pStyle w:val="TableParagraph"/>
              <w:spacing w:before="1"/>
              <w:ind w:left="49"/>
              <w:jc w:val="center"/>
              <w:rPr>
                <w:sz w:val="22"/>
              </w:rPr>
            </w:pPr>
            <w:r>
              <w:rPr>
                <w:color w:val="231F1F"/>
                <w:spacing w:val="-10"/>
                <w:sz w:val="22"/>
              </w:rPr>
              <w:t>3</w:t>
            </w:r>
          </w:p>
        </w:tc>
      </w:tr>
      <w:tr>
        <w:trPr>
          <w:trHeight w:val="1521" w:hRule="atLeast"/>
        </w:trPr>
        <w:tc>
          <w:tcPr>
            <w:tcW w:w="7373" w:type="dxa"/>
          </w:tcPr>
          <w:p>
            <w:pPr>
              <w:pStyle w:val="TableParagraph"/>
              <w:spacing w:line="252" w:lineRule="auto" w:before="44"/>
              <w:ind w:right="87"/>
              <w:jc w:val="both"/>
              <w:rPr>
                <w:sz w:val="22"/>
              </w:rPr>
            </w:pPr>
            <w:r>
              <w:rPr>
                <w:color w:val="231F1F"/>
                <w:w w:val="105"/>
                <w:sz w:val="22"/>
              </w:rPr>
              <w:t>Existe</w:t>
            </w:r>
            <w:r>
              <w:rPr>
                <w:color w:val="231F1F"/>
                <w:w w:val="105"/>
                <w:sz w:val="22"/>
              </w:rPr>
              <w:t> cierta</w:t>
            </w:r>
            <w:r>
              <w:rPr>
                <w:color w:val="231F1F"/>
                <w:w w:val="105"/>
                <w:sz w:val="22"/>
              </w:rPr>
              <w:t> evidencia</w:t>
            </w:r>
            <w:r>
              <w:rPr>
                <w:color w:val="231F1F"/>
                <w:w w:val="105"/>
                <w:sz w:val="22"/>
              </w:rPr>
              <w:t> de</w:t>
            </w:r>
            <w:r>
              <w:rPr>
                <w:color w:val="231F1F"/>
                <w:w w:val="105"/>
                <w:sz w:val="22"/>
              </w:rPr>
              <w:t> que</w:t>
            </w:r>
            <w:r>
              <w:rPr>
                <w:color w:val="231F1F"/>
                <w:w w:val="105"/>
                <w:sz w:val="22"/>
              </w:rPr>
              <w:t> una</w:t>
            </w:r>
            <w:r>
              <w:rPr>
                <w:color w:val="231F1F"/>
                <w:w w:val="105"/>
                <w:sz w:val="22"/>
              </w:rPr>
              <w:t> segunda</w:t>
            </w:r>
            <w:r>
              <w:rPr>
                <w:color w:val="231F1F"/>
                <w:w w:val="105"/>
                <w:sz w:val="22"/>
              </w:rPr>
              <w:t> etapa</w:t>
            </w:r>
            <w:r>
              <w:rPr>
                <w:color w:val="231F1F"/>
                <w:w w:val="105"/>
                <w:sz w:val="22"/>
              </w:rPr>
              <w:t> mayor</w:t>
            </w:r>
            <w:r>
              <w:rPr>
                <w:color w:val="231F1F"/>
                <w:w w:val="105"/>
                <w:sz w:val="22"/>
              </w:rPr>
              <w:t> de</w:t>
            </w:r>
            <w:r>
              <w:rPr>
                <w:color w:val="231F1F"/>
                <w:w w:val="105"/>
                <w:sz w:val="22"/>
              </w:rPr>
              <w:t> 120</w:t>
            </w:r>
            <w:r>
              <w:rPr>
                <w:color w:val="231F1F"/>
                <w:w w:val="105"/>
                <w:sz w:val="22"/>
              </w:rPr>
              <w:t> minutos frente a una segunda etapa de 1 a 120 minutos, así como &gt;240 minutos fren- te 121-240 minutos, está asociada con diversas intervenciones médicas, tales como, uso de la episiotomía, parto vaginal instrumental y mayor frecuencia de trauma perineal (91).</w:t>
            </w:r>
          </w:p>
        </w:tc>
        <w:tc>
          <w:tcPr>
            <w:tcW w:w="1133" w:type="dxa"/>
          </w:tcPr>
          <w:p>
            <w:pPr>
              <w:pStyle w:val="TableParagraph"/>
              <w:ind w:left="0"/>
              <w:rPr>
                <w:rFonts w:ascii="Arial MT"/>
                <w:sz w:val="22"/>
              </w:rPr>
            </w:pPr>
          </w:p>
          <w:p>
            <w:pPr>
              <w:pStyle w:val="TableParagraph"/>
              <w:spacing w:before="114"/>
              <w:ind w:left="0"/>
              <w:rPr>
                <w:rFonts w:ascii="Arial MT"/>
                <w:sz w:val="22"/>
              </w:rPr>
            </w:pPr>
          </w:p>
          <w:p>
            <w:pPr>
              <w:pStyle w:val="TableParagraph"/>
              <w:ind w:left="49"/>
              <w:jc w:val="center"/>
              <w:rPr>
                <w:sz w:val="22"/>
              </w:rPr>
            </w:pPr>
            <w:r>
              <w:rPr>
                <w:color w:val="231F1F"/>
                <w:spacing w:val="-10"/>
                <w:sz w:val="22"/>
              </w:rPr>
              <w:t>3</w:t>
            </w:r>
          </w:p>
        </w:tc>
      </w:tr>
      <w:tr>
        <w:trPr>
          <w:trHeight w:val="1242" w:hRule="atLeast"/>
        </w:trPr>
        <w:tc>
          <w:tcPr>
            <w:tcW w:w="7373" w:type="dxa"/>
          </w:tcPr>
          <w:p>
            <w:pPr>
              <w:pStyle w:val="TableParagraph"/>
              <w:spacing w:line="244" w:lineRule="auto" w:before="44"/>
              <w:ind w:right="91"/>
              <w:jc w:val="both"/>
              <w:rPr>
                <w:sz w:val="22"/>
              </w:rPr>
            </w:pPr>
            <w:r>
              <w:rPr>
                <w:color w:val="231F1F"/>
                <w:w w:val="110"/>
                <w:sz w:val="22"/>
              </w:rPr>
              <w:t>Existe una asociación entre 2ª etapa prolongada y valores bajos en el test Apgar en el primer minuto, hemorragias posparto, desgarros perineales y fiebre</w:t>
            </w:r>
            <w:r>
              <w:rPr>
                <w:color w:val="231F1F"/>
                <w:spacing w:val="-5"/>
                <w:w w:val="110"/>
                <w:sz w:val="22"/>
              </w:rPr>
              <w:t> </w:t>
            </w:r>
            <w:r>
              <w:rPr>
                <w:color w:val="231F1F"/>
                <w:w w:val="110"/>
                <w:sz w:val="22"/>
              </w:rPr>
              <w:t>posparto,</w:t>
            </w:r>
            <w:r>
              <w:rPr>
                <w:color w:val="231F1F"/>
                <w:spacing w:val="-6"/>
                <w:w w:val="110"/>
                <w:sz w:val="22"/>
              </w:rPr>
              <w:t> </w:t>
            </w:r>
            <w:r>
              <w:rPr>
                <w:color w:val="231F1F"/>
                <w:w w:val="110"/>
                <w:sz w:val="22"/>
              </w:rPr>
              <w:t>aunque</w:t>
            </w:r>
            <w:r>
              <w:rPr>
                <w:color w:val="231F1F"/>
                <w:spacing w:val="-5"/>
                <w:w w:val="110"/>
                <w:sz w:val="22"/>
              </w:rPr>
              <w:t> </w:t>
            </w:r>
            <w:r>
              <w:rPr>
                <w:color w:val="231F1F"/>
                <w:w w:val="110"/>
                <w:sz w:val="22"/>
              </w:rPr>
              <w:t>no</w:t>
            </w:r>
            <w:r>
              <w:rPr>
                <w:color w:val="231F1F"/>
                <w:spacing w:val="-5"/>
                <w:w w:val="110"/>
                <w:sz w:val="22"/>
              </w:rPr>
              <w:t> </w:t>
            </w:r>
            <w:r>
              <w:rPr>
                <w:color w:val="231F1F"/>
                <w:w w:val="110"/>
                <w:sz w:val="22"/>
              </w:rPr>
              <w:t>se</w:t>
            </w:r>
            <w:r>
              <w:rPr>
                <w:color w:val="231F1F"/>
                <w:spacing w:val="-6"/>
                <w:w w:val="110"/>
                <w:sz w:val="22"/>
              </w:rPr>
              <w:t> </w:t>
            </w:r>
            <w:r>
              <w:rPr>
                <w:color w:val="231F1F"/>
                <w:w w:val="110"/>
                <w:sz w:val="22"/>
              </w:rPr>
              <w:t>tuvieron</w:t>
            </w:r>
            <w:r>
              <w:rPr>
                <w:color w:val="231F1F"/>
                <w:spacing w:val="-6"/>
                <w:w w:val="110"/>
                <w:sz w:val="22"/>
              </w:rPr>
              <w:t> </w:t>
            </w:r>
            <w:r>
              <w:rPr>
                <w:color w:val="231F1F"/>
                <w:w w:val="110"/>
                <w:sz w:val="22"/>
              </w:rPr>
              <w:t>en</w:t>
            </w:r>
            <w:r>
              <w:rPr>
                <w:color w:val="231F1F"/>
                <w:spacing w:val="-5"/>
                <w:w w:val="110"/>
                <w:sz w:val="22"/>
              </w:rPr>
              <w:t> </w:t>
            </w:r>
            <w:r>
              <w:rPr>
                <w:color w:val="231F1F"/>
                <w:w w:val="110"/>
                <w:sz w:val="22"/>
              </w:rPr>
              <w:t>cuenta</w:t>
            </w:r>
            <w:r>
              <w:rPr>
                <w:color w:val="231F1F"/>
                <w:spacing w:val="-5"/>
                <w:w w:val="110"/>
                <w:sz w:val="22"/>
              </w:rPr>
              <w:t> </w:t>
            </w:r>
            <w:r>
              <w:rPr>
                <w:color w:val="231F1F"/>
                <w:w w:val="110"/>
                <w:sz w:val="22"/>
              </w:rPr>
              <w:t>los</w:t>
            </w:r>
            <w:r>
              <w:rPr>
                <w:color w:val="231F1F"/>
                <w:spacing w:val="-6"/>
                <w:w w:val="110"/>
                <w:sz w:val="22"/>
              </w:rPr>
              <w:t> </w:t>
            </w:r>
            <w:r>
              <w:rPr>
                <w:color w:val="231F1F"/>
                <w:w w:val="110"/>
                <w:sz w:val="22"/>
              </w:rPr>
              <w:t>factores</w:t>
            </w:r>
            <w:r>
              <w:rPr>
                <w:color w:val="231F1F"/>
                <w:spacing w:val="-6"/>
                <w:w w:val="110"/>
                <w:sz w:val="22"/>
              </w:rPr>
              <w:t> </w:t>
            </w:r>
            <w:r>
              <w:rPr>
                <w:color w:val="231F1F"/>
                <w:w w:val="110"/>
                <w:sz w:val="22"/>
              </w:rPr>
              <w:t>de</w:t>
            </w:r>
            <w:r>
              <w:rPr>
                <w:color w:val="231F1F"/>
                <w:spacing w:val="-6"/>
                <w:w w:val="110"/>
                <w:sz w:val="22"/>
              </w:rPr>
              <w:t> </w:t>
            </w:r>
            <w:r>
              <w:rPr>
                <w:color w:val="231F1F"/>
                <w:w w:val="110"/>
                <w:sz w:val="22"/>
              </w:rPr>
              <w:t>confusión </w:t>
            </w:r>
            <w:r>
              <w:rPr>
                <w:color w:val="231F1F"/>
                <w:spacing w:val="-4"/>
                <w:w w:val="110"/>
                <w:sz w:val="22"/>
              </w:rPr>
              <w:t>(92).</w:t>
            </w:r>
          </w:p>
        </w:tc>
        <w:tc>
          <w:tcPr>
            <w:tcW w:w="1133" w:type="dxa"/>
          </w:tcPr>
          <w:p>
            <w:pPr>
              <w:pStyle w:val="TableParagraph"/>
              <w:spacing w:before="227"/>
              <w:ind w:left="0"/>
              <w:rPr>
                <w:rFonts w:ascii="Arial MT"/>
                <w:sz w:val="22"/>
              </w:rPr>
            </w:pPr>
          </w:p>
          <w:p>
            <w:pPr>
              <w:pStyle w:val="TableParagraph"/>
              <w:spacing w:before="1"/>
              <w:ind w:left="49"/>
              <w:jc w:val="center"/>
              <w:rPr>
                <w:sz w:val="22"/>
              </w:rPr>
            </w:pPr>
            <w:r>
              <w:rPr>
                <w:color w:val="231F1F"/>
                <w:spacing w:val="-10"/>
                <w:sz w:val="22"/>
              </w:rPr>
              <w:t>3</w:t>
            </w:r>
          </w:p>
        </w:tc>
      </w:tr>
      <w:tr>
        <w:trPr>
          <w:trHeight w:val="676" w:hRule="atLeast"/>
        </w:trPr>
        <w:tc>
          <w:tcPr>
            <w:tcW w:w="7373" w:type="dxa"/>
          </w:tcPr>
          <w:p>
            <w:pPr>
              <w:pStyle w:val="TableParagraph"/>
              <w:spacing w:before="44"/>
              <w:ind w:right="156"/>
              <w:rPr>
                <w:sz w:val="22"/>
              </w:rPr>
            </w:pPr>
            <w:r>
              <w:rPr>
                <w:color w:val="231F1F"/>
                <w:w w:val="110"/>
                <w:sz w:val="22"/>
              </w:rPr>
              <w:t>No</w:t>
            </w:r>
            <w:r>
              <w:rPr>
                <w:color w:val="231F1F"/>
                <w:spacing w:val="-13"/>
                <w:w w:val="110"/>
                <w:sz w:val="22"/>
              </w:rPr>
              <w:t> </w:t>
            </w:r>
            <w:r>
              <w:rPr>
                <w:color w:val="231F1F"/>
                <w:w w:val="110"/>
                <w:sz w:val="22"/>
              </w:rPr>
              <w:t>existe</w:t>
            </w:r>
            <w:r>
              <w:rPr>
                <w:color w:val="231F1F"/>
                <w:spacing w:val="-13"/>
                <w:w w:val="110"/>
                <w:sz w:val="22"/>
              </w:rPr>
              <w:t> </w:t>
            </w:r>
            <w:r>
              <w:rPr>
                <w:color w:val="231F1F"/>
                <w:w w:val="110"/>
                <w:sz w:val="22"/>
              </w:rPr>
              <w:t>asociación</w:t>
            </w:r>
            <w:r>
              <w:rPr>
                <w:color w:val="231F1F"/>
                <w:spacing w:val="-13"/>
                <w:w w:val="110"/>
                <w:sz w:val="22"/>
              </w:rPr>
              <w:t> </w:t>
            </w:r>
            <w:r>
              <w:rPr>
                <w:color w:val="231F1F"/>
                <w:w w:val="110"/>
                <w:sz w:val="22"/>
              </w:rPr>
              <w:t>entre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prolongación</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segunda</w:t>
            </w:r>
            <w:r>
              <w:rPr>
                <w:color w:val="231F1F"/>
                <w:spacing w:val="-13"/>
                <w:w w:val="110"/>
                <w:sz w:val="22"/>
              </w:rPr>
              <w:t> </w:t>
            </w:r>
            <w:r>
              <w:rPr>
                <w:color w:val="231F1F"/>
                <w:w w:val="110"/>
                <w:sz w:val="22"/>
              </w:rPr>
              <w:t>etapa</w:t>
            </w:r>
            <w:r>
              <w:rPr>
                <w:color w:val="231F1F"/>
                <w:spacing w:val="-13"/>
                <w:w w:val="110"/>
                <w:sz w:val="22"/>
              </w:rPr>
              <w:t> </w:t>
            </w:r>
            <w:r>
              <w:rPr>
                <w:color w:val="231F1F"/>
                <w:w w:val="110"/>
                <w:sz w:val="22"/>
              </w:rPr>
              <w:t>del</w:t>
            </w:r>
            <w:r>
              <w:rPr>
                <w:color w:val="231F1F"/>
                <w:spacing w:val="-15"/>
                <w:w w:val="110"/>
                <w:sz w:val="22"/>
              </w:rPr>
              <w:t> </w:t>
            </w:r>
            <w:r>
              <w:rPr>
                <w:color w:val="231F1F"/>
                <w:w w:val="110"/>
                <w:sz w:val="22"/>
              </w:rPr>
              <w:t>parto</w:t>
            </w:r>
            <w:r>
              <w:rPr>
                <w:color w:val="231F1F"/>
                <w:spacing w:val="-13"/>
                <w:w w:val="110"/>
                <w:sz w:val="22"/>
              </w:rPr>
              <w:t> </w:t>
            </w:r>
            <w:r>
              <w:rPr>
                <w:color w:val="231F1F"/>
                <w:w w:val="110"/>
                <w:sz w:val="22"/>
              </w:rPr>
              <w:t>y resultados maternos y neonatales intraparto (93).</w:t>
            </w:r>
          </w:p>
        </w:tc>
        <w:tc>
          <w:tcPr>
            <w:tcW w:w="1133" w:type="dxa"/>
          </w:tcPr>
          <w:p>
            <w:pPr>
              <w:pStyle w:val="TableParagraph"/>
              <w:spacing w:before="197"/>
              <w:ind w:left="49"/>
              <w:jc w:val="center"/>
              <w:rPr>
                <w:sz w:val="22"/>
              </w:rPr>
            </w:pPr>
            <w:r>
              <w:rPr>
                <w:color w:val="231F1F"/>
                <w:spacing w:val="-10"/>
                <w:sz w:val="22"/>
              </w:rPr>
              <w:t>3</w:t>
            </w:r>
          </w:p>
        </w:tc>
      </w:tr>
      <w:tr>
        <w:trPr>
          <w:trHeight w:val="964" w:hRule="atLeast"/>
        </w:trPr>
        <w:tc>
          <w:tcPr>
            <w:tcW w:w="7373" w:type="dxa"/>
          </w:tcPr>
          <w:p>
            <w:pPr>
              <w:pStyle w:val="TableParagraph"/>
              <w:spacing w:line="244" w:lineRule="auto" w:before="49"/>
              <w:ind w:right="90"/>
              <w:jc w:val="both"/>
              <w:rPr>
                <w:sz w:val="22"/>
              </w:rPr>
            </w:pPr>
            <w:r>
              <w:rPr>
                <w:color w:val="231F1F"/>
                <w:w w:val="110"/>
                <w:sz w:val="22"/>
              </w:rPr>
              <w:t>La</w:t>
            </w:r>
            <w:r>
              <w:rPr>
                <w:color w:val="231F1F"/>
                <w:spacing w:val="-1"/>
                <w:w w:val="110"/>
                <w:sz w:val="22"/>
              </w:rPr>
              <w:t> </w:t>
            </w:r>
            <w:r>
              <w:rPr>
                <w:color w:val="231F1F"/>
                <w:w w:val="110"/>
                <w:sz w:val="22"/>
              </w:rPr>
              <w:t>evidencia</w:t>
            </w:r>
            <w:r>
              <w:rPr>
                <w:color w:val="231F1F"/>
                <w:spacing w:val="-1"/>
                <w:w w:val="110"/>
                <w:sz w:val="22"/>
              </w:rPr>
              <w:t> </w:t>
            </w:r>
            <w:r>
              <w:rPr>
                <w:color w:val="231F1F"/>
                <w:w w:val="110"/>
                <w:sz w:val="22"/>
              </w:rPr>
              <w:t>muestra</w:t>
            </w:r>
            <w:r>
              <w:rPr>
                <w:color w:val="231F1F"/>
                <w:spacing w:val="-1"/>
                <w:w w:val="110"/>
                <w:sz w:val="22"/>
              </w:rPr>
              <w:t> </w:t>
            </w:r>
            <w:r>
              <w:rPr>
                <w:color w:val="231F1F"/>
                <w:w w:val="110"/>
                <w:sz w:val="22"/>
              </w:rPr>
              <w:t>que</w:t>
            </w:r>
            <w:r>
              <w:rPr>
                <w:color w:val="231F1F"/>
                <w:spacing w:val="-1"/>
                <w:w w:val="110"/>
                <w:sz w:val="22"/>
              </w:rPr>
              <w:t> </w:t>
            </w:r>
            <w:r>
              <w:rPr>
                <w:color w:val="231F1F"/>
                <w:w w:val="110"/>
                <w:sz w:val="22"/>
              </w:rPr>
              <w:t>una</w:t>
            </w:r>
            <w:r>
              <w:rPr>
                <w:color w:val="231F1F"/>
                <w:spacing w:val="-1"/>
                <w:w w:val="110"/>
                <w:sz w:val="22"/>
              </w:rPr>
              <w:t> </w:t>
            </w:r>
            <w:r>
              <w:rPr>
                <w:color w:val="231F1F"/>
                <w:w w:val="110"/>
                <w:sz w:val="22"/>
              </w:rPr>
              <w:t>segunda</w:t>
            </w:r>
            <w:r>
              <w:rPr>
                <w:color w:val="231F1F"/>
                <w:spacing w:val="-2"/>
                <w:w w:val="110"/>
                <w:sz w:val="22"/>
              </w:rPr>
              <w:t> </w:t>
            </w:r>
            <w:r>
              <w:rPr>
                <w:color w:val="231F1F"/>
                <w:w w:val="110"/>
                <w:sz w:val="22"/>
              </w:rPr>
              <w:t>etapa</w:t>
            </w:r>
            <w:r>
              <w:rPr>
                <w:color w:val="231F1F"/>
                <w:spacing w:val="-1"/>
                <w:w w:val="110"/>
                <w:sz w:val="22"/>
              </w:rPr>
              <w:t> </w:t>
            </w:r>
            <w:r>
              <w:rPr>
                <w:color w:val="231F1F"/>
                <w:w w:val="110"/>
                <w:sz w:val="22"/>
              </w:rPr>
              <w:t>del</w:t>
            </w:r>
            <w:r>
              <w:rPr>
                <w:color w:val="231F1F"/>
                <w:spacing w:val="-2"/>
                <w:w w:val="110"/>
                <w:sz w:val="22"/>
              </w:rPr>
              <w:t> </w:t>
            </w:r>
            <w:r>
              <w:rPr>
                <w:color w:val="231F1F"/>
                <w:w w:val="110"/>
                <w:sz w:val="22"/>
              </w:rPr>
              <w:t>parto</w:t>
            </w:r>
            <w:r>
              <w:rPr>
                <w:color w:val="231F1F"/>
                <w:spacing w:val="-1"/>
                <w:w w:val="110"/>
                <w:sz w:val="22"/>
              </w:rPr>
              <w:t> </w:t>
            </w:r>
            <w:r>
              <w:rPr>
                <w:color w:val="231F1F"/>
                <w:w w:val="110"/>
                <w:sz w:val="22"/>
              </w:rPr>
              <w:t>prolongada</w:t>
            </w:r>
            <w:r>
              <w:rPr>
                <w:color w:val="231F1F"/>
                <w:spacing w:val="-2"/>
                <w:w w:val="110"/>
                <w:sz w:val="22"/>
              </w:rPr>
              <w:t> </w:t>
            </w:r>
            <w:r>
              <w:rPr>
                <w:color w:val="231F1F"/>
                <w:w w:val="110"/>
                <w:sz w:val="22"/>
              </w:rPr>
              <w:t>no</w:t>
            </w:r>
            <w:r>
              <w:rPr>
                <w:color w:val="231F1F"/>
                <w:spacing w:val="-1"/>
                <w:w w:val="110"/>
                <w:sz w:val="22"/>
              </w:rPr>
              <w:t> </w:t>
            </w:r>
            <w:r>
              <w:rPr>
                <w:color w:val="231F1F"/>
                <w:w w:val="110"/>
                <w:sz w:val="22"/>
              </w:rPr>
              <w:t>está </w:t>
            </w:r>
            <w:r>
              <w:rPr>
                <w:color w:val="231F1F"/>
                <w:spacing w:val="-2"/>
                <w:w w:val="110"/>
                <w:sz w:val="22"/>
              </w:rPr>
              <w:t>asociada</w:t>
            </w:r>
            <w:r>
              <w:rPr>
                <w:color w:val="231F1F"/>
                <w:spacing w:val="-9"/>
                <w:w w:val="110"/>
                <w:sz w:val="22"/>
              </w:rPr>
              <w:t> </w:t>
            </w:r>
            <w:r>
              <w:rPr>
                <w:color w:val="231F1F"/>
                <w:spacing w:val="-2"/>
                <w:w w:val="110"/>
                <w:sz w:val="22"/>
              </w:rPr>
              <w:t>a</w:t>
            </w:r>
            <w:r>
              <w:rPr>
                <w:color w:val="231F1F"/>
                <w:spacing w:val="-9"/>
                <w:w w:val="110"/>
                <w:sz w:val="22"/>
              </w:rPr>
              <w:t> </w:t>
            </w:r>
            <w:r>
              <w:rPr>
                <w:color w:val="231F1F"/>
                <w:spacing w:val="-2"/>
                <w:w w:val="110"/>
                <w:sz w:val="22"/>
              </w:rPr>
              <w:t>la</w:t>
            </w:r>
            <w:r>
              <w:rPr>
                <w:color w:val="231F1F"/>
                <w:spacing w:val="-9"/>
                <w:w w:val="110"/>
                <w:sz w:val="22"/>
              </w:rPr>
              <w:t> </w:t>
            </w:r>
            <w:r>
              <w:rPr>
                <w:color w:val="231F1F"/>
                <w:spacing w:val="-2"/>
                <w:w w:val="110"/>
                <w:sz w:val="22"/>
              </w:rPr>
              <w:t>incontinencia</w:t>
            </w:r>
            <w:r>
              <w:rPr>
                <w:color w:val="231F1F"/>
                <w:spacing w:val="-9"/>
                <w:w w:val="110"/>
                <w:sz w:val="22"/>
              </w:rPr>
              <w:t> </w:t>
            </w:r>
            <w:r>
              <w:rPr>
                <w:color w:val="231F1F"/>
                <w:spacing w:val="-2"/>
                <w:w w:val="110"/>
                <w:sz w:val="22"/>
              </w:rPr>
              <w:t>urinaria</w:t>
            </w:r>
            <w:r>
              <w:rPr>
                <w:color w:val="231F1F"/>
                <w:spacing w:val="-9"/>
                <w:w w:val="110"/>
                <w:sz w:val="22"/>
              </w:rPr>
              <w:t> </w:t>
            </w:r>
            <w:r>
              <w:rPr>
                <w:color w:val="231F1F"/>
                <w:spacing w:val="-2"/>
                <w:w w:val="110"/>
                <w:sz w:val="22"/>
              </w:rPr>
              <w:t>de</w:t>
            </w:r>
            <w:r>
              <w:rPr>
                <w:color w:val="231F1F"/>
                <w:spacing w:val="-9"/>
                <w:w w:val="110"/>
                <w:sz w:val="22"/>
              </w:rPr>
              <w:t> </w:t>
            </w:r>
            <w:r>
              <w:rPr>
                <w:color w:val="231F1F"/>
                <w:spacing w:val="-2"/>
                <w:w w:val="110"/>
                <w:sz w:val="22"/>
              </w:rPr>
              <w:t>esfuerzo</w:t>
            </w:r>
            <w:r>
              <w:rPr>
                <w:color w:val="231F1F"/>
                <w:spacing w:val="-8"/>
                <w:w w:val="110"/>
                <w:sz w:val="22"/>
              </w:rPr>
              <w:t> </w:t>
            </w:r>
            <w:r>
              <w:rPr>
                <w:color w:val="231F1F"/>
                <w:spacing w:val="-2"/>
                <w:w w:val="110"/>
                <w:sz w:val="22"/>
              </w:rPr>
              <w:t>a</w:t>
            </w:r>
            <w:r>
              <w:rPr>
                <w:color w:val="231F1F"/>
                <w:spacing w:val="-9"/>
                <w:w w:val="110"/>
                <w:sz w:val="22"/>
              </w:rPr>
              <w:t> </w:t>
            </w:r>
            <w:r>
              <w:rPr>
                <w:color w:val="231F1F"/>
                <w:spacing w:val="-2"/>
                <w:w w:val="110"/>
                <w:sz w:val="22"/>
              </w:rPr>
              <w:t>largo</w:t>
            </w:r>
            <w:r>
              <w:rPr>
                <w:color w:val="231F1F"/>
                <w:spacing w:val="-9"/>
                <w:w w:val="110"/>
                <w:sz w:val="22"/>
              </w:rPr>
              <w:t> </w:t>
            </w:r>
            <w:r>
              <w:rPr>
                <w:color w:val="231F1F"/>
                <w:spacing w:val="-2"/>
                <w:w w:val="110"/>
                <w:sz w:val="22"/>
              </w:rPr>
              <w:t>plazo</w:t>
            </w:r>
            <w:r>
              <w:rPr>
                <w:color w:val="231F1F"/>
                <w:spacing w:val="-9"/>
                <w:w w:val="110"/>
                <w:sz w:val="22"/>
              </w:rPr>
              <w:t> </w:t>
            </w:r>
            <w:r>
              <w:rPr>
                <w:color w:val="231F1F"/>
                <w:spacing w:val="-2"/>
                <w:w w:val="110"/>
                <w:sz w:val="22"/>
              </w:rPr>
              <w:t>(medida</w:t>
            </w:r>
            <w:r>
              <w:rPr>
                <w:color w:val="231F1F"/>
                <w:spacing w:val="-9"/>
                <w:w w:val="110"/>
                <w:sz w:val="22"/>
              </w:rPr>
              <w:t> </w:t>
            </w:r>
            <w:r>
              <w:rPr>
                <w:color w:val="231F1F"/>
                <w:spacing w:val="-2"/>
                <w:w w:val="110"/>
                <w:sz w:val="22"/>
              </w:rPr>
              <w:t>en</w:t>
            </w:r>
            <w:r>
              <w:rPr>
                <w:color w:val="231F1F"/>
                <w:spacing w:val="-9"/>
                <w:w w:val="110"/>
                <w:sz w:val="22"/>
              </w:rPr>
              <w:t> </w:t>
            </w:r>
            <w:r>
              <w:rPr>
                <w:color w:val="231F1F"/>
                <w:spacing w:val="-2"/>
                <w:w w:val="110"/>
                <w:sz w:val="22"/>
              </w:rPr>
              <w:t>un </w:t>
            </w:r>
            <w:r>
              <w:rPr>
                <w:color w:val="231F1F"/>
                <w:w w:val="110"/>
                <w:sz w:val="22"/>
              </w:rPr>
              <w:t>periodo de hasta 7-8 años tras el parto) (94).</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2+</w:t>
            </w:r>
          </w:p>
        </w:tc>
      </w:tr>
      <w:tr>
        <w:trPr>
          <w:trHeight w:val="959" w:hRule="atLeast"/>
        </w:trPr>
        <w:tc>
          <w:tcPr>
            <w:tcW w:w="7373" w:type="dxa"/>
          </w:tcPr>
          <w:p>
            <w:pPr>
              <w:pStyle w:val="TableParagraph"/>
              <w:spacing w:line="244" w:lineRule="auto" w:before="44"/>
              <w:ind w:right="83"/>
              <w:jc w:val="both"/>
              <w:rPr>
                <w:sz w:val="22"/>
              </w:rPr>
            </w:pPr>
            <w:r>
              <w:rPr>
                <w:color w:val="231F1F"/>
                <w:w w:val="105"/>
                <w:sz w:val="22"/>
              </w:rPr>
              <w:t>No</w:t>
            </w:r>
            <w:r>
              <w:rPr>
                <w:color w:val="231F1F"/>
                <w:spacing w:val="-4"/>
                <w:w w:val="105"/>
                <w:sz w:val="22"/>
              </w:rPr>
              <w:t> </w:t>
            </w:r>
            <w:r>
              <w:rPr>
                <w:color w:val="231F1F"/>
                <w:w w:val="105"/>
                <w:sz w:val="22"/>
              </w:rPr>
              <w:t>existe</w:t>
            </w:r>
            <w:r>
              <w:rPr>
                <w:color w:val="231F1F"/>
                <w:spacing w:val="-3"/>
                <w:w w:val="105"/>
                <w:sz w:val="22"/>
              </w:rPr>
              <w:t> </w:t>
            </w:r>
            <w:r>
              <w:rPr>
                <w:color w:val="231F1F"/>
                <w:w w:val="105"/>
                <w:sz w:val="22"/>
              </w:rPr>
              <w:t>asociación</w:t>
            </w:r>
            <w:r>
              <w:rPr>
                <w:color w:val="231F1F"/>
                <w:spacing w:val="-3"/>
                <w:w w:val="105"/>
                <w:sz w:val="22"/>
              </w:rPr>
              <w:t> </w:t>
            </w:r>
            <w:r>
              <w:rPr>
                <w:color w:val="231F1F"/>
                <w:w w:val="105"/>
                <w:sz w:val="22"/>
              </w:rPr>
              <w:t>entre</w:t>
            </w:r>
            <w:r>
              <w:rPr>
                <w:color w:val="231F1F"/>
                <w:spacing w:val="-3"/>
                <w:w w:val="105"/>
                <w:sz w:val="22"/>
              </w:rPr>
              <w:t> </w:t>
            </w:r>
            <w:r>
              <w:rPr>
                <w:color w:val="231F1F"/>
                <w:w w:val="105"/>
                <w:sz w:val="22"/>
              </w:rPr>
              <w:t>la</w:t>
            </w:r>
            <w:r>
              <w:rPr>
                <w:color w:val="231F1F"/>
                <w:spacing w:val="-4"/>
                <w:w w:val="105"/>
                <w:sz w:val="22"/>
              </w:rPr>
              <w:t> </w:t>
            </w:r>
            <w:r>
              <w:rPr>
                <w:color w:val="231F1F"/>
                <w:w w:val="105"/>
                <w:sz w:val="22"/>
              </w:rPr>
              <w:t>duración</w:t>
            </w:r>
            <w:r>
              <w:rPr>
                <w:color w:val="231F1F"/>
                <w:spacing w:val="-4"/>
                <w:w w:val="105"/>
                <w:sz w:val="22"/>
              </w:rPr>
              <w:t> </w:t>
            </w:r>
            <w:r>
              <w:rPr>
                <w:color w:val="231F1F"/>
                <w:w w:val="105"/>
                <w:sz w:val="22"/>
              </w:rPr>
              <w:t>de</w:t>
            </w:r>
            <w:r>
              <w:rPr>
                <w:color w:val="231F1F"/>
                <w:spacing w:val="-4"/>
                <w:w w:val="105"/>
                <w:sz w:val="22"/>
              </w:rPr>
              <w:t> </w:t>
            </w:r>
            <w:r>
              <w:rPr>
                <w:color w:val="231F1F"/>
                <w:w w:val="105"/>
                <w:sz w:val="22"/>
              </w:rPr>
              <w:t>la</w:t>
            </w:r>
            <w:r>
              <w:rPr>
                <w:color w:val="231F1F"/>
                <w:spacing w:val="-4"/>
                <w:w w:val="105"/>
                <w:sz w:val="22"/>
              </w:rPr>
              <w:t> </w:t>
            </w:r>
            <w:r>
              <w:rPr>
                <w:color w:val="231F1F"/>
                <w:w w:val="105"/>
                <w:sz w:val="22"/>
              </w:rPr>
              <w:t>2ª</w:t>
            </w:r>
            <w:r>
              <w:rPr>
                <w:color w:val="231F1F"/>
                <w:spacing w:val="-4"/>
                <w:w w:val="105"/>
                <w:sz w:val="22"/>
              </w:rPr>
              <w:t> </w:t>
            </w:r>
            <w:r>
              <w:rPr>
                <w:color w:val="231F1F"/>
                <w:w w:val="105"/>
                <w:sz w:val="22"/>
              </w:rPr>
              <w:t>etapa</w:t>
            </w:r>
            <w:r>
              <w:rPr>
                <w:color w:val="231F1F"/>
                <w:spacing w:val="-3"/>
                <w:w w:val="105"/>
                <w:sz w:val="22"/>
              </w:rPr>
              <w:t> </w:t>
            </w:r>
            <w:r>
              <w:rPr>
                <w:color w:val="231F1F"/>
                <w:w w:val="105"/>
                <w:sz w:val="22"/>
              </w:rPr>
              <w:t>del</w:t>
            </w:r>
            <w:r>
              <w:rPr>
                <w:color w:val="231F1F"/>
                <w:spacing w:val="-4"/>
                <w:w w:val="105"/>
                <w:sz w:val="22"/>
              </w:rPr>
              <w:t> </w:t>
            </w:r>
            <w:r>
              <w:rPr>
                <w:color w:val="231F1F"/>
                <w:w w:val="105"/>
                <w:sz w:val="22"/>
              </w:rPr>
              <w:t>parto</w:t>
            </w:r>
            <w:r>
              <w:rPr>
                <w:color w:val="231F1F"/>
                <w:spacing w:val="-4"/>
                <w:w w:val="105"/>
                <w:sz w:val="22"/>
              </w:rPr>
              <w:t> </w:t>
            </w:r>
            <w:r>
              <w:rPr>
                <w:color w:val="231F1F"/>
                <w:w w:val="105"/>
                <w:sz w:val="22"/>
              </w:rPr>
              <w:t>y</w:t>
            </w:r>
            <w:r>
              <w:rPr>
                <w:color w:val="231F1F"/>
                <w:spacing w:val="-4"/>
                <w:w w:val="105"/>
                <w:sz w:val="22"/>
              </w:rPr>
              <w:t> </w:t>
            </w:r>
            <w:r>
              <w:rPr>
                <w:color w:val="231F1F"/>
                <w:w w:val="105"/>
                <w:sz w:val="22"/>
              </w:rPr>
              <w:t>la</w:t>
            </w:r>
            <w:r>
              <w:rPr>
                <w:color w:val="231F1F"/>
                <w:spacing w:val="-4"/>
                <w:w w:val="105"/>
                <w:sz w:val="22"/>
              </w:rPr>
              <w:t> </w:t>
            </w:r>
            <w:r>
              <w:rPr>
                <w:color w:val="231F1F"/>
                <w:w w:val="105"/>
                <w:sz w:val="22"/>
              </w:rPr>
              <w:t>puntuación baja de Apgar a los 5 minutos, convulsiones neonatales ni la tasa de ingresos en la UCIN (95).</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2+</w:t>
            </w:r>
          </w:p>
        </w:tc>
      </w:tr>
      <w:tr>
        <w:trPr>
          <w:trHeight w:val="1242" w:hRule="atLeast"/>
        </w:trPr>
        <w:tc>
          <w:tcPr>
            <w:tcW w:w="7373" w:type="dxa"/>
          </w:tcPr>
          <w:p>
            <w:pPr>
              <w:pStyle w:val="TableParagraph"/>
              <w:spacing w:line="247" w:lineRule="auto" w:before="44"/>
              <w:ind w:right="90"/>
              <w:jc w:val="both"/>
              <w:rPr>
                <w:sz w:val="22"/>
              </w:rPr>
            </w:pPr>
            <w:r>
              <w:rPr>
                <w:color w:val="231F1F"/>
                <w:w w:val="110"/>
                <w:sz w:val="22"/>
              </w:rPr>
              <w:t>Existe</w:t>
            </w:r>
            <w:r>
              <w:rPr>
                <w:color w:val="231F1F"/>
                <w:spacing w:val="-8"/>
                <w:w w:val="110"/>
                <w:sz w:val="22"/>
              </w:rPr>
              <w:t> </w:t>
            </w:r>
            <w:r>
              <w:rPr>
                <w:color w:val="231F1F"/>
                <w:w w:val="110"/>
                <w:sz w:val="22"/>
              </w:rPr>
              <w:t>evidencia</w:t>
            </w:r>
            <w:r>
              <w:rPr>
                <w:color w:val="231F1F"/>
                <w:spacing w:val="-9"/>
                <w:w w:val="110"/>
                <w:sz w:val="22"/>
              </w:rPr>
              <w:t> </w:t>
            </w:r>
            <w:r>
              <w:rPr>
                <w:color w:val="231F1F"/>
                <w:w w:val="110"/>
                <w:sz w:val="22"/>
              </w:rPr>
              <w:t>de</w:t>
            </w:r>
            <w:r>
              <w:rPr>
                <w:color w:val="231F1F"/>
                <w:spacing w:val="-9"/>
                <w:w w:val="110"/>
                <w:sz w:val="22"/>
              </w:rPr>
              <w:t> </w:t>
            </w:r>
            <w:r>
              <w:rPr>
                <w:color w:val="231F1F"/>
                <w:w w:val="110"/>
                <w:sz w:val="22"/>
              </w:rPr>
              <w:t>asociación</w:t>
            </w:r>
            <w:r>
              <w:rPr>
                <w:color w:val="231F1F"/>
                <w:spacing w:val="-9"/>
                <w:w w:val="110"/>
                <w:sz w:val="22"/>
              </w:rPr>
              <w:t> </w:t>
            </w:r>
            <w:r>
              <w:rPr>
                <w:color w:val="231F1F"/>
                <w:w w:val="110"/>
                <w:sz w:val="22"/>
              </w:rPr>
              <w:t>entre</w:t>
            </w:r>
            <w:r>
              <w:rPr>
                <w:color w:val="231F1F"/>
                <w:spacing w:val="-9"/>
                <w:w w:val="110"/>
                <w:sz w:val="22"/>
              </w:rPr>
              <w:t> </w:t>
            </w:r>
            <w:r>
              <w:rPr>
                <w:color w:val="231F1F"/>
                <w:w w:val="110"/>
                <w:sz w:val="22"/>
              </w:rPr>
              <w:t>una</w:t>
            </w:r>
            <w:r>
              <w:rPr>
                <w:color w:val="231F1F"/>
                <w:spacing w:val="-9"/>
                <w:w w:val="110"/>
                <w:sz w:val="22"/>
              </w:rPr>
              <w:t> </w:t>
            </w:r>
            <w:r>
              <w:rPr>
                <w:color w:val="231F1F"/>
                <w:w w:val="110"/>
                <w:sz w:val="22"/>
              </w:rPr>
              <w:t>larga</w:t>
            </w:r>
            <w:r>
              <w:rPr>
                <w:color w:val="231F1F"/>
                <w:spacing w:val="-9"/>
                <w:w w:val="110"/>
                <w:sz w:val="22"/>
              </w:rPr>
              <w:t> </w:t>
            </w:r>
            <w:r>
              <w:rPr>
                <w:color w:val="231F1F"/>
                <w:w w:val="110"/>
                <w:sz w:val="22"/>
              </w:rPr>
              <w:t>duración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la</w:t>
            </w:r>
            <w:r>
              <w:rPr>
                <w:color w:val="231F1F"/>
                <w:spacing w:val="-9"/>
                <w:w w:val="110"/>
                <w:sz w:val="22"/>
              </w:rPr>
              <w:t> </w:t>
            </w:r>
            <w:r>
              <w:rPr>
                <w:color w:val="231F1F"/>
                <w:w w:val="110"/>
                <w:sz w:val="22"/>
              </w:rPr>
              <w:t>2ª</w:t>
            </w:r>
            <w:r>
              <w:rPr>
                <w:color w:val="231F1F"/>
                <w:spacing w:val="-9"/>
                <w:w w:val="110"/>
                <w:sz w:val="22"/>
              </w:rPr>
              <w:t> </w:t>
            </w:r>
            <w:r>
              <w:rPr>
                <w:color w:val="231F1F"/>
                <w:w w:val="110"/>
                <w:sz w:val="22"/>
              </w:rPr>
              <w:t>etapa</w:t>
            </w:r>
            <w:r>
              <w:rPr>
                <w:color w:val="231F1F"/>
                <w:spacing w:val="-9"/>
                <w:w w:val="110"/>
                <w:sz w:val="22"/>
              </w:rPr>
              <w:t> </w:t>
            </w:r>
            <w:r>
              <w:rPr>
                <w:color w:val="231F1F"/>
                <w:w w:val="110"/>
                <w:sz w:val="22"/>
              </w:rPr>
              <w:t>y</w:t>
            </w:r>
            <w:r>
              <w:rPr>
                <w:color w:val="231F1F"/>
                <w:spacing w:val="-9"/>
                <w:w w:val="110"/>
                <w:sz w:val="22"/>
              </w:rPr>
              <w:t> </w:t>
            </w:r>
            <w:r>
              <w:rPr>
                <w:color w:val="231F1F"/>
                <w:w w:val="110"/>
                <w:sz w:val="22"/>
              </w:rPr>
              <w:t>las tasas de hemorragia posparto (HPP), aumentando el riesgo con la prolon- gación</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expulsivo.</w:t>
            </w:r>
            <w:r>
              <w:rPr>
                <w:color w:val="231F1F"/>
                <w:spacing w:val="-15"/>
                <w:w w:val="110"/>
                <w:sz w:val="22"/>
              </w:rPr>
              <w:t> </w:t>
            </w:r>
            <w:r>
              <w:rPr>
                <w:color w:val="231F1F"/>
                <w:w w:val="110"/>
                <w:sz w:val="22"/>
              </w:rPr>
              <w:t>Sin</w:t>
            </w:r>
            <w:r>
              <w:rPr>
                <w:color w:val="231F1F"/>
                <w:spacing w:val="-15"/>
                <w:w w:val="110"/>
                <w:sz w:val="22"/>
              </w:rPr>
              <w:t> </w:t>
            </w:r>
            <w:r>
              <w:rPr>
                <w:color w:val="231F1F"/>
                <w:w w:val="110"/>
                <w:sz w:val="22"/>
              </w:rPr>
              <w:t>embargo,</w:t>
            </w:r>
            <w:r>
              <w:rPr>
                <w:color w:val="231F1F"/>
                <w:spacing w:val="-15"/>
                <w:w w:val="110"/>
                <w:sz w:val="22"/>
              </w:rPr>
              <w:t> </w:t>
            </w:r>
            <w:r>
              <w:rPr>
                <w:color w:val="231F1F"/>
                <w:w w:val="110"/>
                <w:sz w:val="22"/>
              </w:rPr>
              <w:t>no</w:t>
            </w:r>
            <w:r>
              <w:rPr>
                <w:color w:val="231F1F"/>
                <w:spacing w:val="-14"/>
                <w:w w:val="110"/>
                <w:sz w:val="22"/>
              </w:rPr>
              <w:t> </w:t>
            </w:r>
            <w:r>
              <w:rPr>
                <w:color w:val="231F1F"/>
                <w:w w:val="110"/>
                <w:sz w:val="22"/>
              </w:rPr>
              <w:t>hubo</w:t>
            </w:r>
            <w:r>
              <w:rPr>
                <w:color w:val="231F1F"/>
                <w:spacing w:val="-14"/>
                <w:w w:val="110"/>
                <w:sz w:val="22"/>
              </w:rPr>
              <w:t> </w:t>
            </w:r>
            <w:r>
              <w:rPr>
                <w:color w:val="231F1F"/>
                <w:w w:val="110"/>
                <w:sz w:val="22"/>
              </w:rPr>
              <w:t>evidencia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asociación</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la infección</w:t>
            </w:r>
            <w:r>
              <w:rPr>
                <w:color w:val="231F1F"/>
                <w:spacing w:val="-16"/>
                <w:w w:val="110"/>
                <w:sz w:val="22"/>
              </w:rPr>
              <w:t> </w:t>
            </w:r>
            <w:r>
              <w:rPr>
                <w:color w:val="231F1F"/>
                <w:w w:val="110"/>
                <w:sz w:val="22"/>
              </w:rPr>
              <w:t>posparto</w:t>
            </w:r>
            <w:r>
              <w:rPr>
                <w:color w:val="231F1F"/>
                <w:spacing w:val="-15"/>
                <w:w w:val="110"/>
                <w:sz w:val="22"/>
              </w:rPr>
              <w:t> </w:t>
            </w:r>
            <w:r>
              <w:rPr>
                <w:color w:val="231F1F"/>
                <w:w w:val="110"/>
                <w:sz w:val="22"/>
              </w:rPr>
              <w:t>ni</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una</w:t>
            </w:r>
            <w:r>
              <w:rPr>
                <w:color w:val="231F1F"/>
                <w:spacing w:val="-15"/>
                <w:w w:val="110"/>
                <w:sz w:val="22"/>
              </w:rPr>
              <w:t> </w:t>
            </w:r>
            <w:r>
              <w:rPr>
                <w:color w:val="231F1F"/>
                <w:w w:val="110"/>
                <w:sz w:val="22"/>
              </w:rPr>
              <w:t>puntuación</w:t>
            </w:r>
            <w:r>
              <w:rPr>
                <w:color w:val="231F1F"/>
                <w:spacing w:val="-16"/>
                <w:w w:val="110"/>
                <w:sz w:val="22"/>
              </w:rPr>
              <w:t> </w:t>
            </w:r>
            <w:r>
              <w:rPr>
                <w:color w:val="231F1F"/>
                <w:w w:val="110"/>
                <w:sz w:val="22"/>
              </w:rPr>
              <w:t>Apgar&lt;7</w:t>
            </w:r>
            <w:r>
              <w:rPr>
                <w:color w:val="231F1F"/>
                <w:spacing w:val="-15"/>
                <w:w w:val="110"/>
                <w:sz w:val="22"/>
              </w:rPr>
              <w:t> </w:t>
            </w:r>
            <w:r>
              <w:rPr>
                <w:color w:val="231F1F"/>
                <w:w w:val="110"/>
                <w:sz w:val="22"/>
              </w:rPr>
              <w:t>a</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5</w:t>
            </w:r>
            <w:r>
              <w:rPr>
                <w:color w:val="231F1F"/>
                <w:spacing w:val="-15"/>
                <w:w w:val="110"/>
                <w:sz w:val="22"/>
              </w:rPr>
              <w:t> </w:t>
            </w:r>
            <w:r>
              <w:rPr>
                <w:color w:val="231F1F"/>
                <w:w w:val="110"/>
                <w:sz w:val="22"/>
              </w:rPr>
              <w:t>minutos</w:t>
            </w:r>
            <w:r>
              <w:rPr>
                <w:color w:val="231F1F"/>
                <w:spacing w:val="-16"/>
                <w:w w:val="110"/>
                <w:sz w:val="22"/>
              </w:rPr>
              <w:t> </w:t>
            </w:r>
            <w:r>
              <w:rPr>
                <w:color w:val="231F1F"/>
                <w:w w:val="110"/>
                <w:sz w:val="22"/>
              </w:rPr>
              <w:t>(96;97).</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2+</w:t>
            </w:r>
          </w:p>
        </w:tc>
      </w:tr>
      <w:tr>
        <w:trPr>
          <w:trHeight w:val="959" w:hRule="atLeast"/>
        </w:trPr>
        <w:tc>
          <w:tcPr>
            <w:tcW w:w="7373" w:type="dxa"/>
          </w:tcPr>
          <w:p>
            <w:pPr>
              <w:pStyle w:val="TableParagraph"/>
              <w:spacing w:line="259" w:lineRule="auto" w:before="63"/>
              <w:ind w:right="80"/>
              <w:jc w:val="both"/>
              <w:rPr>
                <w:sz w:val="22"/>
              </w:rPr>
            </w:pPr>
            <w:r>
              <w:rPr>
                <w:color w:val="231F1F"/>
                <w:sz w:val="22"/>
              </w:rPr>
              <w:t>Existe</w:t>
            </w:r>
            <w:r>
              <w:rPr>
                <w:color w:val="231F1F"/>
                <w:spacing w:val="40"/>
                <w:sz w:val="22"/>
              </w:rPr>
              <w:t> </w:t>
            </w:r>
            <w:r>
              <w:rPr>
                <w:color w:val="231F1F"/>
                <w:sz w:val="22"/>
              </w:rPr>
              <w:t>evidencia</w:t>
            </w:r>
            <w:r>
              <w:rPr>
                <w:color w:val="231F1F"/>
                <w:spacing w:val="40"/>
                <w:sz w:val="22"/>
              </w:rPr>
              <w:t> </w:t>
            </w:r>
            <w:r>
              <w:rPr>
                <w:color w:val="231F1F"/>
                <w:sz w:val="22"/>
              </w:rPr>
              <w:t>de</w:t>
            </w:r>
            <w:r>
              <w:rPr>
                <w:color w:val="231F1F"/>
                <w:spacing w:val="40"/>
                <w:sz w:val="22"/>
              </w:rPr>
              <w:t> </w:t>
            </w:r>
            <w:r>
              <w:rPr>
                <w:color w:val="231F1F"/>
                <w:sz w:val="22"/>
              </w:rPr>
              <w:t>asociación</w:t>
            </w:r>
            <w:r>
              <w:rPr>
                <w:color w:val="231F1F"/>
                <w:spacing w:val="40"/>
                <w:sz w:val="22"/>
              </w:rPr>
              <w:t> </w:t>
            </w:r>
            <w:r>
              <w:rPr>
                <w:color w:val="231F1F"/>
                <w:sz w:val="22"/>
              </w:rPr>
              <w:t>entre</w:t>
            </w:r>
            <w:r>
              <w:rPr>
                <w:color w:val="231F1F"/>
                <w:spacing w:val="40"/>
                <w:sz w:val="22"/>
              </w:rPr>
              <w:t> </w:t>
            </w:r>
            <w:r>
              <w:rPr>
                <w:color w:val="231F1F"/>
                <w:sz w:val="22"/>
              </w:rPr>
              <w:t>una</w:t>
            </w:r>
            <w:r>
              <w:rPr>
                <w:color w:val="231F1F"/>
                <w:spacing w:val="40"/>
                <w:sz w:val="22"/>
              </w:rPr>
              <w:t> </w:t>
            </w:r>
            <w:r>
              <w:rPr>
                <w:color w:val="231F1F"/>
                <w:sz w:val="22"/>
              </w:rPr>
              <w:t>2ª</w:t>
            </w:r>
            <w:r>
              <w:rPr>
                <w:color w:val="231F1F"/>
                <w:spacing w:val="40"/>
                <w:sz w:val="22"/>
              </w:rPr>
              <w:t> </w:t>
            </w:r>
            <w:r>
              <w:rPr>
                <w:color w:val="231F1F"/>
                <w:sz w:val="22"/>
              </w:rPr>
              <w:t>etapa</w:t>
            </w:r>
            <w:r>
              <w:rPr>
                <w:color w:val="231F1F"/>
                <w:spacing w:val="40"/>
                <w:sz w:val="22"/>
              </w:rPr>
              <w:t> </w:t>
            </w:r>
            <w:r>
              <w:rPr>
                <w:color w:val="231F1F"/>
                <w:sz w:val="22"/>
              </w:rPr>
              <w:t>prolongada</w:t>
            </w:r>
            <w:r>
              <w:rPr>
                <w:color w:val="231F1F"/>
                <w:spacing w:val="40"/>
                <w:sz w:val="22"/>
              </w:rPr>
              <w:t> </w:t>
            </w:r>
            <w:r>
              <w:rPr>
                <w:color w:val="231F1F"/>
                <w:sz w:val="22"/>
              </w:rPr>
              <w:t>y</w:t>
            </w:r>
            <w:r>
              <w:rPr>
                <w:color w:val="231F1F"/>
                <w:spacing w:val="40"/>
                <w:sz w:val="22"/>
              </w:rPr>
              <w:t> </w:t>
            </w:r>
            <w:r>
              <w:rPr>
                <w:color w:val="231F1F"/>
                <w:sz w:val="22"/>
              </w:rPr>
              <w:t>altos</w:t>
            </w:r>
            <w:r>
              <w:rPr>
                <w:color w:val="231F1F"/>
                <w:spacing w:val="40"/>
                <w:sz w:val="22"/>
              </w:rPr>
              <w:t> </w:t>
            </w:r>
            <w:r>
              <w:rPr>
                <w:color w:val="231F1F"/>
                <w:sz w:val="22"/>
              </w:rPr>
              <w:t>índices de cesáreas y de partos instrumentales. No hubo evidencia de asociación con resultados</w:t>
            </w:r>
            <w:r>
              <w:rPr>
                <w:color w:val="231F1F"/>
                <w:spacing w:val="40"/>
                <w:sz w:val="22"/>
              </w:rPr>
              <w:t> </w:t>
            </w:r>
            <w:r>
              <w:rPr>
                <w:color w:val="231F1F"/>
                <w:sz w:val="22"/>
              </w:rPr>
              <w:t>adversos</w:t>
            </w:r>
            <w:r>
              <w:rPr>
                <w:color w:val="231F1F"/>
                <w:spacing w:val="40"/>
                <w:sz w:val="22"/>
              </w:rPr>
              <w:t> </w:t>
            </w:r>
            <w:r>
              <w:rPr>
                <w:color w:val="231F1F"/>
                <w:sz w:val="22"/>
              </w:rPr>
              <w:t>neonatales</w:t>
            </w:r>
            <w:r>
              <w:rPr>
                <w:color w:val="231F1F"/>
                <w:spacing w:val="40"/>
                <w:sz w:val="22"/>
              </w:rPr>
              <w:t> </w:t>
            </w:r>
            <w:r>
              <w:rPr>
                <w:color w:val="231F1F"/>
                <w:sz w:val="22"/>
              </w:rPr>
              <w:t>(98).</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2+</w:t>
            </w:r>
          </w:p>
        </w:tc>
      </w:tr>
      <w:tr>
        <w:trPr>
          <w:trHeight w:val="964" w:hRule="atLeast"/>
        </w:trPr>
        <w:tc>
          <w:tcPr>
            <w:tcW w:w="7373" w:type="dxa"/>
          </w:tcPr>
          <w:p>
            <w:pPr>
              <w:pStyle w:val="TableParagraph"/>
              <w:spacing w:line="244" w:lineRule="auto" w:before="44"/>
              <w:ind w:right="89"/>
              <w:jc w:val="both"/>
              <w:rPr>
                <w:sz w:val="22"/>
              </w:rPr>
            </w:pPr>
            <w:r>
              <w:rPr>
                <w:color w:val="231F1F"/>
                <w:w w:val="110"/>
                <w:sz w:val="22"/>
              </w:rPr>
              <w:t>No</w:t>
            </w:r>
            <w:r>
              <w:rPr>
                <w:color w:val="231F1F"/>
                <w:spacing w:val="-6"/>
                <w:w w:val="110"/>
                <w:sz w:val="22"/>
              </w:rPr>
              <w:t> </w:t>
            </w:r>
            <w:r>
              <w:rPr>
                <w:color w:val="231F1F"/>
                <w:w w:val="110"/>
                <w:sz w:val="22"/>
              </w:rPr>
              <w:t>se</w:t>
            </w:r>
            <w:r>
              <w:rPr>
                <w:color w:val="231F1F"/>
                <w:spacing w:val="-6"/>
                <w:w w:val="110"/>
                <w:sz w:val="22"/>
              </w:rPr>
              <w:t> </w:t>
            </w:r>
            <w:r>
              <w:rPr>
                <w:color w:val="231F1F"/>
                <w:w w:val="110"/>
                <w:sz w:val="22"/>
              </w:rPr>
              <w:t>observó</w:t>
            </w:r>
            <w:r>
              <w:rPr>
                <w:color w:val="231F1F"/>
                <w:spacing w:val="-6"/>
                <w:w w:val="110"/>
                <w:sz w:val="22"/>
              </w:rPr>
              <w:t> </w:t>
            </w:r>
            <w:r>
              <w:rPr>
                <w:color w:val="231F1F"/>
                <w:w w:val="110"/>
                <w:sz w:val="22"/>
              </w:rPr>
              <w:t>asociación</w:t>
            </w:r>
            <w:r>
              <w:rPr>
                <w:color w:val="231F1F"/>
                <w:spacing w:val="-6"/>
                <w:w w:val="110"/>
                <w:sz w:val="22"/>
              </w:rPr>
              <w:t> </w:t>
            </w:r>
            <w:r>
              <w:rPr>
                <w:color w:val="231F1F"/>
                <w:w w:val="110"/>
                <w:sz w:val="22"/>
              </w:rPr>
              <w:t>entre</w:t>
            </w:r>
            <w:r>
              <w:rPr>
                <w:color w:val="231F1F"/>
                <w:spacing w:val="-6"/>
                <w:w w:val="110"/>
                <w:sz w:val="22"/>
              </w:rPr>
              <w:t> </w:t>
            </w:r>
            <w:r>
              <w:rPr>
                <w:color w:val="231F1F"/>
                <w:w w:val="110"/>
                <w:sz w:val="22"/>
              </w:rPr>
              <w:t>una</w:t>
            </w:r>
            <w:r>
              <w:rPr>
                <w:color w:val="231F1F"/>
                <w:spacing w:val="-6"/>
                <w:w w:val="110"/>
                <w:sz w:val="22"/>
              </w:rPr>
              <w:t> </w:t>
            </w:r>
            <w:r>
              <w:rPr>
                <w:color w:val="231F1F"/>
                <w:w w:val="110"/>
                <w:sz w:val="22"/>
              </w:rPr>
              <w:t>duración</w:t>
            </w:r>
            <w:r>
              <w:rPr>
                <w:color w:val="231F1F"/>
                <w:spacing w:val="-6"/>
                <w:w w:val="110"/>
                <w:sz w:val="22"/>
              </w:rPr>
              <w:t> </w:t>
            </w:r>
            <w:r>
              <w:rPr>
                <w:color w:val="231F1F"/>
                <w:w w:val="110"/>
                <w:sz w:val="22"/>
              </w:rPr>
              <w:t>corta</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6"/>
                <w:w w:val="110"/>
                <w:sz w:val="22"/>
              </w:rPr>
              <w:t> </w:t>
            </w:r>
            <w:r>
              <w:rPr>
                <w:color w:val="231F1F"/>
                <w:w w:val="110"/>
                <w:sz w:val="22"/>
              </w:rPr>
              <w:t>segunda</w:t>
            </w:r>
            <w:r>
              <w:rPr>
                <w:color w:val="231F1F"/>
                <w:spacing w:val="-7"/>
                <w:w w:val="110"/>
                <w:sz w:val="22"/>
              </w:rPr>
              <w:t> </w:t>
            </w:r>
            <w:r>
              <w:rPr>
                <w:color w:val="231F1F"/>
                <w:w w:val="110"/>
                <w:sz w:val="22"/>
              </w:rPr>
              <w:t>etapa</w:t>
            </w:r>
            <w:r>
              <w:rPr>
                <w:color w:val="231F1F"/>
                <w:spacing w:val="-6"/>
                <w:w w:val="110"/>
                <w:sz w:val="22"/>
              </w:rPr>
              <w:t> </w:t>
            </w:r>
            <w:r>
              <w:rPr>
                <w:color w:val="231F1F"/>
                <w:w w:val="110"/>
                <w:sz w:val="22"/>
              </w:rPr>
              <w:t>del parto y laceración perineal, hemorragia posparto o puntuación Apgar&lt;7 a los 5 minutos (102).</w:t>
            </w:r>
          </w:p>
        </w:tc>
        <w:tc>
          <w:tcPr>
            <w:tcW w:w="1133" w:type="dxa"/>
          </w:tcPr>
          <w:p>
            <w:pPr>
              <w:pStyle w:val="TableParagraph"/>
              <w:spacing w:before="88"/>
              <w:ind w:left="0"/>
              <w:rPr>
                <w:rFonts w:ascii="Arial MT"/>
                <w:sz w:val="22"/>
              </w:rPr>
            </w:pPr>
          </w:p>
          <w:p>
            <w:pPr>
              <w:pStyle w:val="TableParagraph"/>
              <w:ind w:left="49"/>
              <w:jc w:val="center"/>
              <w:rPr>
                <w:sz w:val="22"/>
              </w:rPr>
            </w:pPr>
            <w:r>
              <w:rPr>
                <w:color w:val="231F1F"/>
                <w:spacing w:val="-10"/>
                <w:sz w:val="22"/>
              </w:rPr>
              <w:t>3</w:t>
            </w:r>
          </w:p>
        </w:tc>
      </w:tr>
      <w:tr>
        <w:trPr>
          <w:trHeight w:val="1242" w:hRule="atLeast"/>
        </w:trPr>
        <w:tc>
          <w:tcPr>
            <w:tcW w:w="7373" w:type="dxa"/>
          </w:tcPr>
          <w:p>
            <w:pPr>
              <w:pStyle w:val="TableParagraph"/>
              <w:spacing w:line="247" w:lineRule="auto" w:before="53"/>
              <w:ind w:right="87"/>
              <w:jc w:val="both"/>
              <w:rPr>
                <w:sz w:val="22"/>
              </w:rPr>
            </w:pPr>
            <w:r>
              <w:rPr>
                <w:color w:val="231F1F"/>
                <w:w w:val="105"/>
                <w:sz w:val="22"/>
              </w:rPr>
              <w:t>Los partos prolongados se asociaban con el uso de MEF, la deambulación y el</w:t>
            </w:r>
            <w:r>
              <w:rPr>
                <w:color w:val="231F1F"/>
                <w:w w:val="105"/>
                <w:sz w:val="22"/>
              </w:rPr>
              <w:t> uso</w:t>
            </w:r>
            <w:r>
              <w:rPr>
                <w:color w:val="231F1F"/>
                <w:w w:val="105"/>
                <w:sz w:val="22"/>
              </w:rPr>
              <w:t> de</w:t>
            </w:r>
            <w:r>
              <w:rPr>
                <w:color w:val="231F1F"/>
                <w:w w:val="105"/>
                <w:sz w:val="22"/>
              </w:rPr>
              <w:t> analgésicos</w:t>
            </w:r>
            <w:r>
              <w:rPr>
                <w:color w:val="231F1F"/>
                <w:w w:val="105"/>
                <w:sz w:val="22"/>
              </w:rPr>
              <w:t> narcóticos</w:t>
            </w:r>
            <w:r>
              <w:rPr>
                <w:color w:val="231F1F"/>
                <w:w w:val="105"/>
                <w:sz w:val="22"/>
              </w:rPr>
              <w:t> (en</w:t>
            </w:r>
            <w:r>
              <w:rPr>
                <w:color w:val="231F1F"/>
                <w:w w:val="105"/>
                <w:sz w:val="22"/>
              </w:rPr>
              <w:t> multíparas).</w:t>
            </w:r>
            <w:r>
              <w:rPr>
                <w:color w:val="231F1F"/>
                <w:w w:val="105"/>
                <w:sz w:val="22"/>
              </w:rPr>
              <w:t> Además,</w:t>
            </w:r>
            <w:r>
              <w:rPr>
                <w:color w:val="231F1F"/>
                <w:w w:val="105"/>
                <w:sz w:val="22"/>
              </w:rPr>
              <w:t> la</w:t>
            </w:r>
            <w:r>
              <w:rPr>
                <w:color w:val="231F1F"/>
                <w:w w:val="105"/>
                <w:sz w:val="22"/>
              </w:rPr>
              <w:t> edad</w:t>
            </w:r>
            <w:r>
              <w:rPr>
                <w:color w:val="231F1F"/>
                <w:w w:val="105"/>
                <w:sz w:val="22"/>
              </w:rPr>
              <w:t> materna mayor de 30 años se asociaba con una 2ª etapa más larga, especialmente en nulíparas (29).</w:t>
            </w:r>
          </w:p>
        </w:tc>
        <w:tc>
          <w:tcPr>
            <w:tcW w:w="1133" w:type="dxa"/>
          </w:tcPr>
          <w:p>
            <w:pPr>
              <w:pStyle w:val="TableParagraph"/>
              <w:spacing w:before="227"/>
              <w:ind w:left="0"/>
              <w:rPr>
                <w:rFonts w:ascii="Arial MT"/>
                <w:sz w:val="22"/>
              </w:rPr>
            </w:pPr>
          </w:p>
          <w:p>
            <w:pPr>
              <w:pStyle w:val="TableParagraph"/>
              <w:spacing w:before="1"/>
              <w:ind w:left="49"/>
              <w:jc w:val="center"/>
              <w:rPr>
                <w:sz w:val="22"/>
              </w:rPr>
            </w:pPr>
            <w:r>
              <w:rPr>
                <w:color w:val="231F1F"/>
                <w:spacing w:val="-10"/>
                <w:sz w:val="22"/>
              </w:rPr>
              <w:t>3</w:t>
            </w:r>
          </w:p>
        </w:tc>
      </w:tr>
      <w:tr>
        <w:trPr>
          <w:trHeight w:val="959" w:hRule="atLeast"/>
        </w:trPr>
        <w:tc>
          <w:tcPr>
            <w:tcW w:w="7373" w:type="dxa"/>
          </w:tcPr>
          <w:p>
            <w:pPr>
              <w:pStyle w:val="TableParagraph"/>
              <w:spacing w:line="244" w:lineRule="auto" w:before="44"/>
              <w:ind w:right="89"/>
              <w:jc w:val="both"/>
              <w:rPr>
                <w:sz w:val="22"/>
              </w:rPr>
            </w:pPr>
            <w:r>
              <w:rPr>
                <w:color w:val="231F1F"/>
                <w:w w:val="110"/>
                <w:sz w:val="22"/>
              </w:rPr>
              <w:t>La</w:t>
            </w:r>
            <w:r>
              <w:rPr>
                <w:color w:val="231F1F"/>
                <w:spacing w:val="-11"/>
                <w:w w:val="110"/>
                <w:sz w:val="22"/>
              </w:rPr>
              <w:t> </w:t>
            </w:r>
            <w:r>
              <w:rPr>
                <w:color w:val="231F1F"/>
                <w:w w:val="110"/>
                <w:sz w:val="22"/>
              </w:rPr>
              <w:t>duración</w:t>
            </w:r>
            <w:r>
              <w:rPr>
                <w:color w:val="231F1F"/>
                <w:spacing w:val="-11"/>
                <w:w w:val="110"/>
                <w:sz w:val="22"/>
              </w:rPr>
              <w:t> </w:t>
            </w:r>
            <w:r>
              <w:rPr>
                <w:color w:val="231F1F"/>
                <w:w w:val="110"/>
                <w:sz w:val="22"/>
              </w:rPr>
              <w:t>media</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2ª</w:t>
            </w:r>
            <w:r>
              <w:rPr>
                <w:color w:val="231F1F"/>
                <w:spacing w:val="-11"/>
                <w:w w:val="110"/>
                <w:sz w:val="22"/>
              </w:rPr>
              <w:t> </w:t>
            </w:r>
            <w:r>
              <w:rPr>
                <w:color w:val="231F1F"/>
                <w:w w:val="110"/>
                <w:sz w:val="22"/>
              </w:rPr>
              <w:t>etapa</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mujeres</w:t>
            </w:r>
            <w:r>
              <w:rPr>
                <w:color w:val="231F1F"/>
                <w:spacing w:val="-11"/>
                <w:w w:val="110"/>
                <w:sz w:val="22"/>
              </w:rPr>
              <w:t> </w:t>
            </w:r>
            <w:r>
              <w:rPr>
                <w:color w:val="231F1F"/>
                <w:w w:val="110"/>
                <w:sz w:val="22"/>
              </w:rPr>
              <w:t>sin</w:t>
            </w:r>
            <w:r>
              <w:rPr>
                <w:color w:val="231F1F"/>
                <w:spacing w:val="-11"/>
                <w:w w:val="110"/>
                <w:sz w:val="22"/>
              </w:rPr>
              <w:t> </w:t>
            </w:r>
            <w:r>
              <w:rPr>
                <w:color w:val="231F1F"/>
                <w:w w:val="110"/>
                <w:sz w:val="22"/>
              </w:rPr>
              <w:t>anestesia</w:t>
            </w:r>
            <w:r>
              <w:rPr>
                <w:color w:val="231F1F"/>
                <w:spacing w:val="-10"/>
                <w:w w:val="110"/>
                <w:sz w:val="22"/>
              </w:rPr>
              <w:t> </w:t>
            </w:r>
            <w:r>
              <w:rPr>
                <w:color w:val="231F1F"/>
                <w:w w:val="110"/>
                <w:sz w:val="22"/>
              </w:rPr>
              <w:t>epidural</w:t>
            </w:r>
            <w:r>
              <w:rPr>
                <w:color w:val="231F1F"/>
                <w:spacing w:val="-11"/>
                <w:w w:val="110"/>
                <w:sz w:val="22"/>
              </w:rPr>
              <w:t> </w:t>
            </w:r>
            <w:r>
              <w:rPr>
                <w:color w:val="231F1F"/>
                <w:w w:val="110"/>
                <w:sz w:val="22"/>
              </w:rPr>
              <w: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54 minutos</w:t>
            </w:r>
            <w:r>
              <w:rPr>
                <w:color w:val="231F1F"/>
                <w:spacing w:val="-10"/>
                <w:w w:val="110"/>
                <w:sz w:val="22"/>
              </w:rPr>
              <w:t> </w:t>
            </w:r>
            <w:r>
              <w:rPr>
                <w:color w:val="231F1F"/>
                <w:w w:val="110"/>
                <w:sz w:val="22"/>
              </w:rPr>
              <w:t>(límite</w:t>
            </w:r>
            <w:r>
              <w:rPr>
                <w:color w:val="231F1F"/>
                <w:spacing w:val="-9"/>
                <w:w w:val="110"/>
                <w:sz w:val="22"/>
              </w:rPr>
              <w:t> </w:t>
            </w:r>
            <w:r>
              <w:rPr>
                <w:color w:val="231F1F"/>
                <w:w w:val="110"/>
                <w:sz w:val="22"/>
              </w:rPr>
              <w:t>superior:</w:t>
            </w:r>
            <w:r>
              <w:rPr>
                <w:color w:val="231F1F"/>
                <w:spacing w:val="-11"/>
                <w:w w:val="110"/>
                <w:sz w:val="22"/>
              </w:rPr>
              <w:t> </w:t>
            </w:r>
            <w:r>
              <w:rPr>
                <w:color w:val="231F1F"/>
                <w:w w:val="110"/>
                <w:sz w:val="22"/>
              </w:rPr>
              <w:t>142</w:t>
            </w:r>
            <w:r>
              <w:rPr>
                <w:color w:val="231F1F"/>
                <w:spacing w:val="-10"/>
                <w:w w:val="110"/>
                <w:sz w:val="22"/>
              </w:rPr>
              <w:t> </w:t>
            </w:r>
            <w:r>
              <w:rPr>
                <w:color w:val="231F1F"/>
                <w:w w:val="110"/>
                <w:sz w:val="22"/>
              </w:rPr>
              <w:t>min)</w:t>
            </w:r>
            <w:r>
              <w:rPr>
                <w:color w:val="231F1F"/>
                <w:spacing w:val="-10"/>
                <w:w w:val="110"/>
                <w:sz w:val="22"/>
              </w:rPr>
              <w:t> </w:t>
            </w:r>
            <w:r>
              <w:rPr>
                <w:color w:val="231F1F"/>
                <w:w w:val="110"/>
                <w:sz w:val="22"/>
              </w:rPr>
              <w:t>en</w:t>
            </w:r>
            <w:r>
              <w:rPr>
                <w:color w:val="231F1F"/>
                <w:spacing w:val="-10"/>
                <w:w w:val="110"/>
                <w:sz w:val="22"/>
              </w:rPr>
              <w:t> </w:t>
            </w:r>
            <w:r>
              <w:rPr>
                <w:color w:val="231F1F"/>
                <w:w w:val="110"/>
                <w:sz w:val="22"/>
              </w:rPr>
              <w:t>las</w:t>
            </w:r>
            <w:r>
              <w:rPr>
                <w:color w:val="231F1F"/>
                <w:spacing w:val="-10"/>
                <w:w w:val="110"/>
                <w:sz w:val="22"/>
              </w:rPr>
              <w:t> </w:t>
            </w:r>
            <w:r>
              <w:rPr>
                <w:color w:val="231F1F"/>
                <w:w w:val="110"/>
                <w:sz w:val="22"/>
              </w:rPr>
              <w:t>nulíparas</w:t>
            </w:r>
            <w:r>
              <w:rPr>
                <w:color w:val="231F1F"/>
                <w:spacing w:val="-10"/>
                <w:w w:val="110"/>
                <w:sz w:val="22"/>
              </w:rPr>
              <w:t> </w:t>
            </w:r>
            <w:r>
              <w:rPr>
                <w:color w:val="231F1F"/>
                <w:w w:val="110"/>
                <w:sz w:val="22"/>
              </w:rPr>
              <w:t>y</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18</w:t>
            </w:r>
            <w:r>
              <w:rPr>
                <w:color w:val="231F1F"/>
                <w:spacing w:val="-10"/>
                <w:w w:val="110"/>
                <w:sz w:val="22"/>
              </w:rPr>
              <w:t> </w:t>
            </w:r>
            <w:r>
              <w:rPr>
                <w:color w:val="231F1F"/>
                <w:w w:val="110"/>
                <w:sz w:val="22"/>
              </w:rPr>
              <w:t>minutos</w:t>
            </w:r>
            <w:r>
              <w:rPr>
                <w:color w:val="231F1F"/>
                <w:spacing w:val="-10"/>
                <w:w w:val="110"/>
                <w:sz w:val="22"/>
              </w:rPr>
              <w:t> </w:t>
            </w:r>
            <w:r>
              <w:rPr>
                <w:color w:val="231F1F"/>
                <w:w w:val="110"/>
                <w:sz w:val="22"/>
              </w:rPr>
              <w:t>(límite superior: 60 min) en las multíparas (23;28;29).</w:t>
            </w:r>
          </w:p>
        </w:tc>
        <w:tc>
          <w:tcPr>
            <w:tcW w:w="1133" w:type="dxa"/>
          </w:tcPr>
          <w:p>
            <w:pPr>
              <w:pStyle w:val="TableParagraph"/>
              <w:spacing w:before="88"/>
              <w:ind w:left="0"/>
              <w:rPr>
                <w:rFonts w:ascii="Arial MT"/>
                <w:sz w:val="22"/>
              </w:rPr>
            </w:pPr>
          </w:p>
          <w:p>
            <w:pPr>
              <w:pStyle w:val="TableParagraph"/>
              <w:ind w:left="49"/>
              <w:jc w:val="center"/>
              <w:rPr>
                <w:sz w:val="22"/>
              </w:rPr>
            </w:pPr>
            <w:r>
              <w:rPr>
                <w:color w:val="231F1F"/>
                <w:spacing w:val="-10"/>
                <w:sz w:val="22"/>
              </w:rPr>
              <w:t>3</w:t>
            </w:r>
          </w:p>
        </w:tc>
      </w:tr>
    </w:tbl>
    <w:p>
      <w:pPr>
        <w:pStyle w:val="TableParagraph"/>
        <w:spacing w:after="0"/>
        <w:jc w:val="center"/>
        <w:rPr>
          <w:sz w:val="22"/>
        </w:rPr>
        <w:sectPr>
          <w:pgSz w:w="11900" w:h="16840"/>
          <w:pgMar w:header="0" w:footer="622" w:top="1560" w:bottom="1978"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4" w:lineRule="auto" w:before="44"/>
              <w:ind w:right="156"/>
              <w:rPr>
                <w:sz w:val="22"/>
              </w:rPr>
            </w:pPr>
            <w:r>
              <w:rPr>
                <w:color w:val="231F1F"/>
                <w:w w:val="110"/>
                <w:sz w:val="22"/>
              </w:rPr>
              <w:t>Se considera duración normal de la 2ª etapa de parto hasta 4 horas para nulíparas</w:t>
            </w:r>
            <w:r>
              <w:rPr>
                <w:color w:val="231F1F"/>
                <w:spacing w:val="-12"/>
                <w:w w:val="110"/>
                <w:sz w:val="22"/>
              </w:rPr>
              <w:t> </w:t>
            </w:r>
            <w:r>
              <w:rPr>
                <w:color w:val="231F1F"/>
                <w:w w:val="110"/>
                <w:sz w:val="22"/>
              </w:rPr>
              <w:t>con</w:t>
            </w:r>
            <w:r>
              <w:rPr>
                <w:color w:val="231F1F"/>
                <w:spacing w:val="-11"/>
                <w:w w:val="110"/>
                <w:sz w:val="22"/>
              </w:rPr>
              <w:t> </w:t>
            </w:r>
            <w:r>
              <w:rPr>
                <w:color w:val="231F1F"/>
                <w:w w:val="110"/>
                <w:sz w:val="22"/>
              </w:rPr>
              <w:t>anestesia</w:t>
            </w:r>
            <w:r>
              <w:rPr>
                <w:color w:val="231F1F"/>
                <w:spacing w:val="-11"/>
                <w:w w:val="110"/>
                <w:sz w:val="22"/>
              </w:rPr>
              <w:t> </w:t>
            </w:r>
            <w:r>
              <w:rPr>
                <w:color w:val="231F1F"/>
                <w:w w:val="110"/>
                <w:sz w:val="22"/>
              </w:rPr>
              <w:t>epidural,</w:t>
            </w:r>
            <w:r>
              <w:rPr>
                <w:color w:val="231F1F"/>
                <w:spacing w:val="-11"/>
                <w:w w:val="110"/>
                <w:sz w:val="22"/>
              </w:rPr>
              <w:t> </w:t>
            </w:r>
            <w:r>
              <w:rPr>
                <w:color w:val="231F1F"/>
                <w:w w:val="110"/>
                <w:sz w:val="22"/>
              </w:rPr>
              <w:t>hasta</w:t>
            </w:r>
            <w:r>
              <w:rPr>
                <w:color w:val="231F1F"/>
                <w:spacing w:val="-11"/>
                <w:w w:val="110"/>
                <w:sz w:val="22"/>
              </w:rPr>
              <w:t> </w:t>
            </w:r>
            <w:r>
              <w:rPr>
                <w:color w:val="231F1F"/>
                <w:w w:val="110"/>
                <w:sz w:val="22"/>
              </w:rPr>
              <w:t>3</w:t>
            </w:r>
            <w:r>
              <w:rPr>
                <w:color w:val="231F1F"/>
                <w:spacing w:val="-12"/>
                <w:w w:val="110"/>
                <w:sz w:val="22"/>
              </w:rPr>
              <w:t> </w:t>
            </w:r>
            <w:r>
              <w:rPr>
                <w:color w:val="231F1F"/>
                <w:w w:val="110"/>
                <w:sz w:val="22"/>
              </w:rPr>
              <w:t>horas</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nulíparas</w:t>
            </w:r>
            <w:r>
              <w:rPr>
                <w:color w:val="231F1F"/>
                <w:spacing w:val="-11"/>
                <w:w w:val="110"/>
                <w:sz w:val="22"/>
              </w:rPr>
              <w:t> </w:t>
            </w:r>
            <w:r>
              <w:rPr>
                <w:color w:val="231F1F"/>
                <w:w w:val="110"/>
                <w:sz w:val="22"/>
              </w:rPr>
              <w:t>sin</w:t>
            </w:r>
            <w:r>
              <w:rPr>
                <w:color w:val="231F1F"/>
                <w:spacing w:val="-11"/>
                <w:w w:val="110"/>
                <w:sz w:val="22"/>
              </w:rPr>
              <w:t> </w:t>
            </w:r>
            <w:r>
              <w:rPr>
                <w:color w:val="231F1F"/>
                <w:w w:val="110"/>
                <w:sz w:val="22"/>
              </w:rPr>
              <w:t>anestesia</w:t>
            </w:r>
            <w:r>
              <w:rPr>
                <w:color w:val="231F1F"/>
                <w:spacing w:val="-12"/>
                <w:w w:val="110"/>
                <w:sz w:val="22"/>
              </w:rPr>
              <w:t> </w:t>
            </w:r>
            <w:r>
              <w:rPr>
                <w:color w:val="231F1F"/>
                <w:w w:val="110"/>
                <w:sz w:val="22"/>
              </w:rPr>
              <w:t>y multíparas con anestesia y hasta un máximo de 2 horas en multíparas sin anestesia epidural (105)</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2+</w:t>
            </w:r>
          </w:p>
        </w:tc>
      </w:tr>
    </w:tbl>
    <w:p>
      <w:pPr>
        <w:pStyle w:val="BodyText"/>
        <w:spacing w:before="17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5" w:hRule="atLeast"/>
        </w:trPr>
        <w:tc>
          <w:tcPr>
            <w:tcW w:w="456" w:type="dxa"/>
          </w:tcPr>
          <w:p>
            <w:pPr>
              <w:pStyle w:val="TableParagraph"/>
              <w:spacing w:before="183"/>
              <w:ind w:left="43" w:right="86"/>
              <w:jc w:val="center"/>
              <w:rPr>
                <w:sz w:val="22"/>
              </w:rPr>
            </w:pPr>
            <w:r>
              <w:rPr>
                <w:color w:val="231F1F"/>
                <w:spacing w:val="-10"/>
                <w:w w:val="110"/>
                <w:sz w:val="22"/>
              </w:rPr>
              <w:t>√</w:t>
            </w:r>
          </w:p>
        </w:tc>
        <w:tc>
          <w:tcPr>
            <w:tcW w:w="8050" w:type="dxa"/>
          </w:tcPr>
          <w:p>
            <w:pPr>
              <w:pStyle w:val="TableParagraph"/>
              <w:spacing w:before="49"/>
              <w:ind w:right="155"/>
              <w:rPr>
                <w:sz w:val="22"/>
              </w:rPr>
            </w:pPr>
            <w:r>
              <w:rPr>
                <w:color w:val="231F1F"/>
                <w:w w:val="110"/>
                <w:sz w:val="22"/>
              </w:rPr>
              <w:t>La</w:t>
            </w:r>
            <w:r>
              <w:rPr>
                <w:color w:val="231F1F"/>
                <w:spacing w:val="-16"/>
                <w:w w:val="110"/>
                <w:sz w:val="22"/>
              </w:rPr>
              <w:t> </w:t>
            </w:r>
            <w:r>
              <w:rPr>
                <w:color w:val="231F1F"/>
                <w:w w:val="110"/>
                <w:sz w:val="22"/>
              </w:rPr>
              <w:t>duración</w:t>
            </w:r>
            <w:r>
              <w:rPr>
                <w:color w:val="231F1F"/>
                <w:spacing w:val="-15"/>
                <w:w w:val="110"/>
                <w:sz w:val="22"/>
              </w:rPr>
              <w:t> </w:t>
            </w:r>
            <w:r>
              <w:rPr>
                <w:color w:val="231F1F"/>
                <w:w w:val="110"/>
                <w:sz w:val="22"/>
              </w:rPr>
              <w:t>normal</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fase</w:t>
            </w:r>
            <w:r>
              <w:rPr>
                <w:color w:val="231F1F"/>
                <w:spacing w:val="-15"/>
                <w:w w:val="110"/>
                <w:sz w:val="22"/>
              </w:rPr>
              <w:t> </w:t>
            </w:r>
            <w:r>
              <w:rPr>
                <w:color w:val="231F1F"/>
                <w:w w:val="110"/>
                <w:sz w:val="22"/>
              </w:rPr>
              <w:t>pasiva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6"/>
                <w:w w:val="110"/>
                <w:sz w:val="22"/>
              </w:rPr>
              <w:t> </w:t>
            </w:r>
            <w:r>
              <w:rPr>
                <w:color w:val="231F1F"/>
                <w:w w:val="110"/>
                <w:sz w:val="22"/>
              </w:rPr>
              <w:t>segunda</w:t>
            </w:r>
            <w:r>
              <w:rPr>
                <w:color w:val="231F1F"/>
                <w:spacing w:val="-15"/>
                <w:w w:val="110"/>
                <w:sz w:val="22"/>
              </w:rPr>
              <w:t> </w:t>
            </w:r>
            <w:r>
              <w:rPr>
                <w:color w:val="231F1F"/>
                <w:w w:val="110"/>
                <w:sz w:val="22"/>
              </w:rPr>
              <w:t>etapa</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nulíparas</w:t>
            </w:r>
            <w:r>
              <w:rPr>
                <w:color w:val="231F1F"/>
                <w:spacing w:val="-15"/>
                <w:w w:val="110"/>
                <w:sz w:val="22"/>
              </w:rPr>
              <w:t> </w:t>
            </w:r>
            <w:r>
              <w:rPr>
                <w:color w:val="231F1F"/>
                <w:w w:val="110"/>
                <w:sz w:val="22"/>
              </w:rPr>
              <w:t>es de hasta 2 horas tanto si tienen como no anestesia epidural.</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37" w:lineRule="auto" w:before="46"/>
              <w:ind w:right="155"/>
              <w:rPr>
                <w:sz w:val="22"/>
              </w:rPr>
            </w:pPr>
            <w:r>
              <w:rPr>
                <w:color w:val="231F1F"/>
                <w:w w:val="110"/>
                <w:sz w:val="22"/>
              </w:rPr>
              <w:t>La</w:t>
            </w:r>
            <w:r>
              <w:rPr>
                <w:color w:val="231F1F"/>
                <w:spacing w:val="-7"/>
                <w:w w:val="110"/>
                <w:sz w:val="22"/>
              </w:rPr>
              <w:t> </w:t>
            </w:r>
            <w:r>
              <w:rPr>
                <w:color w:val="231F1F"/>
                <w:w w:val="110"/>
                <w:sz w:val="22"/>
              </w:rPr>
              <w:t>duración</w:t>
            </w:r>
            <w:r>
              <w:rPr>
                <w:color w:val="231F1F"/>
                <w:spacing w:val="-7"/>
                <w:w w:val="110"/>
                <w:sz w:val="22"/>
              </w:rPr>
              <w:t> </w:t>
            </w:r>
            <w:r>
              <w:rPr>
                <w:color w:val="231F1F"/>
                <w:w w:val="110"/>
                <w:sz w:val="22"/>
              </w:rPr>
              <w:t>normal</w:t>
            </w:r>
            <w:r>
              <w:rPr>
                <w:color w:val="231F1F"/>
                <w:spacing w:val="-9"/>
                <w:w w:val="110"/>
                <w:sz w:val="22"/>
              </w:rPr>
              <w:t> </w:t>
            </w:r>
            <w:r>
              <w:rPr>
                <w:color w:val="231F1F"/>
                <w:w w:val="110"/>
                <w:sz w:val="22"/>
              </w:rPr>
              <w:t>de</w:t>
            </w:r>
            <w:r>
              <w:rPr>
                <w:color w:val="231F1F"/>
                <w:spacing w:val="-7"/>
                <w:w w:val="110"/>
                <w:sz w:val="22"/>
              </w:rPr>
              <w:t> </w:t>
            </w:r>
            <w:r>
              <w:rPr>
                <w:color w:val="231F1F"/>
                <w:w w:val="110"/>
                <w:sz w:val="22"/>
              </w:rPr>
              <w:t>la</w:t>
            </w:r>
            <w:r>
              <w:rPr>
                <w:color w:val="231F1F"/>
                <w:spacing w:val="-7"/>
                <w:w w:val="110"/>
                <w:sz w:val="22"/>
              </w:rPr>
              <w:t> </w:t>
            </w:r>
            <w:r>
              <w:rPr>
                <w:color w:val="231F1F"/>
                <w:w w:val="110"/>
                <w:sz w:val="22"/>
              </w:rPr>
              <w:t>fase</w:t>
            </w:r>
            <w:r>
              <w:rPr>
                <w:color w:val="231F1F"/>
                <w:spacing w:val="-7"/>
                <w:w w:val="110"/>
                <w:sz w:val="22"/>
              </w:rPr>
              <w:t> </w:t>
            </w:r>
            <w:r>
              <w:rPr>
                <w:color w:val="231F1F"/>
                <w:w w:val="110"/>
                <w:sz w:val="22"/>
              </w:rPr>
              <w:t>pasiva</w:t>
            </w:r>
            <w:r>
              <w:rPr>
                <w:color w:val="231F1F"/>
                <w:spacing w:val="-7"/>
                <w:w w:val="110"/>
                <w:sz w:val="22"/>
              </w:rPr>
              <w:t> </w:t>
            </w:r>
            <w:r>
              <w:rPr>
                <w:color w:val="231F1F"/>
                <w:w w:val="110"/>
                <w:sz w:val="22"/>
              </w:rPr>
              <w:t>de</w:t>
            </w:r>
            <w:r>
              <w:rPr>
                <w:color w:val="231F1F"/>
                <w:spacing w:val="-7"/>
                <w:w w:val="110"/>
                <w:sz w:val="22"/>
              </w:rPr>
              <w:t> </w:t>
            </w:r>
            <w:r>
              <w:rPr>
                <w:color w:val="231F1F"/>
                <w:w w:val="110"/>
                <w:sz w:val="22"/>
              </w:rPr>
              <w:t>la</w:t>
            </w:r>
            <w:r>
              <w:rPr>
                <w:color w:val="231F1F"/>
                <w:spacing w:val="-7"/>
                <w:w w:val="110"/>
                <w:sz w:val="22"/>
              </w:rPr>
              <w:t> </w:t>
            </w:r>
            <w:r>
              <w:rPr>
                <w:color w:val="231F1F"/>
                <w:w w:val="110"/>
                <w:sz w:val="22"/>
              </w:rPr>
              <w:t>segunda</w:t>
            </w:r>
            <w:r>
              <w:rPr>
                <w:color w:val="231F1F"/>
                <w:spacing w:val="-7"/>
                <w:w w:val="110"/>
                <w:sz w:val="22"/>
              </w:rPr>
              <w:t> </w:t>
            </w:r>
            <w:r>
              <w:rPr>
                <w:color w:val="231F1F"/>
                <w:w w:val="110"/>
                <w:sz w:val="22"/>
              </w:rPr>
              <w:t>etapa</w:t>
            </w:r>
            <w:r>
              <w:rPr>
                <w:color w:val="231F1F"/>
                <w:spacing w:val="-7"/>
                <w:w w:val="110"/>
                <w:sz w:val="22"/>
              </w:rPr>
              <w:t> </w:t>
            </w:r>
            <w:r>
              <w:rPr>
                <w:color w:val="231F1F"/>
                <w:w w:val="110"/>
                <w:sz w:val="22"/>
              </w:rPr>
              <w:t>del</w:t>
            </w:r>
            <w:r>
              <w:rPr>
                <w:color w:val="231F1F"/>
                <w:spacing w:val="-9"/>
                <w:w w:val="110"/>
                <w:sz w:val="22"/>
              </w:rPr>
              <w:t> </w:t>
            </w:r>
            <w:r>
              <w:rPr>
                <w:color w:val="231F1F"/>
                <w:w w:val="110"/>
                <w:sz w:val="22"/>
              </w:rPr>
              <w:t>parto</w:t>
            </w:r>
            <w:r>
              <w:rPr>
                <w:color w:val="231F1F"/>
                <w:spacing w:val="-7"/>
                <w:w w:val="110"/>
                <w:sz w:val="22"/>
              </w:rPr>
              <w:t> </w:t>
            </w:r>
            <w:r>
              <w:rPr>
                <w:color w:val="231F1F"/>
                <w:w w:val="110"/>
                <w:sz w:val="22"/>
              </w:rPr>
              <w:t>en</w:t>
            </w:r>
            <w:r>
              <w:rPr>
                <w:color w:val="231F1F"/>
                <w:spacing w:val="-7"/>
                <w:w w:val="110"/>
                <w:sz w:val="22"/>
              </w:rPr>
              <w:t> </w:t>
            </w:r>
            <w:r>
              <w:rPr>
                <w:color w:val="231F1F"/>
                <w:w w:val="110"/>
                <w:sz w:val="22"/>
              </w:rPr>
              <w:t>multíparas es de hasta 1 hora si no tienen anestesia epidural y de 2 horas si la tienen.</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before="44"/>
              <w:ind w:right="155"/>
              <w:rPr>
                <w:sz w:val="22"/>
              </w:rPr>
            </w:pPr>
            <w:r>
              <w:rPr>
                <w:color w:val="231F1F"/>
                <w:w w:val="110"/>
                <w:sz w:val="22"/>
              </w:rPr>
              <w:t>La</w:t>
            </w:r>
            <w:r>
              <w:rPr>
                <w:color w:val="231F1F"/>
                <w:spacing w:val="-13"/>
                <w:w w:val="110"/>
                <w:sz w:val="22"/>
              </w:rPr>
              <w:t> </w:t>
            </w:r>
            <w:r>
              <w:rPr>
                <w:color w:val="231F1F"/>
                <w:w w:val="110"/>
                <w:sz w:val="22"/>
              </w:rPr>
              <w:t>duración</w:t>
            </w:r>
            <w:r>
              <w:rPr>
                <w:color w:val="231F1F"/>
                <w:spacing w:val="-13"/>
                <w:w w:val="110"/>
                <w:sz w:val="22"/>
              </w:rPr>
              <w:t> </w:t>
            </w:r>
            <w:r>
              <w:rPr>
                <w:color w:val="231F1F"/>
                <w:w w:val="110"/>
                <w:sz w:val="22"/>
              </w:rPr>
              <w:t>normal</w:t>
            </w:r>
            <w:r>
              <w:rPr>
                <w:color w:val="231F1F"/>
                <w:spacing w:val="-15"/>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fase</w:t>
            </w:r>
            <w:r>
              <w:rPr>
                <w:color w:val="231F1F"/>
                <w:spacing w:val="-13"/>
                <w:w w:val="110"/>
                <w:sz w:val="22"/>
              </w:rPr>
              <w:t> </w:t>
            </w:r>
            <w:r>
              <w:rPr>
                <w:color w:val="231F1F"/>
                <w:w w:val="110"/>
                <w:sz w:val="22"/>
              </w:rPr>
              <w:t>activa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segunda</w:t>
            </w:r>
            <w:r>
              <w:rPr>
                <w:color w:val="231F1F"/>
                <w:spacing w:val="-13"/>
                <w:w w:val="110"/>
                <w:sz w:val="22"/>
              </w:rPr>
              <w:t> </w:t>
            </w:r>
            <w:r>
              <w:rPr>
                <w:color w:val="231F1F"/>
                <w:w w:val="110"/>
                <w:sz w:val="22"/>
              </w:rPr>
              <w:t>etapa</w:t>
            </w:r>
            <w:r>
              <w:rPr>
                <w:color w:val="231F1F"/>
                <w:spacing w:val="-13"/>
                <w:w w:val="110"/>
                <w:sz w:val="22"/>
              </w:rPr>
              <w:t> </w:t>
            </w:r>
            <w:r>
              <w:rPr>
                <w:color w:val="231F1F"/>
                <w:w w:val="110"/>
                <w:sz w:val="22"/>
              </w:rPr>
              <w:t>del</w:t>
            </w:r>
            <w:r>
              <w:rPr>
                <w:color w:val="231F1F"/>
                <w:spacing w:val="-15"/>
                <w:w w:val="110"/>
                <w:sz w:val="22"/>
              </w:rPr>
              <w:t> </w:t>
            </w:r>
            <w:r>
              <w:rPr>
                <w:color w:val="231F1F"/>
                <w:w w:val="110"/>
                <w:sz w:val="22"/>
              </w:rPr>
              <w:t>parto</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nulíparas</w:t>
            </w:r>
            <w:r>
              <w:rPr>
                <w:color w:val="231F1F"/>
                <w:spacing w:val="-13"/>
                <w:w w:val="110"/>
                <w:sz w:val="22"/>
              </w:rPr>
              <w:t> </w:t>
            </w:r>
            <w:r>
              <w:rPr>
                <w:color w:val="231F1F"/>
                <w:w w:val="110"/>
                <w:sz w:val="22"/>
              </w:rPr>
              <w:t>es de hasta 1 hora si no tienen anestesia epidural y de hasta 2 horas si la tienen.</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before="53"/>
              <w:ind w:right="155"/>
              <w:rPr>
                <w:sz w:val="22"/>
              </w:rPr>
            </w:pPr>
            <w:r>
              <w:rPr>
                <w:color w:val="231F1F"/>
                <w:sz w:val="22"/>
              </w:rPr>
              <w:t>La</w:t>
            </w:r>
            <w:r>
              <w:rPr>
                <w:color w:val="231F1F"/>
                <w:spacing w:val="26"/>
                <w:sz w:val="22"/>
              </w:rPr>
              <w:t> </w:t>
            </w:r>
            <w:r>
              <w:rPr>
                <w:color w:val="231F1F"/>
                <w:sz w:val="22"/>
              </w:rPr>
              <w:t>duración</w:t>
            </w:r>
            <w:r>
              <w:rPr>
                <w:color w:val="231F1F"/>
                <w:spacing w:val="28"/>
                <w:sz w:val="22"/>
              </w:rPr>
              <w:t> </w:t>
            </w:r>
            <w:r>
              <w:rPr>
                <w:color w:val="231F1F"/>
                <w:sz w:val="22"/>
              </w:rPr>
              <w:t>normal</w:t>
            </w:r>
            <w:r>
              <w:rPr>
                <w:color w:val="231F1F"/>
                <w:spacing w:val="26"/>
                <w:sz w:val="22"/>
              </w:rPr>
              <w:t> </w:t>
            </w:r>
            <w:r>
              <w:rPr>
                <w:color w:val="231F1F"/>
                <w:sz w:val="22"/>
              </w:rPr>
              <w:t>de</w:t>
            </w:r>
            <w:r>
              <w:rPr>
                <w:color w:val="231F1F"/>
                <w:spacing w:val="28"/>
                <w:sz w:val="22"/>
              </w:rPr>
              <w:t> </w:t>
            </w:r>
            <w:r>
              <w:rPr>
                <w:color w:val="231F1F"/>
                <w:sz w:val="22"/>
              </w:rPr>
              <w:t>la</w:t>
            </w:r>
            <w:r>
              <w:rPr>
                <w:color w:val="231F1F"/>
                <w:spacing w:val="28"/>
                <w:sz w:val="22"/>
              </w:rPr>
              <w:t> </w:t>
            </w:r>
            <w:r>
              <w:rPr>
                <w:color w:val="231F1F"/>
                <w:sz w:val="22"/>
              </w:rPr>
              <w:t>fase</w:t>
            </w:r>
            <w:r>
              <w:rPr>
                <w:color w:val="231F1F"/>
                <w:spacing w:val="28"/>
                <w:sz w:val="22"/>
              </w:rPr>
              <w:t> </w:t>
            </w:r>
            <w:r>
              <w:rPr>
                <w:color w:val="231F1F"/>
                <w:sz w:val="22"/>
              </w:rPr>
              <w:t>activa</w:t>
            </w:r>
            <w:r>
              <w:rPr>
                <w:color w:val="231F1F"/>
                <w:spacing w:val="28"/>
                <w:sz w:val="22"/>
              </w:rPr>
              <w:t> </w:t>
            </w:r>
            <w:r>
              <w:rPr>
                <w:color w:val="231F1F"/>
                <w:sz w:val="22"/>
              </w:rPr>
              <w:t>de</w:t>
            </w:r>
            <w:r>
              <w:rPr>
                <w:color w:val="231F1F"/>
                <w:spacing w:val="28"/>
                <w:sz w:val="22"/>
              </w:rPr>
              <w:t> </w:t>
            </w:r>
            <w:r>
              <w:rPr>
                <w:color w:val="231F1F"/>
                <w:sz w:val="22"/>
              </w:rPr>
              <w:t>la</w:t>
            </w:r>
            <w:r>
              <w:rPr>
                <w:color w:val="231F1F"/>
                <w:spacing w:val="26"/>
                <w:sz w:val="22"/>
              </w:rPr>
              <w:t> </w:t>
            </w:r>
            <w:r>
              <w:rPr>
                <w:color w:val="231F1F"/>
                <w:sz w:val="22"/>
              </w:rPr>
              <w:t>segunda</w:t>
            </w:r>
            <w:r>
              <w:rPr>
                <w:color w:val="231F1F"/>
                <w:spacing w:val="29"/>
                <w:sz w:val="22"/>
              </w:rPr>
              <w:t> </w:t>
            </w:r>
            <w:r>
              <w:rPr>
                <w:color w:val="231F1F"/>
                <w:sz w:val="22"/>
              </w:rPr>
              <w:t>etapa</w:t>
            </w:r>
            <w:r>
              <w:rPr>
                <w:color w:val="231F1F"/>
                <w:spacing w:val="28"/>
                <w:sz w:val="22"/>
              </w:rPr>
              <w:t> </w:t>
            </w:r>
            <w:r>
              <w:rPr>
                <w:color w:val="231F1F"/>
                <w:sz w:val="22"/>
              </w:rPr>
              <w:t>del</w:t>
            </w:r>
            <w:r>
              <w:rPr>
                <w:color w:val="231F1F"/>
                <w:spacing w:val="26"/>
                <w:sz w:val="22"/>
              </w:rPr>
              <w:t> </w:t>
            </w:r>
            <w:r>
              <w:rPr>
                <w:color w:val="231F1F"/>
                <w:sz w:val="22"/>
              </w:rPr>
              <w:t>parto</w:t>
            </w:r>
            <w:r>
              <w:rPr>
                <w:color w:val="231F1F"/>
                <w:spacing w:val="28"/>
                <w:sz w:val="22"/>
              </w:rPr>
              <w:t> </w:t>
            </w:r>
            <w:r>
              <w:rPr>
                <w:color w:val="231F1F"/>
                <w:sz w:val="22"/>
              </w:rPr>
              <w:t>en</w:t>
            </w:r>
            <w:r>
              <w:rPr>
                <w:color w:val="231F1F"/>
                <w:spacing w:val="28"/>
                <w:sz w:val="22"/>
              </w:rPr>
              <w:t> </w:t>
            </w:r>
            <w:r>
              <w:rPr>
                <w:color w:val="231F1F"/>
                <w:sz w:val="22"/>
              </w:rPr>
              <w:t>multíparas</w:t>
            </w:r>
            <w:r>
              <w:rPr>
                <w:color w:val="231F1F"/>
                <w:spacing w:val="28"/>
                <w:sz w:val="22"/>
              </w:rPr>
              <w:t> </w:t>
            </w:r>
            <w:r>
              <w:rPr>
                <w:color w:val="231F1F"/>
                <w:sz w:val="22"/>
              </w:rPr>
              <w:t>es de</w:t>
            </w:r>
            <w:r>
              <w:rPr>
                <w:color w:val="231F1F"/>
                <w:spacing w:val="40"/>
                <w:sz w:val="22"/>
              </w:rPr>
              <w:t> </w:t>
            </w:r>
            <w:r>
              <w:rPr>
                <w:color w:val="231F1F"/>
                <w:sz w:val="22"/>
              </w:rPr>
              <w:t>hasta</w:t>
            </w:r>
            <w:r>
              <w:rPr>
                <w:color w:val="231F1F"/>
                <w:spacing w:val="40"/>
                <w:sz w:val="22"/>
              </w:rPr>
              <w:t> </w:t>
            </w:r>
            <w:r>
              <w:rPr>
                <w:color w:val="231F1F"/>
                <w:sz w:val="22"/>
              </w:rPr>
              <w:t>1</w:t>
            </w:r>
            <w:r>
              <w:rPr>
                <w:color w:val="231F1F"/>
                <w:spacing w:val="40"/>
                <w:sz w:val="22"/>
              </w:rPr>
              <w:t> </w:t>
            </w:r>
            <w:r>
              <w:rPr>
                <w:color w:val="231F1F"/>
                <w:sz w:val="22"/>
              </w:rPr>
              <w:t>hora</w:t>
            </w:r>
            <w:r>
              <w:rPr>
                <w:color w:val="231F1F"/>
                <w:spacing w:val="40"/>
                <w:sz w:val="22"/>
              </w:rPr>
              <w:t> </w:t>
            </w:r>
            <w:r>
              <w:rPr>
                <w:color w:val="231F1F"/>
                <w:sz w:val="22"/>
              </w:rPr>
              <w:t>tanto</w:t>
            </w:r>
            <w:r>
              <w:rPr>
                <w:color w:val="231F1F"/>
                <w:spacing w:val="40"/>
                <w:sz w:val="22"/>
              </w:rPr>
              <w:t> </w:t>
            </w:r>
            <w:r>
              <w:rPr>
                <w:color w:val="231F1F"/>
                <w:sz w:val="22"/>
              </w:rPr>
              <w:t>si</w:t>
            </w:r>
            <w:r>
              <w:rPr>
                <w:color w:val="231F1F"/>
                <w:spacing w:val="40"/>
                <w:sz w:val="22"/>
              </w:rPr>
              <w:t> </w:t>
            </w:r>
            <w:r>
              <w:rPr>
                <w:color w:val="231F1F"/>
                <w:sz w:val="22"/>
              </w:rPr>
              <w:t>tienen</w:t>
            </w:r>
            <w:r>
              <w:rPr>
                <w:color w:val="231F1F"/>
                <w:spacing w:val="40"/>
                <w:sz w:val="22"/>
              </w:rPr>
              <w:t> </w:t>
            </w:r>
            <w:r>
              <w:rPr>
                <w:color w:val="231F1F"/>
                <w:sz w:val="22"/>
              </w:rPr>
              <w:t>como</w:t>
            </w:r>
            <w:r>
              <w:rPr>
                <w:color w:val="231F1F"/>
                <w:spacing w:val="40"/>
                <w:sz w:val="22"/>
              </w:rPr>
              <w:t> </w:t>
            </w:r>
            <w:r>
              <w:rPr>
                <w:color w:val="231F1F"/>
                <w:sz w:val="22"/>
              </w:rPr>
              <w:t>no</w:t>
            </w:r>
            <w:r>
              <w:rPr>
                <w:color w:val="231F1F"/>
                <w:spacing w:val="40"/>
                <w:sz w:val="22"/>
              </w:rPr>
              <w:t> </w:t>
            </w:r>
            <w:r>
              <w:rPr>
                <w:color w:val="231F1F"/>
                <w:sz w:val="22"/>
              </w:rPr>
              <w:t>anestesia</w:t>
            </w:r>
            <w:r>
              <w:rPr>
                <w:color w:val="231F1F"/>
                <w:spacing w:val="40"/>
                <w:sz w:val="22"/>
              </w:rPr>
              <w:t> </w:t>
            </w:r>
            <w:r>
              <w:rPr>
                <w:color w:val="231F1F"/>
                <w:sz w:val="22"/>
              </w:rPr>
              <w:t>epidural.</w:t>
            </w:r>
          </w:p>
        </w:tc>
      </w:tr>
    </w:tbl>
    <w:p>
      <w:pPr>
        <w:pStyle w:val="BodyText"/>
        <w:spacing w:before="117"/>
        <w:ind w:left="283"/>
      </w:pPr>
      <w:r>
        <w:rPr>
          <w:color w:val="231F1F"/>
          <w:w w:val="110"/>
        </w:rPr>
        <w:t>Ver</w:t>
      </w:r>
      <w:r>
        <w:rPr>
          <w:color w:val="231F1F"/>
          <w:spacing w:val="-16"/>
          <w:w w:val="110"/>
        </w:rPr>
        <w:t> </w:t>
      </w:r>
      <w:r>
        <w:rPr>
          <w:color w:val="231F1F"/>
          <w:w w:val="110"/>
        </w:rPr>
        <w:t>anexo</w:t>
      </w:r>
      <w:r>
        <w:rPr>
          <w:color w:val="231F1F"/>
          <w:spacing w:val="-13"/>
          <w:w w:val="110"/>
        </w:rPr>
        <w:t> </w:t>
      </w:r>
      <w:r>
        <w:rPr>
          <w:color w:val="231F1F"/>
          <w:spacing w:val="-10"/>
          <w:w w:val="110"/>
        </w:rPr>
        <w:t>6</w:t>
      </w:r>
    </w:p>
    <w:p>
      <w:pPr>
        <w:pStyle w:val="BodyText"/>
        <w:spacing w:after="0"/>
        <w:sectPr>
          <w:type w:val="continuous"/>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8" w:id="18"/>
      <w:r>
        <w:rPr>
          <w:color w:val="231F1F"/>
        </w:rPr>
        <w:t>Medidas</w:t>
      </w:r>
      <w:r>
        <w:rPr>
          <w:color w:val="231F1F"/>
          <w:spacing w:val="49"/>
        </w:rPr>
        <w:t> </w:t>
      </w:r>
      <w:r>
        <w:rPr>
          <w:color w:val="231F1F"/>
        </w:rPr>
        <w:t>de</w:t>
      </w:r>
      <w:r>
        <w:rPr>
          <w:color w:val="231F1F"/>
          <w:spacing w:val="54"/>
        </w:rPr>
        <w:t> </w:t>
      </w:r>
      <w:bookmarkEnd w:id="18"/>
      <w:r>
        <w:rPr>
          <w:color w:val="231F1F"/>
          <w:spacing w:val="-2"/>
        </w:rPr>
        <w:t>asepsia</w:t>
      </w:r>
    </w:p>
    <w:p>
      <w:pPr>
        <w:pStyle w:val="BodyText"/>
        <w:spacing w:before="26"/>
        <w:rPr>
          <w:sz w:val="20"/>
        </w:rPr>
      </w:pPr>
      <w:r>
        <w:rPr>
          <w:sz w:val="20"/>
        </w:rPr>
        <mc:AlternateContent>
          <mc:Choice Requires="wps">
            <w:drawing>
              <wp:anchor distT="0" distB="0" distL="0" distR="0" allowOverlap="1" layoutInCell="1" locked="0" behindDoc="1" simplePos="0" relativeHeight="487607808">
                <wp:simplePos x="0" y="0"/>
                <wp:positionH relativeFrom="page">
                  <wp:posOffset>1082675</wp:posOffset>
                </wp:positionH>
                <wp:positionV relativeFrom="paragraph">
                  <wp:posOffset>180997</wp:posOffset>
                </wp:positionV>
                <wp:extent cx="5400040" cy="26225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5400040" cy="262255"/>
                        </a:xfrm>
                        <a:prstGeom prst="rect">
                          <a:avLst/>
                        </a:prstGeom>
                        <a:ln w="6350">
                          <a:solidFill>
                            <a:srgbClr val="A30046"/>
                          </a:solidFill>
                          <a:prstDash val="solid"/>
                        </a:ln>
                      </wps:spPr>
                      <wps:txbx>
                        <w:txbxContent>
                          <w:p>
                            <w:pPr>
                              <w:pStyle w:val="BodyText"/>
                              <w:numPr>
                                <w:ilvl w:val="0"/>
                                <w:numId w:val="38"/>
                              </w:numPr>
                              <w:tabs>
                                <w:tab w:pos="322" w:val="left" w:leader="none"/>
                              </w:tabs>
                              <w:spacing w:line="240" w:lineRule="auto" w:before="60" w:after="0"/>
                              <w:ind w:left="322" w:right="0" w:hanging="218"/>
                              <w:jc w:val="left"/>
                            </w:pPr>
                            <w:r>
                              <w:rPr>
                                <w:color w:val="231F1F"/>
                              </w:rPr>
                              <w:t>¿Las</w:t>
                            </w:r>
                            <w:r>
                              <w:rPr>
                                <w:color w:val="231F1F"/>
                                <w:spacing w:val="27"/>
                              </w:rPr>
                              <w:t> </w:t>
                            </w:r>
                            <w:r>
                              <w:rPr>
                                <w:color w:val="231F1F"/>
                              </w:rPr>
                              <w:t>medidas</w:t>
                            </w:r>
                            <w:r>
                              <w:rPr>
                                <w:color w:val="231F1F"/>
                                <w:spacing w:val="30"/>
                              </w:rPr>
                              <w:t> </w:t>
                            </w:r>
                            <w:r>
                              <w:rPr>
                                <w:color w:val="231F1F"/>
                              </w:rPr>
                              <w:t>de</w:t>
                            </w:r>
                            <w:r>
                              <w:rPr>
                                <w:color w:val="231F1F"/>
                                <w:spacing w:val="31"/>
                              </w:rPr>
                              <w:t> </w:t>
                            </w:r>
                            <w:r>
                              <w:rPr>
                                <w:color w:val="231F1F"/>
                              </w:rPr>
                              <w:t>asepsia</w:t>
                            </w:r>
                            <w:r>
                              <w:rPr>
                                <w:color w:val="231F1F"/>
                                <w:spacing w:val="30"/>
                              </w:rPr>
                              <w:t> </w:t>
                            </w:r>
                            <w:r>
                              <w:rPr>
                                <w:color w:val="231F1F"/>
                              </w:rPr>
                              <w:t>durante</w:t>
                            </w:r>
                            <w:r>
                              <w:rPr>
                                <w:color w:val="231F1F"/>
                                <w:spacing w:val="30"/>
                              </w:rPr>
                              <w:t> </w:t>
                            </w:r>
                            <w:r>
                              <w:rPr>
                                <w:color w:val="231F1F"/>
                              </w:rPr>
                              <w:t>la</w:t>
                            </w:r>
                            <w:r>
                              <w:rPr>
                                <w:color w:val="231F1F"/>
                                <w:spacing w:val="31"/>
                              </w:rPr>
                              <w:t> </w:t>
                            </w:r>
                            <w:r>
                              <w:rPr>
                                <w:color w:val="231F1F"/>
                              </w:rPr>
                              <w:t>asistencia</w:t>
                            </w:r>
                            <w:r>
                              <w:rPr>
                                <w:color w:val="231F1F"/>
                                <w:spacing w:val="30"/>
                              </w:rPr>
                              <w:t> </w:t>
                            </w:r>
                            <w:r>
                              <w:rPr>
                                <w:color w:val="231F1F"/>
                              </w:rPr>
                              <w:t>al</w:t>
                            </w:r>
                            <w:r>
                              <w:rPr>
                                <w:color w:val="231F1F"/>
                                <w:spacing w:val="32"/>
                              </w:rPr>
                              <w:t> </w:t>
                            </w:r>
                            <w:r>
                              <w:rPr>
                                <w:color w:val="231F1F"/>
                              </w:rPr>
                              <w:t>parto</w:t>
                            </w:r>
                            <w:r>
                              <w:rPr>
                                <w:color w:val="231F1F"/>
                                <w:spacing w:val="29"/>
                              </w:rPr>
                              <w:t> </w:t>
                            </w:r>
                            <w:r>
                              <w:rPr>
                                <w:color w:val="231F1F"/>
                              </w:rPr>
                              <w:t>influyen</w:t>
                            </w:r>
                            <w:r>
                              <w:rPr>
                                <w:color w:val="231F1F"/>
                                <w:spacing w:val="31"/>
                              </w:rPr>
                              <w:t> </w:t>
                            </w:r>
                            <w:r>
                              <w:rPr>
                                <w:color w:val="231F1F"/>
                              </w:rPr>
                              <w:t>en</w:t>
                            </w:r>
                            <w:r>
                              <w:rPr>
                                <w:color w:val="231F1F"/>
                                <w:spacing w:val="31"/>
                              </w:rPr>
                              <w:t> </w:t>
                            </w:r>
                            <w:r>
                              <w:rPr>
                                <w:color w:val="231F1F"/>
                              </w:rPr>
                              <w:t>los</w:t>
                            </w:r>
                            <w:r>
                              <w:rPr>
                                <w:color w:val="231F1F"/>
                                <w:spacing w:val="31"/>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8672;mso-wrap-distance-left:0;mso-wrap-distance-right:0" type="#_x0000_t202" id="docshape78" filled="false" stroked="true" strokeweight=".5pt" strokecolor="#a30046">
                <v:textbox inset="0,0,0,0">
                  <w:txbxContent>
                    <w:p>
                      <w:pPr>
                        <w:pStyle w:val="BodyText"/>
                        <w:numPr>
                          <w:ilvl w:val="0"/>
                          <w:numId w:val="38"/>
                        </w:numPr>
                        <w:tabs>
                          <w:tab w:pos="322" w:val="left" w:leader="none"/>
                        </w:tabs>
                        <w:spacing w:line="240" w:lineRule="auto" w:before="60" w:after="0"/>
                        <w:ind w:left="322" w:right="0" w:hanging="218"/>
                        <w:jc w:val="left"/>
                      </w:pPr>
                      <w:r>
                        <w:rPr>
                          <w:color w:val="231F1F"/>
                        </w:rPr>
                        <w:t>¿Las</w:t>
                      </w:r>
                      <w:r>
                        <w:rPr>
                          <w:color w:val="231F1F"/>
                          <w:spacing w:val="27"/>
                        </w:rPr>
                        <w:t> </w:t>
                      </w:r>
                      <w:r>
                        <w:rPr>
                          <w:color w:val="231F1F"/>
                        </w:rPr>
                        <w:t>medidas</w:t>
                      </w:r>
                      <w:r>
                        <w:rPr>
                          <w:color w:val="231F1F"/>
                          <w:spacing w:val="30"/>
                        </w:rPr>
                        <w:t> </w:t>
                      </w:r>
                      <w:r>
                        <w:rPr>
                          <w:color w:val="231F1F"/>
                        </w:rPr>
                        <w:t>de</w:t>
                      </w:r>
                      <w:r>
                        <w:rPr>
                          <w:color w:val="231F1F"/>
                          <w:spacing w:val="31"/>
                        </w:rPr>
                        <w:t> </w:t>
                      </w:r>
                      <w:r>
                        <w:rPr>
                          <w:color w:val="231F1F"/>
                        </w:rPr>
                        <w:t>asepsia</w:t>
                      </w:r>
                      <w:r>
                        <w:rPr>
                          <w:color w:val="231F1F"/>
                          <w:spacing w:val="30"/>
                        </w:rPr>
                        <w:t> </w:t>
                      </w:r>
                      <w:r>
                        <w:rPr>
                          <w:color w:val="231F1F"/>
                        </w:rPr>
                        <w:t>durante</w:t>
                      </w:r>
                      <w:r>
                        <w:rPr>
                          <w:color w:val="231F1F"/>
                          <w:spacing w:val="30"/>
                        </w:rPr>
                        <w:t> </w:t>
                      </w:r>
                      <w:r>
                        <w:rPr>
                          <w:color w:val="231F1F"/>
                        </w:rPr>
                        <w:t>la</w:t>
                      </w:r>
                      <w:r>
                        <w:rPr>
                          <w:color w:val="231F1F"/>
                          <w:spacing w:val="31"/>
                        </w:rPr>
                        <w:t> </w:t>
                      </w:r>
                      <w:r>
                        <w:rPr>
                          <w:color w:val="231F1F"/>
                        </w:rPr>
                        <w:t>asistencia</w:t>
                      </w:r>
                      <w:r>
                        <w:rPr>
                          <w:color w:val="231F1F"/>
                          <w:spacing w:val="30"/>
                        </w:rPr>
                        <w:t> </w:t>
                      </w:r>
                      <w:r>
                        <w:rPr>
                          <w:color w:val="231F1F"/>
                        </w:rPr>
                        <w:t>al</w:t>
                      </w:r>
                      <w:r>
                        <w:rPr>
                          <w:color w:val="231F1F"/>
                          <w:spacing w:val="32"/>
                        </w:rPr>
                        <w:t> </w:t>
                      </w:r>
                      <w:r>
                        <w:rPr>
                          <w:color w:val="231F1F"/>
                        </w:rPr>
                        <w:t>parto</w:t>
                      </w:r>
                      <w:r>
                        <w:rPr>
                          <w:color w:val="231F1F"/>
                          <w:spacing w:val="29"/>
                        </w:rPr>
                        <w:t> </w:t>
                      </w:r>
                      <w:r>
                        <w:rPr>
                          <w:color w:val="231F1F"/>
                        </w:rPr>
                        <w:t>influyen</w:t>
                      </w:r>
                      <w:r>
                        <w:rPr>
                          <w:color w:val="231F1F"/>
                          <w:spacing w:val="31"/>
                        </w:rPr>
                        <w:t> </w:t>
                      </w:r>
                      <w:r>
                        <w:rPr>
                          <w:color w:val="231F1F"/>
                        </w:rPr>
                        <w:t>en</w:t>
                      </w:r>
                      <w:r>
                        <w:rPr>
                          <w:color w:val="231F1F"/>
                          <w:spacing w:val="31"/>
                        </w:rPr>
                        <w:t> </w:t>
                      </w:r>
                      <w:r>
                        <w:rPr>
                          <w:color w:val="231F1F"/>
                        </w:rPr>
                        <w:t>los</w:t>
                      </w:r>
                      <w:r>
                        <w:rPr>
                          <w:color w:val="231F1F"/>
                          <w:spacing w:val="31"/>
                        </w:rPr>
                        <w:t> </w:t>
                      </w:r>
                      <w:r>
                        <w:rPr>
                          <w:color w:val="231F1F"/>
                          <w:spacing w:val="-2"/>
                        </w:rPr>
                        <w:t>resultados?</w:t>
                      </w:r>
                    </w:p>
                  </w:txbxContent>
                </v:textbox>
                <v:stroke dashstyle="solid"/>
                <w10:wrap type="topAndBottom"/>
              </v:shape>
            </w:pict>
          </mc:Fallback>
        </mc:AlternateContent>
      </w:r>
    </w:p>
    <w:p>
      <w:pPr>
        <w:pStyle w:val="BodyText"/>
        <w:spacing w:line="244" w:lineRule="auto" w:before="272"/>
        <w:ind w:left="283" w:right="124"/>
        <w:jc w:val="both"/>
      </w:pPr>
      <w:r>
        <w:rPr>
          <w:color w:val="231F1F"/>
          <w:w w:val="110"/>
        </w:rPr>
        <w:t>La atención al parto y al nacimiento expone a los profesionales al contacto con fluidos corporales</w:t>
      </w:r>
      <w:r>
        <w:rPr>
          <w:color w:val="231F1F"/>
          <w:spacing w:val="-12"/>
          <w:w w:val="110"/>
        </w:rPr>
        <w:t> </w:t>
      </w:r>
      <w:r>
        <w:rPr>
          <w:color w:val="231F1F"/>
          <w:w w:val="110"/>
        </w:rPr>
        <w:t>maternos</w:t>
      </w:r>
      <w:r>
        <w:rPr>
          <w:color w:val="231F1F"/>
          <w:spacing w:val="-13"/>
          <w:w w:val="110"/>
        </w:rPr>
        <w:t> </w:t>
      </w:r>
      <w:r>
        <w:rPr>
          <w:color w:val="231F1F"/>
          <w:w w:val="110"/>
        </w:rPr>
        <w:t>y</w:t>
      </w:r>
      <w:r>
        <w:rPr>
          <w:color w:val="231F1F"/>
          <w:spacing w:val="-13"/>
          <w:w w:val="110"/>
        </w:rPr>
        <w:t> </w:t>
      </w:r>
      <w:r>
        <w:rPr>
          <w:color w:val="231F1F"/>
          <w:w w:val="110"/>
        </w:rPr>
        <w:t>del</w:t>
      </w:r>
      <w:r>
        <w:rPr>
          <w:color w:val="231F1F"/>
          <w:spacing w:val="-13"/>
          <w:w w:val="110"/>
        </w:rPr>
        <w:t> </w:t>
      </w:r>
      <w:r>
        <w:rPr>
          <w:color w:val="231F1F"/>
          <w:w w:val="110"/>
        </w:rPr>
        <w:t>RN.</w:t>
      </w:r>
      <w:r>
        <w:rPr>
          <w:color w:val="231F1F"/>
          <w:spacing w:val="-13"/>
          <w:w w:val="110"/>
        </w:rPr>
        <w:t> </w:t>
      </w:r>
      <w:r>
        <w:rPr>
          <w:color w:val="231F1F"/>
          <w:w w:val="110"/>
        </w:rPr>
        <w:t>Por</w:t>
      </w:r>
      <w:r>
        <w:rPr>
          <w:color w:val="231F1F"/>
          <w:spacing w:val="-13"/>
          <w:w w:val="110"/>
        </w:rPr>
        <w:t> </w:t>
      </w:r>
      <w:r>
        <w:rPr>
          <w:color w:val="231F1F"/>
          <w:w w:val="110"/>
        </w:rPr>
        <w:t>otra</w:t>
      </w:r>
      <w:r>
        <w:rPr>
          <w:color w:val="231F1F"/>
          <w:spacing w:val="-13"/>
          <w:w w:val="110"/>
        </w:rPr>
        <w:t> </w:t>
      </w:r>
      <w:r>
        <w:rPr>
          <w:color w:val="231F1F"/>
          <w:w w:val="110"/>
        </w:rPr>
        <w:t>parte,</w:t>
      </w:r>
      <w:r>
        <w:rPr>
          <w:color w:val="231F1F"/>
          <w:spacing w:val="-13"/>
          <w:w w:val="110"/>
        </w:rPr>
        <w:t> </w:t>
      </w:r>
      <w:r>
        <w:rPr>
          <w:color w:val="231F1F"/>
          <w:w w:val="110"/>
        </w:rPr>
        <w:t>las</w:t>
      </w:r>
      <w:r>
        <w:rPr>
          <w:color w:val="231F1F"/>
          <w:spacing w:val="-13"/>
          <w:w w:val="110"/>
        </w:rPr>
        <w:t> </w:t>
      </w:r>
      <w:r>
        <w:rPr>
          <w:color w:val="231F1F"/>
          <w:w w:val="110"/>
        </w:rPr>
        <w:t>prácticas</w:t>
      </w:r>
      <w:r>
        <w:rPr>
          <w:color w:val="231F1F"/>
          <w:spacing w:val="-13"/>
          <w:w w:val="110"/>
        </w:rPr>
        <w:t> </w:t>
      </w:r>
      <w:r>
        <w:rPr>
          <w:color w:val="231F1F"/>
          <w:w w:val="110"/>
        </w:rPr>
        <w:t>invasivas,</w:t>
      </w:r>
      <w:r>
        <w:rPr>
          <w:color w:val="231F1F"/>
          <w:spacing w:val="-13"/>
          <w:w w:val="110"/>
        </w:rPr>
        <w:t> </w:t>
      </w:r>
      <w:r>
        <w:rPr>
          <w:color w:val="231F1F"/>
          <w:w w:val="110"/>
        </w:rPr>
        <w:t>incluido</w:t>
      </w:r>
      <w:r>
        <w:rPr>
          <w:color w:val="231F1F"/>
          <w:spacing w:val="-12"/>
          <w:w w:val="110"/>
        </w:rPr>
        <w:t> </w:t>
      </w:r>
      <w:r>
        <w:rPr>
          <w:color w:val="231F1F"/>
          <w:w w:val="110"/>
        </w:rPr>
        <w:t>el</w:t>
      </w:r>
      <w:r>
        <w:rPr>
          <w:color w:val="231F1F"/>
          <w:spacing w:val="-13"/>
          <w:w w:val="110"/>
        </w:rPr>
        <w:t> </w:t>
      </w:r>
      <w:r>
        <w:rPr>
          <w:color w:val="231F1F"/>
          <w:w w:val="110"/>
        </w:rPr>
        <w:t>tacto</w:t>
      </w:r>
      <w:r>
        <w:rPr>
          <w:color w:val="231F1F"/>
          <w:spacing w:val="-12"/>
          <w:w w:val="110"/>
        </w:rPr>
        <w:t> </w:t>
      </w:r>
      <w:r>
        <w:rPr>
          <w:color w:val="231F1F"/>
          <w:w w:val="110"/>
        </w:rPr>
        <w:t>va- ginal, deben realizarse con las medidas de asepsia necesarias para evitar infecciones.</w:t>
      </w:r>
    </w:p>
    <w:p>
      <w:pPr>
        <w:pStyle w:val="BodyText"/>
        <w:spacing w:before="85"/>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186"/>
        <w:ind w:left="283" w:right="1366"/>
        <w:jc w:val="both"/>
      </w:pPr>
      <w:r>
        <w:rPr>
          <w:color w:val="231F1F"/>
          <w:spacing w:val="-2"/>
          <w:w w:val="110"/>
        </w:rPr>
        <w:t>Las</w:t>
      </w:r>
      <w:r>
        <w:rPr>
          <w:color w:val="231F1F"/>
          <w:spacing w:val="-11"/>
          <w:w w:val="110"/>
        </w:rPr>
        <w:t> </w:t>
      </w:r>
      <w:r>
        <w:rPr>
          <w:color w:val="231F1F"/>
          <w:spacing w:val="-2"/>
          <w:w w:val="110"/>
        </w:rPr>
        <w:t>cuestiones</w:t>
      </w:r>
      <w:r>
        <w:rPr>
          <w:color w:val="231F1F"/>
          <w:spacing w:val="-10"/>
          <w:w w:val="110"/>
        </w:rPr>
        <w:t> </w:t>
      </w:r>
      <w:r>
        <w:rPr>
          <w:color w:val="231F1F"/>
          <w:spacing w:val="-2"/>
          <w:w w:val="110"/>
        </w:rPr>
        <w:t>generales</w:t>
      </w:r>
      <w:r>
        <w:rPr>
          <w:color w:val="231F1F"/>
          <w:spacing w:val="-11"/>
          <w:w w:val="110"/>
        </w:rPr>
        <w:t> </w:t>
      </w:r>
      <w:r>
        <w:rPr>
          <w:color w:val="231F1F"/>
          <w:spacing w:val="-2"/>
          <w:w w:val="110"/>
        </w:rPr>
        <w:t>sobre</w:t>
      </w:r>
      <w:r>
        <w:rPr>
          <w:color w:val="231F1F"/>
          <w:spacing w:val="-11"/>
          <w:w w:val="110"/>
        </w:rPr>
        <w:t> </w:t>
      </w:r>
      <w:r>
        <w:rPr>
          <w:color w:val="231F1F"/>
          <w:spacing w:val="-2"/>
          <w:w w:val="110"/>
        </w:rPr>
        <w:t>el</w:t>
      </w:r>
      <w:r>
        <w:rPr>
          <w:color w:val="231F1F"/>
          <w:spacing w:val="-11"/>
          <w:w w:val="110"/>
        </w:rPr>
        <w:t> </w:t>
      </w:r>
      <w:r>
        <w:rPr>
          <w:color w:val="231F1F"/>
          <w:spacing w:val="-2"/>
          <w:w w:val="110"/>
        </w:rPr>
        <w:t>control</w:t>
      </w:r>
      <w:r>
        <w:rPr>
          <w:color w:val="231F1F"/>
          <w:spacing w:val="-11"/>
          <w:w w:val="110"/>
        </w:rPr>
        <w:t> </w:t>
      </w:r>
      <w:r>
        <w:rPr>
          <w:color w:val="231F1F"/>
          <w:spacing w:val="-2"/>
          <w:w w:val="110"/>
        </w:rPr>
        <w:t>de</w:t>
      </w:r>
      <w:r>
        <w:rPr>
          <w:color w:val="231F1F"/>
          <w:spacing w:val="-11"/>
          <w:w w:val="110"/>
        </w:rPr>
        <w:t> </w:t>
      </w:r>
      <w:r>
        <w:rPr>
          <w:color w:val="231F1F"/>
          <w:spacing w:val="-2"/>
          <w:w w:val="110"/>
        </w:rPr>
        <w:t>la</w:t>
      </w:r>
      <w:r>
        <w:rPr>
          <w:color w:val="231F1F"/>
          <w:spacing w:val="-11"/>
          <w:w w:val="110"/>
        </w:rPr>
        <w:t> </w:t>
      </w:r>
      <w:r>
        <w:rPr>
          <w:color w:val="231F1F"/>
          <w:spacing w:val="-2"/>
          <w:w w:val="110"/>
        </w:rPr>
        <w:t>infección</w:t>
      </w:r>
      <w:r>
        <w:rPr>
          <w:color w:val="231F1F"/>
          <w:spacing w:val="-10"/>
          <w:w w:val="110"/>
        </w:rPr>
        <w:t> </w:t>
      </w:r>
      <w:r>
        <w:rPr>
          <w:color w:val="231F1F"/>
          <w:spacing w:val="-2"/>
          <w:w w:val="110"/>
        </w:rPr>
        <w:t>fueron</w:t>
      </w:r>
      <w:r>
        <w:rPr>
          <w:color w:val="231F1F"/>
          <w:spacing w:val="-10"/>
          <w:w w:val="110"/>
        </w:rPr>
        <w:t> </w:t>
      </w:r>
      <w:r>
        <w:rPr>
          <w:color w:val="231F1F"/>
          <w:spacing w:val="-2"/>
          <w:w w:val="110"/>
        </w:rPr>
        <w:t>revisadas</w:t>
      </w:r>
      <w:r>
        <w:rPr>
          <w:color w:val="231F1F"/>
          <w:spacing w:val="-11"/>
          <w:w w:val="110"/>
        </w:rPr>
        <w:t> </w:t>
      </w:r>
      <w:r>
        <w:rPr>
          <w:color w:val="231F1F"/>
          <w:spacing w:val="-2"/>
          <w:w w:val="110"/>
        </w:rPr>
        <w:t>por </w:t>
      </w:r>
      <w:r>
        <w:rPr>
          <w:color w:val="231F1F"/>
          <w:w w:val="110"/>
        </w:rPr>
        <w:t>NICE</w:t>
      </w:r>
      <w:r>
        <w:rPr>
          <w:color w:val="231F1F"/>
          <w:spacing w:val="-16"/>
          <w:w w:val="110"/>
        </w:rPr>
        <w:t> </w:t>
      </w:r>
      <w:r>
        <w:rPr>
          <w:color w:val="231F1F"/>
          <w:w w:val="110"/>
        </w:rPr>
        <w:t>(10)</w:t>
      </w:r>
      <w:r>
        <w:rPr>
          <w:color w:val="231F1F"/>
          <w:spacing w:val="-12"/>
          <w:w w:val="110"/>
        </w:rPr>
        <w:t> </w:t>
      </w:r>
      <w:r>
        <w:rPr>
          <w:color w:val="231F1F"/>
          <w:w w:val="110"/>
        </w:rPr>
        <w:t>en</w:t>
      </w:r>
      <w:r>
        <w:rPr>
          <w:color w:val="231F1F"/>
          <w:spacing w:val="-11"/>
          <w:w w:val="110"/>
        </w:rPr>
        <w:t> </w:t>
      </w:r>
      <w:r>
        <w:rPr>
          <w:color w:val="231F1F"/>
          <w:w w:val="110"/>
        </w:rPr>
        <w:t>su</w:t>
      </w:r>
      <w:r>
        <w:rPr>
          <w:color w:val="231F1F"/>
          <w:spacing w:val="-11"/>
          <w:w w:val="110"/>
        </w:rPr>
        <w:t> </w:t>
      </w:r>
      <w:r>
        <w:rPr>
          <w:color w:val="231F1F"/>
          <w:w w:val="110"/>
        </w:rPr>
        <w:t>guía</w:t>
      </w:r>
      <w:r>
        <w:rPr>
          <w:color w:val="231F1F"/>
          <w:spacing w:val="-11"/>
          <w:w w:val="110"/>
        </w:rPr>
        <w:t> </w:t>
      </w:r>
      <w:r>
        <w:rPr>
          <w:color w:val="231F1F"/>
          <w:w w:val="110"/>
        </w:rPr>
        <w:t>«</w:t>
      </w:r>
      <w:r>
        <w:rPr>
          <w:i/>
          <w:color w:val="231F1F"/>
          <w:w w:val="110"/>
        </w:rPr>
        <w:t>Infection</w:t>
      </w:r>
      <w:r>
        <w:rPr>
          <w:i/>
          <w:color w:val="231F1F"/>
          <w:spacing w:val="-16"/>
          <w:w w:val="110"/>
        </w:rPr>
        <w:t> </w:t>
      </w:r>
      <w:r>
        <w:rPr>
          <w:i/>
          <w:color w:val="231F1F"/>
          <w:w w:val="110"/>
        </w:rPr>
        <w:t>Control</w:t>
      </w:r>
      <w:r>
        <w:rPr>
          <w:color w:val="231F1F"/>
          <w:w w:val="110"/>
        </w:rPr>
        <w:t>»</w:t>
      </w:r>
      <w:r>
        <w:rPr>
          <w:color w:val="231F1F"/>
          <w:spacing w:val="-10"/>
          <w:w w:val="110"/>
        </w:rPr>
        <w:t> </w:t>
      </w:r>
      <w:r>
        <w:rPr>
          <w:color w:val="231F1F"/>
          <w:w w:val="110"/>
        </w:rPr>
        <w:t>publicada</w:t>
      </w:r>
      <w:r>
        <w:rPr>
          <w:color w:val="231F1F"/>
          <w:spacing w:val="-11"/>
          <w:w w:val="110"/>
        </w:rPr>
        <w:t> </w:t>
      </w:r>
      <w:r>
        <w:rPr>
          <w:color w:val="231F1F"/>
          <w:w w:val="110"/>
        </w:rPr>
        <w:t>en</w:t>
      </w:r>
      <w:r>
        <w:rPr>
          <w:color w:val="231F1F"/>
          <w:spacing w:val="-11"/>
          <w:w w:val="110"/>
        </w:rPr>
        <w:t> </w:t>
      </w:r>
      <w:r>
        <w:rPr>
          <w:color w:val="231F1F"/>
          <w:w w:val="110"/>
        </w:rPr>
        <w:t>junio</w:t>
      </w:r>
      <w:r>
        <w:rPr>
          <w:color w:val="231F1F"/>
          <w:spacing w:val="-11"/>
          <w:w w:val="110"/>
        </w:rPr>
        <w:t> </w:t>
      </w:r>
      <w:r>
        <w:rPr>
          <w:color w:val="231F1F"/>
          <w:w w:val="110"/>
        </w:rPr>
        <w:t>de</w:t>
      </w:r>
      <w:r>
        <w:rPr>
          <w:color w:val="231F1F"/>
          <w:spacing w:val="-11"/>
          <w:w w:val="110"/>
        </w:rPr>
        <w:t> </w:t>
      </w:r>
      <w:r>
        <w:rPr>
          <w:color w:val="231F1F"/>
          <w:w w:val="110"/>
        </w:rPr>
        <w:t>2003</w:t>
      </w:r>
      <w:r>
        <w:rPr>
          <w:color w:val="231F1F"/>
          <w:spacing w:val="-11"/>
          <w:w w:val="110"/>
        </w:rPr>
        <w:t> </w:t>
      </w:r>
      <w:r>
        <w:rPr>
          <w:color w:val="231F1F"/>
          <w:w w:val="110"/>
        </w:rPr>
        <w:t>(108). Basándose en la evidencia de 169 estudios incluidos, la guía de NICE (10) realiza</w:t>
      </w:r>
      <w:r>
        <w:rPr>
          <w:color w:val="231F1F"/>
          <w:spacing w:val="-2"/>
          <w:w w:val="110"/>
        </w:rPr>
        <w:t> </w:t>
      </w:r>
      <w:r>
        <w:rPr>
          <w:color w:val="231F1F"/>
          <w:w w:val="110"/>
        </w:rPr>
        <w:t>26</w:t>
      </w:r>
      <w:r>
        <w:rPr>
          <w:color w:val="231F1F"/>
          <w:spacing w:val="-3"/>
          <w:w w:val="110"/>
        </w:rPr>
        <w:t> </w:t>
      </w:r>
      <w:r>
        <w:rPr>
          <w:color w:val="231F1F"/>
          <w:w w:val="110"/>
        </w:rPr>
        <w:t>recomendaciones</w:t>
      </w:r>
      <w:r>
        <w:rPr>
          <w:color w:val="231F1F"/>
          <w:spacing w:val="-3"/>
          <w:w w:val="110"/>
        </w:rPr>
        <w:t> </w:t>
      </w:r>
      <w:r>
        <w:rPr>
          <w:color w:val="231F1F"/>
          <w:w w:val="110"/>
        </w:rPr>
        <w:t>sobre</w:t>
      </w:r>
      <w:r>
        <w:rPr>
          <w:color w:val="231F1F"/>
          <w:spacing w:val="-3"/>
          <w:w w:val="110"/>
        </w:rPr>
        <w:t> </w:t>
      </w:r>
      <w:r>
        <w:rPr>
          <w:color w:val="231F1F"/>
          <w:w w:val="110"/>
        </w:rPr>
        <w:t>la</w:t>
      </w:r>
      <w:r>
        <w:rPr>
          <w:color w:val="231F1F"/>
          <w:spacing w:val="-3"/>
          <w:w w:val="110"/>
        </w:rPr>
        <w:t> </w:t>
      </w:r>
      <w:r>
        <w:rPr>
          <w:color w:val="231F1F"/>
          <w:w w:val="110"/>
        </w:rPr>
        <w:t>higiene</w:t>
      </w:r>
      <w:r>
        <w:rPr>
          <w:color w:val="231F1F"/>
          <w:spacing w:val="-3"/>
          <w:w w:val="110"/>
        </w:rPr>
        <w:t> </w:t>
      </w:r>
      <w:r>
        <w:rPr>
          <w:color w:val="231F1F"/>
          <w:w w:val="110"/>
        </w:rPr>
        <w:t>de</w:t>
      </w:r>
      <w:r>
        <w:rPr>
          <w:color w:val="231F1F"/>
          <w:spacing w:val="-3"/>
          <w:w w:val="110"/>
        </w:rPr>
        <w:t> </w:t>
      </w:r>
      <w:r>
        <w:rPr>
          <w:color w:val="231F1F"/>
          <w:w w:val="110"/>
        </w:rPr>
        <w:t>las</w:t>
      </w:r>
      <w:r>
        <w:rPr>
          <w:color w:val="231F1F"/>
          <w:spacing w:val="-3"/>
          <w:w w:val="110"/>
        </w:rPr>
        <w:t> </w:t>
      </w:r>
      <w:r>
        <w:rPr>
          <w:color w:val="231F1F"/>
          <w:w w:val="110"/>
        </w:rPr>
        <w:t>manos,</w:t>
      </w:r>
      <w:r>
        <w:rPr>
          <w:color w:val="231F1F"/>
          <w:spacing w:val="-3"/>
          <w:w w:val="110"/>
        </w:rPr>
        <w:t> </w:t>
      </w:r>
      <w:r>
        <w:rPr>
          <w:color w:val="231F1F"/>
          <w:w w:val="110"/>
        </w:rPr>
        <w:t>la</w:t>
      </w:r>
      <w:r>
        <w:rPr>
          <w:color w:val="231F1F"/>
          <w:spacing w:val="-3"/>
          <w:w w:val="110"/>
        </w:rPr>
        <w:t> </w:t>
      </w:r>
      <w:r>
        <w:rPr>
          <w:color w:val="231F1F"/>
          <w:w w:val="110"/>
        </w:rPr>
        <w:t>utilización</w:t>
      </w:r>
      <w:r>
        <w:rPr>
          <w:color w:val="231F1F"/>
          <w:spacing w:val="-3"/>
          <w:w w:val="110"/>
        </w:rPr>
        <w:t> </w:t>
      </w:r>
      <w:r>
        <w:rPr>
          <w:color w:val="231F1F"/>
          <w:w w:val="110"/>
        </w:rPr>
        <w:t>de vestimentas o la utilizasción segura y eliminación de material punzante.</w:t>
      </w:r>
    </w:p>
    <w:p>
      <w:pPr>
        <w:pStyle w:val="BodyText"/>
        <w:spacing w:line="244" w:lineRule="auto" w:before="116"/>
        <w:ind w:left="283" w:right="1373" w:firstLine="453"/>
        <w:jc w:val="both"/>
      </w:pPr>
      <w:r>
        <w:rPr>
          <w:color w:val="231F1F"/>
          <w:w w:val="110"/>
        </w:rPr>
        <w:t>A</w:t>
      </w:r>
      <w:r>
        <w:rPr>
          <w:color w:val="231F1F"/>
          <w:spacing w:val="-6"/>
          <w:w w:val="110"/>
        </w:rPr>
        <w:t> </w:t>
      </w:r>
      <w:r>
        <w:rPr>
          <w:color w:val="231F1F"/>
          <w:w w:val="110"/>
        </w:rPr>
        <w:t>continuación</w:t>
      </w:r>
      <w:r>
        <w:rPr>
          <w:color w:val="231F1F"/>
          <w:spacing w:val="-6"/>
          <w:w w:val="110"/>
        </w:rPr>
        <w:t> </w:t>
      </w:r>
      <w:r>
        <w:rPr>
          <w:color w:val="231F1F"/>
          <w:w w:val="110"/>
        </w:rPr>
        <w:t>se</w:t>
      </w:r>
      <w:r>
        <w:rPr>
          <w:color w:val="231F1F"/>
          <w:spacing w:val="-7"/>
          <w:w w:val="110"/>
        </w:rPr>
        <w:t> </w:t>
      </w:r>
      <w:r>
        <w:rPr>
          <w:color w:val="231F1F"/>
          <w:w w:val="110"/>
        </w:rPr>
        <w:t>resume</w:t>
      </w:r>
      <w:r>
        <w:rPr>
          <w:color w:val="231F1F"/>
          <w:spacing w:val="-7"/>
          <w:w w:val="110"/>
        </w:rPr>
        <w:t> </w:t>
      </w:r>
      <w:r>
        <w:rPr>
          <w:color w:val="231F1F"/>
          <w:w w:val="110"/>
        </w:rPr>
        <w:t>la</w:t>
      </w:r>
      <w:r>
        <w:rPr>
          <w:color w:val="231F1F"/>
          <w:spacing w:val="-6"/>
          <w:w w:val="110"/>
        </w:rPr>
        <w:t> </w:t>
      </w:r>
      <w:r>
        <w:rPr>
          <w:color w:val="231F1F"/>
          <w:w w:val="110"/>
        </w:rPr>
        <w:t>evidencia</w:t>
      </w:r>
      <w:r>
        <w:rPr>
          <w:color w:val="231F1F"/>
          <w:spacing w:val="-6"/>
          <w:w w:val="110"/>
        </w:rPr>
        <w:t> </w:t>
      </w:r>
      <w:r>
        <w:rPr>
          <w:color w:val="231F1F"/>
          <w:w w:val="110"/>
        </w:rPr>
        <w:t>en</w:t>
      </w:r>
      <w:r>
        <w:rPr>
          <w:color w:val="231F1F"/>
          <w:spacing w:val="-6"/>
          <w:w w:val="110"/>
        </w:rPr>
        <w:t> </w:t>
      </w:r>
      <w:r>
        <w:rPr>
          <w:color w:val="231F1F"/>
          <w:w w:val="110"/>
        </w:rPr>
        <w:t>la</w:t>
      </w:r>
      <w:r>
        <w:rPr>
          <w:color w:val="231F1F"/>
          <w:spacing w:val="-6"/>
          <w:w w:val="110"/>
        </w:rPr>
        <w:t> </w:t>
      </w:r>
      <w:r>
        <w:rPr>
          <w:color w:val="231F1F"/>
          <w:w w:val="110"/>
        </w:rPr>
        <w:t>que</w:t>
      </w:r>
      <w:r>
        <w:rPr>
          <w:color w:val="231F1F"/>
          <w:spacing w:val="-7"/>
          <w:w w:val="110"/>
        </w:rPr>
        <w:t> </w:t>
      </w:r>
      <w:r>
        <w:rPr>
          <w:color w:val="231F1F"/>
          <w:w w:val="110"/>
        </w:rPr>
        <w:t>se</w:t>
      </w:r>
      <w:r>
        <w:rPr>
          <w:color w:val="231F1F"/>
          <w:spacing w:val="-7"/>
          <w:w w:val="110"/>
        </w:rPr>
        <w:t> </w:t>
      </w:r>
      <w:r>
        <w:rPr>
          <w:color w:val="231F1F"/>
          <w:w w:val="110"/>
        </w:rPr>
        <w:t>basan</w:t>
      </w:r>
      <w:r>
        <w:rPr>
          <w:color w:val="231F1F"/>
          <w:spacing w:val="-6"/>
          <w:w w:val="110"/>
        </w:rPr>
        <w:t> </w:t>
      </w:r>
      <w:r>
        <w:rPr>
          <w:color w:val="231F1F"/>
          <w:w w:val="110"/>
        </w:rPr>
        <w:t>las</w:t>
      </w:r>
      <w:r>
        <w:rPr>
          <w:color w:val="231F1F"/>
          <w:spacing w:val="-7"/>
          <w:w w:val="110"/>
        </w:rPr>
        <w:t> </w:t>
      </w:r>
      <w:r>
        <w:rPr>
          <w:color w:val="231F1F"/>
          <w:w w:val="110"/>
        </w:rPr>
        <w:t>recomen- daciones específicas para el control de infecciones en mujeres de parto.</w:t>
      </w:r>
    </w:p>
    <w:p>
      <w:pPr>
        <w:pStyle w:val="BodyText"/>
        <w:spacing w:before="16"/>
        <w:rPr>
          <w:sz w:val="20"/>
        </w:rPr>
      </w:pPr>
    </w:p>
    <w:p>
      <w:pPr>
        <w:pStyle w:val="BodyText"/>
        <w:spacing w:after="0"/>
        <w:rPr>
          <w:sz w:val="20"/>
        </w:rPr>
        <w:sectPr>
          <w:pgSz w:w="11900" w:h="16840"/>
          <w:pgMar w:header="0" w:footer="622" w:top="1560" w:bottom="820" w:left="1417" w:right="1559"/>
        </w:sectPr>
      </w:pPr>
    </w:p>
    <w:p>
      <w:pPr>
        <w:spacing w:before="92"/>
        <w:ind w:left="287" w:right="0" w:firstLine="0"/>
        <w:jc w:val="both"/>
        <w:rPr>
          <w:rFonts w:ascii="Arial MT"/>
          <w:sz w:val="24"/>
        </w:rPr>
      </w:pPr>
      <w:r>
        <w:rPr>
          <w:rFonts w:ascii="Arial MT"/>
          <w:color w:val="231F1F"/>
          <w:sz w:val="24"/>
        </w:rPr>
        <w:t>Higiene</w:t>
      </w:r>
      <w:r>
        <w:rPr>
          <w:rFonts w:ascii="Arial MT"/>
          <w:color w:val="231F1F"/>
          <w:spacing w:val="12"/>
          <w:sz w:val="24"/>
        </w:rPr>
        <w:t> </w:t>
      </w:r>
      <w:r>
        <w:rPr>
          <w:rFonts w:ascii="Arial MT"/>
          <w:color w:val="231F1F"/>
          <w:sz w:val="24"/>
        </w:rPr>
        <w:t>de</w:t>
      </w:r>
      <w:r>
        <w:rPr>
          <w:rFonts w:ascii="Arial MT"/>
          <w:color w:val="231F1F"/>
          <w:spacing w:val="11"/>
          <w:sz w:val="24"/>
        </w:rPr>
        <w:t> </w:t>
      </w:r>
      <w:r>
        <w:rPr>
          <w:rFonts w:ascii="Arial MT"/>
          <w:color w:val="231F1F"/>
          <w:spacing w:val="-2"/>
          <w:sz w:val="24"/>
        </w:rPr>
        <w:t>manos</w:t>
      </w:r>
    </w:p>
    <w:p>
      <w:pPr>
        <w:pStyle w:val="BodyText"/>
        <w:spacing w:line="244" w:lineRule="auto" w:before="180"/>
        <w:ind w:left="288"/>
        <w:jc w:val="both"/>
      </w:pPr>
      <w:r>
        <w:rPr>
          <w:color w:val="231F1F"/>
          <w:w w:val="110"/>
        </w:rPr>
        <w:t>Se identificaron dos ensayos controlados no-aleatorizados (109;110) y dos estudios</w:t>
      </w:r>
      <w:r>
        <w:rPr>
          <w:color w:val="231F1F"/>
          <w:spacing w:val="-16"/>
          <w:w w:val="110"/>
        </w:rPr>
        <w:t> </w:t>
      </w:r>
      <w:r>
        <w:rPr>
          <w:color w:val="231F1F"/>
          <w:w w:val="110"/>
        </w:rPr>
        <w:t>descriptivos</w:t>
      </w:r>
      <w:r>
        <w:rPr>
          <w:color w:val="231F1F"/>
          <w:spacing w:val="-15"/>
          <w:w w:val="110"/>
        </w:rPr>
        <w:t> </w:t>
      </w:r>
      <w:r>
        <w:rPr>
          <w:color w:val="231F1F"/>
          <w:w w:val="110"/>
        </w:rPr>
        <w:t>que</w:t>
      </w:r>
      <w:r>
        <w:rPr>
          <w:color w:val="231F1F"/>
          <w:spacing w:val="-15"/>
          <w:w w:val="110"/>
        </w:rPr>
        <w:t> </w:t>
      </w:r>
      <w:r>
        <w:rPr>
          <w:color w:val="231F1F"/>
          <w:w w:val="110"/>
        </w:rPr>
        <w:t>confirmaban</w:t>
      </w:r>
      <w:r>
        <w:rPr>
          <w:color w:val="231F1F"/>
          <w:spacing w:val="-15"/>
          <w:w w:val="110"/>
        </w:rPr>
        <w:t> </w:t>
      </w:r>
      <w:r>
        <w:rPr>
          <w:color w:val="231F1F"/>
          <w:w w:val="110"/>
        </w:rPr>
        <w:t>la</w:t>
      </w:r>
      <w:r>
        <w:rPr>
          <w:color w:val="231F1F"/>
          <w:spacing w:val="-15"/>
          <w:w w:val="110"/>
        </w:rPr>
        <w:t> </w:t>
      </w:r>
      <w:r>
        <w:rPr>
          <w:color w:val="231F1F"/>
          <w:w w:val="110"/>
        </w:rPr>
        <w:t>asociación</w:t>
      </w:r>
      <w:r>
        <w:rPr>
          <w:color w:val="231F1F"/>
          <w:spacing w:val="-15"/>
          <w:w w:val="110"/>
        </w:rPr>
        <w:t> </w:t>
      </w:r>
      <w:r>
        <w:rPr>
          <w:color w:val="231F1F"/>
          <w:w w:val="110"/>
        </w:rPr>
        <w:t>entre</w:t>
      </w:r>
      <w:r>
        <w:rPr>
          <w:color w:val="231F1F"/>
          <w:spacing w:val="-15"/>
          <w:w w:val="110"/>
        </w:rPr>
        <w:t> </w:t>
      </w:r>
      <w:r>
        <w:rPr>
          <w:color w:val="231F1F"/>
          <w:w w:val="110"/>
        </w:rPr>
        <w:t>la</w:t>
      </w:r>
      <w:r>
        <w:rPr>
          <w:color w:val="231F1F"/>
          <w:spacing w:val="-15"/>
          <w:w w:val="110"/>
        </w:rPr>
        <w:t> </w:t>
      </w:r>
      <w:r>
        <w:rPr>
          <w:color w:val="231F1F"/>
          <w:w w:val="110"/>
        </w:rPr>
        <w:t>desinfección</w:t>
      </w:r>
      <w:r>
        <w:rPr>
          <w:color w:val="231F1F"/>
          <w:spacing w:val="-16"/>
          <w:w w:val="110"/>
        </w:rPr>
        <w:t> </w:t>
      </w:r>
      <w:r>
        <w:rPr>
          <w:color w:val="231F1F"/>
          <w:w w:val="110"/>
        </w:rPr>
        <w:t>de manos y la reducción de la infección (111;112).</w:t>
      </w:r>
    </w:p>
    <w:p>
      <w:pPr>
        <w:pStyle w:val="BodyText"/>
        <w:spacing w:line="244" w:lineRule="auto" w:before="114"/>
        <w:ind w:left="287" w:firstLine="453"/>
        <w:jc w:val="both"/>
      </w:pPr>
      <w:r>
        <w:rPr>
          <w:color w:val="231F1F"/>
          <w:w w:val="105"/>
        </w:rPr>
        <w:t>En el primero de los ensayos controlados no-aleatorizados (109), se eva- luó un programa de lavado de manos, observándose que tras la intervención,</w:t>
      </w:r>
      <w:r>
        <w:rPr>
          <w:color w:val="231F1F"/>
          <w:spacing w:val="40"/>
          <w:w w:val="105"/>
        </w:rPr>
        <w:t> </w:t>
      </w:r>
      <w:r>
        <w:rPr>
          <w:color w:val="231F1F"/>
          <w:w w:val="105"/>
        </w:rPr>
        <w:t>la enfermedad respiratoria disminuyó en un 45%.</w:t>
      </w:r>
    </w:p>
    <w:p>
      <w:pPr>
        <w:pStyle w:val="BodyText"/>
        <w:spacing w:line="249" w:lineRule="auto" w:before="95"/>
        <w:ind w:left="287" w:firstLine="453"/>
        <w:jc w:val="both"/>
      </w:pPr>
      <w:r>
        <w:rPr>
          <w:color w:val="231F1F"/>
          <w:w w:val="105"/>
        </w:rPr>
        <w:t>El segundo de los ensayos (110), evaluó la introducción de un gel alco- hólico para la limpieza de manos durante el cuidado a largo plazo de ancianos ingresados. Se demostró una reducción del 30% de las infecciones asociadas</w:t>
      </w:r>
      <w:r>
        <w:rPr>
          <w:color w:val="231F1F"/>
          <w:spacing w:val="40"/>
          <w:w w:val="105"/>
        </w:rPr>
        <w:t> </w:t>
      </w:r>
      <w:r>
        <w:rPr>
          <w:color w:val="231F1F"/>
          <w:w w:val="105"/>
        </w:rPr>
        <w:t>al</w:t>
      </w:r>
      <w:r>
        <w:rPr>
          <w:color w:val="231F1F"/>
          <w:spacing w:val="-6"/>
          <w:w w:val="105"/>
        </w:rPr>
        <w:t> </w:t>
      </w:r>
      <w:r>
        <w:rPr>
          <w:color w:val="231F1F"/>
          <w:w w:val="105"/>
        </w:rPr>
        <w:t>cuidado</w:t>
      </w:r>
      <w:r>
        <w:rPr>
          <w:color w:val="231F1F"/>
          <w:spacing w:val="-5"/>
          <w:w w:val="105"/>
        </w:rPr>
        <w:t> </w:t>
      </w:r>
      <w:r>
        <w:rPr>
          <w:color w:val="231F1F"/>
          <w:w w:val="105"/>
        </w:rPr>
        <w:t>sanitario</w:t>
      </w:r>
      <w:r>
        <w:rPr>
          <w:color w:val="231F1F"/>
          <w:spacing w:val="-6"/>
          <w:w w:val="105"/>
        </w:rPr>
        <w:t> </w:t>
      </w:r>
      <w:r>
        <w:rPr>
          <w:color w:val="231F1F"/>
          <w:w w:val="105"/>
        </w:rPr>
        <w:t>en</w:t>
      </w:r>
      <w:r>
        <w:rPr>
          <w:color w:val="231F1F"/>
          <w:spacing w:val="-5"/>
          <w:w w:val="105"/>
        </w:rPr>
        <w:t> </w:t>
      </w:r>
      <w:r>
        <w:rPr>
          <w:color w:val="231F1F"/>
          <w:w w:val="105"/>
        </w:rPr>
        <w:t>un</w:t>
      </w:r>
      <w:r>
        <w:rPr>
          <w:color w:val="231F1F"/>
          <w:spacing w:val="-5"/>
          <w:w w:val="105"/>
        </w:rPr>
        <w:t> </w:t>
      </w:r>
      <w:r>
        <w:rPr>
          <w:color w:val="231F1F"/>
          <w:w w:val="105"/>
        </w:rPr>
        <w:t>período</w:t>
      </w:r>
      <w:r>
        <w:rPr>
          <w:color w:val="231F1F"/>
          <w:spacing w:val="-6"/>
          <w:w w:val="105"/>
        </w:rPr>
        <w:t> </w:t>
      </w:r>
      <w:r>
        <w:rPr>
          <w:color w:val="231F1F"/>
          <w:w w:val="105"/>
        </w:rPr>
        <w:t>de</w:t>
      </w:r>
      <w:r>
        <w:rPr>
          <w:color w:val="231F1F"/>
          <w:spacing w:val="-6"/>
          <w:w w:val="105"/>
        </w:rPr>
        <w:t> </w:t>
      </w:r>
      <w:r>
        <w:rPr>
          <w:color w:val="231F1F"/>
          <w:w w:val="105"/>
        </w:rPr>
        <w:t>34</w:t>
      </w:r>
      <w:r>
        <w:rPr>
          <w:color w:val="231F1F"/>
          <w:spacing w:val="-5"/>
          <w:w w:val="105"/>
        </w:rPr>
        <w:t> </w:t>
      </w:r>
      <w:r>
        <w:rPr>
          <w:color w:val="231F1F"/>
          <w:w w:val="105"/>
        </w:rPr>
        <w:t>meses,</w:t>
      </w:r>
      <w:r>
        <w:rPr>
          <w:color w:val="231F1F"/>
          <w:spacing w:val="-6"/>
          <w:w w:val="105"/>
        </w:rPr>
        <w:t> </w:t>
      </w:r>
      <w:r>
        <w:rPr>
          <w:color w:val="231F1F"/>
          <w:w w:val="105"/>
        </w:rPr>
        <w:t>en</w:t>
      </w:r>
      <w:r>
        <w:rPr>
          <w:color w:val="231F1F"/>
          <w:spacing w:val="-5"/>
          <w:w w:val="105"/>
        </w:rPr>
        <w:t> </w:t>
      </w:r>
      <w:r>
        <w:rPr>
          <w:color w:val="231F1F"/>
          <w:w w:val="105"/>
        </w:rPr>
        <w:t>comparación</w:t>
      </w:r>
      <w:r>
        <w:rPr>
          <w:color w:val="231F1F"/>
          <w:spacing w:val="-5"/>
          <w:w w:val="105"/>
        </w:rPr>
        <w:t> </w:t>
      </w:r>
      <w:r>
        <w:rPr>
          <w:color w:val="231F1F"/>
          <w:w w:val="105"/>
        </w:rPr>
        <w:t>con</w:t>
      </w:r>
      <w:r>
        <w:rPr>
          <w:color w:val="231F1F"/>
          <w:spacing w:val="-5"/>
          <w:w w:val="105"/>
        </w:rPr>
        <w:t> </w:t>
      </w:r>
      <w:r>
        <w:rPr>
          <w:color w:val="231F1F"/>
          <w:w w:val="105"/>
        </w:rPr>
        <w:t>el</w:t>
      </w:r>
      <w:r>
        <w:rPr>
          <w:color w:val="231F1F"/>
          <w:spacing w:val="-6"/>
          <w:w w:val="105"/>
        </w:rPr>
        <w:t> </w:t>
      </w:r>
      <w:r>
        <w:rPr>
          <w:color w:val="231F1F"/>
          <w:w w:val="105"/>
        </w:rPr>
        <w:t>control.</w:t>
      </w:r>
    </w:p>
    <w:p>
      <w:pPr>
        <w:pStyle w:val="BodyText"/>
        <w:spacing w:line="268" w:lineRule="auto" w:before="104"/>
        <w:ind w:left="287" w:right="130" w:firstLine="453"/>
        <w:jc w:val="both"/>
      </w:pPr>
      <w:r>
        <w:rPr>
          <w:color w:val="231F1F"/>
        </w:rPr>
        <w:t>Un estudio descriptivo (111) demostró la existencia de riesgo de infección cruzada resultante de la falta de desinfección de manos en el hogar del paciente.</w:t>
      </w:r>
    </w:p>
    <w:p>
      <w:pPr>
        <w:pStyle w:val="BodyText"/>
        <w:spacing w:line="256" w:lineRule="auto" w:before="24"/>
        <w:ind w:left="287" w:firstLine="453"/>
        <w:jc w:val="both"/>
      </w:pPr>
      <w:r>
        <w:rPr>
          <w:color w:val="231F1F"/>
          <w:w w:val="105"/>
        </w:rPr>
        <w:t>La</w:t>
      </w:r>
      <w:r>
        <w:rPr>
          <w:color w:val="231F1F"/>
          <w:w w:val="105"/>
        </w:rPr>
        <w:t> opinión</w:t>
      </w:r>
      <w:r>
        <w:rPr>
          <w:color w:val="231F1F"/>
          <w:w w:val="105"/>
        </w:rPr>
        <w:t> de</w:t>
      </w:r>
      <w:r>
        <w:rPr>
          <w:color w:val="231F1F"/>
          <w:w w:val="105"/>
        </w:rPr>
        <w:t> profesionales</w:t>
      </w:r>
      <w:r>
        <w:rPr>
          <w:color w:val="231F1F"/>
          <w:w w:val="105"/>
        </w:rPr>
        <w:t> expertos,</w:t>
      </w:r>
      <w:r>
        <w:rPr>
          <w:color w:val="231F1F"/>
          <w:w w:val="105"/>
        </w:rPr>
        <w:t> procedente</w:t>
      </w:r>
      <w:r>
        <w:rPr>
          <w:color w:val="231F1F"/>
          <w:w w:val="105"/>
        </w:rPr>
        <w:t> de</w:t>
      </w:r>
      <w:r>
        <w:rPr>
          <w:color w:val="231F1F"/>
          <w:w w:val="105"/>
        </w:rPr>
        <w:t> diferentes</w:t>
      </w:r>
      <w:r>
        <w:rPr>
          <w:color w:val="231F1F"/>
          <w:w w:val="105"/>
        </w:rPr>
        <w:t> docu- mentos,</w:t>
      </w:r>
      <w:r>
        <w:rPr>
          <w:color w:val="231F1F"/>
          <w:spacing w:val="-10"/>
          <w:w w:val="105"/>
        </w:rPr>
        <w:t> </w:t>
      </w:r>
      <w:r>
        <w:rPr>
          <w:color w:val="231F1F"/>
          <w:w w:val="105"/>
        </w:rPr>
        <w:t>(113-115),</w:t>
      </w:r>
      <w:r>
        <w:rPr>
          <w:color w:val="231F1F"/>
          <w:spacing w:val="-9"/>
          <w:w w:val="105"/>
        </w:rPr>
        <w:t> </w:t>
      </w:r>
      <w:r>
        <w:rPr>
          <w:color w:val="231F1F"/>
          <w:w w:val="105"/>
        </w:rPr>
        <w:t>es</w:t>
      </w:r>
      <w:r>
        <w:rPr>
          <w:color w:val="231F1F"/>
          <w:spacing w:val="-10"/>
          <w:w w:val="105"/>
        </w:rPr>
        <w:t> </w:t>
      </w:r>
      <w:r>
        <w:rPr>
          <w:color w:val="231F1F"/>
          <w:w w:val="105"/>
        </w:rPr>
        <w:t>consistente</w:t>
      </w:r>
      <w:r>
        <w:rPr>
          <w:color w:val="231F1F"/>
          <w:spacing w:val="-9"/>
          <w:w w:val="105"/>
        </w:rPr>
        <w:t> </w:t>
      </w:r>
      <w:r>
        <w:rPr>
          <w:color w:val="231F1F"/>
          <w:w w:val="105"/>
        </w:rPr>
        <w:t>con</w:t>
      </w:r>
      <w:r>
        <w:rPr>
          <w:color w:val="231F1F"/>
          <w:spacing w:val="-10"/>
          <w:w w:val="105"/>
        </w:rPr>
        <w:t> </w:t>
      </w:r>
      <w:r>
        <w:rPr>
          <w:color w:val="231F1F"/>
          <w:w w:val="105"/>
        </w:rPr>
        <w:t>que</w:t>
      </w:r>
      <w:r>
        <w:rPr>
          <w:color w:val="231F1F"/>
          <w:spacing w:val="-10"/>
          <w:w w:val="105"/>
        </w:rPr>
        <w:t> </w:t>
      </w:r>
      <w:r>
        <w:rPr>
          <w:color w:val="231F1F"/>
          <w:w w:val="105"/>
        </w:rPr>
        <w:t>la</w:t>
      </w:r>
      <w:r>
        <w:rPr>
          <w:color w:val="231F1F"/>
          <w:spacing w:val="-10"/>
          <w:w w:val="105"/>
        </w:rPr>
        <w:t> </w:t>
      </w:r>
      <w:r>
        <w:rPr>
          <w:color w:val="231F1F"/>
          <w:w w:val="105"/>
        </w:rPr>
        <w:t>desinfección</w:t>
      </w:r>
      <w:r>
        <w:rPr>
          <w:color w:val="231F1F"/>
          <w:spacing w:val="-10"/>
          <w:w w:val="105"/>
        </w:rPr>
        <w:t> </w:t>
      </w:r>
      <w:r>
        <w:rPr>
          <w:color w:val="231F1F"/>
          <w:w w:val="105"/>
        </w:rPr>
        <w:t>eficaz</w:t>
      </w:r>
      <w:r>
        <w:rPr>
          <w:color w:val="231F1F"/>
          <w:spacing w:val="-10"/>
          <w:w w:val="105"/>
        </w:rPr>
        <w:t> </w:t>
      </w:r>
      <w:r>
        <w:rPr>
          <w:color w:val="231F1F"/>
          <w:w w:val="105"/>
        </w:rPr>
        <w:t>conlleva</w:t>
      </w:r>
      <w:r>
        <w:rPr>
          <w:color w:val="231F1F"/>
          <w:spacing w:val="-9"/>
          <w:w w:val="105"/>
        </w:rPr>
        <w:t> </w:t>
      </w:r>
      <w:r>
        <w:rPr>
          <w:color w:val="231F1F"/>
          <w:w w:val="105"/>
        </w:rPr>
        <w:t>a</w:t>
      </w:r>
      <w:r>
        <w:rPr>
          <w:color w:val="231F1F"/>
          <w:spacing w:val="-10"/>
          <w:w w:val="105"/>
        </w:rPr>
        <w:t> </w:t>
      </w:r>
      <w:r>
        <w:rPr>
          <w:color w:val="231F1F"/>
          <w:w w:val="105"/>
        </w:rPr>
        <w:t>una reducción significativa de los posibles patógenos transportados en las manos</w:t>
      </w:r>
      <w:r>
        <w:rPr>
          <w:color w:val="231F1F"/>
          <w:spacing w:val="80"/>
          <w:w w:val="105"/>
        </w:rPr>
        <w:t> </w:t>
      </w:r>
      <w:r>
        <w:rPr>
          <w:color w:val="231F1F"/>
          <w:w w:val="105"/>
        </w:rPr>
        <w:t>y lógicamente disminuye la incidencia de infecciones prevenibles asociadas a cuidados</w:t>
      </w:r>
      <w:r>
        <w:rPr>
          <w:color w:val="231F1F"/>
          <w:spacing w:val="40"/>
          <w:w w:val="105"/>
        </w:rPr>
        <w:t> </w:t>
      </w:r>
      <w:r>
        <w:rPr>
          <w:color w:val="231F1F"/>
          <w:w w:val="105"/>
        </w:rPr>
        <w:t>sanitarios,</w:t>
      </w:r>
      <w:r>
        <w:rPr>
          <w:color w:val="231F1F"/>
          <w:spacing w:val="40"/>
          <w:w w:val="105"/>
        </w:rPr>
        <w:t> </w:t>
      </w:r>
      <w:r>
        <w:rPr>
          <w:color w:val="231F1F"/>
          <w:w w:val="105"/>
        </w:rPr>
        <w:t>reduciéndose</w:t>
      </w:r>
      <w:r>
        <w:rPr>
          <w:color w:val="231F1F"/>
          <w:spacing w:val="40"/>
          <w:w w:val="105"/>
        </w:rPr>
        <w:t> </w:t>
      </w:r>
      <w:r>
        <w:rPr>
          <w:color w:val="231F1F"/>
          <w:w w:val="105"/>
        </w:rPr>
        <w:t>así</w:t>
      </w:r>
      <w:r>
        <w:rPr>
          <w:color w:val="231F1F"/>
          <w:spacing w:val="40"/>
          <w:w w:val="105"/>
        </w:rPr>
        <w:t> </w:t>
      </w:r>
      <w:r>
        <w:rPr>
          <w:color w:val="231F1F"/>
          <w:w w:val="105"/>
        </w:rPr>
        <w:t>la</w:t>
      </w:r>
      <w:r>
        <w:rPr>
          <w:color w:val="231F1F"/>
          <w:spacing w:val="40"/>
          <w:w w:val="105"/>
        </w:rPr>
        <w:t> </w:t>
      </w:r>
      <w:r>
        <w:rPr>
          <w:color w:val="231F1F"/>
          <w:w w:val="105"/>
        </w:rPr>
        <w:t>morbilidad</w:t>
      </w:r>
      <w:r>
        <w:rPr>
          <w:color w:val="231F1F"/>
          <w:spacing w:val="40"/>
          <w:w w:val="105"/>
        </w:rPr>
        <w:t> </w:t>
      </w:r>
      <w:r>
        <w:rPr>
          <w:color w:val="231F1F"/>
          <w:w w:val="105"/>
        </w:rPr>
        <w:t>y</w:t>
      </w:r>
      <w:r>
        <w:rPr>
          <w:color w:val="231F1F"/>
          <w:spacing w:val="40"/>
          <w:w w:val="105"/>
        </w:rPr>
        <w:t> </w:t>
      </w:r>
      <w:r>
        <w:rPr>
          <w:color w:val="231F1F"/>
          <w:w w:val="105"/>
        </w:rPr>
        <w:t>la</w:t>
      </w:r>
      <w:r>
        <w:rPr>
          <w:color w:val="231F1F"/>
          <w:spacing w:val="40"/>
          <w:w w:val="105"/>
        </w:rPr>
        <w:t> </w:t>
      </w:r>
      <w:r>
        <w:rPr>
          <w:color w:val="231F1F"/>
          <w:w w:val="105"/>
        </w:rPr>
        <w:t>mortalidad.</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2"/>
        <w:rPr>
          <w:sz w:val="18"/>
        </w:rPr>
      </w:pPr>
    </w:p>
    <w:p>
      <w:pPr>
        <w:spacing w:line="278" w:lineRule="auto" w:before="0"/>
        <w:ind w:left="394" w:right="442" w:firstLine="0"/>
        <w:jc w:val="center"/>
        <w:rPr>
          <w:rFonts w:ascii="Arial MT"/>
          <w:sz w:val="18"/>
        </w:rPr>
      </w:pPr>
      <w:r>
        <w:rPr>
          <w:rFonts w:ascii="Arial MT"/>
          <w:color w:val="231F1F"/>
          <w:spacing w:val="-8"/>
          <w:sz w:val="18"/>
        </w:rPr>
        <w:t>ECC </w:t>
      </w:r>
      <w:r>
        <w:rPr>
          <w:rFonts w:ascii="Arial MT"/>
          <w:color w:val="231F1F"/>
          <w:spacing w:val="-6"/>
          <w:sz w:val="18"/>
        </w:rPr>
        <w:t>2+</w:t>
      </w:r>
    </w:p>
    <w:p>
      <w:pPr>
        <w:pStyle w:val="BodyText"/>
        <w:rPr>
          <w:rFonts w:ascii="Arial MT"/>
          <w:sz w:val="18"/>
        </w:rPr>
      </w:pPr>
    </w:p>
    <w:p>
      <w:pPr>
        <w:pStyle w:val="BodyText"/>
        <w:spacing w:before="13"/>
        <w:rPr>
          <w:rFonts w:ascii="Arial MT"/>
          <w:sz w:val="18"/>
        </w:rPr>
      </w:pPr>
    </w:p>
    <w:p>
      <w:pPr>
        <w:spacing w:line="278" w:lineRule="auto" w:before="1"/>
        <w:ind w:left="394" w:right="442" w:firstLine="0"/>
        <w:jc w:val="center"/>
        <w:rPr>
          <w:rFonts w:ascii="Arial MT"/>
          <w:sz w:val="18"/>
        </w:rPr>
      </w:pPr>
      <w:r>
        <w:rPr>
          <w:rFonts w:ascii="Arial MT"/>
          <w:color w:val="231F1F"/>
          <w:spacing w:val="-8"/>
          <w:sz w:val="18"/>
        </w:rPr>
        <w:t>ECC </w:t>
      </w:r>
      <w:r>
        <w:rPr>
          <w:rFonts w:ascii="Arial MT"/>
          <w:color w:val="231F1F"/>
          <w:spacing w:val="-6"/>
          <w:sz w:val="18"/>
        </w:rPr>
        <w:t>2+</w:t>
      </w:r>
    </w:p>
    <w:p>
      <w:pPr>
        <w:pStyle w:val="BodyText"/>
        <w:rPr>
          <w:rFonts w:ascii="Arial MT"/>
          <w:sz w:val="18"/>
        </w:rPr>
      </w:pPr>
    </w:p>
    <w:p>
      <w:pPr>
        <w:pStyle w:val="BodyText"/>
        <w:rPr>
          <w:rFonts w:ascii="Arial MT"/>
          <w:sz w:val="18"/>
        </w:rPr>
      </w:pPr>
    </w:p>
    <w:p>
      <w:pPr>
        <w:pStyle w:val="BodyText"/>
        <w:spacing w:before="84"/>
        <w:rPr>
          <w:rFonts w:ascii="Arial MT"/>
          <w:sz w:val="18"/>
        </w:rPr>
      </w:pPr>
    </w:p>
    <w:p>
      <w:pPr>
        <w:spacing w:line="283" w:lineRule="auto" w:before="0"/>
        <w:ind w:left="388" w:right="90" w:hanging="258"/>
        <w:jc w:val="left"/>
        <w:rPr>
          <w:rFonts w:ascii="Arial MT"/>
          <w:sz w:val="18"/>
        </w:rPr>
      </w:pPr>
      <w:r>
        <w:rPr>
          <w:rFonts w:ascii="Arial MT"/>
          <w:color w:val="231F1F"/>
          <w:spacing w:val="-4"/>
          <w:sz w:val="18"/>
        </w:rPr>
        <w:t>E.</w:t>
      </w:r>
      <w:r>
        <w:rPr>
          <w:rFonts w:ascii="Arial MT"/>
          <w:color w:val="231F1F"/>
          <w:spacing w:val="-17"/>
          <w:sz w:val="18"/>
        </w:rPr>
        <w:t> </w:t>
      </w:r>
      <w:r>
        <w:rPr>
          <w:rFonts w:ascii="Arial MT"/>
          <w:color w:val="231F1F"/>
          <w:spacing w:val="-4"/>
          <w:sz w:val="18"/>
        </w:rPr>
        <w:t>Transver- </w:t>
      </w:r>
      <w:r>
        <w:rPr>
          <w:rFonts w:ascii="Arial MT"/>
          <w:color w:val="231F1F"/>
          <w:sz w:val="18"/>
        </w:rPr>
        <w:t>sal 2+</w:t>
      </w:r>
    </w:p>
    <w:p>
      <w:pPr>
        <w:spacing w:after="0" w:line="283" w:lineRule="auto"/>
        <w:jc w:val="left"/>
        <w:rPr>
          <w:rFonts w:ascii="Arial MT"/>
          <w:sz w:val="18"/>
        </w:rPr>
        <w:sectPr>
          <w:type w:val="continuous"/>
          <w:pgSz w:w="11900" w:h="16840"/>
          <w:pgMar w:header="0" w:footer="622" w:top="560" w:bottom="280" w:left="1417" w:right="1559"/>
          <w:cols w:num="2" w:equalWidth="0">
            <w:col w:w="7553" w:space="40"/>
            <w:col w:w="1331"/>
          </w:cols>
        </w:sectPr>
      </w:pPr>
    </w:p>
    <w:p>
      <w:pPr>
        <w:pStyle w:val="BodyText"/>
        <w:spacing w:before="45"/>
        <w:rPr>
          <w:rFonts w:ascii="Arial MT"/>
          <w:sz w:val="24"/>
        </w:rPr>
      </w:pPr>
    </w:p>
    <w:p>
      <w:pPr>
        <w:pStyle w:val="Heading5"/>
      </w:pPr>
      <w:r>
        <w:rPr>
          <w:color w:val="231F1F"/>
        </w:rPr>
        <w:t>Opciones</w:t>
      </w:r>
      <w:r>
        <w:rPr>
          <w:color w:val="231F1F"/>
          <w:spacing w:val="-5"/>
        </w:rPr>
        <w:t> </w:t>
      </w:r>
      <w:r>
        <w:rPr>
          <w:color w:val="231F1F"/>
        </w:rPr>
        <w:t>de</w:t>
      </w:r>
      <w:r>
        <w:rPr>
          <w:color w:val="231F1F"/>
          <w:spacing w:val="-6"/>
        </w:rPr>
        <w:t> </w:t>
      </w:r>
      <w:r>
        <w:rPr>
          <w:color w:val="231F1F"/>
        </w:rPr>
        <w:t>limpieza</w:t>
      </w:r>
      <w:r>
        <w:rPr>
          <w:color w:val="231F1F"/>
          <w:spacing w:val="-4"/>
        </w:rPr>
        <w:t> </w:t>
      </w:r>
      <w:r>
        <w:rPr>
          <w:color w:val="231F1F"/>
        </w:rPr>
        <w:t>de</w:t>
      </w:r>
      <w:r>
        <w:rPr>
          <w:color w:val="231F1F"/>
          <w:spacing w:val="-4"/>
        </w:rPr>
        <w:t> </w:t>
      </w:r>
      <w:r>
        <w:rPr>
          <w:color w:val="231F1F"/>
          <w:spacing w:val="-2"/>
        </w:rPr>
        <w:t>manos</w:t>
      </w:r>
    </w:p>
    <w:p>
      <w:pPr>
        <w:pStyle w:val="BodyText"/>
        <w:spacing w:before="138"/>
        <w:ind w:left="283"/>
        <w:rPr>
          <w:rFonts w:ascii="Arial MT" w:hAnsi="Arial MT"/>
          <w:sz w:val="18"/>
        </w:rPr>
      </w:pPr>
      <w:r>
        <w:rPr>
          <w:color w:val="231F1F"/>
          <w:w w:val="105"/>
        </w:rPr>
        <w:t>Una</w:t>
      </w:r>
      <w:r>
        <w:rPr>
          <w:color w:val="231F1F"/>
          <w:spacing w:val="13"/>
          <w:w w:val="105"/>
        </w:rPr>
        <w:t> </w:t>
      </w:r>
      <w:r>
        <w:rPr>
          <w:color w:val="231F1F"/>
          <w:w w:val="105"/>
        </w:rPr>
        <w:t>RS</w:t>
      </w:r>
      <w:r>
        <w:rPr>
          <w:color w:val="231F1F"/>
          <w:spacing w:val="14"/>
          <w:w w:val="105"/>
        </w:rPr>
        <w:t> </w:t>
      </w:r>
      <w:r>
        <w:rPr>
          <w:color w:val="231F1F"/>
          <w:w w:val="105"/>
        </w:rPr>
        <w:t>previa</w:t>
      </w:r>
      <w:r>
        <w:rPr>
          <w:color w:val="231F1F"/>
          <w:spacing w:val="14"/>
          <w:w w:val="105"/>
        </w:rPr>
        <w:t> </w:t>
      </w:r>
      <w:r>
        <w:rPr>
          <w:color w:val="231F1F"/>
          <w:w w:val="105"/>
        </w:rPr>
        <w:t>(116),</w:t>
      </w:r>
      <w:r>
        <w:rPr>
          <w:color w:val="231F1F"/>
          <w:spacing w:val="14"/>
          <w:w w:val="105"/>
        </w:rPr>
        <w:t> </w:t>
      </w:r>
      <w:r>
        <w:rPr>
          <w:color w:val="231F1F"/>
          <w:w w:val="105"/>
        </w:rPr>
        <w:t>realizada</w:t>
      </w:r>
      <w:r>
        <w:rPr>
          <w:color w:val="231F1F"/>
          <w:spacing w:val="15"/>
          <w:w w:val="105"/>
        </w:rPr>
        <w:t> </w:t>
      </w:r>
      <w:r>
        <w:rPr>
          <w:color w:val="231F1F"/>
          <w:w w:val="105"/>
        </w:rPr>
        <w:t>por</w:t>
      </w:r>
      <w:r>
        <w:rPr>
          <w:color w:val="231F1F"/>
          <w:spacing w:val="13"/>
          <w:w w:val="105"/>
        </w:rPr>
        <w:t> </w:t>
      </w:r>
      <w:r>
        <w:rPr>
          <w:color w:val="231F1F"/>
          <w:w w:val="105"/>
        </w:rPr>
        <w:t>los</w:t>
      </w:r>
      <w:r>
        <w:rPr>
          <w:color w:val="231F1F"/>
          <w:spacing w:val="15"/>
          <w:w w:val="105"/>
        </w:rPr>
        <w:t> </w:t>
      </w:r>
      <w:r>
        <w:rPr>
          <w:color w:val="231F1F"/>
          <w:w w:val="105"/>
        </w:rPr>
        <w:t>mismos</w:t>
      </w:r>
      <w:r>
        <w:rPr>
          <w:color w:val="231F1F"/>
          <w:spacing w:val="13"/>
          <w:w w:val="105"/>
        </w:rPr>
        <w:t> </w:t>
      </w:r>
      <w:r>
        <w:rPr>
          <w:color w:val="231F1F"/>
          <w:w w:val="105"/>
        </w:rPr>
        <w:t>profesionales,</w:t>
      </w:r>
      <w:r>
        <w:rPr>
          <w:color w:val="231F1F"/>
          <w:spacing w:val="13"/>
          <w:w w:val="105"/>
        </w:rPr>
        <w:t> </w:t>
      </w:r>
      <w:r>
        <w:rPr>
          <w:color w:val="231F1F"/>
          <w:w w:val="105"/>
        </w:rPr>
        <w:t>no</w:t>
      </w:r>
      <w:r>
        <w:rPr>
          <w:color w:val="231F1F"/>
          <w:spacing w:val="15"/>
          <w:w w:val="105"/>
        </w:rPr>
        <w:t> </w:t>
      </w:r>
      <w:r>
        <w:rPr>
          <w:color w:val="231F1F"/>
          <w:w w:val="105"/>
        </w:rPr>
        <w:t>identificó</w:t>
      </w:r>
      <w:r>
        <w:rPr>
          <w:color w:val="231F1F"/>
          <w:spacing w:val="66"/>
          <w:w w:val="150"/>
        </w:rPr>
        <w:t> </w:t>
      </w:r>
      <w:r>
        <w:rPr>
          <w:rFonts w:ascii="Arial MT" w:hAnsi="Arial MT"/>
          <w:color w:val="231F1F"/>
          <w:w w:val="105"/>
          <w:sz w:val="18"/>
        </w:rPr>
        <w:t>RS</w:t>
      </w:r>
      <w:r>
        <w:rPr>
          <w:rFonts w:ascii="Arial MT" w:hAnsi="Arial MT"/>
          <w:color w:val="231F1F"/>
          <w:spacing w:val="6"/>
          <w:w w:val="105"/>
          <w:sz w:val="18"/>
        </w:rPr>
        <w:t> </w:t>
      </w:r>
      <w:r>
        <w:rPr>
          <w:rFonts w:ascii="Arial MT" w:hAnsi="Arial MT"/>
          <w:color w:val="231F1F"/>
          <w:w w:val="105"/>
          <w:sz w:val="18"/>
        </w:rPr>
        <w:t>de</w:t>
      </w:r>
      <w:r>
        <w:rPr>
          <w:rFonts w:ascii="Arial MT" w:hAnsi="Arial MT"/>
          <w:color w:val="231F1F"/>
          <w:spacing w:val="3"/>
          <w:w w:val="105"/>
          <w:sz w:val="18"/>
        </w:rPr>
        <w:t> </w:t>
      </w:r>
      <w:r>
        <w:rPr>
          <w:rFonts w:ascii="Arial MT" w:hAnsi="Arial MT"/>
          <w:color w:val="231F1F"/>
          <w:spacing w:val="-2"/>
          <w:w w:val="105"/>
          <w:sz w:val="18"/>
        </w:rPr>
        <w:t>ECAs,</w:t>
      </w:r>
    </w:p>
    <w:p>
      <w:pPr>
        <w:pStyle w:val="BodyText"/>
        <w:tabs>
          <w:tab w:pos="7876" w:val="left" w:leader="none"/>
        </w:tabs>
        <w:spacing w:before="3"/>
        <w:ind w:left="283"/>
        <w:rPr>
          <w:rFonts w:ascii="Arial MT" w:hAnsi="Arial MT"/>
          <w:position w:val="4"/>
          <w:sz w:val="18"/>
        </w:rPr>
      </w:pPr>
      <w:r>
        <w:rPr>
          <w:color w:val="231F1F"/>
          <w:w w:val="110"/>
        </w:rPr>
        <w:t>ninguna</w:t>
      </w:r>
      <w:r>
        <w:rPr>
          <w:color w:val="231F1F"/>
          <w:spacing w:val="-10"/>
          <w:w w:val="110"/>
        </w:rPr>
        <w:t> </w:t>
      </w:r>
      <w:r>
        <w:rPr>
          <w:color w:val="231F1F"/>
          <w:w w:val="110"/>
        </w:rPr>
        <w:t>prueba</w:t>
      </w:r>
      <w:r>
        <w:rPr>
          <w:color w:val="231F1F"/>
          <w:spacing w:val="-10"/>
          <w:w w:val="110"/>
        </w:rPr>
        <w:t> </w:t>
      </w:r>
      <w:r>
        <w:rPr>
          <w:color w:val="231F1F"/>
          <w:w w:val="110"/>
        </w:rPr>
        <w:t>a</w:t>
      </w:r>
      <w:r>
        <w:rPr>
          <w:color w:val="231F1F"/>
          <w:spacing w:val="-10"/>
          <w:w w:val="110"/>
        </w:rPr>
        <w:t> </w:t>
      </w:r>
      <w:r>
        <w:rPr>
          <w:color w:val="231F1F"/>
          <w:w w:val="110"/>
        </w:rPr>
        <w:t>favor</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utilización</w:t>
      </w:r>
      <w:r>
        <w:rPr>
          <w:color w:val="231F1F"/>
          <w:spacing w:val="-8"/>
          <w:w w:val="110"/>
        </w:rPr>
        <w:t> </w:t>
      </w:r>
      <w:r>
        <w:rPr>
          <w:color w:val="231F1F"/>
          <w:w w:val="110"/>
        </w:rPr>
        <w:t>generalizada</w:t>
      </w:r>
      <w:r>
        <w:rPr>
          <w:color w:val="231F1F"/>
          <w:spacing w:val="-12"/>
          <w:w w:val="110"/>
        </w:rPr>
        <w:t> </w:t>
      </w:r>
      <w:r>
        <w:rPr>
          <w:color w:val="231F1F"/>
          <w:w w:val="110"/>
        </w:rPr>
        <w:t>de</w:t>
      </w:r>
      <w:r>
        <w:rPr>
          <w:color w:val="231F1F"/>
          <w:spacing w:val="-9"/>
          <w:w w:val="110"/>
        </w:rPr>
        <w:t> </w:t>
      </w:r>
      <w:r>
        <w:rPr>
          <w:color w:val="231F1F"/>
          <w:w w:val="110"/>
        </w:rPr>
        <w:t>agentes</w:t>
      </w:r>
      <w:r>
        <w:rPr>
          <w:color w:val="231F1F"/>
          <w:spacing w:val="-10"/>
          <w:w w:val="110"/>
        </w:rPr>
        <w:t> </w:t>
      </w:r>
      <w:r>
        <w:rPr>
          <w:color w:val="231F1F"/>
          <w:spacing w:val="-2"/>
          <w:w w:val="110"/>
        </w:rPr>
        <w:t>antimicro-</w:t>
      </w:r>
      <w:r>
        <w:rPr>
          <w:color w:val="231F1F"/>
        </w:rPr>
        <w:tab/>
      </w:r>
      <w:r>
        <w:rPr>
          <w:rFonts w:ascii="Arial MT" w:hAnsi="Arial MT"/>
          <w:color w:val="231F1F"/>
          <w:w w:val="105"/>
          <w:position w:val="4"/>
          <w:sz w:val="18"/>
        </w:rPr>
        <w:t>ECC</w:t>
      </w:r>
      <w:r>
        <w:rPr>
          <w:rFonts w:ascii="Arial MT" w:hAnsi="Arial MT"/>
          <w:color w:val="231F1F"/>
          <w:w w:val="110"/>
          <w:position w:val="4"/>
          <w:sz w:val="18"/>
        </w:rPr>
        <w:t> </w:t>
      </w:r>
      <w:r>
        <w:rPr>
          <w:rFonts w:ascii="Arial MT" w:hAnsi="Arial MT"/>
          <w:color w:val="231F1F"/>
          <w:spacing w:val="-10"/>
          <w:w w:val="110"/>
          <w:position w:val="4"/>
          <w:sz w:val="18"/>
        </w:rPr>
        <w:t>y</w:t>
      </w:r>
    </w:p>
    <w:p>
      <w:pPr>
        <w:pStyle w:val="BodyText"/>
        <w:spacing w:after="0"/>
        <w:rPr>
          <w:rFonts w:ascii="Arial MT" w:hAnsi="Arial MT"/>
          <w:position w:val="4"/>
          <w:sz w:val="18"/>
        </w:rPr>
        <w:sectPr>
          <w:type w:val="continuous"/>
          <w:pgSz w:w="11900" w:h="16840"/>
          <w:pgMar w:header="0" w:footer="622" w:top="560" w:bottom="280" w:left="1417" w:right="1559"/>
        </w:sectPr>
      </w:pPr>
    </w:p>
    <w:p>
      <w:pPr>
        <w:pStyle w:val="BodyText"/>
        <w:spacing w:line="249" w:lineRule="auto" w:before="30"/>
        <w:ind w:left="283"/>
        <w:jc w:val="both"/>
      </w:pPr>
      <w:r>
        <w:rPr>
          <w:color w:val="231F1F"/>
          <w:w w:val="105"/>
        </w:rPr>
        <w:t>bianos en lugar de jabón para la limpieza de manos, ni la superioridad de un agente antimicrobiano sobre otro. La actualización realizada en la elaboración de</w:t>
      </w:r>
      <w:r>
        <w:rPr>
          <w:color w:val="231F1F"/>
          <w:spacing w:val="40"/>
          <w:w w:val="105"/>
        </w:rPr>
        <w:t> </w:t>
      </w:r>
      <w:r>
        <w:rPr>
          <w:color w:val="231F1F"/>
          <w:w w:val="105"/>
        </w:rPr>
        <w:t>la</w:t>
      </w:r>
      <w:r>
        <w:rPr>
          <w:color w:val="231F1F"/>
          <w:spacing w:val="40"/>
          <w:w w:val="105"/>
        </w:rPr>
        <w:t> </w:t>
      </w:r>
      <w:r>
        <w:rPr>
          <w:color w:val="231F1F"/>
          <w:w w:val="105"/>
        </w:rPr>
        <w:t>guía</w:t>
      </w:r>
      <w:r>
        <w:rPr>
          <w:color w:val="231F1F"/>
          <w:spacing w:val="40"/>
          <w:w w:val="105"/>
        </w:rPr>
        <w:t> </w:t>
      </w:r>
      <w:r>
        <w:rPr>
          <w:color w:val="231F1F"/>
          <w:w w:val="105"/>
        </w:rPr>
        <w:t>de</w:t>
      </w:r>
      <w:r>
        <w:rPr>
          <w:color w:val="231F1F"/>
          <w:spacing w:val="40"/>
          <w:w w:val="105"/>
        </w:rPr>
        <w:t> </w:t>
      </w:r>
      <w:r>
        <w:rPr>
          <w:color w:val="231F1F"/>
          <w:w w:val="105"/>
        </w:rPr>
        <w:t>control</w:t>
      </w:r>
      <w:r>
        <w:rPr>
          <w:color w:val="231F1F"/>
          <w:spacing w:val="40"/>
          <w:w w:val="105"/>
        </w:rPr>
        <w:t> </w:t>
      </w:r>
      <w:r>
        <w:rPr>
          <w:color w:val="231F1F"/>
          <w:w w:val="105"/>
        </w:rPr>
        <w:t>de</w:t>
      </w:r>
      <w:r>
        <w:rPr>
          <w:color w:val="231F1F"/>
          <w:spacing w:val="40"/>
          <w:w w:val="105"/>
        </w:rPr>
        <w:t> </w:t>
      </w:r>
      <w:r>
        <w:rPr>
          <w:color w:val="231F1F"/>
          <w:w w:val="105"/>
        </w:rPr>
        <w:t>infecciones</w:t>
      </w:r>
      <w:r>
        <w:rPr>
          <w:color w:val="231F1F"/>
          <w:spacing w:val="40"/>
          <w:w w:val="105"/>
        </w:rPr>
        <w:t> </w:t>
      </w:r>
      <w:r>
        <w:rPr>
          <w:color w:val="231F1F"/>
          <w:w w:val="105"/>
        </w:rPr>
        <w:t>no</w:t>
      </w:r>
      <w:r>
        <w:rPr>
          <w:color w:val="231F1F"/>
          <w:spacing w:val="40"/>
          <w:w w:val="105"/>
        </w:rPr>
        <w:t> </w:t>
      </w:r>
      <w:r>
        <w:rPr>
          <w:color w:val="231F1F"/>
          <w:w w:val="105"/>
        </w:rPr>
        <w:t>identificó</w:t>
      </w:r>
      <w:r>
        <w:rPr>
          <w:color w:val="231F1F"/>
          <w:spacing w:val="40"/>
          <w:w w:val="105"/>
        </w:rPr>
        <w:t> </w:t>
      </w:r>
      <w:r>
        <w:rPr>
          <w:color w:val="231F1F"/>
          <w:w w:val="105"/>
        </w:rPr>
        <w:t>nuevas</w:t>
      </w:r>
      <w:r>
        <w:rPr>
          <w:color w:val="231F1F"/>
          <w:spacing w:val="40"/>
          <w:w w:val="105"/>
        </w:rPr>
        <w:t> </w:t>
      </w:r>
      <w:r>
        <w:rPr>
          <w:color w:val="231F1F"/>
          <w:w w:val="105"/>
        </w:rPr>
        <w:t>pruebas.</w:t>
      </w:r>
    </w:p>
    <w:p>
      <w:pPr>
        <w:spacing w:line="278" w:lineRule="auto" w:before="4"/>
        <w:ind w:left="535" w:right="282" w:hanging="407"/>
        <w:jc w:val="left"/>
        <w:rPr>
          <w:rFonts w:ascii="Arial MT"/>
          <w:sz w:val="18"/>
        </w:rPr>
      </w:pPr>
      <w:r>
        <w:rPr/>
        <w:br w:type="column"/>
      </w:r>
      <w:r>
        <w:rPr>
          <w:rFonts w:ascii="Arial MT"/>
          <w:color w:val="231F1F"/>
          <w:spacing w:val="-4"/>
          <w:sz w:val="18"/>
        </w:rPr>
        <w:t>descriptivos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44" w:space="40"/>
            <w:col w:w="1340"/>
          </w:cols>
        </w:sectPr>
      </w:pPr>
    </w:p>
    <w:p>
      <w:pPr>
        <w:pStyle w:val="BodyText"/>
        <w:spacing w:line="252" w:lineRule="auto" w:before="73"/>
        <w:ind w:left="283" w:firstLine="453"/>
        <w:jc w:val="both"/>
      </w:pPr>
      <w:r>
        <w:rPr>
          <w:color w:val="231F1F"/>
          <w:w w:val="105"/>
        </w:rPr>
        <w:t>La</w:t>
      </w:r>
      <w:r>
        <w:rPr>
          <w:color w:val="231F1F"/>
          <w:w w:val="105"/>
        </w:rPr>
        <w:t> RS</w:t>
      </w:r>
      <w:r>
        <w:rPr>
          <w:color w:val="231F1F"/>
          <w:w w:val="105"/>
        </w:rPr>
        <w:t> incluyó</w:t>
      </w:r>
      <w:r>
        <w:rPr>
          <w:color w:val="231F1F"/>
          <w:w w:val="105"/>
        </w:rPr>
        <w:t> diecisiete</w:t>
      </w:r>
      <w:r>
        <w:rPr>
          <w:color w:val="231F1F"/>
          <w:w w:val="105"/>
        </w:rPr>
        <w:t> estudios</w:t>
      </w:r>
      <w:r>
        <w:rPr>
          <w:color w:val="231F1F"/>
          <w:w w:val="105"/>
        </w:rPr>
        <w:t> que</w:t>
      </w:r>
      <w:r>
        <w:rPr>
          <w:color w:val="231F1F"/>
          <w:w w:val="105"/>
        </w:rPr>
        <w:t> compararon</w:t>
      </w:r>
      <w:r>
        <w:rPr>
          <w:color w:val="231F1F"/>
          <w:w w:val="105"/>
        </w:rPr>
        <w:t> la</w:t>
      </w:r>
      <w:r>
        <w:rPr>
          <w:color w:val="231F1F"/>
          <w:w w:val="105"/>
        </w:rPr>
        <w:t> higiene</w:t>
      </w:r>
      <w:r>
        <w:rPr>
          <w:color w:val="231F1F"/>
          <w:w w:val="105"/>
        </w:rPr>
        <w:t> de</w:t>
      </w:r>
      <w:r>
        <w:rPr>
          <w:color w:val="231F1F"/>
          <w:w w:val="105"/>
        </w:rPr>
        <w:t> manos con diferentes productos, incluyendo lociones y geles alcohólicos, productos con antibióticos y jabón líquido. Cinco de los estudios fueron ECAs en entor- nos</w:t>
      </w:r>
      <w:r>
        <w:rPr>
          <w:color w:val="231F1F"/>
          <w:w w:val="105"/>
        </w:rPr>
        <w:t> clínicos</w:t>
      </w:r>
      <w:r>
        <w:rPr>
          <w:color w:val="231F1F"/>
          <w:w w:val="105"/>
        </w:rPr>
        <w:t> que</w:t>
      </w:r>
      <w:r>
        <w:rPr>
          <w:color w:val="231F1F"/>
          <w:w w:val="105"/>
        </w:rPr>
        <w:t> comparaban</w:t>
      </w:r>
      <w:r>
        <w:rPr>
          <w:color w:val="231F1F"/>
          <w:w w:val="105"/>
        </w:rPr>
        <w:t> el</w:t>
      </w:r>
      <w:r>
        <w:rPr>
          <w:color w:val="231F1F"/>
          <w:w w:val="105"/>
        </w:rPr>
        <w:t> uso</w:t>
      </w:r>
      <w:r>
        <w:rPr>
          <w:color w:val="231F1F"/>
          <w:w w:val="105"/>
        </w:rPr>
        <w:t> de</w:t>
      </w:r>
      <w:r>
        <w:rPr>
          <w:color w:val="231F1F"/>
          <w:w w:val="105"/>
        </w:rPr>
        <w:t> preparaciones</w:t>
      </w:r>
      <w:r>
        <w:rPr>
          <w:color w:val="231F1F"/>
          <w:w w:val="105"/>
        </w:rPr>
        <w:t> a</w:t>
      </w:r>
      <w:r>
        <w:rPr>
          <w:color w:val="231F1F"/>
          <w:w w:val="105"/>
        </w:rPr>
        <w:t> base</w:t>
      </w:r>
      <w:r>
        <w:rPr>
          <w:color w:val="231F1F"/>
          <w:w w:val="105"/>
        </w:rPr>
        <w:t> de</w:t>
      </w:r>
      <w:r>
        <w:rPr>
          <w:color w:val="231F1F"/>
          <w:w w:val="105"/>
        </w:rPr>
        <w:t> alcohol</w:t>
      </w:r>
      <w:r>
        <w:rPr>
          <w:color w:val="231F1F"/>
          <w:w w:val="105"/>
        </w:rPr>
        <w:t> con otros</w:t>
      </w:r>
      <w:r>
        <w:rPr>
          <w:color w:val="231F1F"/>
          <w:spacing w:val="-6"/>
          <w:w w:val="105"/>
        </w:rPr>
        <w:t> </w:t>
      </w:r>
      <w:r>
        <w:rPr>
          <w:color w:val="231F1F"/>
          <w:w w:val="105"/>
        </w:rPr>
        <w:t>agentes.</w:t>
      </w:r>
      <w:r>
        <w:rPr>
          <w:color w:val="231F1F"/>
          <w:spacing w:val="-6"/>
          <w:w w:val="105"/>
        </w:rPr>
        <w:t> </w:t>
      </w:r>
      <w:r>
        <w:rPr>
          <w:color w:val="231F1F"/>
          <w:w w:val="105"/>
        </w:rPr>
        <w:t>Se</w:t>
      </w:r>
      <w:r>
        <w:rPr>
          <w:color w:val="231F1F"/>
          <w:spacing w:val="-6"/>
          <w:w w:val="105"/>
        </w:rPr>
        <w:t> </w:t>
      </w:r>
      <w:r>
        <w:rPr>
          <w:color w:val="231F1F"/>
          <w:w w:val="105"/>
        </w:rPr>
        <w:t>incluyeron</w:t>
      </w:r>
      <w:r>
        <w:rPr>
          <w:color w:val="231F1F"/>
          <w:spacing w:val="-6"/>
          <w:w w:val="105"/>
        </w:rPr>
        <w:t> </w:t>
      </w:r>
      <w:r>
        <w:rPr>
          <w:color w:val="231F1F"/>
          <w:w w:val="105"/>
        </w:rPr>
        <w:t>también</w:t>
      </w:r>
      <w:r>
        <w:rPr>
          <w:color w:val="231F1F"/>
          <w:spacing w:val="-6"/>
          <w:w w:val="105"/>
        </w:rPr>
        <w:t> </w:t>
      </w:r>
      <w:r>
        <w:rPr>
          <w:color w:val="231F1F"/>
          <w:w w:val="105"/>
        </w:rPr>
        <w:t>cuatro</w:t>
      </w:r>
      <w:r>
        <w:rPr>
          <w:color w:val="231F1F"/>
          <w:spacing w:val="-6"/>
          <w:w w:val="105"/>
        </w:rPr>
        <w:t> </w:t>
      </w:r>
      <w:r>
        <w:rPr>
          <w:color w:val="231F1F"/>
          <w:w w:val="105"/>
        </w:rPr>
        <w:t>ensayos</w:t>
      </w:r>
      <w:r>
        <w:rPr>
          <w:color w:val="231F1F"/>
          <w:spacing w:val="-5"/>
          <w:w w:val="105"/>
        </w:rPr>
        <w:t> </w:t>
      </w:r>
      <w:r>
        <w:rPr>
          <w:color w:val="231F1F"/>
          <w:w w:val="105"/>
        </w:rPr>
        <w:t>clínicos</w:t>
      </w:r>
      <w:r>
        <w:rPr>
          <w:color w:val="231F1F"/>
          <w:spacing w:val="-5"/>
          <w:w w:val="105"/>
        </w:rPr>
        <w:t> </w:t>
      </w:r>
      <w:r>
        <w:rPr>
          <w:color w:val="231F1F"/>
          <w:w w:val="105"/>
        </w:rPr>
        <w:t>cuasi-experimen- tales,</w:t>
      </w:r>
      <w:r>
        <w:rPr>
          <w:color w:val="231F1F"/>
          <w:spacing w:val="40"/>
          <w:w w:val="105"/>
        </w:rPr>
        <w:t> </w:t>
      </w:r>
      <w:r>
        <w:rPr>
          <w:color w:val="231F1F"/>
          <w:w w:val="105"/>
        </w:rPr>
        <w:t>siete</w:t>
      </w:r>
      <w:r>
        <w:rPr>
          <w:color w:val="231F1F"/>
          <w:spacing w:val="40"/>
          <w:w w:val="105"/>
        </w:rPr>
        <w:t> </w:t>
      </w:r>
      <w:r>
        <w:rPr>
          <w:color w:val="231F1F"/>
          <w:w w:val="105"/>
        </w:rPr>
        <w:t>ensayos</w:t>
      </w:r>
      <w:r>
        <w:rPr>
          <w:color w:val="231F1F"/>
          <w:spacing w:val="40"/>
          <w:w w:val="105"/>
        </w:rPr>
        <w:t> </w:t>
      </w:r>
      <w:r>
        <w:rPr>
          <w:color w:val="231F1F"/>
          <w:w w:val="105"/>
        </w:rPr>
        <w:t>controlados</w:t>
      </w:r>
      <w:r>
        <w:rPr>
          <w:color w:val="231F1F"/>
          <w:spacing w:val="40"/>
          <w:w w:val="105"/>
        </w:rPr>
        <w:t> </w:t>
      </w:r>
      <w:r>
        <w:rPr>
          <w:color w:val="231F1F"/>
          <w:w w:val="105"/>
        </w:rPr>
        <w:t>de</w:t>
      </w:r>
      <w:r>
        <w:rPr>
          <w:color w:val="231F1F"/>
          <w:spacing w:val="40"/>
          <w:w w:val="105"/>
        </w:rPr>
        <w:t> </w:t>
      </w:r>
      <w:r>
        <w:rPr>
          <w:color w:val="231F1F"/>
          <w:w w:val="105"/>
        </w:rPr>
        <w:t>laboratorio</w:t>
      </w:r>
      <w:r>
        <w:rPr>
          <w:color w:val="231F1F"/>
          <w:spacing w:val="40"/>
          <w:w w:val="105"/>
        </w:rPr>
        <w:t> </w:t>
      </w:r>
      <w:r>
        <w:rPr>
          <w:color w:val="231F1F"/>
          <w:w w:val="105"/>
        </w:rPr>
        <w:t>y</w:t>
      </w:r>
      <w:r>
        <w:rPr>
          <w:color w:val="231F1F"/>
          <w:spacing w:val="40"/>
          <w:w w:val="105"/>
        </w:rPr>
        <w:t> </w:t>
      </w:r>
      <w:r>
        <w:rPr>
          <w:color w:val="231F1F"/>
          <w:w w:val="105"/>
        </w:rPr>
        <w:t>un</w:t>
      </w:r>
      <w:r>
        <w:rPr>
          <w:color w:val="231F1F"/>
          <w:spacing w:val="40"/>
          <w:w w:val="105"/>
        </w:rPr>
        <w:t> </w:t>
      </w:r>
      <w:r>
        <w:rPr>
          <w:color w:val="231F1F"/>
          <w:w w:val="105"/>
        </w:rPr>
        <w:t>estudio</w:t>
      </w:r>
      <w:r>
        <w:rPr>
          <w:color w:val="231F1F"/>
          <w:spacing w:val="40"/>
          <w:w w:val="105"/>
        </w:rPr>
        <w:t> </w:t>
      </w:r>
      <w:r>
        <w:rPr>
          <w:color w:val="231F1F"/>
          <w:w w:val="105"/>
        </w:rPr>
        <w:t>descriptivo.</w:t>
      </w:r>
    </w:p>
    <w:p>
      <w:pPr>
        <w:pStyle w:val="BodyText"/>
        <w:spacing w:line="247" w:lineRule="auto" w:before="57"/>
        <w:ind w:left="283" w:right="2" w:firstLine="453"/>
        <w:jc w:val="both"/>
      </w:pPr>
      <w:r>
        <w:rPr>
          <w:color w:val="231F1F"/>
          <w:w w:val="105"/>
        </w:rPr>
        <w:t>En general, se observó que con un lavado eficaz de manos con jabón lí- quido no-medicado se eliminaban los microorganismos transitorios y se con- seguía una limpieza efectiva de manos. Este nivel de desinfección es suficien- te</w:t>
      </w:r>
      <w:r>
        <w:rPr>
          <w:color w:val="231F1F"/>
          <w:spacing w:val="-2"/>
          <w:w w:val="105"/>
        </w:rPr>
        <w:t> </w:t>
      </w:r>
      <w:r>
        <w:rPr>
          <w:color w:val="231F1F"/>
          <w:w w:val="105"/>
        </w:rPr>
        <w:t>para</w:t>
      </w:r>
      <w:r>
        <w:rPr>
          <w:color w:val="231F1F"/>
          <w:spacing w:val="-3"/>
          <w:w w:val="105"/>
        </w:rPr>
        <w:t> </w:t>
      </w:r>
      <w:r>
        <w:rPr>
          <w:color w:val="231F1F"/>
          <w:w w:val="105"/>
        </w:rPr>
        <w:t>la</w:t>
      </w:r>
      <w:r>
        <w:rPr>
          <w:color w:val="231F1F"/>
          <w:spacing w:val="-2"/>
          <w:w w:val="105"/>
        </w:rPr>
        <w:t> </w:t>
      </w:r>
      <w:r>
        <w:rPr>
          <w:color w:val="231F1F"/>
          <w:w w:val="105"/>
        </w:rPr>
        <w:t>mayoría</w:t>
      </w:r>
      <w:r>
        <w:rPr>
          <w:color w:val="231F1F"/>
          <w:spacing w:val="-3"/>
          <w:w w:val="105"/>
        </w:rPr>
        <w:t> </w:t>
      </w:r>
      <w:r>
        <w:rPr>
          <w:color w:val="231F1F"/>
          <w:w w:val="105"/>
        </w:rPr>
        <w:t>de</w:t>
      </w:r>
      <w:r>
        <w:rPr>
          <w:color w:val="231F1F"/>
          <w:spacing w:val="-2"/>
          <w:w w:val="105"/>
        </w:rPr>
        <w:t> </w:t>
      </w:r>
      <w:r>
        <w:rPr>
          <w:color w:val="231F1F"/>
          <w:w w:val="105"/>
        </w:rPr>
        <w:t>las</w:t>
      </w:r>
      <w:r>
        <w:rPr>
          <w:color w:val="231F1F"/>
          <w:spacing w:val="-2"/>
          <w:w w:val="105"/>
        </w:rPr>
        <w:t> </w:t>
      </w:r>
      <w:r>
        <w:rPr>
          <w:color w:val="231F1F"/>
          <w:w w:val="105"/>
        </w:rPr>
        <w:t>actividades</w:t>
      </w:r>
      <w:r>
        <w:rPr>
          <w:color w:val="231F1F"/>
          <w:spacing w:val="-1"/>
          <w:w w:val="105"/>
        </w:rPr>
        <w:t> </w:t>
      </w:r>
      <w:r>
        <w:rPr>
          <w:color w:val="231F1F"/>
          <w:w w:val="105"/>
        </w:rPr>
        <w:t>de</w:t>
      </w:r>
      <w:r>
        <w:rPr>
          <w:color w:val="231F1F"/>
          <w:spacing w:val="-2"/>
          <w:w w:val="105"/>
        </w:rPr>
        <w:t> </w:t>
      </w:r>
      <w:r>
        <w:rPr>
          <w:color w:val="231F1F"/>
          <w:w w:val="105"/>
        </w:rPr>
        <w:t>la</w:t>
      </w:r>
      <w:r>
        <w:rPr>
          <w:color w:val="231F1F"/>
          <w:spacing w:val="-2"/>
          <w:w w:val="105"/>
        </w:rPr>
        <w:t> </w:t>
      </w:r>
      <w:r>
        <w:rPr>
          <w:color w:val="231F1F"/>
          <w:w w:val="105"/>
        </w:rPr>
        <w:t>atención</w:t>
      </w:r>
      <w:r>
        <w:rPr>
          <w:color w:val="231F1F"/>
          <w:spacing w:val="-2"/>
          <w:w w:val="105"/>
        </w:rPr>
        <w:t> </w:t>
      </w:r>
      <w:r>
        <w:rPr>
          <w:color w:val="231F1F"/>
          <w:w w:val="105"/>
        </w:rPr>
        <w:t>clínica</w:t>
      </w:r>
      <w:r>
        <w:rPr>
          <w:color w:val="231F1F"/>
          <w:spacing w:val="-2"/>
          <w:w w:val="105"/>
        </w:rPr>
        <w:t> </w:t>
      </w:r>
      <w:r>
        <w:rPr>
          <w:color w:val="231F1F"/>
          <w:w w:val="105"/>
        </w:rPr>
        <w:t>y</w:t>
      </w:r>
      <w:r>
        <w:rPr>
          <w:color w:val="231F1F"/>
          <w:spacing w:val="-2"/>
          <w:w w:val="105"/>
        </w:rPr>
        <w:t> </w:t>
      </w:r>
      <w:r>
        <w:rPr>
          <w:color w:val="231F1F"/>
          <w:w w:val="105"/>
        </w:rPr>
        <w:t>para</w:t>
      </w:r>
      <w:r>
        <w:rPr>
          <w:color w:val="231F1F"/>
          <w:spacing w:val="-3"/>
          <w:w w:val="105"/>
        </w:rPr>
        <w:t> </w:t>
      </w:r>
      <w:r>
        <w:rPr>
          <w:color w:val="231F1F"/>
          <w:w w:val="105"/>
        </w:rPr>
        <w:t>los</w:t>
      </w:r>
      <w:r>
        <w:rPr>
          <w:color w:val="231F1F"/>
          <w:spacing w:val="-2"/>
          <w:w w:val="105"/>
        </w:rPr>
        <w:t> </w:t>
      </w:r>
      <w:r>
        <w:rPr>
          <w:color w:val="231F1F"/>
          <w:w w:val="105"/>
        </w:rPr>
        <w:t>contactos sociales en general.</w:t>
      </w:r>
    </w:p>
    <w:p>
      <w:pPr>
        <w:pStyle w:val="BodyText"/>
        <w:spacing w:line="247" w:lineRule="auto" w:before="61"/>
        <w:ind w:left="283" w:firstLine="453"/>
        <w:jc w:val="both"/>
      </w:pPr>
      <w:r>
        <w:rPr>
          <w:color w:val="231F1F"/>
          <w:w w:val="105"/>
        </w:rPr>
        <w:t>El uso de jabón líquido antimicrobiano redujo los microorganismos tran- sitorios y la flora residente logrando así una limpieza antiséptica eficaz de las manos.</w:t>
      </w:r>
      <w:r>
        <w:rPr>
          <w:color w:val="231F1F"/>
          <w:w w:val="105"/>
        </w:rPr>
        <w:t> Aunque</w:t>
      </w:r>
      <w:r>
        <w:rPr>
          <w:color w:val="231F1F"/>
          <w:w w:val="105"/>
        </w:rPr>
        <w:t> el</w:t>
      </w:r>
      <w:r>
        <w:rPr>
          <w:color w:val="231F1F"/>
          <w:w w:val="105"/>
        </w:rPr>
        <w:t> alcohol</w:t>
      </w:r>
      <w:r>
        <w:rPr>
          <w:color w:val="231F1F"/>
          <w:w w:val="105"/>
        </w:rPr>
        <w:t> no</w:t>
      </w:r>
      <w:r>
        <w:rPr>
          <w:color w:val="231F1F"/>
          <w:w w:val="105"/>
        </w:rPr>
        <w:t> quita</w:t>
      </w:r>
      <w:r>
        <w:rPr>
          <w:color w:val="231F1F"/>
          <w:w w:val="105"/>
        </w:rPr>
        <w:t> la</w:t>
      </w:r>
      <w:r>
        <w:rPr>
          <w:color w:val="231F1F"/>
          <w:w w:val="105"/>
        </w:rPr>
        <w:t> suciedad</w:t>
      </w:r>
      <w:r>
        <w:rPr>
          <w:color w:val="231F1F"/>
          <w:w w:val="105"/>
        </w:rPr>
        <w:t> y</w:t>
      </w:r>
      <w:r>
        <w:rPr>
          <w:color w:val="231F1F"/>
          <w:w w:val="105"/>
        </w:rPr>
        <w:t> materia</w:t>
      </w:r>
      <w:r>
        <w:rPr>
          <w:color w:val="231F1F"/>
          <w:w w:val="105"/>
        </w:rPr>
        <w:t> orgánica,</w:t>
      </w:r>
      <w:r>
        <w:rPr>
          <w:color w:val="231F1F"/>
          <w:w w:val="105"/>
        </w:rPr>
        <w:t> el</w:t>
      </w:r>
      <w:r>
        <w:rPr>
          <w:color w:val="231F1F"/>
          <w:w w:val="105"/>
        </w:rPr>
        <w:t> uso eficaz de los productos con base alcohólica en manos contaminadas se tradu- cirá en una reducción sustancial de los microorganismos transitorios. Por ello los</w:t>
      </w:r>
      <w:r>
        <w:rPr>
          <w:color w:val="231F1F"/>
          <w:w w:val="105"/>
        </w:rPr>
        <w:t> productos</w:t>
      </w:r>
      <w:r>
        <w:rPr>
          <w:color w:val="231F1F"/>
          <w:w w:val="105"/>
        </w:rPr>
        <w:t> alcohólicos</w:t>
      </w:r>
      <w:r>
        <w:rPr>
          <w:color w:val="231F1F"/>
          <w:w w:val="105"/>
        </w:rPr>
        <w:t> constituyen</w:t>
      </w:r>
      <w:r>
        <w:rPr>
          <w:color w:val="231F1F"/>
          <w:w w:val="105"/>
        </w:rPr>
        <w:t> una</w:t>
      </w:r>
      <w:r>
        <w:rPr>
          <w:color w:val="231F1F"/>
          <w:w w:val="105"/>
        </w:rPr>
        <w:t> forma</w:t>
      </w:r>
      <w:r>
        <w:rPr>
          <w:color w:val="231F1F"/>
          <w:w w:val="105"/>
        </w:rPr>
        <w:t> práctica</w:t>
      </w:r>
      <w:r>
        <w:rPr>
          <w:color w:val="231F1F"/>
          <w:w w:val="105"/>
        </w:rPr>
        <w:t> y</w:t>
      </w:r>
      <w:r>
        <w:rPr>
          <w:color w:val="231F1F"/>
          <w:w w:val="105"/>
        </w:rPr>
        <w:t> una</w:t>
      </w:r>
      <w:r>
        <w:rPr>
          <w:color w:val="231F1F"/>
          <w:w w:val="105"/>
        </w:rPr>
        <w:t> alternativa muy aceptable cuando las manos no están totalmente sucias y se recomiendan para un uso rutinario de limpieza de manos.</w:t>
      </w:r>
    </w:p>
    <w:p>
      <w:pPr>
        <w:spacing w:before="238"/>
        <w:ind w:left="283" w:right="0" w:firstLine="0"/>
        <w:jc w:val="left"/>
        <w:rPr>
          <w:rFonts w:ascii="Arial MT" w:hAnsi="Arial MT"/>
          <w:sz w:val="24"/>
        </w:rPr>
      </w:pPr>
      <w:r>
        <w:rPr>
          <w:rFonts w:ascii="Arial MT" w:hAnsi="Arial MT"/>
          <w:color w:val="231F1F"/>
          <w:w w:val="105"/>
          <w:sz w:val="24"/>
        </w:rPr>
        <w:t>Utilización</w:t>
      </w:r>
      <w:r>
        <w:rPr>
          <w:rFonts w:ascii="Arial MT" w:hAnsi="Arial MT"/>
          <w:color w:val="231F1F"/>
          <w:spacing w:val="-14"/>
          <w:w w:val="105"/>
          <w:sz w:val="24"/>
        </w:rPr>
        <w:t> </w:t>
      </w:r>
      <w:r>
        <w:rPr>
          <w:rFonts w:ascii="Arial MT" w:hAnsi="Arial MT"/>
          <w:color w:val="231F1F"/>
          <w:w w:val="105"/>
          <w:sz w:val="24"/>
        </w:rPr>
        <w:t>de</w:t>
      </w:r>
      <w:r>
        <w:rPr>
          <w:rFonts w:ascii="Arial MT" w:hAnsi="Arial MT"/>
          <w:color w:val="231F1F"/>
          <w:spacing w:val="-11"/>
          <w:w w:val="105"/>
          <w:sz w:val="24"/>
        </w:rPr>
        <w:t> </w:t>
      </w:r>
      <w:r>
        <w:rPr>
          <w:rFonts w:ascii="Arial MT" w:hAnsi="Arial MT"/>
          <w:color w:val="231F1F"/>
          <w:w w:val="105"/>
          <w:sz w:val="24"/>
        </w:rPr>
        <w:t>equipamiento</w:t>
      </w:r>
      <w:r>
        <w:rPr>
          <w:rFonts w:ascii="Arial MT" w:hAnsi="Arial MT"/>
          <w:color w:val="231F1F"/>
          <w:spacing w:val="-11"/>
          <w:w w:val="105"/>
          <w:sz w:val="24"/>
        </w:rPr>
        <w:t> </w:t>
      </w:r>
      <w:r>
        <w:rPr>
          <w:rFonts w:ascii="Arial MT" w:hAnsi="Arial MT"/>
          <w:color w:val="231F1F"/>
          <w:w w:val="105"/>
          <w:sz w:val="24"/>
        </w:rPr>
        <w:t>personal</w:t>
      </w:r>
      <w:r>
        <w:rPr>
          <w:rFonts w:ascii="Arial MT" w:hAnsi="Arial MT"/>
          <w:color w:val="231F1F"/>
          <w:spacing w:val="-13"/>
          <w:w w:val="105"/>
          <w:sz w:val="24"/>
        </w:rPr>
        <w:t> </w:t>
      </w:r>
      <w:r>
        <w:rPr>
          <w:rFonts w:ascii="Arial MT" w:hAnsi="Arial MT"/>
          <w:color w:val="231F1F"/>
          <w:w w:val="105"/>
          <w:sz w:val="24"/>
        </w:rPr>
        <w:t>de</w:t>
      </w:r>
      <w:r>
        <w:rPr>
          <w:rFonts w:ascii="Arial MT" w:hAnsi="Arial MT"/>
          <w:color w:val="231F1F"/>
          <w:spacing w:val="-12"/>
          <w:w w:val="105"/>
          <w:sz w:val="24"/>
        </w:rPr>
        <w:t> </w:t>
      </w:r>
      <w:r>
        <w:rPr>
          <w:rFonts w:ascii="Arial MT" w:hAnsi="Arial MT"/>
          <w:color w:val="231F1F"/>
          <w:spacing w:val="-2"/>
          <w:w w:val="105"/>
          <w:sz w:val="24"/>
        </w:rPr>
        <w:t>protección</w:t>
      </w:r>
    </w:p>
    <w:p>
      <w:pPr>
        <w:pStyle w:val="Heading5"/>
        <w:spacing w:before="232"/>
      </w:pPr>
      <w:r>
        <w:rPr>
          <w:color w:val="231F1F"/>
          <w:spacing w:val="-2"/>
        </w:rPr>
        <w:t>Vestimenta</w:t>
      </w:r>
    </w:p>
    <w:p>
      <w:pPr>
        <w:pStyle w:val="BodyText"/>
        <w:spacing w:line="249" w:lineRule="auto" w:before="167"/>
        <w:ind w:left="283"/>
        <w:jc w:val="both"/>
      </w:pPr>
      <w:r>
        <w:rPr>
          <w:color w:val="231F1F"/>
          <w:spacing w:val="-2"/>
          <w:w w:val="110"/>
        </w:rPr>
        <w:t>Los</w:t>
      </w:r>
      <w:r>
        <w:rPr>
          <w:color w:val="231F1F"/>
          <w:spacing w:val="-9"/>
          <w:w w:val="110"/>
        </w:rPr>
        <w:t> </w:t>
      </w:r>
      <w:r>
        <w:rPr>
          <w:color w:val="231F1F"/>
          <w:spacing w:val="-2"/>
          <w:w w:val="110"/>
        </w:rPr>
        <w:t>documentos</w:t>
      </w:r>
      <w:r>
        <w:rPr>
          <w:color w:val="231F1F"/>
          <w:spacing w:val="-10"/>
          <w:w w:val="110"/>
        </w:rPr>
        <w:t> </w:t>
      </w:r>
      <w:r>
        <w:rPr>
          <w:color w:val="231F1F"/>
          <w:spacing w:val="-2"/>
          <w:w w:val="110"/>
        </w:rPr>
        <w:t>de</w:t>
      </w:r>
      <w:r>
        <w:rPr>
          <w:color w:val="231F1F"/>
          <w:spacing w:val="-9"/>
          <w:w w:val="110"/>
        </w:rPr>
        <w:t> </w:t>
      </w:r>
      <w:r>
        <w:rPr>
          <w:color w:val="231F1F"/>
          <w:spacing w:val="-2"/>
          <w:w w:val="110"/>
        </w:rPr>
        <w:t>opinión</w:t>
      </w:r>
      <w:r>
        <w:rPr>
          <w:color w:val="231F1F"/>
          <w:spacing w:val="-9"/>
          <w:w w:val="110"/>
        </w:rPr>
        <w:t> </w:t>
      </w:r>
      <w:r>
        <w:rPr>
          <w:color w:val="231F1F"/>
          <w:spacing w:val="-2"/>
          <w:w w:val="110"/>
        </w:rPr>
        <w:t>de</w:t>
      </w:r>
      <w:r>
        <w:rPr>
          <w:color w:val="231F1F"/>
          <w:spacing w:val="-9"/>
          <w:w w:val="110"/>
        </w:rPr>
        <w:t> </w:t>
      </w:r>
      <w:r>
        <w:rPr>
          <w:color w:val="231F1F"/>
          <w:spacing w:val="-2"/>
          <w:w w:val="110"/>
        </w:rPr>
        <w:t>los</w:t>
      </w:r>
      <w:r>
        <w:rPr>
          <w:color w:val="231F1F"/>
          <w:spacing w:val="-9"/>
          <w:w w:val="110"/>
        </w:rPr>
        <w:t> </w:t>
      </w:r>
      <w:r>
        <w:rPr>
          <w:color w:val="231F1F"/>
          <w:spacing w:val="-2"/>
          <w:w w:val="110"/>
        </w:rPr>
        <w:t>expertos</w:t>
      </w:r>
      <w:r>
        <w:rPr>
          <w:color w:val="231F1F"/>
          <w:spacing w:val="-9"/>
          <w:w w:val="110"/>
        </w:rPr>
        <w:t> </w:t>
      </w:r>
      <w:r>
        <w:rPr>
          <w:color w:val="231F1F"/>
          <w:spacing w:val="-2"/>
          <w:w w:val="110"/>
        </w:rPr>
        <w:t>incluidos</w:t>
      </w:r>
      <w:r>
        <w:rPr>
          <w:color w:val="231F1F"/>
          <w:spacing w:val="-9"/>
          <w:w w:val="110"/>
        </w:rPr>
        <w:t> </w:t>
      </w:r>
      <w:r>
        <w:rPr>
          <w:color w:val="231F1F"/>
          <w:spacing w:val="-2"/>
          <w:w w:val="110"/>
        </w:rPr>
        <w:t>en</w:t>
      </w:r>
      <w:r>
        <w:rPr>
          <w:color w:val="231F1F"/>
          <w:spacing w:val="-9"/>
          <w:w w:val="110"/>
        </w:rPr>
        <w:t> </w:t>
      </w:r>
      <w:r>
        <w:rPr>
          <w:color w:val="231F1F"/>
          <w:spacing w:val="-2"/>
          <w:w w:val="110"/>
        </w:rPr>
        <w:t>la</w:t>
      </w:r>
      <w:r>
        <w:rPr>
          <w:color w:val="231F1F"/>
          <w:spacing w:val="-9"/>
          <w:w w:val="110"/>
        </w:rPr>
        <w:t> </w:t>
      </w:r>
      <w:r>
        <w:rPr>
          <w:color w:val="231F1F"/>
          <w:spacing w:val="-2"/>
          <w:w w:val="110"/>
        </w:rPr>
        <w:t>guía</w:t>
      </w:r>
      <w:r>
        <w:rPr>
          <w:color w:val="231F1F"/>
          <w:spacing w:val="-9"/>
          <w:w w:val="110"/>
        </w:rPr>
        <w:t> </w:t>
      </w:r>
      <w:r>
        <w:rPr>
          <w:color w:val="231F1F"/>
          <w:spacing w:val="-2"/>
          <w:w w:val="110"/>
        </w:rPr>
        <w:t>de</w:t>
      </w:r>
      <w:r>
        <w:rPr>
          <w:color w:val="231F1F"/>
          <w:spacing w:val="-9"/>
          <w:w w:val="110"/>
        </w:rPr>
        <w:t> </w:t>
      </w:r>
      <w:r>
        <w:rPr>
          <w:color w:val="231F1F"/>
          <w:spacing w:val="-2"/>
          <w:w w:val="110"/>
        </w:rPr>
        <w:t>control</w:t>
      </w:r>
      <w:r>
        <w:rPr>
          <w:color w:val="231F1F"/>
          <w:spacing w:val="-9"/>
          <w:w w:val="110"/>
        </w:rPr>
        <w:t> </w:t>
      </w:r>
      <w:r>
        <w:rPr>
          <w:color w:val="231F1F"/>
          <w:spacing w:val="-2"/>
          <w:w w:val="110"/>
        </w:rPr>
        <w:t>de </w:t>
      </w:r>
      <w:r>
        <w:rPr>
          <w:color w:val="231F1F"/>
          <w:w w:val="110"/>
        </w:rPr>
        <w:t>infecciones</w:t>
      </w:r>
      <w:r>
        <w:rPr>
          <w:color w:val="231F1F"/>
          <w:spacing w:val="-9"/>
          <w:w w:val="110"/>
        </w:rPr>
        <w:t> </w:t>
      </w:r>
      <w:r>
        <w:rPr>
          <w:color w:val="231F1F"/>
          <w:w w:val="110"/>
        </w:rPr>
        <w:t>sugieren</w:t>
      </w:r>
      <w:r>
        <w:rPr>
          <w:color w:val="231F1F"/>
          <w:spacing w:val="-9"/>
          <w:w w:val="110"/>
        </w:rPr>
        <w:t> </w:t>
      </w:r>
      <w:r>
        <w:rPr>
          <w:color w:val="231F1F"/>
          <w:w w:val="110"/>
        </w:rPr>
        <w:t>que</w:t>
      </w:r>
      <w:r>
        <w:rPr>
          <w:color w:val="231F1F"/>
          <w:spacing w:val="-9"/>
          <w:w w:val="110"/>
        </w:rPr>
        <w:t> </w:t>
      </w:r>
      <w:r>
        <w:rPr>
          <w:color w:val="231F1F"/>
          <w:w w:val="110"/>
        </w:rPr>
        <w:t>el</w:t>
      </w:r>
      <w:r>
        <w:rPr>
          <w:color w:val="231F1F"/>
          <w:spacing w:val="-9"/>
          <w:w w:val="110"/>
        </w:rPr>
        <w:t> </w:t>
      </w:r>
      <w:r>
        <w:rPr>
          <w:color w:val="231F1F"/>
          <w:w w:val="110"/>
        </w:rPr>
        <w:t>principal</w:t>
      </w:r>
      <w:r>
        <w:rPr>
          <w:color w:val="231F1F"/>
          <w:spacing w:val="-9"/>
          <w:w w:val="110"/>
        </w:rPr>
        <w:t> </w:t>
      </w:r>
      <w:r>
        <w:rPr>
          <w:color w:val="231F1F"/>
          <w:w w:val="110"/>
        </w:rPr>
        <w:t>uso</w:t>
      </w:r>
      <w:r>
        <w:rPr>
          <w:color w:val="231F1F"/>
          <w:spacing w:val="-8"/>
          <w:w w:val="110"/>
        </w:rPr>
        <w:t> </w:t>
      </w:r>
      <w:r>
        <w:rPr>
          <w:color w:val="231F1F"/>
          <w:w w:val="110"/>
        </w:rPr>
        <w:t>de</w:t>
      </w:r>
      <w:r>
        <w:rPr>
          <w:color w:val="231F1F"/>
          <w:spacing w:val="-9"/>
          <w:w w:val="110"/>
        </w:rPr>
        <w:t> </w:t>
      </w:r>
      <w:r>
        <w:rPr>
          <w:color w:val="231F1F"/>
          <w:w w:val="110"/>
        </w:rPr>
        <w:t>equipo</w:t>
      </w:r>
      <w:r>
        <w:rPr>
          <w:color w:val="231F1F"/>
          <w:spacing w:val="-8"/>
          <w:w w:val="110"/>
        </w:rPr>
        <w:t> </w:t>
      </w:r>
      <w:r>
        <w:rPr>
          <w:color w:val="231F1F"/>
          <w:w w:val="110"/>
        </w:rPr>
        <w:t>de</w:t>
      </w:r>
      <w:r>
        <w:rPr>
          <w:color w:val="231F1F"/>
          <w:spacing w:val="-9"/>
          <w:w w:val="110"/>
        </w:rPr>
        <w:t> </w:t>
      </w:r>
      <w:r>
        <w:rPr>
          <w:color w:val="231F1F"/>
          <w:w w:val="110"/>
        </w:rPr>
        <w:t>protección,</w:t>
      </w:r>
      <w:r>
        <w:rPr>
          <w:color w:val="231F1F"/>
          <w:spacing w:val="-10"/>
          <w:w w:val="110"/>
        </w:rPr>
        <w:t> </w:t>
      </w:r>
      <w:r>
        <w:rPr>
          <w:color w:val="231F1F"/>
          <w:w w:val="110"/>
        </w:rPr>
        <w:t>para</w:t>
      </w:r>
      <w:r>
        <w:rPr>
          <w:color w:val="231F1F"/>
          <w:spacing w:val="-9"/>
          <w:w w:val="110"/>
        </w:rPr>
        <w:t> </w:t>
      </w:r>
      <w:r>
        <w:rPr>
          <w:color w:val="231F1F"/>
          <w:w w:val="110"/>
        </w:rPr>
        <w:t>pro- teger</w:t>
      </w:r>
      <w:r>
        <w:rPr>
          <w:color w:val="231F1F"/>
          <w:w w:val="110"/>
        </w:rPr>
        <w:t> al</w:t>
      </w:r>
      <w:r>
        <w:rPr>
          <w:color w:val="231F1F"/>
          <w:w w:val="110"/>
        </w:rPr>
        <w:t> personal</w:t>
      </w:r>
      <w:r>
        <w:rPr>
          <w:color w:val="231F1F"/>
          <w:w w:val="110"/>
        </w:rPr>
        <w:t> sanitario</w:t>
      </w:r>
      <w:r>
        <w:rPr>
          <w:color w:val="231F1F"/>
          <w:w w:val="110"/>
        </w:rPr>
        <w:t> y</w:t>
      </w:r>
      <w:r>
        <w:rPr>
          <w:color w:val="231F1F"/>
          <w:w w:val="110"/>
        </w:rPr>
        <w:t> a</w:t>
      </w:r>
      <w:r>
        <w:rPr>
          <w:color w:val="231F1F"/>
          <w:w w:val="110"/>
        </w:rPr>
        <w:t> mujeres,</w:t>
      </w:r>
      <w:r>
        <w:rPr>
          <w:color w:val="231F1F"/>
          <w:w w:val="110"/>
        </w:rPr>
        <w:t> reduce</w:t>
      </w:r>
      <w:r>
        <w:rPr>
          <w:color w:val="231F1F"/>
          <w:w w:val="110"/>
        </w:rPr>
        <w:t> las</w:t>
      </w:r>
      <w:r>
        <w:rPr>
          <w:color w:val="231F1F"/>
          <w:w w:val="110"/>
        </w:rPr>
        <w:t> oportunidades</w:t>
      </w:r>
      <w:r>
        <w:rPr>
          <w:color w:val="231F1F"/>
          <w:w w:val="110"/>
        </w:rPr>
        <w:t> para</w:t>
      </w:r>
      <w:r>
        <w:rPr>
          <w:color w:val="231F1F"/>
          <w:w w:val="110"/>
        </w:rPr>
        <w:t> la </w:t>
      </w:r>
      <w:r>
        <w:rPr>
          <w:color w:val="231F1F"/>
          <w:spacing w:val="-2"/>
          <w:w w:val="110"/>
        </w:rPr>
        <w:t>transmisión</w:t>
      </w:r>
      <w:r>
        <w:rPr>
          <w:color w:val="231F1F"/>
          <w:spacing w:val="-10"/>
          <w:w w:val="110"/>
        </w:rPr>
        <w:t> </w:t>
      </w:r>
      <w:r>
        <w:rPr>
          <w:color w:val="231F1F"/>
          <w:spacing w:val="-2"/>
          <w:w w:val="110"/>
        </w:rPr>
        <w:t>de</w:t>
      </w:r>
      <w:r>
        <w:rPr>
          <w:color w:val="231F1F"/>
          <w:spacing w:val="-10"/>
          <w:w w:val="110"/>
        </w:rPr>
        <w:t> </w:t>
      </w:r>
      <w:r>
        <w:rPr>
          <w:color w:val="231F1F"/>
          <w:spacing w:val="-2"/>
          <w:w w:val="110"/>
        </w:rPr>
        <w:t>los</w:t>
      </w:r>
      <w:r>
        <w:rPr>
          <w:color w:val="231F1F"/>
          <w:spacing w:val="-10"/>
          <w:w w:val="110"/>
        </w:rPr>
        <w:t> </w:t>
      </w:r>
      <w:r>
        <w:rPr>
          <w:color w:val="231F1F"/>
          <w:spacing w:val="-2"/>
          <w:w w:val="110"/>
        </w:rPr>
        <w:t>microorganismos</w:t>
      </w:r>
      <w:r>
        <w:rPr>
          <w:color w:val="231F1F"/>
          <w:spacing w:val="-10"/>
          <w:w w:val="110"/>
        </w:rPr>
        <w:t> </w:t>
      </w:r>
      <w:r>
        <w:rPr>
          <w:color w:val="231F1F"/>
          <w:spacing w:val="-2"/>
          <w:w w:val="110"/>
        </w:rPr>
        <w:t>en</w:t>
      </w:r>
      <w:r>
        <w:rPr>
          <w:color w:val="231F1F"/>
          <w:spacing w:val="-10"/>
          <w:w w:val="110"/>
        </w:rPr>
        <w:t> </w:t>
      </w:r>
      <w:r>
        <w:rPr>
          <w:color w:val="231F1F"/>
          <w:spacing w:val="-2"/>
          <w:w w:val="110"/>
        </w:rPr>
        <w:t>los</w:t>
      </w:r>
      <w:r>
        <w:rPr>
          <w:color w:val="231F1F"/>
          <w:spacing w:val="-10"/>
          <w:w w:val="110"/>
        </w:rPr>
        <w:t> </w:t>
      </w:r>
      <w:r>
        <w:rPr>
          <w:color w:val="231F1F"/>
          <w:spacing w:val="-2"/>
          <w:w w:val="110"/>
        </w:rPr>
        <w:t>hospitales.</w:t>
      </w:r>
      <w:r>
        <w:rPr>
          <w:color w:val="231F1F"/>
          <w:spacing w:val="-10"/>
          <w:w w:val="110"/>
        </w:rPr>
        <w:t> </w:t>
      </w:r>
      <w:r>
        <w:rPr>
          <w:color w:val="231F1F"/>
          <w:spacing w:val="-2"/>
          <w:w w:val="110"/>
        </w:rPr>
        <w:t>Existe</w:t>
      </w:r>
      <w:r>
        <w:rPr>
          <w:color w:val="231F1F"/>
          <w:spacing w:val="-9"/>
          <w:w w:val="110"/>
        </w:rPr>
        <w:t> </w:t>
      </w:r>
      <w:r>
        <w:rPr>
          <w:color w:val="231F1F"/>
          <w:spacing w:val="-2"/>
          <w:w w:val="110"/>
        </w:rPr>
        <w:t>una</w:t>
      </w:r>
      <w:r>
        <w:rPr>
          <w:color w:val="231F1F"/>
          <w:spacing w:val="-10"/>
          <w:w w:val="110"/>
        </w:rPr>
        <w:t> </w:t>
      </w:r>
      <w:r>
        <w:rPr>
          <w:color w:val="231F1F"/>
          <w:spacing w:val="-2"/>
          <w:w w:val="110"/>
        </w:rPr>
        <w:t>tendencia</w:t>
      </w:r>
      <w:r>
        <w:rPr>
          <w:color w:val="231F1F"/>
          <w:spacing w:val="-10"/>
          <w:w w:val="110"/>
        </w:rPr>
        <w:t> </w:t>
      </w:r>
      <w:r>
        <w:rPr>
          <w:color w:val="231F1F"/>
          <w:spacing w:val="-2"/>
          <w:w w:val="110"/>
        </w:rPr>
        <w:t>a </w:t>
      </w:r>
      <w:r>
        <w:rPr>
          <w:color w:val="231F1F"/>
          <w:w w:val="110"/>
        </w:rPr>
        <w:t>eliminar</w:t>
      </w:r>
      <w:r>
        <w:rPr>
          <w:color w:val="231F1F"/>
          <w:spacing w:val="-16"/>
          <w:w w:val="110"/>
        </w:rPr>
        <w:t> </w:t>
      </w:r>
      <w:r>
        <w:rPr>
          <w:color w:val="231F1F"/>
          <w:w w:val="110"/>
        </w:rPr>
        <w:t>el</w:t>
      </w:r>
      <w:r>
        <w:rPr>
          <w:color w:val="231F1F"/>
          <w:spacing w:val="-15"/>
          <w:w w:val="110"/>
        </w:rPr>
        <w:t> </w:t>
      </w:r>
      <w:r>
        <w:rPr>
          <w:color w:val="231F1F"/>
          <w:w w:val="110"/>
        </w:rPr>
        <w:t>uso</w:t>
      </w:r>
      <w:r>
        <w:rPr>
          <w:color w:val="231F1F"/>
          <w:spacing w:val="-15"/>
          <w:w w:val="110"/>
        </w:rPr>
        <w:t> </w:t>
      </w:r>
      <w:r>
        <w:rPr>
          <w:color w:val="231F1F"/>
          <w:w w:val="110"/>
        </w:rPr>
        <w:t>innecesario</w:t>
      </w:r>
      <w:r>
        <w:rPr>
          <w:color w:val="231F1F"/>
          <w:spacing w:val="-15"/>
          <w:w w:val="110"/>
        </w:rPr>
        <w:t> </w:t>
      </w:r>
      <w:r>
        <w:rPr>
          <w:color w:val="231F1F"/>
          <w:w w:val="110"/>
        </w:rPr>
        <w:t>de</w:t>
      </w:r>
      <w:r>
        <w:rPr>
          <w:color w:val="231F1F"/>
          <w:spacing w:val="-15"/>
          <w:w w:val="110"/>
        </w:rPr>
        <w:t> </w:t>
      </w:r>
      <w:r>
        <w:rPr>
          <w:color w:val="231F1F"/>
          <w:w w:val="110"/>
        </w:rPr>
        <w:t>delantales,</w:t>
      </w:r>
      <w:r>
        <w:rPr>
          <w:color w:val="231F1F"/>
          <w:spacing w:val="-15"/>
          <w:w w:val="110"/>
        </w:rPr>
        <w:t> </w:t>
      </w:r>
      <w:r>
        <w:rPr>
          <w:color w:val="231F1F"/>
          <w:w w:val="110"/>
        </w:rPr>
        <w:t>batas</w:t>
      </w:r>
      <w:r>
        <w:rPr>
          <w:color w:val="231F1F"/>
          <w:spacing w:val="-15"/>
          <w:w w:val="110"/>
        </w:rPr>
        <w:t> </w:t>
      </w:r>
      <w:r>
        <w:rPr>
          <w:color w:val="231F1F"/>
          <w:w w:val="110"/>
        </w:rPr>
        <w:t>y</w:t>
      </w:r>
      <w:r>
        <w:rPr>
          <w:color w:val="231F1F"/>
          <w:spacing w:val="-15"/>
          <w:w w:val="110"/>
        </w:rPr>
        <w:t> </w:t>
      </w:r>
      <w:r>
        <w:rPr>
          <w:color w:val="231F1F"/>
          <w:w w:val="110"/>
        </w:rPr>
        <w:t>máscaras,</w:t>
      </w:r>
      <w:r>
        <w:rPr>
          <w:color w:val="231F1F"/>
          <w:spacing w:val="-16"/>
          <w:w w:val="110"/>
        </w:rPr>
        <w:t> </w:t>
      </w:r>
      <w:r>
        <w:rPr>
          <w:color w:val="231F1F"/>
          <w:w w:val="110"/>
        </w:rPr>
        <w:t>en</w:t>
      </w:r>
      <w:r>
        <w:rPr>
          <w:color w:val="231F1F"/>
          <w:spacing w:val="-15"/>
          <w:w w:val="110"/>
        </w:rPr>
        <w:t> </w:t>
      </w:r>
      <w:r>
        <w:rPr>
          <w:color w:val="231F1F"/>
          <w:w w:val="110"/>
        </w:rPr>
        <w:t>general,</w:t>
      </w:r>
      <w:r>
        <w:rPr>
          <w:color w:val="231F1F"/>
          <w:spacing w:val="-15"/>
          <w:w w:val="110"/>
        </w:rPr>
        <w:t> </w:t>
      </w:r>
      <w:r>
        <w:rPr>
          <w:color w:val="231F1F"/>
          <w:w w:val="110"/>
        </w:rPr>
        <w:t>debi- do a la ausencia de pruebas de que estos sean eficaces en la prevención de infecciones relacionadas con la asistencia sanitaria (117).</w:t>
      </w:r>
    </w:p>
    <w:p>
      <w:pPr>
        <w:pStyle w:val="BodyText"/>
        <w:spacing w:line="244" w:lineRule="auto" w:before="49"/>
        <w:ind w:left="283" w:right="3" w:firstLine="453"/>
        <w:jc w:val="both"/>
      </w:pPr>
      <w:r>
        <w:rPr>
          <w:color w:val="231F1F"/>
          <w:w w:val="110"/>
        </w:rPr>
        <w:t>La</w:t>
      </w:r>
      <w:r>
        <w:rPr>
          <w:color w:val="231F1F"/>
          <w:spacing w:val="-16"/>
          <w:w w:val="110"/>
        </w:rPr>
        <w:t> </w:t>
      </w:r>
      <w:r>
        <w:rPr>
          <w:color w:val="231F1F"/>
          <w:w w:val="110"/>
        </w:rPr>
        <w:t>decisión</w:t>
      </w:r>
      <w:r>
        <w:rPr>
          <w:color w:val="231F1F"/>
          <w:spacing w:val="-15"/>
          <w:w w:val="110"/>
        </w:rPr>
        <w:t> </w:t>
      </w:r>
      <w:r>
        <w:rPr>
          <w:color w:val="231F1F"/>
          <w:w w:val="110"/>
        </w:rPr>
        <w:t>de</w:t>
      </w:r>
      <w:r>
        <w:rPr>
          <w:color w:val="231F1F"/>
          <w:spacing w:val="-15"/>
          <w:w w:val="110"/>
        </w:rPr>
        <w:t> </w:t>
      </w:r>
      <w:r>
        <w:rPr>
          <w:color w:val="231F1F"/>
          <w:w w:val="110"/>
        </w:rPr>
        <w:t>usar</w:t>
      </w:r>
      <w:r>
        <w:rPr>
          <w:color w:val="231F1F"/>
          <w:spacing w:val="-15"/>
          <w:w w:val="110"/>
        </w:rPr>
        <w:t> </w:t>
      </w:r>
      <w:r>
        <w:rPr>
          <w:color w:val="231F1F"/>
          <w:w w:val="110"/>
        </w:rPr>
        <w:t>o</w:t>
      </w:r>
      <w:r>
        <w:rPr>
          <w:color w:val="231F1F"/>
          <w:spacing w:val="-15"/>
          <w:w w:val="110"/>
        </w:rPr>
        <w:t> </w:t>
      </w:r>
      <w:r>
        <w:rPr>
          <w:color w:val="231F1F"/>
          <w:w w:val="110"/>
        </w:rPr>
        <w:t>no</w:t>
      </w:r>
      <w:r>
        <w:rPr>
          <w:color w:val="231F1F"/>
          <w:spacing w:val="-15"/>
          <w:w w:val="110"/>
        </w:rPr>
        <w:t> </w:t>
      </w:r>
      <w:r>
        <w:rPr>
          <w:color w:val="231F1F"/>
          <w:w w:val="110"/>
        </w:rPr>
        <w:t>usar</w:t>
      </w:r>
      <w:r>
        <w:rPr>
          <w:color w:val="231F1F"/>
          <w:spacing w:val="-15"/>
          <w:w w:val="110"/>
        </w:rPr>
        <w:t> </w:t>
      </w:r>
      <w:r>
        <w:rPr>
          <w:color w:val="231F1F"/>
          <w:w w:val="110"/>
        </w:rPr>
        <w:t>equipo</w:t>
      </w:r>
      <w:r>
        <w:rPr>
          <w:color w:val="231F1F"/>
          <w:spacing w:val="-15"/>
          <w:w w:val="110"/>
        </w:rPr>
        <w:t> </w:t>
      </w:r>
      <w:r>
        <w:rPr>
          <w:color w:val="231F1F"/>
          <w:w w:val="110"/>
        </w:rPr>
        <w:t>de</w:t>
      </w:r>
      <w:r>
        <w:rPr>
          <w:color w:val="231F1F"/>
          <w:spacing w:val="-16"/>
          <w:w w:val="110"/>
        </w:rPr>
        <w:t> </w:t>
      </w:r>
      <w:r>
        <w:rPr>
          <w:color w:val="231F1F"/>
          <w:w w:val="110"/>
        </w:rPr>
        <w:t>protección</w:t>
      </w:r>
      <w:r>
        <w:rPr>
          <w:color w:val="231F1F"/>
          <w:spacing w:val="-15"/>
          <w:w w:val="110"/>
        </w:rPr>
        <w:t> </w:t>
      </w:r>
      <w:r>
        <w:rPr>
          <w:color w:val="231F1F"/>
          <w:w w:val="110"/>
        </w:rPr>
        <w:t>personal</w:t>
      </w:r>
      <w:r>
        <w:rPr>
          <w:color w:val="231F1F"/>
          <w:spacing w:val="-15"/>
          <w:w w:val="110"/>
        </w:rPr>
        <w:t> </w:t>
      </w:r>
      <w:r>
        <w:rPr>
          <w:color w:val="231F1F"/>
          <w:w w:val="110"/>
        </w:rPr>
        <w:t>debe</w:t>
      </w:r>
      <w:r>
        <w:rPr>
          <w:color w:val="231F1F"/>
          <w:spacing w:val="-15"/>
          <w:w w:val="110"/>
        </w:rPr>
        <w:t> </w:t>
      </w:r>
      <w:r>
        <w:rPr>
          <w:color w:val="231F1F"/>
          <w:w w:val="110"/>
        </w:rPr>
        <w:t>basar- se</w:t>
      </w:r>
      <w:r>
        <w:rPr>
          <w:color w:val="231F1F"/>
          <w:spacing w:val="-14"/>
          <w:w w:val="110"/>
        </w:rPr>
        <w:t> </w:t>
      </w:r>
      <w:r>
        <w:rPr>
          <w:color w:val="231F1F"/>
          <w:w w:val="110"/>
        </w:rPr>
        <w:t>en</w:t>
      </w:r>
      <w:r>
        <w:rPr>
          <w:color w:val="231F1F"/>
          <w:spacing w:val="-13"/>
          <w:w w:val="110"/>
        </w:rPr>
        <w:t> </w:t>
      </w:r>
      <w:r>
        <w:rPr>
          <w:color w:val="231F1F"/>
          <w:w w:val="110"/>
        </w:rPr>
        <w:t>una</w:t>
      </w:r>
      <w:r>
        <w:rPr>
          <w:color w:val="231F1F"/>
          <w:spacing w:val="-13"/>
          <w:w w:val="110"/>
        </w:rPr>
        <w:t> </w:t>
      </w:r>
      <w:r>
        <w:rPr>
          <w:color w:val="231F1F"/>
          <w:w w:val="110"/>
        </w:rPr>
        <w:t>evaluación</w:t>
      </w:r>
      <w:r>
        <w:rPr>
          <w:color w:val="231F1F"/>
          <w:spacing w:val="-13"/>
          <w:w w:val="110"/>
        </w:rPr>
        <w:t> </w:t>
      </w:r>
      <w:r>
        <w:rPr>
          <w:color w:val="231F1F"/>
          <w:w w:val="110"/>
        </w:rPr>
        <w:t>del</w:t>
      </w:r>
      <w:r>
        <w:rPr>
          <w:color w:val="231F1F"/>
          <w:spacing w:val="-13"/>
          <w:w w:val="110"/>
        </w:rPr>
        <w:t> </w:t>
      </w:r>
      <w:r>
        <w:rPr>
          <w:color w:val="231F1F"/>
          <w:w w:val="110"/>
        </w:rPr>
        <w:t>nivel</w:t>
      </w:r>
      <w:r>
        <w:rPr>
          <w:color w:val="231F1F"/>
          <w:spacing w:val="-13"/>
          <w:w w:val="110"/>
        </w:rPr>
        <w:t> </w:t>
      </w:r>
      <w:r>
        <w:rPr>
          <w:color w:val="231F1F"/>
          <w:w w:val="110"/>
        </w:rPr>
        <w:t>de</w:t>
      </w:r>
      <w:r>
        <w:rPr>
          <w:color w:val="231F1F"/>
          <w:spacing w:val="-13"/>
          <w:w w:val="110"/>
        </w:rPr>
        <w:t> </w:t>
      </w:r>
      <w:r>
        <w:rPr>
          <w:color w:val="231F1F"/>
          <w:w w:val="110"/>
        </w:rPr>
        <w:t>riesgo</w:t>
      </w:r>
      <w:r>
        <w:rPr>
          <w:color w:val="231F1F"/>
          <w:spacing w:val="-13"/>
          <w:w w:val="110"/>
        </w:rPr>
        <w:t> </w:t>
      </w:r>
      <w:r>
        <w:rPr>
          <w:color w:val="231F1F"/>
          <w:w w:val="110"/>
        </w:rPr>
        <w:t>asociado</w:t>
      </w:r>
      <w:r>
        <w:rPr>
          <w:color w:val="231F1F"/>
          <w:spacing w:val="-13"/>
          <w:w w:val="110"/>
        </w:rPr>
        <w:t> </w:t>
      </w:r>
      <w:r>
        <w:rPr>
          <w:color w:val="231F1F"/>
          <w:w w:val="110"/>
        </w:rPr>
        <w:t>con</w:t>
      </w:r>
      <w:r>
        <w:rPr>
          <w:color w:val="231F1F"/>
          <w:spacing w:val="-13"/>
          <w:w w:val="110"/>
        </w:rPr>
        <w:t> </w:t>
      </w:r>
      <w:r>
        <w:rPr>
          <w:color w:val="231F1F"/>
          <w:w w:val="110"/>
        </w:rPr>
        <w:t>la</w:t>
      </w:r>
      <w:r>
        <w:rPr>
          <w:color w:val="231F1F"/>
          <w:spacing w:val="-13"/>
          <w:w w:val="110"/>
        </w:rPr>
        <w:t> </w:t>
      </w:r>
      <w:r>
        <w:rPr>
          <w:color w:val="231F1F"/>
          <w:w w:val="110"/>
        </w:rPr>
        <w:t>actividad</w:t>
      </w:r>
      <w:r>
        <w:rPr>
          <w:color w:val="231F1F"/>
          <w:spacing w:val="-13"/>
          <w:w w:val="110"/>
        </w:rPr>
        <w:t> </w:t>
      </w:r>
      <w:r>
        <w:rPr>
          <w:color w:val="231F1F"/>
          <w:w w:val="110"/>
        </w:rPr>
        <w:t>específica y ha de tener en cuenta la actual legislación sobre salud y seguridad.</w:t>
      </w:r>
    </w:p>
    <w:p>
      <w:pPr>
        <w:pStyle w:val="Heading5"/>
        <w:spacing w:before="214"/>
      </w:pPr>
      <w:r>
        <w:rPr>
          <w:color w:val="231F1F"/>
          <w:spacing w:val="-4"/>
        </w:rPr>
        <w:t>Guantes</w:t>
      </w:r>
      <w:r>
        <w:rPr>
          <w:color w:val="231F1F"/>
          <w:spacing w:val="-2"/>
        </w:rPr>
        <w:t> estériles</w:t>
      </w:r>
    </w:p>
    <w:p>
      <w:pPr>
        <w:pStyle w:val="BodyText"/>
        <w:spacing w:line="247" w:lineRule="auto" w:before="186"/>
        <w:ind w:left="283"/>
        <w:jc w:val="both"/>
      </w:pPr>
      <w:r>
        <w:rPr>
          <w:color w:val="231F1F"/>
          <w:w w:val="105"/>
        </w:rPr>
        <w:t>El uso de guantes como elemento de equipo de protección personal se ha con- vertido</w:t>
      </w:r>
      <w:r>
        <w:rPr>
          <w:color w:val="231F1F"/>
          <w:spacing w:val="-7"/>
          <w:w w:val="105"/>
        </w:rPr>
        <w:t> </w:t>
      </w:r>
      <w:r>
        <w:rPr>
          <w:color w:val="231F1F"/>
          <w:w w:val="105"/>
        </w:rPr>
        <w:t>en</w:t>
      </w:r>
      <w:r>
        <w:rPr>
          <w:color w:val="231F1F"/>
          <w:spacing w:val="-6"/>
          <w:w w:val="105"/>
        </w:rPr>
        <w:t> </w:t>
      </w:r>
      <w:r>
        <w:rPr>
          <w:color w:val="231F1F"/>
          <w:w w:val="105"/>
        </w:rPr>
        <w:t>una</w:t>
      </w:r>
      <w:r>
        <w:rPr>
          <w:color w:val="231F1F"/>
          <w:spacing w:val="-7"/>
          <w:w w:val="105"/>
        </w:rPr>
        <w:t> </w:t>
      </w:r>
      <w:r>
        <w:rPr>
          <w:color w:val="231F1F"/>
          <w:w w:val="105"/>
        </w:rPr>
        <w:t>parte</w:t>
      </w:r>
      <w:r>
        <w:rPr>
          <w:color w:val="231F1F"/>
          <w:spacing w:val="-7"/>
          <w:w w:val="105"/>
        </w:rPr>
        <w:t> </w:t>
      </w:r>
      <w:r>
        <w:rPr>
          <w:color w:val="231F1F"/>
          <w:w w:val="105"/>
        </w:rPr>
        <w:t>diaria</w:t>
      </w:r>
      <w:r>
        <w:rPr>
          <w:color w:val="231F1F"/>
          <w:spacing w:val="-7"/>
          <w:w w:val="105"/>
        </w:rPr>
        <w:t> </w:t>
      </w:r>
      <w:r>
        <w:rPr>
          <w:color w:val="231F1F"/>
          <w:w w:val="105"/>
        </w:rPr>
        <w:t>de</w:t>
      </w:r>
      <w:r>
        <w:rPr>
          <w:color w:val="231F1F"/>
          <w:spacing w:val="-7"/>
          <w:w w:val="105"/>
        </w:rPr>
        <w:t> </w:t>
      </w:r>
      <w:r>
        <w:rPr>
          <w:color w:val="231F1F"/>
          <w:w w:val="105"/>
        </w:rPr>
        <w:t>la</w:t>
      </w:r>
      <w:r>
        <w:rPr>
          <w:color w:val="231F1F"/>
          <w:spacing w:val="-7"/>
          <w:w w:val="105"/>
        </w:rPr>
        <w:t> </w:t>
      </w:r>
      <w:r>
        <w:rPr>
          <w:color w:val="231F1F"/>
          <w:w w:val="105"/>
        </w:rPr>
        <w:t>práctica</w:t>
      </w:r>
      <w:r>
        <w:rPr>
          <w:color w:val="231F1F"/>
          <w:spacing w:val="-7"/>
          <w:w w:val="105"/>
        </w:rPr>
        <w:t> </w:t>
      </w:r>
      <w:r>
        <w:rPr>
          <w:color w:val="231F1F"/>
          <w:w w:val="105"/>
        </w:rPr>
        <w:t>clínica</w:t>
      </w:r>
      <w:r>
        <w:rPr>
          <w:color w:val="231F1F"/>
          <w:spacing w:val="-6"/>
          <w:w w:val="105"/>
        </w:rPr>
        <w:t> </w:t>
      </w:r>
      <w:r>
        <w:rPr>
          <w:color w:val="231F1F"/>
          <w:w w:val="105"/>
        </w:rPr>
        <w:t>desde</w:t>
      </w:r>
      <w:r>
        <w:rPr>
          <w:color w:val="231F1F"/>
          <w:spacing w:val="-7"/>
          <w:w w:val="105"/>
        </w:rPr>
        <w:t> </w:t>
      </w:r>
      <w:r>
        <w:rPr>
          <w:color w:val="231F1F"/>
          <w:w w:val="105"/>
        </w:rPr>
        <w:t>mediados</w:t>
      </w:r>
      <w:r>
        <w:rPr>
          <w:color w:val="231F1F"/>
          <w:spacing w:val="-7"/>
          <w:w w:val="105"/>
        </w:rPr>
        <w:t> </w:t>
      </w:r>
      <w:r>
        <w:rPr>
          <w:color w:val="231F1F"/>
          <w:w w:val="105"/>
        </w:rPr>
        <w:t>del</w:t>
      </w:r>
      <w:r>
        <w:rPr>
          <w:color w:val="231F1F"/>
          <w:spacing w:val="-7"/>
          <w:w w:val="105"/>
        </w:rPr>
        <w:t> </w:t>
      </w:r>
      <w:r>
        <w:rPr>
          <w:color w:val="231F1F"/>
          <w:w w:val="105"/>
        </w:rPr>
        <w:t>decenio</w:t>
      </w:r>
      <w:r>
        <w:rPr>
          <w:color w:val="231F1F"/>
          <w:spacing w:val="-7"/>
          <w:w w:val="105"/>
        </w:rPr>
        <w:t> </w:t>
      </w:r>
      <w:r>
        <w:rPr>
          <w:color w:val="231F1F"/>
          <w:w w:val="105"/>
        </w:rPr>
        <w:t>de 1980.</w:t>
      </w:r>
      <w:r>
        <w:rPr>
          <w:color w:val="231F1F"/>
          <w:spacing w:val="-11"/>
          <w:w w:val="105"/>
        </w:rPr>
        <w:t> </w:t>
      </w:r>
      <w:r>
        <w:rPr>
          <w:color w:val="231F1F"/>
          <w:w w:val="105"/>
        </w:rPr>
        <w:t>La</w:t>
      </w:r>
      <w:r>
        <w:rPr>
          <w:color w:val="231F1F"/>
          <w:spacing w:val="-11"/>
          <w:w w:val="105"/>
        </w:rPr>
        <w:t> </w:t>
      </w:r>
      <w:r>
        <w:rPr>
          <w:color w:val="231F1F"/>
          <w:w w:val="105"/>
        </w:rPr>
        <w:t>opinión</w:t>
      </w:r>
      <w:r>
        <w:rPr>
          <w:color w:val="231F1F"/>
          <w:spacing w:val="-11"/>
          <w:w w:val="105"/>
        </w:rPr>
        <w:t> </w:t>
      </w:r>
      <w:r>
        <w:rPr>
          <w:color w:val="231F1F"/>
          <w:w w:val="105"/>
        </w:rPr>
        <w:t>de</w:t>
      </w:r>
      <w:r>
        <w:rPr>
          <w:color w:val="231F1F"/>
          <w:spacing w:val="-11"/>
          <w:w w:val="105"/>
        </w:rPr>
        <w:t> </w:t>
      </w:r>
      <w:r>
        <w:rPr>
          <w:color w:val="231F1F"/>
          <w:w w:val="105"/>
        </w:rPr>
        <w:t>los</w:t>
      </w:r>
      <w:r>
        <w:rPr>
          <w:color w:val="231F1F"/>
          <w:spacing w:val="-11"/>
          <w:w w:val="105"/>
        </w:rPr>
        <w:t> </w:t>
      </w:r>
      <w:r>
        <w:rPr>
          <w:color w:val="231F1F"/>
          <w:w w:val="105"/>
        </w:rPr>
        <w:t>expertos</w:t>
      </w:r>
      <w:r>
        <w:rPr>
          <w:color w:val="231F1F"/>
          <w:spacing w:val="-10"/>
          <w:w w:val="105"/>
        </w:rPr>
        <w:t> </w:t>
      </w:r>
      <w:r>
        <w:rPr>
          <w:color w:val="231F1F"/>
          <w:w w:val="105"/>
        </w:rPr>
        <w:t>coincide</w:t>
      </w:r>
      <w:r>
        <w:rPr>
          <w:color w:val="231F1F"/>
          <w:spacing w:val="-10"/>
          <w:w w:val="105"/>
        </w:rPr>
        <w:t> </w:t>
      </w:r>
      <w:r>
        <w:rPr>
          <w:color w:val="231F1F"/>
          <w:w w:val="105"/>
        </w:rPr>
        <w:t>en</w:t>
      </w:r>
      <w:r>
        <w:rPr>
          <w:color w:val="231F1F"/>
          <w:spacing w:val="-11"/>
          <w:w w:val="105"/>
        </w:rPr>
        <w:t> </w:t>
      </w:r>
      <w:r>
        <w:rPr>
          <w:color w:val="231F1F"/>
          <w:w w:val="105"/>
        </w:rPr>
        <w:t>que</w:t>
      </w:r>
      <w:r>
        <w:rPr>
          <w:color w:val="231F1F"/>
          <w:spacing w:val="-11"/>
          <w:w w:val="105"/>
        </w:rPr>
        <w:t> </w:t>
      </w:r>
      <w:r>
        <w:rPr>
          <w:color w:val="231F1F"/>
          <w:w w:val="105"/>
        </w:rPr>
        <w:t>hay</w:t>
      </w:r>
      <w:r>
        <w:rPr>
          <w:color w:val="231F1F"/>
          <w:spacing w:val="-11"/>
          <w:w w:val="105"/>
        </w:rPr>
        <w:t> </w:t>
      </w:r>
      <w:r>
        <w:rPr>
          <w:color w:val="231F1F"/>
          <w:w w:val="105"/>
        </w:rPr>
        <w:t>dos</w:t>
      </w:r>
      <w:r>
        <w:rPr>
          <w:color w:val="231F1F"/>
          <w:spacing w:val="-11"/>
          <w:w w:val="105"/>
        </w:rPr>
        <w:t> </w:t>
      </w:r>
      <w:r>
        <w:rPr>
          <w:color w:val="231F1F"/>
          <w:w w:val="105"/>
        </w:rPr>
        <w:t>principales</w:t>
      </w:r>
      <w:r>
        <w:rPr>
          <w:color w:val="231F1F"/>
          <w:spacing w:val="-12"/>
          <w:w w:val="105"/>
        </w:rPr>
        <w:t> </w:t>
      </w:r>
      <w:r>
        <w:rPr>
          <w:color w:val="231F1F"/>
          <w:w w:val="105"/>
        </w:rPr>
        <w:t>indicacio- nes para el uso de guantes en la prevención de infecciones relacionadas con la asistencia sanitaria (118); Expert Advisory Group on AIDS and the Advisory Group on Hepatitis,1998; Centers for Disease Control Update 1987 (117).:</w:t>
      </w:r>
    </w:p>
    <w:p>
      <w:pPr>
        <w:pStyle w:val="ListParagraph"/>
        <w:numPr>
          <w:ilvl w:val="0"/>
          <w:numId w:val="39"/>
        </w:numPr>
        <w:tabs>
          <w:tab w:pos="955" w:val="left" w:leader="none"/>
        </w:tabs>
        <w:spacing w:line="240" w:lineRule="auto" w:before="59" w:after="0"/>
        <w:ind w:left="955" w:right="36" w:hanging="220"/>
        <w:jc w:val="both"/>
        <w:rPr>
          <w:sz w:val="22"/>
        </w:rPr>
      </w:pPr>
      <w:r>
        <w:rPr>
          <w:color w:val="231F1F"/>
          <w:w w:val="110"/>
          <w:sz w:val="22"/>
        </w:rPr>
        <w:t>Para</w:t>
      </w:r>
      <w:r>
        <w:rPr>
          <w:color w:val="231F1F"/>
          <w:spacing w:val="-8"/>
          <w:w w:val="110"/>
          <w:sz w:val="22"/>
        </w:rPr>
        <w:t> </w:t>
      </w:r>
      <w:r>
        <w:rPr>
          <w:color w:val="231F1F"/>
          <w:w w:val="110"/>
          <w:sz w:val="22"/>
        </w:rPr>
        <w:t>proteger</w:t>
      </w:r>
      <w:r>
        <w:rPr>
          <w:color w:val="231F1F"/>
          <w:spacing w:val="-9"/>
          <w:w w:val="110"/>
          <w:sz w:val="22"/>
        </w:rPr>
        <w:t> </w:t>
      </w:r>
      <w:r>
        <w:rPr>
          <w:color w:val="231F1F"/>
          <w:w w:val="110"/>
          <w:sz w:val="22"/>
        </w:rPr>
        <w:t>las</w:t>
      </w:r>
      <w:r>
        <w:rPr>
          <w:color w:val="231F1F"/>
          <w:spacing w:val="-8"/>
          <w:w w:val="110"/>
          <w:sz w:val="22"/>
        </w:rPr>
        <w:t> </w:t>
      </w:r>
      <w:r>
        <w:rPr>
          <w:color w:val="231F1F"/>
          <w:w w:val="110"/>
          <w:sz w:val="22"/>
        </w:rPr>
        <w:t>manos</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contaminación</w:t>
      </w:r>
      <w:r>
        <w:rPr>
          <w:color w:val="231F1F"/>
          <w:spacing w:val="-8"/>
          <w:w w:val="110"/>
          <w:sz w:val="22"/>
        </w:rPr>
        <w:t> </w:t>
      </w:r>
      <w:r>
        <w:rPr>
          <w:color w:val="231F1F"/>
          <w:w w:val="110"/>
          <w:sz w:val="22"/>
        </w:rPr>
        <w:t>con</w:t>
      </w:r>
      <w:r>
        <w:rPr>
          <w:color w:val="231F1F"/>
          <w:spacing w:val="-8"/>
          <w:w w:val="110"/>
          <w:sz w:val="22"/>
        </w:rPr>
        <w:t> </w:t>
      </w:r>
      <w:r>
        <w:rPr>
          <w:color w:val="231F1F"/>
          <w:w w:val="110"/>
          <w:sz w:val="22"/>
        </w:rPr>
        <w:t>materia</w:t>
      </w:r>
      <w:r>
        <w:rPr>
          <w:color w:val="231F1F"/>
          <w:spacing w:val="-8"/>
          <w:w w:val="110"/>
          <w:sz w:val="22"/>
        </w:rPr>
        <w:t> </w:t>
      </w:r>
      <w:r>
        <w:rPr>
          <w:color w:val="231F1F"/>
          <w:w w:val="110"/>
          <w:sz w:val="22"/>
        </w:rPr>
        <w:t>orgánica</w:t>
      </w:r>
      <w:r>
        <w:rPr>
          <w:color w:val="231F1F"/>
          <w:spacing w:val="-8"/>
          <w:w w:val="110"/>
          <w:sz w:val="22"/>
        </w:rPr>
        <w:t> </w:t>
      </w:r>
      <w:r>
        <w:rPr>
          <w:color w:val="231F1F"/>
          <w:w w:val="110"/>
          <w:sz w:val="22"/>
        </w:rPr>
        <w:t>y </w:t>
      </w:r>
      <w:r>
        <w:rPr>
          <w:color w:val="231F1F"/>
          <w:spacing w:val="-2"/>
          <w:w w:val="110"/>
          <w:sz w:val="22"/>
        </w:rPr>
        <w:t>microorganismos.</w:t>
      </w:r>
    </w:p>
    <w:p>
      <w:pPr>
        <w:pStyle w:val="ListParagraph"/>
        <w:numPr>
          <w:ilvl w:val="0"/>
          <w:numId w:val="39"/>
        </w:numPr>
        <w:tabs>
          <w:tab w:pos="954" w:val="left" w:leader="none"/>
          <w:tab w:pos="957" w:val="left" w:leader="none"/>
        </w:tabs>
        <w:spacing w:line="244" w:lineRule="auto" w:before="12" w:after="0"/>
        <w:ind w:left="957" w:right="41" w:hanging="221"/>
        <w:jc w:val="both"/>
        <w:rPr>
          <w:sz w:val="22"/>
        </w:rPr>
      </w:pPr>
      <w:r>
        <w:rPr>
          <w:color w:val="231F1F"/>
          <w:w w:val="110"/>
          <w:sz w:val="22"/>
        </w:rPr>
        <w:t>Para</w:t>
      </w:r>
      <w:r>
        <w:rPr>
          <w:color w:val="231F1F"/>
          <w:spacing w:val="-16"/>
          <w:w w:val="110"/>
          <w:sz w:val="22"/>
        </w:rPr>
        <w:t> </w:t>
      </w:r>
      <w:r>
        <w:rPr>
          <w:color w:val="231F1F"/>
          <w:w w:val="110"/>
          <w:sz w:val="22"/>
        </w:rPr>
        <w:t>reducir</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riesgos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transmisión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microorganismos</w:t>
      </w:r>
      <w:r>
        <w:rPr>
          <w:color w:val="231F1F"/>
          <w:spacing w:val="-15"/>
          <w:w w:val="110"/>
          <w:sz w:val="22"/>
        </w:rPr>
        <w:t> </w:t>
      </w:r>
      <w:r>
        <w:rPr>
          <w:color w:val="231F1F"/>
          <w:w w:val="110"/>
          <w:sz w:val="22"/>
        </w:rPr>
        <w:t>entre</w:t>
      </w:r>
      <w:r>
        <w:rPr>
          <w:color w:val="231F1F"/>
          <w:spacing w:val="-16"/>
          <w:w w:val="110"/>
          <w:sz w:val="22"/>
        </w:rPr>
        <w:t> </w:t>
      </w:r>
      <w:r>
        <w:rPr>
          <w:color w:val="231F1F"/>
          <w:w w:val="110"/>
          <w:sz w:val="22"/>
        </w:rPr>
        <w:t>los pacientes y el personal.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
        <w:rPr>
          <w:sz w:val="18"/>
        </w:rPr>
      </w:pPr>
    </w:p>
    <w:p>
      <w:pPr>
        <w:spacing w:line="278" w:lineRule="auto" w:before="0"/>
        <w:ind w:left="88" w:right="153" w:firstLine="0"/>
        <w:jc w:val="center"/>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0"/>
        <w:rPr>
          <w:rFonts w:ascii="Arial MT"/>
          <w:sz w:val="18"/>
        </w:rPr>
      </w:pPr>
    </w:p>
    <w:p>
      <w:pPr>
        <w:spacing w:line="278" w:lineRule="auto" w:before="0"/>
        <w:ind w:left="88" w:right="153" w:firstLine="0"/>
        <w:jc w:val="center"/>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9"/>
        <w:rPr>
          <w:rFonts w:ascii="Arial MT"/>
          <w:sz w:val="18"/>
        </w:rPr>
      </w:pPr>
    </w:p>
    <w:p>
      <w:pPr>
        <w:spacing w:line="278" w:lineRule="auto" w:before="0"/>
        <w:ind w:left="16" w:right="79" w:firstLine="0"/>
        <w:jc w:val="center"/>
        <w:rPr>
          <w:rFonts w:ascii="Arial MT"/>
          <w:sz w:val="18"/>
        </w:rPr>
      </w:pPr>
      <w:r>
        <w:rPr>
          <w:rFonts w:ascii="Arial MT"/>
          <w:color w:val="231F1F"/>
          <w:spacing w:val="-2"/>
          <w:sz w:val="18"/>
        </w:rPr>
        <w:t>Opinion</w:t>
      </w:r>
      <w:r>
        <w:rPr>
          <w:rFonts w:ascii="Arial MT"/>
          <w:color w:val="231F1F"/>
          <w:spacing w:val="-11"/>
          <w:sz w:val="18"/>
        </w:rPr>
        <w:t> </w:t>
      </w:r>
      <w:r>
        <w:rPr>
          <w:rFonts w:ascii="Arial MT"/>
          <w:color w:val="231F1F"/>
          <w:spacing w:val="-2"/>
          <w:sz w:val="18"/>
        </w:rPr>
        <w:t>de experta</w:t>
      </w:r>
    </w:p>
    <w:p>
      <w:pPr>
        <w:spacing w:line="192" w:lineRule="exact" w:before="0"/>
        <w:ind w:left="39" w:right="79" w:firstLine="0"/>
        <w:jc w:val="center"/>
        <w:rPr>
          <w:rFonts w:ascii="Arial MT"/>
          <w:sz w:val="18"/>
        </w:rPr>
      </w:pPr>
      <w:r>
        <w:rPr>
          <w:rFonts w:ascii="Arial MT"/>
          <w:color w:val="231F1F"/>
          <w:spacing w:val="-10"/>
          <w:sz w:val="18"/>
        </w:rPr>
        <w:t>4</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3"/>
        <w:rPr>
          <w:rFonts w:ascii="Arial MT"/>
          <w:sz w:val="18"/>
        </w:rPr>
      </w:pPr>
    </w:p>
    <w:p>
      <w:pPr>
        <w:spacing w:line="278" w:lineRule="auto" w:before="0"/>
        <w:ind w:left="16" w:right="79" w:firstLine="0"/>
        <w:jc w:val="center"/>
        <w:rPr>
          <w:rFonts w:ascii="Arial MT"/>
          <w:sz w:val="18"/>
        </w:rPr>
      </w:pPr>
      <w:r>
        <w:rPr>
          <w:rFonts w:ascii="Arial MT"/>
          <w:color w:val="231F1F"/>
          <w:spacing w:val="-2"/>
          <w:sz w:val="18"/>
        </w:rPr>
        <w:t>Opinion</w:t>
      </w:r>
      <w:r>
        <w:rPr>
          <w:rFonts w:ascii="Arial MT"/>
          <w:color w:val="231F1F"/>
          <w:spacing w:val="-11"/>
          <w:sz w:val="18"/>
        </w:rPr>
        <w:t> </w:t>
      </w:r>
      <w:r>
        <w:rPr>
          <w:rFonts w:ascii="Arial MT"/>
          <w:color w:val="231F1F"/>
          <w:spacing w:val="-2"/>
          <w:sz w:val="18"/>
        </w:rPr>
        <w:t>de experta</w:t>
      </w:r>
    </w:p>
    <w:p>
      <w:pPr>
        <w:spacing w:line="202" w:lineRule="exact" w:before="0"/>
        <w:ind w:left="39" w:right="79" w:firstLine="0"/>
        <w:jc w:val="center"/>
        <w:rPr>
          <w:rFonts w:ascii="Arial MT"/>
          <w:sz w:val="18"/>
        </w:rPr>
      </w:pPr>
      <w:r>
        <w:rPr>
          <w:rFonts w:ascii="Arial MT"/>
          <w:color w:val="231F1F"/>
          <w:spacing w:val="-10"/>
          <w:sz w:val="18"/>
        </w:rPr>
        <w:t>4</w:t>
      </w:r>
    </w:p>
    <w:p>
      <w:pPr>
        <w:spacing w:after="0" w:line="202" w:lineRule="exact"/>
        <w:jc w:val="center"/>
        <w:rPr>
          <w:rFonts w:ascii="Arial MT"/>
          <w:sz w:val="18"/>
        </w:rPr>
        <w:sectPr>
          <w:pgSz w:w="11900" w:h="16840"/>
          <w:pgMar w:header="0" w:footer="622" w:top="1560" w:bottom="820" w:left="1417" w:right="1559"/>
          <w:cols w:num="2" w:equalWidth="0">
            <w:col w:w="7551" w:space="40"/>
            <w:col w:w="1333"/>
          </w:cols>
        </w:sectPr>
      </w:pPr>
    </w:p>
    <w:p>
      <w:pPr>
        <w:pStyle w:val="BodyText"/>
        <w:spacing w:line="252" w:lineRule="auto" w:before="73"/>
        <w:ind w:left="283" w:firstLine="453"/>
        <w:jc w:val="both"/>
      </w:pPr>
      <w:r>
        <w:rPr>
          <w:color w:val="231F1F"/>
          <w:w w:val="105"/>
        </w:rPr>
        <w:t>Los</w:t>
      </w:r>
      <w:r>
        <w:rPr>
          <w:color w:val="231F1F"/>
          <w:w w:val="105"/>
        </w:rPr>
        <w:t> guantes</w:t>
      </w:r>
      <w:r>
        <w:rPr>
          <w:color w:val="231F1F"/>
          <w:w w:val="105"/>
        </w:rPr>
        <w:t> no</w:t>
      </w:r>
      <w:r>
        <w:rPr>
          <w:color w:val="231F1F"/>
          <w:w w:val="105"/>
        </w:rPr>
        <w:t> deben</w:t>
      </w:r>
      <w:r>
        <w:rPr>
          <w:color w:val="231F1F"/>
          <w:w w:val="105"/>
        </w:rPr>
        <w:t> ser</w:t>
      </w:r>
      <w:r>
        <w:rPr>
          <w:color w:val="231F1F"/>
          <w:w w:val="105"/>
        </w:rPr>
        <w:t> usados</w:t>
      </w:r>
      <w:r>
        <w:rPr>
          <w:color w:val="231F1F"/>
          <w:w w:val="105"/>
        </w:rPr>
        <w:t> innecesariamente,</w:t>
      </w:r>
      <w:r>
        <w:rPr>
          <w:color w:val="231F1F"/>
          <w:w w:val="105"/>
        </w:rPr>
        <w:t> ya</w:t>
      </w:r>
      <w:r>
        <w:rPr>
          <w:color w:val="231F1F"/>
          <w:w w:val="105"/>
        </w:rPr>
        <w:t> que</w:t>
      </w:r>
      <w:r>
        <w:rPr>
          <w:color w:val="231F1F"/>
          <w:w w:val="105"/>
        </w:rPr>
        <w:t> su</w:t>
      </w:r>
      <w:r>
        <w:rPr>
          <w:color w:val="231F1F"/>
          <w:w w:val="105"/>
        </w:rPr>
        <w:t> uso</w:t>
      </w:r>
      <w:r>
        <w:rPr>
          <w:color w:val="231F1F"/>
          <w:w w:val="105"/>
        </w:rPr>
        <w:t> pro- longado e indiscriminado puede causar reacciones adversas y de sensibilidad cutánea. Por ello, los guantes deben desecharse después de cada actividad de atención con el fin de evitar la transmisión de microorganismos a otros sitios en la misma mujer o en otras. Lavar los guantes en lugar de cambiarlos, no es seguro (117-123).</w:t>
      </w:r>
    </w:p>
    <w:p>
      <w:pPr>
        <w:pStyle w:val="BodyText"/>
        <w:spacing w:line="252" w:lineRule="auto" w:before="76"/>
        <w:ind w:left="283" w:firstLine="453"/>
        <w:jc w:val="both"/>
      </w:pPr>
      <w:r>
        <w:rPr>
          <w:color w:val="231F1F"/>
          <w:w w:val="105"/>
        </w:rPr>
        <w:t>En la guía de atención al parto de NICE (10) también se evalúa la utili- zación de doble guante durante la episiotomía y otros procedimientos. Se lo- calizaron</w:t>
      </w:r>
      <w:r>
        <w:rPr>
          <w:color w:val="231F1F"/>
          <w:spacing w:val="-4"/>
          <w:w w:val="105"/>
        </w:rPr>
        <w:t> </w:t>
      </w:r>
      <w:r>
        <w:rPr>
          <w:color w:val="231F1F"/>
          <w:w w:val="105"/>
        </w:rPr>
        <w:t>dos</w:t>
      </w:r>
      <w:r>
        <w:rPr>
          <w:color w:val="231F1F"/>
          <w:spacing w:val="-5"/>
          <w:w w:val="105"/>
        </w:rPr>
        <w:t> </w:t>
      </w:r>
      <w:r>
        <w:rPr>
          <w:color w:val="231F1F"/>
          <w:w w:val="105"/>
        </w:rPr>
        <w:t>ensayos</w:t>
      </w:r>
      <w:r>
        <w:rPr>
          <w:color w:val="231F1F"/>
          <w:spacing w:val="-4"/>
          <w:w w:val="105"/>
        </w:rPr>
        <w:t> </w:t>
      </w:r>
      <w:r>
        <w:rPr>
          <w:color w:val="231F1F"/>
          <w:w w:val="105"/>
        </w:rPr>
        <w:t>clínicos</w:t>
      </w:r>
      <w:r>
        <w:rPr>
          <w:color w:val="231F1F"/>
          <w:spacing w:val="-4"/>
          <w:w w:val="105"/>
        </w:rPr>
        <w:t> </w:t>
      </w:r>
      <w:r>
        <w:rPr>
          <w:color w:val="231F1F"/>
          <w:w w:val="105"/>
        </w:rPr>
        <w:t>(124;125);</w:t>
      </w:r>
      <w:r>
        <w:rPr>
          <w:color w:val="231F1F"/>
          <w:spacing w:val="-5"/>
          <w:w w:val="105"/>
        </w:rPr>
        <w:t> </w:t>
      </w:r>
      <w:r>
        <w:rPr>
          <w:color w:val="231F1F"/>
          <w:w w:val="105"/>
        </w:rPr>
        <w:t>realizados</w:t>
      </w:r>
      <w:r>
        <w:rPr>
          <w:color w:val="231F1F"/>
          <w:spacing w:val="-4"/>
          <w:w w:val="105"/>
        </w:rPr>
        <w:t> </w:t>
      </w:r>
      <w:r>
        <w:rPr>
          <w:color w:val="231F1F"/>
          <w:w w:val="105"/>
        </w:rPr>
        <w:t>en</w:t>
      </w:r>
      <w:r>
        <w:rPr>
          <w:color w:val="231F1F"/>
          <w:spacing w:val="-5"/>
          <w:w w:val="105"/>
        </w:rPr>
        <w:t> </w:t>
      </w:r>
      <w:r>
        <w:rPr>
          <w:color w:val="231F1F"/>
          <w:w w:val="105"/>
        </w:rPr>
        <w:t>Tailandia</w:t>
      </w:r>
      <w:r>
        <w:rPr>
          <w:color w:val="231F1F"/>
          <w:spacing w:val="-5"/>
          <w:w w:val="105"/>
        </w:rPr>
        <w:t> </w:t>
      </w:r>
      <w:r>
        <w:rPr>
          <w:color w:val="231F1F"/>
          <w:w w:val="105"/>
        </w:rPr>
        <w:t>en</w:t>
      </w:r>
      <w:r>
        <w:rPr>
          <w:color w:val="231F1F"/>
          <w:spacing w:val="-5"/>
          <w:w w:val="105"/>
        </w:rPr>
        <w:t> </w:t>
      </w:r>
      <w:r>
        <w:rPr>
          <w:color w:val="231F1F"/>
          <w:w w:val="105"/>
        </w:rPr>
        <w:t>los</w:t>
      </w:r>
      <w:r>
        <w:rPr>
          <w:color w:val="231F1F"/>
          <w:spacing w:val="-5"/>
          <w:w w:val="105"/>
        </w:rPr>
        <w:t> </w:t>
      </w:r>
      <w:r>
        <w:rPr>
          <w:color w:val="231F1F"/>
          <w:w w:val="105"/>
        </w:rPr>
        <w:t>que</w:t>
      </w:r>
      <w:r>
        <w:rPr>
          <w:color w:val="231F1F"/>
          <w:spacing w:val="-5"/>
          <w:w w:val="105"/>
        </w:rPr>
        <w:t> </w:t>
      </w:r>
      <w:r>
        <w:rPr>
          <w:color w:val="231F1F"/>
          <w:w w:val="105"/>
        </w:rPr>
        <w:t>se comparaba</w:t>
      </w:r>
      <w:r>
        <w:rPr>
          <w:color w:val="231F1F"/>
          <w:spacing w:val="-1"/>
          <w:w w:val="105"/>
        </w:rPr>
        <w:t> </w:t>
      </w:r>
      <w:r>
        <w:rPr>
          <w:color w:val="231F1F"/>
          <w:w w:val="105"/>
        </w:rPr>
        <w:t>el</w:t>
      </w:r>
      <w:r>
        <w:rPr>
          <w:color w:val="231F1F"/>
          <w:spacing w:val="-1"/>
          <w:w w:val="105"/>
        </w:rPr>
        <w:t> </w:t>
      </w:r>
      <w:r>
        <w:rPr>
          <w:color w:val="231F1F"/>
          <w:w w:val="105"/>
        </w:rPr>
        <w:t>uso</w:t>
      </w:r>
      <w:r>
        <w:rPr>
          <w:color w:val="231F1F"/>
          <w:spacing w:val="-1"/>
          <w:w w:val="105"/>
        </w:rPr>
        <w:t> </w:t>
      </w:r>
      <w:r>
        <w:rPr>
          <w:color w:val="231F1F"/>
          <w:w w:val="105"/>
        </w:rPr>
        <w:t>del</w:t>
      </w:r>
      <w:r>
        <w:rPr>
          <w:color w:val="231F1F"/>
          <w:spacing w:val="-2"/>
          <w:w w:val="105"/>
        </w:rPr>
        <w:t> </w:t>
      </w:r>
      <w:r>
        <w:rPr>
          <w:color w:val="231F1F"/>
          <w:w w:val="105"/>
        </w:rPr>
        <w:t>doble</w:t>
      </w:r>
      <w:r>
        <w:rPr>
          <w:color w:val="231F1F"/>
          <w:spacing w:val="-1"/>
          <w:w w:val="105"/>
        </w:rPr>
        <w:t> </w:t>
      </w:r>
      <w:r>
        <w:rPr>
          <w:color w:val="231F1F"/>
          <w:w w:val="105"/>
        </w:rPr>
        <w:t>guante</w:t>
      </w:r>
      <w:r>
        <w:rPr>
          <w:color w:val="231F1F"/>
          <w:spacing w:val="-1"/>
          <w:w w:val="105"/>
        </w:rPr>
        <w:t> </w:t>
      </w:r>
      <w:r>
        <w:rPr>
          <w:color w:val="231F1F"/>
          <w:w w:val="105"/>
        </w:rPr>
        <w:t>mientras</w:t>
      </w:r>
      <w:r>
        <w:rPr>
          <w:color w:val="231F1F"/>
          <w:spacing w:val="-1"/>
          <w:w w:val="105"/>
        </w:rPr>
        <w:t> </w:t>
      </w:r>
      <w:r>
        <w:rPr>
          <w:color w:val="231F1F"/>
          <w:w w:val="105"/>
        </w:rPr>
        <w:t>se</w:t>
      </w:r>
      <w:r>
        <w:rPr>
          <w:color w:val="231F1F"/>
          <w:spacing w:val="-1"/>
          <w:w w:val="105"/>
        </w:rPr>
        <w:t> </w:t>
      </w:r>
      <w:r>
        <w:rPr>
          <w:color w:val="231F1F"/>
          <w:w w:val="105"/>
        </w:rPr>
        <w:t>realizaba</w:t>
      </w:r>
      <w:r>
        <w:rPr>
          <w:color w:val="231F1F"/>
          <w:spacing w:val="-1"/>
          <w:w w:val="105"/>
        </w:rPr>
        <w:t> </w:t>
      </w:r>
      <w:r>
        <w:rPr>
          <w:color w:val="231F1F"/>
          <w:w w:val="105"/>
        </w:rPr>
        <w:t>una</w:t>
      </w:r>
      <w:r>
        <w:rPr>
          <w:color w:val="231F1F"/>
          <w:spacing w:val="-1"/>
          <w:w w:val="105"/>
        </w:rPr>
        <w:t> </w:t>
      </w:r>
      <w:r>
        <w:rPr>
          <w:color w:val="231F1F"/>
          <w:w w:val="105"/>
        </w:rPr>
        <w:t>episiotomía</w:t>
      </w:r>
      <w:r>
        <w:rPr>
          <w:color w:val="231F1F"/>
          <w:spacing w:val="-1"/>
          <w:w w:val="105"/>
        </w:rPr>
        <w:t> </w:t>
      </w:r>
      <w:r>
        <w:rPr>
          <w:color w:val="231F1F"/>
          <w:w w:val="105"/>
        </w:rPr>
        <w:t>fren- te al guante sencillo, siendo la variable de resultado a estudiar, únicamente el número</w:t>
      </w:r>
      <w:r>
        <w:rPr>
          <w:color w:val="231F1F"/>
          <w:spacing w:val="-4"/>
          <w:w w:val="105"/>
        </w:rPr>
        <w:t> </w:t>
      </w:r>
      <w:r>
        <w:rPr>
          <w:color w:val="231F1F"/>
          <w:w w:val="105"/>
        </w:rPr>
        <w:t>de</w:t>
      </w:r>
      <w:r>
        <w:rPr>
          <w:color w:val="231F1F"/>
          <w:spacing w:val="-3"/>
          <w:w w:val="105"/>
        </w:rPr>
        <w:t> </w:t>
      </w:r>
      <w:r>
        <w:rPr>
          <w:color w:val="231F1F"/>
          <w:w w:val="105"/>
        </w:rPr>
        <w:t>perforaciones.</w:t>
      </w:r>
      <w:r>
        <w:rPr>
          <w:color w:val="231F1F"/>
          <w:spacing w:val="-4"/>
          <w:w w:val="105"/>
        </w:rPr>
        <w:t> </w:t>
      </w:r>
      <w:r>
        <w:rPr>
          <w:color w:val="231F1F"/>
          <w:w w:val="105"/>
        </w:rPr>
        <w:t>El</w:t>
      </w:r>
      <w:r>
        <w:rPr>
          <w:color w:val="231F1F"/>
          <w:spacing w:val="-3"/>
          <w:w w:val="105"/>
        </w:rPr>
        <w:t> </w:t>
      </w:r>
      <w:r>
        <w:rPr>
          <w:color w:val="231F1F"/>
          <w:w w:val="105"/>
        </w:rPr>
        <w:t>primer</w:t>
      </w:r>
      <w:r>
        <w:rPr>
          <w:color w:val="231F1F"/>
          <w:spacing w:val="-3"/>
          <w:w w:val="105"/>
        </w:rPr>
        <w:t> </w:t>
      </w:r>
      <w:r>
        <w:rPr>
          <w:color w:val="231F1F"/>
          <w:w w:val="105"/>
        </w:rPr>
        <w:t>ensayo</w:t>
      </w:r>
      <w:r>
        <w:rPr>
          <w:color w:val="231F1F"/>
          <w:spacing w:val="-3"/>
          <w:w w:val="105"/>
        </w:rPr>
        <w:t> </w:t>
      </w:r>
      <w:r>
        <w:rPr>
          <w:color w:val="231F1F"/>
          <w:w w:val="105"/>
        </w:rPr>
        <w:t>(124)</w:t>
      </w:r>
      <w:r>
        <w:rPr>
          <w:color w:val="231F1F"/>
          <w:spacing w:val="-3"/>
          <w:w w:val="105"/>
        </w:rPr>
        <w:t> </w:t>
      </w:r>
      <w:r>
        <w:rPr>
          <w:color w:val="231F1F"/>
          <w:w w:val="105"/>
        </w:rPr>
        <w:t>incluyó</w:t>
      </w:r>
      <w:r>
        <w:rPr>
          <w:color w:val="231F1F"/>
          <w:spacing w:val="-4"/>
          <w:w w:val="105"/>
        </w:rPr>
        <w:t> </w:t>
      </w:r>
      <w:r>
        <w:rPr>
          <w:color w:val="231F1F"/>
          <w:w w:val="105"/>
        </w:rPr>
        <w:t>2058</w:t>
      </w:r>
      <w:r>
        <w:rPr>
          <w:color w:val="231F1F"/>
          <w:spacing w:val="-4"/>
          <w:w w:val="105"/>
        </w:rPr>
        <w:t> </w:t>
      </w:r>
      <w:r>
        <w:rPr>
          <w:color w:val="231F1F"/>
          <w:w w:val="105"/>
        </w:rPr>
        <w:t>sets</w:t>
      </w:r>
      <w:r>
        <w:rPr>
          <w:color w:val="231F1F"/>
          <w:spacing w:val="-3"/>
          <w:w w:val="105"/>
        </w:rPr>
        <w:t> </w:t>
      </w:r>
      <w:r>
        <w:rPr>
          <w:color w:val="231F1F"/>
          <w:w w:val="105"/>
        </w:rPr>
        <w:t>de</w:t>
      </w:r>
      <w:r>
        <w:rPr>
          <w:color w:val="231F1F"/>
          <w:spacing w:val="-3"/>
          <w:w w:val="105"/>
        </w:rPr>
        <w:t> </w:t>
      </w:r>
      <w:r>
        <w:rPr>
          <w:color w:val="231F1F"/>
          <w:w w:val="105"/>
        </w:rPr>
        <w:t>guantes (doble guante n=1316; sencillo n=742) y el segundo ensayo (125) 300 sets de guantes (doble guante n=150; sencillo n=150). Se trata de estudios sin oculta- ción,</w:t>
      </w:r>
      <w:r>
        <w:rPr>
          <w:color w:val="231F1F"/>
          <w:spacing w:val="-9"/>
          <w:w w:val="105"/>
        </w:rPr>
        <w:t> </w:t>
      </w:r>
      <w:r>
        <w:rPr>
          <w:color w:val="231F1F"/>
          <w:w w:val="105"/>
        </w:rPr>
        <w:t>por</w:t>
      </w:r>
      <w:r>
        <w:rPr>
          <w:color w:val="231F1F"/>
          <w:spacing w:val="-9"/>
          <w:w w:val="105"/>
        </w:rPr>
        <w:t> </w:t>
      </w:r>
      <w:r>
        <w:rPr>
          <w:color w:val="231F1F"/>
          <w:w w:val="105"/>
        </w:rPr>
        <w:t>lo</w:t>
      </w:r>
      <w:r>
        <w:rPr>
          <w:color w:val="231F1F"/>
          <w:spacing w:val="-9"/>
          <w:w w:val="105"/>
        </w:rPr>
        <w:t> </w:t>
      </w:r>
      <w:r>
        <w:rPr>
          <w:color w:val="231F1F"/>
          <w:w w:val="105"/>
        </w:rPr>
        <w:t>que</w:t>
      </w:r>
      <w:r>
        <w:rPr>
          <w:color w:val="231F1F"/>
          <w:spacing w:val="-10"/>
          <w:w w:val="105"/>
        </w:rPr>
        <w:t> </w:t>
      </w:r>
      <w:r>
        <w:rPr>
          <w:color w:val="231F1F"/>
          <w:w w:val="105"/>
        </w:rPr>
        <w:t>hay</w:t>
      </w:r>
      <w:r>
        <w:rPr>
          <w:color w:val="231F1F"/>
          <w:spacing w:val="-9"/>
          <w:w w:val="105"/>
        </w:rPr>
        <w:t> </w:t>
      </w:r>
      <w:r>
        <w:rPr>
          <w:color w:val="231F1F"/>
          <w:w w:val="105"/>
        </w:rPr>
        <w:t>que</w:t>
      </w:r>
      <w:r>
        <w:rPr>
          <w:color w:val="231F1F"/>
          <w:spacing w:val="-10"/>
          <w:w w:val="105"/>
        </w:rPr>
        <w:t> </w:t>
      </w:r>
      <w:r>
        <w:rPr>
          <w:color w:val="231F1F"/>
          <w:w w:val="105"/>
        </w:rPr>
        <w:t>tener</w:t>
      </w:r>
      <w:r>
        <w:rPr>
          <w:color w:val="231F1F"/>
          <w:spacing w:val="-9"/>
          <w:w w:val="105"/>
        </w:rPr>
        <w:t> </w:t>
      </w:r>
      <w:r>
        <w:rPr>
          <w:color w:val="231F1F"/>
          <w:w w:val="105"/>
        </w:rPr>
        <w:t>precaución</w:t>
      </w:r>
      <w:r>
        <w:rPr>
          <w:color w:val="231F1F"/>
          <w:spacing w:val="-10"/>
          <w:w w:val="105"/>
        </w:rPr>
        <w:t> </w:t>
      </w:r>
      <w:r>
        <w:rPr>
          <w:color w:val="231F1F"/>
          <w:w w:val="105"/>
        </w:rPr>
        <w:t>a</w:t>
      </w:r>
      <w:r>
        <w:rPr>
          <w:color w:val="231F1F"/>
          <w:spacing w:val="-9"/>
          <w:w w:val="105"/>
        </w:rPr>
        <w:t> </w:t>
      </w:r>
      <w:r>
        <w:rPr>
          <w:color w:val="231F1F"/>
          <w:w w:val="105"/>
        </w:rPr>
        <w:t>la</w:t>
      </w:r>
      <w:r>
        <w:rPr>
          <w:color w:val="231F1F"/>
          <w:spacing w:val="-9"/>
          <w:w w:val="105"/>
        </w:rPr>
        <w:t> </w:t>
      </w:r>
      <w:r>
        <w:rPr>
          <w:color w:val="231F1F"/>
          <w:w w:val="105"/>
        </w:rPr>
        <w:t>hora</w:t>
      </w:r>
      <w:r>
        <w:rPr>
          <w:color w:val="231F1F"/>
          <w:spacing w:val="-10"/>
          <w:w w:val="105"/>
        </w:rPr>
        <w:t> </w:t>
      </w:r>
      <w:r>
        <w:rPr>
          <w:color w:val="231F1F"/>
          <w:w w:val="105"/>
        </w:rPr>
        <w:t>de</w:t>
      </w:r>
      <w:r>
        <w:rPr>
          <w:color w:val="231F1F"/>
          <w:spacing w:val="-10"/>
          <w:w w:val="105"/>
        </w:rPr>
        <w:t> </w:t>
      </w:r>
      <w:r>
        <w:rPr>
          <w:color w:val="231F1F"/>
          <w:w w:val="105"/>
        </w:rPr>
        <w:t>interpretar</w:t>
      </w:r>
      <w:r>
        <w:rPr>
          <w:color w:val="231F1F"/>
          <w:spacing w:val="-9"/>
          <w:w w:val="105"/>
        </w:rPr>
        <w:t> </w:t>
      </w:r>
      <w:r>
        <w:rPr>
          <w:color w:val="231F1F"/>
          <w:w w:val="105"/>
        </w:rPr>
        <w:t>los</w:t>
      </w:r>
      <w:r>
        <w:rPr>
          <w:color w:val="231F1F"/>
          <w:spacing w:val="-9"/>
          <w:w w:val="105"/>
        </w:rPr>
        <w:t> </w:t>
      </w:r>
      <w:r>
        <w:rPr>
          <w:color w:val="231F1F"/>
          <w:w w:val="105"/>
        </w:rPr>
        <w:t>resultados.</w:t>
      </w:r>
    </w:p>
    <w:p>
      <w:pPr>
        <w:pStyle w:val="BodyText"/>
        <w:spacing w:line="249" w:lineRule="auto" w:before="38"/>
        <w:ind w:left="283" w:right="1" w:firstLine="453"/>
        <w:jc w:val="both"/>
      </w:pPr>
      <w:r>
        <w:rPr>
          <w:color w:val="231F1F"/>
          <w:w w:val="105"/>
        </w:rPr>
        <w:t>El</w:t>
      </w:r>
      <w:r>
        <w:rPr>
          <w:color w:val="231F1F"/>
          <w:spacing w:val="-4"/>
          <w:w w:val="105"/>
        </w:rPr>
        <w:t> </w:t>
      </w:r>
      <w:r>
        <w:rPr>
          <w:color w:val="231F1F"/>
          <w:w w:val="105"/>
        </w:rPr>
        <w:t>primer</w:t>
      </w:r>
      <w:r>
        <w:rPr>
          <w:color w:val="231F1F"/>
          <w:spacing w:val="-4"/>
          <w:w w:val="105"/>
        </w:rPr>
        <w:t> </w:t>
      </w:r>
      <w:r>
        <w:rPr>
          <w:color w:val="231F1F"/>
          <w:w w:val="105"/>
        </w:rPr>
        <w:t>ensayo</w:t>
      </w:r>
      <w:r>
        <w:rPr>
          <w:color w:val="231F1F"/>
          <w:spacing w:val="-3"/>
          <w:w w:val="105"/>
        </w:rPr>
        <w:t> </w:t>
      </w:r>
      <w:r>
        <w:rPr>
          <w:color w:val="231F1F"/>
          <w:w w:val="105"/>
        </w:rPr>
        <w:t>mostró</w:t>
      </w:r>
      <w:r>
        <w:rPr>
          <w:color w:val="231F1F"/>
          <w:spacing w:val="-4"/>
          <w:w w:val="105"/>
        </w:rPr>
        <w:t> </w:t>
      </w:r>
      <w:r>
        <w:rPr>
          <w:color w:val="231F1F"/>
          <w:w w:val="105"/>
        </w:rPr>
        <w:t>tasas</w:t>
      </w:r>
      <w:r>
        <w:rPr>
          <w:color w:val="231F1F"/>
          <w:spacing w:val="-4"/>
          <w:w w:val="105"/>
        </w:rPr>
        <w:t> </w:t>
      </w:r>
      <w:r>
        <w:rPr>
          <w:color w:val="231F1F"/>
          <w:w w:val="105"/>
        </w:rPr>
        <w:t>de</w:t>
      </w:r>
      <w:r>
        <w:rPr>
          <w:color w:val="231F1F"/>
          <w:spacing w:val="-4"/>
          <w:w w:val="105"/>
        </w:rPr>
        <w:t> </w:t>
      </w:r>
      <w:r>
        <w:rPr>
          <w:color w:val="231F1F"/>
          <w:w w:val="105"/>
        </w:rPr>
        <w:t>perforación</w:t>
      </w:r>
      <w:r>
        <w:rPr>
          <w:color w:val="231F1F"/>
          <w:spacing w:val="-4"/>
          <w:w w:val="105"/>
        </w:rPr>
        <w:t> </w:t>
      </w:r>
      <w:r>
        <w:rPr>
          <w:color w:val="231F1F"/>
          <w:w w:val="105"/>
        </w:rPr>
        <w:t>del</w:t>
      </w:r>
      <w:r>
        <w:rPr>
          <w:color w:val="231F1F"/>
          <w:spacing w:val="-4"/>
          <w:w w:val="105"/>
        </w:rPr>
        <w:t> </w:t>
      </w:r>
      <w:r>
        <w:rPr>
          <w:color w:val="231F1F"/>
          <w:w w:val="105"/>
        </w:rPr>
        <w:t>guante</w:t>
      </w:r>
      <w:r>
        <w:rPr>
          <w:color w:val="231F1F"/>
          <w:spacing w:val="-4"/>
          <w:w w:val="105"/>
        </w:rPr>
        <w:t> </w:t>
      </w:r>
      <w:r>
        <w:rPr>
          <w:color w:val="231F1F"/>
          <w:w w:val="105"/>
        </w:rPr>
        <w:t>interior</w:t>
      </w:r>
      <w:r>
        <w:rPr>
          <w:color w:val="231F1F"/>
          <w:spacing w:val="-4"/>
          <w:w w:val="105"/>
        </w:rPr>
        <w:t> </w:t>
      </w:r>
      <w:r>
        <w:rPr>
          <w:color w:val="231F1F"/>
          <w:w w:val="105"/>
        </w:rPr>
        <w:t>del</w:t>
      </w:r>
      <w:r>
        <w:rPr>
          <w:color w:val="231F1F"/>
          <w:spacing w:val="-4"/>
          <w:w w:val="105"/>
        </w:rPr>
        <w:t> </w:t>
      </w:r>
      <w:r>
        <w:rPr>
          <w:color w:val="231F1F"/>
          <w:w w:val="105"/>
        </w:rPr>
        <w:t>2,7% (p&lt;0,05) y del exterior del 5,9%, mientras que los guantes sencillos se perfo- raron</w:t>
      </w:r>
      <w:r>
        <w:rPr>
          <w:color w:val="231F1F"/>
          <w:w w:val="105"/>
        </w:rPr>
        <w:t> en</w:t>
      </w:r>
      <w:r>
        <w:rPr>
          <w:color w:val="231F1F"/>
          <w:w w:val="105"/>
        </w:rPr>
        <w:t> un</w:t>
      </w:r>
      <w:r>
        <w:rPr>
          <w:color w:val="231F1F"/>
          <w:w w:val="105"/>
        </w:rPr>
        <w:t> 6,7%.</w:t>
      </w:r>
      <w:r>
        <w:rPr>
          <w:color w:val="231F1F"/>
          <w:w w:val="105"/>
        </w:rPr>
        <w:t> El</w:t>
      </w:r>
      <w:r>
        <w:rPr>
          <w:color w:val="231F1F"/>
          <w:w w:val="105"/>
        </w:rPr>
        <w:t> segundo</w:t>
      </w:r>
      <w:r>
        <w:rPr>
          <w:color w:val="231F1F"/>
          <w:w w:val="105"/>
        </w:rPr>
        <w:t> estudio</w:t>
      </w:r>
      <w:r>
        <w:rPr>
          <w:color w:val="231F1F"/>
          <w:w w:val="105"/>
        </w:rPr>
        <w:t> mostró</w:t>
      </w:r>
      <w:r>
        <w:rPr>
          <w:color w:val="231F1F"/>
          <w:w w:val="105"/>
        </w:rPr>
        <w:t> perforaciones</w:t>
      </w:r>
      <w:r>
        <w:rPr>
          <w:color w:val="231F1F"/>
          <w:w w:val="105"/>
        </w:rPr>
        <w:t> internas</w:t>
      </w:r>
      <w:r>
        <w:rPr>
          <w:color w:val="231F1F"/>
          <w:w w:val="105"/>
        </w:rPr>
        <w:t> en</w:t>
      </w:r>
      <w:r>
        <w:rPr>
          <w:color w:val="231F1F"/>
          <w:w w:val="105"/>
        </w:rPr>
        <w:t> el 4,6%</w:t>
      </w:r>
      <w:r>
        <w:rPr>
          <w:color w:val="231F1F"/>
          <w:spacing w:val="-2"/>
          <w:w w:val="105"/>
        </w:rPr>
        <w:t> </w:t>
      </w:r>
      <w:r>
        <w:rPr>
          <w:color w:val="231F1F"/>
          <w:w w:val="105"/>
        </w:rPr>
        <w:t>(p&lt;0,05)</w:t>
      </w:r>
      <w:r>
        <w:rPr>
          <w:color w:val="231F1F"/>
          <w:spacing w:val="-2"/>
          <w:w w:val="105"/>
        </w:rPr>
        <w:t> </w:t>
      </w:r>
      <w:r>
        <w:rPr>
          <w:color w:val="231F1F"/>
          <w:w w:val="105"/>
        </w:rPr>
        <w:t>y</w:t>
      </w:r>
      <w:r>
        <w:rPr>
          <w:color w:val="231F1F"/>
          <w:spacing w:val="-2"/>
          <w:w w:val="105"/>
        </w:rPr>
        <w:t> </w:t>
      </w:r>
      <w:r>
        <w:rPr>
          <w:color w:val="231F1F"/>
          <w:w w:val="105"/>
        </w:rPr>
        <w:t>en</w:t>
      </w:r>
      <w:r>
        <w:rPr>
          <w:color w:val="231F1F"/>
          <w:spacing w:val="-2"/>
          <w:w w:val="105"/>
        </w:rPr>
        <w:t> </w:t>
      </w:r>
      <w:r>
        <w:rPr>
          <w:color w:val="231F1F"/>
          <w:w w:val="105"/>
        </w:rPr>
        <w:t>el</w:t>
      </w:r>
      <w:r>
        <w:rPr>
          <w:color w:val="231F1F"/>
          <w:spacing w:val="-2"/>
          <w:w w:val="105"/>
        </w:rPr>
        <w:t> </w:t>
      </w:r>
      <w:r>
        <w:rPr>
          <w:color w:val="231F1F"/>
          <w:w w:val="105"/>
        </w:rPr>
        <w:t>exterior</w:t>
      </w:r>
      <w:r>
        <w:rPr>
          <w:color w:val="231F1F"/>
          <w:spacing w:val="-2"/>
          <w:w w:val="105"/>
        </w:rPr>
        <w:t> </w:t>
      </w:r>
      <w:r>
        <w:rPr>
          <w:color w:val="231F1F"/>
          <w:w w:val="105"/>
        </w:rPr>
        <w:t>del</w:t>
      </w:r>
      <w:r>
        <w:rPr>
          <w:color w:val="231F1F"/>
          <w:spacing w:val="-2"/>
          <w:w w:val="105"/>
        </w:rPr>
        <w:t> </w:t>
      </w:r>
      <w:r>
        <w:rPr>
          <w:color w:val="231F1F"/>
          <w:w w:val="105"/>
        </w:rPr>
        <w:t>22,6%,</w:t>
      </w:r>
      <w:r>
        <w:rPr>
          <w:color w:val="231F1F"/>
          <w:spacing w:val="-2"/>
          <w:w w:val="105"/>
        </w:rPr>
        <w:t> </w:t>
      </w:r>
      <w:r>
        <w:rPr>
          <w:color w:val="231F1F"/>
          <w:w w:val="105"/>
        </w:rPr>
        <w:t>en</w:t>
      </w:r>
      <w:r>
        <w:rPr>
          <w:color w:val="231F1F"/>
          <w:spacing w:val="-2"/>
          <w:w w:val="105"/>
        </w:rPr>
        <w:t> </w:t>
      </w:r>
      <w:r>
        <w:rPr>
          <w:color w:val="231F1F"/>
          <w:w w:val="105"/>
        </w:rPr>
        <w:t>comparación</w:t>
      </w:r>
      <w:r>
        <w:rPr>
          <w:color w:val="231F1F"/>
          <w:spacing w:val="-2"/>
          <w:w w:val="105"/>
        </w:rPr>
        <w:t> </w:t>
      </w:r>
      <w:r>
        <w:rPr>
          <w:color w:val="231F1F"/>
          <w:w w:val="105"/>
        </w:rPr>
        <w:t>con</w:t>
      </w:r>
      <w:r>
        <w:rPr>
          <w:color w:val="231F1F"/>
          <w:spacing w:val="-2"/>
          <w:w w:val="105"/>
        </w:rPr>
        <w:t> </w:t>
      </w:r>
      <w:r>
        <w:rPr>
          <w:color w:val="231F1F"/>
          <w:w w:val="105"/>
        </w:rPr>
        <w:t>el</w:t>
      </w:r>
      <w:r>
        <w:rPr>
          <w:color w:val="231F1F"/>
          <w:spacing w:val="-2"/>
          <w:w w:val="105"/>
        </w:rPr>
        <w:t> </w:t>
      </w:r>
      <w:r>
        <w:rPr>
          <w:color w:val="231F1F"/>
          <w:w w:val="105"/>
        </w:rPr>
        <w:t>18,0%</w:t>
      </w:r>
      <w:r>
        <w:rPr>
          <w:color w:val="231F1F"/>
          <w:spacing w:val="-2"/>
          <w:w w:val="105"/>
        </w:rPr>
        <w:t> </w:t>
      </w:r>
      <w:r>
        <w:rPr>
          <w:color w:val="231F1F"/>
          <w:w w:val="105"/>
        </w:rPr>
        <w:t>de</w:t>
      </w:r>
      <w:r>
        <w:rPr>
          <w:color w:val="231F1F"/>
          <w:spacing w:val="-2"/>
          <w:w w:val="105"/>
        </w:rPr>
        <w:t> </w:t>
      </w:r>
      <w:r>
        <w:rPr>
          <w:color w:val="231F1F"/>
          <w:w w:val="105"/>
        </w:rPr>
        <w:t>los guantes sencillos.</w:t>
      </w:r>
    </w:p>
    <w:p>
      <w:pPr>
        <w:pStyle w:val="BodyText"/>
        <w:spacing w:before="78"/>
      </w:pPr>
    </w:p>
    <w:p>
      <w:pPr>
        <w:pStyle w:val="Heading5"/>
        <w:jc w:val="both"/>
      </w:pPr>
      <w:r>
        <w:rPr>
          <w:color w:val="231F1F"/>
        </w:rPr>
        <w:t>Mascarilla,</w:t>
      </w:r>
      <w:r>
        <w:rPr>
          <w:color w:val="231F1F"/>
          <w:spacing w:val="-1"/>
        </w:rPr>
        <w:t> </w:t>
      </w:r>
      <w:r>
        <w:rPr>
          <w:color w:val="231F1F"/>
        </w:rPr>
        <w:t>protección</w:t>
      </w:r>
      <w:r>
        <w:rPr>
          <w:color w:val="231F1F"/>
          <w:spacing w:val="2"/>
        </w:rPr>
        <w:t> </w:t>
      </w:r>
      <w:r>
        <w:rPr>
          <w:color w:val="231F1F"/>
        </w:rPr>
        <w:t>ocular</w:t>
      </w:r>
      <w:r>
        <w:rPr>
          <w:color w:val="231F1F"/>
          <w:spacing w:val="1"/>
        </w:rPr>
        <w:t> </w:t>
      </w:r>
      <w:r>
        <w:rPr>
          <w:color w:val="231F1F"/>
        </w:rPr>
        <w:t>y</w:t>
      </w:r>
      <w:r>
        <w:rPr>
          <w:color w:val="231F1F"/>
          <w:spacing w:val="2"/>
        </w:rPr>
        <w:t> </w:t>
      </w:r>
      <w:r>
        <w:rPr>
          <w:color w:val="231F1F"/>
        </w:rPr>
        <w:t>otras</w:t>
      </w:r>
      <w:r>
        <w:rPr>
          <w:color w:val="231F1F"/>
          <w:spacing w:val="1"/>
        </w:rPr>
        <w:t> </w:t>
      </w:r>
      <w:r>
        <w:rPr>
          <w:color w:val="231F1F"/>
        </w:rPr>
        <w:t>protecciones</w:t>
      </w:r>
      <w:r>
        <w:rPr>
          <w:color w:val="231F1F"/>
          <w:spacing w:val="2"/>
        </w:rPr>
        <w:t> </w:t>
      </w:r>
      <w:r>
        <w:rPr>
          <w:color w:val="231F1F"/>
          <w:spacing w:val="-2"/>
        </w:rPr>
        <w:t>faciales</w:t>
      </w:r>
    </w:p>
    <w:p>
      <w:pPr>
        <w:pStyle w:val="BodyText"/>
        <w:spacing w:line="252" w:lineRule="auto" w:before="161"/>
        <w:ind w:left="283" w:right="1"/>
        <w:jc w:val="both"/>
      </w:pPr>
      <w:r>
        <w:rPr>
          <w:color w:val="231F1F"/>
          <w:w w:val="110"/>
        </w:rPr>
        <w:t>Una</w:t>
      </w:r>
      <w:r>
        <w:rPr>
          <w:color w:val="231F1F"/>
          <w:spacing w:val="-14"/>
          <w:w w:val="110"/>
        </w:rPr>
        <w:t> </w:t>
      </w:r>
      <w:r>
        <w:rPr>
          <w:color w:val="231F1F"/>
          <w:w w:val="110"/>
        </w:rPr>
        <w:t>RS</w:t>
      </w:r>
      <w:r>
        <w:rPr>
          <w:color w:val="231F1F"/>
          <w:spacing w:val="-13"/>
          <w:w w:val="110"/>
        </w:rPr>
        <w:t> </w:t>
      </w:r>
      <w:r>
        <w:rPr>
          <w:color w:val="231F1F"/>
          <w:w w:val="110"/>
        </w:rPr>
        <w:t>basada</w:t>
      </w:r>
      <w:r>
        <w:rPr>
          <w:color w:val="231F1F"/>
          <w:spacing w:val="-14"/>
          <w:w w:val="110"/>
        </w:rPr>
        <w:t> </w:t>
      </w:r>
      <w:r>
        <w:rPr>
          <w:color w:val="231F1F"/>
          <w:w w:val="110"/>
        </w:rPr>
        <w:t>en</w:t>
      </w:r>
      <w:r>
        <w:rPr>
          <w:color w:val="231F1F"/>
          <w:spacing w:val="-14"/>
          <w:w w:val="110"/>
        </w:rPr>
        <w:t> </w:t>
      </w:r>
      <w:r>
        <w:rPr>
          <w:color w:val="231F1F"/>
          <w:w w:val="110"/>
        </w:rPr>
        <w:t>opinión</w:t>
      </w:r>
      <w:r>
        <w:rPr>
          <w:color w:val="231F1F"/>
          <w:spacing w:val="-14"/>
          <w:w w:val="110"/>
        </w:rPr>
        <w:t> </w:t>
      </w:r>
      <w:r>
        <w:rPr>
          <w:color w:val="231F1F"/>
          <w:w w:val="110"/>
        </w:rPr>
        <w:t>de</w:t>
      </w:r>
      <w:r>
        <w:rPr>
          <w:color w:val="231F1F"/>
          <w:spacing w:val="-14"/>
          <w:w w:val="110"/>
        </w:rPr>
        <w:t> </w:t>
      </w:r>
      <w:r>
        <w:rPr>
          <w:color w:val="231F1F"/>
          <w:w w:val="110"/>
        </w:rPr>
        <w:t>expertos</w:t>
      </w:r>
      <w:r>
        <w:rPr>
          <w:color w:val="231F1F"/>
          <w:spacing w:val="-14"/>
          <w:w w:val="110"/>
        </w:rPr>
        <w:t> </w:t>
      </w:r>
      <w:r>
        <w:rPr>
          <w:color w:val="231F1F"/>
          <w:w w:val="110"/>
        </w:rPr>
        <w:t>(116)</w:t>
      </w:r>
      <w:r>
        <w:rPr>
          <w:color w:val="231F1F"/>
          <w:spacing w:val="-14"/>
          <w:w w:val="110"/>
        </w:rPr>
        <w:t> </w:t>
      </w:r>
      <w:r>
        <w:rPr>
          <w:color w:val="231F1F"/>
          <w:w w:val="110"/>
        </w:rPr>
        <w:t>no</w:t>
      </w:r>
      <w:r>
        <w:rPr>
          <w:color w:val="231F1F"/>
          <w:spacing w:val="-14"/>
          <w:w w:val="110"/>
        </w:rPr>
        <w:t> </w:t>
      </w:r>
      <w:r>
        <w:rPr>
          <w:color w:val="231F1F"/>
          <w:w w:val="110"/>
        </w:rPr>
        <w:t>reveló</w:t>
      </w:r>
      <w:r>
        <w:rPr>
          <w:color w:val="231F1F"/>
          <w:spacing w:val="-13"/>
          <w:w w:val="110"/>
        </w:rPr>
        <w:t> </w:t>
      </w:r>
      <w:r>
        <w:rPr>
          <w:color w:val="231F1F"/>
          <w:w w:val="110"/>
        </w:rPr>
        <w:t>ningún</w:t>
      </w:r>
      <w:r>
        <w:rPr>
          <w:color w:val="231F1F"/>
          <w:spacing w:val="-14"/>
          <w:w w:val="110"/>
        </w:rPr>
        <w:t> </w:t>
      </w:r>
      <w:r>
        <w:rPr>
          <w:color w:val="231F1F"/>
          <w:w w:val="110"/>
        </w:rPr>
        <w:t>estudio</w:t>
      </w:r>
      <w:r>
        <w:rPr>
          <w:color w:val="231F1F"/>
          <w:spacing w:val="-13"/>
          <w:w w:val="110"/>
        </w:rPr>
        <w:t> </w:t>
      </w:r>
      <w:r>
        <w:rPr>
          <w:color w:val="231F1F"/>
          <w:w w:val="110"/>
        </w:rPr>
        <w:t>expe- </w:t>
      </w:r>
      <w:r>
        <w:rPr>
          <w:color w:val="231F1F"/>
        </w:rPr>
        <w:t>rimental sólido que sugiera un beneficio clínico de cualquier uso de mascarillas </w:t>
      </w:r>
      <w:r>
        <w:rPr>
          <w:color w:val="231F1F"/>
          <w:w w:val="110"/>
        </w:rPr>
        <w:t>quirúrgicas</w:t>
      </w:r>
      <w:r>
        <w:rPr>
          <w:color w:val="231F1F"/>
          <w:spacing w:val="-15"/>
          <w:w w:val="110"/>
        </w:rPr>
        <w:t> </w:t>
      </w:r>
      <w:r>
        <w:rPr>
          <w:color w:val="231F1F"/>
          <w:w w:val="110"/>
        </w:rPr>
        <w:t>para</w:t>
      </w:r>
      <w:r>
        <w:rPr>
          <w:color w:val="231F1F"/>
          <w:spacing w:val="-14"/>
          <w:w w:val="110"/>
        </w:rPr>
        <w:t> </w:t>
      </w:r>
      <w:r>
        <w:rPr>
          <w:color w:val="231F1F"/>
          <w:w w:val="110"/>
        </w:rPr>
        <w:t>proteger</w:t>
      </w:r>
      <w:r>
        <w:rPr>
          <w:color w:val="231F1F"/>
          <w:spacing w:val="-15"/>
          <w:w w:val="110"/>
        </w:rPr>
        <w:t> </w:t>
      </w:r>
      <w:r>
        <w:rPr>
          <w:color w:val="231F1F"/>
          <w:w w:val="110"/>
        </w:rPr>
        <w:t>a</w:t>
      </w:r>
      <w:r>
        <w:rPr>
          <w:color w:val="231F1F"/>
          <w:spacing w:val="-14"/>
          <w:w w:val="110"/>
        </w:rPr>
        <w:t> </w:t>
      </w:r>
      <w:r>
        <w:rPr>
          <w:color w:val="231F1F"/>
          <w:w w:val="110"/>
        </w:rPr>
        <w:t>los</w:t>
      </w:r>
      <w:r>
        <w:rPr>
          <w:color w:val="231F1F"/>
          <w:spacing w:val="-15"/>
          <w:w w:val="110"/>
        </w:rPr>
        <w:t> </w:t>
      </w:r>
      <w:r>
        <w:rPr>
          <w:color w:val="231F1F"/>
          <w:w w:val="110"/>
        </w:rPr>
        <w:t>mujeres</w:t>
      </w:r>
      <w:r>
        <w:rPr>
          <w:color w:val="231F1F"/>
          <w:spacing w:val="-14"/>
          <w:w w:val="110"/>
        </w:rPr>
        <w:t> </w:t>
      </w:r>
      <w:r>
        <w:rPr>
          <w:color w:val="231F1F"/>
          <w:w w:val="110"/>
        </w:rPr>
        <w:t>durante</w:t>
      </w:r>
      <w:r>
        <w:rPr>
          <w:color w:val="231F1F"/>
          <w:spacing w:val="-14"/>
          <w:w w:val="110"/>
        </w:rPr>
        <w:t> </w:t>
      </w:r>
      <w:r>
        <w:rPr>
          <w:color w:val="231F1F"/>
          <w:w w:val="110"/>
        </w:rPr>
        <w:t>los</w:t>
      </w:r>
      <w:r>
        <w:rPr>
          <w:color w:val="231F1F"/>
          <w:spacing w:val="-15"/>
          <w:w w:val="110"/>
        </w:rPr>
        <w:t> </w:t>
      </w:r>
      <w:r>
        <w:rPr>
          <w:color w:val="231F1F"/>
          <w:w w:val="110"/>
        </w:rPr>
        <w:t>procedimientos</w:t>
      </w:r>
      <w:r>
        <w:rPr>
          <w:color w:val="231F1F"/>
          <w:spacing w:val="-15"/>
          <w:w w:val="110"/>
        </w:rPr>
        <w:t> </w:t>
      </w:r>
      <w:r>
        <w:rPr>
          <w:color w:val="231F1F"/>
          <w:w w:val="110"/>
        </w:rPr>
        <w:t>de</w:t>
      </w:r>
      <w:r>
        <w:rPr>
          <w:color w:val="231F1F"/>
          <w:spacing w:val="-14"/>
          <w:w w:val="110"/>
        </w:rPr>
        <w:t> </w:t>
      </w:r>
      <w:r>
        <w:rPr>
          <w:color w:val="231F1F"/>
          <w:w w:val="110"/>
        </w:rPr>
        <w:t>rutina </w:t>
      </w:r>
      <w:r>
        <w:rPr>
          <w:color w:val="231F1F"/>
          <w:spacing w:val="-2"/>
          <w:w w:val="110"/>
        </w:rPr>
        <w:t>o</w:t>
      </w:r>
      <w:r>
        <w:rPr>
          <w:color w:val="231F1F"/>
          <w:spacing w:val="-14"/>
          <w:w w:val="110"/>
        </w:rPr>
        <w:t> </w:t>
      </w:r>
      <w:r>
        <w:rPr>
          <w:color w:val="231F1F"/>
          <w:spacing w:val="-2"/>
          <w:w w:val="110"/>
        </w:rPr>
        <w:t>procedimientos</w:t>
      </w:r>
      <w:r>
        <w:rPr>
          <w:color w:val="231F1F"/>
          <w:spacing w:val="-13"/>
          <w:w w:val="110"/>
        </w:rPr>
        <w:t> </w:t>
      </w:r>
      <w:r>
        <w:rPr>
          <w:color w:val="231F1F"/>
          <w:spacing w:val="-2"/>
          <w:w w:val="110"/>
        </w:rPr>
        <w:t>médicos</w:t>
      </w:r>
      <w:r>
        <w:rPr>
          <w:color w:val="231F1F"/>
          <w:spacing w:val="-13"/>
          <w:w w:val="110"/>
        </w:rPr>
        <w:t> </w:t>
      </w:r>
      <w:r>
        <w:rPr>
          <w:color w:val="231F1F"/>
          <w:spacing w:val="-2"/>
          <w:w w:val="110"/>
        </w:rPr>
        <w:t>invasivos.</w:t>
      </w:r>
      <w:r>
        <w:rPr>
          <w:color w:val="231F1F"/>
          <w:spacing w:val="-13"/>
          <w:w w:val="110"/>
        </w:rPr>
        <w:t> </w:t>
      </w:r>
      <w:r>
        <w:rPr>
          <w:color w:val="231F1F"/>
          <w:spacing w:val="-2"/>
          <w:w w:val="110"/>
        </w:rPr>
        <w:t>La</w:t>
      </w:r>
      <w:r>
        <w:rPr>
          <w:color w:val="231F1F"/>
          <w:spacing w:val="-13"/>
          <w:w w:val="110"/>
        </w:rPr>
        <w:t> </w:t>
      </w:r>
      <w:r>
        <w:rPr>
          <w:color w:val="231F1F"/>
          <w:spacing w:val="-2"/>
          <w:w w:val="110"/>
        </w:rPr>
        <w:t>RS</w:t>
      </w:r>
      <w:r>
        <w:rPr>
          <w:color w:val="231F1F"/>
          <w:spacing w:val="-13"/>
          <w:w w:val="110"/>
        </w:rPr>
        <w:t> </w:t>
      </w:r>
      <w:r>
        <w:rPr>
          <w:color w:val="231F1F"/>
          <w:spacing w:val="-2"/>
          <w:w w:val="110"/>
        </w:rPr>
        <w:t>también</w:t>
      </w:r>
      <w:r>
        <w:rPr>
          <w:color w:val="231F1F"/>
          <w:spacing w:val="-13"/>
          <w:w w:val="110"/>
        </w:rPr>
        <w:t> </w:t>
      </w:r>
      <w:r>
        <w:rPr>
          <w:color w:val="231F1F"/>
          <w:spacing w:val="-2"/>
          <w:w w:val="110"/>
        </w:rPr>
        <w:t>indica</w:t>
      </w:r>
      <w:r>
        <w:rPr>
          <w:color w:val="231F1F"/>
          <w:spacing w:val="-13"/>
          <w:w w:val="110"/>
        </w:rPr>
        <w:t> </w:t>
      </w:r>
      <w:r>
        <w:rPr>
          <w:color w:val="231F1F"/>
          <w:spacing w:val="-2"/>
          <w:w w:val="110"/>
        </w:rPr>
        <w:t>que</w:t>
      </w:r>
      <w:r>
        <w:rPr>
          <w:color w:val="231F1F"/>
          <w:spacing w:val="-14"/>
          <w:w w:val="110"/>
        </w:rPr>
        <w:t> </w:t>
      </w:r>
      <w:r>
        <w:rPr>
          <w:color w:val="231F1F"/>
          <w:spacing w:val="-2"/>
          <w:w w:val="110"/>
        </w:rPr>
        <w:t>las</w:t>
      </w:r>
      <w:r>
        <w:rPr>
          <w:color w:val="231F1F"/>
          <w:spacing w:val="-13"/>
          <w:w w:val="110"/>
        </w:rPr>
        <w:t> </w:t>
      </w:r>
      <w:r>
        <w:rPr>
          <w:color w:val="231F1F"/>
          <w:spacing w:val="-2"/>
          <w:w w:val="110"/>
        </w:rPr>
        <w:t>diferentes gafas</w:t>
      </w:r>
      <w:r>
        <w:rPr>
          <w:color w:val="231F1F"/>
          <w:spacing w:val="-14"/>
          <w:w w:val="110"/>
        </w:rPr>
        <w:t> </w:t>
      </w:r>
      <w:r>
        <w:rPr>
          <w:color w:val="231F1F"/>
          <w:spacing w:val="-2"/>
          <w:w w:val="110"/>
        </w:rPr>
        <w:t>ofrecen</w:t>
      </w:r>
      <w:r>
        <w:rPr>
          <w:color w:val="231F1F"/>
          <w:spacing w:val="-13"/>
          <w:w w:val="110"/>
        </w:rPr>
        <w:t> </w:t>
      </w:r>
      <w:r>
        <w:rPr>
          <w:color w:val="231F1F"/>
          <w:spacing w:val="-2"/>
          <w:w w:val="110"/>
        </w:rPr>
        <w:t>protección</w:t>
      </w:r>
      <w:r>
        <w:rPr>
          <w:color w:val="231F1F"/>
          <w:spacing w:val="-13"/>
          <w:w w:val="110"/>
        </w:rPr>
        <w:t> </w:t>
      </w:r>
      <w:r>
        <w:rPr>
          <w:color w:val="231F1F"/>
          <w:spacing w:val="-2"/>
          <w:w w:val="110"/>
        </w:rPr>
        <w:t>física</w:t>
      </w:r>
      <w:r>
        <w:rPr>
          <w:color w:val="231F1F"/>
          <w:spacing w:val="-13"/>
          <w:w w:val="110"/>
        </w:rPr>
        <w:t> </w:t>
      </w:r>
      <w:r>
        <w:rPr>
          <w:color w:val="231F1F"/>
          <w:spacing w:val="-2"/>
          <w:w w:val="110"/>
        </w:rPr>
        <w:t>para</w:t>
      </w:r>
      <w:r>
        <w:rPr>
          <w:color w:val="231F1F"/>
          <w:spacing w:val="-13"/>
          <w:w w:val="110"/>
        </w:rPr>
        <w:t> </w:t>
      </w:r>
      <w:r>
        <w:rPr>
          <w:color w:val="231F1F"/>
          <w:spacing w:val="-2"/>
          <w:w w:val="110"/>
        </w:rPr>
        <w:t>los</w:t>
      </w:r>
      <w:r>
        <w:rPr>
          <w:color w:val="231F1F"/>
          <w:spacing w:val="-13"/>
          <w:w w:val="110"/>
        </w:rPr>
        <w:t> </w:t>
      </w:r>
      <w:r>
        <w:rPr>
          <w:color w:val="231F1F"/>
          <w:spacing w:val="-2"/>
          <w:w w:val="110"/>
        </w:rPr>
        <w:t>ojos</w:t>
      </w:r>
      <w:r>
        <w:rPr>
          <w:color w:val="231F1F"/>
          <w:spacing w:val="-13"/>
          <w:w w:val="110"/>
        </w:rPr>
        <w:t> </w:t>
      </w:r>
      <w:r>
        <w:rPr>
          <w:color w:val="231F1F"/>
          <w:spacing w:val="-2"/>
          <w:w w:val="110"/>
        </w:rPr>
        <w:t>contra</w:t>
      </w:r>
      <w:r>
        <w:rPr>
          <w:color w:val="231F1F"/>
          <w:spacing w:val="-13"/>
          <w:w w:val="110"/>
        </w:rPr>
        <w:t> </w:t>
      </w:r>
      <w:r>
        <w:rPr>
          <w:color w:val="231F1F"/>
          <w:spacing w:val="-2"/>
          <w:w w:val="110"/>
        </w:rPr>
        <w:t>salpicaduras</w:t>
      </w:r>
      <w:r>
        <w:rPr>
          <w:color w:val="231F1F"/>
          <w:spacing w:val="-14"/>
          <w:w w:val="110"/>
        </w:rPr>
        <w:t> </w:t>
      </w:r>
      <w:r>
        <w:rPr>
          <w:color w:val="231F1F"/>
          <w:spacing w:val="-2"/>
          <w:w w:val="110"/>
        </w:rPr>
        <w:t>de</w:t>
      </w:r>
      <w:r>
        <w:rPr>
          <w:color w:val="231F1F"/>
          <w:spacing w:val="-13"/>
          <w:w w:val="110"/>
        </w:rPr>
        <w:t> </w:t>
      </w:r>
      <w:r>
        <w:rPr>
          <w:color w:val="231F1F"/>
          <w:spacing w:val="-2"/>
          <w:w w:val="110"/>
        </w:rPr>
        <w:t>sustancias </w:t>
      </w:r>
      <w:r>
        <w:rPr>
          <w:color w:val="231F1F"/>
          <w:w w:val="110"/>
        </w:rPr>
        <w:t>infectadas (aunque no en el 100% de ocasiones), pero el cumplimiento de utilización</w:t>
      </w:r>
      <w:r>
        <w:rPr>
          <w:color w:val="231F1F"/>
          <w:spacing w:val="-14"/>
          <w:w w:val="110"/>
        </w:rPr>
        <w:t> </w:t>
      </w:r>
      <w:r>
        <w:rPr>
          <w:color w:val="231F1F"/>
          <w:w w:val="110"/>
        </w:rPr>
        <w:t>fue</w:t>
      </w:r>
      <w:r>
        <w:rPr>
          <w:color w:val="231F1F"/>
          <w:spacing w:val="-13"/>
          <w:w w:val="110"/>
        </w:rPr>
        <w:t> </w:t>
      </w:r>
      <w:r>
        <w:rPr>
          <w:color w:val="231F1F"/>
          <w:w w:val="110"/>
        </w:rPr>
        <w:t>deficiente</w:t>
      </w:r>
      <w:r>
        <w:rPr>
          <w:color w:val="231F1F"/>
          <w:spacing w:val="-13"/>
          <w:w w:val="110"/>
        </w:rPr>
        <w:t> </w:t>
      </w:r>
      <w:r>
        <w:rPr>
          <w:color w:val="231F1F"/>
          <w:w w:val="110"/>
        </w:rPr>
        <w:t>en</w:t>
      </w:r>
      <w:r>
        <w:rPr>
          <w:color w:val="231F1F"/>
          <w:spacing w:val="-13"/>
          <w:w w:val="110"/>
        </w:rPr>
        <w:t> </w:t>
      </w:r>
      <w:r>
        <w:rPr>
          <w:color w:val="231F1F"/>
          <w:w w:val="110"/>
        </w:rPr>
        <w:t>muchos</w:t>
      </w:r>
      <w:r>
        <w:rPr>
          <w:color w:val="231F1F"/>
          <w:spacing w:val="-13"/>
          <w:w w:val="110"/>
        </w:rPr>
        <w:t> </w:t>
      </w:r>
      <w:r>
        <w:rPr>
          <w:color w:val="231F1F"/>
          <w:w w:val="110"/>
        </w:rPr>
        <w:t>de</w:t>
      </w:r>
      <w:r>
        <w:rPr>
          <w:color w:val="231F1F"/>
          <w:spacing w:val="-13"/>
          <w:w w:val="110"/>
        </w:rPr>
        <w:t> </w:t>
      </w:r>
      <w:r>
        <w:rPr>
          <w:color w:val="231F1F"/>
          <w:w w:val="110"/>
        </w:rPr>
        <w:t>los</w:t>
      </w:r>
      <w:r>
        <w:rPr>
          <w:color w:val="231F1F"/>
          <w:spacing w:val="-13"/>
          <w:w w:val="110"/>
        </w:rPr>
        <w:t> </w:t>
      </w:r>
      <w:r>
        <w:rPr>
          <w:color w:val="231F1F"/>
          <w:w w:val="110"/>
        </w:rPr>
        <w:t>estudios</w:t>
      </w:r>
      <w:r>
        <w:rPr>
          <w:color w:val="231F1F"/>
          <w:spacing w:val="-13"/>
          <w:w w:val="110"/>
        </w:rPr>
        <w:t> </w:t>
      </w:r>
      <w:r>
        <w:rPr>
          <w:color w:val="231F1F"/>
          <w:w w:val="110"/>
        </w:rPr>
        <w:t>incluidos</w:t>
      </w:r>
      <w:r>
        <w:rPr>
          <w:color w:val="231F1F"/>
          <w:spacing w:val="-14"/>
          <w:w w:val="110"/>
        </w:rPr>
        <w:t> </w:t>
      </w:r>
      <w:r>
        <w:rPr>
          <w:color w:val="231F1F"/>
          <w:w w:val="110"/>
        </w:rPr>
        <w:t>en</w:t>
      </w:r>
      <w:r>
        <w:rPr>
          <w:color w:val="231F1F"/>
          <w:spacing w:val="-13"/>
          <w:w w:val="110"/>
        </w:rPr>
        <w:t> </w:t>
      </w:r>
      <w:r>
        <w:rPr>
          <w:color w:val="231F1F"/>
          <w:w w:val="110"/>
        </w:rPr>
        <w:t>la</w:t>
      </w:r>
      <w:r>
        <w:rPr>
          <w:color w:val="231F1F"/>
          <w:spacing w:val="-13"/>
          <w:w w:val="110"/>
        </w:rPr>
        <w:t> </w:t>
      </w:r>
      <w:r>
        <w:rPr>
          <w:color w:val="231F1F"/>
          <w:w w:val="110"/>
        </w:rPr>
        <w:t>revisión.</w:t>
      </w:r>
    </w:p>
    <w:p>
      <w:pPr>
        <w:pStyle w:val="BodyText"/>
        <w:spacing w:before="57"/>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0"/>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2"/>
          <w:sz w:val="24"/>
        </w:rPr>
        <w:t> </w:t>
      </w:r>
      <w:r>
        <w:rPr>
          <w:rFonts w:ascii="Arial MT" w:hAnsi="Arial MT"/>
          <w:color w:val="231F1F"/>
          <w:sz w:val="24"/>
        </w:rPr>
        <w:t>agosto</w:t>
      </w:r>
      <w:r>
        <w:rPr>
          <w:rFonts w:ascii="Arial MT" w:hAnsi="Arial MT"/>
          <w:color w:val="231F1F"/>
          <w:spacing w:val="23"/>
          <w:sz w:val="24"/>
        </w:rPr>
        <w:t> </w:t>
      </w:r>
      <w:r>
        <w:rPr>
          <w:rFonts w:ascii="Arial MT" w:hAnsi="Arial MT"/>
          <w:color w:val="231F1F"/>
          <w:spacing w:val="-2"/>
          <w:sz w:val="24"/>
        </w:rPr>
        <w:t>2008)</w:t>
      </w:r>
    </w:p>
    <w:p>
      <w:pPr>
        <w:pStyle w:val="BodyText"/>
        <w:spacing w:line="244" w:lineRule="auto" w:before="209"/>
        <w:ind w:left="283" w:right="1"/>
        <w:jc w:val="both"/>
      </w:pPr>
      <w:r>
        <w:rPr>
          <w:color w:val="231F1F"/>
          <w:w w:val="110"/>
        </w:rPr>
        <w:t>La</w:t>
      </w:r>
      <w:r>
        <w:rPr>
          <w:color w:val="231F1F"/>
          <w:spacing w:val="-10"/>
          <w:w w:val="110"/>
        </w:rPr>
        <w:t> </w:t>
      </w:r>
      <w:r>
        <w:rPr>
          <w:color w:val="231F1F"/>
          <w:w w:val="110"/>
        </w:rPr>
        <w:t>búsqueda</w:t>
      </w:r>
      <w:r>
        <w:rPr>
          <w:color w:val="231F1F"/>
          <w:spacing w:val="-10"/>
          <w:w w:val="110"/>
        </w:rPr>
        <w:t> </w:t>
      </w:r>
      <w:r>
        <w:rPr>
          <w:color w:val="231F1F"/>
          <w:w w:val="110"/>
        </w:rPr>
        <w:t>llevada</w:t>
      </w:r>
      <w:r>
        <w:rPr>
          <w:color w:val="231F1F"/>
          <w:spacing w:val="-9"/>
          <w:w w:val="110"/>
        </w:rPr>
        <w:t> </w:t>
      </w:r>
      <w:r>
        <w:rPr>
          <w:color w:val="231F1F"/>
          <w:w w:val="110"/>
        </w:rPr>
        <w:t>a</w:t>
      </w:r>
      <w:r>
        <w:rPr>
          <w:color w:val="231F1F"/>
          <w:spacing w:val="-10"/>
          <w:w w:val="110"/>
        </w:rPr>
        <w:t> </w:t>
      </w:r>
      <w:r>
        <w:rPr>
          <w:color w:val="231F1F"/>
          <w:w w:val="110"/>
        </w:rPr>
        <w:t>cabo</w:t>
      </w:r>
      <w:r>
        <w:rPr>
          <w:color w:val="231F1F"/>
          <w:spacing w:val="-9"/>
          <w:w w:val="110"/>
        </w:rPr>
        <w:t> </w:t>
      </w:r>
      <w:r>
        <w:rPr>
          <w:color w:val="231F1F"/>
          <w:w w:val="110"/>
        </w:rPr>
        <w:t>para</w:t>
      </w:r>
      <w:r>
        <w:rPr>
          <w:color w:val="231F1F"/>
          <w:spacing w:val="-10"/>
          <w:w w:val="110"/>
        </w:rPr>
        <w:t> </w:t>
      </w:r>
      <w:r>
        <w:rPr>
          <w:color w:val="231F1F"/>
          <w:w w:val="110"/>
        </w:rPr>
        <w:t>la</w:t>
      </w:r>
      <w:r>
        <w:rPr>
          <w:color w:val="231F1F"/>
          <w:spacing w:val="-10"/>
          <w:w w:val="110"/>
        </w:rPr>
        <w:t> </w:t>
      </w:r>
      <w:r>
        <w:rPr>
          <w:color w:val="231F1F"/>
          <w:w w:val="110"/>
        </w:rPr>
        <w:t>actualización</w:t>
      </w:r>
      <w:r>
        <w:rPr>
          <w:color w:val="231F1F"/>
          <w:spacing w:val="-10"/>
          <w:w w:val="110"/>
        </w:rPr>
        <w:t> </w:t>
      </w:r>
      <w:r>
        <w:rPr>
          <w:color w:val="231F1F"/>
          <w:w w:val="110"/>
        </w:rPr>
        <w:t>no</w:t>
      </w:r>
      <w:r>
        <w:rPr>
          <w:color w:val="231F1F"/>
          <w:spacing w:val="-10"/>
          <w:w w:val="110"/>
        </w:rPr>
        <w:t> </w:t>
      </w:r>
      <w:r>
        <w:rPr>
          <w:color w:val="231F1F"/>
          <w:w w:val="110"/>
        </w:rPr>
        <w:t>arrojó</w:t>
      </w:r>
      <w:r>
        <w:rPr>
          <w:color w:val="231F1F"/>
          <w:spacing w:val="-9"/>
          <w:w w:val="110"/>
        </w:rPr>
        <w:t> </w:t>
      </w:r>
      <w:r>
        <w:rPr>
          <w:color w:val="231F1F"/>
          <w:w w:val="110"/>
        </w:rPr>
        <w:t>nuevos</w:t>
      </w:r>
      <w:r>
        <w:rPr>
          <w:color w:val="231F1F"/>
          <w:spacing w:val="-10"/>
          <w:w w:val="110"/>
        </w:rPr>
        <w:t> </w:t>
      </w:r>
      <w:r>
        <w:rPr>
          <w:color w:val="231F1F"/>
          <w:w w:val="110"/>
        </w:rPr>
        <w:t>estudios. Por</w:t>
      </w:r>
      <w:r>
        <w:rPr>
          <w:color w:val="231F1F"/>
          <w:spacing w:val="-7"/>
          <w:w w:val="110"/>
        </w:rPr>
        <w:t> </w:t>
      </w:r>
      <w:r>
        <w:rPr>
          <w:color w:val="231F1F"/>
          <w:w w:val="110"/>
        </w:rPr>
        <w:t>ello,</w:t>
      </w:r>
      <w:r>
        <w:rPr>
          <w:color w:val="231F1F"/>
          <w:spacing w:val="-7"/>
          <w:w w:val="110"/>
        </w:rPr>
        <w:t> </w:t>
      </w:r>
      <w:r>
        <w:rPr>
          <w:color w:val="231F1F"/>
          <w:w w:val="110"/>
        </w:rPr>
        <w:t>el</w:t>
      </w:r>
      <w:r>
        <w:rPr>
          <w:color w:val="231F1F"/>
          <w:spacing w:val="-7"/>
          <w:w w:val="110"/>
        </w:rPr>
        <w:t> </w:t>
      </w:r>
      <w:r>
        <w:rPr>
          <w:color w:val="231F1F"/>
          <w:w w:val="110"/>
        </w:rPr>
        <w:t>GEG</w:t>
      </w:r>
      <w:r>
        <w:rPr>
          <w:color w:val="231F1F"/>
          <w:spacing w:val="-6"/>
          <w:w w:val="110"/>
        </w:rPr>
        <w:t> </w:t>
      </w:r>
      <w:r>
        <w:rPr>
          <w:color w:val="231F1F"/>
          <w:w w:val="110"/>
        </w:rPr>
        <w:t>ha</w:t>
      </w:r>
      <w:r>
        <w:rPr>
          <w:color w:val="231F1F"/>
          <w:spacing w:val="-6"/>
          <w:w w:val="110"/>
        </w:rPr>
        <w:t> </w:t>
      </w:r>
      <w:r>
        <w:rPr>
          <w:color w:val="231F1F"/>
          <w:w w:val="110"/>
        </w:rPr>
        <w:t>utilizado</w:t>
      </w:r>
      <w:r>
        <w:rPr>
          <w:color w:val="231F1F"/>
          <w:spacing w:val="-6"/>
          <w:w w:val="110"/>
        </w:rPr>
        <w:t> </w:t>
      </w:r>
      <w:r>
        <w:rPr>
          <w:color w:val="231F1F"/>
          <w:w w:val="110"/>
        </w:rPr>
        <w:t>la</w:t>
      </w:r>
      <w:r>
        <w:rPr>
          <w:color w:val="231F1F"/>
          <w:spacing w:val="-6"/>
          <w:w w:val="110"/>
        </w:rPr>
        <w:t> </w:t>
      </w:r>
      <w:r>
        <w:rPr>
          <w:color w:val="231F1F"/>
          <w:w w:val="110"/>
        </w:rPr>
        <w:t>evidencia</w:t>
      </w:r>
      <w:r>
        <w:rPr>
          <w:color w:val="231F1F"/>
          <w:spacing w:val="-6"/>
          <w:w w:val="110"/>
        </w:rPr>
        <w:t> </w:t>
      </w:r>
      <w:r>
        <w:rPr>
          <w:color w:val="231F1F"/>
          <w:w w:val="110"/>
        </w:rPr>
        <w:t>de</w:t>
      </w:r>
      <w:r>
        <w:rPr>
          <w:color w:val="231F1F"/>
          <w:spacing w:val="-6"/>
          <w:w w:val="110"/>
        </w:rPr>
        <w:t> </w:t>
      </w:r>
      <w:r>
        <w:rPr>
          <w:color w:val="231F1F"/>
          <w:w w:val="110"/>
        </w:rPr>
        <w:t>las</w:t>
      </w:r>
      <w:r>
        <w:rPr>
          <w:color w:val="231F1F"/>
          <w:spacing w:val="-6"/>
          <w:w w:val="110"/>
        </w:rPr>
        <w:t> </w:t>
      </w:r>
      <w:r>
        <w:rPr>
          <w:color w:val="231F1F"/>
          <w:w w:val="110"/>
        </w:rPr>
        <w:t>guías</w:t>
      </w:r>
      <w:r>
        <w:rPr>
          <w:color w:val="231F1F"/>
          <w:spacing w:val="-7"/>
          <w:w w:val="110"/>
        </w:rPr>
        <w:t> </w:t>
      </w:r>
      <w:r>
        <w:rPr>
          <w:color w:val="231F1F"/>
          <w:w w:val="110"/>
        </w:rPr>
        <w:t>de</w:t>
      </w:r>
      <w:r>
        <w:rPr>
          <w:color w:val="231F1F"/>
          <w:spacing w:val="-6"/>
          <w:w w:val="110"/>
        </w:rPr>
        <w:t> </w:t>
      </w:r>
      <w:r>
        <w:rPr>
          <w:color w:val="231F1F"/>
          <w:w w:val="110"/>
        </w:rPr>
        <w:t>NICE</w:t>
      </w:r>
      <w:r>
        <w:rPr>
          <w:color w:val="231F1F"/>
          <w:spacing w:val="-6"/>
          <w:w w:val="110"/>
        </w:rPr>
        <w:t> </w:t>
      </w:r>
      <w:r>
        <w:rPr>
          <w:color w:val="231F1F"/>
          <w:w w:val="110"/>
        </w:rPr>
        <w:t>(10)</w:t>
      </w:r>
      <w:r>
        <w:rPr>
          <w:color w:val="231F1F"/>
          <w:spacing w:val="-6"/>
          <w:w w:val="110"/>
        </w:rPr>
        <w:t> </w:t>
      </w:r>
      <w:r>
        <w:rPr>
          <w:color w:val="231F1F"/>
          <w:w w:val="110"/>
        </w:rPr>
        <w:t>para</w:t>
      </w:r>
      <w:r>
        <w:rPr>
          <w:color w:val="231F1F"/>
          <w:spacing w:val="-6"/>
          <w:w w:val="110"/>
        </w:rPr>
        <w:t> </w:t>
      </w:r>
      <w:r>
        <w:rPr>
          <w:color w:val="231F1F"/>
          <w:w w:val="110"/>
        </w:rPr>
        <w:t>la discusión de la misma y para la elaboración de recomendaciones.</w:t>
      </w:r>
    </w:p>
    <w:p>
      <w:pPr>
        <w:pStyle w:val="BodyText"/>
        <w:spacing w:before="163"/>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78" w:lineRule="auto" w:before="124"/>
        <w:ind w:left="205" w:right="265" w:firstLine="0"/>
        <w:jc w:val="center"/>
        <w:rPr>
          <w:rFonts w:ascii="Arial MT"/>
          <w:sz w:val="18"/>
        </w:rPr>
      </w:pPr>
      <w:r>
        <w:rPr/>
        <w:br w:type="column"/>
      </w:r>
      <w:r>
        <w:rPr>
          <w:rFonts w:ascii="Arial MT"/>
          <w:color w:val="231F1F"/>
          <w:spacing w:val="-2"/>
          <w:sz w:val="18"/>
        </w:rPr>
        <w:t>Opinion</w:t>
      </w:r>
      <w:r>
        <w:rPr>
          <w:rFonts w:ascii="Arial MT"/>
          <w:color w:val="231F1F"/>
          <w:spacing w:val="-11"/>
          <w:sz w:val="18"/>
        </w:rPr>
        <w:t> </w:t>
      </w:r>
      <w:r>
        <w:rPr>
          <w:rFonts w:ascii="Arial MT"/>
          <w:color w:val="231F1F"/>
          <w:spacing w:val="-2"/>
          <w:sz w:val="18"/>
        </w:rPr>
        <w:t>de experta</w:t>
      </w:r>
    </w:p>
    <w:p>
      <w:pPr>
        <w:spacing w:line="202" w:lineRule="exact" w:before="0"/>
        <w:ind w:left="0" w:right="37" w:firstLine="0"/>
        <w:jc w:val="center"/>
        <w:rPr>
          <w:rFonts w:ascii="Arial MT"/>
          <w:sz w:val="18"/>
        </w:rPr>
      </w:pPr>
      <w:r>
        <w:rPr>
          <w:rFonts w:ascii="Arial MT"/>
          <w:color w:val="231F1F"/>
          <w:spacing w:val="-10"/>
          <w:sz w:val="18"/>
        </w:rPr>
        <w:t>4</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8"/>
        <w:rPr>
          <w:rFonts w:ascii="Arial MT"/>
          <w:sz w:val="18"/>
        </w:rPr>
      </w:pPr>
    </w:p>
    <w:p>
      <w:pPr>
        <w:spacing w:line="278" w:lineRule="auto" w:before="1"/>
        <w:ind w:left="462" w:right="510"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32"/>
        <w:rPr>
          <w:rFonts w:ascii="Arial MT"/>
          <w:sz w:val="18"/>
        </w:rPr>
      </w:pPr>
    </w:p>
    <w:p>
      <w:pPr>
        <w:spacing w:line="276" w:lineRule="auto" w:before="0"/>
        <w:ind w:left="169" w:right="229" w:hanging="2"/>
        <w:jc w:val="center"/>
        <w:rPr>
          <w:rFonts w:ascii="Arial MT" w:hAnsi="Arial MT"/>
          <w:sz w:val="18"/>
        </w:rPr>
      </w:pPr>
      <w:r>
        <w:rPr>
          <w:rFonts w:ascii="Arial MT" w:hAnsi="Arial MT"/>
          <w:color w:val="231F1F"/>
          <w:spacing w:val="-2"/>
          <w:sz w:val="18"/>
        </w:rPr>
        <w:t>RS-opinión de</w:t>
      </w:r>
      <w:r>
        <w:rPr>
          <w:rFonts w:ascii="Arial MT" w:hAnsi="Arial MT"/>
          <w:color w:val="231F1F"/>
          <w:spacing w:val="-11"/>
          <w:sz w:val="18"/>
        </w:rPr>
        <w:t> </w:t>
      </w:r>
      <w:r>
        <w:rPr>
          <w:rFonts w:ascii="Arial MT" w:hAnsi="Arial MT"/>
          <w:color w:val="231F1F"/>
          <w:spacing w:val="-2"/>
          <w:sz w:val="18"/>
        </w:rPr>
        <w:t>expertos </w:t>
      </w:r>
      <w:r>
        <w:rPr>
          <w:rFonts w:ascii="Arial MT" w:hAnsi="Arial MT"/>
          <w:color w:val="231F1F"/>
          <w:spacing w:val="-10"/>
          <w:sz w:val="18"/>
        </w:rPr>
        <w:t>4</w:t>
      </w:r>
    </w:p>
    <w:p>
      <w:pPr>
        <w:spacing w:after="0" w:line="276" w:lineRule="auto"/>
        <w:jc w:val="center"/>
        <w:rPr>
          <w:rFonts w:ascii="Arial MT" w:hAnsi="Arial MT"/>
          <w:sz w:val="18"/>
        </w:rPr>
        <w:sectPr>
          <w:pgSz w:w="11900" w:h="16840"/>
          <w:pgMar w:header="0" w:footer="622" w:top="1560" w:bottom="2066" w:left="1417" w:right="1559"/>
          <w:cols w:num="2" w:equalWidth="0">
            <w:col w:w="7550" w:space="40"/>
            <w:col w:w="1334"/>
          </w:cols>
        </w:sectPr>
      </w:pP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378" w:hRule="atLeast"/>
        </w:trPr>
        <w:tc>
          <w:tcPr>
            <w:tcW w:w="8506" w:type="dxa"/>
            <w:gridSpan w:val="2"/>
          </w:tcPr>
          <w:p>
            <w:pPr>
              <w:pStyle w:val="TableParagraph"/>
              <w:spacing w:before="29"/>
              <w:rPr>
                <w:b/>
                <w:sz w:val="22"/>
              </w:rPr>
            </w:pPr>
            <w:r>
              <w:rPr>
                <w:b/>
                <w:color w:val="231F1F"/>
                <w:w w:val="105"/>
                <w:sz w:val="22"/>
              </w:rPr>
              <w:t>Higiene</w:t>
            </w:r>
            <w:r>
              <w:rPr>
                <w:b/>
                <w:color w:val="231F1F"/>
                <w:spacing w:val="-15"/>
                <w:w w:val="105"/>
                <w:sz w:val="22"/>
              </w:rPr>
              <w:t> </w:t>
            </w:r>
            <w:r>
              <w:rPr>
                <w:b/>
                <w:color w:val="231F1F"/>
                <w:w w:val="105"/>
                <w:sz w:val="22"/>
              </w:rPr>
              <w:t>de</w:t>
            </w:r>
            <w:r>
              <w:rPr>
                <w:b/>
                <w:color w:val="231F1F"/>
                <w:spacing w:val="-13"/>
                <w:w w:val="105"/>
                <w:sz w:val="22"/>
              </w:rPr>
              <w:t> </w:t>
            </w:r>
            <w:r>
              <w:rPr>
                <w:b/>
                <w:color w:val="231F1F"/>
                <w:spacing w:val="-2"/>
                <w:w w:val="105"/>
                <w:sz w:val="22"/>
              </w:rPr>
              <w:t>manos</w:t>
            </w:r>
          </w:p>
        </w:tc>
      </w:tr>
      <w:tr>
        <w:trPr>
          <w:trHeight w:val="657" w:hRule="atLeast"/>
        </w:trPr>
        <w:tc>
          <w:tcPr>
            <w:tcW w:w="7373" w:type="dxa"/>
          </w:tcPr>
          <w:p>
            <w:pPr>
              <w:pStyle w:val="TableParagraph"/>
              <w:spacing w:line="244" w:lineRule="auto" w:before="29"/>
              <w:ind w:right="156"/>
              <w:rPr>
                <w:sz w:val="22"/>
              </w:rPr>
            </w:pPr>
            <w:r>
              <w:rPr>
                <w:color w:val="231F1F"/>
                <w:w w:val="105"/>
                <w:sz w:val="22"/>
              </w:rPr>
              <w:t>El</w:t>
            </w:r>
            <w:r>
              <w:rPr>
                <w:color w:val="231F1F"/>
                <w:spacing w:val="-8"/>
                <w:w w:val="105"/>
                <w:sz w:val="22"/>
              </w:rPr>
              <w:t> </w:t>
            </w:r>
            <w:r>
              <w:rPr>
                <w:color w:val="231F1F"/>
                <w:w w:val="105"/>
                <w:sz w:val="22"/>
              </w:rPr>
              <w:t>lavado</w:t>
            </w:r>
            <w:r>
              <w:rPr>
                <w:color w:val="231F1F"/>
                <w:spacing w:val="-7"/>
                <w:w w:val="105"/>
                <w:sz w:val="22"/>
              </w:rPr>
              <w:t> </w:t>
            </w:r>
            <w:r>
              <w:rPr>
                <w:color w:val="231F1F"/>
                <w:w w:val="105"/>
                <w:sz w:val="22"/>
              </w:rPr>
              <w:t>de</w:t>
            </w:r>
            <w:r>
              <w:rPr>
                <w:color w:val="231F1F"/>
                <w:spacing w:val="-7"/>
                <w:w w:val="105"/>
                <w:sz w:val="22"/>
              </w:rPr>
              <w:t> </w:t>
            </w:r>
            <w:r>
              <w:rPr>
                <w:color w:val="231F1F"/>
                <w:w w:val="105"/>
                <w:sz w:val="22"/>
              </w:rPr>
              <w:t>manos</w:t>
            </w:r>
            <w:r>
              <w:rPr>
                <w:color w:val="231F1F"/>
                <w:spacing w:val="-7"/>
                <w:w w:val="105"/>
                <w:sz w:val="22"/>
              </w:rPr>
              <w:t> </w:t>
            </w:r>
            <w:r>
              <w:rPr>
                <w:color w:val="231F1F"/>
                <w:w w:val="105"/>
                <w:sz w:val="22"/>
              </w:rPr>
              <w:t>simple</w:t>
            </w:r>
            <w:r>
              <w:rPr>
                <w:color w:val="231F1F"/>
                <w:spacing w:val="-6"/>
                <w:w w:val="105"/>
                <w:sz w:val="22"/>
              </w:rPr>
              <w:t> </w:t>
            </w:r>
            <w:r>
              <w:rPr>
                <w:color w:val="231F1F"/>
                <w:w w:val="105"/>
                <w:sz w:val="22"/>
              </w:rPr>
              <w:t>o</w:t>
            </w:r>
            <w:r>
              <w:rPr>
                <w:color w:val="231F1F"/>
                <w:spacing w:val="-6"/>
                <w:w w:val="105"/>
                <w:sz w:val="22"/>
              </w:rPr>
              <w:t> </w:t>
            </w:r>
            <w:r>
              <w:rPr>
                <w:color w:val="231F1F"/>
                <w:w w:val="105"/>
                <w:sz w:val="22"/>
              </w:rPr>
              <w:t>con</w:t>
            </w:r>
            <w:r>
              <w:rPr>
                <w:color w:val="231F1F"/>
                <w:spacing w:val="-6"/>
                <w:w w:val="105"/>
                <w:sz w:val="22"/>
              </w:rPr>
              <w:t> </w:t>
            </w:r>
            <w:r>
              <w:rPr>
                <w:color w:val="231F1F"/>
                <w:w w:val="105"/>
                <w:sz w:val="22"/>
              </w:rPr>
              <w:t>gel</w:t>
            </w:r>
            <w:r>
              <w:rPr>
                <w:color w:val="231F1F"/>
                <w:spacing w:val="-8"/>
                <w:w w:val="105"/>
                <w:sz w:val="22"/>
              </w:rPr>
              <w:t> </w:t>
            </w:r>
            <w:r>
              <w:rPr>
                <w:color w:val="231F1F"/>
                <w:w w:val="105"/>
                <w:sz w:val="22"/>
              </w:rPr>
              <w:t>alcohólico</w:t>
            </w:r>
            <w:r>
              <w:rPr>
                <w:color w:val="231F1F"/>
                <w:spacing w:val="-6"/>
                <w:w w:val="105"/>
                <w:sz w:val="22"/>
              </w:rPr>
              <w:t> </w:t>
            </w:r>
            <w:r>
              <w:rPr>
                <w:color w:val="231F1F"/>
                <w:w w:val="105"/>
                <w:sz w:val="22"/>
              </w:rPr>
              <w:t>es</w:t>
            </w:r>
            <w:r>
              <w:rPr>
                <w:color w:val="231F1F"/>
                <w:spacing w:val="-6"/>
                <w:w w:val="105"/>
                <w:sz w:val="22"/>
              </w:rPr>
              <w:t> </w:t>
            </w:r>
            <w:r>
              <w:rPr>
                <w:color w:val="231F1F"/>
                <w:w w:val="105"/>
                <w:sz w:val="22"/>
              </w:rPr>
              <w:t>eficaz</w:t>
            </w:r>
            <w:r>
              <w:rPr>
                <w:color w:val="231F1F"/>
                <w:spacing w:val="-6"/>
                <w:w w:val="105"/>
                <w:sz w:val="22"/>
              </w:rPr>
              <w:t> </w:t>
            </w:r>
            <w:r>
              <w:rPr>
                <w:color w:val="231F1F"/>
                <w:w w:val="105"/>
                <w:sz w:val="22"/>
              </w:rPr>
              <w:t>en</w:t>
            </w:r>
            <w:r>
              <w:rPr>
                <w:color w:val="231F1F"/>
                <w:spacing w:val="-6"/>
                <w:w w:val="105"/>
                <w:sz w:val="22"/>
              </w:rPr>
              <w:t> </w:t>
            </w:r>
            <w:r>
              <w:rPr>
                <w:color w:val="231F1F"/>
                <w:w w:val="105"/>
                <w:sz w:val="22"/>
              </w:rPr>
              <w:t>la</w:t>
            </w:r>
            <w:r>
              <w:rPr>
                <w:color w:val="231F1F"/>
                <w:spacing w:val="-6"/>
                <w:w w:val="105"/>
                <w:sz w:val="22"/>
              </w:rPr>
              <w:t> </w:t>
            </w:r>
            <w:r>
              <w:rPr>
                <w:color w:val="231F1F"/>
                <w:w w:val="105"/>
                <w:sz w:val="22"/>
              </w:rPr>
              <w:t>disminución de infecciones asociadas al cuidado sanitario (109;110)</w:t>
            </w:r>
          </w:p>
        </w:tc>
        <w:tc>
          <w:tcPr>
            <w:tcW w:w="1133" w:type="dxa"/>
          </w:tcPr>
          <w:p>
            <w:pPr>
              <w:pStyle w:val="TableParagraph"/>
              <w:spacing w:before="169"/>
              <w:ind w:left="49" w:right="22"/>
              <w:jc w:val="center"/>
              <w:rPr>
                <w:sz w:val="22"/>
              </w:rPr>
            </w:pPr>
            <w:r>
              <w:rPr>
                <w:color w:val="231F1F"/>
                <w:spacing w:val="-5"/>
                <w:w w:val="105"/>
                <w:sz w:val="22"/>
              </w:rPr>
              <w:t>2+</w:t>
            </w:r>
          </w:p>
        </w:tc>
      </w:tr>
      <w:tr>
        <w:trPr>
          <w:trHeight w:val="657" w:hRule="atLeast"/>
        </w:trPr>
        <w:tc>
          <w:tcPr>
            <w:tcW w:w="7373" w:type="dxa"/>
            <w:tcBorders>
              <w:bottom w:val="single" w:sz="8" w:space="0" w:color="A30046"/>
            </w:tcBorders>
          </w:tcPr>
          <w:p>
            <w:pPr>
              <w:pStyle w:val="TableParagraph"/>
              <w:spacing w:line="249" w:lineRule="auto" w:before="29"/>
              <w:ind w:right="156"/>
              <w:rPr>
                <w:sz w:val="22"/>
              </w:rPr>
            </w:pPr>
            <w:r>
              <w:rPr>
                <w:color w:val="231F1F"/>
                <w:w w:val="105"/>
                <w:sz w:val="22"/>
              </w:rPr>
              <w:t>Un lavado eficaz de manos con jabón líquido no-medicado elimina los mi- croorganismos</w:t>
            </w:r>
            <w:r>
              <w:rPr>
                <w:color w:val="231F1F"/>
                <w:spacing w:val="-9"/>
                <w:w w:val="105"/>
                <w:sz w:val="22"/>
              </w:rPr>
              <w:t> </w:t>
            </w:r>
            <w:r>
              <w:rPr>
                <w:color w:val="231F1F"/>
                <w:w w:val="105"/>
                <w:sz w:val="22"/>
              </w:rPr>
              <w:t>transitorios</w:t>
            </w:r>
            <w:r>
              <w:rPr>
                <w:color w:val="231F1F"/>
                <w:spacing w:val="-10"/>
                <w:w w:val="105"/>
                <w:sz w:val="22"/>
              </w:rPr>
              <w:t> </w:t>
            </w:r>
            <w:r>
              <w:rPr>
                <w:color w:val="231F1F"/>
                <w:w w:val="105"/>
                <w:sz w:val="22"/>
              </w:rPr>
              <w:t>y</w:t>
            </w:r>
            <w:r>
              <w:rPr>
                <w:color w:val="231F1F"/>
                <w:spacing w:val="-9"/>
                <w:w w:val="105"/>
                <w:sz w:val="22"/>
              </w:rPr>
              <w:t> </w:t>
            </w:r>
            <w:r>
              <w:rPr>
                <w:color w:val="231F1F"/>
                <w:w w:val="105"/>
                <w:sz w:val="22"/>
              </w:rPr>
              <w:t>consigue</w:t>
            </w:r>
            <w:r>
              <w:rPr>
                <w:color w:val="231F1F"/>
                <w:spacing w:val="-8"/>
                <w:w w:val="105"/>
                <w:sz w:val="22"/>
              </w:rPr>
              <w:t> </w:t>
            </w:r>
            <w:r>
              <w:rPr>
                <w:color w:val="231F1F"/>
                <w:w w:val="105"/>
                <w:sz w:val="22"/>
              </w:rPr>
              <w:t>una</w:t>
            </w:r>
            <w:r>
              <w:rPr>
                <w:color w:val="231F1F"/>
                <w:spacing w:val="-11"/>
                <w:w w:val="105"/>
                <w:sz w:val="22"/>
              </w:rPr>
              <w:t> </w:t>
            </w:r>
            <w:r>
              <w:rPr>
                <w:color w:val="231F1F"/>
                <w:w w:val="105"/>
                <w:sz w:val="22"/>
              </w:rPr>
              <w:t>limpieza</w:t>
            </w:r>
            <w:r>
              <w:rPr>
                <w:color w:val="231F1F"/>
                <w:spacing w:val="-10"/>
                <w:w w:val="105"/>
                <w:sz w:val="22"/>
              </w:rPr>
              <w:t> </w:t>
            </w:r>
            <w:r>
              <w:rPr>
                <w:color w:val="231F1F"/>
                <w:w w:val="105"/>
                <w:sz w:val="22"/>
              </w:rPr>
              <w:t>efectiva</w:t>
            </w:r>
            <w:r>
              <w:rPr>
                <w:color w:val="231F1F"/>
                <w:spacing w:val="-8"/>
                <w:w w:val="105"/>
                <w:sz w:val="22"/>
              </w:rPr>
              <w:t> </w:t>
            </w:r>
            <w:r>
              <w:rPr>
                <w:color w:val="231F1F"/>
                <w:w w:val="105"/>
                <w:sz w:val="22"/>
              </w:rPr>
              <w:t>de</w:t>
            </w:r>
            <w:r>
              <w:rPr>
                <w:color w:val="231F1F"/>
                <w:spacing w:val="-11"/>
                <w:w w:val="105"/>
                <w:sz w:val="22"/>
              </w:rPr>
              <w:t> </w:t>
            </w:r>
            <w:r>
              <w:rPr>
                <w:color w:val="231F1F"/>
                <w:w w:val="105"/>
                <w:sz w:val="22"/>
              </w:rPr>
              <w:t>manos</w:t>
            </w:r>
            <w:r>
              <w:rPr>
                <w:color w:val="231F1F"/>
                <w:spacing w:val="-9"/>
                <w:w w:val="105"/>
                <w:sz w:val="22"/>
              </w:rPr>
              <w:t> </w:t>
            </w:r>
            <w:r>
              <w:rPr>
                <w:color w:val="231F1F"/>
                <w:w w:val="105"/>
                <w:sz w:val="22"/>
              </w:rPr>
              <w:t>(116).</w:t>
            </w:r>
          </w:p>
        </w:tc>
        <w:tc>
          <w:tcPr>
            <w:tcW w:w="1133" w:type="dxa"/>
            <w:tcBorders>
              <w:bottom w:val="single" w:sz="8" w:space="0" w:color="A30046"/>
            </w:tcBorders>
          </w:tcPr>
          <w:p>
            <w:pPr>
              <w:pStyle w:val="TableParagraph"/>
              <w:spacing w:before="169"/>
              <w:ind w:left="49" w:right="22"/>
              <w:jc w:val="center"/>
              <w:rPr>
                <w:sz w:val="22"/>
              </w:rPr>
            </w:pPr>
            <w:r>
              <w:rPr>
                <w:color w:val="231F1F"/>
                <w:spacing w:val="-5"/>
                <w:w w:val="105"/>
                <w:sz w:val="22"/>
              </w:rPr>
              <w:t>1+</w:t>
            </w:r>
          </w:p>
        </w:tc>
      </w:tr>
      <w:tr>
        <w:trPr>
          <w:trHeight w:val="383" w:hRule="atLeast"/>
        </w:trPr>
        <w:tc>
          <w:tcPr>
            <w:tcW w:w="8506" w:type="dxa"/>
            <w:gridSpan w:val="2"/>
            <w:tcBorders>
              <w:top w:val="single" w:sz="8" w:space="0" w:color="A30046"/>
            </w:tcBorders>
          </w:tcPr>
          <w:p>
            <w:pPr>
              <w:pStyle w:val="TableParagraph"/>
              <w:spacing w:before="34"/>
              <w:rPr>
                <w:b/>
                <w:sz w:val="22"/>
              </w:rPr>
            </w:pPr>
            <w:r>
              <w:rPr>
                <w:b/>
                <w:color w:val="231F1F"/>
                <w:spacing w:val="-2"/>
                <w:w w:val="105"/>
                <w:sz w:val="22"/>
              </w:rPr>
              <w:t>Vestimenta</w:t>
            </w:r>
          </w:p>
        </w:tc>
      </w:tr>
    </w:tbl>
    <w:p>
      <w:pPr>
        <w:pStyle w:val="TableParagraph"/>
        <w:spacing w:after="0"/>
        <w:rPr>
          <w:b/>
          <w:sz w:val="22"/>
        </w:rPr>
        <w:sectPr>
          <w:type w:val="continuous"/>
          <w:pgSz w:w="11900" w:h="16840"/>
          <w:pgMar w:header="0" w:footer="622" w:top="560" w:bottom="28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40" w:hRule="atLeast"/>
        </w:trPr>
        <w:tc>
          <w:tcPr>
            <w:tcW w:w="7373" w:type="dxa"/>
          </w:tcPr>
          <w:p>
            <w:pPr>
              <w:pStyle w:val="TableParagraph"/>
              <w:spacing w:line="261" w:lineRule="auto" w:before="49"/>
              <w:ind w:right="91"/>
              <w:jc w:val="both"/>
              <w:rPr>
                <w:sz w:val="22"/>
              </w:rPr>
            </w:pPr>
            <w:r>
              <w:rPr>
                <w:color w:val="231F1F"/>
                <w:sz w:val="22"/>
              </w:rPr>
              <w:t>Existe una tendencia a eliminar el uso innecesario de delantales, batas y más- caras,</w:t>
            </w:r>
            <w:r>
              <w:rPr>
                <w:color w:val="231F1F"/>
                <w:spacing w:val="31"/>
                <w:sz w:val="22"/>
              </w:rPr>
              <w:t> </w:t>
            </w:r>
            <w:r>
              <w:rPr>
                <w:color w:val="231F1F"/>
                <w:sz w:val="22"/>
              </w:rPr>
              <w:t>en</w:t>
            </w:r>
            <w:r>
              <w:rPr>
                <w:color w:val="231F1F"/>
                <w:spacing w:val="32"/>
                <w:sz w:val="22"/>
              </w:rPr>
              <w:t> </w:t>
            </w:r>
            <w:r>
              <w:rPr>
                <w:color w:val="231F1F"/>
                <w:sz w:val="22"/>
              </w:rPr>
              <w:t>general,</w:t>
            </w:r>
            <w:r>
              <w:rPr>
                <w:color w:val="231F1F"/>
                <w:spacing w:val="31"/>
                <w:sz w:val="22"/>
              </w:rPr>
              <w:t> </w:t>
            </w:r>
            <w:r>
              <w:rPr>
                <w:color w:val="231F1F"/>
                <w:sz w:val="22"/>
              </w:rPr>
              <w:t>debido</w:t>
            </w:r>
            <w:r>
              <w:rPr>
                <w:color w:val="231F1F"/>
                <w:spacing w:val="31"/>
                <w:sz w:val="22"/>
              </w:rPr>
              <w:t> </w:t>
            </w:r>
            <w:r>
              <w:rPr>
                <w:color w:val="231F1F"/>
                <w:sz w:val="22"/>
              </w:rPr>
              <w:t>a</w:t>
            </w:r>
            <w:r>
              <w:rPr>
                <w:color w:val="231F1F"/>
                <w:spacing w:val="31"/>
                <w:sz w:val="22"/>
              </w:rPr>
              <w:t> </w:t>
            </w:r>
            <w:r>
              <w:rPr>
                <w:color w:val="231F1F"/>
                <w:sz w:val="22"/>
              </w:rPr>
              <w:t>la</w:t>
            </w:r>
            <w:r>
              <w:rPr>
                <w:color w:val="231F1F"/>
                <w:spacing w:val="31"/>
                <w:sz w:val="22"/>
              </w:rPr>
              <w:t> </w:t>
            </w:r>
            <w:r>
              <w:rPr>
                <w:color w:val="231F1F"/>
                <w:sz w:val="22"/>
              </w:rPr>
              <w:t>ausencia</w:t>
            </w:r>
            <w:r>
              <w:rPr>
                <w:color w:val="231F1F"/>
                <w:spacing w:val="32"/>
                <w:sz w:val="22"/>
              </w:rPr>
              <w:t> </w:t>
            </w:r>
            <w:r>
              <w:rPr>
                <w:color w:val="231F1F"/>
                <w:sz w:val="22"/>
              </w:rPr>
              <w:t>de</w:t>
            </w:r>
            <w:r>
              <w:rPr>
                <w:color w:val="231F1F"/>
                <w:spacing w:val="31"/>
                <w:sz w:val="22"/>
              </w:rPr>
              <w:t> </w:t>
            </w:r>
            <w:r>
              <w:rPr>
                <w:color w:val="231F1F"/>
                <w:sz w:val="22"/>
              </w:rPr>
              <w:t>pruebas</w:t>
            </w:r>
            <w:r>
              <w:rPr>
                <w:color w:val="231F1F"/>
                <w:spacing w:val="32"/>
                <w:sz w:val="22"/>
              </w:rPr>
              <w:t> </w:t>
            </w:r>
            <w:r>
              <w:rPr>
                <w:color w:val="231F1F"/>
                <w:sz w:val="22"/>
              </w:rPr>
              <w:t>de</w:t>
            </w:r>
            <w:r>
              <w:rPr>
                <w:color w:val="231F1F"/>
                <w:spacing w:val="31"/>
                <w:sz w:val="22"/>
              </w:rPr>
              <w:t> </w:t>
            </w:r>
            <w:r>
              <w:rPr>
                <w:color w:val="231F1F"/>
                <w:sz w:val="22"/>
              </w:rPr>
              <w:t>que</w:t>
            </w:r>
            <w:r>
              <w:rPr>
                <w:color w:val="231F1F"/>
                <w:spacing w:val="31"/>
                <w:sz w:val="22"/>
              </w:rPr>
              <w:t> </w:t>
            </w:r>
            <w:r>
              <w:rPr>
                <w:color w:val="231F1F"/>
                <w:sz w:val="22"/>
              </w:rPr>
              <w:t>estos</w:t>
            </w:r>
            <w:r>
              <w:rPr>
                <w:color w:val="231F1F"/>
                <w:spacing w:val="32"/>
                <w:sz w:val="22"/>
              </w:rPr>
              <w:t> </w:t>
            </w:r>
            <w:r>
              <w:rPr>
                <w:color w:val="231F1F"/>
                <w:sz w:val="22"/>
              </w:rPr>
              <w:t>sean</w:t>
            </w:r>
            <w:r>
              <w:rPr>
                <w:color w:val="231F1F"/>
                <w:spacing w:val="31"/>
                <w:sz w:val="22"/>
              </w:rPr>
              <w:t> </w:t>
            </w:r>
            <w:r>
              <w:rPr>
                <w:color w:val="231F1F"/>
                <w:sz w:val="22"/>
              </w:rPr>
              <w:t>eficaces en</w:t>
            </w:r>
            <w:r>
              <w:rPr>
                <w:color w:val="231F1F"/>
                <w:spacing w:val="29"/>
                <w:sz w:val="22"/>
              </w:rPr>
              <w:t> </w:t>
            </w:r>
            <w:r>
              <w:rPr>
                <w:color w:val="231F1F"/>
                <w:sz w:val="22"/>
              </w:rPr>
              <w:t>la</w:t>
            </w:r>
            <w:r>
              <w:rPr>
                <w:color w:val="231F1F"/>
                <w:spacing w:val="29"/>
                <w:sz w:val="22"/>
              </w:rPr>
              <w:t> </w:t>
            </w:r>
            <w:r>
              <w:rPr>
                <w:color w:val="231F1F"/>
                <w:sz w:val="22"/>
              </w:rPr>
              <w:t>prevención</w:t>
            </w:r>
            <w:r>
              <w:rPr>
                <w:color w:val="231F1F"/>
                <w:spacing w:val="29"/>
                <w:sz w:val="22"/>
              </w:rPr>
              <w:t> </w:t>
            </w:r>
            <w:r>
              <w:rPr>
                <w:color w:val="231F1F"/>
                <w:sz w:val="22"/>
              </w:rPr>
              <w:t>de</w:t>
            </w:r>
            <w:r>
              <w:rPr>
                <w:color w:val="231F1F"/>
                <w:spacing w:val="29"/>
                <w:sz w:val="22"/>
              </w:rPr>
              <w:t> </w:t>
            </w:r>
            <w:r>
              <w:rPr>
                <w:color w:val="231F1F"/>
                <w:sz w:val="22"/>
              </w:rPr>
              <w:t>infecciones</w:t>
            </w:r>
            <w:r>
              <w:rPr>
                <w:color w:val="231F1F"/>
                <w:spacing w:val="31"/>
                <w:sz w:val="22"/>
              </w:rPr>
              <w:t> </w:t>
            </w:r>
            <w:r>
              <w:rPr>
                <w:color w:val="231F1F"/>
                <w:sz w:val="22"/>
              </w:rPr>
              <w:t>relacionadas</w:t>
            </w:r>
            <w:r>
              <w:rPr>
                <w:color w:val="231F1F"/>
                <w:spacing w:val="31"/>
                <w:sz w:val="22"/>
              </w:rPr>
              <w:t> </w:t>
            </w:r>
            <w:r>
              <w:rPr>
                <w:color w:val="231F1F"/>
                <w:sz w:val="22"/>
              </w:rPr>
              <w:t>con</w:t>
            </w:r>
            <w:r>
              <w:rPr>
                <w:color w:val="231F1F"/>
                <w:spacing w:val="29"/>
                <w:sz w:val="22"/>
              </w:rPr>
              <w:t> </w:t>
            </w:r>
            <w:r>
              <w:rPr>
                <w:color w:val="231F1F"/>
                <w:sz w:val="22"/>
              </w:rPr>
              <w:t>la</w:t>
            </w:r>
            <w:r>
              <w:rPr>
                <w:color w:val="231F1F"/>
                <w:spacing w:val="29"/>
                <w:sz w:val="22"/>
              </w:rPr>
              <w:t> </w:t>
            </w:r>
            <w:r>
              <w:rPr>
                <w:color w:val="231F1F"/>
                <w:sz w:val="22"/>
              </w:rPr>
              <w:t>asistencia</w:t>
            </w:r>
            <w:r>
              <w:rPr>
                <w:color w:val="231F1F"/>
                <w:spacing w:val="29"/>
                <w:sz w:val="22"/>
              </w:rPr>
              <w:t> </w:t>
            </w:r>
            <w:r>
              <w:rPr>
                <w:color w:val="231F1F"/>
                <w:sz w:val="22"/>
              </w:rPr>
              <w:t>sanitaria</w:t>
            </w:r>
            <w:r>
              <w:rPr>
                <w:color w:val="231F1F"/>
                <w:spacing w:val="29"/>
                <w:sz w:val="22"/>
              </w:rPr>
              <w:t> </w:t>
            </w:r>
            <w:r>
              <w:rPr>
                <w:color w:val="231F1F"/>
                <w:sz w:val="22"/>
              </w:rPr>
              <w:t>(117).</w:t>
            </w:r>
          </w:p>
        </w:tc>
        <w:tc>
          <w:tcPr>
            <w:tcW w:w="1133" w:type="dxa"/>
          </w:tcPr>
          <w:p>
            <w:pPr>
              <w:pStyle w:val="TableParagraph"/>
              <w:spacing w:before="74"/>
              <w:ind w:left="0"/>
              <w:rPr>
                <w:rFonts w:ascii="Arial MT"/>
                <w:sz w:val="22"/>
              </w:rPr>
            </w:pPr>
          </w:p>
          <w:p>
            <w:pPr>
              <w:pStyle w:val="TableParagraph"/>
              <w:ind w:left="49"/>
              <w:jc w:val="center"/>
              <w:rPr>
                <w:sz w:val="22"/>
              </w:rPr>
            </w:pPr>
            <w:r>
              <w:rPr>
                <w:color w:val="231F1F"/>
                <w:spacing w:val="-10"/>
                <w:sz w:val="22"/>
              </w:rPr>
              <w:t>4</w:t>
            </w:r>
          </w:p>
        </w:tc>
      </w:tr>
      <w:tr>
        <w:trPr>
          <w:trHeight w:val="378" w:hRule="atLeast"/>
        </w:trPr>
        <w:tc>
          <w:tcPr>
            <w:tcW w:w="8506" w:type="dxa"/>
            <w:gridSpan w:val="2"/>
          </w:tcPr>
          <w:p>
            <w:pPr>
              <w:pStyle w:val="TableParagraph"/>
              <w:spacing w:before="29"/>
              <w:rPr>
                <w:b/>
                <w:sz w:val="22"/>
              </w:rPr>
            </w:pPr>
            <w:r>
              <w:rPr>
                <w:b/>
                <w:color w:val="231F1F"/>
                <w:w w:val="105"/>
                <w:sz w:val="22"/>
              </w:rPr>
              <w:t>Uso de</w:t>
            </w:r>
            <w:r>
              <w:rPr>
                <w:b/>
                <w:color w:val="231F1F"/>
                <w:spacing w:val="-2"/>
                <w:w w:val="105"/>
                <w:sz w:val="22"/>
              </w:rPr>
              <w:t> Guantes</w:t>
            </w:r>
          </w:p>
        </w:tc>
      </w:tr>
      <w:tr>
        <w:trPr>
          <w:trHeight w:val="1214" w:hRule="atLeast"/>
        </w:trPr>
        <w:tc>
          <w:tcPr>
            <w:tcW w:w="7373" w:type="dxa"/>
          </w:tcPr>
          <w:p>
            <w:pPr>
              <w:pStyle w:val="TableParagraph"/>
              <w:spacing w:line="244" w:lineRule="auto" w:before="29"/>
              <w:ind w:right="90"/>
              <w:jc w:val="both"/>
              <w:rPr>
                <w:sz w:val="22"/>
              </w:rPr>
            </w:pPr>
            <w:r>
              <w:rPr>
                <w:color w:val="231F1F"/>
                <w:w w:val="105"/>
                <w:sz w:val="22"/>
              </w:rPr>
              <w:t>El</w:t>
            </w:r>
            <w:r>
              <w:rPr>
                <w:color w:val="231F1F"/>
                <w:spacing w:val="-7"/>
                <w:w w:val="105"/>
                <w:sz w:val="22"/>
              </w:rPr>
              <w:t> </w:t>
            </w:r>
            <w:r>
              <w:rPr>
                <w:color w:val="231F1F"/>
                <w:w w:val="105"/>
                <w:sz w:val="22"/>
              </w:rPr>
              <w:t>uso</w:t>
            </w:r>
            <w:r>
              <w:rPr>
                <w:color w:val="231F1F"/>
                <w:spacing w:val="-6"/>
                <w:w w:val="105"/>
                <w:sz w:val="22"/>
              </w:rPr>
              <w:t> </w:t>
            </w:r>
            <w:r>
              <w:rPr>
                <w:color w:val="231F1F"/>
                <w:w w:val="105"/>
                <w:sz w:val="22"/>
              </w:rPr>
              <w:t>de</w:t>
            </w:r>
            <w:r>
              <w:rPr>
                <w:color w:val="231F1F"/>
                <w:spacing w:val="-7"/>
                <w:w w:val="105"/>
                <w:sz w:val="22"/>
              </w:rPr>
              <w:t> </w:t>
            </w:r>
            <w:r>
              <w:rPr>
                <w:color w:val="231F1F"/>
                <w:w w:val="105"/>
                <w:sz w:val="22"/>
              </w:rPr>
              <w:t>guantes</w:t>
            </w:r>
            <w:r>
              <w:rPr>
                <w:color w:val="231F1F"/>
                <w:spacing w:val="-7"/>
                <w:w w:val="105"/>
                <w:sz w:val="22"/>
              </w:rPr>
              <w:t> </w:t>
            </w:r>
            <w:r>
              <w:rPr>
                <w:color w:val="231F1F"/>
                <w:w w:val="105"/>
                <w:sz w:val="22"/>
              </w:rPr>
              <w:t>en</w:t>
            </w:r>
            <w:r>
              <w:rPr>
                <w:color w:val="231F1F"/>
                <w:spacing w:val="-6"/>
                <w:w w:val="105"/>
                <w:sz w:val="22"/>
              </w:rPr>
              <w:t> </w:t>
            </w:r>
            <w:r>
              <w:rPr>
                <w:color w:val="231F1F"/>
                <w:w w:val="105"/>
                <w:sz w:val="22"/>
              </w:rPr>
              <w:t>la</w:t>
            </w:r>
            <w:r>
              <w:rPr>
                <w:color w:val="231F1F"/>
                <w:spacing w:val="-6"/>
                <w:w w:val="105"/>
                <w:sz w:val="22"/>
              </w:rPr>
              <w:t> </w:t>
            </w:r>
            <w:r>
              <w:rPr>
                <w:color w:val="231F1F"/>
                <w:w w:val="105"/>
                <w:sz w:val="22"/>
              </w:rPr>
              <w:t>prevención</w:t>
            </w:r>
            <w:r>
              <w:rPr>
                <w:color w:val="231F1F"/>
                <w:spacing w:val="-7"/>
                <w:w w:val="105"/>
                <w:sz w:val="22"/>
              </w:rPr>
              <w:t> </w:t>
            </w:r>
            <w:r>
              <w:rPr>
                <w:color w:val="231F1F"/>
                <w:w w:val="105"/>
                <w:sz w:val="22"/>
              </w:rPr>
              <w:t>de</w:t>
            </w:r>
            <w:r>
              <w:rPr>
                <w:color w:val="231F1F"/>
                <w:spacing w:val="-7"/>
                <w:w w:val="105"/>
                <w:sz w:val="22"/>
              </w:rPr>
              <w:t> </w:t>
            </w:r>
            <w:r>
              <w:rPr>
                <w:color w:val="231F1F"/>
                <w:w w:val="105"/>
                <w:sz w:val="22"/>
              </w:rPr>
              <w:t>infecciones</w:t>
            </w:r>
            <w:r>
              <w:rPr>
                <w:color w:val="231F1F"/>
                <w:spacing w:val="-7"/>
                <w:w w:val="105"/>
                <w:sz w:val="22"/>
              </w:rPr>
              <w:t> </w:t>
            </w:r>
            <w:r>
              <w:rPr>
                <w:color w:val="231F1F"/>
                <w:w w:val="105"/>
                <w:sz w:val="22"/>
              </w:rPr>
              <w:t>relacionadas</w:t>
            </w:r>
            <w:r>
              <w:rPr>
                <w:color w:val="231F1F"/>
                <w:spacing w:val="-5"/>
                <w:w w:val="105"/>
                <w:sz w:val="22"/>
              </w:rPr>
              <w:t> </w:t>
            </w:r>
            <w:r>
              <w:rPr>
                <w:color w:val="231F1F"/>
                <w:w w:val="105"/>
                <w:sz w:val="22"/>
              </w:rPr>
              <w:t>con</w:t>
            </w:r>
            <w:r>
              <w:rPr>
                <w:color w:val="231F1F"/>
                <w:spacing w:val="-6"/>
                <w:w w:val="105"/>
                <w:sz w:val="22"/>
              </w:rPr>
              <w:t> </w:t>
            </w:r>
            <w:r>
              <w:rPr>
                <w:color w:val="231F1F"/>
                <w:w w:val="105"/>
                <w:sz w:val="22"/>
              </w:rPr>
              <w:t>la</w:t>
            </w:r>
            <w:r>
              <w:rPr>
                <w:color w:val="231F1F"/>
                <w:spacing w:val="-6"/>
                <w:w w:val="105"/>
                <w:sz w:val="22"/>
              </w:rPr>
              <w:t> </w:t>
            </w:r>
            <w:r>
              <w:rPr>
                <w:color w:val="231F1F"/>
                <w:w w:val="105"/>
                <w:sz w:val="22"/>
              </w:rPr>
              <w:t>asisten- cia</w:t>
            </w:r>
            <w:r>
              <w:rPr>
                <w:color w:val="231F1F"/>
                <w:spacing w:val="-13"/>
                <w:w w:val="105"/>
                <w:sz w:val="22"/>
              </w:rPr>
              <w:t> </w:t>
            </w:r>
            <w:r>
              <w:rPr>
                <w:color w:val="231F1F"/>
                <w:w w:val="105"/>
                <w:sz w:val="22"/>
              </w:rPr>
              <w:t>sanitaria</w:t>
            </w:r>
            <w:r>
              <w:rPr>
                <w:color w:val="231F1F"/>
                <w:spacing w:val="-13"/>
                <w:w w:val="105"/>
                <w:sz w:val="22"/>
              </w:rPr>
              <w:t> </w:t>
            </w:r>
            <w:r>
              <w:rPr>
                <w:color w:val="231F1F"/>
                <w:w w:val="105"/>
                <w:sz w:val="22"/>
              </w:rPr>
              <w:t>está</w:t>
            </w:r>
            <w:r>
              <w:rPr>
                <w:color w:val="231F1F"/>
                <w:spacing w:val="-12"/>
                <w:w w:val="105"/>
                <w:sz w:val="22"/>
              </w:rPr>
              <w:t> </w:t>
            </w:r>
            <w:r>
              <w:rPr>
                <w:color w:val="231F1F"/>
                <w:w w:val="105"/>
                <w:sz w:val="22"/>
              </w:rPr>
              <w:t>indicado</w:t>
            </w:r>
            <w:r>
              <w:rPr>
                <w:color w:val="231F1F"/>
                <w:spacing w:val="-13"/>
                <w:w w:val="105"/>
                <w:sz w:val="22"/>
              </w:rPr>
              <w:t> </w:t>
            </w:r>
            <w:r>
              <w:rPr>
                <w:color w:val="231F1F"/>
                <w:w w:val="105"/>
                <w:sz w:val="22"/>
              </w:rPr>
              <w:t>para</w:t>
            </w:r>
            <w:r>
              <w:rPr>
                <w:color w:val="231F1F"/>
                <w:spacing w:val="-13"/>
                <w:w w:val="105"/>
                <w:sz w:val="22"/>
              </w:rPr>
              <w:t> </w:t>
            </w:r>
            <w:r>
              <w:rPr>
                <w:color w:val="231F1F"/>
                <w:w w:val="105"/>
                <w:sz w:val="22"/>
              </w:rPr>
              <w:t>la</w:t>
            </w:r>
            <w:r>
              <w:rPr>
                <w:color w:val="231F1F"/>
                <w:spacing w:val="-13"/>
                <w:w w:val="105"/>
                <w:sz w:val="22"/>
              </w:rPr>
              <w:t> </w:t>
            </w:r>
            <w:r>
              <w:rPr>
                <w:color w:val="231F1F"/>
                <w:w w:val="105"/>
                <w:sz w:val="22"/>
              </w:rPr>
              <w:t>protección</w:t>
            </w:r>
            <w:r>
              <w:rPr>
                <w:color w:val="231F1F"/>
                <w:spacing w:val="-13"/>
                <w:w w:val="105"/>
                <w:sz w:val="22"/>
              </w:rPr>
              <w:t> </w:t>
            </w:r>
            <w:r>
              <w:rPr>
                <w:color w:val="231F1F"/>
                <w:w w:val="105"/>
                <w:sz w:val="22"/>
              </w:rPr>
              <w:t>de</w:t>
            </w:r>
            <w:r>
              <w:rPr>
                <w:color w:val="231F1F"/>
                <w:spacing w:val="-13"/>
                <w:w w:val="105"/>
                <w:sz w:val="22"/>
              </w:rPr>
              <w:t> </w:t>
            </w:r>
            <w:r>
              <w:rPr>
                <w:color w:val="231F1F"/>
                <w:w w:val="105"/>
                <w:sz w:val="22"/>
              </w:rPr>
              <w:t>las</w:t>
            </w:r>
            <w:r>
              <w:rPr>
                <w:color w:val="231F1F"/>
                <w:spacing w:val="-13"/>
                <w:w w:val="105"/>
                <w:sz w:val="22"/>
              </w:rPr>
              <w:t> </w:t>
            </w:r>
            <w:r>
              <w:rPr>
                <w:color w:val="231F1F"/>
                <w:w w:val="105"/>
                <w:sz w:val="22"/>
              </w:rPr>
              <w:t>manos</w:t>
            </w:r>
            <w:r>
              <w:rPr>
                <w:color w:val="231F1F"/>
                <w:spacing w:val="-13"/>
                <w:w w:val="105"/>
                <w:sz w:val="22"/>
              </w:rPr>
              <w:t> </w:t>
            </w:r>
            <w:r>
              <w:rPr>
                <w:color w:val="231F1F"/>
                <w:w w:val="105"/>
                <w:sz w:val="22"/>
              </w:rPr>
              <w:t>de</w:t>
            </w:r>
            <w:r>
              <w:rPr>
                <w:color w:val="231F1F"/>
                <w:spacing w:val="-13"/>
                <w:w w:val="105"/>
                <w:sz w:val="22"/>
              </w:rPr>
              <w:t> </w:t>
            </w:r>
            <w:r>
              <w:rPr>
                <w:color w:val="231F1F"/>
                <w:w w:val="105"/>
                <w:sz w:val="22"/>
              </w:rPr>
              <w:t>la</w:t>
            </w:r>
            <w:r>
              <w:rPr>
                <w:color w:val="231F1F"/>
                <w:spacing w:val="-13"/>
                <w:w w:val="105"/>
                <w:sz w:val="22"/>
              </w:rPr>
              <w:t> </w:t>
            </w:r>
            <w:r>
              <w:rPr>
                <w:color w:val="231F1F"/>
                <w:w w:val="105"/>
                <w:sz w:val="22"/>
              </w:rPr>
              <w:t>contaminación con</w:t>
            </w:r>
            <w:r>
              <w:rPr>
                <w:color w:val="231F1F"/>
                <w:spacing w:val="-6"/>
                <w:w w:val="105"/>
                <w:sz w:val="22"/>
              </w:rPr>
              <w:t> </w:t>
            </w:r>
            <w:r>
              <w:rPr>
                <w:color w:val="231F1F"/>
                <w:w w:val="105"/>
                <w:sz w:val="22"/>
              </w:rPr>
              <w:t>materia</w:t>
            </w:r>
            <w:r>
              <w:rPr>
                <w:color w:val="231F1F"/>
                <w:spacing w:val="-7"/>
                <w:w w:val="105"/>
                <w:sz w:val="22"/>
              </w:rPr>
              <w:t> </w:t>
            </w:r>
            <w:r>
              <w:rPr>
                <w:color w:val="231F1F"/>
                <w:w w:val="105"/>
                <w:sz w:val="22"/>
              </w:rPr>
              <w:t>orgánica</w:t>
            </w:r>
            <w:r>
              <w:rPr>
                <w:color w:val="231F1F"/>
                <w:spacing w:val="-7"/>
                <w:w w:val="105"/>
                <w:sz w:val="22"/>
              </w:rPr>
              <w:t> </w:t>
            </w:r>
            <w:r>
              <w:rPr>
                <w:color w:val="231F1F"/>
                <w:w w:val="105"/>
                <w:sz w:val="22"/>
              </w:rPr>
              <w:t>y</w:t>
            </w:r>
            <w:r>
              <w:rPr>
                <w:color w:val="231F1F"/>
                <w:spacing w:val="-6"/>
                <w:w w:val="105"/>
                <w:sz w:val="22"/>
              </w:rPr>
              <w:t> </w:t>
            </w:r>
            <w:r>
              <w:rPr>
                <w:color w:val="231F1F"/>
                <w:w w:val="105"/>
                <w:sz w:val="22"/>
              </w:rPr>
              <w:t>microorganismos</w:t>
            </w:r>
            <w:r>
              <w:rPr>
                <w:color w:val="231F1F"/>
                <w:spacing w:val="-7"/>
                <w:w w:val="105"/>
                <w:sz w:val="22"/>
              </w:rPr>
              <w:t> </w:t>
            </w:r>
            <w:r>
              <w:rPr>
                <w:color w:val="231F1F"/>
                <w:w w:val="105"/>
                <w:sz w:val="22"/>
              </w:rPr>
              <w:t>y</w:t>
            </w:r>
            <w:r>
              <w:rPr>
                <w:color w:val="231F1F"/>
                <w:spacing w:val="-6"/>
                <w:w w:val="105"/>
                <w:sz w:val="22"/>
              </w:rPr>
              <w:t> </w:t>
            </w:r>
            <w:r>
              <w:rPr>
                <w:color w:val="231F1F"/>
                <w:w w:val="105"/>
                <w:sz w:val="22"/>
              </w:rPr>
              <w:t>para</w:t>
            </w:r>
            <w:r>
              <w:rPr>
                <w:color w:val="231F1F"/>
                <w:spacing w:val="-7"/>
                <w:w w:val="105"/>
                <w:sz w:val="22"/>
              </w:rPr>
              <w:t> </w:t>
            </w:r>
            <w:r>
              <w:rPr>
                <w:color w:val="231F1F"/>
                <w:w w:val="105"/>
                <w:sz w:val="22"/>
              </w:rPr>
              <w:t>la</w:t>
            </w:r>
            <w:r>
              <w:rPr>
                <w:color w:val="231F1F"/>
                <w:spacing w:val="-6"/>
                <w:w w:val="105"/>
                <w:sz w:val="22"/>
              </w:rPr>
              <w:t> </w:t>
            </w:r>
            <w:r>
              <w:rPr>
                <w:color w:val="231F1F"/>
                <w:w w:val="105"/>
                <w:sz w:val="22"/>
              </w:rPr>
              <w:t>reducción</w:t>
            </w:r>
            <w:r>
              <w:rPr>
                <w:color w:val="231F1F"/>
                <w:spacing w:val="-6"/>
                <w:w w:val="105"/>
                <w:sz w:val="22"/>
              </w:rPr>
              <w:t> </w:t>
            </w:r>
            <w:r>
              <w:rPr>
                <w:color w:val="231F1F"/>
                <w:w w:val="105"/>
                <w:sz w:val="22"/>
              </w:rPr>
              <w:t>de</w:t>
            </w:r>
            <w:r>
              <w:rPr>
                <w:color w:val="231F1F"/>
                <w:spacing w:val="-7"/>
                <w:w w:val="105"/>
                <w:sz w:val="22"/>
              </w:rPr>
              <w:t> </w:t>
            </w:r>
            <w:r>
              <w:rPr>
                <w:color w:val="231F1F"/>
                <w:w w:val="105"/>
                <w:sz w:val="22"/>
              </w:rPr>
              <w:t>los</w:t>
            </w:r>
            <w:r>
              <w:rPr>
                <w:color w:val="231F1F"/>
                <w:spacing w:val="-6"/>
                <w:w w:val="105"/>
                <w:sz w:val="22"/>
              </w:rPr>
              <w:t> </w:t>
            </w:r>
            <w:r>
              <w:rPr>
                <w:color w:val="231F1F"/>
                <w:w w:val="105"/>
                <w:sz w:val="22"/>
              </w:rPr>
              <w:t>riesgos</w:t>
            </w:r>
            <w:r>
              <w:rPr>
                <w:color w:val="231F1F"/>
                <w:spacing w:val="-6"/>
                <w:w w:val="105"/>
                <w:sz w:val="22"/>
              </w:rPr>
              <w:t> </w:t>
            </w:r>
            <w:r>
              <w:rPr>
                <w:color w:val="231F1F"/>
                <w:w w:val="105"/>
                <w:sz w:val="22"/>
              </w:rPr>
              <w:t>de transmisión de microorganismos entre las pacientes y el personal (118).</w:t>
            </w:r>
          </w:p>
        </w:tc>
        <w:tc>
          <w:tcPr>
            <w:tcW w:w="1133" w:type="dxa"/>
          </w:tcPr>
          <w:p>
            <w:pPr>
              <w:pStyle w:val="TableParagraph"/>
              <w:spacing w:before="208"/>
              <w:ind w:left="0"/>
              <w:rPr>
                <w:rFonts w:ascii="Arial MT"/>
                <w:sz w:val="22"/>
              </w:rPr>
            </w:pPr>
          </w:p>
          <w:p>
            <w:pPr>
              <w:pStyle w:val="TableParagraph"/>
              <w:ind w:left="49"/>
              <w:jc w:val="center"/>
              <w:rPr>
                <w:sz w:val="22"/>
              </w:rPr>
            </w:pPr>
            <w:r>
              <w:rPr>
                <w:color w:val="231F1F"/>
                <w:spacing w:val="-10"/>
                <w:sz w:val="22"/>
              </w:rPr>
              <w:t>4</w:t>
            </w:r>
          </w:p>
        </w:tc>
      </w:tr>
      <w:tr>
        <w:trPr>
          <w:trHeight w:val="378" w:hRule="atLeast"/>
        </w:trPr>
        <w:tc>
          <w:tcPr>
            <w:tcW w:w="8506" w:type="dxa"/>
            <w:gridSpan w:val="2"/>
          </w:tcPr>
          <w:p>
            <w:pPr>
              <w:pStyle w:val="TableParagraph"/>
              <w:spacing w:before="49"/>
              <w:rPr>
                <w:b/>
                <w:sz w:val="22"/>
              </w:rPr>
            </w:pPr>
            <w:r>
              <w:rPr>
                <w:b/>
                <w:color w:val="231F1F"/>
                <w:sz w:val="22"/>
              </w:rPr>
              <w:t>Uso</w:t>
            </w:r>
            <w:r>
              <w:rPr>
                <w:b/>
                <w:color w:val="231F1F"/>
                <w:spacing w:val="-4"/>
                <w:sz w:val="22"/>
              </w:rPr>
              <w:t> </w:t>
            </w:r>
            <w:r>
              <w:rPr>
                <w:b/>
                <w:color w:val="231F1F"/>
                <w:sz w:val="22"/>
              </w:rPr>
              <w:t>de</w:t>
            </w:r>
            <w:r>
              <w:rPr>
                <w:b/>
                <w:color w:val="231F1F"/>
                <w:spacing w:val="-2"/>
                <w:sz w:val="22"/>
              </w:rPr>
              <w:t> </w:t>
            </w:r>
            <w:r>
              <w:rPr>
                <w:b/>
                <w:color w:val="231F1F"/>
                <w:sz w:val="22"/>
              </w:rPr>
              <w:t>mascarillas</w:t>
            </w:r>
            <w:r>
              <w:rPr>
                <w:b/>
                <w:color w:val="231F1F"/>
                <w:spacing w:val="-2"/>
                <w:sz w:val="22"/>
              </w:rPr>
              <w:t> </w:t>
            </w:r>
            <w:r>
              <w:rPr>
                <w:b/>
                <w:color w:val="231F1F"/>
                <w:sz w:val="22"/>
              </w:rPr>
              <w:t>y</w:t>
            </w:r>
            <w:r>
              <w:rPr>
                <w:b/>
                <w:color w:val="231F1F"/>
                <w:spacing w:val="-1"/>
                <w:sz w:val="22"/>
              </w:rPr>
              <w:t> </w:t>
            </w:r>
            <w:r>
              <w:rPr>
                <w:b/>
                <w:color w:val="231F1F"/>
                <w:spacing w:val="-2"/>
                <w:sz w:val="22"/>
              </w:rPr>
              <w:t>guantes</w:t>
            </w:r>
          </w:p>
        </w:tc>
      </w:tr>
      <w:tr>
        <w:trPr>
          <w:trHeight w:val="940" w:hRule="atLeast"/>
        </w:trPr>
        <w:tc>
          <w:tcPr>
            <w:tcW w:w="7373" w:type="dxa"/>
          </w:tcPr>
          <w:p>
            <w:pPr>
              <w:pStyle w:val="TableParagraph"/>
              <w:spacing w:line="247" w:lineRule="auto" w:before="29"/>
              <w:ind w:right="92"/>
              <w:jc w:val="both"/>
              <w:rPr>
                <w:sz w:val="22"/>
              </w:rPr>
            </w:pPr>
            <w:r>
              <w:rPr>
                <w:color w:val="231F1F"/>
                <w:w w:val="110"/>
                <w:sz w:val="22"/>
              </w:rPr>
              <w:t>No</w:t>
            </w:r>
            <w:r>
              <w:rPr>
                <w:color w:val="231F1F"/>
                <w:spacing w:val="-10"/>
                <w:w w:val="110"/>
                <w:sz w:val="22"/>
              </w:rPr>
              <w:t> </w:t>
            </w:r>
            <w:r>
              <w:rPr>
                <w:color w:val="231F1F"/>
                <w:w w:val="110"/>
                <w:sz w:val="22"/>
              </w:rPr>
              <w:t>existe</w:t>
            </w:r>
            <w:r>
              <w:rPr>
                <w:color w:val="231F1F"/>
                <w:spacing w:val="-10"/>
                <w:w w:val="110"/>
                <w:sz w:val="22"/>
              </w:rPr>
              <w:t> </w:t>
            </w:r>
            <w:r>
              <w:rPr>
                <w:color w:val="231F1F"/>
                <w:w w:val="110"/>
                <w:sz w:val="22"/>
              </w:rPr>
              <w:t>ningún</w:t>
            </w:r>
            <w:r>
              <w:rPr>
                <w:color w:val="231F1F"/>
                <w:spacing w:val="-10"/>
                <w:w w:val="110"/>
                <w:sz w:val="22"/>
              </w:rPr>
              <w:t> </w:t>
            </w:r>
            <w:r>
              <w:rPr>
                <w:color w:val="231F1F"/>
                <w:w w:val="110"/>
                <w:sz w:val="22"/>
              </w:rPr>
              <w:t>estudio</w:t>
            </w:r>
            <w:r>
              <w:rPr>
                <w:color w:val="231F1F"/>
                <w:spacing w:val="-10"/>
                <w:w w:val="110"/>
                <w:sz w:val="22"/>
              </w:rPr>
              <w:t> </w:t>
            </w:r>
            <w:r>
              <w:rPr>
                <w:color w:val="231F1F"/>
                <w:w w:val="110"/>
                <w:sz w:val="22"/>
              </w:rPr>
              <w:t>que</w:t>
            </w:r>
            <w:r>
              <w:rPr>
                <w:color w:val="231F1F"/>
                <w:spacing w:val="-10"/>
                <w:w w:val="110"/>
                <w:sz w:val="22"/>
              </w:rPr>
              <w:t> </w:t>
            </w:r>
            <w:r>
              <w:rPr>
                <w:color w:val="231F1F"/>
                <w:w w:val="110"/>
                <w:sz w:val="22"/>
              </w:rPr>
              <w:t>sugiera</w:t>
            </w:r>
            <w:r>
              <w:rPr>
                <w:color w:val="231F1F"/>
                <w:spacing w:val="-10"/>
                <w:w w:val="110"/>
                <w:sz w:val="22"/>
              </w:rPr>
              <w:t> </w:t>
            </w:r>
            <w:r>
              <w:rPr>
                <w:color w:val="231F1F"/>
                <w:w w:val="110"/>
                <w:sz w:val="22"/>
              </w:rPr>
              <w:t>un</w:t>
            </w:r>
            <w:r>
              <w:rPr>
                <w:color w:val="231F1F"/>
                <w:spacing w:val="-10"/>
                <w:w w:val="110"/>
                <w:sz w:val="22"/>
              </w:rPr>
              <w:t> </w:t>
            </w:r>
            <w:r>
              <w:rPr>
                <w:color w:val="231F1F"/>
                <w:w w:val="110"/>
                <w:sz w:val="22"/>
              </w:rPr>
              <w:t>beneficio</w:t>
            </w:r>
            <w:r>
              <w:rPr>
                <w:color w:val="231F1F"/>
                <w:spacing w:val="-10"/>
                <w:w w:val="110"/>
                <w:sz w:val="22"/>
              </w:rPr>
              <w:t> </w:t>
            </w:r>
            <w:r>
              <w:rPr>
                <w:color w:val="231F1F"/>
                <w:w w:val="110"/>
                <w:sz w:val="22"/>
              </w:rPr>
              <w:t>clínico</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cualquier</w:t>
            </w:r>
            <w:r>
              <w:rPr>
                <w:color w:val="231F1F"/>
                <w:spacing w:val="-10"/>
                <w:w w:val="110"/>
                <w:sz w:val="22"/>
              </w:rPr>
              <w:t> </w:t>
            </w:r>
            <w:r>
              <w:rPr>
                <w:color w:val="231F1F"/>
                <w:w w:val="110"/>
                <w:sz w:val="22"/>
              </w:rPr>
              <w:t>uso de</w:t>
            </w:r>
            <w:r>
              <w:rPr>
                <w:color w:val="231F1F"/>
                <w:spacing w:val="-10"/>
                <w:w w:val="110"/>
                <w:sz w:val="22"/>
              </w:rPr>
              <w:t> </w:t>
            </w:r>
            <w:r>
              <w:rPr>
                <w:color w:val="231F1F"/>
                <w:w w:val="110"/>
                <w:sz w:val="22"/>
              </w:rPr>
              <w:t>mascarillas</w:t>
            </w:r>
            <w:r>
              <w:rPr>
                <w:color w:val="231F1F"/>
                <w:spacing w:val="-9"/>
                <w:w w:val="110"/>
                <w:sz w:val="22"/>
              </w:rPr>
              <w:t> </w:t>
            </w:r>
            <w:r>
              <w:rPr>
                <w:color w:val="231F1F"/>
                <w:w w:val="110"/>
                <w:sz w:val="22"/>
              </w:rPr>
              <w:t>quirúrgicas</w:t>
            </w:r>
            <w:r>
              <w:rPr>
                <w:color w:val="231F1F"/>
                <w:spacing w:val="-10"/>
                <w:w w:val="110"/>
                <w:sz w:val="22"/>
              </w:rPr>
              <w:t> </w:t>
            </w:r>
            <w:r>
              <w:rPr>
                <w:color w:val="231F1F"/>
                <w:w w:val="110"/>
                <w:sz w:val="22"/>
              </w:rPr>
              <w:t>para</w:t>
            </w:r>
            <w:r>
              <w:rPr>
                <w:color w:val="231F1F"/>
                <w:spacing w:val="-10"/>
                <w:w w:val="110"/>
                <w:sz w:val="22"/>
              </w:rPr>
              <w:t> </w:t>
            </w:r>
            <w:r>
              <w:rPr>
                <w:color w:val="231F1F"/>
                <w:w w:val="110"/>
                <w:sz w:val="22"/>
              </w:rPr>
              <w:t>proteger</w:t>
            </w:r>
            <w:r>
              <w:rPr>
                <w:color w:val="231F1F"/>
                <w:spacing w:val="-10"/>
                <w:w w:val="110"/>
                <w:sz w:val="22"/>
              </w:rPr>
              <w:t> </w:t>
            </w:r>
            <w:r>
              <w:rPr>
                <w:color w:val="231F1F"/>
                <w:w w:val="110"/>
                <w:sz w:val="22"/>
              </w:rPr>
              <w:t>a</w:t>
            </w:r>
            <w:r>
              <w:rPr>
                <w:color w:val="231F1F"/>
                <w:spacing w:val="-10"/>
                <w:w w:val="110"/>
                <w:sz w:val="22"/>
              </w:rPr>
              <w:t> </w:t>
            </w:r>
            <w:r>
              <w:rPr>
                <w:color w:val="231F1F"/>
                <w:w w:val="110"/>
                <w:sz w:val="22"/>
              </w:rPr>
              <w:t>los</w:t>
            </w:r>
            <w:r>
              <w:rPr>
                <w:color w:val="231F1F"/>
                <w:spacing w:val="-10"/>
                <w:w w:val="110"/>
                <w:sz w:val="22"/>
              </w:rPr>
              <w:t> </w:t>
            </w:r>
            <w:r>
              <w:rPr>
                <w:color w:val="231F1F"/>
                <w:w w:val="110"/>
                <w:sz w:val="22"/>
              </w:rPr>
              <w:t>mujeres</w:t>
            </w:r>
            <w:r>
              <w:rPr>
                <w:color w:val="231F1F"/>
                <w:spacing w:val="-9"/>
                <w:w w:val="110"/>
                <w:sz w:val="22"/>
              </w:rPr>
              <w:t> </w:t>
            </w:r>
            <w:r>
              <w:rPr>
                <w:color w:val="231F1F"/>
                <w:w w:val="110"/>
                <w:sz w:val="22"/>
              </w:rPr>
              <w:t>durante</w:t>
            </w:r>
            <w:r>
              <w:rPr>
                <w:color w:val="231F1F"/>
                <w:spacing w:val="-10"/>
                <w:w w:val="110"/>
                <w:sz w:val="22"/>
              </w:rPr>
              <w:t> </w:t>
            </w:r>
            <w:r>
              <w:rPr>
                <w:color w:val="231F1F"/>
                <w:w w:val="110"/>
                <w:sz w:val="22"/>
              </w:rPr>
              <w:t>los</w:t>
            </w:r>
            <w:r>
              <w:rPr>
                <w:color w:val="231F1F"/>
                <w:spacing w:val="-10"/>
                <w:w w:val="110"/>
                <w:sz w:val="22"/>
              </w:rPr>
              <w:t> </w:t>
            </w:r>
            <w:r>
              <w:rPr>
                <w:color w:val="231F1F"/>
                <w:w w:val="110"/>
                <w:sz w:val="22"/>
              </w:rPr>
              <w:t>procedi- mientos de rutina o procedimientos médicos invasivos (116).</w:t>
            </w:r>
          </w:p>
        </w:tc>
        <w:tc>
          <w:tcPr>
            <w:tcW w:w="1133" w:type="dxa"/>
          </w:tcPr>
          <w:p>
            <w:pPr>
              <w:pStyle w:val="TableParagraph"/>
              <w:spacing w:before="74"/>
              <w:ind w:left="0"/>
              <w:rPr>
                <w:rFonts w:ascii="Arial MT"/>
                <w:sz w:val="22"/>
              </w:rPr>
            </w:pPr>
          </w:p>
          <w:p>
            <w:pPr>
              <w:pStyle w:val="TableParagraph"/>
              <w:ind w:left="49"/>
              <w:jc w:val="center"/>
              <w:rPr>
                <w:sz w:val="22"/>
              </w:rPr>
            </w:pPr>
            <w:r>
              <w:rPr>
                <w:color w:val="231F1F"/>
                <w:spacing w:val="-10"/>
                <w:sz w:val="22"/>
              </w:rPr>
              <w:t>4</w:t>
            </w:r>
          </w:p>
        </w:tc>
      </w:tr>
    </w:tbl>
    <w:p>
      <w:pPr>
        <w:pStyle w:val="BodyText"/>
        <w:spacing w:before="10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8506" w:type="dxa"/>
            <w:gridSpan w:val="2"/>
          </w:tcPr>
          <w:p>
            <w:pPr>
              <w:pStyle w:val="TableParagraph"/>
              <w:spacing w:before="39"/>
              <w:rPr>
                <w:b/>
                <w:sz w:val="22"/>
              </w:rPr>
            </w:pPr>
            <w:r>
              <w:rPr>
                <w:b/>
                <w:color w:val="231F1F"/>
                <w:w w:val="105"/>
                <w:sz w:val="22"/>
              </w:rPr>
              <w:t>Higiene</w:t>
            </w:r>
            <w:r>
              <w:rPr>
                <w:b/>
                <w:color w:val="231F1F"/>
                <w:spacing w:val="-15"/>
                <w:w w:val="105"/>
                <w:sz w:val="22"/>
              </w:rPr>
              <w:t> </w:t>
            </w:r>
            <w:r>
              <w:rPr>
                <w:b/>
                <w:color w:val="231F1F"/>
                <w:w w:val="105"/>
                <w:sz w:val="22"/>
              </w:rPr>
              <w:t>de</w:t>
            </w:r>
            <w:r>
              <w:rPr>
                <w:b/>
                <w:color w:val="231F1F"/>
                <w:spacing w:val="-13"/>
                <w:w w:val="105"/>
                <w:sz w:val="22"/>
              </w:rPr>
              <w:t> </w:t>
            </w:r>
            <w:r>
              <w:rPr>
                <w:b/>
                <w:color w:val="231F1F"/>
                <w:spacing w:val="-2"/>
                <w:w w:val="105"/>
                <w:sz w:val="22"/>
              </w:rPr>
              <w:t>manos</w:t>
            </w:r>
          </w:p>
        </w:tc>
      </w:tr>
      <w:tr>
        <w:trPr>
          <w:trHeight w:val="964" w:hRule="atLeast"/>
        </w:trPr>
        <w:tc>
          <w:tcPr>
            <w:tcW w:w="456" w:type="dxa"/>
          </w:tcPr>
          <w:p>
            <w:pPr>
              <w:pStyle w:val="TableParagraph"/>
              <w:spacing w:before="69"/>
              <w:ind w:left="0"/>
              <w:rPr>
                <w:rFonts w:ascii="Arial MT"/>
                <w:sz w:val="22"/>
              </w:rPr>
            </w:pPr>
          </w:p>
          <w:p>
            <w:pPr>
              <w:pStyle w:val="TableParagraph"/>
              <w:ind w:left="43" w:right="61"/>
              <w:jc w:val="center"/>
              <w:rPr>
                <w:sz w:val="22"/>
              </w:rPr>
            </w:pPr>
            <w:r>
              <w:rPr>
                <w:color w:val="231F1F"/>
                <w:spacing w:val="-10"/>
                <w:w w:val="110"/>
                <w:sz w:val="22"/>
              </w:rPr>
              <w:t>B</w:t>
            </w:r>
          </w:p>
        </w:tc>
        <w:tc>
          <w:tcPr>
            <w:tcW w:w="8050" w:type="dxa"/>
          </w:tcPr>
          <w:p>
            <w:pPr>
              <w:pStyle w:val="TableParagraph"/>
              <w:spacing w:line="244" w:lineRule="auto" w:before="53"/>
              <w:ind w:right="84"/>
              <w:jc w:val="both"/>
              <w:rPr>
                <w:sz w:val="22"/>
              </w:rPr>
            </w:pPr>
            <w:r>
              <w:rPr>
                <w:color w:val="231F1F"/>
                <w:w w:val="105"/>
                <w:sz w:val="22"/>
              </w:rPr>
              <w:t>Las manos deben lavarse inmediatamente antes de cada episodio de contacto direc- to con la mujer y después de cualquier actividad o contacto que pudiera resultar en una potencial contaminación de las manos.</w:t>
            </w:r>
          </w:p>
        </w:tc>
      </w:tr>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53"/>
              <w:ind w:right="155"/>
              <w:rPr>
                <w:sz w:val="22"/>
              </w:rPr>
            </w:pPr>
            <w:r>
              <w:rPr>
                <w:color w:val="231F1F"/>
                <w:w w:val="105"/>
                <w:sz w:val="22"/>
              </w:rPr>
              <w:t>La</w:t>
            </w:r>
            <w:r>
              <w:rPr>
                <w:color w:val="231F1F"/>
                <w:spacing w:val="-4"/>
                <w:w w:val="105"/>
                <w:sz w:val="22"/>
              </w:rPr>
              <w:t> </w:t>
            </w:r>
            <w:r>
              <w:rPr>
                <w:color w:val="231F1F"/>
                <w:w w:val="105"/>
                <w:sz w:val="22"/>
              </w:rPr>
              <w:t>manos</w:t>
            </w:r>
            <w:r>
              <w:rPr>
                <w:color w:val="231F1F"/>
                <w:spacing w:val="-5"/>
                <w:w w:val="105"/>
                <w:sz w:val="22"/>
              </w:rPr>
              <w:t> </w:t>
            </w:r>
            <w:r>
              <w:rPr>
                <w:color w:val="231F1F"/>
                <w:w w:val="105"/>
                <w:sz w:val="22"/>
              </w:rPr>
              <w:t>visiblemente</w:t>
            </w:r>
            <w:r>
              <w:rPr>
                <w:color w:val="231F1F"/>
                <w:spacing w:val="-5"/>
                <w:w w:val="105"/>
                <w:sz w:val="22"/>
              </w:rPr>
              <w:t> </w:t>
            </w:r>
            <w:r>
              <w:rPr>
                <w:color w:val="231F1F"/>
                <w:w w:val="105"/>
                <w:sz w:val="22"/>
              </w:rPr>
              <w:t>sucias</w:t>
            </w:r>
            <w:r>
              <w:rPr>
                <w:color w:val="231F1F"/>
                <w:spacing w:val="-4"/>
                <w:w w:val="105"/>
                <w:sz w:val="22"/>
              </w:rPr>
              <w:t> </w:t>
            </w:r>
            <w:r>
              <w:rPr>
                <w:color w:val="231F1F"/>
                <w:w w:val="105"/>
                <w:sz w:val="22"/>
              </w:rPr>
              <w:t>o</w:t>
            </w:r>
            <w:r>
              <w:rPr>
                <w:color w:val="231F1F"/>
                <w:spacing w:val="-4"/>
                <w:w w:val="105"/>
                <w:sz w:val="22"/>
              </w:rPr>
              <w:t> </w:t>
            </w:r>
            <w:r>
              <w:rPr>
                <w:color w:val="231F1F"/>
                <w:w w:val="105"/>
                <w:sz w:val="22"/>
              </w:rPr>
              <w:t>potencialmente</w:t>
            </w:r>
            <w:r>
              <w:rPr>
                <w:color w:val="231F1F"/>
                <w:spacing w:val="-5"/>
                <w:w w:val="105"/>
                <w:sz w:val="22"/>
              </w:rPr>
              <w:t> </w:t>
            </w:r>
            <w:r>
              <w:rPr>
                <w:color w:val="231F1F"/>
                <w:w w:val="105"/>
                <w:sz w:val="22"/>
              </w:rPr>
              <w:t>muy</w:t>
            </w:r>
            <w:r>
              <w:rPr>
                <w:color w:val="231F1F"/>
                <w:spacing w:val="-4"/>
                <w:w w:val="105"/>
                <w:sz w:val="22"/>
              </w:rPr>
              <w:t> </w:t>
            </w:r>
            <w:r>
              <w:rPr>
                <w:color w:val="231F1F"/>
                <w:w w:val="105"/>
                <w:sz w:val="22"/>
              </w:rPr>
              <w:t>contaminadas</w:t>
            </w:r>
            <w:r>
              <w:rPr>
                <w:color w:val="231F1F"/>
                <w:spacing w:val="-4"/>
                <w:w w:val="105"/>
                <w:sz w:val="22"/>
              </w:rPr>
              <w:t> </w:t>
            </w:r>
            <w:r>
              <w:rPr>
                <w:color w:val="231F1F"/>
                <w:w w:val="105"/>
                <w:sz w:val="22"/>
              </w:rPr>
              <w:t>con</w:t>
            </w:r>
            <w:r>
              <w:rPr>
                <w:color w:val="231F1F"/>
                <w:spacing w:val="-4"/>
                <w:w w:val="105"/>
                <w:sz w:val="22"/>
              </w:rPr>
              <w:t> </w:t>
            </w:r>
            <w:r>
              <w:rPr>
                <w:color w:val="231F1F"/>
                <w:w w:val="105"/>
                <w:sz w:val="22"/>
              </w:rPr>
              <w:t>suciedad</w:t>
            </w:r>
            <w:r>
              <w:rPr>
                <w:color w:val="231F1F"/>
                <w:spacing w:val="-4"/>
                <w:w w:val="105"/>
                <w:sz w:val="22"/>
              </w:rPr>
              <w:t> </w:t>
            </w:r>
            <w:r>
              <w:rPr>
                <w:color w:val="231F1F"/>
                <w:w w:val="105"/>
                <w:sz w:val="22"/>
              </w:rPr>
              <w:t>o materia</w:t>
            </w:r>
            <w:r>
              <w:rPr>
                <w:color w:val="231F1F"/>
                <w:spacing w:val="40"/>
                <w:w w:val="105"/>
                <w:sz w:val="22"/>
              </w:rPr>
              <w:t> </w:t>
            </w:r>
            <w:r>
              <w:rPr>
                <w:color w:val="231F1F"/>
                <w:w w:val="105"/>
                <w:sz w:val="22"/>
              </w:rPr>
              <w:t>orgánica,</w:t>
            </w:r>
            <w:r>
              <w:rPr>
                <w:color w:val="231F1F"/>
                <w:spacing w:val="40"/>
                <w:w w:val="105"/>
                <w:sz w:val="22"/>
              </w:rPr>
              <w:t> </w:t>
            </w:r>
            <w:r>
              <w:rPr>
                <w:color w:val="231F1F"/>
                <w:w w:val="105"/>
                <w:sz w:val="22"/>
              </w:rPr>
              <w:t>deberán</w:t>
            </w:r>
            <w:r>
              <w:rPr>
                <w:color w:val="231F1F"/>
                <w:spacing w:val="40"/>
                <w:w w:val="105"/>
                <w:sz w:val="22"/>
              </w:rPr>
              <w:t> </w:t>
            </w:r>
            <w:r>
              <w:rPr>
                <w:color w:val="231F1F"/>
                <w:w w:val="105"/>
                <w:sz w:val="22"/>
              </w:rPr>
              <w:t>ser</w:t>
            </w:r>
            <w:r>
              <w:rPr>
                <w:color w:val="231F1F"/>
                <w:spacing w:val="40"/>
                <w:w w:val="105"/>
                <w:sz w:val="22"/>
              </w:rPr>
              <w:t> </w:t>
            </w:r>
            <w:r>
              <w:rPr>
                <w:color w:val="231F1F"/>
                <w:w w:val="105"/>
                <w:sz w:val="22"/>
              </w:rPr>
              <w:t>lavadas</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jabón</w:t>
            </w:r>
            <w:r>
              <w:rPr>
                <w:color w:val="231F1F"/>
                <w:spacing w:val="40"/>
                <w:w w:val="105"/>
                <w:sz w:val="22"/>
              </w:rPr>
              <w:t> </w:t>
            </w:r>
            <w:r>
              <w:rPr>
                <w:color w:val="231F1F"/>
                <w:w w:val="105"/>
                <w:sz w:val="22"/>
              </w:rPr>
              <w:t>líquido</w:t>
            </w:r>
            <w:r>
              <w:rPr>
                <w:color w:val="231F1F"/>
                <w:spacing w:val="40"/>
                <w:w w:val="105"/>
                <w:sz w:val="22"/>
              </w:rPr>
              <w:t> </w:t>
            </w:r>
            <w:r>
              <w:rPr>
                <w:color w:val="231F1F"/>
                <w:w w:val="105"/>
                <w:sz w:val="22"/>
              </w:rPr>
              <w:t>y</w:t>
            </w:r>
            <w:r>
              <w:rPr>
                <w:color w:val="231F1F"/>
                <w:spacing w:val="40"/>
                <w:w w:val="105"/>
                <w:sz w:val="22"/>
              </w:rPr>
              <w:t> </w:t>
            </w:r>
            <w:r>
              <w:rPr>
                <w:color w:val="231F1F"/>
                <w:w w:val="105"/>
                <w:sz w:val="22"/>
              </w:rPr>
              <w:t>agua.</w:t>
            </w:r>
          </w:p>
        </w:tc>
      </w:tr>
      <w:tr>
        <w:trPr>
          <w:trHeight w:val="959" w:hRule="atLeast"/>
        </w:trPr>
        <w:tc>
          <w:tcPr>
            <w:tcW w:w="456" w:type="dxa"/>
          </w:tcPr>
          <w:p>
            <w:pPr>
              <w:pStyle w:val="TableParagraph"/>
              <w:spacing w:before="69"/>
              <w:ind w:left="0"/>
              <w:rPr>
                <w:rFonts w:ascii="Arial MT"/>
                <w:sz w:val="22"/>
              </w:rPr>
            </w:pPr>
          </w:p>
          <w:p>
            <w:pPr>
              <w:pStyle w:val="TableParagraph"/>
              <w:ind w:left="46" w:right="43"/>
              <w:jc w:val="center"/>
              <w:rPr>
                <w:sz w:val="22"/>
              </w:rPr>
            </w:pPr>
            <w:r>
              <w:rPr>
                <w:color w:val="231F1F"/>
                <w:spacing w:val="-10"/>
                <w:w w:val="115"/>
                <w:sz w:val="22"/>
              </w:rPr>
              <w:t>A</w:t>
            </w:r>
          </w:p>
        </w:tc>
        <w:tc>
          <w:tcPr>
            <w:tcW w:w="8050" w:type="dxa"/>
          </w:tcPr>
          <w:p>
            <w:pPr>
              <w:pStyle w:val="TableParagraph"/>
              <w:spacing w:line="244" w:lineRule="auto" w:before="44"/>
              <w:ind w:right="89"/>
              <w:jc w:val="both"/>
              <w:rPr>
                <w:sz w:val="22"/>
              </w:rPr>
            </w:pPr>
            <w:r>
              <w:rPr>
                <w:color w:val="231F1F"/>
                <w:w w:val="110"/>
                <w:sz w:val="22"/>
              </w:rPr>
              <w:t>A</w:t>
            </w:r>
            <w:r>
              <w:rPr>
                <w:color w:val="231F1F"/>
                <w:spacing w:val="-2"/>
                <w:w w:val="110"/>
                <w:sz w:val="22"/>
              </w:rPr>
              <w:t> </w:t>
            </w:r>
            <w:r>
              <w:rPr>
                <w:color w:val="231F1F"/>
                <w:w w:val="110"/>
                <w:sz w:val="22"/>
              </w:rPr>
              <w:t>menos</w:t>
            </w:r>
            <w:r>
              <w:rPr>
                <w:color w:val="231F1F"/>
                <w:spacing w:val="-3"/>
                <w:w w:val="110"/>
                <w:sz w:val="22"/>
              </w:rPr>
              <w:t> </w:t>
            </w:r>
            <w:r>
              <w:rPr>
                <w:color w:val="231F1F"/>
                <w:w w:val="110"/>
                <w:sz w:val="22"/>
              </w:rPr>
              <w:t>que</w:t>
            </w:r>
            <w:r>
              <w:rPr>
                <w:color w:val="231F1F"/>
                <w:spacing w:val="-2"/>
                <w:w w:val="110"/>
                <w:sz w:val="22"/>
              </w:rPr>
              <w:t> </w:t>
            </w:r>
            <w:r>
              <w:rPr>
                <w:color w:val="231F1F"/>
                <w:w w:val="110"/>
                <w:sz w:val="22"/>
              </w:rPr>
              <w:t>estén</w:t>
            </w:r>
            <w:r>
              <w:rPr>
                <w:color w:val="231F1F"/>
                <w:spacing w:val="-2"/>
                <w:w w:val="110"/>
                <w:sz w:val="22"/>
              </w:rPr>
              <w:t> </w:t>
            </w:r>
            <w:r>
              <w:rPr>
                <w:color w:val="231F1F"/>
                <w:w w:val="110"/>
                <w:sz w:val="22"/>
              </w:rPr>
              <w:t>visiblemente</w:t>
            </w:r>
            <w:r>
              <w:rPr>
                <w:color w:val="231F1F"/>
                <w:spacing w:val="-2"/>
                <w:w w:val="110"/>
                <w:sz w:val="22"/>
              </w:rPr>
              <w:t> </w:t>
            </w:r>
            <w:r>
              <w:rPr>
                <w:color w:val="231F1F"/>
                <w:w w:val="110"/>
                <w:sz w:val="22"/>
              </w:rPr>
              <w:t>sucias,</w:t>
            </w:r>
            <w:r>
              <w:rPr>
                <w:color w:val="231F1F"/>
                <w:spacing w:val="-3"/>
                <w:w w:val="110"/>
                <w:sz w:val="22"/>
              </w:rPr>
              <w:t> </w:t>
            </w:r>
            <w:r>
              <w:rPr>
                <w:color w:val="231F1F"/>
                <w:w w:val="110"/>
                <w:sz w:val="22"/>
              </w:rPr>
              <w:t>las</w:t>
            </w:r>
            <w:r>
              <w:rPr>
                <w:color w:val="231F1F"/>
                <w:spacing w:val="-3"/>
                <w:w w:val="110"/>
                <w:sz w:val="22"/>
              </w:rPr>
              <w:t> </w:t>
            </w:r>
            <w:r>
              <w:rPr>
                <w:color w:val="231F1F"/>
                <w:w w:val="110"/>
                <w:sz w:val="22"/>
              </w:rPr>
              <w:t>manos</w:t>
            </w:r>
            <w:r>
              <w:rPr>
                <w:color w:val="231F1F"/>
                <w:spacing w:val="-3"/>
                <w:w w:val="110"/>
                <w:sz w:val="22"/>
              </w:rPr>
              <w:t> </w:t>
            </w:r>
            <w:r>
              <w:rPr>
                <w:color w:val="231F1F"/>
                <w:w w:val="110"/>
                <w:sz w:val="22"/>
              </w:rPr>
              <w:t>podrán</w:t>
            </w:r>
            <w:r>
              <w:rPr>
                <w:color w:val="231F1F"/>
                <w:spacing w:val="-2"/>
                <w:w w:val="110"/>
                <w:sz w:val="22"/>
              </w:rPr>
              <w:t> </w:t>
            </w:r>
            <w:r>
              <w:rPr>
                <w:color w:val="231F1F"/>
                <w:w w:val="110"/>
                <w:sz w:val="22"/>
              </w:rPr>
              <w:t>ser</w:t>
            </w:r>
            <w:r>
              <w:rPr>
                <w:color w:val="231F1F"/>
                <w:spacing w:val="-3"/>
                <w:w w:val="110"/>
                <w:sz w:val="22"/>
              </w:rPr>
              <w:t> </w:t>
            </w:r>
            <w:r>
              <w:rPr>
                <w:color w:val="231F1F"/>
                <w:w w:val="110"/>
                <w:sz w:val="22"/>
              </w:rPr>
              <w:t>lavadas</w:t>
            </w:r>
            <w:r>
              <w:rPr>
                <w:color w:val="231F1F"/>
                <w:spacing w:val="-2"/>
                <w:w w:val="110"/>
                <w:sz w:val="22"/>
              </w:rPr>
              <w:t> </w:t>
            </w:r>
            <w:r>
              <w:rPr>
                <w:color w:val="231F1F"/>
                <w:w w:val="110"/>
                <w:sz w:val="22"/>
              </w:rPr>
              <w:t>preferible- mente</w:t>
            </w:r>
            <w:r>
              <w:rPr>
                <w:color w:val="231F1F"/>
                <w:spacing w:val="-3"/>
                <w:w w:val="110"/>
                <w:sz w:val="22"/>
              </w:rPr>
              <w:t> </w:t>
            </w:r>
            <w:r>
              <w:rPr>
                <w:color w:val="231F1F"/>
                <w:w w:val="110"/>
                <w:sz w:val="22"/>
              </w:rPr>
              <w:t>mediante</w:t>
            </w:r>
            <w:r>
              <w:rPr>
                <w:color w:val="231F1F"/>
                <w:spacing w:val="-3"/>
                <w:w w:val="110"/>
                <w:sz w:val="22"/>
              </w:rPr>
              <w:t> </w:t>
            </w:r>
            <w:r>
              <w:rPr>
                <w:color w:val="231F1F"/>
                <w:w w:val="110"/>
                <w:sz w:val="22"/>
              </w:rPr>
              <w:t>fricción</w:t>
            </w:r>
            <w:r>
              <w:rPr>
                <w:color w:val="231F1F"/>
                <w:spacing w:val="-3"/>
                <w:w w:val="110"/>
                <w:sz w:val="22"/>
              </w:rPr>
              <w:t> </w:t>
            </w:r>
            <w:r>
              <w:rPr>
                <w:color w:val="231F1F"/>
                <w:w w:val="110"/>
                <w:sz w:val="22"/>
              </w:rPr>
              <w:t>con</w:t>
            </w:r>
            <w:r>
              <w:rPr>
                <w:color w:val="231F1F"/>
                <w:spacing w:val="-3"/>
                <w:w w:val="110"/>
                <w:sz w:val="22"/>
              </w:rPr>
              <w:t> </w:t>
            </w:r>
            <w:r>
              <w:rPr>
                <w:color w:val="231F1F"/>
                <w:w w:val="110"/>
                <w:sz w:val="22"/>
              </w:rPr>
              <w:t>una</w:t>
            </w:r>
            <w:r>
              <w:rPr>
                <w:color w:val="231F1F"/>
                <w:spacing w:val="-4"/>
                <w:w w:val="110"/>
                <w:sz w:val="22"/>
              </w:rPr>
              <w:t> </w:t>
            </w:r>
            <w:r>
              <w:rPr>
                <w:color w:val="231F1F"/>
                <w:w w:val="110"/>
                <w:sz w:val="22"/>
              </w:rPr>
              <w:t>solución</w:t>
            </w:r>
            <w:r>
              <w:rPr>
                <w:color w:val="231F1F"/>
                <w:spacing w:val="-4"/>
                <w:w w:val="110"/>
                <w:sz w:val="22"/>
              </w:rPr>
              <w:t> </w:t>
            </w:r>
            <w:r>
              <w:rPr>
                <w:color w:val="231F1F"/>
                <w:w w:val="110"/>
                <w:sz w:val="22"/>
              </w:rPr>
              <w:t>alcohólica,</w:t>
            </w:r>
            <w:r>
              <w:rPr>
                <w:color w:val="231F1F"/>
                <w:spacing w:val="-4"/>
                <w:w w:val="110"/>
                <w:sz w:val="22"/>
              </w:rPr>
              <w:t> </w:t>
            </w:r>
            <w:r>
              <w:rPr>
                <w:color w:val="231F1F"/>
                <w:w w:val="110"/>
                <w:sz w:val="22"/>
              </w:rPr>
              <w:t>entre</w:t>
            </w:r>
            <w:r>
              <w:rPr>
                <w:color w:val="231F1F"/>
                <w:spacing w:val="-4"/>
                <w:w w:val="110"/>
                <w:sz w:val="22"/>
              </w:rPr>
              <w:t> </w:t>
            </w:r>
            <w:r>
              <w:rPr>
                <w:color w:val="231F1F"/>
                <w:w w:val="110"/>
                <w:sz w:val="22"/>
              </w:rPr>
              <w:t>la</w:t>
            </w:r>
            <w:r>
              <w:rPr>
                <w:color w:val="231F1F"/>
                <w:spacing w:val="-4"/>
                <w:w w:val="110"/>
                <w:sz w:val="22"/>
              </w:rPr>
              <w:t> </w:t>
            </w:r>
            <w:r>
              <w:rPr>
                <w:color w:val="231F1F"/>
                <w:w w:val="110"/>
                <w:sz w:val="22"/>
              </w:rPr>
              <w:t>atención</w:t>
            </w:r>
            <w:r>
              <w:rPr>
                <w:color w:val="231F1F"/>
                <w:spacing w:val="-3"/>
                <w:w w:val="110"/>
                <w:sz w:val="22"/>
              </w:rPr>
              <w:t> </w:t>
            </w:r>
            <w:r>
              <w:rPr>
                <w:color w:val="231F1F"/>
                <w:w w:val="110"/>
                <w:sz w:val="22"/>
              </w:rPr>
              <w:t>a</w:t>
            </w:r>
            <w:r>
              <w:rPr>
                <w:color w:val="231F1F"/>
                <w:spacing w:val="-4"/>
                <w:w w:val="110"/>
                <w:sz w:val="22"/>
              </w:rPr>
              <w:t> </w:t>
            </w:r>
            <w:r>
              <w:rPr>
                <w:color w:val="231F1F"/>
                <w:w w:val="110"/>
                <w:sz w:val="22"/>
              </w:rPr>
              <w:t>mujeres diferentes o entre diferentes actividades de cuidado a una misma persona.</w:t>
            </w:r>
          </w:p>
        </w:tc>
      </w:tr>
      <w:tr>
        <w:trPr>
          <w:trHeight w:val="397" w:hRule="atLeast"/>
        </w:trPr>
        <w:tc>
          <w:tcPr>
            <w:tcW w:w="8506" w:type="dxa"/>
            <w:gridSpan w:val="2"/>
          </w:tcPr>
          <w:p>
            <w:pPr>
              <w:pStyle w:val="TableParagraph"/>
              <w:spacing w:before="39"/>
              <w:rPr>
                <w:b/>
                <w:sz w:val="22"/>
              </w:rPr>
            </w:pPr>
            <w:r>
              <w:rPr>
                <w:b/>
                <w:color w:val="231F1F"/>
                <w:spacing w:val="-2"/>
                <w:w w:val="105"/>
                <w:sz w:val="22"/>
              </w:rPr>
              <w:t>Vestimenta</w:t>
            </w:r>
          </w:p>
        </w:tc>
      </w:tr>
      <w:tr>
        <w:trPr>
          <w:trHeight w:val="1242" w:hRule="atLeast"/>
        </w:trPr>
        <w:tc>
          <w:tcPr>
            <w:tcW w:w="456" w:type="dxa"/>
          </w:tcPr>
          <w:p>
            <w:pPr>
              <w:pStyle w:val="TableParagraph"/>
              <w:spacing w:before="208"/>
              <w:ind w:left="0"/>
              <w:rPr>
                <w:rFonts w:ascii="Arial MT"/>
                <w:sz w:val="22"/>
              </w:rPr>
            </w:pPr>
          </w:p>
          <w:p>
            <w:pPr>
              <w:pStyle w:val="TableParagraph"/>
              <w:ind w:left="45" w:right="43"/>
              <w:jc w:val="center"/>
              <w:rPr>
                <w:sz w:val="22"/>
              </w:rPr>
            </w:pPr>
            <w:r>
              <w:rPr>
                <w:color w:val="231F1F"/>
                <w:spacing w:val="-10"/>
                <w:w w:val="115"/>
                <w:sz w:val="22"/>
              </w:rPr>
              <w:t>D</w:t>
            </w:r>
          </w:p>
        </w:tc>
        <w:tc>
          <w:tcPr>
            <w:tcW w:w="8050" w:type="dxa"/>
          </w:tcPr>
          <w:p>
            <w:pPr>
              <w:pStyle w:val="TableParagraph"/>
              <w:spacing w:line="247" w:lineRule="auto" w:before="44"/>
              <w:ind w:right="79"/>
              <w:jc w:val="both"/>
              <w:rPr>
                <w:sz w:val="22"/>
              </w:rPr>
            </w:pPr>
            <w:r>
              <w:rPr>
                <w:color w:val="231F1F"/>
                <w:w w:val="105"/>
                <w:sz w:val="22"/>
              </w:rPr>
              <w:t>La selección del equipo de protección deberá basarse en la evaluación del riesgo de transmisión</w:t>
            </w:r>
            <w:r>
              <w:rPr>
                <w:color w:val="231F1F"/>
                <w:w w:val="105"/>
                <w:sz w:val="22"/>
              </w:rPr>
              <w:t> de</w:t>
            </w:r>
            <w:r>
              <w:rPr>
                <w:color w:val="231F1F"/>
                <w:w w:val="105"/>
                <w:sz w:val="22"/>
              </w:rPr>
              <w:t> microorganismos</w:t>
            </w:r>
            <w:r>
              <w:rPr>
                <w:color w:val="231F1F"/>
                <w:w w:val="105"/>
                <w:sz w:val="22"/>
              </w:rPr>
              <w:t> a</w:t>
            </w:r>
            <w:r>
              <w:rPr>
                <w:color w:val="231F1F"/>
                <w:w w:val="105"/>
                <w:sz w:val="22"/>
              </w:rPr>
              <w:t> la</w:t>
            </w:r>
            <w:r>
              <w:rPr>
                <w:color w:val="231F1F"/>
                <w:w w:val="105"/>
                <w:sz w:val="22"/>
              </w:rPr>
              <w:t> mujer</w:t>
            </w:r>
            <w:r>
              <w:rPr>
                <w:color w:val="231F1F"/>
                <w:w w:val="105"/>
                <w:sz w:val="22"/>
              </w:rPr>
              <w:t> y</w:t>
            </w:r>
            <w:r>
              <w:rPr>
                <w:color w:val="231F1F"/>
                <w:w w:val="105"/>
                <w:sz w:val="22"/>
              </w:rPr>
              <w:t> del</w:t>
            </w:r>
            <w:r>
              <w:rPr>
                <w:color w:val="231F1F"/>
                <w:w w:val="105"/>
                <w:sz w:val="22"/>
              </w:rPr>
              <w:t> riesgo</w:t>
            </w:r>
            <w:r>
              <w:rPr>
                <w:color w:val="231F1F"/>
                <w:w w:val="105"/>
                <w:sz w:val="22"/>
              </w:rPr>
              <w:t> de</w:t>
            </w:r>
            <w:r>
              <w:rPr>
                <w:color w:val="231F1F"/>
                <w:w w:val="105"/>
                <w:sz w:val="22"/>
              </w:rPr>
              <w:t> contaminación</w:t>
            </w:r>
            <w:r>
              <w:rPr>
                <w:color w:val="231F1F"/>
                <w:w w:val="105"/>
                <w:sz w:val="22"/>
              </w:rPr>
              <w:t> de</w:t>
            </w:r>
            <w:r>
              <w:rPr>
                <w:color w:val="231F1F"/>
                <w:w w:val="105"/>
                <w:sz w:val="22"/>
              </w:rPr>
              <w:t> la vestimenta de los profesionales sanitarios y de la piel por la sangre, fluidos corpo- rales y excreciones o secreciones.</w:t>
            </w:r>
          </w:p>
        </w:tc>
      </w:tr>
      <w:tr>
        <w:trPr>
          <w:trHeight w:val="1242" w:hRule="atLeast"/>
        </w:trPr>
        <w:tc>
          <w:tcPr>
            <w:tcW w:w="456" w:type="dxa"/>
          </w:tcPr>
          <w:p>
            <w:pPr>
              <w:pStyle w:val="TableParagraph"/>
              <w:spacing w:before="208"/>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9" w:lineRule="auto" w:before="53"/>
              <w:ind w:right="82"/>
              <w:jc w:val="both"/>
              <w:rPr>
                <w:sz w:val="22"/>
              </w:rPr>
            </w:pPr>
            <w:r>
              <w:rPr>
                <w:color w:val="231F1F"/>
                <w:w w:val="105"/>
                <w:sz w:val="22"/>
              </w:rPr>
              <w:t>Se recomienda la utilización de trajes impermeables de cuerpo entero cuando exis-</w:t>
            </w:r>
            <w:r>
              <w:rPr>
                <w:color w:val="231F1F"/>
                <w:spacing w:val="40"/>
                <w:w w:val="105"/>
                <w:sz w:val="22"/>
              </w:rPr>
              <w:t> </w:t>
            </w:r>
            <w:r>
              <w:rPr>
                <w:color w:val="231F1F"/>
                <w:w w:val="105"/>
                <w:sz w:val="22"/>
              </w:rPr>
              <w:t>ta</w:t>
            </w:r>
            <w:r>
              <w:rPr>
                <w:color w:val="231F1F"/>
                <w:w w:val="105"/>
                <w:sz w:val="22"/>
              </w:rPr>
              <w:t> riesgo</w:t>
            </w:r>
            <w:r>
              <w:rPr>
                <w:color w:val="231F1F"/>
                <w:w w:val="105"/>
                <w:sz w:val="22"/>
              </w:rPr>
              <w:t> de</w:t>
            </w:r>
            <w:r>
              <w:rPr>
                <w:color w:val="231F1F"/>
                <w:w w:val="105"/>
                <w:sz w:val="22"/>
              </w:rPr>
              <w:t> salpicaduras</w:t>
            </w:r>
            <w:r>
              <w:rPr>
                <w:color w:val="231F1F"/>
                <w:w w:val="105"/>
                <w:sz w:val="22"/>
              </w:rPr>
              <w:t> frecuentes</w:t>
            </w:r>
            <w:r>
              <w:rPr>
                <w:color w:val="231F1F"/>
                <w:w w:val="105"/>
                <w:sz w:val="22"/>
              </w:rPr>
              <w:t> de</w:t>
            </w:r>
            <w:r>
              <w:rPr>
                <w:color w:val="231F1F"/>
                <w:w w:val="105"/>
                <w:sz w:val="22"/>
              </w:rPr>
              <w:t> sangre,</w:t>
            </w:r>
            <w:r>
              <w:rPr>
                <w:color w:val="231F1F"/>
                <w:w w:val="105"/>
                <w:sz w:val="22"/>
              </w:rPr>
              <w:t> fluidos</w:t>
            </w:r>
            <w:r>
              <w:rPr>
                <w:color w:val="231F1F"/>
                <w:w w:val="105"/>
                <w:sz w:val="22"/>
              </w:rPr>
              <w:t> corporales,</w:t>
            </w:r>
            <w:r>
              <w:rPr>
                <w:color w:val="231F1F"/>
                <w:w w:val="105"/>
                <w:sz w:val="22"/>
              </w:rPr>
              <w:t> secreciones</w:t>
            </w:r>
            <w:r>
              <w:rPr>
                <w:color w:val="231F1F"/>
                <w:w w:val="105"/>
                <w:sz w:val="22"/>
              </w:rPr>
              <w:t> o excreciones,</w:t>
            </w:r>
            <w:r>
              <w:rPr>
                <w:color w:val="231F1F"/>
                <w:spacing w:val="-5"/>
                <w:w w:val="105"/>
                <w:sz w:val="22"/>
              </w:rPr>
              <w:t> </w:t>
            </w:r>
            <w:r>
              <w:rPr>
                <w:color w:val="231F1F"/>
                <w:w w:val="105"/>
                <w:sz w:val="22"/>
              </w:rPr>
              <w:t>excepto</w:t>
            </w:r>
            <w:r>
              <w:rPr>
                <w:color w:val="231F1F"/>
                <w:spacing w:val="-5"/>
                <w:w w:val="105"/>
                <w:sz w:val="22"/>
              </w:rPr>
              <w:t> </w:t>
            </w:r>
            <w:r>
              <w:rPr>
                <w:color w:val="231F1F"/>
                <w:w w:val="105"/>
                <w:sz w:val="22"/>
              </w:rPr>
              <w:t>sudor,</w:t>
            </w:r>
            <w:r>
              <w:rPr>
                <w:color w:val="231F1F"/>
                <w:spacing w:val="-5"/>
                <w:w w:val="105"/>
                <w:sz w:val="22"/>
              </w:rPr>
              <w:t> </w:t>
            </w:r>
            <w:r>
              <w:rPr>
                <w:color w:val="231F1F"/>
                <w:w w:val="105"/>
                <w:sz w:val="22"/>
              </w:rPr>
              <w:t>a</w:t>
            </w:r>
            <w:r>
              <w:rPr>
                <w:color w:val="231F1F"/>
                <w:spacing w:val="-5"/>
                <w:w w:val="105"/>
                <w:sz w:val="22"/>
              </w:rPr>
              <w:t> </w:t>
            </w:r>
            <w:r>
              <w:rPr>
                <w:color w:val="231F1F"/>
                <w:w w:val="105"/>
                <w:sz w:val="22"/>
              </w:rPr>
              <w:t>la</w:t>
            </w:r>
            <w:r>
              <w:rPr>
                <w:color w:val="231F1F"/>
                <w:spacing w:val="-5"/>
                <w:w w:val="105"/>
                <w:sz w:val="22"/>
              </w:rPr>
              <w:t> </w:t>
            </w:r>
            <w:r>
              <w:rPr>
                <w:color w:val="231F1F"/>
                <w:w w:val="105"/>
                <w:sz w:val="22"/>
              </w:rPr>
              <w:t>piel</w:t>
            </w:r>
            <w:r>
              <w:rPr>
                <w:color w:val="231F1F"/>
                <w:spacing w:val="-5"/>
                <w:w w:val="105"/>
                <w:sz w:val="22"/>
              </w:rPr>
              <w:t> </w:t>
            </w:r>
            <w:r>
              <w:rPr>
                <w:color w:val="231F1F"/>
                <w:w w:val="105"/>
                <w:sz w:val="22"/>
              </w:rPr>
              <w:t>o</w:t>
            </w:r>
            <w:r>
              <w:rPr>
                <w:color w:val="231F1F"/>
                <w:spacing w:val="-5"/>
                <w:w w:val="105"/>
                <w:sz w:val="22"/>
              </w:rPr>
              <w:t> </w:t>
            </w:r>
            <w:r>
              <w:rPr>
                <w:color w:val="231F1F"/>
                <w:w w:val="105"/>
                <w:sz w:val="22"/>
              </w:rPr>
              <w:t>a</w:t>
            </w:r>
            <w:r>
              <w:rPr>
                <w:color w:val="231F1F"/>
                <w:spacing w:val="-5"/>
                <w:w w:val="105"/>
                <w:sz w:val="22"/>
              </w:rPr>
              <w:t> </w:t>
            </w:r>
            <w:r>
              <w:rPr>
                <w:color w:val="231F1F"/>
                <w:w w:val="105"/>
                <w:sz w:val="22"/>
              </w:rPr>
              <w:t>la</w:t>
            </w:r>
            <w:r>
              <w:rPr>
                <w:color w:val="231F1F"/>
                <w:spacing w:val="-5"/>
                <w:w w:val="105"/>
                <w:sz w:val="22"/>
              </w:rPr>
              <w:t> </w:t>
            </w:r>
            <w:r>
              <w:rPr>
                <w:color w:val="231F1F"/>
                <w:w w:val="105"/>
                <w:sz w:val="22"/>
              </w:rPr>
              <w:t>vestimenta</w:t>
            </w:r>
            <w:r>
              <w:rPr>
                <w:color w:val="231F1F"/>
                <w:spacing w:val="-5"/>
                <w:w w:val="105"/>
                <w:sz w:val="22"/>
              </w:rPr>
              <w:t> </w:t>
            </w:r>
            <w:r>
              <w:rPr>
                <w:color w:val="231F1F"/>
                <w:w w:val="105"/>
                <w:sz w:val="22"/>
              </w:rPr>
              <w:t>de</w:t>
            </w:r>
            <w:r>
              <w:rPr>
                <w:color w:val="231F1F"/>
                <w:spacing w:val="-5"/>
                <w:w w:val="105"/>
                <w:sz w:val="22"/>
              </w:rPr>
              <w:t> </w:t>
            </w:r>
            <w:r>
              <w:rPr>
                <w:color w:val="231F1F"/>
                <w:w w:val="105"/>
                <w:sz w:val="22"/>
              </w:rPr>
              <w:t>los</w:t>
            </w:r>
            <w:r>
              <w:rPr>
                <w:color w:val="231F1F"/>
                <w:spacing w:val="-5"/>
                <w:w w:val="105"/>
                <w:sz w:val="22"/>
              </w:rPr>
              <w:t> </w:t>
            </w:r>
            <w:r>
              <w:rPr>
                <w:color w:val="231F1F"/>
                <w:w w:val="105"/>
                <w:sz w:val="22"/>
              </w:rPr>
              <w:t>profesionales</w:t>
            </w:r>
            <w:r>
              <w:rPr>
                <w:color w:val="231F1F"/>
                <w:spacing w:val="-5"/>
                <w:w w:val="105"/>
                <w:sz w:val="22"/>
              </w:rPr>
              <w:t> </w:t>
            </w:r>
            <w:r>
              <w:rPr>
                <w:color w:val="231F1F"/>
                <w:w w:val="105"/>
                <w:sz w:val="22"/>
              </w:rPr>
              <w:t>sanitarios, como es el caso de la asistencia al parto.</w:t>
            </w:r>
          </w:p>
        </w:tc>
      </w:tr>
      <w:tr>
        <w:trPr>
          <w:trHeight w:val="402" w:hRule="atLeast"/>
        </w:trPr>
        <w:tc>
          <w:tcPr>
            <w:tcW w:w="8506" w:type="dxa"/>
            <w:gridSpan w:val="2"/>
          </w:tcPr>
          <w:p>
            <w:pPr>
              <w:pStyle w:val="TableParagraph"/>
              <w:spacing w:before="39"/>
              <w:rPr>
                <w:b/>
                <w:sz w:val="22"/>
              </w:rPr>
            </w:pPr>
            <w:r>
              <w:rPr>
                <w:b/>
                <w:color w:val="231F1F"/>
                <w:w w:val="105"/>
                <w:sz w:val="22"/>
              </w:rPr>
              <w:t>Uso de</w:t>
            </w:r>
            <w:r>
              <w:rPr>
                <w:b/>
                <w:color w:val="231F1F"/>
                <w:spacing w:val="-2"/>
                <w:w w:val="105"/>
                <w:sz w:val="22"/>
              </w:rPr>
              <w:t> Guantes</w:t>
            </w:r>
          </w:p>
        </w:tc>
      </w:tr>
      <w:tr>
        <w:trPr>
          <w:trHeight w:val="1242" w:hRule="atLeast"/>
        </w:trPr>
        <w:tc>
          <w:tcPr>
            <w:tcW w:w="456" w:type="dxa"/>
          </w:tcPr>
          <w:p>
            <w:pPr>
              <w:pStyle w:val="TableParagraph"/>
              <w:spacing w:before="208"/>
              <w:ind w:left="0"/>
              <w:rPr>
                <w:rFonts w:ascii="Arial MT"/>
                <w:sz w:val="22"/>
              </w:rPr>
            </w:pPr>
          </w:p>
          <w:p>
            <w:pPr>
              <w:pStyle w:val="TableParagraph"/>
              <w:ind w:left="45" w:right="43"/>
              <w:jc w:val="center"/>
              <w:rPr>
                <w:sz w:val="22"/>
              </w:rPr>
            </w:pPr>
            <w:r>
              <w:rPr>
                <w:color w:val="231F1F"/>
                <w:spacing w:val="-10"/>
                <w:w w:val="115"/>
                <w:sz w:val="22"/>
              </w:rPr>
              <w:t>D</w:t>
            </w:r>
          </w:p>
        </w:tc>
        <w:tc>
          <w:tcPr>
            <w:tcW w:w="8050" w:type="dxa"/>
          </w:tcPr>
          <w:p>
            <w:pPr>
              <w:pStyle w:val="TableParagraph"/>
              <w:spacing w:line="252" w:lineRule="auto" w:before="53"/>
              <w:ind w:right="87"/>
              <w:jc w:val="both"/>
              <w:rPr>
                <w:sz w:val="22"/>
              </w:rPr>
            </w:pPr>
            <w:r>
              <w:rPr>
                <w:color w:val="231F1F"/>
                <w:w w:val="105"/>
                <w:sz w:val="22"/>
              </w:rPr>
              <w:t>Los</w:t>
            </w:r>
            <w:r>
              <w:rPr>
                <w:color w:val="231F1F"/>
                <w:w w:val="105"/>
                <w:sz w:val="22"/>
              </w:rPr>
              <w:t> guantes</w:t>
            </w:r>
            <w:r>
              <w:rPr>
                <w:color w:val="231F1F"/>
                <w:w w:val="105"/>
                <w:sz w:val="22"/>
              </w:rPr>
              <w:t> deberán</w:t>
            </w:r>
            <w:r>
              <w:rPr>
                <w:color w:val="231F1F"/>
                <w:w w:val="105"/>
                <w:sz w:val="22"/>
              </w:rPr>
              <w:t> utilizarse</w:t>
            </w:r>
            <w:r>
              <w:rPr>
                <w:color w:val="231F1F"/>
                <w:w w:val="105"/>
                <w:sz w:val="22"/>
              </w:rPr>
              <w:t> para</w:t>
            </w:r>
            <w:r>
              <w:rPr>
                <w:color w:val="231F1F"/>
                <w:w w:val="105"/>
                <w:sz w:val="22"/>
              </w:rPr>
              <w:t> los</w:t>
            </w:r>
            <w:r>
              <w:rPr>
                <w:color w:val="231F1F"/>
                <w:w w:val="105"/>
                <w:sz w:val="22"/>
              </w:rPr>
              <w:t> procedimientos</w:t>
            </w:r>
            <w:r>
              <w:rPr>
                <w:color w:val="231F1F"/>
                <w:w w:val="105"/>
                <w:sz w:val="22"/>
              </w:rPr>
              <w:t> invasivos,</w:t>
            </w:r>
            <w:r>
              <w:rPr>
                <w:color w:val="231F1F"/>
                <w:w w:val="105"/>
                <w:sz w:val="22"/>
              </w:rPr>
              <w:t> contacto</w:t>
            </w:r>
            <w:r>
              <w:rPr>
                <w:color w:val="231F1F"/>
                <w:w w:val="105"/>
                <w:sz w:val="22"/>
              </w:rPr>
              <w:t> con</w:t>
            </w:r>
            <w:r>
              <w:rPr>
                <w:color w:val="231F1F"/>
                <w:w w:val="105"/>
                <w:sz w:val="22"/>
              </w:rPr>
              <w:t> lu- gares estériles, membranas mucosas y piel no intacta, y para todas aquellas activi- dades</w:t>
            </w:r>
            <w:r>
              <w:rPr>
                <w:color w:val="231F1F"/>
                <w:w w:val="105"/>
                <w:sz w:val="22"/>
              </w:rPr>
              <w:t> con</w:t>
            </w:r>
            <w:r>
              <w:rPr>
                <w:color w:val="231F1F"/>
                <w:w w:val="105"/>
                <w:sz w:val="22"/>
              </w:rPr>
              <w:t> riesgo</w:t>
            </w:r>
            <w:r>
              <w:rPr>
                <w:color w:val="231F1F"/>
                <w:w w:val="105"/>
                <w:sz w:val="22"/>
              </w:rPr>
              <w:t> de</w:t>
            </w:r>
            <w:r>
              <w:rPr>
                <w:color w:val="231F1F"/>
                <w:w w:val="105"/>
                <w:sz w:val="22"/>
              </w:rPr>
              <w:t> exposición</w:t>
            </w:r>
            <w:r>
              <w:rPr>
                <w:color w:val="231F1F"/>
                <w:w w:val="105"/>
                <w:sz w:val="22"/>
              </w:rPr>
              <w:t> a</w:t>
            </w:r>
            <w:r>
              <w:rPr>
                <w:color w:val="231F1F"/>
                <w:w w:val="105"/>
                <w:sz w:val="22"/>
              </w:rPr>
              <w:t> sangre,</w:t>
            </w:r>
            <w:r>
              <w:rPr>
                <w:color w:val="231F1F"/>
                <w:w w:val="105"/>
                <w:sz w:val="22"/>
              </w:rPr>
              <w:t> fluidos</w:t>
            </w:r>
            <w:r>
              <w:rPr>
                <w:color w:val="231F1F"/>
                <w:w w:val="105"/>
                <w:sz w:val="22"/>
              </w:rPr>
              <w:t> corporales,</w:t>
            </w:r>
            <w:r>
              <w:rPr>
                <w:color w:val="231F1F"/>
                <w:w w:val="105"/>
                <w:sz w:val="22"/>
              </w:rPr>
              <w:t> secreciones</w:t>
            </w:r>
            <w:r>
              <w:rPr>
                <w:color w:val="231F1F"/>
                <w:w w:val="105"/>
                <w:sz w:val="22"/>
              </w:rPr>
              <w:t> o</w:t>
            </w:r>
            <w:r>
              <w:rPr>
                <w:color w:val="231F1F"/>
                <w:w w:val="105"/>
                <w:sz w:val="22"/>
              </w:rPr>
              <w:t> excrecio- nes, o instrumentos cortantes o contaminados.</w:t>
            </w:r>
          </w:p>
        </w:tc>
      </w:tr>
    </w:tbl>
    <w:p>
      <w:pPr>
        <w:pStyle w:val="TableParagraph"/>
        <w:spacing w:after="0" w:line="252" w:lineRule="auto"/>
        <w:jc w:val="both"/>
        <w:rPr>
          <w:sz w:val="22"/>
        </w:rPr>
        <w:sectPr>
          <w:type w:val="continuous"/>
          <w:pgSz w:w="11900" w:h="16840"/>
          <w:pgMar w:header="0" w:footer="622" w:top="1640" w:bottom="2151"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1242" w:hRule="atLeast"/>
        </w:trPr>
        <w:tc>
          <w:tcPr>
            <w:tcW w:w="456" w:type="dxa"/>
          </w:tcPr>
          <w:p>
            <w:pPr>
              <w:pStyle w:val="TableParagraph"/>
              <w:spacing w:before="208"/>
              <w:ind w:left="0"/>
              <w:rPr>
                <w:rFonts w:ascii="Arial MT"/>
                <w:sz w:val="22"/>
              </w:rPr>
            </w:pPr>
          </w:p>
          <w:p>
            <w:pPr>
              <w:pStyle w:val="TableParagraph"/>
              <w:ind w:left="45" w:right="43"/>
              <w:jc w:val="center"/>
              <w:rPr>
                <w:sz w:val="22"/>
              </w:rPr>
            </w:pPr>
            <w:r>
              <w:rPr>
                <w:color w:val="231F1F"/>
                <w:spacing w:val="-10"/>
                <w:w w:val="115"/>
                <w:sz w:val="22"/>
              </w:rPr>
              <w:t>D</w:t>
            </w:r>
          </w:p>
        </w:tc>
        <w:tc>
          <w:tcPr>
            <w:tcW w:w="8050" w:type="dxa"/>
          </w:tcPr>
          <w:p>
            <w:pPr>
              <w:pStyle w:val="TableParagraph"/>
              <w:spacing w:line="249" w:lineRule="auto" w:before="53"/>
              <w:ind w:right="83"/>
              <w:jc w:val="both"/>
              <w:rPr>
                <w:sz w:val="22"/>
              </w:rPr>
            </w:pPr>
            <w:r>
              <w:rPr>
                <w:color w:val="231F1F"/>
                <w:w w:val="105"/>
                <w:sz w:val="22"/>
              </w:rPr>
              <w:t>Los guantes serán siempre de un sólo uso y deberán colocarse inmediatamente antes de</w:t>
            </w:r>
            <w:r>
              <w:rPr>
                <w:color w:val="231F1F"/>
                <w:w w:val="105"/>
                <w:sz w:val="22"/>
              </w:rPr>
              <w:t> un</w:t>
            </w:r>
            <w:r>
              <w:rPr>
                <w:color w:val="231F1F"/>
                <w:w w:val="105"/>
                <w:sz w:val="22"/>
              </w:rPr>
              <w:t> episodio</w:t>
            </w:r>
            <w:r>
              <w:rPr>
                <w:color w:val="231F1F"/>
                <w:w w:val="105"/>
                <w:sz w:val="22"/>
              </w:rPr>
              <w:t> en</w:t>
            </w:r>
            <w:r>
              <w:rPr>
                <w:color w:val="231F1F"/>
                <w:w w:val="105"/>
                <w:sz w:val="22"/>
              </w:rPr>
              <w:t> el</w:t>
            </w:r>
            <w:r>
              <w:rPr>
                <w:color w:val="231F1F"/>
                <w:w w:val="105"/>
                <w:sz w:val="22"/>
              </w:rPr>
              <w:t> que</w:t>
            </w:r>
            <w:r>
              <w:rPr>
                <w:color w:val="231F1F"/>
                <w:w w:val="105"/>
                <w:sz w:val="22"/>
              </w:rPr>
              <w:t> haya</w:t>
            </w:r>
            <w:r>
              <w:rPr>
                <w:color w:val="231F1F"/>
                <w:w w:val="105"/>
                <w:sz w:val="22"/>
              </w:rPr>
              <w:t> contacto</w:t>
            </w:r>
            <w:r>
              <w:rPr>
                <w:color w:val="231F1F"/>
                <w:w w:val="105"/>
                <w:sz w:val="22"/>
              </w:rPr>
              <w:t> con</w:t>
            </w:r>
            <w:r>
              <w:rPr>
                <w:color w:val="231F1F"/>
                <w:w w:val="105"/>
                <w:sz w:val="22"/>
              </w:rPr>
              <w:t> un</w:t>
            </w:r>
            <w:r>
              <w:rPr>
                <w:color w:val="231F1F"/>
                <w:w w:val="105"/>
                <w:sz w:val="22"/>
              </w:rPr>
              <w:t> paciente</w:t>
            </w:r>
            <w:r>
              <w:rPr>
                <w:color w:val="231F1F"/>
                <w:w w:val="105"/>
                <w:sz w:val="22"/>
              </w:rPr>
              <w:t> y</w:t>
            </w:r>
            <w:r>
              <w:rPr>
                <w:color w:val="231F1F"/>
                <w:w w:val="105"/>
                <w:sz w:val="22"/>
              </w:rPr>
              <w:t> retirarse</w:t>
            </w:r>
            <w:r>
              <w:rPr>
                <w:color w:val="231F1F"/>
                <w:w w:val="105"/>
                <w:sz w:val="22"/>
              </w:rPr>
              <w:t> tan</w:t>
            </w:r>
            <w:r>
              <w:rPr>
                <w:color w:val="231F1F"/>
                <w:w w:val="105"/>
                <w:sz w:val="22"/>
              </w:rPr>
              <w:t> pronto</w:t>
            </w:r>
            <w:r>
              <w:rPr>
                <w:color w:val="231F1F"/>
                <w:w w:val="105"/>
                <w:sz w:val="22"/>
              </w:rPr>
              <w:t> la actividad haya finalizado. Los guantes deberán</w:t>
            </w:r>
            <w:r>
              <w:rPr>
                <w:color w:val="231F1F"/>
                <w:spacing w:val="-1"/>
                <w:w w:val="105"/>
                <w:sz w:val="22"/>
              </w:rPr>
              <w:t> </w:t>
            </w:r>
            <w:r>
              <w:rPr>
                <w:color w:val="231F1F"/>
                <w:w w:val="105"/>
                <w:sz w:val="22"/>
              </w:rPr>
              <w:t>ser cambiados cada vez que se atien- da</w:t>
            </w:r>
            <w:r>
              <w:rPr>
                <w:color w:val="231F1F"/>
                <w:spacing w:val="40"/>
                <w:w w:val="105"/>
                <w:sz w:val="22"/>
              </w:rPr>
              <w:t> </w:t>
            </w:r>
            <w:r>
              <w:rPr>
                <w:color w:val="231F1F"/>
                <w:w w:val="105"/>
                <w:sz w:val="22"/>
              </w:rPr>
              <w:t>a</w:t>
            </w:r>
            <w:r>
              <w:rPr>
                <w:color w:val="231F1F"/>
                <w:spacing w:val="40"/>
                <w:w w:val="105"/>
                <w:sz w:val="22"/>
              </w:rPr>
              <w:t> </w:t>
            </w:r>
            <w:r>
              <w:rPr>
                <w:color w:val="231F1F"/>
                <w:w w:val="105"/>
                <w:sz w:val="22"/>
              </w:rPr>
              <w:t>mujeres</w:t>
            </w:r>
            <w:r>
              <w:rPr>
                <w:color w:val="231F1F"/>
                <w:spacing w:val="40"/>
                <w:w w:val="105"/>
                <w:sz w:val="22"/>
              </w:rPr>
              <w:t> </w:t>
            </w:r>
            <w:r>
              <w:rPr>
                <w:color w:val="231F1F"/>
                <w:w w:val="105"/>
                <w:sz w:val="22"/>
              </w:rPr>
              <w:t>diferentes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entre</w:t>
            </w:r>
            <w:r>
              <w:rPr>
                <w:color w:val="231F1F"/>
                <w:spacing w:val="40"/>
                <w:w w:val="105"/>
                <w:sz w:val="22"/>
              </w:rPr>
              <w:t> </w:t>
            </w:r>
            <w:r>
              <w:rPr>
                <w:color w:val="231F1F"/>
                <w:w w:val="105"/>
                <w:sz w:val="22"/>
              </w:rPr>
              <w:t>actividades</w:t>
            </w:r>
            <w:r>
              <w:rPr>
                <w:color w:val="231F1F"/>
                <w:spacing w:val="40"/>
                <w:w w:val="105"/>
                <w:sz w:val="22"/>
              </w:rPr>
              <w:t> </w:t>
            </w:r>
            <w:r>
              <w:rPr>
                <w:color w:val="231F1F"/>
                <w:w w:val="105"/>
                <w:sz w:val="22"/>
              </w:rPr>
              <w:t>diferentes</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un</w:t>
            </w:r>
            <w:r>
              <w:rPr>
                <w:color w:val="231F1F"/>
                <w:spacing w:val="40"/>
                <w:w w:val="105"/>
                <w:sz w:val="22"/>
              </w:rPr>
              <w:t> </w:t>
            </w:r>
            <w:r>
              <w:rPr>
                <w:color w:val="231F1F"/>
                <w:w w:val="105"/>
                <w:sz w:val="22"/>
              </w:rPr>
              <w:t>mismo</w:t>
            </w:r>
            <w:r>
              <w:rPr>
                <w:color w:val="231F1F"/>
                <w:spacing w:val="40"/>
                <w:w w:val="105"/>
                <w:sz w:val="22"/>
              </w:rPr>
              <w:t> </w:t>
            </w:r>
            <w:r>
              <w:rPr>
                <w:color w:val="231F1F"/>
                <w:w w:val="105"/>
                <w:sz w:val="22"/>
              </w:rPr>
              <w:t>paciente.</w:t>
            </w:r>
          </w:p>
        </w:tc>
      </w:tr>
      <w:tr>
        <w:trPr>
          <w:trHeight w:val="402" w:hRule="atLeast"/>
        </w:trPr>
        <w:tc>
          <w:tcPr>
            <w:tcW w:w="8506" w:type="dxa"/>
            <w:gridSpan w:val="2"/>
          </w:tcPr>
          <w:p>
            <w:pPr>
              <w:pStyle w:val="TableParagraph"/>
              <w:spacing w:before="58"/>
              <w:rPr>
                <w:b/>
                <w:sz w:val="22"/>
              </w:rPr>
            </w:pPr>
            <w:r>
              <w:rPr>
                <w:b/>
                <w:color w:val="231F1F"/>
                <w:sz w:val="22"/>
              </w:rPr>
              <w:t>Uso</w:t>
            </w:r>
            <w:r>
              <w:rPr>
                <w:b/>
                <w:color w:val="231F1F"/>
                <w:spacing w:val="17"/>
                <w:sz w:val="22"/>
              </w:rPr>
              <w:t> </w:t>
            </w:r>
            <w:r>
              <w:rPr>
                <w:b/>
                <w:color w:val="231F1F"/>
                <w:sz w:val="22"/>
              </w:rPr>
              <w:t>de</w:t>
            </w:r>
            <w:r>
              <w:rPr>
                <w:b/>
                <w:color w:val="231F1F"/>
                <w:spacing w:val="19"/>
                <w:sz w:val="22"/>
              </w:rPr>
              <w:t> </w:t>
            </w:r>
            <w:r>
              <w:rPr>
                <w:b/>
                <w:color w:val="231F1F"/>
                <w:spacing w:val="-2"/>
                <w:sz w:val="22"/>
              </w:rPr>
              <w:t>mascarillas</w:t>
            </w:r>
          </w:p>
        </w:tc>
      </w:tr>
      <w:tr>
        <w:trPr>
          <w:trHeight w:val="681" w:hRule="atLeast"/>
        </w:trPr>
        <w:tc>
          <w:tcPr>
            <w:tcW w:w="456" w:type="dxa"/>
          </w:tcPr>
          <w:p>
            <w:pPr>
              <w:pStyle w:val="TableParagraph"/>
              <w:spacing w:before="178"/>
              <w:ind w:left="45" w:right="43"/>
              <w:jc w:val="center"/>
              <w:rPr>
                <w:sz w:val="22"/>
              </w:rPr>
            </w:pPr>
            <w:r>
              <w:rPr>
                <w:color w:val="231F1F"/>
                <w:spacing w:val="-10"/>
                <w:w w:val="115"/>
                <w:sz w:val="22"/>
              </w:rPr>
              <w:t>D</w:t>
            </w:r>
          </w:p>
        </w:tc>
        <w:tc>
          <w:tcPr>
            <w:tcW w:w="8050" w:type="dxa"/>
          </w:tcPr>
          <w:p>
            <w:pPr>
              <w:pStyle w:val="TableParagraph"/>
              <w:spacing w:before="44"/>
              <w:ind w:right="155"/>
              <w:rPr>
                <w:sz w:val="22"/>
              </w:rPr>
            </w:pPr>
            <w:r>
              <w:rPr>
                <w:color w:val="231F1F"/>
                <w:w w:val="110"/>
                <w:sz w:val="22"/>
              </w:rPr>
              <w:t>Las</w:t>
            </w:r>
            <w:r>
              <w:rPr>
                <w:color w:val="231F1F"/>
                <w:spacing w:val="-16"/>
                <w:w w:val="110"/>
                <w:sz w:val="22"/>
              </w:rPr>
              <w:t> </w:t>
            </w:r>
            <w:r>
              <w:rPr>
                <w:color w:val="231F1F"/>
                <w:w w:val="110"/>
                <w:sz w:val="22"/>
              </w:rPr>
              <w:t>mascarillas</w:t>
            </w:r>
            <w:r>
              <w:rPr>
                <w:color w:val="231F1F"/>
                <w:spacing w:val="-15"/>
                <w:w w:val="110"/>
                <w:sz w:val="22"/>
              </w:rPr>
              <w:t> </w:t>
            </w:r>
            <w:r>
              <w:rPr>
                <w:color w:val="231F1F"/>
                <w:w w:val="110"/>
                <w:sz w:val="22"/>
              </w:rPr>
              <w:t>faciales</w:t>
            </w:r>
            <w:r>
              <w:rPr>
                <w:color w:val="231F1F"/>
                <w:spacing w:val="-15"/>
                <w:w w:val="110"/>
                <w:sz w:val="22"/>
              </w:rPr>
              <w:t> </w:t>
            </w:r>
            <w:r>
              <w:rPr>
                <w:color w:val="231F1F"/>
                <w:w w:val="110"/>
                <w:sz w:val="22"/>
              </w:rPr>
              <w:t>y</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protecciones</w:t>
            </w:r>
            <w:r>
              <w:rPr>
                <w:color w:val="231F1F"/>
                <w:spacing w:val="-15"/>
                <w:w w:val="110"/>
                <w:sz w:val="22"/>
              </w:rPr>
              <w:t> </w:t>
            </w:r>
            <w:r>
              <w:rPr>
                <w:color w:val="231F1F"/>
                <w:w w:val="110"/>
                <w:sz w:val="22"/>
              </w:rPr>
              <w:t>oculares</w:t>
            </w:r>
            <w:r>
              <w:rPr>
                <w:color w:val="231F1F"/>
                <w:spacing w:val="-15"/>
                <w:w w:val="110"/>
                <w:sz w:val="22"/>
              </w:rPr>
              <w:t> </w:t>
            </w:r>
            <w:r>
              <w:rPr>
                <w:color w:val="231F1F"/>
                <w:w w:val="110"/>
                <w:sz w:val="22"/>
              </w:rPr>
              <w:t>deberán</w:t>
            </w:r>
            <w:r>
              <w:rPr>
                <w:color w:val="231F1F"/>
                <w:spacing w:val="-15"/>
                <w:w w:val="110"/>
                <w:sz w:val="22"/>
              </w:rPr>
              <w:t> </w:t>
            </w:r>
            <w:r>
              <w:rPr>
                <w:color w:val="231F1F"/>
                <w:w w:val="110"/>
                <w:sz w:val="22"/>
              </w:rPr>
              <w:t>ponerse</w:t>
            </w:r>
            <w:r>
              <w:rPr>
                <w:color w:val="231F1F"/>
                <w:spacing w:val="-16"/>
                <w:w w:val="110"/>
                <w:sz w:val="22"/>
              </w:rPr>
              <w:t> </w:t>
            </w:r>
            <w:r>
              <w:rPr>
                <w:color w:val="231F1F"/>
                <w:w w:val="110"/>
                <w:sz w:val="22"/>
              </w:rPr>
              <w:t>cuando</w:t>
            </w:r>
            <w:r>
              <w:rPr>
                <w:color w:val="231F1F"/>
                <w:spacing w:val="-15"/>
                <w:w w:val="110"/>
                <w:sz w:val="22"/>
              </w:rPr>
              <w:t> </w:t>
            </w:r>
            <w:r>
              <w:rPr>
                <w:color w:val="231F1F"/>
                <w:w w:val="110"/>
                <w:sz w:val="22"/>
              </w:rPr>
              <w:t>haya riesgo de salpicaduras de sangre y fluidos corporales en la cara o en los ojos.</w:t>
            </w:r>
          </w:p>
        </w:tc>
      </w:tr>
    </w:tbl>
    <w:p>
      <w:pPr>
        <w:pStyle w:val="TableParagraph"/>
        <w:spacing w:after="0"/>
        <w:rPr>
          <w:sz w:val="22"/>
        </w:rPr>
        <w:sectPr>
          <w:type w:val="continuous"/>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both"/>
      </w:pPr>
      <w:bookmarkStart w:name="_TOC_250037" w:id="19"/>
      <w:r>
        <w:rPr>
          <w:color w:val="231F1F"/>
        </w:rPr>
        <w:t>Posición</w:t>
      </w:r>
      <w:r>
        <w:rPr>
          <w:color w:val="231F1F"/>
          <w:spacing w:val="78"/>
        </w:rPr>
        <w:t> </w:t>
      </w:r>
      <w:r>
        <w:rPr>
          <w:color w:val="231F1F"/>
        </w:rPr>
        <w:t>durante</w:t>
      </w:r>
      <w:r>
        <w:rPr>
          <w:color w:val="231F1F"/>
          <w:spacing w:val="78"/>
        </w:rPr>
        <w:t> </w:t>
      </w:r>
      <w:r>
        <w:rPr>
          <w:color w:val="231F1F"/>
        </w:rPr>
        <w:t>el</w:t>
      </w:r>
      <w:r>
        <w:rPr>
          <w:color w:val="231F1F"/>
          <w:spacing w:val="77"/>
        </w:rPr>
        <w:t> </w:t>
      </w:r>
      <w:r>
        <w:rPr>
          <w:color w:val="231F1F"/>
        </w:rPr>
        <w:t>periodo</w:t>
      </w:r>
      <w:r>
        <w:rPr>
          <w:color w:val="231F1F"/>
          <w:spacing w:val="78"/>
        </w:rPr>
        <w:t> </w:t>
      </w:r>
      <w:bookmarkEnd w:id="19"/>
      <w:r>
        <w:rPr>
          <w:color w:val="231F1F"/>
          <w:spacing w:val="-2"/>
        </w:rPr>
        <w:t>expulsivo</w:t>
      </w:r>
    </w:p>
    <w:p>
      <w:pPr>
        <w:pStyle w:val="BodyText"/>
        <w:spacing w:before="26"/>
        <w:rPr>
          <w:sz w:val="20"/>
        </w:rPr>
      </w:pPr>
      <w:r>
        <w:rPr>
          <w:sz w:val="20"/>
        </w:rPr>
        <mc:AlternateContent>
          <mc:Choice Requires="wps">
            <w:drawing>
              <wp:anchor distT="0" distB="0" distL="0" distR="0" allowOverlap="1" layoutInCell="1" locked="0" behindDoc="1" simplePos="0" relativeHeight="487608320">
                <wp:simplePos x="0" y="0"/>
                <wp:positionH relativeFrom="page">
                  <wp:posOffset>1082675</wp:posOffset>
                </wp:positionH>
                <wp:positionV relativeFrom="paragraph">
                  <wp:posOffset>180997</wp:posOffset>
                </wp:positionV>
                <wp:extent cx="5400040" cy="262255"/>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5400040" cy="262255"/>
                        </a:xfrm>
                        <a:prstGeom prst="rect">
                          <a:avLst/>
                        </a:prstGeom>
                        <a:ln w="6350">
                          <a:solidFill>
                            <a:srgbClr val="A30046"/>
                          </a:solidFill>
                          <a:prstDash val="solid"/>
                        </a:ln>
                      </wps:spPr>
                      <wps:txbx>
                        <w:txbxContent>
                          <w:p>
                            <w:pPr>
                              <w:pStyle w:val="BodyText"/>
                              <w:numPr>
                                <w:ilvl w:val="0"/>
                                <w:numId w:val="40"/>
                              </w:numPr>
                              <w:tabs>
                                <w:tab w:pos="322" w:val="left" w:leader="none"/>
                              </w:tabs>
                              <w:spacing w:line="240" w:lineRule="auto" w:before="51" w:after="0"/>
                              <w:ind w:left="322" w:right="0" w:hanging="218"/>
                              <w:jc w:val="left"/>
                            </w:pPr>
                            <w:r>
                              <w:rPr>
                                <w:color w:val="231F1F"/>
                                <w:w w:val="105"/>
                              </w:rPr>
                              <w:t>¿Cuál</w:t>
                            </w:r>
                            <w:r>
                              <w:rPr>
                                <w:color w:val="231F1F"/>
                                <w:spacing w:val="4"/>
                                <w:w w:val="105"/>
                              </w:rPr>
                              <w:t> </w:t>
                            </w:r>
                            <w:r>
                              <w:rPr>
                                <w:color w:val="231F1F"/>
                                <w:w w:val="105"/>
                              </w:rPr>
                              <w:t>es</w:t>
                            </w:r>
                            <w:r>
                              <w:rPr>
                                <w:color w:val="231F1F"/>
                                <w:spacing w:val="9"/>
                                <w:w w:val="105"/>
                              </w:rPr>
                              <w:t> </w:t>
                            </w:r>
                            <w:r>
                              <w:rPr>
                                <w:color w:val="231F1F"/>
                                <w:w w:val="105"/>
                              </w:rPr>
                              <w:t>la</w:t>
                            </w:r>
                            <w:r>
                              <w:rPr>
                                <w:color w:val="231F1F"/>
                                <w:spacing w:val="6"/>
                                <w:w w:val="105"/>
                              </w:rPr>
                              <w:t> </w:t>
                            </w:r>
                            <w:r>
                              <w:rPr>
                                <w:color w:val="231F1F"/>
                                <w:w w:val="105"/>
                              </w:rPr>
                              <w:t>posición</w:t>
                            </w:r>
                            <w:r>
                              <w:rPr>
                                <w:color w:val="231F1F"/>
                                <w:spacing w:val="6"/>
                                <w:w w:val="105"/>
                              </w:rPr>
                              <w:t> </w:t>
                            </w:r>
                            <w:r>
                              <w:rPr>
                                <w:color w:val="231F1F"/>
                                <w:w w:val="105"/>
                              </w:rPr>
                              <w:t>más</w:t>
                            </w:r>
                            <w:r>
                              <w:rPr>
                                <w:color w:val="231F1F"/>
                                <w:spacing w:val="7"/>
                                <w:w w:val="105"/>
                              </w:rPr>
                              <w:t> </w:t>
                            </w:r>
                            <w:r>
                              <w:rPr>
                                <w:color w:val="231F1F"/>
                                <w:w w:val="105"/>
                              </w:rPr>
                              <w:t>adecuada</w:t>
                            </w:r>
                            <w:r>
                              <w:rPr>
                                <w:color w:val="231F1F"/>
                                <w:spacing w:val="7"/>
                                <w:w w:val="105"/>
                              </w:rPr>
                              <w:t> </w:t>
                            </w:r>
                            <w:r>
                              <w:rPr>
                                <w:color w:val="231F1F"/>
                                <w:w w:val="105"/>
                              </w:rPr>
                              <w:t>durante</w:t>
                            </w:r>
                            <w:r>
                              <w:rPr>
                                <w:color w:val="231F1F"/>
                                <w:spacing w:val="6"/>
                                <w:w w:val="105"/>
                              </w:rPr>
                              <w:t> </w:t>
                            </w:r>
                            <w:r>
                              <w:rPr>
                                <w:color w:val="231F1F"/>
                                <w:w w:val="105"/>
                              </w:rPr>
                              <w:t>el</w:t>
                            </w:r>
                            <w:r>
                              <w:rPr>
                                <w:color w:val="231F1F"/>
                                <w:spacing w:val="6"/>
                                <w:w w:val="105"/>
                              </w:rPr>
                              <w:t> </w:t>
                            </w:r>
                            <w:r>
                              <w:rPr>
                                <w:color w:val="231F1F"/>
                                <w:w w:val="105"/>
                              </w:rPr>
                              <w:t>periodo</w:t>
                            </w:r>
                            <w:r>
                              <w:rPr>
                                <w:color w:val="231F1F"/>
                                <w:spacing w:val="5"/>
                                <w:w w:val="105"/>
                              </w:rPr>
                              <w:t> </w:t>
                            </w:r>
                            <w:r>
                              <w:rPr>
                                <w:color w:val="231F1F"/>
                                <w:spacing w:val="-2"/>
                                <w:w w:val="105"/>
                              </w:rPr>
                              <w:t>expulsivo?</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8160;mso-wrap-distance-left:0;mso-wrap-distance-right:0" type="#_x0000_t202" id="docshape79" filled="false" stroked="true" strokeweight=".5pt" strokecolor="#a30046">
                <v:textbox inset="0,0,0,0">
                  <w:txbxContent>
                    <w:p>
                      <w:pPr>
                        <w:pStyle w:val="BodyText"/>
                        <w:numPr>
                          <w:ilvl w:val="0"/>
                          <w:numId w:val="40"/>
                        </w:numPr>
                        <w:tabs>
                          <w:tab w:pos="322" w:val="left" w:leader="none"/>
                        </w:tabs>
                        <w:spacing w:line="240" w:lineRule="auto" w:before="51" w:after="0"/>
                        <w:ind w:left="322" w:right="0" w:hanging="218"/>
                        <w:jc w:val="left"/>
                      </w:pPr>
                      <w:r>
                        <w:rPr>
                          <w:color w:val="231F1F"/>
                          <w:w w:val="105"/>
                        </w:rPr>
                        <w:t>¿Cuál</w:t>
                      </w:r>
                      <w:r>
                        <w:rPr>
                          <w:color w:val="231F1F"/>
                          <w:spacing w:val="4"/>
                          <w:w w:val="105"/>
                        </w:rPr>
                        <w:t> </w:t>
                      </w:r>
                      <w:r>
                        <w:rPr>
                          <w:color w:val="231F1F"/>
                          <w:w w:val="105"/>
                        </w:rPr>
                        <w:t>es</w:t>
                      </w:r>
                      <w:r>
                        <w:rPr>
                          <w:color w:val="231F1F"/>
                          <w:spacing w:val="9"/>
                          <w:w w:val="105"/>
                        </w:rPr>
                        <w:t> </w:t>
                      </w:r>
                      <w:r>
                        <w:rPr>
                          <w:color w:val="231F1F"/>
                          <w:w w:val="105"/>
                        </w:rPr>
                        <w:t>la</w:t>
                      </w:r>
                      <w:r>
                        <w:rPr>
                          <w:color w:val="231F1F"/>
                          <w:spacing w:val="6"/>
                          <w:w w:val="105"/>
                        </w:rPr>
                        <w:t> </w:t>
                      </w:r>
                      <w:r>
                        <w:rPr>
                          <w:color w:val="231F1F"/>
                          <w:w w:val="105"/>
                        </w:rPr>
                        <w:t>posición</w:t>
                      </w:r>
                      <w:r>
                        <w:rPr>
                          <w:color w:val="231F1F"/>
                          <w:spacing w:val="6"/>
                          <w:w w:val="105"/>
                        </w:rPr>
                        <w:t> </w:t>
                      </w:r>
                      <w:r>
                        <w:rPr>
                          <w:color w:val="231F1F"/>
                          <w:w w:val="105"/>
                        </w:rPr>
                        <w:t>más</w:t>
                      </w:r>
                      <w:r>
                        <w:rPr>
                          <w:color w:val="231F1F"/>
                          <w:spacing w:val="7"/>
                          <w:w w:val="105"/>
                        </w:rPr>
                        <w:t> </w:t>
                      </w:r>
                      <w:r>
                        <w:rPr>
                          <w:color w:val="231F1F"/>
                          <w:w w:val="105"/>
                        </w:rPr>
                        <w:t>adecuada</w:t>
                      </w:r>
                      <w:r>
                        <w:rPr>
                          <w:color w:val="231F1F"/>
                          <w:spacing w:val="7"/>
                          <w:w w:val="105"/>
                        </w:rPr>
                        <w:t> </w:t>
                      </w:r>
                      <w:r>
                        <w:rPr>
                          <w:color w:val="231F1F"/>
                          <w:w w:val="105"/>
                        </w:rPr>
                        <w:t>durante</w:t>
                      </w:r>
                      <w:r>
                        <w:rPr>
                          <w:color w:val="231F1F"/>
                          <w:spacing w:val="6"/>
                          <w:w w:val="105"/>
                        </w:rPr>
                        <w:t> </w:t>
                      </w:r>
                      <w:r>
                        <w:rPr>
                          <w:color w:val="231F1F"/>
                          <w:w w:val="105"/>
                        </w:rPr>
                        <w:t>el</w:t>
                      </w:r>
                      <w:r>
                        <w:rPr>
                          <w:color w:val="231F1F"/>
                          <w:spacing w:val="6"/>
                          <w:w w:val="105"/>
                        </w:rPr>
                        <w:t> </w:t>
                      </w:r>
                      <w:r>
                        <w:rPr>
                          <w:color w:val="231F1F"/>
                          <w:w w:val="105"/>
                        </w:rPr>
                        <w:t>periodo</w:t>
                      </w:r>
                      <w:r>
                        <w:rPr>
                          <w:color w:val="231F1F"/>
                          <w:spacing w:val="5"/>
                          <w:w w:val="105"/>
                        </w:rPr>
                        <w:t> </w:t>
                      </w:r>
                      <w:r>
                        <w:rPr>
                          <w:color w:val="231F1F"/>
                          <w:spacing w:val="-2"/>
                          <w:w w:val="105"/>
                        </w:rPr>
                        <w:t>expulsivo?</w:t>
                      </w:r>
                    </w:p>
                  </w:txbxContent>
                </v:textbox>
                <v:stroke dashstyle="solid"/>
                <w10:wrap type="topAndBottom"/>
              </v:shape>
            </w:pict>
          </mc:Fallback>
        </mc:AlternateContent>
      </w:r>
    </w:p>
    <w:p>
      <w:pPr>
        <w:pStyle w:val="BodyText"/>
        <w:spacing w:line="244" w:lineRule="auto" w:before="382"/>
        <w:ind w:left="283" w:right="122"/>
        <w:jc w:val="both"/>
      </w:pPr>
      <w:r>
        <w:rPr>
          <w:color w:val="231F1F"/>
          <w:w w:val="110"/>
        </w:rPr>
        <w:t>Durante</w:t>
      </w:r>
      <w:r>
        <w:rPr>
          <w:color w:val="231F1F"/>
          <w:spacing w:val="-14"/>
          <w:w w:val="110"/>
        </w:rPr>
        <w:t> </w:t>
      </w:r>
      <w:r>
        <w:rPr>
          <w:color w:val="231F1F"/>
          <w:w w:val="110"/>
        </w:rPr>
        <w:t>siglos</w:t>
      </w:r>
      <w:r>
        <w:rPr>
          <w:color w:val="231F1F"/>
          <w:spacing w:val="-14"/>
          <w:w w:val="110"/>
        </w:rPr>
        <w:t> </w:t>
      </w:r>
      <w:r>
        <w:rPr>
          <w:color w:val="231F1F"/>
          <w:w w:val="110"/>
        </w:rPr>
        <w:t>ha</w:t>
      </w:r>
      <w:r>
        <w:rPr>
          <w:color w:val="231F1F"/>
          <w:spacing w:val="-14"/>
          <w:w w:val="110"/>
        </w:rPr>
        <w:t> </w:t>
      </w:r>
      <w:r>
        <w:rPr>
          <w:color w:val="231F1F"/>
          <w:w w:val="110"/>
        </w:rPr>
        <w:t>habido</w:t>
      </w:r>
      <w:r>
        <w:rPr>
          <w:color w:val="231F1F"/>
          <w:spacing w:val="-14"/>
          <w:w w:val="110"/>
        </w:rPr>
        <w:t> </w:t>
      </w:r>
      <w:r>
        <w:rPr>
          <w:color w:val="231F1F"/>
          <w:w w:val="110"/>
        </w:rPr>
        <w:t>controversia</w:t>
      </w:r>
      <w:r>
        <w:rPr>
          <w:color w:val="231F1F"/>
          <w:spacing w:val="-14"/>
          <w:w w:val="110"/>
        </w:rPr>
        <w:t> </w:t>
      </w:r>
      <w:r>
        <w:rPr>
          <w:color w:val="231F1F"/>
          <w:w w:val="110"/>
        </w:rPr>
        <w:t>sobre</w:t>
      </w:r>
      <w:r>
        <w:rPr>
          <w:color w:val="231F1F"/>
          <w:spacing w:val="-14"/>
          <w:w w:val="110"/>
        </w:rPr>
        <w:t> </w:t>
      </w:r>
      <w:r>
        <w:rPr>
          <w:color w:val="231F1F"/>
          <w:w w:val="110"/>
        </w:rPr>
        <w:t>si</w:t>
      </w:r>
      <w:r>
        <w:rPr>
          <w:color w:val="231F1F"/>
          <w:spacing w:val="-14"/>
          <w:w w:val="110"/>
        </w:rPr>
        <w:t> </w:t>
      </w:r>
      <w:r>
        <w:rPr>
          <w:color w:val="231F1F"/>
          <w:w w:val="110"/>
        </w:rPr>
        <w:t>permanecer</w:t>
      </w:r>
      <w:r>
        <w:rPr>
          <w:color w:val="231F1F"/>
          <w:spacing w:val="-14"/>
          <w:w w:val="110"/>
        </w:rPr>
        <w:t> </w:t>
      </w:r>
      <w:r>
        <w:rPr>
          <w:color w:val="231F1F"/>
          <w:w w:val="110"/>
        </w:rPr>
        <w:t>en</w:t>
      </w:r>
      <w:r>
        <w:rPr>
          <w:color w:val="231F1F"/>
          <w:spacing w:val="-14"/>
          <w:w w:val="110"/>
        </w:rPr>
        <w:t> </w:t>
      </w:r>
      <w:r>
        <w:rPr>
          <w:color w:val="231F1F"/>
          <w:w w:val="110"/>
        </w:rPr>
        <w:t>posición</w:t>
      </w:r>
      <w:r>
        <w:rPr>
          <w:color w:val="231F1F"/>
          <w:spacing w:val="-14"/>
          <w:w w:val="110"/>
        </w:rPr>
        <w:t> </w:t>
      </w:r>
      <w:r>
        <w:rPr>
          <w:color w:val="231F1F"/>
          <w:w w:val="110"/>
        </w:rPr>
        <w:t>vertical</w:t>
      </w:r>
      <w:r>
        <w:rPr>
          <w:color w:val="231F1F"/>
          <w:spacing w:val="-14"/>
          <w:w w:val="110"/>
        </w:rPr>
        <w:t> </w:t>
      </w:r>
      <w:r>
        <w:rPr>
          <w:color w:val="231F1F"/>
          <w:w w:val="110"/>
        </w:rPr>
        <w:t>tiene</w:t>
      </w:r>
      <w:r>
        <w:rPr>
          <w:color w:val="231F1F"/>
          <w:spacing w:val="-14"/>
          <w:w w:val="110"/>
        </w:rPr>
        <w:t> </w:t>
      </w:r>
      <w:r>
        <w:rPr>
          <w:color w:val="231F1F"/>
          <w:w w:val="110"/>
        </w:rPr>
        <w:t>ven- tajas</w:t>
      </w:r>
      <w:r>
        <w:rPr>
          <w:color w:val="231F1F"/>
          <w:spacing w:val="-9"/>
          <w:w w:val="110"/>
        </w:rPr>
        <w:t> </w:t>
      </w:r>
      <w:r>
        <w:rPr>
          <w:color w:val="231F1F"/>
          <w:w w:val="110"/>
        </w:rPr>
        <w:t>sobre</w:t>
      </w:r>
      <w:r>
        <w:rPr>
          <w:color w:val="231F1F"/>
          <w:spacing w:val="-9"/>
          <w:w w:val="110"/>
        </w:rPr>
        <w:t> </w:t>
      </w:r>
      <w:r>
        <w:rPr>
          <w:color w:val="231F1F"/>
          <w:w w:val="110"/>
        </w:rPr>
        <w:t>la</w:t>
      </w:r>
      <w:r>
        <w:rPr>
          <w:color w:val="231F1F"/>
          <w:spacing w:val="-9"/>
          <w:w w:val="110"/>
        </w:rPr>
        <w:t> </w:t>
      </w:r>
      <w:r>
        <w:rPr>
          <w:color w:val="231F1F"/>
          <w:w w:val="110"/>
        </w:rPr>
        <w:t>posición</w:t>
      </w:r>
      <w:r>
        <w:rPr>
          <w:color w:val="231F1F"/>
          <w:spacing w:val="-8"/>
          <w:w w:val="110"/>
        </w:rPr>
        <w:t> </w:t>
      </w:r>
      <w:r>
        <w:rPr>
          <w:color w:val="231F1F"/>
          <w:w w:val="110"/>
        </w:rPr>
        <w:t>supina</w:t>
      </w:r>
      <w:r>
        <w:rPr>
          <w:color w:val="231F1F"/>
          <w:spacing w:val="-9"/>
          <w:w w:val="110"/>
        </w:rPr>
        <w:t> </w:t>
      </w:r>
      <w:r>
        <w:rPr>
          <w:color w:val="231F1F"/>
          <w:w w:val="110"/>
        </w:rPr>
        <w:t>para</w:t>
      </w:r>
      <w:r>
        <w:rPr>
          <w:color w:val="231F1F"/>
          <w:spacing w:val="-9"/>
          <w:w w:val="110"/>
        </w:rPr>
        <w:t> </w:t>
      </w:r>
      <w:r>
        <w:rPr>
          <w:color w:val="231F1F"/>
          <w:w w:val="110"/>
        </w:rPr>
        <w:t>las</w:t>
      </w:r>
      <w:r>
        <w:rPr>
          <w:color w:val="231F1F"/>
          <w:spacing w:val="-9"/>
          <w:w w:val="110"/>
        </w:rPr>
        <w:t> </w:t>
      </w:r>
      <w:r>
        <w:rPr>
          <w:color w:val="231F1F"/>
          <w:w w:val="110"/>
        </w:rPr>
        <w:t>mujeres</w:t>
      </w:r>
      <w:r>
        <w:rPr>
          <w:color w:val="231F1F"/>
          <w:spacing w:val="-8"/>
          <w:w w:val="110"/>
        </w:rPr>
        <w:t> </w:t>
      </w:r>
      <w:r>
        <w:rPr>
          <w:color w:val="231F1F"/>
          <w:w w:val="110"/>
        </w:rPr>
        <w:t>que</w:t>
      </w:r>
      <w:r>
        <w:rPr>
          <w:color w:val="231F1F"/>
          <w:spacing w:val="-9"/>
          <w:w w:val="110"/>
        </w:rPr>
        <w:t> </w:t>
      </w:r>
      <w:r>
        <w:rPr>
          <w:color w:val="231F1F"/>
          <w:w w:val="110"/>
        </w:rPr>
        <w:t>están</w:t>
      </w:r>
      <w:r>
        <w:rPr>
          <w:color w:val="231F1F"/>
          <w:spacing w:val="-8"/>
          <w:w w:val="110"/>
        </w:rPr>
        <w:t> </w:t>
      </w:r>
      <w:r>
        <w:rPr>
          <w:color w:val="231F1F"/>
          <w:w w:val="110"/>
        </w:rPr>
        <w:t>en</w:t>
      </w:r>
      <w:r>
        <w:rPr>
          <w:color w:val="231F1F"/>
          <w:spacing w:val="-8"/>
          <w:w w:val="110"/>
        </w:rPr>
        <w:t> </w:t>
      </w:r>
      <w:r>
        <w:rPr>
          <w:color w:val="231F1F"/>
          <w:w w:val="110"/>
        </w:rPr>
        <w:t>trabajo</w:t>
      </w:r>
      <w:r>
        <w:rPr>
          <w:color w:val="231F1F"/>
          <w:spacing w:val="-8"/>
          <w:w w:val="110"/>
        </w:rPr>
        <w:t> </w:t>
      </w:r>
      <w:r>
        <w:rPr>
          <w:color w:val="231F1F"/>
          <w:w w:val="110"/>
        </w:rPr>
        <w:t>de</w:t>
      </w:r>
      <w:r>
        <w:rPr>
          <w:color w:val="231F1F"/>
          <w:spacing w:val="-9"/>
          <w:w w:val="110"/>
        </w:rPr>
        <w:t> </w:t>
      </w:r>
      <w:r>
        <w:rPr>
          <w:color w:val="231F1F"/>
          <w:w w:val="110"/>
        </w:rPr>
        <w:t>parto.</w:t>
      </w:r>
      <w:r>
        <w:rPr>
          <w:color w:val="231F1F"/>
          <w:spacing w:val="-9"/>
          <w:w w:val="110"/>
        </w:rPr>
        <w:t> </w:t>
      </w:r>
      <w:r>
        <w:rPr>
          <w:color w:val="231F1F"/>
          <w:w w:val="110"/>
        </w:rPr>
        <w:t>Ya</w:t>
      </w:r>
      <w:r>
        <w:rPr>
          <w:color w:val="231F1F"/>
          <w:spacing w:val="-9"/>
          <w:w w:val="110"/>
        </w:rPr>
        <w:t> </w:t>
      </w:r>
      <w:r>
        <w:rPr>
          <w:color w:val="231F1F"/>
          <w:w w:val="110"/>
        </w:rPr>
        <w:t>en</w:t>
      </w:r>
      <w:r>
        <w:rPr>
          <w:color w:val="231F1F"/>
          <w:spacing w:val="-8"/>
          <w:w w:val="110"/>
        </w:rPr>
        <w:t> </w:t>
      </w:r>
      <w:r>
        <w:rPr>
          <w:color w:val="231F1F"/>
          <w:w w:val="110"/>
        </w:rPr>
        <w:t>1882, Engelmann describió la posición que las mujeres adoptan naturalmente durante el parto</w:t>
      </w:r>
    </w:p>
    <w:p>
      <w:pPr>
        <w:pStyle w:val="BodyText"/>
        <w:spacing w:line="244" w:lineRule="auto" w:before="3"/>
        <w:ind w:left="283" w:right="120"/>
        <w:jc w:val="both"/>
      </w:pPr>
      <w:r>
        <w:rPr>
          <w:color w:val="231F1F"/>
          <w:w w:val="105"/>
        </w:rPr>
        <w:t>(126). Él observó que las mujeres «primitivas», sin la influencia de los convencionalismos occidentales, trataban de evitar la posición dorsal y cambiaban de posición cómo y cuándo lo deseaban.</w:t>
      </w:r>
    </w:p>
    <w:p>
      <w:pPr>
        <w:pStyle w:val="BodyText"/>
        <w:spacing w:line="249" w:lineRule="auto" w:before="153"/>
        <w:ind w:left="283" w:right="110" w:firstLine="453"/>
        <w:jc w:val="both"/>
      </w:pPr>
      <w:r>
        <w:rPr>
          <w:color w:val="231F1F"/>
          <w:w w:val="105"/>
        </w:rPr>
        <w:t>Los</w:t>
      </w:r>
      <w:r>
        <w:rPr>
          <w:color w:val="231F1F"/>
          <w:spacing w:val="40"/>
          <w:w w:val="105"/>
        </w:rPr>
        <w:t> </w:t>
      </w:r>
      <w:r>
        <w:rPr>
          <w:color w:val="231F1F"/>
          <w:w w:val="105"/>
        </w:rPr>
        <w:t>factores</w:t>
      </w:r>
      <w:r>
        <w:rPr>
          <w:color w:val="231F1F"/>
          <w:spacing w:val="40"/>
          <w:w w:val="105"/>
        </w:rPr>
        <w:t> </w:t>
      </w:r>
      <w:r>
        <w:rPr>
          <w:color w:val="231F1F"/>
          <w:w w:val="105"/>
        </w:rPr>
        <w:t>que</w:t>
      </w:r>
      <w:r>
        <w:rPr>
          <w:color w:val="231F1F"/>
          <w:spacing w:val="40"/>
          <w:w w:val="105"/>
        </w:rPr>
        <w:t> </w:t>
      </w:r>
      <w:r>
        <w:rPr>
          <w:color w:val="231F1F"/>
          <w:w w:val="105"/>
        </w:rPr>
        <w:t>influyen</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posición</w:t>
      </w:r>
      <w:r>
        <w:rPr>
          <w:color w:val="231F1F"/>
          <w:spacing w:val="40"/>
          <w:w w:val="105"/>
        </w:rPr>
        <w:t> </w:t>
      </w:r>
      <w:r>
        <w:rPr>
          <w:color w:val="231F1F"/>
          <w:w w:val="105"/>
        </w:rPr>
        <w:t>que</w:t>
      </w:r>
      <w:r>
        <w:rPr>
          <w:color w:val="231F1F"/>
          <w:spacing w:val="40"/>
          <w:w w:val="105"/>
        </w:rPr>
        <w:t> </w:t>
      </w:r>
      <w:r>
        <w:rPr>
          <w:color w:val="231F1F"/>
          <w:w w:val="105"/>
        </w:rPr>
        <w:t>adoptan</w:t>
      </w:r>
      <w:r>
        <w:rPr>
          <w:color w:val="231F1F"/>
          <w:spacing w:val="40"/>
          <w:w w:val="105"/>
        </w:rPr>
        <w:t> </w:t>
      </w:r>
      <w:r>
        <w:rPr>
          <w:color w:val="231F1F"/>
          <w:w w:val="105"/>
        </w:rPr>
        <w:t>las</w:t>
      </w:r>
      <w:r>
        <w:rPr>
          <w:color w:val="231F1F"/>
          <w:spacing w:val="40"/>
          <w:w w:val="105"/>
        </w:rPr>
        <w:t> </w:t>
      </w:r>
      <w:r>
        <w:rPr>
          <w:color w:val="231F1F"/>
          <w:w w:val="105"/>
        </w:rPr>
        <w:t>mujeres</w:t>
      </w:r>
      <w:r>
        <w:rPr>
          <w:color w:val="231F1F"/>
          <w:spacing w:val="40"/>
          <w:w w:val="105"/>
        </w:rPr>
        <w:t> </w:t>
      </w:r>
      <w:r>
        <w:rPr>
          <w:color w:val="231F1F"/>
          <w:w w:val="105"/>
        </w:rPr>
        <w:t>durante</w:t>
      </w:r>
      <w:r>
        <w:rPr>
          <w:color w:val="231F1F"/>
          <w:spacing w:val="40"/>
          <w:w w:val="105"/>
        </w:rPr>
        <w:t> </w:t>
      </w:r>
      <w:r>
        <w:rPr>
          <w:color w:val="231F1F"/>
          <w:w w:val="105"/>
        </w:rPr>
        <w:t>el</w:t>
      </w:r>
      <w:r>
        <w:rPr>
          <w:color w:val="231F1F"/>
          <w:spacing w:val="40"/>
          <w:w w:val="105"/>
        </w:rPr>
        <w:t> </w:t>
      </w:r>
      <w:r>
        <w:rPr>
          <w:color w:val="231F1F"/>
          <w:w w:val="105"/>
        </w:rPr>
        <w:t>parto son</w:t>
      </w:r>
      <w:r>
        <w:rPr>
          <w:color w:val="231F1F"/>
          <w:w w:val="105"/>
        </w:rPr>
        <w:t> numerosos</w:t>
      </w:r>
      <w:r>
        <w:rPr>
          <w:color w:val="231F1F"/>
          <w:w w:val="105"/>
        </w:rPr>
        <w:t> y</w:t>
      </w:r>
      <w:r>
        <w:rPr>
          <w:color w:val="231F1F"/>
          <w:w w:val="105"/>
        </w:rPr>
        <w:t> complejos.</w:t>
      </w:r>
      <w:r>
        <w:rPr>
          <w:color w:val="231F1F"/>
          <w:w w:val="105"/>
        </w:rPr>
        <w:t> Es</w:t>
      </w:r>
      <w:r>
        <w:rPr>
          <w:color w:val="231F1F"/>
          <w:w w:val="105"/>
        </w:rPr>
        <w:t> difícil</w:t>
      </w:r>
      <w:r>
        <w:rPr>
          <w:color w:val="231F1F"/>
          <w:w w:val="105"/>
        </w:rPr>
        <w:t> identificar</w:t>
      </w:r>
      <w:r>
        <w:rPr>
          <w:color w:val="231F1F"/>
          <w:w w:val="105"/>
        </w:rPr>
        <w:t> la</w:t>
      </w:r>
      <w:r>
        <w:rPr>
          <w:color w:val="231F1F"/>
          <w:w w:val="105"/>
        </w:rPr>
        <w:t> conducta</w:t>
      </w:r>
      <w:r>
        <w:rPr>
          <w:color w:val="231F1F"/>
          <w:w w:val="105"/>
        </w:rPr>
        <w:t> «instintiva»</w:t>
      </w:r>
      <w:r>
        <w:rPr>
          <w:color w:val="231F1F"/>
          <w:w w:val="105"/>
        </w:rPr>
        <w:t> porque</w:t>
      </w:r>
      <w:r>
        <w:rPr>
          <w:color w:val="231F1F"/>
          <w:w w:val="105"/>
        </w:rPr>
        <w:t> está fuertemente</w:t>
      </w:r>
      <w:r>
        <w:rPr>
          <w:color w:val="231F1F"/>
          <w:spacing w:val="24"/>
          <w:w w:val="105"/>
        </w:rPr>
        <w:t> </w:t>
      </w:r>
      <w:r>
        <w:rPr>
          <w:color w:val="231F1F"/>
          <w:w w:val="105"/>
        </w:rPr>
        <w:t>influida</w:t>
      </w:r>
      <w:r>
        <w:rPr>
          <w:color w:val="231F1F"/>
          <w:spacing w:val="24"/>
          <w:w w:val="105"/>
        </w:rPr>
        <w:t> </w:t>
      </w:r>
      <w:r>
        <w:rPr>
          <w:color w:val="231F1F"/>
          <w:w w:val="105"/>
        </w:rPr>
        <w:t>por</w:t>
      </w:r>
      <w:r>
        <w:rPr>
          <w:color w:val="231F1F"/>
          <w:spacing w:val="24"/>
          <w:w w:val="105"/>
        </w:rPr>
        <w:t> </w:t>
      </w:r>
      <w:r>
        <w:rPr>
          <w:color w:val="231F1F"/>
          <w:w w:val="105"/>
        </w:rPr>
        <w:t>las</w:t>
      </w:r>
      <w:r>
        <w:rPr>
          <w:color w:val="231F1F"/>
          <w:spacing w:val="24"/>
          <w:w w:val="105"/>
        </w:rPr>
        <w:t> </w:t>
      </w:r>
      <w:r>
        <w:rPr>
          <w:color w:val="231F1F"/>
          <w:w w:val="105"/>
        </w:rPr>
        <w:t>normas</w:t>
      </w:r>
      <w:r>
        <w:rPr>
          <w:color w:val="231F1F"/>
          <w:spacing w:val="24"/>
          <w:w w:val="105"/>
        </w:rPr>
        <w:t> </w:t>
      </w:r>
      <w:r>
        <w:rPr>
          <w:color w:val="231F1F"/>
          <w:w w:val="105"/>
        </w:rPr>
        <w:t>culturales.</w:t>
      </w:r>
      <w:r>
        <w:rPr>
          <w:color w:val="231F1F"/>
          <w:spacing w:val="24"/>
          <w:w w:val="105"/>
        </w:rPr>
        <w:t> </w:t>
      </w:r>
      <w:r>
        <w:rPr>
          <w:color w:val="231F1F"/>
          <w:w w:val="105"/>
        </w:rPr>
        <w:t>Para</w:t>
      </w:r>
      <w:r>
        <w:rPr>
          <w:color w:val="231F1F"/>
          <w:spacing w:val="24"/>
          <w:w w:val="105"/>
        </w:rPr>
        <w:t> </w:t>
      </w:r>
      <w:r>
        <w:rPr>
          <w:color w:val="231F1F"/>
          <w:w w:val="105"/>
        </w:rPr>
        <w:t>las</w:t>
      </w:r>
      <w:r>
        <w:rPr>
          <w:color w:val="231F1F"/>
          <w:spacing w:val="24"/>
          <w:w w:val="105"/>
        </w:rPr>
        <w:t> </w:t>
      </w:r>
      <w:r>
        <w:rPr>
          <w:color w:val="231F1F"/>
          <w:w w:val="105"/>
        </w:rPr>
        <w:t>sociedades</w:t>
      </w:r>
      <w:r>
        <w:rPr>
          <w:color w:val="231F1F"/>
          <w:spacing w:val="23"/>
          <w:w w:val="105"/>
        </w:rPr>
        <w:t> </w:t>
      </w:r>
      <w:r>
        <w:rPr>
          <w:color w:val="231F1F"/>
          <w:w w:val="105"/>
        </w:rPr>
        <w:t>en</w:t>
      </w:r>
      <w:r>
        <w:rPr>
          <w:color w:val="231F1F"/>
          <w:spacing w:val="24"/>
          <w:w w:val="105"/>
        </w:rPr>
        <w:t> </w:t>
      </w:r>
      <w:r>
        <w:rPr>
          <w:color w:val="231F1F"/>
          <w:w w:val="105"/>
        </w:rPr>
        <w:t>las</w:t>
      </w:r>
      <w:r>
        <w:rPr>
          <w:color w:val="231F1F"/>
          <w:spacing w:val="24"/>
          <w:w w:val="105"/>
        </w:rPr>
        <w:t> </w:t>
      </w:r>
      <w:r>
        <w:rPr>
          <w:color w:val="231F1F"/>
          <w:w w:val="105"/>
        </w:rPr>
        <w:t>que</w:t>
      </w:r>
      <w:r>
        <w:rPr>
          <w:color w:val="231F1F"/>
          <w:spacing w:val="24"/>
          <w:w w:val="105"/>
        </w:rPr>
        <w:t> </w:t>
      </w:r>
      <w:r>
        <w:rPr>
          <w:color w:val="231F1F"/>
          <w:w w:val="105"/>
        </w:rPr>
        <w:t>la</w:t>
      </w:r>
      <w:r>
        <w:rPr>
          <w:color w:val="231F1F"/>
          <w:spacing w:val="24"/>
          <w:w w:val="105"/>
        </w:rPr>
        <w:t> </w:t>
      </w:r>
      <w:r>
        <w:rPr>
          <w:color w:val="231F1F"/>
          <w:w w:val="105"/>
        </w:rPr>
        <w:t>mayoría de</w:t>
      </w:r>
      <w:r>
        <w:rPr>
          <w:color w:val="231F1F"/>
          <w:w w:val="105"/>
        </w:rPr>
        <w:t> los</w:t>
      </w:r>
      <w:r>
        <w:rPr>
          <w:color w:val="231F1F"/>
          <w:w w:val="105"/>
        </w:rPr>
        <w:t> nacimientos</w:t>
      </w:r>
      <w:r>
        <w:rPr>
          <w:color w:val="231F1F"/>
          <w:w w:val="105"/>
        </w:rPr>
        <w:t> ocurren</w:t>
      </w:r>
      <w:r>
        <w:rPr>
          <w:color w:val="231F1F"/>
          <w:w w:val="105"/>
        </w:rPr>
        <w:t> en</w:t>
      </w:r>
      <w:r>
        <w:rPr>
          <w:color w:val="231F1F"/>
          <w:w w:val="105"/>
        </w:rPr>
        <w:t> un</w:t>
      </w:r>
      <w:r>
        <w:rPr>
          <w:color w:val="231F1F"/>
          <w:w w:val="105"/>
        </w:rPr>
        <w:t> medio</w:t>
      </w:r>
      <w:r>
        <w:rPr>
          <w:color w:val="231F1F"/>
          <w:w w:val="105"/>
        </w:rPr>
        <w:t> hospitalario,</w:t>
      </w:r>
      <w:r>
        <w:rPr>
          <w:color w:val="231F1F"/>
          <w:w w:val="105"/>
        </w:rPr>
        <w:t> las</w:t>
      </w:r>
      <w:r>
        <w:rPr>
          <w:color w:val="231F1F"/>
          <w:w w:val="105"/>
        </w:rPr>
        <w:t> normas</w:t>
      </w:r>
      <w:r>
        <w:rPr>
          <w:color w:val="231F1F"/>
          <w:w w:val="105"/>
        </w:rPr>
        <w:t> culturales</w:t>
      </w:r>
      <w:r>
        <w:rPr>
          <w:color w:val="231F1F"/>
          <w:w w:val="105"/>
        </w:rPr>
        <w:t> han</w:t>
      </w:r>
      <w:r>
        <w:rPr>
          <w:color w:val="231F1F"/>
          <w:w w:val="105"/>
        </w:rPr>
        <w:t> estado moldeadas con el correr de los años por las expectativas y las exigencias de los profesio- nales, así como por las restricciones impuestas por procedimientos como la monitorización fetal, el tratamiento intravenoso, la analgesia, incluida la analgesia regional, los exámenes clínicos, etc.</w:t>
      </w:r>
    </w:p>
    <w:p>
      <w:pPr>
        <w:pStyle w:val="BodyText"/>
        <w:spacing w:line="244" w:lineRule="auto" w:before="151"/>
        <w:ind w:left="283" w:right="122" w:firstLine="453"/>
        <w:jc w:val="both"/>
      </w:pPr>
      <w:r>
        <w:rPr>
          <w:color w:val="231F1F"/>
          <w:spacing w:val="-2"/>
          <w:w w:val="110"/>
        </w:rPr>
        <w:t>La</w:t>
      </w:r>
      <w:r>
        <w:rPr>
          <w:color w:val="231F1F"/>
          <w:spacing w:val="-10"/>
          <w:w w:val="110"/>
        </w:rPr>
        <w:t> </w:t>
      </w:r>
      <w:r>
        <w:rPr>
          <w:color w:val="231F1F"/>
          <w:spacing w:val="-2"/>
          <w:w w:val="110"/>
        </w:rPr>
        <w:t>posición</w:t>
      </w:r>
      <w:r>
        <w:rPr>
          <w:color w:val="231F1F"/>
          <w:spacing w:val="-9"/>
          <w:w w:val="110"/>
        </w:rPr>
        <w:t> </w:t>
      </w:r>
      <w:r>
        <w:rPr>
          <w:color w:val="231F1F"/>
          <w:spacing w:val="-2"/>
          <w:w w:val="110"/>
        </w:rPr>
        <w:t>durante</w:t>
      </w:r>
      <w:r>
        <w:rPr>
          <w:color w:val="231F1F"/>
          <w:spacing w:val="-10"/>
          <w:w w:val="110"/>
        </w:rPr>
        <w:t> </w:t>
      </w:r>
      <w:r>
        <w:rPr>
          <w:color w:val="231F1F"/>
          <w:spacing w:val="-2"/>
          <w:w w:val="110"/>
        </w:rPr>
        <w:t>el</w:t>
      </w:r>
      <w:r>
        <w:rPr>
          <w:color w:val="231F1F"/>
          <w:spacing w:val="-10"/>
          <w:w w:val="110"/>
        </w:rPr>
        <w:t> </w:t>
      </w:r>
      <w:r>
        <w:rPr>
          <w:color w:val="231F1F"/>
          <w:spacing w:val="-2"/>
          <w:w w:val="110"/>
        </w:rPr>
        <w:t>periodo</w:t>
      </w:r>
      <w:r>
        <w:rPr>
          <w:color w:val="231F1F"/>
          <w:spacing w:val="-10"/>
          <w:w w:val="110"/>
        </w:rPr>
        <w:t> </w:t>
      </w:r>
      <w:r>
        <w:rPr>
          <w:color w:val="231F1F"/>
          <w:spacing w:val="-2"/>
          <w:w w:val="110"/>
        </w:rPr>
        <w:t>expulsivo,</w:t>
      </w:r>
      <w:r>
        <w:rPr>
          <w:color w:val="231F1F"/>
          <w:spacing w:val="-10"/>
          <w:w w:val="110"/>
        </w:rPr>
        <w:t> </w:t>
      </w:r>
      <w:r>
        <w:rPr>
          <w:color w:val="231F1F"/>
          <w:spacing w:val="-2"/>
          <w:w w:val="110"/>
        </w:rPr>
        <w:t>es</w:t>
      </w:r>
      <w:r>
        <w:rPr>
          <w:color w:val="231F1F"/>
          <w:spacing w:val="-10"/>
          <w:w w:val="110"/>
        </w:rPr>
        <w:t> </w:t>
      </w:r>
      <w:r>
        <w:rPr>
          <w:color w:val="231F1F"/>
          <w:spacing w:val="-2"/>
          <w:w w:val="110"/>
        </w:rPr>
        <w:t>un</w:t>
      </w:r>
      <w:r>
        <w:rPr>
          <w:color w:val="231F1F"/>
          <w:spacing w:val="-9"/>
          <w:w w:val="110"/>
        </w:rPr>
        <w:t> </w:t>
      </w:r>
      <w:r>
        <w:rPr>
          <w:color w:val="231F1F"/>
          <w:spacing w:val="-2"/>
          <w:w w:val="110"/>
        </w:rPr>
        <w:t>área</w:t>
      </w:r>
      <w:r>
        <w:rPr>
          <w:color w:val="231F1F"/>
          <w:spacing w:val="-9"/>
          <w:w w:val="110"/>
        </w:rPr>
        <w:t> </w:t>
      </w:r>
      <w:r>
        <w:rPr>
          <w:color w:val="231F1F"/>
          <w:spacing w:val="-2"/>
          <w:w w:val="110"/>
        </w:rPr>
        <w:t>al</w:t>
      </w:r>
      <w:r>
        <w:rPr>
          <w:color w:val="231F1F"/>
          <w:spacing w:val="-10"/>
          <w:w w:val="110"/>
        </w:rPr>
        <w:t> </w:t>
      </w:r>
      <w:r>
        <w:rPr>
          <w:color w:val="231F1F"/>
          <w:spacing w:val="-2"/>
          <w:w w:val="110"/>
        </w:rPr>
        <w:t>que</w:t>
      </w:r>
      <w:r>
        <w:rPr>
          <w:color w:val="231F1F"/>
          <w:spacing w:val="-10"/>
          <w:w w:val="110"/>
        </w:rPr>
        <w:t> </w:t>
      </w:r>
      <w:r>
        <w:rPr>
          <w:color w:val="231F1F"/>
          <w:spacing w:val="-2"/>
          <w:w w:val="110"/>
        </w:rPr>
        <w:t>se</w:t>
      </w:r>
      <w:r>
        <w:rPr>
          <w:color w:val="231F1F"/>
          <w:spacing w:val="-10"/>
          <w:w w:val="110"/>
        </w:rPr>
        <w:t> </w:t>
      </w:r>
      <w:r>
        <w:rPr>
          <w:color w:val="231F1F"/>
          <w:spacing w:val="-2"/>
          <w:w w:val="110"/>
        </w:rPr>
        <w:t>le</w:t>
      </w:r>
      <w:r>
        <w:rPr>
          <w:color w:val="231F1F"/>
          <w:spacing w:val="-10"/>
          <w:w w:val="110"/>
        </w:rPr>
        <w:t> </w:t>
      </w:r>
      <w:r>
        <w:rPr>
          <w:color w:val="231F1F"/>
          <w:spacing w:val="-2"/>
          <w:w w:val="110"/>
        </w:rPr>
        <w:t>debe</w:t>
      </w:r>
      <w:r>
        <w:rPr>
          <w:color w:val="231F1F"/>
          <w:spacing w:val="-10"/>
          <w:w w:val="110"/>
        </w:rPr>
        <w:t> </w:t>
      </w:r>
      <w:r>
        <w:rPr>
          <w:color w:val="231F1F"/>
          <w:spacing w:val="-2"/>
          <w:w w:val="110"/>
        </w:rPr>
        <w:t>prestar</w:t>
      </w:r>
      <w:r>
        <w:rPr>
          <w:color w:val="231F1F"/>
          <w:spacing w:val="-10"/>
          <w:w w:val="110"/>
        </w:rPr>
        <w:t> </w:t>
      </w:r>
      <w:r>
        <w:rPr>
          <w:color w:val="231F1F"/>
          <w:spacing w:val="-2"/>
          <w:w w:val="110"/>
        </w:rPr>
        <w:t>atención </w:t>
      </w:r>
      <w:r>
        <w:rPr>
          <w:color w:val="231F1F"/>
          <w:w w:val="110"/>
        </w:rPr>
        <w:t>especial</w:t>
      </w:r>
      <w:r>
        <w:rPr>
          <w:color w:val="231F1F"/>
          <w:spacing w:val="-16"/>
          <w:w w:val="110"/>
        </w:rPr>
        <w:t> </w:t>
      </w:r>
      <w:r>
        <w:rPr>
          <w:color w:val="231F1F"/>
          <w:w w:val="110"/>
        </w:rPr>
        <w:t>debido</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evidencia</w:t>
      </w:r>
      <w:r>
        <w:rPr>
          <w:color w:val="231F1F"/>
          <w:spacing w:val="-15"/>
          <w:w w:val="110"/>
        </w:rPr>
        <w:t> </w:t>
      </w:r>
      <w:r>
        <w:rPr>
          <w:color w:val="231F1F"/>
          <w:w w:val="110"/>
        </w:rPr>
        <w:t>indirecta</w:t>
      </w:r>
      <w:r>
        <w:rPr>
          <w:color w:val="231F1F"/>
          <w:spacing w:val="-15"/>
          <w:w w:val="110"/>
        </w:rPr>
        <w:t> </w:t>
      </w:r>
      <w:r>
        <w:rPr>
          <w:color w:val="231F1F"/>
          <w:w w:val="110"/>
        </w:rPr>
        <w:t>de</w:t>
      </w:r>
      <w:r>
        <w:rPr>
          <w:color w:val="231F1F"/>
          <w:spacing w:val="-15"/>
          <w:w w:val="110"/>
        </w:rPr>
        <w:t> </w:t>
      </w:r>
      <w:r>
        <w:rPr>
          <w:color w:val="231F1F"/>
          <w:w w:val="110"/>
        </w:rPr>
        <w:t>que</w:t>
      </w:r>
      <w:r>
        <w:rPr>
          <w:color w:val="231F1F"/>
          <w:spacing w:val="-15"/>
          <w:w w:val="110"/>
        </w:rPr>
        <w:t> </w:t>
      </w:r>
      <w:r>
        <w:rPr>
          <w:color w:val="231F1F"/>
          <w:w w:val="110"/>
        </w:rPr>
        <w:t>un</w:t>
      </w:r>
      <w:r>
        <w:rPr>
          <w:color w:val="231F1F"/>
          <w:spacing w:val="-16"/>
          <w:w w:val="110"/>
        </w:rPr>
        <w:t> </w:t>
      </w:r>
      <w:r>
        <w:rPr>
          <w:color w:val="231F1F"/>
          <w:w w:val="110"/>
        </w:rPr>
        <w:t>ambiente</w:t>
      </w:r>
      <w:r>
        <w:rPr>
          <w:color w:val="231F1F"/>
          <w:spacing w:val="-15"/>
          <w:w w:val="110"/>
        </w:rPr>
        <w:t> </w:t>
      </w:r>
      <w:r>
        <w:rPr>
          <w:color w:val="231F1F"/>
          <w:w w:val="110"/>
        </w:rPr>
        <w:t>positivo</w:t>
      </w:r>
      <w:r>
        <w:rPr>
          <w:color w:val="231F1F"/>
          <w:spacing w:val="-15"/>
          <w:w w:val="110"/>
        </w:rPr>
        <w:t> </w:t>
      </w:r>
      <w:r>
        <w:rPr>
          <w:color w:val="231F1F"/>
          <w:w w:val="110"/>
        </w:rPr>
        <w:t>y</w:t>
      </w:r>
      <w:r>
        <w:rPr>
          <w:color w:val="231F1F"/>
          <w:spacing w:val="-15"/>
          <w:w w:val="110"/>
        </w:rPr>
        <w:t> </w:t>
      </w:r>
      <w:r>
        <w:rPr>
          <w:color w:val="231F1F"/>
          <w:w w:val="110"/>
        </w:rPr>
        <w:t>de</w:t>
      </w:r>
      <w:r>
        <w:rPr>
          <w:color w:val="231F1F"/>
          <w:spacing w:val="-15"/>
          <w:w w:val="110"/>
        </w:rPr>
        <w:t> </w:t>
      </w:r>
      <w:r>
        <w:rPr>
          <w:color w:val="231F1F"/>
          <w:w w:val="110"/>
        </w:rPr>
        <w:t>apoyo</w:t>
      </w:r>
      <w:r>
        <w:rPr>
          <w:color w:val="231F1F"/>
          <w:spacing w:val="-15"/>
          <w:w w:val="110"/>
        </w:rPr>
        <w:t> </w:t>
      </w:r>
      <w:r>
        <w:rPr>
          <w:color w:val="231F1F"/>
          <w:w w:val="110"/>
        </w:rPr>
        <w:t>durante</w:t>
      </w:r>
      <w:r>
        <w:rPr>
          <w:color w:val="231F1F"/>
          <w:spacing w:val="-15"/>
          <w:w w:val="110"/>
        </w:rPr>
        <w:t> </w:t>
      </w:r>
      <w:r>
        <w:rPr>
          <w:color w:val="231F1F"/>
          <w:w w:val="110"/>
        </w:rPr>
        <w:t>el trabajo</w:t>
      </w:r>
      <w:r>
        <w:rPr>
          <w:color w:val="231F1F"/>
          <w:spacing w:val="-2"/>
          <w:w w:val="110"/>
        </w:rPr>
        <w:t> </w:t>
      </w:r>
      <w:r>
        <w:rPr>
          <w:color w:val="231F1F"/>
          <w:w w:val="110"/>
        </w:rPr>
        <w:t>de</w:t>
      </w:r>
      <w:r>
        <w:rPr>
          <w:color w:val="231F1F"/>
          <w:spacing w:val="-2"/>
          <w:w w:val="110"/>
        </w:rPr>
        <w:t> </w:t>
      </w:r>
      <w:r>
        <w:rPr>
          <w:color w:val="231F1F"/>
          <w:w w:val="110"/>
        </w:rPr>
        <w:t>parto</w:t>
      </w:r>
      <w:r>
        <w:rPr>
          <w:color w:val="231F1F"/>
          <w:spacing w:val="-2"/>
          <w:w w:val="110"/>
        </w:rPr>
        <w:t> </w:t>
      </w:r>
      <w:r>
        <w:rPr>
          <w:color w:val="231F1F"/>
          <w:w w:val="110"/>
        </w:rPr>
        <w:t>estimula</w:t>
      </w:r>
      <w:r>
        <w:rPr>
          <w:color w:val="231F1F"/>
          <w:spacing w:val="-2"/>
          <w:w w:val="110"/>
        </w:rPr>
        <w:t> </w:t>
      </w:r>
      <w:r>
        <w:rPr>
          <w:color w:val="231F1F"/>
          <w:w w:val="110"/>
        </w:rPr>
        <w:t>en</w:t>
      </w:r>
      <w:r>
        <w:rPr>
          <w:color w:val="231F1F"/>
          <w:spacing w:val="-2"/>
          <w:w w:val="110"/>
        </w:rPr>
        <w:t> </w:t>
      </w:r>
      <w:r>
        <w:rPr>
          <w:color w:val="231F1F"/>
          <w:w w:val="110"/>
        </w:rPr>
        <w:t>las</w:t>
      </w:r>
      <w:r>
        <w:rPr>
          <w:color w:val="231F1F"/>
          <w:spacing w:val="-2"/>
          <w:w w:val="110"/>
        </w:rPr>
        <w:t> </w:t>
      </w:r>
      <w:r>
        <w:rPr>
          <w:color w:val="231F1F"/>
          <w:w w:val="110"/>
        </w:rPr>
        <w:t>mujeres</w:t>
      </w:r>
      <w:r>
        <w:rPr>
          <w:color w:val="231F1F"/>
          <w:spacing w:val="-2"/>
          <w:w w:val="110"/>
        </w:rPr>
        <w:t> </w:t>
      </w:r>
      <w:r>
        <w:rPr>
          <w:color w:val="231F1F"/>
          <w:w w:val="110"/>
        </w:rPr>
        <w:t>un</w:t>
      </w:r>
      <w:r>
        <w:rPr>
          <w:color w:val="231F1F"/>
          <w:spacing w:val="-2"/>
          <w:w w:val="110"/>
        </w:rPr>
        <w:t> </w:t>
      </w:r>
      <w:r>
        <w:rPr>
          <w:color w:val="231F1F"/>
          <w:w w:val="110"/>
        </w:rPr>
        <w:t>sentido</w:t>
      </w:r>
      <w:r>
        <w:rPr>
          <w:color w:val="231F1F"/>
          <w:spacing w:val="-2"/>
          <w:w w:val="110"/>
        </w:rPr>
        <w:t> </w:t>
      </w:r>
      <w:r>
        <w:rPr>
          <w:color w:val="231F1F"/>
          <w:w w:val="110"/>
        </w:rPr>
        <w:t>de</w:t>
      </w:r>
      <w:r>
        <w:rPr>
          <w:color w:val="231F1F"/>
          <w:spacing w:val="-2"/>
          <w:w w:val="110"/>
        </w:rPr>
        <w:t> </w:t>
      </w:r>
      <w:r>
        <w:rPr>
          <w:color w:val="231F1F"/>
          <w:w w:val="110"/>
        </w:rPr>
        <w:t>competencia</w:t>
      </w:r>
      <w:r>
        <w:rPr>
          <w:color w:val="231F1F"/>
          <w:spacing w:val="-2"/>
          <w:w w:val="110"/>
        </w:rPr>
        <w:t> </w:t>
      </w:r>
      <w:r>
        <w:rPr>
          <w:color w:val="231F1F"/>
          <w:w w:val="110"/>
        </w:rPr>
        <w:t>y</w:t>
      </w:r>
      <w:r>
        <w:rPr>
          <w:color w:val="231F1F"/>
          <w:spacing w:val="-2"/>
          <w:w w:val="110"/>
        </w:rPr>
        <w:t> </w:t>
      </w:r>
      <w:r>
        <w:rPr>
          <w:color w:val="231F1F"/>
          <w:w w:val="110"/>
        </w:rPr>
        <w:t>logro</w:t>
      </w:r>
      <w:r>
        <w:rPr>
          <w:color w:val="231F1F"/>
          <w:spacing w:val="-2"/>
          <w:w w:val="110"/>
        </w:rPr>
        <w:t> </w:t>
      </w:r>
      <w:r>
        <w:rPr>
          <w:color w:val="231F1F"/>
          <w:w w:val="110"/>
        </w:rPr>
        <w:t>personal,</w:t>
      </w:r>
      <w:r>
        <w:rPr>
          <w:color w:val="231F1F"/>
          <w:spacing w:val="-3"/>
          <w:w w:val="110"/>
        </w:rPr>
        <w:t> </w:t>
      </w:r>
      <w:r>
        <w:rPr>
          <w:color w:val="231F1F"/>
          <w:w w:val="110"/>
        </w:rPr>
        <w:t>in- fluye</w:t>
      </w:r>
      <w:r>
        <w:rPr>
          <w:color w:val="231F1F"/>
          <w:spacing w:val="-6"/>
          <w:w w:val="110"/>
        </w:rPr>
        <w:t> </w:t>
      </w:r>
      <w:r>
        <w:rPr>
          <w:color w:val="231F1F"/>
          <w:w w:val="110"/>
        </w:rPr>
        <w:t>positivamente</w:t>
      </w:r>
      <w:r>
        <w:rPr>
          <w:color w:val="231F1F"/>
          <w:spacing w:val="-6"/>
          <w:w w:val="110"/>
        </w:rPr>
        <w:t> </w:t>
      </w:r>
      <w:r>
        <w:rPr>
          <w:color w:val="231F1F"/>
          <w:w w:val="110"/>
        </w:rPr>
        <w:t>en</w:t>
      </w:r>
      <w:r>
        <w:rPr>
          <w:color w:val="231F1F"/>
          <w:spacing w:val="-6"/>
          <w:w w:val="110"/>
        </w:rPr>
        <w:t> </w:t>
      </w:r>
      <w:r>
        <w:rPr>
          <w:color w:val="231F1F"/>
          <w:w w:val="110"/>
        </w:rPr>
        <w:t>su</w:t>
      </w:r>
      <w:r>
        <w:rPr>
          <w:color w:val="231F1F"/>
          <w:spacing w:val="-6"/>
          <w:w w:val="110"/>
        </w:rPr>
        <w:t> </w:t>
      </w:r>
      <w:r>
        <w:rPr>
          <w:color w:val="231F1F"/>
          <w:w w:val="110"/>
        </w:rPr>
        <w:t>confianza</w:t>
      </w:r>
      <w:r>
        <w:rPr>
          <w:color w:val="231F1F"/>
          <w:spacing w:val="-6"/>
          <w:w w:val="110"/>
        </w:rPr>
        <w:t> </w:t>
      </w:r>
      <w:r>
        <w:rPr>
          <w:color w:val="231F1F"/>
          <w:w w:val="110"/>
        </w:rPr>
        <w:t>posterior</w:t>
      </w:r>
      <w:r>
        <w:rPr>
          <w:color w:val="231F1F"/>
          <w:spacing w:val="-6"/>
          <w:w w:val="110"/>
        </w:rPr>
        <w:t> </w:t>
      </w:r>
      <w:r>
        <w:rPr>
          <w:color w:val="231F1F"/>
          <w:w w:val="110"/>
        </w:rPr>
        <w:t>como</w:t>
      </w:r>
      <w:r>
        <w:rPr>
          <w:color w:val="231F1F"/>
          <w:spacing w:val="-6"/>
          <w:w w:val="110"/>
        </w:rPr>
        <w:t> </w:t>
      </w:r>
      <w:r>
        <w:rPr>
          <w:color w:val="231F1F"/>
          <w:w w:val="110"/>
        </w:rPr>
        <w:t>madres</w:t>
      </w:r>
      <w:r>
        <w:rPr>
          <w:color w:val="231F1F"/>
          <w:spacing w:val="-6"/>
          <w:w w:val="110"/>
        </w:rPr>
        <w:t> </w:t>
      </w:r>
      <w:r>
        <w:rPr>
          <w:color w:val="231F1F"/>
          <w:w w:val="110"/>
        </w:rPr>
        <w:t>y</w:t>
      </w:r>
      <w:r>
        <w:rPr>
          <w:color w:val="231F1F"/>
          <w:spacing w:val="-6"/>
          <w:w w:val="110"/>
        </w:rPr>
        <w:t> </w:t>
      </w:r>
      <w:r>
        <w:rPr>
          <w:color w:val="231F1F"/>
          <w:w w:val="110"/>
        </w:rPr>
        <w:t>disminuye</w:t>
      </w:r>
      <w:r>
        <w:rPr>
          <w:color w:val="231F1F"/>
          <w:spacing w:val="-6"/>
          <w:w w:val="110"/>
        </w:rPr>
        <w:t> </w:t>
      </w:r>
      <w:r>
        <w:rPr>
          <w:color w:val="231F1F"/>
          <w:w w:val="110"/>
        </w:rPr>
        <w:t>el</w:t>
      </w:r>
      <w:r>
        <w:rPr>
          <w:color w:val="231F1F"/>
          <w:spacing w:val="-7"/>
          <w:w w:val="110"/>
        </w:rPr>
        <w:t> </w:t>
      </w:r>
      <w:r>
        <w:rPr>
          <w:color w:val="231F1F"/>
          <w:w w:val="110"/>
        </w:rPr>
        <w:t>riesgo</w:t>
      </w:r>
      <w:r>
        <w:rPr>
          <w:color w:val="231F1F"/>
          <w:spacing w:val="-6"/>
          <w:w w:val="110"/>
        </w:rPr>
        <w:t> </w:t>
      </w:r>
      <w:r>
        <w:rPr>
          <w:color w:val="231F1F"/>
          <w:w w:val="110"/>
        </w:rPr>
        <w:t>de</w:t>
      </w:r>
      <w:r>
        <w:rPr>
          <w:color w:val="231F1F"/>
          <w:spacing w:val="-6"/>
          <w:w w:val="110"/>
        </w:rPr>
        <w:t> </w:t>
      </w:r>
      <w:r>
        <w:rPr>
          <w:color w:val="231F1F"/>
          <w:w w:val="110"/>
        </w:rPr>
        <w:t>de- presión postnatal.</w:t>
      </w:r>
    </w:p>
    <w:p>
      <w:pPr>
        <w:pStyle w:val="BodyText"/>
        <w:spacing w:line="247" w:lineRule="auto" w:before="150"/>
        <w:ind w:left="283" w:right="123" w:firstLine="453"/>
        <w:jc w:val="both"/>
      </w:pPr>
      <w:r>
        <w:rPr>
          <w:color w:val="231F1F"/>
          <w:w w:val="110"/>
        </w:rPr>
        <w:t>Es preciso evaluar, por tanto, las pruebas disponibles acerca de la efectividad, los beneficios</w:t>
      </w:r>
      <w:r>
        <w:rPr>
          <w:color w:val="231F1F"/>
          <w:spacing w:val="-2"/>
          <w:w w:val="110"/>
        </w:rPr>
        <w:t> </w:t>
      </w:r>
      <w:r>
        <w:rPr>
          <w:color w:val="231F1F"/>
          <w:w w:val="110"/>
        </w:rPr>
        <w:t>y</w:t>
      </w:r>
      <w:r>
        <w:rPr>
          <w:color w:val="231F1F"/>
          <w:spacing w:val="-1"/>
          <w:w w:val="110"/>
        </w:rPr>
        <w:t> </w:t>
      </w:r>
      <w:r>
        <w:rPr>
          <w:color w:val="231F1F"/>
          <w:w w:val="110"/>
        </w:rPr>
        <w:t>las</w:t>
      </w:r>
      <w:r>
        <w:rPr>
          <w:color w:val="231F1F"/>
          <w:spacing w:val="-1"/>
          <w:w w:val="110"/>
        </w:rPr>
        <w:t> </w:t>
      </w:r>
      <w:r>
        <w:rPr>
          <w:color w:val="231F1F"/>
          <w:w w:val="110"/>
        </w:rPr>
        <w:t>posibles</w:t>
      </w:r>
      <w:r>
        <w:rPr>
          <w:color w:val="231F1F"/>
          <w:spacing w:val="-1"/>
          <w:w w:val="110"/>
        </w:rPr>
        <w:t> </w:t>
      </w:r>
      <w:r>
        <w:rPr>
          <w:color w:val="231F1F"/>
          <w:w w:val="110"/>
        </w:rPr>
        <w:t>desventajas</w:t>
      </w:r>
      <w:r>
        <w:rPr>
          <w:color w:val="231F1F"/>
          <w:spacing w:val="-2"/>
          <w:w w:val="110"/>
        </w:rPr>
        <w:t> </w:t>
      </w:r>
      <w:r>
        <w:rPr>
          <w:color w:val="231F1F"/>
          <w:w w:val="110"/>
        </w:rPr>
        <w:t>del</w:t>
      </w:r>
      <w:r>
        <w:rPr>
          <w:color w:val="231F1F"/>
          <w:spacing w:val="-2"/>
          <w:w w:val="110"/>
        </w:rPr>
        <w:t> </w:t>
      </w:r>
      <w:r>
        <w:rPr>
          <w:color w:val="231F1F"/>
          <w:w w:val="110"/>
        </w:rPr>
        <w:t>uso</w:t>
      </w:r>
      <w:r>
        <w:rPr>
          <w:color w:val="231F1F"/>
          <w:spacing w:val="-1"/>
          <w:w w:val="110"/>
        </w:rPr>
        <w:t> </w:t>
      </w:r>
      <w:r>
        <w:rPr>
          <w:color w:val="231F1F"/>
          <w:w w:val="110"/>
        </w:rPr>
        <w:t>de</w:t>
      </w:r>
      <w:r>
        <w:rPr>
          <w:color w:val="231F1F"/>
          <w:spacing w:val="-1"/>
          <w:w w:val="110"/>
        </w:rPr>
        <w:t> </w:t>
      </w:r>
      <w:r>
        <w:rPr>
          <w:color w:val="231F1F"/>
          <w:w w:val="110"/>
        </w:rPr>
        <w:t>diferentes</w:t>
      </w:r>
      <w:r>
        <w:rPr>
          <w:color w:val="231F1F"/>
          <w:spacing w:val="-2"/>
          <w:w w:val="110"/>
        </w:rPr>
        <w:t> </w:t>
      </w:r>
      <w:r>
        <w:rPr>
          <w:color w:val="231F1F"/>
          <w:w w:val="110"/>
        </w:rPr>
        <w:t>posiciones</w:t>
      </w:r>
      <w:r>
        <w:rPr>
          <w:color w:val="231F1F"/>
          <w:spacing w:val="-1"/>
          <w:w w:val="110"/>
        </w:rPr>
        <w:t> </w:t>
      </w:r>
      <w:r>
        <w:rPr>
          <w:color w:val="231F1F"/>
          <w:w w:val="110"/>
        </w:rPr>
        <w:t>durante</w:t>
      </w:r>
      <w:r>
        <w:rPr>
          <w:color w:val="231F1F"/>
          <w:spacing w:val="-2"/>
          <w:w w:val="110"/>
        </w:rPr>
        <w:t> </w:t>
      </w:r>
      <w:r>
        <w:rPr>
          <w:color w:val="231F1F"/>
          <w:w w:val="110"/>
        </w:rPr>
        <w:t>el</w:t>
      </w:r>
      <w:r>
        <w:rPr>
          <w:color w:val="231F1F"/>
          <w:spacing w:val="-2"/>
          <w:w w:val="110"/>
        </w:rPr>
        <w:t> </w:t>
      </w:r>
      <w:r>
        <w:rPr>
          <w:color w:val="231F1F"/>
          <w:w w:val="110"/>
        </w:rPr>
        <w:t>período expulsivo del trabajo de parto.</w:t>
      </w:r>
    </w:p>
    <w:p>
      <w:pPr>
        <w:pStyle w:val="BodyText"/>
        <w:spacing w:before="164"/>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8"/>
        <w:ind w:left="283" w:right="1372"/>
        <w:jc w:val="both"/>
      </w:pPr>
      <w:r>
        <w:rPr>
          <w:color w:val="231F1F"/>
          <w:w w:val="110"/>
        </w:rPr>
        <w:t>La</w:t>
      </w:r>
      <w:r>
        <w:rPr>
          <w:color w:val="231F1F"/>
          <w:spacing w:val="-16"/>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aborda</w:t>
      </w:r>
      <w:r>
        <w:rPr>
          <w:color w:val="231F1F"/>
          <w:spacing w:val="-15"/>
          <w:w w:val="110"/>
        </w:rPr>
        <w:t> </w:t>
      </w:r>
      <w:r>
        <w:rPr>
          <w:color w:val="231F1F"/>
          <w:w w:val="110"/>
        </w:rPr>
        <w:t>el</w:t>
      </w:r>
      <w:r>
        <w:rPr>
          <w:color w:val="231F1F"/>
          <w:spacing w:val="-15"/>
          <w:w w:val="110"/>
        </w:rPr>
        <w:t> </w:t>
      </w:r>
      <w:r>
        <w:rPr>
          <w:color w:val="231F1F"/>
          <w:w w:val="110"/>
        </w:rPr>
        <w:t>tema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6"/>
          <w:w w:val="110"/>
        </w:rPr>
        <w:t> </w:t>
      </w:r>
      <w:r>
        <w:rPr>
          <w:color w:val="231F1F"/>
          <w:w w:val="110"/>
        </w:rPr>
        <w:t>«Posición</w:t>
      </w:r>
      <w:r>
        <w:rPr>
          <w:color w:val="231F1F"/>
          <w:spacing w:val="-15"/>
          <w:w w:val="110"/>
        </w:rPr>
        <w:t> </w:t>
      </w:r>
      <w:r>
        <w:rPr>
          <w:color w:val="231F1F"/>
          <w:w w:val="110"/>
        </w:rPr>
        <w:t>y</w:t>
      </w:r>
      <w:r>
        <w:rPr>
          <w:color w:val="231F1F"/>
          <w:spacing w:val="-15"/>
          <w:w w:val="110"/>
        </w:rPr>
        <w:t> </w:t>
      </w:r>
      <w:r>
        <w:rPr>
          <w:color w:val="231F1F"/>
          <w:w w:val="110"/>
        </w:rPr>
        <w:t>pujo</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en</w:t>
      </w:r>
      <w:r>
        <w:rPr>
          <w:color w:val="231F1F"/>
          <w:spacing w:val="-15"/>
          <w:w w:val="110"/>
        </w:rPr>
        <w:t> </w:t>
      </w:r>
      <w:r>
        <w:rPr>
          <w:color w:val="231F1F"/>
          <w:w w:val="110"/>
        </w:rPr>
        <w:t>la segunda</w:t>
      </w:r>
      <w:r>
        <w:rPr>
          <w:color w:val="231F1F"/>
          <w:spacing w:val="-12"/>
          <w:w w:val="110"/>
        </w:rPr>
        <w:t> </w:t>
      </w:r>
      <w:r>
        <w:rPr>
          <w:color w:val="231F1F"/>
          <w:w w:val="110"/>
        </w:rPr>
        <w:t>etapa</w:t>
      </w:r>
      <w:r>
        <w:rPr>
          <w:color w:val="231F1F"/>
          <w:spacing w:val="-12"/>
          <w:w w:val="110"/>
        </w:rPr>
        <w:t> </w:t>
      </w:r>
      <w:r>
        <w:rPr>
          <w:color w:val="231F1F"/>
          <w:w w:val="110"/>
        </w:rPr>
        <w:t>del</w:t>
      </w:r>
      <w:r>
        <w:rPr>
          <w:color w:val="231F1F"/>
          <w:spacing w:val="-12"/>
          <w:w w:val="110"/>
        </w:rPr>
        <w:t> </w:t>
      </w:r>
      <w:r>
        <w:rPr>
          <w:color w:val="231F1F"/>
          <w:w w:val="110"/>
        </w:rPr>
        <w:t>parto»</w:t>
      </w:r>
      <w:r>
        <w:rPr>
          <w:color w:val="231F1F"/>
          <w:spacing w:val="-12"/>
          <w:w w:val="110"/>
        </w:rPr>
        <w:t> </w:t>
      </w:r>
      <w:r>
        <w:rPr>
          <w:color w:val="231F1F"/>
          <w:w w:val="110"/>
        </w:rPr>
        <w:t>a</w:t>
      </w:r>
      <w:r>
        <w:rPr>
          <w:color w:val="231F1F"/>
          <w:spacing w:val="-12"/>
          <w:w w:val="110"/>
        </w:rPr>
        <w:t> </w:t>
      </w:r>
      <w:r>
        <w:rPr>
          <w:color w:val="231F1F"/>
          <w:w w:val="110"/>
        </w:rPr>
        <w:t>través</w:t>
      </w:r>
      <w:r>
        <w:rPr>
          <w:color w:val="231F1F"/>
          <w:spacing w:val="-12"/>
          <w:w w:val="110"/>
        </w:rPr>
        <w:t> </w:t>
      </w:r>
      <w:r>
        <w:rPr>
          <w:color w:val="231F1F"/>
          <w:w w:val="110"/>
        </w:rPr>
        <w:t>de</w:t>
      </w:r>
      <w:r>
        <w:rPr>
          <w:color w:val="231F1F"/>
          <w:spacing w:val="-12"/>
          <w:w w:val="110"/>
        </w:rPr>
        <w:t> </w:t>
      </w:r>
      <w:r>
        <w:rPr>
          <w:color w:val="231F1F"/>
          <w:w w:val="110"/>
        </w:rPr>
        <w:t>una</w:t>
      </w:r>
      <w:r>
        <w:rPr>
          <w:color w:val="231F1F"/>
          <w:spacing w:val="-12"/>
          <w:w w:val="110"/>
        </w:rPr>
        <w:t> </w:t>
      </w:r>
      <w:r>
        <w:rPr>
          <w:color w:val="231F1F"/>
          <w:w w:val="110"/>
        </w:rPr>
        <w:t>RS</w:t>
      </w:r>
      <w:r>
        <w:rPr>
          <w:color w:val="231F1F"/>
          <w:spacing w:val="-11"/>
          <w:w w:val="110"/>
        </w:rPr>
        <w:t> </w:t>
      </w:r>
      <w:r>
        <w:rPr>
          <w:color w:val="231F1F"/>
          <w:w w:val="110"/>
        </w:rPr>
        <w:t>publicada</w:t>
      </w:r>
      <w:r>
        <w:rPr>
          <w:color w:val="231F1F"/>
          <w:spacing w:val="-12"/>
          <w:w w:val="110"/>
        </w:rPr>
        <w:t> </w:t>
      </w:r>
      <w:r>
        <w:rPr>
          <w:color w:val="231F1F"/>
          <w:w w:val="110"/>
        </w:rPr>
        <w:t>en</w:t>
      </w:r>
      <w:r>
        <w:rPr>
          <w:color w:val="231F1F"/>
          <w:spacing w:val="-11"/>
          <w:w w:val="110"/>
        </w:rPr>
        <w:t> </w:t>
      </w:r>
      <w:r>
        <w:rPr>
          <w:color w:val="231F1F"/>
          <w:w w:val="110"/>
        </w:rPr>
        <w:t>el</w:t>
      </w:r>
      <w:r>
        <w:rPr>
          <w:color w:val="231F1F"/>
          <w:spacing w:val="-12"/>
          <w:w w:val="110"/>
        </w:rPr>
        <w:t> </w:t>
      </w:r>
      <w:r>
        <w:rPr>
          <w:color w:val="231F1F"/>
          <w:w w:val="110"/>
        </w:rPr>
        <w:t>año</w:t>
      </w:r>
      <w:r>
        <w:rPr>
          <w:color w:val="231F1F"/>
          <w:spacing w:val="-11"/>
          <w:w w:val="110"/>
        </w:rPr>
        <w:t> </w:t>
      </w:r>
      <w:r>
        <w:rPr>
          <w:color w:val="231F1F"/>
          <w:w w:val="110"/>
        </w:rPr>
        <w:t>2005</w:t>
      </w:r>
      <w:r>
        <w:rPr>
          <w:color w:val="231F1F"/>
          <w:spacing w:val="-11"/>
          <w:w w:val="110"/>
        </w:rPr>
        <w:t> </w:t>
      </w:r>
      <w:r>
        <w:rPr>
          <w:color w:val="231F1F"/>
          <w:w w:val="110"/>
        </w:rPr>
        <w:t>(127), un estudio de cohortes observacional (28) y dos ECAs (128;129).</w:t>
      </w:r>
    </w:p>
    <w:p>
      <w:pPr>
        <w:pStyle w:val="BodyText"/>
        <w:spacing w:line="244" w:lineRule="auto" w:before="153"/>
        <w:ind w:left="283" w:right="1372" w:firstLine="453"/>
        <w:jc w:val="both"/>
      </w:pPr>
      <w:r>
        <w:rPr>
          <w:color w:val="231F1F"/>
          <w:w w:val="110"/>
        </w:rPr>
        <w:t>La</w:t>
      </w:r>
      <w:r>
        <w:rPr>
          <w:color w:val="231F1F"/>
          <w:spacing w:val="-2"/>
          <w:w w:val="110"/>
        </w:rPr>
        <w:t> </w:t>
      </w:r>
      <w:r>
        <w:rPr>
          <w:color w:val="231F1F"/>
          <w:w w:val="110"/>
        </w:rPr>
        <w:t>RS</w:t>
      </w:r>
      <w:r>
        <w:rPr>
          <w:color w:val="231F1F"/>
          <w:spacing w:val="-1"/>
          <w:w w:val="110"/>
        </w:rPr>
        <w:t> </w:t>
      </w:r>
      <w:r>
        <w:rPr>
          <w:color w:val="231F1F"/>
          <w:w w:val="110"/>
        </w:rPr>
        <w:t>(127)</w:t>
      </w:r>
      <w:r>
        <w:rPr>
          <w:color w:val="231F1F"/>
          <w:spacing w:val="-2"/>
          <w:w w:val="110"/>
        </w:rPr>
        <w:t> </w:t>
      </w:r>
      <w:r>
        <w:rPr>
          <w:color w:val="231F1F"/>
          <w:w w:val="110"/>
        </w:rPr>
        <w:t>es</w:t>
      </w:r>
      <w:r>
        <w:rPr>
          <w:color w:val="231F1F"/>
          <w:spacing w:val="-2"/>
          <w:w w:val="110"/>
        </w:rPr>
        <w:t> </w:t>
      </w:r>
      <w:r>
        <w:rPr>
          <w:color w:val="231F1F"/>
          <w:w w:val="110"/>
        </w:rPr>
        <w:t>una</w:t>
      </w:r>
      <w:r>
        <w:rPr>
          <w:color w:val="231F1F"/>
          <w:spacing w:val="-2"/>
          <w:w w:val="110"/>
        </w:rPr>
        <w:t> </w:t>
      </w:r>
      <w:r>
        <w:rPr>
          <w:color w:val="231F1F"/>
          <w:w w:val="110"/>
        </w:rPr>
        <w:t>actualización</w:t>
      </w:r>
      <w:r>
        <w:rPr>
          <w:color w:val="231F1F"/>
          <w:spacing w:val="-2"/>
          <w:w w:val="110"/>
        </w:rPr>
        <w:t> </w:t>
      </w:r>
      <w:r>
        <w:rPr>
          <w:color w:val="231F1F"/>
          <w:w w:val="110"/>
        </w:rPr>
        <w:t>de</w:t>
      </w:r>
      <w:r>
        <w:rPr>
          <w:color w:val="231F1F"/>
          <w:spacing w:val="-2"/>
          <w:w w:val="110"/>
        </w:rPr>
        <w:t> </w:t>
      </w:r>
      <w:r>
        <w:rPr>
          <w:color w:val="231F1F"/>
          <w:w w:val="110"/>
        </w:rPr>
        <w:t>otra</w:t>
      </w:r>
      <w:r>
        <w:rPr>
          <w:color w:val="231F1F"/>
          <w:spacing w:val="-2"/>
          <w:w w:val="110"/>
        </w:rPr>
        <w:t> </w:t>
      </w:r>
      <w:r>
        <w:rPr>
          <w:color w:val="231F1F"/>
          <w:w w:val="110"/>
        </w:rPr>
        <w:t>RS</w:t>
      </w:r>
      <w:r>
        <w:rPr>
          <w:color w:val="231F1F"/>
          <w:spacing w:val="-1"/>
          <w:w w:val="110"/>
        </w:rPr>
        <w:t> </w:t>
      </w:r>
      <w:r>
        <w:rPr>
          <w:color w:val="231F1F"/>
          <w:w w:val="110"/>
        </w:rPr>
        <w:t>previa</w:t>
      </w:r>
      <w:r>
        <w:rPr>
          <w:color w:val="231F1F"/>
          <w:spacing w:val="-2"/>
          <w:w w:val="110"/>
        </w:rPr>
        <w:t> </w:t>
      </w:r>
      <w:r>
        <w:rPr>
          <w:color w:val="231F1F"/>
          <w:w w:val="110"/>
        </w:rPr>
        <w:t>incluida</w:t>
      </w:r>
      <w:r>
        <w:rPr>
          <w:color w:val="231F1F"/>
          <w:spacing w:val="-1"/>
          <w:w w:val="110"/>
        </w:rPr>
        <w:t> </w:t>
      </w:r>
      <w:r>
        <w:rPr>
          <w:color w:val="231F1F"/>
          <w:w w:val="110"/>
        </w:rPr>
        <w:t>en</w:t>
      </w:r>
      <w:r>
        <w:rPr>
          <w:color w:val="231F1F"/>
          <w:spacing w:val="-1"/>
          <w:w w:val="110"/>
        </w:rPr>
        <w:t> </w:t>
      </w:r>
      <w:r>
        <w:rPr>
          <w:color w:val="231F1F"/>
          <w:w w:val="110"/>
        </w:rPr>
        <w:t>la</w:t>
      </w:r>
      <w:r>
        <w:rPr>
          <w:color w:val="231F1F"/>
          <w:spacing w:val="-2"/>
          <w:w w:val="110"/>
        </w:rPr>
        <w:t> </w:t>
      </w:r>
      <w:r>
        <w:rPr>
          <w:color w:val="231F1F"/>
          <w:w w:val="110"/>
        </w:rPr>
        <w:t>guía NICE</w:t>
      </w:r>
      <w:r>
        <w:rPr>
          <w:color w:val="231F1F"/>
          <w:spacing w:val="-6"/>
          <w:w w:val="110"/>
        </w:rPr>
        <w:t> </w:t>
      </w:r>
      <w:r>
        <w:rPr>
          <w:color w:val="231F1F"/>
          <w:w w:val="110"/>
        </w:rPr>
        <w:t>sobre</w:t>
      </w:r>
      <w:r>
        <w:rPr>
          <w:color w:val="231F1F"/>
          <w:spacing w:val="-7"/>
          <w:w w:val="110"/>
        </w:rPr>
        <w:t> </w:t>
      </w:r>
      <w:r>
        <w:rPr>
          <w:color w:val="231F1F"/>
          <w:w w:val="110"/>
        </w:rPr>
        <w:t>cesárea</w:t>
      </w:r>
      <w:r>
        <w:rPr>
          <w:color w:val="231F1F"/>
          <w:spacing w:val="-6"/>
          <w:w w:val="110"/>
        </w:rPr>
        <w:t> </w:t>
      </w:r>
      <w:r>
        <w:rPr>
          <w:color w:val="231F1F"/>
          <w:w w:val="110"/>
        </w:rPr>
        <w:t>(65)</w:t>
      </w:r>
      <w:r>
        <w:rPr>
          <w:color w:val="231F1F"/>
          <w:spacing w:val="-6"/>
          <w:w w:val="110"/>
        </w:rPr>
        <w:t> </w:t>
      </w:r>
      <w:r>
        <w:rPr>
          <w:color w:val="231F1F"/>
          <w:w w:val="110"/>
        </w:rPr>
        <w:t>donde</w:t>
      </w:r>
      <w:r>
        <w:rPr>
          <w:color w:val="231F1F"/>
          <w:spacing w:val="-6"/>
          <w:w w:val="110"/>
        </w:rPr>
        <w:t> </w:t>
      </w:r>
      <w:r>
        <w:rPr>
          <w:color w:val="231F1F"/>
          <w:w w:val="110"/>
        </w:rPr>
        <w:t>se</w:t>
      </w:r>
      <w:r>
        <w:rPr>
          <w:color w:val="231F1F"/>
          <w:spacing w:val="-6"/>
          <w:w w:val="110"/>
        </w:rPr>
        <w:t> </w:t>
      </w:r>
      <w:r>
        <w:rPr>
          <w:color w:val="231F1F"/>
          <w:w w:val="110"/>
        </w:rPr>
        <w:t>recomienda</w:t>
      </w:r>
      <w:r>
        <w:rPr>
          <w:color w:val="231F1F"/>
          <w:spacing w:val="-6"/>
          <w:w w:val="110"/>
        </w:rPr>
        <w:t> </w:t>
      </w:r>
      <w:r>
        <w:rPr>
          <w:color w:val="231F1F"/>
          <w:w w:val="110"/>
        </w:rPr>
        <w:t>informar</w:t>
      </w:r>
      <w:r>
        <w:rPr>
          <w:color w:val="231F1F"/>
          <w:spacing w:val="-7"/>
          <w:w w:val="110"/>
        </w:rPr>
        <w:t> </w:t>
      </w:r>
      <w:r>
        <w:rPr>
          <w:color w:val="231F1F"/>
          <w:w w:val="110"/>
        </w:rPr>
        <w:t>a</w:t>
      </w:r>
      <w:r>
        <w:rPr>
          <w:color w:val="231F1F"/>
          <w:spacing w:val="-6"/>
          <w:w w:val="110"/>
        </w:rPr>
        <w:t> </w:t>
      </w:r>
      <w:r>
        <w:rPr>
          <w:color w:val="231F1F"/>
          <w:w w:val="110"/>
        </w:rPr>
        <w:t>todas</w:t>
      </w:r>
      <w:r>
        <w:rPr>
          <w:color w:val="231F1F"/>
          <w:spacing w:val="-6"/>
          <w:w w:val="110"/>
        </w:rPr>
        <w:t> </w:t>
      </w:r>
      <w:r>
        <w:rPr>
          <w:color w:val="231F1F"/>
          <w:w w:val="110"/>
        </w:rPr>
        <w:t>las</w:t>
      </w:r>
      <w:r>
        <w:rPr>
          <w:color w:val="231F1F"/>
          <w:spacing w:val="-6"/>
          <w:w w:val="110"/>
        </w:rPr>
        <w:t> </w:t>
      </w:r>
      <w:r>
        <w:rPr>
          <w:color w:val="231F1F"/>
          <w:w w:val="110"/>
        </w:rPr>
        <w:t>mujeres que</w:t>
      </w:r>
      <w:r>
        <w:rPr>
          <w:color w:val="231F1F"/>
          <w:spacing w:val="-8"/>
          <w:w w:val="110"/>
        </w:rPr>
        <w:t> </w:t>
      </w:r>
      <w:r>
        <w:rPr>
          <w:color w:val="231F1F"/>
          <w:w w:val="110"/>
        </w:rPr>
        <w:t>una</w:t>
      </w:r>
      <w:r>
        <w:rPr>
          <w:color w:val="231F1F"/>
          <w:spacing w:val="-8"/>
          <w:w w:val="110"/>
        </w:rPr>
        <w:t> </w:t>
      </w:r>
      <w:r>
        <w:rPr>
          <w:color w:val="231F1F"/>
          <w:w w:val="110"/>
        </w:rPr>
        <w:t>posición</w:t>
      </w:r>
      <w:r>
        <w:rPr>
          <w:color w:val="231F1F"/>
          <w:spacing w:val="-8"/>
          <w:w w:val="110"/>
        </w:rPr>
        <w:t> </w:t>
      </w:r>
      <w:r>
        <w:rPr>
          <w:color w:val="231F1F"/>
          <w:w w:val="110"/>
        </w:rPr>
        <w:t>no</w:t>
      </w:r>
      <w:r>
        <w:rPr>
          <w:color w:val="231F1F"/>
          <w:spacing w:val="-8"/>
          <w:w w:val="110"/>
        </w:rPr>
        <w:t> </w:t>
      </w:r>
      <w:r>
        <w:rPr>
          <w:color w:val="231F1F"/>
          <w:w w:val="110"/>
        </w:rPr>
        <w:t>supina</w:t>
      </w:r>
      <w:r>
        <w:rPr>
          <w:color w:val="231F1F"/>
          <w:spacing w:val="-8"/>
          <w:w w:val="110"/>
        </w:rPr>
        <w:t> </w:t>
      </w:r>
      <w:r>
        <w:rPr>
          <w:color w:val="231F1F"/>
          <w:w w:val="110"/>
        </w:rPr>
        <w:t>durante</w:t>
      </w:r>
      <w:r>
        <w:rPr>
          <w:color w:val="231F1F"/>
          <w:spacing w:val="-8"/>
          <w:w w:val="110"/>
        </w:rPr>
        <w:t> </w:t>
      </w:r>
      <w:r>
        <w:rPr>
          <w:color w:val="231F1F"/>
          <w:w w:val="110"/>
        </w:rPr>
        <w:t>la</w:t>
      </w:r>
      <w:r>
        <w:rPr>
          <w:color w:val="231F1F"/>
          <w:spacing w:val="-8"/>
          <w:w w:val="110"/>
        </w:rPr>
        <w:t> </w:t>
      </w:r>
      <w:r>
        <w:rPr>
          <w:color w:val="231F1F"/>
          <w:w w:val="110"/>
        </w:rPr>
        <w:t>segunda</w:t>
      </w:r>
      <w:r>
        <w:rPr>
          <w:color w:val="231F1F"/>
          <w:spacing w:val="-8"/>
          <w:w w:val="110"/>
        </w:rPr>
        <w:t> </w:t>
      </w:r>
      <w:r>
        <w:rPr>
          <w:color w:val="231F1F"/>
          <w:w w:val="110"/>
        </w:rPr>
        <w:t>etapa</w:t>
      </w:r>
      <w:r>
        <w:rPr>
          <w:color w:val="231F1F"/>
          <w:spacing w:val="-8"/>
          <w:w w:val="110"/>
        </w:rPr>
        <w:t> </w:t>
      </w:r>
      <w:r>
        <w:rPr>
          <w:color w:val="231F1F"/>
          <w:w w:val="110"/>
        </w:rPr>
        <w:t>del</w:t>
      </w:r>
      <w:r>
        <w:rPr>
          <w:color w:val="231F1F"/>
          <w:spacing w:val="-9"/>
          <w:w w:val="110"/>
        </w:rPr>
        <w:t> </w:t>
      </w:r>
      <w:r>
        <w:rPr>
          <w:color w:val="231F1F"/>
          <w:w w:val="110"/>
        </w:rPr>
        <w:t>parto</w:t>
      </w:r>
      <w:r>
        <w:rPr>
          <w:color w:val="231F1F"/>
          <w:spacing w:val="-8"/>
          <w:w w:val="110"/>
        </w:rPr>
        <w:t> </w:t>
      </w:r>
      <w:r>
        <w:rPr>
          <w:color w:val="231F1F"/>
          <w:w w:val="110"/>
        </w:rPr>
        <w:t>no</w:t>
      </w:r>
      <w:r>
        <w:rPr>
          <w:color w:val="231F1F"/>
          <w:spacing w:val="-8"/>
          <w:w w:val="110"/>
        </w:rPr>
        <w:t> </w:t>
      </w:r>
      <w:r>
        <w:rPr>
          <w:color w:val="231F1F"/>
          <w:w w:val="110"/>
        </w:rPr>
        <w:t>influye</w:t>
      </w:r>
      <w:r>
        <w:rPr>
          <w:color w:val="231F1F"/>
          <w:spacing w:val="-8"/>
          <w:w w:val="110"/>
        </w:rPr>
        <w:t> </w:t>
      </w:r>
      <w:r>
        <w:rPr>
          <w:color w:val="231F1F"/>
          <w:w w:val="110"/>
        </w:rPr>
        <w:t>en la probabilidad de sufrir una cesárea.</w:t>
      </w:r>
    </w:p>
    <w:p>
      <w:pPr>
        <w:pStyle w:val="BodyText"/>
        <w:spacing w:line="247" w:lineRule="auto" w:before="163"/>
        <w:ind w:left="283" w:right="1364" w:firstLine="453"/>
        <w:jc w:val="both"/>
      </w:pPr>
      <w:r>
        <w:rPr>
          <w:color w:val="231F1F"/>
          <w:w w:val="110"/>
        </w:rPr>
        <w:t>La RS actualizada (127) y seleccionada en la guía NICE (10) sobre el </w:t>
      </w:r>
      <w:r>
        <w:rPr>
          <w:color w:val="231F1F"/>
        </w:rPr>
        <w:t>parto</w:t>
      </w:r>
      <w:r>
        <w:rPr>
          <w:color w:val="231F1F"/>
          <w:spacing w:val="30"/>
        </w:rPr>
        <w:t> </w:t>
      </w:r>
      <w:r>
        <w:rPr>
          <w:color w:val="231F1F"/>
        </w:rPr>
        <w:t>y</w:t>
      </w:r>
      <w:r>
        <w:rPr>
          <w:color w:val="231F1F"/>
          <w:spacing w:val="31"/>
        </w:rPr>
        <w:t> </w:t>
      </w:r>
      <w:r>
        <w:rPr>
          <w:color w:val="231F1F"/>
        </w:rPr>
        <w:t>nacimiento,</w:t>
      </w:r>
      <w:r>
        <w:rPr>
          <w:color w:val="231F1F"/>
          <w:spacing w:val="30"/>
        </w:rPr>
        <w:t> </w:t>
      </w:r>
      <w:r>
        <w:rPr>
          <w:color w:val="231F1F"/>
        </w:rPr>
        <w:t>incluía</w:t>
      </w:r>
      <w:r>
        <w:rPr>
          <w:color w:val="231F1F"/>
          <w:spacing w:val="31"/>
        </w:rPr>
        <w:t> </w:t>
      </w:r>
      <w:r>
        <w:rPr>
          <w:color w:val="231F1F"/>
        </w:rPr>
        <w:t>diecinueve</w:t>
      </w:r>
      <w:r>
        <w:rPr>
          <w:color w:val="231F1F"/>
          <w:spacing w:val="30"/>
        </w:rPr>
        <w:t> </w:t>
      </w:r>
      <w:r>
        <w:rPr>
          <w:color w:val="231F1F"/>
        </w:rPr>
        <w:t>ECAs</w:t>
      </w:r>
      <w:r>
        <w:rPr>
          <w:color w:val="231F1F"/>
          <w:spacing w:val="31"/>
        </w:rPr>
        <w:t> </w:t>
      </w:r>
      <w:r>
        <w:rPr>
          <w:color w:val="231F1F"/>
        </w:rPr>
        <w:t>con</w:t>
      </w:r>
      <w:r>
        <w:rPr>
          <w:color w:val="231F1F"/>
          <w:spacing w:val="31"/>
        </w:rPr>
        <w:t> </w:t>
      </w:r>
      <w:r>
        <w:rPr>
          <w:color w:val="231F1F"/>
        </w:rPr>
        <w:t>un</w:t>
      </w:r>
      <w:r>
        <w:rPr>
          <w:color w:val="231F1F"/>
          <w:spacing w:val="31"/>
        </w:rPr>
        <w:t> </w:t>
      </w:r>
      <w:r>
        <w:rPr>
          <w:color w:val="231F1F"/>
        </w:rPr>
        <w:t>total</w:t>
      </w:r>
      <w:r>
        <w:rPr>
          <w:color w:val="231F1F"/>
          <w:spacing w:val="31"/>
        </w:rPr>
        <w:t> </w:t>
      </w:r>
      <w:r>
        <w:rPr>
          <w:color w:val="231F1F"/>
        </w:rPr>
        <w:t>de</w:t>
      </w:r>
      <w:r>
        <w:rPr>
          <w:color w:val="231F1F"/>
          <w:spacing w:val="31"/>
        </w:rPr>
        <w:t> </w:t>
      </w:r>
      <w:r>
        <w:rPr>
          <w:color w:val="231F1F"/>
        </w:rPr>
        <w:t>5.764</w:t>
      </w:r>
      <w:r>
        <w:rPr>
          <w:color w:val="231F1F"/>
          <w:spacing w:val="31"/>
        </w:rPr>
        <w:t> </w:t>
      </w:r>
      <w:r>
        <w:rPr>
          <w:color w:val="231F1F"/>
        </w:rPr>
        <w:t>mujeres</w:t>
      </w:r>
      <w:r>
        <w:rPr>
          <w:color w:val="231F1F"/>
          <w:spacing w:val="31"/>
        </w:rPr>
        <w:t> </w:t>
      </w:r>
      <w:r>
        <w:rPr>
          <w:color w:val="231F1F"/>
        </w:rPr>
        <w:t>en </w:t>
      </w:r>
      <w:r>
        <w:rPr>
          <w:color w:val="231F1F"/>
          <w:w w:val="110"/>
        </w:rPr>
        <w:t>las</w:t>
      </w:r>
      <w:r>
        <w:rPr>
          <w:color w:val="231F1F"/>
          <w:spacing w:val="-16"/>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evaluaban</w:t>
      </w:r>
      <w:r>
        <w:rPr>
          <w:color w:val="231F1F"/>
          <w:spacing w:val="-15"/>
          <w:w w:val="110"/>
        </w:rPr>
        <w:t> </w:t>
      </w:r>
      <w:r>
        <w:rPr>
          <w:color w:val="231F1F"/>
          <w:w w:val="110"/>
        </w:rPr>
        <w:t>los</w:t>
      </w:r>
      <w:r>
        <w:rPr>
          <w:color w:val="231F1F"/>
          <w:spacing w:val="-15"/>
          <w:w w:val="110"/>
        </w:rPr>
        <w:t> </w:t>
      </w:r>
      <w:r>
        <w:rPr>
          <w:color w:val="231F1F"/>
          <w:w w:val="110"/>
        </w:rPr>
        <w:t>beneficios</w:t>
      </w:r>
      <w:r>
        <w:rPr>
          <w:color w:val="231F1F"/>
          <w:spacing w:val="-15"/>
          <w:w w:val="110"/>
        </w:rPr>
        <w:t> </w:t>
      </w:r>
      <w:r>
        <w:rPr>
          <w:color w:val="231F1F"/>
          <w:w w:val="110"/>
        </w:rPr>
        <w:t>y</w:t>
      </w:r>
      <w:r>
        <w:rPr>
          <w:color w:val="231F1F"/>
          <w:spacing w:val="-15"/>
          <w:w w:val="110"/>
        </w:rPr>
        <w:t> </w:t>
      </w:r>
      <w:r>
        <w:rPr>
          <w:color w:val="231F1F"/>
          <w:w w:val="110"/>
        </w:rPr>
        <w:t>riesgos</w:t>
      </w:r>
      <w:r>
        <w:rPr>
          <w:color w:val="231F1F"/>
          <w:spacing w:val="-15"/>
          <w:w w:val="110"/>
        </w:rPr>
        <w:t> </w:t>
      </w:r>
      <w:r>
        <w:rPr>
          <w:color w:val="231F1F"/>
          <w:w w:val="110"/>
        </w:rPr>
        <w:t>del</w:t>
      </w:r>
      <w:r>
        <w:rPr>
          <w:color w:val="231F1F"/>
          <w:spacing w:val="-16"/>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diferentes</w:t>
      </w:r>
      <w:r>
        <w:rPr>
          <w:color w:val="231F1F"/>
          <w:spacing w:val="-15"/>
          <w:w w:val="110"/>
        </w:rPr>
        <w:t> </w:t>
      </w:r>
      <w:r>
        <w:rPr>
          <w:color w:val="231F1F"/>
          <w:w w:val="110"/>
        </w:rPr>
        <w:t>posiciones </w:t>
      </w:r>
      <w:r>
        <w:rPr>
          <w:color w:val="231F1F"/>
          <w:spacing w:val="-2"/>
          <w:w w:val="110"/>
        </w:rPr>
        <w:t>durante</w:t>
      </w:r>
      <w:r>
        <w:rPr>
          <w:color w:val="231F1F"/>
          <w:spacing w:val="-7"/>
          <w:w w:val="110"/>
        </w:rPr>
        <w:t> </w:t>
      </w:r>
      <w:r>
        <w:rPr>
          <w:color w:val="231F1F"/>
          <w:spacing w:val="-2"/>
          <w:w w:val="110"/>
        </w:rPr>
        <w:t>la</w:t>
      </w:r>
      <w:r>
        <w:rPr>
          <w:color w:val="231F1F"/>
          <w:spacing w:val="-7"/>
          <w:w w:val="110"/>
        </w:rPr>
        <w:t> </w:t>
      </w:r>
      <w:r>
        <w:rPr>
          <w:color w:val="231F1F"/>
          <w:spacing w:val="-2"/>
          <w:w w:val="110"/>
        </w:rPr>
        <w:t>segunda</w:t>
      </w:r>
      <w:r>
        <w:rPr>
          <w:color w:val="231F1F"/>
          <w:spacing w:val="-8"/>
          <w:w w:val="110"/>
        </w:rPr>
        <w:t> </w:t>
      </w:r>
      <w:r>
        <w:rPr>
          <w:color w:val="231F1F"/>
          <w:spacing w:val="-2"/>
          <w:w w:val="110"/>
        </w:rPr>
        <w:t>etapa</w:t>
      </w:r>
      <w:r>
        <w:rPr>
          <w:color w:val="231F1F"/>
          <w:spacing w:val="-7"/>
          <w:w w:val="110"/>
        </w:rPr>
        <w:t> </w:t>
      </w:r>
      <w:r>
        <w:rPr>
          <w:color w:val="231F1F"/>
          <w:spacing w:val="-2"/>
          <w:w w:val="110"/>
        </w:rPr>
        <w:t>de</w:t>
      </w:r>
      <w:r>
        <w:rPr>
          <w:color w:val="231F1F"/>
          <w:spacing w:val="-7"/>
          <w:w w:val="110"/>
        </w:rPr>
        <w:t> </w:t>
      </w:r>
      <w:r>
        <w:rPr>
          <w:color w:val="231F1F"/>
          <w:spacing w:val="-2"/>
          <w:w w:val="110"/>
        </w:rPr>
        <w:t>parto.</w:t>
      </w:r>
      <w:r>
        <w:rPr>
          <w:color w:val="231F1F"/>
          <w:spacing w:val="-8"/>
          <w:w w:val="110"/>
        </w:rPr>
        <w:t> </w:t>
      </w:r>
      <w:r>
        <w:rPr>
          <w:color w:val="231F1F"/>
          <w:spacing w:val="-2"/>
          <w:w w:val="110"/>
        </w:rPr>
        <w:t>Para</w:t>
      </w:r>
      <w:r>
        <w:rPr>
          <w:color w:val="231F1F"/>
          <w:spacing w:val="-7"/>
          <w:w w:val="110"/>
        </w:rPr>
        <w:t> </w:t>
      </w:r>
      <w:r>
        <w:rPr>
          <w:color w:val="231F1F"/>
          <w:spacing w:val="-2"/>
          <w:w w:val="110"/>
        </w:rPr>
        <w:t>ello</w:t>
      </w:r>
      <w:r>
        <w:rPr>
          <w:color w:val="231F1F"/>
          <w:spacing w:val="-7"/>
          <w:w w:val="110"/>
        </w:rPr>
        <w:t> </w:t>
      </w:r>
      <w:r>
        <w:rPr>
          <w:color w:val="231F1F"/>
          <w:spacing w:val="-2"/>
          <w:w w:val="110"/>
        </w:rPr>
        <w:t>se</w:t>
      </w:r>
      <w:r>
        <w:rPr>
          <w:color w:val="231F1F"/>
          <w:spacing w:val="-7"/>
          <w:w w:val="110"/>
        </w:rPr>
        <w:t> </w:t>
      </w:r>
      <w:r>
        <w:rPr>
          <w:color w:val="231F1F"/>
          <w:spacing w:val="-2"/>
          <w:w w:val="110"/>
        </w:rPr>
        <w:t>realizó</w:t>
      </w:r>
      <w:r>
        <w:rPr>
          <w:color w:val="231F1F"/>
          <w:spacing w:val="-7"/>
          <w:w w:val="110"/>
        </w:rPr>
        <w:t> </w:t>
      </w:r>
      <w:r>
        <w:rPr>
          <w:color w:val="231F1F"/>
          <w:spacing w:val="-2"/>
          <w:w w:val="110"/>
        </w:rPr>
        <w:t>una</w:t>
      </w:r>
      <w:r>
        <w:rPr>
          <w:color w:val="231F1F"/>
          <w:spacing w:val="-7"/>
          <w:w w:val="110"/>
        </w:rPr>
        <w:t> </w:t>
      </w:r>
      <w:r>
        <w:rPr>
          <w:color w:val="231F1F"/>
          <w:spacing w:val="-2"/>
          <w:w w:val="110"/>
        </w:rPr>
        <w:t>comparación</w:t>
      </w:r>
      <w:r>
        <w:rPr>
          <w:color w:val="231F1F"/>
          <w:spacing w:val="-7"/>
          <w:w w:val="110"/>
        </w:rPr>
        <w:t> </w:t>
      </w:r>
      <w:r>
        <w:rPr>
          <w:color w:val="231F1F"/>
          <w:spacing w:val="-2"/>
          <w:w w:val="110"/>
        </w:rPr>
        <w:t>entre </w:t>
      </w:r>
      <w:r>
        <w:rPr>
          <w:color w:val="231F1F"/>
          <w:w w:val="110"/>
        </w:rPr>
        <w:t>la </w:t>
      </w:r>
      <w:r>
        <w:rPr>
          <w:i/>
          <w:color w:val="231F1F"/>
          <w:w w:val="110"/>
        </w:rPr>
        <w:t>combinación de posiciones verticales </w:t>
      </w:r>
      <w:r>
        <w:rPr>
          <w:color w:val="231F1F"/>
          <w:w w:val="110"/>
        </w:rPr>
        <w:t>(sentadas en sillas de parto, semi-</w:t>
      </w:r>
    </w:p>
    <w:p>
      <w:pPr>
        <w:pStyle w:val="BodyText"/>
        <w:spacing w:after="0" w:line="247" w:lineRule="auto"/>
        <w:jc w:val="both"/>
        <w:sectPr>
          <w:pgSz w:w="11900" w:h="16840"/>
          <w:pgMar w:header="0" w:footer="622" w:top="1560" w:bottom="820" w:left="1417" w:right="1559"/>
        </w:sectPr>
      </w:pPr>
    </w:p>
    <w:p>
      <w:pPr>
        <w:spacing w:line="244" w:lineRule="auto" w:before="73"/>
        <w:ind w:left="283" w:right="1473" w:firstLine="0"/>
        <w:jc w:val="both"/>
        <w:rPr>
          <w:i/>
          <w:sz w:val="22"/>
        </w:rPr>
      </w:pPr>
      <w:r>
        <w:rPr>
          <w:color w:val="231F1F"/>
          <w:w w:val="105"/>
          <w:sz w:val="22"/>
        </w:rPr>
        <w:t>acostadas</w:t>
      </w:r>
      <w:r>
        <w:rPr>
          <w:color w:val="231F1F"/>
          <w:spacing w:val="-9"/>
          <w:w w:val="105"/>
          <w:sz w:val="22"/>
        </w:rPr>
        <w:t> </w:t>
      </w:r>
      <w:r>
        <w:rPr>
          <w:color w:val="231F1F"/>
          <w:w w:val="105"/>
          <w:sz w:val="22"/>
        </w:rPr>
        <w:t>y</w:t>
      </w:r>
      <w:r>
        <w:rPr>
          <w:color w:val="231F1F"/>
          <w:spacing w:val="-9"/>
          <w:w w:val="105"/>
          <w:sz w:val="22"/>
        </w:rPr>
        <w:t> </w:t>
      </w:r>
      <w:r>
        <w:rPr>
          <w:color w:val="231F1F"/>
          <w:w w:val="105"/>
          <w:sz w:val="22"/>
        </w:rPr>
        <w:t>posiciones</w:t>
      </w:r>
      <w:r>
        <w:rPr>
          <w:color w:val="231F1F"/>
          <w:spacing w:val="-10"/>
          <w:w w:val="105"/>
          <w:sz w:val="22"/>
        </w:rPr>
        <w:t> </w:t>
      </w:r>
      <w:r>
        <w:rPr>
          <w:color w:val="231F1F"/>
          <w:w w:val="105"/>
          <w:sz w:val="22"/>
        </w:rPr>
        <w:t>en</w:t>
      </w:r>
      <w:r>
        <w:rPr>
          <w:color w:val="231F1F"/>
          <w:spacing w:val="-9"/>
          <w:w w:val="105"/>
          <w:sz w:val="22"/>
        </w:rPr>
        <w:t> </w:t>
      </w:r>
      <w:r>
        <w:rPr>
          <w:color w:val="231F1F"/>
          <w:w w:val="105"/>
          <w:sz w:val="22"/>
        </w:rPr>
        <w:t>cuclillas)</w:t>
      </w:r>
      <w:r>
        <w:rPr>
          <w:color w:val="231F1F"/>
          <w:spacing w:val="-9"/>
          <w:w w:val="105"/>
          <w:sz w:val="22"/>
        </w:rPr>
        <w:t> </w:t>
      </w:r>
      <w:r>
        <w:rPr>
          <w:i/>
          <w:color w:val="231F1F"/>
          <w:w w:val="105"/>
          <w:sz w:val="22"/>
        </w:rPr>
        <w:t>con</w:t>
      </w:r>
      <w:r>
        <w:rPr>
          <w:i/>
          <w:color w:val="231F1F"/>
          <w:spacing w:val="-11"/>
          <w:w w:val="105"/>
          <w:sz w:val="22"/>
        </w:rPr>
        <w:t> </w:t>
      </w:r>
      <w:r>
        <w:rPr>
          <w:i/>
          <w:color w:val="231F1F"/>
          <w:w w:val="105"/>
          <w:sz w:val="22"/>
        </w:rPr>
        <w:t>laterales</w:t>
      </w:r>
      <w:r>
        <w:rPr>
          <w:i/>
          <w:color w:val="231F1F"/>
          <w:spacing w:val="-11"/>
          <w:w w:val="105"/>
          <w:sz w:val="22"/>
        </w:rPr>
        <w:t> </w:t>
      </w:r>
      <w:r>
        <w:rPr>
          <w:i/>
          <w:color w:val="231F1F"/>
          <w:w w:val="105"/>
          <w:sz w:val="22"/>
        </w:rPr>
        <w:t>frente</w:t>
      </w:r>
      <w:r>
        <w:rPr>
          <w:i/>
          <w:color w:val="231F1F"/>
          <w:spacing w:val="-11"/>
          <w:w w:val="105"/>
          <w:sz w:val="22"/>
        </w:rPr>
        <w:t> </w:t>
      </w:r>
      <w:r>
        <w:rPr>
          <w:i/>
          <w:color w:val="231F1F"/>
          <w:w w:val="105"/>
          <w:sz w:val="22"/>
        </w:rPr>
        <w:t>a</w:t>
      </w:r>
      <w:r>
        <w:rPr>
          <w:i/>
          <w:color w:val="231F1F"/>
          <w:spacing w:val="-11"/>
          <w:w w:val="105"/>
          <w:sz w:val="22"/>
        </w:rPr>
        <w:t> </w:t>
      </w:r>
      <w:r>
        <w:rPr>
          <w:i/>
          <w:color w:val="231F1F"/>
          <w:w w:val="105"/>
          <w:sz w:val="22"/>
        </w:rPr>
        <w:t>posición</w:t>
      </w:r>
      <w:r>
        <w:rPr>
          <w:i/>
          <w:color w:val="231F1F"/>
          <w:spacing w:val="-13"/>
          <w:w w:val="105"/>
          <w:sz w:val="22"/>
        </w:rPr>
        <w:t> </w:t>
      </w:r>
      <w:r>
        <w:rPr>
          <w:i/>
          <w:color w:val="231F1F"/>
          <w:w w:val="105"/>
          <w:sz w:val="22"/>
        </w:rPr>
        <w:t>supina</w:t>
      </w:r>
      <w:r>
        <w:rPr>
          <w:i/>
          <w:color w:val="231F1F"/>
          <w:spacing w:val="-11"/>
          <w:w w:val="105"/>
          <w:sz w:val="22"/>
        </w:rPr>
        <w:t> </w:t>
      </w:r>
      <w:r>
        <w:rPr>
          <w:i/>
          <w:color w:val="231F1F"/>
          <w:w w:val="105"/>
          <w:sz w:val="22"/>
        </w:rPr>
        <w:t>o</w:t>
      </w:r>
      <w:r>
        <w:rPr>
          <w:i/>
          <w:color w:val="231F1F"/>
          <w:spacing w:val="-11"/>
          <w:w w:val="105"/>
          <w:sz w:val="22"/>
        </w:rPr>
        <w:t> </w:t>
      </w:r>
      <w:r>
        <w:rPr>
          <w:i/>
          <w:color w:val="231F1F"/>
          <w:w w:val="105"/>
          <w:sz w:val="22"/>
        </w:rPr>
        <w:t>li- </w:t>
      </w:r>
      <w:r>
        <w:rPr>
          <w:i/>
          <w:color w:val="231F1F"/>
          <w:spacing w:val="-2"/>
          <w:w w:val="105"/>
          <w:sz w:val="22"/>
        </w:rPr>
        <w:t>totomía.</w:t>
      </w:r>
    </w:p>
    <w:p>
      <w:pPr>
        <w:pStyle w:val="BodyText"/>
        <w:spacing w:line="242" w:lineRule="auto" w:before="112"/>
        <w:ind w:left="283" w:right="324" w:firstLine="453"/>
        <w:jc w:val="both"/>
        <w:rPr>
          <w:rFonts w:ascii="Arial MT" w:hAnsi="Arial MT"/>
          <w:position w:val="8"/>
          <w:sz w:val="18"/>
        </w:rPr>
      </w:pPr>
      <w:r>
        <w:rPr>
          <w:color w:val="231F1F"/>
        </w:rPr>
        <w:t>Las</w:t>
      </w:r>
      <w:r>
        <w:rPr>
          <w:color w:val="231F1F"/>
          <w:spacing w:val="31"/>
        </w:rPr>
        <w:t> </w:t>
      </w:r>
      <w:r>
        <w:rPr>
          <w:color w:val="231F1F"/>
        </w:rPr>
        <w:t>posiciones</w:t>
      </w:r>
      <w:r>
        <w:rPr>
          <w:color w:val="231F1F"/>
          <w:spacing w:val="33"/>
        </w:rPr>
        <w:t> </w:t>
      </w:r>
      <w:r>
        <w:rPr>
          <w:color w:val="231F1F"/>
        </w:rPr>
        <w:t>verticales</w:t>
      </w:r>
      <w:r>
        <w:rPr>
          <w:color w:val="231F1F"/>
          <w:spacing w:val="31"/>
        </w:rPr>
        <w:t> </w:t>
      </w:r>
      <w:r>
        <w:rPr>
          <w:color w:val="231F1F"/>
        </w:rPr>
        <w:t>o</w:t>
      </w:r>
      <w:r>
        <w:rPr>
          <w:color w:val="231F1F"/>
          <w:spacing w:val="39"/>
        </w:rPr>
        <w:t> </w:t>
      </w:r>
      <w:r>
        <w:rPr>
          <w:color w:val="231F1F"/>
        </w:rPr>
        <w:t>laterales,</w:t>
      </w:r>
      <w:r>
        <w:rPr>
          <w:color w:val="231F1F"/>
          <w:spacing w:val="39"/>
        </w:rPr>
        <w:t> </w:t>
      </w:r>
      <w:r>
        <w:rPr>
          <w:color w:val="231F1F"/>
        </w:rPr>
        <w:t>comparadas</w:t>
      </w:r>
      <w:r>
        <w:rPr>
          <w:color w:val="231F1F"/>
          <w:spacing w:val="39"/>
        </w:rPr>
        <w:t> </w:t>
      </w:r>
      <w:r>
        <w:rPr>
          <w:color w:val="231F1F"/>
        </w:rPr>
        <w:t>con</w:t>
      </w:r>
      <w:r>
        <w:rPr>
          <w:color w:val="231F1F"/>
          <w:spacing w:val="39"/>
        </w:rPr>
        <w:t> </w:t>
      </w:r>
      <w:r>
        <w:rPr>
          <w:color w:val="231F1F"/>
        </w:rPr>
        <w:t>supino</w:t>
      </w:r>
      <w:r>
        <w:rPr>
          <w:color w:val="231F1F"/>
          <w:spacing w:val="39"/>
        </w:rPr>
        <w:t> </w:t>
      </w:r>
      <w:r>
        <w:rPr>
          <w:color w:val="231F1F"/>
        </w:rPr>
        <w:t>o</w:t>
      </w:r>
      <w:r>
        <w:rPr>
          <w:color w:val="231F1F"/>
          <w:spacing w:val="39"/>
        </w:rPr>
        <w:t> </w:t>
      </w:r>
      <w:r>
        <w:rPr>
          <w:color w:val="231F1F"/>
        </w:rPr>
        <w:t>litotomía,</w:t>
      </w:r>
      <w:r>
        <w:rPr>
          <w:color w:val="231F1F"/>
          <w:spacing w:val="31"/>
        </w:rPr>
        <w:t> </w:t>
      </w:r>
      <w:r>
        <w:rPr>
          <w:rFonts w:ascii="Arial MT" w:hAnsi="Arial MT"/>
          <w:color w:val="231F1F"/>
          <w:sz w:val="18"/>
        </w:rPr>
        <w:t>RS-MA</w:t>
      </w:r>
      <w:r>
        <w:rPr>
          <w:rFonts w:ascii="Arial MT" w:hAnsi="Arial MT"/>
          <w:color w:val="231F1F"/>
          <w:spacing w:val="36"/>
          <w:sz w:val="18"/>
        </w:rPr>
        <w:t> </w:t>
      </w:r>
      <w:r>
        <w:rPr>
          <w:rFonts w:ascii="Arial MT" w:hAnsi="Arial MT"/>
          <w:color w:val="231F1F"/>
          <w:sz w:val="18"/>
        </w:rPr>
        <w:t>de </w:t>
      </w:r>
      <w:r>
        <w:rPr>
          <w:color w:val="231F1F"/>
          <w:w w:val="110"/>
        </w:rPr>
        <w:t>se asociaron a una menor duración de la segunda etapa de parto (diez estudios):</w:t>
      </w:r>
      <w:r>
        <w:rPr>
          <w:color w:val="231F1F"/>
          <w:spacing w:val="-11"/>
          <w:w w:val="110"/>
        </w:rPr>
        <w:t> </w:t>
      </w:r>
      <w:r>
        <w:rPr>
          <w:rFonts w:ascii="Arial MT" w:hAnsi="Arial MT"/>
          <w:color w:val="231F1F"/>
          <w:w w:val="110"/>
          <w:position w:val="4"/>
          <w:sz w:val="18"/>
        </w:rPr>
        <w:t>ECAs </w:t>
      </w:r>
      <w:r>
        <w:rPr>
          <w:color w:val="231F1F"/>
          <w:w w:val="110"/>
        </w:rPr>
        <w:t>DMP 4,29 minutos [IC 95% 2,95 a 5,64 minutos], menos nacimientos asistidos</w:t>
      </w:r>
      <w:r>
        <w:rPr>
          <w:color w:val="231F1F"/>
          <w:spacing w:val="80"/>
          <w:w w:val="110"/>
        </w:rPr>
        <w:t> </w:t>
      </w:r>
      <w:r>
        <w:rPr>
          <w:rFonts w:ascii="Arial MT" w:hAnsi="Arial MT"/>
          <w:color w:val="231F1F"/>
          <w:w w:val="110"/>
          <w:position w:val="8"/>
          <w:sz w:val="18"/>
        </w:rPr>
        <w:t>1+</w:t>
      </w:r>
    </w:p>
    <w:p>
      <w:pPr>
        <w:pStyle w:val="BodyText"/>
        <w:spacing w:line="251" w:lineRule="exact"/>
        <w:ind w:left="283"/>
      </w:pPr>
      <w:r>
        <w:rPr>
          <w:color w:val="231F1F"/>
          <w:w w:val="105"/>
        </w:rPr>
        <w:t>(18</w:t>
      </w:r>
      <w:r>
        <w:rPr>
          <w:color w:val="231F1F"/>
          <w:spacing w:val="7"/>
          <w:w w:val="105"/>
        </w:rPr>
        <w:t> </w:t>
      </w:r>
      <w:r>
        <w:rPr>
          <w:color w:val="231F1F"/>
          <w:w w:val="105"/>
        </w:rPr>
        <w:t>estudios):</w:t>
      </w:r>
      <w:r>
        <w:rPr>
          <w:color w:val="231F1F"/>
          <w:spacing w:val="7"/>
          <w:w w:val="105"/>
        </w:rPr>
        <w:t> </w:t>
      </w:r>
      <w:r>
        <w:rPr>
          <w:color w:val="231F1F"/>
          <w:w w:val="105"/>
        </w:rPr>
        <w:t>RR</w:t>
      </w:r>
      <w:r>
        <w:rPr>
          <w:color w:val="231F1F"/>
          <w:spacing w:val="7"/>
          <w:w w:val="105"/>
        </w:rPr>
        <w:t> </w:t>
      </w:r>
      <w:r>
        <w:rPr>
          <w:color w:val="231F1F"/>
          <w:w w:val="105"/>
        </w:rPr>
        <w:t>0,84</w:t>
      </w:r>
      <w:r>
        <w:rPr>
          <w:color w:val="231F1F"/>
          <w:spacing w:val="7"/>
          <w:w w:val="105"/>
        </w:rPr>
        <w:t> </w:t>
      </w:r>
      <w:r>
        <w:rPr>
          <w:color w:val="231F1F"/>
          <w:w w:val="105"/>
        </w:rPr>
        <w:t>[IC</w:t>
      </w:r>
      <w:r>
        <w:rPr>
          <w:color w:val="231F1F"/>
          <w:spacing w:val="7"/>
          <w:w w:val="105"/>
        </w:rPr>
        <w:t> </w:t>
      </w:r>
      <w:r>
        <w:rPr>
          <w:color w:val="231F1F"/>
          <w:w w:val="105"/>
        </w:rPr>
        <w:t>95%</w:t>
      </w:r>
      <w:r>
        <w:rPr>
          <w:color w:val="231F1F"/>
          <w:spacing w:val="7"/>
          <w:w w:val="105"/>
        </w:rPr>
        <w:t> </w:t>
      </w:r>
      <w:r>
        <w:rPr>
          <w:color w:val="231F1F"/>
          <w:w w:val="105"/>
        </w:rPr>
        <w:t>0,73</w:t>
      </w:r>
      <w:r>
        <w:rPr>
          <w:color w:val="231F1F"/>
          <w:spacing w:val="7"/>
          <w:w w:val="105"/>
        </w:rPr>
        <w:t> </w:t>
      </w:r>
      <w:r>
        <w:rPr>
          <w:color w:val="231F1F"/>
          <w:w w:val="105"/>
        </w:rPr>
        <w:t>a</w:t>
      </w:r>
      <w:r>
        <w:rPr>
          <w:color w:val="231F1F"/>
          <w:spacing w:val="8"/>
          <w:w w:val="105"/>
        </w:rPr>
        <w:t> </w:t>
      </w:r>
      <w:r>
        <w:rPr>
          <w:color w:val="231F1F"/>
          <w:w w:val="105"/>
        </w:rPr>
        <w:t>0,98];</w:t>
      </w:r>
      <w:r>
        <w:rPr>
          <w:color w:val="231F1F"/>
          <w:spacing w:val="6"/>
          <w:w w:val="105"/>
        </w:rPr>
        <w:t> </w:t>
      </w:r>
      <w:r>
        <w:rPr>
          <w:color w:val="231F1F"/>
          <w:w w:val="105"/>
        </w:rPr>
        <w:t>tasas</w:t>
      </w:r>
      <w:r>
        <w:rPr>
          <w:color w:val="231F1F"/>
          <w:spacing w:val="5"/>
          <w:w w:val="105"/>
        </w:rPr>
        <w:t> </w:t>
      </w:r>
      <w:r>
        <w:rPr>
          <w:color w:val="231F1F"/>
          <w:w w:val="105"/>
        </w:rPr>
        <w:t>menores</w:t>
      </w:r>
      <w:r>
        <w:rPr>
          <w:color w:val="231F1F"/>
          <w:spacing w:val="7"/>
          <w:w w:val="105"/>
        </w:rPr>
        <w:t> </w:t>
      </w:r>
      <w:r>
        <w:rPr>
          <w:color w:val="231F1F"/>
          <w:w w:val="105"/>
        </w:rPr>
        <w:t>de</w:t>
      </w:r>
      <w:r>
        <w:rPr>
          <w:color w:val="231F1F"/>
          <w:spacing w:val="5"/>
          <w:w w:val="105"/>
        </w:rPr>
        <w:t> </w:t>
      </w:r>
      <w:r>
        <w:rPr>
          <w:color w:val="231F1F"/>
          <w:spacing w:val="-2"/>
          <w:w w:val="105"/>
        </w:rPr>
        <w:t>episiotomías</w:t>
      </w:r>
    </w:p>
    <w:p>
      <w:pPr>
        <w:pStyle w:val="BodyText"/>
        <w:spacing w:before="11"/>
        <w:ind w:left="283"/>
      </w:pPr>
      <w:r>
        <w:rPr>
          <w:color w:val="231F1F"/>
          <w:w w:val="105"/>
        </w:rPr>
        <w:t>(12 estudios):</w:t>
      </w:r>
      <w:r>
        <w:rPr>
          <w:color w:val="231F1F"/>
          <w:spacing w:val="2"/>
          <w:w w:val="105"/>
        </w:rPr>
        <w:t> </w:t>
      </w:r>
      <w:r>
        <w:rPr>
          <w:color w:val="231F1F"/>
          <w:w w:val="105"/>
        </w:rPr>
        <w:t>RR</w:t>
      </w:r>
      <w:r>
        <w:rPr>
          <w:color w:val="231F1F"/>
          <w:spacing w:val="2"/>
          <w:w w:val="105"/>
        </w:rPr>
        <w:t> </w:t>
      </w:r>
      <w:r>
        <w:rPr>
          <w:color w:val="231F1F"/>
          <w:w w:val="105"/>
        </w:rPr>
        <w:t>0,84</w:t>
      </w:r>
      <w:r>
        <w:rPr>
          <w:color w:val="231F1F"/>
          <w:spacing w:val="2"/>
          <w:w w:val="105"/>
        </w:rPr>
        <w:t> </w:t>
      </w:r>
      <w:r>
        <w:rPr>
          <w:color w:val="231F1F"/>
          <w:w w:val="105"/>
        </w:rPr>
        <w:t>[IC</w:t>
      </w:r>
      <w:r>
        <w:rPr>
          <w:color w:val="231F1F"/>
          <w:spacing w:val="1"/>
          <w:w w:val="105"/>
        </w:rPr>
        <w:t> </w:t>
      </w:r>
      <w:r>
        <w:rPr>
          <w:color w:val="231F1F"/>
          <w:w w:val="105"/>
        </w:rPr>
        <w:t>95%</w:t>
      </w:r>
      <w:r>
        <w:rPr>
          <w:color w:val="231F1F"/>
          <w:spacing w:val="2"/>
          <w:w w:val="105"/>
        </w:rPr>
        <w:t> </w:t>
      </w:r>
      <w:r>
        <w:rPr>
          <w:color w:val="231F1F"/>
          <w:w w:val="105"/>
        </w:rPr>
        <w:t>0,79</w:t>
      </w:r>
      <w:r>
        <w:rPr>
          <w:color w:val="231F1F"/>
          <w:spacing w:val="2"/>
          <w:w w:val="105"/>
        </w:rPr>
        <w:t> </w:t>
      </w:r>
      <w:r>
        <w:rPr>
          <w:color w:val="231F1F"/>
          <w:w w:val="105"/>
        </w:rPr>
        <w:t>a</w:t>
      </w:r>
      <w:r>
        <w:rPr>
          <w:color w:val="231F1F"/>
          <w:spacing w:val="2"/>
          <w:w w:val="105"/>
        </w:rPr>
        <w:t> </w:t>
      </w:r>
      <w:r>
        <w:rPr>
          <w:color w:val="231F1F"/>
          <w:w w:val="105"/>
        </w:rPr>
        <w:t>0,91];</w:t>
      </w:r>
      <w:r>
        <w:rPr>
          <w:color w:val="231F1F"/>
          <w:spacing w:val="-2"/>
          <w:w w:val="105"/>
        </w:rPr>
        <w:t> </w:t>
      </w:r>
      <w:r>
        <w:rPr>
          <w:color w:val="231F1F"/>
          <w:w w:val="105"/>
        </w:rPr>
        <w:t>mayor número</w:t>
      </w:r>
      <w:r>
        <w:rPr>
          <w:color w:val="231F1F"/>
          <w:spacing w:val="3"/>
          <w:w w:val="105"/>
        </w:rPr>
        <w:t> </w:t>
      </w:r>
      <w:r>
        <w:rPr>
          <w:color w:val="231F1F"/>
          <w:w w:val="105"/>
        </w:rPr>
        <w:t>de desgarros</w:t>
      </w:r>
      <w:r>
        <w:rPr>
          <w:color w:val="231F1F"/>
          <w:spacing w:val="2"/>
          <w:w w:val="105"/>
        </w:rPr>
        <w:t> </w:t>
      </w:r>
      <w:r>
        <w:rPr>
          <w:color w:val="231F1F"/>
          <w:spacing w:val="-5"/>
          <w:w w:val="105"/>
        </w:rPr>
        <w:t>de</w:t>
      </w:r>
    </w:p>
    <w:p>
      <w:pPr>
        <w:pStyle w:val="BodyText"/>
        <w:spacing w:before="7"/>
        <w:ind w:left="283"/>
      </w:pPr>
      <w:r>
        <w:rPr>
          <w:color w:val="231F1F"/>
          <w:w w:val="105"/>
        </w:rPr>
        <w:t>segundo</w:t>
      </w:r>
      <w:r>
        <w:rPr>
          <w:color w:val="231F1F"/>
          <w:spacing w:val="-4"/>
          <w:w w:val="105"/>
        </w:rPr>
        <w:t> </w:t>
      </w:r>
      <w:r>
        <w:rPr>
          <w:color w:val="231F1F"/>
          <w:w w:val="105"/>
        </w:rPr>
        <w:t>grado</w:t>
      </w:r>
      <w:r>
        <w:rPr>
          <w:color w:val="231F1F"/>
          <w:spacing w:val="-4"/>
          <w:w w:val="105"/>
        </w:rPr>
        <w:t> </w:t>
      </w:r>
      <w:r>
        <w:rPr>
          <w:color w:val="231F1F"/>
          <w:w w:val="105"/>
        </w:rPr>
        <w:t>(11</w:t>
      </w:r>
      <w:r>
        <w:rPr>
          <w:color w:val="231F1F"/>
          <w:spacing w:val="-2"/>
          <w:w w:val="105"/>
        </w:rPr>
        <w:t> </w:t>
      </w:r>
      <w:r>
        <w:rPr>
          <w:color w:val="231F1F"/>
          <w:w w:val="105"/>
        </w:rPr>
        <w:t>estudios):</w:t>
      </w:r>
      <w:r>
        <w:rPr>
          <w:color w:val="231F1F"/>
          <w:spacing w:val="-3"/>
          <w:w w:val="105"/>
        </w:rPr>
        <w:t> </w:t>
      </w:r>
      <w:r>
        <w:rPr>
          <w:color w:val="231F1F"/>
          <w:w w:val="105"/>
        </w:rPr>
        <w:t>RR</w:t>
      </w:r>
      <w:r>
        <w:rPr>
          <w:color w:val="231F1F"/>
          <w:spacing w:val="-2"/>
          <w:w w:val="105"/>
        </w:rPr>
        <w:t> </w:t>
      </w:r>
      <w:r>
        <w:rPr>
          <w:color w:val="231F1F"/>
          <w:w w:val="105"/>
        </w:rPr>
        <w:t>1,23</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3"/>
          <w:w w:val="105"/>
        </w:rPr>
        <w:t> </w:t>
      </w:r>
      <w:r>
        <w:rPr>
          <w:color w:val="231F1F"/>
          <w:w w:val="105"/>
        </w:rPr>
        <w:t>1,09</w:t>
      </w:r>
      <w:r>
        <w:rPr>
          <w:color w:val="231F1F"/>
          <w:spacing w:val="-4"/>
          <w:w w:val="105"/>
        </w:rPr>
        <w:t> </w:t>
      </w:r>
      <w:r>
        <w:rPr>
          <w:color w:val="231F1F"/>
          <w:w w:val="105"/>
        </w:rPr>
        <w:t>a</w:t>
      </w:r>
      <w:r>
        <w:rPr>
          <w:color w:val="231F1F"/>
          <w:spacing w:val="-2"/>
          <w:w w:val="105"/>
        </w:rPr>
        <w:t> </w:t>
      </w:r>
      <w:r>
        <w:rPr>
          <w:color w:val="231F1F"/>
          <w:w w:val="105"/>
        </w:rPr>
        <w:t>1,39];</w:t>
      </w:r>
      <w:r>
        <w:rPr>
          <w:color w:val="231F1F"/>
          <w:spacing w:val="-4"/>
          <w:w w:val="105"/>
        </w:rPr>
        <w:t> </w:t>
      </w:r>
      <w:r>
        <w:rPr>
          <w:color w:val="231F1F"/>
          <w:w w:val="105"/>
        </w:rPr>
        <w:t>más</w:t>
      </w:r>
      <w:r>
        <w:rPr>
          <w:color w:val="231F1F"/>
          <w:spacing w:val="-4"/>
          <w:w w:val="105"/>
        </w:rPr>
        <w:t> </w:t>
      </w:r>
      <w:r>
        <w:rPr>
          <w:color w:val="231F1F"/>
          <w:w w:val="105"/>
        </w:rPr>
        <w:t>pérdidas</w:t>
      </w:r>
      <w:r>
        <w:rPr>
          <w:color w:val="231F1F"/>
          <w:spacing w:val="-3"/>
          <w:w w:val="105"/>
        </w:rPr>
        <w:t> </w:t>
      </w:r>
      <w:r>
        <w:rPr>
          <w:color w:val="231F1F"/>
          <w:spacing w:val="-5"/>
          <w:w w:val="105"/>
        </w:rPr>
        <w:t>de</w:t>
      </w:r>
    </w:p>
    <w:p>
      <w:pPr>
        <w:pStyle w:val="BodyText"/>
        <w:spacing w:line="244" w:lineRule="auto" w:before="20"/>
        <w:ind w:left="283" w:right="1366"/>
        <w:jc w:val="both"/>
      </w:pPr>
      <w:r>
        <w:rPr>
          <w:color w:val="231F1F"/>
          <w:w w:val="105"/>
        </w:rPr>
        <w:t>sangre</w:t>
      </w:r>
      <w:r>
        <w:rPr>
          <w:color w:val="231F1F"/>
          <w:spacing w:val="-6"/>
          <w:w w:val="105"/>
        </w:rPr>
        <w:t> </w:t>
      </w:r>
      <w:r>
        <w:rPr>
          <w:color w:val="231F1F"/>
          <w:w w:val="105"/>
        </w:rPr>
        <w:t>mayores</w:t>
      </w:r>
      <w:r>
        <w:rPr>
          <w:color w:val="231F1F"/>
          <w:spacing w:val="-5"/>
          <w:w w:val="105"/>
        </w:rPr>
        <w:t> </w:t>
      </w:r>
      <w:r>
        <w:rPr>
          <w:color w:val="231F1F"/>
          <w:w w:val="105"/>
        </w:rPr>
        <w:t>de</w:t>
      </w:r>
      <w:r>
        <w:rPr>
          <w:color w:val="231F1F"/>
          <w:spacing w:val="-5"/>
          <w:w w:val="105"/>
        </w:rPr>
        <w:t> </w:t>
      </w:r>
      <w:r>
        <w:rPr>
          <w:color w:val="231F1F"/>
          <w:w w:val="105"/>
        </w:rPr>
        <w:t>500</w:t>
      </w:r>
      <w:r>
        <w:rPr>
          <w:color w:val="231F1F"/>
          <w:spacing w:val="-5"/>
          <w:w w:val="105"/>
        </w:rPr>
        <w:t> </w:t>
      </w:r>
      <w:r>
        <w:rPr>
          <w:color w:val="231F1F"/>
          <w:w w:val="105"/>
        </w:rPr>
        <w:t>ml</w:t>
      </w:r>
      <w:r>
        <w:rPr>
          <w:color w:val="231F1F"/>
          <w:spacing w:val="-6"/>
          <w:w w:val="105"/>
        </w:rPr>
        <w:t> </w:t>
      </w:r>
      <w:r>
        <w:rPr>
          <w:color w:val="231F1F"/>
          <w:w w:val="105"/>
        </w:rPr>
        <w:t>(11</w:t>
      </w:r>
      <w:r>
        <w:rPr>
          <w:color w:val="231F1F"/>
          <w:spacing w:val="-5"/>
          <w:w w:val="105"/>
        </w:rPr>
        <w:t> </w:t>
      </w:r>
      <w:r>
        <w:rPr>
          <w:color w:val="231F1F"/>
          <w:w w:val="105"/>
        </w:rPr>
        <w:t>estudios):</w:t>
      </w:r>
      <w:r>
        <w:rPr>
          <w:color w:val="231F1F"/>
          <w:spacing w:val="-5"/>
          <w:w w:val="105"/>
        </w:rPr>
        <w:t> </w:t>
      </w:r>
      <w:r>
        <w:rPr>
          <w:color w:val="231F1F"/>
          <w:w w:val="105"/>
        </w:rPr>
        <w:t>RR</w:t>
      </w:r>
      <w:r>
        <w:rPr>
          <w:color w:val="231F1F"/>
          <w:spacing w:val="-5"/>
          <w:w w:val="105"/>
        </w:rPr>
        <w:t> </w:t>
      </w:r>
      <w:r>
        <w:rPr>
          <w:color w:val="231F1F"/>
          <w:w w:val="105"/>
        </w:rPr>
        <w:t>1,68</w:t>
      </w:r>
      <w:r>
        <w:rPr>
          <w:color w:val="231F1F"/>
          <w:spacing w:val="-5"/>
          <w:w w:val="105"/>
        </w:rPr>
        <w:t> </w:t>
      </w:r>
      <w:r>
        <w:rPr>
          <w:color w:val="231F1F"/>
          <w:w w:val="105"/>
        </w:rPr>
        <w:t>[IC</w:t>
      </w:r>
      <w:r>
        <w:rPr>
          <w:color w:val="231F1F"/>
          <w:spacing w:val="-5"/>
          <w:w w:val="105"/>
        </w:rPr>
        <w:t> </w:t>
      </w:r>
      <w:r>
        <w:rPr>
          <w:color w:val="231F1F"/>
          <w:w w:val="105"/>
        </w:rPr>
        <w:t>95%</w:t>
      </w:r>
      <w:r>
        <w:rPr>
          <w:color w:val="231F1F"/>
          <w:spacing w:val="-5"/>
          <w:w w:val="105"/>
        </w:rPr>
        <w:t> </w:t>
      </w:r>
      <w:r>
        <w:rPr>
          <w:color w:val="231F1F"/>
          <w:w w:val="105"/>
        </w:rPr>
        <w:t>1,32</w:t>
      </w:r>
      <w:r>
        <w:rPr>
          <w:color w:val="231F1F"/>
          <w:spacing w:val="-5"/>
          <w:w w:val="105"/>
        </w:rPr>
        <w:t> </w:t>
      </w:r>
      <w:r>
        <w:rPr>
          <w:color w:val="231F1F"/>
          <w:w w:val="105"/>
        </w:rPr>
        <w:t>a</w:t>
      </w:r>
      <w:r>
        <w:rPr>
          <w:color w:val="231F1F"/>
          <w:spacing w:val="-5"/>
          <w:w w:val="105"/>
        </w:rPr>
        <w:t> </w:t>
      </w:r>
      <w:r>
        <w:rPr>
          <w:color w:val="231F1F"/>
          <w:w w:val="105"/>
        </w:rPr>
        <w:t>2,15];</w:t>
      </w:r>
      <w:r>
        <w:rPr>
          <w:color w:val="231F1F"/>
          <w:spacing w:val="-6"/>
          <w:w w:val="105"/>
        </w:rPr>
        <w:t> </w:t>
      </w:r>
      <w:r>
        <w:rPr>
          <w:color w:val="231F1F"/>
          <w:w w:val="105"/>
        </w:rPr>
        <w:t>menor dolor</w:t>
      </w:r>
      <w:r>
        <w:rPr>
          <w:color w:val="231F1F"/>
          <w:w w:val="105"/>
        </w:rPr>
        <w:t> agudo</w:t>
      </w:r>
      <w:r>
        <w:rPr>
          <w:color w:val="231F1F"/>
          <w:w w:val="105"/>
        </w:rPr>
        <w:t> durante</w:t>
      </w:r>
      <w:r>
        <w:rPr>
          <w:color w:val="231F1F"/>
          <w:w w:val="105"/>
        </w:rPr>
        <w:t> la</w:t>
      </w:r>
      <w:r>
        <w:rPr>
          <w:color w:val="231F1F"/>
          <w:w w:val="105"/>
        </w:rPr>
        <w:t> segunda</w:t>
      </w:r>
      <w:r>
        <w:rPr>
          <w:color w:val="231F1F"/>
          <w:w w:val="105"/>
        </w:rPr>
        <w:t> etapa</w:t>
      </w:r>
      <w:r>
        <w:rPr>
          <w:color w:val="231F1F"/>
          <w:w w:val="105"/>
        </w:rPr>
        <w:t> (1</w:t>
      </w:r>
      <w:r>
        <w:rPr>
          <w:color w:val="231F1F"/>
          <w:w w:val="105"/>
        </w:rPr>
        <w:t> estudio):</w:t>
      </w:r>
      <w:r>
        <w:rPr>
          <w:color w:val="231F1F"/>
          <w:w w:val="105"/>
        </w:rPr>
        <w:t> RR</w:t>
      </w:r>
      <w:r>
        <w:rPr>
          <w:color w:val="231F1F"/>
          <w:w w:val="105"/>
        </w:rPr>
        <w:t> 0,73</w:t>
      </w:r>
      <w:r>
        <w:rPr>
          <w:color w:val="231F1F"/>
          <w:w w:val="105"/>
        </w:rPr>
        <w:t> [IC</w:t>
      </w:r>
      <w:r>
        <w:rPr>
          <w:color w:val="231F1F"/>
          <w:w w:val="105"/>
        </w:rPr>
        <w:t> 95%</w:t>
      </w:r>
      <w:r>
        <w:rPr>
          <w:color w:val="231F1F"/>
          <w:w w:val="105"/>
        </w:rPr>
        <w:t> 0,60</w:t>
      </w:r>
      <w:r>
        <w:rPr>
          <w:color w:val="231F1F"/>
          <w:w w:val="105"/>
        </w:rPr>
        <w:t> a 0,90]</w:t>
      </w:r>
      <w:r>
        <w:rPr>
          <w:color w:val="231F1F"/>
          <w:w w:val="105"/>
        </w:rPr>
        <w:t> y</w:t>
      </w:r>
      <w:r>
        <w:rPr>
          <w:color w:val="231F1F"/>
          <w:w w:val="105"/>
        </w:rPr>
        <w:t> menos</w:t>
      </w:r>
      <w:r>
        <w:rPr>
          <w:color w:val="231F1F"/>
          <w:w w:val="105"/>
        </w:rPr>
        <w:t> patrones</w:t>
      </w:r>
      <w:r>
        <w:rPr>
          <w:color w:val="231F1F"/>
          <w:w w:val="105"/>
        </w:rPr>
        <w:t> anormales</w:t>
      </w:r>
      <w:r>
        <w:rPr>
          <w:color w:val="231F1F"/>
          <w:w w:val="105"/>
        </w:rPr>
        <w:t> de</w:t>
      </w:r>
      <w:r>
        <w:rPr>
          <w:color w:val="231F1F"/>
          <w:w w:val="105"/>
        </w:rPr>
        <w:t> la</w:t>
      </w:r>
      <w:r>
        <w:rPr>
          <w:color w:val="231F1F"/>
          <w:w w:val="105"/>
        </w:rPr>
        <w:t> FCF</w:t>
      </w:r>
      <w:r>
        <w:rPr>
          <w:color w:val="231F1F"/>
          <w:w w:val="105"/>
        </w:rPr>
        <w:t> (1</w:t>
      </w:r>
      <w:r>
        <w:rPr>
          <w:color w:val="231F1F"/>
          <w:w w:val="105"/>
        </w:rPr>
        <w:t> estudio):</w:t>
      </w:r>
      <w:r>
        <w:rPr>
          <w:color w:val="231F1F"/>
          <w:w w:val="105"/>
        </w:rPr>
        <w:t> RR</w:t>
      </w:r>
      <w:r>
        <w:rPr>
          <w:color w:val="231F1F"/>
          <w:w w:val="105"/>
        </w:rPr>
        <w:t> 0,31</w:t>
      </w:r>
      <w:r>
        <w:rPr>
          <w:color w:val="231F1F"/>
          <w:w w:val="105"/>
        </w:rPr>
        <w:t> [IC</w:t>
      </w:r>
      <w:r>
        <w:rPr>
          <w:color w:val="231F1F"/>
          <w:w w:val="105"/>
        </w:rPr>
        <w:t> 95% 0,08 a 0,98].</w:t>
      </w:r>
    </w:p>
    <w:p>
      <w:pPr>
        <w:pStyle w:val="BodyText"/>
        <w:tabs>
          <w:tab w:pos="7989" w:val="left" w:leader="none"/>
          <w:tab w:pos="8114" w:val="left" w:leader="none"/>
        </w:tabs>
        <w:spacing w:line="247" w:lineRule="auto" w:before="120"/>
        <w:ind w:left="283" w:right="355" w:firstLine="453"/>
      </w:pPr>
      <w:r>
        <w:rPr>
          <w:color w:val="231F1F"/>
        </w:rPr>
        <w:t>No</w:t>
      </w:r>
      <w:r>
        <w:rPr>
          <w:color w:val="231F1F"/>
          <w:spacing w:val="31"/>
        </w:rPr>
        <w:t> </w:t>
      </w:r>
      <w:r>
        <w:rPr>
          <w:color w:val="231F1F"/>
        </w:rPr>
        <w:t>se</w:t>
      </w:r>
      <w:r>
        <w:rPr>
          <w:color w:val="231F1F"/>
          <w:spacing w:val="33"/>
        </w:rPr>
        <w:t> </w:t>
      </w:r>
      <w:r>
        <w:rPr>
          <w:color w:val="231F1F"/>
        </w:rPr>
        <w:t>encontraron</w:t>
      </w:r>
      <w:r>
        <w:rPr>
          <w:color w:val="231F1F"/>
          <w:spacing w:val="37"/>
        </w:rPr>
        <w:t> </w:t>
      </w:r>
      <w:r>
        <w:rPr>
          <w:color w:val="231F1F"/>
        </w:rPr>
        <w:t>diferencias</w:t>
      </w:r>
      <w:r>
        <w:rPr>
          <w:color w:val="231F1F"/>
          <w:spacing w:val="35"/>
        </w:rPr>
        <w:t> </w:t>
      </w:r>
      <w:r>
        <w:rPr>
          <w:color w:val="231F1F"/>
        </w:rPr>
        <w:t>significativas</w:t>
      </w:r>
      <w:r>
        <w:rPr>
          <w:color w:val="231F1F"/>
          <w:spacing w:val="35"/>
        </w:rPr>
        <w:t> </w:t>
      </w:r>
      <w:r>
        <w:rPr>
          <w:color w:val="231F1F"/>
        </w:rPr>
        <w:t>para</w:t>
      </w:r>
      <w:r>
        <w:rPr>
          <w:color w:val="231F1F"/>
          <w:spacing w:val="39"/>
        </w:rPr>
        <w:t> </w:t>
      </w:r>
      <w:r>
        <w:rPr>
          <w:color w:val="231F1F"/>
        </w:rPr>
        <w:t>la</w:t>
      </w:r>
      <w:r>
        <w:rPr>
          <w:color w:val="231F1F"/>
          <w:spacing w:val="39"/>
        </w:rPr>
        <w:t> </w:t>
      </w:r>
      <w:r>
        <w:rPr>
          <w:color w:val="231F1F"/>
        </w:rPr>
        <w:t>analgesia</w:t>
      </w:r>
      <w:r>
        <w:rPr>
          <w:color w:val="231F1F"/>
          <w:spacing w:val="39"/>
        </w:rPr>
        <w:t> </w:t>
      </w:r>
      <w:r>
        <w:rPr>
          <w:color w:val="231F1F"/>
        </w:rPr>
        <w:t>o</w:t>
      </w:r>
      <w:r>
        <w:rPr>
          <w:color w:val="231F1F"/>
          <w:spacing w:val="39"/>
        </w:rPr>
        <w:t> </w:t>
      </w:r>
      <w:r>
        <w:rPr>
          <w:color w:val="231F1F"/>
        </w:rPr>
        <w:t>anestesia</w:t>
      </w:r>
      <w:r>
        <w:rPr>
          <w:color w:val="231F1F"/>
          <w:spacing w:val="31"/>
        </w:rPr>
        <w:t> </w:t>
      </w:r>
      <w:r>
        <w:rPr>
          <w:rFonts w:ascii="Arial MT" w:hAnsi="Arial MT"/>
          <w:color w:val="231F1F"/>
          <w:sz w:val="18"/>
        </w:rPr>
        <w:t>RS-MA</w:t>
      </w:r>
      <w:r>
        <w:rPr>
          <w:rFonts w:ascii="Arial MT" w:hAnsi="Arial MT"/>
          <w:color w:val="231F1F"/>
          <w:spacing w:val="36"/>
          <w:sz w:val="18"/>
        </w:rPr>
        <w:t> </w:t>
      </w:r>
      <w:r>
        <w:rPr>
          <w:rFonts w:ascii="Arial MT" w:hAnsi="Arial MT"/>
          <w:color w:val="231F1F"/>
          <w:sz w:val="18"/>
        </w:rPr>
        <w:t>de </w:t>
      </w:r>
      <w:r>
        <w:rPr>
          <w:color w:val="231F1F"/>
          <w:w w:val="110"/>
        </w:rPr>
        <w:t>utilizada durante la segunda etapa de parto (7 estudios), el rasgado perineal</w:t>
      </w:r>
      <w:r>
        <w:rPr>
          <w:color w:val="231F1F"/>
        </w:rPr>
        <w:tab/>
      </w:r>
      <w:r>
        <w:rPr>
          <w:rFonts w:ascii="Arial MT" w:hAnsi="Arial MT"/>
          <w:color w:val="231F1F"/>
          <w:spacing w:val="-4"/>
          <w:w w:val="110"/>
          <w:position w:val="4"/>
          <w:sz w:val="18"/>
        </w:rPr>
        <w:t>ECAs </w:t>
      </w:r>
      <w:r>
        <w:rPr>
          <w:color w:val="231F1F"/>
          <w:w w:val="110"/>
        </w:rPr>
        <w:t>de tercer o cuarto grado (4 estudios), necesidad de transfusión de sangre (2</w:t>
      </w:r>
      <w:r>
        <w:rPr>
          <w:color w:val="231F1F"/>
        </w:rPr>
        <w:tab/>
        <w:tab/>
      </w:r>
      <w:r>
        <w:rPr>
          <w:rFonts w:ascii="Arial MT" w:hAnsi="Arial MT"/>
          <w:color w:val="231F1F"/>
          <w:spacing w:val="-6"/>
          <w:w w:val="110"/>
          <w:position w:val="8"/>
          <w:sz w:val="18"/>
        </w:rPr>
        <w:t>1+ </w:t>
      </w:r>
      <w:r>
        <w:rPr>
          <w:color w:val="231F1F"/>
          <w:w w:val="110"/>
        </w:rPr>
        <w:t>estudios), retirada manual de placenta (3 estudios), experiencia del parto</w:t>
      </w:r>
      <w:r>
        <w:rPr>
          <w:color w:val="231F1F"/>
          <w:spacing w:val="40"/>
          <w:w w:val="110"/>
        </w:rPr>
        <w:t> </w:t>
      </w:r>
      <w:r>
        <w:rPr>
          <w:color w:val="231F1F"/>
          <w:w w:val="110"/>
        </w:rPr>
        <w:t>desagradable (1 estudio), descontento con la segunda etapa de parto (1estu-</w:t>
      </w:r>
    </w:p>
    <w:p>
      <w:pPr>
        <w:pStyle w:val="BodyText"/>
        <w:spacing w:line="249" w:lineRule="auto" w:before="4"/>
        <w:ind w:left="283" w:right="1386"/>
      </w:pPr>
      <w:r>
        <w:rPr>
          <w:color w:val="231F1F"/>
          <w:w w:val="110"/>
        </w:rPr>
        <w:t>dio),</w:t>
      </w:r>
      <w:r>
        <w:rPr>
          <w:color w:val="231F1F"/>
          <w:spacing w:val="-16"/>
          <w:w w:val="110"/>
        </w:rPr>
        <w:t> </w:t>
      </w:r>
      <w:r>
        <w:rPr>
          <w:color w:val="231F1F"/>
          <w:w w:val="110"/>
        </w:rPr>
        <w:t>sentirse</w:t>
      </w:r>
      <w:r>
        <w:rPr>
          <w:color w:val="231F1F"/>
          <w:spacing w:val="-15"/>
          <w:w w:val="110"/>
        </w:rPr>
        <w:t> </w:t>
      </w:r>
      <w:r>
        <w:rPr>
          <w:color w:val="231F1F"/>
          <w:w w:val="110"/>
        </w:rPr>
        <w:t>fuera</w:t>
      </w:r>
      <w:r>
        <w:rPr>
          <w:color w:val="231F1F"/>
          <w:spacing w:val="-15"/>
          <w:w w:val="110"/>
        </w:rPr>
        <w:t> </w:t>
      </w:r>
      <w:r>
        <w:rPr>
          <w:color w:val="231F1F"/>
          <w:w w:val="110"/>
        </w:rPr>
        <w:t>de</w:t>
      </w:r>
      <w:r>
        <w:rPr>
          <w:color w:val="231F1F"/>
          <w:spacing w:val="-15"/>
          <w:w w:val="110"/>
        </w:rPr>
        <w:t> </w:t>
      </w:r>
      <w:r>
        <w:rPr>
          <w:color w:val="231F1F"/>
          <w:w w:val="110"/>
        </w:rPr>
        <w:t>control</w:t>
      </w:r>
      <w:r>
        <w:rPr>
          <w:color w:val="231F1F"/>
          <w:spacing w:val="-15"/>
          <w:w w:val="110"/>
        </w:rPr>
        <w:t> </w:t>
      </w:r>
      <w:r>
        <w:rPr>
          <w:color w:val="231F1F"/>
          <w:w w:val="110"/>
        </w:rPr>
        <w:t>(1</w:t>
      </w:r>
      <w:r>
        <w:rPr>
          <w:color w:val="231F1F"/>
          <w:spacing w:val="-15"/>
          <w:w w:val="110"/>
        </w:rPr>
        <w:t> </w:t>
      </w:r>
      <w:r>
        <w:rPr>
          <w:color w:val="231F1F"/>
          <w:w w:val="110"/>
        </w:rPr>
        <w:t>estudio),</w:t>
      </w:r>
      <w:r>
        <w:rPr>
          <w:color w:val="231F1F"/>
          <w:spacing w:val="-15"/>
          <w:w w:val="110"/>
        </w:rPr>
        <w:t> </w:t>
      </w:r>
      <w:r>
        <w:rPr>
          <w:color w:val="231F1F"/>
          <w:w w:val="110"/>
        </w:rPr>
        <w:t>admisión</w:t>
      </w:r>
      <w:r>
        <w:rPr>
          <w:color w:val="231F1F"/>
          <w:spacing w:val="-15"/>
          <w:w w:val="110"/>
        </w:rPr>
        <w:t> </w:t>
      </w:r>
      <w:r>
        <w:rPr>
          <w:color w:val="231F1F"/>
          <w:w w:val="110"/>
        </w:rPr>
        <w:t>en</w:t>
      </w:r>
      <w:r>
        <w:rPr>
          <w:color w:val="231F1F"/>
          <w:spacing w:val="-16"/>
          <w:w w:val="110"/>
        </w:rPr>
        <w:t> </w:t>
      </w:r>
      <w:r>
        <w:rPr>
          <w:color w:val="231F1F"/>
          <w:w w:val="110"/>
        </w:rPr>
        <w:t>la</w:t>
      </w:r>
      <w:r>
        <w:rPr>
          <w:color w:val="231F1F"/>
          <w:spacing w:val="-15"/>
          <w:w w:val="110"/>
        </w:rPr>
        <w:t> </w:t>
      </w:r>
      <w:r>
        <w:rPr>
          <w:color w:val="231F1F"/>
          <w:w w:val="110"/>
        </w:rPr>
        <w:t>UCIN</w:t>
      </w:r>
      <w:r>
        <w:rPr>
          <w:color w:val="231F1F"/>
          <w:spacing w:val="-15"/>
          <w:w w:val="110"/>
        </w:rPr>
        <w:t> </w:t>
      </w:r>
      <w:r>
        <w:rPr>
          <w:color w:val="231F1F"/>
          <w:w w:val="110"/>
        </w:rPr>
        <w:t>(2</w:t>
      </w:r>
      <w:r>
        <w:rPr>
          <w:color w:val="231F1F"/>
          <w:spacing w:val="-15"/>
          <w:w w:val="110"/>
        </w:rPr>
        <w:t> </w:t>
      </w:r>
      <w:r>
        <w:rPr>
          <w:color w:val="231F1F"/>
          <w:w w:val="110"/>
        </w:rPr>
        <w:t>estudios), lesiones (1 estudio) y muertes del neonato (3 estudios).</w:t>
      </w:r>
    </w:p>
    <w:p>
      <w:pPr>
        <w:pStyle w:val="BodyText"/>
        <w:spacing w:line="252" w:lineRule="auto" w:before="69"/>
        <w:ind w:left="283" w:right="1368" w:firstLine="453"/>
        <w:jc w:val="both"/>
      </w:pPr>
      <w:r>
        <w:rPr>
          <w:color w:val="231F1F"/>
          <w:w w:val="110"/>
        </w:rPr>
        <w:t>El</w:t>
      </w:r>
      <w:r>
        <w:rPr>
          <w:color w:val="231F1F"/>
          <w:spacing w:val="-16"/>
          <w:w w:val="110"/>
        </w:rPr>
        <w:t> </w:t>
      </w:r>
      <w:r>
        <w:rPr>
          <w:color w:val="231F1F"/>
          <w:w w:val="110"/>
        </w:rPr>
        <w:t>segundo</w:t>
      </w:r>
      <w:r>
        <w:rPr>
          <w:color w:val="231F1F"/>
          <w:spacing w:val="-15"/>
          <w:w w:val="110"/>
        </w:rPr>
        <w:t> </w:t>
      </w:r>
      <w:r>
        <w:rPr>
          <w:color w:val="231F1F"/>
          <w:w w:val="110"/>
        </w:rPr>
        <w:t>estudio,</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cohortes</w:t>
      </w:r>
      <w:r>
        <w:rPr>
          <w:color w:val="231F1F"/>
          <w:spacing w:val="-15"/>
          <w:w w:val="110"/>
        </w:rPr>
        <w:t> </w:t>
      </w:r>
      <w:r>
        <w:rPr>
          <w:color w:val="231F1F"/>
          <w:w w:val="110"/>
        </w:rPr>
        <w:t>observacional</w:t>
      </w:r>
      <w:r>
        <w:rPr>
          <w:color w:val="231F1F"/>
          <w:spacing w:val="-15"/>
          <w:w w:val="110"/>
        </w:rPr>
        <w:t> </w:t>
      </w:r>
      <w:r>
        <w:rPr>
          <w:color w:val="231F1F"/>
          <w:w w:val="110"/>
        </w:rPr>
        <w:t>(28)</w:t>
      </w:r>
      <w:r>
        <w:rPr>
          <w:color w:val="231F1F"/>
          <w:spacing w:val="-16"/>
          <w:w w:val="110"/>
        </w:rPr>
        <w:t> </w:t>
      </w:r>
      <w:r>
        <w:rPr>
          <w:color w:val="231F1F"/>
          <w:w w:val="110"/>
        </w:rPr>
        <w:t>llevado</w:t>
      </w:r>
      <w:r>
        <w:rPr>
          <w:color w:val="231F1F"/>
          <w:spacing w:val="-15"/>
          <w:w w:val="110"/>
        </w:rPr>
        <w:t> </w:t>
      </w:r>
      <w:r>
        <w:rPr>
          <w:color w:val="231F1F"/>
          <w:w w:val="110"/>
        </w:rPr>
        <w:t>a </w:t>
      </w:r>
      <w:r>
        <w:rPr>
          <w:color w:val="231F1F"/>
          <w:spacing w:val="-2"/>
          <w:w w:val="110"/>
        </w:rPr>
        <w:t>cabo</w:t>
      </w:r>
      <w:r>
        <w:rPr>
          <w:color w:val="231F1F"/>
          <w:spacing w:val="-9"/>
          <w:w w:val="110"/>
        </w:rPr>
        <w:t> </w:t>
      </w:r>
      <w:r>
        <w:rPr>
          <w:color w:val="231F1F"/>
          <w:spacing w:val="-2"/>
          <w:w w:val="110"/>
        </w:rPr>
        <w:t>en</w:t>
      </w:r>
      <w:r>
        <w:rPr>
          <w:color w:val="231F1F"/>
          <w:spacing w:val="-9"/>
          <w:w w:val="110"/>
        </w:rPr>
        <w:t> </w:t>
      </w:r>
      <w:r>
        <w:rPr>
          <w:color w:val="231F1F"/>
          <w:spacing w:val="-2"/>
          <w:w w:val="110"/>
        </w:rPr>
        <w:t>EEUU</w:t>
      </w:r>
      <w:r>
        <w:rPr>
          <w:color w:val="231F1F"/>
          <w:spacing w:val="-8"/>
          <w:w w:val="110"/>
        </w:rPr>
        <w:t> </w:t>
      </w:r>
      <w:r>
        <w:rPr>
          <w:color w:val="231F1F"/>
          <w:spacing w:val="-2"/>
          <w:w w:val="110"/>
        </w:rPr>
        <w:t>durante</w:t>
      </w:r>
      <w:r>
        <w:rPr>
          <w:color w:val="231F1F"/>
          <w:spacing w:val="-9"/>
          <w:w w:val="110"/>
        </w:rPr>
        <w:t> </w:t>
      </w:r>
      <w:r>
        <w:rPr>
          <w:color w:val="231F1F"/>
          <w:spacing w:val="-2"/>
          <w:w w:val="110"/>
        </w:rPr>
        <w:t>12</w:t>
      </w:r>
      <w:r>
        <w:rPr>
          <w:color w:val="231F1F"/>
          <w:spacing w:val="-9"/>
          <w:w w:val="110"/>
        </w:rPr>
        <w:t> </w:t>
      </w:r>
      <w:r>
        <w:rPr>
          <w:color w:val="231F1F"/>
          <w:spacing w:val="-2"/>
          <w:w w:val="110"/>
        </w:rPr>
        <w:t>meses,</w:t>
      </w:r>
      <w:r>
        <w:rPr>
          <w:color w:val="231F1F"/>
          <w:spacing w:val="-9"/>
          <w:w w:val="110"/>
        </w:rPr>
        <w:t> </w:t>
      </w:r>
      <w:r>
        <w:rPr>
          <w:color w:val="231F1F"/>
          <w:spacing w:val="-2"/>
          <w:w w:val="110"/>
        </w:rPr>
        <w:t>incluyó</w:t>
      </w:r>
      <w:r>
        <w:rPr>
          <w:color w:val="231F1F"/>
          <w:spacing w:val="-9"/>
          <w:w w:val="110"/>
        </w:rPr>
        <w:t> </w:t>
      </w:r>
      <w:r>
        <w:rPr>
          <w:color w:val="231F1F"/>
          <w:spacing w:val="-2"/>
          <w:w w:val="110"/>
        </w:rPr>
        <w:t>a</w:t>
      </w:r>
      <w:r>
        <w:rPr>
          <w:color w:val="231F1F"/>
          <w:spacing w:val="-9"/>
          <w:w w:val="110"/>
        </w:rPr>
        <w:t> </w:t>
      </w:r>
      <w:r>
        <w:rPr>
          <w:color w:val="231F1F"/>
          <w:spacing w:val="-2"/>
          <w:w w:val="110"/>
        </w:rPr>
        <w:t>un</w:t>
      </w:r>
      <w:r>
        <w:rPr>
          <w:color w:val="231F1F"/>
          <w:spacing w:val="-9"/>
          <w:w w:val="110"/>
        </w:rPr>
        <w:t> </w:t>
      </w:r>
      <w:r>
        <w:rPr>
          <w:color w:val="231F1F"/>
          <w:spacing w:val="-2"/>
          <w:w w:val="110"/>
        </w:rPr>
        <w:t>total</w:t>
      </w:r>
      <w:r>
        <w:rPr>
          <w:color w:val="231F1F"/>
          <w:spacing w:val="-9"/>
          <w:w w:val="110"/>
        </w:rPr>
        <w:t> </w:t>
      </w:r>
      <w:r>
        <w:rPr>
          <w:color w:val="231F1F"/>
          <w:spacing w:val="-2"/>
          <w:w w:val="110"/>
        </w:rPr>
        <w:t>de</w:t>
      </w:r>
      <w:r>
        <w:rPr>
          <w:color w:val="231F1F"/>
          <w:spacing w:val="-9"/>
          <w:w w:val="110"/>
        </w:rPr>
        <w:t> </w:t>
      </w:r>
      <w:r>
        <w:rPr>
          <w:color w:val="231F1F"/>
          <w:spacing w:val="-2"/>
          <w:w w:val="110"/>
        </w:rPr>
        <w:t>3.049</w:t>
      </w:r>
      <w:r>
        <w:rPr>
          <w:color w:val="231F1F"/>
          <w:spacing w:val="-9"/>
          <w:w w:val="110"/>
        </w:rPr>
        <w:t> </w:t>
      </w:r>
      <w:r>
        <w:rPr>
          <w:color w:val="231F1F"/>
          <w:spacing w:val="-2"/>
          <w:w w:val="110"/>
        </w:rPr>
        <w:t>mujeres</w:t>
      </w:r>
      <w:r>
        <w:rPr>
          <w:color w:val="231F1F"/>
          <w:spacing w:val="-9"/>
          <w:w w:val="110"/>
        </w:rPr>
        <w:t> </w:t>
      </w:r>
      <w:r>
        <w:rPr>
          <w:color w:val="231F1F"/>
          <w:spacing w:val="-2"/>
          <w:w w:val="110"/>
        </w:rPr>
        <w:t>nulípa- </w:t>
      </w:r>
      <w:r>
        <w:rPr>
          <w:color w:val="231F1F"/>
        </w:rPr>
        <w:t>ras y multíparas. El análisis, realizado mediante regresión logística, pretendía </w:t>
      </w:r>
      <w:r>
        <w:rPr>
          <w:color w:val="231F1F"/>
          <w:w w:val="110"/>
        </w:rPr>
        <w:t>identificar factores predictivos de episiotomía y desgarros espontáneos.</w:t>
      </w:r>
    </w:p>
    <w:p>
      <w:pPr>
        <w:pStyle w:val="BodyText"/>
        <w:tabs>
          <w:tab w:pos="8114" w:val="left" w:leader="none"/>
        </w:tabs>
        <w:spacing w:line="242" w:lineRule="auto" w:before="104"/>
        <w:ind w:left="283" w:right="405" w:firstLine="453"/>
        <w:rPr>
          <w:rFonts w:ascii="Arial MT" w:hAnsi="Arial MT"/>
          <w:position w:val="8"/>
          <w:sz w:val="18"/>
        </w:rPr>
      </w:pPr>
      <w:r>
        <w:rPr>
          <w:color w:val="231F1F"/>
          <w:w w:val="110"/>
        </w:rPr>
        <w:t>Los resultados obtenidos sugerían que la </w:t>
      </w:r>
      <w:r>
        <w:rPr>
          <w:i/>
          <w:color w:val="231F1F"/>
          <w:w w:val="110"/>
        </w:rPr>
        <w:t>posición lateral </w:t>
      </w:r>
      <w:r>
        <w:rPr>
          <w:color w:val="231F1F"/>
          <w:w w:val="110"/>
        </w:rPr>
        <w:t>estaba asociada</w:t>
      </w:r>
      <w:r>
        <w:rPr>
          <w:color w:val="231F1F"/>
          <w:spacing w:val="80"/>
          <w:w w:val="110"/>
        </w:rPr>
        <w:t> </w:t>
      </w:r>
      <w:r>
        <w:rPr>
          <w:rFonts w:ascii="Arial MT" w:hAnsi="Arial MT"/>
          <w:color w:val="231F1F"/>
          <w:w w:val="110"/>
          <w:sz w:val="18"/>
        </w:rPr>
        <w:t>E. de </w:t>
      </w:r>
      <w:r>
        <w:rPr>
          <w:color w:val="231F1F"/>
          <w:w w:val="110"/>
        </w:rPr>
        <w:t>con</w:t>
      </w:r>
      <w:r>
        <w:rPr>
          <w:color w:val="231F1F"/>
          <w:spacing w:val="-10"/>
          <w:w w:val="110"/>
        </w:rPr>
        <w:t> </w:t>
      </w:r>
      <w:r>
        <w:rPr>
          <w:color w:val="231F1F"/>
          <w:w w:val="110"/>
        </w:rPr>
        <w:t>una</w:t>
      </w:r>
      <w:r>
        <w:rPr>
          <w:color w:val="231F1F"/>
          <w:spacing w:val="-10"/>
          <w:w w:val="110"/>
        </w:rPr>
        <w:t> </w:t>
      </w:r>
      <w:r>
        <w:rPr>
          <w:color w:val="231F1F"/>
          <w:w w:val="110"/>
        </w:rPr>
        <w:t>incidencia</w:t>
      </w:r>
      <w:r>
        <w:rPr>
          <w:color w:val="231F1F"/>
          <w:spacing w:val="-10"/>
          <w:w w:val="110"/>
        </w:rPr>
        <w:t> </w:t>
      </w:r>
      <w:r>
        <w:rPr>
          <w:color w:val="231F1F"/>
          <w:w w:val="110"/>
        </w:rPr>
        <w:t>más</w:t>
      </w:r>
      <w:r>
        <w:rPr>
          <w:color w:val="231F1F"/>
          <w:spacing w:val="-11"/>
          <w:w w:val="110"/>
        </w:rPr>
        <w:t> </w:t>
      </w:r>
      <w:r>
        <w:rPr>
          <w:color w:val="231F1F"/>
          <w:w w:val="110"/>
        </w:rPr>
        <w:t>baja</w:t>
      </w:r>
      <w:r>
        <w:rPr>
          <w:color w:val="231F1F"/>
          <w:spacing w:val="-10"/>
          <w:w w:val="110"/>
        </w:rPr>
        <w:t> </w:t>
      </w:r>
      <w:r>
        <w:rPr>
          <w:color w:val="231F1F"/>
          <w:w w:val="110"/>
        </w:rPr>
        <w:t>de</w:t>
      </w:r>
      <w:r>
        <w:rPr>
          <w:color w:val="231F1F"/>
          <w:spacing w:val="-10"/>
          <w:w w:val="110"/>
        </w:rPr>
        <w:t> </w:t>
      </w:r>
      <w:r>
        <w:rPr>
          <w:color w:val="231F1F"/>
          <w:w w:val="110"/>
        </w:rPr>
        <w:t>desgarros</w:t>
      </w:r>
      <w:r>
        <w:rPr>
          <w:color w:val="231F1F"/>
          <w:spacing w:val="-11"/>
          <w:w w:val="110"/>
        </w:rPr>
        <w:t> </w:t>
      </w:r>
      <w:r>
        <w:rPr>
          <w:color w:val="231F1F"/>
          <w:w w:val="110"/>
        </w:rPr>
        <w:t>espontáneas</w:t>
      </w:r>
      <w:r>
        <w:rPr>
          <w:color w:val="231F1F"/>
          <w:spacing w:val="-11"/>
          <w:w w:val="110"/>
        </w:rPr>
        <w:t> </w:t>
      </w:r>
      <w:r>
        <w:rPr>
          <w:color w:val="231F1F"/>
          <w:w w:val="110"/>
        </w:rPr>
        <w:t>en</w:t>
      </w:r>
      <w:r>
        <w:rPr>
          <w:color w:val="231F1F"/>
          <w:spacing w:val="-10"/>
          <w:w w:val="110"/>
        </w:rPr>
        <w:t> </w:t>
      </w:r>
      <w:r>
        <w:rPr>
          <w:color w:val="231F1F"/>
          <w:w w:val="110"/>
        </w:rPr>
        <w:t>nulíparas</w:t>
      </w:r>
      <w:r>
        <w:rPr>
          <w:color w:val="231F1F"/>
          <w:spacing w:val="-11"/>
          <w:w w:val="110"/>
        </w:rPr>
        <w:t> </w:t>
      </w:r>
      <w:r>
        <w:rPr>
          <w:color w:val="231F1F"/>
          <w:w w:val="110"/>
        </w:rPr>
        <w:t>(n=919):</w:t>
      </w:r>
      <w:r>
        <w:rPr>
          <w:color w:val="231F1F"/>
          <w:spacing w:val="80"/>
          <w:w w:val="110"/>
        </w:rPr>
        <w:t> </w:t>
      </w:r>
      <w:r>
        <w:rPr>
          <w:rFonts w:ascii="Arial MT" w:hAnsi="Arial MT"/>
          <w:color w:val="231F1F"/>
          <w:w w:val="110"/>
          <w:position w:val="4"/>
          <w:sz w:val="18"/>
        </w:rPr>
        <w:t>cohortes </w:t>
      </w:r>
      <w:r>
        <w:rPr>
          <w:color w:val="231F1F"/>
          <w:w w:val="110"/>
        </w:rPr>
        <w:t>OR 0,6 [IC 95% 0,2 a 1,0]. No encontrándose esta tendencia en las multíparas.</w:t>
      </w:r>
      <w:r>
        <w:rPr>
          <w:color w:val="231F1F"/>
        </w:rPr>
        <w:tab/>
      </w:r>
      <w:r>
        <w:rPr>
          <w:rFonts w:ascii="Arial MT" w:hAnsi="Arial MT"/>
          <w:color w:val="231F1F"/>
          <w:spacing w:val="-6"/>
          <w:w w:val="110"/>
          <w:position w:val="8"/>
          <w:sz w:val="18"/>
        </w:rPr>
        <w:t>2+</w:t>
      </w:r>
    </w:p>
    <w:p>
      <w:pPr>
        <w:pStyle w:val="BodyText"/>
        <w:spacing w:line="247" w:lineRule="auto" w:before="94"/>
        <w:ind w:left="283" w:right="1368" w:firstLine="453"/>
        <w:jc w:val="both"/>
      </w:pPr>
      <w:r>
        <w:rPr>
          <w:color w:val="231F1F"/>
        </w:rPr>
        <w:t>Un</w:t>
      </w:r>
      <w:r>
        <w:rPr>
          <w:color w:val="231F1F"/>
          <w:spacing w:val="31"/>
        </w:rPr>
        <w:t> </w:t>
      </w:r>
      <w:r>
        <w:rPr>
          <w:color w:val="231F1F"/>
        </w:rPr>
        <w:t>ECA</w:t>
      </w:r>
      <w:r>
        <w:rPr>
          <w:color w:val="231F1F"/>
          <w:spacing w:val="31"/>
        </w:rPr>
        <w:t> </w:t>
      </w:r>
      <w:r>
        <w:rPr>
          <w:color w:val="231F1F"/>
        </w:rPr>
        <w:t>de</w:t>
      </w:r>
      <w:r>
        <w:rPr>
          <w:color w:val="231F1F"/>
          <w:spacing w:val="31"/>
        </w:rPr>
        <w:t> </w:t>
      </w:r>
      <w:r>
        <w:rPr>
          <w:color w:val="231F1F"/>
        </w:rPr>
        <w:t>2005</w:t>
      </w:r>
      <w:r>
        <w:rPr>
          <w:color w:val="231F1F"/>
          <w:spacing w:val="31"/>
        </w:rPr>
        <w:t> </w:t>
      </w:r>
      <w:r>
        <w:rPr>
          <w:color w:val="231F1F"/>
        </w:rPr>
        <w:t>(128)</w:t>
      </w:r>
      <w:r>
        <w:rPr>
          <w:color w:val="231F1F"/>
          <w:spacing w:val="32"/>
        </w:rPr>
        <w:t> </w:t>
      </w:r>
      <w:r>
        <w:rPr>
          <w:color w:val="231F1F"/>
        </w:rPr>
        <w:t>multicéntrico</w:t>
      </w:r>
      <w:r>
        <w:rPr>
          <w:color w:val="231F1F"/>
          <w:spacing w:val="31"/>
        </w:rPr>
        <w:t> </w:t>
      </w:r>
      <w:r>
        <w:rPr>
          <w:color w:val="231F1F"/>
        </w:rPr>
        <w:t>que</w:t>
      </w:r>
      <w:r>
        <w:rPr>
          <w:color w:val="231F1F"/>
          <w:spacing w:val="31"/>
        </w:rPr>
        <w:t> </w:t>
      </w:r>
      <w:r>
        <w:rPr>
          <w:color w:val="231F1F"/>
        </w:rPr>
        <w:t>investigó</w:t>
      </w:r>
      <w:r>
        <w:rPr>
          <w:color w:val="231F1F"/>
          <w:spacing w:val="32"/>
        </w:rPr>
        <w:t> </w:t>
      </w:r>
      <w:r>
        <w:rPr>
          <w:color w:val="231F1F"/>
        </w:rPr>
        <w:t>el</w:t>
      </w:r>
      <w:r>
        <w:rPr>
          <w:color w:val="231F1F"/>
          <w:spacing w:val="32"/>
        </w:rPr>
        <w:t> </w:t>
      </w:r>
      <w:r>
        <w:rPr>
          <w:color w:val="231F1F"/>
        </w:rPr>
        <w:t>efecto</w:t>
      </w:r>
      <w:r>
        <w:rPr>
          <w:color w:val="231F1F"/>
          <w:spacing w:val="31"/>
        </w:rPr>
        <w:t> </w:t>
      </w:r>
      <w:r>
        <w:rPr>
          <w:color w:val="231F1F"/>
        </w:rPr>
        <w:t>de</w:t>
      </w:r>
      <w:r>
        <w:rPr>
          <w:color w:val="231F1F"/>
          <w:spacing w:val="31"/>
        </w:rPr>
        <w:t> </w:t>
      </w:r>
      <w:r>
        <w:rPr>
          <w:color w:val="231F1F"/>
        </w:rPr>
        <w:t>la</w:t>
      </w:r>
      <w:r>
        <w:rPr>
          <w:color w:val="231F1F"/>
          <w:spacing w:val="32"/>
        </w:rPr>
        <w:t> </w:t>
      </w:r>
      <w:r>
        <w:rPr>
          <w:i/>
          <w:color w:val="231F1F"/>
        </w:rPr>
        <w:t>postu- </w:t>
      </w:r>
      <w:r>
        <w:rPr>
          <w:i/>
          <w:color w:val="231F1F"/>
          <w:w w:val="110"/>
        </w:rPr>
        <w:t>ra</w:t>
      </w:r>
      <w:r>
        <w:rPr>
          <w:i/>
          <w:color w:val="231F1F"/>
          <w:spacing w:val="-16"/>
          <w:w w:val="110"/>
        </w:rPr>
        <w:t> </w:t>
      </w:r>
      <w:r>
        <w:rPr>
          <w:i/>
          <w:color w:val="231F1F"/>
          <w:w w:val="110"/>
        </w:rPr>
        <w:t>manos</w:t>
      </w:r>
      <w:r>
        <w:rPr>
          <w:i/>
          <w:color w:val="231F1F"/>
          <w:spacing w:val="-15"/>
          <w:w w:val="110"/>
        </w:rPr>
        <w:t> </w:t>
      </w:r>
      <w:r>
        <w:rPr>
          <w:i/>
          <w:color w:val="231F1F"/>
          <w:w w:val="110"/>
        </w:rPr>
        <w:t>y</w:t>
      </w:r>
      <w:r>
        <w:rPr>
          <w:i/>
          <w:color w:val="231F1F"/>
          <w:spacing w:val="-15"/>
          <w:w w:val="110"/>
        </w:rPr>
        <w:t> </w:t>
      </w:r>
      <w:r>
        <w:rPr>
          <w:i/>
          <w:color w:val="231F1F"/>
          <w:w w:val="110"/>
        </w:rPr>
        <w:t>rodillas</w:t>
      </w:r>
      <w:r>
        <w:rPr>
          <w:i/>
          <w:color w:val="231F1F"/>
          <w:spacing w:val="-15"/>
          <w:w w:val="110"/>
        </w:rPr>
        <w:t> </w:t>
      </w:r>
      <w:r>
        <w:rPr>
          <w:color w:val="231F1F"/>
          <w:w w:val="110"/>
        </w:rPr>
        <w:t>(a</w:t>
      </w:r>
      <w:r>
        <w:rPr>
          <w:color w:val="231F1F"/>
          <w:spacing w:val="-15"/>
          <w:w w:val="110"/>
        </w:rPr>
        <w:t> </w:t>
      </w:r>
      <w:r>
        <w:rPr>
          <w:color w:val="231F1F"/>
          <w:w w:val="110"/>
        </w:rPr>
        <w:t>gatas)</w:t>
      </w:r>
      <w:r>
        <w:rPr>
          <w:color w:val="231F1F"/>
          <w:spacing w:val="-15"/>
          <w:w w:val="110"/>
        </w:rPr>
        <w:t> </w:t>
      </w:r>
      <w:r>
        <w:rPr>
          <w:color w:val="231F1F"/>
          <w:w w:val="110"/>
        </w:rPr>
        <w:t>en</w:t>
      </w:r>
      <w:r>
        <w:rPr>
          <w:color w:val="231F1F"/>
          <w:spacing w:val="-15"/>
          <w:w w:val="110"/>
        </w:rPr>
        <w:t> </w:t>
      </w:r>
      <w:r>
        <w:rPr>
          <w:color w:val="231F1F"/>
          <w:w w:val="110"/>
        </w:rPr>
        <w:t>147</w:t>
      </w:r>
      <w:r>
        <w:rPr>
          <w:color w:val="231F1F"/>
          <w:spacing w:val="-15"/>
          <w:w w:val="110"/>
        </w:rPr>
        <w:t> </w:t>
      </w:r>
      <w:r>
        <w:rPr>
          <w:color w:val="231F1F"/>
          <w:w w:val="110"/>
        </w:rPr>
        <w:t>mujeres</w:t>
      </w:r>
      <w:r>
        <w:rPr>
          <w:color w:val="231F1F"/>
          <w:spacing w:val="-16"/>
          <w:w w:val="110"/>
        </w:rPr>
        <w:t> </w:t>
      </w:r>
      <w:r>
        <w:rPr>
          <w:color w:val="231F1F"/>
          <w:w w:val="110"/>
        </w:rPr>
        <w:t>nulíparas</w:t>
      </w:r>
      <w:r>
        <w:rPr>
          <w:color w:val="231F1F"/>
          <w:spacing w:val="-15"/>
          <w:w w:val="110"/>
        </w:rPr>
        <w:t> </w:t>
      </w:r>
      <w:r>
        <w:rPr>
          <w:color w:val="231F1F"/>
          <w:w w:val="110"/>
        </w:rPr>
        <w:t>con</w:t>
      </w:r>
      <w:r>
        <w:rPr>
          <w:color w:val="231F1F"/>
          <w:spacing w:val="-15"/>
          <w:w w:val="110"/>
        </w:rPr>
        <w:t> </w:t>
      </w:r>
      <w:r>
        <w:rPr>
          <w:color w:val="231F1F"/>
          <w:w w:val="110"/>
        </w:rPr>
        <w:t>bebés</w:t>
      </w:r>
      <w:r>
        <w:rPr>
          <w:color w:val="231F1F"/>
          <w:spacing w:val="-15"/>
          <w:w w:val="110"/>
        </w:rPr>
        <w:t> </w:t>
      </w:r>
      <w:r>
        <w:rPr>
          <w:color w:val="231F1F"/>
          <w:w w:val="110"/>
        </w:rPr>
        <w:t>en</w:t>
      </w:r>
      <w:r>
        <w:rPr>
          <w:color w:val="231F1F"/>
          <w:spacing w:val="-15"/>
          <w:w w:val="110"/>
        </w:rPr>
        <w:t> </w:t>
      </w:r>
      <w:r>
        <w:rPr>
          <w:color w:val="231F1F"/>
          <w:w w:val="110"/>
        </w:rPr>
        <w:t>posición </w:t>
      </w:r>
      <w:r>
        <w:rPr>
          <w:color w:val="231F1F"/>
          <w:spacing w:val="-2"/>
          <w:w w:val="110"/>
        </w:rPr>
        <w:t>occipitoposterior</w:t>
      </w:r>
      <w:r>
        <w:rPr>
          <w:color w:val="231F1F"/>
          <w:spacing w:val="-8"/>
          <w:w w:val="110"/>
        </w:rPr>
        <w:t> </w:t>
      </w:r>
      <w:r>
        <w:rPr>
          <w:color w:val="231F1F"/>
          <w:spacing w:val="-2"/>
          <w:w w:val="110"/>
        </w:rPr>
        <w:t>en</w:t>
      </w:r>
      <w:r>
        <w:rPr>
          <w:color w:val="231F1F"/>
          <w:spacing w:val="-8"/>
          <w:w w:val="110"/>
        </w:rPr>
        <w:t> </w:t>
      </w:r>
      <w:r>
        <w:rPr>
          <w:color w:val="231F1F"/>
          <w:spacing w:val="-2"/>
          <w:w w:val="110"/>
        </w:rPr>
        <w:t>el</w:t>
      </w:r>
      <w:r>
        <w:rPr>
          <w:color w:val="231F1F"/>
          <w:spacing w:val="-9"/>
          <w:w w:val="110"/>
        </w:rPr>
        <w:t> </w:t>
      </w:r>
      <w:r>
        <w:rPr>
          <w:color w:val="231F1F"/>
          <w:spacing w:val="-2"/>
          <w:w w:val="110"/>
        </w:rPr>
        <w:t>parto,</w:t>
      </w:r>
      <w:r>
        <w:rPr>
          <w:color w:val="231F1F"/>
          <w:spacing w:val="-9"/>
          <w:w w:val="110"/>
        </w:rPr>
        <w:t> </w:t>
      </w:r>
      <w:r>
        <w:rPr>
          <w:color w:val="231F1F"/>
          <w:spacing w:val="-2"/>
          <w:w w:val="110"/>
        </w:rPr>
        <w:t>frente</w:t>
      </w:r>
      <w:r>
        <w:rPr>
          <w:color w:val="231F1F"/>
          <w:spacing w:val="-8"/>
          <w:w w:val="110"/>
        </w:rPr>
        <w:t> </w:t>
      </w:r>
      <w:r>
        <w:rPr>
          <w:color w:val="231F1F"/>
          <w:spacing w:val="-2"/>
          <w:w w:val="110"/>
        </w:rPr>
        <w:t>al</w:t>
      </w:r>
      <w:r>
        <w:rPr>
          <w:color w:val="231F1F"/>
          <w:spacing w:val="-9"/>
          <w:w w:val="110"/>
        </w:rPr>
        <w:t> </w:t>
      </w:r>
      <w:r>
        <w:rPr>
          <w:color w:val="231F1F"/>
          <w:spacing w:val="-2"/>
          <w:w w:val="110"/>
        </w:rPr>
        <w:t>otro</w:t>
      </w:r>
      <w:r>
        <w:rPr>
          <w:color w:val="231F1F"/>
          <w:spacing w:val="-8"/>
          <w:w w:val="110"/>
        </w:rPr>
        <w:t> </w:t>
      </w:r>
      <w:r>
        <w:rPr>
          <w:color w:val="231F1F"/>
          <w:spacing w:val="-2"/>
          <w:w w:val="110"/>
        </w:rPr>
        <w:t>grupo</w:t>
      </w:r>
      <w:r>
        <w:rPr>
          <w:color w:val="231F1F"/>
          <w:spacing w:val="-8"/>
          <w:w w:val="110"/>
        </w:rPr>
        <w:t> </w:t>
      </w:r>
      <w:r>
        <w:rPr>
          <w:color w:val="231F1F"/>
          <w:spacing w:val="-2"/>
          <w:w w:val="110"/>
        </w:rPr>
        <w:t>de</w:t>
      </w:r>
      <w:r>
        <w:rPr>
          <w:color w:val="231F1F"/>
          <w:spacing w:val="-8"/>
          <w:w w:val="110"/>
        </w:rPr>
        <w:t> </w:t>
      </w:r>
      <w:r>
        <w:rPr>
          <w:color w:val="231F1F"/>
          <w:spacing w:val="-2"/>
          <w:w w:val="110"/>
        </w:rPr>
        <w:t>mujeres</w:t>
      </w:r>
      <w:r>
        <w:rPr>
          <w:color w:val="231F1F"/>
          <w:spacing w:val="-8"/>
          <w:w w:val="110"/>
        </w:rPr>
        <w:t> </w:t>
      </w:r>
      <w:r>
        <w:rPr>
          <w:color w:val="231F1F"/>
          <w:spacing w:val="-2"/>
          <w:w w:val="110"/>
        </w:rPr>
        <w:t>que</w:t>
      </w:r>
      <w:r>
        <w:rPr>
          <w:color w:val="231F1F"/>
          <w:spacing w:val="-8"/>
          <w:w w:val="110"/>
        </w:rPr>
        <w:t> </w:t>
      </w:r>
      <w:r>
        <w:rPr>
          <w:color w:val="231F1F"/>
          <w:spacing w:val="-2"/>
          <w:w w:val="110"/>
        </w:rPr>
        <w:t>podía</w:t>
      </w:r>
      <w:r>
        <w:rPr>
          <w:color w:val="231F1F"/>
          <w:spacing w:val="-8"/>
          <w:w w:val="110"/>
        </w:rPr>
        <w:t> </w:t>
      </w:r>
      <w:r>
        <w:rPr>
          <w:color w:val="231F1F"/>
          <w:spacing w:val="-2"/>
          <w:w w:val="110"/>
        </w:rPr>
        <w:t>adop- </w:t>
      </w:r>
      <w:r>
        <w:rPr>
          <w:color w:val="231F1F"/>
          <w:w w:val="110"/>
        </w:rPr>
        <w:t>tar la postura que mejor le fuera.</w:t>
      </w:r>
    </w:p>
    <w:p>
      <w:pPr>
        <w:pStyle w:val="BodyText"/>
        <w:tabs>
          <w:tab w:pos="8036" w:val="left" w:leader="none"/>
        </w:tabs>
        <w:spacing w:line="256" w:lineRule="auto" w:before="100"/>
        <w:ind w:left="283" w:right="524" w:firstLine="453"/>
      </w:pPr>
      <w:r>
        <w:rPr>
          <w:color w:val="231F1F"/>
          <w:w w:val="110"/>
        </w:rPr>
        <w:t>No hubo diferencias significativas entre los dos grupos en un resultado</w:t>
      </w:r>
      <w:r>
        <w:rPr>
          <w:color w:val="231F1F"/>
        </w:rPr>
        <w:tab/>
      </w:r>
      <w:r>
        <w:rPr>
          <w:rFonts w:ascii="Arial MT" w:hAnsi="Arial MT"/>
          <w:color w:val="231F1F"/>
          <w:spacing w:val="-12"/>
          <w:w w:val="105"/>
          <w:sz w:val="18"/>
        </w:rPr>
        <w:t>ECA </w:t>
      </w:r>
      <w:r>
        <w:rPr>
          <w:color w:val="231F1F"/>
          <w:w w:val="110"/>
        </w:rPr>
        <w:t>principal sobre tasa de fetos en posición occipitoanterior: RR 2,4 [IC 95% 0,88</w:t>
      </w:r>
      <w:r>
        <w:rPr>
          <w:color w:val="231F1F"/>
          <w:spacing w:val="80"/>
          <w:w w:val="110"/>
        </w:rPr>
        <w:t> </w:t>
      </w:r>
      <w:r>
        <w:rPr>
          <w:rFonts w:ascii="Arial MT" w:hAnsi="Arial MT"/>
          <w:color w:val="231F1F"/>
          <w:w w:val="110"/>
          <w:position w:val="4"/>
          <w:sz w:val="18"/>
        </w:rPr>
        <w:t>1+ </w:t>
      </w:r>
      <w:r>
        <w:rPr>
          <w:color w:val="231F1F"/>
          <w:w w:val="110"/>
        </w:rPr>
        <w:t>a 6,62]. En relación a resultados secundarios se observó que las mujeres asig-</w:t>
      </w:r>
    </w:p>
    <w:p>
      <w:pPr>
        <w:pStyle w:val="BodyText"/>
        <w:spacing w:line="244" w:lineRule="auto"/>
        <w:ind w:left="283" w:right="1369"/>
        <w:jc w:val="both"/>
      </w:pPr>
      <w:r>
        <w:rPr>
          <w:color w:val="231F1F"/>
          <w:w w:val="105"/>
        </w:rPr>
        <w:t>nadas</w:t>
      </w:r>
      <w:r>
        <w:rPr>
          <w:color w:val="231F1F"/>
          <w:w w:val="105"/>
        </w:rPr>
        <w:t> al</w:t>
      </w:r>
      <w:r>
        <w:rPr>
          <w:color w:val="231F1F"/>
          <w:w w:val="105"/>
        </w:rPr>
        <w:t> grupo</w:t>
      </w:r>
      <w:r>
        <w:rPr>
          <w:color w:val="231F1F"/>
          <w:w w:val="105"/>
        </w:rPr>
        <w:t> de</w:t>
      </w:r>
      <w:r>
        <w:rPr>
          <w:color w:val="231F1F"/>
          <w:w w:val="105"/>
        </w:rPr>
        <w:t> manos</w:t>
      </w:r>
      <w:r>
        <w:rPr>
          <w:color w:val="231F1F"/>
          <w:w w:val="105"/>
        </w:rPr>
        <w:t> y</w:t>
      </w:r>
      <w:r>
        <w:rPr>
          <w:color w:val="231F1F"/>
          <w:w w:val="105"/>
        </w:rPr>
        <w:t> rodillas</w:t>
      </w:r>
      <w:r>
        <w:rPr>
          <w:color w:val="231F1F"/>
          <w:w w:val="105"/>
        </w:rPr>
        <w:t> presentaban</w:t>
      </w:r>
      <w:r>
        <w:rPr>
          <w:color w:val="231F1F"/>
          <w:w w:val="105"/>
        </w:rPr>
        <w:t> menor</w:t>
      </w:r>
      <w:r>
        <w:rPr>
          <w:color w:val="231F1F"/>
          <w:w w:val="105"/>
        </w:rPr>
        <w:t> dolor</w:t>
      </w:r>
      <w:r>
        <w:rPr>
          <w:color w:val="231F1F"/>
          <w:w w:val="105"/>
        </w:rPr>
        <w:t> lumbar</w:t>
      </w:r>
      <w:r>
        <w:rPr>
          <w:color w:val="231F1F"/>
          <w:w w:val="105"/>
        </w:rPr>
        <w:t> persis- tente</w:t>
      </w:r>
      <w:r>
        <w:rPr>
          <w:color w:val="231F1F"/>
          <w:w w:val="105"/>
        </w:rPr>
        <w:t> en</w:t>
      </w:r>
      <w:r>
        <w:rPr>
          <w:color w:val="231F1F"/>
          <w:w w:val="105"/>
        </w:rPr>
        <w:t> todas</w:t>
      </w:r>
      <w:r>
        <w:rPr>
          <w:color w:val="231F1F"/>
          <w:w w:val="105"/>
        </w:rPr>
        <w:t> las</w:t>
      </w:r>
      <w:r>
        <w:rPr>
          <w:color w:val="231F1F"/>
          <w:w w:val="105"/>
        </w:rPr>
        <w:t> mediciones</w:t>
      </w:r>
      <w:r>
        <w:rPr>
          <w:color w:val="231F1F"/>
          <w:w w:val="105"/>
        </w:rPr>
        <w:t> (realizadas</w:t>
      </w:r>
      <w:r>
        <w:rPr>
          <w:color w:val="231F1F"/>
          <w:w w:val="105"/>
        </w:rPr>
        <w:t> con</w:t>
      </w:r>
      <w:r>
        <w:rPr>
          <w:color w:val="231F1F"/>
          <w:w w:val="105"/>
        </w:rPr>
        <w:t> tres</w:t>
      </w:r>
      <w:r>
        <w:rPr>
          <w:color w:val="231F1F"/>
          <w:w w:val="105"/>
        </w:rPr>
        <w:t> escalas</w:t>
      </w:r>
      <w:r>
        <w:rPr>
          <w:color w:val="231F1F"/>
          <w:w w:val="105"/>
        </w:rPr>
        <w:t> de</w:t>
      </w:r>
      <w:r>
        <w:rPr>
          <w:color w:val="231F1F"/>
          <w:w w:val="105"/>
        </w:rPr>
        <w:t> puntuación</w:t>
      </w:r>
      <w:r>
        <w:rPr>
          <w:color w:val="231F1F"/>
          <w:w w:val="105"/>
        </w:rPr>
        <w:t> de dolor): Escala VAS: DM -0,85 [IC 95% -1,47 a -0,22]; p=0,0083; escala PPI:</w:t>
      </w:r>
    </w:p>
    <w:p>
      <w:pPr>
        <w:pStyle w:val="BodyText"/>
        <w:spacing w:before="4"/>
        <w:ind w:left="283"/>
        <w:jc w:val="both"/>
      </w:pPr>
      <w:r>
        <w:rPr>
          <w:color w:val="231F1F"/>
        </w:rPr>
        <w:t>DM</w:t>
      </w:r>
      <w:r>
        <w:rPr>
          <w:color w:val="231F1F"/>
          <w:spacing w:val="15"/>
        </w:rPr>
        <w:t> </w:t>
      </w:r>
      <w:r>
        <w:rPr>
          <w:color w:val="231F1F"/>
        </w:rPr>
        <w:t>-0,50</w:t>
      </w:r>
      <w:r>
        <w:rPr>
          <w:color w:val="231F1F"/>
          <w:spacing w:val="20"/>
        </w:rPr>
        <w:t> </w:t>
      </w:r>
      <w:r>
        <w:rPr>
          <w:color w:val="231F1F"/>
        </w:rPr>
        <w:t>[IC</w:t>
      </w:r>
      <w:r>
        <w:rPr>
          <w:color w:val="231F1F"/>
          <w:spacing w:val="20"/>
        </w:rPr>
        <w:t> </w:t>
      </w:r>
      <w:r>
        <w:rPr>
          <w:color w:val="231F1F"/>
        </w:rPr>
        <w:t>95%</w:t>
      </w:r>
      <w:r>
        <w:rPr>
          <w:color w:val="231F1F"/>
          <w:spacing w:val="20"/>
        </w:rPr>
        <w:t> </w:t>
      </w:r>
      <w:r>
        <w:rPr>
          <w:color w:val="231F1F"/>
        </w:rPr>
        <w:t>-0,89</w:t>
      </w:r>
      <w:r>
        <w:rPr>
          <w:color w:val="231F1F"/>
          <w:spacing w:val="19"/>
        </w:rPr>
        <w:t> </w:t>
      </w:r>
      <w:r>
        <w:rPr>
          <w:color w:val="231F1F"/>
        </w:rPr>
        <w:t>a</w:t>
      </w:r>
      <w:r>
        <w:rPr>
          <w:color w:val="231F1F"/>
          <w:spacing w:val="20"/>
        </w:rPr>
        <w:t> </w:t>
      </w:r>
      <w:r>
        <w:rPr>
          <w:color w:val="231F1F"/>
        </w:rPr>
        <w:t>-0,10];</w:t>
      </w:r>
      <w:r>
        <w:rPr>
          <w:color w:val="231F1F"/>
          <w:spacing w:val="22"/>
        </w:rPr>
        <w:t> </w:t>
      </w:r>
      <w:r>
        <w:rPr>
          <w:color w:val="231F1F"/>
        </w:rPr>
        <w:t>p=0,014</w:t>
      </w:r>
      <w:r>
        <w:rPr>
          <w:color w:val="231F1F"/>
          <w:spacing w:val="20"/>
        </w:rPr>
        <w:t> </w:t>
      </w:r>
      <w:r>
        <w:rPr>
          <w:color w:val="231F1F"/>
        </w:rPr>
        <w:t>y</w:t>
      </w:r>
      <w:r>
        <w:rPr>
          <w:color w:val="231F1F"/>
          <w:spacing w:val="19"/>
        </w:rPr>
        <w:t> </w:t>
      </w:r>
      <w:r>
        <w:rPr>
          <w:color w:val="231F1F"/>
        </w:rPr>
        <w:t>en</w:t>
      </w:r>
      <w:r>
        <w:rPr>
          <w:color w:val="231F1F"/>
          <w:spacing w:val="20"/>
        </w:rPr>
        <w:t> </w:t>
      </w:r>
      <w:r>
        <w:rPr>
          <w:color w:val="231F1F"/>
        </w:rPr>
        <w:t>la</w:t>
      </w:r>
      <w:r>
        <w:rPr>
          <w:color w:val="231F1F"/>
          <w:spacing w:val="20"/>
        </w:rPr>
        <w:t> </w:t>
      </w:r>
      <w:r>
        <w:rPr>
          <w:color w:val="231F1F"/>
        </w:rPr>
        <w:t>escala</w:t>
      </w:r>
      <w:r>
        <w:rPr>
          <w:color w:val="231F1F"/>
          <w:spacing w:val="20"/>
        </w:rPr>
        <w:t> </w:t>
      </w:r>
      <w:r>
        <w:rPr>
          <w:color w:val="231F1F"/>
        </w:rPr>
        <w:t>SF-MPQ:</w:t>
      </w:r>
      <w:r>
        <w:rPr>
          <w:color w:val="231F1F"/>
          <w:spacing w:val="19"/>
        </w:rPr>
        <w:t> </w:t>
      </w:r>
      <w:r>
        <w:rPr>
          <w:color w:val="231F1F"/>
        </w:rPr>
        <w:t>DM</w:t>
      </w:r>
      <w:r>
        <w:rPr>
          <w:color w:val="231F1F"/>
          <w:spacing w:val="22"/>
        </w:rPr>
        <w:t> </w:t>
      </w:r>
      <w:r>
        <w:rPr>
          <w:color w:val="231F1F"/>
        </w:rPr>
        <w:t>-</w:t>
      </w:r>
      <w:r>
        <w:rPr>
          <w:color w:val="231F1F"/>
          <w:spacing w:val="-4"/>
        </w:rPr>
        <w:t>2,60</w:t>
      </w:r>
    </w:p>
    <w:p>
      <w:pPr>
        <w:pStyle w:val="BodyText"/>
        <w:spacing w:line="244" w:lineRule="auto" w:before="11"/>
        <w:ind w:left="283" w:right="1370"/>
        <w:jc w:val="both"/>
      </w:pPr>
      <w:r>
        <w:rPr>
          <w:color w:val="231F1F"/>
          <w:w w:val="105"/>
        </w:rPr>
        <w:t>[IC 95% -4,91 a -0,28]. No existía ninguna diferencia significativa en ningún otro punto.</w:t>
      </w:r>
    </w:p>
    <w:p>
      <w:pPr>
        <w:spacing w:line="244" w:lineRule="auto" w:before="84"/>
        <w:ind w:left="283" w:right="1367" w:firstLine="453"/>
        <w:jc w:val="both"/>
        <w:rPr>
          <w:sz w:val="22"/>
        </w:rPr>
      </w:pPr>
      <w:r>
        <w:rPr>
          <w:color w:val="231F1F"/>
          <w:w w:val="105"/>
          <w:sz w:val="22"/>
        </w:rPr>
        <w:t>Por último NICE (10) incluyó un estudio del 2006 (129) desarrollado en Suecia</w:t>
      </w:r>
      <w:r>
        <w:rPr>
          <w:color w:val="231F1F"/>
          <w:w w:val="105"/>
          <w:sz w:val="22"/>
        </w:rPr>
        <w:t> y</w:t>
      </w:r>
      <w:r>
        <w:rPr>
          <w:color w:val="231F1F"/>
          <w:w w:val="105"/>
          <w:sz w:val="22"/>
        </w:rPr>
        <w:t> que</w:t>
      </w:r>
      <w:r>
        <w:rPr>
          <w:color w:val="231F1F"/>
          <w:w w:val="105"/>
          <w:sz w:val="22"/>
        </w:rPr>
        <w:t> comparaba</w:t>
      </w:r>
      <w:r>
        <w:rPr>
          <w:color w:val="231F1F"/>
          <w:w w:val="105"/>
          <w:sz w:val="22"/>
        </w:rPr>
        <w:t> las</w:t>
      </w:r>
      <w:r>
        <w:rPr>
          <w:color w:val="231F1F"/>
          <w:w w:val="105"/>
          <w:sz w:val="22"/>
        </w:rPr>
        <w:t> posiciones</w:t>
      </w:r>
      <w:r>
        <w:rPr>
          <w:color w:val="231F1F"/>
          <w:w w:val="105"/>
          <w:sz w:val="22"/>
        </w:rPr>
        <w:t> </w:t>
      </w:r>
      <w:r>
        <w:rPr>
          <w:i/>
          <w:color w:val="231F1F"/>
          <w:w w:val="105"/>
          <w:sz w:val="22"/>
        </w:rPr>
        <w:t>manos</w:t>
      </w:r>
      <w:r>
        <w:rPr>
          <w:i/>
          <w:color w:val="231F1F"/>
          <w:w w:val="105"/>
          <w:sz w:val="22"/>
        </w:rPr>
        <w:t> y</w:t>
      </w:r>
      <w:r>
        <w:rPr>
          <w:i/>
          <w:color w:val="231F1F"/>
          <w:w w:val="105"/>
          <w:sz w:val="22"/>
        </w:rPr>
        <w:t> rodillas</w:t>
      </w:r>
      <w:r>
        <w:rPr>
          <w:i/>
          <w:color w:val="231F1F"/>
          <w:w w:val="105"/>
          <w:sz w:val="22"/>
        </w:rPr>
        <w:t> (a</w:t>
      </w:r>
      <w:r>
        <w:rPr>
          <w:i/>
          <w:color w:val="231F1F"/>
          <w:w w:val="105"/>
          <w:sz w:val="22"/>
        </w:rPr>
        <w:t> gatas)</w:t>
      </w:r>
      <w:r>
        <w:rPr>
          <w:i/>
          <w:color w:val="231F1F"/>
          <w:w w:val="105"/>
          <w:sz w:val="22"/>
        </w:rPr>
        <w:t> frente</w:t>
      </w:r>
      <w:r>
        <w:rPr>
          <w:i/>
          <w:color w:val="231F1F"/>
          <w:w w:val="105"/>
          <w:sz w:val="22"/>
        </w:rPr>
        <w:t> a sentada</w:t>
      </w:r>
      <w:r>
        <w:rPr>
          <w:i/>
          <w:color w:val="231F1F"/>
          <w:spacing w:val="40"/>
          <w:w w:val="105"/>
          <w:sz w:val="22"/>
        </w:rPr>
        <w:t> </w:t>
      </w:r>
      <w:r>
        <w:rPr>
          <w:color w:val="231F1F"/>
          <w:w w:val="105"/>
          <w:sz w:val="22"/>
        </w:rPr>
        <w:t>en</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duración</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segunda</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271</w:t>
      </w:r>
      <w:r>
        <w:rPr>
          <w:color w:val="231F1F"/>
          <w:spacing w:val="40"/>
          <w:w w:val="105"/>
          <w:sz w:val="22"/>
        </w:rPr>
        <w:t> </w:t>
      </w:r>
      <w:r>
        <w:rPr>
          <w:color w:val="231F1F"/>
          <w:w w:val="105"/>
          <w:sz w:val="22"/>
        </w:rPr>
        <w:t>mujeres.</w:t>
      </w:r>
    </w:p>
    <w:p>
      <w:pPr>
        <w:spacing w:after="0" w:line="244" w:lineRule="auto"/>
        <w:jc w:val="both"/>
        <w:rPr>
          <w:sz w:val="22"/>
        </w:rPr>
        <w:sectPr>
          <w:pgSz w:w="11900" w:h="16840"/>
          <w:pgMar w:header="0" w:footer="622" w:top="1560" w:bottom="820" w:left="1417" w:right="1559"/>
        </w:sectPr>
      </w:pPr>
    </w:p>
    <w:p>
      <w:pPr>
        <w:pStyle w:val="BodyText"/>
        <w:spacing w:line="247" w:lineRule="auto" w:before="73"/>
        <w:ind w:left="283" w:right="1" w:firstLine="453"/>
        <w:jc w:val="both"/>
      </w:pPr>
      <w:r>
        <w:rPr>
          <w:color w:val="231F1F"/>
          <w:w w:val="105"/>
        </w:rPr>
        <w:t>No se observaron diferencias significativas en la duración de la segunda </w:t>
      </w:r>
      <w:r>
        <w:rPr>
          <w:color w:val="231F1F"/>
          <w:spacing w:val="-2"/>
          <w:w w:val="105"/>
        </w:rPr>
        <w:t>etapa</w:t>
      </w:r>
      <w:r>
        <w:rPr>
          <w:color w:val="231F1F"/>
          <w:spacing w:val="-12"/>
          <w:w w:val="105"/>
        </w:rPr>
        <w:t> </w:t>
      </w:r>
      <w:r>
        <w:rPr>
          <w:color w:val="231F1F"/>
          <w:spacing w:val="-2"/>
          <w:w w:val="105"/>
        </w:rPr>
        <w:t>de</w:t>
      </w:r>
      <w:r>
        <w:rPr>
          <w:color w:val="231F1F"/>
          <w:spacing w:val="-12"/>
          <w:w w:val="105"/>
        </w:rPr>
        <w:t> </w:t>
      </w:r>
      <w:r>
        <w:rPr>
          <w:color w:val="231F1F"/>
          <w:spacing w:val="-2"/>
          <w:w w:val="105"/>
        </w:rPr>
        <w:t>parto</w:t>
      </w:r>
      <w:r>
        <w:rPr>
          <w:color w:val="231F1F"/>
          <w:spacing w:val="-12"/>
          <w:w w:val="105"/>
        </w:rPr>
        <w:t> </w:t>
      </w:r>
      <w:r>
        <w:rPr>
          <w:color w:val="231F1F"/>
          <w:spacing w:val="-2"/>
          <w:w w:val="105"/>
        </w:rPr>
        <w:t>entre</w:t>
      </w:r>
      <w:r>
        <w:rPr>
          <w:color w:val="231F1F"/>
          <w:spacing w:val="-12"/>
          <w:w w:val="105"/>
        </w:rPr>
        <w:t> </w:t>
      </w:r>
      <w:r>
        <w:rPr>
          <w:color w:val="231F1F"/>
          <w:spacing w:val="-2"/>
          <w:w w:val="105"/>
        </w:rPr>
        <w:t>los</w:t>
      </w:r>
      <w:r>
        <w:rPr>
          <w:color w:val="231F1F"/>
          <w:spacing w:val="-12"/>
          <w:w w:val="105"/>
        </w:rPr>
        <w:t> </w:t>
      </w:r>
      <w:r>
        <w:rPr>
          <w:color w:val="231F1F"/>
          <w:spacing w:val="-2"/>
          <w:w w:val="105"/>
        </w:rPr>
        <w:t>dos</w:t>
      </w:r>
      <w:r>
        <w:rPr>
          <w:color w:val="231F1F"/>
          <w:spacing w:val="-12"/>
          <w:w w:val="105"/>
        </w:rPr>
        <w:t> </w:t>
      </w:r>
      <w:r>
        <w:rPr>
          <w:color w:val="231F1F"/>
          <w:spacing w:val="-2"/>
          <w:w w:val="105"/>
        </w:rPr>
        <w:t>grupos.</w:t>
      </w:r>
      <w:r>
        <w:rPr>
          <w:color w:val="231F1F"/>
          <w:spacing w:val="-12"/>
          <w:w w:val="105"/>
        </w:rPr>
        <w:t> </w:t>
      </w:r>
      <w:r>
        <w:rPr>
          <w:color w:val="231F1F"/>
          <w:spacing w:val="-2"/>
          <w:w w:val="105"/>
        </w:rPr>
        <w:t>Sin</w:t>
      </w:r>
      <w:r>
        <w:rPr>
          <w:color w:val="231F1F"/>
          <w:spacing w:val="-12"/>
          <w:w w:val="105"/>
        </w:rPr>
        <w:t> </w:t>
      </w:r>
      <w:r>
        <w:rPr>
          <w:color w:val="231F1F"/>
          <w:spacing w:val="-2"/>
          <w:w w:val="105"/>
        </w:rPr>
        <w:t>embargo,</w:t>
      </w:r>
      <w:r>
        <w:rPr>
          <w:color w:val="231F1F"/>
          <w:spacing w:val="-11"/>
          <w:w w:val="105"/>
        </w:rPr>
        <w:t> </w:t>
      </w:r>
      <w:r>
        <w:rPr>
          <w:color w:val="231F1F"/>
          <w:spacing w:val="-2"/>
          <w:w w:val="105"/>
        </w:rPr>
        <w:t>se</w:t>
      </w:r>
      <w:r>
        <w:rPr>
          <w:color w:val="231F1F"/>
          <w:spacing w:val="-12"/>
          <w:w w:val="105"/>
        </w:rPr>
        <w:t> </w:t>
      </w:r>
      <w:r>
        <w:rPr>
          <w:color w:val="231F1F"/>
          <w:spacing w:val="-2"/>
          <w:w w:val="105"/>
        </w:rPr>
        <w:t>observaron</w:t>
      </w:r>
      <w:r>
        <w:rPr>
          <w:color w:val="231F1F"/>
          <w:spacing w:val="-12"/>
          <w:w w:val="105"/>
        </w:rPr>
        <w:t> </w:t>
      </w:r>
      <w:r>
        <w:rPr>
          <w:color w:val="231F1F"/>
          <w:spacing w:val="-2"/>
          <w:w w:val="105"/>
        </w:rPr>
        <w:t>varios</w:t>
      </w:r>
      <w:r>
        <w:rPr>
          <w:color w:val="231F1F"/>
          <w:spacing w:val="-11"/>
          <w:w w:val="105"/>
        </w:rPr>
        <w:t> </w:t>
      </w:r>
      <w:r>
        <w:rPr>
          <w:color w:val="231F1F"/>
          <w:spacing w:val="-2"/>
          <w:w w:val="105"/>
        </w:rPr>
        <w:t>resultados positivos</w:t>
      </w:r>
      <w:r>
        <w:rPr>
          <w:color w:val="231F1F"/>
          <w:spacing w:val="-6"/>
          <w:w w:val="105"/>
        </w:rPr>
        <w:t> </w:t>
      </w:r>
      <w:r>
        <w:rPr>
          <w:color w:val="231F1F"/>
          <w:spacing w:val="-2"/>
          <w:w w:val="105"/>
        </w:rPr>
        <w:t>para</w:t>
      </w:r>
      <w:r>
        <w:rPr>
          <w:color w:val="231F1F"/>
          <w:spacing w:val="-6"/>
          <w:w w:val="105"/>
        </w:rPr>
        <w:t> </w:t>
      </w:r>
      <w:r>
        <w:rPr>
          <w:color w:val="231F1F"/>
          <w:spacing w:val="-2"/>
          <w:w w:val="105"/>
        </w:rPr>
        <w:t>la</w:t>
      </w:r>
      <w:r>
        <w:rPr>
          <w:color w:val="231F1F"/>
          <w:spacing w:val="-6"/>
          <w:w w:val="105"/>
        </w:rPr>
        <w:t> </w:t>
      </w:r>
      <w:r>
        <w:rPr>
          <w:color w:val="231F1F"/>
          <w:spacing w:val="-2"/>
          <w:w w:val="105"/>
        </w:rPr>
        <w:t>posición</w:t>
      </w:r>
      <w:r>
        <w:rPr>
          <w:color w:val="231F1F"/>
          <w:spacing w:val="-6"/>
          <w:w w:val="105"/>
        </w:rPr>
        <w:t> </w:t>
      </w:r>
      <w:r>
        <w:rPr>
          <w:color w:val="231F1F"/>
          <w:spacing w:val="-2"/>
          <w:w w:val="105"/>
        </w:rPr>
        <w:t>manos</w:t>
      </w:r>
      <w:r>
        <w:rPr>
          <w:color w:val="231F1F"/>
          <w:spacing w:val="-6"/>
          <w:w w:val="105"/>
        </w:rPr>
        <w:t> </w:t>
      </w:r>
      <w:r>
        <w:rPr>
          <w:color w:val="231F1F"/>
          <w:spacing w:val="-2"/>
          <w:w w:val="105"/>
        </w:rPr>
        <w:t>y</w:t>
      </w:r>
      <w:r>
        <w:rPr>
          <w:color w:val="231F1F"/>
          <w:spacing w:val="-6"/>
          <w:w w:val="105"/>
        </w:rPr>
        <w:t> </w:t>
      </w:r>
      <w:r>
        <w:rPr>
          <w:color w:val="231F1F"/>
          <w:spacing w:val="-2"/>
          <w:w w:val="105"/>
        </w:rPr>
        <w:t>rodillas,</w:t>
      </w:r>
      <w:r>
        <w:rPr>
          <w:color w:val="231F1F"/>
          <w:spacing w:val="-6"/>
          <w:w w:val="105"/>
        </w:rPr>
        <w:t> </w:t>
      </w:r>
      <w:r>
        <w:rPr>
          <w:color w:val="231F1F"/>
          <w:spacing w:val="-2"/>
          <w:w w:val="105"/>
        </w:rPr>
        <w:t>entre</w:t>
      </w:r>
      <w:r>
        <w:rPr>
          <w:color w:val="231F1F"/>
          <w:spacing w:val="-6"/>
          <w:w w:val="105"/>
        </w:rPr>
        <w:t> </w:t>
      </w:r>
      <w:r>
        <w:rPr>
          <w:color w:val="231F1F"/>
          <w:spacing w:val="-2"/>
          <w:w w:val="105"/>
        </w:rPr>
        <w:t>ellos</w:t>
      </w:r>
      <w:r>
        <w:rPr>
          <w:color w:val="231F1F"/>
          <w:spacing w:val="-6"/>
          <w:w w:val="105"/>
        </w:rPr>
        <w:t> </w:t>
      </w:r>
      <w:r>
        <w:rPr>
          <w:color w:val="231F1F"/>
          <w:spacing w:val="-2"/>
          <w:w w:val="105"/>
        </w:rPr>
        <w:t>que</w:t>
      </w:r>
      <w:r>
        <w:rPr>
          <w:color w:val="231F1F"/>
          <w:spacing w:val="-6"/>
          <w:w w:val="105"/>
        </w:rPr>
        <w:t> </w:t>
      </w:r>
      <w:r>
        <w:rPr>
          <w:color w:val="231F1F"/>
          <w:spacing w:val="-2"/>
          <w:w w:val="105"/>
        </w:rPr>
        <w:t>las</w:t>
      </w:r>
      <w:r>
        <w:rPr>
          <w:color w:val="231F1F"/>
          <w:spacing w:val="-5"/>
          <w:w w:val="105"/>
        </w:rPr>
        <w:t> </w:t>
      </w:r>
      <w:r>
        <w:rPr>
          <w:color w:val="231F1F"/>
          <w:spacing w:val="-2"/>
          <w:w w:val="105"/>
        </w:rPr>
        <w:t>mujeres</w:t>
      </w:r>
      <w:r>
        <w:rPr>
          <w:color w:val="231F1F"/>
          <w:spacing w:val="-6"/>
          <w:w w:val="105"/>
        </w:rPr>
        <w:t> </w:t>
      </w:r>
      <w:r>
        <w:rPr>
          <w:color w:val="231F1F"/>
          <w:spacing w:val="-2"/>
          <w:w w:val="105"/>
        </w:rPr>
        <w:t>encontra- </w:t>
      </w:r>
      <w:r>
        <w:rPr>
          <w:color w:val="231F1F"/>
          <w:w w:val="105"/>
        </w:rPr>
        <w:t>ban</w:t>
      </w:r>
      <w:r>
        <w:rPr>
          <w:color w:val="231F1F"/>
          <w:spacing w:val="-14"/>
          <w:w w:val="105"/>
        </w:rPr>
        <w:t> </w:t>
      </w:r>
      <w:r>
        <w:rPr>
          <w:color w:val="231F1F"/>
          <w:w w:val="105"/>
        </w:rPr>
        <w:t>la</w:t>
      </w:r>
      <w:r>
        <w:rPr>
          <w:color w:val="231F1F"/>
          <w:spacing w:val="-14"/>
          <w:w w:val="105"/>
        </w:rPr>
        <w:t> </w:t>
      </w:r>
      <w:r>
        <w:rPr>
          <w:color w:val="231F1F"/>
          <w:w w:val="105"/>
        </w:rPr>
        <w:t>posición</w:t>
      </w:r>
      <w:r>
        <w:rPr>
          <w:color w:val="231F1F"/>
          <w:spacing w:val="-14"/>
          <w:w w:val="105"/>
        </w:rPr>
        <w:t> </w:t>
      </w:r>
      <w:r>
        <w:rPr>
          <w:color w:val="231F1F"/>
          <w:w w:val="105"/>
        </w:rPr>
        <w:t>más</w:t>
      </w:r>
      <w:r>
        <w:rPr>
          <w:color w:val="231F1F"/>
          <w:spacing w:val="-13"/>
          <w:w w:val="105"/>
        </w:rPr>
        <w:t> </w:t>
      </w:r>
      <w:r>
        <w:rPr>
          <w:color w:val="231F1F"/>
          <w:w w:val="105"/>
        </w:rPr>
        <w:t>cómoda</w:t>
      </w:r>
      <w:r>
        <w:rPr>
          <w:color w:val="231F1F"/>
          <w:spacing w:val="-13"/>
          <w:w w:val="105"/>
        </w:rPr>
        <w:t> </w:t>
      </w:r>
      <w:r>
        <w:rPr>
          <w:color w:val="231F1F"/>
          <w:w w:val="105"/>
        </w:rPr>
        <w:t>para</w:t>
      </w:r>
      <w:r>
        <w:rPr>
          <w:color w:val="231F1F"/>
          <w:spacing w:val="-14"/>
          <w:w w:val="105"/>
        </w:rPr>
        <w:t> </w:t>
      </w:r>
      <w:r>
        <w:rPr>
          <w:color w:val="231F1F"/>
          <w:w w:val="105"/>
        </w:rPr>
        <w:t>dar</w:t>
      </w:r>
      <w:r>
        <w:rPr>
          <w:color w:val="231F1F"/>
          <w:spacing w:val="-14"/>
          <w:w w:val="105"/>
        </w:rPr>
        <w:t> </w:t>
      </w:r>
      <w:r>
        <w:rPr>
          <w:color w:val="231F1F"/>
          <w:w w:val="105"/>
        </w:rPr>
        <w:t>a</w:t>
      </w:r>
      <w:r>
        <w:rPr>
          <w:color w:val="231F1F"/>
          <w:spacing w:val="-14"/>
          <w:w w:val="105"/>
        </w:rPr>
        <w:t> </w:t>
      </w:r>
      <w:r>
        <w:rPr>
          <w:color w:val="231F1F"/>
          <w:w w:val="105"/>
        </w:rPr>
        <w:t>luz:</w:t>
      </w:r>
      <w:r>
        <w:rPr>
          <w:color w:val="231F1F"/>
          <w:spacing w:val="-14"/>
          <w:w w:val="105"/>
        </w:rPr>
        <w:t> </w:t>
      </w:r>
      <w:r>
        <w:rPr>
          <w:color w:val="231F1F"/>
          <w:w w:val="105"/>
        </w:rPr>
        <w:t>OR</w:t>
      </w:r>
      <w:r>
        <w:rPr>
          <w:color w:val="231F1F"/>
          <w:spacing w:val="-13"/>
          <w:w w:val="105"/>
        </w:rPr>
        <w:t> </w:t>
      </w:r>
      <w:r>
        <w:rPr>
          <w:color w:val="231F1F"/>
          <w:w w:val="105"/>
        </w:rPr>
        <w:t>0,5</w:t>
      </w:r>
      <w:r>
        <w:rPr>
          <w:color w:val="231F1F"/>
          <w:spacing w:val="-14"/>
          <w:w w:val="105"/>
        </w:rPr>
        <w:t> </w:t>
      </w:r>
      <w:r>
        <w:rPr>
          <w:color w:val="231F1F"/>
          <w:w w:val="105"/>
        </w:rPr>
        <w:t>[IC</w:t>
      </w:r>
      <w:r>
        <w:rPr>
          <w:color w:val="231F1F"/>
          <w:spacing w:val="-13"/>
          <w:w w:val="105"/>
        </w:rPr>
        <w:t> </w:t>
      </w:r>
      <w:r>
        <w:rPr>
          <w:color w:val="231F1F"/>
          <w:w w:val="105"/>
        </w:rPr>
        <w:t>95%</w:t>
      </w:r>
      <w:r>
        <w:rPr>
          <w:color w:val="231F1F"/>
          <w:spacing w:val="-13"/>
          <w:w w:val="105"/>
        </w:rPr>
        <w:t> </w:t>
      </w:r>
      <w:r>
        <w:rPr>
          <w:color w:val="231F1F"/>
          <w:w w:val="105"/>
        </w:rPr>
        <w:t>0,1</w:t>
      </w:r>
      <w:r>
        <w:rPr>
          <w:color w:val="231F1F"/>
          <w:spacing w:val="-14"/>
          <w:w w:val="105"/>
        </w:rPr>
        <w:t> </w:t>
      </w:r>
      <w:r>
        <w:rPr>
          <w:color w:val="231F1F"/>
          <w:w w:val="105"/>
        </w:rPr>
        <w:t>a</w:t>
      </w:r>
      <w:r>
        <w:rPr>
          <w:color w:val="231F1F"/>
          <w:spacing w:val="-14"/>
          <w:w w:val="105"/>
        </w:rPr>
        <w:t> </w:t>
      </w:r>
      <w:r>
        <w:rPr>
          <w:color w:val="231F1F"/>
          <w:w w:val="105"/>
        </w:rPr>
        <w:t>0,9];</w:t>
      </w:r>
      <w:r>
        <w:rPr>
          <w:color w:val="231F1F"/>
          <w:spacing w:val="-14"/>
          <w:w w:val="105"/>
        </w:rPr>
        <w:t> </w:t>
      </w:r>
      <w:r>
        <w:rPr>
          <w:color w:val="231F1F"/>
          <w:w w:val="105"/>
        </w:rPr>
        <w:t>p=0,030; con percepción de un parto más corto (aunque no hubiera diferencias reales): OR 1,4 [IC 95% 0,8 a 0,9], p=0,002;</w:t>
      </w:r>
      <w:r>
        <w:rPr>
          <w:color w:val="231F1F"/>
          <w:spacing w:val="-2"/>
          <w:w w:val="105"/>
        </w:rPr>
        <w:t> </w:t>
      </w:r>
      <w:r>
        <w:rPr>
          <w:color w:val="231F1F"/>
          <w:w w:val="105"/>
        </w:rPr>
        <w:t>menos dolor:</w:t>
      </w:r>
      <w:r>
        <w:rPr>
          <w:color w:val="231F1F"/>
          <w:spacing w:val="-2"/>
          <w:w w:val="105"/>
        </w:rPr>
        <w:t> </w:t>
      </w:r>
      <w:r>
        <w:rPr>
          <w:color w:val="231F1F"/>
          <w:w w:val="105"/>
        </w:rPr>
        <w:t>OR 1,3 [IC 95% 1,1 a 1,9],</w:t>
      </w:r>
    </w:p>
    <w:p>
      <w:pPr>
        <w:pStyle w:val="BodyText"/>
        <w:spacing w:line="254" w:lineRule="auto"/>
        <w:ind w:left="283" w:right="10"/>
        <w:jc w:val="both"/>
      </w:pPr>
      <w:r>
        <w:rPr>
          <w:color w:val="231F1F"/>
          <w:w w:val="105"/>
        </w:rPr>
        <w:t>p=0,01;</w:t>
      </w:r>
      <w:r>
        <w:rPr>
          <w:color w:val="231F1F"/>
          <w:spacing w:val="-8"/>
          <w:w w:val="105"/>
        </w:rPr>
        <w:t> </w:t>
      </w:r>
      <w:r>
        <w:rPr>
          <w:color w:val="231F1F"/>
          <w:w w:val="105"/>
        </w:rPr>
        <w:t>menos</w:t>
      </w:r>
      <w:r>
        <w:rPr>
          <w:color w:val="231F1F"/>
          <w:spacing w:val="-8"/>
          <w:w w:val="105"/>
        </w:rPr>
        <w:t> </w:t>
      </w:r>
      <w:r>
        <w:rPr>
          <w:color w:val="231F1F"/>
          <w:w w:val="105"/>
        </w:rPr>
        <w:t>dolor</w:t>
      </w:r>
      <w:r>
        <w:rPr>
          <w:color w:val="231F1F"/>
          <w:spacing w:val="-8"/>
          <w:w w:val="105"/>
        </w:rPr>
        <w:t> </w:t>
      </w:r>
      <w:r>
        <w:rPr>
          <w:color w:val="231F1F"/>
          <w:w w:val="105"/>
        </w:rPr>
        <w:t>perineal</w:t>
      </w:r>
      <w:r>
        <w:rPr>
          <w:color w:val="231F1F"/>
          <w:spacing w:val="-8"/>
          <w:w w:val="105"/>
        </w:rPr>
        <w:t> </w:t>
      </w:r>
      <w:r>
        <w:rPr>
          <w:color w:val="231F1F"/>
          <w:w w:val="105"/>
        </w:rPr>
        <w:t>posparto</w:t>
      </w:r>
      <w:r>
        <w:rPr>
          <w:color w:val="231F1F"/>
          <w:spacing w:val="-8"/>
          <w:w w:val="105"/>
        </w:rPr>
        <w:t> </w:t>
      </w:r>
      <w:r>
        <w:rPr>
          <w:color w:val="231F1F"/>
          <w:w w:val="105"/>
        </w:rPr>
        <w:t>en</w:t>
      </w:r>
      <w:r>
        <w:rPr>
          <w:color w:val="231F1F"/>
          <w:spacing w:val="-7"/>
          <w:w w:val="105"/>
        </w:rPr>
        <w:t> </w:t>
      </w:r>
      <w:r>
        <w:rPr>
          <w:color w:val="231F1F"/>
          <w:w w:val="105"/>
        </w:rPr>
        <w:t>los</w:t>
      </w:r>
      <w:r>
        <w:rPr>
          <w:color w:val="231F1F"/>
          <w:spacing w:val="-8"/>
          <w:w w:val="105"/>
        </w:rPr>
        <w:t> </w:t>
      </w:r>
      <w:r>
        <w:rPr>
          <w:color w:val="231F1F"/>
          <w:w w:val="105"/>
        </w:rPr>
        <w:t>3</w:t>
      </w:r>
      <w:r>
        <w:rPr>
          <w:color w:val="231F1F"/>
          <w:spacing w:val="-7"/>
          <w:w w:val="105"/>
        </w:rPr>
        <w:t> </w:t>
      </w:r>
      <w:r>
        <w:rPr>
          <w:color w:val="231F1F"/>
          <w:w w:val="105"/>
        </w:rPr>
        <w:t>primeros</w:t>
      </w:r>
      <w:r>
        <w:rPr>
          <w:color w:val="231F1F"/>
          <w:spacing w:val="-8"/>
          <w:w w:val="105"/>
        </w:rPr>
        <w:t> </w:t>
      </w:r>
      <w:r>
        <w:rPr>
          <w:color w:val="231F1F"/>
          <w:w w:val="105"/>
        </w:rPr>
        <w:t>días</w:t>
      </w:r>
      <w:r>
        <w:rPr>
          <w:color w:val="231F1F"/>
          <w:spacing w:val="-8"/>
          <w:w w:val="105"/>
        </w:rPr>
        <w:t> </w:t>
      </w:r>
      <w:r>
        <w:rPr>
          <w:color w:val="231F1F"/>
          <w:w w:val="105"/>
        </w:rPr>
        <w:t>después</w:t>
      </w:r>
      <w:r>
        <w:rPr>
          <w:color w:val="231F1F"/>
          <w:spacing w:val="-7"/>
          <w:w w:val="105"/>
        </w:rPr>
        <w:t> </w:t>
      </w:r>
      <w:r>
        <w:rPr>
          <w:color w:val="231F1F"/>
          <w:w w:val="105"/>
        </w:rPr>
        <w:t>del</w:t>
      </w:r>
      <w:r>
        <w:rPr>
          <w:color w:val="231F1F"/>
          <w:spacing w:val="-8"/>
          <w:w w:val="105"/>
        </w:rPr>
        <w:t> </w:t>
      </w:r>
      <w:r>
        <w:rPr>
          <w:color w:val="231F1F"/>
          <w:w w:val="105"/>
        </w:rPr>
        <w:t>naci- </w:t>
      </w:r>
      <w:r>
        <w:rPr>
          <w:color w:val="231F1F"/>
        </w:rPr>
        <w:t>miento:</w:t>
      </w:r>
      <w:r>
        <w:rPr>
          <w:color w:val="231F1F"/>
          <w:spacing w:val="-4"/>
        </w:rPr>
        <w:t> </w:t>
      </w:r>
      <w:r>
        <w:rPr>
          <w:color w:val="231F1F"/>
        </w:rPr>
        <w:t>OR</w:t>
      </w:r>
      <w:r>
        <w:rPr>
          <w:color w:val="231F1F"/>
          <w:spacing w:val="-5"/>
        </w:rPr>
        <w:t> </w:t>
      </w:r>
      <w:r>
        <w:rPr>
          <w:color w:val="231F1F"/>
        </w:rPr>
        <w:t>1,9</w:t>
      </w:r>
      <w:r>
        <w:rPr>
          <w:color w:val="231F1F"/>
          <w:spacing w:val="-5"/>
        </w:rPr>
        <w:t> </w:t>
      </w:r>
      <w:r>
        <w:rPr>
          <w:color w:val="231F1F"/>
        </w:rPr>
        <w:t>[IC</w:t>
      </w:r>
      <w:r>
        <w:rPr>
          <w:color w:val="231F1F"/>
          <w:spacing w:val="-5"/>
        </w:rPr>
        <w:t> </w:t>
      </w:r>
      <w:r>
        <w:rPr>
          <w:color w:val="231F1F"/>
        </w:rPr>
        <w:t>95%</w:t>
      </w:r>
      <w:r>
        <w:rPr>
          <w:color w:val="231F1F"/>
          <w:spacing w:val="-5"/>
        </w:rPr>
        <w:t> </w:t>
      </w:r>
      <w:r>
        <w:rPr>
          <w:color w:val="231F1F"/>
        </w:rPr>
        <w:t>1,3</w:t>
      </w:r>
      <w:r>
        <w:rPr>
          <w:color w:val="231F1F"/>
          <w:spacing w:val="-5"/>
        </w:rPr>
        <w:t> </w:t>
      </w:r>
      <w:r>
        <w:rPr>
          <w:color w:val="231F1F"/>
        </w:rPr>
        <w:t>a</w:t>
      </w:r>
      <w:r>
        <w:rPr>
          <w:color w:val="231F1F"/>
          <w:spacing w:val="-4"/>
        </w:rPr>
        <w:t> </w:t>
      </w:r>
      <w:r>
        <w:rPr>
          <w:color w:val="231F1F"/>
        </w:rPr>
        <w:t>2,9];</w:t>
      </w:r>
      <w:r>
        <w:rPr>
          <w:color w:val="231F1F"/>
          <w:spacing w:val="-4"/>
        </w:rPr>
        <w:t> </w:t>
      </w:r>
      <w:r>
        <w:rPr>
          <w:color w:val="231F1F"/>
        </w:rPr>
        <w:t>p=0,001.</w:t>
      </w:r>
      <w:r>
        <w:rPr>
          <w:color w:val="231F1F"/>
          <w:spacing w:val="-4"/>
        </w:rPr>
        <w:t> </w:t>
      </w:r>
      <w:r>
        <w:rPr>
          <w:color w:val="231F1F"/>
        </w:rPr>
        <w:t>No</w:t>
      </w:r>
      <w:r>
        <w:rPr>
          <w:color w:val="231F1F"/>
          <w:spacing w:val="-5"/>
        </w:rPr>
        <w:t> </w:t>
      </w:r>
      <w:r>
        <w:rPr>
          <w:color w:val="231F1F"/>
        </w:rPr>
        <w:t>existían</w:t>
      </w:r>
      <w:r>
        <w:rPr>
          <w:color w:val="231F1F"/>
          <w:spacing w:val="-5"/>
        </w:rPr>
        <w:t> </w:t>
      </w:r>
      <w:r>
        <w:rPr>
          <w:color w:val="231F1F"/>
        </w:rPr>
        <w:t>diferencias</w:t>
      </w:r>
      <w:r>
        <w:rPr>
          <w:color w:val="231F1F"/>
          <w:spacing w:val="-5"/>
        </w:rPr>
        <w:t> </w:t>
      </w:r>
      <w:r>
        <w:rPr>
          <w:color w:val="231F1F"/>
        </w:rPr>
        <w:t>significativas </w:t>
      </w:r>
      <w:r>
        <w:rPr>
          <w:color w:val="231F1F"/>
          <w:w w:val="105"/>
        </w:rPr>
        <w:t>en</w:t>
      </w:r>
      <w:r>
        <w:rPr>
          <w:color w:val="231F1F"/>
          <w:spacing w:val="-2"/>
          <w:w w:val="105"/>
        </w:rPr>
        <w:t> </w:t>
      </w:r>
      <w:r>
        <w:rPr>
          <w:color w:val="231F1F"/>
          <w:w w:val="105"/>
        </w:rPr>
        <w:t>los</w:t>
      </w:r>
      <w:r>
        <w:rPr>
          <w:color w:val="231F1F"/>
          <w:spacing w:val="-2"/>
          <w:w w:val="105"/>
        </w:rPr>
        <w:t> </w:t>
      </w:r>
      <w:r>
        <w:rPr>
          <w:color w:val="231F1F"/>
          <w:w w:val="105"/>
        </w:rPr>
        <w:t>resultados</w:t>
      </w:r>
      <w:r>
        <w:rPr>
          <w:color w:val="231F1F"/>
          <w:spacing w:val="-2"/>
          <w:w w:val="105"/>
        </w:rPr>
        <w:t> </w:t>
      </w:r>
      <w:r>
        <w:rPr>
          <w:color w:val="231F1F"/>
          <w:w w:val="105"/>
        </w:rPr>
        <w:t>clínicos</w:t>
      </w:r>
      <w:r>
        <w:rPr>
          <w:color w:val="231F1F"/>
          <w:spacing w:val="-2"/>
          <w:w w:val="105"/>
        </w:rPr>
        <w:t> </w:t>
      </w:r>
      <w:r>
        <w:rPr>
          <w:color w:val="231F1F"/>
          <w:w w:val="105"/>
        </w:rPr>
        <w:t>entre</w:t>
      </w:r>
      <w:r>
        <w:rPr>
          <w:color w:val="231F1F"/>
          <w:spacing w:val="-2"/>
          <w:w w:val="105"/>
        </w:rPr>
        <w:t> </w:t>
      </w:r>
      <w:r>
        <w:rPr>
          <w:color w:val="231F1F"/>
          <w:w w:val="105"/>
        </w:rPr>
        <w:t>las</w:t>
      </w:r>
      <w:r>
        <w:rPr>
          <w:color w:val="231F1F"/>
          <w:spacing w:val="-4"/>
          <w:w w:val="105"/>
        </w:rPr>
        <w:t> </w:t>
      </w:r>
      <w:r>
        <w:rPr>
          <w:color w:val="231F1F"/>
          <w:w w:val="105"/>
        </w:rPr>
        <w:t>mujeres</w:t>
      </w:r>
      <w:r>
        <w:rPr>
          <w:color w:val="231F1F"/>
          <w:spacing w:val="-3"/>
          <w:w w:val="105"/>
        </w:rPr>
        <w:t> </w:t>
      </w:r>
      <w:r>
        <w:rPr>
          <w:color w:val="231F1F"/>
          <w:w w:val="105"/>
        </w:rPr>
        <w:t>de</w:t>
      </w:r>
      <w:r>
        <w:rPr>
          <w:color w:val="231F1F"/>
          <w:spacing w:val="-3"/>
          <w:w w:val="105"/>
        </w:rPr>
        <w:t> </w:t>
      </w:r>
      <w:r>
        <w:rPr>
          <w:color w:val="231F1F"/>
          <w:w w:val="105"/>
        </w:rPr>
        <w:t>ambos</w:t>
      </w:r>
      <w:r>
        <w:rPr>
          <w:color w:val="231F1F"/>
          <w:spacing w:val="-2"/>
          <w:w w:val="105"/>
        </w:rPr>
        <w:t> </w:t>
      </w:r>
      <w:r>
        <w:rPr>
          <w:color w:val="231F1F"/>
          <w:w w:val="105"/>
        </w:rPr>
        <w:t>grupos</w:t>
      </w:r>
      <w:r>
        <w:rPr>
          <w:color w:val="231F1F"/>
          <w:spacing w:val="-2"/>
          <w:w w:val="105"/>
        </w:rPr>
        <w:t> </w:t>
      </w:r>
      <w:r>
        <w:rPr>
          <w:color w:val="231F1F"/>
          <w:w w:val="105"/>
        </w:rPr>
        <w:t>o</w:t>
      </w:r>
      <w:r>
        <w:rPr>
          <w:color w:val="231F1F"/>
          <w:spacing w:val="-2"/>
          <w:w w:val="105"/>
        </w:rPr>
        <w:t> </w:t>
      </w:r>
      <w:r>
        <w:rPr>
          <w:color w:val="231F1F"/>
          <w:w w:val="105"/>
        </w:rPr>
        <w:t>entre</w:t>
      </w:r>
      <w:r>
        <w:rPr>
          <w:color w:val="231F1F"/>
          <w:spacing w:val="-2"/>
          <w:w w:val="105"/>
        </w:rPr>
        <w:t> </w:t>
      </w:r>
      <w:r>
        <w:rPr>
          <w:color w:val="231F1F"/>
          <w:w w:val="105"/>
        </w:rPr>
        <w:t>sus</w:t>
      </w:r>
      <w:r>
        <w:rPr>
          <w:color w:val="231F1F"/>
          <w:spacing w:val="-2"/>
          <w:w w:val="105"/>
        </w:rPr>
        <w:t> </w:t>
      </w:r>
      <w:r>
        <w:rPr>
          <w:color w:val="231F1F"/>
          <w:w w:val="105"/>
        </w:rPr>
        <w:t>bebés.</w:t>
      </w:r>
    </w:p>
    <w:p>
      <w:pPr>
        <w:pStyle w:val="BodyText"/>
        <w:spacing w:line="249" w:lineRule="auto" w:before="41"/>
        <w:ind w:left="283" w:right="3" w:firstLine="453"/>
        <w:jc w:val="both"/>
      </w:pPr>
      <w:r>
        <w:rPr>
          <w:color w:val="231F1F"/>
          <w:w w:val="105"/>
        </w:rPr>
        <w:t>Por otro lado, en relación a la movilización durante la segunda etapa del parto</w:t>
      </w:r>
      <w:r>
        <w:rPr>
          <w:color w:val="231F1F"/>
          <w:w w:val="105"/>
        </w:rPr>
        <w:t> de</w:t>
      </w:r>
      <w:r>
        <w:rPr>
          <w:color w:val="231F1F"/>
          <w:w w:val="105"/>
        </w:rPr>
        <w:t> </w:t>
      </w:r>
      <w:r>
        <w:rPr>
          <w:i/>
          <w:color w:val="231F1F"/>
          <w:w w:val="105"/>
        </w:rPr>
        <w:t>mujeres con analgesia epidural</w:t>
      </w:r>
      <w:r>
        <w:rPr>
          <w:color w:val="231F1F"/>
          <w:w w:val="105"/>
        </w:rPr>
        <w:t>,</w:t>
      </w:r>
      <w:r>
        <w:rPr>
          <w:color w:val="231F1F"/>
          <w:w w:val="105"/>
        </w:rPr>
        <w:t> en</w:t>
      </w:r>
      <w:r>
        <w:rPr>
          <w:color w:val="231F1F"/>
          <w:w w:val="105"/>
        </w:rPr>
        <w:t> la</w:t>
      </w:r>
      <w:r>
        <w:rPr>
          <w:color w:val="231F1F"/>
          <w:w w:val="105"/>
        </w:rPr>
        <w:t> guía</w:t>
      </w:r>
      <w:r>
        <w:rPr>
          <w:color w:val="231F1F"/>
          <w:w w:val="105"/>
        </w:rPr>
        <w:t> NICE</w:t>
      </w:r>
      <w:r>
        <w:rPr>
          <w:color w:val="231F1F"/>
          <w:w w:val="105"/>
        </w:rPr>
        <w:t> (10)</w:t>
      </w:r>
      <w:r>
        <w:rPr>
          <w:color w:val="231F1F"/>
          <w:w w:val="105"/>
        </w:rPr>
        <w:t> se</w:t>
      </w:r>
      <w:r>
        <w:rPr>
          <w:color w:val="231F1F"/>
          <w:w w:val="105"/>
        </w:rPr>
        <w:t> identificó una</w:t>
      </w:r>
      <w:r>
        <w:rPr>
          <w:color w:val="231F1F"/>
          <w:w w:val="105"/>
        </w:rPr>
        <w:t> RS</w:t>
      </w:r>
      <w:r>
        <w:rPr>
          <w:color w:val="231F1F"/>
          <w:w w:val="105"/>
        </w:rPr>
        <w:t> del</w:t>
      </w:r>
      <w:r>
        <w:rPr>
          <w:color w:val="231F1F"/>
          <w:w w:val="105"/>
        </w:rPr>
        <w:t> 2005</w:t>
      </w:r>
      <w:r>
        <w:rPr>
          <w:color w:val="231F1F"/>
          <w:w w:val="105"/>
        </w:rPr>
        <w:t> (130)</w:t>
      </w:r>
      <w:r>
        <w:rPr>
          <w:color w:val="231F1F"/>
          <w:w w:val="105"/>
        </w:rPr>
        <w:t> que</w:t>
      </w:r>
      <w:r>
        <w:rPr>
          <w:color w:val="231F1F"/>
          <w:w w:val="105"/>
        </w:rPr>
        <w:t> evaluaba</w:t>
      </w:r>
      <w:r>
        <w:rPr>
          <w:color w:val="231F1F"/>
          <w:w w:val="105"/>
        </w:rPr>
        <w:t> la</w:t>
      </w:r>
      <w:r>
        <w:rPr>
          <w:color w:val="231F1F"/>
          <w:w w:val="105"/>
        </w:rPr>
        <w:t> efectividad</w:t>
      </w:r>
      <w:r>
        <w:rPr>
          <w:color w:val="231F1F"/>
          <w:w w:val="105"/>
        </w:rPr>
        <w:t> de</w:t>
      </w:r>
      <w:r>
        <w:rPr>
          <w:color w:val="231F1F"/>
          <w:w w:val="105"/>
        </w:rPr>
        <w:t> mantener</w:t>
      </w:r>
      <w:r>
        <w:rPr>
          <w:color w:val="231F1F"/>
          <w:w w:val="105"/>
        </w:rPr>
        <w:t> </w:t>
      </w:r>
      <w:r>
        <w:rPr>
          <w:i/>
          <w:color w:val="231F1F"/>
          <w:w w:val="105"/>
        </w:rPr>
        <w:t>posiciones verticales</w:t>
      </w:r>
      <w:r>
        <w:rPr>
          <w:i/>
          <w:color w:val="231F1F"/>
          <w:spacing w:val="-11"/>
          <w:w w:val="105"/>
        </w:rPr>
        <w:t> </w:t>
      </w:r>
      <w:r>
        <w:rPr>
          <w:color w:val="231F1F"/>
          <w:w w:val="105"/>
        </w:rPr>
        <w:t>(incluido</w:t>
      </w:r>
      <w:r>
        <w:rPr>
          <w:color w:val="231F1F"/>
          <w:spacing w:val="-5"/>
          <w:w w:val="105"/>
        </w:rPr>
        <w:t> </w:t>
      </w:r>
      <w:r>
        <w:rPr>
          <w:color w:val="231F1F"/>
          <w:w w:val="105"/>
        </w:rPr>
        <w:t>de</w:t>
      </w:r>
      <w:r>
        <w:rPr>
          <w:color w:val="231F1F"/>
          <w:spacing w:val="-6"/>
          <w:w w:val="105"/>
        </w:rPr>
        <w:t> </w:t>
      </w:r>
      <w:r>
        <w:rPr>
          <w:color w:val="231F1F"/>
          <w:w w:val="105"/>
        </w:rPr>
        <w:t>pie,</w:t>
      </w:r>
      <w:r>
        <w:rPr>
          <w:color w:val="231F1F"/>
          <w:spacing w:val="-6"/>
          <w:w w:val="105"/>
        </w:rPr>
        <w:t> </w:t>
      </w:r>
      <w:r>
        <w:rPr>
          <w:color w:val="231F1F"/>
          <w:w w:val="105"/>
        </w:rPr>
        <w:t>caminando,</w:t>
      </w:r>
      <w:r>
        <w:rPr>
          <w:color w:val="231F1F"/>
          <w:spacing w:val="-5"/>
          <w:w w:val="105"/>
        </w:rPr>
        <w:t> </w:t>
      </w:r>
      <w:r>
        <w:rPr>
          <w:color w:val="231F1F"/>
          <w:w w:val="105"/>
        </w:rPr>
        <w:t>de</w:t>
      </w:r>
      <w:r>
        <w:rPr>
          <w:color w:val="231F1F"/>
          <w:spacing w:val="-6"/>
          <w:w w:val="105"/>
        </w:rPr>
        <w:t> </w:t>
      </w:r>
      <w:r>
        <w:rPr>
          <w:color w:val="231F1F"/>
          <w:w w:val="105"/>
        </w:rPr>
        <w:t>rodillas,</w:t>
      </w:r>
      <w:r>
        <w:rPr>
          <w:color w:val="231F1F"/>
          <w:spacing w:val="-5"/>
          <w:w w:val="105"/>
        </w:rPr>
        <w:t> </w:t>
      </w:r>
      <w:r>
        <w:rPr>
          <w:color w:val="231F1F"/>
          <w:w w:val="105"/>
        </w:rPr>
        <w:t>en</w:t>
      </w:r>
      <w:r>
        <w:rPr>
          <w:color w:val="231F1F"/>
          <w:spacing w:val="-6"/>
          <w:w w:val="105"/>
        </w:rPr>
        <w:t> </w:t>
      </w:r>
      <w:r>
        <w:rPr>
          <w:color w:val="231F1F"/>
          <w:w w:val="105"/>
        </w:rPr>
        <w:t>cuclillas</w:t>
      </w:r>
      <w:r>
        <w:rPr>
          <w:color w:val="231F1F"/>
          <w:spacing w:val="-5"/>
          <w:w w:val="105"/>
        </w:rPr>
        <w:t> </w:t>
      </w:r>
      <w:r>
        <w:rPr>
          <w:color w:val="231F1F"/>
          <w:w w:val="105"/>
        </w:rPr>
        <w:t>o</w:t>
      </w:r>
      <w:r>
        <w:rPr>
          <w:color w:val="231F1F"/>
          <w:spacing w:val="-6"/>
          <w:w w:val="105"/>
        </w:rPr>
        <w:t> </w:t>
      </w:r>
      <w:r>
        <w:rPr>
          <w:color w:val="231F1F"/>
          <w:w w:val="105"/>
        </w:rPr>
        <w:t>sentada</w:t>
      </w:r>
      <w:r>
        <w:rPr>
          <w:color w:val="231F1F"/>
          <w:spacing w:val="-6"/>
          <w:w w:val="105"/>
        </w:rPr>
        <w:t> </w:t>
      </w:r>
      <w:r>
        <w:rPr>
          <w:color w:val="231F1F"/>
          <w:w w:val="105"/>
        </w:rPr>
        <w:t>a</w:t>
      </w:r>
      <w:r>
        <w:rPr>
          <w:color w:val="231F1F"/>
          <w:spacing w:val="-6"/>
          <w:w w:val="105"/>
        </w:rPr>
        <w:t> </w:t>
      </w:r>
      <w:r>
        <w:rPr>
          <w:color w:val="231F1F"/>
          <w:w w:val="105"/>
        </w:rPr>
        <w:t>más de 60 grados de la horizontal) </w:t>
      </w:r>
      <w:r>
        <w:rPr>
          <w:i/>
          <w:color w:val="231F1F"/>
          <w:w w:val="105"/>
        </w:rPr>
        <w:t>frente</w:t>
      </w:r>
      <w:r>
        <w:rPr>
          <w:i/>
          <w:color w:val="231F1F"/>
          <w:spacing w:val="-9"/>
          <w:w w:val="105"/>
        </w:rPr>
        <w:t> </w:t>
      </w:r>
      <w:r>
        <w:rPr>
          <w:i/>
          <w:color w:val="231F1F"/>
          <w:w w:val="105"/>
        </w:rPr>
        <w:t>a</w:t>
      </w:r>
      <w:r>
        <w:rPr>
          <w:i/>
          <w:color w:val="231F1F"/>
          <w:spacing w:val="-9"/>
          <w:w w:val="105"/>
        </w:rPr>
        <w:t> </w:t>
      </w:r>
      <w:r>
        <w:rPr>
          <w:i/>
          <w:color w:val="231F1F"/>
          <w:w w:val="105"/>
        </w:rPr>
        <w:t>posición</w:t>
      </w:r>
      <w:r>
        <w:rPr>
          <w:i/>
          <w:color w:val="231F1F"/>
          <w:spacing w:val="-10"/>
          <w:w w:val="105"/>
        </w:rPr>
        <w:t> </w:t>
      </w:r>
      <w:r>
        <w:rPr>
          <w:i/>
          <w:color w:val="231F1F"/>
          <w:w w:val="105"/>
        </w:rPr>
        <w:t>supina</w:t>
      </w:r>
      <w:r>
        <w:rPr>
          <w:i/>
          <w:color w:val="231F1F"/>
          <w:spacing w:val="-10"/>
          <w:w w:val="105"/>
        </w:rPr>
        <w:t> </w:t>
      </w:r>
      <w:r>
        <w:rPr>
          <w:color w:val="231F1F"/>
          <w:w w:val="105"/>
        </w:rPr>
        <w:t>en el periodo de expul- sivo,</w:t>
      </w:r>
      <w:r>
        <w:rPr>
          <w:color w:val="231F1F"/>
          <w:w w:val="105"/>
        </w:rPr>
        <w:t> con</w:t>
      </w:r>
      <w:r>
        <w:rPr>
          <w:color w:val="231F1F"/>
          <w:w w:val="105"/>
        </w:rPr>
        <w:t> el</w:t>
      </w:r>
      <w:r>
        <w:rPr>
          <w:color w:val="231F1F"/>
          <w:w w:val="105"/>
        </w:rPr>
        <w:t> objetivo</w:t>
      </w:r>
      <w:r>
        <w:rPr>
          <w:color w:val="231F1F"/>
          <w:w w:val="105"/>
        </w:rPr>
        <w:t> de</w:t>
      </w:r>
      <w:r>
        <w:rPr>
          <w:color w:val="231F1F"/>
          <w:w w:val="105"/>
        </w:rPr>
        <w:t> disminuir</w:t>
      </w:r>
      <w:r>
        <w:rPr>
          <w:color w:val="231F1F"/>
          <w:w w:val="105"/>
        </w:rPr>
        <w:t> partos</w:t>
      </w:r>
      <w:r>
        <w:rPr>
          <w:color w:val="231F1F"/>
          <w:w w:val="105"/>
        </w:rPr>
        <w:t> instrumentados</w:t>
      </w:r>
      <w:r>
        <w:rPr>
          <w:color w:val="231F1F"/>
          <w:w w:val="105"/>
        </w:rPr>
        <w:t> en</w:t>
      </w:r>
      <w:r>
        <w:rPr>
          <w:color w:val="231F1F"/>
          <w:w w:val="105"/>
        </w:rPr>
        <w:t> mujeres</w:t>
      </w:r>
      <w:r>
        <w:rPr>
          <w:color w:val="231F1F"/>
          <w:w w:val="105"/>
        </w:rPr>
        <w:t> que</w:t>
      </w:r>
      <w:r>
        <w:rPr>
          <w:color w:val="231F1F"/>
          <w:w w:val="105"/>
        </w:rPr>
        <w:t> es- cogen</w:t>
      </w:r>
      <w:r>
        <w:rPr>
          <w:color w:val="231F1F"/>
          <w:spacing w:val="-3"/>
          <w:w w:val="105"/>
        </w:rPr>
        <w:t> </w:t>
      </w:r>
      <w:r>
        <w:rPr>
          <w:color w:val="231F1F"/>
          <w:w w:val="105"/>
        </w:rPr>
        <w:t>la</w:t>
      </w:r>
      <w:r>
        <w:rPr>
          <w:color w:val="231F1F"/>
          <w:spacing w:val="-3"/>
          <w:w w:val="105"/>
        </w:rPr>
        <w:t> </w:t>
      </w:r>
      <w:r>
        <w:rPr>
          <w:color w:val="231F1F"/>
          <w:w w:val="105"/>
        </w:rPr>
        <w:t>analgesia</w:t>
      </w:r>
      <w:r>
        <w:rPr>
          <w:color w:val="231F1F"/>
          <w:spacing w:val="-3"/>
          <w:w w:val="105"/>
        </w:rPr>
        <w:t> </w:t>
      </w:r>
      <w:r>
        <w:rPr>
          <w:color w:val="231F1F"/>
          <w:w w:val="105"/>
        </w:rPr>
        <w:t>epidural.</w:t>
      </w:r>
      <w:r>
        <w:rPr>
          <w:color w:val="231F1F"/>
          <w:spacing w:val="-3"/>
          <w:w w:val="105"/>
        </w:rPr>
        <w:t> </w:t>
      </w:r>
      <w:r>
        <w:rPr>
          <w:color w:val="231F1F"/>
          <w:w w:val="105"/>
        </w:rPr>
        <w:t>En</w:t>
      </w:r>
      <w:r>
        <w:rPr>
          <w:color w:val="231F1F"/>
          <w:spacing w:val="-3"/>
          <w:w w:val="105"/>
        </w:rPr>
        <w:t> </w:t>
      </w:r>
      <w:r>
        <w:rPr>
          <w:color w:val="231F1F"/>
          <w:w w:val="105"/>
        </w:rPr>
        <w:t>la</w:t>
      </w:r>
      <w:r>
        <w:rPr>
          <w:color w:val="231F1F"/>
          <w:spacing w:val="-3"/>
          <w:w w:val="105"/>
        </w:rPr>
        <w:t> </w:t>
      </w:r>
      <w:r>
        <w:rPr>
          <w:color w:val="231F1F"/>
          <w:w w:val="105"/>
        </w:rPr>
        <w:t>RS</w:t>
      </w:r>
      <w:r>
        <w:rPr>
          <w:color w:val="231F1F"/>
          <w:spacing w:val="-3"/>
          <w:w w:val="105"/>
        </w:rPr>
        <w:t> </w:t>
      </w:r>
      <w:r>
        <w:rPr>
          <w:color w:val="231F1F"/>
          <w:w w:val="105"/>
        </w:rPr>
        <w:t>sólo</w:t>
      </w:r>
      <w:r>
        <w:rPr>
          <w:color w:val="231F1F"/>
          <w:spacing w:val="-3"/>
          <w:w w:val="105"/>
        </w:rPr>
        <w:t> </w:t>
      </w:r>
      <w:r>
        <w:rPr>
          <w:color w:val="231F1F"/>
          <w:w w:val="105"/>
        </w:rPr>
        <w:t>se</w:t>
      </w:r>
      <w:r>
        <w:rPr>
          <w:color w:val="231F1F"/>
          <w:spacing w:val="-3"/>
          <w:w w:val="105"/>
        </w:rPr>
        <w:t> </w:t>
      </w:r>
      <w:r>
        <w:rPr>
          <w:color w:val="231F1F"/>
          <w:w w:val="105"/>
        </w:rPr>
        <w:t>incluyeron</w:t>
      </w:r>
      <w:r>
        <w:rPr>
          <w:color w:val="231F1F"/>
          <w:spacing w:val="-3"/>
          <w:w w:val="105"/>
        </w:rPr>
        <w:t> </w:t>
      </w:r>
      <w:r>
        <w:rPr>
          <w:color w:val="231F1F"/>
          <w:w w:val="105"/>
        </w:rPr>
        <w:t>dos</w:t>
      </w:r>
      <w:r>
        <w:rPr>
          <w:color w:val="231F1F"/>
          <w:spacing w:val="-3"/>
          <w:w w:val="105"/>
        </w:rPr>
        <w:t> </w:t>
      </w:r>
      <w:r>
        <w:rPr>
          <w:color w:val="231F1F"/>
          <w:w w:val="105"/>
        </w:rPr>
        <w:t>estudios</w:t>
      </w:r>
      <w:r>
        <w:rPr>
          <w:color w:val="231F1F"/>
          <w:spacing w:val="-3"/>
          <w:w w:val="105"/>
        </w:rPr>
        <w:t> </w:t>
      </w:r>
      <w:r>
        <w:rPr>
          <w:color w:val="231F1F"/>
          <w:w w:val="105"/>
        </w:rPr>
        <w:t>de</w:t>
      </w:r>
      <w:r>
        <w:rPr>
          <w:color w:val="231F1F"/>
          <w:spacing w:val="-3"/>
          <w:w w:val="105"/>
        </w:rPr>
        <w:t> </w:t>
      </w:r>
      <w:r>
        <w:rPr>
          <w:color w:val="231F1F"/>
          <w:w w:val="105"/>
        </w:rPr>
        <w:t>buena calidad con un total de 281 mujeres.</w:t>
      </w:r>
    </w:p>
    <w:p>
      <w:pPr>
        <w:pStyle w:val="BodyText"/>
        <w:spacing w:line="254" w:lineRule="auto" w:before="89"/>
        <w:ind w:left="283" w:right="5" w:firstLine="453"/>
        <w:jc w:val="both"/>
      </w:pPr>
      <w:r>
        <w:rPr>
          <w:color w:val="231F1F"/>
        </w:rPr>
        <w:t>No encontraron diferencias entre los dos grupos respecto del parto ins- trumental:</w:t>
      </w:r>
      <w:r>
        <w:rPr>
          <w:color w:val="231F1F"/>
          <w:spacing w:val="-1"/>
        </w:rPr>
        <w:t> </w:t>
      </w:r>
      <w:r>
        <w:rPr>
          <w:color w:val="231F1F"/>
        </w:rPr>
        <w:t>RR</w:t>
      </w:r>
      <w:r>
        <w:rPr>
          <w:color w:val="231F1F"/>
          <w:spacing w:val="-1"/>
        </w:rPr>
        <w:t> </w:t>
      </w:r>
      <w:r>
        <w:rPr>
          <w:color w:val="231F1F"/>
        </w:rPr>
        <w:t>0,77</w:t>
      </w:r>
      <w:r>
        <w:rPr>
          <w:color w:val="231F1F"/>
          <w:spacing w:val="-2"/>
        </w:rPr>
        <w:t> </w:t>
      </w:r>
      <w:r>
        <w:rPr>
          <w:color w:val="231F1F"/>
        </w:rPr>
        <w:t>[IC 95%</w:t>
      </w:r>
      <w:r>
        <w:rPr>
          <w:color w:val="231F1F"/>
          <w:spacing w:val="-1"/>
        </w:rPr>
        <w:t> </w:t>
      </w:r>
      <w:r>
        <w:rPr>
          <w:color w:val="231F1F"/>
        </w:rPr>
        <w:t>0,46</w:t>
      </w:r>
      <w:r>
        <w:rPr>
          <w:color w:val="231F1F"/>
          <w:spacing w:val="-2"/>
        </w:rPr>
        <w:t> </w:t>
      </w:r>
      <w:r>
        <w:rPr>
          <w:color w:val="231F1F"/>
        </w:rPr>
        <w:t>a</w:t>
      </w:r>
      <w:r>
        <w:rPr>
          <w:color w:val="231F1F"/>
          <w:spacing w:val="-1"/>
        </w:rPr>
        <w:t> </w:t>
      </w:r>
      <w:r>
        <w:rPr>
          <w:color w:val="231F1F"/>
        </w:rPr>
        <w:t>1,28]</w:t>
      </w:r>
      <w:r>
        <w:rPr>
          <w:color w:val="231F1F"/>
          <w:spacing w:val="-2"/>
        </w:rPr>
        <w:t> </w:t>
      </w:r>
      <w:r>
        <w:rPr>
          <w:color w:val="231F1F"/>
        </w:rPr>
        <w:t>y</w:t>
      </w:r>
      <w:r>
        <w:rPr>
          <w:color w:val="231F1F"/>
          <w:spacing w:val="-1"/>
        </w:rPr>
        <w:t> </w:t>
      </w:r>
      <w:r>
        <w:rPr>
          <w:color w:val="231F1F"/>
        </w:rPr>
        <w:t>cesáreas:</w:t>
      </w:r>
      <w:r>
        <w:rPr>
          <w:color w:val="231F1F"/>
          <w:spacing w:val="-2"/>
        </w:rPr>
        <w:t> </w:t>
      </w:r>
      <w:r>
        <w:rPr>
          <w:color w:val="231F1F"/>
        </w:rPr>
        <w:t>RR</w:t>
      </w:r>
      <w:r>
        <w:rPr>
          <w:color w:val="231F1F"/>
          <w:spacing w:val="-1"/>
        </w:rPr>
        <w:t> </w:t>
      </w:r>
      <w:r>
        <w:rPr>
          <w:color w:val="231F1F"/>
        </w:rPr>
        <w:t>0,57 [IC</w:t>
      </w:r>
      <w:r>
        <w:rPr>
          <w:color w:val="231F1F"/>
          <w:spacing w:val="-2"/>
        </w:rPr>
        <w:t> </w:t>
      </w:r>
      <w:r>
        <w:rPr>
          <w:color w:val="231F1F"/>
        </w:rPr>
        <w:t>95%</w:t>
      </w:r>
      <w:r>
        <w:rPr>
          <w:color w:val="231F1F"/>
          <w:spacing w:val="-1"/>
        </w:rPr>
        <w:t> </w:t>
      </w:r>
      <w:r>
        <w:rPr>
          <w:color w:val="231F1F"/>
        </w:rPr>
        <w:t>0,28-1,16].</w:t>
      </w:r>
    </w:p>
    <w:p>
      <w:pPr>
        <w:pStyle w:val="BodyText"/>
        <w:spacing w:line="244" w:lineRule="auto"/>
        <w:ind w:left="283"/>
        <w:jc w:val="both"/>
      </w:pPr>
      <w:r>
        <w:rPr>
          <w:color w:val="231F1F"/>
          <w:w w:val="105"/>
        </w:rPr>
        <w:t>Los</w:t>
      </w:r>
      <w:r>
        <w:rPr>
          <w:color w:val="231F1F"/>
          <w:w w:val="105"/>
        </w:rPr>
        <w:t> dos</w:t>
      </w:r>
      <w:r>
        <w:rPr>
          <w:color w:val="231F1F"/>
          <w:w w:val="105"/>
        </w:rPr>
        <w:t> estudios</w:t>
      </w:r>
      <w:r>
        <w:rPr>
          <w:color w:val="231F1F"/>
          <w:w w:val="105"/>
        </w:rPr>
        <w:t> encuentran</w:t>
      </w:r>
      <w:r>
        <w:rPr>
          <w:color w:val="231F1F"/>
          <w:w w:val="105"/>
        </w:rPr>
        <w:t> una</w:t>
      </w:r>
      <w:r>
        <w:rPr>
          <w:color w:val="231F1F"/>
          <w:w w:val="105"/>
        </w:rPr>
        <w:t> reducción</w:t>
      </w:r>
      <w:r>
        <w:rPr>
          <w:color w:val="231F1F"/>
          <w:w w:val="105"/>
        </w:rPr>
        <w:t> significativa</w:t>
      </w:r>
      <w:r>
        <w:rPr>
          <w:color w:val="231F1F"/>
          <w:w w:val="105"/>
        </w:rPr>
        <w:t> en</w:t>
      </w:r>
      <w:r>
        <w:rPr>
          <w:color w:val="231F1F"/>
          <w:w w:val="105"/>
        </w:rPr>
        <w:t> la</w:t>
      </w:r>
      <w:r>
        <w:rPr>
          <w:color w:val="231F1F"/>
          <w:w w:val="105"/>
        </w:rPr>
        <w:t> duración</w:t>
      </w:r>
      <w:r>
        <w:rPr>
          <w:color w:val="231F1F"/>
          <w:w w:val="105"/>
        </w:rPr>
        <w:t> del parto</w:t>
      </w:r>
      <w:r>
        <w:rPr>
          <w:color w:val="231F1F"/>
          <w:w w:val="105"/>
        </w:rPr>
        <w:t> a</w:t>
      </w:r>
      <w:r>
        <w:rPr>
          <w:color w:val="231F1F"/>
          <w:w w:val="105"/>
        </w:rPr>
        <w:t> favor</w:t>
      </w:r>
      <w:r>
        <w:rPr>
          <w:color w:val="231F1F"/>
          <w:w w:val="105"/>
        </w:rPr>
        <w:t> de</w:t>
      </w:r>
      <w:r>
        <w:rPr>
          <w:color w:val="231F1F"/>
          <w:w w:val="105"/>
        </w:rPr>
        <w:t> las</w:t>
      </w:r>
      <w:r>
        <w:rPr>
          <w:color w:val="231F1F"/>
          <w:w w:val="105"/>
        </w:rPr>
        <w:t> posiciones</w:t>
      </w:r>
      <w:r>
        <w:rPr>
          <w:color w:val="231F1F"/>
          <w:w w:val="105"/>
        </w:rPr>
        <w:t> verticales.</w:t>
      </w:r>
      <w:r>
        <w:rPr>
          <w:color w:val="231F1F"/>
          <w:w w:val="105"/>
        </w:rPr>
        <w:t> Los</w:t>
      </w:r>
      <w:r>
        <w:rPr>
          <w:color w:val="231F1F"/>
          <w:w w:val="105"/>
        </w:rPr>
        <w:t> datos</w:t>
      </w:r>
      <w:r>
        <w:rPr>
          <w:color w:val="231F1F"/>
          <w:w w:val="105"/>
        </w:rPr>
        <w:t> sobre</w:t>
      </w:r>
      <w:r>
        <w:rPr>
          <w:color w:val="231F1F"/>
          <w:w w:val="105"/>
        </w:rPr>
        <w:t> trauma</w:t>
      </w:r>
      <w:r>
        <w:rPr>
          <w:color w:val="231F1F"/>
          <w:w w:val="105"/>
        </w:rPr>
        <w:t> perineal, hemorragia</w:t>
      </w:r>
      <w:r>
        <w:rPr>
          <w:color w:val="231F1F"/>
          <w:w w:val="105"/>
        </w:rPr>
        <w:t> posparto,</w:t>
      </w:r>
      <w:r>
        <w:rPr>
          <w:color w:val="231F1F"/>
          <w:w w:val="105"/>
        </w:rPr>
        <w:t> satisfacción</w:t>
      </w:r>
      <w:r>
        <w:rPr>
          <w:color w:val="231F1F"/>
          <w:w w:val="105"/>
        </w:rPr>
        <w:t> materna</w:t>
      </w:r>
      <w:r>
        <w:rPr>
          <w:color w:val="231F1F"/>
          <w:w w:val="105"/>
        </w:rPr>
        <w:t> y</w:t>
      </w:r>
      <w:r>
        <w:rPr>
          <w:color w:val="231F1F"/>
          <w:w w:val="105"/>
        </w:rPr>
        <w:t> bienestar</w:t>
      </w:r>
      <w:r>
        <w:rPr>
          <w:color w:val="231F1F"/>
          <w:w w:val="105"/>
        </w:rPr>
        <w:t> del</w:t>
      </w:r>
      <w:r>
        <w:rPr>
          <w:color w:val="231F1F"/>
          <w:w w:val="105"/>
        </w:rPr>
        <w:t> niño,</w:t>
      </w:r>
      <w:r>
        <w:rPr>
          <w:color w:val="231F1F"/>
          <w:w w:val="105"/>
        </w:rPr>
        <w:t> fueron</w:t>
      </w:r>
      <w:r>
        <w:rPr>
          <w:color w:val="231F1F"/>
          <w:w w:val="105"/>
        </w:rPr>
        <w:t> insu- ficientes para poder obtener conclusiones.</w:t>
      </w:r>
    </w:p>
    <w:p>
      <w:pPr>
        <w:pStyle w:val="BodyText"/>
        <w:spacing w:line="254" w:lineRule="auto" w:before="49"/>
        <w:ind w:left="283" w:right="6" w:firstLine="453"/>
        <w:jc w:val="both"/>
      </w:pP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guía</w:t>
      </w:r>
      <w:r>
        <w:rPr>
          <w:color w:val="231F1F"/>
          <w:spacing w:val="-12"/>
          <w:w w:val="110"/>
        </w:rPr>
        <w:t> </w:t>
      </w:r>
      <w:r>
        <w:rPr>
          <w:color w:val="231F1F"/>
          <w:w w:val="110"/>
        </w:rPr>
        <w:t>también</w:t>
      </w:r>
      <w:r>
        <w:rPr>
          <w:color w:val="231F1F"/>
          <w:spacing w:val="-12"/>
          <w:w w:val="110"/>
        </w:rPr>
        <w:t> </w:t>
      </w:r>
      <w:r>
        <w:rPr>
          <w:color w:val="231F1F"/>
          <w:w w:val="110"/>
        </w:rPr>
        <w:t>se</w:t>
      </w:r>
      <w:r>
        <w:rPr>
          <w:color w:val="231F1F"/>
          <w:spacing w:val="-12"/>
          <w:w w:val="110"/>
        </w:rPr>
        <w:t> </w:t>
      </w:r>
      <w:r>
        <w:rPr>
          <w:color w:val="231F1F"/>
          <w:w w:val="110"/>
        </w:rPr>
        <w:t>incluye</w:t>
      </w:r>
      <w:r>
        <w:rPr>
          <w:color w:val="231F1F"/>
          <w:spacing w:val="-12"/>
          <w:w w:val="110"/>
        </w:rPr>
        <w:t> </w:t>
      </w:r>
      <w:r>
        <w:rPr>
          <w:color w:val="231F1F"/>
          <w:w w:val="110"/>
        </w:rPr>
        <w:t>otro</w:t>
      </w:r>
      <w:r>
        <w:rPr>
          <w:color w:val="231F1F"/>
          <w:spacing w:val="-12"/>
          <w:w w:val="110"/>
        </w:rPr>
        <w:t> </w:t>
      </w:r>
      <w:r>
        <w:rPr>
          <w:color w:val="231F1F"/>
          <w:w w:val="110"/>
        </w:rPr>
        <w:t>ECA</w:t>
      </w:r>
      <w:r>
        <w:rPr>
          <w:color w:val="231F1F"/>
          <w:spacing w:val="-11"/>
          <w:w w:val="110"/>
        </w:rPr>
        <w:t> </w:t>
      </w:r>
      <w:r>
        <w:rPr>
          <w:color w:val="231F1F"/>
          <w:w w:val="110"/>
        </w:rPr>
        <w:t>realizado</w:t>
      </w:r>
      <w:r>
        <w:rPr>
          <w:color w:val="231F1F"/>
          <w:spacing w:val="-12"/>
          <w:w w:val="110"/>
        </w:rPr>
        <w:t> </w:t>
      </w:r>
      <w:r>
        <w:rPr>
          <w:color w:val="231F1F"/>
          <w:w w:val="110"/>
        </w:rPr>
        <w:t>en</w:t>
      </w:r>
      <w:r>
        <w:rPr>
          <w:color w:val="231F1F"/>
          <w:spacing w:val="-12"/>
          <w:w w:val="110"/>
        </w:rPr>
        <w:t> </w:t>
      </w:r>
      <w:r>
        <w:rPr>
          <w:color w:val="231F1F"/>
          <w:w w:val="110"/>
        </w:rPr>
        <w:t>Reino</w:t>
      </w:r>
      <w:r>
        <w:rPr>
          <w:color w:val="231F1F"/>
          <w:spacing w:val="-12"/>
          <w:w w:val="110"/>
        </w:rPr>
        <w:t> </w:t>
      </w:r>
      <w:r>
        <w:rPr>
          <w:color w:val="231F1F"/>
          <w:w w:val="110"/>
        </w:rPr>
        <w:t>Unido</w:t>
      </w:r>
      <w:r>
        <w:rPr>
          <w:color w:val="231F1F"/>
          <w:spacing w:val="-12"/>
          <w:w w:val="110"/>
        </w:rPr>
        <w:t> </w:t>
      </w:r>
      <w:r>
        <w:rPr>
          <w:color w:val="231F1F"/>
          <w:w w:val="110"/>
        </w:rPr>
        <w:t>en</w:t>
      </w:r>
      <w:r>
        <w:rPr>
          <w:color w:val="231F1F"/>
          <w:spacing w:val="-12"/>
          <w:w w:val="110"/>
        </w:rPr>
        <w:t> </w:t>
      </w:r>
      <w:r>
        <w:rPr>
          <w:color w:val="231F1F"/>
          <w:w w:val="110"/>
        </w:rPr>
        <w:t>el </w:t>
      </w:r>
      <w:r>
        <w:rPr>
          <w:color w:val="231F1F"/>
        </w:rPr>
        <w:t>año 2004 (131). En éste se comparaban </w:t>
      </w:r>
      <w:r>
        <w:rPr>
          <w:i/>
          <w:color w:val="231F1F"/>
        </w:rPr>
        <w:t>la posición lateral </w:t>
      </w:r>
      <w:r>
        <w:rPr>
          <w:color w:val="231F1F"/>
        </w:rPr>
        <w:t>(n=49) </w:t>
      </w:r>
      <w:r>
        <w:rPr>
          <w:i/>
          <w:color w:val="231F1F"/>
        </w:rPr>
        <w:t>frente a sen- </w:t>
      </w:r>
      <w:r>
        <w:rPr>
          <w:i/>
          <w:color w:val="231F1F"/>
          <w:w w:val="110"/>
        </w:rPr>
        <w:t>tada</w:t>
      </w:r>
      <w:r>
        <w:rPr>
          <w:i/>
          <w:color w:val="231F1F"/>
          <w:spacing w:val="-16"/>
          <w:w w:val="110"/>
        </w:rPr>
        <w:t> </w:t>
      </w:r>
      <w:r>
        <w:rPr>
          <w:color w:val="231F1F"/>
          <w:w w:val="110"/>
        </w:rPr>
        <w:t>(n=58)</w:t>
      </w:r>
      <w:r>
        <w:rPr>
          <w:color w:val="231F1F"/>
          <w:spacing w:val="-15"/>
          <w:w w:val="110"/>
        </w:rPr>
        <w:t> </w:t>
      </w:r>
      <w:r>
        <w:rPr>
          <w:color w:val="231F1F"/>
          <w:w w:val="110"/>
        </w:rPr>
        <w:t>en</w:t>
      </w:r>
      <w:r>
        <w:rPr>
          <w:color w:val="231F1F"/>
          <w:spacing w:val="-11"/>
          <w:w w:val="110"/>
        </w:rPr>
        <w:t> </w:t>
      </w:r>
      <w:r>
        <w:rPr>
          <w:color w:val="231F1F"/>
          <w:w w:val="110"/>
        </w:rPr>
        <w:t>mujeres</w:t>
      </w:r>
      <w:r>
        <w:rPr>
          <w:color w:val="231F1F"/>
          <w:spacing w:val="-10"/>
          <w:w w:val="110"/>
        </w:rPr>
        <w:t> </w:t>
      </w:r>
      <w:r>
        <w:rPr>
          <w:color w:val="231F1F"/>
          <w:w w:val="110"/>
        </w:rPr>
        <w:t>nulíparas</w:t>
      </w:r>
      <w:r>
        <w:rPr>
          <w:color w:val="231F1F"/>
          <w:spacing w:val="-10"/>
          <w:w w:val="110"/>
        </w:rPr>
        <w:t> </w:t>
      </w:r>
      <w:r>
        <w:rPr>
          <w:color w:val="231F1F"/>
          <w:w w:val="110"/>
        </w:rPr>
        <w:t>con</w:t>
      </w:r>
      <w:r>
        <w:rPr>
          <w:color w:val="231F1F"/>
          <w:spacing w:val="-10"/>
          <w:w w:val="110"/>
        </w:rPr>
        <w:t> </w:t>
      </w:r>
      <w:r>
        <w:rPr>
          <w:color w:val="231F1F"/>
          <w:w w:val="110"/>
        </w:rPr>
        <w:t>anestesia</w:t>
      </w:r>
      <w:r>
        <w:rPr>
          <w:color w:val="231F1F"/>
          <w:spacing w:val="-9"/>
          <w:w w:val="110"/>
        </w:rPr>
        <w:t> </w:t>
      </w:r>
      <w:r>
        <w:rPr>
          <w:color w:val="231F1F"/>
          <w:w w:val="110"/>
        </w:rPr>
        <w:t>epidural</w:t>
      </w:r>
      <w:r>
        <w:rPr>
          <w:color w:val="231F1F"/>
          <w:spacing w:val="-10"/>
          <w:w w:val="110"/>
        </w:rPr>
        <w:t> </w:t>
      </w:r>
      <w:r>
        <w:rPr>
          <w:color w:val="231F1F"/>
          <w:w w:val="110"/>
        </w:rPr>
        <w:t>en</w:t>
      </w:r>
      <w:r>
        <w:rPr>
          <w:color w:val="231F1F"/>
          <w:spacing w:val="-10"/>
          <w:w w:val="110"/>
        </w:rPr>
        <w:t> </w:t>
      </w:r>
      <w:r>
        <w:rPr>
          <w:color w:val="231F1F"/>
          <w:w w:val="110"/>
        </w:rPr>
        <w:t>la</w:t>
      </w:r>
      <w:r>
        <w:rPr>
          <w:color w:val="231F1F"/>
          <w:spacing w:val="-10"/>
          <w:w w:val="110"/>
        </w:rPr>
        <w:t> </w:t>
      </w:r>
      <w:r>
        <w:rPr>
          <w:color w:val="231F1F"/>
          <w:w w:val="110"/>
        </w:rPr>
        <w:t>fase</w:t>
      </w:r>
      <w:r>
        <w:rPr>
          <w:color w:val="231F1F"/>
          <w:spacing w:val="-10"/>
          <w:w w:val="110"/>
        </w:rPr>
        <w:t> </w:t>
      </w:r>
      <w:r>
        <w:rPr>
          <w:color w:val="231F1F"/>
          <w:w w:val="110"/>
        </w:rPr>
        <w:t>pasiva</w:t>
      </w:r>
      <w:r>
        <w:rPr>
          <w:color w:val="231F1F"/>
          <w:spacing w:val="-10"/>
          <w:w w:val="110"/>
        </w:rPr>
        <w:t> </w:t>
      </w:r>
      <w:r>
        <w:rPr>
          <w:color w:val="231F1F"/>
          <w:w w:val="110"/>
        </w:rPr>
        <w:t>de la</w:t>
      </w:r>
      <w:r>
        <w:rPr>
          <w:color w:val="231F1F"/>
          <w:spacing w:val="-4"/>
          <w:w w:val="110"/>
        </w:rPr>
        <w:t> </w:t>
      </w:r>
      <w:r>
        <w:rPr>
          <w:color w:val="231F1F"/>
          <w:w w:val="110"/>
        </w:rPr>
        <w:t>segunda</w:t>
      </w:r>
      <w:r>
        <w:rPr>
          <w:color w:val="231F1F"/>
          <w:spacing w:val="-5"/>
          <w:w w:val="110"/>
        </w:rPr>
        <w:t> </w:t>
      </w:r>
      <w:r>
        <w:rPr>
          <w:color w:val="231F1F"/>
          <w:w w:val="110"/>
        </w:rPr>
        <w:t>etapa</w:t>
      </w:r>
      <w:r>
        <w:rPr>
          <w:color w:val="231F1F"/>
          <w:spacing w:val="-4"/>
          <w:w w:val="110"/>
        </w:rPr>
        <w:t> </w:t>
      </w:r>
      <w:r>
        <w:rPr>
          <w:color w:val="231F1F"/>
          <w:w w:val="110"/>
        </w:rPr>
        <w:t>del</w:t>
      </w:r>
      <w:r>
        <w:rPr>
          <w:color w:val="231F1F"/>
          <w:spacing w:val="-5"/>
          <w:w w:val="110"/>
        </w:rPr>
        <w:t> </w:t>
      </w:r>
      <w:r>
        <w:rPr>
          <w:color w:val="231F1F"/>
          <w:w w:val="110"/>
        </w:rPr>
        <w:t>parto.</w:t>
      </w:r>
      <w:r>
        <w:rPr>
          <w:color w:val="231F1F"/>
          <w:spacing w:val="-5"/>
          <w:w w:val="110"/>
        </w:rPr>
        <w:t> </w:t>
      </w:r>
      <w:r>
        <w:rPr>
          <w:color w:val="231F1F"/>
          <w:w w:val="110"/>
        </w:rPr>
        <w:t>Sin</w:t>
      </w:r>
      <w:r>
        <w:rPr>
          <w:color w:val="231F1F"/>
          <w:spacing w:val="-4"/>
          <w:w w:val="110"/>
        </w:rPr>
        <w:t> </w:t>
      </w:r>
      <w:r>
        <w:rPr>
          <w:color w:val="231F1F"/>
          <w:w w:val="110"/>
        </w:rPr>
        <w:t>embargo,</w:t>
      </w:r>
      <w:r>
        <w:rPr>
          <w:color w:val="231F1F"/>
          <w:spacing w:val="-4"/>
          <w:w w:val="110"/>
        </w:rPr>
        <w:t> </w:t>
      </w:r>
      <w:r>
        <w:rPr>
          <w:color w:val="231F1F"/>
          <w:w w:val="110"/>
        </w:rPr>
        <w:t>se</w:t>
      </w:r>
      <w:r>
        <w:rPr>
          <w:color w:val="231F1F"/>
          <w:spacing w:val="-4"/>
          <w:w w:val="110"/>
        </w:rPr>
        <w:t> </w:t>
      </w:r>
      <w:r>
        <w:rPr>
          <w:color w:val="231F1F"/>
          <w:w w:val="110"/>
        </w:rPr>
        <w:t>trata</w:t>
      </w:r>
      <w:r>
        <w:rPr>
          <w:color w:val="231F1F"/>
          <w:spacing w:val="-4"/>
          <w:w w:val="110"/>
        </w:rPr>
        <w:t> </w:t>
      </w:r>
      <w:r>
        <w:rPr>
          <w:color w:val="231F1F"/>
          <w:w w:val="110"/>
        </w:rPr>
        <w:t>de</w:t>
      </w:r>
      <w:r>
        <w:rPr>
          <w:color w:val="231F1F"/>
          <w:spacing w:val="-4"/>
          <w:w w:val="110"/>
        </w:rPr>
        <w:t> </w:t>
      </w:r>
      <w:r>
        <w:rPr>
          <w:color w:val="231F1F"/>
          <w:w w:val="110"/>
        </w:rPr>
        <w:t>un</w:t>
      </w:r>
      <w:r>
        <w:rPr>
          <w:color w:val="231F1F"/>
          <w:spacing w:val="-4"/>
          <w:w w:val="110"/>
        </w:rPr>
        <w:t> </w:t>
      </w:r>
      <w:r>
        <w:rPr>
          <w:color w:val="231F1F"/>
          <w:w w:val="110"/>
        </w:rPr>
        <w:t>ensayo</w:t>
      </w:r>
      <w:r>
        <w:rPr>
          <w:color w:val="231F1F"/>
          <w:spacing w:val="-3"/>
          <w:w w:val="110"/>
        </w:rPr>
        <w:t> </w:t>
      </w:r>
      <w:r>
        <w:rPr>
          <w:color w:val="231F1F"/>
          <w:w w:val="110"/>
        </w:rPr>
        <w:t>que</w:t>
      </w:r>
      <w:r>
        <w:rPr>
          <w:color w:val="231F1F"/>
          <w:spacing w:val="-4"/>
          <w:w w:val="110"/>
        </w:rPr>
        <w:t> </w:t>
      </w:r>
      <w:r>
        <w:rPr>
          <w:color w:val="231F1F"/>
          <w:w w:val="110"/>
        </w:rPr>
        <w:t>presenta </w:t>
      </w:r>
      <w:r>
        <w:rPr>
          <w:color w:val="231F1F"/>
        </w:rPr>
        <w:t>debilidades metodológicas como un tamaño muestral insuficiente por dificul- </w:t>
      </w:r>
      <w:r>
        <w:rPr>
          <w:color w:val="231F1F"/>
          <w:w w:val="110"/>
        </w:rPr>
        <w:t>tades durante el</w:t>
      </w:r>
      <w:r>
        <w:rPr>
          <w:color w:val="231F1F"/>
          <w:spacing w:val="-1"/>
          <w:w w:val="110"/>
        </w:rPr>
        <w:t> </w:t>
      </w:r>
      <w:r>
        <w:rPr>
          <w:color w:val="231F1F"/>
          <w:w w:val="110"/>
        </w:rPr>
        <w:t>reclutamiento y diferencias en los grupos de comparación, por lo que sus resultados tienen un alto riesgo de sesgos.</w:t>
      </w:r>
    </w:p>
    <w:p>
      <w:pPr>
        <w:pStyle w:val="BodyText"/>
        <w:spacing w:line="252" w:lineRule="auto" w:before="77"/>
        <w:ind w:left="283" w:right="1" w:firstLine="453"/>
        <w:jc w:val="both"/>
      </w:pPr>
      <w:r>
        <w:rPr>
          <w:color w:val="231F1F"/>
          <w:w w:val="110"/>
        </w:rPr>
        <w:t>Los</w:t>
      </w:r>
      <w:r>
        <w:rPr>
          <w:color w:val="231F1F"/>
          <w:spacing w:val="-12"/>
          <w:w w:val="110"/>
        </w:rPr>
        <w:t> </w:t>
      </w:r>
      <w:r>
        <w:rPr>
          <w:color w:val="231F1F"/>
          <w:w w:val="110"/>
        </w:rPr>
        <w:t>resultados</w:t>
      </w:r>
      <w:r>
        <w:rPr>
          <w:color w:val="231F1F"/>
          <w:spacing w:val="-12"/>
          <w:w w:val="110"/>
        </w:rPr>
        <w:t> </w:t>
      </w:r>
      <w:r>
        <w:rPr>
          <w:color w:val="231F1F"/>
          <w:w w:val="110"/>
        </w:rPr>
        <w:t>reflejaron</w:t>
      </w:r>
      <w:r>
        <w:rPr>
          <w:color w:val="231F1F"/>
          <w:spacing w:val="-12"/>
          <w:w w:val="110"/>
        </w:rPr>
        <w:t> </w:t>
      </w:r>
      <w:r>
        <w:rPr>
          <w:color w:val="231F1F"/>
          <w:w w:val="110"/>
        </w:rPr>
        <w:t>que</w:t>
      </w:r>
      <w:r>
        <w:rPr>
          <w:color w:val="231F1F"/>
          <w:spacing w:val="-12"/>
          <w:w w:val="110"/>
        </w:rPr>
        <w:t> </w:t>
      </w:r>
      <w:r>
        <w:rPr>
          <w:color w:val="231F1F"/>
          <w:w w:val="110"/>
        </w:rPr>
        <w:t>las</w:t>
      </w:r>
      <w:r>
        <w:rPr>
          <w:color w:val="231F1F"/>
          <w:spacing w:val="-12"/>
          <w:w w:val="110"/>
        </w:rPr>
        <w:t> </w:t>
      </w:r>
      <w:r>
        <w:rPr>
          <w:color w:val="231F1F"/>
          <w:w w:val="110"/>
        </w:rPr>
        <w:t>mujeres</w:t>
      </w:r>
      <w:r>
        <w:rPr>
          <w:color w:val="231F1F"/>
          <w:spacing w:val="-12"/>
          <w:w w:val="110"/>
        </w:rPr>
        <w:t> </w:t>
      </w:r>
      <w:r>
        <w:rPr>
          <w:color w:val="231F1F"/>
          <w:w w:val="110"/>
        </w:rPr>
        <w:t>en</w:t>
      </w:r>
      <w:r>
        <w:rPr>
          <w:color w:val="231F1F"/>
          <w:spacing w:val="-12"/>
          <w:w w:val="110"/>
        </w:rPr>
        <w:t> </w:t>
      </w:r>
      <w:r>
        <w:rPr>
          <w:color w:val="231F1F"/>
          <w:w w:val="110"/>
        </w:rPr>
        <w:t>posición</w:t>
      </w:r>
      <w:r>
        <w:rPr>
          <w:color w:val="231F1F"/>
          <w:spacing w:val="-12"/>
          <w:w w:val="110"/>
        </w:rPr>
        <w:t> </w:t>
      </w:r>
      <w:r>
        <w:rPr>
          <w:color w:val="231F1F"/>
          <w:w w:val="110"/>
        </w:rPr>
        <w:t>lateral</w:t>
      </w:r>
      <w:r>
        <w:rPr>
          <w:color w:val="231F1F"/>
          <w:spacing w:val="-13"/>
          <w:w w:val="110"/>
        </w:rPr>
        <w:t> </w:t>
      </w:r>
      <w:r>
        <w:rPr>
          <w:color w:val="231F1F"/>
          <w:w w:val="110"/>
        </w:rPr>
        <w:t>tenían</w:t>
      </w:r>
      <w:r>
        <w:rPr>
          <w:color w:val="231F1F"/>
          <w:spacing w:val="-12"/>
          <w:w w:val="110"/>
        </w:rPr>
        <w:t> </w:t>
      </w:r>
      <w:r>
        <w:rPr>
          <w:color w:val="231F1F"/>
          <w:w w:val="110"/>
        </w:rPr>
        <w:t>me- nores</w:t>
      </w:r>
      <w:r>
        <w:rPr>
          <w:color w:val="231F1F"/>
          <w:w w:val="110"/>
        </w:rPr>
        <w:t> tasas</w:t>
      </w:r>
      <w:r>
        <w:rPr>
          <w:color w:val="231F1F"/>
          <w:w w:val="110"/>
        </w:rPr>
        <w:t> de</w:t>
      </w:r>
      <w:r>
        <w:rPr>
          <w:color w:val="231F1F"/>
          <w:w w:val="110"/>
        </w:rPr>
        <w:t> nacimientos</w:t>
      </w:r>
      <w:r>
        <w:rPr>
          <w:color w:val="231F1F"/>
          <w:w w:val="110"/>
        </w:rPr>
        <w:t> instrumentales</w:t>
      </w:r>
      <w:r>
        <w:rPr>
          <w:color w:val="231F1F"/>
          <w:w w:val="110"/>
        </w:rPr>
        <w:t> con</w:t>
      </w:r>
      <w:r>
        <w:rPr>
          <w:color w:val="231F1F"/>
          <w:w w:val="110"/>
        </w:rPr>
        <w:t> una</w:t>
      </w:r>
      <w:r>
        <w:rPr>
          <w:color w:val="231F1F"/>
          <w:w w:val="110"/>
        </w:rPr>
        <w:t> reducción</w:t>
      </w:r>
      <w:r>
        <w:rPr>
          <w:color w:val="231F1F"/>
          <w:w w:val="110"/>
        </w:rPr>
        <w:t> asociada</w:t>
      </w:r>
      <w:r>
        <w:rPr>
          <w:color w:val="231F1F"/>
          <w:w w:val="110"/>
        </w:rPr>
        <w:t> de episiotomías,</w:t>
      </w:r>
      <w:r>
        <w:rPr>
          <w:color w:val="231F1F"/>
          <w:w w:val="110"/>
        </w:rPr>
        <w:t> aunque</w:t>
      </w:r>
      <w:r>
        <w:rPr>
          <w:color w:val="231F1F"/>
          <w:w w:val="110"/>
        </w:rPr>
        <w:t> no</w:t>
      </w:r>
      <w:r>
        <w:rPr>
          <w:color w:val="231F1F"/>
          <w:w w:val="110"/>
        </w:rPr>
        <w:t> había</w:t>
      </w:r>
      <w:r>
        <w:rPr>
          <w:color w:val="231F1F"/>
          <w:w w:val="110"/>
        </w:rPr>
        <w:t> diferencias</w:t>
      </w:r>
      <w:r>
        <w:rPr>
          <w:color w:val="231F1F"/>
          <w:w w:val="110"/>
        </w:rPr>
        <w:t> estadísticamente</w:t>
      </w:r>
      <w:r>
        <w:rPr>
          <w:color w:val="231F1F"/>
          <w:w w:val="110"/>
        </w:rPr>
        <w:t> significativas. </w:t>
      </w:r>
      <w:r>
        <w:rPr>
          <w:color w:val="231F1F"/>
        </w:rPr>
        <w:t>Además</w:t>
      </w:r>
      <w:r>
        <w:rPr>
          <w:color w:val="231F1F"/>
          <w:spacing w:val="32"/>
        </w:rPr>
        <w:t> </w:t>
      </w:r>
      <w:r>
        <w:rPr>
          <w:color w:val="231F1F"/>
        </w:rPr>
        <w:t>no</w:t>
      </w:r>
      <w:r>
        <w:rPr>
          <w:color w:val="231F1F"/>
          <w:spacing w:val="33"/>
        </w:rPr>
        <w:t> </w:t>
      </w:r>
      <w:r>
        <w:rPr>
          <w:color w:val="231F1F"/>
        </w:rPr>
        <w:t>se</w:t>
      </w:r>
      <w:r>
        <w:rPr>
          <w:color w:val="231F1F"/>
          <w:spacing w:val="32"/>
        </w:rPr>
        <w:t> </w:t>
      </w:r>
      <w:r>
        <w:rPr>
          <w:color w:val="231F1F"/>
        </w:rPr>
        <w:t>observaron</w:t>
      </w:r>
      <w:r>
        <w:rPr>
          <w:color w:val="231F1F"/>
          <w:spacing w:val="33"/>
        </w:rPr>
        <w:t> </w:t>
      </w:r>
      <w:r>
        <w:rPr>
          <w:color w:val="231F1F"/>
        </w:rPr>
        <w:t>diferencias</w:t>
      </w:r>
      <w:r>
        <w:rPr>
          <w:color w:val="231F1F"/>
          <w:spacing w:val="33"/>
        </w:rPr>
        <w:t> </w:t>
      </w:r>
      <w:r>
        <w:rPr>
          <w:color w:val="231F1F"/>
        </w:rPr>
        <w:t>en</w:t>
      </w:r>
      <w:r>
        <w:rPr>
          <w:color w:val="231F1F"/>
          <w:spacing w:val="32"/>
        </w:rPr>
        <w:t> </w:t>
      </w:r>
      <w:r>
        <w:rPr>
          <w:color w:val="231F1F"/>
        </w:rPr>
        <w:t>las</w:t>
      </w:r>
      <w:r>
        <w:rPr>
          <w:color w:val="231F1F"/>
          <w:spacing w:val="33"/>
        </w:rPr>
        <w:t> </w:t>
      </w:r>
      <w:r>
        <w:rPr>
          <w:color w:val="231F1F"/>
        </w:rPr>
        <w:t>tasas</w:t>
      </w:r>
      <w:r>
        <w:rPr>
          <w:color w:val="231F1F"/>
          <w:spacing w:val="33"/>
        </w:rPr>
        <w:t> </w:t>
      </w:r>
      <w:r>
        <w:rPr>
          <w:color w:val="231F1F"/>
        </w:rPr>
        <w:t>globales</w:t>
      </w:r>
      <w:r>
        <w:rPr>
          <w:color w:val="231F1F"/>
          <w:spacing w:val="32"/>
        </w:rPr>
        <w:t> </w:t>
      </w:r>
      <w:r>
        <w:rPr>
          <w:color w:val="231F1F"/>
        </w:rPr>
        <w:t>de</w:t>
      </w:r>
      <w:r>
        <w:rPr>
          <w:color w:val="231F1F"/>
          <w:spacing w:val="33"/>
        </w:rPr>
        <w:t> </w:t>
      </w:r>
      <w:r>
        <w:rPr>
          <w:color w:val="231F1F"/>
        </w:rPr>
        <w:t>trauma</w:t>
      </w:r>
      <w:r>
        <w:rPr>
          <w:color w:val="231F1F"/>
          <w:spacing w:val="32"/>
        </w:rPr>
        <w:t> </w:t>
      </w:r>
      <w:r>
        <w:rPr>
          <w:color w:val="231F1F"/>
        </w:rPr>
        <w:t>perineal.</w:t>
      </w:r>
    </w:p>
    <w:p>
      <w:pPr>
        <w:pStyle w:val="BodyText"/>
        <w:spacing w:line="252" w:lineRule="auto" w:before="56"/>
        <w:ind w:left="283" w:firstLine="453"/>
        <w:jc w:val="both"/>
      </w:pPr>
      <w:r>
        <w:rPr>
          <w:color w:val="231F1F"/>
          <w:w w:val="105"/>
        </w:rPr>
        <w:t>En</w:t>
      </w:r>
      <w:r>
        <w:rPr>
          <w:color w:val="231F1F"/>
          <w:spacing w:val="26"/>
          <w:w w:val="105"/>
        </w:rPr>
        <w:t> </w:t>
      </w:r>
      <w:r>
        <w:rPr>
          <w:color w:val="231F1F"/>
          <w:w w:val="105"/>
        </w:rPr>
        <w:t>otro</w:t>
      </w:r>
      <w:r>
        <w:rPr>
          <w:color w:val="231F1F"/>
          <w:spacing w:val="26"/>
          <w:w w:val="105"/>
        </w:rPr>
        <w:t> </w:t>
      </w:r>
      <w:r>
        <w:rPr>
          <w:color w:val="231F1F"/>
          <w:w w:val="105"/>
        </w:rPr>
        <w:t>capítulo</w:t>
      </w:r>
      <w:r>
        <w:rPr>
          <w:color w:val="231F1F"/>
          <w:spacing w:val="26"/>
          <w:w w:val="105"/>
        </w:rPr>
        <w:t> </w:t>
      </w:r>
      <w:r>
        <w:rPr>
          <w:color w:val="231F1F"/>
          <w:w w:val="105"/>
        </w:rPr>
        <w:t>de</w:t>
      </w:r>
      <w:r>
        <w:rPr>
          <w:color w:val="231F1F"/>
          <w:spacing w:val="26"/>
          <w:w w:val="105"/>
        </w:rPr>
        <w:t> </w:t>
      </w:r>
      <w:r>
        <w:rPr>
          <w:color w:val="231F1F"/>
          <w:w w:val="105"/>
        </w:rPr>
        <w:t>la</w:t>
      </w:r>
      <w:r>
        <w:rPr>
          <w:color w:val="231F1F"/>
          <w:spacing w:val="26"/>
          <w:w w:val="105"/>
        </w:rPr>
        <w:t> </w:t>
      </w:r>
      <w:r>
        <w:rPr>
          <w:color w:val="231F1F"/>
          <w:w w:val="105"/>
        </w:rPr>
        <w:t>guía</w:t>
      </w:r>
      <w:r>
        <w:rPr>
          <w:color w:val="231F1F"/>
          <w:spacing w:val="26"/>
          <w:w w:val="105"/>
        </w:rPr>
        <w:t> </w:t>
      </w:r>
      <w:r>
        <w:rPr>
          <w:color w:val="231F1F"/>
          <w:w w:val="105"/>
        </w:rPr>
        <w:t>NICE</w:t>
      </w:r>
      <w:r>
        <w:rPr>
          <w:color w:val="231F1F"/>
          <w:spacing w:val="26"/>
          <w:w w:val="105"/>
        </w:rPr>
        <w:t> </w:t>
      </w:r>
      <w:r>
        <w:rPr>
          <w:color w:val="231F1F"/>
          <w:w w:val="105"/>
        </w:rPr>
        <w:t>(10)</w:t>
      </w:r>
      <w:r>
        <w:rPr>
          <w:color w:val="231F1F"/>
          <w:spacing w:val="26"/>
          <w:w w:val="105"/>
        </w:rPr>
        <w:t> </w:t>
      </w:r>
      <w:r>
        <w:rPr>
          <w:color w:val="231F1F"/>
          <w:w w:val="105"/>
        </w:rPr>
        <w:t>(prevención</w:t>
      </w:r>
      <w:r>
        <w:rPr>
          <w:color w:val="231F1F"/>
          <w:spacing w:val="26"/>
          <w:w w:val="105"/>
        </w:rPr>
        <w:t> </w:t>
      </w:r>
      <w:r>
        <w:rPr>
          <w:color w:val="231F1F"/>
          <w:w w:val="105"/>
        </w:rPr>
        <w:t>del trauma</w:t>
      </w:r>
      <w:r>
        <w:rPr>
          <w:color w:val="231F1F"/>
          <w:spacing w:val="26"/>
          <w:w w:val="105"/>
        </w:rPr>
        <w:t> </w:t>
      </w:r>
      <w:r>
        <w:rPr>
          <w:color w:val="231F1F"/>
          <w:w w:val="105"/>
        </w:rPr>
        <w:t>genital), se</w:t>
      </w:r>
      <w:r>
        <w:rPr>
          <w:color w:val="231F1F"/>
          <w:spacing w:val="-4"/>
          <w:w w:val="105"/>
        </w:rPr>
        <w:t> </w:t>
      </w:r>
      <w:r>
        <w:rPr>
          <w:color w:val="231F1F"/>
          <w:w w:val="105"/>
        </w:rPr>
        <w:t>ha</w:t>
      </w:r>
      <w:r>
        <w:rPr>
          <w:color w:val="231F1F"/>
          <w:spacing w:val="-4"/>
          <w:w w:val="105"/>
        </w:rPr>
        <w:t> </w:t>
      </w:r>
      <w:r>
        <w:rPr>
          <w:color w:val="231F1F"/>
          <w:w w:val="105"/>
        </w:rPr>
        <w:t>identificado</w:t>
      </w:r>
      <w:r>
        <w:rPr>
          <w:color w:val="231F1F"/>
          <w:spacing w:val="-5"/>
          <w:w w:val="105"/>
        </w:rPr>
        <w:t> </w:t>
      </w:r>
      <w:r>
        <w:rPr>
          <w:color w:val="231F1F"/>
          <w:w w:val="105"/>
        </w:rPr>
        <w:t>un</w:t>
      </w:r>
      <w:r>
        <w:rPr>
          <w:color w:val="231F1F"/>
          <w:spacing w:val="-4"/>
          <w:w w:val="105"/>
        </w:rPr>
        <w:t> </w:t>
      </w:r>
      <w:r>
        <w:rPr>
          <w:color w:val="231F1F"/>
          <w:w w:val="105"/>
        </w:rPr>
        <w:t>ECA</w:t>
      </w:r>
      <w:r>
        <w:rPr>
          <w:color w:val="231F1F"/>
          <w:spacing w:val="-4"/>
          <w:w w:val="105"/>
        </w:rPr>
        <w:t> </w:t>
      </w:r>
      <w:r>
        <w:rPr>
          <w:color w:val="231F1F"/>
          <w:w w:val="105"/>
        </w:rPr>
        <w:t>(132)</w:t>
      </w:r>
      <w:r>
        <w:rPr>
          <w:color w:val="231F1F"/>
          <w:spacing w:val="-4"/>
          <w:w w:val="105"/>
        </w:rPr>
        <w:t> </w:t>
      </w:r>
      <w:r>
        <w:rPr>
          <w:color w:val="231F1F"/>
          <w:w w:val="105"/>
        </w:rPr>
        <w:t>de</w:t>
      </w:r>
      <w:r>
        <w:rPr>
          <w:color w:val="231F1F"/>
          <w:spacing w:val="-4"/>
          <w:w w:val="105"/>
        </w:rPr>
        <w:t> </w:t>
      </w:r>
      <w:r>
        <w:rPr>
          <w:color w:val="231F1F"/>
          <w:w w:val="105"/>
        </w:rPr>
        <w:t>buena</w:t>
      </w:r>
      <w:r>
        <w:rPr>
          <w:color w:val="231F1F"/>
          <w:spacing w:val="-5"/>
          <w:w w:val="105"/>
        </w:rPr>
        <w:t> </w:t>
      </w:r>
      <w:r>
        <w:rPr>
          <w:color w:val="231F1F"/>
          <w:w w:val="105"/>
        </w:rPr>
        <w:t>calidad</w:t>
      </w:r>
      <w:r>
        <w:rPr>
          <w:color w:val="231F1F"/>
          <w:spacing w:val="-4"/>
          <w:w w:val="105"/>
        </w:rPr>
        <w:t> </w:t>
      </w:r>
      <w:r>
        <w:rPr>
          <w:color w:val="231F1F"/>
          <w:w w:val="105"/>
        </w:rPr>
        <w:t>en</w:t>
      </w:r>
      <w:r>
        <w:rPr>
          <w:color w:val="231F1F"/>
          <w:spacing w:val="-4"/>
          <w:w w:val="105"/>
        </w:rPr>
        <w:t> </w:t>
      </w:r>
      <w:r>
        <w:rPr>
          <w:color w:val="231F1F"/>
          <w:w w:val="105"/>
        </w:rPr>
        <w:t>el</w:t>
      </w:r>
      <w:r>
        <w:rPr>
          <w:color w:val="231F1F"/>
          <w:spacing w:val="-4"/>
          <w:w w:val="105"/>
        </w:rPr>
        <w:t> </w:t>
      </w:r>
      <w:r>
        <w:rPr>
          <w:color w:val="231F1F"/>
          <w:w w:val="105"/>
        </w:rPr>
        <w:t>que</w:t>
      </w:r>
      <w:r>
        <w:rPr>
          <w:color w:val="231F1F"/>
          <w:spacing w:val="-4"/>
          <w:w w:val="105"/>
        </w:rPr>
        <w:t> </w:t>
      </w:r>
      <w:r>
        <w:rPr>
          <w:color w:val="231F1F"/>
          <w:w w:val="105"/>
        </w:rPr>
        <w:t>incluyeron</w:t>
      </w:r>
      <w:r>
        <w:rPr>
          <w:color w:val="231F1F"/>
          <w:spacing w:val="-5"/>
          <w:w w:val="105"/>
        </w:rPr>
        <w:t> </w:t>
      </w:r>
      <w:r>
        <w:rPr>
          <w:color w:val="231F1F"/>
          <w:w w:val="105"/>
        </w:rPr>
        <w:t>a</w:t>
      </w:r>
      <w:r>
        <w:rPr>
          <w:color w:val="231F1F"/>
          <w:spacing w:val="-4"/>
          <w:w w:val="105"/>
        </w:rPr>
        <w:t> </w:t>
      </w:r>
      <w:r>
        <w:rPr>
          <w:color w:val="231F1F"/>
          <w:w w:val="105"/>
        </w:rPr>
        <w:t>1.211 mujeres.</w:t>
      </w:r>
      <w:r>
        <w:rPr>
          <w:color w:val="231F1F"/>
          <w:w w:val="105"/>
        </w:rPr>
        <w:t> El</w:t>
      </w:r>
      <w:r>
        <w:rPr>
          <w:color w:val="231F1F"/>
          <w:w w:val="105"/>
        </w:rPr>
        <w:t> estudió</w:t>
      </w:r>
      <w:r>
        <w:rPr>
          <w:color w:val="231F1F"/>
          <w:w w:val="105"/>
        </w:rPr>
        <w:t> evaluó</w:t>
      </w:r>
      <w:r>
        <w:rPr>
          <w:color w:val="231F1F"/>
          <w:w w:val="105"/>
        </w:rPr>
        <w:t> diferentes</w:t>
      </w:r>
      <w:r>
        <w:rPr>
          <w:color w:val="231F1F"/>
          <w:w w:val="105"/>
        </w:rPr>
        <w:t> intervenciones</w:t>
      </w:r>
      <w:r>
        <w:rPr>
          <w:color w:val="231F1F"/>
          <w:w w:val="105"/>
        </w:rPr>
        <w:t> (manuales)</w:t>
      </w:r>
      <w:r>
        <w:rPr>
          <w:color w:val="231F1F"/>
          <w:w w:val="105"/>
        </w:rPr>
        <w:t> para</w:t>
      </w:r>
      <w:r>
        <w:rPr>
          <w:color w:val="231F1F"/>
          <w:w w:val="105"/>
        </w:rPr>
        <w:t> la</w:t>
      </w:r>
      <w:r>
        <w:rPr>
          <w:color w:val="231F1F"/>
          <w:w w:val="105"/>
        </w:rPr>
        <w:t> pre- vención</w:t>
      </w:r>
      <w:r>
        <w:rPr>
          <w:color w:val="231F1F"/>
          <w:w w:val="105"/>
        </w:rPr>
        <w:t> del</w:t>
      </w:r>
      <w:r>
        <w:rPr>
          <w:color w:val="231F1F"/>
          <w:w w:val="105"/>
        </w:rPr>
        <w:t> trauma</w:t>
      </w:r>
      <w:r>
        <w:rPr>
          <w:color w:val="231F1F"/>
          <w:w w:val="105"/>
        </w:rPr>
        <w:t> genital,</w:t>
      </w:r>
      <w:r>
        <w:rPr>
          <w:color w:val="231F1F"/>
          <w:w w:val="105"/>
        </w:rPr>
        <w:t> además</w:t>
      </w:r>
      <w:r>
        <w:rPr>
          <w:color w:val="231F1F"/>
          <w:w w:val="105"/>
        </w:rPr>
        <w:t> de</w:t>
      </w:r>
      <w:r>
        <w:rPr>
          <w:color w:val="231F1F"/>
          <w:w w:val="105"/>
        </w:rPr>
        <w:t> realizar</w:t>
      </w:r>
      <w:r>
        <w:rPr>
          <w:color w:val="231F1F"/>
          <w:w w:val="105"/>
        </w:rPr>
        <w:t> una</w:t>
      </w:r>
      <w:r>
        <w:rPr>
          <w:color w:val="231F1F"/>
          <w:w w:val="105"/>
        </w:rPr>
        <w:t> regresión</w:t>
      </w:r>
      <w:r>
        <w:rPr>
          <w:color w:val="231F1F"/>
          <w:w w:val="105"/>
        </w:rPr>
        <w:t> logística</w:t>
      </w:r>
      <w:r>
        <w:rPr>
          <w:color w:val="231F1F"/>
          <w:w w:val="105"/>
        </w:rPr>
        <w:t> para evaluar el pronóstico de los factores clínicos potencialmente relacionados con el trauma genital.</w:t>
      </w:r>
    </w:p>
    <w:p>
      <w:pPr>
        <w:pStyle w:val="BodyText"/>
        <w:spacing w:line="252" w:lineRule="auto" w:before="76"/>
        <w:ind w:left="283" w:firstLine="453"/>
        <w:jc w:val="both"/>
      </w:pPr>
      <w:r>
        <w:rPr>
          <w:color w:val="231F1F"/>
          <w:w w:val="110"/>
        </w:rPr>
        <w:t>El</w:t>
      </w:r>
      <w:r>
        <w:rPr>
          <w:color w:val="231F1F"/>
          <w:spacing w:val="-16"/>
          <w:w w:val="110"/>
        </w:rPr>
        <w:t> </w:t>
      </w:r>
      <w:r>
        <w:rPr>
          <w:color w:val="231F1F"/>
          <w:w w:val="110"/>
        </w:rPr>
        <w:t>análisis</w:t>
      </w:r>
      <w:r>
        <w:rPr>
          <w:color w:val="231F1F"/>
          <w:spacing w:val="-15"/>
          <w:w w:val="110"/>
        </w:rPr>
        <w:t> </w:t>
      </w:r>
      <w:r>
        <w:rPr>
          <w:color w:val="231F1F"/>
          <w:w w:val="110"/>
        </w:rPr>
        <w:t>mostró</w:t>
      </w:r>
      <w:r>
        <w:rPr>
          <w:color w:val="231F1F"/>
          <w:spacing w:val="-15"/>
          <w:w w:val="110"/>
        </w:rPr>
        <w:t> </w:t>
      </w:r>
      <w:r>
        <w:rPr>
          <w:color w:val="231F1F"/>
          <w:w w:val="110"/>
        </w:rPr>
        <w:t>dos</w:t>
      </w:r>
      <w:r>
        <w:rPr>
          <w:color w:val="231F1F"/>
          <w:spacing w:val="-15"/>
          <w:w w:val="110"/>
        </w:rPr>
        <w:t> </w:t>
      </w:r>
      <w:r>
        <w:rPr>
          <w:color w:val="231F1F"/>
          <w:w w:val="110"/>
        </w:rPr>
        <w:t>medidas</w:t>
      </w:r>
      <w:r>
        <w:rPr>
          <w:color w:val="231F1F"/>
          <w:spacing w:val="-15"/>
          <w:w w:val="110"/>
        </w:rPr>
        <w:t> </w:t>
      </w:r>
      <w:r>
        <w:rPr>
          <w:color w:val="231F1F"/>
          <w:w w:val="110"/>
        </w:rPr>
        <w:t>protectoras</w:t>
      </w:r>
      <w:r>
        <w:rPr>
          <w:color w:val="231F1F"/>
          <w:spacing w:val="-15"/>
          <w:w w:val="110"/>
        </w:rPr>
        <w:t> </w:t>
      </w:r>
      <w:r>
        <w:rPr>
          <w:color w:val="231F1F"/>
          <w:w w:val="110"/>
        </w:rPr>
        <w:t>del</w:t>
      </w:r>
      <w:r>
        <w:rPr>
          <w:color w:val="231F1F"/>
          <w:spacing w:val="-15"/>
          <w:w w:val="110"/>
        </w:rPr>
        <w:t> </w:t>
      </w:r>
      <w:r>
        <w:rPr>
          <w:color w:val="231F1F"/>
          <w:w w:val="110"/>
        </w:rPr>
        <w:t>trauma</w:t>
      </w:r>
      <w:r>
        <w:rPr>
          <w:color w:val="231F1F"/>
          <w:spacing w:val="-15"/>
          <w:w w:val="110"/>
        </w:rPr>
        <w:t> </w:t>
      </w:r>
      <w:r>
        <w:rPr>
          <w:color w:val="231F1F"/>
          <w:w w:val="110"/>
        </w:rPr>
        <w:t>perineal</w:t>
      </w:r>
      <w:r>
        <w:rPr>
          <w:color w:val="231F1F"/>
          <w:spacing w:val="-16"/>
          <w:w w:val="110"/>
        </w:rPr>
        <w:t> </w:t>
      </w:r>
      <w:r>
        <w:rPr>
          <w:color w:val="231F1F"/>
          <w:w w:val="110"/>
        </w:rPr>
        <w:t>entre</w:t>
      </w:r>
      <w:r>
        <w:rPr>
          <w:color w:val="231F1F"/>
          <w:spacing w:val="-15"/>
          <w:w w:val="110"/>
        </w:rPr>
        <w:t> </w:t>
      </w:r>
      <w:r>
        <w:rPr>
          <w:color w:val="231F1F"/>
          <w:w w:val="110"/>
        </w:rPr>
        <w:t>las que se encontraba la posición sentada: RR 0,68 [IC 95% 0,50 a 0,91), que </w:t>
      </w:r>
      <w:r>
        <w:rPr>
          <w:color w:val="231F1F"/>
        </w:rPr>
        <w:t>además de disminuir la incidencia del trauma genital también proporciona un </w:t>
      </w:r>
      <w:r>
        <w:rPr>
          <w:color w:val="231F1F"/>
          <w:w w:val="110"/>
        </w:rPr>
        <w:t>mayor confort y autonomía de la madre en el nacimiento.</w:t>
      </w:r>
    </w:p>
    <w:p>
      <w:pPr>
        <w:spacing w:line="278" w:lineRule="auto" w:before="124"/>
        <w:ind w:left="459" w:right="507" w:firstLine="0"/>
        <w:jc w:val="center"/>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93"/>
        <w:rPr>
          <w:rFonts w:ascii="Arial MT"/>
          <w:sz w:val="18"/>
        </w:rPr>
      </w:pPr>
    </w:p>
    <w:p>
      <w:pPr>
        <w:spacing w:line="278" w:lineRule="auto" w:before="0"/>
        <w:ind w:left="40" w:right="102"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0" w:right="61"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
        <w:rPr>
          <w:rFonts w:ascii="Arial MT"/>
          <w:sz w:val="18"/>
        </w:rPr>
      </w:pPr>
    </w:p>
    <w:p>
      <w:pPr>
        <w:spacing w:line="273" w:lineRule="auto" w:before="0"/>
        <w:ind w:left="459" w:right="507"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03"/>
        <w:rPr>
          <w:rFonts w:ascii="Arial MT"/>
          <w:sz w:val="18"/>
        </w:rPr>
      </w:pPr>
    </w:p>
    <w:p>
      <w:pPr>
        <w:spacing w:line="278" w:lineRule="auto" w:before="0"/>
        <w:ind w:left="459" w:right="507" w:firstLine="0"/>
        <w:jc w:val="center"/>
        <w:rPr>
          <w:rFonts w:ascii="Arial MT"/>
          <w:sz w:val="18"/>
        </w:rPr>
      </w:pPr>
      <w:r>
        <w:rPr>
          <w:rFonts w:ascii="Arial MT"/>
          <w:color w:val="231F1F"/>
          <w:spacing w:val="-6"/>
          <w:sz w:val="18"/>
        </w:rPr>
        <w:t>ECA 1+</w:t>
      </w:r>
    </w:p>
    <w:p>
      <w:pPr>
        <w:spacing w:after="0" w:line="278" w:lineRule="auto"/>
        <w:jc w:val="center"/>
        <w:rPr>
          <w:rFonts w:ascii="Arial MT"/>
          <w:sz w:val="18"/>
        </w:rPr>
        <w:sectPr>
          <w:pgSz w:w="11900" w:h="16840"/>
          <w:pgMar w:header="0" w:footer="622" w:top="1560" w:bottom="820" w:left="1417" w:right="1559"/>
          <w:cols w:num="2" w:equalWidth="0">
            <w:col w:w="7555" w:space="40"/>
            <w:col w:w="1329"/>
          </w:cols>
        </w:sectPr>
      </w:pPr>
    </w:p>
    <w:p>
      <w:pPr>
        <w:spacing w:before="82"/>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9"/>
          <w:sz w:val="24"/>
        </w:rPr>
        <w:t> </w:t>
      </w:r>
      <w:r>
        <w:rPr>
          <w:rFonts w:ascii="Arial MT" w:hAnsi="Arial MT"/>
          <w:color w:val="231F1F"/>
          <w:sz w:val="24"/>
        </w:rPr>
        <w:t>(2006</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4" w:lineRule="auto" w:before="190"/>
        <w:ind w:left="283" w:right="42"/>
        <w:jc w:val="both"/>
      </w:pPr>
      <w:r>
        <w:rPr>
          <w:color w:val="231F1F"/>
          <w:w w:val="105"/>
        </w:rPr>
        <w:t>En la búsqueda sistemática llevada a cabo para la actualización de la eviden- cia</w:t>
      </w:r>
      <w:r>
        <w:rPr>
          <w:color w:val="231F1F"/>
          <w:spacing w:val="-13"/>
          <w:w w:val="105"/>
        </w:rPr>
        <w:t> </w:t>
      </w:r>
      <w:r>
        <w:rPr>
          <w:color w:val="231F1F"/>
          <w:w w:val="105"/>
        </w:rPr>
        <w:t>se</w:t>
      </w:r>
      <w:r>
        <w:rPr>
          <w:color w:val="231F1F"/>
          <w:spacing w:val="-13"/>
          <w:w w:val="105"/>
        </w:rPr>
        <w:t> </w:t>
      </w:r>
      <w:r>
        <w:rPr>
          <w:color w:val="231F1F"/>
          <w:w w:val="105"/>
        </w:rPr>
        <w:t>seleccionó</w:t>
      </w:r>
      <w:r>
        <w:rPr>
          <w:color w:val="231F1F"/>
          <w:spacing w:val="-14"/>
          <w:w w:val="105"/>
        </w:rPr>
        <w:t> </w:t>
      </w:r>
      <w:r>
        <w:rPr>
          <w:color w:val="231F1F"/>
          <w:w w:val="105"/>
        </w:rPr>
        <w:t>una</w:t>
      </w:r>
      <w:r>
        <w:rPr>
          <w:color w:val="231F1F"/>
          <w:spacing w:val="-13"/>
          <w:w w:val="105"/>
        </w:rPr>
        <w:t> </w:t>
      </w:r>
      <w:r>
        <w:rPr>
          <w:color w:val="231F1F"/>
          <w:w w:val="105"/>
        </w:rPr>
        <w:t>revisión</w:t>
      </w:r>
      <w:r>
        <w:rPr>
          <w:color w:val="231F1F"/>
          <w:spacing w:val="-13"/>
          <w:w w:val="105"/>
        </w:rPr>
        <w:t> </w:t>
      </w:r>
      <w:r>
        <w:rPr>
          <w:color w:val="231F1F"/>
          <w:w w:val="105"/>
        </w:rPr>
        <w:t>realizada</w:t>
      </w:r>
      <w:r>
        <w:rPr>
          <w:color w:val="231F1F"/>
          <w:spacing w:val="-13"/>
          <w:w w:val="105"/>
        </w:rPr>
        <w:t> </w:t>
      </w:r>
      <w:r>
        <w:rPr>
          <w:color w:val="231F1F"/>
          <w:w w:val="105"/>
        </w:rPr>
        <w:t>por</w:t>
      </w:r>
      <w:r>
        <w:rPr>
          <w:color w:val="231F1F"/>
          <w:spacing w:val="-13"/>
          <w:w w:val="105"/>
        </w:rPr>
        <w:t> </w:t>
      </w:r>
      <w:r>
        <w:rPr>
          <w:color w:val="231F1F"/>
          <w:w w:val="105"/>
        </w:rPr>
        <w:t>la</w:t>
      </w:r>
      <w:r>
        <w:rPr>
          <w:color w:val="231F1F"/>
          <w:spacing w:val="-13"/>
          <w:w w:val="105"/>
        </w:rPr>
        <w:t> </w:t>
      </w:r>
      <w:r>
        <w:rPr>
          <w:color w:val="231F1F"/>
          <w:w w:val="105"/>
        </w:rPr>
        <w:t>Agencia</w:t>
      </w:r>
      <w:r>
        <w:rPr>
          <w:color w:val="231F1F"/>
          <w:spacing w:val="-13"/>
          <w:w w:val="105"/>
        </w:rPr>
        <w:t> </w:t>
      </w:r>
      <w:r>
        <w:rPr>
          <w:color w:val="231F1F"/>
          <w:w w:val="105"/>
        </w:rPr>
        <w:t>Andaluza</w:t>
      </w:r>
      <w:r>
        <w:rPr>
          <w:color w:val="231F1F"/>
          <w:spacing w:val="-13"/>
          <w:w w:val="105"/>
        </w:rPr>
        <w:t> </w:t>
      </w:r>
      <w:r>
        <w:rPr>
          <w:color w:val="231F1F"/>
          <w:w w:val="105"/>
        </w:rPr>
        <w:t>de</w:t>
      </w:r>
      <w:r>
        <w:rPr>
          <w:color w:val="231F1F"/>
          <w:spacing w:val="-13"/>
          <w:w w:val="105"/>
        </w:rPr>
        <w:t> </w:t>
      </w:r>
      <w:r>
        <w:rPr>
          <w:color w:val="231F1F"/>
          <w:w w:val="105"/>
        </w:rPr>
        <w:t>Evaluación de Tecnologías Sanitarias (133) en el año 2006.</w:t>
      </w:r>
    </w:p>
    <w:p>
      <w:pPr>
        <w:pStyle w:val="BodyText"/>
        <w:spacing w:line="247" w:lineRule="auto" w:before="104"/>
        <w:ind w:left="283" w:right="38" w:firstLine="453"/>
        <w:jc w:val="both"/>
      </w:pPr>
      <w:r>
        <w:rPr>
          <w:color w:val="231F1F"/>
          <w:w w:val="105"/>
        </w:rPr>
        <w:t>En la revisión se han incluido diez ECAs de alta o media calidad y tiene por</w:t>
      </w:r>
      <w:r>
        <w:rPr>
          <w:color w:val="231F1F"/>
          <w:w w:val="105"/>
        </w:rPr>
        <w:t> objeto</w:t>
      </w:r>
      <w:r>
        <w:rPr>
          <w:color w:val="231F1F"/>
          <w:w w:val="105"/>
        </w:rPr>
        <w:t> determinar</w:t>
      </w:r>
      <w:r>
        <w:rPr>
          <w:color w:val="231F1F"/>
          <w:w w:val="105"/>
        </w:rPr>
        <w:t> si</w:t>
      </w:r>
      <w:r>
        <w:rPr>
          <w:color w:val="231F1F"/>
          <w:w w:val="105"/>
        </w:rPr>
        <w:t> existen</w:t>
      </w:r>
      <w:r>
        <w:rPr>
          <w:color w:val="231F1F"/>
          <w:w w:val="105"/>
        </w:rPr>
        <w:t> diferencias</w:t>
      </w:r>
      <w:r>
        <w:rPr>
          <w:color w:val="231F1F"/>
          <w:w w:val="105"/>
        </w:rPr>
        <w:t> en</w:t>
      </w:r>
      <w:r>
        <w:rPr>
          <w:color w:val="231F1F"/>
          <w:w w:val="105"/>
        </w:rPr>
        <w:t> los</w:t>
      </w:r>
      <w:r>
        <w:rPr>
          <w:color w:val="231F1F"/>
          <w:w w:val="105"/>
        </w:rPr>
        <w:t> resultados</w:t>
      </w:r>
      <w:r>
        <w:rPr>
          <w:color w:val="231F1F"/>
          <w:w w:val="105"/>
        </w:rPr>
        <w:t> maternos</w:t>
      </w:r>
      <w:r>
        <w:rPr>
          <w:color w:val="231F1F"/>
          <w:w w:val="105"/>
        </w:rPr>
        <w:t> y/o fetales</w:t>
      </w:r>
      <w:r>
        <w:rPr>
          <w:color w:val="231F1F"/>
          <w:w w:val="105"/>
        </w:rPr>
        <w:t> de</w:t>
      </w:r>
      <w:r>
        <w:rPr>
          <w:color w:val="231F1F"/>
          <w:w w:val="105"/>
        </w:rPr>
        <w:t> los</w:t>
      </w:r>
      <w:r>
        <w:rPr>
          <w:color w:val="231F1F"/>
          <w:w w:val="105"/>
        </w:rPr>
        <w:t> partos</w:t>
      </w:r>
      <w:r>
        <w:rPr>
          <w:color w:val="231F1F"/>
          <w:w w:val="105"/>
        </w:rPr>
        <w:t> en</w:t>
      </w:r>
      <w:r>
        <w:rPr>
          <w:color w:val="231F1F"/>
          <w:w w:val="105"/>
        </w:rPr>
        <w:t> los</w:t>
      </w:r>
      <w:r>
        <w:rPr>
          <w:color w:val="231F1F"/>
          <w:w w:val="105"/>
        </w:rPr>
        <w:t> que</w:t>
      </w:r>
      <w:r>
        <w:rPr>
          <w:color w:val="231F1F"/>
          <w:w w:val="105"/>
        </w:rPr>
        <w:t> las</w:t>
      </w:r>
      <w:r>
        <w:rPr>
          <w:color w:val="231F1F"/>
          <w:w w:val="105"/>
        </w:rPr>
        <w:t> mujeres</w:t>
      </w:r>
      <w:r>
        <w:rPr>
          <w:color w:val="231F1F"/>
          <w:w w:val="105"/>
        </w:rPr>
        <w:t> han</w:t>
      </w:r>
      <w:r>
        <w:rPr>
          <w:color w:val="231F1F"/>
          <w:w w:val="105"/>
        </w:rPr>
        <w:t> adoptado</w:t>
      </w:r>
      <w:r>
        <w:rPr>
          <w:color w:val="231F1F"/>
          <w:w w:val="105"/>
        </w:rPr>
        <w:t> cualquier</w:t>
      </w:r>
      <w:r>
        <w:rPr>
          <w:color w:val="231F1F"/>
          <w:w w:val="105"/>
        </w:rPr>
        <w:t> </w:t>
      </w:r>
      <w:r>
        <w:rPr>
          <w:i/>
          <w:color w:val="231F1F"/>
          <w:w w:val="105"/>
        </w:rPr>
        <w:t>postura vertical frente a posturas horizontales </w:t>
      </w:r>
      <w:r>
        <w:rPr>
          <w:color w:val="231F1F"/>
          <w:w w:val="105"/>
        </w:rPr>
        <w:t>(incluyendo</w:t>
      </w:r>
      <w:r>
        <w:rPr>
          <w:color w:val="231F1F"/>
          <w:w w:val="105"/>
        </w:rPr>
        <w:t> la</w:t>
      </w:r>
      <w:r>
        <w:rPr>
          <w:color w:val="231F1F"/>
          <w:w w:val="105"/>
        </w:rPr>
        <w:t> posición</w:t>
      </w:r>
      <w:r>
        <w:rPr>
          <w:color w:val="231F1F"/>
          <w:w w:val="105"/>
        </w:rPr>
        <w:t> de</w:t>
      </w:r>
      <w:r>
        <w:rPr>
          <w:color w:val="231F1F"/>
          <w:w w:val="105"/>
        </w:rPr>
        <w:t> litotomía</w:t>
      </w:r>
      <w:r>
        <w:rPr>
          <w:color w:val="231F1F"/>
          <w:w w:val="105"/>
        </w:rPr>
        <w:t> e inclinaciones</w:t>
      </w:r>
      <w:r>
        <w:rPr>
          <w:color w:val="231F1F"/>
          <w:w w:val="105"/>
        </w:rPr>
        <w:t> de</w:t>
      </w:r>
      <w:r>
        <w:rPr>
          <w:color w:val="231F1F"/>
          <w:w w:val="105"/>
        </w:rPr>
        <w:t> la</w:t>
      </w:r>
      <w:r>
        <w:rPr>
          <w:color w:val="231F1F"/>
          <w:w w:val="105"/>
        </w:rPr>
        <w:t> horizontal</w:t>
      </w:r>
      <w:r>
        <w:rPr>
          <w:color w:val="231F1F"/>
          <w:w w:val="105"/>
        </w:rPr>
        <w:t> no</w:t>
      </w:r>
      <w:r>
        <w:rPr>
          <w:color w:val="231F1F"/>
          <w:w w:val="105"/>
        </w:rPr>
        <w:t> superiores</w:t>
      </w:r>
      <w:r>
        <w:rPr>
          <w:color w:val="231F1F"/>
          <w:w w:val="105"/>
        </w:rPr>
        <w:t> a</w:t>
      </w:r>
      <w:r>
        <w:rPr>
          <w:color w:val="231F1F"/>
          <w:w w:val="105"/>
        </w:rPr>
        <w:t> los</w:t>
      </w:r>
      <w:r>
        <w:rPr>
          <w:color w:val="231F1F"/>
          <w:w w:val="105"/>
        </w:rPr>
        <w:t> 45º).</w:t>
      </w:r>
      <w:r>
        <w:rPr>
          <w:color w:val="231F1F"/>
          <w:w w:val="105"/>
        </w:rPr>
        <w:t> Durante</w:t>
      </w:r>
      <w:r>
        <w:rPr>
          <w:color w:val="231F1F"/>
          <w:w w:val="105"/>
        </w:rPr>
        <w:t> el</w:t>
      </w:r>
      <w:r>
        <w:rPr>
          <w:color w:val="231F1F"/>
          <w:w w:val="105"/>
        </w:rPr>
        <w:t> periodo expulsivo. Además de comprobar si las diferencias (si las hubiera) se ven in- fluenciadas por la presencia de anestesia epidural.</w:t>
      </w:r>
    </w:p>
    <w:p>
      <w:pPr>
        <w:pStyle w:val="BodyText"/>
        <w:spacing w:line="264" w:lineRule="auto" w:before="72"/>
        <w:ind w:left="283" w:right="42" w:firstLine="453"/>
        <w:jc w:val="both"/>
      </w:pPr>
      <w:r>
        <w:rPr>
          <w:color w:val="231F1F"/>
        </w:rPr>
        <w:t>Existe una débil evidencia de que las posiciones verticales muestran un menor número de episiotomías, menor dolor (diferencia significativa observado sólo en uno de los tres ensayos que evalúan el dolor) y tendencia de una mayor satisfacción materna (diferencias significativa observadas sólo en uno de los cuatro ECAs). Las posiciones verticales también muestran una tendencia a pre- sentar mayor porcentaje de desgarros y cierta predisposición a mayor sangrado.</w:t>
      </w:r>
    </w:p>
    <w:p>
      <w:pPr>
        <w:pStyle w:val="BodyText"/>
        <w:spacing w:line="244" w:lineRule="auto" w:before="11"/>
        <w:ind w:left="283" w:right="44" w:firstLine="453"/>
        <w:jc w:val="both"/>
      </w:pPr>
      <w:r>
        <w:rPr>
          <w:color w:val="231F1F"/>
          <w:w w:val="110"/>
        </w:rPr>
        <w:t>No se encuentran diferencias entre las dos posiciones en relación a la duración</w:t>
      </w:r>
      <w:r>
        <w:rPr>
          <w:color w:val="231F1F"/>
          <w:spacing w:val="-13"/>
          <w:w w:val="110"/>
        </w:rPr>
        <w:t> </w:t>
      </w:r>
      <w:r>
        <w:rPr>
          <w:color w:val="231F1F"/>
          <w:w w:val="110"/>
        </w:rPr>
        <w:t>del</w:t>
      </w:r>
      <w:r>
        <w:rPr>
          <w:color w:val="231F1F"/>
          <w:spacing w:val="-13"/>
          <w:w w:val="110"/>
        </w:rPr>
        <w:t> </w:t>
      </w:r>
      <w:r>
        <w:rPr>
          <w:color w:val="231F1F"/>
          <w:w w:val="110"/>
        </w:rPr>
        <w:t>periodo</w:t>
      </w:r>
      <w:r>
        <w:rPr>
          <w:color w:val="231F1F"/>
          <w:spacing w:val="-12"/>
          <w:w w:val="110"/>
        </w:rPr>
        <w:t> </w:t>
      </w:r>
      <w:r>
        <w:rPr>
          <w:color w:val="231F1F"/>
          <w:w w:val="110"/>
        </w:rPr>
        <w:t>expulsivo,</w:t>
      </w:r>
      <w:r>
        <w:rPr>
          <w:color w:val="231F1F"/>
          <w:spacing w:val="-13"/>
          <w:w w:val="110"/>
        </w:rPr>
        <w:t> </w:t>
      </w:r>
      <w:r>
        <w:rPr>
          <w:color w:val="231F1F"/>
          <w:w w:val="110"/>
        </w:rPr>
        <w:t>puntuación</w:t>
      </w:r>
      <w:r>
        <w:rPr>
          <w:color w:val="231F1F"/>
          <w:spacing w:val="-13"/>
          <w:w w:val="110"/>
        </w:rPr>
        <w:t> </w:t>
      </w:r>
      <w:r>
        <w:rPr>
          <w:color w:val="231F1F"/>
          <w:w w:val="110"/>
        </w:rPr>
        <w:t>de</w:t>
      </w:r>
      <w:r>
        <w:rPr>
          <w:color w:val="231F1F"/>
          <w:spacing w:val="-12"/>
          <w:w w:val="110"/>
        </w:rPr>
        <w:t> </w:t>
      </w:r>
      <w:r>
        <w:rPr>
          <w:color w:val="231F1F"/>
          <w:w w:val="110"/>
        </w:rPr>
        <w:t>Apgar</w:t>
      </w:r>
      <w:r>
        <w:rPr>
          <w:color w:val="231F1F"/>
          <w:spacing w:val="-13"/>
          <w:w w:val="110"/>
        </w:rPr>
        <w:t> </w:t>
      </w:r>
      <w:r>
        <w:rPr>
          <w:color w:val="231F1F"/>
          <w:w w:val="110"/>
        </w:rPr>
        <w:t>al</w:t>
      </w:r>
      <w:r>
        <w:rPr>
          <w:color w:val="231F1F"/>
          <w:spacing w:val="-13"/>
          <w:w w:val="110"/>
        </w:rPr>
        <w:t> </w:t>
      </w:r>
      <w:r>
        <w:rPr>
          <w:color w:val="231F1F"/>
          <w:w w:val="110"/>
        </w:rPr>
        <w:t>minuto</w:t>
      </w:r>
      <w:r>
        <w:rPr>
          <w:color w:val="231F1F"/>
          <w:spacing w:val="-12"/>
          <w:w w:val="110"/>
        </w:rPr>
        <w:t> </w:t>
      </w:r>
      <w:r>
        <w:rPr>
          <w:color w:val="231F1F"/>
          <w:w w:val="110"/>
        </w:rPr>
        <w:t>y</w:t>
      </w:r>
      <w:r>
        <w:rPr>
          <w:color w:val="231F1F"/>
          <w:spacing w:val="-12"/>
          <w:w w:val="110"/>
        </w:rPr>
        <w:t> </w:t>
      </w:r>
      <w:r>
        <w:rPr>
          <w:color w:val="231F1F"/>
          <w:w w:val="110"/>
        </w:rPr>
        <w:t>tras</w:t>
      </w:r>
      <w:r>
        <w:rPr>
          <w:color w:val="231F1F"/>
          <w:spacing w:val="-13"/>
          <w:w w:val="110"/>
        </w:rPr>
        <w:t> </w:t>
      </w:r>
      <w:r>
        <w:rPr>
          <w:color w:val="231F1F"/>
          <w:w w:val="110"/>
        </w:rPr>
        <w:t>el</w:t>
      </w:r>
      <w:r>
        <w:rPr>
          <w:color w:val="231F1F"/>
          <w:spacing w:val="-13"/>
          <w:w w:val="110"/>
        </w:rPr>
        <w:t> </w:t>
      </w:r>
      <w:r>
        <w:rPr>
          <w:color w:val="231F1F"/>
          <w:w w:val="110"/>
        </w:rPr>
        <w:t>pri- mer minuto, y pH de la arteria umbilical.</w:t>
      </w:r>
    </w:p>
    <w:p>
      <w:pPr>
        <w:pStyle w:val="BodyText"/>
        <w:spacing w:line="249" w:lineRule="auto" w:before="113"/>
        <w:ind w:left="283" w:right="38" w:firstLine="453"/>
        <w:jc w:val="both"/>
      </w:pPr>
      <w:r>
        <w:rPr>
          <w:color w:val="231F1F"/>
          <w:w w:val="105"/>
        </w:rPr>
        <w:t>Tanto en la guía NICE (10) como en la revisión andaluza no se encuen- tran</w:t>
      </w:r>
      <w:r>
        <w:rPr>
          <w:color w:val="231F1F"/>
          <w:w w:val="105"/>
        </w:rPr>
        <w:t> diferencias</w:t>
      </w:r>
      <w:r>
        <w:rPr>
          <w:color w:val="231F1F"/>
          <w:w w:val="105"/>
        </w:rPr>
        <w:t> significativas</w:t>
      </w:r>
      <w:r>
        <w:rPr>
          <w:color w:val="231F1F"/>
          <w:w w:val="105"/>
        </w:rPr>
        <w:t> entre</w:t>
      </w:r>
      <w:r>
        <w:rPr>
          <w:color w:val="231F1F"/>
          <w:w w:val="105"/>
        </w:rPr>
        <w:t> las</w:t>
      </w:r>
      <w:r>
        <w:rPr>
          <w:color w:val="231F1F"/>
          <w:w w:val="105"/>
        </w:rPr>
        <w:t> dos</w:t>
      </w:r>
      <w:r>
        <w:rPr>
          <w:color w:val="231F1F"/>
          <w:w w:val="105"/>
        </w:rPr>
        <w:t> posiciones</w:t>
      </w:r>
      <w:r>
        <w:rPr>
          <w:color w:val="231F1F"/>
          <w:w w:val="105"/>
        </w:rPr>
        <w:t> para</w:t>
      </w:r>
      <w:r>
        <w:rPr>
          <w:color w:val="231F1F"/>
          <w:w w:val="105"/>
        </w:rPr>
        <w:t> la</w:t>
      </w:r>
      <w:r>
        <w:rPr>
          <w:color w:val="231F1F"/>
          <w:w w:val="105"/>
        </w:rPr>
        <w:t> segunda</w:t>
      </w:r>
      <w:r>
        <w:rPr>
          <w:color w:val="231F1F"/>
          <w:w w:val="105"/>
        </w:rPr>
        <w:t> etapa del</w:t>
      </w:r>
      <w:r>
        <w:rPr>
          <w:color w:val="231F1F"/>
          <w:spacing w:val="-2"/>
          <w:w w:val="105"/>
        </w:rPr>
        <w:t> </w:t>
      </w:r>
      <w:r>
        <w:rPr>
          <w:color w:val="231F1F"/>
          <w:w w:val="105"/>
        </w:rPr>
        <w:t>parto.</w:t>
      </w:r>
      <w:r>
        <w:rPr>
          <w:color w:val="231F1F"/>
          <w:spacing w:val="-2"/>
          <w:w w:val="105"/>
        </w:rPr>
        <w:t> </w:t>
      </w:r>
      <w:r>
        <w:rPr>
          <w:color w:val="231F1F"/>
          <w:w w:val="105"/>
        </w:rPr>
        <w:t>Sin</w:t>
      </w:r>
      <w:r>
        <w:rPr>
          <w:color w:val="231F1F"/>
          <w:spacing w:val="-1"/>
          <w:w w:val="105"/>
        </w:rPr>
        <w:t> </w:t>
      </w:r>
      <w:r>
        <w:rPr>
          <w:color w:val="231F1F"/>
          <w:w w:val="105"/>
        </w:rPr>
        <w:t>embargo,</w:t>
      </w:r>
      <w:r>
        <w:rPr>
          <w:color w:val="231F1F"/>
          <w:spacing w:val="-1"/>
          <w:w w:val="105"/>
        </w:rPr>
        <w:t> </w:t>
      </w:r>
      <w:r>
        <w:rPr>
          <w:color w:val="231F1F"/>
          <w:w w:val="105"/>
        </w:rPr>
        <w:t>la</w:t>
      </w:r>
      <w:r>
        <w:rPr>
          <w:color w:val="231F1F"/>
          <w:spacing w:val="-1"/>
          <w:w w:val="105"/>
        </w:rPr>
        <w:t> </w:t>
      </w:r>
      <w:r>
        <w:rPr>
          <w:color w:val="231F1F"/>
          <w:w w:val="105"/>
        </w:rPr>
        <w:t>recomendación</w:t>
      </w:r>
      <w:r>
        <w:rPr>
          <w:color w:val="231F1F"/>
          <w:spacing w:val="-1"/>
          <w:w w:val="105"/>
        </w:rPr>
        <w:t> </w:t>
      </w:r>
      <w:r>
        <w:rPr>
          <w:color w:val="231F1F"/>
          <w:w w:val="105"/>
        </w:rPr>
        <w:t>realizada</w:t>
      </w:r>
      <w:r>
        <w:rPr>
          <w:color w:val="231F1F"/>
          <w:spacing w:val="-1"/>
          <w:w w:val="105"/>
        </w:rPr>
        <w:t> </w:t>
      </w:r>
      <w:r>
        <w:rPr>
          <w:color w:val="231F1F"/>
          <w:w w:val="105"/>
        </w:rPr>
        <w:t>tanto</w:t>
      </w:r>
      <w:r>
        <w:rPr>
          <w:color w:val="231F1F"/>
          <w:spacing w:val="-1"/>
          <w:w w:val="105"/>
        </w:rPr>
        <w:t> </w:t>
      </w:r>
      <w:r>
        <w:rPr>
          <w:color w:val="231F1F"/>
          <w:w w:val="105"/>
        </w:rPr>
        <w:t>por</w:t>
      </w:r>
      <w:r>
        <w:rPr>
          <w:color w:val="231F1F"/>
          <w:spacing w:val="-1"/>
          <w:w w:val="105"/>
        </w:rPr>
        <w:t> </w:t>
      </w:r>
      <w:r>
        <w:rPr>
          <w:color w:val="231F1F"/>
          <w:w w:val="105"/>
        </w:rPr>
        <w:t>NICE</w:t>
      </w:r>
      <w:r>
        <w:rPr>
          <w:color w:val="231F1F"/>
          <w:spacing w:val="-1"/>
          <w:w w:val="105"/>
        </w:rPr>
        <w:t> </w:t>
      </w:r>
      <w:r>
        <w:rPr>
          <w:color w:val="231F1F"/>
          <w:w w:val="105"/>
        </w:rPr>
        <w:t>(10)</w:t>
      </w:r>
      <w:r>
        <w:rPr>
          <w:color w:val="231F1F"/>
          <w:spacing w:val="-1"/>
          <w:w w:val="105"/>
        </w:rPr>
        <w:t> </w:t>
      </w:r>
      <w:r>
        <w:rPr>
          <w:color w:val="231F1F"/>
          <w:w w:val="105"/>
        </w:rPr>
        <w:t>como por la revisión es dejar que la mujer adopte la posición en la que se encuentre más cómoda, aunque la guía de NICE (10) aconseja a la mujer no adoptar la posición supina o de litotomía.</w:t>
      </w:r>
    </w:p>
    <w:p>
      <w:pPr>
        <w:pStyle w:val="BodyText"/>
        <w:spacing w:line="244" w:lineRule="auto" w:before="107"/>
        <w:ind w:left="283" w:right="43" w:firstLine="453"/>
        <w:jc w:val="both"/>
      </w:pPr>
      <w:r>
        <w:rPr>
          <w:color w:val="231F1F"/>
          <w:w w:val="110"/>
        </w:rPr>
        <w:t>Existe</w:t>
      </w:r>
      <w:r>
        <w:rPr>
          <w:color w:val="231F1F"/>
          <w:spacing w:val="-12"/>
          <w:w w:val="110"/>
        </w:rPr>
        <w:t> </w:t>
      </w:r>
      <w:r>
        <w:rPr>
          <w:color w:val="231F1F"/>
          <w:w w:val="110"/>
        </w:rPr>
        <w:t>una</w:t>
      </w:r>
      <w:r>
        <w:rPr>
          <w:color w:val="231F1F"/>
          <w:spacing w:val="-13"/>
          <w:w w:val="110"/>
        </w:rPr>
        <w:t> </w:t>
      </w:r>
      <w:r>
        <w:rPr>
          <w:color w:val="231F1F"/>
          <w:w w:val="110"/>
        </w:rPr>
        <w:t>tendencia</w:t>
      </w:r>
      <w:r>
        <w:rPr>
          <w:color w:val="231F1F"/>
          <w:spacing w:val="-12"/>
          <w:w w:val="110"/>
        </w:rPr>
        <w:t> </w:t>
      </w:r>
      <w:r>
        <w:rPr>
          <w:color w:val="231F1F"/>
          <w:w w:val="110"/>
        </w:rPr>
        <w:t>en</w:t>
      </w:r>
      <w:r>
        <w:rPr>
          <w:color w:val="231F1F"/>
          <w:spacing w:val="-12"/>
          <w:w w:val="110"/>
        </w:rPr>
        <w:t> </w:t>
      </w:r>
      <w:r>
        <w:rPr>
          <w:color w:val="231F1F"/>
          <w:w w:val="110"/>
        </w:rPr>
        <w:t>todos</w:t>
      </w:r>
      <w:r>
        <w:rPr>
          <w:color w:val="231F1F"/>
          <w:spacing w:val="-13"/>
          <w:w w:val="110"/>
        </w:rPr>
        <w:t> </w:t>
      </w:r>
      <w:r>
        <w:rPr>
          <w:color w:val="231F1F"/>
          <w:w w:val="110"/>
        </w:rPr>
        <w:t>los</w:t>
      </w:r>
      <w:r>
        <w:rPr>
          <w:color w:val="231F1F"/>
          <w:spacing w:val="-13"/>
          <w:w w:val="110"/>
        </w:rPr>
        <w:t> </w:t>
      </w:r>
      <w:r>
        <w:rPr>
          <w:color w:val="231F1F"/>
          <w:w w:val="110"/>
        </w:rPr>
        <w:t>estudios</w:t>
      </w:r>
      <w:r>
        <w:rPr>
          <w:color w:val="231F1F"/>
          <w:spacing w:val="-12"/>
          <w:w w:val="110"/>
        </w:rPr>
        <w:t> </w:t>
      </w:r>
      <w:r>
        <w:rPr>
          <w:color w:val="231F1F"/>
          <w:w w:val="110"/>
        </w:rPr>
        <w:t>a</w:t>
      </w:r>
      <w:r>
        <w:rPr>
          <w:color w:val="231F1F"/>
          <w:spacing w:val="-13"/>
          <w:w w:val="110"/>
        </w:rPr>
        <w:t> </w:t>
      </w:r>
      <w:r>
        <w:rPr>
          <w:color w:val="231F1F"/>
          <w:w w:val="110"/>
        </w:rPr>
        <w:t>obtener</w:t>
      </w:r>
      <w:r>
        <w:rPr>
          <w:color w:val="231F1F"/>
          <w:spacing w:val="-13"/>
          <w:w w:val="110"/>
        </w:rPr>
        <w:t> </w:t>
      </w:r>
      <w:r>
        <w:rPr>
          <w:color w:val="231F1F"/>
          <w:w w:val="110"/>
        </w:rPr>
        <w:t>mejores</w:t>
      </w:r>
      <w:r>
        <w:rPr>
          <w:color w:val="231F1F"/>
          <w:spacing w:val="-13"/>
          <w:w w:val="110"/>
        </w:rPr>
        <w:t> </w:t>
      </w:r>
      <w:r>
        <w:rPr>
          <w:color w:val="231F1F"/>
          <w:w w:val="110"/>
        </w:rPr>
        <w:t>resultados en</w:t>
      </w:r>
      <w:r>
        <w:rPr>
          <w:color w:val="231F1F"/>
          <w:spacing w:val="-9"/>
          <w:w w:val="110"/>
        </w:rPr>
        <w:t> </w:t>
      </w:r>
      <w:r>
        <w:rPr>
          <w:color w:val="231F1F"/>
          <w:w w:val="110"/>
        </w:rPr>
        <w:t>posición</w:t>
      </w:r>
      <w:r>
        <w:rPr>
          <w:color w:val="231F1F"/>
          <w:spacing w:val="-8"/>
          <w:w w:val="110"/>
        </w:rPr>
        <w:t> </w:t>
      </w:r>
      <w:r>
        <w:rPr>
          <w:color w:val="231F1F"/>
          <w:w w:val="110"/>
        </w:rPr>
        <w:t>vertical</w:t>
      </w:r>
      <w:r>
        <w:rPr>
          <w:color w:val="231F1F"/>
          <w:spacing w:val="-9"/>
          <w:w w:val="110"/>
        </w:rPr>
        <w:t> </w:t>
      </w:r>
      <w:r>
        <w:rPr>
          <w:color w:val="231F1F"/>
          <w:w w:val="110"/>
        </w:rPr>
        <w:t>en</w:t>
      </w:r>
      <w:r>
        <w:rPr>
          <w:color w:val="231F1F"/>
          <w:spacing w:val="-9"/>
          <w:w w:val="110"/>
        </w:rPr>
        <w:t> </w:t>
      </w:r>
      <w:r>
        <w:rPr>
          <w:color w:val="231F1F"/>
          <w:w w:val="110"/>
        </w:rPr>
        <w:t>la</w:t>
      </w:r>
      <w:r>
        <w:rPr>
          <w:color w:val="231F1F"/>
          <w:spacing w:val="-9"/>
          <w:w w:val="110"/>
        </w:rPr>
        <w:t> </w:t>
      </w:r>
      <w:r>
        <w:rPr>
          <w:color w:val="231F1F"/>
          <w:w w:val="110"/>
        </w:rPr>
        <w:t>segunda</w:t>
      </w:r>
      <w:r>
        <w:rPr>
          <w:color w:val="231F1F"/>
          <w:spacing w:val="-9"/>
          <w:w w:val="110"/>
        </w:rPr>
        <w:t> </w:t>
      </w:r>
      <w:r>
        <w:rPr>
          <w:color w:val="231F1F"/>
          <w:w w:val="110"/>
        </w:rPr>
        <w:t>etapa</w:t>
      </w:r>
      <w:r>
        <w:rPr>
          <w:color w:val="231F1F"/>
          <w:spacing w:val="-9"/>
          <w:w w:val="110"/>
        </w:rPr>
        <w:t> </w:t>
      </w:r>
      <w:r>
        <w:rPr>
          <w:color w:val="231F1F"/>
          <w:w w:val="110"/>
        </w:rPr>
        <w:t>del</w:t>
      </w:r>
      <w:r>
        <w:rPr>
          <w:color w:val="231F1F"/>
          <w:spacing w:val="-9"/>
          <w:w w:val="110"/>
        </w:rPr>
        <w:t> </w:t>
      </w:r>
      <w:r>
        <w:rPr>
          <w:color w:val="231F1F"/>
          <w:w w:val="110"/>
        </w:rPr>
        <w:t>parto,</w:t>
      </w:r>
      <w:r>
        <w:rPr>
          <w:color w:val="231F1F"/>
          <w:spacing w:val="-9"/>
          <w:w w:val="110"/>
        </w:rPr>
        <w:t> </w:t>
      </w:r>
      <w:r>
        <w:rPr>
          <w:color w:val="231F1F"/>
          <w:w w:val="110"/>
        </w:rPr>
        <w:t>aunque</w:t>
      </w:r>
      <w:r>
        <w:rPr>
          <w:color w:val="231F1F"/>
          <w:spacing w:val="-8"/>
          <w:w w:val="110"/>
        </w:rPr>
        <w:t> </w:t>
      </w:r>
      <w:r>
        <w:rPr>
          <w:color w:val="231F1F"/>
          <w:w w:val="110"/>
        </w:rPr>
        <w:t>las</w:t>
      </w:r>
      <w:r>
        <w:rPr>
          <w:color w:val="231F1F"/>
          <w:spacing w:val="-9"/>
          <w:w w:val="110"/>
        </w:rPr>
        <w:t> </w:t>
      </w:r>
      <w:r>
        <w:rPr>
          <w:color w:val="231F1F"/>
          <w:w w:val="110"/>
        </w:rPr>
        <w:t>diferencias</w:t>
      </w:r>
      <w:r>
        <w:rPr>
          <w:color w:val="231F1F"/>
          <w:spacing w:val="-10"/>
          <w:w w:val="110"/>
        </w:rPr>
        <w:t> </w:t>
      </w:r>
      <w:r>
        <w:rPr>
          <w:color w:val="231F1F"/>
          <w:w w:val="110"/>
        </w:rPr>
        <w:t>no son estadísticamente significativas.</w:t>
      </w:r>
    </w:p>
    <w:p>
      <w:pPr>
        <w:pStyle w:val="BodyText"/>
        <w:spacing w:before="162"/>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6"/>
        <w:rPr>
          <w:rFonts w:ascii="Arial MT"/>
          <w:sz w:val="18"/>
        </w:rPr>
      </w:pPr>
    </w:p>
    <w:p>
      <w:pPr>
        <w:spacing w:line="276" w:lineRule="auto" w:before="0"/>
        <w:ind w:left="283" w:right="456" w:firstLine="0"/>
        <w:jc w:val="center"/>
        <w:rPr>
          <w:rFonts w:ascii="Arial MT"/>
          <w:sz w:val="18"/>
        </w:rPr>
      </w:pPr>
      <w:r>
        <w:rPr>
          <w:rFonts w:ascii="Arial MT"/>
          <w:color w:val="231F1F"/>
          <w:spacing w:val="-4"/>
          <w:sz w:val="18"/>
        </w:rPr>
        <w:t>RS</w:t>
      </w:r>
      <w:r>
        <w:rPr>
          <w:rFonts w:ascii="Arial MT"/>
          <w:color w:val="231F1F"/>
          <w:spacing w:val="-19"/>
          <w:sz w:val="18"/>
        </w:rPr>
        <w:t> </w:t>
      </w:r>
      <w:r>
        <w:rPr>
          <w:rFonts w:ascii="Arial MT"/>
          <w:color w:val="231F1F"/>
          <w:spacing w:val="-4"/>
          <w:sz w:val="18"/>
        </w:rPr>
        <w:t>de ECAs </w:t>
      </w:r>
      <w:r>
        <w:rPr>
          <w:rFonts w:ascii="Arial MT"/>
          <w:color w:val="231F1F"/>
          <w:spacing w:val="-6"/>
          <w:sz w:val="18"/>
        </w:rPr>
        <w:t>1-</w:t>
      </w:r>
    </w:p>
    <w:p>
      <w:pPr>
        <w:spacing w:after="0" w:line="276" w:lineRule="auto"/>
        <w:jc w:val="center"/>
        <w:rPr>
          <w:rFonts w:ascii="Arial MT"/>
          <w:sz w:val="18"/>
        </w:rPr>
        <w:sectPr>
          <w:pgSz w:w="11900" w:h="16840"/>
          <w:pgMar w:header="0" w:footer="622" w:top="1560" w:bottom="2175" w:left="1417" w:right="1559"/>
          <w:cols w:num="2" w:equalWidth="0">
            <w:col w:w="7592" w:space="114"/>
            <w:col w:w="1218"/>
          </w:cols>
        </w:sectPr>
      </w:pPr>
    </w:p>
    <w:p>
      <w:pPr>
        <w:pStyle w:val="BodyText"/>
        <w:spacing w:before="3"/>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746" w:hRule="atLeast"/>
        </w:trPr>
        <w:tc>
          <w:tcPr>
            <w:tcW w:w="7373" w:type="dxa"/>
          </w:tcPr>
          <w:p>
            <w:pPr>
              <w:pStyle w:val="TableParagraph"/>
              <w:spacing w:line="249" w:lineRule="auto" w:before="15"/>
              <w:ind w:right="88"/>
              <w:jc w:val="both"/>
              <w:rPr>
                <w:sz w:val="22"/>
              </w:rPr>
            </w:pPr>
            <w:r>
              <w:rPr>
                <w:color w:val="231F1F"/>
                <w:w w:val="110"/>
                <w:sz w:val="22"/>
              </w:rPr>
              <w:t>Las</w:t>
            </w:r>
            <w:r>
              <w:rPr>
                <w:color w:val="231F1F"/>
                <w:spacing w:val="-16"/>
                <w:w w:val="110"/>
                <w:sz w:val="22"/>
              </w:rPr>
              <w:t> </w:t>
            </w:r>
            <w:r>
              <w:rPr>
                <w:color w:val="231F1F"/>
                <w:w w:val="110"/>
                <w:sz w:val="22"/>
              </w:rPr>
              <w:t>posiciones</w:t>
            </w:r>
            <w:r>
              <w:rPr>
                <w:color w:val="231F1F"/>
                <w:spacing w:val="-15"/>
                <w:w w:val="110"/>
                <w:sz w:val="22"/>
              </w:rPr>
              <w:t> </w:t>
            </w:r>
            <w:r>
              <w:rPr>
                <w:color w:val="231F1F"/>
                <w:w w:val="110"/>
                <w:sz w:val="22"/>
              </w:rPr>
              <w:t>verticales</w:t>
            </w:r>
            <w:r>
              <w:rPr>
                <w:color w:val="231F1F"/>
                <w:spacing w:val="-15"/>
                <w:w w:val="110"/>
                <w:sz w:val="22"/>
              </w:rPr>
              <w:t> </w:t>
            </w:r>
            <w:r>
              <w:rPr>
                <w:color w:val="231F1F"/>
                <w:w w:val="110"/>
                <w:sz w:val="22"/>
              </w:rPr>
              <w:t>o</w:t>
            </w:r>
            <w:r>
              <w:rPr>
                <w:color w:val="231F1F"/>
                <w:spacing w:val="-15"/>
                <w:w w:val="110"/>
                <w:sz w:val="22"/>
              </w:rPr>
              <w:t> </w:t>
            </w:r>
            <w:r>
              <w:rPr>
                <w:color w:val="231F1F"/>
                <w:w w:val="110"/>
                <w:sz w:val="22"/>
              </w:rPr>
              <w:t>laterales,</w:t>
            </w:r>
            <w:r>
              <w:rPr>
                <w:color w:val="231F1F"/>
                <w:spacing w:val="-15"/>
                <w:w w:val="110"/>
                <w:sz w:val="22"/>
              </w:rPr>
              <w:t> </w:t>
            </w:r>
            <w:r>
              <w:rPr>
                <w:color w:val="231F1F"/>
                <w:w w:val="110"/>
                <w:sz w:val="22"/>
              </w:rPr>
              <w:t>comparadas</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supina</w:t>
            </w:r>
            <w:r>
              <w:rPr>
                <w:color w:val="231F1F"/>
                <w:spacing w:val="-15"/>
                <w:w w:val="110"/>
                <w:sz w:val="22"/>
              </w:rPr>
              <w:t> </w:t>
            </w:r>
            <w:r>
              <w:rPr>
                <w:color w:val="231F1F"/>
                <w:w w:val="110"/>
                <w:sz w:val="22"/>
              </w:rPr>
              <w:t>o</w:t>
            </w:r>
            <w:r>
              <w:rPr>
                <w:color w:val="231F1F"/>
                <w:spacing w:val="-16"/>
                <w:w w:val="110"/>
                <w:sz w:val="22"/>
              </w:rPr>
              <w:t> </w:t>
            </w:r>
            <w:r>
              <w:rPr>
                <w:color w:val="231F1F"/>
                <w:w w:val="110"/>
                <w:sz w:val="22"/>
              </w:rPr>
              <w:t>litotomía,</w:t>
            </w:r>
            <w:r>
              <w:rPr>
                <w:color w:val="231F1F"/>
                <w:spacing w:val="-15"/>
                <w:w w:val="110"/>
                <w:sz w:val="22"/>
              </w:rPr>
              <w:t> </w:t>
            </w:r>
            <w:r>
              <w:rPr>
                <w:color w:val="231F1F"/>
                <w:w w:val="110"/>
                <w:sz w:val="22"/>
              </w:rPr>
              <w:t>se </w:t>
            </w:r>
            <w:r>
              <w:rPr>
                <w:color w:val="231F1F"/>
                <w:sz w:val="22"/>
              </w:rPr>
              <w:t>asocian a una menor duración de la segunda etapa de parto, menos nacimien-</w:t>
            </w:r>
            <w:r>
              <w:rPr>
                <w:color w:val="231F1F"/>
                <w:spacing w:val="80"/>
                <w:w w:val="110"/>
                <w:sz w:val="22"/>
              </w:rPr>
              <w:t> </w:t>
            </w:r>
            <w:r>
              <w:rPr>
                <w:color w:val="231F1F"/>
                <w:w w:val="110"/>
                <w:sz w:val="22"/>
              </w:rPr>
              <w:t>tos</w:t>
            </w:r>
            <w:r>
              <w:rPr>
                <w:color w:val="231F1F"/>
                <w:spacing w:val="-10"/>
                <w:w w:val="110"/>
                <w:sz w:val="22"/>
              </w:rPr>
              <w:t> </w:t>
            </w:r>
            <w:r>
              <w:rPr>
                <w:color w:val="231F1F"/>
                <w:w w:val="110"/>
                <w:sz w:val="22"/>
              </w:rPr>
              <w:t>asistidos,</w:t>
            </w:r>
            <w:r>
              <w:rPr>
                <w:color w:val="231F1F"/>
                <w:spacing w:val="-9"/>
                <w:w w:val="110"/>
                <w:sz w:val="22"/>
              </w:rPr>
              <w:t> </w:t>
            </w:r>
            <w:r>
              <w:rPr>
                <w:color w:val="231F1F"/>
                <w:w w:val="110"/>
                <w:sz w:val="22"/>
              </w:rPr>
              <w:t>tasas</w:t>
            </w:r>
            <w:r>
              <w:rPr>
                <w:color w:val="231F1F"/>
                <w:spacing w:val="-9"/>
                <w:w w:val="110"/>
                <w:sz w:val="22"/>
              </w:rPr>
              <w:t> </w:t>
            </w:r>
            <w:r>
              <w:rPr>
                <w:color w:val="231F1F"/>
                <w:w w:val="110"/>
                <w:sz w:val="22"/>
              </w:rPr>
              <w:t>menores</w:t>
            </w:r>
            <w:r>
              <w:rPr>
                <w:color w:val="231F1F"/>
                <w:spacing w:val="-9"/>
                <w:w w:val="110"/>
                <w:sz w:val="22"/>
              </w:rPr>
              <w:t> </w:t>
            </w:r>
            <w:r>
              <w:rPr>
                <w:color w:val="231F1F"/>
                <w:w w:val="110"/>
                <w:sz w:val="22"/>
              </w:rPr>
              <w:t>de</w:t>
            </w:r>
            <w:r>
              <w:rPr>
                <w:color w:val="231F1F"/>
                <w:spacing w:val="-9"/>
                <w:w w:val="110"/>
                <w:sz w:val="22"/>
              </w:rPr>
              <w:t> </w:t>
            </w:r>
            <w:r>
              <w:rPr>
                <w:color w:val="231F1F"/>
                <w:w w:val="110"/>
                <w:sz w:val="22"/>
              </w:rPr>
              <w:t>episiotomías,</w:t>
            </w:r>
            <w:r>
              <w:rPr>
                <w:color w:val="231F1F"/>
                <w:spacing w:val="-10"/>
                <w:w w:val="110"/>
                <w:sz w:val="22"/>
              </w:rPr>
              <w:t> </w:t>
            </w:r>
            <w:r>
              <w:rPr>
                <w:color w:val="231F1F"/>
                <w:w w:val="110"/>
                <w:sz w:val="22"/>
              </w:rPr>
              <w:t>menor</w:t>
            </w:r>
            <w:r>
              <w:rPr>
                <w:color w:val="231F1F"/>
                <w:spacing w:val="-10"/>
                <w:w w:val="110"/>
                <w:sz w:val="22"/>
              </w:rPr>
              <w:t> </w:t>
            </w:r>
            <w:r>
              <w:rPr>
                <w:color w:val="231F1F"/>
                <w:w w:val="110"/>
                <w:sz w:val="22"/>
              </w:rPr>
              <w:t>dolor</w:t>
            </w:r>
            <w:r>
              <w:rPr>
                <w:color w:val="231F1F"/>
                <w:spacing w:val="-10"/>
                <w:w w:val="110"/>
                <w:sz w:val="22"/>
              </w:rPr>
              <w:t> </w:t>
            </w:r>
            <w:r>
              <w:rPr>
                <w:color w:val="231F1F"/>
                <w:w w:val="110"/>
                <w:sz w:val="22"/>
              </w:rPr>
              <w:t>agudo</w:t>
            </w:r>
            <w:r>
              <w:rPr>
                <w:color w:val="231F1F"/>
                <w:spacing w:val="-8"/>
                <w:w w:val="110"/>
                <w:sz w:val="22"/>
              </w:rPr>
              <w:t> </w:t>
            </w:r>
            <w:r>
              <w:rPr>
                <w:color w:val="231F1F"/>
                <w:w w:val="110"/>
                <w:sz w:val="22"/>
              </w:rPr>
              <w:t>durante</w:t>
            </w:r>
            <w:r>
              <w:rPr>
                <w:color w:val="231F1F"/>
                <w:spacing w:val="-10"/>
                <w:w w:val="110"/>
                <w:sz w:val="22"/>
              </w:rPr>
              <w:t> </w:t>
            </w:r>
            <w:r>
              <w:rPr>
                <w:color w:val="231F1F"/>
                <w:w w:val="110"/>
                <w:sz w:val="22"/>
              </w:rPr>
              <w:t>la segunda</w:t>
            </w:r>
            <w:r>
              <w:rPr>
                <w:color w:val="231F1F"/>
                <w:spacing w:val="-11"/>
                <w:w w:val="110"/>
                <w:sz w:val="22"/>
              </w:rPr>
              <w:t> </w:t>
            </w:r>
            <w:r>
              <w:rPr>
                <w:color w:val="231F1F"/>
                <w:w w:val="110"/>
                <w:sz w:val="22"/>
              </w:rPr>
              <w:t>etapa</w:t>
            </w:r>
            <w:r>
              <w:rPr>
                <w:color w:val="231F1F"/>
                <w:spacing w:val="-10"/>
                <w:w w:val="110"/>
                <w:sz w:val="22"/>
              </w:rPr>
              <w:t> </w:t>
            </w:r>
            <w:r>
              <w:rPr>
                <w:color w:val="231F1F"/>
                <w:w w:val="110"/>
                <w:sz w:val="22"/>
              </w:rPr>
              <w:t>y</w:t>
            </w:r>
            <w:r>
              <w:rPr>
                <w:color w:val="231F1F"/>
                <w:spacing w:val="-10"/>
                <w:w w:val="110"/>
                <w:sz w:val="22"/>
              </w:rPr>
              <w:t> </w:t>
            </w:r>
            <w:r>
              <w:rPr>
                <w:color w:val="231F1F"/>
                <w:w w:val="110"/>
                <w:sz w:val="22"/>
              </w:rPr>
              <w:t>menos</w:t>
            </w:r>
            <w:r>
              <w:rPr>
                <w:color w:val="231F1F"/>
                <w:spacing w:val="-10"/>
                <w:w w:val="110"/>
                <w:sz w:val="22"/>
              </w:rPr>
              <w:t> </w:t>
            </w:r>
            <w:r>
              <w:rPr>
                <w:color w:val="231F1F"/>
                <w:w w:val="110"/>
                <w:sz w:val="22"/>
              </w:rPr>
              <w:t>patrones</w:t>
            </w:r>
            <w:r>
              <w:rPr>
                <w:color w:val="231F1F"/>
                <w:spacing w:val="-11"/>
                <w:w w:val="110"/>
                <w:sz w:val="22"/>
              </w:rPr>
              <w:t> </w:t>
            </w:r>
            <w:r>
              <w:rPr>
                <w:color w:val="231F1F"/>
                <w:w w:val="110"/>
                <w:sz w:val="22"/>
              </w:rPr>
              <w:t>anormales</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la</w:t>
            </w:r>
            <w:r>
              <w:rPr>
                <w:color w:val="231F1F"/>
                <w:spacing w:val="-10"/>
                <w:w w:val="110"/>
                <w:sz w:val="22"/>
              </w:rPr>
              <w:t> </w:t>
            </w:r>
            <w:r>
              <w:rPr>
                <w:color w:val="231F1F"/>
                <w:w w:val="110"/>
                <w:sz w:val="22"/>
              </w:rPr>
              <w:t>FCF.</w:t>
            </w:r>
            <w:r>
              <w:rPr>
                <w:color w:val="231F1F"/>
                <w:spacing w:val="-11"/>
                <w:w w:val="110"/>
                <w:sz w:val="22"/>
              </w:rPr>
              <w:t> </w:t>
            </w:r>
            <w:r>
              <w:rPr>
                <w:color w:val="231F1F"/>
                <w:w w:val="110"/>
                <w:sz w:val="22"/>
              </w:rPr>
              <w:t>También</w:t>
            </w:r>
            <w:r>
              <w:rPr>
                <w:color w:val="231F1F"/>
                <w:spacing w:val="-10"/>
                <w:w w:val="110"/>
                <w:sz w:val="22"/>
              </w:rPr>
              <w:t> </w:t>
            </w:r>
            <w:r>
              <w:rPr>
                <w:color w:val="231F1F"/>
                <w:w w:val="110"/>
                <w:sz w:val="22"/>
              </w:rPr>
              <w:t>se</w:t>
            </w:r>
            <w:r>
              <w:rPr>
                <w:color w:val="231F1F"/>
                <w:spacing w:val="-10"/>
                <w:w w:val="110"/>
                <w:sz w:val="22"/>
              </w:rPr>
              <w:t> </w:t>
            </w:r>
            <w:r>
              <w:rPr>
                <w:color w:val="231F1F"/>
                <w:w w:val="110"/>
                <w:sz w:val="22"/>
              </w:rPr>
              <w:t>asocian a</w:t>
            </w:r>
            <w:r>
              <w:rPr>
                <w:color w:val="231F1F"/>
                <w:w w:val="110"/>
                <w:sz w:val="22"/>
              </w:rPr>
              <w:t> un</w:t>
            </w:r>
            <w:r>
              <w:rPr>
                <w:color w:val="231F1F"/>
                <w:w w:val="110"/>
                <w:sz w:val="22"/>
              </w:rPr>
              <w:t> mayor</w:t>
            </w:r>
            <w:r>
              <w:rPr>
                <w:color w:val="231F1F"/>
                <w:w w:val="110"/>
                <w:sz w:val="22"/>
              </w:rPr>
              <w:t> número</w:t>
            </w:r>
            <w:r>
              <w:rPr>
                <w:color w:val="231F1F"/>
                <w:w w:val="110"/>
                <w:sz w:val="22"/>
              </w:rPr>
              <w:t> de</w:t>
            </w:r>
            <w:r>
              <w:rPr>
                <w:color w:val="231F1F"/>
                <w:w w:val="110"/>
                <w:sz w:val="22"/>
              </w:rPr>
              <w:t> desgarros</w:t>
            </w:r>
            <w:r>
              <w:rPr>
                <w:color w:val="231F1F"/>
                <w:w w:val="110"/>
                <w:sz w:val="22"/>
              </w:rPr>
              <w:t> de</w:t>
            </w:r>
            <w:r>
              <w:rPr>
                <w:color w:val="231F1F"/>
                <w:w w:val="110"/>
                <w:sz w:val="22"/>
              </w:rPr>
              <w:t> segundo</w:t>
            </w:r>
            <w:r>
              <w:rPr>
                <w:color w:val="231F1F"/>
                <w:w w:val="110"/>
                <w:sz w:val="22"/>
              </w:rPr>
              <w:t> grado</w:t>
            </w:r>
            <w:r>
              <w:rPr>
                <w:color w:val="231F1F"/>
                <w:w w:val="110"/>
                <w:sz w:val="22"/>
              </w:rPr>
              <w:t> y</w:t>
            </w:r>
            <w:r>
              <w:rPr>
                <w:color w:val="231F1F"/>
                <w:w w:val="110"/>
                <w:sz w:val="22"/>
              </w:rPr>
              <w:t> mayor</w:t>
            </w:r>
            <w:r>
              <w:rPr>
                <w:color w:val="231F1F"/>
                <w:w w:val="110"/>
                <w:sz w:val="22"/>
              </w:rPr>
              <w:t> numero</w:t>
            </w:r>
            <w:r>
              <w:rPr>
                <w:color w:val="231F1F"/>
                <w:w w:val="110"/>
                <w:sz w:val="22"/>
              </w:rPr>
              <w:t> de hemorragias posparto de más de 500 ml (127).</w:t>
            </w:r>
          </w:p>
        </w:tc>
        <w:tc>
          <w:tcPr>
            <w:tcW w:w="1133" w:type="dxa"/>
          </w:tcPr>
          <w:p>
            <w:pPr>
              <w:pStyle w:val="TableParagraph"/>
              <w:ind w:left="0"/>
              <w:rPr>
                <w:rFonts w:ascii="Arial MT"/>
                <w:sz w:val="22"/>
              </w:rPr>
            </w:pPr>
          </w:p>
          <w:p>
            <w:pPr>
              <w:pStyle w:val="TableParagraph"/>
              <w:spacing w:before="205"/>
              <w:ind w:left="0"/>
              <w:rPr>
                <w:rFonts w:ascii="Arial MT"/>
                <w:sz w:val="22"/>
              </w:rPr>
            </w:pPr>
          </w:p>
          <w:p>
            <w:pPr>
              <w:pStyle w:val="TableParagraph"/>
              <w:ind w:left="49" w:right="22"/>
              <w:jc w:val="center"/>
              <w:rPr>
                <w:sz w:val="22"/>
              </w:rPr>
            </w:pPr>
            <w:r>
              <w:rPr>
                <w:color w:val="231F1F"/>
                <w:spacing w:val="-5"/>
                <w:w w:val="105"/>
                <w:sz w:val="22"/>
              </w:rPr>
              <w:t>1+</w:t>
            </w:r>
          </w:p>
        </w:tc>
      </w:tr>
      <w:tr>
        <w:trPr>
          <w:trHeight w:val="1463" w:hRule="atLeast"/>
        </w:trPr>
        <w:tc>
          <w:tcPr>
            <w:tcW w:w="7373" w:type="dxa"/>
          </w:tcPr>
          <w:p>
            <w:pPr>
              <w:pStyle w:val="TableParagraph"/>
              <w:spacing w:line="244" w:lineRule="auto" w:before="15"/>
              <w:ind w:right="87"/>
              <w:jc w:val="both"/>
              <w:rPr>
                <w:sz w:val="22"/>
              </w:rPr>
            </w:pPr>
            <w:r>
              <w:rPr>
                <w:color w:val="231F1F"/>
                <w:w w:val="110"/>
                <w:sz w:val="22"/>
              </w:rPr>
              <w:t>Las mujeres que adoptan posturas de manos y rodillas (cuadrupedia) pre- sentan menor dolor lumbar persistente (128) y encuentran dicha posición como la más cómoda para dar a luz, con menor dolor perineal posparto y con una percepción de un parto más corto (aunque no hubiera diferencias reales de duración) (129).</w:t>
            </w:r>
          </w:p>
        </w:tc>
        <w:tc>
          <w:tcPr>
            <w:tcW w:w="1133" w:type="dxa"/>
          </w:tcPr>
          <w:p>
            <w:pPr>
              <w:pStyle w:val="TableParagraph"/>
              <w:ind w:left="0"/>
              <w:rPr>
                <w:rFonts w:ascii="Arial MT"/>
                <w:sz w:val="22"/>
              </w:rPr>
            </w:pPr>
          </w:p>
          <w:p>
            <w:pPr>
              <w:pStyle w:val="TableParagraph"/>
              <w:spacing w:before="66"/>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type w:val="continuous"/>
          <w:pgSz w:w="11900" w:h="16840"/>
          <w:pgMar w:header="0" w:footer="622" w:top="560" w:bottom="28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185" w:hRule="atLeast"/>
        </w:trPr>
        <w:tc>
          <w:tcPr>
            <w:tcW w:w="7373" w:type="dxa"/>
          </w:tcPr>
          <w:p>
            <w:pPr>
              <w:pStyle w:val="TableParagraph"/>
              <w:spacing w:line="254" w:lineRule="auto" w:before="15"/>
              <w:ind w:right="86"/>
              <w:jc w:val="both"/>
              <w:rPr>
                <w:sz w:val="22"/>
              </w:rPr>
            </w:pPr>
            <w:r>
              <w:rPr>
                <w:color w:val="231F1F"/>
                <w:w w:val="110"/>
                <w:sz w:val="22"/>
              </w:rPr>
              <w:t>En</w:t>
            </w:r>
            <w:r>
              <w:rPr>
                <w:color w:val="231F1F"/>
                <w:spacing w:val="-16"/>
                <w:w w:val="110"/>
                <w:sz w:val="22"/>
              </w:rPr>
              <w:t> </w:t>
            </w:r>
            <w:r>
              <w:rPr>
                <w:color w:val="231F1F"/>
                <w:w w:val="110"/>
                <w:sz w:val="22"/>
              </w:rPr>
              <w:t>mujeres</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analgesia</w:t>
            </w:r>
            <w:r>
              <w:rPr>
                <w:color w:val="231F1F"/>
                <w:spacing w:val="-15"/>
                <w:w w:val="110"/>
                <w:sz w:val="22"/>
              </w:rPr>
              <w:t> </w:t>
            </w:r>
            <w:r>
              <w:rPr>
                <w:color w:val="231F1F"/>
                <w:w w:val="110"/>
                <w:sz w:val="22"/>
              </w:rPr>
              <w:t>epidural,</w:t>
            </w:r>
            <w:r>
              <w:rPr>
                <w:color w:val="231F1F"/>
                <w:spacing w:val="-15"/>
                <w:w w:val="110"/>
                <w:sz w:val="22"/>
              </w:rPr>
              <w:t> </w:t>
            </w:r>
            <w:r>
              <w:rPr>
                <w:color w:val="231F1F"/>
                <w:w w:val="110"/>
                <w:sz w:val="22"/>
              </w:rPr>
              <w:t>se</w:t>
            </w:r>
            <w:r>
              <w:rPr>
                <w:color w:val="231F1F"/>
                <w:spacing w:val="-15"/>
                <w:w w:val="110"/>
                <w:sz w:val="22"/>
              </w:rPr>
              <w:t> </w:t>
            </w:r>
            <w:r>
              <w:rPr>
                <w:color w:val="231F1F"/>
                <w:w w:val="110"/>
                <w:sz w:val="22"/>
              </w:rPr>
              <w:t>observa</w:t>
            </w:r>
            <w:r>
              <w:rPr>
                <w:color w:val="231F1F"/>
                <w:spacing w:val="-15"/>
                <w:w w:val="110"/>
                <w:sz w:val="22"/>
              </w:rPr>
              <w:t> </w:t>
            </w:r>
            <w:r>
              <w:rPr>
                <w:color w:val="231F1F"/>
                <w:w w:val="110"/>
                <w:sz w:val="22"/>
              </w:rPr>
              <w:t>una</w:t>
            </w:r>
            <w:r>
              <w:rPr>
                <w:color w:val="231F1F"/>
                <w:spacing w:val="-15"/>
                <w:w w:val="110"/>
                <w:sz w:val="22"/>
              </w:rPr>
              <w:t> </w:t>
            </w:r>
            <w:r>
              <w:rPr>
                <w:color w:val="231F1F"/>
                <w:w w:val="110"/>
                <w:sz w:val="22"/>
              </w:rPr>
              <w:t>reducción</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duración </w:t>
            </w:r>
            <w:r>
              <w:rPr>
                <w:color w:val="231F1F"/>
                <w:sz w:val="22"/>
              </w:rPr>
              <w:t>del</w:t>
            </w:r>
            <w:r>
              <w:rPr>
                <w:color w:val="231F1F"/>
                <w:spacing w:val="27"/>
                <w:sz w:val="22"/>
              </w:rPr>
              <w:t> </w:t>
            </w:r>
            <w:r>
              <w:rPr>
                <w:color w:val="231F1F"/>
                <w:sz w:val="22"/>
              </w:rPr>
              <w:t>parto en las</w:t>
            </w:r>
            <w:r>
              <w:rPr>
                <w:color w:val="231F1F"/>
                <w:spacing w:val="27"/>
                <w:sz w:val="22"/>
              </w:rPr>
              <w:t> </w:t>
            </w:r>
            <w:r>
              <w:rPr>
                <w:color w:val="231F1F"/>
                <w:sz w:val="22"/>
              </w:rPr>
              <w:t>posiciones</w:t>
            </w:r>
            <w:r>
              <w:rPr>
                <w:color w:val="231F1F"/>
                <w:spacing w:val="27"/>
                <w:sz w:val="22"/>
              </w:rPr>
              <w:t> </w:t>
            </w:r>
            <w:r>
              <w:rPr>
                <w:color w:val="231F1F"/>
                <w:sz w:val="22"/>
              </w:rPr>
              <w:t>verticales</w:t>
            </w:r>
            <w:r>
              <w:rPr>
                <w:color w:val="231F1F"/>
                <w:spacing w:val="27"/>
                <w:sz w:val="22"/>
              </w:rPr>
              <w:t> </w:t>
            </w:r>
            <w:r>
              <w:rPr>
                <w:color w:val="231F1F"/>
                <w:sz w:val="22"/>
              </w:rPr>
              <w:t>(incluido de pie,</w:t>
            </w:r>
            <w:r>
              <w:rPr>
                <w:color w:val="231F1F"/>
                <w:spacing w:val="27"/>
                <w:sz w:val="22"/>
              </w:rPr>
              <w:t> </w:t>
            </w:r>
            <w:r>
              <w:rPr>
                <w:color w:val="231F1F"/>
                <w:sz w:val="22"/>
              </w:rPr>
              <w:t>caminando,</w:t>
            </w:r>
            <w:r>
              <w:rPr>
                <w:color w:val="231F1F"/>
                <w:spacing w:val="27"/>
                <w:sz w:val="22"/>
              </w:rPr>
              <w:t> </w:t>
            </w:r>
            <w:r>
              <w:rPr>
                <w:color w:val="231F1F"/>
                <w:sz w:val="22"/>
              </w:rPr>
              <w:t>de rodillas, </w:t>
            </w:r>
            <w:r>
              <w:rPr>
                <w:color w:val="231F1F"/>
                <w:w w:val="110"/>
                <w:sz w:val="22"/>
              </w:rPr>
              <w:t>en</w:t>
            </w:r>
            <w:r>
              <w:rPr>
                <w:color w:val="231F1F"/>
                <w:spacing w:val="-13"/>
                <w:w w:val="110"/>
                <w:sz w:val="22"/>
              </w:rPr>
              <w:t> </w:t>
            </w:r>
            <w:r>
              <w:rPr>
                <w:color w:val="231F1F"/>
                <w:w w:val="110"/>
                <w:sz w:val="22"/>
              </w:rPr>
              <w:t>cuclillas</w:t>
            </w:r>
            <w:r>
              <w:rPr>
                <w:color w:val="231F1F"/>
                <w:spacing w:val="-14"/>
                <w:w w:val="110"/>
                <w:sz w:val="22"/>
              </w:rPr>
              <w:t> </w:t>
            </w:r>
            <w:r>
              <w:rPr>
                <w:color w:val="231F1F"/>
                <w:w w:val="110"/>
                <w:sz w:val="22"/>
              </w:rPr>
              <w:t>o</w:t>
            </w:r>
            <w:r>
              <w:rPr>
                <w:color w:val="231F1F"/>
                <w:spacing w:val="-13"/>
                <w:w w:val="110"/>
                <w:sz w:val="22"/>
              </w:rPr>
              <w:t> </w:t>
            </w:r>
            <w:r>
              <w:rPr>
                <w:color w:val="231F1F"/>
                <w:w w:val="110"/>
                <w:sz w:val="22"/>
              </w:rPr>
              <w:t>sentada</w:t>
            </w:r>
            <w:r>
              <w:rPr>
                <w:color w:val="231F1F"/>
                <w:spacing w:val="-14"/>
                <w:w w:val="110"/>
                <w:sz w:val="22"/>
              </w:rPr>
              <w:t> </w:t>
            </w:r>
            <w:r>
              <w:rPr>
                <w:color w:val="231F1F"/>
                <w:w w:val="110"/>
                <w:sz w:val="22"/>
              </w:rPr>
              <w:t>a</w:t>
            </w:r>
            <w:r>
              <w:rPr>
                <w:color w:val="231F1F"/>
                <w:spacing w:val="-13"/>
                <w:w w:val="110"/>
                <w:sz w:val="22"/>
              </w:rPr>
              <w:t> </w:t>
            </w:r>
            <w:r>
              <w:rPr>
                <w:color w:val="231F1F"/>
                <w:w w:val="110"/>
                <w:sz w:val="22"/>
              </w:rPr>
              <w:t>más</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60</w:t>
            </w:r>
            <w:r>
              <w:rPr>
                <w:color w:val="231F1F"/>
                <w:spacing w:val="-13"/>
                <w:w w:val="110"/>
                <w:sz w:val="22"/>
              </w:rPr>
              <w:t> </w:t>
            </w:r>
            <w:r>
              <w:rPr>
                <w:color w:val="231F1F"/>
                <w:w w:val="110"/>
                <w:sz w:val="22"/>
              </w:rPr>
              <w:t>grados</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3"/>
                <w:w w:val="110"/>
                <w:sz w:val="22"/>
              </w:rPr>
              <w:t> </w:t>
            </w:r>
            <w:r>
              <w:rPr>
                <w:color w:val="231F1F"/>
                <w:w w:val="110"/>
                <w:sz w:val="22"/>
              </w:rPr>
              <w:t>horizontal)</w:t>
            </w:r>
            <w:r>
              <w:rPr>
                <w:color w:val="231F1F"/>
                <w:spacing w:val="-14"/>
                <w:w w:val="110"/>
                <w:sz w:val="22"/>
              </w:rPr>
              <w:t> </w:t>
            </w:r>
            <w:r>
              <w:rPr>
                <w:color w:val="231F1F"/>
                <w:w w:val="110"/>
                <w:sz w:val="22"/>
              </w:rPr>
              <w:t>frente</w:t>
            </w:r>
            <w:r>
              <w:rPr>
                <w:color w:val="231F1F"/>
                <w:spacing w:val="-13"/>
                <w:w w:val="110"/>
                <w:sz w:val="22"/>
              </w:rPr>
              <w:t> </w:t>
            </w:r>
            <w:r>
              <w:rPr>
                <w:color w:val="231F1F"/>
                <w:w w:val="110"/>
                <w:sz w:val="22"/>
              </w:rPr>
              <w:t>a</w:t>
            </w:r>
            <w:r>
              <w:rPr>
                <w:color w:val="231F1F"/>
                <w:spacing w:val="-13"/>
                <w:w w:val="110"/>
                <w:sz w:val="22"/>
              </w:rPr>
              <w:t> </w:t>
            </w:r>
            <w:r>
              <w:rPr>
                <w:color w:val="231F1F"/>
                <w:w w:val="110"/>
                <w:sz w:val="22"/>
              </w:rPr>
              <w:t>posición supina durante la segunda etapa del parto(130).</w:t>
            </w:r>
          </w:p>
        </w:tc>
        <w:tc>
          <w:tcPr>
            <w:tcW w:w="1133" w:type="dxa"/>
          </w:tcPr>
          <w:p>
            <w:pPr>
              <w:pStyle w:val="TableParagraph"/>
              <w:spacing w:before="179"/>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906" w:hRule="atLeast"/>
        </w:trPr>
        <w:tc>
          <w:tcPr>
            <w:tcW w:w="7373" w:type="dxa"/>
          </w:tcPr>
          <w:p>
            <w:pPr>
              <w:pStyle w:val="TableParagraph"/>
              <w:spacing w:line="244" w:lineRule="auto" w:before="15"/>
              <w:ind w:right="88"/>
              <w:jc w:val="both"/>
              <w:rPr>
                <w:sz w:val="22"/>
              </w:rPr>
            </w:pPr>
            <w:r>
              <w:rPr>
                <w:color w:val="231F1F"/>
                <w:w w:val="110"/>
                <w:sz w:val="22"/>
              </w:rPr>
              <w:t>La posición sentada es un factor protector del trauma perineal y también proporciona un mayor confort y autonomía de la madre en el nacimiento </w:t>
            </w:r>
            <w:r>
              <w:rPr>
                <w:color w:val="231F1F"/>
                <w:spacing w:val="-2"/>
                <w:w w:val="110"/>
                <w:sz w:val="22"/>
              </w:rPr>
              <w:t>(132)</w:t>
            </w:r>
          </w:p>
        </w:tc>
        <w:tc>
          <w:tcPr>
            <w:tcW w:w="1133" w:type="dxa"/>
          </w:tcPr>
          <w:p>
            <w:pPr>
              <w:pStyle w:val="TableParagraph"/>
              <w:spacing w:before="40"/>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77"/>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6" w:hRule="atLeast"/>
        </w:trPr>
        <w:tc>
          <w:tcPr>
            <w:tcW w:w="456" w:type="dxa"/>
          </w:tcPr>
          <w:p>
            <w:pPr>
              <w:pStyle w:val="TableParagraph"/>
              <w:spacing w:before="183"/>
              <w:rPr>
                <w:sz w:val="22"/>
              </w:rPr>
            </w:pPr>
            <w:r>
              <w:rPr>
                <w:color w:val="231F1F"/>
                <w:spacing w:val="-10"/>
                <w:w w:val="115"/>
                <w:sz w:val="22"/>
              </w:rPr>
              <w:t>A</w:t>
            </w:r>
          </w:p>
        </w:tc>
        <w:tc>
          <w:tcPr>
            <w:tcW w:w="8050" w:type="dxa"/>
          </w:tcPr>
          <w:p>
            <w:pPr>
              <w:pStyle w:val="TableParagraph"/>
              <w:spacing w:line="249" w:lineRule="auto" w:before="68"/>
              <w:ind w:right="155"/>
              <w:rPr>
                <w:sz w:val="22"/>
              </w:rPr>
            </w:pPr>
            <w:r>
              <w:rPr>
                <w:color w:val="231F1F"/>
                <w:sz w:val="22"/>
              </w:rPr>
              <w:t>Se</w:t>
            </w:r>
            <w:r>
              <w:rPr>
                <w:color w:val="231F1F"/>
                <w:spacing w:val="24"/>
                <w:sz w:val="22"/>
              </w:rPr>
              <w:t> </w:t>
            </w:r>
            <w:r>
              <w:rPr>
                <w:color w:val="231F1F"/>
                <w:sz w:val="22"/>
              </w:rPr>
              <w:t>recomienda</w:t>
            </w:r>
            <w:r>
              <w:rPr>
                <w:color w:val="231F1F"/>
                <w:spacing w:val="26"/>
                <w:sz w:val="22"/>
              </w:rPr>
              <w:t> </w:t>
            </w:r>
            <w:r>
              <w:rPr>
                <w:color w:val="231F1F"/>
                <w:sz w:val="22"/>
              </w:rPr>
              <w:t>que</w:t>
            </w:r>
            <w:r>
              <w:rPr>
                <w:color w:val="231F1F"/>
                <w:spacing w:val="24"/>
                <w:sz w:val="22"/>
              </w:rPr>
              <w:t> </w:t>
            </w:r>
            <w:r>
              <w:rPr>
                <w:color w:val="231F1F"/>
                <w:sz w:val="22"/>
              </w:rPr>
              <w:t>durante</w:t>
            </w:r>
            <w:r>
              <w:rPr>
                <w:color w:val="231F1F"/>
                <w:spacing w:val="24"/>
                <w:sz w:val="22"/>
              </w:rPr>
              <w:t> </w:t>
            </w:r>
            <w:r>
              <w:rPr>
                <w:color w:val="231F1F"/>
                <w:sz w:val="22"/>
              </w:rPr>
              <w:t>el</w:t>
            </w:r>
            <w:r>
              <w:rPr>
                <w:color w:val="231F1F"/>
                <w:spacing w:val="24"/>
                <w:sz w:val="22"/>
              </w:rPr>
              <w:t> </w:t>
            </w:r>
            <w:r>
              <w:rPr>
                <w:color w:val="231F1F"/>
                <w:sz w:val="22"/>
              </w:rPr>
              <w:t>parto</w:t>
            </w:r>
            <w:r>
              <w:rPr>
                <w:color w:val="231F1F"/>
                <w:spacing w:val="24"/>
                <w:sz w:val="22"/>
              </w:rPr>
              <w:t> </w:t>
            </w:r>
            <w:r>
              <w:rPr>
                <w:color w:val="231F1F"/>
                <w:sz w:val="22"/>
              </w:rPr>
              <w:t>las</w:t>
            </w:r>
            <w:r>
              <w:rPr>
                <w:color w:val="231F1F"/>
                <w:spacing w:val="24"/>
                <w:sz w:val="22"/>
              </w:rPr>
              <w:t> </w:t>
            </w:r>
            <w:r>
              <w:rPr>
                <w:color w:val="231F1F"/>
                <w:sz w:val="22"/>
              </w:rPr>
              <w:t>mujeres</w:t>
            </w:r>
            <w:r>
              <w:rPr>
                <w:color w:val="231F1F"/>
                <w:spacing w:val="24"/>
                <w:sz w:val="22"/>
              </w:rPr>
              <w:t> </w:t>
            </w:r>
            <w:r>
              <w:rPr>
                <w:color w:val="231F1F"/>
                <w:sz w:val="22"/>
              </w:rPr>
              <w:t>adopten</w:t>
            </w:r>
            <w:r>
              <w:rPr>
                <w:color w:val="231F1F"/>
                <w:spacing w:val="24"/>
                <w:sz w:val="22"/>
              </w:rPr>
              <w:t> </w:t>
            </w:r>
            <w:r>
              <w:rPr>
                <w:color w:val="231F1F"/>
                <w:sz w:val="22"/>
              </w:rPr>
              <w:t>la</w:t>
            </w:r>
            <w:r>
              <w:rPr>
                <w:color w:val="231F1F"/>
                <w:spacing w:val="24"/>
                <w:sz w:val="22"/>
              </w:rPr>
              <w:t> </w:t>
            </w:r>
            <w:r>
              <w:rPr>
                <w:color w:val="231F1F"/>
                <w:sz w:val="22"/>
              </w:rPr>
              <w:t>posición</w:t>
            </w:r>
            <w:r>
              <w:rPr>
                <w:color w:val="231F1F"/>
                <w:spacing w:val="24"/>
                <w:sz w:val="22"/>
              </w:rPr>
              <w:t> </w:t>
            </w:r>
            <w:r>
              <w:rPr>
                <w:color w:val="231F1F"/>
                <w:sz w:val="22"/>
              </w:rPr>
              <w:t>que</w:t>
            </w:r>
            <w:r>
              <w:rPr>
                <w:color w:val="231F1F"/>
                <w:spacing w:val="24"/>
                <w:sz w:val="22"/>
              </w:rPr>
              <w:t> </w:t>
            </w:r>
            <w:r>
              <w:rPr>
                <w:color w:val="231F1F"/>
                <w:sz w:val="22"/>
              </w:rPr>
              <w:t>les</w:t>
            </w:r>
            <w:r>
              <w:rPr>
                <w:color w:val="231F1F"/>
                <w:spacing w:val="24"/>
                <w:sz w:val="22"/>
              </w:rPr>
              <w:t> </w:t>
            </w:r>
            <w:r>
              <w:rPr>
                <w:color w:val="231F1F"/>
                <w:sz w:val="22"/>
              </w:rPr>
              <w:t>sea</w:t>
            </w:r>
            <w:r>
              <w:rPr>
                <w:color w:val="231F1F"/>
                <w:spacing w:val="24"/>
                <w:sz w:val="22"/>
              </w:rPr>
              <w:t> </w:t>
            </w:r>
            <w:r>
              <w:rPr>
                <w:color w:val="231F1F"/>
                <w:sz w:val="22"/>
              </w:rPr>
              <w:t>más </w:t>
            </w:r>
            <w:r>
              <w:rPr>
                <w:color w:val="231F1F"/>
                <w:spacing w:val="-2"/>
                <w:sz w:val="22"/>
              </w:rPr>
              <w:t>cómoda.</w:t>
            </w:r>
          </w:p>
        </w:tc>
      </w:tr>
    </w:tbl>
    <w:p>
      <w:pPr>
        <w:pStyle w:val="TableParagraph"/>
        <w:spacing w:after="0" w:line="249" w:lineRule="auto"/>
        <w:rPr>
          <w:sz w:val="22"/>
        </w:rPr>
        <w:sectPr>
          <w:type w:val="continuous"/>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6" w:id="20"/>
      <w:r>
        <w:rPr>
          <w:color w:val="231F1F"/>
        </w:rPr>
        <w:t>Pujos</w:t>
      </w:r>
      <w:r>
        <w:rPr>
          <w:color w:val="231F1F"/>
          <w:spacing w:val="51"/>
        </w:rPr>
        <w:t> </w:t>
      </w:r>
      <w:r>
        <w:rPr>
          <w:color w:val="231F1F"/>
        </w:rPr>
        <w:t>maternos</w:t>
      </w:r>
      <w:r>
        <w:rPr>
          <w:color w:val="231F1F"/>
          <w:spacing w:val="52"/>
        </w:rPr>
        <w:t> </w:t>
      </w:r>
      <w:r>
        <w:rPr>
          <w:color w:val="231F1F"/>
        </w:rPr>
        <w:t>y</w:t>
      </w:r>
      <w:r>
        <w:rPr>
          <w:color w:val="231F1F"/>
          <w:spacing w:val="52"/>
        </w:rPr>
        <w:t> </w:t>
      </w:r>
      <w:r>
        <w:rPr>
          <w:color w:val="231F1F"/>
        </w:rPr>
        <w:t>pujos</w:t>
      </w:r>
      <w:r>
        <w:rPr>
          <w:color w:val="231F1F"/>
          <w:spacing w:val="51"/>
        </w:rPr>
        <w:t> </w:t>
      </w:r>
      <w:bookmarkEnd w:id="20"/>
      <w:r>
        <w:rPr>
          <w:color w:val="231F1F"/>
          <w:spacing w:val="-2"/>
        </w:rPr>
        <w:t>dirigidos</w:t>
      </w:r>
    </w:p>
    <w:p>
      <w:pPr>
        <w:pStyle w:val="BodyText"/>
        <w:spacing w:before="1"/>
        <w:rPr>
          <w:sz w:val="36"/>
        </w:rPr>
      </w:pPr>
    </w:p>
    <w:p>
      <w:pPr>
        <w:pStyle w:val="Heading3"/>
        <w:numPr>
          <w:ilvl w:val="3"/>
          <w:numId w:val="2"/>
        </w:numPr>
        <w:tabs>
          <w:tab w:pos="1158" w:val="left" w:leader="none"/>
        </w:tabs>
        <w:spacing w:line="240" w:lineRule="auto" w:before="0" w:after="0"/>
        <w:ind w:left="1158" w:right="0" w:hanging="875"/>
        <w:jc w:val="left"/>
      </w:pPr>
      <w:r>
        <w:rPr>
          <w:color w:val="231F1F"/>
        </w:rPr>
        <w:t>Pujos</w:t>
      </w:r>
      <w:r>
        <w:rPr>
          <w:color w:val="231F1F"/>
          <w:spacing w:val="36"/>
        </w:rPr>
        <w:t> </w:t>
      </w:r>
      <w:r>
        <w:rPr>
          <w:color w:val="231F1F"/>
        </w:rPr>
        <w:t>dirigidos</w:t>
      </w:r>
      <w:r>
        <w:rPr>
          <w:color w:val="231F1F"/>
          <w:spacing w:val="36"/>
        </w:rPr>
        <w:t> </w:t>
      </w:r>
      <w:r>
        <w:rPr>
          <w:color w:val="231F1F"/>
        </w:rPr>
        <w:t>o</w:t>
      </w:r>
      <w:r>
        <w:rPr>
          <w:color w:val="231F1F"/>
          <w:spacing w:val="36"/>
        </w:rPr>
        <w:t> </w:t>
      </w:r>
      <w:r>
        <w:rPr>
          <w:color w:val="231F1F"/>
          <w:spacing w:val="-2"/>
        </w:rPr>
        <w:t>espontáneos</w:t>
      </w:r>
    </w:p>
    <w:p>
      <w:pPr>
        <w:pStyle w:val="BodyText"/>
        <w:spacing w:before="19"/>
        <w:rPr>
          <w:sz w:val="20"/>
        </w:rPr>
      </w:pPr>
      <w:r>
        <w:rPr>
          <w:sz w:val="20"/>
        </w:rPr>
        <mc:AlternateContent>
          <mc:Choice Requires="wps">
            <w:drawing>
              <wp:anchor distT="0" distB="0" distL="0" distR="0" allowOverlap="1" layoutInCell="1" locked="0" behindDoc="1" simplePos="0" relativeHeight="487608832">
                <wp:simplePos x="0" y="0"/>
                <wp:positionH relativeFrom="page">
                  <wp:posOffset>1082675</wp:posOffset>
                </wp:positionH>
                <wp:positionV relativeFrom="paragraph">
                  <wp:posOffset>176594</wp:posOffset>
                </wp:positionV>
                <wp:extent cx="5400040" cy="440055"/>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5400040" cy="440055"/>
                        </a:xfrm>
                        <a:prstGeom prst="rect">
                          <a:avLst/>
                        </a:prstGeom>
                        <a:ln w="6350">
                          <a:solidFill>
                            <a:srgbClr val="A30046"/>
                          </a:solidFill>
                          <a:prstDash val="solid"/>
                        </a:ln>
                      </wps:spPr>
                      <wps:txbx>
                        <w:txbxContent>
                          <w:p>
                            <w:pPr>
                              <w:pStyle w:val="BodyText"/>
                              <w:numPr>
                                <w:ilvl w:val="0"/>
                                <w:numId w:val="41"/>
                              </w:numPr>
                              <w:tabs>
                                <w:tab w:pos="322" w:val="left" w:leader="none"/>
                                <w:tab w:pos="325" w:val="left" w:leader="none"/>
                              </w:tabs>
                              <w:spacing w:line="259" w:lineRule="auto" w:before="57" w:after="0"/>
                              <w:ind w:left="325" w:right="240" w:hanging="221"/>
                              <w:jc w:val="left"/>
                            </w:pPr>
                            <w:r>
                              <w:rPr>
                                <w:color w:val="231F1F"/>
                              </w:rPr>
                              <w:t>¿Cuál</w:t>
                            </w:r>
                            <w:r>
                              <w:rPr>
                                <w:color w:val="231F1F"/>
                                <w:spacing w:val="27"/>
                              </w:rPr>
                              <w:t> </w:t>
                            </w:r>
                            <w:r>
                              <w:rPr>
                                <w:color w:val="231F1F"/>
                              </w:rPr>
                              <w:t>es</w:t>
                            </w:r>
                            <w:r>
                              <w:rPr>
                                <w:color w:val="231F1F"/>
                                <w:spacing w:val="27"/>
                              </w:rPr>
                              <w:t> </w:t>
                            </w:r>
                            <w:r>
                              <w:rPr>
                                <w:color w:val="231F1F"/>
                              </w:rPr>
                              <w:t>la</w:t>
                            </w:r>
                            <w:r>
                              <w:rPr>
                                <w:color w:val="231F1F"/>
                                <w:spacing w:val="28"/>
                              </w:rPr>
                              <w:t> </w:t>
                            </w:r>
                            <w:r>
                              <w:rPr>
                                <w:color w:val="231F1F"/>
                              </w:rPr>
                              <w:t>efectividad</w:t>
                            </w:r>
                            <w:r>
                              <w:rPr>
                                <w:color w:val="231F1F"/>
                                <w:spacing w:val="27"/>
                              </w:rPr>
                              <w:t> </w:t>
                            </w:r>
                            <w:r>
                              <w:rPr>
                                <w:color w:val="231F1F"/>
                              </w:rPr>
                              <w:t>de</w:t>
                            </w:r>
                            <w:r>
                              <w:rPr>
                                <w:color w:val="231F1F"/>
                                <w:spacing w:val="27"/>
                              </w:rPr>
                              <w:t> </w:t>
                            </w:r>
                            <w:r>
                              <w:rPr>
                                <w:color w:val="231F1F"/>
                              </w:rPr>
                              <w:t>las</w:t>
                            </w:r>
                            <w:r>
                              <w:rPr>
                                <w:color w:val="231F1F"/>
                                <w:spacing w:val="28"/>
                              </w:rPr>
                              <w:t> </w:t>
                            </w:r>
                            <w:r>
                              <w:rPr>
                                <w:color w:val="231F1F"/>
                              </w:rPr>
                              <w:t>diferentes</w:t>
                            </w:r>
                            <w:r>
                              <w:rPr>
                                <w:color w:val="231F1F"/>
                                <w:spacing w:val="27"/>
                              </w:rPr>
                              <w:t> </w:t>
                            </w:r>
                            <w:r>
                              <w:rPr>
                                <w:color w:val="231F1F"/>
                              </w:rPr>
                              <w:t>técnicas</w:t>
                            </w:r>
                            <w:r>
                              <w:rPr>
                                <w:color w:val="231F1F"/>
                                <w:spacing w:val="30"/>
                              </w:rPr>
                              <w:t> </w:t>
                            </w:r>
                            <w:r>
                              <w:rPr>
                                <w:color w:val="231F1F"/>
                              </w:rPr>
                              <w:t>de</w:t>
                            </w:r>
                            <w:r>
                              <w:rPr>
                                <w:color w:val="231F1F"/>
                                <w:spacing w:val="27"/>
                              </w:rPr>
                              <w:t> </w:t>
                            </w:r>
                            <w:r>
                              <w:rPr>
                                <w:color w:val="231F1F"/>
                              </w:rPr>
                              <w:t>pujo</w:t>
                            </w:r>
                            <w:r>
                              <w:rPr>
                                <w:color w:val="231F1F"/>
                                <w:spacing w:val="27"/>
                              </w:rPr>
                              <w:t> </w:t>
                            </w:r>
                            <w:r>
                              <w:rPr>
                                <w:color w:val="231F1F"/>
                              </w:rPr>
                              <w:t>durante</w:t>
                            </w:r>
                            <w:r>
                              <w:rPr>
                                <w:color w:val="231F1F"/>
                                <w:spacing w:val="28"/>
                              </w:rPr>
                              <w:t> </w:t>
                            </w:r>
                            <w:r>
                              <w:rPr>
                                <w:color w:val="231F1F"/>
                              </w:rPr>
                              <w:t>la</w:t>
                            </w:r>
                            <w:r>
                              <w:rPr>
                                <w:color w:val="231F1F"/>
                                <w:spacing w:val="27"/>
                              </w:rPr>
                              <w:t> </w:t>
                            </w:r>
                            <w:r>
                              <w:rPr>
                                <w:color w:val="231F1F"/>
                              </w:rPr>
                              <w:t>segunda</w:t>
                            </w:r>
                            <w:r>
                              <w:rPr>
                                <w:color w:val="231F1F"/>
                                <w:spacing w:val="29"/>
                              </w:rPr>
                              <w:t> </w:t>
                            </w:r>
                            <w:r>
                              <w:rPr>
                                <w:color w:val="231F1F"/>
                              </w:rPr>
                              <w:t>etapa</w:t>
                            </w:r>
                            <w:r>
                              <w:rPr>
                                <w:color w:val="231F1F"/>
                                <w:spacing w:val="28"/>
                              </w:rPr>
                              <w:t> </w:t>
                            </w:r>
                            <w:r>
                              <w:rPr>
                                <w:color w:val="231F1F"/>
                              </w:rPr>
                              <w:t>del parto</w:t>
                            </w:r>
                            <w:r>
                              <w:rPr>
                                <w:color w:val="231F1F"/>
                                <w:spacing w:val="40"/>
                              </w:rPr>
                              <w:t> </w:t>
                            </w:r>
                            <w:r>
                              <w:rPr>
                                <w:color w:val="231F1F"/>
                              </w:rPr>
                              <w:t>sobre</w:t>
                            </w:r>
                            <w:r>
                              <w:rPr>
                                <w:color w:val="231F1F"/>
                                <w:spacing w:val="40"/>
                              </w:rPr>
                              <w:t> </w:t>
                            </w:r>
                            <w:r>
                              <w:rPr>
                                <w:color w:val="231F1F"/>
                              </w:rPr>
                              <w:t>los</w:t>
                            </w:r>
                            <w:r>
                              <w:rPr>
                                <w:color w:val="231F1F"/>
                                <w:spacing w:val="40"/>
                              </w:rPr>
                              <w:t> </w:t>
                            </w:r>
                            <w:r>
                              <w:rPr>
                                <w:color w:val="231F1F"/>
                              </w:rPr>
                              <w:t>resultados</w:t>
                            </w:r>
                            <w:r>
                              <w:rPr>
                                <w:color w:val="231F1F"/>
                                <w:spacing w:val="40"/>
                              </w:rPr>
                              <w:t> </w:t>
                            </w:r>
                            <w:r>
                              <w:rPr>
                                <w:color w:val="231F1F"/>
                              </w:rPr>
                              <w:t>maternos</w:t>
                            </w:r>
                            <w:r>
                              <w:rPr>
                                <w:color w:val="231F1F"/>
                                <w:spacing w:val="40"/>
                              </w:rPr>
                              <w:t> </w:t>
                            </w:r>
                            <w:r>
                              <w:rPr>
                                <w:color w:val="231F1F"/>
                              </w:rPr>
                              <w:t>y</w:t>
                            </w:r>
                            <w:r>
                              <w:rPr>
                                <w:color w:val="231F1F"/>
                                <w:spacing w:val="40"/>
                              </w:rPr>
                              <w:t> </w:t>
                            </w:r>
                            <w:r>
                              <w:rPr>
                                <w:color w:val="231F1F"/>
                              </w:rPr>
                              <w:t>neonatales?</w:t>
                            </w:r>
                          </w:p>
                        </w:txbxContent>
                      </wps:txbx>
                      <wps:bodyPr wrap="square" lIns="0" tIns="0" rIns="0" bIns="0" rtlCol="0">
                        <a:noAutofit/>
                      </wps:bodyPr>
                    </wps:wsp>
                  </a:graphicData>
                </a:graphic>
              </wp:anchor>
            </w:drawing>
          </mc:Choice>
          <mc:Fallback>
            <w:pict>
              <v:shape style="position:absolute;margin-left:85.25pt;margin-top:13.905078pt;width:425.2pt;height:34.65pt;mso-position-horizontal-relative:page;mso-position-vertical-relative:paragraph;z-index:-15707648;mso-wrap-distance-left:0;mso-wrap-distance-right:0" type="#_x0000_t202" id="docshape80" filled="false" stroked="true" strokeweight=".5pt" strokecolor="#a30046">
                <v:textbox inset="0,0,0,0">
                  <w:txbxContent>
                    <w:p>
                      <w:pPr>
                        <w:pStyle w:val="BodyText"/>
                        <w:numPr>
                          <w:ilvl w:val="0"/>
                          <w:numId w:val="41"/>
                        </w:numPr>
                        <w:tabs>
                          <w:tab w:pos="322" w:val="left" w:leader="none"/>
                          <w:tab w:pos="325" w:val="left" w:leader="none"/>
                        </w:tabs>
                        <w:spacing w:line="259" w:lineRule="auto" w:before="57" w:after="0"/>
                        <w:ind w:left="325" w:right="240" w:hanging="221"/>
                        <w:jc w:val="left"/>
                      </w:pPr>
                      <w:r>
                        <w:rPr>
                          <w:color w:val="231F1F"/>
                        </w:rPr>
                        <w:t>¿Cuál</w:t>
                      </w:r>
                      <w:r>
                        <w:rPr>
                          <w:color w:val="231F1F"/>
                          <w:spacing w:val="27"/>
                        </w:rPr>
                        <w:t> </w:t>
                      </w:r>
                      <w:r>
                        <w:rPr>
                          <w:color w:val="231F1F"/>
                        </w:rPr>
                        <w:t>es</w:t>
                      </w:r>
                      <w:r>
                        <w:rPr>
                          <w:color w:val="231F1F"/>
                          <w:spacing w:val="27"/>
                        </w:rPr>
                        <w:t> </w:t>
                      </w:r>
                      <w:r>
                        <w:rPr>
                          <w:color w:val="231F1F"/>
                        </w:rPr>
                        <w:t>la</w:t>
                      </w:r>
                      <w:r>
                        <w:rPr>
                          <w:color w:val="231F1F"/>
                          <w:spacing w:val="28"/>
                        </w:rPr>
                        <w:t> </w:t>
                      </w:r>
                      <w:r>
                        <w:rPr>
                          <w:color w:val="231F1F"/>
                        </w:rPr>
                        <w:t>efectividad</w:t>
                      </w:r>
                      <w:r>
                        <w:rPr>
                          <w:color w:val="231F1F"/>
                          <w:spacing w:val="27"/>
                        </w:rPr>
                        <w:t> </w:t>
                      </w:r>
                      <w:r>
                        <w:rPr>
                          <w:color w:val="231F1F"/>
                        </w:rPr>
                        <w:t>de</w:t>
                      </w:r>
                      <w:r>
                        <w:rPr>
                          <w:color w:val="231F1F"/>
                          <w:spacing w:val="27"/>
                        </w:rPr>
                        <w:t> </w:t>
                      </w:r>
                      <w:r>
                        <w:rPr>
                          <w:color w:val="231F1F"/>
                        </w:rPr>
                        <w:t>las</w:t>
                      </w:r>
                      <w:r>
                        <w:rPr>
                          <w:color w:val="231F1F"/>
                          <w:spacing w:val="28"/>
                        </w:rPr>
                        <w:t> </w:t>
                      </w:r>
                      <w:r>
                        <w:rPr>
                          <w:color w:val="231F1F"/>
                        </w:rPr>
                        <w:t>diferentes</w:t>
                      </w:r>
                      <w:r>
                        <w:rPr>
                          <w:color w:val="231F1F"/>
                          <w:spacing w:val="27"/>
                        </w:rPr>
                        <w:t> </w:t>
                      </w:r>
                      <w:r>
                        <w:rPr>
                          <w:color w:val="231F1F"/>
                        </w:rPr>
                        <w:t>técnicas</w:t>
                      </w:r>
                      <w:r>
                        <w:rPr>
                          <w:color w:val="231F1F"/>
                          <w:spacing w:val="30"/>
                        </w:rPr>
                        <w:t> </w:t>
                      </w:r>
                      <w:r>
                        <w:rPr>
                          <w:color w:val="231F1F"/>
                        </w:rPr>
                        <w:t>de</w:t>
                      </w:r>
                      <w:r>
                        <w:rPr>
                          <w:color w:val="231F1F"/>
                          <w:spacing w:val="27"/>
                        </w:rPr>
                        <w:t> </w:t>
                      </w:r>
                      <w:r>
                        <w:rPr>
                          <w:color w:val="231F1F"/>
                        </w:rPr>
                        <w:t>pujo</w:t>
                      </w:r>
                      <w:r>
                        <w:rPr>
                          <w:color w:val="231F1F"/>
                          <w:spacing w:val="27"/>
                        </w:rPr>
                        <w:t> </w:t>
                      </w:r>
                      <w:r>
                        <w:rPr>
                          <w:color w:val="231F1F"/>
                        </w:rPr>
                        <w:t>durante</w:t>
                      </w:r>
                      <w:r>
                        <w:rPr>
                          <w:color w:val="231F1F"/>
                          <w:spacing w:val="28"/>
                        </w:rPr>
                        <w:t> </w:t>
                      </w:r>
                      <w:r>
                        <w:rPr>
                          <w:color w:val="231F1F"/>
                        </w:rPr>
                        <w:t>la</w:t>
                      </w:r>
                      <w:r>
                        <w:rPr>
                          <w:color w:val="231F1F"/>
                          <w:spacing w:val="27"/>
                        </w:rPr>
                        <w:t> </w:t>
                      </w:r>
                      <w:r>
                        <w:rPr>
                          <w:color w:val="231F1F"/>
                        </w:rPr>
                        <w:t>segunda</w:t>
                      </w:r>
                      <w:r>
                        <w:rPr>
                          <w:color w:val="231F1F"/>
                          <w:spacing w:val="29"/>
                        </w:rPr>
                        <w:t> </w:t>
                      </w:r>
                      <w:r>
                        <w:rPr>
                          <w:color w:val="231F1F"/>
                        </w:rPr>
                        <w:t>etapa</w:t>
                      </w:r>
                      <w:r>
                        <w:rPr>
                          <w:color w:val="231F1F"/>
                          <w:spacing w:val="28"/>
                        </w:rPr>
                        <w:t> </w:t>
                      </w:r>
                      <w:r>
                        <w:rPr>
                          <w:color w:val="231F1F"/>
                        </w:rPr>
                        <w:t>del parto</w:t>
                      </w:r>
                      <w:r>
                        <w:rPr>
                          <w:color w:val="231F1F"/>
                          <w:spacing w:val="40"/>
                        </w:rPr>
                        <w:t> </w:t>
                      </w:r>
                      <w:r>
                        <w:rPr>
                          <w:color w:val="231F1F"/>
                        </w:rPr>
                        <w:t>sobre</w:t>
                      </w:r>
                      <w:r>
                        <w:rPr>
                          <w:color w:val="231F1F"/>
                          <w:spacing w:val="40"/>
                        </w:rPr>
                        <w:t> </w:t>
                      </w:r>
                      <w:r>
                        <w:rPr>
                          <w:color w:val="231F1F"/>
                        </w:rPr>
                        <w:t>los</w:t>
                      </w:r>
                      <w:r>
                        <w:rPr>
                          <w:color w:val="231F1F"/>
                          <w:spacing w:val="40"/>
                        </w:rPr>
                        <w:t> </w:t>
                      </w:r>
                      <w:r>
                        <w:rPr>
                          <w:color w:val="231F1F"/>
                        </w:rPr>
                        <w:t>resultados</w:t>
                      </w:r>
                      <w:r>
                        <w:rPr>
                          <w:color w:val="231F1F"/>
                          <w:spacing w:val="40"/>
                        </w:rPr>
                        <w:t> </w:t>
                      </w:r>
                      <w:r>
                        <w:rPr>
                          <w:color w:val="231F1F"/>
                        </w:rPr>
                        <w:t>maternos</w:t>
                      </w:r>
                      <w:r>
                        <w:rPr>
                          <w:color w:val="231F1F"/>
                          <w:spacing w:val="40"/>
                        </w:rPr>
                        <w:t> </w:t>
                      </w:r>
                      <w:r>
                        <w:rPr>
                          <w:color w:val="231F1F"/>
                        </w:rPr>
                        <w:t>y</w:t>
                      </w:r>
                      <w:r>
                        <w:rPr>
                          <w:color w:val="231F1F"/>
                          <w:spacing w:val="40"/>
                        </w:rPr>
                        <w:t> </w:t>
                      </w:r>
                      <w:r>
                        <w:rPr>
                          <w:color w:val="231F1F"/>
                        </w:rPr>
                        <w:t>neonatales?</w:t>
                      </w:r>
                    </w:p>
                  </w:txbxContent>
                </v:textbox>
                <v:stroke dashstyle="solid"/>
                <w10:wrap type="topAndBottom"/>
              </v:shape>
            </w:pict>
          </mc:Fallback>
        </mc:AlternateContent>
      </w:r>
    </w:p>
    <w:p>
      <w:pPr>
        <w:pStyle w:val="BodyText"/>
        <w:spacing w:line="244" w:lineRule="auto" w:before="324"/>
        <w:ind w:left="284" w:right="123"/>
        <w:jc w:val="both"/>
      </w:pPr>
      <w:r>
        <w:rPr>
          <w:color w:val="231F1F"/>
          <w:w w:val="110"/>
        </w:rPr>
        <w:t>Una</w:t>
      </w:r>
      <w:r>
        <w:rPr>
          <w:color w:val="231F1F"/>
          <w:spacing w:val="-6"/>
          <w:w w:val="110"/>
        </w:rPr>
        <w:t> </w:t>
      </w:r>
      <w:r>
        <w:rPr>
          <w:color w:val="231F1F"/>
          <w:w w:val="110"/>
        </w:rPr>
        <w:t>práctica</w:t>
      </w:r>
      <w:r>
        <w:rPr>
          <w:color w:val="231F1F"/>
          <w:spacing w:val="-7"/>
          <w:w w:val="110"/>
        </w:rPr>
        <w:t> </w:t>
      </w:r>
      <w:r>
        <w:rPr>
          <w:color w:val="231F1F"/>
          <w:w w:val="110"/>
        </w:rPr>
        <w:t>obstétrica</w:t>
      </w:r>
      <w:r>
        <w:rPr>
          <w:color w:val="231F1F"/>
          <w:spacing w:val="-6"/>
          <w:w w:val="110"/>
        </w:rPr>
        <w:t> </w:t>
      </w:r>
      <w:r>
        <w:rPr>
          <w:color w:val="231F1F"/>
          <w:w w:val="110"/>
        </w:rPr>
        <w:t>objeto</w:t>
      </w:r>
      <w:r>
        <w:rPr>
          <w:color w:val="231F1F"/>
          <w:spacing w:val="-6"/>
          <w:w w:val="110"/>
        </w:rPr>
        <w:t> </w:t>
      </w:r>
      <w:r>
        <w:rPr>
          <w:color w:val="231F1F"/>
          <w:w w:val="110"/>
        </w:rPr>
        <w:t>de</w:t>
      </w:r>
      <w:r>
        <w:rPr>
          <w:color w:val="231F1F"/>
          <w:spacing w:val="-6"/>
          <w:w w:val="110"/>
        </w:rPr>
        <w:t> </w:t>
      </w:r>
      <w:r>
        <w:rPr>
          <w:color w:val="231F1F"/>
          <w:w w:val="110"/>
        </w:rPr>
        <w:t>controversia</w:t>
      </w:r>
      <w:r>
        <w:rPr>
          <w:color w:val="231F1F"/>
          <w:spacing w:val="-6"/>
          <w:w w:val="110"/>
        </w:rPr>
        <w:t> </w:t>
      </w:r>
      <w:r>
        <w:rPr>
          <w:color w:val="231F1F"/>
          <w:w w:val="110"/>
        </w:rPr>
        <w:t>es</w:t>
      </w:r>
      <w:r>
        <w:rPr>
          <w:color w:val="231F1F"/>
          <w:spacing w:val="-6"/>
          <w:w w:val="110"/>
        </w:rPr>
        <w:t> </w:t>
      </w:r>
      <w:r>
        <w:rPr>
          <w:color w:val="231F1F"/>
          <w:w w:val="110"/>
        </w:rPr>
        <w:t>la</w:t>
      </w:r>
      <w:r>
        <w:rPr>
          <w:color w:val="231F1F"/>
          <w:spacing w:val="-6"/>
          <w:w w:val="110"/>
        </w:rPr>
        <w:t> </w:t>
      </w:r>
      <w:r>
        <w:rPr>
          <w:color w:val="231F1F"/>
          <w:w w:val="110"/>
        </w:rPr>
        <w:t>de</w:t>
      </w:r>
      <w:r>
        <w:rPr>
          <w:color w:val="231F1F"/>
          <w:spacing w:val="-6"/>
          <w:w w:val="110"/>
        </w:rPr>
        <w:t> </w:t>
      </w:r>
      <w:r>
        <w:rPr>
          <w:color w:val="231F1F"/>
          <w:w w:val="110"/>
        </w:rPr>
        <w:t>dirigir</w:t>
      </w:r>
      <w:r>
        <w:rPr>
          <w:color w:val="231F1F"/>
          <w:spacing w:val="-6"/>
          <w:w w:val="110"/>
        </w:rPr>
        <w:t> </w:t>
      </w:r>
      <w:r>
        <w:rPr>
          <w:color w:val="231F1F"/>
          <w:w w:val="110"/>
        </w:rPr>
        <w:t>los</w:t>
      </w:r>
      <w:r>
        <w:rPr>
          <w:color w:val="231F1F"/>
          <w:spacing w:val="-6"/>
          <w:w w:val="110"/>
        </w:rPr>
        <w:t> </w:t>
      </w:r>
      <w:r>
        <w:rPr>
          <w:color w:val="231F1F"/>
          <w:w w:val="110"/>
        </w:rPr>
        <w:t>pujos</w:t>
      </w:r>
      <w:r>
        <w:rPr>
          <w:color w:val="231F1F"/>
          <w:spacing w:val="-6"/>
          <w:w w:val="110"/>
        </w:rPr>
        <w:t> </w:t>
      </w:r>
      <w:r>
        <w:rPr>
          <w:color w:val="231F1F"/>
          <w:w w:val="110"/>
        </w:rPr>
        <w:t>maternos</w:t>
      </w:r>
      <w:r>
        <w:rPr>
          <w:color w:val="231F1F"/>
          <w:spacing w:val="-6"/>
          <w:w w:val="110"/>
        </w:rPr>
        <w:t> </w:t>
      </w:r>
      <w:r>
        <w:rPr>
          <w:color w:val="231F1F"/>
          <w:w w:val="110"/>
        </w:rPr>
        <w:t>durante la segunda etapa del parto. De hecho, los beneficios del pujo dirigido son cada vez más debatidos,</w:t>
      </w:r>
      <w:r>
        <w:rPr>
          <w:color w:val="231F1F"/>
          <w:spacing w:val="-15"/>
          <w:w w:val="110"/>
        </w:rPr>
        <w:t> </w:t>
      </w:r>
      <w:r>
        <w:rPr>
          <w:color w:val="231F1F"/>
          <w:w w:val="110"/>
        </w:rPr>
        <w:t>aunque</w:t>
      </w:r>
      <w:r>
        <w:rPr>
          <w:color w:val="231F1F"/>
          <w:spacing w:val="-14"/>
          <w:w w:val="110"/>
        </w:rPr>
        <w:t> </w:t>
      </w:r>
      <w:r>
        <w:rPr>
          <w:color w:val="231F1F"/>
          <w:w w:val="110"/>
        </w:rPr>
        <w:t>el</w:t>
      </w:r>
      <w:r>
        <w:rPr>
          <w:color w:val="231F1F"/>
          <w:spacing w:val="-15"/>
          <w:w w:val="110"/>
        </w:rPr>
        <w:t> </w:t>
      </w:r>
      <w:r>
        <w:rPr>
          <w:color w:val="231F1F"/>
          <w:w w:val="110"/>
        </w:rPr>
        <w:t>amplio</w:t>
      </w:r>
      <w:r>
        <w:rPr>
          <w:color w:val="231F1F"/>
          <w:spacing w:val="-15"/>
          <w:w w:val="110"/>
        </w:rPr>
        <w:t> </w:t>
      </w:r>
      <w:r>
        <w:rPr>
          <w:color w:val="231F1F"/>
          <w:w w:val="110"/>
        </w:rPr>
        <w:t>uso</w:t>
      </w:r>
      <w:r>
        <w:rPr>
          <w:color w:val="231F1F"/>
          <w:spacing w:val="-14"/>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analgesia</w:t>
      </w:r>
      <w:r>
        <w:rPr>
          <w:color w:val="231F1F"/>
          <w:spacing w:val="-14"/>
          <w:w w:val="110"/>
        </w:rPr>
        <w:t> </w:t>
      </w:r>
      <w:r>
        <w:rPr>
          <w:color w:val="231F1F"/>
          <w:w w:val="110"/>
        </w:rPr>
        <w:t>neuroaxial</w:t>
      </w:r>
      <w:r>
        <w:rPr>
          <w:color w:val="231F1F"/>
          <w:spacing w:val="-15"/>
          <w:w w:val="110"/>
        </w:rPr>
        <w:t> </w:t>
      </w:r>
      <w:r>
        <w:rPr>
          <w:color w:val="231F1F"/>
          <w:w w:val="110"/>
        </w:rPr>
        <w:t>hace</w:t>
      </w:r>
      <w:r>
        <w:rPr>
          <w:color w:val="231F1F"/>
          <w:spacing w:val="-15"/>
          <w:w w:val="110"/>
        </w:rPr>
        <w:t> </w:t>
      </w:r>
      <w:r>
        <w:rPr>
          <w:color w:val="231F1F"/>
          <w:w w:val="110"/>
        </w:rPr>
        <w:t>que</w:t>
      </w:r>
      <w:r>
        <w:rPr>
          <w:color w:val="231F1F"/>
          <w:spacing w:val="-15"/>
          <w:w w:val="110"/>
        </w:rPr>
        <w:t> </w:t>
      </w:r>
      <w:r>
        <w:rPr>
          <w:color w:val="231F1F"/>
          <w:w w:val="110"/>
        </w:rPr>
        <w:t>sea</w:t>
      </w:r>
      <w:r>
        <w:rPr>
          <w:color w:val="231F1F"/>
          <w:spacing w:val="-15"/>
          <w:w w:val="110"/>
        </w:rPr>
        <w:t> </w:t>
      </w:r>
      <w:r>
        <w:rPr>
          <w:color w:val="231F1F"/>
          <w:w w:val="110"/>
        </w:rPr>
        <w:t>necesario</w:t>
      </w:r>
      <w:r>
        <w:rPr>
          <w:color w:val="231F1F"/>
          <w:spacing w:val="-15"/>
          <w:w w:val="110"/>
        </w:rPr>
        <w:t> </w:t>
      </w:r>
      <w:r>
        <w:rPr>
          <w:color w:val="231F1F"/>
          <w:w w:val="110"/>
        </w:rPr>
        <w:t>en</w:t>
      </w:r>
      <w:r>
        <w:rPr>
          <w:color w:val="231F1F"/>
          <w:spacing w:val="-14"/>
          <w:w w:val="110"/>
        </w:rPr>
        <w:t> </w:t>
      </w:r>
      <w:r>
        <w:rPr>
          <w:color w:val="231F1F"/>
          <w:w w:val="110"/>
        </w:rPr>
        <w:t>mu- chas ocasiones dirigir el pujo</w:t>
      </w:r>
    </w:p>
    <w:p>
      <w:pPr>
        <w:pStyle w:val="BodyText"/>
        <w:spacing w:before="164"/>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2" w:lineRule="auto" w:before="214"/>
        <w:ind w:left="283" w:right="1371"/>
        <w:jc w:val="both"/>
      </w:pPr>
      <w:r>
        <w:rPr>
          <w:color w:val="231F1F"/>
          <w:w w:val="110"/>
        </w:rPr>
        <w:t>La</w:t>
      </w:r>
      <w:r>
        <w:rPr>
          <w:color w:val="231F1F"/>
          <w:spacing w:val="-10"/>
          <w:w w:val="110"/>
        </w:rPr>
        <w:t> </w:t>
      </w:r>
      <w:r>
        <w:rPr>
          <w:color w:val="231F1F"/>
          <w:w w:val="110"/>
        </w:rPr>
        <w:t>guía</w:t>
      </w:r>
      <w:r>
        <w:rPr>
          <w:color w:val="231F1F"/>
          <w:spacing w:val="-10"/>
          <w:w w:val="110"/>
        </w:rPr>
        <w:t> </w:t>
      </w:r>
      <w:r>
        <w:rPr>
          <w:color w:val="231F1F"/>
          <w:w w:val="110"/>
        </w:rPr>
        <w:t>NICE</w:t>
      </w:r>
      <w:r>
        <w:rPr>
          <w:color w:val="231F1F"/>
          <w:spacing w:val="-9"/>
          <w:w w:val="110"/>
        </w:rPr>
        <w:t> </w:t>
      </w:r>
      <w:r>
        <w:rPr>
          <w:color w:val="231F1F"/>
          <w:w w:val="110"/>
        </w:rPr>
        <w:t>(10)</w:t>
      </w:r>
      <w:r>
        <w:rPr>
          <w:color w:val="231F1F"/>
          <w:spacing w:val="-9"/>
          <w:w w:val="110"/>
        </w:rPr>
        <w:t> </w:t>
      </w:r>
      <w:r>
        <w:rPr>
          <w:color w:val="231F1F"/>
          <w:w w:val="110"/>
        </w:rPr>
        <w:t>responde</w:t>
      </w:r>
      <w:r>
        <w:rPr>
          <w:color w:val="231F1F"/>
          <w:spacing w:val="-9"/>
          <w:w w:val="110"/>
        </w:rPr>
        <w:t> </w:t>
      </w:r>
      <w:r>
        <w:rPr>
          <w:color w:val="231F1F"/>
          <w:w w:val="110"/>
        </w:rPr>
        <w:t>a</w:t>
      </w:r>
      <w:r>
        <w:rPr>
          <w:color w:val="231F1F"/>
          <w:spacing w:val="-10"/>
          <w:w w:val="110"/>
        </w:rPr>
        <w:t> </w:t>
      </w:r>
      <w:r>
        <w:rPr>
          <w:color w:val="231F1F"/>
          <w:w w:val="110"/>
        </w:rPr>
        <w:t>esta</w:t>
      </w:r>
      <w:r>
        <w:rPr>
          <w:color w:val="231F1F"/>
          <w:spacing w:val="-9"/>
          <w:w w:val="110"/>
        </w:rPr>
        <w:t> </w:t>
      </w:r>
      <w:r>
        <w:rPr>
          <w:color w:val="231F1F"/>
          <w:w w:val="110"/>
        </w:rPr>
        <w:t>pregunta</w:t>
      </w:r>
      <w:r>
        <w:rPr>
          <w:color w:val="231F1F"/>
          <w:spacing w:val="-10"/>
          <w:w w:val="110"/>
        </w:rPr>
        <w:t> </w:t>
      </w:r>
      <w:r>
        <w:rPr>
          <w:color w:val="231F1F"/>
          <w:w w:val="110"/>
        </w:rPr>
        <w:t>en</w:t>
      </w:r>
      <w:r>
        <w:rPr>
          <w:color w:val="231F1F"/>
          <w:spacing w:val="-9"/>
          <w:w w:val="110"/>
        </w:rPr>
        <w:t> </w:t>
      </w:r>
      <w:r>
        <w:rPr>
          <w:color w:val="231F1F"/>
          <w:w w:val="110"/>
        </w:rPr>
        <w:t>dos</w:t>
      </w:r>
      <w:r>
        <w:rPr>
          <w:color w:val="231F1F"/>
          <w:spacing w:val="-10"/>
          <w:w w:val="110"/>
        </w:rPr>
        <w:t> </w:t>
      </w:r>
      <w:r>
        <w:rPr>
          <w:color w:val="231F1F"/>
          <w:w w:val="110"/>
        </w:rPr>
        <w:t>apartados,</w:t>
      </w:r>
      <w:r>
        <w:rPr>
          <w:color w:val="231F1F"/>
          <w:spacing w:val="-9"/>
          <w:w w:val="110"/>
        </w:rPr>
        <w:t> </w:t>
      </w:r>
      <w:r>
        <w:rPr>
          <w:color w:val="231F1F"/>
          <w:w w:val="110"/>
        </w:rPr>
        <w:t>en</w:t>
      </w:r>
      <w:r>
        <w:rPr>
          <w:color w:val="231F1F"/>
          <w:spacing w:val="-9"/>
          <w:w w:val="110"/>
        </w:rPr>
        <w:t> </w:t>
      </w:r>
      <w:r>
        <w:rPr>
          <w:color w:val="231F1F"/>
          <w:w w:val="110"/>
        </w:rPr>
        <w:t>el</w:t>
      </w:r>
      <w:r>
        <w:rPr>
          <w:color w:val="231F1F"/>
          <w:spacing w:val="-10"/>
          <w:w w:val="110"/>
        </w:rPr>
        <w:t> </w:t>
      </w:r>
      <w:r>
        <w:rPr>
          <w:color w:val="231F1F"/>
          <w:w w:val="110"/>
        </w:rPr>
        <w:t>primero sólo</w:t>
      </w:r>
      <w:r>
        <w:rPr>
          <w:color w:val="231F1F"/>
          <w:spacing w:val="-5"/>
          <w:w w:val="110"/>
        </w:rPr>
        <w:t> </w:t>
      </w:r>
      <w:r>
        <w:rPr>
          <w:color w:val="231F1F"/>
          <w:w w:val="110"/>
        </w:rPr>
        <w:t>tiene</w:t>
      </w:r>
      <w:r>
        <w:rPr>
          <w:color w:val="231F1F"/>
          <w:spacing w:val="-5"/>
          <w:w w:val="110"/>
        </w:rPr>
        <w:t> </w:t>
      </w:r>
      <w:r>
        <w:rPr>
          <w:color w:val="231F1F"/>
          <w:w w:val="110"/>
        </w:rPr>
        <w:t>en</w:t>
      </w:r>
      <w:r>
        <w:rPr>
          <w:color w:val="231F1F"/>
          <w:spacing w:val="-5"/>
          <w:w w:val="110"/>
        </w:rPr>
        <w:t> </w:t>
      </w:r>
      <w:r>
        <w:rPr>
          <w:color w:val="231F1F"/>
          <w:w w:val="110"/>
        </w:rPr>
        <w:t>consideración</w:t>
      </w:r>
      <w:r>
        <w:rPr>
          <w:color w:val="231F1F"/>
          <w:spacing w:val="-4"/>
          <w:w w:val="110"/>
        </w:rPr>
        <w:t> </w:t>
      </w:r>
      <w:r>
        <w:rPr>
          <w:color w:val="231F1F"/>
          <w:w w:val="110"/>
        </w:rPr>
        <w:t>artículos</w:t>
      </w:r>
      <w:r>
        <w:rPr>
          <w:color w:val="231F1F"/>
          <w:spacing w:val="-5"/>
          <w:w w:val="110"/>
        </w:rPr>
        <w:t> </w:t>
      </w:r>
      <w:r>
        <w:rPr>
          <w:color w:val="231F1F"/>
          <w:w w:val="110"/>
        </w:rPr>
        <w:t>de</w:t>
      </w:r>
      <w:r>
        <w:rPr>
          <w:color w:val="231F1F"/>
          <w:spacing w:val="-5"/>
          <w:w w:val="110"/>
        </w:rPr>
        <w:t> </w:t>
      </w:r>
      <w:r>
        <w:rPr>
          <w:color w:val="231F1F"/>
          <w:w w:val="110"/>
        </w:rPr>
        <w:t>mujeres</w:t>
      </w:r>
      <w:r>
        <w:rPr>
          <w:color w:val="231F1F"/>
          <w:spacing w:val="-5"/>
          <w:w w:val="110"/>
        </w:rPr>
        <w:t> </w:t>
      </w:r>
      <w:r>
        <w:rPr>
          <w:color w:val="231F1F"/>
          <w:w w:val="110"/>
        </w:rPr>
        <w:t>de</w:t>
      </w:r>
      <w:r>
        <w:rPr>
          <w:color w:val="231F1F"/>
          <w:spacing w:val="-5"/>
          <w:w w:val="110"/>
        </w:rPr>
        <w:t> </w:t>
      </w:r>
      <w:r>
        <w:rPr>
          <w:color w:val="231F1F"/>
          <w:w w:val="110"/>
        </w:rPr>
        <w:t>parto</w:t>
      </w:r>
      <w:r>
        <w:rPr>
          <w:color w:val="231F1F"/>
          <w:spacing w:val="-5"/>
          <w:w w:val="110"/>
        </w:rPr>
        <w:t> </w:t>
      </w:r>
      <w:r>
        <w:rPr>
          <w:color w:val="231F1F"/>
          <w:w w:val="110"/>
        </w:rPr>
        <w:t>sin</w:t>
      </w:r>
      <w:r>
        <w:rPr>
          <w:color w:val="231F1F"/>
          <w:spacing w:val="-5"/>
          <w:w w:val="110"/>
        </w:rPr>
        <w:t> </w:t>
      </w:r>
      <w:r>
        <w:rPr>
          <w:color w:val="231F1F"/>
          <w:w w:val="110"/>
        </w:rPr>
        <w:t>analgesia</w:t>
      </w:r>
      <w:r>
        <w:rPr>
          <w:color w:val="231F1F"/>
          <w:spacing w:val="-5"/>
          <w:w w:val="110"/>
        </w:rPr>
        <w:t> </w:t>
      </w:r>
      <w:r>
        <w:rPr>
          <w:color w:val="231F1F"/>
          <w:w w:val="110"/>
        </w:rPr>
        <w:t>neu- roaxial,</w:t>
      </w:r>
      <w:r>
        <w:rPr>
          <w:color w:val="231F1F"/>
          <w:spacing w:val="-15"/>
          <w:w w:val="110"/>
        </w:rPr>
        <w:t> </w:t>
      </w:r>
      <w:r>
        <w:rPr>
          <w:color w:val="231F1F"/>
          <w:w w:val="110"/>
        </w:rPr>
        <w:t>y</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segundo</w:t>
      </w:r>
      <w:r>
        <w:rPr>
          <w:color w:val="231F1F"/>
          <w:spacing w:val="-15"/>
          <w:w w:val="110"/>
        </w:rPr>
        <w:t> </w:t>
      </w:r>
      <w:r>
        <w:rPr>
          <w:color w:val="231F1F"/>
          <w:w w:val="110"/>
        </w:rPr>
        <w:t>artículos</w:t>
      </w:r>
      <w:r>
        <w:rPr>
          <w:color w:val="231F1F"/>
          <w:spacing w:val="-15"/>
          <w:w w:val="110"/>
        </w:rPr>
        <w:t> </w:t>
      </w:r>
      <w:r>
        <w:rPr>
          <w:color w:val="231F1F"/>
          <w:w w:val="110"/>
        </w:rPr>
        <w:t>evalúan</w:t>
      </w:r>
      <w:r>
        <w:rPr>
          <w:color w:val="231F1F"/>
          <w:spacing w:val="-15"/>
          <w:w w:val="110"/>
        </w:rPr>
        <w:t> </w:t>
      </w:r>
      <w:r>
        <w:rPr>
          <w:color w:val="231F1F"/>
          <w:w w:val="110"/>
        </w:rPr>
        <w:t>los</w:t>
      </w:r>
      <w:r>
        <w:rPr>
          <w:color w:val="231F1F"/>
          <w:spacing w:val="-15"/>
          <w:w w:val="110"/>
        </w:rPr>
        <w:t> </w:t>
      </w:r>
      <w:r>
        <w:rPr>
          <w:color w:val="231F1F"/>
          <w:w w:val="110"/>
        </w:rPr>
        <w:t>efectos</w:t>
      </w:r>
      <w:r>
        <w:rPr>
          <w:color w:val="231F1F"/>
          <w:spacing w:val="-15"/>
          <w:w w:val="110"/>
        </w:rPr>
        <w:t> </w:t>
      </w:r>
      <w:r>
        <w:rPr>
          <w:color w:val="231F1F"/>
          <w:w w:val="110"/>
        </w:rPr>
        <w:t>en</w:t>
      </w:r>
      <w:r>
        <w:rPr>
          <w:color w:val="231F1F"/>
          <w:spacing w:val="-15"/>
          <w:w w:val="110"/>
        </w:rPr>
        <w:t> </w:t>
      </w:r>
      <w:r>
        <w:rPr>
          <w:color w:val="231F1F"/>
          <w:w w:val="110"/>
        </w:rPr>
        <w:t>mujeres</w:t>
      </w:r>
      <w:r>
        <w:rPr>
          <w:color w:val="231F1F"/>
          <w:spacing w:val="-15"/>
          <w:w w:val="110"/>
        </w:rPr>
        <w:t> </w:t>
      </w:r>
      <w:r>
        <w:rPr>
          <w:color w:val="231F1F"/>
          <w:w w:val="110"/>
        </w:rPr>
        <w:t>que</w:t>
      </w:r>
      <w:r>
        <w:rPr>
          <w:color w:val="231F1F"/>
          <w:spacing w:val="-15"/>
          <w:w w:val="110"/>
        </w:rPr>
        <w:t> </w:t>
      </w:r>
      <w:r>
        <w:rPr>
          <w:color w:val="231F1F"/>
          <w:w w:val="110"/>
        </w:rPr>
        <w:t>reciben algún tipo de analgesia neuroaxial.</w:t>
      </w:r>
    </w:p>
    <w:p>
      <w:pPr>
        <w:pStyle w:val="BodyText"/>
        <w:spacing w:before="165"/>
      </w:pPr>
    </w:p>
    <w:p>
      <w:pPr>
        <w:pStyle w:val="Heading5"/>
        <w:ind w:left="287"/>
        <w:jc w:val="both"/>
      </w:pPr>
      <w:r>
        <w:rPr>
          <w:color w:val="231F1F"/>
        </w:rPr>
        <w:t>Pujos</w:t>
      </w:r>
      <w:r>
        <w:rPr>
          <w:color w:val="231F1F"/>
          <w:spacing w:val="-17"/>
        </w:rPr>
        <w:t> </w:t>
      </w:r>
      <w:r>
        <w:rPr>
          <w:color w:val="231F1F"/>
        </w:rPr>
        <w:t>maternos</w:t>
      </w:r>
      <w:r>
        <w:rPr>
          <w:color w:val="231F1F"/>
          <w:spacing w:val="-16"/>
        </w:rPr>
        <w:t> </w:t>
      </w:r>
      <w:r>
        <w:rPr>
          <w:color w:val="231F1F"/>
        </w:rPr>
        <w:t>en</w:t>
      </w:r>
      <w:r>
        <w:rPr>
          <w:color w:val="231F1F"/>
          <w:spacing w:val="-16"/>
        </w:rPr>
        <w:t> </w:t>
      </w:r>
      <w:r>
        <w:rPr>
          <w:color w:val="231F1F"/>
        </w:rPr>
        <w:t>mujeres</w:t>
      </w:r>
      <w:r>
        <w:rPr>
          <w:color w:val="231F1F"/>
          <w:spacing w:val="-17"/>
        </w:rPr>
        <w:t> </w:t>
      </w:r>
      <w:r>
        <w:rPr>
          <w:color w:val="231F1F"/>
        </w:rPr>
        <w:t>sin</w:t>
      </w:r>
      <w:r>
        <w:rPr>
          <w:color w:val="231F1F"/>
          <w:spacing w:val="-15"/>
        </w:rPr>
        <w:t> </w:t>
      </w:r>
      <w:r>
        <w:rPr>
          <w:color w:val="231F1F"/>
        </w:rPr>
        <w:t>analgesia</w:t>
      </w:r>
      <w:r>
        <w:rPr>
          <w:color w:val="231F1F"/>
          <w:spacing w:val="-16"/>
        </w:rPr>
        <w:t> </w:t>
      </w:r>
      <w:r>
        <w:rPr>
          <w:color w:val="231F1F"/>
          <w:spacing w:val="-2"/>
        </w:rPr>
        <w:t>neuroaxial</w:t>
      </w:r>
    </w:p>
    <w:p>
      <w:pPr>
        <w:pStyle w:val="BodyText"/>
        <w:spacing w:line="266" w:lineRule="auto" w:before="228"/>
        <w:ind w:left="287" w:right="1472"/>
      </w:pPr>
      <w:r>
        <w:rPr>
          <w:color w:val="231F1F"/>
        </w:rPr>
        <w:t>La guía de NICE (10) incluyó dos ECAs (134;135) de buena calidad realizados en EEUU, que compararon el efecto del pujo dirigido y no dirigido durante la segunda</w:t>
      </w:r>
      <w:r>
        <w:rPr>
          <w:color w:val="231F1F"/>
          <w:spacing w:val="27"/>
        </w:rPr>
        <w:t> </w:t>
      </w:r>
      <w:r>
        <w:rPr>
          <w:color w:val="231F1F"/>
        </w:rPr>
        <w:t>etapa</w:t>
      </w:r>
      <w:r>
        <w:rPr>
          <w:color w:val="231F1F"/>
          <w:spacing w:val="26"/>
        </w:rPr>
        <w:t> </w:t>
      </w:r>
      <w:r>
        <w:rPr>
          <w:color w:val="231F1F"/>
        </w:rPr>
        <w:t>del</w:t>
      </w:r>
      <w:r>
        <w:rPr>
          <w:color w:val="231F1F"/>
          <w:spacing w:val="25"/>
        </w:rPr>
        <w:t> </w:t>
      </w:r>
      <w:r>
        <w:rPr>
          <w:color w:val="231F1F"/>
        </w:rPr>
        <w:t>parto.</w:t>
      </w:r>
      <w:r>
        <w:rPr>
          <w:color w:val="231F1F"/>
          <w:spacing w:val="26"/>
        </w:rPr>
        <w:t> </w:t>
      </w:r>
      <w:r>
        <w:rPr>
          <w:color w:val="231F1F"/>
        </w:rPr>
        <w:t>También</w:t>
      </w:r>
      <w:r>
        <w:rPr>
          <w:color w:val="231F1F"/>
          <w:spacing w:val="26"/>
        </w:rPr>
        <w:t> </w:t>
      </w:r>
      <w:r>
        <w:rPr>
          <w:color w:val="231F1F"/>
        </w:rPr>
        <w:t>fueron</w:t>
      </w:r>
      <w:r>
        <w:rPr>
          <w:color w:val="231F1F"/>
          <w:spacing w:val="25"/>
        </w:rPr>
        <w:t> </w:t>
      </w:r>
      <w:r>
        <w:rPr>
          <w:color w:val="231F1F"/>
        </w:rPr>
        <w:t>incluidos</w:t>
      </w:r>
      <w:r>
        <w:rPr>
          <w:color w:val="231F1F"/>
          <w:spacing w:val="28"/>
        </w:rPr>
        <w:t> </w:t>
      </w:r>
      <w:r>
        <w:rPr>
          <w:color w:val="231F1F"/>
        </w:rPr>
        <w:t>otros</w:t>
      </w:r>
      <w:r>
        <w:rPr>
          <w:color w:val="231F1F"/>
          <w:spacing w:val="26"/>
        </w:rPr>
        <w:t> </w:t>
      </w:r>
      <w:r>
        <w:rPr>
          <w:color w:val="231F1F"/>
        </w:rPr>
        <w:t>tres</w:t>
      </w:r>
      <w:r>
        <w:rPr>
          <w:color w:val="231F1F"/>
          <w:spacing w:val="25"/>
        </w:rPr>
        <w:t> </w:t>
      </w:r>
      <w:r>
        <w:rPr>
          <w:color w:val="231F1F"/>
        </w:rPr>
        <w:t>ECAs</w:t>
      </w:r>
      <w:r>
        <w:rPr>
          <w:color w:val="231F1F"/>
          <w:spacing w:val="26"/>
        </w:rPr>
        <w:t> </w:t>
      </w:r>
      <w:r>
        <w:rPr>
          <w:color w:val="231F1F"/>
        </w:rPr>
        <w:t>anteriores al</w:t>
      </w:r>
      <w:r>
        <w:rPr>
          <w:color w:val="231F1F"/>
          <w:spacing w:val="12"/>
        </w:rPr>
        <w:t> </w:t>
      </w:r>
      <w:r>
        <w:rPr>
          <w:color w:val="231F1F"/>
        </w:rPr>
        <w:t>año</w:t>
      </w:r>
      <w:r>
        <w:rPr>
          <w:color w:val="231F1F"/>
          <w:spacing w:val="16"/>
        </w:rPr>
        <w:t> </w:t>
      </w:r>
      <w:r>
        <w:rPr>
          <w:color w:val="231F1F"/>
        </w:rPr>
        <w:t>1994,</w:t>
      </w:r>
      <w:r>
        <w:rPr>
          <w:color w:val="231F1F"/>
          <w:spacing w:val="15"/>
        </w:rPr>
        <w:t> </w:t>
      </w:r>
      <w:r>
        <w:rPr>
          <w:color w:val="231F1F"/>
        </w:rPr>
        <w:t>sin</w:t>
      </w:r>
      <w:r>
        <w:rPr>
          <w:color w:val="231F1F"/>
          <w:spacing w:val="16"/>
        </w:rPr>
        <w:t> </w:t>
      </w:r>
      <w:r>
        <w:rPr>
          <w:color w:val="231F1F"/>
        </w:rPr>
        <w:t>embargo,</w:t>
      </w:r>
      <w:r>
        <w:rPr>
          <w:color w:val="231F1F"/>
          <w:spacing w:val="15"/>
        </w:rPr>
        <w:t> </w:t>
      </w:r>
      <w:r>
        <w:rPr>
          <w:color w:val="231F1F"/>
        </w:rPr>
        <w:t>éstos</w:t>
      </w:r>
      <w:r>
        <w:rPr>
          <w:color w:val="231F1F"/>
          <w:spacing w:val="15"/>
        </w:rPr>
        <w:t> </w:t>
      </w:r>
      <w:r>
        <w:rPr>
          <w:color w:val="231F1F"/>
        </w:rPr>
        <w:t>presentaban</w:t>
      </w:r>
      <w:r>
        <w:rPr>
          <w:color w:val="231F1F"/>
          <w:spacing w:val="16"/>
        </w:rPr>
        <w:t> </w:t>
      </w:r>
      <w:r>
        <w:rPr>
          <w:color w:val="231F1F"/>
        </w:rPr>
        <w:t>un</w:t>
      </w:r>
      <w:r>
        <w:rPr>
          <w:color w:val="231F1F"/>
          <w:spacing w:val="15"/>
        </w:rPr>
        <w:t> </w:t>
      </w:r>
      <w:r>
        <w:rPr>
          <w:color w:val="231F1F"/>
        </w:rPr>
        <w:t>alto</w:t>
      </w:r>
      <w:r>
        <w:rPr>
          <w:color w:val="231F1F"/>
          <w:spacing w:val="15"/>
        </w:rPr>
        <w:t> </w:t>
      </w:r>
      <w:r>
        <w:rPr>
          <w:color w:val="231F1F"/>
        </w:rPr>
        <w:t>riesgo</w:t>
      </w:r>
      <w:r>
        <w:rPr>
          <w:color w:val="231F1F"/>
          <w:spacing w:val="16"/>
        </w:rPr>
        <w:t> </w:t>
      </w:r>
      <w:r>
        <w:rPr>
          <w:color w:val="231F1F"/>
        </w:rPr>
        <w:t>de</w:t>
      </w:r>
      <w:r>
        <w:rPr>
          <w:color w:val="231F1F"/>
          <w:spacing w:val="15"/>
        </w:rPr>
        <w:t> </w:t>
      </w:r>
      <w:r>
        <w:rPr>
          <w:color w:val="231F1F"/>
        </w:rPr>
        <w:t>sesgos</w:t>
      </w:r>
      <w:r>
        <w:rPr>
          <w:color w:val="231F1F"/>
          <w:spacing w:val="16"/>
        </w:rPr>
        <w:t> </w:t>
      </w:r>
      <w:r>
        <w:rPr>
          <w:color w:val="231F1F"/>
        </w:rPr>
        <w:t>[NE=1-</w:t>
      </w:r>
      <w:r>
        <w:rPr>
          <w:color w:val="231F1F"/>
          <w:spacing w:val="-5"/>
        </w:rPr>
        <w:t>].</w:t>
      </w:r>
    </w:p>
    <w:p>
      <w:pPr>
        <w:pStyle w:val="BodyText"/>
        <w:spacing w:line="259" w:lineRule="auto" w:before="120"/>
        <w:ind w:left="287" w:right="1391" w:firstLine="482"/>
        <w:jc w:val="both"/>
      </w:pPr>
      <w:r>
        <w:rPr>
          <w:color w:val="231F1F"/>
          <w:w w:val="105"/>
        </w:rPr>
        <w:t>El ensayo más reciente (134) tenía como objetivo el comparar los pujos dirigidos y no dirigidos en la segunda etapa del parto. Las mujeres nulíparas </w:t>
      </w:r>
      <w:r>
        <w:rPr>
          <w:color w:val="231F1F"/>
        </w:rPr>
        <w:t>asignadas al grupo dirigido (n=163) recibieron instrucciones sobre cómo hacer</w:t>
      </w:r>
    </w:p>
    <w:p>
      <w:pPr>
        <w:pStyle w:val="BodyText"/>
        <w:spacing w:line="254" w:lineRule="auto" w:before="6"/>
        <w:ind w:left="288" w:right="1386"/>
      </w:pPr>
      <w:r>
        <w:rPr>
          <w:color w:val="231F1F"/>
        </w:rPr>
        <w:t>los</w:t>
      </w:r>
      <w:r>
        <w:rPr>
          <w:color w:val="231F1F"/>
          <w:spacing w:val="25"/>
        </w:rPr>
        <w:t> </w:t>
      </w:r>
      <w:r>
        <w:rPr>
          <w:color w:val="231F1F"/>
        </w:rPr>
        <w:t>pujos</w:t>
      </w:r>
      <w:r>
        <w:rPr>
          <w:color w:val="231F1F"/>
          <w:spacing w:val="26"/>
        </w:rPr>
        <w:t> </w:t>
      </w:r>
      <w:r>
        <w:rPr>
          <w:color w:val="231F1F"/>
        </w:rPr>
        <w:t>con</w:t>
      </w:r>
      <w:r>
        <w:rPr>
          <w:color w:val="231F1F"/>
          <w:spacing w:val="26"/>
        </w:rPr>
        <w:t> </w:t>
      </w:r>
      <w:r>
        <w:rPr>
          <w:color w:val="231F1F"/>
        </w:rPr>
        <w:t>la</w:t>
      </w:r>
      <w:r>
        <w:rPr>
          <w:color w:val="231F1F"/>
          <w:spacing w:val="25"/>
        </w:rPr>
        <w:t> </w:t>
      </w:r>
      <w:r>
        <w:rPr>
          <w:color w:val="231F1F"/>
        </w:rPr>
        <w:t>glotis</w:t>
      </w:r>
      <w:r>
        <w:rPr>
          <w:color w:val="231F1F"/>
          <w:spacing w:val="26"/>
        </w:rPr>
        <w:t> </w:t>
      </w:r>
      <w:r>
        <w:rPr>
          <w:color w:val="231F1F"/>
        </w:rPr>
        <w:t>cerrada</w:t>
      </w:r>
      <w:r>
        <w:rPr>
          <w:color w:val="231F1F"/>
          <w:spacing w:val="26"/>
        </w:rPr>
        <w:t> </w:t>
      </w:r>
      <w:r>
        <w:rPr>
          <w:color w:val="231F1F"/>
        </w:rPr>
        <w:t>durante</w:t>
      </w:r>
      <w:r>
        <w:rPr>
          <w:color w:val="231F1F"/>
          <w:spacing w:val="24"/>
        </w:rPr>
        <w:t> </w:t>
      </w:r>
      <w:r>
        <w:rPr>
          <w:color w:val="231F1F"/>
        </w:rPr>
        <w:t>las</w:t>
      </w:r>
      <w:r>
        <w:rPr>
          <w:color w:val="231F1F"/>
          <w:spacing w:val="25"/>
        </w:rPr>
        <w:t> </w:t>
      </w:r>
      <w:r>
        <w:rPr>
          <w:color w:val="231F1F"/>
        </w:rPr>
        <w:t>contracciones</w:t>
      </w:r>
      <w:r>
        <w:rPr>
          <w:color w:val="231F1F"/>
          <w:spacing w:val="26"/>
        </w:rPr>
        <w:t> </w:t>
      </w:r>
      <w:r>
        <w:rPr>
          <w:color w:val="231F1F"/>
        </w:rPr>
        <w:t>y</w:t>
      </w:r>
      <w:r>
        <w:rPr>
          <w:color w:val="231F1F"/>
          <w:spacing w:val="25"/>
        </w:rPr>
        <w:t> </w:t>
      </w:r>
      <w:r>
        <w:rPr>
          <w:color w:val="231F1F"/>
        </w:rPr>
        <w:t>se</w:t>
      </w:r>
      <w:r>
        <w:rPr>
          <w:color w:val="231F1F"/>
          <w:spacing w:val="25"/>
        </w:rPr>
        <w:t> </w:t>
      </w:r>
      <w:r>
        <w:rPr>
          <w:color w:val="231F1F"/>
        </w:rPr>
        <w:t>les</w:t>
      </w:r>
      <w:r>
        <w:rPr>
          <w:color w:val="231F1F"/>
          <w:spacing w:val="25"/>
        </w:rPr>
        <w:t> </w:t>
      </w:r>
      <w:r>
        <w:rPr>
          <w:color w:val="231F1F"/>
        </w:rPr>
        <w:t>motivó</w:t>
      </w:r>
      <w:r>
        <w:rPr>
          <w:color w:val="231F1F"/>
          <w:spacing w:val="24"/>
        </w:rPr>
        <w:t> </w:t>
      </w:r>
      <w:r>
        <w:rPr>
          <w:color w:val="231F1F"/>
        </w:rPr>
        <w:t>a</w:t>
      </w:r>
      <w:r>
        <w:rPr>
          <w:color w:val="231F1F"/>
          <w:spacing w:val="26"/>
        </w:rPr>
        <w:t> </w:t>
      </w:r>
      <w:r>
        <w:rPr>
          <w:color w:val="231F1F"/>
        </w:rPr>
        <w:t>res- </w:t>
      </w:r>
      <w:r>
        <w:rPr>
          <w:color w:val="231F1F"/>
          <w:w w:val="110"/>
        </w:rPr>
        <w:t>pirar con normalidad entre las mismas. El grupo no dirigido (n=157) fue atendido</w:t>
      </w:r>
      <w:r>
        <w:rPr>
          <w:color w:val="231F1F"/>
          <w:spacing w:val="-2"/>
          <w:w w:val="110"/>
        </w:rPr>
        <w:t> </w:t>
      </w:r>
      <w:r>
        <w:rPr>
          <w:color w:val="231F1F"/>
          <w:w w:val="110"/>
        </w:rPr>
        <w:t>por</w:t>
      </w:r>
      <w:r>
        <w:rPr>
          <w:color w:val="231F1F"/>
          <w:spacing w:val="-2"/>
          <w:w w:val="110"/>
        </w:rPr>
        <w:t> </w:t>
      </w:r>
      <w:r>
        <w:rPr>
          <w:color w:val="231F1F"/>
          <w:w w:val="110"/>
        </w:rPr>
        <w:t>el</w:t>
      </w:r>
      <w:r>
        <w:rPr>
          <w:color w:val="231F1F"/>
          <w:spacing w:val="-2"/>
          <w:w w:val="110"/>
        </w:rPr>
        <w:t> </w:t>
      </w:r>
      <w:r>
        <w:rPr>
          <w:color w:val="231F1F"/>
          <w:w w:val="110"/>
        </w:rPr>
        <w:t>mismo</w:t>
      </w:r>
      <w:r>
        <w:rPr>
          <w:color w:val="231F1F"/>
          <w:spacing w:val="-2"/>
          <w:w w:val="110"/>
        </w:rPr>
        <w:t> </w:t>
      </w:r>
      <w:r>
        <w:rPr>
          <w:color w:val="231F1F"/>
          <w:w w:val="110"/>
        </w:rPr>
        <w:t>grupo</w:t>
      </w:r>
      <w:r>
        <w:rPr>
          <w:color w:val="231F1F"/>
          <w:spacing w:val="-2"/>
          <w:w w:val="110"/>
        </w:rPr>
        <w:t> </w:t>
      </w:r>
      <w:r>
        <w:rPr>
          <w:color w:val="231F1F"/>
          <w:w w:val="110"/>
        </w:rPr>
        <w:t>de</w:t>
      </w:r>
      <w:r>
        <w:rPr>
          <w:color w:val="231F1F"/>
          <w:spacing w:val="-2"/>
          <w:w w:val="110"/>
        </w:rPr>
        <w:t> </w:t>
      </w:r>
      <w:r>
        <w:rPr>
          <w:color w:val="231F1F"/>
          <w:w w:val="110"/>
        </w:rPr>
        <w:t>matronas,</w:t>
      </w:r>
      <w:r>
        <w:rPr>
          <w:color w:val="231F1F"/>
          <w:spacing w:val="-3"/>
          <w:w w:val="110"/>
        </w:rPr>
        <w:t> </w:t>
      </w:r>
      <w:r>
        <w:rPr>
          <w:color w:val="231F1F"/>
          <w:w w:val="110"/>
        </w:rPr>
        <w:t>pero</w:t>
      </w:r>
      <w:r>
        <w:rPr>
          <w:color w:val="231F1F"/>
          <w:spacing w:val="-2"/>
          <w:w w:val="110"/>
        </w:rPr>
        <w:t> </w:t>
      </w:r>
      <w:r>
        <w:rPr>
          <w:color w:val="231F1F"/>
          <w:w w:val="110"/>
        </w:rPr>
        <w:t>no</w:t>
      </w:r>
      <w:r>
        <w:rPr>
          <w:color w:val="231F1F"/>
          <w:spacing w:val="-2"/>
          <w:w w:val="110"/>
        </w:rPr>
        <w:t> </w:t>
      </w:r>
      <w:r>
        <w:rPr>
          <w:color w:val="231F1F"/>
          <w:w w:val="110"/>
        </w:rPr>
        <w:t>les</w:t>
      </w:r>
      <w:r>
        <w:rPr>
          <w:color w:val="231F1F"/>
          <w:spacing w:val="-3"/>
          <w:w w:val="110"/>
        </w:rPr>
        <w:t> </w:t>
      </w:r>
      <w:r>
        <w:rPr>
          <w:color w:val="231F1F"/>
          <w:w w:val="110"/>
        </w:rPr>
        <w:t>proporcionaron</w:t>
      </w:r>
      <w:r>
        <w:rPr>
          <w:color w:val="231F1F"/>
          <w:spacing w:val="-2"/>
          <w:w w:val="110"/>
        </w:rPr>
        <w:t> </w:t>
      </w:r>
      <w:r>
        <w:rPr>
          <w:color w:val="231F1F"/>
          <w:w w:val="110"/>
        </w:rPr>
        <w:t>ins- trucciones</w:t>
      </w:r>
      <w:r>
        <w:rPr>
          <w:color w:val="231F1F"/>
          <w:spacing w:val="-7"/>
          <w:w w:val="110"/>
        </w:rPr>
        <w:t> </w:t>
      </w:r>
      <w:r>
        <w:rPr>
          <w:color w:val="231F1F"/>
          <w:w w:val="110"/>
        </w:rPr>
        <w:t>sobre</w:t>
      </w:r>
      <w:r>
        <w:rPr>
          <w:color w:val="231F1F"/>
          <w:spacing w:val="-7"/>
          <w:w w:val="110"/>
        </w:rPr>
        <w:t> </w:t>
      </w:r>
      <w:r>
        <w:rPr>
          <w:color w:val="231F1F"/>
          <w:w w:val="110"/>
        </w:rPr>
        <w:t>el</w:t>
      </w:r>
      <w:r>
        <w:rPr>
          <w:color w:val="231F1F"/>
          <w:spacing w:val="-7"/>
          <w:w w:val="110"/>
        </w:rPr>
        <w:t> </w:t>
      </w:r>
      <w:r>
        <w:rPr>
          <w:color w:val="231F1F"/>
          <w:w w:val="110"/>
        </w:rPr>
        <w:t>pujo</w:t>
      </w:r>
      <w:r>
        <w:rPr>
          <w:color w:val="231F1F"/>
          <w:spacing w:val="-6"/>
          <w:w w:val="110"/>
        </w:rPr>
        <w:t> </w:t>
      </w:r>
      <w:r>
        <w:rPr>
          <w:color w:val="231F1F"/>
          <w:w w:val="110"/>
        </w:rPr>
        <w:t>y</w:t>
      </w:r>
      <w:r>
        <w:rPr>
          <w:color w:val="231F1F"/>
          <w:spacing w:val="-6"/>
          <w:w w:val="110"/>
        </w:rPr>
        <w:t> </w:t>
      </w:r>
      <w:r>
        <w:rPr>
          <w:color w:val="231F1F"/>
          <w:w w:val="110"/>
        </w:rPr>
        <w:t>se</w:t>
      </w:r>
      <w:r>
        <w:rPr>
          <w:color w:val="231F1F"/>
          <w:spacing w:val="-7"/>
          <w:w w:val="110"/>
        </w:rPr>
        <w:t> </w:t>
      </w:r>
      <w:r>
        <w:rPr>
          <w:color w:val="231F1F"/>
          <w:w w:val="110"/>
        </w:rPr>
        <w:t>les</w:t>
      </w:r>
      <w:r>
        <w:rPr>
          <w:color w:val="231F1F"/>
          <w:spacing w:val="-7"/>
          <w:w w:val="110"/>
        </w:rPr>
        <w:t> </w:t>
      </w:r>
      <w:r>
        <w:rPr>
          <w:color w:val="231F1F"/>
          <w:w w:val="110"/>
        </w:rPr>
        <w:t>motivó</w:t>
      </w:r>
      <w:r>
        <w:rPr>
          <w:color w:val="231F1F"/>
          <w:spacing w:val="-6"/>
          <w:w w:val="110"/>
        </w:rPr>
        <w:t> </w:t>
      </w:r>
      <w:r>
        <w:rPr>
          <w:color w:val="231F1F"/>
          <w:w w:val="110"/>
        </w:rPr>
        <w:t>para</w:t>
      </w:r>
      <w:r>
        <w:rPr>
          <w:color w:val="231F1F"/>
          <w:spacing w:val="-6"/>
          <w:w w:val="110"/>
        </w:rPr>
        <w:t> </w:t>
      </w:r>
      <w:r>
        <w:rPr>
          <w:color w:val="231F1F"/>
          <w:w w:val="110"/>
        </w:rPr>
        <w:t>que</w:t>
      </w:r>
      <w:r>
        <w:rPr>
          <w:color w:val="231F1F"/>
          <w:spacing w:val="-7"/>
          <w:w w:val="110"/>
        </w:rPr>
        <w:t> </w:t>
      </w:r>
      <w:r>
        <w:rPr>
          <w:color w:val="231F1F"/>
          <w:w w:val="110"/>
        </w:rPr>
        <w:t>actuasen</w:t>
      </w:r>
      <w:r>
        <w:rPr>
          <w:color w:val="231F1F"/>
          <w:spacing w:val="-6"/>
          <w:w w:val="110"/>
        </w:rPr>
        <w:t> </w:t>
      </w:r>
      <w:r>
        <w:rPr>
          <w:color w:val="231F1F"/>
          <w:spacing w:val="-2"/>
          <w:w w:val="110"/>
        </w:rPr>
        <w:t>«naturalmente».</w:t>
      </w:r>
    </w:p>
    <w:p>
      <w:pPr>
        <w:pStyle w:val="BodyText"/>
        <w:tabs>
          <w:tab w:pos="8128" w:val="left" w:leader="none"/>
        </w:tabs>
        <w:spacing w:line="256" w:lineRule="auto" w:before="109"/>
        <w:ind w:left="287" w:right="515" w:firstLine="535"/>
      </w:pPr>
      <w:r>
        <w:rPr>
          <w:color w:val="231F1F"/>
          <w:w w:val="105"/>
        </w:rPr>
        <w:t>La</w:t>
      </w:r>
      <w:r>
        <w:rPr>
          <w:color w:val="231F1F"/>
          <w:spacing w:val="34"/>
          <w:w w:val="105"/>
        </w:rPr>
        <w:t> </w:t>
      </w:r>
      <w:r>
        <w:rPr>
          <w:color w:val="231F1F"/>
          <w:w w:val="105"/>
        </w:rPr>
        <w:t>duración</w:t>
      </w:r>
      <w:r>
        <w:rPr>
          <w:color w:val="231F1F"/>
          <w:spacing w:val="34"/>
          <w:w w:val="105"/>
        </w:rPr>
        <w:t> </w:t>
      </w:r>
      <w:r>
        <w:rPr>
          <w:color w:val="231F1F"/>
          <w:w w:val="105"/>
        </w:rPr>
        <w:t>media</w:t>
      </w:r>
      <w:r>
        <w:rPr>
          <w:color w:val="231F1F"/>
          <w:spacing w:val="34"/>
          <w:w w:val="105"/>
        </w:rPr>
        <w:t> </w:t>
      </w:r>
      <w:r>
        <w:rPr>
          <w:color w:val="231F1F"/>
          <w:w w:val="105"/>
        </w:rPr>
        <w:t>de</w:t>
      </w:r>
      <w:r>
        <w:rPr>
          <w:color w:val="231F1F"/>
          <w:spacing w:val="34"/>
          <w:w w:val="105"/>
        </w:rPr>
        <w:t> </w:t>
      </w:r>
      <w:r>
        <w:rPr>
          <w:color w:val="231F1F"/>
          <w:w w:val="105"/>
        </w:rPr>
        <w:t>la</w:t>
      </w:r>
      <w:r>
        <w:rPr>
          <w:color w:val="231F1F"/>
          <w:spacing w:val="34"/>
          <w:w w:val="105"/>
        </w:rPr>
        <w:t> </w:t>
      </w:r>
      <w:r>
        <w:rPr>
          <w:color w:val="231F1F"/>
          <w:w w:val="105"/>
        </w:rPr>
        <w:t>segunda</w:t>
      </w:r>
      <w:r>
        <w:rPr>
          <w:color w:val="231F1F"/>
          <w:spacing w:val="34"/>
          <w:w w:val="105"/>
        </w:rPr>
        <w:t> </w:t>
      </w:r>
      <w:r>
        <w:rPr>
          <w:color w:val="231F1F"/>
          <w:w w:val="105"/>
        </w:rPr>
        <w:t>etapa</w:t>
      </w:r>
      <w:r>
        <w:rPr>
          <w:color w:val="231F1F"/>
          <w:spacing w:val="34"/>
          <w:w w:val="105"/>
        </w:rPr>
        <w:t> </w:t>
      </w:r>
      <w:r>
        <w:rPr>
          <w:color w:val="231F1F"/>
          <w:w w:val="105"/>
        </w:rPr>
        <w:t>fue</w:t>
      </w:r>
      <w:r>
        <w:rPr>
          <w:color w:val="231F1F"/>
          <w:spacing w:val="34"/>
          <w:w w:val="105"/>
        </w:rPr>
        <w:t> </w:t>
      </w:r>
      <w:r>
        <w:rPr>
          <w:color w:val="231F1F"/>
          <w:w w:val="105"/>
        </w:rPr>
        <w:t>significativamente</w:t>
      </w:r>
      <w:r>
        <w:rPr>
          <w:color w:val="231F1F"/>
          <w:spacing w:val="34"/>
          <w:w w:val="105"/>
        </w:rPr>
        <w:t> </w:t>
      </w:r>
      <w:r>
        <w:rPr>
          <w:color w:val="231F1F"/>
          <w:w w:val="105"/>
        </w:rPr>
        <w:t>menor</w:t>
      </w:r>
      <w:r>
        <w:rPr>
          <w:color w:val="231F1F"/>
          <w:spacing w:val="34"/>
          <w:w w:val="105"/>
        </w:rPr>
        <w:t> </w:t>
      </w:r>
      <w:r>
        <w:rPr>
          <w:color w:val="231F1F"/>
          <w:w w:val="105"/>
        </w:rPr>
        <w:t>en</w:t>
      </w:r>
      <w:r>
        <w:rPr>
          <w:color w:val="231F1F"/>
          <w:spacing w:val="80"/>
          <w:w w:val="150"/>
        </w:rPr>
        <w:t> </w:t>
      </w:r>
      <w:r>
        <w:rPr>
          <w:rFonts w:ascii="Arial MT" w:hAnsi="Arial MT"/>
          <w:color w:val="231F1F"/>
          <w:w w:val="105"/>
          <w:sz w:val="18"/>
        </w:rPr>
        <w:t>ECA </w:t>
      </w:r>
      <w:r>
        <w:rPr>
          <w:color w:val="231F1F"/>
          <w:w w:val="105"/>
        </w:rPr>
        <w:t>las mujeres del grupo dirigido frente a las mujeres sin pujos dirigidos: 46 mi-</w:t>
      </w:r>
      <w:r>
        <w:rPr>
          <w:color w:val="231F1F"/>
        </w:rPr>
        <w:tab/>
      </w:r>
      <w:r>
        <w:rPr>
          <w:rFonts w:ascii="Arial MT" w:hAnsi="Arial MT"/>
          <w:color w:val="231F1F"/>
          <w:spacing w:val="-6"/>
          <w:w w:val="105"/>
          <w:position w:val="4"/>
          <w:sz w:val="18"/>
        </w:rPr>
        <w:t>1+ </w:t>
      </w:r>
      <w:r>
        <w:rPr>
          <w:color w:val="231F1F"/>
          <w:w w:val="105"/>
        </w:rPr>
        <w:t>nutos frente a 59 minutos; p=0,014, aunque no fue clínicamente relevante. No</w:t>
      </w:r>
    </w:p>
    <w:p>
      <w:pPr>
        <w:pStyle w:val="BodyText"/>
        <w:spacing w:line="249" w:lineRule="exact"/>
        <w:ind w:left="288"/>
      </w:pPr>
      <w:r>
        <w:rPr>
          <w:color w:val="231F1F"/>
        </w:rPr>
        <w:t>hubo</w:t>
      </w:r>
      <w:r>
        <w:rPr>
          <w:color w:val="231F1F"/>
          <w:spacing w:val="42"/>
        </w:rPr>
        <w:t> </w:t>
      </w:r>
      <w:r>
        <w:rPr>
          <w:color w:val="231F1F"/>
        </w:rPr>
        <w:t>diferencias</w:t>
      </w:r>
      <w:r>
        <w:rPr>
          <w:color w:val="231F1F"/>
          <w:spacing w:val="40"/>
        </w:rPr>
        <w:t> </w:t>
      </w:r>
      <w:r>
        <w:rPr>
          <w:color w:val="231F1F"/>
        </w:rPr>
        <w:t>en</w:t>
      </w:r>
      <w:r>
        <w:rPr>
          <w:color w:val="231F1F"/>
          <w:spacing w:val="45"/>
        </w:rPr>
        <w:t> </w:t>
      </w:r>
      <w:r>
        <w:rPr>
          <w:color w:val="231F1F"/>
        </w:rPr>
        <w:t>ninguna</w:t>
      </w:r>
      <w:r>
        <w:rPr>
          <w:color w:val="231F1F"/>
          <w:spacing w:val="44"/>
        </w:rPr>
        <w:t> </w:t>
      </w:r>
      <w:r>
        <w:rPr>
          <w:color w:val="231F1F"/>
        </w:rPr>
        <w:t>otra</w:t>
      </w:r>
      <w:r>
        <w:rPr>
          <w:color w:val="231F1F"/>
          <w:spacing w:val="42"/>
        </w:rPr>
        <w:t> </w:t>
      </w:r>
      <w:r>
        <w:rPr>
          <w:color w:val="231F1F"/>
        </w:rPr>
        <w:t>variable</w:t>
      </w:r>
      <w:r>
        <w:rPr>
          <w:color w:val="231F1F"/>
          <w:spacing w:val="45"/>
        </w:rPr>
        <w:t> </w:t>
      </w:r>
      <w:r>
        <w:rPr>
          <w:color w:val="231F1F"/>
        </w:rPr>
        <w:t>materna</w:t>
      </w:r>
      <w:r>
        <w:rPr>
          <w:color w:val="231F1F"/>
          <w:spacing w:val="44"/>
        </w:rPr>
        <w:t> </w:t>
      </w:r>
      <w:r>
        <w:rPr>
          <w:color w:val="231F1F"/>
        </w:rPr>
        <w:t>o</w:t>
      </w:r>
      <w:r>
        <w:rPr>
          <w:color w:val="231F1F"/>
          <w:spacing w:val="45"/>
        </w:rPr>
        <w:t> </w:t>
      </w:r>
      <w:r>
        <w:rPr>
          <w:color w:val="231F1F"/>
          <w:spacing w:val="-2"/>
        </w:rPr>
        <w:t>neonatal.</w:t>
      </w:r>
    </w:p>
    <w:p>
      <w:pPr>
        <w:pStyle w:val="BodyText"/>
        <w:spacing w:line="254" w:lineRule="auto" w:before="87"/>
        <w:ind w:left="287" w:right="1366" w:firstLine="500"/>
      </w:pPr>
      <w:r>
        <w:rPr>
          <w:color w:val="231F1F"/>
          <w:w w:val="105"/>
        </w:rPr>
        <w:t>El segundo ensayo (135), incluyó a 128 mujeres que en el momento de dilatación completa</w:t>
      </w:r>
      <w:r>
        <w:rPr>
          <w:color w:val="231F1F"/>
          <w:spacing w:val="40"/>
          <w:w w:val="105"/>
        </w:rPr>
        <w:t> </w:t>
      </w:r>
      <w:r>
        <w:rPr>
          <w:color w:val="231F1F"/>
          <w:w w:val="105"/>
        </w:rPr>
        <w:t>fueron</w:t>
      </w:r>
      <w:r>
        <w:rPr>
          <w:color w:val="231F1F"/>
          <w:spacing w:val="40"/>
          <w:w w:val="105"/>
        </w:rPr>
        <w:t> </w:t>
      </w:r>
      <w:r>
        <w:rPr>
          <w:color w:val="231F1F"/>
          <w:w w:val="105"/>
        </w:rPr>
        <w:t>aleatorizadas</w:t>
      </w:r>
      <w:r>
        <w:rPr>
          <w:color w:val="231F1F"/>
          <w:spacing w:val="40"/>
          <w:w w:val="105"/>
        </w:rPr>
        <w:t> </w:t>
      </w:r>
      <w:r>
        <w:rPr>
          <w:color w:val="231F1F"/>
          <w:w w:val="105"/>
        </w:rPr>
        <w:t>para</w:t>
      </w:r>
      <w:r>
        <w:rPr>
          <w:color w:val="231F1F"/>
          <w:spacing w:val="40"/>
          <w:w w:val="105"/>
        </w:rPr>
        <w:t> </w:t>
      </w:r>
      <w:r>
        <w:rPr>
          <w:color w:val="231F1F"/>
          <w:w w:val="105"/>
        </w:rPr>
        <w:t>realizar</w:t>
      </w:r>
      <w:r>
        <w:rPr>
          <w:color w:val="231F1F"/>
          <w:spacing w:val="40"/>
          <w:w w:val="105"/>
        </w:rPr>
        <w:t> </w:t>
      </w:r>
      <w:r>
        <w:rPr>
          <w:color w:val="231F1F"/>
          <w:w w:val="105"/>
        </w:rPr>
        <w:t>pujos</w:t>
      </w:r>
      <w:r>
        <w:rPr>
          <w:color w:val="231F1F"/>
          <w:spacing w:val="40"/>
          <w:w w:val="105"/>
        </w:rPr>
        <w:t> </w:t>
      </w:r>
      <w:r>
        <w:rPr>
          <w:color w:val="231F1F"/>
          <w:w w:val="105"/>
        </w:rPr>
        <w:t>dirigidos</w:t>
      </w:r>
      <w:r>
        <w:rPr>
          <w:color w:val="231F1F"/>
          <w:spacing w:val="40"/>
          <w:w w:val="105"/>
        </w:rPr>
        <w:t> </w:t>
      </w:r>
      <w:r>
        <w:rPr>
          <w:color w:val="231F1F"/>
          <w:w w:val="105"/>
        </w:rPr>
        <w:t>o</w:t>
      </w:r>
      <w:r>
        <w:rPr>
          <w:color w:val="231F1F"/>
          <w:spacing w:val="40"/>
          <w:w w:val="105"/>
        </w:rPr>
        <w:t> </w:t>
      </w:r>
      <w:r>
        <w:rPr>
          <w:color w:val="231F1F"/>
          <w:w w:val="105"/>
        </w:rPr>
        <w:t>no dirigidos. El</w:t>
      </w:r>
      <w:r>
        <w:rPr>
          <w:color w:val="231F1F"/>
          <w:spacing w:val="40"/>
          <w:w w:val="105"/>
        </w:rPr>
        <w:t> </w:t>
      </w:r>
      <w:r>
        <w:rPr>
          <w:color w:val="231F1F"/>
          <w:w w:val="105"/>
        </w:rPr>
        <w:t>estudio pretendía</w:t>
      </w:r>
      <w:r>
        <w:rPr>
          <w:color w:val="231F1F"/>
          <w:spacing w:val="40"/>
          <w:w w:val="105"/>
        </w:rPr>
        <w:t> </w:t>
      </w:r>
      <w:r>
        <w:rPr>
          <w:color w:val="231F1F"/>
          <w:w w:val="105"/>
        </w:rPr>
        <w:t>determinar si abstenerse</w:t>
      </w:r>
      <w:r>
        <w:rPr>
          <w:color w:val="231F1F"/>
          <w:spacing w:val="40"/>
          <w:w w:val="105"/>
        </w:rPr>
        <w:t> </w:t>
      </w:r>
      <w:r>
        <w:rPr>
          <w:color w:val="231F1F"/>
          <w:w w:val="105"/>
        </w:rPr>
        <w:t>de</w:t>
      </w:r>
      <w:r>
        <w:rPr>
          <w:color w:val="231F1F"/>
          <w:spacing w:val="40"/>
          <w:w w:val="105"/>
        </w:rPr>
        <w:t> </w:t>
      </w:r>
      <w:r>
        <w:rPr>
          <w:color w:val="231F1F"/>
          <w:w w:val="105"/>
        </w:rPr>
        <w:t>dirigir los</w:t>
      </w:r>
      <w:r>
        <w:rPr>
          <w:color w:val="231F1F"/>
          <w:spacing w:val="40"/>
          <w:w w:val="105"/>
        </w:rPr>
        <w:t> </w:t>
      </w:r>
      <w:r>
        <w:rPr>
          <w:color w:val="231F1F"/>
          <w:w w:val="105"/>
        </w:rPr>
        <w:t>pujos incidía</w:t>
      </w:r>
      <w:r>
        <w:rPr>
          <w:color w:val="231F1F"/>
          <w:spacing w:val="-8"/>
          <w:w w:val="105"/>
        </w:rPr>
        <w:t> </w:t>
      </w:r>
      <w:r>
        <w:rPr>
          <w:color w:val="231F1F"/>
          <w:w w:val="105"/>
        </w:rPr>
        <w:t>en</w:t>
      </w:r>
      <w:r>
        <w:rPr>
          <w:color w:val="231F1F"/>
          <w:spacing w:val="-5"/>
          <w:w w:val="105"/>
        </w:rPr>
        <w:t> </w:t>
      </w:r>
      <w:r>
        <w:rPr>
          <w:color w:val="231F1F"/>
          <w:w w:val="105"/>
        </w:rPr>
        <w:t>las</w:t>
      </w:r>
      <w:r>
        <w:rPr>
          <w:color w:val="231F1F"/>
          <w:spacing w:val="-7"/>
          <w:w w:val="105"/>
        </w:rPr>
        <w:t> </w:t>
      </w:r>
      <w:r>
        <w:rPr>
          <w:color w:val="231F1F"/>
          <w:w w:val="105"/>
        </w:rPr>
        <w:t>dimensiones</w:t>
      </w:r>
      <w:r>
        <w:rPr>
          <w:color w:val="231F1F"/>
          <w:spacing w:val="-5"/>
          <w:w w:val="105"/>
        </w:rPr>
        <w:t> </w:t>
      </w:r>
      <w:r>
        <w:rPr>
          <w:color w:val="231F1F"/>
          <w:w w:val="105"/>
        </w:rPr>
        <w:t>uroginecológicas</w:t>
      </w:r>
      <w:r>
        <w:rPr>
          <w:color w:val="231F1F"/>
          <w:spacing w:val="-7"/>
          <w:w w:val="105"/>
        </w:rPr>
        <w:t> </w:t>
      </w:r>
      <w:r>
        <w:rPr>
          <w:color w:val="231F1F"/>
          <w:w w:val="105"/>
        </w:rPr>
        <w:t>posparto</w:t>
      </w:r>
      <w:r>
        <w:rPr>
          <w:color w:val="231F1F"/>
          <w:spacing w:val="-7"/>
          <w:w w:val="105"/>
        </w:rPr>
        <w:t> </w:t>
      </w:r>
      <w:r>
        <w:rPr>
          <w:color w:val="231F1F"/>
          <w:w w:val="105"/>
        </w:rPr>
        <w:t>y</w:t>
      </w:r>
      <w:r>
        <w:rPr>
          <w:color w:val="231F1F"/>
          <w:spacing w:val="-5"/>
          <w:w w:val="105"/>
        </w:rPr>
        <w:t> </w:t>
      </w:r>
      <w:r>
        <w:rPr>
          <w:color w:val="231F1F"/>
          <w:w w:val="105"/>
        </w:rPr>
        <w:t>en</w:t>
      </w:r>
      <w:r>
        <w:rPr>
          <w:color w:val="231F1F"/>
          <w:spacing w:val="-5"/>
          <w:w w:val="105"/>
        </w:rPr>
        <w:t> </w:t>
      </w:r>
      <w:r>
        <w:rPr>
          <w:color w:val="231F1F"/>
          <w:w w:val="105"/>
        </w:rPr>
        <w:t>la</w:t>
      </w:r>
      <w:r>
        <w:rPr>
          <w:color w:val="231F1F"/>
          <w:spacing w:val="-5"/>
          <w:w w:val="105"/>
        </w:rPr>
        <w:t> </w:t>
      </w:r>
      <w:r>
        <w:rPr>
          <w:color w:val="231F1F"/>
          <w:w w:val="105"/>
        </w:rPr>
        <w:t>función</w:t>
      </w:r>
      <w:r>
        <w:rPr>
          <w:color w:val="231F1F"/>
          <w:spacing w:val="-5"/>
          <w:w w:val="105"/>
        </w:rPr>
        <w:t> </w:t>
      </w:r>
      <w:r>
        <w:rPr>
          <w:color w:val="231F1F"/>
          <w:w w:val="105"/>
        </w:rPr>
        <w:t>del</w:t>
      </w:r>
      <w:r>
        <w:rPr>
          <w:color w:val="231F1F"/>
          <w:spacing w:val="-7"/>
          <w:w w:val="105"/>
        </w:rPr>
        <w:t> </w:t>
      </w:r>
      <w:r>
        <w:rPr>
          <w:color w:val="231F1F"/>
          <w:w w:val="105"/>
        </w:rPr>
        <w:t>suelo pélvico.</w:t>
      </w:r>
      <w:r>
        <w:rPr>
          <w:color w:val="231F1F"/>
          <w:spacing w:val="-9"/>
          <w:w w:val="105"/>
        </w:rPr>
        <w:t> </w:t>
      </w:r>
      <w:r>
        <w:rPr>
          <w:color w:val="231F1F"/>
          <w:w w:val="105"/>
        </w:rPr>
        <w:t>La</w:t>
      </w:r>
      <w:r>
        <w:rPr>
          <w:color w:val="231F1F"/>
          <w:spacing w:val="-8"/>
          <w:w w:val="105"/>
        </w:rPr>
        <w:t> </w:t>
      </w:r>
      <w:r>
        <w:rPr>
          <w:color w:val="231F1F"/>
          <w:w w:val="105"/>
        </w:rPr>
        <w:t>evaluación</w:t>
      </w:r>
      <w:r>
        <w:rPr>
          <w:color w:val="231F1F"/>
          <w:spacing w:val="-8"/>
          <w:w w:val="105"/>
        </w:rPr>
        <w:t> </w:t>
      </w:r>
      <w:r>
        <w:rPr>
          <w:color w:val="231F1F"/>
          <w:w w:val="105"/>
        </w:rPr>
        <w:t>del</w:t>
      </w:r>
      <w:r>
        <w:rPr>
          <w:color w:val="231F1F"/>
          <w:spacing w:val="-9"/>
          <w:w w:val="105"/>
        </w:rPr>
        <w:t> </w:t>
      </w:r>
      <w:r>
        <w:rPr>
          <w:color w:val="231F1F"/>
          <w:w w:val="105"/>
        </w:rPr>
        <w:t>suelo</w:t>
      </w:r>
      <w:r>
        <w:rPr>
          <w:color w:val="231F1F"/>
          <w:spacing w:val="-9"/>
          <w:w w:val="105"/>
        </w:rPr>
        <w:t> </w:t>
      </w:r>
      <w:r>
        <w:rPr>
          <w:color w:val="231F1F"/>
          <w:w w:val="105"/>
        </w:rPr>
        <w:t>pélvico</w:t>
      </w:r>
      <w:r>
        <w:rPr>
          <w:color w:val="231F1F"/>
          <w:spacing w:val="-9"/>
          <w:w w:val="105"/>
        </w:rPr>
        <w:t> </w:t>
      </w:r>
      <w:r>
        <w:rPr>
          <w:color w:val="231F1F"/>
          <w:w w:val="105"/>
        </w:rPr>
        <w:t>se</w:t>
      </w:r>
      <w:r>
        <w:rPr>
          <w:color w:val="231F1F"/>
          <w:spacing w:val="-9"/>
          <w:w w:val="105"/>
        </w:rPr>
        <w:t> </w:t>
      </w:r>
      <w:r>
        <w:rPr>
          <w:color w:val="231F1F"/>
          <w:w w:val="105"/>
        </w:rPr>
        <w:t>llevó</w:t>
      </w:r>
      <w:r>
        <w:rPr>
          <w:color w:val="231F1F"/>
          <w:spacing w:val="-9"/>
          <w:w w:val="105"/>
        </w:rPr>
        <w:t> </w:t>
      </w:r>
      <w:r>
        <w:rPr>
          <w:color w:val="231F1F"/>
          <w:w w:val="105"/>
        </w:rPr>
        <w:t>a</w:t>
      </w:r>
      <w:r>
        <w:rPr>
          <w:color w:val="231F1F"/>
          <w:spacing w:val="-8"/>
          <w:w w:val="105"/>
        </w:rPr>
        <w:t> </w:t>
      </w:r>
      <w:r>
        <w:rPr>
          <w:color w:val="231F1F"/>
          <w:w w:val="105"/>
        </w:rPr>
        <w:t>cabo</w:t>
      </w:r>
      <w:r>
        <w:rPr>
          <w:color w:val="231F1F"/>
          <w:spacing w:val="-8"/>
          <w:w w:val="105"/>
        </w:rPr>
        <w:t> </w:t>
      </w:r>
      <w:r>
        <w:rPr>
          <w:color w:val="231F1F"/>
          <w:w w:val="105"/>
        </w:rPr>
        <w:t>tres</w:t>
      </w:r>
      <w:r>
        <w:rPr>
          <w:color w:val="231F1F"/>
          <w:spacing w:val="-9"/>
          <w:w w:val="105"/>
        </w:rPr>
        <w:t> </w:t>
      </w:r>
      <w:r>
        <w:rPr>
          <w:color w:val="231F1F"/>
          <w:w w:val="105"/>
        </w:rPr>
        <w:t>meses</w:t>
      </w:r>
      <w:r>
        <w:rPr>
          <w:color w:val="231F1F"/>
          <w:spacing w:val="-9"/>
          <w:w w:val="105"/>
        </w:rPr>
        <w:t> </w:t>
      </w:r>
      <w:r>
        <w:rPr>
          <w:color w:val="231F1F"/>
          <w:w w:val="105"/>
        </w:rPr>
        <w:t>después</w:t>
      </w:r>
      <w:r>
        <w:rPr>
          <w:color w:val="231F1F"/>
          <w:spacing w:val="-8"/>
          <w:w w:val="105"/>
        </w:rPr>
        <w:t> </w:t>
      </w:r>
      <w:r>
        <w:rPr>
          <w:color w:val="231F1F"/>
          <w:w w:val="105"/>
        </w:rPr>
        <w:t>del parto por enfermeras cegadas respecto al grupo al que pertenecieron las mu- jeres durante la segunda etapa del parto.</w:t>
      </w:r>
    </w:p>
    <w:p>
      <w:pPr>
        <w:pStyle w:val="BodyText"/>
        <w:spacing w:after="0" w:line="254" w:lineRule="auto"/>
        <w:sectPr>
          <w:pgSz w:w="11900" w:h="16840"/>
          <w:pgMar w:header="0" w:footer="622" w:top="1560" w:bottom="820" w:left="1417" w:right="1559"/>
        </w:sectPr>
      </w:pPr>
    </w:p>
    <w:p>
      <w:pPr>
        <w:pStyle w:val="BodyText"/>
        <w:spacing w:line="237" w:lineRule="auto" w:before="75"/>
        <w:ind w:left="283" w:right="45" w:firstLine="453"/>
        <w:jc w:val="both"/>
      </w:pPr>
      <w:r>
        <w:rPr>
          <w:color w:val="231F1F"/>
          <w:w w:val="105"/>
        </w:rPr>
        <w:t>No</w:t>
      </w:r>
      <w:r>
        <w:rPr>
          <w:color w:val="231F1F"/>
          <w:w w:val="105"/>
        </w:rPr>
        <w:t> hubo</w:t>
      </w:r>
      <w:r>
        <w:rPr>
          <w:color w:val="231F1F"/>
          <w:w w:val="105"/>
        </w:rPr>
        <w:t> diferencias</w:t>
      </w:r>
      <w:r>
        <w:rPr>
          <w:color w:val="231F1F"/>
          <w:w w:val="105"/>
        </w:rPr>
        <w:t> significativas</w:t>
      </w:r>
      <w:r>
        <w:rPr>
          <w:color w:val="231F1F"/>
          <w:w w:val="105"/>
        </w:rPr>
        <w:t> entre</w:t>
      </w:r>
      <w:r>
        <w:rPr>
          <w:color w:val="231F1F"/>
          <w:w w:val="105"/>
        </w:rPr>
        <w:t> los</w:t>
      </w:r>
      <w:r>
        <w:rPr>
          <w:color w:val="231F1F"/>
          <w:w w:val="105"/>
        </w:rPr>
        <w:t> dos</w:t>
      </w:r>
      <w:r>
        <w:rPr>
          <w:color w:val="231F1F"/>
          <w:w w:val="105"/>
        </w:rPr>
        <w:t> grupos</w:t>
      </w:r>
      <w:r>
        <w:rPr>
          <w:color w:val="231F1F"/>
          <w:w w:val="105"/>
        </w:rPr>
        <w:t> en</w:t>
      </w:r>
      <w:r>
        <w:rPr>
          <w:color w:val="231F1F"/>
          <w:w w:val="105"/>
        </w:rPr>
        <w:t> relación</w:t>
      </w:r>
      <w:r>
        <w:rPr>
          <w:color w:val="231F1F"/>
          <w:w w:val="105"/>
        </w:rPr>
        <w:t> a factores demográficos, incidencia o duración de la segunda etapa (&gt;2 horas), tasa</w:t>
      </w:r>
      <w:r>
        <w:rPr>
          <w:color w:val="231F1F"/>
          <w:spacing w:val="32"/>
          <w:w w:val="105"/>
        </w:rPr>
        <w:t> </w:t>
      </w:r>
      <w:r>
        <w:rPr>
          <w:color w:val="231F1F"/>
          <w:w w:val="105"/>
        </w:rPr>
        <w:t>de</w:t>
      </w:r>
      <w:r>
        <w:rPr>
          <w:color w:val="231F1F"/>
          <w:spacing w:val="32"/>
          <w:w w:val="105"/>
        </w:rPr>
        <w:t> </w:t>
      </w:r>
      <w:r>
        <w:rPr>
          <w:color w:val="231F1F"/>
          <w:w w:val="105"/>
        </w:rPr>
        <w:t>episiotomías,</w:t>
      </w:r>
      <w:r>
        <w:rPr>
          <w:color w:val="231F1F"/>
          <w:spacing w:val="33"/>
          <w:w w:val="105"/>
        </w:rPr>
        <w:t> </w:t>
      </w:r>
      <w:r>
        <w:rPr>
          <w:color w:val="231F1F"/>
          <w:w w:val="105"/>
        </w:rPr>
        <w:t>desgarros</w:t>
      </w:r>
      <w:r>
        <w:rPr>
          <w:color w:val="231F1F"/>
          <w:spacing w:val="32"/>
          <w:w w:val="105"/>
        </w:rPr>
        <w:t> </w:t>
      </w:r>
      <w:r>
        <w:rPr>
          <w:color w:val="231F1F"/>
          <w:w w:val="105"/>
        </w:rPr>
        <w:t>del</w:t>
      </w:r>
      <w:r>
        <w:rPr>
          <w:color w:val="231F1F"/>
          <w:spacing w:val="32"/>
          <w:w w:val="105"/>
        </w:rPr>
        <w:t> </w:t>
      </w:r>
      <w:r>
        <w:rPr>
          <w:color w:val="231F1F"/>
          <w:w w:val="105"/>
        </w:rPr>
        <w:t>esfínter</w:t>
      </w:r>
      <w:r>
        <w:rPr>
          <w:color w:val="231F1F"/>
          <w:spacing w:val="32"/>
          <w:w w:val="105"/>
        </w:rPr>
        <w:t> </w:t>
      </w:r>
      <w:r>
        <w:rPr>
          <w:color w:val="231F1F"/>
          <w:w w:val="105"/>
        </w:rPr>
        <w:t>anal,</w:t>
      </w:r>
      <w:r>
        <w:rPr>
          <w:color w:val="231F1F"/>
          <w:spacing w:val="32"/>
          <w:w w:val="105"/>
        </w:rPr>
        <w:t> </w:t>
      </w:r>
      <w:r>
        <w:rPr>
          <w:color w:val="231F1F"/>
          <w:w w:val="105"/>
        </w:rPr>
        <w:t>analgesia</w:t>
      </w:r>
      <w:r>
        <w:rPr>
          <w:color w:val="231F1F"/>
          <w:spacing w:val="32"/>
          <w:w w:val="105"/>
        </w:rPr>
        <w:t> </w:t>
      </w:r>
      <w:r>
        <w:rPr>
          <w:color w:val="231F1F"/>
          <w:w w:val="105"/>
        </w:rPr>
        <w:t>epidural</w:t>
      </w:r>
      <w:r>
        <w:rPr>
          <w:color w:val="231F1F"/>
          <w:spacing w:val="32"/>
          <w:w w:val="105"/>
        </w:rPr>
        <w:t> </w:t>
      </w:r>
      <w:r>
        <w:rPr>
          <w:color w:val="231F1F"/>
          <w:w w:val="105"/>
        </w:rPr>
        <w:t>durante la</w:t>
      </w:r>
      <w:r>
        <w:rPr>
          <w:color w:val="231F1F"/>
          <w:spacing w:val="-4"/>
          <w:w w:val="105"/>
        </w:rPr>
        <w:t> </w:t>
      </w:r>
      <w:r>
        <w:rPr>
          <w:color w:val="231F1F"/>
          <w:w w:val="105"/>
        </w:rPr>
        <w:t>segunda</w:t>
      </w:r>
      <w:r>
        <w:rPr>
          <w:color w:val="231F1F"/>
          <w:spacing w:val="-5"/>
          <w:w w:val="105"/>
        </w:rPr>
        <w:t> </w:t>
      </w:r>
      <w:r>
        <w:rPr>
          <w:color w:val="231F1F"/>
          <w:w w:val="105"/>
        </w:rPr>
        <w:t>etapa,</w:t>
      </w:r>
      <w:r>
        <w:rPr>
          <w:color w:val="231F1F"/>
          <w:spacing w:val="-4"/>
          <w:w w:val="105"/>
        </w:rPr>
        <w:t> </w:t>
      </w:r>
      <w:r>
        <w:rPr>
          <w:color w:val="231F1F"/>
          <w:w w:val="105"/>
        </w:rPr>
        <w:t>fórceps,</w:t>
      </w:r>
      <w:r>
        <w:rPr>
          <w:color w:val="231F1F"/>
          <w:spacing w:val="-4"/>
          <w:w w:val="105"/>
        </w:rPr>
        <w:t> </w:t>
      </w:r>
      <w:r>
        <w:rPr>
          <w:color w:val="231F1F"/>
          <w:w w:val="105"/>
        </w:rPr>
        <w:t>uso</w:t>
      </w:r>
      <w:r>
        <w:rPr>
          <w:color w:val="231F1F"/>
          <w:spacing w:val="-4"/>
          <w:w w:val="105"/>
        </w:rPr>
        <w:t> </w:t>
      </w:r>
      <w:r>
        <w:rPr>
          <w:color w:val="231F1F"/>
          <w:w w:val="105"/>
        </w:rPr>
        <w:t>de</w:t>
      </w:r>
      <w:r>
        <w:rPr>
          <w:color w:val="231F1F"/>
          <w:spacing w:val="-4"/>
          <w:w w:val="105"/>
        </w:rPr>
        <w:t> </w:t>
      </w:r>
      <w:r>
        <w:rPr>
          <w:color w:val="231F1F"/>
          <w:w w:val="105"/>
        </w:rPr>
        <w:t>oxitocina</w:t>
      </w:r>
      <w:r>
        <w:rPr>
          <w:color w:val="231F1F"/>
          <w:spacing w:val="-4"/>
          <w:w w:val="105"/>
        </w:rPr>
        <w:t> </w:t>
      </w:r>
      <w:r>
        <w:rPr>
          <w:color w:val="231F1F"/>
          <w:w w:val="105"/>
        </w:rPr>
        <w:t>en</w:t>
      </w:r>
      <w:r>
        <w:rPr>
          <w:color w:val="231F1F"/>
          <w:spacing w:val="-4"/>
          <w:w w:val="105"/>
        </w:rPr>
        <w:t> </w:t>
      </w:r>
      <w:r>
        <w:rPr>
          <w:color w:val="231F1F"/>
          <w:w w:val="105"/>
        </w:rPr>
        <w:t>la</w:t>
      </w:r>
      <w:r>
        <w:rPr>
          <w:color w:val="231F1F"/>
          <w:spacing w:val="-4"/>
          <w:w w:val="105"/>
        </w:rPr>
        <w:t> </w:t>
      </w:r>
      <w:r>
        <w:rPr>
          <w:color w:val="231F1F"/>
          <w:w w:val="105"/>
        </w:rPr>
        <w:t>segunda</w:t>
      </w:r>
      <w:r>
        <w:rPr>
          <w:color w:val="231F1F"/>
          <w:spacing w:val="-5"/>
          <w:w w:val="105"/>
        </w:rPr>
        <w:t> </w:t>
      </w:r>
      <w:r>
        <w:rPr>
          <w:color w:val="231F1F"/>
          <w:w w:val="105"/>
        </w:rPr>
        <w:t>etapa</w:t>
      </w:r>
      <w:r>
        <w:rPr>
          <w:color w:val="231F1F"/>
          <w:spacing w:val="-4"/>
          <w:w w:val="105"/>
        </w:rPr>
        <w:t> </w:t>
      </w:r>
      <w:r>
        <w:rPr>
          <w:color w:val="231F1F"/>
          <w:w w:val="105"/>
        </w:rPr>
        <w:t>o</w:t>
      </w:r>
      <w:r>
        <w:rPr>
          <w:color w:val="231F1F"/>
          <w:spacing w:val="-4"/>
          <w:w w:val="105"/>
        </w:rPr>
        <w:t> </w:t>
      </w:r>
      <w:r>
        <w:rPr>
          <w:color w:val="231F1F"/>
          <w:w w:val="105"/>
        </w:rPr>
        <w:t>peso</w:t>
      </w:r>
      <w:r>
        <w:rPr>
          <w:color w:val="231F1F"/>
          <w:spacing w:val="-4"/>
          <w:w w:val="105"/>
        </w:rPr>
        <w:t> </w:t>
      </w:r>
      <w:r>
        <w:rPr>
          <w:color w:val="231F1F"/>
          <w:w w:val="105"/>
        </w:rPr>
        <w:t>del</w:t>
      </w:r>
      <w:r>
        <w:rPr>
          <w:color w:val="231F1F"/>
          <w:spacing w:val="-5"/>
          <w:w w:val="105"/>
        </w:rPr>
        <w:t> </w:t>
      </w:r>
      <w:r>
        <w:rPr>
          <w:color w:val="231F1F"/>
          <w:w w:val="105"/>
        </w:rPr>
        <w:t>niño (más</w:t>
      </w:r>
      <w:r>
        <w:rPr>
          <w:color w:val="231F1F"/>
          <w:w w:val="105"/>
        </w:rPr>
        <w:t> de</w:t>
      </w:r>
      <w:r>
        <w:rPr>
          <w:color w:val="231F1F"/>
          <w:w w:val="105"/>
        </w:rPr>
        <w:t> 4</w:t>
      </w:r>
      <w:r>
        <w:rPr>
          <w:color w:val="231F1F"/>
          <w:w w:val="105"/>
        </w:rPr>
        <w:t> kg).</w:t>
      </w:r>
      <w:r>
        <w:rPr>
          <w:color w:val="231F1F"/>
          <w:w w:val="105"/>
        </w:rPr>
        <w:t> El</w:t>
      </w:r>
      <w:r>
        <w:rPr>
          <w:color w:val="231F1F"/>
          <w:w w:val="105"/>
        </w:rPr>
        <w:t> test</w:t>
      </w:r>
      <w:r>
        <w:rPr>
          <w:color w:val="231F1F"/>
          <w:w w:val="105"/>
        </w:rPr>
        <w:t> urodinámico</w:t>
      </w:r>
      <w:r>
        <w:rPr>
          <w:color w:val="231F1F"/>
          <w:w w:val="105"/>
        </w:rPr>
        <w:t> demostró</w:t>
      </w:r>
      <w:r>
        <w:rPr>
          <w:color w:val="231F1F"/>
          <w:w w:val="105"/>
        </w:rPr>
        <w:t> disminuciones</w:t>
      </w:r>
      <w:r>
        <w:rPr>
          <w:color w:val="231F1F"/>
          <w:w w:val="105"/>
        </w:rPr>
        <w:t> en</w:t>
      </w:r>
      <w:r>
        <w:rPr>
          <w:color w:val="231F1F"/>
          <w:w w:val="105"/>
        </w:rPr>
        <w:t> la</w:t>
      </w:r>
      <w:r>
        <w:rPr>
          <w:color w:val="231F1F"/>
          <w:w w:val="105"/>
        </w:rPr>
        <w:t> capacidad vesical (p=0.051) y en la urgencia urinaria (p=0.025) en el grupo dirigido.</w:t>
      </w:r>
    </w:p>
    <w:p>
      <w:pPr>
        <w:pStyle w:val="BodyText"/>
        <w:spacing w:line="242" w:lineRule="auto" w:before="41"/>
        <w:ind w:left="283" w:right="42" w:firstLine="453"/>
        <w:jc w:val="both"/>
      </w:pPr>
      <w:r>
        <w:rPr>
          <w:color w:val="231F1F"/>
          <w:w w:val="105"/>
        </w:rPr>
        <w:t>El</w:t>
      </w:r>
      <w:r>
        <w:rPr>
          <w:color w:val="231F1F"/>
          <w:w w:val="105"/>
        </w:rPr>
        <w:t> tercer</w:t>
      </w:r>
      <w:r>
        <w:rPr>
          <w:color w:val="231F1F"/>
          <w:w w:val="105"/>
        </w:rPr>
        <w:t> ECA</w:t>
      </w:r>
      <w:r>
        <w:rPr>
          <w:color w:val="231F1F"/>
          <w:w w:val="105"/>
        </w:rPr>
        <w:t> (136)</w:t>
      </w:r>
      <w:r>
        <w:rPr>
          <w:color w:val="231F1F"/>
          <w:w w:val="105"/>
        </w:rPr>
        <w:t> llevado</w:t>
      </w:r>
      <w:r>
        <w:rPr>
          <w:color w:val="231F1F"/>
          <w:w w:val="105"/>
        </w:rPr>
        <w:t> a</w:t>
      </w:r>
      <w:r>
        <w:rPr>
          <w:color w:val="231F1F"/>
          <w:w w:val="105"/>
        </w:rPr>
        <w:t> cabo</w:t>
      </w:r>
      <w:r>
        <w:rPr>
          <w:color w:val="231F1F"/>
          <w:w w:val="105"/>
        </w:rPr>
        <w:t> en</w:t>
      </w:r>
      <w:r>
        <w:rPr>
          <w:color w:val="231F1F"/>
          <w:w w:val="105"/>
        </w:rPr>
        <w:t> Dinamarca</w:t>
      </w:r>
      <w:r>
        <w:rPr>
          <w:color w:val="231F1F"/>
          <w:w w:val="105"/>
        </w:rPr>
        <w:t> comparó</w:t>
      </w:r>
      <w:r>
        <w:rPr>
          <w:color w:val="231F1F"/>
          <w:w w:val="105"/>
        </w:rPr>
        <w:t> los</w:t>
      </w:r>
      <w:r>
        <w:rPr>
          <w:color w:val="231F1F"/>
          <w:w w:val="105"/>
        </w:rPr>
        <w:t> pujos espontáneos con una técnica «forzada» de respiración sostenida en la segunda etapa, en mujeres nulíparas con parto vaginal. El método de pujo asignado, no se establecía hasta que la cabeza del neonato era visible, hasta ese momento las</w:t>
      </w:r>
      <w:r>
        <w:rPr>
          <w:color w:val="231F1F"/>
          <w:spacing w:val="-3"/>
          <w:w w:val="105"/>
        </w:rPr>
        <w:t> </w:t>
      </w:r>
      <w:r>
        <w:rPr>
          <w:color w:val="231F1F"/>
          <w:w w:val="105"/>
        </w:rPr>
        <w:t>mujeres</w:t>
      </w:r>
      <w:r>
        <w:rPr>
          <w:color w:val="231F1F"/>
          <w:spacing w:val="-3"/>
          <w:w w:val="105"/>
        </w:rPr>
        <w:t> </w:t>
      </w:r>
      <w:r>
        <w:rPr>
          <w:color w:val="231F1F"/>
          <w:w w:val="105"/>
        </w:rPr>
        <w:t>podían</w:t>
      </w:r>
      <w:r>
        <w:rPr>
          <w:color w:val="231F1F"/>
          <w:spacing w:val="-3"/>
          <w:w w:val="105"/>
        </w:rPr>
        <w:t> </w:t>
      </w:r>
      <w:r>
        <w:rPr>
          <w:color w:val="231F1F"/>
          <w:w w:val="105"/>
        </w:rPr>
        <w:t>hacer</w:t>
      </w:r>
      <w:r>
        <w:rPr>
          <w:color w:val="231F1F"/>
          <w:spacing w:val="-3"/>
          <w:w w:val="105"/>
        </w:rPr>
        <w:t> </w:t>
      </w:r>
      <w:r>
        <w:rPr>
          <w:color w:val="231F1F"/>
          <w:w w:val="105"/>
        </w:rPr>
        <w:t>los</w:t>
      </w:r>
      <w:r>
        <w:rPr>
          <w:color w:val="231F1F"/>
          <w:spacing w:val="-3"/>
          <w:w w:val="105"/>
        </w:rPr>
        <w:t> </w:t>
      </w:r>
      <w:r>
        <w:rPr>
          <w:color w:val="231F1F"/>
          <w:w w:val="105"/>
        </w:rPr>
        <w:t>esfuerzos</w:t>
      </w:r>
      <w:r>
        <w:rPr>
          <w:color w:val="231F1F"/>
          <w:spacing w:val="-2"/>
          <w:w w:val="105"/>
        </w:rPr>
        <w:t> </w:t>
      </w:r>
      <w:r>
        <w:rPr>
          <w:color w:val="231F1F"/>
          <w:w w:val="105"/>
        </w:rPr>
        <w:t>de</w:t>
      </w:r>
      <w:r>
        <w:rPr>
          <w:color w:val="231F1F"/>
          <w:spacing w:val="-3"/>
          <w:w w:val="105"/>
        </w:rPr>
        <w:t> </w:t>
      </w:r>
      <w:r>
        <w:rPr>
          <w:color w:val="231F1F"/>
          <w:w w:val="105"/>
        </w:rPr>
        <w:t>expulsión</w:t>
      </w:r>
      <w:r>
        <w:rPr>
          <w:color w:val="231F1F"/>
          <w:spacing w:val="-2"/>
          <w:w w:val="105"/>
        </w:rPr>
        <w:t> </w:t>
      </w:r>
      <w:r>
        <w:rPr>
          <w:color w:val="231F1F"/>
          <w:w w:val="105"/>
        </w:rPr>
        <w:t>como</w:t>
      </w:r>
      <w:r>
        <w:rPr>
          <w:color w:val="231F1F"/>
          <w:spacing w:val="-3"/>
          <w:w w:val="105"/>
        </w:rPr>
        <w:t> </w:t>
      </w:r>
      <w:r>
        <w:rPr>
          <w:color w:val="231F1F"/>
          <w:w w:val="105"/>
        </w:rPr>
        <w:t>desearan,</w:t>
      </w:r>
      <w:r>
        <w:rPr>
          <w:color w:val="231F1F"/>
          <w:spacing w:val="-3"/>
          <w:w w:val="105"/>
        </w:rPr>
        <w:t> </w:t>
      </w:r>
      <w:r>
        <w:rPr>
          <w:color w:val="231F1F"/>
          <w:w w:val="105"/>
        </w:rPr>
        <w:t>sin</w:t>
      </w:r>
      <w:r>
        <w:rPr>
          <w:color w:val="231F1F"/>
          <w:spacing w:val="-3"/>
          <w:w w:val="105"/>
        </w:rPr>
        <w:t> </w:t>
      </w:r>
      <w:r>
        <w:rPr>
          <w:color w:val="231F1F"/>
          <w:w w:val="105"/>
        </w:rPr>
        <w:t>conse- jo</w:t>
      </w:r>
      <w:r>
        <w:rPr>
          <w:color w:val="231F1F"/>
          <w:spacing w:val="-10"/>
          <w:w w:val="105"/>
        </w:rPr>
        <w:t> </w:t>
      </w:r>
      <w:r>
        <w:rPr>
          <w:color w:val="231F1F"/>
          <w:w w:val="105"/>
        </w:rPr>
        <w:t>ni</w:t>
      </w:r>
      <w:r>
        <w:rPr>
          <w:color w:val="231F1F"/>
          <w:spacing w:val="-9"/>
          <w:w w:val="105"/>
        </w:rPr>
        <w:t> </w:t>
      </w:r>
      <w:r>
        <w:rPr>
          <w:color w:val="231F1F"/>
          <w:w w:val="105"/>
        </w:rPr>
        <w:t>ayuda</w:t>
      </w:r>
      <w:r>
        <w:rPr>
          <w:color w:val="231F1F"/>
          <w:spacing w:val="-9"/>
          <w:w w:val="105"/>
        </w:rPr>
        <w:t> </w:t>
      </w:r>
      <w:r>
        <w:rPr>
          <w:color w:val="231F1F"/>
          <w:w w:val="105"/>
        </w:rPr>
        <w:t>de</w:t>
      </w:r>
      <w:r>
        <w:rPr>
          <w:color w:val="231F1F"/>
          <w:spacing w:val="-9"/>
          <w:w w:val="105"/>
        </w:rPr>
        <w:t> </w:t>
      </w:r>
      <w:r>
        <w:rPr>
          <w:color w:val="231F1F"/>
          <w:w w:val="105"/>
        </w:rPr>
        <w:t>la</w:t>
      </w:r>
      <w:r>
        <w:rPr>
          <w:color w:val="231F1F"/>
          <w:spacing w:val="-9"/>
          <w:w w:val="105"/>
        </w:rPr>
        <w:t> </w:t>
      </w:r>
      <w:r>
        <w:rPr>
          <w:color w:val="231F1F"/>
          <w:w w:val="105"/>
        </w:rPr>
        <w:t>matrona.</w:t>
      </w:r>
      <w:r>
        <w:rPr>
          <w:color w:val="231F1F"/>
          <w:spacing w:val="-10"/>
          <w:w w:val="105"/>
        </w:rPr>
        <w:t> </w:t>
      </w:r>
      <w:r>
        <w:rPr>
          <w:color w:val="231F1F"/>
          <w:w w:val="105"/>
        </w:rPr>
        <w:t>Sin</w:t>
      </w:r>
      <w:r>
        <w:rPr>
          <w:color w:val="231F1F"/>
          <w:spacing w:val="-10"/>
          <w:w w:val="105"/>
        </w:rPr>
        <w:t> </w:t>
      </w:r>
      <w:r>
        <w:rPr>
          <w:color w:val="231F1F"/>
          <w:w w:val="105"/>
        </w:rPr>
        <w:t>embargo,</w:t>
      </w:r>
      <w:r>
        <w:rPr>
          <w:color w:val="231F1F"/>
          <w:spacing w:val="-9"/>
          <w:w w:val="105"/>
        </w:rPr>
        <w:t> </w:t>
      </w:r>
      <w:r>
        <w:rPr>
          <w:color w:val="231F1F"/>
          <w:w w:val="105"/>
        </w:rPr>
        <w:t>el</w:t>
      </w:r>
      <w:r>
        <w:rPr>
          <w:color w:val="231F1F"/>
          <w:spacing w:val="-9"/>
          <w:w w:val="105"/>
        </w:rPr>
        <w:t> </w:t>
      </w:r>
      <w:r>
        <w:rPr>
          <w:color w:val="231F1F"/>
          <w:w w:val="105"/>
        </w:rPr>
        <w:t>reclutamiento</w:t>
      </w:r>
      <w:r>
        <w:rPr>
          <w:color w:val="231F1F"/>
          <w:spacing w:val="-9"/>
          <w:w w:val="105"/>
        </w:rPr>
        <w:t> </w:t>
      </w:r>
      <w:r>
        <w:rPr>
          <w:color w:val="231F1F"/>
          <w:w w:val="105"/>
        </w:rPr>
        <w:t>fue</w:t>
      </w:r>
      <w:r>
        <w:rPr>
          <w:color w:val="231F1F"/>
          <w:spacing w:val="-9"/>
          <w:w w:val="105"/>
        </w:rPr>
        <w:t> </w:t>
      </w:r>
      <w:r>
        <w:rPr>
          <w:color w:val="231F1F"/>
          <w:w w:val="105"/>
        </w:rPr>
        <w:t>complicado</w:t>
      </w:r>
      <w:r>
        <w:rPr>
          <w:color w:val="231F1F"/>
          <w:spacing w:val="-9"/>
          <w:w w:val="105"/>
        </w:rPr>
        <w:t> </w:t>
      </w:r>
      <w:r>
        <w:rPr>
          <w:color w:val="231F1F"/>
          <w:w w:val="105"/>
        </w:rPr>
        <w:t>y</w:t>
      </w:r>
      <w:r>
        <w:rPr>
          <w:color w:val="231F1F"/>
          <w:spacing w:val="-10"/>
          <w:w w:val="105"/>
        </w:rPr>
        <w:t> </w:t>
      </w:r>
      <w:r>
        <w:rPr>
          <w:color w:val="231F1F"/>
          <w:w w:val="105"/>
        </w:rPr>
        <w:t>sólo 350</w:t>
      </w:r>
      <w:r>
        <w:rPr>
          <w:color w:val="231F1F"/>
          <w:spacing w:val="-7"/>
          <w:w w:val="105"/>
        </w:rPr>
        <w:t> </w:t>
      </w:r>
      <w:r>
        <w:rPr>
          <w:color w:val="231F1F"/>
          <w:w w:val="105"/>
        </w:rPr>
        <w:t>de</w:t>
      </w:r>
      <w:r>
        <w:rPr>
          <w:color w:val="231F1F"/>
          <w:spacing w:val="-7"/>
          <w:w w:val="105"/>
        </w:rPr>
        <w:t> </w:t>
      </w:r>
      <w:r>
        <w:rPr>
          <w:color w:val="231F1F"/>
          <w:w w:val="105"/>
        </w:rPr>
        <w:t>las</w:t>
      </w:r>
      <w:r>
        <w:rPr>
          <w:color w:val="231F1F"/>
          <w:spacing w:val="-6"/>
          <w:w w:val="105"/>
        </w:rPr>
        <w:t> </w:t>
      </w:r>
      <w:r>
        <w:rPr>
          <w:color w:val="231F1F"/>
          <w:w w:val="105"/>
        </w:rPr>
        <w:t>1.413</w:t>
      </w:r>
      <w:r>
        <w:rPr>
          <w:color w:val="231F1F"/>
          <w:spacing w:val="-7"/>
          <w:w w:val="105"/>
        </w:rPr>
        <w:t> </w:t>
      </w:r>
      <w:r>
        <w:rPr>
          <w:color w:val="231F1F"/>
          <w:w w:val="105"/>
        </w:rPr>
        <w:t>mujeres</w:t>
      </w:r>
      <w:r>
        <w:rPr>
          <w:color w:val="231F1F"/>
          <w:spacing w:val="-6"/>
          <w:w w:val="105"/>
        </w:rPr>
        <w:t> </w:t>
      </w:r>
      <w:r>
        <w:rPr>
          <w:color w:val="231F1F"/>
          <w:w w:val="105"/>
        </w:rPr>
        <w:t>elegidas</w:t>
      </w:r>
      <w:r>
        <w:rPr>
          <w:color w:val="231F1F"/>
          <w:spacing w:val="-6"/>
          <w:w w:val="105"/>
        </w:rPr>
        <w:t> </w:t>
      </w:r>
      <w:r>
        <w:rPr>
          <w:color w:val="231F1F"/>
          <w:w w:val="105"/>
        </w:rPr>
        <w:t>tomaron</w:t>
      </w:r>
      <w:r>
        <w:rPr>
          <w:color w:val="231F1F"/>
          <w:spacing w:val="-7"/>
          <w:w w:val="105"/>
        </w:rPr>
        <w:t> </w:t>
      </w:r>
      <w:r>
        <w:rPr>
          <w:color w:val="231F1F"/>
          <w:w w:val="105"/>
        </w:rPr>
        <w:t>parte.</w:t>
      </w:r>
      <w:r>
        <w:rPr>
          <w:color w:val="231F1F"/>
          <w:spacing w:val="-7"/>
          <w:w w:val="105"/>
        </w:rPr>
        <w:t> </w:t>
      </w:r>
      <w:r>
        <w:rPr>
          <w:color w:val="231F1F"/>
          <w:w w:val="105"/>
        </w:rPr>
        <w:t>El</w:t>
      </w:r>
      <w:r>
        <w:rPr>
          <w:color w:val="231F1F"/>
          <w:spacing w:val="-6"/>
          <w:w w:val="105"/>
        </w:rPr>
        <w:t> </w:t>
      </w:r>
      <w:r>
        <w:rPr>
          <w:color w:val="231F1F"/>
          <w:w w:val="105"/>
        </w:rPr>
        <w:t>resto</w:t>
      </w:r>
      <w:r>
        <w:rPr>
          <w:color w:val="231F1F"/>
          <w:spacing w:val="-7"/>
          <w:w w:val="105"/>
        </w:rPr>
        <w:t> </w:t>
      </w:r>
      <w:r>
        <w:rPr>
          <w:color w:val="231F1F"/>
          <w:w w:val="105"/>
        </w:rPr>
        <w:t>de</w:t>
      </w:r>
      <w:r>
        <w:rPr>
          <w:color w:val="231F1F"/>
          <w:spacing w:val="-7"/>
          <w:w w:val="105"/>
        </w:rPr>
        <w:t> </w:t>
      </w:r>
      <w:r>
        <w:rPr>
          <w:color w:val="231F1F"/>
          <w:w w:val="105"/>
        </w:rPr>
        <w:t>las</w:t>
      </w:r>
      <w:r>
        <w:rPr>
          <w:color w:val="231F1F"/>
          <w:spacing w:val="-6"/>
          <w:w w:val="105"/>
        </w:rPr>
        <w:t> </w:t>
      </w:r>
      <w:r>
        <w:rPr>
          <w:color w:val="231F1F"/>
          <w:w w:val="105"/>
        </w:rPr>
        <w:t>mujeres</w:t>
      </w:r>
      <w:r>
        <w:rPr>
          <w:color w:val="231F1F"/>
          <w:spacing w:val="-7"/>
          <w:w w:val="105"/>
        </w:rPr>
        <w:t> </w:t>
      </w:r>
      <w:r>
        <w:rPr>
          <w:color w:val="231F1F"/>
          <w:w w:val="105"/>
        </w:rPr>
        <w:t>recha- zaron participar debido a reticencias a ser asignadas al grupo de pujos espon- táneos por miedo a la falta de orientación y estímulo de matronas. Además 44 mujeres</w:t>
      </w:r>
      <w:r>
        <w:rPr>
          <w:color w:val="231F1F"/>
          <w:w w:val="105"/>
        </w:rPr>
        <w:t> fueron</w:t>
      </w:r>
      <w:r>
        <w:rPr>
          <w:color w:val="231F1F"/>
          <w:w w:val="105"/>
        </w:rPr>
        <w:t> perdidas</w:t>
      </w:r>
      <w:r>
        <w:rPr>
          <w:color w:val="231F1F"/>
          <w:w w:val="105"/>
        </w:rPr>
        <w:t> durante</w:t>
      </w:r>
      <w:r>
        <w:rPr>
          <w:color w:val="231F1F"/>
          <w:w w:val="105"/>
        </w:rPr>
        <w:t> el</w:t>
      </w:r>
      <w:r>
        <w:rPr>
          <w:color w:val="231F1F"/>
          <w:w w:val="105"/>
        </w:rPr>
        <w:t> seguimiento</w:t>
      </w:r>
      <w:r>
        <w:rPr>
          <w:color w:val="231F1F"/>
          <w:w w:val="105"/>
        </w:rPr>
        <w:t> tras</w:t>
      </w:r>
      <w:r>
        <w:rPr>
          <w:color w:val="231F1F"/>
          <w:w w:val="105"/>
        </w:rPr>
        <w:t> la</w:t>
      </w:r>
      <w:r>
        <w:rPr>
          <w:color w:val="231F1F"/>
          <w:w w:val="105"/>
        </w:rPr>
        <w:t> asignación</w:t>
      </w:r>
      <w:r>
        <w:rPr>
          <w:color w:val="231F1F"/>
          <w:w w:val="105"/>
        </w:rPr>
        <w:t> aleatoria, sobre todo porque dieron a luz por cesárea. Estas dificultades restaron fiabili- dad</w:t>
      </w:r>
      <w:r>
        <w:rPr>
          <w:color w:val="231F1F"/>
          <w:spacing w:val="-7"/>
          <w:w w:val="105"/>
        </w:rPr>
        <w:t> </w:t>
      </w:r>
      <w:r>
        <w:rPr>
          <w:color w:val="231F1F"/>
          <w:w w:val="105"/>
        </w:rPr>
        <w:t>a</w:t>
      </w:r>
      <w:r>
        <w:rPr>
          <w:color w:val="231F1F"/>
          <w:spacing w:val="-7"/>
          <w:w w:val="105"/>
        </w:rPr>
        <w:t> </w:t>
      </w:r>
      <w:r>
        <w:rPr>
          <w:color w:val="231F1F"/>
          <w:w w:val="105"/>
        </w:rPr>
        <w:t>los</w:t>
      </w:r>
      <w:r>
        <w:rPr>
          <w:color w:val="231F1F"/>
          <w:spacing w:val="-6"/>
          <w:w w:val="105"/>
        </w:rPr>
        <w:t> </w:t>
      </w:r>
      <w:r>
        <w:rPr>
          <w:color w:val="231F1F"/>
          <w:w w:val="105"/>
        </w:rPr>
        <w:t>hallazgos</w:t>
      </w:r>
      <w:r>
        <w:rPr>
          <w:color w:val="231F1F"/>
          <w:spacing w:val="-6"/>
          <w:w w:val="105"/>
        </w:rPr>
        <w:t> </w:t>
      </w:r>
      <w:r>
        <w:rPr>
          <w:color w:val="231F1F"/>
          <w:w w:val="105"/>
        </w:rPr>
        <w:t>del</w:t>
      </w:r>
      <w:r>
        <w:rPr>
          <w:color w:val="231F1F"/>
          <w:spacing w:val="-6"/>
          <w:w w:val="105"/>
        </w:rPr>
        <w:t> </w:t>
      </w:r>
      <w:r>
        <w:rPr>
          <w:color w:val="231F1F"/>
          <w:w w:val="105"/>
        </w:rPr>
        <w:t>estudio</w:t>
      </w:r>
      <w:r>
        <w:rPr>
          <w:color w:val="231F1F"/>
          <w:spacing w:val="-6"/>
          <w:w w:val="105"/>
        </w:rPr>
        <w:t> </w:t>
      </w:r>
      <w:r>
        <w:rPr>
          <w:color w:val="231F1F"/>
          <w:w w:val="105"/>
        </w:rPr>
        <w:t>que</w:t>
      </w:r>
      <w:r>
        <w:rPr>
          <w:color w:val="231F1F"/>
          <w:spacing w:val="-7"/>
          <w:w w:val="105"/>
        </w:rPr>
        <w:t> </w:t>
      </w:r>
      <w:r>
        <w:rPr>
          <w:color w:val="231F1F"/>
          <w:w w:val="105"/>
        </w:rPr>
        <w:t>finalmente</w:t>
      </w:r>
      <w:r>
        <w:rPr>
          <w:color w:val="231F1F"/>
          <w:spacing w:val="-6"/>
          <w:w w:val="105"/>
        </w:rPr>
        <w:t> </w:t>
      </w:r>
      <w:r>
        <w:rPr>
          <w:color w:val="231F1F"/>
          <w:w w:val="105"/>
        </w:rPr>
        <w:t>incluyó</w:t>
      </w:r>
      <w:r>
        <w:rPr>
          <w:color w:val="231F1F"/>
          <w:spacing w:val="-7"/>
          <w:w w:val="105"/>
        </w:rPr>
        <w:t> </w:t>
      </w:r>
      <w:r>
        <w:rPr>
          <w:color w:val="231F1F"/>
          <w:w w:val="105"/>
        </w:rPr>
        <w:t>a</w:t>
      </w:r>
      <w:r>
        <w:rPr>
          <w:color w:val="231F1F"/>
          <w:spacing w:val="-7"/>
          <w:w w:val="105"/>
        </w:rPr>
        <w:t> </w:t>
      </w:r>
      <w:r>
        <w:rPr>
          <w:color w:val="231F1F"/>
          <w:w w:val="105"/>
        </w:rPr>
        <w:t>151</w:t>
      </w:r>
      <w:r>
        <w:rPr>
          <w:color w:val="231F1F"/>
          <w:spacing w:val="-7"/>
          <w:w w:val="105"/>
        </w:rPr>
        <w:t> </w:t>
      </w:r>
      <w:r>
        <w:rPr>
          <w:color w:val="231F1F"/>
          <w:w w:val="105"/>
        </w:rPr>
        <w:t>mujeres</w:t>
      </w:r>
      <w:r>
        <w:rPr>
          <w:color w:val="231F1F"/>
          <w:spacing w:val="-6"/>
          <w:w w:val="105"/>
        </w:rPr>
        <w:t> </w:t>
      </w:r>
      <w:r>
        <w:rPr>
          <w:color w:val="231F1F"/>
          <w:w w:val="105"/>
        </w:rPr>
        <w:t>con</w:t>
      </w:r>
      <w:r>
        <w:rPr>
          <w:color w:val="231F1F"/>
          <w:spacing w:val="-7"/>
          <w:w w:val="105"/>
        </w:rPr>
        <w:t> </w:t>
      </w:r>
      <w:r>
        <w:rPr>
          <w:color w:val="231F1F"/>
          <w:w w:val="105"/>
        </w:rPr>
        <w:t>pujos espontáneos</w:t>
      </w:r>
      <w:r>
        <w:rPr>
          <w:color w:val="231F1F"/>
          <w:w w:val="105"/>
        </w:rPr>
        <w:t> y</w:t>
      </w:r>
      <w:r>
        <w:rPr>
          <w:color w:val="231F1F"/>
          <w:w w:val="105"/>
        </w:rPr>
        <w:t> 155</w:t>
      </w:r>
      <w:r>
        <w:rPr>
          <w:color w:val="231F1F"/>
          <w:w w:val="105"/>
        </w:rPr>
        <w:t> con</w:t>
      </w:r>
      <w:r>
        <w:rPr>
          <w:color w:val="231F1F"/>
          <w:w w:val="105"/>
        </w:rPr>
        <w:t> técnica</w:t>
      </w:r>
      <w:r>
        <w:rPr>
          <w:color w:val="231F1F"/>
          <w:w w:val="105"/>
        </w:rPr>
        <w:t> «forzada»</w:t>
      </w:r>
      <w:r>
        <w:rPr>
          <w:color w:val="231F1F"/>
          <w:w w:val="105"/>
        </w:rPr>
        <w:t> de</w:t>
      </w:r>
      <w:r>
        <w:rPr>
          <w:color w:val="231F1F"/>
          <w:w w:val="105"/>
        </w:rPr>
        <w:t> respiración</w:t>
      </w:r>
      <w:r>
        <w:rPr>
          <w:color w:val="231F1F"/>
          <w:w w:val="105"/>
        </w:rPr>
        <w:t> sostenida.</w:t>
      </w:r>
      <w:r>
        <w:rPr>
          <w:color w:val="231F1F"/>
          <w:w w:val="105"/>
        </w:rPr>
        <w:t> Los</w:t>
      </w:r>
      <w:r>
        <w:rPr>
          <w:color w:val="231F1F"/>
          <w:w w:val="105"/>
        </w:rPr>
        <w:t> dos grupos</w:t>
      </w:r>
      <w:r>
        <w:rPr>
          <w:color w:val="231F1F"/>
          <w:spacing w:val="40"/>
          <w:w w:val="105"/>
        </w:rPr>
        <w:t> </w:t>
      </w:r>
      <w:r>
        <w:rPr>
          <w:color w:val="231F1F"/>
          <w:w w:val="105"/>
        </w:rPr>
        <w:t>estaban</w:t>
      </w:r>
      <w:r>
        <w:rPr>
          <w:color w:val="231F1F"/>
          <w:spacing w:val="40"/>
          <w:w w:val="105"/>
        </w:rPr>
        <w:t> </w:t>
      </w:r>
      <w:r>
        <w:rPr>
          <w:color w:val="231F1F"/>
          <w:w w:val="105"/>
        </w:rPr>
        <w:t>bien</w:t>
      </w:r>
      <w:r>
        <w:rPr>
          <w:color w:val="231F1F"/>
          <w:spacing w:val="40"/>
          <w:w w:val="105"/>
        </w:rPr>
        <w:t> </w:t>
      </w:r>
      <w:r>
        <w:rPr>
          <w:color w:val="231F1F"/>
          <w:w w:val="105"/>
        </w:rPr>
        <w:t>pareados</w:t>
      </w:r>
      <w:r>
        <w:rPr>
          <w:color w:val="231F1F"/>
          <w:spacing w:val="40"/>
          <w:w w:val="105"/>
        </w:rPr>
        <w:t> </w:t>
      </w:r>
      <w:r>
        <w:rPr>
          <w:color w:val="231F1F"/>
          <w:w w:val="105"/>
        </w:rPr>
        <w:t>por</w:t>
      </w:r>
      <w:r>
        <w:rPr>
          <w:color w:val="231F1F"/>
          <w:spacing w:val="40"/>
          <w:w w:val="105"/>
        </w:rPr>
        <w:t> </w:t>
      </w:r>
      <w:r>
        <w:rPr>
          <w:color w:val="231F1F"/>
          <w:w w:val="105"/>
        </w:rPr>
        <w:t>características</w:t>
      </w:r>
      <w:r>
        <w:rPr>
          <w:color w:val="231F1F"/>
          <w:spacing w:val="40"/>
          <w:w w:val="105"/>
        </w:rPr>
        <w:t> </w:t>
      </w:r>
      <w:r>
        <w:rPr>
          <w:color w:val="231F1F"/>
          <w:w w:val="105"/>
        </w:rPr>
        <w:t>maternas</w:t>
      </w:r>
      <w:r>
        <w:rPr>
          <w:color w:val="231F1F"/>
          <w:spacing w:val="40"/>
          <w:w w:val="105"/>
        </w:rPr>
        <w:t> </w:t>
      </w:r>
      <w:r>
        <w:rPr>
          <w:color w:val="231F1F"/>
          <w:w w:val="105"/>
        </w:rPr>
        <w:t>y</w:t>
      </w:r>
      <w:r>
        <w:rPr>
          <w:color w:val="231F1F"/>
          <w:spacing w:val="40"/>
          <w:w w:val="105"/>
        </w:rPr>
        <w:t> </w:t>
      </w:r>
      <w:r>
        <w:rPr>
          <w:color w:val="231F1F"/>
          <w:w w:val="105"/>
        </w:rPr>
        <w:t>neonatales.</w:t>
      </w:r>
    </w:p>
    <w:p>
      <w:pPr>
        <w:pStyle w:val="BodyText"/>
        <w:spacing w:before="75"/>
        <w:ind w:left="283" w:right="38" w:firstLine="453"/>
        <w:jc w:val="both"/>
      </w:pPr>
      <w:r>
        <w:rPr>
          <w:color w:val="231F1F"/>
          <w:w w:val="110"/>
        </w:rPr>
        <w:t>El</w:t>
      </w:r>
      <w:r>
        <w:rPr>
          <w:color w:val="231F1F"/>
          <w:spacing w:val="-11"/>
          <w:w w:val="110"/>
        </w:rPr>
        <w:t> </w:t>
      </w:r>
      <w:r>
        <w:rPr>
          <w:color w:val="231F1F"/>
          <w:w w:val="110"/>
        </w:rPr>
        <w:t>estudio</w:t>
      </w:r>
      <w:r>
        <w:rPr>
          <w:color w:val="231F1F"/>
          <w:spacing w:val="-11"/>
          <w:w w:val="110"/>
        </w:rPr>
        <w:t> </w:t>
      </w:r>
      <w:r>
        <w:rPr>
          <w:color w:val="231F1F"/>
          <w:w w:val="110"/>
        </w:rPr>
        <w:t>no</w:t>
      </w:r>
      <w:r>
        <w:rPr>
          <w:color w:val="231F1F"/>
          <w:spacing w:val="-11"/>
          <w:w w:val="110"/>
        </w:rPr>
        <w:t> </w:t>
      </w:r>
      <w:r>
        <w:rPr>
          <w:color w:val="231F1F"/>
          <w:w w:val="110"/>
        </w:rPr>
        <w:t>mostró</w:t>
      </w:r>
      <w:r>
        <w:rPr>
          <w:color w:val="231F1F"/>
          <w:spacing w:val="-11"/>
          <w:w w:val="110"/>
        </w:rPr>
        <w:t> </w:t>
      </w:r>
      <w:r>
        <w:rPr>
          <w:color w:val="231F1F"/>
          <w:w w:val="110"/>
        </w:rPr>
        <w:t>diferencias</w:t>
      </w:r>
      <w:r>
        <w:rPr>
          <w:color w:val="231F1F"/>
          <w:spacing w:val="-12"/>
          <w:w w:val="110"/>
        </w:rPr>
        <w:t> </w:t>
      </w:r>
      <w:r>
        <w:rPr>
          <w:color w:val="231F1F"/>
          <w:w w:val="110"/>
        </w:rPr>
        <w:t>significativas</w:t>
      </w:r>
      <w:r>
        <w:rPr>
          <w:color w:val="231F1F"/>
          <w:spacing w:val="-12"/>
          <w:w w:val="110"/>
        </w:rPr>
        <w:t> </w:t>
      </w:r>
      <w:r>
        <w:rPr>
          <w:color w:val="231F1F"/>
          <w:w w:val="110"/>
        </w:rPr>
        <w:t>en</w:t>
      </w:r>
      <w:r>
        <w:rPr>
          <w:color w:val="231F1F"/>
          <w:spacing w:val="-11"/>
          <w:w w:val="110"/>
        </w:rPr>
        <w:t> </w:t>
      </w:r>
      <w:r>
        <w:rPr>
          <w:color w:val="231F1F"/>
          <w:w w:val="110"/>
        </w:rPr>
        <w:t>la</w:t>
      </w:r>
      <w:r>
        <w:rPr>
          <w:color w:val="231F1F"/>
          <w:spacing w:val="-11"/>
          <w:w w:val="110"/>
        </w:rPr>
        <w:t> </w:t>
      </w:r>
      <w:r>
        <w:rPr>
          <w:color w:val="231F1F"/>
          <w:w w:val="110"/>
        </w:rPr>
        <w:t>duración</w:t>
      </w:r>
      <w:r>
        <w:rPr>
          <w:color w:val="231F1F"/>
          <w:spacing w:val="-11"/>
          <w:w w:val="110"/>
        </w:rPr>
        <w:t> </w:t>
      </w:r>
      <w:r>
        <w:rPr>
          <w:color w:val="231F1F"/>
          <w:w w:val="110"/>
        </w:rPr>
        <w:t>del</w:t>
      </w:r>
      <w:r>
        <w:rPr>
          <w:color w:val="231F1F"/>
          <w:spacing w:val="-12"/>
          <w:w w:val="110"/>
        </w:rPr>
        <w:t> </w:t>
      </w:r>
      <w:r>
        <w:rPr>
          <w:color w:val="231F1F"/>
          <w:w w:val="110"/>
        </w:rPr>
        <w:t>parto, </w:t>
      </w:r>
      <w:r>
        <w:rPr>
          <w:color w:val="231F1F"/>
        </w:rPr>
        <w:t>duración</w:t>
      </w:r>
      <w:r>
        <w:rPr>
          <w:color w:val="231F1F"/>
          <w:spacing w:val="23"/>
        </w:rPr>
        <w:t> </w:t>
      </w:r>
      <w:r>
        <w:rPr>
          <w:color w:val="231F1F"/>
        </w:rPr>
        <w:t>de</w:t>
      </w:r>
      <w:r>
        <w:rPr>
          <w:color w:val="231F1F"/>
          <w:spacing w:val="23"/>
        </w:rPr>
        <w:t> </w:t>
      </w:r>
      <w:r>
        <w:rPr>
          <w:color w:val="231F1F"/>
        </w:rPr>
        <w:t>la</w:t>
      </w:r>
      <w:r>
        <w:rPr>
          <w:color w:val="231F1F"/>
          <w:spacing w:val="23"/>
        </w:rPr>
        <w:t> </w:t>
      </w:r>
      <w:r>
        <w:rPr>
          <w:color w:val="231F1F"/>
        </w:rPr>
        <w:t>2ª</w:t>
      </w:r>
      <w:r>
        <w:rPr>
          <w:color w:val="231F1F"/>
          <w:spacing w:val="23"/>
        </w:rPr>
        <w:t> </w:t>
      </w:r>
      <w:r>
        <w:rPr>
          <w:color w:val="231F1F"/>
        </w:rPr>
        <w:t>etapa,</w:t>
      </w:r>
      <w:r>
        <w:rPr>
          <w:color w:val="231F1F"/>
          <w:spacing w:val="23"/>
        </w:rPr>
        <w:t> </w:t>
      </w:r>
      <w:r>
        <w:rPr>
          <w:color w:val="231F1F"/>
        </w:rPr>
        <w:t>duración</w:t>
      </w:r>
      <w:r>
        <w:rPr>
          <w:color w:val="231F1F"/>
          <w:spacing w:val="23"/>
        </w:rPr>
        <w:t> </w:t>
      </w:r>
      <w:r>
        <w:rPr>
          <w:color w:val="231F1F"/>
        </w:rPr>
        <w:t>de</w:t>
      </w:r>
      <w:r>
        <w:rPr>
          <w:color w:val="231F1F"/>
          <w:spacing w:val="23"/>
        </w:rPr>
        <w:t> </w:t>
      </w:r>
      <w:r>
        <w:rPr>
          <w:color w:val="231F1F"/>
        </w:rPr>
        <w:t>la</w:t>
      </w:r>
      <w:r>
        <w:rPr>
          <w:color w:val="231F1F"/>
          <w:spacing w:val="23"/>
        </w:rPr>
        <w:t> </w:t>
      </w:r>
      <w:r>
        <w:rPr>
          <w:color w:val="231F1F"/>
        </w:rPr>
        <w:t>fase</w:t>
      </w:r>
      <w:r>
        <w:rPr>
          <w:color w:val="231F1F"/>
          <w:spacing w:val="23"/>
        </w:rPr>
        <w:t> </w:t>
      </w:r>
      <w:r>
        <w:rPr>
          <w:color w:val="231F1F"/>
        </w:rPr>
        <w:t>expulsiva</w:t>
      </w:r>
      <w:r>
        <w:rPr>
          <w:color w:val="231F1F"/>
          <w:spacing w:val="22"/>
        </w:rPr>
        <w:t> </w:t>
      </w:r>
      <w:r>
        <w:rPr>
          <w:color w:val="231F1F"/>
        </w:rPr>
        <w:t>de</w:t>
      </w:r>
      <w:r>
        <w:rPr>
          <w:color w:val="231F1F"/>
          <w:spacing w:val="23"/>
        </w:rPr>
        <w:t> </w:t>
      </w:r>
      <w:r>
        <w:rPr>
          <w:color w:val="231F1F"/>
        </w:rPr>
        <w:t>la</w:t>
      </w:r>
      <w:r>
        <w:rPr>
          <w:color w:val="231F1F"/>
          <w:spacing w:val="23"/>
        </w:rPr>
        <w:t> </w:t>
      </w:r>
      <w:r>
        <w:rPr>
          <w:color w:val="231F1F"/>
        </w:rPr>
        <w:t>2ª</w:t>
      </w:r>
      <w:r>
        <w:rPr>
          <w:color w:val="231F1F"/>
          <w:spacing w:val="23"/>
        </w:rPr>
        <w:t> </w:t>
      </w:r>
      <w:r>
        <w:rPr>
          <w:color w:val="231F1F"/>
        </w:rPr>
        <w:t>etapa</w:t>
      </w:r>
      <w:r>
        <w:rPr>
          <w:color w:val="231F1F"/>
          <w:spacing w:val="23"/>
        </w:rPr>
        <w:t> </w:t>
      </w:r>
      <w:r>
        <w:rPr>
          <w:color w:val="231F1F"/>
        </w:rPr>
        <w:t>(desde</w:t>
      </w:r>
      <w:r>
        <w:rPr>
          <w:color w:val="231F1F"/>
          <w:spacing w:val="24"/>
        </w:rPr>
        <w:t> </w:t>
      </w:r>
      <w:r>
        <w:rPr>
          <w:color w:val="231F1F"/>
        </w:rPr>
        <w:t>que </w:t>
      </w:r>
      <w:r>
        <w:rPr>
          <w:color w:val="231F1F"/>
          <w:w w:val="110"/>
        </w:rPr>
        <w:t>es</w:t>
      </w:r>
      <w:r>
        <w:rPr>
          <w:color w:val="231F1F"/>
          <w:spacing w:val="-13"/>
          <w:w w:val="110"/>
        </w:rPr>
        <w:t> </w:t>
      </w:r>
      <w:r>
        <w:rPr>
          <w:color w:val="231F1F"/>
          <w:w w:val="110"/>
        </w:rPr>
        <w:t>visible</w:t>
      </w:r>
      <w:r>
        <w:rPr>
          <w:color w:val="231F1F"/>
          <w:spacing w:val="-13"/>
          <w:w w:val="110"/>
        </w:rPr>
        <w:t> </w:t>
      </w:r>
      <w:r>
        <w:rPr>
          <w:color w:val="231F1F"/>
          <w:w w:val="110"/>
        </w:rPr>
        <w:t>hasta</w:t>
      </w:r>
      <w:r>
        <w:rPr>
          <w:color w:val="231F1F"/>
          <w:spacing w:val="-13"/>
          <w:w w:val="110"/>
        </w:rPr>
        <w:t> </w:t>
      </w:r>
      <w:r>
        <w:rPr>
          <w:color w:val="231F1F"/>
          <w:w w:val="110"/>
        </w:rPr>
        <w:t>el</w:t>
      </w:r>
      <w:r>
        <w:rPr>
          <w:color w:val="231F1F"/>
          <w:spacing w:val="-13"/>
          <w:w w:val="110"/>
        </w:rPr>
        <w:t> </w:t>
      </w:r>
      <w:r>
        <w:rPr>
          <w:color w:val="231F1F"/>
          <w:w w:val="110"/>
        </w:rPr>
        <w:t>nacimiento),</w:t>
      </w:r>
      <w:r>
        <w:rPr>
          <w:color w:val="231F1F"/>
          <w:spacing w:val="-14"/>
          <w:w w:val="110"/>
        </w:rPr>
        <w:t> </w:t>
      </w:r>
      <w:r>
        <w:rPr>
          <w:color w:val="231F1F"/>
          <w:w w:val="110"/>
        </w:rPr>
        <w:t>tipo</w:t>
      </w:r>
      <w:r>
        <w:rPr>
          <w:color w:val="231F1F"/>
          <w:spacing w:val="-13"/>
          <w:w w:val="110"/>
        </w:rPr>
        <w:t> </w:t>
      </w:r>
      <w:r>
        <w:rPr>
          <w:color w:val="231F1F"/>
          <w:w w:val="110"/>
        </w:rPr>
        <w:t>de</w:t>
      </w:r>
      <w:r>
        <w:rPr>
          <w:color w:val="231F1F"/>
          <w:spacing w:val="-13"/>
          <w:w w:val="110"/>
        </w:rPr>
        <w:t> </w:t>
      </w:r>
      <w:r>
        <w:rPr>
          <w:color w:val="231F1F"/>
          <w:w w:val="110"/>
        </w:rPr>
        <w:t>parto,</w:t>
      </w:r>
      <w:r>
        <w:rPr>
          <w:color w:val="231F1F"/>
          <w:spacing w:val="-14"/>
          <w:w w:val="110"/>
        </w:rPr>
        <w:t> </w:t>
      </w:r>
      <w:r>
        <w:rPr>
          <w:color w:val="231F1F"/>
          <w:w w:val="110"/>
        </w:rPr>
        <w:t>trauma</w:t>
      </w:r>
      <w:r>
        <w:rPr>
          <w:color w:val="231F1F"/>
          <w:spacing w:val="-13"/>
          <w:w w:val="110"/>
        </w:rPr>
        <w:t> </w:t>
      </w:r>
      <w:r>
        <w:rPr>
          <w:color w:val="231F1F"/>
          <w:w w:val="110"/>
        </w:rPr>
        <w:t>perineal,</w:t>
      </w:r>
      <w:r>
        <w:rPr>
          <w:color w:val="231F1F"/>
          <w:spacing w:val="-14"/>
          <w:w w:val="110"/>
        </w:rPr>
        <w:t> </w:t>
      </w:r>
      <w:r>
        <w:rPr>
          <w:color w:val="231F1F"/>
          <w:w w:val="110"/>
        </w:rPr>
        <w:t>valores</w:t>
      </w:r>
      <w:r>
        <w:rPr>
          <w:color w:val="231F1F"/>
          <w:spacing w:val="-13"/>
          <w:w w:val="110"/>
        </w:rPr>
        <w:t> </w:t>
      </w:r>
      <w:r>
        <w:rPr>
          <w:color w:val="231F1F"/>
          <w:w w:val="110"/>
        </w:rPr>
        <w:t>Apgar o</w:t>
      </w:r>
      <w:r>
        <w:rPr>
          <w:color w:val="231F1F"/>
          <w:spacing w:val="-16"/>
          <w:w w:val="110"/>
        </w:rPr>
        <w:t> </w:t>
      </w:r>
      <w:r>
        <w:rPr>
          <w:color w:val="231F1F"/>
          <w:w w:val="110"/>
        </w:rPr>
        <w:t>pH</w:t>
      </w:r>
      <w:r>
        <w:rPr>
          <w:color w:val="231F1F"/>
          <w:spacing w:val="-15"/>
          <w:w w:val="110"/>
        </w:rPr>
        <w:t> </w:t>
      </w:r>
      <w:r>
        <w:rPr>
          <w:color w:val="231F1F"/>
          <w:w w:val="110"/>
        </w:rPr>
        <w:t>de</w:t>
      </w:r>
      <w:r>
        <w:rPr>
          <w:color w:val="231F1F"/>
          <w:spacing w:val="-15"/>
          <w:w w:val="110"/>
        </w:rPr>
        <w:t> </w:t>
      </w:r>
      <w:r>
        <w:rPr>
          <w:color w:val="231F1F"/>
          <w:w w:val="110"/>
        </w:rPr>
        <w:t>sangre</w:t>
      </w:r>
      <w:r>
        <w:rPr>
          <w:color w:val="231F1F"/>
          <w:spacing w:val="-15"/>
          <w:w w:val="110"/>
        </w:rPr>
        <w:t> </w:t>
      </w:r>
      <w:r>
        <w:rPr>
          <w:color w:val="231F1F"/>
          <w:w w:val="110"/>
        </w:rPr>
        <w:t>umbilical.</w:t>
      </w:r>
      <w:r>
        <w:rPr>
          <w:color w:val="231F1F"/>
          <w:spacing w:val="-15"/>
          <w:w w:val="110"/>
        </w:rPr>
        <w:t> </w:t>
      </w:r>
      <w:r>
        <w:rPr>
          <w:color w:val="231F1F"/>
          <w:w w:val="110"/>
        </w:rPr>
        <w:t>El</w:t>
      </w:r>
      <w:r>
        <w:rPr>
          <w:color w:val="231F1F"/>
          <w:spacing w:val="-15"/>
          <w:w w:val="110"/>
        </w:rPr>
        <w:t> </w:t>
      </w:r>
      <w:r>
        <w:rPr>
          <w:color w:val="231F1F"/>
          <w:w w:val="110"/>
        </w:rPr>
        <w:t>estudio</w:t>
      </w:r>
      <w:r>
        <w:rPr>
          <w:color w:val="231F1F"/>
          <w:spacing w:val="-15"/>
          <w:w w:val="110"/>
        </w:rPr>
        <w:t> </w:t>
      </w:r>
      <w:r>
        <w:rPr>
          <w:color w:val="231F1F"/>
          <w:w w:val="110"/>
        </w:rPr>
        <w:t>explica</w:t>
      </w:r>
      <w:r>
        <w:rPr>
          <w:color w:val="231F1F"/>
          <w:spacing w:val="-15"/>
          <w:w w:val="110"/>
        </w:rPr>
        <w:t> </w:t>
      </w:r>
      <w:r>
        <w:rPr>
          <w:color w:val="231F1F"/>
          <w:w w:val="110"/>
        </w:rPr>
        <w:t>estas</w:t>
      </w:r>
      <w:r>
        <w:rPr>
          <w:color w:val="231F1F"/>
          <w:spacing w:val="-16"/>
          <w:w w:val="110"/>
        </w:rPr>
        <w:t> </w:t>
      </w:r>
      <w:r>
        <w:rPr>
          <w:color w:val="231F1F"/>
          <w:w w:val="110"/>
        </w:rPr>
        <w:t>similitudes</w:t>
      </w:r>
      <w:r>
        <w:rPr>
          <w:color w:val="231F1F"/>
          <w:spacing w:val="-15"/>
          <w:w w:val="110"/>
        </w:rPr>
        <w:t> </w:t>
      </w:r>
      <w:r>
        <w:rPr>
          <w:color w:val="231F1F"/>
          <w:w w:val="110"/>
        </w:rPr>
        <w:t>en</w:t>
      </w:r>
      <w:r>
        <w:rPr>
          <w:color w:val="231F1F"/>
          <w:spacing w:val="-15"/>
          <w:w w:val="110"/>
        </w:rPr>
        <w:t> </w:t>
      </w:r>
      <w:r>
        <w:rPr>
          <w:color w:val="231F1F"/>
          <w:w w:val="110"/>
        </w:rPr>
        <w:t>términos</w:t>
      </w:r>
      <w:r>
        <w:rPr>
          <w:color w:val="231F1F"/>
          <w:spacing w:val="-15"/>
          <w:w w:val="110"/>
        </w:rPr>
        <w:t> </w:t>
      </w:r>
      <w:r>
        <w:rPr>
          <w:color w:val="231F1F"/>
          <w:w w:val="110"/>
        </w:rPr>
        <w:t>de no realización de la técnica de pujo asignada y debido al uso frecuente de oxitocina</w:t>
      </w:r>
      <w:r>
        <w:rPr>
          <w:color w:val="231F1F"/>
          <w:spacing w:val="-9"/>
          <w:w w:val="110"/>
        </w:rPr>
        <w:t> </w:t>
      </w:r>
      <w:r>
        <w:rPr>
          <w:color w:val="231F1F"/>
          <w:w w:val="110"/>
        </w:rPr>
        <w:t>(40,1%</w:t>
      </w:r>
      <w:r>
        <w:rPr>
          <w:color w:val="231F1F"/>
          <w:spacing w:val="-6"/>
          <w:w w:val="110"/>
        </w:rPr>
        <w:t> </w:t>
      </w:r>
      <w:r>
        <w:rPr>
          <w:color w:val="231F1F"/>
          <w:w w:val="110"/>
        </w:rPr>
        <w:t>en</w:t>
      </w:r>
      <w:r>
        <w:rPr>
          <w:color w:val="231F1F"/>
          <w:spacing w:val="-8"/>
          <w:w w:val="110"/>
        </w:rPr>
        <w:t> </w:t>
      </w:r>
      <w:r>
        <w:rPr>
          <w:color w:val="231F1F"/>
          <w:w w:val="110"/>
        </w:rPr>
        <w:t>el</w:t>
      </w:r>
      <w:r>
        <w:rPr>
          <w:color w:val="231F1F"/>
          <w:spacing w:val="-9"/>
          <w:w w:val="110"/>
        </w:rPr>
        <w:t> </w:t>
      </w:r>
      <w:r>
        <w:rPr>
          <w:color w:val="231F1F"/>
          <w:w w:val="110"/>
        </w:rPr>
        <w:t>grupo</w:t>
      </w:r>
      <w:r>
        <w:rPr>
          <w:color w:val="231F1F"/>
          <w:spacing w:val="-8"/>
          <w:w w:val="110"/>
        </w:rPr>
        <w:t> </w:t>
      </w:r>
      <w:r>
        <w:rPr>
          <w:color w:val="231F1F"/>
          <w:w w:val="110"/>
        </w:rPr>
        <w:t>de</w:t>
      </w:r>
      <w:r>
        <w:rPr>
          <w:color w:val="231F1F"/>
          <w:spacing w:val="-8"/>
          <w:w w:val="110"/>
        </w:rPr>
        <w:t> </w:t>
      </w:r>
      <w:r>
        <w:rPr>
          <w:color w:val="231F1F"/>
          <w:w w:val="110"/>
        </w:rPr>
        <w:t>pujo</w:t>
      </w:r>
      <w:r>
        <w:rPr>
          <w:color w:val="231F1F"/>
          <w:spacing w:val="-8"/>
          <w:w w:val="110"/>
        </w:rPr>
        <w:t> </w:t>
      </w:r>
      <w:r>
        <w:rPr>
          <w:color w:val="231F1F"/>
          <w:w w:val="110"/>
        </w:rPr>
        <w:t>espontáneo</w:t>
      </w:r>
      <w:r>
        <w:rPr>
          <w:color w:val="231F1F"/>
          <w:spacing w:val="-7"/>
          <w:w w:val="110"/>
        </w:rPr>
        <w:t> </w:t>
      </w:r>
      <w:r>
        <w:rPr>
          <w:color w:val="231F1F"/>
          <w:w w:val="110"/>
        </w:rPr>
        <w:t>y</w:t>
      </w:r>
      <w:r>
        <w:rPr>
          <w:color w:val="231F1F"/>
          <w:spacing w:val="-8"/>
          <w:w w:val="110"/>
        </w:rPr>
        <w:t> </w:t>
      </w:r>
      <w:r>
        <w:rPr>
          <w:color w:val="231F1F"/>
          <w:w w:val="110"/>
        </w:rPr>
        <w:t>45,8%</w:t>
      </w:r>
      <w:r>
        <w:rPr>
          <w:color w:val="231F1F"/>
          <w:spacing w:val="-7"/>
          <w:w w:val="110"/>
        </w:rPr>
        <w:t> </w:t>
      </w:r>
      <w:r>
        <w:rPr>
          <w:color w:val="231F1F"/>
          <w:w w:val="110"/>
        </w:rPr>
        <w:t>en</w:t>
      </w:r>
      <w:r>
        <w:rPr>
          <w:color w:val="231F1F"/>
          <w:spacing w:val="-8"/>
          <w:w w:val="110"/>
        </w:rPr>
        <w:t> </w:t>
      </w:r>
      <w:r>
        <w:rPr>
          <w:color w:val="231F1F"/>
          <w:w w:val="110"/>
        </w:rPr>
        <w:t>el</w:t>
      </w:r>
      <w:r>
        <w:rPr>
          <w:color w:val="231F1F"/>
          <w:spacing w:val="-9"/>
          <w:w w:val="110"/>
        </w:rPr>
        <w:t> </w:t>
      </w:r>
      <w:r>
        <w:rPr>
          <w:color w:val="231F1F"/>
          <w:w w:val="110"/>
        </w:rPr>
        <w:t>de</w:t>
      </w:r>
      <w:r>
        <w:rPr>
          <w:color w:val="231F1F"/>
          <w:spacing w:val="-8"/>
          <w:w w:val="110"/>
        </w:rPr>
        <w:t> </w:t>
      </w:r>
      <w:r>
        <w:rPr>
          <w:color w:val="231F1F"/>
          <w:w w:val="110"/>
        </w:rPr>
        <w:t>pujo</w:t>
      </w:r>
      <w:r>
        <w:rPr>
          <w:color w:val="231F1F"/>
          <w:spacing w:val="-8"/>
          <w:w w:val="110"/>
        </w:rPr>
        <w:t> </w:t>
      </w:r>
      <w:r>
        <w:rPr>
          <w:color w:val="231F1F"/>
          <w:w w:val="110"/>
        </w:rPr>
        <w:t>for- zado)</w:t>
      </w:r>
      <w:r>
        <w:rPr>
          <w:color w:val="231F1F"/>
          <w:spacing w:val="-12"/>
          <w:w w:val="110"/>
        </w:rPr>
        <w:t> </w:t>
      </w:r>
      <w:r>
        <w:rPr>
          <w:color w:val="231F1F"/>
          <w:w w:val="110"/>
        </w:rPr>
        <w:t>y</w:t>
      </w:r>
      <w:r>
        <w:rPr>
          <w:color w:val="231F1F"/>
          <w:spacing w:val="-10"/>
          <w:w w:val="110"/>
        </w:rPr>
        <w:t> </w:t>
      </w:r>
      <w:r>
        <w:rPr>
          <w:color w:val="231F1F"/>
          <w:w w:val="110"/>
        </w:rPr>
        <w:t>episiotomía</w:t>
      </w:r>
      <w:r>
        <w:rPr>
          <w:color w:val="231F1F"/>
          <w:spacing w:val="-10"/>
          <w:w w:val="110"/>
        </w:rPr>
        <w:t> </w:t>
      </w:r>
      <w:r>
        <w:rPr>
          <w:color w:val="231F1F"/>
          <w:w w:val="110"/>
        </w:rPr>
        <w:t>(36%</w:t>
      </w:r>
      <w:r>
        <w:rPr>
          <w:color w:val="231F1F"/>
          <w:spacing w:val="-8"/>
          <w:w w:val="110"/>
        </w:rPr>
        <w:t> </w:t>
      </w:r>
      <w:r>
        <w:rPr>
          <w:color w:val="231F1F"/>
          <w:w w:val="110"/>
        </w:rPr>
        <w:t>en</w:t>
      </w:r>
      <w:r>
        <w:rPr>
          <w:color w:val="231F1F"/>
          <w:spacing w:val="-10"/>
          <w:w w:val="110"/>
        </w:rPr>
        <w:t> </w:t>
      </w:r>
      <w:r>
        <w:rPr>
          <w:color w:val="231F1F"/>
          <w:w w:val="110"/>
        </w:rPr>
        <w:t>el</w:t>
      </w:r>
      <w:r>
        <w:rPr>
          <w:color w:val="231F1F"/>
          <w:spacing w:val="-10"/>
          <w:w w:val="110"/>
        </w:rPr>
        <w:t> </w:t>
      </w:r>
      <w:r>
        <w:rPr>
          <w:color w:val="231F1F"/>
          <w:w w:val="110"/>
        </w:rPr>
        <w:t>grupo</w:t>
      </w:r>
      <w:r>
        <w:rPr>
          <w:color w:val="231F1F"/>
          <w:spacing w:val="-10"/>
          <w:w w:val="110"/>
        </w:rPr>
        <w:t> </w:t>
      </w:r>
      <w:r>
        <w:rPr>
          <w:color w:val="231F1F"/>
          <w:w w:val="110"/>
        </w:rPr>
        <w:t>de</w:t>
      </w:r>
      <w:r>
        <w:rPr>
          <w:color w:val="231F1F"/>
          <w:spacing w:val="-10"/>
          <w:w w:val="110"/>
        </w:rPr>
        <w:t> </w:t>
      </w:r>
      <w:r>
        <w:rPr>
          <w:color w:val="231F1F"/>
          <w:w w:val="110"/>
        </w:rPr>
        <w:t>pujo</w:t>
      </w:r>
      <w:r>
        <w:rPr>
          <w:color w:val="231F1F"/>
          <w:spacing w:val="-10"/>
          <w:w w:val="110"/>
        </w:rPr>
        <w:t> </w:t>
      </w:r>
      <w:r>
        <w:rPr>
          <w:color w:val="231F1F"/>
          <w:w w:val="110"/>
        </w:rPr>
        <w:t>espontáneo</w:t>
      </w:r>
      <w:r>
        <w:rPr>
          <w:color w:val="231F1F"/>
          <w:spacing w:val="-10"/>
          <w:w w:val="110"/>
        </w:rPr>
        <w:t> </w:t>
      </w:r>
      <w:r>
        <w:rPr>
          <w:color w:val="231F1F"/>
          <w:w w:val="110"/>
        </w:rPr>
        <w:t>y</w:t>
      </w:r>
      <w:r>
        <w:rPr>
          <w:color w:val="231F1F"/>
          <w:spacing w:val="-10"/>
          <w:w w:val="110"/>
        </w:rPr>
        <w:t> </w:t>
      </w:r>
      <w:r>
        <w:rPr>
          <w:color w:val="231F1F"/>
          <w:w w:val="110"/>
        </w:rPr>
        <w:t>30%</w:t>
      </w:r>
      <w:r>
        <w:rPr>
          <w:color w:val="231F1F"/>
          <w:spacing w:val="-8"/>
          <w:w w:val="110"/>
        </w:rPr>
        <w:t> </w:t>
      </w:r>
      <w:r>
        <w:rPr>
          <w:color w:val="231F1F"/>
          <w:w w:val="110"/>
        </w:rPr>
        <w:t>en</w:t>
      </w:r>
      <w:r>
        <w:rPr>
          <w:color w:val="231F1F"/>
          <w:spacing w:val="-10"/>
          <w:w w:val="110"/>
        </w:rPr>
        <w:t> </w:t>
      </w:r>
      <w:r>
        <w:rPr>
          <w:color w:val="231F1F"/>
          <w:w w:val="110"/>
        </w:rPr>
        <w:t>el</w:t>
      </w:r>
      <w:r>
        <w:rPr>
          <w:color w:val="231F1F"/>
          <w:spacing w:val="-10"/>
          <w:w w:val="110"/>
        </w:rPr>
        <w:t> </w:t>
      </w:r>
      <w:r>
        <w:rPr>
          <w:color w:val="231F1F"/>
          <w:w w:val="110"/>
        </w:rPr>
        <w:t>otro).</w:t>
      </w:r>
    </w:p>
    <w:p>
      <w:pPr>
        <w:pStyle w:val="BodyText"/>
        <w:spacing w:before="44"/>
        <w:ind w:left="283" w:right="43" w:firstLine="453"/>
        <w:jc w:val="both"/>
      </w:pPr>
      <w:r>
        <w:rPr>
          <w:color w:val="231F1F"/>
          <w:w w:val="105"/>
        </w:rPr>
        <w:t>Un pequeño ECA (137) inglés publicado el mismo año, pretendía anali- zar</w:t>
      </w:r>
      <w:r>
        <w:rPr>
          <w:color w:val="231F1F"/>
          <w:spacing w:val="-4"/>
          <w:w w:val="105"/>
        </w:rPr>
        <w:t> </w:t>
      </w:r>
      <w:r>
        <w:rPr>
          <w:color w:val="231F1F"/>
          <w:w w:val="105"/>
        </w:rPr>
        <w:t>el</w:t>
      </w:r>
      <w:r>
        <w:rPr>
          <w:color w:val="231F1F"/>
          <w:spacing w:val="-4"/>
          <w:w w:val="105"/>
        </w:rPr>
        <w:t> </w:t>
      </w:r>
      <w:r>
        <w:rPr>
          <w:color w:val="231F1F"/>
          <w:w w:val="105"/>
        </w:rPr>
        <w:t>efecto</w:t>
      </w:r>
      <w:r>
        <w:rPr>
          <w:color w:val="231F1F"/>
          <w:spacing w:val="-4"/>
          <w:w w:val="105"/>
        </w:rPr>
        <w:t> </w:t>
      </w:r>
      <w:r>
        <w:rPr>
          <w:color w:val="231F1F"/>
          <w:w w:val="105"/>
        </w:rPr>
        <w:t>del</w:t>
      </w:r>
      <w:r>
        <w:rPr>
          <w:color w:val="231F1F"/>
          <w:spacing w:val="-4"/>
          <w:w w:val="105"/>
        </w:rPr>
        <w:t> </w:t>
      </w:r>
      <w:r>
        <w:rPr>
          <w:color w:val="231F1F"/>
          <w:w w:val="105"/>
        </w:rPr>
        <w:t>pujo</w:t>
      </w:r>
      <w:r>
        <w:rPr>
          <w:color w:val="231F1F"/>
          <w:spacing w:val="-4"/>
          <w:w w:val="105"/>
        </w:rPr>
        <w:t> </w:t>
      </w:r>
      <w:r>
        <w:rPr>
          <w:color w:val="231F1F"/>
          <w:w w:val="105"/>
        </w:rPr>
        <w:t>espontáneo</w:t>
      </w:r>
      <w:r>
        <w:rPr>
          <w:color w:val="231F1F"/>
          <w:spacing w:val="-4"/>
          <w:w w:val="105"/>
        </w:rPr>
        <w:t> </w:t>
      </w:r>
      <w:r>
        <w:rPr>
          <w:color w:val="231F1F"/>
          <w:w w:val="105"/>
        </w:rPr>
        <w:t>(n=15)</w:t>
      </w:r>
      <w:r>
        <w:rPr>
          <w:color w:val="231F1F"/>
          <w:spacing w:val="-4"/>
          <w:w w:val="105"/>
        </w:rPr>
        <w:t> </w:t>
      </w:r>
      <w:r>
        <w:rPr>
          <w:color w:val="231F1F"/>
          <w:w w:val="105"/>
        </w:rPr>
        <w:t>frente</w:t>
      </w:r>
      <w:r>
        <w:rPr>
          <w:color w:val="231F1F"/>
          <w:spacing w:val="-4"/>
          <w:w w:val="105"/>
        </w:rPr>
        <w:t> </w:t>
      </w:r>
      <w:r>
        <w:rPr>
          <w:color w:val="231F1F"/>
          <w:w w:val="105"/>
        </w:rPr>
        <w:t>al</w:t>
      </w:r>
      <w:r>
        <w:rPr>
          <w:color w:val="231F1F"/>
          <w:spacing w:val="-4"/>
          <w:w w:val="105"/>
        </w:rPr>
        <w:t> </w:t>
      </w:r>
      <w:r>
        <w:rPr>
          <w:color w:val="231F1F"/>
          <w:w w:val="105"/>
        </w:rPr>
        <w:t>pujo</w:t>
      </w:r>
      <w:r>
        <w:rPr>
          <w:color w:val="231F1F"/>
          <w:spacing w:val="-4"/>
          <w:w w:val="105"/>
        </w:rPr>
        <w:t> </w:t>
      </w:r>
      <w:r>
        <w:rPr>
          <w:color w:val="231F1F"/>
          <w:w w:val="105"/>
        </w:rPr>
        <w:t>dirigido</w:t>
      </w:r>
      <w:r>
        <w:rPr>
          <w:color w:val="231F1F"/>
          <w:spacing w:val="-4"/>
          <w:w w:val="105"/>
        </w:rPr>
        <w:t> </w:t>
      </w:r>
      <w:r>
        <w:rPr>
          <w:color w:val="231F1F"/>
          <w:w w:val="105"/>
        </w:rPr>
        <w:t>con</w:t>
      </w:r>
      <w:r>
        <w:rPr>
          <w:color w:val="231F1F"/>
          <w:spacing w:val="-4"/>
          <w:w w:val="105"/>
        </w:rPr>
        <w:t> </w:t>
      </w:r>
      <w:r>
        <w:rPr>
          <w:color w:val="231F1F"/>
          <w:w w:val="105"/>
        </w:rPr>
        <w:t>respiración sostenida (n=17), sobre la duración del parto y otros resultados, así como en</w:t>
      </w:r>
      <w:r>
        <w:rPr>
          <w:color w:val="231F1F"/>
          <w:spacing w:val="80"/>
          <w:w w:val="105"/>
        </w:rPr>
        <w:t> </w:t>
      </w:r>
      <w:r>
        <w:rPr>
          <w:color w:val="231F1F"/>
          <w:w w:val="105"/>
        </w:rPr>
        <w:t>la satisfacción materna.</w:t>
      </w:r>
    </w:p>
    <w:p>
      <w:pPr>
        <w:pStyle w:val="BodyText"/>
        <w:spacing w:line="235" w:lineRule="auto" w:before="86"/>
        <w:ind w:left="283" w:right="38" w:firstLine="453"/>
        <w:jc w:val="both"/>
      </w:pPr>
      <w:r>
        <w:rPr>
          <w:color w:val="231F1F"/>
          <w:w w:val="105"/>
        </w:rPr>
        <w:t>La duración de la primera etapa del trabajo fue significativamente mayor en el grupo de pujos espontáneos (media (DE)): 12,32 horas (5,3 h) frente a 7,88 h (2,62 h); p=0,005, así como la duración de la 2ª etapa: 121,4 min (58,4 min); vs 58 min (42 min), p=0,002. Pero estos hallazgos probablemente sean debidos a diferencias en la duración de la primera etapa, más que al tipo de técnica de empuje utilizada. No hubo diferencias entre los dos grupos en re- lación</w:t>
      </w:r>
      <w:r>
        <w:rPr>
          <w:color w:val="231F1F"/>
          <w:w w:val="105"/>
        </w:rPr>
        <w:t> al</w:t>
      </w:r>
      <w:r>
        <w:rPr>
          <w:color w:val="231F1F"/>
          <w:w w:val="105"/>
        </w:rPr>
        <w:t> tipo</w:t>
      </w:r>
      <w:r>
        <w:rPr>
          <w:color w:val="231F1F"/>
          <w:w w:val="105"/>
        </w:rPr>
        <w:t> de</w:t>
      </w:r>
      <w:r>
        <w:rPr>
          <w:color w:val="231F1F"/>
          <w:w w:val="105"/>
        </w:rPr>
        <w:t> parto,</w:t>
      </w:r>
      <w:r>
        <w:rPr>
          <w:color w:val="231F1F"/>
          <w:w w:val="105"/>
        </w:rPr>
        <w:t> trauma</w:t>
      </w:r>
      <w:r>
        <w:rPr>
          <w:color w:val="231F1F"/>
          <w:w w:val="105"/>
        </w:rPr>
        <w:t> perineal,</w:t>
      </w:r>
      <w:r>
        <w:rPr>
          <w:color w:val="231F1F"/>
          <w:w w:val="105"/>
        </w:rPr>
        <w:t> estimación</w:t>
      </w:r>
      <w:r>
        <w:rPr>
          <w:color w:val="231F1F"/>
          <w:w w:val="105"/>
        </w:rPr>
        <w:t> de</w:t>
      </w:r>
      <w:r>
        <w:rPr>
          <w:color w:val="231F1F"/>
          <w:w w:val="105"/>
        </w:rPr>
        <w:t> la</w:t>
      </w:r>
      <w:r>
        <w:rPr>
          <w:color w:val="231F1F"/>
          <w:w w:val="105"/>
        </w:rPr>
        <w:t> sangre</w:t>
      </w:r>
      <w:r>
        <w:rPr>
          <w:color w:val="231F1F"/>
          <w:w w:val="105"/>
        </w:rPr>
        <w:t> materna perdida,</w:t>
      </w:r>
      <w:r>
        <w:rPr>
          <w:color w:val="231F1F"/>
          <w:spacing w:val="35"/>
          <w:w w:val="105"/>
        </w:rPr>
        <w:t> </w:t>
      </w:r>
      <w:r>
        <w:rPr>
          <w:color w:val="231F1F"/>
          <w:w w:val="105"/>
        </w:rPr>
        <w:t>reanimación</w:t>
      </w:r>
      <w:r>
        <w:rPr>
          <w:color w:val="231F1F"/>
          <w:spacing w:val="37"/>
          <w:w w:val="105"/>
        </w:rPr>
        <w:t> </w:t>
      </w:r>
      <w:r>
        <w:rPr>
          <w:color w:val="231F1F"/>
          <w:w w:val="105"/>
        </w:rPr>
        <w:t>del</w:t>
      </w:r>
      <w:r>
        <w:rPr>
          <w:color w:val="231F1F"/>
          <w:spacing w:val="35"/>
          <w:w w:val="105"/>
        </w:rPr>
        <w:t> </w:t>
      </w:r>
      <w:r>
        <w:rPr>
          <w:color w:val="231F1F"/>
          <w:w w:val="105"/>
        </w:rPr>
        <w:t>neonato,</w:t>
      </w:r>
      <w:r>
        <w:rPr>
          <w:color w:val="231F1F"/>
          <w:spacing w:val="35"/>
          <w:w w:val="105"/>
        </w:rPr>
        <w:t> </w:t>
      </w:r>
      <w:r>
        <w:rPr>
          <w:color w:val="231F1F"/>
          <w:w w:val="105"/>
        </w:rPr>
        <w:t>nivel</w:t>
      </w:r>
      <w:r>
        <w:rPr>
          <w:color w:val="231F1F"/>
          <w:spacing w:val="35"/>
          <w:w w:val="105"/>
        </w:rPr>
        <w:t> </w:t>
      </w:r>
      <w:r>
        <w:rPr>
          <w:color w:val="231F1F"/>
          <w:w w:val="105"/>
        </w:rPr>
        <w:t>de</w:t>
      </w:r>
      <w:r>
        <w:rPr>
          <w:color w:val="231F1F"/>
          <w:spacing w:val="35"/>
          <w:w w:val="105"/>
        </w:rPr>
        <w:t> </w:t>
      </w:r>
      <w:r>
        <w:rPr>
          <w:color w:val="231F1F"/>
          <w:w w:val="105"/>
        </w:rPr>
        <w:t>sangre</w:t>
      </w:r>
      <w:r>
        <w:rPr>
          <w:color w:val="231F1F"/>
          <w:spacing w:val="35"/>
          <w:w w:val="105"/>
        </w:rPr>
        <w:t> </w:t>
      </w:r>
      <w:r>
        <w:rPr>
          <w:color w:val="231F1F"/>
          <w:w w:val="105"/>
        </w:rPr>
        <w:t>venosa</w:t>
      </w:r>
      <w:r>
        <w:rPr>
          <w:color w:val="231F1F"/>
          <w:spacing w:val="35"/>
          <w:w w:val="105"/>
        </w:rPr>
        <w:t> </w:t>
      </w:r>
      <w:r>
        <w:rPr>
          <w:color w:val="231F1F"/>
          <w:w w:val="105"/>
        </w:rPr>
        <w:t>de</w:t>
      </w:r>
      <w:r>
        <w:rPr>
          <w:color w:val="231F1F"/>
          <w:spacing w:val="35"/>
          <w:w w:val="105"/>
        </w:rPr>
        <w:t> </w:t>
      </w:r>
      <w:r>
        <w:rPr>
          <w:color w:val="231F1F"/>
          <w:w w:val="105"/>
        </w:rPr>
        <w:t>cordón</w:t>
      </w:r>
      <w:r>
        <w:rPr>
          <w:color w:val="231F1F"/>
          <w:spacing w:val="37"/>
          <w:w w:val="105"/>
        </w:rPr>
        <w:t> </w:t>
      </w:r>
      <w:r>
        <w:rPr>
          <w:color w:val="231F1F"/>
          <w:w w:val="105"/>
        </w:rPr>
        <w:t>y</w:t>
      </w:r>
      <w:r>
        <w:rPr>
          <w:color w:val="231F1F"/>
          <w:spacing w:val="37"/>
          <w:w w:val="105"/>
        </w:rPr>
        <w:t> </w:t>
      </w:r>
      <w:r>
        <w:rPr>
          <w:color w:val="231F1F"/>
          <w:w w:val="105"/>
        </w:rPr>
        <w:t>pH.</w:t>
      </w:r>
    </w:p>
    <w:p>
      <w:pPr>
        <w:pStyle w:val="BodyText"/>
        <w:spacing w:before="96"/>
        <w:ind w:left="283" w:right="38" w:firstLine="453"/>
        <w:jc w:val="both"/>
      </w:pPr>
      <w:r>
        <w:rPr>
          <w:color w:val="231F1F"/>
          <w:w w:val="110"/>
        </w:rPr>
        <w:t>El</w:t>
      </w:r>
      <w:r>
        <w:rPr>
          <w:color w:val="231F1F"/>
          <w:spacing w:val="-15"/>
          <w:w w:val="110"/>
        </w:rPr>
        <w:t> </w:t>
      </w:r>
      <w:r>
        <w:rPr>
          <w:color w:val="231F1F"/>
          <w:w w:val="110"/>
        </w:rPr>
        <w:t>último</w:t>
      </w:r>
      <w:r>
        <w:rPr>
          <w:color w:val="231F1F"/>
          <w:spacing w:val="-14"/>
          <w:w w:val="110"/>
        </w:rPr>
        <w:t> </w:t>
      </w:r>
      <w:r>
        <w:rPr>
          <w:color w:val="231F1F"/>
          <w:w w:val="110"/>
        </w:rPr>
        <w:t>de</w:t>
      </w:r>
      <w:r>
        <w:rPr>
          <w:color w:val="231F1F"/>
          <w:spacing w:val="-14"/>
          <w:w w:val="110"/>
        </w:rPr>
        <w:t> </w:t>
      </w:r>
      <w:r>
        <w:rPr>
          <w:color w:val="231F1F"/>
          <w:w w:val="110"/>
        </w:rPr>
        <w:t>los</w:t>
      </w:r>
      <w:r>
        <w:rPr>
          <w:color w:val="231F1F"/>
          <w:spacing w:val="-15"/>
          <w:w w:val="110"/>
        </w:rPr>
        <w:t> </w:t>
      </w:r>
      <w:r>
        <w:rPr>
          <w:color w:val="231F1F"/>
          <w:w w:val="110"/>
        </w:rPr>
        <w:t>ECAs</w:t>
      </w:r>
      <w:r>
        <w:rPr>
          <w:color w:val="231F1F"/>
          <w:spacing w:val="-14"/>
          <w:w w:val="110"/>
        </w:rPr>
        <w:t> </w:t>
      </w:r>
      <w:r>
        <w:rPr>
          <w:color w:val="231F1F"/>
          <w:w w:val="110"/>
        </w:rPr>
        <w:t>incluidos</w:t>
      </w:r>
      <w:r>
        <w:rPr>
          <w:color w:val="231F1F"/>
          <w:spacing w:val="-14"/>
          <w:w w:val="110"/>
        </w:rPr>
        <w:t> </w:t>
      </w:r>
      <w:r>
        <w:rPr>
          <w:color w:val="231F1F"/>
          <w:w w:val="110"/>
        </w:rPr>
        <w:t>en</w:t>
      </w:r>
      <w:r>
        <w:rPr>
          <w:color w:val="231F1F"/>
          <w:spacing w:val="-14"/>
          <w:w w:val="110"/>
        </w:rPr>
        <w:t> </w:t>
      </w:r>
      <w:r>
        <w:rPr>
          <w:color w:val="231F1F"/>
          <w:w w:val="110"/>
        </w:rPr>
        <w:t>la</w:t>
      </w:r>
      <w:r>
        <w:rPr>
          <w:color w:val="231F1F"/>
          <w:spacing w:val="-14"/>
          <w:w w:val="110"/>
        </w:rPr>
        <w:t> </w:t>
      </w:r>
      <w:r>
        <w:rPr>
          <w:color w:val="231F1F"/>
          <w:w w:val="110"/>
        </w:rPr>
        <w:t>guía</w:t>
      </w:r>
      <w:r>
        <w:rPr>
          <w:color w:val="231F1F"/>
          <w:spacing w:val="-14"/>
          <w:w w:val="110"/>
        </w:rPr>
        <w:t> </w:t>
      </w:r>
      <w:r>
        <w:rPr>
          <w:color w:val="231F1F"/>
          <w:w w:val="110"/>
        </w:rPr>
        <w:t>NICE</w:t>
      </w:r>
      <w:r>
        <w:rPr>
          <w:color w:val="231F1F"/>
          <w:spacing w:val="-13"/>
          <w:w w:val="110"/>
        </w:rPr>
        <w:t> </w:t>
      </w:r>
      <w:r>
        <w:rPr>
          <w:color w:val="231F1F"/>
          <w:w w:val="110"/>
        </w:rPr>
        <w:t>(138),</w:t>
      </w:r>
      <w:r>
        <w:rPr>
          <w:color w:val="231F1F"/>
          <w:spacing w:val="-15"/>
          <w:w w:val="110"/>
        </w:rPr>
        <w:t> </w:t>
      </w:r>
      <w:r>
        <w:rPr>
          <w:color w:val="231F1F"/>
          <w:w w:val="110"/>
        </w:rPr>
        <w:t>comparó</w:t>
      </w:r>
      <w:r>
        <w:rPr>
          <w:color w:val="231F1F"/>
          <w:spacing w:val="-14"/>
          <w:w w:val="110"/>
        </w:rPr>
        <w:t> </w:t>
      </w:r>
      <w:r>
        <w:rPr>
          <w:color w:val="231F1F"/>
          <w:w w:val="110"/>
        </w:rPr>
        <w:t>la</w:t>
      </w:r>
      <w:r>
        <w:rPr>
          <w:color w:val="231F1F"/>
          <w:spacing w:val="-14"/>
          <w:w w:val="110"/>
        </w:rPr>
        <w:t> </w:t>
      </w:r>
      <w:r>
        <w:rPr>
          <w:color w:val="231F1F"/>
          <w:w w:val="110"/>
        </w:rPr>
        <w:t>téc- nica de pujo con respiración sostenida (n=10) con una técnica de pujo con </w:t>
      </w:r>
      <w:r>
        <w:rPr>
          <w:color w:val="231F1F"/>
        </w:rPr>
        <w:t>exhalación (n=17) en mujeres que dieron a luz sentadas en una silla de partos. </w:t>
      </w:r>
      <w:r>
        <w:rPr>
          <w:color w:val="231F1F"/>
          <w:w w:val="110"/>
        </w:rPr>
        <w:t>Este</w:t>
      </w:r>
      <w:r>
        <w:rPr>
          <w:color w:val="231F1F"/>
          <w:spacing w:val="-1"/>
          <w:w w:val="110"/>
        </w:rPr>
        <w:t> </w:t>
      </w:r>
      <w:r>
        <w:rPr>
          <w:color w:val="231F1F"/>
          <w:w w:val="110"/>
        </w:rPr>
        <w:t>estudió</w:t>
      </w:r>
      <w:r>
        <w:rPr>
          <w:color w:val="231F1F"/>
          <w:spacing w:val="-1"/>
          <w:w w:val="110"/>
        </w:rPr>
        <w:t> </w:t>
      </w:r>
      <w:r>
        <w:rPr>
          <w:color w:val="231F1F"/>
          <w:w w:val="110"/>
        </w:rPr>
        <w:t>también</w:t>
      </w:r>
      <w:r>
        <w:rPr>
          <w:color w:val="231F1F"/>
          <w:spacing w:val="-1"/>
          <w:w w:val="110"/>
        </w:rPr>
        <w:t> </w:t>
      </w:r>
      <w:r>
        <w:rPr>
          <w:color w:val="231F1F"/>
          <w:w w:val="110"/>
        </w:rPr>
        <w:t>tuvo</w:t>
      </w:r>
      <w:r>
        <w:rPr>
          <w:color w:val="231F1F"/>
          <w:spacing w:val="-1"/>
          <w:w w:val="110"/>
        </w:rPr>
        <w:t> </w:t>
      </w:r>
      <w:r>
        <w:rPr>
          <w:color w:val="231F1F"/>
          <w:w w:val="110"/>
        </w:rPr>
        <w:t>problemas</w:t>
      </w:r>
      <w:r>
        <w:rPr>
          <w:color w:val="231F1F"/>
          <w:spacing w:val="-2"/>
          <w:w w:val="110"/>
        </w:rPr>
        <w:t> </w:t>
      </w:r>
      <w:r>
        <w:rPr>
          <w:color w:val="231F1F"/>
          <w:w w:val="110"/>
        </w:rPr>
        <w:t>en</w:t>
      </w:r>
      <w:r>
        <w:rPr>
          <w:color w:val="231F1F"/>
          <w:spacing w:val="-1"/>
          <w:w w:val="110"/>
        </w:rPr>
        <w:t> </w:t>
      </w:r>
      <w:r>
        <w:rPr>
          <w:color w:val="231F1F"/>
          <w:w w:val="110"/>
        </w:rPr>
        <w:t>el</w:t>
      </w:r>
      <w:r>
        <w:rPr>
          <w:color w:val="231F1F"/>
          <w:spacing w:val="-2"/>
          <w:w w:val="110"/>
        </w:rPr>
        <w:t> </w:t>
      </w:r>
      <w:r>
        <w:rPr>
          <w:color w:val="231F1F"/>
          <w:w w:val="110"/>
        </w:rPr>
        <w:t>reclutamiento</w:t>
      </w:r>
      <w:r>
        <w:rPr>
          <w:color w:val="231F1F"/>
          <w:spacing w:val="-1"/>
          <w:w w:val="110"/>
        </w:rPr>
        <w:t> </w:t>
      </w:r>
      <w:r>
        <w:rPr>
          <w:color w:val="231F1F"/>
          <w:w w:val="110"/>
        </w:rPr>
        <w:t>y</w:t>
      </w:r>
      <w:r>
        <w:rPr>
          <w:color w:val="231F1F"/>
          <w:spacing w:val="-1"/>
          <w:w w:val="110"/>
        </w:rPr>
        <w:t> </w:t>
      </w:r>
      <w:r>
        <w:rPr>
          <w:color w:val="231F1F"/>
          <w:w w:val="110"/>
        </w:rPr>
        <w:t>la</w:t>
      </w:r>
      <w:r>
        <w:rPr>
          <w:color w:val="231F1F"/>
          <w:spacing w:val="-1"/>
          <w:w w:val="110"/>
        </w:rPr>
        <w:t> </w:t>
      </w:r>
      <w:r>
        <w:rPr>
          <w:color w:val="231F1F"/>
          <w:w w:val="110"/>
        </w:rPr>
        <w:t>muestra</w:t>
      </w:r>
      <w:r>
        <w:rPr>
          <w:color w:val="231F1F"/>
          <w:spacing w:val="-1"/>
          <w:w w:val="110"/>
        </w:rPr>
        <w:t> </w:t>
      </w:r>
      <w:r>
        <w:rPr>
          <w:color w:val="231F1F"/>
          <w:w w:val="110"/>
        </w:rPr>
        <w:t>final de</w:t>
      </w:r>
      <w:r>
        <w:rPr>
          <w:color w:val="231F1F"/>
          <w:spacing w:val="-1"/>
          <w:w w:val="110"/>
        </w:rPr>
        <w:t> </w:t>
      </w:r>
      <w:r>
        <w:rPr>
          <w:color w:val="231F1F"/>
          <w:w w:val="110"/>
        </w:rPr>
        <w:t>mujeres</w:t>
      </w:r>
      <w:r>
        <w:rPr>
          <w:color w:val="231F1F"/>
          <w:spacing w:val="-1"/>
          <w:w w:val="110"/>
        </w:rPr>
        <w:t> </w:t>
      </w:r>
      <w:r>
        <w:rPr>
          <w:color w:val="231F1F"/>
          <w:w w:val="110"/>
        </w:rPr>
        <w:t>representó</w:t>
      </w:r>
      <w:r>
        <w:rPr>
          <w:color w:val="231F1F"/>
          <w:spacing w:val="-1"/>
          <w:w w:val="110"/>
        </w:rPr>
        <w:t> </w:t>
      </w:r>
      <w:r>
        <w:rPr>
          <w:color w:val="231F1F"/>
          <w:w w:val="110"/>
        </w:rPr>
        <w:t>una</w:t>
      </w:r>
      <w:r>
        <w:rPr>
          <w:color w:val="231F1F"/>
          <w:spacing w:val="-1"/>
          <w:w w:val="110"/>
        </w:rPr>
        <w:t> </w:t>
      </w:r>
      <w:r>
        <w:rPr>
          <w:color w:val="231F1F"/>
          <w:w w:val="110"/>
        </w:rPr>
        <w:t>pequeña</w:t>
      </w:r>
      <w:r>
        <w:rPr>
          <w:color w:val="231F1F"/>
          <w:spacing w:val="-1"/>
          <w:w w:val="110"/>
        </w:rPr>
        <w:t> </w:t>
      </w:r>
      <w:r>
        <w:rPr>
          <w:color w:val="231F1F"/>
          <w:w w:val="110"/>
        </w:rPr>
        <w:t>proporción</w:t>
      </w:r>
      <w:r>
        <w:rPr>
          <w:color w:val="231F1F"/>
          <w:spacing w:val="-1"/>
          <w:w w:val="110"/>
        </w:rPr>
        <w:t> </w:t>
      </w:r>
      <w:r>
        <w:rPr>
          <w:color w:val="231F1F"/>
          <w:w w:val="110"/>
        </w:rPr>
        <w:t>de</w:t>
      </w:r>
      <w:r>
        <w:rPr>
          <w:color w:val="231F1F"/>
          <w:spacing w:val="-1"/>
          <w:w w:val="110"/>
        </w:rPr>
        <w:t> </w:t>
      </w:r>
      <w:r>
        <w:rPr>
          <w:color w:val="231F1F"/>
          <w:w w:val="110"/>
        </w:rPr>
        <w:t>las</w:t>
      </w:r>
      <w:r>
        <w:rPr>
          <w:color w:val="231F1F"/>
          <w:spacing w:val="-1"/>
          <w:w w:val="110"/>
        </w:rPr>
        <w:t> </w:t>
      </w:r>
      <w:r>
        <w:rPr>
          <w:color w:val="231F1F"/>
          <w:w w:val="110"/>
        </w:rPr>
        <w:t>94</w:t>
      </w:r>
      <w:r>
        <w:rPr>
          <w:color w:val="231F1F"/>
          <w:spacing w:val="-1"/>
          <w:w w:val="110"/>
        </w:rPr>
        <w:t> </w:t>
      </w:r>
      <w:r>
        <w:rPr>
          <w:color w:val="231F1F"/>
          <w:w w:val="110"/>
        </w:rPr>
        <w:t>mujeres</w:t>
      </w:r>
      <w:r>
        <w:rPr>
          <w:color w:val="231F1F"/>
          <w:spacing w:val="-1"/>
          <w:w w:val="110"/>
        </w:rPr>
        <w:t> </w:t>
      </w:r>
      <w:r>
        <w:rPr>
          <w:color w:val="231F1F"/>
          <w:w w:val="110"/>
        </w:rPr>
        <w:t>que</w:t>
      </w:r>
      <w:r>
        <w:rPr>
          <w:color w:val="231F1F"/>
          <w:spacing w:val="-1"/>
          <w:w w:val="110"/>
        </w:rPr>
        <w:t> </w:t>
      </w:r>
      <w:r>
        <w:rPr>
          <w:color w:val="231F1F"/>
          <w:w w:val="110"/>
        </w:rPr>
        <w:t>acor- daron</w:t>
      </w:r>
      <w:r>
        <w:rPr>
          <w:color w:val="231F1F"/>
          <w:spacing w:val="-16"/>
          <w:w w:val="110"/>
        </w:rPr>
        <w:t> </w:t>
      </w:r>
      <w:r>
        <w:rPr>
          <w:color w:val="231F1F"/>
          <w:w w:val="110"/>
        </w:rPr>
        <w:t>participar.</w:t>
      </w:r>
      <w:r>
        <w:rPr>
          <w:color w:val="231F1F"/>
          <w:spacing w:val="-15"/>
          <w:w w:val="110"/>
        </w:rPr>
        <w:t> </w:t>
      </w:r>
      <w:r>
        <w:rPr>
          <w:color w:val="231F1F"/>
          <w:w w:val="110"/>
        </w:rPr>
        <w:t>Además</w:t>
      </w:r>
      <w:r>
        <w:rPr>
          <w:color w:val="231F1F"/>
          <w:spacing w:val="-15"/>
          <w:w w:val="110"/>
        </w:rPr>
        <w:t> </w:t>
      </w:r>
      <w:r>
        <w:rPr>
          <w:color w:val="231F1F"/>
          <w:w w:val="110"/>
        </w:rPr>
        <w:t>algunas</w:t>
      </w:r>
      <w:r>
        <w:rPr>
          <w:color w:val="231F1F"/>
          <w:spacing w:val="-15"/>
          <w:w w:val="110"/>
        </w:rPr>
        <w:t> </w:t>
      </w:r>
      <w:r>
        <w:rPr>
          <w:color w:val="231F1F"/>
          <w:w w:val="110"/>
        </w:rPr>
        <w:t>de</w:t>
      </w:r>
      <w:r>
        <w:rPr>
          <w:color w:val="231F1F"/>
          <w:spacing w:val="-15"/>
          <w:w w:val="110"/>
        </w:rPr>
        <w:t> </w:t>
      </w:r>
      <w:r>
        <w:rPr>
          <w:color w:val="231F1F"/>
          <w:w w:val="110"/>
        </w:rPr>
        <w:t>ellas</w:t>
      </w:r>
      <w:r>
        <w:rPr>
          <w:color w:val="231F1F"/>
          <w:spacing w:val="-15"/>
          <w:w w:val="110"/>
        </w:rPr>
        <w:t> </w:t>
      </w:r>
      <w:r>
        <w:rPr>
          <w:color w:val="231F1F"/>
          <w:w w:val="110"/>
        </w:rPr>
        <w:t>fueron</w:t>
      </w:r>
      <w:r>
        <w:rPr>
          <w:color w:val="231F1F"/>
          <w:spacing w:val="-15"/>
          <w:w w:val="110"/>
        </w:rPr>
        <w:t> </w:t>
      </w:r>
      <w:r>
        <w:rPr>
          <w:color w:val="231F1F"/>
          <w:w w:val="110"/>
        </w:rPr>
        <w:t>eliminadas</w:t>
      </w:r>
      <w:r>
        <w:rPr>
          <w:color w:val="231F1F"/>
          <w:spacing w:val="-15"/>
          <w:w w:val="110"/>
        </w:rPr>
        <w:t> </w:t>
      </w:r>
      <w:r>
        <w:rPr>
          <w:color w:val="231F1F"/>
          <w:w w:val="110"/>
        </w:rPr>
        <w:t>del</w:t>
      </w:r>
      <w:r>
        <w:rPr>
          <w:color w:val="231F1F"/>
          <w:spacing w:val="-16"/>
          <w:w w:val="110"/>
        </w:rPr>
        <w:t> </w:t>
      </w:r>
      <w:r>
        <w:rPr>
          <w:color w:val="231F1F"/>
          <w:w w:val="110"/>
        </w:rPr>
        <w:t>análisis</w:t>
      </w:r>
      <w:r>
        <w:rPr>
          <w:color w:val="231F1F"/>
          <w:spacing w:val="-15"/>
          <w:w w:val="110"/>
        </w:rPr>
        <w:t> </w:t>
      </w:r>
      <w:r>
        <w:rPr>
          <w:color w:val="231F1F"/>
          <w:w w:val="110"/>
        </w:rPr>
        <w:t>tras la</w:t>
      </w:r>
      <w:r>
        <w:rPr>
          <w:color w:val="231F1F"/>
          <w:spacing w:val="-5"/>
          <w:w w:val="110"/>
        </w:rPr>
        <w:t> </w:t>
      </w:r>
      <w:r>
        <w:rPr>
          <w:color w:val="231F1F"/>
          <w:w w:val="110"/>
        </w:rPr>
        <w:t>aleatorización</w:t>
      </w:r>
      <w:r>
        <w:rPr>
          <w:color w:val="231F1F"/>
          <w:spacing w:val="-5"/>
          <w:w w:val="110"/>
        </w:rPr>
        <w:t> </w:t>
      </w:r>
      <w:r>
        <w:rPr>
          <w:color w:val="231F1F"/>
          <w:w w:val="110"/>
        </w:rPr>
        <w:t>por</w:t>
      </w:r>
      <w:r>
        <w:rPr>
          <w:color w:val="231F1F"/>
          <w:spacing w:val="-5"/>
          <w:w w:val="110"/>
        </w:rPr>
        <w:t> </w:t>
      </w:r>
      <w:r>
        <w:rPr>
          <w:color w:val="231F1F"/>
          <w:w w:val="110"/>
        </w:rPr>
        <w:t>no</w:t>
      </w:r>
      <w:r>
        <w:rPr>
          <w:color w:val="231F1F"/>
          <w:spacing w:val="-5"/>
          <w:w w:val="110"/>
        </w:rPr>
        <w:t> </w:t>
      </w:r>
      <w:r>
        <w:rPr>
          <w:color w:val="231F1F"/>
          <w:w w:val="110"/>
        </w:rPr>
        <w:t>cumplir</w:t>
      </w:r>
      <w:r>
        <w:rPr>
          <w:color w:val="231F1F"/>
          <w:spacing w:val="-6"/>
          <w:w w:val="110"/>
        </w:rPr>
        <w:t> </w:t>
      </w:r>
      <w:r>
        <w:rPr>
          <w:color w:val="231F1F"/>
          <w:w w:val="110"/>
        </w:rPr>
        <w:t>con</w:t>
      </w:r>
      <w:r>
        <w:rPr>
          <w:color w:val="231F1F"/>
          <w:spacing w:val="-4"/>
          <w:w w:val="110"/>
        </w:rPr>
        <w:t> </w:t>
      </w:r>
      <w:r>
        <w:rPr>
          <w:color w:val="231F1F"/>
          <w:w w:val="110"/>
        </w:rPr>
        <w:t>el</w:t>
      </w:r>
      <w:r>
        <w:rPr>
          <w:color w:val="231F1F"/>
          <w:spacing w:val="-5"/>
          <w:w w:val="110"/>
        </w:rPr>
        <w:t> </w:t>
      </w:r>
      <w:r>
        <w:rPr>
          <w:color w:val="231F1F"/>
          <w:w w:val="110"/>
        </w:rPr>
        <w:t>protocolo</w:t>
      </w:r>
      <w:r>
        <w:rPr>
          <w:color w:val="231F1F"/>
          <w:spacing w:val="-5"/>
          <w:w w:val="110"/>
        </w:rPr>
        <w:t> </w:t>
      </w:r>
      <w:r>
        <w:rPr>
          <w:color w:val="231F1F"/>
          <w:w w:val="110"/>
        </w:rPr>
        <w:t>(no</w:t>
      </w:r>
      <w:r>
        <w:rPr>
          <w:color w:val="231F1F"/>
          <w:spacing w:val="-4"/>
          <w:w w:val="110"/>
        </w:rPr>
        <w:t> </w:t>
      </w:r>
      <w:r>
        <w:rPr>
          <w:color w:val="231F1F"/>
          <w:w w:val="110"/>
        </w:rPr>
        <w:t>usar</w:t>
      </w:r>
      <w:r>
        <w:rPr>
          <w:color w:val="231F1F"/>
          <w:spacing w:val="-5"/>
          <w:w w:val="110"/>
        </w:rPr>
        <w:t> </w:t>
      </w:r>
      <w:r>
        <w:rPr>
          <w:color w:val="231F1F"/>
          <w:w w:val="110"/>
        </w:rPr>
        <w:t>la</w:t>
      </w:r>
      <w:r>
        <w:rPr>
          <w:color w:val="231F1F"/>
          <w:spacing w:val="-5"/>
          <w:w w:val="110"/>
        </w:rPr>
        <w:t> </w:t>
      </w:r>
      <w:r>
        <w:rPr>
          <w:color w:val="231F1F"/>
          <w:w w:val="110"/>
        </w:rPr>
        <w:t>silla</w:t>
      </w:r>
      <w:r>
        <w:rPr>
          <w:color w:val="231F1F"/>
          <w:spacing w:val="-5"/>
          <w:w w:val="110"/>
        </w:rPr>
        <w:t> </w:t>
      </w:r>
      <w:r>
        <w:rPr>
          <w:color w:val="231F1F"/>
          <w:w w:val="110"/>
        </w:rPr>
        <w:t>durante</w:t>
      </w:r>
      <w:r>
        <w:rPr>
          <w:color w:val="231F1F"/>
          <w:spacing w:val="-5"/>
          <w:w w:val="110"/>
        </w:rPr>
        <w:t> </w:t>
      </w:r>
      <w:r>
        <w:rPr>
          <w:color w:val="231F1F"/>
          <w:w w:val="110"/>
        </w:rPr>
        <w:t>la 2ª etapa n=20, no emplear la técnica de pujo asignada n=20).</w:t>
      </w:r>
    </w:p>
    <w:p>
      <w:pPr>
        <w:spacing w:line="278" w:lineRule="auto" w:before="124"/>
        <w:ind w:left="361" w:right="522" w:hanging="78"/>
        <w:jc w:val="left"/>
        <w:rPr>
          <w:rFonts w:ascii="Arial MT"/>
          <w:sz w:val="18"/>
        </w:rPr>
      </w:pPr>
      <w:r>
        <w:rPr/>
        <w:br w:type="column"/>
      </w: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5"/>
        <w:rPr>
          <w:rFonts w:ascii="Arial MT"/>
          <w:sz w:val="18"/>
        </w:rPr>
      </w:pPr>
    </w:p>
    <w:p>
      <w:pPr>
        <w:spacing w:line="273" w:lineRule="auto" w:before="0"/>
        <w:ind w:left="379" w:right="527" w:hanging="97"/>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45"/>
        <w:rPr>
          <w:rFonts w:ascii="Arial MT"/>
          <w:sz w:val="18"/>
        </w:rPr>
      </w:pPr>
    </w:p>
    <w:p>
      <w:pPr>
        <w:spacing w:line="278" w:lineRule="auto" w:before="1"/>
        <w:ind w:left="379" w:right="527" w:hanging="97"/>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15"/>
        <w:rPr>
          <w:rFonts w:ascii="Arial MT"/>
          <w:sz w:val="18"/>
        </w:rPr>
      </w:pPr>
    </w:p>
    <w:p>
      <w:pPr>
        <w:spacing w:line="278" w:lineRule="auto" w:before="0"/>
        <w:ind w:left="379" w:right="527" w:hanging="97"/>
        <w:jc w:val="left"/>
        <w:rPr>
          <w:rFonts w:ascii="Arial MT"/>
          <w:sz w:val="18"/>
        </w:rPr>
      </w:pPr>
      <w:r>
        <w:rPr>
          <w:rFonts w:ascii="Arial MT"/>
          <w:color w:val="231F1F"/>
          <w:spacing w:val="-6"/>
          <w:sz w:val="18"/>
        </w:rPr>
        <w:t>ECA 1-</w:t>
      </w:r>
    </w:p>
    <w:p>
      <w:pPr>
        <w:spacing w:after="0" w:line="278" w:lineRule="auto"/>
        <w:jc w:val="left"/>
        <w:rPr>
          <w:rFonts w:ascii="Arial MT"/>
          <w:sz w:val="18"/>
        </w:rPr>
        <w:sectPr>
          <w:pgSz w:w="11900" w:h="16840"/>
          <w:pgMar w:header="0" w:footer="622" w:top="1560" w:bottom="820" w:left="1417" w:right="1559"/>
          <w:cols w:num="2" w:equalWidth="0">
            <w:col w:w="7596" w:space="156"/>
            <w:col w:w="1172"/>
          </w:cols>
        </w:sectPr>
      </w:pPr>
    </w:p>
    <w:p>
      <w:pPr>
        <w:pStyle w:val="BodyText"/>
        <w:spacing w:line="254" w:lineRule="auto" w:before="73"/>
        <w:ind w:left="283" w:right="1367" w:firstLine="453"/>
        <w:jc w:val="both"/>
      </w:pPr>
      <w:r>
        <w:rPr>
          <w:color w:val="231F1F"/>
          <w:w w:val="105"/>
        </w:rPr>
        <w:t>No</w:t>
      </w:r>
      <w:r>
        <w:rPr>
          <w:color w:val="231F1F"/>
          <w:w w:val="105"/>
        </w:rPr>
        <w:t> se</w:t>
      </w:r>
      <w:r>
        <w:rPr>
          <w:color w:val="231F1F"/>
          <w:w w:val="105"/>
        </w:rPr>
        <w:t> encontraron</w:t>
      </w:r>
      <w:r>
        <w:rPr>
          <w:color w:val="231F1F"/>
          <w:w w:val="105"/>
        </w:rPr>
        <w:t> diferencias</w:t>
      </w:r>
      <w:r>
        <w:rPr>
          <w:color w:val="231F1F"/>
          <w:w w:val="105"/>
        </w:rPr>
        <w:t> significativas</w:t>
      </w:r>
      <w:r>
        <w:rPr>
          <w:color w:val="231F1F"/>
          <w:w w:val="105"/>
        </w:rPr>
        <w:t> entre</w:t>
      </w:r>
      <w:r>
        <w:rPr>
          <w:color w:val="231F1F"/>
          <w:w w:val="105"/>
        </w:rPr>
        <w:t> los</w:t>
      </w:r>
      <w:r>
        <w:rPr>
          <w:color w:val="231F1F"/>
          <w:w w:val="105"/>
        </w:rPr>
        <w:t> dos</w:t>
      </w:r>
      <w:r>
        <w:rPr>
          <w:color w:val="231F1F"/>
          <w:w w:val="105"/>
        </w:rPr>
        <w:t> grupos</w:t>
      </w:r>
      <w:r>
        <w:rPr>
          <w:color w:val="231F1F"/>
          <w:w w:val="105"/>
        </w:rPr>
        <w:t> en</w:t>
      </w:r>
      <w:r>
        <w:rPr>
          <w:color w:val="231F1F"/>
          <w:w w:val="105"/>
        </w:rPr>
        <w:t> la duración de la 2ª etapa del parto: media de 45,6 minutos en los dos grupos. Se describieron</w:t>
      </w:r>
      <w:r>
        <w:rPr>
          <w:color w:val="231F1F"/>
          <w:spacing w:val="-2"/>
          <w:w w:val="105"/>
        </w:rPr>
        <w:t> </w:t>
      </w:r>
      <w:r>
        <w:rPr>
          <w:color w:val="231F1F"/>
          <w:w w:val="105"/>
        </w:rPr>
        <w:t>muchas</w:t>
      </w:r>
      <w:r>
        <w:rPr>
          <w:color w:val="231F1F"/>
          <w:spacing w:val="-1"/>
          <w:w w:val="105"/>
        </w:rPr>
        <w:t> </w:t>
      </w:r>
      <w:r>
        <w:rPr>
          <w:color w:val="231F1F"/>
          <w:w w:val="105"/>
        </w:rPr>
        <w:t>diferencias</w:t>
      </w:r>
      <w:r>
        <w:rPr>
          <w:color w:val="231F1F"/>
          <w:spacing w:val="-2"/>
          <w:w w:val="105"/>
        </w:rPr>
        <w:t> </w:t>
      </w:r>
      <w:r>
        <w:rPr>
          <w:color w:val="231F1F"/>
          <w:w w:val="105"/>
        </w:rPr>
        <w:t>en</w:t>
      </w:r>
      <w:r>
        <w:rPr>
          <w:color w:val="231F1F"/>
          <w:spacing w:val="-1"/>
          <w:w w:val="105"/>
        </w:rPr>
        <w:t> </w:t>
      </w:r>
      <w:r>
        <w:rPr>
          <w:color w:val="231F1F"/>
          <w:w w:val="105"/>
        </w:rPr>
        <w:t>la</w:t>
      </w:r>
      <w:r>
        <w:rPr>
          <w:color w:val="231F1F"/>
          <w:spacing w:val="-1"/>
          <w:w w:val="105"/>
        </w:rPr>
        <w:t> </w:t>
      </w:r>
      <w:r>
        <w:rPr>
          <w:color w:val="231F1F"/>
          <w:w w:val="105"/>
        </w:rPr>
        <w:t>frecuencia</w:t>
      </w:r>
      <w:r>
        <w:rPr>
          <w:color w:val="231F1F"/>
          <w:spacing w:val="-1"/>
          <w:w w:val="105"/>
        </w:rPr>
        <w:t> </w:t>
      </w:r>
      <w:r>
        <w:rPr>
          <w:color w:val="231F1F"/>
          <w:w w:val="105"/>
        </w:rPr>
        <w:t>cardiaca</w:t>
      </w:r>
      <w:r>
        <w:rPr>
          <w:color w:val="231F1F"/>
          <w:spacing w:val="-1"/>
          <w:w w:val="105"/>
        </w:rPr>
        <w:t> </w:t>
      </w:r>
      <w:r>
        <w:rPr>
          <w:color w:val="231F1F"/>
          <w:w w:val="105"/>
        </w:rPr>
        <w:t>fetal</w:t>
      </w:r>
      <w:r>
        <w:rPr>
          <w:color w:val="231F1F"/>
          <w:spacing w:val="-1"/>
          <w:w w:val="105"/>
        </w:rPr>
        <w:t> </w:t>
      </w:r>
      <w:r>
        <w:rPr>
          <w:color w:val="231F1F"/>
          <w:w w:val="105"/>
        </w:rPr>
        <w:t>(incremento de las</w:t>
      </w:r>
      <w:r>
        <w:rPr>
          <w:color w:val="231F1F"/>
          <w:spacing w:val="-3"/>
          <w:w w:val="105"/>
        </w:rPr>
        <w:t> </w:t>
      </w:r>
      <w:r>
        <w:rPr>
          <w:color w:val="231F1F"/>
          <w:w w:val="105"/>
        </w:rPr>
        <w:t>deceleraciones</w:t>
      </w:r>
      <w:r>
        <w:rPr>
          <w:color w:val="231F1F"/>
          <w:spacing w:val="-4"/>
          <w:w w:val="105"/>
        </w:rPr>
        <w:t> </w:t>
      </w:r>
      <w:r>
        <w:rPr>
          <w:color w:val="231F1F"/>
          <w:w w:val="105"/>
        </w:rPr>
        <w:t>en</w:t>
      </w:r>
      <w:r>
        <w:rPr>
          <w:color w:val="231F1F"/>
          <w:spacing w:val="-3"/>
          <w:w w:val="105"/>
        </w:rPr>
        <w:t> </w:t>
      </w:r>
      <w:r>
        <w:rPr>
          <w:color w:val="231F1F"/>
          <w:w w:val="105"/>
        </w:rPr>
        <w:t>el</w:t>
      </w:r>
      <w:r>
        <w:rPr>
          <w:color w:val="231F1F"/>
          <w:spacing w:val="-3"/>
          <w:w w:val="105"/>
        </w:rPr>
        <w:t> </w:t>
      </w:r>
      <w:r>
        <w:rPr>
          <w:color w:val="231F1F"/>
          <w:w w:val="105"/>
        </w:rPr>
        <w:t>grupo</w:t>
      </w:r>
      <w:r>
        <w:rPr>
          <w:color w:val="231F1F"/>
          <w:spacing w:val="-3"/>
          <w:w w:val="105"/>
        </w:rPr>
        <w:t> </w:t>
      </w:r>
      <w:r>
        <w:rPr>
          <w:color w:val="231F1F"/>
          <w:w w:val="105"/>
        </w:rPr>
        <w:t>con</w:t>
      </w:r>
      <w:r>
        <w:rPr>
          <w:color w:val="231F1F"/>
          <w:spacing w:val="-3"/>
          <w:w w:val="105"/>
        </w:rPr>
        <w:t> </w:t>
      </w:r>
      <w:r>
        <w:rPr>
          <w:color w:val="231F1F"/>
          <w:w w:val="105"/>
        </w:rPr>
        <w:t>respiración</w:t>
      </w:r>
      <w:r>
        <w:rPr>
          <w:color w:val="231F1F"/>
          <w:spacing w:val="-3"/>
          <w:w w:val="105"/>
        </w:rPr>
        <w:t> </w:t>
      </w:r>
      <w:r>
        <w:rPr>
          <w:color w:val="231F1F"/>
          <w:w w:val="105"/>
        </w:rPr>
        <w:t>sostenida</w:t>
      </w:r>
      <w:r>
        <w:rPr>
          <w:color w:val="231F1F"/>
          <w:spacing w:val="-3"/>
          <w:w w:val="105"/>
        </w:rPr>
        <w:t> </w:t>
      </w:r>
      <w:r>
        <w:rPr>
          <w:color w:val="231F1F"/>
          <w:w w:val="105"/>
        </w:rPr>
        <w:t>(30%</w:t>
      </w:r>
      <w:r>
        <w:rPr>
          <w:color w:val="231F1F"/>
          <w:spacing w:val="-3"/>
          <w:w w:val="105"/>
        </w:rPr>
        <w:t> </w:t>
      </w:r>
      <w:r>
        <w:rPr>
          <w:color w:val="231F1F"/>
          <w:w w:val="105"/>
        </w:rPr>
        <w:t>frente</w:t>
      </w:r>
      <w:r>
        <w:rPr>
          <w:color w:val="231F1F"/>
          <w:spacing w:val="-3"/>
          <w:w w:val="105"/>
        </w:rPr>
        <w:t> </w:t>
      </w:r>
      <w:r>
        <w:rPr>
          <w:color w:val="231F1F"/>
          <w:w w:val="105"/>
        </w:rPr>
        <w:t>a</w:t>
      </w:r>
      <w:r>
        <w:rPr>
          <w:color w:val="231F1F"/>
          <w:spacing w:val="-3"/>
          <w:w w:val="105"/>
        </w:rPr>
        <w:t> </w:t>
      </w:r>
      <w:r>
        <w:rPr>
          <w:color w:val="231F1F"/>
          <w:w w:val="105"/>
        </w:rPr>
        <w:t>17,6%), sin</w:t>
      </w:r>
      <w:r>
        <w:rPr>
          <w:color w:val="231F1F"/>
          <w:spacing w:val="-7"/>
          <w:w w:val="105"/>
        </w:rPr>
        <w:t> </w:t>
      </w:r>
      <w:r>
        <w:rPr>
          <w:color w:val="231F1F"/>
          <w:w w:val="105"/>
        </w:rPr>
        <w:t>embargo,</w:t>
      </w:r>
      <w:r>
        <w:rPr>
          <w:color w:val="231F1F"/>
          <w:spacing w:val="-7"/>
          <w:w w:val="105"/>
        </w:rPr>
        <w:t> </w:t>
      </w:r>
      <w:r>
        <w:rPr>
          <w:color w:val="231F1F"/>
          <w:w w:val="105"/>
        </w:rPr>
        <w:t>en</w:t>
      </w:r>
      <w:r>
        <w:rPr>
          <w:color w:val="231F1F"/>
          <w:spacing w:val="-7"/>
          <w:w w:val="105"/>
        </w:rPr>
        <w:t> </w:t>
      </w:r>
      <w:r>
        <w:rPr>
          <w:color w:val="231F1F"/>
          <w:w w:val="105"/>
        </w:rPr>
        <w:t>el</w:t>
      </w:r>
      <w:r>
        <w:rPr>
          <w:color w:val="231F1F"/>
          <w:spacing w:val="-8"/>
          <w:w w:val="105"/>
        </w:rPr>
        <w:t> </w:t>
      </w:r>
      <w:r>
        <w:rPr>
          <w:color w:val="231F1F"/>
          <w:w w:val="105"/>
        </w:rPr>
        <w:t>artículo</w:t>
      </w:r>
      <w:r>
        <w:rPr>
          <w:color w:val="231F1F"/>
          <w:spacing w:val="-7"/>
          <w:w w:val="105"/>
        </w:rPr>
        <w:t> </w:t>
      </w:r>
      <w:r>
        <w:rPr>
          <w:color w:val="231F1F"/>
          <w:w w:val="105"/>
        </w:rPr>
        <w:t>no</w:t>
      </w:r>
      <w:r>
        <w:rPr>
          <w:color w:val="231F1F"/>
          <w:spacing w:val="-7"/>
          <w:w w:val="105"/>
        </w:rPr>
        <w:t> </w:t>
      </w:r>
      <w:r>
        <w:rPr>
          <w:color w:val="231F1F"/>
          <w:w w:val="105"/>
        </w:rPr>
        <w:t>discuten</w:t>
      </w:r>
      <w:r>
        <w:rPr>
          <w:color w:val="231F1F"/>
          <w:spacing w:val="-8"/>
          <w:w w:val="105"/>
        </w:rPr>
        <w:t> </w:t>
      </w:r>
      <w:r>
        <w:rPr>
          <w:color w:val="231F1F"/>
          <w:w w:val="105"/>
        </w:rPr>
        <w:t>la</w:t>
      </w:r>
      <w:r>
        <w:rPr>
          <w:color w:val="231F1F"/>
          <w:spacing w:val="-7"/>
          <w:w w:val="105"/>
        </w:rPr>
        <w:t> </w:t>
      </w:r>
      <w:r>
        <w:rPr>
          <w:color w:val="231F1F"/>
          <w:w w:val="105"/>
        </w:rPr>
        <w:t>significación</w:t>
      </w:r>
      <w:r>
        <w:rPr>
          <w:color w:val="231F1F"/>
          <w:spacing w:val="-8"/>
          <w:w w:val="105"/>
        </w:rPr>
        <w:t> </w:t>
      </w:r>
      <w:r>
        <w:rPr>
          <w:color w:val="231F1F"/>
          <w:w w:val="105"/>
        </w:rPr>
        <w:t>clínica</w:t>
      </w:r>
      <w:r>
        <w:rPr>
          <w:color w:val="231F1F"/>
          <w:spacing w:val="-7"/>
          <w:w w:val="105"/>
        </w:rPr>
        <w:t> </w:t>
      </w:r>
      <w:r>
        <w:rPr>
          <w:color w:val="231F1F"/>
          <w:w w:val="105"/>
        </w:rPr>
        <w:t>de</w:t>
      </w:r>
      <w:r>
        <w:rPr>
          <w:color w:val="231F1F"/>
          <w:spacing w:val="-8"/>
          <w:w w:val="105"/>
        </w:rPr>
        <w:t> </w:t>
      </w:r>
      <w:r>
        <w:rPr>
          <w:color w:val="231F1F"/>
          <w:w w:val="105"/>
        </w:rPr>
        <w:t>este</w:t>
      </w:r>
      <w:r>
        <w:rPr>
          <w:color w:val="231F1F"/>
          <w:spacing w:val="-7"/>
          <w:w w:val="105"/>
        </w:rPr>
        <w:t> </w:t>
      </w:r>
      <w:r>
        <w:rPr>
          <w:color w:val="231F1F"/>
          <w:w w:val="105"/>
        </w:rPr>
        <w:t>hallazgo.</w:t>
      </w:r>
    </w:p>
    <w:p>
      <w:pPr>
        <w:pStyle w:val="BodyText"/>
        <w:spacing w:before="148"/>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line="244" w:lineRule="auto" w:before="214"/>
        <w:ind w:left="283" w:right="1364"/>
        <w:jc w:val="both"/>
      </w:pPr>
      <w:r>
        <w:rPr>
          <w:color w:val="231F1F"/>
          <w:w w:val="105"/>
        </w:rPr>
        <w:t>Se ha seleccionado una RS publicada en el año 2007 (139) de buena calidad. Se incluyen un total de 7 estudios, sumando 2.827 mujeres. El objetivo de la revisión</w:t>
      </w:r>
      <w:r>
        <w:rPr>
          <w:color w:val="231F1F"/>
          <w:w w:val="105"/>
        </w:rPr>
        <w:t> es</w:t>
      </w:r>
      <w:r>
        <w:rPr>
          <w:color w:val="231F1F"/>
          <w:w w:val="105"/>
        </w:rPr>
        <w:t> determinar</w:t>
      </w:r>
      <w:r>
        <w:rPr>
          <w:color w:val="231F1F"/>
          <w:w w:val="105"/>
        </w:rPr>
        <w:t> el</w:t>
      </w:r>
      <w:r>
        <w:rPr>
          <w:color w:val="231F1F"/>
          <w:w w:val="105"/>
        </w:rPr>
        <w:t> método</w:t>
      </w:r>
      <w:r>
        <w:rPr>
          <w:color w:val="231F1F"/>
          <w:w w:val="105"/>
        </w:rPr>
        <w:t> de</w:t>
      </w:r>
      <w:r>
        <w:rPr>
          <w:color w:val="231F1F"/>
          <w:w w:val="105"/>
        </w:rPr>
        <w:t> pujo</w:t>
      </w:r>
      <w:r>
        <w:rPr>
          <w:color w:val="231F1F"/>
          <w:w w:val="105"/>
        </w:rPr>
        <w:t> más</w:t>
      </w:r>
      <w:r>
        <w:rPr>
          <w:color w:val="231F1F"/>
          <w:w w:val="105"/>
        </w:rPr>
        <w:t> beneficioso</w:t>
      </w:r>
      <w:r>
        <w:rPr>
          <w:color w:val="231F1F"/>
          <w:w w:val="105"/>
        </w:rPr>
        <w:t> (pujo</w:t>
      </w:r>
      <w:r>
        <w:rPr>
          <w:color w:val="231F1F"/>
          <w:w w:val="105"/>
        </w:rPr>
        <w:t> dirigido</w:t>
      </w:r>
      <w:r>
        <w:rPr>
          <w:color w:val="231F1F"/>
          <w:w w:val="105"/>
        </w:rPr>
        <w:t> vs pujo espontáneo) en </w:t>
      </w:r>
      <w:r>
        <w:rPr>
          <w:i/>
          <w:color w:val="231F1F"/>
          <w:w w:val="105"/>
        </w:rPr>
        <w:t>mujeres con anestesia epidural </w:t>
      </w:r>
      <w:r>
        <w:rPr>
          <w:color w:val="231F1F"/>
          <w:w w:val="105"/>
        </w:rPr>
        <w:t>durante la segunda etapa del parto.</w:t>
      </w:r>
    </w:p>
    <w:p>
      <w:pPr>
        <w:pStyle w:val="BodyText"/>
        <w:tabs>
          <w:tab w:pos="7791" w:val="left" w:leader="none"/>
          <w:tab w:pos="7989" w:val="left" w:leader="none"/>
          <w:tab w:pos="8114" w:val="left" w:leader="none"/>
        </w:tabs>
        <w:spacing w:line="242" w:lineRule="auto" w:before="97"/>
        <w:ind w:left="283" w:right="312" w:firstLine="453"/>
        <w:rPr>
          <w:rFonts w:ascii="Arial MT" w:hAnsi="Arial MT"/>
          <w:position w:val="8"/>
          <w:sz w:val="18"/>
        </w:rPr>
      </w:pPr>
      <w:r>
        <w:rPr>
          <w:color w:val="231F1F"/>
          <w:w w:val="110"/>
        </w:rPr>
        <w:t>El metaanálisis realizado muestra que las mujeres sin pujos dirigidos</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presentan un mayor número de partos vaginales espontáneos: RR 1,08 [IC</w:t>
      </w:r>
      <w:r>
        <w:rPr>
          <w:color w:val="231F1F"/>
        </w:rPr>
        <w:tab/>
        <w:tab/>
      </w:r>
      <w:r>
        <w:rPr>
          <w:rFonts w:ascii="Arial MT" w:hAnsi="Arial MT"/>
          <w:color w:val="231F1F"/>
          <w:spacing w:val="-4"/>
          <w:w w:val="110"/>
          <w:position w:val="4"/>
          <w:sz w:val="18"/>
        </w:rPr>
        <w:t>ECAs </w:t>
      </w:r>
      <w:r>
        <w:rPr>
          <w:color w:val="231F1F"/>
          <w:w w:val="110"/>
        </w:rPr>
        <w:t>95% 1,01 a 1,15]; p=0,025, menor riesgo de parto instrumental: RR 0,07; [IC</w:t>
      </w:r>
      <w:r>
        <w:rPr>
          <w:color w:val="231F1F"/>
        </w:rPr>
        <w:tab/>
        <w:tab/>
        <w:tab/>
      </w:r>
      <w:r>
        <w:rPr>
          <w:rFonts w:ascii="Arial MT" w:hAnsi="Arial MT"/>
          <w:color w:val="231F1F"/>
          <w:spacing w:val="-6"/>
          <w:w w:val="110"/>
          <w:position w:val="8"/>
          <w:sz w:val="18"/>
        </w:rPr>
        <w:t>1+</w:t>
      </w:r>
    </w:p>
    <w:p>
      <w:pPr>
        <w:pStyle w:val="BodyText"/>
        <w:spacing w:line="251" w:lineRule="exact"/>
        <w:ind w:left="283"/>
      </w:pPr>
      <w:r>
        <w:rPr>
          <w:color w:val="231F1F"/>
        </w:rPr>
        <w:t>95%</w:t>
      </w:r>
      <w:r>
        <w:rPr>
          <w:color w:val="231F1F"/>
          <w:spacing w:val="8"/>
        </w:rPr>
        <w:t> </w:t>
      </w:r>
      <w:r>
        <w:rPr>
          <w:color w:val="231F1F"/>
        </w:rPr>
        <w:t>0,71</w:t>
      </w:r>
      <w:r>
        <w:rPr>
          <w:color w:val="231F1F"/>
          <w:spacing w:val="6"/>
        </w:rPr>
        <w:t> </w:t>
      </w:r>
      <w:r>
        <w:rPr>
          <w:color w:val="231F1F"/>
        </w:rPr>
        <w:t>a</w:t>
      </w:r>
      <w:r>
        <w:rPr>
          <w:color w:val="231F1F"/>
          <w:spacing w:val="9"/>
        </w:rPr>
        <w:t> </w:t>
      </w:r>
      <w:r>
        <w:rPr>
          <w:color w:val="231F1F"/>
        </w:rPr>
        <w:t>0,85];</w:t>
      </w:r>
      <w:r>
        <w:rPr>
          <w:color w:val="231F1F"/>
          <w:spacing w:val="7"/>
        </w:rPr>
        <w:t> </w:t>
      </w:r>
      <w:r>
        <w:rPr>
          <w:color w:val="231F1F"/>
        </w:rPr>
        <w:t>p≤0,0001</w:t>
      </w:r>
      <w:r>
        <w:rPr>
          <w:color w:val="231F1F"/>
          <w:spacing w:val="9"/>
        </w:rPr>
        <w:t> </w:t>
      </w:r>
      <w:r>
        <w:rPr>
          <w:color w:val="231F1F"/>
        </w:rPr>
        <w:t>y</w:t>
      </w:r>
      <w:r>
        <w:rPr>
          <w:color w:val="231F1F"/>
          <w:spacing w:val="8"/>
        </w:rPr>
        <w:t> </w:t>
      </w:r>
      <w:r>
        <w:rPr>
          <w:color w:val="231F1F"/>
        </w:rPr>
        <w:t>menos</w:t>
      </w:r>
      <w:r>
        <w:rPr>
          <w:color w:val="231F1F"/>
          <w:spacing w:val="8"/>
        </w:rPr>
        <w:t> </w:t>
      </w:r>
      <w:r>
        <w:rPr>
          <w:color w:val="231F1F"/>
        </w:rPr>
        <w:t>tiempo</w:t>
      </w:r>
      <w:r>
        <w:rPr>
          <w:color w:val="231F1F"/>
          <w:spacing w:val="8"/>
        </w:rPr>
        <w:t> </w:t>
      </w:r>
      <w:r>
        <w:rPr>
          <w:color w:val="231F1F"/>
        </w:rPr>
        <w:t>de</w:t>
      </w:r>
      <w:r>
        <w:rPr>
          <w:color w:val="231F1F"/>
          <w:spacing w:val="9"/>
        </w:rPr>
        <w:t> </w:t>
      </w:r>
      <w:r>
        <w:rPr>
          <w:color w:val="231F1F"/>
        </w:rPr>
        <w:t>pujo:</w:t>
      </w:r>
      <w:r>
        <w:rPr>
          <w:color w:val="231F1F"/>
          <w:spacing w:val="7"/>
        </w:rPr>
        <w:t> </w:t>
      </w:r>
      <w:r>
        <w:rPr>
          <w:color w:val="231F1F"/>
        </w:rPr>
        <w:t>DM</w:t>
      </w:r>
      <w:r>
        <w:rPr>
          <w:color w:val="231F1F"/>
          <w:spacing w:val="9"/>
        </w:rPr>
        <w:t> </w:t>
      </w:r>
      <w:r>
        <w:rPr>
          <w:color w:val="231F1F"/>
        </w:rPr>
        <w:t>-0,19</w:t>
      </w:r>
      <w:r>
        <w:rPr>
          <w:color w:val="231F1F"/>
          <w:spacing w:val="6"/>
        </w:rPr>
        <w:t> </w:t>
      </w:r>
      <w:r>
        <w:rPr>
          <w:color w:val="231F1F"/>
        </w:rPr>
        <w:t>horas</w:t>
      </w:r>
      <w:r>
        <w:rPr>
          <w:color w:val="231F1F"/>
          <w:spacing w:val="10"/>
        </w:rPr>
        <w:t> </w:t>
      </w:r>
      <w:r>
        <w:rPr>
          <w:color w:val="231F1F"/>
        </w:rPr>
        <w:t>[IC</w:t>
      </w:r>
      <w:r>
        <w:rPr>
          <w:color w:val="231F1F"/>
          <w:spacing w:val="9"/>
        </w:rPr>
        <w:t> </w:t>
      </w:r>
      <w:r>
        <w:rPr>
          <w:color w:val="231F1F"/>
          <w:spacing w:val="-5"/>
        </w:rPr>
        <w:t>95%</w:t>
      </w:r>
    </w:p>
    <w:p>
      <w:pPr>
        <w:pStyle w:val="BodyText"/>
        <w:spacing w:line="244" w:lineRule="auto" w:before="16"/>
        <w:ind w:left="283" w:right="1386"/>
      </w:pPr>
      <w:r>
        <w:rPr>
          <w:color w:val="231F1F"/>
          <w:spacing w:val="-2"/>
          <w:w w:val="105"/>
        </w:rPr>
        <w:t>-0,27</w:t>
      </w:r>
      <w:r>
        <w:rPr>
          <w:color w:val="231F1F"/>
          <w:spacing w:val="-15"/>
          <w:w w:val="105"/>
        </w:rPr>
        <w:t> </w:t>
      </w:r>
      <w:r>
        <w:rPr>
          <w:color w:val="231F1F"/>
          <w:spacing w:val="-2"/>
          <w:w w:val="105"/>
        </w:rPr>
        <w:t>a</w:t>
      </w:r>
      <w:r>
        <w:rPr>
          <w:color w:val="231F1F"/>
          <w:spacing w:val="-14"/>
          <w:w w:val="105"/>
        </w:rPr>
        <w:t> </w:t>
      </w:r>
      <w:r>
        <w:rPr>
          <w:color w:val="231F1F"/>
          <w:spacing w:val="-2"/>
          <w:w w:val="105"/>
        </w:rPr>
        <w:t>-0,12];</w:t>
      </w:r>
      <w:r>
        <w:rPr>
          <w:color w:val="231F1F"/>
          <w:spacing w:val="-16"/>
          <w:w w:val="105"/>
        </w:rPr>
        <w:t> </w:t>
      </w:r>
      <w:r>
        <w:rPr>
          <w:color w:val="231F1F"/>
          <w:spacing w:val="-2"/>
          <w:w w:val="105"/>
        </w:rPr>
        <w:t>p≤0,0001).</w:t>
      </w:r>
      <w:r>
        <w:rPr>
          <w:color w:val="231F1F"/>
          <w:spacing w:val="-14"/>
          <w:w w:val="105"/>
        </w:rPr>
        <w:t> </w:t>
      </w:r>
      <w:r>
        <w:rPr>
          <w:color w:val="231F1F"/>
          <w:spacing w:val="-2"/>
          <w:w w:val="105"/>
        </w:rPr>
        <w:t>No</w:t>
      </w:r>
      <w:r>
        <w:rPr>
          <w:color w:val="231F1F"/>
          <w:spacing w:val="-14"/>
          <w:w w:val="105"/>
        </w:rPr>
        <w:t> </w:t>
      </w:r>
      <w:r>
        <w:rPr>
          <w:color w:val="231F1F"/>
          <w:spacing w:val="-2"/>
          <w:w w:val="105"/>
        </w:rPr>
        <w:t>se</w:t>
      </w:r>
      <w:r>
        <w:rPr>
          <w:color w:val="231F1F"/>
          <w:spacing w:val="-15"/>
          <w:w w:val="105"/>
        </w:rPr>
        <w:t> </w:t>
      </w:r>
      <w:r>
        <w:rPr>
          <w:color w:val="231F1F"/>
          <w:spacing w:val="-2"/>
          <w:w w:val="105"/>
        </w:rPr>
        <w:t>encontraron</w:t>
      </w:r>
      <w:r>
        <w:rPr>
          <w:color w:val="231F1F"/>
          <w:spacing w:val="-14"/>
          <w:w w:val="105"/>
        </w:rPr>
        <w:t> </w:t>
      </w:r>
      <w:r>
        <w:rPr>
          <w:color w:val="231F1F"/>
          <w:spacing w:val="-2"/>
          <w:w w:val="105"/>
        </w:rPr>
        <w:t>diferencias</w:t>
      </w:r>
      <w:r>
        <w:rPr>
          <w:color w:val="231F1F"/>
          <w:spacing w:val="-15"/>
          <w:w w:val="105"/>
        </w:rPr>
        <w:t> </w:t>
      </w:r>
      <w:r>
        <w:rPr>
          <w:color w:val="231F1F"/>
          <w:spacing w:val="-2"/>
          <w:w w:val="105"/>
        </w:rPr>
        <w:t>en</w:t>
      </w:r>
      <w:r>
        <w:rPr>
          <w:color w:val="231F1F"/>
          <w:spacing w:val="-14"/>
          <w:w w:val="105"/>
        </w:rPr>
        <w:t> </w:t>
      </w:r>
      <w:r>
        <w:rPr>
          <w:color w:val="231F1F"/>
          <w:spacing w:val="-2"/>
          <w:w w:val="105"/>
        </w:rPr>
        <w:t>las</w:t>
      </w:r>
      <w:r>
        <w:rPr>
          <w:color w:val="231F1F"/>
          <w:spacing w:val="-14"/>
          <w:w w:val="105"/>
        </w:rPr>
        <w:t> </w:t>
      </w:r>
      <w:r>
        <w:rPr>
          <w:color w:val="231F1F"/>
          <w:spacing w:val="-2"/>
          <w:w w:val="105"/>
        </w:rPr>
        <w:t>tasas</w:t>
      </w:r>
      <w:r>
        <w:rPr>
          <w:color w:val="231F1F"/>
          <w:spacing w:val="-14"/>
          <w:w w:val="105"/>
        </w:rPr>
        <w:t> </w:t>
      </w:r>
      <w:r>
        <w:rPr>
          <w:color w:val="231F1F"/>
          <w:spacing w:val="-2"/>
          <w:w w:val="105"/>
        </w:rPr>
        <w:t>de</w:t>
      </w:r>
      <w:r>
        <w:rPr>
          <w:color w:val="231F1F"/>
          <w:spacing w:val="-14"/>
          <w:w w:val="105"/>
        </w:rPr>
        <w:t> </w:t>
      </w:r>
      <w:r>
        <w:rPr>
          <w:color w:val="231F1F"/>
          <w:spacing w:val="-2"/>
          <w:w w:val="105"/>
        </w:rPr>
        <w:t>cesáreas, </w:t>
      </w:r>
      <w:r>
        <w:rPr>
          <w:color w:val="231F1F"/>
          <w:w w:val="105"/>
        </w:rPr>
        <w:t>laceraciones y episiotomías.</w:t>
      </w:r>
    </w:p>
    <w:p>
      <w:pPr>
        <w:pStyle w:val="BodyText"/>
        <w:spacing w:line="244" w:lineRule="auto" w:before="141"/>
        <w:ind w:left="283" w:right="1366" w:firstLine="453"/>
        <w:jc w:val="both"/>
      </w:pPr>
      <w:r>
        <w:rPr>
          <w:color w:val="231F1F"/>
          <w:w w:val="110"/>
        </w:rPr>
        <w:t>Los</w:t>
      </w:r>
      <w:r>
        <w:rPr>
          <w:color w:val="231F1F"/>
          <w:w w:val="110"/>
        </w:rPr>
        <w:t> resultados</w:t>
      </w:r>
      <w:r>
        <w:rPr>
          <w:color w:val="231F1F"/>
          <w:w w:val="110"/>
        </w:rPr>
        <w:t> obtenidos</w:t>
      </w:r>
      <w:r>
        <w:rPr>
          <w:color w:val="231F1F"/>
          <w:w w:val="110"/>
        </w:rPr>
        <w:t> indican</w:t>
      </w:r>
      <w:r>
        <w:rPr>
          <w:color w:val="231F1F"/>
          <w:w w:val="110"/>
        </w:rPr>
        <w:t> que</w:t>
      </w:r>
      <w:r>
        <w:rPr>
          <w:color w:val="231F1F"/>
          <w:w w:val="110"/>
        </w:rPr>
        <w:t> el</w:t>
      </w:r>
      <w:r>
        <w:rPr>
          <w:color w:val="231F1F"/>
          <w:w w:val="110"/>
        </w:rPr>
        <w:t> parto</w:t>
      </w:r>
      <w:r>
        <w:rPr>
          <w:color w:val="231F1F"/>
          <w:w w:val="110"/>
        </w:rPr>
        <w:t> con</w:t>
      </w:r>
      <w:r>
        <w:rPr>
          <w:color w:val="231F1F"/>
          <w:w w:val="110"/>
        </w:rPr>
        <w:t> pujos</w:t>
      </w:r>
      <w:r>
        <w:rPr>
          <w:color w:val="231F1F"/>
          <w:w w:val="110"/>
        </w:rPr>
        <w:t> no</w:t>
      </w:r>
      <w:r>
        <w:rPr>
          <w:color w:val="231F1F"/>
          <w:w w:val="110"/>
        </w:rPr>
        <w:t> dirigidos incrementan</w:t>
      </w:r>
      <w:r>
        <w:rPr>
          <w:color w:val="231F1F"/>
          <w:spacing w:val="-1"/>
          <w:w w:val="110"/>
        </w:rPr>
        <w:t> </w:t>
      </w:r>
      <w:r>
        <w:rPr>
          <w:color w:val="231F1F"/>
          <w:w w:val="110"/>
        </w:rPr>
        <w:t>con</w:t>
      </w:r>
      <w:r>
        <w:rPr>
          <w:color w:val="231F1F"/>
          <w:spacing w:val="-1"/>
          <w:w w:val="110"/>
        </w:rPr>
        <w:t> </w:t>
      </w:r>
      <w:r>
        <w:rPr>
          <w:color w:val="231F1F"/>
          <w:w w:val="110"/>
        </w:rPr>
        <w:t>seguridad</w:t>
      </w:r>
      <w:r>
        <w:rPr>
          <w:color w:val="231F1F"/>
          <w:spacing w:val="-2"/>
          <w:w w:val="110"/>
        </w:rPr>
        <w:t> </w:t>
      </w:r>
      <w:r>
        <w:rPr>
          <w:color w:val="231F1F"/>
          <w:w w:val="110"/>
        </w:rPr>
        <w:t>y</w:t>
      </w:r>
      <w:r>
        <w:rPr>
          <w:color w:val="231F1F"/>
          <w:spacing w:val="-1"/>
          <w:w w:val="110"/>
        </w:rPr>
        <w:t> </w:t>
      </w:r>
      <w:r>
        <w:rPr>
          <w:color w:val="231F1F"/>
          <w:w w:val="110"/>
        </w:rPr>
        <w:t>efectividad</w:t>
      </w:r>
      <w:r>
        <w:rPr>
          <w:color w:val="231F1F"/>
          <w:spacing w:val="-1"/>
          <w:w w:val="110"/>
        </w:rPr>
        <w:t> </w:t>
      </w:r>
      <w:r>
        <w:rPr>
          <w:color w:val="231F1F"/>
          <w:w w:val="110"/>
        </w:rPr>
        <w:t>los</w:t>
      </w:r>
      <w:r>
        <w:rPr>
          <w:color w:val="231F1F"/>
          <w:spacing w:val="-2"/>
          <w:w w:val="110"/>
        </w:rPr>
        <w:t> </w:t>
      </w:r>
      <w:r>
        <w:rPr>
          <w:color w:val="231F1F"/>
          <w:w w:val="110"/>
        </w:rPr>
        <w:t>partos</w:t>
      </w:r>
      <w:r>
        <w:rPr>
          <w:color w:val="231F1F"/>
          <w:spacing w:val="-2"/>
          <w:w w:val="110"/>
        </w:rPr>
        <w:t> </w:t>
      </w:r>
      <w:r>
        <w:rPr>
          <w:color w:val="231F1F"/>
          <w:w w:val="110"/>
        </w:rPr>
        <w:t>vaginales</w:t>
      </w:r>
      <w:r>
        <w:rPr>
          <w:color w:val="231F1F"/>
          <w:spacing w:val="-2"/>
          <w:w w:val="110"/>
        </w:rPr>
        <w:t> </w:t>
      </w:r>
      <w:r>
        <w:rPr>
          <w:color w:val="231F1F"/>
          <w:w w:val="110"/>
        </w:rPr>
        <w:t>y</w:t>
      </w:r>
      <w:r>
        <w:rPr>
          <w:color w:val="231F1F"/>
          <w:spacing w:val="-1"/>
          <w:w w:val="110"/>
        </w:rPr>
        <w:t> </w:t>
      </w:r>
      <w:r>
        <w:rPr>
          <w:color w:val="231F1F"/>
          <w:w w:val="110"/>
        </w:rPr>
        <w:t>reducen</w:t>
      </w:r>
      <w:r>
        <w:rPr>
          <w:color w:val="231F1F"/>
          <w:spacing w:val="-1"/>
          <w:w w:val="110"/>
        </w:rPr>
        <w:t> </w:t>
      </w:r>
      <w:r>
        <w:rPr>
          <w:color w:val="231F1F"/>
          <w:w w:val="110"/>
        </w:rPr>
        <w:t>los partos instrumentados y el tiempo de pujo.</w:t>
      </w:r>
    </w:p>
    <w:p>
      <w:pPr>
        <w:pStyle w:val="BodyText"/>
        <w:spacing w:line="249" w:lineRule="auto" w:before="61"/>
        <w:ind w:left="283" w:right="1368" w:firstLine="453"/>
        <w:jc w:val="both"/>
      </w:pPr>
      <w:r>
        <w:rPr>
          <w:color w:val="231F1F"/>
          <w:w w:val="110"/>
        </w:rPr>
        <w:t>El</w:t>
      </w:r>
      <w:r>
        <w:rPr>
          <w:color w:val="231F1F"/>
          <w:spacing w:val="-16"/>
          <w:w w:val="110"/>
        </w:rPr>
        <w:t> </w:t>
      </w:r>
      <w:r>
        <w:rPr>
          <w:color w:val="231F1F"/>
          <w:w w:val="110"/>
        </w:rPr>
        <w:t>metaanálisis</w:t>
      </w:r>
      <w:r>
        <w:rPr>
          <w:color w:val="231F1F"/>
          <w:spacing w:val="-15"/>
          <w:w w:val="110"/>
        </w:rPr>
        <w:t> </w:t>
      </w:r>
      <w:r>
        <w:rPr>
          <w:color w:val="231F1F"/>
          <w:w w:val="110"/>
        </w:rPr>
        <w:t>(139)</w:t>
      </w:r>
      <w:r>
        <w:rPr>
          <w:color w:val="231F1F"/>
          <w:spacing w:val="-15"/>
          <w:w w:val="110"/>
        </w:rPr>
        <w:t> </w:t>
      </w:r>
      <w:r>
        <w:rPr>
          <w:color w:val="231F1F"/>
          <w:w w:val="110"/>
        </w:rPr>
        <w:t>publicado</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2007</w:t>
      </w:r>
      <w:r>
        <w:rPr>
          <w:color w:val="231F1F"/>
          <w:spacing w:val="-15"/>
          <w:w w:val="110"/>
        </w:rPr>
        <w:t> </w:t>
      </w:r>
      <w:r>
        <w:rPr>
          <w:color w:val="231F1F"/>
          <w:w w:val="110"/>
        </w:rPr>
        <w:t>se</w:t>
      </w:r>
      <w:r>
        <w:rPr>
          <w:color w:val="231F1F"/>
          <w:spacing w:val="-15"/>
          <w:w w:val="110"/>
        </w:rPr>
        <w:t> </w:t>
      </w:r>
      <w:r>
        <w:rPr>
          <w:color w:val="231F1F"/>
          <w:w w:val="110"/>
        </w:rPr>
        <w:t>realizó</w:t>
      </w:r>
      <w:r>
        <w:rPr>
          <w:color w:val="231F1F"/>
          <w:spacing w:val="-16"/>
          <w:w w:val="110"/>
        </w:rPr>
        <w:t> </w:t>
      </w:r>
      <w:r>
        <w:rPr>
          <w:color w:val="231F1F"/>
          <w:w w:val="110"/>
        </w:rPr>
        <w:t>sobre</w:t>
      </w:r>
      <w:r>
        <w:rPr>
          <w:color w:val="231F1F"/>
          <w:spacing w:val="-15"/>
          <w:w w:val="110"/>
        </w:rPr>
        <w:t> </w:t>
      </w:r>
      <w:r>
        <w:rPr>
          <w:color w:val="231F1F"/>
          <w:w w:val="110"/>
        </w:rPr>
        <w:t>estudios</w:t>
      </w:r>
      <w:r>
        <w:rPr>
          <w:color w:val="231F1F"/>
          <w:spacing w:val="-15"/>
          <w:w w:val="110"/>
        </w:rPr>
        <w:t> </w:t>
      </w:r>
      <w:r>
        <w:rPr>
          <w:color w:val="231F1F"/>
          <w:w w:val="110"/>
        </w:rPr>
        <w:t>que </w:t>
      </w:r>
      <w:r>
        <w:rPr>
          <w:color w:val="231F1F"/>
          <w:spacing w:val="-2"/>
          <w:w w:val="110"/>
        </w:rPr>
        <w:t>incluyen</w:t>
      </w:r>
      <w:r>
        <w:rPr>
          <w:color w:val="231F1F"/>
          <w:spacing w:val="-7"/>
          <w:w w:val="110"/>
        </w:rPr>
        <w:t> </w:t>
      </w:r>
      <w:r>
        <w:rPr>
          <w:color w:val="231F1F"/>
          <w:spacing w:val="-2"/>
          <w:w w:val="110"/>
        </w:rPr>
        <w:t>mujeres</w:t>
      </w:r>
      <w:r>
        <w:rPr>
          <w:color w:val="231F1F"/>
          <w:spacing w:val="-7"/>
          <w:w w:val="110"/>
        </w:rPr>
        <w:t> </w:t>
      </w:r>
      <w:r>
        <w:rPr>
          <w:color w:val="231F1F"/>
          <w:spacing w:val="-2"/>
          <w:w w:val="110"/>
        </w:rPr>
        <w:t>con</w:t>
      </w:r>
      <w:r>
        <w:rPr>
          <w:color w:val="231F1F"/>
          <w:spacing w:val="-7"/>
          <w:w w:val="110"/>
        </w:rPr>
        <w:t> </w:t>
      </w:r>
      <w:r>
        <w:rPr>
          <w:color w:val="231F1F"/>
          <w:spacing w:val="-2"/>
          <w:w w:val="110"/>
        </w:rPr>
        <w:t>anestesia</w:t>
      </w:r>
      <w:r>
        <w:rPr>
          <w:color w:val="231F1F"/>
          <w:spacing w:val="-7"/>
          <w:w w:val="110"/>
        </w:rPr>
        <w:t> </w:t>
      </w:r>
      <w:r>
        <w:rPr>
          <w:color w:val="231F1F"/>
          <w:spacing w:val="-2"/>
          <w:w w:val="110"/>
        </w:rPr>
        <w:t>epidural</w:t>
      </w:r>
      <w:r>
        <w:rPr>
          <w:color w:val="231F1F"/>
          <w:spacing w:val="-7"/>
          <w:w w:val="110"/>
        </w:rPr>
        <w:t> </w:t>
      </w:r>
      <w:r>
        <w:rPr>
          <w:color w:val="231F1F"/>
          <w:spacing w:val="-2"/>
          <w:w w:val="110"/>
        </w:rPr>
        <w:t>durante</w:t>
      </w:r>
      <w:r>
        <w:rPr>
          <w:color w:val="231F1F"/>
          <w:spacing w:val="-7"/>
          <w:w w:val="110"/>
        </w:rPr>
        <w:t> </w:t>
      </w:r>
      <w:r>
        <w:rPr>
          <w:color w:val="231F1F"/>
          <w:spacing w:val="-2"/>
          <w:w w:val="110"/>
        </w:rPr>
        <w:t>el</w:t>
      </w:r>
      <w:r>
        <w:rPr>
          <w:color w:val="231F1F"/>
          <w:spacing w:val="-7"/>
          <w:w w:val="110"/>
        </w:rPr>
        <w:t> </w:t>
      </w:r>
      <w:r>
        <w:rPr>
          <w:color w:val="231F1F"/>
          <w:spacing w:val="-2"/>
          <w:w w:val="110"/>
        </w:rPr>
        <w:t>parto,</w:t>
      </w:r>
      <w:r>
        <w:rPr>
          <w:color w:val="231F1F"/>
          <w:spacing w:val="-7"/>
          <w:w w:val="110"/>
        </w:rPr>
        <w:t> </w:t>
      </w:r>
      <w:r>
        <w:rPr>
          <w:color w:val="231F1F"/>
          <w:spacing w:val="-2"/>
          <w:w w:val="110"/>
        </w:rPr>
        <w:t>mientras</w:t>
      </w:r>
      <w:r>
        <w:rPr>
          <w:color w:val="231F1F"/>
          <w:spacing w:val="-7"/>
          <w:w w:val="110"/>
        </w:rPr>
        <w:t> </w:t>
      </w:r>
      <w:r>
        <w:rPr>
          <w:color w:val="231F1F"/>
          <w:spacing w:val="-2"/>
          <w:w w:val="110"/>
        </w:rPr>
        <w:t>que</w:t>
      </w:r>
      <w:r>
        <w:rPr>
          <w:color w:val="231F1F"/>
          <w:spacing w:val="-7"/>
          <w:w w:val="110"/>
        </w:rPr>
        <w:t> </w:t>
      </w:r>
      <w:r>
        <w:rPr>
          <w:color w:val="231F1F"/>
          <w:spacing w:val="-2"/>
          <w:w w:val="110"/>
        </w:rPr>
        <w:t>en</w:t>
      </w:r>
      <w:r>
        <w:rPr>
          <w:color w:val="231F1F"/>
          <w:spacing w:val="-7"/>
          <w:w w:val="110"/>
        </w:rPr>
        <w:t> </w:t>
      </w:r>
      <w:r>
        <w:rPr>
          <w:color w:val="231F1F"/>
          <w:spacing w:val="-2"/>
          <w:w w:val="110"/>
        </w:rPr>
        <w:t>los </w:t>
      </w:r>
      <w:r>
        <w:rPr>
          <w:color w:val="231F1F"/>
          <w:w w:val="110"/>
        </w:rPr>
        <w:t>estudios incluidos en la guía NICE (10) las mujeres no fueron tratadas con ningún tipo de anestesia. A pesar de las diferencias, tanto en la guía NICE</w:t>
      </w:r>
    </w:p>
    <w:p>
      <w:pPr>
        <w:pStyle w:val="BodyText"/>
        <w:spacing w:line="244" w:lineRule="auto"/>
        <w:ind w:left="283" w:right="1364"/>
        <w:jc w:val="both"/>
      </w:pPr>
      <w:r>
        <w:rPr>
          <w:color w:val="231F1F"/>
          <w:w w:val="105"/>
        </w:rPr>
        <w:t>(10)</w:t>
      </w:r>
      <w:r>
        <w:rPr>
          <w:color w:val="231F1F"/>
          <w:spacing w:val="-3"/>
          <w:w w:val="105"/>
        </w:rPr>
        <w:t> </w:t>
      </w:r>
      <w:r>
        <w:rPr>
          <w:color w:val="231F1F"/>
          <w:w w:val="105"/>
        </w:rPr>
        <w:t>como</w:t>
      </w:r>
      <w:r>
        <w:rPr>
          <w:color w:val="231F1F"/>
          <w:spacing w:val="-4"/>
          <w:w w:val="105"/>
        </w:rPr>
        <w:t> </w:t>
      </w:r>
      <w:r>
        <w:rPr>
          <w:color w:val="231F1F"/>
          <w:w w:val="105"/>
        </w:rPr>
        <w:t>en</w:t>
      </w:r>
      <w:r>
        <w:rPr>
          <w:color w:val="231F1F"/>
          <w:spacing w:val="-4"/>
          <w:w w:val="105"/>
        </w:rPr>
        <w:t> </w:t>
      </w:r>
      <w:r>
        <w:rPr>
          <w:color w:val="231F1F"/>
          <w:w w:val="105"/>
        </w:rPr>
        <w:t>la</w:t>
      </w:r>
      <w:r>
        <w:rPr>
          <w:color w:val="231F1F"/>
          <w:spacing w:val="-4"/>
          <w:w w:val="105"/>
        </w:rPr>
        <w:t> </w:t>
      </w:r>
      <w:r>
        <w:rPr>
          <w:color w:val="231F1F"/>
          <w:w w:val="105"/>
        </w:rPr>
        <w:t>revisión</w:t>
      </w:r>
      <w:r>
        <w:rPr>
          <w:color w:val="231F1F"/>
          <w:spacing w:val="-4"/>
          <w:w w:val="105"/>
        </w:rPr>
        <w:t> </w:t>
      </w:r>
      <w:r>
        <w:rPr>
          <w:color w:val="231F1F"/>
          <w:w w:val="105"/>
        </w:rPr>
        <w:t>posterior</w:t>
      </w:r>
      <w:r>
        <w:rPr>
          <w:color w:val="231F1F"/>
          <w:spacing w:val="-5"/>
          <w:w w:val="105"/>
        </w:rPr>
        <w:t> </w:t>
      </w:r>
      <w:r>
        <w:rPr>
          <w:color w:val="231F1F"/>
          <w:w w:val="105"/>
        </w:rPr>
        <w:t>se</w:t>
      </w:r>
      <w:r>
        <w:rPr>
          <w:color w:val="231F1F"/>
          <w:spacing w:val="-5"/>
          <w:w w:val="105"/>
        </w:rPr>
        <w:t> </w:t>
      </w:r>
      <w:r>
        <w:rPr>
          <w:color w:val="231F1F"/>
          <w:w w:val="105"/>
        </w:rPr>
        <w:t>observa</w:t>
      </w:r>
      <w:r>
        <w:rPr>
          <w:color w:val="231F1F"/>
          <w:spacing w:val="-5"/>
          <w:w w:val="105"/>
        </w:rPr>
        <w:t> </w:t>
      </w:r>
      <w:r>
        <w:rPr>
          <w:color w:val="231F1F"/>
          <w:w w:val="105"/>
        </w:rPr>
        <w:t>que</w:t>
      </w:r>
      <w:r>
        <w:rPr>
          <w:color w:val="231F1F"/>
          <w:spacing w:val="-5"/>
          <w:w w:val="105"/>
        </w:rPr>
        <w:t> </w:t>
      </w:r>
      <w:r>
        <w:rPr>
          <w:color w:val="231F1F"/>
          <w:w w:val="105"/>
        </w:rPr>
        <w:t>en</w:t>
      </w:r>
      <w:r>
        <w:rPr>
          <w:color w:val="231F1F"/>
          <w:spacing w:val="-4"/>
          <w:w w:val="105"/>
        </w:rPr>
        <w:t> </w:t>
      </w:r>
      <w:r>
        <w:rPr>
          <w:color w:val="231F1F"/>
          <w:w w:val="105"/>
        </w:rPr>
        <w:t>la</w:t>
      </w:r>
      <w:r>
        <w:rPr>
          <w:color w:val="231F1F"/>
          <w:spacing w:val="-4"/>
          <w:w w:val="105"/>
        </w:rPr>
        <w:t> </w:t>
      </w:r>
      <w:r>
        <w:rPr>
          <w:color w:val="231F1F"/>
          <w:w w:val="105"/>
        </w:rPr>
        <w:t>segunda</w:t>
      </w:r>
      <w:r>
        <w:rPr>
          <w:color w:val="231F1F"/>
          <w:spacing w:val="-5"/>
          <w:w w:val="105"/>
        </w:rPr>
        <w:t> </w:t>
      </w:r>
      <w:r>
        <w:rPr>
          <w:color w:val="231F1F"/>
          <w:w w:val="105"/>
        </w:rPr>
        <w:t>etapa</w:t>
      </w:r>
      <w:r>
        <w:rPr>
          <w:color w:val="231F1F"/>
          <w:spacing w:val="-4"/>
          <w:w w:val="105"/>
        </w:rPr>
        <w:t> </w:t>
      </w:r>
      <w:r>
        <w:rPr>
          <w:color w:val="231F1F"/>
          <w:w w:val="105"/>
        </w:rPr>
        <w:t>del</w:t>
      </w:r>
      <w:r>
        <w:rPr>
          <w:color w:val="231F1F"/>
          <w:spacing w:val="-5"/>
          <w:w w:val="105"/>
        </w:rPr>
        <w:t> </w:t>
      </w:r>
      <w:r>
        <w:rPr>
          <w:color w:val="231F1F"/>
          <w:w w:val="105"/>
        </w:rPr>
        <w:t>parto las mujeres deberían guiarse por su propio deseo de pujo. Además, en el me- taanálisis se observaron tasas significativamente mayores de partos vaginales</w:t>
      </w:r>
      <w:r>
        <w:rPr>
          <w:color w:val="231F1F"/>
          <w:spacing w:val="40"/>
          <w:w w:val="105"/>
        </w:rPr>
        <w:t> </w:t>
      </w:r>
      <w:r>
        <w:rPr>
          <w:color w:val="231F1F"/>
          <w:w w:val="105"/>
        </w:rPr>
        <w:t>y menor número de partos instrumentales en las mujeres sin pujos dirigidos.</w:t>
      </w:r>
    </w:p>
    <w:p>
      <w:pPr>
        <w:pStyle w:val="BodyText"/>
        <w:spacing w:before="163"/>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2082" w:hRule="atLeast"/>
        </w:trPr>
        <w:tc>
          <w:tcPr>
            <w:tcW w:w="7373" w:type="dxa"/>
          </w:tcPr>
          <w:p>
            <w:pPr>
              <w:pStyle w:val="TableParagraph"/>
              <w:spacing w:line="247" w:lineRule="auto" w:before="44"/>
              <w:ind w:right="83"/>
              <w:jc w:val="both"/>
              <w:rPr>
                <w:sz w:val="22"/>
              </w:rPr>
            </w:pPr>
            <w:r>
              <w:rPr>
                <w:color w:val="231F1F"/>
                <w:w w:val="110"/>
                <w:sz w:val="22"/>
              </w:rPr>
              <w:t>La</w:t>
            </w:r>
            <w:r>
              <w:rPr>
                <w:color w:val="231F1F"/>
                <w:spacing w:val="-10"/>
                <w:w w:val="110"/>
                <w:sz w:val="22"/>
              </w:rPr>
              <w:t> </w:t>
            </w:r>
            <w:r>
              <w:rPr>
                <w:color w:val="231F1F"/>
                <w:w w:val="110"/>
                <w:sz w:val="22"/>
              </w:rPr>
              <w:t>comparación</w:t>
            </w:r>
            <w:r>
              <w:rPr>
                <w:color w:val="231F1F"/>
                <w:spacing w:val="-10"/>
                <w:w w:val="110"/>
                <w:sz w:val="22"/>
              </w:rPr>
              <w:t> </w:t>
            </w:r>
            <w:r>
              <w:rPr>
                <w:color w:val="231F1F"/>
                <w:w w:val="110"/>
                <w:sz w:val="22"/>
              </w:rPr>
              <w:t>entre</w:t>
            </w:r>
            <w:r>
              <w:rPr>
                <w:color w:val="231F1F"/>
                <w:spacing w:val="-10"/>
                <w:w w:val="110"/>
                <w:sz w:val="22"/>
              </w:rPr>
              <w:t> </w:t>
            </w:r>
            <w:r>
              <w:rPr>
                <w:color w:val="231F1F"/>
                <w:w w:val="110"/>
                <w:sz w:val="22"/>
              </w:rPr>
              <w:t>un</w:t>
            </w:r>
            <w:r>
              <w:rPr>
                <w:color w:val="231F1F"/>
                <w:spacing w:val="-10"/>
                <w:w w:val="110"/>
                <w:sz w:val="22"/>
              </w:rPr>
              <w:t> </w:t>
            </w:r>
            <w:r>
              <w:rPr>
                <w:color w:val="231F1F"/>
                <w:w w:val="110"/>
                <w:sz w:val="22"/>
              </w:rPr>
              <w:t>grupo</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mujeres</w:t>
            </w:r>
            <w:r>
              <w:rPr>
                <w:color w:val="231F1F"/>
                <w:spacing w:val="-10"/>
                <w:w w:val="110"/>
                <w:sz w:val="22"/>
              </w:rPr>
              <w:t> </w:t>
            </w:r>
            <w:r>
              <w:rPr>
                <w:color w:val="231F1F"/>
                <w:w w:val="110"/>
                <w:sz w:val="22"/>
              </w:rPr>
              <w:t>a</w:t>
            </w:r>
            <w:r>
              <w:rPr>
                <w:color w:val="231F1F"/>
                <w:spacing w:val="-10"/>
                <w:w w:val="110"/>
                <w:sz w:val="22"/>
              </w:rPr>
              <w:t> </w:t>
            </w:r>
            <w:r>
              <w:rPr>
                <w:color w:val="231F1F"/>
                <w:w w:val="110"/>
                <w:sz w:val="22"/>
              </w:rPr>
              <w:t>las</w:t>
            </w:r>
            <w:r>
              <w:rPr>
                <w:color w:val="231F1F"/>
                <w:spacing w:val="-11"/>
                <w:w w:val="110"/>
                <w:sz w:val="22"/>
              </w:rPr>
              <w:t> </w:t>
            </w:r>
            <w:r>
              <w:rPr>
                <w:color w:val="231F1F"/>
                <w:w w:val="110"/>
                <w:sz w:val="22"/>
              </w:rPr>
              <w:t>que</w:t>
            </w:r>
            <w:r>
              <w:rPr>
                <w:color w:val="231F1F"/>
                <w:spacing w:val="-11"/>
                <w:w w:val="110"/>
                <w:sz w:val="22"/>
              </w:rPr>
              <w:t> </w:t>
            </w:r>
            <w:r>
              <w:rPr>
                <w:color w:val="231F1F"/>
                <w:w w:val="110"/>
                <w:sz w:val="22"/>
              </w:rPr>
              <w:t>se</w:t>
            </w:r>
            <w:r>
              <w:rPr>
                <w:color w:val="231F1F"/>
                <w:spacing w:val="-11"/>
                <w:w w:val="110"/>
                <w:sz w:val="22"/>
              </w:rPr>
              <w:t> </w:t>
            </w:r>
            <w:r>
              <w:rPr>
                <w:color w:val="231F1F"/>
                <w:w w:val="110"/>
                <w:sz w:val="22"/>
              </w:rPr>
              <w:t>les</w:t>
            </w:r>
            <w:r>
              <w:rPr>
                <w:color w:val="231F1F"/>
                <w:spacing w:val="-11"/>
                <w:w w:val="110"/>
                <w:sz w:val="22"/>
              </w:rPr>
              <w:t> </w:t>
            </w:r>
            <w:r>
              <w:rPr>
                <w:color w:val="231F1F"/>
                <w:w w:val="110"/>
                <w:sz w:val="22"/>
              </w:rPr>
              <w:t>dirigió</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pujo</w:t>
            </w:r>
            <w:r>
              <w:rPr>
                <w:color w:val="231F1F"/>
                <w:spacing w:val="-10"/>
                <w:w w:val="110"/>
                <w:sz w:val="22"/>
              </w:rPr>
              <w:t> </w:t>
            </w:r>
            <w:r>
              <w:rPr>
                <w:color w:val="231F1F"/>
                <w:w w:val="110"/>
                <w:sz w:val="22"/>
              </w:rPr>
              <w:t>y otro</w:t>
            </w:r>
            <w:r>
              <w:rPr>
                <w:color w:val="231F1F"/>
                <w:spacing w:val="-13"/>
                <w:w w:val="110"/>
                <w:sz w:val="22"/>
              </w:rPr>
              <w:t> </w:t>
            </w:r>
            <w:r>
              <w:rPr>
                <w:color w:val="231F1F"/>
                <w:w w:val="110"/>
                <w:sz w:val="22"/>
              </w:rPr>
              <w:t>grupo</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pujos</w:t>
            </w:r>
            <w:r>
              <w:rPr>
                <w:color w:val="231F1F"/>
                <w:spacing w:val="-13"/>
                <w:w w:val="110"/>
                <w:sz w:val="22"/>
              </w:rPr>
              <w:t> </w:t>
            </w:r>
            <w:r>
              <w:rPr>
                <w:color w:val="231F1F"/>
                <w:w w:val="110"/>
                <w:sz w:val="22"/>
              </w:rPr>
              <w:t>espontáneos</w:t>
            </w:r>
            <w:r>
              <w:rPr>
                <w:color w:val="231F1F"/>
                <w:spacing w:val="-12"/>
                <w:w w:val="110"/>
                <w:sz w:val="22"/>
              </w:rPr>
              <w:t> </w:t>
            </w:r>
            <w:r>
              <w:rPr>
                <w:color w:val="231F1F"/>
                <w:w w:val="110"/>
                <w:sz w:val="22"/>
              </w:rPr>
              <w:t>no</w:t>
            </w:r>
            <w:r>
              <w:rPr>
                <w:color w:val="231F1F"/>
                <w:spacing w:val="-13"/>
                <w:w w:val="110"/>
                <w:sz w:val="22"/>
              </w:rPr>
              <w:t> </w:t>
            </w:r>
            <w:r>
              <w:rPr>
                <w:color w:val="231F1F"/>
                <w:w w:val="110"/>
                <w:sz w:val="22"/>
              </w:rPr>
              <w:t>mostró</w:t>
            </w:r>
            <w:r>
              <w:rPr>
                <w:color w:val="231F1F"/>
                <w:spacing w:val="-13"/>
                <w:w w:val="110"/>
                <w:sz w:val="22"/>
              </w:rPr>
              <w:t> </w:t>
            </w:r>
            <w:r>
              <w:rPr>
                <w:color w:val="231F1F"/>
                <w:w w:val="110"/>
                <w:sz w:val="22"/>
              </w:rPr>
              <w:t>diferencias</w:t>
            </w:r>
            <w:r>
              <w:rPr>
                <w:color w:val="231F1F"/>
                <w:spacing w:val="-14"/>
                <w:w w:val="110"/>
                <w:sz w:val="22"/>
              </w:rPr>
              <w:t> </w:t>
            </w:r>
            <w:r>
              <w:rPr>
                <w:color w:val="231F1F"/>
                <w:w w:val="110"/>
                <w:sz w:val="22"/>
              </w:rPr>
              <w:t>a</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tres</w:t>
            </w:r>
            <w:r>
              <w:rPr>
                <w:color w:val="231F1F"/>
                <w:spacing w:val="-13"/>
                <w:w w:val="110"/>
                <w:sz w:val="22"/>
              </w:rPr>
              <w:t> </w:t>
            </w:r>
            <w:r>
              <w:rPr>
                <w:color w:val="231F1F"/>
                <w:w w:val="110"/>
                <w:sz w:val="22"/>
              </w:rPr>
              <w:t>meses</w:t>
            </w:r>
            <w:r>
              <w:rPr>
                <w:color w:val="231F1F"/>
                <w:spacing w:val="-13"/>
                <w:w w:val="110"/>
                <w:sz w:val="22"/>
              </w:rPr>
              <w:t> </w:t>
            </w:r>
            <w:r>
              <w:rPr>
                <w:color w:val="231F1F"/>
                <w:w w:val="110"/>
                <w:sz w:val="22"/>
              </w:rPr>
              <w:t>en la</w:t>
            </w:r>
            <w:r>
              <w:rPr>
                <w:color w:val="231F1F"/>
                <w:spacing w:val="-7"/>
                <w:w w:val="110"/>
                <w:sz w:val="22"/>
              </w:rPr>
              <w:t> </w:t>
            </w:r>
            <w:r>
              <w:rPr>
                <w:color w:val="231F1F"/>
                <w:w w:val="110"/>
                <w:sz w:val="22"/>
              </w:rPr>
              <w:t>incidencia</w:t>
            </w:r>
            <w:r>
              <w:rPr>
                <w:color w:val="231F1F"/>
                <w:spacing w:val="-7"/>
                <w:w w:val="110"/>
                <w:sz w:val="22"/>
              </w:rPr>
              <w:t> </w:t>
            </w:r>
            <w:r>
              <w:rPr>
                <w:color w:val="231F1F"/>
                <w:w w:val="110"/>
                <w:sz w:val="22"/>
              </w:rPr>
              <w:t>de</w:t>
            </w:r>
            <w:r>
              <w:rPr>
                <w:color w:val="231F1F"/>
                <w:spacing w:val="-7"/>
                <w:w w:val="110"/>
                <w:sz w:val="22"/>
              </w:rPr>
              <w:t> </w:t>
            </w:r>
            <w:r>
              <w:rPr>
                <w:color w:val="231F1F"/>
                <w:w w:val="110"/>
                <w:sz w:val="22"/>
              </w:rPr>
              <w:t>partos</w:t>
            </w:r>
            <w:r>
              <w:rPr>
                <w:color w:val="231F1F"/>
                <w:spacing w:val="-8"/>
                <w:w w:val="110"/>
                <w:sz w:val="22"/>
              </w:rPr>
              <w:t> </w:t>
            </w:r>
            <w:r>
              <w:rPr>
                <w:color w:val="231F1F"/>
                <w:w w:val="110"/>
                <w:sz w:val="22"/>
              </w:rPr>
              <w:t>con</w:t>
            </w:r>
            <w:r>
              <w:rPr>
                <w:color w:val="231F1F"/>
                <w:spacing w:val="-7"/>
                <w:w w:val="110"/>
                <w:sz w:val="22"/>
              </w:rPr>
              <w:t> </w:t>
            </w:r>
            <w:r>
              <w:rPr>
                <w:color w:val="231F1F"/>
                <w:w w:val="110"/>
                <w:sz w:val="22"/>
              </w:rPr>
              <w:t>una</w:t>
            </w:r>
            <w:r>
              <w:rPr>
                <w:color w:val="231F1F"/>
                <w:spacing w:val="-7"/>
                <w:w w:val="110"/>
                <w:sz w:val="22"/>
              </w:rPr>
              <w:t> </w:t>
            </w:r>
            <w:r>
              <w:rPr>
                <w:color w:val="231F1F"/>
                <w:w w:val="110"/>
                <w:sz w:val="22"/>
              </w:rPr>
              <w:t>duración</w:t>
            </w:r>
            <w:r>
              <w:rPr>
                <w:color w:val="231F1F"/>
                <w:spacing w:val="-8"/>
                <w:w w:val="110"/>
                <w:sz w:val="22"/>
              </w:rPr>
              <w:t> </w:t>
            </w:r>
            <w:r>
              <w:rPr>
                <w:color w:val="231F1F"/>
                <w:w w:val="110"/>
                <w:sz w:val="22"/>
              </w:rPr>
              <w:t>de</w:t>
            </w:r>
            <w:r>
              <w:rPr>
                <w:color w:val="231F1F"/>
                <w:spacing w:val="-7"/>
                <w:w w:val="110"/>
                <w:sz w:val="22"/>
              </w:rPr>
              <w:t> </w:t>
            </w:r>
            <w:r>
              <w:rPr>
                <w:color w:val="231F1F"/>
                <w:w w:val="110"/>
                <w:sz w:val="22"/>
              </w:rPr>
              <w:t>la</w:t>
            </w:r>
            <w:r>
              <w:rPr>
                <w:color w:val="231F1F"/>
                <w:spacing w:val="-7"/>
                <w:w w:val="110"/>
                <w:sz w:val="22"/>
              </w:rPr>
              <w:t> </w:t>
            </w:r>
            <w:r>
              <w:rPr>
                <w:color w:val="231F1F"/>
                <w:w w:val="110"/>
                <w:sz w:val="22"/>
              </w:rPr>
              <w:t>segunda</w:t>
            </w:r>
            <w:r>
              <w:rPr>
                <w:color w:val="231F1F"/>
                <w:spacing w:val="-8"/>
                <w:w w:val="110"/>
                <w:sz w:val="22"/>
              </w:rPr>
              <w:t> </w:t>
            </w:r>
            <w:r>
              <w:rPr>
                <w:color w:val="231F1F"/>
                <w:w w:val="110"/>
                <w:sz w:val="22"/>
              </w:rPr>
              <w:t>etapa</w:t>
            </w:r>
            <w:r>
              <w:rPr>
                <w:color w:val="231F1F"/>
                <w:spacing w:val="-7"/>
                <w:w w:val="110"/>
                <w:sz w:val="22"/>
              </w:rPr>
              <w:t> </w:t>
            </w:r>
            <w:r>
              <w:rPr>
                <w:color w:val="231F1F"/>
                <w:w w:val="110"/>
                <w:sz w:val="22"/>
              </w:rPr>
              <w:t>mayor</w:t>
            </w:r>
            <w:r>
              <w:rPr>
                <w:color w:val="231F1F"/>
                <w:spacing w:val="-8"/>
                <w:w w:val="110"/>
                <w:sz w:val="22"/>
              </w:rPr>
              <w:t> </w:t>
            </w:r>
            <w:r>
              <w:rPr>
                <w:color w:val="231F1F"/>
                <w:w w:val="110"/>
                <w:sz w:val="22"/>
              </w:rPr>
              <w:t>de</w:t>
            </w:r>
            <w:r>
              <w:rPr>
                <w:color w:val="231F1F"/>
                <w:spacing w:val="-7"/>
                <w:w w:val="110"/>
                <w:sz w:val="22"/>
              </w:rPr>
              <w:t> </w:t>
            </w:r>
            <w:r>
              <w:rPr>
                <w:color w:val="231F1F"/>
                <w:w w:val="110"/>
                <w:sz w:val="22"/>
              </w:rPr>
              <w:t>dos horas,</w:t>
            </w:r>
            <w:r>
              <w:rPr>
                <w:color w:val="231F1F"/>
                <w:spacing w:val="-1"/>
                <w:w w:val="110"/>
                <w:sz w:val="22"/>
              </w:rPr>
              <w:t> </w:t>
            </w:r>
            <w:r>
              <w:rPr>
                <w:color w:val="231F1F"/>
                <w:w w:val="110"/>
                <w:sz w:val="22"/>
              </w:rPr>
              <w:t>tasa de episiotomías,</w:t>
            </w:r>
            <w:r>
              <w:rPr>
                <w:color w:val="231F1F"/>
                <w:spacing w:val="-1"/>
                <w:w w:val="110"/>
                <w:sz w:val="22"/>
              </w:rPr>
              <w:t> </w:t>
            </w:r>
            <w:r>
              <w:rPr>
                <w:color w:val="231F1F"/>
                <w:w w:val="110"/>
                <w:sz w:val="22"/>
              </w:rPr>
              <w:t>desgarros</w:t>
            </w:r>
            <w:r>
              <w:rPr>
                <w:color w:val="231F1F"/>
                <w:spacing w:val="-1"/>
                <w:w w:val="110"/>
                <w:sz w:val="22"/>
              </w:rPr>
              <w:t> </w:t>
            </w:r>
            <w:r>
              <w:rPr>
                <w:color w:val="231F1F"/>
                <w:w w:val="110"/>
                <w:sz w:val="22"/>
              </w:rPr>
              <w:t>del</w:t>
            </w:r>
            <w:r>
              <w:rPr>
                <w:color w:val="231F1F"/>
                <w:spacing w:val="-1"/>
                <w:w w:val="110"/>
                <w:sz w:val="22"/>
              </w:rPr>
              <w:t> </w:t>
            </w:r>
            <w:r>
              <w:rPr>
                <w:color w:val="231F1F"/>
                <w:w w:val="110"/>
                <w:sz w:val="22"/>
              </w:rPr>
              <w:t>esfínter</w:t>
            </w:r>
            <w:r>
              <w:rPr>
                <w:color w:val="231F1F"/>
                <w:spacing w:val="-1"/>
                <w:w w:val="110"/>
                <w:sz w:val="22"/>
              </w:rPr>
              <w:t> </w:t>
            </w:r>
            <w:r>
              <w:rPr>
                <w:color w:val="231F1F"/>
                <w:w w:val="110"/>
                <w:sz w:val="22"/>
              </w:rPr>
              <w:t>anal,</w:t>
            </w:r>
            <w:r>
              <w:rPr>
                <w:color w:val="231F1F"/>
                <w:spacing w:val="-1"/>
                <w:w w:val="110"/>
                <w:sz w:val="22"/>
              </w:rPr>
              <w:t> </w:t>
            </w:r>
            <w:r>
              <w:rPr>
                <w:color w:val="231F1F"/>
                <w:w w:val="110"/>
                <w:sz w:val="22"/>
              </w:rPr>
              <w:t>analgesia epidural durante la segunda etapa, fórceps ni en el uso de oxitocina en la segunda etapa.</w:t>
            </w:r>
            <w:r>
              <w:rPr>
                <w:color w:val="231F1F"/>
                <w:w w:val="110"/>
                <w:sz w:val="22"/>
              </w:rPr>
              <w:t> Aunque</w:t>
            </w:r>
            <w:r>
              <w:rPr>
                <w:color w:val="231F1F"/>
                <w:w w:val="110"/>
                <w:sz w:val="22"/>
              </w:rPr>
              <w:t> en</w:t>
            </w:r>
            <w:r>
              <w:rPr>
                <w:color w:val="231F1F"/>
                <w:w w:val="110"/>
                <w:sz w:val="22"/>
              </w:rPr>
              <w:t> el</w:t>
            </w:r>
            <w:r>
              <w:rPr>
                <w:color w:val="231F1F"/>
                <w:w w:val="110"/>
                <w:sz w:val="22"/>
              </w:rPr>
              <w:t> grupo</w:t>
            </w:r>
            <w:r>
              <w:rPr>
                <w:color w:val="231F1F"/>
                <w:w w:val="110"/>
                <w:sz w:val="22"/>
              </w:rPr>
              <w:t> de</w:t>
            </w:r>
            <w:r>
              <w:rPr>
                <w:color w:val="231F1F"/>
                <w:w w:val="110"/>
                <w:sz w:val="22"/>
              </w:rPr>
              <w:t> mujeres</w:t>
            </w:r>
            <w:r>
              <w:rPr>
                <w:color w:val="231F1F"/>
                <w:w w:val="110"/>
                <w:sz w:val="22"/>
              </w:rPr>
              <w:t> con</w:t>
            </w:r>
            <w:r>
              <w:rPr>
                <w:color w:val="231F1F"/>
                <w:w w:val="110"/>
                <w:sz w:val="22"/>
              </w:rPr>
              <w:t> pujo</w:t>
            </w:r>
            <w:r>
              <w:rPr>
                <w:color w:val="231F1F"/>
                <w:w w:val="110"/>
                <w:sz w:val="22"/>
              </w:rPr>
              <w:t> dirigido</w:t>
            </w:r>
            <w:r>
              <w:rPr>
                <w:color w:val="231F1F"/>
                <w:w w:val="110"/>
                <w:sz w:val="22"/>
              </w:rPr>
              <w:t> se</w:t>
            </w:r>
            <w:r>
              <w:rPr>
                <w:color w:val="231F1F"/>
                <w:w w:val="110"/>
                <w:sz w:val="22"/>
              </w:rPr>
              <w:t> observó</w:t>
            </w:r>
            <w:r>
              <w:rPr>
                <w:color w:val="231F1F"/>
                <w:w w:val="110"/>
                <w:sz w:val="22"/>
              </w:rPr>
              <w:t> una disminución en la capacidad vesical y en la urgencia urinaria (135).</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spacing w:before="120"/>
              <w:ind w:left="0"/>
              <w:rPr>
                <w:rFonts w:ascii="Arial MT"/>
                <w:sz w:val="22"/>
              </w:rPr>
            </w:pPr>
          </w:p>
          <w:p>
            <w:pPr>
              <w:pStyle w:val="TableParagraph"/>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59" w:lineRule="auto" w:before="63"/>
              <w:ind w:right="87"/>
              <w:jc w:val="both"/>
              <w:rPr>
                <w:sz w:val="22"/>
              </w:rPr>
            </w:pPr>
            <w:r>
              <w:rPr>
                <w:color w:val="231F1F"/>
                <w:sz w:val="22"/>
              </w:rPr>
              <w:t>En </w:t>
            </w:r>
            <w:r>
              <w:rPr>
                <w:i/>
                <w:color w:val="231F1F"/>
                <w:sz w:val="22"/>
              </w:rPr>
              <w:t>mujeres con anestesia epidural </w:t>
            </w:r>
            <w:r>
              <w:rPr>
                <w:color w:val="231F1F"/>
                <w:sz w:val="22"/>
              </w:rPr>
              <w:t>se ha observado que el parto con pujos no dirigidos</w:t>
            </w:r>
            <w:r>
              <w:rPr>
                <w:color w:val="231F1F"/>
                <w:spacing w:val="40"/>
                <w:sz w:val="22"/>
              </w:rPr>
              <w:t> </w:t>
            </w:r>
            <w:r>
              <w:rPr>
                <w:color w:val="231F1F"/>
                <w:sz w:val="22"/>
              </w:rPr>
              <w:t>incrementan</w:t>
            </w:r>
            <w:r>
              <w:rPr>
                <w:color w:val="231F1F"/>
                <w:spacing w:val="40"/>
                <w:sz w:val="22"/>
              </w:rPr>
              <w:t> </w:t>
            </w:r>
            <w:r>
              <w:rPr>
                <w:color w:val="231F1F"/>
                <w:sz w:val="22"/>
              </w:rPr>
              <w:t>los</w:t>
            </w:r>
            <w:r>
              <w:rPr>
                <w:color w:val="231F1F"/>
                <w:spacing w:val="40"/>
                <w:sz w:val="22"/>
              </w:rPr>
              <w:t> </w:t>
            </w:r>
            <w:r>
              <w:rPr>
                <w:color w:val="231F1F"/>
                <w:sz w:val="22"/>
              </w:rPr>
              <w:t>partos</w:t>
            </w:r>
            <w:r>
              <w:rPr>
                <w:color w:val="231F1F"/>
                <w:spacing w:val="40"/>
                <w:sz w:val="22"/>
              </w:rPr>
              <w:t> </w:t>
            </w:r>
            <w:r>
              <w:rPr>
                <w:color w:val="231F1F"/>
                <w:sz w:val="22"/>
              </w:rPr>
              <w:t>vaginales,</w:t>
            </w:r>
            <w:r>
              <w:rPr>
                <w:color w:val="231F1F"/>
                <w:spacing w:val="40"/>
                <w:sz w:val="22"/>
              </w:rPr>
              <w:t> </w:t>
            </w:r>
            <w:r>
              <w:rPr>
                <w:color w:val="231F1F"/>
                <w:sz w:val="22"/>
              </w:rPr>
              <w:t>reducen</w:t>
            </w:r>
            <w:r>
              <w:rPr>
                <w:color w:val="231F1F"/>
                <w:spacing w:val="40"/>
                <w:sz w:val="22"/>
              </w:rPr>
              <w:t> </w:t>
            </w:r>
            <w:r>
              <w:rPr>
                <w:color w:val="231F1F"/>
                <w:sz w:val="22"/>
              </w:rPr>
              <w:t>los</w:t>
            </w:r>
            <w:r>
              <w:rPr>
                <w:color w:val="231F1F"/>
                <w:spacing w:val="40"/>
                <w:sz w:val="22"/>
              </w:rPr>
              <w:t> </w:t>
            </w:r>
            <w:r>
              <w:rPr>
                <w:color w:val="231F1F"/>
                <w:sz w:val="22"/>
              </w:rPr>
              <w:t>partos</w:t>
            </w:r>
            <w:r>
              <w:rPr>
                <w:color w:val="231F1F"/>
                <w:spacing w:val="40"/>
                <w:sz w:val="22"/>
              </w:rPr>
              <w:t> </w:t>
            </w:r>
            <w:r>
              <w:rPr>
                <w:color w:val="231F1F"/>
                <w:sz w:val="22"/>
              </w:rPr>
              <w:t>instrumentales y</w:t>
            </w:r>
            <w:r>
              <w:rPr>
                <w:color w:val="231F1F"/>
                <w:spacing w:val="40"/>
                <w:sz w:val="22"/>
              </w:rPr>
              <w:t> </w:t>
            </w:r>
            <w:r>
              <w:rPr>
                <w:color w:val="231F1F"/>
                <w:sz w:val="22"/>
              </w:rPr>
              <w:t>el</w:t>
            </w:r>
            <w:r>
              <w:rPr>
                <w:color w:val="231F1F"/>
                <w:spacing w:val="40"/>
                <w:sz w:val="22"/>
              </w:rPr>
              <w:t> </w:t>
            </w:r>
            <w:r>
              <w:rPr>
                <w:color w:val="231F1F"/>
                <w:sz w:val="22"/>
              </w:rPr>
              <w:t>tiempo</w:t>
            </w:r>
            <w:r>
              <w:rPr>
                <w:color w:val="231F1F"/>
                <w:spacing w:val="40"/>
                <w:sz w:val="22"/>
              </w:rPr>
              <w:t> </w:t>
            </w:r>
            <w:r>
              <w:rPr>
                <w:color w:val="231F1F"/>
                <w:sz w:val="22"/>
              </w:rPr>
              <w:t>de</w:t>
            </w:r>
            <w:r>
              <w:rPr>
                <w:color w:val="231F1F"/>
                <w:spacing w:val="40"/>
                <w:sz w:val="22"/>
              </w:rPr>
              <w:t> </w:t>
            </w:r>
            <w:r>
              <w:rPr>
                <w:color w:val="231F1F"/>
                <w:sz w:val="22"/>
              </w:rPr>
              <w:t>pujo</w:t>
            </w:r>
            <w:r>
              <w:rPr>
                <w:color w:val="231F1F"/>
                <w:spacing w:val="40"/>
                <w:sz w:val="22"/>
              </w:rPr>
              <w:t> </w:t>
            </w:r>
            <w:r>
              <w:rPr>
                <w:color w:val="231F1F"/>
                <w:sz w:val="22"/>
              </w:rPr>
              <w:t>(139).</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64" w:lineRule="auto" w:before="63"/>
              <w:ind w:right="155"/>
              <w:rPr>
                <w:sz w:val="22"/>
              </w:rPr>
            </w:pPr>
            <w:r>
              <w:rPr>
                <w:color w:val="231F1F"/>
                <w:sz w:val="22"/>
              </w:rPr>
              <w:t>Se</w:t>
            </w:r>
            <w:r>
              <w:rPr>
                <w:color w:val="231F1F"/>
                <w:spacing w:val="29"/>
                <w:sz w:val="22"/>
              </w:rPr>
              <w:t> </w:t>
            </w:r>
            <w:r>
              <w:rPr>
                <w:color w:val="231F1F"/>
                <w:sz w:val="22"/>
              </w:rPr>
              <w:t>recomienda</w:t>
            </w:r>
            <w:r>
              <w:rPr>
                <w:color w:val="231F1F"/>
                <w:spacing w:val="31"/>
                <w:sz w:val="22"/>
              </w:rPr>
              <w:t> </w:t>
            </w:r>
            <w:r>
              <w:rPr>
                <w:color w:val="231F1F"/>
                <w:sz w:val="22"/>
              </w:rPr>
              <w:t>el</w:t>
            </w:r>
            <w:r>
              <w:rPr>
                <w:color w:val="231F1F"/>
                <w:spacing w:val="29"/>
                <w:sz w:val="22"/>
              </w:rPr>
              <w:t> </w:t>
            </w:r>
            <w:r>
              <w:rPr>
                <w:color w:val="231F1F"/>
                <w:sz w:val="22"/>
              </w:rPr>
              <w:t>pujo</w:t>
            </w:r>
            <w:r>
              <w:rPr>
                <w:color w:val="231F1F"/>
                <w:spacing w:val="29"/>
                <w:sz w:val="22"/>
              </w:rPr>
              <w:t> </w:t>
            </w:r>
            <w:r>
              <w:rPr>
                <w:color w:val="231F1F"/>
                <w:sz w:val="22"/>
              </w:rPr>
              <w:t>espontáneo.</w:t>
            </w:r>
            <w:r>
              <w:rPr>
                <w:color w:val="231F1F"/>
                <w:spacing w:val="29"/>
                <w:sz w:val="22"/>
              </w:rPr>
              <w:t> </w:t>
            </w:r>
            <w:r>
              <w:rPr>
                <w:color w:val="231F1F"/>
                <w:sz w:val="22"/>
              </w:rPr>
              <w:t>En</w:t>
            </w:r>
            <w:r>
              <w:rPr>
                <w:color w:val="231F1F"/>
                <w:spacing w:val="29"/>
                <w:sz w:val="22"/>
              </w:rPr>
              <w:t> </w:t>
            </w:r>
            <w:r>
              <w:rPr>
                <w:color w:val="231F1F"/>
                <w:sz w:val="22"/>
              </w:rPr>
              <w:t>ausencia</w:t>
            </w:r>
            <w:r>
              <w:rPr>
                <w:color w:val="231F1F"/>
                <w:spacing w:val="29"/>
                <w:sz w:val="22"/>
              </w:rPr>
              <w:t> </w:t>
            </w:r>
            <w:r>
              <w:rPr>
                <w:color w:val="231F1F"/>
                <w:sz w:val="22"/>
              </w:rPr>
              <w:t>de</w:t>
            </w:r>
            <w:r>
              <w:rPr>
                <w:color w:val="231F1F"/>
                <w:spacing w:val="29"/>
                <w:sz w:val="22"/>
              </w:rPr>
              <w:t> </w:t>
            </w:r>
            <w:r>
              <w:rPr>
                <w:color w:val="231F1F"/>
                <w:sz w:val="22"/>
              </w:rPr>
              <w:t>sensación</w:t>
            </w:r>
            <w:r>
              <w:rPr>
                <w:color w:val="231F1F"/>
                <w:spacing w:val="29"/>
                <w:sz w:val="22"/>
              </w:rPr>
              <w:t> </w:t>
            </w:r>
            <w:r>
              <w:rPr>
                <w:color w:val="231F1F"/>
                <w:sz w:val="22"/>
              </w:rPr>
              <w:t>de</w:t>
            </w:r>
            <w:r>
              <w:rPr>
                <w:color w:val="231F1F"/>
                <w:spacing w:val="29"/>
                <w:sz w:val="22"/>
              </w:rPr>
              <w:t> </w:t>
            </w:r>
            <w:r>
              <w:rPr>
                <w:color w:val="231F1F"/>
                <w:sz w:val="22"/>
              </w:rPr>
              <w:t>pujo,</w:t>
            </w:r>
            <w:r>
              <w:rPr>
                <w:color w:val="231F1F"/>
                <w:spacing w:val="29"/>
                <w:sz w:val="22"/>
              </w:rPr>
              <w:t> </w:t>
            </w:r>
            <w:r>
              <w:rPr>
                <w:color w:val="231F1F"/>
                <w:sz w:val="22"/>
              </w:rPr>
              <w:t>se</w:t>
            </w:r>
            <w:r>
              <w:rPr>
                <w:color w:val="231F1F"/>
                <w:spacing w:val="29"/>
                <w:sz w:val="22"/>
              </w:rPr>
              <w:t> </w:t>
            </w:r>
            <w:r>
              <w:rPr>
                <w:color w:val="231F1F"/>
                <w:sz w:val="22"/>
              </w:rPr>
              <w:t>recomien- da</w:t>
            </w:r>
            <w:r>
              <w:rPr>
                <w:color w:val="231F1F"/>
                <w:spacing w:val="12"/>
                <w:sz w:val="22"/>
              </w:rPr>
              <w:t> </w:t>
            </w:r>
            <w:r>
              <w:rPr>
                <w:color w:val="231F1F"/>
                <w:sz w:val="22"/>
              </w:rPr>
              <w:t>no</w:t>
            </w:r>
            <w:r>
              <w:rPr>
                <w:color w:val="231F1F"/>
                <w:spacing w:val="13"/>
                <w:sz w:val="22"/>
              </w:rPr>
              <w:t> </w:t>
            </w:r>
            <w:r>
              <w:rPr>
                <w:color w:val="231F1F"/>
                <w:sz w:val="22"/>
              </w:rPr>
              <w:t>dirigirlo</w:t>
            </w:r>
            <w:r>
              <w:rPr>
                <w:color w:val="231F1F"/>
                <w:spacing w:val="14"/>
                <w:sz w:val="22"/>
              </w:rPr>
              <w:t> </w:t>
            </w:r>
            <w:r>
              <w:rPr>
                <w:color w:val="231F1F"/>
                <w:sz w:val="22"/>
              </w:rPr>
              <w:t>hasta</w:t>
            </w:r>
            <w:r>
              <w:rPr>
                <w:color w:val="231F1F"/>
                <w:spacing w:val="12"/>
                <w:sz w:val="22"/>
              </w:rPr>
              <w:t> </w:t>
            </w:r>
            <w:r>
              <w:rPr>
                <w:color w:val="231F1F"/>
                <w:sz w:val="22"/>
              </w:rPr>
              <w:t>que</w:t>
            </w:r>
            <w:r>
              <w:rPr>
                <w:color w:val="231F1F"/>
                <w:spacing w:val="14"/>
                <w:sz w:val="22"/>
              </w:rPr>
              <w:t> </w:t>
            </w:r>
            <w:r>
              <w:rPr>
                <w:color w:val="231F1F"/>
                <w:sz w:val="22"/>
              </w:rPr>
              <w:t>haya</w:t>
            </w:r>
            <w:r>
              <w:rPr>
                <w:color w:val="231F1F"/>
                <w:spacing w:val="13"/>
                <w:sz w:val="22"/>
              </w:rPr>
              <w:t> </w:t>
            </w:r>
            <w:r>
              <w:rPr>
                <w:color w:val="231F1F"/>
                <w:sz w:val="22"/>
              </w:rPr>
              <w:t>concluido</w:t>
            </w:r>
            <w:r>
              <w:rPr>
                <w:color w:val="231F1F"/>
                <w:spacing w:val="13"/>
                <w:sz w:val="22"/>
              </w:rPr>
              <w:t> </w:t>
            </w:r>
            <w:r>
              <w:rPr>
                <w:color w:val="231F1F"/>
                <w:sz w:val="22"/>
              </w:rPr>
              <w:t>la</w:t>
            </w:r>
            <w:r>
              <w:rPr>
                <w:color w:val="231F1F"/>
                <w:spacing w:val="13"/>
                <w:sz w:val="22"/>
              </w:rPr>
              <w:t> </w:t>
            </w:r>
            <w:r>
              <w:rPr>
                <w:color w:val="231F1F"/>
                <w:sz w:val="22"/>
              </w:rPr>
              <w:t>fase</w:t>
            </w:r>
            <w:r>
              <w:rPr>
                <w:color w:val="231F1F"/>
                <w:spacing w:val="13"/>
                <w:sz w:val="22"/>
              </w:rPr>
              <w:t> </w:t>
            </w:r>
            <w:r>
              <w:rPr>
                <w:color w:val="231F1F"/>
                <w:sz w:val="22"/>
              </w:rPr>
              <w:t>pasiva</w:t>
            </w:r>
            <w:r>
              <w:rPr>
                <w:color w:val="231F1F"/>
                <w:spacing w:val="13"/>
                <w:sz w:val="22"/>
              </w:rPr>
              <w:t> </w:t>
            </w:r>
            <w:r>
              <w:rPr>
                <w:color w:val="231F1F"/>
                <w:sz w:val="22"/>
              </w:rPr>
              <w:t>de</w:t>
            </w:r>
            <w:r>
              <w:rPr>
                <w:color w:val="231F1F"/>
                <w:spacing w:val="13"/>
                <w:sz w:val="22"/>
              </w:rPr>
              <w:t> </w:t>
            </w:r>
            <w:r>
              <w:rPr>
                <w:color w:val="231F1F"/>
                <w:sz w:val="22"/>
              </w:rPr>
              <w:t>la</w:t>
            </w:r>
            <w:r>
              <w:rPr>
                <w:color w:val="231F1F"/>
                <w:spacing w:val="14"/>
                <w:sz w:val="22"/>
              </w:rPr>
              <w:t> </w:t>
            </w:r>
            <w:r>
              <w:rPr>
                <w:color w:val="231F1F"/>
                <w:sz w:val="22"/>
              </w:rPr>
              <w:t>segunda</w:t>
            </w:r>
            <w:r>
              <w:rPr>
                <w:color w:val="231F1F"/>
                <w:spacing w:val="14"/>
                <w:sz w:val="22"/>
              </w:rPr>
              <w:t> </w:t>
            </w:r>
            <w:r>
              <w:rPr>
                <w:color w:val="231F1F"/>
                <w:sz w:val="22"/>
              </w:rPr>
              <w:t>etapa</w:t>
            </w:r>
            <w:r>
              <w:rPr>
                <w:color w:val="231F1F"/>
                <w:spacing w:val="14"/>
                <w:sz w:val="22"/>
              </w:rPr>
              <w:t> </w:t>
            </w:r>
            <w:r>
              <w:rPr>
                <w:color w:val="231F1F"/>
                <w:sz w:val="22"/>
              </w:rPr>
              <w:t>del</w:t>
            </w:r>
            <w:r>
              <w:rPr>
                <w:color w:val="231F1F"/>
                <w:spacing w:val="13"/>
                <w:sz w:val="22"/>
              </w:rPr>
              <w:t> </w:t>
            </w:r>
            <w:r>
              <w:rPr>
                <w:color w:val="231F1F"/>
                <w:spacing w:val="-2"/>
                <w:sz w:val="22"/>
              </w:rPr>
              <w:t>parto.</w:t>
            </w:r>
          </w:p>
        </w:tc>
      </w:tr>
    </w:tbl>
    <w:p>
      <w:pPr>
        <w:pStyle w:val="TableParagraph"/>
        <w:spacing w:after="0" w:line="26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10"/>
        </w:rPr>
        <w:t>Momento</w:t>
      </w:r>
      <w:r>
        <w:rPr>
          <w:color w:val="231F1F"/>
          <w:spacing w:val="-18"/>
          <w:w w:val="110"/>
        </w:rPr>
        <w:t> </w:t>
      </w:r>
      <w:r>
        <w:rPr>
          <w:color w:val="231F1F"/>
          <w:w w:val="110"/>
        </w:rPr>
        <w:t>de</w:t>
      </w:r>
      <w:r>
        <w:rPr>
          <w:color w:val="231F1F"/>
          <w:spacing w:val="-17"/>
          <w:w w:val="110"/>
        </w:rPr>
        <w:t> </w:t>
      </w:r>
      <w:r>
        <w:rPr>
          <w:color w:val="231F1F"/>
          <w:spacing w:val="-4"/>
          <w:w w:val="110"/>
        </w:rPr>
        <w:t>pujar</w:t>
      </w:r>
    </w:p>
    <w:p>
      <w:pPr>
        <w:pStyle w:val="BodyText"/>
        <w:spacing w:before="20"/>
        <w:rPr>
          <w:sz w:val="20"/>
        </w:rPr>
      </w:pPr>
      <w:r>
        <w:rPr>
          <w:sz w:val="20"/>
        </w:rPr>
        <mc:AlternateContent>
          <mc:Choice Requires="wps">
            <w:drawing>
              <wp:anchor distT="0" distB="0" distL="0" distR="0" allowOverlap="1" layoutInCell="1" locked="0" behindDoc="1" simplePos="0" relativeHeight="487609344">
                <wp:simplePos x="0" y="0"/>
                <wp:positionH relativeFrom="page">
                  <wp:posOffset>1082675</wp:posOffset>
                </wp:positionH>
                <wp:positionV relativeFrom="paragraph">
                  <wp:posOffset>177184</wp:posOffset>
                </wp:positionV>
                <wp:extent cx="5400040" cy="262255"/>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5400040" cy="262255"/>
                        </a:xfrm>
                        <a:prstGeom prst="rect">
                          <a:avLst/>
                        </a:prstGeom>
                        <a:ln w="6350">
                          <a:solidFill>
                            <a:srgbClr val="A30046"/>
                          </a:solidFill>
                          <a:prstDash val="solid"/>
                        </a:ln>
                      </wps:spPr>
                      <wps:txbx>
                        <w:txbxContent>
                          <w:p>
                            <w:pPr>
                              <w:pStyle w:val="BodyText"/>
                              <w:numPr>
                                <w:ilvl w:val="0"/>
                                <w:numId w:val="42"/>
                              </w:numPr>
                              <w:tabs>
                                <w:tab w:pos="322" w:val="left" w:leader="none"/>
                              </w:tabs>
                              <w:spacing w:line="240" w:lineRule="auto" w:before="55" w:after="0"/>
                              <w:ind w:left="322" w:right="0" w:hanging="218"/>
                              <w:jc w:val="left"/>
                            </w:pPr>
                            <w:r>
                              <w:rPr>
                                <w:color w:val="231F1F"/>
                              </w:rPr>
                              <w:t>¿Cuál</w:t>
                            </w:r>
                            <w:r>
                              <w:rPr>
                                <w:color w:val="231F1F"/>
                                <w:spacing w:val="32"/>
                              </w:rPr>
                              <w:t> </w:t>
                            </w:r>
                            <w:r>
                              <w:rPr>
                                <w:color w:val="231F1F"/>
                              </w:rPr>
                              <w:t>es</w:t>
                            </w:r>
                            <w:r>
                              <w:rPr>
                                <w:color w:val="231F1F"/>
                                <w:spacing w:val="35"/>
                              </w:rPr>
                              <w:t> </w:t>
                            </w:r>
                            <w:r>
                              <w:rPr>
                                <w:color w:val="231F1F"/>
                              </w:rPr>
                              <w:t>el</w:t>
                            </w:r>
                            <w:r>
                              <w:rPr>
                                <w:color w:val="231F1F"/>
                                <w:spacing w:val="35"/>
                              </w:rPr>
                              <w:t> </w:t>
                            </w:r>
                            <w:r>
                              <w:rPr>
                                <w:color w:val="231F1F"/>
                              </w:rPr>
                              <w:t>momento</w:t>
                            </w:r>
                            <w:r>
                              <w:rPr>
                                <w:color w:val="231F1F"/>
                                <w:spacing w:val="35"/>
                              </w:rPr>
                              <w:t> </w:t>
                            </w:r>
                            <w:r>
                              <w:rPr>
                                <w:color w:val="231F1F"/>
                              </w:rPr>
                              <w:t>óptimo</w:t>
                            </w:r>
                            <w:r>
                              <w:rPr>
                                <w:color w:val="231F1F"/>
                                <w:spacing w:val="34"/>
                              </w:rPr>
                              <w:t> </w:t>
                            </w:r>
                            <w:r>
                              <w:rPr>
                                <w:color w:val="231F1F"/>
                              </w:rPr>
                              <w:t>de</w:t>
                            </w:r>
                            <w:r>
                              <w:rPr>
                                <w:color w:val="231F1F"/>
                                <w:spacing w:val="34"/>
                              </w:rPr>
                              <w:t> </w:t>
                            </w:r>
                            <w:r>
                              <w:rPr>
                                <w:color w:val="231F1F"/>
                              </w:rPr>
                              <w:t>recomendar</w:t>
                            </w:r>
                            <w:r>
                              <w:rPr>
                                <w:color w:val="231F1F"/>
                                <w:spacing w:val="35"/>
                              </w:rPr>
                              <w:t> </w:t>
                            </w:r>
                            <w:r>
                              <w:rPr>
                                <w:color w:val="231F1F"/>
                              </w:rPr>
                              <w:t>los</w:t>
                            </w:r>
                            <w:r>
                              <w:rPr>
                                <w:color w:val="231F1F"/>
                                <w:spacing w:val="35"/>
                              </w:rPr>
                              <w:t> </w:t>
                            </w:r>
                            <w:r>
                              <w:rPr>
                                <w:color w:val="231F1F"/>
                              </w:rPr>
                              <w:t>pujos</w:t>
                            </w:r>
                            <w:r>
                              <w:rPr>
                                <w:color w:val="231F1F"/>
                                <w:spacing w:val="36"/>
                              </w:rPr>
                              <w:t> </w:t>
                            </w:r>
                            <w:r>
                              <w:rPr>
                                <w:color w:val="231F1F"/>
                                <w:spacing w:val="-2"/>
                              </w:rPr>
                              <w:t>dirigidos?</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707136;mso-wrap-distance-left:0;mso-wrap-distance-right:0" type="#_x0000_t202" id="docshape81" filled="false" stroked="true" strokeweight=".5pt" strokecolor="#a30046">
                <v:textbox inset="0,0,0,0">
                  <w:txbxContent>
                    <w:p>
                      <w:pPr>
                        <w:pStyle w:val="BodyText"/>
                        <w:numPr>
                          <w:ilvl w:val="0"/>
                          <w:numId w:val="42"/>
                        </w:numPr>
                        <w:tabs>
                          <w:tab w:pos="322" w:val="left" w:leader="none"/>
                        </w:tabs>
                        <w:spacing w:line="240" w:lineRule="auto" w:before="55" w:after="0"/>
                        <w:ind w:left="322" w:right="0" w:hanging="218"/>
                        <w:jc w:val="left"/>
                      </w:pPr>
                      <w:r>
                        <w:rPr>
                          <w:color w:val="231F1F"/>
                        </w:rPr>
                        <w:t>¿Cuál</w:t>
                      </w:r>
                      <w:r>
                        <w:rPr>
                          <w:color w:val="231F1F"/>
                          <w:spacing w:val="32"/>
                        </w:rPr>
                        <w:t> </w:t>
                      </w:r>
                      <w:r>
                        <w:rPr>
                          <w:color w:val="231F1F"/>
                        </w:rPr>
                        <w:t>es</w:t>
                      </w:r>
                      <w:r>
                        <w:rPr>
                          <w:color w:val="231F1F"/>
                          <w:spacing w:val="35"/>
                        </w:rPr>
                        <w:t> </w:t>
                      </w:r>
                      <w:r>
                        <w:rPr>
                          <w:color w:val="231F1F"/>
                        </w:rPr>
                        <w:t>el</w:t>
                      </w:r>
                      <w:r>
                        <w:rPr>
                          <w:color w:val="231F1F"/>
                          <w:spacing w:val="35"/>
                        </w:rPr>
                        <w:t> </w:t>
                      </w:r>
                      <w:r>
                        <w:rPr>
                          <w:color w:val="231F1F"/>
                        </w:rPr>
                        <w:t>momento</w:t>
                      </w:r>
                      <w:r>
                        <w:rPr>
                          <w:color w:val="231F1F"/>
                          <w:spacing w:val="35"/>
                        </w:rPr>
                        <w:t> </w:t>
                      </w:r>
                      <w:r>
                        <w:rPr>
                          <w:color w:val="231F1F"/>
                        </w:rPr>
                        <w:t>óptimo</w:t>
                      </w:r>
                      <w:r>
                        <w:rPr>
                          <w:color w:val="231F1F"/>
                          <w:spacing w:val="34"/>
                        </w:rPr>
                        <w:t> </w:t>
                      </w:r>
                      <w:r>
                        <w:rPr>
                          <w:color w:val="231F1F"/>
                        </w:rPr>
                        <w:t>de</w:t>
                      </w:r>
                      <w:r>
                        <w:rPr>
                          <w:color w:val="231F1F"/>
                          <w:spacing w:val="34"/>
                        </w:rPr>
                        <w:t> </w:t>
                      </w:r>
                      <w:r>
                        <w:rPr>
                          <w:color w:val="231F1F"/>
                        </w:rPr>
                        <w:t>recomendar</w:t>
                      </w:r>
                      <w:r>
                        <w:rPr>
                          <w:color w:val="231F1F"/>
                          <w:spacing w:val="35"/>
                        </w:rPr>
                        <w:t> </w:t>
                      </w:r>
                      <w:r>
                        <w:rPr>
                          <w:color w:val="231F1F"/>
                        </w:rPr>
                        <w:t>los</w:t>
                      </w:r>
                      <w:r>
                        <w:rPr>
                          <w:color w:val="231F1F"/>
                          <w:spacing w:val="35"/>
                        </w:rPr>
                        <w:t> </w:t>
                      </w:r>
                      <w:r>
                        <w:rPr>
                          <w:color w:val="231F1F"/>
                        </w:rPr>
                        <w:t>pujos</w:t>
                      </w:r>
                      <w:r>
                        <w:rPr>
                          <w:color w:val="231F1F"/>
                          <w:spacing w:val="36"/>
                        </w:rPr>
                        <w:t> </w:t>
                      </w:r>
                      <w:r>
                        <w:rPr>
                          <w:color w:val="231F1F"/>
                          <w:spacing w:val="-2"/>
                        </w:rPr>
                        <w:t>dirigidos?</w:t>
                      </w:r>
                    </w:p>
                  </w:txbxContent>
                </v:textbox>
                <v:stroke dashstyle="solid"/>
                <w10:wrap type="topAndBottom"/>
              </v:shape>
            </w:pict>
          </mc:Fallback>
        </mc:AlternateContent>
      </w:r>
    </w:p>
    <w:p>
      <w:pPr>
        <w:pStyle w:val="BodyText"/>
        <w:spacing w:before="28"/>
        <w:rPr>
          <w:sz w:val="32"/>
        </w:rPr>
      </w:pPr>
    </w:p>
    <w:p>
      <w:pPr>
        <w:pStyle w:val="BodyText"/>
        <w:spacing w:line="247" w:lineRule="auto"/>
        <w:ind w:left="283" w:right="122"/>
        <w:jc w:val="both"/>
      </w:pPr>
      <w:r>
        <w:rPr>
          <w:color w:val="231F1F"/>
        </w:rPr>
        <w:t>En</w:t>
      </w:r>
      <w:r>
        <w:rPr>
          <w:color w:val="231F1F"/>
          <w:spacing w:val="26"/>
        </w:rPr>
        <w:t> </w:t>
      </w:r>
      <w:r>
        <w:rPr>
          <w:color w:val="231F1F"/>
        </w:rPr>
        <w:t>los</w:t>
      </w:r>
      <w:r>
        <w:rPr>
          <w:color w:val="231F1F"/>
          <w:spacing w:val="26"/>
        </w:rPr>
        <w:t> </w:t>
      </w:r>
      <w:r>
        <w:rPr>
          <w:color w:val="231F1F"/>
        </w:rPr>
        <w:t>últimos</w:t>
      </w:r>
      <w:r>
        <w:rPr>
          <w:color w:val="231F1F"/>
          <w:spacing w:val="26"/>
        </w:rPr>
        <w:t> </w:t>
      </w:r>
      <w:r>
        <w:rPr>
          <w:color w:val="231F1F"/>
        </w:rPr>
        <w:t>35</w:t>
      </w:r>
      <w:r>
        <w:rPr>
          <w:color w:val="231F1F"/>
          <w:spacing w:val="26"/>
        </w:rPr>
        <w:t> </w:t>
      </w:r>
      <w:r>
        <w:rPr>
          <w:color w:val="231F1F"/>
        </w:rPr>
        <w:t>años</w:t>
      </w:r>
      <w:r>
        <w:rPr>
          <w:color w:val="231F1F"/>
          <w:spacing w:val="26"/>
        </w:rPr>
        <w:t> </w:t>
      </w:r>
      <w:r>
        <w:rPr>
          <w:color w:val="231F1F"/>
        </w:rPr>
        <w:t>la</w:t>
      </w:r>
      <w:r>
        <w:rPr>
          <w:color w:val="231F1F"/>
          <w:spacing w:val="26"/>
        </w:rPr>
        <w:t> </w:t>
      </w:r>
      <w:r>
        <w:rPr>
          <w:color w:val="231F1F"/>
        </w:rPr>
        <w:t>analgesia</w:t>
      </w:r>
      <w:r>
        <w:rPr>
          <w:color w:val="231F1F"/>
          <w:spacing w:val="26"/>
        </w:rPr>
        <w:t> </w:t>
      </w:r>
      <w:r>
        <w:rPr>
          <w:color w:val="231F1F"/>
        </w:rPr>
        <w:t>epidural</w:t>
      </w:r>
      <w:r>
        <w:rPr>
          <w:color w:val="231F1F"/>
          <w:spacing w:val="26"/>
        </w:rPr>
        <w:t> </w:t>
      </w:r>
      <w:r>
        <w:rPr>
          <w:color w:val="231F1F"/>
        </w:rPr>
        <w:t>se</w:t>
      </w:r>
      <w:r>
        <w:rPr>
          <w:color w:val="231F1F"/>
          <w:spacing w:val="26"/>
        </w:rPr>
        <w:t> </w:t>
      </w:r>
      <w:r>
        <w:rPr>
          <w:color w:val="231F1F"/>
        </w:rPr>
        <w:t>ha</w:t>
      </w:r>
      <w:r>
        <w:rPr>
          <w:color w:val="231F1F"/>
          <w:spacing w:val="26"/>
        </w:rPr>
        <w:t> </w:t>
      </w:r>
      <w:r>
        <w:rPr>
          <w:color w:val="231F1F"/>
        </w:rPr>
        <w:t>convertido</w:t>
      </w:r>
      <w:r>
        <w:rPr>
          <w:color w:val="231F1F"/>
          <w:spacing w:val="26"/>
        </w:rPr>
        <w:t> </w:t>
      </w:r>
      <w:r>
        <w:rPr>
          <w:color w:val="231F1F"/>
        </w:rPr>
        <w:t>en</w:t>
      </w:r>
      <w:r>
        <w:rPr>
          <w:color w:val="231F1F"/>
          <w:spacing w:val="26"/>
        </w:rPr>
        <w:t> </w:t>
      </w:r>
      <w:r>
        <w:rPr>
          <w:color w:val="231F1F"/>
        </w:rPr>
        <w:t>el</w:t>
      </w:r>
      <w:r>
        <w:rPr>
          <w:color w:val="231F1F"/>
          <w:spacing w:val="26"/>
        </w:rPr>
        <w:t> </w:t>
      </w:r>
      <w:r>
        <w:rPr>
          <w:color w:val="231F1F"/>
        </w:rPr>
        <w:t>método</w:t>
      </w:r>
      <w:r>
        <w:rPr>
          <w:color w:val="231F1F"/>
          <w:spacing w:val="26"/>
        </w:rPr>
        <w:t> </w:t>
      </w:r>
      <w:r>
        <w:rPr>
          <w:color w:val="231F1F"/>
        </w:rPr>
        <w:t>más</w:t>
      </w:r>
      <w:r>
        <w:rPr>
          <w:color w:val="231F1F"/>
          <w:spacing w:val="26"/>
        </w:rPr>
        <w:t> </w:t>
      </w:r>
      <w:r>
        <w:rPr>
          <w:color w:val="231F1F"/>
        </w:rPr>
        <w:t>común</w:t>
      </w:r>
      <w:r>
        <w:rPr>
          <w:color w:val="231F1F"/>
          <w:spacing w:val="26"/>
        </w:rPr>
        <w:t> </w:t>
      </w:r>
      <w:r>
        <w:rPr>
          <w:color w:val="231F1F"/>
        </w:rPr>
        <w:t>para </w:t>
      </w:r>
      <w:r>
        <w:rPr>
          <w:color w:val="231F1F"/>
          <w:w w:val="110"/>
        </w:rPr>
        <w:t>el</w:t>
      </w:r>
      <w:r>
        <w:rPr>
          <w:color w:val="231F1F"/>
          <w:spacing w:val="-4"/>
          <w:w w:val="110"/>
        </w:rPr>
        <w:t> </w:t>
      </w:r>
      <w:r>
        <w:rPr>
          <w:color w:val="231F1F"/>
          <w:w w:val="110"/>
        </w:rPr>
        <w:t>manejo</w:t>
      </w:r>
      <w:r>
        <w:rPr>
          <w:color w:val="231F1F"/>
          <w:spacing w:val="-4"/>
          <w:w w:val="110"/>
        </w:rPr>
        <w:t> </w:t>
      </w:r>
      <w:r>
        <w:rPr>
          <w:color w:val="231F1F"/>
          <w:w w:val="110"/>
        </w:rPr>
        <w:t>del</w:t>
      </w:r>
      <w:r>
        <w:rPr>
          <w:color w:val="231F1F"/>
          <w:spacing w:val="-4"/>
          <w:w w:val="110"/>
        </w:rPr>
        <w:t> </w:t>
      </w:r>
      <w:r>
        <w:rPr>
          <w:color w:val="231F1F"/>
          <w:w w:val="110"/>
        </w:rPr>
        <w:t>dolor</w:t>
      </w:r>
      <w:r>
        <w:rPr>
          <w:color w:val="231F1F"/>
          <w:spacing w:val="-4"/>
          <w:w w:val="110"/>
        </w:rPr>
        <w:t> </w:t>
      </w:r>
      <w:r>
        <w:rPr>
          <w:color w:val="231F1F"/>
          <w:w w:val="110"/>
        </w:rPr>
        <w:t>durante</w:t>
      </w:r>
      <w:r>
        <w:rPr>
          <w:color w:val="231F1F"/>
          <w:spacing w:val="-4"/>
          <w:w w:val="110"/>
        </w:rPr>
        <w:t> </w:t>
      </w:r>
      <w:r>
        <w:rPr>
          <w:color w:val="231F1F"/>
          <w:w w:val="110"/>
        </w:rPr>
        <w:t>el</w:t>
      </w:r>
      <w:r>
        <w:rPr>
          <w:color w:val="231F1F"/>
          <w:spacing w:val="-4"/>
          <w:w w:val="110"/>
        </w:rPr>
        <w:t> </w:t>
      </w:r>
      <w:r>
        <w:rPr>
          <w:color w:val="231F1F"/>
          <w:w w:val="110"/>
        </w:rPr>
        <w:t>parto</w:t>
      </w:r>
      <w:r>
        <w:rPr>
          <w:color w:val="231F1F"/>
          <w:spacing w:val="-4"/>
          <w:w w:val="110"/>
        </w:rPr>
        <w:t> </w:t>
      </w:r>
      <w:r>
        <w:rPr>
          <w:color w:val="231F1F"/>
          <w:w w:val="110"/>
        </w:rPr>
        <w:t>en</w:t>
      </w:r>
      <w:r>
        <w:rPr>
          <w:color w:val="231F1F"/>
          <w:spacing w:val="-4"/>
          <w:w w:val="110"/>
        </w:rPr>
        <w:t> </w:t>
      </w:r>
      <w:r>
        <w:rPr>
          <w:color w:val="231F1F"/>
          <w:w w:val="110"/>
        </w:rPr>
        <w:t>los</w:t>
      </w:r>
      <w:r>
        <w:rPr>
          <w:color w:val="231F1F"/>
          <w:spacing w:val="-4"/>
          <w:w w:val="110"/>
        </w:rPr>
        <w:t> </w:t>
      </w:r>
      <w:r>
        <w:rPr>
          <w:color w:val="231F1F"/>
          <w:w w:val="110"/>
        </w:rPr>
        <w:t>hospitales.</w:t>
      </w:r>
      <w:r>
        <w:rPr>
          <w:color w:val="231F1F"/>
          <w:spacing w:val="-4"/>
          <w:w w:val="110"/>
        </w:rPr>
        <w:t> </w:t>
      </w:r>
      <w:r>
        <w:rPr>
          <w:color w:val="231F1F"/>
          <w:w w:val="110"/>
        </w:rPr>
        <w:t>Uno</w:t>
      </w:r>
      <w:r>
        <w:rPr>
          <w:color w:val="231F1F"/>
          <w:spacing w:val="-4"/>
          <w:w w:val="110"/>
        </w:rPr>
        <w:t> </w:t>
      </w:r>
      <w:r>
        <w:rPr>
          <w:color w:val="231F1F"/>
          <w:w w:val="110"/>
        </w:rPr>
        <w:t>de</w:t>
      </w:r>
      <w:r>
        <w:rPr>
          <w:color w:val="231F1F"/>
          <w:spacing w:val="-4"/>
          <w:w w:val="110"/>
        </w:rPr>
        <w:t> </w:t>
      </w:r>
      <w:r>
        <w:rPr>
          <w:color w:val="231F1F"/>
          <w:w w:val="110"/>
        </w:rPr>
        <w:t>los</w:t>
      </w:r>
      <w:r>
        <w:rPr>
          <w:color w:val="231F1F"/>
          <w:spacing w:val="-4"/>
          <w:w w:val="110"/>
        </w:rPr>
        <w:t> </w:t>
      </w:r>
      <w:r>
        <w:rPr>
          <w:color w:val="231F1F"/>
          <w:w w:val="110"/>
        </w:rPr>
        <w:t>efectos</w:t>
      </w:r>
      <w:r>
        <w:rPr>
          <w:color w:val="231F1F"/>
          <w:spacing w:val="-4"/>
          <w:w w:val="110"/>
        </w:rPr>
        <w:t> </w:t>
      </w:r>
      <w:r>
        <w:rPr>
          <w:color w:val="231F1F"/>
          <w:w w:val="110"/>
        </w:rPr>
        <w:t>negativos</w:t>
      </w:r>
      <w:r>
        <w:rPr>
          <w:color w:val="231F1F"/>
          <w:spacing w:val="-4"/>
          <w:w w:val="110"/>
        </w:rPr>
        <w:t> </w:t>
      </w:r>
      <w:r>
        <w:rPr>
          <w:color w:val="231F1F"/>
          <w:w w:val="110"/>
        </w:rPr>
        <w:t>de</w:t>
      </w:r>
      <w:r>
        <w:rPr>
          <w:color w:val="231F1F"/>
          <w:spacing w:val="-4"/>
          <w:w w:val="110"/>
        </w:rPr>
        <w:t> </w:t>
      </w:r>
      <w:r>
        <w:rPr>
          <w:color w:val="231F1F"/>
          <w:w w:val="110"/>
        </w:rPr>
        <w:t>la analgesia</w:t>
      </w:r>
      <w:r>
        <w:rPr>
          <w:color w:val="231F1F"/>
          <w:spacing w:val="-8"/>
          <w:w w:val="110"/>
        </w:rPr>
        <w:t> </w:t>
      </w:r>
      <w:r>
        <w:rPr>
          <w:color w:val="231F1F"/>
          <w:w w:val="110"/>
        </w:rPr>
        <w:t>epidural</w:t>
      </w:r>
      <w:r>
        <w:rPr>
          <w:color w:val="231F1F"/>
          <w:spacing w:val="-8"/>
          <w:w w:val="110"/>
        </w:rPr>
        <w:t> </w:t>
      </w:r>
      <w:r>
        <w:rPr>
          <w:color w:val="231F1F"/>
          <w:w w:val="110"/>
        </w:rPr>
        <w:t>es</w:t>
      </w:r>
      <w:r>
        <w:rPr>
          <w:color w:val="231F1F"/>
          <w:spacing w:val="-8"/>
          <w:w w:val="110"/>
        </w:rPr>
        <w:t> </w:t>
      </w:r>
      <w:r>
        <w:rPr>
          <w:color w:val="231F1F"/>
          <w:w w:val="110"/>
        </w:rPr>
        <w:t>que</w:t>
      </w:r>
      <w:r>
        <w:rPr>
          <w:color w:val="231F1F"/>
          <w:spacing w:val="-8"/>
          <w:w w:val="110"/>
        </w:rPr>
        <w:t> </w:t>
      </w:r>
      <w:r>
        <w:rPr>
          <w:color w:val="231F1F"/>
          <w:w w:val="110"/>
        </w:rPr>
        <w:t>frecuentemente</w:t>
      </w:r>
      <w:r>
        <w:rPr>
          <w:color w:val="231F1F"/>
          <w:spacing w:val="-8"/>
          <w:w w:val="110"/>
        </w:rPr>
        <w:t> </w:t>
      </w:r>
      <w:r>
        <w:rPr>
          <w:color w:val="231F1F"/>
          <w:w w:val="110"/>
        </w:rPr>
        <w:t>inhibe</w:t>
      </w:r>
      <w:r>
        <w:rPr>
          <w:color w:val="231F1F"/>
          <w:spacing w:val="-8"/>
          <w:w w:val="110"/>
        </w:rPr>
        <w:t> </w:t>
      </w:r>
      <w:r>
        <w:rPr>
          <w:color w:val="231F1F"/>
          <w:w w:val="110"/>
        </w:rPr>
        <w:t>la</w:t>
      </w:r>
      <w:r>
        <w:rPr>
          <w:color w:val="231F1F"/>
          <w:spacing w:val="-8"/>
          <w:w w:val="110"/>
        </w:rPr>
        <w:t> </w:t>
      </w:r>
      <w:r>
        <w:rPr>
          <w:color w:val="231F1F"/>
          <w:w w:val="110"/>
        </w:rPr>
        <w:t>natural</w:t>
      </w:r>
      <w:r>
        <w:rPr>
          <w:color w:val="231F1F"/>
          <w:spacing w:val="-8"/>
          <w:w w:val="110"/>
        </w:rPr>
        <w:t> </w:t>
      </w:r>
      <w:r>
        <w:rPr>
          <w:color w:val="231F1F"/>
          <w:w w:val="110"/>
        </w:rPr>
        <w:t>necesidad</w:t>
      </w:r>
      <w:r>
        <w:rPr>
          <w:color w:val="231F1F"/>
          <w:spacing w:val="-8"/>
          <w:w w:val="110"/>
        </w:rPr>
        <w:t> </w:t>
      </w:r>
      <w:r>
        <w:rPr>
          <w:color w:val="231F1F"/>
          <w:w w:val="110"/>
        </w:rPr>
        <w:t>de</w:t>
      </w:r>
      <w:r>
        <w:rPr>
          <w:color w:val="231F1F"/>
          <w:spacing w:val="-8"/>
          <w:w w:val="110"/>
        </w:rPr>
        <w:t> </w:t>
      </w:r>
      <w:r>
        <w:rPr>
          <w:color w:val="231F1F"/>
          <w:w w:val="110"/>
        </w:rPr>
        <w:t>empujar</w:t>
      </w:r>
      <w:r>
        <w:rPr>
          <w:color w:val="231F1F"/>
          <w:spacing w:val="-8"/>
          <w:w w:val="110"/>
        </w:rPr>
        <w:t> </w:t>
      </w:r>
      <w:r>
        <w:rPr>
          <w:color w:val="231F1F"/>
          <w:w w:val="110"/>
        </w:rPr>
        <w:t>una</w:t>
      </w:r>
      <w:r>
        <w:rPr>
          <w:color w:val="231F1F"/>
          <w:spacing w:val="-8"/>
          <w:w w:val="110"/>
        </w:rPr>
        <w:t> </w:t>
      </w:r>
      <w:r>
        <w:rPr>
          <w:color w:val="231F1F"/>
          <w:w w:val="110"/>
        </w:rPr>
        <w:t>vez iniciado</w:t>
      </w:r>
      <w:r>
        <w:rPr>
          <w:color w:val="231F1F"/>
          <w:spacing w:val="-4"/>
          <w:w w:val="110"/>
        </w:rPr>
        <w:t> </w:t>
      </w:r>
      <w:r>
        <w:rPr>
          <w:color w:val="231F1F"/>
          <w:w w:val="110"/>
        </w:rPr>
        <w:t>el</w:t>
      </w:r>
      <w:r>
        <w:rPr>
          <w:color w:val="231F1F"/>
          <w:spacing w:val="-5"/>
          <w:w w:val="110"/>
        </w:rPr>
        <w:t> </w:t>
      </w:r>
      <w:r>
        <w:rPr>
          <w:color w:val="231F1F"/>
          <w:w w:val="110"/>
        </w:rPr>
        <w:t>periodo</w:t>
      </w:r>
      <w:r>
        <w:rPr>
          <w:color w:val="231F1F"/>
          <w:spacing w:val="-5"/>
          <w:w w:val="110"/>
        </w:rPr>
        <w:t> </w:t>
      </w:r>
      <w:r>
        <w:rPr>
          <w:color w:val="231F1F"/>
          <w:w w:val="110"/>
        </w:rPr>
        <w:t>expulsivo.</w:t>
      </w:r>
      <w:r>
        <w:rPr>
          <w:color w:val="231F1F"/>
          <w:spacing w:val="-5"/>
          <w:w w:val="110"/>
        </w:rPr>
        <w:t> </w:t>
      </w:r>
      <w:r>
        <w:rPr>
          <w:color w:val="231F1F"/>
          <w:w w:val="110"/>
        </w:rPr>
        <w:t>Los</w:t>
      </w:r>
      <w:r>
        <w:rPr>
          <w:color w:val="231F1F"/>
          <w:spacing w:val="-5"/>
          <w:w w:val="110"/>
        </w:rPr>
        <w:t> </w:t>
      </w:r>
      <w:r>
        <w:rPr>
          <w:color w:val="231F1F"/>
          <w:w w:val="110"/>
        </w:rPr>
        <w:t>obstetras</w:t>
      </w:r>
      <w:r>
        <w:rPr>
          <w:color w:val="231F1F"/>
          <w:spacing w:val="-5"/>
          <w:w w:val="110"/>
        </w:rPr>
        <w:t> </w:t>
      </w:r>
      <w:r>
        <w:rPr>
          <w:color w:val="231F1F"/>
          <w:w w:val="110"/>
        </w:rPr>
        <w:t>a</w:t>
      </w:r>
      <w:r>
        <w:rPr>
          <w:color w:val="231F1F"/>
          <w:spacing w:val="-5"/>
          <w:w w:val="110"/>
        </w:rPr>
        <w:t> </w:t>
      </w:r>
      <w:r>
        <w:rPr>
          <w:color w:val="231F1F"/>
          <w:w w:val="110"/>
        </w:rPr>
        <w:t>menudo</w:t>
      </w:r>
      <w:r>
        <w:rPr>
          <w:color w:val="231F1F"/>
          <w:spacing w:val="-5"/>
          <w:w w:val="110"/>
        </w:rPr>
        <w:t> </w:t>
      </w:r>
      <w:r>
        <w:rPr>
          <w:color w:val="231F1F"/>
          <w:w w:val="110"/>
        </w:rPr>
        <w:t>han</w:t>
      </w:r>
      <w:r>
        <w:rPr>
          <w:color w:val="231F1F"/>
          <w:spacing w:val="-4"/>
          <w:w w:val="110"/>
        </w:rPr>
        <w:t> </w:t>
      </w:r>
      <w:r>
        <w:rPr>
          <w:color w:val="231F1F"/>
          <w:w w:val="110"/>
        </w:rPr>
        <w:t>tratado</w:t>
      </w:r>
      <w:r>
        <w:rPr>
          <w:color w:val="231F1F"/>
          <w:spacing w:val="-4"/>
          <w:w w:val="110"/>
        </w:rPr>
        <w:t> </w:t>
      </w:r>
      <w:r>
        <w:rPr>
          <w:color w:val="231F1F"/>
          <w:w w:val="110"/>
        </w:rPr>
        <w:t>de</w:t>
      </w:r>
      <w:r>
        <w:rPr>
          <w:color w:val="231F1F"/>
          <w:spacing w:val="-5"/>
          <w:w w:val="110"/>
        </w:rPr>
        <w:t> </w:t>
      </w:r>
      <w:r>
        <w:rPr>
          <w:color w:val="231F1F"/>
          <w:w w:val="110"/>
        </w:rPr>
        <w:t>compensar</w:t>
      </w:r>
      <w:r>
        <w:rPr>
          <w:color w:val="231F1F"/>
          <w:spacing w:val="-4"/>
          <w:w w:val="110"/>
        </w:rPr>
        <w:t> </w:t>
      </w:r>
      <w:r>
        <w:rPr>
          <w:color w:val="231F1F"/>
          <w:w w:val="110"/>
        </w:rPr>
        <w:t>esta</w:t>
      </w:r>
      <w:r>
        <w:rPr>
          <w:color w:val="231F1F"/>
          <w:spacing w:val="-4"/>
          <w:w w:val="110"/>
        </w:rPr>
        <w:t> </w:t>
      </w:r>
      <w:r>
        <w:rPr>
          <w:color w:val="231F1F"/>
          <w:w w:val="110"/>
        </w:rPr>
        <w:t>in- hibición</w:t>
      </w:r>
      <w:r>
        <w:rPr>
          <w:color w:val="231F1F"/>
          <w:spacing w:val="-13"/>
          <w:w w:val="110"/>
        </w:rPr>
        <w:t> </w:t>
      </w:r>
      <w:r>
        <w:rPr>
          <w:color w:val="231F1F"/>
          <w:w w:val="110"/>
        </w:rPr>
        <w:t>impulsando</w:t>
      </w:r>
      <w:r>
        <w:rPr>
          <w:color w:val="231F1F"/>
          <w:spacing w:val="-13"/>
          <w:w w:val="110"/>
        </w:rPr>
        <w:t> </w:t>
      </w:r>
      <w:r>
        <w:rPr>
          <w:color w:val="231F1F"/>
          <w:w w:val="110"/>
        </w:rPr>
        <w:t>a</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3"/>
          <w:w w:val="110"/>
        </w:rPr>
        <w:t> </w:t>
      </w:r>
      <w:r>
        <w:rPr>
          <w:color w:val="231F1F"/>
          <w:w w:val="110"/>
        </w:rPr>
        <w:t>a</w:t>
      </w:r>
      <w:r>
        <w:rPr>
          <w:color w:val="231F1F"/>
          <w:spacing w:val="-13"/>
          <w:w w:val="110"/>
        </w:rPr>
        <w:t> </w:t>
      </w:r>
      <w:r>
        <w:rPr>
          <w:color w:val="231F1F"/>
          <w:w w:val="110"/>
        </w:rPr>
        <w:t>empujar</w:t>
      </w:r>
      <w:r>
        <w:rPr>
          <w:color w:val="231F1F"/>
          <w:spacing w:val="-14"/>
          <w:w w:val="110"/>
        </w:rPr>
        <w:t> </w:t>
      </w:r>
      <w:r>
        <w:rPr>
          <w:color w:val="231F1F"/>
          <w:w w:val="110"/>
        </w:rPr>
        <w:t>inmediatamente</w:t>
      </w:r>
      <w:r>
        <w:rPr>
          <w:color w:val="231F1F"/>
          <w:spacing w:val="-13"/>
          <w:w w:val="110"/>
        </w:rPr>
        <w:t> </w:t>
      </w:r>
      <w:r>
        <w:rPr>
          <w:color w:val="231F1F"/>
          <w:w w:val="110"/>
        </w:rPr>
        <w:t>después</w:t>
      </w:r>
      <w:r>
        <w:rPr>
          <w:color w:val="231F1F"/>
          <w:spacing w:val="-13"/>
          <w:w w:val="110"/>
        </w:rPr>
        <w:t> </w:t>
      </w:r>
      <w:r>
        <w:rPr>
          <w:color w:val="231F1F"/>
          <w:w w:val="110"/>
        </w:rPr>
        <w:t>de</w:t>
      </w:r>
      <w:r>
        <w:rPr>
          <w:color w:val="231F1F"/>
          <w:spacing w:val="-13"/>
          <w:w w:val="110"/>
        </w:rPr>
        <w:t> </w:t>
      </w:r>
      <w:r>
        <w:rPr>
          <w:color w:val="231F1F"/>
          <w:w w:val="110"/>
        </w:rPr>
        <w:t>alcanzada</w:t>
      </w:r>
      <w:r>
        <w:rPr>
          <w:color w:val="231F1F"/>
          <w:spacing w:val="-13"/>
          <w:w w:val="110"/>
        </w:rPr>
        <w:t> </w:t>
      </w:r>
      <w:r>
        <w:rPr>
          <w:color w:val="231F1F"/>
          <w:w w:val="110"/>
        </w:rPr>
        <w:t>la</w:t>
      </w:r>
      <w:r>
        <w:rPr>
          <w:color w:val="231F1F"/>
          <w:spacing w:val="-13"/>
          <w:w w:val="110"/>
        </w:rPr>
        <w:t> </w:t>
      </w:r>
      <w:r>
        <w:rPr>
          <w:color w:val="231F1F"/>
          <w:w w:val="110"/>
        </w:rPr>
        <w:t>di- latación completa. Este método puede no estar basado en la evidencia (140).</w:t>
      </w:r>
    </w:p>
    <w:p>
      <w:pPr>
        <w:pStyle w:val="BodyText"/>
        <w:spacing w:line="244" w:lineRule="auto" w:before="141"/>
        <w:ind w:left="283" w:right="120" w:firstLine="453"/>
        <w:jc w:val="both"/>
      </w:pPr>
      <w:r>
        <w:rPr>
          <w:color w:val="231F1F"/>
          <w:w w:val="110"/>
        </w:rPr>
        <w:t>Retrasar</w:t>
      </w:r>
      <w:r>
        <w:rPr>
          <w:color w:val="231F1F"/>
          <w:spacing w:val="-5"/>
          <w:w w:val="110"/>
        </w:rPr>
        <w:t> </w:t>
      </w:r>
      <w:r>
        <w:rPr>
          <w:color w:val="231F1F"/>
          <w:w w:val="110"/>
        </w:rPr>
        <w:t>el</w:t>
      </w:r>
      <w:r>
        <w:rPr>
          <w:color w:val="231F1F"/>
          <w:spacing w:val="-6"/>
          <w:w w:val="110"/>
        </w:rPr>
        <w:t> </w:t>
      </w:r>
      <w:r>
        <w:rPr>
          <w:color w:val="231F1F"/>
          <w:w w:val="110"/>
        </w:rPr>
        <w:t>pujo</w:t>
      </w:r>
      <w:r>
        <w:rPr>
          <w:color w:val="231F1F"/>
          <w:spacing w:val="-5"/>
          <w:w w:val="110"/>
        </w:rPr>
        <w:t> </w:t>
      </w:r>
      <w:r>
        <w:rPr>
          <w:color w:val="231F1F"/>
          <w:w w:val="110"/>
        </w:rPr>
        <w:t>se</w:t>
      </w:r>
      <w:r>
        <w:rPr>
          <w:color w:val="231F1F"/>
          <w:spacing w:val="-5"/>
          <w:w w:val="110"/>
        </w:rPr>
        <w:t> </w:t>
      </w:r>
      <w:r>
        <w:rPr>
          <w:color w:val="231F1F"/>
          <w:w w:val="110"/>
        </w:rPr>
        <w:t>ha</w:t>
      </w:r>
      <w:r>
        <w:rPr>
          <w:color w:val="231F1F"/>
          <w:spacing w:val="-5"/>
          <w:w w:val="110"/>
        </w:rPr>
        <w:t> </w:t>
      </w:r>
      <w:r>
        <w:rPr>
          <w:color w:val="231F1F"/>
          <w:w w:val="110"/>
        </w:rPr>
        <w:t>propuesto</w:t>
      </w:r>
      <w:r>
        <w:rPr>
          <w:color w:val="231F1F"/>
          <w:spacing w:val="-5"/>
          <w:w w:val="110"/>
        </w:rPr>
        <w:t> </w:t>
      </w:r>
      <w:r>
        <w:rPr>
          <w:color w:val="231F1F"/>
          <w:w w:val="110"/>
        </w:rPr>
        <w:t>como</w:t>
      </w:r>
      <w:r>
        <w:rPr>
          <w:color w:val="231F1F"/>
          <w:spacing w:val="-5"/>
          <w:w w:val="110"/>
        </w:rPr>
        <w:t> </w:t>
      </w:r>
      <w:r>
        <w:rPr>
          <w:color w:val="231F1F"/>
          <w:w w:val="110"/>
        </w:rPr>
        <w:t>una</w:t>
      </w:r>
      <w:r>
        <w:rPr>
          <w:color w:val="231F1F"/>
          <w:spacing w:val="-5"/>
          <w:w w:val="110"/>
        </w:rPr>
        <w:t> </w:t>
      </w:r>
      <w:r>
        <w:rPr>
          <w:color w:val="231F1F"/>
          <w:w w:val="110"/>
        </w:rPr>
        <w:t>alternativa</w:t>
      </w:r>
      <w:r>
        <w:rPr>
          <w:color w:val="231F1F"/>
          <w:spacing w:val="-5"/>
          <w:w w:val="110"/>
        </w:rPr>
        <w:t> </w:t>
      </w:r>
      <w:r>
        <w:rPr>
          <w:color w:val="231F1F"/>
          <w:w w:val="110"/>
        </w:rPr>
        <w:t>para</w:t>
      </w:r>
      <w:r>
        <w:rPr>
          <w:color w:val="231F1F"/>
          <w:spacing w:val="-5"/>
          <w:w w:val="110"/>
        </w:rPr>
        <w:t> </w:t>
      </w:r>
      <w:r>
        <w:rPr>
          <w:color w:val="231F1F"/>
          <w:w w:val="110"/>
        </w:rPr>
        <w:t>permitir</w:t>
      </w:r>
      <w:r>
        <w:rPr>
          <w:color w:val="231F1F"/>
          <w:spacing w:val="-5"/>
          <w:w w:val="110"/>
        </w:rPr>
        <w:t> </w:t>
      </w:r>
      <w:r>
        <w:rPr>
          <w:color w:val="231F1F"/>
          <w:w w:val="110"/>
        </w:rPr>
        <w:t>el</w:t>
      </w:r>
      <w:r>
        <w:rPr>
          <w:color w:val="231F1F"/>
          <w:spacing w:val="-6"/>
          <w:w w:val="110"/>
        </w:rPr>
        <w:t> </w:t>
      </w:r>
      <w:r>
        <w:rPr>
          <w:color w:val="231F1F"/>
          <w:w w:val="110"/>
        </w:rPr>
        <w:t>descenso</w:t>
      </w:r>
      <w:r>
        <w:rPr>
          <w:color w:val="231F1F"/>
          <w:spacing w:val="-5"/>
          <w:w w:val="110"/>
        </w:rPr>
        <w:t> </w:t>
      </w:r>
      <w:r>
        <w:rPr>
          <w:color w:val="231F1F"/>
          <w:w w:val="110"/>
        </w:rPr>
        <w:t>y</w:t>
      </w:r>
      <w:r>
        <w:rPr>
          <w:color w:val="231F1F"/>
          <w:spacing w:val="-5"/>
          <w:w w:val="110"/>
        </w:rPr>
        <w:t> </w:t>
      </w:r>
      <w:r>
        <w:rPr>
          <w:color w:val="231F1F"/>
          <w:w w:val="110"/>
        </w:rPr>
        <w:t>la rotación espontánea de la cabeza fetal, reduciendo así la tasa de partos instrumentales. Sin embargo, retrasar el pujo prolonga la segunda etapa del parto y este hecho ha sido </w:t>
      </w:r>
      <w:r>
        <w:rPr>
          <w:color w:val="231F1F"/>
          <w:spacing w:val="-2"/>
          <w:w w:val="110"/>
        </w:rPr>
        <w:t>asociado</w:t>
      </w:r>
      <w:r>
        <w:rPr>
          <w:color w:val="231F1F"/>
          <w:spacing w:val="-9"/>
          <w:w w:val="110"/>
        </w:rPr>
        <w:t> </w:t>
      </w:r>
      <w:r>
        <w:rPr>
          <w:color w:val="231F1F"/>
          <w:spacing w:val="-2"/>
          <w:w w:val="110"/>
        </w:rPr>
        <w:t>al</w:t>
      </w:r>
      <w:r>
        <w:rPr>
          <w:color w:val="231F1F"/>
          <w:spacing w:val="-10"/>
          <w:w w:val="110"/>
        </w:rPr>
        <w:t> </w:t>
      </w:r>
      <w:r>
        <w:rPr>
          <w:color w:val="231F1F"/>
          <w:spacing w:val="-2"/>
          <w:w w:val="110"/>
        </w:rPr>
        <w:t>traumatismo</w:t>
      </w:r>
      <w:r>
        <w:rPr>
          <w:color w:val="231F1F"/>
          <w:spacing w:val="-10"/>
          <w:w w:val="110"/>
        </w:rPr>
        <w:t> </w:t>
      </w:r>
      <w:r>
        <w:rPr>
          <w:color w:val="231F1F"/>
          <w:spacing w:val="-2"/>
          <w:w w:val="110"/>
        </w:rPr>
        <w:t>del</w:t>
      </w:r>
      <w:r>
        <w:rPr>
          <w:color w:val="231F1F"/>
          <w:spacing w:val="-10"/>
          <w:w w:val="110"/>
        </w:rPr>
        <w:t> </w:t>
      </w:r>
      <w:r>
        <w:rPr>
          <w:color w:val="231F1F"/>
          <w:spacing w:val="-2"/>
          <w:w w:val="110"/>
        </w:rPr>
        <w:t>suelo</w:t>
      </w:r>
      <w:r>
        <w:rPr>
          <w:color w:val="231F1F"/>
          <w:spacing w:val="-10"/>
          <w:w w:val="110"/>
        </w:rPr>
        <w:t> </w:t>
      </w:r>
      <w:r>
        <w:rPr>
          <w:color w:val="231F1F"/>
          <w:spacing w:val="-2"/>
          <w:w w:val="110"/>
        </w:rPr>
        <w:t>pélvico</w:t>
      </w:r>
      <w:r>
        <w:rPr>
          <w:color w:val="231F1F"/>
          <w:spacing w:val="-10"/>
          <w:w w:val="110"/>
        </w:rPr>
        <w:t> </w:t>
      </w:r>
      <w:r>
        <w:rPr>
          <w:color w:val="231F1F"/>
          <w:spacing w:val="-2"/>
          <w:w w:val="110"/>
        </w:rPr>
        <w:t>y</w:t>
      </w:r>
      <w:r>
        <w:rPr>
          <w:color w:val="231F1F"/>
          <w:spacing w:val="-10"/>
          <w:w w:val="110"/>
        </w:rPr>
        <w:t> </w:t>
      </w:r>
      <w:r>
        <w:rPr>
          <w:color w:val="231F1F"/>
          <w:spacing w:val="-2"/>
          <w:w w:val="110"/>
        </w:rPr>
        <w:t>la</w:t>
      </w:r>
      <w:r>
        <w:rPr>
          <w:color w:val="231F1F"/>
          <w:spacing w:val="-10"/>
          <w:w w:val="110"/>
        </w:rPr>
        <w:t> </w:t>
      </w:r>
      <w:r>
        <w:rPr>
          <w:color w:val="231F1F"/>
          <w:spacing w:val="-2"/>
          <w:w w:val="110"/>
        </w:rPr>
        <w:t>subsecuente</w:t>
      </w:r>
      <w:r>
        <w:rPr>
          <w:color w:val="231F1F"/>
          <w:spacing w:val="-10"/>
          <w:w w:val="110"/>
        </w:rPr>
        <w:t> </w:t>
      </w:r>
      <w:r>
        <w:rPr>
          <w:color w:val="231F1F"/>
          <w:spacing w:val="-2"/>
          <w:w w:val="110"/>
        </w:rPr>
        <w:t>morbilidad</w:t>
      </w:r>
      <w:r>
        <w:rPr>
          <w:color w:val="231F1F"/>
          <w:spacing w:val="-10"/>
          <w:w w:val="110"/>
        </w:rPr>
        <w:t> </w:t>
      </w:r>
      <w:r>
        <w:rPr>
          <w:color w:val="231F1F"/>
          <w:spacing w:val="-2"/>
          <w:w w:val="110"/>
        </w:rPr>
        <w:t>materna</w:t>
      </w:r>
      <w:r>
        <w:rPr>
          <w:color w:val="231F1F"/>
          <w:spacing w:val="-10"/>
          <w:w w:val="110"/>
        </w:rPr>
        <w:t> </w:t>
      </w:r>
      <w:r>
        <w:rPr>
          <w:color w:val="231F1F"/>
          <w:spacing w:val="-2"/>
          <w:w w:val="110"/>
        </w:rPr>
        <w:t>(141;142). </w:t>
      </w:r>
      <w:r>
        <w:rPr>
          <w:color w:val="231F1F"/>
          <w:w w:val="110"/>
        </w:rPr>
        <w:t>Además, la segunda etapa del parto se ha considerado como de particular riesgo para el feto (143).</w:t>
      </w:r>
    </w:p>
    <w:p>
      <w:pPr>
        <w:pStyle w:val="BodyText"/>
      </w:pPr>
    </w:p>
    <w:p>
      <w:pPr>
        <w:pStyle w:val="BodyText"/>
        <w:spacing w:before="9"/>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219"/>
        <w:ind w:left="283" w:right="1369"/>
        <w:jc w:val="both"/>
      </w:pPr>
      <w:r>
        <w:rPr>
          <w:color w:val="231F1F"/>
          <w:w w:val="105"/>
        </w:rPr>
        <w:t>En la guía NICE (10), únicamente se han valorado los pujos tardíos o inme- diatos en mujeres con analgesia. No se ha evaluado el momento idóneo de los pujos en mujeres sin analgesia.</w:t>
      </w:r>
    </w:p>
    <w:p>
      <w:pPr>
        <w:pStyle w:val="BodyText"/>
        <w:spacing w:line="249" w:lineRule="auto" w:before="142"/>
        <w:ind w:left="283" w:right="1364" w:firstLine="453"/>
        <w:jc w:val="both"/>
      </w:pPr>
      <w:r>
        <w:rPr>
          <w:color w:val="231F1F"/>
          <w:w w:val="105"/>
        </w:rPr>
        <w:t>Para contestar a esta pregunta se ha seleccionado una de las dos RS in- cluidas</w:t>
      </w:r>
      <w:r>
        <w:rPr>
          <w:color w:val="231F1F"/>
          <w:w w:val="105"/>
        </w:rPr>
        <w:t> en</w:t>
      </w:r>
      <w:r>
        <w:rPr>
          <w:color w:val="231F1F"/>
          <w:w w:val="105"/>
        </w:rPr>
        <w:t> la</w:t>
      </w:r>
      <w:r>
        <w:rPr>
          <w:color w:val="231F1F"/>
          <w:w w:val="105"/>
        </w:rPr>
        <w:t> guía</w:t>
      </w:r>
      <w:r>
        <w:rPr>
          <w:color w:val="231F1F"/>
          <w:w w:val="105"/>
        </w:rPr>
        <w:t> NICE</w:t>
      </w:r>
      <w:r>
        <w:rPr>
          <w:color w:val="231F1F"/>
          <w:w w:val="105"/>
        </w:rPr>
        <w:t> (144)</w:t>
      </w:r>
      <w:r>
        <w:rPr>
          <w:color w:val="231F1F"/>
          <w:w w:val="105"/>
        </w:rPr>
        <w:t> que</w:t>
      </w:r>
      <w:r>
        <w:rPr>
          <w:color w:val="231F1F"/>
          <w:w w:val="105"/>
        </w:rPr>
        <w:t> comparaba</w:t>
      </w:r>
      <w:r>
        <w:rPr>
          <w:color w:val="231F1F"/>
          <w:w w:val="105"/>
        </w:rPr>
        <w:t> los</w:t>
      </w:r>
      <w:r>
        <w:rPr>
          <w:color w:val="231F1F"/>
          <w:w w:val="105"/>
        </w:rPr>
        <w:t> potenciales</w:t>
      </w:r>
      <w:r>
        <w:rPr>
          <w:color w:val="231F1F"/>
          <w:w w:val="105"/>
        </w:rPr>
        <w:t> beneficios</w:t>
      </w:r>
      <w:r>
        <w:rPr>
          <w:color w:val="231F1F"/>
          <w:w w:val="105"/>
        </w:rPr>
        <w:t> y perjuicios de una política de pujos retardados en mujeres con partos sin com- plicaciones</w:t>
      </w:r>
      <w:r>
        <w:rPr>
          <w:color w:val="231F1F"/>
          <w:spacing w:val="-5"/>
          <w:w w:val="105"/>
        </w:rPr>
        <w:t> </w:t>
      </w:r>
      <w:r>
        <w:rPr>
          <w:color w:val="231F1F"/>
          <w:w w:val="105"/>
        </w:rPr>
        <w:t>y</w:t>
      </w:r>
      <w:r>
        <w:rPr>
          <w:color w:val="231F1F"/>
          <w:spacing w:val="-5"/>
          <w:w w:val="105"/>
        </w:rPr>
        <w:t> </w:t>
      </w:r>
      <w:r>
        <w:rPr>
          <w:color w:val="231F1F"/>
          <w:w w:val="105"/>
        </w:rPr>
        <w:t>con</w:t>
      </w:r>
      <w:r>
        <w:rPr>
          <w:color w:val="231F1F"/>
          <w:spacing w:val="-5"/>
          <w:w w:val="105"/>
        </w:rPr>
        <w:t> </w:t>
      </w:r>
      <w:r>
        <w:rPr>
          <w:color w:val="231F1F"/>
          <w:w w:val="105"/>
        </w:rPr>
        <w:t>analgesia</w:t>
      </w:r>
      <w:r>
        <w:rPr>
          <w:color w:val="231F1F"/>
          <w:spacing w:val="-5"/>
          <w:w w:val="105"/>
        </w:rPr>
        <w:t> </w:t>
      </w:r>
      <w:r>
        <w:rPr>
          <w:color w:val="231F1F"/>
          <w:w w:val="105"/>
        </w:rPr>
        <w:t>epidural</w:t>
      </w:r>
      <w:r>
        <w:rPr>
          <w:color w:val="231F1F"/>
          <w:spacing w:val="-5"/>
          <w:w w:val="105"/>
        </w:rPr>
        <w:t> </w:t>
      </w:r>
      <w:r>
        <w:rPr>
          <w:color w:val="231F1F"/>
          <w:w w:val="105"/>
        </w:rPr>
        <w:t>desde</w:t>
      </w:r>
      <w:r>
        <w:rPr>
          <w:color w:val="231F1F"/>
          <w:spacing w:val="-5"/>
          <w:w w:val="105"/>
        </w:rPr>
        <w:t> </w:t>
      </w:r>
      <w:r>
        <w:rPr>
          <w:color w:val="231F1F"/>
          <w:w w:val="105"/>
        </w:rPr>
        <w:t>la</w:t>
      </w:r>
      <w:r>
        <w:rPr>
          <w:color w:val="231F1F"/>
          <w:spacing w:val="-5"/>
          <w:w w:val="105"/>
        </w:rPr>
        <w:t> </w:t>
      </w:r>
      <w:r>
        <w:rPr>
          <w:color w:val="231F1F"/>
          <w:w w:val="105"/>
        </w:rPr>
        <w:t>primera</w:t>
      </w:r>
      <w:r>
        <w:rPr>
          <w:color w:val="231F1F"/>
          <w:spacing w:val="-5"/>
          <w:w w:val="105"/>
        </w:rPr>
        <w:t> </w:t>
      </w:r>
      <w:r>
        <w:rPr>
          <w:color w:val="231F1F"/>
          <w:w w:val="105"/>
        </w:rPr>
        <w:t>etapa</w:t>
      </w:r>
      <w:r>
        <w:rPr>
          <w:color w:val="231F1F"/>
          <w:spacing w:val="-5"/>
          <w:w w:val="105"/>
        </w:rPr>
        <w:t> </w:t>
      </w:r>
      <w:r>
        <w:rPr>
          <w:color w:val="231F1F"/>
          <w:w w:val="105"/>
        </w:rPr>
        <w:t>del</w:t>
      </w:r>
      <w:r>
        <w:rPr>
          <w:color w:val="231F1F"/>
          <w:spacing w:val="-5"/>
          <w:w w:val="105"/>
        </w:rPr>
        <w:t> </w:t>
      </w:r>
      <w:r>
        <w:rPr>
          <w:color w:val="231F1F"/>
          <w:w w:val="105"/>
        </w:rPr>
        <w:t>parto</w:t>
      </w:r>
      <w:r>
        <w:rPr>
          <w:color w:val="231F1F"/>
          <w:spacing w:val="-5"/>
          <w:w w:val="105"/>
        </w:rPr>
        <w:t> </w:t>
      </w:r>
      <w:r>
        <w:rPr>
          <w:color w:val="231F1F"/>
          <w:w w:val="105"/>
        </w:rPr>
        <w:t>[NE=1+]. La</w:t>
      </w:r>
      <w:r>
        <w:rPr>
          <w:color w:val="231F1F"/>
          <w:w w:val="105"/>
        </w:rPr>
        <w:t> duración</w:t>
      </w:r>
      <w:r>
        <w:rPr>
          <w:color w:val="231F1F"/>
          <w:w w:val="105"/>
        </w:rPr>
        <w:t> del</w:t>
      </w:r>
      <w:r>
        <w:rPr>
          <w:color w:val="231F1F"/>
          <w:w w:val="105"/>
        </w:rPr>
        <w:t> retraso</w:t>
      </w:r>
      <w:r>
        <w:rPr>
          <w:color w:val="231F1F"/>
          <w:w w:val="105"/>
        </w:rPr>
        <w:t> hasta</w:t>
      </w:r>
      <w:r>
        <w:rPr>
          <w:color w:val="231F1F"/>
          <w:w w:val="105"/>
        </w:rPr>
        <w:t> comenzar</w:t>
      </w:r>
      <w:r>
        <w:rPr>
          <w:color w:val="231F1F"/>
          <w:w w:val="105"/>
        </w:rPr>
        <w:t> los</w:t>
      </w:r>
      <w:r>
        <w:rPr>
          <w:color w:val="231F1F"/>
          <w:w w:val="105"/>
        </w:rPr>
        <w:t> pujos</w:t>
      </w:r>
      <w:r>
        <w:rPr>
          <w:color w:val="231F1F"/>
          <w:w w:val="105"/>
        </w:rPr>
        <w:t> en</w:t>
      </w:r>
      <w:r>
        <w:rPr>
          <w:color w:val="231F1F"/>
          <w:w w:val="105"/>
        </w:rPr>
        <w:t> el</w:t>
      </w:r>
      <w:r>
        <w:rPr>
          <w:color w:val="231F1F"/>
          <w:w w:val="105"/>
        </w:rPr>
        <w:t> grupo</w:t>
      </w:r>
      <w:r>
        <w:rPr>
          <w:color w:val="231F1F"/>
          <w:w w:val="105"/>
        </w:rPr>
        <w:t> experimental varió entre los diferentes estudios, desde 1 hasta 3 horas. Los resultados pri- marios evaluados fueron los partos instrumentados y los secundarios incluían otros</w:t>
      </w:r>
      <w:r>
        <w:rPr>
          <w:color w:val="231F1F"/>
          <w:w w:val="105"/>
        </w:rPr>
        <w:t> tipos</w:t>
      </w:r>
      <w:r>
        <w:rPr>
          <w:color w:val="231F1F"/>
          <w:w w:val="105"/>
        </w:rPr>
        <w:t> de</w:t>
      </w:r>
      <w:r>
        <w:rPr>
          <w:color w:val="231F1F"/>
          <w:w w:val="105"/>
        </w:rPr>
        <w:t> partos,</w:t>
      </w:r>
      <w:r>
        <w:rPr>
          <w:color w:val="231F1F"/>
          <w:w w:val="105"/>
        </w:rPr>
        <w:t> alcance</w:t>
      </w:r>
      <w:r>
        <w:rPr>
          <w:color w:val="231F1F"/>
          <w:w w:val="105"/>
        </w:rPr>
        <w:t> de</w:t>
      </w:r>
      <w:r>
        <w:rPr>
          <w:color w:val="231F1F"/>
          <w:w w:val="105"/>
        </w:rPr>
        <w:t> las</w:t>
      </w:r>
      <w:r>
        <w:rPr>
          <w:color w:val="231F1F"/>
          <w:w w:val="105"/>
        </w:rPr>
        <w:t> complicaciones</w:t>
      </w:r>
      <w:r>
        <w:rPr>
          <w:color w:val="231F1F"/>
          <w:w w:val="105"/>
        </w:rPr>
        <w:t> maternas,</w:t>
      </w:r>
      <w:r>
        <w:rPr>
          <w:color w:val="231F1F"/>
          <w:w w:val="105"/>
        </w:rPr>
        <w:t> resultados maternos a largo plazo y resultados fetales.</w:t>
      </w:r>
    </w:p>
    <w:p>
      <w:pPr>
        <w:pStyle w:val="BodyText"/>
        <w:spacing w:line="244" w:lineRule="auto" w:before="142"/>
        <w:ind w:left="283" w:right="1364" w:firstLine="453"/>
        <w:jc w:val="both"/>
      </w:pPr>
      <w:r>
        <w:rPr>
          <w:color w:val="231F1F"/>
          <w:w w:val="105"/>
        </w:rPr>
        <w:t>Se</w:t>
      </w:r>
      <w:r>
        <w:rPr>
          <w:color w:val="231F1F"/>
          <w:w w:val="105"/>
        </w:rPr>
        <w:t> incluyeron</w:t>
      </w:r>
      <w:r>
        <w:rPr>
          <w:color w:val="231F1F"/>
          <w:w w:val="105"/>
        </w:rPr>
        <w:t> nueve</w:t>
      </w:r>
      <w:r>
        <w:rPr>
          <w:color w:val="231F1F"/>
          <w:w w:val="105"/>
        </w:rPr>
        <w:t> estudios</w:t>
      </w:r>
      <w:r>
        <w:rPr>
          <w:color w:val="231F1F"/>
          <w:w w:val="105"/>
        </w:rPr>
        <w:t> en</w:t>
      </w:r>
      <w:r>
        <w:rPr>
          <w:color w:val="231F1F"/>
          <w:w w:val="105"/>
        </w:rPr>
        <w:t> la</w:t>
      </w:r>
      <w:r>
        <w:rPr>
          <w:color w:val="231F1F"/>
          <w:w w:val="105"/>
        </w:rPr>
        <w:t> revisión,</w:t>
      </w:r>
      <w:r>
        <w:rPr>
          <w:color w:val="231F1F"/>
          <w:w w:val="105"/>
        </w:rPr>
        <w:t> que</w:t>
      </w:r>
      <w:r>
        <w:rPr>
          <w:color w:val="231F1F"/>
          <w:w w:val="105"/>
        </w:rPr>
        <w:t> abarcaban</w:t>
      </w:r>
      <w:r>
        <w:rPr>
          <w:color w:val="231F1F"/>
          <w:w w:val="105"/>
        </w:rPr>
        <w:t> un</w:t>
      </w:r>
      <w:r>
        <w:rPr>
          <w:color w:val="231F1F"/>
          <w:w w:val="105"/>
        </w:rPr>
        <w:t> total</w:t>
      </w:r>
      <w:r>
        <w:rPr>
          <w:color w:val="231F1F"/>
          <w:w w:val="105"/>
        </w:rPr>
        <w:t> de 2.959</w:t>
      </w:r>
      <w:r>
        <w:rPr>
          <w:color w:val="231F1F"/>
          <w:w w:val="105"/>
        </w:rPr>
        <w:t> mujeres.</w:t>
      </w:r>
      <w:r>
        <w:rPr>
          <w:color w:val="231F1F"/>
          <w:w w:val="105"/>
        </w:rPr>
        <w:t> En</w:t>
      </w:r>
      <w:r>
        <w:rPr>
          <w:color w:val="231F1F"/>
          <w:w w:val="105"/>
        </w:rPr>
        <w:t> varios</w:t>
      </w:r>
      <w:r>
        <w:rPr>
          <w:color w:val="231F1F"/>
          <w:w w:val="105"/>
        </w:rPr>
        <w:t> estudios</w:t>
      </w:r>
      <w:r>
        <w:rPr>
          <w:color w:val="231F1F"/>
          <w:w w:val="105"/>
        </w:rPr>
        <w:t> se</w:t>
      </w:r>
      <w:r>
        <w:rPr>
          <w:color w:val="231F1F"/>
          <w:w w:val="105"/>
        </w:rPr>
        <w:t> excluían</w:t>
      </w:r>
      <w:r>
        <w:rPr>
          <w:color w:val="231F1F"/>
          <w:w w:val="105"/>
        </w:rPr>
        <w:t> mujeres</w:t>
      </w:r>
      <w:r>
        <w:rPr>
          <w:color w:val="231F1F"/>
          <w:w w:val="105"/>
        </w:rPr>
        <w:t> con</w:t>
      </w:r>
      <w:r>
        <w:rPr>
          <w:color w:val="231F1F"/>
          <w:w w:val="105"/>
        </w:rPr>
        <w:t> complicaciones médicas</w:t>
      </w:r>
      <w:r>
        <w:rPr>
          <w:color w:val="231F1F"/>
          <w:w w:val="105"/>
        </w:rPr>
        <w:t> u</w:t>
      </w:r>
      <w:r>
        <w:rPr>
          <w:color w:val="231F1F"/>
          <w:w w:val="105"/>
        </w:rPr>
        <w:t> obstétricas.</w:t>
      </w:r>
      <w:r>
        <w:rPr>
          <w:color w:val="231F1F"/>
          <w:w w:val="105"/>
        </w:rPr>
        <w:t> El</w:t>
      </w:r>
      <w:r>
        <w:rPr>
          <w:color w:val="231F1F"/>
          <w:w w:val="105"/>
        </w:rPr>
        <w:t> manejo</w:t>
      </w:r>
      <w:r>
        <w:rPr>
          <w:color w:val="231F1F"/>
          <w:w w:val="105"/>
        </w:rPr>
        <w:t> de</w:t>
      </w:r>
      <w:r>
        <w:rPr>
          <w:color w:val="231F1F"/>
          <w:w w:val="105"/>
        </w:rPr>
        <w:t> la</w:t>
      </w:r>
      <w:r>
        <w:rPr>
          <w:color w:val="231F1F"/>
          <w:w w:val="105"/>
        </w:rPr>
        <w:t> fase</w:t>
      </w:r>
      <w:r>
        <w:rPr>
          <w:color w:val="231F1F"/>
          <w:w w:val="105"/>
        </w:rPr>
        <w:t> activa</w:t>
      </w:r>
      <w:r>
        <w:rPr>
          <w:color w:val="231F1F"/>
          <w:w w:val="105"/>
        </w:rPr>
        <w:t> de</w:t>
      </w:r>
      <w:r>
        <w:rPr>
          <w:color w:val="231F1F"/>
          <w:w w:val="105"/>
        </w:rPr>
        <w:t> la</w:t>
      </w:r>
      <w:r>
        <w:rPr>
          <w:color w:val="231F1F"/>
          <w:w w:val="105"/>
        </w:rPr>
        <w:t> 2ª</w:t>
      </w:r>
      <w:r>
        <w:rPr>
          <w:color w:val="231F1F"/>
          <w:w w:val="105"/>
        </w:rPr>
        <w:t> etapa</w:t>
      </w:r>
      <w:r>
        <w:rPr>
          <w:color w:val="231F1F"/>
          <w:w w:val="105"/>
        </w:rPr>
        <w:t> varió</w:t>
      </w:r>
      <w:r>
        <w:rPr>
          <w:color w:val="231F1F"/>
          <w:w w:val="105"/>
        </w:rPr>
        <w:t> entre estudios e incluyó</w:t>
      </w:r>
      <w:r>
        <w:rPr>
          <w:color w:val="231F1F"/>
          <w:spacing w:val="-1"/>
          <w:w w:val="105"/>
        </w:rPr>
        <w:t> </w:t>
      </w:r>
      <w:r>
        <w:rPr>
          <w:color w:val="231F1F"/>
          <w:w w:val="105"/>
        </w:rPr>
        <w:t>diferentes</w:t>
      </w:r>
      <w:r>
        <w:rPr>
          <w:color w:val="231F1F"/>
          <w:spacing w:val="-1"/>
          <w:w w:val="105"/>
        </w:rPr>
        <w:t> </w:t>
      </w:r>
      <w:r>
        <w:rPr>
          <w:color w:val="231F1F"/>
          <w:w w:val="105"/>
        </w:rPr>
        <w:t>técnicas</w:t>
      </w:r>
      <w:r>
        <w:rPr>
          <w:color w:val="231F1F"/>
          <w:spacing w:val="-1"/>
          <w:w w:val="105"/>
        </w:rPr>
        <w:t> </w:t>
      </w:r>
      <w:r>
        <w:rPr>
          <w:color w:val="231F1F"/>
          <w:w w:val="105"/>
        </w:rPr>
        <w:t>de</w:t>
      </w:r>
      <w:r>
        <w:rPr>
          <w:color w:val="231F1F"/>
          <w:spacing w:val="-1"/>
          <w:w w:val="105"/>
        </w:rPr>
        <w:t> </w:t>
      </w:r>
      <w:r>
        <w:rPr>
          <w:color w:val="231F1F"/>
          <w:w w:val="105"/>
        </w:rPr>
        <w:t>pujo</w:t>
      </w:r>
      <w:r>
        <w:rPr>
          <w:color w:val="231F1F"/>
          <w:spacing w:val="-1"/>
          <w:w w:val="105"/>
        </w:rPr>
        <w:t> </w:t>
      </w:r>
      <w:r>
        <w:rPr>
          <w:color w:val="231F1F"/>
          <w:w w:val="105"/>
        </w:rPr>
        <w:t>y el</w:t>
      </w:r>
      <w:r>
        <w:rPr>
          <w:color w:val="231F1F"/>
          <w:spacing w:val="-1"/>
          <w:w w:val="105"/>
        </w:rPr>
        <w:t> </w:t>
      </w:r>
      <w:r>
        <w:rPr>
          <w:color w:val="231F1F"/>
          <w:w w:val="105"/>
        </w:rPr>
        <w:t>uso</w:t>
      </w:r>
      <w:r>
        <w:rPr>
          <w:color w:val="231F1F"/>
          <w:spacing w:val="-1"/>
          <w:w w:val="105"/>
        </w:rPr>
        <w:t> </w:t>
      </w:r>
      <w:r>
        <w:rPr>
          <w:color w:val="231F1F"/>
          <w:w w:val="105"/>
        </w:rPr>
        <w:t>de</w:t>
      </w:r>
      <w:r>
        <w:rPr>
          <w:color w:val="231F1F"/>
          <w:spacing w:val="-1"/>
          <w:w w:val="105"/>
        </w:rPr>
        <w:t> </w:t>
      </w:r>
      <w:r>
        <w:rPr>
          <w:color w:val="231F1F"/>
          <w:w w:val="105"/>
        </w:rPr>
        <w:t>oxitocina.</w:t>
      </w:r>
      <w:r>
        <w:rPr>
          <w:color w:val="231F1F"/>
          <w:spacing w:val="-1"/>
          <w:w w:val="105"/>
        </w:rPr>
        <w:t> </w:t>
      </w:r>
      <w:r>
        <w:rPr>
          <w:color w:val="231F1F"/>
          <w:w w:val="105"/>
        </w:rPr>
        <w:t>La</w:t>
      </w:r>
      <w:r>
        <w:rPr>
          <w:color w:val="231F1F"/>
          <w:spacing w:val="-1"/>
          <w:w w:val="105"/>
        </w:rPr>
        <w:t> </w:t>
      </w:r>
      <w:r>
        <w:rPr>
          <w:color w:val="231F1F"/>
          <w:w w:val="105"/>
        </w:rPr>
        <w:t>calidad metodológica de los estudios incluidos es variada.</w:t>
      </w:r>
    </w:p>
    <w:p>
      <w:pPr>
        <w:pStyle w:val="BodyText"/>
        <w:tabs>
          <w:tab w:pos="7720" w:val="left" w:leader="none"/>
          <w:tab w:pos="7941" w:val="left" w:leader="none"/>
          <w:tab w:pos="8114" w:val="left" w:leader="none"/>
        </w:tabs>
        <w:spacing w:line="247" w:lineRule="auto" w:before="97"/>
        <w:ind w:left="283" w:right="340" w:firstLine="453"/>
      </w:pPr>
      <w:r>
        <w:rPr>
          <w:color w:val="231F1F"/>
        </w:rPr>
        <w:t>En el metaanálisis se observó una pequeña reducción, sin alcanzar signi-</w:t>
        <w:tab/>
      </w:r>
      <w:r>
        <w:rPr>
          <w:rFonts w:ascii="Arial MT" w:hAnsi="Arial MT"/>
          <w:color w:val="231F1F"/>
          <w:sz w:val="18"/>
        </w:rPr>
        <w:t>RS-MA</w:t>
      </w:r>
      <w:r>
        <w:rPr>
          <w:rFonts w:ascii="Arial MT" w:hAnsi="Arial MT"/>
          <w:color w:val="231F1F"/>
          <w:spacing w:val="-7"/>
          <w:sz w:val="18"/>
        </w:rPr>
        <w:t> </w:t>
      </w:r>
      <w:r>
        <w:rPr>
          <w:rFonts w:ascii="Arial MT" w:hAnsi="Arial MT"/>
          <w:color w:val="231F1F"/>
          <w:sz w:val="18"/>
        </w:rPr>
        <w:t>de </w:t>
      </w:r>
      <w:r>
        <w:rPr>
          <w:color w:val="231F1F"/>
          <w:w w:val="105"/>
        </w:rPr>
        <w:t>ficación estadística, en la incidencia de partos instrumentados: RR 0,94 [IC</w:t>
      </w:r>
      <w:r>
        <w:rPr>
          <w:color w:val="231F1F"/>
        </w:rPr>
        <w:tab/>
        <w:tab/>
      </w:r>
      <w:r>
        <w:rPr>
          <w:rFonts w:ascii="Arial MT" w:hAnsi="Arial MT"/>
          <w:color w:val="231F1F"/>
          <w:spacing w:val="-4"/>
          <w:w w:val="105"/>
          <w:position w:val="4"/>
          <w:sz w:val="18"/>
        </w:rPr>
        <w:t>ECAS </w:t>
      </w:r>
      <w:r>
        <w:rPr>
          <w:color w:val="231F1F"/>
          <w:w w:val="105"/>
        </w:rPr>
        <w:t>95% 0,84 a 1,01] en el grupo de pujos retardados y una reducción significativa</w:t>
      </w:r>
      <w:r>
        <w:rPr>
          <w:color w:val="231F1F"/>
        </w:rPr>
        <w:tab/>
        <w:tab/>
        <w:tab/>
      </w:r>
      <w:r>
        <w:rPr>
          <w:rFonts w:ascii="Arial MT" w:hAnsi="Arial MT"/>
          <w:color w:val="231F1F"/>
          <w:spacing w:val="-6"/>
          <w:w w:val="105"/>
          <w:position w:val="8"/>
          <w:sz w:val="18"/>
        </w:rPr>
        <w:t>1+</w:t>
      </w:r>
      <w:r>
        <w:rPr>
          <w:rFonts w:ascii="Arial MT" w:hAnsi="Arial MT"/>
          <w:color w:val="231F1F"/>
          <w:spacing w:val="40"/>
          <w:w w:val="105"/>
          <w:position w:val="8"/>
          <w:sz w:val="18"/>
        </w:rPr>
        <w:t> </w:t>
      </w:r>
      <w:r>
        <w:rPr>
          <w:color w:val="231F1F"/>
          <w:w w:val="105"/>
        </w:rPr>
        <w:t>de partos instrumentales rotacionales o por fórceps: RR 0,69 [IC 95% 0,55 a</w:t>
      </w:r>
    </w:p>
    <w:p>
      <w:pPr>
        <w:pStyle w:val="BodyText"/>
        <w:spacing w:line="239" w:lineRule="exact"/>
        <w:ind w:left="283"/>
      </w:pPr>
      <w:r>
        <w:rPr>
          <w:color w:val="231F1F"/>
          <w:spacing w:val="-2"/>
          <w:w w:val="110"/>
        </w:rPr>
        <w:t>0,87].</w:t>
      </w:r>
    </w:p>
    <w:p>
      <w:pPr>
        <w:pStyle w:val="BodyText"/>
        <w:spacing w:after="0" w:line="239" w:lineRule="exact"/>
        <w:sectPr>
          <w:pgSz w:w="11900" w:h="16840"/>
          <w:pgMar w:header="0" w:footer="622" w:top="1560" w:bottom="820" w:left="1417" w:right="1559"/>
        </w:sectPr>
      </w:pPr>
    </w:p>
    <w:p>
      <w:pPr>
        <w:pStyle w:val="BodyText"/>
        <w:spacing w:line="247" w:lineRule="auto" w:before="73"/>
        <w:ind w:left="283" w:right="3" w:firstLine="453"/>
        <w:jc w:val="both"/>
      </w:pPr>
      <w:r>
        <w:rPr>
          <w:color w:val="231F1F"/>
          <w:w w:val="105"/>
        </w:rPr>
        <w:t>La</w:t>
      </w:r>
      <w:r>
        <w:rPr>
          <w:color w:val="231F1F"/>
          <w:w w:val="105"/>
        </w:rPr>
        <w:t> duración</w:t>
      </w:r>
      <w:r>
        <w:rPr>
          <w:color w:val="231F1F"/>
          <w:w w:val="105"/>
        </w:rPr>
        <w:t> total</w:t>
      </w:r>
      <w:r>
        <w:rPr>
          <w:color w:val="231F1F"/>
          <w:w w:val="105"/>
        </w:rPr>
        <w:t> de</w:t>
      </w:r>
      <w:r>
        <w:rPr>
          <w:color w:val="231F1F"/>
          <w:w w:val="105"/>
        </w:rPr>
        <w:t> la</w:t>
      </w:r>
      <w:r>
        <w:rPr>
          <w:color w:val="231F1F"/>
          <w:w w:val="105"/>
        </w:rPr>
        <w:t> segunda</w:t>
      </w:r>
      <w:r>
        <w:rPr>
          <w:color w:val="231F1F"/>
          <w:w w:val="105"/>
        </w:rPr>
        <w:t> etapa</w:t>
      </w:r>
      <w:r>
        <w:rPr>
          <w:color w:val="231F1F"/>
          <w:w w:val="105"/>
        </w:rPr>
        <w:t> fue</w:t>
      </w:r>
      <w:r>
        <w:rPr>
          <w:color w:val="231F1F"/>
          <w:w w:val="105"/>
        </w:rPr>
        <w:t> significativamente</w:t>
      </w:r>
      <w:r>
        <w:rPr>
          <w:color w:val="231F1F"/>
          <w:w w:val="105"/>
        </w:rPr>
        <w:t> más</w:t>
      </w:r>
      <w:r>
        <w:rPr>
          <w:color w:val="231F1F"/>
          <w:w w:val="105"/>
        </w:rPr>
        <w:t> larga</w:t>
      </w:r>
      <w:r>
        <w:rPr>
          <w:color w:val="231F1F"/>
          <w:spacing w:val="80"/>
          <w:w w:val="150"/>
        </w:rPr>
        <w:t> </w:t>
      </w:r>
      <w:r>
        <w:rPr>
          <w:color w:val="231F1F"/>
          <w:w w:val="105"/>
        </w:rPr>
        <w:t>en</w:t>
      </w:r>
      <w:r>
        <w:rPr>
          <w:color w:val="231F1F"/>
          <w:w w:val="105"/>
        </w:rPr>
        <w:t> el</w:t>
      </w:r>
      <w:r>
        <w:rPr>
          <w:color w:val="231F1F"/>
          <w:w w:val="105"/>
        </w:rPr>
        <w:t> grupo</w:t>
      </w:r>
      <w:r>
        <w:rPr>
          <w:color w:val="231F1F"/>
          <w:w w:val="105"/>
        </w:rPr>
        <w:t> de</w:t>
      </w:r>
      <w:r>
        <w:rPr>
          <w:color w:val="231F1F"/>
          <w:w w:val="105"/>
        </w:rPr>
        <w:t> pujos</w:t>
      </w:r>
      <w:r>
        <w:rPr>
          <w:color w:val="231F1F"/>
          <w:w w:val="105"/>
        </w:rPr>
        <w:t> retardados</w:t>
      </w:r>
      <w:r>
        <w:rPr>
          <w:color w:val="231F1F"/>
          <w:w w:val="105"/>
        </w:rPr>
        <w:t> en</w:t>
      </w:r>
      <w:r>
        <w:rPr>
          <w:color w:val="231F1F"/>
          <w:w w:val="105"/>
        </w:rPr>
        <w:t> siete</w:t>
      </w:r>
      <w:r>
        <w:rPr>
          <w:color w:val="231F1F"/>
          <w:w w:val="105"/>
        </w:rPr>
        <w:t> de</w:t>
      </w:r>
      <w:r>
        <w:rPr>
          <w:color w:val="231F1F"/>
          <w:w w:val="105"/>
        </w:rPr>
        <w:t> los</w:t>
      </w:r>
      <w:r>
        <w:rPr>
          <w:color w:val="231F1F"/>
          <w:w w:val="105"/>
        </w:rPr>
        <w:t> ocho</w:t>
      </w:r>
      <w:r>
        <w:rPr>
          <w:color w:val="231F1F"/>
          <w:w w:val="105"/>
        </w:rPr>
        <w:t> estudios</w:t>
      </w:r>
      <w:r>
        <w:rPr>
          <w:color w:val="231F1F"/>
          <w:w w:val="105"/>
        </w:rPr>
        <w:t> en</w:t>
      </w:r>
      <w:r>
        <w:rPr>
          <w:color w:val="231F1F"/>
          <w:w w:val="105"/>
        </w:rPr>
        <w:t> los</w:t>
      </w:r>
      <w:r>
        <w:rPr>
          <w:color w:val="231F1F"/>
          <w:w w:val="105"/>
        </w:rPr>
        <w:t> que</w:t>
      </w:r>
      <w:r>
        <w:rPr>
          <w:color w:val="231F1F"/>
          <w:w w:val="105"/>
        </w:rPr>
        <w:t> se notificó,</w:t>
      </w:r>
      <w:r>
        <w:rPr>
          <w:color w:val="231F1F"/>
          <w:w w:val="105"/>
        </w:rPr>
        <w:t> con</w:t>
      </w:r>
      <w:r>
        <w:rPr>
          <w:color w:val="231F1F"/>
          <w:w w:val="105"/>
        </w:rPr>
        <w:t> un</w:t>
      </w:r>
      <w:r>
        <w:rPr>
          <w:color w:val="231F1F"/>
          <w:w w:val="105"/>
        </w:rPr>
        <w:t> incremento</w:t>
      </w:r>
      <w:r>
        <w:rPr>
          <w:color w:val="231F1F"/>
          <w:w w:val="105"/>
        </w:rPr>
        <w:t> global</w:t>
      </w:r>
      <w:r>
        <w:rPr>
          <w:color w:val="231F1F"/>
          <w:w w:val="105"/>
        </w:rPr>
        <w:t> de</w:t>
      </w:r>
      <w:r>
        <w:rPr>
          <w:color w:val="231F1F"/>
          <w:w w:val="105"/>
        </w:rPr>
        <w:t> 58</w:t>
      </w:r>
      <w:r>
        <w:rPr>
          <w:color w:val="231F1F"/>
          <w:w w:val="105"/>
        </w:rPr>
        <w:t> minutos.</w:t>
      </w:r>
      <w:r>
        <w:rPr>
          <w:color w:val="231F1F"/>
          <w:w w:val="105"/>
        </w:rPr>
        <w:t> Sin</w:t>
      </w:r>
      <w:r>
        <w:rPr>
          <w:color w:val="231F1F"/>
          <w:w w:val="105"/>
        </w:rPr>
        <w:t> embargo,</w:t>
      </w:r>
      <w:r>
        <w:rPr>
          <w:color w:val="231F1F"/>
          <w:w w:val="105"/>
        </w:rPr>
        <w:t> la</w:t>
      </w:r>
      <w:r>
        <w:rPr>
          <w:color w:val="231F1F"/>
          <w:w w:val="105"/>
        </w:rPr>
        <w:t> duración</w:t>
      </w:r>
      <w:r>
        <w:rPr>
          <w:color w:val="231F1F"/>
          <w:spacing w:val="80"/>
          <w:w w:val="105"/>
        </w:rPr>
        <w:t> </w:t>
      </w:r>
      <w:r>
        <w:rPr>
          <w:color w:val="231F1F"/>
          <w:w w:val="105"/>
        </w:rPr>
        <w:t>de la fase activa de la 2ª etapa varió entre los diferentes estudios. Sólo en dos estudios</w:t>
      </w:r>
      <w:r>
        <w:rPr>
          <w:color w:val="231F1F"/>
          <w:w w:val="105"/>
        </w:rPr>
        <w:t> hablaban</w:t>
      </w:r>
      <w:r>
        <w:rPr>
          <w:color w:val="231F1F"/>
          <w:w w:val="105"/>
        </w:rPr>
        <w:t> de</w:t>
      </w:r>
      <w:r>
        <w:rPr>
          <w:color w:val="231F1F"/>
          <w:w w:val="105"/>
        </w:rPr>
        <w:t> fiebre</w:t>
      </w:r>
      <w:r>
        <w:rPr>
          <w:color w:val="231F1F"/>
          <w:w w:val="105"/>
        </w:rPr>
        <w:t> durante</w:t>
      </w:r>
      <w:r>
        <w:rPr>
          <w:color w:val="231F1F"/>
          <w:w w:val="105"/>
        </w:rPr>
        <w:t> el</w:t>
      </w:r>
      <w:r>
        <w:rPr>
          <w:color w:val="231F1F"/>
          <w:w w:val="105"/>
        </w:rPr>
        <w:t> parto,</w:t>
      </w:r>
      <w:r>
        <w:rPr>
          <w:color w:val="231F1F"/>
          <w:w w:val="105"/>
        </w:rPr>
        <w:t> en</w:t>
      </w:r>
      <w:r>
        <w:rPr>
          <w:color w:val="231F1F"/>
          <w:w w:val="105"/>
        </w:rPr>
        <w:t> uno</w:t>
      </w:r>
      <w:r>
        <w:rPr>
          <w:color w:val="231F1F"/>
          <w:w w:val="105"/>
        </w:rPr>
        <w:t> no</w:t>
      </w:r>
      <w:r>
        <w:rPr>
          <w:color w:val="231F1F"/>
          <w:w w:val="105"/>
        </w:rPr>
        <w:t> se</w:t>
      </w:r>
      <w:r>
        <w:rPr>
          <w:color w:val="231F1F"/>
          <w:w w:val="105"/>
        </w:rPr>
        <w:t> observaron</w:t>
      </w:r>
      <w:r>
        <w:rPr>
          <w:color w:val="231F1F"/>
          <w:w w:val="105"/>
        </w:rPr>
        <w:t> dife- rencias significativas; en el otro se encontró una incidencia significativamen- te</w:t>
      </w:r>
      <w:r>
        <w:rPr>
          <w:color w:val="231F1F"/>
          <w:w w:val="105"/>
        </w:rPr>
        <w:t> mayor</w:t>
      </w:r>
      <w:r>
        <w:rPr>
          <w:color w:val="231F1F"/>
          <w:w w:val="105"/>
        </w:rPr>
        <w:t> en</w:t>
      </w:r>
      <w:r>
        <w:rPr>
          <w:color w:val="231F1F"/>
          <w:w w:val="105"/>
        </w:rPr>
        <w:t> el</w:t>
      </w:r>
      <w:r>
        <w:rPr>
          <w:color w:val="231F1F"/>
          <w:w w:val="105"/>
        </w:rPr>
        <w:t> grupo</w:t>
      </w:r>
      <w:r>
        <w:rPr>
          <w:color w:val="231F1F"/>
          <w:w w:val="105"/>
        </w:rPr>
        <w:t> de</w:t>
      </w:r>
      <w:r>
        <w:rPr>
          <w:color w:val="231F1F"/>
          <w:w w:val="105"/>
        </w:rPr>
        <w:t> pujos</w:t>
      </w:r>
      <w:r>
        <w:rPr>
          <w:color w:val="231F1F"/>
          <w:w w:val="105"/>
        </w:rPr>
        <w:t> con</w:t>
      </w:r>
      <w:r>
        <w:rPr>
          <w:color w:val="231F1F"/>
          <w:w w:val="105"/>
        </w:rPr>
        <w:t> retraso.</w:t>
      </w:r>
      <w:r>
        <w:rPr>
          <w:color w:val="231F1F"/>
          <w:w w:val="105"/>
        </w:rPr>
        <w:t> Uno</w:t>
      </w:r>
      <w:r>
        <w:rPr>
          <w:color w:val="231F1F"/>
          <w:w w:val="105"/>
        </w:rPr>
        <w:t> de</w:t>
      </w:r>
      <w:r>
        <w:rPr>
          <w:color w:val="231F1F"/>
          <w:w w:val="105"/>
        </w:rPr>
        <w:t> los</w:t>
      </w:r>
      <w:r>
        <w:rPr>
          <w:color w:val="231F1F"/>
          <w:w w:val="105"/>
        </w:rPr>
        <w:t> estudio</w:t>
      </w:r>
      <w:r>
        <w:rPr>
          <w:color w:val="231F1F"/>
          <w:w w:val="105"/>
        </w:rPr>
        <w:t> publicó</w:t>
      </w:r>
      <w:r>
        <w:rPr>
          <w:color w:val="231F1F"/>
          <w:w w:val="105"/>
        </w:rPr>
        <w:t> mor- bilidad del suelo pélvico en los tres meses posparto y no encontró diferencias significativas entre los dos grupos. Ningún estudio notificó datos de inconti- nencia</w:t>
      </w:r>
      <w:r>
        <w:rPr>
          <w:color w:val="231F1F"/>
          <w:w w:val="105"/>
        </w:rPr>
        <w:t> urinaria.</w:t>
      </w:r>
      <w:r>
        <w:rPr>
          <w:color w:val="231F1F"/>
          <w:w w:val="105"/>
        </w:rPr>
        <w:t> Pocos</w:t>
      </w:r>
      <w:r>
        <w:rPr>
          <w:color w:val="231F1F"/>
          <w:w w:val="105"/>
        </w:rPr>
        <w:t> estudios</w:t>
      </w:r>
      <w:r>
        <w:rPr>
          <w:color w:val="231F1F"/>
          <w:w w:val="105"/>
        </w:rPr>
        <w:t> informaron</w:t>
      </w:r>
      <w:r>
        <w:rPr>
          <w:color w:val="231F1F"/>
          <w:w w:val="105"/>
        </w:rPr>
        <w:t> acerca</w:t>
      </w:r>
      <w:r>
        <w:rPr>
          <w:color w:val="231F1F"/>
          <w:w w:val="105"/>
        </w:rPr>
        <w:t> de</w:t>
      </w:r>
      <w:r>
        <w:rPr>
          <w:color w:val="231F1F"/>
          <w:w w:val="105"/>
        </w:rPr>
        <w:t> resultados</w:t>
      </w:r>
      <w:r>
        <w:rPr>
          <w:color w:val="231F1F"/>
          <w:w w:val="105"/>
        </w:rPr>
        <w:t> neonatales,</w:t>
      </w:r>
      <w:r>
        <w:rPr>
          <w:color w:val="231F1F"/>
          <w:spacing w:val="80"/>
          <w:w w:val="105"/>
        </w:rPr>
        <w:t> </w:t>
      </w:r>
      <w:r>
        <w:rPr>
          <w:color w:val="231F1F"/>
          <w:w w:val="105"/>
        </w:rPr>
        <w:t>no existieron diferencias significativas entre los dos grupos en los resultados </w:t>
      </w:r>
      <w:r>
        <w:rPr>
          <w:color w:val="231F1F"/>
          <w:spacing w:val="-2"/>
          <w:w w:val="105"/>
        </w:rPr>
        <w:t>examinados.</w:t>
      </w:r>
    </w:p>
    <w:p>
      <w:pPr>
        <w:pStyle w:val="BodyText"/>
        <w:spacing w:line="247" w:lineRule="auto" w:before="41"/>
        <w:ind w:left="283" w:firstLine="453"/>
        <w:jc w:val="both"/>
      </w:pPr>
      <w:r>
        <w:rPr>
          <w:color w:val="231F1F"/>
          <w:w w:val="105"/>
        </w:rPr>
        <w:t>Un</w:t>
      </w:r>
      <w:r>
        <w:rPr>
          <w:color w:val="231F1F"/>
          <w:w w:val="105"/>
        </w:rPr>
        <w:t> ECA</w:t>
      </w:r>
      <w:r>
        <w:rPr>
          <w:color w:val="231F1F"/>
          <w:w w:val="105"/>
        </w:rPr>
        <w:t> (145)</w:t>
      </w:r>
      <w:r>
        <w:rPr>
          <w:color w:val="231F1F"/>
          <w:w w:val="105"/>
        </w:rPr>
        <w:t> comparaba</w:t>
      </w:r>
      <w:r>
        <w:rPr>
          <w:color w:val="231F1F"/>
          <w:w w:val="105"/>
        </w:rPr>
        <w:t> los</w:t>
      </w:r>
      <w:r>
        <w:rPr>
          <w:color w:val="231F1F"/>
          <w:w w:val="105"/>
        </w:rPr>
        <w:t> pujos</w:t>
      </w:r>
      <w:r>
        <w:rPr>
          <w:color w:val="231F1F"/>
          <w:w w:val="105"/>
        </w:rPr>
        <w:t> inmediatos</w:t>
      </w:r>
      <w:r>
        <w:rPr>
          <w:color w:val="231F1F"/>
          <w:w w:val="105"/>
        </w:rPr>
        <w:t> (n=22)</w:t>
      </w:r>
      <w:r>
        <w:rPr>
          <w:color w:val="231F1F"/>
          <w:w w:val="105"/>
        </w:rPr>
        <w:t> frente</w:t>
      </w:r>
      <w:r>
        <w:rPr>
          <w:color w:val="231F1F"/>
          <w:w w:val="105"/>
        </w:rPr>
        <w:t> a</w:t>
      </w:r>
      <w:r>
        <w:rPr>
          <w:color w:val="231F1F"/>
          <w:w w:val="105"/>
        </w:rPr>
        <w:t> pujos retardados</w:t>
      </w:r>
      <w:r>
        <w:rPr>
          <w:color w:val="231F1F"/>
          <w:spacing w:val="37"/>
          <w:w w:val="105"/>
        </w:rPr>
        <w:t> </w:t>
      </w:r>
      <w:r>
        <w:rPr>
          <w:color w:val="231F1F"/>
          <w:w w:val="105"/>
        </w:rPr>
        <w:t>(n=23)</w:t>
      </w:r>
      <w:r>
        <w:rPr>
          <w:color w:val="231F1F"/>
          <w:spacing w:val="36"/>
          <w:w w:val="105"/>
        </w:rPr>
        <w:t> </w:t>
      </w:r>
      <w:r>
        <w:rPr>
          <w:color w:val="231F1F"/>
          <w:w w:val="105"/>
        </w:rPr>
        <w:t>en</w:t>
      </w:r>
      <w:r>
        <w:rPr>
          <w:color w:val="231F1F"/>
          <w:spacing w:val="36"/>
          <w:w w:val="105"/>
        </w:rPr>
        <w:t> </w:t>
      </w:r>
      <w:r>
        <w:rPr>
          <w:color w:val="231F1F"/>
          <w:w w:val="105"/>
        </w:rPr>
        <w:t>dos</w:t>
      </w:r>
      <w:r>
        <w:rPr>
          <w:color w:val="231F1F"/>
          <w:spacing w:val="36"/>
          <w:w w:val="105"/>
        </w:rPr>
        <w:t> </w:t>
      </w:r>
      <w:r>
        <w:rPr>
          <w:color w:val="231F1F"/>
          <w:w w:val="105"/>
        </w:rPr>
        <w:t>grupos</w:t>
      </w:r>
      <w:r>
        <w:rPr>
          <w:color w:val="231F1F"/>
          <w:spacing w:val="36"/>
          <w:w w:val="105"/>
        </w:rPr>
        <w:t> </w:t>
      </w:r>
      <w:r>
        <w:rPr>
          <w:color w:val="231F1F"/>
          <w:w w:val="105"/>
        </w:rPr>
        <w:t>de</w:t>
      </w:r>
      <w:r>
        <w:rPr>
          <w:color w:val="231F1F"/>
          <w:spacing w:val="35"/>
          <w:w w:val="105"/>
        </w:rPr>
        <w:t> </w:t>
      </w:r>
      <w:r>
        <w:rPr>
          <w:color w:val="231F1F"/>
          <w:w w:val="105"/>
        </w:rPr>
        <w:t>mujeres</w:t>
      </w:r>
      <w:r>
        <w:rPr>
          <w:color w:val="231F1F"/>
          <w:spacing w:val="36"/>
          <w:w w:val="105"/>
        </w:rPr>
        <w:t> </w:t>
      </w:r>
      <w:r>
        <w:rPr>
          <w:color w:val="231F1F"/>
          <w:w w:val="105"/>
        </w:rPr>
        <w:t>nulíparas,</w:t>
      </w:r>
      <w:r>
        <w:rPr>
          <w:color w:val="231F1F"/>
          <w:spacing w:val="35"/>
          <w:w w:val="105"/>
        </w:rPr>
        <w:t> </w:t>
      </w:r>
      <w:r>
        <w:rPr>
          <w:color w:val="231F1F"/>
          <w:w w:val="105"/>
        </w:rPr>
        <w:t>en</w:t>
      </w:r>
      <w:r>
        <w:rPr>
          <w:color w:val="231F1F"/>
          <w:spacing w:val="36"/>
          <w:w w:val="105"/>
        </w:rPr>
        <w:t> </w:t>
      </w:r>
      <w:r>
        <w:rPr>
          <w:color w:val="231F1F"/>
          <w:w w:val="105"/>
        </w:rPr>
        <w:t>partos</w:t>
      </w:r>
      <w:r>
        <w:rPr>
          <w:color w:val="231F1F"/>
          <w:spacing w:val="35"/>
          <w:w w:val="105"/>
        </w:rPr>
        <w:t> </w:t>
      </w:r>
      <w:r>
        <w:rPr>
          <w:color w:val="231F1F"/>
          <w:w w:val="105"/>
        </w:rPr>
        <w:t>inducidos a</w:t>
      </w:r>
      <w:r>
        <w:rPr>
          <w:color w:val="231F1F"/>
          <w:spacing w:val="38"/>
          <w:w w:val="105"/>
        </w:rPr>
        <w:t> </w:t>
      </w:r>
      <w:r>
        <w:rPr>
          <w:color w:val="231F1F"/>
          <w:w w:val="105"/>
        </w:rPr>
        <w:t>término</w:t>
      </w:r>
      <w:r>
        <w:rPr>
          <w:color w:val="231F1F"/>
          <w:spacing w:val="38"/>
          <w:w w:val="105"/>
        </w:rPr>
        <w:t> </w:t>
      </w:r>
      <w:r>
        <w:rPr>
          <w:color w:val="231F1F"/>
          <w:w w:val="105"/>
        </w:rPr>
        <w:t>y</w:t>
      </w:r>
      <w:r>
        <w:rPr>
          <w:color w:val="231F1F"/>
          <w:spacing w:val="38"/>
          <w:w w:val="105"/>
        </w:rPr>
        <w:t> </w:t>
      </w:r>
      <w:r>
        <w:rPr>
          <w:color w:val="231F1F"/>
          <w:w w:val="105"/>
        </w:rPr>
        <w:t>con</w:t>
      </w:r>
      <w:r>
        <w:rPr>
          <w:color w:val="231F1F"/>
          <w:spacing w:val="38"/>
          <w:w w:val="105"/>
        </w:rPr>
        <w:t> </w:t>
      </w:r>
      <w:r>
        <w:rPr>
          <w:color w:val="231F1F"/>
          <w:w w:val="105"/>
        </w:rPr>
        <w:t>analgesia</w:t>
      </w:r>
      <w:r>
        <w:rPr>
          <w:color w:val="231F1F"/>
          <w:spacing w:val="38"/>
          <w:w w:val="105"/>
        </w:rPr>
        <w:t> </w:t>
      </w:r>
      <w:r>
        <w:rPr>
          <w:color w:val="231F1F"/>
          <w:w w:val="105"/>
        </w:rPr>
        <w:t>epidural</w:t>
      </w:r>
      <w:r>
        <w:rPr>
          <w:color w:val="231F1F"/>
          <w:spacing w:val="38"/>
          <w:w w:val="105"/>
        </w:rPr>
        <w:t> </w:t>
      </w:r>
      <w:r>
        <w:rPr>
          <w:color w:val="231F1F"/>
          <w:w w:val="105"/>
        </w:rPr>
        <w:t>[NE=1+]</w:t>
      </w:r>
      <w:r>
        <w:rPr>
          <w:color w:val="231F1F"/>
          <w:spacing w:val="38"/>
          <w:w w:val="105"/>
        </w:rPr>
        <w:t> </w:t>
      </w:r>
      <w:r>
        <w:rPr>
          <w:color w:val="231F1F"/>
          <w:w w:val="105"/>
        </w:rPr>
        <w:t>y</w:t>
      </w:r>
      <w:r>
        <w:rPr>
          <w:color w:val="231F1F"/>
          <w:spacing w:val="38"/>
          <w:w w:val="105"/>
        </w:rPr>
        <w:t> </w:t>
      </w:r>
      <w:r>
        <w:rPr>
          <w:color w:val="231F1F"/>
          <w:w w:val="105"/>
        </w:rPr>
        <w:t>con</w:t>
      </w:r>
      <w:r>
        <w:rPr>
          <w:color w:val="231F1F"/>
          <w:spacing w:val="38"/>
          <w:w w:val="105"/>
        </w:rPr>
        <w:t> </w:t>
      </w:r>
      <w:r>
        <w:rPr>
          <w:color w:val="231F1F"/>
          <w:w w:val="105"/>
        </w:rPr>
        <w:t>perfusión</w:t>
      </w:r>
      <w:r>
        <w:rPr>
          <w:color w:val="231F1F"/>
          <w:spacing w:val="37"/>
          <w:w w:val="105"/>
        </w:rPr>
        <w:t> </w:t>
      </w:r>
      <w:r>
        <w:rPr>
          <w:color w:val="231F1F"/>
          <w:w w:val="105"/>
        </w:rPr>
        <w:t>de</w:t>
      </w:r>
      <w:r>
        <w:rPr>
          <w:color w:val="231F1F"/>
          <w:spacing w:val="38"/>
          <w:w w:val="105"/>
        </w:rPr>
        <w:t> </w:t>
      </w:r>
      <w:r>
        <w:rPr>
          <w:color w:val="231F1F"/>
          <w:w w:val="105"/>
        </w:rPr>
        <w:t>oxitocina. El</w:t>
      </w:r>
      <w:r>
        <w:rPr>
          <w:color w:val="231F1F"/>
          <w:w w:val="105"/>
        </w:rPr>
        <w:t> grupo</w:t>
      </w:r>
      <w:r>
        <w:rPr>
          <w:color w:val="231F1F"/>
          <w:w w:val="105"/>
        </w:rPr>
        <w:t> con</w:t>
      </w:r>
      <w:r>
        <w:rPr>
          <w:color w:val="231F1F"/>
          <w:w w:val="105"/>
        </w:rPr>
        <w:t> pujo</w:t>
      </w:r>
      <w:r>
        <w:rPr>
          <w:color w:val="231F1F"/>
          <w:w w:val="105"/>
        </w:rPr>
        <w:t> inmediato</w:t>
      </w:r>
      <w:r>
        <w:rPr>
          <w:color w:val="231F1F"/>
          <w:w w:val="105"/>
        </w:rPr>
        <w:t> comenzaba</w:t>
      </w:r>
      <w:r>
        <w:rPr>
          <w:color w:val="231F1F"/>
          <w:w w:val="105"/>
        </w:rPr>
        <w:t> el</w:t>
      </w:r>
      <w:r>
        <w:rPr>
          <w:color w:val="231F1F"/>
          <w:w w:val="105"/>
        </w:rPr>
        <w:t> pujo</w:t>
      </w:r>
      <w:r>
        <w:rPr>
          <w:color w:val="231F1F"/>
          <w:w w:val="105"/>
        </w:rPr>
        <w:t> cuando</w:t>
      </w:r>
      <w:r>
        <w:rPr>
          <w:color w:val="231F1F"/>
          <w:w w:val="105"/>
        </w:rPr>
        <w:t> se</w:t>
      </w:r>
      <w:r>
        <w:rPr>
          <w:color w:val="231F1F"/>
          <w:w w:val="105"/>
        </w:rPr>
        <w:t> alcanzaba</w:t>
      </w:r>
      <w:r>
        <w:rPr>
          <w:color w:val="231F1F"/>
          <w:w w:val="105"/>
        </w:rPr>
        <w:t> la dilatación</w:t>
      </w:r>
      <w:r>
        <w:rPr>
          <w:color w:val="231F1F"/>
          <w:w w:val="105"/>
        </w:rPr>
        <w:t> completa</w:t>
      </w:r>
      <w:r>
        <w:rPr>
          <w:color w:val="231F1F"/>
          <w:w w:val="105"/>
        </w:rPr>
        <w:t> y</w:t>
      </w:r>
      <w:r>
        <w:rPr>
          <w:color w:val="231F1F"/>
          <w:w w:val="105"/>
        </w:rPr>
        <w:t> eran</w:t>
      </w:r>
      <w:r>
        <w:rPr>
          <w:color w:val="231F1F"/>
          <w:w w:val="105"/>
        </w:rPr>
        <w:t> entrenadas</w:t>
      </w:r>
      <w:r>
        <w:rPr>
          <w:color w:val="231F1F"/>
          <w:w w:val="105"/>
        </w:rPr>
        <w:t> para</w:t>
      </w:r>
      <w:r>
        <w:rPr>
          <w:color w:val="231F1F"/>
          <w:w w:val="105"/>
        </w:rPr>
        <w:t> aguantar</w:t>
      </w:r>
      <w:r>
        <w:rPr>
          <w:color w:val="231F1F"/>
          <w:w w:val="105"/>
        </w:rPr>
        <w:t> la</w:t>
      </w:r>
      <w:r>
        <w:rPr>
          <w:color w:val="231F1F"/>
          <w:w w:val="105"/>
        </w:rPr>
        <w:t> respiración</w:t>
      </w:r>
      <w:r>
        <w:rPr>
          <w:color w:val="231F1F"/>
          <w:w w:val="105"/>
        </w:rPr>
        <w:t> y</w:t>
      </w:r>
      <w:r>
        <w:rPr>
          <w:color w:val="231F1F"/>
          <w:w w:val="105"/>
        </w:rPr>
        <w:t> empu-</w:t>
      </w:r>
      <w:r>
        <w:rPr>
          <w:color w:val="231F1F"/>
          <w:spacing w:val="80"/>
          <w:w w:val="150"/>
        </w:rPr>
        <w:t> </w:t>
      </w:r>
      <w:r>
        <w:rPr>
          <w:color w:val="231F1F"/>
          <w:w w:val="105"/>
        </w:rPr>
        <w:t>jar entre tres y cuatro veces en una cuenta de diez, durante cada contracción. Al</w:t>
      </w:r>
      <w:r>
        <w:rPr>
          <w:color w:val="231F1F"/>
          <w:w w:val="105"/>
        </w:rPr>
        <w:t> grupo</w:t>
      </w:r>
      <w:r>
        <w:rPr>
          <w:color w:val="231F1F"/>
          <w:w w:val="105"/>
        </w:rPr>
        <w:t> de</w:t>
      </w:r>
      <w:r>
        <w:rPr>
          <w:color w:val="231F1F"/>
          <w:w w:val="105"/>
        </w:rPr>
        <w:t> pujo</w:t>
      </w:r>
      <w:r>
        <w:rPr>
          <w:color w:val="231F1F"/>
          <w:w w:val="105"/>
        </w:rPr>
        <w:t> con</w:t>
      </w:r>
      <w:r>
        <w:rPr>
          <w:color w:val="231F1F"/>
          <w:w w:val="105"/>
        </w:rPr>
        <w:t> retraso</w:t>
      </w:r>
      <w:r>
        <w:rPr>
          <w:color w:val="231F1F"/>
          <w:w w:val="105"/>
        </w:rPr>
        <w:t> se</w:t>
      </w:r>
      <w:r>
        <w:rPr>
          <w:color w:val="231F1F"/>
          <w:w w:val="105"/>
        </w:rPr>
        <w:t> le</w:t>
      </w:r>
      <w:r>
        <w:rPr>
          <w:color w:val="231F1F"/>
          <w:w w:val="105"/>
        </w:rPr>
        <w:t> recomendó</w:t>
      </w:r>
      <w:r>
        <w:rPr>
          <w:color w:val="231F1F"/>
          <w:w w:val="105"/>
        </w:rPr>
        <w:t> esperar</w:t>
      </w:r>
      <w:r>
        <w:rPr>
          <w:color w:val="231F1F"/>
          <w:w w:val="105"/>
        </w:rPr>
        <w:t> hasta</w:t>
      </w:r>
      <w:r>
        <w:rPr>
          <w:color w:val="231F1F"/>
          <w:w w:val="105"/>
        </w:rPr>
        <w:t> que</w:t>
      </w:r>
      <w:r>
        <w:rPr>
          <w:color w:val="231F1F"/>
          <w:w w:val="105"/>
        </w:rPr>
        <w:t> sintiesen necesidad de pujar o cuando ya llevaran 2 horas de 2ª etapa. Durante el pujo fueron</w:t>
      </w:r>
      <w:r>
        <w:rPr>
          <w:color w:val="231F1F"/>
          <w:spacing w:val="40"/>
          <w:w w:val="105"/>
        </w:rPr>
        <w:t> </w:t>
      </w:r>
      <w:r>
        <w:rPr>
          <w:color w:val="231F1F"/>
          <w:w w:val="105"/>
        </w:rPr>
        <w:t>animadas</w:t>
      </w:r>
      <w:r>
        <w:rPr>
          <w:color w:val="231F1F"/>
          <w:spacing w:val="40"/>
          <w:w w:val="105"/>
        </w:rPr>
        <w:t> </w:t>
      </w:r>
      <w:r>
        <w:rPr>
          <w:color w:val="231F1F"/>
          <w:w w:val="105"/>
        </w:rPr>
        <w:t>a</w:t>
      </w:r>
      <w:r>
        <w:rPr>
          <w:color w:val="231F1F"/>
          <w:spacing w:val="40"/>
          <w:w w:val="105"/>
        </w:rPr>
        <w:t> </w:t>
      </w:r>
      <w:r>
        <w:rPr>
          <w:color w:val="231F1F"/>
          <w:w w:val="105"/>
        </w:rPr>
        <w:t>empujar</w:t>
      </w:r>
      <w:r>
        <w:rPr>
          <w:color w:val="231F1F"/>
          <w:spacing w:val="40"/>
          <w:w w:val="105"/>
        </w:rPr>
        <w:t> </w:t>
      </w:r>
      <w:r>
        <w:rPr>
          <w:color w:val="231F1F"/>
          <w:w w:val="105"/>
        </w:rPr>
        <w:t>sin</w:t>
      </w:r>
      <w:r>
        <w:rPr>
          <w:color w:val="231F1F"/>
          <w:spacing w:val="40"/>
          <w:w w:val="105"/>
        </w:rPr>
        <w:t> </w:t>
      </w:r>
      <w:r>
        <w:rPr>
          <w:color w:val="231F1F"/>
          <w:w w:val="105"/>
        </w:rPr>
        <w:t>aguantar</w:t>
      </w:r>
      <w:r>
        <w:rPr>
          <w:color w:val="231F1F"/>
          <w:spacing w:val="40"/>
          <w:w w:val="105"/>
        </w:rPr>
        <w:t> </w:t>
      </w:r>
      <w:r>
        <w:rPr>
          <w:color w:val="231F1F"/>
          <w:w w:val="105"/>
        </w:rPr>
        <w:t>la</w:t>
      </w:r>
      <w:r>
        <w:rPr>
          <w:color w:val="231F1F"/>
          <w:spacing w:val="40"/>
          <w:w w:val="105"/>
        </w:rPr>
        <w:t> </w:t>
      </w:r>
      <w:r>
        <w:rPr>
          <w:color w:val="231F1F"/>
          <w:w w:val="105"/>
        </w:rPr>
        <w:t>respiración</w:t>
      </w:r>
      <w:r>
        <w:rPr>
          <w:color w:val="231F1F"/>
          <w:spacing w:val="40"/>
          <w:w w:val="105"/>
        </w:rPr>
        <w:t> </w:t>
      </w:r>
      <w:r>
        <w:rPr>
          <w:color w:val="231F1F"/>
          <w:w w:val="105"/>
        </w:rPr>
        <w:t>durante</w:t>
      </w:r>
      <w:r>
        <w:rPr>
          <w:color w:val="231F1F"/>
          <w:spacing w:val="40"/>
          <w:w w:val="105"/>
        </w:rPr>
        <w:t> </w:t>
      </w:r>
      <w:r>
        <w:rPr>
          <w:color w:val="231F1F"/>
          <w:w w:val="105"/>
        </w:rPr>
        <w:t>no</w:t>
      </w:r>
      <w:r>
        <w:rPr>
          <w:color w:val="231F1F"/>
          <w:spacing w:val="40"/>
          <w:w w:val="105"/>
        </w:rPr>
        <w:t> </w:t>
      </w:r>
      <w:r>
        <w:rPr>
          <w:color w:val="231F1F"/>
          <w:w w:val="105"/>
        </w:rPr>
        <w:t>más</w:t>
      </w:r>
      <w:r>
        <w:rPr>
          <w:color w:val="231F1F"/>
          <w:spacing w:val="40"/>
          <w:w w:val="105"/>
        </w:rPr>
        <w:t> </w:t>
      </w:r>
      <w:r>
        <w:rPr>
          <w:color w:val="231F1F"/>
          <w:w w:val="105"/>
        </w:rPr>
        <w:t>de 6-8 segundos en cada pujo. Los dos grupos fueron similares en las variables demográficas,</w:t>
      </w:r>
      <w:r>
        <w:rPr>
          <w:color w:val="231F1F"/>
          <w:w w:val="105"/>
        </w:rPr>
        <w:t> aunque</w:t>
      </w:r>
      <w:r>
        <w:rPr>
          <w:color w:val="231F1F"/>
          <w:w w:val="105"/>
        </w:rPr>
        <w:t> las</w:t>
      </w:r>
      <w:r>
        <w:rPr>
          <w:color w:val="231F1F"/>
          <w:w w:val="105"/>
        </w:rPr>
        <w:t> mujeres</w:t>
      </w:r>
      <w:r>
        <w:rPr>
          <w:color w:val="231F1F"/>
          <w:w w:val="105"/>
        </w:rPr>
        <w:t> del</w:t>
      </w:r>
      <w:r>
        <w:rPr>
          <w:color w:val="231F1F"/>
          <w:w w:val="105"/>
        </w:rPr>
        <w:t> grupo</w:t>
      </w:r>
      <w:r>
        <w:rPr>
          <w:color w:val="231F1F"/>
          <w:w w:val="105"/>
        </w:rPr>
        <w:t> de</w:t>
      </w:r>
      <w:r>
        <w:rPr>
          <w:color w:val="231F1F"/>
          <w:w w:val="105"/>
        </w:rPr>
        <w:t> pujo</w:t>
      </w:r>
      <w:r>
        <w:rPr>
          <w:color w:val="231F1F"/>
          <w:w w:val="105"/>
        </w:rPr>
        <w:t> inmediato</w:t>
      </w:r>
      <w:r>
        <w:rPr>
          <w:color w:val="231F1F"/>
          <w:w w:val="105"/>
        </w:rPr>
        <w:t> eran</w:t>
      </w:r>
      <w:r>
        <w:rPr>
          <w:color w:val="231F1F"/>
          <w:w w:val="105"/>
        </w:rPr>
        <w:t> signifi- cativamente más jóvenes.</w:t>
      </w:r>
    </w:p>
    <w:p>
      <w:pPr>
        <w:pStyle w:val="BodyText"/>
        <w:spacing w:line="244" w:lineRule="auto" w:before="65"/>
        <w:ind w:left="283" w:right="10" w:firstLine="453"/>
        <w:jc w:val="both"/>
      </w:pPr>
      <w:r>
        <w:rPr>
          <w:color w:val="231F1F"/>
          <w:w w:val="110"/>
        </w:rPr>
        <w:t>La 2ª etapa fue más larga en el grupo de pujos con retraso: duración </w:t>
      </w:r>
      <w:r>
        <w:rPr>
          <w:color w:val="231F1F"/>
        </w:rPr>
        <w:t>media: 38 minutos; p&lt;0,01, pero la duración del momento de pujo activo fue </w:t>
      </w:r>
      <w:r>
        <w:rPr>
          <w:color w:val="231F1F"/>
          <w:w w:val="110"/>
        </w:rPr>
        <w:t>mayor en el grupo de pujo inmediato: duración media 42 min, p=0,002.</w:t>
      </w:r>
    </w:p>
    <w:p>
      <w:pPr>
        <w:pStyle w:val="BodyText"/>
        <w:spacing w:line="247" w:lineRule="auto" w:before="100"/>
        <w:ind w:left="283" w:firstLine="453"/>
        <w:jc w:val="both"/>
      </w:pPr>
      <w:r>
        <w:rPr>
          <w:color w:val="231F1F"/>
          <w:w w:val="105"/>
        </w:rPr>
        <w:t>La</w:t>
      </w:r>
      <w:r>
        <w:rPr>
          <w:color w:val="231F1F"/>
          <w:spacing w:val="-10"/>
          <w:w w:val="105"/>
        </w:rPr>
        <w:t> </w:t>
      </w:r>
      <w:r>
        <w:rPr>
          <w:color w:val="231F1F"/>
          <w:w w:val="105"/>
        </w:rPr>
        <w:t>desaturación</w:t>
      </w:r>
      <w:r>
        <w:rPr>
          <w:color w:val="231F1F"/>
          <w:spacing w:val="-10"/>
          <w:w w:val="105"/>
        </w:rPr>
        <w:t> </w:t>
      </w:r>
      <w:r>
        <w:rPr>
          <w:color w:val="231F1F"/>
          <w:w w:val="105"/>
        </w:rPr>
        <w:t>de</w:t>
      </w:r>
      <w:r>
        <w:rPr>
          <w:color w:val="231F1F"/>
          <w:spacing w:val="-10"/>
          <w:w w:val="105"/>
        </w:rPr>
        <w:t> </w:t>
      </w:r>
      <w:r>
        <w:rPr>
          <w:color w:val="231F1F"/>
          <w:w w:val="105"/>
        </w:rPr>
        <w:t>oxígeno</w:t>
      </w:r>
      <w:r>
        <w:rPr>
          <w:color w:val="231F1F"/>
          <w:spacing w:val="-10"/>
          <w:w w:val="105"/>
        </w:rPr>
        <w:t> </w:t>
      </w:r>
      <w:r>
        <w:rPr>
          <w:color w:val="231F1F"/>
          <w:w w:val="105"/>
        </w:rPr>
        <w:t>fetal</w:t>
      </w:r>
      <w:r>
        <w:rPr>
          <w:color w:val="231F1F"/>
          <w:spacing w:val="-10"/>
          <w:w w:val="105"/>
        </w:rPr>
        <w:t> </w:t>
      </w:r>
      <w:r>
        <w:rPr>
          <w:color w:val="231F1F"/>
          <w:w w:val="105"/>
        </w:rPr>
        <w:t>fue</w:t>
      </w:r>
      <w:r>
        <w:rPr>
          <w:color w:val="231F1F"/>
          <w:spacing w:val="-10"/>
          <w:w w:val="105"/>
        </w:rPr>
        <w:t> </w:t>
      </w:r>
      <w:r>
        <w:rPr>
          <w:color w:val="231F1F"/>
          <w:w w:val="105"/>
        </w:rPr>
        <w:t>significativamente</w:t>
      </w:r>
      <w:r>
        <w:rPr>
          <w:color w:val="231F1F"/>
          <w:spacing w:val="-10"/>
          <w:w w:val="105"/>
        </w:rPr>
        <w:t> </w:t>
      </w:r>
      <w:r>
        <w:rPr>
          <w:color w:val="231F1F"/>
          <w:w w:val="105"/>
        </w:rPr>
        <w:t>mayor</w:t>
      </w:r>
      <w:r>
        <w:rPr>
          <w:color w:val="231F1F"/>
          <w:spacing w:val="-10"/>
          <w:w w:val="105"/>
        </w:rPr>
        <w:t> </w:t>
      </w:r>
      <w:r>
        <w:rPr>
          <w:color w:val="231F1F"/>
          <w:w w:val="105"/>
        </w:rPr>
        <w:t>en</w:t>
      </w:r>
      <w:r>
        <w:rPr>
          <w:color w:val="231F1F"/>
          <w:spacing w:val="-10"/>
          <w:w w:val="105"/>
        </w:rPr>
        <w:t> </w:t>
      </w:r>
      <w:r>
        <w:rPr>
          <w:color w:val="231F1F"/>
          <w:w w:val="105"/>
        </w:rPr>
        <w:t>el</w:t>
      </w:r>
      <w:r>
        <w:rPr>
          <w:color w:val="231F1F"/>
          <w:spacing w:val="-10"/>
          <w:w w:val="105"/>
        </w:rPr>
        <w:t> </w:t>
      </w:r>
      <w:r>
        <w:rPr>
          <w:color w:val="231F1F"/>
          <w:w w:val="105"/>
        </w:rPr>
        <w:t>grupo con pujo inmediato y las desaceleraciones la frecuencia cardiaca fetal fueron más variables y prolongadas. No hubo diferencias significativas en otras va- riables</w:t>
      </w:r>
      <w:r>
        <w:rPr>
          <w:color w:val="231F1F"/>
          <w:w w:val="105"/>
        </w:rPr>
        <w:t> como:</w:t>
      </w:r>
      <w:r>
        <w:rPr>
          <w:color w:val="231F1F"/>
          <w:w w:val="105"/>
        </w:rPr>
        <w:t> número</w:t>
      </w:r>
      <w:r>
        <w:rPr>
          <w:color w:val="231F1F"/>
          <w:w w:val="105"/>
        </w:rPr>
        <w:t> de</w:t>
      </w:r>
      <w:r>
        <w:rPr>
          <w:color w:val="231F1F"/>
          <w:w w:val="105"/>
        </w:rPr>
        <w:t> cesáreas,</w:t>
      </w:r>
      <w:r>
        <w:rPr>
          <w:color w:val="231F1F"/>
          <w:w w:val="105"/>
        </w:rPr>
        <w:t> partos</w:t>
      </w:r>
      <w:r>
        <w:rPr>
          <w:color w:val="231F1F"/>
          <w:w w:val="105"/>
        </w:rPr>
        <w:t> vaginales</w:t>
      </w:r>
      <w:r>
        <w:rPr>
          <w:color w:val="231F1F"/>
          <w:w w:val="105"/>
        </w:rPr>
        <w:t> instrumentados,</w:t>
      </w:r>
      <w:r>
        <w:rPr>
          <w:color w:val="231F1F"/>
          <w:w w:val="105"/>
        </w:rPr>
        <w:t> 2ª</w:t>
      </w:r>
      <w:r>
        <w:rPr>
          <w:color w:val="231F1F"/>
          <w:w w:val="105"/>
        </w:rPr>
        <w:t> etapa prolongada</w:t>
      </w:r>
      <w:r>
        <w:rPr>
          <w:color w:val="231F1F"/>
          <w:w w:val="105"/>
        </w:rPr>
        <w:t> (&gt;3</w:t>
      </w:r>
      <w:r>
        <w:rPr>
          <w:color w:val="231F1F"/>
          <w:w w:val="105"/>
        </w:rPr>
        <w:t> horas),</w:t>
      </w:r>
      <w:r>
        <w:rPr>
          <w:color w:val="231F1F"/>
          <w:w w:val="105"/>
        </w:rPr>
        <w:t> episiotomías,</w:t>
      </w:r>
      <w:r>
        <w:rPr>
          <w:color w:val="231F1F"/>
          <w:w w:val="105"/>
        </w:rPr>
        <w:t> gases</w:t>
      </w:r>
      <w:r>
        <w:rPr>
          <w:color w:val="231F1F"/>
          <w:w w:val="105"/>
        </w:rPr>
        <w:t> de</w:t>
      </w:r>
      <w:r>
        <w:rPr>
          <w:color w:val="231F1F"/>
          <w:w w:val="105"/>
        </w:rPr>
        <w:t> cordón</w:t>
      </w:r>
      <w:r>
        <w:rPr>
          <w:color w:val="231F1F"/>
          <w:w w:val="105"/>
        </w:rPr>
        <w:t> umbilical,</w:t>
      </w:r>
      <w:r>
        <w:rPr>
          <w:color w:val="231F1F"/>
          <w:w w:val="105"/>
        </w:rPr>
        <w:t> valores</w:t>
      </w:r>
      <w:r>
        <w:rPr>
          <w:color w:val="231F1F"/>
          <w:w w:val="105"/>
        </w:rPr>
        <w:t> del test</w:t>
      </w:r>
      <w:r>
        <w:rPr>
          <w:color w:val="231F1F"/>
          <w:w w:val="105"/>
        </w:rPr>
        <w:t> Apgar</w:t>
      </w:r>
      <w:r>
        <w:rPr>
          <w:color w:val="231F1F"/>
          <w:w w:val="105"/>
        </w:rPr>
        <w:t> u</w:t>
      </w:r>
      <w:r>
        <w:rPr>
          <w:color w:val="231F1F"/>
          <w:w w:val="105"/>
        </w:rPr>
        <w:t> otros</w:t>
      </w:r>
      <w:r>
        <w:rPr>
          <w:color w:val="231F1F"/>
          <w:w w:val="105"/>
        </w:rPr>
        <w:t> patrones</w:t>
      </w:r>
      <w:r>
        <w:rPr>
          <w:color w:val="231F1F"/>
          <w:w w:val="105"/>
        </w:rPr>
        <w:t> de</w:t>
      </w:r>
      <w:r>
        <w:rPr>
          <w:color w:val="231F1F"/>
          <w:w w:val="105"/>
        </w:rPr>
        <w:t> frecuencia</w:t>
      </w:r>
      <w:r>
        <w:rPr>
          <w:color w:val="231F1F"/>
          <w:w w:val="105"/>
        </w:rPr>
        <w:t> cardiaca</w:t>
      </w:r>
      <w:r>
        <w:rPr>
          <w:color w:val="231F1F"/>
          <w:w w:val="105"/>
        </w:rPr>
        <w:t> fetal.</w:t>
      </w:r>
      <w:r>
        <w:rPr>
          <w:color w:val="231F1F"/>
          <w:w w:val="105"/>
        </w:rPr>
        <w:t> Hubo</w:t>
      </w:r>
      <w:r>
        <w:rPr>
          <w:color w:val="231F1F"/>
          <w:w w:val="105"/>
        </w:rPr>
        <w:t> un</w:t>
      </w:r>
      <w:r>
        <w:rPr>
          <w:color w:val="231F1F"/>
          <w:w w:val="105"/>
        </w:rPr>
        <w:t> mayor </w:t>
      </w:r>
      <w:r>
        <w:rPr>
          <w:color w:val="231F1F"/>
          <w:spacing w:val="-2"/>
          <w:w w:val="105"/>
        </w:rPr>
        <w:t>número</w:t>
      </w:r>
      <w:r>
        <w:rPr>
          <w:color w:val="231F1F"/>
          <w:spacing w:val="-9"/>
          <w:w w:val="105"/>
        </w:rPr>
        <w:t> </w:t>
      </w:r>
      <w:r>
        <w:rPr>
          <w:color w:val="231F1F"/>
          <w:spacing w:val="-2"/>
          <w:w w:val="105"/>
        </w:rPr>
        <w:t>de</w:t>
      </w:r>
      <w:r>
        <w:rPr>
          <w:color w:val="231F1F"/>
          <w:spacing w:val="-10"/>
          <w:w w:val="105"/>
        </w:rPr>
        <w:t> </w:t>
      </w:r>
      <w:r>
        <w:rPr>
          <w:color w:val="231F1F"/>
          <w:spacing w:val="-2"/>
          <w:w w:val="105"/>
        </w:rPr>
        <w:t>desgarros</w:t>
      </w:r>
      <w:r>
        <w:rPr>
          <w:color w:val="231F1F"/>
          <w:spacing w:val="-10"/>
          <w:w w:val="105"/>
        </w:rPr>
        <w:t> </w:t>
      </w:r>
      <w:r>
        <w:rPr>
          <w:color w:val="231F1F"/>
          <w:spacing w:val="-2"/>
          <w:w w:val="105"/>
        </w:rPr>
        <w:t>perineales</w:t>
      </w:r>
      <w:r>
        <w:rPr>
          <w:color w:val="231F1F"/>
          <w:spacing w:val="-10"/>
          <w:w w:val="105"/>
        </w:rPr>
        <w:t> </w:t>
      </w:r>
      <w:r>
        <w:rPr>
          <w:color w:val="231F1F"/>
          <w:spacing w:val="-2"/>
          <w:w w:val="105"/>
        </w:rPr>
        <w:t>en</w:t>
      </w:r>
      <w:r>
        <w:rPr>
          <w:color w:val="231F1F"/>
          <w:spacing w:val="-9"/>
          <w:w w:val="105"/>
        </w:rPr>
        <w:t> </w:t>
      </w:r>
      <w:r>
        <w:rPr>
          <w:color w:val="231F1F"/>
          <w:spacing w:val="-2"/>
          <w:w w:val="105"/>
        </w:rPr>
        <w:t>el</w:t>
      </w:r>
      <w:r>
        <w:rPr>
          <w:color w:val="231F1F"/>
          <w:spacing w:val="-10"/>
          <w:w w:val="105"/>
        </w:rPr>
        <w:t> </w:t>
      </w:r>
      <w:r>
        <w:rPr>
          <w:color w:val="231F1F"/>
          <w:spacing w:val="-2"/>
          <w:w w:val="105"/>
        </w:rPr>
        <w:t>grupo</w:t>
      </w:r>
      <w:r>
        <w:rPr>
          <w:color w:val="231F1F"/>
          <w:spacing w:val="-10"/>
          <w:w w:val="105"/>
        </w:rPr>
        <w:t> </w:t>
      </w:r>
      <w:r>
        <w:rPr>
          <w:color w:val="231F1F"/>
          <w:spacing w:val="-2"/>
          <w:w w:val="105"/>
        </w:rPr>
        <w:t>de</w:t>
      </w:r>
      <w:r>
        <w:rPr>
          <w:color w:val="231F1F"/>
          <w:spacing w:val="-10"/>
          <w:w w:val="105"/>
        </w:rPr>
        <w:t> </w:t>
      </w:r>
      <w:r>
        <w:rPr>
          <w:color w:val="231F1F"/>
          <w:spacing w:val="-2"/>
          <w:w w:val="105"/>
        </w:rPr>
        <w:t>pujo</w:t>
      </w:r>
      <w:r>
        <w:rPr>
          <w:color w:val="231F1F"/>
          <w:spacing w:val="-10"/>
          <w:w w:val="105"/>
        </w:rPr>
        <w:t> </w:t>
      </w:r>
      <w:r>
        <w:rPr>
          <w:color w:val="231F1F"/>
          <w:spacing w:val="-2"/>
          <w:w w:val="105"/>
        </w:rPr>
        <w:t>inmediato:</w:t>
      </w:r>
      <w:r>
        <w:rPr>
          <w:color w:val="231F1F"/>
          <w:spacing w:val="-9"/>
          <w:w w:val="105"/>
        </w:rPr>
        <w:t> </w:t>
      </w:r>
      <w:r>
        <w:rPr>
          <w:color w:val="231F1F"/>
          <w:spacing w:val="-2"/>
          <w:w w:val="105"/>
        </w:rPr>
        <w:t>13</w:t>
      </w:r>
      <w:r>
        <w:rPr>
          <w:color w:val="231F1F"/>
          <w:spacing w:val="-9"/>
          <w:w w:val="105"/>
        </w:rPr>
        <w:t> </w:t>
      </w:r>
      <w:r>
        <w:rPr>
          <w:color w:val="231F1F"/>
          <w:spacing w:val="-2"/>
          <w:w w:val="105"/>
        </w:rPr>
        <w:t>vs</w:t>
      </w:r>
      <w:r>
        <w:rPr>
          <w:color w:val="231F1F"/>
          <w:spacing w:val="-9"/>
          <w:w w:val="105"/>
        </w:rPr>
        <w:t> </w:t>
      </w:r>
      <w:r>
        <w:rPr>
          <w:color w:val="231F1F"/>
          <w:spacing w:val="-2"/>
          <w:w w:val="105"/>
        </w:rPr>
        <w:t>5,</w:t>
      </w:r>
      <w:r>
        <w:rPr>
          <w:color w:val="231F1F"/>
          <w:spacing w:val="-10"/>
          <w:w w:val="105"/>
        </w:rPr>
        <w:t> </w:t>
      </w:r>
      <w:r>
        <w:rPr>
          <w:color w:val="231F1F"/>
          <w:spacing w:val="-2"/>
          <w:w w:val="105"/>
        </w:rPr>
        <w:t>×2=6.54, p=0.01.</w:t>
      </w:r>
    </w:p>
    <w:p>
      <w:pPr>
        <w:pStyle w:val="BodyText"/>
        <w:spacing w:line="247" w:lineRule="auto" w:before="56"/>
        <w:ind w:left="283" w:right="7" w:firstLine="453"/>
        <w:jc w:val="both"/>
      </w:pPr>
      <w:r>
        <w:rPr>
          <w:color w:val="231F1F"/>
        </w:rPr>
        <w:t>Por último, se identificó un estudio de cohortes realizado en Irlanda (140), </w:t>
      </w:r>
      <w:r>
        <w:rPr>
          <w:color w:val="231F1F"/>
          <w:w w:val="110"/>
        </w:rPr>
        <w:t>que</w:t>
      </w:r>
      <w:r>
        <w:rPr>
          <w:color w:val="231F1F"/>
          <w:spacing w:val="-6"/>
          <w:w w:val="110"/>
        </w:rPr>
        <w:t> </w:t>
      </w:r>
      <w:r>
        <w:rPr>
          <w:color w:val="231F1F"/>
          <w:w w:val="110"/>
        </w:rPr>
        <w:t>comparaba</w:t>
      </w:r>
      <w:r>
        <w:rPr>
          <w:color w:val="231F1F"/>
          <w:spacing w:val="-6"/>
          <w:w w:val="110"/>
        </w:rPr>
        <w:t> </w:t>
      </w:r>
      <w:r>
        <w:rPr>
          <w:color w:val="231F1F"/>
          <w:w w:val="110"/>
        </w:rPr>
        <w:t>los</w:t>
      </w:r>
      <w:r>
        <w:rPr>
          <w:color w:val="231F1F"/>
          <w:spacing w:val="-6"/>
          <w:w w:val="110"/>
        </w:rPr>
        <w:t> </w:t>
      </w:r>
      <w:r>
        <w:rPr>
          <w:color w:val="231F1F"/>
          <w:w w:val="110"/>
        </w:rPr>
        <w:t>pujos</w:t>
      </w:r>
      <w:r>
        <w:rPr>
          <w:color w:val="231F1F"/>
          <w:spacing w:val="-6"/>
          <w:w w:val="110"/>
        </w:rPr>
        <w:t> </w:t>
      </w:r>
      <w:r>
        <w:rPr>
          <w:color w:val="231F1F"/>
          <w:w w:val="110"/>
        </w:rPr>
        <w:t>con</w:t>
      </w:r>
      <w:r>
        <w:rPr>
          <w:color w:val="231F1F"/>
          <w:spacing w:val="-6"/>
          <w:w w:val="110"/>
        </w:rPr>
        <w:t> </w:t>
      </w:r>
      <w:r>
        <w:rPr>
          <w:color w:val="231F1F"/>
          <w:w w:val="110"/>
        </w:rPr>
        <w:t>retraso</w:t>
      </w:r>
      <w:r>
        <w:rPr>
          <w:color w:val="231F1F"/>
          <w:spacing w:val="-6"/>
          <w:w w:val="110"/>
        </w:rPr>
        <w:t> </w:t>
      </w:r>
      <w:r>
        <w:rPr>
          <w:color w:val="231F1F"/>
          <w:w w:val="110"/>
        </w:rPr>
        <w:t>con</w:t>
      </w:r>
      <w:r>
        <w:rPr>
          <w:color w:val="231F1F"/>
          <w:spacing w:val="-6"/>
          <w:w w:val="110"/>
        </w:rPr>
        <w:t> </w:t>
      </w:r>
      <w:r>
        <w:rPr>
          <w:color w:val="231F1F"/>
          <w:w w:val="110"/>
        </w:rPr>
        <w:t>los</w:t>
      </w:r>
      <w:r>
        <w:rPr>
          <w:color w:val="231F1F"/>
          <w:spacing w:val="-6"/>
          <w:w w:val="110"/>
        </w:rPr>
        <w:t> </w:t>
      </w:r>
      <w:r>
        <w:rPr>
          <w:color w:val="231F1F"/>
          <w:w w:val="110"/>
        </w:rPr>
        <w:t>pujos</w:t>
      </w:r>
      <w:r>
        <w:rPr>
          <w:color w:val="231F1F"/>
          <w:spacing w:val="-6"/>
          <w:w w:val="110"/>
        </w:rPr>
        <w:t> </w:t>
      </w:r>
      <w:r>
        <w:rPr>
          <w:color w:val="231F1F"/>
          <w:w w:val="110"/>
        </w:rPr>
        <w:t>tempranos</w:t>
      </w:r>
      <w:r>
        <w:rPr>
          <w:color w:val="231F1F"/>
          <w:spacing w:val="-6"/>
          <w:w w:val="110"/>
        </w:rPr>
        <w:t> </w:t>
      </w:r>
      <w:r>
        <w:rPr>
          <w:color w:val="231F1F"/>
          <w:w w:val="110"/>
        </w:rPr>
        <w:t>durante</w:t>
      </w:r>
      <w:r>
        <w:rPr>
          <w:color w:val="231F1F"/>
          <w:spacing w:val="-6"/>
          <w:w w:val="110"/>
        </w:rPr>
        <w:t> </w:t>
      </w:r>
      <w:r>
        <w:rPr>
          <w:color w:val="231F1F"/>
          <w:w w:val="110"/>
        </w:rPr>
        <w:t>la</w:t>
      </w:r>
      <w:r>
        <w:rPr>
          <w:color w:val="231F1F"/>
          <w:spacing w:val="-6"/>
          <w:w w:val="110"/>
        </w:rPr>
        <w:t> </w:t>
      </w:r>
      <w:r>
        <w:rPr>
          <w:color w:val="231F1F"/>
          <w:w w:val="110"/>
        </w:rPr>
        <w:t>se- gunda etapa del parto. Todas las mujeres eran nulíparas, a término y eran similares en cuanto a edad y peso en los dos grupos. No se daban detalles respecto a</w:t>
      </w:r>
      <w:r>
        <w:rPr>
          <w:color w:val="231F1F"/>
          <w:spacing w:val="-1"/>
          <w:w w:val="110"/>
        </w:rPr>
        <w:t> </w:t>
      </w:r>
      <w:r>
        <w:rPr>
          <w:color w:val="231F1F"/>
          <w:w w:val="110"/>
        </w:rPr>
        <w:t>la</w:t>
      </w:r>
      <w:r>
        <w:rPr>
          <w:color w:val="231F1F"/>
          <w:spacing w:val="-1"/>
          <w:w w:val="110"/>
        </w:rPr>
        <w:t> </w:t>
      </w:r>
      <w:r>
        <w:rPr>
          <w:color w:val="231F1F"/>
          <w:w w:val="110"/>
        </w:rPr>
        <w:t>posición de</w:t>
      </w:r>
      <w:r>
        <w:rPr>
          <w:color w:val="231F1F"/>
          <w:spacing w:val="-1"/>
          <w:w w:val="110"/>
        </w:rPr>
        <w:t> </w:t>
      </w:r>
      <w:r>
        <w:rPr>
          <w:color w:val="231F1F"/>
          <w:w w:val="110"/>
        </w:rPr>
        <w:t>los</w:t>
      </w:r>
      <w:r>
        <w:rPr>
          <w:color w:val="231F1F"/>
          <w:spacing w:val="-1"/>
          <w:w w:val="110"/>
        </w:rPr>
        <w:t> </w:t>
      </w:r>
      <w:r>
        <w:rPr>
          <w:color w:val="231F1F"/>
          <w:w w:val="110"/>
        </w:rPr>
        <w:t>neonatos</w:t>
      </w:r>
      <w:r>
        <w:rPr>
          <w:color w:val="231F1F"/>
          <w:spacing w:val="-1"/>
          <w:w w:val="110"/>
        </w:rPr>
        <w:t> </w:t>
      </w:r>
      <w:r>
        <w:rPr>
          <w:color w:val="231F1F"/>
          <w:w w:val="110"/>
        </w:rPr>
        <w:t>o</w:t>
      </w:r>
      <w:r>
        <w:rPr>
          <w:color w:val="231F1F"/>
          <w:spacing w:val="-1"/>
          <w:w w:val="110"/>
        </w:rPr>
        <w:t> </w:t>
      </w:r>
      <w:r>
        <w:rPr>
          <w:color w:val="231F1F"/>
          <w:w w:val="110"/>
        </w:rPr>
        <w:t>situación</w:t>
      </w:r>
      <w:r>
        <w:rPr>
          <w:color w:val="231F1F"/>
          <w:spacing w:val="-1"/>
          <w:w w:val="110"/>
        </w:rPr>
        <w:t> </w:t>
      </w:r>
      <w:r>
        <w:rPr>
          <w:color w:val="231F1F"/>
          <w:w w:val="110"/>
        </w:rPr>
        <w:t>de</w:t>
      </w:r>
      <w:r>
        <w:rPr>
          <w:color w:val="231F1F"/>
          <w:spacing w:val="-1"/>
          <w:w w:val="110"/>
        </w:rPr>
        <w:t> </w:t>
      </w:r>
      <w:r>
        <w:rPr>
          <w:color w:val="231F1F"/>
          <w:w w:val="110"/>
        </w:rPr>
        <w:t>la</w:t>
      </w:r>
      <w:r>
        <w:rPr>
          <w:color w:val="231F1F"/>
          <w:spacing w:val="-1"/>
          <w:w w:val="110"/>
        </w:rPr>
        <w:t> </w:t>
      </w:r>
      <w:r>
        <w:rPr>
          <w:color w:val="231F1F"/>
          <w:w w:val="110"/>
        </w:rPr>
        <w:t>segunda</w:t>
      </w:r>
      <w:r>
        <w:rPr>
          <w:color w:val="231F1F"/>
          <w:spacing w:val="-1"/>
          <w:w w:val="110"/>
        </w:rPr>
        <w:t> </w:t>
      </w:r>
      <w:r>
        <w:rPr>
          <w:color w:val="231F1F"/>
          <w:w w:val="110"/>
        </w:rPr>
        <w:t>etapa</w:t>
      </w:r>
      <w:r>
        <w:rPr>
          <w:color w:val="231F1F"/>
          <w:spacing w:val="-1"/>
          <w:w w:val="110"/>
        </w:rPr>
        <w:t> </w:t>
      </w:r>
      <w:r>
        <w:rPr>
          <w:color w:val="231F1F"/>
          <w:w w:val="110"/>
        </w:rPr>
        <w:t>en el nacimiento.</w:t>
      </w:r>
      <w:r>
        <w:rPr>
          <w:color w:val="231F1F"/>
          <w:spacing w:val="-1"/>
          <w:w w:val="110"/>
        </w:rPr>
        <w:t> </w:t>
      </w:r>
      <w:r>
        <w:rPr>
          <w:color w:val="231F1F"/>
          <w:w w:val="110"/>
        </w:rPr>
        <w:t>En</w:t>
      </w:r>
      <w:r>
        <w:rPr>
          <w:color w:val="231F1F"/>
          <w:spacing w:val="-1"/>
          <w:w w:val="110"/>
        </w:rPr>
        <w:t> </w:t>
      </w:r>
      <w:r>
        <w:rPr>
          <w:color w:val="231F1F"/>
          <w:w w:val="110"/>
        </w:rPr>
        <w:t>el</w:t>
      </w:r>
      <w:r>
        <w:rPr>
          <w:color w:val="231F1F"/>
          <w:spacing w:val="-1"/>
          <w:w w:val="110"/>
        </w:rPr>
        <w:t> </w:t>
      </w:r>
      <w:r>
        <w:rPr>
          <w:color w:val="231F1F"/>
          <w:w w:val="110"/>
        </w:rPr>
        <w:t>grupo</w:t>
      </w:r>
      <w:r>
        <w:rPr>
          <w:color w:val="231F1F"/>
          <w:spacing w:val="-1"/>
          <w:w w:val="110"/>
        </w:rPr>
        <w:t> </w:t>
      </w:r>
      <w:r>
        <w:rPr>
          <w:color w:val="231F1F"/>
          <w:w w:val="110"/>
        </w:rPr>
        <w:t>tardío</w:t>
      </w:r>
      <w:r>
        <w:rPr>
          <w:color w:val="231F1F"/>
          <w:spacing w:val="-1"/>
          <w:w w:val="110"/>
        </w:rPr>
        <w:t> </w:t>
      </w:r>
      <w:r>
        <w:rPr>
          <w:color w:val="231F1F"/>
          <w:w w:val="110"/>
        </w:rPr>
        <w:t>(n=194)</w:t>
      </w:r>
      <w:r>
        <w:rPr>
          <w:color w:val="231F1F"/>
          <w:spacing w:val="-1"/>
          <w:w w:val="110"/>
        </w:rPr>
        <w:t> </w:t>
      </w:r>
      <w:r>
        <w:rPr>
          <w:color w:val="231F1F"/>
          <w:w w:val="110"/>
        </w:rPr>
        <w:t>se</w:t>
      </w:r>
      <w:r>
        <w:rPr>
          <w:color w:val="231F1F"/>
          <w:spacing w:val="-1"/>
          <w:w w:val="110"/>
        </w:rPr>
        <w:t> </w:t>
      </w:r>
      <w:r>
        <w:rPr>
          <w:color w:val="231F1F"/>
          <w:w w:val="110"/>
        </w:rPr>
        <w:t>aconsejó pujar</w:t>
      </w:r>
      <w:r>
        <w:rPr>
          <w:color w:val="231F1F"/>
          <w:spacing w:val="-1"/>
          <w:w w:val="110"/>
        </w:rPr>
        <w:t> </w:t>
      </w:r>
      <w:r>
        <w:rPr>
          <w:color w:val="231F1F"/>
          <w:w w:val="110"/>
        </w:rPr>
        <w:t>cuando la</w:t>
      </w:r>
      <w:r>
        <w:rPr>
          <w:color w:val="231F1F"/>
          <w:spacing w:val="-1"/>
          <w:w w:val="110"/>
        </w:rPr>
        <w:t> </w:t>
      </w:r>
      <w:r>
        <w:rPr>
          <w:color w:val="231F1F"/>
          <w:w w:val="110"/>
        </w:rPr>
        <w:t>cabeza fuese</w:t>
      </w:r>
      <w:r>
        <w:rPr>
          <w:color w:val="231F1F"/>
          <w:spacing w:val="-16"/>
          <w:w w:val="110"/>
        </w:rPr>
        <w:t> </w:t>
      </w:r>
      <w:r>
        <w:rPr>
          <w:color w:val="231F1F"/>
          <w:w w:val="110"/>
        </w:rPr>
        <w:t>visible</w:t>
      </w:r>
      <w:r>
        <w:rPr>
          <w:color w:val="231F1F"/>
          <w:spacing w:val="-15"/>
          <w:w w:val="110"/>
        </w:rPr>
        <w:t> </w:t>
      </w:r>
      <w:r>
        <w:rPr>
          <w:color w:val="231F1F"/>
          <w:w w:val="110"/>
        </w:rPr>
        <w:t>o</w:t>
      </w:r>
      <w:r>
        <w:rPr>
          <w:color w:val="231F1F"/>
          <w:spacing w:val="-15"/>
          <w:w w:val="110"/>
        </w:rPr>
        <w:t> </w:t>
      </w:r>
      <w:r>
        <w:rPr>
          <w:color w:val="231F1F"/>
          <w:w w:val="110"/>
        </w:rPr>
        <w:t>hasta</w:t>
      </w:r>
      <w:r>
        <w:rPr>
          <w:color w:val="231F1F"/>
          <w:spacing w:val="-15"/>
          <w:w w:val="110"/>
        </w:rPr>
        <w:t> </w:t>
      </w:r>
      <w:r>
        <w:rPr>
          <w:color w:val="231F1F"/>
          <w:w w:val="110"/>
        </w:rPr>
        <w:t>transcurridas</w:t>
      </w:r>
      <w:r>
        <w:rPr>
          <w:color w:val="231F1F"/>
          <w:spacing w:val="-15"/>
          <w:w w:val="110"/>
        </w:rPr>
        <w:t> </w:t>
      </w:r>
      <w:r>
        <w:rPr>
          <w:color w:val="231F1F"/>
          <w:w w:val="110"/>
        </w:rPr>
        <w:t>3</w:t>
      </w:r>
      <w:r>
        <w:rPr>
          <w:color w:val="231F1F"/>
          <w:spacing w:val="-15"/>
          <w:w w:val="110"/>
        </w:rPr>
        <w:t> </w:t>
      </w:r>
      <w:r>
        <w:rPr>
          <w:color w:val="231F1F"/>
          <w:w w:val="110"/>
        </w:rPr>
        <w:t>horas</w:t>
      </w:r>
      <w:r>
        <w:rPr>
          <w:color w:val="231F1F"/>
          <w:spacing w:val="-15"/>
          <w:w w:val="110"/>
        </w:rPr>
        <w:t> </w:t>
      </w:r>
      <w:r>
        <w:rPr>
          <w:color w:val="231F1F"/>
          <w:w w:val="110"/>
        </w:rPr>
        <w:t>desde</w:t>
      </w:r>
      <w:r>
        <w:rPr>
          <w:color w:val="231F1F"/>
          <w:spacing w:val="-15"/>
          <w:w w:val="110"/>
        </w:rPr>
        <w:t> </w:t>
      </w:r>
      <w:r>
        <w:rPr>
          <w:color w:val="231F1F"/>
          <w:w w:val="110"/>
        </w:rPr>
        <w:t>la</w:t>
      </w:r>
      <w:r>
        <w:rPr>
          <w:color w:val="231F1F"/>
          <w:spacing w:val="-16"/>
          <w:w w:val="110"/>
        </w:rPr>
        <w:t> </w:t>
      </w:r>
      <w:r>
        <w:rPr>
          <w:color w:val="231F1F"/>
          <w:w w:val="110"/>
        </w:rPr>
        <w:t>dilatación</w:t>
      </w:r>
      <w:r>
        <w:rPr>
          <w:color w:val="231F1F"/>
          <w:spacing w:val="-15"/>
          <w:w w:val="110"/>
        </w:rPr>
        <w:t> </w:t>
      </w:r>
      <w:r>
        <w:rPr>
          <w:color w:val="231F1F"/>
          <w:w w:val="110"/>
        </w:rPr>
        <w:t>completa,</w:t>
      </w:r>
      <w:r>
        <w:rPr>
          <w:color w:val="231F1F"/>
          <w:spacing w:val="-15"/>
          <w:w w:val="110"/>
        </w:rPr>
        <w:t> </w:t>
      </w:r>
      <w:r>
        <w:rPr>
          <w:color w:val="231F1F"/>
          <w:w w:val="110"/>
        </w:rPr>
        <w:t>en</w:t>
      </w:r>
      <w:r>
        <w:rPr>
          <w:color w:val="231F1F"/>
          <w:spacing w:val="-15"/>
          <w:w w:val="110"/>
        </w:rPr>
        <w:t> </w:t>
      </w:r>
      <w:r>
        <w:rPr>
          <w:color w:val="231F1F"/>
          <w:w w:val="110"/>
        </w:rPr>
        <w:t>el grupo</w:t>
      </w:r>
      <w:r>
        <w:rPr>
          <w:color w:val="231F1F"/>
          <w:spacing w:val="-16"/>
          <w:w w:val="110"/>
        </w:rPr>
        <w:t> </w:t>
      </w:r>
      <w:r>
        <w:rPr>
          <w:color w:val="231F1F"/>
          <w:w w:val="110"/>
        </w:rPr>
        <w:t>con</w:t>
      </w:r>
      <w:r>
        <w:rPr>
          <w:color w:val="231F1F"/>
          <w:spacing w:val="-15"/>
          <w:w w:val="110"/>
        </w:rPr>
        <w:t> </w:t>
      </w:r>
      <w:r>
        <w:rPr>
          <w:color w:val="231F1F"/>
          <w:w w:val="110"/>
        </w:rPr>
        <w:t>pujos</w:t>
      </w:r>
      <w:r>
        <w:rPr>
          <w:color w:val="231F1F"/>
          <w:spacing w:val="-15"/>
          <w:w w:val="110"/>
        </w:rPr>
        <w:t> </w:t>
      </w:r>
      <w:r>
        <w:rPr>
          <w:color w:val="231F1F"/>
          <w:w w:val="110"/>
        </w:rPr>
        <w:t>tempranos</w:t>
      </w:r>
      <w:r>
        <w:rPr>
          <w:color w:val="231F1F"/>
          <w:spacing w:val="-15"/>
          <w:w w:val="110"/>
        </w:rPr>
        <w:t> </w:t>
      </w:r>
      <w:r>
        <w:rPr>
          <w:color w:val="231F1F"/>
          <w:w w:val="110"/>
        </w:rPr>
        <w:t>(n=219)</w:t>
      </w:r>
      <w:r>
        <w:rPr>
          <w:color w:val="231F1F"/>
          <w:spacing w:val="-15"/>
          <w:w w:val="110"/>
        </w:rPr>
        <w:t> </w:t>
      </w:r>
      <w:r>
        <w:rPr>
          <w:color w:val="231F1F"/>
          <w:w w:val="110"/>
        </w:rPr>
        <w:t>las</w:t>
      </w:r>
      <w:r>
        <w:rPr>
          <w:color w:val="231F1F"/>
          <w:spacing w:val="-15"/>
          <w:w w:val="110"/>
        </w:rPr>
        <w:t> </w:t>
      </w:r>
      <w:r>
        <w:rPr>
          <w:color w:val="231F1F"/>
          <w:w w:val="110"/>
        </w:rPr>
        <w:t>animaban</w:t>
      </w:r>
      <w:r>
        <w:rPr>
          <w:color w:val="231F1F"/>
          <w:spacing w:val="-15"/>
          <w:w w:val="110"/>
        </w:rPr>
        <w:t> </w:t>
      </w:r>
      <w:r>
        <w:rPr>
          <w:color w:val="231F1F"/>
          <w:w w:val="110"/>
        </w:rPr>
        <w:t>a</w:t>
      </w:r>
      <w:r>
        <w:rPr>
          <w:color w:val="231F1F"/>
          <w:spacing w:val="-15"/>
          <w:w w:val="110"/>
        </w:rPr>
        <w:t> </w:t>
      </w:r>
      <w:r>
        <w:rPr>
          <w:color w:val="231F1F"/>
          <w:w w:val="110"/>
        </w:rPr>
        <w:t>pujar</w:t>
      </w:r>
      <w:r>
        <w:rPr>
          <w:color w:val="231F1F"/>
          <w:spacing w:val="-16"/>
          <w:w w:val="110"/>
        </w:rPr>
        <w:t> </w:t>
      </w:r>
      <w:r>
        <w:rPr>
          <w:color w:val="231F1F"/>
          <w:w w:val="110"/>
        </w:rPr>
        <w:t>en</w:t>
      </w:r>
      <w:r>
        <w:rPr>
          <w:color w:val="231F1F"/>
          <w:spacing w:val="-15"/>
          <w:w w:val="110"/>
        </w:rPr>
        <w:t> </w:t>
      </w:r>
      <w:r>
        <w:rPr>
          <w:color w:val="231F1F"/>
          <w:w w:val="110"/>
        </w:rPr>
        <w:t>cuanto</w:t>
      </w:r>
      <w:r>
        <w:rPr>
          <w:color w:val="231F1F"/>
          <w:spacing w:val="-15"/>
          <w:w w:val="110"/>
        </w:rPr>
        <w:t> </w:t>
      </w:r>
      <w:r>
        <w:rPr>
          <w:color w:val="231F1F"/>
          <w:w w:val="110"/>
        </w:rPr>
        <w:t>empeza- ba la 2ª etapa.</w:t>
      </w:r>
    </w:p>
    <w:p>
      <w:pPr>
        <w:spacing w:line="278" w:lineRule="auto" w:before="124"/>
        <w:ind w:left="21" w:right="84" w:firstLine="0"/>
        <w:jc w:val="center"/>
        <w:rPr>
          <w:rFonts w:ascii="Arial MT"/>
          <w:sz w:val="18"/>
        </w:rPr>
      </w:pPr>
      <w:r>
        <w:rPr/>
        <w:br w:type="column"/>
      </w: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0" w:right="6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3"/>
        <w:rPr>
          <w:rFonts w:ascii="Arial MT"/>
          <w:sz w:val="18"/>
        </w:rPr>
      </w:pPr>
    </w:p>
    <w:p>
      <w:pPr>
        <w:spacing w:line="273" w:lineRule="auto" w:before="0"/>
        <w:ind w:left="386" w:right="436"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spacing w:before="46"/>
        <w:rPr>
          <w:rFonts w:ascii="Arial MT"/>
          <w:sz w:val="18"/>
        </w:rPr>
      </w:pPr>
    </w:p>
    <w:p>
      <w:pPr>
        <w:spacing w:line="278" w:lineRule="auto" w:before="0"/>
        <w:ind w:left="386" w:right="450" w:firstLine="0"/>
        <w:jc w:val="center"/>
        <w:rPr>
          <w:rFonts w:ascii="Arial MT"/>
          <w:sz w:val="18"/>
        </w:rPr>
      </w:pPr>
      <w:r>
        <w:rPr>
          <w:rFonts w:ascii="Arial MT"/>
          <w:color w:val="231F1F"/>
          <w:spacing w:val="-12"/>
          <w:sz w:val="18"/>
        </w:rPr>
        <w:t>ECAs</w:t>
      </w:r>
      <w:r>
        <w:rPr>
          <w:rFonts w:ascii="Arial MT"/>
          <w:color w:val="231F1F"/>
          <w:spacing w:val="-6"/>
          <w:sz w:val="18"/>
        </w:rPr>
        <w:t> 1+</w:t>
      </w:r>
    </w:p>
    <w:p>
      <w:pPr>
        <w:spacing w:after="0" w:line="278" w:lineRule="auto"/>
        <w:jc w:val="center"/>
        <w:rPr>
          <w:rFonts w:ascii="Arial MT"/>
          <w:sz w:val="18"/>
        </w:rPr>
        <w:sectPr>
          <w:pgSz w:w="11900" w:h="16840"/>
          <w:pgMar w:header="0" w:footer="622" w:top="1560" w:bottom="820" w:left="1417" w:right="1559"/>
          <w:cols w:num="2" w:equalWidth="0">
            <w:col w:w="7561" w:space="40"/>
            <w:col w:w="1323"/>
          </w:cols>
        </w:sectPr>
      </w:pPr>
    </w:p>
    <w:p>
      <w:pPr>
        <w:pStyle w:val="BodyText"/>
        <w:tabs>
          <w:tab w:pos="7851" w:val="left" w:leader="none"/>
          <w:tab w:pos="8006" w:val="left" w:leader="none"/>
          <w:tab w:pos="8114" w:val="left" w:leader="none"/>
        </w:tabs>
        <w:spacing w:line="247" w:lineRule="auto" w:before="78"/>
        <w:ind w:left="283" w:right="362" w:firstLine="453"/>
      </w:pPr>
      <w:r>
        <w:rPr>
          <w:color w:val="231F1F"/>
          <w:w w:val="110"/>
        </w:rPr>
        <w:t>La duración de la 2ª etapa fue mayor en el grupo de pujos con retraso</w:t>
      </w:r>
      <w:r>
        <w:rPr>
          <w:color w:val="231F1F"/>
        </w:rPr>
        <w:tab/>
        <w:tab/>
      </w:r>
      <w:r>
        <w:rPr>
          <w:rFonts w:ascii="Arial MT" w:hAnsi="Arial MT"/>
          <w:color w:val="231F1F"/>
          <w:w w:val="110"/>
          <w:sz w:val="18"/>
        </w:rPr>
        <w:t>E. de </w:t>
      </w:r>
      <w:r>
        <w:rPr>
          <w:color w:val="231F1F"/>
          <w:w w:val="110"/>
        </w:rPr>
        <w:t>(p&lt;0,001), a pesar de que en el grupo con pujos tempranos esperaban una</w:t>
      </w:r>
      <w:r>
        <w:rPr>
          <w:color w:val="231F1F"/>
        </w:rPr>
        <w:tab/>
      </w:r>
      <w:r>
        <w:rPr>
          <w:rFonts w:ascii="Arial MT" w:hAnsi="Arial MT"/>
          <w:color w:val="231F1F"/>
          <w:spacing w:val="-2"/>
          <w:position w:val="4"/>
          <w:sz w:val="18"/>
        </w:rPr>
        <w:t>cohortes </w:t>
      </w:r>
      <w:r>
        <w:rPr>
          <w:color w:val="231F1F"/>
          <w:w w:val="110"/>
        </w:rPr>
        <w:t>media de 0,7 horas antes de empezar a pujar, y en el grupo de pujos con re-</w:t>
      </w:r>
      <w:r>
        <w:rPr>
          <w:color w:val="231F1F"/>
        </w:rPr>
        <w:tab/>
        <w:tab/>
        <w:tab/>
      </w:r>
      <w:r>
        <w:rPr>
          <w:rFonts w:ascii="Arial MT" w:hAnsi="Arial MT"/>
          <w:color w:val="231F1F"/>
          <w:spacing w:val="-6"/>
          <w:w w:val="110"/>
          <w:position w:val="8"/>
          <w:sz w:val="18"/>
        </w:rPr>
        <w:t>2+ </w:t>
      </w:r>
      <w:r>
        <w:rPr>
          <w:color w:val="231F1F"/>
          <w:w w:val="110"/>
        </w:rPr>
        <w:t>traso</w:t>
      </w:r>
      <w:r>
        <w:rPr>
          <w:color w:val="231F1F"/>
          <w:spacing w:val="-9"/>
          <w:w w:val="110"/>
        </w:rPr>
        <w:t> </w:t>
      </w:r>
      <w:r>
        <w:rPr>
          <w:color w:val="231F1F"/>
          <w:w w:val="110"/>
        </w:rPr>
        <w:t>0,9</w:t>
      </w:r>
      <w:r>
        <w:rPr>
          <w:color w:val="231F1F"/>
          <w:spacing w:val="-7"/>
          <w:w w:val="110"/>
        </w:rPr>
        <w:t> </w:t>
      </w:r>
      <w:r>
        <w:rPr>
          <w:color w:val="231F1F"/>
          <w:w w:val="110"/>
        </w:rPr>
        <w:t>horas.</w:t>
      </w:r>
      <w:r>
        <w:rPr>
          <w:color w:val="231F1F"/>
          <w:spacing w:val="-9"/>
          <w:w w:val="110"/>
        </w:rPr>
        <w:t> </w:t>
      </w:r>
      <w:r>
        <w:rPr>
          <w:color w:val="231F1F"/>
          <w:w w:val="110"/>
        </w:rPr>
        <w:t>El</w:t>
      </w:r>
      <w:r>
        <w:rPr>
          <w:color w:val="231F1F"/>
          <w:spacing w:val="-7"/>
          <w:w w:val="110"/>
        </w:rPr>
        <w:t> </w:t>
      </w:r>
      <w:r>
        <w:rPr>
          <w:color w:val="231F1F"/>
          <w:w w:val="110"/>
        </w:rPr>
        <w:t>uso</w:t>
      </w:r>
      <w:r>
        <w:rPr>
          <w:color w:val="231F1F"/>
          <w:spacing w:val="-7"/>
          <w:w w:val="110"/>
        </w:rPr>
        <w:t> </w:t>
      </w:r>
      <w:r>
        <w:rPr>
          <w:color w:val="231F1F"/>
          <w:w w:val="110"/>
        </w:rPr>
        <w:t>de</w:t>
      </w:r>
      <w:r>
        <w:rPr>
          <w:color w:val="231F1F"/>
          <w:spacing w:val="-7"/>
          <w:w w:val="110"/>
        </w:rPr>
        <w:t> </w:t>
      </w:r>
      <w:r>
        <w:rPr>
          <w:color w:val="231F1F"/>
          <w:w w:val="110"/>
        </w:rPr>
        <w:t>fórceps</w:t>
      </w:r>
      <w:r>
        <w:rPr>
          <w:color w:val="231F1F"/>
          <w:spacing w:val="-7"/>
          <w:w w:val="110"/>
        </w:rPr>
        <w:t> </w:t>
      </w:r>
      <w:r>
        <w:rPr>
          <w:color w:val="231F1F"/>
          <w:w w:val="110"/>
        </w:rPr>
        <w:t>no</w:t>
      </w:r>
      <w:r>
        <w:rPr>
          <w:color w:val="231F1F"/>
          <w:spacing w:val="-7"/>
          <w:w w:val="110"/>
        </w:rPr>
        <w:t> </w:t>
      </w:r>
      <w:r>
        <w:rPr>
          <w:color w:val="231F1F"/>
          <w:w w:val="110"/>
        </w:rPr>
        <w:t>rotacional</w:t>
      </w:r>
      <w:r>
        <w:rPr>
          <w:color w:val="231F1F"/>
          <w:spacing w:val="-9"/>
          <w:w w:val="110"/>
        </w:rPr>
        <w:t> </w:t>
      </w:r>
      <w:r>
        <w:rPr>
          <w:color w:val="231F1F"/>
          <w:w w:val="110"/>
        </w:rPr>
        <w:t>fue</w:t>
      </w:r>
      <w:r>
        <w:rPr>
          <w:color w:val="231F1F"/>
          <w:spacing w:val="-7"/>
          <w:w w:val="110"/>
        </w:rPr>
        <w:t> </w:t>
      </w:r>
      <w:r>
        <w:rPr>
          <w:color w:val="231F1F"/>
          <w:w w:val="110"/>
        </w:rPr>
        <w:t>menor</w:t>
      </w:r>
      <w:r>
        <w:rPr>
          <w:color w:val="231F1F"/>
          <w:spacing w:val="-7"/>
          <w:w w:val="110"/>
        </w:rPr>
        <w:t> </w:t>
      </w:r>
      <w:r>
        <w:rPr>
          <w:color w:val="231F1F"/>
          <w:w w:val="110"/>
        </w:rPr>
        <w:t>en</w:t>
      </w:r>
      <w:r>
        <w:rPr>
          <w:color w:val="231F1F"/>
          <w:spacing w:val="-7"/>
          <w:w w:val="110"/>
        </w:rPr>
        <w:t> </w:t>
      </w:r>
      <w:r>
        <w:rPr>
          <w:color w:val="231F1F"/>
          <w:w w:val="110"/>
        </w:rPr>
        <w:t>el</w:t>
      </w:r>
      <w:r>
        <w:rPr>
          <w:color w:val="231F1F"/>
          <w:spacing w:val="-7"/>
          <w:w w:val="110"/>
        </w:rPr>
        <w:t> </w:t>
      </w:r>
      <w:r>
        <w:rPr>
          <w:color w:val="231F1F"/>
          <w:w w:val="110"/>
        </w:rPr>
        <w:t>grupo</w:t>
      </w:r>
      <w:r>
        <w:rPr>
          <w:color w:val="231F1F"/>
          <w:spacing w:val="-7"/>
          <w:w w:val="110"/>
        </w:rPr>
        <w:t> </w:t>
      </w:r>
      <w:r>
        <w:rPr>
          <w:color w:val="231F1F"/>
          <w:w w:val="110"/>
        </w:rPr>
        <w:t>de</w:t>
      </w:r>
      <w:r>
        <w:rPr>
          <w:color w:val="231F1F"/>
          <w:spacing w:val="-7"/>
          <w:w w:val="110"/>
        </w:rPr>
        <w:t> </w:t>
      </w:r>
      <w:r>
        <w:rPr>
          <w:color w:val="231F1F"/>
          <w:w w:val="110"/>
        </w:rPr>
        <w:t>pujos</w:t>
      </w:r>
    </w:p>
    <w:p>
      <w:pPr>
        <w:pStyle w:val="BodyText"/>
        <w:spacing w:line="247" w:lineRule="auto" w:before="5"/>
        <w:ind w:left="283" w:right="1245"/>
      </w:pPr>
      <w:r>
        <w:rPr>
          <w:color w:val="231F1F"/>
          <w:w w:val="110"/>
        </w:rPr>
        <w:t>con</w:t>
      </w:r>
      <w:r>
        <w:rPr>
          <w:color w:val="231F1F"/>
          <w:spacing w:val="-7"/>
          <w:w w:val="110"/>
        </w:rPr>
        <w:t> </w:t>
      </w:r>
      <w:r>
        <w:rPr>
          <w:color w:val="231F1F"/>
          <w:w w:val="110"/>
        </w:rPr>
        <w:t>retraso:</w:t>
      </w:r>
      <w:r>
        <w:rPr>
          <w:color w:val="231F1F"/>
          <w:spacing w:val="-7"/>
          <w:w w:val="110"/>
        </w:rPr>
        <w:t> </w:t>
      </w:r>
      <w:r>
        <w:rPr>
          <w:color w:val="231F1F"/>
          <w:w w:val="110"/>
        </w:rPr>
        <w:t>44,84%</w:t>
      </w:r>
      <w:r>
        <w:rPr>
          <w:color w:val="231F1F"/>
          <w:spacing w:val="-5"/>
          <w:w w:val="110"/>
        </w:rPr>
        <w:t> </w:t>
      </w:r>
      <w:r>
        <w:rPr>
          <w:color w:val="231F1F"/>
          <w:w w:val="110"/>
        </w:rPr>
        <w:t>frente</w:t>
      </w:r>
      <w:r>
        <w:rPr>
          <w:color w:val="231F1F"/>
          <w:spacing w:val="-6"/>
          <w:w w:val="110"/>
        </w:rPr>
        <w:t> </w:t>
      </w:r>
      <w:r>
        <w:rPr>
          <w:color w:val="231F1F"/>
          <w:w w:val="110"/>
        </w:rPr>
        <w:t>a</w:t>
      </w:r>
      <w:r>
        <w:rPr>
          <w:color w:val="231F1F"/>
          <w:spacing w:val="-6"/>
          <w:w w:val="110"/>
        </w:rPr>
        <w:t> </w:t>
      </w:r>
      <w:r>
        <w:rPr>
          <w:color w:val="231F1F"/>
          <w:w w:val="110"/>
        </w:rPr>
        <w:t>54,79%;</w:t>
      </w:r>
      <w:r>
        <w:rPr>
          <w:color w:val="231F1F"/>
          <w:spacing w:val="-8"/>
          <w:w w:val="110"/>
        </w:rPr>
        <w:t> </w:t>
      </w:r>
      <w:r>
        <w:rPr>
          <w:color w:val="231F1F"/>
          <w:w w:val="110"/>
        </w:rPr>
        <w:t>p&lt;0,04.</w:t>
      </w:r>
      <w:r>
        <w:rPr>
          <w:color w:val="231F1F"/>
          <w:spacing w:val="-7"/>
          <w:w w:val="110"/>
        </w:rPr>
        <w:t> </w:t>
      </w:r>
      <w:r>
        <w:rPr>
          <w:color w:val="231F1F"/>
          <w:w w:val="110"/>
        </w:rPr>
        <w:t>Los</w:t>
      </w:r>
      <w:r>
        <w:rPr>
          <w:color w:val="231F1F"/>
          <w:spacing w:val="-6"/>
          <w:w w:val="110"/>
        </w:rPr>
        <w:t> </w:t>
      </w:r>
      <w:r>
        <w:rPr>
          <w:color w:val="231F1F"/>
          <w:w w:val="110"/>
        </w:rPr>
        <w:t>patrones</w:t>
      </w:r>
      <w:r>
        <w:rPr>
          <w:color w:val="231F1F"/>
          <w:spacing w:val="-7"/>
          <w:w w:val="110"/>
        </w:rPr>
        <w:t> </w:t>
      </w:r>
      <w:r>
        <w:rPr>
          <w:color w:val="231F1F"/>
          <w:w w:val="110"/>
        </w:rPr>
        <w:t>cardiacos</w:t>
      </w:r>
      <w:r>
        <w:rPr>
          <w:color w:val="231F1F"/>
          <w:spacing w:val="-6"/>
          <w:w w:val="110"/>
        </w:rPr>
        <w:t> </w:t>
      </w:r>
      <w:r>
        <w:rPr>
          <w:color w:val="231F1F"/>
          <w:w w:val="110"/>
        </w:rPr>
        <w:t>fetales anormales y/o la aparición de meconio fueron más comunes en el grupo de retrasos</w:t>
      </w:r>
      <w:r>
        <w:rPr>
          <w:color w:val="231F1F"/>
          <w:spacing w:val="-11"/>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pujo:</w:t>
      </w:r>
      <w:r>
        <w:rPr>
          <w:color w:val="231F1F"/>
          <w:spacing w:val="-12"/>
          <w:w w:val="110"/>
        </w:rPr>
        <w:t> </w:t>
      </w:r>
      <w:r>
        <w:rPr>
          <w:color w:val="231F1F"/>
          <w:w w:val="110"/>
        </w:rPr>
        <w:t>27,8%</w:t>
      </w:r>
      <w:r>
        <w:rPr>
          <w:color w:val="231F1F"/>
          <w:spacing w:val="-9"/>
          <w:w w:val="110"/>
        </w:rPr>
        <w:t> </w:t>
      </w:r>
      <w:r>
        <w:rPr>
          <w:color w:val="231F1F"/>
          <w:w w:val="110"/>
        </w:rPr>
        <w:t>frente</w:t>
      </w:r>
      <w:r>
        <w:rPr>
          <w:color w:val="231F1F"/>
          <w:spacing w:val="-11"/>
          <w:w w:val="110"/>
        </w:rPr>
        <w:t> </w:t>
      </w:r>
      <w:r>
        <w:rPr>
          <w:color w:val="231F1F"/>
          <w:w w:val="110"/>
        </w:rPr>
        <w:t>a</w:t>
      </w:r>
      <w:r>
        <w:rPr>
          <w:color w:val="231F1F"/>
          <w:spacing w:val="-11"/>
          <w:w w:val="110"/>
        </w:rPr>
        <w:t> </w:t>
      </w:r>
      <w:r>
        <w:rPr>
          <w:color w:val="231F1F"/>
          <w:w w:val="110"/>
        </w:rPr>
        <w:t>3,91%;</w:t>
      </w:r>
      <w:r>
        <w:rPr>
          <w:color w:val="231F1F"/>
          <w:spacing w:val="-12"/>
          <w:w w:val="110"/>
        </w:rPr>
        <w:t> </w:t>
      </w:r>
      <w:r>
        <w:rPr>
          <w:color w:val="231F1F"/>
          <w:w w:val="110"/>
        </w:rPr>
        <w:t>p&lt;0,01</w:t>
      </w:r>
      <w:r>
        <w:rPr>
          <w:color w:val="231F1F"/>
          <w:spacing w:val="-11"/>
          <w:w w:val="110"/>
        </w:rPr>
        <w:t> </w:t>
      </w:r>
      <w:r>
        <w:rPr>
          <w:color w:val="231F1F"/>
          <w:w w:val="110"/>
        </w:rPr>
        <w:t>y</w:t>
      </w:r>
      <w:r>
        <w:rPr>
          <w:color w:val="231F1F"/>
          <w:spacing w:val="-10"/>
          <w:w w:val="110"/>
        </w:rPr>
        <w:t> </w:t>
      </w:r>
      <w:r>
        <w:rPr>
          <w:color w:val="231F1F"/>
          <w:w w:val="110"/>
        </w:rPr>
        <w:t>el</w:t>
      </w:r>
      <w:r>
        <w:rPr>
          <w:color w:val="231F1F"/>
          <w:spacing w:val="-11"/>
          <w:w w:val="110"/>
        </w:rPr>
        <w:t> </w:t>
      </w:r>
      <w:r>
        <w:rPr>
          <w:color w:val="231F1F"/>
          <w:w w:val="110"/>
        </w:rPr>
        <w:t>número</w:t>
      </w:r>
      <w:r>
        <w:rPr>
          <w:color w:val="231F1F"/>
          <w:spacing w:val="-11"/>
          <w:w w:val="110"/>
        </w:rPr>
        <w:t> </w:t>
      </w:r>
      <w:r>
        <w:rPr>
          <w:color w:val="231F1F"/>
          <w:w w:val="110"/>
        </w:rPr>
        <w:t>de</w:t>
      </w:r>
      <w:r>
        <w:rPr>
          <w:color w:val="231F1F"/>
          <w:spacing w:val="-11"/>
          <w:w w:val="110"/>
        </w:rPr>
        <w:t> </w:t>
      </w:r>
      <w:r>
        <w:rPr>
          <w:color w:val="231F1F"/>
          <w:w w:val="110"/>
        </w:rPr>
        <w:t>ingresos</w:t>
      </w:r>
      <w:r>
        <w:rPr>
          <w:color w:val="231F1F"/>
          <w:spacing w:val="-11"/>
          <w:w w:val="110"/>
        </w:rPr>
        <w:t> </w:t>
      </w:r>
      <w:r>
        <w:rPr>
          <w:color w:val="231F1F"/>
          <w:w w:val="110"/>
        </w:rPr>
        <w:t>en unidades de cuidados intensivos neonatales también fue mayor en el grupo de pujos con retraso: 14 frente a 5, p=0,017.</w:t>
      </w:r>
    </w:p>
    <w:p>
      <w:pPr>
        <w:pStyle w:val="BodyText"/>
        <w:tabs>
          <w:tab w:pos="7851" w:val="left" w:leader="none"/>
          <w:tab w:pos="8006" w:val="left" w:leader="none"/>
          <w:tab w:pos="8114" w:val="left" w:leader="none"/>
        </w:tabs>
        <w:spacing w:before="89"/>
        <w:ind w:left="283" w:right="392" w:firstLine="453"/>
        <w:rPr>
          <w:rFonts w:ascii="Arial MT" w:hAnsi="Arial MT"/>
          <w:position w:val="8"/>
          <w:sz w:val="18"/>
        </w:rPr>
      </w:pPr>
      <w:r>
        <w:rPr>
          <w:color w:val="231F1F"/>
        </w:rPr>
        <w:t>No se encontraron diferencias en: índice de partos espontáneos, índice</w:t>
        <w:tab/>
        <w:tab/>
      </w:r>
      <w:r>
        <w:rPr>
          <w:rFonts w:ascii="Arial MT" w:hAnsi="Arial MT"/>
          <w:color w:val="231F1F"/>
          <w:sz w:val="18"/>
        </w:rPr>
        <w:t>E. de </w:t>
      </w:r>
      <w:r>
        <w:rPr>
          <w:color w:val="231F1F"/>
        </w:rPr>
        <w:t>de episiotomías, complicaciones en la 3ª etapa, valores del test Apgar, reque-</w:t>
        <w:tab/>
      </w:r>
      <w:r>
        <w:rPr>
          <w:rFonts w:ascii="Arial MT" w:hAnsi="Arial MT"/>
          <w:color w:val="231F1F"/>
          <w:spacing w:val="-4"/>
          <w:position w:val="4"/>
          <w:sz w:val="18"/>
        </w:rPr>
        <w:t>cohortes </w:t>
      </w:r>
      <w:r>
        <w:rPr>
          <w:color w:val="231F1F"/>
        </w:rPr>
        <w:t>rimientos de intubación del feto o morbilidad postnatal.</w:t>
        <w:tab/>
        <w:tab/>
        <w:tab/>
      </w:r>
      <w:r>
        <w:rPr>
          <w:rFonts w:ascii="Arial MT" w:hAnsi="Arial MT"/>
          <w:color w:val="231F1F"/>
          <w:spacing w:val="-6"/>
          <w:position w:val="8"/>
          <w:sz w:val="18"/>
        </w:rPr>
        <w:t>2+</w:t>
      </w:r>
    </w:p>
    <w:p>
      <w:pPr>
        <w:pStyle w:val="BodyText"/>
        <w:spacing w:before="92"/>
        <w:rPr>
          <w:rFonts w:ascii="Arial MT"/>
        </w:rPr>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20"/>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2"/>
          <w:sz w:val="24"/>
        </w:rPr>
        <w:t> </w:t>
      </w:r>
      <w:r>
        <w:rPr>
          <w:rFonts w:ascii="Arial MT" w:hAnsi="Arial MT"/>
          <w:color w:val="231F1F"/>
          <w:sz w:val="24"/>
        </w:rPr>
        <w:t>agosto</w:t>
      </w:r>
      <w:r>
        <w:rPr>
          <w:rFonts w:ascii="Arial MT" w:hAnsi="Arial MT"/>
          <w:color w:val="231F1F"/>
          <w:spacing w:val="23"/>
          <w:sz w:val="24"/>
        </w:rPr>
        <w:t> </w:t>
      </w:r>
      <w:r>
        <w:rPr>
          <w:rFonts w:ascii="Arial MT" w:hAnsi="Arial MT"/>
          <w:color w:val="231F1F"/>
          <w:spacing w:val="-2"/>
          <w:sz w:val="24"/>
        </w:rPr>
        <w:t>2008)</w:t>
      </w:r>
    </w:p>
    <w:p>
      <w:pPr>
        <w:pStyle w:val="BodyText"/>
        <w:spacing w:line="244" w:lineRule="auto" w:before="214"/>
        <w:ind w:left="283" w:right="1368"/>
        <w:jc w:val="both"/>
      </w:pPr>
      <w:r>
        <w:rPr>
          <w:color w:val="231F1F"/>
          <w:w w:val="110"/>
        </w:rPr>
        <w:t>La</w:t>
      </w:r>
      <w:r>
        <w:rPr>
          <w:color w:val="231F1F"/>
          <w:spacing w:val="-9"/>
          <w:w w:val="110"/>
        </w:rPr>
        <w:t> </w:t>
      </w:r>
      <w:r>
        <w:rPr>
          <w:color w:val="231F1F"/>
          <w:w w:val="110"/>
        </w:rPr>
        <w:t>búsqueda</w:t>
      </w:r>
      <w:r>
        <w:rPr>
          <w:color w:val="231F1F"/>
          <w:spacing w:val="-9"/>
          <w:w w:val="110"/>
        </w:rPr>
        <w:t> </w:t>
      </w:r>
      <w:r>
        <w:rPr>
          <w:color w:val="231F1F"/>
          <w:w w:val="110"/>
        </w:rPr>
        <w:t>llevada</w:t>
      </w:r>
      <w:r>
        <w:rPr>
          <w:color w:val="231F1F"/>
          <w:spacing w:val="-9"/>
          <w:w w:val="110"/>
        </w:rPr>
        <w:t> </w:t>
      </w:r>
      <w:r>
        <w:rPr>
          <w:color w:val="231F1F"/>
          <w:w w:val="110"/>
        </w:rPr>
        <w:t>a</w:t>
      </w:r>
      <w:r>
        <w:rPr>
          <w:color w:val="231F1F"/>
          <w:spacing w:val="-9"/>
          <w:w w:val="110"/>
        </w:rPr>
        <w:t> </w:t>
      </w:r>
      <w:r>
        <w:rPr>
          <w:color w:val="231F1F"/>
          <w:w w:val="110"/>
        </w:rPr>
        <w:t>cabo</w:t>
      </w:r>
      <w:r>
        <w:rPr>
          <w:color w:val="231F1F"/>
          <w:spacing w:val="-9"/>
          <w:w w:val="110"/>
        </w:rPr>
        <w:t> </w:t>
      </w:r>
      <w:r>
        <w:rPr>
          <w:color w:val="231F1F"/>
          <w:w w:val="110"/>
        </w:rPr>
        <w:t>para</w:t>
      </w:r>
      <w:r>
        <w:rPr>
          <w:color w:val="231F1F"/>
          <w:spacing w:val="-9"/>
          <w:w w:val="110"/>
        </w:rPr>
        <w:t> </w:t>
      </w:r>
      <w:r>
        <w:rPr>
          <w:color w:val="231F1F"/>
          <w:w w:val="110"/>
        </w:rPr>
        <w:t>la</w:t>
      </w:r>
      <w:r>
        <w:rPr>
          <w:color w:val="231F1F"/>
          <w:spacing w:val="-9"/>
          <w:w w:val="110"/>
        </w:rPr>
        <w:t> </w:t>
      </w:r>
      <w:r>
        <w:rPr>
          <w:color w:val="231F1F"/>
          <w:w w:val="110"/>
        </w:rPr>
        <w:t>actualización</w:t>
      </w:r>
      <w:r>
        <w:rPr>
          <w:color w:val="231F1F"/>
          <w:spacing w:val="-9"/>
          <w:w w:val="110"/>
        </w:rPr>
        <w:t> </w:t>
      </w:r>
      <w:r>
        <w:rPr>
          <w:color w:val="231F1F"/>
          <w:w w:val="110"/>
        </w:rPr>
        <w:t>no</w:t>
      </w:r>
      <w:r>
        <w:rPr>
          <w:color w:val="231F1F"/>
          <w:spacing w:val="-9"/>
          <w:w w:val="110"/>
        </w:rPr>
        <w:t> </w:t>
      </w:r>
      <w:r>
        <w:rPr>
          <w:color w:val="231F1F"/>
          <w:w w:val="110"/>
        </w:rPr>
        <w:t>arrojó</w:t>
      </w:r>
      <w:r>
        <w:rPr>
          <w:color w:val="231F1F"/>
          <w:spacing w:val="-9"/>
          <w:w w:val="110"/>
        </w:rPr>
        <w:t> </w:t>
      </w:r>
      <w:r>
        <w:rPr>
          <w:color w:val="231F1F"/>
          <w:w w:val="110"/>
        </w:rPr>
        <w:t>nuevos</w:t>
      </w:r>
      <w:r>
        <w:rPr>
          <w:color w:val="231F1F"/>
          <w:spacing w:val="-9"/>
          <w:w w:val="110"/>
        </w:rPr>
        <w:t> </w:t>
      </w:r>
      <w:r>
        <w:rPr>
          <w:color w:val="231F1F"/>
          <w:w w:val="110"/>
        </w:rPr>
        <w:t>estudios. Por</w:t>
      </w:r>
      <w:r>
        <w:rPr>
          <w:color w:val="231F1F"/>
          <w:spacing w:val="-16"/>
          <w:w w:val="110"/>
        </w:rPr>
        <w:t> </w:t>
      </w:r>
      <w:r>
        <w:rPr>
          <w:color w:val="231F1F"/>
          <w:w w:val="110"/>
        </w:rPr>
        <w:t>ello,</w:t>
      </w:r>
      <w:r>
        <w:rPr>
          <w:color w:val="231F1F"/>
          <w:spacing w:val="-15"/>
          <w:w w:val="110"/>
        </w:rPr>
        <w:t> </w:t>
      </w:r>
      <w:r>
        <w:rPr>
          <w:color w:val="231F1F"/>
          <w:w w:val="110"/>
        </w:rPr>
        <w:t>el</w:t>
      </w:r>
      <w:r>
        <w:rPr>
          <w:color w:val="231F1F"/>
          <w:spacing w:val="-15"/>
          <w:w w:val="110"/>
        </w:rPr>
        <w:t> </w:t>
      </w:r>
      <w:r>
        <w:rPr>
          <w:color w:val="231F1F"/>
          <w:w w:val="110"/>
        </w:rPr>
        <w:t>GEG</w:t>
      </w:r>
      <w:r>
        <w:rPr>
          <w:color w:val="231F1F"/>
          <w:spacing w:val="-15"/>
          <w:w w:val="110"/>
        </w:rPr>
        <w:t> </w:t>
      </w:r>
      <w:r>
        <w:rPr>
          <w:color w:val="231F1F"/>
          <w:w w:val="110"/>
        </w:rPr>
        <w:t>ha</w:t>
      </w:r>
      <w:r>
        <w:rPr>
          <w:color w:val="231F1F"/>
          <w:spacing w:val="-15"/>
          <w:w w:val="110"/>
        </w:rPr>
        <w:t> </w:t>
      </w:r>
      <w:r>
        <w:rPr>
          <w:color w:val="231F1F"/>
          <w:w w:val="110"/>
        </w:rPr>
        <w:t>utilizado</w:t>
      </w:r>
      <w:r>
        <w:rPr>
          <w:color w:val="231F1F"/>
          <w:spacing w:val="-15"/>
          <w:w w:val="110"/>
        </w:rPr>
        <w:t> </w:t>
      </w:r>
      <w:r>
        <w:rPr>
          <w:color w:val="231F1F"/>
          <w:w w:val="110"/>
        </w:rPr>
        <w:t>la</w:t>
      </w:r>
      <w:r>
        <w:rPr>
          <w:color w:val="231F1F"/>
          <w:spacing w:val="-15"/>
          <w:w w:val="110"/>
        </w:rPr>
        <w:t> </w:t>
      </w:r>
      <w:r>
        <w:rPr>
          <w:color w:val="231F1F"/>
          <w:w w:val="110"/>
        </w:rPr>
        <w:t>evidencia</w:t>
      </w:r>
      <w:r>
        <w:rPr>
          <w:color w:val="231F1F"/>
          <w:spacing w:val="-15"/>
          <w:w w:val="110"/>
        </w:rPr>
        <w:t> </w:t>
      </w:r>
      <w:r>
        <w:rPr>
          <w:color w:val="231F1F"/>
          <w:w w:val="110"/>
        </w:rPr>
        <w:t>de</w:t>
      </w:r>
      <w:r>
        <w:rPr>
          <w:color w:val="231F1F"/>
          <w:spacing w:val="-16"/>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discu- sión de la misma y para la elaboración de recomendaciones.</w:t>
      </w:r>
    </w:p>
    <w:p>
      <w:pPr>
        <w:pStyle w:val="BodyText"/>
        <w:spacing w:line="244" w:lineRule="auto" w:before="138"/>
        <w:ind w:left="283" w:right="1365" w:firstLine="453"/>
        <w:jc w:val="both"/>
      </w:pPr>
      <w:r>
        <w:rPr>
          <w:color w:val="231F1F"/>
          <w:w w:val="105"/>
        </w:rPr>
        <w:t>La evidencia procedente de los estudios incluidos en la guía NICE (10) coincide en señalar que la duración total de la 2ª etapa es significativamente más</w:t>
      </w:r>
      <w:r>
        <w:rPr>
          <w:color w:val="231F1F"/>
          <w:w w:val="105"/>
        </w:rPr>
        <w:t> larga</w:t>
      </w:r>
      <w:r>
        <w:rPr>
          <w:color w:val="231F1F"/>
          <w:w w:val="105"/>
        </w:rPr>
        <w:t> en</w:t>
      </w:r>
      <w:r>
        <w:rPr>
          <w:color w:val="231F1F"/>
          <w:w w:val="105"/>
        </w:rPr>
        <w:t> el</w:t>
      </w:r>
      <w:r>
        <w:rPr>
          <w:color w:val="231F1F"/>
          <w:w w:val="105"/>
        </w:rPr>
        <w:t> grupo</w:t>
      </w:r>
      <w:r>
        <w:rPr>
          <w:color w:val="231F1F"/>
          <w:w w:val="105"/>
        </w:rPr>
        <w:t> de</w:t>
      </w:r>
      <w:r>
        <w:rPr>
          <w:color w:val="231F1F"/>
          <w:w w:val="105"/>
        </w:rPr>
        <w:t> pujos</w:t>
      </w:r>
      <w:r>
        <w:rPr>
          <w:color w:val="231F1F"/>
          <w:w w:val="105"/>
        </w:rPr>
        <w:t> retardados</w:t>
      </w:r>
      <w:r>
        <w:rPr>
          <w:color w:val="231F1F"/>
          <w:w w:val="105"/>
        </w:rPr>
        <w:t> y</w:t>
      </w:r>
      <w:r>
        <w:rPr>
          <w:color w:val="231F1F"/>
          <w:w w:val="105"/>
        </w:rPr>
        <w:t> además</w:t>
      </w:r>
      <w:r>
        <w:rPr>
          <w:color w:val="231F1F"/>
          <w:w w:val="105"/>
        </w:rPr>
        <w:t> se</w:t>
      </w:r>
      <w:r>
        <w:rPr>
          <w:color w:val="231F1F"/>
          <w:w w:val="105"/>
        </w:rPr>
        <w:t> reduce</w:t>
      </w:r>
      <w:r>
        <w:rPr>
          <w:color w:val="231F1F"/>
          <w:w w:val="105"/>
        </w:rPr>
        <w:t> el</w:t>
      </w:r>
      <w:r>
        <w:rPr>
          <w:color w:val="231F1F"/>
          <w:w w:val="105"/>
        </w:rPr>
        <w:t> riesgo</w:t>
      </w:r>
      <w:r>
        <w:rPr>
          <w:color w:val="231F1F"/>
          <w:w w:val="105"/>
        </w:rPr>
        <w:t> de fórceps medio y de parto instrumental rotacional.</w:t>
      </w:r>
    </w:p>
    <w:p>
      <w:pPr>
        <w:pStyle w:val="BodyText"/>
        <w:spacing w:before="163"/>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521" w:hRule="atLeast"/>
        </w:trPr>
        <w:tc>
          <w:tcPr>
            <w:tcW w:w="7373" w:type="dxa"/>
          </w:tcPr>
          <w:p>
            <w:pPr>
              <w:pStyle w:val="TableParagraph"/>
              <w:spacing w:line="256" w:lineRule="auto" w:before="44"/>
              <w:ind w:right="156"/>
              <w:rPr>
                <w:sz w:val="22"/>
              </w:rPr>
            </w:pPr>
            <w:r>
              <w:rPr>
                <w:color w:val="231F1F"/>
                <w:w w:val="105"/>
                <w:sz w:val="22"/>
              </w:rPr>
              <w:t>La duración total de la 2ª etapa es significativamente más larga cuando se retardan</w:t>
            </w:r>
            <w:r>
              <w:rPr>
                <w:color w:val="231F1F"/>
                <w:spacing w:val="-4"/>
                <w:w w:val="105"/>
                <w:sz w:val="22"/>
              </w:rPr>
              <w:t> </w:t>
            </w:r>
            <w:r>
              <w:rPr>
                <w:color w:val="231F1F"/>
                <w:w w:val="105"/>
                <w:sz w:val="22"/>
              </w:rPr>
              <w:t>los</w:t>
            </w:r>
            <w:r>
              <w:rPr>
                <w:color w:val="231F1F"/>
                <w:spacing w:val="-4"/>
                <w:w w:val="105"/>
                <w:sz w:val="22"/>
              </w:rPr>
              <w:t> </w:t>
            </w:r>
            <w:r>
              <w:rPr>
                <w:color w:val="231F1F"/>
                <w:w w:val="105"/>
                <w:sz w:val="22"/>
              </w:rPr>
              <w:t>pujos</w:t>
            </w:r>
            <w:r>
              <w:rPr>
                <w:color w:val="231F1F"/>
                <w:spacing w:val="-4"/>
                <w:w w:val="105"/>
                <w:sz w:val="22"/>
              </w:rPr>
              <w:t> </w:t>
            </w:r>
            <w:r>
              <w:rPr>
                <w:color w:val="231F1F"/>
                <w:w w:val="105"/>
                <w:sz w:val="22"/>
              </w:rPr>
              <w:t>aunque</w:t>
            </w:r>
            <w:r>
              <w:rPr>
                <w:color w:val="231F1F"/>
                <w:spacing w:val="-3"/>
                <w:w w:val="105"/>
                <w:sz w:val="22"/>
              </w:rPr>
              <w:t> </w:t>
            </w:r>
            <w:r>
              <w:rPr>
                <w:color w:val="231F1F"/>
                <w:w w:val="105"/>
                <w:sz w:val="22"/>
              </w:rPr>
              <w:t>con</w:t>
            </w:r>
            <w:r>
              <w:rPr>
                <w:color w:val="231F1F"/>
                <w:spacing w:val="-4"/>
                <w:w w:val="105"/>
                <w:sz w:val="22"/>
              </w:rPr>
              <w:t> </w:t>
            </w:r>
            <w:r>
              <w:rPr>
                <w:color w:val="231F1F"/>
                <w:w w:val="105"/>
                <w:sz w:val="22"/>
              </w:rPr>
              <w:t>una</w:t>
            </w:r>
            <w:r>
              <w:rPr>
                <w:color w:val="231F1F"/>
                <w:spacing w:val="-3"/>
                <w:w w:val="105"/>
                <w:sz w:val="22"/>
              </w:rPr>
              <w:t> </w:t>
            </w:r>
            <w:r>
              <w:rPr>
                <w:color w:val="231F1F"/>
                <w:w w:val="105"/>
                <w:sz w:val="22"/>
              </w:rPr>
              <w:t>menor</w:t>
            </w:r>
            <w:r>
              <w:rPr>
                <w:color w:val="231F1F"/>
                <w:spacing w:val="-4"/>
                <w:w w:val="105"/>
                <w:sz w:val="22"/>
              </w:rPr>
              <w:t> </w:t>
            </w:r>
            <w:r>
              <w:rPr>
                <w:color w:val="231F1F"/>
                <w:w w:val="105"/>
                <w:sz w:val="22"/>
              </w:rPr>
              <w:t>duración</w:t>
            </w:r>
            <w:r>
              <w:rPr>
                <w:color w:val="231F1F"/>
                <w:spacing w:val="-4"/>
                <w:w w:val="105"/>
                <w:sz w:val="22"/>
              </w:rPr>
              <w:t> </w:t>
            </w:r>
            <w:r>
              <w:rPr>
                <w:color w:val="231F1F"/>
                <w:w w:val="105"/>
                <w:sz w:val="22"/>
              </w:rPr>
              <w:t>del</w:t>
            </w:r>
            <w:r>
              <w:rPr>
                <w:color w:val="231F1F"/>
                <w:spacing w:val="-4"/>
                <w:w w:val="105"/>
                <w:sz w:val="22"/>
              </w:rPr>
              <w:t> </w:t>
            </w:r>
            <w:r>
              <w:rPr>
                <w:color w:val="231F1F"/>
                <w:w w:val="105"/>
                <w:sz w:val="22"/>
              </w:rPr>
              <w:t>pujo</w:t>
            </w:r>
            <w:r>
              <w:rPr>
                <w:color w:val="231F1F"/>
                <w:spacing w:val="-4"/>
                <w:w w:val="105"/>
                <w:sz w:val="22"/>
              </w:rPr>
              <w:t> </w:t>
            </w:r>
            <w:r>
              <w:rPr>
                <w:color w:val="231F1F"/>
                <w:w w:val="105"/>
                <w:sz w:val="22"/>
              </w:rPr>
              <w:t>activo.</w:t>
            </w:r>
            <w:r>
              <w:rPr>
                <w:color w:val="231F1F"/>
                <w:spacing w:val="-4"/>
                <w:w w:val="105"/>
                <w:sz w:val="22"/>
              </w:rPr>
              <w:t> </w:t>
            </w:r>
            <w:r>
              <w:rPr>
                <w:color w:val="231F1F"/>
                <w:w w:val="105"/>
                <w:sz w:val="22"/>
              </w:rPr>
              <w:t>Además, existe un menor riesgo de partos con fórceps medio y de parto instrumental rotacional cuando se retardan los pujos. No existieron diferencias significa- tivas en otros resultados examinados (140;144;145).</w:t>
            </w:r>
          </w:p>
        </w:tc>
        <w:tc>
          <w:tcPr>
            <w:tcW w:w="1133" w:type="dxa"/>
          </w:tcPr>
          <w:p>
            <w:pPr>
              <w:pStyle w:val="TableParagraph"/>
              <w:ind w:left="0"/>
              <w:rPr>
                <w:rFonts w:ascii="Arial MT"/>
                <w:sz w:val="22"/>
              </w:rPr>
            </w:pPr>
          </w:p>
          <w:p>
            <w:pPr>
              <w:pStyle w:val="TableParagraph"/>
              <w:spacing w:before="90"/>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7"/>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before="53"/>
              <w:ind w:right="155"/>
              <w:rPr>
                <w:sz w:val="22"/>
              </w:rPr>
            </w:pPr>
            <w:r>
              <w:rPr>
                <w:color w:val="231F1F"/>
                <w:w w:val="105"/>
                <w:sz w:val="22"/>
              </w:rPr>
              <w:t>En </w:t>
            </w:r>
            <w:r>
              <w:rPr>
                <w:i/>
                <w:color w:val="231F1F"/>
                <w:w w:val="105"/>
                <w:sz w:val="22"/>
              </w:rPr>
              <w:t>mujeres con analgesia neuroaxial </w:t>
            </w:r>
            <w:r>
              <w:rPr>
                <w:color w:val="231F1F"/>
                <w:w w:val="105"/>
                <w:sz w:val="22"/>
              </w:rPr>
              <w:t>se recomienda dirigir los pujos una vez com- pletada</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fase</w:t>
            </w:r>
            <w:r>
              <w:rPr>
                <w:color w:val="231F1F"/>
                <w:spacing w:val="40"/>
                <w:w w:val="105"/>
                <w:sz w:val="22"/>
              </w:rPr>
              <w:t> </w:t>
            </w:r>
            <w:r>
              <w:rPr>
                <w:color w:val="231F1F"/>
                <w:w w:val="105"/>
                <w:sz w:val="22"/>
              </w:rPr>
              <w:t>pasiva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segunda</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p>
        </w:tc>
      </w:tr>
    </w:tbl>
    <w:p>
      <w:pPr>
        <w:pStyle w:val="TableParagraph"/>
        <w:spacing w:after="0"/>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5" w:id="21"/>
      <w:r>
        <w:rPr>
          <w:color w:val="231F1F"/>
        </w:rPr>
        <w:t>Prevención</w:t>
      </w:r>
      <w:r>
        <w:rPr>
          <w:color w:val="231F1F"/>
          <w:spacing w:val="74"/>
        </w:rPr>
        <w:t> </w:t>
      </w:r>
      <w:r>
        <w:rPr>
          <w:color w:val="231F1F"/>
        </w:rPr>
        <w:t>del</w:t>
      </w:r>
      <w:r>
        <w:rPr>
          <w:color w:val="231F1F"/>
          <w:spacing w:val="74"/>
        </w:rPr>
        <w:t> </w:t>
      </w:r>
      <w:r>
        <w:rPr>
          <w:color w:val="231F1F"/>
        </w:rPr>
        <w:t>trauma</w:t>
      </w:r>
      <w:r>
        <w:rPr>
          <w:color w:val="231F1F"/>
          <w:spacing w:val="78"/>
        </w:rPr>
        <w:t> </w:t>
      </w:r>
      <w:bookmarkEnd w:id="21"/>
      <w:r>
        <w:rPr>
          <w:color w:val="231F1F"/>
          <w:spacing w:val="-2"/>
        </w:rPr>
        <w:t>perineal</w:t>
      </w:r>
    </w:p>
    <w:p>
      <w:pPr>
        <w:pStyle w:val="BodyText"/>
        <w:spacing w:before="26"/>
        <w:rPr>
          <w:sz w:val="20"/>
        </w:rPr>
      </w:pPr>
      <w:r>
        <w:rPr>
          <w:sz w:val="20"/>
        </w:rPr>
        <mc:AlternateContent>
          <mc:Choice Requires="wps">
            <w:drawing>
              <wp:anchor distT="0" distB="0" distL="0" distR="0" allowOverlap="1" layoutInCell="1" locked="0" behindDoc="1" simplePos="0" relativeHeight="487609856">
                <wp:simplePos x="0" y="0"/>
                <wp:positionH relativeFrom="page">
                  <wp:posOffset>1082675</wp:posOffset>
                </wp:positionH>
                <wp:positionV relativeFrom="paragraph">
                  <wp:posOffset>180997</wp:posOffset>
                </wp:positionV>
                <wp:extent cx="5400040" cy="795655"/>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5400040" cy="795655"/>
                        </a:xfrm>
                        <a:prstGeom prst="rect">
                          <a:avLst/>
                        </a:prstGeom>
                        <a:ln w="6350">
                          <a:solidFill>
                            <a:srgbClr val="A30046"/>
                          </a:solidFill>
                          <a:prstDash val="solid"/>
                        </a:ln>
                      </wps:spPr>
                      <wps:txbx>
                        <w:txbxContent>
                          <w:p>
                            <w:pPr>
                              <w:pStyle w:val="BodyText"/>
                              <w:numPr>
                                <w:ilvl w:val="0"/>
                                <w:numId w:val="43"/>
                              </w:numPr>
                              <w:tabs>
                                <w:tab w:pos="324" w:val="left" w:leader="none"/>
                              </w:tabs>
                              <w:spacing w:line="249" w:lineRule="auto" w:before="51" w:after="0"/>
                              <w:ind w:left="324" w:right="96" w:hanging="220"/>
                              <w:jc w:val="both"/>
                            </w:pPr>
                            <w:r>
                              <w:rPr>
                                <w:color w:val="231F1F"/>
                                <w:w w:val="105"/>
                              </w:rPr>
                              <w:t>¿Cuál</w:t>
                            </w:r>
                            <w:r>
                              <w:rPr>
                                <w:color w:val="231F1F"/>
                                <w:w w:val="105"/>
                              </w:rPr>
                              <w:t> es</w:t>
                            </w:r>
                            <w:r>
                              <w:rPr>
                                <w:color w:val="231F1F"/>
                                <w:w w:val="105"/>
                              </w:rPr>
                              <w:t> la</w:t>
                            </w:r>
                            <w:r>
                              <w:rPr>
                                <w:color w:val="231F1F"/>
                                <w:w w:val="105"/>
                              </w:rPr>
                              <w:t> efectividad</w:t>
                            </w:r>
                            <w:r>
                              <w:rPr>
                                <w:color w:val="231F1F"/>
                                <w:w w:val="105"/>
                              </w:rPr>
                              <w:t> de</w:t>
                            </w:r>
                            <w:r>
                              <w:rPr>
                                <w:color w:val="231F1F"/>
                                <w:w w:val="105"/>
                              </w:rPr>
                              <w:t> las</w:t>
                            </w:r>
                            <w:r>
                              <w:rPr>
                                <w:color w:val="231F1F"/>
                                <w:w w:val="105"/>
                              </w:rPr>
                              <w:t> siguientes</w:t>
                            </w:r>
                            <w:r>
                              <w:rPr>
                                <w:color w:val="231F1F"/>
                                <w:w w:val="105"/>
                              </w:rPr>
                              <w:t> intervenciones</w:t>
                            </w:r>
                            <w:r>
                              <w:rPr>
                                <w:color w:val="231F1F"/>
                                <w:w w:val="105"/>
                              </w:rPr>
                              <w:t> en</w:t>
                            </w:r>
                            <w:r>
                              <w:rPr>
                                <w:color w:val="231F1F"/>
                                <w:w w:val="105"/>
                              </w:rPr>
                              <w:t> la</w:t>
                            </w:r>
                            <w:r>
                              <w:rPr>
                                <w:color w:val="231F1F"/>
                                <w:w w:val="105"/>
                              </w:rPr>
                              <w:t> prevención</w:t>
                            </w:r>
                            <w:r>
                              <w:rPr>
                                <w:color w:val="231F1F"/>
                                <w:w w:val="105"/>
                              </w:rPr>
                              <w:t> del</w:t>
                            </w:r>
                            <w:r>
                              <w:rPr>
                                <w:color w:val="231F1F"/>
                                <w:w w:val="105"/>
                              </w:rPr>
                              <w:t> trauma genital? (masaje del periné, aplicación de calor perineal, uso de anestésicos locales en periné, aplicación de frío perineal, protección del periné, deflexión activa de la cabeza y</w:t>
                            </w:r>
                            <w:r>
                              <w:rPr>
                                <w:color w:val="231F1F"/>
                                <w:spacing w:val="40"/>
                                <w:w w:val="105"/>
                              </w:rPr>
                              <w:t> </w:t>
                            </w:r>
                            <w:r>
                              <w:rPr>
                                <w:color w:val="231F1F"/>
                                <w:w w:val="105"/>
                              </w:rPr>
                              <w:t>extracción</w:t>
                            </w:r>
                            <w:r>
                              <w:rPr>
                                <w:color w:val="231F1F"/>
                                <w:spacing w:val="40"/>
                                <w:w w:val="105"/>
                              </w:rPr>
                              <w:t> </w:t>
                            </w:r>
                            <w:r>
                              <w:rPr>
                                <w:color w:val="231F1F"/>
                                <w:w w:val="105"/>
                              </w:rPr>
                              <w:t>activa</w:t>
                            </w:r>
                            <w:r>
                              <w:rPr>
                                <w:color w:val="231F1F"/>
                                <w:spacing w:val="40"/>
                                <w:w w:val="105"/>
                              </w:rPr>
                              <w:t> </w:t>
                            </w:r>
                            <w:r>
                              <w:rPr>
                                <w:color w:val="231F1F"/>
                                <w:w w:val="105"/>
                              </w:rPr>
                              <w:t>de</w:t>
                            </w:r>
                            <w:r>
                              <w:rPr>
                                <w:color w:val="231F1F"/>
                                <w:spacing w:val="40"/>
                                <w:w w:val="105"/>
                              </w:rPr>
                              <w:t> </w:t>
                            </w:r>
                            <w:r>
                              <w:rPr>
                                <w:color w:val="231F1F"/>
                                <w:w w:val="105"/>
                              </w:rPr>
                              <w:t>los</w:t>
                            </w:r>
                            <w:r>
                              <w:rPr>
                                <w:color w:val="231F1F"/>
                                <w:spacing w:val="40"/>
                                <w:w w:val="105"/>
                              </w:rPr>
                              <w:t> </w:t>
                            </w:r>
                            <w:r>
                              <w:rPr>
                                <w:color w:val="231F1F"/>
                                <w:w w:val="105"/>
                              </w:rPr>
                              <w:t>hombros</w:t>
                            </w:r>
                            <w:r>
                              <w:rPr>
                                <w:color w:val="231F1F"/>
                                <w:spacing w:val="40"/>
                                <w:w w:val="105"/>
                              </w:rPr>
                              <w:t> </w:t>
                            </w:r>
                            <w:r>
                              <w:rPr>
                                <w:color w:val="231F1F"/>
                                <w:w w:val="105"/>
                              </w:rPr>
                              <w:t>versus</w:t>
                            </w:r>
                            <w:r>
                              <w:rPr>
                                <w:color w:val="231F1F"/>
                                <w:spacing w:val="40"/>
                                <w:w w:val="105"/>
                              </w:rPr>
                              <w:t> </w:t>
                            </w:r>
                            <w:r>
                              <w:rPr>
                                <w:color w:val="231F1F"/>
                                <w:w w:val="105"/>
                              </w:rPr>
                              <w:t>no</w:t>
                            </w:r>
                            <w:r>
                              <w:rPr>
                                <w:color w:val="231F1F"/>
                                <w:spacing w:val="40"/>
                                <w:w w:val="105"/>
                              </w:rPr>
                              <w:t> </w:t>
                            </w:r>
                            <w:r>
                              <w:rPr>
                                <w:color w:val="231F1F"/>
                                <w:w w:val="105"/>
                              </w:rPr>
                              <w:t>hacer</w:t>
                            </w:r>
                            <w:r>
                              <w:rPr>
                                <w:color w:val="231F1F"/>
                                <w:spacing w:val="40"/>
                                <w:w w:val="105"/>
                              </w:rPr>
                              <w:t> </w:t>
                            </w:r>
                            <w:r>
                              <w:rPr>
                                <w:color w:val="231F1F"/>
                                <w:w w:val="105"/>
                              </w:rPr>
                              <w:t>nada)</w:t>
                            </w:r>
                          </w:p>
                        </w:txbxContent>
                      </wps:txbx>
                      <wps:bodyPr wrap="square" lIns="0" tIns="0" rIns="0" bIns="0" rtlCol="0">
                        <a:noAutofit/>
                      </wps:bodyPr>
                    </wps:wsp>
                  </a:graphicData>
                </a:graphic>
              </wp:anchor>
            </w:drawing>
          </mc:Choice>
          <mc:Fallback>
            <w:pict>
              <v:shape style="position:absolute;margin-left:85.25pt;margin-top:14.251758pt;width:425.2pt;height:62.65pt;mso-position-horizontal-relative:page;mso-position-vertical-relative:paragraph;z-index:-15706624;mso-wrap-distance-left:0;mso-wrap-distance-right:0" type="#_x0000_t202" id="docshape82" filled="false" stroked="true" strokeweight=".5pt" strokecolor="#a30046">
                <v:textbox inset="0,0,0,0">
                  <w:txbxContent>
                    <w:p>
                      <w:pPr>
                        <w:pStyle w:val="BodyText"/>
                        <w:numPr>
                          <w:ilvl w:val="0"/>
                          <w:numId w:val="43"/>
                        </w:numPr>
                        <w:tabs>
                          <w:tab w:pos="324" w:val="left" w:leader="none"/>
                        </w:tabs>
                        <w:spacing w:line="249" w:lineRule="auto" w:before="51" w:after="0"/>
                        <w:ind w:left="324" w:right="96" w:hanging="220"/>
                        <w:jc w:val="both"/>
                      </w:pPr>
                      <w:r>
                        <w:rPr>
                          <w:color w:val="231F1F"/>
                          <w:w w:val="105"/>
                        </w:rPr>
                        <w:t>¿Cuál</w:t>
                      </w:r>
                      <w:r>
                        <w:rPr>
                          <w:color w:val="231F1F"/>
                          <w:w w:val="105"/>
                        </w:rPr>
                        <w:t> es</w:t>
                      </w:r>
                      <w:r>
                        <w:rPr>
                          <w:color w:val="231F1F"/>
                          <w:w w:val="105"/>
                        </w:rPr>
                        <w:t> la</w:t>
                      </w:r>
                      <w:r>
                        <w:rPr>
                          <w:color w:val="231F1F"/>
                          <w:w w:val="105"/>
                        </w:rPr>
                        <w:t> efectividad</w:t>
                      </w:r>
                      <w:r>
                        <w:rPr>
                          <w:color w:val="231F1F"/>
                          <w:w w:val="105"/>
                        </w:rPr>
                        <w:t> de</w:t>
                      </w:r>
                      <w:r>
                        <w:rPr>
                          <w:color w:val="231F1F"/>
                          <w:w w:val="105"/>
                        </w:rPr>
                        <w:t> las</w:t>
                      </w:r>
                      <w:r>
                        <w:rPr>
                          <w:color w:val="231F1F"/>
                          <w:w w:val="105"/>
                        </w:rPr>
                        <w:t> siguientes</w:t>
                      </w:r>
                      <w:r>
                        <w:rPr>
                          <w:color w:val="231F1F"/>
                          <w:w w:val="105"/>
                        </w:rPr>
                        <w:t> intervenciones</w:t>
                      </w:r>
                      <w:r>
                        <w:rPr>
                          <w:color w:val="231F1F"/>
                          <w:w w:val="105"/>
                        </w:rPr>
                        <w:t> en</w:t>
                      </w:r>
                      <w:r>
                        <w:rPr>
                          <w:color w:val="231F1F"/>
                          <w:w w:val="105"/>
                        </w:rPr>
                        <w:t> la</w:t>
                      </w:r>
                      <w:r>
                        <w:rPr>
                          <w:color w:val="231F1F"/>
                          <w:w w:val="105"/>
                        </w:rPr>
                        <w:t> prevención</w:t>
                      </w:r>
                      <w:r>
                        <w:rPr>
                          <w:color w:val="231F1F"/>
                          <w:w w:val="105"/>
                        </w:rPr>
                        <w:t> del</w:t>
                      </w:r>
                      <w:r>
                        <w:rPr>
                          <w:color w:val="231F1F"/>
                          <w:w w:val="105"/>
                        </w:rPr>
                        <w:t> trauma genital? (masaje del periné, aplicación de calor perineal, uso de anestésicos locales en periné, aplicación de frío perineal, protección del periné, deflexión activa de la cabeza y</w:t>
                      </w:r>
                      <w:r>
                        <w:rPr>
                          <w:color w:val="231F1F"/>
                          <w:spacing w:val="40"/>
                          <w:w w:val="105"/>
                        </w:rPr>
                        <w:t> </w:t>
                      </w:r>
                      <w:r>
                        <w:rPr>
                          <w:color w:val="231F1F"/>
                          <w:w w:val="105"/>
                        </w:rPr>
                        <w:t>extracción</w:t>
                      </w:r>
                      <w:r>
                        <w:rPr>
                          <w:color w:val="231F1F"/>
                          <w:spacing w:val="40"/>
                          <w:w w:val="105"/>
                        </w:rPr>
                        <w:t> </w:t>
                      </w:r>
                      <w:r>
                        <w:rPr>
                          <w:color w:val="231F1F"/>
                          <w:w w:val="105"/>
                        </w:rPr>
                        <w:t>activa</w:t>
                      </w:r>
                      <w:r>
                        <w:rPr>
                          <w:color w:val="231F1F"/>
                          <w:spacing w:val="40"/>
                          <w:w w:val="105"/>
                        </w:rPr>
                        <w:t> </w:t>
                      </w:r>
                      <w:r>
                        <w:rPr>
                          <w:color w:val="231F1F"/>
                          <w:w w:val="105"/>
                        </w:rPr>
                        <w:t>de</w:t>
                      </w:r>
                      <w:r>
                        <w:rPr>
                          <w:color w:val="231F1F"/>
                          <w:spacing w:val="40"/>
                          <w:w w:val="105"/>
                        </w:rPr>
                        <w:t> </w:t>
                      </w:r>
                      <w:r>
                        <w:rPr>
                          <w:color w:val="231F1F"/>
                          <w:w w:val="105"/>
                        </w:rPr>
                        <w:t>los</w:t>
                      </w:r>
                      <w:r>
                        <w:rPr>
                          <w:color w:val="231F1F"/>
                          <w:spacing w:val="40"/>
                          <w:w w:val="105"/>
                        </w:rPr>
                        <w:t> </w:t>
                      </w:r>
                      <w:r>
                        <w:rPr>
                          <w:color w:val="231F1F"/>
                          <w:w w:val="105"/>
                        </w:rPr>
                        <w:t>hombros</w:t>
                      </w:r>
                      <w:r>
                        <w:rPr>
                          <w:color w:val="231F1F"/>
                          <w:spacing w:val="40"/>
                          <w:w w:val="105"/>
                        </w:rPr>
                        <w:t> </w:t>
                      </w:r>
                      <w:r>
                        <w:rPr>
                          <w:color w:val="231F1F"/>
                          <w:w w:val="105"/>
                        </w:rPr>
                        <w:t>versus</w:t>
                      </w:r>
                      <w:r>
                        <w:rPr>
                          <w:color w:val="231F1F"/>
                          <w:spacing w:val="40"/>
                          <w:w w:val="105"/>
                        </w:rPr>
                        <w:t> </w:t>
                      </w:r>
                      <w:r>
                        <w:rPr>
                          <w:color w:val="231F1F"/>
                          <w:w w:val="105"/>
                        </w:rPr>
                        <w:t>no</w:t>
                      </w:r>
                      <w:r>
                        <w:rPr>
                          <w:color w:val="231F1F"/>
                          <w:spacing w:val="40"/>
                          <w:w w:val="105"/>
                        </w:rPr>
                        <w:t> </w:t>
                      </w:r>
                      <w:r>
                        <w:rPr>
                          <w:color w:val="231F1F"/>
                          <w:w w:val="105"/>
                        </w:rPr>
                        <w:t>hacer</w:t>
                      </w:r>
                      <w:r>
                        <w:rPr>
                          <w:color w:val="231F1F"/>
                          <w:spacing w:val="40"/>
                          <w:w w:val="105"/>
                        </w:rPr>
                        <w:t> </w:t>
                      </w:r>
                      <w:r>
                        <w:rPr>
                          <w:color w:val="231F1F"/>
                          <w:w w:val="105"/>
                        </w:rPr>
                        <w:t>nada)</w:t>
                      </w:r>
                    </w:p>
                  </w:txbxContent>
                </v:textbox>
                <v:stroke dashstyle="solid"/>
                <w10:wrap type="topAndBottom"/>
              </v:shape>
            </w:pict>
          </mc:Fallback>
        </mc:AlternateContent>
      </w:r>
    </w:p>
    <w:p>
      <w:pPr>
        <w:pStyle w:val="BodyText"/>
        <w:spacing w:line="244" w:lineRule="auto" w:before="291"/>
        <w:ind w:left="283" w:right="120"/>
        <w:jc w:val="both"/>
      </w:pPr>
      <w:r>
        <w:rPr>
          <w:color w:val="231F1F"/>
        </w:rPr>
        <w:t>El</w:t>
      </w:r>
      <w:r>
        <w:rPr>
          <w:color w:val="231F1F"/>
          <w:spacing w:val="31"/>
        </w:rPr>
        <w:t> </w:t>
      </w:r>
      <w:r>
        <w:rPr>
          <w:color w:val="231F1F"/>
        </w:rPr>
        <w:t>interés</w:t>
      </w:r>
      <w:r>
        <w:rPr>
          <w:color w:val="231F1F"/>
          <w:spacing w:val="31"/>
        </w:rPr>
        <w:t> </w:t>
      </w:r>
      <w:r>
        <w:rPr>
          <w:color w:val="231F1F"/>
        </w:rPr>
        <w:t>por</w:t>
      </w:r>
      <w:r>
        <w:rPr>
          <w:color w:val="231F1F"/>
          <w:spacing w:val="31"/>
        </w:rPr>
        <w:t> </w:t>
      </w:r>
      <w:r>
        <w:rPr>
          <w:color w:val="231F1F"/>
        </w:rPr>
        <w:t>encontrar</w:t>
      </w:r>
      <w:r>
        <w:rPr>
          <w:color w:val="231F1F"/>
          <w:spacing w:val="30"/>
        </w:rPr>
        <w:t> </w:t>
      </w:r>
      <w:r>
        <w:rPr>
          <w:color w:val="231F1F"/>
        </w:rPr>
        <w:t>estrategias</w:t>
      </w:r>
      <w:r>
        <w:rPr>
          <w:color w:val="231F1F"/>
          <w:spacing w:val="30"/>
        </w:rPr>
        <w:t> </w:t>
      </w:r>
      <w:r>
        <w:rPr>
          <w:color w:val="231F1F"/>
        </w:rPr>
        <w:t>capaces</w:t>
      </w:r>
      <w:r>
        <w:rPr>
          <w:color w:val="231F1F"/>
          <w:spacing w:val="32"/>
        </w:rPr>
        <w:t> </w:t>
      </w:r>
      <w:r>
        <w:rPr>
          <w:color w:val="231F1F"/>
        </w:rPr>
        <w:t>de</w:t>
      </w:r>
      <w:r>
        <w:rPr>
          <w:color w:val="231F1F"/>
          <w:spacing w:val="30"/>
        </w:rPr>
        <w:t> </w:t>
      </w:r>
      <w:r>
        <w:rPr>
          <w:color w:val="231F1F"/>
        </w:rPr>
        <w:t>disminuir</w:t>
      </w:r>
      <w:r>
        <w:rPr>
          <w:color w:val="231F1F"/>
          <w:spacing w:val="30"/>
        </w:rPr>
        <w:t> </w:t>
      </w:r>
      <w:r>
        <w:rPr>
          <w:color w:val="231F1F"/>
        </w:rPr>
        <w:t>el</w:t>
      </w:r>
      <w:r>
        <w:rPr>
          <w:color w:val="231F1F"/>
          <w:spacing w:val="31"/>
        </w:rPr>
        <w:t> </w:t>
      </w:r>
      <w:r>
        <w:rPr>
          <w:color w:val="231F1F"/>
        </w:rPr>
        <w:t>riesgo</w:t>
      </w:r>
      <w:r>
        <w:rPr>
          <w:color w:val="231F1F"/>
          <w:spacing w:val="31"/>
        </w:rPr>
        <w:t> </w:t>
      </w:r>
      <w:r>
        <w:rPr>
          <w:color w:val="231F1F"/>
        </w:rPr>
        <w:t>de</w:t>
      </w:r>
      <w:r>
        <w:rPr>
          <w:color w:val="231F1F"/>
          <w:spacing w:val="30"/>
        </w:rPr>
        <w:t> </w:t>
      </w:r>
      <w:r>
        <w:rPr>
          <w:color w:val="231F1F"/>
        </w:rPr>
        <w:t>trauma</w:t>
      </w:r>
      <w:r>
        <w:rPr>
          <w:color w:val="231F1F"/>
          <w:spacing w:val="31"/>
        </w:rPr>
        <w:t> </w:t>
      </w:r>
      <w:r>
        <w:rPr>
          <w:color w:val="231F1F"/>
        </w:rPr>
        <w:t>perineal</w:t>
      </w:r>
      <w:r>
        <w:rPr>
          <w:color w:val="231F1F"/>
          <w:spacing w:val="30"/>
        </w:rPr>
        <w:t> </w:t>
      </w:r>
      <w:r>
        <w:rPr>
          <w:color w:val="231F1F"/>
        </w:rPr>
        <w:t>duran- </w:t>
      </w:r>
      <w:r>
        <w:rPr>
          <w:color w:val="231F1F"/>
          <w:spacing w:val="-2"/>
          <w:w w:val="110"/>
        </w:rPr>
        <w:t>te</w:t>
      </w:r>
      <w:r>
        <w:rPr>
          <w:color w:val="231F1F"/>
          <w:spacing w:val="-9"/>
          <w:w w:val="110"/>
        </w:rPr>
        <w:t> </w:t>
      </w:r>
      <w:r>
        <w:rPr>
          <w:color w:val="231F1F"/>
          <w:spacing w:val="-2"/>
          <w:w w:val="110"/>
        </w:rPr>
        <w:t>el</w:t>
      </w:r>
      <w:r>
        <w:rPr>
          <w:color w:val="231F1F"/>
          <w:spacing w:val="-10"/>
          <w:w w:val="110"/>
        </w:rPr>
        <w:t> </w:t>
      </w:r>
      <w:r>
        <w:rPr>
          <w:color w:val="231F1F"/>
          <w:spacing w:val="-2"/>
          <w:w w:val="110"/>
        </w:rPr>
        <w:t>parto,</w:t>
      </w:r>
      <w:r>
        <w:rPr>
          <w:color w:val="231F1F"/>
          <w:spacing w:val="-10"/>
          <w:w w:val="110"/>
        </w:rPr>
        <w:t> </w:t>
      </w:r>
      <w:r>
        <w:rPr>
          <w:color w:val="231F1F"/>
          <w:spacing w:val="-2"/>
          <w:w w:val="110"/>
        </w:rPr>
        <w:t>se</w:t>
      </w:r>
      <w:r>
        <w:rPr>
          <w:color w:val="231F1F"/>
          <w:spacing w:val="-9"/>
          <w:w w:val="110"/>
        </w:rPr>
        <w:t> </w:t>
      </w:r>
      <w:r>
        <w:rPr>
          <w:color w:val="231F1F"/>
          <w:spacing w:val="-2"/>
          <w:w w:val="110"/>
        </w:rPr>
        <w:t>ha</w:t>
      </w:r>
      <w:r>
        <w:rPr>
          <w:color w:val="231F1F"/>
          <w:spacing w:val="-9"/>
          <w:w w:val="110"/>
        </w:rPr>
        <w:t> </w:t>
      </w:r>
      <w:r>
        <w:rPr>
          <w:color w:val="231F1F"/>
          <w:spacing w:val="-2"/>
          <w:w w:val="110"/>
        </w:rPr>
        <w:t>avivado</w:t>
      </w:r>
      <w:r>
        <w:rPr>
          <w:color w:val="231F1F"/>
          <w:spacing w:val="-9"/>
          <w:w w:val="110"/>
        </w:rPr>
        <w:t> </w:t>
      </w:r>
      <w:r>
        <w:rPr>
          <w:color w:val="231F1F"/>
          <w:spacing w:val="-2"/>
          <w:w w:val="110"/>
        </w:rPr>
        <w:t>ante</w:t>
      </w:r>
      <w:r>
        <w:rPr>
          <w:color w:val="231F1F"/>
          <w:spacing w:val="-9"/>
          <w:w w:val="110"/>
        </w:rPr>
        <w:t> </w:t>
      </w:r>
      <w:r>
        <w:rPr>
          <w:color w:val="231F1F"/>
          <w:spacing w:val="-2"/>
          <w:w w:val="110"/>
        </w:rPr>
        <w:t>la</w:t>
      </w:r>
      <w:r>
        <w:rPr>
          <w:color w:val="231F1F"/>
          <w:spacing w:val="-9"/>
          <w:w w:val="110"/>
        </w:rPr>
        <w:t> </w:t>
      </w:r>
      <w:r>
        <w:rPr>
          <w:color w:val="231F1F"/>
          <w:spacing w:val="-2"/>
          <w:w w:val="110"/>
        </w:rPr>
        <w:t>evidencia</w:t>
      </w:r>
      <w:r>
        <w:rPr>
          <w:color w:val="231F1F"/>
          <w:spacing w:val="-9"/>
          <w:w w:val="110"/>
        </w:rPr>
        <w:t> </w:t>
      </w:r>
      <w:r>
        <w:rPr>
          <w:color w:val="231F1F"/>
          <w:spacing w:val="-2"/>
          <w:w w:val="110"/>
        </w:rPr>
        <w:t>de</w:t>
      </w:r>
      <w:r>
        <w:rPr>
          <w:color w:val="231F1F"/>
          <w:spacing w:val="-9"/>
          <w:w w:val="110"/>
        </w:rPr>
        <w:t> </w:t>
      </w:r>
      <w:r>
        <w:rPr>
          <w:color w:val="231F1F"/>
          <w:spacing w:val="-2"/>
          <w:w w:val="110"/>
        </w:rPr>
        <w:t>que</w:t>
      </w:r>
      <w:r>
        <w:rPr>
          <w:color w:val="231F1F"/>
          <w:spacing w:val="-9"/>
          <w:w w:val="110"/>
        </w:rPr>
        <w:t> </w:t>
      </w:r>
      <w:r>
        <w:rPr>
          <w:color w:val="231F1F"/>
          <w:spacing w:val="-2"/>
          <w:w w:val="110"/>
        </w:rPr>
        <w:t>la</w:t>
      </w:r>
      <w:r>
        <w:rPr>
          <w:color w:val="231F1F"/>
          <w:spacing w:val="-9"/>
          <w:w w:val="110"/>
        </w:rPr>
        <w:t> </w:t>
      </w:r>
      <w:r>
        <w:rPr>
          <w:color w:val="231F1F"/>
          <w:spacing w:val="-2"/>
          <w:w w:val="110"/>
        </w:rPr>
        <w:t>episiotomía</w:t>
      </w:r>
      <w:r>
        <w:rPr>
          <w:color w:val="231F1F"/>
          <w:spacing w:val="-9"/>
          <w:w w:val="110"/>
        </w:rPr>
        <w:t> </w:t>
      </w:r>
      <w:r>
        <w:rPr>
          <w:color w:val="231F1F"/>
          <w:spacing w:val="-2"/>
          <w:w w:val="110"/>
        </w:rPr>
        <w:t>debe</w:t>
      </w:r>
      <w:r>
        <w:rPr>
          <w:color w:val="231F1F"/>
          <w:spacing w:val="-9"/>
          <w:w w:val="110"/>
        </w:rPr>
        <w:t> </w:t>
      </w:r>
      <w:r>
        <w:rPr>
          <w:color w:val="231F1F"/>
          <w:spacing w:val="-2"/>
          <w:w w:val="110"/>
        </w:rPr>
        <w:t>practicarse</w:t>
      </w:r>
      <w:r>
        <w:rPr>
          <w:color w:val="231F1F"/>
          <w:spacing w:val="-10"/>
          <w:w w:val="110"/>
        </w:rPr>
        <w:t> </w:t>
      </w:r>
      <w:r>
        <w:rPr>
          <w:color w:val="231F1F"/>
          <w:spacing w:val="-2"/>
          <w:w w:val="110"/>
        </w:rPr>
        <w:t>de</w:t>
      </w:r>
      <w:r>
        <w:rPr>
          <w:color w:val="231F1F"/>
          <w:spacing w:val="-9"/>
          <w:w w:val="110"/>
        </w:rPr>
        <w:t> </w:t>
      </w:r>
      <w:r>
        <w:rPr>
          <w:color w:val="231F1F"/>
          <w:spacing w:val="-2"/>
          <w:w w:val="110"/>
        </w:rPr>
        <w:t>forma </w:t>
      </w:r>
      <w:r>
        <w:rPr>
          <w:color w:val="231F1F"/>
          <w:spacing w:val="-4"/>
          <w:w w:val="110"/>
        </w:rPr>
        <w:t>restrictiva</w:t>
      </w:r>
      <w:r>
        <w:rPr>
          <w:color w:val="231F1F"/>
          <w:spacing w:val="-14"/>
          <w:w w:val="110"/>
        </w:rPr>
        <w:t> </w:t>
      </w:r>
      <w:r>
        <w:rPr>
          <w:color w:val="231F1F"/>
          <w:spacing w:val="-4"/>
          <w:w w:val="110"/>
        </w:rPr>
        <w:t>y</w:t>
      </w:r>
      <w:r>
        <w:rPr>
          <w:color w:val="231F1F"/>
          <w:spacing w:val="-14"/>
          <w:w w:val="110"/>
        </w:rPr>
        <w:t> </w:t>
      </w:r>
      <w:r>
        <w:rPr>
          <w:color w:val="231F1F"/>
          <w:spacing w:val="-4"/>
          <w:w w:val="110"/>
        </w:rPr>
        <w:t>la</w:t>
      </w:r>
      <w:r>
        <w:rPr>
          <w:color w:val="231F1F"/>
          <w:spacing w:val="-14"/>
          <w:w w:val="110"/>
        </w:rPr>
        <w:t> </w:t>
      </w:r>
      <w:r>
        <w:rPr>
          <w:color w:val="231F1F"/>
          <w:spacing w:val="-4"/>
          <w:w w:val="110"/>
        </w:rPr>
        <w:t>controversia</w:t>
      </w:r>
      <w:r>
        <w:rPr>
          <w:color w:val="231F1F"/>
          <w:spacing w:val="-14"/>
          <w:w w:val="110"/>
        </w:rPr>
        <w:t> </w:t>
      </w:r>
      <w:r>
        <w:rPr>
          <w:color w:val="231F1F"/>
          <w:spacing w:val="-4"/>
          <w:w w:val="110"/>
        </w:rPr>
        <w:t>sobre</w:t>
      </w:r>
      <w:r>
        <w:rPr>
          <w:color w:val="231F1F"/>
          <w:spacing w:val="-14"/>
          <w:w w:val="110"/>
        </w:rPr>
        <w:t> </w:t>
      </w:r>
      <w:r>
        <w:rPr>
          <w:color w:val="231F1F"/>
          <w:spacing w:val="-4"/>
          <w:w w:val="110"/>
        </w:rPr>
        <w:t>la</w:t>
      </w:r>
      <w:r>
        <w:rPr>
          <w:color w:val="231F1F"/>
          <w:spacing w:val="-14"/>
          <w:w w:val="110"/>
        </w:rPr>
        <w:t> </w:t>
      </w:r>
      <w:r>
        <w:rPr>
          <w:color w:val="231F1F"/>
          <w:spacing w:val="-4"/>
          <w:w w:val="110"/>
        </w:rPr>
        <w:t>mejor</w:t>
      </w:r>
      <w:r>
        <w:rPr>
          <w:color w:val="231F1F"/>
          <w:spacing w:val="-14"/>
          <w:w w:val="110"/>
        </w:rPr>
        <w:t> </w:t>
      </w:r>
      <w:r>
        <w:rPr>
          <w:color w:val="231F1F"/>
          <w:spacing w:val="-4"/>
          <w:w w:val="110"/>
        </w:rPr>
        <w:t>manera</w:t>
      </w:r>
      <w:r>
        <w:rPr>
          <w:color w:val="231F1F"/>
          <w:spacing w:val="-14"/>
          <w:w w:val="110"/>
        </w:rPr>
        <w:t> </w:t>
      </w:r>
      <w:r>
        <w:rPr>
          <w:color w:val="231F1F"/>
          <w:spacing w:val="-4"/>
          <w:w w:val="110"/>
        </w:rPr>
        <w:t>de</w:t>
      </w:r>
      <w:r>
        <w:rPr>
          <w:color w:val="231F1F"/>
          <w:spacing w:val="-14"/>
          <w:w w:val="110"/>
        </w:rPr>
        <w:t> </w:t>
      </w:r>
      <w:r>
        <w:rPr>
          <w:color w:val="231F1F"/>
          <w:spacing w:val="-4"/>
          <w:w w:val="110"/>
        </w:rPr>
        <w:t>proteger</w:t>
      </w:r>
      <w:r>
        <w:rPr>
          <w:color w:val="231F1F"/>
          <w:spacing w:val="-14"/>
          <w:w w:val="110"/>
        </w:rPr>
        <w:t> </w:t>
      </w:r>
      <w:r>
        <w:rPr>
          <w:color w:val="231F1F"/>
          <w:spacing w:val="-4"/>
          <w:w w:val="110"/>
        </w:rPr>
        <w:t>el</w:t>
      </w:r>
      <w:r>
        <w:rPr>
          <w:color w:val="231F1F"/>
          <w:spacing w:val="-14"/>
          <w:w w:val="110"/>
        </w:rPr>
        <w:t> </w:t>
      </w:r>
      <w:r>
        <w:rPr>
          <w:color w:val="231F1F"/>
          <w:spacing w:val="-4"/>
          <w:w w:val="110"/>
        </w:rPr>
        <w:t>periné</w:t>
      </w:r>
      <w:r>
        <w:rPr>
          <w:color w:val="231F1F"/>
          <w:spacing w:val="-14"/>
          <w:w w:val="110"/>
        </w:rPr>
        <w:t> </w:t>
      </w:r>
      <w:r>
        <w:rPr>
          <w:color w:val="231F1F"/>
          <w:spacing w:val="-4"/>
          <w:w w:val="110"/>
        </w:rPr>
        <w:t>durante</w:t>
      </w:r>
      <w:r>
        <w:rPr>
          <w:color w:val="231F1F"/>
          <w:spacing w:val="-14"/>
          <w:w w:val="110"/>
        </w:rPr>
        <w:t> </w:t>
      </w:r>
      <w:r>
        <w:rPr>
          <w:color w:val="231F1F"/>
          <w:spacing w:val="-4"/>
          <w:w w:val="110"/>
        </w:rPr>
        <w:t>el</w:t>
      </w:r>
      <w:r>
        <w:rPr>
          <w:color w:val="231F1F"/>
          <w:spacing w:val="-14"/>
          <w:w w:val="110"/>
        </w:rPr>
        <w:t> </w:t>
      </w:r>
      <w:r>
        <w:rPr>
          <w:color w:val="231F1F"/>
          <w:spacing w:val="-4"/>
          <w:w w:val="110"/>
        </w:rPr>
        <w:t>expulsivo.</w:t>
      </w:r>
    </w:p>
    <w:p>
      <w:pPr>
        <w:pStyle w:val="BodyText"/>
        <w:spacing w:before="81"/>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73"/>
        <w:jc w:val="both"/>
      </w:pPr>
      <w:r>
        <w:rPr>
          <w:color w:val="231F1F"/>
          <w:w w:val="110"/>
        </w:rPr>
        <w:t>La</w:t>
      </w:r>
      <w:r>
        <w:rPr>
          <w:color w:val="231F1F"/>
          <w:w w:val="110"/>
        </w:rPr>
        <w:t> guía</w:t>
      </w:r>
      <w:r>
        <w:rPr>
          <w:color w:val="231F1F"/>
          <w:w w:val="110"/>
        </w:rPr>
        <w:t> NICE</w:t>
      </w:r>
      <w:r>
        <w:rPr>
          <w:color w:val="231F1F"/>
          <w:w w:val="110"/>
        </w:rPr>
        <w:t> (10)</w:t>
      </w:r>
      <w:r>
        <w:rPr>
          <w:color w:val="231F1F"/>
          <w:w w:val="110"/>
        </w:rPr>
        <w:t> plantea</w:t>
      </w:r>
      <w:r>
        <w:rPr>
          <w:color w:val="231F1F"/>
          <w:w w:val="110"/>
        </w:rPr>
        <w:t> una</w:t>
      </w:r>
      <w:r>
        <w:rPr>
          <w:color w:val="231F1F"/>
          <w:w w:val="110"/>
        </w:rPr>
        <w:t> serie</w:t>
      </w:r>
      <w:r>
        <w:rPr>
          <w:color w:val="231F1F"/>
          <w:w w:val="110"/>
        </w:rPr>
        <w:t> de</w:t>
      </w:r>
      <w:r>
        <w:rPr>
          <w:color w:val="231F1F"/>
          <w:w w:val="110"/>
        </w:rPr>
        <w:t> intervenciones</w:t>
      </w:r>
      <w:r>
        <w:rPr>
          <w:color w:val="231F1F"/>
          <w:w w:val="110"/>
        </w:rPr>
        <w:t> (masaje</w:t>
      </w:r>
      <w:r>
        <w:rPr>
          <w:color w:val="231F1F"/>
          <w:w w:val="110"/>
        </w:rPr>
        <w:t> perineal, cambio de posición, calor, frío, posición materna, analgesia, episiotomía y parto vaginal operatorio) para reducir el trauma perineal.</w:t>
      </w:r>
    </w:p>
    <w:p>
      <w:pPr>
        <w:pStyle w:val="BodyText"/>
        <w:spacing w:before="12"/>
        <w:rPr>
          <w:sz w:val="20"/>
        </w:rPr>
      </w:pPr>
    </w:p>
    <w:p>
      <w:pPr>
        <w:pStyle w:val="BodyText"/>
        <w:spacing w:after="0"/>
        <w:rPr>
          <w:sz w:val="20"/>
        </w:rPr>
        <w:sectPr>
          <w:pgSz w:w="11900" w:h="16840"/>
          <w:pgMar w:header="0" w:footer="622" w:top="1560" w:bottom="820" w:left="1417" w:right="1559"/>
        </w:sectPr>
      </w:pPr>
    </w:p>
    <w:p>
      <w:pPr>
        <w:spacing w:before="92"/>
        <w:ind w:left="287" w:right="0" w:firstLine="0"/>
        <w:jc w:val="both"/>
        <w:rPr>
          <w:rFonts w:ascii="Arial MT"/>
          <w:sz w:val="24"/>
        </w:rPr>
      </w:pPr>
      <w:r>
        <w:rPr>
          <w:rFonts w:ascii="Arial"/>
          <w:i/>
          <w:color w:val="231F1F"/>
          <w:sz w:val="24"/>
        </w:rPr>
        <w:t>Masaje</w:t>
      </w:r>
      <w:r>
        <w:rPr>
          <w:rFonts w:ascii="Arial"/>
          <w:i/>
          <w:color w:val="231F1F"/>
          <w:spacing w:val="-11"/>
          <w:sz w:val="24"/>
        </w:rPr>
        <w:t> </w:t>
      </w:r>
      <w:r>
        <w:rPr>
          <w:rFonts w:ascii="Arial"/>
          <w:i/>
          <w:color w:val="231F1F"/>
          <w:sz w:val="24"/>
        </w:rPr>
        <w:t>perineal</w:t>
      </w:r>
      <w:r>
        <w:rPr>
          <w:rFonts w:ascii="Arial"/>
          <w:i/>
          <w:color w:val="231F1F"/>
          <w:spacing w:val="-12"/>
          <w:sz w:val="24"/>
        </w:rPr>
        <w:t> </w:t>
      </w:r>
      <w:r>
        <w:rPr>
          <w:rFonts w:ascii="Arial MT"/>
          <w:color w:val="231F1F"/>
          <w:sz w:val="24"/>
        </w:rPr>
        <w:t>durante</w:t>
      </w:r>
      <w:r>
        <w:rPr>
          <w:rFonts w:ascii="Arial MT"/>
          <w:color w:val="231F1F"/>
          <w:spacing w:val="-11"/>
          <w:sz w:val="24"/>
        </w:rPr>
        <w:t> </w:t>
      </w:r>
      <w:r>
        <w:rPr>
          <w:rFonts w:ascii="Arial MT"/>
          <w:color w:val="231F1F"/>
          <w:sz w:val="24"/>
        </w:rPr>
        <w:t>el</w:t>
      </w:r>
      <w:r>
        <w:rPr>
          <w:rFonts w:ascii="Arial MT"/>
          <w:color w:val="231F1F"/>
          <w:spacing w:val="-10"/>
          <w:sz w:val="24"/>
        </w:rPr>
        <w:t> </w:t>
      </w:r>
      <w:r>
        <w:rPr>
          <w:rFonts w:ascii="Arial MT"/>
          <w:color w:val="231F1F"/>
          <w:spacing w:val="-2"/>
          <w:sz w:val="24"/>
        </w:rPr>
        <w:t>parto</w:t>
      </w:r>
    </w:p>
    <w:p>
      <w:pPr>
        <w:pStyle w:val="BodyText"/>
        <w:spacing w:line="244" w:lineRule="auto" w:before="219"/>
        <w:ind w:left="287" w:right="38"/>
        <w:jc w:val="both"/>
      </w:pPr>
      <w:r>
        <w:rPr>
          <w:color w:val="231F1F"/>
          <w:w w:val="105"/>
        </w:rPr>
        <w:t>La guía NICE (10) sólo encuentra un ECA realizado en Australia (146), cuyo objetivo</w:t>
      </w:r>
      <w:r>
        <w:rPr>
          <w:color w:val="231F1F"/>
          <w:w w:val="105"/>
        </w:rPr>
        <w:t> es</w:t>
      </w:r>
      <w:r>
        <w:rPr>
          <w:color w:val="231F1F"/>
          <w:w w:val="105"/>
        </w:rPr>
        <w:t> estudiar</w:t>
      </w:r>
      <w:r>
        <w:rPr>
          <w:color w:val="231F1F"/>
          <w:w w:val="105"/>
        </w:rPr>
        <w:t> los</w:t>
      </w:r>
      <w:r>
        <w:rPr>
          <w:color w:val="231F1F"/>
          <w:w w:val="105"/>
        </w:rPr>
        <w:t> efectos</w:t>
      </w:r>
      <w:r>
        <w:rPr>
          <w:color w:val="231F1F"/>
          <w:w w:val="105"/>
        </w:rPr>
        <w:t> del</w:t>
      </w:r>
      <w:r>
        <w:rPr>
          <w:color w:val="231F1F"/>
          <w:w w:val="105"/>
        </w:rPr>
        <w:t> masaje</w:t>
      </w:r>
      <w:r>
        <w:rPr>
          <w:color w:val="231F1F"/>
          <w:w w:val="105"/>
        </w:rPr>
        <w:t> perineal</w:t>
      </w:r>
      <w:r>
        <w:rPr>
          <w:color w:val="231F1F"/>
          <w:w w:val="105"/>
        </w:rPr>
        <w:t> en</w:t>
      </w:r>
      <w:r>
        <w:rPr>
          <w:color w:val="231F1F"/>
          <w:w w:val="105"/>
        </w:rPr>
        <w:t> la</w:t>
      </w:r>
      <w:r>
        <w:rPr>
          <w:color w:val="231F1F"/>
          <w:w w:val="105"/>
        </w:rPr>
        <w:t> segunda</w:t>
      </w:r>
      <w:r>
        <w:rPr>
          <w:color w:val="231F1F"/>
          <w:w w:val="105"/>
        </w:rPr>
        <w:t> etapa</w:t>
      </w:r>
      <w:r>
        <w:rPr>
          <w:color w:val="231F1F"/>
          <w:w w:val="105"/>
        </w:rPr>
        <w:t> del parto. El estudio incluyó un total de 1.340 mujeres (grupo de masaje n=708).</w:t>
      </w:r>
    </w:p>
    <w:p>
      <w:pPr>
        <w:pStyle w:val="BodyText"/>
        <w:spacing w:line="256" w:lineRule="auto" w:before="119"/>
        <w:ind w:left="288" w:right="39" w:firstLine="453"/>
        <w:jc w:val="both"/>
      </w:pPr>
      <w:r>
        <w:rPr>
          <w:color w:val="231F1F"/>
          <w:w w:val="110"/>
        </w:rPr>
        <w:t>Los resultados no encontraron diferencias significativas entre los dos grupos para las variables estudiadas: Perineo intacto, desgarro de I grado, desgarro</w:t>
      </w:r>
      <w:r>
        <w:rPr>
          <w:color w:val="231F1F"/>
          <w:spacing w:val="-8"/>
          <w:w w:val="110"/>
        </w:rPr>
        <w:t> </w:t>
      </w:r>
      <w:r>
        <w:rPr>
          <w:color w:val="231F1F"/>
          <w:w w:val="110"/>
        </w:rPr>
        <w:t>de</w:t>
      </w:r>
      <w:r>
        <w:rPr>
          <w:color w:val="231F1F"/>
          <w:spacing w:val="-7"/>
          <w:w w:val="110"/>
        </w:rPr>
        <w:t> </w:t>
      </w:r>
      <w:r>
        <w:rPr>
          <w:color w:val="231F1F"/>
          <w:w w:val="110"/>
        </w:rPr>
        <w:t>II</w:t>
      </w:r>
      <w:r>
        <w:rPr>
          <w:color w:val="231F1F"/>
          <w:spacing w:val="-8"/>
          <w:w w:val="110"/>
        </w:rPr>
        <w:t> </w:t>
      </w:r>
      <w:r>
        <w:rPr>
          <w:color w:val="231F1F"/>
          <w:w w:val="110"/>
        </w:rPr>
        <w:t>grado,</w:t>
      </w:r>
      <w:r>
        <w:rPr>
          <w:color w:val="231F1F"/>
          <w:spacing w:val="-8"/>
          <w:w w:val="110"/>
        </w:rPr>
        <w:t> </w:t>
      </w:r>
      <w:r>
        <w:rPr>
          <w:color w:val="231F1F"/>
          <w:w w:val="110"/>
        </w:rPr>
        <w:t>episiotomía,</w:t>
      </w:r>
      <w:r>
        <w:rPr>
          <w:color w:val="231F1F"/>
          <w:spacing w:val="-9"/>
          <w:w w:val="110"/>
        </w:rPr>
        <w:t> </w:t>
      </w:r>
      <w:r>
        <w:rPr>
          <w:color w:val="231F1F"/>
          <w:w w:val="110"/>
        </w:rPr>
        <w:t>dolor</w:t>
      </w:r>
      <w:r>
        <w:rPr>
          <w:color w:val="231F1F"/>
          <w:spacing w:val="-8"/>
          <w:w w:val="110"/>
        </w:rPr>
        <w:t> </w:t>
      </w:r>
      <w:r>
        <w:rPr>
          <w:color w:val="231F1F"/>
          <w:w w:val="110"/>
        </w:rPr>
        <w:t>vaginal</w:t>
      </w:r>
      <w:r>
        <w:rPr>
          <w:color w:val="231F1F"/>
          <w:spacing w:val="-9"/>
          <w:w w:val="110"/>
        </w:rPr>
        <w:t> </w:t>
      </w:r>
      <w:r>
        <w:rPr>
          <w:color w:val="231F1F"/>
          <w:w w:val="110"/>
        </w:rPr>
        <w:t>a</w:t>
      </w:r>
      <w:r>
        <w:rPr>
          <w:color w:val="231F1F"/>
          <w:spacing w:val="-7"/>
          <w:w w:val="110"/>
        </w:rPr>
        <w:t> </w:t>
      </w:r>
      <w:r>
        <w:rPr>
          <w:color w:val="231F1F"/>
          <w:w w:val="110"/>
        </w:rPr>
        <w:t>los</w:t>
      </w:r>
      <w:r>
        <w:rPr>
          <w:color w:val="231F1F"/>
          <w:spacing w:val="-8"/>
          <w:w w:val="110"/>
        </w:rPr>
        <w:t> </w:t>
      </w:r>
      <w:r>
        <w:rPr>
          <w:color w:val="231F1F"/>
          <w:w w:val="110"/>
        </w:rPr>
        <w:t>3</w:t>
      </w:r>
      <w:r>
        <w:rPr>
          <w:color w:val="231F1F"/>
          <w:spacing w:val="-7"/>
          <w:w w:val="110"/>
        </w:rPr>
        <w:t> </w:t>
      </w:r>
      <w:r>
        <w:rPr>
          <w:color w:val="231F1F"/>
          <w:w w:val="110"/>
        </w:rPr>
        <w:t>días,</w:t>
      </w:r>
      <w:r>
        <w:rPr>
          <w:color w:val="231F1F"/>
          <w:spacing w:val="-8"/>
          <w:w w:val="110"/>
        </w:rPr>
        <w:t> </w:t>
      </w:r>
      <w:r>
        <w:rPr>
          <w:color w:val="231F1F"/>
          <w:w w:val="110"/>
        </w:rPr>
        <w:t>dolor</w:t>
      </w:r>
      <w:r>
        <w:rPr>
          <w:color w:val="231F1F"/>
          <w:spacing w:val="-8"/>
          <w:w w:val="110"/>
        </w:rPr>
        <w:t> </w:t>
      </w:r>
      <w:r>
        <w:rPr>
          <w:color w:val="231F1F"/>
          <w:w w:val="110"/>
        </w:rPr>
        <w:t>vaginal</w:t>
      </w:r>
      <w:r>
        <w:rPr>
          <w:color w:val="231F1F"/>
          <w:spacing w:val="-9"/>
          <w:w w:val="110"/>
        </w:rPr>
        <w:t> </w:t>
      </w:r>
      <w:r>
        <w:rPr>
          <w:color w:val="231F1F"/>
          <w:w w:val="110"/>
        </w:rPr>
        <w:t>a los</w:t>
      </w:r>
      <w:r>
        <w:rPr>
          <w:color w:val="231F1F"/>
          <w:spacing w:val="-2"/>
          <w:w w:val="110"/>
        </w:rPr>
        <w:t> </w:t>
      </w:r>
      <w:r>
        <w:rPr>
          <w:color w:val="231F1F"/>
          <w:w w:val="110"/>
        </w:rPr>
        <w:t>10</w:t>
      </w:r>
      <w:r>
        <w:rPr>
          <w:color w:val="231F1F"/>
          <w:spacing w:val="-1"/>
          <w:w w:val="110"/>
        </w:rPr>
        <w:t> </w:t>
      </w:r>
      <w:r>
        <w:rPr>
          <w:color w:val="231F1F"/>
          <w:w w:val="110"/>
        </w:rPr>
        <w:t>días,</w:t>
      </w:r>
      <w:r>
        <w:rPr>
          <w:color w:val="231F1F"/>
          <w:spacing w:val="-2"/>
          <w:w w:val="110"/>
        </w:rPr>
        <w:t> </w:t>
      </w:r>
      <w:r>
        <w:rPr>
          <w:color w:val="231F1F"/>
          <w:w w:val="110"/>
        </w:rPr>
        <w:t>dolor</w:t>
      </w:r>
      <w:r>
        <w:rPr>
          <w:color w:val="231F1F"/>
          <w:spacing w:val="-2"/>
          <w:w w:val="110"/>
        </w:rPr>
        <w:t> </w:t>
      </w:r>
      <w:r>
        <w:rPr>
          <w:color w:val="231F1F"/>
          <w:w w:val="110"/>
        </w:rPr>
        <w:t>vaginal</w:t>
      </w:r>
      <w:r>
        <w:rPr>
          <w:color w:val="231F1F"/>
          <w:spacing w:val="-2"/>
          <w:w w:val="110"/>
        </w:rPr>
        <w:t> </w:t>
      </w:r>
      <w:r>
        <w:rPr>
          <w:color w:val="231F1F"/>
          <w:w w:val="110"/>
        </w:rPr>
        <w:t>a</w:t>
      </w:r>
      <w:r>
        <w:rPr>
          <w:color w:val="231F1F"/>
          <w:spacing w:val="-1"/>
          <w:w w:val="110"/>
        </w:rPr>
        <w:t> </w:t>
      </w:r>
      <w:r>
        <w:rPr>
          <w:color w:val="231F1F"/>
          <w:w w:val="110"/>
        </w:rPr>
        <w:t>los</w:t>
      </w:r>
      <w:r>
        <w:rPr>
          <w:color w:val="231F1F"/>
          <w:spacing w:val="-2"/>
          <w:w w:val="110"/>
        </w:rPr>
        <w:t> </w:t>
      </w:r>
      <w:r>
        <w:rPr>
          <w:color w:val="231F1F"/>
          <w:w w:val="110"/>
        </w:rPr>
        <w:t>3</w:t>
      </w:r>
      <w:r>
        <w:rPr>
          <w:color w:val="231F1F"/>
          <w:spacing w:val="-1"/>
          <w:w w:val="110"/>
        </w:rPr>
        <w:t> </w:t>
      </w:r>
      <w:r>
        <w:rPr>
          <w:color w:val="231F1F"/>
          <w:w w:val="110"/>
        </w:rPr>
        <w:t>meses,</w:t>
      </w:r>
      <w:r>
        <w:rPr>
          <w:color w:val="231F1F"/>
          <w:spacing w:val="-2"/>
          <w:w w:val="110"/>
        </w:rPr>
        <w:t> </w:t>
      </w:r>
      <w:r>
        <w:rPr>
          <w:color w:val="231F1F"/>
          <w:w w:val="110"/>
        </w:rPr>
        <w:t>dispareunia,</w:t>
      </w:r>
      <w:r>
        <w:rPr>
          <w:color w:val="231F1F"/>
          <w:spacing w:val="-2"/>
          <w:w w:val="110"/>
        </w:rPr>
        <w:t> </w:t>
      </w:r>
      <w:r>
        <w:rPr>
          <w:color w:val="231F1F"/>
          <w:w w:val="110"/>
        </w:rPr>
        <w:t>no</w:t>
      </w:r>
      <w:r>
        <w:rPr>
          <w:color w:val="231F1F"/>
          <w:spacing w:val="-1"/>
          <w:w w:val="110"/>
        </w:rPr>
        <w:t> </w:t>
      </w:r>
      <w:r>
        <w:rPr>
          <w:color w:val="231F1F"/>
          <w:w w:val="110"/>
        </w:rPr>
        <w:t>reanudación</w:t>
      </w:r>
      <w:r>
        <w:rPr>
          <w:color w:val="231F1F"/>
          <w:spacing w:val="-1"/>
          <w:w w:val="110"/>
        </w:rPr>
        <w:t> </w:t>
      </w:r>
      <w:r>
        <w:rPr>
          <w:color w:val="231F1F"/>
          <w:w w:val="110"/>
        </w:rPr>
        <w:t>de</w:t>
      </w:r>
      <w:r>
        <w:rPr>
          <w:color w:val="231F1F"/>
          <w:spacing w:val="-1"/>
          <w:w w:val="110"/>
        </w:rPr>
        <w:t> </w:t>
      </w:r>
      <w:r>
        <w:rPr>
          <w:color w:val="231F1F"/>
          <w:w w:val="110"/>
        </w:rPr>
        <w:t>las relaciones sexuales, control urinario y fecal. A pesar de que el desgarro de tercer</w:t>
      </w:r>
      <w:r>
        <w:rPr>
          <w:color w:val="231F1F"/>
          <w:spacing w:val="-16"/>
          <w:w w:val="110"/>
        </w:rPr>
        <w:t> </w:t>
      </w:r>
      <w:r>
        <w:rPr>
          <w:color w:val="231F1F"/>
          <w:w w:val="110"/>
        </w:rPr>
        <w:t>grado</w:t>
      </w:r>
      <w:r>
        <w:rPr>
          <w:color w:val="231F1F"/>
          <w:spacing w:val="-15"/>
          <w:w w:val="110"/>
        </w:rPr>
        <w:t> </w:t>
      </w:r>
      <w:r>
        <w:rPr>
          <w:color w:val="231F1F"/>
          <w:w w:val="110"/>
        </w:rPr>
        <w:t>presentó</w:t>
      </w:r>
      <w:r>
        <w:rPr>
          <w:color w:val="231F1F"/>
          <w:spacing w:val="-15"/>
          <w:w w:val="110"/>
        </w:rPr>
        <w:t> </w:t>
      </w:r>
      <w:r>
        <w:rPr>
          <w:color w:val="231F1F"/>
          <w:w w:val="110"/>
        </w:rPr>
        <w:t>una</w:t>
      </w:r>
      <w:r>
        <w:rPr>
          <w:color w:val="231F1F"/>
          <w:spacing w:val="-15"/>
          <w:w w:val="110"/>
        </w:rPr>
        <w:t> </w:t>
      </w:r>
      <w:r>
        <w:rPr>
          <w:color w:val="231F1F"/>
          <w:w w:val="110"/>
        </w:rPr>
        <w:t>menor</w:t>
      </w:r>
      <w:r>
        <w:rPr>
          <w:color w:val="231F1F"/>
          <w:spacing w:val="-15"/>
          <w:w w:val="110"/>
        </w:rPr>
        <w:t> </w:t>
      </w:r>
      <w:r>
        <w:rPr>
          <w:color w:val="231F1F"/>
          <w:w w:val="110"/>
        </w:rPr>
        <w:t>incidencia</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6"/>
          <w:w w:val="110"/>
        </w:rPr>
        <w:t> </w:t>
      </w:r>
      <w:r>
        <w:rPr>
          <w:color w:val="231F1F"/>
          <w:w w:val="110"/>
        </w:rPr>
        <w:t>de</w:t>
      </w:r>
      <w:r>
        <w:rPr>
          <w:color w:val="231F1F"/>
          <w:spacing w:val="-15"/>
          <w:w w:val="110"/>
        </w:rPr>
        <w:t> </w:t>
      </w:r>
      <w:r>
        <w:rPr>
          <w:color w:val="231F1F"/>
          <w:w w:val="110"/>
        </w:rPr>
        <w:t>masaje,</w:t>
      </w:r>
      <w:r>
        <w:rPr>
          <w:color w:val="231F1F"/>
          <w:spacing w:val="-15"/>
          <w:w w:val="110"/>
        </w:rPr>
        <w:t> </w:t>
      </w:r>
      <w:r>
        <w:rPr>
          <w:color w:val="231F1F"/>
          <w:w w:val="110"/>
        </w:rPr>
        <w:t>12/708</w:t>
      </w:r>
      <w:r>
        <w:rPr>
          <w:color w:val="231F1F"/>
          <w:spacing w:val="-15"/>
          <w:w w:val="110"/>
        </w:rPr>
        <w:t> </w:t>
      </w:r>
      <w:r>
        <w:rPr>
          <w:color w:val="231F1F"/>
          <w:w w:val="110"/>
        </w:rPr>
        <w:t>vs 23/632; RR 0,47 [IC 95% 0,23 a 0,93].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0"/>
        <w:rPr>
          <w:sz w:val="18"/>
        </w:rPr>
      </w:pPr>
    </w:p>
    <w:p>
      <w:pPr>
        <w:spacing w:line="273" w:lineRule="auto" w:before="1"/>
        <w:ind w:left="365" w:right="513" w:hanging="78"/>
        <w:jc w:val="left"/>
        <w:rPr>
          <w:rFonts w:ascii="Arial MT"/>
          <w:sz w:val="18"/>
        </w:rPr>
      </w:pPr>
      <w:r>
        <w:rPr>
          <w:rFonts w:ascii="Arial MT"/>
          <w:color w:val="231F1F"/>
          <w:spacing w:val="-8"/>
          <w:sz w:val="18"/>
        </w:rPr>
        <w:t>ECA </w:t>
      </w:r>
      <w:r>
        <w:rPr>
          <w:rFonts w:ascii="Arial MT"/>
          <w:color w:val="231F1F"/>
          <w:spacing w:val="-6"/>
          <w:sz w:val="18"/>
        </w:rPr>
        <w:t>1+</w:t>
      </w:r>
    </w:p>
    <w:p>
      <w:pPr>
        <w:spacing w:after="0" w:line="273" w:lineRule="auto"/>
        <w:jc w:val="left"/>
        <w:rPr>
          <w:rFonts w:ascii="Arial MT"/>
          <w:sz w:val="18"/>
        </w:rPr>
        <w:sectPr>
          <w:type w:val="continuous"/>
          <w:pgSz w:w="11900" w:h="16840"/>
          <w:pgMar w:header="0" w:footer="622" w:top="560" w:bottom="280" w:left="1417" w:right="1559"/>
          <w:cols w:num="2" w:equalWidth="0">
            <w:col w:w="7596" w:space="161"/>
            <w:col w:w="1167"/>
          </w:cols>
        </w:sectPr>
      </w:pPr>
    </w:p>
    <w:p>
      <w:pPr>
        <w:pStyle w:val="BodyText"/>
        <w:spacing w:before="32"/>
        <w:rPr>
          <w:rFonts w:ascii="Arial MT"/>
          <w:sz w:val="24"/>
        </w:rPr>
      </w:pPr>
    </w:p>
    <w:p>
      <w:pPr>
        <w:pStyle w:val="Heading5"/>
      </w:pPr>
      <w:r>
        <w:rPr>
          <w:color w:val="231F1F"/>
        </w:rPr>
        <w:t>Aplicación</w:t>
      </w:r>
      <w:r>
        <w:rPr>
          <w:color w:val="231F1F"/>
          <w:spacing w:val="3"/>
        </w:rPr>
        <w:t> </w:t>
      </w:r>
      <w:r>
        <w:rPr>
          <w:color w:val="231F1F"/>
        </w:rPr>
        <w:t>de</w:t>
      </w:r>
      <w:r>
        <w:rPr>
          <w:color w:val="231F1F"/>
          <w:spacing w:val="4"/>
        </w:rPr>
        <w:t> </w:t>
      </w:r>
      <w:r>
        <w:rPr>
          <w:color w:val="231F1F"/>
          <w:spacing w:val="-2"/>
        </w:rPr>
        <w:t>calor/frío</w:t>
      </w:r>
    </w:p>
    <w:p>
      <w:pPr>
        <w:pStyle w:val="BodyText"/>
        <w:tabs>
          <w:tab w:pos="7938" w:val="left" w:leader="none"/>
          <w:tab w:pos="8081" w:val="left" w:leader="none"/>
        </w:tabs>
        <w:spacing w:line="244" w:lineRule="auto" w:before="161"/>
        <w:ind w:left="283" w:right="405"/>
        <w:rPr>
          <w:rFonts w:ascii="Arial MT" w:hAnsi="Arial MT"/>
          <w:position w:val="8"/>
          <w:sz w:val="18"/>
        </w:rPr>
      </w:pPr>
      <w:r>
        <w:rPr>
          <w:color w:val="231F1F"/>
          <w:w w:val="110"/>
        </w:rPr>
        <w:t>El único estudio que rescata NICE (10) para el estudio del uso de calor/frío</w:t>
      </w:r>
      <w:r>
        <w:rPr>
          <w:color w:val="231F1F"/>
        </w:rPr>
        <w:tab/>
      </w:r>
      <w:r>
        <w:rPr>
          <w:rFonts w:ascii="Arial MT" w:hAnsi="Arial MT"/>
          <w:color w:val="231F1F"/>
          <w:w w:val="110"/>
          <w:sz w:val="18"/>
        </w:rPr>
        <w:t>E. de </w:t>
      </w:r>
      <w:r>
        <w:rPr>
          <w:color w:val="231F1F"/>
          <w:w w:val="110"/>
        </w:rPr>
        <w:t>en</w:t>
      </w:r>
      <w:r>
        <w:rPr>
          <w:color w:val="231F1F"/>
          <w:spacing w:val="-8"/>
          <w:w w:val="110"/>
        </w:rPr>
        <w:t> </w:t>
      </w:r>
      <w:r>
        <w:rPr>
          <w:color w:val="231F1F"/>
          <w:w w:val="110"/>
        </w:rPr>
        <w:t>los</w:t>
      </w:r>
      <w:r>
        <w:rPr>
          <w:color w:val="231F1F"/>
          <w:spacing w:val="-8"/>
          <w:w w:val="110"/>
        </w:rPr>
        <w:t> </w:t>
      </w:r>
      <w:r>
        <w:rPr>
          <w:color w:val="231F1F"/>
          <w:w w:val="110"/>
        </w:rPr>
        <w:t>cuidados</w:t>
      </w:r>
      <w:r>
        <w:rPr>
          <w:color w:val="231F1F"/>
          <w:spacing w:val="-8"/>
          <w:w w:val="110"/>
        </w:rPr>
        <w:t> </w:t>
      </w:r>
      <w:r>
        <w:rPr>
          <w:color w:val="231F1F"/>
          <w:w w:val="110"/>
        </w:rPr>
        <w:t>perineales</w:t>
      </w:r>
      <w:r>
        <w:rPr>
          <w:color w:val="231F1F"/>
          <w:spacing w:val="-8"/>
          <w:w w:val="110"/>
        </w:rPr>
        <w:t> </w:t>
      </w:r>
      <w:r>
        <w:rPr>
          <w:color w:val="231F1F"/>
          <w:w w:val="110"/>
        </w:rPr>
        <w:t>es</w:t>
      </w:r>
      <w:r>
        <w:rPr>
          <w:color w:val="231F1F"/>
          <w:spacing w:val="-8"/>
          <w:w w:val="110"/>
        </w:rPr>
        <w:t> </w:t>
      </w:r>
      <w:r>
        <w:rPr>
          <w:color w:val="231F1F"/>
          <w:w w:val="110"/>
        </w:rPr>
        <w:t>un</w:t>
      </w:r>
      <w:r>
        <w:rPr>
          <w:color w:val="231F1F"/>
          <w:spacing w:val="-8"/>
          <w:w w:val="110"/>
        </w:rPr>
        <w:t> </w:t>
      </w:r>
      <w:r>
        <w:rPr>
          <w:color w:val="231F1F"/>
          <w:w w:val="110"/>
        </w:rPr>
        <w:t>estudio</w:t>
      </w:r>
      <w:r>
        <w:rPr>
          <w:color w:val="231F1F"/>
          <w:spacing w:val="-8"/>
          <w:w w:val="110"/>
        </w:rPr>
        <w:t> </w:t>
      </w:r>
      <w:r>
        <w:rPr>
          <w:color w:val="231F1F"/>
          <w:w w:val="110"/>
        </w:rPr>
        <w:t>de</w:t>
      </w:r>
      <w:r>
        <w:rPr>
          <w:color w:val="231F1F"/>
          <w:spacing w:val="-8"/>
          <w:w w:val="110"/>
        </w:rPr>
        <w:t> </w:t>
      </w:r>
      <w:r>
        <w:rPr>
          <w:color w:val="231F1F"/>
          <w:w w:val="110"/>
        </w:rPr>
        <w:t>cohortes</w:t>
      </w:r>
      <w:r>
        <w:rPr>
          <w:color w:val="231F1F"/>
          <w:spacing w:val="-8"/>
          <w:w w:val="110"/>
        </w:rPr>
        <w:t> </w:t>
      </w:r>
      <w:r>
        <w:rPr>
          <w:color w:val="231F1F"/>
          <w:w w:val="110"/>
        </w:rPr>
        <w:t>observacional</w:t>
      </w:r>
      <w:r>
        <w:rPr>
          <w:color w:val="231F1F"/>
          <w:spacing w:val="-8"/>
          <w:w w:val="110"/>
        </w:rPr>
        <w:t> </w:t>
      </w:r>
      <w:r>
        <w:rPr>
          <w:color w:val="231F1F"/>
          <w:w w:val="110"/>
        </w:rPr>
        <w:t>realizado</w:t>
      </w:r>
      <w:r>
        <w:rPr>
          <w:color w:val="231F1F"/>
          <w:spacing w:val="76"/>
          <w:w w:val="110"/>
        </w:rPr>
        <w:t> </w:t>
      </w:r>
      <w:r>
        <w:rPr>
          <w:rFonts w:ascii="Arial MT" w:hAnsi="Arial MT"/>
          <w:color w:val="231F1F"/>
          <w:w w:val="110"/>
          <w:position w:val="4"/>
          <w:sz w:val="18"/>
        </w:rPr>
        <w:t>cohortes </w:t>
      </w:r>
      <w:r>
        <w:rPr>
          <w:color w:val="231F1F"/>
          <w:w w:val="110"/>
        </w:rPr>
        <w:t>en EEUU (147) para analizar factores asociados al trauma perineal durante</w:t>
      </w:r>
      <w:r>
        <w:rPr>
          <w:color w:val="231F1F"/>
        </w:rPr>
        <w:tab/>
        <w:tab/>
      </w:r>
      <w:r>
        <w:rPr>
          <w:rFonts w:ascii="Arial MT" w:hAnsi="Arial MT"/>
          <w:color w:val="231F1F"/>
          <w:spacing w:val="-6"/>
          <w:w w:val="110"/>
          <w:position w:val="8"/>
          <w:sz w:val="18"/>
        </w:rPr>
        <w:t>2+</w:t>
      </w:r>
    </w:p>
    <w:p>
      <w:pPr>
        <w:pStyle w:val="BodyText"/>
        <w:spacing w:line="244" w:lineRule="auto" w:before="5"/>
        <w:ind w:left="283" w:right="1366"/>
        <w:jc w:val="both"/>
      </w:pPr>
      <w:r>
        <w:rPr>
          <w:color w:val="231F1F"/>
          <w:w w:val="105"/>
        </w:rPr>
        <w:t>el parto. Se estudiaron 2.595 mujeres durante 12 meses y los resultados obte- nidos</w:t>
      </w:r>
      <w:r>
        <w:rPr>
          <w:color w:val="231F1F"/>
          <w:w w:val="105"/>
        </w:rPr>
        <w:t> indicaron</w:t>
      </w:r>
      <w:r>
        <w:rPr>
          <w:color w:val="231F1F"/>
          <w:w w:val="105"/>
        </w:rPr>
        <w:t> que</w:t>
      </w:r>
      <w:r>
        <w:rPr>
          <w:color w:val="231F1F"/>
          <w:w w:val="105"/>
        </w:rPr>
        <w:t> la</w:t>
      </w:r>
      <w:r>
        <w:rPr>
          <w:color w:val="231F1F"/>
          <w:w w:val="105"/>
        </w:rPr>
        <w:t> colocación</w:t>
      </w:r>
      <w:r>
        <w:rPr>
          <w:color w:val="231F1F"/>
          <w:w w:val="105"/>
        </w:rPr>
        <w:t> de</w:t>
      </w:r>
      <w:r>
        <w:rPr>
          <w:color w:val="231F1F"/>
          <w:w w:val="105"/>
        </w:rPr>
        <w:t> compresas</w:t>
      </w:r>
      <w:r>
        <w:rPr>
          <w:color w:val="231F1F"/>
          <w:w w:val="105"/>
        </w:rPr>
        <w:t> calientes</w:t>
      </w:r>
      <w:r>
        <w:rPr>
          <w:color w:val="231F1F"/>
          <w:w w:val="105"/>
        </w:rPr>
        <w:t> en</w:t>
      </w:r>
      <w:r>
        <w:rPr>
          <w:color w:val="231F1F"/>
          <w:w w:val="105"/>
        </w:rPr>
        <w:t> la</w:t>
      </w:r>
      <w:r>
        <w:rPr>
          <w:color w:val="231F1F"/>
          <w:w w:val="105"/>
        </w:rPr>
        <w:t> 2ª</w:t>
      </w:r>
      <w:r>
        <w:rPr>
          <w:color w:val="231F1F"/>
          <w:w w:val="105"/>
        </w:rPr>
        <w:t> etapa</w:t>
      </w:r>
      <w:r>
        <w:rPr>
          <w:color w:val="231F1F"/>
          <w:w w:val="105"/>
        </w:rPr>
        <w:t> del parto</w:t>
      </w:r>
      <w:r>
        <w:rPr>
          <w:color w:val="231F1F"/>
          <w:w w:val="105"/>
        </w:rPr>
        <w:t> podría</w:t>
      </w:r>
      <w:r>
        <w:rPr>
          <w:color w:val="231F1F"/>
          <w:w w:val="105"/>
        </w:rPr>
        <w:t> prevenir</w:t>
      </w:r>
      <w:r>
        <w:rPr>
          <w:color w:val="231F1F"/>
          <w:w w:val="105"/>
        </w:rPr>
        <w:t> ligeramente</w:t>
      </w:r>
      <w:r>
        <w:rPr>
          <w:color w:val="231F1F"/>
          <w:w w:val="105"/>
        </w:rPr>
        <w:t> la</w:t>
      </w:r>
      <w:r>
        <w:rPr>
          <w:color w:val="231F1F"/>
          <w:w w:val="105"/>
        </w:rPr>
        <w:t> aparición</w:t>
      </w:r>
      <w:r>
        <w:rPr>
          <w:color w:val="231F1F"/>
          <w:w w:val="105"/>
        </w:rPr>
        <w:t> de</w:t>
      </w:r>
      <w:r>
        <w:rPr>
          <w:color w:val="231F1F"/>
          <w:w w:val="105"/>
        </w:rPr>
        <w:t> desgarros</w:t>
      </w:r>
      <w:r>
        <w:rPr>
          <w:color w:val="231F1F"/>
          <w:w w:val="105"/>
        </w:rPr>
        <w:t> espontáneos</w:t>
      </w:r>
      <w:r>
        <w:rPr>
          <w:color w:val="231F1F"/>
          <w:w w:val="105"/>
        </w:rPr>
        <w:t> en mujeres multíparas sin episiotomía: OR 0,6 [IC 95% 0,3 a 0,9], así como la realización de episiotomía en nulíparas: OR 0,3 [IC 95% 0,0 a 0,8].</w:t>
      </w:r>
    </w:p>
    <w:p>
      <w:pPr>
        <w:spacing w:before="250"/>
        <w:ind w:left="283" w:right="0" w:firstLine="0"/>
        <w:jc w:val="both"/>
        <w:rPr>
          <w:rFonts w:ascii="Arial MT" w:hAnsi="Arial MT"/>
          <w:sz w:val="24"/>
        </w:rPr>
      </w:pPr>
      <w:r>
        <w:rPr>
          <w:rFonts w:ascii="Arial" w:hAnsi="Arial"/>
          <w:i/>
          <w:color w:val="231F1F"/>
          <w:sz w:val="24"/>
        </w:rPr>
        <w:t>Posición</w:t>
      </w:r>
      <w:r>
        <w:rPr>
          <w:rFonts w:ascii="Arial" w:hAnsi="Arial"/>
          <w:i/>
          <w:color w:val="231F1F"/>
          <w:spacing w:val="-5"/>
          <w:sz w:val="24"/>
        </w:rPr>
        <w:t> </w:t>
      </w:r>
      <w:r>
        <w:rPr>
          <w:rFonts w:ascii="Arial" w:hAnsi="Arial"/>
          <w:i/>
          <w:color w:val="231F1F"/>
          <w:sz w:val="24"/>
        </w:rPr>
        <w:t>de</w:t>
      </w:r>
      <w:r>
        <w:rPr>
          <w:rFonts w:ascii="Arial" w:hAnsi="Arial"/>
          <w:i/>
          <w:color w:val="231F1F"/>
          <w:spacing w:val="-4"/>
          <w:sz w:val="24"/>
        </w:rPr>
        <w:t> </w:t>
      </w:r>
      <w:r>
        <w:rPr>
          <w:rFonts w:ascii="Arial" w:hAnsi="Arial"/>
          <w:i/>
          <w:color w:val="231F1F"/>
          <w:sz w:val="24"/>
        </w:rPr>
        <w:t>la</w:t>
      </w:r>
      <w:r>
        <w:rPr>
          <w:rFonts w:ascii="Arial" w:hAnsi="Arial"/>
          <w:i/>
          <w:color w:val="231F1F"/>
          <w:spacing w:val="-4"/>
          <w:sz w:val="24"/>
        </w:rPr>
        <w:t> </w:t>
      </w:r>
      <w:r>
        <w:rPr>
          <w:rFonts w:ascii="Arial" w:hAnsi="Arial"/>
          <w:i/>
          <w:color w:val="231F1F"/>
          <w:sz w:val="24"/>
        </w:rPr>
        <w:t>mano</w:t>
      </w:r>
      <w:r>
        <w:rPr>
          <w:rFonts w:ascii="Arial" w:hAnsi="Arial"/>
          <w:i/>
          <w:color w:val="231F1F"/>
          <w:spacing w:val="-2"/>
          <w:sz w:val="24"/>
        </w:rPr>
        <w:t> </w:t>
      </w:r>
      <w:r>
        <w:rPr>
          <w:rFonts w:ascii="Arial MT" w:hAnsi="Arial MT"/>
          <w:color w:val="231F1F"/>
          <w:sz w:val="24"/>
        </w:rPr>
        <w:t>durante</w:t>
      </w:r>
      <w:r>
        <w:rPr>
          <w:rFonts w:ascii="Arial MT" w:hAnsi="Arial MT"/>
          <w:color w:val="231F1F"/>
          <w:spacing w:val="-3"/>
          <w:sz w:val="24"/>
        </w:rPr>
        <w:t> </w:t>
      </w:r>
      <w:r>
        <w:rPr>
          <w:rFonts w:ascii="Arial MT" w:hAnsi="Arial MT"/>
          <w:color w:val="231F1F"/>
          <w:sz w:val="24"/>
        </w:rPr>
        <w:t>el</w:t>
      </w:r>
      <w:r>
        <w:rPr>
          <w:rFonts w:ascii="Arial MT" w:hAnsi="Arial MT"/>
          <w:color w:val="231F1F"/>
          <w:spacing w:val="-1"/>
          <w:sz w:val="24"/>
        </w:rPr>
        <w:t> </w:t>
      </w:r>
      <w:r>
        <w:rPr>
          <w:rFonts w:ascii="Arial MT" w:hAnsi="Arial MT"/>
          <w:color w:val="231F1F"/>
          <w:spacing w:val="-2"/>
          <w:sz w:val="24"/>
        </w:rPr>
        <w:t>nacimiento</w:t>
      </w:r>
    </w:p>
    <w:p>
      <w:pPr>
        <w:pStyle w:val="BodyText"/>
        <w:spacing w:line="244" w:lineRule="auto" w:before="205"/>
        <w:ind w:left="283" w:right="1372"/>
        <w:jc w:val="both"/>
      </w:pPr>
      <w:r>
        <w:rPr>
          <w:color w:val="231F1F"/>
          <w:w w:val="110"/>
        </w:rPr>
        <w:t>NICE</w:t>
      </w:r>
      <w:r>
        <w:rPr>
          <w:color w:val="231F1F"/>
          <w:spacing w:val="-6"/>
          <w:w w:val="110"/>
        </w:rPr>
        <w:t> </w:t>
      </w:r>
      <w:r>
        <w:rPr>
          <w:color w:val="231F1F"/>
          <w:w w:val="110"/>
        </w:rPr>
        <w:t>(10)</w:t>
      </w:r>
      <w:r>
        <w:rPr>
          <w:color w:val="231F1F"/>
          <w:spacing w:val="-6"/>
          <w:w w:val="110"/>
        </w:rPr>
        <w:t> </w:t>
      </w:r>
      <w:r>
        <w:rPr>
          <w:color w:val="231F1F"/>
          <w:w w:val="110"/>
        </w:rPr>
        <w:t>incluye</w:t>
      </w:r>
      <w:r>
        <w:rPr>
          <w:color w:val="231F1F"/>
          <w:spacing w:val="-6"/>
          <w:w w:val="110"/>
        </w:rPr>
        <w:t> </w:t>
      </w:r>
      <w:r>
        <w:rPr>
          <w:color w:val="231F1F"/>
          <w:w w:val="110"/>
        </w:rPr>
        <w:t>en</w:t>
      </w:r>
      <w:r>
        <w:rPr>
          <w:color w:val="231F1F"/>
          <w:spacing w:val="-6"/>
          <w:w w:val="110"/>
        </w:rPr>
        <w:t> </w:t>
      </w:r>
      <w:r>
        <w:rPr>
          <w:color w:val="231F1F"/>
          <w:w w:val="110"/>
        </w:rPr>
        <w:t>este</w:t>
      </w:r>
      <w:r>
        <w:rPr>
          <w:color w:val="231F1F"/>
          <w:spacing w:val="-6"/>
          <w:w w:val="110"/>
        </w:rPr>
        <w:t> </w:t>
      </w:r>
      <w:r>
        <w:rPr>
          <w:color w:val="231F1F"/>
          <w:w w:val="110"/>
        </w:rPr>
        <w:t>apartado</w:t>
      </w:r>
      <w:r>
        <w:rPr>
          <w:color w:val="231F1F"/>
          <w:spacing w:val="-6"/>
          <w:w w:val="110"/>
        </w:rPr>
        <w:t> </w:t>
      </w:r>
      <w:r>
        <w:rPr>
          <w:color w:val="231F1F"/>
          <w:w w:val="110"/>
        </w:rPr>
        <w:t>tres</w:t>
      </w:r>
      <w:r>
        <w:rPr>
          <w:color w:val="231F1F"/>
          <w:spacing w:val="-6"/>
          <w:w w:val="110"/>
        </w:rPr>
        <w:t> </w:t>
      </w:r>
      <w:r>
        <w:rPr>
          <w:color w:val="231F1F"/>
          <w:w w:val="110"/>
        </w:rPr>
        <w:t>estudios.</w:t>
      </w:r>
      <w:r>
        <w:rPr>
          <w:color w:val="231F1F"/>
          <w:spacing w:val="-6"/>
          <w:w w:val="110"/>
        </w:rPr>
        <w:t> </w:t>
      </w:r>
      <w:r>
        <w:rPr>
          <w:color w:val="231F1F"/>
          <w:w w:val="110"/>
        </w:rPr>
        <w:t>Un</w:t>
      </w:r>
      <w:r>
        <w:rPr>
          <w:color w:val="231F1F"/>
          <w:spacing w:val="-6"/>
          <w:w w:val="110"/>
        </w:rPr>
        <w:t> </w:t>
      </w:r>
      <w:r>
        <w:rPr>
          <w:color w:val="231F1F"/>
          <w:w w:val="110"/>
        </w:rPr>
        <w:t>primer</w:t>
      </w:r>
      <w:r>
        <w:rPr>
          <w:color w:val="231F1F"/>
          <w:spacing w:val="-7"/>
          <w:w w:val="110"/>
        </w:rPr>
        <w:t> </w:t>
      </w:r>
      <w:r>
        <w:rPr>
          <w:color w:val="231F1F"/>
          <w:w w:val="110"/>
        </w:rPr>
        <w:t>ECA</w:t>
      </w:r>
      <w:r>
        <w:rPr>
          <w:color w:val="231F1F"/>
          <w:spacing w:val="-5"/>
          <w:w w:val="110"/>
        </w:rPr>
        <w:t> </w:t>
      </w:r>
      <w:r>
        <w:rPr>
          <w:color w:val="231F1F"/>
          <w:w w:val="110"/>
        </w:rPr>
        <w:t>llevado</w:t>
      </w:r>
      <w:r>
        <w:rPr>
          <w:color w:val="231F1F"/>
          <w:spacing w:val="-6"/>
          <w:w w:val="110"/>
        </w:rPr>
        <w:t> </w:t>
      </w:r>
      <w:r>
        <w:rPr>
          <w:color w:val="231F1F"/>
          <w:w w:val="110"/>
        </w:rPr>
        <w:t>a cabo</w:t>
      </w:r>
      <w:r>
        <w:rPr>
          <w:color w:val="231F1F"/>
          <w:spacing w:val="-11"/>
          <w:w w:val="110"/>
        </w:rPr>
        <w:t> </w:t>
      </w:r>
      <w:r>
        <w:rPr>
          <w:color w:val="231F1F"/>
          <w:w w:val="110"/>
        </w:rPr>
        <w:t>en</w:t>
      </w:r>
      <w:r>
        <w:rPr>
          <w:color w:val="231F1F"/>
          <w:spacing w:val="-11"/>
          <w:w w:val="110"/>
        </w:rPr>
        <w:t> </w:t>
      </w:r>
      <w:r>
        <w:rPr>
          <w:color w:val="231F1F"/>
          <w:w w:val="110"/>
        </w:rPr>
        <w:t>el</w:t>
      </w:r>
      <w:r>
        <w:rPr>
          <w:color w:val="231F1F"/>
          <w:spacing w:val="-11"/>
          <w:w w:val="110"/>
        </w:rPr>
        <w:t> </w:t>
      </w:r>
      <w:r>
        <w:rPr>
          <w:color w:val="231F1F"/>
          <w:w w:val="110"/>
        </w:rPr>
        <w:t>Reino</w:t>
      </w:r>
      <w:r>
        <w:rPr>
          <w:color w:val="231F1F"/>
          <w:spacing w:val="-11"/>
          <w:w w:val="110"/>
        </w:rPr>
        <w:t> </w:t>
      </w:r>
      <w:r>
        <w:rPr>
          <w:color w:val="231F1F"/>
          <w:w w:val="110"/>
        </w:rPr>
        <w:t>Unido</w:t>
      </w:r>
      <w:r>
        <w:rPr>
          <w:color w:val="231F1F"/>
          <w:spacing w:val="-11"/>
          <w:w w:val="110"/>
        </w:rPr>
        <w:t> </w:t>
      </w:r>
      <w:r>
        <w:rPr>
          <w:color w:val="231F1F"/>
          <w:w w:val="110"/>
        </w:rPr>
        <w:t>(148)</w:t>
      </w:r>
      <w:r>
        <w:rPr>
          <w:color w:val="231F1F"/>
          <w:spacing w:val="-11"/>
          <w:w w:val="110"/>
        </w:rPr>
        <w:t> </w:t>
      </w:r>
      <w:r>
        <w:rPr>
          <w:color w:val="231F1F"/>
          <w:w w:val="110"/>
        </w:rPr>
        <w:t>y</w:t>
      </w:r>
      <w:r>
        <w:rPr>
          <w:color w:val="231F1F"/>
          <w:spacing w:val="-11"/>
          <w:w w:val="110"/>
        </w:rPr>
        <w:t> </w:t>
      </w:r>
      <w:r>
        <w:rPr>
          <w:color w:val="231F1F"/>
          <w:w w:val="110"/>
        </w:rPr>
        <w:t>un</w:t>
      </w:r>
      <w:r>
        <w:rPr>
          <w:color w:val="231F1F"/>
          <w:spacing w:val="-11"/>
          <w:w w:val="110"/>
        </w:rPr>
        <w:t> </w:t>
      </w:r>
      <w:r>
        <w:rPr>
          <w:color w:val="231F1F"/>
          <w:w w:val="110"/>
        </w:rPr>
        <w:t>total</w:t>
      </w:r>
      <w:r>
        <w:rPr>
          <w:color w:val="231F1F"/>
          <w:spacing w:val="-11"/>
          <w:w w:val="110"/>
        </w:rPr>
        <w:t> </w:t>
      </w:r>
      <w:r>
        <w:rPr>
          <w:color w:val="231F1F"/>
          <w:w w:val="110"/>
        </w:rPr>
        <w:t>de</w:t>
      </w:r>
      <w:r>
        <w:rPr>
          <w:color w:val="231F1F"/>
          <w:spacing w:val="-11"/>
          <w:w w:val="110"/>
        </w:rPr>
        <w:t> </w:t>
      </w:r>
      <w:r>
        <w:rPr>
          <w:color w:val="231F1F"/>
          <w:w w:val="110"/>
        </w:rPr>
        <w:t>5.471</w:t>
      </w:r>
      <w:r>
        <w:rPr>
          <w:color w:val="231F1F"/>
          <w:spacing w:val="-11"/>
          <w:w w:val="110"/>
        </w:rPr>
        <w:t> </w:t>
      </w:r>
      <w:r>
        <w:rPr>
          <w:color w:val="231F1F"/>
          <w:w w:val="110"/>
        </w:rPr>
        <w:t>mujeres</w:t>
      </w:r>
      <w:r>
        <w:rPr>
          <w:color w:val="231F1F"/>
          <w:spacing w:val="-11"/>
          <w:w w:val="110"/>
        </w:rPr>
        <w:t> </w:t>
      </w:r>
      <w:r>
        <w:rPr>
          <w:color w:val="231F1F"/>
          <w:w w:val="110"/>
        </w:rPr>
        <w:t>incluidas.</w:t>
      </w:r>
      <w:r>
        <w:rPr>
          <w:color w:val="231F1F"/>
          <w:spacing w:val="-11"/>
          <w:w w:val="110"/>
        </w:rPr>
        <w:t> </w:t>
      </w:r>
      <w:r>
        <w:rPr>
          <w:color w:val="231F1F"/>
          <w:w w:val="110"/>
        </w:rPr>
        <w:t>En</w:t>
      </w:r>
      <w:r>
        <w:rPr>
          <w:color w:val="231F1F"/>
          <w:spacing w:val="-11"/>
          <w:w w:val="110"/>
        </w:rPr>
        <w:t> </w:t>
      </w:r>
      <w:r>
        <w:rPr>
          <w:color w:val="231F1F"/>
          <w:w w:val="110"/>
        </w:rPr>
        <w:t>él</w:t>
      </w:r>
      <w:r>
        <w:rPr>
          <w:color w:val="231F1F"/>
          <w:spacing w:val="-11"/>
          <w:w w:val="110"/>
        </w:rPr>
        <w:t> </w:t>
      </w:r>
      <w:r>
        <w:rPr>
          <w:color w:val="231F1F"/>
          <w:w w:val="110"/>
        </w:rPr>
        <w:t>se comparaban</w:t>
      </w:r>
      <w:r>
        <w:rPr>
          <w:color w:val="231F1F"/>
          <w:spacing w:val="-6"/>
          <w:w w:val="110"/>
        </w:rPr>
        <w:t> </w:t>
      </w:r>
      <w:r>
        <w:rPr>
          <w:color w:val="231F1F"/>
          <w:w w:val="110"/>
        </w:rPr>
        <w:t>dos</w:t>
      </w:r>
      <w:r>
        <w:rPr>
          <w:color w:val="231F1F"/>
          <w:spacing w:val="-5"/>
          <w:w w:val="110"/>
        </w:rPr>
        <w:t> </w:t>
      </w:r>
      <w:r>
        <w:rPr>
          <w:color w:val="231F1F"/>
          <w:w w:val="110"/>
        </w:rPr>
        <w:t>técnicas</w:t>
      </w:r>
      <w:r>
        <w:rPr>
          <w:color w:val="231F1F"/>
          <w:spacing w:val="-6"/>
          <w:w w:val="110"/>
        </w:rPr>
        <w:t> </w:t>
      </w:r>
      <w:r>
        <w:rPr>
          <w:color w:val="231F1F"/>
          <w:w w:val="110"/>
        </w:rPr>
        <w:t>de</w:t>
      </w:r>
      <w:r>
        <w:rPr>
          <w:color w:val="231F1F"/>
          <w:spacing w:val="-5"/>
          <w:w w:val="110"/>
        </w:rPr>
        <w:t> </w:t>
      </w:r>
      <w:r>
        <w:rPr>
          <w:color w:val="231F1F"/>
          <w:w w:val="110"/>
        </w:rPr>
        <w:t>protección</w:t>
      </w:r>
      <w:r>
        <w:rPr>
          <w:color w:val="231F1F"/>
          <w:spacing w:val="-6"/>
          <w:w w:val="110"/>
        </w:rPr>
        <w:t> </w:t>
      </w:r>
      <w:r>
        <w:rPr>
          <w:color w:val="231F1F"/>
          <w:w w:val="110"/>
        </w:rPr>
        <w:t>del</w:t>
      </w:r>
      <w:r>
        <w:rPr>
          <w:color w:val="231F1F"/>
          <w:spacing w:val="-7"/>
          <w:w w:val="110"/>
        </w:rPr>
        <w:t> </w:t>
      </w:r>
      <w:r>
        <w:rPr>
          <w:color w:val="231F1F"/>
          <w:w w:val="110"/>
        </w:rPr>
        <w:t>perineo</w:t>
      </w:r>
      <w:r>
        <w:rPr>
          <w:color w:val="231F1F"/>
          <w:spacing w:val="-5"/>
          <w:w w:val="110"/>
        </w:rPr>
        <w:t> </w:t>
      </w:r>
      <w:r>
        <w:rPr>
          <w:color w:val="231F1F"/>
          <w:w w:val="110"/>
        </w:rPr>
        <w:t>durante</w:t>
      </w:r>
      <w:r>
        <w:rPr>
          <w:color w:val="231F1F"/>
          <w:spacing w:val="-6"/>
          <w:w w:val="110"/>
        </w:rPr>
        <w:t> </w:t>
      </w:r>
      <w:r>
        <w:rPr>
          <w:color w:val="231F1F"/>
          <w:w w:val="110"/>
        </w:rPr>
        <w:t>el</w:t>
      </w:r>
      <w:r>
        <w:rPr>
          <w:color w:val="231F1F"/>
          <w:spacing w:val="-5"/>
          <w:w w:val="110"/>
        </w:rPr>
        <w:t> </w:t>
      </w:r>
      <w:r>
        <w:rPr>
          <w:color w:val="231F1F"/>
          <w:w w:val="110"/>
        </w:rPr>
        <w:t>parto</w:t>
      </w:r>
      <w:r>
        <w:rPr>
          <w:color w:val="231F1F"/>
          <w:spacing w:val="-6"/>
          <w:w w:val="110"/>
        </w:rPr>
        <w:t> </w:t>
      </w:r>
      <w:r>
        <w:rPr>
          <w:color w:val="231F1F"/>
          <w:w w:val="110"/>
        </w:rPr>
        <w:t>vaginal</w:t>
      </w:r>
    </w:p>
    <w:p>
      <w:pPr>
        <w:pStyle w:val="BodyText"/>
        <w:spacing w:after="0" w:line="244" w:lineRule="auto"/>
        <w:jc w:val="both"/>
        <w:sectPr>
          <w:type w:val="continuous"/>
          <w:pgSz w:w="11900" w:h="16840"/>
          <w:pgMar w:header="0" w:footer="622" w:top="560" w:bottom="280" w:left="1417" w:right="1559"/>
        </w:sectPr>
      </w:pPr>
    </w:p>
    <w:p>
      <w:pPr>
        <w:pStyle w:val="BodyText"/>
        <w:spacing w:line="249" w:lineRule="auto" w:before="73"/>
        <w:ind w:left="283"/>
        <w:jc w:val="both"/>
      </w:pPr>
      <w:r>
        <w:rPr>
          <w:color w:val="231F1F"/>
          <w:w w:val="105"/>
        </w:rPr>
        <w:t>espontáneo,</w:t>
      </w:r>
      <w:r>
        <w:rPr>
          <w:color w:val="231F1F"/>
          <w:w w:val="105"/>
        </w:rPr>
        <w:t> una</w:t>
      </w:r>
      <w:r>
        <w:rPr>
          <w:color w:val="231F1F"/>
          <w:w w:val="105"/>
        </w:rPr>
        <w:t> en</w:t>
      </w:r>
      <w:r>
        <w:rPr>
          <w:color w:val="231F1F"/>
          <w:w w:val="105"/>
        </w:rPr>
        <w:t> la</w:t>
      </w:r>
      <w:r>
        <w:rPr>
          <w:color w:val="231F1F"/>
          <w:w w:val="105"/>
        </w:rPr>
        <w:t> que</w:t>
      </w:r>
      <w:r>
        <w:rPr>
          <w:color w:val="231F1F"/>
          <w:w w:val="105"/>
        </w:rPr>
        <w:t> una</w:t>
      </w:r>
      <w:r>
        <w:rPr>
          <w:color w:val="231F1F"/>
          <w:w w:val="105"/>
        </w:rPr>
        <w:t> mano</w:t>
      </w:r>
      <w:r>
        <w:rPr>
          <w:color w:val="231F1F"/>
          <w:w w:val="105"/>
        </w:rPr>
        <w:t> controlaba</w:t>
      </w:r>
      <w:r>
        <w:rPr>
          <w:color w:val="231F1F"/>
          <w:w w:val="105"/>
        </w:rPr>
        <w:t> la</w:t>
      </w:r>
      <w:r>
        <w:rPr>
          <w:color w:val="231F1F"/>
          <w:w w:val="105"/>
        </w:rPr>
        <w:t> deflexión</w:t>
      </w:r>
      <w:r>
        <w:rPr>
          <w:color w:val="231F1F"/>
          <w:w w:val="105"/>
        </w:rPr>
        <w:t> de</w:t>
      </w:r>
      <w:r>
        <w:rPr>
          <w:color w:val="231F1F"/>
          <w:w w:val="105"/>
        </w:rPr>
        <w:t> la</w:t>
      </w:r>
      <w:r>
        <w:rPr>
          <w:color w:val="231F1F"/>
          <w:w w:val="105"/>
        </w:rPr>
        <w:t> cabeza</w:t>
      </w:r>
      <w:r>
        <w:rPr>
          <w:color w:val="231F1F"/>
          <w:w w:val="105"/>
        </w:rPr>
        <w:t> y protegía el periné y otra técnica, en donde las manos se mantenían preparadas pero</w:t>
      </w:r>
      <w:r>
        <w:rPr>
          <w:color w:val="231F1F"/>
          <w:spacing w:val="40"/>
          <w:w w:val="105"/>
        </w:rPr>
        <w:t> </w:t>
      </w:r>
      <w:r>
        <w:rPr>
          <w:color w:val="231F1F"/>
          <w:w w:val="105"/>
        </w:rPr>
        <w:t>ninguna</w:t>
      </w:r>
      <w:r>
        <w:rPr>
          <w:color w:val="231F1F"/>
          <w:spacing w:val="40"/>
          <w:w w:val="105"/>
        </w:rPr>
        <w:t> </w:t>
      </w:r>
      <w:r>
        <w:rPr>
          <w:color w:val="231F1F"/>
          <w:w w:val="105"/>
        </w:rPr>
        <w:t>tocaba</w:t>
      </w:r>
      <w:r>
        <w:rPr>
          <w:color w:val="231F1F"/>
          <w:spacing w:val="40"/>
          <w:w w:val="105"/>
        </w:rPr>
        <w:t> </w:t>
      </w:r>
      <w:r>
        <w:rPr>
          <w:color w:val="231F1F"/>
          <w:w w:val="105"/>
        </w:rPr>
        <w:t>ni</w:t>
      </w:r>
      <w:r>
        <w:rPr>
          <w:color w:val="231F1F"/>
          <w:spacing w:val="40"/>
          <w:w w:val="105"/>
        </w:rPr>
        <w:t> </w:t>
      </w:r>
      <w:r>
        <w:rPr>
          <w:color w:val="231F1F"/>
          <w:w w:val="105"/>
        </w:rPr>
        <w:t>la</w:t>
      </w:r>
      <w:r>
        <w:rPr>
          <w:color w:val="231F1F"/>
          <w:spacing w:val="40"/>
          <w:w w:val="105"/>
        </w:rPr>
        <w:t> </w:t>
      </w:r>
      <w:r>
        <w:rPr>
          <w:color w:val="231F1F"/>
          <w:w w:val="105"/>
        </w:rPr>
        <w:t>cabeza</w:t>
      </w:r>
      <w:r>
        <w:rPr>
          <w:color w:val="231F1F"/>
          <w:spacing w:val="40"/>
          <w:w w:val="105"/>
        </w:rPr>
        <w:t> </w:t>
      </w:r>
      <w:r>
        <w:rPr>
          <w:color w:val="231F1F"/>
          <w:w w:val="105"/>
        </w:rPr>
        <w:t>fetal</w:t>
      </w:r>
      <w:r>
        <w:rPr>
          <w:color w:val="231F1F"/>
          <w:spacing w:val="40"/>
          <w:w w:val="105"/>
        </w:rPr>
        <w:t> </w:t>
      </w:r>
      <w:r>
        <w:rPr>
          <w:color w:val="231F1F"/>
          <w:w w:val="105"/>
        </w:rPr>
        <w:t>ni</w:t>
      </w:r>
      <w:r>
        <w:rPr>
          <w:color w:val="231F1F"/>
          <w:spacing w:val="40"/>
          <w:w w:val="105"/>
        </w:rPr>
        <w:t> </w:t>
      </w:r>
      <w:r>
        <w:rPr>
          <w:color w:val="231F1F"/>
          <w:w w:val="105"/>
        </w:rPr>
        <w:t>el</w:t>
      </w:r>
      <w:r>
        <w:rPr>
          <w:color w:val="231F1F"/>
          <w:spacing w:val="40"/>
          <w:w w:val="105"/>
        </w:rPr>
        <w:t> </w:t>
      </w:r>
      <w:r>
        <w:rPr>
          <w:color w:val="231F1F"/>
          <w:w w:val="105"/>
        </w:rPr>
        <w:t>periné.</w:t>
      </w:r>
    </w:p>
    <w:p>
      <w:pPr>
        <w:pStyle w:val="BodyText"/>
        <w:spacing w:line="249" w:lineRule="auto" w:before="94"/>
        <w:ind w:left="283" w:right="1" w:firstLine="453"/>
        <w:jc w:val="both"/>
      </w:pPr>
      <w:r>
        <w:rPr>
          <w:color w:val="231F1F"/>
          <w:w w:val="105"/>
        </w:rPr>
        <w:t>Los resultados mostraron diferencias estadísticamente significativas, con menor</w:t>
      </w:r>
      <w:r>
        <w:rPr>
          <w:color w:val="231F1F"/>
          <w:w w:val="105"/>
        </w:rPr>
        <w:t> dolor,</w:t>
      </w:r>
      <w:r>
        <w:rPr>
          <w:color w:val="231F1F"/>
          <w:w w:val="105"/>
        </w:rPr>
        <w:t> en</w:t>
      </w:r>
      <w:r>
        <w:rPr>
          <w:color w:val="231F1F"/>
          <w:w w:val="105"/>
        </w:rPr>
        <w:t> el</w:t>
      </w:r>
      <w:r>
        <w:rPr>
          <w:color w:val="231F1F"/>
          <w:w w:val="105"/>
        </w:rPr>
        <w:t> grupo</w:t>
      </w:r>
      <w:r>
        <w:rPr>
          <w:color w:val="231F1F"/>
          <w:w w:val="105"/>
        </w:rPr>
        <w:t> en</w:t>
      </w:r>
      <w:r>
        <w:rPr>
          <w:color w:val="231F1F"/>
          <w:w w:val="105"/>
        </w:rPr>
        <w:t> el</w:t>
      </w:r>
      <w:r>
        <w:rPr>
          <w:color w:val="231F1F"/>
          <w:w w:val="105"/>
        </w:rPr>
        <w:t> que</w:t>
      </w:r>
      <w:r>
        <w:rPr>
          <w:color w:val="231F1F"/>
          <w:w w:val="105"/>
        </w:rPr>
        <w:t> las</w:t>
      </w:r>
      <w:r>
        <w:rPr>
          <w:color w:val="231F1F"/>
          <w:w w:val="105"/>
        </w:rPr>
        <w:t> manos</w:t>
      </w:r>
      <w:r>
        <w:rPr>
          <w:color w:val="231F1F"/>
          <w:w w:val="105"/>
        </w:rPr>
        <w:t> controlaban</w:t>
      </w:r>
      <w:r>
        <w:rPr>
          <w:color w:val="231F1F"/>
          <w:w w:val="105"/>
        </w:rPr>
        <w:t> la</w:t>
      </w:r>
      <w:r>
        <w:rPr>
          <w:color w:val="231F1F"/>
          <w:w w:val="105"/>
        </w:rPr>
        <w:t> deflexión</w:t>
      </w:r>
      <w:r>
        <w:rPr>
          <w:color w:val="231F1F"/>
          <w:w w:val="105"/>
        </w:rPr>
        <w:t> de cabeza y protegían el periné, en las últimas 24 horas, preguntado a los 10 días del parto (910/2.669 manos preparadas sin tocar vs 823/2.647 en manos que controlan</w:t>
      </w:r>
      <w:r>
        <w:rPr>
          <w:color w:val="231F1F"/>
          <w:w w:val="105"/>
        </w:rPr>
        <w:t> y</w:t>
      </w:r>
      <w:r>
        <w:rPr>
          <w:color w:val="231F1F"/>
          <w:w w:val="105"/>
        </w:rPr>
        <w:t> protegen</w:t>
      </w:r>
      <w:r>
        <w:rPr>
          <w:color w:val="231F1F"/>
          <w:w w:val="105"/>
        </w:rPr>
        <w:t> el</w:t>
      </w:r>
      <w:r>
        <w:rPr>
          <w:color w:val="231F1F"/>
          <w:w w:val="105"/>
        </w:rPr>
        <w:t> periné):</w:t>
      </w:r>
      <w:r>
        <w:rPr>
          <w:color w:val="231F1F"/>
          <w:w w:val="105"/>
        </w:rPr>
        <w:t> RR</w:t>
      </w:r>
      <w:r>
        <w:rPr>
          <w:color w:val="231F1F"/>
          <w:w w:val="105"/>
        </w:rPr>
        <w:t> 1,10</w:t>
      </w:r>
      <w:r>
        <w:rPr>
          <w:color w:val="231F1F"/>
          <w:w w:val="105"/>
        </w:rPr>
        <w:t> [IC</w:t>
      </w:r>
      <w:r>
        <w:rPr>
          <w:color w:val="231F1F"/>
          <w:w w:val="105"/>
        </w:rPr>
        <w:t> 95%</w:t>
      </w:r>
      <w:r>
        <w:rPr>
          <w:color w:val="231F1F"/>
          <w:w w:val="105"/>
        </w:rPr>
        <w:t> 1,01</w:t>
      </w:r>
      <w:r>
        <w:rPr>
          <w:color w:val="231F1F"/>
          <w:w w:val="105"/>
        </w:rPr>
        <w:t> a</w:t>
      </w:r>
      <w:r>
        <w:rPr>
          <w:color w:val="231F1F"/>
          <w:w w:val="105"/>
        </w:rPr>
        <w:t> 1,18],</w:t>
      </w:r>
      <w:r>
        <w:rPr>
          <w:color w:val="231F1F"/>
          <w:w w:val="105"/>
        </w:rPr>
        <w:t> con</w:t>
      </w:r>
      <w:r>
        <w:rPr>
          <w:color w:val="231F1F"/>
          <w:w w:val="105"/>
        </w:rPr>
        <w:t> mayor número</w:t>
      </w:r>
      <w:r>
        <w:rPr>
          <w:color w:val="231F1F"/>
          <w:w w:val="105"/>
        </w:rPr>
        <w:t> de</w:t>
      </w:r>
      <w:r>
        <w:rPr>
          <w:color w:val="231F1F"/>
          <w:w w:val="105"/>
        </w:rPr>
        <w:t> episiotomías</w:t>
      </w:r>
      <w:r>
        <w:rPr>
          <w:color w:val="231F1F"/>
          <w:w w:val="105"/>
        </w:rPr>
        <w:t> realizadas</w:t>
      </w:r>
      <w:r>
        <w:rPr>
          <w:color w:val="231F1F"/>
          <w:w w:val="105"/>
        </w:rPr>
        <w:t> (10,2%</w:t>
      </w:r>
      <w:r>
        <w:rPr>
          <w:color w:val="231F1F"/>
          <w:w w:val="105"/>
        </w:rPr>
        <w:t> (n=280)</w:t>
      </w:r>
      <w:r>
        <w:rPr>
          <w:color w:val="231F1F"/>
          <w:w w:val="105"/>
        </w:rPr>
        <w:t> en</w:t>
      </w:r>
      <w:r>
        <w:rPr>
          <w:color w:val="231F1F"/>
          <w:w w:val="105"/>
        </w:rPr>
        <w:t> manos</w:t>
      </w:r>
      <w:r>
        <w:rPr>
          <w:color w:val="231F1F"/>
          <w:w w:val="105"/>
        </w:rPr>
        <w:t> preparadas</w:t>
      </w:r>
      <w:r>
        <w:rPr>
          <w:color w:val="231F1F"/>
          <w:w w:val="105"/>
        </w:rPr>
        <w:t> sin tocar</w:t>
      </w:r>
      <w:r>
        <w:rPr>
          <w:color w:val="231F1F"/>
          <w:w w:val="105"/>
        </w:rPr>
        <w:t> vs</w:t>
      </w:r>
      <w:r>
        <w:rPr>
          <w:color w:val="231F1F"/>
          <w:w w:val="105"/>
        </w:rPr>
        <w:t> 12,9%</w:t>
      </w:r>
      <w:r>
        <w:rPr>
          <w:color w:val="231F1F"/>
          <w:w w:val="105"/>
        </w:rPr>
        <w:t> (n=351)</w:t>
      </w:r>
      <w:r>
        <w:rPr>
          <w:color w:val="231F1F"/>
          <w:w w:val="105"/>
        </w:rPr>
        <w:t> en</w:t>
      </w:r>
      <w:r>
        <w:rPr>
          <w:color w:val="231F1F"/>
          <w:w w:val="105"/>
        </w:rPr>
        <w:t> manos</w:t>
      </w:r>
      <w:r>
        <w:rPr>
          <w:color w:val="231F1F"/>
          <w:w w:val="105"/>
        </w:rPr>
        <w:t> que</w:t>
      </w:r>
      <w:r>
        <w:rPr>
          <w:color w:val="231F1F"/>
          <w:w w:val="105"/>
        </w:rPr>
        <w:t> controlan</w:t>
      </w:r>
      <w:r>
        <w:rPr>
          <w:color w:val="231F1F"/>
          <w:w w:val="105"/>
        </w:rPr>
        <w:t> y</w:t>
      </w:r>
      <w:r>
        <w:rPr>
          <w:color w:val="231F1F"/>
          <w:w w:val="105"/>
        </w:rPr>
        <w:t> protegen</w:t>
      </w:r>
      <w:r>
        <w:rPr>
          <w:color w:val="231F1F"/>
          <w:w w:val="105"/>
        </w:rPr>
        <w:t> el</w:t>
      </w:r>
      <w:r>
        <w:rPr>
          <w:color w:val="231F1F"/>
          <w:w w:val="105"/>
        </w:rPr>
        <w:t> periné):</w:t>
      </w:r>
      <w:r>
        <w:rPr>
          <w:color w:val="231F1F"/>
          <w:w w:val="105"/>
        </w:rPr>
        <w:t> RR 0,79</w:t>
      </w:r>
      <w:r>
        <w:rPr>
          <w:color w:val="231F1F"/>
          <w:w w:val="105"/>
        </w:rPr>
        <w:t> [IC</w:t>
      </w:r>
      <w:r>
        <w:rPr>
          <w:color w:val="231F1F"/>
          <w:w w:val="105"/>
        </w:rPr>
        <w:t> 95%</w:t>
      </w:r>
      <w:r>
        <w:rPr>
          <w:color w:val="231F1F"/>
          <w:w w:val="105"/>
        </w:rPr>
        <w:t> 1,02</w:t>
      </w:r>
      <w:r>
        <w:rPr>
          <w:color w:val="231F1F"/>
          <w:w w:val="105"/>
        </w:rPr>
        <w:t> a</w:t>
      </w:r>
      <w:r>
        <w:rPr>
          <w:color w:val="231F1F"/>
          <w:w w:val="105"/>
        </w:rPr>
        <w:t> 2,78]</w:t>
      </w:r>
      <w:r>
        <w:rPr>
          <w:color w:val="231F1F"/>
          <w:w w:val="105"/>
        </w:rPr>
        <w:t> y</w:t>
      </w:r>
      <w:r>
        <w:rPr>
          <w:color w:val="231F1F"/>
          <w:w w:val="105"/>
        </w:rPr>
        <w:t> menor</w:t>
      </w:r>
      <w:r>
        <w:rPr>
          <w:color w:val="231F1F"/>
          <w:w w:val="105"/>
        </w:rPr>
        <w:t> número</w:t>
      </w:r>
      <w:r>
        <w:rPr>
          <w:color w:val="231F1F"/>
          <w:w w:val="105"/>
        </w:rPr>
        <w:t> de</w:t>
      </w:r>
      <w:r>
        <w:rPr>
          <w:color w:val="231F1F"/>
          <w:w w:val="105"/>
        </w:rPr>
        <w:t> extracciones</w:t>
      </w:r>
      <w:r>
        <w:rPr>
          <w:color w:val="231F1F"/>
          <w:w w:val="105"/>
        </w:rPr>
        <w:t> manuales</w:t>
      </w:r>
      <w:r>
        <w:rPr>
          <w:color w:val="231F1F"/>
          <w:w w:val="105"/>
        </w:rPr>
        <w:t> de</w:t>
      </w:r>
      <w:r>
        <w:rPr>
          <w:color w:val="231F1F"/>
          <w:w w:val="105"/>
        </w:rPr>
        <w:t> la placenta</w:t>
      </w:r>
      <w:r>
        <w:rPr>
          <w:color w:val="231F1F"/>
          <w:spacing w:val="-10"/>
          <w:w w:val="105"/>
        </w:rPr>
        <w:t> </w:t>
      </w:r>
      <w:r>
        <w:rPr>
          <w:color w:val="231F1F"/>
          <w:w w:val="105"/>
        </w:rPr>
        <w:t>(2,6%</w:t>
      </w:r>
      <w:r>
        <w:rPr>
          <w:color w:val="231F1F"/>
          <w:spacing w:val="-10"/>
          <w:w w:val="105"/>
        </w:rPr>
        <w:t> </w:t>
      </w:r>
      <w:r>
        <w:rPr>
          <w:color w:val="231F1F"/>
          <w:w w:val="105"/>
        </w:rPr>
        <w:t>(n=71)</w:t>
      </w:r>
      <w:r>
        <w:rPr>
          <w:color w:val="231F1F"/>
          <w:spacing w:val="-9"/>
          <w:w w:val="105"/>
        </w:rPr>
        <w:t> </w:t>
      </w:r>
      <w:r>
        <w:rPr>
          <w:color w:val="231F1F"/>
          <w:w w:val="105"/>
        </w:rPr>
        <w:t>en</w:t>
      </w:r>
      <w:r>
        <w:rPr>
          <w:color w:val="231F1F"/>
          <w:spacing w:val="-10"/>
          <w:w w:val="105"/>
        </w:rPr>
        <w:t> </w:t>
      </w:r>
      <w:r>
        <w:rPr>
          <w:color w:val="231F1F"/>
          <w:w w:val="105"/>
        </w:rPr>
        <w:t>manos</w:t>
      </w:r>
      <w:r>
        <w:rPr>
          <w:color w:val="231F1F"/>
          <w:spacing w:val="-10"/>
          <w:w w:val="105"/>
        </w:rPr>
        <w:t> </w:t>
      </w:r>
      <w:r>
        <w:rPr>
          <w:color w:val="231F1F"/>
          <w:w w:val="105"/>
        </w:rPr>
        <w:t>preparadas</w:t>
      </w:r>
      <w:r>
        <w:rPr>
          <w:color w:val="231F1F"/>
          <w:spacing w:val="-10"/>
          <w:w w:val="105"/>
        </w:rPr>
        <w:t> </w:t>
      </w:r>
      <w:r>
        <w:rPr>
          <w:color w:val="231F1F"/>
          <w:w w:val="105"/>
        </w:rPr>
        <w:t>sin</w:t>
      </w:r>
      <w:r>
        <w:rPr>
          <w:color w:val="231F1F"/>
          <w:spacing w:val="-10"/>
          <w:w w:val="105"/>
        </w:rPr>
        <w:t> </w:t>
      </w:r>
      <w:r>
        <w:rPr>
          <w:color w:val="231F1F"/>
          <w:w w:val="105"/>
        </w:rPr>
        <w:t>tocar</w:t>
      </w:r>
      <w:r>
        <w:rPr>
          <w:color w:val="231F1F"/>
          <w:spacing w:val="-10"/>
          <w:w w:val="105"/>
        </w:rPr>
        <w:t> </w:t>
      </w:r>
      <w:r>
        <w:rPr>
          <w:color w:val="231F1F"/>
          <w:w w:val="105"/>
        </w:rPr>
        <w:t>vs</w:t>
      </w:r>
      <w:r>
        <w:rPr>
          <w:color w:val="231F1F"/>
          <w:spacing w:val="-10"/>
          <w:w w:val="105"/>
        </w:rPr>
        <w:t> </w:t>
      </w:r>
      <w:r>
        <w:rPr>
          <w:color w:val="231F1F"/>
          <w:w w:val="105"/>
        </w:rPr>
        <w:t>1,5%</w:t>
      </w:r>
      <w:r>
        <w:rPr>
          <w:color w:val="231F1F"/>
          <w:spacing w:val="-10"/>
          <w:w w:val="105"/>
        </w:rPr>
        <w:t> </w:t>
      </w:r>
      <w:r>
        <w:rPr>
          <w:color w:val="231F1F"/>
          <w:w w:val="105"/>
        </w:rPr>
        <w:t>(n=42)</w:t>
      </w:r>
      <w:r>
        <w:rPr>
          <w:color w:val="231F1F"/>
          <w:spacing w:val="-9"/>
          <w:w w:val="105"/>
        </w:rPr>
        <w:t> </w:t>
      </w:r>
      <w:r>
        <w:rPr>
          <w:color w:val="231F1F"/>
          <w:w w:val="105"/>
        </w:rPr>
        <w:t>en</w:t>
      </w:r>
      <w:r>
        <w:rPr>
          <w:color w:val="231F1F"/>
          <w:spacing w:val="-10"/>
          <w:w w:val="105"/>
        </w:rPr>
        <w:t> </w:t>
      </w:r>
      <w:r>
        <w:rPr>
          <w:color w:val="231F1F"/>
          <w:w w:val="105"/>
        </w:rPr>
        <w:t>manos que</w:t>
      </w:r>
      <w:r>
        <w:rPr>
          <w:color w:val="231F1F"/>
          <w:spacing w:val="40"/>
          <w:w w:val="105"/>
        </w:rPr>
        <w:t> </w:t>
      </w:r>
      <w:r>
        <w:rPr>
          <w:color w:val="231F1F"/>
          <w:w w:val="105"/>
        </w:rPr>
        <w:t>controlan</w:t>
      </w:r>
      <w:r>
        <w:rPr>
          <w:color w:val="231F1F"/>
          <w:spacing w:val="40"/>
          <w:w w:val="105"/>
        </w:rPr>
        <w:t> </w:t>
      </w:r>
      <w:r>
        <w:rPr>
          <w:color w:val="231F1F"/>
          <w:w w:val="105"/>
        </w:rPr>
        <w:t>y</w:t>
      </w:r>
      <w:r>
        <w:rPr>
          <w:color w:val="231F1F"/>
          <w:spacing w:val="40"/>
          <w:w w:val="105"/>
        </w:rPr>
        <w:t> </w:t>
      </w:r>
      <w:r>
        <w:rPr>
          <w:color w:val="231F1F"/>
          <w:w w:val="105"/>
        </w:rPr>
        <w:t>protegen</w:t>
      </w:r>
      <w:r>
        <w:rPr>
          <w:color w:val="231F1F"/>
          <w:spacing w:val="40"/>
          <w:w w:val="105"/>
        </w:rPr>
        <w:t> </w:t>
      </w:r>
      <w:r>
        <w:rPr>
          <w:color w:val="231F1F"/>
          <w:w w:val="105"/>
        </w:rPr>
        <w:t>el</w:t>
      </w:r>
      <w:r>
        <w:rPr>
          <w:color w:val="231F1F"/>
          <w:spacing w:val="40"/>
          <w:w w:val="105"/>
        </w:rPr>
        <w:t> </w:t>
      </w:r>
      <w:r>
        <w:rPr>
          <w:color w:val="231F1F"/>
          <w:w w:val="105"/>
        </w:rPr>
        <w:t>periné):</w:t>
      </w:r>
      <w:r>
        <w:rPr>
          <w:color w:val="231F1F"/>
          <w:spacing w:val="40"/>
          <w:w w:val="105"/>
        </w:rPr>
        <w:t> </w:t>
      </w:r>
      <w:r>
        <w:rPr>
          <w:color w:val="231F1F"/>
          <w:w w:val="105"/>
        </w:rPr>
        <w:t>RR</w:t>
      </w:r>
      <w:r>
        <w:rPr>
          <w:color w:val="231F1F"/>
          <w:spacing w:val="40"/>
          <w:w w:val="105"/>
        </w:rPr>
        <w:t> </w:t>
      </w:r>
      <w:r>
        <w:rPr>
          <w:color w:val="231F1F"/>
          <w:w w:val="105"/>
        </w:rPr>
        <w:t>1,79</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1,02</w:t>
      </w:r>
      <w:r>
        <w:rPr>
          <w:color w:val="231F1F"/>
          <w:spacing w:val="40"/>
          <w:w w:val="105"/>
        </w:rPr>
        <w:t> </w:t>
      </w:r>
      <w:r>
        <w:rPr>
          <w:color w:val="231F1F"/>
          <w:w w:val="105"/>
        </w:rPr>
        <w:t>a</w:t>
      </w:r>
      <w:r>
        <w:rPr>
          <w:color w:val="231F1F"/>
          <w:spacing w:val="40"/>
          <w:w w:val="105"/>
        </w:rPr>
        <w:t> </w:t>
      </w:r>
      <w:r>
        <w:rPr>
          <w:color w:val="231F1F"/>
          <w:w w:val="105"/>
        </w:rPr>
        <w:t>2,78].</w:t>
      </w:r>
    </w:p>
    <w:p>
      <w:pPr>
        <w:pStyle w:val="BodyText"/>
        <w:spacing w:line="249" w:lineRule="auto" w:before="33"/>
        <w:ind w:left="283" w:firstLine="453"/>
        <w:jc w:val="both"/>
      </w:pPr>
      <w:r>
        <w:rPr>
          <w:color w:val="231F1F"/>
          <w:w w:val="105"/>
        </w:rPr>
        <w:t>Otro estudio incluido por NICE es un ensayo clínico cuasi-experimental realizado en Austria (149) con un total de 1.076 mujeres. El objetivo del es- tudio</w:t>
      </w:r>
      <w:r>
        <w:rPr>
          <w:color w:val="231F1F"/>
          <w:spacing w:val="30"/>
          <w:w w:val="105"/>
        </w:rPr>
        <w:t> </w:t>
      </w:r>
      <w:r>
        <w:rPr>
          <w:color w:val="231F1F"/>
          <w:w w:val="105"/>
        </w:rPr>
        <w:t>era</w:t>
      </w:r>
      <w:r>
        <w:rPr>
          <w:color w:val="231F1F"/>
          <w:spacing w:val="30"/>
          <w:w w:val="105"/>
        </w:rPr>
        <w:t> </w:t>
      </w:r>
      <w:r>
        <w:rPr>
          <w:color w:val="231F1F"/>
          <w:w w:val="105"/>
        </w:rPr>
        <w:t>comparar</w:t>
      </w:r>
      <w:r>
        <w:rPr>
          <w:color w:val="231F1F"/>
          <w:spacing w:val="30"/>
          <w:w w:val="105"/>
        </w:rPr>
        <w:t> </w:t>
      </w:r>
      <w:r>
        <w:rPr>
          <w:color w:val="231F1F"/>
          <w:w w:val="105"/>
        </w:rPr>
        <w:t>una</w:t>
      </w:r>
      <w:r>
        <w:rPr>
          <w:color w:val="231F1F"/>
          <w:spacing w:val="30"/>
          <w:w w:val="105"/>
        </w:rPr>
        <w:t> </w:t>
      </w:r>
      <w:r>
        <w:rPr>
          <w:color w:val="231F1F"/>
          <w:w w:val="105"/>
        </w:rPr>
        <w:t>técnica</w:t>
      </w:r>
      <w:r>
        <w:rPr>
          <w:color w:val="231F1F"/>
          <w:spacing w:val="31"/>
          <w:w w:val="105"/>
        </w:rPr>
        <w:t> </w:t>
      </w:r>
      <w:r>
        <w:rPr>
          <w:color w:val="231F1F"/>
          <w:w w:val="105"/>
        </w:rPr>
        <w:t>donde</w:t>
      </w:r>
      <w:r>
        <w:rPr>
          <w:color w:val="231F1F"/>
          <w:spacing w:val="30"/>
          <w:w w:val="105"/>
        </w:rPr>
        <w:t> </w:t>
      </w:r>
      <w:r>
        <w:rPr>
          <w:color w:val="231F1F"/>
          <w:w w:val="105"/>
        </w:rPr>
        <w:t>una</w:t>
      </w:r>
      <w:r>
        <w:rPr>
          <w:color w:val="231F1F"/>
          <w:spacing w:val="30"/>
          <w:w w:val="105"/>
        </w:rPr>
        <w:t> </w:t>
      </w:r>
      <w:r>
        <w:rPr>
          <w:color w:val="231F1F"/>
          <w:w w:val="105"/>
        </w:rPr>
        <w:t>mano</w:t>
      </w:r>
      <w:r>
        <w:rPr>
          <w:color w:val="231F1F"/>
          <w:spacing w:val="31"/>
          <w:w w:val="105"/>
        </w:rPr>
        <w:t> </w:t>
      </w:r>
      <w:r>
        <w:rPr>
          <w:color w:val="231F1F"/>
          <w:w w:val="105"/>
        </w:rPr>
        <w:t>controlaba</w:t>
      </w:r>
      <w:r>
        <w:rPr>
          <w:color w:val="231F1F"/>
          <w:spacing w:val="30"/>
          <w:w w:val="105"/>
        </w:rPr>
        <w:t> </w:t>
      </w:r>
      <w:r>
        <w:rPr>
          <w:color w:val="231F1F"/>
          <w:w w:val="105"/>
        </w:rPr>
        <w:t>la</w:t>
      </w:r>
      <w:r>
        <w:rPr>
          <w:color w:val="231F1F"/>
          <w:spacing w:val="30"/>
          <w:w w:val="105"/>
        </w:rPr>
        <w:t> </w:t>
      </w:r>
      <w:r>
        <w:rPr>
          <w:color w:val="231F1F"/>
          <w:w w:val="105"/>
        </w:rPr>
        <w:t>deflexión</w:t>
      </w:r>
      <w:r>
        <w:rPr>
          <w:color w:val="231F1F"/>
          <w:spacing w:val="30"/>
          <w:w w:val="105"/>
        </w:rPr>
        <w:t> </w:t>
      </w:r>
      <w:r>
        <w:rPr>
          <w:color w:val="231F1F"/>
          <w:w w:val="105"/>
        </w:rPr>
        <w:t>de la cabeza y la otra protegía el periné vs técnica donde las manos se mantienen preparadas</w:t>
      </w:r>
      <w:r>
        <w:rPr>
          <w:color w:val="231F1F"/>
          <w:spacing w:val="40"/>
          <w:w w:val="105"/>
        </w:rPr>
        <w:t> </w:t>
      </w:r>
      <w:r>
        <w:rPr>
          <w:color w:val="231F1F"/>
          <w:w w:val="105"/>
        </w:rPr>
        <w:t>pero</w:t>
      </w:r>
      <w:r>
        <w:rPr>
          <w:color w:val="231F1F"/>
          <w:spacing w:val="40"/>
          <w:w w:val="105"/>
        </w:rPr>
        <w:t> </w:t>
      </w:r>
      <w:r>
        <w:rPr>
          <w:color w:val="231F1F"/>
          <w:w w:val="105"/>
        </w:rPr>
        <w:t>ninguna</w:t>
      </w:r>
      <w:r>
        <w:rPr>
          <w:color w:val="231F1F"/>
          <w:spacing w:val="40"/>
          <w:w w:val="105"/>
        </w:rPr>
        <w:t> </w:t>
      </w:r>
      <w:r>
        <w:rPr>
          <w:color w:val="231F1F"/>
          <w:w w:val="105"/>
        </w:rPr>
        <w:t>toca</w:t>
      </w:r>
      <w:r>
        <w:rPr>
          <w:color w:val="231F1F"/>
          <w:spacing w:val="40"/>
          <w:w w:val="105"/>
        </w:rPr>
        <w:t> </w:t>
      </w:r>
      <w:r>
        <w:rPr>
          <w:color w:val="231F1F"/>
          <w:w w:val="105"/>
        </w:rPr>
        <w:t>ni</w:t>
      </w:r>
      <w:r>
        <w:rPr>
          <w:color w:val="231F1F"/>
          <w:spacing w:val="40"/>
          <w:w w:val="105"/>
        </w:rPr>
        <w:t> </w:t>
      </w:r>
      <w:r>
        <w:rPr>
          <w:color w:val="231F1F"/>
          <w:w w:val="105"/>
        </w:rPr>
        <w:t>la</w:t>
      </w:r>
      <w:r>
        <w:rPr>
          <w:color w:val="231F1F"/>
          <w:spacing w:val="40"/>
          <w:w w:val="105"/>
        </w:rPr>
        <w:t> </w:t>
      </w:r>
      <w:r>
        <w:rPr>
          <w:color w:val="231F1F"/>
          <w:w w:val="105"/>
        </w:rPr>
        <w:t>cabeza</w:t>
      </w:r>
      <w:r>
        <w:rPr>
          <w:color w:val="231F1F"/>
          <w:spacing w:val="40"/>
          <w:w w:val="105"/>
        </w:rPr>
        <w:t> </w:t>
      </w:r>
      <w:r>
        <w:rPr>
          <w:color w:val="231F1F"/>
          <w:w w:val="105"/>
        </w:rPr>
        <w:t>fetal</w:t>
      </w:r>
      <w:r>
        <w:rPr>
          <w:color w:val="231F1F"/>
          <w:spacing w:val="40"/>
          <w:w w:val="105"/>
        </w:rPr>
        <w:t> </w:t>
      </w:r>
      <w:r>
        <w:rPr>
          <w:color w:val="231F1F"/>
          <w:w w:val="105"/>
        </w:rPr>
        <w:t>ni</w:t>
      </w:r>
      <w:r>
        <w:rPr>
          <w:color w:val="231F1F"/>
          <w:spacing w:val="40"/>
          <w:w w:val="105"/>
        </w:rPr>
        <w:t> </w:t>
      </w:r>
      <w:r>
        <w:rPr>
          <w:color w:val="231F1F"/>
          <w:w w:val="105"/>
        </w:rPr>
        <w:t>el</w:t>
      </w:r>
      <w:r>
        <w:rPr>
          <w:color w:val="231F1F"/>
          <w:spacing w:val="40"/>
          <w:w w:val="105"/>
        </w:rPr>
        <w:t> </w:t>
      </w:r>
      <w:r>
        <w:rPr>
          <w:color w:val="231F1F"/>
          <w:w w:val="105"/>
        </w:rPr>
        <w:t>periné.</w:t>
      </w:r>
    </w:p>
    <w:p>
      <w:pPr>
        <w:pStyle w:val="BodyText"/>
        <w:spacing w:line="249" w:lineRule="auto" w:before="71"/>
        <w:ind w:left="283" w:firstLine="453"/>
        <w:jc w:val="both"/>
      </w:pPr>
      <w:r>
        <w:rPr>
          <w:color w:val="231F1F"/>
          <w:w w:val="105"/>
        </w:rPr>
        <w:t>Las tasas de desgarro de primer y segundo grado fueron similares en los dos grupos de intervención: manos en periné: 29,8% vs manos que no tocan</w:t>
      </w:r>
      <w:r>
        <w:rPr>
          <w:color w:val="231F1F"/>
          <w:spacing w:val="80"/>
          <w:w w:val="105"/>
        </w:rPr>
        <w:t> </w:t>
      </w:r>
      <w:r>
        <w:rPr>
          <w:color w:val="231F1F"/>
          <w:w w:val="105"/>
        </w:rPr>
        <w:t>el periné: 33,7%, sin diferencias significativas. Sin embargo, la tasa de desga- rro</w:t>
      </w:r>
      <w:r>
        <w:rPr>
          <w:color w:val="231F1F"/>
          <w:w w:val="105"/>
        </w:rPr>
        <w:t> de</w:t>
      </w:r>
      <w:r>
        <w:rPr>
          <w:color w:val="231F1F"/>
          <w:w w:val="105"/>
        </w:rPr>
        <w:t> tercer</w:t>
      </w:r>
      <w:r>
        <w:rPr>
          <w:color w:val="231F1F"/>
          <w:w w:val="105"/>
        </w:rPr>
        <w:t> grado</w:t>
      </w:r>
      <w:r>
        <w:rPr>
          <w:color w:val="231F1F"/>
          <w:w w:val="105"/>
        </w:rPr>
        <w:t> fue</w:t>
      </w:r>
      <w:r>
        <w:rPr>
          <w:color w:val="231F1F"/>
          <w:w w:val="105"/>
        </w:rPr>
        <w:t> mayor</w:t>
      </w:r>
      <w:r>
        <w:rPr>
          <w:color w:val="231F1F"/>
          <w:w w:val="105"/>
        </w:rPr>
        <w:t> en</w:t>
      </w:r>
      <w:r>
        <w:rPr>
          <w:color w:val="231F1F"/>
          <w:w w:val="105"/>
        </w:rPr>
        <w:t> el grupo</w:t>
      </w:r>
      <w:r>
        <w:rPr>
          <w:color w:val="231F1F"/>
          <w:w w:val="105"/>
        </w:rPr>
        <w:t> que</w:t>
      </w:r>
      <w:r>
        <w:rPr>
          <w:color w:val="231F1F"/>
          <w:w w:val="105"/>
        </w:rPr>
        <w:t> posicionaba</w:t>
      </w:r>
      <w:r>
        <w:rPr>
          <w:color w:val="231F1F"/>
          <w:w w:val="105"/>
        </w:rPr>
        <w:t> las</w:t>
      </w:r>
      <w:r>
        <w:rPr>
          <w:color w:val="231F1F"/>
          <w:w w:val="105"/>
        </w:rPr>
        <w:t> manos</w:t>
      </w:r>
      <w:r>
        <w:rPr>
          <w:color w:val="231F1F"/>
          <w:w w:val="105"/>
        </w:rPr>
        <w:t> prote- giendo</w:t>
      </w:r>
      <w:r>
        <w:rPr>
          <w:color w:val="231F1F"/>
          <w:w w:val="105"/>
        </w:rPr>
        <w:t> el</w:t>
      </w:r>
      <w:r>
        <w:rPr>
          <w:color w:val="231F1F"/>
          <w:w w:val="105"/>
        </w:rPr>
        <w:t> periné:</w:t>
      </w:r>
      <w:r>
        <w:rPr>
          <w:color w:val="231F1F"/>
          <w:w w:val="105"/>
        </w:rPr>
        <w:t> n=16</w:t>
      </w:r>
      <w:r>
        <w:rPr>
          <w:color w:val="231F1F"/>
          <w:w w:val="105"/>
        </w:rPr>
        <w:t> (2,7%)</w:t>
      </w:r>
      <w:r>
        <w:rPr>
          <w:color w:val="231F1F"/>
          <w:w w:val="105"/>
        </w:rPr>
        <w:t> vs</w:t>
      </w:r>
      <w:r>
        <w:rPr>
          <w:color w:val="231F1F"/>
          <w:w w:val="105"/>
        </w:rPr>
        <w:t> n=5</w:t>
      </w:r>
      <w:r>
        <w:rPr>
          <w:color w:val="231F1F"/>
          <w:w w:val="105"/>
        </w:rPr>
        <w:t> (0,9%),</w:t>
      </w:r>
      <w:r>
        <w:rPr>
          <w:color w:val="231F1F"/>
          <w:w w:val="105"/>
        </w:rPr>
        <w:t> aunque</w:t>
      </w:r>
      <w:r>
        <w:rPr>
          <w:color w:val="231F1F"/>
          <w:w w:val="105"/>
        </w:rPr>
        <w:t> el</w:t>
      </w:r>
      <w:r>
        <w:rPr>
          <w:color w:val="231F1F"/>
          <w:w w:val="105"/>
        </w:rPr>
        <w:t> estudio</w:t>
      </w:r>
      <w:r>
        <w:rPr>
          <w:color w:val="231F1F"/>
          <w:w w:val="105"/>
        </w:rPr>
        <w:t> no</w:t>
      </w:r>
      <w:r>
        <w:rPr>
          <w:color w:val="231F1F"/>
          <w:w w:val="105"/>
        </w:rPr>
        <w:t> tenía</w:t>
      </w:r>
      <w:r>
        <w:rPr>
          <w:color w:val="231F1F"/>
          <w:w w:val="105"/>
        </w:rPr>
        <w:t> el suficiente poder estadístico como para detectar diferencias de este evento tan poco</w:t>
      </w:r>
      <w:r>
        <w:rPr>
          <w:color w:val="231F1F"/>
          <w:w w:val="105"/>
        </w:rPr>
        <w:t> frecuente.</w:t>
      </w:r>
      <w:r>
        <w:rPr>
          <w:color w:val="231F1F"/>
          <w:w w:val="105"/>
        </w:rPr>
        <w:t> La</w:t>
      </w:r>
      <w:r>
        <w:rPr>
          <w:color w:val="231F1F"/>
          <w:w w:val="105"/>
        </w:rPr>
        <w:t> tasa</w:t>
      </w:r>
      <w:r>
        <w:rPr>
          <w:color w:val="231F1F"/>
          <w:w w:val="105"/>
        </w:rPr>
        <w:t> de</w:t>
      </w:r>
      <w:r>
        <w:rPr>
          <w:color w:val="231F1F"/>
          <w:w w:val="105"/>
        </w:rPr>
        <w:t> episiotomía</w:t>
      </w:r>
      <w:r>
        <w:rPr>
          <w:color w:val="231F1F"/>
          <w:w w:val="105"/>
        </w:rPr>
        <w:t> también</w:t>
      </w:r>
      <w:r>
        <w:rPr>
          <w:color w:val="231F1F"/>
          <w:w w:val="105"/>
        </w:rPr>
        <w:t> fue</w:t>
      </w:r>
      <w:r>
        <w:rPr>
          <w:color w:val="231F1F"/>
          <w:w w:val="105"/>
        </w:rPr>
        <w:t> mayor</w:t>
      </w:r>
      <w:r>
        <w:rPr>
          <w:color w:val="231F1F"/>
          <w:w w:val="105"/>
        </w:rPr>
        <w:t> en</w:t>
      </w:r>
      <w:r>
        <w:rPr>
          <w:color w:val="231F1F"/>
          <w:w w:val="105"/>
        </w:rPr>
        <w:t> este</w:t>
      </w:r>
      <w:r>
        <w:rPr>
          <w:color w:val="231F1F"/>
          <w:w w:val="105"/>
        </w:rPr>
        <w:t> grupo</w:t>
      </w:r>
      <w:r>
        <w:rPr>
          <w:color w:val="231F1F"/>
          <w:w w:val="105"/>
        </w:rPr>
        <w:t> de mujeres: 17,9% vs 10,1%, p&lt;0,01. Por otro lado, no hubo diferencias signifi- cativas</w:t>
      </w:r>
      <w:r>
        <w:rPr>
          <w:color w:val="231F1F"/>
          <w:spacing w:val="19"/>
          <w:w w:val="105"/>
        </w:rPr>
        <w:t> </w:t>
      </w:r>
      <w:r>
        <w:rPr>
          <w:color w:val="231F1F"/>
          <w:w w:val="105"/>
        </w:rPr>
        <w:t>en</w:t>
      </w:r>
      <w:r>
        <w:rPr>
          <w:color w:val="231F1F"/>
          <w:spacing w:val="19"/>
          <w:w w:val="105"/>
        </w:rPr>
        <w:t> </w:t>
      </w:r>
      <w:r>
        <w:rPr>
          <w:color w:val="231F1F"/>
          <w:w w:val="105"/>
        </w:rPr>
        <w:t>el</w:t>
      </w:r>
      <w:r>
        <w:rPr>
          <w:color w:val="231F1F"/>
          <w:spacing w:val="19"/>
          <w:w w:val="105"/>
        </w:rPr>
        <w:t> </w:t>
      </w:r>
      <w:r>
        <w:rPr>
          <w:color w:val="231F1F"/>
          <w:w w:val="105"/>
        </w:rPr>
        <w:t>trauma</w:t>
      </w:r>
      <w:r>
        <w:rPr>
          <w:color w:val="231F1F"/>
          <w:spacing w:val="19"/>
          <w:w w:val="105"/>
        </w:rPr>
        <w:t> </w:t>
      </w:r>
      <w:r>
        <w:rPr>
          <w:color w:val="231F1F"/>
          <w:w w:val="105"/>
        </w:rPr>
        <w:t>labial</w:t>
      </w:r>
      <w:r>
        <w:rPr>
          <w:color w:val="231F1F"/>
          <w:spacing w:val="18"/>
          <w:w w:val="105"/>
        </w:rPr>
        <w:t> </w:t>
      </w:r>
      <w:r>
        <w:rPr>
          <w:color w:val="231F1F"/>
          <w:w w:val="105"/>
        </w:rPr>
        <w:t>y</w:t>
      </w:r>
      <w:r>
        <w:rPr>
          <w:color w:val="231F1F"/>
          <w:spacing w:val="19"/>
          <w:w w:val="105"/>
        </w:rPr>
        <w:t> </w:t>
      </w:r>
      <w:r>
        <w:rPr>
          <w:color w:val="231F1F"/>
          <w:w w:val="105"/>
        </w:rPr>
        <w:t>vaginal,</w:t>
      </w:r>
      <w:r>
        <w:rPr>
          <w:color w:val="231F1F"/>
          <w:spacing w:val="18"/>
          <w:w w:val="105"/>
        </w:rPr>
        <w:t> </w:t>
      </w:r>
      <w:r>
        <w:rPr>
          <w:color w:val="231F1F"/>
          <w:w w:val="105"/>
        </w:rPr>
        <w:t>duración</w:t>
      </w:r>
      <w:r>
        <w:rPr>
          <w:color w:val="231F1F"/>
          <w:spacing w:val="18"/>
          <w:w w:val="105"/>
        </w:rPr>
        <w:t> </w:t>
      </w:r>
      <w:r>
        <w:rPr>
          <w:color w:val="231F1F"/>
          <w:w w:val="105"/>
        </w:rPr>
        <w:t>de</w:t>
      </w:r>
      <w:r>
        <w:rPr>
          <w:color w:val="231F1F"/>
          <w:spacing w:val="19"/>
          <w:w w:val="105"/>
        </w:rPr>
        <w:t> </w:t>
      </w:r>
      <w:r>
        <w:rPr>
          <w:color w:val="231F1F"/>
          <w:w w:val="105"/>
        </w:rPr>
        <w:t>la</w:t>
      </w:r>
      <w:r>
        <w:rPr>
          <w:color w:val="231F1F"/>
          <w:spacing w:val="19"/>
          <w:w w:val="105"/>
        </w:rPr>
        <w:t> </w:t>
      </w:r>
      <w:r>
        <w:rPr>
          <w:color w:val="231F1F"/>
          <w:w w:val="105"/>
        </w:rPr>
        <w:t>segunda</w:t>
      </w:r>
      <w:r>
        <w:rPr>
          <w:color w:val="231F1F"/>
          <w:spacing w:val="18"/>
          <w:w w:val="105"/>
        </w:rPr>
        <w:t> </w:t>
      </w:r>
      <w:r>
        <w:rPr>
          <w:color w:val="231F1F"/>
          <w:w w:val="105"/>
        </w:rPr>
        <w:t>etapa</w:t>
      </w:r>
      <w:r>
        <w:rPr>
          <w:color w:val="231F1F"/>
          <w:spacing w:val="19"/>
          <w:w w:val="105"/>
        </w:rPr>
        <w:t> </w:t>
      </w:r>
      <w:r>
        <w:rPr>
          <w:color w:val="231F1F"/>
          <w:w w:val="105"/>
        </w:rPr>
        <w:t>del</w:t>
      </w:r>
      <w:r>
        <w:rPr>
          <w:color w:val="231F1F"/>
          <w:spacing w:val="18"/>
          <w:w w:val="105"/>
        </w:rPr>
        <w:t> </w:t>
      </w:r>
      <w:r>
        <w:rPr>
          <w:color w:val="231F1F"/>
          <w:w w:val="105"/>
        </w:rPr>
        <w:t>parto o</w:t>
      </w:r>
      <w:r>
        <w:rPr>
          <w:color w:val="231F1F"/>
          <w:spacing w:val="40"/>
          <w:w w:val="105"/>
        </w:rPr>
        <w:t> </w:t>
      </w:r>
      <w:r>
        <w:rPr>
          <w:color w:val="231F1F"/>
          <w:w w:val="105"/>
        </w:rPr>
        <w:t>extracción</w:t>
      </w:r>
      <w:r>
        <w:rPr>
          <w:color w:val="231F1F"/>
          <w:spacing w:val="40"/>
          <w:w w:val="105"/>
        </w:rPr>
        <w:t> </w:t>
      </w:r>
      <w:r>
        <w:rPr>
          <w:color w:val="231F1F"/>
          <w:w w:val="105"/>
        </w:rPr>
        <w:t>manual</w:t>
      </w:r>
      <w:r>
        <w:rPr>
          <w:color w:val="231F1F"/>
          <w:spacing w:val="40"/>
          <w:w w:val="105"/>
        </w:rPr>
        <w:t> </w:t>
      </w:r>
      <w:r>
        <w:rPr>
          <w:color w:val="231F1F"/>
          <w:w w:val="105"/>
        </w:rPr>
        <w:t>de</w:t>
      </w:r>
      <w:r>
        <w:rPr>
          <w:color w:val="231F1F"/>
          <w:spacing w:val="40"/>
          <w:w w:val="105"/>
        </w:rPr>
        <w:t> </w:t>
      </w:r>
      <w:r>
        <w:rPr>
          <w:color w:val="231F1F"/>
          <w:w w:val="105"/>
        </w:rPr>
        <w:t>placenta,</w:t>
      </w:r>
      <w:r>
        <w:rPr>
          <w:color w:val="231F1F"/>
          <w:spacing w:val="40"/>
          <w:w w:val="105"/>
        </w:rPr>
        <w:t> </w:t>
      </w:r>
      <w:r>
        <w:rPr>
          <w:color w:val="231F1F"/>
          <w:w w:val="105"/>
        </w:rPr>
        <w:t>ni</w:t>
      </w:r>
      <w:r>
        <w:rPr>
          <w:color w:val="231F1F"/>
          <w:spacing w:val="40"/>
          <w:w w:val="105"/>
        </w:rPr>
        <w:t> </w:t>
      </w:r>
      <w:r>
        <w:rPr>
          <w:color w:val="231F1F"/>
          <w:w w:val="105"/>
        </w:rPr>
        <w:t>en</w:t>
      </w:r>
      <w:r>
        <w:rPr>
          <w:color w:val="231F1F"/>
          <w:spacing w:val="40"/>
          <w:w w:val="105"/>
        </w:rPr>
        <w:t> </w:t>
      </w:r>
      <w:r>
        <w:rPr>
          <w:color w:val="231F1F"/>
          <w:w w:val="105"/>
        </w:rPr>
        <w:t>los</w:t>
      </w:r>
      <w:r>
        <w:rPr>
          <w:color w:val="231F1F"/>
          <w:spacing w:val="40"/>
          <w:w w:val="105"/>
        </w:rPr>
        <w:t> </w:t>
      </w:r>
      <w:r>
        <w:rPr>
          <w:color w:val="231F1F"/>
          <w:w w:val="105"/>
        </w:rPr>
        <w:t>resultados</w:t>
      </w:r>
      <w:r>
        <w:rPr>
          <w:color w:val="231F1F"/>
          <w:spacing w:val="40"/>
          <w:w w:val="105"/>
        </w:rPr>
        <w:t> </w:t>
      </w:r>
      <w:r>
        <w:rPr>
          <w:color w:val="231F1F"/>
          <w:w w:val="105"/>
        </w:rPr>
        <w:t>neonatales.</w:t>
      </w:r>
    </w:p>
    <w:p>
      <w:pPr>
        <w:spacing w:line="247" w:lineRule="auto" w:before="72"/>
        <w:ind w:left="283" w:right="1" w:firstLine="453"/>
        <w:jc w:val="both"/>
        <w:rPr>
          <w:sz w:val="22"/>
        </w:rPr>
      </w:pPr>
      <w:r>
        <w:rPr>
          <w:color w:val="231F1F"/>
          <w:w w:val="105"/>
          <w:sz w:val="22"/>
        </w:rPr>
        <w:t>El</w:t>
      </w:r>
      <w:r>
        <w:rPr>
          <w:color w:val="231F1F"/>
          <w:w w:val="105"/>
          <w:sz w:val="22"/>
        </w:rPr>
        <w:t> tercer</w:t>
      </w:r>
      <w:r>
        <w:rPr>
          <w:color w:val="231F1F"/>
          <w:w w:val="105"/>
          <w:sz w:val="22"/>
        </w:rPr>
        <w:t> estudio</w:t>
      </w:r>
      <w:r>
        <w:rPr>
          <w:color w:val="231F1F"/>
          <w:w w:val="105"/>
          <w:sz w:val="22"/>
        </w:rPr>
        <w:t> incluido</w:t>
      </w:r>
      <w:r>
        <w:rPr>
          <w:color w:val="231F1F"/>
          <w:w w:val="105"/>
          <w:sz w:val="22"/>
        </w:rPr>
        <w:t> era</w:t>
      </w:r>
      <w:r>
        <w:rPr>
          <w:color w:val="231F1F"/>
          <w:w w:val="105"/>
          <w:sz w:val="22"/>
        </w:rPr>
        <w:t> un</w:t>
      </w:r>
      <w:r>
        <w:rPr>
          <w:color w:val="231F1F"/>
          <w:w w:val="105"/>
          <w:sz w:val="22"/>
        </w:rPr>
        <w:t> ECA</w:t>
      </w:r>
      <w:r>
        <w:rPr>
          <w:color w:val="231F1F"/>
          <w:w w:val="105"/>
          <w:sz w:val="22"/>
        </w:rPr>
        <w:t> realizado</w:t>
      </w:r>
      <w:r>
        <w:rPr>
          <w:color w:val="231F1F"/>
          <w:w w:val="105"/>
          <w:sz w:val="22"/>
        </w:rPr>
        <w:t> en</w:t>
      </w:r>
      <w:r>
        <w:rPr>
          <w:color w:val="231F1F"/>
          <w:w w:val="105"/>
          <w:sz w:val="22"/>
        </w:rPr>
        <w:t> EEUU</w:t>
      </w:r>
      <w:r>
        <w:rPr>
          <w:color w:val="231F1F"/>
          <w:w w:val="105"/>
          <w:sz w:val="22"/>
        </w:rPr>
        <w:t> (132)</w:t>
      </w:r>
      <w:r>
        <w:rPr>
          <w:color w:val="231F1F"/>
          <w:w w:val="105"/>
          <w:sz w:val="22"/>
        </w:rPr>
        <w:t> en</w:t>
      </w:r>
      <w:r>
        <w:rPr>
          <w:color w:val="231F1F"/>
          <w:w w:val="105"/>
          <w:sz w:val="22"/>
        </w:rPr>
        <w:t> el</w:t>
      </w:r>
      <w:r>
        <w:rPr>
          <w:color w:val="231F1F"/>
          <w:spacing w:val="80"/>
          <w:w w:val="105"/>
          <w:sz w:val="22"/>
        </w:rPr>
        <w:t> </w:t>
      </w:r>
      <w:r>
        <w:rPr>
          <w:color w:val="231F1F"/>
          <w:w w:val="105"/>
          <w:sz w:val="22"/>
        </w:rPr>
        <w:t>año 2005 que comparaba la </w:t>
      </w:r>
      <w:r>
        <w:rPr>
          <w:i/>
          <w:color w:val="231F1F"/>
          <w:w w:val="105"/>
          <w:sz w:val="22"/>
        </w:rPr>
        <w:t>aplicación</w:t>
      </w:r>
      <w:r>
        <w:rPr>
          <w:i/>
          <w:color w:val="231F1F"/>
          <w:spacing w:val="-3"/>
          <w:w w:val="105"/>
          <w:sz w:val="22"/>
        </w:rPr>
        <w:t> </w:t>
      </w:r>
      <w:r>
        <w:rPr>
          <w:i/>
          <w:color w:val="231F1F"/>
          <w:w w:val="105"/>
          <w:sz w:val="22"/>
        </w:rPr>
        <w:t>de</w:t>
      </w:r>
      <w:r>
        <w:rPr>
          <w:i/>
          <w:color w:val="231F1F"/>
          <w:spacing w:val="-3"/>
          <w:w w:val="105"/>
          <w:sz w:val="22"/>
        </w:rPr>
        <w:t> </w:t>
      </w:r>
      <w:r>
        <w:rPr>
          <w:i/>
          <w:color w:val="231F1F"/>
          <w:w w:val="105"/>
          <w:sz w:val="22"/>
        </w:rPr>
        <w:t>compresas</w:t>
      </w:r>
      <w:r>
        <w:rPr>
          <w:i/>
          <w:color w:val="231F1F"/>
          <w:spacing w:val="-2"/>
          <w:w w:val="105"/>
          <w:sz w:val="22"/>
        </w:rPr>
        <w:t> </w:t>
      </w:r>
      <w:r>
        <w:rPr>
          <w:i/>
          <w:color w:val="231F1F"/>
          <w:w w:val="105"/>
          <w:sz w:val="22"/>
        </w:rPr>
        <w:t>calientes</w:t>
      </w:r>
      <w:r>
        <w:rPr>
          <w:i/>
          <w:color w:val="231F1F"/>
          <w:spacing w:val="-3"/>
          <w:w w:val="105"/>
          <w:sz w:val="22"/>
        </w:rPr>
        <w:t> </w:t>
      </w:r>
      <w:r>
        <w:rPr>
          <w:i/>
          <w:color w:val="231F1F"/>
          <w:w w:val="105"/>
          <w:sz w:val="22"/>
        </w:rPr>
        <w:t>y</w:t>
      </w:r>
      <w:r>
        <w:rPr>
          <w:i/>
          <w:color w:val="231F1F"/>
          <w:spacing w:val="-2"/>
          <w:w w:val="105"/>
          <w:sz w:val="22"/>
        </w:rPr>
        <w:t> </w:t>
      </w:r>
      <w:r>
        <w:rPr>
          <w:i/>
          <w:color w:val="231F1F"/>
          <w:w w:val="105"/>
          <w:sz w:val="22"/>
        </w:rPr>
        <w:t>masaje</w:t>
      </w:r>
      <w:r>
        <w:rPr>
          <w:i/>
          <w:color w:val="231F1F"/>
          <w:spacing w:val="-3"/>
          <w:w w:val="105"/>
          <w:sz w:val="22"/>
        </w:rPr>
        <w:t> </w:t>
      </w:r>
      <w:r>
        <w:rPr>
          <w:i/>
          <w:color w:val="231F1F"/>
          <w:w w:val="105"/>
          <w:sz w:val="22"/>
        </w:rPr>
        <w:t>junto </w:t>
      </w:r>
      <w:r>
        <w:rPr>
          <w:i/>
          <w:color w:val="231F1F"/>
          <w:spacing w:val="-2"/>
          <w:w w:val="105"/>
          <w:sz w:val="22"/>
        </w:rPr>
        <w:t>al</w:t>
      </w:r>
      <w:r>
        <w:rPr>
          <w:i/>
          <w:color w:val="231F1F"/>
          <w:spacing w:val="-10"/>
          <w:w w:val="105"/>
          <w:sz w:val="22"/>
        </w:rPr>
        <w:t> </w:t>
      </w:r>
      <w:r>
        <w:rPr>
          <w:i/>
          <w:color w:val="231F1F"/>
          <w:spacing w:val="-2"/>
          <w:w w:val="105"/>
          <w:sz w:val="22"/>
        </w:rPr>
        <w:t>uso</w:t>
      </w:r>
      <w:r>
        <w:rPr>
          <w:i/>
          <w:color w:val="231F1F"/>
          <w:spacing w:val="-10"/>
          <w:w w:val="105"/>
          <w:sz w:val="22"/>
        </w:rPr>
        <w:t> </w:t>
      </w:r>
      <w:r>
        <w:rPr>
          <w:i/>
          <w:color w:val="231F1F"/>
          <w:spacing w:val="-2"/>
          <w:w w:val="105"/>
          <w:sz w:val="22"/>
        </w:rPr>
        <w:t>de</w:t>
      </w:r>
      <w:r>
        <w:rPr>
          <w:i/>
          <w:color w:val="231F1F"/>
          <w:spacing w:val="-10"/>
          <w:w w:val="105"/>
          <w:sz w:val="22"/>
        </w:rPr>
        <w:t> </w:t>
      </w:r>
      <w:r>
        <w:rPr>
          <w:i/>
          <w:color w:val="231F1F"/>
          <w:spacing w:val="-2"/>
          <w:w w:val="105"/>
          <w:sz w:val="22"/>
        </w:rPr>
        <w:t>lubricante</w:t>
      </w:r>
      <w:r>
        <w:rPr>
          <w:i/>
          <w:color w:val="231F1F"/>
          <w:spacing w:val="-9"/>
          <w:w w:val="105"/>
          <w:sz w:val="22"/>
        </w:rPr>
        <w:t> </w:t>
      </w:r>
      <w:r>
        <w:rPr>
          <w:i/>
          <w:color w:val="231F1F"/>
          <w:spacing w:val="-2"/>
          <w:w w:val="105"/>
          <w:sz w:val="22"/>
        </w:rPr>
        <w:t>frente</w:t>
      </w:r>
      <w:r>
        <w:rPr>
          <w:i/>
          <w:color w:val="231F1F"/>
          <w:spacing w:val="-10"/>
          <w:w w:val="105"/>
          <w:sz w:val="22"/>
        </w:rPr>
        <w:t> </w:t>
      </w:r>
      <w:r>
        <w:rPr>
          <w:i/>
          <w:color w:val="231F1F"/>
          <w:spacing w:val="-2"/>
          <w:w w:val="105"/>
          <w:sz w:val="22"/>
        </w:rPr>
        <w:t>a</w:t>
      </w:r>
      <w:r>
        <w:rPr>
          <w:i/>
          <w:color w:val="231F1F"/>
          <w:spacing w:val="-10"/>
          <w:w w:val="105"/>
          <w:sz w:val="22"/>
        </w:rPr>
        <w:t> </w:t>
      </w:r>
      <w:r>
        <w:rPr>
          <w:i/>
          <w:color w:val="231F1F"/>
          <w:spacing w:val="-2"/>
          <w:w w:val="105"/>
          <w:sz w:val="22"/>
        </w:rPr>
        <w:t>técnica</w:t>
      </w:r>
      <w:r>
        <w:rPr>
          <w:i/>
          <w:color w:val="231F1F"/>
          <w:spacing w:val="-9"/>
          <w:w w:val="105"/>
          <w:sz w:val="22"/>
        </w:rPr>
        <w:t> </w:t>
      </w:r>
      <w:r>
        <w:rPr>
          <w:i/>
          <w:color w:val="231F1F"/>
          <w:spacing w:val="-2"/>
          <w:w w:val="105"/>
          <w:sz w:val="22"/>
        </w:rPr>
        <w:t>de</w:t>
      </w:r>
      <w:r>
        <w:rPr>
          <w:i/>
          <w:color w:val="231F1F"/>
          <w:spacing w:val="-10"/>
          <w:w w:val="105"/>
          <w:sz w:val="22"/>
        </w:rPr>
        <w:t> </w:t>
      </w:r>
      <w:r>
        <w:rPr>
          <w:i/>
          <w:color w:val="231F1F"/>
          <w:spacing w:val="-2"/>
          <w:w w:val="105"/>
          <w:sz w:val="22"/>
        </w:rPr>
        <w:t>manos</w:t>
      </w:r>
      <w:r>
        <w:rPr>
          <w:i/>
          <w:color w:val="231F1F"/>
          <w:spacing w:val="-10"/>
          <w:w w:val="105"/>
          <w:sz w:val="22"/>
        </w:rPr>
        <w:t> </w:t>
      </w:r>
      <w:r>
        <w:rPr>
          <w:i/>
          <w:color w:val="231F1F"/>
          <w:spacing w:val="-2"/>
          <w:w w:val="105"/>
          <w:sz w:val="22"/>
        </w:rPr>
        <w:t>preparadas</w:t>
      </w:r>
      <w:r>
        <w:rPr>
          <w:i/>
          <w:color w:val="231F1F"/>
          <w:spacing w:val="-9"/>
          <w:w w:val="105"/>
          <w:sz w:val="22"/>
        </w:rPr>
        <w:t> </w:t>
      </w:r>
      <w:r>
        <w:rPr>
          <w:i/>
          <w:color w:val="231F1F"/>
          <w:spacing w:val="-2"/>
          <w:w w:val="105"/>
          <w:sz w:val="22"/>
        </w:rPr>
        <w:t>sin</w:t>
      </w:r>
      <w:r>
        <w:rPr>
          <w:i/>
          <w:color w:val="231F1F"/>
          <w:spacing w:val="-10"/>
          <w:w w:val="105"/>
          <w:sz w:val="22"/>
        </w:rPr>
        <w:t> </w:t>
      </w:r>
      <w:r>
        <w:rPr>
          <w:i/>
          <w:color w:val="231F1F"/>
          <w:spacing w:val="-2"/>
          <w:w w:val="105"/>
          <w:sz w:val="22"/>
        </w:rPr>
        <w:t>tocar</w:t>
      </w:r>
      <w:r>
        <w:rPr>
          <w:i/>
          <w:color w:val="231F1F"/>
          <w:spacing w:val="-9"/>
          <w:w w:val="105"/>
          <w:sz w:val="22"/>
        </w:rPr>
        <w:t> </w:t>
      </w:r>
      <w:r>
        <w:rPr>
          <w:i/>
          <w:color w:val="231F1F"/>
          <w:spacing w:val="-2"/>
          <w:w w:val="105"/>
          <w:sz w:val="22"/>
        </w:rPr>
        <w:t>el</w:t>
      </w:r>
      <w:r>
        <w:rPr>
          <w:i/>
          <w:color w:val="231F1F"/>
          <w:spacing w:val="-9"/>
          <w:w w:val="105"/>
          <w:sz w:val="22"/>
        </w:rPr>
        <w:t> </w:t>
      </w:r>
      <w:r>
        <w:rPr>
          <w:i/>
          <w:color w:val="231F1F"/>
          <w:spacing w:val="-2"/>
          <w:w w:val="105"/>
          <w:sz w:val="22"/>
        </w:rPr>
        <w:t>periné</w:t>
      </w:r>
      <w:r>
        <w:rPr>
          <w:color w:val="231F1F"/>
          <w:spacing w:val="-2"/>
          <w:w w:val="105"/>
          <w:sz w:val="22"/>
        </w:rPr>
        <w:t>.</w:t>
      </w:r>
      <w:r>
        <w:rPr>
          <w:color w:val="231F1F"/>
          <w:spacing w:val="11"/>
          <w:w w:val="105"/>
          <w:sz w:val="22"/>
        </w:rPr>
        <w:t> </w:t>
      </w:r>
      <w:r>
        <w:rPr>
          <w:color w:val="231F1F"/>
          <w:spacing w:val="-2"/>
          <w:w w:val="105"/>
          <w:sz w:val="22"/>
        </w:rPr>
        <w:t>El </w:t>
      </w:r>
      <w:r>
        <w:rPr>
          <w:color w:val="231F1F"/>
          <w:w w:val="105"/>
          <w:sz w:val="22"/>
        </w:rPr>
        <w:t>porcentaje</w:t>
      </w:r>
      <w:r>
        <w:rPr>
          <w:color w:val="231F1F"/>
          <w:w w:val="105"/>
          <w:sz w:val="22"/>
        </w:rPr>
        <w:t> de</w:t>
      </w:r>
      <w:r>
        <w:rPr>
          <w:color w:val="231F1F"/>
          <w:w w:val="105"/>
          <w:sz w:val="22"/>
        </w:rPr>
        <w:t> episiotomías</w:t>
      </w:r>
      <w:r>
        <w:rPr>
          <w:color w:val="231F1F"/>
          <w:w w:val="105"/>
          <w:sz w:val="22"/>
        </w:rPr>
        <w:t> realizadas</w:t>
      </w:r>
      <w:r>
        <w:rPr>
          <w:color w:val="231F1F"/>
          <w:w w:val="105"/>
          <w:sz w:val="22"/>
        </w:rPr>
        <w:t> en</w:t>
      </w:r>
      <w:r>
        <w:rPr>
          <w:color w:val="231F1F"/>
          <w:w w:val="105"/>
          <w:sz w:val="22"/>
        </w:rPr>
        <w:t> el</w:t>
      </w:r>
      <w:r>
        <w:rPr>
          <w:color w:val="231F1F"/>
          <w:w w:val="105"/>
          <w:sz w:val="22"/>
        </w:rPr>
        <w:t> estudio</w:t>
      </w:r>
      <w:r>
        <w:rPr>
          <w:color w:val="231F1F"/>
          <w:w w:val="105"/>
          <w:sz w:val="22"/>
        </w:rPr>
        <w:t> fue</w:t>
      </w:r>
      <w:r>
        <w:rPr>
          <w:color w:val="231F1F"/>
          <w:w w:val="105"/>
          <w:sz w:val="22"/>
        </w:rPr>
        <w:t> bajo</w:t>
      </w:r>
      <w:r>
        <w:rPr>
          <w:color w:val="231F1F"/>
          <w:w w:val="105"/>
          <w:sz w:val="22"/>
        </w:rPr>
        <w:t> (0,8%),</w:t>
      </w:r>
      <w:r>
        <w:rPr>
          <w:color w:val="231F1F"/>
          <w:w w:val="105"/>
          <w:sz w:val="22"/>
        </w:rPr>
        <w:t> el</w:t>
      </w:r>
      <w:r>
        <w:rPr>
          <w:color w:val="231F1F"/>
          <w:w w:val="105"/>
          <w:sz w:val="22"/>
        </w:rPr>
        <w:t> 23% (n=278)</w:t>
      </w:r>
      <w:r>
        <w:rPr>
          <w:color w:val="231F1F"/>
          <w:w w:val="105"/>
          <w:sz w:val="22"/>
        </w:rPr>
        <w:t> de</w:t>
      </w:r>
      <w:r>
        <w:rPr>
          <w:color w:val="231F1F"/>
          <w:w w:val="105"/>
          <w:sz w:val="22"/>
        </w:rPr>
        <w:t> las</w:t>
      </w:r>
      <w:r>
        <w:rPr>
          <w:color w:val="231F1F"/>
          <w:w w:val="105"/>
          <w:sz w:val="22"/>
        </w:rPr>
        <w:t> mujeres</w:t>
      </w:r>
      <w:r>
        <w:rPr>
          <w:color w:val="231F1F"/>
          <w:w w:val="105"/>
          <w:sz w:val="22"/>
        </w:rPr>
        <w:t> no</w:t>
      </w:r>
      <w:r>
        <w:rPr>
          <w:color w:val="231F1F"/>
          <w:w w:val="105"/>
          <w:sz w:val="22"/>
        </w:rPr>
        <w:t> presentaron</w:t>
      </w:r>
      <w:r>
        <w:rPr>
          <w:color w:val="231F1F"/>
          <w:w w:val="105"/>
          <w:sz w:val="22"/>
        </w:rPr>
        <w:t> trauma</w:t>
      </w:r>
      <w:r>
        <w:rPr>
          <w:color w:val="231F1F"/>
          <w:w w:val="105"/>
          <w:sz w:val="22"/>
        </w:rPr>
        <w:t> genital,</w:t>
      </w:r>
      <w:r>
        <w:rPr>
          <w:color w:val="231F1F"/>
          <w:w w:val="105"/>
          <w:sz w:val="22"/>
        </w:rPr>
        <w:t> el</w:t>
      </w:r>
      <w:r>
        <w:rPr>
          <w:color w:val="231F1F"/>
          <w:w w:val="105"/>
          <w:sz w:val="22"/>
        </w:rPr>
        <w:t> 20%</w:t>
      </w:r>
      <w:r>
        <w:rPr>
          <w:color w:val="231F1F"/>
          <w:w w:val="105"/>
          <w:sz w:val="22"/>
        </w:rPr>
        <w:t> (n=242)</w:t>
      </w:r>
      <w:r>
        <w:rPr>
          <w:color w:val="231F1F"/>
          <w:w w:val="105"/>
          <w:sz w:val="22"/>
        </w:rPr>
        <w:t> pre- sentó</w:t>
      </w:r>
      <w:r>
        <w:rPr>
          <w:color w:val="231F1F"/>
          <w:w w:val="105"/>
          <w:sz w:val="22"/>
        </w:rPr>
        <w:t> trauma</w:t>
      </w:r>
      <w:r>
        <w:rPr>
          <w:color w:val="231F1F"/>
          <w:w w:val="105"/>
          <w:sz w:val="22"/>
        </w:rPr>
        <w:t> perineal</w:t>
      </w:r>
      <w:r>
        <w:rPr>
          <w:color w:val="231F1F"/>
          <w:w w:val="105"/>
          <w:sz w:val="22"/>
        </w:rPr>
        <w:t> severo</w:t>
      </w:r>
      <w:r>
        <w:rPr>
          <w:color w:val="231F1F"/>
          <w:w w:val="105"/>
          <w:sz w:val="22"/>
        </w:rPr>
        <w:t> (desgarro</w:t>
      </w:r>
      <w:r>
        <w:rPr>
          <w:color w:val="231F1F"/>
          <w:w w:val="105"/>
          <w:sz w:val="22"/>
        </w:rPr>
        <w:t> grado</w:t>
      </w:r>
      <w:r>
        <w:rPr>
          <w:color w:val="231F1F"/>
          <w:w w:val="105"/>
          <w:sz w:val="22"/>
        </w:rPr>
        <w:t> II,</w:t>
      </w:r>
      <w:r>
        <w:rPr>
          <w:color w:val="231F1F"/>
          <w:w w:val="105"/>
          <w:sz w:val="22"/>
        </w:rPr>
        <w:t> III</w:t>
      </w:r>
      <w:r>
        <w:rPr>
          <w:color w:val="231F1F"/>
          <w:w w:val="105"/>
          <w:sz w:val="22"/>
        </w:rPr>
        <w:t> y</w:t>
      </w:r>
      <w:r>
        <w:rPr>
          <w:color w:val="231F1F"/>
          <w:w w:val="105"/>
          <w:sz w:val="22"/>
        </w:rPr>
        <w:t> IV),</w:t>
      </w:r>
      <w:r>
        <w:rPr>
          <w:color w:val="231F1F"/>
          <w:w w:val="105"/>
          <w:sz w:val="22"/>
        </w:rPr>
        <w:t> mientras</w:t>
      </w:r>
      <w:r>
        <w:rPr>
          <w:color w:val="231F1F"/>
          <w:w w:val="105"/>
          <w:sz w:val="22"/>
        </w:rPr>
        <w:t> que</w:t>
      </w:r>
      <w:r>
        <w:rPr>
          <w:color w:val="231F1F"/>
          <w:w w:val="105"/>
          <w:sz w:val="22"/>
        </w:rPr>
        <w:t> el</w:t>
      </w:r>
      <w:r>
        <w:rPr>
          <w:color w:val="231F1F"/>
          <w:spacing w:val="40"/>
          <w:w w:val="105"/>
          <w:sz w:val="22"/>
        </w:rPr>
        <w:t> </w:t>
      </w:r>
      <w:r>
        <w:rPr>
          <w:color w:val="231F1F"/>
          <w:w w:val="105"/>
          <w:sz w:val="22"/>
        </w:rPr>
        <w:t>57%</w:t>
      </w:r>
      <w:r>
        <w:rPr>
          <w:color w:val="231F1F"/>
          <w:spacing w:val="40"/>
          <w:w w:val="105"/>
          <w:sz w:val="22"/>
        </w:rPr>
        <w:t> </w:t>
      </w:r>
      <w:r>
        <w:rPr>
          <w:color w:val="231F1F"/>
          <w:w w:val="105"/>
          <w:sz w:val="22"/>
        </w:rPr>
        <w:t>(n=691)</w:t>
      </w:r>
      <w:r>
        <w:rPr>
          <w:color w:val="231F1F"/>
          <w:spacing w:val="40"/>
          <w:w w:val="105"/>
          <w:sz w:val="22"/>
        </w:rPr>
        <w:t> </w:t>
      </w:r>
      <w:r>
        <w:rPr>
          <w:color w:val="231F1F"/>
          <w:w w:val="105"/>
          <w:sz w:val="22"/>
        </w:rPr>
        <w:t>presentó</w:t>
      </w:r>
      <w:r>
        <w:rPr>
          <w:color w:val="231F1F"/>
          <w:spacing w:val="40"/>
          <w:w w:val="105"/>
          <w:sz w:val="22"/>
        </w:rPr>
        <w:t> </w:t>
      </w:r>
      <w:r>
        <w:rPr>
          <w:color w:val="231F1F"/>
          <w:w w:val="105"/>
          <w:sz w:val="22"/>
        </w:rPr>
        <w:t>trauma</w:t>
      </w:r>
      <w:r>
        <w:rPr>
          <w:color w:val="231F1F"/>
          <w:spacing w:val="40"/>
          <w:w w:val="105"/>
          <w:sz w:val="22"/>
        </w:rPr>
        <w:t> </w:t>
      </w:r>
      <w:r>
        <w:rPr>
          <w:color w:val="231F1F"/>
          <w:w w:val="105"/>
          <w:sz w:val="22"/>
        </w:rPr>
        <w:t>menor</w:t>
      </w:r>
      <w:r>
        <w:rPr>
          <w:color w:val="231F1F"/>
          <w:spacing w:val="40"/>
          <w:w w:val="105"/>
          <w:sz w:val="22"/>
        </w:rPr>
        <w:t> </w:t>
      </w:r>
      <w:r>
        <w:rPr>
          <w:color w:val="231F1F"/>
          <w:w w:val="105"/>
          <w:sz w:val="22"/>
        </w:rPr>
        <w:t>(desgarro</w:t>
      </w:r>
      <w:r>
        <w:rPr>
          <w:color w:val="231F1F"/>
          <w:spacing w:val="40"/>
          <w:w w:val="105"/>
          <w:sz w:val="22"/>
        </w:rPr>
        <w:t> </w:t>
      </w:r>
      <w:r>
        <w:rPr>
          <w:color w:val="231F1F"/>
          <w:w w:val="105"/>
          <w:sz w:val="22"/>
        </w:rPr>
        <w:t>grado</w:t>
      </w:r>
      <w:r>
        <w:rPr>
          <w:color w:val="231F1F"/>
          <w:spacing w:val="40"/>
          <w:w w:val="105"/>
          <w:sz w:val="22"/>
        </w:rPr>
        <w:t> </w:t>
      </w:r>
      <w:r>
        <w:rPr>
          <w:color w:val="231F1F"/>
          <w:w w:val="105"/>
          <w:sz w:val="22"/>
        </w:rPr>
        <w:t>I).</w:t>
      </w:r>
    </w:p>
    <w:p>
      <w:pPr>
        <w:pStyle w:val="BodyText"/>
        <w:spacing w:line="244" w:lineRule="auto" w:before="67"/>
        <w:ind w:left="283" w:right="1" w:firstLine="453"/>
        <w:jc w:val="both"/>
      </w:pPr>
      <w:r>
        <w:rPr>
          <w:color w:val="231F1F"/>
          <w:w w:val="105"/>
        </w:rPr>
        <w:t>Cuando</w:t>
      </w:r>
      <w:r>
        <w:rPr>
          <w:color w:val="231F1F"/>
          <w:w w:val="105"/>
        </w:rPr>
        <w:t> se</w:t>
      </w:r>
      <w:r>
        <w:rPr>
          <w:color w:val="231F1F"/>
          <w:w w:val="105"/>
        </w:rPr>
        <w:t> comparó</w:t>
      </w:r>
      <w:r>
        <w:rPr>
          <w:color w:val="231F1F"/>
          <w:w w:val="105"/>
        </w:rPr>
        <w:t> el</w:t>
      </w:r>
      <w:r>
        <w:rPr>
          <w:color w:val="231F1F"/>
          <w:w w:val="105"/>
        </w:rPr>
        <w:t> uso</w:t>
      </w:r>
      <w:r>
        <w:rPr>
          <w:color w:val="231F1F"/>
          <w:w w:val="105"/>
        </w:rPr>
        <w:t> de</w:t>
      </w:r>
      <w:r>
        <w:rPr>
          <w:color w:val="231F1F"/>
          <w:w w:val="105"/>
        </w:rPr>
        <w:t> </w:t>
      </w:r>
      <w:r>
        <w:rPr>
          <w:i/>
          <w:color w:val="231F1F"/>
          <w:w w:val="105"/>
        </w:rPr>
        <w:t>compresas calientes vs técnica de manos que</w:t>
      </w:r>
      <w:r>
        <w:rPr>
          <w:i/>
          <w:color w:val="231F1F"/>
          <w:spacing w:val="-15"/>
          <w:w w:val="105"/>
        </w:rPr>
        <w:t> </w:t>
      </w:r>
      <w:r>
        <w:rPr>
          <w:i/>
          <w:color w:val="231F1F"/>
          <w:w w:val="105"/>
        </w:rPr>
        <w:t>se</w:t>
      </w:r>
      <w:r>
        <w:rPr>
          <w:i/>
          <w:color w:val="231F1F"/>
          <w:spacing w:val="-14"/>
          <w:w w:val="105"/>
        </w:rPr>
        <w:t> </w:t>
      </w:r>
      <w:r>
        <w:rPr>
          <w:i/>
          <w:color w:val="231F1F"/>
          <w:w w:val="105"/>
        </w:rPr>
        <w:t>mantienen</w:t>
      </w:r>
      <w:r>
        <w:rPr>
          <w:i/>
          <w:color w:val="231F1F"/>
          <w:spacing w:val="-15"/>
          <w:w w:val="105"/>
        </w:rPr>
        <w:t> </w:t>
      </w:r>
      <w:r>
        <w:rPr>
          <w:i/>
          <w:color w:val="231F1F"/>
          <w:w w:val="105"/>
        </w:rPr>
        <w:t>preparadas</w:t>
      </w:r>
      <w:r>
        <w:rPr>
          <w:i/>
          <w:color w:val="231F1F"/>
          <w:spacing w:val="-14"/>
          <w:w w:val="105"/>
        </w:rPr>
        <w:t> </w:t>
      </w:r>
      <w:r>
        <w:rPr>
          <w:color w:val="231F1F"/>
          <w:w w:val="105"/>
        </w:rPr>
        <w:t>pero</w:t>
      </w:r>
      <w:r>
        <w:rPr>
          <w:color w:val="231F1F"/>
          <w:spacing w:val="-1"/>
          <w:w w:val="105"/>
        </w:rPr>
        <w:t> </w:t>
      </w:r>
      <w:r>
        <w:rPr>
          <w:color w:val="231F1F"/>
          <w:w w:val="105"/>
        </w:rPr>
        <w:t>no tocan ni cabeza ni periné, las diferencias no fueron significativas: RR 1,04 [IC 95% 0,81 a 1,35], y el tiempo medio de uso</w:t>
      </w:r>
      <w:r>
        <w:rPr>
          <w:color w:val="231F1F"/>
          <w:w w:val="105"/>
        </w:rPr>
        <w:t> de</w:t>
      </w:r>
      <w:r>
        <w:rPr>
          <w:color w:val="231F1F"/>
          <w:w w:val="105"/>
        </w:rPr>
        <w:t> compresas</w:t>
      </w:r>
      <w:r>
        <w:rPr>
          <w:color w:val="231F1F"/>
          <w:w w:val="105"/>
        </w:rPr>
        <w:t> fue</w:t>
      </w:r>
      <w:r>
        <w:rPr>
          <w:color w:val="231F1F"/>
          <w:w w:val="105"/>
        </w:rPr>
        <w:t> de</w:t>
      </w:r>
      <w:r>
        <w:rPr>
          <w:color w:val="231F1F"/>
          <w:w w:val="105"/>
        </w:rPr>
        <w:t> 17,8</w:t>
      </w:r>
      <w:r>
        <w:rPr>
          <w:color w:val="231F1F"/>
          <w:w w:val="105"/>
        </w:rPr>
        <w:t> minutos</w:t>
      </w:r>
      <w:r>
        <w:rPr>
          <w:color w:val="231F1F"/>
          <w:w w:val="105"/>
        </w:rPr>
        <w:t> en</w:t>
      </w:r>
      <w:r>
        <w:rPr>
          <w:color w:val="231F1F"/>
          <w:w w:val="105"/>
        </w:rPr>
        <w:t> las</w:t>
      </w:r>
      <w:r>
        <w:rPr>
          <w:color w:val="231F1F"/>
          <w:w w:val="105"/>
        </w:rPr>
        <w:t> mujeres</w:t>
      </w:r>
      <w:r>
        <w:rPr>
          <w:color w:val="231F1F"/>
          <w:w w:val="105"/>
        </w:rPr>
        <w:t> con</w:t>
      </w:r>
      <w:r>
        <w:rPr>
          <w:color w:val="231F1F"/>
          <w:w w:val="105"/>
        </w:rPr>
        <w:t> trauma</w:t>
      </w:r>
      <w:r>
        <w:rPr>
          <w:color w:val="231F1F"/>
          <w:w w:val="105"/>
        </w:rPr>
        <w:t> perineal frente a 13,4 minutos en mujeres sin trauma, p=0,06.</w:t>
      </w:r>
    </w:p>
    <w:p>
      <w:pPr>
        <w:spacing w:line="244" w:lineRule="auto" w:before="83"/>
        <w:ind w:left="283" w:right="0" w:firstLine="453"/>
        <w:jc w:val="both"/>
        <w:rPr>
          <w:sz w:val="22"/>
        </w:rPr>
      </w:pPr>
      <w:r>
        <w:rPr>
          <w:color w:val="231F1F"/>
          <w:w w:val="105"/>
          <w:sz w:val="22"/>
        </w:rPr>
        <w:t>Lo mismo ocurría al comparar </w:t>
      </w:r>
      <w:r>
        <w:rPr>
          <w:i/>
          <w:color w:val="231F1F"/>
          <w:w w:val="105"/>
          <w:sz w:val="22"/>
        </w:rPr>
        <w:t>el masaje con la técnica de manos que se mantienen</w:t>
      </w:r>
      <w:r>
        <w:rPr>
          <w:i/>
          <w:color w:val="231F1F"/>
          <w:spacing w:val="-15"/>
          <w:w w:val="105"/>
          <w:sz w:val="22"/>
        </w:rPr>
        <w:t> </w:t>
      </w:r>
      <w:r>
        <w:rPr>
          <w:i/>
          <w:color w:val="231F1F"/>
          <w:w w:val="105"/>
          <w:sz w:val="22"/>
        </w:rPr>
        <w:t>preparadas</w:t>
      </w:r>
      <w:r>
        <w:rPr>
          <w:color w:val="231F1F"/>
          <w:w w:val="105"/>
          <w:sz w:val="22"/>
        </w:rPr>
        <w:t>:</w:t>
      </w:r>
      <w:r>
        <w:rPr>
          <w:color w:val="231F1F"/>
          <w:spacing w:val="-11"/>
          <w:w w:val="105"/>
          <w:sz w:val="22"/>
        </w:rPr>
        <w:t> </w:t>
      </w:r>
      <w:r>
        <w:rPr>
          <w:color w:val="231F1F"/>
          <w:w w:val="105"/>
          <w:sz w:val="22"/>
        </w:rPr>
        <w:t>RR</w:t>
      </w:r>
      <w:r>
        <w:rPr>
          <w:color w:val="231F1F"/>
          <w:spacing w:val="-7"/>
          <w:w w:val="105"/>
          <w:sz w:val="22"/>
        </w:rPr>
        <w:t> </w:t>
      </w:r>
      <w:r>
        <w:rPr>
          <w:color w:val="231F1F"/>
          <w:w w:val="105"/>
          <w:sz w:val="22"/>
        </w:rPr>
        <w:t>1,05</w:t>
      </w:r>
      <w:r>
        <w:rPr>
          <w:color w:val="231F1F"/>
          <w:spacing w:val="-8"/>
          <w:w w:val="105"/>
          <w:sz w:val="22"/>
        </w:rPr>
        <w:t> </w:t>
      </w:r>
      <w:r>
        <w:rPr>
          <w:color w:val="231F1F"/>
          <w:w w:val="105"/>
          <w:sz w:val="22"/>
        </w:rPr>
        <w:t>[IC</w:t>
      </w:r>
      <w:r>
        <w:rPr>
          <w:color w:val="231F1F"/>
          <w:spacing w:val="-7"/>
          <w:w w:val="105"/>
          <w:sz w:val="22"/>
        </w:rPr>
        <w:t> </w:t>
      </w:r>
      <w:r>
        <w:rPr>
          <w:color w:val="231F1F"/>
          <w:w w:val="105"/>
          <w:sz w:val="22"/>
        </w:rPr>
        <w:t>95%</w:t>
      </w:r>
      <w:r>
        <w:rPr>
          <w:color w:val="231F1F"/>
          <w:spacing w:val="-7"/>
          <w:w w:val="105"/>
          <w:sz w:val="22"/>
        </w:rPr>
        <w:t> </w:t>
      </w:r>
      <w:r>
        <w:rPr>
          <w:color w:val="231F1F"/>
          <w:w w:val="105"/>
          <w:sz w:val="22"/>
        </w:rPr>
        <w:t>0,81</w:t>
      </w:r>
      <w:r>
        <w:rPr>
          <w:color w:val="231F1F"/>
          <w:spacing w:val="-8"/>
          <w:w w:val="105"/>
          <w:sz w:val="22"/>
        </w:rPr>
        <w:t> </w:t>
      </w:r>
      <w:r>
        <w:rPr>
          <w:color w:val="231F1F"/>
          <w:w w:val="105"/>
          <w:sz w:val="22"/>
        </w:rPr>
        <w:t>a</w:t>
      </w:r>
      <w:r>
        <w:rPr>
          <w:color w:val="231F1F"/>
          <w:spacing w:val="-8"/>
          <w:w w:val="105"/>
          <w:sz w:val="22"/>
        </w:rPr>
        <w:t> </w:t>
      </w:r>
      <w:r>
        <w:rPr>
          <w:color w:val="231F1F"/>
          <w:w w:val="105"/>
          <w:sz w:val="22"/>
        </w:rPr>
        <w:t>1,35],</w:t>
      </w:r>
      <w:r>
        <w:rPr>
          <w:color w:val="231F1F"/>
          <w:spacing w:val="-8"/>
          <w:w w:val="105"/>
          <w:sz w:val="22"/>
        </w:rPr>
        <w:t> </w:t>
      </w:r>
      <w:r>
        <w:rPr>
          <w:color w:val="231F1F"/>
          <w:w w:val="105"/>
          <w:sz w:val="22"/>
        </w:rPr>
        <w:t>con</w:t>
      </w:r>
      <w:r>
        <w:rPr>
          <w:color w:val="231F1F"/>
          <w:spacing w:val="-7"/>
          <w:w w:val="105"/>
          <w:sz w:val="22"/>
        </w:rPr>
        <w:t> </w:t>
      </w:r>
      <w:r>
        <w:rPr>
          <w:color w:val="231F1F"/>
          <w:w w:val="105"/>
          <w:sz w:val="22"/>
        </w:rPr>
        <w:t>un</w:t>
      </w:r>
      <w:r>
        <w:rPr>
          <w:color w:val="231F1F"/>
          <w:spacing w:val="-8"/>
          <w:w w:val="105"/>
          <w:sz w:val="22"/>
        </w:rPr>
        <w:t> </w:t>
      </w:r>
      <w:r>
        <w:rPr>
          <w:color w:val="231F1F"/>
          <w:w w:val="105"/>
          <w:sz w:val="22"/>
        </w:rPr>
        <w:t>tiempo</w:t>
      </w:r>
      <w:r>
        <w:rPr>
          <w:color w:val="231F1F"/>
          <w:spacing w:val="-8"/>
          <w:w w:val="105"/>
          <w:sz w:val="22"/>
        </w:rPr>
        <w:t> </w:t>
      </w:r>
      <w:r>
        <w:rPr>
          <w:color w:val="231F1F"/>
          <w:w w:val="105"/>
          <w:sz w:val="22"/>
        </w:rPr>
        <w:t>medio</w:t>
      </w:r>
      <w:r>
        <w:rPr>
          <w:color w:val="231F1F"/>
          <w:spacing w:val="-7"/>
          <w:w w:val="105"/>
          <w:sz w:val="22"/>
        </w:rPr>
        <w:t> </w:t>
      </w:r>
      <w:r>
        <w:rPr>
          <w:color w:val="231F1F"/>
          <w:w w:val="105"/>
          <w:sz w:val="22"/>
        </w:rPr>
        <w:t>de masaje de 11,6 minutos en mujeres con trauma perineal frente a 5,8 minutos en mujeres sin trauma, p&lt;0,01.</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5"/>
        <w:rPr>
          <w:sz w:val="18"/>
        </w:rPr>
      </w:pPr>
    </w:p>
    <w:p>
      <w:pPr>
        <w:spacing w:line="273" w:lineRule="auto" w:before="0"/>
        <w:ind w:left="521" w:right="517"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2"/>
        <w:rPr>
          <w:rFonts w:ascii="Arial MT"/>
          <w:sz w:val="18"/>
        </w:rPr>
      </w:pPr>
    </w:p>
    <w:p>
      <w:pPr>
        <w:spacing w:line="278" w:lineRule="auto" w:before="1"/>
        <w:ind w:left="87" w:right="0" w:firstLine="176"/>
        <w:jc w:val="left"/>
        <w:rPr>
          <w:rFonts w:ascii="Arial MT"/>
          <w:sz w:val="18"/>
        </w:rPr>
      </w:pPr>
      <w:r>
        <w:rPr>
          <w:rFonts w:ascii="Arial MT"/>
          <w:color w:val="231F1F"/>
          <w:sz w:val="18"/>
        </w:rPr>
        <w:t>E. cuasi- </w:t>
      </w:r>
      <w:r>
        <w:rPr>
          <w:rFonts w:ascii="Arial MT"/>
          <w:color w:val="231F1F"/>
          <w:spacing w:val="-4"/>
          <w:sz w:val="18"/>
        </w:rPr>
        <w:t>experimental</w:t>
      </w:r>
    </w:p>
    <w:p>
      <w:pPr>
        <w:spacing w:line="202" w:lineRule="exact" w:before="0"/>
        <w:ind w:left="521" w:right="0" w:firstLine="0"/>
        <w:jc w:val="left"/>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2"/>
        <w:rPr>
          <w:rFonts w:ascii="Arial MT"/>
          <w:sz w:val="18"/>
        </w:rPr>
      </w:pPr>
    </w:p>
    <w:p>
      <w:pPr>
        <w:spacing w:line="278" w:lineRule="auto" w:before="1"/>
        <w:ind w:left="521" w:right="517"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70"/>
        <w:rPr>
          <w:rFonts w:ascii="Arial MT"/>
          <w:sz w:val="18"/>
        </w:rPr>
      </w:pPr>
    </w:p>
    <w:p>
      <w:pPr>
        <w:spacing w:line="278" w:lineRule="auto" w:before="0"/>
        <w:ind w:left="521" w:right="517" w:hanging="78"/>
        <w:jc w:val="left"/>
        <w:rPr>
          <w:rFonts w:ascii="Arial MT"/>
          <w:sz w:val="18"/>
        </w:rPr>
      </w:pPr>
      <w:r>
        <w:rPr>
          <w:rFonts w:ascii="Arial MT"/>
          <w:color w:val="231F1F"/>
          <w:spacing w:val="-6"/>
          <w:sz w:val="18"/>
        </w:rPr>
        <w:t>ECA 1+</w:t>
      </w:r>
    </w:p>
    <w:p>
      <w:pPr>
        <w:spacing w:after="0" w:line="278" w:lineRule="auto"/>
        <w:jc w:val="left"/>
        <w:rPr>
          <w:rFonts w:ascii="Arial MT"/>
          <w:sz w:val="18"/>
        </w:rPr>
        <w:sectPr>
          <w:pgSz w:w="11900" w:h="16840"/>
          <w:pgMar w:header="0" w:footer="622" w:top="1560" w:bottom="820" w:left="1417" w:right="1559"/>
          <w:cols w:num="2" w:equalWidth="0">
            <w:col w:w="7551" w:space="40"/>
            <w:col w:w="1333"/>
          </w:cols>
        </w:sectPr>
      </w:pPr>
    </w:p>
    <w:p>
      <w:pPr>
        <w:pStyle w:val="BodyText"/>
        <w:tabs>
          <w:tab w:pos="8036" w:val="left" w:leader="none"/>
          <w:tab w:pos="8114" w:val="left" w:leader="none"/>
        </w:tabs>
        <w:spacing w:line="252" w:lineRule="auto" w:before="73"/>
        <w:ind w:left="283" w:right="524" w:firstLine="453"/>
      </w:pPr>
      <w:r>
        <w:rPr>
          <w:color w:val="231F1F"/>
          <w:w w:val="110"/>
        </w:rPr>
        <w:t>El análisis estratificado ajustado por paridad, utilización de epidural y</w:t>
      </w:r>
      <w:r>
        <w:rPr>
          <w:color w:val="231F1F"/>
        </w:rPr>
        <w:tab/>
      </w:r>
      <w:r>
        <w:rPr>
          <w:rFonts w:ascii="Arial MT" w:hAnsi="Arial MT"/>
          <w:color w:val="231F1F"/>
          <w:spacing w:val="-12"/>
          <w:w w:val="105"/>
          <w:sz w:val="18"/>
        </w:rPr>
        <w:t>ECA </w:t>
      </w:r>
      <w:r>
        <w:rPr>
          <w:color w:val="231F1F"/>
          <w:w w:val="110"/>
        </w:rPr>
        <w:t>por peso del RN, no mostró diferencias significativas entre los tres grupos. El</w:t>
      </w:r>
      <w:r>
        <w:rPr>
          <w:color w:val="231F1F"/>
        </w:rPr>
        <w:tab/>
        <w:tab/>
      </w:r>
      <w:r>
        <w:rPr>
          <w:rFonts w:ascii="Arial MT" w:hAnsi="Arial MT"/>
          <w:color w:val="231F1F"/>
          <w:spacing w:val="-6"/>
          <w:w w:val="110"/>
          <w:position w:val="4"/>
          <w:sz w:val="18"/>
        </w:rPr>
        <w:t>1+ </w:t>
      </w:r>
      <w:r>
        <w:rPr>
          <w:color w:val="231F1F"/>
          <w:w w:val="110"/>
        </w:rPr>
        <w:t>análisis final de un modelo de regresión mostró dos factores protectores del</w:t>
      </w:r>
    </w:p>
    <w:p>
      <w:pPr>
        <w:pStyle w:val="BodyText"/>
        <w:spacing w:line="244" w:lineRule="auto"/>
        <w:ind w:left="283" w:right="1386"/>
      </w:pPr>
      <w:r>
        <w:rPr>
          <w:color w:val="231F1F"/>
          <w:w w:val="105"/>
        </w:rPr>
        <w:t>trauma</w:t>
      </w:r>
      <w:r>
        <w:rPr>
          <w:color w:val="231F1F"/>
          <w:spacing w:val="-7"/>
          <w:w w:val="105"/>
        </w:rPr>
        <w:t> </w:t>
      </w:r>
      <w:r>
        <w:rPr>
          <w:color w:val="231F1F"/>
          <w:w w:val="105"/>
        </w:rPr>
        <w:t>perineal:</w:t>
      </w:r>
      <w:r>
        <w:rPr>
          <w:color w:val="231F1F"/>
          <w:spacing w:val="-7"/>
          <w:w w:val="105"/>
        </w:rPr>
        <w:t> </w:t>
      </w:r>
      <w:r>
        <w:rPr>
          <w:color w:val="231F1F"/>
          <w:w w:val="105"/>
        </w:rPr>
        <w:t>la</w:t>
      </w:r>
      <w:r>
        <w:rPr>
          <w:color w:val="231F1F"/>
          <w:spacing w:val="-6"/>
          <w:w w:val="105"/>
        </w:rPr>
        <w:t> </w:t>
      </w:r>
      <w:r>
        <w:rPr>
          <w:color w:val="231F1F"/>
          <w:w w:val="105"/>
        </w:rPr>
        <w:t>posición</w:t>
      </w:r>
      <w:r>
        <w:rPr>
          <w:color w:val="231F1F"/>
          <w:spacing w:val="-7"/>
          <w:w w:val="105"/>
        </w:rPr>
        <w:t> </w:t>
      </w:r>
      <w:r>
        <w:rPr>
          <w:color w:val="231F1F"/>
          <w:w w:val="105"/>
        </w:rPr>
        <w:t>de</w:t>
      </w:r>
      <w:r>
        <w:rPr>
          <w:color w:val="231F1F"/>
          <w:spacing w:val="-7"/>
          <w:w w:val="105"/>
        </w:rPr>
        <w:t> </w:t>
      </w:r>
      <w:r>
        <w:rPr>
          <w:color w:val="231F1F"/>
          <w:w w:val="105"/>
        </w:rPr>
        <w:t>cuclillas</w:t>
      </w:r>
      <w:r>
        <w:rPr>
          <w:color w:val="231F1F"/>
          <w:spacing w:val="-6"/>
          <w:w w:val="105"/>
        </w:rPr>
        <w:t> </w:t>
      </w:r>
      <w:r>
        <w:rPr>
          <w:color w:val="231F1F"/>
          <w:w w:val="105"/>
        </w:rPr>
        <w:t>y</w:t>
      </w:r>
      <w:r>
        <w:rPr>
          <w:color w:val="231F1F"/>
          <w:spacing w:val="-6"/>
          <w:w w:val="105"/>
        </w:rPr>
        <w:t> </w:t>
      </w:r>
      <w:r>
        <w:rPr>
          <w:color w:val="231F1F"/>
          <w:w w:val="105"/>
        </w:rPr>
        <w:t>la</w:t>
      </w:r>
      <w:r>
        <w:rPr>
          <w:color w:val="231F1F"/>
          <w:spacing w:val="-6"/>
          <w:w w:val="105"/>
        </w:rPr>
        <w:t> </w:t>
      </w:r>
      <w:r>
        <w:rPr>
          <w:color w:val="231F1F"/>
          <w:w w:val="105"/>
        </w:rPr>
        <w:t>expulsión</w:t>
      </w:r>
      <w:r>
        <w:rPr>
          <w:color w:val="231F1F"/>
          <w:spacing w:val="-6"/>
          <w:w w:val="105"/>
        </w:rPr>
        <w:t> </w:t>
      </w:r>
      <w:r>
        <w:rPr>
          <w:color w:val="231F1F"/>
          <w:w w:val="105"/>
        </w:rPr>
        <w:t>de</w:t>
      </w:r>
      <w:r>
        <w:rPr>
          <w:color w:val="231F1F"/>
          <w:spacing w:val="-7"/>
          <w:w w:val="105"/>
        </w:rPr>
        <w:t> </w:t>
      </w:r>
      <w:r>
        <w:rPr>
          <w:color w:val="231F1F"/>
          <w:w w:val="105"/>
        </w:rPr>
        <w:t>la</w:t>
      </w:r>
      <w:r>
        <w:rPr>
          <w:color w:val="231F1F"/>
          <w:spacing w:val="-6"/>
          <w:w w:val="105"/>
        </w:rPr>
        <w:t> </w:t>
      </w:r>
      <w:r>
        <w:rPr>
          <w:color w:val="231F1F"/>
          <w:w w:val="105"/>
        </w:rPr>
        <w:t>cabeza</w:t>
      </w:r>
      <w:r>
        <w:rPr>
          <w:color w:val="231F1F"/>
          <w:spacing w:val="-6"/>
          <w:w w:val="105"/>
        </w:rPr>
        <w:t> </w:t>
      </w:r>
      <w:r>
        <w:rPr>
          <w:color w:val="231F1F"/>
          <w:w w:val="105"/>
        </w:rPr>
        <w:t>entre</w:t>
      </w:r>
      <w:r>
        <w:rPr>
          <w:color w:val="231F1F"/>
          <w:spacing w:val="-6"/>
          <w:w w:val="105"/>
        </w:rPr>
        <w:t> </w:t>
      </w:r>
      <w:r>
        <w:rPr>
          <w:color w:val="231F1F"/>
          <w:w w:val="105"/>
        </w:rPr>
        <w:t>las contracciones y no durante las contracciones.</w:t>
      </w:r>
    </w:p>
    <w:p>
      <w:pPr>
        <w:pStyle w:val="BodyText"/>
        <w:spacing w:before="81"/>
      </w:pPr>
    </w:p>
    <w:p>
      <w:pPr>
        <w:pStyle w:val="Heading5"/>
      </w:pPr>
      <w:r>
        <w:rPr>
          <w:color w:val="231F1F"/>
        </w:rPr>
        <w:t>Anestesia</w:t>
      </w:r>
      <w:r>
        <w:rPr>
          <w:color w:val="231F1F"/>
          <w:spacing w:val="-7"/>
        </w:rPr>
        <w:t> </w:t>
      </w:r>
      <w:r>
        <w:rPr>
          <w:color w:val="231F1F"/>
        </w:rPr>
        <w:t>local</w:t>
      </w:r>
      <w:r>
        <w:rPr>
          <w:color w:val="231F1F"/>
          <w:spacing w:val="-4"/>
        </w:rPr>
        <w:t> </w:t>
      </w:r>
      <w:r>
        <w:rPr>
          <w:color w:val="231F1F"/>
        </w:rPr>
        <w:t>con</w:t>
      </w:r>
      <w:r>
        <w:rPr>
          <w:color w:val="231F1F"/>
          <w:spacing w:val="-4"/>
        </w:rPr>
        <w:t> </w:t>
      </w:r>
      <w:r>
        <w:rPr>
          <w:color w:val="231F1F"/>
          <w:spacing w:val="-2"/>
        </w:rPr>
        <w:t>spray</w:t>
      </w:r>
    </w:p>
    <w:p>
      <w:pPr>
        <w:pStyle w:val="BodyText"/>
        <w:spacing w:line="249" w:lineRule="auto" w:before="209"/>
        <w:ind w:left="283" w:right="1367"/>
        <w:jc w:val="both"/>
      </w:pPr>
      <w:r>
        <w:rPr>
          <w:color w:val="231F1F"/>
          <w:w w:val="105"/>
        </w:rPr>
        <w:t>Un ECA de buena calidad realizado por (150) en el año 2006, evaluó la efec- tividad y aceptabilidad de un spray de lidocaína para reducir el dolor perineal durante el parto vaginal espontáneo. El ensayo incluyó un total de 185 muje- res (n=93 con lidocaína y n=92 con placebo).</w:t>
      </w:r>
    </w:p>
    <w:p>
      <w:pPr>
        <w:pStyle w:val="BodyText"/>
        <w:spacing w:line="259" w:lineRule="auto" w:before="143"/>
        <w:ind w:left="283" w:right="1370" w:firstLine="453"/>
        <w:jc w:val="both"/>
      </w:pPr>
      <w:r>
        <w:rPr>
          <w:color w:val="231F1F"/>
        </w:rPr>
        <w:t>Los resultados no mostraron diferencias significativas en el dolor expe- rimentado por las mujeres de los dos grupos: media y [desviación estándar]: lidocaína</w:t>
      </w:r>
      <w:r>
        <w:rPr>
          <w:color w:val="231F1F"/>
          <w:spacing w:val="-9"/>
        </w:rPr>
        <w:t> </w:t>
      </w:r>
      <w:r>
        <w:rPr>
          <w:color w:val="231F1F"/>
        </w:rPr>
        <w:t>76,9</w:t>
      </w:r>
      <w:r>
        <w:rPr>
          <w:color w:val="231F1F"/>
          <w:spacing w:val="-11"/>
        </w:rPr>
        <w:t> </w:t>
      </w:r>
      <w:r>
        <w:rPr>
          <w:color w:val="231F1F"/>
        </w:rPr>
        <w:t>[21,6]</w:t>
      </w:r>
      <w:r>
        <w:rPr>
          <w:color w:val="231F1F"/>
          <w:spacing w:val="-9"/>
        </w:rPr>
        <w:t> </w:t>
      </w:r>
      <w:r>
        <w:rPr>
          <w:color w:val="231F1F"/>
        </w:rPr>
        <w:t>vs</w:t>
      </w:r>
      <w:r>
        <w:rPr>
          <w:color w:val="231F1F"/>
          <w:spacing w:val="-11"/>
        </w:rPr>
        <w:t> </w:t>
      </w:r>
      <w:r>
        <w:rPr>
          <w:color w:val="231F1F"/>
        </w:rPr>
        <w:t>placebo</w:t>
      </w:r>
      <w:r>
        <w:rPr>
          <w:color w:val="231F1F"/>
          <w:spacing w:val="-11"/>
        </w:rPr>
        <w:t> </w:t>
      </w:r>
      <w:r>
        <w:rPr>
          <w:color w:val="231F1F"/>
        </w:rPr>
        <w:t>72,1</w:t>
      </w:r>
      <w:r>
        <w:rPr>
          <w:color w:val="231F1F"/>
          <w:spacing w:val="-11"/>
        </w:rPr>
        <w:t> </w:t>
      </w:r>
      <w:r>
        <w:rPr>
          <w:color w:val="231F1F"/>
        </w:rPr>
        <w:t>[22,2];</w:t>
      </w:r>
      <w:r>
        <w:rPr>
          <w:color w:val="231F1F"/>
          <w:spacing w:val="-9"/>
        </w:rPr>
        <w:t> </w:t>
      </w:r>
      <w:r>
        <w:rPr>
          <w:color w:val="231F1F"/>
        </w:rPr>
        <w:t>DM:</w:t>
      </w:r>
      <w:r>
        <w:rPr>
          <w:color w:val="231F1F"/>
          <w:spacing w:val="-11"/>
        </w:rPr>
        <w:t> </w:t>
      </w:r>
      <w:r>
        <w:rPr>
          <w:color w:val="231F1F"/>
        </w:rPr>
        <w:t>4,8</w:t>
      </w:r>
      <w:r>
        <w:rPr>
          <w:color w:val="231F1F"/>
          <w:spacing w:val="-11"/>
        </w:rPr>
        <w:t> </w:t>
      </w:r>
      <w:r>
        <w:rPr>
          <w:color w:val="231F1F"/>
        </w:rPr>
        <w:t>[IC</w:t>
      </w:r>
      <w:r>
        <w:rPr>
          <w:color w:val="231F1F"/>
          <w:spacing w:val="-11"/>
        </w:rPr>
        <w:t> </w:t>
      </w:r>
      <w:r>
        <w:rPr>
          <w:color w:val="231F1F"/>
        </w:rPr>
        <w:t>95%</w:t>
      </w:r>
      <w:r>
        <w:rPr>
          <w:color w:val="231F1F"/>
          <w:spacing w:val="-11"/>
        </w:rPr>
        <w:t> </w:t>
      </w:r>
      <w:r>
        <w:rPr>
          <w:color w:val="231F1F"/>
        </w:rPr>
        <w:t>-1,7</w:t>
      </w:r>
      <w:r>
        <w:rPr>
          <w:color w:val="231F1F"/>
          <w:spacing w:val="-11"/>
        </w:rPr>
        <w:t> </w:t>
      </w:r>
      <w:r>
        <w:rPr>
          <w:color w:val="231F1F"/>
        </w:rPr>
        <w:t>a</w:t>
      </w:r>
      <w:r>
        <w:rPr>
          <w:color w:val="231F1F"/>
          <w:spacing w:val="-11"/>
        </w:rPr>
        <w:t> </w:t>
      </w:r>
      <w:r>
        <w:rPr>
          <w:color w:val="231F1F"/>
        </w:rPr>
        <w:t>11,2];</w:t>
      </w:r>
      <w:r>
        <w:rPr>
          <w:color w:val="231F1F"/>
          <w:spacing w:val="-11"/>
        </w:rPr>
        <w:t> </w:t>
      </w:r>
      <w:r>
        <w:rPr>
          <w:color w:val="231F1F"/>
        </w:rPr>
        <w:t>p=0,14.</w:t>
      </w:r>
    </w:p>
    <w:p>
      <w:pPr>
        <w:pStyle w:val="BodyText"/>
        <w:spacing w:line="252" w:lineRule="auto"/>
        <w:ind w:left="283" w:right="1366"/>
        <w:jc w:val="both"/>
      </w:pPr>
      <w:r>
        <w:rPr>
          <w:color w:val="231F1F"/>
          <w:w w:val="105"/>
        </w:rPr>
        <w:t>Sin embargo, si mostraron diferencias favorables al grupo de lidocaína, en la incidencia de desgarro de grado II: RR 0,63 [IC 95% 0,42 a 0,93], p=0,019, y en la dispareunia: RR 0,52 [IC 95% 0,35 a 0,76], p=0,0004. Estos efectos ad- versos pueden ser debidos a las diferencias entre los dos grupos de tratamien- to</w:t>
      </w:r>
      <w:r>
        <w:rPr>
          <w:color w:val="231F1F"/>
          <w:w w:val="105"/>
        </w:rPr>
        <w:t> del</w:t>
      </w:r>
      <w:r>
        <w:rPr>
          <w:color w:val="231F1F"/>
          <w:w w:val="105"/>
        </w:rPr>
        <w:t> ensayo,</w:t>
      </w:r>
      <w:r>
        <w:rPr>
          <w:color w:val="231F1F"/>
          <w:w w:val="105"/>
        </w:rPr>
        <w:t> en</w:t>
      </w:r>
      <w:r>
        <w:rPr>
          <w:color w:val="231F1F"/>
          <w:w w:val="105"/>
        </w:rPr>
        <w:t> relación</w:t>
      </w:r>
      <w:r>
        <w:rPr>
          <w:color w:val="231F1F"/>
          <w:w w:val="105"/>
        </w:rPr>
        <w:t> a</w:t>
      </w:r>
      <w:r>
        <w:rPr>
          <w:color w:val="231F1F"/>
          <w:w w:val="105"/>
        </w:rPr>
        <w:t> la</w:t>
      </w:r>
      <w:r>
        <w:rPr>
          <w:color w:val="231F1F"/>
          <w:w w:val="105"/>
        </w:rPr>
        <w:t> paridad</w:t>
      </w:r>
      <w:r>
        <w:rPr>
          <w:color w:val="231F1F"/>
          <w:w w:val="105"/>
        </w:rPr>
        <w:t> de</w:t>
      </w:r>
      <w:r>
        <w:rPr>
          <w:color w:val="231F1F"/>
          <w:w w:val="105"/>
        </w:rPr>
        <w:t> las</w:t>
      </w:r>
      <w:r>
        <w:rPr>
          <w:color w:val="231F1F"/>
          <w:w w:val="105"/>
        </w:rPr>
        <w:t> mujeres</w:t>
      </w:r>
      <w:r>
        <w:rPr>
          <w:color w:val="231F1F"/>
          <w:w w:val="105"/>
        </w:rPr>
        <w:t> (más</w:t>
      </w:r>
      <w:r>
        <w:rPr>
          <w:color w:val="231F1F"/>
          <w:w w:val="105"/>
        </w:rPr>
        <w:t> multíparas</w:t>
      </w:r>
      <w:r>
        <w:rPr>
          <w:color w:val="231F1F"/>
          <w:w w:val="105"/>
        </w:rPr>
        <w:t> en</w:t>
      </w:r>
      <w:r>
        <w:rPr>
          <w:color w:val="231F1F"/>
          <w:w w:val="105"/>
        </w:rPr>
        <w:t> el grupo</w:t>
      </w:r>
      <w:r>
        <w:rPr>
          <w:color w:val="231F1F"/>
          <w:spacing w:val="40"/>
          <w:w w:val="105"/>
        </w:rPr>
        <w:t> </w:t>
      </w:r>
      <w:r>
        <w:rPr>
          <w:color w:val="231F1F"/>
          <w:w w:val="105"/>
        </w:rPr>
        <w:t>intervención)</w:t>
      </w:r>
      <w:r>
        <w:rPr>
          <w:color w:val="231F1F"/>
          <w:spacing w:val="40"/>
          <w:w w:val="105"/>
        </w:rPr>
        <w:t> </w:t>
      </w:r>
      <w:r>
        <w:rPr>
          <w:color w:val="231F1F"/>
          <w:w w:val="105"/>
        </w:rPr>
        <w:t>y</w:t>
      </w:r>
      <w:r>
        <w:rPr>
          <w:color w:val="231F1F"/>
          <w:spacing w:val="40"/>
          <w:w w:val="105"/>
        </w:rPr>
        <w:t> </w:t>
      </w:r>
      <w:r>
        <w:rPr>
          <w:color w:val="231F1F"/>
          <w:w w:val="105"/>
        </w:rPr>
        <w:t>peso</w:t>
      </w:r>
      <w:r>
        <w:rPr>
          <w:color w:val="231F1F"/>
          <w:spacing w:val="40"/>
          <w:w w:val="105"/>
        </w:rPr>
        <w:t> </w:t>
      </w:r>
      <w:r>
        <w:rPr>
          <w:color w:val="231F1F"/>
          <w:w w:val="105"/>
        </w:rPr>
        <w:t>fetal</w:t>
      </w:r>
      <w:r>
        <w:rPr>
          <w:color w:val="231F1F"/>
          <w:spacing w:val="40"/>
          <w:w w:val="105"/>
        </w:rPr>
        <w:t> </w:t>
      </w:r>
      <w:r>
        <w:rPr>
          <w:color w:val="231F1F"/>
          <w:w w:val="105"/>
        </w:rPr>
        <w:t>(menor</w:t>
      </w:r>
      <w:r>
        <w:rPr>
          <w:color w:val="231F1F"/>
          <w:spacing w:val="40"/>
          <w:w w:val="105"/>
        </w:rPr>
        <w:t> </w:t>
      </w:r>
      <w:r>
        <w:rPr>
          <w:color w:val="231F1F"/>
          <w:w w:val="105"/>
        </w:rPr>
        <w:t>en</w:t>
      </w:r>
      <w:r>
        <w:rPr>
          <w:color w:val="231F1F"/>
          <w:spacing w:val="40"/>
          <w:w w:val="105"/>
        </w:rPr>
        <w:t> </w:t>
      </w:r>
      <w:r>
        <w:rPr>
          <w:color w:val="231F1F"/>
          <w:w w:val="105"/>
        </w:rPr>
        <w:t>grupo</w:t>
      </w:r>
      <w:r>
        <w:rPr>
          <w:color w:val="231F1F"/>
          <w:spacing w:val="40"/>
          <w:w w:val="105"/>
        </w:rPr>
        <w:t> </w:t>
      </w:r>
      <w:r>
        <w:rPr>
          <w:color w:val="231F1F"/>
          <w:w w:val="105"/>
        </w:rPr>
        <w:t>intervención)</w:t>
      </w:r>
    </w:p>
    <w:p>
      <w:pPr>
        <w:pStyle w:val="BodyText"/>
        <w:spacing w:before="141"/>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line="254" w:lineRule="auto" w:before="205"/>
        <w:ind w:left="283" w:right="1366"/>
        <w:jc w:val="both"/>
      </w:pPr>
      <w:r>
        <w:rPr>
          <w:color w:val="231F1F"/>
          <w:w w:val="105"/>
        </w:rPr>
        <w:t>Se</w:t>
      </w:r>
      <w:r>
        <w:rPr>
          <w:color w:val="231F1F"/>
          <w:w w:val="105"/>
        </w:rPr>
        <w:t> ha</w:t>
      </w:r>
      <w:r>
        <w:rPr>
          <w:color w:val="231F1F"/>
          <w:w w:val="105"/>
        </w:rPr>
        <w:t> seleccionado</w:t>
      </w:r>
      <w:r>
        <w:rPr>
          <w:color w:val="231F1F"/>
          <w:w w:val="105"/>
        </w:rPr>
        <w:t> un</w:t>
      </w:r>
      <w:r>
        <w:rPr>
          <w:color w:val="231F1F"/>
          <w:w w:val="105"/>
        </w:rPr>
        <w:t> ECA</w:t>
      </w:r>
      <w:r>
        <w:rPr>
          <w:color w:val="231F1F"/>
          <w:w w:val="105"/>
        </w:rPr>
        <w:t> (151)</w:t>
      </w:r>
      <w:r>
        <w:rPr>
          <w:color w:val="231F1F"/>
          <w:w w:val="105"/>
        </w:rPr>
        <w:t> publicado</w:t>
      </w:r>
      <w:r>
        <w:rPr>
          <w:color w:val="231F1F"/>
          <w:w w:val="105"/>
        </w:rPr>
        <w:t> en</w:t>
      </w:r>
      <w:r>
        <w:rPr>
          <w:color w:val="231F1F"/>
          <w:w w:val="105"/>
        </w:rPr>
        <w:t> el</w:t>
      </w:r>
      <w:r>
        <w:rPr>
          <w:color w:val="231F1F"/>
          <w:w w:val="105"/>
        </w:rPr>
        <w:t> 2007</w:t>
      </w:r>
      <w:r>
        <w:rPr>
          <w:color w:val="231F1F"/>
          <w:w w:val="105"/>
        </w:rPr>
        <w:t> que</w:t>
      </w:r>
      <w:r>
        <w:rPr>
          <w:color w:val="231F1F"/>
          <w:w w:val="105"/>
        </w:rPr>
        <w:t> responde</w:t>
      </w:r>
      <w:r>
        <w:rPr>
          <w:color w:val="231F1F"/>
          <w:w w:val="105"/>
        </w:rPr>
        <w:t> a</w:t>
      </w:r>
      <w:r>
        <w:rPr>
          <w:color w:val="231F1F"/>
          <w:w w:val="105"/>
        </w:rPr>
        <w:t> la pregunta</w:t>
      </w:r>
      <w:r>
        <w:rPr>
          <w:color w:val="231F1F"/>
          <w:spacing w:val="-11"/>
          <w:w w:val="105"/>
        </w:rPr>
        <w:t> </w:t>
      </w:r>
      <w:r>
        <w:rPr>
          <w:color w:val="231F1F"/>
          <w:w w:val="105"/>
        </w:rPr>
        <w:t>sobre</w:t>
      </w:r>
      <w:r>
        <w:rPr>
          <w:color w:val="231F1F"/>
          <w:spacing w:val="-11"/>
          <w:w w:val="105"/>
        </w:rPr>
        <w:t> </w:t>
      </w:r>
      <w:r>
        <w:rPr>
          <w:color w:val="231F1F"/>
          <w:w w:val="105"/>
        </w:rPr>
        <w:t>aplicación</w:t>
      </w:r>
      <w:r>
        <w:rPr>
          <w:color w:val="231F1F"/>
          <w:spacing w:val="-10"/>
          <w:w w:val="105"/>
        </w:rPr>
        <w:t> </w:t>
      </w:r>
      <w:r>
        <w:rPr>
          <w:color w:val="231F1F"/>
          <w:w w:val="105"/>
        </w:rPr>
        <w:t>de</w:t>
      </w:r>
      <w:r>
        <w:rPr>
          <w:color w:val="231F1F"/>
          <w:spacing w:val="-11"/>
          <w:w w:val="105"/>
        </w:rPr>
        <w:t> </w:t>
      </w:r>
      <w:r>
        <w:rPr>
          <w:color w:val="231F1F"/>
          <w:w w:val="105"/>
        </w:rPr>
        <w:t>calor/frio.</w:t>
      </w:r>
      <w:r>
        <w:rPr>
          <w:color w:val="231F1F"/>
          <w:spacing w:val="-10"/>
          <w:w w:val="105"/>
        </w:rPr>
        <w:t> </w:t>
      </w:r>
      <w:r>
        <w:rPr>
          <w:color w:val="231F1F"/>
          <w:w w:val="105"/>
        </w:rPr>
        <w:t>Además,</w:t>
      </w:r>
      <w:r>
        <w:rPr>
          <w:color w:val="231F1F"/>
          <w:spacing w:val="-11"/>
          <w:w w:val="105"/>
        </w:rPr>
        <w:t> </w:t>
      </w:r>
      <w:r>
        <w:rPr>
          <w:color w:val="231F1F"/>
          <w:w w:val="105"/>
        </w:rPr>
        <w:t>también</w:t>
      </w:r>
      <w:r>
        <w:rPr>
          <w:color w:val="231F1F"/>
          <w:spacing w:val="-11"/>
          <w:w w:val="105"/>
        </w:rPr>
        <w:t> </w:t>
      </w:r>
      <w:r>
        <w:rPr>
          <w:color w:val="231F1F"/>
          <w:w w:val="105"/>
        </w:rPr>
        <w:t>se</w:t>
      </w:r>
      <w:r>
        <w:rPr>
          <w:color w:val="231F1F"/>
          <w:spacing w:val="-11"/>
          <w:w w:val="105"/>
        </w:rPr>
        <w:t> </w:t>
      </w:r>
      <w:r>
        <w:rPr>
          <w:color w:val="231F1F"/>
          <w:w w:val="105"/>
        </w:rPr>
        <w:t>incluye</w:t>
      </w:r>
      <w:r>
        <w:rPr>
          <w:color w:val="231F1F"/>
          <w:spacing w:val="-10"/>
          <w:w w:val="105"/>
        </w:rPr>
        <w:t> </w:t>
      </w:r>
      <w:r>
        <w:rPr>
          <w:color w:val="231F1F"/>
          <w:w w:val="105"/>
        </w:rPr>
        <w:t>un</w:t>
      </w:r>
      <w:r>
        <w:rPr>
          <w:color w:val="231F1F"/>
          <w:spacing w:val="-10"/>
          <w:w w:val="105"/>
        </w:rPr>
        <w:t> </w:t>
      </w:r>
      <w:r>
        <w:rPr>
          <w:color w:val="231F1F"/>
          <w:w w:val="105"/>
        </w:rPr>
        <w:t>artículo</w:t>
      </w:r>
    </w:p>
    <w:p>
      <w:pPr>
        <w:pStyle w:val="BodyText"/>
        <w:spacing w:line="244" w:lineRule="auto" w:before="1"/>
        <w:ind w:left="283" w:right="1369"/>
        <w:jc w:val="both"/>
      </w:pPr>
      <w:r>
        <w:rPr>
          <w:color w:val="231F1F"/>
          <w:w w:val="110"/>
        </w:rPr>
        <w:t>(152)</w:t>
      </w:r>
      <w:r>
        <w:rPr>
          <w:color w:val="231F1F"/>
          <w:spacing w:val="-8"/>
          <w:w w:val="110"/>
        </w:rPr>
        <w:t> </w:t>
      </w:r>
      <w:r>
        <w:rPr>
          <w:color w:val="231F1F"/>
          <w:w w:val="110"/>
        </w:rPr>
        <w:t>localizado</w:t>
      </w:r>
      <w:r>
        <w:rPr>
          <w:color w:val="231F1F"/>
          <w:spacing w:val="-7"/>
          <w:w w:val="110"/>
        </w:rPr>
        <w:t> </w:t>
      </w:r>
      <w:r>
        <w:rPr>
          <w:color w:val="231F1F"/>
          <w:w w:val="110"/>
        </w:rPr>
        <w:t>manualmente</w:t>
      </w:r>
      <w:r>
        <w:rPr>
          <w:color w:val="231F1F"/>
          <w:spacing w:val="-8"/>
          <w:w w:val="110"/>
        </w:rPr>
        <w:t> </w:t>
      </w:r>
      <w:r>
        <w:rPr>
          <w:color w:val="231F1F"/>
          <w:w w:val="110"/>
        </w:rPr>
        <w:t>sobre</w:t>
      </w:r>
      <w:r>
        <w:rPr>
          <w:color w:val="231F1F"/>
          <w:spacing w:val="-8"/>
          <w:w w:val="110"/>
        </w:rPr>
        <w:t> </w:t>
      </w:r>
      <w:r>
        <w:rPr>
          <w:color w:val="231F1F"/>
          <w:w w:val="110"/>
        </w:rPr>
        <w:t>la</w:t>
      </w:r>
      <w:r>
        <w:rPr>
          <w:color w:val="231F1F"/>
          <w:spacing w:val="-8"/>
          <w:w w:val="110"/>
        </w:rPr>
        <w:t> </w:t>
      </w:r>
      <w:r>
        <w:rPr>
          <w:color w:val="231F1F"/>
          <w:w w:val="110"/>
        </w:rPr>
        <w:t>técnica</w:t>
      </w:r>
      <w:r>
        <w:rPr>
          <w:color w:val="231F1F"/>
          <w:spacing w:val="-8"/>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deflexión</w:t>
      </w:r>
      <w:r>
        <w:rPr>
          <w:color w:val="231F1F"/>
          <w:spacing w:val="-8"/>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cabeza, que</w:t>
      </w:r>
      <w:r>
        <w:rPr>
          <w:color w:val="231F1F"/>
          <w:spacing w:val="-2"/>
          <w:w w:val="110"/>
        </w:rPr>
        <w:t> </w:t>
      </w:r>
      <w:r>
        <w:rPr>
          <w:color w:val="231F1F"/>
          <w:w w:val="110"/>
        </w:rPr>
        <w:t>aunque</w:t>
      </w:r>
      <w:r>
        <w:rPr>
          <w:color w:val="231F1F"/>
          <w:spacing w:val="-2"/>
          <w:w w:val="110"/>
        </w:rPr>
        <w:t> </w:t>
      </w:r>
      <w:r>
        <w:rPr>
          <w:color w:val="231F1F"/>
          <w:w w:val="110"/>
        </w:rPr>
        <w:t>por</w:t>
      </w:r>
      <w:r>
        <w:rPr>
          <w:color w:val="231F1F"/>
          <w:spacing w:val="-3"/>
          <w:w w:val="110"/>
        </w:rPr>
        <w:t> </w:t>
      </w:r>
      <w:r>
        <w:rPr>
          <w:color w:val="231F1F"/>
          <w:w w:val="110"/>
        </w:rPr>
        <w:t>sus</w:t>
      </w:r>
      <w:r>
        <w:rPr>
          <w:color w:val="231F1F"/>
          <w:spacing w:val="-3"/>
          <w:w w:val="110"/>
        </w:rPr>
        <w:t> </w:t>
      </w:r>
      <w:r>
        <w:rPr>
          <w:color w:val="231F1F"/>
          <w:w w:val="110"/>
        </w:rPr>
        <w:t>características</w:t>
      </w:r>
      <w:r>
        <w:rPr>
          <w:color w:val="231F1F"/>
          <w:spacing w:val="-2"/>
          <w:w w:val="110"/>
        </w:rPr>
        <w:t> </w:t>
      </w:r>
      <w:r>
        <w:rPr>
          <w:color w:val="231F1F"/>
          <w:w w:val="110"/>
        </w:rPr>
        <w:t>no</w:t>
      </w:r>
      <w:r>
        <w:rPr>
          <w:color w:val="231F1F"/>
          <w:spacing w:val="-2"/>
          <w:w w:val="110"/>
        </w:rPr>
        <w:t> </w:t>
      </w:r>
      <w:r>
        <w:rPr>
          <w:color w:val="231F1F"/>
          <w:w w:val="110"/>
        </w:rPr>
        <w:t>debería</w:t>
      </w:r>
      <w:r>
        <w:rPr>
          <w:color w:val="231F1F"/>
          <w:spacing w:val="-2"/>
          <w:w w:val="110"/>
        </w:rPr>
        <w:t> </w:t>
      </w:r>
      <w:r>
        <w:rPr>
          <w:color w:val="231F1F"/>
          <w:w w:val="110"/>
        </w:rPr>
        <w:t>de</w:t>
      </w:r>
      <w:r>
        <w:rPr>
          <w:color w:val="231F1F"/>
          <w:spacing w:val="-2"/>
          <w:w w:val="110"/>
        </w:rPr>
        <w:t> </w:t>
      </w:r>
      <w:r>
        <w:rPr>
          <w:color w:val="231F1F"/>
          <w:w w:val="110"/>
        </w:rPr>
        <w:t>ser</w:t>
      </w:r>
      <w:r>
        <w:rPr>
          <w:color w:val="231F1F"/>
          <w:spacing w:val="-3"/>
          <w:w w:val="110"/>
        </w:rPr>
        <w:t> </w:t>
      </w:r>
      <w:r>
        <w:rPr>
          <w:color w:val="231F1F"/>
          <w:w w:val="110"/>
        </w:rPr>
        <w:t>incluido</w:t>
      </w:r>
      <w:r>
        <w:rPr>
          <w:color w:val="231F1F"/>
          <w:spacing w:val="-2"/>
          <w:w w:val="110"/>
        </w:rPr>
        <w:t> </w:t>
      </w:r>
      <w:r>
        <w:rPr>
          <w:color w:val="231F1F"/>
          <w:w w:val="110"/>
        </w:rPr>
        <w:t>(es</w:t>
      </w:r>
      <w:r>
        <w:rPr>
          <w:color w:val="231F1F"/>
          <w:spacing w:val="-3"/>
          <w:w w:val="110"/>
        </w:rPr>
        <w:t> </w:t>
      </w:r>
      <w:r>
        <w:rPr>
          <w:color w:val="231F1F"/>
          <w:w w:val="110"/>
        </w:rPr>
        <w:t>un</w:t>
      </w:r>
      <w:r>
        <w:rPr>
          <w:color w:val="231F1F"/>
          <w:spacing w:val="-2"/>
          <w:w w:val="110"/>
        </w:rPr>
        <w:t> </w:t>
      </w:r>
      <w:r>
        <w:rPr>
          <w:color w:val="231F1F"/>
          <w:w w:val="110"/>
        </w:rPr>
        <w:t>estudio observacional)</w:t>
      </w:r>
      <w:r>
        <w:rPr>
          <w:color w:val="231F1F"/>
          <w:spacing w:val="-12"/>
          <w:w w:val="110"/>
        </w:rPr>
        <w:t> </w:t>
      </w:r>
      <w:r>
        <w:rPr>
          <w:color w:val="231F1F"/>
          <w:w w:val="110"/>
        </w:rPr>
        <w:t>se</w:t>
      </w:r>
      <w:r>
        <w:rPr>
          <w:color w:val="231F1F"/>
          <w:spacing w:val="-12"/>
          <w:w w:val="110"/>
        </w:rPr>
        <w:t> </w:t>
      </w:r>
      <w:r>
        <w:rPr>
          <w:color w:val="231F1F"/>
          <w:w w:val="110"/>
        </w:rPr>
        <w:t>incluye</w:t>
      </w:r>
      <w:r>
        <w:rPr>
          <w:color w:val="231F1F"/>
          <w:spacing w:val="-12"/>
          <w:w w:val="110"/>
        </w:rPr>
        <w:t> </w:t>
      </w:r>
      <w:r>
        <w:rPr>
          <w:color w:val="231F1F"/>
          <w:w w:val="110"/>
        </w:rPr>
        <w:t>por</w:t>
      </w:r>
      <w:r>
        <w:rPr>
          <w:color w:val="231F1F"/>
          <w:spacing w:val="-12"/>
          <w:w w:val="110"/>
        </w:rPr>
        <w:t> </w:t>
      </w:r>
      <w:r>
        <w:rPr>
          <w:color w:val="231F1F"/>
          <w:w w:val="110"/>
        </w:rPr>
        <w:t>ser</w:t>
      </w:r>
      <w:r>
        <w:rPr>
          <w:color w:val="231F1F"/>
          <w:spacing w:val="-12"/>
          <w:w w:val="110"/>
        </w:rPr>
        <w:t> </w:t>
      </w:r>
      <w:r>
        <w:rPr>
          <w:color w:val="231F1F"/>
          <w:w w:val="110"/>
        </w:rPr>
        <w:t>de</w:t>
      </w:r>
      <w:r>
        <w:rPr>
          <w:color w:val="231F1F"/>
          <w:spacing w:val="-12"/>
          <w:w w:val="110"/>
        </w:rPr>
        <w:t> </w:t>
      </w:r>
      <w:r>
        <w:rPr>
          <w:color w:val="231F1F"/>
          <w:w w:val="110"/>
        </w:rPr>
        <w:t>publicación</w:t>
      </w:r>
      <w:r>
        <w:rPr>
          <w:color w:val="231F1F"/>
          <w:spacing w:val="-12"/>
          <w:w w:val="110"/>
        </w:rPr>
        <w:t> </w:t>
      </w:r>
      <w:r>
        <w:rPr>
          <w:color w:val="231F1F"/>
          <w:w w:val="110"/>
        </w:rPr>
        <w:t>reciente</w:t>
      </w:r>
      <w:r>
        <w:rPr>
          <w:color w:val="231F1F"/>
          <w:spacing w:val="-12"/>
          <w:w w:val="110"/>
        </w:rPr>
        <w:t> </w:t>
      </w:r>
      <w:r>
        <w:rPr>
          <w:color w:val="231F1F"/>
          <w:w w:val="110"/>
        </w:rPr>
        <w:t>(mayo</w:t>
      </w:r>
      <w:r>
        <w:rPr>
          <w:color w:val="231F1F"/>
          <w:spacing w:val="-12"/>
          <w:w w:val="110"/>
        </w:rPr>
        <w:t> </w:t>
      </w:r>
      <w:r>
        <w:rPr>
          <w:color w:val="231F1F"/>
          <w:w w:val="110"/>
        </w:rPr>
        <w:t>2008)</w:t>
      </w:r>
      <w:r>
        <w:rPr>
          <w:color w:val="231F1F"/>
          <w:spacing w:val="-12"/>
          <w:w w:val="110"/>
        </w:rPr>
        <w:t> </w:t>
      </w:r>
      <w:r>
        <w:rPr>
          <w:color w:val="231F1F"/>
          <w:w w:val="110"/>
        </w:rPr>
        <w:t>y</w:t>
      </w:r>
      <w:r>
        <w:rPr>
          <w:color w:val="231F1F"/>
          <w:spacing w:val="-12"/>
          <w:w w:val="110"/>
        </w:rPr>
        <w:t> </w:t>
      </w:r>
      <w:r>
        <w:rPr>
          <w:color w:val="231F1F"/>
          <w:w w:val="110"/>
        </w:rPr>
        <w:t>por no tener referencias previas sobre el tema en NICE (10).</w:t>
      </w:r>
    </w:p>
    <w:p>
      <w:pPr>
        <w:pStyle w:val="BodyText"/>
        <w:spacing w:before="154"/>
      </w:pPr>
    </w:p>
    <w:p>
      <w:pPr>
        <w:pStyle w:val="Heading5"/>
        <w:jc w:val="both"/>
      </w:pPr>
      <w:r>
        <w:rPr>
          <w:color w:val="231F1F"/>
        </w:rPr>
        <w:t>Aplicación</w:t>
      </w:r>
      <w:r>
        <w:rPr>
          <w:color w:val="231F1F"/>
          <w:spacing w:val="3"/>
        </w:rPr>
        <w:t> </w:t>
      </w:r>
      <w:r>
        <w:rPr>
          <w:color w:val="231F1F"/>
        </w:rPr>
        <w:t>de</w:t>
      </w:r>
      <w:r>
        <w:rPr>
          <w:color w:val="231F1F"/>
          <w:spacing w:val="4"/>
        </w:rPr>
        <w:t> </w:t>
      </w:r>
      <w:r>
        <w:rPr>
          <w:color w:val="231F1F"/>
          <w:spacing w:val="-2"/>
        </w:rPr>
        <w:t>calor/frío</w:t>
      </w:r>
    </w:p>
    <w:p>
      <w:pPr>
        <w:pStyle w:val="BodyText"/>
        <w:spacing w:line="252" w:lineRule="auto" w:before="215"/>
        <w:ind w:left="283" w:right="1359"/>
        <w:jc w:val="both"/>
      </w:pPr>
      <w:r>
        <w:rPr>
          <w:color w:val="231F1F"/>
          <w:w w:val="110"/>
        </w:rPr>
        <w:t>El ECA publicado en el año 2007 (151) tenía el objetivo de determinar los </w:t>
      </w:r>
      <w:r>
        <w:rPr>
          <w:color w:val="231F1F"/>
        </w:rPr>
        <w:t>efectos de la </w:t>
      </w:r>
      <w:r>
        <w:rPr>
          <w:i/>
          <w:color w:val="231F1F"/>
        </w:rPr>
        <w:t>aplicación de compresas calientes </w:t>
      </w:r>
      <w:r>
        <w:rPr>
          <w:color w:val="231F1F"/>
        </w:rPr>
        <w:t>en el perineo (compresas em- </w:t>
      </w:r>
      <w:r>
        <w:rPr>
          <w:color w:val="231F1F"/>
          <w:spacing w:val="-2"/>
          <w:w w:val="110"/>
        </w:rPr>
        <w:t>papadas</w:t>
      </w:r>
      <w:r>
        <w:rPr>
          <w:color w:val="231F1F"/>
          <w:spacing w:val="-13"/>
          <w:w w:val="110"/>
        </w:rPr>
        <w:t> </w:t>
      </w:r>
      <w:r>
        <w:rPr>
          <w:color w:val="231F1F"/>
          <w:spacing w:val="-2"/>
          <w:w w:val="110"/>
        </w:rPr>
        <w:t>en</w:t>
      </w:r>
      <w:r>
        <w:rPr>
          <w:color w:val="231F1F"/>
          <w:spacing w:val="-12"/>
          <w:w w:val="110"/>
        </w:rPr>
        <w:t> </w:t>
      </w:r>
      <w:r>
        <w:rPr>
          <w:color w:val="231F1F"/>
          <w:spacing w:val="-2"/>
          <w:w w:val="110"/>
        </w:rPr>
        <w:t>agua</w:t>
      </w:r>
      <w:r>
        <w:rPr>
          <w:color w:val="231F1F"/>
          <w:spacing w:val="-12"/>
          <w:w w:val="110"/>
        </w:rPr>
        <w:t> </w:t>
      </w:r>
      <w:r>
        <w:rPr>
          <w:color w:val="231F1F"/>
          <w:spacing w:val="-2"/>
          <w:w w:val="110"/>
        </w:rPr>
        <w:t>hervida</w:t>
      </w:r>
      <w:r>
        <w:rPr>
          <w:color w:val="231F1F"/>
          <w:spacing w:val="-13"/>
          <w:w w:val="110"/>
        </w:rPr>
        <w:t> </w:t>
      </w:r>
      <w:r>
        <w:rPr>
          <w:color w:val="231F1F"/>
          <w:spacing w:val="-2"/>
          <w:w w:val="110"/>
        </w:rPr>
        <w:t>a</w:t>
      </w:r>
      <w:r>
        <w:rPr>
          <w:color w:val="231F1F"/>
          <w:spacing w:val="-13"/>
          <w:w w:val="110"/>
        </w:rPr>
        <w:t> </w:t>
      </w:r>
      <w:r>
        <w:rPr>
          <w:color w:val="231F1F"/>
          <w:spacing w:val="-2"/>
          <w:w w:val="110"/>
        </w:rPr>
        <w:t>una</w:t>
      </w:r>
      <w:r>
        <w:rPr>
          <w:color w:val="231F1F"/>
          <w:spacing w:val="-13"/>
          <w:w w:val="110"/>
        </w:rPr>
        <w:t> </w:t>
      </w:r>
      <w:r>
        <w:rPr>
          <w:color w:val="231F1F"/>
          <w:spacing w:val="-2"/>
          <w:w w:val="110"/>
        </w:rPr>
        <w:t>temperatura</w:t>
      </w:r>
      <w:r>
        <w:rPr>
          <w:color w:val="231F1F"/>
          <w:spacing w:val="-13"/>
          <w:w w:val="110"/>
        </w:rPr>
        <w:t> </w:t>
      </w:r>
      <w:r>
        <w:rPr>
          <w:color w:val="231F1F"/>
          <w:spacing w:val="-2"/>
          <w:w w:val="110"/>
        </w:rPr>
        <w:t>de</w:t>
      </w:r>
      <w:r>
        <w:rPr>
          <w:color w:val="231F1F"/>
          <w:spacing w:val="-13"/>
          <w:w w:val="110"/>
        </w:rPr>
        <w:t> </w:t>
      </w:r>
      <w:r>
        <w:rPr>
          <w:color w:val="231F1F"/>
          <w:spacing w:val="-2"/>
          <w:w w:val="110"/>
        </w:rPr>
        <w:t>45º</w:t>
      </w:r>
      <w:r>
        <w:rPr>
          <w:color w:val="231F1F"/>
          <w:spacing w:val="-13"/>
          <w:w w:val="110"/>
        </w:rPr>
        <w:t> </w:t>
      </w:r>
      <w:r>
        <w:rPr>
          <w:color w:val="231F1F"/>
          <w:spacing w:val="-2"/>
          <w:w w:val="110"/>
        </w:rPr>
        <w:t>C)</w:t>
      </w:r>
      <w:r>
        <w:rPr>
          <w:color w:val="231F1F"/>
          <w:spacing w:val="-12"/>
          <w:w w:val="110"/>
        </w:rPr>
        <w:t> </w:t>
      </w:r>
      <w:r>
        <w:rPr>
          <w:color w:val="231F1F"/>
          <w:spacing w:val="-2"/>
          <w:w w:val="110"/>
        </w:rPr>
        <w:t>sobre</w:t>
      </w:r>
      <w:r>
        <w:rPr>
          <w:color w:val="231F1F"/>
          <w:spacing w:val="-13"/>
          <w:w w:val="110"/>
        </w:rPr>
        <w:t> </w:t>
      </w:r>
      <w:r>
        <w:rPr>
          <w:color w:val="231F1F"/>
          <w:spacing w:val="-2"/>
          <w:w w:val="110"/>
        </w:rPr>
        <w:t>el</w:t>
      </w:r>
      <w:r>
        <w:rPr>
          <w:color w:val="231F1F"/>
          <w:spacing w:val="-13"/>
          <w:w w:val="110"/>
        </w:rPr>
        <w:t> </w:t>
      </w:r>
      <w:r>
        <w:rPr>
          <w:color w:val="231F1F"/>
          <w:spacing w:val="-2"/>
          <w:w w:val="110"/>
        </w:rPr>
        <w:t>trauma</w:t>
      </w:r>
      <w:r>
        <w:rPr>
          <w:color w:val="231F1F"/>
          <w:spacing w:val="-13"/>
          <w:w w:val="110"/>
        </w:rPr>
        <w:t> </w:t>
      </w:r>
      <w:r>
        <w:rPr>
          <w:color w:val="231F1F"/>
          <w:spacing w:val="-2"/>
          <w:w w:val="110"/>
        </w:rPr>
        <w:t>perineal </w:t>
      </w:r>
      <w:r>
        <w:rPr>
          <w:color w:val="231F1F"/>
          <w:w w:val="110"/>
        </w:rPr>
        <w:t>y</w:t>
      </w:r>
      <w:r>
        <w:rPr>
          <w:color w:val="231F1F"/>
          <w:spacing w:val="-13"/>
          <w:w w:val="110"/>
        </w:rPr>
        <w:t> </w:t>
      </w:r>
      <w:r>
        <w:rPr>
          <w:color w:val="231F1F"/>
          <w:w w:val="110"/>
        </w:rPr>
        <w:t>la</w:t>
      </w:r>
      <w:r>
        <w:rPr>
          <w:color w:val="231F1F"/>
          <w:spacing w:val="-13"/>
          <w:w w:val="110"/>
        </w:rPr>
        <w:t> </w:t>
      </w:r>
      <w:r>
        <w:rPr>
          <w:color w:val="231F1F"/>
          <w:w w:val="110"/>
        </w:rPr>
        <w:t>comodidad</w:t>
      </w:r>
      <w:r>
        <w:rPr>
          <w:color w:val="231F1F"/>
          <w:spacing w:val="-13"/>
          <w:w w:val="110"/>
        </w:rPr>
        <w:t> </w:t>
      </w:r>
      <w:r>
        <w:rPr>
          <w:color w:val="231F1F"/>
          <w:w w:val="110"/>
        </w:rPr>
        <w:t>materna</w:t>
      </w:r>
      <w:r>
        <w:rPr>
          <w:color w:val="231F1F"/>
          <w:spacing w:val="-13"/>
          <w:w w:val="110"/>
        </w:rPr>
        <w:t> </w:t>
      </w:r>
      <w:r>
        <w:rPr>
          <w:color w:val="231F1F"/>
          <w:w w:val="110"/>
        </w:rPr>
        <w:t>durante</w:t>
      </w:r>
      <w:r>
        <w:rPr>
          <w:color w:val="231F1F"/>
          <w:spacing w:val="-13"/>
          <w:w w:val="110"/>
        </w:rPr>
        <w:t> </w:t>
      </w:r>
      <w:r>
        <w:rPr>
          <w:color w:val="231F1F"/>
          <w:w w:val="110"/>
        </w:rPr>
        <w:t>la</w:t>
      </w:r>
      <w:r>
        <w:rPr>
          <w:color w:val="231F1F"/>
          <w:spacing w:val="-13"/>
          <w:w w:val="110"/>
        </w:rPr>
        <w:t> </w:t>
      </w:r>
      <w:r>
        <w:rPr>
          <w:color w:val="231F1F"/>
          <w:w w:val="110"/>
        </w:rPr>
        <w:t>segunda</w:t>
      </w:r>
      <w:r>
        <w:rPr>
          <w:color w:val="231F1F"/>
          <w:spacing w:val="-14"/>
          <w:w w:val="110"/>
        </w:rPr>
        <w:t> </w:t>
      </w:r>
      <w:r>
        <w:rPr>
          <w:color w:val="231F1F"/>
          <w:w w:val="110"/>
        </w:rPr>
        <w:t>etapa</w:t>
      </w:r>
      <w:r>
        <w:rPr>
          <w:color w:val="231F1F"/>
          <w:spacing w:val="-13"/>
          <w:w w:val="110"/>
        </w:rPr>
        <w:t> </w:t>
      </w:r>
      <w:r>
        <w:rPr>
          <w:color w:val="231F1F"/>
          <w:w w:val="110"/>
        </w:rPr>
        <w:t>tardía</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4"/>
          <w:w w:val="110"/>
        </w:rPr>
        <w:t> </w:t>
      </w:r>
      <w:r>
        <w:rPr>
          <w:color w:val="231F1F"/>
          <w:w w:val="110"/>
        </w:rPr>
        <w:t>El</w:t>
      </w:r>
      <w:r>
        <w:rPr>
          <w:color w:val="231F1F"/>
          <w:spacing w:val="-14"/>
          <w:w w:val="110"/>
        </w:rPr>
        <w:t> </w:t>
      </w:r>
      <w:r>
        <w:rPr>
          <w:color w:val="231F1F"/>
          <w:w w:val="110"/>
        </w:rPr>
        <w:t>estudio </w:t>
      </w:r>
      <w:r>
        <w:rPr>
          <w:color w:val="231F1F"/>
        </w:rPr>
        <w:t>incluye a 717 mujeres nulíparas, con embarazo único a término en presentación </w:t>
      </w:r>
      <w:r>
        <w:rPr>
          <w:color w:val="231F1F"/>
          <w:w w:val="110"/>
        </w:rPr>
        <w:t>cefálica,</w:t>
      </w:r>
      <w:r>
        <w:rPr>
          <w:color w:val="231F1F"/>
          <w:spacing w:val="-15"/>
          <w:w w:val="110"/>
        </w:rPr>
        <w:t> </w:t>
      </w:r>
      <w:r>
        <w:rPr>
          <w:color w:val="231F1F"/>
          <w:w w:val="110"/>
        </w:rPr>
        <w:t>en</w:t>
      </w:r>
      <w:r>
        <w:rPr>
          <w:color w:val="231F1F"/>
          <w:spacing w:val="-14"/>
          <w:w w:val="110"/>
        </w:rPr>
        <w:t> </w:t>
      </w:r>
      <w:r>
        <w:rPr>
          <w:color w:val="231F1F"/>
          <w:w w:val="110"/>
        </w:rPr>
        <w:t>quienes</w:t>
      </w:r>
      <w:r>
        <w:rPr>
          <w:color w:val="231F1F"/>
          <w:spacing w:val="-14"/>
          <w:w w:val="110"/>
        </w:rPr>
        <w:t> </w:t>
      </w:r>
      <w:r>
        <w:rPr>
          <w:color w:val="231F1F"/>
          <w:w w:val="110"/>
        </w:rPr>
        <w:t>se</w:t>
      </w:r>
      <w:r>
        <w:rPr>
          <w:color w:val="231F1F"/>
          <w:spacing w:val="-14"/>
          <w:w w:val="110"/>
        </w:rPr>
        <w:t> </w:t>
      </w:r>
      <w:r>
        <w:rPr>
          <w:color w:val="231F1F"/>
          <w:w w:val="110"/>
        </w:rPr>
        <w:t>anticipaba</w:t>
      </w:r>
      <w:r>
        <w:rPr>
          <w:color w:val="231F1F"/>
          <w:spacing w:val="-14"/>
          <w:w w:val="110"/>
        </w:rPr>
        <w:t> </w:t>
      </w:r>
      <w:r>
        <w:rPr>
          <w:color w:val="231F1F"/>
          <w:w w:val="110"/>
        </w:rPr>
        <w:t>un</w:t>
      </w:r>
      <w:r>
        <w:rPr>
          <w:color w:val="231F1F"/>
          <w:spacing w:val="-14"/>
          <w:w w:val="110"/>
        </w:rPr>
        <w:t> </w:t>
      </w:r>
      <w:r>
        <w:rPr>
          <w:color w:val="231F1F"/>
          <w:w w:val="110"/>
        </w:rPr>
        <w:t>parto</w:t>
      </w:r>
      <w:r>
        <w:rPr>
          <w:color w:val="231F1F"/>
          <w:spacing w:val="-14"/>
          <w:w w:val="110"/>
        </w:rPr>
        <w:t> </w:t>
      </w:r>
      <w:r>
        <w:rPr>
          <w:color w:val="231F1F"/>
          <w:w w:val="110"/>
        </w:rPr>
        <w:t>normal</w:t>
      </w:r>
      <w:r>
        <w:rPr>
          <w:color w:val="231F1F"/>
          <w:spacing w:val="-15"/>
          <w:w w:val="110"/>
        </w:rPr>
        <w:t> </w:t>
      </w:r>
      <w:r>
        <w:rPr>
          <w:color w:val="231F1F"/>
          <w:w w:val="110"/>
        </w:rPr>
        <w:t>y</w:t>
      </w:r>
      <w:r>
        <w:rPr>
          <w:color w:val="231F1F"/>
          <w:spacing w:val="-14"/>
          <w:w w:val="110"/>
        </w:rPr>
        <w:t> </w:t>
      </w:r>
      <w:r>
        <w:rPr>
          <w:color w:val="231F1F"/>
          <w:w w:val="110"/>
        </w:rPr>
        <w:t>que</w:t>
      </w:r>
      <w:r>
        <w:rPr>
          <w:color w:val="231F1F"/>
          <w:spacing w:val="-14"/>
          <w:w w:val="110"/>
        </w:rPr>
        <w:t> </w:t>
      </w:r>
      <w:r>
        <w:rPr>
          <w:color w:val="231F1F"/>
          <w:w w:val="110"/>
        </w:rPr>
        <w:t>no</w:t>
      </w:r>
      <w:r>
        <w:rPr>
          <w:color w:val="231F1F"/>
          <w:spacing w:val="-14"/>
          <w:w w:val="110"/>
        </w:rPr>
        <w:t> </w:t>
      </w:r>
      <w:r>
        <w:rPr>
          <w:color w:val="231F1F"/>
          <w:w w:val="110"/>
        </w:rPr>
        <w:t>habían</w:t>
      </w:r>
      <w:r>
        <w:rPr>
          <w:color w:val="231F1F"/>
          <w:spacing w:val="-14"/>
          <w:w w:val="110"/>
        </w:rPr>
        <w:t> </w:t>
      </w:r>
      <w:r>
        <w:rPr>
          <w:color w:val="231F1F"/>
          <w:w w:val="110"/>
        </w:rPr>
        <w:t>ejecutado masaje</w:t>
      </w:r>
      <w:r>
        <w:rPr>
          <w:color w:val="231F1F"/>
          <w:spacing w:val="-7"/>
          <w:w w:val="110"/>
        </w:rPr>
        <w:t> </w:t>
      </w:r>
      <w:r>
        <w:rPr>
          <w:color w:val="231F1F"/>
          <w:w w:val="110"/>
        </w:rPr>
        <w:t>perineal.</w:t>
      </w:r>
      <w:r>
        <w:rPr>
          <w:color w:val="231F1F"/>
          <w:spacing w:val="-8"/>
          <w:w w:val="110"/>
        </w:rPr>
        <w:t> </w:t>
      </w:r>
      <w:r>
        <w:rPr>
          <w:color w:val="231F1F"/>
          <w:w w:val="110"/>
        </w:rPr>
        <w:t>Las</w:t>
      </w:r>
      <w:r>
        <w:rPr>
          <w:color w:val="231F1F"/>
          <w:spacing w:val="-7"/>
          <w:w w:val="110"/>
        </w:rPr>
        <w:t> </w:t>
      </w:r>
      <w:r>
        <w:rPr>
          <w:color w:val="231F1F"/>
          <w:w w:val="110"/>
        </w:rPr>
        <w:t>mujeres</w:t>
      </w:r>
      <w:r>
        <w:rPr>
          <w:color w:val="231F1F"/>
          <w:spacing w:val="-7"/>
          <w:w w:val="110"/>
        </w:rPr>
        <w:t> </w:t>
      </w:r>
      <w:r>
        <w:rPr>
          <w:color w:val="231F1F"/>
          <w:w w:val="110"/>
        </w:rPr>
        <w:t>fueron</w:t>
      </w:r>
      <w:r>
        <w:rPr>
          <w:color w:val="231F1F"/>
          <w:spacing w:val="-7"/>
          <w:w w:val="110"/>
        </w:rPr>
        <w:t> </w:t>
      </w:r>
      <w:r>
        <w:rPr>
          <w:color w:val="231F1F"/>
          <w:w w:val="110"/>
        </w:rPr>
        <w:t>aleatorizadas</w:t>
      </w:r>
      <w:r>
        <w:rPr>
          <w:color w:val="231F1F"/>
          <w:spacing w:val="-7"/>
          <w:w w:val="110"/>
        </w:rPr>
        <w:t> </w:t>
      </w:r>
      <w:r>
        <w:rPr>
          <w:color w:val="231F1F"/>
          <w:w w:val="110"/>
        </w:rPr>
        <w:t>a</w:t>
      </w:r>
      <w:r>
        <w:rPr>
          <w:color w:val="231F1F"/>
          <w:spacing w:val="-7"/>
          <w:w w:val="110"/>
        </w:rPr>
        <w:t> </w:t>
      </w:r>
      <w:r>
        <w:rPr>
          <w:color w:val="231F1F"/>
          <w:w w:val="110"/>
        </w:rPr>
        <w:t>dos</w:t>
      </w:r>
      <w:r>
        <w:rPr>
          <w:color w:val="231F1F"/>
          <w:spacing w:val="-7"/>
          <w:w w:val="110"/>
        </w:rPr>
        <w:t> </w:t>
      </w:r>
      <w:r>
        <w:rPr>
          <w:color w:val="231F1F"/>
          <w:w w:val="110"/>
        </w:rPr>
        <w:t>grupos,</w:t>
      </w:r>
      <w:r>
        <w:rPr>
          <w:color w:val="231F1F"/>
          <w:spacing w:val="-7"/>
          <w:w w:val="110"/>
        </w:rPr>
        <w:t> </w:t>
      </w:r>
      <w:r>
        <w:rPr>
          <w:color w:val="231F1F"/>
          <w:w w:val="110"/>
        </w:rPr>
        <w:t>en</w:t>
      </w:r>
      <w:r>
        <w:rPr>
          <w:color w:val="231F1F"/>
          <w:spacing w:val="-7"/>
          <w:w w:val="110"/>
        </w:rPr>
        <w:t> </w:t>
      </w:r>
      <w:r>
        <w:rPr>
          <w:color w:val="231F1F"/>
          <w:w w:val="110"/>
        </w:rPr>
        <w:t>el</w:t>
      </w:r>
      <w:r>
        <w:rPr>
          <w:color w:val="231F1F"/>
          <w:spacing w:val="-7"/>
          <w:w w:val="110"/>
        </w:rPr>
        <w:t> </w:t>
      </w:r>
      <w:r>
        <w:rPr>
          <w:color w:val="231F1F"/>
          <w:w w:val="110"/>
        </w:rPr>
        <w:t>grupo intervención</w:t>
      </w:r>
      <w:r>
        <w:rPr>
          <w:color w:val="231F1F"/>
          <w:spacing w:val="-10"/>
          <w:w w:val="110"/>
        </w:rPr>
        <w:t> </w:t>
      </w:r>
      <w:r>
        <w:rPr>
          <w:color w:val="231F1F"/>
          <w:w w:val="110"/>
        </w:rPr>
        <w:t>se</w:t>
      </w:r>
      <w:r>
        <w:rPr>
          <w:color w:val="231F1F"/>
          <w:spacing w:val="-10"/>
          <w:w w:val="110"/>
        </w:rPr>
        <w:t> </w:t>
      </w:r>
      <w:r>
        <w:rPr>
          <w:color w:val="231F1F"/>
          <w:w w:val="110"/>
        </w:rPr>
        <w:t>han</w:t>
      </w:r>
      <w:r>
        <w:rPr>
          <w:color w:val="231F1F"/>
          <w:spacing w:val="-10"/>
          <w:w w:val="110"/>
        </w:rPr>
        <w:t> </w:t>
      </w:r>
      <w:r>
        <w:rPr>
          <w:color w:val="231F1F"/>
          <w:w w:val="110"/>
        </w:rPr>
        <w:t>aplicado</w:t>
      </w:r>
      <w:r>
        <w:rPr>
          <w:color w:val="231F1F"/>
          <w:spacing w:val="-10"/>
          <w:w w:val="110"/>
        </w:rPr>
        <w:t> </w:t>
      </w:r>
      <w:r>
        <w:rPr>
          <w:color w:val="231F1F"/>
          <w:w w:val="110"/>
        </w:rPr>
        <w:t>las</w:t>
      </w:r>
      <w:r>
        <w:rPr>
          <w:color w:val="231F1F"/>
          <w:spacing w:val="-10"/>
          <w:w w:val="110"/>
        </w:rPr>
        <w:t> </w:t>
      </w:r>
      <w:r>
        <w:rPr>
          <w:color w:val="231F1F"/>
          <w:w w:val="110"/>
        </w:rPr>
        <w:t>compresas</w:t>
      </w:r>
      <w:r>
        <w:rPr>
          <w:color w:val="231F1F"/>
          <w:spacing w:val="-10"/>
          <w:w w:val="110"/>
        </w:rPr>
        <w:t> </w:t>
      </w:r>
      <w:r>
        <w:rPr>
          <w:color w:val="231F1F"/>
          <w:w w:val="110"/>
        </w:rPr>
        <w:t>calientes</w:t>
      </w:r>
      <w:r>
        <w:rPr>
          <w:color w:val="231F1F"/>
          <w:spacing w:val="-11"/>
          <w:w w:val="110"/>
        </w:rPr>
        <w:t> </w:t>
      </w:r>
      <w:r>
        <w:rPr>
          <w:color w:val="231F1F"/>
          <w:w w:val="110"/>
        </w:rPr>
        <w:t>desde,</w:t>
      </w:r>
      <w:r>
        <w:rPr>
          <w:color w:val="231F1F"/>
          <w:spacing w:val="-11"/>
          <w:w w:val="110"/>
        </w:rPr>
        <w:t> </w:t>
      </w:r>
      <w:r>
        <w:rPr>
          <w:color w:val="231F1F"/>
          <w:w w:val="110"/>
        </w:rPr>
        <w:t>el</w:t>
      </w:r>
      <w:r>
        <w:rPr>
          <w:color w:val="231F1F"/>
          <w:spacing w:val="-11"/>
          <w:w w:val="110"/>
        </w:rPr>
        <w:t> </w:t>
      </w:r>
      <w:r>
        <w:rPr>
          <w:color w:val="231F1F"/>
          <w:w w:val="110"/>
        </w:rPr>
        <w:t>final</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se- gunda etapa del trabajo de parto hasta coronarse el niño, comparado con el manejo</w:t>
      </w:r>
      <w:r>
        <w:rPr>
          <w:color w:val="231F1F"/>
          <w:spacing w:val="-16"/>
          <w:w w:val="110"/>
        </w:rPr>
        <w:t> </w:t>
      </w:r>
      <w:r>
        <w:rPr>
          <w:color w:val="231F1F"/>
          <w:w w:val="110"/>
        </w:rPr>
        <w:t>habitual</w:t>
      </w:r>
      <w:r>
        <w:rPr>
          <w:color w:val="231F1F"/>
          <w:spacing w:val="-15"/>
          <w:w w:val="110"/>
        </w:rPr>
        <w:t> </w:t>
      </w:r>
      <w:r>
        <w:rPr>
          <w:color w:val="231F1F"/>
          <w:w w:val="110"/>
        </w:rPr>
        <w:t>que</w:t>
      </w:r>
      <w:r>
        <w:rPr>
          <w:color w:val="231F1F"/>
          <w:spacing w:val="-15"/>
          <w:w w:val="110"/>
        </w:rPr>
        <w:t> </w:t>
      </w:r>
      <w:r>
        <w:rPr>
          <w:color w:val="231F1F"/>
          <w:w w:val="110"/>
        </w:rPr>
        <w:t>no</w:t>
      </w:r>
      <w:r>
        <w:rPr>
          <w:color w:val="231F1F"/>
          <w:spacing w:val="-15"/>
          <w:w w:val="110"/>
        </w:rPr>
        <w:t> </w:t>
      </w:r>
      <w:r>
        <w:rPr>
          <w:color w:val="231F1F"/>
          <w:w w:val="110"/>
        </w:rPr>
        <w:t>incluye</w:t>
      </w:r>
      <w:r>
        <w:rPr>
          <w:color w:val="231F1F"/>
          <w:spacing w:val="-15"/>
          <w:w w:val="110"/>
        </w:rPr>
        <w:t> </w:t>
      </w:r>
      <w:r>
        <w:rPr>
          <w:color w:val="231F1F"/>
          <w:w w:val="110"/>
        </w:rPr>
        <w:t>paños</w:t>
      </w:r>
      <w:r>
        <w:rPr>
          <w:color w:val="231F1F"/>
          <w:spacing w:val="-15"/>
          <w:w w:val="110"/>
        </w:rPr>
        <w:t> </w:t>
      </w:r>
      <w:r>
        <w:rPr>
          <w:color w:val="231F1F"/>
          <w:w w:val="110"/>
        </w:rPr>
        <w:t>tibios</w:t>
      </w:r>
      <w:r>
        <w:rPr>
          <w:color w:val="231F1F"/>
          <w:spacing w:val="-15"/>
          <w:w w:val="110"/>
        </w:rPr>
        <w:t> </w:t>
      </w:r>
      <w:r>
        <w:rPr>
          <w:color w:val="231F1F"/>
          <w:w w:val="110"/>
        </w:rPr>
        <w:t>del</w:t>
      </w:r>
      <w:r>
        <w:rPr>
          <w:color w:val="231F1F"/>
          <w:spacing w:val="-15"/>
          <w:w w:val="110"/>
        </w:rPr>
        <w:t> </w:t>
      </w:r>
      <w:r>
        <w:rPr>
          <w:color w:val="231F1F"/>
          <w:w w:val="110"/>
        </w:rPr>
        <w:t>grupo</w:t>
      </w:r>
      <w:r>
        <w:rPr>
          <w:color w:val="231F1F"/>
          <w:spacing w:val="-16"/>
          <w:w w:val="110"/>
        </w:rPr>
        <w:t> </w:t>
      </w:r>
      <w:r>
        <w:rPr>
          <w:color w:val="231F1F"/>
          <w:w w:val="110"/>
        </w:rPr>
        <w:t>control.</w:t>
      </w:r>
      <w:r>
        <w:rPr>
          <w:color w:val="231F1F"/>
          <w:spacing w:val="-15"/>
          <w:w w:val="110"/>
        </w:rPr>
        <w:t> </w:t>
      </w:r>
      <w:r>
        <w:rPr>
          <w:color w:val="231F1F"/>
          <w:w w:val="110"/>
        </w:rPr>
        <w:t>Si</w:t>
      </w:r>
      <w:r>
        <w:rPr>
          <w:color w:val="231F1F"/>
          <w:spacing w:val="-15"/>
          <w:w w:val="110"/>
        </w:rPr>
        <w:t> </w:t>
      </w:r>
      <w:r>
        <w:rPr>
          <w:color w:val="231F1F"/>
          <w:w w:val="110"/>
        </w:rPr>
        <w:t>bien</w:t>
      </w:r>
      <w:r>
        <w:rPr>
          <w:color w:val="231F1F"/>
          <w:spacing w:val="-15"/>
          <w:w w:val="110"/>
        </w:rPr>
        <w:t> </w:t>
      </w:r>
      <w:r>
        <w:rPr>
          <w:color w:val="231F1F"/>
          <w:w w:val="110"/>
        </w:rPr>
        <w:t>no</w:t>
      </w:r>
      <w:r>
        <w:rPr>
          <w:color w:val="231F1F"/>
          <w:spacing w:val="-15"/>
          <w:w w:val="110"/>
        </w:rPr>
        <w:t> </w:t>
      </w:r>
      <w:r>
        <w:rPr>
          <w:color w:val="231F1F"/>
          <w:w w:val="110"/>
        </w:rPr>
        <w:t>fue posible</w:t>
      </w:r>
      <w:r>
        <w:rPr>
          <w:color w:val="231F1F"/>
          <w:spacing w:val="-7"/>
          <w:w w:val="110"/>
        </w:rPr>
        <w:t> </w:t>
      </w:r>
      <w:r>
        <w:rPr>
          <w:color w:val="231F1F"/>
          <w:w w:val="110"/>
        </w:rPr>
        <w:t>ocultar</w:t>
      </w:r>
      <w:r>
        <w:rPr>
          <w:color w:val="231F1F"/>
          <w:spacing w:val="-8"/>
          <w:w w:val="110"/>
        </w:rPr>
        <w:t> </w:t>
      </w:r>
      <w:r>
        <w:rPr>
          <w:color w:val="231F1F"/>
          <w:w w:val="110"/>
        </w:rPr>
        <w:t>el</w:t>
      </w:r>
      <w:r>
        <w:rPr>
          <w:color w:val="231F1F"/>
          <w:spacing w:val="-8"/>
          <w:w w:val="110"/>
        </w:rPr>
        <w:t> </w:t>
      </w:r>
      <w:r>
        <w:rPr>
          <w:color w:val="231F1F"/>
          <w:w w:val="110"/>
        </w:rPr>
        <w:t>procedimiento</w:t>
      </w:r>
      <w:r>
        <w:rPr>
          <w:color w:val="231F1F"/>
          <w:spacing w:val="-8"/>
          <w:w w:val="110"/>
        </w:rPr>
        <w:t> </w:t>
      </w:r>
      <w:r>
        <w:rPr>
          <w:color w:val="231F1F"/>
          <w:w w:val="110"/>
        </w:rPr>
        <w:t>a</w:t>
      </w:r>
      <w:r>
        <w:rPr>
          <w:color w:val="231F1F"/>
          <w:spacing w:val="-8"/>
          <w:w w:val="110"/>
        </w:rPr>
        <w:t> </w:t>
      </w:r>
      <w:r>
        <w:rPr>
          <w:color w:val="231F1F"/>
          <w:w w:val="110"/>
        </w:rPr>
        <w:t>las</w:t>
      </w:r>
      <w:r>
        <w:rPr>
          <w:color w:val="231F1F"/>
          <w:spacing w:val="-8"/>
          <w:w w:val="110"/>
        </w:rPr>
        <w:t> </w:t>
      </w:r>
      <w:r>
        <w:rPr>
          <w:color w:val="231F1F"/>
          <w:w w:val="110"/>
        </w:rPr>
        <w:t>mujeres</w:t>
      </w:r>
      <w:r>
        <w:rPr>
          <w:color w:val="231F1F"/>
          <w:spacing w:val="-8"/>
          <w:w w:val="110"/>
        </w:rPr>
        <w:t> </w:t>
      </w:r>
      <w:r>
        <w:rPr>
          <w:color w:val="231F1F"/>
          <w:w w:val="110"/>
        </w:rPr>
        <w:t>o</w:t>
      </w:r>
      <w:r>
        <w:rPr>
          <w:color w:val="231F1F"/>
          <w:spacing w:val="-8"/>
          <w:w w:val="110"/>
        </w:rPr>
        <w:t> </w:t>
      </w:r>
      <w:r>
        <w:rPr>
          <w:color w:val="231F1F"/>
          <w:w w:val="110"/>
        </w:rPr>
        <w:t>a</w:t>
      </w:r>
      <w:r>
        <w:rPr>
          <w:color w:val="231F1F"/>
          <w:spacing w:val="-8"/>
          <w:w w:val="110"/>
        </w:rPr>
        <w:t> </w:t>
      </w:r>
      <w:r>
        <w:rPr>
          <w:color w:val="231F1F"/>
          <w:w w:val="110"/>
        </w:rPr>
        <w:t>quienes</w:t>
      </w:r>
      <w:r>
        <w:rPr>
          <w:color w:val="231F1F"/>
          <w:spacing w:val="-8"/>
          <w:w w:val="110"/>
        </w:rPr>
        <w:t> </w:t>
      </w:r>
      <w:r>
        <w:rPr>
          <w:color w:val="231F1F"/>
          <w:w w:val="110"/>
        </w:rPr>
        <w:t>atendían</w:t>
      </w:r>
      <w:r>
        <w:rPr>
          <w:color w:val="231F1F"/>
          <w:spacing w:val="-8"/>
          <w:w w:val="110"/>
        </w:rPr>
        <w:t> </w:t>
      </w:r>
      <w:r>
        <w:rPr>
          <w:color w:val="231F1F"/>
          <w:w w:val="110"/>
        </w:rPr>
        <w:t>el</w:t>
      </w:r>
      <w:r>
        <w:rPr>
          <w:color w:val="231F1F"/>
          <w:spacing w:val="-8"/>
          <w:w w:val="110"/>
        </w:rPr>
        <w:t> </w:t>
      </w:r>
      <w:r>
        <w:rPr>
          <w:color w:val="231F1F"/>
          <w:w w:val="110"/>
        </w:rPr>
        <w:t>parto, </w:t>
      </w:r>
      <w:r>
        <w:rPr>
          <w:color w:val="231F1F"/>
        </w:rPr>
        <w:t>los</w:t>
      </w:r>
      <w:r>
        <w:rPr>
          <w:color w:val="231F1F"/>
          <w:spacing w:val="40"/>
        </w:rPr>
        <w:t> </w:t>
      </w:r>
      <w:r>
        <w:rPr>
          <w:color w:val="231F1F"/>
        </w:rPr>
        <w:t>evaluadores</w:t>
      </w:r>
      <w:r>
        <w:rPr>
          <w:color w:val="231F1F"/>
          <w:spacing w:val="40"/>
        </w:rPr>
        <w:t> </w:t>
      </w:r>
      <w:r>
        <w:rPr>
          <w:color w:val="231F1F"/>
        </w:rPr>
        <w:t>externos</w:t>
      </w:r>
      <w:r>
        <w:rPr>
          <w:color w:val="231F1F"/>
          <w:spacing w:val="40"/>
        </w:rPr>
        <w:t> </w:t>
      </w:r>
      <w:r>
        <w:rPr>
          <w:color w:val="231F1F"/>
        </w:rPr>
        <w:t>eran</w:t>
      </w:r>
      <w:r>
        <w:rPr>
          <w:color w:val="231F1F"/>
          <w:spacing w:val="40"/>
        </w:rPr>
        <w:t> </w:t>
      </w:r>
      <w:r>
        <w:rPr>
          <w:color w:val="231F1F"/>
        </w:rPr>
        <w:t>ciegos.</w:t>
      </w:r>
      <w:r>
        <w:rPr>
          <w:color w:val="231F1F"/>
          <w:spacing w:val="40"/>
        </w:rPr>
        <w:t> </w:t>
      </w:r>
      <w:r>
        <w:rPr>
          <w:color w:val="231F1F"/>
        </w:rPr>
        <w:t>El</w:t>
      </w:r>
      <w:r>
        <w:rPr>
          <w:color w:val="231F1F"/>
          <w:spacing w:val="40"/>
        </w:rPr>
        <w:t> </w:t>
      </w:r>
      <w:r>
        <w:rPr>
          <w:color w:val="231F1F"/>
        </w:rPr>
        <w:t>ensayo</w:t>
      </w:r>
      <w:r>
        <w:rPr>
          <w:color w:val="231F1F"/>
          <w:spacing w:val="40"/>
        </w:rPr>
        <w:t> </w:t>
      </w:r>
      <w:r>
        <w:rPr>
          <w:color w:val="231F1F"/>
        </w:rPr>
        <w:t>fue</w:t>
      </w:r>
      <w:r>
        <w:rPr>
          <w:color w:val="231F1F"/>
          <w:spacing w:val="40"/>
        </w:rPr>
        <w:t> </w:t>
      </w:r>
      <w:r>
        <w:rPr>
          <w:color w:val="231F1F"/>
        </w:rPr>
        <w:t>conducido</w:t>
      </w:r>
      <w:r>
        <w:rPr>
          <w:color w:val="231F1F"/>
          <w:spacing w:val="40"/>
        </w:rPr>
        <w:t> </w:t>
      </w:r>
      <w:r>
        <w:rPr>
          <w:color w:val="231F1F"/>
        </w:rPr>
        <w:t>en</w:t>
      </w:r>
      <w:r>
        <w:rPr>
          <w:color w:val="231F1F"/>
          <w:spacing w:val="40"/>
        </w:rPr>
        <w:t> </w:t>
      </w:r>
      <w:r>
        <w:rPr>
          <w:color w:val="231F1F"/>
        </w:rPr>
        <w:t>una</w:t>
      </w:r>
      <w:r>
        <w:rPr>
          <w:color w:val="231F1F"/>
          <w:spacing w:val="40"/>
        </w:rPr>
        <w:t> </w:t>
      </w:r>
      <w:r>
        <w:rPr>
          <w:color w:val="231F1F"/>
        </w:rPr>
        <w:t>pobla-</w:t>
      </w:r>
    </w:p>
    <w:p>
      <w:pPr>
        <w:pStyle w:val="BodyText"/>
        <w:spacing w:after="0" w:line="252" w:lineRule="auto"/>
        <w:jc w:val="both"/>
        <w:sectPr>
          <w:pgSz w:w="11900" w:h="16840"/>
          <w:pgMar w:header="0" w:footer="622" w:top="1560" w:bottom="820" w:left="1417" w:right="1559"/>
        </w:sectPr>
      </w:pPr>
    </w:p>
    <w:p>
      <w:pPr>
        <w:pStyle w:val="BodyText"/>
        <w:spacing w:line="244" w:lineRule="auto" w:before="73"/>
        <w:ind w:left="283" w:right="6"/>
        <w:jc w:val="both"/>
      </w:pPr>
      <w:r>
        <w:rPr>
          <w:color w:val="231F1F"/>
          <w:w w:val="110"/>
        </w:rPr>
        <w:t>ción</w:t>
      </w:r>
      <w:r>
        <w:rPr>
          <w:color w:val="231F1F"/>
          <w:spacing w:val="-10"/>
          <w:w w:val="110"/>
        </w:rPr>
        <w:t> </w:t>
      </w:r>
      <w:r>
        <w:rPr>
          <w:color w:val="231F1F"/>
          <w:w w:val="110"/>
        </w:rPr>
        <w:t>étnicamente</w:t>
      </w:r>
      <w:r>
        <w:rPr>
          <w:color w:val="231F1F"/>
          <w:spacing w:val="-10"/>
          <w:w w:val="110"/>
        </w:rPr>
        <w:t> </w:t>
      </w:r>
      <w:r>
        <w:rPr>
          <w:color w:val="231F1F"/>
          <w:w w:val="110"/>
        </w:rPr>
        <w:t>diversa</w:t>
      </w:r>
      <w:r>
        <w:rPr>
          <w:color w:val="231F1F"/>
          <w:spacing w:val="-10"/>
          <w:w w:val="110"/>
        </w:rPr>
        <w:t> </w:t>
      </w:r>
      <w:r>
        <w:rPr>
          <w:color w:val="231F1F"/>
          <w:w w:val="110"/>
        </w:rPr>
        <w:t>en</w:t>
      </w:r>
      <w:r>
        <w:rPr>
          <w:color w:val="231F1F"/>
          <w:spacing w:val="-10"/>
          <w:w w:val="110"/>
        </w:rPr>
        <w:t> </w:t>
      </w:r>
      <w:r>
        <w:rPr>
          <w:color w:val="231F1F"/>
          <w:w w:val="110"/>
        </w:rPr>
        <w:t>Australia,</w:t>
      </w:r>
      <w:r>
        <w:rPr>
          <w:color w:val="231F1F"/>
          <w:spacing w:val="-10"/>
          <w:w w:val="110"/>
        </w:rPr>
        <w:t> </w:t>
      </w:r>
      <w:r>
        <w:rPr>
          <w:color w:val="231F1F"/>
          <w:w w:val="110"/>
        </w:rPr>
        <w:t>donde</w:t>
      </w:r>
      <w:r>
        <w:rPr>
          <w:color w:val="231F1F"/>
          <w:spacing w:val="-10"/>
          <w:w w:val="110"/>
        </w:rPr>
        <w:t> </w:t>
      </w:r>
      <w:r>
        <w:rPr>
          <w:color w:val="231F1F"/>
          <w:w w:val="110"/>
        </w:rPr>
        <w:t>el</w:t>
      </w:r>
      <w:r>
        <w:rPr>
          <w:color w:val="231F1F"/>
          <w:spacing w:val="-10"/>
          <w:w w:val="110"/>
        </w:rPr>
        <w:t> </w:t>
      </w:r>
      <w:r>
        <w:rPr>
          <w:color w:val="231F1F"/>
          <w:w w:val="110"/>
        </w:rPr>
        <w:t>75%</w:t>
      </w:r>
      <w:r>
        <w:rPr>
          <w:color w:val="231F1F"/>
          <w:spacing w:val="-10"/>
          <w:w w:val="110"/>
        </w:rPr>
        <w:t> </w:t>
      </w:r>
      <w:r>
        <w:rPr>
          <w:color w:val="231F1F"/>
          <w:w w:val="110"/>
        </w:rPr>
        <w:t>de</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eran</w:t>
      </w:r>
      <w:r>
        <w:rPr>
          <w:color w:val="231F1F"/>
          <w:spacing w:val="-10"/>
          <w:w w:val="110"/>
        </w:rPr>
        <w:t> </w:t>
      </w:r>
      <w:r>
        <w:rPr>
          <w:color w:val="231F1F"/>
          <w:w w:val="110"/>
        </w:rPr>
        <w:t>in- migrantes de otros países.</w:t>
      </w:r>
    </w:p>
    <w:p>
      <w:pPr>
        <w:pStyle w:val="BodyText"/>
        <w:spacing w:line="249" w:lineRule="auto" w:before="117"/>
        <w:ind w:left="283" w:right="1" w:firstLine="453"/>
        <w:jc w:val="both"/>
      </w:pPr>
      <w:r>
        <w:rPr>
          <w:color w:val="231F1F"/>
          <w:spacing w:val="-2"/>
          <w:w w:val="110"/>
        </w:rPr>
        <w:t>Con</w:t>
      </w:r>
      <w:r>
        <w:rPr>
          <w:color w:val="231F1F"/>
          <w:spacing w:val="-12"/>
          <w:w w:val="110"/>
        </w:rPr>
        <w:t> </w:t>
      </w:r>
      <w:r>
        <w:rPr>
          <w:color w:val="231F1F"/>
          <w:spacing w:val="-2"/>
          <w:w w:val="110"/>
        </w:rPr>
        <w:t>un</w:t>
      </w:r>
      <w:r>
        <w:rPr>
          <w:color w:val="231F1F"/>
          <w:spacing w:val="-12"/>
          <w:w w:val="110"/>
        </w:rPr>
        <w:t> </w:t>
      </w:r>
      <w:r>
        <w:rPr>
          <w:color w:val="231F1F"/>
          <w:spacing w:val="-2"/>
          <w:w w:val="110"/>
        </w:rPr>
        <w:t>tamaño</w:t>
      </w:r>
      <w:r>
        <w:rPr>
          <w:color w:val="231F1F"/>
          <w:spacing w:val="-11"/>
          <w:w w:val="110"/>
        </w:rPr>
        <w:t> </w:t>
      </w:r>
      <w:r>
        <w:rPr>
          <w:color w:val="231F1F"/>
          <w:spacing w:val="-2"/>
          <w:w w:val="110"/>
        </w:rPr>
        <w:t>muestral</w:t>
      </w:r>
      <w:r>
        <w:rPr>
          <w:color w:val="231F1F"/>
          <w:spacing w:val="-11"/>
          <w:w w:val="110"/>
        </w:rPr>
        <w:t> </w:t>
      </w:r>
      <w:r>
        <w:rPr>
          <w:color w:val="231F1F"/>
          <w:spacing w:val="-2"/>
          <w:w w:val="110"/>
        </w:rPr>
        <w:t>adecuado</w:t>
      </w:r>
      <w:r>
        <w:rPr>
          <w:color w:val="231F1F"/>
          <w:spacing w:val="-11"/>
          <w:w w:val="110"/>
        </w:rPr>
        <w:t> </w:t>
      </w:r>
      <w:r>
        <w:rPr>
          <w:color w:val="231F1F"/>
          <w:spacing w:val="-2"/>
          <w:w w:val="110"/>
        </w:rPr>
        <w:t>para</w:t>
      </w:r>
      <w:r>
        <w:rPr>
          <w:color w:val="231F1F"/>
          <w:spacing w:val="-12"/>
          <w:w w:val="110"/>
        </w:rPr>
        <w:t> </w:t>
      </w:r>
      <w:r>
        <w:rPr>
          <w:color w:val="231F1F"/>
          <w:spacing w:val="-2"/>
          <w:w w:val="110"/>
        </w:rPr>
        <w:t>detectar</w:t>
      </w:r>
      <w:r>
        <w:rPr>
          <w:color w:val="231F1F"/>
          <w:spacing w:val="-12"/>
          <w:w w:val="110"/>
        </w:rPr>
        <w:t> </w:t>
      </w:r>
      <w:r>
        <w:rPr>
          <w:color w:val="231F1F"/>
          <w:spacing w:val="-2"/>
          <w:w w:val="110"/>
        </w:rPr>
        <w:t>una</w:t>
      </w:r>
      <w:r>
        <w:rPr>
          <w:color w:val="231F1F"/>
          <w:spacing w:val="-12"/>
          <w:w w:val="110"/>
        </w:rPr>
        <w:t> </w:t>
      </w:r>
      <w:r>
        <w:rPr>
          <w:color w:val="231F1F"/>
          <w:spacing w:val="-2"/>
          <w:w w:val="110"/>
        </w:rPr>
        <w:t>diferencia</w:t>
      </w:r>
      <w:r>
        <w:rPr>
          <w:color w:val="231F1F"/>
          <w:spacing w:val="-12"/>
          <w:w w:val="110"/>
        </w:rPr>
        <w:t> </w:t>
      </w:r>
      <w:r>
        <w:rPr>
          <w:color w:val="231F1F"/>
          <w:spacing w:val="-2"/>
          <w:w w:val="110"/>
        </w:rPr>
        <w:t>del</w:t>
      </w:r>
      <w:r>
        <w:rPr>
          <w:color w:val="231F1F"/>
          <w:spacing w:val="-12"/>
          <w:w w:val="110"/>
        </w:rPr>
        <w:t> </w:t>
      </w:r>
      <w:r>
        <w:rPr>
          <w:color w:val="231F1F"/>
          <w:spacing w:val="-2"/>
          <w:w w:val="110"/>
        </w:rPr>
        <w:t>10%, </w:t>
      </w:r>
      <w:r>
        <w:rPr>
          <w:color w:val="231F1F"/>
          <w:w w:val="110"/>
        </w:rPr>
        <w:t>no se han encontrado diferencias en los grupos para el resultado principal, necesidad</w:t>
      </w:r>
      <w:r>
        <w:rPr>
          <w:color w:val="231F1F"/>
          <w:spacing w:val="-7"/>
          <w:w w:val="110"/>
        </w:rPr>
        <w:t> </w:t>
      </w:r>
      <w:r>
        <w:rPr>
          <w:color w:val="231F1F"/>
          <w:w w:val="110"/>
        </w:rPr>
        <w:t>de</w:t>
      </w:r>
      <w:r>
        <w:rPr>
          <w:color w:val="231F1F"/>
          <w:spacing w:val="-7"/>
          <w:w w:val="110"/>
        </w:rPr>
        <w:t> </w:t>
      </w:r>
      <w:r>
        <w:rPr>
          <w:color w:val="231F1F"/>
          <w:w w:val="110"/>
        </w:rPr>
        <w:t>sutura</w:t>
      </w:r>
      <w:r>
        <w:rPr>
          <w:color w:val="231F1F"/>
          <w:spacing w:val="-7"/>
          <w:w w:val="110"/>
        </w:rPr>
        <w:t> </w:t>
      </w:r>
      <w:r>
        <w:rPr>
          <w:color w:val="231F1F"/>
          <w:w w:val="110"/>
        </w:rPr>
        <w:t>perineal:</w:t>
      </w:r>
      <w:r>
        <w:rPr>
          <w:color w:val="231F1F"/>
          <w:spacing w:val="-7"/>
          <w:w w:val="110"/>
        </w:rPr>
        <w:t> </w:t>
      </w:r>
      <w:r>
        <w:rPr>
          <w:color w:val="231F1F"/>
          <w:w w:val="110"/>
        </w:rPr>
        <w:t>OR</w:t>
      </w:r>
      <w:r>
        <w:rPr>
          <w:color w:val="231F1F"/>
          <w:spacing w:val="-6"/>
          <w:w w:val="110"/>
        </w:rPr>
        <w:t> </w:t>
      </w:r>
      <w:r>
        <w:rPr>
          <w:color w:val="231F1F"/>
          <w:w w:val="110"/>
        </w:rPr>
        <w:t>1,0</w:t>
      </w:r>
      <w:r>
        <w:rPr>
          <w:color w:val="231F1F"/>
          <w:spacing w:val="-7"/>
          <w:w w:val="110"/>
        </w:rPr>
        <w:t> </w:t>
      </w:r>
      <w:r>
        <w:rPr>
          <w:color w:val="231F1F"/>
          <w:w w:val="110"/>
        </w:rPr>
        <w:t>[IC</w:t>
      </w:r>
      <w:r>
        <w:rPr>
          <w:color w:val="231F1F"/>
          <w:spacing w:val="-6"/>
          <w:w w:val="110"/>
        </w:rPr>
        <w:t> </w:t>
      </w:r>
      <w:r>
        <w:rPr>
          <w:color w:val="231F1F"/>
          <w:w w:val="110"/>
        </w:rPr>
        <w:t>95%</w:t>
      </w:r>
      <w:r>
        <w:rPr>
          <w:color w:val="231F1F"/>
          <w:spacing w:val="-5"/>
          <w:w w:val="110"/>
        </w:rPr>
        <w:t> </w:t>
      </w:r>
      <w:r>
        <w:rPr>
          <w:color w:val="231F1F"/>
          <w:w w:val="110"/>
        </w:rPr>
        <w:t>0,69</w:t>
      </w:r>
      <w:r>
        <w:rPr>
          <w:color w:val="231F1F"/>
          <w:spacing w:val="-7"/>
          <w:w w:val="110"/>
        </w:rPr>
        <w:t> </w:t>
      </w:r>
      <w:r>
        <w:rPr>
          <w:color w:val="231F1F"/>
          <w:w w:val="110"/>
        </w:rPr>
        <w:t>a</w:t>
      </w:r>
      <w:r>
        <w:rPr>
          <w:color w:val="231F1F"/>
          <w:spacing w:val="-7"/>
          <w:w w:val="110"/>
        </w:rPr>
        <w:t> </w:t>
      </w:r>
      <w:r>
        <w:rPr>
          <w:color w:val="231F1F"/>
          <w:w w:val="110"/>
        </w:rPr>
        <w:t>1,47].</w:t>
      </w:r>
      <w:r>
        <w:rPr>
          <w:color w:val="231F1F"/>
          <w:spacing w:val="-7"/>
          <w:w w:val="110"/>
        </w:rPr>
        <w:t> </w:t>
      </w:r>
      <w:r>
        <w:rPr>
          <w:color w:val="231F1F"/>
          <w:w w:val="110"/>
        </w:rPr>
        <w:t>Sin</w:t>
      </w:r>
      <w:r>
        <w:rPr>
          <w:color w:val="231F1F"/>
          <w:spacing w:val="-7"/>
          <w:w w:val="110"/>
        </w:rPr>
        <w:t> </w:t>
      </w:r>
      <w:r>
        <w:rPr>
          <w:color w:val="231F1F"/>
          <w:w w:val="110"/>
        </w:rPr>
        <w:t>embargo,</w:t>
      </w:r>
      <w:r>
        <w:rPr>
          <w:color w:val="231F1F"/>
          <w:spacing w:val="-7"/>
          <w:w w:val="110"/>
        </w:rPr>
        <w:t> </w:t>
      </w:r>
      <w:r>
        <w:rPr>
          <w:color w:val="231F1F"/>
          <w:w w:val="110"/>
        </w:rPr>
        <w:t>la tasa de laceraciones de tercer y cuarto grado ha sido mayor en el grupo de </w:t>
      </w:r>
      <w:r>
        <w:rPr>
          <w:color w:val="231F1F"/>
        </w:rPr>
        <w:t>control: OR 2,16 [IC 95% 1,15 a 4,10]. Las mujeres que recibieron compresas </w:t>
      </w:r>
      <w:r>
        <w:rPr>
          <w:color w:val="231F1F"/>
          <w:w w:val="110"/>
        </w:rPr>
        <w:t>calientes</w:t>
      </w:r>
      <w:r>
        <w:rPr>
          <w:color w:val="231F1F"/>
          <w:spacing w:val="-13"/>
          <w:w w:val="110"/>
        </w:rPr>
        <w:t> </w:t>
      </w:r>
      <w:r>
        <w:rPr>
          <w:color w:val="231F1F"/>
          <w:w w:val="110"/>
        </w:rPr>
        <w:t>tuvieron</w:t>
      </w:r>
      <w:r>
        <w:rPr>
          <w:color w:val="231F1F"/>
          <w:spacing w:val="-13"/>
          <w:w w:val="110"/>
        </w:rPr>
        <w:t> </w:t>
      </w:r>
      <w:r>
        <w:rPr>
          <w:color w:val="231F1F"/>
          <w:w w:val="110"/>
        </w:rPr>
        <w:t>una</w:t>
      </w:r>
      <w:r>
        <w:rPr>
          <w:color w:val="231F1F"/>
          <w:spacing w:val="-13"/>
          <w:w w:val="110"/>
        </w:rPr>
        <w:t> </w:t>
      </w:r>
      <w:r>
        <w:rPr>
          <w:color w:val="231F1F"/>
          <w:w w:val="110"/>
        </w:rPr>
        <w:t>menor</w:t>
      </w:r>
      <w:r>
        <w:rPr>
          <w:color w:val="231F1F"/>
          <w:spacing w:val="-13"/>
          <w:w w:val="110"/>
        </w:rPr>
        <w:t> </w:t>
      </w:r>
      <w:r>
        <w:rPr>
          <w:color w:val="231F1F"/>
          <w:w w:val="110"/>
        </w:rPr>
        <w:t>probabilidad</w:t>
      </w:r>
      <w:r>
        <w:rPr>
          <w:color w:val="231F1F"/>
          <w:spacing w:val="-13"/>
          <w:w w:val="110"/>
        </w:rPr>
        <w:t> </w:t>
      </w:r>
      <w:r>
        <w:rPr>
          <w:color w:val="231F1F"/>
          <w:w w:val="110"/>
        </w:rPr>
        <w:t>significativa</w:t>
      </w:r>
      <w:r>
        <w:rPr>
          <w:color w:val="231F1F"/>
          <w:spacing w:val="-13"/>
          <w:w w:val="110"/>
        </w:rPr>
        <w:t> </w:t>
      </w:r>
      <w:r>
        <w:rPr>
          <w:color w:val="231F1F"/>
          <w:w w:val="110"/>
        </w:rPr>
        <w:t>de</w:t>
      </w:r>
      <w:r>
        <w:rPr>
          <w:color w:val="231F1F"/>
          <w:spacing w:val="-13"/>
          <w:w w:val="110"/>
        </w:rPr>
        <w:t> </w:t>
      </w:r>
      <w:r>
        <w:rPr>
          <w:color w:val="231F1F"/>
          <w:w w:val="110"/>
        </w:rPr>
        <w:t>dolor</w:t>
      </w:r>
      <w:r>
        <w:rPr>
          <w:color w:val="231F1F"/>
          <w:spacing w:val="-13"/>
          <w:w w:val="110"/>
        </w:rPr>
        <w:t> </w:t>
      </w:r>
      <w:r>
        <w:rPr>
          <w:color w:val="231F1F"/>
          <w:w w:val="110"/>
        </w:rPr>
        <w:t>intenso</w:t>
      </w:r>
      <w:r>
        <w:rPr>
          <w:color w:val="231F1F"/>
          <w:spacing w:val="-13"/>
          <w:w w:val="110"/>
        </w:rPr>
        <w:t> </w:t>
      </w:r>
      <w:r>
        <w:rPr>
          <w:color w:val="231F1F"/>
          <w:w w:val="110"/>
        </w:rPr>
        <w:t>du- rante el parto que quienes no lo recibieron: 59% vs 82%, respectivamente. También</w:t>
      </w:r>
      <w:r>
        <w:rPr>
          <w:color w:val="231F1F"/>
          <w:spacing w:val="-2"/>
          <w:w w:val="110"/>
        </w:rPr>
        <w:t> </w:t>
      </w:r>
      <w:r>
        <w:rPr>
          <w:color w:val="231F1F"/>
          <w:w w:val="110"/>
        </w:rPr>
        <w:t>se</w:t>
      </w:r>
      <w:r>
        <w:rPr>
          <w:color w:val="231F1F"/>
          <w:spacing w:val="-2"/>
          <w:w w:val="110"/>
        </w:rPr>
        <w:t> </w:t>
      </w:r>
      <w:r>
        <w:rPr>
          <w:color w:val="231F1F"/>
          <w:w w:val="110"/>
        </w:rPr>
        <w:t>encontró</w:t>
      </w:r>
      <w:r>
        <w:rPr>
          <w:color w:val="231F1F"/>
          <w:spacing w:val="-2"/>
          <w:w w:val="110"/>
        </w:rPr>
        <w:t> </w:t>
      </w:r>
      <w:r>
        <w:rPr>
          <w:color w:val="231F1F"/>
          <w:w w:val="110"/>
        </w:rPr>
        <w:t>una</w:t>
      </w:r>
      <w:r>
        <w:rPr>
          <w:color w:val="231F1F"/>
          <w:spacing w:val="-2"/>
          <w:w w:val="110"/>
        </w:rPr>
        <w:t> </w:t>
      </w:r>
      <w:r>
        <w:rPr>
          <w:color w:val="231F1F"/>
          <w:w w:val="110"/>
        </w:rPr>
        <w:t>modesta,</w:t>
      </w:r>
      <w:r>
        <w:rPr>
          <w:color w:val="231F1F"/>
          <w:spacing w:val="-3"/>
          <w:w w:val="110"/>
        </w:rPr>
        <w:t> </w:t>
      </w:r>
      <w:r>
        <w:rPr>
          <w:color w:val="231F1F"/>
          <w:w w:val="110"/>
        </w:rPr>
        <w:t>pero</w:t>
      </w:r>
      <w:r>
        <w:rPr>
          <w:color w:val="231F1F"/>
          <w:spacing w:val="-2"/>
          <w:w w:val="110"/>
        </w:rPr>
        <w:t> </w:t>
      </w:r>
      <w:r>
        <w:rPr>
          <w:color w:val="231F1F"/>
          <w:w w:val="110"/>
        </w:rPr>
        <w:t>significativa</w:t>
      </w:r>
      <w:r>
        <w:rPr>
          <w:color w:val="231F1F"/>
          <w:spacing w:val="-3"/>
          <w:w w:val="110"/>
        </w:rPr>
        <w:t> </w:t>
      </w:r>
      <w:r>
        <w:rPr>
          <w:color w:val="231F1F"/>
          <w:w w:val="110"/>
        </w:rPr>
        <w:t>reducción</w:t>
      </w:r>
      <w:r>
        <w:rPr>
          <w:color w:val="231F1F"/>
          <w:spacing w:val="-2"/>
          <w:w w:val="110"/>
        </w:rPr>
        <w:t> </w:t>
      </w:r>
      <w:r>
        <w:rPr>
          <w:color w:val="231F1F"/>
          <w:w w:val="110"/>
        </w:rPr>
        <w:t>en</w:t>
      </w:r>
      <w:r>
        <w:rPr>
          <w:color w:val="231F1F"/>
          <w:spacing w:val="-2"/>
          <w:w w:val="110"/>
        </w:rPr>
        <w:t> </w:t>
      </w:r>
      <w:r>
        <w:rPr>
          <w:color w:val="231F1F"/>
          <w:w w:val="110"/>
        </w:rPr>
        <w:t>las</w:t>
      </w:r>
      <w:r>
        <w:rPr>
          <w:color w:val="231F1F"/>
          <w:spacing w:val="-2"/>
          <w:w w:val="110"/>
        </w:rPr>
        <w:t> </w:t>
      </w:r>
      <w:r>
        <w:rPr>
          <w:color w:val="231F1F"/>
          <w:w w:val="110"/>
        </w:rPr>
        <w:t>pun- tuaciones</w:t>
      </w:r>
      <w:r>
        <w:rPr>
          <w:color w:val="231F1F"/>
          <w:spacing w:val="-4"/>
          <w:w w:val="110"/>
        </w:rPr>
        <w:t> </w:t>
      </w:r>
      <w:r>
        <w:rPr>
          <w:color w:val="231F1F"/>
          <w:w w:val="110"/>
        </w:rPr>
        <w:t>promedio</w:t>
      </w:r>
      <w:r>
        <w:rPr>
          <w:color w:val="231F1F"/>
          <w:spacing w:val="-4"/>
          <w:w w:val="110"/>
        </w:rPr>
        <w:t> </w:t>
      </w:r>
      <w:r>
        <w:rPr>
          <w:color w:val="231F1F"/>
          <w:w w:val="110"/>
        </w:rPr>
        <w:t>de</w:t>
      </w:r>
      <w:r>
        <w:rPr>
          <w:color w:val="231F1F"/>
          <w:spacing w:val="-4"/>
          <w:w w:val="110"/>
        </w:rPr>
        <w:t> </w:t>
      </w:r>
      <w:r>
        <w:rPr>
          <w:color w:val="231F1F"/>
          <w:w w:val="110"/>
        </w:rPr>
        <w:t>dolor</w:t>
      </w:r>
      <w:r>
        <w:rPr>
          <w:color w:val="231F1F"/>
          <w:spacing w:val="-4"/>
          <w:w w:val="110"/>
        </w:rPr>
        <w:t> </w:t>
      </w:r>
      <w:r>
        <w:rPr>
          <w:color w:val="231F1F"/>
          <w:w w:val="110"/>
        </w:rPr>
        <w:t>perineal</w:t>
      </w:r>
      <w:r>
        <w:rPr>
          <w:color w:val="231F1F"/>
          <w:spacing w:val="-5"/>
          <w:w w:val="110"/>
        </w:rPr>
        <w:t> </w:t>
      </w:r>
      <w:r>
        <w:rPr>
          <w:color w:val="231F1F"/>
          <w:w w:val="110"/>
        </w:rPr>
        <w:t>en</w:t>
      </w:r>
      <w:r>
        <w:rPr>
          <w:color w:val="231F1F"/>
          <w:spacing w:val="-4"/>
          <w:w w:val="110"/>
        </w:rPr>
        <w:t> </w:t>
      </w:r>
      <w:r>
        <w:rPr>
          <w:color w:val="231F1F"/>
          <w:w w:val="110"/>
        </w:rPr>
        <w:t>los</w:t>
      </w:r>
      <w:r>
        <w:rPr>
          <w:color w:val="231F1F"/>
          <w:spacing w:val="-4"/>
          <w:w w:val="110"/>
        </w:rPr>
        <w:t> </w:t>
      </w:r>
      <w:r>
        <w:rPr>
          <w:color w:val="231F1F"/>
          <w:w w:val="110"/>
        </w:rPr>
        <w:t>días</w:t>
      </w:r>
      <w:r>
        <w:rPr>
          <w:color w:val="231F1F"/>
          <w:spacing w:val="-4"/>
          <w:w w:val="110"/>
        </w:rPr>
        <w:t> </w:t>
      </w:r>
      <w:r>
        <w:rPr>
          <w:color w:val="231F1F"/>
          <w:w w:val="110"/>
        </w:rPr>
        <w:t>1</w:t>
      </w:r>
      <w:r>
        <w:rPr>
          <w:color w:val="231F1F"/>
          <w:spacing w:val="-4"/>
          <w:w w:val="110"/>
        </w:rPr>
        <w:t> </w:t>
      </w:r>
      <w:r>
        <w:rPr>
          <w:color w:val="231F1F"/>
          <w:w w:val="110"/>
        </w:rPr>
        <w:t>y</w:t>
      </w:r>
      <w:r>
        <w:rPr>
          <w:color w:val="231F1F"/>
          <w:spacing w:val="-4"/>
          <w:w w:val="110"/>
        </w:rPr>
        <w:t> </w:t>
      </w:r>
      <w:r>
        <w:rPr>
          <w:color w:val="231F1F"/>
          <w:w w:val="110"/>
        </w:rPr>
        <w:t>2</w:t>
      </w:r>
      <w:r>
        <w:rPr>
          <w:color w:val="231F1F"/>
          <w:spacing w:val="-4"/>
          <w:w w:val="110"/>
        </w:rPr>
        <w:t> </w:t>
      </w:r>
      <w:r>
        <w:rPr>
          <w:color w:val="231F1F"/>
          <w:w w:val="110"/>
        </w:rPr>
        <w:t>posparto</w:t>
      </w:r>
      <w:r>
        <w:rPr>
          <w:color w:val="231F1F"/>
          <w:spacing w:val="-4"/>
          <w:w w:val="110"/>
        </w:rPr>
        <w:t> </w:t>
      </w:r>
      <w:r>
        <w:rPr>
          <w:color w:val="231F1F"/>
          <w:w w:val="110"/>
        </w:rPr>
        <w:t>usando</w:t>
      </w:r>
      <w:r>
        <w:rPr>
          <w:color w:val="231F1F"/>
          <w:spacing w:val="-4"/>
          <w:w w:val="110"/>
        </w:rPr>
        <w:t> </w:t>
      </w:r>
      <w:r>
        <w:rPr>
          <w:color w:val="231F1F"/>
          <w:w w:val="110"/>
        </w:rPr>
        <w:t>una escala analógica visual de 10 puntos, con menos de 1 punto de diferencia promedio.</w:t>
      </w:r>
      <w:r>
        <w:rPr>
          <w:color w:val="231F1F"/>
          <w:spacing w:val="-5"/>
          <w:w w:val="110"/>
        </w:rPr>
        <w:t> </w:t>
      </w:r>
      <w:r>
        <w:rPr>
          <w:color w:val="231F1F"/>
          <w:w w:val="110"/>
        </w:rPr>
        <w:t>A</w:t>
      </w:r>
      <w:r>
        <w:rPr>
          <w:color w:val="231F1F"/>
          <w:spacing w:val="-4"/>
          <w:w w:val="110"/>
        </w:rPr>
        <w:t> </w:t>
      </w:r>
      <w:r>
        <w:rPr>
          <w:color w:val="231F1F"/>
          <w:w w:val="110"/>
        </w:rPr>
        <w:t>los</w:t>
      </w:r>
      <w:r>
        <w:rPr>
          <w:color w:val="231F1F"/>
          <w:spacing w:val="-5"/>
          <w:w w:val="110"/>
        </w:rPr>
        <w:t> </w:t>
      </w:r>
      <w:r>
        <w:rPr>
          <w:color w:val="231F1F"/>
          <w:w w:val="110"/>
        </w:rPr>
        <w:t>3</w:t>
      </w:r>
      <w:r>
        <w:rPr>
          <w:color w:val="231F1F"/>
          <w:spacing w:val="-4"/>
          <w:w w:val="110"/>
        </w:rPr>
        <w:t> </w:t>
      </w:r>
      <w:r>
        <w:rPr>
          <w:color w:val="231F1F"/>
          <w:w w:val="110"/>
        </w:rPr>
        <w:t>meses</w:t>
      </w:r>
      <w:r>
        <w:rPr>
          <w:color w:val="231F1F"/>
          <w:spacing w:val="-5"/>
          <w:w w:val="110"/>
        </w:rPr>
        <w:t> </w:t>
      </w:r>
      <w:r>
        <w:rPr>
          <w:color w:val="231F1F"/>
          <w:w w:val="110"/>
        </w:rPr>
        <w:t>posparto,</w:t>
      </w:r>
      <w:r>
        <w:rPr>
          <w:color w:val="231F1F"/>
          <w:spacing w:val="-5"/>
          <w:w w:val="110"/>
        </w:rPr>
        <w:t> </w:t>
      </w:r>
      <w:r>
        <w:rPr>
          <w:color w:val="231F1F"/>
          <w:w w:val="110"/>
        </w:rPr>
        <w:t>era</w:t>
      </w:r>
      <w:r>
        <w:rPr>
          <w:color w:val="231F1F"/>
          <w:spacing w:val="-4"/>
          <w:w w:val="110"/>
        </w:rPr>
        <w:t> </w:t>
      </w:r>
      <w:r>
        <w:rPr>
          <w:color w:val="231F1F"/>
          <w:w w:val="110"/>
        </w:rPr>
        <w:t>menos</w:t>
      </w:r>
      <w:r>
        <w:rPr>
          <w:color w:val="231F1F"/>
          <w:spacing w:val="-5"/>
          <w:w w:val="110"/>
        </w:rPr>
        <w:t> </w:t>
      </w:r>
      <w:r>
        <w:rPr>
          <w:color w:val="231F1F"/>
          <w:w w:val="110"/>
        </w:rPr>
        <w:t>probable</w:t>
      </w:r>
      <w:r>
        <w:rPr>
          <w:color w:val="231F1F"/>
          <w:spacing w:val="-5"/>
          <w:w w:val="110"/>
        </w:rPr>
        <w:t> </w:t>
      </w:r>
      <w:r>
        <w:rPr>
          <w:color w:val="231F1F"/>
          <w:w w:val="110"/>
        </w:rPr>
        <w:t>que</w:t>
      </w:r>
      <w:r>
        <w:rPr>
          <w:color w:val="231F1F"/>
          <w:spacing w:val="-5"/>
          <w:w w:val="110"/>
        </w:rPr>
        <w:t> </w:t>
      </w:r>
      <w:r>
        <w:rPr>
          <w:color w:val="231F1F"/>
          <w:w w:val="110"/>
        </w:rPr>
        <w:t>las</w:t>
      </w:r>
      <w:r>
        <w:rPr>
          <w:color w:val="231F1F"/>
          <w:spacing w:val="-5"/>
          <w:w w:val="110"/>
        </w:rPr>
        <w:t> </w:t>
      </w:r>
      <w:r>
        <w:rPr>
          <w:color w:val="231F1F"/>
          <w:w w:val="110"/>
        </w:rPr>
        <w:t>mujeres</w:t>
      </w:r>
      <w:r>
        <w:rPr>
          <w:color w:val="231F1F"/>
          <w:spacing w:val="-4"/>
          <w:w w:val="110"/>
        </w:rPr>
        <w:t> </w:t>
      </w:r>
      <w:r>
        <w:rPr>
          <w:color w:val="231F1F"/>
          <w:w w:val="110"/>
        </w:rPr>
        <w:t>que </w:t>
      </w:r>
      <w:r>
        <w:rPr>
          <w:color w:val="231F1F"/>
          <w:spacing w:val="-2"/>
          <w:w w:val="110"/>
        </w:rPr>
        <w:t>recibieron</w:t>
      </w:r>
      <w:r>
        <w:rPr>
          <w:color w:val="231F1F"/>
          <w:spacing w:val="-5"/>
          <w:w w:val="110"/>
        </w:rPr>
        <w:t> </w:t>
      </w:r>
      <w:r>
        <w:rPr>
          <w:color w:val="231F1F"/>
          <w:spacing w:val="-2"/>
          <w:w w:val="110"/>
        </w:rPr>
        <w:t>compresas</w:t>
      </w:r>
      <w:r>
        <w:rPr>
          <w:color w:val="231F1F"/>
          <w:spacing w:val="-5"/>
          <w:w w:val="110"/>
        </w:rPr>
        <w:t> </w:t>
      </w:r>
      <w:r>
        <w:rPr>
          <w:color w:val="231F1F"/>
          <w:spacing w:val="-2"/>
          <w:w w:val="110"/>
        </w:rPr>
        <w:t>calientes</w:t>
      </w:r>
      <w:r>
        <w:rPr>
          <w:color w:val="231F1F"/>
          <w:spacing w:val="-5"/>
          <w:w w:val="110"/>
        </w:rPr>
        <w:t> </w:t>
      </w:r>
      <w:r>
        <w:rPr>
          <w:color w:val="231F1F"/>
          <w:spacing w:val="-2"/>
          <w:w w:val="110"/>
        </w:rPr>
        <w:t>presentaran</w:t>
      </w:r>
      <w:r>
        <w:rPr>
          <w:color w:val="231F1F"/>
          <w:spacing w:val="-5"/>
          <w:w w:val="110"/>
        </w:rPr>
        <w:t> </w:t>
      </w:r>
      <w:r>
        <w:rPr>
          <w:color w:val="231F1F"/>
          <w:spacing w:val="-2"/>
          <w:w w:val="110"/>
        </w:rPr>
        <w:t>incontinencia</w:t>
      </w:r>
      <w:r>
        <w:rPr>
          <w:color w:val="231F1F"/>
          <w:spacing w:val="-5"/>
          <w:w w:val="110"/>
        </w:rPr>
        <w:t> </w:t>
      </w:r>
      <w:r>
        <w:rPr>
          <w:color w:val="231F1F"/>
          <w:spacing w:val="-2"/>
          <w:w w:val="110"/>
        </w:rPr>
        <w:t>urinaria:</w:t>
      </w:r>
      <w:r>
        <w:rPr>
          <w:color w:val="231F1F"/>
          <w:spacing w:val="-5"/>
          <w:w w:val="110"/>
        </w:rPr>
        <w:t> </w:t>
      </w:r>
      <w:r>
        <w:rPr>
          <w:color w:val="231F1F"/>
          <w:spacing w:val="-2"/>
          <w:w w:val="110"/>
        </w:rPr>
        <w:t>26/277</w:t>
      </w:r>
      <w:r>
        <w:rPr>
          <w:color w:val="231F1F"/>
          <w:spacing w:val="-5"/>
          <w:w w:val="110"/>
        </w:rPr>
        <w:t> </w:t>
      </w:r>
      <w:r>
        <w:rPr>
          <w:color w:val="231F1F"/>
          <w:spacing w:val="-2"/>
          <w:w w:val="110"/>
        </w:rPr>
        <w:t>vs </w:t>
      </w:r>
      <w:r>
        <w:rPr>
          <w:color w:val="231F1F"/>
          <w:w w:val="110"/>
        </w:rPr>
        <w:t>59/262; p&lt;0,0001.</w:t>
      </w:r>
    </w:p>
    <w:p>
      <w:pPr>
        <w:pStyle w:val="BodyText"/>
        <w:spacing w:before="61"/>
      </w:pPr>
    </w:p>
    <w:p>
      <w:pPr>
        <w:pStyle w:val="Heading5"/>
        <w:jc w:val="both"/>
      </w:pPr>
      <w:r>
        <w:rPr>
          <w:color w:val="231F1F"/>
        </w:rPr>
        <w:t>Deflexión</w:t>
      </w:r>
      <w:r>
        <w:rPr>
          <w:color w:val="231F1F"/>
          <w:spacing w:val="-9"/>
        </w:rPr>
        <w:t> </w:t>
      </w:r>
      <w:r>
        <w:rPr>
          <w:color w:val="231F1F"/>
        </w:rPr>
        <w:t>de</w:t>
      </w:r>
      <w:r>
        <w:rPr>
          <w:color w:val="231F1F"/>
          <w:spacing w:val="-6"/>
        </w:rPr>
        <w:t> </w:t>
      </w:r>
      <w:r>
        <w:rPr>
          <w:color w:val="231F1F"/>
        </w:rPr>
        <w:t>la</w:t>
      </w:r>
      <w:r>
        <w:rPr>
          <w:color w:val="231F1F"/>
          <w:spacing w:val="-6"/>
        </w:rPr>
        <w:t> </w:t>
      </w:r>
      <w:r>
        <w:rPr>
          <w:color w:val="231F1F"/>
          <w:spacing w:val="-2"/>
        </w:rPr>
        <w:t>cabeza</w:t>
      </w:r>
    </w:p>
    <w:p>
      <w:pPr>
        <w:pStyle w:val="BodyText"/>
        <w:spacing w:line="249" w:lineRule="auto" w:before="214"/>
        <w:ind w:left="283"/>
        <w:jc w:val="both"/>
      </w:pPr>
      <w:r>
        <w:rPr>
          <w:color w:val="231F1F"/>
          <w:w w:val="105"/>
        </w:rPr>
        <w:t>El último estudio incluido en la actualización (152) es un estudio de cohortes, llevado a cabo como parte de un programa nacional noruego, que tiene como objetivo</w:t>
      </w:r>
      <w:r>
        <w:rPr>
          <w:color w:val="231F1F"/>
          <w:w w:val="105"/>
        </w:rPr>
        <w:t> establecer</w:t>
      </w:r>
      <w:r>
        <w:rPr>
          <w:color w:val="231F1F"/>
          <w:w w:val="105"/>
        </w:rPr>
        <w:t> si</w:t>
      </w:r>
      <w:r>
        <w:rPr>
          <w:color w:val="231F1F"/>
          <w:w w:val="105"/>
        </w:rPr>
        <w:t> un</w:t>
      </w:r>
      <w:r>
        <w:rPr>
          <w:color w:val="231F1F"/>
          <w:w w:val="105"/>
        </w:rPr>
        <w:t> programa</w:t>
      </w:r>
      <w:r>
        <w:rPr>
          <w:color w:val="231F1F"/>
          <w:w w:val="105"/>
        </w:rPr>
        <w:t> de</w:t>
      </w:r>
      <w:r>
        <w:rPr>
          <w:color w:val="231F1F"/>
          <w:w w:val="105"/>
        </w:rPr>
        <w:t> intervención</w:t>
      </w:r>
      <w:r>
        <w:rPr>
          <w:color w:val="231F1F"/>
          <w:w w:val="105"/>
        </w:rPr>
        <w:t> puede</w:t>
      </w:r>
      <w:r>
        <w:rPr>
          <w:color w:val="231F1F"/>
          <w:w w:val="105"/>
        </w:rPr>
        <w:t> disminuir</w:t>
      </w:r>
      <w:r>
        <w:rPr>
          <w:color w:val="231F1F"/>
          <w:w w:val="105"/>
        </w:rPr>
        <w:t> la</w:t>
      </w:r>
      <w:r>
        <w:rPr>
          <w:color w:val="231F1F"/>
          <w:w w:val="105"/>
        </w:rPr>
        <w:t> fre- cuencia</w:t>
      </w:r>
      <w:r>
        <w:rPr>
          <w:color w:val="231F1F"/>
          <w:spacing w:val="24"/>
          <w:w w:val="105"/>
        </w:rPr>
        <w:t> </w:t>
      </w:r>
      <w:r>
        <w:rPr>
          <w:color w:val="231F1F"/>
          <w:w w:val="105"/>
        </w:rPr>
        <w:t>de</w:t>
      </w:r>
      <w:r>
        <w:rPr>
          <w:color w:val="231F1F"/>
          <w:spacing w:val="24"/>
          <w:w w:val="105"/>
        </w:rPr>
        <w:t> </w:t>
      </w:r>
      <w:r>
        <w:rPr>
          <w:color w:val="231F1F"/>
          <w:w w:val="105"/>
        </w:rPr>
        <w:t>la</w:t>
      </w:r>
      <w:r>
        <w:rPr>
          <w:color w:val="231F1F"/>
          <w:spacing w:val="24"/>
          <w:w w:val="105"/>
        </w:rPr>
        <w:t> </w:t>
      </w:r>
      <w:r>
        <w:rPr>
          <w:color w:val="231F1F"/>
          <w:w w:val="105"/>
        </w:rPr>
        <w:t>rotura</w:t>
      </w:r>
      <w:r>
        <w:rPr>
          <w:color w:val="231F1F"/>
          <w:spacing w:val="24"/>
          <w:w w:val="105"/>
        </w:rPr>
        <w:t> </w:t>
      </w:r>
      <w:r>
        <w:rPr>
          <w:color w:val="231F1F"/>
          <w:w w:val="105"/>
        </w:rPr>
        <w:t>del esfínter</w:t>
      </w:r>
      <w:r>
        <w:rPr>
          <w:color w:val="231F1F"/>
          <w:spacing w:val="23"/>
          <w:w w:val="105"/>
        </w:rPr>
        <w:t> </w:t>
      </w:r>
      <w:r>
        <w:rPr>
          <w:color w:val="231F1F"/>
          <w:w w:val="105"/>
        </w:rPr>
        <w:t>anal. La</w:t>
      </w:r>
      <w:r>
        <w:rPr>
          <w:color w:val="231F1F"/>
          <w:spacing w:val="24"/>
          <w:w w:val="105"/>
        </w:rPr>
        <w:t> </w:t>
      </w:r>
      <w:r>
        <w:rPr>
          <w:color w:val="231F1F"/>
          <w:w w:val="105"/>
        </w:rPr>
        <w:t>intervención</w:t>
      </w:r>
      <w:r>
        <w:rPr>
          <w:color w:val="231F1F"/>
          <w:spacing w:val="23"/>
          <w:w w:val="105"/>
        </w:rPr>
        <w:t> </w:t>
      </w:r>
      <w:r>
        <w:rPr>
          <w:color w:val="231F1F"/>
          <w:w w:val="105"/>
        </w:rPr>
        <w:t>realizada</w:t>
      </w:r>
      <w:r>
        <w:rPr>
          <w:color w:val="231F1F"/>
          <w:spacing w:val="24"/>
          <w:w w:val="105"/>
        </w:rPr>
        <w:t> </w:t>
      </w:r>
      <w:r>
        <w:rPr>
          <w:color w:val="231F1F"/>
          <w:w w:val="105"/>
        </w:rPr>
        <w:t>es</w:t>
      </w:r>
      <w:r>
        <w:rPr>
          <w:color w:val="231F1F"/>
          <w:spacing w:val="24"/>
          <w:w w:val="105"/>
        </w:rPr>
        <w:t> </w:t>
      </w:r>
      <w:r>
        <w:rPr>
          <w:color w:val="231F1F"/>
          <w:w w:val="105"/>
        </w:rPr>
        <w:t>ralentizar la</w:t>
      </w:r>
      <w:r>
        <w:rPr>
          <w:color w:val="231F1F"/>
          <w:w w:val="105"/>
        </w:rPr>
        <w:t> fase</w:t>
      </w:r>
      <w:r>
        <w:rPr>
          <w:color w:val="231F1F"/>
          <w:w w:val="105"/>
        </w:rPr>
        <w:t> de</w:t>
      </w:r>
      <w:r>
        <w:rPr>
          <w:color w:val="231F1F"/>
          <w:w w:val="105"/>
        </w:rPr>
        <w:t> expulsión</w:t>
      </w:r>
      <w:r>
        <w:rPr>
          <w:color w:val="231F1F"/>
          <w:w w:val="105"/>
        </w:rPr>
        <w:t> de</w:t>
      </w:r>
      <w:r>
        <w:rPr>
          <w:color w:val="231F1F"/>
          <w:w w:val="105"/>
        </w:rPr>
        <w:t> la</w:t>
      </w:r>
      <w:r>
        <w:rPr>
          <w:color w:val="231F1F"/>
          <w:w w:val="105"/>
        </w:rPr>
        <w:t> cabeza</w:t>
      </w:r>
      <w:r>
        <w:rPr>
          <w:color w:val="231F1F"/>
          <w:w w:val="105"/>
        </w:rPr>
        <w:t> mediante</w:t>
      </w:r>
      <w:r>
        <w:rPr>
          <w:color w:val="231F1F"/>
          <w:w w:val="105"/>
        </w:rPr>
        <w:t> dos</w:t>
      </w:r>
      <w:r>
        <w:rPr>
          <w:color w:val="231F1F"/>
          <w:w w:val="105"/>
        </w:rPr>
        <w:t> maniobras,</w:t>
      </w:r>
      <w:r>
        <w:rPr>
          <w:color w:val="231F1F"/>
          <w:w w:val="105"/>
        </w:rPr>
        <w:t> controlando</w:t>
      </w:r>
      <w:r>
        <w:rPr>
          <w:color w:val="231F1F"/>
          <w:w w:val="105"/>
        </w:rPr>
        <w:t> la deflexión de la cabeza e informando a la madre que no empuje, para proteger el periné. En el estudio se analizan los datos de 12.369 partos vaginales reali- zados entre 2002-2007 y se compara el impacto del programa de intervención (realizado</w:t>
      </w:r>
      <w:r>
        <w:rPr>
          <w:color w:val="231F1F"/>
          <w:w w:val="105"/>
        </w:rPr>
        <w:t> desde</w:t>
      </w:r>
      <w:r>
        <w:rPr>
          <w:color w:val="231F1F"/>
          <w:w w:val="105"/>
        </w:rPr>
        <w:t> octubre</w:t>
      </w:r>
      <w:r>
        <w:rPr>
          <w:color w:val="231F1F"/>
          <w:w w:val="105"/>
        </w:rPr>
        <w:t> de</w:t>
      </w:r>
      <w:r>
        <w:rPr>
          <w:color w:val="231F1F"/>
          <w:w w:val="105"/>
        </w:rPr>
        <w:t> 2005</w:t>
      </w:r>
      <w:r>
        <w:rPr>
          <w:color w:val="231F1F"/>
          <w:w w:val="105"/>
        </w:rPr>
        <w:t> hasta</w:t>
      </w:r>
      <w:r>
        <w:rPr>
          <w:color w:val="231F1F"/>
          <w:w w:val="105"/>
        </w:rPr>
        <w:t> marzo</w:t>
      </w:r>
      <w:r>
        <w:rPr>
          <w:color w:val="231F1F"/>
          <w:w w:val="105"/>
        </w:rPr>
        <w:t> del</w:t>
      </w:r>
      <w:r>
        <w:rPr>
          <w:color w:val="231F1F"/>
          <w:w w:val="105"/>
        </w:rPr>
        <w:t> 2007,</w:t>
      </w:r>
      <w:r>
        <w:rPr>
          <w:color w:val="231F1F"/>
          <w:w w:val="105"/>
        </w:rPr>
        <w:t> tras</w:t>
      </w:r>
      <w:r>
        <w:rPr>
          <w:color w:val="231F1F"/>
          <w:w w:val="105"/>
        </w:rPr>
        <w:t> un</w:t>
      </w:r>
      <w:r>
        <w:rPr>
          <w:color w:val="231F1F"/>
          <w:w w:val="105"/>
        </w:rPr>
        <w:t> periodo</w:t>
      </w:r>
      <w:r>
        <w:rPr>
          <w:color w:val="231F1F"/>
          <w:w w:val="105"/>
        </w:rPr>
        <w:t> de entrenamiento</w:t>
      </w:r>
      <w:r>
        <w:rPr>
          <w:color w:val="231F1F"/>
          <w:w w:val="105"/>
        </w:rPr>
        <w:t> desde</w:t>
      </w:r>
      <w:r>
        <w:rPr>
          <w:color w:val="231F1F"/>
          <w:w w:val="105"/>
        </w:rPr>
        <w:t> enero-septiembre</w:t>
      </w:r>
      <w:r>
        <w:rPr>
          <w:color w:val="231F1F"/>
          <w:w w:val="105"/>
        </w:rPr>
        <w:t> de</w:t>
      </w:r>
      <w:r>
        <w:rPr>
          <w:color w:val="231F1F"/>
          <w:w w:val="105"/>
        </w:rPr>
        <w:t> 2005)</w:t>
      </w:r>
      <w:r>
        <w:rPr>
          <w:color w:val="231F1F"/>
          <w:w w:val="105"/>
        </w:rPr>
        <w:t> en</w:t>
      </w:r>
      <w:r>
        <w:rPr>
          <w:color w:val="231F1F"/>
          <w:w w:val="105"/>
        </w:rPr>
        <w:t> la</w:t>
      </w:r>
      <w:r>
        <w:rPr>
          <w:color w:val="231F1F"/>
          <w:w w:val="105"/>
        </w:rPr>
        <w:t> tasa</w:t>
      </w:r>
      <w:r>
        <w:rPr>
          <w:color w:val="231F1F"/>
          <w:w w:val="105"/>
        </w:rPr>
        <w:t> de</w:t>
      </w:r>
      <w:r>
        <w:rPr>
          <w:color w:val="231F1F"/>
          <w:w w:val="105"/>
        </w:rPr>
        <w:t> rotura</w:t>
      </w:r>
      <w:r>
        <w:rPr>
          <w:color w:val="231F1F"/>
          <w:w w:val="105"/>
        </w:rPr>
        <w:t> del</w:t>
      </w:r>
      <w:r>
        <w:rPr>
          <w:color w:val="231F1F"/>
          <w:w w:val="105"/>
        </w:rPr>
        <w:t> es- fínter</w:t>
      </w:r>
      <w:r>
        <w:rPr>
          <w:color w:val="231F1F"/>
          <w:w w:val="105"/>
        </w:rPr>
        <w:t> anal en</w:t>
      </w:r>
      <w:r>
        <w:rPr>
          <w:color w:val="231F1F"/>
          <w:w w:val="105"/>
        </w:rPr>
        <w:t> dos</w:t>
      </w:r>
      <w:r>
        <w:rPr>
          <w:color w:val="231F1F"/>
          <w:w w:val="105"/>
        </w:rPr>
        <w:t> subgrupos</w:t>
      </w:r>
      <w:r>
        <w:rPr>
          <w:color w:val="231F1F"/>
          <w:w w:val="105"/>
        </w:rPr>
        <w:t> de</w:t>
      </w:r>
      <w:r>
        <w:rPr>
          <w:color w:val="231F1F"/>
          <w:w w:val="105"/>
        </w:rPr>
        <w:t> tipos</w:t>
      </w:r>
      <w:r>
        <w:rPr>
          <w:color w:val="231F1F"/>
          <w:w w:val="105"/>
        </w:rPr>
        <w:t> de</w:t>
      </w:r>
      <w:r>
        <w:rPr>
          <w:color w:val="231F1F"/>
          <w:w w:val="105"/>
        </w:rPr>
        <w:t> parto</w:t>
      </w:r>
      <w:r>
        <w:rPr>
          <w:color w:val="231F1F"/>
          <w:w w:val="105"/>
        </w:rPr>
        <w:t> diferente</w:t>
      </w:r>
      <w:r>
        <w:rPr>
          <w:color w:val="231F1F"/>
          <w:w w:val="105"/>
        </w:rPr>
        <w:t> (partos</w:t>
      </w:r>
      <w:r>
        <w:rPr>
          <w:color w:val="231F1F"/>
          <w:w w:val="105"/>
        </w:rPr>
        <w:t> instrumenta- les y partos no instrumentales).</w:t>
      </w:r>
    </w:p>
    <w:p>
      <w:pPr>
        <w:pStyle w:val="BodyText"/>
        <w:spacing w:line="249" w:lineRule="auto" w:before="107"/>
        <w:ind w:left="283" w:right="3" w:firstLine="453"/>
        <w:jc w:val="both"/>
      </w:pPr>
      <w:r>
        <w:rPr>
          <w:color w:val="231F1F"/>
          <w:w w:val="105"/>
        </w:rPr>
        <w:t>Se observa una disminución global del desagarro del esfínter anal duran- te el período de intervención: de un 4,03% de desgarros durante 2002-2004 a un</w:t>
      </w:r>
      <w:r>
        <w:rPr>
          <w:color w:val="231F1F"/>
          <w:w w:val="105"/>
        </w:rPr>
        <w:t> 1,17%</w:t>
      </w:r>
      <w:r>
        <w:rPr>
          <w:color w:val="231F1F"/>
          <w:w w:val="105"/>
        </w:rPr>
        <w:t> durante</w:t>
      </w:r>
      <w:r>
        <w:rPr>
          <w:color w:val="231F1F"/>
          <w:w w:val="105"/>
        </w:rPr>
        <w:t> 2005-2007;</w:t>
      </w:r>
      <w:r>
        <w:rPr>
          <w:color w:val="231F1F"/>
          <w:w w:val="105"/>
        </w:rPr>
        <w:t> (p&lt;0,001).</w:t>
      </w:r>
      <w:r>
        <w:rPr>
          <w:color w:val="231F1F"/>
          <w:w w:val="105"/>
        </w:rPr>
        <w:t> Observándose</w:t>
      </w:r>
      <w:r>
        <w:rPr>
          <w:color w:val="231F1F"/>
          <w:w w:val="105"/>
        </w:rPr>
        <w:t> esta</w:t>
      </w:r>
      <w:r>
        <w:rPr>
          <w:color w:val="231F1F"/>
          <w:w w:val="105"/>
        </w:rPr>
        <w:t> tendencia</w:t>
      </w:r>
      <w:r>
        <w:rPr>
          <w:color w:val="231F1F"/>
          <w:w w:val="105"/>
        </w:rPr>
        <w:t> tanto en partos no instrumentados (de un 16,26% a un 4,90%; p&lt;0,001), como en partos</w:t>
      </w:r>
      <w:r>
        <w:rPr>
          <w:color w:val="231F1F"/>
          <w:spacing w:val="40"/>
          <w:w w:val="105"/>
        </w:rPr>
        <w:t> </w:t>
      </w:r>
      <w:r>
        <w:rPr>
          <w:color w:val="231F1F"/>
          <w:w w:val="105"/>
        </w:rPr>
        <w:t>instrumentados</w:t>
      </w:r>
      <w:r>
        <w:rPr>
          <w:color w:val="231F1F"/>
          <w:spacing w:val="40"/>
          <w:w w:val="105"/>
        </w:rPr>
        <w:t> </w:t>
      </w:r>
      <w:r>
        <w:rPr>
          <w:color w:val="231F1F"/>
          <w:w w:val="105"/>
        </w:rPr>
        <w:t>(de</w:t>
      </w:r>
      <w:r>
        <w:rPr>
          <w:color w:val="231F1F"/>
          <w:spacing w:val="40"/>
          <w:w w:val="105"/>
        </w:rPr>
        <w:t> </w:t>
      </w:r>
      <w:r>
        <w:rPr>
          <w:color w:val="231F1F"/>
          <w:w w:val="105"/>
        </w:rPr>
        <w:t>un</w:t>
      </w:r>
      <w:r>
        <w:rPr>
          <w:color w:val="231F1F"/>
          <w:spacing w:val="40"/>
          <w:w w:val="105"/>
        </w:rPr>
        <w:t> </w:t>
      </w:r>
      <w:r>
        <w:rPr>
          <w:color w:val="231F1F"/>
          <w:w w:val="105"/>
        </w:rPr>
        <w:t>2,70%</w:t>
      </w:r>
      <w:r>
        <w:rPr>
          <w:color w:val="231F1F"/>
          <w:spacing w:val="40"/>
          <w:w w:val="105"/>
        </w:rPr>
        <w:t> </w:t>
      </w:r>
      <w:r>
        <w:rPr>
          <w:color w:val="231F1F"/>
          <w:w w:val="105"/>
        </w:rPr>
        <w:t>a</w:t>
      </w:r>
      <w:r>
        <w:rPr>
          <w:color w:val="231F1F"/>
          <w:spacing w:val="40"/>
          <w:w w:val="105"/>
        </w:rPr>
        <w:t> </w:t>
      </w:r>
      <w:r>
        <w:rPr>
          <w:color w:val="231F1F"/>
          <w:w w:val="105"/>
        </w:rPr>
        <w:t>un</w:t>
      </w:r>
      <w:r>
        <w:rPr>
          <w:color w:val="231F1F"/>
          <w:spacing w:val="40"/>
          <w:w w:val="105"/>
        </w:rPr>
        <w:t> </w:t>
      </w:r>
      <w:r>
        <w:rPr>
          <w:color w:val="231F1F"/>
          <w:w w:val="105"/>
        </w:rPr>
        <w:t>0,72%,</w:t>
      </w:r>
      <w:r>
        <w:rPr>
          <w:color w:val="231F1F"/>
          <w:spacing w:val="40"/>
          <w:w w:val="105"/>
        </w:rPr>
        <w:t> </w:t>
      </w:r>
      <w:r>
        <w:rPr>
          <w:color w:val="231F1F"/>
          <w:w w:val="105"/>
        </w:rPr>
        <w:t>p&lt;0,001).</w:t>
      </w:r>
    </w:p>
    <w:p>
      <w:pPr>
        <w:pStyle w:val="BodyText"/>
        <w:spacing w:line="247" w:lineRule="auto" w:before="86"/>
        <w:ind w:left="283" w:right="1" w:firstLine="453"/>
        <w:jc w:val="both"/>
      </w:pPr>
      <w:r>
        <w:rPr>
          <w:color w:val="231F1F"/>
          <w:w w:val="105"/>
        </w:rPr>
        <w:t>Además,</w:t>
      </w:r>
      <w:r>
        <w:rPr>
          <w:color w:val="231F1F"/>
          <w:spacing w:val="40"/>
          <w:w w:val="105"/>
        </w:rPr>
        <w:t> </w:t>
      </w:r>
      <w:r>
        <w:rPr>
          <w:color w:val="231F1F"/>
          <w:w w:val="105"/>
        </w:rPr>
        <w:t>también</w:t>
      </w:r>
      <w:r>
        <w:rPr>
          <w:color w:val="231F1F"/>
          <w:spacing w:val="40"/>
          <w:w w:val="105"/>
        </w:rPr>
        <w:t> </w:t>
      </w:r>
      <w:r>
        <w:rPr>
          <w:color w:val="231F1F"/>
          <w:w w:val="105"/>
        </w:rPr>
        <w:t>se</w:t>
      </w:r>
      <w:r>
        <w:rPr>
          <w:color w:val="231F1F"/>
          <w:spacing w:val="40"/>
          <w:w w:val="105"/>
        </w:rPr>
        <w:t> </w:t>
      </w:r>
      <w:r>
        <w:rPr>
          <w:color w:val="231F1F"/>
          <w:w w:val="105"/>
        </w:rPr>
        <w:t>observa</w:t>
      </w:r>
      <w:r>
        <w:rPr>
          <w:color w:val="231F1F"/>
          <w:spacing w:val="40"/>
          <w:w w:val="105"/>
        </w:rPr>
        <w:t> </w:t>
      </w:r>
      <w:r>
        <w:rPr>
          <w:color w:val="231F1F"/>
          <w:w w:val="105"/>
        </w:rPr>
        <w:t>un</w:t>
      </w:r>
      <w:r>
        <w:rPr>
          <w:color w:val="231F1F"/>
          <w:spacing w:val="40"/>
          <w:w w:val="105"/>
        </w:rPr>
        <w:t> </w:t>
      </w:r>
      <w:r>
        <w:rPr>
          <w:color w:val="231F1F"/>
          <w:w w:val="105"/>
        </w:rPr>
        <w:t>aumento</w:t>
      </w:r>
      <w:r>
        <w:rPr>
          <w:color w:val="231F1F"/>
          <w:spacing w:val="40"/>
          <w:w w:val="105"/>
        </w:rPr>
        <w:t> </w:t>
      </w:r>
      <w:r>
        <w:rPr>
          <w:color w:val="231F1F"/>
          <w:w w:val="105"/>
        </w:rPr>
        <w:t>de</w:t>
      </w:r>
      <w:r>
        <w:rPr>
          <w:color w:val="231F1F"/>
          <w:spacing w:val="40"/>
          <w:w w:val="105"/>
        </w:rPr>
        <w:t> </w:t>
      </w:r>
      <w:r>
        <w:rPr>
          <w:color w:val="231F1F"/>
          <w:w w:val="105"/>
        </w:rPr>
        <w:t>los</w:t>
      </w:r>
      <w:r>
        <w:rPr>
          <w:color w:val="231F1F"/>
          <w:spacing w:val="40"/>
          <w:w w:val="105"/>
        </w:rPr>
        <w:t> </w:t>
      </w:r>
      <w:r>
        <w:rPr>
          <w:color w:val="231F1F"/>
          <w:w w:val="105"/>
        </w:rPr>
        <w:t>partos</w:t>
      </w:r>
      <w:r>
        <w:rPr>
          <w:color w:val="231F1F"/>
          <w:spacing w:val="40"/>
          <w:w w:val="105"/>
        </w:rPr>
        <w:t> </w:t>
      </w:r>
      <w:r>
        <w:rPr>
          <w:color w:val="231F1F"/>
          <w:w w:val="105"/>
        </w:rPr>
        <w:t>instrumentales en período intervención: de 9,8% durante 2002-2004 a un 11,7% durante los primeros</w:t>
      </w:r>
      <w:r>
        <w:rPr>
          <w:color w:val="231F1F"/>
          <w:spacing w:val="-5"/>
          <w:w w:val="105"/>
        </w:rPr>
        <w:t> </w:t>
      </w:r>
      <w:r>
        <w:rPr>
          <w:color w:val="231F1F"/>
          <w:w w:val="105"/>
        </w:rPr>
        <w:t>9</w:t>
      </w:r>
      <w:r>
        <w:rPr>
          <w:color w:val="231F1F"/>
          <w:spacing w:val="-5"/>
          <w:w w:val="105"/>
        </w:rPr>
        <w:t> </w:t>
      </w:r>
      <w:r>
        <w:rPr>
          <w:color w:val="231F1F"/>
          <w:w w:val="105"/>
        </w:rPr>
        <w:t>meses</w:t>
      </w:r>
      <w:r>
        <w:rPr>
          <w:color w:val="231F1F"/>
          <w:spacing w:val="-5"/>
          <w:w w:val="105"/>
        </w:rPr>
        <w:t> </w:t>
      </w:r>
      <w:r>
        <w:rPr>
          <w:color w:val="231F1F"/>
          <w:w w:val="105"/>
        </w:rPr>
        <w:t>de</w:t>
      </w:r>
      <w:r>
        <w:rPr>
          <w:color w:val="231F1F"/>
          <w:spacing w:val="-5"/>
          <w:w w:val="105"/>
        </w:rPr>
        <w:t> </w:t>
      </w:r>
      <w:r>
        <w:rPr>
          <w:color w:val="231F1F"/>
          <w:w w:val="105"/>
        </w:rPr>
        <w:t>2005</w:t>
      </w:r>
      <w:r>
        <w:rPr>
          <w:color w:val="231F1F"/>
          <w:spacing w:val="-5"/>
          <w:w w:val="105"/>
        </w:rPr>
        <w:t> </w:t>
      </w:r>
      <w:r>
        <w:rPr>
          <w:color w:val="231F1F"/>
          <w:w w:val="105"/>
        </w:rPr>
        <w:t>(p=0,011)</w:t>
      </w:r>
      <w:r>
        <w:rPr>
          <w:color w:val="231F1F"/>
          <w:spacing w:val="-5"/>
          <w:w w:val="105"/>
        </w:rPr>
        <w:t> </w:t>
      </w:r>
      <w:r>
        <w:rPr>
          <w:color w:val="231F1F"/>
          <w:w w:val="105"/>
        </w:rPr>
        <w:t>y</w:t>
      </w:r>
      <w:r>
        <w:rPr>
          <w:color w:val="231F1F"/>
          <w:spacing w:val="-5"/>
          <w:w w:val="105"/>
        </w:rPr>
        <w:t> </w:t>
      </w:r>
      <w:r>
        <w:rPr>
          <w:color w:val="231F1F"/>
          <w:w w:val="105"/>
        </w:rPr>
        <w:t>a</w:t>
      </w:r>
      <w:r>
        <w:rPr>
          <w:color w:val="231F1F"/>
          <w:spacing w:val="-5"/>
          <w:w w:val="105"/>
        </w:rPr>
        <w:t> </w:t>
      </w:r>
      <w:r>
        <w:rPr>
          <w:color w:val="231F1F"/>
          <w:w w:val="105"/>
        </w:rPr>
        <w:t>un</w:t>
      </w:r>
      <w:r>
        <w:rPr>
          <w:color w:val="231F1F"/>
          <w:spacing w:val="-5"/>
          <w:w w:val="105"/>
        </w:rPr>
        <w:t> </w:t>
      </w:r>
      <w:r>
        <w:rPr>
          <w:color w:val="231F1F"/>
          <w:w w:val="105"/>
        </w:rPr>
        <w:t>12,2%</w:t>
      </w:r>
      <w:r>
        <w:rPr>
          <w:color w:val="231F1F"/>
          <w:spacing w:val="-5"/>
          <w:w w:val="105"/>
        </w:rPr>
        <w:t> </w:t>
      </w:r>
      <w:r>
        <w:rPr>
          <w:color w:val="231F1F"/>
          <w:w w:val="105"/>
        </w:rPr>
        <w:t>durante</w:t>
      </w:r>
      <w:r>
        <w:rPr>
          <w:color w:val="231F1F"/>
          <w:spacing w:val="-5"/>
          <w:w w:val="105"/>
        </w:rPr>
        <w:t> </w:t>
      </w:r>
      <w:r>
        <w:rPr>
          <w:color w:val="231F1F"/>
          <w:w w:val="105"/>
        </w:rPr>
        <w:t>los</w:t>
      </w:r>
      <w:r>
        <w:rPr>
          <w:color w:val="231F1F"/>
          <w:spacing w:val="-5"/>
          <w:w w:val="105"/>
        </w:rPr>
        <w:t> </w:t>
      </w:r>
      <w:r>
        <w:rPr>
          <w:color w:val="231F1F"/>
          <w:w w:val="105"/>
        </w:rPr>
        <w:t>últimos</w:t>
      </w:r>
      <w:r>
        <w:rPr>
          <w:color w:val="231F1F"/>
          <w:spacing w:val="-5"/>
          <w:w w:val="105"/>
        </w:rPr>
        <w:t> </w:t>
      </w:r>
      <w:r>
        <w:rPr>
          <w:color w:val="231F1F"/>
          <w:w w:val="105"/>
        </w:rPr>
        <w:t>9</w:t>
      </w:r>
      <w:r>
        <w:rPr>
          <w:color w:val="231F1F"/>
          <w:spacing w:val="-5"/>
          <w:w w:val="105"/>
        </w:rPr>
        <w:t> </w:t>
      </w:r>
      <w:r>
        <w:rPr>
          <w:color w:val="231F1F"/>
          <w:w w:val="105"/>
        </w:rPr>
        <w:t>meses del periodo de intervención (p&lt;0,001). Así como un aumento del número de episiotomías</w:t>
      </w:r>
      <w:r>
        <w:rPr>
          <w:color w:val="231F1F"/>
          <w:w w:val="105"/>
        </w:rPr>
        <w:t> realizadas:</w:t>
      </w:r>
      <w:r>
        <w:rPr>
          <w:color w:val="231F1F"/>
          <w:w w:val="105"/>
        </w:rPr>
        <w:t> 13,9%</w:t>
      </w:r>
      <w:r>
        <w:rPr>
          <w:color w:val="231F1F"/>
          <w:w w:val="105"/>
        </w:rPr>
        <w:t> durante</w:t>
      </w:r>
      <w:r>
        <w:rPr>
          <w:color w:val="231F1F"/>
          <w:w w:val="105"/>
        </w:rPr>
        <w:t> 2002-2004,</w:t>
      </w:r>
      <w:r>
        <w:rPr>
          <w:color w:val="231F1F"/>
          <w:w w:val="105"/>
        </w:rPr>
        <w:t> 23,1%</w:t>
      </w:r>
      <w:r>
        <w:rPr>
          <w:color w:val="231F1F"/>
          <w:w w:val="105"/>
        </w:rPr>
        <w:t> en</w:t>
      </w:r>
      <w:r>
        <w:rPr>
          <w:color w:val="231F1F"/>
          <w:w w:val="105"/>
        </w:rPr>
        <w:t> los</w:t>
      </w:r>
      <w:r>
        <w:rPr>
          <w:color w:val="231F1F"/>
          <w:w w:val="105"/>
        </w:rPr>
        <w:t> primeros</w:t>
      </w:r>
      <w:r>
        <w:rPr>
          <w:color w:val="231F1F"/>
          <w:w w:val="105"/>
        </w:rPr>
        <w:t> 9 meses</w:t>
      </w:r>
      <w:r>
        <w:rPr>
          <w:color w:val="231F1F"/>
          <w:spacing w:val="-2"/>
          <w:w w:val="105"/>
        </w:rPr>
        <w:t> </w:t>
      </w:r>
      <w:r>
        <w:rPr>
          <w:color w:val="231F1F"/>
          <w:w w:val="105"/>
        </w:rPr>
        <w:t>de</w:t>
      </w:r>
      <w:r>
        <w:rPr>
          <w:color w:val="231F1F"/>
          <w:spacing w:val="-2"/>
          <w:w w:val="105"/>
        </w:rPr>
        <w:t> </w:t>
      </w:r>
      <w:r>
        <w:rPr>
          <w:color w:val="231F1F"/>
          <w:w w:val="105"/>
        </w:rPr>
        <w:t>2005</w:t>
      </w:r>
      <w:r>
        <w:rPr>
          <w:color w:val="231F1F"/>
          <w:spacing w:val="-2"/>
          <w:w w:val="105"/>
        </w:rPr>
        <w:t> </w:t>
      </w:r>
      <w:r>
        <w:rPr>
          <w:color w:val="231F1F"/>
          <w:w w:val="105"/>
        </w:rPr>
        <w:t>(p&lt;0,001)</w:t>
      </w:r>
      <w:r>
        <w:rPr>
          <w:color w:val="231F1F"/>
          <w:spacing w:val="-1"/>
          <w:w w:val="105"/>
        </w:rPr>
        <w:t> </w:t>
      </w:r>
      <w:r>
        <w:rPr>
          <w:color w:val="231F1F"/>
          <w:w w:val="105"/>
        </w:rPr>
        <w:t>y</w:t>
      </w:r>
      <w:r>
        <w:rPr>
          <w:color w:val="231F1F"/>
          <w:spacing w:val="-2"/>
          <w:w w:val="105"/>
        </w:rPr>
        <w:t> </w:t>
      </w:r>
      <w:r>
        <w:rPr>
          <w:color w:val="231F1F"/>
          <w:w w:val="105"/>
        </w:rPr>
        <w:t>21,1%</w:t>
      </w:r>
      <w:r>
        <w:rPr>
          <w:color w:val="231F1F"/>
          <w:spacing w:val="-2"/>
          <w:w w:val="105"/>
        </w:rPr>
        <w:t> </w:t>
      </w:r>
      <w:r>
        <w:rPr>
          <w:color w:val="231F1F"/>
          <w:w w:val="105"/>
        </w:rPr>
        <w:t>en</w:t>
      </w:r>
      <w:r>
        <w:rPr>
          <w:color w:val="231F1F"/>
          <w:spacing w:val="-2"/>
          <w:w w:val="105"/>
        </w:rPr>
        <w:t> </w:t>
      </w:r>
      <w:r>
        <w:rPr>
          <w:color w:val="231F1F"/>
          <w:w w:val="105"/>
        </w:rPr>
        <w:t>los</w:t>
      </w:r>
      <w:r>
        <w:rPr>
          <w:color w:val="231F1F"/>
          <w:spacing w:val="-2"/>
          <w:w w:val="105"/>
        </w:rPr>
        <w:t> </w:t>
      </w:r>
      <w:r>
        <w:rPr>
          <w:color w:val="231F1F"/>
          <w:w w:val="105"/>
        </w:rPr>
        <w:t>últimos</w:t>
      </w:r>
      <w:r>
        <w:rPr>
          <w:color w:val="231F1F"/>
          <w:spacing w:val="-2"/>
          <w:w w:val="105"/>
        </w:rPr>
        <w:t> </w:t>
      </w:r>
      <w:r>
        <w:rPr>
          <w:color w:val="231F1F"/>
          <w:w w:val="105"/>
        </w:rPr>
        <w:t>9</w:t>
      </w:r>
      <w:r>
        <w:rPr>
          <w:color w:val="231F1F"/>
          <w:spacing w:val="-2"/>
          <w:w w:val="105"/>
        </w:rPr>
        <w:t> </w:t>
      </w:r>
      <w:r>
        <w:rPr>
          <w:color w:val="231F1F"/>
          <w:w w:val="105"/>
        </w:rPr>
        <w:t>meses</w:t>
      </w:r>
      <w:r>
        <w:rPr>
          <w:color w:val="231F1F"/>
          <w:spacing w:val="-2"/>
          <w:w w:val="105"/>
        </w:rPr>
        <w:t> </w:t>
      </w:r>
      <w:r>
        <w:rPr>
          <w:color w:val="231F1F"/>
          <w:w w:val="105"/>
        </w:rPr>
        <w:t>del</w:t>
      </w:r>
      <w:r>
        <w:rPr>
          <w:color w:val="231F1F"/>
          <w:spacing w:val="-3"/>
          <w:w w:val="105"/>
        </w:rPr>
        <w:t> </w:t>
      </w:r>
      <w:r>
        <w:rPr>
          <w:color w:val="231F1F"/>
          <w:w w:val="105"/>
        </w:rPr>
        <w:t>periodo</w:t>
      </w:r>
      <w:r>
        <w:rPr>
          <w:color w:val="231F1F"/>
          <w:spacing w:val="-3"/>
          <w:w w:val="105"/>
        </w:rPr>
        <w:t> </w:t>
      </w:r>
      <w:r>
        <w:rPr>
          <w:color w:val="231F1F"/>
          <w:w w:val="105"/>
        </w:rPr>
        <w:t>de</w:t>
      </w:r>
      <w:r>
        <w:rPr>
          <w:color w:val="231F1F"/>
          <w:spacing w:val="-2"/>
          <w:w w:val="105"/>
        </w:rPr>
        <w:t> </w:t>
      </w:r>
      <w:r>
        <w:rPr>
          <w:color w:val="231F1F"/>
          <w:w w:val="105"/>
        </w:rPr>
        <w:t>inter- vención (p&lt;0,001).</w:t>
      </w:r>
    </w:p>
    <w:p>
      <w:pPr>
        <w:pStyle w:val="BodyText"/>
        <w:spacing w:line="244" w:lineRule="auto" w:before="48"/>
        <w:ind w:left="283" w:right="2" w:firstLine="453"/>
        <w:jc w:val="both"/>
      </w:pPr>
      <w:r>
        <w:rPr>
          <w:color w:val="231F1F"/>
          <w:w w:val="110"/>
        </w:rPr>
        <w:t>Así</w:t>
      </w:r>
      <w:r>
        <w:rPr>
          <w:color w:val="231F1F"/>
          <w:spacing w:val="-4"/>
          <w:w w:val="110"/>
        </w:rPr>
        <w:t> </w:t>
      </w:r>
      <w:r>
        <w:rPr>
          <w:color w:val="231F1F"/>
          <w:w w:val="110"/>
        </w:rPr>
        <w:t>los</w:t>
      </w:r>
      <w:r>
        <w:rPr>
          <w:color w:val="231F1F"/>
          <w:spacing w:val="-4"/>
          <w:w w:val="110"/>
        </w:rPr>
        <w:t> </w:t>
      </w:r>
      <w:r>
        <w:rPr>
          <w:color w:val="231F1F"/>
          <w:w w:val="110"/>
        </w:rPr>
        <w:t>resultados</w:t>
      </w:r>
      <w:r>
        <w:rPr>
          <w:color w:val="231F1F"/>
          <w:spacing w:val="-3"/>
          <w:w w:val="110"/>
        </w:rPr>
        <w:t> </w:t>
      </w:r>
      <w:r>
        <w:rPr>
          <w:color w:val="231F1F"/>
          <w:w w:val="110"/>
        </w:rPr>
        <w:t>muestran</w:t>
      </w:r>
      <w:r>
        <w:rPr>
          <w:color w:val="231F1F"/>
          <w:spacing w:val="-3"/>
          <w:w w:val="110"/>
        </w:rPr>
        <w:t> </w:t>
      </w:r>
      <w:r>
        <w:rPr>
          <w:color w:val="231F1F"/>
          <w:w w:val="110"/>
        </w:rPr>
        <w:t>que</w:t>
      </w:r>
      <w:r>
        <w:rPr>
          <w:color w:val="231F1F"/>
          <w:spacing w:val="-3"/>
          <w:w w:val="110"/>
        </w:rPr>
        <w:t> </w:t>
      </w:r>
      <w:r>
        <w:rPr>
          <w:color w:val="231F1F"/>
          <w:w w:val="110"/>
        </w:rPr>
        <w:t>la</w:t>
      </w:r>
      <w:r>
        <w:rPr>
          <w:color w:val="231F1F"/>
          <w:spacing w:val="-3"/>
          <w:w w:val="110"/>
        </w:rPr>
        <w:t> </w:t>
      </w:r>
      <w:r>
        <w:rPr>
          <w:color w:val="231F1F"/>
          <w:w w:val="110"/>
        </w:rPr>
        <w:t>protección</w:t>
      </w:r>
      <w:r>
        <w:rPr>
          <w:color w:val="231F1F"/>
          <w:spacing w:val="-4"/>
          <w:w w:val="110"/>
        </w:rPr>
        <w:t> </w:t>
      </w:r>
      <w:r>
        <w:rPr>
          <w:color w:val="231F1F"/>
          <w:w w:val="110"/>
        </w:rPr>
        <w:t>manual</w:t>
      </w:r>
      <w:r>
        <w:rPr>
          <w:color w:val="231F1F"/>
          <w:spacing w:val="-4"/>
          <w:w w:val="110"/>
        </w:rPr>
        <w:t> </w:t>
      </w:r>
      <w:r>
        <w:rPr>
          <w:color w:val="231F1F"/>
          <w:w w:val="110"/>
        </w:rPr>
        <w:t>del</w:t>
      </w:r>
      <w:r>
        <w:rPr>
          <w:color w:val="231F1F"/>
          <w:spacing w:val="-4"/>
          <w:w w:val="110"/>
        </w:rPr>
        <w:t> </w:t>
      </w:r>
      <w:r>
        <w:rPr>
          <w:color w:val="231F1F"/>
          <w:w w:val="110"/>
        </w:rPr>
        <w:t>perineo,</w:t>
      </w:r>
      <w:r>
        <w:rPr>
          <w:color w:val="231F1F"/>
          <w:spacing w:val="-4"/>
          <w:w w:val="110"/>
        </w:rPr>
        <w:t> </w:t>
      </w:r>
      <w:r>
        <w:rPr>
          <w:color w:val="231F1F"/>
          <w:w w:val="110"/>
        </w:rPr>
        <w:t>me- diante</w:t>
      </w:r>
      <w:r>
        <w:rPr>
          <w:color w:val="231F1F"/>
          <w:w w:val="110"/>
        </w:rPr>
        <w:t> el</w:t>
      </w:r>
      <w:r>
        <w:rPr>
          <w:color w:val="231F1F"/>
          <w:w w:val="110"/>
        </w:rPr>
        <w:t> enlentecimiento</w:t>
      </w:r>
      <w:r>
        <w:rPr>
          <w:color w:val="231F1F"/>
          <w:w w:val="110"/>
        </w:rPr>
        <w:t> de</w:t>
      </w:r>
      <w:r>
        <w:rPr>
          <w:color w:val="231F1F"/>
          <w:w w:val="110"/>
        </w:rPr>
        <w:t> la</w:t>
      </w:r>
      <w:r>
        <w:rPr>
          <w:color w:val="231F1F"/>
          <w:w w:val="110"/>
        </w:rPr>
        <w:t> deflexión</w:t>
      </w:r>
      <w:r>
        <w:rPr>
          <w:color w:val="231F1F"/>
          <w:w w:val="110"/>
        </w:rPr>
        <w:t> de</w:t>
      </w:r>
      <w:r>
        <w:rPr>
          <w:color w:val="231F1F"/>
          <w:w w:val="110"/>
        </w:rPr>
        <w:t> la</w:t>
      </w:r>
      <w:r>
        <w:rPr>
          <w:color w:val="231F1F"/>
          <w:w w:val="110"/>
        </w:rPr>
        <w:t> cabeza</w:t>
      </w:r>
      <w:r>
        <w:rPr>
          <w:color w:val="231F1F"/>
          <w:w w:val="110"/>
        </w:rPr>
        <w:t> fetal,</w:t>
      </w:r>
      <w:r>
        <w:rPr>
          <w:color w:val="231F1F"/>
          <w:w w:val="110"/>
        </w:rPr>
        <w:t> disminuye</w:t>
      </w:r>
      <w:r>
        <w:rPr>
          <w:color w:val="231F1F"/>
          <w:w w:val="110"/>
        </w:rPr>
        <w:t> el número de roturas del esfínter anal.</w:t>
      </w:r>
    </w:p>
    <w:p>
      <w:pPr>
        <w:spacing w:line="240" w:lineRule="auto" w:before="0"/>
        <w:rPr>
          <w:sz w:val="18"/>
        </w:rPr>
      </w:pPr>
      <w:r>
        <w:rPr/>
        <w:br w:type="column"/>
      </w:r>
      <w:r>
        <w:rPr>
          <w:sz w:val="18"/>
        </w:rPr>
      </w:r>
    </w:p>
    <w:p>
      <w:pPr>
        <w:pStyle w:val="BodyText"/>
        <w:rPr>
          <w:sz w:val="18"/>
        </w:rPr>
      </w:pPr>
    </w:p>
    <w:p>
      <w:pPr>
        <w:pStyle w:val="BodyText"/>
        <w:spacing w:before="160"/>
        <w:rPr>
          <w:sz w:val="18"/>
        </w:rPr>
      </w:pPr>
    </w:p>
    <w:p>
      <w:pPr>
        <w:spacing w:line="278" w:lineRule="auto" w:before="0"/>
        <w:ind w:left="513" w:right="514"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6"/>
        <w:rPr>
          <w:rFonts w:ascii="Arial MT"/>
          <w:sz w:val="18"/>
        </w:rPr>
      </w:pPr>
    </w:p>
    <w:p>
      <w:pPr>
        <w:spacing w:line="278" w:lineRule="auto" w:before="0"/>
        <w:ind w:left="283" w:right="0" w:firstLine="121"/>
        <w:jc w:val="left"/>
        <w:rPr>
          <w:rFonts w:ascii="Arial MT"/>
          <w:sz w:val="18"/>
        </w:rPr>
      </w:pPr>
      <w:r>
        <w:rPr>
          <w:rFonts w:ascii="Arial MT"/>
          <w:color w:val="231F1F"/>
          <w:sz w:val="18"/>
        </w:rPr>
        <w:t>E. de </w:t>
      </w:r>
      <w:r>
        <w:rPr>
          <w:rFonts w:ascii="Arial MT"/>
          <w:color w:val="231F1F"/>
          <w:spacing w:val="-6"/>
          <w:sz w:val="18"/>
        </w:rPr>
        <w:t>Cohorte</w:t>
      </w:r>
    </w:p>
    <w:p>
      <w:pPr>
        <w:spacing w:line="202" w:lineRule="exact" w:before="0"/>
        <w:ind w:left="513" w:right="0" w:firstLine="0"/>
        <w:jc w:val="left"/>
        <w:rPr>
          <w:rFonts w:ascii="Arial MT"/>
          <w:sz w:val="18"/>
        </w:rPr>
      </w:pPr>
      <w:r>
        <w:rPr>
          <w:rFonts w:ascii="Arial MT"/>
          <w:color w:val="231F1F"/>
          <w:spacing w:val="-5"/>
          <w:sz w:val="18"/>
        </w:rPr>
        <w:t>2+</w:t>
      </w:r>
    </w:p>
    <w:p>
      <w:pPr>
        <w:pStyle w:val="BodyText"/>
        <w:rPr>
          <w:rFonts w:ascii="Arial MT"/>
          <w:sz w:val="18"/>
        </w:rPr>
      </w:pPr>
    </w:p>
    <w:p>
      <w:pPr>
        <w:pStyle w:val="BodyText"/>
        <w:rPr>
          <w:rFonts w:ascii="Arial MT"/>
          <w:sz w:val="18"/>
        </w:rPr>
      </w:pPr>
    </w:p>
    <w:p>
      <w:pPr>
        <w:pStyle w:val="BodyText"/>
        <w:spacing w:before="189"/>
        <w:rPr>
          <w:rFonts w:ascii="Arial MT"/>
          <w:sz w:val="18"/>
        </w:rPr>
      </w:pPr>
    </w:p>
    <w:p>
      <w:pPr>
        <w:spacing w:line="278" w:lineRule="auto" w:before="0"/>
        <w:ind w:left="283" w:right="0" w:firstLine="121"/>
        <w:jc w:val="left"/>
        <w:rPr>
          <w:rFonts w:ascii="Arial MT"/>
          <w:sz w:val="18"/>
        </w:rPr>
      </w:pPr>
      <w:r>
        <w:rPr>
          <w:rFonts w:ascii="Arial MT"/>
          <w:color w:val="231F1F"/>
          <w:sz w:val="18"/>
        </w:rPr>
        <w:t>E. de </w:t>
      </w:r>
      <w:r>
        <w:rPr>
          <w:rFonts w:ascii="Arial MT"/>
          <w:color w:val="231F1F"/>
          <w:spacing w:val="-6"/>
          <w:sz w:val="18"/>
        </w:rPr>
        <w:t>Cohorte</w:t>
      </w:r>
    </w:p>
    <w:p>
      <w:pPr>
        <w:spacing w:line="202" w:lineRule="exact" w:before="0"/>
        <w:ind w:left="513" w:right="0" w:firstLine="0"/>
        <w:jc w:val="left"/>
        <w:rPr>
          <w:rFonts w:ascii="Arial MT"/>
          <w:sz w:val="18"/>
        </w:rPr>
      </w:pPr>
      <w:r>
        <w:rPr>
          <w:rFonts w:ascii="Arial MT"/>
          <w:color w:val="231F1F"/>
          <w:spacing w:val="-5"/>
          <w:sz w:val="18"/>
        </w:rPr>
        <w:t>2+</w:t>
      </w:r>
    </w:p>
    <w:p>
      <w:pPr>
        <w:spacing w:after="0" w:line="202" w:lineRule="exact"/>
        <w:jc w:val="left"/>
        <w:rPr>
          <w:rFonts w:ascii="Arial MT"/>
          <w:sz w:val="18"/>
        </w:rPr>
        <w:sectPr>
          <w:pgSz w:w="11900" w:h="16840"/>
          <w:pgMar w:header="0" w:footer="622" w:top="1560" w:bottom="820" w:left="1417" w:right="1559"/>
          <w:cols w:num="2" w:equalWidth="0">
            <w:col w:w="7555" w:space="47"/>
            <w:col w:w="1322"/>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402" w:hRule="atLeast"/>
        </w:trPr>
        <w:tc>
          <w:tcPr>
            <w:tcW w:w="8506" w:type="dxa"/>
            <w:gridSpan w:val="2"/>
          </w:tcPr>
          <w:p>
            <w:pPr>
              <w:pStyle w:val="TableParagraph"/>
              <w:spacing w:before="39"/>
              <w:rPr>
                <w:b/>
                <w:i/>
                <w:sz w:val="22"/>
              </w:rPr>
            </w:pPr>
            <w:r>
              <w:rPr>
                <w:b/>
                <w:i/>
                <w:color w:val="231F1F"/>
                <w:w w:val="105"/>
                <w:sz w:val="22"/>
              </w:rPr>
              <w:t>Masaje </w:t>
            </w:r>
            <w:r>
              <w:rPr>
                <w:b/>
                <w:i/>
                <w:color w:val="231F1F"/>
                <w:spacing w:val="-2"/>
                <w:w w:val="105"/>
                <w:sz w:val="22"/>
              </w:rPr>
              <w:t>perineal</w:t>
            </w:r>
          </w:p>
        </w:tc>
      </w:tr>
      <w:tr>
        <w:trPr>
          <w:trHeight w:val="1521" w:hRule="atLeast"/>
        </w:trPr>
        <w:tc>
          <w:tcPr>
            <w:tcW w:w="7373" w:type="dxa"/>
          </w:tcPr>
          <w:p>
            <w:pPr>
              <w:pStyle w:val="TableParagraph"/>
              <w:spacing w:line="244" w:lineRule="auto" w:before="44"/>
              <w:ind w:right="85"/>
              <w:jc w:val="both"/>
              <w:rPr>
                <w:sz w:val="22"/>
              </w:rPr>
            </w:pPr>
            <w:r>
              <w:rPr>
                <w:color w:val="231F1F"/>
                <w:w w:val="105"/>
                <w:sz w:val="22"/>
              </w:rPr>
              <w:t>La</w:t>
            </w:r>
            <w:r>
              <w:rPr>
                <w:color w:val="231F1F"/>
                <w:spacing w:val="37"/>
                <w:w w:val="105"/>
                <w:sz w:val="22"/>
              </w:rPr>
              <w:t> </w:t>
            </w:r>
            <w:r>
              <w:rPr>
                <w:color w:val="231F1F"/>
                <w:w w:val="105"/>
                <w:sz w:val="22"/>
              </w:rPr>
              <w:t>realización</w:t>
            </w:r>
            <w:r>
              <w:rPr>
                <w:color w:val="231F1F"/>
                <w:spacing w:val="38"/>
                <w:w w:val="105"/>
                <w:sz w:val="22"/>
              </w:rPr>
              <w:t> </w:t>
            </w:r>
            <w:r>
              <w:rPr>
                <w:color w:val="231F1F"/>
                <w:w w:val="105"/>
                <w:sz w:val="22"/>
              </w:rPr>
              <w:t>del</w:t>
            </w:r>
            <w:r>
              <w:rPr>
                <w:color w:val="231F1F"/>
                <w:spacing w:val="37"/>
                <w:w w:val="105"/>
                <w:sz w:val="22"/>
              </w:rPr>
              <w:t> </w:t>
            </w:r>
            <w:r>
              <w:rPr>
                <w:color w:val="231F1F"/>
                <w:w w:val="105"/>
                <w:sz w:val="22"/>
              </w:rPr>
              <w:t>masaje</w:t>
            </w:r>
            <w:r>
              <w:rPr>
                <w:color w:val="231F1F"/>
                <w:spacing w:val="37"/>
                <w:w w:val="105"/>
                <w:sz w:val="22"/>
              </w:rPr>
              <w:t> </w:t>
            </w:r>
            <w:r>
              <w:rPr>
                <w:color w:val="231F1F"/>
                <w:w w:val="105"/>
                <w:sz w:val="22"/>
              </w:rPr>
              <w:t>perineal,</w:t>
            </w:r>
            <w:r>
              <w:rPr>
                <w:color w:val="231F1F"/>
                <w:spacing w:val="37"/>
                <w:w w:val="105"/>
                <w:sz w:val="22"/>
              </w:rPr>
              <w:t> </w:t>
            </w:r>
            <w:r>
              <w:rPr>
                <w:color w:val="231F1F"/>
                <w:w w:val="105"/>
                <w:sz w:val="22"/>
              </w:rPr>
              <w:t>comparando</w:t>
            </w:r>
            <w:r>
              <w:rPr>
                <w:color w:val="231F1F"/>
                <w:spacing w:val="38"/>
                <w:w w:val="105"/>
                <w:sz w:val="22"/>
              </w:rPr>
              <w:t> </w:t>
            </w:r>
            <w:r>
              <w:rPr>
                <w:color w:val="231F1F"/>
                <w:w w:val="105"/>
                <w:sz w:val="22"/>
              </w:rPr>
              <w:t>con</w:t>
            </w:r>
            <w:r>
              <w:rPr>
                <w:color w:val="231F1F"/>
                <w:spacing w:val="38"/>
                <w:w w:val="105"/>
                <w:sz w:val="22"/>
              </w:rPr>
              <w:t> </w:t>
            </w:r>
            <w:r>
              <w:rPr>
                <w:color w:val="231F1F"/>
                <w:w w:val="105"/>
                <w:sz w:val="22"/>
              </w:rPr>
              <w:t>la</w:t>
            </w:r>
            <w:r>
              <w:rPr>
                <w:color w:val="231F1F"/>
                <w:spacing w:val="37"/>
                <w:w w:val="105"/>
                <w:sz w:val="22"/>
              </w:rPr>
              <w:t> </w:t>
            </w:r>
            <w:r>
              <w:rPr>
                <w:color w:val="231F1F"/>
                <w:w w:val="105"/>
                <w:sz w:val="22"/>
              </w:rPr>
              <w:t>no</w:t>
            </w:r>
            <w:r>
              <w:rPr>
                <w:color w:val="231F1F"/>
                <w:spacing w:val="38"/>
                <w:w w:val="105"/>
                <w:sz w:val="22"/>
              </w:rPr>
              <w:t> </w:t>
            </w:r>
            <w:r>
              <w:rPr>
                <w:color w:val="231F1F"/>
                <w:w w:val="105"/>
                <w:sz w:val="22"/>
              </w:rPr>
              <w:t>realización,</w:t>
            </w:r>
            <w:r>
              <w:rPr>
                <w:color w:val="231F1F"/>
                <w:spacing w:val="38"/>
                <w:w w:val="105"/>
                <w:sz w:val="22"/>
              </w:rPr>
              <w:t> </w:t>
            </w:r>
            <w:r>
              <w:rPr>
                <w:color w:val="231F1F"/>
                <w:w w:val="105"/>
                <w:sz w:val="22"/>
              </w:rPr>
              <w:t>no ha mostrado diferencias significativas en las tasas de perineos intactos, des- garros de I grado y II grado, episiotomías, dolor vaginal a los 3 días, 10 días y</w:t>
            </w:r>
            <w:r>
              <w:rPr>
                <w:color w:val="231F1F"/>
                <w:w w:val="105"/>
                <w:sz w:val="22"/>
              </w:rPr>
              <w:t> 3</w:t>
            </w:r>
            <w:r>
              <w:rPr>
                <w:color w:val="231F1F"/>
                <w:w w:val="105"/>
                <w:sz w:val="22"/>
              </w:rPr>
              <w:t> meses,</w:t>
            </w:r>
            <w:r>
              <w:rPr>
                <w:color w:val="231F1F"/>
                <w:w w:val="105"/>
                <w:sz w:val="22"/>
              </w:rPr>
              <w:t> dispareunias</w:t>
            </w:r>
            <w:r>
              <w:rPr>
                <w:color w:val="231F1F"/>
                <w:w w:val="105"/>
                <w:sz w:val="22"/>
              </w:rPr>
              <w:t> y</w:t>
            </w:r>
            <w:r>
              <w:rPr>
                <w:color w:val="231F1F"/>
                <w:w w:val="105"/>
                <w:sz w:val="22"/>
              </w:rPr>
              <w:t> en</w:t>
            </w:r>
            <w:r>
              <w:rPr>
                <w:color w:val="231F1F"/>
                <w:w w:val="105"/>
                <w:sz w:val="22"/>
              </w:rPr>
              <w:t> la</w:t>
            </w:r>
            <w:r>
              <w:rPr>
                <w:color w:val="231F1F"/>
                <w:w w:val="105"/>
                <w:sz w:val="22"/>
              </w:rPr>
              <w:t> no</w:t>
            </w:r>
            <w:r>
              <w:rPr>
                <w:color w:val="231F1F"/>
                <w:w w:val="105"/>
                <w:sz w:val="22"/>
              </w:rPr>
              <w:t> reanudación</w:t>
            </w:r>
            <w:r>
              <w:rPr>
                <w:color w:val="231F1F"/>
                <w:w w:val="105"/>
                <w:sz w:val="22"/>
              </w:rPr>
              <w:t> de</w:t>
            </w:r>
            <w:r>
              <w:rPr>
                <w:color w:val="231F1F"/>
                <w:w w:val="105"/>
                <w:sz w:val="22"/>
              </w:rPr>
              <w:t> las</w:t>
            </w:r>
            <w:r>
              <w:rPr>
                <w:color w:val="231F1F"/>
                <w:w w:val="105"/>
                <w:sz w:val="22"/>
              </w:rPr>
              <w:t> relaciones</w:t>
            </w:r>
            <w:r>
              <w:rPr>
                <w:color w:val="231F1F"/>
                <w:w w:val="105"/>
                <w:sz w:val="22"/>
              </w:rPr>
              <w:t> sexuales </w:t>
            </w:r>
            <w:r>
              <w:rPr>
                <w:color w:val="231F1F"/>
                <w:spacing w:val="-2"/>
                <w:w w:val="105"/>
                <w:sz w:val="22"/>
              </w:rPr>
              <w:t>(146).</w:t>
            </w:r>
          </w:p>
        </w:tc>
        <w:tc>
          <w:tcPr>
            <w:tcW w:w="1133" w:type="dxa"/>
          </w:tcPr>
          <w:p>
            <w:pPr>
              <w:pStyle w:val="TableParagraph"/>
              <w:ind w:left="0"/>
              <w:rPr>
                <w:rFonts w:ascii="Arial MT"/>
                <w:sz w:val="22"/>
              </w:rPr>
            </w:pPr>
          </w:p>
          <w:p>
            <w:pPr>
              <w:pStyle w:val="TableParagraph"/>
              <w:spacing w:before="94"/>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402" w:hRule="atLeast"/>
        </w:trPr>
        <w:tc>
          <w:tcPr>
            <w:tcW w:w="8506" w:type="dxa"/>
            <w:gridSpan w:val="2"/>
          </w:tcPr>
          <w:p>
            <w:pPr>
              <w:pStyle w:val="TableParagraph"/>
              <w:spacing w:before="39"/>
              <w:rPr>
                <w:b/>
                <w:i/>
                <w:sz w:val="22"/>
              </w:rPr>
            </w:pPr>
            <w:r>
              <w:rPr>
                <w:b/>
                <w:i/>
                <w:color w:val="231F1F"/>
                <w:w w:val="110"/>
                <w:sz w:val="22"/>
              </w:rPr>
              <w:t>Aplicación</w:t>
            </w:r>
            <w:r>
              <w:rPr>
                <w:b/>
                <w:i/>
                <w:color w:val="231F1F"/>
                <w:spacing w:val="-11"/>
                <w:w w:val="110"/>
                <w:sz w:val="22"/>
              </w:rPr>
              <w:t> </w:t>
            </w:r>
            <w:r>
              <w:rPr>
                <w:b/>
                <w:i/>
                <w:color w:val="231F1F"/>
                <w:w w:val="110"/>
                <w:sz w:val="22"/>
              </w:rPr>
              <w:t>de</w:t>
            </w:r>
            <w:r>
              <w:rPr>
                <w:b/>
                <w:i/>
                <w:color w:val="231F1F"/>
                <w:spacing w:val="-11"/>
                <w:w w:val="110"/>
                <w:sz w:val="22"/>
              </w:rPr>
              <w:t> </w:t>
            </w:r>
            <w:r>
              <w:rPr>
                <w:b/>
                <w:i/>
                <w:color w:val="231F1F"/>
                <w:spacing w:val="-2"/>
                <w:w w:val="110"/>
                <w:sz w:val="22"/>
              </w:rPr>
              <w:t>calor/frio</w:t>
            </w:r>
          </w:p>
        </w:tc>
      </w:tr>
      <w:tr>
        <w:trPr>
          <w:trHeight w:val="676" w:hRule="atLeast"/>
        </w:trPr>
        <w:tc>
          <w:tcPr>
            <w:tcW w:w="7373" w:type="dxa"/>
          </w:tcPr>
          <w:p>
            <w:pPr>
              <w:pStyle w:val="TableParagraph"/>
              <w:spacing w:line="254" w:lineRule="auto" w:before="63"/>
              <w:ind w:right="311"/>
              <w:rPr>
                <w:sz w:val="22"/>
              </w:rPr>
            </w:pPr>
            <w:r>
              <w:rPr>
                <w:color w:val="231F1F"/>
                <w:sz w:val="22"/>
              </w:rPr>
              <w:t>La aplicación de </w:t>
            </w:r>
            <w:r>
              <w:rPr>
                <w:i/>
                <w:color w:val="231F1F"/>
                <w:sz w:val="22"/>
              </w:rPr>
              <w:t>compresas calientes </w:t>
            </w:r>
            <w:r>
              <w:rPr>
                <w:color w:val="231F1F"/>
                <w:sz w:val="22"/>
              </w:rPr>
              <w:t>durante la 2ª etapa del parto no previe-</w:t>
            </w:r>
            <w:r>
              <w:rPr>
                <w:color w:val="231F1F"/>
                <w:spacing w:val="80"/>
                <w:w w:val="150"/>
                <w:sz w:val="22"/>
              </w:rPr>
              <w:t> </w:t>
            </w:r>
            <w:r>
              <w:rPr>
                <w:color w:val="231F1F"/>
                <w:sz w:val="22"/>
              </w:rPr>
              <w:t>ne</w:t>
            </w:r>
            <w:r>
              <w:rPr>
                <w:color w:val="231F1F"/>
                <w:spacing w:val="40"/>
                <w:sz w:val="22"/>
              </w:rPr>
              <w:t> </w:t>
            </w:r>
            <w:r>
              <w:rPr>
                <w:color w:val="231F1F"/>
                <w:sz w:val="22"/>
              </w:rPr>
              <w:t>traumas</w:t>
            </w:r>
            <w:r>
              <w:rPr>
                <w:color w:val="231F1F"/>
                <w:spacing w:val="40"/>
                <w:sz w:val="22"/>
              </w:rPr>
              <w:t> </w:t>
            </w:r>
            <w:r>
              <w:rPr>
                <w:color w:val="231F1F"/>
                <w:sz w:val="22"/>
              </w:rPr>
              <w:t>perineales</w:t>
            </w:r>
            <w:r>
              <w:rPr>
                <w:color w:val="231F1F"/>
                <w:spacing w:val="40"/>
                <w:sz w:val="22"/>
              </w:rPr>
              <w:t> </w:t>
            </w:r>
            <w:r>
              <w:rPr>
                <w:color w:val="231F1F"/>
                <w:sz w:val="22"/>
              </w:rPr>
              <w:t>(147).</w:t>
            </w:r>
          </w:p>
        </w:tc>
        <w:tc>
          <w:tcPr>
            <w:tcW w:w="1133" w:type="dxa"/>
          </w:tcPr>
          <w:p>
            <w:pPr>
              <w:pStyle w:val="TableParagraph"/>
              <w:spacing w:before="183"/>
              <w:ind w:left="49" w:right="22"/>
              <w:jc w:val="center"/>
              <w:rPr>
                <w:sz w:val="22"/>
              </w:rPr>
            </w:pPr>
            <w:r>
              <w:rPr>
                <w:color w:val="231F1F"/>
                <w:spacing w:val="-5"/>
                <w:w w:val="105"/>
                <w:sz w:val="22"/>
              </w:rPr>
              <w:t>2+</w:t>
            </w:r>
          </w:p>
        </w:tc>
      </w:tr>
      <w:tr>
        <w:trPr>
          <w:trHeight w:val="1521" w:hRule="atLeast"/>
        </w:trPr>
        <w:tc>
          <w:tcPr>
            <w:tcW w:w="7373" w:type="dxa"/>
          </w:tcPr>
          <w:p>
            <w:pPr>
              <w:pStyle w:val="TableParagraph"/>
              <w:spacing w:line="244" w:lineRule="auto" w:before="49"/>
              <w:ind w:right="85"/>
              <w:jc w:val="both"/>
              <w:rPr>
                <w:sz w:val="22"/>
              </w:rPr>
            </w:pPr>
            <w:r>
              <w:rPr>
                <w:color w:val="231F1F"/>
                <w:w w:val="110"/>
                <w:sz w:val="22"/>
              </w:rPr>
              <w:t>La</w:t>
            </w:r>
            <w:r>
              <w:rPr>
                <w:color w:val="231F1F"/>
                <w:spacing w:val="-16"/>
                <w:w w:val="110"/>
                <w:sz w:val="22"/>
              </w:rPr>
              <w:t> </w:t>
            </w:r>
            <w:r>
              <w:rPr>
                <w:color w:val="231F1F"/>
                <w:w w:val="110"/>
                <w:sz w:val="22"/>
              </w:rPr>
              <w:t>aplicación</w:t>
            </w:r>
            <w:r>
              <w:rPr>
                <w:color w:val="231F1F"/>
                <w:spacing w:val="-15"/>
                <w:w w:val="110"/>
                <w:sz w:val="22"/>
              </w:rPr>
              <w:t> </w:t>
            </w:r>
            <w:r>
              <w:rPr>
                <w:color w:val="231F1F"/>
                <w:w w:val="110"/>
                <w:sz w:val="22"/>
              </w:rPr>
              <w:t>de</w:t>
            </w:r>
            <w:r>
              <w:rPr>
                <w:color w:val="231F1F"/>
                <w:spacing w:val="-15"/>
                <w:w w:val="110"/>
                <w:sz w:val="22"/>
              </w:rPr>
              <w:t> </w:t>
            </w:r>
            <w:r>
              <w:rPr>
                <w:i/>
                <w:color w:val="231F1F"/>
                <w:w w:val="110"/>
                <w:sz w:val="22"/>
              </w:rPr>
              <w:t>compresas</w:t>
            </w:r>
            <w:r>
              <w:rPr>
                <w:i/>
                <w:color w:val="231F1F"/>
                <w:spacing w:val="-15"/>
                <w:w w:val="110"/>
                <w:sz w:val="22"/>
              </w:rPr>
              <w:t> </w:t>
            </w:r>
            <w:r>
              <w:rPr>
                <w:i/>
                <w:color w:val="231F1F"/>
                <w:w w:val="110"/>
                <w:sz w:val="22"/>
              </w:rPr>
              <w:t>calientes</w:t>
            </w:r>
            <w:r>
              <w:rPr>
                <w:i/>
                <w:color w:val="231F1F"/>
                <w:spacing w:val="-15"/>
                <w:w w:val="110"/>
                <w:sz w:val="22"/>
              </w:rPr>
              <w:t> </w:t>
            </w:r>
            <w:r>
              <w:rPr>
                <w:color w:val="231F1F"/>
                <w:w w:val="110"/>
                <w:sz w:val="22"/>
              </w:rPr>
              <w:t>iniciada</w:t>
            </w:r>
            <w:r>
              <w:rPr>
                <w:color w:val="231F1F"/>
                <w:spacing w:val="-10"/>
                <w:w w:val="110"/>
                <w:sz w:val="22"/>
              </w:rPr>
              <w:t> </w:t>
            </w:r>
            <w:r>
              <w:rPr>
                <w:color w:val="231F1F"/>
                <w:w w:val="110"/>
                <w:sz w:val="22"/>
              </w:rPr>
              <w:t>durante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segunda</w:t>
            </w:r>
            <w:r>
              <w:rPr>
                <w:color w:val="231F1F"/>
                <w:spacing w:val="-12"/>
                <w:w w:val="110"/>
                <w:sz w:val="22"/>
              </w:rPr>
              <w:t> </w:t>
            </w:r>
            <w:r>
              <w:rPr>
                <w:color w:val="231F1F"/>
                <w:w w:val="110"/>
                <w:sz w:val="22"/>
              </w:rPr>
              <w:t>etapa</w:t>
            </w:r>
            <w:r>
              <w:rPr>
                <w:color w:val="231F1F"/>
                <w:spacing w:val="-11"/>
                <w:w w:val="110"/>
                <w:sz w:val="22"/>
              </w:rPr>
              <w:t> </w:t>
            </w:r>
            <w:r>
              <w:rPr>
                <w:color w:val="231F1F"/>
                <w:w w:val="110"/>
                <w:sz w:val="22"/>
              </w:rPr>
              <w:t>del parto,</w:t>
            </w:r>
            <w:r>
              <w:rPr>
                <w:color w:val="231F1F"/>
                <w:spacing w:val="-13"/>
                <w:w w:val="110"/>
                <w:sz w:val="22"/>
              </w:rPr>
              <w:t> </w:t>
            </w:r>
            <w:r>
              <w:rPr>
                <w:color w:val="231F1F"/>
                <w:w w:val="110"/>
                <w:sz w:val="22"/>
              </w:rPr>
              <w:t>reduce</w:t>
            </w:r>
            <w:r>
              <w:rPr>
                <w:color w:val="231F1F"/>
                <w:spacing w:val="-12"/>
                <w:w w:val="110"/>
                <w:sz w:val="22"/>
              </w:rPr>
              <w:t> </w:t>
            </w:r>
            <w:r>
              <w:rPr>
                <w:color w:val="231F1F"/>
                <w:w w:val="110"/>
                <w:sz w:val="22"/>
              </w:rPr>
              <w:t>el</w:t>
            </w:r>
            <w:r>
              <w:rPr>
                <w:color w:val="231F1F"/>
                <w:spacing w:val="-13"/>
                <w:w w:val="110"/>
                <w:sz w:val="22"/>
              </w:rPr>
              <w:t> </w:t>
            </w:r>
            <w:r>
              <w:rPr>
                <w:color w:val="231F1F"/>
                <w:w w:val="110"/>
                <w:sz w:val="22"/>
              </w:rPr>
              <w:t>riesgo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laceraciones</w:t>
            </w:r>
            <w:r>
              <w:rPr>
                <w:color w:val="231F1F"/>
                <w:spacing w:val="-12"/>
                <w:w w:val="110"/>
                <w:sz w:val="22"/>
              </w:rPr>
              <w:t> </w:t>
            </w:r>
            <w:r>
              <w:rPr>
                <w:color w:val="231F1F"/>
                <w:w w:val="110"/>
                <w:sz w:val="22"/>
              </w:rPr>
              <w:t>perineales</w:t>
            </w:r>
            <w:r>
              <w:rPr>
                <w:color w:val="231F1F"/>
                <w:spacing w:val="-13"/>
                <w:w w:val="110"/>
                <w:sz w:val="22"/>
              </w:rPr>
              <w:t> </w:t>
            </w:r>
            <w:r>
              <w:rPr>
                <w:color w:val="231F1F"/>
                <w:w w:val="110"/>
                <w:sz w:val="22"/>
              </w:rPr>
              <w:t>de</w:t>
            </w:r>
            <w:r>
              <w:rPr>
                <w:color w:val="231F1F"/>
                <w:spacing w:val="-12"/>
                <w:w w:val="110"/>
                <w:sz w:val="22"/>
              </w:rPr>
              <w:t> </w:t>
            </w:r>
            <w:r>
              <w:rPr>
                <w:color w:val="231F1F"/>
                <w:w w:val="110"/>
                <w:sz w:val="22"/>
              </w:rPr>
              <w:t>tercer</w:t>
            </w:r>
            <w:r>
              <w:rPr>
                <w:color w:val="231F1F"/>
                <w:spacing w:val="-12"/>
                <w:w w:val="110"/>
                <w:sz w:val="22"/>
              </w:rPr>
              <w:t> </w:t>
            </w:r>
            <w:r>
              <w:rPr>
                <w:color w:val="231F1F"/>
                <w:w w:val="110"/>
                <w:sz w:val="22"/>
              </w:rPr>
              <w:t>y</w:t>
            </w:r>
            <w:r>
              <w:rPr>
                <w:color w:val="231F1F"/>
                <w:spacing w:val="-12"/>
                <w:w w:val="110"/>
                <w:sz w:val="22"/>
              </w:rPr>
              <w:t> </w:t>
            </w:r>
            <w:r>
              <w:rPr>
                <w:color w:val="231F1F"/>
                <w:w w:val="110"/>
                <w:sz w:val="22"/>
              </w:rPr>
              <w:t>cuarto</w:t>
            </w:r>
            <w:r>
              <w:rPr>
                <w:color w:val="231F1F"/>
                <w:spacing w:val="-12"/>
                <w:w w:val="110"/>
                <w:sz w:val="22"/>
              </w:rPr>
              <w:t> </w:t>
            </w:r>
            <w:r>
              <w:rPr>
                <w:color w:val="231F1F"/>
                <w:w w:val="110"/>
                <w:sz w:val="22"/>
              </w:rPr>
              <w:t>grados, pero no la tasa de suturas perineales. Además, reduce el dolor durante el parto</w:t>
            </w:r>
            <w:r>
              <w:rPr>
                <w:color w:val="231F1F"/>
                <w:spacing w:val="-11"/>
                <w:w w:val="110"/>
                <w:sz w:val="22"/>
              </w:rPr>
              <w:t> </w:t>
            </w:r>
            <w:r>
              <w:rPr>
                <w:color w:val="231F1F"/>
                <w:w w:val="110"/>
                <w:sz w:val="22"/>
              </w:rPr>
              <w:t>y</w:t>
            </w:r>
            <w:r>
              <w:rPr>
                <w:color w:val="231F1F"/>
                <w:spacing w:val="-11"/>
                <w:w w:val="110"/>
                <w:sz w:val="22"/>
              </w:rPr>
              <w:t> </w:t>
            </w:r>
            <w:r>
              <w:rPr>
                <w:color w:val="231F1F"/>
                <w:w w:val="110"/>
                <w:sz w:val="22"/>
              </w:rPr>
              <w:t>los</w:t>
            </w:r>
            <w:r>
              <w:rPr>
                <w:color w:val="231F1F"/>
                <w:spacing w:val="-12"/>
                <w:w w:val="110"/>
                <w:sz w:val="22"/>
              </w:rPr>
              <w:t> </w:t>
            </w:r>
            <w:r>
              <w:rPr>
                <w:color w:val="231F1F"/>
                <w:w w:val="110"/>
                <w:sz w:val="22"/>
              </w:rPr>
              <w:t>primeros</w:t>
            </w:r>
            <w:r>
              <w:rPr>
                <w:color w:val="231F1F"/>
                <w:spacing w:val="-12"/>
                <w:w w:val="110"/>
                <w:sz w:val="22"/>
              </w:rPr>
              <w:t> </w:t>
            </w:r>
            <w:r>
              <w:rPr>
                <w:color w:val="231F1F"/>
                <w:w w:val="110"/>
                <w:sz w:val="22"/>
              </w:rPr>
              <w:t>3</w:t>
            </w:r>
            <w:r>
              <w:rPr>
                <w:color w:val="231F1F"/>
                <w:spacing w:val="-11"/>
                <w:w w:val="110"/>
                <w:sz w:val="22"/>
              </w:rPr>
              <w:t> </w:t>
            </w:r>
            <w:r>
              <w:rPr>
                <w:color w:val="231F1F"/>
                <w:w w:val="110"/>
                <w:sz w:val="22"/>
              </w:rPr>
              <w:t>días</w:t>
            </w:r>
            <w:r>
              <w:rPr>
                <w:color w:val="231F1F"/>
                <w:spacing w:val="-12"/>
                <w:w w:val="110"/>
                <w:sz w:val="22"/>
              </w:rPr>
              <w:t> </w:t>
            </w:r>
            <w:r>
              <w:rPr>
                <w:color w:val="231F1F"/>
                <w:w w:val="110"/>
                <w:sz w:val="22"/>
              </w:rPr>
              <w:t>posparto,</w:t>
            </w:r>
            <w:r>
              <w:rPr>
                <w:color w:val="231F1F"/>
                <w:spacing w:val="-12"/>
                <w:w w:val="110"/>
                <w:sz w:val="22"/>
              </w:rPr>
              <w:t> </w:t>
            </w:r>
            <w:r>
              <w:rPr>
                <w:color w:val="231F1F"/>
                <w:w w:val="110"/>
                <w:sz w:val="22"/>
              </w:rPr>
              <w:t>pudiendo</w:t>
            </w:r>
            <w:r>
              <w:rPr>
                <w:color w:val="231F1F"/>
                <w:spacing w:val="-11"/>
                <w:w w:val="110"/>
                <w:sz w:val="22"/>
              </w:rPr>
              <w:t> </w:t>
            </w:r>
            <w:r>
              <w:rPr>
                <w:color w:val="231F1F"/>
                <w:w w:val="110"/>
                <w:sz w:val="22"/>
              </w:rPr>
              <w:t>reducir</w:t>
            </w:r>
            <w:r>
              <w:rPr>
                <w:color w:val="231F1F"/>
                <w:spacing w:val="-11"/>
                <w:w w:val="110"/>
                <w:sz w:val="22"/>
              </w:rPr>
              <w:t> </w:t>
            </w:r>
            <w:r>
              <w:rPr>
                <w:color w:val="231F1F"/>
                <w:w w:val="110"/>
                <w:sz w:val="22"/>
              </w:rPr>
              <w:t>también</w:t>
            </w:r>
            <w:r>
              <w:rPr>
                <w:color w:val="231F1F"/>
                <w:spacing w:val="-11"/>
                <w:w w:val="110"/>
                <w:sz w:val="22"/>
              </w:rPr>
              <w:t> </w:t>
            </w:r>
            <w:r>
              <w:rPr>
                <w:color w:val="231F1F"/>
                <w:w w:val="110"/>
                <w:sz w:val="22"/>
              </w:rPr>
              <w:t>el</w:t>
            </w:r>
            <w:r>
              <w:rPr>
                <w:color w:val="231F1F"/>
                <w:spacing w:val="-12"/>
                <w:w w:val="110"/>
                <w:sz w:val="22"/>
              </w:rPr>
              <w:t> </w:t>
            </w:r>
            <w:r>
              <w:rPr>
                <w:color w:val="231F1F"/>
                <w:w w:val="110"/>
                <w:sz w:val="22"/>
              </w:rPr>
              <w:t>riesgo</w:t>
            </w:r>
            <w:r>
              <w:rPr>
                <w:color w:val="231F1F"/>
                <w:spacing w:val="-11"/>
                <w:w w:val="110"/>
                <w:sz w:val="22"/>
              </w:rPr>
              <w:t> </w:t>
            </w:r>
            <w:r>
              <w:rPr>
                <w:color w:val="231F1F"/>
                <w:w w:val="110"/>
                <w:sz w:val="22"/>
              </w:rPr>
              <w:t>de incontinencia urinaria durante los primeros 3 meses posparto (151).</w:t>
            </w:r>
          </w:p>
        </w:tc>
        <w:tc>
          <w:tcPr>
            <w:tcW w:w="1133" w:type="dxa"/>
          </w:tcPr>
          <w:p>
            <w:pPr>
              <w:pStyle w:val="TableParagraph"/>
              <w:ind w:left="0"/>
              <w:rPr>
                <w:rFonts w:ascii="Arial MT"/>
                <w:sz w:val="22"/>
              </w:rPr>
            </w:pPr>
          </w:p>
          <w:p>
            <w:pPr>
              <w:pStyle w:val="TableParagraph"/>
              <w:spacing w:before="94"/>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402" w:hRule="atLeast"/>
        </w:trPr>
        <w:tc>
          <w:tcPr>
            <w:tcW w:w="8506" w:type="dxa"/>
            <w:gridSpan w:val="2"/>
          </w:tcPr>
          <w:p>
            <w:pPr>
              <w:pStyle w:val="TableParagraph"/>
              <w:spacing w:before="49"/>
              <w:rPr>
                <w:b/>
                <w:i/>
                <w:sz w:val="22"/>
              </w:rPr>
            </w:pPr>
            <w:r>
              <w:rPr>
                <w:b/>
                <w:i/>
                <w:color w:val="231F1F"/>
                <w:sz w:val="22"/>
              </w:rPr>
              <w:t>Protección</w:t>
            </w:r>
            <w:r>
              <w:rPr>
                <w:b/>
                <w:i/>
                <w:color w:val="231F1F"/>
                <w:spacing w:val="32"/>
                <w:sz w:val="22"/>
              </w:rPr>
              <w:t> </w:t>
            </w:r>
            <w:r>
              <w:rPr>
                <w:b/>
                <w:i/>
                <w:color w:val="231F1F"/>
                <w:sz w:val="22"/>
              </w:rPr>
              <w:t>activa</w:t>
            </w:r>
            <w:r>
              <w:rPr>
                <w:b/>
                <w:i/>
                <w:color w:val="231F1F"/>
                <w:spacing w:val="32"/>
                <w:sz w:val="22"/>
              </w:rPr>
              <w:t> </w:t>
            </w:r>
            <w:r>
              <w:rPr>
                <w:b/>
                <w:i/>
                <w:color w:val="231F1F"/>
                <w:sz w:val="22"/>
              </w:rPr>
              <w:t>del</w:t>
            </w:r>
            <w:r>
              <w:rPr>
                <w:b/>
                <w:i/>
                <w:color w:val="231F1F"/>
                <w:spacing w:val="32"/>
                <w:sz w:val="22"/>
              </w:rPr>
              <w:t> </w:t>
            </w:r>
            <w:r>
              <w:rPr>
                <w:b/>
                <w:i/>
                <w:color w:val="231F1F"/>
                <w:sz w:val="22"/>
              </w:rPr>
              <w:t>periné</w:t>
            </w:r>
            <w:r>
              <w:rPr>
                <w:b/>
                <w:i/>
                <w:color w:val="231F1F"/>
                <w:spacing w:val="32"/>
                <w:sz w:val="22"/>
              </w:rPr>
              <w:t> </w:t>
            </w:r>
            <w:r>
              <w:rPr>
                <w:b/>
                <w:i/>
                <w:color w:val="231F1F"/>
                <w:sz w:val="22"/>
              </w:rPr>
              <w:t>y</w:t>
            </w:r>
            <w:r>
              <w:rPr>
                <w:b/>
                <w:i/>
                <w:color w:val="231F1F"/>
                <w:spacing w:val="32"/>
                <w:sz w:val="22"/>
              </w:rPr>
              <w:t> </w:t>
            </w:r>
            <w:r>
              <w:rPr>
                <w:b/>
                <w:i/>
                <w:color w:val="231F1F"/>
                <w:sz w:val="22"/>
              </w:rPr>
              <w:t>deflexión</w:t>
            </w:r>
            <w:r>
              <w:rPr>
                <w:b/>
                <w:i/>
                <w:color w:val="231F1F"/>
                <w:spacing w:val="34"/>
                <w:sz w:val="22"/>
              </w:rPr>
              <w:t> </w:t>
            </w:r>
            <w:r>
              <w:rPr>
                <w:b/>
                <w:i/>
                <w:color w:val="231F1F"/>
                <w:sz w:val="22"/>
              </w:rPr>
              <w:t>activa</w:t>
            </w:r>
            <w:r>
              <w:rPr>
                <w:b/>
                <w:i/>
                <w:color w:val="231F1F"/>
                <w:spacing w:val="33"/>
                <w:sz w:val="22"/>
              </w:rPr>
              <w:t> </w:t>
            </w:r>
            <w:r>
              <w:rPr>
                <w:b/>
                <w:i/>
                <w:color w:val="231F1F"/>
                <w:sz w:val="22"/>
              </w:rPr>
              <w:t>de</w:t>
            </w:r>
            <w:r>
              <w:rPr>
                <w:b/>
                <w:i/>
                <w:color w:val="231F1F"/>
                <w:spacing w:val="32"/>
                <w:sz w:val="22"/>
              </w:rPr>
              <w:t> </w:t>
            </w:r>
            <w:r>
              <w:rPr>
                <w:b/>
                <w:i/>
                <w:color w:val="231F1F"/>
                <w:sz w:val="22"/>
              </w:rPr>
              <w:t>la</w:t>
            </w:r>
            <w:r>
              <w:rPr>
                <w:b/>
                <w:i/>
                <w:color w:val="231F1F"/>
                <w:spacing w:val="34"/>
                <w:sz w:val="22"/>
              </w:rPr>
              <w:t> </w:t>
            </w:r>
            <w:r>
              <w:rPr>
                <w:b/>
                <w:i/>
                <w:color w:val="231F1F"/>
                <w:spacing w:val="-2"/>
                <w:sz w:val="22"/>
              </w:rPr>
              <w:t>cabeza</w:t>
            </w:r>
          </w:p>
        </w:tc>
      </w:tr>
      <w:tr>
        <w:trPr>
          <w:trHeight w:val="1804" w:hRule="atLeast"/>
        </w:trPr>
        <w:tc>
          <w:tcPr>
            <w:tcW w:w="7373" w:type="dxa"/>
          </w:tcPr>
          <w:p>
            <w:pPr>
              <w:pStyle w:val="TableParagraph"/>
              <w:spacing w:line="247" w:lineRule="auto" w:before="44"/>
              <w:ind w:right="88" w:hanging="1"/>
              <w:jc w:val="both"/>
              <w:rPr>
                <w:sz w:val="22"/>
              </w:rPr>
            </w:pPr>
            <w:r>
              <w:rPr>
                <w:color w:val="231F1F"/>
                <w:w w:val="110"/>
                <w:sz w:val="22"/>
              </w:rPr>
              <w:t>Posicionando las manos en modo </w:t>
            </w:r>
            <w:r>
              <w:rPr>
                <w:i/>
                <w:color w:val="231F1F"/>
                <w:w w:val="110"/>
                <w:sz w:val="22"/>
              </w:rPr>
              <w:t>protección del periné </w:t>
            </w:r>
            <w:r>
              <w:rPr>
                <w:color w:val="231F1F"/>
                <w:w w:val="110"/>
                <w:sz w:val="22"/>
              </w:rPr>
              <w:t>y controlando la deflexión</w:t>
            </w:r>
            <w:r>
              <w:rPr>
                <w:color w:val="231F1F"/>
                <w:spacing w:val="-14"/>
                <w:w w:val="110"/>
                <w:sz w:val="22"/>
              </w:rPr>
              <w:t> </w:t>
            </w:r>
            <w:r>
              <w:rPr>
                <w:color w:val="231F1F"/>
                <w:w w:val="110"/>
                <w:sz w:val="22"/>
              </w:rPr>
              <w:t>de</w:t>
            </w:r>
            <w:r>
              <w:rPr>
                <w:color w:val="231F1F"/>
                <w:spacing w:val="-13"/>
                <w:w w:val="110"/>
                <w:sz w:val="22"/>
              </w:rPr>
              <w:t> </w:t>
            </w:r>
            <w:r>
              <w:rPr>
                <w:color w:val="231F1F"/>
                <w:w w:val="110"/>
                <w:sz w:val="22"/>
              </w:rPr>
              <w:t>cabeza,</w:t>
            </w:r>
            <w:r>
              <w:rPr>
                <w:color w:val="231F1F"/>
                <w:spacing w:val="-14"/>
                <w:w w:val="110"/>
                <w:sz w:val="22"/>
              </w:rPr>
              <w:t> </w:t>
            </w:r>
            <w:r>
              <w:rPr>
                <w:color w:val="231F1F"/>
                <w:w w:val="110"/>
                <w:sz w:val="22"/>
              </w:rPr>
              <w:t>comparado</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técnica</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que</w:t>
            </w:r>
            <w:r>
              <w:rPr>
                <w:color w:val="231F1F"/>
                <w:spacing w:val="-14"/>
                <w:w w:val="110"/>
                <w:sz w:val="22"/>
              </w:rPr>
              <w:t> </w:t>
            </w:r>
            <w:r>
              <w:rPr>
                <w:color w:val="231F1F"/>
                <w:w w:val="110"/>
                <w:sz w:val="22"/>
              </w:rPr>
              <w:t>las</w:t>
            </w:r>
            <w:r>
              <w:rPr>
                <w:color w:val="231F1F"/>
                <w:spacing w:val="-14"/>
                <w:w w:val="110"/>
                <w:sz w:val="22"/>
              </w:rPr>
              <w:t> </w:t>
            </w:r>
            <w:r>
              <w:rPr>
                <w:color w:val="231F1F"/>
                <w:w w:val="110"/>
                <w:sz w:val="22"/>
              </w:rPr>
              <w:t>manos</w:t>
            </w:r>
            <w:r>
              <w:rPr>
                <w:color w:val="231F1F"/>
                <w:spacing w:val="-14"/>
                <w:w w:val="110"/>
                <w:sz w:val="22"/>
              </w:rPr>
              <w:t> </w:t>
            </w:r>
            <w:r>
              <w:rPr>
                <w:color w:val="231F1F"/>
                <w:w w:val="110"/>
                <w:sz w:val="22"/>
              </w:rPr>
              <w:t>se</w:t>
            </w:r>
            <w:r>
              <w:rPr>
                <w:color w:val="231F1F"/>
                <w:spacing w:val="-13"/>
                <w:w w:val="110"/>
                <w:sz w:val="22"/>
              </w:rPr>
              <w:t> </w:t>
            </w:r>
            <w:r>
              <w:rPr>
                <w:color w:val="231F1F"/>
                <w:w w:val="110"/>
                <w:sz w:val="22"/>
              </w:rPr>
              <w:t>man- </w:t>
            </w:r>
            <w:r>
              <w:rPr>
                <w:color w:val="231F1F"/>
                <w:spacing w:val="-2"/>
                <w:w w:val="110"/>
                <w:sz w:val="22"/>
              </w:rPr>
              <w:t>tienen</w:t>
            </w:r>
            <w:r>
              <w:rPr>
                <w:color w:val="231F1F"/>
                <w:spacing w:val="-8"/>
                <w:w w:val="110"/>
                <w:sz w:val="22"/>
              </w:rPr>
              <w:t> </w:t>
            </w:r>
            <w:r>
              <w:rPr>
                <w:color w:val="231F1F"/>
                <w:spacing w:val="-2"/>
                <w:w w:val="110"/>
                <w:sz w:val="22"/>
              </w:rPr>
              <w:t>preparadas</w:t>
            </w:r>
            <w:r>
              <w:rPr>
                <w:color w:val="231F1F"/>
                <w:spacing w:val="-9"/>
                <w:w w:val="110"/>
                <w:sz w:val="22"/>
              </w:rPr>
              <w:t> </w:t>
            </w:r>
            <w:r>
              <w:rPr>
                <w:color w:val="231F1F"/>
                <w:spacing w:val="-2"/>
                <w:w w:val="110"/>
                <w:sz w:val="22"/>
              </w:rPr>
              <w:t>pero</w:t>
            </w:r>
            <w:r>
              <w:rPr>
                <w:color w:val="231F1F"/>
                <w:spacing w:val="-9"/>
                <w:w w:val="110"/>
                <w:sz w:val="22"/>
              </w:rPr>
              <w:t> </w:t>
            </w:r>
            <w:r>
              <w:rPr>
                <w:color w:val="231F1F"/>
                <w:spacing w:val="-2"/>
                <w:w w:val="110"/>
                <w:sz w:val="22"/>
              </w:rPr>
              <w:t>sin</w:t>
            </w:r>
            <w:r>
              <w:rPr>
                <w:color w:val="231F1F"/>
                <w:spacing w:val="-8"/>
                <w:w w:val="110"/>
                <w:sz w:val="22"/>
              </w:rPr>
              <w:t> </w:t>
            </w:r>
            <w:r>
              <w:rPr>
                <w:color w:val="231F1F"/>
                <w:spacing w:val="-2"/>
                <w:w w:val="110"/>
                <w:sz w:val="22"/>
              </w:rPr>
              <w:t>tocar</w:t>
            </w:r>
            <w:r>
              <w:rPr>
                <w:color w:val="231F1F"/>
                <w:spacing w:val="-9"/>
                <w:w w:val="110"/>
                <w:sz w:val="22"/>
              </w:rPr>
              <w:t> </w:t>
            </w:r>
            <w:r>
              <w:rPr>
                <w:color w:val="231F1F"/>
                <w:spacing w:val="-2"/>
                <w:w w:val="110"/>
                <w:sz w:val="22"/>
              </w:rPr>
              <w:t>ni</w:t>
            </w:r>
            <w:r>
              <w:rPr>
                <w:color w:val="231F1F"/>
                <w:spacing w:val="-9"/>
                <w:w w:val="110"/>
                <w:sz w:val="22"/>
              </w:rPr>
              <w:t> </w:t>
            </w:r>
            <w:r>
              <w:rPr>
                <w:color w:val="231F1F"/>
                <w:spacing w:val="-2"/>
                <w:w w:val="110"/>
                <w:sz w:val="22"/>
              </w:rPr>
              <w:t>la</w:t>
            </w:r>
            <w:r>
              <w:rPr>
                <w:color w:val="231F1F"/>
                <w:spacing w:val="-8"/>
                <w:w w:val="110"/>
                <w:sz w:val="22"/>
              </w:rPr>
              <w:t> </w:t>
            </w:r>
            <w:r>
              <w:rPr>
                <w:color w:val="231F1F"/>
                <w:spacing w:val="-2"/>
                <w:w w:val="110"/>
                <w:sz w:val="22"/>
              </w:rPr>
              <w:t>cabeza</w:t>
            </w:r>
            <w:r>
              <w:rPr>
                <w:color w:val="231F1F"/>
                <w:spacing w:val="-8"/>
                <w:w w:val="110"/>
                <w:sz w:val="22"/>
              </w:rPr>
              <w:t> </w:t>
            </w:r>
            <w:r>
              <w:rPr>
                <w:color w:val="231F1F"/>
                <w:spacing w:val="-2"/>
                <w:w w:val="110"/>
                <w:sz w:val="22"/>
              </w:rPr>
              <w:t>fetal</w:t>
            </w:r>
            <w:r>
              <w:rPr>
                <w:color w:val="231F1F"/>
                <w:spacing w:val="-9"/>
                <w:w w:val="110"/>
                <w:sz w:val="22"/>
              </w:rPr>
              <w:t> </w:t>
            </w:r>
            <w:r>
              <w:rPr>
                <w:color w:val="231F1F"/>
                <w:spacing w:val="-2"/>
                <w:w w:val="110"/>
                <w:sz w:val="22"/>
              </w:rPr>
              <w:t>ni</w:t>
            </w:r>
            <w:r>
              <w:rPr>
                <w:color w:val="231F1F"/>
                <w:spacing w:val="-9"/>
                <w:w w:val="110"/>
                <w:sz w:val="22"/>
              </w:rPr>
              <w:t> </w:t>
            </w:r>
            <w:r>
              <w:rPr>
                <w:color w:val="231F1F"/>
                <w:spacing w:val="-2"/>
                <w:w w:val="110"/>
                <w:sz w:val="22"/>
              </w:rPr>
              <w:t>el</w:t>
            </w:r>
            <w:r>
              <w:rPr>
                <w:color w:val="231F1F"/>
                <w:spacing w:val="-9"/>
                <w:w w:val="110"/>
                <w:sz w:val="22"/>
              </w:rPr>
              <w:t> </w:t>
            </w:r>
            <w:r>
              <w:rPr>
                <w:color w:val="231F1F"/>
                <w:spacing w:val="-2"/>
                <w:w w:val="110"/>
                <w:sz w:val="22"/>
              </w:rPr>
              <w:t>periné,</w:t>
            </w:r>
            <w:r>
              <w:rPr>
                <w:color w:val="231F1F"/>
                <w:spacing w:val="-9"/>
                <w:w w:val="110"/>
                <w:sz w:val="22"/>
              </w:rPr>
              <w:t> </w:t>
            </w:r>
            <w:r>
              <w:rPr>
                <w:color w:val="231F1F"/>
                <w:spacing w:val="-2"/>
                <w:w w:val="110"/>
                <w:sz w:val="22"/>
              </w:rPr>
              <w:t>se</w:t>
            </w:r>
            <w:r>
              <w:rPr>
                <w:color w:val="231F1F"/>
                <w:spacing w:val="-9"/>
                <w:w w:val="110"/>
                <w:sz w:val="22"/>
              </w:rPr>
              <w:t> </w:t>
            </w:r>
            <w:r>
              <w:rPr>
                <w:color w:val="231F1F"/>
                <w:spacing w:val="-2"/>
                <w:w w:val="110"/>
                <w:sz w:val="22"/>
              </w:rPr>
              <w:t>observa</w:t>
            </w:r>
            <w:r>
              <w:rPr>
                <w:color w:val="231F1F"/>
                <w:spacing w:val="-8"/>
                <w:w w:val="110"/>
                <w:sz w:val="22"/>
              </w:rPr>
              <w:t> </w:t>
            </w:r>
            <w:r>
              <w:rPr>
                <w:color w:val="231F1F"/>
                <w:spacing w:val="-2"/>
                <w:w w:val="110"/>
                <w:sz w:val="22"/>
              </w:rPr>
              <w:t>un </w:t>
            </w:r>
            <w:r>
              <w:rPr>
                <w:color w:val="231F1F"/>
                <w:w w:val="110"/>
                <w:sz w:val="22"/>
              </w:rPr>
              <w:t>menor</w:t>
            </w:r>
            <w:r>
              <w:rPr>
                <w:color w:val="231F1F"/>
                <w:spacing w:val="-1"/>
                <w:w w:val="110"/>
                <w:sz w:val="22"/>
              </w:rPr>
              <w:t> </w:t>
            </w:r>
            <w:r>
              <w:rPr>
                <w:color w:val="231F1F"/>
                <w:w w:val="110"/>
                <w:sz w:val="22"/>
              </w:rPr>
              <w:t>dolor</w:t>
            </w:r>
            <w:r>
              <w:rPr>
                <w:color w:val="231F1F"/>
                <w:spacing w:val="-1"/>
                <w:w w:val="110"/>
                <w:sz w:val="22"/>
              </w:rPr>
              <w:t> </w:t>
            </w:r>
            <w:r>
              <w:rPr>
                <w:color w:val="231F1F"/>
                <w:w w:val="110"/>
                <w:sz w:val="22"/>
              </w:rPr>
              <w:t>a</w:t>
            </w:r>
            <w:r>
              <w:rPr>
                <w:color w:val="231F1F"/>
                <w:spacing w:val="-1"/>
                <w:w w:val="110"/>
                <w:sz w:val="22"/>
              </w:rPr>
              <w:t> </w:t>
            </w:r>
            <w:r>
              <w:rPr>
                <w:color w:val="231F1F"/>
                <w:w w:val="110"/>
                <w:sz w:val="22"/>
              </w:rPr>
              <w:t>los</w:t>
            </w:r>
            <w:r>
              <w:rPr>
                <w:color w:val="231F1F"/>
                <w:spacing w:val="-1"/>
                <w:w w:val="110"/>
                <w:sz w:val="22"/>
              </w:rPr>
              <w:t> </w:t>
            </w:r>
            <w:r>
              <w:rPr>
                <w:color w:val="231F1F"/>
                <w:w w:val="110"/>
                <w:sz w:val="22"/>
              </w:rPr>
              <w:t>diez</w:t>
            </w:r>
            <w:r>
              <w:rPr>
                <w:color w:val="231F1F"/>
                <w:spacing w:val="-1"/>
                <w:w w:val="110"/>
                <w:sz w:val="22"/>
              </w:rPr>
              <w:t> </w:t>
            </w:r>
            <w:r>
              <w:rPr>
                <w:color w:val="231F1F"/>
                <w:w w:val="110"/>
                <w:sz w:val="22"/>
              </w:rPr>
              <w:t>días,</w:t>
            </w:r>
            <w:r>
              <w:rPr>
                <w:color w:val="231F1F"/>
                <w:spacing w:val="-2"/>
                <w:w w:val="110"/>
                <w:sz w:val="22"/>
              </w:rPr>
              <w:t> </w:t>
            </w:r>
            <w:r>
              <w:rPr>
                <w:color w:val="231F1F"/>
                <w:w w:val="110"/>
                <w:sz w:val="22"/>
              </w:rPr>
              <w:t>así</w:t>
            </w:r>
            <w:r>
              <w:rPr>
                <w:color w:val="231F1F"/>
                <w:spacing w:val="-1"/>
                <w:w w:val="110"/>
                <w:sz w:val="22"/>
              </w:rPr>
              <w:t> </w:t>
            </w:r>
            <w:r>
              <w:rPr>
                <w:color w:val="231F1F"/>
                <w:w w:val="110"/>
                <w:sz w:val="22"/>
              </w:rPr>
              <w:t>como</w:t>
            </w:r>
            <w:r>
              <w:rPr>
                <w:color w:val="231F1F"/>
                <w:spacing w:val="-1"/>
                <w:w w:val="110"/>
                <w:sz w:val="22"/>
              </w:rPr>
              <w:t> </w:t>
            </w:r>
            <w:r>
              <w:rPr>
                <w:color w:val="231F1F"/>
                <w:w w:val="110"/>
                <w:sz w:val="22"/>
              </w:rPr>
              <w:t>un</w:t>
            </w:r>
            <w:r>
              <w:rPr>
                <w:color w:val="231F1F"/>
                <w:spacing w:val="-1"/>
                <w:w w:val="110"/>
                <w:sz w:val="22"/>
              </w:rPr>
              <w:t> </w:t>
            </w:r>
            <w:r>
              <w:rPr>
                <w:color w:val="231F1F"/>
                <w:w w:val="110"/>
                <w:sz w:val="22"/>
              </w:rPr>
              <w:t>mayor</w:t>
            </w:r>
            <w:r>
              <w:rPr>
                <w:color w:val="231F1F"/>
                <w:spacing w:val="-1"/>
                <w:w w:val="110"/>
                <w:sz w:val="22"/>
              </w:rPr>
              <w:t> </w:t>
            </w:r>
            <w:r>
              <w:rPr>
                <w:color w:val="231F1F"/>
                <w:w w:val="110"/>
                <w:sz w:val="22"/>
              </w:rPr>
              <w:t>número</w:t>
            </w:r>
            <w:r>
              <w:rPr>
                <w:color w:val="231F1F"/>
                <w:spacing w:val="-1"/>
                <w:w w:val="110"/>
                <w:sz w:val="22"/>
              </w:rPr>
              <w:t> </w:t>
            </w:r>
            <w:r>
              <w:rPr>
                <w:color w:val="231F1F"/>
                <w:w w:val="110"/>
                <w:sz w:val="22"/>
              </w:rPr>
              <w:t>de</w:t>
            </w:r>
            <w:r>
              <w:rPr>
                <w:color w:val="231F1F"/>
                <w:spacing w:val="-1"/>
                <w:w w:val="110"/>
                <w:sz w:val="22"/>
              </w:rPr>
              <w:t> </w:t>
            </w:r>
            <w:r>
              <w:rPr>
                <w:color w:val="231F1F"/>
                <w:w w:val="110"/>
                <w:sz w:val="22"/>
              </w:rPr>
              <w:t>episiotomías</w:t>
            </w:r>
            <w:r>
              <w:rPr>
                <w:color w:val="231F1F"/>
                <w:spacing w:val="-1"/>
                <w:w w:val="110"/>
                <w:sz w:val="22"/>
              </w:rPr>
              <w:t> </w:t>
            </w:r>
            <w:r>
              <w:rPr>
                <w:color w:val="231F1F"/>
                <w:w w:val="110"/>
                <w:sz w:val="22"/>
              </w:rPr>
              <w:t>a pesar</w:t>
            </w:r>
            <w:r>
              <w:rPr>
                <w:color w:val="231F1F"/>
                <w:spacing w:val="-8"/>
                <w:w w:val="110"/>
                <w:sz w:val="22"/>
              </w:rPr>
              <w:t> </w:t>
            </w:r>
            <w:r>
              <w:rPr>
                <w:color w:val="231F1F"/>
                <w:w w:val="110"/>
                <w:sz w:val="22"/>
              </w:rPr>
              <w:t>de</w:t>
            </w:r>
            <w:r>
              <w:rPr>
                <w:color w:val="231F1F"/>
                <w:spacing w:val="-8"/>
                <w:w w:val="110"/>
                <w:sz w:val="22"/>
              </w:rPr>
              <w:t> </w:t>
            </w:r>
            <w:r>
              <w:rPr>
                <w:color w:val="231F1F"/>
                <w:w w:val="110"/>
                <w:sz w:val="22"/>
              </w:rPr>
              <w:t>que</w:t>
            </w:r>
            <w:r>
              <w:rPr>
                <w:color w:val="231F1F"/>
                <w:spacing w:val="-8"/>
                <w:w w:val="110"/>
                <w:sz w:val="22"/>
              </w:rPr>
              <w:t> </w:t>
            </w:r>
            <w:r>
              <w:rPr>
                <w:color w:val="231F1F"/>
                <w:w w:val="110"/>
                <w:sz w:val="22"/>
              </w:rPr>
              <w:t>la</w:t>
            </w:r>
            <w:r>
              <w:rPr>
                <w:color w:val="231F1F"/>
                <w:spacing w:val="-8"/>
                <w:w w:val="110"/>
                <w:sz w:val="22"/>
              </w:rPr>
              <w:t> </w:t>
            </w:r>
            <w:r>
              <w:rPr>
                <w:color w:val="231F1F"/>
                <w:w w:val="110"/>
                <w:sz w:val="22"/>
              </w:rPr>
              <w:t>tasa</w:t>
            </w:r>
            <w:r>
              <w:rPr>
                <w:color w:val="231F1F"/>
                <w:spacing w:val="-8"/>
                <w:w w:val="110"/>
                <w:sz w:val="22"/>
              </w:rPr>
              <w:t> </w:t>
            </w:r>
            <w:r>
              <w:rPr>
                <w:color w:val="231F1F"/>
                <w:w w:val="110"/>
                <w:sz w:val="22"/>
              </w:rPr>
              <w:t>de</w:t>
            </w:r>
            <w:r>
              <w:rPr>
                <w:color w:val="231F1F"/>
                <w:spacing w:val="-8"/>
                <w:w w:val="110"/>
                <w:sz w:val="22"/>
              </w:rPr>
              <w:t> </w:t>
            </w:r>
            <w:r>
              <w:rPr>
                <w:color w:val="231F1F"/>
                <w:w w:val="110"/>
                <w:sz w:val="22"/>
              </w:rPr>
              <w:t>trauma</w:t>
            </w:r>
            <w:r>
              <w:rPr>
                <w:color w:val="231F1F"/>
                <w:spacing w:val="-8"/>
                <w:w w:val="110"/>
                <w:sz w:val="22"/>
              </w:rPr>
              <w:t> </w:t>
            </w:r>
            <w:r>
              <w:rPr>
                <w:color w:val="231F1F"/>
                <w:w w:val="110"/>
                <w:sz w:val="22"/>
              </w:rPr>
              <w:t>perineal</w:t>
            </w:r>
            <w:r>
              <w:rPr>
                <w:color w:val="231F1F"/>
                <w:spacing w:val="-8"/>
                <w:w w:val="110"/>
                <w:sz w:val="22"/>
              </w:rPr>
              <w:t> </w:t>
            </w:r>
            <w:r>
              <w:rPr>
                <w:color w:val="231F1F"/>
                <w:w w:val="110"/>
                <w:sz w:val="22"/>
              </w:rPr>
              <w:t>global</w:t>
            </w:r>
            <w:r>
              <w:rPr>
                <w:color w:val="231F1F"/>
                <w:spacing w:val="-8"/>
                <w:w w:val="110"/>
                <w:sz w:val="22"/>
              </w:rPr>
              <w:t> </w:t>
            </w:r>
            <w:r>
              <w:rPr>
                <w:color w:val="231F1F"/>
                <w:w w:val="110"/>
                <w:sz w:val="22"/>
              </w:rPr>
              <w:t>sea</w:t>
            </w:r>
            <w:r>
              <w:rPr>
                <w:color w:val="231F1F"/>
                <w:spacing w:val="-8"/>
                <w:w w:val="110"/>
                <w:sz w:val="22"/>
              </w:rPr>
              <w:t> </w:t>
            </w:r>
            <w:r>
              <w:rPr>
                <w:color w:val="231F1F"/>
                <w:w w:val="110"/>
                <w:sz w:val="22"/>
              </w:rPr>
              <w:t>similar</w:t>
            </w:r>
            <w:r>
              <w:rPr>
                <w:color w:val="231F1F"/>
                <w:spacing w:val="-8"/>
                <w:w w:val="110"/>
                <w:sz w:val="22"/>
              </w:rPr>
              <w:t> </w:t>
            </w:r>
            <w:r>
              <w:rPr>
                <w:color w:val="231F1F"/>
                <w:w w:val="110"/>
                <w:sz w:val="22"/>
              </w:rPr>
              <w:t>en</w:t>
            </w:r>
            <w:r>
              <w:rPr>
                <w:color w:val="231F1F"/>
                <w:spacing w:val="-7"/>
                <w:w w:val="110"/>
                <w:sz w:val="22"/>
              </w:rPr>
              <w:t> </w:t>
            </w:r>
            <w:r>
              <w:rPr>
                <w:color w:val="231F1F"/>
                <w:w w:val="110"/>
                <w:sz w:val="22"/>
              </w:rPr>
              <w:t>ambos</w:t>
            </w:r>
            <w:r>
              <w:rPr>
                <w:color w:val="231F1F"/>
                <w:spacing w:val="-8"/>
                <w:w w:val="110"/>
                <w:sz w:val="22"/>
              </w:rPr>
              <w:t> </w:t>
            </w:r>
            <w:r>
              <w:rPr>
                <w:color w:val="231F1F"/>
                <w:w w:val="110"/>
                <w:sz w:val="22"/>
              </w:rPr>
              <w:t>grupos </w:t>
            </w:r>
            <w:r>
              <w:rPr>
                <w:color w:val="231F1F"/>
                <w:spacing w:val="-2"/>
                <w:w w:val="110"/>
                <w:sz w:val="22"/>
              </w:rPr>
              <w:t>(148).</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156"/>
              <w:rPr>
                <w:sz w:val="22"/>
              </w:rPr>
            </w:pPr>
            <w:r>
              <w:rPr>
                <w:color w:val="231F1F"/>
                <w:w w:val="110"/>
                <w:sz w:val="22"/>
              </w:rPr>
              <w:t>La</w:t>
            </w:r>
            <w:r>
              <w:rPr>
                <w:color w:val="231F1F"/>
                <w:spacing w:val="-8"/>
                <w:w w:val="110"/>
                <w:sz w:val="22"/>
              </w:rPr>
              <w:t> </w:t>
            </w:r>
            <w:r>
              <w:rPr>
                <w:color w:val="231F1F"/>
                <w:w w:val="110"/>
                <w:sz w:val="22"/>
              </w:rPr>
              <w:t>protección</w:t>
            </w:r>
            <w:r>
              <w:rPr>
                <w:color w:val="231F1F"/>
                <w:spacing w:val="-8"/>
                <w:w w:val="110"/>
                <w:sz w:val="22"/>
              </w:rPr>
              <w:t> </w:t>
            </w:r>
            <w:r>
              <w:rPr>
                <w:color w:val="231F1F"/>
                <w:w w:val="110"/>
                <w:sz w:val="22"/>
              </w:rPr>
              <w:t>manual</w:t>
            </w:r>
            <w:r>
              <w:rPr>
                <w:color w:val="231F1F"/>
                <w:spacing w:val="-9"/>
                <w:w w:val="110"/>
                <w:sz w:val="22"/>
              </w:rPr>
              <w:t> </w:t>
            </w:r>
            <w:r>
              <w:rPr>
                <w:color w:val="231F1F"/>
                <w:w w:val="110"/>
                <w:sz w:val="22"/>
              </w:rPr>
              <w:t>del</w:t>
            </w:r>
            <w:r>
              <w:rPr>
                <w:color w:val="231F1F"/>
                <w:spacing w:val="-10"/>
                <w:w w:val="110"/>
                <w:sz w:val="22"/>
              </w:rPr>
              <w:t> </w:t>
            </w:r>
            <w:r>
              <w:rPr>
                <w:color w:val="231F1F"/>
                <w:w w:val="110"/>
                <w:sz w:val="22"/>
              </w:rPr>
              <w:t>perineo,</w:t>
            </w:r>
            <w:r>
              <w:rPr>
                <w:color w:val="231F1F"/>
                <w:spacing w:val="-10"/>
                <w:w w:val="110"/>
                <w:sz w:val="22"/>
              </w:rPr>
              <w:t> </w:t>
            </w:r>
            <w:r>
              <w:rPr>
                <w:color w:val="231F1F"/>
                <w:w w:val="110"/>
                <w:sz w:val="22"/>
              </w:rPr>
              <w:t>mediante</w:t>
            </w:r>
            <w:r>
              <w:rPr>
                <w:color w:val="231F1F"/>
                <w:spacing w:val="-8"/>
                <w:w w:val="110"/>
                <w:sz w:val="22"/>
              </w:rPr>
              <w:t> </w:t>
            </w:r>
            <w:r>
              <w:rPr>
                <w:color w:val="231F1F"/>
                <w:w w:val="110"/>
                <w:sz w:val="22"/>
              </w:rPr>
              <w:t>la</w:t>
            </w:r>
            <w:r>
              <w:rPr>
                <w:color w:val="231F1F"/>
                <w:spacing w:val="-8"/>
                <w:w w:val="110"/>
                <w:sz w:val="22"/>
              </w:rPr>
              <w:t> </w:t>
            </w:r>
            <w:r>
              <w:rPr>
                <w:color w:val="231F1F"/>
                <w:w w:val="110"/>
                <w:sz w:val="22"/>
              </w:rPr>
              <w:t>deflexión</w:t>
            </w:r>
            <w:r>
              <w:rPr>
                <w:color w:val="231F1F"/>
                <w:spacing w:val="-8"/>
                <w:w w:val="110"/>
                <w:sz w:val="22"/>
              </w:rPr>
              <w:t> </w:t>
            </w:r>
            <w:r>
              <w:rPr>
                <w:color w:val="231F1F"/>
                <w:w w:val="110"/>
                <w:sz w:val="22"/>
              </w:rPr>
              <w:t>controlada</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 cabeza fetal, disminuye el número de roturas del esfínter anal (152).</w:t>
            </w:r>
          </w:p>
        </w:tc>
        <w:tc>
          <w:tcPr>
            <w:tcW w:w="1133" w:type="dxa"/>
          </w:tcPr>
          <w:p>
            <w:pPr>
              <w:pStyle w:val="TableParagraph"/>
              <w:spacing w:before="178"/>
              <w:ind w:left="49" w:right="22"/>
              <w:jc w:val="center"/>
              <w:rPr>
                <w:sz w:val="22"/>
              </w:rPr>
            </w:pPr>
            <w:r>
              <w:rPr>
                <w:color w:val="231F1F"/>
                <w:spacing w:val="-5"/>
                <w:w w:val="105"/>
                <w:sz w:val="22"/>
              </w:rPr>
              <w:t>2+</w:t>
            </w:r>
          </w:p>
        </w:tc>
      </w:tr>
      <w:tr>
        <w:trPr>
          <w:trHeight w:val="402" w:hRule="atLeast"/>
        </w:trPr>
        <w:tc>
          <w:tcPr>
            <w:tcW w:w="8506" w:type="dxa"/>
            <w:gridSpan w:val="2"/>
          </w:tcPr>
          <w:p>
            <w:pPr>
              <w:pStyle w:val="TableParagraph"/>
              <w:spacing w:before="58"/>
              <w:rPr>
                <w:b/>
                <w:i/>
                <w:sz w:val="22"/>
              </w:rPr>
            </w:pPr>
            <w:r>
              <w:rPr>
                <w:b/>
                <w:i/>
                <w:color w:val="231F1F"/>
                <w:sz w:val="22"/>
              </w:rPr>
              <w:t>Aplicación</w:t>
            </w:r>
            <w:r>
              <w:rPr>
                <w:b/>
                <w:i/>
                <w:color w:val="231F1F"/>
                <w:spacing w:val="41"/>
                <w:sz w:val="22"/>
              </w:rPr>
              <w:t> </w:t>
            </w:r>
            <w:r>
              <w:rPr>
                <w:b/>
                <w:i/>
                <w:color w:val="231F1F"/>
                <w:sz w:val="22"/>
              </w:rPr>
              <w:t>de</w:t>
            </w:r>
            <w:r>
              <w:rPr>
                <w:b/>
                <w:i/>
                <w:color w:val="231F1F"/>
                <w:spacing w:val="44"/>
                <w:sz w:val="22"/>
              </w:rPr>
              <w:t> </w:t>
            </w:r>
            <w:r>
              <w:rPr>
                <w:b/>
                <w:i/>
                <w:color w:val="231F1F"/>
                <w:sz w:val="22"/>
              </w:rPr>
              <w:t>anestésico</w:t>
            </w:r>
            <w:r>
              <w:rPr>
                <w:b/>
                <w:i/>
                <w:color w:val="231F1F"/>
                <w:spacing w:val="43"/>
                <w:sz w:val="22"/>
              </w:rPr>
              <w:t> </w:t>
            </w:r>
            <w:r>
              <w:rPr>
                <w:b/>
                <w:i/>
                <w:color w:val="231F1F"/>
                <w:spacing w:val="-2"/>
                <w:sz w:val="22"/>
              </w:rPr>
              <w:t>local</w:t>
            </w:r>
          </w:p>
        </w:tc>
      </w:tr>
      <w:tr>
        <w:trPr>
          <w:trHeight w:val="681" w:hRule="atLeast"/>
        </w:trPr>
        <w:tc>
          <w:tcPr>
            <w:tcW w:w="7373" w:type="dxa"/>
          </w:tcPr>
          <w:p>
            <w:pPr>
              <w:pStyle w:val="TableParagraph"/>
              <w:spacing w:line="244" w:lineRule="auto" w:before="44"/>
              <w:ind w:right="156"/>
              <w:rPr>
                <w:sz w:val="22"/>
              </w:rPr>
            </w:pPr>
            <w:r>
              <w:rPr>
                <w:color w:val="231F1F"/>
                <w:w w:val="105"/>
                <w:sz w:val="22"/>
              </w:rPr>
              <w:t>El</w:t>
            </w:r>
            <w:r>
              <w:rPr>
                <w:color w:val="231F1F"/>
                <w:spacing w:val="-6"/>
                <w:w w:val="105"/>
                <w:sz w:val="22"/>
              </w:rPr>
              <w:t> </w:t>
            </w:r>
            <w:r>
              <w:rPr>
                <w:color w:val="231F1F"/>
                <w:w w:val="105"/>
                <w:sz w:val="22"/>
              </w:rPr>
              <w:t>uso</w:t>
            </w:r>
            <w:r>
              <w:rPr>
                <w:color w:val="231F1F"/>
                <w:spacing w:val="-5"/>
                <w:w w:val="105"/>
                <w:sz w:val="22"/>
              </w:rPr>
              <w:t> </w:t>
            </w:r>
            <w:r>
              <w:rPr>
                <w:color w:val="231F1F"/>
                <w:w w:val="105"/>
                <w:sz w:val="22"/>
              </w:rPr>
              <w:t>de</w:t>
            </w:r>
            <w:r>
              <w:rPr>
                <w:color w:val="231F1F"/>
                <w:spacing w:val="-6"/>
                <w:w w:val="105"/>
                <w:sz w:val="22"/>
              </w:rPr>
              <w:t> </w:t>
            </w:r>
            <w:r>
              <w:rPr>
                <w:color w:val="231F1F"/>
                <w:w w:val="105"/>
                <w:sz w:val="22"/>
              </w:rPr>
              <w:t>la</w:t>
            </w:r>
            <w:r>
              <w:rPr>
                <w:color w:val="231F1F"/>
                <w:spacing w:val="-5"/>
                <w:w w:val="105"/>
                <w:sz w:val="22"/>
              </w:rPr>
              <w:t> </w:t>
            </w:r>
            <w:r>
              <w:rPr>
                <w:i/>
                <w:color w:val="231F1F"/>
                <w:w w:val="105"/>
                <w:sz w:val="22"/>
              </w:rPr>
              <w:t>lidocaína</w:t>
            </w:r>
            <w:r>
              <w:rPr>
                <w:i/>
                <w:color w:val="231F1F"/>
                <w:spacing w:val="-6"/>
                <w:w w:val="105"/>
                <w:sz w:val="22"/>
              </w:rPr>
              <w:t> </w:t>
            </w:r>
            <w:r>
              <w:rPr>
                <w:i/>
                <w:color w:val="231F1F"/>
                <w:w w:val="105"/>
                <w:sz w:val="22"/>
              </w:rPr>
              <w:t>en</w:t>
            </w:r>
            <w:r>
              <w:rPr>
                <w:i/>
                <w:color w:val="231F1F"/>
                <w:spacing w:val="-6"/>
                <w:w w:val="105"/>
                <w:sz w:val="22"/>
              </w:rPr>
              <w:t> </w:t>
            </w:r>
            <w:r>
              <w:rPr>
                <w:i/>
                <w:color w:val="231F1F"/>
                <w:w w:val="105"/>
                <w:sz w:val="22"/>
              </w:rPr>
              <w:t>spray</w:t>
            </w:r>
            <w:r>
              <w:rPr>
                <w:i/>
                <w:color w:val="231F1F"/>
                <w:spacing w:val="-7"/>
                <w:w w:val="105"/>
                <w:sz w:val="22"/>
              </w:rPr>
              <w:t> </w:t>
            </w:r>
            <w:r>
              <w:rPr>
                <w:color w:val="231F1F"/>
                <w:w w:val="105"/>
                <w:sz w:val="22"/>
              </w:rPr>
              <w:t>en</w:t>
            </w:r>
            <w:r>
              <w:rPr>
                <w:color w:val="231F1F"/>
                <w:spacing w:val="-5"/>
                <w:w w:val="105"/>
                <w:sz w:val="22"/>
              </w:rPr>
              <w:t> </w:t>
            </w:r>
            <w:r>
              <w:rPr>
                <w:color w:val="231F1F"/>
                <w:w w:val="105"/>
                <w:sz w:val="22"/>
              </w:rPr>
              <w:t>la</w:t>
            </w:r>
            <w:r>
              <w:rPr>
                <w:color w:val="231F1F"/>
                <w:spacing w:val="-5"/>
                <w:w w:val="105"/>
                <w:sz w:val="22"/>
              </w:rPr>
              <w:t> </w:t>
            </w:r>
            <w:r>
              <w:rPr>
                <w:color w:val="231F1F"/>
                <w:w w:val="105"/>
                <w:sz w:val="22"/>
              </w:rPr>
              <w:t>2ª</w:t>
            </w:r>
            <w:r>
              <w:rPr>
                <w:color w:val="231F1F"/>
                <w:spacing w:val="-6"/>
                <w:w w:val="105"/>
                <w:sz w:val="22"/>
              </w:rPr>
              <w:t> </w:t>
            </w:r>
            <w:r>
              <w:rPr>
                <w:color w:val="231F1F"/>
                <w:w w:val="105"/>
                <w:sz w:val="22"/>
              </w:rPr>
              <w:t>etapa</w:t>
            </w:r>
            <w:r>
              <w:rPr>
                <w:color w:val="231F1F"/>
                <w:spacing w:val="-5"/>
                <w:w w:val="105"/>
                <w:sz w:val="22"/>
              </w:rPr>
              <w:t> </w:t>
            </w:r>
            <w:r>
              <w:rPr>
                <w:color w:val="231F1F"/>
                <w:w w:val="105"/>
                <w:sz w:val="22"/>
              </w:rPr>
              <w:t>del</w:t>
            </w:r>
            <w:r>
              <w:rPr>
                <w:color w:val="231F1F"/>
                <w:spacing w:val="-6"/>
                <w:w w:val="105"/>
                <w:sz w:val="22"/>
              </w:rPr>
              <w:t> </w:t>
            </w:r>
            <w:r>
              <w:rPr>
                <w:color w:val="231F1F"/>
                <w:w w:val="105"/>
                <w:sz w:val="22"/>
              </w:rPr>
              <w:t>parto</w:t>
            </w:r>
            <w:r>
              <w:rPr>
                <w:color w:val="231F1F"/>
                <w:spacing w:val="-6"/>
                <w:w w:val="105"/>
                <w:sz w:val="22"/>
              </w:rPr>
              <w:t> </w:t>
            </w:r>
            <w:r>
              <w:rPr>
                <w:color w:val="231F1F"/>
                <w:w w:val="105"/>
                <w:sz w:val="22"/>
              </w:rPr>
              <w:t>no</w:t>
            </w:r>
            <w:r>
              <w:rPr>
                <w:color w:val="231F1F"/>
                <w:spacing w:val="-5"/>
                <w:w w:val="105"/>
                <w:sz w:val="22"/>
              </w:rPr>
              <w:t> </w:t>
            </w:r>
            <w:r>
              <w:rPr>
                <w:color w:val="231F1F"/>
                <w:w w:val="105"/>
                <w:sz w:val="22"/>
              </w:rPr>
              <w:t>disminuye</w:t>
            </w:r>
            <w:r>
              <w:rPr>
                <w:color w:val="231F1F"/>
                <w:spacing w:val="-6"/>
                <w:w w:val="105"/>
                <w:sz w:val="22"/>
              </w:rPr>
              <w:t> </w:t>
            </w:r>
            <w:r>
              <w:rPr>
                <w:color w:val="231F1F"/>
                <w:w w:val="105"/>
                <w:sz w:val="22"/>
              </w:rPr>
              <w:t>el</w:t>
            </w:r>
            <w:r>
              <w:rPr>
                <w:color w:val="231F1F"/>
                <w:spacing w:val="-6"/>
                <w:w w:val="105"/>
                <w:sz w:val="22"/>
              </w:rPr>
              <w:t> </w:t>
            </w:r>
            <w:r>
              <w:rPr>
                <w:color w:val="231F1F"/>
                <w:w w:val="105"/>
                <w:sz w:val="22"/>
              </w:rPr>
              <w:t>dolor perineal (150).</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402" w:hRule="atLeast"/>
        </w:trPr>
        <w:tc>
          <w:tcPr>
            <w:tcW w:w="8506" w:type="dxa"/>
            <w:gridSpan w:val="2"/>
          </w:tcPr>
          <w:p>
            <w:pPr>
              <w:pStyle w:val="TableParagraph"/>
              <w:spacing w:before="39"/>
              <w:rPr>
                <w:b/>
                <w:i/>
                <w:sz w:val="22"/>
              </w:rPr>
            </w:pPr>
            <w:r>
              <w:rPr>
                <w:b/>
                <w:i/>
                <w:color w:val="231F1F"/>
                <w:w w:val="105"/>
                <w:sz w:val="22"/>
              </w:rPr>
              <w:t>Extracción</w:t>
            </w:r>
            <w:r>
              <w:rPr>
                <w:b/>
                <w:i/>
                <w:color w:val="231F1F"/>
                <w:spacing w:val="4"/>
                <w:w w:val="105"/>
                <w:sz w:val="22"/>
              </w:rPr>
              <w:t> </w:t>
            </w:r>
            <w:r>
              <w:rPr>
                <w:b/>
                <w:i/>
                <w:color w:val="231F1F"/>
                <w:w w:val="105"/>
                <w:sz w:val="22"/>
              </w:rPr>
              <w:t>activa</w:t>
            </w:r>
            <w:r>
              <w:rPr>
                <w:b/>
                <w:i/>
                <w:color w:val="231F1F"/>
                <w:spacing w:val="4"/>
                <w:w w:val="105"/>
                <w:sz w:val="22"/>
              </w:rPr>
              <w:t> </w:t>
            </w:r>
            <w:r>
              <w:rPr>
                <w:b/>
                <w:i/>
                <w:color w:val="231F1F"/>
                <w:w w:val="105"/>
                <w:sz w:val="22"/>
              </w:rPr>
              <w:t>de</w:t>
            </w:r>
            <w:r>
              <w:rPr>
                <w:b/>
                <w:i/>
                <w:color w:val="231F1F"/>
                <w:spacing w:val="5"/>
                <w:w w:val="105"/>
                <w:sz w:val="22"/>
              </w:rPr>
              <w:t> </w:t>
            </w:r>
            <w:r>
              <w:rPr>
                <w:b/>
                <w:i/>
                <w:color w:val="231F1F"/>
                <w:w w:val="105"/>
                <w:sz w:val="22"/>
              </w:rPr>
              <w:t>los</w:t>
            </w:r>
            <w:r>
              <w:rPr>
                <w:b/>
                <w:i/>
                <w:color w:val="231F1F"/>
                <w:spacing w:val="6"/>
                <w:w w:val="105"/>
                <w:sz w:val="22"/>
              </w:rPr>
              <w:t> </w:t>
            </w:r>
            <w:r>
              <w:rPr>
                <w:b/>
                <w:i/>
                <w:color w:val="231F1F"/>
                <w:spacing w:val="-2"/>
                <w:w w:val="105"/>
                <w:sz w:val="22"/>
              </w:rPr>
              <w:t>hombros</w:t>
            </w:r>
          </w:p>
        </w:tc>
      </w:tr>
      <w:tr>
        <w:trPr>
          <w:trHeight w:val="397" w:hRule="atLeast"/>
        </w:trPr>
        <w:tc>
          <w:tcPr>
            <w:tcW w:w="8506" w:type="dxa"/>
            <w:gridSpan w:val="2"/>
          </w:tcPr>
          <w:p>
            <w:pPr>
              <w:pStyle w:val="TableParagraph"/>
              <w:spacing w:before="49"/>
              <w:rPr>
                <w:sz w:val="22"/>
              </w:rPr>
            </w:pPr>
            <w:r>
              <w:rPr>
                <w:color w:val="231F1F"/>
                <w:sz w:val="22"/>
              </w:rPr>
              <w:t>No</w:t>
            </w:r>
            <w:r>
              <w:rPr>
                <w:color w:val="231F1F"/>
                <w:spacing w:val="34"/>
                <w:sz w:val="22"/>
              </w:rPr>
              <w:t> </w:t>
            </w:r>
            <w:r>
              <w:rPr>
                <w:color w:val="231F1F"/>
                <w:sz w:val="22"/>
              </w:rPr>
              <w:t>se</w:t>
            </w:r>
            <w:r>
              <w:rPr>
                <w:color w:val="231F1F"/>
                <w:spacing w:val="38"/>
                <w:sz w:val="22"/>
              </w:rPr>
              <w:t> </w:t>
            </w:r>
            <w:r>
              <w:rPr>
                <w:color w:val="231F1F"/>
                <w:sz w:val="22"/>
              </w:rPr>
              <w:t>han</w:t>
            </w:r>
            <w:r>
              <w:rPr>
                <w:color w:val="231F1F"/>
                <w:spacing w:val="38"/>
                <w:sz w:val="22"/>
              </w:rPr>
              <w:t> </w:t>
            </w:r>
            <w:r>
              <w:rPr>
                <w:color w:val="231F1F"/>
                <w:sz w:val="22"/>
              </w:rPr>
              <w:t>identificado</w:t>
            </w:r>
            <w:r>
              <w:rPr>
                <w:color w:val="231F1F"/>
                <w:spacing w:val="38"/>
                <w:sz w:val="22"/>
              </w:rPr>
              <w:t> </w:t>
            </w:r>
            <w:r>
              <w:rPr>
                <w:color w:val="231F1F"/>
                <w:sz w:val="22"/>
              </w:rPr>
              <w:t>estudios</w:t>
            </w:r>
            <w:r>
              <w:rPr>
                <w:color w:val="231F1F"/>
                <w:spacing w:val="38"/>
                <w:sz w:val="22"/>
              </w:rPr>
              <w:t> </w:t>
            </w:r>
            <w:r>
              <w:rPr>
                <w:color w:val="231F1F"/>
                <w:sz w:val="22"/>
              </w:rPr>
              <w:t>que</w:t>
            </w:r>
            <w:r>
              <w:rPr>
                <w:color w:val="231F1F"/>
                <w:spacing w:val="40"/>
                <w:sz w:val="22"/>
              </w:rPr>
              <w:t> </w:t>
            </w:r>
            <w:r>
              <w:rPr>
                <w:color w:val="231F1F"/>
                <w:sz w:val="22"/>
              </w:rPr>
              <w:t>contemplen</w:t>
            </w:r>
            <w:r>
              <w:rPr>
                <w:color w:val="231F1F"/>
                <w:spacing w:val="37"/>
                <w:sz w:val="22"/>
              </w:rPr>
              <w:t> </w:t>
            </w:r>
            <w:r>
              <w:rPr>
                <w:color w:val="231F1F"/>
                <w:sz w:val="22"/>
              </w:rPr>
              <w:t>resultados</w:t>
            </w:r>
            <w:r>
              <w:rPr>
                <w:color w:val="231F1F"/>
                <w:spacing w:val="39"/>
                <w:sz w:val="22"/>
              </w:rPr>
              <w:t> </w:t>
            </w:r>
            <w:r>
              <w:rPr>
                <w:color w:val="231F1F"/>
                <w:sz w:val="22"/>
              </w:rPr>
              <w:t>sobre</w:t>
            </w:r>
            <w:r>
              <w:rPr>
                <w:color w:val="231F1F"/>
                <w:spacing w:val="38"/>
                <w:sz w:val="22"/>
              </w:rPr>
              <w:t> </w:t>
            </w:r>
            <w:r>
              <w:rPr>
                <w:color w:val="231F1F"/>
                <w:sz w:val="22"/>
              </w:rPr>
              <w:t>la</w:t>
            </w:r>
            <w:r>
              <w:rPr>
                <w:color w:val="231F1F"/>
                <w:spacing w:val="38"/>
                <w:sz w:val="22"/>
              </w:rPr>
              <w:t> </w:t>
            </w:r>
            <w:r>
              <w:rPr>
                <w:color w:val="231F1F"/>
                <w:spacing w:val="-2"/>
                <w:sz w:val="22"/>
              </w:rPr>
              <w:t>intervención</w:t>
            </w:r>
          </w:p>
        </w:tc>
      </w:tr>
    </w:tbl>
    <w:p>
      <w:pPr>
        <w:pStyle w:val="BodyText"/>
        <w:spacing w:before="133"/>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8506" w:type="dxa"/>
            <w:gridSpan w:val="2"/>
          </w:tcPr>
          <w:p>
            <w:pPr>
              <w:pStyle w:val="TableParagraph"/>
              <w:spacing w:before="39"/>
              <w:rPr>
                <w:b/>
                <w:i/>
                <w:sz w:val="22"/>
              </w:rPr>
            </w:pPr>
            <w:r>
              <w:rPr>
                <w:b/>
                <w:i/>
                <w:color w:val="231F1F"/>
                <w:w w:val="105"/>
                <w:sz w:val="22"/>
              </w:rPr>
              <w:t>Masaje </w:t>
            </w:r>
            <w:r>
              <w:rPr>
                <w:b/>
                <w:i/>
                <w:color w:val="231F1F"/>
                <w:spacing w:val="-2"/>
                <w:w w:val="105"/>
                <w:sz w:val="22"/>
              </w:rPr>
              <w:t>perineal</w:t>
            </w:r>
          </w:p>
        </w:tc>
      </w:tr>
      <w:tr>
        <w:trPr>
          <w:trHeight w:val="402" w:hRule="atLeast"/>
        </w:trPr>
        <w:tc>
          <w:tcPr>
            <w:tcW w:w="456" w:type="dxa"/>
          </w:tcPr>
          <w:p>
            <w:pPr>
              <w:pStyle w:val="TableParagraph"/>
              <w:spacing w:before="39"/>
              <w:ind w:left="46" w:right="43"/>
              <w:jc w:val="center"/>
              <w:rPr>
                <w:sz w:val="22"/>
              </w:rPr>
            </w:pPr>
            <w:r>
              <w:rPr>
                <w:color w:val="231F1F"/>
                <w:spacing w:val="-10"/>
                <w:w w:val="115"/>
                <w:sz w:val="22"/>
              </w:rPr>
              <w:t>A</w:t>
            </w:r>
          </w:p>
        </w:tc>
        <w:tc>
          <w:tcPr>
            <w:tcW w:w="8050" w:type="dxa"/>
          </w:tcPr>
          <w:p>
            <w:pPr>
              <w:pStyle w:val="TableParagraph"/>
              <w:spacing w:before="39"/>
              <w:rPr>
                <w:sz w:val="22"/>
              </w:rPr>
            </w:pPr>
            <w:r>
              <w:rPr>
                <w:color w:val="231F1F"/>
                <w:sz w:val="22"/>
              </w:rPr>
              <w:t>No</w:t>
            </w:r>
            <w:r>
              <w:rPr>
                <w:color w:val="231F1F"/>
                <w:spacing w:val="33"/>
                <w:sz w:val="22"/>
              </w:rPr>
              <w:t> </w:t>
            </w:r>
            <w:r>
              <w:rPr>
                <w:color w:val="231F1F"/>
                <w:sz w:val="22"/>
              </w:rPr>
              <w:t>se</w:t>
            </w:r>
            <w:r>
              <w:rPr>
                <w:color w:val="231F1F"/>
                <w:spacing w:val="35"/>
                <w:sz w:val="22"/>
              </w:rPr>
              <w:t> </w:t>
            </w:r>
            <w:r>
              <w:rPr>
                <w:color w:val="231F1F"/>
                <w:sz w:val="22"/>
              </w:rPr>
              <w:t>recomienda</w:t>
            </w:r>
            <w:r>
              <w:rPr>
                <w:color w:val="231F1F"/>
                <w:spacing w:val="36"/>
                <w:sz w:val="22"/>
              </w:rPr>
              <w:t> </w:t>
            </w:r>
            <w:r>
              <w:rPr>
                <w:color w:val="231F1F"/>
                <w:sz w:val="22"/>
              </w:rPr>
              <w:t>la</w:t>
            </w:r>
            <w:r>
              <w:rPr>
                <w:color w:val="231F1F"/>
                <w:spacing w:val="37"/>
                <w:sz w:val="22"/>
              </w:rPr>
              <w:t> </w:t>
            </w:r>
            <w:r>
              <w:rPr>
                <w:color w:val="231F1F"/>
                <w:sz w:val="22"/>
              </w:rPr>
              <w:t>realización</w:t>
            </w:r>
            <w:r>
              <w:rPr>
                <w:color w:val="231F1F"/>
                <w:spacing w:val="35"/>
                <w:sz w:val="22"/>
              </w:rPr>
              <w:t> </w:t>
            </w:r>
            <w:r>
              <w:rPr>
                <w:color w:val="231F1F"/>
                <w:sz w:val="22"/>
              </w:rPr>
              <w:t>del</w:t>
            </w:r>
            <w:r>
              <w:rPr>
                <w:color w:val="231F1F"/>
                <w:spacing w:val="32"/>
                <w:sz w:val="22"/>
              </w:rPr>
              <w:t> </w:t>
            </w:r>
            <w:r>
              <w:rPr>
                <w:color w:val="231F1F"/>
                <w:sz w:val="22"/>
              </w:rPr>
              <w:t>masaje</w:t>
            </w:r>
            <w:r>
              <w:rPr>
                <w:color w:val="231F1F"/>
                <w:spacing w:val="37"/>
                <w:sz w:val="22"/>
              </w:rPr>
              <w:t> </w:t>
            </w:r>
            <w:r>
              <w:rPr>
                <w:color w:val="231F1F"/>
                <w:sz w:val="22"/>
              </w:rPr>
              <w:t>perineal</w:t>
            </w:r>
            <w:r>
              <w:rPr>
                <w:color w:val="231F1F"/>
                <w:spacing w:val="30"/>
                <w:sz w:val="22"/>
              </w:rPr>
              <w:t> </w:t>
            </w:r>
            <w:r>
              <w:rPr>
                <w:color w:val="231F1F"/>
                <w:sz w:val="22"/>
              </w:rPr>
              <w:t>durante</w:t>
            </w:r>
            <w:r>
              <w:rPr>
                <w:color w:val="231F1F"/>
                <w:spacing w:val="35"/>
                <w:sz w:val="22"/>
              </w:rPr>
              <w:t> </w:t>
            </w:r>
            <w:r>
              <w:rPr>
                <w:color w:val="231F1F"/>
                <w:sz w:val="22"/>
              </w:rPr>
              <w:t>la</w:t>
            </w:r>
            <w:r>
              <w:rPr>
                <w:color w:val="231F1F"/>
                <w:spacing w:val="37"/>
                <w:sz w:val="22"/>
              </w:rPr>
              <w:t> </w:t>
            </w:r>
            <w:r>
              <w:rPr>
                <w:color w:val="231F1F"/>
                <w:sz w:val="22"/>
              </w:rPr>
              <w:t>2ª</w:t>
            </w:r>
            <w:r>
              <w:rPr>
                <w:color w:val="231F1F"/>
                <w:spacing w:val="32"/>
                <w:sz w:val="22"/>
              </w:rPr>
              <w:t> </w:t>
            </w:r>
            <w:r>
              <w:rPr>
                <w:color w:val="231F1F"/>
                <w:sz w:val="22"/>
              </w:rPr>
              <w:t>etapa</w:t>
            </w:r>
            <w:r>
              <w:rPr>
                <w:color w:val="231F1F"/>
                <w:spacing w:val="35"/>
                <w:sz w:val="22"/>
              </w:rPr>
              <w:t> </w:t>
            </w:r>
            <w:r>
              <w:rPr>
                <w:color w:val="231F1F"/>
                <w:sz w:val="22"/>
              </w:rPr>
              <w:t>del</w:t>
            </w:r>
            <w:r>
              <w:rPr>
                <w:color w:val="231F1F"/>
                <w:spacing w:val="32"/>
                <w:sz w:val="22"/>
              </w:rPr>
              <w:t> </w:t>
            </w:r>
            <w:r>
              <w:rPr>
                <w:color w:val="231F1F"/>
                <w:spacing w:val="-2"/>
                <w:sz w:val="22"/>
              </w:rPr>
              <w:t>parto.</w:t>
            </w:r>
          </w:p>
        </w:tc>
      </w:tr>
      <w:tr>
        <w:trPr>
          <w:trHeight w:val="393" w:hRule="atLeast"/>
        </w:trPr>
        <w:tc>
          <w:tcPr>
            <w:tcW w:w="8506" w:type="dxa"/>
            <w:gridSpan w:val="2"/>
          </w:tcPr>
          <w:p>
            <w:pPr>
              <w:pStyle w:val="TableParagraph"/>
              <w:spacing w:before="39"/>
              <w:rPr>
                <w:b/>
                <w:i/>
                <w:sz w:val="22"/>
              </w:rPr>
            </w:pPr>
            <w:r>
              <w:rPr>
                <w:b/>
                <w:i/>
                <w:color w:val="231F1F"/>
                <w:w w:val="110"/>
                <w:sz w:val="22"/>
              </w:rPr>
              <w:t>Aplicación</w:t>
            </w:r>
            <w:r>
              <w:rPr>
                <w:b/>
                <w:i/>
                <w:color w:val="231F1F"/>
                <w:spacing w:val="-11"/>
                <w:w w:val="110"/>
                <w:sz w:val="22"/>
              </w:rPr>
              <w:t> </w:t>
            </w:r>
            <w:r>
              <w:rPr>
                <w:b/>
                <w:i/>
                <w:color w:val="231F1F"/>
                <w:w w:val="110"/>
                <w:sz w:val="22"/>
              </w:rPr>
              <w:t>de</w:t>
            </w:r>
            <w:r>
              <w:rPr>
                <w:b/>
                <w:i/>
                <w:color w:val="231F1F"/>
                <w:spacing w:val="-11"/>
                <w:w w:val="110"/>
                <w:sz w:val="22"/>
              </w:rPr>
              <w:t> </w:t>
            </w:r>
            <w:r>
              <w:rPr>
                <w:b/>
                <w:i/>
                <w:color w:val="231F1F"/>
                <w:spacing w:val="-2"/>
                <w:w w:val="110"/>
                <w:sz w:val="22"/>
              </w:rPr>
              <w:t>calor/frio</w:t>
            </w:r>
          </w:p>
        </w:tc>
      </w:tr>
      <w:tr>
        <w:trPr>
          <w:trHeight w:val="686"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posibilitar</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aplicación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compresas</w:t>
            </w:r>
            <w:r>
              <w:rPr>
                <w:color w:val="231F1F"/>
                <w:spacing w:val="-15"/>
                <w:w w:val="110"/>
                <w:sz w:val="22"/>
              </w:rPr>
              <w:t> </w:t>
            </w:r>
            <w:r>
              <w:rPr>
                <w:color w:val="231F1F"/>
                <w:w w:val="110"/>
                <w:sz w:val="22"/>
              </w:rPr>
              <w:t>calientes</w:t>
            </w:r>
            <w:r>
              <w:rPr>
                <w:color w:val="231F1F"/>
                <w:spacing w:val="-15"/>
                <w:w w:val="110"/>
                <w:sz w:val="22"/>
              </w:rPr>
              <w:t> </w:t>
            </w:r>
            <w:r>
              <w:rPr>
                <w:color w:val="231F1F"/>
                <w:w w:val="110"/>
                <w:sz w:val="22"/>
              </w:rPr>
              <w:t>durante</w:t>
            </w:r>
            <w:r>
              <w:rPr>
                <w:color w:val="231F1F"/>
                <w:spacing w:val="-16"/>
                <w:w w:val="110"/>
                <w:sz w:val="22"/>
              </w:rPr>
              <w:t> </w:t>
            </w:r>
            <w:r>
              <w:rPr>
                <w:color w:val="231F1F"/>
                <w:w w:val="110"/>
                <w:sz w:val="22"/>
              </w:rPr>
              <w:t>la</w:t>
            </w:r>
            <w:r>
              <w:rPr>
                <w:color w:val="231F1F"/>
                <w:spacing w:val="-15"/>
                <w:w w:val="110"/>
                <w:sz w:val="22"/>
              </w:rPr>
              <w:t> </w:t>
            </w:r>
            <w:r>
              <w:rPr>
                <w:color w:val="231F1F"/>
                <w:w w:val="110"/>
                <w:sz w:val="22"/>
              </w:rPr>
              <w:t>2ª</w:t>
            </w:r>
            <w:r>
              <w:rPr>
                <w:color w:val="231F1F"/>
                <w:spacing w:val="-15"/>
                <w:w w:val="110"/>
                <w:sz w:val="22"/>
              </w:rPr>
              <w:t> </w:t>
            </w:r>
            <w:r>
              <w:rPr>
                <w:color w:val="231F1F"/>
                <w:w w:val="110"/>
                <w:sz w:val="22"/>
              </w:rPr>
              <w:t>etapa del parto.</w:t>
            </w:r>
          </w:p>
        </w:tc>
      </w:tr>
    </w:tbl>
    <w:p>
      <w:pPr>
        <w:pStyle w:val="TableParagraph"/>
        <w:spacing w:after="0" w:line="244" w:lineRule="auto"/>
        <w:rPr>
          <w:sz w:val="22"/>
        </w:rPr>
        <w:sectPr>
          <w:pgSz w:w="11900" w:h="16840"/>
          <w:pgMar w:header="0" w:footer="622" w:top="1560" w:bottom="2216"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8506" w:type="dxa"/>
            <w:gridSpan w:val="2"/>
          </w:tcPr>
          <w:p>
            <w:pPr>
              <w:pStyle w:val="TableParagraph"/>
              <w:spacing w:before="49"/>
              <w:rPr>
                <w:b/>
                <w:i/>
                <w:sz w:val="22"/>
              </w:rPr>
            </w:pPr>
            <w:r>
              <w:rPr>
                <w:b/>
                <w:i/>
                <w:color w:val="231F1F"/>
                <w:sz w:val="22"/>
              </w:rPr>
              <w:t>Protección</w:t>
            </w:r>
            <w:r>
              <w:rPr>
                <w:b/>
                <w:i/>
                <w:color w:val="231F1F"/>
                <w:spacing w:val="32"/>
                <w:sz w:val="22"/>
              </w:rPr>
              <w:t> </w:t>
            </w:r>
            <w:r>
              <w:rPr>
                <w:b/>
                <w:i/>
                <w:color w:val="231F1F"/>
                <w:sz w:val="22"/>
              </w:rPr>
              <w:t>activa</w:t>
            </w:r>
            <w:r>
              <w:rPr>
                <w:b/>
                <w:i/>
                <w:color w:val="231F1F"/>
                <w:spacing w:val="32"/>
                <w:sz w:val="22"/>
              </w:rPr>
              <w:t> </w:t>
            </w:r>
            <w:r>
              <w:rPr>
                <w:b/>
                <w:i/>
                <w:color w:val="231F1F"/>
                <w:sz w:val="22"/>
              </w:rPr>
              <w:t>del</w:t>
            </w:r>
            <w:r>
              <w:rPr>
                <w:b/>
                <w:i/>
                <w:color w:val="231F1F"/>
                <w:spacing w:val="32"/>
                <w:sz w:val="22"/>
              </w:rPr>
              <w:t> </w:t>
            </w:r>
            <w:r>
              <w:rPr>
                <w:b/>
                <w:i/>
                <w:color w:val="231F1F"/>
                <w:sz w:val="22"/>
              </w:rPr>
              <w:t>periné</w:t>
            </w:r>
            <w:r>
              <w:rPr>
                <w:b/>
                <w:i/>
                <w:color w:val="231F1F"/>
                <w:spacing w:val="32"/>
                <w:sz w:val="22"/>
              </w:rPr>
              <w:t> </w:t>
            </w:r>
            <w:r>
              <w:rPr>
                <w:b/>
                <w:i/>
                <w:color w:val="231F1F"/>
                <w:sz w:val="22"/>
              </w:rPr>
              <w:t>y</w:t>
            </w:r>
            <w:r>
              <w:rPr>
                <w:b/>
                <w:i/>
                <w:color w:val="231F1F"/>
                <w:spacing w:val="32"/>
                <w:sz w:val="22"/>
              </w:rPr>
              <w:t> </w:t>
            </w:r>
            <w:r>
              <w:rPr>
                <w:b/>
                <w:i/>
                <w:color w:val="231F1F"/>
                <w:sz w:val="22"/>
              </w:rPr>
              <w:t>deflexión</w:t>
            </w:r>
            <w:r>
              <w:rPr>
                <w:b/>
                <w:i/>
                <w:color w:val="231F1F"/>
                <w:spacing w:val="34"/>
                <w:sz w:val="22"/>
              </w:rPr>
              <w:t> </w:t>
            </w:r>
            <w:r>
              <w:rPr>
                <w:b/>
                <w:i/>
                <w:color w:val="231F1F"/>
                <w:sz w:val="22"/>
              </w:rPr>
              <w:t>activa</w:t>
            </w:r>
            <w:r>
              <w:rPr>
                <w:b/>
                <w:i/>
                <w:color w:val="231F1F"/>
                <w:spacing w:val="33"/>
                <w:sz w:val="22"/>
              </w:rPr>
              <w:t> </w:t>
            </w:r>
            <w:r>
              <w:rPr>
                <w:b/>
                <w:i/>
                <w:color w:val="231F1F"/>
                <w:sz w:val="22"/>
              </w:rPr>
              <w:t>de</w:t>
            </w:r>
            <w:r>
              <w:rPr>
                <w:b/>
                <w:i/>
                <w:color w:val="231F1F"/>
                <w:spacing w:val="32"/>
                <w:sz w:val="22"/>
              </w:rPr>
              <w:t> </w:t>
            </w:r>
            <w:r>
              <w:rPr>
                <w:b/>
                <w:i/>
                <w:color w:val="231F1F"/>
                <w:sz w:val="22"/>
              </w:rPr>
              <w:t>la</w:t>
            </w:r>
            <w:r>
              <w:rPr>
                <w:b/>
                <w:i/>
                <w:color w:val="231F1F"/>
                <w:spacing w:val="34"/>
                <w:sz w:val="22"/>
              </w:rPr>
              <w:t> </w:t>
            </w:r>
            <w:r>
              <w:rPr>
                <w:b/>
                <w:i/>
                <w:color w:val="231F1F"/>
                <w:spacing w:val="-2"/>
                <w:sz w:val="22"/>
              </w:rPr>
              <w:t>cabeza</w:t>
            </w:r>
          </w:p>
        </w:tc>
      </w:tr>
      <w:tr>
        <w:trPr>
          <w:trHeight w:val="681" w:hRule="atLeast"/>
        </w:trPr>
        <w:tc>
          <w:tcPr>
            <w:tcW w:w="456" w:type="dxa"/>
          </w:tcPr>
          <w:p>
            <w:pPr>
              <w:pStyle w:val="TableParagraph"/>
              <w:spacing w:before="178"/>
              <w:ind w:left="43" w:right="61"/>
              <w:jc w:val="center"/>
              <w:rPr>
                <w:sz w:val="22"/>
              </w:rPr>
            </w:pPr>
            <w:r>
              <w:rPr>
                <w:color w:val="231F1F"/>
                <w:spacing w:val="-10"/>
                <w:w w:val="110"/>
                <w:sz w:val="22"/>
              </w:rPr>
              <w:t>B</w:t>
            </w:r>
          </w:p>
        </w:tc>
        <w:tc>
          <w:tcPr>
            <w:tcW w:w="8050" w:type="dxa"/>
          </w:tcPr>
          <w:p>
            <w:pPr>
              <w:pStyle w:val="TableParagraph"/>
              <w:spacing w:line="244" w:lineRule="auto" w:before="44"/>
              <w:ind w:right="155"/>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la</w:t>
            </w:r>
            <w:r>
              <w:rPr>
                <w:color w:val="231F1F"/>
                <w:spacing w:val="-8"/>
                <w:w w:val="110"/>
                <w:sz w:val="22"/>
              </w:rPr>
              <w:t> </w:t>
            </w:r>
            <w:r>
              <w:rPr>
                <w:color w:val="231F1F"/>
                <w:w w:val="110"/>
                <w:sz w:val="22"/>
              </w:rPr>
              <w:t>protección</w:t>
            </w:r>
            <w:r>
              <w:rPr>
                <w:color w:val="231F1F"/>
                <w:spacing w:val="-8"/>
                <w:w w:val="110"/>
                <w:sz w:val="22"/>
              </w:rPr>
              <w:t> </w:t>
            </w:r>
            <w:r>
              <w:rPr>
                <w:color w:val="231F1F"/>
                <w:w w:val="110"/>
                <w:sz w:val="22"/>
              </w:rPr>
              <w:t>activa</w:t>
            </w:r>
            <w:r>
              <w:rPr>
                <w:color w:val="231F1F"/>
                <w:spacing w:val="-8"/>
                <w:w w:val="110"/>
                <w:sz w:val="22"/>
              </w:rPr>
              <w:t> </w:t>
            </w:r>
            <w:r>
              <w:rPr>
                <w:color w:val="231F1F"/>
                <w:w w:val="110"/>
                <w:sz w:val="22"/>
              </w:rPr>
              <w:t>del</w:t>
            </w:r>
            <w:r>
              <w:rPr>
                <w:color w:val="231F1F"/>
                <w:spacing w:val="-9"/>
                <w:w w:val="110"/>
                <w:sz w:val="22"/>
              </w:rPr>
              <w:t> </w:t>
            </w:r>
            <w:r>
              <w:rPr>
                <w:color w:val="231F1F"/>
                <w:w w:val="110"/>
                <w:sz w:val="22"/>
              </w:rPr>
              <w:t>periné</w:t>
            </w:r>
            <w:r>
              <w:rPr>
                <w:color w:val="231F1F"/>
                <w:spacing w:val="-8"/>
                <w:w w:val="110"/>
                <w:sz w:val="22"/>
              </w:rPr>
              <w:t> </w:t>
            </w:r>
            <w:r>
              <w:rPr>
                <w:color w:val="231F1F"/>
                <w:w w:val="110"/>
                <w:sz w:val="22"/>
              </w:rPr>
              <w:t>mediante</w:t>
            </w:r>
            <w:r>
              <w:rPr>
                <w:color w:val="231F1F"/>
                <w:spacing w:val="-8"/>
                <w:w w:val="110"/>
                <w:sz w:val="22"/>
              </w:rPr>
              <w:t> </w:t>
            </w:r>
            <w:r>
              <w:rPr>
                <w:color w:val="231F1F"/>
                <w:w w:val="110"/>
                <w:sz w:val="22"/>
              </w:rPr>
              <w:t>la</w:t>
            </w:r>
            <w:r>
              <w:rPr>
                <w:color w:val="231F1F"/>
                <w:spacing w:val="-8"/>
                <w:w w:val="110"/>
                <w:sz w:val="22"/>
              </w:rPr>
              <w:t> </w:t>
            </w:r>
            <w:r>
              <w:rPr>
                <w:color w:val="231F1F"/>
                <w:w w:val="110"/>
                <w:sz w:val="22"/>
              </w:rPr>
              <w:t>técnica</w:t>
            </w:r>
            <w:r>
              <w:rPr>
                <w:color w:val="231F1F"/>
                <w:spacing w:val="-8"/>
                <w:w w:val="110"/>
                <w:sz w:val="22"/>
              </w:rPr>
              <w:t> </w:t>
            </w:r>
            <w:r>
              <w:rPr>
                <w:color w:val="231F1F"/>
                <w:w w:val="110"/>
                <w:sz w:val="22"/>
              </w:rPr>
              <w:t>de</w:t>
            </w:r>
            <w:r>
              <w:rPr>
                <w:color w:val="231F1F"/>
                <w:spacing w:val="-8"/>
                <w:w w:val="110"/>
                <w:sz w:val="22"/>
              </w:rPr>
              <w:t> </w:t>
            </w:r>
            <w:r>
              <w:rPr>
                <w:color w:val="231F1F"/>
                <w:w w:val="110"/>
                <w:sz w:val="22"/>
              </w:rPr>
              <w:t>deflexión controlada de la cabeza fetal y pidiendo a la mujer que no empuje.</w:t>
            </w:r>
          </w:p>
        </w:tc>
      </w:tr>
      <w:tr>
        <w:trPr>
          <w:trHeight w:val="397" w:hRule="atLeast"/>
        </w:trPr>
        <w:tc>
          <w:tcPr>
            <w:tcW w:w="8506" w:type="dxa"/>
            <w:gridSpan w:val="2"/>
          </w:tcPr>
          <w:p>
            <w:pPr>
              <w:pStyle w:val="TableParagraph"/>
              <w:spacing w:before="53"/>
              <w:rPr>
                <w:b/>
                <w:i/>
                <w:sz w:val="22"/>
              </w:rPr>
            </w:pPr>
            <w:r>
              <w:rPr>
                <w:b/>
                <w:i/>
                <w:color w:val="231F1F"/>
                <w:sz w:val="22"/>
              </w:rPr>
              <w:t>Aplicación</w:t>
            </w:r>
            <w:r>
              <w:rPr>
                <w:b/>
                <w:i/>
                <w:color w:val="231F1F"/>
                <w:spacing w:val="41"/>
                <w:sz w:val="22"/>
              </w:rPr>
              <w:t> </w:t>
            </w:r>
            <w:r>
              <w:rPr>
                <w:b/>
                <w:i/>
                <w:color w:val="231F1F"/>
                <w:sz w:val="22"/>
              </w:rPr>
              <w:t>de</w:t>
            </w:r>
            <w:r>
              <w:rPr>
                <w:b/>
                <w:i/>
                <w:color w:val="231F1F"/>
                <w:spacing w:val="44"/>
                <w:sz w:val="22"/>
              </w:rPr>
              <w:t> </w:t>
            </w:r>
            <w:r>
              <w:rPr>
                <w:b/>
                <w:i/>
                <w:color w:val="231F1F"/>
                <w:sz w:val="22"/>
              </w:rPr>
              <w:t>anestésico</w:t>
            </w:r>
            <w:r>
              <w:rPr>
                <w:b/>
                <w:i/>
                <w:color w:val="231F1F"/>
                <w:spacing w:val="43"/>
                <w:sz w:val="22"/>
              </w:rPr>
              <w:t> </w:t>
            </w:r>
            <w:r>
              <w:rPr>
                <w:b/>
                <w:i/>
                <w:color w:val="231F1F"/>
                <w:spacing w:val="-2"/>
                <w:sz w:val="22"/>
              </w:rPr>
              <w:t>local</w:t>
            </w:r>
          </w:p>
        </w:tc>
      </w:tr>
      <w:tr>
        <w:trPr>
          <w:trHeight w:val="686"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before="49"/>
              <w:ind w:right="178"/>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utilizar</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aplicación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anestésico</w:t>
            </w:r>
            <w:r>
              <w:rPr>
                <w:color w:val="231F1F"/>
                <w:spacing w:val="-15"/>
                <w:w w:val="110"/>
                <w:sz w:val="22"/>
              </w:rPr>
              <w:t> </w:t>
            </w:r>
            <w:r>
              <w:rPr>
                <w:color w:val="231F1F"/>
                <w:w w:val="110"/>
                <w:sz w:val="22"/>
              </w:rPr>
              <w:t>local</w:t>
            </w:r>
            <w:r>
              <w:rPr>
                <w:color w:val="231F1F"/>
                <w:spacing w:val="-16"/>
                <w:w w:val="110"/>
                <w:sz w:val="22"/>
              </w:rPr>
              <w:t> </w:t>
            </w:r>
            <w:r>
              <w:rPr>
                <w:color w:val="231F1F"/>
                <w:w w:val="110"/>
                <w:sz w:val="22"/>
              </w:rPr>
              <w:t>en</w:t>
            </w:r>
            <w:r>
              <w:rPr>
                <w:color w:val="231F1F"/>
                <w:spacing w:val="-15"/>
                <w:w w:val="110"/>
                <w:sz w:val="22"/>
              </w:rPr>
              <w:t> </w:t>
            </w:r>
            <w:r>
              <w:rPr>
                <w:color w:val="231F1F"/>
                <w:w w:val="110"/>
                <w:sz w:val="22"/>
              </w:rPr>
              <w:t>spray</w:t>
            </w:r>
            <w:r>
              <w:rPr>
                <w:color w:val="231F1F"/>
                <w:spacing w:val="-15"/>
                <w:w w:val="110"/>
                <w:sz w:val="22"/>
              </w:rPr>
              <w:t> </w:t>
            </w:r>
            <w:r>
              <w:rPr>
                <w:color w:val="231F1F"/>
                <w:w w:val="110"/>
                <w:sz w:val="22"/>
              </w:rPr>
              <w:t>como</w:t>
            </w:r>
            <w:r>
              <w:rPr>
                <w:color w:val="231F1F"/>
                <w:spacing w:val="-15"/>
                <w:w w:val="110"/>
                <w:sz w:val="22"/>
              </w:rPr>
              <w:t> </w:t>
            </w:r>
            <w:r>
              <w:rPr>
                <w:color w:val="231F1F"/>
                <w:w w:val="110"/>
                <w:sz w:val="22"/>
              </w:rPr>
              <w:t>método para reducir el dolor perineal durante la 2ª etapa del parto.</w:t>
            </w:r>
          </w:p>
        </w:tc>
      </w:tr>
    </w:tbl>
    <w:p>
      <w:pPr>
        <w:pStyle w:val="TableParagraph"/>
        <w:spacing w:after="0"/>
        <w:rPr>
          <w:sz w:val="22"/>
        </w:rPr>
        <w:sectPr>
          <w:type w:val="continuous"/>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4" w:id="22"/>
      <w:bookmarkEnd w:id="22"/>
      <w:r>
        <w:rPr>
          <w:color w:val="231F1F"/>
          <w:spacing w:val="-2"/>
        </w:rPr>
        <w:t>Episiotomía</w:t>
      </w:r>
    </w:p>
    <w:p>
      <w:pPr>
        <w:pStyle w:val="BodyText"/>
        <w:spacing w:before="26"/>
        <w:rPr>
          <w:sz w:val="20"/>
        </w:rPr>
      </w:pPr>
      <w:r>
        <w:rPr>
          <w:sz w:val="20"/>
        </w:rPr>
        <mc:AlternateContent>
          <mc:Choice Requires="wps">
            <w:drawing>
              <wp:anchor distT="0" distB="0" distL="0" distR="0" allowOverlap="1" layoutInCell="1" locked="0" behindDoc="1" simplePos="0" relativeHeight="487610368">
                <wp:simplePos x="0" y="0"/>
                <wp:positionH relativeFrom="page">
                  <wp:posOffset>1082675</wp:posOffset>
                </wp:positionH>
                <wp:positionV relativeFrom="paragraph">
                  <wp:posOffset>180997</wp:posOffset>
                </wp:positionV>
                <wp:extent cx="5400040" cy="262255"/>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5400040" cy="262255"/>
                        </a:xfrm>
                        <a:prstGeom prst="rect">
                          <a:avLst/>
                        </a:prstGeom>
                        <a:ln w="6350">
                          <a:solidFill>
                            <a:srgbClr val="A30046"/>
                          </a:solidFill>
                          <a:prstDash val="solid"/>
                        </a:ln>
                      </wps:spPr>
                      <wps:txbx>
                        <w:txbxContent>
                          <w:p>
                            <w:pPr>
                              <w:pStyle w:val="BodyText"/>
                              <w:numPr>
                                <w:ilvl w:val="0"/>
                                <w:numId w:val="44"/>
                              </w:numPr>
                              <w:tabs>
                                <w:tab w:pos="322" w:val="left" w:leader="none"/>
                              </w:tabs>
                              <w:spacing w:line="240" w:lineRule="auto" w:before="60" w:after="0"/>
                              <w:ind w:left="322" w:right="0" w:hanging="218"/>
                              <w:jc w:val="left"/>
                            </w:pPr>
                            <w:r>
                              <w:rPr>
                                <w:color w:val="231F1F"/>
                              </w:rPr>
                              <w:t>¿Cuál</w:t>
                            </w:r>
                            <w:r>
                              <w:rPr>
                                <w:color w:val="231F1F"/>
                                <w:spacing w:val="21"/>
                              </w:rPr>
                              <w:t> </w:t>
                            </w:r>
                            <w:r>
                              <w:rPr>
                                <w:color w:val="231F1F"/>
                              </w:rPr>
                              <w:t>es</w:t>
                            </w:r>
                            <w:r>
                              <w:rPr>
                                <w:color w:val="231F1F"/>
                                <w:spacing w:val="21"/>
                              </w:rPr>
                              <w:t> </w:t>
                            </w:r>
                            <w:r>
                              <w:rPr>
                                <w:color w:val="231F1F"/>
                              </w:rPr>
                              <w:t>la</w:t>
                            </w:r>
                            <w:r>
                              <w:rPr>
                                <w:color w:val="231F1F"/>
                                <w:spacing w:val="21"/>
                              </w:rPr>
                              <w:t> </w:t>
                            </w:r>
                            <w:r>
                              <w:rPr>
                                <w:color w:val="231F1F"/>
                              </w:rPr>
                              <w:t>efectividad</w:t>
                            </w:r>
                            <w:r>
                              <w:rPr>
                                <w:color w:val="231F1F"/>
                                <w:spacing w:val="22"/>
                              </w:rPr>
                              <w:t> </w:t>
                            </w:r>
                            <w:r>
                              <w:rPr>
                                <w:color w:val="231F1F"/>
                              </w:rPr>
                              <w:t>de</w:t>
                            </w:r>
                            <w:r>
                              <w:rPr>
                                <w:color w:val="231F1F"/>
                                <w:spacing w:val="21"/>
                              </w:rPr>
                              <w:t> </w:t>
                            </w:r>
                            <w:r>
                              <w:rPr>
                                <w:color w:val="231F1F"/>
                              </w:rPr>
                              <w:t>la</w:t>
                            </w:r>
                            <w:r>
                              <w:rPr>
                                <w:color w:val="231F1F"/>
                                <w:spacing w:val="22"/>
                              </w:rPr>
                              <w:t> </w:t>
                            </w:r>
                            <w:r>
                              <w:rPr>
                                <w:color w:val="231F1F"/>
                                <w:spacing w:val="-2"/>
                              </w:rPr>
                              <w:t>episiotomía?</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6112;mso-wrap-distance-left:0;mso-wrap-distance-right:0" type="#_x0000_t202" id="docshape83" filled="false" stroked="true" strokeweight=".5pt" strokecolor="#a30046">
                <v:textbox inset="0,0,0,0">
                  <w:txbxContent>
                    <w:p>
                      <w:pPr>
                        <w:pStyle w:val="BodyText"/>
                        <w:numPr>
                          <w:ilvl w:val="0"/>
                          <w:numId w:val="44"/>
                        </w:numPr>
                        <w:tabs>
                          <w:tab w:pos="322" w:val="left" w:leader="none"/>
                        </w:tabs>
                        <w:spacing w:line="240" w:lineRule="auto" w:before="60" w:after="0"/>
                        <w:ind w:left="322" w:right="0" w:hanging="218"/>
                        <w:jc w:val="left"/>
                      </w:pPr>
                      <w:r>
                        <w:rPr>
                          <w:color w:val="231F1F"/>
                        </w:rPr>
                        <w:t>¿Cuál</w:t>
                      </w:r>
                      <w:r>
                        <w:rPr>
                          <w:color w:val="231F1F"/>
                          <w:spacing w:val="21"/>
                        </w:rPr>
                        <w:t> </w:t>
                      </w:r>
                      <w:r>
                        <w:rPr>
                          <w:color w:val="231F1F"/>
                        </w:rPr>
                        <w:t>es</w:t>
                      </w:r>
                      <w:r>
                        <w:rPr>
                          <w:color w:val="231F1F"/>
                          <w:spacing w:val="21"/>
                        </w:rPr>
                        <w:t> </w:t>
                      </w:r>
                      <w:r>
                        <w:rPr>
                          <w:color w:val="231F1F"/>
                        </w:rPr>
                        <w:t>la</w:t>
                      </w:r>
                      <w:r>
                        <w:rPr>
                          <w:color w:val="231F1F"/>
                          <w:spacing w:val="21"/>
                        </w:rPr>
                        <w:t> </w:t>
                      </w:r>
                      <w:r>
                        <w:rPr>
                          <w:color w:val="231F1F"/>
                        </w:rPr>
                        <w:t>efectividad</w:t>
                      </w:r>
                      <w:r>
                        <w:rPr>
                          <w:color w:val="231F1F"/>
                          <w:spacing w:val="22"/>
                        </w:rPr>
                        <w:t> </w:t>
                      </w:r>
                      <w:r>
                        <w:rPr>
                          <w:color w:val="231F1F"/>
                        </w:rPr>
                        <w:t>de</w:t>
                      </w:r>
                      <w:r>
                        <w:rPr>
                          <w:color w:val="231F1F"/>
                          <w:spacing w:val="21"/>
                        </w:rPr>
                        <w:t> </w:t>
                      </w:r>
                      <w:r>
                        <w:rPr>
                          <w:color w:val="231F1F"/>
                        </w:rPr>
                        <w:t>la</w:t>
                      </w:r>
                      <w:r>
                        <w:rPr>
                          <w:color w:val="231F1F"/>
                          <w:spacing w:val="22"/>
                        </w:rPr>
                        <w:t> </w:t>
                      </w:r>
                      <w:r>
                        <w:rPr>
                          <w:color w:val="231F1F"/>
                          <w:spacing w:val="-2"/>
                        </w:rPr>
                        <w:t>episiotomía?</w:t>
                      </w:r>
                    </w:p>
                  </w:txbxContent>
                </v:textbox>
                <v:stroke dashstyle="solid"/>
                <w10:wrap type="topAndBottom"/>
              </v:shape>
            </w:pict>
          </mc:Fallback>
        </mc:AlternateContent>
      </w:r>
    </w:p>
    <w:p>
      <w:pPr>
        <w:pStyle w:val="BodyText"/>
        <w:spacing w:line="244" w:lineRule="auto" w:before="329"/>
        <w:ind w:left="283" w:right="120"/>
        <w:jc w:val="both"/>
      </w:pPr>
      <w:r>
        <w:rPr>
          <w:color w:val="231F1F"/>
          <w:w w:val="105"/>
        </w:rPr>
        <w:t>La episiotomía introducida en la práctica clínica en el siglo XVIII es ampliamente utilizada durante el parto, a pesar de la pobre evidencia científica sobre sus beneficios, siendo toda- vía un procedimiento muy controvertido. La justificación de su uso se basaba en la reduc- ción del</w:t>
      </w:r>
      <w:r>
        <w:rPr>
          <w:color w:val="231F1F"/>
          <w:spacing w:val="-1"/>
          <w:w w:val="105"/>
        </w:rPr>
        <w:t> </w:t>
      </w:r>
      <w:r>
        <w:rPr>
          <w:color w:val="231F1F"/>
          <w:w w:val="105"/>
        </w:rPr>
        <w:t>riesgo de</w:t>
      </w:r>
      <w:r>
        <w:rPr>
          <w:color w:val="231F1F"/>
          <w:spacing w:val="-1"/>
          <w:w w:val="105"/>
        </w:rPr>
        <w:t> </w:t>
      </w:r>
      <w:r>
        <w:rPr>
          <w:color w:val="231F1F"/>
          <w:w w:val="105"/>
        </w:rPr>
        <w:t>los</w:t>
      </w:r>
      <w:r>
        <w:rPr>
          <w:color w:val="231F1F"/>
          <w:spacing w:val="-1"/>
          <w:w w:val="105"/>
        </w:rPr>
        <w:t> </w:t>
      </w:r>
      <w:r>
        <w:rPr>
          <w:color w:val="231F1F"/>
          <w:w w:val="105"/>
        </w:rPr>
        <w:t>desgarros</w:t>
      </w:r>
      <w:r>
        <w:rPr>
          <w:color w:val="231F1F"/>
          <w:spacing w:val="-1"/>
          <w:w w:val="105"/>
        </w:rPr>
        <w:t> </w:t>
      </w:r>
      <w:r>
        <w:rPr>
          <w:color w:val="231F1F"/>
          <w:w w:val="105"/>
        </w:rPr>
        <w:t>perineales,</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disfunción</w:t>
      </w:r>
      <w:r>
        <w:rPr>
          <w:color w:val="231F1F"/>
          <w:spacing w:val="-1"/>
          <w:w w:val="105"/>
        </w:rPr>
        <w:t> </w:t>
      </w:r>
      <w:r>
        <w:rPr>
          <w:color w:val="231F1F"/>
          <w:w w:val="105"/>
        </w:rPr>
        <w:t>del</w:t>
      </w:r>
      <w:r>
        <w:rPr>
          <w:color w:val="231F1F"/>
          <w:spacing w:val="-1"/>
          <w:w w:val="105"/>
        </w:rPr>
        <w:t> </w:t>
      </w:r>
      <w:r>
        <w:rPr>
          <w:color w:val="231F1F"/>
          <w:w w:val="105"/>
        </w:rPr>
        <w:t>suelo</w:t>
      </w:r>
      <w:r>
        <w:rPr>
          <w:color w:val="231F1F"/>
          <w:spacing w:val="-1"/>
          <w:w w:val="105"/>
        </w:rPr>
        <w:t> </w:t>
      </w:r>
      <w:r>
        <w:rPr>
          <w:color w:val="231F1F"/>
          <w:w w:val="105"/>
        </w:rPr>
        <w:t>pélvico,</w:t>
      </w:r>
      <w:r>
        <w:rPr>
          <w:color w:val="231F1F"/>
          <w:spacing w:val="-1"/>
          <w:w w:val="105"/>
        </w:rPr>
        <w:t> </w:t>
      </w:r>
      <w:r>
        <w:rPr>
          <w:color w:val="231F1F"/>
          <w:w w:val="105"/>
        </w:rPr>
        <w:t>y</w:t>
      </w:r>
      <w:r>
        <w:rPr>
          <w:color w:val="231F1F"/>
          <w:spacing w:val="-2"/>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incon- tinencia</w:t>
      </w:r>
      <w:r>
        <w:rPr>
          <w:color w:val="231F1F"/>
          <w:spacing w:val="-1"/>
          <w:w w:val="105"/>
        </w:rPr>
        <w:t> </w:t>
      </w:r>
      <w:r>
        <w:rPr>
          <w:color w:val="231F1F"/>
          <w:w w:val="105"/>
        </w:rPr>
        <w:t>urinaria</w:t>
      </w:r>
      <w:r>
        <w:rPr>
          <w:color w:val="231F1F"/>
          <w:spacing w:val="-1"/>
          <w:w w:val="105"/>
        </w:rPr>
        <w:t> </w:t>
      </w:r>
      <w:r>
        <w:rPr>
          <w:color w:val="231F1F"/>
          <w:w w:val="105"/>
        </w:rPr>
        <w:t>y</w:t>
      </w:r>
      <w:r>
        <w:rPr>
          <w:color w:val="231F1F"/>
          <w:spacing w:val="-1"/>
          <w:w w:val="105"/>
        </w:rPr>
        <w:t> </w:t>
      </w:r>
      <w:r>
        <w:rPr>
          <w:color w:val="231F1F"/>
          <w:w w:val="105"/>
        </w:rPr>
        <w:t>fecal.</w:t>
      </w:r>
      <w:r>
        <w:rPr>
          <w:color w:val="231F1F"/>
          <w:spacing w:val="-1"/>
          <w:w w:val="105"/>
        </w:rPr>
        <w:t> </w:t>
      </w:r>
      <w:r>
        <w:rPr>
          <w:color w:val="231F1F"/>
          <w:w w:val="105"/>
        </w:rPr>
        <w:t>Se</w:t>
      </w:r>
      <w:r>
        <w:rPr>
          <w:color w:val="231F1F"/>
          <w:spacing w:val="-1"/>
          <w:w w:val="105"/>
        </w:rPr>
        <w:t> </w:t>
      </w:r>
      <w:r>
        <w:rPr>
          <w:color w:val="231F1F"/>
          <w:w w:val="105"/>
        </w:rPr>
        <w:t>pensaba</w:t>
      </w:r>
      <w:r>
        <w:rPr>
          <w:color w:val="231F1F"/>
          <w:spacing w:val="-1"/>
          <w:w w:val="105"/>
        </w:rPr>
        <w:t> </w:t>
      </w:r>
      <w:r>
        <w:rPr>
          <w:color w:val="231F1F"/>
          <w:w w:val="105"/>
        </w:rPr>
        <w:t>que</w:t>
      </w:r>
      <w:r>
        <w:rPr>
          <w:color w:val="231F1F"/>
          <w:spacing w:val="-1"/>
          <w:w w:val="105"/>
        </w:rPr>
        <w:t> </w:t>
      </w:r>
      <w:r>
        <w:rPr>
          <w:color w:val="231F1F"/>
          <w:w w:val="105"/>
        </w:rPr>
        <w:t>los</w:t>
      </w:r>
      <w:r>
        <w:rPr>
          <w:color w:val="231F1F"/>
          <w:spacing w:val="-1"/>
          <w:w w:val="105"/>
        </w:rPr>
        <w:t> </w:t>
      </w:r>
      <w:r>
        <w:rPr>
          <w:color w:val="231F1F"/>
          <w:w w:val="105"/>
        </w:rPr>
        <w:t>potenciales</w:t>
      </w:r>
      <w:r>
        <w:rPr>
          <w:color w:val="231F1F"/>
          <w:spacing w:val="-1"/>
          <w:w w:val="105"/>
        </w:rPr>
        <w:t> </w:t>
      </w:r>
      <w:r>
        <w:rPr>
          <w:color w:val="231F1F"/>
          <w:w w:val="105"/>
        </w:rPr>
        <w:t>beneficios</w:t>
      </w:r>
      <w:r>
        <w:rPr>
          <w:color w:val="231F1F"/>
          <w:spacing w:val="-1"/>
          <w:w w:val="105"/>
        </w:rPr>
        <w:t> </w:t>
      </w:r>
      <w:r>
        <w:rPr>
          <w:color w:val="231F1F"/>
          <w:w w:val="105"/>
        </w:rPr>
        <w:t>para</w:t>
      </w:r>
      <w:r>
        <w:rPr>
          <w:color w:val="231F1F"/>
          <w:spacing w:val="-1"/>
          <w:w w:val="105"/>
        </w:rPr>
        <w:t> </w:t>
      </w:r>
      <w:r>
        <w:rPr>
          <w:color w:val="231F1F"/>
          <w:w w:val="105"/>
        </w:rPr>
        <w:t>el</w:t>
      </w:r>
      <w:r>
        <w:rPr>
          <w:color w:val="231F1F"/>
          <w:spacing w:val="-1"/>
          <w:w w:val="105"/>
        </w:rPr>
        <w:t> </w:t>
      </w:r>
      <w:r>
        <w:rPr>
          <w:color w:val="231F1F"/>
          <w:w w:val="105"/>
        </w:rPr>
        <w:t>feto</w:t>
      </w:r>
      <w:r>
        <w:rPr>
          <w:color w:val="231F1F"/>
          <w:spacing w:val="-1"/>
          <w:w w:val="105"/>
        </w:rPr>
        <w:t> </w:t>
      </w:r>
      <w:r>
        <w:rPr>
          <w:color w:val="231F1F"/>
          <w:w w:val="105"/>
        </w:rPr>
        <w:t>eran</w:t>
      </w:r>
      <w:r>
        <w:rPr>
          <w:color w:val="231F1F"/>
          <w:spacing w:val="-1"/>
          <w:w w:val="105"/>
        </w:rPr>
        <w:t> </w:t>
      </w:r>
      <w:r>
        <w:rPr>
          <w:color w:val="231F1F"/>
          <w:w w:val="105"/>
        </w:rPr>
        <w:t>debidos a</w:t>
      </w:r>
      <w:r>
        <w:rPr>
          <w:color w:val="231F1F"/>
          <w:w w:val="105"/>
        </w:rPr>
        <w:t> un</w:t>
      </w:r>
      <w:r>
        <w:rPr>
          <w:color w:val="231F1F"/>
          <w:w w:val="105"/>
        </w:rPr>
        <w:t> acortamiento</w:t>
      </w:r>
      <w:r>
        <w:rPr>
          <w:color w:val="231F1F"/>
          <w:w w:val="105"/>
        </w:rPr>
        <w:t> del</w:t>
      </w:r>
      <w:r>
        <w:rPr>
          <w:color w:val="231F1F"/>
          <w:w w:val="105"/>
        </w:rPr>
        <w:t> periodo</w:t>
      </w:r>
      <w:r>
        <w:rPr>
          <w:color w:val="231F1F"/>
          <w:w w:val="105"/>
        </w:rPr>
        <w:t> expulsivo</w:t>
      </w:r>
      <w:r>
        <w:rPr>
          <w:color w:val="231F1F"/>
          <w:w w:val="105"/>
        </w:rPr>
        <w:t> que</w:t>
      </w:r>
      <w:r>
        <w:rPr>
          <w:color w:val="231F1F"/>
          <w:w w:val="105"/>
        </w:rPr>
        <w:t> facilitaba</w:t>
      </w:r>
      <w:r>
        <w:rPr>
          <w:color w:val="231F1F"/>
          <w:w w:val="105"/>
        </w:rPr>
        <w:t> mayor</w:t>
      </w:r>
      <w:r>
        <w:rPr>
          <w:color w:val="231F1F"/>
          <w:w w:val="105"/>
        </w:rPr>
        <w:t> número</w:t>
      </w:r>
      <w:r>
        <w:rPr>
          <w:color w:val="231F1F"/>
          <w:w w:val="105"/>
        </w:rPr>
        <w:t> de</w:t>
      </w:r>
      <w:r>
        <w:rPr>
          <w:color w:val="231F1F"/>
          <w:w w:val="105"/>
        </w:rPr>
        <w:t> partos</w:t>
      </w:r>
      <w:r>
        <w:rPr>
          <w:color w:val="231F1F"/>
          <w:w w:val="105"/>
        </w:rPr>
        <w:t> espontá- neos. A pesar de los limitados datos, la episiotomía se convirtió virtualmente en rutinaria, subestimando los</w:t>
      </w:r>
      <w:r>
        <w:rPr>
          <w:color w:val="231F1F"/>
          <w:w w:val="105"/>
        </w:rPr>
        <w:t> potenciales</w:t>
      </w:r>
      <w:r>
        <w:rPr>
          <w:color w:val="231F1F"/>
          <w:w w:val="105"/>
        </w:rPr>
        <w:t> efectos</w:t>
      </w:r>
      <w:r>
        <w:rPr>
          <w:color w:val="231F1F"/>
          <w:w w:val="105"/>
        </w:rPr>
        <w:t> adversos, incluyendo su extensión a desgarros</w:t>
      </w:r>
      <w:r>
        <w:rPr>
          <w:color w:val="231F1F"/>
          <w:w w:val="105"/>
        </w:rPr>
        <w:t> de tercer</w:t>
      </w:r>
      <w:r>
        <w:rPr>
          <w:color w:val="231F1F"/>
          <w:spacing w:val="40"/>
          <w:w w:val="105"/>
        </w:rPr>
        <w:t> </w:t>
      </w:r>
      <w:r>
        <w:rPr>
          <w:color w:val="231F1F"/>
          <w:w w:val="105"/>
        </w:rPr>
        <w:t>y</w:t>
      </w:r>
      <w:r>
        <w:rPr>
          <w:color w:val="231F1F"/>
          <w:spacing w:val="40"/>
          <w:w w:val="105"/>
        </w:rPr>
        <w:t> </w:t>
      </w:r>
      <w:r>
        <w:rPr>
          <w:color w:val="231F1F"/>
          <w:w w:val="105"/>
        </w:rPr>
        <w:t>cuarto</w:t>
      </w:r>
      <w:r>
        <w:rPr>
          <w:color w:val="231F1F"/>
          <w:spacing w:val="40"/>
          <w:w w:val="105"/>
        </w:rPr>
        <w:t> </w:t>
      </w:r>
      <w:r>
        <w:rPr>
          <w:color w:val="231F1F"/>
          <w:w w:val="105"/>
        </w:rPr>
        <w:t>grado,</w:t>
      </w:r>
      <w:r>
        <w:rPr>
          <w:color w:val="231F1F"/>
          <w:spacing w:val="40"/>
          <w:w w:val="105"/>
        </w:rPr>
        <w:t> </w:t>
      </w:r>
      <w:r>
        <w:rPr>
          <w:color w:val="231F1F"/>
          <w:w w:val="105"/>
        </w:rPr>
        <w:t>la</w:t>
      </w:r>
      <w:r>
        <w:rPr>
          <w:color w:val="231F1F"/>
          <w:spacing w:val="40"/>
          <w:w w:val="105"/>
        </w:rPr>
        <w:t> </w:t>
      </w:r>
      <w:r>
        <w:rPr>
          <w:color w:val="231F1F"/>
          <w:w w:val="105"/>
        </w:rPr>
        <w:t>disfunción</w:t>
      </w:r>
      <w:r>
        <w:rPr>
          <w:color w:val="231F1F"/>
          <w:spacing w:val="40"/>
          <w:w w:val="105"/>
        </w:rPr>
        <w:t> </w:t>
      </w:r>
      <w:r>
        <w:rPr>
          <w:color w:val="231F1F"/>
          <w:w w:val="105"/>
        </w:rPr>
        <w:t>del</w:t>
      </w:r>
      <w:r>
        <w:rPr>
          <w:color w:val="231F1F"/>
          <w:spacing w:val="40"/>
          <w:w w:val="105"/>
        </w:rPr>
        <w:t> </w:t>
      </w:r>
      <w:r>
        <w:rPr>
          <w:color w:val="231F1F"/>
          <w:w w:val="105"/>
        </w:rPr>
        <w:t>esfínter</w:t>
      </w:r>
      <w:r>
        <w:rPr>
          <w:color w:val="231F1F"/>
          <w:spacing w:val="40"/>
          <w:w w:val="105"/>
        </w:rPr>
        <w:t> </w:t>
      </w:r>
      <w:r>
        <w:rPr>
          <w:color w:val="231F1F"/>
          <w:w w:val="105"/>
        </w:rPr>
        <w:t>anal</w:t>
      </w:r>
      <w:r>
        <w:rPr>
          <w:color w:val="231F1F"/>
          <w:spacing w:val="40"/>
          <w:w w:val="105"/>
        </w:rPr>
        <w:t> </w:t>
      </w:r>
      <w:r>
        <w:rPr>
          <w:color w:val="231F1F"/>
          <w:w w:val="105"/>
        </w:rPr>
        <w:t>y</w:t>
      </w:r>
      <w:r>
        <w:rPr>
          <w:color w:val="231F1F"/>
          <w:spacing w:val="40"/>
          <w:w w:val="105"/>
        </w:rPr>
        <w:t> </w:t>
      </w:r>
      <w:r>
        <w:rPr>
          <w:color w:val="231F1F"/>
          <w:w w:val="105"/>
        </w:rPr>
        <w:t>la</w:t>
      </w:r>
      <w:r>
        <w:rPr>
          <w:color w:val="231F1F"/>
          <w:spacing w:val="40"/>
          <w:w w:val="105"/>
        </w:rPr>
        <w:t> </w:t>
      </w:r>
      <w:r>
        <w:rPr>
          <w:color w:val="231F1F"/>
          <w:w w:val="105"/>
        </w:rPr>
        <w:t>dispareunia.</w:t>
      </w:r>
    </w:p>
    <w:p>
      <w:pPr>
        <w:pStyle w:val="BodyText"/>
        <w:spacing w:before="160"/>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4" w:lineRule="auto" w:before="210"/>
        <w:ind w:left="287" w:right="1444"/>
        <w:jc w:val="both"/>
      </w:pPr>
      <w:r>
        <w:rPr>
          <w:color w:val="231F1F"/>
          <w:w w:val="105"/>
        </w:rPr>
        <w:t>NICE incluye una RS (141) que analiza los resultados de mujeres en las que se</w:t>
      </w:r>
      <w:r>
        <w:rPr>
          <w:color w:val="231F1F"/>
          <w:w w:val="105"/>
        </w:rPr>
        <w:t> ha</w:t>
      </w:r>
      <w:r>
        <w:rPr>
          <w:color w:val="231F1F"/>
          <w:w w:val="105"/>
        </w:rPr>
        <w:t> realizado</w:t>
      </w:r>
      <w:r>
        <w:rPr>
          <w:color w:val="231F1F"/>
          <w:w w:val="105"/>
        </w:rPr>
        <w:t> episiotomía</w:t>
      </w:r>
      <w:r>
        <w:rPr>
          <w:color w:val="231F1F"/>
          <w:w w:val="105"/>
        </w:rPr>
        <w:t> sistemáticamente</w:t>
      </w:r>
      <w:r>
        <w:rPr>
          <w:color w:val="231F1F"/>
          <w:w w:val="105"/>
        </w:rPr>
        <w:t> vs</w:t>
      </w:r>
      <w:r>
        <w:rPr>
          <w:color w:val="231F1F"/>
          <w:w w:val="105"/>
        </w:rPr>
        <w:t> episiotomía</w:t>
      </w:r>
      <w:r>
        <w:rPr>
          <w:color w:val="231F1F"/>
          <w:w w:val="105"/>
        </w:rPr>
        <w:t> restrictiva.</w:t>
      </w:r>
      <w:r>
        <w:rPr>
          <w:color w:val="231F1F"/>
          <w:w w:val="105"/>
        </w:rPr>
        <w:t> La revisión incluye siete ECAs con un total de 5.001 mujeres y ocho estudios de cohortes</w:t>
      </w:r>
      <w:r>
        <w:rPr>
          <w:color w:val="231F1F"/>
          <w:w w:val="105"/>
        </w:rPr>
        <w:t> con</w:t>
      </w:r>
      <w:r>
        <w:rPr>
          <w:color w:val="231F1F"/>
          <w:w w:val="105"/>
        </w:rPr>
        <w:t> 6.463</w:t>
      </w:r>
      <w:r>
        <w:rPr>
          <w:color w:val="231F1F"/>
          <w:w w:val="105"/>
        </w:rPr>
        <w:t> mujeres.</w:t>
      </w:r>
      <w:r>
        <w:rPr>
          <w:color w:val="231F1F"/>
          <w:w w:val="105"/>
        </w:rPr>
        <w:t> Dentro</w:t>
      </w:r>
      <w:r>
        <w:rPr>
          <w:color w:val="231F1F"/>
          <w:w w:val="105"/>
        </w:rPr>
        <w:t> de</w:t>
      </w:r>
      <w:r>
        <w:rPr>
          <w:color w:val="231F1F"/>
          <w:w w:val="105"/>
        </w:rPr>
        <w:t> la</w:t>
      </w:r>
      <w:r>
        <w:rPr>
          <w:color w:val="231F1F"/>
          <w:w w:val="105"/>
        </w:rPr>
        <w:t> revisión</w:t>
      </w:r>
      <w:r>
        <w:rPr>
          <w:color w:val="231F1F"/>
          <w:w w:val="105"/>
        </w:rPr>
        <w:t> realizan</w:t>
      </w:r>
      <w:r>
        <w:rPr>
          <w:color w:val="231F1F"/>
          <w:w w:val="105"/>
        </w:rPr>
        <w:t> un</w:t>
      </w:r>
      <w:r>
        <w:rPr>
          <w:color w:val="231F1F"/>
          <w:w w:val="105"/>
        </w:rPr>
        <w:t> metaanálisis para evaluar el dolor o la incontinencia, entre otros resultados.</w:t>
      </w:r>
    </w:p>
    <w:p>
      <w:pPr>
        <w:pStyle w:val="BodyText"/>
        <w:tabs>
          <w:tab w:pos="7808" w:val="left" w:leader="none"/>
          <w:tab w:pos="8002" w:val="left" w:leader="none"/>
          <w:tab w:pos="8126" w:val="left" w:leader="none"/>
        </w:tabs>
        <w:spacing w:line="244" w:lineRule="auto" w:before="118"/>
        <w:ind w:left="287" w:right="294" w:firstLine="506"/>
        <w:rPr>
          <w:rFonts w:ascii="Arial MT" w:hAnsi="Arial MT"/>
          <w:position w:val="7"/>
          <w:sz w:val="18"/>
        </w:rPr>
      </w:pPr>
      <w:r>
        <w:rPr>
          <w:color w:val="231F1F"/>
        </w:rPr>
        <w:t>En el ensayo considerado de mejor calidad (n=1.000), la incidencia de</w:t>
        <w:tab/>
      </w:r>
      <w:r>
        <w:rPr>
          <w:rFonts w:ascii="Arial MT" w:hAnsi="Arial MT"/>
          <w:color w:val="231F1F"/>
          <w:spacing w:val="-2"/>
          <w:sz w:val="18"/>
        </w:rPr>
        <w:t>RS-MA</w:t>
      </w:r>
      <w:r>
        <w:rPr>
          <w:rFonts w:ascii="Arial MT" w:hAnsi="Arial MT"/>
          <w:color w:val="231F1F"/>
          <w:spacing w:val="-16"/>
          <w:sz w:val="18"/>
        </w:rPr>
        <w:t> </w:t>
      </w:r>
      <w:r>
        <w:rPr>
          <w:rFonts w:ascii="Arial MT" w:hAnsi="Arial MT"/>
          <w:color w:val="231F1F"/>
          <w:spacing w:val="-2"/>
          <w:sz w:val="18"/>
        </w:rPr>
        <w:t>de </w:t>
      </w:r>
      <w:r>
        <w:rPr>
          <w:color w:val="231F1F"/>
        </w:rPr>
        <w:t>perineo intacto fue del 33,9% en el grupo de episiotomía restrictiva y del 24%</w:t>
        <w:tab/>
        <w:tab/>
      </w:r>
      <w:r>
        <w:rPr>
          <w:rFonts w:ascii="Arial MT" w:hAnsi="Arial MT"/>
          <w:color w:val="231F1F"/>
          <w:spacing w:val="-4"/>
          <w:position w:val="1"/>
          <w:sz w:val="18"/>
        </w:rPr>
        <w:t>ECAs </w:t>
      </w:r>
      <w:r>
        <w:rPr>
          <w:color w:val="231F1F"/>
        </w:rPr>
        <w:t>en el de episiotomía sistemática. En el ensayo de mayor participación (n=2.606)</w:t>
        <w:tab/>
        <w:tab/>
        <w:tab/>
      </w:r>
      <w:r>
        <w:rPr>
          <w:rFonts w:ascii="Arial MT" w:hAnsi="Arial MT"/>
          <w:color w:val="231F1F"/>
          <w:spacing w:val="-6"/>
          <w:position w:val="7"/>
          <w:sz w:val="18"/>
        </w:rPr>
        <w:t>1+</w:t>
      </w:r>
    </w:p>
    <w:p>
      <w:pPr>
        <w:pStyle w:val="BodyText"/>
        <w:spacing w:line="261" w:lineRule="auto" w:before="13"/>
        <w:ind w:left="287" w:right="1414"/>
        <w:jc w:val="both"/>
      </w:pPr>
      <w:r>
        <w:rPr>
          <w:color w:val="231F1F"/>
        </w:rPr>
        <w:t>la</w:t>
      </w:r>
      <w:r>
        <w:rPr>
          <w:color w:val="231F1F"/>
          <w:spacing w:val="27"/>
        </w:rPr>
        <w:t> </w:t>
      </w:r>
      <w:r>
        <w:rPr>
          <w:color w:val="231F1F"/>
        </w:rPr>
        <w:t>necesidad</w:t>
      </w:r>
      <w:r>
        <w:rPr>
          <w:color w:val="231F1F"/>
          <w:spacing w:val="28"/>
        </w:rPr>
        <w:t> </w:t>
      </w:r>
      <w:r>
        <w:rPr>
          <w:color w:val="231F1F"/>
        </w:rPr>
        <w:t>de</w:t>
      </w:r>
      <w:r>
        <w:rPr>
          <w:color w:val="231F1F"/>
          <w:spacing w:val="27"/>
        </w:rPr>
        <w:t> </w:t>
      </w:r>
      <w:r>
        <w:rPr>
          <w:color w:val="231F1F"/>
        </w:rPr>
        <w:t>reparación</w:t>
      </w:r>
      <w:r>
        <w:rPr>
          <w:color w:val="231F1F"/>
          <w:spacing w:val="28"/>
        </w:rPr>
        <w:t> </w:t>
      </w:r>
      <w:r>
        <w:rPr>
          <w:color w:val="231F1F"/>
        </w:rPr>
        <w:t>quirúrgica</w:t>
      </w:r>
      <w:r>
        <w:rPr>
          <w:color w:val="231F1F"/>
          <w:spacing w:val="27"/>
        </w:rPr>
        <w:t> </w:t>
      </w:r>
      <w:r>
        <w:rPr>
          <w:color w:val="231F1F"/>
        </w:rPr>
        <w:t>fue</w:t>
      </w:r>
      <w:r>
        <w:rPr>
          <w:color w:val="231F1F"/>
          <w:spacing w:val="28"/>
        </w:rPr>
        <w:t> </w:t>
      </w:r>
      <w:r>
        <w:rPr>
          <w:color w:val="231F1F"/>
        </w:rPr>
        <w:t>del</w:t>
      </w:r>
      <w:r>
        <w:rPr>
          <w:color w:val="231F1F"/>
          <w:spacing w:val="27"/>
        </w:rPr>
        <w:t> </w:t>
      </w:r>
      <w:r>
        <w:rPr>
          <w:color w:val="231F1F"/>
        </w:rPr>
        <w:t>63%</w:t>
      </w:r>
      <w:r>
        <w:rPr>
          <w:color w:val="231F1F"/>
          <w:spacing w:val="27"/>
        </w:rPr>
        <w:t> </w:t>
      </w:r>
      <w:r>
        <w:rPr>
          <w:color w:val="231F1F"/>
        </w:rPr>
        <w:t>en</w:t>
      </w:r>
      <w:r>
        <w:rPr>
          <w:color w:val="231F1F"/>
          <w:spacing w:val="28"/>
        </w:rPr>
        <w:t> </w:t>
      </w:r>
      <w:r>
        <w:rPr>
          <w:color w:val="231F1F"/>
        </w:rPr>
        <w:t>el</w:t>
      </w:r>
      <w:r>
        <w:rPr>
          <w:color w:val="231F1F"/>
          <w:spacing w:val="27"/>
        </w:rPr>
        <w:t> </w:t>
      </w:r>
      <w:r>
        <w:rPr>
          <w:color w:val="231F1F"/>
        </w:rPr>
        <w:t>grupo</w:t>
      </w:r>
      <w:r>
        <w:rPr>
          <w:color w:val="231F1F"/>
          <w:spacing w:val="27"/>
        </w:rPr>
        <w:t> </w:t>
      </w:r>
      <w:r>
        <w:rPr>
          <w:color w:val="231F1F"/>
        </w:rPr>
        <w:t>restrictivo</w:t>
      </w:r>
      <w:r>
        <w:rPr>
          <w:color w:val="231F1F"/>
          <w:spacing w:val="28"/>
        </w:rPr>
        <w:t> </w:t>
      </w:r>
      <w:r>
        <w:rPr>
          <w:color w:val="231F1F"/>
        </w:rPr>
        <w:t>y</w:t>
      </w:r>
      <w:r>
        <w:rPr>
          <w:color w:val="231F1F"/>
          <w:spacing w:val="27"/>
        </w:rPr>
        <w:t> </w:t>
      </w:r>
      <w:r>
        <w:rPr>
          <w:color w:val="231F1F"/>
        </w:rPr>
        <w:t>de un 88% en el grupo de episiotomía sistemática. En los otros cinco ensayos, la necesidad</w:t>
      </w:r>
      <w:r>
        <w:rPr>
          <w:color w:val="231F1F"/>
          <w:spacing w:val="40"/>
        </w:rPr>
        <w:t> </w:t>
      </w:r>
      <w:r>
        <w:rPr>
          <w:color w:val="231F1F"/>
        </w:rPr>
        <w:t>de</w:t>
      </w:r>
      <w:r>
        <w:rPr>
          <w:color w:val="231F1F"/>
          <w:spacing w:val="40"/>
        </w:rPr>
        <w:t> </w:t>
      </w:r>
      <w:r>
        <w:rPr>
          <w:color w:val="231F1F"/>
        </w:rPr>
        <w:t>reparación</w:t>
      </w:r>
      <w:r>
        <w:rPr>
          <w:color w:val="231F1F"/>
          <w:spacing w:val="40"/>
        </w:rPr>
        <w:t> </w:t>
      </w:r>
      <w:r>
        <w:rPr>
          <w:color w:val="231F1F"/>
        </w:rPr>
        <w:t>perineal</w:t>
      </w:r>
      <w:r>
        <w:rPr>
          <w:color w:val="231F1F"/>
          <w:spacing w:val="40"/>
        </w:rPr>
        <w:t> </w:t>
      </w:r>
      <w:r>
        <w:rPr>
          <w:color w:val="231F1F"/>
        </w:rPr>
        <w:t>también</w:t>
      </w:r>
      <w:r>
        <w:rPr>
          <w:color w:val="231F1F"/>
          <w:spacing w:val="40"/>
        </w:rPr>
        <w:t> </w:t>
      </w:r>
      <w:r>
        <w:rPr>
          <w:color w:val="231F1F"/>
        </w:rPr>
        <w:t>fue</w:t>
      </w:r>
      <w:r>
        <w:rPr>
          <w:color w:val="231F1F"/>
          <w:spacing w:val="40"/>
        </w:rPr>
        <w:t> </w:t>
      </w:r>
      <w:r>
        <w:rPr>
          <w:color w:val="231F1F"/>
        </w:rPr>
        <w:t>menos</w:t>
      </w:r>
      <w:r>
        <w:rPr>
          <w:color w:val="231F1F"/>
          <w:spacing w:val="40"/>
        </w:rPr>
        <w:t> </w:t>
      </w:r>
      <w:r>
        <w:rPr>
          <w:color w:val="231F1F"/>
        </w:rPr>
        <w:t>frecuente</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grupo</w:t>
      </w:r>
      <w:r>
        <w:rPr>
          <w:color w:val="231F1F"/>
          <w:spacing w:val="80"/>
        </w:rPr>
        <w:t> </w:t>
      </w:r>
      <w:r>
        <w:rPr>
          <w:color w:val="231F1F"/>
        </w:rPr>
        <w:t>de episiotomía restrictiva: RR 0,46 [IC 95% 0,30 a 0,70] y la necesidad de cualquier tipo de sutura, un 26% más alta en el grupo de episiotomía sistemá-</w:t>
      </w:r>
      <w:r>
        <w:rPr>
          <w:color w:val="231F1F"/>
          <w:spacing w:val="40"/>
        </w:rPr>
        <w:t> </w:t>
      </w:r>
      <w:r>
        <w:rPr>
          <w:color w:val="231F1F"/>
        </w:rPr>
        <w:t>tica: RR 1,26 [IC 95% 1,08 a 1,48]). La potencia estadística de los siete ECAs</w:t>
      </w:r>
      <w:r>
        <w:rPr>
          <w:color w:val="231F1F"/>
          <w:spacing w:val="80"/>
        </w:rPr>
        <w:t> </w:t>
      </w:r>
      <w:r>
        <w:rPr>
          <w:color w:val="231F1F"/>
        </w:rPr>
        <w:t>fue</w:t>
      </w:r>
      <w:r>
        <w:rPr>
          <w:color w:val="231F1F"/>
          <w:spacing w:val="26"/>
        </w:rPr>
        <w:t> </w:t>
      </w:r>
      <w:r>
        <w:rPr>
          <w:color w:val="231F1F"/>
        </w:rPr>
        <w:t>baja</w:t>
      </w:r>
      <w:r>
        <w:rPr>
          <w:color w:val="231F1F"/>
          <w:spacing w:val="27"/>
        </w:rPr>
        <w:t> </w:t>
      </w:r>
      <w:r>
        <w:rPr>
          <w:color w:val="231F1F"/>
        </w:rPr>
        <w:t>para</w:t>
      </w:r>
      <w:r>
        <w:rPr>
          <w:color w:val="231F1F"/>
          <w:spacing w:val="26"/>
        </w:rPr>
        <w:t> </w:t>
      </w:r>
      <w:r>
        <w:rPr>
          <w:color w:val="231F1F"/>
        </w:rPr>
        <w:t>detectar</w:t>
      </w:r>
      <w:r>
        <w:rPr>
          <w:color w:val="231F1F"/>
          <w:spacing w:val="27"/>
        </w:rPr>
        <w:t> </w:t>
      </w:r>
      <w:r>
        <w:rPr>
          <w:color w:val="231F1F"/>
        </w:rPr>
        <w:t>diferencias</w:t>
      </w:r>
      <w:r>
        <w:rPr>
          <w:color w:val="231F1F"/>
          <w:spacing w:val="26"/>
        </w:rPr>
        <w:t> </w:t>
      </w:r>
      <w:r>
        <w:rPr>
          <w:color w:val="231F1F"/>
        </w:rPr>
        <w:t>en</w:t>
      </w:r>
      <w:r>
        <w:rPr>
          <w:color w:val="231F1F"/>
          <w:spacing w:val="27"/>
        </w:rPr>
        <w:t> </w:t>
      </w:r>
      <w:r>
        <w:rPr>
          <w:color w:val="231F1F"/>
        </w:rPr>
        <w:t>el</w:t>
      </w:r>
      <w:r>
        <w:rPr>
          <w:color w:val="231F1F"/>
          <w:spacing w:val="26"/>
        </w:rPr>
        <w:t> </w:t>
      </w:r>
      <w:r>
        <w:rPr>
          <w:color w:val="231F1F"/>
        </w:rPr>
        <w:t>desgarro</w:t>
      </w:r>
      <w:r>
        <w:rPr>
          <w:color w:val="231F1F"/>
          <w:spacing w:val="27"/>
        </w:rPr>
        <w:t> </w:t>
      </w:r>
      <w:r>
        <w:rPr>
          <w:color w:val="231F1F"/>
        </w:rPr>
        <w:t>de</w:t>
      </w:r>
      <w:r>
        <w:rPr>
          <w:color w:val="231F1F"/>
          <w:spacing w:val="26"/>
        </w:rPr>
        <w:t> </w:t>
      </w:r>
      <w:r>
        <w:rPr>
          <w:color w:val="231F1F"/>
        </w:rPr>
        <w:t>tercer</w:t>
      </w:r>
      <w:r>
        <w:rPr>
          <w:color w:val="231F1F"/>
          <w:spacing w:val="27"/>
        </w:rPr>
        <w:t> </w:t>
      </w:r>
      <w:r>
        <w:rPr>
          <w:color w:val="231F1F"/>
        </w:rPr>
        <w:t>y</w:t>
      </w:r>
      <w:r>
        <w:rPr>
          <w:color w:val="231F1F"/>
          <w:spacing w:val="26"/>
        </w:rPr>
        <w:t> </w:t>
      </w:r>
      <w:r>
        <w:rPr>
          <w:color w:val="231F1F"/>
        </w:rPr>
        <w:t>cuarto</w:t>
      </w:r>
      <w:r>
        <w:rPr>
          <w:color w:val="231F1F"/>
          <w:spacing w:val="27"/>
        </w:rPr>
        <w:t> </w:t>
      </w:r>
      <w:r>
        <w:rPr>
          <w:color w:val="231F1F"/>
        </w:rPr>
        <w:t>grado</w:t>
      </w:r>
      <w:r>
        <w:rPr>
          <w:color w:val="231F1F"/>
          <w:spacing w:val="26"/>
        </w:rPr>
        <w:t> </w:t>
      </w:r>
      <w:r>
        <w:rPr>
          <w:color w:val="231F1F"/>
        </w:rPr>
        <w:t>entre los</w:t>
      </w:r>
      <w:r>
        <w:rPr>
          <w:color w:val="231F1F"/>
          <w:spacing w:val="40"/>
        </w:rPr>
        <w:t> </w:t>
      </w:r>
      <w:r>
        <w:rPr>
          <w:color w:val="231F1F"/>
        </w:rPr>
        <w:t>dos</w:t>
      </w:r>
      <w:r>
        <w:rPr>
          <w:color w:val="231F1F"/>
          <w:spacing w:val="40"/>
        </w:rPr>
        <w:t> </w:t>
      </w:r>
      <w:r>
        <w:rPr>
          <w:color w:val="231F1F"/>
        </w:rPr>
        <w:t>grupos,</w:t>
      </w:r>
      <w:r>
        <w:rPr>
          <w:color w:val="231F1F"/>
          <w:spacing w:val="40"/>
        </w:rPr>
        <w:t> </w:t>
      </w:r>
      <w:r>
        <w:rPr>
          <w:color w:val="231F1F"/>
        </w:rPr>
        <w:t>siendo</w:t>
      </w:r>
      <w:r>
        <w:rPr>
          <w:color w:val="231F1F"/>
          <w:spacing w:val="40"/>
        </w:rPr>
        <w:t> </w:t>
      </w:r>
      <w:r>
        <w:rPr>
          <w:color w:val="231F1F"/>
        </w:rPr>
        <w:t>la</w:t>
      </w:r>
      <w:r>
        <w:rPr>
          <w:color w:val="231F1F"/>
          <w:spacing w:val="40"/>
        </w:rPr>
        <w:t> </w:t>
      </w:r>
      <w:r>
        <w:rPr>
          <w:color w:val="231F1F"/>
        </w:rPr>
        <w:t>incidencia</w:t>
      </w:r>
      <w:r>
        <w:rPr>
          <w:color w:val="231F1F"/>
          <w:spacing w:val="40"/>
        </w:rPr>
        <w:t> </w:t>
      </w:r>
      <w:r>
        <w:rPr>
          <w:color w:val="231F1F"/>
        </w:rPr>
        <w:t>de</w:t>
      </w:r>
      <w:r>
        <w:rPr>
          <w:color w:val="231F1F"/>
          <w:spacing w:val="40"/>
        </w:rPr>
        <w:t> </w:t>
      </w:r>
      <w:r>
        <w:rPr>
          <w:color w:val="231F1F"/>
        </w:rPr>
        <w:t>105/5.001.</w:t>
      </w:r>
    </w:p>
    <w:p>
      <w:pPr>
        <w:pStyle w:val="BodyText"/>
        <w:tabs>
          <w:tab w:pos="7808" w:val="left" w:leader="none"/>
          <w:tab w:pos="8002" w:val="left" w:leader="none"/>
          <w:tab w:pos="8126" w:val="left" w:leader="none"/>
        </w:tabs>
        <w:spacing w:line="242" w:lineRule="auto" w:before="89"/>
        <w:ind w:left="287" w:right="291" w:firstLine="477"/>
        <w:rPr>
          <w:rFonts w:ascii="Arial MT" w:hAnsi="Arial MT"/>
          <w:position w:val="7"/>
          <w:sz w:val="18"/>
        </w:rPr>
      </w:pPr>
      <w:r>
        <w:rPr>
          <w:color w:val="231F1F"/>
        </w:rPr>
        <w:t>Otro de los puntos analizados por la RS fue el dolor, evaluado en cinco</w:t>
        <w:tab/>
      </w:r>
      <w:r>
        <w:rPr>
          <w:rFonts w:ascii="Arial MT" w:hAnsi="Arial MT"/>
          <w:color w:val="231F1F"/>
          <w:spacing w:val="-2"/>
          <w:sz w:val="18"/>
        </w:rPr>
        <w:t>RS-MA</w:t>
      </w:r>
      <w:r>
        <w:rPr>
          <w:rFonts w:ascii="Arial MT" w:hAnsi="Arial MT"/>
          <w:color w:val="231F1F"/>
          <w:spacing w:val="-11"/>
          <w:sz w:val="18"/>
        </w:rPr>
        <w:t> </w:t>
      </w:r>
      <w:r>
        <w:rPr>
          <w:rFonts w:ascii="Arial MT" w:hAnsi="Arial MT"/>
          <w:color w:val="231F1F"/>
          <w:spacing w:val="-2"/>
          <w:sz w:val="18"/>
        </w:rPr>
        <w:t>de </w:t>
      </w:r>
      <w:r>
        <w:rPr>
          <w:color w:val="231F1F"/>
          <w:w w:val="105"/>
        </w:rPr>
        <w:t>ECAs. La intensidad del dolor para el grupo de episiotomía rutinaria (n=885)</w:t>
      </w:r>
      <w:r>
        <w:rPr>
          <w:color w:val="231F1F"/>
        </w:rPr>
        <w:tab/>
        <w:tab/>
      </w:r>
      <w:r>
        <w:rPr>
          <w:rFonts w:ascii="Arial MT" w:hAnsi="Arial MT"/>
          <w:color w:val="231F1F"/>
          <w:spacing w:val="-4"/>
          <w:w w:val="105"/>
          <w:position w:val="1"/>
          <w:sz w:val="18"/>
        </w:rPr>
        <w:t>ECAs </w:t>
      </w:r>
      <w:r>
        <w:rPr>
          <w:color w:val="231F1F"/>
          <w:w w:val="105"/>
        </w:rPr>
        <w:t>fue: leve en un 14,6%, moderado 7,8% e intenso 0,2%, mientras en el grupo</w:t>
      </w:r>
      <w:r>
        <w:rPr>
          <w:color w:val="231F1F"/>
        </w:rPr>
        <w:tab/>
        <w:tab/>
        <w:tab/>
      </w:r>
      <w:r>
        <w:rPr>
          <w:rFonts w:ascii="Arial MT" w:hAnsi="Arial MT"/>
          <w:color w:val="231F1F"/>
          <w:spacing w:val="-6"/>
          <w:w w:val="105"/>
          <w:position w:val="7"/>
          <w:sz w:val="18"/>
        </w:rPr>
        <w:t>1+</w:t>
      </w:r>
    </w:p>
    <w:p>
      <w:pPr>
        <w:pStyle w:val="BodyText"/>
        <w:spacing w:line="252" w:lineRule="auto" w:before="1"/>
        <w:ind w:left="287" w:right="1401"/>
        <w:jc w:val="both"/>
      </w:pPr>
      <w:r>
        <w:rPr>
          <w:color w:val="231F1F"/>
          <w:w w:val="105"/>
        </w:rPr>
        <w:t>de uso restrictivo (n=1.000) fue de 14,1%, 7,5% y 0,9%, respectivamente. La toma</w:t>
      </w:r>
      <w:r>
        <w:rPr>
          <w:color w:val="231F1F"/>
          <w:spacing w:val="-3"/>
          <w:w w:val="105"/>
        </w:rPr>
        <w:t> </w:t>
      </w:r>
      <w:r>
        <w:rPr>
          <w:color w:val="231F1F"/>
          <w:w w:val="105"/>
        </w:rPr>
        <w:t>de</w:t>
      </w:r>
      <w:r>
        <w:rPr>
          <w:color w:val="231F1F"/>
          <w:spacing w:val="-4"/>
          <w:w w:val="105"/>
        </w:rPr>
        <w:t> </w:t>
      </w:r>
      <w:r>
        <w:rPr>
          <w:color w:val="231F1F"/>
          <w:w w:val="105"/>
        </w:rPr>
        <w:t>analgésicos</w:t>
      </w:r>
      <w:r>
        <w:rPr>
          <w:color w:val="231F1F"/>
          <w:spacing w:val="-3"/>
          <w:w w:val="105"/>
        </w:rPr>
        <w:t> </w:t>
      </w:r>
      <w:r>
        <w:rPr>
          <w:color w:val="231F1F"/>
          <w:w w:val="105"/>
        </w:rPr>
        <w:t>y</w:t>
      </w:r>
      <w:r>
        <w:rPr>
          <w:color w:val="231F1F"/>
          <w:spacing w:val="-3"/>
          <w:w w:val="105"/>
        </w:rPr>
        <w:t> </w:t>
      </w:r>
      <w:r>
        <w:rPr>
          <w:color w:val="231F1F"/>
          <w:w w:val="105"/>
        </w:rPr>
        <w:t>la</w:t>
      </w:r>
      <w:r>
        <w:rPr>
          <w:color w:val="231F1F"/>
          <w:spacing w:val="-3"/>
          <w:w w:val="105"/>
        </w:rPr>
        <w:t> </w:t>
      </w:r>
      <w:r>
        <w:rPr>
          <w:color w:val="231F1F"/>
          <w:w w:val="105"/>
        </w:rPr>
        <w:t>valoración</w:t>
      </w:r>
      <w:r>
        <w:rPr>
          <w:color w:val="231F1F"/>
          <w:spacing w:val="-4"/>
          <w:w w:val="105"/>
        </w:rPr>
        <w:t> </w:t>
      </w:r>
      <w:r>
        <w:rPr>
          <w:color w:val="231F1F"/>
          <w:w w:val="105"/>
        </w:rPr>
        <w:t>del</w:t>
      </w:r>
      <w:r>
        <w:rPr>
          <w:color w:val="231F1F"/>
          <w:spacing w:val="-3"/>
          <w:w w:val="105"/>
        </w:rPr>
        <w:t> </w:t>
      </w:r>
      <w:r>
        <w:rPr>
          <w:color w:val="231F1F"/>
          <w:w w:val="105"/>
        </w:rPr>
        <w:t>dolor</w:t>
      </w:r>
      <w:r>
        <w:rPr>
          <w:color w:val="231F1F"/>
          <w:spacing w:val="-4"/>
          <w:w w:val="105"/>
        </w:rPr>
        <w:t> </w:t>
      </w:r>
      <w:r>
        <w:rPr>
          <w:color w:val="231F1F"/>
          <w:w w:val="105"/>
        </w:rPr>
        <w:t>a</w:t>
      </w:r>
      <w:r>
        <w:rPr>
          <w:color w:val="231F1F"/>
          <w:spacing w:val="-3"/>
          <w:w w:val="105"/>
        </w:rPr>
        <w:t> </w:t>
      </w:r>
      <w:r>
        <w:rPr>
          <w:color w:val="231F1F"/>
          <w:w w:val="105"/>
        </w:rPr>
        <w:t>los</w:t>
      </w:r>
      <w:r>
        <w:rPr>
          <w:color w:val="231F1F"/>
          <w:spacing w:val="-3"/>
          <w:w w:val="105"/>
        </w:rPr>
        <w:t> </w:t>
      </w:r>
      <w:r>
        <w:rPr>
          <w:color w:val="231F1F"/>
          <w:w w:val="105"/>
        </w:rPr>
        <w:t>tres</w:t>
      </w:r>
      <w:r>
        <w:rPr>
          <w:color w:val="231F1F"/>
          <w:spacing w:val="-3"/>
          <w:w w:val="105"/>
        </w:rPr>
        <w:t> </w:t>
      </w:r>
      <w:r>
        <w:rPr>
          <w:color w:val="231F1F"/>
          <w:w w:val="105"/>
        </w:rPr>
        <w:t>meses</w:t>
      </w:r>
      <w:r>
        <w:rPr>
          <w:color w:val="231F1F"/>
          <w:spacing w:val="-3"/>
          <w:w w:val="105"/>
        </w:rPr>
        <w:t> </w:t>
      </w:r>
      <w:r>
        <w:rPr>
          <w:color w:val="231F1F"/>
          <w:w w:val="105"/>
        </w:rPr>
        <w:t>fueron</w:t>
      </w:r>
      <w:r>
        <w:rPr>
          <w:color w:val="231F1F"/>
          <w:spacing w:val="-3"/>
          <w:w w:val="105"/>
        </w:rPr>
        <w:t> </w:t>
      </w:r>
      <w:r>
        <w:rPr>
          <w:color w:val="231F1F"/>
          <w:w w:val="105"/>
        </w:rPr>
        <w:t>similares en</w:t>
      </w:r>
      <w:r>
        <w:rPr>
          <w:color w:val="231F1F"/>
          <w:w w:val="105"/>
        </w:rPr>
        <w:t> ambos</w:t>
      </w:r>
      <w:r>
        <w:rPr>
          <w:color w:val="231F1F"/>
          <w:w w:val="105"/>
        </w:rPr>
        <w:t> grupos.</w:t>
      </w:r>
      <w:r>
        <w:rPr>
          <w:color w:val="231F1F"/>
          <w:w w:val="105"/>
        </w:rPr>
        <w:t> El</w:t>
      </w:r>
      <w:r>
        <w:rPr>
          <w:color w:val="231F1F"/>
          <w:w w:val="105"/>
        </w:rPr>
        <w:t> estudio</w:t>
      </w:r>
      <w:r>
        <w:rPr>
          <w:color w:val="231F1F"/>
          <w:w w:val="105"/>
        </w:rPr>
        <w:t> con</w:t>
      </w:r>
      <w:r>
        <w:rPr>
          <w:color w:val="231F1F"/>
          <w:w w:val="105"/>
        </w:rPr>
        <w:t> mayor</w:t>
      </w:r>
      <w:r>
        <w:rPr>
          <w:color w:val="231F1F"/>
          <w:w w:val="105"/>
        </w:rPr>
        <w:t> participación</w:t>
      </w:r>
      <w:r>
        <w:rPr>
          <w:color w:val="231F1F"/>
          <w:w w:val="105"/>
        </w:rPr>
        <w:t> (n=2.422)</w:t>
      </w:r>
      <w:r>
        <w:rPr>
          <w:color w:val="231F1F"/>
          <w:w w:val="105"/>
        </w:rPr>
        <w:t> informó</w:t>
      </w:r>
      <w:r>
        <w:rPr>
          <w:color w:val="231F1F"/>
          <w:w w:val="105"/>
        </w:rPr>
        <w:t> de dolor en el día de alta en el 42,5% de mujeres del grupo de episiotomía siste- mática</w:t>
      </w:r>
      <w:r>
        <w:rPr>
          <w:color w:val="231F1F"/>
          <w:w w:val="105"/>
        </w:rPr>
        <w:t> frente</w:t>
      </w:r>
      <w:r>
        <w:rPr>
          <w:color w:val="231F1F"/>
          <w:w w:val="105"/>
        </w:rPr>
        <w:t> al</w:t>
      </w:r>
      <w:r>
        <w:rPr>
          <w:color w:val="231F1F"/>
          <w:w w:val="105"/>
        </w:rPr>
        <w:t> 30,7%</w:t>
      </w:r>
      <w:r>
        <w:rPr>
          <w:color w:val="231F1F"/>
          <w:w w:val="105"/>
        </w:rPr>
        <w:t> del</w:t>
      </w:r>
      <w:r>
        <w:rPr>
          <w:color w:val="231F1F"/>
          <w:w w:val="105"/>
        </w:rPr>
        <w:t> grupo</w:t>
      </w:r>
      <w:r>
        <w:rPr>
          <w:color w:val="231F1F"/>
          <w:w w:val="105"/>
        </w:rPr>
        <w:t> de</w:t>
      </w:r>
      <w:r>
        <w:rPr>
          <w:color w:val="231F1F"/>
          <w:w w:val="105"/>
        </w:rPr>
        <w:t> episiotomía</w:t>
      </w:r>
      <w:r>
        <w:rPr>
          <w:color w:val="231F1F"/>
          <w:w w:val="105"/>
        </w:rPr>
        <w:t> restrictiva.</w:t>
      </w:r>
      <w:r>
        <w:rPr>
          <w:color w:val="231F1F"/>
          <w:w w:val="105"/>
        </w:rPr>
        <w:t> Otro</w:t>
      </w:r>
      <w:r>
        <w:rPr>
          <w:color w:val="231F1F"/>
          <w:w w:val="105"/>
        </w:rPr>
        <w:t> estudio evaluó el dolor con una escala visual analógica para cuatro actividades dife- rentes,</w:t>
      </w:r>
      <w:r>
        <w:rPr>
          <w:color w:val="231F1F"/>
          <w:w w:val="105"/>
        </w:rPr>
        <w:t> entre</w:t>
      </w:r>
      <w:r>
        <w:rPr>
          <w:color w:val="231F1F"/>
          <w:w w:val="105"/>
        </w:rPr>
        <w:t> los</w:t>
      </w:r>
      <w:r>
        <w:rPr>
          <w:color w:val="231F1F"/>
          <w:w w:val="105"/>
        </w:rPr>
        <w:t> días</w:t>
      </w:r>
      <w:r>
        <w:rPr>
          <w:color w:val="231F1F"/>
          <w:w w:val="105"/>
        </w:rPr>
        <w:t> uno</w:t>
      </w:r>
      <w:r>
        <w:rPr>
          <w:color w:val="231F1F"/>
          <w:w w:val="105"/>
        </w:rPr>
        <w:t> y</w:t>
      </w:r>
      <w:r>
        <w:rPr>
          <w:color w:val="231F1F"/>
          <w:w w:val="105"/>
        </w:rPr>
        <w:t> quinto</w:t>
      </w:r>
      <w:r>
        <w:rPr>
          <w:color w:val="231F1F"/>
          <w:w w:val="105"/>
        </w:rPr>
        <w:t> del</w:t>
      </w:r>
      <w:r>
        <w:rPr>
          <w:color w:val="231F1F"/>
          <w:w w:val="105"/>
        </w:rPr>
        <w:t> posparto,</w:t>
      </w:r>
      <w:r>
        <w:rPr>
          <w:color w:val="231F1F"/>
          <w:w w:val="105"/>
        </w:rPr>
        <w:t> observándose</w:t>
      </w:r>
      <w:r>
        <w:rPr>
          <w:color w:val="231F1F"/>
          <w:w w:val="105"/>
        </w:rPr>
        <w:t> en</w:t>
      </w:r>
      <w:r>
        <w:rPr>
          <w:color w:val="231F1F"/>
          <w:w w:val="105"/>
        </w:rPr>
        <w:t> todas</w:t>
      </w:r>
      <w:r>
        <w:rPr>
          <w:color w:val="231F1F"/>
          <w:w w:val="105"/>
        </w:rPr>
        <w:t> las actividades menor dolor perineal en el grupo con episiotomía restrictiva que en el de episiotomía rutinaria (p= 0,048).</w:t>
      </w:r>
    </w:p>
    <w:p>
      <w:pPr>
        <w:pStyle w:val="BodyText"/>
        <w:spacing w:after="0" w:line="252" w:lineRule="auto"/>
        <w:jc w:val="both"/>
        <w:sectPr>
          <w:pgSz w:w="11900" w:h="16840"/>
          <w:pgMar w:header="0" w:footer="622" w:top="1560" w:bottom="820" w:left="1417" w:right="1559"/>
        </w:sectPr>
      </w:pPr>
    </w:p>
    <w:p>
      <w:pPr>
        <w:pStyle w:val="BodyText"/>
        <w:spacing w:line="242" w:lineRule="auto" w:before="73"/>
        <w:ind w:left="283" w:firstLine="453"/>
        <w:jc w:val="both"/>
      </w:pPr>
      <w:r>
        <w:rPr>
          <w:color w:val="231F1F"/>
          <w:w w:val="105"/>
        </w:rPr>
        <w:t>La</w:t>
      </w:r>
      <w:r>
        <w:rPr>
          <w:color w:val="231F1F"/>
          <w:w w:val="105"/>
        </w:rPr>
        <w:t> incontinencia</w:t>
      </w:r>
      <w:r>
        <w:rPr>
          <w:color w:val="231F1F"/>
          <w:w w:val="105"/>
        </w:rPr>
        <w:t> urinaria</w:t>
      </w:r>
      <w:r>
        <w:rPr>
          <w:color w:val="231F1F"/>
          <w:w w:val="105"/>
        </w:rPr>
        <w:t> (definida</w:t>
      </w:r>
      <w:r>
        <w:rPr>
          <w:color w:val="231F1F"/>
          <w:w w:val="105"/>
        </w:rPr>
        <w:t> como</w:t>
      </w:r>
      <w:r>
        <w:rPr>
          <w:color w:val="231F1F"/>
          <w:w w:val="105"/>
        </w:rPr>
        <w:t> pérdidas</w:t>
      </w:r>
      <w:r>
        <w:rPr>
          <w:color w:val="231F1F"/>
          <w:w w:val="105"/>
        </w:rPr>
        <w:t> de</w:t>
      </w:r>
      <w:r>
        <w:rPr>
          <w:color w:val="231F1F"/>
          <w:w w:val="105"/>
        </w:rPr>
        <w:t> orina</w:t>
      </w:r>
      <w:r>
        <w:rPr>
          <w:color w:val="231F1F"/>
          <w:w w:val="105"/>
        </w:rPr>
        <w:t> durante</w:t>
      </w:r>
      <w:r>
        <w:rPr>
          <w:color w:val="231F1F"/>
          <w:w w:val="105"/>
        </w:rPr>
        <w:t> tres meses</w:t>
      </w:r>
      <w:r>
        <w:rPr>
          <w:color w:val="231F1F"/>
          <w:spacing w:val="-6"/>
          <w:w w:val="105"/>
        </w:rPr>
        <w:t> </w:t>
      </w:r>
      <w:r>
        <w:rPr>
          <w:color w:val="231F1F"/>
          <w:w w:val="105"/>
        </w:rPr>
        <w:t>y</w:t>
      </w:r>
      <w:r>
        <w:rPr>
          <w:color w:val="231F1F"/>
          <w:spacing w:val="-6"/>
          <w:w w:val="105"/>
        </w:rPr>
        <w:t> </w:t>
      </w:r>
      <w:r>
        <w:rPr>
          <w:color w:val="231F1F"/>
          <w:w w:val="105"/>
        </w:rPr>
        <w:t>uso</w:t>
      </w:r>
      <w:r>
        <w:rPr>
          <w:color w:val="231F1F"/>
          <w:spacing w:val="-6"/>
          <w:w w:val="105"/>
        </w:rPr>
        <w:t> </w:t>
      </w:r>
      <w:r>
        <w:rPr>
          <w:color w:val="231F1F"/>
          <w:w w:val="105"/>
        </w:rPr>
        <w:t>de</w:t>
      </w:r>
      <w:r>
        <w:rPr>
          <w:color w:val="231F1F"/>
          <w:spacing w:val="-6"/>
          <w:w w:val="105"/>
        </w:rPr>
        <w:t> </w:t>
      </w:r>
      <w:r>
        <w:rPr>
          <w:color w:val="231F1F"/>
          <w:w w:val="105"/>
        </w:rPr>
        <w:t>compresas</w:t>
      </w:r>
      <w:r>
        <w:rPr>
          <w:color w:val="231F1F"/>
          <w:spacing w:val="-6"/>
          <w:w w:val="105"/>
        </w:rPr>
        <w:t> </w:t>
      </w:r>
      <w:r>
        <w:rPr>
          <w:color w:val="231F1F"/>
          <w:w w:val="105"/>
        </w:rPr>
        <w:t>de</w:t>
      </w:r>
      <w:r>
        <w:rPr>
          <w:color w:val="231F1F"/>
          <w:spacing w:val="-6"/>
          <w:w w:val="105"/>
        </w:rPr>
        <w:t> </w:t>
      </w:r>
      <w:r>
        <w:rPr>
          <w:color w:val="231F1F"/>
          <w:w w:val="105"/>
        </w:rPr>
        <w:t>incontinencia)</w:t>
      </w:r>
      <w:r>
        <w:rPr>
          <w:color w:val="231F1F"/>
          <w:spacing w:val="-6"/>
          <w:w w:val="105"/>
        </w:rPr>
        <w:t> </w:t>
      </w:r>
      <w:r>
        <w:rPr>
          <w:color w:val="231F1F"/>
          <w:w w:val="105"/>
        </w:rPr>
        <w:t>fue</w:t>
      </w:r>
      <w:r>
        <w:rPr>
          <w:color w:val="231F1F"/>
          <w:spacing w:val="-6"/>
          <w:w w:val="105"/>
        </w:rPr>
        <w:t> </w:t>
      </w:r>
      <w:r>
        <w:rPr>
          <w:color w:val="231F1F"/>
          <w:w w:val="105"/>
        </w:rPr>
        <w:t>evaluada</w:t>
      </w:r>
      <w:r>
        <w:rPr>
          <w:color w:val="231F1F"/>
          <w:spacing w:val="-6"/>
          <w:w w:val="105"/>
        </w:rPr>
        <w:t> </w:t>
      </w:r>
      <w:r>
        <w:rPr>
          <w:color w:val="231F1F"/>
          <w:w w:val="105"/>
        </w:rPr>
        <w:t>en</w:t>
      </w:r>
      <w:r>
        <w:rPr>
          <w:color w:val="231F1F"/>
          <w:spacing w:val="-6"/>
          <w:w w:val="105"/>
        </w:rPr>
        <w:t> </w:t>
      </w:r>
      <w:r>
        <w:rPr>
          <w:color w:val="231F1F"/>
          <w:w w:val="105"/>
        </w:rPr>
        <w:t>dos</w:t>
      </w:r>
      <w:r>
        <w:rPr>
          <w:color w:val="231F1F"/>
          <w:spacing w:val="-6"/>
          <w:w w:val="105"/>
        </w:rPr>
        <w:t> </w:t>
      </w:r>
      <w:r>
        <w:rPr>
          <w:color w:val="231F1F"/>
          <w:w w:val="105"/>
        </w:rPr>
        <w:t>ECAs</w:t>
      </w:r>
      <w:r>
        <w:rPr>
          <w:color w:val="231F1F"/>
          <w:spacing w:val="-6"/>
          <w:w w:val="105"/>
        </w:rPr>
        <w:t> </w:t>
      </w:r>
      <w:r>
        <w:rPr>
          <w:color w:val="231F1F"/>
          <w:w w:val="105"/>
        </w:rPr>
        <w:t>(n=895 y n=1.000), sin observarse diferencias estadísticamente significativas entre la episiotomía</w:t>
      </w:r>
      <w:r>
        <w:rPr>
          <w:color w:val="231F1F"/>
          <w:spacing w:val="-2"/>
          <w:w w:val="105"/>
        </w:rPr>
        <w:t> </w:t>
      </w:r>
      <w:r>
        <w:rPr>
          <w:color w:val="231F1F"/>
          <w:w w:val="105"/>
        </w:rPr>
        <w:t>selectiva</w:t>
      </w:r>
      <w:r>
        <w:rPr>
          <w:color w:val="231F1F"/>
          <w:spacing w:val="-2"/>
          <w:w w:val="105"/>
        </w:rPr>
        <w:t> </w:t>
      </w:r>
      <w:r>
        <w:rPr>
          <w:color w:val="231F1F"/>
          <w:w w:val="105"/>
        </w:rPr>
        <w:t>y</w:t>
      </w:r>
      <w:r>
        <w:rPr>
          <w:color w:val="231F1F"/>
          <w:spacing w:val="-2"/>
          <w:w w:val="105"/>
        </w:rPr>
        <w:t> </w:t>
      </w:r>
      <w:r>
        <w:rPr>
          <w:color w:val="231F1F"/>
          <w:w w:val="105"/>
        </w:rPr>
        <w:t>la</w:t>
      </w:r>
      <w:r>
        <w:rPr>
          <w:color w:val="231F1F"/>
          <w:spacing w:val="-2"/>
          <w:w w:val="105"/>
        </w:rPr>
        <w:t> </w:t>
      </w:r>
      <w:r>
        <w:rPr>
          <w:color w:val="231F1F"/>
          <w:w w:val="105"/>
        </w:rPr>
        <w:t>rutinaria:</w:t>
      </w:r>
      <w:r>
        <w:rPr>
          <w:color w:val="231F1F"/>
          <w:spacing w:val="-2"/>
          <w:w w:val="105"/>
        </w:rPr>
        <w:t> </w:t>
      </w:r>
      <w:r>
        <w:rPr>
          <w:color w:val="231F1F"/>
          <w:w w:val="105"/>
        </w:rPr>
        <w:t>RR</w:t>
      </w:r>
      <w:r>
        <w:rPr>
          <w:color w:val="231F1F"/>
          <w:spacing w:val="-3"/>
          <w:w w:val="105"/>
        </w:rPr>
        <w:t> </w:t>
      </w:r>
      <w:r>
        <w:rPr>
          <w:color w:val="231F1F"/>
          <w:w w:val="105"/>
        </w:rPr>
        <w:t>1,02</w:t>
      </w:r>
      <w:r>
        <w:rPr>
          <w:color w:val="231F1F"/>
          <w:spacing w:val="-2"/>
          <w:w w:val="105"/>
        </w:rPr>
        <w:t> </w:t>
      </w:r>
      <w:r>
        <w:rPr>
          <w:color w:val="231F1F"/>
          <w:w w:val="105"/>
        </w:rPr>
        <w:t>[IC</w:t>
      </w:r>
      <w:r>
        <w:rPr>
          <w:color w:val="231F1F"/>
          <w:spacing w:val="-3"/>
          <w:w w:val="105"/>
        </w:rPr>
        <w:t> </w:t>
      </w:r>
      <w:r>
        <w:rPr>
          <w:color w:val="231F1F"/>
          <w:w w:val="105"/>
        </w:rPr>
        <w:t>95%</w:t>
      </w:r>
      <w:r>
        <w:rPr>
          <w:color w:val="231F1F"/>
          <w:spacing w:val="-2"/>
          <w:w w:val="105"/>
        </w:rPr>
        <w:t> </w:t>
      </w:r>
      <w:r>
        <w:rPr>
          <w:color w:val="231F1F"/>
          <w:w w:val="105"/>
        </w:rPr>
        <w:t>0,83</w:t>
      </w:r>
      <w:r>
        <w:rPr>
          <w:color w:val="231F1F"/>
          <w:spacing w:val="-2"/>
          <w:w w:val="105"/>
        </w:rPr>
        <w:t> </w:t>
      </w:r>
      <w:r>
        <w:rPr>
          <w:color w:val="231F1F"/>
          <w:w w:val="105"/>
        </w:rPr>
        <w:t>a</w:t>
      </w:r>
      <w:r>
        <w:rPr>
          <w:color w:val="231F1F"/>
          <w:spacing w:val="-2"/>
          <w:w w:val="105"/>
        </w:rPr>
        <w:t> </w:t>
      </w:r>
      <w:r>
        <w:rPr>
          <w:color w:val="231F1F"/>
          <w:w w:val="105"/>
        </w:rPr>
        <w:t>1,26].</w:t>
      </w:r>
      <w:r>
        <w:rPr>
          <w:color w:val="231F1F"/>
          <w:spacing w:val="-2"/>
          <w:w w:val="105"/>
        </w:rPr>
        <w:t> </w:t>
      </w:r>
      <w:r>
        <w:rPr>
          <w:color w:val="231F1F"/>
          <w:w w:val="105"/>
        </w:rPr>
        <w:t>Cinco</w:t>
      </w:r>
      <w:r>
        <w:rPr>
          <w:color w:val="231F1F"/>
          <w:spacing w:val="-2"/>
          <w:w w:val="105"/>
        </w:rPr>
        <w:t> </w:t>
      </w:r>
      <w:r>
        <w:rPr>
          <w:color w:val="231F1F"/>
          <w:w w:val="105"/>
        </w:rPr>
        <w:t>estu- dios prospectivos de cohortes, incluidos también en la revisión, analizaron la incontinencia urinaria en mujeres con episiotomía y con desgarro espontáneo, no encontrando tampoco diferencias entre los dos grupos: RR 0,88 [IC 95% 0,72</w:t>
      </w:r>
      <w:r>
        <w:rPr>
          <w:color w:val="231F1F"/>
          <w:w w:val="105"/>
        </w:rPr>
        <w:t> a</w:t>
      </w:r>
      <w:r>
        <w:rPr>
          <w:color w:val="231F1F"/>
          <w:w w:val="105"/>
        </w:rPr>
        <w:t> 1,70].</w:t>
      </w:r>
      <w:r>
        <w:rPr>
          <w:color w:val="231F1F"/>
          <w:w w:val="105"/>
        </w:rPr>
        <w:t> Además,</w:t>
      </w:r>
      <w:r>
        <w:rPr>
          <w:color w:val="231F1F"/>
          <w:w w:val="105"/>
        </w:rPr>
        <w:t> cuatro</w:t>
      </w:r>
      <w:r>
        <w:rPr>
          <w:color w:val="231F1F"/>
          <w:w w:val="105"/>
        </w:rPr>
        <w:t> estudios</w:t>
      </w:r>
      <w:r>
        <w:rPr>
          <w:color w:val="231F1F"/>
          <w:w w:val="105"/>
        </w:rPr>
        <w:t> analizaron</w:t>
      </w:r>
      <w:r>
        <w:rPr>
          <w:color w:val="231F1F"/>
          <w:w w:val="105"/>
        </w:rPr>
        <w:t> también</w:t>
      </w:r>
      <w:r>
        <w:rPr>
          <w:color w:val="231F1F"/>
          <w:w w:val="105"/>
        </w:rPr>
        <w:t> la</w:t>
      </w:r>
      <w:r>
        <w:rPr>
          <w:color w:val="231F1F"/>
          <w:w w:val="105"/>
        </w:rPr>
        <w:t> incontinencia rectal,</w:t>
      </w:r>
      <w:r>
        <w:rPr>
          <w:color w:val="231F1F"/>
          <w:w w:val="105"/>
        </w:rPr>
        <w:t> sin</w:t>
      </w:r>
      <w:r>
        <w:rPr>
          <w:color w:val="231F1F"/>
          <w:w w:val="105"/>
        </w:rPr>
        <w:t> encontrar</w:t>
      </w:r>
      <w:r>
        <w:rPr>
          <w:color w:val="231F1F"/>
          <w:w w:val="105"/>
        </w:rPr>
        <w:t> que</w:t>
      </w:r>
      <w:r>
        <w:rPr>
          <w:color w:val="231F1F"/>
          <w:w w:val="105"/>
        </w:rPr>
        <w:t> la</w:t>
      </w:r>
      <w:r>
        <w:rPr>
          <w:color w:val="231F1F"/>
          <w:w w:val="105"/>
        </w:rPr>
        <w:t> realización</w:t>
      </w:r>
      <w:r>
        <w:rPr>
          <w:color w:val="231F1F"/>
          <w:w w:val="105"/>
        </w:rPr>
        <w:t> de</w:t>
      </w:r>
      <w:r>
        <w:rPr>
          <w:color w:val="231F1F"/>
          <w:w w:val="105"/>
        </w:rPr>
        <w:t> episiotomía</w:t>
      </w:r>
      <w:r>
        <w:rPr>
          <w:color w:val="231F1F"/>
          <w:w w:val="105"/>
        </w:rPr>
        <w:t> estuviera</w:t>
      </w:r>
      <w:r>
        <w:rPr>
          <w:color w:val="231F1F"/>
          <w:w w:val="105"/>
        </w:rPr>
        <w:t> ligada</w:t>
      </w:r>
      <w:r>
        <w:rPr>
          <w:color w:val="231F1F"/>
          <w:w w:val="105"/>
        </w:rPr>
        <w:t> a</w:t>
      </w:r>
      <w:r>
        <w:rPr>
          <w:color w:val="231F1F"/>
          <w:w w:val="105"/>
        </w:rPr>
        <w:t> un mayor</w:t>
      </w:r>
      <w:r>
        <w:rPr>
          <w:color w:val="231F1F"/>
          <w:spacing w:val="-5"/>
          <w:w w:val="105"/>
        </w:rPr>
        <w:t> </w:t>
      </w:r>
      <w:r>
        <w:rPr>
          <w:color w:val="231F1F"/>
          <w:w w:val="105"/>
        </w:rPr>
        <w:t>riesgo</w:t>
      </w:r>
      <w:r>
        <w:rPr>
          <w:color w:val="231F1F"/>
          <w:spacing w:val="-5"/>
          <w:w w:val="105"/>
        </w:rPr>
        <w:t> </w:t>
      </w:r>
      <w:r>
        <w:rPr>
          <w:color w:val="231F1F"/>
          <w:w w:val="105"/>
        </w:rPr>
        <w:t>de</w:t>
      </w:r>
      <w:r>
        <w:rPr>
          <w:color w:val="231F1F"/>
          <w:spacing w:val="-5"/>
          <w:w w:val="105"/>
        </w:rPr>
        <w:t> </w:t>
      </w:r>
      <w:r>
        <w:rPr>
          <w:color w:val="231F1F"/>
          <w:w w:val="105"/>
        </w:rPr>
        <w:t>incontinencia</w:t>
      </w:r>
      <w:r>
        <w:rPr>
          <w:color w:val="231F1F"/>
          <w:spacing w:val="-6"/>
          <w:w w:val="105"/>
        </w:rPr>
        <w:t> </w:t>
      </w:r>
      <w:r>
        <w:rPr>
          <w:color w:val="231F1F"/>
          <w:w w:val="105"/>
        </w:rPr>
        <w:t>fecal</w:t>
      </w:r>
      <w:r>
        <w:rPr>
          <w:color w:val="231F1F"/>
          <w:spacing w:val="-5"/>
          <w:w w:val="105"/>
        </w:rPr>
        <w:t> </w:t>
      </w:r>
      <w:r>
        <w:rPr>
          <w:color w:val="231F1F"/>
          <w:w w:val="105"/>
        </w:rPr>
        <w:t>o</w:t>
      </w:r>
      <w:r>
        <w:rPr>
          <w:color w:val="231F1F"/>
          <w:spacing w:val="-5"/>
          <w:w w:val="105"/>
        </w:rPr>
        <w:t> </w:t>
      </w:r>
      <w:r>
        <w:rPr>
          <w:color w:val="231F1F"/>
          <w:w w:val="105"/>
        </w:rPr>
        <w:t>de</w:t>
      </w:r>
      <w:r>
        <w:rPr>
          <w:color w:val="231F1F"/>
          <w:spacing w:val="-5"/>
          <w:w w:val="105"/>
        </w:rPr>
        <w:t> </w:t>
      </w:r>
      <w:r>
        <w:rPr>
          <w:color w:val="231F1F"/>
          <w:w w:val="105"/>
        </w:rPr>
        <w:t>flatulencia.</w:t>
      </w:r>
      <w:r>
        <w:rPr>
          <w:color w:val="231F1F"/>
          <w:spacing w:val="-5"/>
          <w:w w:val="105"/>
        </w:rPr>
        <w:t> </w:t>
      </w:r>
      <w:r>
        <w:rPr>
          <w:color w:val="231F1F"/>
          <w:w w:val="105"/>
        </w:rPr>
        <w:t>Sin</w:t>
      </w:r>
      <w:r>
        <w:rPr>
          <w:color w:val="231F1F"/>
          <w:spacing w:val="-5"/>
          <w:w w:val="105"/>
        </w:rPr>
        <w:t> </w:t>
      </w:r>
      <w:r>
        <w:rPr>
          <w:color w:val="231F1F"/>
          <w:w w:val="105"/>
        </w:rPr>
        <w:t>embargo,</w:t>
      </w:r>
      <w:r>
        <w:rPr>
          <w:color w:val="231F1F"/>
          <w:spacing w:val="-5"/>
          <w:w w:val="105"/>
        </w:rPr>
        <w:t> </w:t>
      </w:r>
      <w:r>
        <w:rPr>
          <w:color w:val="231F1F"/>
          <w:w w:val="105"/>
        </w:rPr>
        <w:t>al</w:t>
      </w:r>
      <w:r>
        <w:rPr>
          <w:color w:val="231F1F"/>
          <w:spacing w:val="-5"/>
          <w:w w:val="105"/>
        </w:rPr>
        <w:t> </w:t>
      </w:r>
      <w:r>
        <w:rPr>
          <w:color w:val="231F1F"/>
          <w:w w:val="105"/>
        </w:rPr>
        <w:t>combinar los datos de dos estudios de cohortes con medidas de resultados comparables, aparecía</w:t>
      </w:r>
      <w:r>
        <w:rPr>
          <w:color w:val="231F1F"/>
          <w:w w:val="105"/>
        </w:rPr>
        <w:t> un</w:t>
      </w:r>
      <w:r>
        <w:rPr>
          <w:color w:val="231F1F"/>
          <w:w w:val="105"/>
        </w:rPr>
        <w:t> incremento</w:t>
      </w:r>
      <w:r>
        <w:rPr>
          <w:color w:val="231F1F"/>
          <w:w w:val="105"/>
        </w:rPr>
        <w:t> en</w:t>
      </w:r>
      <w:r>
        <w:rPr>
          <w:color w:val="231F1F"/>
          <w:w w:val="105"/>
        </w:rPr>
        <w:t> el</w:t>
      </w:r>
      <w:r>
        <w:rPr>
          <w:color w:val="231F1F"/>
          <w:w w:val="105"/>
        </w:rPr>
        <w:t> riesgo</w:t>
      </w:r>
      <w:r>
        <w:rPr>
          <w:color w:val="231F1F"/>
          <w:w w:val="105"/>
        </w:rPr>
        <w:t> asociado</w:t>
      </w:r>
      <w:r>
        <w:rPr>
          <w:color w:val="231F1F"/>
          <w:w w:val="105"/>
        </w:rPr>
        <w:t> a</w:t>
      </w:r>
      <w:r>
        <w:rPr>
          <w:color w:val="231F1F"/>
          <w:w w:val="105"/>
        </w:rPr>
        <w:t> la</w:t>
      </w:r>
      <w:r>
        <w:rPr>
          <w:color w:val="231F1F"/>
          <w:w w:val="105"/>
        </w:rPr>
        <w:t> episiotomía</w:t>
      </w:r>
      <w:r>
        <w:rPr>
          <w:color w:val="231F1F"/>
          <w:w w:val="105"/>
        </w:rPr>
        <w:t> para</w:t>
      </w:r>
      <w:r>
        <w:rPr>
          <w:color w:val="231F1F"/>
          <w:w w:val="105"/>
        </w:rPr>
        <w:t> inconti- nencia rectal: RR 1,91 [IC 95% 1,03 a 3,56].</w:t>
      </w:r>
    </w:p>
    <w:p>
      <w:pPr>
        <w:pStyle w:val="BodyText"/>
        <w:spacing w:before="105"/>
        <w:ind w:left="283" w:right="3" w:firstLine="453"/>
        <w:jc w:val="both"/>
      </w:pPr>
      <w:r>
        <w:rPr>
          <w:color w:val="231F1F"/>
          <w:w w:val="105"/>
        </w:rPr>
        <w:t>Dos</w:t>
      </w:r>
      <w:r>
        <w:rPr>
          <w:color w:val="231F1F"/>
          <w:spacing w:val="-13"/>
          <w:w w:val="105"/>
        </w:rPr>
        <w:t> </w:t>
      </w:r>
      <w:r>
        <w:rPr>
          <w:color w:val="231F1F"/>
          <w:w w:val="105"/>
        </w:rPr>
        <w:t>ensayos</w:t>
      </w:r>
      <w:r>
        <w:rPr>
          <w:color w:val="231F1F"/>
          <w:spacing w:val="-12"/>
          <w:w w:val="105"/>
        </w:rPr>
        <w:t> </w:t>
      </w:r>
      <w:r>
        <w:rPr>
          <w:color w:val="231F1F"/>
          <w:w w:val="105"/>
        </w:rPr>
        <w:t>clínicos</w:t>
      </w:r>
      <w:r>
        <w:rPr>
          <w:color w:val="231F1F"/>
          <w:spacing w:val="-12"/>
          <w:w w:val="105"/>
        </w:rPr>
        <w:t> </w:t>
      </w:r>
      <w:r>
        <w:rPr>
          <w:color w:val="231F1F"/>
          <w:w w:val="105"/>
        </w:rPr>
        <w:t>evaluaron</w:t>
      </w:r>
      <w:r>
        <w:rPr>
          <w:color w:val="231F1F"/>
          <w:spacing w:val="-12"/>
          <w:w w:val="105"/>
        </w:rPr>
        <w:t> </w:t>
      </w:r>
      <w:r>
        <w:rPr>
          <w:color w:val="231F1F"/>
          <w:w w:val="105"/>
        </w:rPr>
        <w:t>la</w:t>
      </w:r>
      <w:r>
        <w:rPr>
          <w:color w:val="231F1F"/>
          <w:spacing w:val="-12"/>
          <w:w w:val="105"/>
        </w:rPr>
        <w:t> </w:t>
      </w:r>
      <w:r>
        <w:rPr>
          <w:color w:val="231F1F"/>
          <w:w w:val="105"/>
        </w:rPr>
        <w:t>función</w:t>
      </w:r>
      <w:r>
        <w:rPr>
          <w:color w:val="231F1F"/>
          <w:spacing w:val="-12"/>
          <w:w w:val="105"/>
        </w:rPr>
        <w:t> </w:t>
      </w:r>
      <w:r>
        <w:rPr>
          <w:color w:val="231F1F"/>
          <w:w w:val="105"/>
        </w:rPr>
        <w:t>sexual,</w:t>
      </w:r>
      <w:r>
        <w:rPr>
          <w:color w:val="231F1F"/>
          <w:spacing w:val="-13"/>
          <w:w w:val="105"/>
        </w:rPr>
        <w:t> </w:t>
      </w:r>
      <w:r>
        <w:rPr>
          <w:color w:val="231F1F"/>
          <w:w w:val="105"/>
        </w:rPr>
        <w:t>con</w:t>
      </w:r>
      <w:r>
        <w:rPr>
          <w:color w:val="231F1F"/>
          <w:spacing w:val="-12"/>
          <w:w w:val="105"/>
        </w:rPr>
        <w:t> </w:t>
      </w:r>
      <w:r>
        <w:rPr>
          <w:color w:val="231F1F"/>
          <w:w w:val="105"/>
        </w:rPr>
        <w:t>un</w:t>
      </w:r>
      <w:r>
        <w:rPr>
          <w:color w:val="231F1F"/>
          <w:spacing w:val="-12"/>
          <w:w w:val="105"/>
        </w:rPr>
        <w:t> </w:t>
      </w:r>
      <w:r>
        <w:rPr>
          <w:color w:val="231F1F"/>
          <w:w w:val="105"/>
        </w:rPr>
        <w:t>análisis</w:t>
      </w:r>
      <w:r>
        <w:rPr>
          <w:color w:val="231F1F"/>
          <w:spacing w:val="-12"/>
          <w:w w:val="105"/>
        </w:rPr>
        <w:t> </w:t>
      </w:r>
      <w:r>
        <w:rPr>
          <w:color w:val="231F1F"/>
          <w:w w:val="105"/>
        </w:rPr>
        <w:t>de</w:t>
      </w:r>
      <w:r>
        <w:rPr>
          <w:color w:val="231F1F"/>
          <w:spacing w:val="-12"/>
          <w:w w:val="105"/>
        </w:rPr>
        <w:t> </w:t>
      </w:r>
      <w:r>
        <w:rPr>
          <w:color w:val="231F1F"/>
          <w:w w:val="105"/>
        </w:rPr>
        <w:t>inten- ción</w:t>
      </w:r>
      <w:r>
        <w:rPr>
          <w:color w:val="231F1F"/>
          <w:spacing w:val="-12"/>
          <w:w w:val="105"/>
        </w:rPr>
        <w:t> </w:t>
      </w:r>
      <w:r>
        <w:rPr>
          <w:color w:val="231F1F"/>
          <w:w w:val="105"/>
        </w:rPr>
        <w:t>de</w:t>
      </w:r>
      <w:r>
        <w:rPr>
          <w:color w:val="231F1F"/>
          <w:spacing w:val="-12"/>
          <w:w w:val="105"/>
        </w:rPr>
        <w:t> </w:t>
      </w:r>
      <w:r>
        <w:rPr>
          <w:color w:val="231F1F"/>
          <w:w w:val="105"/>
        </w:rPr>
        <w:t>tratar</w:t>
      </w:r>
      <w:r>
        <w:rPr>
          <w:color w:val="231F1F"/>
          <w:spacing w:val="-12"/>
          <w:w w:val="105"/>
        </w:rPr>
        <w:t> </w:t>
      </w:r>
      <w:r>
        <w:rPr>
          <w:color w:val="231F1F"/>
          <w:w w:val="105"/>
        </w:rPr>
        <w:t>(n=895</w:t>
      </w:r>
      <w:r>
        <w:rPr>
          <w:color w:val="231F1F"/>
          <w:spacing w:val="-12"/>
          <w:w w:val="105"/>
        </w:rPr>
        <w:t> </w:t>
      </w:r>
      <w:r>
        <w:rPr>
          <w:color w:val="231F1F"/>
          <w:w w:val="105"/>
        </w:rPr>
        <w:t>y</w:t>
      </w:r>
      <w:r>
        <w:rPr>
          <w:color w:val="231F1F"/>
          <w:spacing w:val="-12"/>
          <w:w w:val="105"/>
        </w:rPr>
        <w:t> </w:t>
      </w:r>
      <w:r>
        <w:rPr>
          <w:color w:val="231F1F"/>
          <w:w w:val="105"/>
        </w:rPr>
        <w:t>n=1.000).</w:t>
      </w:r>
      <w:r>
        <w:rPr>
          <w:color w:val="231F1F"/>
          <w:spacing w:val="-12"/>
          <w:w w:val="105"/>
        </w:rPr>
        <w:t> </w:t>
      </w:r>
      <w:r>
        <w:rPr>
          <w:color w:val="231F1F"/>
          <w:w w:val="105"/>
        </w:rPr>
        <w:t>Observaron</w:t>
      </w:r>
      <w:r>
        <w:rPr>
          <w:color w:val="231F1F"/>
          <w:spacing w:val="-12"/>
          <w:w w:val="105"/>
        </w:rPr>
        <w:t> </w:t>
      </w:r>
      <w:r>
        <w:rPr>
          <w:color w:val="231F1F"/>
          <w:w w:val="105"/>
        </w:rPr>
        <w:t>que</w:t>
      </w:r>
      <w:r>
        <w:rPr>
          <w:color w:val="231F1F"/>
          <w:spacing w:val="-12"/>
          <w:w w:val="105"/>
        </w:rPr>
        <w:t> </w:t>
      </w:r>
      <w:r>
        <w:rPr>
          <w:color w:val="231F1F"/>
          <w:w w:val="105"/>
        </w:rPr>
        <w:t>un</w:t>
      </w:r>
      <w:r>
        <w:rPr>
          <w:color w:val="231F1F"/>
          <w:spacing w:val="-12"/>
          <w:w w:val="105"/>
        </w:rPr>
        <w:t> </w:t>
      </w:r>
      <w:r>
        <w:rPr>
          <w:color w:val="231F1F"/>
          <w:w w:val="105"/>
        </w:rPr>
        <w:t>mayor</w:t>
      </w:r>
      <w:r>
        <w:rPr>
          <w:color w:val="231F1F"/>
          <w:spacing w:val="-12"/>
          <w:w w:val="105"/>
        </w:rPr>
        <w:t> </w:t>
      </w:r>
      <w:r>
        <w:rPr>
          <w:color w:val="231F1F"/>
          <w:w w:val="105"/>
        </w:rPr>
        <w:t>número</w:t>
      </w:r>
      <w:r>
        <w:rPr>
          <w:color w:val="231F1F"/>
          <w:spacing w:val="-12"/>
          <w:w w:val="105"/>
        </w:rPr>
        <w:t> </w:t>
      </w:r>
      <w:r>
        <w:rPr>
          <w:color w:val="231F1F"/>
          <w:w w:val="105"/>
        </w:rPr>
        <w:t>de</w:t>
      </w:r>
      <w:r>
        <w:rPr>
          <w:color w:val="231F1F"/>
          <w:spacing w:val="-12"/>
          <w:w w:val="105"/>
        </w:rPr>
        <w:t> </w:t>
      </w:r>
      <w:r>
        <w:rPr>
          <w:color w:val="231F1F"/>
          <w:w w:val="105"/>
        </w:rPr>
        <w:t>mujeres del grupo con episiotomía restrictiva reanudaba la vida sexual al mes en com- paración con el grupo de episiotomía rutinaria (27% vs 37%; p&lt;0,01). No se encontraron diferencias estadísticamente significativas entre los dos grupos al evaluar</w:t>
      </w:r>
      <w:r>
        <w:rPr>
          <w:color w:val="231F1F"/>
          <w:spacing w:val="-13"/>
          <w:w w:val="105"/>
        </w:rPr>
        <w:t> </w:t>
      </w:r>
      <w:r>
        <w:rPr>
          <w:color w:val="231F1F"/>
          <w:w w:val="105"/>
        </w:rPr>
        <w:t>la</w:t>
      </w:r>
      <w:r>
        <w:rPr>
          <w:color w:val="231F1F"/>
          <w:spacing w:val="-14"/>
          <w:w w:val="105"/>
        </w:rPr>
        <w:t> </w:t>
      </w:r>
      <w:r>
        <w:rPr>
          <w:color w:val="231F1F"/>
          <w:w w:val="105"/>
        </w:rPr>
        <w:t>reanudación</w:t>
      </w:r>
      <w:r>
        <w:rPr>
          <w:color w:val="231F1F"/>
          <w:spacing w:val="-14"/>
          <w:w w:val="105"/>
        </w:rPr>
        <w:t> </w:t>
      </w:r>
      <w:r>
        <w:rPr>
          <w:color w:val="231F1F"/>
          <w:w w:val="105"/>
        </w:rPr>
        <w:t>de</w:t>
      </w:r>
      <w:r>
        <w:rPr>
          <w:color w:val="231F1F"/>
          <w:spacing w:val="-14"/>
          <w:w w:val="105"/>
        </w:rPr>
        <w:t> </w:t>
      </w:r>
      <w:r>
        <w:rPr>
          <w:color w:val="231F1F"/>
          <w:w w:val="105"/>
        </w:rPr>
        <w:t>vida</w:t>
      </w:r>
      <w:r>
        <w:rPr>
          <w:color w:val="231F1F"/>
          <w:spacing w:val="-14"/>
          <w:w w:val="105"/>
        </w:rPr>
        <w:t> </w:t>
      </w:r>
      <w:r>
        <w:rPr>
          <w:color w:val="231F1F"/>
          <w:w w:val="105"/>
        </w:rPr>
        <w:t>sexual</w:t>
      </w:r>
      <w:r>
        <w:rPr>
          <w:color w:val="231F1F"/>
          <w:spacing w:val="-14"/>
          <w:w w:val="105"/>
        </w:rPr>
        <w:t> </w:t>
      </w:r>
      <w:r>
        <w:rPr>
          <w:color w:val="231F1F"/>
          <w:w w:val="105"/>
        </w:rPr>
        <w:t>o</w:t>
      </w:r>
      <w:r>
        <w:rPr>
          <w:color w:val="231F1F"/>
          <w:spacing w:val="-14"/>
          <w:w w:val="105"/>
        </w:rPr>
        <w:t> </w:t>
      </w:r>
      <w:r>
        <w:rPr>
          <w:color w:val="231F1F"/>
          <w:w w:val="105"/>
        </w:rPr>
        <w:t>la</w:t>
      </w:r>
      <w:r>
        <w:rPr>
          <w:color w:val="231F1F"/>
          <w:spacing w:val="-14"/>
          <w:w w:val="105"/>
        </w:rPr>
        <w:t> </w:t>
      </w:r>
      <w:r>
        <w:rPr>
          <w:color w:val="231F1F"/>
          <w:w w:val="105"/>
        </w:rPr>
        <w:t>dispareunia</w:t>
      </w:r>
      <w:r>
        <w:rPr>
          <w:color w:val="231F1F"/>
          <w:spacing w:val="-14"/>
          <w:w w:val="105"/>
        </w:rPr>
        <w:t> </w:t>
      </w:r>
      <w:r>
        <w:rPr>
          <w:color w:val="231F1F"/>
          <w:w w:val="105"/>
        </w:rPr>
        <w:t>a</w:t>
      </w:r>
      <w:r>
        <w:rPr>
          <w:color w:val="231F1F"/>
          <w:spacing w:val="-14"/>
          <w:w w:val="105"/>
        </w:rPr>
        <w:t> </w:t>
      </w:r>
      <w:r>
        <w:rPr>
          <w:color w:val="231F1F"/>
          <w:w w:val="105"/>
        </w:rPr>
        <w:t>los</w:t>
      </w:r>
      <w:r>
        <w:rPr>
          <w:color w:val="231F1F"/>
          <w:spacing w:val="-14"/>
          <w:w w:val="105"/>
        </w:rPr>
        <w:t> </w:t>
      </w:r>
      <w:r>
        <w:rPr>
          <w:color w:val="231F1F"/>
          <w:w w:val="105"/>
        </w:rPr>
        <w:t>tres</w:t>
      </w:r>
      <w:r>
        <w:rPr>
          <w:color w:val="231F1F"/>
          <w:spacing w:val="-14"/>
          <w:w w:val="105"/>
        </w:rPr>
        <w:t> </w:t>
      </w:r>
      <w:r>
        <w:rPr>
          <w:color w:val="231F1F"/>
          <w:w w:val="105"/>
        </w:rPr>
        <w:t>meses</w:t>
      </w:r>
      <w:r>
        <w:rPr>
          <w:color w:val="231F1F"/>
          <w:spacing w:val="-14"/>
          <w:w w:val="105"/>
        </w:rPr>
        <w:t> </w:t>
      </w:r>
      <w:r>
        <w:rPr>
          <w:color w:val="231F1F"/>
          <w:w w:val="105"/>
        </w:rPr>
        <w:t>o</w:t>
      </w:r>
      <w:r>
        <w:rPr>
          <w:color w:val="231F1F"/>
          <w:spacing w:val="-14"/>
          <w:w w:val="105"/>
        </w:rPr>
        <w:t> </w:t>
      </w:r>
      <w:r>
        <w:rPr>
          <w:color w:val="231F1F"/>
          <w:w w:val="105"/>
        </w:rPr>
        <w:t>el</w:t>
      </w:r>
      <w:r>
        <w:rPr>
          <w:color w:val="231F1F"/>
          <w:spacing w:val="-14"/>
          <w:w w:val="105"/>
        </w:rPr>
        <w:t> </w:t>
      </w:r>
      <w:r>
        <w:rPr>
          <w:color w:val="231F1F"/>
          <w:w w:val="105"/>
        </w:rPr>
        <w:t>dolor durante el coito a los tres años. Tampoco se encontraron diferencias en la fun- ción sexual en cinco estudios de cohortes que evaluaban mujeres que habían recibido una episiotomía y otras que habían sufrido un desgarro espontáneo.</w:t>
      </w:r>
    </w:p>
    <w:p>
      <w:pPr>
        <w:pStyle w:val="BodyText"/>
        <w:spacing w:line="237" w:lineRule="auto" w:before="92"/>
        <w:ind w:left="283" w:right="1" w:firstLine="453"/>
        <w:jc w:val="both"/>
      </w:pPr>
      <w:r>
        <w:rPr>
          <w:color w:val="231F1F"/>
          <w:w w:val="105"/>
        </w:rPr>
        <w:t>NICE</w:t>
      </w:r>
      <w:r>
        <w:rPr>
          <w:color w:val="231F1F"/>
          <w:w w:val="105"/>
        </w:rPr>
        <w:t> (10)</w:t>
      </w:r>
      <w:r>
        <w:rPr>
          <w:color w:val="231F1F"/>
          <w:w w:val="105"/>
        </w:rPr>
        <w:t> incluyó</w:t>
      </w:r>
      <w:r>
        <w:rPr>
          <w:color w:val="231F1F"/>
          <w:w w:val="105"/>
        </w:rPr>
        <w:t> también</w:t>
      </w:r>
      <w:r>
        <w:rPr>
          <w:color w:val="231F1F"/>
          <w:w w:val="105"/>
        </w:rPr>
        <w:t> un</w:t>
      </w:r>
      <w:r>
        <w:rPr>
          <w:color w:val="231F1F"/>
          <w:w w:val="105"/>
        </w:rPr>
        <w:t> ECA</w:t>
      </w:r>
      <w:r>
        <w:rPr>
          <w:color w:val="231F1F"/>
          <w:w w:val="105"/>
        </w:rPr>
        <w:t> realizado</w:t>
      </w:r>
      <w:r>
        <w:rPr>
          <w:color w:val="231F1F"/>
          <w:w w:val="105"/>
        </w:rPr>
        <w:t> en</w:t>
      </w:r>
      <w:r>
        <w:rPr>
          <w:color w:val="231F1F"/>
          <w:w w:val="105"/>
        </w:rPr>
        <w:t> Alemania</w:t>
      </w:r>
      <w:r>
        <w:rPr>
          <w:color w:val="231F1F"/>
          <w:w w:val="105"/>
        </w:rPr>
        <w:t> (142)</w:t>
      </w:r>
      <w:r>
        <w:rPr>
          <w:color w:val="231F1F"/>
          <w:w w:val="105"/>
        </w:rPr>
        <w:t> en</w:t>
      </w:r>
      <w:r>
        <w:rPr>
          <w:color w:val="231F1F"/>
          <w:w w:val="105"/>
        </w:rPr>
        <w:t> el que se comparaba la episiotomía restrictiva frente a la rutinaria en un total de 109 mujeres. La tasa de episiotomía fue del 41% en el grupo restrictivo y del 77%</w:t>
      </w:r>
      <w:r>
        <w:rPr>
          <w:color w:val="231F1F"/>
          <w:spacing w:val="-5"/>
          <w:w w:val="105"/>
        </w:rPr>
        <w:t> </w:t>
      </w:r>
      <w:r>
        <w:rPr>
          <w:color w:val="231F1F"/>
          <w:w w:val="105"/>
        </w:rPr>
        <w:t>en</w:t>
      </w:r>
      <w:r>
        <w:rPr>
          <w:color w:val="231F1F"/>
          <w:spacing w:val="-5"/>
          <w:w w:val="105"/>
        </w:rPr>
        <w:t> </w:t>
      </w:r>
      <w:r>
        <w:rPr>
          <w:color w:val="231F1F"/>
          <w:w w:val="105"/>
        </w:rPr>
        <w:t>el</w:t>
      </w:r>
      <w:r>
        <w:rPr>
          <w:color w:val="231F1F"/>
          <w:spacing w:val="-5"/>
          <w:w w:val="105"/>
        </w:rPr>
        <w:t> </w:t>
      </w:r>
      <w:r>
        <w:rPr>
          <w:color w:val="231F1F"/>
          <w:w w:val="105"/>
        </w:rPr>
        <w:t>rutinario:</w:t>
      </w:r>
      <w:r>
        <w:rPr>
          <w:color w:val="231F1F"/>
          <w:spacing w:val="-5"/>
          <w:w w:val="105"/>
        </w:rPr>
        <w:t> </w:t>
      </w:r>
      <w:r>
        <w:rPr>
          <w:color w:val="231F1F"/>
          <w:w w:val="105"/>
        </w:rPr>
        <w:t>RR</w:t>
      </w:r>
      <w:r>
        <w:rPr>
          <w:color w:val="231F1F"/>
          <w:spacing w:val="-5"/>
          <w:w w:val="105"/>
        </w:rPr>
        <w:t> </w:t>
      </w:r>
      <w:r>
        <w:rPr>
          <w:color w:val="231F1F"/>
          <w:w w:val="105"/>
        </w:rPr>
        <w:t>0,4</w:t>
      </w:r>
      <w:r>
        <w:rPr>
          <w:color w:val="231F1F"/>
          <w:spacing w:val="-5"/>
          <w:w w:val="105"/>
        </w:rPr>
        <w:t> </w:t>
      </w:r>
      <w:r>
        <w:rPr>
          <w:color w:val="231F1F"/>
          <w:w w:val="105"/>
        </w:rPr>
        <w:t>[IC</w:t>
      </w:r>
      <w:r>
        <w:rPr>
          <w:color w:val="231F1F"/>
          <w:spacing w:val="-5"/>
          <w:w w:val="105"/>
        </w:rPr>
        <w:t> </w:t>
      </w:r>
      <w:r>
        <w:rPr>
          <w:color w:val="231F1F"/>
          <w:w w:val="105"/>
        </w:rPr>
        <w:t>95%</w:t>
      </w:r>
      <w:r>
        <w:rPr>
          <w:color w:val="231F1F"/>
          <w:spacing w:val="-5"/>
          <w:w w:val="105"/>
        </w:rPr>
        <w:t> </w:t>
      </w:r>
      <w:r>
        <w:rPr>
          <w:color w:val="231F1F"/>
          <w:w w:val="105"/>
        </w:rPr>
        <w:t>0,3</w:t>
      </w:r>
      <w:r>
        <w:rPr>
          <w:color w:val="231F1F"/>
          <w:spacing w:val="-5"/>
          <w:w w:val="105"/>
        </w:rPr>
        <w:t> </w:t>
      </w:r>
      <w:r>
        <w:rPr>
          <w:color w:val="231F1F"/>
          <w:w w:val="105"/>
        </w:rPr>
        <w:t>a</w:t>
      </w:r>
      <w:r>
        <w:rPr>
          <w:color w:val="231F1F"/>
          <w:spacing w:val="-5"/>
          <w:w w:val="105"/>
        </w:rPr>
        <w:t> </w:t>
      </w:r>
      <w:r>
        <w:rPr>
          <w:color w:val="231F1F"/>
          <w:w w:val="105"/>
        </w:rPr>
        <w:t>0,7].</w:t>
      </w:r>
      <w:r>
        <w:rPr>
          <w:color w:val="231F1F"/>
          <w:spacing w:val="-6"/>
          <w:w w:val="105"/>
        </w:rPr>
        <w:t> </w:t>
      </w:r>
      <w:r>
        <w:rPr>
          <w:color w:val="231F1F"/>
          <w:w w:val="105"/>
        </w:rPr>
        <w:t>La</w:t>
      </w:r>
      <w:r>
        <w:rPr>
          <w:color w:val="231F1F"/>
          <w:spacing w:val="-5"/>
          <w:w w:val="105"/>
        </w:rPr>
        <w:t> </w:t>
      </w:r>
      <w:r>
        <w:rPr>
          <w:color w:val="231F1F"/>
          <w:w w:val="105"/>
        </w:rPr>
        <w:t>incidencia</w:t>
      </w:r>
      <w:r>
        <w:rPr>
          <w:color w:val="231F1F"/>
          <w:spacing w:val="-6"/>
          <w:w w:val="105"/>
        </w:rPr>
        <w:t> </w:t>
      </w:r>
      <w:r>
        <w:rPr>
          <w:color w:val="231F1F"/>
          <w:w w:val="105"/>
        </w:rPr>
        <w:t>de</w:t>
      </w:r>
      <w:r>
        <w:rPr>
          <w:color w:val="231F1F"/>
          <w:spacing w:val="-5"/>
          <w:w w:val="105"/>
        </w:rPr>
        <w:t> </w:t>
      </w:r>
      <w:r>
        <w:rPr>
          <w:color w:val="231F1F"/>
          <w:w w:val="105"/>
        </w:rPr>
        <w:t>perineo</w:t>
      </w:r>
      <w:r>
        <w:rPr>
          <w:color w:val="231F1F"/>
          <w:spacing w:val="-6"/>
          <w:w w:val="105"/>
        </w:rPr>
        <w:t> </w:t>
      </w:r>
      <w:r>
        <w:rPr>
          <w:color w:val="231F1F"/>
          <w:w w:val="105"/>
        </w:rPr>
        <w:t>intac- to y trauma perineal menor (desgarro de primer grado) fue más frecuente en</w:t>
      </w:r>
      <w:r>
        <w:rPr>
          <w:color w:val="231F1F"/>
          <w:spacing w:val="80"/>
          <w:w w:val="105"/>
        </w:rPr>
        <w:t> </w:t>
      </w:r>
      <w:r>
        <w:rPr>
          <w:color w:val="231F1F"/>
          <w:w w:val="105"/>
        </w:rPr>
        <w:t>el</w:t>
      </w:r>
      <w:r>
        <w:rPr>
          <w:color w:val="231F1F"/>
          <w:spacing w:val="-2"/>
          <w:w w:val="105"/>
        </w:rPr>
        <w:t> </w:t>
      </w:r>
      <w:r>
        <w:rPr>
          <w:color w:val="231F1F"/>
          <w:w w:val="105"/>
        </w:rPr>
        <w:t>grupo</w:t>
      </w:r>
      <w:r>
        <w:rPr>
          <w:color w:val="231F1F"/>
          <w:spacing w:val="-2"/>
          <w:w w:val="105"/>
        </w:rPr>
        <w:t> </w:t>
      </w:r>
      <w:r>
        <w:rPr>
          <w:color w:val="231F1F"/>
          <w:w w:val="105"/>
        </w:rPr>
        <w:t>de</w:t>
      </w:r>
      <w:r>
        <w:rPr>
          <w:color w:val="231F1F"/>
          <w:spacing w:val="-2"/>
          <w:w w:val="105"/>
        </w:rPr>
        <w:t> </w:t>
      </w:r>
      <w:r>
        <w:rPr>
          <w:color w:val="231F1F"/>
          <w:w w:val="105"/>
        </w:rPr>
        <w:t>episiotomía</w:t>
      </w:r>
      <w:r>
        <w:rPr>
          <w:color w:val="231F1F"/>
          <w:spacing w:val="-1"/>
          <w:w w:val="105"/>
        </w:rPr>
        <w:t> </w:t>
      </w:r>
      <w:r>
        <w:rPr>
          <w:color w:val="231F1F"/>
          <w:w w:val="105"/>
        </w:rPr>
        <w:t>restrictiva</w:t>
      </w:r>
      <w:r>
        <w:rPr>
          <w:color w:val="231F1F"/>
          <w:spacing w:val="-1"/>
          <w:w w:val="105"/>
        </w:rPr>
        <w:t> </w:t>
      </w:r>
      <w:r>
        <w:rPr>
          <w:color w:val="231F1F"/>
          <w:w w:val="105"/>
        </w:rPr>
        <w:t>(14/49</w:t>
      </w:r>
      <w:r>
        <w:rPr>
          <w:color w:val="231F1F"/>
          <w:spacing w:val="-1"/>
          <w:w w:val="105"/>
        </w:rPr>
        <w:t> </w:t>
      </w:r>
      <w:r>
        <w:rPr>
          <w:color w:val="231F1F"/>
          <w:w w:val="105"/>
        </w:rPr>
        <w:t>vs</w:t>
      </w:r>
      <w:r>
        <w:rPr>
          <w:color w:val="231F1F"/>
          <w:spacing w:val="-2"/>
          <w:w w:val="105"/>
        </w:rPr>
        <w:t> </w:t>
      </w:r>
      <w:r>
        <w:rPr>
          <w:color w:val="231F1F"/>
          <w:w w:val="105"/>
        </w:rPr>
        <w:t>6/60):</w:t>
      </w:r>
      <w:r>
        <w:rPr>
          <w:color w:val="231F1F"/>
          <w:spacing w:val="-2"/>
          <w:w w:val="105"/>
        </w:rPr>
        <w:t> </w:t>
      </w:r>
      <w:r>
        <w:rPr>
          <w:color w:val="231F1F"/>
          <w:w w:val="105"/>
        </w:rPr>
        <w:t>RR</w:t>
      </w:r>
      <w:r>
        <w:rPr>
          <w:color w:val="231F1F"/>
          <w:spacing w:val="-2"/>
          <w:w w:val="105"/>
        </w:rPr>
        <w:t> </w:t>
      </w:r>
      <w:r>
        <w:rPr>
          <w:color w:val="231F1F"/>
          <w:w w:val="105"/>
        </w:rPr>
        <w:t>2,9</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1"/>
          <w:w w:val="105"/>
        </w:rPr>
        <w:t> </w:t>
      </w:r>
      <w:r>
        <w:rPr>
          <w:color w:val="231F1F"/>
          <w:w w:val="105"/>
        </w:rPr>
        <w:t>1,2</w:t>
      </w:r>
      <w:r>
        <w:rPr>
          <w:color w:val="231F1F"/>
          <w:spacing w:val="-2"/>
          <w:w w:val="105"/>
        </w:rPr>
        <w:t> </w:t>
      </w:r>
      <w:r>
        <w:rPr>
          <w:color w:val="231F1F"/>
          <w:w w:val="105"/>
        </w:rPr>
        <w:t>a</w:t>
      </w:r>
      <w:r>
        <w:rPr>
          <w:color w:val="231F1F"/>
          <w:spacing w:val="-2"/>
          <w:w w:val="105"/>
        </w:rPr>
        <w:t> </w:t>
      </w:r>
      <w:r>
        <w:rPr>
          <w:color w:val="231F1F"/>
          <w:w w:val="105"/>
        </w:rPr>
        <w:t>6,9]; perineo intacto o desgarro de primer grado (19/49 vs 8/60): RR 2,9 [IC 95% 1,6 a 10,5]. No se encontraron diferencias significativas al analizar el trauma perineal</w:t>
      </w:r>
      <w:r>
        <w:rPr>
          <w:color w:val="231F1F"/>
          <w:spacing w:val="-3"/>
          <w:w w:val="105"/>
        </w:rPr>
        <w:t> </w:t>
      </w:r>
      <w:r>
        <w:rPr>
          <w:color w:val="231F1F"/>
          <w:w w:val="105"/>
        </w:rPr>
        <w:t>anterior</w:t>
      </w:r>
      <w:r>
        <w:rPr>
          <w:color w:val="231F1F"/>
          <w:spacing w:val="-2"/>
          <w:w w:val="105"/>
        </w:rPr>
        <w:t> </w:t>
      </w:r>
      <w:r>
        <w:rPr>
          <w:color w:val="231F1F"/>
          <w:w w:val="105"/>
        </w:rPr>
        <w:t>(27/49</w:t>
      </w:r>
      <w:r>
        <w:rPr>
          <w:color w:val="231F1F"/>
          <w:spacing w:val="-2"/>
          <w:w w:val="105"/>
        </w:rPr>
        <w:t> </w:t>
      </w:r>
      <w:r>
        <w:rPr>
          <w:color w:val="231F1F"/>
          <w:w w:val="105"/>
        </w:rPr>
        <w:t>vs</w:t>
      </w:r>
      <w:r>
        <w:rPr>
          <w:color w:val="231F1F"/>
          <w:spacing w:val="-2"/>
          <w:w w:val="105"/>
        </w:rPr>
        <w:t> </w:t>
      </w:r>
      <w:r>
        <w:rPr>
          <w:color w:val="231F1F"/>
          <w:w w:val="105"/>
        </w:rPr>
        <w:t>25/60):</w:t>
      </w:r>
      <w:r>
        <w:rPr>
          <w:color w:val="231F1F"/>
          <w:spacing w:val="-3"/>
          <w:w w:val="105"/>
        </w:rPr>
        <w:t> </w:t>
      </w:r>
      <w:r>
        <w:rPr>
          <w:color w:val="231F1F"/>
          <w:w w:val="105"/>
        </w:rPr>
        <w:t>RR</w:t>
      </w:r>
      <w:r>
        <w:rPr>
          <w:color w:val="231F1F"/>
          <w:spacing w:val="-2"/>
          <w:w w:val="105"/>
        </w:rPr>
        <w:t> </w:t>
      </w:r>
      <w:r>
        <w:rPr>
          <w:color w:val="231F1F"/>
          <w:w w:val="105"/>
        </w:rPr>
        <w:t>1,1</w:t>
      </w:r>
      <w:r>
        <w:rPr>
          <w:color w:val="231F1F"/>
          <w:spacing w:val="-3"/>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0,8</w:t>
      </w:r>
      <w:r>
        <w:rPr>
          <w:color w:val="231F1F"/>
          <w:spacing w:val="-3"/>
          <w:w w:val="105"/>
        </w:rPr>
        <w:t> </w:t>
      </w:r>
      <w:r>
        <w:rPr>
          <w:color w:val="231F1F"/>
          <w:w w:val="105"/>
        </w:rPr>
        <w:t>a</w:t>
      </w:r>
      <w:r>
        <w:rPr>
          <w:color w:val="231F1F"/>
          <w:spacing w:val="-3"/>
          <w:w w:val="105"/>
        </w:rPr>
        <w:t> </w:t>
      </w:r>
      <w:r>
        <w:rPr>
          <w:color w:val="231F1F"/>
          <w:w w:val="105"/>
        </w:rPr>
        <w:t>1,8].</w:t>
      </w:r>
      <w:r>
        <w:rPr>
          <w:color w:val="231F1F"/>
          <w:spacing w:val="-3"/>
          <w:w w:val="105"/>
        </w:rPr>
        <w:t> </w:t>
      </w:r>
      <w:r>
        <w:rPr>
          <w:color w:val="231F1F"/>
          <w:w w:val="105"/>
        </w:rPr>
        <w:t>El</w:t>
      </w:r>
      <w:r>
        <w:rPr>
          <w:color w:val="231F1F"/>
          <w:spacing w:val="-3"/>
          <w:w w:val="105"/>
        </w:rPr>
        <w:t> </w:t>
      </w:r>
      <w:r>
        <w:rPr>
          <w:color w:val="231F1F"/>
          <w:w w:val="105"/>
        </w:rPr>
        <w:t>dolor</w:t>
      </w:r>
      <w:r>
        <w:rPr>
          <w:color w:val="231F1F"/>
          <w:spacing w:val="-3"/>
          <w:w w:val="105"/>
        </w:rPr>
        <w:t> </w:t>
      </w:r>
      <w:r>
        <w:rPr>
          <w:color w:val="231F1F"/>
          <w:w w:val="105"/>
        </w:rPr>
        <w:t>en</w:t>
      </w:r>
      <w:r>
        <w:rPr>
          <w:color w:val="231F1F"/>
          <w:spacing w:val="-2"/>
          <w:w w:val="105"/>
        </w:rPr>
        <w:t> </w:t>
      </w:r>
      <w:r>
        <w:rPr>
          <w:color w:val="231F1F"/>
          <w:w w:val="105"/>
        </w:rPr>
        <w:t>acti- vidades como sentarse o caminar fue significativamente menor en el grupo de episiotomía</w:t>
      </w:r>
      <w:r>
        <w:rPr>
          <w:color w:val="231F1F"/>
          <w:w w:val="105"/>
        </w:rPr>
        <w:t> restrictiva</w:t>
      </w:r>
      <w:r>
        <w:rPr>
          <w:color w:val="231F1F"/>
          <w:w w:val="105"/>
        </w:rPr>
        <w:t> (sentarse;</w:t>
      </w:r>
      <w:r>
        <w:rPr>
          <w:color w:val="231F1F"/>
          <w:w w:val="105"/>
        </w:rPr>
        <w:t> p=0,0009</w:t>
      </w:r>
      <w:r>
        <w:rPr>
          <w:color w:val="231F1F"/>
          <w:w w:val="105"/>
        </w:rPr>
        <w:t> y</w:t>
      </w:r>
      <w:r>
        <w:rPr>
          <w:color w:val="231F1F"/>
          <w:w w:val="105"/>
        </w:rPr>
        <w:t> caminar;</w:t>
      </w:r>
      <w:r>
        <w:rPr>
          <w:color w:val="231F1F"/>
          <w:w w:val="105"/>
        </w:rPr>
        <w:t> p=0,005).</w:t>
      </w:r>
      <w:r>
        <w:rPr>
          <w:color w:val="231F1F"/>
          <w:w w:val="105"/>
        </w:rPr>
        <w:t> Cuando</w:t>
      </w:r>
      <w:r>
        <w:rPr>
          <w:color w:val="231F1F"/>
          <w:w w:val="105"/>
        </w:rPr>
        <w:t> el estudio analiza el Apgar o el pH de la artería umbilical no existen diferencias significativas entre los dos grupos. No se encontraron diferencias</w:t>
      </w:r>
      <w:r>
        <w:rPr>
          <w:color w:val="231F1F"/>
          <w:spacing w:val="-1"/>
          <w:w w:val="105"/>
        </w:rPr>
        <w:t> </w:t>
      </w:r>
      <w:r>
        <w:rPr>
          <w:color w:val="231F1F"/>
          <w:w w:val="105"/>
        </w:rPr>
        <w:t>entre grupos al analizar el Apgar de los neonatos o el pH de la arteria umbilical.</w:t>
      </w:r>
    </w:p>
    <w:p>
      <w:pPr>
        <w:pStyle w:val="BodyText"/>
        <w:spacing w:line="256" w:lineRule="auto" w:before="111"/>
        <w:ind w:left="283" w:right="1" w:firstLine="453"/>
        <w:jc w:val="both"/>
      </w:pPr>
      <w:r>
        <w:rPr>
          <w:color w:val="231F1F"/>
        </w:rPr>
        <w:t>La guía NICE (10) encuentra una similitud entre las medidas de resultados del estudio alemán (142) y una RS previa (153) actualizada por NICE (10). Con los</w:t>
      </w:r>
      <w:r>
        <w:rPr>
          <w:color w:val="231F1F"/>
          <w:spacing w:val="-2"/>
        </w:rPr>
        <w:t> </w:t>
      </w:r>
      <w:r>
        <w:rPr>
          <w:color w:val="231F1F"/>
        </w:rPr>
        <w:t>datos</w:t>
      </w:r>
      <w:r>
        <w:rPr>
          <w:color w:val="231F1F"/>
          <w:spacing w:val="-2"/>
        </w:rPr>
        <w:t> </w:t>
      </w:r>
      <w:r>
        <w:rPr>
          <w:color w:val="231F1F"/>
        </w:rPr>
        <w:t>de</w:t>
      </w:r>
      <w:r>
        <w:rPr>
          <w:color w:val="231F1F"/>
          <w:spacing w:val="-2"/>
        </w:rPr>
        <w:t> </w:t>
      </w:r>
      <w:r>
        <w:rPr>
          <w:color w:val="231F1F"/>
        </w:rPr>
        <w:t>estos</w:t>
      </w:r>
      <w:r>
        <w:rPr>
          <w:color w:val="231F1F"/>
          <w:spacing w:val="-2"/>
        </w:rPr>
        <w:t> </w:t>
      </w:r>
      <w:r>
        <w:rPr>
          <w:color w:val="231F1F"/>
        </w:rPr>
        <w:t>dos</w:t>
      </w:r>
      <w:r>
        <w:rPr>
          <w:color w:val="231F1F"/>
          <w:spacing w:val="-2"/>
        </w:rPr>
        <w:t> </w:t>
      </w:r>
      <w:r>
        <w:rPr>
          <w:color w:val="231F1F"/>
        </w:rPr>
        <w:t>estudios</w:t>
      </w:r>
      <w:r>
        <w:rPr>
          <w:color w:val="231F1F"/>
          <w:spacing w:val="-2"/>
        </w:rPr>
        <w:t> </w:t>
      </w:r>
      <w:r>
        <w:rPr>
          <w:color w:val="231F1F"/>
        </w:rPr>
        <w:t>se</w:t>
      </w:r>
      <w:r>
        <w:rPr>
          <w:color w:val="231F1F"/>
          <w:spacing w:val="-2"/>
        </w:rPr>
        <w:t> </w:t>
      </w:r>
      <w:r>
        <w:rPr>
          <w:color w:val="231F1F"/>
        </w:rPr>
        <w:t>realiza</w:t>
      </w:r>
      <w:r>
        <w:rPr>
          <w:color w:val="231F1F"/>
          <w:spacing w:val="-1"/>
        </w:rPr>
        <w:t> </w:t>
      </w:r>
      <w:r>
        <w:rPr>
          <w:color w:val="231F1F"/>
        </w:rPr>
        <w:t>un</w:t>
      </w:r>
      <w:r>
        <w:rPr>
          <w:color w:val="231F1F"/>
          <w:spacing w:val="-2"/>
        </w:rPr>
        <w:t> </w:t>
      </w:r>
      <w:r>
        <w:rPr>
          <w:color w:val="231F1F"/>
        </w:rPr>
        <w:t>metaanálisis</w:t>
      </w:r>
      <w:r>
        <w:rPr>
          <w:color w:val="231F1F"/>
          <w:spacing w:val="-2"/>
        </w:rPr>
        <w:t> </w:t>
      </w:r>
      <w:r>
        <w:rPr>
          <w:color w:val="231F1F"/>
        </w:rPr>
        <w:t>donde</w:t>
      </w:r>
      <w:r>
        <w:rPr>
          <w:color w:val="231F1F"/>
          <w:spacing w:val="-2"/>
        </w:rPr>
        <w:t> </w:t>
      </w:r>
      <w:r>
        <w:rPr>
          <w:color w:val="231F1F"/>
        </w:rPr>
        <w:t>sólo</w:t>
      </w:r>
      <w:r>
        <w:rPr>
          <w:color w:val="231F1F"/>
          <w:spacing w:val="-2"/>
        </w:rPr>
        <w:t> </w:t>
      </w:r>
      <w:r>
        <w:rPr>
          <w:color w:val="231F1F"/>
        </w:rPr>
        <w:t>se</w:t>
      </w:r>
      <w:r>
        <w:rPr>
          <w:color w:val="231F1F"/>
          <w:spacing w:val="-2"/>
        </w:rPr>
        <w:t> </w:t>
      </w:r>
      <w:r>
        <w:rPr>
          <w:color w:val="231F1F"/>
        </w:rPr>
        <w:t>observaron diferencias significativas en resultado sobre cualquier trauma perineal posterior (cinco estudios n=2.198): RR 0,87 [95% IC 0,83 a 0,91], con una tasa inferior en las mujeres a las que se les realizó episiotomía y en cualquier tipo de trauma pe- rineal anterior (cinco estudios, n=4.451): RR 1,75 [IC 95% 1,52 a 2,01], con ma- yores tasas en el grupo de episiotomía restrictiva. En el resto de los resultados las diferencias no fueron significativas: trauma perineal severo (desgarro de tercer o cuarto</w:t>
      </w:r>
      <w:r>
        <w:rPr>
          <w:color w:val="231F1F"/>
          <w:spacing w:val="-6"/>
        </w:rPr>
        <w:t> </w:t>
      </w:r>
      <w:r>
        <w:rPr>
          <w:color w:val="231F1F"/>
        </w:rPr>
        <w:t>grado)</w:t>
      </w:r>
      <w:r>
        <w:rPr>
          <w:color w:val="231F1F"/>
          <w:spacing w:val="-6"/>
        </w:rPr>
        <w:t> </w:t>
      </w:r>
      <w:r>
        <w:rPr>
          <w:color w:val="231F1F"/>
        </w:rPr>
        <w:t>(seis</w:t>
      </w:r>
      <w:r>
        <w:rPr>
          <w:color w:val="231F1F"/>
          <w:spacing w:val="-6"/>
        </w:rPr>
        <w:t> </w:t>
      </w:r>
      <w:r>
        <w:rPr>
          <w:color w:val="231F1F"/>
        </w:rPr>
        <w:t>estudios</w:t>
      </w:r>
      <w:r>
        <w:rPr>
          <w:color w:val="231F1F"/>
          <w:spacing w:val="-6"/>
        </w:rPr>
        <w:t> </w:t>
      </w:r>
      <w:r>
        <w:rPr>
          <w:color w:val="231F1F"/>
        </w:rPr>
        <w:t>n=3.959):</w:t>
      </w:r>
      <w:r>
        <w:rPr>
          <w:color w:val="231F1F"/>
          <w:spacing w:val="-6"/>
        </w:rPr>
        <w:t> </w:t>
      </w:r>
      <w:r>
        <w:rPr>
          <w:color w:val="231F1F"/>
        </w:rPr>
        <w:t>RR</w:t>
      </w:r>
      <w:r>
        <w:rPr>
          <w:color w:val="231F1F"/>
          <w:spacing w:val="-6"/>
        </w:rPr>
        <w:t> </w:t>
      </w:r>
      <w:r>
        <w:rPr>
          <w:color w:val="231F1F"/>
        </w:rPr>
        <w:t>0,77</w:t>
      </w:r>
      <w:r>
        <w:rPr>
          <w:color w:val="231F1F"/>
          <w:spacing w:val="-6"/>
        </w:rPr>
        <w:t> </w:t>
      </w:r>
      <w:r>
        <w:rPr>
          <w:color w:val="231F1F"/>
        </w:rPr>
        <w:t>[IC</w:t>
      </w:r>
      <w:r>
        <w:rPr>
          <w:color w:val="231F1F"/>
          <w:spacing w:val="-6"/>
        </w:rPr>
        <w:t> </w:t>
      </w:r>
      <w:r>
        <w:rPr>
          <w:color w:val="231F1F"/>
        </w:rPr>
        <w:t>95%</w:t>
      </w:r>
      <w:r>
        <w:rPr>
          <w:color w:val="231F1F"/>
          <w:spacing w:val="-6"/>
        </w:rPr>
        <w:t> </w:t>
      </w:r>
      <w:r>
        <w:rPr>
          <w:color w:val="231F1F"/>
        </w:rPr>
        <w:t>0,54</w:t>
      </w:r>
      <w:r>
        <w:rPr>
          <w:color w:val="231F1F"/>
          <w:spacing w:val="-6"/>
        </w:rPr>
        <w:t> </w:t>
      </w:r>
      <w:r>
        <w:rPr>
          <w:color w:val="231F1F"/>
        </w:rPr>
        <w:t>a</w:t>
      </w:r>
      <w:r>
        <w:rPr>
          <w:color w:val="231F1F"/>
          <w:spacing w:val="-6"/>
        </w:rPr>
        <w:t> </w:t>
      </w:r>
      <w:r>
        <w:rPr>
          <w:color w:val="231F1F"/>
        </w:rPr>
        <w:t>1,12],</w:t>
      </w:r>
      <w:r>
        <w:rPr>
          <w:color w:val="231F1F"/>
          <w:spacing w:val="-6"/>
        </w:rPr>
        <w:t> </w:t>
      </w:r>
      <w:r>
        <w:rPr>
          <w:color w:val="231F1F"/>
        </w:rPr>
        <w:t>Apgar</w:t>
      </w:r>
      <w:r>
        <w:rPr>
          <w:color w:val="231F1F"/>
          <w:spacing w:val="-6"/>
        </w:rPr>
        <w:t> </w:t>
      </w:r>
      <w:r>
        <w:rPr>
          <w:color w:val="231F1F"/>
        </w:rPr>
        <w:t>menor de 7 en el primer minuto (cinco estudios n=3.908): RR 1,05 [IC 95% 0,76 a 1,45].</w:t>
      </w:r>
    </w:p>
    <w:p>
      <w:pPr>
        <w:spacing w:line="278" w:lineRule="auto" w:before="124"/>
        <w:ind w:left="37" w:right="103" w:firstLine="0"/>
        <w:jc w:val="center"/>
        <w:rPr>
          <w:rFonts w:ascii="Arial MT"/>
          <w:sz w:val="18"/>
        </w:rPr>
      </w:pPr>
      <w:r>
        <w:rPr/>
        <w:br w:type="column"/>
      </w: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9" w:right="10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39"/>
        <w:rPr>
          <w:rFonts w:ascii="Arial MT"/>
          <w:sz w:val="18"/>
        </w:rPr>
      </w:pPr>
    </w:p>
    <w:p>
      <w:pPr>
        <w:spacing w:line="278" w:lineRule="auto" w:before="0"/>
        <w:ind w:left="37" w:right="103"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9" w:right="10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1"/>
        <w:rPr>
          <w:rFonts w:ascii="Arial MT"/>
          <w:sz w:val="18"/>
        </w:rPr>
      </w:pPr>
    </w:p>
    <w:p>
      <w:pPr>
        <w:spacing w:line="278" w:lineRule="auto" w:before="0"/>
        <w:ind w:left="387" w:right="440"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96"/>
        <w:rPr>
          <w:rFonts w:ascii="Arial MT"/>
          <w:sz w:val="18"/>
        </w:rPr>
      </w:pPr>
    </w:p>
    <w:p>
      <w:pPr>
        <w:spacing w:line="278" w:lineRule="auto" w:before="1"/>
        <w:ind w:left="37" w:right="103"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9" w:right="103" w:firstLine="0"/>
        <w:jc w:val="center"/>
        <w:rPr>
          <w:rFonts w:ascii="Arial MT"/>
          <w:sz w:val="18"/>
        </w:rPr>
      </w:pPr>
      <w:r>
        <w:rPr>
          <w:rFonts w:ascii="Arial MT"/>
          <w:color w:val="231F1F"/>
          <w:spacing w:val="-5"/>
          <w:sz w:val="18"/>
        </w:rPr>
        <w:t>1+</w:t>
      </w:r>
    </w:p>
    <w:p>
      <w:pPr>
        <w:spacing w:after="0" w:line="202" w:lineRule="exact"/>
        <w:jc w:val="center"/>
        <w:rPr>
          <w:rFonts w:ascii="Arial MT"/>
          <w:sz w:val="18"/>
        </w:rPr>
        <w:sectPr>
          <w:pgSz w:w="11900" w:h="16840"/>
          <w:pgMar w:header="0" w:footer="622" w:top="1560" w:bottom="820" w:left="1417" w:right="1559"/>
          <w:cols w:num="2" w:equalWidth="0">
            <w:col w:w="7557" w:space="40"/>
            <w:col w:w="1327"/>
          </w:cols>
        </w:sectPr>
      </w:pPr>
    </w:p>
    <w:p>
      <w:pPr>
        <w:pStyle w:val="BodyText"/>
        <w:spacing w:line="244" w:lineRule="auto" w:before="62"/>
        <w:ind w:left="283" w:right="5" w:firstLine="453"/>
        <w:jc w:val="both"/>
      </w:pPr>
      <w:r>
        <w:rPr>
          <w:color w:val="231F1F"/>
          <w:w w:val="105"/>
        </w:rPr>
        <w:t>La guía NICE (10) encuentra una similitud entre las medidas de resulta- dos</w:t>
      </w:r>
      <w:r>
        <w:rPr>
          <w:color w:val="231F1F"/>
          <w:spacing w:val="33"/>
          <w:w w:val="105"/>
        </w:rPr>
        <w:t> </w:t>
      </w:r>
      <w:r>
        <w:rPr>
          <w:color w:val="231F1F"/>
          <w:w w:val="105"/>
        </w:rPr>
        <w:t>del</w:t>
      </w:r>
      <w:r>
        <w:rPr>
          <w:color w:val="231F1F"/>
          <w:spacing w:val="32"/>
          <w:w w:val="105"/>
        </w:rPr>
        <w:t> </w:t>
      </w:r>
      <w:r>
        <w:rPr>
          <w:color w:val="231F1F"/>
          <w:w w:val="105"/>
        </w:rPr>
        <w:t>estudio</w:t>
      </w:r>
      <w:r>
        <w:rPr>
          <w:color w:val="231F1F"/>
          <w:spacing w:val="34"/>
          <w:w w:val="105"/>
        </w:rPr>
        <w:t> </w:t>
      </w:r>
      <w:r>
        <w:rPr>
          <w:color w:val="231F1F"/>
          <w:w w:val="105"/>
        </w:rPr>
        <w:t>alemán</w:t>
      </w:r>
      <w:r>
        <w:rPr>
          <w:color w:val="231F1F"/>
          <w:spacing w:val="34"/>
          <w:w w:val="105"/>
        </w:rPr>
        <w:t> </w:t>
      </w:r>
      <w:r>
        <w:rPr>
          <w:color w:val="231F1F"/>
          <w:w w:val="105"/>
        </w:rPr>
        <w:t>(142)</w:t>
      </w:r>
      <w:r>
        <w:rPr>
          <w:color w:val="231F1F"/>
          <w:spacing w:val="33"/>
          <w:w w:val="105"/>
        </w:rPr>
        <w:t> </w:t>
      </w:r>
      <w:r>
        <w:rPr>
          <w:color w:val="231F1F"/>
          <w:w w:val="105"/>
        </w:rPr>
        <w:t>y</w:t>
      </w:r>
      <w:r>
        <w:rPr>
          <w:color w:val="231F1F"/>
          <w:spacing w:val="34"/>
          <w:w w:val="105"/>
        </w:rPr>
        <w:t> </w:t>
      </w:r>
      <w:r>
        <w:rPr>
          <w:color w:val="231F1F"/>
          <w:w w:val="105"/>
        </w:rPr>
        <w:t>una</w:t>
      </w:r>
      <w:r>
        <w:rPr>
          <w:color w:val="231F1F"/>
          <w:spacing w:val="33"/>
          <w:w w:val="105"/>
        </w:rPr>
        <w:t> </w:t>
      </w:r>
      <w:r>
        <w:rPr>
          <w:color w:val="231F1F"/>
          <w:w w:val="105"/>
        </w:rPr>
        <w:t>RS</w:t>
      </w:r>
      <w:r>
        <w:rPr>
          <w:color w:val="231F1F"/>
          <w:spacing w:val="34"/>
          <w:w w:val="105"/>
        </w:rPr>
        <w:t> </w:t>
      </w:r>
      <w:r>
        <w:rPr>
          <w:color w:val="231F1F"/>
          <w:w w:val="105"/>
        </w:rPr>
        <w:t>previa</w:t>
      </w:r>
      <w:r>
        <w:rPr>
          <w:color w:val="231F1F"/>
          <w:spacing w:val="33"/>
          <w:w w:val="105"/>
        </w:rPr>
        <w:t> </w:t>
      </w:r>
      <w:r>
        <w:rPr>
          <w:color w:val="231F1F"/>
          <w:w w:val="105"/>
        </w:rPr>
        <w:t>(153)</w:t>
      </w:r>
      <w:r>
        <w:rPr>
          <w:color w:val="231F1F"/>
          <w:spacing w:val="33"/>
          <w:w w:val="105"/>
        </w:rPr>
        <w:t> </w:t>
      </w:r>
      <w:r>
        <w:rPr>
          <w:color w:val="231F1F"/>
          <w:w w:val="105"/>
        </w:rPr>
        <w:t>actualizada</w:t>
      </w:r>
      <w:r>
        <w:rPr>
          <w:color w:val="231F1F"/>
          <w:spacing w:val="34"/>
          <w:w w:val="105"/>
        </w:rPr>
        <w:t> </w:t>
      </w:r>
      <w:r>
        <w:rPr>
          <w:color w:val="231F1F"/>
          <w:w w:val="105"/>
        </w:rPr>
        <w:t>por</w:t>
      </w:r>
      <w:r>
        <w:rPr>
          <w:color w:val="231F1F"/>
          <w:spacing w:val="33"/>
          <w:w w:val="105"/>
        </w:rPr>
        <w:t> </w:t>
      </w:r>
      <w:r>
        <w:rPr>
          <w:color w:val="231F1F"/>
          <w:w w:val="105"/>
        </w:rPr>
        <w:t>NICE</w:t>
      </w:r>
    </w:p>
    <w:p>
      <w:pPr>
        <w:pStyle w:val="BodyText"/>
        <w:spacing w:line="261" w:lineRule="auto" w:before="27"/>
        <w:ind w:left="283" w:right="2"/>
        <w:jc w:val="both"/>
      </w:pPr>
      <w:r>
        <w:rPr>
          <w:color w:val="231F1F"/>
        </w:rPr>
        <w:t>(10).</w:t>
      </w:r>
      <w:r>
        <w:rPr>
          <w:color w:val="231F1F"/>
          <w:spacing w:val="28"/>
        </w:rPr>
        <w:t> </w:t>
      </w:r>
      <w:r>
        <w:rPr>
          <w:color w:val="231F1F"/>
        </w:rPr>
        <w:t>Con</w:t>
      </w:r>
      <w:r>
        <w:rPr>
          <w:color w:val="231F1F"/>
          <w:spacing w:val="26"/>
        </w:rPr>
        <w:t> </w:t>
      </w:r>
      <w:r>
        <w:rPr>
          <w:color w:val="231F1F"/>
        </w:rPr>
        <w:t>los</w:t>
      </w:r>
      <w:r>
        <w:rPr>
          <w:color w:val="231F1F"/>
          <w:spacing w:val="26"/>
        </w:rPr>
        <w:t> </w:t>
      </w:r>
      <w:r>
        <w:rPr>
          <w:color w:val="231F1F"/>
        </w:rPr>
        <w:t>datos</w:t>
      </w:r>
      <w:r>
        <w:rPr>
          <w:color w:val="231F1F"/>
          <w:spacing w:val="26"/>
        </w:rPr>
        <w:t> </w:t>
      </w:r>
      <w:r>
        <w:rPr>
          <w:color w:val="231F1F"/>
        </w:rPr>
        <w:t>de</w:t>
      </w:r>
      <w:r>
        <w:rPr>
          <w:color w:val="231F1F"/>
          <w:spacing w:val="26"/>
        </w:rPr>
        <w:t> </w:t>
      </w:r>
      <w:r>
        <w:rPr>
          <w:color w:val="231F1F"/>
        </w:rPr>
        <w:t>estos</w:t>
      </w:r>
      <w:r>
        <w:rPr>
          <w:color w:val="231F1F"/>
          <w:spacing w:val="26"/>
        </w:rPr>
        <w:t> </w:t>
      </w:r>
      <w:r>
        <w:rPr>
          <w:color w:val="231F1F"/>
        </w:rPr>
        <w:t>dos</w:t>
      </w:r>
      <w:r>
        <w:rPr>
          <w:color w:val="231F1F"/>
          <w:spacing w:val="26"/>
        </w:rPr>
        <w:t> </w:t>
      </w:r>
      <w:r>
        <w:rPr>
          <w:color w:val="231F1F"/>
        </w:rPr>
        <w:t>estudios</w:t>
      </w:r>
      <w:r>
        <w:rPr>
          <w:color w:val="231F1F"/>
          <w:spacing w:val="26"/>
        </w:rPr>
        <w:t> </w:t>
      </w:r>
      <w:r>
        <w:rPr>
          <w:color w:val="231F1F"/>
        </w:rPr>
        <w:t>se</w:t>
      </w:r>
      <w:r>
        <w:rPr>
          <w:color w:val="231F1F"/>
          <w:spacing w:val="26"/>
        </w:rPr>
        <w:t> </w:t>
      </w:r>
      <w:r>
        <w:rPr>
          <w:color w:val="231F1F"/>
        </w:rPr>
        <w:t>realiza</w:t>
      </w:r>
      <w:r>
        <w:rPr>
          <w:color w:val="231F1F"/>
          <w:spacing w:val="26"/>
        </w:rPr>
        <w:t> </w:t>
      </w:r>
      <w:r>
        <w:rPr>
          <w:color w:val="231F1F"/>
        </w:rPr>
        <w:t>un</w:t>
      </w:r>
      <w:r>
        <w:rPr>
          <w:color w:val="231F1F"/>
          <w:spacing w:val="26"/>
        </w:rPr>
        <w:t> </w:t>
      </w:r>
      <w:r>
        <w:rPr>
          <w:color w:val="231F1F"/>
        </w:rPr>
        <w:t>metaanálisis</w:t>
      </w:r>
      <w:r>
        <w:rPr>
          <w:color w:val="231F1F"/>
          <w:spacing w:val="26"/>
        </w:rPr>
        <w:t> </w:t>
      </w:r>
      <w:r>
        <w:rPr>
          <w:color w:val="231F1F"/>
        </w:rPr>
        <w:t>donde</w:t>
      </w:r>
      <w:r>
        <w:rPr>
          <w:color w:val="231F1F"/>
          <w:spacing w:val="26"/>
        </w:rPr>
        <w:t> </w:t>
      </w:r>
      <w:r>
        <w:rPr>
          <w:color w:val="231F1F"/>
        </w:rPr>
        <w:t>sólo se observaron diferencias significativas en resultado sobre cualquier trauma perineal posterior (cinco estudios n=2.198): RR 0,87 [95% IC 0,83 a 0,91], con una tasa inferior en las mujeres a las que se les realizó episiotomía y en cual-</w:t>
      </w:r>
      <w:r>
        <w:rPr>
          <w:color w:val="231F1F"/>
          <w:spacing w:val="40"/>
        </w:rPr>
        <w:t> </w:t>
      </w:r>
      <w:r>
        <w:rPr>
          <w:color w:val="231F1F"/>
        </w:rPr>
        <w:t>quier tipo de trauma perineal anterior (cinco estudios, n=4.451): RR 1,75 [IC</w:t>
      </w:r>
      <w:r>
        <w:rPr>
          <w:color w:val="231F1F"/>
          <w:spacing w:val="80"/>
        </w:rPr>
        <w:t> </w:t>
      </w:r>
      <w:r>
        <w:rPr>
          <w:color w:val="231F1F"/>
        </w:rPr>
        <w:t>95%</w:t>
      </w:r>
      <w:r>
        <w:rPr>
          <w:color w:val="231F1F"/>
          <w:spacing w:val="25"/>
        </w:rPr>
        <w:t> </w:t>
      </w:r>
      <w:r>
        <w:rPr>
          <w:color w:val="231F1F"/>
        </w:rPr>
        <w:t>1,52</w:t>
      </w:r>
      <w:r>
        <w:rPr>
          <w:color w:val="231F1F"/>
          <w:spacing w:val="25"/>
        </w:rPr>
        <w:t> </w:t>
      </w:r>
      <w:r>
        <w:rPr>
          <w:color w:val="231F1F"/>
        </w:rPr>
        <w:t>a</w:t>
      </w:r>
      <w:r>
        <w:rPr>
          <w:color w:val="231F1F"/>
          <w:spacing w:val="25"/>
        </w:rPr>
        <w:t> </w:t>
      </w:r>
      <w:r>
        <w:rPr>
          <w:color w:val="231F1F"/>
        </w:rPr>
        <w:t>2,01],</w:t>
      </w:r>
      <w:r>
        <w:rPr>
          <w:color w:val="231F1F"/>
          <w:spacing w:val="25"/>
        </w:rPr>
        <w:t> </w:t>
      </w:r>
      <w:r>
        <w:rPr>
          <w:color w:val="231F1F"/>
        </w:rPr>
        <w:t>con</w:t>
      </w:r>
      <w:r>
        <w:rPr>
          <w:color w:val="231F1F"/>
          <w:spacing w:val="25"/>
        </w:rPr>
        <w:t> </w:t>
      </w:r>
      <w:r>
        <w:rPr>
          <w:color w:val="231F1F"/>
        </w:rPr>
        <w:t>mayores</w:t>
      </w:r>
      <w:r>
        <w:rPr>
          <w:color w:val="231F1F"/>
          <w:spacing w:val="26"/>
        </w:rPr>
        <w:t> </w:t>
      </w:r>
      <w:r>
        <w:rPr>
          <w:color w:val="231F1F"/>
        </w:rPr>
        <w:t>tasas</w:t>
      </w:r>
      <w:r>
        <w:rPr>
          <w:color w:val="231F1F"/>
          <w:spacing w:val="26"/>
        </w:rPr>
        <w:t> </w:t>
      </w:r>
      <w:r>
        <w:rPr>
          <w:color w:val="231F1F"/>
        </w:rPr>
        <w:t>en</w:t>
      </w:r>
      <w:r>
        <w:rPr>
          <w:color w:val="231F1F"/>
          <w:spacing w:val="25"/>
        </w:rPr>
        <w:t> </w:t>
      </w:r>
      <w:r>
        <w:rPr>
          <w:color w:val="231F1F"/>
        </w:rPr>
        <w:t>el</w:t>
      </w:r>
      <w:r>
        <w:rPr>
          <w:color w:val="231F1F"/>
          <w:spacing w:val="26"/>
        </w:rPr>
        <w:t> </w:t>
      </w:r>
      <w:r>
        <w:rPr>
          <w:color w:val="231F1F"/>
        </w:rPr>
        <w:t>grupo</w:t>
      </w:r>
      <w:r>
        <w:rPr>
          <w:color w:val="231F1F"/>
          <w:spacing w:val="25"/>
        </w:rPr>
        <w:t> </w:t>
      </w:r>
      <w:r>
        <w:rPr>
          <w:color w:val="231F1F"/>
        </w:rPr>
        <w:t>de</w:t>
      </w:r>
      <w:r>
        <w:rPr>
          <w:color w:val="231F1F"/>
          <w:spacing w:val="25"/>
        </w:rPr>
        <w:t> </w:t>
      </w:r>
      <w:r>
        <w:rPr>
          <w:color w:val="231F1F"/>
        </w:rPr>
        <w:t>episiotomía</w:t>
      </w:r>
      <w:r>
        <w:rPr>
          <w:color w:val="231F1F"/>
          <w:spacing w:val="25"/>
        </w:rPr>
        <w:t> </w:t>
      </w:r>
      <w:r>
        <w:rPr>
          <w:color w:val="231F1F"/>
        </w:rPr>
        <w:t>restrictiva.</w:t>
      </w:r>
      <w:r>
        <w:rPr>
          <w:color w:val="231F1F"/>
          <w:spacing w:val="26"/>
        </w:rPr>
        <w:t> </w:t>
      </w:r>
      <w:r>
        <w:rPr>
          <w:color w:val="231F1F"/>
        </w:rPr>
        <w:t>En el resto de los resultados las diferencias no fueron significativas: trauma peri-</w:t>
      </w:r>
      <w:r>
        <w:rPr>
          <w:color w:val="231F1F"/>
          <w:spacing w:val="80"/>
        </w:rPr>
        <w:t> </w:t>
      </w:r>
      <w:r>
        <w:rPr>
          <w:color w:val="231F1F"/>
        </w:rPr>
        <w:t>neal</w:t>
      </w:r>
      <w:r>
        <w:rPr>
          <w:color w:val="231F1F"/>
          <w:spacing w:val="40"/>
        </w:rPr>
        <w:t> </w:t>
      </w:r>
      <w:r>
        <w:rPr>
          <w:color w:val="231F1F"/>
        </w:rPr>
        <w:t>severo</w:t>
      </w:r>
      <w:r>
        <w:rPr>
          <w:color w:val="231F1F"/>
          <w:spacing w:val="40"/>
        </w:rPr>
        <w:t> </w:t>
      </w:r>
      <w:r>
        <w:rPr>
          <w:color w:val="231F1F"/>
        </w:rPr>
        <w:t>(desgarro</w:t>
      </w:r>
      <w:r>
        <w:rPr>
          <w:color w:val="231F1F"/>
          <w:spacing w:val="40"/>
        </w:rPr>
        <w:t> </w:t>
      </w:r>
      <w:r>
        <w:rPr>
          <w:color w:val="231F1F"/>
        </w:rPr>
        <w:t>de</w:t>
      </w:r>
      <w:r>
        <w:rPr>
          <w:color w:val="231F1F"/>
          <w:spacing w:val="40"/>
        </w:rPr>
        <w:t> </w:t>
      </w:r>
      <w:r>
        <w:rPr>
          <w:color w:val="231F1F"/>
        </w:rPr>
        <w:t>tercer</w:t>
      </w:r>
      <w:r>
        <w:rPr>
          <w:color w:val="231F1F"/>
          <w:spacing w:val="40"/>
        </w:rPr>
        <w:t> </w:t>
      </w:r>
      <w:r>
        <w:rPr>
          <w:color w:val="231F1F"/>
        </w:rPr>
        <w:t>o</w:t>
      </w:r>
      <w:r>
        <w:rPr>
          <w:color w:val="231F1F"/>
          <w:spacing w:val="40"/>
        </w:rPr>
        <w:t> </w:t>
      </w:r>
      <w:r>
        <w:rPr>
          <w:color w:val="231F1F"/>
        </w:rPr>
        <w:t>cuarto</w:t>
      </w:r>
      <w:r>
        <w:rPr>
          <w:color w:val="231F1F"/>
          <w:spacing w:val="40"/>
        </w:rPr>
        <w:t> </w:t>
      </w:r>
      <w:r>
        <w:rPr>
          <w:color w:val="231F1F"/>
        </w:rPr>
        <w:t>grado)</w:t>
      </w:r>
      <w:r>
        <w:rPr>
          <w:color w:val="231F1F"/>
          <w:spacing w:val="40"/>
        </w:rPr>
        <w:t> </w:t>
      </w:r>
      <w:r>
        <w:rPr>
          <w:color w:val="231F1F"/>
        </w:rPr>
        <w:t>(seis</w:t>
      </w:r>
      <w:r>
        <w:rPr>
          <w:color w:val="231F1F"/>
          <w:spacing w:val="40"/>
        </w:rPr>
        <w:t> </w:t>
      </w:r>
      <w:r>
        <w:rPr>
          <w:color w:val="231F1F"/>
        </w:rPr>
        <w:t>estudios</w:t>
      </w:r>
      <w:r>
        <w:rPr>
          <w:color w:val="231F1F"/>
          <w:spacing w:val="40"/>
        </w:rPr>
        <w:t> </w:t>
      </w:r>
      <w:r>
        <w:rPr>
          <w:color w:val="231F1F"/>
        </w:rPr>
        <w:t>n=3.959):</w:t>
      </w:r>
      <w:r>
        <w:rPr>
          <w:color w:val="231F1F"/>
          <w:spacing w:val="40"/>
        </w:rPr>
        <w:t> </w:t>
      </w:r>
      <w:r>
        <w:rPr>
          <w:color w:val="231F1F"/>
        </w:rPr>
        <w:t>RR 0,77</w:t>
      </w:r>
      <w:r>
        <w:rPr>
          <w:color w:val="231F1F"/>
          <w:spacing w:val="22"/>
        </w:rPr>
        <w:t> </w:t>
      </w:r>
      <w:r>
        <w:rPr>
          <w:color w:val="231F1F"/>
        </w:rPr>
        <w:t>[IC</w:t>
      </w:r>
      <w:r>
        <w:rPr>
          <w:color w:val="231F1F"/>
          <w:spacing w:val="22"/>
        </w:rPr>
        <w:t> </w:t>
      </w:r>
      <w:r>
        <w:rPr>
          <w:color w:val="231F1F"/>
        </w:rPr>
        <w:t>95%</w:t>
      </w:r>
      <w:r>
        <w:rPr>
          <w:color w:val="231F1F"/>
          <w:spacing w:val="22"/>
        </w:rPr>
        <w:t> </w:t>
      </w:r>
      <w:r>
        <w:rPr>
          <w:color w:val="231F1F"/>
        </w:rPr>
        <w:t>0,54</w:t>
      </w:r>
      <w:r>
        <w:rPr>
          <w:color w:val="231F1F"/>
          <w:spacing w:val="22"/>
        </w:rPr>
        <w:t> </w:t>
      </w:r>
      <w:r>
        <w:rPr>
          <w:color w:val="231F1F"/>
        </w:rPr>
        <w:t>a</w:t>
      </w:r>
      <w:r>
        <w:rPr>
          <w:color w:val="231F1F"/>
          <w:spacing w:val="22"/>
        </w:rPr>
        <w:t> </w:t>
      </w:r>
      <w:r>
        <w:rPr>
          <w:color w:val="231F1F"/>
        </w:rPr>
        <w:t>1,12],</w:t>
      </w:r>
      <w:r>
        <w:rPr>
          <w:color w:val="231F1F"/>
          <w:spacing w:val="23"/>
        </w:rPr>
        <w:t> </w:t>
      </w:r>
      <w:r>
        <w:rPr>
          <w:color w:val="231F1F"/>
        </w:rPr>
        <w:t>Apgar</w:t>
      </w:r>
      <w:r>
        <w:rPr>
          <w:color w:val="231F1F"/>
          <w:spacing w:val="22"/>
        </w:rPr>
        <w:t> </w:t>
      </w:r>
      <w:r>
        <w:rPr>
          <w:color w:val="231F1F"/>
        </w:rPr>
        <w:t>menor</w:t>
      </w:r>
      <w:r>
        <w:rPr>
          <w:color w:val="231F1F"/>
          <w:spacing w:val="22"/>
        </w:rPr>
        <w:t> </w:t>
      </w:r>
      <w:r>
        <w:rPr>
          <w:color w:val="231F1F"/>
        </w:rPr>
        <w:t>de</w:t>
      </w:r>
      <w:r>
        <w:rPr>
          <w:color w:val="231F1F"/>
          <w:spacing w:val="22"/>
        </w:rPr>
        <w:t> </w:t>
      </w:r>
      <w:r>
        <w:rPr>
          <w:color w:val="231F1F"/>
        </w:rPr>
        <w:t>7</w:t>
      </w:r>
      <w:r>
        <w:rPr>
          <w:color w:val="231F1F"/>
          <w:spacing w:val="22"/>
        </w:rPr>
        <w:t> </w:t>
      </w:r>
      <w:r>
        <w:rPr>
          <w:color w:val="231F1F"/>
        </w:rPr>
        <w:t>en</w:t>
      </w:r>
      <w:r>
        <w:rPr>
          <w:color w:val="231F1F"/>
          <w:spacing w:val="22"/>
        </w:rPr>
        <w:t> </w:t>
      </w:r>
      <w:r>
        <w:rPr>
          <w:color w:val="231F1F"/>
        </w:rPr>
        <w:t>el</w:t>
      </w:r>
      <w:r>
        <w:rPr>
          <w:color w:val="231F1F"/>
          <w:spacing w:val="23"/>
        </w:rPr>
        <w:t> </w:t>
      </w:r>
      <w:r>
        <w:rPr>
          <w:color w:val="231F1F"/>
        </w:rPr>
        <w:t>primer</w:t>
      </w:r>
      <w:r>
        <w:rPr>
          <w:color w:val="231F1F"/>
          <w:spacing w:val="22"/>
        </w:rPr>
        <w:t> </w:t>
      </w:r>
      <w:r>
        <w:rPr>
          <w:color w:val="231F1F"/>
        </w:rPr>
        <w:t>minuto</w:t>
      </w:r>
      <w:r>
        <w:rPr>
          <w:color w:val="231F1F"/>
          <w:spacing w:val="22"/>
        </w:rPr>
        <w:t> </w:t>
      </w:r>
      <w:r>
        <w:rPr>
          <w:color w:val="231F1F"/>
        </w:rPr>
        <w:t>(cinco</w:t>
      </w:r>
      <w:r>
        <w:rPr>
          <w:color w:val="231F1F"/>
          <w:spacing w:val="22"/>
        </w:rPr>
        <w:t> </w:t>
      </w:r>
      <w:r>
        <w:rPr>
          <w:color w:val="231F1F"/>
        </w:rPr>
        <w:t>estu-</w:t>
      </w:r>
    </w:p>
    <w:p>
      <w:pPr>
        <w:pStyle w:val="BodyText"/>
        <w:spacing w:line="238" w:lineRule="exact"/>
        <w:ind w:left="283"/>
        <w:jc w:val="both"/>
      </w:pPr>
      <w:r>
        <w:rPr>
          <w:color w:val="231F1F"/>
          <w:w w:val="105"/>
        </w:rPr>
        <w:t>dios</w:t>
      </w:r>
      <w:r>
        <w:rPr>
          <w:color w:val="231F1F"/>
          <w:spacing w:val="-10"/>
          <w:w w:val="105"/>
        </w:rPr>
        <w:t> </w:t>
      </w:r>
      <w:r>
        <w:rPr>
          <w:color w:val="231F1F"/>
          <w:w w:val="105"/>
        </w:rPr>
        <w:t>n=3.908):</w:t>
      </w:r>
      <w:r>
        <w:rPr>
          <w:color w:val="231F1F"/>
          <w:spacing w:val="-11"/>
          <w:w w:val="105"/>
        </w:rPr>
        <w:t> </w:t>
      </w:r>
      <w:r>
        <w:rPr>
          <w:color w:val="231F1F"/>
          <w:w w:val="105"/>
        </w:rPr>
        <w:t>RR</w:t>
      </w:r>
      <w:r>
        <w:rPr>
          <w:color w:val="231F1F"/>
          <w:spacing w:val="-7"/>
          <w:w w:val="105"/>
        </w:rPr>
        <w:t> </w:t>
      </w:r>
      <w:r>
        <w:rPr>
          <w:color w:val="231F1F"/>
          <w:w w:val="105"/>
        </w:rPr>
        <w:t>1,05</w:t>
      </w:r>
      <w:r>
        <w:rPr>
          <w:color w:val="231F1F"/>
          <w:spacing w:val="-12"/>
          <w:w w:val="105"/>
        </w:rPr>
        <w:t> </w:t>
      </w:r>
      <w:r>
        <w:rPr>
          <w:color w:val="231F1F"/>
          <w:w w:val="105"/>
        </w:rPr>
        <w:t>[IC</w:t>
      </w:r>
      <w:r>
        <w:rPr>
          <w:color w:val="231F1F"/>
          <w:spacing w:val="-7"/>
          <w:w w:val="105"/>
        </w:rPr>
        <w:t> </w:t>
      </w:r>
      <w:r>
        <w:rPr>
          <w:color w:val="231F1F"/>
          <w:w w:val="105"/>
        </w:rPr>
        <w:t>95%</w:t>
      </w:r>
      <w:r>
        <w:rPr>
          <w:color w:val="231F1F"/>
          <w:spacing w:val="-9"/>
          <w:w w:val="105"/>
        </w:rPr>
        <w:t> </w:t>
      </w:r>
      <w:r>
        <w:rPr>
          <w:color w:val="231F1F"/>
          <w:w w:val="105"/>
        </w:rPr>
        <w:t>0,76</w:t>
      </w:r>
      <w:r>
        <w:rPr>
          <w:color w:val="231F1F"/>
          <w:spacing w:val="-9"/>
          <w:w w:val="105"/>
        </w:rPr>
        <w:t> </w:t>
      </w:r>
      <w:r>
        <w:rPr>
          <w:color w:val="231F1F"/>
          <w:w w:val="105"/>
        </w:rPr>
        <w:t>a</w:t>
      </w:r>
      <w:r>
        <w:rPr>
          <w:color w:val="231F1F"/>
          <w:spacing w:val="-8"/>
          <w:w w:val="105"/>
        </w:rPr>
        <w:t> </w:t>
      </w:r>
      <w:r>
        <w:rPr>
          <w:color w:val="231F1F"/>
          <w:spacing w:val="-2"/>
          <w:w w:val="105"/>
        </w:rPr>
        <w:t>1,45].</w:t>
      </w:r>
    </w:p>
    <w:p>
      <w:pPr>
        <w:pStyle w:val="BodyText"/>
        <w:spacing w:line="249" w:lineRule="auto" w:before="78"/>
        <w:ind w:left="283" w:firstLine="453"/>
        <w:jc w:val="both"/>
      </w:pPr>
      <w:r>
        <w:rPr>
          <w:color w:val="231F1F"/>
          <w:w w:val="105"/>
        </w:rPr>
        <w:t>La</w:t>
      </w:r>
      <w:r>
        <w:rPr>
          <w:color w:val="231F1F"/>
          <w:w w:val="105"/>
        </w:rPr>
        <w:t> NICE</w:t>
      </w:r>
      <w:r>
        <w:rPr>
          <w:color w:val="231F1F"/>
          <w:w w:val="105"/>
        </w:rPr>
        <w:t> (10)</w:t>
      </w:r>
      <w:r>
        <w:rPr>
          <w:color w:val="231F1F"/>
          <w:w w:val="105"/>
        </w:rPr>
        <w:t> también</w:t>
      </w:r>
      <w:r>
        <w:rPr>
          <w:color w:val="231F1F"/>
          <w:w w:val="105"/>
        </w:rPr>
        <w:t> analiza</w:t>
      </w:r>
      <w:r>
        <w:rPr>
          <w:color w:val="231F1F"/>
          <w:w w:val="105"/>
        </w:rPr>
        <w:t> el</w:t>
      </w:r>
      <w:r>
        <w:rPr>
          <w:color w:val="231F1F"/>
          <w:w w:val="105"/>
        </w:rPr>
        <w:t> ángulo</w:t>
      </w:r>
      <w:r>
        <w:rPr>
          <w:color w:val="231F1F"/>
          <w:w w:val="105"/>
        </w:rPr>
        <w:t> de</w:t>
      </w:r>
      <w:r>
        <w:rPr>
          <w:color w:val="231F1F"/>
          <w:w w:val="105"/>
        </w:rPr>
        <w:t> corte</w:t>
      </w:r>
      <w:r>
        <w:rPr>
          <w:color w:val="231F1F"/>
          <w:w w:val="105"/>
        </w:rPr>
        <w:t> de</w:t>
      </w:r>
      <w:r>
        <w:rPr>
          <w:color w:val="231F1F"/>
          <w:w w:val="105"/>
        </w:rPr>
        <w:t> la</w:t>
      </w:r>
      <w:r>
        <w:rPr>
          <w:color w:val="231F1F"/>
          <w:w w:val="105"/>
        </w:rPr>
        <w:t> episiotomía,</w:t>
      </w:r>
      <w:r>
        <w:rPr>
          <w:color w:val="231F1F"/>
          <w:w w:val="105"/>
        </w:rPr>
        <w:t> in- cluyendo un estudio prospectivo observacional (154), cuyo objetivo fue iden- tificar los factores de riesgo asociados a un desgarro de tercer o cuarto grado. Se</w:t>
      </w:r>
      <w:r>
        <w:rPr>
          <w:color w:val="231F1F"/>
          <w:w w:val="105"/>
        </w:rPr>
        <w:t> incluyeron</w:t>
      </w:r>
      <w:r>
        <w:rPr>
          <w:color w:val="231F1F"/>
          <w:w w:val="105"/>
        </w:rPr>
        <w:t> 241</w:t>
      </w:r>
      <w:r>
        <w:rPr>
          <w:color w:val="231F1F"/>
          <w:w w:val="105"/>
        </w:rPr>
        <w:t> mujeres,</w:t>
      </w:r>
      <w:r>
        <w:rPr>
          <w:color w:val="231F1F"/>
          <w:w w:val="105"/>
        </w:rPr>
        <w:t> de</w:t>
      </w:r>
      <w:r>
        <w:rPr>
          <w:color w:val="231F1F"/>
          <w:w w:val="105"/>
        </w:rPr>
        <w:t> las</w:t>
      </w:r>
      <w:r>
        <w:rPr>
          <w:color w:val="231F1F"/>
          <w:w w:val="105"/>
        </w:rPr>
        <w:t> que</w:t>
      </w:r>
      <w:r>
        <w:rPr>
          <w:color w:val="231F1F"/>
          <w:w w:val="105"/>
        </w:rPr>
        <w:t> el</w:t>
      </w:r>
      <w:r>
        <w:rPr>
          <w:color w:val="231F1F"/>
          <w:w w:val="105"/>
        </w:rPr>
        <w:t> 25%</w:t>
      </w:r>
      <w:r>
        <w:rPr>
          <w:color w:val="231F1F"/>
          <w:w w:val="105"/>
        </w:rPr>
        <w:t> sufrió</w:t>
      </w:r>
      <w:r>
        <w:rPr>
          <w:color w:val="231F1F"/>
          <w:w w:val="105"/>
        </w:rPr>
        <w:t> una</w:t>
      </w:r>
      <w:r>
        <w:rPr>
          <w:color w:val="231F1F"/>
          <w:w w:val="105"/>
        </w:rPr>
        <w:t> lesión</w:t>
      </w:r>
      <w:r>
        <w:rPr>
          <w:color w:val="231F1F"/>
          <w:w w:val="105"/>
        </w:rPr>
        <w:t> del</w:t>
      </w:r>
      <w:r>
        <w:rPr>
          <w:color w:val="231F1F"/>
          <w:w w:val="105"/>
        </w:rPr>
        <w:t> esfínter anal. Una regresión logística indicó que el sobrepeso del niño (p=0,021) y la episiotomía</w:t>
      </w:r>
      <w:r>
        <w:rPr>
          <w:color w:val="231F1F"/>
          <w:w w:val="105"/>
        </w:rPr>
        <w:t> mediolateral:</w:t>
      </w:r>
      <w:r>
        <w:rPr>
          <w:color w:val="231F1F"/>
          <w:w w:val="105"/>
        </w:rPr>
        <w:t> OR</w:t>
      </w:r>
      <w:r>
        <w:rPr>
          <w:color w:val="231F1F"/>
          <w:w w:val="105"/>
        </w:rPr>
        <w:t> 4,04</w:t>
      </w:r>
      <w:r>
        <w:rPr>
          <w:color w:val="231F1F"/>
          <w:w w:val="105"/>
        </w:rPr>
        <w:t> [IC</w:t>
      </w:r>
      <w:r>
        <w:rPr>
          <w:color w:val="231F1F"/>
          <w:w w:val="105"/>
        </w:rPr>
        <w:t> 95%</w:t>
      </w:r>
      <w:r>
        <w:rPr>
          <w:color w:val="231F1F"/>
          <w:w w:val="105"/>
        </w:rPr>
        <w:t> 1,71</w:t>
      </w:r>
      <w:r>
        <w:rPr>
          <w:color w:val="231F1F"/>
          <w:w w:val="105"/>
        </w:rPr>
        <w:t> a</w:t>
      </w:r>
      <w:r>
        <w:rPr>
          <w:color w:val="231F1F"/>
          <w:w w:val="105"/>
        </w:rPr>
        <w:t> 9,56])</w:t>
      </w:r>
      <w:r>
        <w:rPr>
          <w:color w:val="231F1F"/>
          <w:w w:val="105"/>
        </w:rPr>
        <w:t> eran</w:t>
      </w:r>
      <w:r>
        <w:rPr>
          <w:color w:val="231F1F"/>
          <w:w w:val="105"/>
        </w:rPr>
        <w:t> factores</w:t>
      </w:r>
      <w:r>
        <w:rPr>
          <w:color w:val="231F1F"/>
          <w:w w:val="105"/>
        </w:rPr>
        <w:t> de riesgo independientes para la lesión del esfínter. Los resultados indicaron que la</w:t>
      </w:r>
      <w:r>
        <w:rPr>
          <w:color w:val="231F1F"/>
          <w:w w:val="105"/>
        </w:rPr>
        <w:t> orientación</w:t>
      </w:r>
      <w:r>
        <w:rPr>
          <w:color w:val="231F1F"/>
          <w:w w:val="105"/>
        </w:rPr>
        <w:t> de</w:t>
      </w:r>
      <w:r>
        <w:rPr>
          <w:color w:val="231F1F"/>
          <w:w w:val="105"/>
        </w:rPr>
        <w:t> la</w:t>
      </w:r>
      <w:r>
        <w:rPr>
          <w:color w:val="231F1F"/>
          <w:w w:val="105"/>
        </w:rPr>
        <w:t> episiotomía</w:t>
      </w:r>
      <w:r>
        <w:rPr>
          <w:color w:val="231F1F"/>
          <w:w w:val="105"/>
        </w:rPr>
        <w:t> hacia</w:t>
      </w:r>
      <w:r>
        <w:rPr>
          <w:color w:val="231F1F"/>
          <w:w w:val="105"/>
        </w:rPr>
        <w:t> la</w:t>
      </w:r>
      <w:r>
        <w:rPr>
          <w:color w:val="231F1F"/>
          <w:w w:val="105"/>
        </w:rPr>
        <w:t> línea</w:t>
      </w:r>
      <w:r>
        <w:rPr>
          <w:color w:val="231F1F"/>
          <w:w w:val="105"/>
        </w:rPr>
        <w:t> media</w:t>
      </w:r>
      <w:r>
        <w:rPr>
          <w:color w:val="231F1F"/>
          <w:w w:val="105"/>
        </w:rPr>
        <w:t> estaba</w:t>
      </w:r>
      <w:r>
        <w:rPr>
          <w:color w:val="231F1F"/>
          <w:w w:val="105"/>
        </w:rPr>
        <w:t> asociada</w:t>
      </w:r>
      <w:r>
        <w:rPr>
          <w:color w:val="231F1F"/>
          <w:w w:val="105"/>
        </w:rPr>
        <w:t> a</w:t>
      </w:r>
      <w:r>
        <w:rPr>
          <w:color w:val="231F1F"/>
          <w:w w:val="105"/>
        </w:rPr>
        <w:t> un mayor</w:t>
      </w:r>
      <w:r>
        <w:rPr>
          <w:color w:val="231F1F"/>
          <w:spacing w:val="20"/>
          <w:w w:val="105"/>
        </w:rPr>
        <w:t> </w:t>
      </w:r>
      <w:r>
        <w:rPr>
          <w:color w:val="231F1F"/>
          <w:w w:val="105"/>
        </w:rPr>
        <w:t>número</w:t>
      </w:r>
      <w:r>
        <w:rPr>
          <w:color w:val="231F1F"/>
          <w:spacing w:val="20"/>
          <w:w w:val="105"/>
        </w:rPr>
        <w:t> </w:t>
      </w:r>
      <w:r>
        <w:rPr>
          <w:color w:val="231F1F"/>
          <w:w w:val="105"/>
        </w:rPr>
        <w:t>de</w:t>
      </w:r>
      <w:r>
        <w:rPr>
          <w:color w:val="231F1F"/>
          <w:spacing w:val="20"/>
          <w:w w:val="105"/>
        </w:rPr>
        <w:t> </w:t>
      </w:r>
      <w:r>
        <w:rPr>
          <w:color w:val="231F1F"/>
          <w:w w:val="105"/>
        </w:rPr>
        <w:t>lesiones</w:t>
      </w:r>
      <w:r>
        <w:rPr>
          <w:color w:val="231F1F"/>
          <w:spacing w:val="20"/>
          <w:w w:val="105"/>
        </w:rPr>
        <w:t> </w:t>
      </w:r>
      <w:r>
        <w:rPr>
          <w:color w:val="231F1F"/>
          <w:w w:val="105"/>
        </w:rPr>
        <w:t>del</w:t>
      </w:r>
      <w:r>
        <w:rPr>
          <w:color w:val="231F1F"/>
          <w:spacing w:val="20"/>
          <w:w w:val="105"/>
        </w:rPr>
        <w:t> </w:t>
      </w:r>
      <w:r>
        <w:rPr>
          <w:color w:val="231F1F"/>
          <w:w w:val="105"/>
        </w:rPr>
        <w:t>esfínter</w:t>
      </w:r>
      <w:r>
        <w:rPr>
          <w:color w:val="231F1F"/>
          <w:spacing w:val="21"/>
          <w:w w:val="105"/>
        </w:rPr>
        <w:t> </w:t>
      </w:r>
      <w:r>
        <w:rPr>
          <w:color w:val="231F1F"/>
          <w:w w:val="105"/>
        </w:rPr>
        <w:t>anal</w:t>
      </w:r>
      <w:r>
        <w:rPr>
          <w:color w:val="231F1F"/>
          <w:spacing w:val="20"/>
          <w:w w:val="105"/>
        </w:rPr>
        <w:t> </w:t>
      </w:r>
      <w:r>
        <w:rPr>
          <w:color w:val="231F1F"/>
          <w:w w:val="105"/>
        </w:rPr>
        <w:t>(p=0,01)</w:t>
      </w:r>
      <w:r>
        <w:rPr>
          <w:color w:val="231F1F"/>
          <w:spacing w:val="20"/>
          <w:w w:val="105"/>
        </w:rPr>
        <w:t> </w:t>
      </w:r>
      <w:r>
        <w:rPr>
          <w:color w:val="231F1F"/>
          <w:w w:val="105"/>
        </w:rPr>
        <w:t>y</w:t>
      </w:r>
      <w:r>
        <w:rPr>
          <w:color w:val="231F1F"/>
          <w:spacing w:val="20"/>
          <w:w w:val="105"/>
        </w:rPr>
        <w:t> </w:t>
      </w:r>
      <w:r>
        <w:rPr>
          <w:color w:val="231F1F"/>
          <w:w w:val="105"/>
        </w:rPr>
        <w:t>que</w:t>
      </w:r>
      <w:r>
        <w:rPr>
          <w:color w:val="231F1F"/>
          <w:spacing w:val="20"/>
          <w:w w:val="105"/>
        </w:rPr>
        <w:t> </w:t>
      </w:r>
      <w:r>
        <w:rPr>
          <w:color w:val="231F1F"/>
          <w:w w:val="105"/>
        </w:rPr>
        <w:t>ninguna</w:t>
      </w:r>
      <w:r>
        <w:rPr>
          <w:color w:val="231F1F"/>
          <w:spacing w:val="20"/>
          <w:w w:val="105"/>
        </w:rPr>
        <w:t> </w:t>
      </w:r>
      <w:r>
        <w:rPr>
          <w:color w:val="231F1F"/>
          <w:w w:val="105"/>
        </w:rPr>
        <w:t>matrona y sólo el 22% de los obstetras realizaban verdaderas episiotomías mediolate- rales</w:t>
      </w:r>
      <w:r>
        <w:rPr>
          <w:color w:val="231F1F"/>
          <w:spacing w:val="40"/>
          <w:w w:val="105"/>
        </w:rPr>
        <w:t> </w:t>
      </w:r>
      <w:r>
        <w:rPr>
          <w:color w:val="231F1F"/>
          <w:w w:val="105"/>
        </w:rPr>
        <w:t>(definidas</w:t>
      </w:r>
      <w:r>
        <w:rPr>
          <w:color w:val="231F1F"/>
          <w:spacing w:val="40"/>
          <w:w w:val="105"/>
        </w:rPr>
        <w:t> </w:t>
      </w:r>
      <w:r>
        <w:rPr>
          <w:color w:val="231F1F"/>
          <w:w w:val="105"/>
        </w:rPr>
        <w:t>como</w:t>
      </w:r>
      <w:r>
        <w:rPr>
          <w:color w:val="231F1F"/>
          <w:spacing w:val="40"/>
          <w:w w:val="105"/>
        </w:rPr>
        <w:t> </w:t>
      </w:r>
      <w:r>
        <w:rPr>
          <w:color w:val="231F1F"/>
          <w:w w:val="105"/>
        </w:rPr>
        <w:t>al</w:t>
      </w:r>
      <w:r>
        <w:rPr>
          <w:color w:val="231F1F"/>
          <w:spacing w:val="40"/>
          <w:w w:val="105"/>
        </w:rPr>
        <w:t> </w:t>
      </w:r>
      <w:r>
        <w:rPr>
          <w:color w:val="231F1F"/>
          <w:w w:val="105"/>
        </w:rPr>
        <w:t>menos</w:t>
      </w:r>
      <w:r>
        <w:rPr>
          <w:color w:val="231F1F"/>
          <w:spacing w:val="40"/>
          <w:w w:val="105"/>
        </w:rPr>
        <w:t> </w:t>
      </w:r>
      <w:r>
        <w:rPr>
          <w:color w:val="231F1F"/>
          <w:w w:val="105"/>
        </w:rPr>
        <w:t>40</w:t>
      </w:r>
      <w:r>
        <w:rPr>
          <w:color w:val="231F1F"/>
          <w:spacing w:val="40"/>
          <w:w w:val="105"/>
        </w:rPr>
        <w:t> </w:t>
      </w:r>
      <w:r>
        <w:rPr>
          <w:color w:val="231F1F"/>
          <w:w w:val="105"/>
        </w:rPr>
        <w:t>grados</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línea</w:t>
      </w:r>
      <w:r>
        <w:rPr>
          <w:color w:val="231F1F"/>
          <w:spacing w:val="40"/>
          <w:w w:val="105"/>
        </w:rPr>
        <w:t> </w:t>
      </w:r>
      <w:r>
        <w:rPr>
          <w:color w:val="231F1F"/>
          <w:w w:val="105"/>
        </w:rPr>
        <w:t>media).</w:t>
      </w:r>
    </w:p>
    <w:p>
      <w:pPr>
        <w:pStyle w:val="BodyText"/>
        <w:spacing w:before="78"/>
      </w:pPr>
    </w:p>
    <w:p>
      <w:pPr>
        <w:pStyle w:val="Heading5"/>
        <w:jc w:val="both"/>
      </w:pPr>
      <w:r>
        <w:rPr>
          <w:color w:val="231F1F"/>
        </w:rPr>
        <w:t>Parto</w:t>
      </w:r>
      <w:r>
        <w:rPr>
          <w:color w:val="231F1F"/>
          <w:spacing w:val="-8"/>
        </w:rPr>
        <w:t> </w:t>
      </w:r>
      <w:r>
        <w:rPr>
          <w:color w:val="231F1F"/>
        </w:rPr>
        <w:t>vaginal</w:t>
      </w:r>
      <w:r>
        <w:rPr>
          <w:color w:val="231F1F"/>
          <w:spacing w:val="-7"/>
        </w:rPr>
        <w:t> </w:t>
      </w:r>
      <w:r>
        <w:rPr>
          <w:color w:val="231F1F"/>
        </w:rPr>
        <w:t>tras</w:t>
      </w:r>
      <w:r>
        <w:rPr>
          <w:color w:val="231F1F"/>
          <w:spacing w:val="-6"/>
        </w:rPr>
        <w:t> </w:t>
      </w:r>
      <w:r>
        <w:rPr>
          <w:color w:val="231F1F"/>
        </w:rPr>
        <w:t>previo</w:t>
      </w:r>
      <w:r>
        <w:rPr>
          <w:color w:val="231F1F"/>
          <w:spacing w:val="-5"/>
        </w:rPr>
        <w:t> </w:t>
      </w:r>
      <w:r>
        <w:rPr>
          <w:color w:val="231F1F"/>
        </w:rPr>
        <w:t>desgarro</w:t>
      </w:r>
      <w:r>
        <w:rPr>
          <w:color w:val="231F1F"/>
          <w:spacing w:val="-6"/>
        </w:rPr>
        <w:t> </w:t>
      </w:r>
      <w:r>
        <w:rPr>
          <w:color w:val="231F1F"/>
        </w:rPr>
        <w:t>perineal</w:t>
      </w:r>
      <w:r>
        <w:rPr>
          <w:color w:val="231F1F"/>
          <w:spacing w:val="-8"/>
        </w:rPr>
        <w:t> </w:t>
      </w:r>
      <w:r>
        <w:rPr>
          <w:color w:val="231F1F"/>
        </w:rPr>
        <w:t>de</w:t>
      </w:r>
      <w:r>
        <w:rPr>
          <w:color w:val="231F1F"/>
          <w:spacing w:val="-7"/>
        </w:rPr>
        <w:t> </w:t>
      </w:r>
      <w:r>
        <w:rPr>
          <w:color w:val="231F1F"/>
        </w:rPr>
        <w:t>tercer</w:t>
      </w:r>
      <w:r>
        <w:rPr>
          <w:color w:val="231F1F"/>
          <w:spacing w:val="-5"/>
        </w:rPr>
        <w:t> </w:t>
      </w:r>
      <w:r>
        <w:rPr>
          <w:color w:val="231F1F"/>
        </w:rPr>
        <w:t>o</w:t>
      </w:r>
      <w:r>
        <w:rPr>
          <w:color w:val="231F1F"/>
          <w:spacing w:val="-7"/>
        </w:rPr>
        <w:t> </w:t>
      </w:r>
      <w:r>
        <w:rPr>
          <w:color w:val="231F1F"/>
        </w:rPr>
        <w:t>cuarto</w:t>
      </w:r>
      <w:r>
        <w:rPr>
          <w:color w:val="231F1F"/>
          <w:spacing w:val="-6"/>
        </w:rPr>
        <w:t> </w:t>
      </w:r>
      <w:r>
        <w:rPr>
          <w:color w:val="231F1F"/>
          <w:spacing w:val="-2"/>
        </w:rPr>
        <w:t>grado</w:t>
      </w:r>
    </w:p>
    <w:p>
      <w:pPr>
        <w:pStyle w:val="BodyText"/>
        <w:spacing w:line="230" w:lineRule="auto" w:before="198"/>
        <w:ind w:left="283"/>
        <w:jc w:val="both"/>
      </w:pPr>
      <w:r>
        <w:rPr>
          <w:color w:val="231F1F"/>
          <w:w w:val="105"/>
        </w:rPr>
        <w:t>La</w:t>
      </w:r>
      <w:r>
        <w:rPr>
          <w:color w:val="231F1F"/>
          <w:spacing w:val="-3"/>
          <w:w w:val="105"/>
        </w:rPr>
        <w:t> </w:t>
      </w:r>
      <w:r>
        <w:rPr>
          <w:color w:val="231F1F"/>
          <w:w w:val="105"/>
        </w:rPr>
        <w:t>guía</w:t>
      </w:r>
      <w:r>
        <w:rPr>
          <w:color w:val="231F1F"/>
          <w:spacing w:val="-3"/>
          <w:w w:val="105"/>
        </w:rPr>
        <w:t> </w:t>
      </w:r>
      <w:r>
        <w:rPr>
          <w:color w:val="231F1F"/>
          <w:w w:val="105"/>
        </w:rPr>
        <w:t>NICE</w:t>
      </w:r>
      <w:r>
        <w:rPr>
          <w:color w:val="231F1F"/>
          <w:spacing w:val="-3"/>
          <w:w w:val="105"/>
        </w:rPr>
        <w:t> </w:t>
      </w:r>
      <w:r>
        <w:rPr>
          <w:color w:val="231F1F"/>
          <w:w w:val="105"/>
        </w:rPr>
        <w:t>(10)</w:t>
      </w:r>
      <w:r>
        <w:rPr>
          <w:color w:val="231F1F"/>
          <w:spacing w:val="-3"/>
          <w:w w:val="105"/>
        </w:rPr>
        <w:t> </w:t>
      </w:r>
      <w:r>
        <w:rPr>
          <w:color w:val="231F1F"/>
          <w:w w:val="105"/>
        </w:rPr>
        <w:t>incluye</w:t>
      </w:r>
      <w:r>
        <w:rPr>
          <w:color w:val="231F1F"/>
          <w:spacing w:val="-3"/>
          <w:w w:val="105"/>
        </w:rPr>
        <w:t> </w:t>
      </w:r>
      <w:r>
        <w:rPr>
          <w:color w:val="231F1F"/>
          <w:w w:val="105"/>
        </w:rPr>
        <w:t>en</w:t>
      </w:r>
      <w:r>
        <w:rPr>
          <w:color w:val="231F1F"/>
          <w:spacing w:val="-3"/>
          <w:w w:val="105"/>
        </w:rPr>
        <w:t> </w:t>
      </w:r>
      <w:r>
        <w:rPr>
          <w:color w:val="231F1F"/>
          <w:w w:val="105"/>
        </w:rPr>
        <w:t>esta</w:t>
      </w:r>
      <w:r>
        <w:rPr>
          <w:color w:val="231F1F"/>
          <w:spacing w:val="-3"/>
          <w:w w:val="105"/>
        </w:rPr>
        <w:t> </w:t>
      </w:r>
      <w:r>
        <w:rPr>
          <w:color w:val="231F1F"/>
          <w:w w:val="105"/>
        </w:rPr>
        <w:t>sección</w:t>
      </w:r>
      <w:r>
        <w:rPr>
          <w:color w:val="231F1F"/>
          <w:spacing w:val="-4"/>
          <w:w w:val="105"/>
        </w:rPr>
        <w:t> </w:t>
      </w:r>
      <w:r>
        <w:rPr>
          <w:color w:val="231F1F"/>
          <w:w w:val="105"/>
        </w:rPr>
        <w:t>dos</w:t>
      </w:r>
      <w:r>
        <w:rPr>
          <w:color w:val="231F1F"/>
          <w:spacing w:val="-3"/>
          <w:w w:val="105"/>
        </w:rPr>
        <w:t> </w:t>
      </w:r>
      <w:r>
        <w:rPr>
          <w:color w:val="231F1F"/>
          <w:w w:val="105"/>
        </w:rPr>
        <w:t>estudios</w:t>
      </w:r>
      <w:r>
        <w:rPr>
          <w:color w:val="231F1F"/>
          <w:spacing w:val="-3"/>
          <w:w w:val="105"/>
        </w:rPr>
        <w:t> </w:t>
      </w:r>
      <w:r>
        <w:rPr>
          <w:color w:val="231F1F"/>
          <w:w w:val="105"/>
        </w:rPr>
        <w:t>descriptivos</w:t>
      </w:r>
      <w:r>
        <w:rPr>
          <w:color w:val="231F1F"/>
          <w:spacing w:val="-4"/>
          <w:w w:val="105"/>
        </w:rPr>
        <w:t> </w:t>
      </w:r>
      <w:r>
        <w:rPr>
          <w:color w:val="231F1F"/>
          <w:w w:val="105"/>
        </w:rPr>
        <w:t>(155;156) que</w:t>
      </w:r>
      <w:r>
        <w:rPr>
          <w:color w:val="231F1F"/>
          <w:w w:val="105"/>
        </w:rPr>
        <w:t> evaluán</w:t>
      </w:r>
      <w:r>
        <w:rPr>
          <w:color w:val="231F1F"/>
          <w:w w:val="105"/>
        </w:rPr>
        <w:t> la</w:t>
      </w:r>
      <w:r>
        <w:rPr>
          <w:color w:val="231F1F"/>
          <w:w w:val="105"/>
        </w:rPr>
        <w:t> recurrencia</w:t>
      </w:r>
      <w:r>
        <w:rPr>
          <w:color w:val="231F1F"/>
          <w:w w:val="105"/>
        </w:rPr>
        <w:t> de</w:t>
      </w:r>
      <w:r>
        <w:rPr>
          <w:color w:val="231F1F"/>
          <w:w w:val="105"/>
        </w:rPr>
        <w:t> desgarro</w:t>
      </w:r>
      <w:r>
        <w:rPr>
          <w:color w:val="231F1F"/>
          <w:w w:val="105"/>
        </w:rPr>
        <w:t> de</w:t>
      </w:r>
      <w:r>
        <w:rPr>
          <w:color w:val="231F1F"/>
          <w:w w:val="105"/>
        </w:rPr>
        <w:t> tercer</w:t>
      </w:r>
      <w:r>
        <w:rPr>
          <w:color w:val="231F1F"/>
          <w:w w:val="105"/>
        </w:rPr>
        <w:t> o</w:t>
      </w:r>
      <w:r>
        <w:rPr>
          <w:color w:val="231F1F"/>
          <w:w w:val="105"/>
        </w:rPr>
        <w:t> cuarto</w:t>
      </w:r>
      <w:r>
        <w:rPr>
          <w:color w:val="231F1F"/>
          <w:w w:val="105"/>
        </w:rPr>
        <w:t> grado</w:t>
      </w:r>
      <w:r>
        <w:rPr>
          <w:color w:val="231F1F"/>
          <w:w w:val="105"/>
        </w:rPr>
        <w:t> en</w:t>
      </w:r>
      <w:r>
        <w:rPr>
          <w:color w:val="231F1F"/>
          <w:w w:val="105"/>
        </w:rPr>
        <w:t> mujeres</w:t>
      </w:r>
      <w:r>
        <w:rPr>
          <w:color w:val="231F1F"/>
          <w:spacing w:val="80"/>
          <w:w w:val="105"/>
        </w:rPr>
        <w:t> </w:t>
      </w:r>
      <w:r>
        <w:rPr>
          <w:color w:val="231F1F"/>
          <w:w w:val="105"/>
        </w:rPr>
        <w:t>que los han padecido en partos previos. Un tercer estudio de cohortes retros- pectivo (157) examina la incidencia de incontinencia anal con desgarros pre- vios de tercer o cuarto grado.</w:t>
      </w:r>
    </w:p>
    <w:p>
      <w:pPr>
        <w:pStyle w:val="BodyText"/>
        <w:spacing w:line="249" w:lineRule="auto" w:before="88"/>
        <w:ind w:left="283" w:firstLine="453"/>
        <w:jc w:val="both"/>
      </w:pPr>
      <w:r>
        <w:rPr>
          <w:color w:val="231F1F"/>
          <w:w w:val="105"/>
        </w:rPr>
        <w:t>El</w:t>
      </w:r>
      <w:r>
        <w:rPr>
          <w:color w:val="231F1F"/>
          <w:w w:val="105"/>
        </w:rPr>
        <w:t> estudio</w:t>
      </w:r>
      <w:r>
        <w:rPr>
          <w:color w:val="231F1F"/>
          <w:w w:val="105"/>
        </w:rPr>
        <w:t> poblacional</w:t>
      </w:r>
      <w:r>
        <w:rPr>
          <w:color w:val="231F1F"/>
          <w:w w:val="105"/>
        </w:rPr>
        <w:t> retrospectivo</w:t>
      </w:r>
      <w:r>
        <w:rPr>
          <w:color w:val="231F1F"/>
          <w:w w:val="105"/>
        </w:rPr>
        <w:t> llevado</w:t>
      </w:r>
      <w:r>
        <w:rPr>
          <w:color w:val="231F1F"/>
          <w:w w:val="105"/>
        </w:rPr>
        <w:t> acabo</w:t>
      </w:r>
      <w:r>
        <w:rPr>
          <w:color w:val="231F1F"/>
          <w:w w:val="105"/>
        </w:rPr>
        <w:t> en</w:t>
      </w:r>
      <w:r>
        <w:rPr>
          <w:color w:val="231F1F"/>
          <w:w w:val="105"/>
        </w:rPr>
        <w:t> el</w:t>
      </w:r>
      <w:r>
        <w:rPr>
          <w:color w:val="231F1F"/>
          <w:w w:val="105"/>
        </w:rPr>
        <w:t> Reino</w:t>
      </w:r>
      <w:r>
        <w:rPr>
          <w:color w:val="231F1F"/>
          <w:w w:val="105"/>
        </w:rPr>
        <w:t> Unido (155),</w:t>
      </w:r>
      <w:r>
        <w:rPr>
          <w:color w:val="231F1F"/>
          <w:w w:val="105"/>
        </w:rPr>
        <w:t> estudió</w:t>
      </w:r>
      <w:r>
        <w:rPr>
          <w:color w:val="231F1F"/>
          <w:w w:val="105"/>
        </w:rPr>
        <w:t> la</w:t>
      </w:r>
      <w:r>
        <w:rPr>
          <w:color w:val="231F1F"/>
          <w:w w:val="105"/>
        </w:rPr>
        <w:t> incidencia</w:t>
      </w:r>
      <w:r>
        <w:rPr>
          <w:color w:val="231F1F"/>
          <w:w w:val="105"/>
        </w:rPr>
        <w:t> de</w:t>
      </w:r>
      <w:r>
        <w:rPr>
          <w:color w:val="231F1F"/>
          <w:w w:val="105"/>
        </w:rPr>
        <w:t> recurrencias</w:t>
      </w:r>
      <w:r>
        <w:rPr>
          <w:color w:val="231F1F"/>
          <w:w w:val="105"/>
        </w:rPr>
        <w:t> de</w:t>
      </w:r>
      <w:r>
        <w:rPr>
          <w:color w:val="231F1F"/>
          <w:w w:val="105"/>
        </w:rPr>
        <w:t> desgarros</w:t>
      </w:r>
      <w:r>
        <w:rPr>
          <w:color w:val="231F1F"/>
          <w:w w:val="105"/>
        </w:rPr>
        <w:t> de</w:t>
      </w:r>
      <w:r>
        <w:rPr>
          <w:color w:val="231F1F"/>
          <w:w w:val="105"/>
        </w:rPr>
        <w:t> tercer</w:t>
      </w:r>
      <w:r>
        <w:rPr>
          <w:color w:val="231F1F"/>
          <w:w w:val="105"/>
        </w:rPr>
        <w:t> o</w:t>
      </w:r>
      <w:r>
        <w:rPr>
          <w:color w:val="231F1F"/>
          <w:w w:val="105"/>
        </w:rPr>
        <w:t> cuarto grado en una población de 16.152 mujeres. De entre éstas, 14.990 tuvieron un parto vaginal y la incidencia de recurrencia de laceración severa fue del 5,7%. Además, la recurrencia fue mayor en el grupo de mujeres que habían sufrido un</w:t>
      </w:r>
      <w:r>
        <w:rPr>
          <w:color w:val="231F1F"/>
          <w:spacing w:val="30"/>
          <w:w w:val="105"/>
        </w:rPr>
        <w:t> </w:t>
      </w:r>
      <w:r>
        <w:rPr>
          <w:color w:val="231F1F"/>
          <w:w w:val="105"/>
        </w:rPr>
        <w:t>desgarro</w:t>
      </w:r>
      <w:r>
        <w:rPr>
          <w:color w:val="231F1F"/>
          <w:spacing w:val="30"/>
          <w:w w:val="105"/>
        </w:rPr>
        <w:t> </w:t>
      </w:r>
      <w:r>
        <w:rPr>
          <w:color w:val="231F1F"/>
          <w:w w:val="105"/>
        </w:rPr>
        <w:t>de</w:t>
      </w:r>
      <w:r>
        <w:rPr>
          <w:color w:val="231F1F"/>
          <w:spacing w:val="30"/>
          <w:w w:val="105"/>
        </w:rPr>
        <w:t> </w:t>
      </w:r>
      <w:r>
        <w:rPr>
          <w:color w:val="231F1F"/>
          <w:w w:val="105"/>
        </w:rPr>
        <w:t>cuarto</w:t>
      </w:r>
      <w:r>
        <w:rPr>
          <w:color w:val="231F1F"/>
          <w:spacing w:val="30"/>
          <w:w w:val="105"/>
        </w:rPr>
        <w:t> </w:t>
      </w:r>
      <w:r>
        <w:rPr>
          <w:color w:val="231F1F"/>
          <w:w w:val="105"/>
        </w:rPr>
        <w:t>grado,</w:t>
      </w:r>
      <w:r>
        <w:rPr>
          <w:color w:val="231F1F"/>
          <w:spacing w:val="29"/>
          <w:w w:val="105"/>
        </w:rPr>
        <w:t> </w:t>
      </w:r>
      <w:r>
        <w:rPr>
          <w:color w:val="231F1F"/>
          <w:w w:val="105"/>
        </w:rPr>
        <w:t>en</w:t>
      </w:r>
      <w:r>
        <w:rPr>
          <w:color w:val="231F1F"/>
          <w:spacing w:val="30"/>
          <w:w w:val="105"/>
        </w:rPr>
        <w:t> </w:t>
      </w:r>
      <w:r>
        <w:rPr>
          <w:color w:val="231F1F"/>
          <w:w w:val="105"/>
        </w:rPr>
        <w:t>comparación</w:t>
      </w:r>
      <w:r>
        <w:rPr>
          <w:color w:val="231F1F"/>
          <w:spacing w:val="30"/>
          <w:w w:val="105"/>
        </w:rPr>
        <w:t> </w:t>
      </w:r>
      <w:r>
        <w:rPr>
          <w:color w:val="231F1F"/>
          <w:w w:val="105"/>
        </w:rPr>
        <w:t>con</w:t>
      </w:r>
      <w:r>
        <w:rPr>
          <w:color w:val="231F1F"/>
          <w:spacing w:val="30"/>
          <w:w w:val="105"/>
        </w:rPr>
        <w:t> </w:t>
      </w:r>
      <w:r>
        <w:rPr>
          <w:color w:val="231F1F"/>
          <w:w w:val="105"/>
        </w:rPr>
        <w:t>las</w:t>
      </w:r>
      <w:r>
        <w:rPr>
          <w:color w:val="231F1F"/>
          <w:spacing w:val="30"/>
          <w:w w:val="105"/>
        </w:rPr>
        <w:t> </w:t>
      </w:r>
      <w:r>
        <w:rPr>
          <w:color w:val="231F1F"/>
          <w:w w:val="105"/>
        </w:rPr>
        <w:t>mujeres</w:t>
      </w:r>
      <w:r>
        <w:rPr>
          <w:color w:val="231F1F"/>
          <w:spacing w:val="30"/>
          <w:w w:val="105"/>
        </w:rPr>
        <w:t> </w:t>
      </w:r>
      <w:r>
        <w:rPr>
          <w:color w:val="231F1F"/>
          <w:w w:val="105"/>
        </w:rPr>
        <w:t>con</w:t>
      </w:r>
      <w:r>
        <w:rPr>
          <w:color w:val="231F1F"/>
          <w:spacing w:val="30"/>
          <w:w w:val="105"/>
        </w:rPr>
        <w:t> </w:t>
      </w:r>
      <w:r>
        <w:rPr>
          <w:color w:val="231F1F"/>
          <w:w w:val="105"/>
        </w:rPr>
        <w:t>desgarro de</w:t>
      </w:r>
      <w:r>
        <w:rPr>
          <w:color w:val="231F1F"/>
          <w:w w:val="105"/>
        </w:rPr>
        <w:t> tercer</w:t>
      </w:r>
      <w:r>
        <w:rPr>
          <w:color w:val="231F1F"/>
          <w:w w:val="105"/>
        </w:rPr>
        <w:t> grado</w:t>
      </w:r>
      <w:r>
        <w:rPr>
          <w:color w:val="231F1F"/>
          <w:w w:val="105"/>
        </w:rPr>
        <w:t> (7,7%</w:t>
      </w:r>
      <w:r>
        <w:rPr>
          <w:color w:val="231F1F"/>
          <w:w w:val="105"/>
        </w:rPr>
        <w:t> y</w:t>
      </w:r>
      <w:r>
        <w:rPr>
          <w:color w:val="231F1F"/>
          <w:w w:val="105"/>
        </w:rPr>
        <w:t> 4,7%,</w:t>
      </w:r>
      <w:r>
        <w:rPr>
          <w:color w:val="231F1F"/>
          <w:w w:val="105"/>
        </w:rPr>
        <w:t> respectivamente).</w:t>
      </w:r>
      <w:r>
        <w:rPr>
          <w:color w:val="231F1F"/>
          <w:w w:val="105"/>
        </w:rPr>
        <w:t> Se</w:t>
      </w:r>
      <w:r>
        <w:rPr>
          <w:color w:val="231F1F"/>
          <w:w w:val="105"/>
        </w:rPr>
        <w:t> realizó</w:t>
      </w:r>
      <w:r>
        <w:rPr>
          <w:color w:val="231F1F"/>
          <w:w w:val="105"/>
        </w:rPr>
        <w:t> un</w:t>
      </w:r>
      <w:r>
        <w:rPr>
          <w:color w:val="231F1F"/>
          <w:w w:val="105"/>
        </w:rPr>
        <w:t> análisis</w:t>
      </w:r>
      <w:r>
        <w:rPr>
          <w:color w:val="231F1F"/>
          <w:w w:val="105"/>
        </w:rPr>
        <w:t> de regresión</w:t>
      </w:r>
      <w:r>
        <w:rPr>
          <w:color w:val="231F1F"/>
          <w:w w:val="105"/>
        </w:rPr>
        <w:t> logística</w:t>
      </w:r>
      <w:r>
        <w:rPr>
          <w:color w:val="231F1F"/>
          <w:w w:val="105"/>
        </w:rPr>
        <w:t> múltiple</w:t>
      </w:r>
      <w:r>
        <w:rPr>
          <w:color w:val="231F1F"/>
          <w:w w:val="105"/>
        </w:rPr>
        <w:t> para</w:t>
      </w:r>
      <w:r>
        <w:rPr>
          <w:color w:val="231F1F"/>
          <w:w w:val="105"/>
        </w:rPr>
        <w:t> estimar</w:t>
      </w:r>
      <w:r>
        <w:rPr>
          <w:color w:val="231F1F"/>
          <w:w w:val="105"/>
        </w:rPr>
        <w:t> la</w:t>
      </w:r>
      <w:r>
        <w:rPr>
          <w:color w:val="231F1F"/>
          <w:w w:val="105"/>
        </w:rPr>
        <w:t> asociación</w:t>
      </w:r>
      <w:r>
        <w:rPr>
          <w:color w:val="231F1F"/>
          <w:w w:val="105"/>
        </w:rPr>
        <w:t> de</w:t>
      </w:r>
      <w:r>
        <w:rPr>
          <w:color w:val="231F1F"/>
          <w:w w:val="105"/>
        </w:rPr>
        <w:t> la</w:t>
      </w:r>
      <w:r>
        <w:rPr>
          <w:color w:val="231F1F"/>
          <w:w w:val="105"/>
        </w:rPr>
        <w:t> utilización</w:t>
      </w:r>
      <w:r>
        <w:rPr>
          <w:color w:val="231F1F"/>
          <w:w w:val="105"/>
        </w:rPr>
        <w:t> de fórceps, extracción al vacío, episiotomía, la edad de la mujer y el año de na- cimiento como factores de riesgo independientes para la laceración recurren- te,</w:t>
      </w:r>
      <w:r>
        <w:rPr>
          <w:color w:val="231F1F"/>
          <w:w w:val="105"/>
        </w:rPr>
        <w:t> y</w:t>
      </w:r>
      <w:r>
        <w:rPr>
          <w:color w:val="231F1F"/>
          <w:w w:val="105"/>
        </w:rPr>
        <w:t> todos</w:t>
      </w:r>
      <w:r>
        <w:rPr>
          <w:color w:val="231F1F"/>
          <w:w w:val="105"/>
        </w:rPr>
        <w:t> resultaron</w:t>
      </w:r>
      <w:r>
        <w:rPr>
          <w:color w:val="231F1F"/>
          <w:w w:val="105"/>
        </w:rPr>
        <w:t> ser</w:t>
      </w:r>
      <w:r>
        <w:rPr>
          <w:color w:val="231F1F"/>
          <w:w w:val="105"/>
        </w:rPr>
        <w:t> significativos</w:t>
      </w:r>
      <w:r>
        <w:rPr>
          <w:color w:val="231F1F"/>
          <w:w w:val="105"/>
        </w:rPr>
        <w:t> factores</w:t>
      </w:r>
      <w:r>
        <w:rPr>
          <w:color w:val="231F1F"/>
          <w:w w:val="105"/>
        </w:rPr>
        <w:t> de</w:t>
      </w:r>
      <w:r>
        <w:rPr>
          <w:color w:val="231F1F"/>
          <w:w w:val="105"/>
        </w:rPr>
        <w:t> riesgo</w:t>
      </w:r>
      <w:r>
        <w:rPr>
          <w:color w:val="231F1F"/>
          <w:w w:val="105"/>
        </w:rPr>
        <w:t> independientes. Aunque, cabe mencionar que se informa que en el</w:t>
      </w:r>
      <w:r>
        <w:rPr>
          <w:color w:val="231F1F"/>
          <w:w w:val="105"/>
        </w:rPr>
        <w:t> modelo estadístico no fueron incluidos algunos otros factores de confusión importantes, tales como: la paridad, el peso al nacer y la indicación para el parto vaginal instrumental.</w:t>
      </w:r>
    </w:p>
    <w:p>
      <w:pPr>
        <w:spacing w:line="278" w:lineRule="auto" w:before="104"/>
        <w:ind w:left="401" w:right="0" w:hanging="199"/>
        <w:jc w:val="left"/>
        <w:rPr>
          <w:rFonts w:ascii="Arial MT"/>
          <w:sz w:val="18"/>
        </w:rPr>
      </w:pPr>
      <w:r>
        <w:rPr/>
        <w:br w:type="column"/>
      </w: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525" w:right="0" w:firstLine="0"/>
        <w:jc w:val="left"/>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9"/>
        <w:rPr>
          <w:rFonts w:ascii="Arial MT"/>
          <w:sz w:val="18"/>
        </w:rPr>
      </w:pPr>
    </w:p>
    <w:p>
      <w:pPr>
        <w:spacing w:line="278" w:lineRule="auto" w:before="0"/>
        <w:ind w:left="381" w:right="0" w:hanging="243"/>
        <w:jc w:val="left"/>
        <w:rPr>
          <w:rFonts w:ascii="Arial MT"/>
          <w:sz w:val="18"/>
        </w:rPr>
      </w:pPr>
      <w:r>
        <w:rPr>
          <w:rFonts w:ascii="Arial MT"/>
          <w:color w:val="231F1F"/>
          <w:spacing w:val="-4"/>
          <w:sz w:val="18"/>
        </w:rPr>
        <w:t>E.</w:t>
      </w:r>
      <w:r>
        <w:rPr>
          <w:rFonts w:ascii="Arial MT"/>
          <w:color w:val="231F1F"/>
          <w:spacing w:val="-18"/>
          <w:sz w:val="18"/>
        </w:rPr>
        <w:t> </w:t>
      </w:r>
      <w:r>
        <w:rPr>
          <w:rFonts w:ascii="Arial MT"/>
          <w:color w:val="231F1F"/>
          <w:spacing w:val="-4"/>
          <w:sz w:val="18"/>
        </w:rPr>
        <w:t>Observa- </w:t>
      </w:r>
      <w:r>
        <w:rPr>
          <w:rFonts w:ascii="Arial MT"/>
          <w:color w:val="231F1F"/>
          <w:spacing w:val="-2"/>
          <w:sz w:val="18"/>
        </w:rPr>
        <w:t>cional</w:t>
      </w:r>
    </w:p>
    <w:p>
      <w:pPr>
        <w:spacing w:line="202" w:lineRule="exact" w:before="0"/>
        <w:ind w:left="579" w:right="0" w:firstLine="0"/>
        <w:jc w:val="left"/>
        <w:rPr>
          <w:rFonts w:ascii="Arial MT"/>
          <w:sz w:val="18"/>
        </w:rPr>
      </w:pP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5"/>
        <w:rPr>
          <w:rFonts w:ascii="Arial MT"/>
          <w:sz w:val="18"/>
        </w:rPr>
      </w:pPr>
    </w:p>
    <w:p>
      <w:pPr>
        <w:spacing w:line="283" w:lineRule="auto" w:before="0"/>
        <w:ind w:left="579" w:right="155" w:hanging="517"/>
        <w:jc w:val="left"/>
        <w:rPr>
          <w:rFonts w:ascii="Arial MT"/>
          <w:sz w:val="18"/>
        </w:rPr>
      </w:pPr>
      <w:r>
        <w:rPr>
          <w:rFonts w:ascii="Arial MT"/>
          <w:color w:val="231F1F"/>
          <w:spacing w:val="-2"/>
          <w:sz w:val="18"/>
        </w:rPr>
        <w:t>E.</w:t>
      </w:r>
      <w:r>
        <w:rPr>
          <w:rFonts w:ascii="Arial MT"/>
          <w:color w:val="231F1F"/>
          <w:spacing w:val="-12"/>
          <w:sz w:val="18"/>
        </w:rPr>
        <w:t> </w:t>
      </w:r>
      <w:r>
        <w:rPr>
          <w:rFonts w:ascii="Arial MT"/>
          <w:color w:val="231F1F"/>
          <w:spacing w:val="-2"/>
          <w:sz w:val="18"/>
        </w:rPr>
        <w:t>descriptivo </w:t>
      </w:r>
      <w:r>
        <w:rPr>
          <w:rFonts w:ascii="Arial MT"/>
          <w:color w:val="231F1F"/>
          <w:spacing w:val="-10"/>
          <w:sz w:val="18"/>
        </w:rPr>
        <w:t>3</w:t>
      </w:r>
    </w:p>
    <w:p>
      <w:pPr>
        <w:spacing w:after="0" w:line="283" w:lineRule="auto"/>
        <w:jc w:val="left"/>
        <w:rPr>
          <w:rFonts w:ascii="Arial MT"/>
          <w:sz w:val="18"/>
        </w:rPr>
        <w:sectPr>
          <w:pgSz w:w="11900" w:h="16840"/>
          <w:pgMar w:header="0" w:footer="622" w:top="1580" w:bottom="820" w:left="1417" w:right="1559"/>
          <w:cols w:num="2" w:equalWidth="0">
            <w:col w:w="7554" w:space="40"/>
            <w:col w:w="1330"/>
          </w:cols>
        </w:sectPr>
      </w:pPr>
    </w:p>
    <w:p>
      <w:pPr>
        <w:pStyle w:val="BodyText"/>
        <w:spacing w:line="232" w:lineRule="auto" w:before="79"/>
        <w:ind w:left="283" w:firstLine="453"/>
        <w:jc w:val="both"/>
      </w:pPr>
      <w:r>
        <w:rPr>
          <w:color w:val="231F1F"/>
          <w:w w:val="105"/>
        </w:rPr>
        <w:t>Un segundo estudio descriptivo prospectivo (156) investigó el riesgo de alteraciones del esfínter anal posterior al daño perineal grave en mujeres con daños en partos anteriores. De 20.111 partos vaginales consecutivos se iden- tificaron</w:t>
      </w:r>
      <w:r>
        <w:rPr>
          <w:color w:val="231F1F"/>
          <w:w w:val="105"/>
        </w:rPr>
        <w:t> 342</w:t>
      </w:r>
      <w:r>
        <w:rPr>
          <w:color w:val="231F1F"/>
          <w:w w:val="105"/>
        </w:rPr>
        <w:t> mujeres</w:t>
      </w:r>
      <w:r>
        <w:rPr>
          <w:color w:val="231F1F"/>
          <w:w w:val="105"/>
        </w:rPr>
        <w:t> (1,7%)</w:t>
      </w:r>
      <w:r>
        <w:rPr>
          <w:color w:val="231F1F"/>
          <w:w w:val="105"/>
        </w:rPr>
        <w:t> con</w:t>
      </w:r>
      <w:r>
        <w:rPr>
          <w:color w:val="231F1F"/>
          <w:w w:val="105"/>
        </w:rPr>
        <w:t> desgarros</w:t>
      </w:r>
      <w:r>
        <w:rPr>
          <w:color w:val="231F1F"/>
          <w:w w:val="105"/>
        </w:rPr>
        <w:t> de</w:t>
      </w:r>
      <w:r>
        <w:rPr>
          <w:color w:val="231F1F"/>
          <w:w w:val="105"/>
        </w:rPr>
        <w:t> tercer</w:t>
      </w:r>
      <w:r>
        <w:rPr>
          <w:color w:val="231F1F"/>
          <w:w w:val="105"/>
        </w:rPr>
        <w:t> grado.</w:t>
      </w:r>
      <w:r>
        <w:rPr>
          <w:color w:val="231F1F"/>
          <w:w w:val="105"/>
        </w:rPr>
        <w:t> Se</w:t>
      </w:r>
      <w:r>
        <w:rPr>
          <w:color w:val="231F1F"/>
          <w:w w:val="105"/>
        </w:rPr>
        <w:t> realizó</w:t>
      </w:r>
      <w:r>
        <w:rPr>
          <w:color w:val="231F1F"/>
          <w:w w:val="105"/>
        </w:rPr>
        <w:t> un seguimiento durante los 3 meses posteriores al parto de cada uno de estas 342 mujeres</w:t>
      </w:r>
      <w:r>
        <w:rPr>
          <w:color w:val="231F1F"/>
          <w:w w:val="105"/>
        </w:rPr>
        <w:t> para</w:t>
      </w:r>
      <w:r>
        <w:rPr>
          <w:color w:val="231F1F"/>
          <w:w w:val="105"/>
        </w:rPr>
        <w:t> determinar</w:t>
      </w:r>
      <w:r>
        <w:rPr>
          <w:color w:val="231F1F"/>
          <w:w w:val="105"/>
        </w:rPr>
        <w:t> la</w:t>
      </w:r>
      <w:r>
        <w:rPr>
          <w:color w:val="231F1F"/>
          <w:w w:val="105"/>
        </w:rPr>
        <w:t> funcionalidad</w:t>
      </w:r>
      <w:r>
        <w:rPr>
          <w:color w:val="231F1F"/>
          <w:w w:val="105"/>
        </w:rPr>
        <w:t> perineal</w:t>
      </w:r>
      <w:r>
        <w:rPr>
          <w:color w:val="231F1F"/>
          <w:w w:val="105"/>
        </w:rPr>
        <w:t> (mediante</w:t>
      </w:r>
      <w:r>
        <w:rPr>
          <w:color w:val="231F1F"/>
          <w:w w:val="105"/>
        </w:rPr>
        <w:t> escalas</w:t>
      </w:r>
      <w:r>
        <w:rPr>
          <w:color w:val="231F1F"/>
          <w:w w:val="105"/>
        </w:rPr>
        <w:t> de</w:t>
      </w:r>
      <w:r>
        <w:rPr>
          <w:color w:val="231F1F"/>
          <w:w w:val="105"/>
        </w:rPr>
        <w:t> me- dición de continencia y manometría) e identificar los defectos anales (usando ultrasonido).</w:t>
      </w:r>
      <w:r>
        <w:rPr>
          <w:color w:val="231F1F"/>
          <w:w w:val="105"/>
        </w:rPr>
        <w:t> 56</w:t>
      </w:r>
      <w:r>
        <w:rPr>
          <w:color w:val="231F1F"/>
          <w:w w:val="105"/>
        </w:rPr>
        <w:t> de</w:t>
      </w:r>
      <w:r>
        <w:rPr>
          <w:color w:val="231F1F"/>
          <w:w w:val="105"/>
        </w:rPr>
        <w:t> estas</w:t>
      </w:r>
      <w:r>
        <w:rPr>
          <w:color w:val="231F1F"/>
          <w:w w:val="105"/>
        </w:rPr>
        <w:t> mujeres</w:t>
      </w:r>
      <w:r>
        <w:rPr>
          <w:color w:val="231F1F"/>
          <w:w w:val="105"/>
        </w:rPr>
        <w:t> tuvieron</w:t>
      </w:r>
      <w:r>
        <w:rPr>
          <w:color w:val="231F1F"/>
          <w:w w:val="105"/>
        </w:rPr>
        <w:t> partos</w:t>
      </w:r>
      <w:r>
        <w:rPr>
          <w:color w:val="231F1F"/>
          <w:w w:val="105"/>
        </w:rPr>
        <w:t> posteriores</w:t>
      </w:r>
      <w:r>
        <w:rPr>
          <w:color w:val="231F1F"/>
          <w:w w:val="105"/>
        </w:rPr>
        <w:t> durante</w:t>
      </w:r>
      <w:r>
        <w:rPr>
          <w:color w:val="231F1F"/>
          <w:w w:val="105"/>
        </w:rPr>
        <w:t> los</w:t>
      </w:r>
      <w:r>
        <w:rPr>
          <w:color w:val="231F1F"/>
          <w:w w:val="105"/>
        </w:rPr>
        <w:t> si- guientes</w:t>
      </w:r>
      <w:r>
        <w:rPr>
          <w:color w:val="231F1F"/>
          <w:spacing w:val="-1"/>
          <w:w w:val="105"/>
        </w:rPr>
        <w:t> </w:t>
      </w:r>
      <w:r>
        <w:rPr>
          <w:color w:val="231F1F"/>
          <w:w w:val="105"/>
        </w:rPr>
        <w:t>3 años y constituyeron</w:t>
      </w:r>
      <w:r>
        <w:rPr>
          <w:color w:val="231F1F"/>
          <w:spacing w:val="-1"/>
          <w:w w:val="105"/>
        </w:rPr>
        <w:t> </w:t>
      </w:r>
      <w:r>
        <w:rPr>
          <w:color w:val="231F1F"/>
          <w:w w:val="105"/>
        </w:rPr>
        <w:t>la muestra del estudio.</w:t>
      </w:r>
      <w:r>
        <w:rPr>
          <w:color w:val="231F1F"/>
          <w:spacing w:val="-2"/>
          <w:w w:val="105"/>
        </w:rPr>
        <w:t> </w:t>
      </w:r>
      <w:r>
        <w:rPr>
          <w:color w:val="231F1F"/>
          <w:w w:val="105"/>
        </w:rPr>
        <w:t>Se evaluó</w:t>
      </w:r>
      <w:r>
        <w:rPr>
          <w:color w:val="231F1F"/>
          <w:spacing w:val="-1"/>
          <w:w w:val="105"/>
        </w:rPr>
        <w:t> </w:t>
      </w:r>
      <w:r>
        <w:rPr>
          <w:color w:val="231F1F"/>
          <w:w w:val="105"/>
        </w:rPr>
        <w:t>a todas estas 56</w:t>
      </w:r>
      <w:r>
        <w:rPr>
          <w:color w:val="231F1F"/>
          <w:w w:val="105"/>
        </w:rPr>
        <w:t> mujeres</w:t>
      </w:r>
      <w:r>
        <w:rPr>
          <w:color w:val="231F1F"/>
          <w:w w:val="105"/>
        </w:rPr>
        <w:t> durante</w:t>
      </w:r>
      <w:r>
        <w:rPr>
          <w:color w:val="231F1F"/>
          <w:w w:val="105"/>
        </w:rPr>
        <w:t> el</w:t>
      </w:r>
      <w:r>
        <w:rPr>
          <w:color w:val="231F1F"/>
          <w:w w:val="105"/>
        </w:rPr>
        <w:t> último</w:t>
      </w:r>
      <w:r>
        <w:rPr>
          <w:color w:val="231F1F"/>
          <w:w w:val="105"/>
        </w:rPr>
        <w:t> trimestre</w:t>
      </w:r>
      <w:r>
        <w:rPr>
          <w:color w:val="231F1F"/>
          <w:w w:val="105"/>
        </w:rPr>
        <w:t> del</w:t>
      </w:r>
      <w:r>
        <w:rPr>
          <w:color w:val="231F1F"/>
          <w:w w:val="105"/>
        </w:rPr>
        <w:t> embarazo</w:t>
      </w:r>
      <w:r>
        <w:rPr>
          <w:color w:val="231F1F"/>
          <w:w w:val="105"/>
        </w:rPr>
        <w:t> utilizando</w:t>
      </w:r>
      <w:r>
        <w:rPr>
          <w:color w:val="231F1F"/>
          <w:w w:val="105"/>
        </w:rPr>
        <w:t> escalas</w:t>
      </w:r>
      <w:r>
        <w:rPr>
          <w:color w:val="231F1F"/>
          <w:w w:val="105"/>
        </w:rPr>
        <w:t> de puntuación,</w:t>
      </w:r>
      <w:r>
        <w:rPr>
          <w:color w:val="231F1F"/>
          <w:w w:val="105"/>
        </w:rPr>
        <w:t> manometría</w:t>
      </w:r>
      <w:r>
        <w:rPr>
          <w:color w:val="231F1F"/>
          <w:w w:val="105"/>
        </w:rPr>
        <w:t> anal</w:t>
      </w:r>
      <w:r>
        <w:rPr>
          <w:color w:val="231F1F"/>
          <w:w w:val="105"/>
        </w:rPr>
        <w:t> y</w:t>
      </w:r>
      <w:r>
        <w:rPr>
          <w:color w:val="231F1F"/>
          <w:w w:val="105"/>
        </w:rPr>
        <w:t> ecografía.</w:t>
      </w:r>
      <w:r>
        <w:rPr>
          <w:color w:val="231F1F"/>
          <w:w w:val="105"/>
        </w:rPr>
        <w:t> Se</w:t>
      </w:r>
      <w:r>
        <w:rPr>
          <w:color w:val="231F1F"/>
          <w:w w:val="105"/>
        </w:rPr>
        <w:t> observa</w:t>
      </w:r>
      <w:r>
        <w:rPr>
          <w:color w:val="231F1F"/>
          <w:w w:val="105"/>
        </w:rPr>
        <w:t> un</w:t>
      </w:r>
      <w:r>
        <w:rPr>
          <w:color w:val="231F1F"/>
          <w:w w:val="105"/>
        </w:rPr>
        <w:t> 62%</w:t>
      </w:r>
      <w:r>
        <w:rPr>
          <w:color w:val="231F1F"/>
          <w:w w:val="105"/>
        </w:rPr>
        <w:t> (n</w:t>
      </w:r>
      <w:r>
        <w:rPr>
          <w:color w:val="231F1F"/>
          <w:w w:val="105"/>
        </w:rPr>
        <w:t> =</w:t>
      </w:r>
      <w:r>
        <w:rPr>
          <w:color w:val="231F1F"/>
          <w:w w:val="105"/>
        </w:rPr>
        <w:t> 28)</w:t>
      </w:r>
      <w:r>
        <w:rPr>
          <w:color w:val="231F1F"/>
          <w:w w:val="105"/>
        </w:rPr>
        <w:t> de episiotomías en las mujeres con parto vaginal (n=45), un 7% (n = 4) de parto instrumental</w:t>
      </w:r>
      <w:r>
        <w:rPr>
          <w:color w:val="231F1F"/>
          <w:spacing w:val="-2"/>
          <w:w w:val="105"/>
        </w:rPr>
        <w:t> </w:t>
      </w:r>
      <w:r>
        <w:rPr>
          <w:color w:val="231F1F"/>
          <w:w w:val="105"/>
        </w:rPr>
        <w:t>y</w:t>
      </w:r>
      <w:r>
        <w:rPr>
          <w:color w:val="231F1F"/>
          <w:spacing w:val="-2"/>
          <w:w w:val="105"/>
        </w:rPr>
        <w:t> </w:t>
      </w:r>
      <w:r>
        <w:rPr>
          <w:color w:val="231F1F"/>
          <w:w w:val="105"/>
        </w:rPr>
        <w:t>un</w:t>
      </w:r>
      <w:r>
        <w:rPr>
          <w:color w:val="231F1F"/>
          <w:spacing w:val="-2"/>
          <w:w w:val="105"/>
        </w:rPr>
        <w:t> </w:t>
      </w:r>
      <w:r>
        <w:rPr>
          <w:color w:val="231F1F"/>
          <w:w w:val="105"/>
        </w:rPr>
        <w:t>27%</w:t>
      </w:r>
      <w:r>
        <w:rPr>
          <w:color w:val="231F1F"/>
          <w:spacing w:val="-2"/>
          <w:w w:val="105"/>
        </w:rPr>
        <w:t> </w:t>
      </w:r>
      <w:r>
        <w:rPr>
          <w:color w:val="231F1F"/>
          <w:w w:val="105"/>
        </w:rPr>
        <w:t>(n</w:t>
      </w:r>
      <w:r>
        <w:rPr>
          <w:color w:val="231F1F"/>
          <w:spacing w:val="-2"/>
          <w:w w:val="105"/>
        </w:rPr>
        <w:t> </w:t>
      </w:r>
      <w:r>
        <w:rPr>
          <w:color w:val="231F1F"/>
          <w:w w:val="105"/>
        </w:rPr>
        <w:t>=</w:t>
      </w:r>
      <w:r>
        <w:rPr>
          <w:color w:val="231F1F"/>
          <w:spacing w:val="-2"/>
          <w:w w:val="105"/>
        </w:rPr>
        <w:t> </w:t>
      </w:r>
      <w:r>
        <w:rPr>
          <w:color w:val="231F1F"/>
          <w:w w:val="105"/>
        </w:rPr>
        <w:t>12)</w:t>
      </w:r>
      <w:r>
        <w:rPr>
          <w:color w:val="231F1F"/>
          <w:spacing w:val="-2"/>
          <w:w w:val="105"/>
        </w:rPr>
        <w:t> </w:t>
      </w:r>
      <w:r>
        <w:rPr>
          <w:color w:val="231F1F"/>
          <w:w w:val="105"/>
        </w:rPr>
        <w:t>de</w:t>
      </w:r>
      <w:r>
        <w:rPr>
          <w:color w:val="231F1F"/>
          <w:spacing w:val="-2"/>
          <w:w w:val="105"/>
        </w:rPr>
        <w:t> </w:t>
      </w:r>
      <w:r>
        <w:rPr>
          <w:color w:val="231F1F"/>
          <w:w w:val="105"/>
        </w:rPr>
        <w:t>desgarros</w:t>
      </w:r>
      <w:r>
        <w:rPr>
          <w:color w:val="231F1F"/>
          <w:spacing w:val="-2"/>
          <w:w w:val="105"/>
        </w:rPr>
        <w:t> </w:t>
      </w:r>
      <w:r>
        <w:rPr>
          <w:color w:val="231F1F"/>
          <w:w w:val="105"/>
        </w:rPr>
        <w:t>perineales,</w:t>
      </w:r>
      <w:r>
        <w:rPr>
          <w:color w:val="231F1F"/>
          <w:spacing w:val="-2"/>
          <w:w w:val="105"/>
        </w:rPr>
        <w:t> </w:t>
      </w:r>
      <w:r>
        <w:rPr>
          <w:color w:val="231F1F"/>
          <w:w w:val="105"/>
        </w:rPr>
        <w:t>de</w:t>
      </w:r>
      <w:r>
        <w:rPr>
          <w:color w:val="231F1F"/>
          <w:spacing w:val="-2"/>
          <w:w w:val="105"/>
        </w:rPr>
        <w:t> </w:t>
      </w:r>
      <w:r>
        <w:rPr>
          <w:color w:val="231F1F"/>
          <w:w w:val="105"/>
        </w:rPr>
        <w:t>los</w:t>
      </w:r>
      <w:r>
        <w:rPr>
          <w:color w:val="231F1F"/>
          <w:spacing w:val="-2"/>
          <w:w w:val="105"/>
        </w:rPr>
        <w:t> </w:t>
      </w:r>
      <w:r>
        <w:rPr>
          <w:color w:val="231F1F"/>
          <w:w w:val="105"/>
        </w:rPr>
        <w:t>cuales</w:t>
      </w:r>
      <w:r>
        <w:rPr>
          <w:color w:val="231F1F"/>
          <w:spacing w:val="-2"/>
          <w:w w:val="105"/>
        </w:rPr>
        <w:t> </w:t>
      </w:r>
      <w:r>
        <w:rPr>
          <w:color w:val="231F1F"/>
          <w:w w:val="105"/>
        </w:rPr>
        <w:t>3</w:t>
      </w:r>
      <w:r>
        <w:rPr>
          <w:color w:val="231F1F"/>
          <w:spacing w:val="-2"/>
          <w:w w:val="105"/>
        </w:rPr>
        <w:t> </w:t>
      </w:r>
      <w:r>
        <w:rPr>
          <w:color w:val="231F1F"/>
          <w:w w:val="105"/>
        </w:rPr>
        <w:t>fueron de tercer</w:t>
      </w:r>
      <w:r>
        <w:rPr>
          <w:color w:val="231F1F"/>
          <w:spacing w:val="-1"/>
          <w:w w:val="105"/>
        </w:rPr>
        <w:t> </w:t>
      </w:r>
      <w:r>
        <w:rPr>
          <w:color w:val="231F1F"/>
          <w:w w:val="105"/>
        </w:rPr>
        <w:t>grado,</w:t>
      </w:r>
      <w:r>
        <w:rPr>
          <w:color w:val="231F1F"/>
          <w:spacing w:val="-1"/>
          <w:w w:val="105"/>
        </w:rPr>
        <w:t> </w:t>
      </w:r>
      <w:r>
        <w:rPr>
          <w:color w:val="231F1F"/>
          <w:w w:val="105"/>
        </w:rPr>
        <w:t>así como una funcionalidad</w:t>
      </w:r>
      <w:r>
        <w:rPr>
          <w:color w:val="231F1F"/>
          <w:spacing w:val="-1"/>
          <w:w w:val="105"/>
        </w:rPr>
        <w:t> </w:t>
      </w:r>
      <w:r>
        <w:rPr>
          <w:color w:val="231F1F"/>
          <w:w w:val="105"/>
        </w:rPr>
        <w:t>fecal similar tras el segundo parto comparado con el parto previo. El estudio concluye que tras la reparación del desgarro de tercer grado, los resultados sobre continencia fecal fueron exce- lentes para todas las mujeres.</w:t>
      </w:r>
    </w:p>
    <w:p>
      <w:pPr>
        <w:pStyle w:val="BodyText"/>
        <w:spacing w:line="252" w:lineRule="auto" w:before="89"/>
        <w:ind w:left="283" w:right="1" w:firstLine="453"/>
        <w:jc w:val="both"/>
      </w:pPr>
      <w:r>
        <w:rPr>
          <w:color w:val="231F1F"/>
          <w:w w:val="105"/>
        </w:rPr>
        <w:t>El</w:t>
      </w:r>
      <w:r>
        <w:rPr>
          <w:color w:val="231F1F"/>
          <w:spacing w:val="-3"/>
          <w:w w:val="105"/>
        </w:rPr>
        <w:t> </w:t>
      </w:r>
      <w:r>
        <w:rPr>
          <w:color w:val="231F1F"/>
          <w:w w:val="105"/>
        </w:rPr>
        <w:t>estudio</w:t>
      </w:r>
      <w:r>
        <w:rPr>
          <w:color w:val="231F1F"/>
          <w:spacing w:val="-2"/>
          <w:w w:val="105"/>
        </w:rPr>
        <w:t> </w:t>
      </w:r>
      <w:r>
        <w:rPr>
          <w:color w:val="231F1F"/>
          <w:w w:val="105"/>
        </w:rPr>
        <w:t>de</w:t>
      </w:r>
      <w:r>
        <w:rPr>
          <w:color w:val="231F1F"/>
          <w:spacing w:val="-3"/>
          <w:w w:val="105"/>
        </w:rPr>
        <w:t> </w:t>
      </w:r>
      <w:r>
        <w:rPr>
          <w:color w:val="231F1F"/>
          <w:w w:val="105"/>
        </w:rPr>
        <w:t>cohorte</w:t>
      </w:r>
      <w:r>
        <w:rPr>
          <w:color w:val="231F1F"/>
          <w:spacing w:val="-2"/>
          <w:w w:val="105"/>
        </w:rPr>
        <w:t> </w:t>
      </w:r>
      <w:r>
        <w:rPr>
          <w:color w:val="231F1F"/>
          <w:w w:val="105"/>
        </w:rPr>
        <w:t>retrospectivo</w:t>
      </w:r>
      <w:r>
        <w:rPr>
          <w:color w:val="231F1F"/>
          <w:spacing w:val="-2"/>
          <w:w w:val="105"/>
        </w:rPr>
        <w:t> </w:t>
      </w:r>
      <w:r>
        <w:rPr>
          <w:color w:val="231F1F"/>
          <w:w w:val="105"/>
        </w:rPr>
        <w:t>suizo</w:t>
      </w:r>
      <w:r>
        <w:rPr>
          <w:color w:val="231F1F"/>
          <w:spacing w:val="-3"/>
          <w:w w:val="105"/>
        </w:rPr>
        <w:t> </w:t>
      </w:r>
      <w:r>
        <w:rPr>
          <w:color w:val="231F1F"/>
          <w:w w:val="105"/>
        </w:rPr>
        <w:t>(157),</w:t>
      </w:r>
      <w:r>
        <w:rPr>
          <w:color w:val="231F1F"/>
          <w:spacing w:val="-2"/>
          <w:w w:val="105"/>
        </w:rPr>
        <w:t> </w:t>
      </w:r>
      <w:r>
        <w:rPr>
          <w:color w:val="231F1F"/>
          <w:w w:val="105"/>
        </w:rPr>
        <w:t>también</w:t>
      </w:r>
      <w:r>
        <w:rPr>
          <w:color w:val="231F1F"/>
          <w:spacing w:val="-3"/>
          <w:w w:val="105"/>
        </w:rPr>
        <w:t> </w:t>
      </w:r>
      <w:r>
        <w:rPr>
          <w:color w:val="231F1F"/>
          <w:w w:val="105"/>
        </w:rPr>
        <w:t>investigó</w:t>
      </w:r>
      <w:r>
        <w:rPr>
          <w:color w:val="231F1F"/>
          <w:spacing w:val="-3"/>
          <w:w w:val="105"/>
        </w:rPr>
        <w:t> </w:t>
      </w:r>
      <w:r>
        <w:rPr>
          <w:color w:val="231F1F"/>
          <w:w w:val="105"/>
        </w:rPr>
        <w:t>la</w:t>
      </w:r>
      <w:r>
        <w:rPr>
          <w:color w:val="231F1F"/>
          <w:spacing w:val="-3"/>
          <w:w w:val="105"/>
        </w:rPr>
        <w:t> </w:t>
      </w:r>
      <w:r>
        <w:rPr>
          <w:color w:val="231F1F"/>
          <w:w w:val="105"/>
        </w:rPr>
        <w:t>inci- dencia de la incontinencia anal en las mujeres que habían tenido un parto va- ginal después de un trauma perineal de tercer o de cuarto grado. Las mujeres incluidas</w:t>
      </w:r>
      <w:r>
        <w:rPr>
          <w:color w:val="231F1F"/>
          <w:spacing w:val="-5"/>
          <w:w w:val="105"/>
        </w:rPr>
        <w:t> </w:t>
      </w:r>
      <w:r>
        <w:rPr>
          <w:color w:val="231F1F"/>
          <w:w w:val="105"/>
        </w:rPr>
        <w:t>en</w:t>
      </w:r>
      <w:r>
        <w:rPr>
          <w:color w:val="231F1F"/>
          <w:spacing w:val="-5"/>
          <w:w w:val="105"/>
        </w:rPr>
        <w:t> </w:t>
      </w:r>
      <w:r>
        <w:rPr>
          <w:color w:val="231F1F"/>
          <w:w w:val="105"/>
        </w:rPr>
        <w:t>el</w:t>
      </w:r>
      <w:r>
        <w:rPr>
          <w:color w:val="231F1F"/>
          <w:spacing w:val="-5"/>
          <w:w w:val="105"/>
        </w:rPr>
        <w:t> </w:t>
      </w:r>
      <w:r>
        <w:rPr>
          <w:color w:val="231F1F"/>
          <w:w w:val="105"/>
        </w:rPr>
        <w:t>estudio</w:t>
      </w:r>
      <w:r>
        <w:rPr>
          <w:color w:val="231F1F"/>
          <w:spacing w:val="-5"/>
          <w:w w:val="105"/>
        </w:rPr>
        <w:t> </w:t>
      </w:r>
      <w:r>
        <w:rPr>
          <w:color w:val="231F1F"/>
          <w:w w:val="105"/>
        </w:rPr>
        <w:t>fueron</w:t>
      </w:r>
      <w:r>
        <w:rPr>
          <w:color w:val="231F1F"/>
          <w:spacing w:val="-4"/>
          <w:w w:val="105"/>
        </w:rPr>
        <w:t> </w:t>
      </w:r>
      <w:r>
        <w:rPr>
          <w:color w:val="231F1F"/>
          <w:w w:val="105"/>
        </w:rPr>
        <w:t>identificadas</w:t>
      </w:r>
      <w:r>
        <w:rPr>
          <w:color w:val="231F1F"/>
          <w:spacing w:val="-5"/>
          <w:w w:val="105"/>
        </w:rPr>
        <w:t> </w:t>
      </w:r>
      <w:r>
        <w:rPr>
          <w:color w:val="231F1F"/>
          <w:w w:val="105"/>
        </w:rPr>
        <w:t>mediante</w:t>
      </w:r>
      <w:r>
        <w:rPr>
          <w:color w:val="231F1F"/>
          <w:spacing w:val="-5"/>
          <w:w w:val="105"/>
        </w:rPr>
        <w:t> </w:t>
      </w:r>
      <w:r>
        <w:rPr>
          <w:color w:val="231F1F"/>
          <w:w w:val="105"/>
        </w:rPr>
        <w:t>los</w:t>
      </w:r>
      <w:r>
        <w:rPr>
          <w:color w:val="231F1F"/>
          <w:spacing w:val="-5"/>
          <w:w w:val="105"/>
        </w:rPr>
        <w:t> </w:t>
      </w:r>
      <w:r>
        <w:rPr>
          <w:color w:val="231F1F"/>
          <w:w w:val="105"/>
        </w:rPr>
        <w:t>registros</w:t>
      </w:r>
      <w:r>
        <w:rPr>
          <w:color w:val="231F1F"/>
          <w:spacing w:val="-4"/>
          <w:w w:val="105"/>
        </w:rPr>
        <w:t> </w:t>
      </w:r>
      <w:r>
        <w:rPr>
          <w:color w:val="231F1F"/>
          <w:w w:val="105"/>
        </w:rPr>
        <w:t>informáticos de</w:t>
      </w:r>
      <w:r>
        <w:rPr>
          <w:color w:val="231F1F"/>
          <w:spacing w:val="-7"/>
          <w:w w:val="105"/>
        </w:rPr>
        <w:t> </w:t>
      </w:r>
      <w:r>
        <w:rPr>
          <w:color w:val="231F1F"/>
          <w:w w:val="105"/>
        </w:rPr>
        <w:t>un</w:t>
      </w:r>
      <w:r>
        <w:rPr>
          <w:color w:val="231F1F"/>
          <w:spacing w:val="-7"/>
          <w:w w:val="105"/>
        </w:rPr>
        <w:t> </w:t>
      </w:r>
      <w:r>
        <w:rPr>
          <w:color w:val="231F1F"/>
          <w:w w:val="105"/>
        </w:rPr>
        <w:t>hospital,</w:t>
      </w:r>
      <w:r>
        <w:rPr>
          <w:color w:val="231F1F"/>
          <w:spacing w:val="-7"/>
          <w:w w:val="105"/>
        </w:rPr>
        <w:t> </w:t>
      </w:r>
      <w:r>
        <w:rPr>
          <w:color w:val="231F1F"/>
          <w:w w:val="105"/>
        </w:rPr>
        <w:t>y</w:t>
      </w:r>
      <w:r>
        <w:rPr>
          <w:color w:val="231F1F"/>
          <w:spacing w:val="-7"/>
          <w:w w:val="105"/>
        </w:rPr>
        <w:t> </w:t>
      </w:r>
      <w:r>
        <w:rPr>
          <w:color w:val="231F1F"/>
          <w:w w:val="105"/>
        </w:rPr>
        <w:t>fueron</w:t>
      </w:r>
      <w:r>
        <w:rPr>
          <w:color w:val="231F1F"/>
          <w:spacing w:val="-6"/>
          <w:w w:val="105"/>
        </w:rPr>
        <w:t> </w:t>
      </w:r>
      <w:r>
        <w:rPr>
          <w:color w:val="231F1F"/>
          <w:w w:val="105"/>
        </w:rPr>
        <w:t>contactados</w:t>
      </w:r>
      <w:r>
        <w:rPr>
          <w:color w:val="231F1F"/>
          <w:spacing w:val="-6"/>
          <w:w w:val="105"/>
        </w:rPr>
        <w:t> </w:t>
      </w:r>
      <w:r>
        <w:rPr>
          <w:color w:val="231F1F"/>
          <w:w w:val="105"/>
        </w:rPr>
        <w:t>por</w:t>
      </w:r>
      <w:r>
        <w:rPr>
          <w:color w:val="231F1F"/>
          <w:spacing w:val="-7"/>
          <w:w w:val="105"/>
        </w:rPr>
        <w:t> </w:t>
      </w:r>
      <w:r>
        <w:rPr>
          <w:color w:val="231F1F"/>
          <w:w w:val="105"/>
        </w:rPr>
        <w:t>teléfono</w:t>
      </w:r>
      <w:r>
        <w:rPr>
          <w:color w:val="231F1F"/>
          <w:spacing w:val="-7"/>
          <w:w w:val="105"/>
        </w:rPr>
        <w:t> </w:t>
      </w:r>
      <w:r>
        <w:rPr>
          <w:color w:val="231F1F"/>
          <w:w w:val="105"/>
        </w:rPr>
        <w:t>para</w:t>
      </w:r>
      <w:r>
        <w:rPr>
          <w:color w:val="231F1F"/>
          <w:spacing w:val="-7"/>
          <w:w w:val="105"/>
        </w:rPr>
        <w:t> </w:t>
      </w:r>
      <w:r>
        <w:rPr>
          <w:color w:val="231F1F"/>
          <w:w w:val="105"/>
        </w:rPr>
        <w:t>solicitar</w:t>
      </w:r>
      <w:r>
        <w:rPr>
          <w:color w:val="231F1F"/>
          <w:spacing w:val="-7"/>
          <w:w w:val="105"/>
        </w:rPr>
        <w:t> </w:t>
      </w:r>
      <w:r>
        <w:rPr>
          <w:color w:val="231F1F"/>
          <w:w w:val="105"/>
        </w:rPr>
        <w:t>su</w:t>
      </w:r>
      <w:r>
        <w:rPr>
          <w:color w:val="231F1F"/>
          <w:spacing w:val="-7"/>
          <w:w w:val="105"/>
        </w:rPr>
        <w:t> </w:t>
      </w:r>
      <w:r>
        <w:rPr>
          <w:color w:val="231F1F"/>
          <w:w w:val="105"/>
        </w:rPr>
        <w:t>participación en</w:t>
      </w:r>
      <w:r>
        <w:rPr>
          <w:color w:val="231F1F"/>
          <w:spacing w:val="-2"/>
          <w:w w:val="105"/>
        </w:rPr>
        <w:t> </w:t>
      </w:r>
      <w:r>
        <w:rPr>
          <w:color w:val="231F1F"/>
          <w:w w:val="105"/>
        </w:rPr>
        <w:t>el</w:t>
      </w:r>
      <w:r>
        <w:rPr>
          <w:color w:val="231F1F"/>
          <w:spacing w:val="-2"/>
          <w:w w:val="105"/>
        </w:rPr>
        <w:t> </w:t>
      </w:r>
      <w:r>
        <w:rPr>
          <w:color w:val="231F1F"/>
          <w:w w:val="105"/>
        </w:rPr>
        <w:t>estudio.</w:t>
      </w:r>
      <w:r>
        <w:rPr>
          <w:color w:val="231F1F"/>
          <w:spacing w:val="-2"/>
          <w:w w:val="105"/>
        </w:rPr>
        <w:t> </w:t>
      </w:r>
      <w:r>
        <w:rPr>
          <w:color w:val="231F1F"/>
          <w:w w:val="105"/>
        </w:rPr>
        <w:t>De</w:t>
      </w:r>
      <w:r>
        <w:rPr>
          <w:color w:val="231F1F"/>
          <w:spacing w:val="-2"/>
          <w:w w:val="105"/>
        </w:rPr>
        <w:t> </w:t>
      </w:r>
      <w:r>
        <w:rPr>
          <w:color w:val="231F1F"/>
          <w:w w:val="105"/>
        </w:rPr>
        <w:t>las</w:t>
      </w:r>
      <w:r>
        <w:rPr>
          <w:color w:val="231F1F"/>
          <w:spacing w:val="-2"/>
          <w:w w:val="105"/>
        </w:rPr>
        <w:t> </w:t>
      </w:r>
      <w:r>
        <w:rPr>
          <w:color w:val="231F1F"/>
          <w:w w:val="105"/>
        </w:rPr>
        <w:t>448</w:t>
      </w:r>
      <w:r>
        <w:rPr>
          <w:color w:val="231F1F"/>
          <w:spacing w:val="-2"/>
          <w:w w:val="105"/>
        </w:rPr>
        <w:t> </w:t>
      </w:r>
      <w:r>
        <w:rPr>
          <w:color w:val="231F1F"/>
          <w:w w:val="105"/>
        </w:rPr>
        <w:t>mujeres</w:t>
      </w:r>
      <w:r>
        <w:rPr>
          <w:color w:val="231F1F"/>
          <w:spacing w:val="-2"/>
          <w:w w:val="105"/>
        </w:rPr>
        <w:t> </w:t>
      </w:r>
      <w:r>
        <w:rPr>
          <w:color w:val="231F1F"/>
          <w:w w:val="105"/>
        </w:rPr>
        <w:t>identificadas,</w:t>
      </w:r>
      <w:r>
        <w:rPr>
          <w:color w:val="231F1F"/>
          <w:spacing w:val="-3"/>
          <w:w w:val="105"/>
        </w:rPr>
        <w:t> </w:t>
      </w:r>
      <w:r>
        <w:rPr>
          <w:color w:val="231F1F"/>
          <w:w w:val="105"/>
        </w:rPr>
        <w:t>208</w:t>
      </w:r>
      <w:r>
        <w:rPr>
          <w:color w:val="231F1F"/>
          <w:spacing w:val="-2"/>
          <w:w w:val="105"/>
        </w:rPr>
        <w:t> </w:t>
      </w:r>
      <w:r>
        <w:rPr>
          <w:color w:val="231F1F"/>
          <w:w w:val="105"/>
        </w:rPr>
        <w:t>(46%)</w:t>
      </w:r>
      <w:r>
        <w:rPr>
          <w:color w:val="231F1F"/>
          <w:spacing w:val="-2"/>
          <w:w w:val="105"/>
        </w:rPr>
        <w:t> </w:t>
      </w:r>
      <w:r>
        <w:rPr>
          <w:color w:val="231F1F"/>
          <w:w w:val="105"/>
        </w:rPr>
        <w:t>fueron</w:t>
      </w:r>
      <w:r>
        <w:rPr>
          <w:color w:val="231F1F"/>
          <w:spacing w:val="-2"/>
          <w:w w:val="105"/>
        </w:rPr>
        <w:t> </w:t>
      </w:r>
      <w:r>
        <w:rPr>
          <w:color w:val="231F1F"/>
          <w:w w:val="105"/>
        </w:rPr>
        <w:t>contactadas. De éstas, 177 aceptaron participar y 114 tuvo un parto posterior vaginal.</w:t>
      </w:r>
    </w:p>
    <w:p>
      <w:pPr>
        <w:pStyle w:val="BodyText"/>
        <w:spacing w:line="247" w:lineRule="auto" w:before="42"/>
        <w:ind w:left="283" w:firstLine="453"/>
        <w:jc w:val="both"/>
      </w:pPr>
      <w:r>
        <w:rPr>
          <w:color w:val="231F1F"/>
        </w:rPr>
        <w:t>Los resultados sugieren que los partos posteriores no están asociados con</w:t>
      </w:r>
      <w:r>
        <w:rPr>
          <w:color w:val="231F1F"/>
          <w:spacing w:val="40"/>
          <w:w w:val="110"/>
        </w:rPr>
        <w:t> </w:t>
      </w:r>
      <w:r>
        <w:rPr>
          <w:color w:val="231F1F"/>
          <w:w w:val="110"/>
        </w:rPr>
        <w:t>una</w:t>
      </w:r>
      <w:r>
        <w:rPr>
          <w:color w:val="231F1F"/>
          <w:spacing w:val="-5"/>
          <w:w w:val="110"/>
        </w:rPr>
        <w:t> </w:t>
      </w:r>
      <w:r>
        <w:rPr>
          <w:color w:val="231F1F"/>
          <w:w w:val="110"/>
        </w:rPr>
        <w:t>mayor</w:t>
      </w:r>
      <w:r>
        <w:rPr>
          <w:color w:val="231F1F"/>
          <w:spacing w:val="-6"/>
          <w:w w:val="110"/>
        </w:rPr>
        <w:t> </w:t>
      </w:r>
      <w:r>
        <w:rPr>
          <w:color w:val="231F1F"/>
          <w:w w:val="110"/>
        </w:rPr>
        <w:t>incidencia</w:t>
      </w:r>
      <w:r>
        <w:rPr>
          <w:color w:val="231F1F"/>
          <w:spacing w:val="-5"/>
          <w:w w:val="110"/>
        </w:rPr>
        <w:t> </w:t>
      </w:r>
      <w:r>
        <w:rPr>
          <w:color w:val="231F1F"/>
          <w:w w:val="110"/>
        </w:rPr>
        <w:t>de</w:t>
      </w:r>
      <w:r>
        <w:rPr>
          <w:color w:val="231F1F"/>
          <w:spacing w:val="-5"/>
          <w:w w:val="110"/>
        </w:rPr>
        <w:t> </w:t>
      </w:r>
      <w:r>
        <w:rPr>
          <w:color w:val="231F1F"/>
          <w:w w:val="110"/>
        </w:rPr>
        <w:t>la</w:t>
      </w:r>
      <w:r>
        <w:rPr>
          <w:color w:val="231F1F"/>
          <w:spacing w:val="-5"/>
          <w:w w:val="110"/>
        </w:rPr>
        <w:t> </w:t>
      </w:r>
      <w:r>
        <w:rPr>
          <w:color w:val="231F1F"/>
          <w:w w:val="110"/>
        </w:rPr>
        <w:t>incontinencia</w:t>
      </w:r>
      <w:r>
        <w:rPr>
          <w:color w:val="231F1F"/>
          <w:spacing w:val="-5"/>
          <w:w w:val="110"/>
        </w:rPr>
        <w:t> </w:t>
      </w:r>
      <w:r>
        <w:rPr>
          <w:color w:val="231F1F"/>
          <w:w w:val="110"/>
        </w:rPr>
        <w:t>anal</w:t>
      </w:r>
      <w:r>
        <w:rPr>
          <w:color w:val="231F1F"/>
          <w:spacing w:val="-6"/>
          <w:w w:val="110"/>
        </w:rPr>
        <w:t> </w:t>
      </w:r>
      <w:r>
        <w:rPr>
          <w:color w:val="231F1F"/>
          <w:w w:val="110"/>
        </w:rPr>
        <w:t>en</w:t>
      </w:r>
      <w:r>
        <w:rPr>
          <w:color w:val="231F1F"/>
          <w:spacing w:val="-5"/>
          <w:w w:val="110"/>
        </w:rPr>
        <w:t> </w:t>
      </w:r>
      <w:r>
        <w:rPr>
          <w:color w:val="231F1F"/>
          <w:w w:val="110"/>
        </w:rPr>
        <w:t>las</w:t>
      </w:r>
      <w:r>
        <w:rPr>
          <w:color w:val="231F1F"/>
          <w:spacing w:val="-5"/>
          <w:w w:val="110"/>
        </w:rPr>
        <w:t> </w:t>
      </w:r>
      <w:r>
        <w:rPr>
          <w:color w:val="231F1F"/>
          <w:w w:val="110"/>
        </w:rPr>
        <w:t>mujeres</w:t>
      </w:r>
      <w:r>
        <w:rPr>
          <w:color w:val="231F1F"/>
          <w:spacing w:val="-5"/>
          <w:w w:val="110"/>
        </w:rPr>
        <w:t> </w:t>
      </w:r>
      <w:r>
        <w:rPr>
          <w:color w:val="231F1F"/>
          <w:w w:val="110"/>
        </w:rPr>
        <w:t>con</w:t>
      </w:r>
      <w:r>
        <w:rPr>
          <w:color w:val="231F1F"/>
          <w:spacing w:val="-5"/>
          <w:w w:val="110"/>
        </w:rPr>
        <w:t> </w:t>
      </w:r>
      <w:r>
        <w:rPr>
          <w:color w:val="231F1F"/>
          <w:w w:val="110"/>
        </w:rPr>
        <w:t>desgarros perineales</w:t>
      </w:r>
      <w:r>
        <w:rPr>
          <w:color w:val="231F1F"/>
          <w:spacing w:val="-16"/>
          <w:w w:val="110"/>
        </w:rPr>
        <w:t> </w:t>
      </w:r>
      <w:r>
        <w:rPr>
          <w:color w:val="231F1F"/>
          <w:w w:val="110"/>
        </w:rPr>
        <w:t>anteriores</w:t>
      </w:r>
      <w:r>
        <w:rPr>
          <w:color w:val="231F1F"/>
          <w:spacing w:val="-15"/>
          <w:w w:val="110"/>
        </w:rPr>
        <w:t> </w:t>
      </w:r>
      <w:r>
        <w:rPr>
          <w:color w:val="231F1F"/>
          <w:w w:val="110"/>
        </w:rPr>
        <w:t>de</w:t>
      </w:r>
      <w:r>
        <w:rPr>
          <w:color w:val="231F1F"/>
          <w:spacing w:val="-15"/>
          <w:w w:val="110"/>
        </w:rPr>
        <w:t> </w:t>
      </w:r>
      <w:r>
        <w:rPr>
          <w:color w:val="231F1F"/>
          <w:w w:val="110"/>
        </w:rPr>
        <w:t>tercer</w:t>
      </w:r>
      <w:r>
        <w:rPr>
          <w:color w:val="231F1F"/>
          <w:spacing w:val="-15"/>
          <w:w w:val="110"/>
        </w:rPr>
        <w:t> </w:t>
      </w:r>
      <w:r>
        <w:rPr>
          <w:color w:val="231F1F"/>
          <w:w w:val="110"/>
        </w:rPr>
        <w:t>grado.</w:t>
      </w:r>
      <w:r>
        <w:rPr>
          <w:color w:val="231F1F"/>
          <w:spacing w:val="-15"/>
          <w:w w:val="110"/>
        </w:rPr>
        <w:t> </w:t>
      </w:r>
      <w:r>
        <w:rPr>
          <w:color w:val="231F1F"/>
          <w:w w:val="110"/>
        </w:rPr>
        <w:t>Sin</w:t>
      </w:r>
      <w:r>
        <w:rPr>
          <w:color w:val="231F1F"/>
          <w:spacing w:val="-15"/>
          <w:w w:val="110"/>
        </w:rPr>
        <w:t> </w:t>
      </w:r>
      <w:r>
        <w:rPr>
          <w:color w:val="231F1F"/>
          <w:w w:val="110"/>
        </w:rPr>
        <w:t>embargo,</w:t>
      </w:r>
      <w:r>
        <w:rPr>
          <w:color w:val="231F1F"/>
          <w:spacing w:val="-15"/>
          <w:w w:val="110"/>
        </w:rPr>
        <w:t> </w:t>
      </w:r>
      <w:r>
        <w:rPr>
          <w:color w:val="231F1F"/>
          <w:w w:val="110"/>
        </w:rPr>
        <w:t>se</w:t>
      </w:r>
      <w:r>
        <w:rPr>
          <w:color w:val="231F1F"/>
          <w:spacing w:val="-15"/>
          <w:w w:val="110"/>
        </w:rPr>
        <w:t> </w:t>
      </w:r>
      <w:r>
        <w:rPr>
          <w:color w:val="231F1F"/>
          <w:w w:val="110"/>
        </w:rPr>
        <w:t>observa</w:t>
      </w:r>
      <w:r>
        <w:rPr>
          <w:color w:val="231F1F"/>
          <w:spacing w:val="-16"/>
          <w:w w:val="110"/>
        </w:rPr>
        <w:t> </w:t>
      </w:r>
      <w:r>
        <w:rPr>
          <w:color w:val="231F1F"/>
          <w:w w:val="110"/>
        </w:rPr>
        <w:t>una</w:t>
      </w:r>
      <w:r>
        <w:rPr>
          <w:color w:val="231F1F"/>
          <w:spacing w:val="-15"/>
          <w:w w:val="110"/>
        </w:rPr>
        <w:t> </w:t>
      </w:r>
      <w:r>
        <w:rPr>
          <w:color w:val="231F1F"/>
          <w:w w:val="110"/>
        </w:rPr>
        <w:t>tendencia de</w:t>
      </w:r>
      <w:r>
        <w:rPr>
          <w:color w:val="231F1F"/>
          <w:spacing w:val="-14"/>
          <w:w w:val="110"/>
        </w:rPr>
        <w:t> </w:t>
      </w:r>
      <w:r>
        <w:rPr>
          <w:color w:val="231F1F"/>
          <w:w w:val="110"/>
        </w:rPr>
        <w:t>aumento</w:t>
      </w:r>
      <w:r>
        <w:rPr>
          <w:color w:val="231F1F"/>
          <w:spacing w:val="-14"/>
          <w:w w:val="110"/>
        </w:rPr>
        <w:t> </w:t>
      </w:r>
      <w:r>
        <w:rPr>
          <w:color w:val="231F1F"/>
          <w:w w:val="110"/>
        </w:rPr>
        <w:t>de</w:t>
      </w:r>
      <w:r>
        <w:rPr>
          <w:color w:val="231F1F"/>
          <w:spacing w:val="-14"/>
          <w:w w:val="110"/>
        </w:rPr>
        <w:t> </w:t>
      </w:r>
      <w:r>
        <w:rPr>
          <w:color w:val="231F1F"/>
          <w:w w:val="110"/>
        </w:rPr>
        <w:t>incidencia</w:t>
      </w:r>
      <w:r>
        <w:rPr>
          <w:color w:val="231F1F"/>
          <w:spacing w:val="-14"/>
          <w:w w:val="110"/>
        </w:rPr>
        <w:t> </w:t>
      </w:r>
      <w:r>
        <w:rPr>
          <w:color w:val="231F1F"/>
          <w:w w:val="110"/>
        </w:rPr>
        <w:t>en</w:t>
      </w:r>
      <w:r>
        <w:rPr>
          <w:color w:val="231F1F"/>
          <w:spacing w:val="-14"/>
          <w:w w:val="110"/>
        </w:rPr>
        <w:t> </w:t>
      </w:r>
      <w:r>
        <w:rPr>
          <w:color w:val="231F1F"/>
          <w:w w:val="110"/>
        </w:rPr>
        <w:t>mujeres</w:t>
      </w:r>
      <w:r>
        <w:rPr>
          <w:color w:val="231F1F"/>
          <w:spacing w:val="-14"/>
          <w:w w:val="110"/>
        </w:rPr>
        <w:t> </w:t>
      </w:r>
      <w:r>
        <w:rPr>
          <w:color w:val="231F1F"/>
          <w:w w:val="110"/>
        </w:rPr>
        <w:t>con</w:t>
      </w:r>
      <w:r>
        <w:rPr>
          <w:color w:val="231F1F"/>
          <w:spacing w:val="-14"/>
          <w:w w:val="110"/>
        </w:rPr>
        <w:t> </w:t>
      </w:r>
      <w:r>
        <w:rPr>
          <w:color w:val="231F1F"/>
          <w:w w:val="110"/>
        </w:rPr>
        <w:t>desgarros</w:t>
      </w:r>
      <w:r>
        <w:rPr>
          <w:color w:val="231F1F"/>
          <w:spacing w:val="-15"/>
          <w:w w:val="110"/>
        </w:rPr>
        <w:t> </w:t>
      </w:r>
      <w:r>
        <w:rPr>
          <w:color w:val="231F1F"/>
          <w:w w:val="110"/>
        </w:rPr>
        <w:t>previos</w:t>
      </w:r>
      <w:r>
        <w:rPr>
          <w:color w:val="231F1F"/>
          <w:spacing w:val="-15"/>
          <w:w w:val="110"/>
        </w:rPr>
        <w:t> </w:t>
      </w:r>
      <w:r>
        <w:rPr>
          <w:color w:val="231F1F"/>
          <w:w w:val="110"/>
        </w:rPr>
        <w:t>de</w:t>
      </w:r>
      <w:r>
        <w:rPr>
          <w:color w:val="231F1F"/>
          <w:spacing w:val="-14"/>
          <w:w w:val="110"/>
        </w:rPr>
        <w:t> </w:t>
      </w:r>
      <w:r>
        <w:rPr>
          <w:color w:val="231F1F"/>
          <w:w w:val="110"/>
        </w:rPr>
        <w:t>cuarto</w:t>
      </w:r>
      <w:r>
        <w:rPr>
          <w:color w:val="231F1F"/>
          <w:spacing w:val="-14"/>
          <w:w w:val="110"/>
        </w:rPr>
        <w:t> </w:t>
      </w:r>
      <w:r>
        <w:rPr>
          <w:color w:val="231F1F"/>
          <w:w w:val="110"/>
        </w:rPr>
        <w:t>grado. Los</w:t>
      </w:r>
      <w:r>
        <w:rPr>
          <w:color w:val="231F1F"/>
          <w:spacing w:val="-14"/>
          <w:w w:val="110"/>
        </w:rPr>
        <w:t> </w:t>
      </w:r>
      <w:r>
        <w:rPr>
          <w:color w:val="231F1F"/>
          <w:w w:val="110"/>
        </w:rPr>
        <w:t>autores</w:t>
      </w:r>
      <w:r>
        <w:rPr>
          <w:color w:val="231F1F"/>
          <w:spacing w:val="-14"/>
          <w:w w:val="110"/>
        </w:rPr>
        <w:t> </w:t>
      </w:r>
      <w:r>
        <w:rPr>
          <w:color w:val="231F1F"/>
          <w:w w:val="110"/>
        </w:rPr>
        <w:t>observaron</w:t>
      </w:r>
      <w:r>
        <w:rPr>
          <w:color w:val="231F1F"/>
          <w:spacing w:val="-14"/>
          <w:w w:val="110"/>
        </w:rPr>
        <w:t> </w:t>
      </w:r>
      <w:r>
        <w:rPr>
          <w:color w:val="231F1F"/>
          <w:w w:val="110"/>
        </w:rPr>
        <w:t>que</w:t>
      </w:r>
      <w:r>
        <w:rPr>
          <w:color w:val="231F1F"/>
          <w:spacing w:val="-14"/>
          <w:w w:val="110"/>
        </w:rPr>
        <w:t> </w:t>
      </w:r>
      <w:r>
        <w:rPr>
          <w:color w:val="231F1F"/>
          <w:w w:val="110"/>
        </w:rPr>
        <w:t>la</w:t>
      </w:r>
      <w:r>
        <w:rPr>
          <w:color w:val="231F1F"/>
          <w:spacing w:val="-14"/>
          <w:w w:val="110"/>
        </w:rPr>
        <w:t> </w:t>
      </w:r>
      <w:r>
        <w:rPr>
          <w:color w:val="231F1F"/>
          <w:w w:val="110"/>
        </w:rPr>
        <w:t>mayoría</w:t>
      </w:r>
      <w:r>
        <w:rPr>
          <w:color w:val="231F1F"/>
          <w:spacing w:val="-13"/>
          <w:w w:val="110"/>
        </w:rPr>
        <w:t> </w:t>
      </w:r>
      <w:r>
        <w:rPr>
          <w:color w:val="231F1F"/>
          <w:w w:val="110"/>
        </w:rPr>
        <w:t>de</w:t>
      </w:r>
      <w:r>
        <w:rPr>
          <w:color w:val="231F1F"/>
          <w:spacing w:val="-14"/>
          <w:w w:val="110"/>
        </w:rPr>
        <w:t> </w:t>
      </w:r>
      <w:r>
        <w:rPr>
          <w:color w:val="231F1F"/>
          <w:w w:val="110"/>
        </w:rPr>
        <w:t>desgarros</w:t>
      </w:r>
      <w:r>
        <w:rPr>
          <w:color w:val="231F1F"/>
          <w:spacing w:val="-14"/>
          <w:w w:val="110"/>
        </w:rPr>
        <w:t> </w:t>
      </w:r>
      <w:r>
        <w:rPr>
          <w:color w:val="231F1F"/>
          <w:w w:val="110"/>
        </w:rPr>
        <w:t>de</w:t>
      </w:r>
      <w:r>
        <w:rPr>
          <w:color w:val="231F1F"/>
          <w:spacing w:val="-14"/>
          <w:w w:val="110"/>
        </w:rPr>
        <w:t> </w:t>
      </w:r>
      <w:r>
        <w:rPr>
          <w:color w:val="231F1F"/>
          <w:w w:val="110"/>
        </w:rPr>
        <w:t>tercer</w:t>
      </w:r>
      <w:r>
        <w:rPr>
          <w:color w:val="231F1F"/>
          <w:spacing w:val="-14"/>
          <w:w w:val="110"/>
        </w:rPr>
        <w:t> </w:t>
      </w:r>
      <w:r>
        <w:rPr>
          <w:color w:val="231F1F"/>
          <w:w w:val="110"/>
        </w:rPr>
        <w:t>y</w:t>
      </w:r>
      <w:r>
        <w:rPr>
          <w:color w:val="231F1F"/>
          <w:spacing w:val="-13"/>
          <w:w w:val="110"/>
        </w:rPr>
        <w:t> </w:t>
      </w:r>
      <w:r>
        <w:rPr>
          <w:color w:val="231F1F"/>
          <w:w w:val="110"/>
        </w:rPr>
        <w:t>cuarto</w:t>
      </w:r>
      <w:r>
        <w:rPr>
          <w:color w:val="231F1F"/>
          <w:spacing w:val="-13"/>
          <w:w w:val="110"/>
        </w:rPr>
        <w:t> </w:t>
      </w:r>
      <w:r>
        <w:rPr>
          <w:color w:val="231F1F"/>
          <w:w w:val="110"/>
        </w:rPr>
        <w:t>grado de</w:t>
      </w:r>
      <w:r>
        <w:rPr>
          <w:color w:val="231F1F"/>
          <w:spacing w:val="-6"/>
          <w:w w:val="110"/>
        </w:rPr>
        <w:t> </w:t>
      </w:r>
      <w:r>
        <w:rPr>
          <w:color w:val="231F1F"/>
          <w:w w:val="110"/>
        </w:rPr>
        <w:t>este</w:t>
      </w:r>
      <w:r>
        <w:rPr>
          <w:color w:val="231F1F"/>
          <w:spacing w:val="-6"/>
          <w:w w:val="110"/>
        </w:rPr>
        <w:t> </w:t>
      </w:r>
      <w:r>
        <w:rPr>
          <w:color w:val="231F1F"/>
          <w:w w:val="110"/>
        </w:rPr>
        <w:t>estudio</w:t>
      </w:r>
      <w:r>
        <w:rPr>
          <w:color w:val="231F1F"/>
          <w:spacing w:val="-6"/>
          <w:w w:val="110"/>
        </w:rPr>
        <w:t> </w:t>
      </w:r>
      <w:r>
        <w:rPr>
          <w:color w:val="231F1F"/>
          <w:w w:val="110"/>
        </w:rPr>
        <w:t>fueron</w:t>
      </w:r>
      <w:r>
        <w:rPr>
          <w:color w:val="231F1F"/>
          <w:spacing w:val="-6"/>
          <w:w w:val="110"/>
        </w:rPr>
        <w:t> </w:t>
      </w:r>
      <w:r>
        <w:rPr>
          <w:color w:val="231F1F"/>
          <w:w w:val="110"/>
        </w:rPr>
        <w:t>en</w:t>
      </w:r>
      <w:r>
        <w:rPr>
          <w:color w:val="231F1F"/>
          <w:spacing w:val="-6"/>
          <w:w w:val="110"/>
        </w:rPr>
        <w:t> </w:t>
      </w:r>
      <w:r>
        <w:rPr>
          <w:color w:val="231F1F"/>
          <w:w w:val="110"/>
        </w:rPr>
        <w:t>las</w:t>
      </w:r>
      <w:r>
        <w:rPr>
          <w:color w:val="231F1F"/>
          <w:spacing w:val="-6"/>
          <w:w w:val="110"/>
        </w:rPr>
        <w:t> </w:t>
      </w:r>
      <w:r>
        <w:rPr>
          <w:color w:val="231F1F"/>
          <w:w w:val="110"/>
        </w:rPr>
        <w:t>extensiones</w:t>
      </w:r>
      <w:r>
        <w:rPr>
          <w:color w:val="231F1F"/>
          <w:spacing w:val="-5"/>
          <w:w w:val="110"/>
        </w:rPr>
        <w:t> </w:t>
      </w:r>
      <w:r>
        <w:rPr>
          <w:color w:val="231F1F"/>
          <w:w w:val="110"/>
        </w:rPr>
        <w:t>de</w:t>
      </w:r>
      <w:r>
        <w:rPr>
          <w:color w:val="231F1F"/>
          <w:spacing w:val="-6"/>
          <w:w w:val="110"/>
        </w:rPr>
        <w:t> </w:t>
      </w:r>
      <w:r>
        <w:rPr>
          <w:color w:val="231F1F"/>
          <w:w w:val="110"/>
        </w:rPr>
        <w:t>las</w:t>
      </w:r>
      <w:r>
        <w:rPr>
          <w:color w:val="231F1F"/>
          <w:spacing w:val="-6"/>
          <w:w w:val="110"/>
        </w:rPr>
        <w:t> </w:t>
      </w:r>
      <w:r>
        <w:rPr>
          <w:color w:val="231F1F"/>
          <w:w w:val="110"/>
        </w:rPr>
        <w:t>episiotomías</w:t>
      </w:r>
      <w:r>
        <w:rPr>
          <w:color w:val="231F1F"/>
          <w:spacing w:val="-6"/>
          <w:w w:val="110"/>
        </w:rPr>
        <w:t> </w:t>
      </w:r>
      <w:r>
        <w:rPr>
          <w:color w:val="231F1F"/>
          <w:w w:val="110"/>
        </w:rPr>
        <w:t>de</w:t>
      </w:r>
      <w:r>
        <w:rPr>
          <w:color w:val="231F1F"/>
          <w:spacing w:val="-6"/>
          <w:w w:val="110"/>
        </w:rPr>
        <w:t> </w:t>
      </w:r>
      <w:r>
        <w:rPr>
          <w:color w:val="231F1F"/>
          <w:w w:val="110"/>
        </w:rPr>
        <w:t>línea</w:t>
      </w:r>
      <w:r>
        <w:rPr>
          <w:color w:val="231F1F"/>
          <w:spacing w:val="-6"/>
          <w:w w:val="110"/>
        </w:rPr>
        <w:t> </w:t>
      </w:r>
      <w:r>
        <w:rPr>
          <w:color w:val="231F1F"/>
          <w:w w:val="110"/>
        </w:rPr>
        <w:t>media y</w:t>
      </w:r>
      <w:r>
        <w:rPr>
          <w:color w:val="231F1F"/>
          <w:spacing w:val="-1"/>
          <w:w w:val="110"/>
        </w:rPr>
        <w:t> </w:t>
      </w:r>
      <w:r>
        <w:rPr>
          <w:color w:val="231F1F"/>
          <w:w w:val="110"/>
        </w:rPr>
        <w:t>se</w:t>
      </w:r>
      <w:r>
        <w:rPr>
          <w:color w:val="231F1F"/>
          <w:spacing w:val="-2"/>
          <w:w w:val="110"/>
        </w:rPr>
        <w:t> </w:t>
      </w:r>
      <w:r>
        <w:rPr>
          <w:color w:val="231F1F"/>
          <w:w w:val="110"/>
        </w:rPr>
        <w:t>sugirió</w:t>
      </w:r>
      <w:r>
        <w:rPr>
          <w:color w:val="231F1F"/>
          <w:spacing w:val="-2"/>
          <w:w w:val="110"/>
        </w:rPr>
        <w:t> </w:t>
      </w:r>
      <w:r>
        <w:rPr>
          <w:color w:val="231F1F"/>
          <w:w w:val="110"/>
        </w:rPr>
        <w:t>que</w:t>
      </w:r>
      <w:r>
        <w:rPr>
          <w:color w:val="231F1F"/>
          <w:spacing w:val="-2"/>
          <w:w w:val="110"/>
        </w:rPr>
        <w:t> </w:t>
      </w:r>
      <w:r>
        <w:rPr>
          <w:color w:val="231F1F"/>
          <w:w w:val="110"/>
        </w:rPr>
        <w:t>los</w:t>
      </w:r>
      <w:r>
        <w:rPr>
          <w:color w:val="231F1F"/>
          <w:spacing w:val="-2"/>
          <w:w w:val="110"/>
        </w:rPr>
        <w:t> </w:t>
      </w:r>
      <w:r>
        <w:rPr>
          <w:color w:val="231F1F"/>
          <w:w w:val="110"/>
        </w:rPr>
        <w:t>diferentes</w:t>
      </w:r>
      <w:r>
        <w:rPr>
          <w:color w:val="231F1F"/>
          <w:spacing w:val="-2"/>
          <w:w w:val="110"/>
        </w:rPr>
        <w:t> </w:t>
      </w:r>
      <w:r>
        <w:rPr>
          <w:color w:val="231F1F"/>
          <w:w w:val="110"/>
        </w:rPr>
        <w:t>grados</w:t>
      </w:r>
      <w:r>
        <w:rPr>
          <w:color w:val="231F1F"/>
          <w:spacing w:val="-2"/>
          <w:w w:val="110"/>
        </w:rPr>
        <w:t> </w:t>
      </w:r>
      <w:r>
        <w:rPr>
          <w:color w:val="231F1F"/>
          <w:w w:val="110"/>
        </w:rPr>
        <w:t>de</w:t>
      </w:r>
      <w:r>
        <w:rPr>
          <w:color w:val="231F1F"/>
          <w:spacing w:val="-2"/>
          <w:w w:val="110"/>
        </w:rPr>
        <w:t> </w:t>
      </w:r>
      <w:r>
        <w:rPr>
          <w:color w:val="231F1F"/>
          <w:w w:val="110"/>
        </w:rPr>
        <w:t>desgarros</w:t>
      </w:r>
      <w:r>
        <w:rPr>
          <w:color w:val="231F1F"/>
          <w:spacing w:val="-2"/>
          <w:w w:val="110"/>
        </w:rPr>
        <w:t> </w:t>
      </w:r>
      <w:r>
        <w:rPr>
          <w:color w:val="231F1F"/>
          <w:w w:val="110"/>
        </w:rPr>
        <w:t>podrían</w:t>
      </w:r>
      <w:r>
        <w:rPr>
          <w:color w:val="231F1F"/>
          <w:spacing w:val="-2"/>
          <w:w w:val="110"/>
        </w:rPr>
        <w:t> </w:t>
      </w:r>
      <w:r>
        <w:rPr>
          <w:color w:val="231F1F"/>
          <w:w w:val="110"/>
        </w:rPr>
        <w:t>suponer</w:t>
      </w:r>
      <w:r>
        <w:rPr>
          <w:color w:val="231F1F"/>
          <w:spacing w:val="-2"/>
          <w:w w:val="110"/>
        </w:rPr>
        <w:t> </w:t>
      </w:r>
      <w:r>
        <w:rPr>
          <w:color w:val="231F1F"/>
          <w:w w:val="110"/>
        </w:rPr>
        <w:t>riesgos pronósticos</w:t>
      </w:r>
      <w:r>
        <w:rPr>
          <w:color w:val="231F1F"/>
          <w:spacing w:val="-9"/>
          <w:w w:val="110"/>
        </w:rPr>
        <w:t> </w:t>
      </w:r>
      <w:r>
        <w:rPr>
          <w:color w:val="231F1F"/>
          <w:w w:val="110"/>
        </w:rPr>
        <w:t>diferentes</w:t>
      </w:r>
      <w:r>
        <w:rPr>
          <w:color w:val="231F1F"/>
          <w:spacing w:val="-10"/>
          <w:w w:val="110"/>
        </w:rPr>
        <w:t> </w:t>
      </w:r>
      <w:r>
        <w:rPr>
          <w:color w:val="231F1F"/>
          <w:w w:val="110"/>
        </w:rPr>
        <w:t>para</w:t>
      </w:r>
      <w:r>
        <w:rPr>
          <w:color w:val="231F1F"/>
          <w:spacing w:val="-9"/>
          <w:w w:val="110"/>
        </w:rPr>
        <w:t> </w:t>
      </w:r>
      <w:r>
        <w:rPr>
          <w:color w:val="231F1F"/>
          <w:w w:val="110"/>
        </w:rPr>
        <w:t>el</w:t>
      </w:r>
      <w:r>
        <w:rPr>
          <w:color w:val="231F1F"/>
          <w:spacing w:val="-10"/>
          <w:w w:val="110"/>
        </w:rPr>
        <w:t> </w:t>
      </w:r>
      <w:r>
        <w:rPr>
          <w:color w:val="231F1F"/>
          <w:w w:val="110"/>
        </w:rPr>
        <w:t>desgarro</w:t>
      </w:r>
      <w:r>
        <w:rPr>
          <w:color w:val="231F1F"/>
          <w:spacing w:val="-9"/>
          <w:w w:val="110"/>
        </w:rPr>
        <w:t> </w:t>
      </w:r>
      <w:r>
        <w:rPr>
          <w:color w:val="231F1F"/>
          <w:w w:val="110"/>
        </w:rPr>
        <w:t>de</w:t>
      </w:r>
      <w:r>
        <w:rPr>
          <w:color w:val="231F1F"/>
          <w:spacing w:val="-9"/>
          <w:w w:val="110"/>
        </w:rPr>
        <w:t> </w:t>
      </w:r>
      <w:r>
        <w:rPr>
          <w:color w:val="231F1F"/>
          <w:w w:val="110"/>
        </w:rPr>
        <w:t>esfínter,</w:t>
      </w:r>
      <w:r>
        <w:rPr>
          <w:color w:val="231F1F"/>
          <w:spacing w:val="-10"/>
          <w:w w:val="110"/>
        </w:rPr>
        <w:t> </w:t>
      </w:r>
      <w:r>
        <w:rPr>
          <w:color w:val="231F1F"/>
          <w:w w:val="110"/>
        </w:rPr>
        <w:t>complicando</w:t>
      </w:r>
      <w:r>
        <w:rPr>
          <w:color w:val="231F1F"/>
          <w:spacing w:val="-9"/>
          <w:w w:val="110"/>
        </w:rPr>
        <w:t> </w:t>
      </w:r>
      <w:r>
        <w:rPr>
          <w:color w:val="231F1F"/>
          <w:w w:val="110"/>
        </w:rPr>
        <w:t>el</w:t>
      </w:r>
      <w:r>
        <w:rPr>
          <w:color w:val="231F1F"/>
          <w:spacing w:val="-10"/>
          <w:w w:val="110"/>
        </w:rPr>
        <w:t> </w:t>
      </w:r>
      <w:r>
        <w:rPr>
          <w:color w:val="231F1F"/>
          <w:w w:val="110"/>
        </w:rPr>
        <w:t>desgarro espontáneo o la episiotomía mediolateral.</w:t>
      </w:r>
    </w:p>
    <w:p>
      <w:pPr>
        <w:pStyle w:val="BodyText"/>
        <w:spacing w:line="244" w:lineRule="auto" w:before="93"/>
        <w:ind w:left="283" w:right="1" w:firstLine="453"/>
        <w:jc w:val="both"/>
      </w:pPr>
      <w:r>
        <w:rPr>
          <w:color w:val="231F1F"/>
          <w:w w:val="110"/>
        </w:rPr>
        <w:t>En resumen se observa que en mujeres con trauma perineal severo en partos</w:t>
      </w:r>
      <w:r>
        <w:rPr>
          <w:color w:val="231F1F"/>
          <w:spacing w:val="-13"/>
          <w:w w:val="110"/>
        </w:rPr>
        <w:t> </w:t>
      </w:r>
      <w:r>
        <w:rPr>
          <w:color w:val="231F1F"/>
          <w:w w:val="110"/>
        </w:rPr>
        <w:t>anteriores</w:t>
      </w:r>
      <w:r>
        <w:rPr>
          <w:color w:val="231F1F"/>
          <w:spacing w:val="-12"/>
          <w:w w:val="110"/>
        </w:rPr>
        <w:t> </w:t>
      </w:r>
      <w:r>
        <w:rPr>
          <w:color w:val="231F1F"/>
          <w:w w:val="110"/>
        </w:rPr>
        <w:t>la</w:t>
      </w:r>
      <w:r>
        <w:rPr>
          <w:color w:val="231F1F"/>
          <w:spacing w:val="-12"/>
          <w:w w:val="110"/>
        </w:rPr>
        <w:t> </w:t>
      </w:r>
      <w:r>
        <w:rPr>
          <w:color w:val="231F1F"/>
          <w:w w:val="110"/>
        </w:rPr>
        <w:t>incidencia</w:t>
      </w:r>
      <w:r>
        <w:rPr>
          <w:color w:val="231F1F"/>
          <w:spacing w:val="-12"/>
          <w:w w:val="110"/>
        </w:rPr>
        <w:t> </w:t>
      </w:r>
      <w:r>
        <w:rPr>
          <w:color w:val="231F1F"/>
          <w:w w:val="110"/>
        </w:rPr>
        <w:t>de</w:t>
      </w:r>
      <w:r>
        <w:rPr>
          <w:color w:val="231F1F"/>
          <w:spacing w:val="-12"/>
          <w:w w:val="110"/>
        </w:rPr>
        <w:t> </w:t>
      </w:r>
      <w:r>
        <w:rPr>
          <w:color w:val="231F1F"/>
          <w:w w:val="110"/>
        </w:rPr>
        <w:t>recurrencia</w:t>
      </w:r>
      <w:r>
        <w:rPr>
          <w:color w:val="231F1F"/>
          <w:spacing w:val="-12"/>
          <w:w w:val="110"/>
        </w:rPr>
        <w:t> </w:t>
      </w:r>
      <w:r>
        <w:rPr>
          <w:color w:val="231F1F"/>
          <w:w w:val="110"/>
        </w:rPr>
        <w:t>de</w:t>
      </w:r>
      <w:r>
        <w:rPr>
          <w:color w:val="231F1F"/>
          <w:spacing w:val="-12"/>
          <w:w w:val="110"/>
        </w:rPr>
        <w:t> </w:t>
      </w:r>
      <w:r>
        <w:rPr>
          <w:color w:val="231F1F"/>
          <w:w w:val="110"/>
        </w:rPr>
        <w:t>traumatismo</w:t>
      </w:r>
      <w:r>
        <w:rPr>
          <w:color w:val="231F1F"/>
          <w:spacing w:val="-12"/>
          <w:w w:val="110"/>
        </w:rPr>
        <w:t> </w:t>
      </w:r>
      <w:r>
        <w:rPr>
          <w:color w:val="231F1F"/>
          <w:w w:val="110"/>
        </w:rPr>
        <w:t>perineal</w:t>
      </w:r>
      <w:r>
        <w:rPr>
          <w:color w:val="231F1F"/>
          <w:spacing w:val="-13"/>
          <w:w w:val="110"/>
        </w:rPr>
        <w:t> </w:t>
      </w:r>
      <w:r>
        <w:rPr>
          <w:color w:val="231F1F"/>
          <w:w w:val="110"/>
        </w:rPr>
        <w:t>grave es</w:t>
      </w:r>
      <w:r>
        <w:rPr>
          <w:color w:val="231F1F"/>
          <w:spacing w:val="-16"/>
          <w:w w:val="110"/>
        </w:rPr>
        <w:t> </w:t>
      </w:r>
      <w:r>
        <w:rPr>
          <w:color w:val="231F1F"/>
          <w:w w:val="110"/>
        </w:rPr>
        <w:t>similar</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incidencia</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previo.</w:t>
      </w:r>
      <w:r>
        <w:rPr>
          <w:color w:val="231F1F"/>
          <w:spacing w:val="-16"/>
          <w:w w:val="110"/>
        </w:rPr>
        <w:t> </w:t>
      </w:r>
      <w:r>
        <w:rPr>
          <w:color w:val="231F1F"/>
          <w:w w:val="110"/>
        </w:rPr>
        <w:t>No</w:t>
      </w:r>
      <w:r>
        <w:rPr>
          <w:color w:val="231F1F"/>
          <w:spacing w:val="-15"/>
          <w:w w:val="110"/>
        </w:rPr>
        <w:t> </w:t>
      </w:r>
      <w:r>
        <w:rPr>
          <w:color w:val="231F1F"/>
          <w:w w:val="110"/>
        </w:rPr>
        <w:t>hay</w:t>
      </w:r>
      <w:r>
        <w:rPr>
          <w:color w:val="231F1F"/>
          <w:spacing w:val="-15"/>
          <w:w w:val="110"/>
        </w:rPr>
        <w:t> </w:t>
      </w:r>
      <w:r>
        <w:rPr>
          <w:color w:val="231F1F"/>
          <w:w w:val="110"/>
        </w:rPr>
        <w:t>evidencia</w:t>
      </w:r>
      <w:r>
        <w:rPr>
          <w:color w:val="231F1F"/>
          <w:spacing w:val="-15"/>
          <w:w w:val="110"/>
        </w:rPr>
        <w:t> </w:t>
      </w:r>
      <w:r>
        <w:rPr>
          <w:color w:val="231F1F"/>
          <w:w w:val="110"/>
        </w:rPr>
        <w:t>sobre</w:t>
      </w:r>
      <w:r>
        <w:rPr>
          <w:color w:val="231F1F"/>
          <w:spacing w:val="-15"/>
          <w:w w:val="110"/>
        </w:rPr>
        <w:t> </w:t>
      </w:r>
      <w:r>
        <w:rPr>
          <w:color w:val="231F1F"/>
          <w:w w:val="110"/>
        </w:rPr>
        <w:t>la</w:t>
      </w:r>
      <w:r>
        <w:rPr>
          <w:color w:val="231F1F"/>
          <w:spacing w:val="-15"/>
          <w:w w:val="110"/>
        </w:rPr>
        <w:t> </w:t>
      </w:r>
      <w:r>
        <w:rPr>
          <w:color w:val="231F1F"/>
          <w:w w:val="110"/>
        </w:rPr>
        <w:t>efecti- vidad</w:t>
      </w:r>
      <w:r>
        <w:rPr>
          <w:color w:val="231F1F"/>
          <w:spacing w:val="-12"/>
          <w:w w:val="110"/>
        </w:rPr>
        <w:t> </w:t>
      </w:r>
      <w:r>
        <w:rPr>
          <w:color w:val="231F1F"/>
          <w:w w:val="110"/>
        </w:rPr>
        <w:t>del</w:t>
      </w:r>
      <w:r>
        <w:rPr>
          <w:color w:val="231F1F"/>
          <w:spacing w:val="-13"/>
          <w:w w:val="110"/>
        </w:rPr>
        <w:t> </w:t>
      </w:r>
      <w:r>
        <w:rPr>
          <w:color w:val="231F1F"/>
          <w:w w:val="110"/>
        </w:rPr>
        <w:t>uso</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episiotomía</w:t>
      </w:r>
      <w:r>
        <w:rPr>
          <w:color w:val="231F1F"/>
          <w:spacing w:val="-13"/>
          <w:w w:val="110"/>
        </w:rPr>
        <w:t> </w:t>
      </w:r>
      <w:r>
        <w:rPr>
          <w:color w:val="231F1F"/>
          <w:w w:val="110"/>
        </w:rPr>
        <w:t>para</w:t>
      </w:r>
      <w:r>
        <w:rPr>
          <w:color w:val="231F1F"/>
          <w:spacing w:val="-12"/>
          <w:w w:val="110"/>
        </w:rPr>
        <w:t> </w:t>
      </w:r>
      <w:r>
        <w:rPr>
          <w:color w:val="231F1F"/>
          <w:w w:val="110"/>
        </w:rPr>
        <w:t>después</w:t>
      </w:r>
      <w:r>
        <w:rPr>
          <w:color w:val="231F1F"/>
          <w:spacing w:val="-12"/>
          <w:w w:val="110"/>
        </w:rPr>
        <w:t> </w:t>
      </w:r>
      <w:r>
        <w:rPr>
          <w:color w:val="231F1F"/>
          <w:w w:val="110"/>
        </w:rPr>
        <w:t>de</w:t>
      </w:r>
      <w:r>
        <w:rPr>
          <w:color w:val="231F1F"/>
          <w:spacing w:val="-12"/>
          <w:w w:val="110"/>
        </w:rPr>
        <w:t> </w:t>
      </w:r>
      <w:r>
        <w:rPr>
          <w:color w:val="231F1F"/>
          <w:w w:val="110"/>
        </w:rPr>
        <w:t>partos</w:t>
      </w:r>
      <w:r>
        <w:rPr>
          <w:color w:val="231F1F"/>
          <w:spacing w:val="-13"/>
          <w:w w:val="110"/>
        </w:rPr>
        <w:t> </w:t>
      </w:r>
      <w:r>
        <w:rPr>
          <w:color w:val="231F1F"/>
          <w:w w:val="110"/>
        </w:rPr>
        <w:t>con</w:t>
      </w:r>
      <w:r>
        <w:rPr>
          <w:color w:val="231F1F"/>
          <w:spacing w:val="-12"/>
          <w:w w:val="110"/>
        </w:rPr>
        <w:t> </w:t>
      </w:r>
      <w:r>
        <w:rPr>
          <w:color w:val="231F1F"/>
          <w:w w:val="110"/>
        </w:rPr>
        <w:t>traumas</w:t>
      </w:r>
      <w:r>
        <w:rPr>
          <w:color w:val="231F1F"/>
          <w:spacing w:val="-12"/>
          <w:w w:val="110"/>
        </w:rPr>
        <w:t> </w:t>
      </w:r>
      <w:r>
        <w:rPr>
          <w:color w:val="231F1F"/>
          <w:w w:val="110"/>
        </w:rPr>
        <w:t>de</w:t>
      </w:r>
      <w:r>
        <w:rPr>
          <w:color w:val="231F1F"/>
          <w:spacing w:val="-12"/>
          <w:w w:val="110"/>
        </w:rPr>
        <w:t> </w:t>
      </w:r>
      <w:r>
        <w:rPr>
          <w:color w:val="231F1F"/>
          <w:w w:val="110"/>
        </w:rPr>
        <w:t>tercer o cuarto grado.</w:t>
      </w:r>
    </w:p>
    <w:p>
      <w:pPr>
        <w:pStyle w:val="BodyText"/>
        <w:spacing w:before="141"/>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2"/>
          <w:sz w:val="24"/>
        </w:rPr>
        <w:t> </w:t>
      </w:r>
      <w:r>
        <w:rPr>
          <w:rFonts w:ascii="Arial MT" w:hAnsi="Arial MT"/>
          <w:color w:val="231F1F"/>
          <w:sz w:val="24"/>
        </w:rPr>
        <w:t>(2006</w:t>
      </w:r>
      <w:r>
        <w:rPr>
          <w:rFonts w:ascii="Arial MT" w:hAnsi="Arial MT"/>
          <w:color w:val="231F1F"/>
          <w:spacing w:val="17"/>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marzo</w:t>
      </w:r>
      <w:r>
        <w:rPr>
          <w:rFonts w:ascii="Arial MT" w:hAnsi="Arial MT"/>
          <w:color w:val="231F1F"/>
          <w:spacing w:val="16"/>
          <w:sz w:val="24"/>
        </w:rPr>
        <w:t> </w:t>
      </w:r>
      <w:r>
        <w:rPr>
          <w:rFonts w:ascii="Arial MT" w:hAnsi="Arial MT"/>
          <w:color w:val="231F1F"/>
          <w:spacing w:val="-2"/>
          <w:sz w:val="24"/>
        </w:rPr>
        <w:t>2008)</w:t>
      </w:r>
    </w:p>
    <w:p>
      <w:pPr>
        <w:pStyle w:val="BodyText"/>
        <w:spacing w:line="249" w:lineRule="auto" w:before="181"/>
        <w:ind w:left="283" w:firstLine="453"/>
        <w:jc w:val="both"/>
      </w:pPr>
      <w:r>
        <w:rPr>
          <w:color w:val="231F1F"/>
          <w:w w:val="110"/>
        </w:rPr>
        <w:t>En</w:t>
      </w:r>
      <w:r>
        <w:rPr>
          <w:color w:val="231F1F"/>
          <w:spacing w:val="-5"/>
          <w:w w:val="110"/>
        </w:rPr>
        <w:t> </w:t>
      </w:r>
      <w:r>
        <w:rPr>
          <w:color w:val="231F1F"/>
          <w:w w:val="110"/>
        </w:rPr>
        <w:t>la</w:t>
      </w:r>
      <w:r>
        <w:rPr>
          <w:color w:val="231F1F"/>
          <w:spacing w:val="-5"/>
          <w:w w:val="110"/>
        </w:rPr>
        <w:t> </w:t>
      </w:r>
      <w:r>
        <w:rPr>
          <w:color w:val="231F1F"/>
          <w:w w:val="110"/>
        </w:rPr>
        <w:t>actualización</w:t>
      </w:r>
      <w:r>
        <w:rPr>
          <w:color w:val="231F1F"/>
          <w:spacing w:val="-5"/>
          <w:w w:val="110"/>
        </w:rPr>
        <w:t> </w:t>
      </w:r>
      <w:r>
        <w:rPr>
          <w:color w:val="231F1F"/>
          <w:w w:val="110"/>
        </w:rPr>
        <w:t>de</w:t>
      </w:r>
      <w:r>
        <w:rPr>
          <w:color w:val="231F1F"/>
          <w:spacing w:val="-5"/>
          <w:w w:val="110"/>
        </w:rPr>
        <w:t> </w:t>
      </w:r>
      <w:r>
        <w:rPr>
          <w:color w:val="231F1F"/>
          <w:w w:val="110"/>
        </w:rPr>
        <w:t>la</w:t>
      </w:r>
      <w:r>
        <w:rPr>
          <w:color w:val="231F1F"/>
          <w:spacing w:val="-5"/>
          <w:w w:val="110"/>
        </w:rPr>
        <w:t> </w:t>
      </w:r>
      <w:r>
        <w:rPr>
          <w:color w:val="231F1F"/>
          <w:w w:val="110"/>
        </w:rPr>
        <w:t>pregunta</w:t>
      </w:r>
      <w:r>
        <w:rPr>
          <w:color w:val="231F1F"/>
          <w:spacing w:val="-5"/>
          <w:w w:val="110"/>
        </w:rPr>
        <w:t> </w:t>
      </w:r>
      <w:r>
        <w:rPr>
          <w:color w:val="231F1F"/>
          <w:w w:val="110"/>
        </w:rPr>
        <w:t>no</w:t>
      </w:r>
      <w:r>
        <w:rPr>
          <w:color w:val="231F1F"/>
          <w:spacing w:val="-5"/>
          <w:w w:val="110"/>
        </w:rPr>
        <w:t> </w:t>
      </w:r>
      <w:r>
        <w:rPr>
          <w:color w:val="231F1F"/>
          <w:w w:val="110"/>
        </w:rPr>
        <w:t>se</w:t>
      </w:r>
      <w:r>
        <w:rPr>
          <w:color w:val="231F1F"/>
          <w:spacing w:val="-5"/>
          <w:w w:val="110"/>
        </w:rPr>
        <w:t> </w:t>
      </w:r>
      <w:r>
        <w:rPr>
          <w:color w:val="231F1F"/>
          <w:w w:val="110"/>
        </w:rPr>
        <w:t>ha</w:t>
      </w:r>
      <w:r>
        <w:rPr>
          <w:color w:val="231F1F"/>
          <w:spacing w:val="-5"/>
          <w:w w:val="110"/>
        </w:rPr>
        <w:t> </w:t>
      </w:r>
      <w:r>
        <w:rPr>
          <w:color w:val="231F1F"/>
          <w:w w:val="110"/>
        </w:rPr>
        <w:t>seleccionado</w:t>
      </w:r>
      <w:r>
        <w:rPr>
          <w:color w:val="231F1F"/>
          <w:spacing w:val="-5"/>
          <w:w w:val="110"/>
        </w:rPr>
        <w:t> </w:t>
      </w:r>
      <w:r>
        <w:rPr>
          <w:color w:val="231F1F"/>
          <w:w w:val="110"/>
        </w:rPr>
        <w:t>ningún</w:t>
      </w:r>
      <w:r>
        <w:rPr>
          <w:color w:val="231F1F"/>
          <w:spacing w:val="-5"/>
          <w:w w:val="110"/>
        </w:rPr>
        <w:t> </w:t>
      </w:r>
      <w:r>
        <w:rPr>
          <w:color w:val="231F1F"/>
          <w:w w:val="110"/>
        </w:rPr>
        <w:t>nuevo estudio.</w:t>
      </w:r>
      <w:r>
        <w:rPr>
          <w:color w:val="231F1F"/>
          <w:spacing w:val="-13"/>
          <w:w w:val="110"/>
        </w:rPr>
        <w:t> </w:t>
      </w:r>
      <w:r>
        <w:rPr>
          <w:color w:val="231F1F"/>
          <w:w w:val="110"/>
        </w:rPr>
        <w:t>Por</w:t>
      </w:r>
      <w:r>
        <w:rPr>
          <w:color w:val="231F1F"/>
          <w:spacing w:val="-13"/>
          <w:w w:val="110"/>
        </w:rPr>
        <w:t> </w:t>
      </w:r>
      <w:r>
        <w:rPr>
          <w:color w:val="231F1F"/>
          <w:w w:val="110"/>
        </w:rPr>
        <w:t>lo</w:t>
      </w:r>
      <w:r>
        <w:rPr>
          <w:color w:val="231F1F"/>
          <w:spacing w:val="-12"/>
          <w:w w:val="110"/>
        </w:rPr>
        <w:t> </w:t>
      </w:r>
      <w:r>
        <w:rPr>
          <w:color w:val="231F1F"/>
          <w:w w:val="110"/>
        </w:rPr>
        <w:t>que</w:t>
      </w:r>
      <w:r>
        <w:rPr>
          <w:color w:val="231F1F"/>
          <w:spacing w:val="-12"/>
          <w:w w:val="110"/>
        </w:rPr>
        <w:t> </w:t>
      </w:r>
      <w:r>
        <w:rPr>
          <w:color w:val="231F1F"/>
          <w:w w:val="110"/>
        </w:rPr>
        <w:t>las</w:t>
      </w:r>
      <w:r>
        <w:rPr>
          <w:color w:val="231F1F"/>
          <w:spacing w:val="-12"/>
          <w:w w:val="110"/>
        </w:rPr>
        <w:t> </w:t>
      </w:r>
      <w:r>
        <w:rPr>
          <w:color w:val="231F1F"/>
          <w:w w:val="110"/>
        </w:rPr>
        <w:t>recomendaciones</w:t>
      </w:r>
      <w:r>
        <w:rPr>
          <w:color w:val="231F1F"/>
          <w:spacing w:val="-12"/>
          <w:w w:val="110"/>
        </w:rPr>
        <w:t> </w:t>
      </w:r>
      <w:r>
        <w:rPr>
          <w:color w:val="231F1F"/>
          <w:w w:val="110"/>
        </w:rPr>
        <w:t>se</w:t>
      </w:r>
      <w:r>
        <w:rPr>
          <w:color w:val="231F1F"/>
          <w:spacing w:val="-12"/>
          <w:w w:val="110"/>
        </w:rPr>
        <w:t> </w:t>
      </w:r>
      <w:r>
        <w:rPr>
          <w:color w:val="231F1F"/>
          <w:w w:val="110"/>
        </w:rPr>
        <w:t>han</w:t>
      </w:r>
      <w:r>
        <w:rPr>
          <w:color w:val="231F1F"/>
          <w:spacing w:val="-12"/>
          <w:w w:val="110"/>
        </w:rPr>
        <w:t> </w:t>
      </w:r>
      <w:r>
        <w:rPr>
          <w:color w:val="231F1F"/>
          <w:w w:val="110"/>
        </w:rPr>
        <w:t>basado</w:t>
      </w:r>
      <w:r>
        <w:rPr>
          <w:color w:val="231F1F"/>
          <w:spacing w:val="-12"/>
          <w:w w:val="110"/>
        </w:rPr>
        <w:t> </w:t>
      </w: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evidencia</w:t>
      </w:r>
      <w:r>
        <w:rPr>
          <w:color w:val="231F1F"/>
          <w:spacing w:val="-12"/>
          <w:w w:val="110"/>
        </w:rPr>
        <w:t> </w:t>
      </w:r>
      <w:r>
        <w:rPr>
          <w:color w:val="231F1F"/>
          <w:w w:val="110"/>
        </w:rPr>
        <w:t>apor- tada</w:t>
      </w:r>
      <w:r>
        <w:rPr>
          <w:color w:val="231F1F"/>
          <w:spacing w:val="-3"/>
          <w:w w:val="110"/>
        </w:rPr>
        <w:t> </w:t>
      </w:r>
      <w:r>
        <w:rPr>
          <w:color w:val="231F1F"/>
          <w:w w:val="110"/>
        </w:rPr>
        <w:t>por</w:t>
      </w:r>
      <w:r>
        <w:rPr>
          <w:color w:val="231F1F"/>
          <w:spacing w:val="-3"/>
          <w:w w:val="110"/>
        </w:rPr>
        <w:t> </w:t>
      </w:r>
      <w:r>
        <w:rPr>
          <w:color w:val="231F1F"/>
          <w:w w:val="110"/>
        </w:rPr>
        <w:t>la</w:t>
      </w:r>
      <w:r>
        <w:rPr>
          <w:color w:val="231F1F"/>
          <w:spacing w:val="-3"/>
          <w:w w:val="110"/>
        </w:rPr>
        <w:t> </w:t>
      </w:r>
      <w:r>
        <w:rPr>
          <w:color w:val="231F1F"/>
          <w:w w:val="110"/>
        </w:rPr>
        <w:t>NICE</w:t>
      </w:r>
      <w:r>
        <w:rPr>
          <w:color w:val="231F1F"/>
          <w:spacing w:val="-2"/>
          <w:w w:val="110"/>
        </w:rPr>
        <w:t> </w:t>
      </w:r>
      <w:r>
        <w:rPr>
          <w:color w:val="231F1F"/>
          <w:w w:val="110"/>
        </w:rPr>
        <w:t>(10),</w:t>
      </w:r>
      <w:r>
        <w:rPr>
          <w:color w:val="231F1F"/>
          <w:spacing w:val="-2"/>
          <w:w w:val="110"/>
        </w:rPr>
        <w:t> </w:t>
      </w:r>
      <w:r>
        <w:rPr>
          <w:color w:val="231F1F"/>
          <w:w w:val="110"/>
        </w:rPr>
        <w:t>que</w:t>
      </w:r>
      <w:r>
        <w:rPr>
          <w:color w:val="231F1F"/>
          <w:spacing w:val="-3"/>
          <w:w w:val="110"/>
        </w:rPr>
        <w:t> </w:t>
      </w:r>
      <w:r>
        <w:rPr>
          <w:color w:val="231F1F"/>
          <w:w w:val="110"/>
        </w:rPr>
        <w:t>se</w:t>
      </w:r>
      <w:r>
        <w:rPr>
          <w:color w:val="231F1F"/>
          <w:spacing w:val="-3"/>
          <w:w w:val="110"/>
        </w:rPr>
        <w:t> </w:t>
      </w:r>
      <w:r>
        <w:rPr>
          <w:color w:val="231F1F"/>
          <w:w w:val="110"/>
        </w:rPr>
        <w:t>resume</w:t>
      </w:r>
      <w:r>
        <w:rPr>
          <w:color w:val="231F1F"/>
          <w:spacing w:val="-3"/>
          <w:w w:val="110"/>
        </w:rPr>
        <w:t> </w:t>
      </w:r>
      <w:r>
        <w:rPr>
          <w:color w:val="231F1F"/>
          <w:w w:val="110"/>
        </w:rPr>
        <w:t>en</w:t>
      </w:r>
      <w:r>
        <w:rPr>
          <w:color w:val="231F1F"/>
          <w:spacing w:val="-3"/>
          <w:w w:val="110"/>
        </w:rPr>
        <w:t> </w:t>
      </w:r>
      <w:r>
        <w:rPr>
          <w:color w:val="231F1F"/>
          <w:w w:val="110"/>
        </w:rPr>
        <w:t>que</w:t>
      </w:r>
      <w:r>
        <w:rPr>
          <w:color w:val="231F1F"/>
          <w:spacing w:val="-3"/>
          <w:w w:val="110"/>
        </w:rPr>
        <w:t> </w:t>
      </w:r>
      <w:r>
        <w:rPr>
          <w:color w:val="231F1F"/>
          <w:w w:val="110"/>
        </w:rPr>
        <w:t>existe</w:t>
      </w:r>
      <w:r>
        <w:rPr>
          <w:color w:val="231F1F"/>
          <w:spacing w:val="-3"/>
          <w:w w:val="110"/>
        </w:rPr>
        <w:t> </w:t>
      </w:r>
      <w:r>
        <w:rPr>
          <w:color w:val="231F1F"/>
          <w:w w:val="110"/>
        </w:rPr>
        <w:t>alta</w:t>
      </w:r>
      <w:r>
        <w:rPr>
          <w:color w:val="231F1F"/>
          <w:spacing w:val="-3"/>
          <w:w w:val="110"/>
        </w:rPr>
        <w:t> </w:t>
      </w:r>
      <w:r>
        <w:rPr>
          <w:color w:val="231F1F"/>
          <w:w w:val="110"/>
        </w:rPr>
        <w:t>evidencia</w:t>
      </w:r>
      <w:r>
        <w:rPr>
          <w:color w:val="231F1F"/>
          <w:spacing w:val="-3"/>
          <w:w w:val="110"/>
        </w:rPr>
        <w:t> </w:t>
      </w:r>
      <w:r>
        <w:rPr>
          <w:color w:val="231F1F"/>
          <w:w w:val="110"/>
        </w:rPr>
        <w:t>de</w:t>
      </w:r>
      <w:r>
        <w:rPr>
          <w:color w:val="231F1F"/>
          <w:spacing w:val="-3"/>
          <w:w w:val="110"/>
        </w:rPr>
        <w:t> </w:t>
      </w:r>
      <w:r>
        <w:rPr>
          <w:color w:val="231F1F"/>
          <w:w w:val="110"/>
        </w:rPr>
        <w:t>que</w:t>
      </w:r>
      <w:r>
        <w:rPr>
          <w:color w:val="231F1F"/>
          <w:spacing w:val="-3"/>
          <w:w w:val="110"/>
        </w:rPr>
        <w:t> </w:t>
      </w:r>
      <w:r>
        <w:rPr>
          <w:color w:val="231F1F"/>
          <w:w w:val="110"/>
        </w:rPr>
        <w:t>la </w:t>
      </w:r>
      <w:r>
        <w:rPr>
          <w:color w:val="231F1F"/>
          <w:spacing w:val="-2"/>
          <w:w w:val="110"/>
        </w:rPr>
        <w:t>utilización</w:t>
      </w:r>
      <w:r>
        <w:rPr>
          <w:color w:val="231F1F"/>
          <w:spacing w:val="-10"/>
          <w:w w:val="110"/>
        </w:rPr>
        <w:t> </w:t>
      </w:r>
      <w:r>
        <w:rPr>
          <w:color w:val="231F1F"/>
          <w:spacing w:val="-2"/>
          <w:w w:val="110"/>
        </w:rPr>
        <w:t>rutinaria</w:t>
      </w:r>
      <w:r>
        <w:rPr>
          <w:color w:val="231F1F"/>
          <w:spacing w:val="-9"/>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episiotomía,</w:t>
      </w:r>
      <w:r>
        <w:rPr>
          <w:color w:val="231F1F"/>
          <w:spacing w:val="-10"/>
          <w:w w:val="110"/>
        </w:rPr>
        <w:t> </w:t>
      </w:r>
      <w:r>
        <w:rPr>
          <w:color w:val="231F1F"/>
          <w:spacing w:val="-2"/>
          <w:w w:val="110"/>
        </w:rPr>
        <w:t>comparada</w:t>
      </w:r>
      <w:r>
        <w:rPr>
          <w:color w:val="231F1F"/>
          <w:spacing w:val="-10"/>
          <w:w w:val="110"/>
        </w:rPr>
        <w:t> </w:t>
      </w:r>
      <w:r>
        <w:rPr>
          <w:color w:val="231F1F"/>
          <w:spacing w:val="-2"/>
          <w:w w:val="110"/>
        </w:rPr>
        <w:t>con</w:t>
      </w:r>
      <w:r>
        <w:rPr>
          <w:color w:val="231F1F"/>
          <w:spacing w:val="-10"/>
          <w:w w:val="110"/>
        </w:rPr>
        <w:t> </w:t>
      </w:r>
      <w:r>
        <w:rPr>
          <w:color w:val="231F1F"/>
          <w:spacing w:val="-2"/>
          <w:w w:val="110"/>
        </w:rPr>
        <w:t>la</w:t>
      </w:r>
      <w:r>
        <w:rPr>
          <w:color w:val="231F1F"/>
          <w:spacing w:val="-10"/>
          <w:w w:val="110"/>
        </w:rPr>
        <w:t> </w:t>
      </w:r>
      <w:r>
        <w:rPr>
          <w:color w:val="231F1F"/>
          <w:spacing w:val="-2"/>
          <w:w w:val="110"/>
        </w:rPr>
        <w:t>restrictiva,</w:t>
      </w:r>
      <w:r>
        <w:rPr>
          <w:color w:val="231F1F"/>
          <w:spacing w:val="-10"/>
          <w:w w:val="110"/>
        </w:rPr>
        <w:t> </w:t>
      </w:r>
      <w:r>
        <w:rPr>
          <w:color w:val="231F1F"/>
          <w:spacing w:val="-2"/>
          <w:w w:val="110"/>
        </w:rPr>
        <w:t>no</w:t>
      </w:r>
      <w:r>
        <w:rPr>
          <w:color w:val="231F1F"/>
          <w:spacing w:val="-10"/>
          <w:w w:val="110"/>
        </w:rPr>
        <w:t> </w:t>
      </w:r>
      <w:r>
        <w:rPr>
          <w:color w:val="231F1F"/>
          <w:spacing w:val="-2"/>
          <w:w w:val="110"/>
        </w:rPr>
        <w:t>mejo- </w:t>
      </w:r>
      <w:r>
        <w:rPr>
          <w:color w:val="231F1F"/>
          <w:w w:val="110"/>
        </w:rPr>
        <w:t>ra los resultados de las mujeres a corto y largo plazo.</w:t>
      </w:r>
    </w:p>
    <w:p>
      <w:pPr>
        <w:spacing w:line="278" w:lineRule="auto" w:before="124"/>
        <w:ind w:left="580" w:right="157" w:hanging="517"/>
        <w:jc w:val="left"/>
        <w:rPr>
          <w:rFonts w:ascii="Arial MT"/>
          <w:sz w:val="18"/>
        </w:rPr>
      </w:pPr>
      <w:r>
        <w:rPr/>
        <w:br w:type="column"/>
      </w:r>
      <w:r>
        <w:rPr>
          <w:rFonts w:ascii="Arial MT"/>
          <w:color w:val="231F1F"/>
          <w:spacing w:val="-2"/>
          <w:sz w:val="18"/>
        </w:rPr>
        <w:t>E.</w:t>
      </w:r>
      <w:r>
        <w:rPr>
          <w:rFonts w:ascii="Arial MT"/>
          <w:color w:val="231F1F"/>
          <w:spacing w:val="-12"/>
          <w:sz w:val="18"/>
        </w:rPr>
        <w:t> </w:t>
      </w:r>
      <w:r>
        <w:rPr>
          <w:rFonts w:ascii="Arial MT"/>
          <w:color w:val="231F1F"/>
          <w:spacing w:val="-2"/>
          <w:sz w:val="18"/>
        </w:rPr>
        <w:t>descriptivo </w:t>
      </w: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3"/>
        <w:rPr>
          <w:rFonts w:ascii="Arial MT"/>
          <w:sz w:val="18"/>
        </w:rPr>
      </w:pPr>
    </w:p>
    <w:p>
      <w:pPr>
        <w:spacing w:line="283" w:lineRule="auto" w:before="0"/>
        <w:ind w:left="294" w:right="0" w:firstLine="122"/>
        <w:jc w:val="left"/>
        <w:rPr>
          <w:rFonts w:ascii="Arial MT"/>
          <w:sz w:val="18"/>
        </w:rPr>
      </w:pPr>
      <w:r>
        <w:rPr>
          <w:rFonts w:ascii="Arial MT"/>
          <w:color w:val="231F1F"/>
          <w:sz w:val="18"/>
        </w:rPr>
        <w:t>E. de </w:t>
      </w:r>
      <w:r>
        <w:rPr>
          <w:rFonts w:ascii="Arial MT"/>
          <w:color w:val="231F1F"/>
          <w:spacing w:val="-6"/>
          <w:sz w:val="18"/>
        </w:rPr>
        <w:t>Cohorte</w:t>
      </w:r>
    </w:p>
    <w:p>
      <w:pPr>
        <w:spacing w:line="194" w:lineRule="exact" w:before="0"/>
        <w:ind w:left="579" w:right="0" w:firstLine="0"/>
        <w:jc w:val="left"/>
        <w:rPr>
          <w:rFonts w:ascii="Arial MT"/>
          <w:sz w:val="18"/>
        </w:rPr>
      </w:pPr>
      <w:r>
        <w:rPr>
          <w:rFonts w:ascii="Arial MT"/>
          <w:color w:val="231F1F"/>
          <w:spacing w:val="-10"/>
          <w:sz w:val="18"/>
        </w:rPr>
        <w:t>3</w:t>
      </w:r>
    </w:p>
    <w:p>
      <w:pPr>
        <w:spacing w:after="0" w:line="194" w:lineRule="exact"/>
        <w:jc w:val="left"/>
        <w:rPr>
          <w:rFonts w:ascii="Arial MT"/>
          <w:sz w:val="18"/>
        </w:rPr>
        <w:sectPr>
          <w:pgSz w:w="11900" w:h="16840"/>
          <w:pgMar w:header="0" w:footer="622" w:top="1560" w:bottom="820" w:left="1417" w:right="1559"/>
          <w:cols w:num="2" w:equalWidth="0">
            <w:col w:w="7551" w:space="40"/>
            <w:col w:w="1333"/>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18" w:hRule="atLeast"/>
        </w:trPr>
        <w:tc>
          <w:tcPr>
            <w:tcW w:w="7373" w:type="dxa"/>
          </w:tcPr>
          <w:p>
            <w:pPr>
              <w:pStyle w:val="TableParagraph"/>
              <w:spacing w:line="247" w:lineRule="auto" w:before="29"/>
              <w:ind w:right="87"/>
              <w:jc w:val="both"/>
              <w:rPr>
                <w:sz w:val="22"/>
              </w:rPr>
            </w:pPr>
            <w:r>
              <w:rPr>
                <w:color w:val="231F1F"/>
                <w:w w:val="110"/>
                <w:sz w:val="22"/>
              </w:rPr>
              <w:t>La episiotomía restrictiva frente a la sistemática incrementa el número de mujeres con perineo intacto y el número de mujeres que reanudan la vida </w:t>
            </w:r>
            <w:r>
              <w:rPr>
                <w:color w:val="231F1F"/>
                <w:spacing w:val="-2"/>
                <w:w w:val="110"/>
                <w:sz w:val="22"/>
              </w:rPr>
              <w:t>sexual</w:t>
            </w:r>
            <w:r>
              <w:rPr>
                <w:color w:val="231F1F"/>
                <w:spacing w:val="-8"/>
                <w:w w:val="110"/>
                <w:sz w:val="22"/>
              </w:rPr>
              <w:t> </w:t>
            </w:r>
            <w:r>
              <w:rPr>
                <w:color w:val="231F1F"/>
                <w:spacing w:val="-2"/>
                <w:w w:val="110"/>
                <w:sz w:val="22"/>
              </w:rPr>
              <w:t>al</w:t>
            </w:r>
            <w:r>
              <w:rPr>
                <w:color w:val="231F1F"/>
                <w:spacing w:val="-7"/>
                <w:w w:val="110"/>
                <w:sz w:val="22"/>
              </w:rPr>
              <w:t> </w:t>
            </w:r>
            <w:r>
              <w:rPr>
                <w:color w:val="231F1F"/>
                <w:spacing w:val="-2"/>
                <w:w w:val="110"/>
                <w:sz w:val="22"/>
              </w:rPr>
              <w:t>mes.</w:t>
            </w:r>
            <w:r>
              <w:rPr>
                <w:color w:val="231F1F"/>
                <w:spacing w:val="-8"/>
                <w:w w:val="110"/>
                <w:sz w:val="22"/>
              </w:rPr>
              <w:t> </w:t>
            </w:r>
            <w:r>
              <w:rPr>
                <w:color w:val="231F1F"/>
                <w:spacing w:val="-2"/>
                <w:w w:val="110"/>
                <w:sz w:val="22"/>
              </w:rPr>
              <w:t>Además,</w:t>
            </w:r>
            <w:r>
              <w:rPr>
                <w:color w:val="231F1F"/>
                <w:spacing w:val="-7"/>
                <w:w w:val="110"/>
                <w:sz w:val="22"/>
              </w:rPr>
              <w:t> </w:t>
            </w:r>
            <w:r>
              <w:rPr>
                <w:color w:val="231F1F"/>
                <w:spacing w:val="-2"/>
                <w:w w:val="110"/>
                <w:sz w:val="22"/>
              </w:rPr>
              <w:t>disminuye</w:t>
            </w:r>
            <w:r>
              <w:rPr>
                <w:color w:val="231F1F"/>
                <w:spacing w:val="-8"/>
                <w:w w:val="110"/>
                <w:sz w:val="22"/>
              </w:rPr>
              <w:t> </w:t>
            </w:r>
            <w:r>
              <w:rPr>
                <w:color w:val="231F1F"/>
                <w:spacing w:val="-2"/>
                <w:w w:val="110"/>
                <w:sz w:val="22"/>
              </w:rPr>
              <w:t>la</w:t>
            </w:r>
            <w:r>
              <w:rPr>
                <w:color w:val="231F1F"/>
                <w:spacing w:val="-7"/>
                <w:w w:val="110"/>
                <w:sz w:val="22"/>
              </w:rPr>
              <w:t> </w:t>
            </w:r>
            <w:r>
              <w:rPr>
                <w:color w:val="231F1F"/>
                <w:spacing w:val="-2"/>
                <w:w w:val="110"/>
                <w:sz w:val="22"/>
              </w:rPr>
              <w:t>necesidad</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reparación</w:t>
            </w:r>
            <w:r>
              <w:rPr>
                <w:color w:val="231F1F"/>
                <w:spacing w:val="-8"/>
                <w:w w:val="110"/>
                <w:sz w:val="22"/>
              </w:rPr>
              <w:t> </w:t>
            </w:r>
            <w:r>
              <w:rPr>
                <w:color w:val="231F1F"/>
                <w:spacing w:val="-2"/>
                <w:w w:val="110"/>
                <w:sz w:val="22"/>
              </w:rPr>
              <w:t>y</w:t>
            </w:r>
            <w:r>
              <w:rPr>
                <w:color w:val="231F1F"/>
                <w:spacing w:val="-7"/>
                <w:w w:val="110"/>
                <w:sz w:val="22"/>
              </w:rPr>
              <w:t> </w:t>
            </w:r>
            <w:r>
              <w:rPr>
                <w:color w:val="231F1F"/>
                <w:spacing w:val="-2"/>
                <w:w w:val="110"/>
                <w:sz w:val="22"/>
              </w:rPr>
              <w:t>sutura</w:t>
            </w:r>
            <w:r>
              <w:rPr>
                <w:color w:val="231F1F"/>
                <w:spacing w:val="-8"/>
                <w:w w:val="110"/>
                <w:sz w:val="22"/>
              </w:rPr>
              <w:t> </w:t>
            </w:r>
            <w:r>
              <w:rPr>
                <w:color w:val="231F1F"/>
                <w:spacing w:val="-2"/>
                <w:w w:val="110"/>
                <w:sz w:val="22"/>
              </w:rPr>
              <w:t>peri- </w:t>
            </w:r>
            <w:r>
              <w:rPr>
                <w:color w:val="231F1F"/>
                <w:w w:val="110"/>
                <w:sz w:val="22"/>
              </w:rPr>
              <w:t>neal, así como el número de mujeres con dolor al alta (141).</w:t>
            </w:r>
          </w:p>
        </w:tc>
        <w:tc>
          <w:tcPr>
            <w:tcW w:w="1133" w:type="dxa"/>
          </w:tcPr>
          <w:p>
            <w:pPr>
              <w:pStyle w:val="TableParagraph"/>
              <w:spacing w:before="199"/>
              <w:ind w:left="0"/>
              <w:rPr>
                <w:rFonts w:ascii="Arial MT"/>
                <w:sz w:val="22"/>
              </w:rPr>
            </w:pPr>
          </w:p>
          <w:p>
            <w:pPr>
              <w:pStyle w:val="TableParagraph"/>
              <w:ind w:left="49" w:right="22"/>
              <w:jc w:val="center"/>
              <w:rPr>
                <w:sz w:val="22"/>
              </w:rPr>
            </w:pPr>
            <w:r>
              <w:rPr>
                <w:color w:val="231F1F"/>
                <w:spacing w:val="-5"/>
                <w:w w:val="105"/>
                <w:sz w:val="22"/>
              </w:rPr>
              <w:t>1+</w:t>
            </w:r>
          </w:p>
        </w:tc>
      </w:tr>
      <w:tr>
        <w:trPr>
          <w:trHeight w:val="940" w:hRule="atLeast"/>
        </w:trPr>
        <w:tc>
          <w:tcPr>
            <w:tcW w:w="7373" w:type="dxa"/>
          </w:tcPr>
          <w:p>
            <w:pPr>
              <w:pStyle w:val="TableParagraph"/>
              <w:spacing w:line="244" w:lineRule="auto" w:before="29"/>
              <w:ind w:right="84"/>
              <w:jc w:val="both"/>
              <w:rPr>
                <w:sz w:val="22"/>
              </w:rPr>
            </w:pPr>
            <w:r>
              <w:rPr>
                <w:color w:val="231F1F"/>
                <w:w w:val="105"/>
                <w:sz w:val="22"/>
              </w:rPr>
              <w:t>Existe alta evidencia de que la utilización rutinaria de la episiotomía, com- parada</w:t>
            </w:r>
            <w:r>
              <w:rPr>
                <w:color w:val="231F1F"/>
                <w:w w:val="105"/>
                <w:sz w:val="22"/>
              </w:rPr>
              <w:t> con</w:t>
            </w:r>
            <w:r>
              <w:rPr>
                <w:color w:val="231F1F"/>
                <w:w w:val="105"/>
                <w:sz w:val="22"/>
              </w:rPr>
              <w:t> la</w:t>
            </w:r>
            <w:r>
              <w:rPr>
                <w:color w:val="231F1F"/>
                <w:w w:val="105"/>
                <w:sz w:val="22"/>
              </w:rPr>
              <w:t> restrictiva,</w:t>
            </w:r>
            <w:r>
              <w:rPr>
                <w:color w:val="231F1F"/>
                <w:w w:val="105"/>
                <w:sz w:val="22"/>
              </w:rPr>
              <w:t> no</w:t>
            </w:r>
            <w:r>
              <w:rPr>
                <w:color w:val="231F1F"/>
                <w:w w:val="105"/>
                <w:sz w:val="22"/>
              </w:rPr>
              <w:t> mejora</w:t>
            </w:r>
            <w:r>
              <w:rPr>
                <w:color w:val="231F1F"/>
                <w:w w:val="105"/>
                <w:sz w:val="22"/>
              </w:rPr>
              <w:t> los</w:t>
            </w:r>
            <w:r>
              <w:rPr>
                <w:color w:val="231F1F"/>
                <w:w w:val="105"/>
                <w:sz w:val="22"/>
              </w:rPr>
              <w:t> resultados</w:t>
            </w:r>
            <w:r>
              <w:rPr>
                <w:color w:val="231F1F"/>
                <w:w w:val="105"/>
                <w:sz w:val="22"/>
              </w:rPr>
              <w:t> a</w:t>
            </w:r>
            <w:r>
              <w:rPr>
                <w:color w:val="231F1F"/>
                <w:w w:val="105"/>
                <w:sz w:val="22"/>
              </w:rPr>
              <w:t> corto</w:t>
            </w:r>
            <w:r>
              <w:rPr>
                <w:color w:val="231F1F"/>
                <w:w w:val="105"/>
                <w:sz w:val="22"/>
              </w:rPr>
              <w:t> y</w:t>
            </w:r>
            <w:r>
              <w:rPr>
                <w:color w:val="231F1F"/>
                <w:w w:val="105"/>
                <w:sz w:val="22"/>
              </w:rPr>
              <w:t> largo</w:t>
            </w:r>
            <w:r>
              <w:rPr>
                <w:color w:val="231F1F"/>
                <w:w w:val="105"/>
                <w:sz w:val="22"/>
              </w:rPr>
              <w:t> plazo</w:t>
            </w:r>
            <w:r>
              <w:rPr>
                <w:color w:val="231F1F"/>
                <w:w w:val="105"/>
                <w:sz w:val="22"/>
              </w:rPr>
              <w:t> de</w:t>
            </w:r>
            <w:r>
              <w:rPr>
                <w:color w:val="231F1F"/>
                <w:spacing w:val="80"/>
                <w:w w:val="105"/>
                <w:sz w:val="22"/>
              </w:rPr>
              <w:t> </w:t>
            </w:r>
            <w:r>
              <w:rPr>
                <w:color w:val="231F1F"/>
                <w:w w:val="105"/>
                <w:sz w:val="22"/>
              </w:rPr>
              <w:t>las mujeres (142;153).</w:t>
            </w:r>
          </w:p>
        </w:tc>
        <w:tc>
          <w:tcPr>
            <w:tcW w:w="1133" w:type="dxa"/>
          </w:tcPr>
          <w:p>
            <w:pPr>
              <w:pStyle w:val="TableParagraph"/>
              <w:spacing w:before="55"/>
              <w:ind w:left="0"/>
              <w:rPr>
                <w:rFonts w:ascii="Arial MT"/>
                <w:sz w:val="22"/>
              </w:rPr>
            </w:pPr>
          </w:p>
          <w:p>
            <w:pPr>
              <w:pStyle w:val="TableParagraph"/>
              <w:ind w:left="49" w:right="22"/>
              <w:jc w:val="center"/>
              <w:rPr>
                <w:sz w:val="22"/>
              </w:rPr>
            </w:pPr>
            <w:r>
              <w:rPr>
                <w:color w:val="231F1F"/>
                <w:spacing w:val="-5"/>
                <w:w w:val="105"/>
                <w:sz w:val="22"/>
              </w:rPr>
              <w:t>1+</w:t>
            </w:r>
          </w:p>
        </w:tc>
      </w:tr>
      <w:tr>
        <w:trPr>
          <w:trHeight w:val="1497" w:hRule="atLeast"/>
        </w:trPr>
        <w:tc>
          <w:tcPr>
            <w:tcW w:w="7373" w:type="dxa"/>
          </w:tcPr>
          <w:p>
            <w:pPr>
              <w:pStyle w:val="TableParagraph"/>
              <w:spacing w:line="244" w:lineRule="auto" w:before="29"/>
              <w:ind w:right="92"/>
              <w:jc w:val="both"/>
              <w:rPr>
                <w:sz w:val="22"/>
              </w:rPr>
            </w:pPr>
            <w:r>
              <w:rPr>
                <w:color w:val="231F1F"/>
                <w:w w:val="110"/>
                <w:sz w:val="22"/>
              </w:rPr>
              <w:t>El</w:t>
            </w:r>
            <w:r>
              <w:rPr>
                <w:color w:val="231F1F"/>
                <w:spacing w:val="-3"/>
                <w:w w:val="110"/>
                <w:sz w:val="22"/>
              </w:rPr>
              <w:t> </w:t>
            </w:r>
            <w:r>
              <w:rPr>
                <w:color w:val="231F1F"/>
                <w:w w:val="110"/>
                <w:sz w:val="22"/>
              </w:rPr>
              <w:t>sobrepeso</w:t>
            </w:r>
            <w:r>
              <w:rPr>
                <w:color w:val="231F1F"/>
                <w:spacing w:val="-3"/>
                <w:w w:val="110"/>
                <w:sz w:val="22"/>
              </w:rPr>
              <w:t> </w:t>
            </w:r>
            <w:r>
              <w:rPr>
                <w:color w:val="231F1F"/>
                <w:w w:val="110"/>
                <w:sz w:val="22"/>
              </w:rPr>
              <w:t>del</w:t>
            </w:r>
            <w:r>
              <w:rPr>
                <w:color w:val="231F1F"/>
                <w:spacing w:val="-3"/>
                <w:w w:val="110"/>
                <w:sz w:val="22"/>
              </w:rPr>
              <w:t> </w:t>
            </w:r>
            <w:r>
              <w:rPr>
                <w:color w:val="231F1F"/>
                <w:w w:val="110"/>
                <w:sz w:val="22"/>
              </w:rPr>
              <w:t>niño</w:t>
            </w:r>
            <w:r>
              <w:rPr>
                <w:color w:val="231F1F"/>
                <w:spacing w:val="-2"/>
                <w:w w:val="110"/>
                <w:sz w:val="22"/>
              </w:rPr>
              <w:t> </w:t>
            </w:r>
            <w:r>
              <w:rPr>
                <w:color w:val="231F1F"/>
                <w:w w:val="110"/>
                <w:sz w:val="22"/>
              </w:rPr>
              <w:t>y</w:t>
            </w:r>
            <w:r>
              <w:rPr>
                <w:color w:val="231F1F"/>
                <w:spacing w:val="-2"/>
                <w:w w:val="110"/>
                <w:sz w:val="22"/>
              </w:rPr>
              <w:t> </w:t>
            </w:r>
            <w:r>
              <w:rPr>
                <w:color w:val="231F1F"/>
                <w:w w:val="110"/>
                <w:sz w:val="22"/>
              </w:rPr>
              <w:t>la</w:t>
            </w:r>
            <w:r>
              <w:rPr>
                <w:color w:val="231F1F"/>
                <w:spacing w:val="-3"/>
                <w:w w:val="110"/>
                <w:sz w:val="22"/>
              </w:rPr>
              <w:t> </w:t>
            </w:r>
            <w:r>
              <w:rPr>
                <w:color w:val="231F1F"/>
                <w:w w:val="110"/>
                <w:sz w:val="22"/>
              </w:rPr>
              <w:t>episiotomía</w:t>
            </w:r>
            <w:r>
              <w:rPr>
                <w:color w:val="231F1F"/>
                <w:spacing w:val="-3"/>
                <w:w w:val="110"/>
                <w:sz w:val="22"/>
              </w:rPr>
              <w:t> </w:t>
            </w:r>
            <w:r>
              <w:rPr>
                <w:color w:val="231F1F"/>
                <w:w w:val="110"/>
                <w:sz w:val="22"/>
              </w:rPr>
              <w:t>mediolateral</w:t>
            </w:r>
            <w:r>
              <w:rPr>
                <w:color w:val="231F1F"/>
                <w:spacing w:val="-2"/>
                <w:w w:val="110"/>
                <w:sz w:val="22"/>
              </w:rPr>
              <w:t> </w:t>
            </w:r>
            <w:r>
              <w:rPr>
                <w:color w:val="231F1F"/>
                <w:w w:val="110"/>
                <w:sz w:val="22"/>
              </w:rPr>
              <w:t>son</w:t>
            </w:r>
            <w:r>
              <w:rPr>
                <w:color w:val="231F1F"/>
                <w:spacing w:val="-3"/>
                <w:w w:val="110"/>
                <w:sz w:val="22"/>
              </w:rPr>
              <w:t> </w:t>
            </w:r>
            <w:r>
              <w:rPr>
                <w:color w:val="231F1F"/>
                <w:w w:val="110"/>
                <w:sz w:val="22"/>
              </w:rPr>
              <w:t>factores</w:t>
            </w:r>
            <w:r>
              <w:rPr>
                <w:color w:val="231F1F"/>
                <w:spacing w:val="-3"/>
                <w:w w:val="110"/>
                <w:sz w:val="22"/>
              </w:rPr>
              <w:t> </w:t>
            </w:r>
            <w:r>
              <w:rPr>
                <w:color w:val="231F1F"/>
                <w:w w:val="110"/>
                <w:sz w:val="22"/>
              </w:rPr>
              <w:t>de</w:t>
            </w:r>
            <w:r>
              <w:rPr>
                <w:color w:val="231F1F"/>
                <w:spacing w:val="-3"/>
                <w:w w:val="110"/>
                <w:sz w:val="22"/>
              </w:rPr>
              <w:t> </w:t>
            </w:r>
            <w:r>
              <w:rPr>
                <w:color w:val="231F1F"/>
                <w:w w:val="110"/>
                <w:sz w:val="22"/>
              </w:rPr>
              <w:t>riesgo independientes</w:t>
            </w:r>
            <w:r>
              <w:rPr>
                <w:color w:val="231F1F"/>
                <w:spacing w:val="-16"/>
                <w:w w:val="110"/>
                <w:sz w:val="22"/>
              </w:rPr>
              <w:t> </w:t>
            </w:r>
            <w:r>
              <w:rPr>
                <w:color w:val="231F1F"/>
                <w:w w:val="110"/>
                <w:sz w:val="22"/>
              </w:rPr>
              <w:t>para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lesión</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esfínter,</w:t>
            </w:r>
            <w:r>
              <w:rPr>
                <w:color w:val="231F1F"/>
                <w:spacing w:val="-15"/>
                <w:w w:val="110"/>
                <w:sz w:val="22"/>
              </w:rPr>
              <w:t> </w:t>
            </w:r>
            <w:r>
              <w:rPr>
                <w:color w:val="231F1F"/>
                <w:w w:val="110"/>
                <w:sz w:val="22"/>
              </w:rPr>
              <w:t>aunque</w:t>
            </w:r>
            <w:r>
              <w:rPr>
                <w:color w:val="231F1F"/>
                <w:spacing w:val="-15"/>
                <w:w w:val="110"/>
                <w:sz w:val="22"/>
              </w:rPr>
              <w:t> </w:t>
            </w:r>
            <w:r>
              <w:rPr>
                <w:color w:val="231F1F"/>
                <w:w w:val="110"/>
                <w:sz w:val="22"/>
              </w:rPr>
              <w:t>cabe</w:t>
            </w:r>
            <w:r>
              <w:rPr>
                <w:color w:val="231F1F"/>
                <w:spacing w:val="-15"/>
                <w:w w:val="110"/>
                <w:sz w:val="22"/>
              </w:rPr>
              <w:t> </w:t>
            </w:r>
            <w:r>
              <w:rPr>
                <w:color w:val="231F1F"/>
                <w:w w:val="110"/>
                <w:sz w:val="22"/>
              </w:rPr>
              <w:t>mencionar</w:t>
            </w:r>
            <w:r>
              <w:rPr>
                <w:color w:val="231F1F"/>
                <w:spacing w:val="-16"/>
                <w:w w:val="110"/>
                <w:sz w:val="22"/>
              </w:rPr>
              <w:t> </w:t>
            </w:r>
            <w:r>
              <w:rPr>
                <w:color w:val="231F1F"/>
                <w:w w:val="110"/>
                <w:sz w:val="22"/>
              </w:rPr>
              <w:t>que</w:t>
            </w:r>
            <w:r>
              <w:rPr>
                <w:color w:val="231F1F"/>
                <w:spacing w:val="-15"/>
                <w:w w:val="110"/>
                <w:sz w:val="22"/>
              </w:rPr>
              <w:t> </w:t>
            </w:r>
            <w:r>
              <w:rPr>
                <w:color w:val="231F1F"/>
                <w:w w:val="110"/>
                <w:sz w:val="22"/>
              </w:rPr>
              <w:t>real- mente</w:t>
            </w:r>
            <w:r>
              <w:rPr>
                <w:color w:val="231F1F"/>
                <w:spacing w:val="-3"/>
                <w:w w:val="110"/>
                <w:sz w:val="22"/>
              </w:rPr>
              <w:t> </w:t>
            </w:r>
            <w:r>
              <w:rPr>
                <w:color w:val="231F1F"/>
                <w:w w:val="110"/>
                <w:sz w:val="22"/>
              </w:rPr>
              <w:t>solo</w:t>
            </w:r>
            <w:r>
              <w:rPr>
                <w:color w:val="231F1F"/>
                <w:spacing w:val="-3"/>
                <w:w w:val="110"/>
                <w:sz w:val="22"/>
              </w:rPr>
              <w:t> </w:t>
            </w:r>
            <w:r>
              <w:rPr>
                <w:color w:val="231F1F"/>
                <w:w w:val="110"/>
                <w:sz w:val="22"/>
              </w:rPr>
              <w:t>un</w:t>
            </w:r>
            <w:r>
              <w:rPr>
                <w:color w:val="231F1F"/>
                <w:spacing w:val="-3"/>
                <w:w w:val="110"/>
                <w:sz w:val="22"/>
              </w:rPr>
              <w:t> </w:t>
            </w:r>
            <w:r>
              <w:rPr>
                <w:color w:val="231F1F"/>
                <w:w w:val="110"/>
                <w:sz w:val="22"/>
              </w:rPr>
              <w:t>22%</w:t>
            </w:r>
            <w:r>
              <w:rPr>
                <w:color w:val="231F1F"/>
                <w:spacing w:val="-2"/>
                <w:w w:val="110"/>
                <w:sz w:val="22"/>
              </w:rPr>
              <w:t> </w:t>
            </w:r>
            <w:r>
              <w:rPr>
                <w:color w:val="231F1F"/>
                <w:w w:val="110"/>
                <w:sz w:val="22"/>
              </w:rPr>
              <w:t>de</w:t>
            </w:r>
            <w:r>
              <w:rPr>
                <w:color w:val="231F1F"/>
                <w:spacing w:val="-3"/>
                <w:w w:val="110"/>
                <w:sz w:val="22"/>
              </w:rPr>
              <w:t> </w:t>
            </w:r>
            <w:r>
              <w:rPr>
                <w:color w:val="231F1F"/>
                <w:w w:val="110"/>
                <w:sz w:val="22"/>
              </w:rPr>
              <w:t>las</w:t>
            </w:r>
            <w:r>
              <w:rPr>
                <w:color w:val="231F1F"/>
                <w:spacing w:val="-3"/>
                <w:w w:val="110"/>
                <w:sz w:val="22"/>
              </w:rPr>
              <w:t> </w:t>
            </w:r>
            <w:r>
              <w:rPr>
                <w:color w:val="231F1F"/>
                <w:w w:val="110"/>
                <w:sz w:val="22"/>
              </w:rPr>
              <w:t>episiotomías</w:t>
            </w:r>
            <w:r>
              <w:rPr>
                <w:color w:val="231F1F"/>
                <w:spacing w:val="-3"/>
                <w:w w:val="110"/>
                <w:sz w:val="22"/>
              </w:rPr>
              <w:t> </w:t>
            </w:r>
            <w:r>
              <w:rPr>
                <w:color w:val="231F1F"/>
                <w:w w:val="110"/>
                <w:sz w:val="22"/>
              </w:rPr>
              <w:t>mediolaterales</w:t>
            </w:r>
            <w:r>
              <w:rPr>
                <w:color w:val="231F1F"/>
                <w:spacing w:val="-3"/>
                <w:w w:val="110"/>
                <w:sz w:val="22"/>
              </w:rPr>
              <w:t> </w:t>
            </w:r>
            <w:r>
              <w:rPr>
                <w:color w:val="231F1F"/>
                <w:w w:val="110"/>
                <w:sz w:val="22"/>
              </w:rPr>
              <w:t>han</w:t>
            </w:r>
            <w:r>
              <w:rPr>
                <w:color w:val="231F1F"/>
                <w:spacing w:val="-3"/>
                <w:w w:val="110"/>
                <w:sz w:val="22"/>
              </w:rPr>
              <w:t> </w:t>
            </w:r>
            <w:r>
              <w:rPr>
                <w:color w:val="231F1F"/>
                <w:w w:val="110"/>
                <w:sz w:val="22"/>
              </w:rPr>
              <w:t>sido</w:t>
            </w:r>
            <w:r>
              <w:rPr>
                <w:color w:val="231F1F"/>
                <w:spacing w:val="-3"/>
                <w:w w:val="110"/>
                <w:sz w:val="22"/>
              </w:rPr>
              <w:t> </w:t>
            </w:r>
            <w:r>
              <w:rPr>
                <w:color w:val="231F1F"/>
                <w:w w:val="110"/>
                <w:sz w:val="22"/>
              </w:rPr>
              <w:t>realizadas correctamente</w:t>
            </w:r>
            <w:r>
              <w:rPr>
                <w:color w:val="231F1F"/>
                <w:spacing w:val="-4"/>
                <w:w w:val="110"/>
                <w:sz w:val="22"/>
              </w:rPr>
              <w:t> </w:t>
            </w:r>
            <w:r>
              <w:rPr>
                <w:color w:val="231F1F"/>
                <w:w w:val="110"/>
                <w:sz w:val="22"/>
              </w:rPr>
              <w:t>durante</w:t>
            </w:r>
            <w:r>
              <w:rPr>
                <w:color w:val="231F1F"/>
                <w:spacing w:val="-4"/>
                <w:w w:val="110"/>
                <w:sz w:val="22"/>
              </w:rPr>
              <w:t> </w:t>
            </w:r>
            <w:r>
              <w:rPr>
                <w:color w:val="231F1F"/>
                <w:w w:val="110"/>
                <w:sz w:val="22"/>
              </w:rPr>
              <w:t>el</w:t>
            </w:r>
            <w:r>
              <w:rPr>
                <w:color w:val="231F1F"/>
                <w:spacing w:val="-4"/>
                <w:w w:val="110"/>
                <w:sz w:val="22"/>
              </w:rPr>
              <w:t> </w:t>
            </w:r>
            <w:r>
              <w:rPr>
                <w:color w:val="231F1F"/>
                <w:w w:val="110"/>
                <w:sz w:val="22"/>
              </w:rPr>
              <w:t>estudio.</w:t>
            </w:r>
            <w:r>
              <w:rPr>
                <w:color w:val="231F1F"/>
                <w:spacing w:val="-4"/>
                <w:w w:val="110"/>
                <w:sz w:val="22"/>
              </w:rPr>
              <w:t> </w:t>
            </w:r>
            <w:r>
              <w:rPr>
                <w:color w:val="231F1F"/>
                <w:w w:val="110"/>
                <w:sz w:val="22"/>
              </w:rPr>
              <w:t>La</w:t>
            </w:r>
            <w:r>
              <w:rPr>
                <w:color w:val="231F1F"/>
                <w:spacing w:val="-4"/>
                <w:w w:val="110"/>
                <w:sz w:val="22"/>
              </w:rPr>
              <w:t> </w:t>
            </w:r>
            <w:r>
              <w:rPr>
                <w:color w:val="231F1F"/>
                <w:w w:val="110"/>
                <w:sz w:val="22"/>
              </w:rPr>
              <w:t>episiotomía</w:t>
            </w:r>
            <w:r>
              <w:rPr>
                <w:color w:val="231F1F"/>
                <w:spacing w:val="-4"/>
                <w:w w:val="110"/>
                <w:sz w:val="22"/>
              </w:rPr>
              <w:t> </w:t>
            </w:r>
            <w:r>
              <w:rPr>
                <w:color w:val="231F1F"/>
                <w:w w:val="110"/>
                <w:sz w:val="22"/>
              </w:rPr>
              <w:t>hacia</w:t>
            </w:r>
            <w:r>
              <w:rPr>
                <w:color w:val="231F1F"/>
                <w:spacing w:val="-4"/>
                <w:w w:val="110"/>
                <w:sz w:val="22"/>
              </w:rPr>
              <w:t> </w:t>
            </w:r>
            <w:r>
              <w:rPr>
                <w:color w:val="231F1F"/>
                <w:w w:val="110"/>
                <w:sz w:val="22"/>
              </w:rPr>
              <w:t>la</w:t>
            </w:r>
            <w:r>
              <w:rPr>
                <w:color w:val="231F1F"/>
                <w:spacing w:val="-3"/>
                <w:w w:val="110"/>
                <w:sz w:val="22"/>
              </w:rPr>
              <w:t> </w:t>
            </w:r>
            <w:r>
              <w:rPr>
                <w:color w:val="231F1F"/>
                <w:w w:val="110"/>
                <w:sz w:val="22"/>
              </w:rPr>
              <w:t>línea</w:t>
            </w:r>
            <w:r>
              <w:rPr>
                <w:color w:val="231F1F"/>
                <w:spacing w:val="-3"/>
                <w:w w:val="110"/>
                <w:sz w:val="22"/>
              </w:rPr>
              <w:t> </w:t>
            </w:r>
            <w:r>
              <w:rPr>
                <w:color w:val="231F1F"/>
                <w:w w:val="110"/>
                <w:sz w:val="22"/>
              </w:rPr>
              <w:t>media</w:t>
            </w:r>
            <w:r>
              <w:rPr>
                <w:color w:val="231F1F"/>
                <w:spacing w:val="-3"/>
                <w:w w:val="110"/>
                <w:sz w:val="22"/>
              </w:rPr>
              <w:t> </w:t>
            </w:r>
            <w:r>
              <w:rPr>
                <w:color w:val="231F1F"/>
                <w:w w:val="110"/>
                <w:sz w:val="22"/>
              </w:rPr>
              <w:t>está asociada a un mayor número de lesiones del esfínter anal (154).</w:t>
            </w:r>
          </w:p>
        </w:tc>
        <w:tc>
          <w:tcPr>
            <w:tcW w:w="1133" w:type="dxa"/>
          </w:tcPr>
          <w:p>
            <w:pPr>
              <w:pStyle w:val="TableParagraph"/>
              <w:ind w:left="0"/>
              <w:rPr>
                <w:rFonts w:ascii="Arial MT"/>
                <w:sz w:val="22"/>
              </w:rPr>
            </w:pPr>
          </w:p>
          <w:p>
            <w:pPr>
              <w:pStyle w:val="TableParagraph"/>
              <w:spacing w:before="94"/>
              <w:ind w:left="0"/>
              <w:rPr>
                <w:rFonts w:ascii="Arial MT"/>
                <w:sz w:val="22"/>
              </w:rPr>
            </w:pPr>
          </w:p>
          <w:p>
            <w:pPr>
              <w:pStyle w:val="TableParagraph"/>
              <w:spacing w:before="1"/>
              <w:ind w:left="49"/>
              <w:jc w:val="center"/>
              <w:rPr>
                <w:sz w:val="22"/>
              </w:rPr>
            </w:pPr>
            <w:r>
              <w:rPr>
                <w:color w:val="231F1F"/>
                <w:spacing w:val="-10"/>
                <w:sz w:val="22"/>
              </w:rPr>
              <w:t>3</w:t>
            </w:r>
          </w:p>
        </w:tc>
      </w:tr>
      <w:tr>
        <w:trPr>
          <w:trHeight w:val="1218" w:hRule="atLeast"/>
        </w:trPr>
        <w:tc>
          <w:tcPr>
            <w:tcW w:w="7373" w:type="dxa"/>
          </w:tcPr>
          <w:p>
            <w:pPr>
              <w:pStyle w:val="TableParagraph"/>
              <w:spacing w:line="252" w:lineRule="auto" w:before="29"/>
              <w:ind w:right="91"/>
              <w:jc w:val="both"/>
              <w:rPr>
                <w:sz w:val="22"/>
              </w:rPr>
            </w:pPr>
            <w:r>
              <w:rPr>
                <w:color w:val="231F1F"/>
                <w:w w:val="110"/>
                <w:sz w:val="22"/>
              </w:rPr>
              <w:t>En mujeres con trauma perineal severo en partos anteriores, la incidencia de</w:t>
            </w:r>
            <w:r>
              <w:rPr>
                <w:color w:val="231F1F"/>
                <w:spacing w:val="-16"/>
                <w:w w:val="110"/>
                <w:sz w:val="22"/>
              </w:rPr>
              <w:t> </w:t>
            </w:r>
            <w:r>
              <w:rPr>
                <w:color w:val="231F1F"/>
                <w:w w:val="110"/>
                <w:sz w:val="22"/>
              </w:rPr>
              <w:t>recurrencia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traumatismo</w:t>
            </w:r>
            <w:r>
              <w:rPr>
                <w:color w:val="231F1F"/>
                <w:spacing w:val="-15"/>
                <w:w w:val="110"/>
                <w:sz w:val="22"/>
              </w:rPr>
              <w:t> </w:t>
            </w:r>
            <w:r>
              <w:rPr>
                <w:color w:val="231F1F"/>
                <w:w w:val="110"/>
                <w:sz w:val="22"/>
              </w:rPr>
              <w:t>perineal</w:t>
            </w:r>
            <w:r>
              <w:rPr>
                <w:color w:val="231F1F"/>
                <w:spacing w:val="-15"/>
                <w:w w:val="110"/>
                <w:sz w:val="22"/>
              </w:rPr>
              <w:t> </w:t>
            </w:r>
            <w:r>
              <w:rPr>
                <w:color w:val="231F1F"/>
                <w:w w:val="110"/>
                <w:sz w:val="22"/>
              </w:rPr>
              <w:t>grave</w:t>
            </w:r>
            <w:r>
              <w:rPr>
                <w:color w:val="231F1F"/>
                <w:spacing w:val="-15"/>
                <w:w w:val="110"/>
                <w:sz w:val="22"/>
              </w:rPr>
              <w:t> </w:t>
            </w:r>
            <w:r>
              <w:rPr>
                <w:color w:val="231F1F"/>
                <w:w w:val="110"/>
                <w:sz w:val="22"/>
              </w:rPr>
              <w:t>es</w:t>
            </w:r>
            <w:r>
              <w:rPr>
                <w:color w:val="231F1F"/>
                <w:spacing w:val="-15"/>
                <w:w w:val="110"/>
                <w:sz w:val="22"/>
              </w:rPr>
              <w:t> </w:t>
            </w:r>
            <w:r>
              <w:rPr>
                <w:color w:val="231F1F"/>
                <w:w w:val="110"/>
                <w:sz w:val="22"/>
              </w:rPr>
              <w:t>similar</w:t>
            </w:r>
            <w:r>
              <w:rPr>
                <w:color w:val="231F1F"/>
                <w:spacing w:val="-15"/>
                <w:w w:val="110"/>
                <w:sz w:val="22"/>
              </w:rPr>
              <w:t> </w:t>
            </w:r>
            <w:r>
              <w:rPr>
                <w:color w:val="231F1F"/>
                <w:w w:val="110"/>
                <w:sz w:val="22"/>
              </w:rPr>
              <w:t>al</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cualquier</w:t>
            </w:r>
            <w:r>
              <w:rPr>
                <w:color w:val="231F1F"/>
                <w:spacing w:val="-15"/>
                <w:w w:val="110"/>
                <w:sz w:val="22"/>
              </w:rPr>
              <w:t> </w:t>
            </w:r>
            <w:r>
              <w:rPr>
                <w:color w:val="231F1F"/>
                <w:w w:val="110"/>
                <w:sz w:val="22"/>
              </w:rPr>
              <w:t>otra </w:t>
            </w:r>
            <w:r>
              <w:rPr>
                <w:color w:val="231F1F"/>
                <w:sz w:val="22"/>
              </w:rPr>
              <w:t>mujer. No hay evidencia sobre la efectividad del uso de la episiotomía después </w:t>
            </w:r>
            <w:r>
              <w:rPr>
                <w:color w:val="231F1F"/>
                <w:w w:val="110"/>
                <w:sz w:val="22"/>
              </w:rPr>
              <w:t>de partos con traumas de tercer o cuarto grado (155-157).</w:t>
            </w:r>
          </w:p>
        </w:tc>
        <w:tc>
          <w:tcPr>
            <w:tcW w:w="1133" w:type="dxa"/>
          </w:tcPr>
          <w:p>
            <w:pPr>
              <w:pStyle w:val="TableParagraph"/>
              <w:spacing w:before="218"/>
              <w:ind w:left="0"/>
              <w:rPr>
                <w:rFonts w:ascii="Arial MT"/>
                <w:sz w:val="22"/>
              </w:rPr>
            </w:pPr>
          </w:p>
          <w:p>
            <w:pPr>
              <w:pStyle w:val="TableParagraph"/>
              <w:ind w:left="49"/>
              <w:jc w:val="center"/>
              <w:rPr>
                <w:sz w:val="22"/>
              </w:rPr>
            </w:pPr>
            <w:r>
              <w:rPr>
                <w:color w:val="231F1F"/>
                <w:spacing w:val="-10"/>
                <w:sz w:val="22"/>
              </w:rPr>
              <w:t>3</w:t>
            </w:r>
          </w:p>
        </w:tc>
      </w:tr>
    </w:tbl>
    <w:p>
      <w:pPr>
        <w:pStyle w:val="BodyText"/>
        <w:spacing w:before="124"/>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ind w:left="46" w:right="43"/>
              <w:jc w:val="center"/>
              <w:rPr>
                <w:sz w:val="22"/>
              </w:rPr>
            </w:pPr>
            <w:r>
              <w:rPr>
                <w:color w:val="231F1F"/>
                <w:spacing w:val="-10"/>
                <w:w w:val="115"/>
                <w:sz w:val="22"/>
              </w:rPr>
              <w:t>A</w:t>
            </w:r>
          </w:p>
        </w:tc>
        <w:tc>
          <w:tcPr>
            <w:tcW w:w="8050" w:type="dxa"/>
          </w:tcPr>
          <w:p>
            <w:pPr>
              <w:pStyle w:val="TableParagraph"/>
              <w:spacing w:before="39"/>
              <w:rPr>
                <w:sz w:val="22"/>
              </w:rPr>
            </w:pPr>
            <w:r>
              <w:rPr>
                <w:color w:val="231F1F"/>
                <w:w w:val="110"/>
                <w:sz w:val="22"/>
              </w:rPr>
              <w:t>No</w:t>
            </w:r>
            <w:r>
              <w:rPr>
                <w:color w:val="231F1F"/>
                <w:spacing w:val="-15"/>
                <w:w w:val="110"/>
                <w:sz w:val="22"/>
              </w:rPr>
              <w:t> </w:t>
            </w:r>
            <w:r>
              <w:rPr>
                <w:color w:val="231F1F"/>
                <w:w w:val="110"/>
                <w:sz w:val="22"/>
              </w:rPr>
              <w:t>debe</w:t>
            </w:r>
            <w:r>
              <w:rPr>
                <w:color w:val="231F1F"/>
                <w:spacing w:val="-13"/>
                <w:w w:val="110"/>
                <w:sz w:val="22"/>
              </w:rPr>
              <w:t> </w:t>
            </w:r>
            <w:r>
              <w:rPr>
                <w:color w:val="231F1F"/>
                <w:w w:val="110"/>
                <w:sz w:val="22"/>
              </w:rPr>
              <w:t>practicarse</w:t>
            </w:r>
            <w:r>
              <w:rPr>
                <w:color w:val="231F1F"/>
                <w:spacing w:val="-12"/>
                <w:w w:val="110"/>
                <w:sz w:val="22"/>
              </w:rPr>
              <w:t> </w:t>
            </w:r>
            <w:r>
              <w:rPr>
                <w:color w:val="231F1F"/>
                <w:w w:val="110"/>
                <w:sz w:val="22"/>
              </w:rPr>
              <w:t>episiotomía</w:t>
            </w:r>
            <w:r>
              <w:rPr>
                <w:color w:val="231F1F"/>
                <w:spacing w:val="-15"/>
                <w:w w:val="110"/>
                <w:sz w:val="22"/>
              </w:rPr>
              <w:t> </w:t>
            </w:r>
            <w:r>
              <w:rPr>
                <w:color w:val="231F1F"/>
                <w:w w:val="110"/>
                <w:sz w:val="22"/>
              </w:rPr>
              <w:t>de</w:t>
            </w:r>
            <w:r>
              <w:rPr>
                <w:color w:val="231F1F"/>
                <w:spacing w:val="-13"/>
                <w:w w:val="110"/>
                <w:sz w:val="22"/>
              </w:rPr>
              <w:t> </w:t>
            </w:r>
            <w:r>
              <w:rPr>
                <w:color w:val="231F1F"/>
                <w:w w:val="110"/>
                <w:sz w:val="22"/>
              </w:rPr>
              <w:t>rutina</w:t>
            </w:r>
            <w:r>
              <w:rPr>
                <w:color w:val="231F1F"/>
                <w:spacing w:val="-12"/>
                <w:w w:val="110"/>
                <w:sz w:val="22"/>
              </w:rPr>
              <w:t> </w:t>
            </w:r>
            <w:r>
              <w:rPr>
                <w:color w:val="231F1F"/>
                <w:w w:val="110"/>
                <w:sz w:val="22"/>
              </w:rPr>
              <w:t>en</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parto</w:t>
            </w:r>
            <w:r>
              <w:rPr>
                <w:color w:val="231F1F"/>
                <w:spacing w:val="-13"/>
                <w:w w:val="110"/>
                <w:sz w:val="22"/>
              </w:rPr>
              <w:t> </w:t>
            </w:r>
            <w:r>
              <w:rPr>
                <w:color w:val="231F1F"/>
                <w:spacing w:val="-2"/>
                <w:w w:val="110"/>
                <w:sz w:val="22"/>
              </w:rPr>
              <w:t>espontáneo.</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54" w:lineRule="auto" w:before="63"/>
              <w:ind w:right="382"/>
              <w:rPr>
                <w:sz w:val="22"/>
              </w:rPr>
            </w:pPr>
            <w:r>
              <w:rPr>
                <w:color w:val="231F1F"/>
                <w:sz w:val="22"/>
              </w:rPr>
              <w:t>La</w:t>
            </w:r>
            <w:r>
              <w:rPr>
                <w:color w:val="231F1F"/>
                <w:spacing w:val="-4"/>
                <w:sz w:val="22"/>
              </w:rPr>
              <w:t> </w:t>
            </w:r>
            <w:r>
              <w:rPr>
                <w:color w:val="231F1F"/>
                <w:sz w:val="22"/>
              </w:rPr>
              <w:t>episiotomía</w:t>
            </w:r>
            <w:r>
              <w:rPr>
                <w:color w:val="231F1F"/>
                <w:spacing w:val="-4"/>
                <w:sz w:val="22"/>
              </w:rPr>
              <w:t> </w:t>
            </w:r>
            <w:r>
              <w:rPr>
                <w:color w:val="231F1F"/>
                <w:sz w:val="22"/>
              </w:rPr>
              <w:t>deberá</w:t>
            </w:r>
            <w:r>
              <w:rPr>
                <w:color w:val="231F1F"/>
                <w:spacing w:val="-4"/>
                <w:sz w:val="22"/>
              </w:rPr>
              <w:t> </w:t>
            </w:r>
            <w:r>
              <w:rPr>
                <w:color w:val="231F1F"/>
                <w:sz w:val="22"/>
              </w:rPr>
              <w:t>realizarse</w:t>
            </w:r>
            <w:r>
              <w:rPr>
                <w:color w:val="231F1F"/>
                <w:spacing w:val="-4"/>
                <w:sz w:val="22"/>
              </w:rPr>
              <w:t> </w:t>
            </w:r>
            <w:r>
              <w:rPr>
                <w:color w:val="231F1F"/>
                <w:sz w:val="22"/>
              </w:rPr>
              <w:t>si</w:t>
            </w:r>
            <w:r>
              <w:rPr>
                <w:color w:val="231F1F"/>
                <w:spacing w:val="-4"/>
                <w:sz w:val="22"/>
              </w:rPr>
              <w:t> </w:t>
            </w:r>
            <w:r>
              <w:rPr>
                <w:color w:val="231F1F"/>
                <w:sz w:val="22"/>
              </w:rPr>
              <w:t>hay</w:t>
            </w:r>
            <w:r>
              <w:rPr>
                <w:color w:val="231F1F"/>
                <w:spacing w:val="-4"/>
                <w:sz w:val="22"/>
              </w:rPr>
              <w:t> </w:t>
            </w:r>
            <w:r>
              <w:rPr>
                <w:color w:val="231F1F"/>
                <w:sz w:val="22"/>
              </w:rPr>
              <w:t>necesidad</w:t>
            </w:r>
            <w:r>
              <w:rPr>
                <w:color w:val="231F1F"/>
                <w:spacing w:val="-4"/>
                <w:sz w:val="22"/>
              </w:rPr>
              <w:t> </w:t>
            </w:r>
            <w:r>
              <w:rPr>
                <w:color w:val="231F1F"/>
                <w:sz w:val="22"/>
              </w:rPr>
              <w:t>clínica,</w:t>
            </w:r>
            <w:r>
              <w:rPr>
                <w:color w:val="231F1F"/>
                <w:spacing w:val="-3"/>
                <w:sz w:val="22"/>
              </w:rPr>
              <w:t> </w:t>
            </w:r>
            <w:r>
              <w:rPr>
                <w:color w:val="231F1F"/>
                <w:sz w:val="22"/>
              </w:rPr>
              <w:t>como</w:t>
            </w:r>
            <w:r>
              <w:rPr>
                <w:color w:val="231F1F"/>
                <w:spacing w:val="-4"/>
                <w:sz w:val="22"/>
              </w:rPr>
              <w:t> </w:t>
            </w:r>
            <w:r>
              <w:rPr>
                <w:color w:val="231F1F"/>
                <w:sz w:val="22"/>
              </w:rPr>
              <w:t>un</w:t>
            </w:r>
            <w:r>
              <w:rPr>
                <w:color w:val="231F1F"/>
                <w:spacing w:val="-4"/>
                <w:sz w:val="22"/>
              </w:rPr>
              <w:t> </w:t>
            </w:r>
            <w:r>
              <w:rPr>
                <w:color w:val="231F1F"/>
                <w:sz w:val="22"/>
              </w:rPr>
              <w:t>parto</w:t>
            </w:r>
            <w:r>
              <w:rPr>
                <w:color w:val="231F1F"/>
                <w:spacing w:val="-4"/>
                <w:sz w:val="22"/>
              </w:rPr>
              <w:t> </w:t>
            </w:r>
            <w:r>
              <w:rPr>
                <w:color w:val="231F1F"/>
                <w:sz w:val="22"/>
              </w:rPr>
              <w:t>instrumen- tal</w:t>
            </w:r>
            <w:r>
              <w:rPr>
                <w:color w:val="231F1F"/>
                <w:spacing w:val="40"/>
                <w:sz w:val="22"/>
              </w:rPr>
              <w:t> </w:t>
            </w:r>
            <w:r>
              <w:rPr>
                <w:color w:val="231F1F"/>
                <w:sz w:val="22"/>
              </w:rPr>
              <w:t>o</w:t>
            </w:r>
            <w:r>
              <w:rPr>
                <w:color w:val="231F1F"/>
                <w:spacing w:val="40"/>
                <w:sz w:val="22"/>
              </w:rPr>
              <w:t> </w:t>
            </w:r>
            <w:r>
              <w:rPr>
                <w:color w:val="231F1F"/>
                <w:sz w:val="22"/>
              </w:rPr>
              <w:t>sospecha</w:t>
            </w:r>
            <w:r>
              <w:rPr>
                <w:color w:val="231F1F"/>
                <w:spacing w:val="40"/>
                <w:sz w:val="22"/>
              </w:rPr>
              <w:t> </w:t>
            </w:r>
            <w:r>
              <w:rPr>
                <w:color w:val="231F1F"/>
                <w:sz w:val="22"/>
              </w:rPr>
              <w:t>de</w:t>
            </w:r>
            <w:r>
              <w:rPr>
                <w:color w:val="231F1F"/>
                <w:spacing w:val="40"/>
                <w:sz w:val="22"/>
              </w:rPr>
              <w:t> </w:t>
            </w:r>
            <w:r>
              <w:rPr>
                <w:color w:val="231F1F"/>
                <w:sz w:val="22"/>
              </w:rPr>
              <w:t>compromiso</w:t>
            </w:r>
            <w:r>
              <w:rPr>
                <w:color w:val="231F1F"/>
                <w:spacing w:val="40"/>
                <w:sz w:val="22"/>
              </w:rPr>
              <w:t> </w:t>
            </w:r>
            <w:r>
              <w:rPr>
                <w:color w:val="231F1F"/>
                <w:sz w:val="22"/>
              </w:rPr>
              <w:t>fetal.</w:t>
            </w:r>
          </w:p>
        </w:tc>
      </w:tr>
      <w:tr>
        <w:trPr>
          <w:trHeight w:val="676"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before="44"/>
              <w:ind w:right="155"/>
              <w:rPr>
                <w:sz w:val="22"/>
              </w:rPr>
            </w:pPr>
            <w:r>
              <w:rPr>
                <w:color w:val="231F1F"/>
                <w:w w:val="110"/>
                <w:sz w:val="22"/>
              </w:rPr>
              <w:t>Antes</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llevar</w:t>
            </w:r>
            <w:r>
              <w:rPr>
                <w:color w:val="231F1F"/>
                <w:spacing w:val="-15"/>
                <w:w w:val="110"/>
                <w:sz w:val="22"/>
              </w:rPr>
              <w:t> </w:t>
            </w:r>
            <w:r>
              <w:rPr>
                <w:color w:val="231F1F"/>
                <w:w w:val="110"/>
                <w:sz w:val="22"/>
              </w:rPr>
              <w:t>a</w:t>
            </w:r>
            <w:r>
              <w:rPr>
                <w:color w:val="231F1F"/>
                <w:spacing w:val="-15"/>
                <w:w w:val="110"/>
                <w:sz w:val="22"/>
              </w:rPr>
              <w:t> </w:t>
            </w:r>
            <w:r>
              <w:rPr>
                <w:color w:val="231F1F"/>
                <w:w w:val="110"/>
                <w:sz w:val="22"/>
              </w:rPr>
              <w:t>cabo</w:t>
            </w:r>
            <w:r>
              <w:rPr>
                <w:color w:val="231F1F"/>
                <w:spacing w:val="-15"/>
                <w:w w:val="110"/>
                <w:sz w:val="22"/>
              </w:rPr>
              <w:t> </w:t>
            </w:r>
            <w:r>
              <w:rPr>
                <w:color w:val="231F1F"/>
                <w:w w:val="110"/>
                <w:sz w:val="22"/>
              </w:rPr>
              <w:t>una</w:t>
            </w:r>
            <w:r>
              <w:rPr>
                <w:color w:val="231F1F"/>
                <w:spacing w:val="-15"/>
                <w:w w:val="110"/>
                <w:sz w:val="22"/>
              </w:rPr>
              <w:t> </w:t>
            </w:r>
            <w:r>
              <w:rPr>
                <w:color w:val="231F1F"/>
                <w:w w:val="110"/>
                <w:sz w:val="22"/>
              </w:rPr>
              <w:t>episiotomía</w:t>
            </w:r>
            <w:r>
              <w:rPr>
                <w:color w:val="231F1F"/>
                <w:spacing w:val="-15"/>
                <w:w w:val="110"/>
                <w:sz w:val="22"/>
              </w:rPr>
              <w:t> </w:t>
            </w:r>
            <w:r>
              <w:rPr>
                <w:color w:val="231F1F"/>
                <w:w w:val="110"/>
                <w:sz w:val="22"/>
              </w:rPr>
              <w:t>deberá</w:t>
            </w:r>
            <w:r>
              <w:rPr>
                <w:color w:val="231F1F"/>
                <w:spacing w:val="-15"/>
                <w:w w:val="110"/>
                <w:sz w:val="22"/>
              </w:rPr>
              <w:t> </w:t>
            </w:r>
            <w:r>
              <w:rPr>
                <w:color w:val="231F1F"/>
                <w:w w:val="110"/>
                <w:sz w:val="22"/>
              </w:rPr>
              <w:t>realizarse</w:t>
            </w:r>
            <w:r>
              <w:rPr>
                <w:color w:val="231F1F"/>
                <w:spacing w:val="-16"/>
                <w:w w:val="110"/>
                <w:sz w:val="22"/>
              </w:rPr>
              <w:t> </w:t>
            </w:r>
            <w:r>
              <w:rPr>
                <w:color w:val="231F1F"/>
                <w:w w:val="110"/>
                <w:sz w:val="22"/>
              </w:rPr>
              <w:t>una</w:t>
            </w:r>
            <w:r>
              <w:rPr>
                <w:color w:val="231F1F"/>
                <w:spacing w:val="-15"/>
                <w:w w:val="110"/>
                <w:sz w:val="22"/>
              </w:rPr>
              <w:t> </w:t>
            </w:r>
            <w:r>
              <w:rPr>
                <w:color w:val="231F1F"/>
                <w:w w:val="110"/>
                <w:sz w:val="22"/>
              </w:rPr>
              <w:t>analgesia</w:t>
            </w:r>
            <w:r>
              <w:rPr>
                <w:color w:val="231F1F"/>
                <w:spacing w:val="-15"/>
                <w:w w:val="110"/>
                <w:sz w:val="22"/>
              </w:rPr>
              <w:t> </w:t>
            </w:r>
            <w:r>
              <w:rPr>
                <w:color w:val="231F1F"/>
                <w:w w:val="110"/>
                <w:sz w:val="22"/>
              </w:rPr>
              <w:t>eficaz,</w:t>
            </w:r>
            <w:r>
              <w:rPr>
                <w:color w:val="231F1F"/>
                <w:spacing w:val="-15"/>
                <w:w w:val="110"/>
                <w:sz w:val="22"/>
              </w:rPr>
              <w:t> </w:t>
            </w:r>
            <w:r>
              <w:rPr>
                <w:color w:val="231F1F"/>
                <w:w w:val="110"/>
                <w:sz w:val="22"/>
              </w:rPr>
              <w:t>ex- cepto en una emergencia debida a un compromiso fetal agudo.</w:t>
            </w:r>
          </w:p>
        </w:tc>
      </w:tr>
      <w:tr>
        <w:trPr>
          <w:trHeight w:val="1242" w:hRule="atLeast"/>
        </w:trPr>
        <w:tc>
          <w:tcPr>
            <w:tcW w:w="456" w:type="dxa"/>
          </w:tcPr>
          <w:p>
            <w:pPr>
              <w:pStyle w:val="TableParagraph"/>
              <w:spacing w:before="208"/>
              <w:ind w:left="0"/>
              <w:rPr>
                <w:rFonts w:ascii="Arial MT"/>
                <w:sz w:val="22"/>
              </w:rPr>
            </w:pPr>
          </w:p>
          <w:p>
            <w:pPr>
              <w:pStyle w:val="TableParagraph"/>
              <w:ind w:left="45" w:right="43"/>
              <w:jc w:val="center"/>
              <w:rPr>
                <w:sz w:val="22"/>
              </w:rPr>
            </w:pPr>
            <w:r>
              <w:rPr>
                <w:color w:val="231F1F"/>
                <w:spacing w:val="-10"/>
                <w:w w:val="115"/>
                <w:sz w:val="22"/>
              </w:rPr>
              <w:t>D</w:t>
            </w:r>
          </w:p>
        </w:tc>
        <w:tc>
          <w:tcPr>
            <w:tcW w:w="8050" w:type="dxa"/>
          </w:tcPr>
          <w:p>
            <w:pPr>
              <w:pStyle w:val="TableParagraph"/>
              <w:spacing w:line="244" w:lineRule="auto" w:before="53"/>
              <w:ind w:right="87"/>
              <w:jc w:val="both"/>
              <w:rPr>
                <w:sz w:val="22"/>
              </w:rPr>
            </w:pPr>
            <w:r>
              <w:rPr>
                <w:color w:val="231F1F"/>
                <w:w w:val="110"/>
                <w:sz w:val="22"/>
              </w:rPr>
              <w:t>Cuando se realiza una episiotomía, la técnica recomendada es la de episiotomía mediolateral,</w:t>
            </w:r>
            <w:r>
              <w:rPr>
                <w:color w:val="231F1F"/>
                <w:spacing w:val="-13"/>
                <w:w w:val="110"/>
                <w:sz w:val="22"/>
              </w:rPr>
              <w:t> </w:t>
            </w:r>
            <w:r>
              <w:rPr>
                <w:color w:val="231F1F"/>
                <w:w w:val="110"/>
                <w:sz w:val="22"/>
              </w:rPr>
              <w:t>comenzándola</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comisura</w:t>
            </w:r>
            <w:r>
              <w:rPr>
                <w:color w:val="231F1F"/>
                <w:spacing w:val="-13"/>
                <w:w w:val="110"/>
                <w:sz w:val="22"/>
              </w:rPr>
              <w:t> </w:t>
            </w:r>
            <w:r>
              <w:rPr>
                <w:color w:val="231F1F"/>
                <w:w w:val="110"/>
                <w:sz w:val="22"/>
              </w:rPr>
              <w:t>posterior</w:t>
            </w:r>
            <w:r>
              <w:rPr>
                <w:color w:val="231F1F"/>
                <w:spacing w:val="-14"/>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4"/>
                <w:w w:val="110"/>
                <w:sz w:val="22"/>
              </w:rPr>
              <w:t> </w:t>
            </w:r>
            <w:r>
              <w:rPr>
                <w:color w:val="231F1F"/>
                <w:w w:val="110"/>
                <w:sz w:val="22"/>
              </w:rPr>
              <w:t>labios</w:t>
            </w:r>
            <w:r>
              <w:rPr>
                <w:color w:val="231F1F"/>
                <w:spacing w:val="-14"/>
                <w:w w:val="110"/>
                <w:sz w:val="22"/>
              </w:rPr>
              <w:t> </w:t>
            </w:r>
            <w:r>
              <w:rPr>
                <w:color w:val="231F1F"/>
                <w:w w:val="110"/>
                <w:sz w:val="22"/>
              </w:rPr>
              <w:t>menores</w:t>
            </w:r>
            <w:r>
              <w:rPr>
                <w:color w:val="231F1F"/>
                <w:spacing w:val="-13"/>
                <w:w w:val="110"/>
                <w:sz w:val="22"/>
              </w:rPr>
              <w:t> </w:t>
            </w:r>
            <w:r>
              <w:rPr>
                <w:color w:val="231F1F"/>
                <w:w w:val="110"/>
                <w:sz w:val="22"/>
              </w:rPr>
              <w:t>y</w:t>
            </w:r>
            <w:r>
              <w:rPr>
                <w:color w:val="231F1F"/>
                <w:spacing w:val="-13"/>
                <w:w w:val="110"/>
                <w:sz w:val="22"/>
              </w:rPr>
              <w:t> </w:t>
            </w:r>
            <w:r>
              <w:rPr>
                <w:color w:val="231F1F"/>
                <w:w w:val="110"/>
                <w:sz w:val="22"/>
              </w:rPr>
              <w:t>diri- gida</w:t>
            </w:r>
            <w:r>
              <w:rPr>
                <w:color w:val="231F1F"/>
                <w:spacing w:val="-14"/>
                <w:w w:val="110"/>
                <w:sz w:val="22"/>
              </w:rPr>
              <w:t> </w:t>
            </w:r>
            <w:r>
              <w:rPr>
                <w:color w:val="231F1F"/>
                <w:w w:val="110"/>
                <w:sz w:val="22"/>
              </w:rPr>
              <w:t>habitualmente</w:t>
            </w:r>
            <w:r>
              <w:rPr>
                <w:color w:val="231F1F"/>
                <w:spacing w:val="-15"/>
                <w:w w:val="110"/>
                <w:sz w:val="22"/>
              </w:rPr>
              <w:t> </w:t>
            </w:r>
            <w:r>
              <w:rPr>
                <w:color w:val="231F1F"/>
                <w:w w:val="110"/>
                <w:sz w:val="22"/>
              </w:rPr>
              <w:t>hacia</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lado</w:t>
            </w:r>
            <w:r>
              <w:rPr>
                <w:color w:val="231F1F"/>
                <w:spacing w:val="-14"/>
                <w:w w:val="110"/>
                <w:sz w:val="22"/>
              </w:rPr>
              <w:t> </w:t>
            </w:r>
            <w:r>
              <w:rPr>
                <w:color w:val="231F1F"/>
                <w:w w:val="110"/>
                <w:sz w:val="22"/>
              </w:rPr>
              <w:t>derecho.</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ángulo</w:t>
            </w:r>
            <w:r>
              <w:rPr>
                <w:color w:val="231F1F"/>
                <w:spacing w:val="-14"/>
                <w:w w:val="110"/>
                <w:sz w:val="22"/>
              </w:rPr>
              <w:t> </w:t>
            </w:r>
            <w:r>
              <w:rPr>
                <w:color w:val="231F1F"/>
                <w:w w:val="110"/>
                <w:sz w:val="22"/>
              </w:rPr>
              <w:t>respecto</w:t>
            </w:r>
            <w:r>
              <w:rPr>
                <w:color w:val="231F1F"/>
                <w:spacing w:val="-14"/>
                <w:w w:val="110"/>
                <w:sz w:val="22"/>
              </w:rPr>
              <w:t> </w:t>
            </w:r>
            <w:r>
              <w:rPr>
                <w:color w:val="231F1F"/>
                <w:w w:val="110"/>
                <w:sz w:val="22"/>
              </w:rPr>
              <w:t>del</w:t>
            </w:r>
            <w:r>
              <w:rPr>
                <w:color w:val="231F1F"/>
                <w:spacing w:val="-15"/>
                <w:w w:val="110"/>
                <w:sz w:val="22"/>
              </w:rPr>
              <w:t> </w:t>
            </w:r>
            <w:r>
              <w:rPr>
                <w:color w:val="231F1F"/>
                <w:w w:val="110"/>
                <w:sz w:val="22"/>
              </w:rPr>
              <w:t>eje</w:t>
            </w:r>
            <w:r>
              <w:rPr>
                <w:color w:val="231F1F"/>
                <w:spacing w:val="-14"/>
                <w:w w:val="110"/>
                <w:sz w:val="22"/>
              </w:rPr>
              <w:t> </w:t>
            </w:r>
            <w:r>
              <w:rPr>
                <w:color w:val="231F1F"/>
                <w:w w:val="110"/>
                <w:sz w:val="22"/>
              </w:rPr>
              <w:t>vertical</w:t>
            </w:r>
            <w:r>
              <w:rPr>
                <w:color w:val="231F1F"/>
                <w:spacing w:val="-15"/>
                <w:w w:val="110"/>
                <w:sz w:val="22"/>
              </w:rPr>
              <w:t> </w:t>
            </w:r>
            <w:r>
              <w:rPr>
                <w:color w:val="231F1F"/>
                <w:w w:val="110"/>
                <w:sz w:val="22"/>
              </w:rPr>
              <w:t>debe- rá estar entre 45 y 60, grados de realizar la episiotomía.</w:t>
            </w:r>
          </w:p>
        </w:tc>
      </w:tr>
      <w:tr>
        <w:trPr>
          <w:trHeight w:val="686" w:hRule="atLeast"/>
        </w:trPr>
        <w:tc>
          <w:tcPr>
            <w:tcW w:w="456" w:type="dxa"/>
          </w:tcPr>
          <w:p>
            <w:pPr>
              <w:pStyle w:val="TableParagraph"/>
              <w:spacing w:before="183"/>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w w:val="110"/>
                <w:sz w:val="22"/>
              </w:rPr>
              <w:t>La</w:t>
            </w:r>
            <w:r>
              <w:rPr>
                <w:color w:val="231F1F"/>
                <w:spacing w:val="-8"/>
                <w:w w:val="110"/>
                <w:sz w:val="22"/>
              </w:rPr>
              <w:t> </w:t>
            </w:r>
            <w:r>
              <w:rPr>
                <w:color w:val="231F1F"/>
                <w:w w:val="110"/>
                <w:sz w:val="22"/>
              </w:rPr>
              <w:t>episiotomía</w:t>
            </w:r>
            <w:r>
              <w:rPr>
                <w:color w:val="231F1F"/>
                <w:spacing w:val="-8"/>
                <w:w w:val="110"/>
                <w:sz w:val="22"/>
              </w:rPr>
              <w:t> </w:t>
            </w:r>
            <w:r>
              <w:rPr>
                <w:color w:val="231F1F"/>
                <w:w w:val="110"/>
                <w:sz w:val="22"/>
              </w:rPr>
              <w:t>no</w:t>
            </w:r>
            <w:r>
              <w:rPr>
                <w:color w:val="231F1F"/>
                <w:spacing w:val="-8"/>
                <w:w w:val="110"/>
                <w:sz w:val="22"/>
              </w:rPr>
              <w:t> </w:t>
            </w:r>
            <w:r>
              <w:rPr>
                <w:color w:val="231F1F"/>
                <w:w w:val="110"/>
                <w:sz w:val="22"/>
              </w:rPr>
              <w:t>debe</w:t>
            </w:r>
            <w:r>
              <w:rPr>
                <w:color w:val="231F1F"/>
                <w:spacing w:val="-8"/>
                <w:w w:val="110"/>
                <w:sz w:val="22"/>
              </w:rPr>
              <w:t> </w:t>
            </w:r>
            <w:r>
              <w:rPr>
                <w:color w:val="231F1F"/>
                <w:w w:val="110"/>
                <w:sz w:val="22"/>
              </w:rPr>
              <w:t>ser</w:t>
            </w:r>
            <w:r>
              <w:rPr>
                <w:color w:val="231F1F"/>
                <w:spacing w:val="-9"/>
                <w:w w:val="110"/>
                <w:sz w:val="22"/>
              </w:rPr>
              <w:t> </w:t>
            </w:r>
            <w:r>
              <w:rPr>
                <w:color w:val="231F1F"/>
                <w:w w:val="110"/>
                <w:sz w:val="22"/>
              </w:rPr>
              <w:t>realizada</w:t>
            </w:r>
            <w:r>
              <w:rPr>
                <w:color w:val="231F1F"/>
                <w:spacing w:val="-8"/>
                <w:w w:val="110"/>
                <w:sz w:val="22"/>
              </w:rPr>
              <w:t> </w:t>
            </w:r>
            <w:r>
              <w:rPr>
                <w:color w:val="231F1F"/>
                <w:w w:val="110"/>
                <w:sz w:val="22"/>
              </w:rPr>
              <w:t>de</w:t>
            </w:r>
            <w:r>
              <w:rPr>
                <w:color w:val="231F1F"/>
                <w:spacing w:val="-8"/>
                <w:w w:val="110"/>
                <w:sz w:val="22"/>
              </w:rPr>
              <w:t> </w:t>
            </w:r>
            <w:r>
              <w:rPr>
                <w:color w:val="231F1F"/>
                <w:w w:val="110"/>
                <w:sz w:val="22"/>
              </w:rPr>
              <w:t>forma</w:t>
            </w:r>
            <w:r>
              <w:rPr>
                <w:color w:val="231F1F"/>
                <w:spacing w:val="-8"/>
                <w:w w:val="110"/>
                <w:sz w:val="22"/>
              </w:rPr>
              <w:t> </w:t>
            </w:r>
            <w:r>
              <w:rPr>
                <w:color w:val="231F1F"/>
                <w:w w:val="110"/>
                <w:sz w:val="22"/>
              </w:rPr>
              <w:t>rutinaria</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un</w:t>
            </w:r>
            <w:r>
              <w:rPr>
                <w:color w:val="231F1F"/>
                <w:spacing w:val="-8"/>
                <w:w w:val="110"/>
                <w:sz w:val="22"/>
              </w:rPr>
              <w:t> </w:t>
            </w:r>
            <w:r>
              <w:rPr>
                <w:color w:val="231F1F"/>
                <w:w w:val="110"/>
                <w:sz w:val="22"/>
              </w:rPr>
              <w:t>parto</w:t>
            </w:r>
            <w:r>
              <w:rPr>
                <w:color w:val="231F1F"/>
                <w:spacing w:val="-8"/>
                <w:w w:val="110"/>
                <w:sz w:val="22"/>
              </w:rPr>
              <w:t> </w:t>
            </w:r>
            <w:r>
              <w:rPr>
                <w:color w:val="231F1F"/>
                <w:w w:val="110"/>
                <w:sz w:val="22"/>
              </w:rPr>
              <w:t>vaginal en mujeres con desgarros de tercer o cuarto grado en partos anteriores.</w:t>
            </w:r>
          </w:p>
        </w:tc>
      </w:tr>
    </w:tbl>
    <w:p>
      <w:pPr>
        <w:pStyle w:val="TableParagraph"/>
        <w:spacing w:after="0" w:line="244" w:lineRule="auto"/>
        <w:rPr>
          <w:sz w:val="22"/>
        </w:rPr>
        <w:sectPr>
          <w:pgSz w:w="11900" w:h="16840"/>
          <w:pgMar w:header="0" w:footer="622" w:top="1560" w:bottom="820" w:left="1417" w:right="1559"/>
        </w:sectPr>
      </w:pPr>
    </w:p>
    <w:p>
      <w:pPr>
        <w:pStyle w:val="Heading2"/>
        <w:numPr>
          <w:ilvl w:val="2"/>
          <w:numId w:val="2"/>
        </w:numPr>
        <w:tabs>
          <w:tab w:pos="1002" w:val="left" w:leader="none"/>
          <w:tab w:pos="1005" w:val="left" w:leader="none"/>
        </w:tabs>
        <w:spacing w:line="232" w:lineRule="auto" w:before="77" w:after="0"/>
        <w:ind w:left="1005" w:right="1157" w:hanging="724"/>
        <w:jc w:val="left"/>
      </w:pPr>
      <w:bookmarkStart w:name="_TOC_250033" w:id="23"/>
      <w:r>
        <w:rPr>
          <w:color w:val="231F1F"/>
        </w:rPr>
        <w:t>Método y material de sutura en la reparación</w:t>
      </w:r>
      <w:r>
        <w:rPr>
          <w:color w:val="231F1F"/>
          <w:spacing w:val="80"/>
        </w:rPr>
        <w:t> </w:t>
      </w:r>
      <w:bookmarkEnd w:id="23"/>
      <w:r>
        <w:rPr>
          <w:color w:val="231F1F"/>
          <w:spacing w:val="-2"/>
        </w:rPr>
        <w:t>perineal</w:t>
      </w:r>
    </w:p>
    <w:p>
      <w:pPr>
        <w:pStyle w:val="Heading3"/>
        <w:numPr>
          <w:ilvl w:val="3"/>
          <w:numId w:val="2"/>
        </w:numPr>
        <w:tabs>
          <w:tab w:pos="1158" w:val="left" w:leader="none"/>
        </w:tabs>
        <w:spacing w:line="240" w:lineRule="auto" w:before="410" w:after="0"/>
        <w:ind w:left="1158" w:right="0" w:hanging="875"/>
        <w:jc w:val="left"/>
      </w:pPr>
      <w:r>
        <w:rPr>
          <w:color w:val="231F1F"/>
          <w:w w:val="110"/>
        </w:rPr>
        <w:t>Método</w:t>
      </w:r>
      <w:r>
        <w:rPr>
          <w:color w:val="231F1F"/>
          <w:spacing w:val="-18"/>
          <w:w w:val="110"/>
        </w:rPr>
        <w:t> </w:t>
      </w:r>
      <w:r>
        <w:rPr>
          <w:color w:val="231F1F"/>
          <w:w w:val="110"/>
        </w:rPr>
        <w:t>de</w:t>
      </w:r>
      <w:r>
        <w:rPr>
          <w:color w:val="231F1F"/>
          <w:spacing w:val="-16"/>
          <w:w w:val="110"/>
        </w:rPr>
        <w:t> </w:t>
      </w:r>
      <w:r>
        <w:rPr>
          <w:color w:val="231F1F"/>
          <w:w w:val="110"/>
        </w:rPr>
        <w:t>sutura</w:t>
      </w:r>
      <w:r>
        <w:rPr>
          <w:color w:val="231F1F"/>
          <w:spacing w:val="-16"/>
          <w:w w:val="110"/>
        </w:rPr>
        <w:t> </w:t>
      </w:r>
      <w:r>
        <w:rPr>
          <w:color w:val="231F1F"/>
          <w:w w:val="110"/>
        </w:rPr>
        <w:t>en</w:t>
      </w:r>
      <w:r>
        <w:rPr>
          <w:color w:val="231F1F"/>
          <w:spacing w:val="-16"/>
          <w:w w:val="110"/>
        </w:rPr>
        <w:t> </w:t>
      </w:r>
      <w:r>
        <w:rPr>
          <w:color w:val="231F1F"/>
          <w:w w:val="110"/>
        </w:rPr>
        <w:t>la</w:t>
      </w:r>
      <w:r>
        <w:rPr>
          <w:color w:val="231F1F"/>
          <w:spacing w:val="-16"/>
          <w:w w:val="110"/>
        </w:rPr>
        <w:t> </w:t>
      </w:r>
      <w:r>
        <w:rPr>
          <w:color w:val="231F1F"/>
          <w:w w:val="110"/>
        </w:rPr>
        <w:t>reparación</w:t>
      </w:r>
      <w:r>
        <w:rPr>
          <w:color w:val="231F1F"/>
          <w:spacing w:val="-16"/>
          <w:w w:val="110"/>
        </w:rPr>
        <w:t> </w:t>
      </w:r>
      <w:r>
        <w:rPr>
          <w:color w:val="231F1F"/>
          <w:spacing w:val="-2"/>
          <w:w w:val="110"/>
        </w:rPr>
        <w:t>perineal</w:t>
      </w:r>
    </w:p>
    <w:p>
      <w:pPr>
        <w:pStyle w:val="BodyText"/>
        <w:spacing w:before="21"/>
        <w:rPr>
          <w:sz w:val="20"/>
        </w:rPr>
      </w:pPr>
      <w:r>
        <w:rPr>
          <w:sz w:val="20"/>
        </w:rPr>
        <mc:AlternateContent>
          <mc:Choice Requires="wps">
            <w:drawing>
              <wp:anchor distT="0" distB="0" distL="0" distR="0" allowOverlap="1" layoutInCell="1" locked="0" behindDoc="1" simplePos="0" relativeHeight="487610880">
                <wp:simplePos x="0" y="0"/>
                <wp:positionH relativeFrom="page">
                  <wp:posOffset>1082675</wp:posOffset>
                </wp:positionH>
                <wp:positionV relativeFrom="paragraph">
                  <wp:posOffset>178396</wp:posOffset>
                </wp:positionV>
                <wp:extent cx="5400040" cy="70675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5400040" cy="706755"/>
                        </a:xfrm>
                        <a:prstGeom prst="rect">
                          <a:avLst/>
                        </a:prstGeom>
                        <a:ln w="6350">
                          <a:solidFill>
                            <a:srgbClr val="A30046"/>
                          </a:solidFill>
                          <a:prstDash val="solid"/>
                        </a:ln>
                      </wps:spPr>
                      <wps:txbx>
                        <w:txbxContent>
                          <w:p>
                            <w:pPr>
                              <w:pStyle w:val="BodyText"/>
                              <w:numPr>
                                <w:ilvl w:val="0"/>
                                <w:numId w:val="45"/>
                              </w:numPr>
                              <w:tabs>
                                <w:tab w:pos="322" w:val="left" w:leader="none"/>
                              </w:tabs>
                              <w:spacing w:line="240" w:lineRule="auto" w:before="39" w:after="0"/>
                              <w:ind w:left="322" w:right="0" w:hanging="218"/>
                              <w:jc w:val="left"/>
                            </w:pPr>
                            <w:r>
                              <w:rPr>
                                <w:color w:val="231F1F"/>
                              </w:rPr>
                              <w:t>¿Cuál</w:t>
                            </w:r>
                            <w:r>
                              <w:rPr>
                                <w:color w:val="231F1F"/>
                                <w:spacing w:val="25"/>
                              </w:rPr>
                              <w:t> </w:t>
                            </w:r>
                            <w:r>
                              <w:rPr>
                                <w:color w:val="231F1F"/>
                              </w:rPr>
                              <w:t>es</w:t>
                            </w:r>
                            <w:r>
                              <w:rPr>
                                <w:color w:val="231F1F"/>
                                <w:spacing w:val="27"/>
                              </w:rPr>
                              <w:t> </w:t>
                            </w:r>
                            <w:r>
                              <w:rPr>
                                <w:color w:val="231F1F"/>
                              </w:rPr>
                              <w:t>la</w:t>
                            </w:r>
                            <w:r>
                              <w:rPr>
                                <w:color w:val="231F1F"/>
                                <w:spacing w:val="27"/>
                              </w:rPr>
                              <w:t> </w:t>
                            </w:r>
                            <w:r>
                              <w:rPr>
                                <w:color w:val="231F1F"/>
                              </w:rPr>
                              <w:t>efectividad</w:t>
                            </w:r>
                            <w:r>
                              <w:rPr>
                                <w:color w:val="231F1F"/>
                                <w:spacing w:val="29"/>
                              </w:rPr>
                              <w:t> </w:t>
                            </w:r>
                            <w:r>
                              <w:rPr>
                                <w:color w:val="231F1F"/>
                              </w:rPr>
                              <w:t>de</w:t>
                            </w:r>
                            <w:r>
                              <w:rPr>
                                <w:color w:val="231F1F"/>
                                <w:spacing w:val="27"/>
                              </w:rPr>
                              <w:t> </w:t>
                            </w:r>
                            <w:r>
                              <w:rPr>
                                <w:color w:val="231F1F"/>
                              </w:rPr>
                              <w:t>la</w:t>
                            </w:r>
                            <w:r>
                              <w:rPr>
                                <w:color w:val="231F1F"/>
                                <w:spacing w:val="27"/>
                              </w:rPr>
                              <w:t> </w:t>
                            </w:r>
                            <w:r>
                              <w:rPr>
                                <w:color w:val="231F1F"/>
                              </w:rPr>
                              <w:t>sutura</w:t>
                            </w:r>
                            <w:r>
                              <w:rPr>
                                <w:color w:val="231F1F"/>
                                <w:spacing w:val="27"/>
                              </w:rPr>
                              <w:t> </w:t>
                            </w:r>
                            <w:r>
                              <w:rPr>
                                <w:color w:val="231F1F"/>
                              </w:rPr>
                              <w:t>de</w:t>
                            </w:r>
                            <w:r>
                              <w:rPr>
                                <w:color w:val="231F1F"/>
                                <w:spacing w:val="28"/>
                              </w:rPr>
                              <w:t> </w:t>
                            </w:r>
                            <w:r>
                              <w:rPr>
                                <w:color w:val="231F1F"/>
                              </w:rPr>
                              <w:t>desgarros</w:t>
                            </w:r>
                            <w:r>
                              <w:rPr>
                                <w:color w:val="231F1F"/>
                                <w:spacing w:val="28"/>
                              </w:rPr>
                              <w:t> </w:t>
                            </w:r>
                            <w:r>
                              <w:rPr>
                                <w:color w:val="231F1F"/>
                              </w:rPr>
                              <w:t>perineales</w:t>
                            </w:r>
                            <w:r>
                              <w:rPr>
                                <w:color w:val="231F1F"/>
                                <w:spacing w:val="23"/>
                              </w:rPr>
                              <w:t> </w:t>
                            </w:r>
                            <w:r>
                              <w:rPr>
                                <w:color w:val="231F1F"/>
                              </w:rPr>
                              <w:t>de</w:t>
                            </w:r>
                            <w:r>
                              <w:rPr>
                                <w:color w:val="231F1F"/>
                                <w:spacing w:val="29"/>
                              </w:rPr>
                              <w:t> </w:t>
                            </w:r>
                            <w:r>
                              <w:rPr>
                                <w:color w:val="231F1F"/>
                              </w:rPr>
                              <w:t>I</w:t>
                            </w:r>
                            <w:r>
                              <w:rPr>
                                <w:color w:val="231F1F"/>
                                <w:spacing w:val="27"/>
                              </w:rPr>
                              <w:t> </w:t>
                            </w:r>
                            <w:r>
                              <w:rPr>
                                <w:color w:val="231F1F"/>
                              </w:rPr>
                              <w:t>y</w:t>
                            </w:r>
                            <w:r>
                              <w:rPr>
                                <w:color w:val="231F1F"/>
                                <w:spacing w:val="27"/>
                              </w:rPr>
                              <w:t> </w:t>
                            </w:r>
                            <w:r>
                              <w:rPr>
                                <w:color w:val="231F1F"/>
                              </w:rPr>
                              <w:t>II</w:t>
                            </w:r>
                            <w:r>
                              <w:rPr>
                                <w:color w:val="231F1F"/>
                                <w:spacing w:val="27"/>
                              </w:rPr>
                              <w:t> </w:t>
                            </w:r>
                            <w:r>
                              <w:rPr>
                                <w:color w:val="231F1F"/>
                                <w:spacing w:val="-2"/>
                              </w:rPr>
                              <w:t>grado?</w:t>
                            </w:r>
                          </w:p>
                          <w:p>
                            <w:pPr>
                              <w:pStyle w:val="BodyText"/>
                              <w:numPr>
                                <w:ilvl w:val="0"/>
                                <w:numId w:val="45"/>
                              </w:numPr>
                              <w:tabs>
                                <w:tab w:pos="323" w:val="left" w:leader="none"/>
                              </w:tabs>
                              <w:spacing w:line="244" w:lineRule="auto" w:before="150" w:after="0"/>
                              <w:ind w:left="323" w:right="194" w:hanging="220"/>
                              <w:jc w:val="left"/>
                            </w:pPr>
                            <w:r>
                              <w:rPr>
                                <w:color w:val="231F1F"/>
                                <w:w w:val="110"/>
                              </w:rPr>
                              <w:t>¿Cuál</w:t>
                            </w:r>
                            <w:r>
                              <w:rPr>
                                <w:color w:val="231F1F"/>
                                <w:spacing w:val="-15"/>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técnica</w:t>
                            </w:r>
                            <w:r>
                              <w:rPr>
                                <w:color w:val="231F1F"/>
                                <w:spacing w:val="-15"/>
                                <w:w w:val="110"/>
                              </w:rPr>
                              <w:t> </w:t>
                            </w:r>
                            <w:r>
                              <w:rPr>
                                <w:color w:val="231F1F"/>
                                <w:w w:val="110"/>
                              </w:rPr>
                              <w:t>de</w:t>
                            </w:r>
                            <w:r>
                              <w:rPr>
                                <w:color w:val="231F1F"/>
                                <w:spacing w:val="-15"/>
                                <w:w w:val="110"/>
                              </w:rPr>
                              <w:t> </w:t>
                            </w:r>
                            <w:r>
                              <w:rPr>
                                <w:color w:val="231F1F"/>
                                <w:w w:val="110"/>
                              </w:rPr>
                              <w:t>sutura</w:t>
                            </w:r>
                            <w:r>
                              <w:rPr>
                                <w:color w:val="231F1F"/>
                                <w:spacing w:val="-15"/>
                                <w:w w:val="110"/>
                              </w:rPr>
                              <w:t> </w:t>
                            </w:r>
                            <w:r>
                              <w:rPr>
                                <w:color w:val="231F1F"/>
                                <w:w w:val="110"/>
                              </w:rPr>
                              <w:t>más</w:t>
                            </w:r>
                            <w:r>
                              <w:rPr>
                                <w:color w:val="231F1F"/>
                                <w:spacing w:val="-15"/>
                                <w:w w:val="110"/>
                              </w:rPr>
                              <w:t> </w:t>
                            </w:r>
                            <w:r>
                              <w:rPr>
                                <w:color w:val="231F1F"/>
                                <w:w w:val="110"/>
                              </w:rPr>
                              <w:t>efectiva</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episiotomía</w:t>
                            </w:r>
                            <w:r>
                              <w:rPr>
                                <w:color w:val="231F1F"/>
                                <w:spacing w:val="-15"/>
                                <w:w w:val="110"/>
                              </w:rPr>
                              <w:t> </w:t>
                            </w:r>
                            <w:r>
                              <w:rPr>
                                <w:color w:val="231F1F"/>
                                <w:w w:val="110"/>
                              </w:rPr>
                              <w:t>y/o</w:t>
                            </w:r>
                            <w:r>
                              <w:rPr>
                                <w:color w:val="231F1F"/>
                                <w:spacing w:val="-15"/>
                                <w:w w:val="110"/>
                              </w:rPr>
                              <w:t> </w:t>
                            </w:r>
                            <w:r>
                              <w:rPr>
                                <w:color w:val="231F1F"/>
                                <w:w w:val="110"/>
                              </w:rPr>
                              <w:t>los</w:t>
                            </w:r>
                            <w:r>
                              <w:rPr>
                                <w:color w:val="231F1F"/>
                                <w:spacing w:val="-15"/>
                                <w:w w:val="110"/>
                              </w:rPr>
                              <w:t> </w:t>
                            </w:r>
                            <w:r>
                              <w:rPr>
                                <w:color w:val="231F1F"/>
                                <w:w w:val="110"/>
                              </w:rPr>
                              <w:t>desgarros</w:t>
                            </w:r>
                            <w:r>
                              <w:rPr>
                                <w:color w:val="231F1F"/>
                                <w:spacing w:val="-15"/>
                                <w:w w:val="110"/>
                              </w:rPr>
                              <w:t> </w:t>
                            </w:r>
                            <w:r>
                              <w:rPr>
                                <w:color w:val="231F1F"/>
                                <w:w w:val="110"/>
                              </w:rPr>
                              <w:t>peri- neales de I y II grado?</w:t>
                            </w:r>
                          </w:p>
                        </w:txbxContent>
                      </wps:txbx>
                      <wps:bodyPr wrap="square" lIns="0" tIns="0" rIns="0" bIns="0" rtlCol="0">
                        <a:noAutofit/>
                      </wps:bodyPr>
                    </wps:wsp>
                  </a:graphicData>
                </a:graphic>
              </wp:anchor>
            </w:drawing>
          </mc:Choice>
          <mc:Fallback>
            <w:pict>
              <v:shape style="position:absolute;margin-left:85.25pt;margin-top:14.046972pt;width:425.2pt;height:55.65pt;mso-position-horizontal-relative:page;mso-position-vertical-relative:paragraph;z-index:-15705600;mso-wrap-distance-left:0;mso-wrap-distance-right:0" type="#_x0000_t202" id="docshape84" filled="false" stroked="true" strokeweight=".5pt" strokecolor="#a30046">
                <v:textbox inset="0,0,0,0">
                  <w:txbxContent>
                    <w:p>
                      <w:pPr>
                        <w:pStyle w:val="BodyText"/>
                        <w:numPr>
                          <w:ilvl w:val="0"/>
                          <w:numId w:val="45"/>
                        </w:numPr>
                        <w:tabs>
                          <w:tab w:pos="322" w:val="left" w:leader="none"/>
                        </w:tabs>
                        <w:spacing w:line="240" w:lineRule="auto" w:before="39" w:after="0"/>
                        <w:ind w:left="322" w:right="0" w:hanging="218"/>
                        <w:jc w:val="left"/>
                      </w:pPr>
                      <w:r>
                        <w:rPr>
                          <w:color w:val="231F1F"/>
                        </w:rPr>
                        <w:t>¿Cuál</w:t>
                      </w:r>
                      <w:r>
                        <w:rPr>
                          <w:color w:val="231F1F"/>
                          <w:spacing w:val="25"/>
                        </w:rPr>
                        <w:t> </w:t>
                      </w:r>
                      <w:r>
                        <w:rPr>
                          <w:color w:val="231F1F"/>
                        </w:rPr>
                        <w:t>es</w:t>
                      </w:r>
                      <w:r>
                        <w:rPr>
                          <w:color w:val="231F1F"/>
                          <w:spacing w:val="27"/>
                        </w:rPr>
                        <w:t> </w:t>
                      </w:r>
                      <w:r>
                        <w:rPr>
                          <w:color w:val="231F1F"/>
                        </w:rPr>
                        <w:t>la</w:t>
                      </w:r>
                      <w:r>
                        <w:rPr>
                          <w:color w:val="231F1F"/>
                          <w:spacing w:val="27"/>
                        </w:rPr>
                        <w:t> </w:t>
                      </w:r>
                      <w:r>
                        <w:rPr>
                          <w:color w:val="231F1F"/>
                        </w:rPr>
                        <w:t>efectividad</w:t>
                      </w:r>
                      <w:r>
                        <w:rPr>
                          <w:color w:val="231F1F"/>
                          <w:spacing w:val="29"/>
                        </w:rPr>
                        <w:t> </w:t>
                      </w:r>
                      <w:r>
                        <w:rPr>
                          <w:color w:val="231F1F"/>
                        </w:rPr>
                        <w:t>de</w:t>
                      </w:r>
                      <w:r>
                        <w:rPr>
                          <w:color w:val="231F1F"/>
                          <w:spacing w:val="27"/>
                        </w:rPr>
                        <w:t> </w:t>
                      </w:r>
                      <w:r>
                        <w:rPr>
                          <w:color w:val="231F1F"/>
                        </w:rPr>
                        <w:t>la</w:t>
                      </w:r>
                      <w:r>
                        <w:rPr>
                          <w:color w:val="231F1F"/>
                          <w:spacing w:val="27"/>
                        </w:rPr>
                        <w:t> </w:t>
                      </w:r>
                      <w:r>
                        <w:rPr>
                          <w:color w:val="231F1F"/>
                        </w:rPr>
                        <w:t>sutura</w:t>
                      </w:r>
                      <w:r>
                        <w:rPr>
                          <w:color w:val="231F1F"/>
                          <w:spacing w:val="27"/>
                        </w:rPr>
                        <w:t> </w:t>
                      </w:r>
                      <w:r>
                        <w:rPr>
                          <w:color w:val="231F1F"/>
                        </w:rPr>
                        <w:t>de</w:t>
                      </w:r>
                      <w:r>
                        <w:rPr>
                          <w:color w:val="231F1F"/>
                          <w:spacing w:val="28"/>
                        </w:rPr>
                        <w:t> </w:t>
                      </w:r>
                      <w:r>
                        <w:rPr>
                          <w:color w:val="231F1F"/>
                        </w:rPr>
                        <w:t>desgarros</w:t>
                      </w:r>
                      <w:r>
                        <w:rPr>
                          <w:color w:val="231F1F"/>
                          <w:spacing w:val="28"/>
                        </w:rPr>
                        <w:t> </w:t>
                      </w:r>
                      <w:r>
                        <w:rPr>
                          <w:color w:val="231F1F"/>
                        </w:rPr>
                        <w:t>perineales</w:t>
                      </w:r>
                      <w:r>
                        <w:rPr>
                          <w:color w:val="231F1F"/>
                          <w:spacing w:val="23"/>
                        </w:rPr>
                        <w:t> </w:t>
                      </w:r>
                      <w:r>
                        <w:rPr>
                          <w:color w:val="231F1F"/>
                        </w:rPr>
                        <w:t>de</w:t>
                      </w:r>
                      <w:r>
                        <w:rPr>
                          <w:color w:val="231F1F"/>
                          <w:spacing w:val="29"/>
                        </w:rPr>
                        <w:t> </w:t>
                      </w:r>
                      <w:r>
                        <w:rPr>
                          <w:color w:val="231F1F"/>
                        </w:rPr>
                        <w:t>I</w:t>
                      </w:r>
                      <w:r>
                        <w:rPr>
                          <w:color w:val="231F1F"/>
                          <w:spacing w:val="27"/>
                        </w:rPr>
                        <w:t> </w:t>
                      </w:r>
                      <w:r>
                        <w:rPr>
                          <w:color w:val="231F1F"/>
                        </w:rPr>
                        <w:t>y</w:t>
                      </w:r>
                      <w:r>
                        <w:rPr>
                          <w:color w:val="231F1F"/>
                          <w:spacing w:val="27"/>
                        </w:rPr>
                        <w:t> </w:t>
                      </w:r>
                      <w:r>
                        <w:rPr>
                          <w:color w:val="231F1F"/>
                        </w:rPr>
                        <w:t>II</w:t>
                      </w:r>
                      <w:r>
                        <w:rPr>
                          <w:color w:val="231F1F"/>
                          <w:spacing w:val="27"/>
                        </w:rPr>
                        <w:t> </w:t>
                      </w:r>
                      <w:r>
                        <w:rPr>
                          <w:color w:val="231F1F"/>
                          <w:spacing w:val="-2"/>
                        </w:rPr>
                        <w:t>grado?</w:t>
                      </w:r>
                    </w:p>
                    <w:p>
                      <w:pPr>
                        <w:pStyle w:val="BodyText"/>
                        <w:numPr>
                          <w:ilvl w:val="0"/>
                          <w:numId w:val="45"/>
                        </w:numPr>
                        <w:tabs>
                          <w:tab w:pos="323" w:val="left" w:leader="none"/>
                        </w:tabs>
                        <w:spacing w:line="244" w:lineRule="auto" w:before="150" w:after="0"/>
                        <w:ind w:left="323" w:right="194" w:hanging="220"/>
                        <w:jc w:val="left"/>
                      </w:pPr>
                      <w:r>
                        <w:rPr>
                          <w:color w:val="231F1F"/>
                          <w:w w:val="110"/>
                        </w:rPr>
                        <w:t>¿Cuál</w:t>
                      </w:r>
                      <w:r>
                        <w:rPr>
                          <w:color w:val="231F1F"/>
                          <w:spacing w:val="-15"/>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técnica</w:t>
                      </w:r>
                      <w:r>
                        <w:rPr>
                          <w:color w:val="231F1F"/>
                          <w:spacing w:val="-15"/>
                          <w:w w:val="110"/>
                        </w:rPr>
                        <w:t> </w:t>
                      </w:r>
                      <w:r>
                        <w:rPr>
                          <w:color w:val="231F1F"/>
                          <w:w w:val="110"/>
                        </w:rPr>
                        <w:t>de</w:t>
                      </w:r>
                      <w:r>
                        <w:rPr>
                          <w:color w:val="231F1F"/>
                          <w:spacing w:val="-15"/>
                          <w:w w:val="110"/>
                        </w:rPr>
                        <w:t> </w:t>
                      </w:r>
                      <w:r>
                        <w:rPr>
                          <w:color w:val="231F1F"/>
                          <w:w w:val="110"/>
                        </w:rPr>
                        <w:t>sutura</w:t>
                      </w:r>
                      <w:r>
                        <w:rPr>
                          <w:color w:val="231F1F"/>
                          <w:spacing w:val="-15"/>
                          <w:w w:val="110"/>
                        </w:rPr>
                        <w:t> </w:t>
                      </w:r>
                      <w:r>
                        <w:rPr>
                          <w:color w:val="231F1F"/>
                          <w:w w:val="110"/>
                        </w:rPr>
                        <w:t>más</w:t>
                      </w:r>
                      <w:r>
                        <w:rPr>
                          <w:color w:val="231F1F"/>
                          <w:spacing w:val="-15"/>
                          <w:w w:val="110"/>
                        </w:rPr>
                        <w:t> </w:t>
                      </w:r>
                      <w:r>
                        <w:rPr>
                          <w:color w:val="231F1F"/>
                          <w:w w:val="110"/>
                        </w:rPr>
                        <w:t>efectiva</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episiotomía</w:t>
                      </w:r>
                      <w:r>
                        <w:rPr>
                          <w:color w:val="231F1F"/>
                          <w:spacing w:val="-15"/>
                          <w:w w:val="110"/>
                        </w:rPr>
                        <w:t> </w:t>
                      </w:r>
                      <w:r>
                        <w:rPr>
                          <w:color w:val="231F1F"/>
                          <w:w w:val="110"/>
                        </w:rPr>
                        <w:t>y/o</w:t>
                      </w:r>
                      <w:r>
                        <w:rPr>
                          <w:color w:val="231F1F"/>
                          <w:spacing w:val="-15"/>
                          <w:w w:val="110"/>
                        </w:rPr>
                        <w:t> </w:t>
                      </w:r>
                      <w:r>
                        <w:rPr>
                          <w:color w:val="231F1F"/>
                          <w:w w:val="110"/>
                        </w:rPr>
                        <w:t>los</w:t>
                      </w:r>
                      <w:r>
                        <w:rPr>
                          <w:color w:val="231F1F"/>
                          <w:spacing w:val="-15"/>
                          <w:w w:val="110"/>
                        </w:rPr>
                        <w:t> </w:t>
                      </w:r>
                      <w:r>
                        <w:rPr>
                          <w:color w:val="231F1F"/>
                          <w:w w:val="110"/>
                        </w:rPr>
                        <w:t>desgarros</w:t>
                      </w:r>
                      <w:r>
                        <w:rPr>
                          <w:color w:val="231F1F"/>
                          <w:spacing w:val="-15"/>
                          <w:w w:val="110"/>
                        </w:rPr>
                        <w:t> </w:t>
                      </w:r>
                      <w:r>
                        <w:rPr>
                          <w:color w:val="231F1F"/>
                          <w:w w:val="110"/>
                        </w:rPr>
                        <w:t>peri- neales de I y II grado?</w:t>
                      </w:r>
                    </w:p>
                  </w:txbxContent>
                </v:textbox>
                <v:stroke dashstyle="solid"/>
                <w10:wrap type="topAndBottom"/>
              </v:shape>
            </w:pict>
          </mc:Fallback>
        </mc:AlternateContent>
      </w:r>
    </w:p>
    <w:p>
      <w:pPr>
        <w:pStyle w:val="BodyText"/>
        <w:spacing w:line="247" w:lineRule="auto" w:before="318"/>
        <w:ind w:left="282" w:right="122"/>
        <w:jc w:val="both"/>
      </w:pPr>
      <w:r>
        <w:rPr>
          <w:color w:val="231F1F"/>
          <w:w w:val="110"/>
        </w:rPr>
        <w:t>Millones</w:t>
      </w:r>
      <w:r>
        <w:rPr>
          <w:color w:val="231F1F"/>
          <w:spacing w:val="-10"/>
          <w:w w:val="110"/>
        </w:rPr>
        <w:t> </w:t>
      </w:r>
      <w:r>
        <w:rPr>
          <w:color w:val="231F1F"/>
          <w:w w:val="110"/>
        </w:rPr>
        <w:t>de</w:t>
      </w:r>
      <w:r>
        <w:rPr>
          <w:color w:val="231F1F"/>
          <w:spacing w:val="-10"/>
          <w:w w:val="110"/>
        </w:rPr>
        <w:t> </w:t>
      </w:r>
      <w:r>
        <w:rPr>
          <w:color w:val="231F1F"/>
          <w:w w:val="110"/>
        </w:rPr>
        <w:t>mujeres</w:t>
      </w:r>
      <w:r>
        <w:rPr>
          <w:color w:val="231F1F"/>
          <w:spacing w:val="-9"/>
          <w:w w:val="110"/>
        </w:rPr>
        <w:t> </w:t>
      </w:r>
      <w:r>
        <w:rPr>
          <w:color w:val="231F1F"/>
          <w:w w:val="110"/>
        </w:rPr>
        <w:t>en</w:t>
      </w:r>
      <w:r>
        <w:rPr>
          <w:color w:val="231F1F"/>
          <w:spacing w:val="-9"/>
          <w:w w:val="110"/>
        </w:rPr>
        <w:t> </w:t>
      </w:r>
      <w:r>
        <w:rPr>
          <w:color w:val="231F1F"/>
          <w:w w:val="110"/>
        </w:rPr>
        <w:t>todo</w:t>
      </w:r>
      <w:r>
        <w:rPr>
          <w:color w:val="231F1F"/>
          <w:spacing w:val="-10"/>
          <w:w w:val="110"/>
        </w:rPr>
        <w:t> </w:t>
      </w:r>
      <w:r>
        <w:rPr>
          <w:color w:val="231F1F"/>
          <w:w w:val="110"/>
        </w:rPr>
        <w:t>el</w:t>
      </w:r>
      <w:r>
        <w:rPr>
          <w:color w:val="231F1F"/>
          <w:spacing w:val="-10"/>
          <w:w w:val="110"/>
        </w:rPr>
        <w:t> </w:t>
      </w:r>
      <w:r>
        <w:rPr>
          <w:color w:val="231F1F"/>
          <w:w w:val="110"/>
        </w:rPr>
        <w:t>mundo</w:t>
      </w:r>
      <w:r>
        <w:rPr>
          <w:color w:val="231F1F"/>
          <w:spacing w:val="-10"/>
          <w:w w:val="110"/>
        </w:rPr>
        <w:t> </w:t>
      </w:r>
      <w:r>
        <w:rPr>
          <w:color w:val="231F1F"/>
          <w:w w:val="110"/>
        </w:rPr>
        <w:t>son</w:t>
      </w:r>
      <w:r>
        <w:rPr>
          <w:color w:val="231F1F"/>
          <w:spacing w:val="-10"/>
          <w:w w:val="110"/>
        </w:rPr>
        <w:t> </w:t>
      </w:r>
      <w:r>
        <w:rPr>
          <w:color w:val="231F1F"/>
          <w:w w:val="110"/>
        </w:rPr>
        <w:t>sometidas</w:t>
      </w:r>
      <w:r>
        <w:rPr>
          <w:color w:val="231F1F"/>
          <w:spacing w:val="-10"/>
          <w:w w:val="110"/>
        </w:rPr>
        <w:t> </w:t>
      </w:r>
      <w:r>
        <w:rPr>
          <w:color w:val="231F1F"/>
          <w:w w:val="110"/>
        </w:rPr>
        <w:t>a</w:t>
      </w:r>
      <w:r>
        <w:rPr>
          <w:color w:val="231F1F"/>
          <w:spacing w:val="-10"/>
          <w:w w:val="110"/>
        </w:rPr>
        <w:t> </w:t>
      </w:r>
      <w:r>
        <w:rPr>
          <w:color w:val="231F1F"/>
          <w:w w:val="110"/>
        </w:rPr>
        <w:t>sutura</w:t>
      </w:r>
      <w:r>
        <w:rPr>
          <w:color w:val="231F1F"/>
          <w:spacing w:val="-10"/>
          <w:w w:val="110"/>
        </w:rPr>
        <w:t> </w:t>
      </w:r>
      <w:r>
        <w:rPr>
          <w:color w:val="231F1F"/>
          <w:w w:val="110"/>
        </w:rPr>
        <w:t>perineal</w:t>
      </w:r>
      <w:r>
        <w:rPr>
          <w:color w:val="231F1F"/>
          <w:spacing w:val="-10"/>
          <w:w w:val="110"/>
        </w:rPr>
        <w:t> </w:t>
      </w:r>
      <w:r>
        <w:rPr>
          <w:color w:val="231F1F"/>
          <w:w w:val="110"/>
        </w:rPr>
        <w:t>después</w:t>
      </w:r>
      <w:r>
        <w:rPr>
          <w:color w:val="231F1F"/>
          <w:spacing w:val="-10"/>
          <w:w w:val="110"/>
        </w:rPr>
        <w:t> </w:t>
      </w:r>
      <w:r>
        <w:rPr>
          <w:color w:val="231F1F"/>
          <w:w w:val="110"/>
        </w:rPr>
        <w:t>del</w:t>
      </w:r>
      <w:r>
        <w:rPr>
          <w:color w:val="231F1F"/>
          <w:spacing w:val="-10"/>
          <w:w w:val="110"/>
        </w:rPr>
        <w:t> </w:t>
      </w:r>
      <w:r>
        <w:rPr>
          <w:color w:val="231F1F"/>
          <w:w w:val="110"/>
        </w:rPr>
        <w:t>parto. La</w:t>
      </w:r>
      <w:r>
        <w:rPr>
          <w:color w:val="231F1F"/>
          <w:spacing w:val="-11"/>
          <w:w w:val="110"/>
        </w:rPr>
        <w:t> </w:t>
      </w:r>
      <w:r>
        <w:rPr>
          <w:color w:val="231F1F"/>
          <w:w w:val="110"/>
        </w:rPr>
        <w:t>mayoría</w:t>
      </w:r>
      <w:r>
        <w:rPr>
          <w:color w:val="231F1F"/>
          <w:spacing w:val="-11"/>
          <w:w w:val="110"/>
        </w:rPr>
        <w:t> </w:t>
      </w:r>
      <w:r>
        <w:rPr>
          <w:color w:val="231F1F"/>
          <w:w w:val="110"/>
        </w:rPr>
        <w:t>de</w:t>
      </w:r>
      <w:r>
        <w:rPr>
          <w:color w:val="231F1F"/>
          <w:spacing w:val="-11"/>
          <w:w w:val="110"/>
        </w:rPr>
        <w:t> </w:t>
      </w:r>
      <w:r>
        <w:rPr>
          <w:color w:val="231F1F"/>
          <w:w w:val="110"/>
        </w:rPr>
        <w:t>estas</w:t>
      </w:r>
      <w:r>
        <w:rPr>
          <w:color w:val="231F1F"/>
          <w:spacing w:val="-11"/>
          <w:w w:val="110"/>
        </w:rPr>
        <w:t> </w:t>
      </w:r>
      <w:r>
        <w:rPr>
          <w:color w:val="231F1F"/>
          <w:w w:val="110"/>
        </w:rPr>
        <w:t>mujeres</w:t>
      </w:r>
      <w:r>
        <w:rPr>
          <w:color w:val="231F1F"/>
          <w:spacing w:val="-11"/>
          <w:w w:val="110"/>
        </w:rPr>
        <w:t> </w:t>
      </w:r>
      <w:r>
        <w:rPr>
          <w:color w:val="231F1F"/>
          <w:w w:val="110"/>
        </w:rPr>
        <w:t>presentan</w:t>
      </w:r>
      <w:r>
        <w:rPr>
          <w:color w:val="231F1F"/>
          <w:spacing w:val="-11"/>
          <w:w w:val="110"/>
        </w:rPr>
        <w:t> </w:t>
      </w:r>
      <w:r>
        <w:rPr>
          <w:color w:val="231F1F"/>
          <w:w w:val="110"/>
        </w:rPr>
        <w:t>dolor</w:t>
      </w:r>
      <w:r>
        <w:rPr>
          <w:color w:val="231F1F"/>
          <w:spacing w:val="-11"/>
          <w:w w:val="110"/>
        </w:rPr>
        <w:t> </w:t>
      </w:r>
      <w:r>
        <w:rPr>
          <w:color w:val="231F1F"/>
          <w:w w:val="110"/>
        </w:rPr>
        <w:t>perineal</w:t>
      </w:r>
      <w:r>
        <w:rPr>
          <w:color w:val="231F1F"/>
          <w:spacing w:val="-12"/>
          <w:w w:val="110"/>
        </w:rPr>
        <w:t> </w:t>
      </w:r>
      <w:r>
        <w:rPr>
          <w:color w:val="231F1F"/>
          <w:w w:val="110"/>
        </w:rPr>
        <w:t>en</w:t>
      </w:r>
      <w:r>
        <w:rPr>
          <w:color w:val="231F1F"/>
          <w:spacing w:val="-11"/>
          <w:w w:val="110"/>
        </w:rPr>
        <w:t> </w:t>
      </w:r>
      <w:r>
        <w:rPr>
          <w:color w:val="231F1F"/>
          <w:w w:val="110"/>
        </w:rPr>
        <w:t>el</w:t>
      </w:r>
      <w:r>
        <w:rPr>
          <w:color w:val="231F1F"/>
          <w:spacing w:val="-11"/>
          <w:w w:val="110"/>
        </w:rPr>
        <w:t> </w:t>
      </w:r>
      <w:r>
        <w:rPr>
          <w:color w:val="231F1F"/>
          <w:w w:val="110"/>
        </w:rPr>
        <w:t>puerperio</w:t>
      </w:r>
      <w:r>
        <w:rPr>
          <w:color w:val="231F1F"/>
          <w:spacing w:val="-11"/>
          <w:w w:val="110"/>
        </w:rPr>
        <w:t> </w:t>
      </w:r>
      <w:r>
        <w:rPr>
          <w:color w:val="231F1F"/>
          <w:w w:val="110"/>
        </w:rPr>
        <w:t>y</w:t>
      </w:r>
      <w:r>
        <w:rPr>
          <w:color w:val="231F1F"/>
          <w:spacing w:val="-11"/>
          <w:w w:val="110"/>
        </w:rPr>
        <w:t> </w:t>
      </w:r>
      <w:r>
        <w:rPr>
          <w:color w:val="231F1F"/>
          <w:w w:val="110"/>
        </w:rPr>
        <w:t>hasta</w:t>
      </w:r>
      <w:r>
        <w:rPr>
          <w:color w:val="231F1F"/>
          <w:spacing w:val="-11"/>
          <w:w w:val="110"/>
        </w:rPr>
        <w:t> </w:t>
      </w:r>
      <w:r>
        <w:rPr>
          <w:color w:val="231F1F"/>
          <w:w w:val="110"/>
        </w:rPr>
        <w:t>el</w:t>
      </w:r>
      <w:r>
        <w:rPr>
          <w:color w:val="231F1F"/>
          <w:spacing w:val="-11"/>
          <w:w w:val="110"/>
        </w:rPr>
        <w:t> </w:t>
      </w:r>
      <w:r>
        <w:rPr>
          <w:color w:val="231F1F"/>
          <w:w w:val="110"/>
        </w:rPr>
        <w:t>20%</w:t>
      </w:r>
      <w:r>
        <w:rPr>
          <w:color w:val="231F1F"/>
          <w:spacing w:val="-10"/>
          <w:w w:val="110"/>
        </w:rPr>
        <w:t> </w:t>
      </w:r>
      <w:r>
        <w:rPr>
          <w:color w:val="231F1F"/>
          <w:w w:val="110"/>
        </w:rPr>
        <w:t>con- tinúan</w:t>
      </w:r>
      <w:r>
        <w:rPr>
          <w:color w:val="231F1F"/>
          <w:spacing w:val="-16"/>
          <w:w w:val="110"/>
        </w:rPr>
        <w:t> </w:t>
      </w:r>
      <w:r>
        <w:rPr>
          <w:color w:val="231F1F"/>
          <w:w w:val="110"/>
        </w:rPr>
        <w:t>con</w:t>
      </w:r>
      <w:r>
        <w:rPr>
          <w:color w:val="231F1F"/>
          <w:spacing w:val="-15"/>
          <w:w w:val="110"/>
        </w:rPr>
        <w:t> </w:t>
      </w:r>
      <w:r>
        <w:rPr>
          <w:color w:val="231F1F"/>
          <w:w w:val="110"/>
        </w:rPr>
        <w:t>problemas</w:t>
      </w:r>
      <w:r>
        <w:rPr>
          <w:color w:val="231F1F"/>
          <w:spacing w:val="-15"/>
          <w:w w:val="110"/>
        </w:rPr>
        <w:t> </w:t>
      </w:r>
      <w:r>
        <w:rPr>
          <w:color w:val="231F1F"/>
          <w:w w:val="110"/>
        </w:rPr>
        <w:t>a</w:t>
      </w:r>
      <w:r>
        <w:rPr>
          <w:color w:val="231F1F"/>
          <w:spacing w:val="-15"/>
          <w:w w:val="110"/>
        </w:rPr>
        <w:t> </w:t>
      </w:r>
      <w:r>
        <w:rPr>
          <w:color w:val="231F1F"/>
          <w:w w:val="110"/>
        </w:rPr>
        <w:t>largo</w:t>
      </w:r>
      <w:r>
        <w:rPr>
          <w:color w:val="231F1F"/>
          <w:spacing w:val="-15"/>
          <w:w w:val="110"/>
        </w:rPr>
        <w:t> </w:t>
      </w:r>
      <w:r>
        <w:rPr>
          <w:color w:val="231F1F"/>
          <w:w w:val="110"/>
        </w:rPr>
        <w:t>plazo,</w:t>
      </w:r>
      <w:r>
        <w:rPr>
          <w:color w:val="231F1F"/>
          <w:spacing w:val="-15"/>
          <w:w w:val="110"/>
        </w:rPr>
        <w:t> </w:t>
      </w:r>
      <w:r>
        <w:rPr>
          <w:color w:val="231F1F"/>
          <w:w w:val="110"/>
        </w:rPr>
        <w:t>como</w:t>
      </w:r>
      <w:r>
        <w:rPr>
          <w:color w:val="231F1F"/>
          <w:spacing w:val="-15"/>
          <w:w w:val="110"/>
        </w:rPr>
        <w:t> </w:t>
      </w:r>
      <w:r>
        <w:rPr>
          <w:color w:val="231F1F"/>
          <w:w w:val="110"/>
        </w:rPr>
        <w:t>dispareunia</w:t>
      </w:r>
      <w:r>
        <w:rPr>
          <w:color w:val="231F1F"/>
          <w:spacing w:val="-15"/>
          <w:w w:val="110"/>
        </w:rPr>
        <w:t> </w:t>
      </w:r>
      <w:r>
        <w:rPr>
          <w:color w:val="231F1F"/>
          <w:w w:val="110"/>
        </w:rPr>
        <w:t>superficial.</w:t>
      </w:r>
      <w:r>
        <w:rPr>
          <w:color w:val="231F1F"/>
          <w:spacing w:val="-16"/>
          <w:w w:val="110"/>
        </w:rPr>
        <w:t> </w:t>
      </w:r>
      <w:r>
        <w:rPr>
          <w:color w:val="231F1F"/>
          <w:w w:val="110"/>
        </w:rPr>
        <w:t>La</w:t>
      </w:r>
      <w:r>
        <w:rPr>
          <w:color w:val="231F1F"/>
          <w:spacing w:val="-15"/>
          <w:w w:val="110"/>
        </w:rPr>
        <w:t> </w:t>
      </w:r>
      <w:r>
        <w:rPr>
          <w:color w:val="231F1F"/>
          <w:w w:val="110"/>
        </w:rPr>
        <w:t>morbilidad</w:t>
      </w:r>
      <w:r>
        <w:rPr>
          <w:color w:val="231F1F"/>
          <w:spacing w:val="-15"/>
          <w:w w:val="110"/>
        </w:rPr>
        <w:t> </w:t>
      </w:r>
      <w:r>
        <w:rPr>
          <w:color w:val="231F1F"/>
          <w:w w:val="110"/>
        </w:rPr>
        <w:t>materna asociada a la reparación perineal puede tener un impacto importante en la salud general de</w:t>
      </w:r>
      <w:r>
        <w:rPr>
          <w:color w:val="231F1F"/>
          <w:spacing w:val="-8"/>
          <w:w w:val="110"/>
        </w:rPr>
        <w:t> </w:t>
      </w:r>
      <w:r>
        <w:rPr>
          <w:color w:val="231F1F"/>
          <w:w w:val="110"/>
        </w:rPr>
        <w:t>la</w:t>
      </w:r>
      <w:r>
        <w:rPr>
          <w:color w:val="231F1F"/>
          <w:spacing w:val="-7"/>
          <w:w w:val="110"/>
        </w:rPr>
        <w:t> </w:t>
      </w:r>
      <w:r>
        <w:rPr>
          <w:color w:val="231F1F"/>
          <w:w w:val="110"/>
        </w:rPr>
        <w:t>mujer,</w:t>
      </w:r>
      <w:r>
        <w:rPr>
          <w:color w:val="231F1F"/>
          <w:spacing w:val="-8"/>
          <w:w w:val="110"/>
        </w:rPr>
        <w:t> </w:t>
      </w:r>
      <w:r>
        <w:rPr>
          <w:color w:val="231F1F"/>
          <w:w w:val="110"/>
        </w:rPr>
        <w:t>produciéndole</w:t>
      </w:r>
      <w:r>
        <w:rPr>
          <w:color w:val="231F1F"/>
          <w:spacing w:val="-8"/>
          <w:w w:val="110"/>
        </w:rPr>
        <w:t> </w:t>
      </w:r>
      <w:r>
        <w:rPr>
          <w:color w:val="231F1F"/>
          <w:w w:val="110"/>
        </w:rPr>
        <w:t>muchas</w:t>
      </w:r>
      <w:r>
        <w:rPr>
          <w:color w:val="231F1F"/>
          <w:spacing w:val="-8"/>
          <w:w w:val="110"/>
        </w:rPr>
        <w:t> </w:t>
      </w:r>
      <w:r>
        <w:rPr>
          <w:color w:val="231F1F"/>
          <w:w w:val="110"/>
        </w:rPr>
        <w:t>molestias</w:t>
      </w:r>
      <w:r>
        <w:rPr>
          <w:color w:val="231F1F"/>
          <w:spacing w:val="-8"/>
          <w:w w:val="110"/>
        </w:rPr>
        <w:t> </w:t>
      </w:r>
      <w:r>
        <w:rPr>
          <w:color w:val="231F1F"/>
          <w:w w:val="110"/>
        </w:rPr>
        <w:t>y</w:t>
      </w:r>
      <w:r>
        <w:rPr>
          <w:color w:val="231F1F"/>
          <w:spacing w:val="-7"/>
          <w:w w:val="110"/>
        </w:rPr>
        <w:t> </w:t>
      </w:r>
      <w:r>
        <w:rPr>
          <w:color w:val="231F1F"/>
          <w:w w:val="110"/>
        </w:rPr>
        <w:t>distrés.</w:t>
      </w:r>
      <w:r>
        <w:rPr>
          <w:color w:val="231F1F"/>
          <w:spacing w:val="-8"/>
          <w:w w:val="110"/>
        </w:rPr>
        <w:t> </w:t>
      </w:r>
      <w:r>
        <w:rPr>
          <w:color w:val="231F1F"/>
          <w:w w:val="110"/>
        </w:rPr>
        <w:t>Esto</w:t>
      </w:r>
      <w:r>
        <w:rPr>
          <w:color w:val="231F1F"/>
          <w:spacing w:val="-7"/>
          <w:w w:val="110"/>
        </w:rPr>
        <w:t> </w:t>
      </w:r>
      <w:r>
        <w:rPr>
          <w:color w:val="231F1F"/>
          <w:w w:val="110"/>
        </w:rPr>
        <w:t>a</w:t>
      </w:r>
      <w:r>
        <w:rPr>
          <w:color w:val="231F1F"/>
          <w:spacing w:val="-7"/>
          <w:w w:val="110"/>
        </w:rPr>
        <w:t> </w:t>
      </w:r>
      <w:r>
        <w:rPr>
          <w:color w:val="231F1F"/>
          <w:w w:val="110"/>
        </w:rPr>
        <w:t>su</w:t>
      </w:r>
      <w:r>
        <w:rPr>
          <w:color w:val="231F1F"/>
          <w:spacing w:val="-7"/>
          <w:w w:val="110"/>
        </w:rPr>
        <w:t> </w:t>
      </w:r>
      <w:r>
        <w:rPr>
          <w:color w:val="231F1F"/>
          <w:w w:val="110"/>
        </w:rPr>
        <w:t>vez</w:t>
      </w:r>
      <w:r>
        <w:rPr>
          <w:color w:val="231F1F"/>
          <w:spacing w:val="-8"/>
          <w:w w:val="110"/>
        </w:rPr>
        <w:t> </w:t>
      </w:r>
      <w:r>
        <w:rPr>
          <w:color w:val="231F1F"/>
          <w:w w:val="110"/>
        </w:rPr>
        <w:t>puede</w:t>
      </w:r>
      <w:r>
        <w:rPr>
          <w:color w:val="231F1F"/>
          <w:spacing w:val="-8"/>
          <w:w w:val="110"/>
        </w:rPr>
        <w:t> </w:t>
      </w:r>
      <w:r>
        <w:rPr>
          <w:color w:val="231F1F"/>
          <w:w w:val="110"/>
        </w:rPr>
        <w:t>afectar</w:t>
      </w:r>
      <w:r>
        <w:rPr>
          <w:color w:val="231F1F"/>
          <w:spacing w:val="-8"/>
          <w:w w:val="110"/>
        </w:rPr>
        <w:t> </w:t>
      </w:r>
      <w:r>
        <w:rPr>
          <w:color w:val="231F1F"/>
          <w:w w:val="110"/>
        </w:rPr>
        <w:t>la</w:t>
      </w:r>
      <w:r>
        <w:rPr>
          <w:color w:val="231F1F"/>
          <w:spacing w:val="-7"/>
          <w:w w:val="110"/>
        </w:rPr>
        <w:t> </w:t>
      </w:r>
      <w:r>
        <w:rPr>
          <w:color w:val="231F1F"/>
          <w:w w:val="110"/>
        </w:rPr>
        <w:t>ca- pacidad de la mujer para cuidar de su bebé y de otros miembros de su familia</w:t>
      </w:r>
    </w:p>
    <w:p>
      <w:pPr>
        <w:pStyle w:val="BodyText"/>
        <w:spacing w:line="249" w:lineRule="auto" w:before="136"/>
        <w:ind w:left="282" w:right="119" w:firstLine="453"/>
        <w:jc w:val="both"/>
      </w:pPr>
      <w:r>
        <w:rPr>
          <w:color w:val="231F1F"/>
          <w:w w:val="110"/>
        </w:rPr>
        <w:t>Tradicionalmente</w:t>
      </w:r>
      <w:r>
        <w:rPr>
          <w:color w:val="231F1F"/>
          <w:spacing w:val="-5"/>
          <w:w w:val="110"/>
        </w:rPr>
        <w:t> </w:t>
      </w:r>
      <w:r>
        <w:rPr>
          <w:color w:val="231F1F"/>
          <w:w w:val="110"/>
        </w:rPr>
        <w:t>se</w:t>
      </w:r>
      <w:r>
        <w:rPr>
          <w:color w:val="231F1F"/>
          <w:spacing w:val="-5"/>
          <w:w w:val="110"/>
        </w:rPr>
        <w:t> </w:t>
      </w:r>
      <w:r>
        <w:rPr>
          <w:color w:val="231F1F"/>
          <w:w w:val="110"/>
        </w:rPr>
        <w:t>sutura</w:t>
      </w:r>
      <w:r>
        <w:rPr>
          <w:color w:val="231F1F"/>
          <w:spacing w:val="-5"/>
          <w:w w:val="110"/>
        </w:rPr>
        <w:t> </w:t>
      </w:r>
      <w:r>
        <w:rPr>
          <w:color w:val="231F1F"/>
          <w:w w:val="110"/>
        </w:rPr>
        <w:t>la</w:t>
      </w:r>
      <w:r>
        <w:rPr>
          <w:color w:val="231F1F"/>
          <w:spacing w:val="-5"/>
          <w:w w:val="110"/>
        </w:rPr>
        <w:t> </w:t>
      </w:r>
      <w:r>
        <w:rPr>
          <w:color w:val="231F1F"/>
          <w:w w:val="110"/>
        </w:rPr>
        <w:t>vagina</w:t>
      </w:r>
      <w:r>
        <w:rPr>
          <w:color w:val="231F1F"/>
          <w:spacing w:val="-5"/>
          <w:w w:val="110"/>
        </w:rPr>
        <w:t> </w:t>
      </w:r>
      <w:r>
        <w:rPr>
          <w:color w:val="231F1F"/>
          <w:w w:val="110"/>
        </w:rPr>
        <w:t>con</w:t>
      </w:r>
      <w:r>
        <w:rPr>
          <w:color w:val="231F1F"/>
          <w:spacing w:val="-5"/>
          <w:w w:val="110"/>
        </w:rPr>
        <w:t> </w:t>
      </w:r>
      <w:r>
        <w:rPr>
          <w:color w:val="231F1F"/>
          <w:w w:val="110"/>
        </w:rPr>
        <w:t>un</w:t>
      </w:r>
      <w:r>
        <w:rPr>
          <w:color w:val="231F1F"/>
          <w:spacing w:val="-5"/>
          <w:w w:val="110"/>
        </w:rPr>
        <w:t> </w:t>
      </w:r>
      <w:r>
        <w:rPr>
          <w:color w:val="231F1F"/>
          <w:w w:val="110"/>
        </w:rPr>
        <w:t>punto</w:t>
      </w:r>
      <w:r>
        <w:rPr>
          <w:color w:val="231F1F"/>
          <w:spacing w:val="-5"/>
          <w:w w:val="110"/>
        </w:rPr>
        <w:t> </w:t>
      </w:r>
      <w:r>
        <w:rPr>
          <w:color w:val="231F1F"/>
          <w:w w:val="110"/>
        </w:rPr>
        <w:t>cerrado</w:t>
      </w:r>
      <w:r>
        <w:rPr>
          <w:color w:val="231F1F"/>
          <w:spacing w:val="-4"/>
          <w:w w:val="110"/>
        </w:rPr>
        <w:t> </w:t>
      </w:r>
      <w:r>
        <w:rPr>
          <w:color w:val="231F1F"/>
          <w:w w:val="110"/>
        </w:rPr>
        <w:t>continuo</w:t>
      </w:r>
      <w:r>
        <w:rPr>
          <w:color w:val="231F1F"/>
          <w:spacing w:val="-5"/>
          <w:w w:val="110"/>
        </w:rPr>
        <w:t> </w:t>
      </w:r>
      <w:r>
        <w:rPr>
          <w:color w:val="231F1F"/>
          <w:w w:val="110"/>
        </w:rPr>
        <w:t>y</w:t>
      </w:r>
      <w:r>
        <w:rPr>
          <w:color w:val="231F1F"/>
          <w:spacing w:val="-5"/>
          <w:w w:val="110"/>
        </w:rPr>
        <w:t> </w:t>
      </w:r>
      <w:r>
        <w:rPr>
          <w:color w:val="231F1F"/>
          <w:w w:val="110"/>
        </w:rPr>
        <w:t>los</w:t>
      </w:r>
      <w:r>
        <w:rPr>
          <w:color w:val="231F1F"/>
          <w:spacing w:val="-5"/>
          <w:w w:val="110"/>
        </w:rPr>
        <w:t> </w:t>
      </w:r>
      <w:r>
        <w:rPr>
          <w:color w:val="231F1F"/>
          <w:w w:val="110"/>
        </w:rPr>
        <w:t>músculos </w:t>
      </w:r>
      <w:r>
        <w:rPr>
          <w:color w:val="231F1F"/>
          <w:spacing w:val="-2"/>
          <w:w w:val="110"/>
        </w:rPr>
        <w:t>perineales</w:t>
      </w:r>
      <w:r>
        <w:rPr>
          <w:color w:val="231F1F"/>
          <w:spacing w:val="-9"/>
          <w:w w:val="110"/>
        </w:rPr>
        <w:t> </w:t>
      </w:r>
      <w:r>
        <w:rPr>
          <w:color w:val="231F1F"/>
          <w:spacing w:val="-2"/>
          <w:w w:val="110"/>
        </w:rPr>
        <w:t>y</w:t>
      </w:r>
      <w:r>
        <w:rPr>
          <w:color w:val="231F1F"/>
          <w:spacing w:val="-9"/>
          <w:w w:val="110"/>
        </w:rPr>
        <w:t> </w:t>
      </w:r>
      <w:r>
        <w:rPr>
          <w:color w:val="231F1F"/>
          <w:spacing w:val="-2"/>
          <w:w w:val="110"/>
        </w:rPr>
        <w:t>la</w:t>
      </w:r>
      <w:r>
        <w:rPr>
          <w:color w:val="231F1F"/>
          <w:spacing w:val="-9"/>
          <w:w w:val="110"/>
        </w:rPr>
        <w:t> </w:t>
      </w:r>
      <w:r>
        <w:rPr>
          <w:color w:val="231F1F"/>
          <w:spacing w:val="-2"/>
          <w:w w:val="110"/>
        </w:rPr>
        <w:t>piel</w:t>
      </w:r>
      <w:r>
        <w:rPr>
          <w:color w:val="231F1F"/>
          <w:spacing w:val="-9"/>
          <w:w w:val="110"/>
        </w:rPr>
        <w:t> </w:t>
      </w:r>
      <w:r>
        <w:rPr>
          <w:color w:val="231F1F"/>
          <w:spacing w:val="-2"/>
          <w:w w:val="110"/>
        </w:rPr>
        <w:t>se</w:t>
      </w:r>
      <w:r>
        <w:rPr>
          <w:color w:val="231F1F"/>
          <w:spacing w:val="-9"/>
          <w:w w:val="110"/>
        </w:rPr>
        <w:t> </w:t>
      </w:r>
      <w:r>
        <w:rPr>
          <w:color w:val="231F1F"/>
          <w:spacing w:val="-2"/>
          <w:w w:val="110"/>
        </w:rPr>
        <w:t>reparan</w:t>
      </w:r>
      <w:r>
        <w:rPr>
          <w:color w:val="231F1F"/>
          <w:spacing w:val="-9"/>
          <w:w w:val="110"/>
        </w:rPr>
        <w:t> </w:t>
      </w:r>
      <w:r>
        <w:rPr>
          <w:color w:val="231F1F"/>
          <w:spacing w:val="-2"/>
          <w:w w:val="110"/>
        </w:rPr>
        <w:t>con</w:t>
      </w:r>
      <w:r>
        <w:rPr>
          <w:color w:val="231F1F"/>
          <w:spacing w:val="-9"/>
          <w:w w:val="110"/>
        </w:rPr>
        <w:t> </w:t>
      </w:r>
      <w:r>
        <w:rPr>
          <w:color w:val="231F1F"/>
          <w:spacing w:val="-2"/>
          <w:w w:val="110"/>
        </w:rPr>
        <w:t>aproximadamente</w:t>
      </w:r>
      <w:r>
        <w:rPr>
          <w:color w:val="231F1F"/>
          <w:spacing w:val="-9"/>
          <w:w w:val="110"/>
        </w:rPr>
        <w:t> </w:t>
      </w:r>
      <w:r>
        <w:rPr>
          <w:color w:val="231F1F"/>
          <w:spacing w:val="-2"/>
          <w:w w:val="110"/>
        </w:rPr>
        <w:t>tres</w:t>
      </w:r>
      <w:r>
        <w:rPr>
          <w:color w:val="231F1F"/>
          <w:spacing w:val="-9"/>
          <w:w w:val="110"/>
        </w:rPr>
        <w:t> </w:t>
      </w:r>
      <w:r>
        <w:rPr>
          <w:color w:val="231F1F"/>
          <w:spacing w:val="-2"/>
          <w:w w:val="110"/>
        </w:rPr>
        <w:t>o</w:t>
      </w:r>
      <w:r>
        <w:rPr>
          <w:color w:val="231F1F"/>
          <w:spacing w:val="-9"/>
          <w:w w:val="110"/>
        </w:rPr>
        <w:t> </w:t>
      </w:r>
      <w:r>
        <w:rPr>
          <w:color w:val="231F1F"/>
          <w:spacing w:val="-2"/>
          <w:w w:val="110"/>
        </w:rPr>
        <w:t>cuatro</w:t>
      </w:r>
      <w:r>
        <w:rPr>
          <w:color w:val="231F1F"/>
          <w:spacing w:val="-9"/>
          <w:w w:val="110"/>
        </w:rPr>
        <w:t> </w:t>
      </w:r>
      <w:r>
        <w:rPr>
          <w:color w:val="231F1F"/>
          <w:spacing w:val="-2"/>
          <w:w w:val="110"/>
        </w:rPr>
        <w:t>puntos</w:t>
      </w:r>
      <w:r>
        <w:rPr>
          <w:color w:val="231F1F"/>
          <w:spacing w:val="-9"/>
          <w:w w:val="110"/>
        </w:rPr>
        <w:t> </w:t>
      </w:r>
      <w:r>
        <w:rPr>
          <w:color w:val="231F1F"/>
          <w:spacing w:val="-2"/>
          <w:w w:val="110"/>
        </w:rPr>
        <w:t>individuales,</w:t>
      </w:r>
      <w:r>
        <w:rPr>
          <w:color w:val="231F1F"/>
          <w:spacing w:val="-9"/>
          <w:w w:val="110"/>
        </w:rPr>
        <w:t> </w:t>
      </w:r>
      <w:r>
        <w:rPr>
          <w:color w:val="231F1F"/>
          <w:spacing w:val="-2"/>
          <w:w w:val="110"/>
        </w:rPr>
        <w:t>que necesitan</w:t>
      </w:r>
      <w:r>
        <w:rPr>
          <w:color w:val="231F1F"/>
          <w:spacing w:val="-7"/>
          <w:w w:val="110"/>
        </w:rPr>
        <w:t> </w:t>
      </w:r>
      <w:r>
        <w:rPr>
          <w:color w:val="231F1F"/>
          <w:spacing w:val="-2"/>
          <w:w w:val="110"/>
        </w:rPr>
        <w:t>anudarse</w:t>
      </w:r>
      <w:r>
        <w:rPr>
          <w:color w:val="231F1F"/>
          <w:spacing w:val="-7"/>
          <w:w w:val="110"/>
        </w:rPr>
        <w:t> </w:t>
      </w:r>
      <w:r>
        <w:rPr>
          <w:color w:val="231F1F"/>
          <w:spacing w:val="-2"/>
          <w:w w:val="110"/>
        </w:rPr>
        <w:t>por</w:t>
      </w:r>
      <w:r>
        <w:rPr>
          <w:color w:val="231F1F"/>
          <w:spacing w:val="-8"/>
          <w:w w:val="110"/>
        </w:rPr>
        <w:t> </w:t>
      </w:r>
      <w:r>
        <w:rPr>
          <w:color w:val="231F1F"/>
          <w:spacing w:val="-2"/>
          <w:w w:val="110"/>
        </w:rPr>
        <w:t>separado</w:t>
      </w:r>
      <w:r>
        <w:rPr>
          <w:color w:val="231F1F"/>
          <w:spacing w:val="-9"/>
          <w:w w:val="110"/>
        </w:rPr>
        <w:t> </w:t>
      </w:r>
      <w:r>
        <w:rPr>
          <w:color w:val="231F1F"/>
          <w:spacing w:val="-2"/>
          <w:w w:val="110"/>
        </w:rPr>
        <w:t>para</w:t>
      </w:r>
      <w:r>
        <w:rPr>
          <w:color w:val="231F1F"/>
          <w:spacing w:val="-8"/>
          <w:w w:val="110"/>
        </w:rPr>
        <w:t> </w:t>
      </w:r>
      <w:r>
        <w:rPr>
          <w:color w:val="231F1F"/>
          <w:spacing w:val="-2"/>
          <w:w w:val="110"/>
        </w:rPr>
        <w:t>prevenir</w:t>
      </w:r>
      <w:r>
        <w:rPr>
          <w:color w:val="231F1F"/>
          <w:spacing w:val="-9"/>
          <w:w w:val="110"/>
        </w:rPr>
        <w:t> </w:t>
      </w:r>
      <w:r>
        <w:rPr>
          <w:color w:val="231F1F"/>
          <w:spacing w:val="-2"/>
          <w:w w:val="110"/>
        </w:rPr>
        <w:t>que</w:t>
      </w:r>
      <w:r>
        <w:rPr>
          <w:color w:val="231F1F"/>
          <w:spacing w:val="-8"/>
          <w:w w:val="110"/>
        </w:rPr>
        <w:t> </w:t>
      </w:r>
      <w:r>
        <w:rPr>
          <w:color w:val="231F1F"/>
          <w:spacing w:val="-2"/>
          <w:w w:val="110"/>
        </w:rPr>
        <w:t>se</w:t>
      </w:r>
      <w:r>
        <w:rPr>
          <w:color w:val="231F1F"/>
          <w:spacing w:val="-8"/>
          <w:w w:val="110"/>
        </w:rPr>
        <w:t> </w:t>
      </w:r>
      <w:r>
        <w:rPr>
          <w:color w:val="231F1F"/>
          <w:spacing w:val="-2"/>
          <w:w w:val="110"/>
        </w:rPr>
        <w:t>suelten.</w:t>
      </w:r>
      <w:r>
        <w:rPr>
          <w:color w:val="231F1F"/>
          <w:spacing w:val="-9"/>
          <w:w w:val="110"/>
        </w:rPr>
        <w:t> </w:t>
      </w:r>
      <w:r>
        <w:rPr>
          <w:color w:val="231F1F"/>
          <w:spacing w:val="-2"/>
          <w:w w:val="110"/>
        </w:rPr>
        <w:t>Durante</w:t>
      </w:r>
      <w:r>
        <w:rPr>
          <w:color w:val="231F1F"/>
          <w:spacing w:val="-8"/>
          <w:w w:val="110"/>
        </w:rPr>
        <w:t> </w:t>
      </w:r>
      <w:r>
        <w:rPr>
          <w:color w:val="231F1F"/>
          <w:spacing w:val="-2"/>
          <w:w w:val="110"/>
        </w:rPr>
        <w:t>más</w:t>
      </w:r>
      <w:r>
        <w:rPr>
          <w:color w:val="231F1F"/>
          <w:spacing w:val="-8"/>
          <w:w w:val="110"/>
        </w:rPr>
        <w:t> </w:t>
      </w:r>
      <w:r>
        <w:rPr>
          <w:color w:val="231F1F"/>
          <w:spacing w:val="-2"/>
          <w:w w:val="110"/>
        </w:rPr>
        <w:t>de</w:t>
      </w:r>
      <w:r>
        <w:rPr>
          <w:color w:val="231F1F"/>
          <w:spacing w:val="-8"/>
          <w:w w:val="110"/>
        </w:rPr>
        <w:t> </w:t>
      </w:r>
      <w:r>
        <w:rPr>
          <w:color w:val="231F1F"/>
          <w:spacing w:val="-2"/>
          <w:w w:val="110"/>
        </w:rPr>
        <w:t>70</w:t>
      </w:r>
      <w:r>
        <w:rPr>
          <w:color w:val="231F1F"/>
          <w:spacing w:val="-8"/>
          <w:w w:val="110"/>
        </w:rPr>
        <w:t> </w:t>
      </w:r>
      <w:r>
        <w:rPr>
          <w:color w:val="231F1F"/>
          <w:spacing w:val="-2"/>
          <w:w w:val="110"/>
        </w:rPr>
        <w:t>años,</w:t>
      </w:r>
      <w:r>
        <w:rPr>
          <w:color w:val="231F1F"/>
          <w:spacing w:val="-8"/>
          <w:w w:val="110"/>
        </w:rPr>
        <w:t> </w:t>
      </w:r>
      <w:r>
        <w:rPr>
          <w:color w:val="231F1F"/>
          <w:spacing w:val="-2"/>
          <w:w w:val="110"/>
        </w:rPr>
        <w:t>los </w:t>
      </w:r>
      <w:r>
        <w:rPr>
          <w:color w:val="231F1F"/>
          <w:w w:val="110"/>
        </w:rPr>
        <w:t>investigadores</w:t>
      </w:r>
      <w:r>
        <w:rPr>
          <w:color w:val="231F1F"/>
          <w:spacing w:val="-4"/>
          <w:w w:val="110"/>
        </w:rPr>
        <w:t> </w:t>
      </w:r>
      <w:r>
        <w:rPr>
          <w:color w:val="231F1F"/>
          <w:w w:val="110"/>
        </w:rPr>
        <w:t>han</w:t>
      </w:r>
      <w:r>
        <w:rPr>
          <w:color w:val="231F1F"/>
          <w:spacing w:val="-3"/>
          <w:w w:val="110"/>
        </w:rPr>
        <w:t> </w:t>
      </w:r>
      <w:r>
        <w:rPr>
          <w:color w:val="231F1F"/>
          <w:w w:val="110"/>
        </w:rPr>
        <w:t>sugerido</w:t>
      </w:r>
      <w:r>
        <w:rPr>
          <w:color w:val="231F1F"/>
          <w:spacing w:val="-3"/>
          <w:w w:val="110"/>
        </w:rPr>
        <w:t> </w:t>
      </w:r>
      <w:r>
        <w:rPr>
          <w:color w:val="231F1F"/>
          <w:w w:val="110"/>
        </w:rPr>
        <w:t>que</w:t>
      </w:r>
      <w:r>
        <w:rPr>
          <w:color w:val="231F1F"/>
          <w:spacing w:val="-3"/>
          <w:w w:val="110"/>
        </w:rPr>
        <w:t> </w:t>
      </w:r>
      <w:r>
        <w:rPr>
          <w:color w:val="231F1F"/>
          <w:w w:val="110"/>
        </w:rPr>
        <w:t>el</w:t>
      </w:r>
      <w:r>
        <w:rPr>
          <w:color w:val="231F1F"/>
          <w:spacing w:val="-3"/>
          <w:w w:val="110"/>
        </w:rPr>
        <w:t> </w:t>
      </w:r>
      <w:r>
        <w:rPr>
          <w:color w:val="231F1F"/>
          <w:w w:val="110"/>
        </w:rPr>
        <w:t>«método</w:t>
      </w:r>
      <w:r>
        <w:rPr>
          <w:color w:val="231F1F"/>
          <w:spacing w:val="-3"/>
          <w:w w:val="110"/>
        </w:rPr>
        <w:t> </w:t>
      </w:r>
      <w:r>
        <w:rPr>
          <w:color w:val="231F1F"/>
          <w:w w:val="110"/>
        </w:rPr>
        <w:t>sutura</w:t>
      </w:r>
      <w:r>
        <w:rPr>
          <w:color w:val="231F1F"/>
          <w:spacing w:val="-3"/>
          <w:w w:val="110"/>
        </w:rPr>
        <w:t> </w:t>
      </w:r>
      <w:r>
        <w:rPr>
          <w:color w:val="231F1F"/>
          <w:w w:val="110"/>
        </w:rPr>
        <w:t>continua</w:t>
      </w:r>
      <w:r>
        <w:rPr>
          <w:color w:val="231F1F"/>
          <w:spacing w:val="-3"/>
          <w:w w:val="110"/>
        </w:rPr>
        <w:t> </w:t>
      </w:r>
      <w:r>
        <w:rPr>
          <w:color w:val="231F1F"/>
          <w:w w:val="110"/>
        </w:rPr>
        <w:t>sin</w:t>
      </w:r>
      <w:r>
        <w:rPr>
          <w:color w:val="231F1F"/>
          <w:spacing w:val="-3"/>
          <w:w w:val="110"/>
        </w:rPr>
        <w:t> </w:t>
      </w:r>
      <w:r>
        <w:rPr>
          <w:color w:val="231F1F"/>
          <w:w w:val="110"/>
        </w:rPr>
        <w:t>cierre»</w:t>
      </w:r>
      <w:r>
        <w:rPr>
          <w:color w:val="231F1F"/>
          <w:spacing w:val="-3"/>
          <w:w w:val="110"/>
        </w:rPr>
        <w:t> </w:t>
      </w:r>
      <w:r>
        <w:rPr>
          <w:color w:val="231F1F"/>
          <w:w w:val="110"/>
        </w:rPr>
        <w:t>es</w:t>
      </w:r>
      <w:r>
        <w:rPr>
          <w:color w:val="231F1F"/>
          <w:spacing w:val="-3"/>
          <w:w w:val="110"/>
        </w:rPr>
        <w:t> </w:t>
      </w:r>
      <w:r>
        <w:rPr>
          <w:color w:val="231F1F"/>
          <w:w w:val="110"/>
        </w:rPr>
        <w:t>mejor</w:t>
      </w:r>
      <w:r>
        <w:rPr>
          <w:color w:val="231F1F"/>
          <w:spacing w:val="-3"/>
          <w:w w:val="110"/>
        </w:rPr>
        <w:t> </w:t>
      </w:r>
      <w:r>
        <w:rPr>
          <w:color w:val="231F1F"/>
          <w:w w:val="110"/>
        </w:rPr>
        <w:t>que</w:t>
      </w:r>
      <w:r>
        <w:rPr>
          <w:color w:val="231F1F"/>
          <w:spacing w:val="-3"/>
          <w:w w:val="110"/>
        </w:rPr>
        <w:t> </w:t>
      </w:r>
      <w:r>
        <w:rPr>
          <w:color w:val="231F1F"/>
          <w:w w:val="110"/>
        </w:rPr>
        <w:t>los</w:t>
      </w:r>
    </w:p>
    <w:p>
      <w:pPr>
        <w:pStyle w:val="BodyText"/>
        <w:spacing w:before="4"/>
        <w:ind w:left="281"/>
        <w:jc w:val="both"/>
      </w:pPr>
      <w:r>
        <w:rPr>
          <w:color w:val="231F1F"/>
        </w:rPr>
        <w:t>«métodos</w:t>
      </w:r>
      <w:r>
        <w:rPr>
          <w:color w:val="231F1F"/>
          <w:spacing w:val="67"/>
        </w:rPr>
        <w:t> </w:t>
      </w:r>
      <w:r>
        <w:rPr>
          <w:color w:val="231F1F"/>
        </w:rPr>
        <w:t>interrumpidos</w:t>
      </w:r>
      <w:r>
        <w:rPr>
          <w:color w:val="231F1F"/>
          <w:spacing w:val="71"/>
        </w:rPr>
        <w:t> </w:t>
      </w:r>
      <w:r>
        <w:rPr>
          <w:color w:val="231F1F"/>
          <w:spacing w:val="-2"/>
        </w:rPr>
        <w:t>tradicionales».</w:t>
      </w:r>
    </w:p>
    <w:p>
      <w:pPr>
        <w:pStyle w:val="BodyText"/>
        <w:spacing w:before="105"/>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4" w:lineRule="auto" w:before="209"/>
        <w:ind w:left="287" w:right="112"/>
      </w:pPr>
      <w:r>
        <w:rPr>
          <w:color w:val="231F1F"/>
          <w:w w:val="105"/>
        </w:rPr>
        <w:t>La guía NICE (10) evalúa la «reparación perineal» abarcando el abordaje, la analgesia,</w:t>
      </w:r>
      <w:r>
        <w:rPr>
          <w:color w:val="231F1F"/>
          <w:spacing w:val="-15"/>
          <w:w w:val="105"/>
        </w:rPr>
        <w:t> </w:t>
      </w:r>
      <w:r>
        <w:rPr>
          <w:color w:val="231F1F"/>
          <w:w w:val="105"/>
        </w:rPr>
        <w:t>el</w:t>
      </w:r>
      <w:r>
        <w:rPr>
          <w:color w:val="231F1F"/>
          <w:spacing w:val="-14"/>
          <w:w w:val="105"/>
        </w:rPr>
        <w:t> </w:t>
      </w:r>
      <w:r>
        <w:rPr>
          <w:color w:val="231F1F"/>
          <w:w w:val="105"/>
        </w:rPr>
        <w:t>método</w:t>
      </w:r>
      <w:r>
        <w:rPr>
          <w:color w:val="231F1F"/>
          <w:spacing w:val="-15"/>
          <w:w w:val="105"/>
        </w:rPr>
        <w:t> </w:t>
      </w:r>
      <w:r>
        <w:rPr>
          <w:color w:val="231F1F"/>
          <w:w w:val="105"/>
        </w:rPr>
        <w:t>y</w:t>
      </w:r>
      <w:r>
        <w:rPr>
          <w:color w:val="231F1F"/>
          <w:spacing w:val="-14"/>
          <w:w w:val="105"/>
        </w:rPr>
        <w:t> </w:t>
      </w:r>
      <w:r>
        <w:rPr>
          <w:color w:val="231F1F"/>
          <w:w w:val="105"/>
        </w:rPr>
        <w:t>el</w:t>
      </w:r>
      <w:r>
        <w:rPr>
          <w:color w:val="231F1F"/>
          <w:spacing w:val="-15"/>
          <w:w w:val="105"/>
        </w:rPr>
        <w:t> </w:t>
      </w:r>
      <w:r>
        <w:rPr>
          <w:color w:val="231F1F"/>
          <w:w w:val="105"/>
        </w:rPr>
        <w:t>material</w:t>
      </w:r>
      <w:r>
        <w:rPr>
          <w:color w:val="231F1F"/>
          <w:spacing w:val="-14"/>
          <w:w w:val="105"/>
        </w:rPr>
        <w:t> </w:t>
      </w:r>
      <w:r>
        <w:rPr>
          <w:color w:val="231F1F"/>
          <w:w w:val="105"/>
        </w:rPr>
        <w:t>de</w:t>
      </w:r>
      <w:r>
        <w:rPr>
          <w:color w:val="231F1F"/>
          <w:spacing w:val="-15"/>
          <w:w w:val="105"/>
        </w:rPr>
        <w:t> </w:t>
      </w:r>
      <w:r>
        <w:rPr>
          <w:color w:val="231F1F"/>
          <w:w w:val="105"/>
        </w:rPr>
        <w:t>sutura</w:t>
      </w:r>
      <w:r>
        <w:rPr>
          <w:color w:val="231F1F"/>
          <w:spacing w:val="-14"/>
          <w:w w:val="105"/>
        </w:rPr>
        <w:t> </w:t>
      </w:r>
      <w:r>
        <w:rPr>
          <w:color w:val="231F1F"/>
          <w:w w:val="105"/>
        </w:rPr>
        <w:t>empleado</w:t>
      </w:r>
      <w:r>
        <w:rPr>
          <w:color w:val="231F1F"/>
          <w:spacing w:val="-14"/>
          <w:w w:val="105"/>
        </w:rPr>
        <w:t> </w:t>
      </w:r>
      <w:r>
        <w:rPr>
          <w:color w:val="231F1F"/>
          <w:w w:val="105"/>
        </w:rPr>
        <w:t>en</w:t>
      </w:r>
      <w:r>
        <w:rPr>
          <w:color w:val="231F1F"/>
          <w:spacing w:val="-15"/>
          <w:w w:val="105"/>
        </w:rPr>
        <w:t> </w:t>
      </w:r>
      <w:r>
        <w:rPr>
          <w:color w:val="231F1F"/>
          <w:w w:val="105"/>
        </w:rPr>
        <w:t>la</w:t>
      </w:r>
      <w:r>
        <w:rPr>
          <w:color w:val="231F1F"/>
          <w:spacing w:val="-14"/>
          <w:w w:val="105"/>
        </w:rPr>
        <w:t> </w:t>
      </w:r>
      <w:r>
        <w:rPr>
          <w:color w:val="231F1F"/>
          <w:w w:val="105"/>
        </w:rPr>
        <w:t>reparación</w:t>
      </w:r>
      <w:r>
        <w:rPr>
          <w:color w:val="231F1F"/>
          <w:spacing w:val="-15"/>
          <w:w w:val="105"/>
        </w:rPr>
        <w:t> </w:t>
      </w:r>
      <w:r>
        <w:rPr>
          <w:color w:val="231F1F"/>
          <w:w w:val="105"/>
        </w:rPr>
        <w:t>perineal.</w:t>
      </w:r>
    </w:p>
    <w:p>
      <w:pPr>
        <w:pStyle w:val="BodyText"/>
        <w:spacing w:line="249" w:lineRule="auto" w:before="150"/>
        <w:ind w:left="287" w:right="39" w:firstLine="453"/>
        <w:jc w:val="both"/>
      </w:pPr>
      <w:r>
        <w:rPr>
          <w:color w:val="231F1F"/>
          <w:w w:val="105"/>
        </w:rPr>
        <w:t>Para el </w:t>
      </w:r>
      <w:r>
        <w:rPr>
          <w:b/>
          <w:color w:val="231F1F"/>
          <w:w w:val="105"/>
        </w:rPr>
        <w:t>abordaje de la reparación</w:t>
      </w:r>
      <w:r>
        <w:rPr>
          <w:color w:val="231F1F"/>
          <w:w w:val="105"/>
        </w:rPr>
        <w:t>, la guía NICE (10) encuentra dos es- tudios. El primero es un ECA (158) con un NE=1+ en el que se compara la realización de sutura en los desgarros de primero o segundo grado frente a no realizar</w:t>
      </w:r>
      <w:r>
        <w:rPr>
          <w:color w:val="231F1F"/>
          <w:w w:val="105"/>
        </w:rPr>
        <w:t> sutura.</w:t>
      </w:r>
      <w:r>
        <w:rPr>
          <w:color w:val="231F1F"/>
          <w:w w:val="105"/>
        </w:rPr>
        <w:t> El</w:t>
      </w:r>
      <w:r>
        <w:rPr>
          <w:color w:val="231F1F"/>
          <w:w w:val="105"/>
        </w:rPr>
        <w:t> segundo</w:t>
      </w:r>
      <w:r>
        <w:rPr>
          <w:color w:val="231F1F"/>
          <w:w w:val="105"/>
        </w:rPr>
        <w:t> artículo</w:t>
      </w:r>
      <w:r>
        <w:rPr>
          <w:color w:val="231F1F"/>
          <w:w w:val="105"/>
        </w:rPr>
        <w:t> incluido</w:t>
      </w:r>
      <w:r>
        <w:rPr>
          <w:color w:val="231F1F"/>
          <w:w w:val="105"/>
        </w:rPr>
        <w:t> es</w:t>
      </w:r>
      <w:r>
        <w:rPr>
          <w:color w:val="231F1F"/>
          <w:w w:val="105"/>
        </w:rPr>
        <w:t> un</w:t>
      </w:r>
      <w:r>
        <w:rPr>
          <w:color w:val="231F1F"/>
          <w:w w:val="105"/>
        </w:rPr>
        <w:t> estudio</w:t>
      </w:r>
      <w:r>
        <w:rPr>
          <w:color w:val="231F1F"/>
          <w:w w:val="105"/>
        </w:rPr>
        <w:t> cualitativo</w:t>
      </w:r>
      <w:r>
        <w:rPr>
          <w:color w:val="231F1F"/>
          <w:w w:val="105"/>
        </w:rPr>
        <w:t> (159), basado</w:t>
      </w:r>
      <w:r>
        <w:rPr>
          <w:color w:val="231F1F"/>
          <w:w w:val="105"/>
        </w:rPr>
        <w:t> en</w:t>
      </w:r>
      <w:r>
        <w:rPr>
          <w:color w:val="231F1F"/>
          <w:w w:val="105"/>
        </w:rPr>
        <w:t> entrevistas</w:t>
      </w:r>
      <w:r>
        <w:rPr>
          <w:color w:val="231F1F"/>
          <w:w w:val="105"/>
        </w:rPr>
        <w:t> no</w:t>
      </w:r>
      <w:r>
        <w:rPr>
          <w:color w:val="231F1F"/>
          <w:w w:val="105"/>
        </w:rPr>
        <w:t> estructuradas</w:t>
      </w:r>
      <w:r>
        <w:rPr>
          <w:color w:val="231F1F"/>
          <w:w w:val="105"/>
        </w:rPr>
        <w:t> y</w:t>
      </w:r>
      <w:r>
        <w:rPr>
          <w:color w:val="231F1F"/>
          <w:w w:val="105"/>
        </w:rPr>
        <w:t> con</w:t>
      </w:r>
      <w:r>
        <w:rPr>
          <w:color w:val="231F1F"/>
          <w:w w:val="105"/>
        </w:rPr>
        <w:t> un</w:t>
      </w:r>
      <w:r>
        <w:rPr>
          <w:color w:val="231F1F"/>
          <w:w w:val="105"/>
        </w:rPr>
        <w:t> NE=3,</w:t>
      </w:r>
      <w:r>
        <w:rPr>
          <w:color w:val="231F1F"/>
          <w:w w:val="105"/>
        </w:rPr>
        <w:t> que</w:t>
      </w:r>
      <w:r>
        <w:rPr>
          <w:color w:val="231F1F"/>
          <w:w w:val="105"/>
        </w:rPr>
        <w:t> analiza</w:t>
      </w:r>
      <w:r>
        <w:rPr>
          <w:color w:val="231F1F"/>
          <w:w w:val="105"/>
        </w:rPr>
        <w:t> la</w:t>
      </w:r>
      <w:r>
        <w:rPr>
          <w:color w:val="231F1F"/>
          <w:w w:val="105"/>
        </w:rPr>
        <w:t> expe- riencia</w:t>
      </w:r>
      <w:r>
        <w:rPr>
          <w:color w:val="231F1F"/>
          <w:w w:val="105"/>
        </w:rPr>
        <w:t> de</w:t>
      </w:r>
      <w:r>
        <w:rPr>
          <w:color w:val="231F1F"/>
          <w:w w:val="105"/>
        </w:rPr>
        <w:t> la</w:t>
      </w:r>
      <w:r>
        <w:rPr>
          <w:color w:val="231F1F"/>
          <w:w w:val="105"/>
        </w:rPr>
        <w:t> mujer</w:t>
      </w:r>
      <w:r>
        <w:rPr>
          <w:color w:val="231F1F"/>
          <w:w w:val="105"/>
        </w:rPr>
        <w:t> con</w:t>
      </w:r>
      <w:r>
        <w:rPr>
          <w:color w:val="231F1F"/>
          <w:w w:val="105"/>
        </w:rPr>
        <w:t> la</w:t>
      </w:r>
      <w:r>
        <w:rPr>
          <w:color w:val="231F1F"/>
          <w:w w:val="105"/>
        </w:rPr>
        <w:t> reparación</w:t>
      </w:r>
      <w:r>
        <w:rPr>
          <w:color w:val="231F1F"/>
          <w:w w:val="105"/>
        </w:rPr>
        <w:t> perineal,</w:t>
      </w:r>
      <w:r>
        <w:rPr>
          <w:color w:val="231F1F"/>
          <w:w w:val="105"/>
        </w:rPr>
        <w:t> tanto</w:t>
      </w:r>
      <w:r>
        <w:rPr>
          <w:color w:val="231F1F"/>
          <w:w w:val="105"/>
        </w:rPr>
        <w:t> durante</w:t>
      </w:r>
      <w:r>
        <w:rPr>
          <w:color w:val="231F1F"/>
          <w:w w:val="105"/>
        </w:rPr>
        <w:t> su</w:t>
      </w:r>
      <w:r>
        <w:rPr>
          <w:color w:val="231F1F"/>
          <w:w w:val="105"/>
        </w:rPr>
        <w:t> reparación como en el momento inmediatamente posterior.</w:t>
      </w:r>
    </w:p>
    <w:p>
      <w:pPr>
        <w:pStyle w:val="BodyText"/>
        <w:spacing w:line="244" w:lineRule="auto" w:before="184"/>
        <w:ind w:left="287" w:right="86" w:firstLine="453"/>
        <w:jc w:val="both"/>
      </w:pPr>
      <w:r>
        <w:rPr>
          <w:color w:val="231F1F"/>
          <w:w w:val="105"/>
        </w:rPr>
        <w:t>En</w:t>
      </w:r>
      <w:r>
        <w:rPr>
          <w:color w:val="231F1F"/>
          <w:spacing w:val="-2"/>
          <w:w w:val="105"/>
        </w:rPr>
        <w:t> </w:t>
      </w:r>
      <w:r>
        <w:rPr>
          <w:color w:val="231F1F"/>
          <w:w w:val="105"/>
        </w:rPr>
        <w:t>el</w:t>
      </w:r>
      <w:r>
        <w:rPr>
          <w:color w:val="231F1F"/>
          <w:spacing w:val="-2"/>
          <w:w w:val="105"/>
        </w:rPr>
        <w:t> </w:t>
      </w:r>
      <w:r>
        <w:rPr>
          <w:color w:val="231F1F"/>
          <w:w w:val="105"/>
        </w:rPr>
        <w:t>primer</w:t>
      </w:r>
      <w:r>
        <w:rPr>
          <w:color w:val="231F1F"/>
          <w:spacing w:val="-2"/>
          <w:w w:val="105"/>
        </w:rPr>
        <w:t> </w:t>
      </w:r>
      <w:r>
        <w:rPr>
          <w:color w:val="231F1F"/>
          <w:w w:val="105"/>
        </w:rPr>
        <w:t>ECA</w:t>
      </w:r>
      <w:r>
        <w:rPr>
          <w:color w:val="231F1F"/>
          <w:spacing w:val="-2"/>
          <w:w w:val="105"/>
        </w:rPr>
        <w:t> </w:t>
      </w:r>
      <w:r>
        <w:rPr>
          <w:color w:val="231F1F"/>
          <w:w w:val="105"/>
        </w:rPr>
        <w:t>(158)</w:t>
      </w:r>
      <w:r>
        <w:rPr>
          <w:color w:val="231F1F"/>
          <w:spacing w:val="-2"/>
          <w:w w:val="105"/>
        </w:rPr>
        <w:t> </w:t>
      </w:r>
      <w:r>
        <w:rPr>
          <w:color w:val="231F1F"/>
          <w:w w:val="105"/>
        </w:rPr>
        <w:t>se</w:t>
      </w:r>
      <w:r>
        <w:rPr>
          <w:color w:val="231F1F"/>
          <w:spacing w:val="-2"/>
          <w:w w:val="105"/>
        </w:rPr>
        <w:t> </w:t>
      </w:r>
      <w:r>
        <w:rPr>
          <w:color w:val="231F1F"/>
          <w:w w:val="105"/>
        </w:rPr>
        <w:t>incluyó</w:t>
      </w:r>
      <w:r>
        <w:rPr>
          <w:color w:val="231F1F"/>
          <w:spacing w:val="-2"/>
          <w:w w:val="105"/>
        </w:rPr>
        <w:t> </w:t>
      </w:r>
      <w:r>
        <w:rPr>
          <w:color w:val="231F1F"/>
          <w:w w:val="105"/>
        </w:rPr>
        <w:t>a</w:t>
      </w:r>
      <w:r>
        <w:rPr>
          <w:color w:val="231F1F"/>
          <w:spacing w:val="-2"/>
          <w:w w:val="105"/>
        </w:rPr>
        <w:t> </w:t>
      </w:r>
      <w:r>
        <w:rPr>
          <w:color w:val="231F1F"/>
          <w:w w:val="105"/>
        </w:rPr>
        <w:t>33</w:t>
      </w:r>
      <w:r>
        <w:rPr>
          <w:color w:val="231F1F"/>
          <w:spacing w:val="-2"/>
          <w:w w:val="105"/>
        </w:rPr>
        <w:t> </w:t>
      </w:r>
      <w:r>
        <w:rPr>
          <w:color w:val="231F1F"/>
          <w:w w:val="105"/>
        </w:rPr>
        <w:t>mujeres</w:t>
      </w:r>
      <w:r>
        <w:rPr>
          <w:color w:val="231F1F"/>
          <w:spacing w:val="-2"/>
          <w:w w:val="105"/>
        </w:rPr>
        <w:t> </w:t>
      </w:r>
      <w:r>
        <w:rPr>
          <w:color w:val="231F1F"/>
          <w:w w:val="105"/>
        </w:rPr>
        <w:t>nulíparas</w:t>
      </w:r>
      <w:r>
        <w:rPr>
          <w:color w:val="231F1F"/>
          <w:spacing w:val="-2"/>
          <w:w w:val="105"/>
        </w:rPr>
        <w:t> </w:t>
      </w:r>
      <w:r>
        <w:rPr>
          <w:color w:val="231F1F"/>
          <w:w w:val="105"/>
        </w:rPr>
        <w:t>en</w:t>
      </w:r>
      <w:r>
        <w:rPr>
          <w:color w:val="231F1F"/>
          <w:spacing w:val="-2"/>
          <w:w w:val="105"/>
        </w:rPr>
        <w:t> </w:t>
      </w:r>
      <w:r>
        <w:rPr>
          <w:color w:val="231F1F"/>
          <w:w w:val="105"/>
        </w:rPr>
        <w:t>el</w:t>
      </w:r>
      <w:r>
        <w:rPr>
          <w:color w:val="231F1F"/>
          <w:spacing w:val="-2"/>
          <w:w w:val="105"/>
        </w:rPr>
        <w:t> </w:t>
      </w:r>
      <w:r>
        <w:rPr>
          <w:color w:val="231F1F"/>
          <w:w w:val="105"/>
        </w:rPr>
        <w:t>grupo</w:t>
      </w:r>
      <w:r>
        <w:rPr>
          <w:color w:val="231F1F"/>
          <w:spacing w:val="-2"/>
          <w:w w:val="105"/>
        </w:rPr>
        <w:t> </w:t>
      </w:r>
      <w:r>
        <w:rPr>
          <w:color w:val="231F1F"/>
          <w:w w:val="105"/>
        </w:rPr>
        <w:t>de sutura</w:t>
      </w:r>
      <w:r>
        <w:rPr>
          <w:color w:val="231F1F"/>
          <w:spacing w:val="40"/>
          <w:w w:val="105"/>
        </w:rPr>
        <w:t> </w:t>
      </w:r>
      <w:r>
        <w:rPr>
          <w:color w:val="231F1F"/>
          <w:w w:val="105"/>
        </w:rPr>
        <w:t>subcutánea</w:t>
      </w:r>
      <w:r>
        <w:rPr>
          <w:color w:val="231F1F"/>
          <w:spacing w:val="40"/>
          <w:w w:val="105"/>
        </w:rPr>
        <w:t> </w:t>
      </w:r>
      <w:r>
        <w:rPr>
          <w:color w:val="231F1F"/>
          <w:w w:val="105"/>
        </w:rPr>
        <w:t>continua</w:t>
      </w:r>
      <w:r>
        <w:rPr>
          <w:color w:val="231F1F"/>
          <w:spacing w:val="40"/>
          <w:w w:val="105"/>
        </w:rPr>
        <w:t> </w:t>
      </w:r>
      <w:r>
        <w:rPr>
          <w:color w:val="231F1F"/>
          <w:w w:val="105"/>
        </w:rPr>
        <w:t>y</w:t>
      </w:r>
      <w:r>
        <w:rPr>
          <w:color w:val="231F1F"/>
          <w:spacing w:val="40"/>
          <w:w w:val="105"/>
        </w:rPr>
        <w:t> </w:t>
      </w:r>
      <w:r>
        <w:rPr>
          <w:color w:val="231F1F"/>
          <w:w w:val="105"/>
        </w:rPr>
        <w:t>a</w:t>
      </w:r>
      <w:r>
        <w:rPr>
          <w:color w:val="231F1F"/>
          <w:spacing w:val="40"/>
          <w:w w:val="105"/>
        </w:rPr>
        <w:t> </w:t>
      </w:r>
      <w:r>
        <w:rPr>
          <w:color w:val="231F1F"/>
          <w:w w:val="105"/>
        </w:rPr>
        <w:t>41</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grupo</w:t>
      </w:r>
      <w:r>
        <w:rPr>
          <w:color w:val="231F1F"/>
          <w:spacing w:val="40"/>
          <w:w w:val="105"/>
        </w:rPr>
        <w:t> </w:t>
      </w:r>
      <w:r>
        <w:rPr>
          <w:color w:val="231F1F"/>
          <w:w w:val="105"/>
        </w:rPr>
        <w:t>sin</w:t>
      </w:r>
      <w:r>
        <w:rPr>
          <w:color w:val="231F1F"/>
          <w:spacing w:val="40"/>
          <w:w w:val="105"/>
        </w:rPr>
        <w:t> </w:t>
      </w:r>
      <w:r>
        <w:rPr>
          <w:color w:val="231F1F"/>
          <w:w w:val="105"/>
        </w:rPr>
        <w:t>sutura.</w:t>
      </w:r>
    </w:p>
    <w:p>
      <w:pPr>
        <w:pStyle w:val="BodyText"/>
        <w:spacing w:line="256" w:lineRule="auto" w:before="108"/>
        <w:ind w:left="288" w:right="38" w:firstLine="453"/>
        <w:jc w:val="both"/>
      </w:pPr>
      <w:r>
        <w:rPr>
          <w:color w:val="231F1F"/>
          <w:w w:val="110"/>
        </w:rPr>
        <w:t>Los</w:t>
      </w:r>
      <w:r>
        <w:rPr>
          <w:color w:val="231F1F"/>
          <w:spacing w:val="-3"/>
          <w:w w:val="110"/>
        </w:rPr>
        <w:t> </w:t>
      </w:r>
      <w:r>
        <w:rPr>
          <w:color w:val="231F1F"/>
          <w:w w:val="110"/>
        </w:rPr>
        <w:t>resultados</w:t>
      </w:r>
      <w:r>
        <w:rPr>
          <w:color w:val="231F1F"/>
          <w:spacing w:val="-2"/>
          <w:w w:val="110"/>
        </w:rPr>
        <w:t> </w:t>
      </w:r>
      <w:r>
        <w:rPr>
          <w:color w:val="231F1F"/>
          <w:w w:val="110"/>
        </w:rPr>
        <w:t>evaluados</w:t>
      </w:r>
      <w:r>
        <w:rPr>
          <w:color w:val="231F1F"/>
          <w:spacing w:val="-2"/>
          <w:w w:val="110"/>
        </w:rPr>
        <w:t> </w:t>
      </w:r>
      <w:r>
        <w:rPr>
          <w:color w:val="231F1F"/>
          <w:w w:val="110"/>
        </w:rPr>
        <w:t>no</w:t>
      </w:r>
      <w:r>
        <w:rPr>
          <w:color w:val="231F1F"/>
          <w:spacing w:val="-3"/>
          <w:w w:val="110"/>
        </w:rPr>
        <w:t> </w:t>
      </w:r>
      <w:r>
        <w:rPr>
          <w:color w:val="231F1F"/>
          <w:w w:val="110"/>
        </w:rPr>
        <w:t>mostraron</w:t>
      </w:r>
      <w:r>
        <w:rPr>
          <w:color w:val="231F1F"/>
          <w:spacing w:val="-2"/>
          <w:w w:val="110"/>
        </w:rPr>
        <w:t> </w:t>
      </w:r>
      <w:r>
        <w:rPr>
          <w:color w:val="231F1F"/>
          <w:w w:val="110"/>
        </w:rPr>
        <w:t>diferencias</w:t>
      </w:r>
      <w:r>
        <w:rPr>
          <w:color w:val="231F1F"/>
          <w:spacing w:val="-4"/>
          <w:w w:val="110"/>
        </w:rPr>
        <w:t> </w:t>
      </w:r>
      <w:r>
        <w:rPr>
          <w:color w:val="231F1F"/>
          <w:w w:val="110"/>
        </w:rPr>
        <w:t>entre</w:t>
      </w:r>
      <w:r>
        <w:rPr>
          <w:color w:val="231F1F"/>
          <w:spacing w:val="-3"/>
          <w:w w:val="110"/>
        </w:rPr>
        <w:t> </w:t>
      </w:r>
      <w:r>
        <w:rPr>
          <w:color w:val="231F1F"/>
          <w:w w:val="110"/>
        </w:rPr>
        <w:t>los</w:t>
      </w:r>
      <w:r>
        <w:rPr>
          <w:color w:val="231F1F"/>
          <w:spacing w:val="-3"/>
          <w:w w:val="110"/>
        </w:rPr>
        <w:t> </w:t>
      </w:r>
      <w:r>
        <w:rPr>
          <w:color w:val="231F1F"/>
          <w:w w:val="110"/>
        </w:rPr>
        <w:t>grupos</w:t>
      </w:r>
      <w:r>
        <w:rPr>
          <w:color w:val="231F1F"/>
          <w:spacing w:val="-3"/>
          <w:w w:val="110"/>
        </w:rPr>
        <w:t> </w:t>
      </w:r>
      <w:r>
        <w:rPr>
          <w:color w:val="231F1F"/>
          <w:w w:val="110"/>
        </w:rPr>
        <w:t>en relación</w:t>
      </w:r>
      <w:r>
        <w:rPr>
          <w:color w:val="231F1F"/>
          <w:spacing w:val="-12"/>
          <w:w w:val="110"/>
        </w:rPr>
        <w:t> </w:t>
      </w:r>
      <w:r>
        <w:rPr>
          <w:color w:val="231F1F"/>
          <w:w w:val="110"/>
        </w:rPr>
        <w:t>al</w:t>
      </w:r>
      <w:r>
        <w:rPr>
          <w:color w:val="231F1F"/>
          <w:spacing w:val="-13"/>
          <w:w w:val="110"/>
        </w:rPr>
        <w:t> </w:t>
      </w:r>
      <w:r>
        <w:rPr>
          <w:color w:val="231F1F"/>
          <w:w w:val="110"/>
        </w:rPr>
        <w:t>grado</w:t>
      </w:r>
      <w:r>
        <w:rPr>
          <w:color w:val="231F1F"/>
          <w:spacing w:val="-13"/>
          <w:w w:val="110"/>
        </w:rPr>
        <w:t> </w:t>
      </w:r>
      <w:r>
        <w:rPr>
          <w:color w:val="231F1F"/>
          <w:w w:val="110"/>
        </w:rPr>
        <w:t>de</w:t>
      </w:r>
      <w:r>
        <w:rPr>
          <w:color w:val="231F1F"/>
          <w:spacing w:val="-13"/>
          <w:w w:val="110"/>
        </w:rPr>
        <w:t> </w:t>
      </w:r>
      <w:r>
        <w:rPr>
          <w:color w:val="231F1F"/>
          <w:w w:val="110"/>
        </w:rPr>
        <w:t>dolor</w:t>
      </w:r>
      <w:r>
        <w:rPr>
          <w:color w:val="231F1F"/>
          <w:spacing w:val="-13"/>
          <w:w w:val="110"/>
        </w:rPr>
        <w:t> </w:t>
      </w:r>
      <w:r>
        <w:rPr>
          <w:color w:val="231F1F"/>
          <w:w w:val="110"/>
        </w:rPr>
        <w:t>posparto</w:t>
      </w:r>
      <w:r>
        <w:rPr>
          <w:color w:val="231F1F"/>
          <w:spacing w:val="-13"/>
          <w:w w:val="110"/>
        </w:rPr>
        <w:t> </w:t>
      </w:r>
      <w:r>
        <w:rPr>
          <w:color w:val="231F1F"/>
          <w:w w:val="110"/>
        </w:rPr>
        <w:t>medido</w:t>
      </w:r>
      <w:r>
        <w:rPr>
          <w:color w:val="231F1F"/>
          <w:spacing w:val="-13"/>
          <w:w w:val="110"/>
        </w:rPr>
        <w:t> </w:t>
      </w:r>
      <w:r>
        <w:rPr>
          <w:color w:val="231F1F"/>
          <w:w w:val="110"/>
        </w:rPr>
        <w:t>mediante</w:t>
      </w:r>
      <w:r>
        <w:rPr>
          <w:color w:val="231F1F"/>
          <w:spacing w:val="-13"/>
          <w:w w:val="110"/>
        </w:rPr>
        <w:t> </w:t>
      </w:r>
      <w:r>
        <w:rPr>
          <w:color w:val="231F1F"/>
          <w:w w:val="110"/>
        </w:rPr>
        <w:t>el</w:t>
      </w:r>
      <w:r>
        <w:rPr>
          <w:color w:val="231F1F"/>
          <w:spacing w:val="-13"/>
          <w:w w:val="110"/>
        </w:rPr>
        <w:t> </w:t>
      </w:r>
      <w:r>
        <w:rPr>
          <w:color w:val="231F1F"/>
          <w:w w:val="110"/>
        </w:rPr>
        <w:t>cuestionario</w:t>
      </w:r>
      <w:r>
        <w:rPr>
          <w:color w:val="231F1F"/>
          <w:spacing w:val="-12"/>
          <w:w w:val="110"/>
        </w:rPr>
        <w:t> </w:t>
      </w:r>
      <w:r>
        <w:rPr>
          <w:color w:val="231F1F"/>
          <w:w w:val="110"/>
        </w:rPr>
        <w:t>McGill del</w:t>
      </w:r>
      <w:r>
        <w:rPr>
          <w:color w:val="231F1F"/>
          <w:spacing w:val="-13"/>
          <w:w w:val="110"/>
        </w:rPr>
        <w:t> </w:t>
      </w:r>
      <w:r>
        <w:rPr>
          <w:color w:val="231F1F"/>
          <w:w w:val="110"/>
        </w:rPr>
        <w:t>dolor</w:t>
      </w:r>
      <w:r>
        <w:rPr>
          <w:color w:val="231F1F"/>
          <w:spacing w:val="-13"/>
          <w:w w:val="110"/>
        </w:rPr>
        <w:t> </w:t>
      </w:r>
      <w:r>
        <w:rPr>
          <w:color w:val="231F1F"/>
          <w:w w:val="110"/>
        </w:rPr>
        <w:t>y</w:t>
      </w:r>
      <w:r>
        <w:rPr>
          <w:color w:val="231F1F"/>
          <w:spacing w:val="-12"/>
          <w:w w:val="110"/>
        </w:rPr>
        <w:t> </w:t>
      </w:r>
      <w:r>
        <w:rPr>
          <w:color w:val="231F1F"/>
          <w:w w:val="110"/>
        </w:rPr>
        <w:t>la</w:t>
      </w:r>
      <w:r>
        <w:rPr>
          <w:color w:val="231F1F"/>
          <w:spacing w:val="-12"/>
          <w:w w:val="110"/>
        </w:rPr>
        <w:t> </w:t>
      </w:r>
      <w:r>
        <w:rPr>
          <w:color w:val="231F1F"/>
          <w:w w:val="110"/>
        </w:rPr>
        <w:t>VAS.</w:t>
      </w:r>
      <w:r>
        <w:rPr>
          <w:color w:val="231F1F"/>
          <w:spacing w:val="-13"/>
          <w:w w:val="110"/>
        </w:rPr>
        <w:t> </w:t>
      </w:r>
      <w:r>
        <w:rPr>
          <w:color w:val="231F1F"/>
          <w:w w:val="110"/>
        </w:rPr>
        <w:t>Sin</w:t>
      </w:r>
      <w:r>
        <w:rPr>
          <w:color w:val="231F1F"/>
          <w:spacing w:val="-12"/>
          <w:w w:val="110"/>
        </w:rPr>
        <w:t> </w:t>
      </w:r>
      <w:r>
        <w:rPr>
          <w:color w:val="231F1F"/>
          <w:w w:val="110"/>
        </w:rPr>
        <w:t>embargo,</w:t>
      </w:r>
      <w:r>
        <w:rPr>
          <w:color w:val="231F1F"/>
          <w:spacing w:val="-12"/>
          <w:w w:val="110"/>
        </w:rPr>
        <w:t> </w:t>
      </w:r>
      <w:r>
        <w:rPr>
          <w:color w:val="231F1F"/>
          <w:w w:val="110"/>
        </w:rPr>
        <w:t>se</w:t>
      </w:r>
      <w:r>
        <w:rPr>
          <w:color w:val="231F1F"/>
          <w:spacing w:val="-12"/>
          <w:w w:val="110"/>
        </w:rPr>
        <w:t> </w:t>
      </w:r>
      <w:r>
        <w:rPr>
          <w:color w:val="231F1F"/>
          <w:w w:val="110"/>
        </w:rPr>
        <w:t>observó</w:t>
      </w:r>
      <w:r>
        <w:rPr>
          <w:color w:val="231F1F"/>
          <w:spacing w:val="-12"/>
          <w:w w:val="110"/>
        </w:rPr>
        <w:t> </w:t>
      </w:r>
      <w:r>
        <w:rPr>
          <w:color w:val="231F1F"/>
          <w:w w:val="110"/>
        </w:rPr>
        <w:t>una</w:t>
      </w:r>
      <w:r>
        <w:rPr>
          <w:color w:val="231F1F"/>
          <w:spacing w:val="-12"/>
          <w:w w:val="110"/>
        </w:rPr>
        <w:t> </w:t>
      </w:r>
      <w:r>
        <w:rPr>
          <w:color w:val="231F1F"/>
          <w:w w:val="110"/>
        </w:rPr>
        <w:t>mejor</w:t>
      </w:r>
      <w:r>
        <w:rPr>
          <w:color w:val="231F1F"/>
          <w:spacing w:val="-13"/>
          <w:w w:val="110"/>
        </w:rPr>
        <w:t> </w:t>
      </w:r>
      <w:r>
        <w:rPr>
          <w:color w:val="231F1F"/>
          <w:w w:val="110"/>
        </w:rPr>
        <w:t>aproximación</w:t>
      </w:r>
      <w:r>
        <w:rPr>
          <w:color w:val="231F1F"/>
          <w:spacing w:val="-12"/>
          <w:w w:val="110"/>
        </w:rPr>
        <w:t> </w:t>
      </w:r>
      <w:r>
        <w:rPr>
          <w:color w:val="231F1F"/>
          <w:w w:val="110"/>
        </w:rPr>
        <w:t>de</w:t>
      </w:r>
      <w:r>
        <w:rPr>
          <w:color w:val="231F1F"/>
          <w:spacing w:val="-12"/>
          <w:w w:val="110"/>
        </w:rPr>
        <w:t> </w:t>
      </w:r>
      <w:r>
        <w:rPr>
          <w:color w:val="231F1F"/>
          <w:w w:val="110"/>
        </w:rPr>
        <w:t>los bordes de la herida en el grupo de mujeres que reciben sutura en traumas perineales</w:t>
      </w:r>
      <w:r>
        <w:rPr>
          <w:color w:val="231F1F"/>
          <w:spacing w:val="-6"/>
          <w:w w:val="110"/>
        </w:rPr>
        <w:t> </w:t>
      </w:r>
      <w:r>
        <w:rPr>
          <w:color w:val="231F1F"/>
          <w:w w:val="110"/>
        </w:rPr>
        <w:t>de</w:t>
      </w:r>
      <w:r>
        <w:rPr>
          <w:color w:val="231F1F"/>
          <w:spacing w:val="-5"/>
          <w:w w:val="110"/>
        </w:rPr>
        <w:t> </w:t>
      </w:r>
      <w:r>
        <w:rPr>
          <w:color w:val="231F1F"/>
          <w:w w:val="110"/>
        </w:rPr>
        <w:t>primer</w:t>
      </w:r>
      <w:r>
        <w:rPr>
          <w:color w:val="231F1F"/>
          <w:spacing w:val="-5"/>
          <w:w w:val="110"/>
        </w:rPr>
        <w:t> </w:t>
      </w:r>
      <w:r>
        <w:rPr>
          <w:color w:val="231F1F"/>
          <w:w w:val="110"/>
        </w:rPr>
        <w:t>o</w:t>
      </w:r>
      <w:r>
        <w:rPr>
          <w:color w:val="231F1F"/>
          <w:spacing w:val="-5"/>
          <w:w w:val="110"/>
        </w:rPr>
        <w:t> </w:t>
      </w:r>
      <w:r>
        <w:rPr>
          <w:color w:val="231F1F"/>
          <w:w w:val="110"/>
        </w:rPr>
        <w:t>segundo</w:t>
      </w:r>
      <w:r>
        <w:rPr>
          <w:color w:val="231F1F"/>
          <w:spacing w:val="-5"/>
          <w:w w:val="110"/>
        </w:rPr>
        <w:t> </w:t>
      </w:r>
      <w:r>
        <w:rPr>
          <w:color w:val="231F1F"/>
          <w:w w:val="110"/>
        </w:rPr>
        <w:t>grado,</w:t>
      </w:r>
      <w:r>
        <w:rPr>
          <w:color w:val="231F1F"/>
          <w:spacing w:val="-6"/>
          <w:w w:val="110"/>
        </w:rPr>
        <w:t> </w:t>
      </w:r>
      <w:r>
        <w:rPr>
          <w:color w:val="231F1F"/>
          <w:w w:val="110"/>
        </w:rPr>
        <w:t>con</w:t>
      </w:r>
      <w:r>
        <w:rPr>
          <w:color w:val="231F1F"/>
          <w:spacing w:val="-4"/>
          <w:w w:val="110"/>
        </w:rPr>
        <w:t> </w:t>
      </w:r>
      <w:r>
        <w:rPr>
          <w:color w:val="231F1F"/>
          <w:w w:val="110"/>
        </w:rPr>
        <w:t>un</w:t>
      </w:r>
      <w:r>
        <w:rPr>
          <w:color w:val="231F1F"/>
          <w:spacing w:val="-5"/>
          <w:w w:val="110"/>
        </w:rPr>
        <w:t> </w:t>
      </w:r>
      <w:r>
        <w:rPr>
          <w:color w:val="231F1F"/>
          <w:w w:val="110"/>
        </w:rPr>
        <w:t>mayor</w:t>
      </w:r>
      <w:r>
        <w:rPr>
          <w:color w:val="231F1F"/>
          <w:spacing w:val="-5"/>
          <w:w w:val="110"/>
        </w:rPr>
        <w:t> </w:t>
      </w:r>
      <w:r>
        <w:rPr>
          <w:color w:val="231F1F"/>
          <w:w w:val="110"/>
        </w:rPr>
        <w:t>grado</w:t>
      </w:r>
      <w:r>
        <w:rPr>
          <w:color w:val="231F1F"/>
          <w:spacing w:val="-5"/>
          <w:w w:val="110"/>
        </w:rPr>
        <w:t> </w:t>
      </w:r>
      <w:r>
        <w:rPr>
          <w:color w:val="231F1F"/>
          <w:w w:val="110"/>
        </w:rPr>
        <w:t>de</w:t>
      </w:r>
      <w:r>
        <w:rPr>
          <w:color w:val="231F1F"/>
          <w:spacing w:val="-5"/>
          <w:w w:val="110"/>
        </w:rPr>
        <w:t> </w:t>
      </w:r>
      <w:r>
        <w:rPr>
          <w:color w:val="231F1F"/>
          <w:w w:val="110"/>
        </w:rPr>
        <w:t>cicatrización de</w:t>
      </w:r>
      <w:r>
        <w:rPr>
          <w:color w:val="231F1F"/>
          <w:spacing w:val="-5"/>
          <w:w w:val="110"/>
        </w:rPr>
        <w:t> </w:t>
      </w:r>
      <w:r>
        <w:rPr>
          <w:color w:val="231F1F"/>
          <w:w w:val="110"/>
        </w:rPr>
        <w:t>la</w:t>
      </w:r>
      <w:r>
        <w:rPr>
          <w:color w:val="231F1F"/>
          <w:spacing w:val="-5"/>
          <w:w w:val="110"/>
        </w:rPr>
        <w:t> </w:t>
      </w:r>
      <w:r>
        <w:rPr>
          <w:color w:val="231F1F"/>
          <w:w w:val="110"/>
        </w:rPr>
        <w:t>herida</w:t>
      </w:r>
      <w:r>
        <w:rPr>
          <w:color w:val="231F1F"/>
          <w:spacing w:val="-5"/>
          <w:w w:val="110"/>
        </w:rPr>
        <w:t> </w:t>
      </w:r>
      <w:r>
        <w:rPr>
          <w:color w:val="231F1F"/>
          <w:w w:val="110"/>
        </w:rPr>
        <w:t>a</w:t>
      </w:r>
      <w:r>
        <w:rPr>
          <w:color w:val="231F1F"/>
          <w:spacing w:val="-5"/>
          <w:w w:val="110"/>
        </w:rPr>
        <w:t> </w:t>
      </w:r>
      <w:r>
        <w:rPr>
          <w:color w:val="231F1F"/>
          <w:w w:val="110"/>
        </w:rPr>
        <w:t>la</w:t>
      </w:r>
      <w:r>
        <w:rPr>
          <w:color w:val="231F1F"/>
          <w:spacing w:val="-5"/>
          <w:w w:val="110"/>
        </w:rPr>
        <w:t> </w:t>
      </w:r>
      <w:r>
        <w:rPr>
          <w:color w:val="231F1F"/>
          <w:w w:val="110"/>
        </w:rPr>
        <w:t>6ª</w:t>
      </w:r>
      <w:r>
        <w:rPr>
          <w:color w:val="231F1F"/>
          <w:spacing w:val="-6"/>
          <w:w w:val="110"/>
        </w:rPr>
        <w:t> </w:t>
      </w:r>
      <w:r>
        <w:rPr>
          <w:color w:val="231F1F"/>
          <w:w w:val="110"/>
        </w:rPr>
        <w:t>semana</w:t>
      </w:r>
      <w:r>
        <w:rPr>
          <w:color w:val="231F1F"/>
          <w:spacing w:val="-6"/>
          <w:w w:val="110"/>
        </w:rPr>
        <w:t> </w:t>
      </w:r>
      <w:r>
        <w:rPr>
          <w:color w:val="231F1F"/>
          <w:w w:val="110"/>
        </w:rPr>
        <w:t>(diferencia</w:t>
      </w:r>
      <w:r>
        <w:rPr>
          <w:color w:val="231F1F"/>
          <w:spacing w:val="-5"/>
          <w:w w:val="110"/>
        </w:rPr>
        <w:t> </w:t>
      </w:r>
      <w:r>
        <w:rPr>
          <w:color w:val="231F1F"/>
          <w:w w:val="110"/>
        </w:rPr>
        <w:t>de</w:t>
      </w:r>
      <w:r>
        <w:rPr>
          <w:color w:val="231F1F"/>
          <w:spacing w:val="-5"/>
          <w:w w:val="110"/>
        </w:rPr>
        <w:t> </w:t>
      </w:r>
      <w:r>
        <w:rPr>
          <w:color w:val="231F1F"/>
          <w:w w:val="110"/>
        </w:rPr>
        <w:t>medias</w:t>
      </w:r>
      <w:r>
        <w:rPr>
          <w:color w:val="231F1F"/>
          <w:spacing w:val="-5"/>
          <w:w w:val="110"/>
        </w:rPr>
        <w:t> </w:t>
      </w:r>
      <w:r>
        <w:rPr>
          <w:color w:val="231F1F"/>
          <w:w w:val="110"/>
        </w:rPr>
        <w:t>de</w:t>
      </w:r>
      <w:r>
        <w:rPr>
          <w:color w:val="231F1F"/>
          <w:spacing w:val="-5"/>
          <w:w w:val="110"/>
        </w:rPr>
        <w:t> </w:t>
      </w:r>
      <w:r>
        <w:rPr>
          <w:color w:val="231F1F"/>
          <w:w w:val="110"/>
        </w:rPr>
        <w:t>las</w:t>
      </w:r>
      <w:r>
        <w:rPr>
          <w:color w:val="231F1F"/>
          <w:spacing w:val="-5"/>
          <w:w w:val="110"/>
        </w:rPr>
        <w:t> </w:t>
      </w:r>
      <w:r>
        <w:rPr>
          <w:color w:val="231F1F"/>
          <w:w w:val="110"/>
        </w:rPr>
        <w:t>puntuaciones</w:t>
      </w:r>
      <w:r>
        <w:rPr>
          <w:color w:val="231F1F"/>
          <w:spacing w:val="-6"/>
          <w:w w:val="110"/>
        </w:rPr>
        <w:t> </w:t>
      </w:r>
      <w:r>
        <w:rPr>
          <w:color w:val="231F1F"/>
          <w:w w:val="110"/>
        </w:rPr>
        <w:t>de</w:t>
      </w:r>
      <w:r>
        <w:rPr>
          <w:color w:val="231F1F"/>
          <w:spacing w:val="-5"/>
          <w:w w:val="110"/>
        </w:rPr>
        <w:t> </w:t>
      </w:r>
      <w:r>
        <w:rPr>
          <w:color w:val="231F1F"/>
          <w:w w:val="110"/>
        </w:rPr>
        <w:t>es- cala REEDA): 0 [IC 95% −1,0001 a −0,0003], p=0,003.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2"/>
        <w:rPr>
          <w:sz w:val="18"/>
        </w:rPr>
      </w:pPr>
    </w:p>
    <w:p>
      <w:pPr>
        <w:spacing w:line="278" w:lineRule="auto" w:before="0"/>
        <w:ind w:left="365" w:right="513" w:hanging="78"/>
        <w:jc w:val="left"/>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96" w:space="161"/>
            <w:col w:w="1167"/>
          </w:cols>
        </w:sectPr>
      </w:pPr>
    </w:p>
    <w:p>
      <w:pPr>
        <w:pStyle w:val="BodyText"/>
        <w:spacing w:line="247" w:lineRule="auto" w:before="73"/>
        <w:ind w:left="283" w:right="1" w:firstLine="453"/>
        <w:jc w:val="both"/>
      </w:pPr>
      <w:r>
        <w:rPr>
          <w:color w:val="231F1F"/>
          <w:w w:val="110"/>
        </w:rPr>
        <w:t>El</w:t>
      </w:r>
      <w:r>
        <w:rPr>
          <w:color w:val="231F1F"/>
          <w:spacing w:val="-13"/>
          <w:w w:val="110"/>
        </w:rPr>
        <w:t> </w:t>
      </w:r>
      <w:r>
        <w:rPr>
          <w:color w:val="231F1F"/>
          <w:w w:val="110"/>
        </w:rPr>
        <w:t>segundo</w:t>
      </w:r>
      <w:r>
        <w:rPr>
          <w:color w:val="231F1F"/>
          <w:spacing w:val="-13"/>
          <w:w w:val="110"/>
        </w:rPr>
        <w:t> </w:t>
      </w:r>
      <w:r>
        <w:rPr>
          <w:color w:val="231F1F"/>
          <w:w w:val="110"/>
        </w:rPr>
        <w:t>estudio</w:t>
      </w:r>
      <w:r>
        <w:rPr>
          <w:color w:val="231F1F"/>
          <w:spacing w:val="-12"/>
          <w:w w:val="110"/>
        </w:rPr>
        <w:t> </w:t>
      </w:r>
      <w:r>
        <w:rPr>
          <w:color w:val="231F1F"/>
          <w:w w:val="110"/>
        </w:rPr>
        <w:t>(159)</w:t>
      </w:r>
      <w:r>
        <w:rPr>
          <w:color w:val="231F1F"/>
          <w:spacing w:val="-12"/>
          <w:w w:val="110"/>
        </w:rPr>
        <w:t> </w:t>
      </w:r>
      <w:r>
        <w:rPr>
          <w:color w:val="231F1F"/>
          <w:w w:val="110"/>
        </w:rPr>
        <w:t>es</w:t>
      </w:r>
      <w:r>
        <w:rPr>
          <w:color w:val="231F1F"/>
          <w:spacing w:val="-13"/>
          <w:w w:val="110"/>
        </w:rPr>
        <w:t> </w:t>
      </w:r>
      <w:r>
        <w:rPr>
          <w:color w:val="231F1F"/>
          <w:w w:val="110"/>
        </w:rPr>
        <w:t>un</w:t>
      </w:r>
      <w:r>
        <w:rPr>
          <w:color w:val="231F1F"/>
          <w:spacing w:val="-12"/>
          <w:w w:val="110"/>
        </w:rPr>
        <w:t> </w:t>
      </w:r>
      <w:r>
        <w:rPr>
          <w:color w:val="231F1F"/>
          <w:w w:val="110"/>
        </w:rPr>
        <w:t>pequeño</w:t>
      </w:r>
      <w:r>
        <w:rPr>
          <w:color w:val="231F1F"/>
          <w:spacing w:val="-12"/>
          <w:w w:val="110"/>
        </w:rPr>
        <w:t> </w:t>
      </w:r>
      <w:r>
        <w:rPr>
          <w:color w:val="231F1F"/>
          <w:w w:val="110"/>
        </w:rPr>
        <w:t>estudio</w:t>
      </w:r>
      <w:r>
        <w:rPr>
          <w:color w:val="231F1F"/>
          <w:spacing w:val="-12"/>
          <w:w w:val="110"/>
        </w:rPr>
        <w:t> </w:t>
      </w:r>
      <w:r>
        <w:rPr>
          <w:color w:val="231F1F"/>
          <w:w w:val="110"/>
        </w:rPr>
        <w:t>(n=6)</w:t>
      </w:r>
      <w:r>
        <w:rPr>
          <w:color w:val="231F1F"/>
          <w:spacing w:val="-13"/>
          <w:w w:val="110"/>
        </w:rPr>
        <w:t> </w:t>
      </w:r>
      <w:r>
        <w:rPr>
          <w:color w:val="231F1F"/>
          <w:w w:val="110"/>
        </w:rPr>
        <w:t>de</w:t>
      </w:r>
      <w:r>
        <w:rPr>
          <w:color w:val="231F1F"/>
          <w:spacing w:val="-12"/>
          <w:w w:val="110"/>
        </w:rPr>
        <w:t> </w:t>
      </w:r>
      <w:r>
        <w:rPr>
          <w:color w:val="231F1F"/>
          <w:w w:val="110"/>
        </w:rPr>
        <w:t>entrevistas</w:t>
      </w:r>
      <w:r>
        <w:rPr>
          <w:color w:val="231F1F"/>
          <w:spacing w:val="-13"/>
          <w:w w:val="110"/>
        </w:rPr>
        <w:t> </w:t>
      </w:r>
      <w:r>
        <w:rPr>
          <w:color w:val="231F1F"/>
          <w:w w:val="110"/>
        </w:rPr>
        <w:t>en profundidad</w:t>
      </w:r>
      <w:r>
        <w:rPr>
          <w:color w:val="231F1F"/>
          <w:spacing w:val="-14"/>
          <w:w w:val="110"/>
        </w:rPr>
        <w:t> </w:t>
      </w:r>
      <w:r>
        <w:rPr>
          <w:color w:val="231F1F"/>
          <w:w w:val="110"/>
        </w:rPr>
        <w:t>no</w:t>
      </w:r>
      <w:r>
        <w:rPr>
          <w:color w:val="231F1F"/>
          <w:spacing w:val="-14"/>
          <w:w w:val="110"/>
        </w:rPr>
        <w:t> </w:t>
      </w:r>
      <w:r>
        <w:rPr>
          <w:color w:val="231F1F"/>
          <w:w w:val="110"/>
        </w:rPr>
        <w:t>estructuradas</w:t>
      </w:r>
      <w:r>
        <w:rPr>
          <w:color w:val="231F1F"/>
          <w:spacing w:val="-13"/>
          <w:w w:val="110"/>
        </w:rPr>
        <w:t> </w:t>
      </w:r>
      <w:r>
        <w:rPr>
          <w:color w:val="231F1F"/>
          <w:w w:val="110"/>
        </w:rPr>
        <w:t>realizadas</w:t>
      </w:r>
      <w:r>
        <w:rPr>
          <w:color w:val="231F1F"/>
          <w:spacing w:val="-14"/>
          <w:w w:val="110"/>
        </w:rPr>
        <w:t> </w:t>
      </w:r>
      <w:r>
        <w:rPr>
          <w:color w:val="231F1F"/>
          <w:w w:val="110"/>
        </w:rPr>
        <w:t>a</w:t>
      </w:r>
      <w:r>
        <w:rPr>
          <w:color w:val="231F1F"/>
          <w:spacing w:val="-14"/>
          <w:w w:val="110"/>
        </w:rPr>
        <w:t> </w:t>
      </w:r>
      <w:r>
        <w:rPr>
          <w:color w:val="231F1F"/>
          <w:w w:val="110"/>
        </w:rPr>
        <w:t>mujeres</w:t>
      </w:r>
      <w:r>
        <w:rPr>
          <w:color w:val="231F1F"/>
          <w:spacing w:val="-14"/>
          <w:w w:val="110"/>
        </w:rPr>
        <w:t> </w:t>
      </w:r>
      <w:r>
        <w:rPr>
          <w:color w:val="231F1F"/>
          <w:w w:val="110"/>
        </w:rPr>
        <w:t>que</w:t>
      </w:r>
      <w:r>
        <w:rPr>
          <w:color w:val="231F1F"/>
          <w:spacing w:val="-14"/>
          <w:w w:val="110"/>
        </w:rPr>
        <w:t> </w:t>
      </w:r>
      <w:r>
        <w:rPr>
          <w:color w:val="231F1F"/>
          <w:w w:val="110"/>
        </w:rPr>
        <w:t>pretende</w:t>
      </w:r>
      <w:r>
        <w:rPr>
          <w:color w:val="231F1F"/>
          <w:spacing w:val="-14"/>
          <w:w w:val="110"/>
        </w:rPr>
        <w:t> </w:t>
      </w:r>
      <w:r>
        <w:rPr>
          <w:color w:val="231F1F"/>
          <w:w w:val="110"/>
        </w:rPr>
        <w:t>explorar</w:t>
      </w:r>
      <w:r>
        <w:rPr>
          <w:color w:val="231F1F"/>
          <w:spacing w:val="-14"/>
          <w:w w:val="110"/>
        </w:rPr>
        <w:t> </w:t>
      </w:r>
      <w:r>
        <w:rPr>
          <w:color w:val="231F1F"/>
          <w:w w:val="110"/>
        </w:rPr>
        <w:t>las experiencias</w:t>
      </w:r>
      <w:r>
        <w:rPr>
          <w:color w:val="231F1F"/>
          <w:spacing w:val="-9"/>
          <w:w w:val="110"/>
        </w:rPr>
        <w:t> </w:t>
      </w:r>
      <w:r>
        <w:rPr>
          <w:color w:val="231F1F"/>
          <w:w w:val="110"/>
        </w:rPr>
        <w:t>de</w:t>
      </w:r>
      <w:r>
        <w:rPr>
          <w:color w:val="231F1F"/>
          <w:spacing w:val="-9"/>
          <w:w w:val="110"/>
        </w:rPr>
        <w:t> </w:t>
      </w:r>
      <w:r>
        <w:rPr>
          <w:color w:val="231F1F"/>
          <w:w w:val="110"/>
        </w:rPr>
        <w:t>estas</w:t>
      </w:r>
      <w:r>
        <w:rPr>
          <w:color w:val="231F1F"/>
          <w:spacing w:val="-9"/>
          <w:w w:val="110"/>
        </w:rPr>
        <w:t> </w:t>
      </w:r>
      <w:r>
        <w:rPr>
          <w:color w:val="231F1F"/>
          <w:w w:val="110"/>
        </w:rPr>
        <w:t>con</w:t>
      </w:r>
      <w:r>
        <w:rPr>
          <w:color w:val="231F1F"/>
          <w:spacing w:val="-8"/>
          <w:w w:val="110"/>
        </w:rPr>
        <w:t> </w:t>
      </w:r>
      <w:r>
        <w:rPr>
          <w:color w:val="231F1F"/>
          <w:w w:val="110"/>
        </w:rPr>
        <w:t>el</w:t>
      </w:r>
      <w:r>
        <w:rPr>
          <w:color w:val="231F1F"/>
          <w:spacing w:val="-9"/>
          <w:w w:val="110"/>
        </w:rPr>
        <w:t> </w:t>
      </w:r>
      <w:r>
        <w:rPr>
          <w:color w:val="231F1F"/>
          <w:w w:val="110"/>
        </w:rPr>
        <w:t>trauma</w:t>
      </w:r>
      <w:r>
        <w:rPr>
          <w:color w:val="231F1F"/>
          <w:spacing w:val="-9"/>
          <w:w w:val="110"/>
        </w:rPr>
        <w:t> </w:t>
      </w:r>
      <w:r>
        <w:rPr>
          <w:color w:val="231F1F"/>
          <w:w w:val="110"/>
        </w:rPr>
        <w:t>perineal</w:t>
      </w:r>
      <w:r>
        <w:rPr>
          <w:color w:val="231F1F"/>
          <w:spacing w:val="-10"/>
          <w:w w:val="110"/>
        </w:rPr>
        <w:t> </w:t>
      </w:r>
      <w:r>
        <w:rPr>
          <w:color w:val="231F1F"/>
          <w:w w:val="110"/>
        </w:rPr>
        <w:t>durante</w:t>
      </w:r>
      <w:r>
        <w:rPr>
          <w:color w:val="231F1F"/>
          <w:spacing w:val="-9"/>
          <w:w w:val="110"/>
        </w:rPr>
        <w:t> </w:t>
      </w:r>
      <w:r>
        <w:rPr>
          <w:color w:val="231F1F"/>
          <w:w w:val="110"/>
        </w:rPr>
        <w:t>la</w:t>
      </w:r>
      <w:r>
        <w:rPr>
          <w:color w:val="231F1F"/>
          <w:spacing w:val="-9"/>
          <w:w w:val="110"/>
        </w:rPr>
        <w:t> </w:t>
      </w:r>
      <w:r>
        <w:rPr>
          <w:color w:val="231F1F"/>
          <w:w w:val="110"/>
        </w:rPr>
        <w:t>reparación</w:t>
      </w:r>
      <w:r>
        <w:rPr>
          <w:color w:val="231F1F"/>
          <w:spacing w:val="-9"/>
          <w:w w:val="110"/>
        </w:rPr>
        <w:t> </w:t>
      </w:r>
      <w:r>
        <w:rPr>
          <w:color w:val="231F1F"/>
          <w:w w:val="110"/>
        </w:rPr>
        <w:t>y</w:t>
      </w:r>
      <w:r>
        <w:rPr>
          <w:color w:val="231F1F"/>
          <w:spacing w:val="-9"/>
          <w:w w:val="110"/>
        </w:rPr>
        <w:t> </w:t>
      </w:r>
      <w:r>
        <w:rPr>
          <w:color w:val="231F1F"/>
          <w:w w:val="110"/>
        </w:rPr>
        <w:t>durante el periodo postnatal inmediato. El análisis de los resultados, basado en la técnica</w:t>
      </w:r>
      <w:r>
        <w:rPr>
          <w:color w:val="231F1F"/>
          <w:spacing w:val="-6"/>
          <w:w w:val="110"/>
        </w:rPr>
        <w:t> </w:t>
      </w:r>
      <w:r>
        <w:rPr>
          <w:color w:val="231F1F"/>
          <w:w w:val="110"/>
        </w:rPr>
        <w:t>de</w:t>
      </w:r>
      <w:r>
        <w:rPr>
          <w:color w:val="231F1F"/>
          <w:spacing w:val="-7"/>
          <w:w w:val="110"/>
        </w:rPr>
        <w:t> </w:t>
      </w:r>
      <w:r>
        <w:rPr>
          <w:color w:val="231F1F"/>
          <w:w w:val="110"/>
        </w:rPr>
        <w:t>bola</w:t>
      </w:r>
      <w:r>
        <w:rPr>
          <w:color w:val="231F1F"/>
          <w:spacing w:val="-7"/>
          <w:w w:val="110"/>
        </w:rPr>
        <w:t> </w:t>
      </w:r>
      <w:r>
        <w:rPr>
          <w:color w:val="231F1F"/>
          <w:w w:val="110"/>
        </w:rPr>
        <w:t>de</w:t>
      </w:r>
      <w:r>
        <w:rPr>
          <w:color w:val="231F1F"/>
          <w:spacing w:val="-7"/>
          <w:w w:val="110"/>
        </w:rPr>
        <w:t> </w:t>
      </w:r>
      <w:r>
        <w:rPr>
          <w:color w:val="231F1F"/>
          <w:w w:val="110"/>
        </w:rPr>
        <w:t>nieve,</w:t>
      </w:r>
      <w:r>
        <w:rPr>
          <w:color w:val="231F1F"/>
          <w:spacing w:val="-7"/>
          <w:w w:val="110"/>
        </w:rPr>
        <w:t> </w:t>
      </w:r>
      <w:r>
        <w:rPr>
          <w:color w:val="231F1F"/>
          <w:w w:val="110"/>
        </w:rPr>
        <w:t>mostró</w:t>
      </w:r>
      <w:r>
        <w:rPr>
          <w:color w:val="231F1F"/>
          <w:spacing w:val="-6"/>
          <w:w w:val="110"/>
        </w:rPr>
        <w:t> </w:t>
      </w:r>
      <w:r>
        <w:rPr>
          <w:color w:val="231F1F"/>
          <w:w w:val="110"/>
        </w:rPr>
        <w:t>la</w:t>
      </w:r>
      <w:r>
        <w:rPr>
          <w:color w:val="231F1F"/>
          <w:spacing w:val="-7"/>
          <w:w w:val="110"/>
        </w:rPr>
        <w:t> </w:t>
      </w:r>
      <w:r>
        <w:rPr>
          <w:color w:val="231F1F"/>
          <w:w w:val="110"/>
        </w:rPr>
        <w:t>relevancia</w:t>
      </w:r>
      <w:r>
        <w:rPr>
          <w:color w:val="231F1F"/>
          <w:spacing w:val="-6"/>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intensidad</w:t>
      </w:r>
      <w:r>
        <w:rPr>
          <w:color w:val="231F1F"/>
          <w:spacing w:val="-6"/>
          <w:w w:val="110"/>
        </w:rPr>
        <w:t> </w:t>
      </w:r>
      <w:r>
        <w:rPr>
          <w:color w:val="231F1F"/>
          <w:w w:val="110"/>
        </w:rPr>
        <w:t>y</w:t>
      </w:r>
      <w:r>
        <w:rPr>
          <w:color w:val="231F1F"/>
          <w:spacing w:val="-7"/>
          <w:w w:val="110"/>
        </w:rPr>
        <w:t> </w:t>
      </w:r>
      <w:r>
        <w:rPr>
          <w:color w:val="231F1F"/>
          <w:w w:val="110"/>
        </w:rPr>
        <w:t>la</w:t>
      </w:r>
      <w:r>
        <w:rPr>
          <w:color w:val="231F1F"/>
          <w:spacing w:val="-7"/>
          <w:w w:val="110"/>
        </w:rPr>
        <w:t> </w:t>
      </w:r>
      <w:r>
        <w:rPr>
          <w:color w:val="231F1F"/>
          <w:w w:val="110"/>
        </w:rPr>
        <w:t>enverga- dura</w:t>
      </w:r>
      <w:r>
        <w:rPr>
          <w:color w:val="231F1F"/>
          <w:spacing w:val="-16"/>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malas</w:t>
      </w:r>
      <w:r>
        <w:rPr>
          <w:color w:val="231F1F"/>
          <w:spacing w:val="-15"/>
          <w:w w:val="110"/>
        </w:rPr>
        <w:t> </w:t>
      </w:r>
      <w:r>
        <w:rPr>
          <w:color w:val="231F1F"/>
          <w:w w:val="110"/>
        </w:rPr>
        <w:t>experiencias</w:t>
      </w:r>
      <w:r>
        <w:rPr>
          <w:color w:val="231F1F"/>
          <w:spacing w:val="-15"/>
          <w:w w:val="110"/>
        </w:rPr>
        <w:t> </w:t>
      </w:r>
      <w:r>
        <w:rPr>
          <w:color w:val="231F1F"/>
          <w:w w:val="110"/>
        </w:rPr>
        <w:t>de</w:t>
      </w:r>
      <w:r>
        <w:rPr>
          <w:color w:val="231F1F"/>
          <w:spacing w:val="-14"/>
          <w:w w:val="110"/>
        </w:rPr>
        <w:t> </w:t>
      </w:r>
      <w:r>
        <w:rPr>
          <w:color w:val="231F1F"/>
          <w:w w:val="110"/>
        </w:rPr>
        <w:t>la</w:t>
      </w:r>
      <w:r>
        <w:rPr>
          <w:color w:val="231F1F"/>
          <w:spacing w:val="-15"/>
          <w:w w:val="110"/>
        </w:rPr>
        <w:t> </w:t>
      </w:r>
      <w:r>
        <w:rPr>
          <w:color w:val="231F1F"/>
          <w:w w:val="110"/>
        </w:rPr>
        <w:t>atención</w:t>
      </w:r>
      <w:r>
        <w:rPr>
          <w:color w:val="231F1F"/>
          <w:spacing w:val="-15"/>
          <w:w w:val="110"/>
        </w:rPr>
        <w:t> </w:t>
      </w:r>
      <w:r>
        <w:rPr>
          <w:color w:val="231F1F"/>
          <w:w w:val="110"/>
        </w:rPr>
        <w:t>recibida.</w:t>
      </w:r>
      <w:r>
        <w:rPr>
          <w:color w:val="231F1F"/>
          <w:spacing w:val="-16"/>
          <w:w w:val="110"/>
        </w:rPr>
        <w:t> </w:t>
      </w:r>
      <w:r>
        <w:rPr>
          <w:color w:val="231F1F"/>
          <w:w w:val="110"/>
        </w:rPr>
        <w:t>Destacando</w:t>
      </w:r>
      <w:r>
        <w:rPr>
          <w:color w:val="231F1F"/>
          <w:spacing w:val="-14"/>
          <w:w w:val="110"/>
        </w:rPr>
        <w:t> </w:t>
      </w:r>
      <w:r>
        <w:rPr>
          <w:color w:val="231F1F"/>
          <w:w w:val="110"/>
        </w:rPr>
        <w:t>la</w:t>
      </w:r>
      <w:r>
        <w:rPr>
          <w:color w:val="231F1F"/>
          <w:spacing w:val="-15"/>
          <w:w w:val="110"/>
        </w:rPr>
        <w:t> </w:t>
      </w:r>
      <w:r>
        <w:rPr>
          <w:color w:val="231F1F"/>
          <w:w w:val="110"/>
        </w:rPr>
        <w:t>impor- tancia de las relaciones interpersonales entre las mujeres y sus cuidadores, reflejado</w:t>
      </w:r>
      <w:r>
        <w:rPr>
          <w:color w:val="231F1F"/>
          <w:spacing w:val="-13"/>
          <w:w w:val="110"/>
        </w:rPr>
        <w:t> </w:t>
      </w:r>
      <w:r>
        <w:rPr>
          <w:color w:val="231F1F"/>
          <w:w w:val="110"/>
        </w:rPr>
        <w:t>en</w:t>
      </w:r>
      <w:r>
        <w:rPr>
          <w:color w:val="231F1F"/>
          <w:spacing w:val="-14"/>
          <w:w w:val="110"/>
        </w:rPr>
        <w:t> </w:t>
      </w:r>
      <w:r>
        <w:rPr>
          <w:color w:val="231F1F"/>
          <w:w w:val="110"/>
        </w:rPr>
        <w:t>cuatro</w:t>
      </w:r>
      <w:r>
        <w:rPr>
          <w:color w:val="231F1F"/>
          <w:spacing w:val="-14"/>
          <w:w w:val="110"/>
        </w:rPr>
        <w:t> </w:t>
      </w:r>
      <w:r>
        <w:rPr>
          <w:color w:val="231F1F"/>
          <w:w w:val="110"/>
        </w:rPr>
        <w:t>temas</w:t>
      </w:r>
      <w:r>
        <w:rPr>
          <w:color w:val="231F1F"/>
          <w:spacing w:val="-14"/>
          <w:w w:val="110"/>
        </w:rPr>
        <w:t> </w:t>
      </w:r>
      <w:r>
        <w:rPr>
          <w:color w:val="231F1F"/>
          <w:w w:val="110"/>
        </w:rPr>
        <w:t>emergentes:</w:t>
      </w:r>
      <w:r>
        <w:rPr>
          <w:color w:val="231F1F"/>
          <w:spacing w:val="-14"/>
          <w:w w:val="110"/>
        </w:rPr>
        <w:t> </w:t>
      </w:r>
      <w:r>
        <w:rPr>
          <w:color w:val="231F1F"/>
          <w:w w:val="110"/>
        </w:rPr>
        <w:t>la</w:t>
      </w:r>
      <w:r>
        <w:rPr>
          <w:color w:val="231F1F"/>
          <w:spacing w:val="-14"/>
          <w:w w:val="110"/>
        </w:rPr>
        <w:t> </w:t>
      </w:r>
      <w:r>
        <w:rPr>
          <w:color w:val="231F1F"/>
          <w:w w:val="110"/>
        </w:rPr>
        <w:t>comunicación</w:t>
      </w:r>
      <w:r>
        <w:rPr>
          <w:color w:val="231F1F"/>
          <w:spacing w:val="-14"/>
          <w:w w:val="110"/>
        </w:rPr>
        <w:t> </w:t>
      </w:r>
      <w:r>
        <w:rPr>
          <w:color w:val="231F1F"/>
          <w:w w:val="110"/>
        </w:rPr>
        <w:t>entre</w:t>
      </w:r>
      <w:r>
        <w:rPr>
          <w:color w:val="231F1F"/>
          <w:spacing w:val="-14"/>
          <w:w w:val="110"/>
        </w:rPr>
        <w:t> </w:t>
      </w:r>
      <w:r>
        <w:rPr>
          <w:color w:val="231F1F"/>
          <w:w w:val="110"/>
        </w:rPr>
        <w:t>la</w:t>
      </w:r>
      <w:r>
        <w:rPr>
          <w:color w:val="231F1F"/>
          <w:spacing w:val="-14"/>
          <w:w w:val="110"/>
        </w:rPr>
        <w:t> </w:t>
      </w:r>
      <w:r>
        <w:rPr>
          <w:color w:val="231F1F"/>
          <w:w w:val="110"/>
        </w:rPr>
        <w:t>mujer</w:t>
      </w:r>
      <w:r>
        <w:rPr>
          <w:color w:val="231F1F"/>
          <w:spacing w:val="-14"/>
          <w:w w:val="110"/>
        </w:rPr>
        <w:t> </w:t>
      </w:r>
      <w:r>
        <w:rPr>
          <w:color w:val="231F1F"/>
          <w:w w:val="110"/>
        </w:rPr>
        <w:t>y</w:t>
      </w:r>
      <w:r>
        <w:rPr>
          <w:color w:val="231F1F"/>
          <w:spacing w:val="-14"/>
          <w:w w:val="110"/>
        </w:rPr>
        <w:t> </w:t>
      </w:r>
      <w:r>
        <w:rPr>
          <w:color w:val="231F1F"/>
          <w:w w:val="110"/>
        </w:rPr>
        <w:t>pro- fesionales, el alivio adecuado del dolor durante la sutura, la sensación de sentirse «remachada» y la de estar pasando por un proceso inevitable.</w:t>
      </w:r>
    </w:p>
    <w:p>
      <w:pPr>
        <w:pStyle w:val="BodyText"/>
        <w:spacing w:line="252" w:lineRule="auto" w:before="120"/>
        <w:ind w:left="283" w:firstLine="453"/>
        <w:jc w:val="both"/>
      </w:pPr>
      <w:r>
        <w:rPr>
          <w:color w:val="231F1F"/>
          <w:w w:val="105"/>
        </w:rPr>
        <w:t>Postnatalmente,</w:t>
      </w:r>
      <w:r>
        <w:rPr>
          <w:color w:val="231F1F"/>
          <w:w w:val="105"/>
        </w:rPr>
        <w:t> los</w:t>
      </w:r>
      <w:r>
        <w:rPr>
          <w:color w:val="231F1F"/>
          <w:w w:val="105"/>
        </w:rPr>
        <w:t> sentimientos</w:t>
      </w:r>
      <w:r>
        <w:rPr>
          <w:color w:val="231F1F"/>
          <w:w w:val="105"/>
        </w:rPr>
        <w:t> de</w:t>
      </w:r>
      <w:r>
        <w:rPr>
          <w:color w:val="231F1F"/>
          <w:w w:val="105"/>
        </w:rPr>
        <w:t> las</w:t>
      </w:r>
      <w:r>
        <w:rPr>
          <w:color w:val="231F1F"/>
          <w:w w:val="105"/>
        </w:rPr>
        <w:t> mujeres</w:t>
      </w:r>
      <w:r>
        <w:rPr>
          <w:color w:val="231F1F"/>
          <w:w w:val="105"/>
        </w:rPr>
        <w:t> estaban</w:t>
      </w:r>
      <w:r>
        <w:rPr>
          <w:color w:val="231F1F"/>
          <w:w w:val="105"/>
        </w:rPr>
        <w:t> asociados</w:t>
      </w:r>
      <w:r>
        <w:rPr>
          <w:color w:val="231F1F"/>
          <w:w w:val="105"/>
        </w:rPr>
        <w:t> a</w:t>
      </w:r>
      <w:r>
        <w:rPr>
          <w:color w:val="231F1F"/>
          <w:w w:val="105"/>
        </w:rPr>
        <w:t> la idea del traumatismo y las emociones negativas, y su severidad (ira, malestar, frustración), la preocupación por las habilidades de los profesionales y la falta de</w:t>
      </w:r>
      <w:r>
        <w:rPr>
          <w:color w:val="231F1F"/>
          <w:spacing w:val="40"/>
          <w:w w:val="105"/>
        </w:rPr>
        <w:t> </w:t>
      </w:r>
      <w:r>
        <w:rPr>
          <w:color w:val="231F1F"/>
          <w:w w:val="105"/>
        </w:rPr>
        <w:t>atención</w:t>
      </w:r>
      <w:r>
        <w:rPr>
          <w:color w:val="231F1F"/>
          <w:spacing w:val="40"/>
          <w:w w:val="105"/>
        </w:rPr>
        <w:t> </w:t>
      </w:r>
      <w:r>
        <w:rPr>
          <w:color w:val="231F1F"/>
          <w:w w:val="105"/>
        </w:rPr>
        <w:t>cuando</w:t>
      </w:r>
      <w:r>
        <w:rPr>
          <w:color w:val="231F1F"/>
          <w:spacing w:val="40"/>
          <w:w w:val="105"/>
        </w:rPr>
        <w:t> </w:t>
      </w:r>
      <w:r>
        <w:rPr>
          <w:color w:val="231F1F"/>
          <w:w w:val="105"/>
        </w:rPr>
        <w:t>existían</w:t>
      </w:r>
      <w:r>
        <w:rPr>
          <w:color w:val="231F1F"/>
          <w:spacing w:val="40"/>
          <w:w w:val="105"/>
        </w:rPr>
        <w:t> </w:t>
      </w:r>
      <w:r>
        <w:rPr>
          <w:color w:val="231F1F"/>
          <w:w w:val="105"/>
        </w:rPr>
        <w:t>problemas</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curación</w:t>
      </w:r>
      <w:r>
        <w:rPr>
          <w:color w:val="231F1F"/>
          <w:spacing w:val="40"/>
          <w:w w:val="105"/>
        </w:rPr>
        <w:t> </w:t>
      </w:r>
      <w:r>
        <w:rPr>
          <w:color w:val="231F1F"/>
          <w:w w:val="105"/>
        </w:rPr>
        <w:t>perineal.</w:t>
      </w:r>
    </w:p>
    <w:p>
      <w:pPr>
        <w:spacing w:line="247" w:lineRule="auto" w:before="52"/>
        <w:ind w:left="283" w:right="0" w:firstLine="453"/>
        <w:jc w:val="both"/>
        <w:rPr>
          <w:sz w:val="22"/>
        </w:rPr>
      </w:pPr>
      <w:r>
        <w:rPr>
          <w:color w:val="231F1F"/>
          <w:w w:val="105"/>
          <w:sz w:val="22"/>
        </w:rPr>
        <w:t>En</w:t>
      </w:r>
      <w:r>
        <w:rPr>
          <w:color w:val="231F1F"/>
          <w:spacing w:val="-15"/>
          <w:w w:val="105"/>
          <w:sz w:val="22"/>
        </w:rPr>
        <w:t> </w:t>
      </w:r>
      <w:r>
        <w:rPr>
          <w:color w:val="231F1F"/>
          <w:w w:val="105"/>
          <w:sz w:val="22"/>
        </w:rPr>
        <w:t>relación</w:t>
      </w:r>
      <w:r>
        <w:rPr>
          <w:color w:val="231F1F"/>
          <w:spacing w:val="-13"/>
          <w:w w:val="105"/>
          <w:sz w:val="22"/>
        </w:rPr>
        <w:t> </w:t>
      </w:r>
      <w:r>
        <w:rPr>
          <w:color w:val="231F1F"/>
          <w:w w:val="105"/>
          <w:sz w:val="22"/>
        </w:rPr>
        <w:t>al</w:t>
      </w:r>
      <w:r>
        <w:rPr>
          <w:color w:val="231F1F"/>
          <w:spacing w:val="-15"/>
          <w:w w:val="105"/>
          <w:sz w:val="22"/>
        </w:rPr>
        <w:t> </w:t>
      </w:r>
      <w:r>
        <w:rPr>
          <w:b/>
          <w:color w:val="231F1F"/>
          <w:w w:val="105"/>
          <w:sz w:val="22"/>
        </w:rPr>
        <w:t>método</w:t>
      </w:r>
      <w:r>
        <w:rPr>
          <w:b/>
          <w:color w:val="231F1F"/>
          <w:spacing w:val="-13"/>
          <w:w w:val="105"/>
          <w:sz w:val="22"/>
        </w:rPr>
        <w:t> </w:t>
      </w:r>
      <w:r>
        <w:rPr>
          <w:b/>
          <w:color w:val="231F1F"/>
          <w:w w:val="105"/>
          <w:sz w:val="22"/>
        </w:rPr>
        <w:t>de</w:t>
      </w:r>
      <w:r>
        <w:rPr>
          <w:b/>
          <w:color w:val="231F1F"/>
          <w:spacing w:val="-15"/>
          <w:w w:val="105"/>
          <w:sz w:val="22"/>
        </w:rPr>
        <w:t> </w:t>
      </w:r>
      <w:r>
        <w:rPr>
          <w:b/>
          <w:color w:val="231F1F"/>
          <w:w w:val="105"/>
          <w:sz w:val="22"/>
        </w:rPr>
        <w:t>reparación</w:t>
      </w:r>
      <w:r>
        <w:rPr>
          <w:b/>
          <w:color w:val="231F1F"/>
          <w:spacing w:val="-13"/>
          <w:w w:val="105"/>
          <w:sz w:val="22"/>
        </w:rPr>
        <w:t> </w:t>
      </w:r>
      <w:r>
        <w:rPr>
          <w:color w:val="231F1F"/>
          <w:w w:val="105"/>
          <w:sz w:val="22"/>
        </w:rPr>
        <w:t>utilizado,</w:t>
      </w:r>
      <w:r>
        <w:rPr>
          <w:color w:val="231F1F"/>
          <w:spacing w:val="-15"/>
          <w:w w:val="105"/>
          <w:sz w:val="22"/>
        </w:rPr>
        <w:t> </w:t>
      </w:r>
      <w:r>
        <w:rPr>
          <w:color w:val="231F1F"/>
          <w:w w:val="105"/>
          <w:sz w:val="22"/>
        </w:rPr>
        <w:t>la</w:t>
      </w:r>
      <w:r>
        <w:rPr>
          <w:color w:val="231F1F"/>
          <w:spacing w:val="-14"/>
          <w:w w:val="105"/>
          <w:sz w:val="22"/>
        </w:rPr>
        <w:t> </w:t>
      </w:r>
      <w:r>
        <w:rPr>
          <w:color w:val="231F1F"/>
          <w:w w:val="105"/>
          <w:sz w:val="22"/>
        </w:rPr>
        <w:t>guía</w:t>
      </w:r>
      <w:r>
        <w:rPr>
          <w:color w:val="231F1F"/>
          <w:spacing w:val="-15"/>
          <w:w w:val="105"/>
          <w:sz w:val="22"/>
        </w:rPr>
        <w:t> </w:t>
      </w:r>
      <w:r>
        <w:rPr>
          <w:color w:val="231F1F"/>
          <w:w w:val="105"/>
          <w:sz w:val="22"/>
        </w:rPr>
        <w:t>NICE</w:t>
      </w:r>
      <w:r>
        <w:rPr>
          <w:color w:val="231F1F"/>
          <w:spacing w:val="-14"/>
          <w:w w:val="105"/>
          <w:sz w:val="22"/>
        </w:rPr>
        <w:t> </w:t>
      </w:r>
      <w:r>
        <w:rPr>
          <w:color w:val="231F1F"/>
          <w:w w:val="105"/>
          <w:sz w:val="22"/>
        </w:rPr>
        <w:t>(10)</w:t>
      </w:r>
      <w:r>
        <w:rPr>
          <w:color w:val="231F1F"/>
          <w:spacing w:val="-13"/>
          <w:w w:val="105"/>
          <w:sz w:val="22"/>
        </w:rPr>
        <w:t> </w:t>
      </w:r>
      <w:r>
        <w:rPr>
          <w:color w:val="231F1F"/>
          <w:w w:val="105"/>
          <w:sz w:val="22"/>
        </w:rPr>
        <w:t>encuen- tra una RS (160) (con cuatro ECAs de NE=1+) y otro ECA de NE=1+ (161) que comparan los efectos de la </w:t>
      </w:r>
      <w:r>
        <w:rPr>
          <w:i/>
          <w:color w:val="231F1F"/>
          <w:w w:val="105"/>
          <w:sz w:val="22"/>
        </w:rPr>
        <w:t>sutura</w:t>
      </w:r>
      <w:r>
        <w:rPr>
          <w:i/>
          <w:color w:val="231F1F"/>
          <w:spacing w:val="-13"/>
          <w:w w:val="105"/>
          <w:sz w:val="22"/>
        </w:rPr>
        <w:t> </w:t>
      </w:r>
      <w:r>
        <w:rPr>
          <w:i/>
          <w:color w:val="231F1F"/>
          <w:w w:val="105"/>
          <w:sz w:val="22"/>
        </w:rPr>
        <w:t>intradérmica</w:t>
      </w:r>
      <w:r>
        <w:rPr>
          <w:i/>
          <w:color w:val="231F1F"/>
          <w:spacing w:val="-13"/>
          <w:w w:val="105"/>
          <w:sz w:val="22"/>
        </w:rPr>
        <w:t> </w:t>
      </w:r>
      <w:r>
        <w:rPr>
          <w:i/>
          <w:color w:val="231F1F"/>
          <w:w w:val="105"/>
          <w:sz w:val="22"/>
        </w:rPr>
        <w:t>continua</w:t>
      </w:r>
      <w:r>
        <w:rPr>
          <w:i/>
          <w:color w:val="231F1F"/>
          <w:spacing w:val="-13"/>
          <w:w w:val="105"/>
          <w:sz w:val="22"/>
        </w:rPr>
        <w:t> </w:t>
      </w:r>
      <w:r>
        <w:rPr>
          <w:i/>
          <w:color w:val="231F1F"/>
          <w:w w:val="105"/>
          <w:sz w:val="22"/>
        </w:rPr>
        <w:t>frente</w:t>
      </w:r>
      <w:r>
        <w:rPr>
          <w:i/>
          <w:color w:val="231F1F"/>
          <w:spacing w:val="-13"/>
          <w:w w:val="105"/>
          <w:sz w:val="22"/>
        </w:rPr>
        <w:t> </w:t>
      </w:r>
      <w:r>
        <w:rPr>
          <w:i/>
          <w:color w:val="231F1F"/>
          <w:w w:val="105"/>
          <w:sz w:val="22"/>
        </w:rPr>
        <w:t>a</w:t>
      </w:r>
      <w:r>
        <w:rPr>
          <w:i/>
          <w:color w:val="231F1F"/>
          <w:spacing w:val="-13"/>
          <w:w w:val="105"/>
          <w:sz w:val="22"/>
        </w:rPr>
        <w:t> </w:t>
      </w:r>
      <w:r>
        <w:rPr>
          <w:i/>
          <w:color w:val="231F1F"/>
          <w:w w:val="105"/>
          <w:sz w:val="22"/>
        </w:rPr>
        <w:t>la</w:t>
      </w:r>
      <w:r>
        <w:rPr>
          <w:i/>
          <w:color w:val="231F1F"/>
          <w:spacing w:val="-13"/>
          <w:w w:val="105"/>
          <w:sz w:val="22"/>
        </w:rPr>
        <w:t> </w:t>
      </w:r>
      <w:r>
        <w:rPr>
          <w:i/>
          <w:color w:val="231F1F"/>
          <w:w w:val="105"/>
          <w:sz w:val="22"/>
        </w:rPr>
        <w:t>sutura transcutánea con puntos separados </w:t>
      </w:r>
      <w:r>
        <w:rPr>
          <w:color w:val="231F1F"/>
          <w:w w:val="105"/>
          <w:sz w:val="22"/>
        </w:rPr>
        <w:t>para</w:t>
      </w:r>
      <w:r>
        <w:rPr>
          <w:color w:val="231F1F"/>
          <w:w w:val="105"/>
          <w:sz w:val="22"/>
        </w:rPr>
        <w:t> la</w:t>
      </w:r>
      <w:r>
        <w:rPr>
          <w:color w:val="231F1F"/>
          <w:w w:val="105"/>
          <w:sz w:val="22"/>
        </w:rPr>
        <w:t> reparación</w:t>
      </w:r>
      <w:r>
        <w:rPr>
          <w:color w:val="231F1F"/>
          <w:w w:val="105"/>
          <w:sz w:val="22"/>
        </w:rPr>
        <w:t> del</w:t>
      </w:r>
      <w:r>
        <w:rPr>
          <w:color w:val="231F1F"/>
          <w:w w:val="105"/>
          <w:sz w:val="22"/>
        </w:rPr>
        <w:t> perineo.</w:t>
      </w:r>
      <w:r>
        <w:rPr>
          <w:color w:val="231F1F"/>
          <w:w w:val="105"/>
          <w:sz w:val="22"/>
        </w:rPr>
        <w:t> Además, también</w:t>
      </w:r>
      <w:r>
        <w:rPr>
          <w:color w:val="231F1F"/>
          <w:spacing w:val="-6"/>
          <w:w w:val="105"/>
          <w:sz w:val="22"/>
        </w:rPr>
        <w:t> </w:t>
      </w:r>
      <w:r>
        <w:rPr>
          <w:color w:val="231F1F"/>
          <w:w w:val="105"/>
          <w:sz w:val="22"/>
        </w:rPr>
        <w:t>incluye</w:t>
      </w:r>
      <w:r>
        <w:rPr>
          <w:color w:val="231F1F"/>
          <w:spacing w:val="-6"/>
          <w:w w:val="105"/>
          <w:sz w:val="22"/>
        </w:rPr>
        <w:t> </w:t>
      </w:r>
      <w:r>
        <w:rPr>
          <w:color w:val="231F1F"/>
          <w:w w:val="105"/>
          <w:sz w:val="22"/>
        </w:rPr>
        <w:t>otros</w:t>
      </w:r>
      <w:r>
        <w:rPr>
          <w:color w:val="231F1F"/>
          <w:spacing w:val="-6"/>
          <w:w w:val="105"/>
          <w:sz w:val="22"/>
        </w:rPr>
        <w:t> </w:t>
      </w:r>
      <w:r>
        <w:rPr>
          <w:color w:val="231F1F"/>
          <w:w w:val="105"/>
          <w:sz w:val="22"/>
        </w:rPr>
        <w:t>dos</w:t>
      </w:r>
      <w:r>
        <w:rPr>
          <w:color w:val="231F1F"/>
          <w:spacing w:val="-6"/>
          <w:w w:val="105"/>
          <w:sz w:val="22"/>
        </w:rPr>
        <w:t> </w:t>
      </w:r>
      <w:r>
        <w:rPr>
          <w:color w:val="231F1F"/>
          <w:w w:val="105"/>
          <w:sz w:val="22"/>
        </w:rPr>
        <w:t>ECAs</w:t>
      </w:r>
      <w:r>
        <w:rPr>
          <w:color w:val="231F1F"/>
          <w:spacing w:val="-6"/>
          <w:w w:val="105"/>
          <w:sz w:val="22"/>
        </w:rPr>
        <w:t> </w:t>
      </w:r>
      <w:r>
        <w:rPr>
          <w:color w:val="231F1F"/>
          <w:w w:val="105"/>
          <w:sz w:val="22"/>
        </w:rPr>
        <w:t>(162;163)</w:t>
      </w:r>
      <w:r>
        <w:rPr>
          <w:color w:val="231F1F"/>
          <w:spacing w:val="-5"/>
          <w:w w:val="105"/>
          <w:sz w:val="22"/>
        </w:rPr>
        <w:t> </w:t>
      </w:r>
      <w:r>
        <w:rPr>
          <w:color w:val="231F1F"/>
          <w:w w:val="105"/>
          <w:sz w:val="22"/>
        </w:rPr>
        <w:t>y</w:t>
      </w:r>
      <w:r>
        <w:rPr>
          <w:color w:val="231F1F"/>
          <w:spacing w:val="-6"/>
          <w:w w:val="105"/>
          <w:sz w:val="22"/>
        </w:rPr>
        <w:t> </w:t>
      </w:r>
      <w:r>
        <w:rPr>
          <w:color w:val="231F1F"/>
          <w:w w:val="105"/>
          <w:sz w:val="22"/>
        </w:rPr>
        <w:t>un</w:t>
      </w:r>
      <w:r>
        <w:rPr>
          <w:color w:val="231F1F"/>
          <w:spacing w:val="-6"/>
          <w:w w:val="105"/>
          <w:sz w:val="22"/>
        </w:rPr>
        <w:t> </w:t>
      </w:r>
      <w:r>
        <w:rPr>
          <w:color w:val="231F1F"/>
          <w:w w:val="105"/>
          <w:sz w:val="22"/>
        </w:rPr>
        <w:t>estudio</w:t>
      </w:r>
      <w:r>
        <w:rPr>
          <w:color w:val="231F1F"/>
          <w:spacing w:val="-5"/>
          <w:w w:val="105"/>
          <w:sz w:val="22"/>
        </w:rPr>
        <w:t> </w:t>
      </w:r>
      <w:r>
        <w:rPr>
          <w:color w:val="231F1F"/>
          <w:w w:val="105"/>
          <w:sz w:val="22"/>
        </w:rPr>
        <w:t>de</w:t>
      </w:r>
      <w:r>
        <w:rPr>
          <w:color w:val="231F1F"/>
          <w:spacing w:val="-6"/>
          <w:w w:val="105"/>
          <w:sz w:val="22"/>
        </w:rPr>
        <w:t> </w:t>
      </w:r>
      <w:r>
        <w:rPr>
          <w:color w:val="231F1F"/>
          <w:w w:val="105"/>
          <w:sz w:val="22"/>
        </w:rPr>
        <w:t>seguimiento</w:t>
      </w:r>
      <w:r>
        <w:rPr>
          <w:color w:val="231F1F"/>
          <w:spacing w:val="-6"/>
          <w:w w:val="105"/>
          <w:sz w:val="22"/>
        </w:rPr>
        <w:t> </w:t>
      </w:r>
      <w:r>
        <w:rPr>
          <w:color w:val="231F1F"/>
          <w:w w:val="105"/>
          <w:sz w:val="22"/>
        </w:rPr>
        <w:t>de</w:t>
      </w:r>
      <w:r>
        <w:rPr>
          <w:color w:val="231F1F"/>
          <w:spacing w:val="-6"/>
          <w:w w:val="105"/>
          <w:sz w:val="22"/>
        </w:rPr>
        <w:t> </w:t>
      </w:r>
      <w:r>
        <w:rPr>
          <w:color w:val="231F1F"/>
          <w:w w:val="105"/>
          <w:sz w:val="22"/>
        </w:rPr>
        <w:t>uno de ellos (164) que comparan la técnica de </w:t>
      </w:r>
      <w:r>
        <w:rPr>
          <w:i/>
          <w:color w:val="231F1F"/>
          <w:w w:val="105"/>
          <w:sz w:val="22"/>
        </w:rPr>
        <w:t>reparación en dos planos</w:t>
      </w:r>
      <w:r>
        <w:rPr>
          <w:i/>
          <w:color w:val="231F1F"/>
          <w:spacing w:val="-1"/>
          <w:w w:val="105"/>
          <w:sz w:val="22"/>
        </w:rPr>
        <w:t> </w:t>
      </w:r>
      <w:r>
        <w:rPr>
          <w:color w:val="231F1F"/>
          <w:w w:val="105"/>
          <w:sz w:val="22"/>
        </w:rPr>
        <w:t>(dejando sin suturar la piel) con una técnica de </w:t>
      </w:r>
      <w:r>
        <w:rPr>
          <w:i/>
          <w:color w:val="231F1F"/>
          <w:w w:val="105"/>
          <w:sz w:val="22"/>
        </w:rPr>
        <w:t>reparación de tres planos</w:t>
      </w:r>
      <w:r>
        <w:rPr>
          <w:color w:val="231F1F"/>
          <w:w w:val="105"/>
          <w:sz w:val="22"/>
        </w:rPr>
        <w:t>:</w:t>
      </w:r>
    </w:p>
    <w:p>
      <w:pPr>
        <w:pStyle w:val="BodyText"/>
        <w:spacing w:line="252" w:lineRule="auto" w:before="81"/>
        <w:ind w:left="283"/>
        <w:jc w:val="both"/>
      </w:pPr>
      <w:r>
        <w:rPr>
          <w:color w:val="231F1F"/>
          <w:w w:val="110"/>
        </w:rPr>
        <w:t>Los</w:t>
      </w:r>
      <w:r>
        <w:rPr>
          <w:color w:val="231F1F"/>
          <w:spacing w:val="-11"/>
          <w:w w:val="110"/>
        </w:rPr>
        <w:t> </w:t>
      </w:r>
      <w:r>
        <w:rPr>
          <w:color w:val="231F1F"/>
          <w:w w:val="110"/>
        </w:rPr>
        <w:t>resultados</w:t>
      </w:r>
      <w:r>
        <w:rPr>
          <w:color w:val="231F1F"/>
          <w:spacing w:val="-11"/>
          <w:w w:val="110"/>
        </w:rPr>
        <w:t> </w:t>
      </w:r>
      <w:r>
        <w:rPr>
          <w:color w:val="231F1F"/>
          <w:w w:val="110"/>
        </w:rPr>
        <w:t>muestran</w:t>
      </w:r>
      <w:r>
        <w:rPr>
          <w:color w:val="231F1F"/>
          <w:spacing w:val="-11"/>
          <w:w w:val="110"/>
        </w:rPr>
        <w:t> </w:t>
      </w:r>
      <w:r>
        <w:rPr>
          <w:color w:val="231F1F"/>
          <w:w w:val="110"/>
        </w:rPr>
        <w:t>un</w:t>
      </w:r>
      <w:r>
        <w:rPr>
          <w:color w:val="231F1F"/>
          <w:spacing w:val="-11"/>
          <w:w w:val="110"/>
        </w:rPr>
        <w:t> </w:t>
      </w:r>
      <w:r>
        <w:rPr>
          <w:color w:val="231F1F"/>
          <w:w w:val="110"/>
        </w:rPr>
        <w:t>alto</w:t>
      </w:r>
      <w:r>
        <w:rPr>
          <w:color w:val="231F1F"/>
          <w:spacing w:val="-11"/>
          <w:w w:val="110"/>
        </w:rPr>
        <w:t> </w:t>
      </w:r>
      <w:r>
        <w:rPr>
          <w:color w:val="231F1F"/>
          <w:w w:val="110"/>
        </w:rPr>
        <w:t>nivel</w:t>
      </w:r>
      <w:r>
        <w:rPr>
          <w:color w:val="231F1F"/>
          <w:spacing w:val="-12"/>
          <w:w w:val="110"/>
        </w:rPr>
        <w:t> </w:t>
      </w:r>
      <w:r>
        <w:rPr>
          <w:color w:val="231F1F"/>
          <w:w w:val="110"/>
        </w:rPr>
        <w:t>de</w:t>
      </w:r>
      <w:r>
        <w:rPr>
          <w:color w:val="231F1F"/>
          <w:spacing w:val="-11"/>
          <w:w w:val="110"/>
        </w:rPr>
        <w:t> </w:t>
      </w:r>
      <w:r>
        <w:rPr>
          <w:color w:val="231F1F"/>
          <w:w w:val="110"/>
        </w:rPr>
        <w:t>evidencia</w:t>
      </w:r>
      <w:r>
        <w:rPr>
          <w:color w:val="231F1F"/>
          <w:spacing w:val="-11"/>
          <w:w w:val="110"/>
        </w:rPr>
        <w:t> </w:t>
      </w:r>
      <w:r>
        <w:rPr>
          <w:color w:val="231F1F"/>
          <w:w w:val="110"/>
        </w:rPr>
        <w:t>(tres</w:t>
      </w:r>
      <w:r>
        <w:rPr>
          <w:color w:val="231F1F"/>
          <w:spacing w:val="-12"/>
          <w:w w:val="110"/>
        </w:rPr>
        <w:t> </w:t>
      </w:r>
      <w:r>
        <w:rPr>
          <w:color w:val="231F1F"/>
          <w:w w:val="110"/>
        </w:rPr>
        <w:t>ECAs)</w:t>
      </w:r>
      <w:r>
        <w:rPr>
          <w:color w:val="231F1F"/>
          <w:spacing w:val="-11"/>
          <w:w w:val="110"/>
        </w:rPr>
        <w:t> </w:t>
      </w:r>
      <w:r>
        <w:rPr>
          <w:color w:val="231F1F"/>
          <w:w w:val="110"/>
        </w:rPr>
        <w:t>a</w:t>
      </w:r>
      <w:r>
        <w:rPr>
          <w:color w:val="231F1F"/>
          <w:spacing w:val="-11"/>
          <w:w w:val="110"/>
        </w:rPr>
        <w:t> </w:t>
      </w:r>
      <w:r>
        <w:rPr>
          <w:color w:val="231F1F"/>
          <w:w w:val="110"/>
        </w:rPr>
        <w:t>favor</w:t>
      </w:r>
      <w:r>
        <w:rPr>
          <w:color w:val="231F1F"/>
          <w:spacing w:val="-12"/>
          <w:w w:val="110"/>
        </w:rPr>
        <w:t> </w:t>
      </w:r>
      <w:r>
        <w:rPr>
          <w:color w:val="231F1F"/>
          <w:w w:val="110"/>
        </w:rPr>
        <w:t>de</w:t>
      </w:r>
      <w:r>
        <w:rPr>
          <w:color w:val="231F1F"/>
          <w:spacing w:val="-11"/>
          <w:w w:val="110"/>
        </w:rPr>
        <w:t> </w:t>
      </w:r>
      <w:r>
        <w:rPr>
          <w:color w:val="231F1F"/>
          <w:w w:val="110"/>
        </w:rPr>
        <w:t>la </w:t>
      </w:r>
      <w:r>
        <w:rPr>
          <w:color w:val="231F1F"/>
          <w:spacing w:val="-2"/>
          <w:w w:val="110"/>
        </w:rPr>
        <w:t>sutura</w:t>
      </w:r>
      <w:r>
        <w:rPr>
          <w:color w:val="231F1F"/>
          <w:spacing w:val="-6"/>
          <w:w w:val="110"/>
        </w:rPr>
        <w:t> </w:t>
      </w:r>
      <w:r>
        <w:rPr>
          <w:color w:val="231F1F"/>
          <w:spacing w:val="-2"/>
          <w:w w:val="110"/>
        </w:rPr>
        <w:t>continua</w:t>
      </w:r>
      <w:r>
        <w:rPr>
          <w:color w:val="231F1F"/>
          <w:spacing w:val="-6"/>
          <w:w w:val="110"/>
        </w:rPr>
        <w:t> </w:t>
      </w:r>
      <w:r>
        <w:rPr>
          <w:color w:val="231F1F"/>
          <w:spacing w:val="-2"/>
          <w:w w:val="110"/>
        </w:rPr>
        <w:t>intradérmica</w:t>
      </w:r>
      <w:r>
        <w:rPr>
          <w:color w:val="231F1F"/>
          <w:spacing w:val="-6"/>
          <w:w w:val="110"/>
        </w:rPr>
        <w:t> </w:t>
      </w:r>
      <w:r>
        <w:rPr>
          <w:color w:val="231F1F"/>
          <w:spacing w:val="-2"/>
          <w:w w:val="110"/>
        </w:rPr>
        <w:t>continua</w:t>
      </w:r>
      <w:r>
        <w:rPr>
          <w:color w:val="231F1F"/>
          <w:spacing w:val="-6"/>
          <w:w w:val="110"/>
        </w:rPr>
        <w:t> </w:t>
      </w:r>
      <w:r>
        <w:rPr>
          <w:color w:val="231F1F"/>
          <w:spacing w:val="-2"/>
          <w:w w:val="110"/>
        </w:rPr>
        <w:t>al</w:t>
      </w:r>
      <w:r>
        <w:rPr>
          <w:color w:val="231F1F"/>
          <w:spacing w:val="-6"/>
          <w:w w:val="110"/>
        </w:rPr>
        <w:t> </w:t>
      </w:r>
      <w:r>
        <w:rPr>
          <w:color w:val="231F1F"/>
          <w:spacing w:val="-2"/>
          <w:w w:val="110"/>
        </w:rPr>
        <w:t>compararse</w:t>
      </w:r>
      <w:r>
        <w:rPr>
          <w:color w:val="231F1F"/>
          <w:spacing w:val="-5"/>
          <w:w w:val="110"/>
        </w:rPr>
        <w:t> </w:t>
      </w:r>
      <w:r>
        <w:rPr>
          <w:color w:val="231F1F"/>
          <w:spacing w:val="-2"/>
          <w:w w:val="110"/>
        </w:rPr>
        <w:t>con</w:t>
      </w:r>
      <w:r>
        <w:rPr>
          <w:color w:val="231F1F"/>
          <w:spacing w:val="-5"/>
          <w:w w:val="110"/>
        </w:rPr>
        <w:t> </w:t>
      </w:r>
      <w:r>
        <w:rPr>
          <w:color w:val="231F1F"/>
          <w:spacing w:val="-2"/>
          <w:w w:val="110"/>
        </w:rPr>
        <w:t>sutura</w:t>
      </w:r>
      <w:r>
        <w:rPr>
          <w:color w:val="231F1F"/>
          <w:spacing w:val="-6"/>
          <w:w w:val="110"/>
        </w:rPr>
        <w:t> </w:t>
      </w:r>
      <w:r>
        <w:rPr>
          <w:color w:val="231F1F"/>
          <w:spacing w:val="-2"/>
          <w:w w:val="110"/>
        </w:rPr>
        <w:t>transcutánea con</w:t>
      </w:r>
      <w:r>
        <w:rPr>
          <w:color w:val="231F1F"/>
          <w:spacing w:val="-11"/>
          <w:w w:val="110"/>
        </w:rPr>
        <w:t> </w:t>
      </w:r>
      <w:r>
        <w:rPr>
          <w:color w:val="231F1F"/>
          <w:spacing w:val="-2"/>
          <w:w w:val="110"/>
        </w:rPr>
        <w:t>puntos</w:t>
      </w:r>
      <w:r>
        <w:rPr>
          <w:color w:val="231F1F"/>
          <w:spacing w:val="-11"/>
          <w:w w:val="110"/>
        </w:rPr>
        <w:t> </w:t>
      </w:r>
      <w:r>
        <w:rPr>
          <w:color w:val="231F1F"/>
          <w:spacing w:val="-2"/>
          <w:w w:val="110"/>
        </w:rPr>
        <w:t>entrecortados,</w:t>
      </w:r>
      <w:r>
        <w:rPr>
          <w:color w:val="231F1F"/>
          <w:spacing w:val="-11"/>
          <w:w w:val="110"/>
        </w:rPr>
        <w:t> </w:t>
      </w:r>
      <w:r>
        <w:rPr>
          <w:color w:val="231F1F"/>
          <w:spacing w:val="-2"/>
          <w:w w:val="110"/>
        </w:rPr>
        <w:t>ya</w:t>
      </w:r>
      <w:r>
        <w:rPr>
          <w:color w:val="231F1F"/>
          <w:spacing w:val="-11"/>
          <w:w w:val="110"/>
        </w:rPr>
        <w:t> </w:t>
      </w:r>
      <w:r>
        <w:rPr>
          <w:color w:val="231F1F"/>
          <w:spacing w:val="-2"/>
          <w:w w:val="110"/>
        </w:rPr>
        <w:t>que</w:t>
      </w:r>
      <w:r>
        <w:rPr>
          <w:color w:val="231F1F"/>
          <w:spacing w:val="-11"/>
          <w:w w:val="110"/>
        </w:rPr>
        <w:t> </w:t>
      </w:r>
      <w:r>
        <w:rPr>
          <w:color w:val="231F1F"/>
          <w:spacing w:val="-2"/>
          <w:w w:val="110"/>
        </w:rPr>
        <w:t>está</w:t>
      </w:r>
      <w:r>
        <w:rPr>
          <w:color w:val="231F1F"/>
          <w:spacing w:val="-11"/>
          <w:w w:val="110"/>
        </w:rPr>
        <w:t> </w:t>
      </w:r>
      <w:r>
        <w:rPr>
          <w:color w:val="231F1F"/>
          <w:spacing w:val="-2"/>
          <w:w w:val="110"/>
        </w:rPr>
        <w:t>asociada</w:t>
      </w:r>
      <w:r>
        <w:rPr>
          <w:color w:val="231F1F"/>
          <w:spacing w:val="-11"/>
          <w:w w:val="110"/>
        </w:rPr>
        <w:t> </w:t>
      </w:r>
      <w:r>
        <w:rPr>
          <w:color w:val="231F1F"/>
          <w:spacing w:val="-2"/>
          <w:w w:val="110"/>
        </w:rPr>
        <w:t>con</w:t>
      </w:r>
      <w:r>
        <w:rPr>
          <w:color w:val="231F1F"/>
          <w:spacing w:val="-11"/>
          <w:w w:val="110"/>
        </w:rPr>
        <w:t> </w:t>
      </w:r>
      <w:r>
        <w:rPr>
          <w:color w:val="231F1F"/>
          <w:spacing w:val="-2"/>
          <w:w w:val="110"/>
        </w:rPr>
        <w:t>menor</w:t>
      </w:r>
      <w:r>
        <w:rPr>
          <w:color w:val="231F1F"/>
          <w:spacing w:val="-11"/>
          <w:w w:val="110"/>
        </w:rPr>
        <w:t> </w:t>
      </w:r>
      <w:r>
        <w:rPr>
          <w:color w:val="231F1F"/>
          <w:spacing w:val="-2"/>
          <w:w w:val="110"/>
        </w:rPr>
        <w:t>dolor</w:t>
      </w:r>
      <w:r>
        <w:rPr>
          <w:color w:val="231F1F"/>
          <w:spacing w:val="-11"/>
          <w:w w:val="110"/>
        </w:rPr>
        <w:t> </w:t>
      </w:r>
      <w:r>
        <w:rPr>
          <w:color w:val="231F1F"/>
          <w:spacing w:val="-2"/>
          <w:w w:val="110"/>
        </w:rPr>
        <w:t>a</w:t>
      </w:r>
      <w:r>
        <w:rPr>
          <w:color w:val="231F1F"/>
          <w:spacing w:val="-11"/>
          <w:w w:val="110"/>
        </w:rPr>
        <w:t> </w:t>
      </w:r>
      <w:r>
        <w:rPr>
          <w:color w:val="231F1F"/>
          <w:spacing w:val="-2"/>
          <w:w w:val="110"/>
        </w:rPr>
        <w:t>corto</w:t>
      </w:r>
      <w:r>
        <w:rPr>
          <w:color w:val="231F1F"/>
          <w:spacing w:val="-11"/>
          <w:w w:val="110"/>
        </w:rPr>
        <w:t> </w:t>
      </w:r>
      <w:r>
        <w:rPr>
          <w:color w:val="231F1F"/>
          <w:spacing w:val="-2"/>
          <w:w w:val="110"/>
        </w:rPr>
        <w:t>plazo </w:t>
      </w:r>
      <w:r>
        <w:rPr>
          <w:color w:val="231F1F"/>
        </w:rPr>
        <w:t>(10 días) (160): OR 0,68 [IC 95% 0,53 a 0,86] e incomodidad a corto plazo (10</w:t>
      </w:r>
    </w:p>
    <w:p>
      <w:pPr>
        <w:pStyle w:val="BodyText"/>
        <w:spacing w:line="261" w:lineRule="auto" w:before="13"/>
        <w:ind w:left="283"/>
        <w:jc w:val="both"/>
      </w:pPr>
      <w:r>
        <w:rPr>
          <w:color w:val="231F1F"/>
        </w:rPr>
        <w:t>días) (161): OR 0,58 [IC 95% 0,46 a 0,74] y con un mayor grado de satisfacción de las mujeres a los tres y doce meses: OR 1,64 [IC 95% 1,28 a 2,11] y OR 1,68 [IC</w:t>
      </w:r>
      <w:r>
        <w:rPr>
          <w:color w:val="231F1F"/>
          <w:spacing w:val="26"/>
        </w:rPr>
        <w:t> </w:t>
      </w:r>
      <w:r>
        <w:rPr>
          <w:color w:val="231F1F"/>
        </w:rPr>
        <w:t>95%</w:t>
      </w:r>
      <w:r>
        <w:rPr>
          <w:color w:val="231F1F"/>
          <w:spacing w:val="25"/>
        </w:rPr>
        <w:t> </w:t>
      </w:r>
      <w:r>
        <w:rPr>
          <w:color w:val="231F1F"/>
        </w:rPr>
        <w:t>1,27</w:t>
      </w:r>
      <w:r>
        <w:rPr>
          <w:color w:val="231F1F"/>
          <w:spacing w:val="26"/>
        </w:rPr>
        <w:t> </w:t>
      </w:r>
      <w:r>
        <w:rPr>
          <w:color w:val="231F1F"/>
        </w:rPr>
        <w:t>a</w:t>
      </w:r>
      <w:r>
        <w:rPr>
          <w:color w:val="231F1F"/>
          <w:spacing w:val="26"/>
        </w:rPr>
        <w:t> </w:t>
      </w:r>
      <w:r>
        <w:rPr>
          <w:color w:val="231F1F"/>
        </w:rPr>
        <w:t>2,21],</w:t>
      </w:r>
      <w:r>
        <w:rPr>
          <w:color w:val="231F1F"/>
          <w:spacing w:val="26"/>
        </w:rPr>
        <w:t> </w:t>
      </w:r>
      <w:r>
        <w:rPr>
          <w:color w:val="231F1F"/>
        </w:rPr>
        <w:t>respectivamente.</w:t>
      </w:r>
      <w:r>
        <w:rPr>
          <w:color w:val="231F1F"/>
          <w:spacing w:val="27"/>
        </w:rPr>
        <w:t> </w:t>
      </w:r>
      <w:r>
        <w:rPr>
          <w:color w:val="231F1F"/>
        </w:rPr>
        <w:t>También</w:t>
      </w:r>
      <w:r>
        <w:rPr>
          <w:color w:val="231F1F"/>
          <w:spacing w:val="26"/>
        </w:rPr>
        <w:t> </w:t>
      </w:r>
      <w:r>
        <w:rPr>
          <w:color w:val="231F1F"/>
        </w:rPr>
        <w:t>se</w:t>
      </w:r>
      <w:r>
        <w:rPr>
          <w:color w:val="231F1F"/>
          <w:spacing w:val="26"/>
        </w:rPr>
        <w:t> </w:t>
      </w:r>
      <w:r>
        <w:rPr>
          <w:color w:val="231F1F"/>
        </w:rPr>
        <w:t>observó,</w:t>
      </w:r>
      <w:r>
        <w:rPr>
          <w:color w:val="231F1F"/>
          <w:spacing w:val="26"/>
        </w:rPr>
        <w:t> </w:t>
      </w:r>
      <w:r>
        <w:rPr>
          <w:color w:val="231F1F"/>
        </w:rPr>
        <w:t>una</w:t>
      </w:r>
      <w:r>
        <w:rPr>
          <w:color w:val="231F1F"/>
          <w:spacing w:val="26"/>
        </w:rPr>
        <w:t> </w:t>
      </w:r>
      <w:r>
        <w:rPr>
          <w:color w:val="231F1F"/>
        </w:rPr>
        <w:t>mayor</w:t>
      </w:r>
      <w:r>
        <w:rPr>
          <w:color w:val="231F1F"/>
          <w:spacing w:val="26"/>
        </w:rPr>
        <w:t> </w:t>
      </w:r>
      <w:r>
        <w:rPr>
          <w:color w:val="231F1F"/>
        </w:rPr>
        <w:t>«vuel- ta</w:t>
      </w:r>
      <w:r>
        <w:rPr>
          <w:color w:val="231F1F"/>
          <w:spacing w:val="33"/>
        </w:rPr>
        <w:t> </w:t>
      </w:r>
      <w:r>
        <w:rPr>
          <w:color w:val="231F1F"/>
        </w:rPr>
        <w:t>a</w:t>
      </w:r>
      <w:r>
        <w:rPr>
          <w:color w:val="231F1F"/>
          <w:spacing w:val="33"/>
        </w:rPr>
        <w:t> </w:t>
      </w:r>
      <w:r>
        <w:rPr>
          <w:color w:val="231F1F"/>
        </w:rPr>
        <w:t>la</w:t>
      </w:r>
      <w:r>
        <w:rPr>
          <w:color w:val="231F1F"/>
          <w:spacing w:val="33"/>
        </w:rPr>
        <w:t> </w:t>
      </w:r>
      <w:r>
        <w:rPr>
          <w:color w:val="231F1F"/>
        </w:rPr>
        <w:t>normalidad»</w:t>
      </w:r>
      <w:r>
        <w:rPr>
          <w:color w:val="231F1F"/>
          <w:spacing w:val="33"/>
        </w:rPr>
        <w:t> </w:t>
      </w:r>
      <w:r>
        <w:rPr>
          <w:color w:val="231F1F"/>
        </w:rPr>
        <w:t>a</w:t>
      </w:r>
      <w:r>
        <w:rPr>
          <w:color w:val="231F1F"/>
          <w:spacing w:val="33"/>
        </w:rPr>
        <w:t> </w:t>
      </w:r>
      <w:r>
        <w:rPr>
          <w:color w:val="231F1F"/>
        </w:rPr>
        <w:t>los</w:t>
      </w:r>
      <w:r>
        <w:rPr>
          <w:color w:val="231F1F"/>
          <w:spacing w:val="33"/>
        </w:rPr>
        <w:t> </w:t>
      </w:r>
      <w:r>
        <w:rPr>
          <w:color w:val="231F1F"/>
        </w:rPr>
        <w:t>tres</w:t>
      </w:r>
      <w:r>
        <w:rPr>
          <w:color w:val="231F1F"/>
          <w:spacing w:val="33"/>
        </w:rPr>
        <w:t> </w:t>
      </w:r>
      <w:r>
        <w:rPr>
          <w:color w:val="231F1F"/>
        </w:rPr>
        <w:t>meses:</w:t>
      </w:r>
      <w:r>
        <w:rPr>
          <w:color w:val="231F1F"/>
          <w:spacing w:val="33"/>
        </w:rPr>
        <w:t> </w:t>
      </w:r>
      <w:r>
        <w:rPr>
          <w:color w:val="231F1F"/>
        </w:rPr>
        <w:t>OR</w:t>
      </w:r>
      <w:r>
        <w:rPr>
          <w:color w:val="231F1F"/>
          <w:spacing w:val="33"/>
        </w:rPr>
        <w:t> </w:t>
      </w:r>
      <w:r>
        <w:rPr>
          <w:color w:val="231F1F"/>
        </w:rPr>
        <w:t>1,55</w:t>
      </w:r>
      <w:r>
        <w:rPr>
          <w:color w:val="231F1F"/>
          <w:spacing w:val="33"/>
        </w:rPr>
        <w:t> </w:t>
      </w:r>
      <w:r>
        <w:rPr>
          <w:color w:val="231F1F"/>
        </w:rPr>
        <w:t>[IC</w:t>
      </w:r>
      <w:r>
        <w:rPr>
          <w:color w:val="231F1F"/>
          <w:spacing w:val="33"/>
        </w:rPr>
        <w:t> </w:t>
      </w:r>
      <w:r>
        <w:rPr>
          <w:color w:val="231F1F"/>
        </w:rPr>
        <w:t>95%</w:t>
      </w:r>
      <w:r>
        <w:rPr>
          <w:color w:val="231F1F"/>
          <w:spacing w:val="33"/>
        </w:rPr>
        <w:t> </w:t>
      </w:r>
      <w:r>
        <w:rPr>
          <w:color w:val="231F1F"/>
        </w:rPr>
        <w:t>1,26</w:t>
      </w:r>
      <w:r>
        <w:rPr>
          <w:color w:val="231F1F"/>
          <w:spacing w:val="33"/>
        </w:rPr>
        <w:t> </w:t>
      </w:r>
      <w:r>
        <w:rPr>
          <w:color w:val="231F1F"/>
        </w:rPr>
        <w:t>a</w:t>
      </w:r>
      <w:r>
        <w:rPr>
          <w:color w:val="231F1F"/>
          <w:spacing w:val="33"/>
        </w:rPr>
        <w:t> </w:t>
      </w:r>
      <w:r>
        <w:rPr>
          <w:color w:val="231F1F"/>
        </w:rPr>
        <w:t>1,92]</w:t>
      </w:r>
      <w:r>
        <w:rPr>
          <w:color w:val="231F1F"/>
          <w:spacing w:val="33"/>
        </w:rPr>
        <w:t> </w:t>
      </w:r>
      <w:r>
        <w:rPr>
          <w:color w:val="231F1F"/>
        </w:rPr>
        <w:t>(161)</w:t>
      </w:r>
      <w:r>
        <w:rPr>
          <w:color w:val="231F1F"/>
          <w:spacing w:val="33"/>
        </w:rPr>
        <w:t> </w:t>
      </w:r>
      <w:r>
        <w:rPr>
          <w:color w:val="231F1F"/>
        </w:rPr>
        <w:t>en las</w:t>
      </w:r>
      <w:r>
        <w:rPr>
          <w:color w:val="231F1F"/>
          <w:spacing w:val="40"/>
        </w:rPr>
        <w:t> </w:t>
      </w:r>
      <w:r>
        <w:rPr>
          <w:color w:val="231F1F"/>
        </w:rPr>
        <w:t>mujeres</w:t>
      </w:r>
      <w:r>
        <w:rPr>
          <w:color w:val="231F1F"/>
          <w:spacing w:val="40"/>
        </w:rPr>
        <w:t> </w:t>
      </w:r>
      <w:r>
        <w:rPr>
          <w:color w:val="231F1F"/>
        </w:rPr>
        <w:t>con</w:t>
      </w:r>
      <w:r>
        <w:rPr>
          <w:color w:val="231F1F"/>
          <w:spacing w:val="40"/>
        </w:rPr>
        <w:t> </w:t>
      </w:r>
      <w:r>
        <w:rPr>
          <w:color w:val="231F1F"/>
        </w:rPr>
        <w:t>sutura</w:t>
      </w:r>
      <w:r>
        <w:rPr>
          <w:color w:val="231F1F"/>
          <w:spacing w:val="40"/>
        </w:rPr>
        <w:t> </w:t>
      </w:r>
      <w:r>
        <w:rPr>
          <w:color w:val="231F1F"/>
        </w:rPr>
        <w:t>intradérmica</w:t>
      </w:r>
      <w:r>
        <w:rPr>
          <w:color w:val="231F1F"/>
          <w:spacing w:val="40"/>
        </w:rPr>
        <w:t> </w:t>
      </w:r>
      <w:r>
        <w:rPr>
          <w:color w:val="231F1F"/>
        </w:rPr>
        <w:t>continua.</w:t>
      </w:r>
    </w:p>
    <w:p>
      <w:pPr>
        <w:pStyle w:val="BodyText"/>
        <w:spacing w:line="247" w:lineRule="auto" w:before="76"/>
        <w:ind w:left="283" w:right="1"/>
        <w:jc w:val="both"/>
      </w:pPr>
      <w:r>
        <w:rPr>
          <w:color w:val="231F1F"/>
          <w:w w:val="110"/>
        </w:rPr>
        <w:t>El método de los dos planos de sutura comparado con el de tres planos no muestra</w:t>
      </w:r>
      <w:r>
        <w:rPr>
          <w:color w:val="231F1F"/>
          <w:spacing w:val="-8"/>
          <w:w w:val="110"/>
        </w:rPr>
        <w:t> </w:t>
      </w:r>
      <w:r>
        <w:rPr>
          <w:color w:val="231F1F"/>
          <w:w w:val="110"/>
        </w:rPr>
        <w:t>una</w:t>
      </w:r>
      <w:r>
        <w:rPr>
          <w:color w:val="231F1F"/>
          <w:spacing w:val="-9"/>
          <w:w w:val="110"/>
        </w:rPr>
        <w:t> </w:t>
      </w:r>
      <w:r>
        <w:rPr>
          <w:color w:val="231F1F"/>
          <w:w w:val="110"/>
        </w:rPr>
        <w:t>mayor</w:t>
      </w:r>
      <w:r>
        <w:rPr>
          <w:color w:val="231F1F"/>
          <w:spacing w:val="-9"/>
          <w:w w:val="110"/>
        </w:rPr>
        <w:t> </w:t>
      </w:r>
      <w:r>
        <w:rPr>
          <w:color w:val="231F1F"/>
          <w:w w:val="110"/>
        </w:rPr>
        <w:t>dehiscencia</w:t>
      </w:r>
      <w:r>
        <w:rPr>
          <w:color w:val="231F1F"/>
          <w:spacing w:val="-9"/>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herida:</w:t>
      </w:r>
      <w:r>
        <w:rPr>
          <w:color w:val="231F1F"/>
          <w:spacing w:val="-9"/>
          <w:w w:val="110"/>
        </w:rPr>
        <w:t> </w:t>
      </w:r>
      <w:r>
        <w:rPr>
          <w:color w:val="231F1F"/>
          <w:w w:val="110"/>
        </w:rPr>
        <w:t>RR</w:t>
      </w:r>
      <w:r>
        <w:rPr>
          <w:color w:val="231F1F"/>
          <w:spacing w:val="-8"/>
          <w:w w:val="110"/>
        </w:rPr>
        <w:t> </w:t>
      </w:r>
      <w:r>
        <w:rPr>
          <w:color w:val="231F1F"/>
          <w:w w:val="110"/>
        </w:rPr>
        <w:t>1,27</w:t>
      </w:r>
      <w:r>
        <w:rPr>
          <w:color w:val="231F1F"/>
          <w:spacing w:val="-8"/>
          <w:w w:val="110"/>
        </w:rPr>
        <w:t> </w:t>
      </w:r>
      <w:r>
        <w:rPr>
          <w:color w:val="231F1F"/>
          <w:w w:val="110"/>
        </w:rPr>
        <w:t>[IC</w:t>
      </w:r>
      <w:r>
        <w:rPr>
          <w:color w:val="231F1F"/>
          <w:spacing w:val="-8"/>
          <w:w w:val="110"/>
        </w:rPr>
        <w:t> </w:t>
      </w:r>
      <w:r>
        <w:rPr>
          <w:color w:val="231F1F"/>
          <w:w w:val="110"/>
        </w:rPr>
        <w:t>95%</w:t>
      </w:r>
      <w:r>
        <w:rPr>
          <w:color w:val="231F1F"/>
          <w:spacing w:val="-7"/>
          <w:w w:val="110"/>
        </w:rPr>
        <w:t> </w:t>
      </w:r>
      <w:r>
        <w:rPr>
          <w:color w:val="231F1F"/>
          <w:w w:val="110"/>
        </w:rPr>
        <w:t>0,56</w:t>
      </w:r>
      <w:r>
        <w:rPr>
          <w:color w:val="231F1F"/>
          <w:spacing w:val="-8"/>
          <w:w w:val="110"/>
        </w:rPr>
        <w:t> </w:t>
      </w:r>
      <w:r>
        <w:rPr>
          <w:color w:val="231F1F"/>
          <w:w w:val="110"/>
        </w:rPr>
        <w:t>a</w:t>
      </w:r>
      <w:r>
        <w:rPr>
          <w:color w:val="231F1F"/>
          <w:spacing w:val="-8"/>
          <w:w w:val="110"/>
        </w:rPr>
        <w:t> </w:t>
      </w:r>
      <w:r>
        <w:rPr>
          <w:color w:val="231F1F"/>
          <w:w w:val="110"/>
        </w:rPr>
        <w:t>2,85]. Sin</w:t>
      </w:r>
      <w:r>
        <w:rPr>
          <w:color w:val="231F1F"/>
          <w:spacing w:val="-16"/>
          <w:w w:val="110"/>
        </w:rPr>
        <w:t> </w:t>
      </w:r>
      <w:r>
        <w:rPr>
          <w:color w:val="231F1F"/>
          <w:w w:val="110"/>
        </w:rPr>
        <w:t>embargo,</w:t>
      </w:r>
      <w:r>
        <w:rPr>
          <w:color w:val="231F1F"/>
          <w:spacing w:val="-15"/>
          <w:w w:val="110"/>
        </w:rPr>
        <w:t> </w:t>
      </w:r>
      <w:r>
        <w:rPr>
          <w:color w:val="231F1F"/>
          <w:w w:val="110"/>
        </w:rPr>
        <w:t>presenta</w:t>
      </w:r>
      <w:r>
        <w:rPr>
          <w:color w:val="231F1F"/>
          <w:spacing w:val="-15"/>
          <w:w w:val="110"/>
        </w:rPr>
        <w:t> </w:t>
      </w:r>
      <w:r>
        <w:rPr>
          <w:color w:val="231F1F"/>
          <w:w w:val="110"/>
        </w:rPr>
        <w:t>mayor</w:t>
      </w:r>
      <w:r>
        <w:rPr>
          <w:color w:val="231F1F"/>
          <w:spacing w:val="-15"/>
          <w:w w:val="110"/>
        </w:rPr>
        <w:t> </w:t>
      </w:r>
      <w:r>
        <w:rPr>
          <w:color w:val="231F1F"/>
          <w:w w:val="110"/>
        </w:rPr>
        <w:t>abertura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herida</w:t>
      </w:r>
      <w:r>
        <w:rPr>
          <w:color w:val="231F1F"/>
          <w:spacing w:val="-15"/>
          <w:w w:val="110"/>
        </w:rPr>
        <w:t> </w:t>
      </w:r>
      <w:r>
        <w:rPr>
          <w:color w:val="231F1F"/>
          <w:w w:val="110"/>
        </w:rPr>
        <w:t>(bordes</w:t>
      </w:r>
      <w:r>
        <w:rPr>
          <w:color w:val="231F1F"/>
          <w:spacing w:val="-16"/>
          <w:w w:val="110"/>
        </w:rPr>
        <w:t> </w:t>
      </w:r>
      <w:r>
        <w:rPr>
          <w:color w:val="231F1F"/>
          <w:w w:val="110"/>
        </w:rPr>
        <w:t>separados</w:t>
      </w:r>
      <w:r>
        <w:rPr>
          <w:color w:val="231F1F"/>
          <w:spacing w:val="-15"/>
          <w:w w:val="110"/>
        </w:rPr>
        <w:t> </w:t>
      </w:r>
      <w:r>
        <w:rPr>
          <w:color w:val="231F1F"/>
          <w:w w:val="110"/>
        </w:rPr>
        <w:t>más</w:t>
      </w:r>
      <w:r>
        <w:rPr>
          <w:color w:val="231F1F"/>
          <w:spacing w:val="-15"/>
          <w:w w:val="110"/>
        </w:rPr>
        <w:t> </w:t>
      </w:r>
      <w:r>
        <w:rPr>
          <w:color w:val="231F1F"/>
          <w:w w:val="110"/>
        </w:rPr>
        <w:t>de </w:t>
      </w:r>
      <w:r>
        <w:rPr>
          <w:color w:val="231F1F"/>
        </w:rPr>
        <w:t>0,5 cm) al décimo día: 26% vs 5%, p&lt;0,00001 (162) y RR 4,96 [IC 95% 3,17 a </w:t>
      </w:r>
      <w:r>
        <w:rPr>
          <w:color w:val="231F1F"/>
          <w:w w:val="110"/>
        </w:rPr>
        <w:t>7,76]</w:t>
      </w:r>
      <w:r>
        <w:rPr>
          <w:color w:val="231F1F"/>
          <w:spacing w:val="-16"/>
          <w:w w:val="110"/>
        </w:rPr>
        <w:t> </w:t>
      </w:r>
      <w:r>
        <w:rPr>
          <w:color w:val="231F1F"/>
          <w:w w:val="110"/>
        </w:rPr>
        <w:t>(163).</w:t>
      </w:r>
      <w:r>
        <w:rPr>
          <w:color w:val="231F1F"/>
          <w:spacing w:val="-15"/>
          <w:w w:val="110"/>
        </w:rPr>
        <w:t> </w:t>
      </w:r>
      <w:r>
        <w:rPr>
          <w:color w:val="231F1F"/>
          <w:w w:val="110"/>
        </w:rPr>
        <w:t>Aunque,</w:t>
      </w:r>
      <w:r>
        <w:rPr>
          <w:color w:val="231F1F"/>
          <w:spacing w:val="-15"/>
          <w:w w:val="110"/>
        </w:rPr>
        <w:t> </w:t>
      </w:r>
      <w:r>
        <w:rPr>
          <w:color w:val="231F1F"/>
          <w:w w:val="110"/>
        </w:rPr>
        <w:t>esta</w:t>
      </w:r>
      <w:r>
        <w:rPr>
          <w:color w:val="231F1F"/>
          <w:spacing w:val="-15"/>
          <w:w w:val="110"/>
        </w:rPr>
        <w:t> </w:t>
      </w:r>
      <w:r>
        <w:rPr>
          <w:color w:val="231F1F"/>
          <w:w w:val="110"/>
        </w:rPr>
        <w:t>diferencia</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frecuencia</w:t>
      </w:r>
      <w:r>
        <w:rPr>
          <w:color w:val="231F1F"/>
          <w:spacing w:val="-15"/>
          <w:w w:val="110"/>
        </w:rPr>
        <w:t> </w:t>
      </w:r>
      <w:r>
        <w:rPr>
          <w:color w:val="231F1F"/>
          <w:w w:val="110"/>
        </w:rPr>
        <w:t>de</w:t>
      </w:r>
      <w:r>
        <w:rPr>
          <w:color w:val="231F1F"/>
          <w:spacing w:val="-16"/>
          <w:w w:val="110"/>
        </w:rPr>
        <w:t> </w:t>
      </w:r>
      <w:r>
        <w:rPr>
          <w:color w:val="231F1F"/>
          <w:w w:val="110"/>
        </w:rPr>
        <w:t>abertura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herida no</w:t>
      </w:r>
      <w:r>
        <w:rPr>
          <w:color w:val="231F1F"/>
          <w:spacing w:val="-16"/>
          <w:w w:val="110"/>
        </w:rPr>
        <w:t> </w:t>
      </w:r>
      <w:r>
        <w:rPr>
          <w:color w:val="231F1F"/>
          <w:w w:val="110"/>
        </w:rPr>
        <w:t>fue</w:t>
      </w:r>
      <w:r>
        <w:rPr>
          <w:color w:val="231F1F"/>
          <w:spacing w:val="-15"/>
          <w:w w:val="110"/>
        </w:rPr>
        <w:t> </w:t>
      </w:r>
      <w:r>
        <w:rPr>
          <w:color w:val="231F1F"/>
          <w:w w:val="110"/>
        </w:rPr>
        <w:t>estadísticamente</w:t>
      </w:r>
      <w:r>
        <w:rPr>
          <w:color w:val="231F1F"/>
          <w:spacing w:val="-15"/>
          <w:w w:val="110"/>
        </w:rPr>
        <w:t> </w:t>
      </w:r>
      <w:r>
        <w:rPr>
          <w:color w:val="231F1F"/>
          <w:w w:val="110"/>
        </w:rPr>
        <w:t>significativa</w:t>
      </w:r>
      <w:r>
        <w:rPr>
          <w:color w:val="231F1F"/>
          <w:spacing w:val="-15"/>
          <w:w w:val="110"/>
        </w:rPr>
        <w:t> </w:t>
      </w:r>
      <w:r>
        <w:rPr>
          <w:color w:val="231F1F"/>
          <w:w w:val="110"/>
        </w:rPr>
        <w:t>a</w:t>
      </w:r>
      <w:r>
        <w:rPr>
          <w:color w:val="231F1F"/>
          <w:spacing w:val="-15"/>
          <w:w w:val="110"/>
        </w:rPr>
        <w:t> </w:t>
      </w:r>
      <w:r>
        <w:rPr>
          <w:color w:val="231F1F"/>
          <w:w w:val="110"/>
        </w:rPr>
        <w:t>los</w:t>
      </w:r>
      <w:r>
        <w:rPr>
          <w:color w:val="231F1F"/>
          <w:spacing w:val="-15"/>
          <w:w w:val="110"/>
        </w:rPr>
        <w:t> </w:t>
      </w:r>
      <w:r>
        <w:rPr>
          <w:color w:val="231F1F"/>
          <w:w w:val="110"/>
        </w:rPr>
        <w:t>14</w:t>
      </w:r>
      <w:r>
        <w:rPr>
          <w:color w:val="231F1F"/>
          <w:spacing w:val="-15"/>
          <w:w w:val="110"/>
        </w:rPr>
        <w:t> </w:t>
      </w:r>
      <w:r>
        <w:rPr>
          <w:color w:val="231F1F"/>
          <w:w w:val="110"/>
        </w:rPr>
        <w:t>días:</w:t>
      </w:r>
      <w:r>
        <w:rPr>
          <w:color w:val="231F1F"/>
          <w:spacing w:val="-15"/>
          <w:w w:val="110"/>
        </w:rPr>
        <w:t> </w:t>
      </w:r>
      <w:r>
        <w:rPr>
          <w:color w:val="231F1F"/>
          <w:w w:val="110"/>
        </w:rPr>
        <w:t>21%</w:t>
      </w:r>
      <w:r>
        <w:rPr>
          <w:color w:val="231F1F"/>
          <w:spacing w:val="-16"/>
          <w:w w:val="110"/>
        </w:rPr>
        <w:t> </w:t>
      </w:r>
      <w:r>
        <w:rPr>
          <w:color w:val="231F1F"/>
          <w:w w:val="110"/>
        </w:rPr>
        <w:t>vs</w:t>
      </w:r>
      <w:r>
        <w:rPr>
          <w:color w:val="231F1F"/>
          <w:spacing w:val="-15"/>
          <w:w w:val="110"/>
        </w:rPr>
        <w:t> </w:t>
      </w:r>
      <w:r>
        <w:rPr>
          <w:color w:val="231F1F"/>
          <w:w w:val="110"/>
        </w:rPr>
        <w:t>17%,</w:t>
      </w:r>
      <w:r>
        <w:rPr>
          <w:color w:val="231F1F"/>
          <w:spacing w:val="-15"/>
          <w:w w:val="110"/>
        </w:rPr>
        <w:t> </w:t>
      </w:r>
      <w:r>
        <w:rPr>
          <w:color w:val="231F1F"/>
          <w:w w:val="110"/>
        </w:rPr>
        <w:t>RR</w:t>
      </w:r>
      <w:r>
        <w:rPr>
          <w:color w:val="231F1F"/>
          <w:spacing w:val="-15"/>
          <w:w w:val="110"/>
        </w:rPr>
        <w:t> </w:t>
      </w:r>
      <w:r>
        <w:rPr>
          <w:color w:val="231F1F"/>
          <w:w w:val="110"/>
        </w:rPr>
        <w:t>1,25</w:t>
      </w:r>
      <w:r>
        <w:rPr>
          <w:color w:val="231F1F"/>
          <w:spacing w:val="-15"/>
          <w:w w:val="110"/>
        </w:rPr>
        <w:t> </w:t>
      </w:r>
      <w:r>
        <w:rPr>
          <w:color w:val="231F1F"/>
          <w:w w:val="110"/>
        </w:rPr>
        <w:t>[IC 95%: 0,94 a 1,67] (163).</w:t>
      </w:r>
    </w:p>
    <w:p>
      <w:pPr>
        <w:pStyle w:val="BodyText"/>
        <w:spacing w:line="244" w:lineRule="auto" w:before="110"/>
        <w:ind w:left="326" w:firstLine="428"/>
      </w:pPr>
      <w:r>
        <w:rPr>
          <w:color w:val="231F1F"/>
          <w:w w:val="105"/>
        </w:rPr>
        <w:t>Las</w:t>
      </w:r>
      <w:r>
        <w:rPr>
          <w:color w:val="231F1F"/>
          <w:w w:val="105"/>
        </w:rPr>
        <w:t> mujeres</w:t>
      </w:r>
      <w:r>
        <w:rPr>
          <w:color w:val="231F1F"/>
          <w:w w:val="105"/>
        </w:rPr>
        <w:t> con</w:t>
      </w:r>
      <w:r>
        <w:rPr>
          <w:color w:val="231F1F"/>
          <w:w w:val="105"/>
        </w:rPr>
        <w:t> sutura</w:t>
      </w:r>
      <w:r>
        <w:rPr>
          <w:color w:val="231F1F"/>
          <w:w w:val="105"/>
        </w:rPr>
        <w:t> en</w:t>
      </w:r>
      <w:r>
        <w:rPr>
          <w:color w:val="231F1F"/>
          <w:w w:val="105"/>
        </w:rPr>
        <w:t> dos-planos</w:t>
      </w:r>
      <w:r>
        <w:rPr>
          <w:color w:val="231F1F"/>
          <w:w w:val="105"/>
        </w:rPr>
        <w:t> informaron</w:t>
      </w:r>
      <w:r>
        <w:rPr>
          <w:color w:val="231F1F"/>
          <w:w w:val="105"/>
        </w:rPr>
        <w:t> una</w:t>
      </w:r>
      <w:r>
        <w:rPr>
          <w:color w:val="231F1F"/>
          <w:w w:val="105"/>
        </w:rPr>
        <w:t> menor</w:t>
      </w:r>
      <w:r>
        <w:rPr>
          <w:color w:val="231F1F"/>
          <w:w w:val="105"/>
        </w:rPr>
        <w:t> incidencia de:</w:t>
      </w:r>
      <w:r>
        <w:rPr>
          <w:color w:val="231F1F"/>
          <w:spacing w:val="2"/>
          <w:w w:val="105"/>
        </w:rPr>
        <w:t> </w:t>
      </w:r>
      <w:r>
        <w:rPr>
          <w:color w:val="231F1F"/>
          <w:w w:val="105"/>
        </w:rPr>
        <w:t>tirantez</w:t>
      </w:r>
      <w:r>
        <w:rPr>
          <w:color w:val="231F1F"/>
          <w:spacing w:val="6"/>
          <w:w w:val="105"/>
        </w:rPr>
        <w:t> </w:t>
      </w:r>
      <w:r>
        <w:rPr>
          <w:color w:val="231F1F"/>
          <w:w w:val="105"/>
        </w:rPr>
        <w:t>de</w:t>
      </w:r>
      <w:r>
        <w:rPr>
          <w:color w:val="231F1F"/>
          <w:spacing w:val="7"/>
          <w:w w:val="105"/>
        </w:rPr>
        <w:t> </w:t>
      </w:r>
      <w:r>
        <w:rPr>
          <w:color w:val="231F1F"/>
          <w:w w:val="105"/>
        </w:rPr>
        <w:t>la</w:t>
      </w:r>
      <w:r>
        <w:rPr>
          <w:color w:val="231F1F"/>
          <w:spacing w:val="5"/>
          <w:w w:val="105"/>
        </w:rPr>
        <w:t> </w:t>
      </w:r>
      <w:r>
        <w:rPr>
          <w:color w:val="231F1F"/>
          <w:w w:val="105"/>
        </w:rPr>
        <w:t>sutura,</w:t>
      </w:r>
      <w:r>
        <w:rPr>
          <w:color w:val="231F1F"/>
          <w:spacing w:val="6"/>
          <w:w w:val="105"/>
        </w:rPr>
        <w:t> </w:t>
      </w:r>
      <w:r>
        <w:rPr>
          <w:color w:val="231F1F"/>
          <w:w w:val="105"/>
        </w:rPr>
        <w:t>RR</w:t>
      </w:r>
      <w:r>
        <w:rPr>
          <w:color w:val="231F1F"/>
          <w:spacing w:val="5"/>
          <w:w w:val="105"/>
        </w:rPr>
        <w:t> </w:t>
      </w:r>
      <w:r>
        <w:rPr>
          <w:color w:val="231F1F"/>
          <w:w w:val="105"/>
        </w:rPr>
        <w:t>0,77</w:t>
      </w:r>
      <w:r>
        <w:rPr>
          <w:color w:val="231F1F"/>
          <w:spacing w:val="6"/>
          <w:w w:val="105"/>
        </w:rPr>
        <w:t> </w:t>
      </w:r>
      <w:r>
        <w:rPr>
          <w:color w:val="231F1F"/>
          <w:w w:val="105"/>
        </w:rPr>
        <w:t>[IC</w:t>
      </w:r>
      <w:r>
        <w:rPr>
          <w:color w:val="231F1F"/>
          <w:spacing w:val="7"/>
          <w:w w:val="105"/>
        </w:rPr>
        <w:t> </w:t>
      </w:r>
      <w:r>
        <w:rPr>
          <w:color w:val="231F1F"/>
          <w:w w:val="105"/>
        </w:rPr>
        <w:t>95%</w:t>
      </w:r>
      <w:r>
        <w:rPr>
          <w:color w:val="231F1F"/>
          <w:spacing w:val="9"/>
          <w:w w:val="105"/>
        </w:rPr>
        <w:t> </w:t>
      </w:r>
      <w:r>
        <w:rPr>
          <w:color w:val="231F1F"/>
          <w:w w:val="105"/>
        </w:rPr>
        <w:t>0,62</w:t>
      </w:r>
      <w:r>
        <w:rPr>
          <w:color w:val="231F1F"/>
          <w:spacing w:val="7"/>
          <w:w w:val="105"/>
        </w:rPr>
        <w:t> </w:t>
      </w:r>
      <w:r>
        <w:rPr>
          <w:color w:val="231F1F"/>
          <w:w w:val="105"/>
        </w:rPr>
        <w:t>a</w:t>
      </w:r>
      <w:r>
        <w:rPr>
          <w:color w:val="231F1F"/>
          <w:spacing w:val="6"/>
          <w:w w:val="105"/>
        </w:rPr>
        <w:t> </w:t>
      </w:r>
      <w:r>
        <w:rPr>
          <w:color w:val="231F1F"/>
          <w:w w:val="105"/>
        </w:rPr>
        <w:t>0,96]</w:t>
      </w:r>
      <w:r>
        <w:rPr>
          <w:color w:val="231F1F"/>
          <w:spacing w:val="5"/>
          <w:w w:val="105"/>
        </w:rPr>
        <w:t> </w:t>
      </w:r>
      <w:r>
        <w:rPr>
          <w:color w:val="231F1F"/>
          <w:w w:val="105"/>
        </w:rPr>
        <w:t>(162),</w:t>
      </w:r>
      <w:r>
        <w:rPr>
          <w:color w:val="231F1F"/>
          <w:spacing w:val="7"/>
          <w:w w:val="105"/>
        </w:rPr>
        <w:t> </w:t>
      </w:r>
      <w:r>
        <w:rPr>
          <w:color w:val="231F1F"/>
          <w:w w:val="105"/>
        </w:rPr>
        <w:t>retirada</w:t>
      </w:r>
      <w:r>
        <w:rPr>
          <w:color w:val="231F1F"/>
          <w:spacing w:val="7"/>
          <w:w w:val="105"/>
        </w:rPr>
        <w:t> </w:t>
      </w:r>
      <w:r>
        <w:rPr>
          <w:color w:val="231F1F"/>
          <w:w w:val="105"/>
        </w:rPr>
        <w:t>de</w:t>
      </w:r>
      <w:r>
        <w:rPr>
          <w:color w:val="231F1F"/>
          <w:spacing w:val="7"/>
          <w:w w:val="105"/>
        </w:rPr>
        <w:t> </w:t>
      </w:r>
      <w:r>
        <w:rPr>
          <w:color w:val="231F1F"/>
          <w:spacing w:val="-5"/>
          <w:w w:val="105"/>
        </w:rPr>
        <w:t>su-</w:t>
      </w:r>
    </w:p>
    <w:p>
      <w:pPr>
        <w:pStyle w:val="BodyText"/>
        <w:spacing w:before="17"/>
        <w:ind w:left="373"/>
      </w:pPr>
      <w:r>
        <w:rPr>
          <w:color w:val="231F1F"/>
        </w:rPr>
        <w:t>tura:</w:t>
      </w:r>
      <w:r>
        <w:rPr>
          <w:color w:val="231F1F"/>
          <w:spacing w:val="4"/>
        </w:rPr>
        <w:t> </w:t>
      </w:r>
      <w:r>
        <w:rPr>
          <w:color w:val="231F1F"/>
        </w:rPr>
        <w:t>3%</w:t>
      </w:r>
      <w:r>
        <w:rPr>
          <w:color w:val="231F1F"/>
          <w:spacing w:val="4"/>
        </w:rPr>
        <w:t> </w:t>
      </w:r>
      <w:r>
        <w:rPr>
          <w:color w:val="231F1F"/>
        </w:rPr>
        <w:t>vs</w:t>
      </w:r>
      <w:r>
        <w:rPr>
          <w:color w:val="231F1F"/>
          <w:spacing w:val="4"/>
        </w:rPr>
        <w:t> </w:t>
      </w:r>
      <w:r>
        <w:rPr>
          <w:color w:val="231F1F"/>
        </w:rPr>
        <w:t>8%;</w:t>
      </w:r>
      <w:r>
        <w:rPr>
          <w:color w:val="231F1F"/>
          <w:spacing w:val="5"/>
        </w:rPr>
        <w:t> </w:t>
      </w:r>
      <w:r>
        <w:rPr>
          <w:color w:val="231F1F"/>
        </w:rPr>
        <w:t>p&lt;0,0001</w:t>
      </w:r>
      <w:r>
        <w:rPr>
          <w:color w:val="231F1F"/>
          <w:spacing w:val="6"/>
        </w:rPr>
        <w:t> </w:t>
      </w:r>
      <w:r>
        <w:rPr>
          <w:color w:val="231F1F"/>
        </w:rPr>
        <w:t>y</w:t>
      </w:r>
      <w:r>
        <w:rPr>
          <w:color w:val="231F1F"/>
          <w:spacing w:val="4"/>
        </w:rPr>
        <w:t> </w:t>
      </w:r>
      <w:r>
        <w:rPr>
          <w:color w:val="231F1F"/>
        </w:rPr>
        <w:t>dispareunia</w:t>
      </w:r>
      <w:r>
        <w:rPr>
          <w:color w:val="231F1F"/>
          <w:spacing w:val="4"/>
        </w:rPr>
        <w:t> </w:t>
      </w:r>
      <w:r>
        <w:rPr>
          <w:color w:val="231F1F"/>
        </w:rPr>
        <w:t>a</w:t>
      </w:r>
      <w:r>
        <w:rPr>
          <w:color w:val="231F1F"/>
          <w:spacing w:val="5"/>
        </w:rPr>
        <w:t> </w:t>
      </w:r>
      <w:r>
        <w:rPr>
          <w:color w:val="231F1F"/>
        </w:rPr>
        <w:t>los</w:t>
      </w:r>
      <w:r>
        <w:rPr>
          <w:color w:val="231F1F"/>
          <w:spacing w:val="4"/>
        </w:rPr>
        <w:t> </w:t>
      </w:r>
      <w:r>
        <w:rPr>
          <w:color w:val="231F1F"/>
        </w:rPr>
        <w:t>tres</w:t>
      </w:r>
      <w:r>
        <w:rPr>
          <w:color w:val="231F1F"/>
          <w:spacing w:val="6"/>
        </w:rPr>
        <w:t> </w:t>
      </w:r>
      <w:r>
        <w:rPr>
          <w:color w:val="231F1F"/>
        </w:rPr>
        <w:t>meses</w:t>
      </w:r>
      <w:r>
        <w:rPr>
          <w:color w:val="231F1F"/>
          <w:spacing w:val="4"/>
        </w:rPr>
        <w:t> </w:t>
      </w:r>
      <w:r>
        <w:rPr>
          <w:color w:val="231F1F"/>
        </w:rPr>
        <w:t>RR</w:t>
      </w:r>
      <w:r>
        <w:rPr>
          <w:color w:val="231F1F"/>
          <w:spacing w:val="5"/>
        </w:rPr>
        <w:t> </w:t>
      </w:r>
      <w:r>
        <w:rPr>
          <w:color w:val="231F1F"/>
        </w:rPr>
        <w:t>0,80</w:t>
      </w:r>
      <w:r>
        <w:rPr>
          <w:color w:val="231F1F"/>
          <w:spacing w:val="4"/>
        </w:rPr>
        <w:t> </w:t>
      </w:r>
      <w:r>
        <w:rPr>
          <w:color w:val="231F1F"/>
        </w:rPr>
        <w:t>[IC</w:t>
      </w:r>
      <w:r>
        <w:rPr>
          <w:color w:val="231F1F"/>
          <w:spacing w:val="4"/>
        </w:rPr>
        <w:t> </w:t>
      </w:r>
      <w:r>
        <w:rPr>
          <w:color w:val="231F1F"/>
        </w:rPr>
        <w:t>95%</w:t>
      </w:r>
      <w:r>
        <w:rPr>
          <w:color w:val="231F1F"/>
          <w:spacing w:val="6"/>
        </w:rPr>
        <w:t> </w:t>
      </w:r>
      <w:r>
        <w:rPr>
          <w:color w:val="231F1F"/>
          <w:spacing w:val="-4"/>
        </w:rPr>
        <w:t>0,65</w:t>
      </w:r>
    </w:p>
    <w:p>
      <w:pPr>
        <w:pStyle w:val="BodyText"/>
        <w:spacing w:before="6"/>
        <w:ind w:left="283"/>
      </w:pPr>
      <w:r>
        <w:rPr>
          <w:color w:val="231F1F"/>
          <w:w w:val="105"/>
        </w:rPr>
        <w:t>a</w:t>
      </w:r>
      <w:r>
        <w:rPr>
          <w:color w:val="231F1F"/>
          <w:spacing w:val="-4"/>
          <w:w w:val="105"/>
        </w:rPr>
        <w:t> </w:t>
      </w:r>
      <w:r>
        <w:rPr>
          <w:color w:val="231F1F"/>
          <w:w w:val="105"/>
        </w:rPr>
        <w:t>0,99]</w:t>
      </w:r>
      <w:r>
        <w:rPr>
          <w:color w:val="231F1F"/>
          <w:spacing w:val="-5"/>
          <w:w w:val="105"/>
        </w:rPr>
        <w:t> </w:t>
      </w:r>
      <w:r>
        <w:rPr>
          <w:color w:val="231F1F"/>
          <w:w w:val="105"/>
        </w:rPr>
        <w:t>(162)</w:t>
      </w:r>
      <w:r>
        <w:rPr>
          <w:color w:val="231F1F"/>
          <w:spacing w:val="-2"/>
          <w:w w:val="105"/>
        </w:rPr>
        <w:t> </w:t>
      </w:r>
      <w:r>
        <w:rPr>
          <w:color w:val="231F1F"/>
          <w:w w:val="105"/>
        </w:rPr>
        <w:t>y</w:t>
      </w:r>
      <w:r>
        <w:rPr>
          <w:color w:val="231F1F"/>
          <w:spacing w:val="-4"/>
          <w:w w:val="105"/>
        </w:rPr>
        <w:t> </w:t>
      </w:r>
      <w:r>
        <w:rPr>
          <w:color w:val="231F1F"/>
          <w:w w:val="105"/>
        </w:rPr>
        <w:t>RR</w:t>
      </w:r>
      <w:r>
        <w:rPr>
          <w:color w:val="231F1F"/>
          <w:spacing w:val="-4"/>
          <w:w w:val="105"/>
        </w:rPr>
        <w:t> </w:t>
      </w:r>
      <w:r>
        <w:rPr>
          <w:color w:val="231F1F"/>
          <w:w w:val="105"/>
        </w:rPr>
        <w:t>0,61</w:t>
      </w:r>
      <w:r>
        <w:rPr>
          <w:color w:val="231F1F"/>
          <w:spacing w:val="-2"/>
          <w:w w:val="105"/>
        </w:rPr>
        <w:t> </w:t>
      </w:r>
      <w:r>
        <w:rPr>
          <w:color w:val="231F1F"/>
          <w:w w:val="105"/>
        </w:rPr>
        <w:t>[IC</w:t>
      </w:r>
      <w:r>
        <w:rPr>
          <w:color w:val="231F1F"/>
          <w:spacing w:val="-4"/>
          <w:w w:val="105"/>
        </w:rPr>
        <w:t> </w:t>
      </w:r>
      <w:r>
        <w:rPr>
          <w:color w:val="231F1F"/>
          <w:w w:val="105"/>
        </w:rPr>
        <w:t>95%</w:t>
      </w:r>
      <w:r>
        <w:rPr>
          <w:color w:val="231F1F"/>
          <w:spacing w:val="-3"/>
          <w:w w:val="105"/>
        </w:rPr>
        <w:t> </w:t>
      </w:r>
      <w:r>
        <w:rPr>
          <w:color w:val="231F1F"/>
          <w:w w:val="105"/>
        </w:rPr>
        <w:t>0,43</w:t>
      </w:r>
      <w:r>
        <w:rPr>
          <w:color w:val="231F1F"/>
          <w:spacing w:val="-4"/>
          <w:w w:val="105"/>
        </w:rPr>
        <w:t> </w:t>
      </w:r>
      <w:r>
        <w:rPr>
          <w:color w:val="231F1F"/>
          <w:w w:val="105"/>
        </w:rPr>
        <w:t>a</w:t>
      </w:r>
      <w:r>
        <w:rPr>
          <w:color w:val="231F1F"/>
          <w:spacing w:val="-4"/>
          <w:w w:val="105"/>
        </w:rPr>
        <w:t> </w:t>
      </w:r>
      <w:r>
        <w:rPr>
          <w:color w:val="231F1F"/>
          <w:w w:val="105"/>
        </w:rPr>
        <w:t>0,87]</w:t>
      </w:r>
      <w:r>
        <w:rPr>
          <w:color w:val="231F1F"/>
          <w:spacing w:val="-4"/>
          <w:w w:val="105"/>
        </w:rPr>
        <w:t> </w:t>
      </w:r>
      <w:r>
        <w:rPr>
          <w:color w:val="231F1F"/>
          <w:w w:val="105"/>
        </w:rPr>
        <w:t>(163).</w:t>
      </w:r>
      <w:r>
        <w:rPr>
          <w:color w:val="231F1F"/>
          <w:spacing w:val="-5"/>
          <w:w w:val="105"/>
        </w:rPr>
        <w:t> </w:t>
      </w:r>
      <w:r>
        <w:rPr>
          <w:color w:val="231F1F"/>
          <w:w w:val="105"/>
        </w:rPr>
        <w:t>Además,</w:t>
      </w:r>
      <w:r>
        <w:rPr>
          <w:color w:val="231F1F"/>
          <w:spacing w:val="-4"/>
          <w:w w:val="105"/>
        </w:rPr>
        <w:t> </w:t>
      </w:r>
      <w:r>
        <w:rPr>
          <w:color w:val="231F1F"/>
          <w:w w:val="105"/>
        </w:rPr>
        <w:t>la</w:t>
      </w:r>
      <w:r>
        <w:rPr>
          <w:color w:val="231F1F"/>
          <w:spacing w:val="-4"/>
          <w:w w:val="105"/>
        </w:rPr>
        <w:t> </w:t>
      </w:r>
      <w:r>
        <w:rPr>
          <w:color w:val="231F1F"/>
          <w:w w:val="105"/>
        </w:rPr>
        <w:t>sensación</w:t>
      </w:r>
      <w:r>
        <w:rPr>
          <w:color w:val="231F1F"/>
          <w:spacing w:val="-4"/>
          <w:w w:val="105"/>
        </w:rPr>
        <w:t> </w:t>
      </w:r>
      <w:r>
        <w:rPr>
          <w:color w:val="231F1F"/>
          <w:spacing w:val="-5"/>
          <w:w w:val="105"/>
        </w:rPr>
        <w:t>de</w:t>
      </w:r>
    </w:p>
    <w:p>
      <w:pPr>
        <w:pStyle w:val="BodyText"/>
        <w:spacing w:line="249" w:lineRule="auto" w:before="11"/>
        <w:ind w:left="283"/>
      </w:pPr>
      <w:r>
        <w:rPr>
          <w:color w:val="231F1F"/>
          <w:w w:val="105"/>
        </w:rPr>
        <w:t>«sentir</w:t>
      </w:r>
      <w:r>
        <w:rPr>
          <w:color w:val="231F1F"/>
          <w:spacing w:val="-3"/>
          <w:w w:val="105"/>
        </w:rPr>
        <w:t> </w:t>
      </w:r>
      <w:r>
        <w:rPr>
          <w:color w:val="231F1F"/>
          <w:w w:val="105"/>
        </w:rPr>
        <w:t>el</w:t>
      </w:r>
      <w:r>
        <w:rPr>
          <w:color w:val="231F1F"/>
          <w:spacing w:val="-4"/>
          <w:w w:val="105"/>
        </w:rPr>
        <w:t> </w:t>
      </w:r>
      <w:r>
        <w:rPr>
          <w:color w:val="231F1F"/>
          <w:w w:val="105"/>
        </w:rPr>
        <w:t>área</w:t>
      </w:r>
      <w:r>
        <w:rPr>
          <w:color w:val="231F1F"/>
          <w:spacing w:val="-3"/>
          <w:w w:val="105"/>
        </w:rPr>
        <w:t> </w:t>
      </w:r>
      <w:r>
        <w:rPr>
          <w:color w:val="231F1F"/>
          <w:w w:val="105"/>
        </w:rPr>
        <w:t>perineal</w:t>
      </w:r>
      <w:r>
        <w:rPr>
          <w:color w:val="231F1F"/>
          <w:spacing w:val="-4"/>
          <w:w w:val="105"/>
        </w:rPr>
        <w:t> </w:t>
      </w:r>
      <w:r>
        <w:rPr>
          <w:color w:val="231F1F"/>
          <w:w w:val="105"/>
        </w:rPr>
        <w:t>normal»</w:t>
      </w:r>
      <w:r>
        <w:rPr>
          <w:color w:val="231F1F"/>
          <w:spacing w:val="-3"/>
          <w:w w:val="105"/>
        </w:rPr>
        <w:t> </w:t>
      </w:r>
      <w:r>
        <w:rPr>
          <w:color w:val="231F1F"/>
          <w:w w:val="105"/>
        </w:rPr>
        <w:t>es</w:t>
      </w:r>
      <w:r>
        <w:rPr>
          <w:color w:val="231F1F"/>
          <w:spacing w:val="-3"/>
          <w:w w:val="105"/>
        </w:rPr>
        <w:t> </w:t>
      </w:r>
      <w:r>
        <w:rPr>
          <w:color w:val="231F1F"/>
          <w:w w:val="105"/>
        </w:rPr>
        <w:t>mayor</w:t>
      </w:r>
      <w:r>
        <w:rPr>
          <w:color w:val="231F1F"/>
          <w:spacing w:val="-3"/>
          <w:w w:val="105"/>
        </w:rPr>
        <w:t> </w:t>
      </w:r>
      <w:r>
        <w:rPr>
          <w:color w:val="231F1F"/>
          <w:w w:val="105"/>
        </w:rPr>
        <w:t>en</w:t>
      </w:r>
      <w:r>
        <w:rPr>
          <w:color w:val="231F1F"/>
          <w:spacing w:val="-3"/>
          <w:w w:val="105"/>
        </w:rPr>
        <w:t> </w:t>
      </w:r>
      <w:r>
        <w:rPr>
          <w:color w:val="231F1F"/>
          <w:w w:val="105"/>
        </w:rPr>
        <w:t>este</w:t>
      </w:r>
      <w:r>
        <w:rPr>
          <w:color w:val="231F1F"/>
          <w:spacing w:val="-3"/>
          <w:w w:val="105"/>
        </w:rPr>
        <w:t> </w:t>
      </w:r>
      <w:r>
        <w:rPr>
          <w:color w:val="231F1F"/>
          <w:w w:val="105"/>
        </w:rPr>
        <w:t>grupo</w:t>
      </w:r>
      <w:r>
        <w:rPr>
          <w:color w:val="231F1F"/>
          <w:spacing w:val="-3"/>
          <w:w w:val="105"/>
        </w:rPr>
        <w:t> </w:t>
      </w:r>
      <w:r>
        <w:rPr>
          <w:color w:val="231F1F"/>
          <w:w w:val="105"/>
        </w:rPr>
        <w:t>de</w:t>
      </w:r>
      <w:r>
        <w:rPr>
          <w:color w:val="231F1F"/>
          <w:spacing w:val="-3"/>
          <w:w w:val="105"/>
        </w:rPr>
        <w:t> </w:t>
      </w:r>
      <w:r>
        <w:rPr>
          <w:color w:val="231F1F"/>
          <w:w w:val="105"/>
        </w:rPr>
        <w:t>mujeres:</w:t>
      </w:r>
      <w:r>
        <w:rPr>
          <w:color w:val="231F1F"/>
          <w:spacing w:val="-4"/>
          <w:w w:val="105"/>
        </w:rPr>
        <w:t> </w:t>
      </w:r>
      <w:r>
        <w:rPr>
          <w:color w:val="231F1F"/>
          <w:w w:val="105"/>
        </w:rPr>
        <w:t>RR</w:t>
      </w:r>
      <w:r>
        <w:rPr>
          <w:color w:val="231F1F"/>
          <w:spacing w:val="-3"/>
          <w:w w:val="105"/>
        </w:rPr>
        <w:t> </w:t>
      </w:r>
      <w:r>
        <w:rPr>
          <w:color w:val="231F1F"/>
          <w:w w:val="105"/>
        </w:rPr>
        <w:t>0,75 [IC 95% 0,61 a 0,91] (164).</w:t>
      </w:r>
    </w:p>
    <w:p>
      <w:pPr>
        <w:spacing w:line="278" w:lineRule="auto" w:before="124"/>
        <w:ind w:left="578" w:right="198" w:hanging="499"/>
        <w:jc w:val="left"/>
        <w:rPr>
          <w:rFonts w:ascii="Arial MT"/>
          <w:sz w:val="18"/>
        </w:rPr>
      </w:pPr>
      <w:r>
        <w:rPr/>
        <w:br w:type="column"/>
      </w:r>
      <w:r>
        <w:rPr>
          <w:rFonts w:ascii="Arial MT"/>
          <w:color w:val="231F1F"/>
          <w:spacing w:val="-2"/>
          <w:sz w:val="18"/>
        </w:rPr>
        <w:t>E.</w:t>
      </w:r>
      <w:r>
        <w:rPr>
          <w:rFonts w:ascii="Arial MT"/>
          <w:color w:val="231F1F"/>
          <w:spacing w:val="-14"/>
          <w:sz w:val="18"/>
        </w:rPr>
        <w:t> </w:t>
      </w:r>
      <w:r>
        <w:rPr>
          <w:rFonts w:ascii="Arial MT"/>
          <w:color w:val="231F1F"/>
          <w:spacing w:val="-2"/>
          <w:sz w:val="18"/>
        </w:rPr>
        <w:t>Cualitativo </w:t>
      </w: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8"/>
        <w:rPr>
          <w:rFonts w:ascii="Arial MT"/>
          <w:sz w:val="18"/>
        </w:rPr>
      </w:pPr>
    </w:p>
    <w:p>
      <w:pPr>
        <w:spacing w:line="278" w:lineRule="auto" w:before="1"/>
        <w:ind w:left="147" w:right="205" w:hanging="4"/>
        <w:jc w:val="center"/>
        <w:rPr>
          <w:rFonts w:ascii="Arial MT"/>
          <w:sz w:val="18"/>
        </w:rPr>
      </w:pPr>
      <w:r>
        <w:rPr>
          <w:rFonts w:ascii="Arial MT"/>
          <w:color w:val="231F1F"/>
          <w:sz w:val="18"/>
        </w:rPr>
        <w:t>RS-MA de </w:t>
      </w:r>
      <w:r>
        <w:rPr>
          <w:rFonts w:ascii="Arial MT"/>
          <w:color w:val="231F1F"/>
          <w:spacing w:val="-2"/>
          <w:sz w:val="18"/>
        </w:rPr>
        <w:t>ECAs</w:t>
      </w:r>
      <w:r>
        <w:rPr>
          <w:rFonts w:ascii="Arial MT"/>
          <w:color w:val="231F1F"/>
          <w:spacing w:val="-21"/>
          <w:sz w:val="18"/>
        </w:rPr>
        <w:t> </w:t>
      </w:r>
      <w:r>
        <w:rPr>
          <w:rFonts w:ascii="Arial MT"/>
          <w:color w:val="231F1F"/>
          <w:spacing w:val="-2"/>
          <w:sz w:val="18"/>
        </w:rPr>
        <w:t>y</w:t>
      </w:r>
      <w:r>
        <w:rPr>
          <w:rFonts w:ascii="Arial MT"/>
          <w:color w:val="231F1F"/>
          <w:spacing w:val="-18"/>
          <w:sz w:val="18"/>
        </w:rPr>
        <w:t> </w:t>
      </w:r>
      <w:r>
        <w:rPr>
          <w:rFonts w:ascii="Arial MT"/>
          <w:color w:val="231F1F"/>
          <w:spacing w:val="-2"/>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7"/>
        <w:rPr>
          <w:rFonts w:ascii="Arial MT"/>
          <w:sz w:val="18"/>
        </w:rPr>
      </w:pPr>
    </w:p>
    <w:p>
      <w:pPr>
        <w:spacing w:line="278" w:lineRule="auto" w:before="1"/>
        <w:ind w:left="392" w:right="441"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30"/>
        <w:rPr>
          <w:rFonts w:ascii="Arial MT"/>
          <w:sz w:val="18"/>
        </w:rPr>
      </w:pPr>
    </w:p>
    <w:p>
      <w:pPr>
        <w:spacing w:line="278" w:lineRule="auto" w:before="0"/>
        <w:ind w:left="392" w:right="441" w:firstLine="0"/>
        <w:jc w:val="center"/>
        <w:rPr>
          <w:rFonts w:ascii="Arial MT"/>
          <w:sz w:val="18"/>
        </w:rPr>
      </w:pPr>
      <w:r>
        <w:rPr>
          <w:rFonts w:ascii="Arial MT"/>
          <w:color w:val="231F1F"/>
          <w:spacing w:val="-6"/>
          <w:sz w:val="18"/>
        </w:rPr>
        <w:t>ECA 1+</w:t>
      </w:r>
    </w:p>
    <w:p>
      <w:pPr>
        <w:spacing w:after="0" w:line="278" w:lineRule="auto"/>
        <w:jc w:val="center"/>
        <w:rPr>
          <w:rFonts w:ascii="Arial MT"/>
          <w:sz w:val="18"/>
        </w:rPr>
        <w:sectPr>
          <w:pgSz w:w="11900" w:h="16840"/>
          <w:pgMar w:header="0" w:footer="622" w:top="1560" w:bottom="820" w:left="1417" w:right="1559"/>
          <w:cols w:num="2" w:equalWidth="0">
            <w:col w:w="7552" w:space="40"/>
            <w:col w:w="1332"/>
          </w:cols>
        </w:sectPr>
      </w:pPr>
    </w:p>
    <w:p>
      <w:pPr>
        <w:pStyle w:val="BodyText"/>
        <w:spacing w:line="276" w:lineRule="auto" w:before="62"/>
        <w:ind w:left="283" w:firstLine="453"/>
        <w:jc w:val="both"/>
      </w:pPr>
      <w:r>
        <w:rPr>
          <w:color w:val="231F1F"/>
        </w:rPr>
        <w:t>En uno de los estudios (163) también se encontraron diferencias, en re-</w:t>
      </w:r>
      <w:r>
        <w:rPr>
          <w:color w:val="231F1F"/>
          <w:spacing w:val="40"/>
        </w:rPr>
        <w:t> </w:t>
      </w:r>
      <w:r>
        <w:rPr>
          <w:color w:val="231F1F"/>
        </w:rPr>
        <w:t>lación con el dolor perineal y la analgesia. Las mujeres con reparación en dos planos, en comparación con las de tres planos, presentaron menor dolor: 57% versus 65%, RR 0,87 [IC</w:t>
      </w:r>
      <w:r>
        <w:rPr>
          <w:color w:val="231F1F"/>
          <w:spacing w:val="35"/>
        </w:rPr>
        <w:t> </w:t>
      </w:r>
      <w:r>
        <w:rPr>
          <w:color w:val="231F1F"/>
        </w:rPr>
        <w:t>95%: 0,78 a 0,97)]</w:t>
      </w:r>
      <w:r>
        <w:rPr>
          <w:color w:val="231F1F"/>
          <w:spacing w:val="35"/>
        </w:rPr>
        <w:t> </w:t>
      </w:r>
      <w:r>
        <w:rPr>
          <w:color w:val="231F1F"/>
        </w:rPr>
        <w:t>y un menor grado</w:t>
      </w:r>
      <w:r>
        <w:rPr>
          <w:color w:val="231F1F"/>
          <w:spacing w:val="35"/>
        </w:rPr>
        <w:t> </w:t>
      </w:r>
      <w:r>
        <w:rPr>
          <w:color w:val="231F1F"/>
        </w:rPr>
        <w:t>de inflamación</w:t>
      </w:r>
    </w:p>
    <w:p>
      <w:pPr>
        <w:pStyle w:val="BodyText"/>
        <w:spacing w:line="246" w:lineRule="exact"/>
        <w:ind w:left="283"/>
        <w:jc w:val="both"/>
      </w:pPr>
      <w:r>
        <w:rPr>
          <w:color w:val="231F1F"/>
        </w:rPr>
        <w:t>o</w:t>
      </w:r>
      <w:r>
        <w:rPr>
          <w:color w:val="231F1F"/>
          <w:spacing w:val="16"/>
        </w:rPr>
        <w:t> </w:t>
      </w:r>
      <w:r>
        <w:rPr>
          <w:color w:val="231F1F"/>
        </w:rPr>
        <w:t>hematoma:</w:t>
      </w:r>
      <w:r>
        <w:rPr>
          <w:color w:val="231F1F"/>
          <w:spacing w:val="21"/>
        </w:rPr>
        <w:t> </w:t>
      </w:r>
      <w:r>
        <w:rPr>
          <w:color w:val="231F1F"/>
        </w:rPr>
        <w:t>7%</w:t>
      </w:r>
      <w:r>
        <w:rPr>
          <w:color w:val="231F1F"/>
          <w:spacing w:val="21"/>
        </w:rPr>
        <w:t> </w:t>
      </w:r>
      <w:r>
        <w:rPr>
          <w:color w:val="231F1F"/>
        </w:rPr>
        <w:t>frente</w:t>
      </w:r>
      <w:r>
        <w:rPr>
          <w:color w:val="231F1F"/>
          <w:spacing w:val="21"/>
        </w:rPr>
        <w:t> </w:t>
      </w:r>
      <w:r>
        <w:rPr>
          <w:color w:val="231F1F"/>
        </w:rPr>
        <w:t>al</w:t>
      </w:r>
      <w:r>
        <w:rPr>
          <w:color w:val="231F1F"/>
          <w:spacing w:val="21"/>
        </w:rPr>
        <w:t> </w:t>
      </w:r>
      <w:r>
        <w:rPr>
          <w:color w:val="231F1F"/>
        </w:rPr>
        <w:t>14%,</w:t>
      </w:r>
      <w:r>
        <w:rPr>
          <w:color w:val="231F1F"/>
          <w:spacing w:val="21"/>
        </w:rPr>
        <w:t> </w:t>
      </w:r>
      <w:r>
        <w:rPr>
          <w:color w:val="231F1F"/>
        </w:rPr>
        <w:t>RR</w:t>
      </w:r>
      <w:r>
        <w:rPr>
          <w:color w:val="231F1F"/>
          <w:spacing w:val="21"/>
        </w:rPr>
        <w:t> </w:t>
      </w:r>
      <w:r>
        <w:rPr>
          <w:color w:val="231F1F"/>
        </w:rPr>
        <w:t>0,50</w:t>
      </w:r>
      <w:r>
        <w:rPr>
          <w:color w:val="231F1F"/>
          <w:spacing w:val="21"/>
        </w:rPr>
        <w:t> </w:t>
      </w:r>
      <w:r>
        <w:rPr>
          <w:color w:val="231F1F"/>
        </w:rPr>
        <w:t>[IC</w:t>
      </w:r>
      <w:r>
        <w:rPr>
          <w:color w:val="231F1F"/>
          <w:spacing w:val="21"/>
        </w:rPr>
        <w:t> </w:t>
      </w:r>
      <w:r>
        <w:rPr>
          <w:color w:val="231F1F"/>
        </w:rPr>
        <w:t>95%:</w:t>
      </w:r>
      <w:r>
        <w:rPr>
          <w:color w:val="231F1F"/>
          <w:spacing w:val="21"/>
        </w:rPr>
        <w:t> </w:t>
      </w:r>
      <w:r>
        <w:rPr>
          <w:color w:val="231F1F"/>
        </w:rPr>
        <w:t>0,33</w:t>
      </w:r>
      <w:r>
        <w:rPr>
          <w:color w:val="231F1F"/>
          <w:spacing w:val="21"/>
        </w:rPr>
        <w:t> </w:t>
      </w:r>
      <w:r>
        <w:rPr>
          <w:color w:val="231F1F"/>
        </w:rPr>
        <w:t>a</w:t>
      </w:r>
      <w:r>
        <w:rPr>
          <w:color w:val="231F1F"/>
          <w:spacing w:val="21"/>
        </w:rPr>
        <w:t> </w:t>
      </w:r>
      <w:r>
        <w:rPr>
          <w:color w:val="231F1F"/>
        </w:rPr>
        <w:t>0,77].</w:t>
      </w:r>
      <w:r>
        <w:rPr>
          <w:color w:val="231F1F"/>
          <w:spacing w:val="21"/>
        </w:rPr>
        <w:t> </w:t>
      </w:r>
      <w:r>
        <w:rPr>
          <w:color w:val="231F1F"/>
        </w:rPr>
        <w:t>Además,</w:t>
      </w:r>
      <w:r>
        <w:rPr>
          <w:color w:val="231F1F"/>
          <w:spacing w:val="23"/>
        </w:rPr>
        <w:t> </w:t>
      </w:r>
      <w:r>
        <w:rPr>
          <w:color w:val="231F1F"/>
          <w:spacing w:val="-4"/>
        </w:rPr>
        <w:t>uti-</w:t>
      </w:r>
    </w:p>
    <w:p>
      <w:pPr>
        <w:pStyle w:val="BodyText"/>
        <w:spacing w:line="259" w:lineRule="auto" w:before="31"/>
        <w:ind w:left="283" w:right="2"/>
        <w:jc w:val="both"/>
      </w:pPr>
      <w:r>
        <w:rPr>
          <w:color w:val="231F1F"/>
          <w:w w:val="105"/>
        </w:rPr>
        <w:t>lizaron</w:t>
      </w:r>
      <w:r>
        <w:rPr>
          <w:color w:val="231F1F"/>
          <w:spacing w:val="-6"/>
          <w:w w:val="105"/>
        </w:rPr>
        <w:t> </w:t>
      </w:r>
      <w:r>
        <w:rPr>
          <w:color w:val="231F1F"/>
          <w:w w:val="105"/>
        </w:rPr>
        <w:t>menos</w:t>
      </w:r>
      <w:r>
        <w:rPr>
          <w:color w:val="231F1F"/>
          <w:spacing w:val="-5"/>
          <w:w w:val="105"/>
        </w:rPr>
        <w:t> </w:t>
      </w:r>
      <w:r>
        <w:rPr>
          <w:color w:val="231F1F"/>
          <w:w w:val="105"/>
        </w:rPr>
        <w:t>analgésicos:</w:t>
      </w:r>
      <w:r>
        <w:rPr>
          <w:color w:val="231F1F"/>
          <w:spacing w:val="-5"/>
          <w:w w:val="105"/>
        </w:rPr>
        <w:t> </w:t>
      </w:r>
      <w:r>
        <w:rPr>
          <w:color w:val="231F1F"/>
          <w:w w:val="105"/>
        </w:rPr>
        <w:t>34%</w:t>
      </w:r>
      <w:r>
        <w:rPr>
          <w:color w:val="231F1F"/>
          <w:spacing w:val="-6"/>
          <w:w w:val="105"/>
        </w:rPr>
        <w:t> </w:t>
      </w:r>
      <w:r>
        <w:rPr>
          <w:color w:val="231F1F"/>
          <w:w w:val="105"/>
        </w:rPr>
        <w:t>frente</w:t>
      </w:r>
      <w:r>
        <w:rPr>
          <w:color w:val="231F1F"/>
          <w:spacing w:val="-5"/>
          <w:w w:val="105"/>
        </w:rPr>
        <w:t> </w:t>
      </w:r>
      <w:r>
        <w:rPr>
          <w:color w:val="231F1F"/>
          <w:w w:val="105"/>
        </w:rPr>
        <w:t>al</w:t>
      </w:r>
      <w:r>
        <w:rPr>
          <w:color w:val="231F1F"/>
          <w:spacing w:val="-5"/>
          <w:w w:val="105"/>
        </w:rPr>
        <w:t> </w:t>
      </w:r>
      <w:r>
        <w:rPr>
          <w:color w:val="231F1F"/>
          <w:w w:val="105"/>
        </w:rPr>
        <w:t>49%,</w:t>
      </w:r>
      <w:r>
        <w:rPr>
          <w:color w:val="231F1F"/>
          <w:spacing w:val="-5"/>
          <w:w w:val="105"/>
        </w:rPr>
        <w:t> </w:t>
      </w:r>
      <w:r>
        <w:rPr>
          <w:color w:val="231F1F"/>
          <w:w w:val="105"/>
        </w:rPr>
        <w:t>RR</w:t>
      </w:r>
      <w:r>
        <w:rPr>
          <w:color w:val="231F1F"/>
          <w:spacing w:val="-5"/>
          <w:w w:val="105"/>
        </w:rPr>
        <w:t> </w:t>
      </w:r>
      <w:r>
        <w:rPr>
          <w:color w:val="231F1F"/>
          <w:w w:val="105"/>
        </w:rPr>
        <w:t>0,71</w:t>
      </w:r>
      <w:r>
        <w:rPr>
          <w:color w:val="231F1F"/>
          <w:spacing w:val="-5"/>
          <w:w w:val="105"/>
        </w:rPr>
        <w:t> </w:t>
      </w:r>
      <w:r>
        <w:rPr>
          <w:color w:val="231F1F"/>
          <w:w w:val="105"/>
        </w:rPr>
        <w:t>[IC</w:t>
      </w:r>
      <w:r>
        <w:rPr>
          <w:color w:val="231F1F"/>
          <w:spacing w:val="-5"/>
          <w:w w:val="105"/>
        </w:rPr>
        <w:t> </w:t>
      </w:r>
      <w:r>
        <w:rPr>
          <w:color w:val="231F1F"/>
          <w:w w:val="105"/>
        </w:rPr>
        <w:t>95%:</w:t>
      </w:r>
      <w:r>
        <w:rPr>
          <w:color w:val="231F1F"/>
          <w:spacing w:val="-5"/>
          <w:w w:val="105"/>
        </w:rPr>
        <w:t> </w:t>
      </w:r>
      <w:r>
        <w:rPr>
          <w:color w:val="231F1F"/>
          <w:w w:val="105"/>
        </w:rPr>
        <w:t>0,60</w:t>
      </w:r>
      <w:r>
        <w:rPr>
          <w:color w:val="231F1F"/>
          <w:spacing w:val="-5"/>
          <w:w w:val="105"/>
        </w:rPr>
        <w:t> </w:t>
      </w:r>
      <w:r>
        <w:rPr>
          <w:color w:val="231F1F"/>
          <w:w w:val="105"/>
        </w:rPr>
        <w:t>a</w:t>
      </w:r>
      <w:r>
        <w:rPr>
          <w:color w:val="231F1F"/>
          <w:spacing w:val="-5"/>
          <w:w w:val="105"/>
        </w:rPr>
        <w:t> </w:t>
      </w:r>
      <w:r>
        <w:rPr>
          <w:color w:val="231F1F"/>
          <w:w w:val="105"/>
        </w:rPr>
        <w:t>0,83]. Sin</w:t>
      </w:r>
      <w:r>
        <w:rPr>
          <w:color w:val="231F1F"/>
          <w:spacing w:val="-6"/>
          <w:w w:val="105"/>
        </w:rPr>
        <w:t> </w:t>
      </w:r>
      <w:r>
        <w:rPr>
          <w:color w:val="231F1F"/>
          <w:w w:val="105"/>
        </w:rPr>
        <w:t>embargo,</w:t>
      </w:r>
      <w:r>
        <w:rPr>
          <w:color w:val="231F1F"/>
          <w:spacing w:val="-5"/>
          <w:w w:val="105"/>
        </w:rPr>
        <w:t> </w:t>
      </w:r>
      <w:r>
        <w:rPr>
          <w:color w:val="231F1F"/>
          <w:w w:val="105"/>
        </w:rPr>
        <w:t>se</w:t>
      </w:r>
      <w:r>
        <w:rPr>
          <w:color w:val="231F1F"/>
          <w:spacing w:val="-6"/>
          <w:w w:val="105"/>
        </w:rPr>
        <w:t> </w:t>
      </w:r>
      <w:r>
        <w:rPr>
          <w:color w:val="231F1F"/>
          <w:w w:val="105"/>
        </w:rPr>
        <w:t>señala</w:t>
      </w:r>
      <w:r>
        <w:rPr>
          <w:color w:val="231F1F"/>
          <w:spacing w:val="-6"/>
          <w:w w:val="105"/>
        </w:rPr>
        <w:t> </w:t>
      </w:r>
      <w:r>
        <w:rPr>
          <w:color w:val="231F1F"/>
          <w:w w:val="105"/>
        </w:rPr>
        <w:t>que</w:t>
      </w:r>
      <w:r>
        <w:rPr>
          <w:color w:val="231F1F"/>
          <w:spacing w:val="-6"/>
          <w:w w:val="105"/>
        </w:rPr>
        <w:t> </w:t>
      </w:r>
      <w:r>
        <w:rPr>
          <w:color w:val="231F1F"/>
          <w:w w:val="105"/>
        </w:rPr>
        <w:t>las</w:t>
      </w:r>
      <w:r>
        <w:rPr>
          <w:color w:val="231F1F"/>
          <w:spacing w:val="-6"/>
          <w:w w:val="105"/>
        </w:rPr>
        <w:t> </w:t>
      </w:r>
      <w:r>
        <w:rPr>
          <w:color w:val="231F1F"/>
          <w:w w:val="105"/>
        </w:rPr>
        <w:t>diferencias</w:t>
      </w:r>
      <w:r>
        <w:rPr>
          <w:color w:val="231F1F"/>
          <w:spacing w:val="-6"/>
          <w:w w:val="105"/>
        </w:rPr>
        <w:t> </w:t>
      </w:r>
      <w:r>
        <w:rPr>
          <w:color w:val="231F1F"/>
          <w:w w:val="105"/>
        </w:rPr>
        <w:t>encontradas</w:t>
      </w:r>
      <w:r>
        <w:rPr>
          <w:color w:val="231F1F"/>
          <w:spacing w:val="-5"/>
          <w:w w:val="105"/>
        </w:rPr>
        <w:t> </w:t>
      </w:r>
      <w:r>
        <w:rPr>
          <w:color w:val="231F1F"/>
          <w:w w:val="105"/>
        </w:rPr>
        <w:t>en</w:t>
      </w:r>
      <w:r>
        <w:rPr>
          <w:color w:val="231F1F"/>
          <w:spacing w:val="-5"/>
          <w:w w:val="105"/>
        </w:rPr>
        <w:t> </w:t>
      </w:r>
      <w:r>
        <w:rPr>
          <w:color w:val="231F1F"/>
          <w:w w:val="105"/>
        </w:rPr>
        <w:t>relación</w:t>
      </w:r>
      <w:r>
        <w:rPr>
          <w:color w:val="231F1F"/>
          <w:spacing w:val="-5"/>
          <w:w w:val="105"/>
        </w:rPr>
        <w:t> </w:t>
      </w:r>
      <w:r>
        <w:rPr>
          <w:color w:val="231F1F"/>
          <w:w w:val="105"/>
        </w:rPr>
        <w:t>a</w:t>
      </w:r>
      <w:r>
        <w:rPr>
          <w:color w:val="231F1F"/>
          <w:spacing w:val="-5"/>
          <w:w w:val="105"/>
        </w:rPr>
        <w:t> </w:t>
      </w:r>
      <w:r>
        <w:rPr>
          <w:color w:val="231F1F"/>
          <w:w w:val="105"/>
        </w:rPr>
        <w:t>resultados de dolor a corto plazo, pudo haber sido debido a que se utilizó el catgut para las reparaciones del periné en la mayoría de las mujeres, en lugar de un ma- terial de sutura sintética absorbible.</w:t>
      </w:r>
    </w:p>
    <w:p>
      <w:pPr>
        <w:pStyle w:val="BodyText"/>
        <w:spacing w:before="60"/>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junio</w:t>
      </w:r>
      <w:r>
        <w:rPr>
          <w:rFonts w:ascii="Arial MT" w:hAnsi="Arial MT"/>
          <w:color w:val="231F1F"/>
          <w:spacing w:val="18"/>
          <w:sz w:val="24"/>
        </w:rPr>
        <w:t> </w:t>
      </w:r>
      <w:r>
        <w:rPr>
          <w:rFonts w:ascii="Arial MT" w:hAnsi="Arial MT"/>
          <w:color w:val="231F1F"/>
          <w:spacing w:val="-2"/>
          <w:sz w:val="24"/>
        </w:rPr>
        <w:t>2008)</w:t>
      </w:r>
    </w:p>
    <w:p>
      <w:pPr>
        <w:pStyle w:val="BodyText"/>
        <w:spacing w:line="254" w:lineRule="auto" w:before="248"/>
        <w:ind w:left="283" w:right="1"/>
        <w:jc w:val="both"/>
      </w:pPr>
      <w:r>
        <w:rPr>
          <w:color w:val="231F1F"/>
          <w:w w:val="110"/>
        </w:rPr>
        <w:t>La</w:t>
      </w:r>
      <w:r>
        <w:rPr>
          <w:color w:val="231F1F"/>
          <w:spacing w:val="-12"/>
          <w:w w:val="110"/>
        </w:rPr>
        <w:t> </w:t>
      </w:r>
      <w:r>
        <w:rPr>
          <w:color w:val="231F1F"/>
          <w:w w:val="110"/>
        </w:rPr>
        <w:t>búsqueda</w:t>
      </w:r>
      <w:r>
        <w:rPr>
          <w:color w:val="231F1F"/>
          <w:spacing w:val="-12"/>
          <w:w w:val="110"/>
        </w:rPr>
        <w:t> </w:t>
      </w:r>
      <w:r>
        <w:rPr>
          <w:color w:val="231F1F"/>
          <w:w w:val="110"/>
        </w:rPr>
        <w:t>arrojó</w:t>
      </w:r>
      <w:r>
        <w:rPr>
          <w:color w:val="231F1F"/>
          <w:spacing w:val="-12"/>
          <w:w w:val="110"/>
        </w:rPr>
        <w:t> </w:t>
      </w:r>
      <w:r>
        <w:rPr>
          <w:color w:val="231F1F"/>
          <w:w w:val="110"/>
        </w:rPr>
        <w:t>un</w:t>
      </w:r>
      <w:r>
        <w:rPr>
          <w:color w:val="231F1F"/>
          <w:spacing w:val="-12"/>
          <w:w w:val="110"/>
        </w:rPr>
        <w:t> </w:t>
      </w:r>
      <w:r>
        <w:rPr>
          <w:color w:val="231F1F"/>
          <w:w w:val="110"/>
        </w:rPr>
        <w:t>total</w:t>
      </w:r>
      <w:r>
        <w:rPr>
          <w:color w:val="231F1F"/>
          <w:spacing w:val="-13"/>
          <w:w w:val="110"/>
        </w:rPr>
        <w:t> </w:t>
      </w:r>
      <w:r>
        <w:rPr>
          <w:color w:val="231F1F"/>
          <w:w w:val="110"/>
        </w:rPr>
        <w:t>de</w:t>
      </w:r>
      <w:r>
        <w:rPr>
          <w:color w:val="231F1F"/>
          <w:spacing w:val="-12"/>
          <w:w w:val="110"/>
        </w:rPr>
        <w:t> </w:t>
      </w:r>
      <w:r>
        <w:rPr>
          <w:color w:val="231F1F"/>
          <w:w w:val="110"/>
        </w:rPr>
        <w:t>11</w:t>
      </w:r>
      <w:r>
        <w:rPr>
          <w:color w:val="231F1F"/>
          <w:spacing w:val="-12"/>
          <w:w w:val="110"/>
        </w:rPr>
        <w:t> </w:t>
      </w:r>
      <w:r>
        <w:rPr>
          <w:color w:val="231F1F"/>
          <w:w w:val="110"/>
        </w:rPr>
        <w:t>referencias</w:t>
      </w:r>
      <w:r>
        <w:rPr>
          <w:color w:val="231F1F"/>
          <w:spacing w:val="-13"/>
          <w:w w:val="110"/>
        </w:rPr>
        <w:t> </w:t>
      </w:r>
      <w:r>
        <w:rPr>
          <w:color w:val="231F1F"/>
          <w:w w:val="110"/>
        </w:rPr>
        <w:t>de</w:t>
      </w:r>
      <w:r>
        <w:rPr>
          <w:color w:val="231F1F"/>
          <w:spacing w:val="-12"/>
          <w:w w:val="110"/>
        </w:rPr>
        <w:t> </w:t>
      </w:r>
      <w:r>
        <w:rPr>
          <w:color w:val="231F1F"/>
          <w:w w:val="110"/>
        </w:rPr>
        <w:t>las</w:t>
      </w:r>
      <w:r>
        <w:rPr>
          <w:color w:val="231F1F"/>
          <w:spacing w:val="-12"/>
          <w:w w:val="110"/>
        </w:rPr>
        <w:t> </w:t>
      </w:r>
      <w:r>
        <w:rPr>
          <w:color w:val="231F1F"/>
          <w:w w:val="110"/>
        </w:rPr>
        <w:t>que</w:t>
      </w:r>
      <w:r>
        <w:rPr>
          <w:color w:val="231F1F"/>
          <w:spacing w:val="-12"/>
          <w:w w:val="110"/>
        </w:rPr>
        <w:t> </w:t>
      </w:r>
      <w:r>
        <w:rPr>
          <w:color w:val="231F1F"/>
          <w:w w:val="110"/>
        </w:rPr>
        <w:t>finalmente</w:t>
      </w:r>
      <w:r>
        <w:rPr>
          <w:color w:val="231F1F"/>
          <w:spacing w:val="-11"/>
          <w:w w:val="110"/>
        </w:rPr>
        <w:t> </w:t>
      </w:r>
      <w:r>
        <w:rPr>
          <w:color w:val="231F1F"/>
          <w:w w:val="110"/>
        </w:rPr>
        <w:t>se</w:t>
      </w:r>
      <w:r>
        <w:rPr>
          <w:color w:val="231F1F"/>
          <w:spacing w:val="-12"/>
          <w:w w:val="110"/>
        </w:rPr>
        <w:t> </w:t>
      </w:r>
      <w:r>
        <w:rPr>
          <w:color w:val="231F1F"/>
          <w:w w:val="110"/>
        </w:rPr>
        <w:t>selec- cionaron</w:t>
      </w:r>
      <w:r>
        <w:rPr>
          <w:color w:val="231F1F"/>
          <w:spacing w:val="-1"/>
          <w:w w:val="110"/>
        </w:rPr>
        <w:t> </w:t>
      </w:r>
      <w:r>
        <w:rPr>
          <w:color w:val="231F1F"/>
          <w:w w:val="110"/>
        </w:rPr>
        <w:t>tres</w:t>
      </w:r>
      <w:r>
        <w:rPr>
          <w:color w:val="231F1F"/>
          <w:spacing w:val="-2"/>
          <w:w w:val="110"/>
        </w:rPr>
        <w:t> </w:t>
      </w:r>
      <w:r>
        <w:rPr>
          <w:color w:val="231F1F"/>
          <w:w w:val="110"/>
        </w:rPr>
        <w:t>que</w:t>
      </w:r>
      <w:r>
        <w:rPr>
          <w:color w:val="231F1F"/>
          <w:spacing w:val="-2"/>
          <w:w w:val="110"/>
        </w:rPr>
        <w:t> </w:t>
      </w:r>
      <w:r>
        <w:rPr>
          <w:color w:val="231F1F"/>
          <w:w w:val="110"/>
        </w:rPr>
        <w:t>cumplía</w:t>
      </w:r>
      <w:r>
        <w:rPr>
          <w:color w:val="231F1F"/>
          <w:spacing w:val="-2"/>
          <w:w w:val="110"/>
        </w:rPr>
        <w:t> </w:t>
      </w:r>
      <w:r>
        <w:rPr>
          <w:color w:val="231F1F"/>
          <w:w w:val="110"/>
        </w:rPr>
        <w:t>los</w:t>
      </w:r>
      <w:r>
        <w:rPr>
          <w:color w:val="231F1F"/>
          <w:spacing w:val="-2"/>
          <w:w w:val="110"/>
        </w:rPr>
        <w:t> </w:t>
      </w:r>
      <w:r>
        <w:rPr>
          <w:color w:val="231F1F"/>
          <w:w w:val="110"/>
        </w:rPr>
        <w:t>criterios</w:t>
      </w:r>
      <w:r>
        <w:rPr>
          <w:color w:val="231F1F"/>
          <w:spacing w:val="-2"/>
          <w:w w:val="110"/>
        </w:rPr>
        <w:t> </w:t>
      </w:r>
      <w:r>
        <w:rPr>
          <w:color w:val="231F1F"/>
          <w:w w:val="110"/>
        </w:rPr>
        <w:t>de</w:t>
      </w:r>
      <w:r>
        <w:rPr>
          <w:color w:val="231F1F"/>
          <w:spacing w:val="-2"/>
          <w:w w:val="110"/>
        </w:rPr>
        <w:t> </w:t>
      </w:r>
      <w:r>
        <w:rPr>
          <w:color w:val="231F1F"/>
          <w:w w:val="110"/>
        </w:rPr>
        <w:t>inclusión:</w:t>
      </w:r>
      <w:r>
        <w:rPr>
          <w:color w:val="231F1F"/>
          <w:spacing w:val="-2"/>
          <w:w w:val="110"/>
        </w:rPr>
        <w:t> </w:t>
      </w:r>
      <w:r>
        <w:rPr>
          <w:color w:val="231F1F"/>
          <w:w w:val="110"/>
        </w:rPr>
        <w:t>Una</w:t>
      </w:r>
      <w:r>
        <w:rPr>
          <w:color w:val="231F1F"/>
          <w:spacing w:val="-2"/>
          <w:w w:val="110"/>
        </w:rPr>
        <w:t> </w:t>
      </w:r>
      <w:r>
        <w:rPr>
          <w:color w:val="231F1F"/>
          <w:w w:val="110"/>
        </w:rPr>
        <w:t>revisión</w:t>
      </w:r>
      <w:r>
        <w:rPr>
          <w:color w:val="231F1F"/>
          <w:spacing w:val="-1"/>
          <w:w w:val="110"/>
        </w:rPr>
        <w:t> </w:t>
      </w:r>
      <w:r>
        <w:rPr>
          <w:color w:val="231F1F"/>
          <w:w w:val="110"/>
        </w:rPr>
        <w:t>realizada por Cochrane (165), otra revisión francesa (166) y un tercer ECA (167) de publicación reciente.</w:t>
      </w:r>
    </w:p>
    <w:p>
      <w:pPr>
        <w:pStyle w:val="BodyText"/>
        <w:spacing w:line="259" w:lineRule="auto" w:before="170"/>
        <w:ind w:left="283" w:right="3" w:firstLine="453"/>
        <w:jc w:val="both"/>
      </w:pPr>
      <w:r>
        <w:rPr>
          <w:color w:val="231F1F"/>
          <w:w w:val="110"/>
        </w:rPr>
        <w:t>La primera de las revisiones (165) pretende evaluar los efectos de las suturas</w:t>
      </w:r>
      <w:r>
        <w:rPr>
          <w:color w:val="231F1F"/>
          <w:spacing w:val="-13"/>
          <w:w w:val="110"/>
        </w:rPr>
        <w:t> </w:t>
      </w:r>
      <w:r>
        <w:rPr>
          <w:color w:val="231F1F"/>
          <w:w w:val="110"/>
        </w:rPr>
        <w:t>continuas</w:t>
      </w:r>
      <w:r>
        <w:rPr>
          <w:color w:val="231F1F"/>
          <w:spacing w:val="-12"/>
          <w:w w:val="110"/>
        </w:rPr>
        <w:t> </w:t>
      </w:r>
      <w:r>
        <w:rPr>
          <w:color w:val="231F1F"/>
          <w:w w:val="110"/>
        </w:rPr>
        <w:t>versus</w:t>
      </w:r>
      <w:r>
        <w:rPr>
          <w:color w:val="231F1F"/>
          <w:spacing w:val="-13"/>
          <w:w w:val="110"/>
        </w:rPr>
        <w:t> </w:t>
      </w:r>
      <w:r>
        <w:rPr>
          <w:color w:val="231F1F"/>
          <w:w w:val="110"/>
        </w:rPr>
        <w:t>suturas</w:t>
      </w:r>
      <w:r>
        <w:rPr>
          <w:color w:val="231F1F"/>
          <w:spacing w:val="-13"/>
          <w:w w:val="110"/>
        </w:rPr>
        <w:t> </w:t>
      </w:r>
      <w:r>
        <w:rPr>
          <w:color w:val="231F1F"/>
          <w:w w:val="110"/>
        </w:rPr>
        <w:t>absorbibles</w:t>
      </w:r>
      <w:r>
        <w:rPr>
          <w:color w:val="231F1F"/>
          <w:spacing w:val="-12"/>
          <w:w w:val="110"/>
        </w:rPr>
        <w:t> </w:t>
      </w:r>
      <w:r>
        <w:rPr>
          <w:color w:val="231F1F"/>
          <w:w w:val="110"/>
        </w:rPr>
        <w:t>discontinuas</w:t>
      </w:r>
      <w:r>
        <w:rPr>
          <w:color w:val="231F1F"/>
          <w:spacing w:val="-13"/>
          <w:w w:val="110"/>
        </w:rPr>
        <w:t> </w:t>
      </w:r>
      <w:r>
        <w:rPr>
          <w:color w:val="231F1F"/>
          <w:w w:val="110"/>
        </w:rPr>
        <w:t>para</w:t>
      </w:r>
      <w:r>
        <w:rPr>
          <w:color w:val="231F1F"/>
          <w:spacing w:val="-13"/>
          <w:w w:val="110"/>
        </w:rPr>
        <w:t> </w:t>
      </w:r>
      <w:r>
        <w:rPr>
          <w:color w:val="231F1F"/>
          <w:w w:val="110"/>
        </w:rPr>
        <w:t>la</w:t>
      </w:r>
      <w:r>
        <w:rPr>
          <w:color w:val="231F1F"/>
          <w:spacing w:val="-13"/>
          <w:w w:val="110"/>
        </w:rPr>
        <w:t> </w:t>
      </w:r>
      <w:r>
        <w:rPr>
          <w:color w:val="231F1F"/>
          <w:w w:val="110"/>
        </w:rPr>
        <w:t>reparación de la episiotomía y los desgarros perineales de segundo grado después del </w:t>
      </w:r>
      <w:r>
        <w:rPr>
          <w:color w:val="231F1F"/>
        </w:rPr>
        <w:t>parto.</w:t>
      </w:r>
      <w:r>
        <w:rPr>
          <w:color w:val="231F1F"/>
          <w:spacing w:val="28"/>
        </w:rPr>
        <w:t> </w:t>
      </w:r>
      <w:r>
        <w:rPr>
          <w:color w:val="231F1F"/>
        </w:rPr>
        <w:t>Se</w:t>
      </w:r>
      <w:r>
        <w:rPr>
          <w:color w:val="231F1F"/>
          <w:spacing w:val="27"/>
        </w:rPr>
        <w:t> </w:t>
      </w:r>
      <w:r>
        <w:rPr>
          <w:color w:val="231F1F"/>
        </w:rPr>
        <w:t>trata</w:t>
      </w:r>
      <w:r>
        <w:rPr>
          <w:color w:val="231F1F"/>
          <w:spacing w:val="28"/>
        </w:rPr>
        <w:t> </w:t>
      </w:r>
      <w:r>
        <w:rPr>
          <w:color w:val="231F1F"/>
        </w:rPr>
        <w:t>de</w:t>
      </w:r>
      <w:r>
        <w:rPr>
          <w:color w:val="231F1F"/>
          <w:spacing w:val="27"/>
        </w:rPr>
        <w:t> </w:t>
      </w:r>
      <w:r>
        <w:rPr>
          <w:color w:val="231F1F"/>
        </w:rPr>
        <w:t>la</w:t>
      </w:r>
      <w:r>
        <w:rPr>
          <w:color w:val="231F1F"/>
          <w:spacing w:val="28"/>
        </w:rPr>
        <w:t> </w:t>
      </w:r>
      <w:r>
        <w:rPr>
          <w:color w:val="231F1F"/>
        </w:rPr>
        <w:t>traducción</w:t>
      </w:r>
      <w:r>
        <w:rPr>
          <w:color w:val="231F1F"/>
          <w:spacing w:val="28"/>
        </w:rPr>
        <w:t> </w:t>
      </w:r>
      <w:r>
        <w:rPr>
          <w:color w:val="231F1F"/>
        </w:rPr>
        <w:t>y</w:t>
      </w:r>
      <w:r>
        <w:rPr>
          <w:color w:val="231F1F"/>
          <w:spacing w:val="27"/>
        </w:rPr>
        <w:t> </w:t>
      </w:r>
      <w:r>
        <w:rPr>
          <w:color w:val="231F1F"/>
        </w:rPr>
        <w:t>actualización</w:t>
      </w:r>
      <w:r>
        <w:rPr>
          <w:color w:val="231F1F"/>
          <w:spacing w:val="27"/>
        </w:rPr>
        <w:t> </w:t>
      </w:r>
      <w:r>
        <w:rPr>
          <w:color w:val="231F1F"/>
        </w:rPr>
        <w:t>de</w:t>
      </w:r>
      <w:r>
        <w:rPr>
          <w:color w:val="231F1F"/>
          <w:spacing w:val="27"/>
        </w:rPr>
        <w:t> </w:t>
      </w:r>
      <w:r>
        <w:rPr>
          <w:color w:val="231F1F"/>
        </w:rPr>
        <w:t>la</w:t>
      </w:r>
      <w:r>
        <w:rPr>
          <w:color w:val="231F1F"/>
          <w:spacing w:val="28"/>
        </w:rPr>
        <w:t> </w:t>
      </w:r>
      <w:r>
        <w:rPr>
          <w:color w:val="231F1F"/>
        </w:rPr>
        <w:t>revisión</w:t>
      </w:r>
      <w:r>
        <w:rPr>
          <w:color w:val="231F1F"/>
          <w:spacing w:val="28"/>
        </w:rPr>
        <w:t> </w:t>
      </w:r>
      <w:r>
        <w:rPr>
          <w:color w:val="231F1F"/>
        </w:rPr>
        <w:t>(160)</w:t>
      </w:r>
      <w:r>
        <w:rPr>
          <w:color w:val="231F1F"/>
          <w:spacing w:val="28"/>
        </w:rPr>
        <w:t> </w:t>
      </w:r>
      <w:r>
        <w:rPr>
          <w:color w:val="231F1F"/>
        </w:rPr>
        <w:t>incluida</w:t>
      </w:r>
      <w:r>
        <w:rPr>
          <w:color w:val="231F1F"/>
          <w:spacing w:val="28"/>
        </w:rPr>
        <w:t> </w:t>
      </w:r>
      <w:r>
        <w:rPr>
          <w:color w:val="231F1F"/>
        </w:rPr>
        <w:t>en </w:t>
      </w:r>
      <w:r>
        <w:rPr>
          <w:color w:val="231F1F"/>
          <w:w w:val="110"/>
        </w:rPr>
        <w:t>la guía NICE (10) e incluye siete estudios, realizados en cuatro países, con 3.822</w:t>
      </w:r>
      <w:r>
        <w:rPr>
          <w:color w:val="231F1F"/>
          <w:spacing w:val="-13"/>
          <w:w w:val="110"/>
        </w:rPr>
        <w:t> </w:t>
      </w:r>
      <w:r>
        <w:rPr>
          <w:color w:val="231F1F"/>
          <w:w w:val="110"/>
        </w:rPr>
        <w:t>mujeres.</w:t>
      </w:r>
      <w:r>
        <w:rPr>
          <w:color w:val="231F1F"/>
          <w:spacing w:val="-13"/>
          <w:w w:val="110"/>
        </w:rPr>
        <w:t> </w:t>
      </w:r>
      <w:r>
        <w:rPr>
          <w:color w:val="231F1F"/>
          <w:w w:val="110"/>
        </w:rPr>
        <w:t>Los</w:t>
      </w:r>
      <w:r>
        <w:rPr>
          <w:color w:val="231F1F"/>
          <w:spacing w:val="-13"/>
          <w:w w:val="110"/>
        </w:rPr>
        <w:t> </w:t>
      </w:r>
      <w:r>
        <w:rPr>
          <w:color w:val="231F1F"/>
          <w:w w:val="110"/>
        </w:rPr>
        <w:t>ensayos</w:t>
      </w:r>
      <w:r>
        <w:rPr>
          <w:color w:val="231F1F"/>
          <w:spacing w:val="-12"/>
          <w:w w:val="110"/>
        </w:rPr>
        <w:t> </w:t>
      </w:r>
      <w:r>
        <w:rPr>
          <w:color w:val="231F1F"/>
          <w:w w:val="110"/>
        </w:rPr>
        <w:t>fueron</w:t>
      </w:r>
      <w:r>
        <w:rPr>
          <w:color w:val="231F1F"/>
          <w:spacing w:val="-13"/>
          <w:w w:val="110"/>
        </w:rPr>
        <w:t> </w:t>
      </w:r>
      <w:r>
        <w:rPr>
          <w:color w:val="231F1F"/>
          <w:w w:val="110"/>
        </w:rPr>
        <w:t>heterogéneos</w:t>
      </w:r>
      <w:r>
        <w:rPr>
          <w:color w:val="231F1F"/>
          <w:spacing w:val="-13"/>
          <w:w w:val="110"/>
        </w:rPr>
        <w:t> </w:t>
      </w:r>
      <w:r>
        <w:rPr>
          <w:color w:val="231F1F"/>
          <w:w w:val="110"/>
        </w:rPr>
        <w:t>con</w:t>
      </w:r>
      <w:r>
        <w:rPr>
          <w:color w:val="231F1F"/>
          <w:spacing w:val="-13"/>
          <w:w w:val="110"/>
        </w:rPr>
        <w:t> </w:t>
      </w:r>
      <w:r>
        <w:rPr>
          <w:color w:val="231F1F"/>
          <w:w w:val="110"/>
        </w:rPr>
        <w:t>respecto</w:t>
      </w:r>
      <w:r>
        <w:rPr>
          <w:color w:val="231F1F"/>
          <w:spacing w:val="-13"/>
          <w:w w:val="110"/>
        </w:rPr>
        <w:t> </w:t>
      </w:r>
      <w:r>
        <w:rPr>
          <w:color w:val="231F1F"/>
          <w:w w:val="110"/>
        </w:rPr>
        <w:t>a</w:t>
      </w:r>
      <w:r>
        <w:rPr>
          <w:color w:val="231F1F"/>
          <w:spacing w:val="-13"/>
          <w:w w:val="110"/>
        </w:rPr>
        <w:t> </w:t>
      </w:r>
      <w:r>
        <w:rPr>
          <w:color w:val="231F1F"/>
          <w:w w:val="110"/>
        </w:rPr>
        <w:t>la</w:t>
      </w:r>
      <w:r>
        <w:rPr>
          <w:color w:val="231F1F"/>
          <w:spacing w:val="-13"/>
          <w:w w:val="110"/>
        </w:rPr>
        <w:t> </w:t>
      </w:r>
      <w:r>
        <w:rPr>
          <w:color w:val="231F1F"/>
          <w:w w:val="110"/>
        </w:rPr>
        <w:t>habilidad y el entrenamiento de los cirujanos.</w:t>
      </w:r>
    </w:p>
    <w:p>
      <w:pPr>
        <w:pStyle w:val="BodyText"/>
        <w:spacing w:line="256" w:lineRule="auto" w:before="104"/>
        <w:ind w:left="283" w:firstLine="453"/>
        <w:jc w:val="both"/>
      </w:pPr>
      <w:r>
        <w:rPr>
          <w:color w:val="231F1F"/>
          <w:w w:val="105"/>
        </w:rPr>
        <w:t>El</w:t>
      </w:r>
      <w:r>
        <w:rPr>
          <w:color w:val="231F1F"/>
          <w:w w:val="105"/>
        </w:rPr>
        <w:t> metaanálisis</w:t>
      </w:r>
      <w:r>
        <w:rPr>
          <w:color w:val="231F1F"/>
          <w:w w:val="105"/>
        </w:rPr>
        <w:t> demostró</w:t>
      </w:r>
      <w:r>
        <w:rPr>
          <w:color w:val="231F1F"/>
          <w:w w:val="105"/>
        </w:rPr>
        <w:t> que</w:t>
      </w:r>
      <w:r>
        <w:rPr>
          <w:color w:val="231F1F"/>
          <w:w w:val="105"/>
        </w:rPr>
        <w:t> las</w:t>
      </w:r>
      <w:r>
        <w:rPr>
          <w:color w:val="231F1F"/>
          <w:w w:val="105"/>
        </w:rPr>
        <w:t> técnicas</w:t>
      </w:r>
      <w:r>
        <w:rPr>
          <w:color w:val="231F1F"/>
          <w:w w:val="105"/>
        </w:rPr>
        <w:t> de</w:t>
      </w:r>
      <w:r>
        <w:rPr>
          <w:color w:val="231F1F"/>
          <w:w w:val="105"/>
        </w:rPr>
        <w:t> sutura</w:t>
      </w:r>
      <w:r>
        <w:rPr>
          <w:color w:val="231F1F"/>
          <w:w w:val="105"/>
        </w:rPr>
        <w:t> continua</w:t>
      </w:r>
      <w:r>
        <w:rPr>
          <w:color w:val="231F1F"/>
          <w:w w:val="105"/>
        </w:rPr>
        <w:t> para</w:t>
      </w:r>
      <w:r>
        <w:rPr>
          <w:color w:val="231F1F"/>
          <w:w w:val="105"/>
        </w:rPr>
        <w:t> el</w:t>
      </w:r>
      <w:r>
        <w:rPr>
          <w:color w:val="231F1F"/>
          <w:spacing w:val="40"/>
          <w:w w:val="105"/>
        </w:rPr>
        <w:t> </w:t>
      </w:r>
      <w:r>
        <w:rPr>
          <w:color w:val="231F1F"/>
          <w:w w:val="105"/>
        </w:rPr>
        <w:t>cierre perineal, comparadas con cualquiera de las </w:t>
      </w:r>
      <w:r>
        <w:rPr>
          <w:i/>
          <w:color w:val="231F1F"/>
          <w:w w:val="105"/>
        </w:rPr>
        <w:t>técnicas de suturas discon- tinuas</w:t>
      </w:r>
      <w:r>
        <w:rPr>
          <w:i/>
          <w:color w:val="231F1F"/>
          <w:spacing w:val="-15"/>
          <w:w w:val="105"/>
        </w:rPr>
        <w:t> </w:t>
      </w:r>
      <w:r>
        <w:rPr>
          <w:color w:val="231F1F"/>
          <w:w w:val="105"/>
        </w:rPr>
        <w:t>(todas</w:t>
      </w:r>
      <w:r>
        <w:rPr>
          <w:color w:val="231F1F"/>
          <w:spacing w:val="-6"/>
          <w:w w:val="105"/>
        </w:rPr>
        <w:t> </w:t>
      </w:r>
      <w:r>
        <w:rPr>
          <w:color w:val="231F1F"/>
          <w:w w:val="105"/>
        </w:rPr>
        <w:t>las</w:t>
      </w:r>
      <w:r>
        <w:rPr>
          <w:color w:val="231F1F"/>
          <w:spacing w:val="-5"/>
          <w:w w:val="105"/>
        </w:rPr>
        <w:t> </w:t>
      </w:r>
      <w:r>
        <w:rPr>
          <w:color w:val="231F1F"/>
          <w:w w:val="105"/>
        </w:rPr>
        <w:t>capas</w:t>
      </w:r>
      <w:r>
        <w:rPr>
          <w:color w:val="231F1F"/>
          <w:spacing w:val="-5"/>
          <w:w w:val="105"/>
        </w:rPr>
        <w:t> </w:t>
      </w:r>
      <w:r>
        <w:rPr>
          <w:color w:val="231F1F"/>
          <w:w w:val="105"/>
        </w:rPr>
        <w:t>o</w:t>
      </w:r>
      <w:r>
        <w:rPr>
          <w:color w:val="231F1F"/>
          <w:spacing w:val="-5"/>
          <w:w w:val="105"/>
        </w:rPr>
        <w:t> </w:t>
      </w:r>
      <w:r>
        <w:rPr>
          <w:color w:val="231F1F"/>
          <w:w w:val="105"/>
        </w:rPr>
        <w:t>piel</w:t>
      </w:r>
      <w:r>
        <w:rPr>
          <w:color w:val="231F1F"/>
          <w:spacing w:val="-5"/>
          <w:w w:val="105"/>
        </w:rPr>
        <w:t> </w:t>
      </w:r>
      <w:r>
        <w:rPr>
          <w:color w:val="231F1F"/>
          <w:w w:val="105"/>
        </w:rPr>
        <w:t>perineal</w:t>
      </w:r>
      <w:r>
        <w:rPr>
          <w:color w:val="231F1F"/>
          <w:spacing w:val="-5"/>
          <w:w w:val="105"/>
        </w:rPr>
        <w:t> </w:t>
      </w:r>
      <w:r>
        <w:rPr>
          <w:color w:val="231F1F"/>
          <w:w w:val="105"/>
        </w:rPr>
        <w:t>solamente)</w:t>
      </w:r>
      <w:r>
        <w:rPr>
          <w:color w:val="231F1F"/>
          <w:spacing w:val="-5"/>
          <w:w w:val="105"/>
        </w:rPr>
        <w:t> </w:t>
      </w:r>
      <w:r>
        <w:rPr>
          <w:color w:val="231F1F"/>
          <w:w w:val="105"/>
        </w:rPr>
        <w:t>sigue</w:t>
      </w:r>
      <w:r>
        <w:rPr>
          <w:color w:val="231F1F"/>
          <w:spacing w:val="-5"/>
          <w:w w:val="105"/>
        </w:rPr>
        <w:t> </w:t>
      </w:r>
      <w:r>
        <w:rPr>
          <w:color w:val="231F1F"/>
          <w:w w:val="105"/>
        </w:rPr>
        <w:t>asociándose</w:t>
      </w:r>
      <w:r>
        <w:rPr>
          <w:color w:val="231F1F"/>
          <w:spacing w:val="-5"/>
          <w:w w:val="105"/>
        </w:rPr>
        <w:t> </w:t>
      </w:r>
      <w:r>
        <w:rPr>
          <w:color w:val="231F1F"/>
          <w:w w:val="105"/>
        </w:rPr>
        <w:t>con</w:t>
      </w:r>
      <w:r>
        <w:rPr>
          <w:color w:val="231F1F"/>
          <w:spacing w:val="-5"/>
          <w:w w:val="105"/>
        </w:rPr>
        <w:t> </w:t>
      </w:r>
      <w:r>
        <w:rPr>
          <w:color w:val="231F1F"/>
          <w:w w:val="105"/>
        </w:rPr>
        <w:t>menos dolor</w:t>
      </w:r>
      <w:r>
        <w:rPr>
          <w:color w:val="231F1F"/>
          <w:spacing w:val="-5"/>
          <w:w w:val="105"/>
        </w:rPr>
        <w:t> </w:t>
      </w:r>
      <w:r>
        <w:rPr>
          <w:color w:val="231F1F"/>
          <w:w w:val="105"/>
        </w:rPr>
        <w:t>hasta</w:t>
      </w:r>
      <w:r>
        <w:rPr>
          <w:color w:val="231F1F"/>
          <w:spacing w:val="-5"/>
          <w:w w:val="105"/>
        </w:rPr>
        <w:t> </w:t>
      </w:r>
      <w:r>
        <w:rPr>
          <w:color w:val="231F1F"/>
          <w:w w:val="105"/>
        </w:rPr>
        <w:t>10</w:t>
      </w:r>
      <w:r>
        <w:rPr>
          <w:color w:val="231F1F"/>
          <w:spacing w:val="-4"/>
          <w:w w:val="105"/>
        </w:rPr>
        <w:t> </w:t>
      </w:r>
      <w:r>
        <w:rPr>
          <w:color w:val="231F1F"/>
          <w:w w:val="105"/>
        </w:rPr>
        <w:t>días</w:t>
      </w:r>
      <w:r>
        <w:rPr>
          <w:color w:val="231F1F"/>
          <w:spacing w:val="-5"/>
          <w:w w:val="105"/>
        </w:rPr>
        <w:t> </w:t>
      </w:r>
      <w:r>
        <w:rPr>
          <w:color w:val="231F1F"/>
          <w:w w:val="105"/>
        </w:rPr>
        <w:t>después</w:t>
      </w:r>
      <w:r>
        <w:rPr>
          <w:color w:val="231F1F"/>
          <w:spacing w:val="-4"/>
          <w:w w:val="105"/>
        </w:rPr>
        <w:t> </w:t>
      </w:r>
      <w:r>
        <w:rPr>
          <w:color w:val="231F1F"/>
          <w:w w:val="105"/>
        </w:rPr>
        <w:t>del</w:t>
      </w:r>
      <w:r>
        <w:rPr>
          <w:color w:val="231F1F"/>
          <w:spacing w:val="-5"/>
          <w:w w:val="105"/>
        </w:rPr>
        <w:t> </w:t>
      </w:r>
      <w:r>
        <w:rPr>
          <w:color w:val="231F1F"/>
          <w:w w:val="105"/>
        </w:rPr>
        <w:t>parto</w:t>
      </w:r>
      <w:r>
        <w:rPr>
          <w:color w:val="231F1F"/>
          <w:spacing w:val="-5"/>
          <w:w w:val="105"/>
        </w:rPr>
        <w:t> </w:t>
      </w:r>
      <w:r>
        <w:rPr>
          <w:color w:val="231F1F"/>
          <w:w w:val="105"/>
        </w:rPr>
        <w:t>(seis</w:t>
      </w:r>
      <w:r>
        <w:rPr>
          <w:color w:val="231F1F"/>
          <w:spacing w:val="-4"/>
          <w:w w:val="105"/>
        </w:rPr>
        <w:t> </w:t>
      </w:r>
      <w:r>
        <w:rPr>
          <w:color w:val="231F1F"/>
          <w:w w:val="105"/>
        </w:rPr>
        <w:t>ECAs</w:t>
      </w:r>
      <w:r>
        <w:rPr>
          <w:color w:val="231F1F"/>
          <w:spacing w:val="-4"/>
          <w:w w:val="105"/>
        </w:rPr>
        <w:t> </w:t>
      </w:r>
      <w:r>
        <w:rPr>
          <w:color w:val="231F1F"/>
          <w:w w:val="105"/>
        </w:rPr>
        <w:t>con</w:t>
      </w:r>
      <w:r>
        <w:rPr>
          <w:color w:val="231F1F"/>
          <w:spacing w:val="-4"/>
          <w:w w:val="105"/>
        </w:rPr>
        <w:t> </w:t>
      </w:r>
      <w:r>
        <w:rPr>
          <w:color w:val="231F1F"/>
          <w:w w:val="105"/>
        </w:rPr>
        <w:t>3.527</w:t>
      </w:r>
      <w:r>
        <w:rPr>
          <w:color w:val="231F1F"/>
          <w:spacing w:val="-5"/>
          <w:w w:val="105"/>
        </w:rPr>
        <w:t> </w:t>
      </w:r>
      <w:r>
        <w:rPr>
          <w:color w:val="231F1F"/>
          <w:w w:val="105"/>
        </w:rPr>
        <w:t>mujeres):</w:t>
      </w:r>
      <w:r>
        <w:rPr>
          <w:color w:val="231F1F"/>
          <w:spacing w:val="-5"/>
          <w:w w:val="105"/>
        </w:rPr>
        <w:t> </w:t>
      </w:r>
      <w:r>
        <w:rPr>
          <w:color w:val="231F1F"/>
          <w:w w:val="105"/>
        </w:rPr>
        <w:t>RR</w:t>
      </w:r>
      <w:r>
        <w:rPr>
          <w:color w:val="231F1F"/>
          <w:spacing w:val="-4"/>
          <w:w w:val="105"/>
        </w:rPr>
        <w:t> </w:t>
      </w:r>
      <w:r>
        <w:rPr>
          <w:color w:val="231F1F"/>
          <w:w w:val="105"/>
        </w:rPr>
        <w:t>0,70; [IC 95% 0,64 a 0,76].</w:t>
      </w:r>
    </w:p>
    <w:p>
      <w:pPr>
        <w:spacing w:line="254" w:lineRule="auto" w:before="110"/>
        <w:ind w:left="283" w:right="0" w:firstLine="453"/>
        <w:jc w:val="both"/>
        <w:rPr>
          <w:sz w:val="22"/>
        </w:rPr>
      </w:pPr>
      <w:r>
        <w:rPr>
          <w:color w:val="231F1F"/>
          <w:w w:val="105"/>
          <w:sz w:val="22"/>
        </w:rPr>
        <w:t>El análisis</w:t>
      </w:r>
      <w:r>
        <w:rPr>
          <w:color w:val="231F1F"/>
          <w:w w:val="105"/>
          <w:sz w:val="22"/>
        </w:rPr>
        <w:t> de</w:t>
      </w:r>
      <w:r>
        <w:rPr>
          <w:color w:val="231F1F"/>
          <w:w w:val="105"/>
          <w:sz w:val="22"/>
        </w:rPr>
        <w:t> subgrupos</w:t>
      </w:r>
      <w:r>
        <w:rPr>
          <w:color w:val="231F1F"/>
          <w:w w:val="105"/>
          <w:sz w:val="22"/>
        </w:rPr>
        <w:t> demostró</w:t>
      </w:r>
      <w:r>
        <w:rPr>
          <w:color w:val="231F1F"/>
          <w:w w:val="105"/>
          <w:sz w:val="22"/>
        </w:rPr>
        <w:t> que</w:t>
      </w:r>
      <w:r>
        <w:rPr>
          <w:color w:val="231F1F"/>
          <w:w w:val="105"/>
          <w:sz w:val="22"/>
        </w:rPr>
        <w:t> hay</w:t>
      </w:r>
      <w:r>
        <w:rPr>
          <w:color w:val="231F1F"/>
          <w:w w:val="105"/>
          <w:sz w:val="22"/>
        </w:rPr>
        <w:t> una</w:t>
      </w:r>
      <w:r>
        <w:rPr>
          <w:color w:val="231F1F"/>
          <w:w w:val="105"/>
          <w:sz w:val="22"/>
        </w:rPr>
        <w:t> mayor</w:t>
      </w:r>
      <w:r>
        <w:rPr>
          <w:color w:val="231F1F"/>
          <w:w w:val="105"/>
          <w:sz w:val="22"/>
        </w:rPr>
        <w:t> reducción</w:t>
      </w:r>
      <w:r>
        <w:rPr>
          <w:color w:val="231F1F"/>
          <w:w w:val="105"/>
          <w:sz w:val="22"/>
        </w:rPr>
        <w:t> del</w:t>
      </w:r>
      <w:r>
        <w:rPr>
          <w:color w:val="231F1F"/>
          <w:spacing w:val="40"/>
          <w:w w:val="105"/>
          <w:sz w:val="22"/>
        </w:rPr>
        <w:t> </w:t>
      </w:r>
      <w:r>
        <w:rPr>
          <w:color w:val="231F1F"/>
          <w:w w:val="105"/>
          <w:sz w:val="22"/>
        </w:rPr>
        <w:t>dolor</w:t>
      </w:r>
      <w:r>
        <w:rPr>
          <w:color w:val="231F1F"/>
          <w:w w:val="105"/>
          <w:sz w:val="22"/>
        </w:rPr>
        <w:t> cuando</w:t>
      </w:r>
      <w:r>
        <w:rPr>
          <w:color w:val="231F1F"/>
          <w:w w:val="105"/>
          <w:sz w:val="22"/>
        </w:rPr>
        <w:t> se</w:t>
      </w:r>
      <w:r>
        <w:rPr>
          <w:color w:val="231F1F"/>
          <w:w w:val="105"/>
          <w:sz w:val="22"/>
        </w:rPr>
        <w:t> usan</w:t>
      </w:r>
      <w:r>
        <w:rPr>
          <w:color w:val="231F1F"/>
          <w:w w:val="105"/>
          <w:sz w:val="22"/>
        </w:rPr>
        <w:t> las</w:t>
      </w:r>
      <w:r>
        <w:rPr>
          <w:color w:val="231F1F"/>
          <w:w w:val="105"/>
          <w:sz w:val="22"/>
        </w:rPr>
        <w:t> </w:t>
      </w:r>
      <w:r>
        <w:rPr>
          <w:i/>
          <w:color w:val="231F1F"/>
          <w:w w:val="105"/>
          <w:sz w:val="22"/>
        </w:rPr>
        <w:t>técnicas</w:t>
      </w:r>
      <w:r>
        <w:rPr>
          <w:i/>
          <w:color w:val="231F1F"/>
          <w:w w:val="105"/>
          <w:sz w:val="22"/>
        </w:rPr>
        <w:t> de</w:t>
      </w:r>
      <w:r>
        <w:rPr>
          <w:i/>
          <w:color w:val="231F1F"/>
          <w:w w:val="105"/>
          <w:sz w:val="22"/>
        </w:rPr>
        <w:t> sutura</w:t>
      </w:r>
      <w:r>
        <w:rPr>
          <w:i/>
          <w:color w:val="231F1F"/>
          <w:w w:val="105"/>
          <w:sz w:val="22"/>
        </w:rPr>
        <w:t> continua</w:t>
      </w:r>
      <w:r>
        <w:rPr>
          <w:i/>
          <w:color w:val="231F1F"/>
          <w:w w:val="105"/>
          <w:sz w:val="22"/>
        </w:rPr>
        <w:t> para</w:t>
      </w:r>
      <w:r>
        <w:rPr>
          <w:i/>
          <w:color w:val="231F1F"/>
          <w:w w:val="105"/>
          <w:sz w:val="22"/>
        </w:rPr>
        <w:t> todas</w:t>
      </w:r>
      <w:r>
        <w:rPr>
          <w:i/>
          <w:color w:val="231F1F"/>
          <w:w w:val="105"/>
          <w:sz w:val="22"/>
        </w:rPr>
        <w:t> las</w:t>
      </w:r>
      <w:r>
        <w:rPr>
          <w:i/>
          <w:color w:val="231F1F"/>
          <w:w w:val="105"/>
          <w:sz w:val="22"/>
        </w:rPr>
        <w:t> capas versus puntos interrumpidos </w:t>
      </w:r>
      <w:r>
        <w:rPr>
          <w:color w:val="231F1F"/>
          <w:w w:val="105"/>
          <w:sz w:val="22"/>
        </w:rPr>
        <w:t>para</w:t>
      </w:r>
      <w:r>
        <w:rPr>
          <w:color w:val="231F1F"/>
          <w:w w:val="105"/>
          <w:sz w:val="22"/>
        </w:rPr>
        <w:t> la</w:t>
      </w:r>
      <w:r>
        <w:rPr>
          <w:color w:val="231F1F"/>
          <w:w w:val="105"/>
          <w:sz w:val="22"/>
        </w:rPr>
        <w:t> reparación</w:t>
      </w:r>
      <w:r>
        <w:rPr>
          <w:color w:val="231F1F"/>
          <w:w w:val="105"/>
          <w:sz w:val="22"/>
        </w:rPr>
        <w:t> de</w:t>
      </w:r>
      <w:r>
        <w:rPr>
          <w:color w:val="231F1F"/>
          <w:w w:val="105"/>
          <w:sz w:val="22"/>
        </w:rPr>
        <w:t> la</w:t>
      </w:r>
      <w:r>
        <w:rPr>
          <w:color w:val="231F1F"/>
          <w:w w:val="105"/>
          <w:sz w:val="22"/>
        </w:rPr>
        <w:t> piel</w:t>
      </w:r>
      <w:r>
        <w:rPr>
          <w:color w:val="231F1F"/>
          <w:w w:val="105"/>
          <w:sz w:val="22"/>
        </w:rPr>
        <w:t> (cuatro</w:t>
      </w:r>
      <w:r>
        <w:rPr>
          <w:color w:val="231F1F"/>
          <w:w w:val="105"/>
          <w:sz w:val="22"/>
        </w:rPr>
        <w:t> ECAs</w:t>
      </w:r>
      <w:r>
        <w:rPr>
          <w:color w:val="231F1F"/>
          <w:w w:val="105"/>
          <w:sz w:val="22"/>
        </w:rPr>
        <w:t> con 2.459</w:t>
      </w:r>
      <w:r>
        <w:rPr>
          <w:color w:val="231F1F"/>
          <w:spacing w:val="40"/>
          <w:w w:val="105"/>
          <w:sz w:val="22"/>
        </w:rPr>
        <w:t> </w:t>
      </w:r>
      <w:r>
        <w:rPr>
          <w:color w:val="231F1F"/>
          <w:w w:val="105"/>
          <w:sz w:val="22"/>
        </w:rPr>
        <w:t>mujeres):</w:t>
      </w:r>
      <w:r>
        <w:rPr>
          <w:color w:val="231F1F"/>
          <w:spacing w:val="40"/>
          <w:w w:val="105"/>
          <w:sz w:val="22"/>
        </w:rPr>
        <w:t> </w:t>
      </w:r>
      <w:r>
        <w:rPr>
          <w:color w:val="231F1F"/>
          <w:w w:val="105"/>
          <w:sz w:val="22"/>
        </w:rPr>
        <w:t>RR</w:t>
      </w:r>
      <w:r>
        <w:rPr>
          <w:color w:val="231F1F"/>
          <w:spacing w:val="40"/>
          <w:w w:val="105"/>
          <w:sz w:val="22"/>
        </w:rPr>
        <w:t> </w:t>
      </w:r>
      <w:r>
        <w:rPr>
          <w:color w:val="231F1F"/>
          <w:w w:val="105"/>
          <w:sz w:val="22"/>
        </w:rPr>
        <w:t>0,65</w:t>
      </w:r>
      <w:r>
        <w:rPr>
          <w:color w:val="231F1F"/>
          <w:spacing w:val="40"/>
          <w:w w:val="105"/>
          <w:sz w:val="22"/>
        </w:rPr>
        <w:t> </w:t>
      </w:r>
      <w:r>
        <w:rPr>
          <w:color w:val="231F1F"/>
          <w:w w:val="105"/>
          <w:sz w:val="22"/>
        </w:rPr>
        <w:t>[IC</w:t>
      </w:r>
      <w:r>
        <w:rPr>
          <w:color w:val="231F1F"/>
          <w:spacing w:val="40"/>
          <w:w w:val="105"/>
          <w:sz w:val="22"/>
        </w:rPr>
        <w:t> </w:t>
      </w:r>
      <w:r>
        <w:rPr>
          <w:color w:val="231F1F"/>
          <w:w w:val="105"/>
          <w:sz w:val="22"/>
        </w:rPr>
        <w:t>95%</w:t>
      </w:r>
      <w:r>
        <w:rPr>
          <w:color w:val="231F1F"/>
          <w:spacing w:val="40"/>
          <w:w w:val="105"/>
          <w:sz w:val="22"/>
        </w:rPr>
        <w:t> </w:t>
      </w:r>
      <w:r>
        <w:rPr>
          <w:color w:val="231F1F"/>
          <w:w w:val="105"/>
          <w:sz w:val="22"/>
        </w:rPr>
        <w:t>0,60</w:t>
      </w:r>
      <w:r>
        <w:rPr>
          <w:color w:val="231F1F"/>
          <w:spacing w:val="40"/>
          <w:w w:val="105"/>
          <w:sz w:val="22"/>
        </w:rPr>
        <w:t> </w:t>
      </w:r>
      <w:r>
        <w:rPr>
          <w:color w:val="231F1F"/>
          <w:w w:val="105"/>
          <w:sz w:val="22"/>
        </w:rPr>
        <w:t>a</w:t>
      </w:r>
      <w:r>
        <w:rPr>
          <w:color w:val="231F1F"/>
          <w:spacing w:val="40"/>
          <w:w w:val="105"/>
          <w:sz w:val="22"/>
        </w:rPr>
        <w:t> </w:t>
      </w:r>
      <w:r>
        <w:rPr>
          <w:color w:val="231F1F"/>
          <w:w w:val="105"/>
          <w:sz w:val="22"/>
        </w:rPr>
        <w:t>0,71],</w:t>
      </w:r>
      <w:r>
        <w:rPr>
          <w:color w:val="231F1F"/>
          <w:spacing w:val="40"/>
          <w:w w:val="105"/>
          <w:sz w:val="22"/>
        </w:rPr>
        <w:t> </w:t>
      </w:r>
      <w:r>
        <w:rPr>
          <w:color w:val="231F1F"/>
          <w:w w:val="105"/>
          <w:sz w:val="22"/>
        </w:rPr>
        <w:t>una</w:t>
      </w:r>
      <w:r>
        <w:rPr>
          <w:color w:val="231F1F"/>
          <w:spacing w:val="40"/>
          <w:w w:val="105"/>
          <w:sz w:val="22"/>
        </w:rPr>
        <w:t> </w:t>
      </w:r>
      <w:r>
        <w:rPr>
          <w:color w:val="231F1F"/>
          <w:w w:val="105"/>
          <w:sz w:val="22"/>
        </w:rPr>
        <w:t>reducción</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uso</w:t>
      </w:r>
      <w:r>
        <w:rPr>
          <w:color w:val="231F1F"/>
          <w:spacing w:val="40"/>
          <w:w w:val="105"/>
          <w:sz w:val="22"/>
        </w:rPr>
        <w:t> </w:t>
      </w:r>
      <w:r>
        <w:rPr>
          <w:color w:val="231F1F"/>
          <w:w w:val="105"/>
          <w:sz w:val="22"/>
        </w:rPr>
        <w:t>de</w:t>
      </w:r>
    </w:p>
    <w:p>
      <w:pPr>
        <w:pStyle w:val="BodyText"/>
        <w:spacing w:line="256" w:lineRule="auto" w:before="8"/>
        <w:ind w:left="283" w:right="1"/>
        <w:jc w:val="both"/>
      </w:pPr>
      <w:r>
        <w:rPr>
          <w:color w:val="231F1F"/>
          <w:w w:val="110"/>
        </w:rPr>
        <w:t>analgesia</w:t>
      </w:r>
      <w:r>
        <w:rPr>
          <w:color w:val="231F1F"/>
          <w:spacing w:val="-7"/>
          <w:w w:val="110"/>
        </w:rPr>
        <w:t> </w:t>
      </w:r>
      <w:r>
        <w:rPr>
          <w:color w:val="231F1F"/>
          <w:w w:val="110"/>
        </w:rPr>
        <w:t>(cuatro</w:t>
      </w:r>
      <w:r>
        <w:rPr>
          <w:color w:val="231F1F"/>
          <w:spacing w:val="-7"/>
          <w:w w:val="110"/>
        </w:rPr>
        <w:t> </w:t>
      </w:r>
      <w:r>
        <w:rPr>
          <w:color w:val="231F1F"/>
          <w:w w:val="110"/>
        </w:rPr>
        <w:t>ECAs</w:t>
      </w:r>
      <w:r>
        <w:rPr>
          <w:color w:val="231F1F"/>
          <w:spacing w:val="-7"/>
          <w:w w:val="110"/>
        </w:rPr>
        <w:t> </w:t>
      </w:r>
      <w:r>
        <w:rPr>
          <w:color w:val="231F1F"/>
          <w:w w:val="110"/>
        </w:rPr>
        <w:t>con</w:t>
      </w:r>
      <w:r>
        <w:rPr>
          <w:color w:val="231F1F"/>
          <w:spacing w:val="-7"/>
          <w:w w:val="110"/>
        </w:rPr>
        <w:t> </w:t>
      </w:r>
      <w:r>
        <w:rPr>
          <w:color w:val="231F1F"/>
          <w:w w:val="110"/>
        </w:rPr>
        <w:t>2.821</w:t>
      </w:r>
      <w:r>
        <w:rPr>
          <w:color w:val="231F1F"/>
          <w:spacing w:val="-7"/>
          <w:w w:val="110"/>
        </w:rPr>
        <w:t> </w:t>
      </w:r>
      <w:r>
        <w:rPr>
          <w:color w:val="231F1F"/>
          <w:w w:val="110"/>
        </w:rPr>
        <w:t>mujeres):</w:t>
      </w:r>
      <w:r>
        <w:rPr>
          <w:color w:val="231F1F"/>
          <w:spacing w:val="-7"/>
          <w:w w:val="110"/>
        </w:rPr>
        <w:t> </w:t>
      </w:r>
      <w:r>
        <w:rPr>
          <w:color w:val="231F1F"/>
          <w:w w:val="110"/>
        </w:rPr>
        <w:t>RR</w:t>
      </w:r>
      <w:r>
        <w:rPr>
          <w:color w:val="231F1F"/>
          <w:spacing w:val="-7"/>
          <w:w w:val="110"/>
        </w:rPr>
        <w:t> </w:t>
      </w:r>
      <w:r>
        <w:rPr>
          <w:color w:val="231F1F"/>
          <w:w w:val="110"/>
        </w:rPr>
        <w:t>0,70</w:t>
      </w:r>
      <w:r>
        <w:rPr>
          <w:color w:val="231F1F"/>
          <w:spacing w:val="-7"/>
          <w:w w:val="110"/>
        </w:rPr>
        <w:t> </w:t>
      </w:r>
      <w:r>
        <w:rPr>
          <w:color w:val="231F1F"/>
          <w:w w:val="110"/>
        </w:rPr>
        <w:t>[IC</w:t>
      </w:r>
      <w:r>
        <w:rPr>
          <w:color w:val="231F1F"/>
          <w:spacing w:val="-7"/>
          <w:w w:val="110"/>
        </w:rPr>
        <w:t> </w:t>
      </w:r>
      <w:r>
        <w:rPr>
          <w:color w:val="231F1F"/>
          <w:w w:val="110"/>
        </w:rPr>
        <w:t>95%</w:t>
      </w:r>
      <w:r>
        <w:rPr>
          <w:color w:val="231F1F"/>
          <w:spacing w:val="-6"/>
          <w:w w:val="110"/>
        </w:rPr>
        <w:t> </w:t>
      </w:r>
      <w:r>
        <w:rPr>
          <w:color w:val="231F1F"/>
          <w:w w:val="110"/>
        </w:rPr>
        <w:t>0,58</w:t>
      </w:r>
      <w:r>
        <w:rPr>
          <w:color w:val="231F1F"/>
          <w:spacing w:val="-7"/>
          <w:w w:val="110"/>
        </w:rPr>
        <w:t> </w:t>
      </w:r>
      <w:r>
        <w:rPr>
          <w:color w:val="231F1F"/>
          <w:w w:val="110"/>
        </w:rPr>
        <w:t>a</w:t>
      </w:r>
      <w:r>
        <w:rPr>
          <w:color w:val="231F1F"/>
          <w:spacing w:val="-7"/>
          <w:w w:val="110"/>
        </w:rPr>
        <w:t> </w:t>
      </w:r>
      <w:r>
        <w:rPr>
          <w:color w:val="231F1F"/>
          <w:w w:val="110"/>
        </w:rPr>
        <w:t>0,84]. Se</w:t>
      </w:r>
      <w:r>
        <w:rPr>
          <w:color w:val="231F1F"/>
          <w:spacing w:val="-1"/>
          <w:w w:val="110"/>
        </w:rPr>
        <w:t> </w:t>
      </w:r>
      <w:r>
        <w:rPr>
          <w:color w:val="231F1F"/>
          <w:w w:val="110"/>
        </w:rPr>
        <w:t>observa</w:t>
      </w:r>
      <w:r>
        <w:rPr>
          <w:color w:val="231F1F"/>
          <w:spacing w:val="-1"/>
          <w:w w:val="110"/>
        </w:rPr>
        <w:t> </w:t>
      </w:r>
      <w:r>
        <w:rPr>
          <w:color w:val="231F1F"/>
          <w:w w:val="110"/>
        </w:rPr>
        <w:t>menor</w:t>
      </w:r>
      <w:r>
        <w:rPr>
          <w:color w:val="231F1F"/>
          <w:spacing w:val="-2"/>
          <w:w w:val="110"/>
        </w:rPr>
        <w:t> </w:t>
      </w:r>
      <w:r>
        <w:rPr>
          <w:color w:val="231F1F"/>
          <w:w w:val="110"/>
        </w:rPr>
        <w:t>dispareunia</w:t>
      </w:r>
      <w:r>
        <w:rPr>
          <w:color w:val="231F1F"/>
          <w:spacing w:val="-2"/>
          <w:w w:val="110"/>
        </w:rPr>
        <w:t> </w:t>
      </w:r>
      <w:r>
        <w:rPr>
          <w:color w:val="231F1F"/>
          <w:w w:val="110"/>
        </w:rPr>
        <w:t>en</w:t>
      </w:r>
      <w:r>
        <w:rPr>
          <w:color w:val="231F1F"/>
          <w:spacing w:val="-1"/>
          <w:w w:val="110"/>
        </w:rPr>
        <w:t> </w:t>
      </w:r>
      <w:r>
        <w:rPr>
          <w:color w:val="231F1F"/>
          <w:w w:val="110"/>
        </w:rPr>
        <w:t>las</w:t>
      </w:r>
      <w:r>
        <w:rPr>
          <w:color w:val="231F1F"/>
          <w:spacing w:val="-1"/>
          <w:w w:val="110"/>
        </w:rPr>
        <w:t> </w:t>
      </w:r>
      <w:r>
        <w:rPr>
          <w:color w:val="231F1F"/>
          <w:w w:val="110"/>
        </w:rPr>
        <w:t>participantes</w:t>
      </w:r>
      <w:r>
        <w:rPr>
          <w:color w:val="231F1F"/>
          <w:spacing w:val="-2"/>
          <w:w w:val="110"/>
        </w:rPr>
        <w:t> </w:t>
      </w:r>
      <w:r>
        <w:rPr>
          <w:color w:val="231F1F"/>
          <w:w w:val="110"/>
        </w:rPr>
        <w:t>de</w:t>
      </w:r>
      <w:r>
        <w:rPr>
          <w:color w:val="231F1F"/>
          <w:spacing w:val="-1"/>
          <w:w w:val="110"/>
        </w:rPr>
        <w:t> </w:t>
      </w:r>
      <w:r>
        <w:rPr>
          <w:color w:val="231F1F"/>
          <w:w w:val="110"/>
        </w:rPr>
        <w:t>los</w:t>
      </w:r>
      <w:r>
        <w:rPr>
          <w:color w:val="231F1F"/>
          <w:spacing w:val="-2"/>
          <w:w w:val="110"/>
        </w:rPr>
        <w:t> </w:t>
      </w:r>
      <w:r>
        <w:rPr>
          <w:color w:val="231F1F"/>
          <w:w w:val="110"/>
        </w:rPr>
        <w:t>grupos</w:t>
      </w:r>
      <w:r>
        <w:rPr>
          <w:color w:val="231F1F"/>
          <w:spacing w:val="-1"/>
          <w:w w:val="110"/>
        </w:rPr>
        <w:t> </w:t>
      </w:r>
      <w:r>
        <w:rPr>
          <w:color w:val="231F1F"/>
          <w:w w:val="110"/>
        </w:rPr>
        <w:t>con</w:t>
      </w:r>
      <w:r>
        <w:rPr>
          <w:color w:val="231F1F"/>
          <w:spacing w:val="-1"/>
          <w:w w:val="110"/>
        </w:rPr>
        <w:t> </w:t>
      </w:r>
      <w:r>
        <w:rPr>
          <w:color w:val="231F1F"/>
          <w:w w:val="110"/>
        </w:rPr>
        <w:t>sutura continua de todas las capas (cinco ECAs con 2.149 mujeres): RR 0,83 [IC 95% 0,70 a 0,98]. Y una menor necesidad de los puntos en los grupos de sutura continua versus discontinua (todas las capas) (tres ECAs con 2.650 mujeres):</w:t>
      </w:r>
      <w:r>
        <w:rPr>
          <w:color w:val="231F1F"/>
          <w:spacing w:val="-2"/>
          <w:w w:val="110"/>
        </w:rPr>
        <w:t> </w:t>
      </w:r>
      <w:r>
        <w:rPr>
          <w:color w:val="231F1F"/>
          <w:w w:val="110"/>
        </w:rPr>
        <w:t>RR</w:t>
      </w:r>
      <w:r>
        <w:rPr>
          <w:color w:val="231F1F"/>
          <w:spacing w:val="-1"/>
          <w:w w:val="110"/>
        </w:rPr>
        <w:t> </w:t>
      </w:r>
      <w:r>
        <w:rPr>
          <w:color w:val="231F1F"/>
          <w:w w:val="110"/>
        </w:rPr>
        <w:t>0,54</w:t>
      </w:r>
      <w:r>
        <w:rPr>
          <w:color w:val="231F1F"/>
          <w:spacing w:val="-2"/>
          <w:w w:val="110"/>
        </w:rPr>
        <w:t> </w:t>
      </w:r>
      <w:r>
        <w:rPr>
          <w:color w:val="231F1F"/>
          <w:w w:val="110"/>
        </w:rPr>
        <w:t>[IC</w:t>
      </w:r>
      <w:r>
        <w:rPr>
          <w:color w:val="231F1F"/>
          <w:spacing w:val="-1"/>
          <w:w w:val="110"/>
        </w:rPr>
        <w:t> </w:t>
      </w:r>
      <w:r>
        <w:rPr>
          <w:color w:val="231F1F"/>
          <w:w w:val="110"/>
        </w:rPr>
        <w:t>95%:</w:t>
      </w:r>
      <w:r>
        <w:rPr>
          <w:color w:val="231F1F"/>
          <w:spacing w:val="-2"/>
          <w:w w:val="110"/>
        </w:rPr>
        <w:t> </w:t>
      </w:r>
      <w:r>
        <w:rPr>
          <w:color w:val="231F1F"/>
          <w:w w:val="110"/>
        </w:rPr>
        <w:t>0,45</w:t>
      </w:r>
      <w:r>
        <w:rPr>
          <w:color w:val="231F1F"/>
          <w:spacing w:val="-2"/>
          <w:w w:val="110"/>
        </w:rPr>
        <w:t> </w:t>
      </w:r>
      <w:r>
        <w:rPr>
          <w:color w:val="231F1F"/>
          <w:w w:val="110"/>
        </w:rPr>
        <w:t>a</w:t>
      </w:r>
      <w:r>
        <w:rPr>
          <w:color w:val="231F1F"/>
          <w:spacing w:val="-2"/>
          <w:w w:val="110"/>
        </w:rPr>
        <w:t> </w:t>
      </w:r>
      <w:r>
        <w:rPr>
          <w:color w:val="231F1F"/>
          <w:w w:val="110"/>
        </w:rPr>
        <w:t>0,65],</w:t>
      </w:r>
      <w:r>
        <w:rPr>
          <w:color w:val="231F1F"/>
          <w:spacing w:val="-2"/>
          <w:w w:val="110"/>
        </w:rPr>
        <w:t> </w:t>
      </w:r>
      <w:r>
        <w:rPr>
          <w:color w:val="231F1F"/>
          <w:w w:val="110"/>
        </w:rPr>
        <w:t>pero</w:t>
      </w:r>
      <w:r>
        <w:rPr>
          <w:color w:val="231F1F"/>
          <w:spacing w:val="-2"/>
          <w:w w:val="110"/>
        </w:rPr>
        <w:t> </w:t>
      </w:r>
      <w:r>
        <w:rPr>
          <w:color w:val="231F1F"/>
          <w:w w:val="110"/>
        </w:rPr>
        <w:t>no</w:t>
      </w:r>
      <w:r>
        <w:rPr>
          <w:color w:val="231F1F"/>
          <w:spacing w:val="-2"/>
          <w:w w:val="110"/>
        </w:rPr>
        <w:t> </w:t>
      </w:r>
      <w:r>
        <w:rPr>
          <w:color w:val="231F1F"/>
          <w:w w:val="110"/>
        </w:rPr>
        <w:t>se</w:t>
      </w:r>
      <w:r>
        <w:rPr>
          <w:color w:val="231F1F"/>
          <w:spacing w:val="-2"/>
          <w:w w:val="110"/>
        </w:rPr>
        <w:t> </w:t>
      </w:r>
      <w:r>
        <w:rPr>
          <w:color w:val="231F1F"/>
          <w:w w:val="110"/>
        </w:rPr>
        <w:t>observó</w:t>
      </w:r>
      <w:r>
        <w:rPr>
          <w:color w:val="231F1F"/>
          <w:spacing w:val="-2"/>
          <w:w w:val="110"/>
        </w:rPr>
        <w:t> </w:t>
      </w:r>
      <w:r>
        <w:rPr>
          <w:color w:val="231F1F"/>
          <w:w w:val="110"/>
        </w:rPr>
        <w:t>ninguna</w:t>
      </w:r>
      <w:r>
        <w:rPr>
          <w:color w:val="231F1F"/>
          <w:spacing w:val="-2"/>
          <w:w w:val="110"/>
        </w:rPr>
        <w:t> </w:t>
      </w:r>
      <w:r>
        <w:rPr>
          <w:color w:val="231F1F"/>
          <w:w w:val="110"/>
        </w:rPr>
        <w:t>dife- rencia</w:t>
      </w:r>
      <w:r>
        <w:rPr>
          <w:color w:val="231F1F"/>
          <w:spacing w:val="-8"/>
          <w:w w:val="110"/>
        </w:rPr>
        <w:t> </w:t>
      </w:r>
      <w:r>
        <w:rPr>
          <w:color w:val="231F1F"/>
          <w:w w:val="110"/>
        </w:rPr>
        <w:t>significativa</w:t>
      </w:r>
      <w:r>
        <w:rPr>
          <w:color w:val="231F1F"/>
          <w:spacing w:val="-9"/>
          <w:w w:val="110"/>
        </w:rPr>
        <w:t> </w:t>
      </w:r>
      <w:r>
        <w:rPr>
          <w:color w:val="231F1F"/>
          <w:w w:val="110"/>
        </w:rPr>
        <w:t>en</w:t>
      </w:r>
      <w:r>
        <w:rPr>
          <w:color w:val="231F1F"/>
          <w:spacing w:val="-8"/>
          <w:w w:val="110"/>
        </w:rPr>
        <w:t> </w:t>
      </w:r>
      <w:r>
        <w:rPr>
          <w:color w:val="231F1F"/>
          <w:w w:val="110"/>
        </w:rPr>
        <w:t>la</w:t>
      </w:r>
      <w:r>
        <w:rPr>
          <w:color w:val="231F1F"/>
          <w:spacing w:val="-8"/>
          <w:w w:val="110"/>
        </w:rPr>
        <w:t> </w:t>
      </w:r>
      <w:r>
        <w:rPr>
          <w:color w:val="231F1F"/>
          <w:w w:val="110"/>
        </w:rPr>
        <w:t>necesidad</w:t>
      </w:r>
      <w:r>
        <w:rPr>
          <w:color w:val="231F1F"/>
          <w:spacing w:val="-8"/>
          <w:w w:val="110"/>
        </w:rPr>
        <w:t> </w:t>
      </w:r>
      <w:r>
        <w:rPr>
          <w:color w:val="231F1F"/>
          <w:w w:val="110"/>
        </w:rPr>
        <w:t>de</w:t>
      </w:r>
      <w:r>
        <w:rPr>
          <w:color w:val="231F1F"/>
          <w:spacing w:val="-8"/>
          <w:w w:val="110"/>
        </w:rPr>
        <w:t> </w:t>
      </w:r>
      <w:r>
        <w:rPr>
          <w:color w:val="231F1F"/>
          <w:w w:val="110"/>
        </w:rPr>
        <w:t>volver</w:t>
      </w:r>
      <w:r>
        <w:rPr>
          <w:color w:val="231F1F"/>
          <w:spacing w:val="-8"/>
          <w:w w:val="110"/>
        </w:rPr>
        <w:t> </w:t>
      </w:r>
      <w:r>
        <w:rPr>
          <w:color w:val="231F1F"/>
          <w:w w:val="110"/>
        </w:rPr>
        <w:t>a</w:t>
      </w:r>
      <w:r>
        <w:rPr>
          <w:color w:val="231F1F"/>
          <w:spacing w:val="-8"/>
          <w:w w:val="110"/>
        </w:rPr>
        <w:t> </w:t>
      </w:r>
      <w:r>
        <w:rPr>
          <w:color w:val="231F1F"/>
          <w:w w:val="110"/>
        </w:rPr>
        <w:t>suturar</w:t>
      </w:r>
      <w:r>
        <w:rPr>
          <w:color w:val="231F1F"/>
          <w:spacing w:val="-9"/>
          <w:w w:val="110"/>
        </w:rPr>
        <w:t> </w:t>
      </w:r>
      <w:r>
        <w:rPr>
          <w:color w:val="231F1F"/>
          <w:w w:val="110"/>
        </w:rPr>
        <w:t>las</w:t>
      </w:r>
      <w:r>
        <w:rPr>
          <w:color w:val="231F1F"/>
          <w:spacing w:val="-8"/>
          <w:w w:val="110"/>
        </w:rPr>
        <w:t> </w:t>
      </w:r>
      <w:r>
        <w:rPr>
          <w:color w:val="231F1F"/>
          <w:w w:val="110"/>
        </w:rPr>
        <w:t>heridas</w:t>
      </w:r>
      <w:r>
        <w:rPr>
          <w:color w:val="231F1F"/>
          <w:spacing w:val="-8"/>
          <w:w w:val="110"/>
        </w:rPr>
        <w:t> </w:t>
      </w:r>
      <w:r>
        <w:rPr>
          <w:color w:val="231F1F"/>
          <w:w w:val="110"/>
        </w:rPr>
        <w:t>o</w:t>
      </w:r>
      <w:r>
        <w:rPr>
          <w:color w:val="231F1F"/>
          <w:spacing w:val="-8"/>
          <w:w w:val="110"/>
        </w:rPr>
        <w:t> </w:t>
      </w:r>
      <w:r>
        <w:rPr>
          <w:color w:val="231F1F"/>
          <w:w w:val="110"/>
        </w:rPr>
        <w:t>el</w:t>
      </w:r>
      <w:r>
        <w:rPr>
          <w:color w:val="231F1F"/>
          <w:spacing w:val="-8"/>
          <w:w w:val="110"/>
        </w:rPr>
        <w:t> </w:t>
      </w:r>
      <w:r>
        <w:rPr>
          <w:color w:val="231F1F"/>
          <w:w w:val="110"/>
        </w:rPr>
        <w:t>dolor a largo plazo.</w:t>
      </w:r>
    </w:p>
    <w:p>
      <w:pPr>
        <w:spacing w:line="278" w:lineRule="auto" w:before="104"/>
        <w:ind w:left="383" w:right="440" w:firstLine="0"/>
        <w:jc w:val="center"/>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5"/>
        <w:rPr>
          <w:rFonts w:ascii="Arial MT"/>
          <w:sz w:val="18"/>
        </w:rPr>
      </w:pPr>
    </w:p>
    <w:p>
      <w:pPr>
        <w:spacing w:line="278" w:lineRule="auto" w:before="0"/>
        <w:ind w:left="35" w:right="105" w:firstLine="0"/>
        <w:jc w:val="center"/>
        <w:rPr>
          <w:rFonts w:ascii="Arial MT"/>
          <w:sz w:val="18"/>
        </w:rPr>
      </w:pP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59" w:right="127"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4"/>
        <w:rPr>
          <w:rFonts w:ascii="Arial MT"/>
          <w:sz w:val="18"/>
        </w:rPr>
      </w:pPr>
    </w:p>
    <w:p>
      <w:pPr>
        <w:spacing w:line="278" w:lineRule="auto" w:before="1"/>
        <w:ind w:left="35" w:right="105" w:firstLine="0"/>
        <w:jc w:val="center"/>
        <w:rPr>
          <w:rFonts w:ascii="Arial MT"/>
          <w:sz w:val="18"/>
        </w:rPr>
      </w:pP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59" w:right="127" w:firstLine="0"/>
        <w:jc w:val="center"/>
        <w:rPr>
          <w:rFonts w:ascii="Arial MT"/>
          <w:sz w:val="18"/>
        </w:rPr>
      </w:pPr>
      <w:r>
        <w:rPr>
          <w:rFonts w:ascii="Arial MT"/>
          <w:color w:val="231F1F"/>
          <w:spacing w:val="-5"/>
          <w:sz w:val="18"/>
        </w:rPr>
        <w:t>1+</w:t>
      </w:r>
    </w:p>
    <w:p>
      <w:pPr>
        <w:spacing w:after="0" w:line="202" w:lineRule="exact"/>
        <w:jc w:val="center"/>
        <w:rPr>
          <w:rFonts w:ascii="Arial MT"/>
          <w:sz w:val="18"/>
        </w:rPr>
        <w:sectPr>
          <w:pgSz w:w="11900" w:h="16840"/>
          <w:pgMar w:header="0" w:footer="622" w:top="1580" w:bottom="820" w:left="1417" w:right="1559"/>
          <w:cols w:num="2" w:equalWidth="0">
            <w:col w:w="7554" w:space="40"/>
            <w:col w:w="1330"/>
          </w:cols>
        </w:sectPr>
      </w:pPr>
    </w:p>
    <w:p>
      <w:pPr>
        <w:pStyle w:val="BodyText"/>
        <w:spacing w:before="73"/>
        <w:ind w:left="736"/>
        <w:jc w:val="both"/>
        <w:rPr>
          <w:rFonts w:ascii="Arial MT" w:hAnsi="Arial MT"/>
          <w:sz w:val="18"/>
        </w:rPr>
      </w:pPr>
      <w:r>
        <w:rPr>
          <w:color w:val="231F1F"/>
          <w:w w:val="105"/>
        </w:rPr>
        <w:t>La</w:t>
      </w:r>
      <w:r>
        <w:rPr>
          <w:color w:val="231F1F"/>
          <w:spacing w:val="1"/>
          <w:w w:val="105"/>
        </w:rPr>
        <w:t> </w:t>
      </w:r>
      <w:r>
        <w:rPr>
          <w:color w:val="231F1F"/>
          <w:w w:val="105"/>
        </w:rPr>
        <w:t>segunda de</w:t>
      </w:r>
      <w:r>
        <w:rPr>
          <w:color w:val="231F1F"/>
          <w:spacing w:val="-1"/>
          <w:w w:val="105"/>
        </w:rPr>
        <w:t> </w:t>
      </w:r>
      <w:r>
        <w:rPr>
          <w:color w:val="231F1F"/>
          <w:w w:val="105"/>
        </w:rPr>
        <w:t>las</w:t>
      </w:r>
      <w:r>
        <w:rPr>
          <w:color w:val="231F1F"/>
          <w:spacing w:val="1"/>
          <w:w w:val="105"/>
        </w:rPr>
        <w:t> </w:t>
      </w:r>
      <w:r>
        <w:rPr>
          <w:color w:val="231F1F"/>
          <w:w w:val="105"/>
        </w:rPr>
        <w:t>revisiones</w:t>
      </w:r>
      <w:r>
        <w:rPr>
          <w:color w:val="231F1F"/>
          <w:spacing w:val="2"/>
          <w:w w:val="105"/>
        </w:rPr>
        <w:t> </w:t>
      </w:r>
      <w:r>
        <w:rPr>
          <w:color w:val="231F1F"/>
          <w:w w:val="105"/>
        </w:rPr>
        <w:t>(166)</w:t>
      </w:r>
      <w:r>
        <w:rPr>
          <w:color w:val="231F1F"/>
          <w:spacing w:val="2"/>
          <w:w w:val="105"/>
        </w:rPr>
        <w:t> </w:t>
      </w:r>
      <w:r>
        <w:rPr>
          <w:color w:val="231F1F"/>
          <w:w w:val="105"/>
        </w:rPr>
        <w:t>incluye artículos</w:t>
      </w:r>
      <w:r>
        <w:rPr>
          <w:color w:val="231F1F"/>
          <w:spacing w:val="2"/>
          <w:w w:val="105"/>
        </w:rPr>
        <w:t> </w:t>
      </w:r>
      <w:r>
        <w:rPr>
          <w:color w:val="231F1F"/>
          <w:w w:val="105"/>
        </w:rPr>
        <w:t>sobre comparación</w:t>
      </w:r>
      <w:r>
        <w:rPr>
          <w:color w:val="231F1F"/>
          <w:spacing w:val="27"/>
          <w:w w:val="105"/>
        </w:rPr>
        <w:t>  </w:t>
      </w:r>
      <w:r>
        <w:rPr>
          <w:rFonts w:ascii="Arial MT" w:hAnsi="Arial MT"/>
          <w:color w:val="231F1F"/>
          <w:w w:val="105"/>
          <w:sz w:val="18"/>
        </w:rPr>
        <w:t>RS</w:t>
      </w:r>
      <w:r>
        <w:rPr>
          <w:rFonts w:ascii="Arial MT" w:hAnsi="Arial MT"/>
          <w:color w:val="231F1F"/>
          <w:spacing w:val="2"/>
          <w:w w:val="105"/>
          <w:sz w:val="18"/>
        </w:rPr>
        <w:t> </w:t>
      </w:r>
      <w:r>
        <w:rPr>
          <w:rFonts w:ascii="Arial MT" w:hAnsi="Arial MT"/>
          <w:color w:val="231F1F"/>
          <w:w w:val="105"/>
          <w:sz w:val="18"/>
        </w:rPr>
        <w:t>de</w:t>
      </w:r>
      <w:r>
        <w:rPr>
          <w:rFonts w:ascii="Arial MT" w:hAnsi="Arial MT"/>
          <w:color w:val="231F1F"/>
          <w:spacing w:val="2"/>
          <w:w w:val="105"/>
          <w:sz w:val="18"/>
        </w:rPr>
        <w:t> </w:t>
      </w:r>
      <w:r>
        <w:rPr>
          <w:rFonts w:ascii="Arial MT" w:hAnsi="Arial MT"/>
          <w:color w:val="231F1F"/>
          <w:spacing w:val="-4"/>
          <w:w w:val="105"/>
          <w:sz w:val="18"/>
        </w:rPr>
        <w:t>ECAs</w:t>
      </w:r>
    </w:p>
    <w:p>
      <w:pPr>
        <w:pStyle w:val="BodyText"/>
        <w:tabs>
          <w:tab w:pos="8114" w:val="left" w:leader="none"/>
        </w:tabs>
        <w:spacing w:before="22"/>
        <w:ind w:left="283"/>
        <w:jc w:val="both"/>
        <w:rPr>
          <w:rFonts w:ascii="Arial MT" w:hAnsi="Arial MT"/>
          <w:position w:val="4"/>
          <w:sz w:val="18"/>
        </w:rPr>
      </w:pPr>
      <w:r>
        <w:rPr>
          <w:color w:val="231F1F"/>
        </w:rPr>
        <w:t>entre</w:t>
      </w:r>
      <w:r>
        <w:rPr>
          <w:color w:val="231F1F"/>
          <w:spacing w:val="12"/>
        </w:rPr>
        <w:t> </w:t>
      </w:r>
      <w:r>
        <w:rPr>
          <w:color w:val="231F1F"/>
        </w:rPr>
        <w:t>distintas</w:t>
      </w:r>
      <w:r>
        <w:rPr>
          <w:color w:val="231F1F"/>
          <w:spacing w:val="16"/>
        </w:rPr>
        <w:t> </w:t>
      </w:r>
      <w:r>
        <w:rPr>
          <w:color w:val="231F1F"/>
        </w:rPr>
        <w:t>técnicas</w:t>
      </w:r>
      <w:r>
        <w:rPr>
          <w:color w:val="231F1F"/>
          <w:spacing w:val="13"/>
        </w:rPr>
        <w:t> </w:t>
      </w:r>
      <w:r>
        <w:rPr>
          <w:color w:val="231F1F"/>
        </w:rPr>
        <w:t>de</w:t>
      </w:r>
      <w:r>
        <w:rPr>
          <w:color w:val="231F1F"/>
          <w:spacing w:val="13"/>
        </w:rPr>
        <w:t> </w:t>
      </w:r>
      <w:r>
        <w:rPr>
          <w:color w:val="231F1F"/>
        </w:rPr>
        <w:t>sutura</w:t>
      </w:r>
      <w:r>
        <w:rPr>
          <w:color w:val="231F1F"/>
          <w:spacing w:val="13"/>
        </w:rPr>
        <w:t> </w:t>
      </w:r>
      <w:r>
        <w:rPr>
          <w:color w:val="231F1F"/>
        </w:rPr>
        <w:t>para</w:t>
      </w:r>
      <w:r>
        <w:rPr>
          <w:color w:val="231F1F"/>
          <w:spacing w:val="13"/>
        </w:rPr>
        <w:t> </w:t>
      </w:r>
      <w:r>
        <w:rPr>
          <w:color w:val="231F1F"/>
        </w:rPr>
        <w:t>la</w:t>
      </w:r>
      <w:r>
        <w:rPr>
          <w:color w:val="231F1F"/>
          <w:spacing w:val="16"/>
        </w:rPr>
        <w:t> </w:t>
      </w:r>
      <w:r>
        <w:rPr>
          <w:color w:val="231F1F"/>
        </w:rPr>
        <w:t>reparación</w:t>
      </w:r>
      <w:r>
        <w:rPr>
          <w:color w:val="231F1F"/>
          <w:spacing w:val="14"/>
        </w:rPr>
        <w:t> </w:t>
      </w:r>
      <w:r>
        <w:rPr>
          <w:color w:val="231F1F"/>
        </w:rPr>
        <w:t>de</w:t>
      </w:r>
      <w:r>
        <w:rPr>
          <w:color w:val="231F1F"/>
          <w:spacing w:val="14"/>
        </w:rPr>
        <w:t> </w:t>
      </w:r>
      <w:r>
        <w:rPr>
          <w:color w:val="231F1F"/>
        </w:rPr>
        <w:t>episiotomía,</w:t>
      </w:r>
      <w:r>
        <w:rPr>
          <w:color w:val="231F1F"/>
          <w:spacing w:val="16"/>
        </w:rPr>
        <w:t> </w:t>
      </w:r>
      <w:r>
        <w:rPr>
          <w:color w:val="231F1F"/>
        </w:rPr>
        <w:t>todos</w:t>
      </w:r>
      <w:r>
        <w:rPr>
          <w:color w:val="231F1F"/>
          <w:spacing w:val="16"/>
        </w:rPr>
        <w:t> </w:t>
      </w:r>
      <w:r>
        <w:rPr>
          <w:color w:val="231F1F"/>
          <w:spacing w:val="-2"/>
        </w:rPr>
        <w:t>ellos</w:t>
      </w:r>
      <w:r>
        <w:rPr>
          <w:color w:val="231F1F"/>
        </w:rPr>
        <w:tab/>
      </w:r>
      <w:r>
        <w:rPr>
          <w:rFonts w:ascii="Arial MT" w:hAnsi="Arial MT"/>
          <w:color w:val="231F1F"/>
          <w:spacing w:val="-5"/>
          <w:position w:val="4"/>
          <w:sz w:val="18"/>
        </w:rPr>
        <w:t>1+</w:t>
      </w:r>
    </w:p>
    <w:p>
      <w:pPr>
        <w:pStyle w:val="BodyText"/>
        <w:spacing w:line="244" w:lineRule="auto" w:before="16"/>
        <w:ind w:left="283" w:right="1364"/>
        <w:jc w:val="both"/>
      </w:pPr>
      <w:r>
        <w:rPr>
          <w:color w:val="231F1F"/>
          <w:w w:val="105"/>
        </w:rPr>
        <w:t>ya incluidos en la RS anterior (165). Así, se concluye que la sutura continua</w:t>
      </w:r>
      <w:r>
        <w:rPr>
          <w:color w:val="231F1F"/>
          <w:spacing w:val="80"/>
          <w:w w:val="105"/>
        </w:rPr>
        <w:t> </w:t>
      </w:r>
      <w:r>
        <w:rPr>
          <w:color w:val="231F1F"/>
          <w:w w:val="105"/>
        </w:rPr>
        <w:t>es preferible a la sutura discontinua, ya que reduce significativamente el dolor y el riesgo de dehiscencia, además de crear una mayor satisfacción entre las mujeres y que la aplicación de sutura discontinua puede aumentar la tasa de dispareunia a los 3 meses.</w:t>
      </w:r>
    </w:p>
    <w:p>
      <w:pPr>
        <w:pStyle w:val="BodyText"/>
        <w:spacing w:line="249" w:lineRule="auto" w:before="87"/>
        <w:ind w:left="283" w:right="1366" w:firstLine="453"/>
        <w:jc w:val="both"/>
      </w:pPr>
      <w:r>
        <w:rPr>
          <w:color w:val="231F1F"/>
          <w:w w:val="105"/>
        </w:rPr>
        <w:t>Por</w:t>
      </w:r>
      <w:r>
        <w:rPr>
          <w:color w:val="231F1F"/>
          <w:w w:val="105"/>
        </w:rPr>
        <w:t> último,</w:t>
      </w:r>
      <w:r>
        <w:rPr>
          <w:color w:val="231F1F"/>
          <w:w w:val="105"/>
        </w:rPr>
        <w:t> el</w:t>
      </w:r>
      <w:r>
        <w:rPr>
          <w:color w:val="231F1F"/>
          <w:w w:val="105"/>
        </w:rPr>
        <w:t> ECA</w:t>
      </w:r>
      <w:r>
        <w:rPr>
          <w:color w:val="231F1F"/>
          <w:w w:val="105"/>
        </w:rPr>
        <w:t> (167)</w:t>
      </w:r>
      <w:r>
        <w:rPr>
          <w:color w:val="231F1F"/>
          <w:w w:val="105"/>
        </w:rPr>
        <w:t> seleccionado</w:t>
      </w:r>
      <w:r>
        <w:rPr>
          <w:color w:val="231F1F"/>
          <w:w w:val="105"/>
        </w:rPr>
        <w:t> pretende</w:t>
      </w:r>
      <w:r>
        <w:rPr>
          <w:color w:val="231F1F"/>
          <w:w w:val="105"/>
        </w:rPr>
        <w:t> comparar</w:t>
      </w:r>
      <w:r>
        <w:rPr>
          <w:color w:val="231F1F"/>
          <w:w w:val="105"/>
        </w:rPr>
        <w:t> la</w:t>
      </w:r>
      <w:r>
        <w:rPr>
          <w:color w:val="231F1F"/>
          <w:w w:val="105"/>
        </w:rPr>
        <w:t> sutura continua frente a la discontinua, ambas sin rasurado perineal en 395 mujeres, primíparas</w:t>
      </w:r>
      <w:r>
        <w:rPr>
          <w:color w:val="231F1F"/>
          <w:spacing w:val="40"/>
          <w:w w:val="105"/>
        </w:rPr>
        <w:t> </w:t>
      </w:r>
      <w:r>
        <w:rPr>
          <w:color w:val="231F1F"/>
          <w:w w:val="105"/>
        </w:rPr>
        <w:t>con</w:t>
      </w:r>
      <w:r>
        <w:rPr>
          <w:color w:val="231F1F"/>
          <w:spacing w:val="40"/>
          <w:w w:val="105"/>
        </w:rPr>
        <w:t> </w:t>
      </w:r>
      <w:r>
        <w:rPr>
          <w:color w:val="231F1F"/>
          <w:w w:val="105"/>
        </w:rPr>
        <w:t>parto</w:t>
      </w:r>
      <w:r>
        <w:rPr>
          <w:color w:val="231F1F"/>
          <w:spacing w:val="40"/>
          <w:w w:val="105"/>
        </w:rPr>
        <w:t> </w:t>
      </w:r>
      <w:r>
        <w:rPr>
          <w:color w:val="231F1F"/>
          <w:w w:val="105"/>
        </w:rPr>
        <w:t>vaginal</w:t>
      </w:r>
      <w:r>
        <w:rPr>
          <w:color w:val="231F1F"/>
          <w:spacing w:val="40"/>
          <w:w w:val="105"/>
        </w:rPr>
        <w:t> </w:t>
      </w:r>
      <w:r>
        <w:rPr>
          <w:color w:val="231F1F"/>
          <w:w w:val="105"/>
        </w:rPr>
        <w:t>a</w:t>
      </w:r>
      <w:r>
        <w:rPr>
          <w:color w:val="231F1F"/>
          <w:spacing w:val="40"/>
          <w:w w:val="105"/>
        </w:rPr>
        <w:t> </w:t>
      </w:r>
      <w:r>
        <w:rPr>
          <w:color w:val="231F1F"/>
          <w:w w:val="105"/>
        </w:rPr>
        <w:t>término,</w:t>
      </w:r>
      <w:r>
        <w:rPr>
          <w:color w:val="231F1F"/>
          <w:spacing w:val="40"/>
          <w:w w:val="105"/>
        </w:rPr>
        <w:t> </w:t>
      </w:r>
      <w:r>
        <w:rPr>
          <w:color w:val="231F1F"/>
          <w:w w:val="105"/>
        </w:rPr>
        <w:t>aleatorizadas</w:t>
      </w:r>
      <w:r>
        <w:rPr>
          <w:color w:val="231F1F"/>
          <w:spacing w:val="40"/>
          <w:w w:val="105"/>
        </w:rPr>
        <w:t> </w:t>
      </w:r>
      <w:r>
        <w:rPr>
          <w:color w:val="231F1F"/>
          <w:w w:val="105"/>
        </w:rPr>
        <w:t>en</w:t>
      </w:r>
      <w:r>
        <w:rPr>
          <w:color w:val="231F1F"/>
          <w:spacing w:val="40"/>
          <w:w w:val="105"/>
        </w:rPr>
        <w:t> </w:t>
      </w:r>
      <w:r>
        <w:rPr>
          <w:color w:val="231F1F"/>
          <w:w w:val="105"/>
        </w:rPr>
        <w:t>2</w:t>
      </w:r>
      <w:r>
        <w:rPr>
          <w:color w:val="231F1F"/>
          <w:spacing w:val="40"/>
          <w:w w:val="105"/>
        </w:rPr>
        <w:t> </w:t>
      </w:r>
      <w:r>
        <w:rPr>
          <w:color w:val="231F1F"/>
          <w:w w:val="105"/>
        </w:rPr>
        <w:t>grupos.</w:t>
      </w:r>
    </w:p>
    <w:p>
      <w:pPr>
        <w:pStyle w:val="BodyText"/>
        <w:tabs>
          <w:tab w:pos="8036" w:val="left" w:leader="none"/>
          <w:tab w:pos="8114" w:val="left" w:leader="none"/>
        </w:tabs>
        <w:spacing w:line="249" w:lineRule="auto" w:before="127"/>
        <w:ind w:left="283" w:right="524" w:firstLine="453"/>
      </w:pPr>
      <w:r>
        <w:rPr>
          <w:color w:val="231F1F"/>
          <w:w w:val="105"/>
        </w:rPr>
        <w:t>Los resultados del ensayo han mostrado que no existen diferencias sig-</w:t>
      </w:r>
      <w:r>
        <w:rPr>
          <w:color w:val="231F1F"/>
        </w:rPr>
        <w:tab/>
      </w:r>
      <w:r>
        <w:rPr>
          <w:rFonts w:ascii="Arial MT" w:hAnsi="Arial MT"/>
          <w:color w:val="231F1F"/>
          <w:spacing w:val="-12"/>
          <w:w w:val="105"/>
          <w:sz w:val="18"/>
        </w:rPr>
        <w:t>ECA </w:t>
      </w:r>
      <w:r>
        <w:rPr>
          <w:color w:val="231F1F"/>
          <w:w w:val="105"/>
        </w:rPr>
        <w:t>nificativas entre la técnica de sutura discontinua y la sutura continua, y ofrece</w:t>
      </w:r>
      <w:r>
        <w:rPr>
          <w:color w:val="231F1F"/>
        </w:rPr>
        <w:tab/>
        <w:tab/>
      </w:r>
      <w:r>
        <w:rPr>
          <w:rFonts w:ascii="Arial MT" w:hAnsi="Arial MT"/>
          <w:color w:val="231F1F"/>
          <w:spacing w:val="-6"/>
          <w:w w:val="105"/>
          <w:position w:val="4"/>
          <w:sz w:val="18"/>
        </w:rPr>
        <w:t>1+ </w:t>
      </w:r>
      <w:r>
        <w:rPr>
          <w:color w:val="231F1F"/>
          <w:w w:val="105"/>
        </w:rPr>
        <w:t>los mismos resultados para el dolor: RR 0,90 [IC 95% 0,68 a 1,18], necesidad</w:t>
      </w:r>
    </w:p>
    <w:p>
      <w:pPr>
        <w:pStyle w:val="BodyText"/>
        <w:spacing w:before="4"/>
        <w:ind w:left="283"/>
        <w:jc w:val="both"/>
      </w:pPr>
      <w:r>
        <w:rPr>
          <w:color w:val="231F1F"/>
        </w:rPr>
        <w:t>de</w:t>
      </w:r>
      <w:r>
        <w:rPr>
          <w:color w:val="231F1F"/>
          <w:spacing w:val="-1"/>
        </w:rPr>
        <w:t> </w:t>
      </w:r>
      <w:r>
        <w:rPr>
          <w:color w:val="231F1F"/>
        </w:rPr>
        <w:t>analgesia</w:t>
      </w:r>
      <w:r>
        <w:rPr>
          <w:color w:val="231F1F"/>
          <w:spacing w:val="2"/>
        </w:rPr>
        <w:t> </w:t>
      </w:r>
      <w:r>
        <w:rPr>
          <w:color w:val="231F1F"/>
        </w:rPr>
        <w:t>oral: RR</w:t>
      </w:r>
      <w:r>
        <w:rPr>
          <w:color w:val="231F1F"/>
          <w:spacing w:val="1"/>
        </w:rPr>
        <w:t> </w:t>
      </w:r>
      <w:r>
        <w:rPr>
          <w:color w:val="231F1F"/>
        </w:rPr>
        <w:t>1,04</w:t>
      </w:r>
      <w:r>
        <w:rPr>
          <w:color w:val="231F1F"/>
          <w:spacing w:val="2"/>
        </w:rPr>
        <w:t> </w:t>
      </w:r>
      <w:r>
        <w:rPr>
          <w:color w:val="231F1F"/>
        </w:rPr>
        <w:t>[IC</w:t>
      </w:r>
      <w:r>
        <w:rPr>
          <w:color w:val="231F1F"/>
          <w:spacing w:val="1"/>
        </w:rPr>
        <w:t> </w:t>
      </w:r>
      <w:r>
        <w:rPr>
          <w:color w:val="231F1F"/>
        </w:rPr>
        <w:t>95%</w:t>
      </w:r>
      <w:r>
        <w:rPr>
          <w:color w:val="231F1F"/>
          <w:spacing w:val="2"/>
        </w:rPr>
        <w:t> </w:t>
      </w:r>
      <w:r>
        <w:rPr>
          <w:color w:val="231F1F"/>
        </w:rPr>
        <w:t>0,59</w:t>
      </w:r>
      <w:r>
        <w:rPr>
          <w:color w:val="231F1F"/>
          <w:spacing w:val="2"/>
        </w:rPr>
        <w:t> </w:t>
      </w:r>
      <w:r>
        <w:rPr>
          <w:color w:val="231F1F"/>
        </w:rPr>
        <w:t>a 1,87],</w:t>
      </w:r>
      <w:r>
        <w:rPr>
          <w:color w:val="231F1F"/>
          <w:spacing w:val="1"/>
        </w:rPr>
        <w:t> </w:t>
      </w:r>
      <w:r>
        <w:rPr>
          <w:color w:val="231F1F"/>
        </w:rPr>
        <w:t>satisfacción:</w:t>
      </w:r>
      <w:r>
        <w:rPr>
          <w:color w:val="231F1F"/>
          <w:spacing w:val="1"/>
        </w:rPr>
        <w:t> </w:t>
      </w:r>
      <w:r>
        <w:rPr>
          <w:color w:val="231F1F"/>
        </w:rPr>
        <w:t>RR</w:t>
      </w:r>
      <w:r>
        <w:rPr>
          <w:color w:val="231F1F"/>
          <w:spacing w:val="1"/>
        </w:rPr>
        <w:t> </w:t>
      </w:r>
      <w:r>
        <w:rPr>
          <w:color w:val="231F1F"/>
        </w:rPr>
        <w:t>0,99</w:t>
      </w:r>
      <w:r>
        <w:rPr>
          <w:color w:val="231F1F"/>
          <w:spacing w:val="4"/>
        </w:rPr>
        <w:t> </w:t>
      </w:r>
      <w:r>
        <w:rPr>
          <w:color w:val="231F1F"/>
        </w:rPr>
        <w:t>[IC</w:t>
      </w:r>
      <w:r>
        <w:rPr>
          <w:color w:val="231F1F"/>
          <w:spacing w:val="1"/>
        </w:rPr>
        <w:t> </w:t>
      </w:r>
      <w:r>
        <w:rPr>
          <w:color w:val="231F1F"/>
          <w:spacing w:val="-5"/>
        </w:rPr>
        <w:t>95%</w:t>
      </w:r>
    </w:p>
    <w:p>
      <w:pPr>
        <w:pStyle w:val="BodyText"/>
        <w:spacing w:line="247" w:lineRule="auto" w:before="12"/>
        <w:ind w:left="283" w:right="1366"/>
        <w:jc w:val="both"/>
      </w:pPr>
      <w:r>
        <w:rPr>
          <w:color w:val="231F1F"/>
          <w:w w:val="105"/>
        </w:rPr>
        <w:t>0,91</w:t>
      </w:r>
      <w:r>
        <w:rPr>
          <w:color w:val="231F1F"/>
          <w:spacing w:val="-2"/>
          <w:w w:val="105"/>
        </w:rPr>
        <w:t> </w:t>
      </w:r>
      <w:r>
        <w:rPr>
          <w:color w:val="231F1F"/>
          <w:w w:val="105"/>
        </w:rPr>
        <w:t>a</w:t>
      </w:r>
      <w:r>
        <w:rPr>
          <w:color w:val="231F1F"/>
          <w:spacing w:val="-2"/>
          <w:w w:val="105"/>
        </w:rPr>
        <w:t> </w:t>
      </w:r>
      <w:r>
        <w:rPr>
          <w:color w:val="231F1F"/>
          <w:w w:val="105"/>
        </w:rPr>
        <w:t>1,08],</w:t>
      </w:r>
      <w:r>
        <w:rPr>
          <w:color w:val="231F1F"/>
          <w:spacing w:val="-2"/>
          <w:w w:val="105"/>
        </w:rPr>
        <w:t> </w:t>
      </w:r>
      <w:r>
        <w:rPr>
          <w:color w:val="231F1F"/>
          <w:w w:val="105"/>
        </w:rPr>
        <w:t>número</w:t>
      </w:r>
      <w:r>
        <w:rPr>
          <w:color w:val="231F1F"/>
          <w:spacing w:val="-2"/>
          <w:w w:val="105"/>
        </w:rPr>
        <w:t> </w:t>
      </w:r>
      <w:r>
        <w:rPr>
          <w:color w:val="231F1F"/>
          <w:w w:val="105"/>
        </w:rPr>
        <w:t>de</w:t>
      </w:r>
      <w:r>
        <w:rPr>
          <w:color w:val="231F1F"/>
          <w:spacing w:val="-2"/>
          <w:w w:val="105"/>
        </w:rPr>
        <w:t> </w:t>
      </w:r>
      <w:r>
        <w:rPr>
          <w:color w:val="231F1F"/>
          <w:w w:val="105"/>
        </w:rPr>
        <w:t>re-suturas:</w:t>
      </w:r>
      <w:r>
        <w:rPr>
          <w:color w:val="231F1F"/>
          <w:spacing w:val="-3"/>
          <w:w w:val="105"/>
        </w:rPr>
        <w:t> </w:t>
      </w:r>
      <w:r>
        <w:rPr>
          <w:color w:val="231F1F"/>
          <w:w w:val="105"/>
        </w:rPr>
        <w:t>RR</w:t>
      </w:r>
      <w:r>
        <w:rPr>
          <w:color w:val="231F1F"/>
          <w:spacing w:val="-2"/>
          <w:w w:val="105"/>
        </w:rPr>
        <w:t> </w:t>
      </w:r>
      <w:r>
        <w:rPr>
          <w:color w:val="231F1F"/>
          <w:w w:val="105"/>
        </w:rPr>
        <w:t>0,99</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0,25</w:t>
      </w:r>
      <w:r>
        <w:rPr>
          <w:color w:val="231F1F"/>
          <w:spacing w:val="-2"/>
          <w:w w:val="105"/>
        </w:rPr>
        <w:t> </w:t>
      </w:r>
      <w:r>
        <w:rPr>
          <w:color w:val="231F1F"/>
          <w:w w:val="105"/>
        </w:rPr>
        <w:t>a</w:t>
      </w:r>
      <w:r>
        <w:rPr>
          <w:color w:val="231F1F"/>
          <w:spacing w:val="-2"/>
          <w:w w:val="105"/>
        </w:rPr>
        <w:t> </w:t>
      </w:r>
      <w:r>
        <w:rPr>
          <w:color w:val="231F1F"/>
          <w:w w:val="105"/>
        </w:rPr>
        <w:t>3,92]</w:t>
      </w:r>
      <w:r>
        <w:rPr>
          <w:color w:val="231F1F"/>
          <w:spacing w:val="-2"/>
          <w:w w:val="105"/>
        </w:rPr>
        <w:t> </w:t>
      </w:r>
      <w:r>
        <w:rPr>
          <w:color w:val="231F1F"/>
          <w:w w:val="105"/>
        </w:rPr>
        <w:t>y</w:t>
      </w:r>
      <w:r>
        <w:rPr>
          <w:color w:val="231F1F"/>
          <w:spacing w:val="-2"/>
          <w:w w:val="105"/>
        </w:rPr>
        <w:t> </w:t>
      </w:r>
      <w:r>
        <w:rPr>
          <w:color w:val="231F1F"/>
          <w:w w:val="105"/>
        </w:rPr>
        <w:t>frecuencia de la dispareunia en la primera relación sexual y a los 6 meses : RR 1,13 [IC 95%</w:t>
      </w:r>
      <w:r>
        <w:rPr>
          <w:color w:val="231F1F"/>
          <w:spacing w:val="-8"/>
          <w:w w:val="105"/>
        </w:rPr>
        <w:t> </w:t>
      </w:r>
      <w:r>
        <w:rPr>
          <w:color w:val="231F1F"/>
          <w:w w:val="105"/>
        </w:rPr>
        <w:t>0,96</w:t>
      </w:r>
      <w:r>
        <w:rPr>
          <w:color w:val="231F1F"/>
          <w:spacing w:val="-8"/>
          <w:w w:val="105"/>
        </w:rPr>
        <w:t> </w:t>
      </w:r>
      <w:r>
        <w:rPr>
          <w:color w:val="231F1F"/>
          <w:w w:val="105"/>
        </w:rPr>
        <w:t>a</w:t>
      </w:r>
      <w:r>
        <w:rPr>
          <w:color w:val="231F1F"/>
          <w:spacing w:val="-8"/>
          <w:w w:val="105"/>
        </w:rPr>
        <w:t> </w:t>
      </w:r>
      <w:r>
        <w:rPr>
          <w:color w:val="231F1F"/>
          <w:w w:val="105"/>
        </w:rPr>
        <w:t>1,33]</w:t>
      </w:r>
      <w:r>
        <w:rPr>
          <w:color w:val="231F1F"/>
          <w:spacing w:val="-8"/>
          <w:w w:val="105"/>
        </w:rPr>
        <w:t> </w:t>
      </w:r>
      <w:r>
        <w:rPr>
          <w:color w:val="231F1F"/>
          <w:w w:val="105"/>
        </w:rPr>
        <w:t>y</w:t>
      </w:r>
      <w:r>
        <w:rPr>
          <w:color w:val="231F1F"/>
          <w:spacing w:val="-8"/>
          <w:w w:val="105"/>
        </w:rPr>
        <w:t> </w:t>
      </w:r>
      <w:r>
        <w:rPr>
          <w:color w:val="231F1F"/>
          <w:w w:val="105"/>
        </w:rPr>
        <w:t>RR</w:t>
      </w:r>
      <w:r>
        <w:rPr>
          <w:color w:val="231F1F"/>
          <w:spacing w:val="-8"/>
          <w:w w:val="105"/>
        </w:rPr>
        <w:t> </w:t>
      </w:r>
      <w:r>
        <w:rPr>
          <w:color w:val="231F1F"/>
          <w:w w:val="105"/>
        </w:rPr>
        <w:t>0,81</w:t>
      </w:r>
      <w:r>
        <w:rPr>
          <w:color w:val="231F1F"/>
          <w:spacing w:val="-8"/>
          <w:w w:val="105"/>
        </w:rPr>
        <w:t> </w:t>
      </w:r>
      <w:r>
        <w:rPr>
          <w:color w:val="231F1F"/>
          <w:w w:val="105"/>
        </w:rPr>
        <w:t>[IC</w:t>
      </w:r>
      <w:r>
        <w:rPr>
          <w:color w:val="231F1F"/>
          <w:spacing w:val="-8"/>
          <w:w w:val="105"/>
        </w:rPr>
        <w:t> </w:t>
      </w:r>
      <w:r>
        <w:rPr>
          <w:color w:val="231F1F"/>
          <w:w w:val="105"/>
        </w:rPr>
        <w:t>95%</w:t>
      </w:r>
      <w:r>
        <w:rPr>
          <w:color w:val="231F1F"/>
          <w:spacing w:val="-8"/>
          <w:w w:val="105"/>
        </w:rPr>
        <w:t> </w:t>
      </w:r>
      <w:r>
        <w:rPr>
          <w:color w:val="231F1F"/>
          <w:w w:val="105"/>
        </w:rPr>
        <w:t>0,58</w:t>
      </w:r>
      <w:r>
        <w:rPr>
          <w:color w:val="231F1F"/>
          <w:spacing w:val="-8"/>
          <w:w w:val="105"/>
        </w:rPr>
        <w:t> </w:t>
      </w:r>
      <w:r>
        <w:rPr>
          <w:color w:val="231F1F"/>
          <w:w w:val="105"/>
        </w:rPr>
        <w:t>a</w:t>
      </w:r>
      <w:r>
        <w:rPr>
          <w:color w:val="231F1F"/>
          <w:spacing w:val="-8"/>
          <w:w w:val="105"/>
        </w:rPr>
        <w:t> </w:t>
      </w:r>
      <w:r>
        <w:rPr>
          <w:color w:val="231F1F"/>
          <w:w w:val="105"/>
        </w:rPr>
        <w:t>1,12],</w:t>
      </w:r>
      <w:r>
        <w:rPr>
          <w:color w:val="231F1F"/>
          <w:spacing w:val="-8"/>
          <w:w w:val="105"/>
        </w:rPr>
        <w:t> </w:t>
      </w:r>
      <w:r>
        <w:rPr>
          <w:color w:val="231F1F"/>
          <w:w w:val="105"/>
        </w:rPr>
        <w:t>respectivamente.</w:t>
      </w:r>
      <w:r>
        <w:rPr>
          <w:color w:val="231F1F"/>
          <w:spacing w:val="-8"/>
          <w:w w:val="105"/>
        </w:rPr>
        <w:t> </w:t>
      </w:r>
      <w:r>
        <w:rPr>
          <w:color w:val="231F1F"/>
          <w:w w:val="105"/>
        </w:rPr>
        <w:t>Sin</w:t>
      </w:r>
      <w:r>
        <w:rPr>
          <w:color w:val="231F1F"/>
          <w:spacing w:val="-8"/>
          <w:w w:val="105"/>
        </w:rPr>
        <w:t> </w:t>
      </w:r>
      <w:r>
        <w:rPr>
          <w:color w:val="231F1F"/>
          <w:w w:val="105"/>
        </w:rPr>
        <w:t>embar- go, la técnica de sutura continua es más rentable ya que es más rápida, tiempo trascurrido</w:t>
      </w:r>
      <w:r>
        <w:rPr>
          <w:color w:val="231F1F"/>
          <w:w w:val="105"/>
        </w:rPr>
        <w:t> durante</w:t>
      </w:r>
      <w:r>
        <w:rPr>
          <w:color w:val="231F1F"/>
          <w:w w:val="105"/>
        </w:rPr>
        <w:t> la</w:t>
      </w:r>
      <w:r>
        <w:rPr>
          <w:color w:val="231F1F"/>
          <w:w w:val="105"/>
        </w:rPr>
        <w:t> reparación:</w:t>
      </w:r>
      <w:r>
        <w:rPr>
          <w:color w:val="231F1F"/>
          <w:w w:val="105"/>
        </w:rPr>
        <w:t> Sutura</w:t>
      </w:r>
      <w:r>
        <w:rPr>
          <w:color w:val="231F1F"/>
          <w:w w:val="105"/>
        </w:rPr>
        <w:t> continua</w:t>
      </w:r>
      <w:r>
        <w:rPr>
          <w:color w:val="231F1F"/>
          <w:w w:val="105"/>
        </w:rPr>
        <w:t> 15</w:t>
      </w:r>
      <w:r>
        <w:rPr>
          <w:color w:val="231F1F"/>
          <w:w w:val="105"/>
        </w:rPr>
        <w:t> minutos</w:t>
      </w:r>
      <w:r>
        <w:rPr>
          <w:color w:val="231F1F"/>
          <w:w w:val="105"/>
        </w:rPr>
        <w:t> vs</w:t>
      </w:r>
      <w:r>
        <w:rPr>
          <w:color w:val="231F1F"/>
          <w:w w:val="105"/>
        </w:rPr>
        <w:t> sutura</w:t>
      </w:r>
      <w:r>
        <w:rPr>
          <w:color w:val="231F1F"/>
          <w:w w:val="105"/>
        </w:rPr>
        <w:t> dis- continua 17 minutos, p=0,03 y se necesita menos material: un paquete vs dos paquetes; p&lt;0,01.</w:t>
      </w:r>
    </w:p>
    <w:p>
      <w:pPr>
        <w:pStyle w:val="BodyText"/>
        <w:spacing w:line="247" w:lineRule="auto" w:before="81"/>
        <w:ind w:left="283" w:right="1364" w:firstLine="453"/>
        <w:jc w:val="both"/>
      </w:pPr>
      <w:r>
        <w:rPr>
          <w:color w:val="231F1F"/>
          <w:w w:val="105"/>
        </w:rPr>
        <w:t>Tanto en la guía NICE (10), como en la revisión Cochrane y en el nuevo ECA</w:t>
      </w:r>
      <w:r>
        <w:rPr>
          <w:color w:val="231F1F"/>
          <w:spacing w:val="29"/>
          <w:w w:val="105"/>
        </w:rPr>
        <w:t> </w:t>
      </w:r>
      <w:r>
        <w:rPr>
          <w:color w:val="231F1F"/>
          <w:w w:val="105"/>
        </w:rPr>
        <w:t>incluidos</w:t>
      </w:r>
      <w:r>
        <w:rPr>
          <w:color w:val="231F1F"/>
          <w:spacing w:val="29"/>
          <w:w w:val="105"/>
        </w:rPr>
        <w:t> </w:t>
      </w:r>
      <w:r>
        <w:rPr>
          <w:color w:val="231F1F"/>
          <w:w w:val="105"/>
        </w:rPr>
        <w:t>tras</w:t>
      </w:r>
      <w:r>
        <w:rPr>
          <w:color w:val="231F1F"/>
          <w:spacing w:val="29"/>
          <w:w w:val="105"/>
        </w:rPr>
        <w:t> </w:t>
      </w:r>
      <w:r>
        <w:rPr>
          <w:color w:val="231F1F"/>
          <w:w w:val="105"/>
        </w:rPr>
        <w:t>la</w:t>
      </w:r>
      <w:r>
        <w:rPr>
          <w:color w:val="231F1F"/>
          <w:spacing w:val="29"/>
          <w:w w:val="105"/>
        </w:rPr>
        <w:t> </w:t>
      </w:r>
      <w:r>
        <w:rPr>
          <w:color w:val="231F1F"/>
          <w:w w:val="105"/>
        </w:rPr>
        <w:t>actualización,</w:t>
      </w:r>
      <w:r>
        <w:rPr>
          <w:color w:val="231F1F"/>
          <w:spacing w:val="29"/>
          <w:w w:val="105"/>
        </w:rPr>
        <w:t> </w:t>
      </w:r>
      <w:r>
        <w:rPr>
          <w:color w:val="231F1F"/>
          <w:w w:val="105"/>
        </w:rPr>
        <w:t>las</w:t>
      </w:r>
      <w:r>
        <w:rPr>
          <w:color w:val="231F1F"/>
          <w:spacing w:val="29"/>
          <w:w w:val="105"/>
        </w:rPr>
        <w:t> </w:t>
      </w:r>
      <w:r>
        <w:rPr>
          <w:color w:val="231F1F"/>
          <w:w w:val="105"/>
        </w:rPr>
        <w:t>diferencias</w:t>
      </w:r>
      <w:r>
        <w:rPr>
          <w:color w:val="231F1F"/>
          <w:spacing w:val="29"/>
          <w:w w:val="105"/>
        </w:rPr>
        <w:t> </w:t>
      </w:r>
      <w:r>
        <w:rPr>
          <w:color w:val="231F1F"/>
          <w:w w:val="105"/>
        </w:rPr>
        <w:t>encontradas</w:t>
      </w:r>
      <w:r>
        <w:rPr>
          <w:color w:val="231F1F"/>
          <w:spacing w:val="29"/>
          <w:w w:val="105"/>
        </w:rPr>
        <w:t> </w:t>
      </w:r>
      <w:r>
        <w:rPr>
          <w:color w:val="231F1F"/>
          <w:w w:val="105"/>
        </w:rPr>
        <w:t>son</w:t>
      </w:r>
      <w:r>
        <w:rPr>
          <w:color w:val="231F1F"/>
          <w:spacing w:val="29"/>
          <w:w w:val="105"/>
        </w:rPr>
        <w:t> </w:t>
      </w:r>
      <w:r>
        <w:rPr>
          <w:color w:val="231F1F"/>
          <w:w w:val="105"/>
        </w:rPr>
        <w:t>a</w:t>
      </w:r>
      <w:r>
        <w:rPr>
          <w:color w:val="231F1F"/>
          <w:spacing w:val="29"/>
          <w:w w:val="105"/>
        </w:rPr>
        <w:t> </w:t>
      </w:r>
      <w:r>
        <w:rPr>
          <w:color w:val="231F1F"/>
          <w:w w:val="105"/>
        </w:rPr>
        <w:t>favor de la sutura continua frente a la discontinua.</w:t>
      </w:r>
    </w:p>
    <w:p>
      <w:pPr>
        <w:pStyle w:val="BodyText"/>
        <w:spacing w:before="198"/>
      </w:pPr>
    </w:p>
    <w:p>
      <w:pPr>
        <w:spacing w:before="1"/>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733" w:hRule="atLeast"/>
        </w:trPr>
        <w:tc>
          <w:tcPr>
            <w:tcW w:w="7373" w:type="dxa"/>
          </w:tcPr>
          <w:p>
            <w:pPr>
              <w:pStyle w:val="TableParagraph"/>
              <w:spacing w:line="244" w:lineRule="auto" w:before="73"/>
              <w:ind w:right="156"/>
              <w:rPr>
                <w:sz w:val="22"/>
              </w:rPr>
            </w:pPr>
            <w:r>
              <w:rPr>
                <w:color w:val="231F1F"/>
                <w:w w:val="105"/>
                <w:sz w:val="22"/>
              </w:rPr>
              <w:t>La</w:t>
            </w:r>
            <w:r>
              <w:rPr>
                <w:color w:val="231F1F"/>
                <w:spacing w:val="-6"/>
                <w:w w:val="105"/>
                <w:sz w:val="22"/>
              </w:rPr>
              <w:t> </w:t>
            </w:r>
            <w:r>
              <w:rPr>
                <w:color w:val="231F1F"/>
                <w:w w:val="105"/>
                <w:sz w:val="22"/>
              </w:rPr>
              <w:t>sutura</w:t>
            </w:r>
            <w:r>
              <w:rPr>
                <w:color w:val="231F1F"/>
                <w:spacing w:val="-7"/>
                <w:w w:val="105"/>
                <w:sz w:val="22"/>
              </w:rPr>
              <w:t> </w:t>
            </w:r>
            <w:r>
              <w:rPr>
                <w:color w:val="231F1F"/>
                <w:w w:val="105"/>
                <w:sz w:val="22"/>
              </w:rPr>
              <w:t>de</w:t>
            </w:r>
            <w:r>
              <w:rPr>
                <w:color w:val="231F1F"/>
                <w:spacing w:val="-7"/>
                <w:w w:val="105"/>
                <w:sz w:val="22"/>
              </w:rPr>
              <w:t> </w:t>
            </w:r>
            <w:r>
              <w:rPr>
                <w:color w:val="231F1F"/>
                <w:w w:val="105"/>
                <w:sz w:val="22"/>
              </w:rPr>
              <w:t>los</w:t>
            </w:r>
            <w:r>
              <w:rPr>
                <w:color w:val="231F1F"/>
                <w:spacing w:val="-6"/>
                <w:w w:val="105"/>
                <w:sz w:val="22"/>
              </w:rPr>
              <w:t> </w:t>
            </w:r>
            <w:r>
              <w:rPr>
                <w:color w:val="231F1F"/>
                <w:w w:val="105"/>
                <w:sz w:val="22"/>
              </w:rPr>
              <w:t>desgarros</w:t>
            </w:r>
            <w:r>
              <w:rPr>
                <w:color w:val="231F1F"/>
                <w:spacing w:val="-6"/>
                <w:w w:val="105"/>
                <w:sz w:val="22"/>
              </w:rPr>
              <w:t> </w:t>
            </w:r>
            <w:r>
              <w:rPr>
                <w:color w:val="231F1F"/>
                <w:w w:val="105"/>
                <w:sz w:val="22"/>
              </w:rPr>
              <w:t>de</w:t>
            </w:r>
            <w:r>
              <w:rPr>
                <w:color w:val="231F1F"/>
                <w:spacing w:val="-7"/>
                <w:w w:val="105"/>
                <w:sz w:val="22"/>
              </w:rPr>
              <w:t> </w:t>
            </w:r>
            <w:r>
              <w:rPr>
                <w:color w:val="231F1F"/>
                <w:w w:val="105"/>
                <w:sz w:val="22"/>
              </w:rPr>
              <w:t>primer</w:t>
            </w:r>
            <w:r>
              <w:rPr>
                <w:color w:val="231F1F"/>
                <w:spacing w:val="-7"/>
                <w:w w:val="105"/>
                <w:sz w:val="22"/>
              </w:rPr>
              <w:t> </w:t>
            </w:r>
            <w:r>
              <w:rPr>
                <w:color w:val="231F1F"/>
                <w:w w:val="105"/>
                <w:sz w:val="22"/>
              </w:rPr>
              <w:t>y</w:t>
            </w:r>
            <w:r>
              <w:rPr>
                <w:color w:val="231F1F"/>
                <w:spacing w:val="-6"/>
                <w:w w:val="105"/>
                <w:sz w:val="22"/>
              </w:rPr>
              <w:t> </w:t>
            </w:r>
            <w:r>
              <w:rPr>
                <w:color w:val="231F1F"/>
                <w:w w:val="105"/>
                <w:sz w:val="22"/>
              </w:rPr>
              <w:t>segundo</w:t>
            </w:r>
            <w:r>
              <w:rPr>
                <w:color w:val="231F1F"/>
                <w:spacing w:val="-6"/>
                <w:w w:val="105"/>
                <w:sz w:val="22"/>
              </w:rPr>
              <w:t> </w:t>
            </w:r>
            <w:r>
              <w:rPr>
                <w:color w:val="231F1F"/>
                <w:w w:val="105"/>
                <w:sz w:val="22"/>
              </w:rPr>
              <w:t>grado</w:t>
            </w:r>
            <w:r>
              <w:rPr>
                <w:color w:val="231F1F"/>
                <w:spacing w:val="-7"/>
                <w:w w:val="105"/>
                <w:sz w:val="22"/>
              </w:rPr>
              <w:t> </w:t>
            </w:r>
            <w:r>
              <w:rPr>
                <w:color w:val="231F1F"/>
                <w:w w:val="105"/>
                <w:sz w:val="22"/>
              </w:rPr>
              <w:t>está</w:t>
            </w:r>
            <w:r>
              <w:rPr>
                <w:color w:val="231F1F"/>
                <w:spacing w:val="-6"/>
                <w:w w:val="105"/>
                <w:sz w:val="22"/>
              </w:rPr>
              <w:t> </w:t>
            </w:r>
            <w:r>
              <w:rPr>
                <w:color w:val="231F1F"/>
                <w:w w:val="105"/>
                <w:sz w:val="22"/>
              </w:rPr>
              <w:t>relacionada</w:t>
            </w:r>
            <w:r>
              <w:rPr>
                <w:color w:val="231F1F"/>
                <w:spacing w:val="-6"/>
                <w:w w:val="105"/>
                <w:sz w:val="22"/>
              </w:rPr>
              <w:t> </w:t>
            </w:r>
            <w:r>
              <w:rPr>
                <w:color w:val="231F1F"/>
                <w:w w:val="105"/>
                <w:sz w:val="22"/>
              </w:rPr>
              <w:t>con una mejor cicatrización en la sexta semana (158).</w:t>
            </w:r>
          </w:p>
        </w:tc>
        <w:tc>
          <w:tcPr>
            <w:tcW w:w="1133" w:type="dxa"/>
          </w:tcPr>
          <w:p>
            <w:pPr>
              <w:pStyle w:val="TableParagraph"/>
              <w:spacing w:before="207"/>
              <w:ind w:left="49" w:right="22"/>
              <w:jc w:val="center"/>
              <w:rPr>
                <w:sz w:val="22"/>
              </w:rPr>
            </w:pPr>
            <w:r>
              <w:rPr>
                <w:color w:val="231F1F"/>
                <w:spacing w:val="-5"/>
                <w:w w:val="105"/>
                <w:sz w:val="22"/>
              </w:rPr>
              <w:t>1+</w:t>
            </w:r>
          </w:p>
        </w:tc>
      </w:tr>
      <w:tr>
        <w:trPr>
          <w:trHeight w:val="1022" w:hRule="atLeast"/>
        </w:trPr>
        <w:tc>
          <w:tcPr>
            <w:tcW w:w="7373" w:type="dxa"/>
          </w:tcPr>
          <w:p>
            <w:pPr>
              <w:pStyle w:val="TableParagraph"/>
              <w:spacing w:line="244" w:lineRule="auto" w:before="87"/>
              <w:ind w:right="84"/>
              <w:jc w:val="both"/>
              <w:rPr>
                <w:sz w:val="22"/>
              </w:rPr>
            </w:pPr>
            <w:r>
              <w:rPr>
                <w:color w:val="231F1F"/>
                <w:w w:val="105"/>
                <w:sz w:val="22"/>
              </w:rPr>
              <w:t>La sutura continua en la reparación de los músculos perineales está asociada con un menor dolor e incomodidad a corto plazo (160;162) y con un mayor grado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satisfacción de</w:t>
            </w:r>
            <w:r>
              <w:rPr>
                <w:color w:val="231F1F"/>
                <w:spacing w:val="40"/>
                <w:w w:val="105"/>
                <w:sz w:val="22"/>
              </w:rPr>
              <w:t> </w:t>
            </w:r>
            <w:r>
              <w:rPr>
                <w:color w:val="231F1F"/>
                <w:w w:val="105"/>
                <w:sz w:val="22"/>
              </w:rPr>
              <w:t>las</w:t>
            </w:r>
            <w:r>
              <w:rPr>
                <w:color w:val="231F1F"/>
                <w:spacing w:val="40"/>
                <w:w w:val="105"/>
                <w:sz w:val="22"/>
              </w:rPr>
              <w:t> </w:t>
            </w:r>
            <w:r>
              <w:rPr>
                <w:color w:val="231F1F"/>
                <w:w w:val="105"/>
                <w:sz w:val="22"/>
              </w:rPr>
              <w:t>mujeres</w:t>
            </w:r>
            <w:r>
              <w:rPr>
                <w:color w:val="231F1F"/>
                <w:spacing w:val="40"/>
                <w:w w:val="105"/>
                <w:sz w:val="22"/>
              </w:rPr>
              <w:t> </w:t>
            </w:r>
            <w:r>
              <w:rPr>
                <w:color w:val="231F1F"/>
                <w:w w:val="105"/>
                <w:sz w:val="22"/>
              </w:rPr>
              <w:t>a</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3</w:t>
            </w:r>
            <w:r>
              <w:rPr>
                <w:color w:val="231F1F"/>
                <w:spacing w:val="40"/>
                <w:w w:val="105"/>
                <w:sz w:val="22"/>
              </w:rPr>
              <w:t> </w:t>
            </w:r>
            <w:r>
              <w:rPr>
                <w:color w:val="231F1F"/>
                <w:w w:val="105"/>
                <w:sz w:val="22"/>
              </w:rPr>
              <w:t>meses</w:t>
            </w:r>
            <w:r>
              <w:rPr>
                <w:color w:val="231F1F"/>
                <w:spacing w:val="40"/>
                <w:w w:val="105"/>
                <w:sz w:val="22"/>
              </w:rPr>
              <w:t> </w:t>
            </w:r>
            <w:r>
              <w:rPr>
                <w:color w:val="231F1F"/>
                <w:w w:val="105"/>
                <w:sz w:val="22"/>
              </w:rPr>
              <w:t>(161).</w:t>
            </w:r>
          </w:p>
        </w:tc>
        <w:tc>
          <w:tcPr>
            <w:tcW w:w="1133" w:type="dxa"/>
          </w:tcPr>
          <w:p>
            <w:pPr>
              <w:pStyle w:val="TableParagraph"/>
              <w:spacing w:before="103"/>
              <w:ind w:left="0"/>
              <w:rPr>
                <w:rFonts w:ascii="Arial MT"/>
                <w:sz w:val="22"/>
              </w:rPr>
            </w:pPr>
          </w:p>
          <w:p>
            <w:pPr>
              <w:pStyle w:val="TableParagraph"/>
              <w:ind w:left="49" w:right="22"/>
              <w:jc w:val="center"/>
              <w:rPr>
                <w:sz w:val="22"/>
              </w:rPr>
            </w:pPr>
            <w:r>
              <w:rPr>
                <w:color w:val="231F1F"/>
                <w:spacing w:val="-5"/>
                <w:w w:val="105"/>
                <w:sz w:val="22"/>
              </w:rPr>
              <w:t>1+</w:t>
            </w:r>
          </w:p>
        </w:tc>
      </w:tr>
      <w:tr>
        <w:trPr>
          <w:trHeight w:val="2418" w:hRule="atLeast"/>
        </w:trPr>
        <w:tc>
          <w:tcPr>
            <w:tcW w:w="7373" w:type="dxa"/>
          </w:tcPr>
          <w:p>
            <w:pPr>
              <w:pStyle w:val="TableParagraph"/>
              <w:spacing w:line="249" w:lineRule="auto" w:before="82"/>
              <w:ind w:right="85"/>
              <w:jc w:val="both"/>
              <w:rPr>
                <w:sz w:val="22"/>
              </w:rPr>
            </w:pPr>
            <w:r>
              <w:rPr>
                <w:color w:val="231F1F"/>
                <w:spacing w:val="-2"/>
                <w:w w:val="110"/>
                <w:sz w:val="22"/>
              </w:rPr>
              <w:t>Las</w:t>
            </w:r>
            <w:r>
              <w:rPr>
                <w:color w:val="231F1F"/>
                <w:spacing w:val="-11"/>
                <w:w w:val="110"/>
                <w:sz w:val="22"/>
              </w:rPr>
              <w:t> </w:t>
            </w:r>
            <w:r>
              <w:rPr>
                <w:color w:val="231F1F"/>
                <w:spacing w:val="-2"/>
                <w:w w:val="110"/>
                <w:sz w:val="22"/>
              </w:rPr>
              <w:t>mujeres</w:t>
            </w:r>
            <w:r>
              <w:rPr>
                <w:color w:val="231F1F"/>
                <w:spacing w:val="-11"/>
                <w:w w:val="110"/>
                <w:sz w:val="22"/>
              </w:rPr>
              <w:t> </w:t>
            </w:r>
            <w:r>
              <w:rPr>
                <w:color w:val="231F1F"/>
                <w:spacing w:val="-2"/>
                <w:w w:val="110"/>
                <w:sz w:val="22"/>
              </w:rPr>
              <w:t>con</w:t>
            </w:r>
            <w:r>
              <w:rPr>
                <w:color w:val="231F1F"/>
                <w:spacing w:val="-11"/>
                <w:w w:val="110"/>
                <w:sz w:val="22"/>
              </w:rPr>
              <w:t> </w:t>
            </w:r>
            <w:r>
              <w:rPr>
                <w:color w:val="231F1F"/>
                <w:spacing w:val="-2"/>
                <w:w w:val="110"/>
                <w:sz w:val="22"/>
              </w:rPr>
              <w:t>reparación</w:t>
            </w:r>
            <w:r>
              <w:rPr>
                <w:color w:val="231F1F"/>
                <w:spacing w:val="-11"/>
                <w:w w:val="110"/>
                <w:sz w:val="22"/>
              </w:rPr>
              <w:t> </w:t>
            </w:r>
            <w:r>
              <w:rPr>
                <w:color w:val="231F1F"/>
                <w:spacing w:val="-2"/>
                <w:w w:val="110"/>
                <w:sz w:val="22"/>
              </w:rPr>
              <w:t>en</w:t>
            </w:r>
            <w:r>
              <w:rPr>
                <w:color w:val="231F1F"/>
                <w:spacing w:val="-11"/>
                <w:w w:val="110"/>
                <w:sz w:val="22"/>
              </w:rPr>
              <w:t> </w:t>
            </w:r>
            <w:r>
              <w:rPr>
                <w:color w:val="231F1F"/>
                <w:spacing w:val="-2"/>
                <w:w w:val="110"/>
                <w:sz w:val="22"/>
              </w:rPr>
              <w:t>dos</w:t>
            </w:r>
            <w:r>
              <w:rPr>
                <w:color w:val="231F1F"/>
                <w:spacing w:val="-11"/>
                <w:w w:val="110"/>
                <w:sz w:val="22"/>
              </w:rPr>
              <w:t> </w:t>
            </w:r>
            <w:r>
              <w:rPr>
                <w:color w:val="231F1F"/>
                <w:spacing w:val="-2"/>
                <w:w w:val="110"/>
                <w:sz w:val="22"/>
              </w:rPr>
              <w:t>planos,</w:t>
            </w:r>
            <w:r>
              <w:rPr>
                <w:color w:val="231F1F"/>
                <w:spacing w:val="-11"/>
                <w:w w:val="110"/>
                <w:sz w:val="22"/>
              </w:rPr>
              <w:t> </w:t>
            </w:r>
            <w:r>
              <w:rPr>
                <w:color w:val="231F1F"/>
                <w:spacing w:val="-2"/>
                <w:w w:val="110"/>
                <w:sz w:val="22"/>
              </w:rPr>
              <w:t>comparado</w:t>
            </w:r>
            <w:r>
              <w:rPr>
                <w:color w:val="231F1F"/>
                <w:spacing w:val="-10"/>
                <w:w w:val="110"/>
                <w:sz w:val="22"/>
              </w:rPr>
              <w:t> </w:t>
            </w:r>
            <w:r>
              <w:rPr>
                <w:color w:val="231F1F"/>
                <w:spacing w:val="-2"/>
                <w:w w:val="110"/>
                <w:sz w:val="22"/>
              </w:rPr>
              <w:t>con</w:t>
            </w:r>
            <w:r>
              <w:rPr>
                <w:color w:val="231F1F"/>
                <w:spacing w:val="-11"/>
                <w:w w:val="110"/>
                <w:sz w:val="22"/>
              </w:rPr>
              <w:t> </w:t>
            </w:r>
            <w:r>
              <w:rPr>
                <w:color w:val="231F1F"/>
                <w:spacing w:val="-2"/>
                <w:w w:val="110"/>
                <w:sz w:val="22"/>
              </w:rPr>
              <w:t>las</w:t>
            </w:r>
            <w:r>
              <w:rPr>
                <w:color w:val="231F1F"/>
                <w:spacing w:val="-11"/>
                <w:w w:val="110"/>
                <w:sz w:val="22"/>
              </w:rPr>
              <w:t> </w:t>
            </w:r>
            <w:r>
              <w:rPr>
                <w:color w:val="231F1F"/>
                <w:spacing w:val="-2"/>
                <w:w w:val="110"/>
                <w:sz w:val="22"/>
              </w:rPr>
              <w:t>de</w:t>
            </w:r>
            <w:r>
              <w:rPr>
                <w:color w:val="231F1F"/>
                <w:spacing w:val="-11"/>
                <w:w w:val="110"/>
                <w:sz w:val="22"/>
              </w:rPr>
              <w:t> </w:t>
            </w:r>
            <w:r>
              <w:rPr>
                <w:color w:val="231F1F"/>
                <w:spacing w:val="-2"/>
                <w:w w:val="110"/>
                <w:sz w:val="22"/>
              </w:rPr>
              <w:t>reparación en</w:t>
            </w:r>
            <w:r>
              <w:rPr>
                <w:color w:val="231F1F"/>
                <w:spacing w:val="-8"/>
                <w:w w:val="110"/>
                <w:sz w:val="22"/>
              </w:rPr>
              <w:t> </w:t>
            </w:r>
            <w:r>
              <w:rPr>
                <w:color w:val="231F1F"/>
                <w:spacing w:val="-2"/>
                <w:w w:val="110"/>
                <w:sz w:val="22"/>
              </w:rPr>
              <w:t>tres</w:t>
            </w:r>
            <w:r>
              <w:rPr>
                <w:color w:val="231F1F"/>
                <w:spacing w:val="-8"/>
                <w:w w:val="110"/>
                <w:sz w:val="22"/>
              </w:rPr>
              <w:t> </w:t>
            </w:r>
            <w:r>
              <w:rPr>
                <w:color w:val="231F1F"/>
                <w:spacing w:val="-2"/>
                <w:w w:val="110"/>
                <w:sz w:val="22"/>
              </w:rPr>
              <w:t>planos,</w:t>
            </w:r>
            <w:r>
              <w:rPr>
                <w:color w:val="231F1F"/>
                <w:spacing w:val="-9"/>
                <w:w w:val="110"/>
                <w:sz w:val="22"/>
              </w:rPr>
              <w:t> </w:t>
            </w:r>
            <w:r>
              <w:rPr>
                <w:color w:val="231F1F"/>
                <w:spacing w:val="-2"/>
                <w:w w:val="110"/>
                <w:sz w:val="22"/>
              </w:rPr>
              <w:t>no</w:t>
            </w:r>
            <w:r>
              <w:rPr>
                <w:color w:val="231F1F"/>
                <w:spacing w:val="-8"/>
                <w:w w:val="110"/>
                <w:sz w:val="22"/>
              </w:rPr>
              <w:t> </w:t>
            </w:r>
            <w:r>
              <w:rPr>
                <w:color w:val="231F1F"/>
                <w:spacing w:val="-2"/>
                <w:w w:val="110"/>
                <w:sz w:val="22"/>
              </w:rPr>
              <w:t>presentan</w:t>
            </w:r>
            <w:r>
              <w:rPr>
                <w:color w:val="231F1F"/>
                <w:spacing w:val="-8"/>
                <w:w w:val="110"/>
                <w:sz w:val="22"/>
              </w:rPr>
              <w:t> </w:t>
            </w:r>
            <w:r>
              <w:rPr>
                <w:color w:val="231F1F"/>
                <w:spacing w:val="-2"/>
                <w:w w:val="110"/>
                <w:sz w:val="22"/>
              </w:rPr>
              <w:t>una</w:t>
            </w:r>
            <w:r>
              <w:rPr>
                <w:color w:val="231F1F"/>
                <w:spacing w:val="-8"/>
                <w:w w:val="110"/>
                <w:sz w:val="22"/>
              </w:rPr>
              <w:t> </w:t>
            </w:r>
            <w:r>
              <w:rPr>
                <w:color w:val="231F1F"/>
                <w:spacing w:val="-2"/>
                <w:w w:val="110"/>
                <w:sz w:val="22"/>
              </w:rPr>
              <w:t>mayor</w:t>
            </w:r>
            <w:r>
              <w:rPr>
                <w:color w:val="231F1F"/>
                <w:spacing w:val="-8"/>
                <w:w w:val="110"/>
                <w:sz w:val="22"/>
              </w:rPr>
              <w:t> </w:t>
            </w:r>
            <w:r>
              <w:rPr>
                <w:color w:val="231F1F"/>
                <w:spacing w:val="-2"/>
                <w:w w:val="110"/>
                <w:sz w:val="22"/>
              </w:rPr>
              <w:t>dehiscencia</w:t>
            </w:r>
            <w:r>
              <w:rPr>
                <w:color w:val="231F1F"/>
                <w:spacing w:val="-9"/>
                <w:w w:val="110"/>
                <w:sz w:val="22"/>
              </w:rPr>
              <w:t> </w:t>
            </w:r>
            <w:r>
              <w:rPr>
                <w:color w:val="231F1F"/>
                <w:spacing w:val="-2"/>
                <w:w w:val="110"/>
                <w:sz w:val="22"/>
              </w:rPr>
              <w:t>de</w:t>
            </w:r>
            <w:r>
              <w:rPr>
                <w:color w:val="231F1F"/>
                <w:spacing w:val="-8"/>
                <w:w w:val="110"/>
                <w:sz w:val="22"/>
              </w:rPr>
              <w:t> </w:t>
            </w:r>
            <w:r>
              <w:rPr>
                <w:color w:val="231F1F"/>
                <w:spacing w:val="-2"/>
                <w:w w:val="110"/>
                <w:sz w:val="22"/>
              </w:rPr>
              <w:t>la</w:t>
            </w:r>
            <w:r>
              <w:rPr>
                <w:color w:val="231F1F"/>
                <w:spacing w:val="-8"/>
                <w:w w:val="110"/>
                <w:sz w:val="22"/>
              </w:rPr>
              <w:t> </w:t>
            </w:r>
            <w:r>
              <w:rPr>
                <w:color w:val="231F1F"/>
                <w:spacing w:val="-2"/>
                <w:w w:val="110"/>
                <w:sz w:val="22"/>
              </w:rPr>
              <w:t>herida.</w:t>
            </w:r>
            <w:r>
              <w:rPr>
                <w:color w:val="231F1F"/>
                <w:spacing w:val="-9"/>
                <w:w w:val="110"/>
                <w:sz w:val="22"/>
              </w:rPr>
              <w:t> </w:t>
            </w:r>
            <w:r>
              <w:rPr>
                <w:color w:val="231F1F"/>
                <w:spacing w:val="-2"/>
                <w:w w:val="110"/>
                <w:sz w:val="22"/>
              </w:rPr>
              <w:t>Sin</w:t>
            </w:r>
            <w:r>
              <w:rPr>
                <w:color w:val="231F1F"/>
                <w:spacing w:val="-8"/>
                <w:w w:val="110"/>
                <w:sz w:val="22"/>
              </w:rPr>
              <w:t> </w:t>
            </w:r>
            <w:r>
              <w:rPr>
                <w:color w:val="231F1F"/>
                <w:spacing w:val="-2"/>
                <w:w w:val="110"/>
                <w:sz w:val="22"/>
              </w:rPr>
              <w:t>embar- </w:t>
            </w:r>
            <w:r>
              <w:rPr>
                <w:color w:val="231F1F"/>
                <w:w w:val="110"/>
                <w:sz w:val="22"/>
              </w:rPr>
              <w:t>go,</w:t>
            </w:r>
            <w:r>
              <w:rPr>
                <w:color w:val="231F1F"/>
                <w:spacing w:val="-4"/>
                <w:w w:val="110"/>
                <w:sz w:val="22"/>
              </w:rPr>
              <w:t> </w:t>
            </w:r>
            <w:r>
              <w:rPr>
                <w:color w:val="231F1F"/>
                <w:w w:val="110"/>
                <w:sz w:val="22"/>
              </w:rPr>
              <w:t>la</w:t>
            </w:r>
            <w:r>
              <w:rPr>
                <w:color w:val="231F1F"/>
                <w:spacing w:val="-3"/>
                <w:w w:val="110"/>
                <w:sz w:val="22"/>
              </w:rPr>
              <w:t> </w:t>
            </w:r>
            <w:r>
              <w:rPr>
                <w:color w:val="231F1F"/>
                <w:w w:val="110"/>
                <w:sz w:val="22"/>
              </w:rPr>
              <w:t>herida</w:t>
            </w:r>
            <w:r>
              <w:rPr>
                <w:color w:val="231F1F"/>
                <w:spacing w:val="-3"/>
                <w:w w:val="110"/>
                <w:sz w:val="22"/>
              </w:rPr>
              <w:t> </w:t>
            </w:r>
            <w:r>
              <w:rPr>
                <w:color w:val="231F1F"/>
                <w:w w:val="110"/>
                <w:sz w:val="22"/>
              </w:rPr>
              <w:t>abierta</w:t>
            </w:r>
            <w:r>
              <w:rPr>
                <w:color w:val="231F1F"/>
                <w:spacing w:val="-3"/>
                <w:w w:val="110"/>
                <w:sz w:val="22"/>
              </w:rPr>
              <w:t> </w:t>
            </w:r>
            <w:r>
              <w:rPr>
                <w:color w:val="231F1F"/>
                <w:w w:val="110"/>
                <w:sz w:val="22"/>
              </w:rPr>
              <w:t>al</w:t>
            </w:r>
            <w:r>
              <w:rPr>
                <w:color w:val="231F1F"/>
                <w:spacing w:val="-4"/>
                <w:w w:val="110"/>
                <w:sz w:val="22"/>
              </w:rPr>
              <w:t> </w:t>
            </w:r>
            <w:r>
              <w:rPr>
                <w:color w:val="231F1F"/>
                <w:w w:val="110"/>
                <w:sz w:val="22"/>
              </w:rPr>
              <w:t>décimo</w:t>
            </w:r>
            <w:r>
              <w:rPr>
                <w:color w:val="231F1F"/>
                <w:spacing w:val="-3"/>
                <w:w w:val="110"/>
                <w:sz w:val="22"/>
              </w:rPr>
              <w:t> </w:t>
            </w:r>
            <w:r>
              <w:rPr>
                <w:color w:val="231F1F"/>
                <w:w w:val="110"/>
                <w:sz w:val="22"/>
              </w:rPr>
              <w:t>día</w:t>
            </w:r>
            <w:r>
              <w:rPr>
                <w:color w:val="231F1F"/>
                <w:spacing w:val="-3"/>
                <w:w w:val="110"/>
                <w:sz w:val="22"/>
              </w:rPr>
              <w:t> </w:t>
            </w:r>
            <w:r>
              <w:rPr>
                <w:color w:val="231F1F"/>
                <w:w w:val="110"/>
                <w:sz w:val="22"/>
              </w:rPr>
              <w:t>es</w:t>
            </w:r>
            <w:r>
              <w:rPr>
                <w:color w:val="231F1F"/>
                <w:spacing w:val="-3"/>
                <w:w w:val="110"/>
                <w:sz w:val="22"/>
              </w:rPr>
              <w:t> </w:t>
            </w:r>
            <w:r>
              <w:rPr>
                <w:color w:val="231F1F"/>
                <w:w w:val="110"/>
                <w:sz w:val="22"/>
              </w:rPr>
              <w:t>más</w:t>
            </w:r>
            <w:r>
              <w:rPr>
                <w:color w:val="231F1F"/>
                <w:spacing w:val="-3"/>
                <w:w w:val="110"/>
                <w:sz w:val="22"/>
              </w:rPr>
              <w:t> </w:t>
            </w:r>
            <w:r>
              <w:rPr>
                <w:color w:val="231F1F"/>
                <w:w w:val="110"/>
                <w:sz w:val="22"/>
              </w:rPr>
              <w:t>frecuente</w:t>
            </w:r>
            <w:r>
              <w:rPr>
                <w:color w:val="231F1F"/>
                <w:spacing w:val="-3"/>
                <w:w w:val="110"/>
                <w:sz w:val="22"/>
              </w:rPr>
              <w:t> </w:t>
            </w:r>
            <w:r>
              <w:rPr>
                <w:color w:val="231F1F"/>
                <w:w w:val="110"/>
                <w:sz w:val="22"/>
              </w:rPr>
              <w:t>en</w:t>
            </w:r>
            <w:r>
              <w:rPr>
                <w:color w:val="231F1F"/>
                <w:spacing w:val="-3"/>
                <w:w w:val="110"/>
                <w:sz w:val="22"/>
              </w:rPr>
              <w:t> </w:t>
            </w:r>
            <w:r>
              <w:rPr>
                <w:color w:val="231F1F"/>
                <w:w w:val="110"/>
                <w:sz w:val="22"/>
              </w:rPr>
              <w:t>las</w:t>
            </w:r>
            <w:r>
              <w:rPr>
                <w:color w:val="231F1F"/>
                <w:spacing w:val="-3"/>
                <w:w w:val="110"/>
                <w:sz w:val="22"/>
              </w:rPr>
              <w:t> </w:t>
            </w:r>
            <w:r>
              <w:rPr>
                <w:color w:val="231F1F"/>
                <w:w w:val="110"/>
                <w:sz w:val="22"/>
              </w:rPr>
              <w:t>reparaciones</w:t>
            </w:r>
            <w:r>
              <w:rPr>
                <w:color w:val="231F1F"/>
                <w:spacing w:val="-3"/>
                <w:w w:val="110"/>
                <w:sz w:val="22"/>
              </w:rPr>
              <w:t> </w:t>
            </w:r>
            <w:r>
              <w:rPr>
                <w:color w:val="231F1F"/>
                <w:w w:val="110"/>
                <w:sz w:val="22"/>
              </w:rPr>
              <w:t>en dos</w:t>
            </w:r>
            <w:r>
              <w:rPr>
                <w:color w:val="231F1F"/>
                <w:spacing w:val="-9"/>
                <w:w w:val="110"/>
                <w:sz w:val="22"/>
              </w:rPr>
              <w:t> </w:t>
            </w:r>
            <w:r>
              <w:rPr>
                <w:color w:val="231F1F"/>
                <w:w w:val="110"/>
                <w:sz w:val="22"/>
              </w:rPr>
              <w:t>planos,</w:t>
            </w:r>
            <w:r>
              <w:rPr>
                <w:color w:val="231F1F"/>
                <w:spacing w:val="-10"/>
                <w:w w:val="110"/>
                <w:sz w:val="22"/>
              </w:rPr>
              <w:t> </w:t>
            </w:r>
            <w:r>
              <w:rPr>
                <w:color w:val="231F1F"/>
                <w:w w:val="110"/>
                <w:sz w:val="22"/>
              </w:rPr>
              <w:t>aunque,</w:t>
            </w:r>
            <w:r>
              <w:rPr>
                <w:color w:val="231F1F"/>
                <w:spacing w:val="-9"/>
                <w:w w:val="110"/>
                <w:sz w:val="22"/>
              </w:rPr>
              <w:t> </w:t>
            </w:r>
            <w:r>
              <w:rPr>
                <w:color w:val="231F1F"/>
                <w:w w:val="110"/>
                <w:sz w:val="22"/>
              </w:rPr>
              <w:t>esta</w:t>
            </w:r>
            <w:r>
              <w:rPr>
                <w:color w:val="231F1F"/>
                <w:spacing w:val="-9"/>
                <w:w w:val="110"/>
                <w:sz w:val="22"/>
              </w:rPr>
              <w:t> </w:t>
            </w:r>
            <w:r>
              <w:rPr>
                <w:color w:val="231F1F"/>
                <w:w w:val="110"/>
                <w:sz w:val="22"/>
              </w:rPr>
              <w:t>diferencia</w:t>
            </w:r>
            <w:r>
              <w:rPr>
                <w:color w:val="231F1F"/>
                <w:spacing w:val="-10"/>
                <w:w w:val="110"/>
                <w:sz w:val="22"/>
              </w:rPr>
              <w:t> </w:t>
            </w:r>
            <w:r>
              <w:rPr>
                <w:color w:val="231F1F"/>
                <w:w w:val="110"/>
                <w:sz w:val="22"/>
              </w:rPr>
              <w:t>desaparece</w:t>
            </w:r>
            <w:r>
              <w:rPr>
                <w:color w:val="231F1F"/>
                <w:spacing w:val="-10"/>
                <w:w w:val="110"/>
                <w:sz w:val="22"/>
              </w:rPr>
              <w:t> </w:t>
            </w:r>
            <w:r>
              <w:rPr>
                <w:color w:val="231F1F"/>
                <w:w w:val="110"/>
                <w:sz w:val="22"/>
              </w:rPr>
              <w:t>a</w:t>
            </w:r>
            <w:r>
              <w:rPr>
                <w:color w:val="231F1F"/>
                <w:spacing w:val="-9"/>
                <w:w w:val="110"/>
                <w:sz w:val="22"/>
              </w:rPr>
              <w:t> </w:t>
            </w:r>
            <w:r>
              <w:rPr>
                <w:color w:val="231F1F"/>
                <w:w w:val="110"/>
                <w:sz w:val="22"/>
              </w:rPr>
              <w:t>los</w:t>
            </w:r>
            <w:r>
              <w:rPr>
                <w:color w:val="231F1F"/>
                <w:spacing w:val="-9"/>
                <w:w w:val="110"/>
                <w:sz w:val="22"/>
              </w:rPr>
              <w:t> </w:t>
            </w:r>
            <w:r>
              <w:rPr>
                <w:color w:val="231F1F"/>
                <w:w w:val="110"/>
                <w:sz w:val="22"/>
              </w:rPr>
              <w:t>14</w:t>
            </w:r>
            <w:r>
              <w:rPr>
                <w:color w:val="231F1F"/>
                <w:spacing w:val="-9"/>
                <w:w w:val="110"/>
                <w:sz w:val="22"/>
              </w:rPr>
              <w:t> </w:t>
            </w:r>
            <w:r>
              <w:rPr>
                <w:color w:val="231F1F"/>
                <w:w w:val="110"/>
                <w:sz w:val="22"/>
              </w:rPr>
              <w:t>días.</w:t>
            </w:r>
            <w:r>
              <w:rPr>
                <w:color w:val="231F1F"/>
                <w:spacing w:val="-10"/>
                <w:w w:val="110"/>
                <w:sz w:val="22"/>
              </w:rPr>
              <w:t> </w:t>
            </w:r>
            <w:r>
              <w:rPr>
                <w:color w:val="231F1F"/>
                <w:w w:val="110"/>
                <w:sz w:val="22"/>
              </w:rPr>
              <w:t>Estas</w:t>
            </w:r>
            <w:r>
              <w:rPr>
                <w:color w:val="231F1F"/>
                <w:spacing w:val="-9"/>
                <w:w w:val="110"/>
                <w:sz w:val="22"/>
              </w:rPr>
              <w:t> </w:t>
            </w:r>
            <w:r>
              <w:rPr>
                <w:color w:val="231F1F"/>
                <w:w w:val="110"/>
                <w:sz w:val="22"/>
              </w:rPr>
              <w:t>mujeres presentan menor dispareunia, menor tirantez y retirada de la sutura y una mayor</w:t>
            </w:r>
            <w:r>
              <w:rPr>
                <w:color w:val="231F1F"/>
                <w:spacing w:val="-1"/>
                <w:w w:val="110"/>
                <w:sz w:val="22"/>
              </w:rPr>
              <w:t> </w:t>
            </w:r>
            <w:r>
              <w:rPr>
                <w:color w:val="231F1F"/>
                <w:w w:val="110"/>
                <w:sz w:val="22"/>
              </w:rPr>
              <w:t>frecuencia</w:t>
            </w:r>
            <w:r>
              <w:rPr>
                <w:color w:val="231F1F"/>
                <w:spacing w:val="-1"/>
                <w:w w:val="110"/>
                <w:sz w:val="22"/>
              </w:rPr>
              <w:t> </w:t>
            </w:r>
            <w:r>
              <w:rPr>
                <w:color w:val="231F1F"/>
                <w:w w:val="110"/>
                <w:sz w:val="22"/>
              </w:rPr>
              <w:t>de</w:t>
            </w:r>
            <w:r>
              <w:rPr>
                <w:color w:val="231F1F"/>
                <w:spacing w:val="-1"/>
                <w:w w:val="110"/>
                <w:sz w:val="22"/>
              </w:rPr>
              <w:t> </w:t>
            </w:r>
            <w:r>
              <w:rPr>
                <w:color w:val="231F1F"/>
                <w:w w:val="110"/>
                <w:sz w:val="22"/>
              </w:rPr>
              <w:t>«sentir</w:t>
            </w:r>
            <w:r>
              <w:rPr>
                <w:color w:val="231F1F"/>
                <w:spacing w:val="-1"/>
                <w:w w:val="110"/>
                <w:sz w:val="22"/>
              </w:rPr>
              <w:t> </w:t>
            </w:r>
            <w:r>
              <w:rPr>
                <w:color w:val="231F1F"/>
                <w:w w:val="110"/>
                <w:sz w:val="22"/>
              </w:rPr>
              <w:t>el</w:t>
            </w:r>
            <w:r>
              <w:rPr>
                <w:color w:val="231F1F"/>
                <w:spacing w:val="-1"/>
                <w:w w:val="110"/>
                <w:sz w:val="22"/>
              </w:rPr>
              <w:t> </w:t>
            </w:r>
            <w:r>
              <w:rPr>
                <w:color w:val="231F1F"/>
                <w:w w:val="110"/>
                <w:sz w:val="22"/>
              </w:rPr>
              <w:t>área</w:t>
            </w:r>
            <w:r>
              <w:rPr>
                <w:color w:val="231F1F"/>
                <w:spacing w:val="-1"/>
                <w:w w:val="110"/>
                <w:sz w:val="22"/>
              </w:rPr>
              <w:t> </w:t>
            </w:r>
            <w:r>
              <w:rPr>
                <w:color w:val="231F1F"/>
                <w:w w:val="110"/>
                <w:sz w:val="22"/>
              </w:rPr>
              <w:t>perineal</w:t>
            </w:r>
            <w:r>
              <w:rPr>
                <w:color w:val="231F1F"/>
                <w:spacing w:val="-2"/>
                <w:w w:val="110"/>
                <w:sz w:val="22"/>
              </w:rPr>
              <w:t> </w:t>
            </w:r>
            <w:r>
              <w:rPr>
                <w:color w:val="231F1F"/>
                <w:w w:val="110"/>
                <w:sz w:val="22"/>
              </w:rPr>
              <w:t>normal»,</w:t>
            </w:r>
            <w:r>
              <w:rPr>
                <w:color w:val="231F1F"/>
                <w:spacing w:val="-2"/>
                <w:w w:val="110"/>
                <w:sz w:val="22"/>
              </w:rPr>
              <w:t> </w:t>
            </w:r>
            <w:r>
              <w:rPr>
                <w:color w:val="231F1F"/>
                <w:w w:val="110"/>
                <w:sz w:val="22"/>
              </w:rPr>
              <w:t>así</w:t>
            </w:r>
            <w:r>
              <w:rPr>
                <w:color w:val="231F1F"/>
                <w:spacing w:val="-1"/>
                <w:w w:val="110"/>
                <w:sz w:val="22"/>
              </w:rPr>
              <w:t> </w:t>
            </w:r>
            <w:r>
              <w:rPr>
                <w:color w:val="231F1F"/>
                <w:w w:val="110"/>
                <w:sz w:val="22"/>
              </w:rPr>
              <w:t>como,</w:t>
            </w:r>
            <w:r>
              <w:rPr>
                <w:color w:val="231F1F"/>
                <w:spacing w:val="-2"/>
                <w:w w:val="110"/>
                <w:sz w:val="22"/>
              </w:rPr>
              <w:t> </w:t>
            </w:r>
            <w:r>
              <w:rPr>
                <w:color w:val="231F1F"/>
                <w:w w:val="110"/>
                <w:sz w:val="22"/>
              </w:rPr>
              <w:t>un</w:t>
            </w:r>
            <w:r>
              <w:rPr>
                <w:color w:val="231F1F"/>
                <w:spacing w:val="-1"/>
                <w:w w:val="110"/>
                <w:sz w:val="22"/>
              </w:rPr>
              <w:t> </w:t>
            </w:r>
            <w:r>
              <w:rPr>
                <w:color w:val="231F1F"/>
                <w:w w:val="110"/>
                <w:sz w:val="22"/>
              </w:rPr>
              <w:t>menor dolor</w:t>
            </w:r>
            <w:r>
              <w:rPr>
                <w:color w:val="231F1F"/>
                <w:spacing w:val="-16"/>
                <w:w w:val="110"/>
                <w:sz w:val="22"/>
              </w:rPr>
              <w:t> </w:t>
            </w:r>
            <w:r>
              <w:rPr>
                <w:color w:val="231F1F"/>
                <w:w w:val="110"/>
                <w:sz w:val="22"/>
              </w:rPr>
              <w:t>y</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menor</w:t>
            </w:r>
            <w:r>
              <w:rPr>
                <w:color w:val="231F1F"/>
                <w:spacing w:val="-15"/>
                <w:w w:val="110"/>
                <w:sz w:val="22"/>
              </w:rPr>
              <w:t> </w:t>
            </w:r>
            <w:r>
              <w:rPr>
                <w:color w:val="231F1F"/>
                <w:w w:val="110"/>
                <w:sz w:val="22"/>
              </w:rPr>
              <w:t>grado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inflamación</w:t>
            </w:r>
            <w:r>
              <w:rPr>
                <w:color w:val="231F1F"/>
                <w:spacing w:val="-15"/>
                <w:w w:val="110"/>
                <w:sz w:val="22"/>
              </w:rPr>
              <w:t> </w:t>
            </w:r>
            <w:r>
              <w:rPr>
                <w:color w:val="231F1F"/>
                <w:w w:val="110"/>
                <w:sz w:val="22"/>
              </w:rPr>
              <w:t>o</w:t>
            </w:r>
            <w:r>
              <w:rPr>
                <w:color w:val="231F1F"/>
                <w:spacing w:val="-15"/>
                <w:w w:val="110"/>
                <w:sz w:val="22"/>
              </w:rPr>
              <w:t> </w:t>
            </w:r>
            <w:r>
              <w:rPr>
                <w:color w:val="231F1F"/>
                <w:w w:val="110"/>
                <w:sz w:val="22"/>
              </w:rPr>
              <w:t>hematoma</w:t>
            </w:r>
            <w:r>
              <w:rPr>
                <w:color w:val="231F1F"/>
                <w:spacing w:val="-16"/>
                <w:w w:val="110"/>
                <w:sz w:val="22"/>
              </w:rPr>
              <w:t> </w:t>
            </w:r>
            <w:r>
              <w:rPr>
                <w:color w:val="231F1F"/>
                <w:w w:val="110"/>
                <w:sz w:val="22"/>
              </w:rPr>
              <w:t>y</w:t>
            </w:r>
            <w:r>
              <w:rPr>
                <w:color w:val="231F1F"/>
                <w:spacing w:val="-15"/>
                <w:w w:val="110"/>
                <w:sz w:val="22"/>
              </w:rPr>
              <w:t> </w:t>
            </w:r>
            <w:r>
              <w:rPr>
                <w:color w:val="231F1F"/>
                <w:w w:val="110"/>
                <w:sz w:val="22"/>
              </w:rPr>
              <w:t>además,</w:t>
            </w:r>
            <w:r>
              <w:rPr>
                <w:color w:val="231F1F"/>
                <w:spacing w:val="-15"/>
                <w:w w:val="110"/>
                <w:sz w:val="22"/>
              </w:rPr>
              <w:t> </w:t>
            </w:r>
            <w:r>
              <w:rPr>
                <w:color w:val="231F1F"/>
                <w:w w:val="110"/>
                <w:sz w:val="22"/>
              </w:rPr>
              <w:t>muestran</w:t>
            </w:r>
            <w:r>
              <w:rPr>
                <w:color w:val="231F1F"/>
                <w:spacing w:val="-15"/>
                <w:w w:val="110"/>
                <w:sz w:val="22"/>
              </w:rPr>
              <w:t> </w:t>
            </w:r>
            <w:r>
              <w:rPr>
                <w:color w:val="231F1F"/>
                <w:w w:val="110"/>
                <w:sz w:val="22"/>
              </w:rPr>
              <w:t>un menor uso de analgésicos (162-164).</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35"/>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2558" w:hRule="atLeast"/>
        </w:trPr>
        <w:tc>
          <w:tcPr>
            <w:tcW w:w="7373" w:type="dxa"/>
          </w:tcPr>
          <w:p>
            <w:pPr>
              <w:pStyle w:val="TableParagraph"/>
              <w:spacing w:line="256" w:lineRule="auto" w:before="68"/>
              <w:ind w:right="222"/>
              <w:jc w:val="both"/>
              <w:rPr>
                <w:sz w:val="22"/>
              </w:rPr>
            </w:pPr>
            <w:r>
              <w:rPr>
                <w:color w:val="231F1F"/>
                <w:w w:val="105"/>
                <w:sz w:val="22"/>
              </w:rPr>
              <w:t>La</w:t>
            </w:r>
            <w:r>
              <w:rPr>
                <w:color w:val="231F1F"/>
                <w:spacing w:val="-3"/>
                <w:w w:val="105"/>
                <w:sz w:val="22"/>
              </w:rPr>
              <w:t> </w:t>
            </w:r>
            <w:r>
              <w:rPr>
                <w:color w:val="231F1F"/>
                <w:w w:val="105"/>
                <w:sz w:val="22"/>
              </w:rPr>
              <w:t>sutura</w:t>
            </w:r>
            <w:r>
              <w:rPr>
                <w:color w:val="231F1F"/>
                <w:spacing w:val="-3"/>
                <w:w w:val="105"/>
                <w:sz w:val="22"/>
              </w:rPr>
              <w:t> </w:t>
            </w:r>
            <w:r>
              <w:rPr>
                <w:color w:val="231F1F"/>
                <w:w w:val="105"/>
                <w:sz w:val="22"/>
              </w:rPr>
              <w:t>continua</w:t>
            </w:r>
            <w:r>
              <w:rPr>
                <w:color w:val="231F1F"/>
                <w:spacing w:val="-3"/>
                <w:w w:val="105"/>
                <w:sz w:val="22"/>
              </w:rPr>
              <w:t> </w:t>
            </w:r>
            <w:r>
              <w:rPr>
                <w:color w:val="231F1F"/>
                <w:w w:val="105"/>
                <w:sz w:val="22"/>
              </w:rPr>
              <w:t>se</w:t>
            </w:r>
            <w:r>
              <w:rPr>
                <w:color w:val="231F1F"/>
                <w:spacing w:val="-3"/>
                <w:w w:val="105"/>
                <w:sz w:val="22"/>
              </w:rPr>
              <w:t> </w:t>
            </w:r>
            <w:r>
              <w:rPr>
                <w:color w:val="231F1F"/>
                <w:w w:val="105"/>
                <w:sz w:val="22"/>
              </w:rPr>
              <w:t>asocia</w:t>
            </w:r>
            <w:r>
              <w:rPr>
                <w:color w:val="231F1F"/>
                <w:spacing w:val="-3"/>
                <w:w w:val="105"/>
                <w:sz w:val="22"/>
              </w:rPr>
              <w:t> </w:t>
            </w:r>
            <w:r>
              <w:rPr>
                <w:color w:val="231F1F"/>
                <w:w w:val="105"/>
                <w:sz w:val="22"/>
              </w:rPr>
              <w:t>con</w:t>
            </w:r>
            <w:r>
              <w:rPr>
                <w:color w:val="231F1F"/>
                <w:spacing w:val="-3"/>
                <w:w w:val="105"/>
                <w:sz w:val="22"/>
              </w:rPr>
              <w:t> </w:t>
            </w:r>
            <w:r>
              <w:rPr>
                <w:color w:val="231F1F"/>
                <w:w w:val="105"/>
                <w:sz w:val="22"/>
              </w:rPr>
              <w:t>menos</w:t>
            </w:r>
            <w:r>
              <w:rPr>
                <w:color w:val="231F1F"/>
                <w:spacing w:val="-3"/>
                <w:w w:val="105"/>
                <w:sz w:val="22"/>
              </w:rPr>
              <w:t> </w:t>
            </w:r>
            <w:r>
              <w:rPr>
                <w:color w:val="231F1F"/>
                <w:w w:val="105"/>
                <w:sz w:val="22"/>
              </w:rPr>
              <w:t>dolor</w:t>
            </w:r>
            <w:r>
              <w:rPr>
                <w:color w:val="231F1F"/>
                <w:spacing w:val="-3"/>
                <w:w w:val="105"/>
                <w:sz w:val="22"/>
              </w:rPr>
              <w:t> </w:t>
            </w:r>
            <w:r>
              <w:rPr>
                <w:color w:val="231F1F"/>
                <w:w w:val="105"/>
                <w:sz w:val="22"/>
              </w:rPr>
              <w:t>a</w:t>
            </w:r>
            <w:r>
              <w:rPr>
                <w:color w:val="231F1F"/>
                <w:spacing w:val="-3"/>
                <w:w w:val="105"/>
                <w:sz w:val="22"/>
              </w:rPr>
              <w:t> </w:t>
            </w:r>
            <w:r>
              <w:rPr>
                <w:color w:val="231F1F"/>
                <w:w w:val="105"/>
                <w:sz w:val="22"/>
              </w:rPr>
              <w:t>corto</w:t>
            </w:r>
            <w:r>
              <w:rPr>
                <w:color w:val="231F1F"/>
                <w:spacing w:val="-3"/>
                <w:w w:val="105"/>
                <w:sz w:val="22"/>
              </w:rPr>
              <w:t> </w:t>
            </w:r>
            <w:r>
              <w:rPr>
                <w:color w:val="231F1F"/>
                <w:w w:val="105"/>
                <w:sz w:val="22"/>
              </w:rPr>
              <w:t>plazo,</w:t>
            </w:r>
            <w:r>
              <w:rPr>
                <w:color w:val="231F1F"/>
                <w:spacing w:val="-3"/>
                <w:w w:val="105"/>
                <w:sz w:val="22"/>
              </w:rPr>
              <w:t> </w:t>
            </w:r>
            <w:r>
              <w:rPr>
                <w:color w:val="231F1F"/>
                <w:w w:val="105"/>
                <w:sz w:val="22"/>
              </w:rPr>
              <w:t>frente</w:t>
            </w:r>
            <w:r>
              <w:rPr>
                <w:color w:val="231F1F"/>
                <w:spacing w:val="-5"/>
                <w:w w:val="105"/>
                <w:sz w:val="22"/>
              </w:rPr>
              <w:t> </w:t>
            </w:r>
            <w:r>
              <w:rPr>
                <w:color w:val="231F1F"/>
                <w:w w:val="105"/>
                <w:sz w:val="22"/>
              </w:rPr>
              <w:t>a</w:t>
            </w:r>
            <w:r>
              <w:rPr>
                <w:color w:val="231F1F"/>
                <w:spacing w:val="-3"/>
                <w:w w:val="105"/>
                <w:sz w:val="22"/>
              </w:rPr>
              <w:t> </w:t>
            </w:r>
            <w:r>
              <w:rPr>
                <w:color w:val="231F1F"/>
                <w:w w:val="105"/>
                <w:sz w:val="22"/>
              </w:rPr>
              <w:t>la</w:t>
            </w:r>
            <w:r>
              <w:rPr>
                <w:color w:val="231F1F"/>
                <w:spacing w:val="-3"/>
                <w:w w:val="105"/>
                <w:sz w:val="22"/>
              </w:rPr>
              <w:t> </w:t>
            </w:r>
            <w:r>
              <w:rPr>
                <w:color w:val="231F1F"/>
                <w:w w:val="105"/>
                <w:sz w:val="22"/>
              </w:rPr>
              <w:t>sutu- ra</w:t>
            </w:r>
            <w:r>
              <w:rPr>
                <w:color w:val="231F1F"/>
                <w:spacing w:val="-1"/>
                <w:w w:val="105"/>
                <w:sz w:val="22"/>
              </w:rPr>
              <w:t> </w:t>
            </w:r>
            <w:r>
              <w:rPr>
                <w:color w:val="231F1F"/>
                <w:w w:val="105"/>
                <w:sz w:val="22"/>
              </w:rPr>
              <w:t>discontinua.</w:t>
            </w:r>
            <w:r>
              <w:rPr>
                <w:color w:val="231F1F"/>
                <w:spacing w:val="-2"/>
                <w:w w:val="105"/>
                <w:sz w:val="22"/>
              </w:rPr>
              <w:t> </w:t>
            </w:r>
            <w:r>
              <w:rPr>
                <w:color w:val="231F1F"/>
                <w:w w:val="105"/>
                <w:sz w:val="22"/>
              </w:rPr>
              <w:t>Si</w:t>
            </w:r>
            <w:r>
              <w:rPr>
                <w:color w:val="231F1F"/>
                <w:spacing w:val="-2"/>
                <w:w w:val="105"/>
                <w:sz w:val="22"/>
              </w:rPr>
              <w:t> </w:t>
            </w:r>
            <w:r>
              <w:rPr>
                <w:color w:val="231F1F"/>
                <w:w w:val="105"/>
                <w:sz w:val="22"/>
              </w:rPr>
              <w:t>la</w:t>
            </w:r>
            <w:r>
              <w:rPr>
                <w:color w:val="231F1F"/>
                <w:spacing w:val="-1"/>
                <w:w w:val="105"/>
                <w:sz w:val="22"/>
              </w:rPr>
              <w:t> </w:t>
            </w:r>
            <w:r>
              <w:rPr>
                <w:color w:val="231F1F"/>
                <w:w w:val="105"/>
                <w:sz w:val="22"/>
              </w:rPr>
              <w:t>sutura</w:t>
            </w:r>
            <w:r>
              <w:rPr>
                <w:color w:val="231F1F"/>
                <w:spacing w:val="-1"/>
                <w:w w:val="105"/>
                <w:sz w:val="22"/>
              </w:rPr>
              <w:t> </w:t>
            </w:r>
            <w:r>
              <w:rPr>
                <w:color w:val="231F1F"/>
                <w:w w:val="105"/>
                <w:sz w:val="22"/>
              </w:rPr>
              <w:t>es</w:t>
            </w:r>
            <w:r>
              <w:rPr>
                <w:color w:val="231F1F"/>
                <w:spacing w:val="-2"/>
                <w:w w:val="105"/>
                <w:sz w:val="22"/>
              </w:rPr>
              <w:t> </w:t>
            </w:r>
            <w:r>
              <w:rPr>
                <w:color w:val="231F1F"/>
                <w:w w:val="105"/>
                <w:sz w:val="22"/>
              </w:rPr>
              <w:t>continua</w:t>
            </w:r>
            <w:r>
              <w:rPr>
                <w:color w:val="231F1F"/>
                <w:spacing w:val="-1"/>
                <w:w w:val="105"/>
                <w:sz w:val="22"/>
              </w:rPr>
              <w:t> </w:t>
            </w:r>
            <w:r>
              <w:rPr>
                <w:color w:val="231F1F"/>
                <w:w w:val="105"/>
                <w:sz w:val="22"/>
              </w:rPr>
              <w:t>para</w:t>
            </w:r>
            <w:r>
              <w:rPr>
                <w:color w:val="231F1F"/>
                <w:spacing w:val="-1"/>
                <w:w w:val="105"/>
                <w:sz w:val="22"/>
              </w:rPr>
              <w:t> </w:t>
            </w:r>
            <w:r>
              <w:rPr>
                <w:color w:val="231F1F"/>
                <w:w w:val="105"/>
                <w:sz w:val="22"/>
              </w:rPr>
              <w:t>todas</w:t>
            </w:r>
            <w:r>
              <w:rPr>
                <w:color w:val="231F1F"/>
                <w:spacing w:val="-2"/>
                <w:w w:val="105"/>
                <w:sz w:val="22"/>
              </w:rPr>
              <w:t> </w:t>
            </w:r>
            <w:r>
              <w:rPr>
                <w:color w:val="231F1F"/>
                <w:w w:val="105"/>
                <w:sz w:val="22"/>
              </w:rPr>
              <w:t>las</w:t>
            </w:r>
            <w:r>
              <w:rPr>
                <w:color w:val="231F1F"/>
                <w:spacing w:val="-2"/>
                <w:w w:val="105"/>
                <w:sz w:val="22"/>
              </w:rPr>
              <w:t> </w:t>
            </w:r>
            <w:r>
              <w:rPr>
                <w:color w:val="231F1F"/>
                <w:w w:val="105"/>
                <w:sz w:val="22"/>
              </w:rPr>
              <w:t>capas</w:t>
            </w:r>
            <w:r>
              <w:rPr>
                <w:color w:val="231F1F"/>
                <w:spacing w:val="-2"/>
                <w:w w:val="105"/>
                <w:sz w:val="22"/>
              </w:rPr>
              <w:t> </w:t>
            </w:r>
            <w:r>
              <w:rPr>
                <w:color w:val="231F1F"/>
                <w:w w:val="105"/>
                <w:sz w:val="22"/>
              </w:rPr>
              <w:t>(vagina,</w:t>
            </w:r>
            <w:r>
              <w:rPr>
                <w:color w:val="231F1F"/>
                <w:spacing w:val="-2"/>
                <w:w w:val="105"/>
                <w:sz w:val="22"/>
              </w:rPr>
              <w:t> </w:t>
            </w:r>
            <w:r>
              <w:rPr>
                <w:color w:val="231F1F"/>
                <w:w w:val="105"/>
                <w:sz w:val="22"/>
              </w:rPr>
              <w:t>múscu- los</w:t>
            </w:r>
            <w:r>
              <w:rPr>
                <w:color w:val="231F1F"/>
                <w:w w:val="105"/>
                <w:sz w:val="22"/>
              </w:rPr>
              <w:t> perineales</w:t>
            </w:r>
            <w:r>
              <w:rPr>
                <w:color w:val="231F1F"/>
                <w:w w:val="105"/>
                <w:sz w:val="22"/>
              </w:rPr>
              <w:t> y</w:t>
            </w:r>
            <w:r>
              <w:rPr>
                <w:color w:val="231F1F"/>
                <w:w w:val="105"/>
                <w:sz w:val="22"/>
              </w:rPr>
              <w:t> piel)</w:t>
            </w:r>
            <w:r>
              <w:rPr>
                <w:color w:val="231F1F"/>
                <w:w w:val="105"/>
                <w:sz w:val="22"/>
              </w:rPr>
              <w:t> la</w:t>
            </w:r>
            <w:r>
              <w:rPr>
                <w:color w:val="231F1F"/>
                <w:w w:val="105"/>
                <w:sz w:val="22"/>
              </w:rPr>
              <w:t> reducción</w:t>
            </w:r>
            <w:r>
              <w:rPr>
                <w:color w:val="231F1F"/>
                <w:w w:val="105"/>
                <w:sz w:val="22"/>
              </w:rPr>
              <w:t> del</w:t>
            </w:r>
            <w:r>
              <w:rPr>
                <w:color w:val="231F1F"/>
                <w:w w:val="105"/>
                <w:sz w:val="22"/>
              </w:rPr>
              <w:t> dolor</w:t>
            </w:r>
            <w:r>
              <w:rPr>
                <w:color w:val="231F1F"/>
                <w:w w:val="105"/>
                <w:sz w:val="22"/>
              </w:rPr>
              <w:t> es</w:t>
            </w:r>
            <w:r>
              <w:rPr>
                <w:color w:val="231F1F"/>
                <w:w w:val="105"/>
                <w:sz w:val="22"/>
              </w:rPr>
              <w:t> mayor</w:t>
            </w:r>
            <w:r>
              <w:rPr>
                <w:color w:val="231F1F"/>
                <w:w w:val="105"/>
                <w:sz w:val="22"/>
              </w:rPr>
              <w:t> frente</w:t>
            </w:r>
            <w:r>
              <w:rPr>
                <w:color w:val="231F1F"/>
                <w:w w:val="105"/>
                <w:sz w:val="22"/>
              </w:rPr>
              <w:t> a</w:t>
            </w:r>
            <w:r>
              <w:rPr>
                <w:color w:val="231F1F"/>
                <w:w w:val="105"/>
                <w:sz w:val="22"/>
              </w:rPr>
              <w:t> la</w:t>
            </w:r>
            <w:r>
              <w:rPr>
                <w:color w:val="231F1F"/>
                <w:w w:val="105"/>
                <w:sz w:val="22"/>
              </w:rPr>
              <w:t> sutura continua en piel perineal solamente (165).</w:t>
            </w:r>
          </w:p>
          <w:p>
            <w:pPr>
              <w:pStyle w:val="TableParagraph"/>
              <w:spacing w:line="256" w:lineRule="auto" w:before="136"/>
              <w:ind w:right="138"/>
              <w:jc w:val="both"/>
              <w:rPr>
                <w:sz w:val="22"/>
              </w:rPr>
            </w:pPr>
            <w:r>
              <w:rPr>
                <w:color w:val="231F1F"/>
                <w:w w:val="105"/>
                <w:sz w:val="22"/>
              </w:rPr>
              <w:t>Sin embargo, un ensayo reciente no ha encontrado diferencias significativas entre</w:t>
            </w:r>
            <w:r>
              <w:rPr>
                <w:color w:val="231F1F"/>
                <w:w w:val="105"/>
                <w:sz w:val="22"/>
              </w:rPr>
              <w:t> la</w:t>
            </w:r>
            <w:r>
              <w:rPr>
                <w:color w:val="231F1F"/>
                <w:w w:val="105"/>
                <w:sz w:val="22"/>
              </w:rPr>
              <w:t> técnica</w:t>
            </w:r>
            <w:r>
              <w:rPr>
                <w:color w:val="231F1F"/>
                <w:w w:val="105"/>
                <w:sz w:val="22"/>
              </w:rPr>
              <w:t> de</w:t>
            </w:r>
            <w:r>
              <w:rPr>
                <w:color w:val="231F1F"/>
                <w:w w:val="105"/>
                <w:sz w:val="22"/>
              </w:rPr>
              <w:t> sutura</w:t>
            </w:r>
            <w:r>
              <w:rPr>
                <w:color w:val="231F1F"/>
                <w:w w:val="105"/>
                <w:sz w:val="22"/>
              </w:rPr>
              <w:t> discontinua</w:t>
            </w:r>
            <w:r>
              <w:rPr>
                <w:color w:val="231F1F"/>
                <w:w w:val="105"/>
                <w:sz w:val="22"/>
              </w:rPr>
              <w:t> y</w:t>
            </w:r>
            <w:r>
              <w:rPr>
                <w:color w:val="231F1F"/>
                <w:w w:val="105"/>
                <w:sz w:val="22"/>
              </w:rPr>
              <w:t> la</w:t>
            </w:r>
            <w:r>
              <w:rPr>
                <w:color w:val="231F1F"/>
                <w:w w:val="105"/>
                <w:sz w:val="22"/>
              </w:rPr>
              <w:t> sutura</w:t>
            </w:r>
            <w:r>
              <w:rPr>
                <w:color w:val="231F1F"/>
                <w:w w:val="105"/>
                <w:sz w:val="22"/>
              </w:rPr>
              <w:t> continua,</w:t>
            </w:r>
            <w:r>
              <w:rPr>
                <w:color w:val="231F1F"/>
                <w:w w:val="105"/>
                <w:sz w:val="22"/>
              </w:rPr>
              <w:t> en</w:t>
            </w:r>
            <w:r>
              <w:rPr>
                <w:color w:val="231F1F"/>
                <w:w w:val="105"/>
                <w:sz w:val="22"/>
              </w:rPr>
              <w:t> términos</w:t>
            </w:r>
            <w:r>
              <w:rPr>
                <w:color w:val="231F1F"/>
                <w:w w:val="105"/>
                <w:sz w:val="22"/>
              </w:rPr>
              <w:t> de dolor, necesidad de analgesia oral, satisfacción, número de resuturas y fre- cuencia de dispareunia (167).</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ind w:left="0"/>
              <w:rPr>
                <w:rFonts w:ascii="Arial MT"/>
                <w:sz w:val="22"/>
              </w:rPr>
            </w:pPr>
          </w:p>
          <w:p>
            <w:pPr>
              <w:pStyle w:val="TableParagraph"/>
              <w:spacing w:before="107"/>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81"/>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59" w:hRule="atLeast"/>
        </w:trPr>
        <w:tc>
          <w:tcPr>
            <w:tcW w:w="456" w:type="dxa"/>
          </w:tcPr>
          <w:p>
            <w:pPr>
              <w:pStyle w:val="TableParagraph"/>
              <w:spacing w:before="69"/>
              <w:ind w:left="0"/>
              <w:rPr>
                <w:rFonts w:ascii="Arial MT"/>
                <w:sz w:val="22"/>
              </w:rPr>
            </w:pPr>
          </w:p>
          <w:p>
            <w:pPr>
              <w:pStyle w:val="TableParagraph"/>
              <w:ind w:left="46" w:right="43"/>
              <w:jc w:val="center"/>
              <w:rPr>
                <w:sz w:val="22"/>
              </w:rPr>
            </w:pPr>
            <w:r>
              <w:rPr>
                <w:color w:val="231F1F"/>
                <w:spacing w:val="-10"/>
                <w:w w:val="115"/>
                <w:sz w:val="22"/>
              </w:rPr>
              <w:t>A</w:t>
            </w:r>
          </w:p>
        </w:tc>
        <w:tc>
          <w:tcPr>
            <w:tcW w:w="8050" w:type="dxa"/>
          </w:tcPr>
          <w:p>
            <w:pPr>
              <w:pStyle w:val="TableParagraph"/>
              <w:spacing w:line="244" w:lineRule="auto" w:before="44"/>
              <w:ind w:right="79"/>
              <w:jc w:val="both"/>
              <w:rPr>
                <w:sz w:val="22"/>
              </w:rPr>
            </w:pPr>
            <w:r>
              <w:rPr>
                <w:color w:val="231F1F"/>
                <w:w w:val="110"/>
                <w:sz w:val="22"/>
              </w:rPr>
              <w:t>Se recomienda realizar la sutura de los desgarros de primer grado con el fin de mejorar</w:t>
            </w:r>
            <w:r>
              <w:rPr>
                <w:color w:val="231F1F"/>
                <w:spacing w:val="-3"/>
                <w:w w:val="110"/>
                <w:sz w:val="22"/>
              </w:rPr>
              <w:t> </w:t>
            </w:r>
            <w:r>
              <w:rPr>
                <w:color w:val="231F1F"/>
                <w:w w:val="110"/>
                <w:sz w:val="22"/>
              </w:rPr>
              <w:t>la</w:t>
            </w:r>
            <w:r>
              <w:rPr>
                <w:color w:val="231F1F"/>
                <w:spacing w:val="-3"/>
                <w:w w:val="110"/>
                <w:sz w:val="22"/>
              </w:rPr>
              <w:t> </w:t>
            </w:r>
            <w:r>
              <w:rPr>
                <w:color w:val="231F1F"/>
                <w:w w:val="110"/>
                <w:sz w:val="22"/>
              </w:rPr>
              <w:t>curación,</w:t>
            </w:r>
            <w:r>
              <w:rPr>
                <w:color w:val="231F1F"/>
                <w:spacing w:val="-3"/>
                <w:w w:val="110"/>
                <w:sz w:val="22"/>
              </w:rPr>
              <w:t> </w:t>
            </w:r>
            <w:r>
              <w:rPr>
                <w:color w:val="231F1F"/>
                <w:w w:val="110"/>
                <w:sz w:val="22"/>
              </w:rPr>
              <w:t>a</w:t>
            </w:r>
            <w:r>
              <w:rPr>
                <w:color w:val="231F1F"/>
                <w:spacing w:val="-3"/>
                <w:w w:val="110"/>
                <w:sz w:val="22"/>
              </w:rPr>
              <w:t> </w:t>
            </w:r>
            <w:r>
              <w:rPr>
                <w:color w:val="231F1F"/>
                <w:w w:val="110"/>
                <w:sz w:val="22"/>
              </w:rPr>
              <w:t>menos</w:t>
            </w:r>
            <w:r>
              <w:rPr>
                <w:color w:val="231F1F"/>
                <w:spacing w:val="-3"/>
                <w:w w:val="110"/>
                <w:sz w:val="22"/>
              </w:rPr>
              <w:t> </w:t>
            </w:r>
            <w:r>
              <w:rPr>
                <w:color w:val="231F1F"/>
                <w:w w:val="110"/>
                <w:sz w:val="22"/>
              </w:rPr>
              <w:t>que</w:t>
            </w:r>
            <w:r>
              <w:rPr>
                <w:color w:val="231F1F"/>
                <w:spacing w:val="-3"/>
                <w:w w:val="110"/>
                <w:sz w:val="22"/>
              </w:rPr>
              <w:t> </w:t>
            </w:r>
            <w:r>
              <w:rPr>
                <w:color w:val="231F1F"/>
                <w:w w:val="110"/>
                <w:sz w:val="22"/>
              </w:rPr>
              <w:t>los</w:t>
            </w:r>
            <w:r>
              <w:rPr>
                <w:color w:val="231F1F"/>
                <w:spacing w:val="-3"/>
                <w:w w:val="110"/>
                <w:sz w:val="22"/>
              </w:rPr>
              <w:t> </w:t>
            </w:r>
            <w:r>
              <w:rPr>
                <w:color w:val="231F1F"/>
                <w:w w:val="110"/>
                <w:sz w:val="22"/>
              </w:rPr>
              <w:t>bordes</w:t>
            </w:r>
            <w:r>
              <w:rPr>
                <w:color w:val="231F1F"/>
                <w:spacing w:val="-3"/>
                <w:w w:val="110"/>
                <w:sz w:val="22"/>
              </w:rPr>
              <w:t> </w:t>
            </w:r>
            <w:r>
              <w:rPr>
                <w:color w:val="231F1F"/>
                <w:w w:val="110"/>
                <w:sz w:val="22"/>
              </w:rPr>
              <w:t>de</w:t>
            </w:r>
            <w:r>
              <w:rPr>
                <w:color w:val="231F1F"/>
                <w:spacing w:val="-3"/>
                <w:w w:val="110"/>
                <w:sz w:val="22"/>
              </w:rPr>
              <w:t> </w:t>
            </w:r>
            <w:r>
              <w:rPr>
                <w:color w:val="231F1F"/>
                <w:w w:val="110"/>
                <w:sz w:val="22"/>
              </w:rPr>
              <w:t>la</w:t>
            </w:r>
            <w:r>
              <w:rPr>
                <w:color w:val="231F1F"/>
                <w:spacing w:val="-3"/>
                <w:w w:val="110"/>
                <w:sz w:val="22"/>
              </w:rPr>
              <w:t> </w:t>
            </w:r>
            <w:r>
              <w:rPr>
                <w:color w:val="231F1F"/>
                <w:w w:val="110"/>
                <w:sz w:val="22"/>
              </w:rPr>
              <w:t>piel</w:t>
            </w:r>
            <w:r>
              <w:rPr>
                <w:color w:val="231F1F"/>
                <w:spacing w:val="-3"/>
                <w:w w:val="110"/>
                <w:sz w:val="22"/>
              </w:rPr>
              <w:t> </w:t>
            </w:r>
            <w:r>
              <w:rPr>
                <w:color w:val="231F1F"/>
                <w:w w:val="110"/>
                <w:sz w:val="22"/>
              </w:rPr>
              <w:t>se</w:t>
            </w:r>
            <w:r>
              <w:rPr>
                <w:color w:val="231F1F"/>
                <w:spacing w:val="-3"/>
                <w:w w:val="110"/>
                <w:sz w:val="22"/>
              </w:rPr>
              <w:t> </w:t>
            </w:r>
            <w:r>
              <w:rPr>
                <w:color w:val="231F1F"/>
                <w:w w:val="110"/>
                <w:sz w:val="22"/>
              </w:rPr>
              <w:t>encuentren</w:t>
            </w:r>
            <w:r>
              <w:rPr>
                <w:color w:val="231F1F"/>
                <w:spacing w:val="-3"/>
                <w:w w:val="110"/>
                <w:sz w:val="22"/>
              </w:rPr>
              <w:t> </w:t>
            </w:r>
            <w:r>
              <w:rPr>
                <w:color w:val="231F1F"/>
                <w:w w:val="110"/>
                <w:sz w:val="22"/>
              </w:rPr>
              <w:t>bien</w:t>
            </w:r>
            <w:r>
              <w:rPr>
                <w:color w:val="231F1F"/>
                <w:spacing w:val="-3"/>
                <w:w w:val="110"/>
                <w:sz w:val="22"/>
              </w:rPr>
              <w:t> </w:t>
            </w:r>
            <w:r>
              <w:rPr>
                <w:color w:val="231F1F"/>
                <w:w w:val="110"/>
                <w:sz w:val="22"/>
              </w:rPr>
              <w:t>aproxi- </w:t>
            </w:r>
            <w:r>
              <w:rPr>
                <w:color w:val="231F1F"/>
                <w:spacing w:val="-2"/>
                <w:w w:val="110"/>
                <w:sz w:val="22"/>
              </w:rPr>
              <w:t>mados.</w:t>
            </w:r>
          </w:p>
        </w:tc>
      </w:tr>
      <w:tr>
        <w:trPr>
          <w:trHeight w:val="685"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54" w:lineRule="auto" w:before="63"/>
              <w:ind w:right="181"/>
              <w:rPr>
                <w:sz w:val="22"/>
              </w:rPr>
            </w:pPr>
            <w:r>
              <w:rPr>
                <w:color w:val="231F1F"/>
                <w:sz w:val="22"/>
              </w:rPr>
              <w:t>Se</w:t>
            </w:r>
            <w:r>
              <w:rPr>
                <w:color w:val="231F1F"/>
                <w:spacing w:val="29"/>
                <w:sz w:val="22"/>
              </w:rPr>
              <w:t> </w:t>
            </w:r>
            <w:r>
              <w:rPr>
                <w:color w:val="231F1F"/>
                <w:sz w:val="22"/>
              </w:rPr>
              <w:t>recomienda</w:t>
            </w:r>
            <w:r>
              <w:rPr>
                <w:color w:val="231F1F"/>
                <w:spacing w:val="31"/>
                <w:sz w:val="22"/>
              </w:rPr>
              <w:t> </w:t>
            </w:r>
            <w:r>
              <w:rPr>
                <w:color w:val="231F1F"/>
                <w:sz w:val="22"/>
              </w:rPr>
              <w:t>la</w:t>
            </w:r>
            <w:r>
              <w:rPr>
                <w:color w:val="231F1F"/>
                <w:spacing w:val="29"/>
                <w:sz w:val="22"/>
              </w:rPr>
              <w:t> </w:t>
            </w:r>
            <w:r>
              <w:rPr>
                <w:color w:val="231F1F"/>
                <w:sz w:val="22"/>
              </w:rPr>
              <w:t>reparación</w:t>
            </w:r>
            <w:r>
              <w:rPr>
                <w:color w:val="231F1F"/>
                <w:spacing w:val="31"/>
                <w:sz w:val="22"/>
              </w:rPr>
              <w:t> </w:t>
            </w:r>
            <w:r>
              <w:rPr>
                <w:color w:val="231F1F"/>
                <w:sz w:val="22"/>
              </w:rPr>
              <w:t>perineal</w:t>
            </w:r>
            <w:r>
              <w:rPr>
                <w:color w:val="231F1F"/>
                <w:spacing w:val="29"/>
                <w:sz w:val="22"/>
              </w:rPr>
              <w:t> </w:t>
            </w:r>
            <w:r>
              <w:rPr>
                <w:color w:val="231F1F"/>
                <w:sz w:val="22"/>
              </w:rPr>
              <w:t>de</w:t>
            </w:r>
            <w:r>
              <w:rPr>
                <w:color w:val="231F1F"/>
                <w:spacing w:val="29"/>
                <w:sz w:val="22"/>
              </w:rPr>
              <w:t> </w:t>
            </w:r>
            <w:r>
              <w:rPr>
                <w:color w:val="231F1F"/>
                <w:sz w:val="22"/>
              </w:rPr>
              <w:t>los</w:t>
            </w:r>
            <w:r>
              <w:rPr>
                <w:color w:val="231F1F"/>
                <w:spacing w:val="29"/>
                <w:sz w:val="22"/>
              </w:rPr>
              <w:t> </w:t>
            </w:r>
            <w:r>
              <w:rPr>
                <w:color w:val="231F1F"/>
                <w:sz w:val="22"/>
              </w:rPr>
              <w:t>desgarros</w:t>
            </w:r>
            <w:r>
              <w:rPr>
                <w:color w:val="231F1F"/>
                <w:spacing w:val="29"/>
                <w:sz w:val="22"/>
              </w:rPr>
              <w:t> </w:t>
            </w:r>
            <w:r>
              <w:rPr>
                <w:color w:val="231F1F"/>
                <w:sz w:val="22"/>
              </w:rPr>
              <w:t>de</w:t>
            </w:r>
            <w:r>
              <w:rPr>
                <w:color w:val="231F1F"/>
                <w:spacing w:val="29"/>
                <w:sz w:val="22"/>
              </w:rPr>
              <w:t> </w:t>
            </w:r>
            <w:r>
              <w:rPr>
                <w:color w:val="231F1F"/>
                <w:sz w:val="22"/>
              </w:rPr>
              <w:t>segundo</w:t>
            </w:r>
            <w:r>
              <w:rPr>
                <w:color w:val="231F1F"/>
                <w:spacing w:val="29"/>
                <w:sz w:val="22"/>
              </w:rPr>
              <w:t> </w:t>
            </w:r>
            <w:r>
              <w:rPr>
                <w:color w:val="231F1F"/>
                <w:sz w:val="22"/>
              </w:rPr>
              <w:t>grado</w:t>
            </w:r>
            <w:r>
              <w:rPr>
                <w:color w:val="231F1F"/>
                <w:spacing w:val="29"/>
                <w:sz w:val="22"/>
              </w:rPr>
              <w:t> </w:t>
            </w:r>
            <w:r>
              <w:rPr>
                <w:color w:val="231F1F"/>
                <w:sz w:val="22"/>
              </w:rPr>
              <w:t>utilizando la</w:t>
            </w:r>
            <w:r>
              <w:rPr>
                <w:color w:val="231F1F"/>
                <w:spacing w:val="40"/>
                <w:sz w:val="22"/>
              </w:rPr>
              <w:t> </w:t>
            </w:r>
            <w:r>
              <w:rPr>
                <w:color w:val="231F1F"/>
                <w:sz w:val="22"/>
              </w:rPr>
              <w:t>técnica</w:t>
            </w:r>
            <w:r>
              <w:rPr>
                <w:color w:val="231F1F"/>
                <w:spacing w:val="40"/>
                <w:sz w:val="22"/>
              </w:rPr>
              <w:t> </w:t>
            </w:r>
            <w:r>
              <w:rPr>
                <w:color w:val="231F1F"/>
                <w:sz w:val="22"/>
              </w:rPr>
              <w:t>de</w:t>
            </w:r>
            <w:r>
              <w:rPr>
                <w:color w:val="231F1F"/>
                <w:spacing w:val="40"/>
                <w:sz w:val="22"/>
              </w:rPr>
              <w:t> </w:t>
            </w:r>
            <w:r>
              <w:rPr>
                <w:color w:val="231F1F"/>
                <w:sz w:val="22"/>
              </w:rPr>
              <w:t>sutura</w:t>
            </w:r>
            <w:r>
              <w:rPr>
                <w:color w:val="231F1F"/>
                <w:spacing w:val="40"/>
                <w:sz w:val="22"/>
              </w:rPr>
              <w:t> </w:t>
            </w:r>
            <w:r>
              <w:rPr>
                <w:color w:val="231F1F"/>
                <w:sz w:val="22"/>
              </w:rPr>
              <w:t>continua.</w:t>
            </w:r>
          </w:p>
        </w:tc>
      </w:tr>
      <w:tr>
        <w:trPr>
          <w:trHeight w:val="954" w:hRule="atLeast"/>
        </w:trPr>
        <w:tc>
          <w:tcPr>
            <w:tcW w:w="456" w:type="dxa"/>
          </w:tcPr>
          <w:p>
            <w:pPr>
              <w:pStyle w:val="TableParagraph"/>
              <w:spacing w:before="59"/>
              <w:ind w:left="0"/>
              <w:rPr>
                <w:rFonts w:ascii="Arial MT"/>
                <w:sz w:val="22"/>
              </w:rPr>
            </w:pPr>
          </w:p>
          <w:p>
            <w:pPr>
              <w:pStyle w:val="TableParagraph"/>
              <w:spacing w:before="1"/>
              <w:ind w:left="46" w:right="43"/>
              <w:jc w:val="center"/>
              <w:rPr>
                <w:sz w:val="22"/>
              </w:rPr>
            </w:pPr>
            <w:r>
              <w:rPr>
                <w:color w:val="231F1F"/>
                <w:spacing w:val="-10"/>
                <w:w w:val="115"/>
                <w:sz w:val="22"/>
              </w:rPr>
              <w:t>A</w:t>
            </w:r>
          </w:p>
        </w:tc>
        <w:tc>
          <w:tcPr>
            <w:tcW w:w="8050" w:type="dxa"/>
          </w:tcPr>
          <w:p>
            <w:pPr>
              <w:pStyle w:val="TableParagraph"/>
              <w:spacing w:line="247" w:lineRule="auto" w:before="44"/>
              <w:ind w:right="83"/>
              <w:jc w:val="both"/>
              <w:rPr>
                <w:sz w:val="22"/>
              </w:rPr>
            </w:pPr>
            <w:r>
              <w:rPr>
                <w:color w:val="231F1F"/>
                <w:w w:val="105"/>
                <w:sz w:val="22"/>
              </w:rPr>
              <w:t>Si después de la sutura muscular de un desgarro de segundo grado la piel está bien aproximada,</w:t>
            </w:r>
            <w:r>
              <w:rPr>
                <w:color w:val="231F1F"/>
                <w:spacing w:val="-1"/>
                <w:w w:val="105"/>
                <w:sz w:val="22"/>
              </w:rPr>
              <w:t> </w:t>
            </w:r>
            <w:r>
              <w:rPr>
                <w:color w:val="231F1F"/>
                <w:w w:val="105"/>
                <w:sz w:val="22"/>
              </w:rPr>
              <w:t>no</w:t>
            </w:r>
            <w:r>
              <w:rPr>
                <w:color w:val="231F1F"/>
                <w:spacing w:val="-1"/>
                <w:w w:val="105"/>
                <w:sz w:val="22"/>
              </w:rPr>
              <w:t> </w:t>
            </w:r>
            <w:r>
              <w:rPr>
                <w:color w:val="231F1F"/>
                <w:w w:val="105"/>
                <w:sz w:val="22"/>
              </w:rPr>
              <w:t>es</w:t>
            </w:r>
            <w:r>
              <w:rPr>
                <w:color w:val="231F1F"/>
                <w:spacing w:val="-1"/>
                <w:w w:val="105"/>
                <w:sz w:val="22"/>
              </w:rPr>
              <w:t> </w:t>
            </w:r>
            <w:r>
              <w:rPr>
                <w:color w:val="231F1F"/>
                <w:w w:val="105"/>
                <w:sz w:val="22"/>
              </w:rPr>
              <w:t>necesario</w:t>
            </w:r>
            <w:r>
              <w:rPr>
                <w:color w:val="231F1F"/>
                <w:spacing w:val="-2"/>
                <w:w w:val="105"/>
                <w:sz w:val="22"/>
              </w:rPr>
              <w:t> </w:t>
            </w:r>
            <w:r>
              <w:rPr>
                <w:color w:val="231F1F"/>
                <w:w w:val="105"/>
                <w:sz w:val="22"/>
              </w:rPr>
              <w:t>suturarla.</w:t>
            </w:r>
            <w:r>
              <w:rPr>
                <w:color w:val="231F1F"/>
                <w:spacing w:val="-2"/>
                <w:w w:val="105"/>
                <w:sz w:val="22"/>
              </w:rPr>
              <w:t> </w:t>
            </w:r>
            <w:r>
              <w:rPr>
                <w:color w:val="231F1F"/>
                <w:w w:val="105"/>
                <w:sz w:val="22"/>
              </w:rPr>
              <w:t>Si</w:t>
            </w:r>
            <w:r>
              <w:rPr>
                <w:color w:val="231F1F"/>
                <w:spacing w:val="-1"/>
                <w:w w:val="105"/>
                <w:sz w:val="22"/>
              </w:rPr>
              <w:t> </w:t>
            </w:r>
            <w:r>
              <w:rPr>
                <w:color w:val="231F1F"/>
                <w:w w:val="105"/>
                <w:sz w:val="22"/>
              </w:rPr>
              <w:t>la</w:t>
            </w:r>
            <w:r>
              <w:rPr>
                <w:color w:val="231F1F"/>
                <w:spacing w:val="-1"/>
                <w:w w:val="105"/>
                <w:sz w:val="22"/>
              </w:rPr>
              <w:t> </w:t>
            </w:r>
            <w:r>
              <w:rPr>
                <w:color w:val="231F1F"/>
                <w:w w:val="105"/>
                <w:sz w:val="22"/>
              </w:rPr>
              <w:t>piel</w:t>
            </w:r>
            <w:r>
              <w:rPr>
                <w:color w:val="231F1F"/>
                <w:spacing w:val="-1"/>
                <w:w w:val="105"/>
                <w:sz w:val="22"/>
              </w:rPr>
              <w:t> </w:t>
            </w:r>
            <w:r>
              <w:rPr>
                <w:color w:val="231F1F"/>
                <w:w w:val="105"/>
                <w:sz w:val="22"/>
              </w:rPr>
              <w:t>requiere</w:t>
            </w:r>
            <w:r>
              <w:rPr>
                <w:color w:val="231F1F"/>
                <w:spacing w:val="-1"/>
                <w:w w:val="105"/>
                <w:sz w:val="22"/>
              </w:rPr>
              <w:t> </w:t>
            </w:r>
            <w:r>
              <w:rPr>
                <w:color w:val="231F1F"/>
                <w:w w:val="105"/>
                <w:sz w:val="22"/>
              </w:rPr>
              <w:t>aproximación</w:t>
            </w:r>
            <w:r>
              <w:rPr>
                <w:color w:val="231F1F"/>
                <w:spacing w:val="-1"/>
                <w:w w:val="105"/>
                <w:sz w:val="22"/>
              </w:rPr>
              <w:t> </w:t>
            </w:r>
            <w:r>
              <w:rPr>
                <w:color w:val="231F1F"/>
                <w:w w:val="105"/>
                <w:sz w:val="22"/>
              </w:rPr>
              <w:t>se</w:t>
            </w:r>
            <w:r>
              <w:rPr>
                <w:color w:val="231F1F"/>
                <w:spacing w:val="-1"/>
                <w:w w:val="105"/>
                <w:sz w:val="22"/>
              </w:rPr>
              <w:t> </w:t>
            </w:r>
            <w:r>
              <w:rPr>
                <w:color w:val="231F1F"/>
                <w:w w:val="105"/>
                <w:sz w:val="22"/>
              </w:rPr>
              <w:t>recomien- da</w:t>
            </w:r>
            <w:r>
              <w:rPr>
                <w:color w:val="231F1F"/>
                <w:spacing w:val="40"/>
                <w:w w:val="105"/>
                <w:sz w:val="22"/>
              </w:rPr>
              <w:t> </w:t>
            </w:r>
            <w:r>
              <w:rPr>
                <w:color w:val="231F1F"/>
                <w:w w:val="105"/>
                <w:sz w:val="22"/>
              </w:rPr>
              <w:t>realizarla</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una</w:t>
            </w:r>
            <w:r>
              <w:rPr>
                <w:color w:val="231F1F"/>
                <w:spacing w:val="40"/>
                <w:w w:val="105"/>
                <w:sz w:val="22"/>
              </w:rPr>
              <w:t> </w:t>
            </w:r>
            <w:r>
              <w:rPr>
                <w:color w:val="231F1F"/>
                <w:w w:val="105"/>
                <w:sz w:val="22"/>
              </w:rPr>
              <w:t>técnica</w:t>
            </w:r>
            <w:r>
              <w:rPr>
                <w:color w:val="231F1F"/>
                <w:spacing w:val="40"/>
                <w:w w:val="105"/>
                <w:sz w:val="22"/>
              </w:rPr>
              <w:t> </w:t>
            </w:r>
            <w:r>
              <w:rPr>
                <w:color w:val="231F1F"/>
                <w:w w:val="105"/>
                <w:sz w:val="22"/>
              </w:rPr>
              <w:t>intradérmica</w:t>
            </w:r>
            <w:r>
              <w:rPr>
                <w:color w:val="231F1F"/>
                <w:spacing w:val="40"/>
                <w:w w:val="105"/>
                <w:sz w:val="22"/>
              </w:rPr>
              <w:t> </w:t>
            </w:r>
            <w:r>
              <w:rPr>
                <w:color w:val="231F1F"/>
                <w:w w:val="105"/>
                <w:sz w:val="22"/>
              </w:rPr>
              <w:t>continua.</w:t>
            </w:r>
          </w:p>
        </w:tc>
      </w:tr>
    </w:tbl>
    <w:p>
      <w:pPr>
        <w:pStyle w:val="TableParagraph"/>
        <w:spacing w:after="0" w:line="247" w:lineRule="auto"/>
        <w:jc w:val="both"/>
        <w:rPr>
          <w:sz w:val="22"/>
        </w:rPr>
        <w:sectPr>
          <w:pgSz w:w="11900" w:h="16840"/>
          <w:pgMar w:header="0" w:footer="622" w:top="164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10"/>
        </w:rPr>
        <w:t>Material</w:t>
      </w:r>
      <w:r>
        <w:rPr>
          <w:color w:val="231F1F"/>
          <w:spacing w:val="-20"/>
          <w:w w:val="110"/>
        </w:rPr>
        <w:t> </w:t>
      </w:r>
      <w:r>
        <w:rPr>
          <w:color w:val="231F1F"/>
          <w:w w:val="110"/>
        </w:rPr>
        <w:t>de</w:t>
      </w:r>
      <w:r>
        <w:rPr>
          <w:color w:val="231F1F"/>
          <w:spacing w:val="-18"/>
          <w:w w:val="110"/>
        </w:rPr>
        <w:t> </w:t>
      </w:r>
      <w:r>
        <w:rPr>
          <w:color w:val="231F1F"/>
          <w:w w:val="110"/>
        </w:rPr>
        <w:t>sutura</w:t>
      </w:r>
      <w:r>
        <w:rPr>
          <w:color w:val="231F1F"/>
          <w:spacing w:val="-17"/>
          <w:w w:val="110"/>
        </w:rPr>
        <w:t> </w:t>
      </w:r>
      <w:r>
        <w:rPr>
          <w:color w:val="231F1F"/>
          <w:w w:val="110"/>
        </w:rPr>
        <w:t>en</w:t>
      </w:r>
      <w:r>
        <w:rPr>
          <w:color w:val="231F1F"/>
          <w:spacing w:val="-18"/>
          <w:w w:val="110"/>
        </w:rPr>
        <w:t> </w:t>
      </w:r>
      <w:r>
        <w:rPr>
          <w:color w:val="231F1F"/>
          <w:w w:val="110"/>
        </w:rPr>
        <w:t>la</w:t>
      </w:r>
      <w:r>
        <w:rPr>
          <w:color w:val="231F1F"/>
          <w:spacing w:val="-18"/>
          <w:w w:val="110"/>
        </w:rPr>
        <w:t> </w:t>
      </w:r>
      <w:r>
        <w:rPr>
          <w:color w:val="231F1F"/>
          <w:w w:val="110"/>
        </w:rPr>
        <w:t>reparación</w:t>
      </w:r>
      <w:r>
        <w:rPr>
          <w:color w:val="231F1F"/>
          <w:spacing w:val="-17"/>
          <w:w w:val="110"/>
        </w:rPr>
        <w:t> </w:t>
      </w:r>
      <w:r>
        <w:rPr>
          <w:color w:val="231F1F"/>
          <w:spacing w:val="-2"/>
          <w:w w:val="110"/>
        </w:rPr>
        <w:t>perineal</w:t>
      </w:r>
    </w:p>
    <w:p>
      <w:pPr>
        <w:pStyle w:val="BodyText"/>
        <w:spacing w:before="20"/>
        <w:rPr>
          <w:sz w:val="20"/>
        </w:rPr>
      </w:pPr>
      <w:r>
        <w:rPr>
          <w:sz w:val="20"/>
        </w:rPr>
        <mc:AlternateContent>
          <mc:Choice Requires="wps">
            <w:drawing>
              <wp:anchor distT="0" distB="0" distL="0" distR="0" allowOverlap="1" layoutInCell="1" locked="0" behindDoc="1" simplePos="0" relativeHeight="487611392">
                <wp:simplePos x="0" y="0"/>
                <wp:positionH relativeFrom="page">
                  <wp:posOffset>1082675</wp:posOffset>
                </wp:positionH>
                <wp:positionV relativeFrom="paragraph">
                  <wp:posOffset>177184</wp:posOffset>
                </wp:positionV>
                <wp:extent cx="5400040" cy="70675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5400040" cy="706755"/>
                        </a:xfrm>
                        <a:prstGeom prst="rect">
                          <a:avLst/>
                        </a:prstGeom>
                        <a:ln w="6350">
                          <a:solidFill>
                            <a:srgbClr val="A30046"/>
                          </a:solidFill>
                          <a:prstDash val="solid"/>
                        </a:ln>
                      </wps:spPr>
                      <wps:txbx>
                        <w:txbxContent>
                          <w:p>
                            <w:pPr>
                              <w:pStyle w:val="BodyText"/>
                              <w:numPr>
                                <w:ilvl w:val="0"/>
                                <w:numId w:val="46"/>
                              </w:numPr>
                              <w:tabs>
                                <w:tab w:pos="323" w:val="left" w:leader="none"/>
                              </w:tabs>
                              <w:spacing w:line="240" w:lineRule="auto" w:before="46" w:after="0"/>
                              <w:ind w:left="323" w:right="194" w:hanging="220"/>
                              <w:jc w:val="left"/>
                            </w:pPr>
                            <w:r>
                              <w:rPr>
                                <w:color w:val="231F1F"/>
                                <w:w w:val="110"/>
                              </w:rPr>
                              <w:t>¿Cuál</w:t>
                            </w:r>
                            <w:r>
                              <w:rPr>
                                <w:color w:val="231F1F"/>
                                <w:spacing w:val="-15"/>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técnica</w:t>
                            </w:r>
                            <w:r>
                              <w:rPr>
                                <w:color w:val="231F1F"/>
                                <w:spacing w:val="-15"/>
                                <w:w w:val="110"/>
                              </w:rPr>
                              <w:t> </w:t>
                            </w:r>
                            <w:r>
                              <w:rPr>
                                <w:color w:val="231F1F"/>
                                <w:w w:val="110"/>
                              </w:rPr>
                              <w:t>de</w:t>
                            </w:r>
                            <w:r>
                              <w:rPr>
                                <w:color w:val="231F1F"/>
                                <w:spacing w:val="-15"/>
                                <w:w w:val="110"/>
                              </w:rPr>
                              <w:t> </w:t>
                            </w:r>
                            <w:r>
                              <w:rPr>
                                <w:color w:val="231F1F"/>
                                <w:w w:val="110"/>
                              </w:rPr>
                              <w:t>sutura</w:t>
                            </w:r>
                            <w:r>
                              <w:rPr>
                                <w:color w:val="231F1F"/>
                                <w:spacing w:val="-15"/>
                                <w:w w:val="110"/>
                              </w:rPr>
                              <w:t> </w:t>
                            </w:r>
                            <w:r>
                              <w:rPr>
                                <w:color w:val="231F1F"/>
                                <w:w w:val="110"/>
                              </w:rPr>
                              <w:t>más</w:t>
                            </w:r>
                            <w:r>
                              <w:rPr>
                                <w:color w:val="231F1F"/>
                                <w:spacing w:val="-15"/>
                                <w:w w:val="110"/>
                              </w:rPr>
                              <w:t> </w:t>
                            </w:r>
                            <w:r>
                              <w:rPr>
                                <w:color w:val="231F1F"/>
                                <w:w w:val="110"/>
                              </w:rPr>
                              <w:t>efectiva</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episiotomía</w:t>
                            </w:r>
                            <w:r>
                              <w:rPr>
                                <w:color w:val="231F1F"/>
                                <w:spacing w:val="-15"/>
                                <w:w w:val="110"/>
                              </w:rPr>
                              <w:t> </w:t>
                            </w:r>
                            <w:r>
                              <w:rPr>
                                <w:color w:val="231F1F"/>
                                <w:w w:val="110"/>
                              </w:rPr>
                              <w:t>y/o</w:t>
                            </w:r>
                            <w:r>
                              <w:rPr>
                                <w:color w:val="231F1F"/>
                                <w:spacing w:val="-15"/>
                                <w:w w:val="110"/>
                              </w:rPr>
                              <w:t> </w:t>
                            </w:r>
                            <w:r>
                              <w:rPr>
                                <w:color w:val="231F1F"/>
                                <w:w w:val="110"/>
                              </w:rPr>
                              <w:t>los</w:t>
                            </w:r>
                            <w:r>
                              <w:rPr>
                                <w:color w:val="231F1F"/>
                                <w:spacing w:val="-15"/>
                                <w:w w:val="110"/>
                              </w:rPr>
                              <w:t> </w:t>
                            </w:r>
                            <w:r>
                              <w:rPr>
                                <w:color w:val="231F1F"/>
                                <w:w w:val="110"/>
                              </w:rPr>
                              <w:t>desgarros</w:t>
                            </w:r>
                            <w:r>
                              <w:rPr>
                                <w:color w:val="231F1F"/>
                                <w:spacing w:val="-15"/>
                                <w:w w:val="110"/>
                              </w:rPr>
                              <w:t> </w:t>
                            </w:r>
                            <w:r>
                              <w:rPr>
                                <w:color w:val="231F1F"/>
                                <w:w w:val="110"/>
                              </w:rPr>
                              <w:t>peri- neales de I y II grado?</w:t>
                            </w:r>
                          </w:p>
                          <w:p>
                            <w:pPr>
                              <w:pStyle w:val="BodyText"/>
                              <w:numPr>
                                <w:ilvl w:val="0"/>
                                <w:numId w:val="46"/>
                              </w:numPr>
                              <w:tabs>
                                <w:tab w:pos="321" w:val="left" w:leader="none"/>
                              </w:tabs>
                              <w:spacing w:line="240" w:lineRule="auto" w:before="147" w:after="0"/>
                              <w:ind w:left="321" w:right="0" w:hanging="218"/>
                              <w:jc w:val="left"/>
                            </w:pPr>
                            <w:r>
                              <w:rPr>
                                <w:color w:val="231F1F"/>
                              </w:rPr>
                              <w:t>¿Cuál</w:t>
                            </w:r>
                            <w:r>
                              <w:rPr>
                                <w:color w:val="231F1F"/>
                                <w:spacing w:val="34"/>
                              </w:rPr>
                              <w:t> </w:t>
                            </w:r>
                            <w:r>
                              <w:rPr>
                                <w:color w:val="231F1F"/>
                              </w:rPr>
                              <w:t>es</w:t>
                            </w:r>
                            <w:r>
                              <w:rPr>
                                <w:color w:val="231F1F"/>
                                <w:spacing w:val="37"/>
                              </w:rPr>
                              <w:t> </w:t>
                            </w:r>
                            <w:r>
                              <w:rPr>
                                <w:color w:val="231F1F"/>
                              </w:rPr>
                              <w:t>el</w:t>
                            </w:r>
                            <w:r>
                              <w:rPr>
                                <w:color w:val="231F1F"/>
                                <w:spacing w:val="38"/>
                              </w:rPr>
                              <w:t> </w:t>
                            </w:r>
                            <w:r>
                              <w:rPr>
                                <w:color w:val="231F1F"/>
                              </w:rPr>
                              <w:t>material</w:t>
                            </w:r>
                            <w:r>
                              <w:rPr>
                                <w:color w:val="231F1F"/>
                                <w:spacing w:val="37"/>
                              </w:rPr>
                              <w:t> </w:t>
                            </w:r>
                            <w:r>
                              <w:rPr>
                                <w:color w:val="231F1F"/>
                              </w:rPr>
                              <w:t>sintético</w:t>
                            </w:r>
                            <w:r>
                              <w:rPr>
                                <w:color w:val="231F1F"/>
                                <w:spacing w:val="36"/>
                              </w:rPr>
                              <w:t> </w:t>
                            </w:r>
                            <w:r>
                              <w:rPr>
                                <w:color w:val="231F1F"/>
                              </w:rPr>
                              <w:t>más</w:t>
                            </w:r>
                            <w:r>
                              <w:rPr>
                                <w:color w:val="231F1F"/>
                                <w:spacing w:val="38"/>
                              </w:rPr>
                              <w:t> </w:t>
                            </w:r>
                            <w:r>
                              <w:rPr>
                                <w:color w:val="231F1F"/>
                              </w:rPr>
                              <w:t>adecuado</w:t>
                            </w:r>
                            <w:r>
                              <w:rPr>
                                <w:color w:val="231F1F"/>
                                <w:spacing w:val="35"/>
                              </w:rPr>
                              <w:t> </w:t>
                            </w:r>
                            <w:r>
                              <w:rPr>
                                <w:color w:val="231F1F"/>
                              </w:rPr>
                              <w:t>para</w:t>
                            </w:r>
                            <w:r>
                              <w:rPr>
                                <w:color w:val="231F1F"/>
                                <w:spacing w:val="37"/>
                              </w:rPr>
                              <w:t> </w:t>
                            </w:r>
                            <w:r>
                              <w:rPr>
                                <w:color w:val="231F1F"/>
                              </w:rPr>
                              <w:t>la</w:t>
                            </w:r>
                            <w:r>
                              <w:rPr>
                                <w:color w:val="231F1F"/>
                                <w:spacing w:val="38"/>
                              </w:rPr>
                              <w:t> </w:t>
                            </w:r>
                            <w:r>
                              <w:rPr>
                                <w:color w:val="231F1F"/>
                              </w:rPr>
                              <w:t>reparación</w:t>
                            </w:r>
                            <w:r>
                              <w:rPr>
                                <w:color w:val="231F1F"/>
                                <w:spacing w:val="37"/>
                              </w:rPr>
                              <w:t> </w:t>
                            </w:r>
                            <w:r>
                              <w:rPr>
                                <w:color w:val="231F1F"/>
                              </w:rPr>
                              <w:t>del</w:t>
                            </w:r>
                            <w:r>
                              <w:rPr>
                                <w:color w:val="231F1F"/>
                                <w:spacing w:val="34"/>
                              </w:rPr>
                              <w:t> </w:t>
                            </w:r>
                            <w:r>
                              <w:rPr>
                                <w:color w:val="231F1F"/>
                                <w:spacing w:val="-2"/>
                              </w:rPr>
                              <w:t>periné?</w:t>
                            </w:r>
                          </w:p>
                        </w:txbxContent>
                      </wps:txbx>
                      <wps:bodyPr wrap="square" lIns="0" tIns="0" rIns="0" bIns="0" rtlCol="0">
                        <a:noAutofit/>
                      </wps:bodyPr>
                    </wps:wsp>
                  </a:graphicData>
                </a:graphic>
              </wp:anchor>
            </w:drawing>
          </mc:Choice>
          <mc:Fallback>
            <w:pict>
              <v:shape style="position:absolute;margin-left:85.25pt;margin-top:13.951563pt;width:425.2pt;height:55.65pt;mso-position-horizontal-relative:page;mso-position-vertical-relative:paragraph;z-index:-15705088;mso-wrap-distance-left:0;mso-wrap-distance-right:0" type="#_x0000_t202" id="docshape85" filled="false" stroked="true" strokeweight=".5pt" strokecolor="#a30046">
                <v:textbox inset="0,0,0,0">
                  <w:txbxContent>
                    <w:p>
                      <w:pPr>
                        <w:pStyle w:val="BodyText"/>
                        <w:numPr>
                          <w:ilvl w:val="0"/>
                          <w:numId w:val="46"/>
                        </w:numPr>
                        <w:tabs>
                          <w:tab w:pos="323" w:val="left" w:leader="none"/>
                        </w:tabs>
                        <w:spacing w:line="240" w:lineRule="auto" w:before="46" w:after="0"/>
                        <w:ind w:left="323" w:right="194" w:hanging="220"/>
                        <w:jc w:val="left"/>
                      </w:pPr>
                      <w:r>
                        <w:rPr>
                          <w:color w:val="231F1F"/>
                          <w:w w:val="110"/>
                        </w:rPr>
                        <w:t>¿Cuál</w:t>
                      </w:r>
                      <w:r>
                        <w:rPr>
                          <w:color w:val="231F1F"/>
                          <w:spacing w:val="-15"/>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técnica</w:t>
                      </w:r>
                      <w:r>
                        <w:rPr>
                          <w:color w:val="231F1F"/>
                          <w:spacing w:val="-15"/>
                          <w:w w:val="110"/>
                        </w:rPr>
                        <w:t> </w:t>
                      </w:r>
                      <w:r>
                        <w:rPr>
                          <w:color w:val="231F1F"/>
                          <w:w w:val="110"/>
                        </w:rPr>
                        <w:t>de</w:t>
                      </w:r>
                      <w:r>
                        <w:rPr>
                          <w:color w:val="231F1F"/>
                          <w:spacing w:val="-15"/>
                          <w:w w:val="110"/>
                        </w:rPr>
                        <w:t> </w:t>
                      </w:r>
                      <w:r>
                        <w:rPr>
                          <w:color w:val="231F1F"/>
                          <w:w w:val="110"/>
                        </w:rPr>
                        <w:t>sutura</w:t>
                      </w:r>
                      <w:r>
                        <w:rPr>
                          <w:color w:val="231F1F"/>
                          <w:spacing w:val="-15"/>
                          <w:w w:val="110"/>
                        </w:rPr>
                        <w:t> </w:t>
                      </w:r>
                      <w:r>
                        <w:rPr>
                          <w:color w:val="231F1F"/>
                          <w:w w:val="110"/>
                        </w:rPr>
                        <w:t>más</w:t>
                      </w:r>
                      <w:r>
                        <w:rPr>
                          <w:color w:val="231F1F"/>
                          <w:spacing w:val="-15"/>
                          <w:w w:val="110"/>
                        </w:rPr>
                        <w:t> </w:t>
                      </w:r>
                      <w:r>
                        <w:rPr>
                          <w:color w:val="231F1F"/>
                          <w:w w:val="110"/>
                        </w:rPr>
                        <w:t>efectiva</w:t>
                      </w:r>
                      <w:r>
                        <w:rPr>
                          <w:color w:val="231F1F"/>
                          <w:spacing w:val="-15"/>
                          <w:w w:val="110"/>
                        </w:rPr>
                        <w:t> </w:t>
                      </w:r>
                      <w:r>
                        <w:rPr>
                          <w:color w:val="231F1F"/>
                          <w:w w:val="110"/>
                        </w:rPr>
                        <w:t>para</w:t>
                      </w:r>
                      <w:r>
                        <w:rPr>
                          <w:color w:val="231F1F"/>
                          <w:spacing w:val="-15"/>
                          <w:w w:val="110"/>
                        </w:rPr>
                        <w:t> </w:t>
                      </w:r>
                      <w:r>
                        <w:rPr>
                          <w:color w:val="231F1F"/>
                          <w:w w:val="110"/>
                        </w:rPr>
                        <w:t>la</w:t>
                      </w:r>
                      <w:r>
                        <w:rPr>
                          <w:color w:val="231F1F"/>
                          <w:spacing w:val="-15"/>
                          <w:w w:val="110"/>
                        </w:rPr>
                        <w:t> </w:t>
                      </w:r>
                      <w:r>
                        <w:rPr>
                          <w:color w:val="231F1F"/>
                          <w:w w:val="110"/>
                        </w:rPr>
                        <w:t>episiotomía</w:t>
                      </w:r>
                      <w:r>
                        <w:rPr>
                          <w:color w:val="231F1F"/>
                          <w:spacing w:val="-15"/>
                          <w:w w:val="110"/>
                        </w:rPr>
                        <w:t> </w:t>
                      </w:r>
                      <w:r>
                        <w:rPr>
                          <w:color w:val="231F1F"/>
                          <w:w w:val="110"/>
                        </w:rPr>
                        <w:t>y/o</w:t>
                      </w:r>
                      <w:r>
                        <w:rPr>
                          <w:color w:val="231F1F"/>
                          <w:spacing w:val="-15"/>
                          <w:w w:val="110"/>
                        </w:rPr>
                        <w:t> </w:t>
                      </w:r>
                      <w:r>
                        <w:rPr>
                          <w:color w:val="231F1F"/>
                          <w:w w:val="110"/>
                        </w:rPr>
                        <w:t>los</w:t>
                      </w:r>
                      <w:r>
                        <w:rPr>
                          <w:color w:val="231F1F"/>
                          <w:spacing w:val="-15"/>
                          <w:w w:val="110"/>
                        </w:rPr>
                        <w:t> </w:t>
                      </w:r>
                      <w:r>
                        <w:rPr>
                          <w:color w:val="231F1F"/>
                          <w:w w:val="110"/>
                        </w:rPr>
                        <w:t>desgarros</w:t>
                      </w:r>
                      <w:r>
                        <w:rPr>
                          <w:color w:val="231F1F"/>
                          <w:spacing w:val="-15"/>
                          <w:w w:val="110"/>
                        </w:rPr>
                        <w:t> </w:t>
                      </w:r>
                      <w:r>
                        <w:rPr>
                          <w:color w:val="231F1F"/>
                          <w:w w:val="110"/>
                        </w:rPr>
                        <w:t>peri- neales de I y II grado?</w:t>
                      </w:r>
                    </w:p>
                    <w:p>
                      <w:pPr>
                        <w:pStyle w:val="BodyText"/>
                        <w:numPr>
                          <w:ilvl w:val="0"/>
                          <w:numId w:val="46"/>
                        </w:numPr>
                        <w:tabs>
                          <w:tab w:pos="321" w:val="left" w:leader="none"/>
                        </w:tabs>
                        <w:spacing w:line="240" w:lineRule="auto" w:before="147" w:after="0"/>
                        <w:ind w:left="321" w:right="0" w:hanging="218"/>
                        <w:jc w:val="left"/>
                      </w:pPr>
                      <w:r>
                        <w:rPr>
                          <w:color w:val="231F1F"/>
                        </w:rPr>
                        <w:t>¿Cuál</w:t>
                      </w:r>
                      <w:r>
                        <w:rPr>
                          <w:color w:val="231F1F"/>
                          <w:spacing w:val="34"/>
                        </w:rPr>
                        <w:t> </w:t>
                      </w:r>
                      <w:r>
                        <w:rPr>
                          <w:color w:val="231F1F"/>
                        </w:rPr>
                        <w:t>es</w:t>
                      </w:r>
                      <w:r>
                        <w:rPr>
                          <w:color w:val="231F1F"/>
                          <w:spacing w:val="37"/>
                        </w:rPr>
                        <w:t> </w:t>
                      </w:r>
                      <w:r>
                        <w:rPr>
                          <w:color w:val="231F1F"/>
                        </w:rPr>
                        <w:t>el</w:t>
                      </w:r>
                      <w:r>
                        <w:rPr>
                          <w:color w:val="231F1F"/>
                          <w:spacing w:val="38"/>
                        </w:rPr>
                        <w:t> </w:t>
                      </w:r>
                      <w:r>
                        <w:rPr>
                          <w:color w:val="231F1F"/>
                        </w:rPr>
                        <w:t>material</w:t>
                      </w:r>
                      <w:r>
                        <w:rPr>
                          <w:color w:val="231F1F"/>
                          <w:spacing w:val="37"/>
                        </w:rPr>
                        <w:t> </w:t>
                      </w:r>
                      <w:r>
                        <w:rPr>
                          <w:color w:val="231F1F"/>
                        </w:rPr>
                        <w:t>sintético</w:t>
                      </w:r>
                      <w:r>
                        <w:rPr>
                          <w:color w:val="231F1F"/>
                          <w:spacing w:val="36"/>
                        </w:rPr>
                        <w:t> </w:t>
                      </w:r>
                      <w:r>
                        <w:rPr>
                          <w:color w:val="231F1F"/>
                        </w:rPr>
                        <w:t>más</w:t>
                      </w:r>
                      <w:r>
                        <w:rPr>
                          <w:color w:val="231F1F"/>
                          <w:spacing w:val="38"/>
                        </w:rPr>
                        <w:t> </w:t>
                      </w:r>
                      <w:r>
                        <w:rPr>
                          <w:color w:val="231F1F"/>
                        </w:rPr>
                        <w:t>adecuado</w:t>
                      </w:r>
                      <w:r>
                        <w:rPr>
                          <w:color w:val="231F1F"/>
                          <w:spacing w:val="35"/>
                        </w:rPr>
                        <w:t> </w:t>
                      </w:r>
                      <w:r>
                        <w:rPr>
                          <w:color w:val="231F1F"/>
                        </w:rPr>
                        <w:t>para</w:t>
                      </w:r>
                      <w:r>
                        <w:rPr>
                          <w:color w:val="231F1F"/>
                          <w:spacing w:val="37"/>
                        </w:rPr>
                        <w:t> </w:t>
                      </w:r>
                      <w:r>
                        <w:rPr>
                          <w:color w:val="231F1F"/>
                        </w:rPr>
                        <w:t>la</w:t>
                      </w:r>
                      <w:r>
                        <w:rPr>
                          <w:color w:val="231F1F"/>
                          <w:spacing w:val="38"/>
                        </w:rPr>
                        <w:t> </w:t>
                      </w:r>
                      <w:r>
                        <w:rPr>
                          <w:color w:val="231F1F"/>
                        </w:rPr>
                        <w:t>reparación</w:t>
                      </w:r>
                      <w:r>
                        <w:rPr>
                          <w:color w:val="231F1F"/>
                          <w:spacing w:val="37"/>
                        </w:rPr>
                        <w:t> </w:t>
                      </w:r>
                      <w:r>
                        <w:rPr>
                          <w:color w:val="231F1F"/>
                        </w:rPr>
                        <w:t>del</w:t>
                      </w:r>
                      <w:r>
                        <w:rPr>
                          <w:color w:val="231F1F"/>
                          <w:spacing w:val="34"/>
                        </w:rPr>
                        <w:t> </w:t>
                      </w:r>
                      <w:r>
                        <w:rPr>
                          <w:color w:val="231F1F"/>
                          <w:spacing w:val="-2"/>
                        </w:rPr>
                        <w:t>periné?</w:t>
                      </w:r>
                    </w:p>
                  </w:txbxContent>
                </v:textbox>
                <v:stroke dashstyle="solid"/>
                <w10:wrap type="topAndBottom"/>
              </v:shape>
            </w:pict>
          </mc:Fallback>
        </mc:AlternateContent>
      </w:r>
    </w:p>
    <w:p>
      <w:pPr>
        <w:pStyle w:val="BodyText"/>
        <w:spacing w:line="244" w:lineRule="auto" w:before="263"/>
        <w:ind w:left="282" w:right="122"/>
        <w:jc w:val="both"/>
      </w:pPr>
      <w:r>
        <w:rPr>
          <w:color w:val="231F1F"/>
          <w:w w:val="110"/>
        </w:rPr>
        <w:t>El</w:t>
      </w:r>
      <w:r>
        <w:rPr>
          <w:color w:val="231F1F"/>
          <w:spacing w:val="-13"/>
          <w:w w:val="110"/>
        </w:rPr>
        <w:t> </w:t>
      </w:r>
      <w:r>
        <w:rPr>
          <w:color w:val="231F1F"/>
          <w:w w:val="110"/>
        </w:rPr>
        <w:t>tipo</w:t>
      </w:r>
      <w:r>
        <w:rPr>
          <w:color w:val="231F1F"/>
          <w:spacing w:val="-13"/>
          <w:w w:val="110"/>
        </w:rPr>
        <w:t> </w:t>
      </w:r>
      <w:r>
        <w:rPr>
          <w:color w:val="231F1F"/>
          <w:w w:val="110"/>
        </w:rPr>
        <w:t>de</w:t>
      </w:r>
      <w:r>
        <w:rPr>
          <w:color w:val="231F1F"/>
          <w:spacing w:val="-13"/>
          <w:w w:val="110"/>
        </w:rPr>
        <w:t> </w:t>
      </w:r>
      <w:r>
        <w:rPr>
          <w:color w:val="231F1F"/>
          <w:w w:val="110"/>
        </w:rPr>
        <w:t>material</w:t>
      </w:r>
      <w:r>
        <w:rPr>
          <w:color w:val="231F1F"/>
          <w:spacing w:val="-13"/>
          <w:w w:val="110"/>
        </w:rPr>
        <w:t> </w:t>
      </w:r>
      <w:r>
        <w:rPr>
          <w:color w:val="231F1F"/>
          <w:w w:val="110"/>
        </w:rPr>
        <w:t>de</w:t>
      </w:r>
      <w:r>
        <w:rPr>
          <w:color w:val="231F1F"/>
          <w:spacing w:val="-13"/>
          <w:w w:val="110"/>
        </w:rPr>
        <w:t> </w:t>
      </w:r>
      <w:r>
        <w:rPr>
          <w:color w:val="231F1F"/>
          <w:w w:val="110"/>
        </w:rPr>
        <w:t>sutura</w:t>
      </w:r>
      <w:r>
        <w:rPr>
          <w:color w:val="231F1F"/>
          <w:spacing w:val="-13"/>
          <w:w w:val="110"/>
        </w:rPr>
        <w:t> </w:t>
      </w:r>
      <w:r>
        <w:rPr>
          <w:color w:val="231F1F"/>
          <w:w w:val="110"/>
        </w:rPr>
        <w:t>utilizado</w:t>
      </w:r>
      <w:r>
        <w:rPr>
          <w:color w:val="231F1F"/>
          <w:spacing w:val="-13"/>
          <w:w w:val="110"/>
        </w:rPr>
        <w:t> </w:t>
      </w:r>
      <w:r>
        <w:rPr>
          <w:color w:val="231F1F"/>
          <w:w w:val="110"/>
        </w:rPr>
        <w:t>para</w:t>
      </w:r>
      <w:r>
        <w:rPr>
          <w:color w:val="231F1F"/>
          <w:spacing w:val="-13"/>
          <w:w w:val="110"/>
        </w:rPr>
        <w:t> </w:t>
      </w:r>
      <w:r>
        <w:rPr>
          <w:color w:val="231F1F"/>
          <w:w w:val="110"/>
        </w:rPr>
        <w:t>la</w:t>
      </w:r>
      <w:r>
        <w:rPr>
          <w:color w:val="231F1F"/>
          <w:spacing w:val="-13"/>
          <w:w w:val="110"/>
        </w:rPr>
        <w:t> </w:t>
      </w:r>
      <w:r>
        <w:rPr>
          <w:color w:val="231F1F"/>
          <w:w w:val="110"/>
        </w:rPr>
        <w:t>reparación</w:t>
      </w:r>
      <w:r>
        <w:rPr>
          <w:color w:val="231F1F"/>
          <w:spacing w:val="-13"/>
          <w:w w:val="110"/>
        </w:rPr>
        <w:t> </w:t>
      </w:r>
      <w:r>
        <w:rPr>
          <w:color w:val="231F1F"/>
          <w:w w:val="110"/>
        </w:rPr>
        <w:t>perineal</w:t>
      </w:r>
      <w:r>
        <w:rPr>
          <w:color w:val="231F1F"/>
          <w:spacing w:val="-14"/>
          <w:w w:val="110"/>
        </w:rPr>
        <w:t> </w:t>
      </w:r>
      <w:r>
        <w:rPr>
          <w:color w:val="231F1F"/>
          <w:w w:val="110"/>
        </w:rPr>
        <w:t>después</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3"/>
          <w:w w:val="110"/>
        </w:rPr>
        <w:t> </w:t>
      </w:r>
      <w:r>
        <w:rPr>
          <w:color w:val="231F1F"/>
          <w:w w:val="110"/>
        </w:rPr>
        <w:t>puede tener</w:t>
      </w:r>
      <w:r>
        <w:rPr>
          <w:color w:val="231F1F"/>
          <w:spacing w:val="-16"/>
          <w:w w:val="110"/>
        </w:rPr>
        <w:t> </w:t>
      </w:r>
      <w:r>
        <w:rPr>
          <w:color w:val="231F1F"/>
          <w:w w:val="110"/>
        </w:rPr>
        <w:t>efecto</w:t>
      </w:r>
      <w:r>
        <w:rPr>
          <w:color w:val="231F1F"/>
          <w:spacing w:val="-15"/>
          <w:w w:val="110"/>
        </w:rPr>
        <w:t> </w:t>
      </w:r>
      <w:r>
        <w:rPr>
          <w:color w:val="231F1F"/>
          <w:w w:val="110"/>
        </w:rPr>
        <w:t>sobre</w:t>
      </w:r>
      <w:r>
        <w:rPr>
          <w:color w:val="231F1F"/>
          <w:spacing w:val="-15"/>
          <w:w w:val="110"/>
        </w:rPr>
        <w:t> </w:t>
      </w:r>
      <w:r>
        <w:rPr>
          <w:color w:val="231F1F"/>
          <w:w w:val="110"/>
        </w:rPr>
        <w:t>la</w:t>
      </w:r>
      <w:r>
        <w:rPr>
          <w:color w:val="231F1F"/>
          <w:spacing w:val="-15"/>
          <w:w w:val="110"/>
        </w:rPr>
        <w:t> </w:t>
      </w:r>
      <w:r>
        <w:rPr>
          <w:color w:val="231F1F"/>
          <w:w w:val="110"/>
        </w:rPr>
        <w:t>magnitud</w:t>
      </w:r>
      <w:r>
        <w:rPr>
          <w:color w:val="231F1F"/>
          <w:spacing w:val="-15"/>
          <w:w w:val="110"/>
        </w:rPr>
        <w:t> </w:t>
      </w:r>
      <w:r>
        <w:rPr>
          <w:color w:val="231F1F"/>
          <w:w w:val="110"/>
        </w:rPr>
        <w:t>del</w:t>
      </w:r>
      <w:r>
        <w:rPr>
          <w:color w:val="231F1F"/>
          <w:spacing w:val="-15"/>
          <w:w w:val="110"/>
        </w:rPr>
        <w:t> </w:t>
      </w:r>
      <w:r>
        <w:rPr>
          <w:color w:val="231F1F"/>
          <w:w w:val="110"/>
        </w:rPr>
        <w:t>dolor</w:t>
      </w:r>
      <w:r>
        <w:rPr>
          <w:color w:val="231F1F"/>
          <w:spacing w:val="-15"/>
          <w:w w:val="110"/>
        </w:rPr>
        <w:t> </w:t>
      </w:r>
      <w:r>
        <w:rPr>
          <w:color w:val="231F1F"/>
          <w:w w:val="110"/>
        </w:rPr>
        <w:t>y</w:t>
      </w:r>
      <w:r>
        <w:rPr>
          <w:color w:val="231F1F"/>
          <w:spacing w:val="-15"/>
          <w:w w:val="110"/>
        </w:rPr>
        <w:t> </w:t>
      </w:r>
      <w:r>
        <w:rPr>
          <w:color w:val="231F1F"/>
          <w:w w:val="110"/>
        </w:rPr>
        <w:t>de</w:t>
      </w:r>
      <w:r>
        <w:rPr>
          <w:color w:val="231F1F"/>
          <w:spacing w:val="-16"/>
          <w:w w:val="110"/>
        </w:rPr>
        <w:t> </w:t>
      </w:r>
      <w:r>
        <w:rPr>
          <w:color w:val="231F1F"/>
          <w:w w:val="110"/>
        </w:rPr>
        <w:t>la</w:t>
      </w:r>
      <w:r>
        <w:rPr>
          <w:color w:val="231F1F"/>
          <w:spacing w:val="-15"/>
          <w:w w:val="110"/>
        </w:rPr>
        <w:t> </w:t>
      </w:r>
      <w:r>
        <w:rPr>
          <w:color w:val="231F1F"/>
          <w:w w:val="110"/>
        </w:rPr>
        <w:t>dispareunia</w:t>
      </w:r>
      <w:r>
        <w:rPr>
          <w:color w:val="231F1F"/>
          <w:spacing w:val="-15"/>
          <w:w w:val="110"/>
        </w:rPr>
        <w:t> </w:t>
      </w:r>
      <w:r>
        <w:rPr>
          <w:color w:val="231F1F"/>
          <w:w w:val="110"/>
        </w:rPr>
        <w:t>superficial</w:t>
      </w:r>
      <w:r>
        <w:rPr>
          <w:color w:val="231F1F"/>
          <w:spacing w:val="-15"/>
          <w:w w:val="110"/>
        </w:rPr>
        <w:t> </w:t>
      </w:r>
      <w:r>
        <w:rPr>
          <w:color w:val="231F1F"/>
          <w:w w:val="110"/>
        </w:rPr>
        <w:t>experimentada</w:t>
      </w:r>
      <w:r>
        <w:rPr>
          <w:color w:val="231F1F"/>
          <w:spacing w:val="-15"/>
          <w:w w:val="110"/>
        </w:rPr>
        <w:t> </w:t>
      </w:r>
      <w:r>
        <w:rPr>
          <w:color w:val="231F1F"/>
          <w:w w:val="110"/>
        </w:rPr>
        <w:t>por las mujeres, tanto a corto como a largo plazo.</w:t>
      </w:r>
    </w:p>
    <w:p>
      <w:pPr>
        <w:pStyle w:val="BodyText"/>
        <w:spacing w:before="167"/>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64" w:lineRule="auto" w:before="224"/>
        <w:ind w:left="283" w:right="1371"/>
        <w:jc w:val="both"/>
      </w:pPr>
      <w:r>
        <w:rPr>
          <w:color w:val="231F1F"/>
        </w:rPr>
        <w:t>La</w:t>
      </w:r>
      <w:r>
        <w:rPr>
          <w:color w:val="231F1F"/>
          <w:spacing w:val="31"/>
        </w:rPr>
        <w:t> </w:t>
      </w:r>
      <w:r>
        <w:rPr>
          <w:color w:val="231F1F"/>
        </w:rPr>
        <w:t>NICE</w:t>
      </w:r>
      <w:r>
        <w:rPr>
          <w:color w:val="231F1F"/>
          <w:spacing w:val="31"/>
        </w:rPr>
        <w:t> </w:t>
      </w:r>
      <w:r>
        <w:rPr>
          <w:color w:val="231F1F"/>
        </w:rPr>
        <w:t>(10)</w:t>
      </w:r>
      <w:r>
        <w:rPr>
          <w:color w:val="231F1F"/>
          <w:spacing w:val="32"/>
        </w:rPr>
        <w:t> </w:t>
      </w:r>
      <w:r>
        <w:rPr>
          <w:color w:val="231F1F"/>
        </w:rPr>
        <w:t>aborda</w:t>
      </w:r>
      <w:r>
        <w:rPr>
          <w:color w:val="231F1F"/>
          <w:spacing w:val="32"/>
        </w:rPr>
        <w:t> </w:t>
      </w:r>
      <w:r>
        <w:rPr>
          <w:color w:val="231F1F"/>
        </w:rPr>
        <w:t>la</w:t>
      </w:r>
      <w:r>
        <w:rPr>
          <w:color w:val="231F1F"/>
          <w:spacing w:val="32"/>
        </w:rPr>
        <w:t> </w:t>
      </w:r>
      <w:r>
        <w:rPr>
          <w:color w:val="231F1F"/>
        </w:rPr>
        <w:t>pregunta</w:t>
      </w:r>
      <w:r>
        <w:rPr>
          <w:color w:val="231F1F"/>
          <w:spacing w:val="31"/>
        </w:rPr>
        <w:t> </w:t>
      </w:r>
      <w:r>
        <w:rPr>
          <w:color w:val="231F1F"/>
        </w:rPr>
        <w:t>de</w:t>
      </w:r>
      <w:r>
        <w:rPr>
          <w:color w:val="231F1F"/>
          <w:spacing w:val="32"/>
        </w:rPr>
        <w:t> </w:t>
      </w:r>
      <w:r>
        <w:rPr>
          <w:color w:val="231F1F"/>
        </w:rPr>
        <w:t>reparación</w:t>
      </w:r>
      <w:r>
        <w:rPr>
          <w:color w:val="231F1F"/>
          <w:spacing w:val="32"/>
        </w:rPr>
        <w:t> </w:t>
      </w:r>
      <w:r>
        <w:rPr>
          <w:color w:val="231F1F"/>
        </w:rPr>
        <w:t>del</w:t>
      </w:r>
      <w:r>
        <w:rPr>
          <w:color w:val="231F1F"/>
          <w:spacing w:val="31"/>
        </w:rPr>
        <w:t> </w:t>
      </w:r>
      <w:r>
        <w:rPr>
          <w:color w:val="231F1F"/>
        </w:rPr>
        <w:t>periné</w:t>
      </w:r>
      <w:r>
        <w:rPr>
          <w:color w:val="231F1F"/>
          <w:spacing w:val="31"/>
        </w:rPr>
        <w:t> </w:t>
      </w:r>
      <w:r>
        <w:rPr>
          <w:color w:val="231F1F"/>
        </w:rPr>
        <w:t>incluyendo</w:t>
      </w:r>
      <w:r>
        <w:rPr>
          <w:color w:val="231F1F"/>
          <w:spacing w:val="32"/>
        </w:rPr>
        <w:t> </w:t>
      </w:r>
      <w:r>
        <w:rPr>
          <w:color w:val="231F1F"/>
        </w:rPr>
        <w:t>un</w:t>
      </w:r>
      <w:r>
        <w:rPr>
          <w:color w:val="231F1F"/>
          <w:spacing w:val="32"/>
        </w:rPr>
        <w:t> </w:t>
      </w:r>
      <w:r>
        <w:rPr>
          <w:color w:val="231F1F"/>
        </w:rPr>
        <w:t>total de 4 estudios con un NE=1+: una RS (168), dos ECAs (169;170) que comparan los efectos del material de sutura sintético absorbible, y retirado del mercado hoy en día, con </w:t>
      </w:r>
      <w:r>
        <w:rPr>
          <w:i/>
          <w:color w:val="231F1F"/>
        </w:rPr>
        <w:t>catgut</w:t>
      </w:r>
      <w:r>
        <w:rPr>
          <w:color w:val="231F1F"/>
        </w:rPr>
        <w:t>, material no sintético absorbible elaborado con colágeno, y un último ECA (161) realizado en Reino Unido en el que se compara el material de sutura</w:t>
      </w:r>
      <w:r>
        <w:rPr>
          <w:color w:val="231F1F"/>
          <w:spacing w:val="40"/>
        </w:rPr>
        <w:t> </w:t>
      </w:r>
      <w:r>
        <w:rPr>
          <w:color w:val="231F1F"/>
        </w:rPr>
        <w:t>sintético</w:t>
      </w:r>
      <w:r>
        <w:rPr>
          <w:color w:val="231F1F"/>
          <w:spacing w:val="40"/>
        </w:rPr>
        <w:t> </w:t>
      </w:r>
      <w:r>
        <w:rPr>
          <w:color w:val="231F1F"/>
        </w:rPr>
        <w:t>de</w:t>
      </w:r>
      <w:r>
        <w:rPr>
          <w:color w:val="231F1F"/>
          <w:spacing w:val="40"/>
        </w:rPr>
        <w:t> </w:t>
      </w:r>
      <w:r>
        <w:rPr>
          <w:color w:val="231F1F"/>
        </w:rPr>
        <w:t>absorción</w:t>
      </w:r>
      <w:r>
        <w:rPr>
          <w:color w:val="231F1F"/>
          <w:spacing w:val="40"/>
        </w:rPr>
        <w:t> </w:t>
      </w:r>
      <w:r>
        <w:rPr>
          <w:color w:val="231F1F"/>
        </w:rPr>
        <w:t>rápida</w:t>
      </w:r>
      <w:r>
        <w:rPr>
          <w:color w:val="231F1F"/>
          <w:spacing w:val="40"/>
        </w:rPr>
        <w:t> </w:t>
      </w:r>
      <w:r>
        <w:rPr>
          <w:color w:val="231F1F"/>
        </w:rPr>
        <w:t>con</w:t>
      </w:r>
      <w:r>
        <w:rPr>
          <w:color w:val="231F1F"/>
          <w:spacing w:val="40"/>
        </w:rPr>
        <w:t> </w:t>
      </w:r>
      <w:r>
        <w:rPr>
          <w:color w:val="231F1F"/>
        </w:rPr>
        <w:t>material</w:t>
      </w:r>
      <w:r>
        <w:rPr>
          <w:color w:val="231F1F"/>
          <w:spacing w:val="40"/>
        </w:rPr>
        <w:t> </w:t>
      </w:r>
      <w:r>
        <w:rPr>
          <w:color w:val="231F1F"/>
        </w:rPr>
        <w:t>de</w:t>
      </w:r>
      <w:r>
        <w:rPr>
          <w:color w:val="231F1F"/>
          <w:spacing w:val="40"/>
        </w:rPr>
        <w:t> </w:t>
      </w:r>
      <w:r>
        <w:rPr>
          <w:color w:val="231F1F"/>
        </w:rPr>
        <w:t>sutura</w:t>
      </w:r>
      <w:r>
        <w:rPr>
          <w:color w:val="231F1F"/>
          <w:spacing w:val="40"/>
        </w:rPr>
        <w:t> </w:t>
      </w:r>
      <w:r>
        <w:rPr>
          <w:color w:val="231F1F"/>
        </w:rPr>
        <w:t>sintético</w:t>
      </w:r>
      <w:r>
        <w:rPr>
          <w:color w:val="231F1F"/>
          <w:spacing w:val="40"/>
        </w:rPr>
        <w:t> </w:t>
      </w:r>
      <w:r>
        <w:rPr>
          <w:color w:val="231F1F"/>
        </w:rPr>
        <w:t>estándar.</w:t>
      </w:r>
    </w:p>
    <w:p>
      <w:pPr>
        <w:spacing w:line="247" w:lineRule="auto" w:before="111"/>
        <w:ind w:left="283" w:right="1364" w:firstLine="453"/>
        <w:jc w:val="both"/>
        <w:rPr>
          <w:sz w:val="22"/>
        </w:rPr>
      </w:pPr>
      <w:r>
        <w:rPr>
          <w:color w:val="231F1F"/>
          <w:w w:val="105"/>
          <w:sz w:val="22"/>
        </w:rPr>
        <w:t>La RS más actual (168) comparaba la </w:t>
      </w:r>
      <w:r>
        <w:rPr>
          <w:i/>
          <w:color w:val="231F1F"/>
          <w:w w:val="105"/>
          <w:sz w:val="22"/>
        </w:rPr>
        <w:t>sutura sintética absorbible (ácido poliglicólico, Dexon® y poligalactina, Vicryl®) con catgut simple o crómico, sutura</w:t>
      </w:r>
      <w:r>
        <w:rPr>
          <w:i/>
          <w:color w:val="231F1F"/>
          <w:spacing w:val="-15"/>
          <w:w w:val="105"/>
          <w:sz w:val="22"/>
        </w:rPr>
        <w:t> </w:t>
      </w:r>
      <w:r>
        <w:rPr>
          <w:i/>
          <w:color w:val="231F1F"/>
          <w:w w:val="105"/>
          <w:sz w:val="22"/>
        </w:rPr>
        <w:t>no</w:t>
      </w:r>
      <w:r>
        <w:rPr>
          <w:i/>
          <w:color w:val="231F1F"/>
          <w:spacing w:val="-14"/>
          <w:w w:val="105"/>
          <w:sz w:val="22"/>
        </w:rPr>
        <w:t> </w:t>
      </w:r>
      <w:r>
        <w:rPr>
          <w:i/>
          <w:color w:val="231F1F"/>
          <w:w w:val="105"/>
          <w:sz w:val="22"/>
        </w:rPr>
        <w:t>sintética</w:t>
      </w:r>
      <w:r>
        <w:rPr>
          <w:i/>
          <w:color w:val="231F1F"/>
          <w:spacing w:val="-15"/>
          <w:w w:val="105"/>
          <w:sz w:val="22"/>
        </w:rPr>
        <w:t> </w:t>
      </w:r>
      <w:r>
        <w:rPr>
          <w:i/>
          <w:color w:val="231F1F"/>
          <w:w w:val="105"/>
          <w:sz w:val="22"/>
        </w:rPr>
        <w:t>absorbible</w:t>
      </w:r>
      <w:r>
        <w:rPr>
          <w:color w:val="231F1F"/>
          <w:w w:val="105"/>
          <w:sz w:val="22"/>
        </w:rPr>
        <w:t>,</w:t>
      </w:r>
      <w:r>
        <w:rPr>
          <w:color w:val="231F1F"/>
          <w:spacing w:val="-14"/>
          <w:w w:val="105"/>
          <w:sz w:val="22"/>
        </w:rPr>
        <w:t> </w:t>
      </w:r>
      <w:r>
        <w:rPr>
          <w:color w:val="231F1F"/>
          <w:w w:val="105"/>
          <w:sz w:val="22"/>
        </w:rPr>
        <w:t>en</w:t>
      </w:r>
      <w:r>
        <w:rPr>
          <w:color w:val="231F1F"/>
          <w:spacing w:val="-15"/>
          <w:w w:val="105"/>
          <w:sz w:val="22"/>
        </w:rPr>
        <w:t> </w:t>
      </w:r>
      <w:r>
        <w:rPr>
          <w:color w:val="231F1F"/>
          <w:w w:val="105"/>
          <w:sz w:val="22"/>
        </w:rPr>
        <w:t>la</w:t>
      </w:r>
      <w:r>
        <w:rPr>
          <w:color w:val="231F1F"/>
          <w:spacing w:val="-14"/>
          <w:w w:val="105"/>
          <w:sz w:val="22"/>
        </w:rPr>
        <w:t> </w:t>
      </w:r>
      <w:r>
        <w:rPr>
          <w:color w:val="231F1F"/>
          <w:w w:val="105"/>
          <w:sz w:val="22"/>
        </w:rPr>
        <w:t>reparación</w:t>
      </w:r>
      <w:r>
        <w:rPr>
          <w:color w:val="231F1F"/>
          <w:spacing w:val="-14"/>
          <w:w w:val="105"/>
          <w:sz w:val="22"/>
        </w:rPr>
        <w:t> </w:t>
      </w:r>
      <w:r>
        <w:rPr>
          <w:color w:val="231F1F"/>
          <w:w w:val="105"/>
          <w:sz w:val="22"/>
        </w:rPr>
        <w:t>perineal,</w:t>
      </w:r>
      <w:r>
        <w:rPr>
          <w:color w:val="231F1F"/>
          <w:spacing w:val="-9"/>
          <w:w w:val="105"/>
          <w:sz w:val="22"/>
        </w:rPr>
        <w:t> </w:t>
      </w:r>
      <w:r>
        <w:rPr>
          <w:color w:val="231F1F"/>
          <w:w w:val="105"/>
          <w:sz w:val="22"/>
        </w:rPr>
        <w:t>analizando</w:t>
      </w:r>
      <w:r>
        <w:rPr>
          <w:color w:val="231F1F"/>
          <w:spacing w:val="-9"/>
          <w:w w:val="105"/>
          <w:sz w:val="22"/>
        </w:rPr>
        <w:t> </w:t>
      </w:r>
      <w:r>
        <w:rPr>
          <w:color w:val="231F1F"/>
          <w:w w:val="105"/>
          <w:sz w:val="22"/>
        </w:rPr>
        <w:t>la</w:t>
      </w:r>
      <w:r>
        <w:rPr>
          <w:color w:val="231F1F"/>
          <w:spacing w:val="-10"/>
          <w:w w:val="105"/>
          <w:sz w:val="22"/>
        </w:rPr>
        <w:t> </w:t>
      </w:r>
      <w:r>
        <w:rPr>
          <w:color w:val="231F1F"/>
          <w:w w:val="105"/>
          <w:sz w:val="22"/>
        </w:rPr>
        <w:t>duración del dolor a corto y largo plazo. La revisión incluyó 8 estudios con un total de 3.642 mujeres. En cada uno de los ocho estudios la técnica de sutura fue idén- tica para los dos grupos del estudio, sin embargo cada estudio utilizó diferen- tes técnicas de sutura.</w:t>
      </w:r>
    </w:p>
    <w:p>
      <w:pPr>
        <w:pStyle w:val="BodyText"/>
        <w:tabs>
          <w:tab w:pos="7688" w:val="left" w:leader="none"/>
          <w:tab w:pos="7899" w:val="left" w:leader="none"/>
          <w:tab w:pos="8114" w:val="left" w:leader="none"/>
        </w:tabs>
        <w:spacing w:line="244" w:lineRule="auto" w:before="77"/>
        <w:ind w:left="283" w:right="374" w:firstLine="453"/>
        <w:rPr>
          <w:rFonts w:ascii="Arial MT" w:hAnsi="Arial MT"/>
          <w:position w:val="8"/>
          <w:sz w:val="18"/>
        </w:rPr>
      </w:pPr>
      <w:r>
        <w:rPr>
          <w:color w:val="231F1F"/>
        </w:rPr>
        <w:t>Las mujeres en el grupo de material sintético absorbible presentaron</w:t>
        <w:tab/>
      </w:r>
      <w:r>
        <w:rPr>
          <w:rFonts w:ascii="Arial MT" w:hAnsi="Arial MT"/>
          <w:color w:val="231F1F"/>
          <w:sz w:val="18"/>
        </w:rPr>
        <w:t>RS-MA</w:t>
      </w:r>
      <w:r>
        <w:rPr>
          <w:rFonts w:ascii="Arial MT" w:hAnsi="Arial MT"/>
          <w:color w:val="231F1F"/>
          <w:spacing w:val="-9"/>
          <w:sz w:val="18"/>
        </w:rPr>
        <w:t> </w:t>
      </w:r>
      <w:r>
        <w:rPr>
          <w:rFonts w:ascii="Arial MT" w:hAnsi="Arial MT"/>
          <w:color w:val="231F1F"/>
          <w:sz w:val="18"/>
        </w:rPr>
        <w:t>de </w:t>
      </w:r>
      <w:r>
        <w:rPr>
          <w:color w:val="231F1F"/>
          <w:w w:val="105"/>
        </w:rPr>
        <w:t>menor dolor a corto plazo que las del otro grupo: Primeros 3 días (8 estudios):</w:t>
      </w:r>
      <w:r>
        <w:rPr>
          <w:color w:val="231F1F"/>
        </w:rPr>
        <w:tab/>
        <w:tab/>
      </w:r>
      <w:r>
        <w:rPr>
          <w:rFonts w:ascii="Arial MT" w:hAnsi="Arial MT"/>
          <w:color w:val="231F1F"/>
          <w:spacing w:val="-4"/>
          <w:w w:val="105"/>
          <w:position w:val="4"/>
          <w:sz w:val="18"/>
        </w:rPr>
        <w:t>ECAs </w:t>
      </w:r>
      <w:r>
        <w:rPr>
          <w:color w:val="231F1F"/>
          <w:w w:val="105"/>
        </w:rPr>
        <w:t>OR 0,62 [IC 95% 0,54 a 0,71]; entre 4-10 días (3 estudios): OR 0,71 [IC 95%</w:t>
      </w:r>
      <w:r>
        <w:rPr>
          <w:color w:val="231F1F"/>
        </w:rPr>
        <w:tab/>
        <w:tab/>
        <w:tab/>
      </w:r>
      <w:r>
        <w:rPr>
          <w:rFonts w:ascii="Arial MT" w:hAnsi="Arial MT"/>
          <w:color w:val="231F1F"/>
          <w:spacing w:val="-6"/>
          <w:w w:val="105"/>
          <w:position w:val="8"/>
          <w:sz w:val="18"/>
        </w:rPr>
        <w:t>1+</w:t>
      </w:r>
    </w:p>
    <w:p>
      <w:pPr>
        <w:pStyle w:val="BodyText"/>
        <w:spacing w:before="9"/>
        <w:ind w:left="283" w:right="1448"/>
        <w:jc w:val="both"/>
      </w:pPr>
      <w:r>
        <w:rPr>
          <w:color w:val="231F1F"/>
          <w:w w:val="105"/>
        </w:rPr>
        <w:t>0,58 a 0,87]. Así como, una menor necesidad de analgesia (5 estudios): OR 0,63 [IC 95% 0,52 a 0,77]; menor</w:t>
      </w:r>
      <w:r>
        <w:rPr>
          <w:color w:val="231F1F"/>
          <w:spacing w:val="-1"/>
          <w:w w:val="105"/>
        </w:rPr>
        <w:t> </w:t>
      </w:r>
      <w:r>
        <w:rPr>
          <w:color w:val="231F1F"/>
          <w:w w:val="105"/>
        </w:rPr>
        <w:t>dehiscencia de sutura a los 10 días (5 estu-</w:t>
      </w:r>
    </w:p>
    <w:p>
      <w:pPr>
        <w:pStyle w:val="BodyText"/>
        <w:spacing w:before="13"/>
        <w:ind w:left="283"/>
        <w:jc w:val="both"/>
      </w:pPr>
      <w:r>
        <w:rPr>
          <w:color w:val="231F1F"/>
          <w:w w:val="110"/>
        </w:rPr>
        <w:t>dios):</w:t>
      </w:r>
      <w:r>
        <w:rPr>
          <w:color w:val="231F1F"/>
          <w:spacing w:val="-11"/>
          <w:w w:val="110"/>
        </w:rPr>
        <w:t> </w:t>
      </w:r>
      <w:r>
        <w:rPr>
          <w:color w:val="231F1F"/>
          <w:w w:val="110"/>
        </w:rPr>
        <w:t>OR</w:t>
      </w:r>
      <w:r>
        <w:rPr>
          <w:color w:val="231F1F"/>
          <w:spacing w:val="-11"/>
          <w:w w:val="110"/>
        </w:rPr>
        <w:t> </w:t>
      </w:r>
      <w:r>
        <w:rPr>
          <w:color w:val="231F1F"/>
          <w:w w:val="110"/>
        </w:rPr>
        <w:t>0,45</w:t>
      </w:r>
      <w:r>
        <w:rPr>
          <w:color w:val="231F1F"/>
          <w:spacing w:val="-10"/>
          <w:w w:val="110"/>
        </w:rPr>
        <w:t> </w:t>
      </w:r>
      <w:r>
        <w:rPr>
          <w:color w:val="231F1F"/>
          <w:w w:val="110"/>
        </w:rPr>
        <w:t>[IC</w:t>
      </w:r>
      <w:r>
        <w:rPr>
          <w:color w:val="231F1F"/>
          <w:spacing w:val="-11"/>
          <w:w w:val="110"/>
        </w:rPr>
        <w:t> </w:t>
      </w:r>
      <w:r>
        <w:rPr>
          <w:color w:val="231F1F"/>
          <w:w w:val="110"/>
        </w:rPr>
        <w:t>95%</w:t>
      </w:r>
      <w:r>
        <w:rPr>
          <w:color w:val="231F1F"/>
          <w:spacing w:val="-9"/>
          <w:w w:val="110"/>
        </w:rPr>
        <w:t> </w:t>
      </w:r>
      <w:r>
        <w:rPr>
          <w:color w:val="231F1F"/>
          <w:w w:val="110"/>
        </w:rPr>
        <w:t>0,29</w:t>
      </w:r>
      <w:r>
        <w:rPr>
          <w:color w:val="231F1F"/>
          <w:spacing w:val="-10"/>
          <w:w w:val="110"/>
        </w:rPr>
        <w:t> </w:t>
      </w:r>
      <w:r>
        <w:rPr>
          <w:color w:val="231F1F"/>
          <w:w w:val="110"/>
        </w:rPr>
        <w:t>a</w:t>
      </w:r>
      <w:r>
        <w:rPr>
          <w:color w:val="231F1F"/>
          <w:spacing w:val="-9"/>
          <w:w w:val="110"/>
        </w:rPr>
        <w:t> </w:t>
      </w:r>
      <w:r>
        <w:rPr>
          <w:color w:val="231F1F"/>
          <w:w w:val="110"/>
        </w:rPr>
        <w:t>0,70]</w:t>
      </w:r>
      <w:r>
        <w:rPr>
          <w:color w:val="231F1F"/>
          <w:spacing w:val="-11"/>
          <w:w w:val="110"/>
        </w:rPr>
        <w:t> </w:t>
      </w:r>
      <w:r>
        <w:rPr>
          <w:color w:val="231F1F"/>
          <w:w w:val="110"/>
        </w:rPr>
        <w:t>y</w:t>
      </w:r>
      <w:r>
        <w:rPr>
          <w:color w:val="231F1F"/>
          <w:spacing w:val="-10"/>
          <w:w w:val="110"/>
        </w:rPr>
        <w:t> </w:t>
      </w:r>
      <w:r>
        <w:rPr>
          <w:color w:val="231F1F"/>
          <w:w w:val="110"/>
        </w:rPr>
        <w:t>menor</w:t>
      </w:r>
      <w:r>
        <w:rPr>
          <w:color w:val="231F1F"/>
          <w:spacing w:val="-11"/>
          <w:w w:val="110"/>
        </w:rPr>
        <w:t> </w:t>
      </w:r>
      <w:r>
        <w:rPr>
          <w:color w:val="231F1F"/>
          <w:w w:val="110"/>
        </w:rPr>
        <w:t>necesidad</w:t>
      </w:r>
      <w:r>
        <w:rPr>
          <w:color w:val="231F1F"/>
          <w:spacing w:val="-11"/>
          <w:w w:val="110"/>
        </w:rPr>
        <w:t> </w:t>
      </w:r>
      <w:r>
        <w:rPr>
          <w:color w:val="231F1F"/>
          <w:w w:val="110"/>
        </w:rPr>
        <w:t>de</w:t>
      </w:r>
      <w:r>
        <w:rPr>
          <w:color w:val="231F1F"/>
          <w:spacing w:val="-10"/>
          <w:w w:val="110"/>
        </w:rPr>
        <w:t> </w:t>
      </w:r>
      <w:r>
        <w:rPr>
          <w:color w:val="231F1F"/>
          <w:w w:val="110"/>
        </w:rPr>
        <w:t>re-sutura</w:t>
      </w:r>
      <w:r>
        <w:rPr>
          <w:color w:val="231F1F"/>
          <w:spacing w:val="-9"/>
          <w:w w:val="110"/>
        </w:rPr>
        <w:t> </w:t>
      </w:r>
      <w:r>
        <w:rPr>
          <w:color w:val="231F1F"/>
          <w:w w:val="110"/>
        </w:rPr>
        <w:t>a</w:t>
      </w:r>
      <w:r>
        <w:rPr>
          <w:color w:val="231F1F"/>
          <w:spacing w:val="-11"/>
          <w:w w:val="110"/>
        </w:rPr>
        <w:t> </w:t>
      </w:r>
      <w:r>
        <w:rPr>
          <w:color w:val="231F1F"/>
          <w:w w:val="110"/>
        </w:rPr>
        <w:t>los</w:t>
      </w:r>
      <w:r>
        <w:rPr>
          <w:color w:val="231F1F"/>
          <w:spacing w:val="-10"/>
          <w:w w:val="110"/>
        </w:rPr>
        <w:t> 3</w:t>
      </w:r>
    </w:p>
    <w:p>
      <w:pPr>
        <w:pStyle w:val="BodyText"/>
        <w:spacing w:line="244" w:lineRule="auto" w:before="15"/>
        <w:ind w:left="283" w:right="1364"/>
        <w:jc w:val="both"/>
      </w:pPr>
      <w:r>
        <w:rPr>
          <w:color w:val="231F1F"/>
          <w:w w:val="105"/>
        </w:rPr>
        <w:t>meses (4 estudios): OR 0,26 [IC 95% 0,10 a 0,66]. Por otro lado, la retirada</w:t>
      </w:r>
      <w:r>
        <w:rPr>
          <w:color w:val="231F1F"/>
          <w:spacing w:val="80"/>
          <w:w w:val="105"/>
        </w:rPr>
        <w:t> </w:t>
      </w:r>
      <w:r>
        <w:rPr>
          <w:color w:val="231F1F"/>
          <w:w w:val="105"/>
        </w:rPr>
        <w:t>de material de sutura a los 3 meses fue más frecuente en el grupo con material sintético absorbible (2 ensayos): OR 2,81 [IC 95% 1,56 a 2,58].</w:t>
      </w:r>
      <w:r>
        <w:rPr>
          <w:color w:val="231F1F"/>
          <w:spacing w:val="-1"/>
          <w:w w:val="105"/>
        </w:rPr>
        <w:t> </w:t>
      </w:r>
      <w:r>
        <w:rPr>
          <w:color w:val="231F1F"/>
          <w:w w:val="105"/>
        </w:rPr>
        <w:t>En relación al dolor a largo plazo no existieron diferencias entre los grupos (2 ensayos): OR 0,81 [IC 95% 0,61 a 1,08].</w:t>
      </w:r>
    </w:p>
    <w:p>
      <w:pPr>
        <w:spacing w:before="59"/>
        <w:ind w:left="283" w:right="1386" w:firstLine="453"/>
        <w:jc w:val="left"/>
        <w:rPr>
          <w:sz w:val="22"/>
        </w:rPr>
      </w:pPr>
      <w:r>
        <w:rPr>
          <w:color w:val="231F1F"/>
          <w:w w:val="105"/>
          <w:sz w:val="22"/>
        </w:rPr>
        <w:t>El</w:t>
      </w:r>
      <w:r>
        <w:rPr>
          <w:color w:val="231F1F"/>
          <w:spacing w:val="-5"/>
          <w:w w:val="105"/>
          <w:sz w:val="22"/>
        </w:rPr>
        <w:t> </w:t>
      </w:r>
      <w:r>
        <w:rPr>
          <w:color w:val="231F1F"/>
          <w:w w:val="105"/>
          <w:sz w:val="22"/>
        </w:rPr>
        <w:t>estudio</w:t>
      </w:r>
      <w:r>
        <w:rPr>
          <w:color w:val="231F1F"/>
          <w:spacing w:val="-4"/>
          <w:w w:val="105"/>
          <w:sz w:val="22"/>
        </w:rPr>
        <w:t> </w:t>
      </w:r>
      <w:r>
        <w:rPr>
          <w:color w:val="231F1F"/>
          <w:w w:val="105"/>
          <w:sz w:val="22"/>
        </w:rPr>
        <w:t>australiano</w:t>
      </w:r>
      <w:r>
        <w:rPr>
          <w:color w:val="231F1F"/>
          <w:spacing w:val="-4"/>
          <w:w w:val="105"/>
          <w:sz w:val="22"/>
        </w:rPr>
        <w:t> </w:t>
      </w:r>
      <w:r>
        <w:rPr>
          <w:color w:val="231F1F"/>
          <w:w w:val="105"/>
          <w:sz w:val="22"/>
        </w:rPr>
        <w:t>del</w:t>
      </w:r>
      <w:r>
        <w:rPr>
          <w:color w:val="231F1F"/>
          <w:spacing w:val="-5"/>
          <w:w w:val="105"/>
          <w:sz w:val="22"/>
        </w:rPr>
        <w:t> </w:t>
      </w:r>
      <w:r>
        <w:rPr>
          <w:color w:val="231F1F"/>
          <w:w w:val="105"/>
          <w:sz w:val="22"/>
        </w:rPr>
        <w:t>año</w:t>
      </w:r>
      <w:r>
        <w:rPr>
          <w:color w:val="231F1F"/>
          <w:spacing w:val="-4"/>
          <w:w w:val="105"/>
          <w:sz w:val="22"/>
        </w:rPr>
        <w:t> </w:t>
      </w:r>
      <w:r>
        <w:rPr>
          <w:color w:val="231F1F"/>
          <w:w w:val="105"/>
          <w:sz w:val="22"/>
        </w:rPr>
        <w:t>2002</w:t>
      </w:r>
      <w:r>
        <w:rPr>
          <w:color w:val="231F1F"/>
          <w:spacing w:val="-4"/>
          <w:w w:val="105"/>
          <w:sz w:val="22"/>
        </w:rPr>
        <w:t> </w:t>
      </w:r>
      <w:r>
        <w:rPr>
          <w:color w:val="231F1F"/>
          <w:w w:val="105"/>
          <w:sz w:val="22"/>
        </w:rPr>
        <w:t>(169),</w:t>
      </w:r>
      <w:r>
        <w:rPr>
          <w:color w:val="231F1F"/>
          <w:spacing w:val="-4"/>
          <w:w w:val="105"/>
          <w:sz w:val="22"/>
        </w:rPr>
        <w:t> </w:t>
      </w:r>
      <w:r>
        <w:rPr>
          <w:color w:val="231F1F"/>
          <w:w w:val="105"/>
          <w:sz w:val="22"/>
        </w:rPr>
        <w:t>realizó</w:t>
      </w:r>
      <w:r>
        <w:rPr>
          <w:color w:val="231F1F"/>
          <w:spacing w:val="-4"/>
          <w:w w:val="105"/>
          <w:sz w:val="22"/>
        </w:rPr>
        <w:t> </w:t>
      </w:r>
      <w:r>
        <w:rPr>
          <w:color w:val="231F1F"/>
          <w:w w:val="105"/>
          <w:sz w:val="22"/>
        </w:rPr>
        <w:t>una</w:t>
      </w:r>
      <w:r>
        <w:rPr>
          <w:color w:val="231F1F"/>
          <w:spacing w:val="-4"/>
          <w:w w:val="105"/>
          <w:sz w:val="22"/>
        </w:rPr>
        <w:t> </w:t>
      </w:r>
      <w:r>
        <w:rPr>
          <w:color w:val="231F1F"/>
          <w:w w:val="105"/>
          <w:sz w:val="22"/>
        </w:rPr>
        <w:t>comparación</w:t>
      </w:r>
      <w:r>
        <w:rPr>
          <w:color w:val="231F1F"/>
          <w:spacing w:val="-4"/>
          <w:w w:val="105"/>
          <w:sz w:val="22"/>
        </w:rPr>
        <w:t> </w:t>
      </w:r>
      <w:r>
        <w:rPr>
          <w:color w:val="231F1F"/>
          <w:w w:val="105"/>
          <w:sz w:val="22"/>
        </w:rPr>
        <w:t>entre la </w:t>
      </w:r>
      <w:r>
        <w:rPr>
          <w:i/>
          <w:color w:val="231F1F"/>
          <w:w w:val="105"/>
          <w:sz w:val="22"/>
        </w:rPr>
        <w:t>sutura con poligalactina </w:t>
      </w:r>
      <w:r>
        <w:rPr>
          <w:color w:val="231F1F"/>
          <w:w w:val="105"/>
          <w:sz w:val="22"/>
        </w:rPr>
        <w:t>(Vicryl®) (n=194) y </w:t>
      </w:r>
      <w:r>
        <w:rPr>
          <w:i/>
          <w:color w:val="231F1F"/>
          <w:w w:val="105"/>
          <w:sz w:val="22"/>
        </w:rPr>
        <w:t>catgut crómico </w:t>
      </w:r>
      <w:r>
        <w:rPr>
          <w:color w:val="231F1F"/>
          <w:w w:val="105"/>
          <w:sz w:val="22"/>
        </w:rPr>
        <w:t>(n=197).</w:t>
      </w:r>
    </w:p>
    <w:p>
      <w:pPr>
        <w:pStyle w:val="BodyText"/>
        <w:tabs>
          <w:tab w:pos="8036" w:val="left" w:leader="none"/>
          <w:tab w:pos="8114" w:val="left" w:leader="none"/>
        </w:tabs>
        <w:spacing w:line="252" w:lineRule="auto" w:before="109"/>
        <w:ind w:left="283" w:right="524" w:firstLine="453"/>
      </w:pPr>
      <w:r>
        <w:rPr>
          <w:color w:val="231F1F"/>
          <w:w w:val="105"/>
        </w:rPr>
        <w:t>No se encontraron diferencias significativas para el dolor a corto plazo</w:t>
      </w:r>
      <w:r>
        <w:rPr>
          <w:color w:val="231F1F"/>
        </w:rPr>
        <w:tab/>
      </w:r>
      <w:r>
        <w:rPr>
          <w:rFonts w:ascii="Arial MT" w:hAnsi="Arial MT"/>
          <w:color w:val="231F1F"/>
          <w:spacing w:val="-12"/>
          <w:w w:val="105"/>
          <w:sz w:val="18"/>
        </w:rPr>
        <w:t>ECA </w:t>
      </w:r>
      <w:r>
        <w:rPr>
          <w:color w:val="231F1F"/>
          <w:w w:val="105"/>
        </w:rPr>
        <w:t>entre los dos grupos, aunque existía una tendencia a presentar menor dolor</w:t>
      </w:r>
      <w:r>
        <w:rPr>
          <w:color w:val="231F1F"/>
        </w:rPr>
        <w:tab/>
        <w:tab/>
      </w:r>
      <w:r>
        <w:rPr>
          <w:rFonts w:ascii="Arial MT" w:hAnsi="Arial MT"/>
          <w:color w:val="231F1F"/>
          <w:spacing w:val="-6"/>
          <w:w w:val="105"/>
          <w:position w:val="4"/>
          <w:sz w:val="18"/>
        </w:rPr>
        <w:t>1+ </w:t>
      </w:r>
      <w:r>
        <w:rPr>
          <w:color w:val="231F1F"/>
          <w:w w:val="105"/>
        </w:rPr>
        <w:t>en mujeres con sutura de poligalactina: 1er día: OR 0,64 [IC 95% 0,39 a 1,06];</w:t>
      </w:r>
    </w:p>
    <w:p>
      <w:pPr>
        <w:pStyle w:val="BodyText"/>
        <w:spacing w:line="244" w:lineRule="auto"/>
        <w:ind w:left="283" w:right="1367"/>
        <w:jc w:val="both"/>
      </w:pPr>
      <w:r>
        <w:rPr>
          <w:color w:val="231F1F"/>
          <w:w w:val="105"/>
        </w:rPr>
        <w:t>a los 3 días: OR 0,70 [IC 95% 0,46 a 1,08]. Tampoco se encontró ninguna di- </w:t>
      </w:r>
      <w:r>
        <w:rPr>
          <w:color w:val="231F1F"/>
          <w:spacing w:val="-2"/>
          <w:w w:val="105"/>
        </w:rPr>
        <w:t>ferencia</w:t>
      </w:r>
      <w:r>
        <w:rPr>
          <w:color w:val="231F1F"/>
          <w:spacing w:val="-8"/>
          <w:w w:val="105"/>
        </w:rPr>
        <w:t> </w:t>
      </w:r>
      <w:r>
        <w:rPr>
          <w:color w:val="231F1F"/>
          <w:spacing w:val="-2"/>
          <w:w w:val="105"/>
        </w:rPr>
        <w:t>significativa</w:t>
      </w:r>
      <w:r>
        <w:rPr>
          <w:color w:val="231F1F"/>
          <w:spacing w:val="-7"/>
          <w:w w:val="105"/>
        </w:rPr>
        <w:t> </w:t>
      </w:r>
      <w:r>
        <w:rPr>
          <w:color w:val="231F1F"/>
          <w:spacing w:val="-2"/>
          <w:w w:val="105"/>
        </w:rPr>
        <w:t>para</w:t>
      </w:r>
      <w:r>
        <w:rPr>
          <w:color w:val="231F1F"/>
          <w:spacing w:val="-8"/>
          <w:w w:val="105"/>
        </w:rPr>
        <w:t> </w:t>
      </w:r>
      <w:r>
        <w:rPr>
          <w:color w:val="231F1F"/>
          <w:spacing w:val="-2"/>
          <w:w w:val="105"/>
        </w:rPr>
        <w:t>el</w:t>
      </w:r>
      <w:r>
        <w:rPr>
          <w:color w:val="231F1F"/>
          <w:spacing w:val="-8"/>
          <w:w w:val="105"/>
        </w:rPr>
        <w:t> </w:t>
      </w:r>
      <w:r>
        <w:rPr>
          <w:color w:val="231F1F"/>
          <w:spacing w:val="-2"/>
          <w:w w:val="105"/>
        </w:rPr>
        <w:t>dolor</w:t>
      </w:r>
      <w:r>
        <w:rPr>
          <w:color w:val="231F1F"/>
          <w:spacing w:val="-8"/>
          <w:w w:val="105"/>
        </w:rPr>
        <w:t> </w:t>
      </w:r>
      <w:r>
        <w:rPr>
          <w:color w:val="231F1F"/>
          <w:spacing w:val="-2"/>
          <w:w w:val="105"/>
        </w:rPr>
        <w:t>a</w:t>
      </w:r>
      <w:r>
        <w:rPr>
          <w:color w:val="231F1F"/>
          <w:spacing w:val="-7"/>
          <w:w w:val="105"/>
        </w:rPr>
        <w:t> </w:t>
      </w:r>
      <w:r>
        <w:rPr>
          <w:color w:val="231F1F"/>
          <w:spacing w:val="-2"/>
          <w:w w:val="105"/>
        </w:rPr>
        <w:t>largo</w:t>
      </w:r>
      <w:r>
        <w:rPr>
          <w:color w:val="231F1F"/>
          <w:spacing w:val="-7"/>
          <w:w w:val="105"/>
        </w:rPr>
        <w:t> </w:t>
      </w:r>
      <w:r>
        <w:rPr>
          <w:color w:val="231F1F"/>
          <w:spacing w:val="-2"/>
          <w:w w:val="105"/>
        </w:rPr>
        <w:t>plazo</w:t>
      </w:r>
      <w:r>
        <w:rPr>
          <w:color w:val="231F1F"/>
          <w:spacing w:val="-8"/>
          <w:w w:val="105"/>
        </w:rPr>
        <w:t> </w:t>
      </w:r>
      <w:r>
        <w:rPr>
          <w:color w:val="231F1F"/>
          <w:spacing w:val="-2"/>
          <w:w w:val="105"/>
        </w:rPr>
        <w:t>(6</w:t>
      </w:r>
      <w:r>
        <w:rPr>
          <w:color w:val="231F1F"/>
          <w:spacing w:val="-7"/>
          <w:w w:val="105"/>
        </w:rPr>
        <w:t> </w:t>
      </w:r>
      <w:r>
        <w:rPr>
          <w:color w:val="231F1F"/>
          <w:spacing w:val="-2"/>
          <w:w w:val="105"/>
        </w:rPr>
        <w:t>semanas,</w:t>
      </w:r>
      <w:r>
        <w:rPr>
          <w:color w:val="231F1F"/>
          <w:spacing w:val="-7"/>
          <w:w w:val="105"/>
        </w:rPr>
        <w:t> </w:t>
      </w:r>
      <w:r>
        <w:rPr>
          <w:color w:val="231F1F"/>
          <w:spacing w:val="-2"/>
          <w:w w:val="105"/>
        </w:rPr>
        <w:t>3</w:t>
      </w:r>
      <w:r>
        <w:rPr>
          <w:color w:val="231F1F"/>
          <w:spacing w:val="-7"/>
          <w:w w:val="105"/>
        </w:rPr>
        <w:t> </w:t>
      </w:r>
      <w:r>
        <w:rPr>
          <w:color w:val="231F1F"/>
          <w:spacing w:val="-2"/>
          <w:w w:val="105"/>
        </w:rPr>
        <w:t>meses</w:t>
      </w:r>
      <w:r>
        <w:rPr>
          <w:color w:val="231F1F"/>
          <w:spacing w:val="-7"/>
          <w:w w:val="105"/>
        </w:rPr>
        <w:t> </w:t>
      </w:r>
      <w:r>
        <w:rPr>
          <w:color w:val="231F1F"/>
          <w:spacing w:val="-2"/>
          <w:w w:val="105"/>
        </w:rPr>
        <w:t>o</w:t>
      </w:r>
      <w:r>
        <w:rPr>
          <w:color w:val="231F1F"/>
          <w:spacing w:val="-7"/>
          <w:w w:val="105"/>
        </w:rPr>
        <w:t> </w:t>
      </w:r>
      <w:r>
        <w:rPr>
          <w:color w:val="231F1F"/>
          <w:spacing w:val="-2"/>
          <w:w w:val="105"/>
        </w:rPr>
        <w:t>6</w:t>
      </w:r>
      <w:r>
        <w:rPr>
          <w:color w:val="231F1F"/>
          <w:spacing w:val="-7"/>
          <w:w w:val="105"/>
        </w:rPr>
        <w:t> </w:t>
      </w:r>
      <w:r>
        <w:rPr>
          <w:color w:val="231F1F"/>
          <w:spacing w:val="-2"/>
          <w:w w:val="105"/>
        </w:rPr>
        <w:t>meses): </w:t>
      </w:r>
      <w:r>
        <w:rPr>
          <w:color w:val="231F1F"/>
          <w:w w:val="105"/>
        </w:rPr>
        <w:t>OR 2,61 [IC 95% 0,59 a 12,41].</w:t>
      </w:r>
    </w:p>
    <w:p>
      <w:pPr>
        <w:pStyle w:val="BodyText"/>
        <w:spacing w:after="0" w:line="244" w:lineRule="auto"/>
        <w:jc w:val="both"/>
        <w:sectPr>
          <w:pgSz w:w="11900" w:h="16840"/>
          <w:pgMar w:header="0" w:footer="622" w:top="1560" w:bottom="820" w:left="1417" w:right="1559"/>
        </w:sectPr>
      </w:pPr>
    </w:p>
    <w:p>
      <w:pPr>
        <w:pStyle w:val="BodyText"/>
        <w:spacing w:line="249" w:lineRule="auto" w:before="73"/>
        <w:ind w:left="283" w:right="4" w:firstLine="453"/>
        <w:jc w:val="both"/>
      </w:pPr>
      <w:r>
        <w:rPr>
          <w:color w:val="231F1F"/>
          <w:w w:val="105"/>
        </w:rPr>
        <w:t>El</w:t>
      </w:r>
      <w:r>
        <w:rPr>
          <w:color w:val="231F1F"/>
          <w:w w:val="105"/>
        </w:rPr>
        <w:t> estudio</w:t>
      </w:r>
      <w:r>
        <w:rPr>
          <w:color w:val="231F1F"/>
          <w:w w:val="105"/>
        </w:rPr>
        <w:t> estadounidense</w:t>
      </w:r>
      <w:r>
        <w:rPr>
          <w:color w:val="231F1F"/>
          <w:w w:val="105"/>
        </w:rPr>
        <w:t> del</w:t>
      </w:r>
      <w:r>
        <w:rPr>
          <w:color w:val="231F1F"/>
          <w:w w:val="105"/>
        </w:rPr>
        <w:t> año</w:t>
      </w:r>
      <w:r>
        <w:rPr>
          <w:color w:val="231F1F"/>
          <w:w w:val="105"/>
        </w:rPr>
        <w:t> 2004</w:t>
      </w:r>
      <w:r>
        <w:rPr>
          <w:color w:val="231F1F"/>
          <w:w w:val="105"/>
        </w:rPr>
        <w:t> (170),</w:t>
      </w:r>
      <w:r>
        <w:rPr>
          <w:color w:val="231F1F"/>
          <w:w w:val="105"/>
        </w:rPr>
        <w:t> comparó</w:t>
      </w:r>
      <w:r>
        <w:rPr>
          <w:color w:val="231F1F"/>
          <w:w w:val="105"/>
        </w:rPr>
        <w:t> también</w:t>
      </w:r>
      <w:r>
        <w:rPr>
          <w:color w:val="231F1F"/>
          <w:w w:val="105"/>
        </w:rPr>
        <w:t> </w:t>
      </w:r>
      <w:r>
        <w:rPr>
          <w:i/>
          <w:color w:val="231F1F"/>
          <w:w w:val="105"/>
        </w:rPr>
        <w:t>catgut crómico</w:t>
      </w:r>
      <w:r>
        <w:rPr>
          <w:i/>
          <w:color w:val="231F1F"/>
          <w:spacing w:val="-1"/>
          <w:w w:val="105"/>
        </w:rPr>
        <w:t> </w:t>
      </w:r>
      <w:r>
        <w:rPr>
          <w:i/>
          <w:color w:val="231F1F"/>
          <w:w w:val="105"/>
        </w:rPr>
        <w:t>con</w:t>
      </w:r>
      <w:r>
        <w:rPr>
          <w:i/>
          <w:color w:val="231F1F"/>
          <w:spacing w:val="-1"/>
          <w:w w:val="105"/>
        </w:rPr>
        <w:t> </w:t>
      </w:r>
      <w:r>
        <w:rPr>
          <w:i/>
          <w:color w:val="231F1F"/>
          <w:w w:val="105"/>
        </w:rPr>
        <w:t>poligalactina</w:t>
      </w:r>
      <w:r>
        <w:rPr>
          <w:i/>
          <w:color w:val="231F1F"/>
          <w:spacing w:val="-2"/>
          <w:w w:val="105"/>
        </w:rPr>
        <w:t> </w:t>
      </w:r>
      <w:r>
        <w:rPr>
          <w:color w:val="231F1F"/>
          <w:w w:val="105"/>
        </w:rPr>
        <w:t>(Vicryl®) en 910 mujeres, observando el grado de dolor a nivel perineal (dolor vaginal) y uterino.</w:t>
      </w:r>
    </w:p>
    <w:p>
      <w:pPr>
        <w:pStyle w:val="BodyText"/>
        <w:spacing w:line="247" w:lineRule="auto" w:before="98"/>
        <w:ind w:left="283" w:right="3" w:firstLine="453"/>
        <w:jc w:val="both"/>
      </w:pPr>
      <w:r>
        <w:rPr>
          <w:color w:val="231F1F"/>
          <w:w w:val="110"/>
        </w:rPr>
        <w:t>No</w:t>
      </w:r>
      <w:r>
        <w:rPr>
          <w:color w:val="231F1F"/>
          <w:spacing w:val="-7"/>
          <w:w w:val="110"/>
        </w:rPr>
        <w:t> </w:t>
      </w:r>
      <w:r>
        <w:rPr>
          <w:color w:val="231F1F"/>
          <w:w w:val="110"/>
        </w:rPr>
        <w:t>se</w:t>
      </w:r>
      <w:r>
        <w:rPr>
          <w:color w:val="231F1F"/>
          <w:spacing w:val="-7"/>
          <w:w w:val="110"/>
        </w:rPr>
        <w:t> </w:t>
      </w:r>
      <w:r>
        <w:rPr>
          <w:color w:val="231F1F"/>
          <w:w w:val="110"/>
        </w:rPr>
        <w:t>encontraron</w:t>
      </w:r>
      <w:r>
        <w:rPr>
          <w:color w:val="231F1F"/>
          <w:spacing w:val="-7"/>
          <w:w w:val="110"/>
        </w:rPr>
        <w:t> </w:t>
      </w:r>
      <w:r>
        <w:rPr>
          <w:color w:val="231F1F"/>
          <w:w w:val="110"/>
        </w:rPr>
        <w:t>diferencias</w:t>
      </w:r>
      <w:r>
        <w:rPr>
          <w:color w:val="231F1F"/>
          <w:spacing w:val="-8"/>
          <w:w w:val="110"/>
        </w:rPr>
        <w:t> </w:t>
      </w:r>
      <w:r>
        <w:rPr>
          <w:color w:val="231F1F"/>
          <w:w w:val="110"/>
        </w:rPr>
        <w:t>entre</w:t>
      </w:r>
      <w:r>
        <w:rPr>
          <w:color w:val="231F1F"/>
          <w:spacing w:val="-7"/>
          <w:w w:val="110"/>
        </w:rPr>
        <w:t> </w:t>
      </w:r>
      <w:r>
        <w:rPr>
          <w:color w:val="231F1F"/>
          <w:w w:val="110"/>
        </w:rPr>
        <w:t>los</w:t>
      </w:r>
      <w:r>
        <w:rPr>
          <w:color w:val="231F1F"/>
          <w:spacing w:val="-8"/>
          <w:w w:val="110"/>
        </w:rPr>
        <w:t> </w:t>
      </w:r>
      <w:r>
        <w:rPr>
          <w:color w:val="231F1F"/>
          <w:w w:val="110"/>
        </w:rPr>
        <w:t>grupos</w:t>
      </w:r>
      <w:r>
        <w:rPr>
          <w:color w:val="231F1F"/>
          <w:spacing w:val="-8"/>
          <w:w w:val="110"/>
        </w:rPr>
        <w:t> </w:t>
      </w:r>
      <w:r>
        <w:rPr>
          <w:color w:val="231F1F"/>
          <w:w w:val="110"/>
        </w:rPr>
        <w:t>a</w:t>
      </w:r>
      <w:r>
        <w:rPr>
          <w:color w:val="231F1F"/>
          <w:spacing w:val="-7"/>
          <w:w w:val="110"/>
        </w:rPr>
        <w:t> </w:t>
      </w:r>
      <w:r>
        <w:rPr>
          <w:color w:val="231F1F"/>
          <w:w w:val="110"/>
        </w:rPr>
        <w:t>nivel</w:t>
      </w:r>
      <w:r>
        <w:rPr>
          <w:color w:val="231F1F"/>
          <w:spacing w:val="-8"/>
          <w:w w:val="110"/>
        </w:rPr>
        <w:t> </w:t>
      </w:r>
      <w:r>
        <w:rPr>
          <w:color w:val="231F1F"/>
          <w:w w:val="110"/>
        </w:rPr>
        <w:t>de</w:t>
      </w:r>
      <w:r>
        <w:rPr>
          <w:color w:val="231F1F"/>
          <w:spacing w:val="-7"/>
          <w:w w:val="110"/>
        </w:rPr>
        <w:t> </w:t>
      </w:r>
      <w:r>
        <w:rPr>
          <w:color w:val="231F1F"/>
          <w:w w:val="110"/>
        </w:rPr>
        <w:t>dolor</w:t>
      </w:r>
      <w:r>
        <w:rPr>
          <w:color w:val="231F1F"/>
          <w:spacing w:val="-8"/>
          <w:w w:val="110"/>
        </w:rPr>
        <w:t> </w:t>
      </w:r>
      <w:r>
        <w:rPr>
          <w:color w:val="231F1F"/>
          <w:w w:val="110"/>
        </w:rPr>
        <w:t>vaginal </w:t>
      </w:r>
      <w:r>
        <w:rPr>
          <w:color w:val="231F1F"/>
        </w:rPr>
        <w:t>a las 24-48 horas, ni a los 10-14 días y tampoco a las 6-8 semanas. Las mujeres</w:t>
      </w:r>
      <w:r>
        <w:rPr>
          <w:color w:val="231F1F"/>
          <w:spacing w:val="80"/>
          <w:w w:val="110"/>
        </w:rPr>
        <w:t> </w:t>
      </w:r>
      <w:r>
        <w:rPr>
          <w:color w:val="231F1F"/>
          <w:w w:val="110"/>
        </w:rPr>
        <w:t>en</w:t>
      </w:r>
      <w:r>
        <w:rPr>
          <w:color w:val="231F1F"/>
          <w:w w:val="110"/>
        </w:rPr>
        <w:t> el</w:t>
      </w:r>
      <w:r>
        <w:rPr>
          <w:color w:val="231F1F"/>
          <w:w w:val="110"/>
        </w:rPr>
        <w:t> grupo</w:t>
      </w:r>
      <w:r>
        <w:rPr>
          <w:color w:val="231F1F"/>
          <w:w w:val="110"/>
        </w:rPr>
        <w:t> de</w:t>
      </w:r>
      <w:r>
        <w:rPr>
          <w:color w:val="231F1F"/>
          <w:w w:val="110"/>
        </w:rPr>
        <w:t> sutura</w:t>
      </w:r>
      <w:r>
        <w:rPr>
          <w:color w:val="231F1F"/>
          <w:w w:val="110"/>
        </w:rPr>
        <w:t> con</w:t>
      </w:r>
      <w:r>
        <w:rPr>
          <w:color w:val="231F1F"/>
          <w:w w:val="110"/>
        </w:rPr>
        <w:t> poligalactina</w:t>
      </w:r>
      <w:r>
        <w:rPr>
          <w:color w:val="231F1F"/>
          <w:w w:val="110"/>
        </w:rPr>
        <w:t> presentaron</w:t>
      </w:r>
      <w:r>
        <w:rPr>
          <w:color w:val="231F1F"/>
          <w:w w:val="110"/>
        </w:rPr>
        <w:t> menor</w:t>
      </w:r>
      <w:r>
        <w:rPr>
          <w:color w:val="231F1F"/>
          <w:w w:val="110"/>
        </w:rPr>
        <w:t> dolor</w:t>
      </w:r>
      <w:r>
        <w:rPr>
          <w:color w:val="231F1F"/>
          <w:w w:val="110"/>
        </w:rPr>
        <w:t> perineal moderado/severo</w:t>
      </w:r>
      <w:r>
        <w:rPr>
          <w:color w:val="231F1F"/>
          <w:spacing w:val="-16"/>
          <w:w w:val="110"/>
        </w:rPr>
        <w:t> </w:t>
      </w:r>
      <w:r>
        <w:rPr>
          <w:color w:val="231F1F"/>
          <w:w w:val="110"/>
        </w:rPr>
        <w:t>a</w:t>
      </w:r>
      <w:r>
        <w:rPr>
          <w:color w:val="231F1F"/>
          <w:spacing w:val="-15"/>
          <w:w w:val="110"/>
        </w:rPr>
        <w:t> </w:t>
      </w:r>
      <w:r>
        <w:rPr>
          <w:color w:val="231F1F"/>
          <w:w w:val="110"/>
        </w:rPr>
        <w:t>las</w:t>
      </w:r>
      <w:r>
        <w:rPr>
          <w:color w:val="231F1F"/>
          <w:spacing w:val="-15"/>
          <w:w w:val="110"/>
        </w:rPr>
        <w:t> </w:t>
      </w:r>
      <w:r>
        <w:rPr>
          <w:color w:val="231F1F"/>
          <w:w w:val="110"/>
        </w:rPr>
        <w:t>24-48</w:t>
      </w:r>
      <w:r>
        <w:rPr>
          <w:color w:val="231F1F"/>
          <w:spacing w:val="-15"/>
          <w:w w:val="110"/>
        </w:rPr>
        <w:t> </w:t>
      </w:r>
      <w:r>
        <w:rPr>
          <w:color w:val="231F1F"/>
          <w:w w:val="110"/>
        </w:rPr>
        <w:t>horas</w:t>
      </w:r>
      <w:r>
        <w:rPr>
          <w:color w:val="231F1F"/>
          <w:spacing w:val="-15"/>
          <w:w w:val="110"/>
        </w:rPr>
        <w:t> </w:t>
      </w:r>
      <w:r>
        <w:rPr>
          <w:color w:val="231F1F"/>
          <w:w w:val="110"/>
        </w:rPr>
        <w:t>y</w:t>
      </w:r>
      <w:r>
        <w:rPr>
          <w:color w:val="231F1F"/>
          <w:spacing w:val="-15"/>
          <w:w w:val="110"/>
        </w:rPr>
        <w:t> </w:t>
      </w:r>
      <w:r>
        <w:rPr>
          <w:color w:val="231F1F"/>
          <w:w w:val="110"/>
        </w:rPr>
        <w:t>a</w:t>
      </w:r>
      <w:r>
        <w:rPr>
          <w:color w:val="231F1F"/>
          <w:spacing w:val="-15"/>
          <w:w w:val="110"/>
        </w:rPr>
        <w:t> </w:t>
      </w:r>
      <w:r>
        <w:rPr>
          <w:color w:val="231F1F"/>
          <w:w w:val="110"/>
        </w:rPr>
        <w:t>las</w:t>
      </w:r>
      <w:r>
        <w:rPr>
          <w:color w:val="231F1F"/>
          <w:spacing w:val="-15"/>
          <w:w w:val="110"/>
        </w:rPr>
        <w:t> </w:t>
      </w:r>
      <w:r>
        <w:rPr>
          <w:color w:val="231F1F"/>
          <w:w w:val="110"/>
        </w:rPr>
        <w:t>6-8</w:t>
      </w:r>
      <w:r>
        <w:rPr>
          <w:color w:val="231F1F"/>
          <w:spacing w:val="-16"/>
          <w:w w:val="110"/>
        </w:rPr>
        <w:t> </w:t>
      </w:r>
      <w:r>
        <w:rPr>
          <w:color w:val="231F1F"/>
          <w:w w:val="110"/>
        </w:rPr>
        <w:t>semanas</w:t>
      </w:r>
      <w:r>
        <w:rPr>
          <w:color w:val="231F1F"/>
          <w:spacing w:val="-15"/>
          <w:w w:val="110"/>
        </w:rPr>
        <w:t> </w:t>
      </w:r>
      <w:r>
        <w:rPr>
          <w:color w:val="231F1F"/>
          <w:w w:val="110"/>
        </w:rPr>
        <w:t>(p=0,006),</w:t>
      </w:r>
      <w:r>
        <w:rPr>
          <w:color w:val="231F1F"/>
          <w:spacing w:val="-15"/>
          <w:w w:val="110"/>
        </w:rPr>
        <w:t> </w:t>
      </w:r>
      <w:r>
        <w:rPr>
          <w:color w:val="231F1F"/>
          <w:w w:val="110"/>
        </w:rPr>
        <w:t>sin</w:t>
      </w:r>
      <w:r>
        <w:rPr>
          <w:color w:val="231F1F"/>
          <w:spacing w:val="-15"/>
          <w:w w:val="110"/>
        </w:rPr>
        <w:t> </w:t>
      </w:r>
      <w:r>
        <w:rPr>
          <w:color w:val="231F1F"/>
          <w:w w:val="110"/>
        </w:rPr>
        <w:t>existir diferencias</w:t>
      </w:r>
      <w:r>
        <w:rPr>
          <w:color w:val="231F1F"/>
          <w:spacing w:val="-16"/>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dolor</w:t>
      </w:r>
      <w:r>
        <w:rPr>
          <w:color w:val="231F1F"/>
          <w:spacing w:val="-15"/>
          <w:w w:val="110"/>
        </w:rPr>
        <w:t> </w:t>
      </w:r>
      <w:r>
        <w:rPr>
          <w:color w:val="231F1F"/>
          <w:w w:val="110"/>
        </w:rPr>
        <w:t>suave</w:t>
      </w:r>
      <w:r>
        <w:rPr>
          <w:color w:val="231F1F"/>
          <w:spacing w:val="-15"/>
          <w:w w:val="110"/>
        </w:rPr>
        <w:t> </w:t>
      </w:r>
      <w:r>
        <w:rPr>
          <w:color w:val="231F1F"/>
          <w:w w:val="110"/>
        </w:rPr>
        <w:t>o</w:t>
      </w:r>
      <w:r>
        <w:rPr>
          <w:color w:val="231F1F"/>
          <w:spacing w:val="-15"/>
          <w:w w:val="110"/>
        </w:rPr>
        <w:t> </w:t>
      </w:r>
      <w:r>
        <w:rPr>
          <w:color w:val="231F1F"/>
          <w:w w:val="110"/>
        </w:rPr>
        <w:t>no</w:t>
      </w:r>
      <w:r>
        <w:rPr>
          <w:color w:val="231F1F"/>
          <w:spacing w:val="-15"/>
          <w:w w:val="110"/>
        </w:rPr>
        <w:t> </w:t>
      </w:r>
      <w:r>
        <w:rPr>
          <w:color w:val="231F1F"/>
          <w:w w:val="110"/>
        </w:rPr>
        <w:t>dolor,</w:t>
      </w:r>
      <w:r>
        <w:rPr>
          <w:color w:val="231F1F"/>
          <w:spacing w:val="-15"/>
          <w:w w:val="110"/>
        </w:rPr>
        <w:t> </w:t>
      </w:r>
      <w:r>
        <w:rPr>
          <w:color w:val="231F1F"/>
          <w:w w:val="110"/>
        </w:rPr>
        <w:t>a</w:t>
      </w:r>
      <w:r>
        <w:rPr>
          <w:color w:val="231F1F"/>
          <w:spacing w:val="-16"/>
          <w:w w:val="110"/>
        </w:rPr>
        <w:t> </w:t>
      </w:r>
      <w:r>
        <w:rPr>
          <w:color w:val="231F1F"/>
          <w:w w:val="110"/>
        </w:rPr>
        <w:t>las</w:t>
      </w:r>
      <w:r>
        <w:rPr>
          <w:color w:val="231F1F"/>
          <w:spacing w:val="-15"/>
          <w:w w:val="110"/>
        </w:rPr>
        <w:t> </w:t>
      </w:r>
      <w:r>
        <w:rPr>
          <w:color w:val="231F1F"/>
          <w:w w:val="110"/>
        </w:rPr>
        <w:t>24-48</w:t>
      </w:r>
      <w:r>
        <w:rPr>
          <w:color w:val="231F1F"/>
          <w:spacing w:val="-15"/>
          <w:w w:val="110"/>
        </w:rPr>
        <w:t> </w:t>
      </w:r>
      <w:r>
        <w:rPr>
          <w:color w:val="231F1F"/>
          <w:w w:val="110"/>
        </w:rPr>
        <w:t>horas,</w:t>
      </w:r>
      <w:r>
        <w:rPr>
          <w:color w:val="231F1F"/>
          <w:spacing w:val="-15"/>
          <w:w w:val="110"/>
        </w:rPr>
        <w:t> </w:t>
      </w:r>
      <w:r>
        <w:rPr>
          <w:color w:val="231F1F"/>
          <w:w w:val="110"/>
        </w:rPr>
        <w:t>10-14</w:t>
      </w:r>
      <w:r>
        <w:rPr>
          <w:color w:val="231F1F"/>
          <w:spacing w:val="-15"/>
          <w:w w:val="110"/>
        </w:rPr>
        <w:t> </w:t>
      </w:r>
      <w:r>
        <w:rPr>
          <w:color w:val="231F1F"/>
          <w:w w:val="110"/>
        </w:rPr>
        <w:t>días</w:t>
      </w:r>
      <w:r>
        <w:rPr>
          <w:color w:val="231F1F"/>
          <w:spacing w:val="-15"/>
          <w:w w:val="110"/>
        </w:rPr>
        <w:t> </w:t>
      </w:r>
      <w:r>
        <w:rPr>
          <w:color w:val="231F1F"/>
          <w:w w:val="110"/>
        </w:rPr>
        <w:t>y</w:t>
      </w:r>
      <w:r>
        <w:rPr>
          <w:color w:val="231F1F"/>
          <w:spacing w:val="-15"/>
          <w:w w:val="110"/>
        </w:rPr>
        <w:t> </w:t>
      </w:r>
      <w:r>
        <w:rPr>
          <w:color w:val="231F1F"/>
          <w:w w:val="110"/>
        </w:rPr>
        <w:t>6-8 meses sin que se haya encontrado explicación a estas diferencias de dolor.</w:t>
      </w:r>
    </w:p>
    <w:p>
      <w:pPr>
        <w:spacing w:line="244" w:lineRule="auto" w:before="64"/>
        <w:ind w:left="283" w:right="2" w:firstLine="453"/>
        <w:jc w:val="both"/>
        <w:rPr>
          <w:sz w:val="22"/>
        </w:rPr>
      </w:pPr>
      <w:r>
        <w:rPr>
          <w:color w:val="231F1F"/>
          <w:w w:val="105"/>
          <w:sz w:val="22"/>
        </w:rPr>
        <w:t>El último de los ECA (160) incluidos en la guía NICE (10), es el único estudio que compara </w:t>
      </w:r>
      <w:r>
        <w:rPr>
          <w:i/>
          <w:color w:val="231F1F"/>
          <w:w w:val="105"/>
          <w:sz w:val="22"/>
        </w:rPr>
        <w:t>material</w:t>
      </w:r>
      <w:r>
        <w:rPr>
          <w:i/>
          <w:color w:val="231F1F"/>
          <w:spacing w:val="-7"/>
          <w:w w:val="105"/>
          <w:sz w:val="22"/>
        </w:rPr>
        <w:t> </w:t>
      </w:r>
      <w:r>
        <w:rPr>
          <w:i/>
          <w:color w:val="231F1F"/>
          <w:w w:val="105"/>
          <w:sz w:val="22"/>
        </w:rPr>
        <w:t>de</w:t>
      </w:r>
      <w:r>
        <w:rPr>
          <w:i/>
          <w:color w:val="231F1F"/>
          <w:spacing w:val="-7"/>
          <w:w w:val="105"/>
          <w:sz w:val="22"/>
        </w:rPr>
        <w:t> </w:t>
      </w:r>
      <w:r>
        <w:rPr>
          <w:i/>
          <w:color w:val="231F1F"/>
          <w:w w:val="105"/>
          <w:sz w:val="22"/>
        </w:rPr>
        <w:t>sutura</w:t>
      </w:r>
      <w:r>
        <w:rPr>
          <w:i/>
          <w:color w:val="231F1F"/>
          <w:spacing w:val="-7"/>
          <w:w w:val="105"/>
          <w:sz w:val="22"/>
        </w:rPr>
        <w:t> </w:t>
      </w:r>
      <w:r>
        <w:rPr>
          <w:i/>
          <w:color w:val="231F1F"/>
          <w:w w:val="105"/>
          <w:sz w:val="22"/>
        </w:rPr>
        <w:t>sintético</w:t>
      </w:r>
      <w:r>
        <w:rPr>
          <w:i/>
          <w:color w:val="231F1F"/>
          <w:spacing w:val="-6"/>
          <w:w w:val="105"/>
          <w:sz w:val="22"/>
        </w:rPr>
        <w:t> </w:t>
      </w:r>
      <w:r>
        <w:rPr>
          <w:i/>
          <w:color w:val="231F1F"/>
          <w:w w:val="105"/>
          <w:sz w:val="22"/>
        </w:rPr>
        <w:t>(Vicryl®)</w:t>
      </w:r>
      <w:r>
        <w:rPr>
          <w:i/>
          <w:color w:val="231F1F"/>
          <w:spacing w:val="-7"/>
          <w:w w:val="105"/>
          <w:sz w:val="22"/>
        </w:rPr>
        <w:t> </w:t>
      </w:r>
      <w:r>
        <w:rPr>
          <w:i/>
          <w:color w:val="231F1F"/>
          <w:w w:val="105"/>
          <w:sz w:val="22"/>
        </w:rPr>
        <w:t>de</w:t>
      </w:r>
      <w:r>
        <w:rPr>
          <w:i/>
          <w:color w:val="231F1F"/>
          <w:spacing w:val="-7"/>
          <w:w w:val="105"/>
          <w:sz w:val="22"/>
        </w:rPr>
        <w:t> </w:t>
      </w:r>
      <w:r>
        <w:rPr>
          <w:i/>
          <w:color w:val="231F1F"/>
          <w:w w:val="105"/>
          <w:sz w:val="22"/>
        </w:rPr>
        <w:t>absorción</w:t>
      </w:r>
      <w:r>
        <w:rPr>
          <w:i/>
          <w:color w:val="231F1F"/>
          <w:spacing w:val="-7"/>
          <w:w w:val="105"/>
          <w:sz w:val="22"/>
        </w:rPr>
        <w:t> </w:t>
      </w:r>
      <w:r>
        <w:rPr>
          <w:i/>
          <w:color w:val="231F1F"/>
          <w:w w:val="105"/>
          <w:sz w:val="22"/>
        </w:rPr>
        <w:t>rápi- da</w:t>
      </w:r>
      <w:r>
        <w:rPr>
          <w:i/>
          <w:color w:val="231F1F"/>
          <w:spacing w:val="-9"/>
          <w:w w:val="105"/>
          <w:sz w:val="22"/>
        </w:rPr>
        <w:t> </w:t>
      </w:r>
      <w:r>
        <w:rPr>
          <w:i/>
          <w:color w:val="231F1F"/>
          <w:w w:val="105"/>
          <w:sz w:val="22"/>
        </w:rPr>
        <w:t>(n=772)</w:t>
      </w:r>
      <w:r>
        <w:rPr>
          <w:i/>
          <w:color w:val="231F1F"/>
          <w:spacing w:val="-8"/>
          <w:w w:val="105"/>
          <w:sz w:val="22"/>
        </w:rPr>
        <w:t> </w:t>
      </w:r>
      <w:r>
        <w:rPr>
          <w:i/>
          <w:color w:val="231F1F"/>
          <w:w w:val="105"/>
          <w:sz w:val="22"/>
        </w:rPr>
        <w:t>con</w:t>
      </w:r>
      <w:r>
        <w:rPr>
          <w:i/>
          <w:color w:val="231F1F"/>
          <w:spacing w:val="-9"/>
          <w:w w:val="105"/>
          <w:sz w:val="22"/>
        </w:rPr>
        <w:t> </w:t>
      </w:r>
      <w:r>
        <w:rPr>
          <w:i/>
          <w:color w:val="231F1F"/>
          <w:w w:val="105"/>
          <w:sz w:val="22"/>
        </w:rPr>
        <w:t>material</w:t>
      </w:r>
      <w:r>
        <w:rPr>
          <w:i/>
          <w:color w:val="231F1F"/>
          <w:spacing w:val="-9"/>
          <w:w w:val="105"/>
          <w:sz w:val="22"/>
        </w:rPr>
        <w:t> </w:t>
      </w:r>
      <w:r>
        <w:rPr>
          <w:i/>
          <w:color w:val="231F1F"/>
          <w:w w:val="105"/>
          <w:sz w:val="22"/>
        </w:rPr>
        <w:t>de</w:t>
      </w:r>
      <w:r>
        <w:rPr>
          <w:i/>
          <w:color w:val="231F1F"/>
          <w:spacing w:val="-9"/>
          <w:w w:val="105"/>
          <w:sz w:val="22"/>
        </w:rPr>
        <w:t> </w:t>
      </w:r>
      <w:r>
        <w:rPr>
          <w:i/>
          <w:color w:val="231F1F"/>
          <w:w w:val="105"/>
          <w:sz w:val="22"/>
        </w:rPr>
        <w:t>sutura</w:t>
      </w:r>
      <w:r>
        <w:rPr>
          <w:i/>
          <w:color w:val="231F1F"/>
          <w:spacing w:val="-9"/>
          <w:w w:val="105"/>
          <w:sz w:val="22"/>
        </w:rPr>
        <w:t> </w:t>
      </w:r>
      <w:r>
        <w:rPr>
          <w:i/>
          <w:color w:val="231F1F"/>
          <w:w w:val="105"/>
          <w:sz w:val="22"/>
        </w:rPr>
        <w:t>sintético</w:t>
      </w:r>
      <w:r>
        <w:rPr>
          <w:i/>
          <w:color w:val="231F1F"/>
          <w:spacing w:val="-9"/>
          <w:w w:val="105"/>
          <w:sz w:val="22"/>
        </w:rPr>
        <w:t> </w:t>
      </w:r>
      <w:r>
        <w:rPr>
          <w:i/>
          <w:color w:val="231F1F"/>
          <w:w w:val="105"/>
          <w:sz w:val="22"/>
        </w:rPr>
        <w:t>estándar</w:t>
      </w:r>
      <w:r>
        <w:rPr>
          <w:i/>
          <w:color w:val="231F1F"/>
          <w:spacing w:val="-9"/>
          <w:w w:val="105"/>
          <w:sz w:val="22"/>
        </w:rPr>
        <w:t> </w:t>
      </w:r>
      <w:r>
        <w:rPr>
          <w:i/>
          <w:color w:val="231F1F"/>
          <w:w w:val="105"/>
          <w:sz w:val="22"/>
        </w:rPr>
        <w:t>(n=770)</w:t>
      </w:r>
      <w:r>
        <w:rPr>
          <w:color w:val="231F1F"/>
          <w:w w:val="105"/>
          <w:sz w:val="22"/>
        </w:rPr>
        <w:t>, en mujeres con grado de desgarro II o episiotomía.</w:t>
      </w:r>
    </w:p>
    <w:p>
      <w:pPr>
        <w:pStyle w:val="BodyText"/>
        <w:spacing w:line="244" w:lineRule="auto" w:before="106"/>
        <w:ind w:left="283" w:firstLine="453"/>
        <w:jc w:val="both"/>
      </w:pPr>
      <w:r>
        <w:rPr>
          <w:color w:val="231F1F"/>
          <w:w w:val="105"/>
        </w:rPr>
        <w:t>Aunque no se observaron diferencias significativas en la prevalencia de mujeres doloridas a los 10 días, entre los dos grupos: OR 0,84 [IC 95% 0,68 a 1,04], el número de mujeres con dolor perineal persistente entre las primeras 24 horas y los 10 días: OR 0,55 [IC 95% 0,36 a 0,83] y con dolor al caminar: OR</w:t>
      </w:r>
      <w:r>
        <w:rPr>
          <w:color w:val="231F1F"/>
          <w:w w:val="105"/>
        </w:rPr>
        <w:t> 0,74</w:t>
      </w:r>
      <w:r>
        <w:rPr>
          <w:color w:val="231F1F"/>
          <w:w w:val="105"/>
        </w:rPr>
        <w:t> [IC</w:t>
      </w:r>
      <w:r>
        <w:rPr>
          <w:color w:val="231F1F"/>
          <w:w w:val="105"/>
        </w:rPr>
        <w:t> 95%</w:t>
      </w:r>
      <w:r>
        <w:rPr>
          <w:color w:val="231F1F"/>
          <w:w w:val="105"/>
        </w:rPr>
        <w:t> 0,56</w:t>
      </w:r>
      <w:r>
        <w:rPr>
          <w:color w:val="231F1F"/>
          <w:w w:val="105"/>
        </w:rPr>
        <w:t> a</w:t>
      </w:r>
      <w:r>
        <w:rPr>
          <w:color w:val="231F1F"/>
          <w:w w:val="105"/>
        </w:rPr>
        <w:t> 0,97],</w:t>
      </w:r>
      <w:r>
        <w:rPr>
          <w:color w:val="231F1F"/>
          <w:w w:val="105"/>
        </w:rPr>
        <w:t> se</w:t>
      </w:r>
      <w:r>
        <w:rPr>
          <w:color w:val="231F1F"/>
          <w:w w:val="105"/>
        </w:rPr>
        <w:t> redujo</w:t>
      </w:r>
      <w:r>
        <w:rPr>
          <w:color w:val="231F1F"/>
          <w:w w:val="105"/>
        </w:rPr>
        <w:t> significativamente</w:t>
      </w:r>
      <w:r>
        <w:rPr>
          <w:color w:val="231F1F"/>
          <w:w w:val="105"/>
        </w:rPr>
        <w:t> en</w:t>
      </w:r>
      <w:r>
        <w:rPr>
          <w:color w:val="231F1F"/>
          <w:w w:val="105"/>
        </w:rPr>
        <w:t> el</w:t>
      </w:r>
      <w:r>
        <w:rPr>
          <w:color w:val="231F1F"/>
          <w:w w:val="105"/>
        </w:rPr>
        <w:t> grupo</w:t>
      </w:r>
      <w:r>
        <w:rPr>
          <w:color w:val="231F1F"/>
          <w:w w:val="105"/>
        </w:rPr>
        <w:t> de mujeres con sutura de absorción rápida. Además, la necesidad de retirar ma- terial</w:t>
      </w:r>
      <w:r>
        <w:rPr>
          <w:color w:val="231F1F"/>
          <w:spacing w:val="-1"/>
          <w:w w:val="105"/>
        </w:rPr>
        <w:t> </w:t>
      </w:r>
      <w:r>
        <w:rPr>
          <w:color w:val="231F1F"/>
          <w:w w:val="105"/>
        </w:rPr>
        <w:t>de</w:t>
      </w:r>
      <w:r>
        <w:rPr>
          <w:color w:val="231F1F"/>
          <w:spacing w:val="-1"/>
          <w:w w:val="105"/>
        </w:rPr>
        <w:t> </w:t>
      </w:r>
      <w:r>
        <w:rPr>
          <w:color w:val="231F1F"/>
          <w:w w:val="105"/>
        </w:rPr>
        <w:t>sutura</w:t>
      </w:r>
      <w:r>
        <w:rPr>
          <w:color w:val="231F1F"/>
          <w:spacing w:val="-1"/>
          <w:w w:val="105"/>
        </w:rPr>
        <w:t> </w:t>
      </w:r>
      <w:r>
        <w:rPr>
          <w:color w:val="231F1F"/>
          <w:w w:val="105"/>
        </w:rPr>
        <w:t>a los 10 días:</w:t>
      </w:r>
      <w:r>
        <w:rPr>
          <w:color w:val="231F1F"/>
          <w:spacing w:val="-1"/>
          <w:w w:val="105"/>
        </w:rPr>
        <w:t> </w:t>
      </w:r>
      <w:r>
        <w:rPr>
          <w:color w:val="231F1F"/>
          <w:w w:val="105"/>
        </w:rPr>
        <w:t>0,38</w:t>
      </w:r>
      <w:r>
        <w:rPr>
          <w:color w:val="231F1F"/>
          <w:spacing w:val="-1"/>
          <w:w w:val="105"/>
        </w:rPr>
        <w:t> </w:t>
      </w:r>
      <w:r>
        <w:rPr>
          <w:color w:val="231F1F"/>
          <w:w w:val="105"/>
        </w:rPr>
        <w:t>[IC 95% 0,23</w:t>
      </w:r>
      <w:r>
        <w:rPr>
          <w:color w:val="231F1F"/>
          <w:spacing w:val="-1"/>
          <w:w w:val="105"/>
        </w:rPr>
        <w:t> </w:t>
      </w:r>
      <w:r>
        <w:rPr>
          <w:color w:val="231F1F"/>
          <w:w w:val="105"/>
        </w:rPr>
        <w:t>a 0,64]</w:t>
      </w:r>
      <w:r>
        <w:rPr>
          <w:color w:val="231F1F"/>
          <w:spacing w:val="-1"/>
          <w:w w:val="105"/>
        </w:rPr>
        <w:t> </w:t>
      </w:r>
      <w:r>
        <w:rPr>
          <w:color w:val="231F1F"/>
          <w:w w:val="105"/>
        </w:rPr>
        <w:t>y a</w:t>
      </w:r>
      <w:r>
        <w:rPr>
          <w:color w:val="231F1F"/>
          <w:spacing w:val="-1"/>
          <w:w w:val="105"/>
        </w:rPr>
        <w:t> </w:t>
      </w:r>
      <w:r>
        <w:rPr>
          <w:color w:val="231F1F"/>
          <w:w w:val="105"/>
        </w:rPr>
        <w:t>los tres</w:t>
      </w:r>
      <w:r>
        <w:rPr>
          <w:color w:val="231F1F"/>
          <w:spacing w:val="-1"/>
          <w:w w:val="105"/>
        </w:rPr>
        <w:t> </w:t>
      </w:r>
      <w:r>
        <w:rPr>
          <w:color w:val="231F1F"/>
          <w:w w:val="105"/>
        </w:rPr>
        <w:t>meses:</w:t>
      </w:r>
      <w:r>
        <w:rPr>
          <w:color w:val="231F1F"/>
          <w:spacing w:val="-1"/>
          <w:w w:val="105"/>
        </w:rPr>
        <w:t> </w:t>
      </w:r>
      <w:r>
        <w:rPr>
          <w:color w:val="231F1F"/>
          <w:w w:val="105"/>
        </w:rPr>
        <w:t>OR 0,26 [IC 95% 0,18 a 0,37], también fue menor en este grupo. Sin embargo, el número de mujeres con dehiscencia al décimo día de la reparación fue mayor: OR: 1,83 [IC 95% 1,14 a 2,92].</w:t>
      </w:r>
    </w:p>
    <w:p>
      <w:pPr>
        <w:pStyle w:val="BodyText"/>
        <w:spacing w:before="79"/>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junio</w:t>
      </w:r>
      <w:r>
        <w:rPr>
          <w:rFonts w:ascii="Arial MT" w:hAnsi="Arial MT"/>
          <w:color w:val="231F1F"/>
          <w:spacing w:val="18"/>
          <w:sz w:val="24"/>
        </w:rPr>
        <w:t> </w:t>
      </w:r>
      <w:r>
        <w:rPr>
          <w:rFonts w:ascii="Arial MT" w:hAnsi="Arial MT"/>
          <w:color w:val="231F1F"/>
          <w:spacing w:val="-2"/>
          <w:sz w:val="24"/>
        </w:rPr>
        <w:t>2008)</w:t>
      </w:r>
    </w:p>
    <w:p>
      <w:pPr>
        <w:pStyle w:val="BodyText"/>
        <w:spacing w:line="261" w:lineRule="auto" w:before="224"/>
        <w:ind w:left="283" w:right="1"/>
        <w:jc w:val="both"/>
      </w:pPr>
      <w:r>
        <w:rPr>
          <w:color w:val="231F1F"/>
        </w:rPr>
        <w:t>En la actualización solo se ha seleccionado una RS (166) que cumplía con los criterios</w:t>
      </w:r>
      <w:r>
        <w:rPr>
          <w:color w:val="231F1F"/>
          <w:spacing w:val="35"/>
        </w:rPr>
        <w:t> </w:t>
      </w:r>
      <w:r>
        <w:rPr>
          <w:color w:val="231F1F"/>
        </w:rPr>
        <w:t>de</w:t>
      </w:r>
      <w:r>
        <w:rPr>
          <w:color w:val="231F1F"/>
          <w:spacing w:val="36"/>
        </w:rPr>
        <w:t> </w:t>
      </w:r>
      <w:r>
        <w:rPr>
          <w:color w:val="231F1F"/>
        </w:rPr>
        <w:t>inclusión.</w:t>
      </w:r>
      <w:r>
        <w:rPr>
          <w:color w:val="231F1F"/>
          <w:spacing w:val="37"/>
        </w:rPr>
        <w:t> </w:t>
      </w:r>
      <w:r>
        <w:rPr>
          <w:color w:val="231F1F"/>
        </w:rPr>
        <w:t>Se</w:t>
      </w:r>
      <w:r>
        <w:rPr>
          <w:color w:val="231F1F"/>
          <w:spacing w:val="36"/>
        </w:rPr>
        <w:t> </w:t>
      </w:r>
      <w:r>
        <w:rPr>
          <w:color w:val="231F1F"/>
        </w:rPr>
        <w:t>trata</w:t>
      </w:r>
      <w:r>
        <w:rPr>
          <w:color w:val="231F1F"/>
          <w:spacing w:val="36"/>
        </w:rPr>
        <w:t> </w:t>
      </w:r>
      <w:r>
        <w:rPr>
          <w:color w:val="231F1F"/>
        </w:rPr>
        <w:t>de</w:t>
      </w:r>
      <w:r>
        <w:rPr>
          <w:color w:val="231F1F"/>
          <w:spacing w:val="36"/>
        </w:rPr>
        <w:t> </w:t>
      </w:r>
      <w:r>
        <w:rPr>
          <w:color w:val="231F1F"/>
        </w:rPr>
        <w:t>una</w:t>
      </w:r>
      <w:r>
        <w:rPr>
          <w:color w:val="231F1F"/>
          <w:spacing w:val="36"/>
        </w:rPr>
        <w:t> </w:t>
      </w:r>
      <w:r>
        <w:rPr>
          <w:color w:val="231F1F"/>
        </w:rPr>
        <w:t>revisión</w:t>
      </w:r>
      <w:r>
        <w:rPr>
          <w:color w:val="231F1F"/>
          <w:spacing w:val="36"/>
        </w:rPr>
        <w:t> </w:t>
      </w:r>
      <w:r>
        <w:rPr>
          <w:color w:val="231F1F"/>
        </w:rPr>
        <w:t>realizada</w:t>
      </w:r>
      <w:r>
        <w:rPr>
          <w:color w:val="231F1F"/>
          <w:spacing w:val="37"/>
        </w:rPr>
        <w:t> </w:t>
      </w:r>
      <w:r>
        <w:rPr>
          <w:color w:val="231F1F"/>
        </w:rPr>
        <w:t>en</w:t>
      </w:r>
      <w:r>
        <w:rPr>
          <w:color w:val="231F1F"/>
          <w:spacing w:val="36"/>
        </w:rPr>
        <w:t> </w:t>
      </w:r>
      <w:r>
        <w:rPr>
          <w:color w:val="231F1F"/>
        </w:rPr>
        <w:t>Francia</w:t>
      </w:r>
      <w:r>
        <w:rPr>
          <w:color w:val="231F1F"/>
          <w:spacing w:val="36"/>
        </w:rPr>
        <w:t> </w:t>
      </w:r>
      <w:r>
        <w:rPr>
          <w:color w:val="231F1F"/>
        </w:rPr>
        <w:t>que</w:t>
      </w:r>
      <w:r>
        <w:rPr>
          <w:color w:val="231F1F"/>
          <w:spacing w:val="36"/>
        </w:rPr>
        <w:t> </w:t>
      </w:r>
      <w:r>
        <w:rPr>
          <w:color w:val="231F1F"/>
        </w:rPr>
        <w:t>inclu- ye</w:t>
      </w:r>
      <w:r>
        <w:rPr>
          <w:color w:val="231F1F"/>
          <w:spacing w:val="40"/>
        </w:rPr>
        <w:t> </w:t>
      </w:r>
      <w:r>
        <w:rPr>
          <w:color w:val="231F1F"/>
        </w:rPr>
        <w:t>alguno</w:t>
      </w:r>
      <w:r>
        <w:rPr>
          <w:color w:val="231F1F"/>
          <w:spacing w:val="40"/>
        </w:rPr>
        <w:t> </w:t>
      </w:r>
      <w:r>
        <w:rPr>
          <w:color w:val="231F1F"/>
        </w:rPr>
        <w:t>de</w:t>
      </w:r>
      <w:r>
        <w:rPr>
          <w:color w:val="231F1F"/>
          <w:spacing w:val="40"/>
        </w:rPr>
        <w:t> </w:t>
      </w:r>
      <w:r>
        <w:rPr>
          <w:color w:val="231F1F"/>
        </w:rPr>
        <w:t>los</w:t>
      </w:r>
      <w:r>
        <w:rPr>
          <w:color w:val="231F1F"/>
          <w:spacing w:val="40"/>
        </w:rPr>
        <w:t> </w:t>
      </w:r>
      <w:r>
        <w:rPr>
          <w:color w:val="231F1F"/>
        </w:rPr>
        <w:t>estudios</w:t>
      </w:r>
      <w:r>
        <w:rPr>
          <w:color w:val="231F1F"/>
          <w:spacing w:val="40"/>
        </w:rPr>
        <w:t> </w:t>
      </w:r>
      <w:r>
        <w:rPr>
          <w:color w:val="231F1F"/>
        </w:rPr>
        <w:t>ya</w:t>
      </w:r>
      <w:r>
        <w:rPr>
          <w:color w:val="231F1F"/>
          <w:spacing w:val="40"/>
        </w:rPr>
        <w:t> </w:t>
      </w:r>
      <w:r>
        <w:rPr>
          <w:color w:val="231F1F"/>
        </w:rPr>
        <w:t>incluidos</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guía</w:t>
      </w:r>
      <w:r>
        <w:rPr>
          <w:color w:val="231F1F"/>
          <w:spacing w:val="40"/>
        </w:rPr>
        <w:t> </w:t>
      </w:r>
      <w:r>
        <w:rPr>
          <w:color w:val="231F1F"/>
        </w:rPr>
        <w:t>NICE</w:t>
      </w:r>
      <w:r>
        <w:rPr>
          <w:color w:val="231F1F"/>
          <w:spacing w:val="40"/>
        </w:rPr>
        <w:t> </w:t>
      </w:r>
      <w:r>
        <w:rPr>
          <w:color w:val="231F1F"/>
        </w:rPr>
        <w:t>(10).</w:t>
      </w:r>
    </w:p>
    <w:p>
      <w:pPr>
        <w:pStyle w:val="BodyText"/>
        <w:spacing w:line="244" w:lineRule="auto" w:before="133"/>
        <w:ind w:left="283" w:right="1" w:firstLine="453"/>
        <w:jc w:val="both"/>
      </w:pPr>
      <w:r>
        <w:rPr>
          <w:color w:val="231F1F"/>
          <w:w w:val="105"/>
        </w:rPr>
        <w:t>La RS (166) trata distintos aspectos de la episiotomía: recomendaciones generales,</w:t>
      </w:r>
      <w:r>
        <w:rPr>
          <w:color w:val="231F1F"/>
          <w:w w:val="105"/>
        </w:rPr>
        <w:t> estudios</w:t>
      </w:r>
      <w:r>
        <w:rPr>
          <w:color w:val="231F1F"/>
          <w:w w:val="105"/>
        </w:rPr>
        <w:t> que</w:t>
      </w:r>
      <w:r>
        <w:rPr>
          <w:color w:val="231F1F"/>
          <w:w w:val="105"/>
        </w:rPr>
        <w:t> comparan</w:t>
      </w:r>
      <w:r>
        <w:rPr>
          <w:color w:val="231F1F"/>
          <w:w w:val="105"/>
        </w:rPr>
        <w:t> el</w:t>
      </w:r>
      <w:r>
        <w:rPr>
          <w:color w:val="231F1F"/>
          <w:w w:val="105"/>
        </w:rPr>
        <w:t> material</w:t>
      </w:r>
      <w:r>
        <w:rPr>
          <w:color w:val="231F1F"/>
          <w:w w:val="105"/>
        </w:rPr>
        <w:t> de</w:t>
      </w:r>
      <w:r>
        <w:rPr>
          <w:color w:val="231F1F"/>
          <w:w w:val="105"/>
        </w:rPr>
        <w:t> sutura</w:t>
      </w:r>
      <w:r>
        <w:rPr>
          <w:color w:val="231F1F"/>
          <w:w w:val="105"/>
        </w:rPr>
        <w:t> y</w:t>
      </w:r>
      <w:r>
        <w:rPr>
          <w:color w:val="231F1F"/>
          <w:w w:val="105"/>
        </w:rPr>
        <w:t> estudios</w:t>
      </w:r>
      <w:r>
        <w:rPr>
          <w:color w:val="231F1F"/>
          <w:w w:val="105"/>
        </w:rPr>
        <w:t> que</w:t>
      </w:r>
      <w:r>
        <w:rPr>
          <w:color w:val="231F1F"/>
          <w:w w:val="105"/>
        </w:rPr>
        <w:t> com- paran las diferentes técnicas de sutura. En este apartado se reflejan los resul- tados referidos al apartado de material de sutura.</w:t>
      </w:r>
    </w:p>
    <w:p>
      <w:pPr>
        <w:pStyle w:val="BodyText"/>
        <w:spacing w:line="244" w:lineRule="auto" w:before="144"/>
        <w:ind w:left="283" w:right="3" w:firstLine="453"/>
        <w:jc w:val="both"/>
      </w:pPr>
      <w:r>
        <w:rPr>
          <w:color w:val="231F1F"/>
          <w:w w:val="110"/>
        </w:rPr>
        <w:t>En</w:t>
      </w:r>
      <w:r>
        <w:rPr>
          <w:color w:val="231F1F"/>
          <w:spacing w:val="-13"/>
          <w:w w:val="110"/>
        </w:rPr>
        <w:t> </w:t>
      </w:r>
      <w:r>
        <w:rPr>
          <w:color w:val="231F1F"/>
          <w:w w:val="110"/>
        </w:rPr>
        <w:t>la</w:t>
      </w:r>
      <w:r>
        <w:rPr>
          <w:color w:val="231F1F"/>
          <w:spacing w:val="-13"/>
          <w:w w:val="110"/>
        </w:rPr>
        <w:t> </w:t>
      </w:r>
      <w:r>
        <w:rPr>
          <w:color w:val="231F1F"/>
          <w:w w:val="110"/>
        </w:rPr>
        <w:t>RS</w:t>
      </w:r>
      <w:r>
        <w:rPr>
          <w:color w:val="231F1F"/>
          <w:spacing w:val="-13"/>
          <w:w w:val="110"/>
        </w:rPr>
        <w:t> </w:t>
      </w:r>
      <w:r>
        <w:rPr>
          <w:color w:val="231F1F"/>
          <w:w w:val="110"/>
        </w:rPr>
        <w:t>(166)</w:t>
      </w:r>
      <w:r>
        <w:rPr>
          <w:color w:val="231F1F"/>
          <w:spacing w:val="-13"/>
          <w:w w:val="110"/>
        </w:rPr>
        <w:t> </w:t>
      </w:r>
      <w:r>
        <w:rPr>
          <w:color w:val="231F1F"/>
          <w:w w:val="110"/>
        </w:rPr>
        <w:t>se</w:t>
      </w:r>
      <w:r>
        <w:rPr>
          <w:color w:val="231F1F"/>
          <w:spacing w:val="-13"/>
          <w:w w:val="110"/>
        </w:rPr>
        <w:t> </w:t>
      </w:r>
      <w:r>
        <w:rPr>
          <w:color w:val="231F1F"/>
          <w:w w:val="110"/>
        </w:rPr>
        <w:t>realizan</w:t>
      </w:r>
      <w:r>
        <w:rPr>
          <w:color w:val="231F1F"/>
          <w:spacing w:val="-13"/>
          <w:w w:val="110"/>
        </w:rPr>
        <w:t> </w:t>
      </w:r>
      <w:r>
        <w:rPr>
          <w:color w:val="231F1F"/>
          <w:w w:val="110"/>
        </w:rPr>
        <w:t>dos</w:t>
      </w:r>
      <w:r>
        <w:rPr>
          <w:color w:val="231F1F"/>
          <w:spacing w:val="-13"/>
          <w:w w:val="110"/>
        </w:rPr>
        <w:t> </w:t>
      </w:r>
      <w:r>
        <w:rPr>
          <w:color w:val="231F1F"/>
          <w:w w:val="110"/>
        </w:rPr>
        <w:t>comparaciones,</w:t>
      </w:r>
      <w:r>
        <w:rPr>
          <w:color w:val="231F1F"/>
          <w:spacing w:val="-13"/>
          <w:w w:val="110"/>
        </w:rPr>
        <w:t> </w:t>
      </w:r>
      <w:r>
        <w:rPr>
          <w:color w:val="231F1F"/>
          <w:w w:val="110"/>
        </w:rPr>
        <w:t>por</w:t>
      </w:r>
      <w:r>
        <w:rPr>
          <w:color w:val="231F1F"/>
          <w:spacing w:val="-13"/>
          <w:w w:val="110"/>
        </w:rPr>
        <w:t> </w:t>
      </w:r>
      <w:r>
        <w:rPr>
          <w:color w:val="231F1F"/>
          <w:w w:val="110"/>
        </w:rPr>
        <w:t>un</w:t>
      </w:r>
      <w:r>
        <w:rPr>
          <w:color w:val="231F1F"/>
          <w:spacing w:val="-13"/>
          <w:w w:val="110"/>
        </w:rPr>
        <w:t> </w:t>
      </w:r>
      <w:r>
        <w:rPr>
          <w:color w:val="231F1F"/>
          <w:w w:val="110"/>
        </w:rPr>
        <w:t>lado</w:t>
      </w:r>
      <w:r>
        <w:rPr>
          <w:color w:val="231F1F"/>
          <w:spacing w:val="-13"/>
          <w:w w:val="110"/>
        </w:rPr>
        <w:t> </w:t>
      </w:r>
      <w:r>
        <w:rPr>
          <w:color w:val="231F1F"/>
          <w:w w:val="110"/>
        </w:rPr>
        <w:t>estudios</w:t>
      </w:r>
      <w:r>
        <w:rPr>
          <w:color w:val="231F1F"/>
          <w:spacing w:val="-13"/>
          <w:w w:val="110"/>
        </w:rPr>
        <w:t> </w:t>
      </w:r>
      <w:r>
        <w:rPr>
          <w:color w:val="231F1F"/>
          <w:w w:val="110"/>
        </w:rPr>
        <w:t>que analizan</w:t>
      </w:r>
      <w:r>
        <w:rPr>
          <w:color w:val="231F1F"/>
          <w:spacing w:val="-9"/>
          <w:w w:val="110"/>
        </w:rPr>
        <w:t> </w:t>
      </w:r>
      <w:r>
        <w:rPr>
          <w:color w:val="231F1F"/>
          <w:w w:val="110"/>
        </w:rPr>
        <w:t>material</w:t>
      </w:r>
      <w:r>
        <w:rPr>
          <w:color w:val="231F1F"/>
          <w:spacing w:val="-8"/>
          <w:w w:val="110"/>
        </w:rPr>
        <w:t> </w:t>
      </w:r>
      <w:r>
        <w:rPr>
          <w:color w:val="231F1F"/>
          <w:w w:val="110"/>
        </w:rPr>
        <w:t>de</w:t>
      </w:r>
      <w:r>
        <w:rPr>
          <w:color w:val="231F1F"/>
          <w:spacing w:val="-9"/>
          <w:w w:val="110"/>
        </w:rPr>
        <w:t> </w:t>
      </w:r>
      <w:r>
        <w:rPr>
          <w:color w:val="231F1F"/>
          <w:w w:val="110"/>
        </w:rPr>
        <w:t>sutura</w:t>
      </w:r>
      <w:r>
        <w:rPr>
          <w:color w:val="231F1F"/>
          <w:spacing w:val="-9"/>
          <w:w w:val="110"/>
        </w:rPr>
        <w:t> </w:t>
      </w:r>
      <w:r>
        <w:rPr>
          <w:color w:val="231F1F"/>
          <w:w w:val="110"/>
        </w:rPr>
        <w:t>absorbible</w:t>
      </w:r>
      <w:r>
        <w:rPr>
          <w:color w:val="231F1F"/>
          <w:spacing w:val="-8"/>
          <w:w w:val="110"/>
        </w:rPr>
        <w:t> </w:t>
      </w:r>
      <w:r>
        <w:rPr>
          <w:color w:val="231F1F"/>
          <w:w w:val="110"/>
        </w:rPr>
        <w:t>frente</w:t>
      </w:r>
      <w:r>
        <w:rPr>
          <w:color w:val="231F1F"/>
          <w:spacing w:val="-8"/>
          <w:w w:val="110"/>
        </w:rPr>
        <w:t> </w:t>
      </w:r>
      <w:r>
        <w:rPr>
          <w:color w:val="231F1F"/>
          <w:w w:val="110"/>
        </w:rPr>
        <w:t>a</w:t>
      </w:r>
      <w:r>
        <w:rPr>
          <w:color w:val="231F1F"/>
          <w:spacing w:val="-9"/>
          <w:w w:val="110"/>
        </w:rPr>
        <w:t> </w:t>
      </w:r>
      <w:r>
        <w:rPr>
          <w:color w:val="231F1F"/>
          <w:w w:val="110"/>
        </w:rPr>
        <w:t>material</w:t>
      </w:r>
      <w:r>
        <w:rPr>
          <w:color w:val="231F1F"/>
          <w:spacing w:val="-8"/>
          <w:w w:val="110"/>
        </w:rPr>
        <w:t> </w:t>
      </w:r>
      <w:r>
        <w:rPr>
          <w:color w:val="231F1F"/>
          <w:w w:val="110"/>
        </w:rPr>
        <w:t>no</w:t>
      </w:r>
      <w:r>
        <w:rPr>
          <w:color w:val="231F1F"/>
          <w:spacing w:val="-8"/>
          <w:w w:val="110"/>
        </w:rPr>
        <w:t> </w:t>
      </w:r>
      <w:r>
        <w:rPr>
          <w:color w:val="231F1F"/>
          <w:w w:val="110"/>
        </w:rPr>
        <w:t>absorbible,</w:t>
      </w:r>
      <w:r>
        <w:rPr>
          <w:color w:val="231F1F"/>
          <w:spacing w:val="-9"/>
          <w:w w:val="110"/>
        </w:rPr>
        <w:t> </w:t>
      </w:r>
      <w:r>
        <w:rPr>
          <w:color w:val="231F1F"/>
          <w:w w:val="110"/>
        </w:rPr>
        <w:t>y</w:t>
      </w:r>
      <w:r>
        <w:rPr>
          <w:color w:val="231F1F"/>
          <w:spacing w:val="-8"/>
          <w:w w:val="110"/>
        </w:rPr>
        <w:t> </w:t>
      </w:r>
      <w:r>
        <w:rPr>
          <w:color w:val="231F1F"/>
          <w:w w:val="110"/>
        </w:rPr>
        <w:t>por otro</w:t>
      </w:r>
      <w:r>
        <w:rPr>
          <w:color w:val="231F1F"/>
          <w:spacing w:val="-2"/>
          <w:w w:val="110"/>
        </w:rPr>
        <w:t> </w:t>
      </w:r>
      <w:r>
        <w:rPr>
          <w:color w:val="231F1F"/>
          <w:w w:val="110"/>
        </w:rPr>
        <w:t>lado</w:t>
      </w:r>
      <w:r>
        <w:rPr>
          <w:color w:val="231F1F"/>
          <w:spacing w:val="-3"/>
          <w:w w:val="110"/>
        </w:rPr>
        <w:t> </w:t>
      </w:r>
      <w:r>
        <w:rPr>
          <w:color w:val="231F1F"/>
          <w:w w:val="110"/>
        </w:rPr>
        <w:t>estudios</w:t>
      </w:r>
      <w:r>
        <w:rPr>
          <w:color w:val="231F1F"/>
          <w:spacing w:val="-2"/>
          <w:w w:val="110"/>
        </w:rPr>
        <w:t> </w:t>
      </w:r>
      <w:r>
        <w:rPr>
          <w:color w:val="231F1F"/>
          <w:w w:val="110"/>
        </w:rPr>
        <w:t>que</w:t>
      </w:r>
      <w:r>
        <w:rPr>
          <w:color w:val="231F1F"/>
          <w:spacing w:val="-3"/>
          <w:w w:val="110"/>
        </w:rPr>
        <w:t> </w:t>
      </w:r>
      <w:r>
        <w:rPr>
          <w:color w:val="231F1F"/>
          <w:w w:val="110"/>
        </w:rPr>
        <w:t>comparan</w:t>
      </w:r>
      <w:r>
        <w:rPr>
          <w:color w:val="231F1F"/>
          <w:spacing w:val="-2"/>
          <w:w w:val="110"/>
        </w:rPr>
        <w:t> </w:t>
      </w:r>
      <w:r>
        <w:rPr>
          <w:color w:val="231F1F"/>
          <w:w w:val="110"/>
        </w:rPr>
        <w:t>distintos</w:t>
      </w:r>
      <w:r>
        <w:rPr>
          <w:color w:val="231F1F"/>
          <w:spacing w:val="-3"/>
          <w:w w:val="110"/>
        </w:rPr>
        <w:t> </w:t>
      </w:r>
      <w:r>
        <w:rPr>
          <w:color w:val="231F1F"/>
          <w:w w:val="110"/>
        </w:rPr>
        <w:t>materiales</w:t>
      </w:r>
      <w:r>
        <w:rPr>
          <w:color w:val="231F1F"/>
          <w:spacing w:val="-2"/>
          <w:w w:val="110"/>
        </w:rPr>
        <w:t> </w:t>
      </w:r>
      <w:r>
        <w:rPr>
          <w:color w:val="231F1F"/>
          <w:w w:val="110"/>
        </w:rPr>
        <w:t>de</w:t>
      </w:r>
      <w:r>
        <w:rPr>
          <w:color w:val="231F1F"/>
          <w:spacing w:val="-3"/>
          <w:w w:val="110"/>
        </w:rPr>
        <w:t> </w:t>
      </w:r>
      <w:r>
        <w:rPr>
          <w:color w:val="231F1F"/>
          <w:w w:val="110"/>
        </w:rPr>
        <w:t>sutura</w:t>
      </w:r>
      <w:r>
        <w:rPr>
          <w:color w:val="231F1F"/>
          <w:spacing w:val="-2"/>
          <w:w w:val="110"/>
        </w:rPr>
        <w:t> </w:t>
      </w:r>
      <w:r>
        <w:rPr>
          <w:color w:val="231F1F"/>
          <w:w w:val="110"/>
        </w:rPr>
        <w:t>absorbibles.</w:t>
      </w:r>
    </w:p>
    <w:p>
      <w:pPr>
        <w:spacing w:line="244" w:lineRule="auto" w:before="138"/>
        <w:ind w:left="283" w:right="3" w:firstLine="0"/>
        <w:jc w:val="both"/>
        <w:rPr>
          <w:i/>
          <w:sz w:val="22"/>
        </w:rPr>
      </w:pPr>
      <w:r>
        <w:rPr>
          <w:i/>
          <w:color w:val="231F1F"/>
          <w:w w:val="105"/>
          <w:sz w:val="22"/>
        </w:rPr>
        <w:t>Material</w:t>
      </w:r>
      <w:r>
        <w:rPr>
          <w:i/>
          <w:color w:val="231F1F"/>
          <w:spacing w:val="-11"/>
          <w:w w:val="105"/>
          <w:sz w:val="22"/>
        </w:rPr>
        <w:t> </w:t>
      </w:r>
      <w:r>
        <w:rPr>
          <w:i/>
          <w:color w:val="231F1F"/>
          <w:w w:val="105"/>
          <w:sz w:val="22"/>
        </w:rPr>
        <w:t>de</w:t>
      </w:r>
      <w:r>
        <w:rPr>
          <w:i/>
          <w:color w:val="231F1F"/>
          <w:spacing w:val="-11"/>
          <w:w w:val="105"/>
          <w:sz w:val="22"/>
        </w:rPr>
        <w:t> </w:t>
      </w:r>
      <w:r>
        <w:rPr>
          <w:i/>
          <w:color w:val="231F1F"/>
          <w:w w:val="105"/>
          <w:sz w:val="22"/>
        </w:rPr>
        <w:t>sutura</w:t>
      </w:r>
      <w:r>
        <w:rPr>
          <w:i/>
          <w:color w:val="231F1F"/>
          <w:spacing w:val="-12"/>
          <w:w w:val="105"/>
          <w:sz w:val="22"/>
        </w:rPr>
        <w:t> </w:t>
      </w:r>
      <w:r>
        <w:rPr>
          <w:i/>
          <w:color w:val="231F1F"/>
          <w:w w:val="105"/>
          <w:sz w:val="22"/>
        </w:rPr>
        <w:t>absorbible</w:t>
      </w:r>
      <w:r>
        <w:rPr>
          <w:i/>
          <w:color w:val="231F1F"/>
          <w:spacing w:val="-12"/>
          <w:w w:val="105"/>
          <w:sz w:val="22"/>
        </w:rPr>
        <w:t> </w:t>
      </w:r>
      <w:r>
        <w:rPr>
          <w:i/>
          <w:color w:val="231F1F"/>
          <w:w w:val="105"/>
          <w:sz w:val="22"/>
        </w:rPr>
        <w:t>vs</w:t>
      </w:r>
      <w:r>
        <w:rPr>
          <w:i/>
          <w:color w:val="231F1F"/>
          <w:spacing w:val="-11"/>
          <w:w w:val="105"/>
          <w:sz w:val="22"/>
        </w:rPr>
        <w:t> </w:t>
      </w:r>
      <w:r>
        <w:rPr>
          <w:i/>
          <w:color w:val="231F1F"/>
          <w:w w:val="105"/>
          <w:sz w:val="22"/>
        </w:rPr>
        <w:t>a</w:t>
      </w:r>
      <w:r>
        <w:rPr>
          <w:i/>
          <w:color w:val="231F1F"/>
          <w:spacing w:val="-11"/>
          <w:w w:val="105"/>
          <w:sz w:val="22"/>
        </w:rPr>
        <w:t> </w:t>
      </w:r>
      <w:r>
        <w:rPr>
          <w:i/>
          <w:color w:val="231F1F"/>
          <w:w w:val="105"/>
          <w:sz w:val="22"/>
        </w:rPr>
        <w:t>material</w:t>
      </w:r>
      <w:r>
        <w:rPr>
          <w:i/>
          <w:color w:val="231F1F"/>
          <w:spacing w:val="-11"/>
          <w:w w:val="105"/>
          <w:sz w:val="22"/>
        </w:rPr>
        <w:t> </w:t>
      </w:r>
      <w:r>
        <w:rPr>
          <w:i/>
          <w:color w:val="231F1F"/>
          <w:w w:val="105"/>
          <w:sz w:val="22"/>
        </w:rPr>
        <w:t>no</w:t>
      </w:r>
      <w:r>
        <w:rPr>
          <w:i/>
          <w:color w:val="231F1F"/>
          <w:spacing w:val="-11"/>
          <w:w w:val="105"/>
          <w:sz w:val="22"/>
        </w:rPr>
        <w:t> </w:t>
      </w:r>
      <w:r>
        <w:rPr>
          <w:i/>
          <w:color w:val="231F1F"/>
          <w:w w:val="105"/>
          <w:sz w:val="22"/>
        </w:rPr>
        <w:t>absorbible</w:t>
      </w:r>
      <w:r>
        <w:rPr>
          <w:i/>
          <w:color w:val="231F1F"/>
          <w:spacing w:val="-12"/>
          <w:w w:val="105"/>
          <w:sz w:val="22"/>
        </w:rPr>
        <w:t> </w:t>
      </w:r>
      <w:r>
        <w:rPr>
          <w:i/>
          <w:color w:val="231F1F"/>
          <w:w w:val="105"/>
          <w:sz w:val="22"/>
        </w:rPr>
        <w:t>(Dexon®</w:t>
      </w:r>
      <w:r>
        <w:rPr>
          <w:i/>
          <w:color w:val="231F1F"/>
          <w:spacing w:val="-11"/>
          <w:w w:val="105"/>
          <w:sz w:val="22"/>
        </w:rPr>
        <w:t> </w:t>
      </w:r>
      <w:r>
        <w:rPr>
          <w:i/>
          <w:color w:val="231F1F"/>
          <w:w w:val="105"/>
          <w:sz w:val="22"/>
        </w:rPr>
        <w:t>absorbible y sintético vs seda o nailon)</w:t>
      </w:r>
    </w:p>
    <w:p>
      <w:pPr>
        <w:pStyle w:val="BodyText"/>
        <w:spacing w:line="252" w:lineRule="auto" w:before="103"/>
        <w:ind w:left="283" w:right="2"/>
        <w:jc w:val="both"/>
      </w:pPr>
      <w:r>
        <w:rPr>
          <w:color w:val="231F1F"/>
          <w:w w:val="110"/>
        </w:rPr>
        <w:t>Una</w:t>
      </w:r>
      <w:r>
        <w:rPr>
          <w:color w:val="231F1F"/>
          <w:spacing w:val="-1"/>
          <w:w w:val="110"/>
        </w:rPr>
        <w:t> </w:t>
      </w:r>
      <w:r>
        <w:rPr>
          <w:color w:val="231F1F"/>
          <w:w w:val="110"/>
        </w:rPr>
        <w:t>RS con un</w:t>
      </w:r>
      <w:r>
        <w:rPr>
          <w:color w:val="231F1F"/>
          <w:spacing w:val="-1"/>
          <w:w w:val="110"/>
        </w:rPr>
        <w:t> </w:t>
      </w:r>
      <w:r>
        <w:rPr>
          <w:color w:val="231F1F"/>
          <w:w w:val="110"/>
        </w:rPr>
        <w:t>total</w:t>
      </w:r>
      <w:r>
        <w:rPr>
          <w:color w:val="231F1F"/>
          <w:spacing w:val="-1"/>
          <w:w w:val="110"/>
        </w:rPr>
        <w:t> </w:t>
      </w:r>
      <w:r>
        <w:rPr>
          <w:color w:val="231F1F"/>
          <w:w w:val="110"/>
        </w:rPr>
        <w:t>de</w:t>
      </w:r>
      <w:r>
        <w:rPr>
          <w:color w:val="231F1F"/>
          <w:spacing w:val="-1"/>
          <w:w w:val="110"/>
        </w:rPr>
        <w:t> </w:t>
      </w:r>
      <w:r>
        <w:rPr>
          <w:color w:val="231F1F"/>
          <w:w w:val="110"/>
        </w:rPr>
        <w:t>6</w:t>
      </w:r>
      <w:r>
        <w:rPr>
          <w:color w:val="231F1F"/>
          <w:spacing w:val="-1"/>
          <w:w w:val="110"/>
        </w:rPr>
        <w:t> </w:t>
      </w:r>
      <w:r>
        <w:rPr>
          <w:color w:val="231F1F"/>
          <w:w w:val="110"/>
        </w:rPr>
        <w:t>estudios</w:t>
      </w:r>
      <w:r>
        <w:rPr>
          <w:color w:val="231F1F"/>
          <w:spacing w:val="-1"/>
          <w:w w:val="110"/>
        </w:rPr>
        <w:t> </w:t>
      </w:r>
      <w:r>
        <w:rPr>
          <w:color w:val="231F1F"/>
          <w:w w:val="110"/>
        </w:rPr>
        <w:t>(171)</w:t>
      </w:r>
      <w:r>
        <w:rPr>
          <w:color w:val="231F1F"/>
          <w:spacing w:val="-1"/>
          <w:w w:val="110"/>
        </w:rPr>
        <w:t> </w:t>
      </w:r>
      <w:r>
        <w:rPr>
          <w:color w:val="231F1F"/>
          <w:w w:val="110"/>
        </w:rPr>
        <w:t>mostró que</w:t>
      </w:r>
      <w:r>
        <w:rPr>
          <w:color w:val="231F1F"/>
          <w:spacing w:val="-1"/>
          <w:w w:val="110"/>
        </w:rPr>
        <w:t> </w:t>
      </w:r>
      <w:r>
        <w:rPr>
          <w:color w:val="231F1F"/>
          <w:w w:val="110"/>
        </w:rPr>
        <w:t>las</w:t>
      </w:r>
      <w:r>
        <w:rPr>
          <w:color w:val="231F1F"/>
          <w:spacing w:val="-1"/>
          <w:w w:val="110"/>
        </w:rPr>
        <w:t> </w:t>
      </w:r>
      <w:r>
        <w:rPr>
          <w:color w:val="231F1F"/>
          <w:w w:val="110"/>
        </w:rPr>
        <w:t>mujeres</w:t>
      </w:r>
      <w:r>
        <w:rPr>
          <w:color w:val="231F1F"/>
          <w:spacing w:val="-1"/>
          <w:w w:val="110"/>
        </w:rPr>
        <w:t> </w:t>
      </w:r>
      <w:r>
        <w:rPr>
          <w:color w:val="231F1F"/>
          <w:w w:val="110"/>
        </w:rPr>
        <w:t>con sutura de</w:t>
      </w:r>
      <w:r>
        <w:rPr>
          <w:color w:val="231F1F"/>
          <w:spacing w:val="-2"/>
          <w:w w:val="110"/>
        </w:rPr>
        <w:t> </w:t>
      </w:r>
      <w:r>
        <w:rPr>
          <w:color w:val="231F1F"/>
          <w:w w:val="110"/>
        </w:rPr>
        <w:t>material</w:t>
      </w:r>
      <w:r>
        <w:rPr>
          <w:color w:val="231F1F"/>
          <w:spacing w:val="-2"/>
          <w:w w:val="110"/>
        </w:rPr>
        <w:t> </w:t>
      </w:r>
      <w:r>
        <w:rPr>
          <w:color w:val="231F1F"/>
          <w:w w:val="110"/>
        </w:rPr>
        <w:t>Dexon®,</w:t>
      </w:r>
      <w:r>
        <w:rPr>
          <w:color w:val="231F1F"/>
          <w:spacing w:val="-3"/>
          <w:w w:val="110"/>
        </w:rPr>
        <w:t> </w:t>
      </w:r>
      <w:r>
        <w:rPr>
          <w:color w:val="231F1F"/>
          <w:w w:val="110"/>
        </w:rPr>
        <w:t>en</w:t>
      </w:r>
      <w:r>
        <w:rPr>
          <w:color w:val="231F1F"/>
          <w:spacing w:val="-2"/>
          <w:w w:val="110"/>
        </w:rPr>
        <w:t> </w:t>
      </w:r>
      <w:r>
        <w:rPr>
          <w:color w:val="231F1F"/>
          <w:w w:val="110"/>
        </w:rPr>
        <w:t>comparación</w:t>
      </w:r>
      <w:r>
        <w:rPr>
          <w:color w:val="231F1F"/>
          <w:spacing w:val="-2"/>
          <w:w w:val="110"/>
        </w:rPr>
        <w:t> </w:t>
      </w:r>
      <w:r>
        <w:rPr>
          <w:color w:val="231F1F"/>
          <w:w w:val="110"/>
        </w:rPr>
        <w:t>con</w:t>
      </w:r>
      <w:r>
        <w:rPr>
          <w:color w:val="231F1F"/>
          <w:spacing w:val="-2"/>
          <w:w w:val="110"/>
        </w:rPr>
        <w:t> </w:t>
      </w:r>
      <w:r>
        <w:rPr>
          <w:color w:val="231F1F"/>
          <w:w w:val="110"/>
        </w:rPr>
        <w:t>las</w:t>
      </w:r>
      <w:r>
        <w:rPr>
          <w:color w:val="231F1F"/>
          <w:spacing w:val="-2"/>
          <w:w w:val="110"/>
        </w:rPr>
        <w:t> </w:t>
      </w:r>
      <w:r>
        <w:rPr>
          <w:color w:val="231F1F"/>
          <w:w w:val="110"/>
        </w:rPr>
        <w:t>del</w:t>
      </w:r>
      <w:r>
        <w:rPr>
          <w:color w:val="231F1F"/>
          <w:spacing w:val="-3"/>
          <w:w w:val="110"/>
        </w:rPr>
        <w:t> </w:t>
      </w:r>
      <w:r>
        <w:rPr>
          <w:color w:val="231F1F"/>
          <w:w w:val="110"/>
        </w:rPr>
        <w:t>grupo</w:t>
      </w:r>
      <w:r>
        <w:rPr>
          <w:color w:val="231F1F"/>
          <w:spacing w:val="-2"/>
          <w:w w:val="110"/>
        </w:rPr>
        <w:t> </w:t>
      </w:r>
      <w:r>
        <w:rPr>
          <w:color w:val="231F1F"/>
          <w:w w:val="110"/>
        </w:rPr>
        <w:t>con</w:t>
      </w:r>
      <w:r>
        <w:rPr>
          <w:color w:val="231F1F"/>
          <w:spacing w:val="-2"/>
          <w:w w:val="110"/>
        </w:rPr>
        <w:t> </w:t>
      </w:r>
      <w:r>
        <w:rPr>
          <w:color w:val="231F1F"/>
          <w:w w:val="110"/>
        </w:rPr>
        <w:t>sutura</w:t>
      </w:r>
      <w:r>
        <w:rPr>
          <w:color w:val="231F1F"/>
          <w:spacing w:val="-3"/>
          <w:w w:val="110"/>
        </w:rPr>
        <w:t> </w:t>
      </w:r>
      <w:r>
        <w:rPr>
          <w:color w:val="231F1F"/>
          <w:w w:val="110"/>
        </w:rPr>
        <w:t>de</w:t>
      </w:r>
      <w:r>
        <w:rPr>
          <w:color w:val="231F1F"/>
          <w:spacing w:val="-2"/>
          <w:w w:val="110"/>
        </w:rPr>
        <w:t> </w:t>
      </w:r>
      <w:r>
        <w:rPr>
          <w:color w:val="231F1F"/>
          <w:w w:val="110"/>
        </w:rPr>
        <w:t>seda, presentan</w:t>
      </w:r>
      <w:r>
        <w:rPr>
          <w:color w:val="231F1F"/>
          <w:spacing w:val="-16"/>
          <w:w w:val="110"/>
        </w:rPr>
        <w:t> </w:t>
      </w:r>
      <w:r>
        <w:rPr>
          <w:color w:val="231F1F"/>
          <w:w w:val="110"/>
        </w:rPr>
        <w:t>menor</w:t>
      </w:r>
      <w:r>
        <w:rPr>
          <w:color w:val="231F1F"/>
          <w:spacing w:val="-15"/>
          <w:w w:val="110"/>
        </w:rPr>
        <w:t> </w:t>
      </w:r>
      <w:r>
        <w:rPr>
          <w:color w:val="231F1F"/>
          <w:w w:val="110"/>
        </w:rPr>
        <w:t>dolor</w:t>
      </w:r>
      <w:r>
        <w:rPr>
          <w:color w:val="231F1F"/>
          <w:spacing w:val="-15"/>
          <w:w w:val="110"/>
        </w:rPr>
        <w:t> </w:t>
      </w:r>
      <w:r>
        <w:rPr>
          <w:color w:val="231F1F"/>
          <w:w w:val="110"/>
        </w:rPr>
        <w:t>a</w:t>
      </w:r>
      <w:r>
        <w:rPr>
          <w:color w:val="231F1F"/>
          <w:spacing w:val="-15"/>
          <w:w w:val="110"/>
        </w:rPr>
        <w:t> </w:t>
      </w:r>
      <w:r>
        <w:rPr>
          <w:color w:val="231F1F"/>
          <w:w w:val="110"/>
        </w:rPr>
        <w:t>corto</w:t>
      </w:r>
      <w:r>
        <w:rPr>
          <w:color w:val="231F1F"/>
          <w:spacing w:val="-15"/>
          <w:w w:val="110"/>
        </w:rPr>
        <w:t> </w:t>
      </w:r>
      <w:r>
        <w:rPr>
          <w:color w:val="231F1F"/>
          <w:w w:val="110"/>
        </w:rPr>
        <w:t>plazo:</w:t>
      </w:r>
      <w:r>
        <w:rPr>
          <w:color w:val="231F1F"/>
          <w:spacing w:val="-15"/>
          <w:w w:val="110"/>
        </w:rPr>
        <w:t> </w:t>
      </w:r>
      <w:r>
        <w:rPr>
          <w:color w:val="231F1F"/>
          <w:w w:val="110"/>
        </w:rPr>
        <w:t>OR</w:t>
      </w:r>
      <w:r>
        <w:rPr>
          <w:color w:val="231F1F"/>
          <w:spacing w:val="-15"/>
          <w:w w:val="110"/>
        </w:rPr>
        <w:t> </w:t>
      </w:r>
      <w:r>
        <w:rPr>
          <w:color w:val="231F1F"/>
          <w:w w:val="110"/>
        </w:rPr>
        <w:t>0,72</w:t>
      </w:r>
      <w:r>
        <w:rPr>
          <w:color w:val="231F1F"/>
          <w:spacing w:val="-15"/>
          <w:w w:val="110"/>
        </w:rPr>
        <w:t> </w:t>
      </w:r>
      <w:r>
        <w:rPr>
          <w:color w:val="231F1F"/>
          <w:w w:val="110"/>
        </w:rPr>
        <w:t>[IC</w:t>
      </w:r>
      <w:r>
        <w:rPr>
          <w:color w:val="231F1F"/>
          <w:spacing w:val="-16"/>
          <w:w w:val="110"/>
        </w:rPr>
        <w:t> </w:t>
      </w:r>
      <w:r>
        <w:rPr>
          <w:color w:val="231F1F"/>
          <w:w w:val="110"/>
        </w:rPr>
        <w:t>95%</w:t>
      </w:r>
      <w:r>
        <w:rPr>
          <w:color w:val="231F1F"/>
          <w:spacing w:val="-15"/>
          <w:w w:val="110"/>
        </w:rPr>
        <w:t> </w:t>
      </w:r>
      <w:r>
        <w:rPr>
          <w:color w:val="231F1F"/>
          <w:w w:val="110"/>
        </w:rPr>
        <w:t>0,57</w:t>
      </w:r>
      <w:r>
        <w:rPr>
          <w:color w:val="231F1F"/>
          <w:spacing w:val="-15"/>
          <w:w w:val="110"/>
        </w:rPr>
        <w:t> </w:t>
      </w:r>
      <w:r>
        <w:rPr>
          <w:color w:val="231F1F"/>
          <w:w w:val="110"/>
        </w:rPr>
        <w:t>a</w:t>
      </w:r>
      <w:r>
        <w:rPr>
          <w:color w:val="231F1F"/>
          <w:spacing w:val="-15"/>
          <w:w w:val="110"/>
        </w:rPr>
        <w:t> </w:t>
      </w:r>
      <w:r>
        <w:rPr>
          <w:color w:val="231F1F"/>
          <w:w w:val="110"/>
        </w:rPr>
        <w:t>0,92]</w:t>
      </w:r>
      <w:r>
        <w:rPr>
          <w:color w:val="231F1F"/>
          <w:spacing w:val="-15"/>
          <w:w w:val="110"/>
        </w:rPr>
        <w:t> </w:t>
      </w:r>
      <w:r>
        <w:rPr>
          <w:color w:val="231F1F"/>
          <w:w w:val="110"/>
        </w:rPr>
        <w:t>y</w:t>
      </w:r>
      <w:r>
        <w:rPr>
          <w:color w:val="231F1F"/>
          <w:spacing w:val="-15"/>
          <w:w w:val="110"/>
        </w:rPr>
        <w:t> </w:t>
      </w:r>
      <w:r>
        <w:rPr>
          <w:color w:val="231F1F"/>
          <w:w w:val="110"/>
        </w:rPr>
        <w:t>que</w:t>
      </w:r>
      <w:r>
        <w:rPr>
          <w:color w:val="231F1F"/>
          <w:spacing w:val="-15"/>
          <w:w w:val="110"/>
        </w:rPr>
        <w:t> </w:t>
      </w:r>
      <w:r>
        <w:rPr>
          <w:color w:val="231F1F"/>
          <w:w w:val="110"/>
        </w:rPr>
        <w:t>las </w:t>
      </w:r>
      <w:r>
        <w:rPr>
          <w:color w:val="231F1F"/>
        </w:rPr>
        <w:t>mujeres del grupo con sutura de Nailon: OR 0,39 [IC 95% 0,28 a 0,55]. No se </w:t>
      </w:r>
      <w:r>
        <w:rPr>
          <w:color w:val="231F1F"/>
          <w:w w:val="110"/>
        </w:rPr>
        <w:t>informa del dolor a largo plazo, ni de la dispareunia.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29"/>
        <w:rPr>
          <w:sz w:val="18"/>
        </w:rPr>
      </w:pPr>
    </w:p>
    <w:p>
      <w:pPr>
        <w:spacing w:line="278" w:lineRule="auto" w:before="1"/>
        <w:ind w:left="386" w:right="446"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9"/>
        <w:rPr>
          <w:rFonts w:ascii="Arial MT"/>
          <w:sz w:val="18"/>
        </w:rPr>
      </w:pPr>
    </w:p>
    <w:p>
      <w:pPr>
        <w:spacing w:line="273" w:lineRule="auto" w:before="0"/>
        <w:ind w:left="386" w:right="446"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86"/>
        <w:rPr>
          <w:rFonts w:ascii="Arial MT"/>
          <w:sz w:val="18"/>
        </w:rPr>
      </w:pPr>
    </w:p>
    <w:p>
      <w:pPr>
        <w:spacing w:line="283" w:lineRule="auto" w:before="0"/>
        <w:ind w:left="85" w:right="158" w:firstLine="0"/>
        <w:jc w:val="center"/>
        <w:rPr>
          <w:rFonts w:ascii="Arial MT"/>
          <w:sz w:val="18"/>
        </w:rPr>
      </w:pP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199" w:lineRule="exact" w:before="0"/>
        <w:ind w:left="0" w:right="71" w:firstLine="0"/>
        <w:jc w:val="center"/>
        <w:rPr>
          <w:rFonts w:ascii="Arial MT"/>
          <w:sz w:val="18"/>
        </w:rPr>
      </w:pPr>
      <w:r>
        <w:rPr>
          <w:rFonts w:ascii="Arial MT"/>
          <w:color w:val="231F1F"/>
          <w:spacing w:val="-5"/>
          <w:sz w:val="18"/>
        </w:rPr>
        <w:t>1+</w:t>
      </w:r>
    </w:p>
    <w:p>
      <w:pPr>
        <w:spacing w:after="0" w:line="199" w:lineRule="exact"/>
        <w:jc w:val="center"/>
        <w:rPr>
          <w:rFonts w:ascii="Arial MT"/>
          <w:sz w:val="18"/>
        </w:rPr>
        <w:sectPr>
          <w:pgSz w:w="11900" w:h="16840"/>
          <w:pgMar w:header="0" w:footer="622" w:top="1560" w:bottom="820" w:left="1417" w:right="1559"/>
          <w:cols w:num="2" w:equalWidth="0">
            <w:col w:w="7553" w:space="40"/>
            <w:col w:w="1331"/>
          </w:cols>
        </w:sectPr>
      </w:pPr>
    </w:p>
    <w:p>
      <w:pPr>
        <w:spacing w:before="73"/>
        <w:ind w:left="283" w:right="0" w:firstLine="0"/>
        <w:jc w:val="left"/>
        <w:rPr>
          <w:i/>
          <w:sz w:val="22"/>
        </w:rPr>
      </w:pPr>
      <w:r>
        <w:rPr>
          <w:i/>
          <w:color w:val="231F1F"/>
          <w:spacing w:val="-2"/>
          <w:w w:val="105"/>
          <w:sz w:val="22"/>
        </w:rPr>
        <w:t>Distintos</w:t>
      </w:r>
      <w:r>
        <w:rPr>
          <w:i/>
          <w:color w:val="231F1F"/>
          <w:spacing w:val="-13"/>
          <w:w w:val="105"/>
          <w:sz w:val="22"/>
        </w:rPr>
        <w:t> </w:t>
      </w:r>
      <w:r>
        <w:rPr>
          <w:i/>
          <w:color w:val="231F1F"/>
          <w:spacing w:val="-2"/>
          <w:w w:val="105"/>
          <w:sz w:val="22"/>
        </w:rPr>
        <w:t>materiales</w:t>
      </w:r>
      <w:r>
        <w:rPr>
          <w:i/>
          <w:color w:val="231F1F"/>
          <w:spacing w:val="-10"/>
          <w:w w:val="105"/>
          <w:sz w:val="22"/>
        </w:rPr>
        <w:t> </w:t>
      </w:r>
      <w:r>
        <w:rPr>
          <w:i/>
          <w:color w:val="231F1F"/>
          <w:spacing w:val="-2"/>
          <w:w w:val="105"/>
          <w:sz w:val="22"/>
        </w:rPr>
        <w:t>de</w:t>
      </w:r>
      <w:r>
        <w:rPr>
          <w:i/>
          <w:color w:val="231F1F"/>
          <w:spacing w:val="-9"/>
          <w:w w:val="105"/>
          <w:sz w:val="22"/>
        </w:rPr>
        <w:t> </w:t>
      </w:r>
      <w:r>
        <w:rPr>
          <w:i/>
          <w:color w:val="231F1F"/>
          <w:spacing w:val="-2"/>
          <w:w w:val="105"/>
          <w:sz w:val="22"/>
        </w:rPr>
        <w:t>sutura</w:t>
      </w:r>
      <w:r>
        <w:rPr>
          <w:i/>
          <w:color w:val="231F1F"/>
          <w:spacing w:val="-8"/>
          <w:w w:val="105"/>
          <w:sz w:val="22"/>
        </w:rPr>
        <w:t> </w:t>
      </w:r>
      <w:r>
        <w:rPr>
          <w:i/>
          <w:color w:val="231F1F"/>
          <w:spacing w:val="-2"/>
          <w:w w:val="105"/>
          <w:sz w:val="22"/>
        </w:rPr>
        <w:t>absorbibles</w:t>
      </w:r>
    </w:p>
    <w:p>
      <w:pPr>
        <w:spacing w:before="131"/>
        <w:ind w:left="736" w:right="0" w:firstLine="0"/>
        <w:jc w:val="left"/>
        <w:rPr>
          <w:i/>
          <w:sz w:val="22"/>
        </w:rPr>
      </w:pPr>
      <w:r>
        <w:rPr>
          <w:i/>
          <w:color w:val="231F1F"/>
          <w:w w:val="105"/>
          <w:sz w:val="22"/>
        </w:rPr>
        <w:t>*Catgut</w:t>
      </w:r>
      <w:r>
        <w:rPr>
          <w:i/>
          <w:color w:val="231F1F"/>
          <w:spacing w:val="-5"/>
          <w:w w:val="105"/>
          <w:sz w:val="22"/>
        </w:rPr>
        <w:t> </w:t>
      </w:r>
      <w:r>
        <w:rPr>
          <w:i/>
          <w:color w:val="231F1F"/>
          <w:w w:val="105"/>
          <w:sz w:val="22"/>
        </w:rPr>
        <w:t>(animal)</w:t>
      </w:r>
      <w:r>
        <w:rPr>
          <w:i/>
          <w:color w:val="231F1F"/>
          <w:spacing w:val="-5"/>
          <w:w w:val="105"/>
          <w:sz w:val="22"/>
        </w:rPr>
        <w:t> </w:t>
      </w:r>
      <w:r>
        <w:rPr>
          <w:i/>
          <w:color w:val="231F1F"/>
          <w:w w:val="105"/>
          <w:sz w:val="22"/>
        </w:rPr>
        <w:t>vs</w:t>
      </w:r>
      <w:r>
        <w:rPr>
          <w:i/>
          <w:color w:val="231F1F"/>
          <w:spacing w:val="-5"/>
          <w:w w:val="105"/>
          <w:sz w:val="22"/>
        </w:rPr>
        <w:t> </w:t>
      </w:r>
      <w:r>
        <w:rPr>
          <w:i/>
          <w:color w:val="231F1F"/>
          <w:w w:val="105"/>
          <w:sz w:val="22"/>
        </w:rPr>
        <w:t>Dexon®</w:t>
      </w:r>
      <w:r>
        <w:rPr>
          <w:i/>
          <w:color w:val="231F1F"/>
          <w:spacing w:val="-8"/>
          <w:w w:val="105"/>
          <w:sz w:val="22"/>
        </w:rPr>
        <w:t> </w:t>
      </w:r>
      <w:r>
        <w:rPr>
          <w:i/>
          <w:color w:val="231F1F"/>
          <w:w w:val="105"/>
          <w:sz w:val="22"/>
        </w:rPr>
        <w:t>o</w:t>
      </w:r>
      <w:r>
        <w:rPr>
          <w:i/>
          <w:color w:val="231F1F"/>
          <w:spacing w:val="-5"/>
          <w:w w:val="105"/>
          <w:sz w:val="22"/>
        </w:rPr>
        <w:t> </w:t>
      </w:r>
      <w:r>
        <w:rPr>
          <w:i/>
          <w:color w:val="231F1F"/>
          <w:w w:val="105"/>
          <w:sz w:val="22"/>
        </w:rPr>
        <w:t>Vicryl®</w:t>
      </w:r>
      <w:r>
        <w:rPr>
          <w:i/>
          <w:color w:val="231F1F"/>
          <w:spacing w:val="-7"/>
          <w:w w:val="105"/>
          <w:sz w:val="22"/>
        </w:rPr>
        <w:t> </w:t>
      </w:r>
      <w:r>
        <w:rPr>
          <w:i/>
          <w:color w:val="231F1F"/>
          <w:spacing w:val="-2"/>
          <w:w w:val="105"/>
          <w:sz w:val="22"/>
        </w:rPr>
        <w:t>(sintético).</w:t>
      </w:r>
    </w:p>
    <w:p>
      <w:pPr>
        <w:pStyle w:val="BodyText"/>
        <w:spacing w:line="244" w:lineRule="auto" w:before="136"/>
        <w:ind w:left="283" w:right="1386" w:firstLine="453"/>
      </w:pPr>
      <w:r>
        <w:rPr>
          <w:color w:val="231F1F"/>
          <w:w w:val="110"/>
        </w:rPr>
        <w:t>Comparación</w:t>
      </w:r>
      <w:r>
        <w:rPr>
          <w:color w:val="231F1F"/>
          <w:spacing w:val="-15"/>
          <w:w w:val="110"/>
        </w:rPr>
        <w:t> </w:t>
      </w:r>
      <w:r>
        <w:rPr>
          <w:color w:val="231F1F"/>
          <w:w w:val="110"/>
        </w:rPr>
        <w:t>analizada</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RS</w:t>
      </w:r>
      <w:r>
        <w:rPr>
          <w:color w:val="231F1F"/>
          <w:spacing w:val="-15"/>
          <w:w w:val="110"/>
        </w:rPr>
        <w:t> </w:t>
      </w:r>
      <w:r>
        <w:rPr>
          <w:color w:val="231F1F"/>
          <w:w w:val="110"/>
        </w:rPr>
        <w:t>(160)</w:t>
      </w:r>
      <w:r>
        <w:rPr>
          <w:color w:val="231F1F"/>
          <w:spacing w:val="-15"/>
          <w:w w:val="110"/>
        </w:rPr>
        <w:t> </w:t>
      </w:r>
      <w:r>
        <w:rPr>
          <w:color w:val="231F1F"/>
          <w:w w:val="110"/>
        </w:rPr>
        <w:t>incluida</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y mencionada anteriormente.</w:t>
      </w:r>
    </w:p>
    <w:p>
      <w:pPr>
        <w:spacing w:before="122"/>
        <w:ind w:left="736" w:right="0" w:firstLine="0"/>
        <w:jc w:val="left"/>
        <w:rPr>
          <w:i/>
          <w:sz w:val="22"/>
        </w:rPr>
      </w:pPr>
      <w:r>
        <w:rPr>
          <w:i/>
          <w:color w:val="231F1F"/>
          <w:spacing w:val="-2"/>
          <w:w w:val="105"/>
          <w:sz w:val="22"/>
        </w:rPr>
        <w:t>*Vicryl®</w:t>
      </w:r>
      <w:r>
        <w:rPr>
          <w:i/>
          <w:color w:val="231F1F"/>
          <w:spacing w:val="-11"/>
          <w:w w:val="105"/>
          <w:sz w:val="22"/>
        </w:rPr>
        <w:t> </w:t>
      </w:r>
      <w:r>
        <w:rPr>
          <w:i/>
          <w:color w:val="231F1F"/>
          <w:spacing w:val="-2"/>
          <w:w w:val="105"/>
          <w:sz w:val="22"/>
        </w:rPr>
        <w:t>estándar</w:t>
      </w:r>
      <w:r>
        <w:rPr>
          <w:i/>
          <w:color w:val="231F1F"/>
          <w:spacing w:val="-5"/>
          <w:w w:val="105"/>
          <w:sz w:val="22"/>
        </w:rPr>
        <w:t> </w:t>
      </w:r>
      <w:r>
        <w:rPr>
          <w:i/>
          <w:color w:val="231F1F"/>
          <w:spacing w:val="-2"/>
          <w:w w:val="105"/>
          <w:sz w:val="22"/>
        </w:rPr>
        <w:t>vs</w:t>
      </w:r>
      <w:r>
        <w:rPr>
          <w:i/>
          <w:color w:val="231F1F"/>
          <w:spacing w:val="-7"/>
          <w:w w:val="105"/>
          <w:sz w:val="22"/>
        </w:rPr>
        <w:t> </w:t>
      </w:r>
      <w:r>
        <w:rPr>
          <w:i/>
          <w:color w:val="231F1F"/>
          <w:spacing w:val="-2"/>
          <w:w w:val="105"/>
          <w:sz w:val="22"/>
        </w:rPr>
        <w:t>Vicryl®</w:t>
      </w:r>
      <w:r>
        <w:rPr>
          <w:i/>
          <w:color w:val="231F1F"/>
          <w:spacing w:val="-7"/>
          <w:w w:val="105"/>
          <w:sz w:val="22"/>
        </w:rPr>
        <w:t> </w:t>
      </w:r>
      <w:r>
        <w:rPr>
          <w:i/>
          <w:color w:val="231F1F"/>
          <w:spacing w:val="-2"/>
          <w:w w:val="105"/>
          <w:sz w:val="22"/>
        </w:rPr>
        <w:t>rápido.</w:t>
      </w:r>
    </w:p>
    <w:p>
      <w:pPr>
        <w:pStyle w:val="BodyText"/>
        <w:spacing w:line="244" w:lineRule="auto" w:before="140"/>
        <w:ind w:left="288" w:firstLine="448"/>
      </w:pPr>
      <w:r>
        <w:rPr>
          <w:color w:val="231F1F"/>
          <w:w w:val="110"/>
        </w:rPr>
        <w:t>Comparación</w:t>
      </w:r>
      <w:r>
        <w:rPr>
          <w:color w:val="231F1F"/>
          <w:spacing w:val="-3"/>
          <w:w w:val="110"/>
        </w:rPr>
        <w:t> </w:t>
      </w:r>
      <w:r>
        <w:rPr>
          <w:color w:val="231F1F"/>
          <w:w w:val="110"/>
        </w:rPr>
        <w:t>analizada</w:t>
      </w:r>
      <w:r>
        <w:rPr>
          <w:color w:val="231F1F"/>
          <w:spacing w:val="-3"/>
          <w:w w:val="110"/>
        </w:rPr>
        <w:t> </w:t>
      </w:r>
      <w:r>
        <w:rPr>
          <w:color w:val="231F1F"/>
          <w:w w:val="110"/>
        </w:rPr>
        <w:t>en</w:t>
      </w:r>
      <w:r>
        <w:rPr>
          <w:color w:val="231F1F"/>
          <w:spacing w:val="-3"/>
          <w:w w:val="110"/>
        </w:rPr>
        <w:t> </w:t>
      </w:r>
      <w:r>
        <w:rPr>
          <w:color w:val="231F1F"/>
          <w:w w:val="110"/>
        </w:rPr>
        <w:t>otra</w:t>
      </w:r>
      <w:r>
        <w:rPr>
          <w:color w:val="231F1F"/>
          <w:spacing w:val="-3"/>
          <w:w w:val="110"/>
        </w:rPr>
        <w:t> </w:t>
      </w:r>
      <w:r>
        <w:rPr>
          <w:color w:val="231F1F"/>
          <w:w w:val="110"/>
        </w:rPr>
        <w:t>RS</w:t>
      </w:r>
      <w:r>
        <w:rPr>
          <w:color w:val="231F1F"/>
          <w:spacing w:val="-3"/>
          <w:w w:val="110"/>
        </w:rPr>
        <w:t> </w:t>
      </w:r>
      <w:r>
        <w:rPr>
          <w:color w:val="231F1F"/>
          <w:w w:val="110"/>
        </w:rPr>
        <w:t>(161),</w:t>
      </w:r>
      <w:r>
        <w:rPr>
          <w:color w:val="231F1F"/>
          <w:spacing w:val="-3"/>
          <w:w w:val="110"/>
        </w:rPr>
        <w:t> </w:t>
      </w:r>
      <w:r>
        <w:rPr>
          <w:color w:val="231F1F"/>
          <w:w w:val="110"/>
        </w:rPr>
        <w:t>incluida</w:t>
      </w:r>
      <w:r>
        <w:rPr>
          <w:color w:val="231F1F"/>
          <w:spacing w:val="-3"/>
          <w:w w:val="110"/>
        </w:rPr>
        <w:t> </w:t>
      </w:r>
      <w:r>
        <w:rPr>
          <w:color w:val="231F1F"/>
          <w:w w:val="110"/>
        </w:rPr>
        <w:t>también</w:t>
      </w:r>
      <w:r>
        <w:rPr>
          <w:color w:val="231F1F"/>
          <w:spacing w:val="-3"/>
          <w:w w:val="110"/>
        </w:rPr>
        <w:t> </w:t>
      </w:r>
      <w:r>
        <w:rPr>
          <w:color w:val="231F1F"/>
          <w:w w:val="110"/>
        </w:rPr>
        <w:t>en</w:t>
      </w:r>
      <w:r>
        <w:rPr>
          <w:color w:val="231F1F"/>
          <w:spacing w:val="-3"/>
          <w:w w:val="110"/>
        </w:rPr>
        <w:t> </w:t>
      </w:r>
      <w:r>
        <w:rPr>
          <w:color w:val="231F1F"/>
          <w:w w:val="110"/>
        </w:rPr>
        <w:t>la</w:t>
      </w:r>
      <w:r>
        <w:rPr>
          <w:color w:val="231F1F"/>
          <w:spacing w:val="-3"/>
          <w:w w:val="110"/>
        </w:rPr>
        <w:t> </w:t>
      </w:r>
      <w:r>
        <w:rPr>
          <w:color w:val="231F1F"/>
          <w:w w:val="110"/>
        </w:rPr>
        <w:t>guía</w:t>
      </w:r>
      <w:r>
        <w:rPr>
          <w:color w:val="231F1F"/>
          <w:spacing w:val="-3"/>
          <w:w w:val="110"/>
        </w:rPr>
        <w:t> </w:t>
      </w:r>
      <w:r>
        <w:rPr>
          <w:color w:val="231F1F"/>
          <w:w w:val="110"/>
        </w:rPr>
        <w:t>NICE</w:t>
      </w:r>
      <w:r>
        <w:rPr>
          <w:color w:val="231F1F"/>
          <w:spacing w:val="-3"/>
          <w:w w:val="110"/>
        </w:rPr>
        <w:t> </w:t>
      </w:r>
      <w:r>
        <w:rPr>
          <w:color w:val="231F1F"/>
          <w:w w:val="110"/>
        </w:rPr>
        <w:t>(10)</w:t>
      </w:r>
      <w:r>
        <w:rPr>
          <w:color w:val="231F1F"/>
          <w:spacing w:val="-3"/>
          <w:w w:val="110"/>
        </w:rPr>
        <w:t> </w:t>
      </w:r>
      <w:r>
        <w:rPr>
          <w:color w:val="231F1F"/>
          <w:w w:val="110"/>
        </w:rPr>
        <w:t>y mencionada</w:t>
      </w:r>
      <w:r>
        <w:rPr>
          <w:color w:val="231F1F"/>
          <w:spacing w:val="40"/>
          <w:w w:val="110"/>
        </w:rPr>
        <w:t> </w:t>
      </w:r>
      <w:r>
        <w:rPr>
          <w:color w:val="231F1F"/>
          <w:w w:val="110"/>
        </w:rPr>
        <w:t>anteriormente.</w:t>
      </w:r>
    </w:p>
    <w:p>
      <w:pPr>
        <w:spacing w:before="132"/>
        <w:ind w:left="740" w:right="0" w:firstLine="0"/>
        <w:jc w:val="left"/>
        <w:rPr>
          <w:i/>
          <w:sz w:val="22"/>
        </w:rPr>
      </w:pPr>
      <w:r>
        <w:rPr>
          <w:i/>
          <w:color w:val="231F1F"/>
          <w:w w:val="105"/>
          <w:sz w:val="22"/>
        </w:rPr>
        <w:t>*Pegamento</w:t>
      </w:r>
      <w:r>
        <w:rPr>
          <w:i/>
          <w:color w:val="231F1F"/>
          <w:spacing w:val="-12"/>
          <w:w w:val="105"/>
          <w:sz w:val="22"/>
        </w:rPr>
        <w:t> </w:t>
      </w:r>
      <w:r>
        <w:rPr>
          <w:i/>
          <w:color w:val="231F1F"/>
          <w:w w:val="105"/>
          <w:sz w:val="22"/>
        </w:rPr>
        <w:t>biológico</w:t>
      </w:r>
      <w:r>
        <w:rPr>
          <w:i/>
          <w:color w:val="231F1F"/>
          <w:spacing w:val="-12"/>
          <w:w w:val="105"/>
          <w:sz w:val="22"/>
        </w:rPr>
        <w:t> </w:t>
      </w:r>
      <w:r>
        <w:rPr>
          <w:i/>
          <w:color w:val="231F1F"/>
          <w:w w:val="105"/>
          <w:sz w:val="22"/>
        </w:rPr>
        <w:t>(Enbucrilate</w:t>
      </w:r>
      <w:r>
        <w:rPr>
          <w:i/>
          <w:color w:val="231F1F"/>
          <w:spacing w:val="-9"/>
          <w:w w:val="105"/>
          <w:sz w:val="22"/>
        </w:rPr>
        <w:t> </w:t>
      </w:r>
      <w:r>
        <w:rPr>
          <w:i/>
          <w:color w:val="231F1F"/>
          <w:w w:val="105"/>
          <w:sz w:val="22"/>
        </w:rPr>
        <w:t>Histoacryl®)</w:t>
      </w:r>
      <w:r>
        <w:rPr>
          <w:i/>
          <w:color w:val="231F1F"/>
          <w:spacing w:val="-10"/>
          <w:w w:val="105"/>
          <w:sz w:val="22"/>
        </w:rPr>
        <w:t> </w:t>
      </w:r>
      <w:r>
        <w:rPr>
          <w:i/>
          <w:color w:val="231F1F"/>
          <w:w w:val="105"/>
          <w:sz w:val="22"/>
        </w:rPr>
        <w:t>vs</w:t>
      </w:r>
      <w:r>
        <w:rPr>
          <w:i/>
          <w:color w:val="231F1F"/>
          <w:spacing w:val="-10"/>
          <w:w w:val="105"/>
          <w:sz w:val="22"/>
        </w:rPr>
        <w:t> </w:t>
      </w:r>
      <w:r>
        <w:rPr>
          <w:i/>
          <w:color w:val="231F1F"/>
          <w:w w:val="105"/>
          <w:sz w:val="22"/>
        </w:rPr>
        <w:t>Dexon®</w:t>
      </w:r>
      <w:r>
        <w:rPr>
          <w:i/>
          <w:color w:val="231F1F"/>
          <w:spacing w:val="-12"/>
          <w:w w:val="105"/>
          <w:sz w:val="22"/>
        </w:rPr>
        <w:t> </w:t>
      </w:r>
      <w:r>
        <w:rPr>
          <w:i/>
          <w:color w:val="231F1F"/>
          <w:w w:val="105"/>
          <w:sz w:val="22"/>
        </w:rPr>
        <w:t>o</w:t>
      </w:r>
      <w:r>
        <w:rPr>
          <w:i/>
          <w:color w:val="231F1F"/>
          <w:spacing w:val="-11"/>
          <w:w w:val="105"/>
          <w:sz w:val="22"/>
        </w:rPr>
        <w:t> </w:t>
      </w:r>
      <w:r>
        <w:rPr>
          <w:i/>
          <w:color w:val="231F1F"/>
          <w:spacing w:val="-2"/>
          <w:w w:val="105"/>
          <w:sz w:val="22"/>
        </w:rPr>
        <w:t>Vicryl®:</w:t>
      </w:r>
    </w:p>
    <w:p>
      <w:pPr>
        <w:spacing w:after="0"/>
        <w:jc w:val="left"/>
        <w:rPr>
          <w:i/>
          <w:sz w:val="22"/>
        </w:rPr>
        <w:sectPr>
          <w:pgSz w:w="11900" w:h="16840"/>
          <w:pgMar w:header="0" w:footer="622" w:top="1560" w:bottom="820" w:left="1417" w:right="1559"/>
        </w:sectPr>
      </w:pPr>
    </w:p>
    <w:p>
      <w:pPr>
        <w:pStyle w:val="BodyText"/>
        <w:spacing w:line="254" w:lineRule="auto" w:before="112"/>
        <w:ind w:left="287" w:right="38" w:firstLine="453"/>
        <w:jc w:val="both"/>
      </w:pPr>
      <w:r>
        <w:rPr>
          <w:color w:val="231F1F"/>
          <w:w w:val="105"/>
        </w:rPr>
        <w:t>La</w:t>
      </w:r>
      <w:r>
        <w:rPr>
          <w:color w:val="231F1F"/>
          <w:spacing w:val="-1"/>
          <w:w w:val="105"/>
        </w:rPr>
        <w:t> </w:t>
      </w:r>
      <w:r>
        <w:rPr>
          <w:color w:val="231F1F"/>
          <w:w w:val="105"/>
        </w:rPr>
        <w:t>evidencia</w:t>
      </w:r>
      <w:r>
        <w:rPr>
          <w:color w:val="231F1F"/>
          <w:spacing w:val="-1"/>
          <w:w w:val="105"/>
        </w:rPr>
        <w:t> </w:t>
      </w:r>
      <w:r>
        <w:rPr>
          <w:color w:val="231F1F"/>
          <w:w w:val="105"/>
        </w:rPr>
        <w:t>se</w:t>
      </w:r>
      <w:r>
        <w:rPr>
          <w:color w:val="231F1F"/>
          <w:spacing w:val="-1"/>
          <w:w w:val="105"/>
        </w:rPr>
        <w:t> </w:t>
      </w:r>
      <w:r>
        <w:rPr>
          <w:color w:val="231F1F"/>
          <w:w w:val="105"/>
        </w:rPr>
        <w:t>recogió</w:t>
      </w:r>
      <w:r>
        <w:rPr>
          <w:color w:val="231F1F"/>
          <w:spacing w:val="-1"/>
          <w:w w:val="105"/>
        </w:rPr>
        <w:t> </w:t>
      </w:r>
      <w:r>
        <w:rPr>
          <w:color w:val="231F1F"/>
          <w:w w:val="105"/>
        </w:rPr>
        <w:t>de</w:t>
      </w:r>
      <w:r>
        <w:rPr>
          <w:color w:val="231F1F"/>
          <w:spacing w:val="-1"/>
          <w:w w:val="105"/>
        </w:rPr>
        <w:t> </w:t>
      </w:r>
      <w:r>
        <w:rPr>
          <w:color w:val="231F1F"/>
          <w:w w:val="105"/>
        </w:rPr>
        <w:t>un</w:t>
      </w:r>
      <w:r>
        <w:rPr>
          <w:color w:val="231F1F"/>
          <w:spacing w:val="-1"/>
          <w:w w:val="105"/>
        </w:rPr>
        <w:t> </w:t>
      </w:r>
      <w:r>
        <w:rPr>
          <w:color w:val="231F1F"/>
          <w:w w:val="105"/>
        </w:rPr>
        <w:t>estudio</w:t>
      </w:r>
      <w:r>
        <w:rPr>
          <w:color w:val="231F1F"/>
          <w:spacing w:val="-1"/>
          <w:w w:val="105"/>
        </w:rPr>
        <w:t> </w:t>
      </w:r>
      <w:r>
        <w:rPr>
          <w:color w:val="231F1F"/>
          <w:w w:val="105"/>
        </w:rPr>
        <w:t>comparativo</w:t>
      </w:r>
      <w:r>
        <w:rPr>
          <w:color w:val="231F1F"/>
          <w:spacing w:val="-1"/>
          <w:w w:val="105"/>
        </w:rPr>
        <w:t> </w:t>
      </w:r>
      <w:r>
        <w:rPr>
          <w:color w:val="231F1F"/>
          <w:w w:val="105"/>
        </w:rPr>
        <w:t>(172),</w:t>
      </w:r>
      <w:r>
        <w:rPr>
          <w:color w:val="231F1F"/>
          <w:spacing w:val="-1"/>
          <w:w w:val="105"/>
        </w:rPr>
        <w:t> </w:t>
      </w:r>
      <w:r>
        <w:rPr>
          <w:color w:val="231F1F"/>
          <w:w w:val="105"/>
        </w:rPr>
        <w:t>cuasi-aleatorio, que</w:t>
      </w:r>
      <w:r>
        <w:rPr>
          <w:color w:val="231F1F"/>
          <w:spacing w:val="-7"/>
          <w:w w:val="105"/>
        </w:rPr>
        <w:t> </w:t>
      </w:r>
      <w:r>
        <w:rPr>
          <w:color w:val="231F1F"/>
          <w:w w:val="105"/>
        </w:rPr>
        <w:t>tan</w:t>
      </w:r>
      <w:r>
        <w:rPr>
          <w:color w:val="231F1F"/>
          <w:spacing w:val="-7"/>
          <w:w w:val="105"/>
        </w:rPr>
        <w:t> </w:t>
      </w:r>
      <w:r>
        <w:rPr>
          <w:color w:val="231F1F"/>
          <w:w w:val="105"/>
        </w:rPr>
        <w:t>solo</w:t>
      </w:r>
      <w:r>
        <w:rPr>
          <w:color w:val="231F1F"/>
          <w:spacing w:val="-7"/>
          <w:w w:val="105"/>
        </w:rPr>
        <w:t> </w:t>
      </w:r>
      <w:r>
        <w:rPr>
          <w:color w:val="231F1F"/>
          <w:w w:val="105"/>
        </w:rPr>
        <w:t>incluía</w:t>
      </w:r>
      <w:r>
        <w:rPr>
          <w:color w:val="231F1F"/>
          <w:spacing w:val="-7"/>
          <w:w w:val="105"/>
        </w:rPr>
        <w:t> </w:t>
      </w:r>
      <w:r>
        <w:rPr>
          <w:color w:val="231F1F"/>
          <w:w w:val="105"/>
        </w:rPr>
        <w:t>a</w:t>
      </w:r>
      <w:r>
        <w:rPr>
          <w:color w:val="231F1F"/>
          <w:spacing w:val="-7"/>
          <w:w w:val="105"/>
        </w:rPr>
        <w:t> </w:t>
      </w:r>
      <w:r>
        <w:rPr>
          <w:color w:val="231F1F"/>
          <w:w w:val="105"/>
        </w:rPr>
        <w:t>62</w:t>
      </w:r>
      <w:r>
        <w:rPr>
          <w:color w:val="231F1F"/>
          <w:spacing w:val="-7"/>
          <w:w w:val="105"/>
        </w:rPr>
        <w:t> </w:t>
      </w:r>
      <w:r>
        <w:rPr>
          <w:color w:val="231F1F"/>
          <w:w w:val="105"/>
        </w:rPr>
        <w:t>mujeres.</w:t>
      </w:r>
      <w:r>
        <w:rPr>
          <w:color w:val="231F1F"/>
          <w:spacing w:val="-7"/>
          <w:w w:val="105"/>
        </w:rPr>
        <w:t> </w:t>
      </w:r>
      <w:r>
        <w:rPr>
          <w:color w:val="231F1F"/>
          <w:w w:val="105"/>
        </w:rPr>
        <w:t>Se</w:t>
      </w:r>
      <w:r>
        <w:rPr>
          <w:color w:val="231F1F"/>
          <w:spacing w:val="-7"/>
          <w:w w:val="105"/>
        </w:rPr>
        <w:t> </w:t>
      </w:r>
      <w:r>
        <w:rPr>
          <w:color w:val="231F1F"/>
          <w:w w:val="105"/>
        </w:rPr>
        <w:t>observó</w:t>
      </w:r>
      <w:r>
        <w:rPr>
          <w:color w:val="231F1F"/>
          <w:spacing w:val="-7"/>
          <w:w w:val="105"/>
        </w:rPr>
        <w:t> </w:t>
      </w:r>
      <w:r>
        <w:rPr>
          <w:color w:val="231F1F"/>
          <w:w w:val="105"/>
        </w:rPr>
        <w:t>una</w:t>
      </w:r>
      <w:r>
        <w:rPr>
          <w:color w:val="231F1F"/>
          <w:spacing w:val="-7"/>
          <w:w w:val="105"/>
        </w:rPr>
        <w:t> </w:t>
      </w:r>
      <w:r>
        <w:rPr>
          <w:color w:val="231F1F"/>
          <w:w w:val="105"/>
        </w:rPr>
        <w:t>rápida</w:t>
      </w:r>
      <w:r>
        <w:rPr>
          <w:color w:val="231F1F"/>
          <w:spacing w:val="-7"/>
          <w:w w:val="105"/>
        </w:rPr>
        <w:t> </w:t>
      </w:r>
      <w:r>
        <w:rPr>
          <w:color w:val="231F1F"/>
          <w:w w:val="105"/>
        </w:rPr>
        <w:t>desaparición</w:t>
      </w:r>
      <w:r>
        <w:rPr>
          <w:color w:val="231F1F"/>
          <w:spacing w:val="-8"/>
          <w:w w:val="105"/>
        </w:rPr>
        <w:t> </w:t>
      </w:r>
      <w:r>
        <w:rPr>
          <w:color w:val="231F1F"/>
          <w:w w:val="105"/>
        </w:rPr>
        <w:t>del</w:t>
      </w:r>
      <w:r>
        <w:rPr>
          <w:color w:val="231F1F"/>
          <w:spacing w:val="-7"/>
          <w:w w:val="105"/>
        </w:rPr>
        <w:t> </w:t>
      </w:r>
      <w:r>
        <w:rPr>
          <w:color w:val="231F1F"/>
          <w:w w:val="105"/>
        </w:rPr>
        <w:t>dolor perineal: 18 días vs 25 días; p&lt;0,01, y una más temprana recuperación de las relaciones sexuales: 34 días vs 52 días; p&lt;0,001 entre la mujeres donde se uti- lizó</w:t>
      </w:r>
      <w:r>
        <w:rPr>
          <w:color w:val="231F1F"/>
          <w:w w:val="105"/>
        </w:rPr>
        <w:t> el</w:t>
      </w:r>
      <w:r>
        <w:rPr>
          <w:color w:val="231F1F"/>
          <w:w w:val="105"/>
        </w:rPr>
        <w:t> pegamento</w:t>
      </w:r>
      <w:r>
        <w:rPr>
          <w:color w:val="231F1F"/>
          <w:w w:val="105"/>
        </w:rPr>
        <w:t> biológico,</w:t>
      </w:r>
      <w:r>
        <w:rPr>
          <w:color w:val="231F1F"/>
          <w:w w:val="105"/>
        </w:rPr>
        <w:t> en</w:t>
      </w:r>
      <w:r>
        <w:rPr>
          <w:color w:val="231F1F"/>
          <w:w w:val="105"/>
        </w:rPr>
        <w:t> comparación</w:t>
      </w:r>
      <w:r>
        <w:rPr>
          <w:color w:val="231F1F"/>
          <w:w w:val="105"/>
        </w:rPr>
        <w:t> con</w:t>
      </w:r>
      <w:r>
        <w:rPr>
          <w:color w:val="231F1F"/>
          <w:w w:val="105"/>
        </w:rPr>
        <w:t> la</w:t>
      </w:r>
      <w:r>
        <w:rPr>
          <w:color w:val="231F1F"/>
          <w:w w:val="105"/>
        </w:rPr>
        <w:t> sutura</w:t>
      </w:r>
      <w:r>
        <w:rPr>
          <w:color w:val="231F1F"/>
          <w:w w:val="105"/>
        </w:rPr>
        <w:t> intradérmica</w:t>
      </w:r>
      <w:r>
        <w:rPr>
          <w:color w:val="231F1F"/>
          <w:w w:val="105"/>
        </w:rPr>
        <w:t> con más de un material sintético absorbible.</w:t>
      </w:r>
    </w:p>
    <w:p>
      <w:pPr>
        <w:pStyle w:val="BodyText"/>
        <w:spacing w:line="256" w:lineRule="auto" w:before="47"/>
        <w:ind w:left="288" w:right="39" w:firstLine="453"/>
        <w:jc w:val="both"/>
      </w:pPr>
      <w:r>
        <w:rPr>
          <w:color w:val="231F1F"/>
          <w:w w:val="110"/>
        </w:rPr>
        <w:t>Existe</w:t>
      </w:r>
      <w:r>
        <w:rPr>
          <w:color w:val="231F1F"/>
          <w:spacing w:val="-7"/>
          <w:w w:val="110"/>
        </w:rPr>
        <w:t> </w:t>
      </w:r>
      <w:r>
        <w:rPr>
          <w:color w:val="231F1F"/>
          <w:w w:val="110"/>
        </w:rPr>
        <w:t>un</w:t>
      </w:r>
      <w:r>
        <w:rPr>
          <w:color w:val="231F1F"/>
          <w:spacing w:val="-7"/>
          <w:w w:val="110"/>
        </w:rPr>
        <w:t> </w:t>
      </w:r>
      <w:r>
        <w:rPr>
          <w:color w:val="231F1F"/>
          <w:w w:val="110"/>
        </w:rPr>
        <w:t>alto</w:t>
      </w:r>
      <w:r>
        <w:rPr>
          <w:color w:val="231F1F"/>
          <w:spacing w:val="-7"/>
          <w:w w:val="110"/>
        </w:rPr>
        <w:t> </w:t>
      </w:r>
      <w:r>
        <w:rPr>
          <w:color w:val="231F1F"/>
          <w:w w:val="110"/>
        </w:rPr>
        <w:t>nivel</w:t>
      </w:r>
      <w:r>
        <w:rPr>
          <w:color w:val="231F1F"/>
          <w:spacing w:val="-8"/>
          <w:w w:val="110"/>
        </w:rPr>
        <w:t> </w:t>
      </w:r>
      <w:r>
        <w:rPr>
          <w:color w:val="231F1F"/>
          <w:w w:val="110"/>
        </w:rPr>
        <w:t>de</w:t>
      </w:r>
      <w:r>
        <w:rPr>
          <w:color w:val="231F1F"/>
          <w:spacing w:val="-7"/>
          <w:w w:val="110"/>
        </w:rPr>
        <w:t> </w:t>
      </w:r>
      <w:r>
        <w:rPr>
          <w:color w:val="231F1F"/>
          <w:w w:val="110"/>
        </w:rPr>
        <w:t>evidencia</w:t>
      </w:r>
      <w:r>
        <w:rPr>
          <w:color w:val="231F1F"/>
          <w:spacing w:val="-7"/>
          <w:w w:val="110"/>
        </w:rPr>
        <w:t> </w:t>
      </w:r>
      <w:r>
        <w:rPr>
          <w:color w:val="231F1F"/>
          <w:w w:val="110"/>
        </w:rPr>
        <w:t>para</w:t>
      </w:r>
      <w:r>
        <w:rPr>
          <w:color w:val="231F1F"/>
          <w:spacing w:val="-7"/>
          <w:w w:val="110"/>
        </w:rPr>
        <w:t> </w:t>
      </w:r>
      <w:r>
        <w:rPr>
          <w:color w:val="231F1F"/>
          <w:w w:val="110"/>
        </w:rPr>
        <w:t>favorecer</w:t>
      </w:r>
      <w:r>
        <w:rPr>
          <w:color w:val="231F1F"/>
          <w:spacing w:val="-8"/>
          <w:w w:val="110"/>
        </w:rPr>
        <w:t> </w:t>
      </w:r>
      <w:r>
        <w:rPr>
          <w:color w:val="231F1F"/>
          <w:w w:val="110"/>
        </w:rPr>
        <w:t>la</w:t>
      </w:r>
      <w:r>
        <w:rPr>
          <w:color w:val="231F1F"/>
          <w:spacing w:val="-7"/>
          <w:w w:val="110"/>
        </w:rPr>
        <w:t> </w:t>
      </w:r>
      <w:r>
        <w:rPr>
          <w:color w:val="231F1F"/>
          <w:w w:val="110"/>
        </w:rPr>
        <w:t>sutura</w:t>
      </w:r>
      <w:r>
        <w:rPr>
          <w:color w:val="231F1F"/>
          <w:spacing w:val="-7"/>
          <w:w w:val="110"/>
        </w:rPr>
        <w:t> </w:t>
      </w:r>
      <w:r>
        <w:rPr>
          <w:color w:val="231F1F"/>
          <w:w w:val="110"/>
        </w:rPr>
        <w:t>reabsorbibles (Dexon®) frente a las no absorbibles (Seda, Nailon), ya que genera menor dolor</w:t>
      </w:r>
      <w:r>
        <w:rPr>
          <w:color w:val="231F1F"/>
          <w:spacing w:val="-6"/>
          <w:w w:val="110"/>
        </w:rPr>
        <w:t> </w:t>
      </w:r>
      <w:r>
        <w:rPr>
          <w:color w:val="231F1F"/>
          <w:w w:val="110"/>
        </w:rPr>
        <w:t>inmediato.</w:t>
      </w:r>
      <w:r>
        <w:rPr>
          <w:color w:val="231F1F"/>
          <w:spacing w:val="-7"/>
          <w:w w:val="110"/>
        </w:rPr>
        <w:t> </w:t>
      </w:r>
      <w:r>
        <w:rPr>
          <w:color w:val="231F1F"/>
          <w:w w:val="110"/>
        </w:rPr>
        <w:t>Además,</w:t>
      </w:r>
      <w:r>
        <w:rPr>
          <w:color w:val="231F1F"/>
          <w:spacing w:val="-7"/>
          <w:w w:val="110"/>
        </w:rPr>
        <w:t> </w:t>
      </w:r>
      <w:r>
        <w:rPr>
          <w:color w:val="231F1F"/>
          <w:w w:val="110"/>
        </w:rPr>
        <w:t>se</w:t>
      </w:r>
      <w:r>
        <w:rPr>
          <w:color w:val="231F1F"/>
          <w:spacing w:val="-6"/>
          <w:w w:val="110"/>
        </w:rPr>
        <w:t> </w:t>
      </w:r>
      <w:r>
        <w:rPr>
          <w:color w:val="231F1F"/>
          <w:w w:val="110"/>
        </w:rPr>
        <w:t>observan</w:t>
      </w:r>
      <w:r>
        <w:rPr>
          <w:color w:val="231F1F"/>
          <w:spacing w:val="-6"/>
          <w:w w:val="110"/>
        </w:rPr>
        <w:t> </w:t>
      </w:r>
      <w:r>
        <w:rPr>
          <w:color w:val="231F1F"/>
          <w:w w:val="110"/>
        </w:rPr>
        <w:t>mejores</w:t>
      </w:r>
      <w:r>
        <w:rPr>
          <w:color w:val="231F1F"/>
          <w:spacing w:val="-6"/>
          <w:w w:val="110"/>
        </w:rPr>
        <w:t> </w:t>
      </w:r>
      <w:r>
        <w:rPr>
          <w:color w:val="231F1F"/>
          <w:w w:val="110"/>
        </w:rPr>
        <w:t>resultados</w:t>
      </w:r>
      <w:r>
        <w:rPr>
          <w:color w:val="231F1F"/>
          <w:spacing w:val="-5"/>
          <w:w w:val="110"/>
        </w:rPr>
        <w:t> </w:t>
      </w:r>
      <w:r>
        <w:rPr>
          <w:color w:val="231F1F"/>
          <w:w w:val="110"/>
        </w:rPr>
        <w:t>relacionados</w:t>
      </w:r>
      <w:r>
        <w:rPr>
          <w:color w:val="231F1F"/>
          <w:spacing w:val="-5"/>
          <w:w w:val="110"/>
        </w:rPr>
        <w:t> </w:t>
      </w:r>
      <w:r>
        <w:rPr>
          <w:color w:val="231F1F"/>
          <w:w w:val="110"/>
        </w:rPr>
        <w:t>con el dolor con materiales reabsorbibles sintéticos (Dexon®) en comparación con</w:t>
      </w:r>
      <w:r>
        <w:rPr>
          <w:color w:val="231F1F"/>
          <w:w w:val="110"/>
        </w:rPr>
        <w:t> los</w:t>
      </w:r>
      <w:r>
        <w:rPr>
          <w:color w:val="231F1F"/>
          <w:w w:val="110"/>
        </w:rPr>
        <w:t> naturales</w:t>
      </w:r>
      <w:r>
        <w:rPr>
          <w:color w:val="231F1F"/>
          <w:w w:val="110"/>
        </w:rPr>
        <w:t> (Catgut).</w:t>
      </w:r>
      <w:r>
        <w:rPr>
          <w:color w:val="231F1F"/>
          <w:w w:val="110"/>
        </w:rPr>
        <w:t> La</w:t>
      </w:r>
      <w:r>
        <w:rPr>
          <w:color w:val="231F1F"/>
          <w:w w:val="110"/>
        </w:rPr>
        <w:t> sutura</w:t>
      </w:r>
      <w:r>
        <w:rPr>
          <w:color w:val="231F1F"/>
          <w:w w:val="110"/>
        </w:rPr>
        <w:t> absorbible</w:t>
      </w:r>
      <w:r>
        <w:rPr>
          <w:color w:val="231F1F"/>
          <w:w w:val="110"/>
        </w:rPr>
        <w:t> sintética</w:t>
      </w:r>
      <w:r>
        <w:rPr>
          <w:color w:val="231F1F"/>
          <w:w w:val="110"/>
        </w:rPr>
        <w:t> rápida</w:t>
      </w:r>
      <w:r>
        <w:rPr>
          <w:color w:val="231F1F"/>
          <w:w w:val="110"/>
        </w:rPr>
        <w:t> presenta </w:t>
      </w:r>
      <w:r>
        <w:rPr>
          <w:color w:val="231F1F"/>
          <w:spacing w:val="-2"/>
          <w:w w:val="110"/>
        </w:rPr>
        <w:t>mejores</w:t>
      </w:r>
      <w:r>
        <w:rPr>
          <w:color w:val="231F1F"/>
          <w:spacing w:val="-10"/>
          <w:w w:val="110"/>
        </w:rPr>
        <w:t> </w:t>
      </w:r>
      <w:r>
        <w:rPr>
          <w:color w:val="231F1F"/>
          <w:spacing w:val="-2"/>
          <w:w w:val="110"/>
        </w:rPr>
        <w:t>resultados</w:t>
      </w:r>
      <w:r>
        <w:rPr>
          <w:color w:val="231F1F"/>
          <w:spacing w:val="-10"/>
          <w:w w:val="110"/>
        </w:rPr>
        <w:t> </w:t>
      </w:r>
      <w:r>
        <w:rPr>
          <w:color w:val="231F1F"/>
          <w:spacing w:val="-2"/>
          <w:w w:val="110"/>
        </w:rPr>
        <w:t>relacionados</w:t>
      </w:r>
      <w:r>
        <w:rPr>
          <w:color w:val="231F1F"/>
          <w:spacing w:val="-10"/>
          <w:w w:val="110"/>
        </w:rPr>
        <w:t> </w:t>
      </w:r>
      <w:r>
        <w:rPr>
          <w:color w:val="231F1F"/>
          <w:spacing w:val="-2"/>
          <w:w w:val="110"/>
        </w:rPr>
        <w:t>con</w:t>
      </w:r>
      <w:r>
        <w:rPr>
          <w:color w:val="231F1F"/>
          <w:spacing w:val="-10"/>
          <w:w w:val="110"/>
        </w:rPr>
        <w:t> </w:t>
      </w:r>
      <w:r>
        <w:rPr>
          <w:color w:val="231F1F"/>
          <w:spacing w:val="-2"/>
          <w:w w:val="110"/>
        </w:rPr>
        <w:t>el</w:t>
      </w:r>
      <w:r>
        <w:rPr>
          <w:color w:val="231F1F"/>
          <w:spacing w:val="-10"/>
          <w:w w:val="110"/>
        </w:rPr>
        <w:t> </w:t>
      </w:r>
      <w:r>
        <w:rPr>
          <w:color w:val="231F1F"/>
          <w:spacing w:val="-2"/>
          <w:w w:val="110"/>
        </w:rPr>
        <w:t>dolor</w:t>
      </w:r>
      <w:r>
        <w:rPr>
          <w:color w:val="231F1F"/>
          <w:spacing w:val="-10"/>
          <w:w w:val="110"/>
        </w:rPr>
        <w:t> </w:t>
      </w:r>
      <w:r>
        <w:rPr>
          <w:color w:val="231F1F"/>
          <w:spacing w:val="-2"/>
          <w:w w:val="110"/>
        </w:rPr>
        <w:t>a</w:t>
      </w:r>
      <w:r>
        <w:rPr>
          <w:color w:val="231F1F"/>
          <w:spacing w:val="-10"/>
          <w:w w:val="110"/>
        </w:rPr>
        <w:t> </w:t>
      </w:r>
      <w:r>
        <w:rPr>
          <w:color w:val="231F1F"/>
          <w:spacing w:val="-2"/>
          <w:w w:val="110"/>
        </w:rPr>
        <w:t>corto</w:t>
      </w:r>
      <w:r>
        <w:rPr>
          <w:color w:val="231F1F"/>
          <w:spacing w:val="-10"/>
          <w:w w:val="110"/>
        </w:rPr>
        <w:t> </w:t>
      </w:r>
      <w:r>
        <w:rPr>
          <w:color w:val="231F1F"/>
          <w:spacing w:val="-2"/>
          <w:w w:val="110"/>
        </w:rPr>
        <w:t>plazo,</w:t>
      </w:r>
      <w:r>
        <w:rPr>
          <w:color w:val="231F1F"/>
          <w:spacing w:val="-10"/>
          <w:w w:val="110"/>
        </w:rPr>
        <w:t> </w:t>
      </w:r>
      <w:r>
        <w:rPr>
          <w:color w:val="231F1F"/>
          <w:spacing w:val="-2"/>
          <w:w w:val="110"/>
        </w:rPr>
        <w:t>pero</w:t>
      </w:r>
      <w:r>
        <w:rPr>
          <w:color w:val="231F1F"/>
          <w:spacing w:val="-10"/>
          <w:w w:val="110"/>
        </w:rPr>
        <w:t> </w:t>
      </w:r>
      <w:r>
        <w:rPr>
          <w:color w:val="231F1F"/>
          <w:spacing w:val="-2"/>
          <w:w w:val="110"/>
        </w:rPr>
        <w:t>con</w:t>
      </w:r>
      <w:r>
        <w:rPr>
          <w:color w:val="231F1F"/>
          <w:spacing w:val="-10"/>
          <w:w w:val="110"/>
        </w:rPr>
        <w:t> </w:t>
      </w:r>
      <w:r>
        <w:rPr>
          <w:color w:val="231F1F"/>
          <w:spacing w:val="-2"/>
          <w:w w:val="110"/>
        </w:rPr>
        <w:t>mayores </w:t>
      </w:r>
      <w:r>
        <w:rPr>
          <w:color w:val="231F1F"/>
          <w:w w:val="110"/>
        </w:rPr>
        <w:t>dehiscencia, comparada con la sintética estándar.</w:t>
      </w:r>
    </w:p>
    <w:p>
      <w:pPr>
        <w:pStyle w:val="BodyText"/>
        <w:spacing w:before="69"/>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73" w:lineRule="auto" w:before="158"/>
        <w:ind w:left="361" w:right="518" w:hanging="78"/>
        <w:jc w:val="left"/>
        <w:rPr>
          <w:rFonts w:ascii="Arial MT"/>
          <w:sz w:val="18"/>
        </w:rPr>
      </w:pPr>
      <w:r>
        <w:rPr/>
        <w:br w:type="column"/>
      </w:r>
      <w:r>
        <w:rPr>
          <w:rFonts w:ascii="Arial MT"/>
          <w:color w:val="231F1F"/>
          <w:spacing w:val="-8"/>
          <w:sz w:val="18"/>
        </w:rPr>
        <w:t>ECA </w:t>
      </w:r>
      <w:r>
        <w:rPr>
          <w:rFonts w:ascii="Arial MT"/>
          <w:color w:val="231F1F"/>
          <w:spacing w:val="-6"/>
          <w:sz w:val="18"/>
        </w:rPr>
        <w:t>1+</w:t>
      </w:r>
    </w:p>
    <w:p>
      <w:pPr>
        <w:spacing w:after="0" w:line="273" w:lineRule="auto"/>
        <w:jc w:val="left"/>
        <w:rPr>
          <w:rFonts w:ascii="Arial MT"/>
          <w:sz w:val="18"/>
        </w:rPr>
        <w:sectPr>
          <w:type w:val="continuous"/>
          <w:pgSz w:w="11900" w:h="16840"/>
          <w:pgMar w:header="0" w:footer="622" w:top="560" w:bottom="280" w:left="1417" w:right="1559"/>
          <w:cols w:num="2" w:equalWidth="0">
            <w:col w:w="7594" w:space="167"/>
            <w:col w:w="1163"/>
          </w:cols>
        </w:sectPr>
      </w:pP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2082" w:hRule="atLeast"/>
        </w:trPr>
        <w:tc>
          <w:tcPr>
            <w:tcW w:w="7373" w:type="dxa"/>
          </w:tcPr>
          <w:p>
            <w:pPr>
              <w:pStyle w:val="TableParagraph"/>
              <w:spacing w:line="249" w:lineRule="auto" w:before="53"/>
              <w:ind w:right="82"/>
              <w:jc w:val="both"/>
              <w:rPr>
                <w:sz w:val="22"/>
              </w:rPr>
            </w:pPr>
            <w:r>
              <w:rPr>
                <w:color w:val="231F1F"/>
                <w:w w:val="105"/>
                <w:sz w:val="22"/>
              </w:rPr>
              <w:t>Las</w:t>
            </w:r>
            <w:r>
              <w:rPr>
                <w:color w:val="231F1F"/>
                <w:spacing w:val="-2"/>
                <w:w w:val="105"/>
                <w:sz w:val="22"/>
              </w:rPr>
              <w:t> </w:t>
            </w:r>
            <w:r>
              <w:rPr>
                <w:color w:val="231F1F"/>
                <w:w w:val="105"/>
                <w:sz w:val="22"/>
              </w:rPr>
              <w:t>mujeres</w:t>
            </w:r>
            <w:r>
              <w:rPr>
                <w:color w:val="231F1F"/>
                <w:spacing w:val="-2"/>
                <w:w w:val="105"/>
                <w:sz w:val="22"/>
              </w:rPr>
              <w:t> </w:t>
            </w:r>
            <w:r>
              <w:rPr>
                <w:color w:val="231F1F"/>
                <w:w w:val="105"/>
                <w:sz w:val="22"/>
              </w:rPr>
              <w:t>en</w:t>
            </w:r>
            <w:r>
              <w:rPr>
                <w:color w:val="231F1F"/>
                <w:spacing w:val="-2"/>
                <w:w w:val="105"/>
                <w:sz w:val="22"/>
              </w:rPr>
              <w:t> </w:t>
            </w:r>
            <w:r>
              <w:rPr>
                <w:color w:val="231F1F"/>
                <w:w w:val="105"/>
                <w:sz w:val="22"/>
              </w:rPr>
              <w:t>el</w:t>
            </w:r>
            <w:r>
              <w:rPr>
                <w:color w:val="231F1F"/>
                <w:spacing w:val="-2"/>
                <w:w w:val="105"/>
                <w:sz w:val="22"/>
              </w:rPr>
              <w:t> </w:t>
            </w:r>
            <w:r>
              <w:rPr>
                <w:color w:val="231F1F"/>
                <w:w w:val="105"/>
                <w:sz w:val="22"/>
              </w:rPr>
              <w:t>grupo</w:t>
            </w:r>
            <w:r>
              <w:rPr>
                <w:color w:val="231F1F"/>
                <w:spacing w:val="-2"/>
                <w:w w:val="105"/>
                <w:sz w:val="22"/>
              </w:rPr>
              <w:t> </w:t>
            </w:r>
            <w:r>
              <w:rPr>
                <w:color w:val="231F1F"/>
                <w:w w:val="105"/>
                <w:sz w:val="22"/>
              </w:rPr>
              <w:t>de</w:t>
            </w:r>
            <w:r>
              <w:rPr>
                <w:color w:val="231F1F"/>
                <w:spacing w:val="-2"/>
                <w:w w:val="105"/>
                <w:sz w:val="22"/>
              </w:rPr>
              <w:t> </w:t>
            </w:r>
            <w:r>
              <w:rPr>
                <w:color w:val="231F1F"/>
                <w:w w:val="105"/>
                <w:sz w:val="22"/>
              </w:rPr>
              <w:t>material</w:t>
            </w:r>
            <w:r>
              <w:rPr>
                <w:color w:val="231F1F"/>
                <w:spacing w:val="-2"/>
                <w:w w:val="105"/>
                <w:sz w:val="22"/>
              </w:rPr>
              <w:t> </w:t>
            </w:r>
            <w:r>
              <w:rPr>
                <w:color w:val="231F1F"/>
                <w:w w:val="105"/>
                <w:sz w:val="22"/>
              </w:rPr>
              <w:t>sintético</w:t>
            </w:r>
            <w:r>
              <w:rPr>
                <w:color w:val="231F1F"/>
                <w:spacing w:val="-2"/>
                <w:w w:val="105"/>
                <w:sz w:val="22"/>
              </w:rPr>
              <w:t> </w:t>
            </w:r>
            <w:r>
              <w:rPr>
                <w:color w:val="231F1F"/>
                <w:w w:val="105"/>
                <w:sz w:val="22"/>
              </w:rPr>
              <w:t>reabsorbible</w:t>
            </w:r>
            <w:r>
              <w:rPr>
                <w:color w:val="231F1F"/>
                <w:spacing w:val="-2"/>
                <w:w w:val="105"/>
                <w:sz w:val="22"/>
              </w:rPr>
              <w:t> </w:t>
            </w:r>
            <w:r>
              <w:rPr>
                <w:color w:val="231F1F"/>
                <w:w w:val="105"/>
                <w:sz w:val="22"/>
              </w:rPr>
              <w:t>presentaron</w:t>
            </w:r>
            <w:r>
              <w:rPr>
                <w:color w:val="231F1F"/>
                <w:spacing w:val="-3"/>
                <w:w w:val="105"/>
                <w:sz w:val="22"/>
              </w:rPr>
              <w:t> </w:t>
            </w:r>
            <w:r>
              <w:rPr>
                <w:color w:val="231F1F"/>
                <w:w w:val="105"/>
                <w:sz w:val="22"/>
              </w:rPr>
              <w:t>menor dolor a corto plazo (primeros 3 días y entre 4-10 días) que las del grupo en las que se utilizó catgut, una menor necesidad de analgesia, menor dehiscen- cia de sutura a los 10 días y menor necesidad de re-sutura a los 3 meses. Sin embargo,</w:t>
            </w:r>
            <w:r>
              <w:rPr>
                <w:color w:val="231F1F"/>
                <w:spacing w:val="22"/>
                <w:w w:val="105"/>
                <w:sz w:val="22"/>
              </w:rPr>
              <w:t> </w:t>
            </w:r>
            <w:r>
              <w:rPr>
                <w:color w:val="231F1F"/>
                <w:w w:val="105"/>
                <w:sz w:val="22"/>
              </w:rPr>
              <w:t>la</w:t>
            </w:r>
            <w:r>
              <w:rPr>
                <w:color w:val="231F1F"/>
                <w:spacing w:val="22"/>
                <w:w w:val="105"/>
                <w:sz w:val="22"/>
              </w:rPr>
              <w:t> </w:t>
            </w:r>
            <w:r>
              <w:rPr>
                <w:color w:val="231F1F"/>
                <w:w w:val="105"/>
                <w:sz w:val="22"/>
              </w:rPr>
              <w:t>retirada</w:t>
            </w:r>
            <w:r>
              <w:rPr>
                <w:color w:val="231F1F"/>
                <w:spacing w:val="22"/>
                <w:w w:val="105"/>
                <w:sz w:val="22"/>
              </w:rPr>
              <w:t> </w:t>
            </w:r>
            <w:r>
              <w:rPr>
                <w:color w:val="231F1F"/>
                <w:w w:val="105"/>
                <w:sz w:val="22"/>
              </w:rPr>
              <w:t>de</w:t>
            </w:r>
            <w:r>
              <w:rPr>
                <w:color w:val="231F1F"/>
                <w:spacing w:val="22"/>
                <w:w w:val="105"/>
                <w:sz w:val="22"/>
              </w:rPr>
              <w:t> </w:t>
            </w:r>
            <w:r>
              <w:rPr>
                <w:color w:val="231F1F"/>
                <w:w w:val="105"/>
                <w:sz w:val="22"/>
              </w:rPr>
              <w:t>material</w:t>
            </w:r>
            <w:r>
              <w:rPr>
                <w:color w:val="231F1F"/>
                <w:spacing w:val="22"/>
                <w:w w:val="105"/>
                <w:sz w:val="22"/>
              </w:rPr>
              <w:t> </w:t>
            </w:r>
            <w:r>
              <w:rPr>
                <w:color w:val="231F1F"/>
                <w:w w:val="105"/>
                <w:sz w:val="22"/>
              </w:rPr>
              <w:t>de</w:t>
            </w:r>
            <w:r>
              <w:rPr>
                <w:color w:val="231F1F"/>
                <w:spacing w:val="22"/>
                <w:w w:val="105"/>
                <w:sz w:val="22"/>
              </w:rPr>
              <w:t> </w:t>
            </w:r>
            <w:r>
              <w:rPr>
                <w:color w:val="231F1F"/>
                <w:w w:val="105"/>
                <w:sz w:val="22"/>
              </w:rPr>
              <w:t>sutura</w:t>
            </w:r>
            <w:r>
              <w:rPr>
                <w:color w:val="231F1F"/>
                <w:spacing w:val="22"/>
                <w:w w:val="105"/>
                <w:sz w:val="22"/>
              </w:rPr>
              <w:t> </w:t>
            </w:r>
            <w:r>
              <w:rPr>
                <w:color w:val="231F1F"/>
                <w:w w:val="105"/>
                <w:sz w:val="22"/>
              </w:rPr>
              <w:t>a</w:t>
            </w:r>
            <w:r>
              <w:rPr>
                <w:color w:val="231F1F"/>
                <w:spacing w:val="22"/>
                <w:w w:val="105"/>
                <w:sz w:val="22"/>
              </w:rPr>
              <w:t> </w:t>
            </w:r>
            <w:r>
              <w:rPr>
                <w:color w:val="231F1F"/>
                <w:w w:val="105"/>
                <w:sz w:val="22"/>
              </w:rPr>
              <w:t>los</w:t>
            </w:r>
            <w:r>
              <w:rPr>
                <w:color w:val="231F1F"/>
                <w:spacing w:val="22"/>
                <w:w w:val="105"/>
                <w:sz w:val="22"/>
              </w:rPr>
              <w:t> </w:t>
            </w:r>
            <w:r>
              <w:rPr>
                <w:color w:val="231F1F"/>
                <w:w w:val="105"/>
                <w:sz w:val="22"/>
              </w:rPr>
              <w:t>3</w:t>
            </w:r>
            <w:r>
              <w:rPr>
                <w:color w:val="231F1F"/>
                <w:spacing w:val="22"/>
                <w:w w:val="105"/>
                <w:sz w:val="22"/>
              </w:rPr>
              <w:t> </w:t>
            </w:r>
            <w:r>
              <w:rPr>
                <w:color w:val="231F1F"/>
                <w:w w:val="105"/>
                <w:sz w:val="22"/>
              </w:rPr>
              <w:t>meses</w:t>
            </w:r>
            <w:r>
              <w:rPr>
                <w:color w:val="231F1F"/>
                <w:spacing w:val="22"/>
                <w:w w:val="105"/>
                <w:sz w:val="22"/>
              </w:rPr>
              <w:t> </w:t>
            </w:r>
            <w:r>
              <w:rPr>
                <w:color w:val="231F1F"/>
                <w:w w:val="105"/>
                <w:sz w:val="22"/>
              </w:rPr>
              <w:t>fue</w:t>
            </w:r>
            <w:r>
              <w:rPr>
                <w:color w:val="231F1F"/>
                <w:spacing w:val="22"/>
                <w:w w:val="105"/>
                <w:sz w:val="22"/>
              </w:rPr>
              <w:t> </w:t>
            </w:r>
            <w:r>
              <w:rPr>
                <w:color w:val="231F1F"/>
                <w:w w:val="105"/>
                <w:sz w:val="22"/>
              </w:rPr>
              <w:t>más</w:t>
            </w:r>
            <w:r>
              <w:rPr>
                <w:color w:val="231F1F"/>
                <w:spacing w:val="22"/>
                <w:w w:val="105"/>
                <w:sz w:val="22"/>
              </w:rPr>
              <w:t> </w:t>
            </w:r>
            <w:r>
              <w:rPr>
                <w:color w:val="231F1F"/>
                <w:w w:val="105"/>
                <w:sz w:val="22"/>
              </w:rPr>
              <w:t>frecuente en</w:t>
            </w:r>
            <w:r>
              <w:rPr>
                <w:color w:val="231F1F"/>
                <w:spacing w:val="-7"/>
                <w:w w:val="105"/>
                <w:sz w:val="22"/>
              </w:rPr>
              <w:t> </w:t>
            </w:r>
            <w:r>
              <w:rPr>
                <w:color w:val="231F1F"/>
                <w:w w:val="105"/>
                <w:sz w:val="22"/>
              </w:rPr>
              <w:t>grupo</w:t>
            </w:r>
            <w:r>
              <w:rPr>
                <w:color w:val="231F1F"/>
                <w:spacing w:val="-8"/>
                <w:w w:val="105"/>
                <w:sz w:val="22"/>
              </w:rPr>
              <w:t> </w:t>
            </w:r>
            <w:r>
              <w:rPr>
                <w:color w:val="231F1F"/>
                <w:w w:val="105"/>
                <w:sz w:val="22"/>
              </w:rPr>
              <w:t>con</w:t>
            </w:r>
            <w:r>
              <w:rPr>
                <w:color w:val="231F1F"/>
                <w:spacing w:val="-7"/>
                <w:w w:val="105"/>
                <w:sz w:val="22"/>
              </w:rPr>
              <w:t> </w:t>
            </w:r>
            <w:r>
              <w:rPr>
                <w:color w:val="231F1F"/>
                <w:w w:val="105"/>
                <w:sz w:val="22"/>
              </w:rPr>
              <w:t>material</w:t>
            </w:r>
            <w:r>
              <w:rPr>
                <w:color w:val="231F1F"/>
                <w:spacing w:val="-8"/>
                <w:w w:val="105"/>
                <w:sz w:val="22"/>
              </w:rPr>
              <w:t> </w:t>
            </w:r>
            <w:r>
              <w:rPr>
                <w:color w:val="231F1F"/>
                <w:w w:val="105"/>
                <w:sz w:val="22"/>
              </w:rPr>
              <w:t>sintético</w:t>
            </w:r>
            <w:r>
              <w:rPr>
                <w:color w:val="231F1F"/>
                <w:spacing w:val="-8"/>
                <w:w w:val="105"/>
                <w:sz w:val="22"/>
              </w:rPr>
              <w:t> </w:t>
            </w:r>
            <w:r>
              <w:rPr>
                <w:color w:val="231F1F"/>
                <w:w w:val="105"/>
                <w:sz w:val="22"/>
              </w:rPr>
              <w:t>absorbible,</w:t>
            </w:r>
            <w:r>
              <w:rPr>
                <w:color w:val="231F1F"/>
                <w:spacing w:val="-7"/>
                <w:w w:val="105"/>
                <w:sz w:val="22"/>
              </w:rPr>
              <w:t> </w:t>
            </w:r>
            <w:r>
              <w:rPr>
                <w:color w:val="231F1F"/>
                <w:w w:val="105"/>
                <w:sz w:val="22"/>
              </w:rPr>
              <w:t>y</w:t>
            </w:r>
            <w:r>
              <w:rPr>
                <w:color w:val="231F1F"/>
                <w:spacing w:val="-7"/>
                <w:w w:val="105"/>
                <w:sz w:val="22"/>
              </w:rPr>
              <w:t> </w:t>
            </w:r>
            <w:r>
              <w:rPr>
                <w:color w:val="231F1F"/>
                <w:w w:val="105"/>
                <w:sz w:val="22"/>
              </w:rPr>
              <w:t>en</w:t>
            </w:r>
            <w:r>
              <w:rPr>
                <w:color w:val="231F1F"/>
                <w:spacing w:val="-7"/>
                <w:w w:val="105"/>
                <w:sz w:val="22"/>
              </w:rPr>
              <w:t> </w:t>
            </w:r>
            <w:r>
              <w:rPr>
                <w:color w:val="231F1F"/>
                <w:w w:val="105"/>
                <w:sz w:val="22"/>
              </w:rPr>
              <w:t>relación</w:t>
            </w:r>
            <w:r>
              <w:rPr>
                <w:color w:val="231F1F"/>
                <w:spacing w:val="-7"/>
                <w:w w:val="105"/>
                <w:sz w:val="22"/>
              </w:rPr>
              <w:t> </w:t>
            </w:r>
            <w:r>
              <w:rPr>
                <w:color w:val="231F1F"/>
                <w:w w:val="105"/>
                <w:sz w:val="22"/>
              </w:rPr>
              <w:t>al</w:t>
            </w:r>
            <w:r>
              <w:rPr>
                <w:color w:val="231F1F"/>
                <w:spacing w:val="-8"/>
                <w:w w:val="105"/>
                <w:sz w:val="22"/>
              </w:rPr>
              <w:t> </w:t>
            </w:r>
            <w:r>
              <w:rPr>
                <w:color w:val="231F1F"/>
                <w:w w:val="105"/>
                <w:sz w:val="22"/>
              </w:rPr>
              <w:t>dolor</w:t>
            </w:r>
            <w:r>
              <w:rPr>
                <w:color w:val="231F1F"/>
                <w:spacing w:val="-8"/>
                <w:w w:val="105"/>
                <w:sz w:val="22"/>
              </w:rPr>
              <w:t> </w:t>
            </w:r>
            <w:r>
              <w:rPr>
                <w:color w:val="231F1F"/>
                <w:w w:val="105"/>
                <w:sz w:val="22"/>
              </w:rPr>
              <w:t>a</w:t>
            </w:r>
            <w:r>
              <w:rPr>
                <w:color w:val="231F1F"/>
                <w:spacing w:val="-7"/>
                <w:w w:val="105"/>
                <w:sz w:val="22"/>
              </w:rPr>
              <w:t> </w:t>
            </w:r>
            <w:r>
              <w:rPr>
                <w:color w:val="231F1F"/>
                <w:w w:val="105"/>
                <w:sz w:val="22"/>
              </w:rPr>
              <w:t>largo</w:t>
            </w:r>
            <w:r>
              <w:rPr>
                <w:color w:val="231F1F"/>
                <w:spacing w:val="-8"/>
                <w:w w:val="105"/>
                <w:sz w:val="22"/>
              </w:rPr>
              <w:t> </w:t>
            </w:r>
            <w:r>
              <w:rPr>
                <w:color w:val="231F1F"/>
                <w:w w:val="105"/>
                <w:sz w:val="22"/>
              </w:rPr>
              <w:t>plazo no</w:t>
            </w:r>
            <w:r>
              <w:rPr>
                <w:color w:val="231F1F"/>
                <w:spacing w:val="40"/>
                <w:w w:val="105"/>
                <w:sz w:val="22"/>
              </w:rPr>
              <w:t> </w:t>
            </w:r>
            <w:r>
              <w:rPr>
                <w:color w:val="231F1F"/>
                <w:w w:val="105"/>
                <w:sz w:val="22"/>
              </w:rPr>
              <w:t>existieron</w:t>
            </w:r>
            <w:r>
              <w:rPr>
                <w:color w:val="231F1F"/>
                <w:spacing w:val="40"/>
                <w:w w:val="105"/>
                <w:sz w:val="22"/>
              </w:rPr>
              <w:t> </w:t>
            </w:r>
            <w:r>
              <w:rPr>
                <w:color w:val="231F1F"/>
                <w:w w:val="105"/>
                <w:sz w:val="22"/>
              </w:rPr>
              <w:t>diferencias estadísticamente</w:t>
            </w:r>
            <w:r>
              <w:rPr>
                <w:color w:val="231F1F"/>
                <w:spacing w:val="40"/>
                <w:w w:val="105"/>
                <w:sz w:val="22"/>
              </w:rPr>
              <w:t> </w:t>
            </w:r>
            <w:r>
              <w:rPr>
                <w:color w:val="231F1F"/>
                <w:w w:val="105"/>
                <w:sz w:val="22"/>
              </w:rPr>
              <w:t>significativas (168-170).</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spacing w:before="120"/>
              <w:ind w:left="0"/>
              <w:rPr>
                <w:rFonts w:ascii="Arial MT"/>
                <w:sz w:val="22"/>
              </w:rPr>
            </w:pPr>
          </w:p>
          <w:p>
            <w:pPr>
              <w:pStyle w:val="TableParagraph"/>
              <w:ind w:left="49" w:right="22"/>
              <w:jc w:val="center"/>
              <w:rPr>
                <w:sz w:val="22"/>
              </w:rPr>
            </w:pPr>
            <w:r>
              <w:rPr>
                <w:color w:val="231F1F"/>
                <w:spacing w:val="-5"/>
                <w:w w:val="105"/>
                <w:sz w:val="22"/>
              </w:rPr>
              <w:t>1+</w:t>
            </w:r>
          </w:p>
        </w:tc>
      </w:tr>
      <w:tr>
        <w:trPr>
          <w:trHeight w:val="2082" w:hRule="atLeast"/>
        </w:trPr>
        <w:tc>
          <w:tcPr>
            <w:tcW w:w="7373" w:type="dxa"/>
          </w:tcPr>
          <w:p>
            <w:pPr>
              <w:pStyle w:val="TableParagraph"/>
              <w:spacing w:line="247" w:lineRule="auto" w:before="44"/>
              <w:ind w:right="83"/>
              <w:jc w:val="both"/>
              <w:rPr>
                <w:sz w:val="22"/>
              </w:rPr>
            </w:pPr>
            <w:r>
              <w:rPr>
                <w:color w:val="231F1F"/>
                <w:w w:val="105"/>
                <w:sz w:val="22"/>
              </w:rPr>
              <w:t>Cuando</w:t>
            </w:r>
            <w:r>
              <w:rPr>
                <w:color w:val="231F1F"/>
                <w:w w:val="105"/>
                <w:sz w:val="22"/>
              </w:rPr>
              <w:t> se</w:t>
            </w:r>
            <w:r>
              <w:rPr>
                <w:color w:val="231F1F"/>
                <w:w w:val="105"/>
                <w:sz w:val="22"/>
              </w:rPr>
              <w:t> utiliza</w:t>
            </w:r>
            <w:r>
              <w:rPr>
                <w:color w:val="231F1F"/>
                <w:w w:val="105"/>
                <w:sz w:val="22"/>
              </w:rPr>
              <w:t> material</w:t>
            </w:r>
            <w:r>
              <w:rPr>
                <w:color w:val="231F1F"/>
                <w:w w:val="105"/>
                <w:sz w:val="22"/>
              </w:rPr>
              <w:t> de</w:t>
            </w:r>
            <w:r>
              <w:rPr>
                <w:color w:val="231F1F"/>
                <w:w w:val="105"/>
                <w:sz w:val="22"/>
              </w:rPr>
              <w:t> sutura</w:t>
            </w:r>
            <w:r>
              <w:rPr>
                <w:color w:val="231F1F"/>
                <w:w w:val="105"/>
                <w:sz w:val="22"/>
              </w:rPr>
              <w:t> de</w:t>
            </w:r>
            <w:r>
              <w:rPr>
                <w:color w:val="231F1F"/>
                <w:w w:val="105"/>
                <w:sz w:val="22"/>
              </w:rPr>
              <w:t> absorción</w:t>
            </w:r>
            <w:r>
              <w:rPr>
                <w:color w:val="231F1F"/>
                <w:w w:val="105"/>
                <w:sz w:val="22"/>
              </w:rPr>
              <w:t> rápida,</w:t>
            </w:r>
            <w:r>
              <w:rPr>
                <w:color w:val="231F1F"/>
                <w:w w:val="105"/>
                <w:sz w:val="22"/>
              </w:rPr>
              <w:t> comparado</w:t>
            </w:r>
            <w:r>
              <w:rPr>
                <w:color w:val="231F1F"/>
                <w:w w:val="105"/>
                <w:sz w:val="22"/>
              </w:rPr>
              <w:t> con material</w:t>
            </w:r>
            <w:r>
              <w:rPr>
                <w:color w:val="231F1F"/>
                <w:w w:val="105"/>
                <w:sz w:val="22"/>
              </w:rPr>
              <w:t> sintético</w:t>
            </w:r>
            <w:r>
              <w:rPr>
                <w:color w:val="231F1F"/>
                <w:w w:val="105"/>
                <w:sz w:val="22"/>
              </w:rPr>
              <w:t> de</w:t>
            </w:r>
            <w:r>
              <w:rPr>
                <w:color w:val="231F1F"/>
                <w:w w:val="105"/>
                <w:sz w:val="22"/>
              </w:rPr>
              <w:t> absorción</w:t>
            </w:r>
            <w:r>
              <w:rPr>
                <w:color w:val="231F1F"/>
                <w:w w:val="105"/>
                <w:sz w:val="22"/>
              </w:rPr>
              <w:t> no</w:t>
            </w:r>
            <w:r>
              <w:rPr>
                <w:color w:val="231F1F"/>
                <w:w w:val="105"/>
                <w:sz w:val="22"/>
              </w:rPr>
              <w:t> rápida,</w:t>
            </w:r>
            <w:r>
              <w:rPr>
                <w:color w:val="231F1F"/>
                <w:w w:val="105"/>
                <w:sz w:val="22"/>
              </w:rPr>
              <w:t> el</w:t>
            </w:r>
            <w:r>
              <w:rPr>
                <w:color w:val="231F1F"/>
                <w:w w:val="105"/>
                <w:sz w:val="22"/>
              </w:rPr>
              <w:t> dolor</w:t>
            </w:r>
            <w:r>
              <w:rPr>
                <w:color w:val="231F1F"/>
                <w:w w:val="105"/>
                <w:sz w:val="22"/>
              </w:rPr>
              <w:t> perineal</w:t>
            </w:r>
            <w:r>
              <w:rPr>
                <w:color w:val="231F1F"/>
                <w:w w:val="105"/>
                <w:sz w:val="22"/>
              </w:rPr>
              <w:t> persistente</w:t>
            </w:r>
            <w:r>
              <w:rPr>
                <w:color w:val="231F1F"/>
                <w:w w:val="105"/>
                <w:sz w:val="22"/>
              </w:rPr>
              <w:t> y</w:t>
            </w:r>
            <w:r>
              <w:rPr>
                <w:color w:val="231F1F"/>
                <w:w w:val="105"/>
                <w:sz w:val="22"/>
              </w:rPr>
              <w:t> el dolor al caminar, entre las primeras 24 horas y los 10 días, fue significativa- mente</w:t>
            </w:r>
            <w:r>
              <w:rPr>
                <w:color w:val="231F1F"/>
                <w:w w:val="105"/>
                <w:sz w:val="22"/>
              </w:rPr>
              <w:t> menor.</w:t>
            </w:r>
            <w:r>
              <w:rPr>
                <w:color w:val="231F1F"/>
                <w:w w:val="105"/>
                <w:sz w:val="22"/>
              </w:rPr>
              <w:t> También</w:t>
            </w:r>
            <w:r>
              <w:rPr>
                <w:color w:val="231F1F"/>
                <w:w w:val="105"/>
                <w:sz w:val="22"/>
              </w:rPr>
              <w:t> fue</w:t>
            </w:r>
            <w:r>
              <w:rPr>
                <w:color w:val="231F1F"/>
                <w:w w:val="105"/>
                <w:sz w:val="22"/>
              </w:rPr>
              <w:t> menor</w:t>
            </w:r>
            <w:r>
              <w:rPr>
                <w:color w:val="231F1F"/>
                <w:w w:val="105"/>
                <w:sz w:val="22"/>
              </w:rPr>
              <w:t> en</w:t>
            </w:r>
            <w:r>
              <w:rPr>
                <w:color w:val="231F1F"/>
                <w:w w:val="105"/>
                <w:sz w:val="22"/>
              </w:rPr>
              <w:t> el</w:t>
            </w:r>
            <w:r>
              <w:rPr>
                <w:color w:val="231F1F"/>
                <w:w w:val="105"/>
                <w:sz w:val="22"/>
              </w:rPr>
              <w:t> este</w:t>
            </w:r>
            <w:r>
              <w:rPr>
                <w:color w:val="231F1F"/>
                <w:w w:val="105"/>
                <w:sz w:val="22"/>
              </w:rPr>
              <w:t> grupo</w:t>
            </w:r>
            <w:r>
              <w:rPr>
                <w:color w:val="231F1F"/>
                <w:w w:val="105"/>
                <w:sz w:val="22"/>
              </w:rPr>
              <w:t> la</w:t>
            </w:r>
            <w:r>
              <w:rPr>
                <w:color w:val="231F1F"/>
                <w:w w:val="105"/>
                <w:sz w:val="22"/>
              </w:rPr>
              <w:t> necesidad</w:t>
            </w:r>
            <w:r>
              <w:rPr>
                <w:color w:val="231F1F"/>
                <w:w w:val="105"/>
                <w:sz w:val="22"/>
              </w:rPr>
              <w:t> de</w:t>
            </w:r>
            <w:r>
              <w:rPr>
                <w:color w:val="231F1F"/>
                <w:w w:val="105"/>
                <w:sz w:val="22"/>
              </w:rPr>
              <w:t> retirar material de sutura a los 10 días y a los tres meses. Sin embargo, el número</w:t>
            </w:r>
            <w:r>
              <w:rPr>
                <w:color w:val="231F1F"/>
                <w:spacing w:val="80"/>
                <w:w w:val="105"/>
                <w:sz w:val="22"/>
              </w:rPr>
              <w:t> </w:t>
            </w:r>
            <w:r>
              <w:rPr>
                <w:color w:val="231F1F"/>
                <w:w w:val="105"/>
                <w:sz w:val="22"/>
              </w:rPr>
              <w:t>de mujeres con dehiscencia al décimo día de la reparación fue mayor en el grupo de material de absorción rápida (161).</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spacing w:before="120"/>
              <w:ind w:left="0"/>
              <w:rPr>
                <w:rFonts w:ascii="Arial MT"/>
                <w:sz w:val="22"/>
              </w:rPr>
            </w:pPr>
          </w:p>
          <w:p>
            <w:pPr>
              <w:pStyle w:val="TableParagraph"/>
              <w:ind w:left="49" w:right="22"/>
              <w:jc w:val="center"/>
              <w:rPr>
                <w:sz w:val="22"/>
              </w:rPr>
            </w:pPr>
            <w:r>
              <w:rPr>
                <w:color w:val="231F1F"/>
                <w:spacing w:val="-5"/>
                <w:w w:val="105"/>
                <w:sz w:val="22"/>
              </w:rPr>
              <w:t>1+</w:t>
            </w:r>
          </w:p>
        </w:tc>
      </w:tr>
      <w:tr>
        <w:trPr>
          <w:trHeight w:val="1242" w:hRule="atLeast"/>
        </w:trPr>
        <w:tc>
          <w:tcPr>
            <w:tcW w:w="7373" w:type="dxa"/>
          </w:tcPr>
          <w:p>
            <w:pPr>
              <w:pStyle w:val="TableParagraph"/>
              <w:spacing w:line="244" w:lineRule="auto" w:before="44"/>
              <w:ind w:right="89"/>
              <w:jc w:val="both"/>
              <w:rPr>
                <w:sz w:val="22"/>
              </w:rPr>
            </w:pPr>
            <w:r>
              <w:rPr>
                <w:color w:val="231F1F"/>
                <w:w w:val="110"/>
                <w:sz w:val="22"/>
              </w:rPr>
              <w:t>Los</w:t>
            </w:r>
            <w:r>
              <w:rPr>
                <w:color w:val="231F1F"/>
                <w:spacing w:val="-9"/>
                <w:w w:val="110"/>
                <w:sz w:val="22"/>
              </w:rPr>
              <w:t> </w:t>
            </w:r>
            <w:r>
              <w:rPr>
                <w:color w:val="231F1F"/>
                <w:w w:val="110"/>
                <w:sz w:val="22"/>
              </w:rPr>
              <w:t>resultados</w:t>
            </w:r>
            <w:r>
              <w:rPr>
                <w:color w:val="231F1F"/>
                <w:spacing w:val="-8"/>
                <w:w w:val="110"/>
                <w:sz w:val="22"/>
              </w:rPr>
              <w:t> </w:t>
            </w:r>
            <w:r>
              <w:rPr>
                <w:color w:val="231F1F"/>
                <w:w w:val="110"/>
                <w:sz w:val="22"/>
              </w:rPr>
              <w:t>con</w:t>
            </w:r>
            <w:r>
              <w:rPr>
                <w:color w:val="231F1F"/>
                <w:spacing w:val="-8"/>
                <w:w w:val="110"/>
                <w:sz w:val="22"/>
              </w:rPr>
              <w:t> </w:t>
            </w:r>
            <w:r>
              <w:rPr>
                <w:color w:val="231F1F"/>
                <w:w w:val="110"/>
                <w:sz w:val="22"/>
              </w:rPr>
              <w:t>la</w:t>
            </w:r>
            <w:r>
              <w:rPr>
                <w:color w:val="231F1F"/>
                <w:spacing w:val="-8"/>
                <w:w w:val="110"/>
                <w:sz w:val="22"/>
              </w:rPr>
              <w:t> </w:t>
            </w:r>
            <w:r>
              <w:rPr>
                <w:color w:val="231F1F"/>
                <w:w w:val="110"/>
                <w:sz w:val="22"/>
              </w:rPr>
              <w:t>sutura</w:t>
            </w:r>
            <w:r>
              <w:rPr>
                <w:color w:val="231F1F"/>
                <w:spacing w:val="-9"/>
                <w:w w:val="110"/>
                <w:sz w:val="22"/>
              </w:rPr>
              <w:t> </w:t>
            </w:r>
            <w:r>
              <w:rPr>
                <w:color w:val="231F1F"/>
                <w:w w:val="110"/>
                <w:sz w:val="22"/>
              </w:rPr>
              <w:t>de</w:t>
            </w:r>
            <w:r>
              <w:rPr>
                <w:color w:val="231F1F"/>
                <w:spacing w:val="-8"/>
                <w:w w:val="110"/>
                <w:sz w:val="22"/>
              </w:rPr>
              <w:t> </w:t>
            </w:r>
            <w:r>
              <w:rPr>
                <w:color w:val="231F1F"/>
                <w:w w:val="110"/>
                <w:sz w:val="22"/>
              </w:rPr>
              <w:t>material</w:t>
            </w:r>
            <w:r>
              <w:rPr>
                <w:color w:val="231F1F"/>
                <w:spacing w:val="-8"/>
                <w:w w:val="110"/>
                <w:sz w:val="22"/>
              </w:rPr>
              <w:t> </w:t>
            </w:r>
            <w:r>
              <w:rPr>
                <w:color w:val="231F1F"/>
                <w:w w:val="110"/>
                <w:sz w:val="22"/>
              </w:rPr>
              <w:t>sintético</w:t>
            </w:r>
            <w:r>
              <w:rPr>
                <w:color w:val="231F1F"/>
                <w:spacing w:val="-9"/>
                <w:w w:val="110"/>
                <w:sz w:val="22"/>
              </w:rPr>
              <w:t> </w:t>
            </w:r>
            <w:r>
              <w:rPr>
                <w:color w:val="231F1F"/>
                <w:w w:val="110"/>
                <w:sz w:val="22"/>
              </w:rPr>
              <w:t>absorbible</w:t>
            </w:r>
            <w:r>
              <w:rPr>
                <w:color w:val="231F1F"/>
                <w:spacing w:val="-8"/>
                <w:w w:val="110"/>
                <w:sz w:val="22"/>
              </w:rPr>
              <w:t> </w:t>
            </w:r>
            <w:r>
              <w:rPr>
                <w:color w:val="231F1F"/>
                <w:w w:val="110"/>
                <w:sz w:val="22"/>
              </w:rPr>
              <w:t>(Dexon®),</w:t>
            </w:r>
            <w:r>
              <w:rPr>
                <w:color w:val="231F1F"/>
                <w:spacing w:val="-9"/>
                <w:w w:val="110"/>
                <w:sz w:val="22"/>
              </w:rPr>
              <w:t> </w:t>
            </w:r>
            <w:r>
              <w:rPr>
                <w:color w:val="231F1F"/>
                <w:w w:val="110"/>
                <w:sz w:val="22"/>
              </w:rPr>
              <w:t>en comparación</w:t>
            </w:r>
            <w:r>
              <w:rPr>
                <w:color w:val="231F1F"/>
                <w:spacing w:val="-16"/>
                <w:w w:val="110"/>
                <w:sz w:val="22"/>
              </w:rPr>
              <w:t> </w:t>
            </w:r>
            <w:r>
              <w:rPr>
                <w:color w:val="231F1F"/>
                <w:w w:val="110"/>
                <w:sz w:val="22"/>
              </w:rPr>
              <w:t>con</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sutura</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seda</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reabsorbible),</w:t>
            </w:r>
            <w:r>
              <w:rPr>
                <w:color w:val="231F1F"/>
                <w:spacing w:val="-15"/>
                <w:w w:val="110"/>
                <w:sz w:val="22"/>
              </w:rPr>
              <w:t> </w:t>
            </w:r>
            <w:r>
              <w:rPr>
                <w:color w:val="231F1F"/>
                <w:w w:val="110"/>
                <w:sz w:val="22"/>
              </w:rPr>
              <w:t>y</w:t>
            </w:r>
            <w:r>
              <w:rPr>
                <w:color w:val="231F1F"/>
                <w:spacing w:val="-16"/>
                <w:w w:val="110"/>
                <w:sz w:val="22"/>
              </w:rPr>
              <w:t> </w:t>
            </w:r>
            <w:r>
              <w:rPr>
                <w:color w:val="231F1F"/>
                <w:w w:val="110"/>
                <w:sz w:val="22"/>
              </w:rPr>
              <w:t>en</w:t>
            </w:r>
            <w:r>
              <w:rPr>
                <w:color w:val="231F1F"/>
                <w:spacing w:val="-15"/>
                <w:w w:val="110"/>
                <w:sz w:val="22"/>
              </w:rPr>
              <w:t> </w:t>
            </w:r>
            <w:r>
              <w:rPr>
                <w:color w:val="231F1F"/>
                <w:w w:val="110"/>
                <w:sz w:val="22"/>
              </w:rPr>
              <w:t>comparación</w:t>
            </w:r>
            <w:r>
              <w:rPr>
                <w:color w:val="231F1F"/>
                <w:spacing w:val="-15"/>
                <w:w w:val="110"/>
                <w:sz w:val="22"/>
              </w:rPr>
              <w:t> </w:t>
            </w:r>
            <w:r>
              <w:rPr>
                <w:color w:val="231F1F"/>
                <w:w w:val="110"/>
                <w:sz w:val="22"/>
              </w:rPr>
              <w:t>con sutura</w:t>
            </w:r>
            <w:r>
              <w:rPr>
                <w:color w:val="231F1F"/>
                <w:spacing w:val="-4"/>
                <w:w w:val="110"/>
                <w:sz w:val="22"/>
              </w:rPr>
              <w:t> </w:t>
            </w:r>
            <w:r>
              <w:rPr>
                <w:color w:val="231F1F"/>
                <w:w w:val="110"/>
                <w:sz w:val="22"/>
              </w:rPr>
              <w:t>de</w:t>
            </w:r>
            <w:r>
              <w:rPr>
                <w:color w:val="231F1F"/>
                <w:spacing w:val="-4"/>
                <w:w w:val="110"/>
                <w:sz w:val="22"/>
              </w:rPr>
              <w:t> </w:t>
            </w:r>
            <w:r>
              <w:rPr>
                <w:color w:val="231F1F"/>
                <w:w w:val="110"/>
                <w:sz w:val="22"/>
              </w:rPr>
              <w:t>Nailon,</w:t>
            </w:r>
            <w:r>
              <w:rPr>
                <w:color w:val="231F1F"/>
                <w:spacing w:val="-4"/>
                <w:w w:val="110"/>
                <w:sz w:val="22"/>
              </w:rPr>
              <w:t> </w:t>
            </w:r>
            <w:r>
              <w:rPr>
                <w:color w:val="231F1F"/>
                <w:w w:val="110"/>
                <w:sz w:val="22"/>
              </w:rPr>
              <w:t>muestran</w:t>
            </w:r>
            <w:r>
              <w:rPr>
                <w:color w:val="231F1F"/>
                <w:spacing w:val="-3"/>
                <w:w w:val="110"/>
                <w:sz w:val="22"/>
              </w:rPr>
              <w:t> </w:t>
            </w:r>
            <w:r>
              <w:rPr>
                <w:color w:val="231F1F"/>
                <w:w w:val="110"/>
                <w:sz w:val="22"/>
              </w:rPr>
              <w:t>mejores</w:t>
            </w:r>
            <w:r>
              <w:rPr>
                <w:color w:val="231F1F"/>
                <w:spacing w:val="-3"/>
                <w:w w:val="110"/>
                <w:sz w:val="22"/>
              </w:rPr>
              <w:t> </w:t>
            </w:r>
            <w:r>
              <w:rPr>
                <w:color w:val="231F1F"/>
                <w:w w:val="110"/>
                <w:sz w:val="22"/>
              </w:rPr>
              <w:t>resultados</w:t>
            </w:r>
            <w:r>
              <w:rPr>
                <w:color w:val="231F1F"/>
                <w:spacing w:val="-3"/>
                <w:w w:val="110"/>
                <w:sz w:val="22"/>
              </w:rPr>
              <w:t> </w:t>
            </w:r>
            <w:r>
              <w:rPr>
                <w:color w:val="231F1F"/>
                <w:w w:val="110"/>
                <w:sz w:val="22"/>
              </w:rPr>
              <w:t>relacionados</w:t>
            </w:r>
            <w:r>
              <w:rPr>
                <w:color w:val="231F1F"/>
                <w:spacing w:val="-3"/>
                <w:w w:val="110"/>
                <w:sz w:val="22"/>
              </w:rPr>
              <w:t> </w:t>
            </w:r>
            <w:r>
              <w:rPr>
                <w:color w:val="231F1F"/>
                <w:w w:val="110"/>
                <w:sz w:val="22"/>
              </w:rPr>
              <w:t>con</w:t>
            </w:r>
            <w:r>
              <w:rPr>
                <w:color w:val="231F1F"/>
                <w:spacing w:val="-3"/>
                <w:w w:val="110"/>
                <w:sz w:val="22"/>
              </w:rPr>
              <w:t> </w:t>
            </w:r>
            <w:r>
              <w:rPr>
                <w:color w:val="231F1F"/>
                <w:w w:val="110"/>
                <w:sz w:val="22"/>
              </w:rPr>
              <w:t>el</w:t>
            </w:r>
            <w:r>
              <w:rPr>
                <w:color w:val="231F1F"/>
                <w:spacing w:val="-4"/>
                <w:w w:val="110"/>
                <w:sz w:val="22"/>
              </w:rPr>
              <w:t> </w:t>
            </w:r>
            <w:r>
              <w:rPr>
                <w:color w:val="231F1F"/>
                <w:w w:val="110"/>
                <w:sz w:val="22"/>
              </w:rPr>
              <w:t>dolor</w:t>
            </w:r>
            <w:r>
              <w:rPr>
                <w:color w:val="231F1F"/>
                <w:spacing w:val="-4"/>
                <w:w w:val="110"/>
                <w:sz w:val="22"/>
              </w:rPr>
              <w:t> </w:t>
            </w:r>
            <w:r>
              <w:rPr>
                <w:color w:val="231F1F"/>
                <w:w w:val="110"/>
                <w:sz w:val="22"/>
              </w:rPr>
              <w:t>a corto plazo (166).</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type w:val="continuous"/>
          <w:pgSz w:w="11900" w:h="16840"/>
          <w:pgMar w:header="0" w:footer="622" w:top="560" w:bottom="280" w:left="1417" w:right="155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utilización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material</w:t>
            </w:r>
            <w:r>
              <w:rPr>
                <w:color w:val="231F1F"/>
                <w:spacing w:val="-15"/>
                <w:w w:val="110"/>
                <w:sz w:val="22"/>
              </w:rPr>
              <w:t> </w:t>
            </w:r>
            <w:r>
              <w:rPr>
                <w:color w:val="231F1F"/>
                <w:w w:val="110"/>
                <w:sz w:val="22"/>
              </w:rPr>
              <w:t>sintético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absorción</w:t>
            </w:r>
            <w:r>
              <w:rPr>
                <w:color w:val="231F1F"/>
                <w:spacing w:val="-16"/>
                <w:w w:val="110"/>
                <w:sz w:val="22"/>
              </w:rPr>
              <w:t> </w:t>
            </w:r>
            <w:r>
              <w:rPr>
                <w:color w:val="231F1F"/>
                <w:w w:val="110"/>
                <w:sz w:val="22"/>
              </w:rPr>
              <w:t>normal</w:t>
            </w:r>
            <w:r>
              <w:rPr>
                <w:color w:val="231F1F"/>
                <w:spacing w:val="-15"/>
                <w:w w:val="110"/>
                <w:sz w:val="22"/>
              </w:rPr>
              <w:t> </w:t>
            </w:r>
            <w:r>
              <w:rPr>
                <w:color w:val="231F1F"/>
                <w:w w:val="110"/>
                <w:sz w:val="22"/>
              </w:rPr>
              <w:t>para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su- tura de la herida perineal.</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4"/>
              <w:ind w:right="86"/>
              <w:jc w:val="both"/>
              <w:rPr>
                <w:sz w:val="22"/>
              </w:rPr>
            </w:pPr>
            <w:r>
              <w:rPr>
                <w:color w:val="231F1F"/>
                <w:w w:val="110"/>
                <w:sz w:val="22"/>
              </w:rPr>
              <w:t>Debe llevarse a cabo un examen rectal después de completar la reparación para garantizar</w:t>
            </w:r>
            <w:r>
              <w:rPr>
                <w:color w:val="231F1F"/>
                <w:spacing w:val="-12"/>
                <w:w w:val="110"/>
                <w:sz w:val="22"/>
              </w:rPr>
              <w:t> </w:t>
            </w:r>
            <w:r>
              <w:rPr>
                <w:color w:val="231F1F"/>
                <w:w w:val="110"/>
                <w:sz w:val="22"/>
              </w:rPr>
              <w:t>que</w:t>
            </w:r>
            <w:r>
              <w:rPr>
                <w:color w:val="231F1F"/>
                <w:spacing w:val="-11"/>
                <w:w w:val="110"/>
                <w:sz w:val="22"/>
              </w:rPr>
              <w:t> </w:t>
            </w:r>
            <w:r>
              <w:rPr>
                <w:color w:val="231F1F"/>
                <w:w w:val="110"/>
                <w:sz w:val="22"/>
              </w:rPr>
              <w:t>el</w:t>
            </w:r>
            <w:r>
              <w:rPr>
                <w:color w:val="231F1F"/>
                <w:spacing w:val="-12"/>
                <w:w w:val="110"/>
                <w:sz w:val="22"/>
              </w:rPr>
              <w:t> </w:t>
            </w:r>
            <w:r>
              <w:rPr>
                <w:color w:val="231F1F"/>
                <w:w w:val="110"/>
                <w:sz w:val="22"/>
              </w:rPr>
              <w:t>material</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sutura</w:t>
            </w:r>
            <w:r>
              <w:rPr>
                <w:color w:val="231F1F"/>
                <w:spacing w:val="-12"/>
                <w:w w:val="110"/>
                <w:sz w:val="22"/>
              </w:rPr>
              <w:t> </w:t>
            </w:r>
            <w:r>
              <w:rPr>
                <w:color w:val="231F1F"/>
                <w:w w:val="110"/>
                <w:sz w:val="22"/>
              </w:rPr>
              <w:t>no</w:t>
            </w:r>
            <w:r>
              <w:rPr>
                <w:color w:val="231F1F"/>
                <w:spacing w:val="-11"/>
                <w:w w:val="110"/>
                <w:sz w:val="22"/>
              </w:rPr>
              <w:t> </w:t>
            </w:r>
            <w:r>
              <w:rPr>
                <w:color w:val="231F1F"/>
                <w:w w:val="110"/>
                <w:sz w:val="22"/>
              </w:rPr>
              <w:t>se</w:t>
            </w:r>
            <w:r>
              <w:rPr>
                <w:color w:val="231F1F"/>
                <w:spacing w:val="-11"/>
                <w:w w:val="110"/>
                <w:sz w:val="22"/>
              </w:rPr>
              <w:t> </w:t>
            </w:r>
            <w:r>
              <w:rPr>
                <w:color w:val="231F1F"/>
                <w:w w:val="110"/>
                <w:sz w:val="22"/>
              </w:rPr>
              <w:t>ha</w:t>
            </w:r>
            <w:r>
              <w:rPr>
                <w:color w:val="231F1F"/>
                <w:spacing w:val="-11"/>
                <w:w w:val="110"/>
                <w:sz w:val="22"/>
              </w:rPr>
              <w:t> </w:t>
            </w:r>
            <w:r>
              <w:rPr>
                <w:color w:val="231F1F"/>
                <w:w w:val="110"/>
                <w:sz w:val="22"/>
              </w:rPr>
              <w:t>insertado</w:t>
            </w:r>
            <w:r>
              <w:rPr>
                <w:color w:val="231F1F"/>
                <w:spacing w:val="-11"/>
                <w:w w:val="110"/>
                <w:sz w:val="22"/>
              </w:rPr>
              <w:t> </w:t>
            </w:r>
            <w:r>
              <w:rPr>
                <w:color w:val="231F1F"/>
                <w:w w:val="110"/>
                <w:sz w:val="22"/>
              </w:rPr>
              <w:t>accidentalmente</w:t>
            </w:r>
            <w:r>
              <w:rPr>
                <w:color w:val="231F1F"/>
                <w:spacing w:val="-12"/>
                <w:w w:val="110"/>
                <w:sz w:val="22"/>
              </w:rPr>
              <w:t> </w:t>
            </w:r>
            <w:r>
              <w:rPr>
                <w:color w:val="231F1F"/>
                <w:w w:val="110"/>
                <w:sz w:val="22"/>
              </w:rPr>
              <w:t>a</w:t>
            </w:r>
            <w:r>
              <w:rPr>
                <w:color w:val="231F1F"/>
                <w:spacing w:val="-11"/>
                <w:w w:val="110"/>
                <w:sz w:val="22"/>
              </w:rPr>
              <w:t> </w:t>
            </w:r>
            <w:r>
              <w:rPr>
                <w:color w:val="231F1F"/>
                <w:w w:val="110"/>
                <w:sz w:val="22"/>
              </w:rPr>
              <w:t>través</w:t>
            </w:r>
            <w:r>
              <w:rPr>
                <w:color w:val="231F1F"/>
                <w:spacing w:val="-11"/>
                <w:w w:val="110"/>
                <w:sz w:val="22"/>
              </w:rPr>
              <w:t> </w:t>
            </w:r>
            <w:r>
              <w:rPr>
                <w:color w:val="231F1F"/>
                <w:w w:val="110"/>
                <w:sz w:val="22"/>
              </w:rPr>
              <w:t>de la mucosa rectal.</w:t>
            </w:r>
          </w:p>
        </w:tc>
      </w:tr>
    </w:tbl>
    <w:p>
      <w:pPr>
        <w:pStyle w:val="TableParagraph"/>
        <w:spacing w:after="0" w:line="244" w:lineRule="auto"/>
        <w:jc w:val="both"/>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32" w:id="24"/>
      <w:r>
        <w:rPr>
          <w:color w:val="231F1F"/>
        </w:rPr>
        <w:t>Maniobra</w:t>
      </w:r>
      <w:r>
        <w:rPr>
          <w:color w:val="231F1F"/>
          <w:spacing w:val="69"/>
        </w:rPr>
        <w:t> </w:t>
      </w:r>
      <w:r>
        <w:rPr>
          <w:color w:val="231F1F"/>
        </w:rPr>
        <w:t>de</w:t>
      </w:r>
      <w:r>
        <w:rPr>
          <w:color w:val="231F1F"/>
          <w:spacing w:val="71"/>
        </w:rPr>
        <w:t> </w:t>
      </w:r>
      <w:bookmarkEnd w:id="24"/>
      <w:r>
        <w:rPr>
          <w:color w:val="231F1F"/>
          <w:spacing w:val="-2"/>
        </w:rPr>
        <w:t>Kristeller</w:t>
      </w:r>
    </w:p>
    <w:p>
      <w:pPr>
        <w:pStyle w:val="BodyText"/>
        <w:spacing w:before="26"/>
        <w:rPr>
          <w:sz w:val="20"/>
        </w:rPr>
      </w:pPr>
      <w:r>
        <w:rPr>
          <w:sz w:val="20"/>
        </w:rPr>
        <mc:AlternateContent>
          <mc:Choice Requires="wps">
            <w:drawing>
              <wp:anchor distT="0" distB="0" distL="0" distR="0" allowOverlap="1" layoutInCell="1" locked="0" behindDoc="1" simplePos="0" relativeHeight="487611904">
                <wp:simplePos x="0" y="0"/>
                <wp:positionH relativeFrom="page">
                  <wp:posOffset>1082675</wp:posOffset>
                </wp:positionH>
                <wp:positionV relativeFrom="paragraph">
                  <wp:posOffset>180997</wp:posOffset>
                </wp:positionV>
                <wp:extent cx="5400040" cy="262255"/>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5400040" cy="262255"/>
                        </a:xfrm>
                        <a:prstGeom prst="rect">
                          <a:avLst/>
                        </a:prstGeom>
                        <a:ln w="6350">
                          <a:solidFill>
                            <a:srgbClr val="A30046"/>
                          </a:solidFill>
                          <a:prstDash val="solid"/>
                        </a:ln>
                      </wps:spPr>
                      <wps:txbx>
                        <w:txbxContent>
                          <w:p>
                            <w:pPr>
                              <w:pStyle w:val="BodyText"/>
                              <w:numPr>
                                <w:ilvl w:val="0"/>
                                <w:numId w:val="47"/>
                              </w:numPr>
                              <w:tabs>
                                <w:tab w:pos="322" w:val="left" w:leader="none"/>
                              </w:tabs>
                              <w:spacing w:line="240" w:lineRule="auto" w:before="51" w:after="0"/>
                              <w:ind w:left="322" w:right="0" w:hanging="218"/>
                              <w:jc w:val="left"/>
                            </w:pPr>
                            <w:r>
                              <w:rPr>
                                <w:color w:val="231F1F"/>
                              </w:rPr>
                              <w:t>¿Cuál</w:t>
                            </w:r>
                            <w:r>
                              <w:rPr>
                                <w:color w:val="231F1F"/>
                                <w:spacing w:val="27"/>
                              </w:rPr>
                              <w:t> </w:t>
                            </w:r>
                            <w:r>
                              <w:rPr>
                                <w:color w:val="231F1F"/>
                              </w:rPr>
                              <w:t>es</w:t>
                            </w:r>
                            <w:r>
                              <w:rPr>
                                <w:color w:val="231F1F"/>
                                <w:spacing w:val="30"/>
                              </w:rPr>
                              <w:t> </w:t>
                            </w:r>
                            <w:r>
                              <w:rPr>
                                <w:color w:val="231F1F"/>
                              </w:rPr>
                              <w:t>la</w:t>
                            </w:r>
                            <w:r>
                              <w:rPr>
                                <w:color w:val="231F1F"/>
                                <w:spacing w:val="29"/>
                              </w:rPr>
                              <w:t> </w:t>
                            </w:r>
                            <w:r>
                              <w:rPr>
                                <w:color w:val="231F1F"/>
                              </w:rPr>
                              <w:t>efectividad</w:t>
                            </w:r>
                            <w:r>
                              <w:rPr>
                                <w:color w:val="231F1F"/>
                                <w:spacing w:val="30"/>
                              </w:rPr>
                              <w:t> </w:t>
                            </w:r>
                            <w:r>
                              <w:rPr>
                                <w:color w:val="231F1F"/>
                              </w:rPr>
                              <w:t>de</w:t>
                            </w:r>
                            <w:r>
                              <w:rPr>
                                <w:color w:val="231F1F"/>
                                <w:spacing w:val="29"/>
                              </w:rPr>
                              <w:t> </w:t>
                            </w:r>
                            <w:r>
                              <w:rPr>
                                <w:color w:val="231F1F"/>
                              </w:rPr>
                              <w:t>la</w:t>
                            </w:r>
                            <w:r>
                              <w:rPr>
                                <w:color w:val="231F1F"/>
                                <w:spacing w:val="28"/>
                              </w:rPr>
                              <w:t> </w:t>
                            </w:r>
                            <w:r>
                              <w:rPr>
                                <w:color w:val="231F1F"/>
                              </w:rPr>
                              <w:t>maniobra</w:t>
                            </w:r>
                            <w:r>
                              <w:rPr>
                                <w:color w:val="231F1F"/>
                                <w:spacing w:val="31"/>
                              </w:rPr>
                              <w:t> </w:t>
                            </w:r>
                            <w:r>
                              <w:rPr>
                                <w:color w:val="231F1F"/>
                              </w:rPr>
                              <w:t>de</w:t>
                            </w:r>
                            <w:r>
                              <w:rPr>
                                <w:color w:val="231F1F"/>
                                <w:spacing w:val="28"/>
                              </w:rPr>
                              <w:t> </w:t>
                            </w:r>
                            <w:r>
                              <w:rPr>
                                <w:color w:val="231F1F"/>
                                <w:spacing w:val="-2"/>
                              </w:rPr>
                              <w:t>Kristeller?</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4576;mso-wrap-distance-left:0;mso-wrap-distance-right:0" type="#_x0000_t202" id="docshape86" filled="false" stroked="true" strokeweight=".5pt" strokecolor="#a30046">
                <v:textbox inset="0,0,0,0">
                  <w:txbxContent>
                    <w:p>
                      <w:pPr>
                        <w:pStyle w:val="BodyText"/>
                        <w:numPr>
                          <w:ilvl w:val="0"/>
                          <w:numId w:val="47"/>
                        </w:numPr>
                        <w:tabs>
                          <w:tab w:pos="322" w:val="left" w:leader="none"/>
                        </w:tabs>
                        <w:spacing w:line="240" w:lineRule="auto" w:before="51" w:after="0"/>
                        <w:ind w:left="322" w:right="0" w:hanging="218"/>
                        <w:jc w:val="left"/>
                      </w:pPr>
                      <w:r>
                        <w:rPr>
                          <w:color w:val="231F1F"/>
                        </w:rPr>
                        <w:t>¿Cuál</w:t>
                      </w:r>
                      <w:r>
                        <w:rPr>
                          <w:color w:val="231F1F"/>
                          <w:spacing w:val="27"/>
                        </w:rPr>
                        <w:t> </w:t>
                      </w:r>
                      <w:r>
                        <w:rPr>
                          <w:color w:val="231F1F"/>
                        </w:rPr>
                        <w:t>es</w:t>
                      </w:r>
                      <w:r>
                        <w:rPr>
                          <w:color w:val="231F1F"/>
                          <w:spacing w:val="30"/>
                        </w:rPr>
                        <w:t> </w:t>
                      </w:r>
                      <w:r>
                        <w:rPr>
                          <w:color w:val="231F1F"/>
                        </w:rPr>
                        <w:t>la</w:t>
                      </w:r>
                      <w:r>
                        <w:rPr>
                          <w:color w:val="231F1F"/>
                          <w:spacing w:val="29"/>
                        </w:rPr>
                        <w:t> </w:t>
                      </w:r>
                      <w:r>
                        <w:rPr>
                          <w:color w:val="231F1F"/>
                        </w:rPr>
                        <w:t>efectividad</w:t>
                      </w:r>
                      <w:r>
                        <w:rPr>
                          <w:color w:val="231F1F"/>
                          <w:spacing w:val="30"/>
                        </w:rPr>
                        <w:t> </w:t>
                      </w:r>
                      <w:r>
                        <w:rPr>
                          <w:color w:val="231F1F"/>
                        </w:rPr>
                        <w:t>de</w:t>
                      </w:r>
                      <w:r>
                        <w:rPr>
                          <w:color w:val="231F1F"/>
                          <w:spacing w:val="29"/>
                        </w:rPr>
                        <w:t> </w:t>
                      </w:r>
                      <w:r>
                        <w:rPr>
                          <w:color w:val="231F1F"/>
                        </w:rPr>
                        <w:t>la</w:t>
                      </w:r>
                      <w:r>
                        <w:rPr>
                          <w:color w:val="231F1F"/>
                          <w:spacing w:val="28"/>
                        </w:rPr>
                        <w:t> </w:t>
                      </w:r>
                      <w:r>
                        <w:rPr>
                          <w:color w:val="231F1F"/>
                        </w:rPr>
                        <w:t>maniobra</w:t>
                      </w:r>
                      <w:r>
                        <w:rPr>
                          <w:color w:val="231F1F"/>
                          <w:spacing w:val="31"/>
                        </w:rPr>
                        <w:t> </w:t>
                      </w:r>
                      <w:r>
                        <w:rPr>
                          <w:color w:val="231F1F"/>
                        </w:rPr>
                        <w:t>de</w:t>
                      </w:r>
                      <w:r>
                        <w:rPr>
                          <w:color w:val="231F1F"/>
                          <w:spacing w:val="28"/>
                        </w:rPr>
                        <w:t> </w:t>
                      </w:r>
                      <w:r>
                        <w:rPr>
                          <w:color w:val="231F1F"/>
                          <w:spacing w:val="-2"/>
                        </w:rPr>
                        <w:t>Kristeller?</w:t>
                      </w:r>
                    </w:p>
                  </w:txbxContent>
                </v:textbox>
                <v:stroke dashstyle="solid"/>
                <w10:wrap type="topAndBottom"/>
              </v:shape>
            </w:pict>
          </mc:Fallback>
        </mc:AlternateContent>
      </w:r>
    </w:p>
    <w:p>
      <w:pPr>
        <w:pStyle w:val="BodyText"/>
        <w:spacing w:line="244" w:lineRule="auto" w:before="324"/>
        <w:ind w:left="283" w:right="123"/>
        <w:jc w:val="both"/>
      </w:pPr>
      <w:r>
        <w:rPr>
          <w:color w:val="231F1F"/>
          <w:w w:val="110"/>
        </w:rPr>
        <w:t>Entre</w:t>
      </w:r>
      <w:r>
        <w:rPr>
          <w:color w:val="231F1F"/>
          <w:spacing w:val="-15"/>
          <w:w w:val="110"/>
        </w:rPr>
        <w:t> </w:t>
      </w:r>
      <w:r>
        <w:rPr>
          <w:color w:val="231F1F"/>
          <w:w w:val="110"/>
        </w:rPr>
        <w:t>las</w:t>
      </w:r>
      <w:r>
        <w:rPr>
          <w:color w:val="231F1F"/>
          <w:spacing w:val="-15"/>
          <w:w w:val="110"/>
        </w:rPr>
        <w:t> </w:t>
      </w:r>
      <w:r>
        <w:rPr>
          <w:color w:val="231F1F"/>
          <w:w w:val="110"/>
        </w:rPr>
        <w:t>maniobras</w:t>
      </w:r>
      <w:r>
        <w:rPr>
          <w:color w:val="231F1F"/>
          <w:spacing w:val="-15"/>
          <w:w w:val="110"/>
        </w:rPr>
        <w:t> </w:t>
      </w:r>
      <w:r>
        <w:rPr>
          <w:color w:val="231F1F"/>
          <w:w w:val="110"/>
        </w:rPr>
        <w:t>usadas</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segunda</w:t>
      </w:r>
      <w:r>
        <w:rPr>
          <w:color w:val="231F1F"/>
          <w:spacing w:val="-15"/>
          <w:w w:val="110"/>
        </w:rPr>
        <w:t> </w:t>
      </w:r>
      <w:r>
        <w:rPr>
          <w:color w:val="231F1F"/>
          <w:w w:val="110"/>
        </w:rPr>
        <w:t>etapa</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6"/>
          <w:w w:val="110"/>
        </w:rPr>
        <w:t> </w:t>
      </w:r>
      <w:r>
        <w:rPr>
          <w:color w:val="231F1F"/>
          <w:w w:val="110"/>
        </w:rPr>
        <w:t>la</w:t>
      </w:r>
      <w:r>
        <w:rPr>
          <w:color w:val="231F1F"/>
          <w:spacing w:val="-14"/>
          <w:w w:val="110"/>
        </w:rPr>
        <w:t> </w:t>
      </w:r>
      <w:r>
        <w:rPr>
          <w:color w:val="231F1F"/>
          <w:w w:val="110"/>
        </w:rPr>
        <w:t>maniobra</w:t>
      </w:r>
      <w:r>
        <w:rPr>
          <w:color w:val="231F1F"/>
          <w:spacing w:val="-15"/>
          <w:w w:val="110"/>
        </w:rPr>
        <w:t> </w:t>
      </w:r>
      <w:r>
        <w:rPr>
          <w:color w:val="231F1F"/>
          <w:w w:val="110"/>
        </w:rPr>
        <w:t>de</w:t>
      </w:r>
      <w:r>
        <w:rPr>
          <w:color w:val="231F1F"/>
          <w:spacing w:val="-15"/>
          <w:w w:val="110"/>
        </w:rPr>
        <w:t> </w:t>
      </w:r>
      <w:r>
        <w:rPr>
          <w:color w:val="231F1F"/>
          <w:w w:val="110"/>
        </w:rPr>
        <w:t>Kristeller</w:t>
      </w:r>
      <w:r>
        <w:rPr>
          <w:color w:val="231F1F"/>
          <w:spacing w:val="-15"/>
          <w:w w:val="110"/>
        </w:rPr>
        <w:t> </w:t>
      </w:r>
      <w:r>
        <w:rPr>
          <w:color w:val="231F1F"/>
          <w:w w:val="110"/>
        </w:rPr>
        <w:t>es</w:t>
      </w:r>
      <w:r>
        <w:rPr>
          <w:color w:val="231F1F"/>
          <w:spacing w:val="-15"/>
          <w:w w:val="110"/>
        </w:rPr>
        <w:t> </w:t>
      </w:r>
      <w:r>
        <w:rPr>
          <w:color w:val="231F1F"/>
          <w:w w:val="110"/>
        </w:rPr>
        <w:t>una de</w:t>
      </w:r>
      <w:r>
        <w:rPr>
          <w:color w:val="231F1F"/>
          <w:spacing w:val="-13"/>
          <w:w w:val="110"/>
        </w:rPr>
        <w:t> </w:t>
      </w:r>
      <w:r>
        <w:rPr>
          <w:color w:val="231F1F"/>
          <w:w w:val="110"/>
        </w:rPr>
        <w:t>las</w:t>
      </w:r>
      <w:r>
        <w:rPr>
          <w:color w:val="231F1F"/>
          <w:spacing w:val="-13"/>
          <w:w w:val="110"/>
        </w:rPr>
        <w:t> </w:t>
      </w:r>
      <w:r>
        <w:rPr>
          <w:color w:val="231F1F"/>
          <w:w w:val="110"/>
        </w:rPr>
        <w:t>más</w:t>
      </w:r>
      <w:r>
        <w:rPr>
          <w:color w:val="231F1F"/>
          <w:spacing w:val="-13"/>
          <w:w w:val="110"/>
        </w:rPr>
        <w:t> </w:t>
      </w:r>
      <w:r>
        <w:rPr>
          <w:color w:val="231F1F"/>
          <w:w w:val="110"/>
        </w:rPr>
        <w:t>controvertidas.</w:t>
      </w:r>
      <w:r>
        <w:rPr>
          <w:color w:val="231F1F"/>
          <w:spacing w:val="-13"/>
          <w:w w:val="110"/>
        </w:rPr>
        <w:t> </w:t>
      </w:r>
      <w:r>
        <w:rPr>
          <w:color w:val="231F1F"/>
          <w:w w:val="110"/>
        </w:rPr>
        <w:t>La</w:t>
      </w:r>
      <w:r>
        <w:rPr>
          <w:color w:val="231F1F"/>
          <w:spacing w:val="-13"/>
          <w:w w:val="110"/>
        </w:rPr>
        <w:t> </w:t>
      </w:r>
      <w:r>
        <w:rPr>
          <w:color w:val="231F1F"/>
          <w:w w:val="110"/>
        </w:rPr>
        <w:t>prevalencia</w:t>
      </w:r>
      <w:r>
        <w:rPr>
          <w:color w:val="231F1F"/>
          <w:spacing w:val="-14"/>
          <w:w w:val="110"/>
        </w:rPr>
        <w:t> </w:t>
      </w:r>
      <w:r>
        <w:rPr>
          <w:color w:val="231F1F"/>
          <w:w w:val="110"/>
        </w:rPr>
        <w:t>de</w:t>
      </w:r>
      <w:r>
        <w:rPr>
          <w:color w:val="231F1F"/>
          <w:spacing w:val="-13"/>
          <w:w w:val="110"/>
        </w:rPr>
        <w:t> </w:t>
      </w:r>
      <w:r>
        <w:rPr>
          <w:color w:val="231F1F"/>
          <w:w w:val="110"/>
        </w:rPr>
        <w:t>su</w:t>
      </w:r>
      <w:r>
        <w:rPr>
          <w:color w:val="231F1F"/>
          <w:spacing w:val="-13"/>
          <w:w w:val="110"/>
        </w:rPr>
        <w:t> </w:t>
      </w:r>
      <w:r>
        <w:rPr>
          <w:color w:val="231F1F"/>
          <w:w w:val="110"/>
        </w:rPr>
        <w:t>uso</w:t>
      </w:r>
      <w:r>
        <w:rPr>
          <w:color w:val="231F1F"/>
          <w:spacing w:val="-13"/>
          <w:w w:val="110"/>
        </w:rPr>
        <w:t> </w:t>
      </w:r>
      <w:r>
        <w:rPr>
          <w:color w:val="231F1F"/>
          <w:w w:val="110"/>
        </w:rPr>
        <w:t>es</w:t>
      </w:r>
      <w:r>
        <w:rPr>
          <w:color w:val="231F1F"/>
          <w:spacing w:val="-13"/>
          <w:w w:val="110"/>
        </w:rPr>
        <w:t> </w:t>
      </w:r>
      <w:r>
        <w:rPr>
          <w:color w:val="231F1F"/>
          <w:w w:val="110"/>
        </w:rPr>
        <w:t>desconocida.</w:t>
      </w:r>
      <w:r>
        <w:rPr>
          <w:color w:val="231F1F"/>
          <w:spacing w:val="-14"/>
          <w:w w:val="110"/>
        </w:rPr>
        <w:t> </w:t>
      </w:r>
      <w:r>
        <w:rPr>
          <w:color w:val="231F1F"/>
          <w:w w:val="110"/>
        </w:rPr>
        <w:t>Es</w:t>
      </w:r>
      <w:r>
        <w:rPr>
          <w:color w:val="231F1F"/>
          <w:spacing w:val="-13"/>
          <w:w w:val="110"/>
        </w:rPr>
        <w:t> </w:t>
      </w:r>
      <w:r>
        <w:rPr>
          <w:color w:val="231F1F"/>
          <w:w w:val="110"/>
        </w:rPr>
        <w:t>preciso</w:t>
      </w:r>
      <w:r>
        <w:rPr>
          <w:color w:val="231F1F"/>
          <w:spacing w:val="-13"/>
          <w:w w:val="110"/>
        </w:rPr>
        <w:t> </w:t>
      </w:r>
      <w:r>
        <w:rPr>
          <w:color w:val="231F1F"/>
          <w:w w:val="110"/>
        </w:rPr>
        <w:t>conocer</w:t>
      </w:r>
      <w:r>
        <w:rPr>
          <w:color w:val="231F1F"/>
          <w:spacing w:val="-13"/>
          <w:w w:val="110"/>
        </w:rPr>
        <w:t> </w:t>
      </w:r>
      <w:r>
        <w:rPr>
          <w:color w:val="231F1F"/>
          <w:w w:val="110"/>
        </w:rPr>
        <w:t>si existe alguna justificación actual para su utilización.</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200"/>
        <w:ind w:left="283"/>
        <w:jc w:val="both"/>
      </w:pPr>
      <w:r>
        <w:rPr>
          <w:color w:val="231F1F"/>
          <w:w w:val="110"/>
        </w:rPr>
        <w:t>La</w:t>
      </w:r>
      <w:r>
        <w:rPr>
          <w:color w:val="231F1F"/>
          <w:spacing w:val="-14"/>
          <w:w w:val="110"/>
        </w:rPr>
        <w:t> </w:t>
      </w:r>
      <w:r>
        <w:rPr>
          <w:color w:val="231F1F"/>
          <w:w w:val="110"/>
        </w:rPr>
        <w:t>guía</w:t>
      </w:r>
      <w:r>
        <w:rPr>
          <w:color w:val="231F1F"/>
          <w:spacing w:val="-11"/>
          <w:w w:val="110"/>
        </w:rPr>
        <w:t> </w:t>
      </w:r>
      <w:r>
        <w:rPr>
          <w:color w:val="231F1F"/>
          <w:w w:val="110"/>
        </w:rPr>
        <w:t>NICE</w:t>
      </w:r>
      <w:r>
        <w:rPr>
          <w:color w:val="231F1F"/>
          <w:spacing w:val="-11"/>
          <w:w w:val="110"/>
        </w:rPr>
        <w:t> </w:t>
      </w:r>
      <w:r>
        <w:rPr>
          <w:color w:val="231F1F"/>
          <w:w w:val="110"/>
        </w:rPr>
        <w:t>(10)</w:t>
      </w:r>
      <w:r>
        <w:rPr>
          <w:color w:val="231F1F"/>
          <w:spacing w:val="-11"/>
          <w:w w:val="110"/>
        </w:rPr>
        <w:t> </w:t>
      </w:r>
      <w:r>
        <w:rPr>
          <w:color w:val="231F1F"/>
          <w:w w:val="110"/>
        </w:rPr>
        <w:t>no</w:t>
      </w:r>
      <w:r>
        <w:rPr>
          <w:color w:val="231F1F"/>
          <w:spacing w:val="-11"/>
          <w:w w:val="110"/>
        </w:rPr>
        <w:t> </w:t>
      </w:r>
      <w:r>
        <w:rPr>
          <w:color w:val="231F1F"/>
          <w:w w:val="110"/>
        </w:rPr>
        <w:t>aborda</w:t>
      </w:r>
      <w:r>
        <w:rPr>
          <w:color w:val="231F1F"/>
          <w:spacing w:val="-12"/>
          <w:w w:val="110"/>
        </w:rPr>
        <w:t> </w:t>
      </w:r>
      <w:r>
        <w:rPr>
          <w:color w:val="231F1F"/>
          <w:w w:val="110"/>
        </w:rPr>
        <w:t>este</w:t>
      </w:r>
      <w:r>
        <w:rPr>
          <w:color w:val="231F1F"/>
          <w:spacing w:val="-13"/>
          <w:w w:val="110"/>
        </w:rPr>
        <w:t> </w:t>
      </w:r>
      <w:r>
        <w:rPr>
          <w:color w:val="231F1F"/>
          <w:w w:val="110"/>
        </w:rPr>
        <w:t>punto.</w:t>
      </w:r>
      <w:r>
        <w:rPr>
          <w:color w:val="231F1F"/>
          <w:spacing w:val="-13"/>
          <w:w w:val="110"/>
        </w:rPr>
        <w:t> </w:t>
      </w:r>
      <w:r>
        <w:rPr>
          <w:color w:val="231F1F"/>
          <w:w w:val="110"/>
        </w:rPr>
        <w:t>La</w:t>
      </w:r>
      <w:r>
        <w:rPr>
          <w:color w:val="231F1F"/>
          <w:spacing w:val="-11"/>
          <w:w w:val="110"/>
        </w:rPr>
        <w:t> </w:t>
      </w:r>
      <w:r>
        <w:rPr>
          <w:color w:val="231F1F"/>
          <w:w w:val="110"/>
        </w:rPr>
        <w:t>OMS</w:t>
      </w:r>
      <w:r>
        <w:rPr>
          <w:color w:val="231F1F"/>
          <w:spacing w:val="-11"/>
          <w:w w:val="110"/>
        </w:rPr>
        <w:t> </w:t>
      </w:r>
      <w:r>
        <w:rPr>
          <w:color w:val="231F1F"/>
          <w:w w:val="110"/>
        </w:rPr>
        <w:t>en</w:t>
      </w:r>
      <w:r>
        <w:rPr>
          <w:color w:val="231F1F"/>
          <w:spacing w:val="-12"/>
          <w:w w:val="110"/>
        </w:rPr>
        <w:t> </w:t>
      </w:r>
      <w:r>
        <w:rPr>
          <w:color w:val="231F1F"/>
          <w:w w:val="110"/>
        </w:rPr>
        <w:t>el</w:t>
      </w:r>
      <w:r>
        <w:rPr>
          <w:color w:val="231F1F"/>
          <w:spacing w:val="-11"/>
          <w:w w:val="110"/>
        </w:rPr>
        <w:t> </w:t>
      </w:r>
      <w:r>
        <w:rPr>
          <w:color w:val="231F1F"/>
          <w:w w:val="110"/>
        </w:rPr>
        <w:t>documento</w:t>
      </w:r>
      <w:r>
        <w:rPr>
          <w:color w:val="231F1F"/>
          <w:spacing w:val="-13"/>
          <w:w w:val="110"/>
        </w:rPr>
        <w:t> </w:t>
      </w:r>
      <w:r>
        <w:rPr>
          <w:color w:val="231F1F"/>
          <w:spacing w:val="-2"/>
          <w:w w:val="110"/>
        </w:rPr>
        <w:t>titulado</w:t>
      </w:r>
    </w:p>
    <w:p>
      <w:pPr>
        <w:pStyle w:val="BodyText"/>
        <w:spacing w:line="252" w:lineRule="auto" w:before="16"/>
        <w:ind w:left="283" w:right="1366"/>
        <w:jc w:val="both"/>
      </w:pPr>
      <w:r>
        <w:rPr>
          <w:color w:val="231F1F"/>
          <w:w w:val="110"/>
        </w:rPr>
        <w:t>«Cuidados en el parto normal: Una guía práctica» (4) publicada en 1996, </w:t>
      </w:r>
      <w:r>
        <w:rPr>
          <w:color w:val="231F1F"/>
          <w:spacing w:val="-2"/>
          <w:w w:val="110"/>
        </w:rPr>
        <w:t>realiza</w:t>
      </w:r>
      <w:r>
        <w:rPr>
          <w:color w:val="231F1F"/>
          <w:spacing w:val="-12"/>
          <w:w w:val="110"/>
        </w:rPr>
        <w:t> </w:t>
      </w:r>
      <w:r>
        <w:rPr>
          <w:color w:val="231F1F"/>
          <w:spacing w:val="-2"/>
          <w:w w:val="110"/>
        </w:rPr>
        <w:t>una</w:t>
      </w:r>
      <w:r>
        <w:rPr>
          <w:color w:val="231F1F"/>
          <w:spacing w:val="-12"/>
          <w:w w:val="110"/>
        </w:rPr>
        <w:t> </w:t>
      </w:r>
      <w:r>
        <w:rPr>
          <w:color w:val="231F1F"/>
          <w:spacing w:val="-2"/>
          <w:w w:val="110"/>
        </w:rPr>
        <w:t>recomendación</w:t>
      </w:r>
      <w:r>
        <w:rPr>
          <w:color w:val="231F1F"/>
          <w:spacing w:val="-12"/>
          <w:w w:val="110"/>
        </w:rPr>
        <w:t> </w:t>
      </w:r>
      <w:r>
        <w:rPr>
          <w:color w:val="231F1F"/>
          <w:spacing w:val="-2"/>
          <w:w w:val="110"/>
        </w:rPr>
        <w:t>de</w:t>
      </w:r>
      <w:r>
        <w:rPr>
          <w:color w:val="231F1F"/>
          <w:spacing w:val="-12"/>
          <w:w w:val="110"/>
        </w:rPr>
        <w:t> </w:t>
      </w:r>
      <w:r>
        <w:rPr>
          <w:color w:val="231F1F"/>
          <w:spacing w:val="-2"/>
          <w:w w:val="110"/>
        </w:rPr>
        <w:t>tipo</w:t>
      </w:r>
      <w:r>
        <w:rPr>
          <w:color w:val="231F1F"/>
          <w:spacing w:val="-12"/>
          <w:w w:val="110"/>
        </w:rPr>
        <w:t> </w:t>
      </w:r>
      <w:r>
        <w:rPr>
          <w:color w:val="231F1F"/>
          <w:spacing w:val="-2"/>
          <w:w w:val="110"/>
        </w:rPr>
        <w:t>C</w:t>
      </w:r>
      <w:r>
        <w:rPr>
          <w:color w:val="231F1F"/>
          <w:spacing w:val="-12"/>
          <w:w w:val="110"/>
        </w:rPr>
        <w:t> </w:t>
      </w:r>
      <w:r>
        <w:rPr>
          <w:color w:val="231F1F"/>
          <w:spacing w:val="-2"/>
          <w:w w:val="110"/>
        </w:rPr>
        <w:t>sobre</w:t>
      </w:r>
      <w:r>
        <w:rPr>
          <w:color w:val="231F1F"/>
          <w:spacing w:val="-12"/>
          <w:w w:val="110"/>
        </w:rPr>
        <w:t> </w:t>
      </w:r>
      <w:r>
        <w:rPr>
          <w:color w:val="231F1F"/>
          <w:spacing w:val="-2"/>
          <w:w w:val="110"/>
        </w:rPr>
        <w:t>la</w:t>
      </w:r>
      <w:r>
        <w:rPr>
          <w:color w:val="231F1F"/>
          <w:spacing w:val="-12"/>
          <w:w w:val="110"/>
        </w:rPr>
        <w:t> </w:t>
      </w:r>
      <w:r>
        <w:rPr>
          <w:color w:val="231F1F"/>
          <w:spacing w:val="-2"/>
          <w:w w:val="110"/>
        </w:rPr>
        <w:t>presión</w:t>
      </w:r>
      <w:r>
        <w:rPr>
          <w:color w:val="231F1F"/>
          <w:spacing w:val="-12"/>
          <w:w w:val="110"/>
        </w:rPr>
        <w:t> </w:t>
      </w:r>
      <w:r>
        <w:rPr>
          <w:color w:val="231F1F"/>
          <w:spacing w:val="-2"/>
          <w:w w:val="110"/>
        </w:rPr>
        <w:t>fúndica</w:t>
      </w:r>
      <w:r>
        <w:rPr>
          <w:color w:val="231F1F"/>
          <w:spacing w:val="-12"/>
          <w:w w:val="110"/>
        </w:rPr>
        <w:t> </w:t>
      </w:r>
      <w:r>
        <w:rPr>
          <w:color w:val="231F1F"/>
          <w:spacing w:val="-2"/>
          <w:w w:val="110"/>
        </w:rPr>
        <w:t>durante</w:t>
      </w:r>
      <w:r>
        <w:rPr>
          <w:color w:val="231F1F"/>
          <w:spacing w:val="-12"/>
          <w:w w:val="110"/>
        </w:rPr>
        <w:t> </w:t>
      </w:r>
      <w:r>
        <w:rPr>
          <w:color w:val="231F1F"/>
          <w:spacing w:val="-2"/>
          <w:w w:val="110"/>
        </w:rPr>
        <w:t>el</w:t>
      </w:r>
      <w:r>
        <w:rPr>
          <w:color w:val="231F1F"/>
          <w:spacing w:val="-12"/>
          <w:w w:val="110"/>
        </w:rPr>
        <w:t> </w:t>
      </w:r>
      <w:r>
        <w:rPr>
          <w:color w:val="231F1F"/>
          <w:spacing w:val="-2"/>
          <w:w w:val="110"/>
        </w:rPr>
        <w:t>parto </w:t>
      </w:r>
      <w:r>
        <w:rPr>
          <w:color w:val="231F1F"/>
          <w:w w:val="110"/>
        </w:rPr>
        <w:t>(maniobra</w:t>
      </w:r>
      <w:r>
        <w:rPr>
          <w:color w:val="231F1F"/>
          <w:spacing w:val="-15"/>
          <w:w w:val="110"/>
        </w:rPr>
        <w:t> </w:t>
      </w:r>
      <w:r>
        <w:rPr>
          <w:color w:val="231F1F"/>
          <w:w w:val="110"/>
        </w:rPr>
        <w:t>de</w:t>
      </w:r>
      <w:r>
        <w:rPr>
          <w:color w:val="231F1F"/>
          <w:spacing w:val="-15"/>
          <w:w w:val="110"/>
        </w:rPr>
        <w:t> </w:t>
      </w:r>
      <w:r>
        <w:rPr>
          <w:color w:val="231F1F"/>
          <w:w w:val="110"/>
        </w:rPr>
        <w:t>Kristeller),</w:t>
      </w:r>
      <w:r>
        <w:rPr>
          <w:color w:val="231F1F"/>
          <w:spacing w:val="-15"/>
          <w:w w:val="110"/>
        </w:rPr>
        <w:t> </w:t>
      </w:r>
      <w:r>
        <w:rPr>
          <w:color w:val="231F1F"/>
          <w:w w:val="110"/>
        </w:rPr>
        <w:t>especificando</w:t>
      </w:r>
      <w:r>
        <w:rPr>
          <w:color w:val="231F1F"/>
          <w:spacing w:val="-14"/>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trata</w:t>
      </w:r>
      <w:r>
        <w:rPr>
          <w:color w:val="231F1F"/>
          <w:spacing w:val="-15"/>
          <w:w w:val="110"/>
        </w:rPr>
        <w:t> </w:t>
      </w:r>
      <w:r>
        <w:rPr>
          <w:color w:val="231F1F"/>
          <w:w w:val="110"/>
        </w:rPr>
        <w:t>de</w:t>
      </w:r>
      <w:r>
        <w:rPr>
          <w:color w:val="231F1F"/>
          <w:spacing w:val="-15"/>
          <w:w w:val="110"/>
        </w:rPr>
        <w:t> </w:t>
      </w:r>
      <w:r>
        <w:rPr>
          <w:color w:val="231F1F"/>
          <w:w w:val="110"/>
        </w:rPr>
        <w:t>una</w:t>
      </w:r>
      <w:r>
        <w:rPr>
          <w:color w:val="231F1F"/>
          <w:spacing w:val="-15"/>
          <w:w w:val="110"/>
        </w:rPr>
        <w:t> </w:t>
      </w:r>
      <w:r>
        <w:rPr>
          <w:color w:val="231F1F"/>
          <w:w w:val="110"/>
        </w:rPr>
        <w:t>práctica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que no</w:t>
      </w:r>
      <w:r>
        <w:rPr>
          <w:color w:val="231F1F"/>
          <w:spacing w:val="-6"/>
          <w:w w:val="110"/>
        </w:rPr>
        <w:t> </w:t>
      </w:r>
      <w:r>
        <w:rPr>
          <w:color w:val="231F1F"/>
          <w:w w:val="110"/>
        </w:rPr>
        <w:t>existe</w:t>
      </w:r>
      <w:r>
        <w:rPr>
          <w:color w:val="231F1F"/>
          <w:spacing w:val="-6"/>
          <w:w w:val="110"/>
        </w:rPr>
        <w:t> </w:t>
      </w:r>
      <w:r>
        <w:rPr>
          <w:color w:val="231F1F"/>
          <w:w w:val="110"/>
        </w:rPr>
        <w:t>una</w:t>
      </w:r>
      <w:r>
        <w:rPr>
          <w:color w:val="231F1F"/>
          <w:spacing w:val="-6"/>
          <w:w w:val="110"/>
        </w:rPr>
        <w:t> </w:t>
      </w:r>
      <w:r>
        <w:rPr>
          <w:color w:val="231F1F"/>
          <w:w w:val="110"/>
        </w:rPr>
        <w:t>clara</w:t>
      </w:r>
      <w:r>
        <w:rPr>
          <w:color w:val="231F1F"/>
          <w:spacing w:val="-6"/>
          <w:w w:val="110"/>
        </w:rPr>
        <w:t> </w:t>
      </w:r>
      <w:r>
        <w:rPr>
          <w:color w:val="231F1F"/>
          <w:w w:val="110"/>
        </w:rPr>
        <w:t>evidencia</w:t>
      </w:r>
      <w:r>
        <w:rPr>
          <w:color w:val="231F1F"/>
          <w:spacing w:val="-6"/>
          <w:w w:val="110"/>
        </w:rPr>
        <w:t> </w:t>
      </w:r>
      <w:r>
        <w:rPr>
          <w:color w:val="231F1F"/>
          <w:w w:val="110"/>
        </w:rPr>
        <w:t>para</w:t>
      </w:r>
      <w:r>
        <w:rPr>
          <w:color w:val="231F1F"/>
          <w:spacing w:val="-6"/>
          <w:w w:val="110"/>
        </w:rPr>
        <w:t> </w:t>
      </w:r>
      <w:r>
        <w:rPr>
          <w:color w:val="231F1F"/>
          <w:w w:val="110"/>
        </w:rPr>
        <w:t>fomentarla</w:t>
      </w:r>
      <w:r>
        <w:rPr>
          <w:color w:val="231F1F"/>
          <w:spacing w:val="-6"/>
          <w:w w:val="110"/>
        </w:rPr>
        <w:t> </w:t>
      </w:r>
      <w:r>
        <w:rPr>
          <w:color w:val="231F1F"/>
          <w:w w:val="110"/>
        </w:rPr>
        <w:t>y</w:t>
      </w:r>
      <w:r>
        <w:rPr>
          <w:color w:val="231F1F"/>
          <w:spacing w:val="-6"/>
          <w:w w:val="110"/>
        </w:rPr>
        <w:t> </w:t>
      </w:r>
      <w:r>
        <w:rPr>
          <w:color w:val="231F1F"/>
          <w:w w:val="110"/>
        </w:rPr>
        <w:t>que</w:t>
      </w:r>
      <w:r>
        <w:rPr>
          <w:color w:val="231F1F"/>
          <w:spacing w:val="-6"/>
          <w:w w:val="110"/>
        </w:rPr>
        <w:t> </w:t>
      </w:r>
      <w:r>
        <w:rPr>
          <w:color w:val="231F1F"/>
          <w:w w:val="110"/>
        </w:rPr>
        <w:t>debería</w:t>
      </w:r>
      <w:r>
        <w:rPr>
          <w:color w:val="231F1F"/>
          <w:spacing w:val="-7"/>
          <w:w w:val="110"/>
        </w:rPr>
        <w:t> </w:t>
      </w:r>
      <w:r>
        <w:rPr>
          <w:color w:val="231F1F"/>
          <w:w w:val="110"/>
        </w:rPr>
        <w:t>usarse</w:t>
      </w:r>
      <w:r>
        <w:rPr>
          <w:color w:val="231F1F"/>
          <w:spacing w:val="-6"/>
          <w:w w:val="110"/>
        </w:rPr>
        <w:t> </w:t>
      </w:r>
      <w:r>
        <w:rPr>
          <w:color w:val="231F1F"/>
          <w:w w:val="110"/>
        </w:rPr>
        <w:t>con</w:t>
      </w:r>
      <w:r>
        <w:rPr>
          <w:color w:val="231F1F"/>
          <w:spacing w:val="-6"/>
          <w:w w:val="110"/>
        </w:rPr>
        <w:t> </w:t>
      </w:r>
      <w:r>
        <w:rPr>
          <w:color w:val="231F1F"/>
          <w:w w:val="110"/>
        </w:rPr>
        <w:t>cau- tela hasta que nuevos estudios clarifiquen el tema.</w:t>
      </w:r>
    </w:p>
    <w:p>
      <w:pPr>
        <w:pStyle w:val="BodyText"/>
        <w:spacing w:before="146"/>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9"/>
          <w:sz w:val="24"/>
        </w:rPr>
        <w:t> </w:t>
      </w:r>
      <w:r>
        <w:rPr>
          <w:rFonts w:ascii="Arial MT" w:hAnsi="Arial MT"/>
          <w:color w:val="231F1F"/>
          <w:sz w:val="24"/>
        </w:rPr>
        <w:t>(hasta</w:t>
      </w:r>
      <w:r>
        <w:rPr>
          <w:rFonts w:ascii="Arial MT" w:hAnsi="Arial MT"/>
          <w:color w:val="231F1F"/>
          <w:spacing w:val="30"/>
          <w:sz w:val="24"/>
        </w:rPr>
        <w:t> </w:t>
      </w:r>
      <w:r>
        <w:rPr>
          <w:rFonts w:ascii="Arial MT" w:hAnsi="Arial MT"/>
          <w:color w:val="231F1F"/>
          <w:sz w:val="24"/>
        </w:rPr>
        <w:t>junio</w:t>
      </w:r>
      <w:r>
        <w:rPr>
          <w:rFonts w:ascii="Arial MT" w:hAnsi="Arial MT"/>
          <w:color w:val="231F1F"/>
          <w:spacing w:val="30"/>
          <w:sz w:val="24"/>
        </w:rPr>
        <w:t> </w:t>
      </w:r>
      <w:r>
        <w:rPr>
          <w:rFonts w:ascii="Arial MT" w:hAnsi="Arial MT"/>
          <w:color w:val="231F1F"/>
          <w:spacing w:val="-2"/>
          <w:sz w:val="24"/>
        </w:rPr>
        <w:t>2008)</w:t>
      </w:r>
    </w:p>
    <w:p>
      <w:pPr>
        <w:pStyle w:val="BodyText"/>
        <w:spacing w:line="244" w:lineRule="auto" w:before="209"/>
        <w:ind w:left="283" w:right="1373"/>
        <w:jc w:val="both"/>
      </w:pPr>
      <w:r>
        <w:rPr>
          <w:color w:val="231F1F"/>
          <w:w w:val="110"/>
        </w:rPr>
        <w:t>La nueva búsqueda arroja un total de 17 referencias, aunque solamente se seleccionó una, por motivos metodológicos.</w:t>
      </w:r>
    </w:p>
    <w:p>
      <w:pPr>
        <w:pStyle w:val="BodyText"/>
        <w:spacing w:line="249" w:lineRule="auto" w:before="151"/>
        <w:ind w:left="283" w:right="1370" w:firstLine="453"/>
        <w:jc w:val="both"/>
      </w:pPr>
      <w:r>
        <w:rPr>
          <w:color w:val="231F1F"/>
          <w:w w:val="105"/>
        </w:rPr>
        <w:t>Durante la redacción de esta guía, también se ha identificado y seleccio- nado una RS</w:t>
      </w:r>
      <w:r>
        <w:rPr>
          <w:color w:val="231F1F"/>
          <w:spacing w:val="-1"/>
          <w:w w:val="105"/>
        </w:rPr>
        <w:t> </w:t>
      </w:r>
      <w:r>
        <w:rPr>
          <w:color w:val="231F1F"/>
          <w:w w:val="105"/>
        </w:rPr>
        <w:t>Cochrane publicada en el 2009 (173) que evalúa si la presión del fondo</w:t>
      </w:r>
      <w:r>
        <w:rPr>
          <w:color w:val="231F1F"/>
          <w:w w:val="105"/>
        </w:rPr>
        <w:t> del</w:t>
      </w:r>
      <w:r>
        <w:rPr>
          <w:color w:val="231F1F"/>
          <w:w w:val="105"/>
        </w:rPr>
        <w:t> útero,</w:t>
      </w:r>
      <w:r>
        <w:rPr>
          <w:color w:val="231F1F"/>
          <w:w w:val="105"/>
        </w:rPr>
        <w:t> o</w:t>
      </w:r>
      <w:r>
        <w:rPr>
          <w:color w:val="231F1F"/>
          <w:w w:val="105"/>
        </w:rPr>
        <w:t> maniobra</w:t>
      </w:r>
      <w:r>
        <w:rPr>
          <w:color w:val="231F1F"/>
          <w:w w:val="105"/>
        </w:rPr>
        <w:t> de</w:t>
      </w:r>
      <w:r>
        <w:rPr>
          <w:color w:val="231F1F"/>
          <w:w w:val="105"/>
        </w:rPr>
        <w:t> Kristeller,</w:t>
      </w:r>
      <w:r>
        <w:rPr>
          <w:color w:val="231F1F"/>
          <w:w w:val="105"/>
        </w:rPr>
        <w:t> es</w:t>
      </w:r>
      <w:r>
        <w:rPr>
          <w:color w:val="231F1F"/>
          <w:w w:val="105"/>
        </w:rPr>
        <w:t> eficaz</w:t>
      </w:r>
      <w:r>
        <w:rPr>
          <w:color w:val="231F1F"/>
          <w:w w:val="105"/>
        </w:rPr>
        <w:t> para</w:t>
      </w:r>
      <w:r>
        <w:rPr>
          <w:color w:val="231F1F"/>
          <w:w w:val="105"/>
        </w:rPr>
        <w:t> alcanzar</w:t>
      </w:r>
      <w:r>
        <w:rPr>
          <w:color w:val="231F1F"/>
          <w:w w:val="105"/>
        </w:rPr>
        <w:t> un</w:t>
      </w:r>
      <w:r>
        <w:rPr>
          <w:color w:val="231F1F"/>
          <w:w w:val="105"/>
        </w:rPr>
        <w:t> parto espontáneo</w:t>
      </w:r>
      <w:r>
        <w:rPr>
          <w:color w:val="231F1F"/>
          <w:spacing w:val="30"/>
          <w:w w:val="105"/>
        </w:rPr>
        <w:t> </w:t>
      </w:r>
      <w:r>
        <w:rPr>
          <w:color w:val="231F1F"/>
          <w:w w:val="105"/>
        </w:rPr>
        <w:t>y</w:t>
      </w:r>
      <w:r>
        <w:rPr>
          <w:color w:val="231F1F"/>
          <w:spacing w:val="30"/>
          <w:w w:val="105"/>
        </w:rPr>
        <w:t> </w:t>
      </w:r>
      <w:r>
        <w:rPr>
          <w:color w:val="231F1F"/>
          <w:w w:val="105"/>
        </w:rPr>
        <w:t>para</w:t>
      </w:r>
      <w:r>
        <w:rPr>
          <w:color w:val="231F1F"/>
          <w:spacing w:val="29"/>
          <w:w w:val="105"/>
        </w:rPr>
        <w:t> </w:t>
      </w:r>
      <w:r>
        <w:rPr>
          <w:color w:val="231F1F"/>
          <w:w w:val="105"/>
        </w:rPr>
        <w:t>la</w:t>
      </w:r>
      <w:r>
        <w:rPr>
          <w:color w:val="231F1F"/>
          <w:spacing w:val="29"/>
          <w:w w:val="105"/>
        </w:rPr>
        <w:t> </w:t>
      </w:r>
      <w:r>
        <w:rPr>
          <w:color w:val="231F1F"/>
          <w:w w:val="105"/>
        </w:rPr>
        <w:t>prevención</w:t>
      </w:r>
      <w:r>
        <w:rPr>
          <w:color w:val="231F1F"/>
          <w:spacing w:val="30"/>
          <w:w w:val="105"/>
        </w:rPr>
        <w:t> </w:t>
      </w:r>
      <w:r>
        <w:rPr>
          <w:color w:val="231F1F"/>
          <w:w w:val="105"/>
        </w:rPr>
        <w:t>de</w:t>
      </w:r>
      <w:r>
        <w:rPr>
          <w:color w:val="231F1F"/>
          <w:spacing w:val="29"/>
          <w:w w:val="105"/>
        </w:rPr>
        <w:t> </w:t>
      </w:r>
      <w:r>
        <w:rPr>
          <w:color w:val="231F1F"/>
          <w:w w:val="105"/>
        </w:rPr>
        <w:t>una</w:t>
      </w:r>
      <w:r>
        <w:rPr>
          <w:color w:val="231F1F"/>
          <w:spacing w:val="29"/>
          <w:w w:val="105"/>
        </w:rPr>
        <w:t> </w:t>
      </w:r>
      <w:r>
        <w:rPr>
          <w:color w:val="231F1F"/>
          <w:w w:val="105"/>
        </w:rPr>
        <w:t>segunda</w:t>
      </w:r>
      <w:r>
        <w:rPr>
          <w:color w:val="231F1F"/>
          <w:spacing w:val="29"/>
          <w:w w:val="105"/>
        </w:rPr>
        <w:t> </w:t>
      </w:r>
      <w:r>
        <w:rPr>
          <w:color w:val="231F1F"/>
          <w:w w:val="105"/>
        </w:rPr>
        <w:t>etapa</w:t>
      </w:r>
      <w:r>
        <w:rPr>
          <w:color w:val="231F1F"/>
          <w:spacing w:val="29"/>
          <w:w w:val="105"/>
        </w:rPr>
        <w:t> </w:t>
      </w:r>
      <w:r>
        <w:rPr>
          <w:color w:val="231F1F"/>
          <w:w w:val="105"/>
        </w:rPr>
        <w:t>de</w:t>
      </w:r>
      <w:r>
        <w:rPr>
          <w:color w:val="231F1F"/>
          <w:spacing w:val="29"/>
          <w:w w:val="105"/>
        </w:rPr>
        <w:t> </w:t>
      </w:r>
      <w:r>
        <w:rPr>
          <w:color w:val="231F1F"/>
          <w:w w:val="105"/>
        </w:rPr>
        <w:t>parto</w:t>
      </w:r>
      <w:r>
        <w:rPr>
          <w:color w:val="231F1F"/>
          <w:spacing w:val="29"/>
          <w:w w:val="105"/>
        </w:rPr>
        <w:t> </w:t>
      </w:r>
      <w:r>
        <w:rPr>
          <w:color w:val="231F1F"/>
          <w:w w:val="105"/>
        </w:rPr>
        <w:t>prolongada o un parto instrumental. Así como, los posibles efectos adversos maternos y fetales relacionados con la maniobra de Kristeller.</w:t>
      </w:r>
    </w:p>
    <w:p>
      <w:pPr>
        <w:pStyle w:val="BodyText"/>
        <w:spacing w:line="244" w:lineRule="auto" w:before="131"/>
        <w:ind w:left="283" w:right="1360" w:firstLine="453"/>
        <w:jc w:val="both"/>
      </w:pPr>
      <w:r>
        <w:rPr>
          <w:color w:val="231F1F"/>
          <w:w w:val="105"/>
        </w:rPr>
        <w:t>La reciente revisión (173) sólo incluye como base de la evidencia el en- sayo</w:t>
      </w:r>
      <w:r>
        <w:rPr>
          <w:color w:val="231F1F"/>
          <w:w w:val="105"/>
        </w:rPr>
        <w:t> seleccionado</w:t>
      </w:r>
      <w:r>
        <w:rPr>
          <w:color w:val="231F1F"/>
          <w:w w:val="105"/>
        </w:rPr>
        <w:t> en</w:t>
      </w:r>
      <w:r>
        <w:rPr>
          <w:color w:val="231F1F"/>
          <w:w w:val="105"/>
        </w:rPr>
        <w:t> nuestra</w:t>
      </w:r>
      <w:r>
        <w:rPr>
          <w:color w:val="231F1F"/>
          <w:w w:val="105"/>
        </w:rPr>
        <w:t> primera</w:t>
      </w:r>
      <w:r>
        <w:rPr>
          <w:color w:val="231F1F"/>
          <w:w w:val="105"/>
        </w:rPr>
        <w:t> búsqueda</w:t>
      </w:r>
      <w:r>
        <w:rPr>
          <w:color w:val="231F1F"/>
          <w:w w:val="105"/>
        </w:rPr>
        <w:t> bibliográfica.</w:t>
      </w:r>
      <w:r>
        <w:rPr>
          <w:color w:val="231F1F"/>
          <w:w w:val="105"/>
        </w:rPr>
        <w:t> Se</w:t>
      </w:r>
      <w:r>
        <w:rPr>
          <w:color w:val="231F1F"/>
          <w:w w:val="105"/>
        </w:rPr>
        <w:t> trata</w:t>
      </w:r>
      <w:r>
        <w:rPr>
          <w:color w:val="231F1F"/>
          <w:w w:val="105"/>
        </w:rPr>
        <w:t> de</w:t>
      </w:r>
      <w:r>
        <w:rPr>
          <w:color w:val="231F1F"/>
          <w:w w:val="105"/>
        </w:rPr>
        <w:t> un ECA</w:t>
      </w:r>
      <w:r>
        <w:rPr>
          <w:color w:val="231F1F"/>
          <w:w w:val="105"/>
        </w:rPr>
        <w:t> (174)</w:t>
      </w:r>
      <w:r>
        <w:rPr>
          <w:color w:val="231F1F"/>
          <w:w w:val="105"/>
        </w:rPr>
        <w:t> realizado</w:t>
      </w:r>
      <w:r>
        <w:rPr>
          <w:color w:val="231F1F"/>
          <w:w w:val="105"/>
        </w:rPr>
        <w:t> en</w:t>
      </w:r>
      <w:r>
        <w:rPr>
          <w:color w:val="231F1F"/>
          <w:w w:val="105"/>
        </w:rPr>
        <w:t> Londres</w:t>
      </w:r>
      <w:r>
        <w:rPr>
          <w:color w:val="231F1F"/>
          <w:w w:val="105"/>
        </w:rPr>
        <w:t> que</w:t>
      </w:r>
      <w:r>
        <w:rPr>
          <w:color w:val="231F1F"/>
          <w:w w:val="105"/>
        </w:rPr>
        <w:t> incluye</w:t>
      </w:r>
      <w:r>
        <w:rPr>
          <w:color w:val="231F1F"/>
          <w:w w:val="105"/>
        </w:rPr>
        <w:t> a</w:t>
      </w:r>
      <w:r>
        <w:rPr>
          <w:color w:val="231F1F"/>
          <w:w w:val="105"/>
        </w:rPr>
        <w:t> 500</w:t>
      </w:r>
      <w:r>
        <w:rPr>
          <w:color w:val="231F1F"/>
          <w:w w:val="105"/>
        </w:rPr>
        <w:t> mujeres</w:t>
      </w:r>
      <w:r>
        <w:rPr>
          <w:color w:val="231F1F"/>
          <w:w w:val="105"/>
        </w:rPr>
        <w:t> nulíparas</w:t>
      </w:r>
      <w:r>
        <w:rPr>
          <w:color w:val="231F1F"/>
          <w:w w:val="105"/>
        </w:rPr>
        <w:t> con analgesia epidural para determinar si una cinta obstétrica inflable, para la aplicación</w:t>
      </w:r>
      <w:r>
        <w:rPr>
          <w:color w:val="231F1F"/>
          <w:w w:val="105"/>
        </w:rPr>
        <w:t> de</w:t>
      </w:r>
      <w:r>
        <w:rPr>
          <w:color w:val="231F1F"/>
          <w:w w:val="105"/>
        </w:rPr>
        <w:t> presión</w:t>
      </w:r>
      <w:r>
        <w:rPr>
          <w:color w:val="231F1F"/>
          <w:w w:val="105"/>
        </w:rPr>
        <w:t> del</w:t>
      </w:r>
      <w:r>
        <w:rPr>
          <w:color w:val="231F1F"/>
          <w:w w:val="105"/>
        </w:rPr>
        <w:t> fondo</w:t>
      </w:r>
      <w:r>
        <w:rPr>
          <w:color w:val="231F1F"/>
          <w:w w:val="105"/>
        </w:rPr>
        <w:t> uterino</w:t>
      </w:r>
      <w:r>
        <w:rPr>
          <w:color w:val="231F1F"/>
          <w:w w:val="105"/>
        </w:rPr>
        <w:t> durante</w:t>
      </w:r>
      <w:r>
        <w:rPr>
          <w:color w:val="231F1F"/>
          <w:w w:val="105"/>
        </w:rPr>
        <w:t> la</w:t>
      </w:r>
      <w:r>
        <w:rPr>
          <w:color w:val="231F1F"/>
          <w:w w:val="105"/>
        </w:rPr>
        <w:t> contracción,</w:t>
      </w:r>
      <w:r>
        <w:rPr>
          <w:color w:val="231F1F"/>
          <w:w w:val="105"/>
        </w:rPr>
        <w:t> reduce</w:t>
      </w:r>
      <w:r>
        <w:rPr>
          <w:color w:val="231F1F"/>
          <w:w w:val="105"/>
        </w:rPr>
        <w:t> las</w:t>
      </w:r>
      <w:r>
        <w:rPr>
          <w:color w:val="231F1F"/>
          <w:spacing w:val="80"/>
          <w:w w:val="105"/>
        </w:rPr>
        <w:t> </w:t>
      </w:r>
      <w:r>
        <w:rPr>
          <w:color w:val="231F1F"/>
          <w:w w:val="105"/>
        </w:rPr>
        <w:t>tasas</w:t>
      </w:r>
      <w:r>
        <w:rPr>
          <w:color w:val="231F1F"/>
          <w:spacing w:val="30"/>
          <w:w w:val="105"/>
        </w:rPr>
        <w:t> </w:t>
      </w:r>
      <w:r>
        <w:rPr>
          <w:color w:val="231F1F"/>
          <w:w w:val="105"/>
        </w:rPr>
        <w:t>de</w:t>
      </w:r>
      <w:r>
        <w:rPr>
          <w:color w:val="231F1F"/>
          <w:spacing w:val="30"/>
          <w:w w:val="105"/>
        </w:rPr>
        <w:t> </w:t>
      </w:r>
      <w:r>
        <w:rPr>
          <w:color w:val="231F1F"/>
          <w:w w:val="105"/>
        </w:rPr>
        <w:t>parto</w:t>
      </w:r>
      <w:r>
        <w:rPr>
          <w:color w:val="231F1F"/>
          <w:spacing w:val="30"/>
          <w:w w:val="105"/>
        </w:rPr>
        <w:t> </w:t>
      </w:r>
      <w:r>
        <w:rPr>
          <w:color w:val="231F1F"/>
          <w:w w:val="105"/>
        </w:rPr>
        <w:t>instrumental</w:t>
      </w:r>
      <w:r>
        <w:rPr>
          <w:color w:val="231F1F"/>
          <w:spacing w:val="30"/>
          <w:w w:val="105"/>
        </w:rPr>
        <w:t> </w:t>
      </w:r>
      <w:r>
        <w:rPr>
          <w:color w:val="231F1F"/>
          <w:w w:val="105"/>
        </w:rPr>
        <w:t>cuando</w:t>
      </w:r>
      <w:r>
        <w:rPr>
          <w:color w:val="231F1F"/>
          <w:spacing w:val="32"/>
          <w:w w:val="105"/>
        </w:rPr>
        <w:t> </w:t>
      </w:r>
      <w:r>
        <w:rPr>
          <w:color w:val="231F1F"/>
          <w:w w:val="105"/>
        </w:rPr>
        <w:t>se</w:t>
      </w:r>
      <w:r>
        <w:rPr>
          <w:color w:val="231F1F"/>
          <w:spacing w:val="30"/>
          <w:w w:val="105"/>
        </w:rPr>
        <w:t> </w:t>
      </w:r>
      <w:r>
        <w:rPr>
          <w:color w:val="231F1F"/>
          <w:w w:val="105"/>
        </w:rPr>
        <w:t>utiliza</w:t>
      </w:r>
      <w:r>
        <w:rPr>
          <w:color w:val="231F1F"/>
          <w:spacing w:val="32"/>
          <w:w w:val="105"/>
        </w:rPr>
        <w:t> </w:t>
      </w:r>
      <w:r>
        <w:rPr>
          <w:color w:val="231F1F"/>
          <w:w w:val="105"/>
        </w:rPr>
        <w:t>en</w:t>
      </w:r>
      <w:r>
        <w:rPr>
          <w:color w:val="231F1F"/>
          <w:spacing w:val="32"/>
          <w:w w:val="105"/>
        </w:rPr>
        <w:t> </w:t>
      </w:r>
      <w:r>
        <w:rPr>
          <w:color w:val="231F1F"/>
          <w:w w:val="105"/>
        </w:rPr>
        <w:t>la</w:t>
      </w:r>
      <w:r>
        <w:rPr>
          <w:color w:val="231F1F"/>
          <w:spacing w:val="32"/>
          <w:w w:val="105"/>
        </w:rPr>
        <w:t> </w:t>
      </w:r>
      <w:r>
        <w:rPr>
          <w:color w:val="231F1F"/>
          <w:w w:val="105"/>
        </w:rPr>
        <w:t>segunda</w:t>
      </w:r>
      <w:r>
        <w:rPr>
          <w:color w:val="231F1F"/>
          <w:spacing w:val="30"/>
          <w:w w:val="105"/>
        </w:rPr>
        <w:t> </w:t>
      </w:r>
      <w:r>
        <w:rPr>
          <w:color w:val="231F1F"/>
          <w:w w:val="105"/>
        </w:rPr>
        <w:t>etapa</w:t>
      </w:r>
      <w:r>
        <w:rPr>
          <w:color w:val="231F1F"/>
          <w:spacing w:val="32"/>
          <w:w w:val="105"/>
        </w:rPr>
        <w:t> </w:t>
      </w:r>
      <w:r>
        <w:rPr>
          <w:color w:val="231F1F"/>
          <w:w w:val="105"/>
        </w:rPr>
        <w:t>del</w:t>
      </w:r>
      <w:r>
        <w:rPr>
          <w:color w:val="231F1F"/>
          <w:spacing w:val="30"/>
          <w:w w:val="105"/>
        </w:rPr>
        <w:t> </w:t>
      </w:r>
      <w:r>
        <w:rPr>
          <w:color w:val="231F1F"/>
          <w:w w:val="105"/>
        </w:rPr>
        <w:t>parto.</w:t>
      </w:r>
    </w:p>
    <w:p>
      <w:pPr>
        <w:pStyle w:val="BodyText"/>
        <w:tabs>
          <w:tab w:pos="7770" w:val="left" w:leader="none"/>
          <w:tab w:pos="7973" w:val="left" w:leader="none"/>
          <w:tab w:pos="8114" w:val="left" w:leader="none"/>
        </w:tabs>
        <w:spacing w:line="244" w:lineRule="auto" w:before="93"/>
        <w:ind w:left="283" w:right="389" w:firstLine="453"/>
      </w:pPr>
      <w:r>
        <w:rPr>
          <w:color w:val="231F1F"/>
          <w:w w:val="105"/>
        </w:rPr>
        <w:t>El 42,7% de las 260 mujeres en el grupo con el cinturón tuvo un parto</w:t>
      </w:r>
      <w:r>
        <w:rPr>
          <w:color w:val="231F1F"/>
        </w:rPr>
        <w:tab/>
      </w:r>
      <w:r>
        <w:rPr>
          <w:rFonts w:ascii="Arial MT" w:hAnsi="Arial MT"/>
          <w:color w:val="231F1F"/>
          <w:spacing w:val="-2"/>
          <w:w w:val="105"/>
          <w:sz w:val="18"/>
        </w:rPr>
        <w:t>RS</w:t>
      </w:r>
      <w:r>
        <w:rPr>
          <w:rFonts w:ascii="Arial MT" w:hAnsi="Arial MT"/>
          <w:color w:val="231F1F"/>
          <w:spacing w:val="-12"/>
          <w:w w:val="105"/>
          <w:sz w:val="18"/>
        </w:rPr>
        <w:t> </w:t>
      </w:r>
      <w:r>
        <w:rPr>
          <w:rFonts w:ascii="Arial MT" w:hAnsi="Arial MT"/>
          <w:color w:val="231F1F"/>
          <w:spacing w:val="-2"/>
          <w:w w:val="105"/>
          <w:sz w:val="18"/>
        </w:rPr>
        <w:t>de</w:t>
      </w:r>
      <w:r>
        <w:rPr>
          <w:rFonts w:ascii="Arial MT" w:hAnsi="Arial MT"/>
          <w:color w:val="231F1F"/>
          <w:spacing w:val="-11"/>
          <w:w w:val="105"/>
          <w:sz w:val="18"/>
        </w:rPr>
        <w:t> </w:t>
      </w:r>
      <w:r>
        <w:rPr>
          <w:rFonts w:ascii="Arial MT" w:hAnsi="Arial MT"/>
          <w:color w:val="231F1F"/>
          <w:spacing w:val="-2"/>
          <w:w w:val="105"/>
          <w:sz w:val="18"/>
        </w:rPr>
        <w:t>un </w:t>
      </w:r>
      <w:r>
        <w:rPr>
          <w:color w:val="231F1F"/>
          <w:w w:val="105"/>
        </w:rPr>
        <w:t>espontáneo, en comparación con un 39,2% de las 240 en el grupo control,</w:t>
      </w:r>
      <w:r>
        <w:rPr>
          <w:color w:val="231F1F"/>
        </w:rPr>
        <w:tab/>
        <w:tab/>
      </w:r>
      <w:r>
        <w:rPr>
          <w:rFonts w:ascii="Arial MT" w:hAnsi="Arial MT"/>
          <w:color w:val="231F1F"/>
          <w:spacing w:val="-4"/>
          <w:w w:val="105"/>
          <w:position w:val="4"/>
          <w:sz w:val="18"/>
        </w:rPr>
        <w:t>ECA </w:t>
      </w:r>
      <w:r>
        <w:rPr>
          <w:color w:val="231F1F"/>
          <w:w w:val="105"/>
        </w:rPr>
        <w:t>aunque esta diferencia no fue significativa; p=0,423. La tasa de partos instru-</w:t>
      </w:r>
      <w:r>
        <w:rPr>
          <w:color w:val="231F1F"/>
        </w:rPr>
        <w:tab/>
        <w:tab/>
        <w:tab/>
      </w:r>
      <w:r>
        <w:rPr>
          <w:rFonts w:ascii="Arial MT" w:hAnsi="Arial MT"/>
          <w:color w:val="231F1F"/>
          <w:spacing w:val="-6"/>
          <w:w w:val="105"/>
          <w:position w:val="8"/>
          <w:sz w:val="18"/>
        </w:rPr>
        <w:t>1+ </w:t>
      </w:r>
      <w:r>
        <w:rPr>
          <w:color w:val="231F1F"/>
          <w:w w:val="105"/>
        </w:rPr>
        <w:t>mentados fue similar entre los dos grupos: RR 0,94 [IC 95%: 0,80 a 1,11], sin</w:t>
      </w:r>
      <w:r>
        <w:rPr>
          <w:color w:val="231F1F"/>
          <w:spacing w:val="40"/>
          <w:w w:val="105"/>
        </w:rPr>
        <w:t> </w:t>
      </w:r>
      <w:r>
        <w:rPr>
          <w:color w:val="231F1F"/>
          <w:w w:val="105"/>
        </w:rPr>
        <w:t>diferencias significativas, así como la tasa de cesáreas. El perineo resultó in-</w:t>
      </w:r>
    </w:p>
    <w:p>
      <w:pPr>
        <w:pStyle w:val="BodyText"/>
        <w:spacing w:line="244" w:lineRule="auto" w:before="2"/>
        <w:ind w:left="283" w:right="1386"/>
      </w:pPr>
      <w:r>
        <w:rPr>
          <w:color w:val="231F1F"/>
          <w:w w:val="105"/>
        </w:rPr>
        <w:t>tacto en más casos entre las mujeres del grupo de intervención: RR 1,73 [IC 95%:</w:t>
      </w:r>
      <w:r>
        <w:rPr>
          <w:color w:val="231F1F"/>
          <w:spacing w:val="-4"/>
          <w:w w:val="105"/>
        </w:rPr>
        <w:t> </w:t>
      </w:r>
      <w:r>
        <w:rPr>
          <w:color w:val="231F1F"/>
          <w:w w:val="105"/>
        </w:rPr>
        <w:t>1,07</w:t>
      </w:r>
      <w:r>
        <w:rPr>
          <w:color w:val="231F1F"/>
          <w:spacing w:val="-3"/>
          <w:w w:val="105"/>
        </w:rPr>
        <w:t> </w:t>
      </w:r>
      <w:r>
        <w:rPr>
          <w:color w:val="231F1F"/>
          <w:w w:val="105"/>
        </w:rPr>
        <w:t>a</w:t>
      </w:r>
      <w:r>
        <w:rPr>
          <w:color w:val="231F1F"/>
          <w:spacing w:val="-3"/>
          <w:w w:val="105"/>
        </w:rPr>
        <w:t> </w:t>
      </w:r>
      <w:r>
        <w:rPr>
          <w:color w:val="231F1F"/>
          <w:w w:val="105"/>
        </w:rPr>
        <w:t>2,77],</w:t>
      </w:r>
      <w:r>
        <w:rPr>
          <w:color w:val="231F1F"/>
          <w:spacing w:val="-3"/>
          <w:w w:val="105"/>
        </w:rPr>
        <w:t> </w:t>
      </w:r>
      <w:r>
        <w:rPr>
          <w:color w:val="231F1F"/>
          <w:w w:val="105"/>
        </w:rPr>
        <w:t>así</w:t>
      </w:r>
      <w:r>
        <w:rPr>
          <w:color w:val="231F1F"/>
          <w:spacing w:val="-4"/>
          <w:w w:val="105"/>
        </w:rPr>
        <w:t> </w:t>
      </w:r>
      <w:r>
        <w:rPr>
          <w:color w:val="231F1F"/>
          <w:w w:val="105"/>
        </w:rPr>
        <w:t>como</w:t>
      </w:r>
      <w:r>
        <w:rPr>
          <w:color w:val="231F1F"/>
          <w:spacing w:val="-3"/>
          <w:w w:val="105"/>
        </w:rPr>
        <w:t> </w:t>
      </w:r>
      <w:r>
        <w:rPr>
          <w:color w:val="231F1F"/>
          <w:w w:val="105"/>
        </w:rPr>
        <w:t>el</w:t>
      </w:r>
      <w:r>
        <w:rPr>
          <w:color w:val="231F1F"/>
          <w:spacing w:val="-4"/>
          <w:w w:val="105"/>
        </w:rPr>
        <w:t> </w:t>
      </w:r>
      <w:r>
        <w:rPr>
          <w:color w:val="231F1F"/>
          <w:w w:val="105"/>
        </w:rPr>
        <w:t>desgarro</w:t>
      </w:r>
      <w:r>
        <w:rPr>
          <w:color w:val="231F1F"/>
          <w:spacing w:val="-3"/>
          <w:w w:val="105"/>
        </w:rPr>
        <w:t> </w:t>
      </w:r>
      <w:r>
        <w:rPr>
          <w:color w:val="231F1F"/>
          <w:w w:val="105"/>
        </w:rPr>
        <w:t>del</w:t>
      </w:r>
      <w:r>
        <w:rPr>
          <w:color w:val="231F1F"/>
          <w:spacing w:val="-4"/>
          <w:w w:val="105"/>
        </w:rPr>
        <w:t> </w:t>
      </w:r>
      <w:r>
        <w:rPr>
          <w:color w:val="231F1F"/>
          <w:w w:val="105"/>
        </w:rPr>
        <w:t>esfínter</w:t>
      </w:r>
      <w:r>
        <w:rPr>
          <w:color w:val="231F1F"/>
          <w:spacing w:val="-3"/>
          <w:w w:val="105"/>
        </w:rPr>
        <w:t> </w:t>
      </w:r>
      <w:r>
        <w:rPr>
          <w:color w:val="231F1F"/>
          <w:w w:val="105"/>
        </w:rPr>
        <w:t>anal:</w:t>
      </w:r>
      <w:r>
        <w:rPr>
          <w:color w:val="231F1F"/>
          <w:spacing w:val="-4"/>
          <w:w w:val="105"/>
        </w:rPr>
        <w:t> </w:t>
      </w:r>
      <w:r>
        <w:rPr>
          <w:color w:val="231F1F"/>
          <w:w w:val="105"/>
        </w:rPr>
        <w:t>RR</w:t>
      </w:r>
      <w:r>
        <w:rPr>
          <w:color w:val="231F1F"/>
          <w:spacing w:val="-3"/>
          <w:w w:val="105"/>
        </w:rPr>
        <w:t> </w:t>
      </w:r>
      <w:r>
        <w:rPr>
          <w:color w:val="231F1F"/>
          <w:w w:val="105"/>
        </w:rPr>
        <w:t>15,69</w:t>
      </w:r>
      <w:r>
        <w:rPr>
          <w:color w:val="231F1F"/>
          <w:spacing w:val="-3"/>
          <w:w w:val="105"/>
        </w:rPr>
        <w:t> </w:t>
      </w:r>
      <w:r>
        <w:rPr>
          <w:color w:val="231F1F"/>
          <w:w w:val="105"/>
        </w:rPr>
        <w:t>[IC</w:t>
      </w:r>
      <w:r>
        <w:rPr>
          <w:color w:val="231F1F"/>
          <w:spacing w:val="-3"/>
          <w:w w:val="105"/>
        </w:rPr>
        <w:t> </w:t>
      </w:r>
      <w:r>
        <w:rPr>
          <w:color w:val="231F1F"/>
          <w:w w:val="105"/>
        </w:rPr>
        <w:t>95%:</w:t>
      </w:r>
    </w:p>
    <w:p>
      <w:pPr>
        <w:pStyle w:val="BodyText"/>
        <w:spacing w:before="22"/>
        <w:ind w:left="283"/>
      </w:pPr>
      <w:r>
        <w:rPr>
          <w:color w:val="231F1F"/>
        </w:rPr>
        <w:t>2,10</w:t>
      </w:r>
      <w:r>
        <w:rPr>
          <w:color w:val="231F1F"/>
          <w:spacing w:val="-1"/>
        </w:rPr>
        <w:t> </w:t>
      </w:r>
      <w:r>
        <w:rPr>
          <w:color w:val="231F1F"/>
        </w:rPr>
        <w:t>a</w:t>
      </w:r>
      <w:r>
        <w:rPr>
          <w:color w:val="231F1F"/>
          <w:spacing w:val="2"/>
        </w:rPr>
        <w:t> </w:t>
      </w:r>
      <w:r>
        <w:rPr>
          <w:color w:val="231F1F"/>
          <w:spacing w:val="-2"/>
        </w:rPr>
        <w:t>117,02].</w:t>
      </w:r>
    </w:p>
    <w:p>
      <w:pPr>
        <w:pStyle w:val="BodyText"/>
        <w:spacing w:line="254" w:lineRule="auto" w:before="68"/>
        <w:ind w:left="283" w:right="1489" w:firstLine="453"/>
      </w:pPr>
      <w:r>
        <w:rPr>
          <w:color w:val="231F1F"/>
          <w:w w:val="105"/>
        </w:rPr>
        <w:t>La revisión concluye que la maniobra de Kristeller, realizada mediante el cinturón inflable, no incrementa la tasa de partos vaginales espontáneos ni</w:t>
      </w:r>
    </w:p>
    <w:p>
      <w:pPr>
        <w:pStyle w:val="BodyText"/>
        <w:spacing w:after="0" w:line="254" w:lineRule="auto"/>
        <w:sectPr>
          <w:pgSz w:w="11900" w:h="16840"/>
          <w:pgMar w:header="0" w:footer="622" w:top="1560" w:bottom="820" w:left="1417" w:right="1559"/>
        </w:sectPr>
      </w:pPr>
    </w:p>
    <w:p>
      <w:pPr>
        <w:pStyle w:val="BodyText"/>
        <w:spacing w:line="244" w:lineRule="auto" w:before="73"/>
        <w:ind w:left="283" w:right="1367"/>
        <w:jc w:val="both"/>
      </w:pPr>
      <w:r>
        <w:rPr>
          <w:color w:val="231F1F"/>
          <w:w w:val="110"/>
        </w:rPr>
        <w:t>reduce la tasa de parto instrumental, que las pruebas de su efecto sobre el </w:t>
      </w:r>
      <w:r>
        <w:rPr>
          <w:color w:val="231F1F"/>
          <w:spacing w:val="-2"/>
          <w:w w:val="110"/>
        </w:rPr>
        <w:t>periné</w:t>
      </w:r>
      <w:r>
        <w:rPr>
          <w:color w:val="231F1F"/>
          <w:spacing w:val="-7"/>
          <w:w w:val="110"/>
        </w:rPr>
        <w:t> </w:t>
      </w:r>
      <w:r>
        <w:rPr>
          <w:color w:val="231F1F"/>
          <w:spacing w:val="-2"/>
          <w:w w:val="110"/>
        </w:rPr>
        <w:t>no</w:t>
      </w:r>
      <w:r>
        <w:rPr>
          <w:color w:val="231F1F"/>
          <w:spacing w:val="-7"/>
          <w:w w:val="110"/>
        </w:rPr>
        <w:t> </w:t>
      </w:r>
      <w:r>
        <w:rPr>
          <w:color w:val="231F1F"/>
          <w:spacing w:val="-2"/>
          <w:w w:val="110"/>
        </w:rPr>
        <w:t>son</w:t>
      </w:r>
      <w:r>
        <w:rPr>
          <w:color w:val="231F1F"/>
          <w:spacing w:val="-7"/>
          <w:w w:val="110"/>
        </w:rPr>
        <w:t> </w:t>
      </w:r>
      <w:r>
        <w:rPr>
          <w:color w:val="231F1F"/>
          <w:spacing w:val="-2"/>
          <w:w w:val="110"/>
        </w:rPr>
        <w:t>concluyentes</w:t>
      </w:r>
      <w:r>
        <w:rPr>
          <w:color w:val="231F1F"/>
          <w:spacing w:val="-7"/>
          <w:w w:val="110"/>
        </w:rPr>
        <w:t> </w:t>
      </w:r>
      <w:r>
        <w:rPr>
          <w:color w:val="231F1F"/>
          <w:spacing w:val="-2"/>
          <w:w w:val="110"/>
        </w:rPr>
        <w:t>y</w:t>
      </w:r>
      <w:r>
        <w:rPr>
          <w:color w:val="231F1F"/>
          <w:spacing w:val="-7"/>
          <w:w w:val="110"/>
        </w:rPr>
        <w:t> </w:t>
      </w:r>
      <w:r>
        <w:rPr>
          <w:color w:val="231F1F"/>
          <w:spacing w:val="-2"/>
          <w:w w:val="110"/>
        </w:rPr>
        <w:t>que</w:t>
      </w:r>
      <w:r>
        <w:rPr>
          <w:color w:val="231F1F"/>
          <w:spacing w:val="-7"/>
          <w:w w:val="110"/>
        </w:rPr>
        <w:t> </w:t>
      </w:r>
      <w:r>
        <w:rPr>
          <w:color w:val="231F1F"/>
          <w:spacing w:val="-2"/>
          <w:w w:val="110"/>
        </w:rPr>
        <w:t>la</w:t>
      </w:r>
      <w:r>
        <w:rPr>
          <w:color w:val="231F1F"/>
          <w:spacing w:val="-7"/>
          <w:w w:val="110"/>
        </w:rPr>
        <w:t> </w:t>
      </w:r>
      <w:r>
        <w:rPr>
          <w:color w:val="231F1F"/>
          <w:spacing w:val="-2"/>
          <w:w w:val="110"/>
        </w:rPr>
        <w:t>evidencia</w:t>
      </w:r>
      <w:r>
        <w:rPr>
          <w:color w:val="231F1F"/>
          <w:spacing w:val="-7"/>
          <w:w w:val="110"/>
        </w:rPr>
        <w:t> </w:t>
      </w:r>
      <w:r>
        <w:rPr>
          <w:color w:val="231F1F"/>
          <w:spacing w:val="-2"/>
          <w:w w:val="110"/>
        </w:rPr>
        <w:t>sobre</w:t>
      </w:r>
      <w:r>
        <w:rPr>
          <w:color w:val="231F1F"/>
          <w:spacing w:val="-7"/>
          <w:w w:val="110"/>
        </w:rPr>
        <w:t> </w:t>
      </w:r>
      <w:r>
        <w:rPr>
          <w:color w:val="231F1F"/>
          <w:spacing w:val="-2"/>
          <w:w w:val="110"/>
        </w:rPr>
        <w:t>la</w:t>
      </w:r>
      <w:r>
        <w:rPr>
          <w:color w:val="231F1F"/>
          <w:spacing w:val="-7"/>
          <w:w w:val="110"/>
        </w:rPr>
        <w:t> </w:t>
      </w:r>
      <w:r>
        <w:rPr>
          <w:color w:val="231F1F"/>
          <w:spacing w:val="-2"/>
          <w:w w:val="110"/>
        </w:rPr>
        <w:t>seguridad</w:t>
      </w:r>
      <w:r>
        <w:rPr>
          <w:color w:val="231F1F"/>
          <w:spacing w:val="-8"/>
          <w:w w:val="110"/>
        </w:rPr>
        <w:t> </w:t>
      </w:r>
      <w:r>
        <w:rPr>
          <w:color w:val="231F1F"/>
          <w:spacing w:val="-2"/>
          <w:w w:val="110"/>
        </w:rPr>
        <w:t>del</w:t>
      </w:r>
      <w:r>
        <w:rPr>
          <w:color w:val="231F1F"/>
          <w:spacing w:val="-8"/>
          <w:w w:val="110"/>
        </w:rPr>
        <w:t> </w:t>
      </w:r>
      <w:r>
        <w:rPr>
          <w:color w:val="231F1F"/>
          <w:spacing w:val="-2"/>
          <w:w w:val="110"/>
        </w:rPr>
        <w:t>neonato </w:t>
      </w:r>
      <w:r>
        <w:rPr>
          <w:color w:val="231F1F"/>
          <w:w w:val="110"/>
        </w:rPr>
        <w:t>es insuficiente.</w:t>
      </w:r>
    </w:p>
    <w:p>
      <w:pPr>
        <w:pStyle w:val="BodyText"/>
        <w:spacing w:line="244" w:lineRule="auto" w:before="147"/>
        <w:ind w:left="283" w:right="1370" w:firstLine="453"/>
        <w:jc w:val="both"/>
      </w:pPr>
      <w:r>
        <w:rPr>
          <w:color w:val="231F1F"/>
          <w:w w:val="110"/>
        </w:rPr>
        <w:t>Por</w:t>
      </w:r>
      <w:r>
        <w:rPr>
          <w:color w:val="231F1F"/>
          <w:spacing w:val="-16"/>
          <w:w w:val="110"/>
        </w:rPr>
        <w:t> </w:t>
      </w:r>
      <w:r>
        <w:rPr>
          <w:color w:val="231F1F"/>
          <w:w w:val="110"/>
        </w:rPr>
        <w:t>otro</w:t>
      </w:r>
      <w:r>
        <w:rPr>
          <w:color w:val="231F1F"/>
          <w:spacing w:val="-15"/>
          <w:w w:val="110"/>
        </w:rPr>
        <w:t> </w:t>
      </w:r>
      <w:r>
        <w:rPr>
          <w:color w:val="231F1F"/>
          <w:w w:val="110"/>
        </w:rPr>
        <w:t>lado,</w:t>
      </w:r>
      <w:r>
        <w:rPr>
          <w:color w:val="231F1F"/>
          <w:spacing w:val="-15"/>
          <w:w w:val="110"/>
        </w:rPr>
        <w:t> </w:t>
      </w:r>
      <w:r>
        <w:rPr>
          <w:color w:val="231F1F"/>
          <w:w w:val="110"/>
        </w:rPr>
        <w:t>también</w:t>
      </w:r>
      <w:r>
        <w:rPr>
          <w:color w:val="231F1F"/>
          <w:spacing w:val="-15"/>
          <w:w w:val="110"/>
        </w:rPr>
        <w:t> </w:t>
      </w:r>
      <w:r>
        <w:rPr>
          <w:color w:val="231F1F"/>
          <w:w w:val="110"/>
        </w:rPr>
        <w:t>se</w:t>
      </w:r>
      <w:r>
        <w:rPr>
          <w:color w:val="231F1F"/>
          <w:spacing w:val="-15"/>
          <w:w w:val="110"/>
        </w:rPr>
        <w:t> </w:t>
      </w:r>
      <w:r>
        <w:rPr>
          <w:color w:val="231F1F"/>
          <w:w w:val="110"/>
        </w:rPr>
        <w:t>seleccionó</w:t>
      </w:r>
      <w:r>
        <w:rPr>
          <w:color w:val="231F1F"/>
          <w:spacing w:val="-15"/>
          <w:w w:val="110"/>
        </w:rPr>
        <w:t> </w:t>
      </w:r>
      <w:r>
        <w:rPr>
          <w:color w:val="231F1F"/>
          <w:w w:val="110"/>
        </w:rPr>
        <w:t>un</w:t>
      </w:r>
      <w:r>
        <w:rPr>
          <w:color w:val="231F1F"/>
          <w:spacing w:val="-15"/>
          <w:w w:val="110"/>
        </w:rPr>
        <w:t> </w:t>
      </w:r>
      <w:r>
        <w:rPr>
          <w:color w:val="231F1F"/>
          <w:w w:val="110"/>
        </w:rPr>
        <w:t>ECA</w:t>
      </w:r>
      <w:r>
        <w:rPr>
          <w:color w:val="231F1F"/>
          <w:spacing w:val="-15"/>
          <w:w w:val="110"/>
        </w:rPr>
        <w:t> </w:t>
      </w:r>
      <w:r>
        <w:rPr>
          <w:color w:val="231F1F"/>
          <w:w w:val="110"/>
        </w:rPr>
        <w:t>reciente</w:t>
      </w:r>
      <w:r>
        <w:rPr>
          <w:color w:val="231F1F"/>
          <w:spacing w:val="-16"/>
          <w:w w:val="110"/>
        </w:rPr>
        <w:t> </w:t>
      </w:r>
      <w:r>
        <w:rPr>
          <w:color w:val="231F1F"/>
          <w:w w:val="110"/>
        </w:rPr>
        <w:t>de</w:t>
      </w:r>
      <w:r>
        <w:rPr>
          <w:color w:val="231F1F"/>
          <w:spacing w:val="-15"/>
          <w:w w:val="110"/>
        </w:rPr>
        <w:t> </w:t>
      </w:r>
      <w:r>
        <w:rPr>
          <w:color w:val="231F1F"/>
          <w:w w:val="110"/>
        </w:rPr>
        <w:t>2009</w:t>
      </w:r>
      <w:r>
        <w:rPr>
          <w:color w:val="231F1F"/>
          <w:spacing w:val="-15"/>
          <w:w w:val="110"/>
        </w:rPr>
        <w:t> </w:t>
      </w:r>
      <w:r>
        <w:rPr>
          <w:color w:val="231F1F"/>
          <w:w w:val="110"/>
        </w:rPr>
        <w:t>(175),</w:t>
      </w:r>
      <w:r>
        <w:rPr>
          <w:color w:val="231F1F"/>
          <w:spacing w:val="-15"/>
          <w:w w:val="110"/>
        </w:rPr>
        <w:t> </w:t>
      </w:r>
      <w:r>
        <w:rPr>
          <w:color w:val="231F1F"/>
          <w:w w:val="110"/>
        </w:rPr>
        <w:t>no incluido</w:t>
      </w:r>
      <w:r>
        <w:rPr>
          <w:color w:val="231F1F"/>
          <w:spacing w:val="-16"/>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RS</w:t>
      </w:r>
      <w:r>
        <w:rPr>
          <w:color w:val="231F1F"/>
          <w:spacing w:val="-15"/>
          <w:w w:val="110"/>
        </w:rPr>
        <w:t> </w:t>
      </w:r>
      <w:r>
        <w:rPr>
          <w:color w:val="231F1F"/>
          <w:w w:val="110"/>
        </w:rPr>
        <w:t>del</w:t>
      </w:r>
      <w:r>
        <w:rPr>
          <w:color w:val="231F1F"/>
          <w:spacing w:val="-15"/>
          <w:w w:val="110"/>
        </w:rPr>
        <w:t> </w:t>
      </w:r>
      <w:r>
        <w:rPr>
          <w:color w:val="231F1F"/>
          <w:w w:val="110"/>
        </w:rPr>
        <w:t>mismo</w:t>
      </w:r>
      <w:r>
        <w:rPr>
          <w:color w:val="231F1F"/>
          <w:spacing w:val="-15"/>
          <w:w w:val="110"/>
        </w:rPr>
        <w:t> </w:t>
      </w:r>
      <w:r>
        <w:rPr>
          <w:color w:val="231F1F"/>
          <w:w w:val="110"/>
        </w:rPr>
        <w:t>año</w:t>
      </w:r>
      <w:r>
        <w:rPr>
          <w:color w:val="231F1F"/>
          <w:spacing w:val="-14"/>
          <w:w w:val="110"/>
        </w:rPr>
        <w:t> </w:t>
      </w:r>
      <w:r>
        <w:rPr>
          <w:color w:val="231F1F"/>
          <w:w w:val="110"/>
        </w:rPr>
        <w:t>y</w:t>
      </w:r>
      <w:r>
        <w:rPr>
          <w:color w:val="231F1F"/>
          <w:spacing w:val="-15"/>
          <w:w w:val="110"/>
        </w:rPr>
        <w:t> </w:t>
      </w:r>
      <w:r>
        <w:rPr>
          <w:color w:val="231F1F"/>
          <w:w w:val="110"/>
        </w:rPr>
        <w:t>que</w:t>
      </w:r>
      <w:r>
        <w:rPr>
          <w:color w:val="231F1F"/>
          <w:spacing w:val="-15"/>
          <w:w w:val="110"/>
        </w:rPr>
        <w:t> </w:t>
      </w:r>
      <w:r>
        <w:rPr>
          <w:color w:val="231F1F"/>
          <w:w w:val="110"/>
        </w:rPr>
        <w:t>fue</w:t>
      </w:r>
      <w:r>
        <w:rPr>
          <w:color w:val="231F1F"/>
          <w:spacing w:val="-15"/>
          <w:w w:val="110"/>
        </w:rPr>
        <w:t> </w:t>
      </w:r>
      <w:r>
        <w:rPr>
          <w:color w:val="231F1F"/>
          <w:w w:val="110"/>
        </w:rPr>
        <w:t>identificado</w:t>
      </w:r>
      <w:r>
        <w:rPr>
          <w:color w:val="231F1F"/>
          <w:spacing w:val="-15"/>
          <w:w w:val="110"/>
        </w:rPr>
        <w:t> </w:t>
      </w:r>
      <w:r>
        <w:rPr>
          <w:color w:val="231F1F"/>
          <w:w w:val="110"/>
        </w:rPr>
        <w:t>a</w:t>
      </w:r>
      <w:r>
        <w:rPr>
          <w:color w:val="231F1F"/>
          <w:spacing w:val="-15"/>
          <w:w w:val="110"/>
        </w:rPr>
        <w:t> </w:t>
      </w:r>
      <w:r>
        <w:rPr>
          <w:color w:val="231F1F"/>
          <w:w w:val="110"/>
        </w:rPr>
        <w:t>través</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alertas </w:t>
      </w:r>
      <w:r>
        <w:rPr>
          <w:color w:val="231F1F"/>
          <w:spacing w:val="-2"/>
          <w:w w:val="110"/>
        </w:rPr>
        <w:t>de</w:t>
      </w:r>
      <w:r>
        <w:rPr>
          <w:color w:val="231F1F"/>
          <w:spacing w:val="-8"/>
          <w:w w:val="110"/>
        </w:rPr>
        <w:t> </w:t>
      </w:r>
      <w:r>
        <w:rPr>
          <w:color w:val="231F1F"/>
          <w:spacing w:val="-2"/>
          <w:w w:val="110"/>
        </w:rPr>
        <w:t>actualización</w:t>
      </w:r>
      <w:r>
        <w:rPr>
          <w:color w:val="231F1F"/>
          <w:spacing w:val="-8"/>
          <w:w w:val="110"/>
        </w:rPr>
        <w:t> </w:t>
      </w:r>
      <w:r>
        <w:rPr>
          <w:color w:val="231F1F"/>
          <w:spacing w:val="-2"/>
          <w:w w:val="110"/>
        </w:rPr>
        <w:t>de</w:t>
      </w:r>
      <w:r>
        <w:rPr>
          <w:color w:val="231F1F"/>
          <w:spacing w:val="-8"/>
          <w:w w:val="110"/>
        </w:rPr>
        <w:t> </w:t>
      </w:r>
      <w:r>
        <w:rPr>
          <w:color w:val="231F1F"/>
          <w:spacing w:val="-2"/>
          <w:w w:val="110"/>
        </w:rPr>
        <w:t>la</w:t>
      </w:r>
      <w:r>
        <w:rPr>
          <w:color w:val="231F1F"/>
          <w:spacing w:val="-8"/>
          <w:w w:val="110"/>
        </w:rPr>
        <w:t> </w:t>
      </w:r>
      <w:r>
        <w:rPr>
          <w:color w:val="231F1F"/>
          <w:spacing w:val="-2"/>
          <w:w w:val="110"/>
        </w:rPr>
        <w:t>estrategia</w:t>
      </w:r>
      <w:r>
        <w:rPr>
          <w:color w:val="231F1F"/>
          <w:spacing w:val="-8"/>
          <w:w w:val="110"/>
        </w:rPr>
        <w:t> </w:t>
      </w:r>
      <w:r>
        <w:rPr>
          <w:color w:val="231F1F"/>
          <w:spacing w:val="-2"/>
          <w:w w:val="110"/>
        </w:rPr>
        <w:t>de</w:t>
      </w:r>
      <w:r>
        <w:rPr>
          <w:color w:val="231F1F"/>
          <w:spacing w:val="-8"/>
          <w:w w:val="110"/>
        </w:rPr>
        <w:t> </w:t>
      </w:r>
      <w:r>
        <w:rPr>
          <w:color w:val="231F1F"/>
          <w:spacing w:val="-2"/>
          <w:w w:val="110"/>
        </w:rPr>
        <w:t>búsqueda.</w:t>
      </w:r>
      <w:r>
        <w:rPr>
          <w:color w:val="231F1F"/>
          <w:spacing w:val="-8"/>
          <w:w w:val="110"/>
        </w:rPr>
        <w:t> </w:t>
      </w:r>
      <w:r>
        <w:rPr>
          <w:color w:val="231F1F"/>
          <w:spacing w:val="-2"/>
          <w:w w:val="110"/>
        </w:rPr>
        <w:t>El</w:t>
      </w:r>
      <w:r>
        <w:rPr>
          <w:color w:val="231F1F"/>
          <w:spacing w:val="-8"/>
          <w:w w:val="110"/>
        </w:rPr>
        <w:t> </w:t>
      </w:r>
      <w:r>
        <w:rPr>
          <w:color w:val="231F1F"/>
          <w:spacing w:val="-2"/>
          <w:w w:val="110"/>
        </w:rPr>
        <w:t>estudio</w:t>
      </w:r>
      <w:r>
        <w:rPr>
          <w:color w:val="231F1F"/>
          <w:spacing w:val="-7"/>
          <w:w w:val="110"/>
        </w:rPr>
        <w:t> </w:t>
      </w:r>
      <w:r>
        <w:rPr>
          <w:color w:val="231F1F"/>
          <w:spacing w:val="-2"/>
          <w:w w:val="110"/>
        </w:rPr>
        <w:t>pretende</w:t>
      </w:r>
      <w:r>
        <w:rPr>
          <w:color w:val="231F1F"/>
          <w:spacing w:val="-8"/>
          <w:w w:val="110"/>
        </w:rPr>
        <w:t> </w:t>
      </w:r>
      <w:r>
        <w:rPr>
          <w:color w:val="231F1F"/>
          <w:spacing w:val="-2"/>
          <w:w w:val="110"/>
        </w:rPr>
        <w:t>determinar </w:t>
      </w:r>
      <w:r>
        <w:rPr>
          <w:color w:val="231F1F"/>
          <w:w w:val="110"/>
        </w:rPr>
        <w:t>el</w:t>
      </w:r>
      <w:r>
        <w:rPr>
          <w:color w:val="231F1F"/>
          <w:spacing w:val="-13"/>
          <w:w w:val="110"/>
        </w:rPr>
        <w:t> </w:t>
      </w:r>
      <w:r>
        <w:rPr>
          <w:color w:val="231F1F"/>
          <w:w w:val="110"/>
        </w:rPr>
        <w:t>efecto</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realización</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maniobra</w:t>
      </w:r>
      <w:r>
        <w:rPr>
          <w:color w:val="231F1F"/>
          <w:spacing w:val="-12"/>
          <w:w w:val="110"/>
        </w:rPr>
        <w:t> </w:t>
      </w:r>
      <w:r>
        <w:rPr>
          <w:color w:val="231F1F"/>
          <w:w w:val="110"/>
        </w:rPr>
        <w:t>de</w:t>
      </w:r>
      <w:r>
        <w:rPr>
          <w:color w:val="231F1F"/>
          <w:spacing w:val="-12"/>
          <w:w w:val="110"/>
        </w:rPr>
        <w:t> </w:t>
      </w:r>
      <w:r>
        <w:rPr>
          <w:color w:val="231F1F"/>
          <w:w w:val="110"/>
        </w:rPr>
        <w:t>Kristeller</w:t>
      </w:r>
      <w:r>
        <w:rPr>
          <w:color w:val="231F1F"/>
          <w:spacing w:val="-12"/>
          <w:w w:val="110"/>
        </w:rPr>
        <w:t> </w:t>
      </w:r>
      <w:r>
        <w:rPr>
          <w:color w:val="231F1F"/>
          <w:w w:val="110"/>
        </w:rPr>
        <w:t>sobre</w:t>
      </w:r>
      <w:r>
        <w:rPr>
          <w:color w:val="231F1F"/>
          <w:spacing w:val="-13"/>
          <w:w w:val="110"/>
        </w:rPr>
        <w:t> </w:t>
      </w:r>
      <w:r>
        <w:rPr>
          <w:color w:val="231F1F"/>
          <w:w w:val="110"/>
        </w:rPr>
        <w:t>el</w:t>
      </w:r>
      <w:r>
        <w:rPr>
          <w:color w:val="231F1F"/>
          <w:spacing w:val="-13"/>
          <w:w w:val="110"/>
        </w:rPr>
        <w:t> </w:t>
      </w:r>
      <w:r>
        <w:rPr>
          <w:color w:val="231F1F"/>
          <w:w w:val="110"/>
        </w:rPr>
        <w:t>acortamiento de</w:t>
      </w:r>
      <w:r>
        <w:rPr>
          <w:color w:val="231F1F"/>
          <w:spacing w:val="-2"/>
          <w:w w:val="110"/>
        </w:rPr>
        <w:t> </w:t>
      </w:r>
      <w:r>
        <w:rPr>
          <w:color w:val="231F1F"/>
          <w:w w:val="110"/>
        </w:rPr>
        <w:t>la</w:t>
      </w:r>
      <w:r>
        <w:rPr>
          <w:color w:val="231F1F"/>
          <w:spacing w:val="-2"/>
          <w:w w:val="110"/>
        </w:rPr>
        <w:t> </w:t>
      </w:r>
      <w:r>
        <w:rPr>
          <w:color w:val="231F1F"/>
          <w:w w:val="110"/>
        </w:rPr>
        <w:t>segunda</w:t>
      </w:r>
      <w:r>
        <w:rPr>
          <w:color w:val="231F1F"/>
          <w:spacing w:val="-3"/>
          <w:w w:val="110"/>
        </w:rPr>
        <w:t> </w:t>
      </w:r>
      <w:r>
        <w:rPr>
          <w:color w:val="231F1F"/>
          <w:w w:val="110"/>
        </w:rPr>
        <w:t>etapa</w:t>
      </w:r>
      <w:r>
        <w:rPr>
          <w:color w:val="231F1F"/>
          <w:spacing w:val="-2"/>
          <w:w w:val="110"/>
        </w:rPr>
        <w:t> </w:t>
      </w:r>
      <w:r>
        <w:rPr>
          <w:color w:val="231F1F"/>
          <w:w w:val="110"/>
        </w:rPr>
        <w:t>de</w:t>
      </w:r>
      <w:r>
        <w:rPr>
          <w:color w:val="231F1F"/>
          <w:spacing w:val="-2"/>
          <w:w w:val="110"/>
        </w:rPr>
        <w:t> </w:t>
      </w:r>
      <w:r>
        <w:rPr>
          <w:color w:val="231F1F"/>
          <w:w w:val="110"/>
        </w:rPr>
        <w:t>parto</w:t>
      </w:r>
      <w:r>
        <w:rPr>
          <w:color w:val="231F1F"/>
          <w:spacing w:val="-2"/>
          <w:w w:val="110"/>
        </w:rPr>
        <w:t> </w:t>
      </w:r>
      <w:r>
        <w:rPr>
          <w:color w:val="231F1F"/>
          <w:w w:val="110"/>
        </w:rPr>
        <w:t>y</w:t>
      </w:r>
      <w:r>
        <w:rPr>
          <w:color w:val="231F1F"/>
          <w:spacing w:val="-2"/>
          <w:w w:val="110"/>
        </w:rPr>
        <w:t> </w:t>
      </w:r>
      <w:r>
        <w:rPr>
          <w:color w:val="231F1F"/>
          <w:w w:val="110"/>
        </w:rPr>
        <w:t>sobre</w:t>
      </w:r>
      <w:r>
        <w:rPr>
          <w:color w:val="231F1F"/>
          <w:spacing w:val="-3"/>
          <w:w w:val="110"/>
        </w:rPr>
        <w:t> </w:t>
      </w:r>
      <w:r>
        <w:rPr>
          <w:color w:val="231F1F"/>
          <w:w w:val="110"/>
        </w:rPr>
        <w:t>los</w:t>
      </w:r>
      <w:r>
        <w:rPr>
          <w:color w:val="231F1F"/>
          <w:spacing w:val="-3"/>
          <w:w w:val="110"/>
        </w:rPr>
        <w:t> </w:t>
      </w:r>
      <w:r>
        <w:rPr>
          <w:color w:val="231F1F"/>
          <w:w w:val="110"/>
        </w:rPr>
        <w:t>resultados</w:t>
      </w:r>
      <w:r>
        <w:rPr>
          <w:color w:val="231F1F"/>
          <w:spacing w:val="-2"/>
          <w:w w:val="110"/>
        </w:rPr>
        <w:t> </w:t>
      </w:r>
      <w:r>
        <w:rPr>
          <w:color w:val="231F1F"/>
          <w:w w:val="110"/>
        </w:rPr>
        <w:t>fetales.</w:t>
      </w:r>
      <w:r>
        <w:rPr>
          <w:color w:val="231F1F"/>
          <w:spacing w:val="-3"/>
          <w:w w:val="110"/>
        </w:rPr>
        <w:t> </w:t>
      </w:r>
      <w:r>
        <w:rPr>
          <w:color w:val="231F1F"/>
          <w:w w:val="110"/>
        </w:rPr>
        <w:t>Se</w:t>
      </w:r>
      <w:r>
        <w:rPr>
          <w:color w:val="231F1F"/>
          <w:spacing w:val="-3"/>
          <w:w w:val="110"/>
        </w:rPr>
        <w:t> </w:t>
      </w:r>
      <w:r>
        <w:rPr>
          <w:color w:val="231F1F"/>
          <w:w w:val="110"/>
        </w:rPr>
        <w:t>incluyen</w:t>
      </w:r>
      <w:r>
        <w:rPr>
          <w:color w:val="231F1F"/>
          <w:spacing w:val="-2"/>
          <w:w w:val="110"/>
        </w:rPr>
        <w:t> </w:t>
      </w:r>
      <w:r>
        <w:rPr>
          <w:color w:val="231F1F"/>
          <w:w w:val="110"/>
        </w:rPr>
        <w:t>197 mujeres</w:t>
      </w:r>
      <w:r>
        <w:rPr>
          <w:color w:val="231F1F"/>
          <w:spacing w:val="-5"/>
          <w:w w:val="110"/>
        </w:rPr>
        <w:t> </w:t>
      </w:r>
      <w:r>
        <w:rPr>
          <w:color w:val="231F1F"/>
          <w:w w:val="110"/>
        </w:rPr>
        <w:t>de</w:t>
      </w:r>
      <w:r>
        <w:rPr>
          <w:color w:val="231F1F"/>
          <w:spacing w:val="-5"/>
          <w:w w:val="110"/>
        </w:rPr>
        <w:t> </w:t>
      </w:r>
      <w:r>
        <w:rPr>
          <w:color w:val="231F1F"/>
          <w:w w:val="110"/>
        </w:rPr>
        <w:t>37</w:t>
      </w:r>
      <w:r>
        <w:rPr>
          <w:color w:val="231F1F"/>
          <w:spacing w:val="-5"/>
          <w:w w:val="110"/>
        </w:rPr>
        <w:t> </w:t>
      </w:r>
      <w:r>
        <w:rPr>
          <w:color w:val="231F1F"/>
          <w:w w:val="110"/>
        </w:rPr>
        <w:t>a</w:t>
      </w:r>
      <w:r>
        <w:rPr>
          <w:color w:val="231F1F"/>
          <w:spacing w:val="-5"/>
          <w:w w:val="110"/>
        </w:rPr>
        <w:t> </w:t>
      </w:r>
      <w:r>
        <w:rPr>
          <w:color w:val="231F1F"/>
          <w:w w:val="110"/>
        </w:rPr>
        <w:t>42</w:t>
      </w:r>
      <w:r>
        <w:rPr>
          <w:color w:val="231F1F"/>
          <w:spacing w:val="-5"/>
          <w:w w:val="110"/>
        </w:rPr>
        <w:t> </w:t>
      </w:r>
      <w:r>
        <w:rPr>
          <w:color w:val="231F1F"/>
          <w:w w:val="110"/>
        </w:rPr>
        <w:t>semanas</w:t>
      </w:r>
      <w:r>
        <w:rPr>
          <w:color w:val="231F1F"/>
          <w:spacing w:val="-6"/>
          <w:w w:val="110"/>
        </w:rPr>
        <w:t> </w:t>
      </w:r>
      <w:r>
        <w:rPr>
          <w:color w:val="231F1F"/>
          <w:w w:val="110"/>
        </w:rPr>
        <w:t>de</w:t>
      </w:r>
      <w:r>
        <w:rPr>
          <w:color w:val="231F1F"/>
          <w:spacing w:val="-5"/>
          <w:w w:val="110"/>
        </w:rPr>
        <w:t> </w:t>
      </w:r>
      <w:r>
        <w:rPr>
          <w:color w:val="231F1F"/>
          <w:w w:val="110"/>
        </w:rPr>
        <w:t>gestación</w:t>
      </w:r>
      <w:r>
        <w:rPr>
          <w:color w:val="231F1F"/>
          <w:spacing w:val="-5"/>
          <w:w w:val="110"/>
        </w:rPr>
        <w:t> </w:t>
      </w:r>
      <w:r>
        <w:rPr>
          <w:color w:val="231F1F"/>
          <w:w w:val="110"/>
        </w:rPr>
        <w:t>y</w:t>
      </w:r>
      <w:r>
        <w:rPr>
          <w:color w:val="231F1F"/>
          <w:spacing w:val="-5"/>
          <w:w w:val="110"/>
        </w:rPr>
        <w:t> </w:t>
      </w:r>
      <w:r>
        <w:rPr>
          <w:color w:val="231F1F"/>
          <w:w w:val="110"/>
        </w:rPr>
        <w:t>que</w:t>
      </w:r>
      <w:r>
        <w:rPr>
          <w:color w:val="231F1F"/>
          <w:spacing w:val="-5"/>
          <w:w w:val="110"/>
        </w:rPr>
        <w:t> </w:t>
      </w:r>
      <w:r>
        <w:rPr>
          <w:color w:val="231F1F"/>
          <w:w w:val="110"/>
        </w:rPr>
        <w:t>no</w:t>
      </w:r>
      <w:r>
        <w:rPr>
          <w:color w:val="231F1F"/>
          <w:spacing w:val="-5"/>
          <w:w w:val="110"/>
        </w:rPr>
        <w:t> </w:t>
      </w:r>
      <w:r>
        <w:rPr>
          <w:color w:val="231F1F"/>
          <w:w w:val="110"/>
        </w:rPr>
        <w:t>han</w:t>
      </w:r>
      <w:r>
        <w:rPr>
          <w:color w:val="231F1F"/>
          <w:spacing w:val="-5"/>
          <w:w w:val="110"/>
        </w:rPr>
        <w:t> </w:t>
      </w:r>
      <w:r>
        <w:rPr>
          <w:color w:val="231F1F"/>
          <w:w w:val="110"/>
        </w:rPr>
        <w:t>recibido</w:t>
      </w:r>
      <w:r>
        <w:rPr>
          <w:color w:val="231F1F"/>
          <w:spacing w:val="-5"/>
          <w:w w:val="110"/>
        </w:rPr>
        <w:t> </w:t>
      </w:r>
      <w:r>
        <w:rPr>
          <w:color w:val="231F1F"/>
          <w:w w:val="110"/>
        </w:rPr>
        <w:t>ningún</w:t>
      </w:r>
      <w:r>
        <w:rPr>
          <w:color w:val="231F1F"/>
          <w:spacing w:val="-5"/>
          <w:w w:val="110"/>
        </w:rPr>
        <w:t> </w:t>
      </w:r>
      <w:r>
        <w:rPr>
          <w:color w:val="231F1F"/>
          <w:w w:val="110"/>
        </w:rPr>
        <w:t>tipo de analgesia neuroaxial.</w:t>
      </w:r>
    </w:p>
    <w:p>
      <w:pPr>
        <w:pStyle w:val="BodyText"/>
        <w:tabs>
          <w:tab w:pos="8036" w:val="left" w:leader="none"/>
          <w:tab w:pos="8114" w:val="left" w:leader="none"/>
        </w:tabs>
        <w:spacing w:line="254" w:lineRule="auto" w:before="95"/>
        <w:ind w:left="283" w:right="524" w:firstLine="453"/>
      </w:pPr>
      <w:r>
        <w:rPr>
          <w:color w:val="231F1F"/>
          <w:w w:val="110"/>
        </w:rPr>
        <w:t>Los resultados no muestran diferencias significativas en la duración pro-</w:t>
      </w:r>
      <w:r>
        <w:rPr>
          <w:color w:val="231F1F"/>
        </w:rPr>
        <w:tab/>
      </w:r>
      <w:r>
        <w:rPr>
          <w:rFonts w:ascii="Arial MT" w:hAnsi="Arial MT"/>
          <w:color w:val="231F1F"/>
          <w:spacing w:val="-12"/>
          <w:w w:val="105"/>
          <w:sz w:val="18"/>
        </w:rPr>
        <w:t>ECA </w:t>
      </w:r>
      <w:r>
        <w:rPr>
          <w:color w:val="231F1F"/>
          <w:w w:val="110"/>
        </w:rPr>
        <w:t>medio de la segunda etapa de trabajo entre los dos grupos, ni tampoco en las</w:t>
      </w:r>
      <w:r>
        <w:rPr>
          <w:color w:val="231F1F"/>
        </w:rPr>
        <w:tab/>
        <w:tab/>
      </w:r>
      <w:r>
        <w:rPr>
          <w:rFonts w:ascii="Arial MT" w:hAnsi="Arial MT"/>
          <w:color w:val="231F1F"/>
          <w:spacing w:val="-6"/>
          <w:w w:val="110"/>
          <w:position w:val="4"/>
          <w:sz w:val="18"/>
        </w:rPr>
        <w:t>1+ </w:t>
      </w:r>
      <w:r>
        <w:rPr>
          <w:color w:val="231F1F"/>
          <w:w w:val="110"/>
        </w:rPr>
        <w:t>medidas de resultado secundarias (pH de la arteria umbilical, HCO</w:t>
      </w:r>
      <w:r>
        <w:rPr>
          <w:color w:val="231F1F"/>
          <w:w w:val="110"/>
          <w:position w:val="-4"/>
          <w:sz w:val="12"/>
        </w:rPr>
        <w:t>3</w:t>
      </w:r>
      <w:r>
        <w:rPr>
          <w:color w:val="231F1F"/>
          <w:w w:val="110"/>
        </w:rPr>
        <w:t>-, exceso</w:t>
      </w:r>
    </w:p>
    <w:p>
      <w:pPr>
        <w:pStyle w:val="BodyText"/>
        <w:spacing w:line="223" w:lineRule="auto"/>
        <w:ind w:left="281" w:right="1366" w:firstLine="1"/>
      </w:pPr>
      <w:r>
        <w:rPr>
          <w:color w:val="231F1F"/>
          <w:w w:val="105"/>
        </w:rPr>
        <w:t>de base, pO</w:t>
      </w:r>
      <w:r>
        <w:rPr>
          <w:color w:val="231F1F"/>
          <w:w w:val="105"/>
          <w:position w:val="-4"/>
          <w:sz w:val="12"/>
        </w:rPr>
        <w:t>2</w:t>
      </w:r>
      <w:r>
        <w:rPr>
          <w:color w:val="231F1F"/>
          <w:w w:val="105"/>
        </w:rPr>
        <w:t>, pCO</w:t>
      </w:r>
      <w:r>
        <w:rPr>
          <w:color w:val="231F1F"/>
          <w:w w:val="105"/>
          <w:position w:val="-4"/>
          <w:sz w:val="12"/>
        </w:rPr>
        <w:t>2</w:t>
      </w:r>
      <w:r>
        <w:rPr>
          <w:color w:val="231F1F"/>
          <w:spacing w:val="40"/>
          <w:w w:val="105"/>
          <w:position w:val="-4"/>
          <w:sz w:val="12"/>
        </w:rPr>
        <w:t> </w:t>
      </w:r>
      <w:r>
        <w:rPr>
          <w:color w:val="231F1F"/>
          <w:w w:val="105"/>
        </w:rPr>
        <w:t>valores y tasa de partos instrumentales, morbilidad ma- terna</w:t>
      </w:r>
      <w:r>
        <w:rPr>
          <w:color w:val="231F1F"/>
          <w:spacing w:val="40"/>
          <w:w w:val="105"/>
        </w:rPr>
        <w:t> </w:t>
      </w:r>
      <w:r>
        <w:rPr>
          <w:color w:val="231F1F"/>
          <w:w w:val="105"/>
        </w:rPr>
        <w:t>grave</w:t>
      </w:r>
      <w:r>
        <w:rPr>
          <w:color w:val="231F1F"/>
          <w:spacing w:val="40"/>
          <w:w w:val="105"/>
        </w:rPr>
        <w:t> </w:t>
      </w:r>
      <w:r>
        <w:rPr>
          <w:color w:val="231F1F"/>
          <w:w w:val="105"/>
        </w:rPr>
        <w:t>y</w:t>
      </w:r>
      <w:r>
        <w:rPr>
          <w:color w:val="231F1F"/>
          <w:spacing w:val="40"/>
          <w:w w:val="105"/>
        </w:rPr>
        <w:t> </w:t>
      </w:r>
      <w:r>
        <w:rPr>
          <w:color w:val="231F1F"/>
          <w:w w:val="105"/>
        </w:rPr>
        <w:t>mortalidad,</w:t>
      </w:r>
      <w:r>
        <w:rPr>
          <w:color w:val="231F1F"/>
          <w:spacing w:val="40"/>
          <w:w w:val="105"/>
        </w:rPr>
        <w:t> </w:t>
      </w:r>
      <w:r>
        <w:rPr>
          <w:color w:val="231F1F"/>
          <w:w w:val="105"/>
        </w:rPr>
        <w:t>traumatismos</w:t>
      </w:r>
      <w:r>
        <w:rPr>
          <w:color w:val="231F1F"/>
          <w:spacing w:val="40"/>
          <w:w w:val="105"/>
        </w:rPr>
        <w:t> </w:t>
      </w:r>
      <w:r>
        <w:rPr>
          <w:color w:val="231F1F"/>
          <w:w w:val="105"/>
        </w:rPr>
        <w:t>neonatales,</w:t>
      </w:r>
      <w:r>
        <w:rPr>
          <w:color w:val="231F1F"/>
          <w:spacing w:val="40"/>
          <w:w w:val="105"/>
        </w:rPr>
        <w:t> </w:t>
      </w:r>
      <w:r>
        <w:rPr>
          <w:color w:val="231F1F"/>
          <w:w w:val="105"/>
        </w:rPr>
        <w:t>admisión</w:t>
      </w:r>
      <w:r>
        <w:rPr>
          <w:color w:val="231F1F"/>
          <w:spacing w:val="40"/>
          <w:w w:val="105"/>
        </w:rPr>
        <w:t> </w:t>
      </w:r>
      <w:r>
        <w:rPr>
          <w:color w:val="231F1F"/>
          <w:w w:val="105"/>
        </w:rPr>
        <w:t>a</w:t>
      </w:r>
      <w:r>
        <w:rPr>
          <w:color w:val="231F1F"/>
          <w:spacing w:val="40"/>
          <w:w w:val="105"/>
        </w:rPr>
        <w:t> </w:t>
      </w:r>
      <w:r>
        <w:rPr>
          <w:color w:val="231F1F"/>
          <w:w w:val="105"/>
        </w:rPr>
        <w:t>la</w:t>
      </w:r>
      <w:r>
        <w:rPr>
          <w:color w:val="231F1F"/>
          <w:spacing w:val="40"/>
          <w:w w:val="105"/>
        </w:rPr>
        <w:t> </w:t>
      </w:r>
      <w:r>
        <w:rPr>
          <w:color w:val="231F1F"/>
          <w:w w:val="105"/>
        </w:rPr>
        <w:t>unidad neonatal</w:t>
      </w:r>
      <w:r>
        <w:rPr>
          <w:color w:val="231F1F"/>
          <w:spacing w:val="9"/>
          <w:w w:val="105"/>
        </w:rPr>
        <w:t> </w:t>
      </w:r>
      <w:r>
        <w:rPr>
          <w:color w:val="231F1F"/>
          <w:w w:val="105"/>
        </w:rPr>
        <w:t>de</w:t>
      </w:r>
      <w:r>
        <w:rPr>
          <w:color w:val="231F1F"/>
          <w:spacing w:val="10"/>
          <w:w w:val="105"/>
        </w:rPr>
        <w:t> </w:t>
      </w:r>
      <w:r>
        <w:rPr>
          <w:color w:val="231F1F"/>
          <w:w w:val="105"/>
        </w:rPr>
        <w:t>cuidados</w:t>
      </w:r>
      <w:r>
        <w:rPr>
          <w:color w:val="231F1F"/>
          <w:spacing w:val="12"/>
          <w:w w:val="105"/>
        </w:rPr>
        <w:t> </w:t>
      </w:r>
      <w:r>
        <w:rPr>
          <w:color w:val="231F1F"/>
          <w:w w:val="105"/>
        </w:rPr>
        <w:t>intensivos,</w:t>
      </w:r>
      <w:r>
        <w:rPr>
          <w:color w:val="231F1F"/>
          <w:spacing w:val="10"/>
          <w:w w:val="105"/>
        </w:rPr>
        <w:t> </w:t>
      </w:r>
      <w:r>
        <w:rPr>
          <w:color w:val="231F1F"/>
          <w:w w:val="105"/>
        </w:rPr>
        <w:t>y</w:t>
      </w:r>
      <w:r>
        <w:rPr>
          <w:color w:val="231F1F"/>
          <w:spacing w:val="12"/>
          <w:w w:val="105"/>
        </w:rPr>
        <w:t> </w:t>
      </w:r>
      <w:r>
        <w:rPr>
          <w:color w:val="231F1F"/>
          <w:w w:val="105"/>
        </w:rPr>
        <w:t>muerte</w:t>
      </w:r>
      <w:r>
        <w:rPr>
          <w:color w:val="231F1F"/>
          <w:spacing w:val="10"/>
          <w:w w:val="105"/>
        </w:rPr>
        <w:t> </w:t>
      </w:r>
      <w:r>
        <w:rPr>
          <w:color w:val="231F1F"/>
          <w:w w:val="105"/>
        </w:rPr>
        <w:t>neonatal)</w:t>
      </w:r>
      <w:r>
        <w:rPr>
          <w:color w:val="231F1F"/>
          <w:spacing w:val="10"/>
          <w:w w:val="105"/>
        </w:rPr>
        <w:t> </w:t>
      </w:r>
      <w:r>
        <w:rPr>
          <w:color w:val="231F1F"/>
          <w:w w:val="105"/>
        </w:rPr>
        <w:t>excepto</w:t>
      </w:r>
      <w:r>
        <w:rPr>
          <w:color w:val="231F1F"/>
          <w:spacing w:val="11"/>
          <w:w w:val="105"/>
        </w:rPr>
        <w:t> </w:t>
      </w:r>
      <w:r>
        <w:rPr>
          <w:color w:val="231F1F"/>
          <w:w w:val="105"/>
        </w:rPr>
        <w:t>para</w:t>
      </w:r>
      <w:r>
        <w:rPr>
          <w:color w:val="231F1F"/>
          <w:spacing w:val="10"/>
          <w:w w:val="105"/>
        </w:rPr>
        <w:t> </w:t>
      </w:r>
      <w:r>
        <w:rPr>
          <w:color w:val="231F1F"/>
          <w:w w:val="105"/>
        </w:rPr>
        <w:t>los</w:t>
      </w:r>
      <w:r>
        <w:rPr>
          <w:color w:val="231F1F"/>
          <w:spacing w:val="12"/>
          <w:w w:val="105"/>
        </w:rPr>
        <w:t> </w:t>
      </w:r>
      <w:r>
        <w:rPr>
          <w:color w:val="231F1F"/>
          <w:spacing w:val="-2"/>
          <w:w w:val="105"/>
        </w:rPr>
        <w:t>valores</w:t>
      </w:r>
    </w:p>
    <w:p>
      <w:pPr>
        <w:pStyle w:val="BodyText"/>
        <w:spacing w:line="242" w:lineRule="auto" w:before="4"/>
        <w:ind w:left="281" w:right="1366"/>
      </w:pPr>
      <w:r>
        <w:rPr>
          <w:color w:val="231F1F"/>
          <w:w w:val="105"/>
        </w:rPr>
        <w:t>de</w:t>
      </w:r>
      <w:r>
        <w:rPr>
          <w:color w:val="231F1F"/>
          <w:spacing w:val="-1"/>
          <w:w w:val="105"/>
        </w:rPr>
        <w:t> </w:t>
      </w:r>
      <w:r>
        <w:rPr>
          <w:color w:val="231F1F"/>
          <w:w w:val="105"/>
        </w:rPr>
        <w:t>pO</w:t>
      </w:r>
      <w:r>
        <w:rPr>
          <w:color w:val="231F1F"/>
          <w:w w:val="105"/>
          <w:position w:val="-4"/>
          <w:sz w:val="12"/>
        </w:rPr>
        <w:t>2</w:t>
      </w:r>
      <w:r>
        <w:rPr>
          <w:color w:val="231F1F"/>
          <w:spacing w:val="19"/>
          <w:w w:val="105"/>
          <w:position w:val="-4"/>
          <w:sz w:val="12"/>
        </w:rPr>
        <w:t> </w:t>
      </w:r>
      <w:r>
        <w:rPr>
          <w:color w:val="231F1F"/>
          <w:w w:val="105"/>
        </w:rPr>
        <w:t>que</w:t>
      </w:r>
      <w:r>
        <w:rPr>
          <w:color w:val="231F1F"/>
          <w:spacing w:val="-1"/>
          <w:w w:val="105"/>
        </w:rPr>
        <w:t> </w:t>
      </w:r>
      <w:r>
        <w:rPr>
          <w:color w:val="231F1F"/>
          <w:w w:val="105"/>
        </w:rPr>
        <w:t>es</w:t>
      </w:r>
      <w:r>
        <w:rPr>
          <w:color w:val="231F1F"/>
          <w:spacing w:val="-1"/>
          <w:w w:val="105"/>
        </w:rPr>
        <w:t> </w:t>
      </w:r>
      <w:r>
        <w:rPr>
          <w:color w:val="231F1F"/>
          <w:w w:val="105"/>
        </w:rPr>
        <w:t>más</w:t>
      </w:r>
      <w:r>
        <w:rPr>
          <w:color w:val="231F1F"/>
          <w:spacing w:val="-1"/>
          <w:w w:val="105"/>
        </w:rPr>
        <w:t> </w:t>
      </w:r>
      <w:r>
        <w:rPr>
          <w:color w:val="231F1F"/>
          <w:w w:val="105"/>
        </w:rPr>
        <w:t>baja</w:t>
      </w:r>
      <w:r>
        <w:rPr>
          <w:color w:val="231F1F"/>
          <w:spacing w:val="-1"/>
          <w:w w:val="105"/>
        </w:rPr>
        <w:t> </w:t>
      </w:r>
      <w:r>
        <w:rPr>
          <w:color w:val="231F1F"/>
          <w:w w:val="105"/>
        </w:rPr>
        <w:t>el</w:t>
      </w:r>
      <w:r>
        <w:rPr>
          <w:color w:val="231F1F"/>
          <w:spacing w:val="-2"/>
          <w:w w:val="105"/>
        </w:rPr>
        <w:t> </w:t>
      </w:r>
      <w:r>
        <w:rPr>
          <w:color w:val="231F1F"/>
          <w:w w:val="105"/>
        </w:rPr>
        <w:t>grupo</w:t>
      </w:r>
      <w:r>
        <w:rPr>
          <w:color w:val="231F1F"/>
          <w:spacing w:val="-1"/>
          <w:w w:val="105"/>
        </w:rPr>
        <w:t> </w:t>
      </w:r>
      <w:r>
        <w:rPr>
          <w:color w:val="231F1F"/>
          <w:w w:val="105"/>
        </w:rPr>
        <w:t>de</w:t>
      </w:r>
      <w:r>
        <w:rPr>
          <w:color w:val="231F1F"/>
          <w:spacing w:val="-1"/>
          <w:w w:val="105"/>
        </w:rPr>
        <w:t> </w:t>
      </w:r>
      <w:r>
        <w:rPr>
          <w:color w:val="231F1F"/>
          <w:w w:val="105"/>
        </w:rPr>
        <w:t>intervención</w:t>
      </w:r>
      <w:r>
        <w:rPr>
          <w:color w:val="231F1F"/>
          <w:spacing w:val="-1"/>
          <w:w w:val="105"/>
        </w:rPr>
        <w:t> </w:t>
      </w:r>
      <w:r>
        <w:rPr>
          <w:color w:val="231F1F"/>
          <w:w w:val="105"/>
        </w:rPr>
        <w:t>y</w:t>
      </w:r>
      <w:r>
        <w:rPr>
          <w:color w:val="231F1F"/>
          <w:spacing w:val="-1"/>
          <w:w w:val="105"/>
        </w:rPr>
        <w:t> </w:t>
      </w:r>
      <w:r>
        <w:rPr>
          <w:color w:val="231F1F"/>
          <w:w w:val="105"/>
        </w:rPr>
        <w:t>la</w:t>
      </w:r>
      <w:r>
        <w:rPr>
          <w:color w:val="231F1F"/>
          <w:spacing w:val="-1"/>
          <w:w w:val="105"/>
        </w:rPr>
        <w:t> </w:t>
      </w:r>
      <w:r>
        <w:rPr>
          <w:color w:val="231F1F"/>
          <w:w w:val="105"/>
        </w:rPr>
        <w:t>pCO</w:t>
      </w:r>
      <w:r>
        <w:rPr>
          <w:color w:val="231F1F"/>
          <w:w w:val="105"/>
          <w:position w:val="-4"/>
          <w:sz w:val="12"/>
        </w:rPr>
        <w:t>2</w:t>
      </w:r>
      <w:r>
        <w:rPr>
          <w:color w:val="231F1F"/>
          <w:spacing w:val="19"/>
          <w:w w:val="105"/>
          <w:position w:val="-4"/>
          <w:sz w:val="12"/>
        </w:rPr>
        <w:t> </w:t>
      </w:r>
      <w:r>
        <w:rPr>
          <w:color w:val="231F1F"/>
          <w:w w:val="105"/>
        </w:rPr>
        <w:t>que</w:t>
      </w:r>
      <w:r>
        <w:rPr>
          <w:color w:val="231F1F"/>
          <w:spacing w:val="-1"/>
          <w:w w:val="105"/>
        </w:rPr>
        <w:t> </w:t>
      </w:r>
      <w:r>
        <w:rPr>
          <w:color w:val="231F1F"/>
          <w:w w:val="105"/>
        </w:rPr>
        <w:t>fue</w:t>
      </w:r>
      <w:r>
        <w:rPr>
          <w:color w:val="231F1F"/>
          <w:spacing w:val="-1"/>
          <w:w w:val="105"/>
        </w:rPr>
        <w:t> </w:t>
      </w:r>
      <w:r>
        <w:rPr>
          <w:color w:val="231F1F"/>
          <w:w w:val="105"/>
        </w:rPr>
        <w:t>mayor.</w:t>
      </w:r>
      <w:r>
        <w:rPr>
          <w:color w:val="231F1F"/>
          <w:spacing w:val="-1"/>
          <w:w w:val="105"/>
        </w:rPr>
        <w:t> </w:t>
      </w:r>
      <w:r>
        <w:rPr>
          <w:color w:val="231F1F"/>
          <w:w w:val="105"/>
        </w:rPr>
        <w:t>Sin embargo,</w:t>
      </w:r>
      <w:r>
        <w:rPr>
          <w:color w:val="231F1F"/>
          <w:spacing w:val="-7"/>
          <w:w w:val="105"/>
        </w:rPr>
        <w:t> </w:t>
      </w:r>
      <w:r>
        <w:rPr>
          <w:color w:val="231F1F"/>
          <w:w w:val="105"/>
        </w:rPr>
        <w:t>los</w:t>
      </w:r>
      <w:r>
        <w:rPr>
          <w:color w:val="231F1F"/>
          <w:spacing w:val="-6"/>
          <w:w w:val="105"/>
        </w:rPr>
        <w:t> </w:t>
      </w:r>
      <w:r>
        <w:rPr>
          <w:color w:val="231F1F"/>
          <w:w w:val="105"/>
        </w:rPr>
        <w:t>valores</w:t>
      </w:r>
      <w:r>
        <w:rPr>
          <w:color w:val="231F1F"/>
          <w:spacing w:val="-8"/>
          <w:w w:val="105"/>
        </w:rPr>
        <w:t> </w:t>
      </w:r>
      <w:r>
        <w:rPr>
          <w:color w:val="231F1F"/>
          <w:w w:val="105"/>
        </w:rPr>
        <w:t>aún</w:t>
      </w:r>
      <w:r>
        <w:rPr>
          <w:color w:val="231F1F"/>
          <w:spacing w:val="-6"/>
          <w:w w:val="105"/>
        </w:rPr>
        <w:t> </w:t>
      </w:r>
      <w:r>
        <w:rPr>
          <w:color w:val="231F1F"/>
          <w:w w:val="105"/>
        </w:rPr>
        <w:t>se</w:t>
      </w:r>
      <w:r>
        <w:rPr>
          <w:color w:val="231F1F"/>
          <w:spacing w:val="-8"/>
          <w:w w:val="105"/>
        </w:rPr>
        <w:t> </w:t>
      </w:r>
      <w:r>
        <w:rPr>
          <w:color w:val="231F1F"/>
          <w:w w:val="105"/>
        </w:rPr>
        <w:t>mantuvieron</w:t>
      </w:r>
      <w:r>
        <w:rPr>
          <w:color w:val="231F1F"/>
          <w:spacing w:val="-7"/>
          <w:w w:val="105"/>
        </w:rPr>
        <w:t> </w:t>
      </w:r>
      <w:r>
        <w:rPr>
          <w:color w:val="231F1F"/>
          <w:w w:val="105"/>
        </w:rPr>
        <w:t>dentro</w:t>
      </w:r>
      <w:r>
        <w:rPr>
          <w:color w:val="231F1F"/>
          <w:spacing w:val="-8"/>
          <w:w w:val="105"/>
        </w:rPr>
        <w:t> </w:t>
      </w:r>
      <w:r>
        <w:rPr>
          <w:color w:val="231F1F"/>
          <w:w w:val="105"/>
        </w:rPr>
        <w:t>de</w:t>
      </w:r>
      <w:r>
        <w:rPr>
          <w:color w:val="231F1F"/>
          <w:spacing w:val="-6"/>
          <w:w w:val="105"/>
        </w:rPr>
        <w:t> </w:t>
      </w:r>
      <w:r>
        <w:rPr>
          <w:color w:val="231F1F"/>
          <w:w w:val="105"/>
        </w:rPr>
        <w:t>rangos</w:t>
      </w:r>
      <w:r>
        <w:rPr>
          <w:color w:val="231F1F"/>
          <w:spacing w:val="-7"/>
          <w:w w:val="105"/>
        </w:rPr>
        <w:t> </w:t>
      </w:r>
      <w:r>
        <w:rPr>
          <w:color w:val="231F1F"/>
          <w:w w:val="105"/>
        </w:rPr>
        <w:t>normales</w:t>
      </w:r>
      <w:r>
        <w:rPr>
          <w:color w:val="231F1F"/>
          <w:spacing w:val="-7"/>
          <w:w w:val="105"/>
        </w:rPr>
        <w:t> </w:t>
      </w:r>
      <w:r>
        <w:rPr>
          <w:color w:val="231F1F"/>
          <w:w w:val="105"/>
        </w:rPr>
        <w:t>y</w:t>
      </w:r>
      <w:r>
        <w:rPr>
          <w:color w:val="231F1F"/>
          <w:spacing w:val="-7"/>
          <w:w w:val="105"/>
        </w:rPr>
        <w:t> </w:t>
      </w:r>
      <w:r>
        <w:rPr>
          <w:color w:val="231F1F"/>
          <w:w w:val="105"/>
        </w:rPr>
        <w:t>no</w:t>
      </w:r>
      <w:r>
        <w:rPr>
          <w:color w:val="231F1F"/>
          <w:spacing w:val="-6"/>
          <w:w w:val="105"/>
        </w:rPr>
        <w:t> </w:t>
      </w:r>
      <w:r>
        <w:rPr>
          <w:color w:val="231F1F"/>
          <w:w w:val="105"/>
        </w:rPr>
        <w:t>hubo RN con una puntuación de Apgar&lt;7 en ninguno de los grupos. Se concluye que la maniobra de Kristeller es ineficaz en la reducción de la segunda etapa del trabajo.</w:t>
      </w:r>
    </w:p>
    <w:p>
      <w:pPr>
        <w:pStyle w:val="BodyText"/>
        <w:spacing w:line="247" w:lineRule="auto" w:before="47"/>
        <w:ind w:left="283" w:right="1367" w:firstLine="453"/>
        <w:jc w:val="both"/>
      </w:pPr>
      <w:r>
        <w:rPr>
          <w:color w:val="231F1F"/>
          <w:w w:val="105"/>
        </w:rPr>
        <w:t>No</w:t>
      </w:r>
      <w:r>
        <w:rPr>
          <w:color w:val="231F1F"/>
          <w:w w:val="105"/>
        </w:rPr>
        <w:t> existen</w:t>
      </w:r>
      <w:r>
        <w:rPr>
          <w:color w:val="231F1F"/>
          <w:w w:val="105"/>
        </w:rPr>
        <w:t> pruebas</w:t>
      </w:r>
      <w:r>
        <w:rPr>
          <w:color w:val="231F1F"/>
          <w:w w:val="105"/>
        </w:rPr>
        <w:t> del</w:t>
      </w:r>
      <w:r>
        <w:rPr>
          <w:color w:val="231F1F"/>
          <w:w w:val="105"/>
        </w:rPr>
        <w:t> beneficio</w:t>
      </w:r>
      <w:r>
        <w:rPr>
          <w:color w:val="231F1F"/>
          <w:w w:val="105"/>
        </w:rPr>
        <w:t> de</w:t>
      </w:r>
      <w:r>
        <w:rPr>
          <w:color w:val="231F1F"/>
          <w:w w:val="105"/>
        </w:rPr>
        <w:t> la</w:t>
      </w:r>
      <w:r>
        <w:rPr>
          <w:color w:val="231F1F"/>
          <w:w w:val="105"/>
        </w:rPr>
        <w:t> maniobra</w:t>
      </w:r>
      <w:r>
        <w:rPr>
          <w:color w:val="231F1F"/>
          <w:w w:val="105"/>
        </w:rPr>
        <w:t> de</w:t>
      </w:r>
      <w:r>
        <w:rPr>
          <w:color w:val="231F1F"/>
          <w:w w:val="105"/>
        </w:rPr>
        <w:t> Kristeller</w:t>
      </w:r>
      <w:r>
        <w:rPr>
          <w:color w:val="231F1F"/>
          <w:w w:val="105"/>
        </w:rPr>
        <w:t> realizada</w:t>
      </w:r>
      <w:r>
        <w:rPr>
          <w:color w:val="231F1F"/>
          <w:spacing w:val="40"/>
          <w:w w:val="105"/>
        </w:rPr>
        <w:t> </w:t>
      </w:r>
      <w:r>
        <w:rPr>
          <w:color w:val="231F1F"/>
          <w:w w:val="105"/>
        </w:rPr>
        <w:t>en</w:t>
      </w:r>
      <w:r>
        <w:rPr>
          <w:color w:val="231F1F"/>
          <w:w w:val="105"/>
        </w:rPr>
        <w:t> la</w:t>
      </w:r>
      <w:r>
        <w:rPr>
          <w:color w:val="231F1F"/>
          <w:w w:val="105"/>
        </w:rPr>
        <w:t> segunda</w:t>
      </w:r>
      <w:r>
        <w:rPr>
          <w:color w:val="231F1F"/>
          <w:w w:val="105"/>
        </w:rPr>
        <w:t> etapa</w:t>
      </w:r>
      <w:r>
        <w:rPr>
          <w:color w:val="231F1F"/>
          <w:w w:val="105"/>
        </w:rPr>
        <w:t> del</w:t>
      </w:r>
      <w:r>
        <w:rPr>
          <w:color w:val="231F1F"/>
          <w:w w:val="105"/>
        </w:rPr>
        <w:t> parto</w:t>
      </w:r>
      <w:r>
        <w:rPr>
          <w:color w:val="231F1F"/>
          <w:w w:val="105"/>
        </w:rPr>
        <w:t> y</w:t>
      </w:r>
      <w:r>
        <w:rPr>
          <w:color w:val="231F1F"/>
          <w:w w:val="105"/>
        </w:rPr>
        <w:t> además</w:t>
      </w:r>
      <w:r>
        <w:rPr>
          <w:color w:val="231F1F"/>
          <w:w w:val="105"/>
        </w:rPr>
        <w:t> existen</w:t>
      </w:r>
      <w:r>
        <w:rPr>
          <w:color w:val="231F1F"/>
          <w:w w:val="105"/>
        </w:rPr>
        <w:t> algunas</w:t>
      </w:r>
      <w:r>
        <w:rPr>
          <w:color w:val="231F1F"/>
          <w:w w:val="105"/>
        </w:rPr>
        <w:t> pruebas,</w:t>
      </w:r>
      <w:r>
        <w:rPr>
          <w:color w:val="231F1F"/>
          <w:w w:val="105"/>
        </w:rPr>
        <w:t> aunque</w:t>
      </w:r>
      <w:r>
        <w:rPr>
          <w:color w:val="231F1F"/>
          <w:w w:val="105"/>
        </w:rPr>
        <w:t> es- casas, que la dicha maniobra es un factor de riesgo de morbilidad materna y fetal, por lo que se considera que su realización durante la segunda etapa del parto debe limitarse a los protocolos de investigación diseñados para evaluar su eficacia y seguridad para la madre y el feto.</w:t>
      </w:r>
    </w:p>
    <w:p>
      <w:pPr>
        <w:pStyle w:val="BodyText"/>
        <w:spacing w:before="15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7" w:lineRule="auto" w:before="53"/>
              <w:ind w:right="86"/>
              <w:jc w:val="both"/>
              <w:rPr>
                <w:sz w:val="22"/>
              </w:rPr>
            </w:pPr>
            <w:r>
              <w:rPr>
                <w:color w:val="231F1F"/>
                <w:w w:val="105"/>
                <w:sz w:val="22"/>
              </w:rPr>
              <w:t>La maniobra de Kristeller, realizada mediante el cinturón inflable, no incre- menta</w:t>
            </w:r>
            <w:r>
              <w:rPr>
                <w:color w:val="231F1F"/>
                <w:w w:val="105"/>
                <w:sz w:val="22"/>
              </w:rPr>
              <w:t> la</w:t>
            </w:r>
            <w:r>
              <w:rPr>
                <w:color w:val="231F1F"/>
                <w:w w:val="105"/>
                <w:sz w:val="22"/>
              </w:rPr>
              <w:t> tasa</w:t>
            </w:r>
            <w:r>
              <w:rPr>
                <w:color w:val="231F1F"/>
                <w:w w:val="105"/>
                <w:sz w:val="22"/>
              </w:rPr>
              <w:t> de</w:t>
            </w:r>
            <w:r>
              <w:rPr>
                <w:color w:val="231F1F"/>
                <w:w w:val="105"/>
                <w:sz w:val="22"/>
              </w:rPr>
              <w:t> partos</w:t>
            </w:r>
            <w:r>
              <w:rPr>
                <w:color w:val="231F1F"/>
                <w:w w:val="105"/>
                <w:sz w:val="22"/>
              </w:rPr>
              <w:t> vaginales</w:t>
            </w:r>
            <w:r>
              <w:rPr>
                <w:color w:val="231F1F"/>
                <w:w w:val="105"/>
                <w:sz w:val="22"/>
              </w:rPr>
              <w:t> espontáneos</w:t>
            </w:r>
            <w:r>
              <w:rPr>
                <w:color w:val="231F1F"/>
                <w:w w:val="105"/>
                <w:sz w:val="22"/>
              </w:rPr>
              <w:t> ni</w:t>
            </w:r>
            <w:r>
              <w:rPr>
                <w:color w:val="231F1F"/>
                <w:w w:val="105"/>
                <w:sz w:val="22"/>
              </w:rPr>
              <w:t> reduce</w:t>
            </w:r>
            <w:r>
              <w:rPr>
                <w:color w:val="231F1F"/>
                <w:w w:val="105"/>
                <w:sz w:val="22"/>
              </w:rPr>
              <w:t> la</w:t>
            </w:r>
            <w:r>
              <w:rPr>
                <w:color w:val="231F1F"/>
                <w:w w:val="105"/>
                <w:sz w:val="22"/>
              </w:rPr>
              <w:t> tasa</w:t>
            </w:r>
            <w:r>
              <w:rPr>
                <w:color w:val="231F1F"/>
                <w:w w:val="105"/>
                <w:sz w:val="22"/>
              </w:rPr>
              <w:t> de</w:t>
            </w:r>
            <w:r>
              <w:rPr>
                <w:color w:val="231F1F"/>
                <w:w w:val="105"/>
                <w:sz w:val="22"/>
              </w:rPr>
              <w:t> parto instrumental (173).</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156"/>
              <w:rPr>
                <w:sz w:val="22"/>
              </w:rPr>
            </w:pPr>
            <w:r>
              <w:rPr>
                <w:color w:val="231F1F"/>
                <w:w w:val="110"/>
                <w:sz w:val="22"/>
              </w:rPr>
              <w:t>La</w:t>
            </w:r>
            <w:r>
              <w:rPr>
                <w:color w:val="231F1F"/>
                <w:spacing w:val="-6"/>
                <w:w w:val="110"/>
                <w:sz w:val="22"/>
              </w:rPr>
              <w:t> </w:t>
            </w:r>
            <w:r>
              <w:rPr>
                <w:color w:val="231F1F"/>
                <w:w w:val="110"/>
                <w:sz w:val="22"/>
              </w:rPr>
              <w:t>maniobra</w:t>
            </w:r>
            <w:r>
              <w:rPr>
                <w:color w:val="231F1F"/>
                <w:spacing w:val="-6"/>
                <w:w w:val="110"/>
                <w:sz w:val="22"/>
              </w:rPr>
              <w:t> </w:t>
            </w:r>
            <w:r>
              <w:rPr>
                <w:color w:val="231F1F"/>
                <w:w w:val="110"/>
                <w:sz w:val="22"/>
              </w:rPr>
              <w:t>de</w:t>
            </w:r>
            <w:r>
              <w:rPr>
                <w:color w:val="231F1F"/>
                <w:spacing w:val="-6"/>
                <w:w w:val="110"/>
                <w:sz w:val="22"/>
              </w:rPr>
              <w:t> </w:t>
            </w:r>
            <w:r>
              <w:rPr>
                <w:color w:val="231F1F"/>
                <w:w w:val="110"/>
                <w:sz w:val="22"/>
              </w:rPr>
              <w:t>Kristeller</w:t>
            </w:r>
            <w:r>
              <w:rPr>
                <w:color w:val="231F1F"/>
                <w:spacing w:val="-6"/>
                <w:w w:val="110"/>
                <w:sz w:val="22"/>
              </w:rPr>
              <w:t> </w:t>
            </w:r>
            <w:r>
              <w:rPr>
                <w:color w:val="231F1F"/>
                <w:w w:val="110"/>
                <w:sz w:val="22"/>
              </w:rPr>
              <w:t>es</w:t>
            </w:r>
            <w:r>
              <w:rPr>
                <w:color w:val="231F1F"/>
                <w:spacing w:val="-6"/>
                <w:w w:val="110"/>
                <w:sz w:val="22"/>
              </w:rPr>
              <w:t> </w:t>
            </w:r>
            <w:r>
              <w:rPr>
                <w:color w:val="231F1F"/>
                <w:w w:val="110"/>
                <w:sz w:val="22"/>
              </w:rPr>
              <w:t>ineficaz</w:t>
            </w:r>
            <w:r>
              <w:rPr>
                <w:color w:val="231F1F"/>
                <w:spacing w:val="-6"/>
                <w:w w:val="110"/>
                <w:sz w:val="22"/>
              </w:rPr>
              <w:t> </w:t>
            </w:r>
            <w:r>
              <w:rPr>
                <w:color w:val="231F1F"/>
                <w:w w:val="110"/>
                <w:sz w:val="22"/>
              </w:rPr>
              <w:t>en</w:t>
            </w:r>
            <w:r>
              <w:rPr>
                <w:color w:val="231F1F"/>
                <w:spacing w:val="-6"/>
                <w:w w:val="110"/>
                <w:sz w:val="22"/>
              </w:rPr>
              <w:t> </w:t>
            </w:r>
            <w:r>
              <w:rPr>
                <w:color w:val="231F1F"/>
                <w:w w:val="110"/>
                <w:sz w:val="22"/>
              </w:rPr>
              <w:t>la</w:t>
            </w:r>
            <w:r>
              <w:rPr>
                <w:color w:val="231F1F"/>
                <w:spacing w:val="-6"/>
                <w:w w:val="110"/>
                <w:sz w:val="22"/>
              </w:rPr>
              <w:t> </w:t>
            </w:r>
            <w:r>
              <w:rPr>
                <w:color w:val="231F1F"/>
                <w:w w:val="110"/>
                <w:sz w:val="22"/>
              </w:rPr>
              <w:t>reducción</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6"/>
                <w:w w:val="110"/>
                <w:sz w:val="22"/>
              </w:rPr>
              <w:t> </w:t>
            </w:r>
            <w:r>
              <w:rPr>
                <w:color w:val="231F1F"/>
                <w:w w:val="110"/>
                <w:sz w:val="22"/>
              </w:rPr>
              <w:t>duración</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 segunda etapa del trabajo (175).</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5"/>
                <w:sz w:val="22"/>
              </w:rPr>
              <w:t>A</w:t>
            </w:r>
          </w:p>
        </w:tc>
        <w:tc>
          <w:tcPr>
            <w:tcW w:w="8050" w:type="dxa"/>
          </w:tcPr>
          <w:p>
            <w:pPr>
              <w:pStyle w:val="TableParagraph"/>
              <w:spacing w:before="39"/>
              <w:rPr>
                <w:sz w:val="22"/>
              </w:rPr>
            </w:pPr>
            <w:r>
              <w:rPr>
                <w:color w:val="231F1F"/>
                <w:sz w:val="22"/>
              </w:rPr>
              <w:t>Se</w:t>
            </w:r>
            <w:r>
              <w:rPr>
                <w:color w:val="231F1F"/>
                <w:spacing w:val="34"/>
                <w:sz w:val="22"/>
              </w:rPr>
              <w:t> </w:t>
            </w:r>
            <w:r>
              <w:rPr>
                <w:color w:val="231F1F"/>
                <w:sz w:val="22"/>
              </w:rPr>
              <w:t>recomienda</w:t>
            </w:r>
            <w:r>
              <w:rPr>
                <w:color w:val="231F1F"/>
                <w:spacing w:val="37"/>
                <w:sz w:val="22"/>
              </w:rPr>
              <w:t> </w:t>
            </w:r>
            <w:r>
              <w:rPr>
                <w:color w:val="231F1F"/>
                <w:sz w:val="22"/>
              </w:rPr>
              <w:t>no</w:t>
            </w:r>
            <w:r>
              <w:rPr>
                <w:color w:val="231F1F"/>
                <w:spacing w:val="38"/>
                <w:sz w:val="22"/>
              </w:rPr>
              <w:t> </w:t>
            </w:r>
            <w:r>
              <w:rPr>
                <w:color w:val="231F1F"/>
                <w:sz w:val="22"/>
              </w:rPr>
              <w:t>realizar</w:t>
            </w:r>
            <w:r>
              <w:rPr>
                <w:color w:val="231F1F"/>
                <w:spacing w:val="37"/>
                <w:sz w:val="22"/>
              </w:rPr>
              <w:t> </w:t>
            </w:r>
            <w:r>
              <w:rPr>
                <w:color w:val="231F1F"/>
                <w:sz w:val="22"/>
              </w:rPr>
              <w:t>la</w:t>
            </w:r>
            <w:r>
              <w:rPr>
                <w:color w:val="231F1F"/>
                <w:spacing w:val="36"/>
                <w:sz w:val="22"/>
              </w:rPr>
              <w:t> </w:t>
            </w:r>
            <w:r>
              <w:rPr>
                <w:color w:val="231F1F"/>
                <w:sz w:val="22"/>
              </w:rPr>
              <w:t>maniobra</w:t>
            </w:r>
            <w:r>
              <w:rPr>
                <w:color w:val="231F1F"/>
                <w:spacing w:val="37"/>
                <w:sz w:val="22"/>
              </w:rPr>
              <w:t> </w:t>
            </w:r>
            <w:r>
              <w:rPr>
                <w:color w:val="231F1F"/>
                <w:sz w:val="22"/>
              </w:rPr>
              <w:t>de</w:t>
            </w:r>
            <w:r>
              <w:rPr>
                <w:color w:val="231F1F"/>
                <w:spacing w:val="39"/>
                <w:sz w:val="22"/>
              </w:rPr>
              <w:t> </w:t>
            </w:r>
            <w:r>
              <w:rPr>
                <w:color w:val="231F1F"/>
                <w:spacing w:val="-2"/>
                <w:sz w:val="22"/>
              </w:rPr>
              <w:t>Kristeller.</w:t>
            </w:r>
          </w:p>
        </w:tc>
      </w:tr>
    </w:tbl>
    <w:p>
      <w:pPr>
        <w:pStyle w:val="TableParagraph"/>
        <w:spacing w:after="0"/>
        <w:rPr>
          <w:sz w:val="22"/>
        </w:rPr>
        <w:sectPr>
          <w:pgSz w:w="11900" w:h="16840"/>
          <w:pgMar w:header="0" w:footer="622" w:top="1560" w:bottom="820" w:left="1417" w:right="1559"/>
        </w:sectPr>
      </w:pPr>
    </w:p>
    <w:p>
      <w:pPr>
        <w:pStyle w:val="BodyText"/>
        <w:spacing w:before="4"/>
        <w:rPr>
          <w:rFonts w:ascii="Arial MT"/>
          <w:sz w:val="17"/>
        </w:rPr>
      </w:pPr>
    </w:p>
    <w:p>
      <w:pPr>
        <w:pStyle w:val="BodyText"/>
        <w:spacing w:after="0"/>
        <w:rPr>
          <w:rFonts w:ascii="Arial MT"/>
          <w:sz w:val="17"/>
        </w:rPr>
        <w:sectPr>
          <w:footerReference w:type="even" r:id="rId47"/>
          <w:pgSz w:w="11900" w:h="16840"/>
          <w:pgMar w:header="0" w:footer="0" w:top="1940" w:bottom="280" w:left="1417" w:right="1559"/>
        </w:sectPr>
      </w:pPr>
    </w:p>
    <w:p>
      <w:pPr>
        <w:pStyle w:val="Heading1"/>
        <w:numPr>
          <w:ilvl w:val="1"/>
          <w:numId w:val="2"/>
        </w:numPr>
        <w:tabs>
          <w:tab w:pos="911" w:val="left" w:leader="none"/>
        </w:tabs>
        <w:spacing w:line="216" w:lineRule="auto" w:before="95" w:after="0"/>
        <w:ind w:left="911" w:right="733" w:hanging="630"/>
        <w:jc w:val="left"/>
        <w:rPr>
          <w:color w:val="231F1F"/>
        </w:rPr>
      </w:pPr>
      <w:r>
        <w:rPr>
          <w:color w:val="231F1F"/>
          <w:w w:val="110"/>
        </w:rPr>
        <w:t>Alumbramiento:</w:t>
      </w:r>
      <w:r>
        <w:rPr>
          <w:color w:val="231F1F"/>
          <w:spacing w:val="-26"/>
          <w:w w:val="110"/>
        </w:rPr>
        <w:t> </w:t>
      </w:r>
      <w:r>
        <w:rPr>
          <w:color w:val="231F1F"/>
          <w:w w:val="110"/>
        </w:rPr>
        <w:t>Tercer</w:t>
      </w:r>
      <w:r>
        <w:rPr>
          <w:color w:val="231F1F"/>
          <w:spacing w:val="-25"/>
          <w:w w:val="110"/>
        </w:rPr>
        <w:t> </w:t>
      </w:r>
      <w:r>
        <w:rPr>
          <w:color w:val="231F1F"/>
          <w:w w:val="110"/>
        </w:rPr>
        <w:t>etapa</w:t>
      </w:r>
      <w:r>
        <w:rPr>
          <w:color w:val="231F1F"/>
          <w:spacing w:val="-25"/>
          <w:w w:val="110"/>
        </w:rPr>
        <w:t> </w:t>
      </w:r>
      <w:r>
        <w:rPr>
          <w:color w:val="231F1F"/>
          <w:w w:val="110"/>
        </w:rPr>
        <w:t>del </w:t>
      </w:r>
      <w:r>
        <w:rPr>
          <w:color w:val="231F1F"/>
          <w:spacing w:val="-2"/>
          <w:w w:val="110"/>
        </w:rPr>
        <w:t>parto</w:t>
      </w:r>
    </w:p>
    <w:p>
      <w:pPr>
        <w:pStyle w:val="Heading2"/>
        <w:numPr>
          <w:ilvl w:val="2"/>
          <w:numId w:val="2"/>
        </w:numPr>
        <w:tabs>
          <w:tab w:pos="1004" w:val="left" w:leader="none"/>
        </w:tabs>
        <w:spacing w:line="240" w:lineRule="auto" w:before="460" w:after="0"/>
        <w:ind w:left="1004" w:right="0" w:hanging="721"/>
        <w:jc w:val="left"/>
      </w:pPr>
      <w:bookmarkStart w:name="_TOC_250031" w:id="25"/>
      <w:r>
        <w:rPr>
          <w:color w:val="231F1F"/>
        </w:rPr>
        <w:t>Duración</w:t>
      </w:r>
      <w:r>
        <w:rPr>
          <w:color w:val="231F1F"/>
          <w:spacing w:val="67"/>
        </w:rPr>
        <w:t> </w:t>
      </w:r>
      <w:r>
        <w:rPr>
          <w:color w:val="231F1F"/>
        </w:rPr>
        <w:t>del</w:t>
      </w:r>
      <w:r>
        <w:rPr>
          <w:color w:val="231F1F"/>
          <w:spacing w:val="65"/>
        </w:rPr>
        <w:t> </w:t>
      </w:r>
      <w:r>
        <w:rPr>
          <w:color w:val="231F1F"/>
        </w:rPr>
        <w:t>período</w:t>
      </w:r>
      <w:r>
        <w:rPr>
          <w:color w:val="231F1F"/>
          <w:spacing w:val="67"/>
        </w:rPr>
        <w:t> </w:t>
      </w:r>
      <w:r>
        <w:rPr>
          <w:color w:val="231F1F"/>
        </w:rPr>
        <w:t>del</w:t>
      </w:r>
      <w:r>
        <w:rPr>
          <w:color w:val="231F1F"/>
          <w:spacing w:val="65"/>
        </w:rPr>
        <w:t> </w:t>
      </w:r>
      <w:bookmarkEnd w:id="25"/>
      <w:r>
        <w:rPr>
          <w:color w:val="231F1F"/>
          <w:spacing w:val="-2"/>
        </w:rPr>
        <w:t>alumbramiento</w:t>
      </w:r>
    </w:p>
    <w:p>
      <w:pPr>
        <w:pStyle w:val="BodyText"/>
        <w:spacing w:before="26"/>
        <w:rPr>
          <w:sz w:val="20"/>
        </w:rPr>
      </w:pPr>
      <w:r>
        <w:rPr>
          <w:sz w:val="20"/>
        </w:rPr>
        <mc:AlternateContent>
          <mc:Choice Requires="wps">
            <w:drawing>
              <wp:anchor distT="0" distB="0" distL="0" distR="0" allowOverlap="1" layoutInCell="1" locked="0" behindDoc="1" simplePos="0" relativeHeight="487612416">
                <wp:simplePos x="0" y="0"/>
                <wp:positionH relativeFrom="page">
                  <wp:posOffset>1082675</wp:posOffset>
                </wp:positionH>
                <wp:positionV relativeFrom="paragraph">
                  <wp:posOffset>181053</wp:posOffset>
                </wp:positionV>
                <wp:extent cx="5400040" cy="262255"/>
                <wp:effectExtent l="0" t="0" r="0" b="0"/>
                <wp:wrapTopAndBottom/>
                <wp:docPr id="102" name="Textbox 102"/>
                <wp:cNvGraphicFramePr>
                  <a:graphicFrameLocks/>
                </wp:cNvGraphicFramePr>
                <a:graphic>
                  <a:graphicData uri="http://schemas.microsoft.com/office/word/2010/wordprocessingShape">
                    <wps:wsp>
                      <wps:cNvPr id="102" name="Textbox 102"/>
                      <wps:cNvSpPr txBox="1"/>
                      <wps:spPr>
                        <a:xfrm>
                          <a:off x="0" y="0"/>
                          <a:ext cx="5400040" cy="262255"/>
                        </a:xfrm>
                        <a:prstGeom prst="rect">
                          <a:avLst/>
                        </a:prstGeom>
                        <a:ln w="6350">
                          <a:solidFill>
                            <a:srgbClr val="A30046"/>
                          </a:solidFill>
                          <a:prstDash val="solid"/>
                        </a:ln>
                      </wps:spPr>
                      <wps:txbx>
                        <w:txbxContent>
                          <w:p>
                            <w:pPr>
                              <w:pStyle w:val="BodyText"/>
                              <w:numPr>
                                <w:ilvl w:val="0"/>
                                <w:numId w:val="48"/>
                              </w:numPr>
                              <w:tabs>
                                <w:tab w:pos="322" w:val="left" w:leader="none"/>
                              </w:tabs>
                              <w:spacing w:line="240" w:lineRule="auto" w:before="51" w:after="0"/>
                              <w:ind w:left="322" w:right="0" w:hanging="218"/>
                              <w:jc w:val="left"/>
                            </w:pPr>
                            <w:r>
                              <w:rPr>
                                <w:color w:val="231F1F"/>
                              </w:rPr>
                              <w:t>¿Cuál</w:t>
                            </w:r>
                            <w:r>
                              <w:rPr>
                                <w:color w:val="231F1F"/>
                                <w:spacing w:val="31"/>
                              </w:rPr>
                              <w:t> </w:t>
                            </w:r>
                            <w:r>
                              <w:rPr>
                                <w:color w:val="231F1F"/>
                              </w:rPr>
                              <w:t>es</w:t>
                            </w:r>
                            <w:r>
                              <w:rPr>
                                <w:color w:val="231F1F"/>
                                <w:spacing w:val="32"/>
                              </w:rPr>
                              <w:t> </w:t>
                            </w:r>
                            <w:r>
                              <w:rPr>
                                <w:color w:val="231F1F"/>
                              </w:rPr>
                              <w:t>la</w:t>
                            </w:r>
                            <w:r>
                              <w:rPr>
                                <w:color w:val="231F1F"/>
                                <w:spacing w:val="33"/>
                              </w:rPr>
                              <w:t> </w:t>
                            </w:r>
                            <w:r>
                              <w:rPr>
                                <w:color w:val="231F1F"/>
                              </w:rPr>
                              <w:t>duración</w:t>
                            </w:r>
                            <w:r>
                              <w:rPr>
                                <w:color w:val="231F1F"/>
                                <w:spacing w:val="31"/>
                              </w:rPr>
                              <w:t> </w:t>
                            </w:r>
                            <w:r>
                              <w:rPr>
                                <w:color w:val="231F1F"/>
                              </w:rPr>
                              <w:t>del</w:t>
                            </w:r>
                            <w:r>
                              <w:rPr>
                                <w:color w:val="231F1F"/>
                                <w:spacing w:val="30"/>
                              </w:rPr>
                              <w:t> </w:t>
                            </w:r>
                            <w:r>
                              <w:rPr>
                                <w:color w:val="231F1F"/>
                              </w:rPr>
                              <w:t>periodo</w:t>
                            </w:r>
                            <w:r>
                              <w:rPr>
                                <w:color w:val="231F1F"/>
                                <w:spacing w:val="32"/>
                              </w:rPr>
                              <w:t> </w:t>
                            </w:r>
                            <w:r>
                              <w:rPr>
                                <w:color w:val="231F1F"/>
                              </w:rPr>
                              <w:t>del</w:t>
                            </w:r>
                            <w:r>
                              <w:rPr>
                                <w:color w:val="231F1F"/>
                                <w:spacing w:val="30"/>
                              </w:rPr>
                              <w:t> </w:t>
                            </w:r>
                            <w:r>
                              <w:rPr>
                                <w:color w:val="231F1F"/>
                                <w:spacing w:val="-2"/>
                              </w:rPr>
                              <w:t>alumbramiento?</w:t>
                            </w:r>
                          </w:p>
                        </w:txbxContent>
                      </wps:txbx>
                      <wps:bodyPr wrap="square" lIns="0" tIns="0" rIns="0" bIns="0" rtlCol="0">
                        <a:noAutofit/>
                      </wps:bodyPr>
                    </wps:wsp>
                  </a:graphicData>
                </a:graphic>
              </wp:anchor>
            </w:drawing>
          </mc:Choice>
          <mc:Fallback>
            <w:pict>
              <v:shape style="position:absolute;margin-left:85.25pt;margin-top:14.256152pt;width:425.2pt;height:20.65pt;mso-position-horizontal-relative:page;mso-position-vertical-relative:paragraph;z-index:-15704064;mso-wrap-distance-left:0;mso-wrap-distance-right:0" type="#_x0000_t202" id="docshape91" filled="false" stroked="true" strokeweight=".5pt" strokecolor="#a30046">
                <v:textbox inset="0,0,0,0">
                  <w:txbxContent>
                    <w:p>
                      <w:pPr>
                        <w:pStyle w:val="BodyText"/>
                        <w:numPr>
                          <w:ilvl w:val="0"/>
                          <w:numId w:val="48"/>
                        </w:numPr>
                        <w:tabs>
                          <w:tab w:pos="322" w:val="left" w:leader="none"/>
                        </w:tabs>
                        <w:spacing w:line="240" w:lineRule="auto" w:before="51" w:after="0"/>
                        <w:ind w:left="322" w:right="0" w:hanging="218"/>
                        <w:jc w:val="left"/>
                      </w:pPr>
                      <w:r>
                        <w:rPr>
                          <w:color w:val="231F1F"/>
                        </w:rPr>
                        <w:t>¿Cuál</w:t>
                      </w:r>
                      <w:r>
                        <w:rPr>
                          <w:color w:val="231F1F"/>
                          <w:spacing w:val="31"/>
                        </w:rPr>
                        <w:t> </w:t>
                      </w:r>
                      <w:r>
                        <w:rPr>
                          <w:color w:val="231F1F"/>
                        </w:rPr>
                        <w:t>es</w:t>
                      </w:r>
                      <w:r>
                        <w:rPr>
                          <w:color w:val="231F1F"/>
                          <w:spacing w:val="32"/>
                        </w:rPr>
                        <w:t> </w:t>
                      </w:r>
                      <w:r>
                        <w:rPr>
                          <w:color w:val="231F1F"/>
                        </w:rPr>
                        <w:t>la</w:t>
                      </w:r>
                      <w:r>
                        <w:rPr>
                          <w:color w:val="231F1F"/>
                          <w:spacing w:val="33"/>
                        </w:rPr>
                        <w:t> </w:t>
                      </w:r>
                      <w:r>
                        <w:rPr>
                          <w:color w:val="231F1F"/>
                        </w:rPr>
                        <w:t>duración</w:t>
                      </w:r>
                      <w:r>
                        <w:rPr>
                          <w:color w:val="231F1F"/>
                          <w:spacing w:val="31"/>
                        </w:rPr>
                        <w:t> </w:t>
                      </w:r>
                      <w:r>
                        <w:rPr>
                          <w:color w:val="231F1F"/>
                        </w:rPr>
                        <w:t>del</w:t>
                      </w:r>
                      <w:r>
                        <w:rPr>
                          <w:color w:val="231F1F"/>
                          <w:spacing w:val="30"/>
                        </w:rPr>
                        <w:t> </w:t>
                      </w:r>
                      <w:r>
                        <w:rPr>
                          <w:color w:val="231F1F"/>
                        </w:rPr>
                        <w:t>periodo</w:t>
                      </w:r>
                      <w:r>
                        <w:rPr>
                          <w:color w:val="231F1F"/>
                          <w:spacing w:val="32"/>
                        </w:rPr>
                        <w:t> </w:t>
                      </w:r>
                      <w:r>
                        <w:rPr>
                          <w:color w:val="231F1F"/>
                        </w:rPr>
                        <w:t>del</w:t>
                      </w:r>
                      <w:r>
                        <w:rPr>
                          <w:color w:val="231F1F"/>
                          <w:spacing w:val="30"/>
                        </w:rPr>
                        <w:t> </w:t>
                      </w:r>
                      <w:r>
                        <w:rPr>
                          <w:color w:val="231F1F"/>
                          <w:spacing w:val="-2"/>
                        </w:rPr>
                        <w:t>alumbramiento?</w:t>
                      </w:r>
                    </w:p>
                  </w:txbxContent>
                </v:textbox>
                <v:stroke dashstyle="solid"/>
                <w10:wrap type="topAndBottom"/>
              </v:shape>
            </w:pict>
          </mc:Fallback>
        </mc:AlternateContent>
      </w:r>
    </w:p>
    <w:p>
      <w:pPr>
        <w:pStyle w:val="BodyText"/>
        <w:spacing w:line="249" w:lineRule="auto" w:before="214"/>
        <w:ind w:left="283" w:right="121"/>
        <w:jc w:val="both"/>
      </w:pPr>
      <w:r>
        <w:rPr>
          <w:color w:val="231F1F"/>
          <w:w w:val="110"/>
        </w:rPr>
        <w:t>La tercera etapa del parto es la que transcurre entre el nacimiento y la expulsión de la placenta.</w:t>
      </w:r>
      <w:r>
        <w:rPr>
          <w:color w:val="231F1F"/>
          <w:spacing w:val="-5"/>
          <w:w w:val="110"/>
        </w:rPr>
        <w:t> </w:t>
      </w:r>
      <w:r>
        <w:rPr>
          <w:color w:val="231F1F"/>
          <w:w w:val="110"/>
        </w:rPr>
        <w:t>La</w:t>
      </w:r>
      <w:r>
        <w:rPr>
          <w:color w:val="231F1F"/>
          <w:spacing w:val="-4"/>
          <w:w w:val="110"/>
        </w:rPr>
        <w:t> </w:t>
      </w:r>
      <w:r>
        <w:rPr>
          <w:color w:val="231F1F"/>
          <w:w w:val="110"/>
        </w:rPr>
        <w:t>mayor</w:t>
      </w:r>
      <w:r>
        <w:rPr>
          <w:color w:val="231F1F"/>
          <w:spacing w:val="-5"/>
          <w:w w:val="110"/>
        </w:rPr>
        <w:t> </w:t>
      </w:r>
      <w:r>
        <w:rPr>
          <w:color w:val="231F1F"/>
          <w:w w:val="110"/>
        </w:rPr>
        <w:t>complicación</w:t>
      </w:r>
      <w:r>
        <w:rPr>
          <w:color w:val="231F1F"/>
          <w:spacing w:val="-5"/>
          <w:w w:val="110"/>
        </w:rPr>
        <w:t> </w:t>
      </w:r>
      <w:r>
        <w:rPr>
          <w:color w:val="231F1F"/>
          <w:w w:val="110"/>
        </w:rPr>
        <w:t>en</w:t>
      </w:r>
      <w:r>
        <w:rPr>
          <w:color w:val="231F1F"/>
          <w:spacing w:val="-4"/>
          <w:w w:val="110"/>
        </w:rPr>
        <w:t> </w:t>
      </w:r>
      <w:r>
        <w:rPr>
          <w:color w:val="231F1F"/>
          <w:w w:val="110"/>
        </w:rPr>
        <w:t>este</w:t>
      </w:r>
      <w:r>
        <w:rPr>
          <w:color w:val="231F1F"/>
          <w:spacing w:val="-4"/>
          <w:w w:val="110"/>
        </w:rPr>
        <w:t> </w:t>
      </w:r>
      <w:r>
        <w:rPr>
          <w:color w:val="231F1F"/>
          <w:w w:val="110"/>
        </w:rPr>
        <w:t>periodo</w:t>
      </w:r>
      <w:r>
        <w:rPr>
          <w:color w:val="231F1F"/>
          <w:spacing w:val="-4"/>
          <w:w w:val="110"/>
        </w:rPr>
        <w:t> </w:t>
      </w:r>
      <w:r>
        <w:rPr>
          <w:color w:val="231F1F"/>
          <w:w w:val="110"/>
        </w:rPr>
        <w:t>es</w:t>
      </w:r>
      <w:r>
        <w:rPr>
          <w:color w:val="231F1F"/>
          <w:spacing w:val="-5"/>
          <w:w w:val="110"/>
        </w:rPr>
        <w:t> </w:t>
      </w:r>
      <w:r>
        <w:rPr>
          <w:color w:val="231F1F"/>
          <w:w w:val="110"/>
        </w:rPr>
        <w:t>la</w:t>
      </w:r>
      <w:r>
        <w:rPr>
          <w:color w:val="231F1F"/>
          <w:spacing w:val="-4"/>
          <w:w w:val="110"/>
        </w:rPr>
        <w:t> </w:t>
      </w:r>
      <w:r>
        <w:rPr>
          <w:color w:val="231F1F"/>
          <w:w w:val="110"/>
        </w:rPr>
        <w:t>HPP,</w:t>
      </w:r>
      <w:r>
        <w:rPr>
          <w:color w:val="231F1F"/>
          <w:spacing w:val="-5"/>
          <w:w w:val="110"/>
        </w:rPr>
        <w:t> </w:t>
      </w:r>
      <w:r>
        <w:rPr>
          <w:color w:val="231F1F"/>
          <w:w w:val="110"/>
        </w:rPr>
        <w:t>que</w:t>
      </w:r>
      <w:r>
        <w:rPr>
          <w:color w:val="231F1F"/>
          <w:spacing w:val="-5"/>
          <w:w w:val="110"/>
        </w:rPr>
        <w:t> </w:t>
      </w:r>
      <w:r>
        <w:rPr>
          <w:color w:val="231F1F"/>
          <w:w w:val="110"/>
        </w:rPr>
        <w:t>sigue</w:t>
      </w:r>
      <w:r>
        <w:rPr>
          <w:color w:val="231F1F"/>
          <w:spacing w:val="-5"/>
          <w:w w:val="110"/>
        </w:rPr>
        <w:t> </w:t>
      </w:r>
      <w:r>
        <w:rPr>
          <w:color w:val="231F1F"/>
          <w:w w:val="110"/>
        </w:rPr>
        <w:t>siendo</w:t>
      </w:r>
      <w:r>
        <w:rPr>
          <w:color w:val="231F1F"/>
          <w:spacing w:val="-5"/>
          <w:w w:val="110"/>
        </w:rPr>
        <w:t> </w:t>
      </w:r>
      <w:r>
        <w:rPr>
          <w:color w:val="231F1F"/>
          <w:w w:val="110"/>
        </w:rPr>
        <w:t>un</w:t>
      </w:r>
      <w:r>
        <w:rPr>
          <w:color w:val="231F1F"/>
          <w:spacing w:val="-4"/>
          <w:w w:val="110"/>
        </w:rPr>
        <w:t> </w:t>
      </w:r>
      <w:r>
        <w:rPr>
          <w:color w:val="231F1F"/>
          <w:w w:val="110"/>
        </w:rPr>
        <w:t>motivo de</w:t>
      </w:r>
      <w:r>
        <w:rPr>
          <w:color w:val="231F1F"/>
          <w:spacing w:val="-11"/>
          <w:w w:val="110"/>
        </w:rPr>
        <w:t> </w:t>
      </w:r>
      <w:r>
        <w:rPr>
          <w:color w:val="231F1F"/>
          <w:w w:val="110"/>
        </w:rPr>
        <w:t>preocupación</w:t>
      </w:r>
      <w:r>
        <w:rPr>
          <w:color w:val="231F1F"/>
          <w:spacing w:val="-12"/>
          <w:w w:val="110"/>
        </w:rPr>
        <w:t> </w:t>
      </w:r>
      <w:r>
        <w:rPr>
          <w:color w:val="231F1F"/>
          <w:w w:val="110"/>
        </w:rPr>
        <w:t>primordial</w:t>
      </w:r>
      <w:r>
        <w:rPr>
          <w:color w:val="231F1F"/>
          <w:spacing w:val="-12"/>
          <w:w w:val="110"/>
        </w:rPr>
        <w:t> </w:t>
      </w:r>
      <w:r>
        <w:rPr>
          <w:color w:val="231F1F"/>
          <w:w w:val="110"/>
        </w:rPr>
        <w:t>(176)</w:t>
      </w:r>
      <w:r>
        <w:rPr>
          <w:color w:val="231F1F"/>
          <w:spacing w:val="-11"/>
          <w:w w:val="110"/>
        </w:rPr>
        <w:t> </w:t>
      </w:r>
      <w:r>
        <w:rPr>
          <w:color w:val="231F1F"/>
          <w:w w:val="110"/>
        </w:rPr>
        <w:t>ya</w:t>
      </w:r>
      <w:r>
        <w:rPr>
          <w:color w:val="231F1F"/>
          <w:spacing w:val="-11"/>
          <w:w w:val="110"/>
        </w:rPr>
        <w:t> </w:t>
      </w:r>
      <w:r>
        <w:rPr>
          <w:color w:val="231F1F"/>
          <w:w w:val="110"/>
        </w:rPr>
        <w:t>que</w:t>
      </w:r>
      <w:r>
        <w:rPr>
          <w:color w:val="231F1F"/>
          <w:spacing w:val="-11"/>
          <w:w w:val="110"/>
        </w:rPr>
        <w:t> </w:t>
      </w:r>
      <w:r>
        <w:rPr>
          <w:color w:val="231F1F"/>
          <w:w w:val="110"/>
        </w:rPr>
        <w:t>es</w:t>
      </w:r>
      <w:r>
        <w:rPr>
          <w:color w:val="231F1F"/>
          <w:spacing w:val="-11"/>
          <w:w w:val="110"/>
        </w:rPr>
        <w:t> </w:t>
      </w:r>
      <w:r>
        <w:rPr>
          <w:color w:val="231F1F"/>
          <w:w w:val="110"/>
        </w:rPr>
        <w:t>la</w:t>
      </w:r>
      <w:r>
        <w:rPr>
          <w:color w:val="231F1F"/>
          <w:spacing w:val="-11"/>
          <w:w w:val="110"/>
        </w:rPr>
        <w:t> </w:t>
      </w:r>
      <w:r>
        <w:rPr>
          <w:color w:val="231F1F"/>
          <w:w w:val="110"/>
        </w:rPr>
        <w:t>responsable</w:t>
      </w:r>
      <w:r>
        <w:rPr>
          <w:color w:val="231F1F"/>
          <w:spacing w:val="-10"/>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cuarta</w:t>
      </w:r>
      <w:r>
        <w:rPr>
          <w:color w:val="231F1F"/>
          <w:spacing w:val="-11"/>
          <w:w w:val="110"/>
        </w:rPr>
        <w:t> </w:t>
      </w:r>
      <w:r>
        <w:rPr>
          <w:color w:val="231F1F"/>
          <w:w w:val="110"/>
        </w:rPr>
        <w:t>parte</w:t>
      </w:r>
      <w:r>
        <w:rPr>
          <w:color w:val="231F1F"/>
          <w:spacing w:val="-11"/>
          <w:w w:val="110"/>
        </w:rPr>
        <w:t> </w:t>
      </w:r>
      <w:r>
        <w:rPr>
          <w:color w:val="231F1F"/>
          <w:w w:val="110"/>
        </w:rPr>
        <w:t>de</w:t>
      </w:r>
      <w:r>
        <w:rPr>
          <w:color w:val="231F1F"/>
          <w:spacing w:val="-11"/>
          <w:w w:val="110"/>
        </w:rPr>
        <w:t> </w:t>
      </w:r>
      <w:r>
        <w:rPr>
          <w:color w:val="231F1F"/>
          <w:w w:val="110"/>
        </w:rPr>
        <w:t>las</w:t>
      </w:r>
      <w:r>
        <w:rPr>
          <w:color w:val="231F1F"/>
          <w:spacing w:val="-11"/>
          <w:w w:val="110"/>
        </w:rPr>
        <w:t> </w:t>
      </w:r>
      <w:r>
        <w:rPr>
          <w:color w:val="231F1F"/>
          <w:w w:val="110"/>
        </w:rPr>
        <w:t>muer- </w:t>
      </w:r>
      <w:r>
        <w:rPr>
          <w:color w:val="231F1F"/>
        </w:rPr>
        <w:t>tes</w:t>
      </w:r>
      <w:r>
        <w:rPr>
          <w:color w:val="231F1F"/>
          <w:spacing w:val="27"/>
        </w:rPr>
        <w:t> </w:t>
      </w:r>
      <w:r>
        <w:rPr>
          <w:color w:val="231F1F"/>
        </w:rPr>
        <w:t>maternas</w:t>
      </w:r>
      <w:r>
        <w:rPr>
          <w:color w:val="231F1F"/>
          <w:spacing w:val="27"/>
        </w:rPr>
        <w:t> </w:t>
      </w:r>
      <w:r>
        <w:rPr>
          <w:color w:val="231F1F"/>
        </w:rPr>
        <w:t>en</w:t>
      </w:r>
      <w:r>
        <w:rPr>
          <w:color w:val="231F1F"/>
          <w:spacing w:val="26"/>
        </w:rPr>
        <w:t> </w:t>
      </w:r>
      <w:r>
        <w:rPr>
          <w:color w:val="231F1F"/>
        </w:rPr>
        <w:t>el</w:t>
      </w:r>
      <w:r>
        <w:rPr>
          <w:color w:val="231F1F"/>
          <w:spacing w:val="27"/>
        </w:rPr>
        <w:t> </w:t>
      </w:r>
      <w:r>
        <w:rPr>
          <w:color w:val="231F1F"/>
        </w:rPr>
        <w:t>mundo</w:t>
      </w:r>
      <w:r>
        <w:rPr>
          <w:color w:val="231F1F"/>
          <w:spacing w:val="27"/>
        </w:rPr>
        <w:t> </w:t>
      </w:r>
      <w:r>
        <w:rPr>
          <w:color w:val="231F1F"/>
        </w:rPr>
        <w:t>(177).</w:t>
      </w:r>
      <w:r>
        <w:rPr>
          <w:color w:val="231F1F"/>
          <w:spacing w:val="27"/>
        </w:rPr>
        <w:t> </w:t>
      </w:r>
      <w:r>
        <w:rPr>
          <w:color w:val="231F1F"/>
        </w:rPr>
        <w:t>El</w:t>
      </w:r>
      <w:r>
        <w:rPr>
          <w:color w:val="231F1F"/>
          <w:spacing w:val="27"/>
        </w:rPr>
        <w:t> </w:t>
      </w:r>
      <w:r>
        <w:rPr>
          <w:color w:val="231F1F"/>
        </w:rPr>
        <w:t>grado</w:t>
      </w:r>
      <w:r>
        <w:rPr>
          <w:color w:val="231F1F"/>
          <w:spacing w:val="26"/>
        </w:rPr>
        <w:t> </w:t>
      </w:r>
      <w:r>
        <w:rPr>
          <w:color w:val="231F1F"/>
        </w:rPr>
        <w:t>de</w:t>
      </w:r>
      <w:r>
        <w:rPr>
          <w:color w:val="231F1F"/>
          <w:spacing w:val="26"/>
        </w:rPr>
        <w:t> </w:t>
      </w:r>
      <w:r>
        <w:rPr>
          <w:color w:val="231F1F"/>
        </w:rPr>
        <w:t>pérdida</w:t>
      </w:r>
      <w:r>
        <w:rPr>
          <w:color w:val="231F1F"/>
          <w:spacing w:val="26"/>
        </w:rPr>
        <w:t> </w:t>
      </w:r>
      <w:r>
        <w:rPr>
          <w:color w:val="231F1F"/>
        </w:rPr>
        <w:t>sanguínea</w:t>
      </w:r>
      <w:r>
        <w:rPr>
          <w:color w:val="231F1F"/>
          <w:spacing w:val="27"/>
        </w:rPr>
        <w:t> </w:t>
      </w:r>
      <w:r>
        <w:rPr>
          <w:color w:val="231F1F"/>
        </w:rPr>
        <w:t>se</w:t>
      </w:r>
      <w:r>
        <w:rPr>
          <w:color w:val="231F1F"/>
          <w:spacing w:val="26"/>
        </w:rPr>
        <w:t> </w:t>
      </w:r>
      <w:r>
        <w:rPr>
          <w:color w:val="231F1F"/>
        </w:rPr>
        <w:t>asocia</w:t>
      </w:r>
      <w:r>
        <w:rPr>
          <w:color w:val="231F1F"/>
          <w:spacing w:val="26"/>
        </w:rPr>
        <w:t> </w:t>
      </w:r>
      <w:r>
        <w:rPr>
          <w:color w:val="231F1F"/>
        </w:rPr>
        <w:t>con</w:t>
      </w:r>
      <w:r>
        <w:rPr>
          <w:color w:val="231F1F"/>
          <w:spacing w:val="26"/>
        </w:rPr>
        <w:t> </w:t>
      </w:r>
      <w:r>
        <w:rPr>
          <w:color w:val="231F1F"/>
        </w:rPr>
        <w:t>la</w:t>
      </w:r>
      <w:r>
        <w:rPr>
          <w:color w:val="231F1F"/>
          <w:spacing w:val="26"/>
        </w:rPr>
        <w:t> </w:t>
      </w:r>
      <w:r>
        <w:rPr>
          <w:color w:val="231F1F"/>
        </w:rPr>
        <w:t>rapidez</w:t>
      </w:r>
      <w:r>
        <w:rPr>
          <w:color w:val="231F1F"/>
          <w:spacing w:val="27"/>
        </w:rPr>
        <w:t> </w:t>
      </w:r>
      <w:r>
        <w:rPr>
          <w:color w:val="231F1F"/>
        </w:rPr>
        <w:t>con </w:t>
      </w:r>
      <w:r>
        <w:rPr>
          <w:color w:val="231F1F"/>
          <w:w w:val="110"/>
        </w:rPr>
        <w:t>que la placenta se separa del útero y con la efectividad de la contracción uterina.</w:t>
      </w:r>
    </w:p>
    <w:p>
      <w:pPr>
        <w:pStyle w:val="BodyText"/>
        <w:spacing w:line="244" w:lineRule="auto" w:before="105"/>
        <w:ind w:left="283" w:right="124" w:firstLine="453"/>
        <w:jc w:val="both"/>
      </w:pPr>
      <w:r>
        <w:rPr>
          <w:color w:val="231F1F"/>
          <w:w w:val="110"/>
        </w:rPr>
        <w:t>La duración de la tercera etapa del parto es importante porque la prevalencia de la HPP</w:t>
      </w:r>
      <w:r>
        <w:rPr>
          <w:color w:val="231F1F"/>
          <w:spacing w:val="-6"/>
          <w:w w:val="110"/>
        </w:rPr>
        <w:t> </w:t>
      </w:r>
      <w:r>
        <w:rPr>
          <w:color w:val="231F1F"/>
          <w:w w:val="110"/>
        </w:rPr>
        <w:t>se</w:t>
      </w:r>
      <w:r>
        <w:rPr>
          <w:color w:val="231F1F"/>
          <w:spacing w:val="-6"/>
          <w:w w:val="110"/>
        </w:rPr>
        <w:t> </w:t>
      </w:r>
      <w:r>
        <w:rPr>
          <w:color w:val="231F1F"/>
          <w:w w:val="110"/>
        </w:rPr>
        <w:t>incrementa</w:t>
      </w:r>
      <w:r>
        <w:rPr>
          <w:color w:val="231F1F"/>
          <w:spacing w:val="-5"/>
          <w:w w:val="110"/>
        </w:rPr>
        <w:t> </w:t>
      </w:r>
      <w:r>
        <w:rPr>
          <w:color w:val="231F1F"/>
          <w:w w:val="110"/>
        </w:rPr>
        <w:t>cuando</w:t>
      </w:r>
      <w:r>
        <w:rPr>
          <w:color w:val="231F1F"/>
          <w:spacing w:val="-5"/>
          <w:w w:val="110"/>
        </w:rPr>
        <w:t> </w:t>
      </w:r>
      <w:r>
        <w:rPr>
          <w:color w:val="231F1F"/>
          <w:w w:val="110"/>
        </w:rPr>
        <w:t>su</w:t>
      </w:r>
      <w:r>
        <w:rPr>
          <w:color w:val="231F1F"/>
          <w:spacing w:val="-6"/>
          <w:w w:val="110"/>
        </w:rPr>
        <w:t> </w:t>
      </w:r>
      <w:r>
        <w:rPr>
          <w:color w:val="231F1F"/>
          <w:w w:val="110"/>
        </w:rPr>
        <w:t>duración</w:t>
      </w:r>
      <w:r>
        <w:rPr>
          <w:color w:val="231F1F"/>
          <w:spacing w:val="-6"/>
          <w:w w:val="110"/>
        </w:rPr>
        <w:t> </w:t>
      </w:r>
      <w:r>
        <w:rPr>
          <w:color w:val="231F1F"/>
          <w:w w:val="110"/>
        </w:rPr>
        <w:t>se</w:t>
      </w:r>
      <w:r>
        <w:rPr>
          <w:color w:val="231F1F"/>
          <w:spacing w:val="-6"/>
          <w:w w:val="110"/>
        </w:rPr>
        <w:t> </w:t>
      </w:r>
      <w:r>
        <w:rPr>
          <w:color w:val="231F1F"/>
          <w:w w:val="110"/>
        </w:rPr>
        <w:t>alarga</w:t>
      </w:r>
      <w:r>
        <w:rPr>
          <w:color w:val="231F1F"/>
          <w:spacing w:val="-6"/>
          <w:w w:val="110"/>
        </w:rPr>
        <w:t> </w:t>
      </w:r>
      <w:r>
        <w:rPr>
          <w:color w:val="231F1F"/>
          <w:w w:val="110"/>
        </w:rPr>
        <w:t>(178;179),</w:t>
      </w:r>
      <w:r>
        <w:rPr>
          <w:color w:val="231F1F"/>
          <w:spacing w:val="-5"/>
          <w:w w:val="110"/>
        </w:rPr>
        <w:t> </w:t>
      </w:r>
      <w:r>
        <w:rPr>
          <w:color w:val="231F1F"/>
          <w:w w:val="110"/>
        </w:rPr>
        <w:t>aunque</w:t>
      </w:r>
      <w:r>
        <w:rPr>
          <w:color w:val="231F1F"/>
          <w:spacing w:val="-5"/>
          <w:w w:val="110"/>
        </w:rPr>
        <w:t> </w:t>
      </w:r>
      <w:r>
        <w:rPr>
          <w:color w:val="231F1F"/>
          <w:w w:val="110"/>
        </w:rPr>
        <w:t>no</w:t>
      </w:r>
      <w:r>
        <w:rPr>
          <w:color w:val="231F1F"/>
          <w:spacing w:val="-6"/>
          <w:w w:val="110"/>
        </w:rPr>
        <w:t> </w:t>
      </w:r>
      <w:r>
        <w:rPr>
          <w:color w:val="231F1F"/>
          <w:w w:val="110"/>
        </w:rPr>
        <w:t>hay</w:t>
      </w:r>
      <w:r>
        <w:rPr>
          <w:color w:val="231F1F"/>
          <w:spacing w:val="-6"/>
          <w:w w:val="110"/>
        </w:rPr>
        <w:t> </w:t>
      </w:r>
      <w:r>
        <w:rPr>
          <w:color w:val="231F1F"/>
          <w:w w:val="110"/>
        </w:rPr>
        <w:t>criterios</w:t>
      </w:r>
      <w:r>
        <w:rPr>
          <w:color w:val="231F1F"/>
          <w:spacing w:val="-6"/>
          <w:w w:val="110"/>
        </w:rPr>
        <w:t> </w:t>
      </w:r>
      <w:r>
        <w:rPr>
          <w:color w:val="231F1F"/>
          <w:w w:val="110"/>
        </w:rPr>
        <w:t>uni- versalmente aceptados sobre la duración óptima del alumbramiento.</w:t>
      </w:r>
    </w:p>
    <w:p>
      <w:pPr>
        <w:pStyle w:val="BodyText"/>
        <w:spacing w:before="91"/>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190"/>
        <w:ind w:left="283" w:right="1361"/>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responde</w:t>
      </w:r>
      <w:r>
        <w:rPr>
          <w:color w:val="231F1F"/>
          <w:w w:val="105"/>
        </w:rPr>
        <w:t> a</w:t>
      </w:r>
      <w:r>
        <w:rPr>
          <w:color w:val="231F1F"/>
          <w:w w:val="105"/>
        </w:rPr>
        <w:t> esta</w:t>
      </w:r>
      <w:r>
        <w:rPr>
          <w:color w:val="231F1F"/>
          <w:w w:val="105"/>
        </w:rPr>
        <w:t> pregunta</w:t>
      </w:r>
      <w:r>
        <w:rPr>
          <w:color w:val="231F1F"/>
          <w:w w:val="105"/>
        </w:rPr>
        <w:t> tanto</w:t>
      </w:r>
      <w:r>
        <w:rPr>
          <w:color w:val="231F1F"/>
          <w:w w:val="105"/>
        </w:rPr>
        <w:t> para</w:t>
      </w:r>
      <w:r>
        <w:rPr>
          <w:color w:val="231F1F"/>
          <w:w w:val="105"/>
        </w:rPr>
        <w:t> el</w:t>
      </w:r>
      <w:r>
        <w:rPr>
          <w:color w:val="231F1F"/>
          <w:w w:val="105"/>
        </w:rPr>
        <w:t> alumbramiento espontáneo como dirigido. La información proviene de dos estudios observa- cionales,</w:t>
      </w:r>
      <w:r>
        <w:rPr>
          <w:color w:val="231F1F"/>
          <w:spacing w:val="-6"/>
          <w:w w:val="105"/>
        </w:rPr>
        <w:t> </w:t>
      </w:r>
      <w:r>
        <w:rPr>
          <w:color w:val="231F1F"/>
          <w:w w:val="105"/>
        </w:rPr>
        <w:t>uno</w:t>
      </w:r>
      <w:r>
        <w:rPr>
          <w:color w:val="231F1F"/>
          <w:spacing w:val="-6"/>
          <w:w w:val="105"/>
        </w:rPr>
        <w:t> </w:t>
      </w:r>
      <w:r>
        <w:rPr>
          <w:color w:val="231F1F"/>
          <w:w w:val="105"/>
        </w:rPr>
        <w:t>de</w:t>
      </w:r>
      <w:r>
        <w:rPr>
          <w:color w:val="231F1F"/>
          <w:spacing w:val="-6"/>
          <w:w w:val="105"/>
        </w:rPr>
        <w:t> </w:t>
      </w:r>
      <w:r>
        <w:rPr>
          <w:color w:val="231F1F"/>
          <w:w w:val="105"/>
        </w:rPr>
        <w:t>cohortes</w:t>
      </w:r>
      <w:r>
        <w:rPr>
          <w:color w:val="231F1F"/>
          <w:spacing w:val="-6"/>
          <w:w w:val="105"/>
        </w:rPr>
        <w:t> </w:t>
      </w:r>
      <w:r>
        <w:rPr>
          <w:color w:val="231F1F"/>
          <w:w w:val="105"/>
        </w:rPr>
        <w:t>(180)</w:t>
      </w:r>
      <w:r>
        <w:rPr>
          <w:color w:val="231F1F"/>
          <w:spacing w:val="-6"/>
          <w:w w:val="105"/>
        </w:rPr>
        <w:t> </w:t>
      </w:r>
      <w:r>
        <w:rPr>
          <w:color w:val="231F1F"/>
          <w:w w:val="105"/>
        </w:rPr>
        <w:t>con</w:t>
      </w:r>
      <w:r>
        <w:rPr>
          <w:color w:val="231F1F"/>
          <w:spacing w:val="-6"/>
          <w:w w:val="105"/>
        </w:rPr>
        <w:t> </w:t>
      </w:r>
      <w:r>
        <w:rPr>
          <w:color w:val="231F1F"/>
          <w:w w:val="105"/>
        </w:rPr>
        <w:t>NE=2+</w:t>
      </w:r>
      <w:r>
        <w:rPr>
          <w:color w:val="231F1F"/>
          <w:spacing w:val="-6"/>
          <w:w w:val="105"/>
        </w:rPr>
        <w:t> </w:t>
      </w:r>
      <w:r>
        <w:rPr>
          <w:color w:val="231F1F"/>
          <w:w w:val="105"/>
        </w:rPr>
        <w:t>y</w:t>
      </w:r>
      <w:r>
        <w:rPr>
          <w:color w:val="231F1F"/>
          <w:spacing w:val="-6"/>
          <w:w w:val="105"/>
        </w:rPr>
        <w:t> </w:t>
      </w:r>
      <w:r>
        <w:rPr>
          <w:color w:val="231F1F"/>
          <w:w w:val="105"/>
        </w:rPr>
        <w:t>otro</w:t>
      </w:r>
      <w:r>
        <w:rPr>
          <w:color w:val="231F1F"/>
          <w:spacing w:val="-6"/>
          <w:w w:val="105"/>
        </w:rPr>
        <w:t> </w:t>
      </w:r>
      <w:r>
        <w:rPr>
          <w:color w:val="231F1F"/>
          <w:w w:val="105"/>
        </w:rPr>
        <w:t>transversal</w:t>
      </w:r>
      <w:r>
        <w:rPr>
          <w:color w:val="231F1F"/>
          <w:spacing w:val="-7"/>
          <w:w w:val="105"/>
        </w:rPr>
        <w:t> </w:t>
      </w:r>
      <w:r>
        <w:rPr>
          <w:color w:val="231F1F"/>
          <w:w w:val="105"/>
        </w:rPr>
        <w:t>(181)</w:t>
      </w:r>
      <w:r>
        <w:rPr>
          <w:color w:val="231F1F"/>
          <w:spacing w:val="-6"/>
          <w:w w:val="105"/>
        </w:rPr>
        <w:t> </w:t>
      </w:r>
      <w:r>
        <w:rPr>
          <w:color w:val="231F1F"/>
          <w:w w:val="105"/>
        </w:rPr>
        <w:t>con</w:t>
      </w:r>
      <w:r>
        <w:rPr>
          <w:color w:val="231F1F"/>
          <w:spacing w:val="-6"/>
          <w:w w:val="105"/>
        </w:rPr>
        <w:t> </w:t>
      </w:r>
      <w:r>
        <w:rPr>
          <w:color w:val="231F1F"/>
          <w:w w:val="105"/>
        </w:rPr>
        <w:t>NE=3. También</w:t>
      </w:r>
      <w:r>
        <w:rPr>
          <w:color w:val="231F1F"/>
          <w:w w:val="105"/>
        </w:rPr>
        <w:t> se</w:t>
      </w:r>
      <w:r>
        <w:rPr>
          <w:color w:val="231F1F"/>
          <w:w w:val="105"/>
        </w:rPr>
        <w:t> extrajeron</w:t>
      </w:r>
      <w:r>
        <w:rPr>
          <w:color w:val="231F1F"/>
          <w:w w:val="105"/>
        </w:rPr>
        <w:t> datos</w:t>
      </w:r>
      <w:r>
        <w:rPr>
          <w:color w:val="231F1F"/>
          <w:w w:val="105"/>
        </w:rPr>
        <w:t> sobre</w:t>
      </w:r>
      <w:r>
        <w:rPr>
          <w:color w:val="231F1F"/>
          <w:w w:val="105"/>
        </w:rPr>
        <w:t> la</w:t>
      </w:r>
      <w:r>
        <w:rPr>
          <w:color w:val="231F1F"/>
          <w:w w:val="105"/>
        </w:rPr>
        <w:t> duración</w:t>
      </w:r>
      <w:r>
        <w:rPr>
          <w:color w:val="231F1F"/>
          <w:w w:val="105"/>
        </w:rPr>
        <w:t> de</w:t>
      </w:r>
      <w:r>
        <w:rPr>
          <w:color w:val="231F1F"/>
          <w:w w:val="105"/>
        </w:rPr>
        <w:t> la</w:t>
      </w:r>
      <w:r>
        <w:rPr>
          <w:color w:val="231F1F"/>
          <w:w w:val="105"/>
        </w:rPr>
        <w:t> tercera</w:t>
      </w:r>
      <w:r>
        <w:rPr>
          <w:color w:val="231F1F"/>
          <w:w w:val="105"/>
        </w:rPr>
        <w:t> etapa</w:t>
      </w:r>
      <w:r>
        <w:rPr>
          <w:color w:val="231F1F"/>
          <w:w w:val="105"/>
        </w:rPr>
        <w:t> del</w:t>
      </w:r>
      <w:r>
        <w:rPr>
          <w:color w:val="231F1F"/>
          <w:w w:val="105"/>
        </w:rPr>
        <w:t> parto (alumbramiento)</w:t>
      </w:r>
      <w:r>
        <w:rPr>
          <w:color w:val="231F1F"/>
          <w:w w:val="105"/>
        </w:rPr>
        <w:t> en</w:t>
      </w:r>
      <w:r>
        <w:rPr>
          <w:color w:val="231F1F"/>
          <w:w w:val="105"/>
        </w:rPr>
        <w:t> mujeres</w:t>
      </w:r>
      <w:r>
        <w:rPr>
          <w:color w:val="231F1F"/>
          <w:w w:val="105"/>
        </w:rPr>
        <w:t> con</w:t>
      </w:r>
      <w:r>
        <w:rPr>
          <w:color w:val="231F1F"/>
          <w:w w:val="105"/>
        </w:rPr>
        <w:t> manejo</w:t>
      </w:r>
      <w:r>
        <w:rPr>
          <w:color w:val="231F1F"/>
          <w:w w:val="105"/>
        </w:rPr>
        <w:t> fisiológico,</w:t>
      </w:r>
      <w:r>
        <w:rPr>
          <w:color w:val="231F1F"/>
          <w:w w:val="105"/>
        </w:rPr>
        <w:t> de</w:t>
      </w:r>
      <w:r>
        <w:rPr>
          <w:color w:val="231F1F"/>
          <w:w w:val="105"/>
        </w:rPr>
        <w:t> tres</w:t>
      </w:r>
      <w:r>
        <w:rPr>
          <w:color w:val="231F1F"/>
          <w:w w:val="105"/>
        </w:rPr>
        <w:t> estudios,</w:t>
      </w:r>
      <w:r>
        <w:rPr>
          <w:color w:val="231F1F"/>
          <w:w w:val="105"/>
        </w:rPr>
        <w:t> con NE=3, incluidos en una RS (182).</w:t>
      </w:r>
    </w:p>
    <w:p>
      <w:pPr>
        <w:pStyle w:val="BodyText"/>
        <w:tabs>
          <w:tab w:pos="8114" w:val="left" w:leader="none"/>
        </w:tabs>
        <w:spacing w:line="249" w:lineRule="auto" w:before="82"/>
        <w:ind w:left="283" w:right="254" w:firstLine="453"/>
      </w:pPr>
      <w:r>
        <w:rPr>
          <w:color w:val="231F1F"/>
        </w:rPr>
        <w:t>El estudio de cohortes analizaba la posible asociación entre la duración de</w:t>
      </w:r>
      <w:r>
        <w:rPr>
          <w:color w:val="231F1F"/>
          <w:spacing w:val="80"/>
        </w:rPr>
        <w:t> </w:t>
      </w:r>
      <w:r>
        <w:rPr>
          <w:rFonts w:ascii="Arial MT" w:hAnsi="Arial MT"/>
          <w:color w:val="231F1F"/>
          <w:sz w:val="18"/>
        </w:rPr>
        <w:t>E.</w:t>
      </w:r>
      <w:r>
        <w:rPr>
          <w:rFonts w:ascii="Arial MT" w:hAnsi="Arial MT"/>
          <w:color w:val="231F1F"/>
          <w:spacing w:val="16"/>
          <w:sz w:val="18"/>
        </w:rPr>
        <w:t> </w:t>
      </w:r>
      <w:r>
        <w:rPr>
          <w:rFonts w:ascii="Arial MT" w:hAnsi="Arial MT"/>
          <w:color w:val="231F1F"/>
          <w:sz w:val="18"/>
        </w:rPr>
        <w:t>de</w:t>
      </w:r>
      <w:r>
        <w:rPr>
          <w:rFonts w:ascii="Arial MT" w:hAnsi="Arial MT"/>
          <w:color w:val="231F1F"/>
          <w:spacing w:val="22"/>
          <w:sz w:val="18"/>
        </w:rPr>
        <w:t> </w:t>
      </w:r>
      <w:r>
        <w:rPr>
          <w:rFonts w:ascii="Arial MT" w:hAnsi="Arial MT"/>
          <w:color w:val="231F1F"/>
          <w:sz w:val="18"/>
        </w:rPr>
        <w:t>cohorte</w:t>
      </w:r>
      <w:r>
        <w:rPr>
          <w:rFonts w:ascii="Arial MT" w:hAnsi="Arial MT"/>
          <w:color w:val="231F1F"/>
          <w:spacing w:val="40"/>
          <w:w w:val="110"/>
          <w:sz w:val="18"/>
        </w:rPr>
        <w:t> </w:t>
      </w:r>
      <w:r>
        <w:rPr>
          <w:color w:val="231F1F"/>
          <w:w w:val="110"/>
        </w:rPr>
        <w:t>la tercera etapa del parto con </w:t>
      </w:r>
      <w:r>
        <w:rPr>
          <w:i/>
          <w:color w:val="231F1F"/>
          <w:w w:val="110"/>
        </w:rPr>
        <w:t>manejo activo </w:t>
      </w:r>
      <w:r>
        <w:rPr>
          <w:color w:val="231F1F"/>
          <w:w w:val="110"/>
        </w:rPr>
        <w:t>y el riesgo de HPP. Los resultados</w:t>
      </w:r>
      <w:r>
        <w:rPr>
          <w:color w:val="231F1F"/>
        </w:rPr>
        <w:tab/>
      </w:r>
      <w:r>
        <w:rPr>
          <w:rFonts w:ascii="Arial MT" w:hAnsi="Arial MT"/>
          <w:color w:val="231F1F"/>
          <w:spacing w:val="-6"/>
          <w:w w:val="110"/>
          <w:position w:val="4"/>
          <w:sz w:val="18"/>
        </w:rPr>
        <w:t>2+ </w:t>
      </w:r>
      <w:r>
        <w:rPr>
          <w:color w:val="231F1F"/>
          <w:w w:val="110"/>
        </w:rPr>
        <w:t>mostraron</w:t>
      </w:r>
      <w:r>
        <w:rPr>
          <w:color w:val="231F1F"/>
          <w:spacing w:val="-7"/>
          <w:w w:val="110"/>
        </w:rPr>
        <w:t> </w:t>
      </w:r>
      <w:r>
        <w:rPr>
          <w:color w:val="231F1F"/>
          <w:w w:val="110"/>
        </w:rPr>
        <w:t>que</w:t>
      </w:r>
      <w:r>
        <w:rPr>
          <w:color w:val="231F1F"/>
          <w:spacing w:val="-7"/>
          <w:w w:val="110"/>
        </w:rPr>
        <w:t> </w:t>
      </w:r>
      <w:r>
        <w:rPr>
          <w:color w:val="231F1F"/>
          <w:w w:val="110"/>
        </w:rPr>
        <w:t>a</w:t>
      </w:r>
      <w:r>
        <w:rPr>
          <w:color w:val="231F1F"/>
          <w:spacing w:val="-7"/>
          <w:w w:val="110"/>
        </w:rPr>
        <w:t> </w:t>
      </w:r>
      <w:r>
        <w:rPr>
          <w:color w:val="231F1F"/>
          <w:w w:val="110"/>
        </w:rPr>
        <w:t>partir</w:t>
      </w:r>
      <w:r>
        <w:rPr>
          <w:color w:val="231F1F"/>
          <w:spacing w:val="-7"/>
          <w:w w:val="110"/>
        </w:rPr>
        <w:t> </w:t>
      </w:r>
      <w:r>
        <w:rPr>
          <w:color w:val="231F1F"/>
          <w:w w:val="110"/>
        </w:rPr>
        <w:t>de</w:t>
      </w:r>
      <w:r>
        <w:rPr>
          <w:color w:val="231F1F"/>
          <w:spacing w:val="-7"/>
          <w:w w:val="110"/>
        </w:rPr>
        <w:t> </w:t>
      </w:r>
      <w:r>
        <w:rPr>
          <w:color w:val="231F1F"/>
          <w:w w:val="110"/>
        </w:rPr>
        <w:t>los</w:t>
      </w:r>
      <w:r>
        <w:rPr>
          <w:color w:val="231F1F"/>
          <w:spacing w:val="-7"/>
          <w:w w:val="110"/>
        </w:rPr>
        <w:t> </w:t>
      </w:r>
      <w:r>
        <w:rPr>
          <w:color w:val="231F1F"/>
          <w:w w:val="110"/>
        </w:rPr>
        <w:t>10</w:t>
      </w:r>
      <w:r>
        <w:rPr>
          <w:color w:val="231F1F"/>
          <w:spacing w:val="-7"/>
          <w:w w:val="110"/>
        </w:rPr>
        <w:t> </w:t>
      </w:r>
      <w:r>
        <w:rPr>
          <w:color w:val="231F1F"/>
          <w:w w:val="110"/>
        </w:rPr>
        <w:t>minutos</w:t>
      </w:r>
      <w:r>
        <w:rPr>
          <w:color w:val="231F1F"/>
          <w:spacing w:val="-7"/>
          <w:w w:val="110"/>
        </w:rPr>
        <w:t> </w:t>
      </w:r>
      <w:r>
        <w:rPr>
          <w:color w:val="231F1F"/>
          <w:w w:val="110"/>
        </w:rPr>
        <w:t>de</w:t>
      </w:r>
      <w:r>
        <w:rPr>
          <w:color w:val="231F1F"/>
          <w:spacing w:val="-7"/>
          <w:w w:val="110"/>
        </w:rPr>
        <w:t> </w:t>
      </w:r>
      <w:r>
        <w:rPr>
          <w:color w:val="231F1F"/>
          <w:w w:val="110"/>
        </w:rPr>
        <w:t>duración</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tercera</w:t>
      </w:r>
      <w:r>
        <w:rPr>
          <w:color w:val="231F1F"/>
          <w:spacing w:val="-7"/>
          <w:w w:val="110"/>
        </w:rPr>
        <w:t> </w:t>
      </w:r>
      <w:r>
        <w:rPr>
          <w:color w:val="231F1F"/>
          <w:w w:val="110"/>
        </w:rPr>
        <w:t>etapa,</w:t>
      </w:r>
      <w:r>
        <w:rPr>
          <w:color w:val="231F1F"/>
          <w:spacing w:val="-7"/>
          <w:w w:val="110"/>
        </w:rPr>
        <w:t> </w:t>
      </w:r>
      <w:r>
        <w:rPr>
          <w:color w:val="231F1F"/>
          <w:w w:val="110"/>
        </w:rPr>
        <w:t>el</w:t>
      </w:r>
      <w:r>
        <w:rPr>
          <w:color w:val="231F1F"/>
          <w:spacing w:val="-7"/>
          <w:w w:val="110"/>
        </w:rPr>
        <w:t> </w:t>
      </w:r>
      <w:r>
        <w:rPr>
          <w:color w:val="231F1F"/>
          <w:w w:val="110"/>
        </w:rPr>
        <w:t>ries-</w:t>
      </w:r>
    </w:p>
    <w:p>
      <w:pPr>
        <w:pStyle w:val="BodyText"/>
        <w:spacing w:before="14"/>
        <w:ind w:left="283"/>
      </w:pPr>
      <w:r>
        <w:rPr>
          <w:color w:val="231F1F"/>
          <w:spacing w:val="-2"/>
        </w:rPr>
        <w:t>go</w:t>
      </w:r>
      <w:r>
        <w:rPr>
          <w:color w:val="231F1F"/>
          <w:spacing w:val="-6"/>
        </w:rPr>
        <w:t> </w:t>
      </w:r>
      <w:r>
        <w:rPr>
          <w:color w:val="231F1F"/>
          <w:spacing w:val="-2"/>
        </w:rPr>
        <w:t>de</w:t>
      </w:r>
      <w:r>
        <w:rPr>
          <w:color w:val="231F1F"/>
          <w:spacing w:val="-4"/>
        </w:rPr>
        <w:t> </w:t>
      </w:r>
      <w:r>
        <w:rPr>
          <w:color w:val="231F1F"/>
          <w:spacing w:val="-2"/>
        </w:rPr>
        <w:t>HPP</w:t>
      </w:r>
      <w:r>
        <w:rPr>
          <w:color w:val="231F1F"/>
          <w:spacing w:val="-5"/>
        </w:rPr>
        <w:t> </w:t>
      </w:r>
      <w:r>
        <w:rPr>
          <w:color w:val="231F1F"/>
          <w:spacing w:val="-2"/>
        </w:rPr>
        <w:t>fue</w:t>
      </w:r>
      <w:r>
        <w:rPr>
          <w:color w:val="231F1F"/>
          <w:spacing w:val="-4"/>
        </w:rPr>
        <w:t> </w:t>
      </w:r>
      <w:r>
        <w:rPr>
          <w:color w:val="231F1F"/>
          <w:spacing w:val="-2"/>
        </w:rPr>
        <w:t>significativo,</w:t>
      </w:r>
      <w:r>
        <w:rPr>
          <w:color w:val="231F1F"/>
          <w:spacing w:val="-3"/>
        </w:rPr>
        <w:t> </w:t>
      </w:r>
      <w:r>
        <w:rPr>
          <w:color w:val="231F1F"/>
          <w:spacing w:val="-2"/>
        </w:rPr>
        <w:t>aumentando</w:t>
      </w:r>
      <w:r>
        <w:rPr>
          <w:color w:val="231F1F"/>
          <w:spacing w:val="-4"/>
        </w:rPr>
        <w:t> </w:t>
      </w:r>
      <w:r>
        <w:rPr>
          <w:color w:val="231F1F"/>
          <w:spacing w:val="-2"/>
        </w:rPr>
        <w:t>progresivamente</w:t>
      </w:r>
      <w:r>
        <w:rPr>
          <w:color w:val="231F1F"/>
          <w:spacing w:val="-5"/>
        </w:rPr>
        <w:t> </w:t>
      </w:r>
      <w:r>
        <w:rPr>
          <w:color w:val="231F1F"/>
          <w:spacing w:val="-2"/>
        </w:rPr>
        <w:t>con</w:t>
      </w:r>
      <w:r>
        <w:rPr>
          <w:color w:val="231F1F"/>
          <w:spacing w:val="-4"/>
        </w:rPr>
        <w:t> </w:t>
      </w:r>
      <w:r>
        <w:rPr>
          <w:color w:val="231F1F"/>
          <w:spacing w:val="-2"/>
        </w:rPr>
        <w:t>la</w:t>
      </w:r>
      <w:r>
        <w:rPr>
          <w:color w:val="231F1F"/>
          <w:spacing w:val="-6"/>
        </w:rPr>
        <w:t> </w:t>
      </w:r>
      <w:r>
        <w:rPr>
          <w:color w:val="231F1F"/>
          <w:spacing w:val="-2"/>
        </w:rPr>
        <w:t>mayor duración.</w:t>
      </w:r>
    </w:p>
    <w:p>
      <w:pPr>
        <w:pStyle w:val="BodyText"/>
        <w:spacing w:before="97"/>
        <w:ind w:left="736"/>
        <w:rPr>
          <w:rFonts w:ascii="Arial MT" w:hAnsi="Arial MT"/>
          <w:sz w:val="18"/>
        </w:rPr>
      </w:pPr>
      <w:r>
        <w:rPr>
          <w:color w:val="231F1F"/>
        </w:rPr>
        <w:t>Según</w:t>
      </w:r>
      <w:r>
        <w:rPr>
          <w:color w:val="231F1F"/>
          <w:spacing w:val="-14"/>
        </w:rPr>
        <w:t> </w:t>
      </w:r>
      <w:r>
        <w:rPr>
          <w:color w:val="231F1F"/>
        </w:rPr>
        <w:t>el</w:t>
      </w:r>
      <w:r>
        <w:rPr>
          <w:color w:val="231F1F"/>
          <w:spacing w:val="-14"/>
        </w:rPr>
        <w:t> </w:t>
      </w:r>
      <w:r>
        <w:rPr>
          <w:color w:val="231F1F"/>
        </w:rPr>
        <w:t>estudio</w:t>
      </w:r>
      <w:r>
        <w:rPr>
          <w:color w:val="231F1F"/>
          <w:spacing w:val="-14"/>
        </w:rPr>
        <w:t> </w:t>
      </w:r>
      <w:r>
        <w:rPr>
          <w:color w:val="231F1F"/>
        </w:rPr>
        <w:t>transversal</w:t>
      </w:r>
      <w:r>
        <w:rPr>
          <w:color w:val="231F1F"/>
          <w:spacing w:val="-13"/>
        </w:rPr>
        <w:t> </w:t>
      </w:r>
      <w:r>
        <w:rPr>
          <w:color w:val="231F1F"/>
        </w:rPr>
        <w:t>(181)</w:t>
      </w:r>
      <w:r>
        <w:rPr>
          <w:color w:val="231F1F"/>
          <w:spacing w:val="-14"/>
        </w:rPr>
        <w:t> </w:t>
      </w:r>
      <w:r>
        <w:rPr>
          <w:color w:val="231F1F"/>
        </w:rPr>
        <w:t>la</w:t>
      </w:r>
      <w:r>
        <w:rPr>
          <w:color w:val="231F1F"/>
          <w:spacing w:val="-14"/>
        </w:rPr>
        <w:t> </w:t>
      </w:r>
      <w:r>
        <w:rPr>
          <w:color w:val="231F1F"/>
        </w:rPr>
        <w:t>incidencia</w:t>
      </w:r>
      <w:r>
        <w:rPr>
          <w:color w:val="231F1F"/>
          <w:spacing w:val="-14"/>
        </w:rPr>
        <w:t> </w:t>
      </w:r>
      <w:r>
        <w:rPr>
          <w:color w:val="231F1F"/>
        </w:rPr>
        <w:t>de</w:t>
      </w:r>
      <w:r>
        <w:rPr>
          <w:color w:val="231F1F"/>
          <w:spacing w:val="-13"/>
        </w:rPr>
        <w:t> </w:t>
      </w:r>
      <w:r>
        <w:rPr>
          <w:color w:val="231F1F"/>
        </w:rPr>
        <w:t>HPP</w:t>
      </w:r>
      <w:r>
        <w:rPr>
          <w:color w:val="231F1F"/>
          <w:spacing w:val="-14"/>
        </w:rPr>
        <w:t> </w:t>
      </w:r>
      <w:r>
        <w:rPr>
          <w:color w:val="231F1F"/>
        </w:rPr>
        <w:t>y</w:t>
      </w:r>
      <w:r>
        <w:rPr>
          <w:color w:val="231F1F"/>
          <w:spacing w:val="-14"/>
        </w:rPr>
        <w:t> </w:t>
      </w:r>
      <w:r>
        <w:rPr>
          <w:color w:val="231F1F"/>
        </w:rPr>
        <w:t>otras</w:t>
      </w:r>
      <w:r>
        <w:rPr>
          <w:color w:val="231F1F"/>
          <w:spacing w:val="-14"/>
        </w:rPr>
        <w:t> </w:t>
      </w:r>
      <w:r>
        <w:rPr>
          <w:color w:val="231F1F"/>
        </w:rPr>
        <w:t>complicacio-</w:t>
      </w:r>
      <w:r>
        <w:rPr>
          <w:color w:val="231F1F"/>
          <w:spacing w:val="70"/>
        </w:rPr>
        <w:t> </w:t>
      </w:r>
      <w:r>
        <w:rPr>
          <w:rFonts w:ascii="Arial MT" w:hAnsi="Arial MT"/>
          <w:color w:val="231F1F"/>
          <w:sz w:val="18"/>
        </w:rPr>
        <w:t>E.</w:t>
      </w:r>
      <w:r>
        <w:rPr>
          <w:rFonts w:ascii="Arial MT" w:hAnsi="Arial MT"/>
          <w:color w:val="231F1F"/>
          <w:spacing w:val="6"/>
          <w:sz w:val="18"/>
        </w:rPr>
        <w:t> </w:t>
      </w:r>
      <w:r>
        <w:rPr>
          <w:rFonts w:ascii="Arial MT" w:hAnsi="Arial MT"/>
          <w:color w:val="231F1F"/>
          <w:spacing w:val="-2"/>
          <w:sz w:val="18"/>
        </w:rPr>
        <w:t>transversal</w:t>
      </w:r>
    </w:p>
    <w:p>
      <w:pPr>
        <w:pStyle w:val="BodyText"/>
        <w:tabs>
          <w:tab w:pos="8287" w:val="right" w:leader="none"/>
        </w:tabs>
        <w:spacing w:before="22"/>
        <w:ind w:left="283"/>
        <w:rPr>
          <w:rFonts w:ascii="Arial MT" w:hAnsi="Arial MT"/>
          <w:position w:val="4"/>
          <w:sz w:val="18"/>
        </w:rPr>
      </w:pPr>
      <w:r>
        <w:rPr>
          <w:color w:val="231F1F"/>
        </w:rPr>
        <w:t>nes,</w:t>
      </w:r>
      <w:r>
        <w:rPr>
          <w:color w:val="231F1F"/>
          <w:spacing w:val="-1"/>
        </w:rPr>
        <w:t> </w:t>
      </w:r>
      <w:r>
        <w:rPr>
          <w:color w:val="231F1F"/>
        </w:rPr>
        <w:t>permaneció</w:t>
      </w:r>
      <w:r>
        <w:rPr>
          <w:color w:val="231F1F"/>
          <w:spacing w:val="1"/>
        </w:rPr>
        <w:t> </w:t>
      </w:r>
      <w:r>
        <w:rPr>
          <w:color w:val="231F1F"/>
        </w:rPr>
        <w:t>constante</w:t>
      </w:r>
      <w:r>
        <w:rPr>
          <w:color w:val="231F1F"/>
          <w:spacing w:val="3"/>
        </w:rPr>
        <w:t> </w:t>
      </w:r>
      <w:r>
        <w:rPr>
          <w:color w:val="231F1F"/>
        </w:rPr>
        <w:t>en</w:t>
      </w:r>
      <w:r>
        <w:rPr>
          <w:color w:val="231F1F"/>
          <w:spacing w:val="2"/>
        </w:rPr>
        <w:t> </w:t>
      </w:r>
      <w:r>
        <w:rPr>
          <w:color w:val="231F1F"/>
        </w:rPr>
        <w:t>alumbramientos</w:t>
      </w:r>
      <w:r>
        <w:rPr>
          <w:color w:val="231F1F"/>
          <w:spacing w:val="3"/>
        </w:rPr>
        <w:t> </w:t>
      </w:r>
      <w:r>
        <w:rPr>
          <w:color w:val="231F1F"/>
        </w:rPr>
        <w:t>inferiores</w:t>
      </w:r>
      <w:r>
        <w:rPr>
          <w:color w:val="231F1F"/>
          <w:spacing w:val="2"/>
        </w:rPr>
        <w:t> </w:t>
      </w:r>
      <w:r>
        <w:rPr>
          <w:color w:val="231F1F"/>
        </w:rPr>
        <w:t>a</w:t>
      </w:r>
      <w:r>
        <w:rPr>
          <w:color w:val="231F1F"/>
          <w:spacing w:val="2"/>
        </w:rPr>
        <w:t> </w:t>
      </w:r>
      <w:r>
        <w:rPr>
          <w:color w:val="231F1F"/>
        </w:rPr>
        <w:t>30</w:t>
      </w:r>
      <w:r>
        <w:rPr>
          <w:color w:val="231F1F"/>
          <w:spacing w:val="2"/>
        </w:rPr>
        <w:t> </w:t>
      </w:r>
      <w:r>
        <w:rPr>
          <w:color w:val="231F1F"/>
        </w:rPr>
        <w:t>minutos</w:t>
      </w:r>
      <w:r>
        <w:rPr>
          <w:color w:val="231F1F"/>
          <w:spacing w:val="2"/>
        </w:rPr>
        <w:t> </w:t>
      </w:r>
      <w:r>
        <w:rPr>
          <w:color w:val="231F1F"/>
        </w:rPr>
        <w:t>y</w:t>
      </w:r>
      <w:r>
        <w:rPr>
          <w:color w:val="231F1F"/>
          <w:spacing w:val="2"/>
        </w:rPr>
        <w:t> </w:t>
      </w:r>
      <w:r>
        <w:rPr>
          <w:color w:val="231F1F"/>
          <w:spacing w:val="-2"/>
        </w:rPr>
        <w:t>aumen-</w:t>
      </w:r>
      <w:r>
        <w:rPr>
          <w:color w:val="231F1F"/>
        </w:rPr>
        <w:tab/>
      </w:r>
      <w:r>
        <w:rPr>
          <w:rFonts w:ascii="Arial MT" w:hAnsi="Arial MT"/>
          <w:color w:val="231F1F"/>
          <w:spacing w:val="-10"/>
          <w:position w:val="4"/>
          <w:sz w:val="18"/>
        </w:rPr>
        <w:t>3</w:t>
      </w:r>
    </w:p>
    <w:p>
      <w:pPr>
        <w:pStyle w:val="BodyText"/>
        <w:spacing w:line="259" w:lineRule="auto" w:before="35"/>
        <w:ind w:left="283" w:right="1370"/>
        <w:jc w:val="both"/>
      </w:pPr>
      <w:r>
        <w:rPr>
          <w:color w:val="231F1F"/>
        </w:rPr>
        <w:t>tó progresivamente, hasta alcanzar el máximo en 75 minutos. Este incremento en la incidencia de HPP y complicaciones se observó tanto en los casos de alumbra- miento</w:t>
      </w:r>
      <w:r>
        <w:rPr>
          <w:color w:val="231F1F"/>
          <w:spacing w:val="40"/>
        </w:rPr>
        <w:t> </w:t>
      </w:r>
      <w:r>
        <w:rPr>
          <w:color w:val="231F1F"/>
        </w:rPr>
        <w:t>espontáneo,</w:t>
      </w:r>
      <w:r>
        <w:rPr>
          <w:color w:val="231F1F"/>
          <w:spacing w:val="40"/>
        </w:rPr>
        <w:t> </w:t>
      </w:r>
      <w:r>
        <w:rPr>
          <w:color w:val="231F1F"/>
        </w:rPr>
        <w:t>como</w:t>
      </w:r>
      <w:r>
        <w:rPr>
          <w:color w:val="231F1F"/>
          <w:spacing w:val="40"/>
        </w:rPr>
        <w:t> </w:t>
      </w:r>
      <w:r>
        <w:rPr>
          <w:color w:val="231F1F"/>
        </w:rPr>
        <w:t>en</w:t>
      </w:r>
      <w:r>
        <w:rPr>
          <w:color w:val="231F1F"/>
          <w:spacing w:val="40"/>
        </w:rPr>
        <w:t> </w:t>
      </w:r>
      <w:r>
        <w:rPr>
          <w:color w:val="231F1F"/>
        </w:rPr>
        <w:t>aquellos</w:t>
      </w:r>
      <w:r>
        <w:rPr>
          <w:color w:val="231F1F"/>
          <w:spacing w:val="40"/>
        </w:rPr>
        <w:t> </w:t>
      </w:r>
      <w:r>
        <w:rPr>
          <w:color w:val="231F1F"/>
        </w:rPr>
        <w:t>con</w:t>
      </w:r>
      <w:r>
        <w:rPr>
          <w:color w:val="231F1F"/>
          <w:spacing w:val="40"/>
        </w:rPr>
        <w:t> </w:t>
      </w:r>
      <w:r>
        <w:rPr>
          <w:color w:val="231F1F"/>
        </w:rPr>
        <w:t>extracción</w:t>
      </w:r>
      <w:r>
        <w:rPr>
          <w:color w:val="231F1F"/>
          <w:spacing w:val="40"/>
        </w:rPr>
        <w:t> </w:t>
      </w:r>
      <w:r>
        <w:rPr>
          <w:color w:val="231F1F"/>
        </w:rPr>
        <w:t>manual</w:t>
      </w:r>
      <w:r>
        <w:rPr>
          <w:color w:val="231F1F"/>
          <w:spacing w:val="40"/>
        </w:rPr>
        <w:t> </w:t>
      </w:r>
      <w:r>
        <w:rPr>
          <w:color w:val="231F1F"/>
        </w:rPr>
        <w:t>de</w:t>
      </w:r>
      <w:r>
        <w:rPr>
          <w:color w:val="231F1F"/>
          <w:spacing w:val="40"/>
        </w:rPr>
        <w:t> </w:t>
      </w:r>
      <w:r>
        <w:rPr>
          <w:color w:val="231F1F"/>
        </w:rPr>
        <w:t>placenta.</w:t>
      </w:r>
    </w:p>
    <w:p>
      <w:pPr>
        <w:pStyle w:val="BodyText"/>
        <w:spacing w:line="249" w:lineRule="auto" w:before="69"/>
        <w:ind w:left="283" w:right="524" w:firstLine="453"/>
      </w:pPr>
      <w:r>
        <w:rPr>
          <w:color w:val="231F1F"/>
          <w:w w:val="110"/>
        </w:rPr>
        <w:t>La</w:t>
      </w:r>
      <w:r>
        <w:rPr>
          <w:color w:val="231F1F"/>
          <w:spacing w:val="-6"/>
          <w:w w:val="110"/>
        </w:rPr>
        <w:t> </w:t>
      </w:r>
      <w:r>
        <w:rPr>
          <w:color w:val="231F1F"/>
          <w:w w:val="110"/>
        </w:rPr>
        <w:t>RS</w:t>
      </w:r>
      <w:r>
        <w:rPr>
          <w:color w:val="231F1F"/>
          <w:spacing w:val="-6"/>
          <w:w w:val="110"/>
        </w:rPr>
        <w:t> </w:t>
      </w:r>
      <w:r>
        <w:rPr>
          <w:color w:val="231F1F"/>
          <w:w w:val="110"/>
        </w:rPr>
        <w:t>(182)</w:t>
      </w:r>
      <w:r>
        <w:rPr>
          <w:color w:val="231F1F"/>
          <w:spacing w:val="-6"/>
          <w:w w:val="110"/>
        </w:rPr>
        <w:t> </w:t>
      </w:r>
      <w:r>
        <w:rPr>
          <w:color w:val="231F1F"/>
          <w:w w:val="110"/>
        </w:rPr>
        <w:t>que</w:t>
      </w:r>
      <w:r>
        <w:rPr>
          <w:color w:val="231F1F"/>
          <w:spacing w:val="-6"/>
          <w:w w:val="110"/>
        </w:rPr>
        <w:t> </w:t>
      </w:r>
      <w:r>
        <w:rPr>
          <w:color w:val="231F1F"/>
          <w:w w:val="110"/>
        </w:rPr>
        <w:t>compara</w:t>
      </w:r>
      <w:r>
        <w:rPr>
          <w:color w:val="231F1F"/>
          <w:spacing w:val="-6"/>
          <w:w w:val="110"/>
        </w:rPr>
        <w:t> </w:t>
      </w:r>
      <w:r>
        <w:rPr>
          <w:color w:val="231F1F"/>
          <w:w w:val="110"/>
        </w:rPr>
        <w:t>el</w:t>
      </w:r>
      <w:r>
        <w:rPr>
          <w:color w:val="231F1F"/>
          <w:spacing w:val="-6"/>
          <w:w w:val="110"/>
        </w:rPr>
        <w:t> </w:t>
      </w:r>
      <w:r>
        <w:rPr>
          <w:i/>
          <w:color w:val="231F1F"/>
          <w:w w:val="110"/>
        </w:rPr>
        <w:t>manejo</w:t>
      </w:r>
      <w:r>
        <w:rPr>
          <w:i/>
          <w:color w:val="231F1F"/>
          <w:spacing w:val="-10"/>
          <w:w w:val="110"/>
        </w:rPr>
        <w:t> </w:t>
      </w:r>
      <w:r>
        <w:rPr>
          <w:i/>
          <w:color w:val="231F1F"/>
          <w:w w:val="110"/>
        </w:rPr>
        <w:t>fisiológico</w:t>
      </w:r>
      <w:r>
        <w:rPr>
          <w:i/>
          <w:color w:val="231F1F"/>
          <w:spacing w:val="-9"/>
          <w:w w:val="110"/>
        </w:rPr>
        <w:t> </w:t>
      </w:r>
      <w:r>
        <w:rPr>
          <w:color w:val="231F1F"/>
          <w:w w:val="110"/>
        </w:rPr>
        <w:t>y</w:t>
      </w:r>
      <w:r>
        <w:rPr>
          <w:color w:val="231F1F"/>
          <w:spacing w:val="-6"/>
          <w:w w:val="110"/>
        </w:rPr>
        <w:t> </w:t>
      </w:r>
      <w:r>
        <w:rPr>
          <w:color w:val="231F1F"/>
          <w:w w:val="110"/>
        </w:rPr>
        <w:t>el</w:t>
      </w:r>
      <w:r>
        <w:rPr>
          <w:color w:val="231F1F"/>
          <w:spacing w:val="-6"/>
          <w:w w:val="110"/>
        </w:rPr>
        <w:t> </w:t>
      </w:r>
      <w:r>
        <w:rPr>
          <w:color w:val="231F1F"/>
          <w:w w:val="110"/>
        </w:rPr>
        <w:t>activo,</w:t>
      </w:r>
      <w:r>
        <w:rPr>
          <w:color w:val="231F1F"/>
          <w:spacing w:val="-8"/>
          <w:w w:val="110"/>
        </w:rPr>
        <w:t> </w:t>
      </w:r>
      <w:r>
        <w:rPr>
          <w:color w:val="231F1F"/>
          <w:w w:val="110"/>
        </w:rPr>
        <w:t>muestra</w:t>
      </w:r>
      <w:r>
        <w:rPr>
          <w:color w:val="231F1F"/>
          <w:spacing w:val="-6"/>
          <w:w w:val="110"/>
        </w:rPr>
        <w:t> </w:t>
      </w:r>
      <w:r>
        <w:rPr>
          <w:color w:val="231F1F"/>
          <w:w w:val="110"/>
        </w:rPr>
        <w:t>los</w:t>
      </w:r>
      <w:r>
        <w:rPr>
          <w:color w:val="231F1F"/>
          <w:spacing w:val="-6"/>
          <w:w w:val="110"/>
        </w:rPr>
        <w:t> </w:t>
      </w:r>
      <w:r>
        <w:rPr>
          <w:color w:val="231F1F"/>
          <w:w w:val="110"/>
        </w:rPr>
        <w:t>si-</w:t>
      </w:r>
      <w:r>
        <w:rPr>
          <w:color w:val="231F1F"/>
          <w:spacing w:val="76"/>
          <w:w w:val="110"/>
        </w:rPr>
        <w:t> </w:t>
      </w:r>
      <w:r>
        <w:rPr>
          <w:rFonts w:ascii="Arial MT" w:hAnsi="Arial MT"/>
          <w:color w:val="231F1F"/>
          <w:w w:val="110"/>
          <w:sz w:val="18"/>
        </w:rPr>
        <w:t>RS </w:t>
      </w:r>
      <w:r>
        <w:rPr>
          <w:color w:val="231F1F"/>
          <w:w w:val="110"/>
        </w:rPr>
        <w:t>guientes</w:t>
      </w:r>
      <w:r>
        <w:rPr>
          <w:color w:val="231F1F"/>
          <w:spacing w:val="-8"/>
          <w:w w:val="110"/>
        </w:rPr>
        <w:t> </w:t>
      </w:r>
      <w:r>
        <w:rPr>
          <w:color w:val="231F1F"/>
          <w:w w:val="110"/>
        </w:rPr>
        <w:t>resultados</w:t>
      </w:r>
      <w:r>
        <w:rPr>
          <w:color w:val="231F1F"/>
          <w:spacing w:val="-8"/>
          <w:w w:val="110"/>
        </w:rPr>
        <w:t> </w:t>
      </w:r>
      <w:r>
        <w:rPr>
          <w:color w:val="231F1F"/>
          <w:w w:val="110"/>
        </w:rPr>
        <w:t>sobre</w:t>
      </w:r>
      <w:r>
        <w:rPr>
          <w:color w:val="231F1F"/>
          <w:spacing w:val="-8"/>
          <w:w w:val="110"/>
        </w:rPr>
        <w:t> </w:t>
      </w:r>
      <w:r>
        <w:rPr>
          <w:color w:val="231F1F"/>
          <w:w w:val="110"/>
        </w:rPr>
        <w:t>la</w:t>
      </w:r>
      <w:r>
        <w:rPr>
          <w:color w:val="231F1F"/>
          <w:spacing w:val="-8"/>
          <w:w w:val="110"/>
        </w:rPr>
        <w:t> </w:t>
      </w:r>
      <w:r>
        <w:rPr>
          <w:color w:val="231F1F"/>
          <w:w w:val="110"/>
        </w:rPr>
        <w:t>duración</w:t>
      </w:r>
      <w:r>
        <w:rPr>
          <w:color w:val="231F1F"/>
          <w:spacing w:val="-8"/>
          <w:w w:val="110"/>
        </w:rPr>
        <w:t> </w:t>
      </w:r>
      <w:r>
        <w:rPr>
          <w:color w:val="231F1F"/>
          <w:w w:val="110"/>
        </w:rPr>
        <w:t>media</w:t>
      </w:r>
      <w:r>
        <w:rPr>
          <w:color w:val="231F1F"/>
          <w:spacing w:val="-8"/>
          <w:w w:val="110"/>
        </w:rPr>
        <w:t> </w:t>
      </w:r>
      <w:r>
        <w:rPr>
          <w:color w:val="231F1F"/>
          <w:w w:val="110"/>
        </w:rPr>
        <w:t>(y</w:t>
      </w:r>
      <w:r>
        <w:rPr>
          <w:color w:val="231F1F"/>
          <w:spacing w:val="-8"/>
          <w:w w:val="110"/>
        </w:rPr>
        <w:t> </w:t>
      </w:r>
      <w:r>
        <w:rPr>
          <w:color w:val="231F1F"/>
          <w:w w:val="110"/>
        </w:rPr>
        <w:t>desviación</w:t>
      </w:r>
      <w:r>
        <w:rPr>
          <w:color w:val="231F1F"/>
          <w:spacing w:val="-8"/>
          <w:w w:val="110"/>
        </w:rPr>
        <w:t> </w:t>
      </w:r>
      <w:r>
        <w:rPr>
          <w:color w:val="231F1F"/>
          <w:w w:val="110"/>
        </w:rPr>
        <w:t>estándar)</w:t>
      </w:r>
      <w:r>
        <w:rPr>
          <w:color w:val="231F1F"/>
          <w:spacing w:val="-8"/>
          <w:w w:val="110"/>
        </w:rPr>
        <w:t> </w:t>
      </w:r>
      <w:r>
        <w:rPr>
          <w:color w:val="231F1F"/>
          <w:w w:val="110"/>
        </w:rPr>
        <w:t>del</w:t>
      </w:r>
      <w:r>
        <w:rPr>
          <w:color w:val="231F1F"/>
          <w:spacing w:val="-8"/>
          <w:w w:val="110"/>
        </w:rPr>
        <w:t> </w:t>
      </w:r>
      <w:r>
        <w:rPr>
          <w:color w:val="231F1F"/>
          <w:w w:val="110"/>
        </w:rPr>
        <w:t>periodo</w:t>
      </w:r>
      <w:r>
        <w:rPr>
          <w:color w:val="231F1F"/>
          <w:spacing w:val="67"/>
          <w:w w:val="110"/>
        </w:rPr>
        <w:t> </w:t>
      </w:r>
      <w:r>
        <w:rPr>
          <w:rFonts w:ascii="Arial MT" w:hAnsi="Arial MT"/>
          <w:color w:val="231F1F"/>
          <w:w w:val="110"/>
          <w:position w:val="4"/>
          <w:sz w:val="18"/>
        </w:rPr>
        <w:t>1+ </w:t>
      </w:r>
      <w:r>
        <w:rPr>
          <w:color w:val="231F1F"/>
          <w:w w:val="110"/>
        </w:rPr>
        <w:t>de</w:t>
      </w:r>
      <w:r>
        <w:rPr>
          <w:color w:val="231F1F"/>
          <w:spacing w:val="-9"/>
          <w:w w:val="110"/>
        </w:rPr>
        <w:t> </w:t>
      </w:r>
      <w:r>
        <w:rPr>
          <w:color w:val="231F1F"/>
          <w:w w:val="110"/>
        </w:rPr>
        <w:t>alumbramiento</w:t>
      </w:r>
      <w:r>
        <w:rPr>
          <w:color w:val="231F1F"/>
          <w:spacing w:val="-7"/>
          <w:w w:val="110"/>
        </w:rPr>
        <w:t> </w:t>
      </w:r>
      <w:r>
        <w:rPr>
          <w:color w:val="231F1F"/>
          <w:w w:val="110"/>
        </w:rPr>
        <w:t>en</w:t>
      </w:r>
      <w:r>
        <w:rPr>
          <w:color w:val="231F1F"/>
          <w:spacing w:val="-9"/>
          <w:w w:val="110"/>
        </w:rPr>
        <w:t> </w:t>
      </w:r>
      <w:r>
        <w:rPr>
          <w:color w:val="231F1F"/>
          <w:w w:val="110"/>
        </w:rPr>
        <w:t>mujeres</w:t>
      </w:r>
      <w:r>
        <w:rPr>
          <w:color w:val="231F1F"/>
          <w:spacing w:val="-7"/>
          <w:w w:val="110"/>
        </w:rPr>
        <w:t> </w:t>
      </w:r>
      <w:r>
        <w:rPr>
          <w:color w:val="231F1F"/>
          <w:w w:val="110"/>
        </w:rPr>
        <w:t>del</w:t>
      </w:r>
      <w:r>
        <w:rPr>
          <w:color w:val="231F1F"/>
          <w:spacing w:val="-11"/>
          <w:w w:val="110"/>
        </w:rPr>
        <w:t> </w:t>
      </w:r>
      <w:r>
        <w:rPr>
          <w:color w:val="231F1F"/>
          <w:w w:val="110"/>
        </w:rPr>
        <w:t>grupo</w:t>
      </w:r>
      <w:r>
        <w:rPr>
          <w:color w:val="231F1F"/>
          <w:spacing w:val="-7"/>
          <w:w w:val="110"/>
        </w:rPr>
        <w:t> </w:t>
      </w:r>
      <w:r>
        <w:rPr>
          <w:color w:val="231F1F"/>
          <w:w w:val="110"/>
        </w:rPr>
        <w:t>con</w:t>
      </w:r>
      <w:r>
        <w:rPr>
          <w:color w:val="231F1F"/>
          <w:spacing w:val="-9"/>
          <w:w w:val="110"/>
        </w:rPr>
        <w:t> </w:t>
      </w:r>
      <w:r>
        <w:rPr>
          <w:color w:val="231F1F"/>
          <w:w w:val="110"/>
        </w:rPr>
        <w:t>manejo</w:t>
      </w:r>
      <w:r>
        <w:rPr>
          <w:color w:val="231F1F"/>
          <w:spacing w:val="-7"/>
          <w:w w:val="110"/>
        </w:rPr>
        <w:t> </w:t>
      </w:r>
      <w:r>
        <w:rPr>
          <w:color w:val="231F1F"/>
          <w:w w:val="110"/>
        </w:rPr>
        <w:t>fisiologico</w:t>
      </w:r>
      <w:r>
        <w:rPr>
          <w:color w:val="231F1F"/>
          <w:spacing w:val="-8"/>
          <w:w w:val="110"/>
        </w:rPr>
        <w:t> </w:t>
      </w:r>
      <w:r>
        <w:rPr>
          <w:color w:val="231F1F"/>
          <w:w w:val="110"/>
        </w:rPr>
        <w:t>de</w:t>
      </w:r>
      <w:r>
        <w:rPr>
          <w:color w:val="231F1F"/>
          <w:spacing w:val="-7"/>
          <w:w w:val="110"/>
        </w:rPr>
        <w:t> </w:t>
      </w:r>
      <w:r>
        <w:rPr>
          <w:color w:val="231F1F"/>
          <w:w w:val="110"/>
        </w:rPr>
        <w:t>tres</w:t>
      </w:r>
      <w:r>
        <w:rPr>
          <w:color w:val="231F1F"/>
          <w:spacing w:val="-9"/>
          <w:w w:val="110"/>
        </w:rPr>
        <w:t> </w:t>
      </w:r>
      <w:r>
        <w:rPr>
          <w:color w:val="231F1F"/>
          <w:w w:val="110"/>
        </w:rPr>
        <w:t>estudios (NE=1+) realizados en: Arabia Saudi DMP=14 minutos (DE=2,5 minutos),</w:t>
      </w:r>
    </w:p>
    <w:p>
      <w:pPr>
        <w:pStyle w:val="BodyText"/>
        <w:spacing w:line="249" w:lineRule="auto" w:before="5"/>
        <w:ind w:left="283" w:right="1365"/>
        <w:jc w:val="both"/>
      </w:pPr>
      <w:r>
        <w:rPr>
          <w:color w:val="231F1F"/>
          <w:spacing w:val="-4"/>
          <w:w w:val="110"/>
        </w:rPr>
        <w:t>Dublín</w:t>
      </w:r>
      <w:r>
        <w:rPr>
          <w:color w:val="231F1F"/>
          <w:spacing w:val="-9"/>
          <w:w w:val="110"/>
        </w:rPr>
        <w:t> </w:t>
      </w:r>
      <w:r>
        <w:rPr>
          <w:color w:val="231F1F"/>
          <w:spacing w:val="-4"/>
          <w:w w:val="110"/>
        </w:rPr>
        <w:t>DMP=11,6</w:t>
      </w:r>
      <w:r>
        <w:rPr>
          <w:color w:val="231F1F"/>
          <w:spacing w:val="-10"/>
          <w:w w:val="110"/>
        </w:rPr>
        <w:t> </w:t>
      </w:r>
      <w:r>
        <w:rPr>
          <w:color w:val="231F1F"/>
          <w:spacing w:val="-4"/>
          <w:w w:val="110"/>
        </w:rPr>
        <w:t>minutos</w:t>
      </w:r>
      <w:r>
        <w:rPr>
          <w:color w:val="231F1F"/>
          <w:spacing w:val="-11"/>
          <w:w w:val="110"/>
        </w:rPr>
        <w:t> </w:t>
      </w:r>
      <w:r>
        <w:rPr>
          <w:color w:val="231F1F"/>
          <w:spacing w:val="-4"/>
          <w:w w:val="110"/>
        </w:rPr>
        <w:t>(DE=8,4</w:t>
      </w:r>
      <w:r>
        <w:rPr>
          <w:color w:val="231F1F"/>
          <w:spacing w:val="-9"/>
          <w:w w:val="110"/>
        </w:rPr>
        <w:t> </w:t>
      </w:r>
      <w:r>
        <w:rPr>
          <w:color w:val="231F1F"/>
          <w:spacing w:val="-4"/>
          <w:w w:val="110"/>
        </w:rPr>
        <w:t>min)</w:t>
      </w:r>
      <w:r>
        <w:rPr>
          <w:color w:val="231F1F"/>
          <w:spacing w:val="-10"/>
          <w:w w:val="110"/>
        </w:rPr>
        <w:t> </w:t>
      </w:r>
      <w:r>
        <w:rPr>
          <w:color w:val="231F1F"/>
          <w:spacing w:val="-4"/>
          <w:w w:val="110"/>
        </w:rPr>
        <w:t>y</w:t>
      </w:r>
      <w:r>
        <w:rPr>
          <w:color w:val="231F1F"/>
          <w:spacing w:val="-10"/>
          <w:w w:val="110"/>
        </w:rPr>
        <w:t> </w:t>
      </w:r>
      <w:r>
        <w:rPr>
          <w:color w:val="231F1F"/>
          <w:spacing w:val="-4"/>
          <w:w w:val="110"/>
        </w:rPr>
        <w:t>Reino</w:t>
      </w:r>
      <w:r>
        <w:rPr>
          <w:color w:val="231F1F"/>
          <w:spacing w:val="-10"/>
          <w:w w:val="110"/>
        </w:rPr>
        <w:t> </w:t>
      </w:r>
      <w:r>
        <w:rPr>
          <w:color w:val="231F1F"/>
          <w:spacing w:val="-4"/>
          <w:w w:val="110"/>
        </w:rPr>
        <w:t>Unido</w:t>
      </w:r>
      <w:r>
        <w:rPr>
          <w:color w:val="231F1F"/>
          <w:spacing w:val="-9"/>
          <w:w w:val="110"/>
        </w:rPr>
        <w:t> </w:t>
      </w:r>
      <w:r>
        <w:rPr>
          <w:color w:val="231F1F"/>
          <w:spacing w:val="-4"/>
          <w:w w:val="110"/>
        </w:rPr>
        <w:t>DMP=20,8</w:t>
      </w:r>
      <w:r>
        <w:rPr>
          <w:color w:val="231F1F"/>
          <w:spacing w:val="-10"/>
          <w:w w:val="110"/>
        </w:rPr>
        <w:t> </w:t>
      </w:r>
      <w:r>
        <w:rPr>
          <w:color w:val="231F1F"/>
          <w:spacing w:val="-4"/>
          <w:w w:val="110"/>
        </w:rPr>
        <w:t>minutos (DE=20,5</w:t>
      </w:r>
      <w:r>
        <w:rPr>
          <w:color w:val="231F1F"/>
          <w:spacing w:val="-8"/>
          <w:w w:val="110"/>
        </w:rPr>
        <w:t> </w:t>
      </w:r>
      <w:r>
        <w:rPr>
          <w:color w:val="231F1F"/>
          <w:spacing w:val="-4"/>
          <w:w w:val="110"/>
        </w:rPr>
        <w:t>minutos).</w:t>
      </w:r>
      <w:r>
        <w:rPr>
          <w:color w:val="231F1F"/>
          <w:spacing w:val="-9"/>
          <w:w w:val="110"/>
        </w:rPr>
        <w:t> </w:t>
      </w:r>
      <w:r>
        <w:rPr>
          <w:color w:val="231F1F"/>
          <w:spacing w:val="-4"/>
          <w:w w:val="110"/>
        </w:rPr>
        <w:t>Las</w:t>
      </w:r>
      <w:r>
        <w:rPr>
          <w:color w:val="231F1F"/>
          <w:spacing w:val="-9"/>
          <w:w w:val="110"/>
        </w:rPr>
        <w:t> </w:t>
      </w:r>
      <w:r>
        <w:rPr>
          <w:color w:val="231F1F"/>
          <w:spacing w:val="-4"/>
          <w:w w:val="110"/>
        </w:rPr>
        <w:t>mujeres</w:t>
      </w:r>
      <w:r>
        <w:rPr>
          <w:color w:val="231F1F"/>
          <w:spacing w:val="-8"/>
          <w:w w:val="110"/>
        </w:rPr>
        <w:t> </w:t>
      </w:r>
      <w:r>
        <w:rPr>
          <w:color w:val="231F1F"/>
          <w:spacing w:val="-4"/>
          <w:w w:val="110"/>
        </w:rPr>
        <w:t>del</w:t>
      </w:r>
      <w:r>
        <w:rPr>
          <w:color w:val="231F1F"/>
          <w:spacing w:val="-9"/>
          <w:w w:val="110"/>
        </w:rPr>
        <w:t> </w:t>
      </w:r>
      <w:r>
        <w:rPr>
          <w:color w:val="231F1F"/>
          <w:spacing w:val="-4"/>
          <w:w w:val="110"/>
        </w:rPr>
        <w:t>grupo</w:t>
      </w:r>
      <w:r>
        <w:rPr>
          <w:color w:val="231F1F"/>
          <w:spacing w:val="-8"/>
          <w:w w:val="110"/>
        </w:rPr>
        <w:t> </w:t>
      </w:r>
      <w:r>
        <w:rPr>
          <w:color w:val="231F1F"/>
          <w:spacing w:val="-4"/>
          <w:w w:val="110"/>
        </w:rPr>
        <w:t>donde</w:t>
      </w:r>
      <w:r>
        <w:rPr>
          <w:color w:val="231F1F"/>
          <w:spacing w:val="-9"/>
          <w:w w:val="110"/>
        </w:rPr>
        <w:t> </w:t>
      </w:r>
      <w:r>
        <w:rPr>
          <w:color w:val="231F1F"/>
          <w:spacing w:val="-4"/>
          <w:w w:val="110"/>
        </w:rPr>
        <w:t>se</w:t>
      </w:r>
      <w:r>
        <w:rPr>
          <w:color w:val="231F1F"/>
          <w:spacing w:val="-9"/>
          <w:w w:val="110"/>
        </w:rPr>
        <w:t> </w:t>
      </w:r>
      <w:r>
        <w:rPr>
          <w:color w:val="231F1F"/>
          <w:spacing w:val="-4"/>
          <w:w w:val="110"/>
        </w:rPr>
        <w:t>realizó</w:t>
      </w:r>
      <w:r>
        <w:rPr>
          <w:color w:val="231F1F"/>
          <w:spacing w:val="-8"/>
          <w:w w:val="110"/>
        </w:rPr>
        <w:t> </w:t>
      </w:r>
      <w:r>
        <w:rPr>
          <w:color w:val="231F1F"/>
          <w:spacing w:val="-4"/>
          <w:w w:val="110"/>
        </w:rPr>
        <w:t>manejo</w:t>
      </w:r>
      <w:r>
        <w:rPr>
          <w:color w:val="231F1F"/>
          <w:spacing w:val="-8"/>
          <w:w w:val="110"/>
        </w:rPr>
        <w:t> </w:t>
      </w:r>
      <w:r>
        <w:rPr>
          <w:color w:val="231F1F"/>
          <w:spacing w:val="-4"/>
          <w:w w:val="110"/>
        </w:rPr>
        <w:t>activo</w:t>
      </w:r>
      <w:r>
        <w:rPr>
          <w:color w:val="231F1F"/>
          <w:spacing w:val="-8"/>
          <w:w w:val="110"/>
        </w:rPr>
        <w:t> </w:t>
      </w:r>
      <w:r>
        <w:rPr>
          <w:color w:val="231F1F"/>
          <w:spacing w:val="-4"/>
          <w:w w:val="110"/>
        </w:rPr>
        <w:t>del </w:t>
      </w:r>
      <w:r>
        <w:rPr>
          <w:color w:val="231F1F"/>
          <w:w w:val="110"/>
        </w:rPr>
        <w:t>alumbramiento</w:t>
      </w:r>
      <w:r>
        <w:rPr>
          <w:color w:val="231F1F"/>
          <w:spacing w:val="-16"/>
          <w:w w:val="110"/>
        </w:rPr>
        <w:t> </w:t>
      </w:r>
      <w:r>
        <w:rPr>
          <w:color w:val="231F1F"/>
          <w:w w:val="110"/>
        </w:rPr>
        <w:t>mostraban</w:t>
      </w:r>
      <w:r>
        <w:rPr>
          <w:color w:val="231F1F"/>
          <w:spacing w:val="-15"/>
          <w:w w:val="110"/>
        </w:rPr>
        <w:t> </w:t>
      </w:r>
      <w:r>
        <w:rPr>
          <w:color w:val="231F1F"/>
          <w:w w:val="110"/>
        </w:rPr>
        <w:t>los</w:t>
      </w:r>
      <w:r>
        <w:rPr>
          <w:color w:val="231F1F"/>
          <w:spacing w:val="-15"/>
          <w:w w:val="110"/>
        </w:rPr>
        <w:t> </w:t>
      </w:r>
      <w:r>
        <w:rPr>
          <w:color w:val="231F1F"/>
          <w:w w:val="110"/>
        </w:rPr>
        <w:t>siguientes</w:t>
      </w:r>
      <w:r>
        <w:rPr>
          <w:color w:val="231F1F"/>
          <w:spacing w:val="-15"/>
          <w:w w:val="110"/>
        </w:rPr>
        <w:t> </w:t>
      </w:r>
      <w:r>
        <w:rPr>
          <w:color w:val="231F1F"/>
          <w:w w:val="110"/>
        </w:rPr>
        <w:t>resultados,</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mismos</w:t>
      </w:r>
      <w:r>
        <w:rPr>
          <w:color w:val="231F1F"/>
          <w:spacing w:val="-15"/>
          <w:w w:val="110"/>
        </w:rPr>
        <w:t> </w:t>
      </w:r>
      <w:r>
        <w:rPr>
          <w:color w:val="231F1F"/>
          <w:w w:val="110"/>
        </w:rPr>
        <w:t>estudios: </w:t>
      </w:r>
      <w:r>
        <w:rPr>
          <w:color w:val="231F1F"/>
        </w:rPr>
        <w:t>Arabia Saudi DMP=4 minutos (DE=2,5 minutos), Dublín DMP=11,26 minutos </w:t>
      </w:r>
      <w:r>
        <w:rPr>
          <w:color w:val="231F1F"/>
          <w:w w:val="110"/>
        </w:rPr>
        <w:t>(DE=19,62 min) y Reino Unido DMP=11,84 minutos (DE=21,4 minutos).</w:t>
      </w:r>
    </w:p>
    <w:p>
      <w:pPr>
        <w:pStyle w:val="BodyText"/>
        <w:spacing w:after="0" w:line="249" w:lineRule="auto"/>
        <w:jc w:val="both"/>
        <w:sectPr>
          <w:footerReference w:type="default" r:id="rId48"/>
          <w:footerReference w:type="even" r:id="rId49"/>
          <w:pgSz w:w="11900" w:h="16840"/>
          <w:pgMar w:header="0" w:footer="622" w:top="1520" w:bottom="820" w:left="1417" w:right="1559"/>
          <w:pgNumType w:start="147"/>
        </w:sectPr>
      </w:pPr>
    </w:p>
    <w:p>
      <w:pPr>
        <w:pStyle w:val="BodyText"/>
        <w:spacing w:line="252" w:lineRule="auto" w:before="73"/>
        <w:ind w:left="283" w:right="1370" w:firstLine="453"/>
        <w:jc w:val="both"/>
      </w:pPr>
      <w:r>
        <w:rPr>
          <w:color w:val="231F1F"/>
          <w:w w:val="105"/>
        </w:rPr>
        <w:t>En resumen se puede decir que la duración del alumbramiento espontá- neo tiene una duración menor de 60 minutos en el 95% de las mujeres. Cuan- do se utiliza el manejo activo del alumbramiento, una duración superior a los 30</w:t>
      </w:r>
      <w:r>
        <w:rPr>
          <w:color w:val="231F1F"/>
          <w:spacing w:val="40"/>
          <w:w w:val="105"/>
        </w:rPr>
        <w:t> </w:t>
      </w:r>
      <w:r>
        <w:rPr>
          <w:color w:val="231F1F"/>
          <w:w w:val="105"/>
        </w:rPr>
        <w:t>minutos</w:t>
      </w:r>
      <w:r>
        <w:rPr>
          <w:color w:val="231F1F"/>
          <w:spacing w:val="40"/>
          <w:w w:val="105"/>
        </w:rPr>
        <w:t> </w:t>
      </w:r>
      <w:r>
        <w:rPr>
          <w:color w:val="231F1F"/>
          <w:w w:val="105"/>
        </w:rPr>
        <w:t>se</w:t>
      </w:r>
      <w:r>
        <w:rPr>
          <w:color w:val="231F1F"/>
          <w:spacing w:val="40"/>
          <w:w w:val="105"/>
        </w:rPr>
        <w:t> </w:t>
      </w:r>
      <w:r>
        <w:rPr>
          <w:color w:val="231F1F"/>
          <w:w w:val="105"/>
        </w:rPr>
        <w:t>asocia</w:t>
      </w:r>
      <w:r>
        <w:rPr>
          <w:color w:val="231F1F"/>
          <w:spacing w:val="40"/>
          <w:w w:val="105"/>
        </w:rPr>
        <w:t> </w:t>
      </w:r>
      <w:r>
        <w:rPr>
          <w:color w:val="231F1F"/>
          <w:w w:val="105"/>
        </w:rPr>
        <w:t>con</w:t>
      </w:r>
      <w:r>
        <w:rPr>
          <w:color w:val="231F1F"/>
          <w:spacing w:val="40"/>
          <w:w w:val="105"/>
        </w:rPr>
        <w:t> </w:t>
      </w:r>
      <w:r>
        <w:rPr>
          <w:color w:val="231F1F"/>
          <w:w w:val="105"/>
        </w:rPr>
        <w:t>incrementos</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incidencia</w:t>
      </w:r>
      <w:r>
        <w:rPr>
          <w:color w:val="231F1F"/>
          <w:spacing w:val="40"/>
          <w:w w:val="105"/>
        </w:rPr>
        <w:t> </w:t>
      </w:r>
      <w:r>
        <w:rPr>
          <w:color w:val="231F1F"/>
          <w:w w:val="105"/>
        </w:rPr>
        <w:t>de</w:t>
      </w:r>
      <w:r>
        <w:rPr>
          <w:color w:val="231F1F"/>
          <w:spacing w:val="40"/>
          <w:w w:val="105"/>
        </w:rPr>
        <w:t> </w:t>
      </w:r>
      <w:r>
        <w:rPr>
          <w:color w:val="231F1F"/>
          <w:w w:val="105"/>
        </w:rPr>
        <w:t>HPP.</w:t>
      </w:r>
    </w:p>
    <w:p>
      <w:pPr>
        <w:pStyle w:val="BodyText"/>
        <w:spacing w:before="157"/>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line="247" w:lineRule="auto" w:before="210"/>
        <w:ind w:left="283" w:right="1366"/>
        <w:jc w:val="both"/>
      </w:pPr>
      <w:r>
        <w:rPr>
          <w:color w:val="231F1F"/>
          <w:w w:val="105"/>
        </w:rPr>
        <w:t>En la nueva búsqueda de actualización de la guía no se ha recuperado ningu- na de las 25 referencias encontradas: quince de la base de datos de la Cochra- ne</w:t>
      </w:r>
      <w:r>
        <w:rPr>
          <w:color w:val="231F1F"/>
          <w:w w:val="105"/>
        </w:rPr>
        <w:t> Library,</w:t>
      </w:r>
      <w:r>
        <w:rPr>
          <w:color w:val="231F1F"/>
          <w:w w:val="105"/>
        </w:rPr>
        <w:t> tres</w:t>
      </w:r>
      <w:r>
        <w:rPr>
          <w:color w:val="231F1F"/>
          <w:w w:val="105"/>
        </w:rPr>
        <w:t> de</w:t>
      </w:r>
      <w:r>
        <w:rPr>
          <w:color w:val="231F1F"/>
          <w:w w:val="105"/>
        </w:rPr>
        <w:t> DARE</w:t>
      </w:r>
      <w:r>
        <w:rPr>
          <w:color w:val="231F1F"/>
          <w:w w:val="105"/>
        </w:rPr>
        <w:t> y</w:t>
      </w:r>
      <w:r>
        <w:rPr>
          <w:color w:val="231F1F"/>
          <w:w w:val="105"/>
        </w:rPr>
        <w:t> HTA</w:t>
      </w:r>
      <w:r>
        <w:rPr>
          <w:color w:val="231F1F"/>
          <w:w w:val="105"/>
        </w:rPr>
        <w:t> y</w:t>
      </w:r>
      <w:r>
        <w:rPr>
          <w:color w:val="231F1F"/>
          <w:w w:val="105"/>
        </w:rPr>
        <w:t> siete</w:t>
      </w:r>
      <w:r>
        <w:rPr>
          <w:color w:val="231F1F"/>
          <w:w w:val="105"/>
        </w:rPr>
        <w:t> de</w:t>
      </w:r>
      <w:r>
        <w:rPr>
          <w:color w:val="231F1F"/>
          <w:w w:val="105"/>
        </w:rPr>
        <w:t> Medline.</w:t>
      </w:r>
      <w:r>
        <w:rPr>
          <w:color w:val="231F1F"/>
          <w:w w:val="105"/>
        </w:rPr>
        <w:t> Ninguna</w:t>
      </w:r>
      <w:r>
        <w:rPr>
          <w:color w:val="231F1F"/>
          <w:w w:val="105"/>
        </w:rPr>
        <w:t> cumplió</w:t>
      </w:r>
      <w:r>
        <w:rPr>
          <w:color w:val="231F1F"/>
          <w:w w:val="105"/>
        </w:rPr>
        <w:t> los criterios de inclusión establecidos.</w:t>
      </w:r>
    </w:p>
    <w:p>
      <w:pPr>
        <w:pStyle w:val="BodyText"/>
        <w:spacing w:line="254" w:lineRule="auto" w:before="157"/>
        <w:ind w:left="283" w:right="1369" w:firstLine="453"/>
        <w:jc w:val="both"/>
      </w:pPr>
      <w:r>
        <w:rPr>
          <w:color w:val="231F1F"/>
        </w:rPr>
        <w:t>Por</w:t>
      </w:r>
      <w:r>
        <w:rPr>
          <w:color w:val="231F1F"/>
          <w:spacing w:val="22"/>
        </w:rPr>
        <w:t> </w:t>
      </w:r>
      <w:r>
        <w:rPr>
          <w:color w:val="231F1F"/>
        </w:rPr>
        <w:t>ello</w:t>
      </w:r>
      <w:r>
        <w:rPr>
          <w:color w:val="231F1F"/>
          <w:spacing w:val="21"/>
        </w:rPr>
        <w:t> </w:t>
      </w:r>
      <w:r>
        <w:rPr>
          <w:color w:val="231F1F"/>
        </w:rPr>
        <w:t>la</w:t>
      </w:r>
      <w:r>
        <w:rPr>
          <w:color w:val="231F1F"/>
          <w:spacing w:val="21"/>
        </w:rPr>
        <w:t> </w:t>
      </w:r>
      <w:r>
        <w:rPr>
          <w:color w:val="231F1F"/>
        </w:rPr>
        <w:t>recomendación</w:t>
      </w:r>
      <w:r>
        <w:rPr>
          <w:color w:val="231F1F"/>
          <w:spacing w:val="23"/>
        </w:rPr>
        <w:t> </w:t>
      </w:r>
      <w:r>
        <w:rPr>
          <w:color w:val="231F1F"/>
        </w:rPr>
        <w:t>se</w:t>
      </w:r>
      <w:r>
        <w:rPr>
          <w:color w:val="231F1F"/>
          <w:spacing w:val="21"/>
        </w:rPr>
        <w:t> </w:t>
      </w:r>
      <w:r>
        <w:rPr>
          <w:color w:val="231F1F"/>
        </w:rPr>
        <w:t>ha</w:t>
      </w:r>
      <w:r>
        <w:rPr>
          <w:color w:val="231F1F"/>
          <w:spacing w:val="21"/>
        </w:rPr>
        <w:t> </w:t>
      </w:r>
      <w:r>
        <w:rPr>
          <w:color w:val="231F1F"/>
        </w:rPr>
        <w:t>establecido</w:t>
      </w:r>
      <w:r>
        <w:rPr>
          <w:color w:val="231F1F"/>
          <w:spacing w:val="21"/>
        </w:rPr>
        <w:t> </w:t>
      </w:r>
      <w:r>
        <w:rPr>
          <w:color w:val="231F1F"/>
        </w:rPr>
        <w:t>adoptando</w:t>
      </w:r>
      <w:r>
        <w:rPr>
          <w:color w:val="231F1F"/>
          <w:spacing w:val="21"/>
        </w:rPr>
        <w:t> </w:t>
      </w:r>
      <w:r>
        <w:rPr>
          <w:color w:val="231F1F"/>
        </w:rPr>
        <w:t>la</w:t>
      </w:r>
      <w:r>
        <w:rPr>
          <w:color w:val="231F1F"/>
          <w:spacing w:val="21"/>
        </w:rPr>
        <w:t> </w:t>
      </w:r>
      <w:r>
        <w:rPr>
          <w:color w:val="231F1F"/>
        </w:rPr>
        <w:t>de</w:t>
      </w:r>
      <w:r>
        <w:rPr>
          <w:color w:val="231F1F"/>
          <w:spacing w:val="21"/>
        </w:rPr>
        <w:t> </w:t>
      </w:r>
      <w:r>
        <w:rPr>
          <w:color w:val="231F1F"/>
        </w:rPr>
        <w:t>la</w:t>
      </w:r>
      <w:r>
        <w:rPr>
          <w:color w:val="231F1F"/>
          <w:spacing w:val="21"/>
        </w:rPr>
        <w:t> </w:t>
      </w:r>
      <w:r>
        <w:rPr>
          <w:color w:val="231F1F"/>
        </w:rPr>
        <w:t>guía</w:t>
      </w:r>
      <w:r>
        <w:rPr>
          <w:color w:val="231F1F"/>
          <w:spacing w:val="21"/>
        </w:rPr>
        <w:t> </w:t>
      </w:r>
      <w:r>
        <w:rPr>
          <w:color w:val="231F1F"/>
        </w:rPr>
        <w:t>NICE y</w:t>
      </w:r>
      <w:r>
        <w:rPr>
          <w:color w:val="231F1F"/>
          <w:spacing w:val="40"/>
        </w:rPr>
        <w:t> </w:t>
      </w:r>
      <w:r>
        <w:rPr>
          <w:color w:val="231F1F"/>
        </w:rPr>
        <w:t>por</w:t>
      </w:r>
      <w:r>
        <w:rPr>
          <w:color w:val="231F1F"/>
          <w:spacing w:val="40"/>
        </w:rPr>
        <w:t> </w:t>
      </w:r>
      <w:r>
        <w:rPr>
          <w:color w:val="231F1F"/>
        </w:rPr>
        <w:t>consenso</w:t>
      </w:r>
      <w:r>
        <w:rPr>
          <w:color w:val="231F1F"/>
          <w:spacing w:val="40"/>
        </w:rPr>
        <w:t> </w:t>
      </w:r>
      <w:r>
        <w:rPr>
          <w:color w:val="231F1F"/>
        </w:rPr>
        <w:t>del</w:t>
      </w:r>
      <w:r>
        <w:rPr>
          <w:color w:val="231F1F"/>
          <w:spacing w:val="40"/>
        </w:rPr>
        <w:t> </w:t>
      </w:r>
      <w:r>
        <w:rPr>
          <w:color w:val="231F1F"/>
        </w:rPr>
        <w:t>GEG.</w:t>
      </w:r>
    </w:p>
    <w:p>
      <w:pPr>
        <w:pStyle w:val="BodyText"/>
        <w:spacing w:before="156"/>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4" w:lineRule="auto" w:before="44"/>
              <w:ind w:right="92"/>
              <w:jc w:val="both"/>
              <w:rPr>
                <w:sz w:val="22"/>
              </w:rPr>
            </w:pPr>
            <w:r>
              <w:rPr>
                <w:color w:val="231F1F"/>
                <w:w w:val="110"/>
                <w:sz w:val="22"/>
              </w:rPr>
              <w:t>A partir de los 10 minutos de duración de la tercera etapa de partos con manejo</w:t>
            </w:r>
            <w:r>
              <w:rPr>
                <w:color w:val="231F1F"/>
                <w:spacing w:val="-12"/>
                <w:w w:val="110"/>
                <w:sz w:val="22"/>
              </w:rPr>
              <w:t> </w:t>
            </w:r>
            <w:r>
              <w:rPr>
                <w:color w:val="231F1F"/>
                <w:w w:val="110"/>
                <w:sz w:val="22"/>
              </w:rPr>
              <w:t>activo,</w:t>
            </w:r>
            <w:r>
              <w:rPr>
                <w:color w:val="231F1F"/>
                <w:spacing w:val="-14"/>
                <w:w w:val="110"/>
                <w:sz w:val="22"/>
              </w:rPr>
              <w:t> </w:t>
            </w:r>
            <w:r>
              <w:rPr>
                <w:color w:val="231F1F"/>
                <w:w w:val="110"/>
                <w:sz w:val="22"/>
              </w:rPr>
              <w:t>el</w:t>
            </w:r>
            <w:r>
              <w:rPr>
                <w:color w:val="231F1F"/>
                <w:spacing w:val="-13"/>
                <w:w w:val="110"/>
                <w:sz w:val="22"/>
              </w:rPr>
              <w:t> </w:t>
            </w:r>
            <w:r>
              <w:rPr>
                <w:color w:val="231F1F"/>
                <w:w w:val="110"/>
                <w:sz w:val="22"/>
              </w:rPr>
              <w:t>riesgo</w:t>
            </w:r>
            <w:r>
              <w:rPr>
                <w:color w:val="231F1F"/>
                <w:spacing w:val="-12"/>
                <w:w w:val="110"/>
                <w:sz w:val="22"/>
              </w:rPr>
              <w:t> </w:t>
            </w:r>
            <w:r>
              <w:rPr>
                <w:color w:val="231F1F"/>
                <w:w w:val="110"/>
                <w:sz w:val="22"/>
              </w:rPr>
              <w:t>de</w:t>
            </w:r>
            <w:r>
              <w:rPr>
                <w:color w:val="231F1F"/>
                <w:spacing w:val="-13"/>
                <w:w w:val="110"/>
                <w:sz w:val="22"/>
              </w:rPr>
              <w:t> </w:t>
            </w:r>
            <w:r>
              <w:rPr>
                <w:color w:val="231F1F"/>
                <w:w w:val="110"/>
                <w:sz w:val="22"/>
              </w:rPr>
              <w:t>hemorragia</w:t>
            </w:r>
            <w:r>
              <w:rPr>
                <w:color w:val="231F1F"/>
                <w:spacing w:val="-13"/>
                <w:w w:val="110"/>
                <w:sz w:val="22"/>
              </w:rPr>
              <w:t> </w:t>
            </w:r>
            <w:r>
              <w:rPr>
                <w:color w:val="231F1F"/>
                <w:w w:val="110"/>
                <w:sz w:val="22"/>
              </w:rPr>
              <w:t>posparto</w:t>
            </w:r>
            <w:r>
              <w:rPr>
                <w:color w:val="231F1F"/>
                <w:spacing w:val="-13"/>
                <w:w w:val="110"/>
                <w:sz w:val="22"/>
              </w:rPr>
              <w:t> </w:t>
            </w:r>
            <w:r>
              <w:rPr>
                <w:color w:val="231F1F"/>
                <w:w w:val="110"/>
                <w:sz w:val="22"/>
              </w:rPr>
              <w:t>aumenta</w:t>
            </w:r>
            <w:r>
              <w:rPr>
                <w:color w:val="231F1F"/>
                <w:spacing w:val="-13"/>
                <w:w w:val="110"/>
                <w:sz w:val="22"/>
              </w:rPr>
              <w:t> </w:t>
            </w:r>
            <w:r>
              <w:rPr>
                <w:color w:val="231F1F"/>
                <w:w w:val="110"/>
                <w:sz w:val="22"/>
              </w:rPr>
              <w:t>progresivamente con la duración de la misma (180).</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2+</w:t>
            </w:r>
          </w:p>
        </w:tc>
      </w:tr>
      <w:tr>
        <w:trPr>
          <w:trHeight w:val="964" w:hRule="atLeast"/>
        </w:trPr>
        <w:tc>
          <w:tcPr>
            <w:tcW w:w="7373" w:type="dxa"/>
          </w:tcPr>
          <w:p>
            <w:pPr>
              <w:pStyle w:val="TableParagraph"/>
              <w:spacing w:line="252" w:lineRule="auto" w:before="44"/>
              <w:ind w:right="90"/>
              <w:jc w:val="both"/>
              <w:rPr>
                <w:sz w:val="22"/>
              </w:rPr>
            </w:pPr>
            <w:r>
              <w:rPr>
                <w:color w:val="231F1F"/>
                <w:w w:val="105"/>
                <w:sz w:val="22"/>
              </w:rPr>
              <w:t>Una duración superior a los 30 minutos tras un manejo activo del alumbra- miento, se asocia con un incremento en la incidencia de hemorragias pospar- to (181).</w:t>
            </w:r>
          </w:p>
        </w:tc>
        <w:tc>
          <w:tcPr>
            <w:tcW w:w="1133" w:type="dxa"/>
          </w:tcPr>
          <w:p>
            <w:pPr>
              <w:pStyle w:val="TableParagraph"/>
              <w:spacing w:before="88"/>
              <w:ind w:left="0"/>
              <w:rPr>
                <w:rFonts w:ascii="Arial MT"/>
                <w:sz w:val="22"/>
              </w:rPr>
            </w:pPr>
          </w:p>
          <w:p>
            <w:pPr>
              <w:pStyle w:val="TableParagraph"/>
              <w:ind w:left="49"/>
              <w:jc w:val="center"/>
              <w:rPr>
                <w:sz w:val="22"/>
              </w:rPr>
            </w:pPr>
            <w:r>
              <w:rPr>
                <w:color w:val="231F1F"/>
                <w:spacing w:val="-10"/>
                <w:sz w:val="22"/>
              </w:rPr>
              <w:t>3</w:t>
            </w:r>
          </w:p>
        </w:tc>
      </w:tr>
      <w:tr>
        <w:trPr>
          <w:trHeight w:val="681" w:hRule="atLeast"/>
        </w:trPr>
        <w:tc>
          <w:tcPr>
            <w:tcW w:w="7373" w:type="dxa"/>
          </w:tcPr>
          <w:p>
            <w:pPr>
              <w:pStyle w:val="TableParagraph"/>
              <w:spacing w:line="244" w:lineRule="auto" w:before="44"/>
              <w:ind w:right="156"/>
              <w:rPr>
                <w:sz w:val="22"/>
              </w:rPr>
            </w:pPr>
            <w:r>
              <w:rPr>
                <w:color w:val="231F1F"/>
                <w:w w:val="110"/>
                <w:sz w:val="22"/>
              </w:rPr>
              <w:t>El</w:t>
            </w:r>
            <w:r>
              <w:rPr>
                <w:color w:val="231F1F"/>
                <w:spacing w:val="-9"/>
                <w:w w:val="110"/>
                <w:sz w:val="22"/>
              </w:rPr>
              <w:t> </w:t>
            </w:r>
            <w:r>
              <w:rPr>
                <w:color w:val="231F1F"/>
                <w:w w:val="110"/>
                <w:sz w:val="22"/>
              </w:rPr>
              <w:t>periodo</w:t>
            </w:r>
            <w:r>
              <w:rPr>
                <w:color w:val="231F1F"/>
                <w:spacing w:val="-8"/>
                <w:w w:val="110"/>
                <w:sz w:val="22"/>
              </w:rPr>
              <w:t> </w:t>
            </w:r>
            <w:r>
              <w:rPr>
                <w:color w:val="231F1F"/>
                <w:w w:val="110"/>
                <w:sz w:val="22"/>
              </w:rPr>
              <w:t>de</w:t>
            </w:r>
            <w:r>
              <w:rPr>
                <w:color w:val="231F1F"/>
                <w:spacing w:val="-8"/>
                <w:w w:val="110"/>
                <w:sz w:val="22"/>
              </w:rPr>
              <w:t> </w:t>
            </w:r>
            <w:r>
              <w:rPr>
                <w:color w:val="231F1F"/>
                <w:w w:val="110"/>
                <w:sz w:val="22"/>
              </w:rPr>
              <w:t>alumbramiento</w:t>
            </w:r>
            <w:r>
              <w:rPr>
                <w:color w:val="231F1F"/>
                <w:spacing w:val="-8"/>
                <w:w w:val="110"/>
                <w:sz w:val="22"/>
              </w:rPr>
              <w:t> </w:t>
            </w:r>
            <w:r>
              <w:rPr>
                <w:color w:val="231F1F"/>
                <w:w w:val="110"/>
                <w:sz w:val="22"/>
              </w:rPr>
              <w:t>espontáneo</w:t>
            </w:r>
            <w:r>
              <w:rPr>
                <w:color w:val="231F1F"/>
                <w:spacing w:val="-8"/>
                <w:w w:val="110"/>
                <w:sz w:val="22"/>
              </w:rPr>
              <w:t> </w:t>
            </w:r>
            <w:r>
              <w:rPr>
                <w:color w:val="231F1F"/>
                <w:w w:val="110"/>
                <w:sz w:val="22"/>
              </w:rPr>
              <w:t>tiene</w:t>
            </w:r>
            <w:r>
              <w:rPr>
                <w:color w:val="231F1F"/>
                <w:spacing w:val="-8"/>
                <w:w w:val="110"/>
                <w:sz w:val="22"/>
              </w:rPr>
              <w:t> </w:t>
            </w:r>
            <w:r>
              <w:rPr>
                <w:color w:val="231F1F"/>
                <w:w w:val="110"/>
                <w:sz w:val="22"/>
              </w:rPr>
              <w:t>una</w:t>
            </w:r>
            <w:r>
              <w:rPr>
                <w:color w:val="231F1F"/>
                <w:spacing w:val="-8"/>
                <w:w w:val="110"/>
                <w:sz w:val="22"/>
              </w:rPr>
              <w:t> </w:t>
            </w:r>
            <w:r>
              <w:rPr>
                <w:color w:val="231F1F"/>
                <w:w w:val="110"/>
                <w:sz w:val="22"/>
              </w:rPr>
              <w:t>duración</w:t>
            </w:r>
            <w:r>
              <w:rPr>
                <w:color w:val="231F1F"/>
                <w:spacing w:val="-8"/>
                <w:w w:val="110"/>
                <w:sz w:val="22"/>
              </w:rPr>
              <w:t> </w:t>
            </w:r>
            <w:r>
              <w:rPr>
                <w:color w:val="231F1F"/>
                <w:w w:val="110"/>
                <w:sz w:val="22"/>
              </w:rPr>
              <w:t>menor</w:t>
            </w:r>
            <w:r>
              <w:rPr>
                <w:color w:val="231F1F"/>
                <w:spacing w:val="-8"/>
                <w:w w:val="110"/>
                <w:sz w:val="22"/>
              </w:rPr>
              <w:t> </w:t>
            </w:r>
            <w:r>
              <w:rPr>
                <w:color w:val="231F1F"/>
                <w:w w:val="110"/>
                <w:sz w:val="22"/>
              </w:rPr>
              <w:t>de</w:t>
            </w:r>
            <w:r>
              <w:rPr>
                <w:color w:val="231F1F"/>
                <w:spacing w:val="-8"/>
                <w:w w:val="110"/>
                <w:sz w:val="22"/>
              </w:rPr>
              <w:t> </w:t>
            </w:r>
            <w:r>
              <w:rPr>
                <w:color w:val="231F1F"/>
                <w:w w:val="110"/>
                <w:sz w:val="22"/>
              </w:rPr>
              <w:t>60 minutos en el 95% de las mujeres (182).</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59" w:hRule="atLeast"/>
        </w:trPr>
        <w:tc>
          <w:tcPr>
            <w:tcW w:w="456" w:type="dxa"/>
          </w:tcPr>
          <w:p>
            <w:pPr>
              <w:pStyle w:val="TableParagraph"/>
              <w:spacing w:before="64"/>
              <w:ind w:left="0"/>
              <w:rPr>
                <w:rFonts w:ascii="Arial MT"/>
                <w:sz w:val="22"/>
              </w:rPr>
            </w:pPr>
          </w:p>
          <w:p>
            <w:pPr>
              <w:pStyle w:val="TableParagraph"/>
              <w:rPr>
                <w:sz w:val="22"/>
              </w:rPr>
            </w:pPr>
            <w:r>
              <w:rPr>
                <w:color w:val="231F1F"/>
                <w:spacing w:val="-10"/>
                <w:w w:val="115"/>
                <w:sz w:val="22"/>
              </w:rPr>
              <w:t>D</w:t>
            </w:r>
          </w:p>
        </w:tc>
        <w:tc>
          <w:tcPr>
            <w:tcW w:w="8050" w:type="dxa"/>
          </w:tcPr>
          <w:p>
            <w:pPr>
              <w:pStyle w:val="TableParagraph"/>
              <w:spacing w:line="244" w:lineRule="auto" w:before="44"/>
              <w:ind w:right="86"/>
              <w:jc w:val="both"/>
              <w:rPr>
                <w:sz w:val="22"/>
              </w:rPr>
            </w:pPr>
            <w:r>
              <w:rPr>
                <w:color w:val="231F1F"/>
                <w:w w:val="110"/>
                <w:sz w:val="22"/>
              </w:rPr>
              <w:t>La</w:t>
            </w:r>
            <w:r>
              <w:rPr>
                <w:color w:val="231F1F"/>
                <w:spacing w:val="-10"/>
                <w:w w:val="110"/>
                <w:sz w:val="22"/>
              </w:rPr>
              <w:t> </w:t>
            </w:r>
            <w:r>
              <w:rPr>
                <w:color w:val="231F1F"/>
                <w:w w:val="110"/>
                <w:sz w:val="22"/>
              </w:rPr>
              <w:t>duración</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la</w:t>
            </w:r>
            <w:r>
              <w:rPr>
                <w:color w:val="231F1F"/>
                <w:spacing w:val="-10"/>
                <w:w w:val="110"/>
                <w:sz w:val="22"/>
              </w:rPr>
              <w:t> </w:t>
            </w:r>
            <w:r>
              <w:rPr>
                <w:color w:val="231F1F"/>
                <w:w w:val="110"/>
                <w:sz w:val="22"/>
              </w:rPr>
              <w:t>tercera</w:t>
            </w:r>
            <w:r>
              <w:rPr>
                <w:color w:val="231F1F"/>
                <w:spacing w:val="-10"/>
                <w:w w:val="110"/>
                <w:sz w:val="22"/>
              </w:rPr>
              <w:t> </w:t>
            </w:r>
            <w:r>
              <w:rPr>
                <w:color w:val="231F1F"/>
                <w:w w:val="110"/>
                <w:sz w:val="22"/>
              </w:rPr>
              <w:t>etapa</w:t>
            </w:r>
            <w:r>
              <w:rPr>
                <w:color w:val="231F1F"/>
                <w:spacing w:val="-10"/>
                <w:w w:val="110"/>
                <w:sz w:val="22"/>
              </w:rPr>
              <w:t> </w:t>
            </w:r>
            <w:r>
              <w:rPr>
                <w:color w:val="231F1F"/>
                <w:w w:val="110"/>
                <w:sz w:val="22"/>
              </w:rPr>
              <w:t>del</w:t>
            </w:r>
            <w:r>
              <w:rPr>
                <w:color w:val="231F1F"/>
                <w:spacing w:val="-11"/>
                <w:w w:val="110"/>
                <w:sz w:val="22"/>
              </w:rPr>
              <w:t> </w:t>
            </w:r>
            <w:r>
              <w:rPr>
                <w:color w:val="231F1F"/>
                <w:w w:val="110"/>
                <w:sz w:val="22"/>
              </w:rPr>
              <w:t>parto</w:t>
            </w:r>
            <w:r>
              <w:rPr>
                <w:color w:val="231F1F"/>
                <w:spacing w:val="-10"/>
                <w:w w:val="110"/>
                <w:sz w:val="22"/>
              </w:rPr>
              <w:t> </w:t>
            </w:r>
            <w:r>
              <w:rPr>
                <w:color w:val="231F1F"/>
                <w:w w:val="110"/>
                <w:sz w:val="22"/>
              </w:rPr>
              <w:t>se</w:t>
            </w:r>
            <w:r>
              <w:rPr>
                <w:color w:val="231F1F"/>
                <w:spacing w:val="-10"/>
                <w:w w:val="110"/>
                <w:sz w:val="22"/>
              </w:rPr>
              <w:t> </w:t>
            </w:r>
            <w:r>
              <w:rPr>
                <w:color w:val="231F1F"/>
                <w:w w:val="110"/>
                <w:sz w:val="22"/>
              </w:rPr>
              <w:t>considera</w:t>
            </w:r>
            <w:r>
              <w:rPr>
                <w:color w:val="231F1F"/>
                <w:spacing w:val="-9"/>
                <w:w w:val="110"/>
                <w:sz w:val="22"/>
              </w:rPr>
              <w:t> </w:t>
            </w:r>
            <w:r>
              <w:rPr>
                <w:color w:val="231F1F"/>
                <w:w w:val="110"/>
                <w:sz w:val="22"/>
              </w:rPr>
              <w:t>prolongada</w:t>
            </w:r>
            <w:r>
              <w:rPr>
                <w:color w:val="231F1F"/>
                <w:spacing w:val="-11"/>
                <w:w w:val="110"/>
                <w:sz w:val="22"/>
              </w:rPr>
              <w:t> </w:t>
            </w:r>
            <w:r>
              <w:rPr>
                <w:color w:val="231F1F"/>
                <w:w w:val="110"/>
                <w:sz w:val="22"/>
              </w:rPr>
              <w:t>si</w:t>
            </w:r>
            <w:r>
              <w:rPr>
                <w:color w:val="231F1F"/>
                <w:spacing w:val="-11"/>
                <w:w w:val="110"/>
                <w:sz w:val="22"/>
              </w:rPr>
              <w:t> </w:t>
            </w:r>
            <w:r>
              <w:rPr>
                <w:color w:val="231F1F"/>
                <w:w w:val="110"/>
                <w:sz w:val="22"/>
              </w:rPr>
              <w:t>no</w:t>
            </w:r>
            <w:r>
              <w:rPr>
                <w:color w:val="231F1F"/>
                <w:spacing w:val="-10"/>
                <w:w w:val="110"/>
                <w:sz w:val="22"/>
              </w:rPr>
              <w:t> </w:t>
            </w:r>
            <w:r>
              <w:rPr>
                <w:color w:val="231F1F"/>
                <w:w w:val="110"/>
                <w:sz w:val="22"/>
              </w:rPr>
              <w:t>se</w:t>
            </w:r>
            <w:r>
              <w:rPr>
                <w:color w:val="231F1F"/>
                <w:spacing w:val="-10"/>
                <w:w w:val="110"/>
                <w:sz w:val="22"/>
              </w:rPr>
              <w:t> </w:t>
            </w:r>
            <w:r>
              <w:rPr>
                <w:color w:val="231F1F"/>
                <w:w w:val="110"/>
                <w:sz w:val="22"/>
              </w:rPr>
              <w:t>comple- ta</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los</w:t>
            </w:r>
            <w:r>
              <w:rPr>
                <w:color w:val="231F1F"/>
                <w:spacing w:val="-12"/>
                <w:w w:val="110"/>
                <w:sz w:val="22"/>
              </w:rPr>
              <w:t> </w:t>
            </w:r>
            <w:r>
              <w:rPr>
                <w:color w:val="231F1F"/>
                <w:w w:val="110"/>
                <w:sz w:val="22"/>
              </w:rPr>
              <w:t>30</w:t>
            </w:r>
            <w:r>
              <w:rPr>
                <w:color w:val="231F1F"/>
                <w:spacing w:val="-11"/>
                <w:w w:val="110"/>
                <w:sz w:val="22"/>
              </w:rPr>
              <w:t> </w:t>
            </w:r>
            <w:r>
              <w:rPr>
                <w:color w:val="231F1F"/>
                <w:w w:val="110"/>
                <w:sz w:val="22"/>
              </w:rPr>
              <w:t>minutos</w:t>
            </w:r>
            <w:r>
              <w:rPr>
                <w:color w:val="231F1F"/>
                <w:spacing w:val="-12"/>
                <w:w w:val="110"/>
                <w:sz w:val="22"/>
              </w:rPr>
              <w:t> </w:t>
            </w:r>
            <w:r>
              <w:rPr>
                <w:color w:val="231F1F"/>
                <w:w w:val="110"/>
                <w:sz w:val="22"/>
              </w:rPr>
              <w:t>posteriores</w:t>
            </w:r>
            <w:r>
              <w:rPr>
                <w:color w:val="231F1F"/>
                <w:spacing w:val="-12"/>
                <w:w w:val="110"/>
                <w:sz w:val="22"/>
              </w:rPr>
              <w:t> </w:t>
            </w:r>
            <w:r>
              <w:rPr>
                <w:color w:val="231F1F"/>
                <w:w w:val="110"/>
                <w:sz w:val="22"/>
              </w:rPr>
              <w:t>al</w:t>
            </w:r>
            <w:r>
              <w:rPr>
                <w:color w:val="231F1F"/>
                <w:spacing w:val="-12"/>
                <w:w w:val="110"/>
                <w:sz w:val="22"/>
              </w:rPr>
              <w:t> </w:t>
            </w:r>
            <w:r>
              <w:rPr>
                <w:color w:val="231F1F"/>
                <w:w w:val="110"/>
                <w:sz w:val="22"/>
              </w:rPr>
              <w:t>nacimiento</w:t>
            </w:r>
            <w:r>
              <w:rPr>
                <w:color w:val="231F1F"/>
                <w:spacing w:val="-11"/>
                <w:w w:val="110"/>
                <w:sz w:val="22"/>
              </w:rPr>
              <w:t> </w:t>
            </w:r>
            <w:r>
              <w:rPr>
                <w:color w:val="231F1F"/>
                <w:w w:val="110"/>
                <w:sz w:val="22"/>
              </w:rPr>
              <w:t>del</w:t>
            </w:r>
            <w:r>
              <w:rPr>
                <w:color w:val="231F1F"/>
                <w:spacing w:val="-12"/>
                <w:w w:val="110"/>
                <w:sz w:val="22"/>
              </w:rPr>
              <w:t> </w:t>
            </w:r>
            <w:r>
              <w:rPr>
                <w:color w:val="231F1F"/>
                <w:w w:val="110"/>
                <w:sz w:val="22"/>
              </w:rPr>
              <w:t>neonato</w:t>
            </w:r>
            <w:r>
              <w:rPr>
                <w:color w:val="231F1F"/>
                <w:spacing w:val="-12"/>
                <w:w w:val="110"/>
                <w:sz w:val="22"/>
              </w:rPr>
              <w:t> </w:t>
            </w:r>
            <w:r>
              <w:rPr>
                <w:color w:val="231F1F"/>
                <w:w w:val="110"/>
                <w:sz w:val="22"/>
              </w:rPr>
              <w:t>con</w:t>
            </w:r>
            <w:r>
              <w:rPr>
                <w:color w:val="231F1F"/>
                <w:spacing w:val="-11"/>
                <w:w w:val="110"/>
                <w:sz w:val="22"/>
              </w:rPr>
              <w:t> </w:t>
            </w:r>
            <w:r>
              <w:rPr>
                <w:color w:val="231F1F"/>
                <w:w w:val="110"/>
                <w:sz w:val="22"/>
              </w:rPr>
              <w:t>manejo</w:t>
            </w:r>
            <w:r>
              <w:rPr>
                <w:color w:val="231F1F"/>
                <w:spacing w:val="-11"/>
                <w:w w:val="110"/>
                <w:sz w:val="22"/>
              </w:rPr>
              <w:t> </w:t>
            </w:r>
            <w:r>
              <w:rPr>
                <w:color w:val="231F1F"/>
                <w:w w:val="110"/>
                <w:sz w:val="22"/>
              </w:rPr>
              <w:t>activo</w:t>
            </w:r>
            <w:r>
              <w:rPr>
                <w:color w:val="231F1F"/>
                <w:spacing w:val="-11"/>
                <w:w w:val="110"/>
                <w:sz w:val="22"/>
              </w:rPr>
              <w:t> </w:t>
            </w:r>
            <w:r>
              <w:rPr>
                <w:color w:val="231F1F"/>
                <w:w w:val="110"/>
                <w:sz w:val="22"/>
              </w:rPr>
              <w:t>y</w:t>
            </w:r>
            <w:r>
              <w:rPr>
                <w:color w:val="231F1F"/>
                <w:spacing w:val="-11"/>
                <w:w w:val="110"/>
                <w:sz w:val="22"/>
              </w:rPr>
              <w:t> </w:t>
            </w:r>
            <w:r>
              <w:rPr>
                <w:color w:val="231F1F"/>
                <w:w w:val="110"/>
                <w:sz w:val="22"/>
              </w:rPr>
              <w:t>60 minutos con el alumbramiento espontáneo.</w:t>
            </w:r>
          </w:p>
        </w:tc>
      </w:tr>
    </w:tbl>
    <w:p>
      <w:pPr>
        <w:pStyle w:val="TableParagraph"/>
        <w:spacing w:after="0" w:line="244" w:lineRule="auto"/>
        <w:jc w:val="both"/>
        <w:rPr>
          <w:sz w:val="22"/>
        </w:rPr>
        <w:sectPr>
          <w:pgSz w:w="11900" w:h="16840"/>
          <w:pgMar w:header="0" w:footer="622" w:top="1560" w:bottom="820" w:left="1417" w:right="1559"/>
        </w:sectPr>
      </w:pPr>
    </w:p>
    <w:p>
      <w:pPr>
        <w:pStyle w:val="Heading3"/>
        <w:numPr>
          <w:ilvl w:val="2"/>
          <w:numId w:val="2"/>
        </w:numPr>
        <w:tabs>
          <w:tab w:pos="924" w:val="left" w:leader="none"/>
        </w:tabs>
        <w:spacing w:line="240" w:lineRule="auto" w:before="72" w:after="0"/>
        <w:ind w:left="924" w:right="0" w:hanging="641"/>
        <w:jc w:val="left"/>
      </w:pPr>
      <w:bookmarkStart w:name="_TOC_250030" w:id="26"/>
      <w:r>
        <w:rPr>
          <w:color w:val="231F1F"/>
        </w:rPr>
        <w:t>Manejo</w:t>
      </w:r>
      <w:r>
        <w:rPr>
          <w:color w:val="231F1F"/>
          <w:spacing w:val="52"/>
        </w:rPr>
        <w:t> </w:t>
      </w:r>
      <w:r>
        <w:rPr>
          <w:color w:val="231F1F"/>
        </w:rPr>
        <w:t>del</w:t>
      </w:r>
      <w:r>
        <w:rPr>
          <w:color w:val="231F1F"/>
          <w:spacing w:val="55"/>
        </w:rPr>
        <w:t> </w:t>
      </w:r>
      <w:bookmarkEnd w:id="26"/>
      <w:r>
        <w:rPr>
          <w:color w:val="231F1F"/>
          <w:spacing w:val="-2"/>
        </w:rPr>
        <w:t>alumbramiento</w:t>
      </w:r>
    </w:p>
    <w:p>
      <w:pPr>
        <w:pStyle w:val="BodyText"/>
        <w:spacing w:before="1"/>
        <w:rPr>
          <w:sz w:val="20"/>
        </w:rPr>
      </w:pPr>
      <w:r>
        <w:rPr>
          <w:sz w:val="20"/>
        </w:rPr>
        <mc:AlternateContent>
          <mc:Choice Requires="wps">
            <w:drawing>
              <wp:anchor distT="0" distB="0" distL="0" distR="0" allowOverlap="1" layoutInCell="1" locked="0" behindDoc="1" simplePos="0" relativeHeight="487612928">
                <wp:simplePos x="0" y="0"/>
                <wp:positionH relativeFrom="page">
                  <wp:posOffset>1082675</wp:posOffset>
                </wp:positionH>
                <wp:positionV relativeFrom="paragraph">
                  <wp:posOffset>165122</wp:posOffset>
                </wp:positionV>
                <wp:extent cx="5400040" cy="262255"/>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5400040" cy="262255"/>
                        </a:xfrm>
                        <a:prstGeom prst="rect">
                          <a:avLst/>
                        </a:prstGeom>
                        <a:ln w="6350">
                          <a:solidFill>
                            <a:srgbClr val="A30046"/>
                          </a:solidFill>
                          <a:prstDash val="solid"/>
                        </a:ln>
                      </wps:spPr>
                      <wps:txbx>
                        <w:txbxContent>
                          <w:p>
                            <w:pPr>
                              <w:pStyle w:val="BodyText"/>
                              <w:numPr>
                                <w:ilvl w:val="0"/>
                                <w:numId w:val="49"/>
                              </w:numPr>
                              <w:tabs>
                                <w:tab w:pos="322" w:val="left" w:leader="none"/>
                              </w:tabs>
                              <w:spacing w:line="240" w:lineRule="auto" w:before="42" w:after="0"/>
                              <w:ind w:left="322" w:right="0" w:hanging="218"/>
                              <w:jc w:val="left"/>
                            </w:pPr>
                            <w:r>
                              <w:rPr>
                                <w:color w:val="231F1F"/>
                                <w:spacing w:val="2"/>
                              </w:rPr>
                              <w:t>¿El</w:t>
                            </w:r>
                            <w:r>
                              <w:rPr>
                                <w:color w:val="231F1F"/>
                                <w:spacing w:val="28"/>
                              </w:rPr>
                              <w:t> </w:t>
                            </w:r>
                            <w:r>
                              <w:rPr>
                                <w:color w:val="231F1F"/>
                                <w:spacing w:val="2"/>
                              </w:rPr>
                              <w:t>método</w:t>
                            </w:r>
                            <w:r>
                              <w:rPr>
                                <w:color w:val="231F1F"/>
                                <w:spacing w:val="32"/>
                              </w:rPr>
                              <w:t> </w:t>
                            </w:r>
                            <w:r>
                              <w:rPr>
                                <w:color w:val="231F1F"/>
                                <w:spacing w:val="2"/>
                              </w:rPr>
                              <w:t>de</w:t>
                            </w:r>
                            <w:r>
                              <w:rPr>
                                <w:color w:val="231F1F"/>
                                <w:spacing w:val="32"/>
                              </w:rPr>
                              <w:t> </w:t>
                            </w:r>
                            <w:r>
                              <w:rPr>
                                <w:color w:val="231F1F"/>
                                <w:spacing w:val="2"/>
                              </w:rPr>
                              <w:t>manejo</w:t>
                            </w:r>
                            <w:r>
                              <w:rPr>
                                <w:color w:val="231F1F"/>
                                <w:spacing w:val="32"/>
                              </w:rPr>
                              <w:t> </w:t>
                            </w:r>
                            <w:r>
                              <w:rPr>
                                <w:color w:val="231F1F"/>
                                <w:spacing w:val="2"/>
                              </w:rPr>
                              <w:t>del</w:t>
                            </w:r>
                            <w:r>
                              <w:rPr>
                                <w:color w:val="231F1F"/>
                                <w:spacing w:val="29"/>
                              </w:rPr>
                              <w:t> </w:t>
                            </w:r>
                            <w:r>
                              <w:rPr>
                                <w:color w:val="231F1F"/>
                                <w:spacing w:val="2"/>
                              </w:rPr>
                              <w:t>alumbramiento</w:t>
                            </w:r>
                            <w:r>
                              <w:rPr>
                                <w:color w:val="231F1F"/>
                                <w:spacing w:val="32"/>
                              </w:rPr>
                              <w:t> </w:t>
                            </w:r>
                            <w:r>
                              <w:rPr>
                                <w:color w:val="231F1F"/>
                                <w:spacing w:val="2"/>
                              </w:rPr>
                              <w:t>influye</w:t>
                            </w:r>
                            <w:r>
                              <w:rPr>
                                <w:color w:val="231F1F"/>
                                <w:spacing w:val="32"/>
                              </w:rPr>
                              <w:t> </w:t>
                            </w:r>
                            <w:r>
                              <w:rPr>
                                <w:color w:val="231F1F"/>
                                <w:spacing w:val="2"/>
                              </w:rPr>
                              <w:t>sobre</w:t>
                            </w:r>
                            <w:r>
                              <w:rPr>
                                <w:color w:val="231F1F"/>
                                <w:spacing w:val="32"/>
                              </w:rPr>
                              <w:t> </w:t>
                            </w:r>
                            <w:r>
                              <w:rPr>
                                <w:color w:val="231F1F"/>
                                <w:spacing w:val="2"/>
                              </w:rPr>
                              <w:t>los</w:t>
                            </w:r>
                            <w:r>
                              <w:rPr>
                                <w:color w:val="231F1F"/>
                                <w:spacing w:val="30"/>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3.001758pt;width:425.2pt;height:20.65pt;mso-position-horizontal-relative:page;mso-position-vertical-relative:paragraph;z-index:-15703552;mso-wrap-distance-left:0;mso-wrap-distance-right:0" type="#_x0000_t202" id="docshape92" filled="false" stroked="true" strokeweight=".5pt" strokecolor="#a30046">
                <v:textbox inset="0,0,0,0">
                  <w:txbxContent>
                    <w:p>
                      <w:pPr>
                        <w:pStyle w:val="BodyText"/>
                        <w:numPr>
                          <w:ilvl w:val="0"/>
                          <w:numId w:val="49"/>
                        </w:numPr>
                        <w:tabs>
                          <w:tab w:pos="322" w:val="left" w:leader="none"/>
                        </w:tabs>
                        <w:spacing w:line="240" w:lineRule="auto" w:before="42" w:after="0"/>
                        <w:ind w:left="322" w:right="0" w:hanging="218"/>
                        <w:jc w:val="left"/>
                      </w:pPr>
                      <w:r>
                        <w:rPr>
                          <w:color w:val="231F1F"/>
                          <w:spacing w:val="2"/>
                        </w:rPr>
                        <w:t>¿El</w:t>
                      </w:r>
                      <w:r>
                        <w:rPr>
                          <w:color w:val="231F1F"/>
                          <w:spacing w:val="28"/>
                        </w:rPr>
                        <w:t> </w:t>
                      </w:r>
                      <w:r>
                        <w:rPr>
                          <w:color w:val="231F1F"/>
                          <w:spacing w:val="2"/>
                        </w:rPr>
                        <w:t>método</w:t>
                      </w:r>
                      <w:r>
                        <w:rPr>
                          <w:color w:val="231F1F"/>
                          <w:spacing w:val="32"/>
                        </w:rPr>
                        <w:t> </w:t>
                      </w:r>
                      <w:r>
                        <w:rPr>
                          <w:color w:val="231F1F"/>
                          <w:spacing w:val="2"/>
                        </w:rPr>
                        <w:t>de</w:t>
                      </w:r>
                      <w:r>
                        <w:rPr>
                          <w:color w:val="231F1F"/>
                          <w:spacing w:val="32"/>
                        </w:rPr>
                        <w:t> </w:t>
                      </w:r>
                      <w:r>
                        <w:rPr>
                          <w:color w:val="231F1F"/>
                          <w:spacing w:val="2"/>
                        </w:rPr>
                        <w:t>manejo</w:t>
                      </w:r>
                      <w:r>
                        <w:rPr>
                          <w:color w:val="231F1F"/>
                          <w:spacing w:val="32"/>
                        </w:rPr>
                        <w:t> </w:t>
                      </w:r>
                      <w:r>
                        <w:rPr>
                          <w:color w:val="231F1F"/>
                          <w:spacing w:val="2"/>
                        </w:rPr>
                        <w:t>del</w:t>
                      </w:r>
                      <w:r>
                        <w:rPr>
                          <w:color w:val="231F1F"/>
                          <w:spacing w:val="29"/>
                        </w:rPr>
                        <w:t> </w:t>
                      </w:r>
                      <w:r>
                        <w:rPr>
                          <w:color w:val="231F1F"/>
                          <w:spacing w:val="2"/>
                        </w:rPr>
                        <w:t>alumbramiento</w:t>
                      </w:r>
                      <w:r>
                        <w:rPr>
                          <w:color w:val="231F1F"/>
                          <w:spacing w:val="32"/>
                        </w:rPr>
                        <w:t> </w:t>
                      </w:r>
                      <w:r>
                        <w:rPr>
                          <w:color w:val="231F1F"/>
                          <w:spacing w:val="2"/>
                        </w:rPr>
                        <w:t>influye</w:t>
                      </w:r>
                      <w:r>
                        <w:rPr>
                          <w:color w:val="231F1F"/>
                          <w:spacing w:val="32"/>
                        </w:rPr>
                        <w:t> </w:t>
                      </w:r>
                      <w:r>
                        <w:rPr>
                          <w:color w:val="231F1F"/>
                          <w:spacing w:val="2"/>
                        </w:rPr>
                        <w:t>sobre</w:t>
                      </w:r>
                      <w:r>
                        <w:rPr>
                          <w:color w:val="231F1F"/>
                          <w:spacing w:val="32"/>
                        </w:rPr>
                        <w:t> </w:t>
                      </w:r>
                      <w:r>
                        <w:rPr>
                          <w:color w:val="231F1F"/>
                          <w:spacing w:val="2"/>
                        </w:rPr>
                        <w:t>los</w:t>
                      </w:r>
                      <w:r>
                        <w:rPr>
                          <w:color w:val="231F1F"/>
                          <w:spacing w:val="30"/>
                        </w:rPr>
                        <w:t> </w:t>
                      </w:r>
                      <w:r>
                        <w:rPr>
                          <w:color w:val="231F1F"/>
                          <w:spacing w:val="-2"/>
                        </w:rPr>
                        <w:t>resultados?</w:t>
                      </w:r>
                    </w:p>
                  </w:txbxContent>
                </v:textbox>
                <v:stroke dashstyle="solid"/>
                <w10:wrap type="topAndBottom"/>
              </v:shape>
            </w:pict>
          </mc:Fallback>
        </mc:AlternateContent>
      </w:r>
    </w:p>
    <w:p>
      <w:pPr>
        <w:pStyle w:val="BodyText"/>
        <w:spacing w:line="244" w:lineRule="auto" w:before="320"/>
        <w:ind w:left="283" w:right="126"/>
        <w:jc w:val="both"/>
      </w:pPr>
      <w:r>
        <w:rPr>
          <w:color w:val="231F1F"/>
          <w:w w:val="110"/>
        </w:rPr>
        <w:t>Existen</w:t>
      </w:r>
      <w:r>
        <w:rPr>
          <w:color w:val="231F1F"/>
          <w:spacing w:val="-3"/>
          <w:w w:val="110"/>
        </w:rPr>
        <w:t> </w:t>
      </w:r>
      <w:r>
        <w:rPr>
          <w:color w:val="231F1F"/>
          <w:w w:val="110"/>
        </w:rPr>
        <w:t>dos</w:t>
      </w:r>
      <w:r>
        <w:rPr>
          <w:color w:val="231F1F"/>
          <w:spacing w:val="-4"/>
          <w:w w:val="110"/>
        </w:rPr>
        <w:t> </w:t>
      </w:r>
      <w:r>
        <w:rPr>
          <w:color w:val="231F1F"/>
          <w:w w:val="110"/>
        </w:rPr>
        <w:t>enfoques</w:t>
      </w:r>
      <w:r>
        <w:rPr>
          <w:color w:val="231F1F"/>
          <w:spacing w:val="-3"/>
          <w:w w:val="110"/>
        </w:rPr>
        <w:t> </w:t>
      </w:r>
      <w:r>
        <w:rPr>
          <w:color w:val="231F1F"/>
          <w:w w:val="110"/>
        </w:rPr>
        <w:t>contradictorios</w:t>
      </w:r>
      <w:r>
        <w:rPr>
          <w:color w:val="231F1F"/>
          <w:spacing w:val="-4"/>
          <w:w w:val="110"/>
        </w:rPr>
        <w:t> </w:t>
      </w:r>
      <w:r>
        <w:rPr>
          <w:color w:val="231F1F"/>
          <w:w w:val="110"/>
        </w:rPr>
        <w:t>para</w:t>
      </w:r>
      <w:r>
        <w:rPr>
          <w:color w:val="231F1F"/>
          <w:spacing w:val="-4"/>
          <w:w w:val="110"/>
        </w:rPr>
        <w:t> </w:t>
      </w:r>
      <w:r>
        <w:rPr>
          <w:color w:val="231F1F"/>
          <w:w w:val="110"/>
        </w:rPr>
        <w:t>el</w:t>
      </w:r>
      <w:r>
        <w:rPr>
          <w:color w:val="231F1F"/>
          <w:spacing w:val="-4"/>
          <w:w w:val="110"/>
        </w:rPr>
        <w:t> </w:t>
      </w:r>
      <w:r>
        <w:rPr>
          <w:color w:val="231F1F"/>
          <w:w w:val="110"/>
        </w:rPr>
        <w:t>manejo</w:t>
      </w:r>
      <w:r>
        <w:rPr>
          <w:color w:val="231F1F"/>
          <w:spacing w:val="-3"/>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tercera</w:t>
      </w:r>
      <w:r>
        <w:rPr>
          <w:color w:val="231F1F"/>
          <w:spacing w:val="-4"/>
          <w:w w:val="110"/>
        </w:rPr>
        <w:t> </w:t>
      </w:r>
      <w:r>
        <w:rPr>
          <w:color w:val="231F1F"/>
          <w:w w:val="110"/>
        </w:rPr>
        <w:t>etapa</w:t>
      </w:r>
      <w:r>
        <w:rPr>
          <w:color w:val="231F1F"/>
          <w:spacing w:val="-4"/>
          <w:w w:val="110"/>
        </w:rPr>
        <w:t> </w:t>
      </w:r>
      <w:r>
        <w:rPr>
          <w:color w:val="231F1F"/>
          <w:w w:val="110"/>
        </w:rPr>
        <w:t>del</w:t>
      </w:r>
      <w:r>
        <w:rPr>
          <w:color w:val="231F1F"/>
          <w:spacing w:val="-4"/>
          <w:w w:val="110"/>
        </w:rPr>
        <w:t> </w:t>
      </w:r>
      <w:r>
        <w:rPr>
          <w:color w:val="231F1F"/>
          <w:w w:val="110"/>
        </w:rPr>
        <w:t>parto:</w:t>
      </w:r>
      <w:r>
        <w:rPr>
          <w:color w:val="231F1F"/>
          <w:spacing w:val="-4"/>
          <w:w w:val="110"/>
        </w:rPr>
        <w:t> </w:t>
      </w:r>
      <w:r>
        <w:rPr>
          <w:color w:val="231F1F"/>
          <w:w w:val="110"/>
        </w:rPr>
        <w:t>el</w:t>
      </w:r>
      <w:r>
        <w:rPr>
          <w:color w:val="231F1F"/>
          <w:spacing w:val="-4"/>
          <w:w w:val="110"/>
        </w:rPr>
        <w:t> </w:t>
      </w:r>
      <w:r>
        <w:rPr>
          <w:color w:val="231F1F"/>
          <w:w w:val="110"/>
        </w:rPr>
        <w:t>ma- nejo activo y el manejo fisiológico o expectante.</w:t>
      </w:r>
    </w:p>
    <w:p>
      <w:pPr>
        <w:pStyle w:val="BodyText"/>
        <w:spacing w:line="244" w:lineRule="auto" w:before="146"/>
        <w:ind w:left="283" w:right="120" w:firstLine="453"/>
        <w:jc w:val="both"/>
      </w:pPr>
      <w:r>
        <w:rPr>
          <w:color w:val="231F1F"/>
          <w:w w:val="110"/>
        </w:rPr>
        <w:t>El</w:t>
      </w:r>
      <w:r>
        <w:rPr>
          <w:color w:val="231F1F"/>
          <w:spacing w:val="-5"/>
          <w:w w:val="110"/>
        </w:rPr>
        <w:t> </w:t>
      </w:r>
      <w:r>
        <w:rPr>
          <w:color w:val="231F1F"/>
          <w:w w:val="110"/>
        </w:rPr>
        <w:t>manejo</w:t>
      </w:r>
      <w:r>
        <w:rPr>
          <w:color w:val="231F1F"/>
          <w:spacing w:val="-4"/>
          <w:w w:val="110"/>
        </w:rPr>
        <w:t> </w:t>
      </w:r>
      <w:r>
        <w:rPr>
          <w:color w:val="231F1F"/>
          <w:w w:val="110"/>
        </w:rPr>
        <w:t>expectante</w:t>
      </w:r>
      <w:r>
        <w:rPr>
          <w:color w:val="231F1F"/>
          <w:spacing w:val="-5"/>
          <w:w w:val="110"/>
        </w:rPr>
        <w:t> </w:t>
      </w:r>
      <w:r>
        <w:rPr>
          <w:color w:val="231F1F"/>
          <w:w w:val="110"/>
        </w:rPr>
        <w:t>es</w:t>
      </w:r>
      <w:r>
        <w:rPr>
          <w:color w:val="231F1F"/>
          <w:spacing w:val="-5"/>
          <w:w w:val="110"/>
        </w:rPr>
        <w:t> </w:t>
      </w:r>
      <w:r>
        <w:rPr>
          <w:color w:val="231F1F"/>
          <w:w w:val="110"/>
        </w:rPr>
        <w:t>un</w:t>
      </w:r>
      <w:r>
        <w:rPr>
          <w:color w:val="231F1F"/>
          <w:spacing w:val="-5"/>
          <w:w w:val="110"/>
        </w:rPr>
        <w:t> </w:t>
      </w:r>
      <w:r>
        <w:rPr>
          <w:color w:val="231F1F"/>
          <w:w w:val="110"/>
        </w:rPr>
        <w:t>enfoque</w:t>
      </w:r>
      <w:r>
        <w:rPr>
          <w:color w:val="231F1F"/>
          <w:spacing w:val="-4"/>
          <w:w w:val="110"/>
        </w:rPr>
        <w:t> </w:t>
      </w:r>
      <w:r>
        <w:rPr>
          <w:color w:val="231F1F"/>
          <w:w w:val="110"/>
        </w:rPr>
        <w:t>no</w:t>
      </w:r>
      <w:r>
        <w:rPr>
          <w:color w:val="231F1F"/>
          <w:spacing w:val="-5"/>
          <w:w w:val="110"/>
        </w:rPr>
        <w:t> </w:t>
      </w:r>
      <w:r>
        <w:rPr>
          <w:color w:val="231F1F"/>
          <w:w w:val="110"/>
        </w:rPr>
        <w:t>intervencionista,</w:t>
      </w:r>
      <w:r>
        <w:rPr>
          <w:color w:val="231F1F"/>
          <w:spacing w:val="-5"/>
          <w:w w:val="110"/>
        </w:rPr>
        <w:t> </w:t>
      </w:r>
      <w:r>
        <w:rPr>
          <w:color w:val="231F1F"/>
          <w:w w:val="110"/>
        </w:rPr>
        <w:t>todavía</w:t>
      </w:r>
      <w:r>
        <w:rPr>
          <w:color w:val="231F1F"/>
          <w:spacing w:val="-5"/>
          <w:w w:val="110"/>
        </w:rPr>
        <w:t> </w:t>
      </w:r>
      <w:r>
        <w:rPr>
          <w:color w:val="231F1F"/>
          <w:w w:val="110"/>
        </w:rPr>
        <w:t>ampliamente</w:t>
      </w:r>
      <w:r>
        <w:rPr>
          <w:color w:val="231F1F"/>
          <w:spacing w:val="-5"/>
          <w:w w:val="110"/>
        </w:rPr>
        <w:t> </w:t>
      </w:r>
      <w:r>
        <w:rPr>
          <w:color w:val="231F1F"/>
          <w:w w:val="110"/>
        </w:rPr>
        <w:t>utili- zado</w:t>
      </w:r>
      <w:r>
        <w:rPr>
          <w:color w:val="231F1F"/>
          <w:spacing w:val="-16"/>
          <w:w w:val="110"/>
        </w:rPr>
        <w:t> </w:t>
      </w:r>
      <w:r>
        <w:rPr>
          <w:color w:val="231F1F"/>
          <w:w w:val="110"/>
        </w:rPr>
        <w:t>(183;184).</w:t>
      </w:r>
      <w:r>
        <w:rPr>
          <w:color w:val="231F1F"/>
          <w:spacing w:val="-15"/>
          <w:w w:val="110"/>
        </w:rPr>
        <w:t> </w:t>
      </w:r>
      <w:r>
        <w:rPr>
          <w:color w:val="231F1F"/>
          <w:w w:val="110"/>
        </w:rPr>
        <w:t>Los</w:t>
      </w:r>
      <w:r>
        <w:rPr>
          <w:color w:val="231F1F"/>
          <w:spacing w:val="-15"/>
          <w:w w:val="110"/>
        </w:rPr>
        <w:t> </w:t>
      </w:r>
      <w:r>
        <w:rPr>
          <w:color w:val="231F1F"/>
          <w:w w:val="110"/>
        </w:rPr>
        <w:t>factores</w:t>
      </w:r>
      <w:r>
        <w:rPr>
          <w:color w:val="231F1F"/>
          <w:spacing w:val="-15"/>
          <w:w w:val="110"/>
        </w:rPr>
        <w:t> </w:t>
      </w:r>
      <w:r>
        <w:rPr>
          <w:color w:val="231F1F"/>
          <w:w w:val="110"/>
        </w:rPr>
        <w:t>que</w:t>
      </w:r>
      <w:r>
        <w:rPr>
          <w:color w:val="231F1F"/>
          <w:spacing w:val="-15"/>
          <w:w w:val="110"/>
        </w:rPr>
        <w:t> </w:t>
      </w:r>
      <w:r>
        <w:rPr>
          <w:color w:val="231F1F"/>
          <w:w w:val="110"/>
        </w:rPr>
        <w:t>contribuyen</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elección</w:t>
      </w:r>
      <w:r>
        <w:rPr>
          <w:color w:val="231F1F"/>
          <w:spacing w:val="-16"/>
          <w:w w:val="110"/>
        </w:rPr>
        <w:t> </w:t>
      </w:r>
      <w:r>
        <w:rPr>
          <w:color w:val="231F1F"/>
          <w:w w:val="110"/>
        </w:rPr>
        <w:t>de</w:t>
      </w:r>
      <w:r>
        <w:rPr>
          <w:color w:val="231F1F"/>
          <w:spacing w:val="-15"/>
          <w:w w:val="110"/>
        </w:rPr>
        <w:t> </w:t>
      </w:r>
      <w:r>
        <w:rPr>
          <w:color w:val="231F1F"/>
          <w:w w:val="110"/>
        </w:rPr>
        <w:t>este</w:t>
      </w:r>
      <w:r>
        <w:rPr>
          <w:color w:val="231F1F"/>
          <w:spacing w:val="-15"/>
          <w:w w:val="110"/>
        </w:rPr>
        <w:t> </w:t>
      </w:r>
      <w:r>
        <w:rPr>
          <w:color w:val="231F1F"/>
          <w:w w:val="110"/>
        </w:rPr>
        <w:t>método</w:t>
      </w:r>
      <w:r>
        <w:rPr>
          <w:color w:val="231F1F"/>
          <w:spacing w:val="-15"/>
          <w:w w:val="110"/>
        </w:rPr>
        <w:t> </w:t>
      </w:r>
      <w:r>
        <w:rPr>
          <w:color w:val="231F1F"/>
          <w:w w:val="110"/>
        </w:rPr>
        <w:t>son</w:t>
      </w:r>
      <w:r>
        <w:rPr>
          <w:color w:val="231F1F"/>
          <w:spacing w:val="-15"/>
          <w:w w:val="110"/>
        </w:rPr>
        <w:t> </w:t>
      </w:r>
      <w:r>
        <w:rPr>
          <w:color w:val="231F1F"/>
          <w:w w:val="110"/>
        </w:rPr>
        <w:t>el</w:t>
      </w:r>
      <w:r>
        <w:rPr>
          <w:color w:val="231F1F"/>
          <w:spacing w:val="-15"/>
          <w:w w:val="110"/>
        </w:rPr>
        <w:t> </w:t>
      </w:r>
      <w:r>
        <w:rPr>
          <w:color w:val="231F1F"/>
          <w:w w:val="110"/>
        </w:rPr>
        <w:t>deseo</w:t>
      </w:r>
      <w:r>
        <w:rPr>
          <w:color w:val="231F1F"/>
          <w:spacing w:val="-15"/>
          <w:w w:val="110"/>
        </w:rPr>
        <w:t> </w:t>
      </w:r>
      <w:r>
        <w:rPr>
          <w:color w:val="231F1F"/>
          <w:w w:val="110"/>
        </w:rPr>
        <w:t>de una</w:t>
      </w:r>
      <w:r>
        <w:rPr>
          <w:color w:val="231F1F"/>
          <w:spacing w:val="-12"/>
          <w:w w:val="110"/>
        </w:rPr>
        <w:t> </w:t>
      </w:r>
      <w:r>
        <w:rPr>
          <w:color w:val="231F1F"/>
          <w:w w:val="110"/>
        </w:rPr>
        <w:t>experiencia</w:t>
      </w:r>
      <w:r>
        <w:rPr>
          <w:color w:val="231F1F"/>
          <w:spacing w:val="-12"/>
          <w:w w:val="110"/>
        </w:rPr>
        <w:t> </w:t>
      </w:r>
      <w:r>
        <w:rPr>
          <w:color w:val="231F1F"/>
          <w:w w:val="110"/>
        </w:rPr>
        <w:t>más</w:t>
      </w:r>
      <w:r>
        <w:rPr>
          <w:color w:val="231F1F"/>
          <w:spacing w:val="-12"/>
          <w:w w:val="110"/>
        </w:rPr>
        <w:t> </w:t>
      </w:r>
      <w:r>
        <w:rPr>
          <w:color w:val="231F1F"/>
          <w:w w:val="110"/>
        </w:rPr>
        <w:t>natural</w:t>
      </w:r>
      <w:r>
        <w:rPr>
          <w:color w:val="231F1F"/>
          <w:spacing w:val="-13"/>
          <w:w w:val="110"/>
        </w:rPr>
        <w:t> </w:t>
      </w:r>
      <w:r>
        <w:rPr>
          <w:color w:val="231F1F"/>
          <w:w w:val="110"/>
        </w:rPr>
        <w:t>durante</w:t>
      </w:r>
      <w:r>
        <w:rPr>
          <w:color w:val="231F1F"/>
          <w:spacing w:val="-13"/>
          <w:w w:val="110"/>
        </w:rPr>
        <w:t> </w:t>
      </w:r>
      <w:r>
        <w:rPr>
          <w:color w:val="231F1F"/>
          <w:w w:val="110"/>
        </w:rPr>
        <w:t>el</w:t>
      </w:r>
      <w:r>
        <w:rPr>
          <w:color w:val="231F1F"/>
          <w:spacing w:val="-13"/>
          <w:w w:val="110"/>
        </w:rPr>
        <w:t> </w:t>
      </w:r>
      <w:r>
        <w:rPr>
          <w:color w:val="231F1F"/>
          <w:w w:val="110"/>
        </w:rPr>
        <w:t>nacimiento,</w:t>
      </w:r>
      <w:r>
        <w:rPr>
          <w:color w:val="231F1F"/>
          <w:spacing w:val="-13"/>
          <w:w w:val="110"/>
        </w:rPr>
        <w:t> </w:t>
      </w:r>
      <w:r>
        <w:rPr>
          <w:color w:val="231F1F"/>
          <w:w w:val="110"/>
        </w:rPr>
        <w:t>la</w:t>
      </w:r>
      <w:r>
        <w:rPr>
          <w:color w:val="231F1F"/>
          <w:spacing w:val="-12"/>
          <w:w w:val="110"/>
        </w:rPr>
        <w:t> </w:t>
      </w:r>
      <w:r>
        <w:rPr>
          <w:color w:val="231F1F"/>
          <w:w w:val="110"/>
        </w:rPr>
        <w:t>creencia</w:t>
      </w:r>
      <w:r>
        <w:rPr>
          <w:color w:val="231F1F"/>
          <w:spacing w:val="-12"/>
          <w:w w:val="110"/>
        </w:rPr>
        <w:t> </w:t>
      </w:r>
      <w:r>
        <w:rPr>
          <w:color w:val="231F1F"/>
          <w:w w:val="110"/>
        </w:rPr>
        <w:t>de</w:t>
      </w:r>
      <w:r>
        <w:rPr>
          <w:color w:val="231F1F"/>
          <w:spacing w:val="-12"/>
          <w:w w:val="110"/>
        </w:rPr>
        <w:t> </w:t>
      </w:r>
      <w:r>
        <w:rPr>
          <w:color w:val="231F1F"/>
          <w:w w:val="110"/>
        </w:rPr>
        <w:t>que</w:t>
      </w:r>
      <w:r>
        <w:rPr>
          <w:color w:val="231F1F"/>
          <w:spacing w:val="-12"/>
          <w:w w:val="110"/>
        </w:rPr>
        <w:t> </w:t>
      </w:r>
      <w:r>
        <w:rPr>
          <w:color w:val="231F1F"/>
          <w:w w:val="110"/>
        </w:rPr>
        <w:t>el</w:t>
      </w:r>
      <w:r>
        <w:rPr>
          <w:color w:val="231F1F"/>
          <w:spacing w:val="-13"/>
          <w:w w:val="110"/>
        </w:rPr>
        <w:t> </w:t>
      </w:r>
      <w:r>
        <w:rPr>
          <w:color w:val="231F1F"/>
          <w:w w:val="110"/>
        </w:rPr>
        <w:t>manejo</w:t>
      </w:r>
      <w:r>
        <w:rPr>
          <w:color w:val="231F1F"/>
          <w:spacing w:val="-12"/>
          <w:w w:val="110"/>
        </w:rPr>
        <w:t> </w:t>
      </w:r>
      <w:r>
        <w:rPr>
          <w:color w:val="231F1F"/>
          <w:w w:val="110"/>
        </w:rPr>
        <w:t>activo</w:t>
      </w:r>
      <w:r>
        <w:rPr>
          <w:color w:val="231F1F"/>
          <w:spacing w:val="-12"/>
          <w:w w:val="110"/>
        </w:rPr>
        <w:t> </w:t>
      </w:r>
      <w:r>
        <w:rPr>
          <w:color w:val="231F1F"/>
          <w:w w:val="110"/>
        </w:rPr>
        <w:t>es innecesario</w:t>
      </w:r>
      <w:r>
        <w:rPr>
          <w:color w:val="231F1F"/>
          <w:spacing w:val="-14"/>
          <w:w w:val="110"/>
        </w:rPr>
        <w:t> </w:t>
      </w:r>
      <w:r>
        <w:rPr>
          <w:color w:val="231F1F"/>
          <w:w w:val="110"/>
        </w:rPr>
        <w:t>en</w:t>
      </w:r>
      <w:r>
        <w:rPr>
          <w:color w:val="231F1F"/>
          <w:spacing w:val="-14"/>
          <w:w w:val="110"/>
        </w:rPr>
        <w:t> </w:t>
      </w:r>
      <w:r>
        <w:rPr>
          <w:color w:val="231F1F"/>
          <w:w w:val="110"/>
        </w:rPr>
        <w:t>mujeres</w:t>
      </w:r>
      <w:r>
        <w:rPr>
          <w:color w:val="231F1F"/>
          <w:spacing w:val="-14"/>
          <w:w w:val="110"/>
        </w:rPr>
        <w:t> </w:t>
      </w:r>
      <w:r>
        <w:rPr>
          <w:color w:val="231F1F"/>
          <w:w w:val="110"/>
        </w:rPr>
        <w:t>de</w:t>
      </w:r>
      <w:r>
        <w:rPr>
          <w:color w:val="231F1F"/>
          <w:spacing w:val="-14"/>
          <w:w w:val="110"/>
        </w:rPr>
        <w:t> </w:t>
      </w:r>
      <w:r>
        <w:rPr>
          <w:color w:val="231F1F"/>
          <w:w w:val="110"/>
        </w:rPr>
        <w:t>bajo</w:t>
      </w:r>
      <w:r>
        <w:rPr>
          <w:color w:val="231F1F"/>
          <w:spacing w:val="-14"/>
          <w:w w:val="110"/>
        </w:rPr>
        <w:t> </w:t>
      </w:r>
      <w:r>
        <w:rPr>
          <w:color w:val="231F1F"/>
          <w:w w:val="110"/>
        </w:rPr>
        <w:t>riesgo</w:t>
      </w:r>
      <w:r>
        <w:rPr>
          <w:color w:val="231F1F"/>
          <w:spacing w:val="-14"/>
          <w:w w:val="110"/>
        </w:rPr>
        <w:t> </w:t>
      </w:r>
      <w:r>
        <w:rPr>
          <w:color w:val="231F1F"/>
          <w:w w:val="110"/>
        </w:rPr>
        <w:t>y</w:t>
      </w:r>
      <w:r>
        <w:rPr>
          <w:color w:val="231F1F"/>
          <w:spacing w:val="-14"/>
          <w:w w:val="110"/>
        </w:rPr>
        <w:t> </w:t>
      </w:r>
      <w:r>
        <w:rPr>
          <w:color w:val="231F1F"/>
          <w:w w:val="110"/>
        </w:rPr>
        <w:t>el</w:t>
      </w:r>
      <w:r>
        <w:rPr>
          <w:color w:val="231F1F"/>
          <w:spacing w:val="-15"/>
          <w:w w:val="110"/>
        </w:rPr>
        <w:t> </w:t>
      </w:r>
      <w:r>
        <w:rPr>
          <w:color w:val="231F1F"/>
          <w:w w:val="110"/>
        </w:rPr>
        <w:t>deseo</w:t>
      </w:r>
      <w:r>
        <w:rPr>
          <w:color w:val="231F1F"/>
          <w:spacing w:val="-14"/>
          <w:w w:val="110"/>
        </w:rPr>
        <w:t> </w:t>
      </w:r>
      <w:r>
        <w:rPr>
          <w:color w:val="231F1F"/>
          <w:w w:val="110"/>
        </w:rPr>
        <w:t>de</w:t>
      </w:r>
      <w:r>
        <w:rPr>
          <w:color w:val="231F1F"/>
          <w:spacing w:val="-14"/>
          <w:w w:val="110"/>
        </w:rPr>
        <w:t> </w:t>
      </w:r>
      <w:r>
        <w:rPr>
          <w:color w:val="231F1F"/>
          <w:w w:val="110"/>
        </w:rPr>
        <w:t>evitar</w:t>
      </w:r>
      <w:r>
        <w:rPr>
          <w:color w:val="231F1F"/>
          <w:spacing w:val="-15"/>
          <w:w w:val="110"/>
        </w:rPr>
        <w:t> </w:t>
      </w:r>
      <w:r>
        <w:rPr>
          <w:color w:val="231F1F"/>
          <w:w w:val="110"/>
        </w:rPr>
        <w:t>los</w:t>
      </w:r>
      <w:r>
        <w:rPr>
          <w:color w:val="231F1F"/>
          <w:spacing w:val="-15"/>
          <w:w w:val="110"/>
        </w:rPr>
        <w:t> </w:t>
      </w:r>
      <w:r>
        <w:rPr>
          <w:color w:val="231F1F"/>
          <w:w w:val="110"/>
        </w:rPr>
        <w:t>efectos</w:t>
      </w:r>
      <w:r>
        <w:rPr>
          <w:color w:val="231F1F"/>
          <w:spacing w:val="-14"/>
          <w:w w:val="110"/>
        </w:rPr>
        <w:t> </w:t>
      </w:r>
      <w:r>
        <w:rPr>
          <w:color w:val="231F1F"/>
          <w:w w:val="110"/>
        </w:rPr>
        <w:t>asociados</w:t>
      </w:r>
      <w:r>
        <w:rPr>
          <w:color w:val="231F1F"/>
          <w:spacing w:val="-14"/>
          <w:w w:val="110"/>
        </w:rPr>
        <w:t> </w:t>
      </w:r>
      <w:r>
        <w:rPr>
          <w:color w:val="231F1F"/>
          <w:w w:val="110"/>
        </w:rPr>
        <w:t>con</w:t>
      </w:r>
      <w:r>
        <w:rPr>
          <w:color w:val="231F1F"/>
          <w:spacing w:val="-14"/>
          <w:w w:val="110"/>
        </w:rPr>
        <w:t> </w:t>
      </w:r>
      <w:r>
        <w:rPr>
          <w:color w:val="231F1F"/>
          <w:w w:val="110"/>
        </w:rPr>
        <w:t>el</w:t>
      </w:r>
      <w:r>
        <w:rPr>
          <w:color w:val="231F1F"/>
          <w:spacing w:val="-15"/>
          <w:w w:val="110"/>
        </w:rPr>
        <w:t> </w:t>
      </w:r>
      <w:r>
        <w:rPr>
          <w:color w:val="231F1F"/>
          <w:w w:val="110"/>
        </w:rPr>
        <w:t>uso </w:t>
      </w:r>
      <w:r>
        <w:rPr>
          <w:color w:val="231F1F"/>
          <w:spacing w:val="-2"/>
          <w:w w:val="110"/>
        </w:rPr>
        <w:t>de</w:t>
      </w:r>
      <w:r>
        <w:rPr>
          <w:color w:val="231F1F"/>
          <w:spacing w:val="-7"/>
          <w:w w:val="110"/>
        </w:rPr>
        <w:t> </w:t>
      </w:r>
      <w:r>
        <w:rPr>
          <w:color w:val="231F1F"/>
          <w:spacing w:val="-2"/>
          <w:w w:val="110"/>
        </w:rPr>
        <w:t>los</w:t>
      </w:r>
      <w:r>
        <w:rPr>
          <w:color w:val="231F1F"/>
          <w:spacing w:val="-7"/>
          <w:w w:val="110"/>
        </w:rPr>
        <w:t> </w:t>
      </w:r>
      <w:r>
        <w:rPr>
          <w:color w:val="231F1F"/>
          <w:spacing w:val="-2"/>
          <w:w w:val="110"/>
        </w:rPr>
        <w:t>uterotónicos</w:t>
      </w:r>
      <w:r>
        <w:rPr>
          <w:color w:val="231F1F"/>
          <w:spacing w:val="-7"/>
          <w:w w:val="110"/>
        </w:rPr>
        <w:t> </w:t>
      </w:r>
      <w:r>
        <w:rPr>
          <w:color w:val="231F1F"/>
          <w:spacing w:val="-2"/>
          <w:w w:val="110"/>
        </w:rPr>
        <w:t>habituales</w:t>
      </w:r>
      <w:r>
        <w:rPr>
          <w:color w:val="231F1F"/>
          <w:spacing w:val="-7"/>
          <w:w w:val="110"/>
        </w:rPr>
        <w:t> </w:t>
      </w:r>
      <w:r>
        <w:rPr>
          <w:color w:val="231F1F"/>
          <w:spacing w:val="-2"/>
          <w:w w:val="110"/>
        </w:rPr>
        <w:t>(185).</w:t>
      </w:r>
      <w:r>
        <w:rPr>
          <w:color w:val="231F1F"/>
          <w:spacing w:val="-7"/>
          <w:w w:val="110"/>
        </w:rPr>
        <w:t> </w:t>
      </w:r>
      <w:r>
        <w:rPr>
          <w:color w:val="231F1F"/>
          <w:spacing w:val="-2"/>
          <w:w w:val="110"/>
        </w:rPr>
        <w:t>El</w:t>
      </w:r>
      <w:r>
        <w:rPr>
          <w:color w:val="231F1F"/>
          <w:spacing w:val="-7"/>
          <w:w w:val="110"/>
        </w:rPr>
        <w:t> </w:t>
      </w:r>
      <w:r>
        <w:rPr>
          <w:color w:val="231F1F"/>
          <w:spacing w:val="-2"/>
          <w:w w:val="110"/>
        </w:rPr>
        <w:t>manejo</w:t>
      </w:r>
      <w:r>
        <w:rPr>
          <w:color w:val="231F1F"/>
          <w:spacing w:val="-7"/>
          <w:w w:val="110"/>
        </w:rPr>
        <w:t> </w:t>
      </w:r>
      <w:r>
        <w:rPr>
          <w:color w:val="231F1F"/>
          <w:spacing w:val="-2"/>
          <w:w w:val="110"/>
        </w:rPr>
        <w:t>activo</w:t>
      </w:r>
      <w:r>
        <w:rPr>
          <w:color w:val="231F1F"/>
          <w:spacing w:val="-7"/>
          <w:w w:val="110"/>
        </w:rPr>
        <w:t> </w:t>
      </w:r>
      <w:r>
        <w:rPr>
          <w:color w:val="231F1F"/>
          <w:spacing w:val="-2"/>
          <w:w w:val="110"/>
        </w:rPr>
        <w:t>generalmente</w:t>
      </w:r>
      <w:r>
        <w:rPr>
          <w:color w:val="231F1F"/>
          <w:spacing w:val="-7"/>
          <w:w w:val="110"/>
        </w:rPr>
        <w:t> </w:t>
      </w:r>
      <w:r>
        <w:rPr>
          <w:color w:val="231F1F"/>
          <w:spacing w:val="-2"/>
          <w:w w:val="110"/>
        </w:rPr>
        <w:t>implica</w:t>
      </w:r>
      <w:r>
        <w:rPr>
          <w:color w:val="231F1F"/>
          <w:spacing w:val="-7"/>
          <w:w w:val="110"/>
        </w:rPr>
        <w:t> </w:t>
      </w:r>
      <w:r>
        <w:rPr>
          <w:color w:val="231F1F"/>
          <w:spacing w:val="-2"/>
          <w:w w:val="110"/>
        </w:rPr>
        <w:t>al</w:t>
      </w:r>
      <w:r>
        <w:rPr>
          <w:color w:val="231F1F"/>
          <w:spacing w:val="-7"/>
          <w:w w:val="110"/>
        </w:rPr>
        <w:t> </w:t>
      </w:r>
      <w:r>
        <w:rPr>
          <w:color w:val="231F1F"/>
          <w:spacing w:val="-2"/>
          <w:w w:val="110"/>
        </w:rPr>
        <w:t>médico</w:t>
      </w:r>
      <w:r>
        <w:rPr>
          <w:color w:val="231F1F"/>
          <w:spacing w:val="-7"/>
          <w:w w:val="110"/>
        </w:rPr>
        <w:t> </w:t>
      </w:r>
      <w:r>
        <w:rPr>
          <w:color w:val="231F1F"/>
          <w:spacing w:val="-2"/>
          <w:w w:val="110"/>
        </w:rPr>
        <w:t>o</w:t>
      </w:r>
      <w:r>
        <w:rPr>
          <w:color w:val="231F1F"/>
          <w:spacing w:val="-7"/>
          <w:w w:val="110"/>
        </w:rPr>
        <w:t> </w:t>
      </w:r>
      <w:r>
        <w:rPr>
          <w:color w:val="231F1F"/>
          <w:spacing w:val="-2"/>
          <w:w w:val="110"/>
        </w:rPr>
        <w:t>a </w:t>
      </w:r>
      <w:r>
        <w:rPr>
          <w:color w:val="231F1F"/>
          <w:w w:val="110"/>
        </w:rPr>
        <w:t>la matrona y la principal ventaja asociada descrita es la reducción de la incidencia de la </w:t>
      </w:r>
      <w:r>
        <w:rPr>
          <w:color w:val="231F1F"/>
          <w:spacing w:val="-2"/>
          <w:w w:val="110"/>
        </w:rPr>
        <w:t>HPP.</w:t>
      </w:r>
      <w:r>
        <w:rPr>
          <w:color w:val="231F1F"/>
          <w:spacing w:val="-6"/>
          <w:w w:val="110"/>
        </w:rPr>
        <w:t> </w:t>
      </w:r>
      <w:r>
        <w:rPr>
          <w:color w:val="231F1F"/>
          <w:spacing w:val="-2"/>
          <w:w w:val="110"/>
        </w:rPr>
        <w:t>Sin</w:t>
      </w:r>
      <w:r>
        <w:rPr>
          <w:color w:val="231F1F"/>
          <w:spacing w:val="-5"/>
          <w:w w:val="110"/>
        </w:rPr>
        <w:t> </w:t>
      </w:r>
      <w:r>
        <w:rPr>
          <w:color w:val="231F1F"/>
          <w:spacing w:val="-2"/>
          <w:w w:val="110"/>
        </w:rPr>
        <w:t>embargo,</w:t>
      </w:r>
      <w:r>
        <w:rPr>
          <w:color w:val="231F1F"/>
          <w:spacing w:val="-5"/>
          <w:w w:val="110"/>
        </w:rPr>
        <w:t> </w:t>
      </w:r>
      <w:r>
        <w:rPr>
          <w:color w:val="231F1F"/>
          <w:spacing w:val="-2"/>
          <w:w w:val="110"/>
        </w:rPr>
        <w:t>existe</w:t>
      </w:r>
      <w:r>
        <w:rPr>
          <w:color w:val="231F1F"/>
          <w:spacing w:val="-5"/>
          <w:w w:val="110"/>
        </w:rPr>
        <w:t> </w:t>
      </w:r>
      <w:r>
        <w:rPr>
          <w:color w:val="231F1F"/>
          <w:spacing w:val="-2"/>
          <w:w w:val="110"/>
        </w:rPr>
        <w:t>controversia</w:t>
      </w:r>
      <w:r>
        <w:rPr>
          <w:color w:val="231F1F"/>
          <w:spacing w:val="-4"/>
          <w:w w:val="110"/>
        </w:rPr>
        <w:t> </w:t>
      </w:r>
      <w:r>
        <w:rPr>
          <w:color w:val="231F1F"/>
          <w:spacing w:val="-2"/>
          <w:w w:val="110"/>
        </w:rPr>
        <w:t>sobre</w:t>
      </w:r>
      <w:r>
        <w:rPr>
          <w:color w:val="231F1F"/>
          <w:spacing w:val="-5"/>
          <w:w w:val="110"/>
        </w:rPr>
        <w:t> </w:t>
      </w:r>
      <w:r>
        <w:rPr>
          <w:color w:val="231F1F"/>
          <w:spacing w:val="-2"/>
          <w:w w:val="110"/>
        </w:rPr>
        <w:t>las</w:t>
      </w:r>
      <w:r>
        <w:rPr>
          <w:color w:val="231F1F"/>
          <w:spacing w:val="-5"/>
          <w:w w:val="110"/>
        </w:rPr>
        <w:t> </w:t>
      </w:r>
      <w:r>
        <w:rPr>
          <w:color w:val="231F1F"/>
          <w:spacing w:val="-2"/>
          <w:w w:val="110"/>
        </w:rPr>
        <w:t>ventajas</w:t>
      </w:r>
      <w:r>
        <w:rPr>
          <w:color w:val="231F1F"/>
          <w:spacing w:val="-5"/>
          <w:w w:val="110"/>
        </w:rPr>
        <w:t> </w:t>
      </w:r>
      <w:r>
        <w:rPr>
          <w:color w:val="231F1F"/>
          <w:spacing w:val="-2"/>
          <w:w w:val="110"/>
        </w:rPr>
        <w:t>e</w:t>
      </w:r>
      <w:r>
        <w:rPr>
          <w:color w:val="231F1F"/>
          <w:spacing w:val="-5"/>
          <w:w w:val="110"/>
        </w:rPr>
        <w:t> </w:t>
      </w:r>
      <w:r>
        <w:rPr>
          <w:color w:val="231F1F"/>
          <w:spacing w:val="-2"/>
          <w:w w:val="110"/>
        </w:rPr>
        <w:t>inconvenientes</w:t>
      </w:r>
      <w:r>
        <w:rPr>
          <w:color w:val="231F1F"/>
          <w:spacing w:val="-5"/>
          <w:w w:val="110"/>
        </w:rPr>
        <w:t> </w:t>
      </w:r>
      <w:r>
        <w:rPr>
          <w:color w:val="231F1F"/>
          <w:spacing w:val="-2"/>
          <w:w w:val="110"/>
        </w:rPr>
        <w:t>del</w:t>
      </w:r>
      <w:r>
        <w:rPr>
          <w:color w:val="231F1F"/>
          <w:spacing w:val="-5"/>
          <w:w w:val="110"/>
        </w:rPr>
        <w:t> </w:t>
      </w:r>
      <w:r>
        <w:rPr>
          <w:color w:val="231F1F"/>
          <w:spacing w:val="-2"/>
          <w:w w:val="110"/>
        </w:rPr>
        <w:t>pinzamien- </w:t>
      </w:r>
      <w:r>
        <w:rPr>
          <w:color w:val="231F1F"/>
          <w:w w:val="110"/>
        </w:rPr>
        <w:t>to y sección precoces del cordón umbilical.</w:t>
      </w:r>
    </w:p>
    <w:p>
      <w:pPr>
        <w:pStyle w:val="BodyText"/>
        <w:spacing w:before="178"/>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7" w:lineRule="auto" w:before="209"/>
        <w:ind w:left="283" w:right="1366"/>
        <w:jc w:val="both"/>
      </w:pPr>
      <w:r>
        <w:rPr>
          <w:color w:val="231F1F"/>
          <w:spacing w:val="-2"/>
          <w:w w:val="110"/>
        </w:rPr>
        <w:t>La</w:t>
      </w:r>
      <w:r>
        <w:rPr>
          <w:color w:val="231F1F"/>
          <w:spacing w:val="-9"/>
          <w:w w:val="110"/>
        </w:rPr>
        <w:t> </w:t>
      </w:r>
      <w:r>
        <w:rPr>
          <w:color w:val="231F1F"/>
          <w:spacing w:val="-2"/>
          <w:w w:val="110"/>
        </w:rPr>
        <w:t>guía</w:t>
      </w:r>
      <w:r>
        <w:rPr>
          <w:color w:val="231F1F"/>
          <w:spacing w:val="-9"/>
          <w:w w:val="110"/>
        </w:rPr>
        <w:t> </w:t>
      </w:r>
      <w:r>
        <w:rPr>
          <w:color w:val="231F1F"/>
          <w:spacing w:val="-2"/>
          <w:w w:val="110"/>
        </w:rPr>
        <w:t>NICE</w:t>
      </w:r>
      <w:r>
        <w:rPr>
          <w:color w:val="231F1F"/>
          <w:spacing w:val="-9"/>
          <w:w w:val="110"/>
        </w:rPr>
        <w:t> </w:t>
      </w:r>
      <w:r>
        <w:rPr>
          <w:color w:val="231F1F"/>
          <w:spacing w:val="-2"/>
          <w:w w:val="110"/>
        </w:rPr>
        <w:t>(10)</w:t>
      </w:r>
      <w:r>
        <w:rPr>
          <w:color w:val="231F1F"/>
          <w:spacing w:val="-9"/>
          <w:w w:val="110"/>
        </w:rPr>
        <w:t> </w:t>
      </w:r>
      <w:r>
        <w:rPr>
          <w:color w:val="231F1F"/>
          <w:spacing w:val="-2"/>
          <w:w w:val="110"/>
        </w:rPr>
        <w:t>para</w:t>
      </w:r>
      <w:r>
        <w:rPr>
          <w:color w:val="231F1F"/>
          <w:spacing w:val="-9"/>
          <w:w w:val="110"/>
        </w:rPr>
        <w:t> </w:t>
      </w:r>
      <w:r>
        <w:rPr>
          <w:color w:val="231F1F"/>
          <w:spacing w:val="-2"/>
          <w:w w:val="110"/>
        </w:rPr>
        <w:t>responder</w:t>
      </w:r>
      <w:r>
        <w:rPr>
          <w:color w:val="231F1F"/>
          <w:spacing w:val="-9"/>
          <w:w w:val="110"/>
        </w:rPr>
        <w:t> </w:t>
      </w:r>
      <w:r>
        <w:rPr>
          <w:color w:val="231F1F"/>
          <w:spacing w:val="-2"/>
          <w:w w:val="110"/>
        </w:rPr>
        <w:t>esta</w:t>
      </w:r>
      <w:r>
        <w:rPr>
          <w:color w:val="231F1F"/>
          <w:spacing w:val="-9"/>
          <w:w w:val="110"/>
        </w:rPr>
        <w:t> </w:t>
      </w:r>
      <w:r>
        <w:rPr>
          <w:color w:val="231F1F"/>
          <w:spacing w:val="-2"/>
          <w:w w:val="110"/>
        </w:rPr>
        <w:t>pregunta</w:t>
      </w:r>
      <w:r>
        <w:rPr>
          <w:color w:val="231F1F"/>
          <w:spacing w:val="-9"/>
          <w:w w:val="110"/>
        </w:rPr>
        <w:t> </w:t>
      </w:r>
      <w:r>
        <w:rPr>
          <w:color w:val="231F1F"/>
          <w:spacing w:val="-2"/>
          <w:w w:val="110"/>
        </w:rPr>
        <w:t>emplea</w:t>
      </w:r>
      <w:r>
        <w:rPr>
          <w:color w:val="231F1F"/>
          <w:spacing w:val="-9"/>
          <w:w w:val="110"/>
        </w:rPr>
        <w:t> </w:t>
      </w:r>
      <w:r>
        <w:rPr>
          <w:color w:val="231F1F"/>
          <w:spacing w:val="-2"/>
          <w:w w:val="110"/>
        </w:rPr>
        <w:t>una</w:t>
      </w:r>
      <w:r>
        <w:rPr>
          <w:color w:val="231F1F"/>
          <w:spacing w:val="-9"/>
          <w:w w:val="110"/>
        </w:rPr>
        <w:t> </w:t>
      </w:r>
      <w:r>
        <w:rPr>
          <w:color w:val="231F1F"/>
          <w:spacing w:val="-2"/>
          <w:w w:val="110"/>
        </w:rPr>
        <w:t>RS</w:t>
      </w:r>
      <w:r>
        <w:rPr>
          <w:color w:val="231F1F"/>
          <w:spacing w:val="-9"/>
          <w:w w:val="110"/>
        </w:rPr>
        <w:t> </w:t>
      </w:r>
      <w:r>
        <w:rPr>
          <w:color w:val="231F1F"/>
          <w:spacing w:val="-2"/>
          <w:w w:val="110"/>
        </w:rPr>
        <w:t>(182),</w:t>
      </w:r>
      <w:r>
        <w:rPr>
          <w:color w:val="231F1F"/>
          <w:spacing w:val="-9"/>
          <w:w w:val="110"/>
        </w:rPr>
        <w:t> </w:t>
      </w:r>
      <w:r>
        <w:rPr>
          <w:color w:val="231F1F"/>
          <w:spacing w:val="-2"/>
          <w:w w:val="110"/>
        </w:rPr>
        <w:t>publi- </w:t>
      </w:r>
      <w:r>
        <w:rPr>
          <w:color w:val="231F1F"/>
          <w:w w:val="110"/>
        </w:rPr>
        <w:t>cada</w:t>
      </w:r>
      <w:r>
        <w:rPr>
          <w:color w:val="231F1F"/>
          <w:spacing w:val="-1"/>
          <w:w w:val="110"/>
        </w:rPr>
        <w:t> </w:t>
      </w:r>
      <w:r>
        <w:rPr>
          <w:color w:val="231F1F"/>
          <w:w w:val="110"/>
        </w:rPr>
        <w:t>en</w:t>
      </w:r>
      <w:r>
        <w:rPr>
          <w:color w:val="231F1F"/>
          <w:spacing w:val="-1"/>
          <w:w w:val="110"/>
        </w:rPr>
        <w:t> </w:t>
      </w:r>
      <w:r>
        <w:rPr>
          <w:color w:val="231F1F"/>
          <w:w w:val="110"/>
        </w:rPr>
        <w:t>el</w:t>
      </w:r>
      <w:r>
        <w:rPr>
          <w:color w:val="231F1F"/>
          <w:spacing w:val="-2"/>
          <w:w w:val="110"/>
        </w:rPr>
        <w:t> </w:t>
      </w:r>
      <w:r>
        <w:rPr>
          <w:color w:val="231F1F"/>
          <w:w w:val="110"/>
        </w:rPr>
        <w:t>2000</w:t>
      </w:r>
      <w:r>
        <w:rPr>
          <w:color w:val="231F1F"/>
          <w:spacing w:val="-1"/>
          <w:w w:val="110"/>
        </w:rPr>
        <w:t> </w:t>
      </w:r>
      <w:r>
        <w:rPr>
          <w:color w:val="231F1F"/>
          <w:w w:val="110"/>
        </w:rPr>
        <w:t>que</w:t>
      </w:r>
      <w:r>
        <w:rPr>
          <w:color w:val="231F1F"/>
          <w:spacing w:val="-1"/>
          <w:w w:val="110"/>
        </w:rPr>
        <w:t> </w:t>
      </w:r>
      <w:r>
        <w:rPr>
          <w:color w:val="231F1F"/>
          <w:w w:val="110"/>
        </w:rPr>
        <w:t>incluye</w:t>
      </w:r>
      <w:r>
        <w:rPr>
          <w:color w:val="231F1F"/>
          <w:spacing w:val="-1"/>
          <w:w w:val="110"/>
        </w:rPr>
        <w:t> </w:t>
      </w:r>
      <w:r>
        <w:rPr>
          <w:color w:val="231F1F"/>
          <w:w w:val="110"/>
        </w:rPr>
        <w:t>5</w:t>
      </w:r>
      <w:r>
        <w:rPr>
          <w:color w:val="231F1F"/>
          <w:spacing w:val="-1"/>
          <w:w w:val="110"/>
        </w:rPr>
        <w:t> </w:t>
      </w:r>
      <w:r>
        <w:rPr>
          <w:color w:val="231F1F"/>
          <w:w w:val="110"/>
        </w:rPr>
        <w:t>estudios</w:t>
      </w:r>
      <w:r>
        <w:rPr>
          <w:color w:val="231F1F"/>
          <w:spacing w:val="-1"/>
          <w:w w:val="110"/>
        </w:rPr>
        <w:t> </w:t>
      </w:r>
      <w:r>
        <w:rPr>
          <w:color w:val="231F1F"/>
          <w:w w:val="110"/>
        </w:rPr>
        <w:t>de</w:t>
      </w:r>
      <w:r>
        <w:rPr>
          <w:color w:val="231F1F"/>
          <w:spacing w:val="-1"/>
          <w:w w:val="110"/>
        </w:rPr>
        <w:t> </w:t>
      </w:r>
      <w:r>
        <w:rPr>
          <w:color w:val="231F1F"/>
          <w:w w:val="110"/>
        </w:rPr>
        <w:t>razonable</w:t>
      </w:r>
      <w:r>
        <w:rPr>
          <w:color w:val="231F1F"/>
          <w:spacing w:val="-1"/>
          <w:w w:val="110"/>
        </w:rPr>
        <w:t> </w:t>
      </w:r>
      <w:r>
        <w:rPr>
          <w:color w:val="231F1F"/>
          <w:w w:val="110"/>
        </w:rPr>
        <w:t>buena</w:t>
      </w:r>
      <w:r>
        <w:rPr>
          <w:color w:val="231F1F"/>
          <w:spacing w:val="-2"/>
          <w:w w:val="110"/>
        </w:rPr>
        <w:t> </w:t>
      </w:r>
      <w:r>
        <w:rPr>
          <w:color w:val="231F1F"/>
          <w:w w:val="110"/>
        </w:rPr>
        <w:t>calidad.</w:t>
      </w:r>
      <w:r>
        <w:rPr>
          <w:color w:val="231F1F"/>
          <w:spacing w:val="-2"/>
          <w:w w:val="110"/>
        </w:rPr>
        <w:t> </w:t>
      </w:r>
      <w:r>
        <w:rPr>
          <w:color w:val="231F1F"/>
          <w:w w:val="110"/>
        </w:rPr>
        <w:t>Sólo</w:t>
      </w:r>
      <w:r>
        <w:rPr>
          <w:color w:val="231F1F"/>
          <w:spacing w:val="-2"/>
          <w:w w:val="110"/>
        </w:rPr>
        <w:t> </w:t>
      </w:r>
      <w:r>
        <w:rPr>
          <w:color w:val="231F1F"/>
          <w:w w:val="110"/>
        </w:rPr>
        <w:t>se incluyeron estudios en los que se definiera el manejo activo como uso de uterotónicos</w:t>
      </w:r>
      <w:r>
        <w:rPr>
          <w:color w:val="231F1F"/>
          <w:spacing w:val="-8"/>
          <w:w w:val="110"/>
        </w:rPr>
        <w:t> </w:t>
      </w:r>
      <w:r>
        <w:rPr>
          <w:color w:val="231F1F"/>
          <w:w w:val="110"/>
        </w:rPr>
        <w:t>(oxitocina,</w:t>
      </w:r>
      <w:r>
        <w:rPr>
          <w:color w:val="231F1F"/>
          <w:spacing w:val="-8"/>
          <w:w w:val="110"/>
        </w:rPr>
        <w:t> </w:t>
      </w:r>
      <w:r>
        <w:rPr>
          <w:color w:val="231F1F"/>
          <w:w w:val="110"/>
        </w:rPr>
        <w:t>prostaglandinas,</w:t>
      </w:r>
      <w:r>
        <w:rPr>
          <w:color w:val="231F1F"/>
          <w:spacing w:val="-9"/>
          <w:w w:val="110"/>
        </w:rPr>
        <w:t> </w:t>
      </w:r>
      <w:r>
        <w:rPr>
          <w:color w:val="231F1F"/>
          <w:w w:val="110"/>
        </w:rPr>
        <w:t>derivados</w:t>
      </w:r>
      <w:r>
        <w:rPr>
          <w:color w:val="231F1F"/>
          <w:spacing w:val="-8"/>
          <w:w w:val="110"/>
        </w:rPr>
        <w:t> </w:t>
      </w:r>
      <w:r>
        <w:rPr>
          <w:color w:val="231F1F"/>
          <w:w w:val="110"/>
        </w:rPr>
        <w:t>de</w:t>
      </w:r>
      <w:r>
        <w:rPr>
          <w:color w:val="231F1F"/>
          <w:spacing w:val="-8"/>
          <w:w w:val="110"/>
        </w:rPr>
        <w:t> </w:t>
      </w:r>
      <w:r>
        <w:rPr>
          <w:color w:val="231F1F"/>
          <w:w w:val="110"/>
        </w:rPr>
        <w:t>alcaloides</w:t>
      </w:r>
      <w:r>
        <w:rPr>
          <w:color w:val="231F1F"/>
          <w:spacing w:val="-8"/>
          <w:w w:val="110"/>
        </w:rPr>
        <w:t> </w:t>
      </w:r>
      <w:r>
        <w:rPr>
          <w:color w:val="231F1F"/>
          <w:w w:val="110"/>
        </w:rPr>
        <w:t>del</w:t>
      </w:r>
      <w:r>
        <w:rPr>
          <w:color w:val="231F1F"/>
          <w:spacing w:val="-9"/>
          <w:w w:val="110"/>
        </w:rPr>
        <w:t> </w:t>
      </w:r>
      <w:r>
        <w:rPr>
          <w:color w:val="231F1F"/>
          <w:w w:val="110"/>
        </w:rPr>
        <w:t>corne- </w:t>
      </w:r>
      <w:r>
        <w:rPr>
          <w:color w:val="231F1F"/>
        </w:rPr>
        <w:t>zuelo de centeno...), empleo de pinzamiento temprano del cordón y la tracción </w:t>
      </w:r>
      <w:r>
        <w:rPr>
          <w:color w:val="231F1F"/>
          <w:w w:val="110"/>
        </w:rPr>
        <w:t>controlada</w:t>
      </w:r>
      <w:r>
        <w:rPr>
          <w:color w:val="231F1F"/>
          <w:spacing w:val="-6"/>
          <w:w w:val="110"/>
        </w:rPr>
        <w:t> </w:t>
      </w:r>
      <w:r>
        <w:rPr>
          <w:color w:val="231F1F"/>
          <w:w w:val="110"/>
        </w:rPr>
        <w:t>del</w:t>
      </w:r>
      <w:r>
        <w:rPr>
          <w:color w:val="231F1F"/>
          <w:spacing w:val="-6"/>
          <w:w w:val="110"/>
        </w:rPr>
        <w:t> </w:t>
      </w:r>
      <w:r>
        <w:rPr>
          <w:color w:val="231F1F"/>
          <w:w w:val="110"/>
        </w:rPr>
        <w:t>cordón.</w:t>
      </w:r>
      <w:r>
        <w:rPr>
          <w:color w:val="231F1F"/>
          <w:spacing w:val="-6"/>
          <w:w w:val="110"/>
        </w:rPr>
        <w:t> </w:t>
      </w:r>
      <w:r>
        <w:rPr>
          <w:color w:val="231F1F"/>
          <w:w w:val="110"/>
        </w:rPr>
        <w:t>La</w:t>
      </w:r>
      <w:r>
        <w:rPr>
          <w:color w:val="231F1F"/>
          <w:spacing w:val="-6"/>
          <w:w w:val="110"/>
        </w:rPr>
        <w:t> </w:t>
      </w:r>
      <w:r>
        <w:rPr>
          <w:color w:val="231F1F"/>
          <w:w w:val="110"/>
        </w:rPr>
        <w:t>RS</w:t>
      </w:r>
      <w:r>
        <w:rPr>
          <w:color w:val="231F1F"/>
          <w:spacing w:val="-6"/>
          <w:w w:val="110"/>
        </w:rPr>
        <w:t> </w:t>
      </w:r>
      <w:r>
        <w:rPr>
          <w:color w:val="231F1F"/>
          <w:w w:val="110"/>
        </w:rPr>
        <w:t>realiza</w:t>
      </w:r>
      <w:r>
        <w:rPr>
          <w:color w:val="231F1F"/>
          <w:spacing w:val="-6"/>
          <w:w w:val="110"/>
        </w:rPr>
        <w:t> </w:t>
      </w:r>
      <w:r>
        <w:rPr>
          <w:color w:val="231F1F"/>
          <w:w w:val="110"/>
        </w:rPr>
        <w:t>un</w:t>
      </w:r>
      <w:r>
        <w:rPr>
          <w:color w:val="231F1F"/>
          <w:spacing w:val="-6"/>
          <w:w w:val="110"/>
        </w:rPr>
        <w:t> </w:t>
      </w:r>
      <w:r>
        <w:rPr>
          <w:color w:val="231F1F"/>
          <w:w w:val="110"/>
        </w:rPr>
        <w:t>metaanálisis</w:t>
      </w:r>
      <w:r>
        <w:rPr>
          <w:color w:val="231F1F"/>
          <w:spacing w:val="-6"/>
          <w:w w:val="110"/>
        </w:rPr>
        <w:t> </w:t>
      </w:r>
      <w:r>
        <w:rPr>
          <w:color w:val="231F1F"/>
          <w:w w:val="110"/>
        </w:rPr>
        <w:t>para</w:t>
      </w:r>
      <w:r>
        <w:rPr>
          <w:color w:val="231F1F"/>
          <w:spacing w:val="-6"/>
          <w:w w:val="110"/>
        </w:rPr>
        <w:t> </w:t>
      </w:r>
      <w:r>
        <w:rPr>
          <w:color w:val="231F1F"/>
          <w:w w:val="110"/>
        </w:rPr>
        <w:t>el</w:t>
      </w:r>
      <w:r>
        <w:rPr>
          <w:color w:val="231F1F"/>
          <w:spacing w:val="-6"/>
          <w:w w:val="110"/>
        </w:rPr>
        <w:t> </w:t>
      </w:r>
      <w:r>
        <w:rPr>
          <w:color w:val="231F1F"/>
          <w:w w:val="110"/>
        </w:rPr>
        <w:t>grupo</w:t>
      </w:r>
      <w:r>
        <w:rPr>
          <w:color w:val="231F1F"/>
          <w:spacing w:val="-6"/>
          <w:w w:val="110"/>
        </w:rPr>
        <w:t> </w:t>
      </w:r>
      <w:r>
        <w:rPr>
          <w:color w:val="231F1F"/>
          <w:w w:val="110"/>
        </w:rPr>
        <w:t>de</w:t>
      </w:r>
      <w:r>
        <w:rPr>
          <w:color w:val="231F1F"/>
          <w:spacing w:val="-6"/>
          <w:w w:val="110"/>
        </w:rPr>
        <w:t> </w:t>
      </w:r>
      <w:r>
        <w:rPr>
          <w:color w:val="231F1F"/>
          <w:w w:val="110"/>
        </w:rPr>
        <w:t>todas las</w:t>
      </w:r>
      <w:r>
        <w:rPr>
          <w:color w:val="231F1F"/>
          <w:spacing w:val="-16"/>
          <w:w w:val="110"/>
        </w:rPr>
        <w:t> </w:t>
      </w:r>
      <w:r>
        <w:rPr>
          <w:color w:val="231F1F"/>
          <w:w w:val="110"/>
        </w:rPr>
        <w:t>mujeres</w:t>
      </w:r>
      <w:r>
        <w:rPr>
          <w:color w:val="231F1F"/>
          <w:spacing w:val="-15"/>
          <w:w w:val="110"/>
        </w:rPr>
        <w:t> </w:t>
      </w:r>
      <w:r>
        <w:rPr>
          <w:color w:val="231F1F"/>
          <w:w w:val="110"/>
        </w:rPr>
        <w:t>(n=</w:t>
      </w:r>
      <w:r>
        <w:rPr>
          <w:color w:val="231F1F"/>
          <w:spacing w:val="-15"/>
          <w:w w:val="110"/>
        </w:rPr>
        <w:t> </w:t>
      </w:r>
      <w:r>
        <w:rPr>
          <w:color w:val="231F1F"/>
          <w:w w:val="110"/>
        </w:rPr>
        <w:t>6.477)</w:t>
      </w:r>
      <w:r>
        <w:rPr>
          <w:color w:val="231F1F"/>
          <w:spacing w:val="-14"/>
          <w:w w:val="110"/>
        </w:rPr>
        <w:t> </w:t>
      </w:r>
      <w:r>
        <w:rPr>
          <w:color w:val="231F1F"/>
          <w:w w:val="110"/>
        </w:rPr>
        <w:t>y</w:t>
      </w:r>
      <w:r>
        <w:rPr>
          <w:color w:val="231F1F"/>
          <w:spacing w:val="-15"/>
          <w:w w:val="110"/>
        </w:rPr>
        <w:t> </w:t>
      </w:r>
      <w:r>
        <w:rPr>
          <w:color w:val="231F1F"/>
          <w:w w:val="110"/>
        </w:rPr>
        <w:t>otro</w:t>
      </w:r>
      <w:r>
        <w:rPr>
          <w:color w:val="231F1F"/>
          <w:spacing w:val="-15"/>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subgrupo</w:t>
      </w:r>
      <w:r>
        <w:rPr>
          <w:color w:val="231F1F"/>
          <w:spacing w:val="-16"/>
          <w:w w:val="110"/>
        </w:rPr>
        <w:t> </w:t>
      </w:r>
      <w:r>
        <w:rPr>
          <w:color w:val="231F1F"/>
          <w:w w:val="110"/>
        </w:rPr>
        <w:t>de</w:t>
      </w:r>
      <w:r>
        <w:rPr>
          <w:color w:val="231F1F"/>
          <w:spacing w:val="-14"/>
          <w:w w:val="110"/>
        </w:rPr>
        <w:t> </w:t>
      </w:r>
      <w:r>
        <w:rPr>
          <w:color w:val="231F1F"/>
          <w:w w:val="110"/>
        </w:rPr>
        <w:t>solo</w:t>
      </w:r>
      <w:r>
        <w:rPr>
          <w:color w:val="231F1F"/>
          <w:spacing w:val="-15"/>
          <w:w w:val="110"/>
        </w:rPr>
        <w:t> </w:t>
      </w:r>
      <w:r>
        <w:rPr>
          <w:color w:val="231F1F"/>
          <w:w w:val="110"/>
        </w:rPr>
        <w:t>mujeres</w:t>
      </w:r>
      <w:r>
        <w:rPr>
          <w:color w:val="231F1F"/>
          <w:spacing w:val="-15"/>
          <w:w w:val="110"/>
        </w:rPr>
        <w:t> </w:t>
      </w:r>
      <w:r>
        <w:rPr>
          <w:color w:val="231F1F"/>
          <w:w w:val="110"/>
        </w:rPr>
        <w:t>con</w:t>
      </w:r>
      <w:r>
        <w:rPr>
          <w:color w:val="231F1F"/>
          <w:spacing w:val="-15"/>
          <w:w w:val="110"/>
        </w:rPr>
        <w:t> </w:t>
      </w:r>
      <w:r>
        <w:rPr>
          <w:color w:val="231F1F"/>
          <w:w w:val="110"/>
        </w:rPr>
        <w:t>bajo</w:t>
      </w:r>
      <w:r>
        <w:rPr>
          <w:color w:val="231F1F"/>
          <w:spacing w:val="-15"/>
          <w:w w:val="110"/>
        </w:rPr>
        <w:t> </w:t>
      </w:r>
      <w:r>
        <w:rPr>
          <w:color w:val="231F1F"/>
          <w:w w:val="110"/>
        </w:rPr>
        <w:t>ries- go</w:t>
      </w:r>
      <w:r>
        <w:rPr>
          <w:color w:val="231F1F"/>
          <w:spacing w:val="-5"/>
          <w:w w:val="110"/>
        </w:rPr>
        <w:t> </w:t>
      </w:r>
      <w:r>
        <w:rPr>
          <w:color w:val="231F1F"/>
          <w:w w:val="110"/>
        </w:rPr>
        <w:t>de</w:t>
      </w:r>
      <w:r>
        <w:rPr>
          <w:color w:val="231F1F"/>
          <w:spacing w:val="-6"/>
          <w:w w:val="110"/>
        </w:rPr>
        <w:t> </w:t>
      </w:r>
      <w:r>
        <w:rPr>
          <w:color w:val="231F1F"/>
          <w:w w:val="110"/>
        </w:rPr>
        <w:t>sangrado</w:t>
      </w:r>
      <w:r>
        <w:rPr>
          <w:color w:val="231F1F"/>
          <w:spacing w:val="-6"/>
          <w:w w:val="110"/>
        </w:rPr>
        <w:t> </w:t>
      </w:r>
      <w:r>
        <w:rPr>
          <w:color w:val="231F1F"/>
          <w:w w:val="110"/>
        </w:rPr>
        <w:t>posparto.</w:t>
      </w:r>
      <w:r>
        <w:rPr>
          <w:color w:val="231F1F"/>
          <w:spacing w:val="-6"/>
          <w:w w:val="110"/>
        </w:rPr>
        <w:t> </w:t>
      </w:r>
      <w:r>
        <w:rPr>
          <w:color w:val="231F1F"/>
          <w:w w:val="110"/>
        </w:rPr>
        <w:t>Los</w:t>
      </w:r>
      <w:r>
        <w:rPr>
          <w:color w:val="231F1F"/>
          <w:spacing w:val="-6"/>
          <w:w w:val="110"/>
        </w:rPr>
        <w:t> </w:t>
      </w:r>
      <w:r>
        <w:rPr>
          <w:color w:val="231F1F"/>
          <w:w w:val="110"/>
        </w:rPr>
        <w:t>resultados</w:t>
      </w:r>
      <w:r>
        <w:rPr>
          <w:color w:val="231F1F"/>
          <w:spacing w:val="-5"/>
          <w:w w:val="110"/>
        </w:rPr>
        <w:t> </w:t>
      </w:r>
      <w:r>
        <w:rPr>
          <w:color w:val="231F1F"/>
          <w:w w:val="110"/>
        </w:rPr>
        <w:t>no</w:t>
      </w:r>
      <w:r>
        <w:rPr>
          <w:color w:val="231F1F"/>
          <w:spacing w:val="-5"/>
          <w:w w:val="110"/>
        </w:rPr>
        <w:t> </w:t>
      </w:r>
      <w:r>
        <w:rPr>
          <w:color w:val="231F1F"/>
          <w:w w:val="110"/>
        </w:rPr>
        <w:t>mostraron</w:t>
      </w:r>
      <w:r>
        <w:rPr>
          <w:color w:val="231F1F"/>
          <w:spacing w:val="-5"/>
          <w:w w:val="110"/>
        </w:rPr>
        <w:t> </w:t>
      </w:r>
      <w:r>
        <w:rPr>
          <w:color w:val="231F1F"/>
          <w:w w:val="110"/>
        </w:rPr>
        <w:t>diferencias</w:t>
      </w:r>
      <w:r>
        <w:rPr>
          <w:color w:val="231F1F"/>
          <w:spacing w:val="-7"/>
          <w:w w:val="110"/>
        </w:rPr>
        <w:t> </w:t>
      </w:r>
      <w:r>
        <w:rPr>
          <w:color w:val="231F1F"/>
          <w:w w:val="110"/>
        </w:rPr>
        <w:t>estadísti- camente significativas entre los dos grupos.</w:t>
      </w:r>
    </w:p>
    <w:p>
      <w:pPr>
        <w:pStyle w:val="BodyText"/>
        <w:spacing w:line="261" w:lineRule="auto" w:before="160"/>
        <w:ind w:left="283" w:right="1368" w:firstLine="453"/>
        <w:jc w:val="both"/>
      </w:pPr>
      <w:r>
        <w:rPr>
          <w:color w:val="231F1F"/>
        </w:rPr>
        <w:t>Las</w:t>
      </w:r>
      <w:r>
        <w:rPr>
          <w:color w:val="231F1F"/>
          <w:spacing w:val="36"/>
        </w:rPr>
        <w:t> </w:t>
      </w:r>
      <w:r>
        <w:rPr>
          <w:color w:val="231F1F"/>
        </w:rPr>
        <w:t>variables</w:t>
      </w:r>
      <w:r>
        <w:rPr>
          <w:color w:val="231F1F"/>
          <w:spacing w:val="36"/>
        </w:rPr>
        <w:t> </w:t>
      </w:r>
      <w:r>
        <w:rPr>
          <w:color w:val="231F1F"/>
        </w:rPr>
        <w:t>de</w:t>
      </w:r>
      <w:r>
        <w:rPr>
          <w:color w:val="231F1F"/>
          <w:spacing w:val="36"/>
        </w:rPr>
        <w:t> </w:t>
      </w:r>
      <w:r>
        <w:rPr>
          <w:color w:val="231F1F"/>
        </w:rPr>
        <w:t>resultado</w:t>
      </w:r>
      <w:r>
        <w:rPr>
          <w:color w:val="231F1F"/>
          <w:spacing w:val="37"/>
        </w:rPr>
        <w:t> </w:t>
      </w:r>
      <w:r>
        <w:rPr>
          <w:color w:val="231F1F"/>
        </w:rPr>
        <w:t>utilizadas</w:t>
      </w:r>
      <w:r>
        <w:rPr>
          <w:color w:val="231F1F"/>
          <w:spacing w:val="36"/>
        </w:rPr>
        <w:t> </w:t>
      </w:r>
      <w:r>
        <w:rPr>
          <w:color w:val="231F1F"/>
        </w:rPr>
        <w:t>fueron</w:t>
      </w:r>
      <w:r>
        <w:rPr>
          <w:color w:val="231F1F"/>
          <w:spacing w:val="37"/>
        </w:rPr>
        <w:t> </w:t>
      </w:r>
      <w:r>
        <w:rPr>
          <w:color w:val="231F1F"/>
        </w:rPr>
        <w:t>la</w:t>
      </w:r>
      <w:r>
        <w:rPr>
          <w:color w:val="231F1F"/>
          <w:spacing w:val="36"/>
        </w:rPr>
        <w:t> </w:t>
      </w:r>
      <w:r>
        <w:rPr>
          <w:color w:val="231F1F"/>
        </w:rPr>
        <w:t>pérdida</w:t>
      </w:r>
      <w:r>
        <w:rPr>
          <w:color w:val="231F1F"/>
          <w:spacing w:val="36"/>
        </w:rPr>
        <w:t> </w:t>
      </w:r>
      <w:r>
        <w:rPr>
          <w:color w:val="231F1F"/>
        </w:rPr>
        <w:t>de</w:t>
      </w:r>
      <w:r>
        <w:rPr>
          <w:color w:val="231F1F"/>
          <w:spacing w:val="36"/>
        </w:rPr>
        <w:t> </w:t>
      </w:r>
      <w:r>
        <w:rPr>
          <w:color w:val="231F1F"/>
        </w:rPr>
        <w:t>sangre</w:t>
      </w:r>
      <w:r>
        <w:rPr>
          <w:color w:val="231F1F"/>
          <w:spacing w:val="37"/>
        </w:rPr>
        <w:t> </w:t>
      </w:r>
      <w:r>
        <w:rPr>
          <w:color w:val="231F1F"/>
        </w:rPr>
        <w:t>superior o igual a 500 ml, la HPP severa, con pérdida de sangre superior o igual a 1.000</w:t>
      </w:r>
      <w:r>
        <w:rPr>
          <w:color w:val="231F1F"/>
          <w:spacing w:val="40"/>
        </w:rPr>
        <w:t> </w:t>
      </w:r>
      <w:r>
        <w:rPr>
          <w:color w:val="231F1F"/>
        </w:rPr>
        <w:t>ml,</w:t>
      </w:r>
      <w:r>
        <w:rPr>
          <w:color w:val="231F1F"/>
          <w:spacing w:val="29"/>
        </w:rPr>
        <w:t> </w:t>
      </w:r>
      <w:r>
        <w:rPr>
          <w:color w:val="231F1F"/>
        </w:rPr>
        <w:t>la</w:t>
      </w:r>
      <w:r>
        <w:rPr>
          <w:color w:val="231F1F"/>
          <w:spacing w:val="29"/>
        </w:rPr>
        <w:t> </w:t>
      </w:r>
      <w:r>
        <w:rPr>
          <w:color w:val="231F1F"/>
        </w:rPr>
        <w:t>pérdida</w:t>
      </w:r>
      <w:r>
        <w:rPr>
          <w:color w:val="231F1F"/>
          <w:spacing w:val="28"/>
        </w:rPr>
        <w:t> </w:t>
      </w:r>
      <w:r>
        <w:rPr>
          <w:color w:val="231F1F"/>
        </w:rPr>
        <w:t>media</w:t>
      </w:r>
      <w:r>
        <w:rPr>
          <w:color w:val="231F1F"/>
          <w:spacing w:val="29"/>
        </w:rPr>
        <w:t> </w:t>
      </w:r>
      <w:r>
        <w:rPr>
          <w:color w:val="231F1F"/>
        </w:rPr>
        <w:t>de</w:t>
      </w:r>
      <w:r>
        <w:rPr>
          <w:color w:val="231F1F"/>
          <w:spacing w:val="28"/>
        </w:rPr>
        <w:t> </w:t>
      </w:r>
      <w:r>
        <w:rPr>
          <w:color w:val="231F1F"/>
        </w:rPr>
        <w:t>sangre,</w:t>
      </w:r>
      <w:r>
        <w:rPr>
          <w:color w:val="231F1F"/>
          <w:spacing w:val="30"/>
        </w:rPr>
        <w:t> </w:t>
      </w:r>
      <w:r>
        <w:rPr>
          <w:color w:val="231F1F"/>
        </w:rPr>
        <w:t>la</w:t>
      </w:r>
      <w:r>
        <w:rPr>
          <w:color w:val="231F1F"/>
          <w:spacing w:val="29"/>
        </w:rPr>
        <w:t> </w:t>
      </w:r>
      <w:r>
        <w:rPr>
          <w:color w:val="231F1F"/>
        </w:rPr>
        <w:t>hemoglobina</w:t>
      </w:r>
      <w:r>
        <w:rPr>
          <w:color w:val="231F1F"/>
          <w:spacing w:val="28"/>
        </w:rPr>
        <w:t> </w:t>
      </w:r>
      <w:r>
        <w:rPr>
          <w:color w:val="231F1F"/>
        </w:rPr>
        <w:t>materna</w:t>
      </w:r>
      <w:r>
        <w:rPr>
          <w:color w:val="231F1F"/>
          <w:spacing w:val="29"/>
        </w:rPr>
        <w:t> </w:t>
      </w:r>
      <w:r>
        <w:rPr>
          <w:color w:val="231F1F"/>
        </w:rPr>
        <w:t>menor</w:t>
      </w:r>
      <w:r>
        <w:rPr>
          <w:color w:val="231F1F"/>
          <w:spacing w:val="29"/>
        </w:rPr>
        <w:t> </w:t>
      </w:r>
      <w:r>
        <w:rPr>
          <w:color w:val="231F1F"/>
        </w:rPr>
        <w:t>de</w:t>
      </w:r>
      <w:r>
        <w:rPr>
          <w:color w:val="231F1F"/>
          <w:spacing w:val="29"/>
        </w:rPr>
        <w:t> </w:t>
      </w:r>
      <w:r>
        <w:rPr>
          <w:color w:val="231F1F"/>
        </w:rPr>
        <w:t>9</w:t>
      </w:r>
      <w:r>
        <w:rPr>
          <w:color w:val="231F1F"/>
          <w:spacing w:val="28"/>
        </w:rPr>
        <w:t> </w:t>
      </w:r>
      <w:r>
        <w:rPr>
          <w:color w:val="231F1F"/>
        </w:rPr>
        <w:t>g/dl</w:t>
      </w:r>
      <w:r>
        <w:rPr>
          <w:color w:val="231F1F"/>
          <w:spacing w:val="28"/>
        </w:rPr>
        <w:t> </w:t>
      </w:r>
      <w:r>
        <w:rPr>
          <w:color w:val="231F1F"/>
        </w:rPr>
        <w:t>a</w:t>
      </w:r>
      <w:r>
        <w:rPr>
          <w:color w:val="231F1F"/>
          <w:spacing w:val="29"/>
        </w:rPr>
        <w:t> </w:t>
      </w:r>
      <w:r>
        <w:rPr>
          <w:color w:val="231F1F"/>
        </w:rPr>
        <w:t>las 24-48 horas posparto, la necesidad de transfusiones sanguíneas y la adminis- tración</w:t>
      </w:r>
      <w:r>
        <w:rPr>
          <w:color w:val="231F1F"/>
          <w:spacing w:val="40"/>
        </w:rPr>
        <w:t> </w:t>
      </w:r>
      <w:r>
        <w:rPr>
          <w:color w:val="231F1F"/>
        </w:rPr>
        <w:t>de</w:t>
      </w:r>
      <w:r>
        <w:rPr>
          <w:color w:val="231F1F"/>
          <w:spacing w:val="40"/>
        </w:rPr>
        <w:t> </w:t>
      </w:r>
      <w:r>
        <w:rPr>
          <w:color w:val="231F1F"/>
        </w:rPr>
        <w:t>hierro</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puerperio.</w:t>
      </w:r>
    </w:p>
    <w:p>
      <w:pPr>
        <w:pStyle w:val="BodyText"/>
        <w:spacing w:before="76"/>
        <w:ind w:left="736"/>
        <w:jc w:val="both"/>
        <w:rPr>
          <w:rFonts w:ascii="Arial MT" w:hAnsi="Arial MT"/>
          <w:sz w:val="18"/>
        </w:rPr>
      </w:pPr>
      <w:r>
        <w:rPr>
          <w:color w:val="231F1F"/>
          <w:w w:val="110"/>
        </w:rPr>
        <w:t>El</w:t>
      </w:r>
      <w:r>
        <w:rPr>
          <w:color w:val="231F1F"/>
          <w:spacing w:val="-6"/>
          <w:w w:val="110"/>
        </w:rPr>
        <w:t> </w:t>
      </w:r>
      <w:r>
        <w:rPr>
          <w:color w:val="231F1F"/>
          <w:w w:val="110"/>
        </w:rPr>
        <w:t>manejo</w:t>
      </w:r>
      <w:r>
        <w:rPr>
          <w:color w:val="231F1F"/>
          <w:spacing w:val="-3"/>
          <w:w w:val="110"/>
        </w:rPr>
        <w:t> </w:t>
      </w:r>
      <w:r>
        <w:rPr>
          <w:color w:val="231F1F"/>
          <w:w w:val="110"/>
        </w:rPr>
        <w:t>activo</w:t>
      </w:r>
      <w:r>
        <w:rPr>
          <w:color w:val="231F1F"/>
          <w:spacing w:val="-3"/>
          <w:w w:val="110"/>
        </w:rPr>
        <w:t> </w:t>
      </w:r>
      <w:r>
        <w:rPr>
          <w:color w:val="231F1F"/>
          <w:w w:val="110"/>
        </w:rPr>
        <w:t>del</w:t>
      </w:r>
      <w:r>
        <w:rPr>
          <w:color w:val="231F1F"/>
          <w:spacing w:val="-5"/>
          <w:w w:val="110"/>
        </w:rPr>
        <w:t> </w:t>
      </w:r>
      <w:r>
        <w:rPr>
          <w:color w:val="231F1F"/>
          <w:w w:val="110"/>
        </w:rPr>
        <w:t>alumbramiento</w:t>
      </w:r>
      <w:r>
        <w:rPr>
          <w:color w:val="231F1F"/>
          <w:spacing w:val="-3"/>
          <w:w w:val="110"/>
        </w:rPr>
        <w:t> </w:t>
      </w:r>
      <w:r>
        <w:rPr>
          <w:color w:val="231F1F"/>
          <w:w w:val="110"/>
        </w:rPr>
        <w:t>disminuyó</w:t>
      </w:r>
      <w:r>
        <w:rPr>
          <w:color w:val="231F1F"/>
          <w:spacing w:val="-3"/>
          <w:w w:val="110"/>
        </w:rPr>
        <w:t> </w:t>
      </w:r>
      <w:r>
        <w:rPr>
          <w:color w:val="231F1F"/>
          <w:w w:val="110"/>
        </w:rPr>
        <w:t>el</w:t>
      </w:r>
      <w:r>
        <w:rPr>
          <w:color w:val="231F1F"/>
          <w:spacing w:val="-3"/>
          <w:w w:val="110"/>
        </w:rPr>
        <w:t> </w:t>
      </w:r>
      <w:r>
        <w:rPr>
          <w:color w:val="231F1F"/>
          <w:w w:val="110"/>
        </w:rPr>
        <w:t>riesgo</w:t>
      </w:r>
      <w:r>
        <w:rPr>
          <w:color w:val="231F1F"/>
          <w:spacing w:val="-5"/>
          <w:w w:val="110"/>
        </w:rPr>
        <w:t> </w:t>
      </w:r>
      <w:r>
        <w:rPr>
          <w:color w:val="231F1F"/>
          <w:w w:val="110"/>
        </w:rPr>
        <w:t>de</w:t>
      </w:r>
      <w:r>
        <w:rPr>
          <w:color w:val="231F1F"/>
          <w:spacing w:val="-3"/>
          <w:w w:val="110"/>
        </w:rPr>
        <w:t> </w:t>
      </w:r>
      <w:r>
        <w:rPr>
          <w:color w:val="231F1F"/>
          <w:w w:val="110"/>
        </w:rPr>
        <w:t>HPP:</w:t>
      </w:r>
      <w:r>
        <w:rPr>
          <w:color w:val="231F1F"/>
          <w:spacing w:val="-5"/>
          <w:w w:val="110"/>
        </w:rPr>
        <w:t> </w:t>
      </w:r>
      <w:r>
        <w:rPr>
          <w:color w:val="231F1F"/>
          <w:w w:val="110"/>
        </w:rPr>
        <w:t>RR</w:t>
      </w:r>
      <w:r>
        <w:rPr>
          <w:color w:val="231F1F"/>
          <w:spacing w:val="39"/>
          <w:w w:val="110"/>
        </w:rPr>
        <w:t>  </w:t>
      </w:r>
      <w:r>
        <w:rPr>
          <w:rFonts w:ascii="Arial MT" w:hAnsi="Arial MT"/>
          <w:color w:val="231F1F"/>
          <w:w w:val="110"/>
          <w:sz w:val="18"/>
        </w:rPr>
        <w:t>RS-MA</w:t>
      </w:r>
      <w:r>
        <w:rPr>
          <w:rFonts w:ascii="Arial MT" w:hAnsi="Arial MT"/>
          <w:color w:val="231F1F"/>
          <w:spacing w:val="-10"/>
          <w:w w:val="110"/>
          <w:sz w:val="18"/>
        </w:rPr>
        <w:t> </w:t>
      </w:r>
      <w:r>
        <w:rPr>
          <w:rFonts w:ascii="Arial MT" w:hAnsi="Arial MT"/>
          <w:color w:val="231F1F"/>
          <w:spacing w:val="-5"/>
          <w:w w:val="110"/>
          <w:sz w:val="18"/>
        </w:rPr>
        <w:t>de</w:t>
      </w:r>
    </w:p>
    <w:p>
      <w:pPr>
        <w:pStyle w:val="BodyText"/>
        <w:spacing w:before="3"/>
        <w:ind w:left="283"/>
        <w:jc w:val="both"/>
        <w:rPr>
          <w:rFonts w:ascii="Arial MT"/>
          <w:position w:val="4"/>
          <w:sz w:val="18"/>
        </w:rPr>
      </w:pPr>
      <w:r>
        <w:rPr>
          <w:color w:val="231F1F"/>
          <w:w w:val="105"/>
        </w:rPr>
        <w:t>0,38</w:t>
      </w:r>
      <w:r>
        <w:rPr>
          <w:color w:val="231F1F"/>
          <w:spacing w:val="-3"/>
          <w:w w:val="105"/>
        </w:rPr>
        <w:t> </w:t>
      </w:r>
      <w:r>
        <w:rPr>
          <w:color w:val="231F1F"/>
          <w:w w:val="105"/>
        </w:rPr>
        <w:t>[95%</w:t>
      </w:r>
      <w:r>
        <w:rPr>
          <w:color w:val="231F1F"/>
          <w:spacing w:val="-1"/>
          <w:w w:val="105"/>
        </w:rPr>
        <w:t> </w:t>
      </w:r>
      <w:r>
        <w:rPr>
          <w:color w:val="231F1F"/>
          <w:w w:val="105"/>
        </w:rPr>
        <w:t>IC</w:t>
      </w:r>
      <w:r>
        <w:rPr>
          <w:color w:val="231F1F"/>
          <w:spacing w:val="-1"/>
          <w:w w:val="105"/>
        </w:rPr>
        <w:t> </w:t>
      </w:r>
      <w:r>
        <w:rPr>
          <w:color w:val="231F1F"/>
          <w:w w:val="105"/>
        </w:rPr>
        <w:t>0,32</w:t>
      </w:r>
      <w:r>
        <w:rPr>
          <w:color w:val="231F1F"/>
          <w:spacing w:val="-1"/>
          <w:w w:val="105"/>
        </w:rPr>
        <w:t> </w:t>
      </w:r>
      <w:r>
        <w:rPr>
          <w:color w:val="231F1F"/>
          <w:w w:val="105"/>
        </w:rPr>
        <w:t>a</w:t>
      </w:r>
      <w:r>
        <w:rPr>
          <w:color w:val="231F1F"/>
          <w:spacing w:val="-1"/>
          <w:w w:val="105"/>
        </w:rPr>
        <w:t> </w:t>
      </w:r>
      <w:r>
        <w:rPr>
          <w:color w:val="231F1F"/>
          <w:w w:val="105"/>
        </w:rPr>
        <w:t>0,46]</w:t>
      </w:r>
      <w:r>
        <w:rPr>
          <w:color w:val="231F1F"/>
          <w:spacing w:val="-3"/>
          <w:w w:val="105"/>
        </w:rPr>
        <w:t> </w:t>
      </w:r>
      <w:r>
        <w:rPr>
          <w:color w:val="231F1F"/>
          <w:w w:val="105"/>
        </w:rPr>
        <w:t>y</w:t>
      </w:r>
      <w:r>
        <w:rPr>
          <w:color w:val="231F1F"/>
          <w:spacing w:val="-2"/>
          <w:w w:val="105"/>
        </w:rPr>
        <w:t> </w:t>
      </w:r>
      <w:r>
        <w:rPr>
          <w:color w:val="231F1F"/>
          <w:w w:val="105"/>
        </w:rPr>
        <w:t>de</w:t>
      </w:r>
      <w:r>
        <w:rPr>
          <w:color w:val="231F1F"/>
          <w:spacing w:val="-2"/>
          <w:w w:val="105"/>
        </w:rPr>
        <w:t> </w:t>
      </w:r>
      <w:r>
        <w:rPr>
          <w:color w:val="231F1F"/>
          <w:w w:val="105"/>
        </w:rPr>
        <w:t>HPP</w:t>
      </w:r>
      <w:r>
        <w:rPr>
          <w:color w:val="231F1F"/>
          <w:spacing w:val="-2"/>
          <w:w w:val="105"/>
        </w:rPr>
        <w:t> </w:t>
      </w:r>
      <w:r>
        <w:rPr>
          <w:color w:val="231F1F"/>
          <w:w w:val="105"/>
        </w:rPr>
        <w:t>severa:</w:t>
      </w:r>
      <w:r>
        <w:rPr>
          <w:color w:val="231F1F"/>
          <w:spacing w:val="-3"/>
          <w:w w:val="105"/>
        </w:rPr>
        <w:t> </w:t>
      </w:r>
      <w:r>
        <w:rPr>
          <w:color w:val="231F1F"/>
          <w:w w:val="105"/>
        </w:rPr>
        <w:t>RR</w:t>
      </w:r>
      <w:r>
        <w:rPr>
          <w:color w:val="231F1F"/>
          <w:spacing w:val="-2"/>
          <w:w w:val="105"/>
        </w:rPr>
        <w:t> </w:t>
      </w:r>
      <w:r>
        <w:rPr>
          <w:color w:val="231F1F"/>
          <w:w w:val="105"/>
        </w:rPr>
        <w:t>0,33</w:t>
      </w:r>
      <w:r>
        <w:rPr>
          <w:color w:val="231F1F"/>
          <w:spacing w:val="-1"/>
          <w:w w:val="105"/>
        </w:rPr>
        <w:t> </w:t>
      </w:r>
      <w:r>
        <w:rPr>
          <w:color w:val="231F1F"/>
          <w:w w:val="105"/>
        </w:rPr>
        <w:t>[95%</w:t>
      </w:r>
      <w:r>
        <w:rPr>
          <w:color w:val="231F1F"/>
          <w:spacing w:val="-3"/>
          <w:w w:val="105"/>
        </w:rPr>
        <w:t> </w:t>
      </w:r>
      <w:r>
        <w:rPr>
          <w:color w:val="231F1F"/>
          <w:w w:val="105"/>
        </w:rPr>
        <w:t>IC</w:t>
      </w:r>
      <w:r>
        <w:rPr>
          <w:color w:val="231F1F"/>
          <w:spacing w:val="-1"/>
          <w:w w:val="105"/>
        </w:rPr>
        <w:t> </w:t>
      </w:r>
      <w:r>
        <w:rPr>
          <w:color w:val="231F1F"/>
          <w:w w:val="105"/>
        </w:rPr>
        <w:t>0,21</w:t>
      </w:r>
      <w:r>
        <w:rPr>
          <w:color w:val="231F1F"/>
          <w:spacing w:val="-1"/>
          <w:w w:val="105"/>
        </w:rPr>
        <w:t> </w:t>
      </w:r>
      <w:r>
        <w:rPr>
          <w:color w:val="231F1F"/>
          <w:w w:val="105"/>
        </w:rPr>
        <w:t>a</w:t>
      </w:r>
      <w:r>
        <w:rPr>
          <w:color w:val="231F1F"/>
          <w:spacing w:val="-2"/>
          <w:w w:val="105"/>
        </w:rPr>
        <w:t> </w:t>
      </w:r>
      <w:r>
        <w:rPr>
          <w:color w:val="231F1F"/>
          <w:w w:val="105"/>
        </w:rPr>
        <w:t>0,51]</w:t>
      </w:r>
      <w:r>
        <w:rPr>
          <w:color w:val="231F1F"/>
          <w:spacing w:val="-3"/>
          <w:w w:val="105"/>
        </w:rPr>
        <w:t> </w:t>
      </w:r>
      <w:r>
        <w:rPr>
          <w:color w:val="231F1F"/>
          <w:w w:val="105"/>
        </w:rPr>
        <w:t>en</w:t>
      </w:r>
      <w:r>
        <w:rPr>
          <w:color w:val="231F1F"/>
          <w:spacing w:val="57"/>
          <w:w w:val="150"/>
        </w:rPr>
        <w:t>   </w:t>
      </w:r>
      <w:r>
        <w:rPr>
          <w:rFonts w:ascii="Arial MT"/>
          <w:color w:val="231F1F"/>
          <w:spacing w:val="-4"/>
          <w:w w:val="105"/>
          <w:position w:val="4"/>
          <w:sz w:val="18"/>
        </w:rPr>
        <w:t>ECAs</w:t>
      </w:r>
    </w:p>
    <w:p>
      <w:pPr>
        <w:pStyle w:val="BodyText"/>
        <w:tabs>
          <w:tab w:pos="8114" w:val="left" w:leader="none"/>
        </w:tabs>
        <w:spacing w:before="6"/>
        <w:ind w:left="283"/>
        <w:jc w:val="both"/>
        <w:rPr>
          <w:rFonts w:ascii="Arial MT"/>
          <w:position w:val="8"/>
          <w:sz w:val="18"/>
        </w:rPr>
      </w:pPr>
      <w:r>
        <w:rPr>
          <w:color w:val="231F1F"/>
          <w:w w:val="105"/>
        </w:rPr>
        <w:t>cuatro</w:t>
      </w:r>
      <w:r>
        <w:rPr>
          <w:color w:val="231F1F"/>
          <w:spacing w:val="-6"/>
          <w:w w:val="105"/>
        </w:rPr>
        <w:t> </w:t>
      </w:r>
      <w:r>
        <w:rPr>
          <w:color w:val="231F1F"/>
          <w:w w:val="105"/>
        </w:rPr>
        <w:t>ensayos</w:t>
      </w:r>
      <w:r>
        <w:rPr>
          <w:color w:val="231F1F"/>
          <w:spacing w:val="-6"/>
          <w:w w:val="105"/>
        </w:rPr>
        <w:t> </w:t>
      </w:r>
      <w:r>
        <w:rPr>
          <w:color w:val="231F1F"/>
          <w:w w:val="105"/>
        </w:rPr>
        <w:t>con</w:t>
      </w:r>
      <w:r>
        <w:rPr>
          <w:color w:val="231F1F"/>
          <w:spacing w:val="-6"/>
          <w:w w:val="105"/>
        </w:rPr>
        <w:t> </w:t>
      </w:r>
      <w:r>
        <w:rPr>
          <w:color w:val="231F1F"/>
          <w:w w:val="105"/>
        </w:rPr>
        <w:t>6.284</w:t>
      </w:r>
      <w:r>
        <w:rPr>
          <w:color w:val="231F1F"/>
          <w:spacing w:val="-6"/>
          <w:w w:val="105"/>
        </w:rPr>
        <w:t> </w:t>
      </w:r>
      <w:r>
        <w:rPr>
          <w:color w:val="231F1F"/>
          <w:spacing w:val="-2"/>
          <w:w w:val="105"/>
        </w:rPr>
        <w:t>mujeres.</w:t>
      </w:r>
      <w:r>
        <w:rPr>
          <w:color w:val="231F1F"/>
        </w:rPr>
        <w:tab/>
      </w:r>
      <w:r>
        <w:rPr>
          <w:rFonts w:ascii="Arial MT"/>
          <w:color w:val="231F1F"/>
          <w:spacing w:val="-5"/>
          <w:w w:val="105"/>
          <w:position w:val="8"/>
          <w:sz w:val="18"/>
        </w:rPr>
        <w:t>1+</w:t>
      </w:r>
    </w:p>
    <w:p>
      <w:pPr>
        <w:pStyle w:val="BodyText"/>
        <w:spacing w:line="249" w:lineRule="auto" w:before="155"/>
        <w:ind w:left="283" w:right="1366" w:firstLine="453"/>
        <w:jc w:val="both"/>
      </w:pPr>
      <w:r>
        <w:rPr>
          <w:color w:val="231F1F"/>
          <w:w w:val="105"/>
        </w:rPr>
        <w:t>También</w:t>
      </w:r>
      <w:r>
        <w:rPr>
          <w:color w:val="231F1F"/>
          <w:w w:val="105"/>
        </w:rPr>
        <w:t> redujo</w:t>
      </w:r>
      <w:r>
        <w:rPr>
          <w:color w:val="231F1F"/>
          <w:w w:val="105"/>
        </w:rPr>
        <w:t> la</w:t>
      </w:r>
      <w:r>
        <w:rPr>
          <w:color w:val="231F1F"/>
          <w:w w:val="105"/>
        </w:rPr>
        <w:t> necesidad</w:t>
      </w:r>
      <w:r>
        <w:rPr>
          <w:color w:val="231F1F"/>
          <w:w w:val="105"/>
        </w:rPr>
        <w:t> de</w:t>
      </w:r>
      <w:r>
        <w:rPr>
          <w:color w:val="231F1F"/>
          <w:w w:val="105"/>
        </w:rPr>
        <w:t> administración</w:t>
      </w:r>
      <w:r>
        <w:rPr>
          <w:color w:val="231F1F"/>
          <w:w w:val="105"/>
        </w:rPr>
        <w:t> de</w:t>
      </w:r>
      <w:r>
        <w:rPr>
          <w:color w:val="231F1F"/>
          <w:w w:val="105"/>
        </w:rPr>
        <w:t> oxitócicos:</w:t>
      </w:r>
      <w:r>
        <w:rPr>
          <w:color w:val="231F1F"/>
          <w:w w:val="105"/>
        </w:rPr>
        <w:t> RR</w:t>
      </w:r>
      <w:r>
        <w:rPr>
          <w:color w:val="231F1F"/>
          <w:w w:val="105"/>
        </w:rPr>
        <w:t> 0,20 [95% IC 0,17</w:t>
      </w:r>
      <w:r>
        <w:rPr>
          <w:color w:val="231F1F"/>
          <w:spacing w:val="-1"/>
          <w:w w:val="105"/>
        </w:rPr>
        <w:t> </w:t>
      </w:r>
      <w:r>
        <w:rPr>
          <w:color w:val="231F1F"/>
          <w:w w:val="105"/>
        </w:rPr>
        <w:t>a</w:t>
      </w:r>
      <w:r>
        <w:rPr>
          <w:color w:val="231F1F"/>
          <w:spacing w:val="-1"/>
          <w:w w:val="105"/>
        </w:rPr>
        <w:t> </w:t>
      </w:r>
      <w:r>
        <w:rPr>
          <w:color w:val="231F1F"/>
          <w:w w:val="105"/>
        </w:rPr>
        <w:t>0,25]</w:t>
      </w:r>
      <w:r>
        <w:rPr>
          <w:color w:val="231F1F"/>
          <w:spacing w:val="-1"/>
          <w:w w:val="105"/>
        </w:rPr>
        <w:t> </w:t>
      </w:r>
      <w:r>
        <w:rPr>
          <w:color w:val="231F1F"/>
          <w:w w:val="105"/>
        </w:rPr>
        <w:t>en cinco ensayos con 6.477</w:t>
      </w:r>
      <w:r>
        <w:rPr>
          <w:color w:val="231F1F"/>
          <w:spacing w:val="-1"/>
          <w:w w:val="105"/>
        </w:rPr>
        <w:t> </w:t>
      </w:r>
      <w:r>
        <w:rPr>
          <w:color w:val="231F1F"/>
          <w:w w:val="105"/>
        </w:rPr>
        <w:t>mujeres</w:t>
      </w:r>
      <w:r>
        <w:rPr>
          <w:color w:val="231F1F"/>
          <w:spacing w:val="-1"/>
          <w:w w:val="105"/>
        </w:rPr>
        <w:t> </w:t>
      </w:r>
      <w:r>
        <w:rPr>
          <w:color w:val="231F1F"/>
          <w:w w:val="105"/>
        </w:rPr>
        <w:t>y acortó la</w:t>
      </w:r>
      <w:r>
        <w:rPr>
          <w:color w:val="231F1F"/>
          <w:spacing w:val="-1"/>
          <w:w w:val="105"/>
        </w:rPr>
        <w:t> </w:t>
      </w:r>
      <w:r>
        <w:rPr>
          <w:color w:val="231F1F"/>
          <w:w w:val="105"/>
        </w:rPr>
        <w:t>duración de</w:t>
      </w:r>
      <w:r>
        <w:rPr>
          <w:color w:val="231F1F"/>
          <w:w w:val="105"/>
        </w:rPr>
        <w:t> la</w:t>
      </w:r>
      <w:r>
        <w:rPr>
          <w:color w:val="231F1F"/>
          <w:w w:val="105"/>
        </w:rPr>
        <w:t> tercera</w:t>
      </w:r>
      <w:r>
        <w:rPr>
          <w:color w:val="231F1F"/>
          <w:w w:val="105"/>
        </w:rPr>
        <w:t> etapa</w:t>
      </w:r>
      <w:r>
        <w:rPr>
          <w:color w:val="231F1F"/>
          <w:w w:val="105"/>
        </w:rPr>
        <w:t> del</w:t>
      </w:r>
      <w:r>
        <w:rPr>
          <w:color w:val="231F1F"/>
          <w:w w:val="105"/>
        </w:rPr>
        <w:t> parto,</w:t>
      </w:r>
      <w:r>
        <w:rPr>
          <w:color w:val="231F1F"/>
          <w:w w:val="105"/>
        </w:rPr>
        <w:t> disminuyendo</w:t>
      </w:r>
      <w:r>
        <w:rPr>
          <w:color w:val="231F1F"/>
          <w:w w:val="105"/>
        </w:rPr>
        <w:t> el</w:t>
      </w:r>
      <w:r>
        <w:rPr>
          <w:color w:val="231F1F"/>
          <w:w w:val="105"/>
        </w:rPr>
        <w:t> riesgo</w:t>
      </w:r>
      <w:r>
        <w:rPr>
          <w:color w:val="231F1F"/>
          <w:w w:val="105"/>
        </w:rPr>
        <w:t> de</w:t>
      </w:r>
      <w:r>
        <w:rPr>
          <w:color w:val="231F1F"/>
          <w:w w:val="105"/>
        </w:rPr>
        <w:t> ser</w:t>
      </w:r>
      <w:r>
        <w:rPr>
          <w:color w:val="231F1F"/>
          <w:w w:val="105"/>
        </w:rPr>
        <w:t> superior</w:t>
      </w:r>
      <w:r>
        <w:rPr>
          <w:color w:val="231F1F"/>
          <w:w w:val="105"/>
        </w:rPr>
        <w:t> a</w:t>
      </w:r>
      <w:r>
        <w:rPr>
          <w:color w:val="231F1F"/>
          <w:w w:val="105"/>
        </w:rPr>
        <w:t> 20 minutos:</w:t>
      </w:r>
      <w:r>
        <w:rPr>
          <w:color w:val="231F1F"/>
          <w:spacing w:val="-7"/>
          <w:w w:val="105"/>
        </w:rPr>
        <w:t> </w:t>
      </w:r>
      <w:r>
        <w:rPr>
          <w:color w:val="231F1F"/>
          <w:w w:val="105"/>
        </w:rPr>
        <w:t>RR</w:t>
      </w:r>
      <w:r>
        <w:rPr>
          <w:color w:val="231F1F"/>
          <w:spacing w:val="-5"/>
          <w:w w:val="105"/>
        </w:rPr>
        <w:t> </w:t>
      </w:r>
      <w:r>
        <w:rPr>
          <w:color w:val="231F1F"/>
          <w:w w:val="105"/>
        </w:rPr>
        <w:t>0,15</w:t>
      </w:r>
      <w:r>
        <w:rPr>
          <w:color w:val="231F1F"/>
          <w:spacing w:val="-7"/>
          <w:w w:val="105"/>
        </w:rPr>
        <w:t> </w:t>
      </w:r>
      <w:r>
        <w:rPr>
          <w:color w:val="231F1F"/>
          <w:w w:val="105"/>
        </w:rPr>
        <w:t>[95%</w:t>
      </w:r>
      <w:r>
        <w:rPr>
          <w:color w:val="231F1F"/>
          <w:spacing w:val="-5"/>
          <w:w w:val="105"/>
        </w:rPr>
        <w:t> </w:t>
      </w:r>
      <w:r>
        <w:rPr>
          <w:color w:val="231F1F"/>
          <w:w w:val="105"/>
        </w:rPr>
        <w:t>IC</w:t>
      </w:r>
      <w:r>
        <w:rPr>
          <w:color w:val="231F1F"/>
          <w:spacing w:val="-5"/>
          <w:w w:val="105"/>
        </w:rPr>
        <w:t> </w:t>
      </w:r>
      <w:r>
        <w:rPr>
          <w:color w:val="231F1F"/>
          <w:w w:val="105"/>
        </w:rPr>
        <w:t>0,12</w:t>
      </w:r>
      <w:r>
        <w:rPr>
          <w:color w:val="231F1F"/>
          <w:spacing w:val="-7"/>
          <w:w w:val="105"/>
        </w:rPr>
        <w:t> </w:t>
      </w:r>
      <w:r>
        <w:rPr>
          <w:color w:val="231F1F"/>
          <w:w w:val="105"/>
        </w:rPr>
        <w:t>a</w:t>
      </w:r>
      <w:r>
        <w:rPr>
          <w:color w:val="231F1F"/>
          <w:spacing w:val="-5"/>
          <w:w w:val="105"/>
        </w:rPr>
        <w:t> </w:t>
      </w:r>
      <w:r>
        <w:rPr>
          <w:color w:val="231F1F"/>
          <w:w w:val="105"/>
        </w:rPr>
        <w:t>0,19]</w:t>
      </w:r>
      <w:r>
        <w:rPr>
          <w:color w:val="231F1F"/>
          <w:spacing w:val="-6"/>
          <w:w w:val="105"/>
        </w:rPr>
        <w:t> </w:t>
      </w:r>
      <w:r>
        <w:rPr>
          <w:color w:val="231F1F"/>
          <w:w w:val="105"/>
        </w:rPr>
        <w:t>en</w:t>
      </w:r>
      <w:r>
        <w:rPr>
          <w:color w:val="231F1F"/>
          <w:spacing w:val="-6"/>
          <w:w w:val="105"/>
        </w:rPr>
        <w:t> </w:t>
      </w:r>
      <w:r>
        <w:rPr>
          <w:color w:val="231F1F"/>
          <w:w w:val="105"/>
        </w:rPr>
        <w:t>tres</w:t>
      </w:r>
      <w:r>
        <w:rPr>
          <w:color w:val="231F1F"/>
          <w:spacing w:val="-6"/>
          <w:w w:val="105"/>
        </w:rPr>
        <w:t> </w:t>
      </w:r>
      <w:r>
        <w:rPr>
          <w:color w:val="231F1F"/>
          <w:w w:val="105"/>
        </w:rPr>
        <w:t>ensayos</w:t>
      </w:r>
      <w:r>
        <w:rPr>
          <w:color w:val="231F1F"/>
          <w:spacing w:val="-5"/>
          <w:w w:val="105"/>
        </w:rPr>
        <w:t> </w:t>
      </w:r>
      <w:r>
        <w:rPr>
          <w:color w:val="231F1F"/>
          <w:w w:val="105"/>
        </w:rPr>
        <w:t>con</w:t>
      </w:r>
      <w:r>
        <w:rPr>
          <w:color w:val="231F1F"/>
          <w:spacing w:val="-6"/>
          <w:w w:val="105"/>
        </w:rPr>
        <w:t> </w:t>
      </w:r>
      <w:r>
        <w:rPr>
          <w:color w:val="231F1F"/>
          <w:w w:val="105"/>
        </w:rPr>
        <w:t>4.637</w:t>
      </w:r>
      <w:r>
        <w:rPr>
          <w:color w:val="231F1F"/>
          <w:spacing w:val="-5"/>
          <w:w w:val="105"/>
        </w:rPr>
        <w:t> </w:t>
      </w:r>
      <w:r>
        <w:rPr>
          <w:color w:val="231F1F"/>
          <w:w w:val="105"/>
        </w:rPr>
        <w:t>mujeres</w:t>
      </w:r>
      <w:r>
        <w:rPr>
          <w:color w:val="231F1F"/>
          <w:spacing w:val="-7"/>
          <w:w w:val="105"/>
        </w:rPr>
        <w:t> </w:t>
      </w:r>
      <w:r>
        <w:rPr>
          <w:color w:val="231F1F"/>
          <w:w w:val="105"/>
        </w:rPr>
        <w:t>y</w:t>
      </w:r>
      <w:r>
        <w:rPr>
          <w:color w:val="231F1F"/>
          <w:spacing w:val="-5"/>
          <w:w w:val="105"/>
        </w:rPr>
        <w:t> </w:t>
      </w:r>
      <w:r>
        <w:rPr>
          <w:color w:val="231F1F"/>
          <w:w w:val="105"/>
        </w:rPr>
        <w:t>de</w:t>
      </w:r>
    </w:p>
    <w:p>
      <w:pPr>
        <w:pStyle w:val="BodyText"/>
        <w:spacing w:before="4"/>
        <w:ind w:left="283"/>
        <w:jc w:val="both"/>
      </w:pPr>
      <w:r>
        <w:rPr>
          <w:color w:val="231F1F"/>
          <w:w w:val="105"/>
        </w:rPr>
        <w:t>ser</w:t>
      </w:r>
      <w:r>
        <w:rPr>
          <w:color w:val="231F1F"/>
          <w:spacing w:val="-1"/>
          <w:w w:val="105"/>
        </w:rPr>
        <w:t> </w:t>
      </w:r>
      <w:r>
        <w:rPr>
          <w:color w:val="231F1F"/>
          <w:w w:val="105"/>
        </w:rPr>
        <w:t>superior</w:t>
      </w:r>
      <w:r>
        <w:rPr>
          <w:color w:val="231F1F"/>
          <w:spacing w:val="1"/>
          <w:w w:val="105"/>
        </w:rPr>
        <w:t> </w:t>
      </w:r>
      <w:r>
        <w:rPr>
          <w:color w:val="231F1F"/>
          <w:w w:val="105"/>
        </w:rPr>
        <w:t>a</w:t>
      </w:r>
      <w:r>
        <w:rPr>
          <w:color w:val="231F1F"/>
          <w:spacing w:val="1"/>
          <w:w w:val="105"/>
        </w:rPr>
        <w:t> </w:t>
      </w:r>
      <w:r>
        <w:rPr>
          <w:color w:val="231F1F"/>
          <w:w w:val="105"/>
        </w:rPr>
        <w:t>40</w:t>
      </w:r>
      <w:r>
        <w:rPr>
          <w:color w:val="231F1F"/>
          <w:spacing w:val="3"/>
          <w:w w:val="105"/>
        </w:rPr>
        <w:t> </w:t>
      </w:r>
      <w:r>
        <w:rPr>
          <w:color w:val="231F1F"/>
          <w:w w:val="105"/>
        </w:rPr>
        <w:t>minutos:</w:t>
      </w:r>
      <w:r>
        <w:rPr>
          <w:color w:val="231F1F"/>
          <w:spacing w:val="-1"/>
          <w:w w:val="105"/>
        </w:rPr>
        <w:t> </w:t>
      </w:r>
      <w:r>
        <w:rPr>
          <w:color w:val="231F1F"/>
          <w:w w:val="105"/>
        </w:rPr>
        <w:t>RR</w:t>
      </w:r>
      <w:r>
        <w:rPr>
          <w:color w:val="231F1F"/>
          <w:spacing w:val="3"/>
          <w:w w:val="105"/>
        </w:rPr>
        <w:t> </w:t>
      </w:r>
      <w:r>
        <w:rPr>
          <w:color w:val="231F1F"/>
          <w:w w:val="105"/>
        </w:rPr>
        <w:t>0,18</w:t>
      </w:r>
      <w:r>
        <w:rPr>
          <w:color w:val="231F1F"/>
          <w:spacing w:val="1"/>
          <w:w w:val="105"/>
        </w:rPr>
        <w:t> </w:t>
      </w:r>
      <w:r>
        <w:rPr>
          <w:color w:val="231F1F"/>
          <w:w w:val="105"/>
        </w:rPr>
        <w:t>[95%</w:t>
      </w:r>
      <w:r>
        <w:rPr>
          <w:color w:val="231F1F"/>
          <w:spacing w:val="3"/>
          <w:w w:val="105"/>
        </w:rPr>
        <w:t> </w:t>
      </w:r>
      <w:r>
        <w:rPr>
          <w:color w:val="231F1F"/>
          <w:w w:val="105"/>
        </w:rPr>
        <w:t>CI</w:t>
      </w:r>
      <w:r>
        <w:rPr>
          <w:color w:val="231F1F"/>
          <w:spacing w:val="-1"/>
          <w:w w:val="105"/>
        </w:rPr>
        <w:t> </w:t>
      </w:r>
      <w:r>
        <w:rPr>
          <w:color w:val="231F1F"/>
          <w:w w:val="105"/>
        </w:rPr>
        <w:t>0,14</w:t>
      </w:r>
      <w:r>
        <w:rPr>
          <w:color w:val="231F1F"/>
          <w:spacing w:val="3"/>
          <w:w w:val="105"/>
        </w:rPr>
        <w:t> </w:t>
      </w:r>
      <w:r>
        <w:rPr>
          <w:color w:val="231F1F"/>
          <w:w w:val="105"/>
        </w:rPr>
        <w:t>a 0,24]</w:t>
      </w:r>
      <w:r>
        <w:rPr>
          <w:color w:val="231F1F"/>
          <w:spacing w:val="1"/>
          <w:w w:val="105"/>
        </w:rPr>
        <w:t> </w:t>
      </w:r>
      <w:r>
        <w:rPr>
          <w:color w:val="231F1F"/>
          <w:w w:val="105"/>
        </w:rPr>
        <w:t>en</w:t>
      </w:r>
      <w:r>
        <w:rPr>
          <w:color w:val="231F1F"/>
          <w:spacing w:val="1"/>
          <w:w w:val="105"/>
        </w:rPr>
        <w:t> </w:t>
      </w:r>
      <w:r>
        <w:rPr>
          <w:color w:val="231F1F"/>
          <w:w w:val="105"/>
        </w:rPr>
        <w:t>tres</w:t>
      </w:r>
      <w:r>
        <w:rPr>
          <w:color w:val="231F1F"/>
          <w:spacing w:val="2"/>
          <w:w w:val="105"/>
        </w:rPr>
        <w:t> </w:t>
      </w:r>
      <w:r>
        <w:rPr>
          <w:color w:val="231F1F"/>
          <w:w w:val="105"/>
        </w:rPr>
        <w:t>ensayos</w:t>
      </w:r>
      <w:r>
        <w:rPr>
          <w:color w:val="231F1F"/>
          <w:spacing w:val="1"/>
          <w:w w:val="105"/>
        </w:rPr>
        <w:t> </w:t>
      </w:r>
      <w:r>
        <w:rPr>
          <w:color w:val="231F1F"/>
          <w:spacing w:val="-5"/>
          <w:w w:val="105"/>
        </w:rPr>
        <w:t>con</w:t>
      </w:r>
    </w:p>
    <w:p>
      <w:pPr>
        <w:pStyle w:val="BodyText"/>
        <w:spacing w:before="25"/>
        <w:ind w:left="283"/>
        <w:jc w:val="both"/>
      </w:pPr>
      <w:r>
        <w:rPr>
          <w:color w:val="231F1F"/>
        </w:rPr>
        <w:t>4.636</w:t>
      </w:r>
      <w:r>
        <w:rPr>
          <w:color w:val="231F1F"/>
          <w:spacing w:val="-12"/>
        </w:rPr>
        <w:t> </w:t>
      </w:r>
      <w:r>
        <w:rPr>
          <w:color w:val="231F1F"/>
          <w:spacing w:val="-2"/>
        </w:rPr>
        <w:t>mujeres.</w:t>
      </w:r>
    </w:p>
    <w:p>
      <w:pPr>
        <w:pStyle w:val="BodyText"/>
        <w:tabs>
          <w:tab w:pos="7791" w:val="left" w:leader="none"/>
          <w:tab w:pos="7989" w:val="left" w:leader="none"/>
          <w:tab w:pos="8114" w:val="left" w:leader="none"/>
        </w:tabs>
        <w:spacing w:line="244" w:lineRule="auto" w:before="121"/>
        <w:ind w:left="283" w:right="311" w:firstLine="453"/>
        <w:rPr>
          <w:rFonts w:ascii="Arial MT" w:hAnsi="Arial MT"/>
          <w:position w:val="8"/>
          <w:sz w:val="18"/>
        </w:rPr>
      </w:pPr>
      <w:r>
        <w:rPr>
          <w:color w:val="231F1F"/>
        </w:rPr>
        <w:t>No</w:t>
      </w:r>
      <w:r>
        <w:rPr>
          <w:color w:val="231F1F"/>
          <w:spacing w:val="40"/>
        </w:rPr>
        <w:t> </w:t>
      </w:r>
      <w:r>
        <w:rPr>
          <w:color w:val="231F1F"/>
        </w:rPr>
        <w:t>se</w:t>
      </w:r>
      <w:r>
        <w:rPr>
          <w:color w:val="231F1F"/>
          <w:spacing w:val="40"/>
        </w:rPr>
        <w:t> </w:t>
      </w:r>
      <w:r>
        <w:rPr>
          <w:color w:val="231F1F"/>
        </w:rPr>
        <w:t>encuentran</w:t>
      </w:r>
      <w:r>
        <w:rPr>
          <w:color w:val="231F1F"/>
          <w:spacing w:val="40"/>
        </w:rPr>
        <w:t> </w:t>
      </w:r>
      <w:r>
        <w:rPr>
          <w:color w:val="231F1F"/>
        </w:rPr>
        <w:t>diferencias</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tasa</w:t>
      </w:r>
      <w:r>
        <w:rPr>
          <w:color w:val="231F1F"/>
          <w:spacing w:val="40"/>
        </w:rPr>
        <w:t> </w:t>
      </w:r>
      <w:r>
        <w:rPr>
          <w:color w:val="231F1F"/>
        </w:rPr>
        <w:t>de</w:t>
      </w:r>
      <w:r>
        <w:rPr>
          <w:color w:val="231F1F"/>
          <w:spacing w:val="40"/>
        </w:rPr>
        <w:t> </w:t>
      </w:r>
      <w:r>
        <w:rPr>
          <w:color w:val="231F1F"/>
        </w:rPr>
        <w:t>extracción</w:t>
      </w:r>
      <w:r>
        <w:rPr>
          <w:color w:val="231F1F"/>
          <w:spacing w:val="40"/>
        </w:rPr>
        <w:t> </w:t>
      </w:r>
      <w:r>
        <w:rPr>
          <w:color w:val="231F1F"/>
        </w:rPr>
        <w:t>manual</w:t>
      </w:r>
      <w:r>
        <w:rPr>
          <w:color w:val="231F1F"/>
          <w:spacing w:val="40"/>
        </w:rPr>
        <w:t> </w:t>
      </w:r>
      <w:r>
        <w:rPr>
          <w:color w:val="231F1F"/>
        </w:rPr>
        <w:t>de</w:t>
      </w:r>
      <w:r>
        <w:rPr>
          <w:color w:val="231F1F"/>
          <w:spacing w:val="40"/>
        </w:rPr>
        <w:t> </w:t>
      </w:r>
      <w:r>
        <w:rPr>
          <w:color w:val="231F1F"/>
        </w:rPr>
        <w:t>placen-</w:t>
        <w:tab/>
      </w:r>
      <w:r>
        <w:rPr>
          <w:rFonts w:ascii="Arial MT" w:hAnsi="Arial MT"/>
          <w:color w:val="231F1F"/>
          <w:spacing w:val="-2"/>
          <w:sz w:val="18"/>
        </w:rPr>
        <w:t>RS-MA</w:t>
      </w:r>
      <w:r>
        <w:rPr>
          <w:rFonts w:ascii="Arial MT" w:hAnsi="Arial MT"/>
          <w:color w:val="231F1F"/>
          <w:spacing w:val="-16"/>
          <w:sz w:val="18"/>
        </w:rPr>
        <w:t> </w:t>
      </w:r>
      <w:r>
        <w:rPr>
          <w:rFonts w:ascii="Arial MT" w:hAnsi="Arial MT"/>
          <w:color w:val="231F1F"/>
          <w:spacing w:val="-2"/>
          <w:sz w:val="18"/>
        </w:rPr>
        <w:t>de </w:t>
      </w:r>
      <w:r>
        <w:rPr>
          <w:color w:val="231F1F"/>
        </w:rPr>
        <w:t>ta. Sin embargo, se observó un aumento de complicaciones maternas, como</w:t>
        <w:tab/>
        <w:tab/>
      </w:r>
      <w:r>
        <w:rPr>
          <w:rFonts w:ascii="Arial MT" w:hAnsi="Arial MT"/>
          <w:color w:val="231F1F"/>
          <w:spacing w:val="-4"/>
          <w:position w:val="4"/>
          <w:sz w:val="18"/>
        </w:rPr>
        <w:t>ECAs </w:t>
      </w:r>
      <w:r>
        <w:rPr>
          <w:color w:val="231F1F"/>
        </w:rPr>
        <w:t>presión diastólica superior a 100 mm de Hg, náuseas, vómitos y cefalea.</w:t>
        <w:tab/>
        <w:tab/>
        <w:tab/>
      </w:r>
      <w:r>
        <w:rPr>
          <w:rFonts w:ascii="Arial MT" w:hAnsi="Arial MT"/>
          <w:color w:val="231F1F"/>
          <w:spacing w:val="-6"/>
          <w:position w:val="8"/>
          <w:sz w:val="18"/>
        </w:rPr>
        <w:t>1+</w:t>
      </w:r>
    </w:p>
    <w:p>
      <w:pPr>
        <w:pStyle w:val="BodyText"/>
        <w:spacing w:after="0" w:line="244" w:lineRule="auto"/>
        <w:rPr>
          <w:rFonts w:ascii="Arial MT" w:hAnsi="Arial MT"/>
          <w:position w:val="8"/>
          <w:sz w:val="18"/>
        </w:rPr>
        <w:sectPr>
          <w:pgSz w:w="11900" w:h="16840"/>
          <w:pgMar w:header="0" w:footer="622" w:top="1560" w:bottom="820" w:left="1417" w:right="1559"/>
        </w:sectPr>
      </w:pPr>
    </w:p>
    <w:p>
      <w:pPr>
        <w:pStyle w:val="BodyText"/>
        <w:spacing w:line="249" w:lineRule="auto" w:before="73"/>
        <w:ind w:left="283" w:right="1370" w:firstLine="453"/>
        <w:jc w:val="both"/>
      </w:pPr>
      <w:r>
        <w:rPr>
          <w:color w:val="231F1F"/>
          <w:w w:val="105"/>
        </w:rPr>
        <w:t>No</w:t>
      </w:r>
      <w:r>
        <w:rPr>
          <w:color w:val="231F1F"/>
          <w:w w:val="105"/>
        </w:rPr>
        <w:t> se</w:t>
      </w:r>
      <w:r>
        <w:rPr>
          <w:color w:val="231F1F"/>
          <w:w w:val="105"/>
        </w:rPr>
        <w:t> observó</w:t>
      </w:r>
      <w:r>
        <w:rPr>
          <w:color w:val="231F1F"/>
          <w:w w:val="105"/>
        </w:rPr>
        <w:t> evidencia</w:t>
      </w:r>
      <w:r>
        <w:rPr>
          <w:color w:val="231F1F"/>
          <w:w w:val="105"/>
        </w:rPr>
        <w:t> en</w:t>
      </w:r>
      <w:r>
        <w:rPr>
          <w:color w:val="231F1F"/>
          <w:w w:val="105"/>
        </w:rPr>
        <w:t> otras</w:t>
      </w:r>
      <w:r>
        <w:rPr>
          <w:color w:val="231F1F"/>
          <w:w w:val="105"/>
        </w:rPr>
        <w:t> complicaciones</w:t>
      </w:r>
      <w:r>
        <w:rPr>
          <w:color w:val="231F1F"/>
          <w:w w:val="105"/>
        </w:rPr>
        <w:t> como</w:t>
      </w:r>
      <w:r>
        <w:rPr>
          <w:color w:val="231F1F"/>
          <w:w w:val="105"/>
        </w:rPr>
        <w:t> incremento</w:t>
      </w:r>
      <w:r>
        <w:rPr>
          <w:color w:val="231F1F"/>
          <w:w w:val="105"/>
        </w:rPr>
        <w:t> del dolor</w:t>
      </w:r>
      <w:r>
        <w:rPr>
          <w:color w:val="231F1F"/>
          <w:w w:val="105"/>
        </w:rPr>
        <w:t> durante</w:t>
      </w:r>
      <w:r>
        <w:rPr>
          <w:color w:val="231F1F"/>
          <w:w w:val="105"/>
        </w:rPr>
        <w:t> la</w:t>
      </w:r>
      <w:r>
        <w:rPr>
          <w:color w:val="231F1F"/>
          <w:w w:val="105"/>
        </w:rPr>
        <w:t> tercera</w:t>
      </w:r>
      <w:r>
        <w:rPr>
          <w:color w:val="231F1F"/>
          <w:w w:val="105"/>
        </w:rPr>
        <w:t> etapa,</w:t>
      </w:r>
      <w:r>
        <w:rPr>
          <w:color w:val="231F1F"/>
          <w:w w:val="105"/>
        </w:rPr>
        <w:t> HPP</w:t>
      </w:r>
      <w:r>
        <w:rPr>
          <w:color w:val="231F1F"/>
          <w:w w:val="105"/>
        </w:rPr>
        <w:t> secundaria,</w:t>
      </w:r>
      <w:r>
        <w:rPr>
          <w:color w:val="231F1F"/>
          <w:w w:val="105"/>
        </w:rPr>
        <w:t> readmisiones</w:t>
      </w:r>
      <w:r>
        <w:rPr>
          <w:color w:val="231F1F"/>
          <w:w w:val="105"/>
        </w:rPr>
        <w:t> por</w:t>
      </w:r>
      <w:r>
        <w:rPr>
          <w:color w:val="231F1F"/>
          <w:w w:val="105"/>
        </w:rPr>
        <w:t> sangrado, necesidad de antibióticos o fatiga materna a las seis semanas. No se encontra- ron diferencias en los resultados neonatales.</w:t>
      </w:r>
    </w:p>
    <w:p>
      <w:pPr>
        <w:pStyle w:val="BodyText"/>
        <w:spacing w:before="158"/>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enero</w:t>
      </w:r>
      <w:r>
        <w:rPr>
          <w:rFonts w:ascii="Arial MT" w:hAnsi="Arial MT"/>
          <w:color w:val="231F1F"/>
          <w:spacing w:val="15"/>
          <w:sz w:val="24"/>
        </w:rPr>
        <w:t> </w:t>
      </w:r>
      <w:r>
        <w:rPr>
          <w:rFonts w:ascii="Arial MT" w:hAnsi="Arial MT"/>
          <w:color w:val="231F1F"/>
          <w:spacing w:val="-2"/>
          <w:sz w:val="24"/>
        </w:rPr>
        <w:t>2009)</w:t>
      </w:r>
    </w:p>
    <w:p>
      <w:pPr>
        <w:pStyle w:val="BodyText"/>
        <w:spacing w:line="244" w:lineRule="auto" w:before="209"/>
        <w:ind w:left="283" w:right="1372"/>
        <w:jc w:val="both"/>
      </w:pPr>
      <w:r>
        <w:rPr>
          <w:color w:val="231F1F"/>
          <w:w w:val="110"/>
        </w:rPr>
        <w:t>La nueva búsqueda bibliográfica arrojó 15 referencias, pero no se incluyó ninguna</w:t>
      </w:r>
      <w:r>
        <w:rPr>
          <w:color w:val="231F1F"/>
          <w:spacing w:val="-4"/>
          <w:w w:val="110"/>
        </w:rPr>
        <w:t> </w:t>
      </w:r>
      <w:r>
        <w:rPr>
          <w:color w:val="231F1F"/>
          <w:w w:val="110"/>
        </w:rPr>
        <w:t>porque</w:t>
      </w:r>
      <w:r>
        <w:rPr>
          <w:color w:val="231F1F"/>
          <w:spacing w:val="-4"/>
          <w:w w:val="110"/>
        </w:rPr>
        <w:t> </w:t>
      </w:r>
      <w:r>
        <w:rPr>
          <w:color w:val="231F1F"/>
          <w:w w:val="110"/>
        </w:rPr>
        <w:t>no</w:t>
      </w:r>
      <w:r>
        <w:rPr>
          <w:color w:val="231F1F"/>
          <w:spacing w:val="-3"/>
          <w:w w:val="110"/>
        </w:rPr>
        <w:t> </w:t>
      </w:r>
      <w:r>
        <w:rPr>
          <w:color w:val="231F1F"/>
          <w:w w:val="110"/>
        </w:rPr>
        <w:t>se</w:t>
      </w:r>
      <w:r>
        <w:rPr>
          <w:color w:val="231F1F"/>
          <w:spacing w:val="-4"/>
          <w:w w:val="110"/>
        </w:rPr>
        <w:t> </w:t>
      </w:r>
      <w:r>
        <w:rPr>
          <w:color w:val="231F1F"/>
          <w:w w:val="110"/>
        </w:rPr>
        <w:t>ajustaban</w:t>
      </w:r>
      <w:r>
        <w:rPr>
          <w:color w:val="231F1F"/>
          <w:spacing w:val="-3"/>
          <w:w w:val="110"/>
        </w:rPr>
        <w:t> </w:t>
      </w:r>
      <w:r>
        <w:rPr>
          <w:color w:val="231F1F"/>
          <w:w w:val="110"/>
        </w:rPr>
        <w:t>a</w:t>
      </w:r>
      <w:r>
        <w:rPr>
          <w:color w:val="231F1F"/>
          <w:spacing w:val="-3"/>
          <w:w w:val="110"/>
        </w:rPr>
        <w:t> </w:t>
      </w:r>
      <w:r>
        <w:rPr>
          <w:color w:val="231F1F"/>
          <w:w w:val="110"/>
        </w:rPr>
        <w:t>la</w:t>
      </w:r>
      <w:r>
        <w:rPr>
          <w:color w:val="231F1F"/>
          <w:spacing w:val="-3"/>
          <w:w w:val="110"/>
        </w:rPr>
        <w:t> </w:t>
      </w:r>
      <w:r>
        <w:rPr>
          <w:color w:val="231F1F"/>
          <w:w w:val="110"/>
        </w:rPr>
        <w:t>pregunta</w:t>
      </w:r>
      <w:r>
        <w:rPr>
          <w:color w:val="231F1F"/>
          <w:spacing w:val="-4"/>
          <w:w w:val="110"/>
        </w:rPr>
        <w:t> </w:t>
      </w:r>
      <w:r>
        <w:rPr>
          <w:color w:val="231F1F"/>
          <w:w w:val="110"/>
        </w:rPr>
        <w:t>ni</w:t>
      </w:r>
      <w:r>
        <w:rPr>
          <w:color w:val="231F1F"/>
          <w:spacing w:val="-4"/>
          <w:w w:val="110"/>
        </w:rPr>
        <w:t> </w:t>
      </w:r>
      <w:r>
        <w:rPr>
          <w:color w:val="231F1F"/>
          <w:w w:val="110"/>
        </w:rPr>
        <w:t>a</w:t>
      </w:r>
      <w:r>
        <w:rPr>
          <w:color w:val="231F1F"/>
          <w:spacing w:val="-3"/>
          <w:w w:val="110"/>
        </w:rPr>
        <w:t> </w:t>
      </w:r>
      <w:r>
        <w:rPr>
          <w:color w:val="231F1F"/>
          <w:w w:val="110"/>
        </w:rPr>
        <w:t>los</w:t>
      </w:r>
      <w:r>
        <w:rPr>
          <w:color w:val="231F1F"/>
          <w:spacing w:val="-4"/>
          <w:w w:val="110"/>
        </w:rPr>
        <w:t> </w:t>
      </w:r>
      <w:r>
        <w:rPr>
          <w:color w:val="231F1F"/>
          <w:w w:val="110"/>
        </w:rPr>
        <w:t>criterios</w:t>
      </w:r>
      <w:r>
        <w:rPr>
          <w:color w:val="231F1F"/>
          <w:spacing w:val="-4"/>
          <w:w w:val="110"/>
        </w:rPr>
        <w:t> </w:t>
      </w:r>
      <w:r>
        <w:rPr>
          <w:color w:val="231F1F"/>
          <w:w w:val="110"/>
        </w:rPr>
        <w:t>de</w:t>
      </w:r>
      <w:r>
        <w:rPr>
          <w:color w:val="231F1F"/>
          <w:spacing w:val="-4"/>
          <w:w w:val="110"/>
        </w:rPr>
        <w:t> </w:t>
      </w:r>
      <w:r>
        <w:rPr>
          <w:color w:val="231F1F"/>
          <w:w w:val="110"/>
        </w:rPr>
        <w:t>inclusión. (ver Informe Avaliat (8))</w:t>
      </w:r>
    </w:p>
    <w:p>
      <w:pPr>
        <w:pStyle w:val="BodyText"/>
        <w:spacing w:before="152"/>
        <w:ind w:left="736"/>
        <w:jc w:val="both"/>
      </w:pPr>
      <w:r>
        <w:rPr>
          <w:color w:val="231F1F"/>
        </w:rPr>
        <w:t>El</w:t>
      </w:r>
      <w:r>
        <w:rPr>
          <w:color w:val="231F1F"/>
          <w:spacing w:val="30"/>
        </w:rPr>
        <w:t> </w:t>
      </w:r>
      <w:r>
        <w:rPr>
          <w:color w:val="231F1F"/>
        </w:rPr>
        <w:t>grupo</w:t>
      </w:r>
      <w:r>
        <w:rPr>
          <w:color w:val="231F1F"/>
          <w:spacing w:val="32"/>
        </w:rPr>
        <w:t> </w:t>
      </w:r>
      <w:r>
        <w:rPr>
          <w:color w:val="231F1F"/>
        </w:rPr>
        <w:t>elaborador</w:t>
      </w:r>
      <w:r>
        <w:rPr>
          <w:color w:val="231F1F"/>
          <w:spacing w:val="31"/>
        </w:rPr>
        <w:t> </w:t>
      </w:r>
      <w:r>
        <w:rPr>
          <w:color w:val="231F1F"/>
        </w:rPr>
        <w:t>redacta</w:t>
      </w:r>
      <w:r>
        <w:rPr>
          <w:color w:val="231F1F"/>
          <w:spacing w:val="33"/>
        </w:rPr>
        <w:t> </w:t>
      </w:r>
      <w:r>
        <w:rPr>
          <w:color w:val="231F1F"/>
        </w:rPr>
        <w:t>la</w:t>
      </w:r>
      <w:r>
        <w:rPr>
          <w:color w:val="231F1F"/>
          <w:spacing w:val="31"/>
        </w:rPr>
        <w:t> </w:t>
      </w:r>
      <w:r>
        <w:rPr>
          <w:color w:val="231F1F"/>
        </w:rPr>
        <w:t>recomendación</w:t>
      </w:r>
      <w:r>
        <w:rPr>
          <w:color w:val="231F1F"/>
          <w:spacing w:val="34"/>
        </w:rPr>
        <w:t> </w:t>
      </w:r>
      <w:r>
        <w:rPr>
          <w:color w:val="231F1F"/>
        </w:rPr>
        <w:t>de</w:t>
      </w:r>
      <w:r>
        <w:rPr>
          <w:color w:val="231F1F"/>
          <w:spacing w:val="31"/>
        </w:rPr>
        <w:t> </w:t>
      </w:r>
      <w:r>
        <w:rPr>
          <w:color w:val="231F1F"/>
        </w:rPr>
        <w:t>forma</w:t>
      </w:r>
      <w:r>
        <w:rPr>
          <w:color w:val="231F1F"/>
          <w:spacing w:val="32"/>
        </w:rPr>
        <w:t> </w:t>
      </w:r>
      <w:r>
        <w:rPr>
          <w:color w:val="231F1F"/>
        </w:rPr>
        <w:t>similar</w:t>
      </w:r>
      <w:r>
        <w:rPr>
          <w:color w:val="231F1F"/>
          <w:spacing w:val="31"/>
        </w:rPr>
        <w:t> </w:t>
      </w:r>
      <w:r>
        <w:rPr>
          <w:color w:val="231F1F"/>
        </w:rPr>
        <w:t>a</w:t>
      </w:r>
      <w:r>
        <w:rPr>
          <w:color w:val="231F1F"/>
          <w:spacing w:val="33"/>
        </w:rPr>
        <w:t> </w:t>
      </w:r>
      <w:r>
        <w:rPr>
          <w:color w:val="231F1F"/>
          <w:spacing w:val="-4"/>
        </w:rPr>
        <w:t>NICE</w:t>
      </w:r>
    </w:p>
    <w:p>
      <w:pPr>
        <w:pStyle w:val="BodyText"/>
        <w:spacing w:line="247" w:lineRule="auto" w:before="16"/>
        <w:ind w:left="283" w:right="1368"/>
        <w:jc w:val="both"/>
      </w:pPr>
      <w:r>
        <w:rPr>
          <w:color w:val="231F1F"/>
          <w:w w:val="110"/>
        </w:rPr>
        <w:t>(10)</w:t>
      </w:r>
      <w:r>
        <w:rPr>
          <w:color w:val="231F1F"/>
          <w:w w:val="110"/>
        </w:rPr>
        <w:t> pero</w:t>
      </w:r>
      <w:r>
        <w:rPr>
          <w:color w:val="231F1F"/>
          <w:w w:val="110"/>
        </w:rPr>
        <w:t> teniendo</w:t>
      </w:r>
      <w:r>
        <w:rPr>
          <w:color w:val="231F1F"/>
          <w:w w:val="110"/>
        </w:rPr>
        <w:t> en</w:t>
      </w:r>
      <w:r>
        <w:rPr>
          <w:color w:val="231F1F"/>
          <w:w w:val="110"/>
        </w:rPr>
        <w:t> cuenta</w:t>
      </w:r>
      <w:r>
        <w:rPr>
          <w:color w:val="231F1F"/>
          <w:w w:val="110"/>
        </w:rPr>
        <w:t> que</w:t>
      </w:r>
      <w:r>
        <w:rPr>
          <w:color w:val="231F1F"/>
          <w:w w:val="110"/>
        </w:rPr>
        <w:t> se</w:t>
      </w:r>
      <w:r>
        <w:rPr>
          <w:color w:val="231F1F"/>
          <w:w w:val="110"/>
        </w:rPr>
        <w:t> adhiere</w:t>
      </w:r>
      <w:r>
        <w:rPr>
          <w:color w:val="231F1F"/>
          <w:w w:val="110"/>
        </w:rPr>
        <w:t> a</w:t>
      </w:r>
      <w:r>
        <w:rPr>
          <w:color w:val="231F1F"/>
          <w:w w:val="110"/>
        </w:rPr>
        <w:t> las</w:t>
      </w:r>
      <w:r>
        <w:rPr>
          <w:color w:val="231F1F"/>
          <w:w w:val="110"/>
        </w:rPr>
        <w:t> recomendaciones</w:t>
      </w:r>
      <w:r>
        <w:rPr>
          <w:color w:val="231F1F"/>
          <w:w w:val="110"/>
        </w:rPr>
        <w:t> de</w:t>
      </w:r>
      <w:r>
        <w:rPr>
          <w:color w:val="231F1F"/>
          <w:w w:val="110"/>
        </w:rPr>
        <w:t> la Confederación</w:t>
      </w:r>
      <w:r>
        <w:rPr>
          <w:color w:val="231F1F"/>
          <w:spacing w:val="-16"/>
          <w:w w:val="110"/>
        </w:rPr>
        <w:t> </w:t>
      </w:r>
      <w:r>
        <w:rPr>
          <w:color w:val="231F1F"/>
          <w:w w:val="110"/>
        </w:rPr>
        <w:t>Internacional</w:t>
      </w:r>
      <w:r>
        <w:rPr>
          <w:color w:val="231F1F"/>
          <w:spacing w:val="-15"/>
          <w:w w:val="110"/>
        </w:rPr>
        <w:t> </w:t>
      </w:r>
      <w:r>
        <w:rPr>
          <w:color w:val="231F1F"/>
          <w:w w:val="110"/>
        </w:rPr>
        <w:t>de</w:t>
      </w:r>
      <w:r>
        <w:rPr>
          <w:color w:val="231F1F"/>
          <w:spacing w:val="-15"/>
          <w:w w:val="110"/>
        </w:rPr>
        <w:t> </w:t>
      </w:r>
      <w:r>
        <w:rPr>
          <w:color w:val="231F1F"/>
          <w:w w:val="110"/>
        </w:rPr>
        <w:t>Matronas</w:t>
      </w:r>
      <w:r>
        <w:rPr>
          <w:color w:val="231F1F"/>
          <w:spacing w:val="-15"/>
          <w:w w:val="110"/>
        </w:rPr>
        <w:t> </w:t>
      </w:r>
      <w:r>
        <w:rPr>
          <w:color w:val="231F1F"/>
          <w:w w:val="110"/>
        </w:rPr>
        <w:t>(ICM)</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Federación</w:t>
      </w:r>
      <w:r>
        <w:rPr>
          <w:color w:val="231F1F"/>
          <w:spacing w:val="-15"/>
          <w:w w:val="110"/>
        </w:rPr>
        <w:t> </w:t>
      </w:r>
      <w:r>
        <w:rPr>
          <w:color w:val="231F1F"/>
          <w:w w:val="110"/>
        </w:rPr>
        <w:t>Internacio- nal</w:t>
      </w:r>
      <w:r>
        <w:rPr>
          <w:color w:val="231F1F"/>
          <w:spacing w:val="-8"/>
          <w:w w:val="110"/>
        </w:rPr>
        <w:t> </w:t>
      </w:r>
      <w:r>
        <w:rPr>
          <w:color w:val="231F1F"/>
          <w:w w:val="110"/>
        </w:rPr>
        <w:t>de</w:t>
      </w:r>
      <w:r>
        <w:rPr>
          <w:color w:val="231F1F"/>
          <w:spacing w:val="-7"/>
          <w:w w:val="110"/>
        </w:rPr>
        <w:t> </w:t>
      </w:r>
      <w:r>
        <w:rPr>
          <w:color w:val="231F1F"/>
          <w:w w:val="110"/>
        </w:rPr>
        <w:t>Ginecología</w:t>
      </w:r>
      <w:r>
        <w:rPr>
          <w:color w:val="231F1F"/>
          <w:spacing w:val="-7"/>
          <w:w w:val="110"/>
        </w:rPr>
        <w:t> </w:t>
      </w:r>
      <w:r>
        <w:rPr>
          <w:color w:val="231F1F"/>
          <w:w w:val="110"/>
        </w:rPr>
        <w:t>y</w:t>
      </w:r>
      <w:r>
        <w:rPr>
          <w:color w:val="231F1F"/>
          <w:spacing w:val="-7"/>
          <w:w w:val="110"/>
        </w:rPr>
        <w:t> </w:t>
      </w:r>
      <w:r>
        <w:rPr>
          <w:color w:val="231F1F"/>
          <w:w w:val="110"/>
        </w:rPr>
        <w:t>Obstetricia</w:t>
      </w:r>
      <w:r>
        <w:rPr>
          <w:color w:val="231F1F"/>
          <w:spacing w:val="-7"/>
          <w:w w:val="110"/>
        </w:rPr>
        <w:t> </w:t>
      </w:r>
      <w:r>
        <w:rPr>
          <w:color w:val="231F1F"/>
          <w:w w:val="110"/>
        </w:rPr>
        <w:t>(FIGO)</w:t>
      </w:r>
      <w:r>
        <w:rPr>
          <w:color w:val="231F1F"/>
          <w:spacing w:val="-7"/>
          <w:w w:val="110"/>
        </w:rPr>
        <w:t> </w:t>
      </w:r>
      <w:r>
        <w:rPr>
          <w:color w:val="231F1F"/>
          <w:w w:val="110"/>
        </w:rPr>
        <w:t>que</w:t>
      </w:r>
      <w:r>
        <w:rPr>
          <w:color w:val="231F1F"/>
          <w:spacing w:val="-7"/>
          <w:w w:val="110"/>
        </w:rPr>
        <w:t> </w:t>
      </w:r>
      <w:r>
        <w:rPr>
          <w:color w:val="231F1F"/>
          <w:w w:val="110"/>
        </w:rPr>
        <w:t>decidieron</w:t>
      </w:r>
      <w:r>
        <w:rPr>
          <w:color w:val="231F1F"/>
          <w:spacing w:val="-8"/>
          <w:w w:val="110"/>
        </w:rPr>
        <w:t> </w:t>
      </w:r>
      <w:r>
        <w:rPr>
          <w:color w:val="231F1F"/>
          <w:w w:val="110"/>
        </w:rPr>
        <w:t>no</w:t>
      </w:r>
      <w:r>
        <w:rPr>
          <w:color w:val="231F1F"/>
          <w:spacing w:val="-7"/>
          <w:w w:val="110"/>
        </w:rPr>
        <w:t> </w:t>
      </w:r>
      <w:r>
        <w:rPr>
          <w:color w:val="231F1F"/>
          <w:w w:val="110"/>
        </w:rPr>
        <w:t>incluir</w:t>
      </w:r>
      <w:r>
        <w:rPr>
          <w:color w:val="231F1F"/>
          <w:spacing w:val="-7"/>
          <w:w w:val="110"/>
        </w:rPr>
        <w:t> </w:t>
      </w:r>
      <w:r>
        <w:rPr>
          <w:color w:val="231F1F"/>
          <w:w w:val="110"/>
        </w:rPr>
        <w:t>el</w:t>
      </w:r>
      <w:r>
        <w:rPr>
          <w:color w:val="231F1F"/>
          <w:spacing w:val="-8"/>
          <w:w w:val="110"/>
        </w:rPr>
        <w:t> </w:t>
      </w:r>
      <w:r>
        <w:rPr>
          <w:color w:val="231F1F"/>
          <w:w w:val="110"/>
        </w:rPr>
        <w:t>pinza- miento y sección precoces del cordón umbilical en el protocolo de manejo activo del alumbramiento. (186).</w:t>
      </w:r>
    </w:p>
    <w:p>
      <w:pPr>
        <w:pStyle w:val="BodyText"/>
        <w:spacing w:before="162"/>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9" w:lineRule="auto" w:before="44"/>
              <w:ind w:right="81"/>
              <w:jc w:val="both"/>
              <w:rPr>
                <w:sz w:val="22"/>
              </w:rPr>
            </w:pPr>
            <w:r>
              <w:rPr>
                <w:color w:val="231F1F"/>
                <w:w w:val="105"/>
                <w:sz w:val="22"/>
              </w:rPr>
              <w:t>Existe un buen nivel de evidencia de que el manejo activo de la tercera fase del parto disminuye el riesgo de HPP, reduce la necesidad de administración de</w:t>
            </w:r>
            <w:r>
              <w:rPr>
                <w:color w:val="231F1F"/>
                <w:spacing w:val="40"/>
                <w:w w:val="105"/>
                <w:sz w:val="22"/>
              </w:rPr>
              <w:t> </w:t>
            </w:r>
            <w:r>
              <w:rPr>
                <w:color w:val="231F1F"/>
                <w:w w:val="105"/>
                <w:sz w:val="22"/>
              </w:rPr>
              <w:t>oxitócicos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acorta</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duración</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tercera</w:t>
            </w:r>
            <w:r>
              <w:rPr>
                <w:color w:val="231F1F"/>
                <w:spacing w:val="40"/>
                <w:w w:val="105"/>
                <w:sz w:val="22"/>
              </w:rPr>
              <w:t> </w:t>
            </w:r>
            <w:r>
              <w:rPr>
                <w:color w:val="231F1F"/>
                <w:w w:val="105"/>
                <w:sz w:val="22"/>
              </w:rPr>
              <w:t>etapa</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(182).</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r>
        <w:trPr>
          <w:trHeight w:val="1804" w:hRule="atLeast"/>
        </w:trPr>
        <w:tc>
          <w:tcPr>
            <w:tcW w:w="7373" w:type="dxa"/>
          </w:tcPr>
          <w:p>
            <w:pPr>
              <w:pStyle w:val="TableParagraph"/>
              <w:spacing w:line="247" w:lineRule="auto" w:before="44"/>
              <w:ind w:right="85"/>
              <w:jc w:val="both"/>
              <w:rPr>
                <w:sz w:val="22"/>
              </w:rPr>
            </w:pPr>
            <w:r>
              <w:rPr>
                <w:color w:val="231F1F"/>
                <w:w w:val="105"/>
                <w:sz w:val="22"/>
              </w:rPr>
              <w:t>Aunque</w:t>
            </w:r>
            <w:r>
              <w:rPr>
                <w:color w:val="231F1F"/>
                <w:w w:val="105"/>
                <w:sz w:val="22"/>
              </w:rPr>
              <w:t> hay</w:t>
            </w:r>
            <w:r>
              <w:rPr>
                <w:color w:val="231F1F"/>
                <w:w w:val="105"/>
                <w:sz w:val="22"/>
              </w:rPr>
              <w:t> buena</w:t>
            </w:r>
            <w:r>
              <w:rPr>
                <w:color w:val="231F1F"/>
                <w:w w:val="105"/>
                <w:sz w:val="22"/>
              </w:rPr>
              <w:t> evidencia</w:t>
            </w:r>
            <w:r>
              <w:rPr>
                <w:color w:val="231F1F"/>
                <w:w w:val="105"/>
                <w:sz w:val="22"/>
              </w:rPr>
              <w:t> de</w:t>
            </w:r>
            <w:r>
              <w:rPr>
                <w:color w:val="231F1F"/>
                <w:w w:val="105"/>
                <w:sz w:val="22"/>
              </w:rPr>
              <w:t> que</w:t>
            </w:r>
            <w:r>
              <w:rPr>
                <w:color w:val="231F1F"/>
                <w:w w:val="105"/>
                <w:sz w:val="22"/>
              </w:rPr>
              <w:t> el</w:t>
            </w:r>
            <w:r>
              <w:rPr>
                <w:color w:val="231F1F"/>
                <w:w w:val="105"/>
                <w:sz w:val="22"/>
              </w:rPr>
              <w:t> manejo</w:t>
            </w:r>
            <w:r>
              <w:rPr>
                <w:color w:val="231F1F"/>
                <w:w w:val="105"/>
                <w:sz w:val="22"/>
              </w:rPr>
              <w:t> activo</w:t>
            </w:r>
            <w:r>
              <w:rPr>
                <w:color w:val="231F1F"/>
                <w:w w:val="105"/>
                <w:sz w:val="22"/>
              </w:rPr>
              <w:t> del</w:t>
            </w:r>
            <w:r>
              <w:rPr>
                <w:color w:val="231F1F"/>
                <w:w w:val="105"/>
                <w:sz w:val="22"/>
              </w:rPr>
              <w:t> parto</w:t>
            </w:r>
            <w:r>
              <w:rPr>
                <w:color w:val="231F1F"/>
                <w:w w:val="105"/>
                <w:sz w:val="22"/>
              </w:rPr>
              <w:t> aumenta algunas</w:t>
            </w:r>
            <w:r>
              <w:rPr>
                <w:color w:val="231F1F"/>
                <w:spacing w:val="-8"/>
                <w:w w:val="105"/>
                <w:sz w:val="22"/>
              </w:rPr>
              <w:t> </w:t>
            </w:r>
            <w:r>
              <w:rPr>
                <w:color w:val="231F1F"/>
                <w:w w:val="105"/>
                <w:sz w:val="22"/>
              </w:rPr>
              <w:t>complicaciones</w:t>
            </w:r>
            <w:r>
              <w:rPr>
                <w:color w:val="231F1F"/>
                <w:spacing w:val="-8"/>
                <w:w w:val="105"/>
                <w:sz w:val="22"/>
              </w:rPr>
              <w:t> </w:t>
            </w:r>
            <w:r>
              <w:rPr>
                <w:color w:val="231F1F"/>
                <w:w w:val="105"/>
                <w:sz w:val="22"/>
              </w:rPr>
              <w:t>maternas,</w:t>
            </w:r>
            <w:r>
              <w:rPr>
                <w:color w:val="231F1F"/>
                <w:spacing w:val="-9"/>
                <w:w w:val="105"/>
                <w:sz w:val="22"/>
              </w:rPr>
              <w:t> </w:t>
            </w:r>
            <w:r>
              <w:rPr>
                <w:color w:val="231F1F"/>
                <w:w w:val="105"/>
                <w:sz w:val="22"/>
              </w:rPr>
              <w:t>como</w:t>
            </w:r>
            <w:r>
              <w:rPr>
                <w:color w:val="231F1F"/>
                <w:spacing w:val="-9"/>
                <w:w w:val="105"/>
                <w:sz w:val="22"/>
              </w:rPr>
              <w:t> </w:t>
            </w:r>
            <w:r>
              <w:rPr>
                <w:color w:val="231F1F"/>
                <w:w w:val="105"/>
                <w:sz w:val="22"/>
              </w:rPr>
              <w:t>presión</w:t>
            </w:r>
            <w:r>
              <w:rPr>
                <w:color w:val="231F1F"/>
                <w:spacing w:val="-10"/>
                <w:w w:val="105"/>
                <w:sz w:val="22"/>
              </w:rPr>
              <w:t> </w:t>
            </w:r>
            <w:r>
              <w:rPr>
                <w:color w:val="231F1F"/>
                <w:w w:val="105"/>
                <w:sz w:val="22"/>
              </w:rPr>
              <w:t>diastólica</w:t>
            </w:r>
            <w:r>
              <w:rPr>
                <w:color w:val="231F1F"/>
                <w:spacing w:val="-10"/>
                <w:w w:val="105"/>
                <w:sz w:val="22"/>
              </w:rPr>
              <w:t> </w:t>
            </w:r>
            <w:r>
              <w:rPr>
                <w:color w:val="231F1F"/>
                <w:w w:val="105"/>
                <w:sz w:val="22"/>
              </w:rPr>
              <w:t>superior</w:t>
            </w:r>
            <w:r>
              <w:rPr>
                <w:color w:val="231F1F"/>
                <w:spacing w:val="-10"/>
                <w:w w:val="105"/>
                <w:sz w:val="22"/>
              </w:rPr>
              <w:t> </w:t>
            </w:r>
            <w:r>
              <w:rPr>
                <w:color w:val="231F1F"/>
                <w:w w:val="105"/>
                <w:sz w:val="22"/>
              </w:rPr>
              <w:t>a</w:t>
            </w:r>
            <w:r>
              <w:rPr>
                <w:color w:val="231F1F"/>
                <w:spacing w:val="-9"/>
                <w:w w:val="105"/>
                <w:sz w:val="22"/>
              </w:rPr>
              <w:t> </w:t>
            </w:r>
            <w:r>
              <w:rPr>
                <w:color w:val="231F1F"/>
                <w:w w:val="105"/>
                <w:sz w:val="22"/>
              </w:rPr>
              <w:t>100</w:t>
            </w:r>
            <w:r>
              <w:rPr>
                <w:color w:val="231F1F"/>
                <w:spacing w:val="-9"/>
                <w:w w:val="105"/>
                <w:sz w:val="22"/>
              </w:rPr>
              <w:t> </w:t>
            </w:r>
            <w:r>
              <w:rPr>
                <w:color w:val="231F1F"/>
                <w:w w:val="105"/>
                <w:sz w:val="22"/>
              </w:rPr>
              <w:t>mm de</w:t>
            </w:r>
            <w:r>
              <w:rPr>
                <w:color w:val="231F1F"/>
                <w:w w:val="105"/>
                <w:sz w:val="22"/>
              </w:rPr>
              <w:t> Hg,</w:t>
            </w:r>
            <w:r>
              <w:rPr>
                <w:color w:val="231F1F"/>
                <w:w w:val="105"/>
                <w:sz w:val="22"/>
              </w:rPr>
              <w:t> náuseas,</w:t>
            </w:r>
            <w:r>
              <w:rPr>
                <w:color w:val="231F1F"/>
                <w:w w:val="105"/>
                <w:sz w:val="22"/>
              </w:rPr>
              <w:t> vómitos</w:t>
            </w:r>
            <w:r>
              <w:rPr>
                <w:color w:val="231F1F"/>
                <w:w w:val="105"/>
                <w:sz w:val="22"/>
              </w:rPr>
              <w:t> y</w:t>
            </w:r>
            <w:r>
              <w:rPr>
                <w:color w:val="231F1F"/>
                <w:w w:val="105"/>
                <w:sz w:val="22"/>
              </w:rPr>
              <w:t> cefalea,</w:t>
            </w:r>
            <w:r>
              <w:rPr>
                <w:color w:val="231F1F"/>
                <w:w w:val="105"/>
                <w:sz w:val="22"/>
              </w:rPr>
              <w:t> no</w:t>
            </w:r>
            <w:r>
              <w:rPr>
                <w:color w:val="231F1F"/>
                <w:w w:val="105"/>
                <w:sz w:val="22"/>
              </w:rPr>
              <w:t> se</w:t>
            </w:r>
            <w:r>
              <w:rPr>
                <w:color w:val="231F1F"/>
                <w:w w:val="105"/>
                <w:sz w:val="22"/>
              </w:rPr>
              <w:t> observaron</w:t>
            </w:r>
            <w:r>
              <w:rPr>
                <w:color w:val="231F1F"/>
                <w:w w:val="105"/>
                <w:sz w:val="22"/>
              </w:rPr>
              <w:t> otras</w:t>
            </w:r>
            <w:r>
              <w:rPr>
                <w:color w:val="231F1F"/>
                <w:w w:val="105"/>
                <w:sz w:val="22"/>
              </w:rPr>
              <w:t> complicaciones como</w:t>
            </w:r>
            <w:r>
              <w:rPr>
                <w:color w:val="231F1F"/>
                <w:spacing w:val="-1"/>
                <w:w w:val="105"/>
                <w:sz w:val="22"/>
              </w:rPr>
              <w:t> </w:t>
            </w:r>
            <w:r>
              <w:rPr>
                <w:color w:val="231F1F"/>
                <w:w w:val="105"/>
                <w:sz w:val="22"/>
              </w:rPr>
              <w:t>incremento</w:t>
            </w:r>
            <w:r>
              <w:rPr>
                <w:color w:val="231F1F"/>
                <w:spacing w:val="-1"/>
                <w:w w:val="105"/>
                <w:sz w:val="22"/>
              </w:rPr>
              <w:t> </w:t>
            </w:r>
            <w:r>
              <w:rPr>
                <w:color w:val="231F1F"/>
                <w:w w:val="105"/>
                <w:sz w:val="22"/>
              </w:rPr>
              <w:t>del</w:t>
            </w:r>
            <w:r>
              <w:rPr>
                <w:color w:val="231F1F"/>
                <w:spacing w:val="-1"/>
                <w:w w:val="105"/>
                <w:sz w:val="22"/>
              </w:rPr>
              <w:t> </w:t>
            </w:r>
            <w:r>
              <w:rPr>
                <w:color w:val="231F1F"/>
                <w:w w:val="105"/>
                <w:sz w:val="22"/>
              </w:rPr>
              <w:t>dolor</w:t>
            </w:r>
            <w:r>
              <w:rPr>
                <w:color w:val="231F1F"/>
                <w:spacing w:val="-1"/>
                <w:w w:val="105"/>
                <w:sz w:val="22"/>
              </w:rPr>
              <w:t> </w:t>
            </w:r>
            <w:r>
              <w:rPr>
                <w:color w:val="231F1F"/>
                <w:w w:val="105"/>
                <w:sz w:val="22"/>
              </w:rPr>
              <w:t>durante</w:t>
            </w:r>
            <w:r>
              <w:rPr>
                <w:color w:val="231F1F"/>
                <w:spacing w:val="-1"/>
                <w:w w:val="105"/>
                <w:sz w:val="22"/>
              </w:rPr>
              <w:t> </w:t>
            </w:r>
            <w:r>
              <w:rPr>
                <w:color w:val="231F1F"/>
                <w:w w:val="105"/>
                <w:sz w:val="22"/>
              </w:rPr>
              <w:t>la</w:t>
            </w:r>
            <w:r>
              <w:rPr>
                <w:color w:val="231F1F"/>
                <w:spacing w:val="-1"/>
                <w:w w:val="105"/>
                <w:sz w:val="22"/>
              </w:rPr>
              <w:t> </w:t>
            </w:r>
            <w:r>
              <w:rPr>
                <w:color w:val="231F1F"/>
                <w:w w:val="105"/>
                <w:sz w:val="22"/>
              </w:rPr>
              <w:t>tercera</w:t>
            </w:r>
            <w:r>
              <w:rPr>
                <w:color w:val="231F1F"/>
                <w:spacing w:val="-2"/>
                <w:w w:val="105"/>
                <w:sz w:val="22"/>
              </w:rPr>
              <w:t> </w:t>
            </w:r>
            <w:r>
              <w:rPr>
                <w:color w:val="231F1F"/>
                <w:w w:val="105"/>
                <w:sz w:val="22"/>
              </w:rPr>
              <w:t>etapa, HPP secundaria,</w:t>
            </w:r>
            <w:r>
              <w:rPr>
                <w:color w:val="231F1F"/>
                <w:spacing w:val="-2"/>
                <w:w w:val="105"/>
                <w:sz w:val="22"/>
              </w:rPr>
              <w:t> </w:t>
            </w:r>
            <w:r>
              <w:rPr>
                <w:color w:val="231F1F"/>
                <w:w w:val="105"/>
                <w:sz w:val="22"/>
              </w:rPr>
              <w:t>readmi- siones</w:t>
            </w:r>
            <w:r>
              <w:rPr>
                <w:color w:val="231F1F"/>
                <w:w w:val="105"/>
                <w:sz w:val="22"/>
              </w:rPr>
              <w:t> por</w:t>
            </w:r>
            <w:r>
              <w:rPr>
                <w:color w:val="231F1F"/>
                <w:w w:val="105"/>
                <w:sz w:val="22"/>
              </w:rPr>
              <w:t> sangrado,</w:t>
            </w:r>
            <w:r>
              <w:rPr>
                <w:color w:val="231F1F"/>
                <w:w w:val="105"/>
                <w:sz w:val="22"/>
              </w:rPr>
              <w:t> necesidad</w:t>
            </w:r>
            <w:r>
              <w:rPr>
                <w:color w:val="231F1F"/>
                <w:w w:val="105"/>
                <w:sz w:val="22"/>
              </w:rPr>
              <w:t> de</w:t>
            </w:r>
            <w:r>
              <w:rPr>
                <w:color w:val="231F1F"/>
                <w:w w:val="105"/>
                <w:sz w:val="22"/>
              </w:rPr>
              <w:t> antibióticos</w:t>
            </w:r>
            <w:r>
              <w:rPr>
                <w:color w:val="231F1F"/>
                <w:w w:val="105"/>
                <w:sz w:val="22"/>
              </w:rPr>
              <w:t> o</w:t>
            </w:r>
            <w:r>
              <w:rPr>
                <w:color w:val="231F1F"/>
                <w:w w:val="105"/>
                <w:sz w:val="22"/>
              </w:rPr>
              <w:t> fatiga</w:t>
            </w:r>
            <w:r>
              <w:rPr>
                <w:color w:val="231F1F"/>
                <w:w w:val="105"/>
                <w:sz w:val="22"/>
              </w:rPr>
              <w:t> materna</w:t>
            </w:r>
            <w:r>
              <w:rPr>
                <w:color w:val="231F1F"/>
                <w:w w:val="105"/>
                <w:sz w:val="22"/>
              </w:rPr>
              <w:t> a</w:t>
            </w:r>
            <w:r>
              <w:rPr>
                <w:color w:val="231F1F"/>
                <w:w w:val="105"/>
                <w:sz w:val="22"/>
              </w:rPr>
              <w:t> las</w:t>
            </w:r>
            <w:r>
              <w:rPr>
                <w:color w:val="231F1F"/>
                <w:w w:val="105"/>
                <w:sz w:val="22"/>
              </w:rPr>
              <w:t> seis semanas. No se encontraron diferencias en los resultados neonatales (182).</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ind w:left="46" w:right="43"/>
              <w:jc w:val="center"/>
              <w:rPr>
                <w:sz w:val="22"/>
              </w:rPr>
            </w:pPr>
            <w:r>
              <w:rPr>
                <w:color w:val="231F1F"/>
                <w:spacing w:val="-10"/>
                <w:w w:val="115"/>
                <w:sz w:val="22"/>
              </w:rPr>
              <w:t>A</w:t>
            </w:r>
          </w:p>
        </w:tc>
        <w:tc>
          <w:tcPr>
            <w:tcW w:w="8050" w:type="dxa"/>
          </w:tcPr>
          <w:p>
            <w:pPr>
              <w:pStyle w:val="TableParagraph"/>
              <w:spacing w:before="49"/>
              <w:rPr>
                <w:sz w:val="22"/>
              </w:rPr>
            </w:pPr>
            <w:r>
              <w:rPr>
                <w:color w:val="231F1F"/>
                <w:sz w:val="22"/>
              </w:rPr>
              <w:t>Se</w:t>
            </w:r>
            <w:r>
              <w:rPr>
                <w:color w:val="231F1F"/>
                <w:spacing w:val="30"/>
                <w:sz w:val="22"/>
              </w:rPr>
              <w:t> </w:t>
            </w:r>
            <w:r>
              <w:rPr>
                <w:color w:val="231F1F"/>
                <w:sz w:val="22"/>
              </w:rPr>
              <w:t>recomienda</w:t>
            </w:r>
            <w:r>
              <w:rPr>
                <w:color w:val="231F1F"/>
                <w:spacing w:val="31"/>
                <w:sz w:val="22"/>
              </w:rPr>
              <w:t> </w:t>
            </w:r>
            <w:r>
              <w:rPr>
                <w:color w:val="231F1F"/>
                <w:sz w:val="22"/>
              </w:rPr>
              <w:t>el</w:t>
            </w:r>
            <w:r>
              <w:rPr>
                <w:color w:val="231F1F"/>
                <w:spacing w:val="30"/>
                <w:sz w:val="22"/>
              </w:rPr>
              <w:t> </w:t>
            </w:r>
            <w:r>
              <w:rPr>
                <w:color w:val="231F1F"/>
                <w:sz w:val="22"/>
              </w:rPr>
              <w:t>manejo</w:t>
            </w:r>
            <w:r>
              <w:rPr>
                <w:color w:val="231F1F"/>
                <w:spacing w:val="30"/>
                <w:sz w:val="22"/>
              </w:rPr>
              <w:t> </w:t>
            </w:r>
            <w:r>
              <w:rPr>
                <w:color w:val="231F1F"/>
                <w:sz w:val="22"/>
              </w:rPr>
              <w:t>activo</w:t>
            </w:r>
            <w:r>
              <w:rPr>
                <w:color w:val="231F1F"/>
                <w:spacing w:val="30"/>
                <w:sz w:val="22"/>
              </w:rPr>
              <w:t> </w:t>
            </w:r>
            <w:r>
              <w:rPr>
                <w:color w:val="231F1F"/>
                <w:sz w:val="22"/>
              </w:rPr>
              <w:t>del</w:t>
            </w:r>
            <w:r>
              <w:rPr>
                <w:color w:val="231F1F"/>
                <w:spacing w:val="29"/>
                <w:sz w:val="22"/>
              </w:rPr>
              <w:t> </w:t>
            </w:r>
            <w:r>
              <w:rPr>
                <w:color w:val="231F1F"/>
                <w:spacing w:val="-2"/>
                <w:sz w:val="22"/>
              </w:rPr>
              <w:t>alumbramiento.</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4"/>
              <w:ind w:right="86"/>
              <w:jc w:val="both"/>
              <w:rPr>
                <w:sz w:val="22"/>
              </w:rPr>
            </w:pPr>
            <w:r>
              <w:rPr>
                <w:color w:val="231F1F"/>
                <w:w w:val="110"/>
                <w:sz w:val="22"/>
              </w:rPr>
              <w:t>Las</w:t>
            </w:r>
            <w:r>
              <w:rPr>
                <w:color w:val="231F1F"/>
                <w:spacing w:val="-16"/>
                <w:w w:val="110"/>
                <w:sz w:val="22"/>
              </w:rPr>
              <w:t> </w:t>
            </w:r>
            <w:r>
              <w:rPr>
                <w:color w:val="231F1F"/>
                <w:w w:val="110"/>
                <w:sz w:val="22"/>
              </w:rPr>
              <w:t>mujeres</w:t>
            </w:r>
            <w:r>
              <w:rPr>
                <w:color w:val="231F1F"/>
                <w:spacing w:val="-15"/>
                <w:w w:val="110"/>
                <w:sz w:val="22"/>
              </w:rPr>
              <w:t> </w:t>
            </w:r>
            <w:r>
              <w:rPr>
                <w:color w:val="231F1F"/>
                <w:w w:val="110"/>
                <w:sz w:val="22"/>
              </w:rPr>
              <w:t>deben</w:t>
            </w:r>
            <w:r>
              <w:rPr>
                <w:color w:val="231F1F"/>
                <w:spacing w:val="-15"/>
                <w:w w:val="110"/>
                <w:sz w:val="22"/>
              </w:rPr>
              <w:t> </w:t>
            </w:r>
            <w:r>
              <w:rPr>
                <w:color w:val="231F1F"/>
                <w:w w:val="110"/>
                <w:sz w:val="22"/>
              </w:rPr>
              <w:t>ser</w:t>
            </w:r>
            <w:r>
              <w:rPr>
                <w:color w:val="231F1F"/>
                <w:spacing w:val="-15"/>
                <w:w w:val="110"/>
                <w:sz w:val="22"/>
              </w:rPr>
              <w:t> </w:t>
            </w:r>
            <w:r>
              <w:rPr>
                <w:color w:val="231F1F"/>
                <w:w w:val="110"/>
                <w:sz w:val="22"/>
              </w:rPr>
              <w:t>informadas</w:t>
            </w:r>
            <w:r>
              <w:rPr>
                <w:color w:val="231F1F"/>
                <w:spacing w:val="-15"/>
                <w:w w:val="110"/>
                <w:sz w:val="22"/>
              </w:rPr>
              <w:t> </w:t>
            </w:r>
            <w:r>
              <w:rPr>
                <w:color w:val="231F1F"/>
                <w:w w:val="110"/>
                <w:sz w:val="22"/>
              </w:rPr>
              <w:t>(preferiblemente</w:t>
            </w:r>
            <w:r>
              <w:rPr>
                <w:color w:val="231F1F"/>
                <w:spacing w:val="-15"/>
                <w:w w:val="110"/>
                <w:sz w:val="22"/>
              </w:rPr>
              <w:t> </w:t>
            </w:r>
            <w:r>
              <w:rPr>
                <w:color w:val="231F1F"/>
                <w:w w:val="110"/>
                <w:sz w:val="22"/>
              </w:rPr>
              <w:t>durante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gestación)</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el manejo</w:t>
            </w:r>
            <w:r>
              <w:rPr>
                <w:color w:val="231F1F"/>
                <w:spacing w:val="-11"/>
                <w:w w:val="110"/>
                <w:sz w:val="22"/>
              </w:rPr>
              <w:t> </w:t>
            </w:r>
            <w:r>
              <w:rPr>
                <w:color w:val="231F1F"/>
                <w:w w:val="110"/>
                <w:sz w:val="22"/>
              </w:rPr>
              <w:t>activo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tercera</w:t>
            </w:r>
            <w:r>
              <w:rPr>
                <w:color w:val="231F1F"/>
                <w:spacing w:val="-12"/>
                <w:w w:val="110"/>
                <w:sz w:val="22"/>
              </w:rPr>
              <w:t> </w:t>
            </w:r>
            <w:r>
              <w:rPr>
                <w:color w:val="231F1F"/>
                <w:w w:val="110"/>
                <w:sz w:val="22"/>
              </w:rPr>
              <w:t>etapa</w:t>
            </w:r>
            <w:r>
              <w:rPr>
                <w:color w:val="231F1F"/>
                <w:spacing w:val="-12"/>
                <w:w w:val="110"/>
                <w:sz w:val="22"/>
              </w:rPr>
              <w:t> </w:t>
            </w:r>
            <w:r>
              <w:rPr>
                <w:color w:val="231F1F"/>
                <w:w w:val="110"/>
                <w:sz w:val="22"/>
              </w:rPr>
              <w:t>del</w:t>
            </w:r>
            <w:r>
              <w:rPr>
                <w:color w:val="231F1F"/>
                <w:spacing w:val="-12"/>
                <w:w w:val="110"/>
                <w:sz w:val="22"/>
              </w:rPr>
              <w:t> </w:t>
            </w:r>
            <w:r>
              <w:rPr>
                <w:color w:val="231F1F"/>
                <w:w w:val="110"/>
                <w:sz w:val="22"/>
              </w:rPr>
              <w:t>parto</w:t>
            </w:r>
            <w:r>
              <w:rPr>
                <w:color w:val="231F1F"/>
                <w:spacing w:val="-12"/>
                <w:w w:val="110"/>
                <w:sz w:val="22"/>
              </w:rPr>
              <w:t> </w:t>
            </w:r>
            <w:r>
              <w:rPr>
                <w:color w:val="231F1F"/>
                <w:w w:val="110"/>
                <w:sz w:val="22"/>
              </w:rPr>
              <w:t>acorta</w:t>
            </w:r>
            <w:r>
              <w:rPr>
                <w:color w:val="231F1F"/>
                <w:spacing w:val="-12"/>
                <w:w w:val="110"/>
                <w:sz w:val="22"/>
              </w:rPr>
              <w:t> </w:t>
            </w:r>
            <w:r>
              <w:rPr>
                <w:color w:val="231F1F"/>
                <w:w w:val="110"/>
                <w:sz w:val="22"/>
              </w:rPr>
              <w:t>su</w:t>
            </w:r>
            <w:r>
              <w:rPr>
                <w:color w:val="231F1F"/>
                <w:spacing w:val="-12"/>
                <w:w w:val="110"/>
                <w:sz w:val="22"/>
              </w:rPr>
              <w:t> </w:t>
            </w:r>
            <w:r>
              <w:rPr>
                <w:color w:val="231F1F"/>
                <w:w w:val="110"/>
                <w:sz w:val="22"/>
              </w:rPr>
              <w:t>duración,</w:t>
            </w:r>
            <w:r>
              <w:rPr>
                <w:color w:val="231F1F"/>
                <w:spacing w:val="-13"/>
                <w:w w:val="110"/>
                <w:sz w:val="22"/>
              </w:rPr>
              <w:t> </w:t>
            </w:r>
            <w:r>
              <w:rPr>
                <w:color w:val="231F1F"/>
                <w:w w:val="110"/>
                <w:sz w:val="22"/>
              </w:rPr>
              <w:t>disminuye</w:t>
            </w:r>
            <w:r>
              <w:rPr>
                <w:color w:val="231F1F"/>
                <w:spacing w:val="-12"/>
                <w:w w:val="110"/>
                <w:sz w:val="22"/>
              </w:rPr>
              <w:t> </w:t>
            </w:r>
            <w:r>
              <w:rPr>
                <w:color w:val="231F1F"/>
                <w:w w:val="110"/>
                <w:sz w:val="22"/>
              </w:rPr>
              <w:t>el</w:t>
            </w:r>
            <w:r>
              <w:rPr>
                <w:color w:val="231F1F"/>
                <w:spacing w:val="-12"/>
                <w:w w:val="110"/>
                <w:sz w:val="22"/>
              </w:rPr>
              <w:t> </w:t>
            </w:r>
            <w:r>
              <w:rPr>
                <w:color w:val="231F1F"/>
                <w:w w:val="110"/>
                <w:sz w:val="22"/>
              </w:rPr>
              <w:t>riesgo de hemorragia posparto y la necesidad de oxitocina terapéutica.</w:t>
            </w:r>
          </w:p>
        </w:tc>
      </w:tr>
      <w:tr>
        <w:trPr>
          <w:trHeight w:val="402" w:hRule="atLeast"/>
        </w:trPr>
        <w:tc>
          <w:tcPr>
            <w:tcW w:w="456" w:type="dxa"/>
          </w:tcPr>
          <w:p>
            <w:pPr>
              <w:pStyle w:val="TableParagraph"/>
              <w:spacing w:before="39"/>
              <w:ind w:left="43" w:right="86"/>
              <w:jc w:val="center"/>
              <w:rPr>
                <w:sz w:val="22"/>
              </w:rPr>
            </w:pPr>
            <w:r>
              <w:rPr>
                <w:color w:val="231F1F"/>
                <w:spacing w:val="-10"/>
                <w:w w:val="110"/>
                <w:sz w:val="22"/>
              </w:rPr>
              <w:t>√</w:t>
            </w:r>
          </w:p>
        </w:tc>
        <w:tc>
          <w:tcPr>
            <w:tcW w:w="8050" w:type="dxa"/>
          </w:tcPr>
          <w:p>
            <w:pPr>
              <w:pStyle w:val="TableParagraph"/>
              <w:spacing w:before="49"/>
              <w:rPr>
                <w:sz w:val="22"/>
              </w:rPr>
            </w:pPr>
            <w:r>
              <w:rPr>
                <w:color w:val="231F1F"/>
                <w:sz w:val="22"/>
              </w:rPr>
              <w:t>El</w:t>
            </w:r>
            <w:r>
              <w:rPr>
                <w:color w:val="231F1F"/>
                <w:spacing w:val="27"/>
                <w:sz w:val="22"/>
              </w:rPr>
              <w:t> </w:t>
            </w:r>
            <w:r>
              <w:rPr>
                <w:color w:val="231F1F"/>
                <w:sz w:val="22"/>
              </w:rPr>
              <w:t>alumbramiento</w:t>
            </w:r>
            <w:r>
              <w:rPr>
                <w:color w:val="231F1F"/>
                <w:spacing w:val="30"/>
                <w:sz w:val="22"/>
              </w:rPr>
              <w:t> </w:t>
            </w:r>
            <w:r>
              <w:rPr>
                <w:color w:val="231F1F"/>
                <w:sz w:val="22"/>
              </w:rPr>
              <w:t>espontáneo</w:t>
            </w:r>
            <w:r>
              <w:rPr>
                <w:color w:val="231F1F"/>
                <w:spacing w:val="32"/>
                <w:sz w:val="22"/>
              </w:rPr>
              <w:t> </w:t>
            </w:r>
            <w:r>
              <w:rPr>
                <w:color w:val="231F1F"/>
                <w:sz w:val="22"/>
              </w:rPr>
              <w:t>o</w:t>
            </w:r>
            <w:r>
              <w:rPr>
                <w:color w:val="231F1F"/>
                <w:spacing w:val="30"/>
                <w:sz w:val="22"/>
              </w:rPr>
              <w:t> </w:t>
            </w:r>
            <w:r>
              <w:rPr>
                <w:color w:val="231F1F"/>
                <w:sz w:val="22"/>
              </w:rPr>
              <w:t>fisiológico</w:t>
            </w:r>
            <w:r>
              <w:rPr>
                <w:color w:val="231F1F"/>
                <w:spacing w:val="35"/>
                <w:sz w:val="22"/>
              </w:rPr>
              <w:t> </w:t>
            </w:r>
            <w:r>
              <w:rPr>
                <w:color w:val="231F1F"/>
                <w:sz w:val="22"/>
              </w:rPr>
              <w:t>es</w:t>
            </w:r>
            <w:r>
              <w:rPr>
                <w:color w:val="231F1F"/>
                <w:spacing w:val="30"/>
                <w:sz w:val="22"/>
              </w:rPr>
              <w:t> </w:t>
            </w:r>
            <w:r>
              <w:rPr>
                <w:color w:val="231F1F"/>
                <w:sz w:val="22"/>
              </w:rPr>
              <w:t>una</w:t>
            </w:r>
            <w:r>
              <w:rPr>
                <w:color w:val="231F1F"/>
                <w:spacing w:val="31"/>
                <w:sz w:val="22"/>
              </w:rPr>
              <w:t> </w:t>
            </w:r>
            <w:r>
              <w:rPr>
                <w:color w:val="231F1F"/>
                <w:sz w:val="22"/>
              </w:rPr>
              <w:t>opción</w:t>
            </w:r>
            <w:r>
              <w:rPr>
                <w:color w:val="231F1F"/>
                <w:spacing w:val="30"/>
                <w:sz w:val="22"/>
              </w:rPr>
              <w:t> </w:t>
            </w:r>
            <w:r>
              <w:rPr>
                <w:color w:val="231F1F"/>
                <w:sz w:val="22"/>
              </w:rPr>
              <w:t>si</w:t>
            </w:r>
            <w:r>
              <w:rPr>
                <w:color w:val="231F1F"/>
                <w:spacing w:val="28"/>
                <w:sz w:val="22"/>
              </w:rPr>
              <w:t> </w:t>
            </w:r>
            <w:r>
              <w:rPr>
                <w:color w:val="231F1F"/>
                <w:sz w:val="22"/>
              </w:rPr>
              <w:t>la</w:t>
            </w:r>
            <w:r>
              <w:rPr>
                <w:color w:val="231F1F"/>
                <w:spacing w:val="32"/>
                <w:sz w:val="22"/>
              </w:rPr>
              <w:t> </w:t>
            </w:r>
            <w:r>
              <w:rPr>
                <w:color w:val="231F1F"/>
                <w:sz w:val="22"/>
              </w:rPr>
              <w:t>mujer</w:t>
            </w:r>
            <w:r>
              <w:rPr>
                <w:color w:val="231F1F"/>
                <w:spacing w:val="30"/>
                <w:sz w:val="22"/>
              </w:rPr>
              <w:t> </w:t>
            </w:r>
            <w:r>
              <w:rPr>
                <w:color w:val="231F1F"/>
                <w:sz w:val="22"/>
              </w:rPr>
              <w:t>lo</w:t>
            </w:r>
            <w:r>
              <w:rPr>
                <w:color w:val="231F1F"/>
                <w:spacing w:val="33"/>
                <w:sz w:val="22"/>
              </w:rPr>
              <w:t> </w:t>
            </w:r>
            <w:r>
              <w:rPr>
                <w:color w:val="231F1F"/>
                <w:spacing w:val="-2"/>
                <w:sz w:val="22"/>
              </w:rPr>
              <w:t>solicita.</w:t>
            </w:r>
          </w:p>
        </w:tc>
      </w:tr>
    </w:tbl>
    <w:p>
      <w:pPr>
        <w:pStyle w:val="TableParagraph"/>
        <w:spacing w:after="0"/>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29" w:id="27"/>
      <w:r>
        <w:rPr>
          <w:color w:val="231F1F"/>
        </w:rPr>
        <w:t>Utilización</w:t>
      </w:r>
      <w:r>
        <w:rPr>
          <w:color w:val="231F1F"/>
          <w:spacing w:val="74"/>
        </w:rPr>
        <w:t> </w:t>
      </w:r>
      <w:r>
        <w:rPr>
          <w:color w:val="231F1F"/>
        </w:rPr>
        <w:t>de</w:t>
      </w:r>
      <w:r>
        <w:rPr>
          <w:color w:val="231F1F"/>
          <w:spacing w:val="75"/>
        </w:rPr>
        <w:t> </w:t>
      </w:r>
      <w:bookmarkEnd w:id="27"/>
      <w:r>
        <w:rPr>
          <w:color w:val="231F1F"/>
          <w:spacing w:val="-2"/>
        </w:rPr>
        <w:t>uterotónicos</w:t>
      </w:r>
    </w:p>
    <w:p>
      <w:pPr>
        <w:pStyle w:val="BodyText"/>
        <w:spacing w:before="26"/>
        <w:rPr>
          <w:sz w:val="20"/>
        </w:rPr>
      </w:pPr>
      <w:r>
        <w:rPr>
          <w:sz w:val="20"/>
        </w:rPr>
        <mc:AlternateContent>
          <mc:Choice Requires="wps">
            <w:drawing>
              <wp:anchor distT="0" distB="0" distL="0" distR="0" allowOverlap="1" layoutInCell="1" locked="0" behindDoc="1" simplePos="0" relativeHeight="487613440">
                <wp:simplePos x="0" y="0"/>
                <wp:positionH relativeFrom="page">
                  <wp:posOffset>1082675</wp:posOffset>
                </wp:positionH>
                <wp:positionV relativeFrom="paragraph">
                  <wp:posOffset>180997</wp:posOffset>
                </wp:positionV>
                <wp:extent cx="5400040" cy="440055"/>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5400040" cy="440055"/>
                        </a:xfrm>
                        <a:prstGeom prst="rect">
                          <a:avLst/>
                        </a:prstGeom>
                        <a:ln w="6350">
                          <a:solidFill>
                            <a:srgbClr val="A30046"/>
                          </a:solidFill>
                          <a:prstDash val="solid"/>
                        </a:ln>
                      </wps:spPr>
                      <wps:txbx>
                        <w:txbxContent>
                          <w:p>
                            <w:pPr>
                              <w:pStyle w:val="BodyText"/>
                              <w:numPr>
                                <w:ilvl w:val="0"/>
                                <w:numId w:val="50"/>
                              </w:numPr>
                              <w:tabs>
                                <w:tab w:pos="324" w:val="left" w:leader="none"/>
                              </w:tabs>
                              <w:spacing w:line="244" w:lineRule="auto" w:before="46" w:after="0"/>
                              <w:ind w:left="324" w:right="1712" w:hanging="220"/>
                              <w:jc w:val="left"/>
                            </w:pPr>
                            <w:r>
                              <w:rPr>
                                <w:color w:val="231F1F"/>
                                <w:w w:val="105"/>
                              </w:rPr>
                              <w:t>¿Qué</w:t>
                            </w:r>
                            <w:r>
                              <w:rPr>
                                <w:color w:val="231F1F"/>
                                <w:spacing w:val="-4"/>
                                <w:w w:val="105"/>
                              </w:rPr>
                              <w:t> </w:t>
                            </w:r>
                            <w:r>
                              <w:rPr>
                                <w:color w:val="231F1F"/>
                                <w:w w:val="105"/>
                              </w:rPr>
                              <w:t>uterotónico</w:t>
                            </w:r>
                            <w:r>
                              <w:rPr>
                                <w:color w:val="231F1F"/>
                                <w:spacing w:val="-5"/>
                                <w:w w:val="105"/>
                              </w:rPr>
                              <w:t> </w:t>
                            </w:r>
                            <w:r>
                              <w:rPr>
                                <w:color w:val="231F1F"/>
                                <w:w w:val="105"/>
                              </w:rPr>
                              <w:t>es</w:t>
                            </w:r>
                            <w:r>
                              <w:rPr>
                                <w:color w:val="231F1F"/>
                                <w:spacing w:val="-5"/>
                                <w:w w:val="105"/>
                              </w:rPr>
                              <w:t> </w:t>
                            </w:r>
                            <w:r>
                              <w:rPr>
                                <w:color w:val="231F1F"/>
                                <w:w w:val="105"/>
                              </w:rPr>
                              <w:t>el</w:t>
                            </w:r>
                            <w:r>
                              <w:rPr>
                                <w:color w:val="231F1F"/>
                                <w:spacing w:val="-5"/>
                                <w:w w:val="105"/>
                              </w:rPr>
                              <w:t> </w:t>
                            </w:r>
                            <w:r>
                              <w:rPr>
                                <w:color w:val="231F1F"/>
                                <w:w w:val="105"/>
                              </w:rPr>
                              <w:t>más</w:t>
                            </w:r>
                            <w:r>
                              <w:rPr>
                                <w:color w:val="231F1F"/>
                                <w:spacing w:val="-5"/>
                                <w:w w:val="105"/>
                              </w:rPr>
                              <w:t> </w:t>
                            </w:r>
                            <w:r>
                              <w:rPr>
                                <w:color w:val="231F1F"/>
                                <w:w w:val="105"/>
                              </w:rPr>
                              <w:t>adecuado</w:t>
                            </w:r>
                            <w:r>
                              <w:rPr>
                                <w:color w:val="231F1F"/>
                                <w:spacing w:val="-5"/>
                                <w:w w:val="105"/>
                              </w:rPr>
                              <w:t> </w:t>
                            </w:r>
                            <w:r>
                              <w:rPr>
                                <w:color w:val="231F1F"/>
                                <w:w w:val="105"/>
                              </w:rPr>
                              <w:t>para</w:t>
                            </w:r>
                            <w:r>
                              <w:rPr>
                                <w:color w:val="231F1F"/>
                                <w:spacing w:val="-4"/>
                                <w:w w:val="105"/>
                              </w:rPr>
                              <w:t> </w:t>
                            </w:r>
                            <w:r>
                              <w:rPr>
                                <w:color w:val="231F1F"/>
                                <w:w w:val="105"/>
                              </w:rPr>
                              <w:t>el</w:t>
                            </w:r>
                            <w:r>
                              <w:rPr>
                                <w:color w:val="231F1F"/>
                                <w:spacing w:val="-5"/>
                                <w:w w:val="105"/>
                              </w:rPr>
                              <w:t> </w:t>
                            </w:r>
                            <w:r>
                              <w:rPr>
                                <w:color w:val="231F1F"/>
                                <w:w w:val="105"/>
                              </w:rPr>
                              <w:t>alumbramiento</w:t>
                            </w:r>
                            <w:r>
                              <w:rPr>
                                <w:color w:val="231F1F"/>
                                <w:spacing w:val="-5"/>
                                <w:w w:val="105"/>
                              </w:rPr>
                              <w:t> </w:t>
                            </w:r>
                            <w:r>
                              <w:rPr>
                                <w:color w:val="231F1F"/>
                                <w:w w:val="105"/>
                              </w:rPr>
                              <w:t>dirigido? (oxitocina, ergotínicos, prostaglandinas y carbetocina)</w:t>
                            </w:r>
                          </w:p>
                        </w:txbxContent>
                      </wps:txbx>
                      <wps:bodyPr wrap="square" lIns="0" tIns="0" rIns="0" bIns="0" rtlCol="0">
                        <a:noAutofit/>
                      </wps:bodyPr>
                    </wps:wsp>
                  </a:graphicData>
                </a:graphic>
              </wp:anchor>
            </w:drawing>
          </mc:Choice>
          <mc:Fallback>
            <w:pict>
              <v:shape style="position:absolute;margin-left:85.25pt;margin-top:14.251758pt;width:425.2pt;height:34.65pt;mso-position-horizontal-relative:page;mso-position-vertical-relative:paragraph;z-index:-15703040;mso-wrap-distance-left:0;mso-wrap-distance-right:0" type="#_x0000_t202" id="docshape93" filled="false" stroked="true" strokeweight=".5pt" strokecolor="#a30046">
                <v:textbox inset="0,0,0,0">
                  <w:txbxContent>
                    <w:p>
                      <w:pPr>
                        <w:pStyle w:val="BodyText"/>
                        <w:numPr>
                          <w:ilvl w:val="0"/>
                          <w:numId w:val="50"/>
                        </w:numPr>
                        <w:tabs>
                          <w:tab w:pos="324" w:val="left" w:leader="none"/>
                        </w:tabs>
                        <w:spacing w:line="244" w:lineRule="auto" w:before="46" w:after="0"/>
                        <w:ind w:left="324" w:right="1712" w:hanging="220"/>
                        <w:jc w:val="left"/>
                      </w:pPr>
                      <w:r>
                        <w:rPr>
                          <w:color w:val="231F1F"/>
                          <w:w w:val="105"/>
                        </w:rPr>
                        <w:t>¿Qué</w:t>
                      </w:r>
                      <w:r>
                        <w:rPr>
                          <w:color w:val="231F1F"/>
                          <w:spacing w:val="-4"/>
                          <w:w w:val="105"/>
                        </w:rPr>
                        <w:t> </w:t>
                      </w:r>
                      <w:r>
                        <w:rPr>
                          <w:color w:val="231F1F"/>
                          <w:w w:val="105"/>
                        </w:rPr>
                        <w:t>uterotónico</w:t>
                      </w:r>
                      <w:r>
                        <w:rPr>
                          <w:color w:val="231F1F"/>
                          <w:spacing w:val="-5"/>
                          <w:w w:val="105"/>
                        </w:rPr>
                        <w:t> </w:t>
                      </w:r>
                      <w:r>
                        <w:rPr>
                          <w:color w:val="231F1F"/>
                          <w:w w:val="105"/>
                        </w:rPr>
                        <w:t>es</w:t>
                      </w:r>
                      <w:r>
                        <w:rPr>
                          <w:color w:val="231F1F"/>
                          <w:spacing w:val="-5"/>
                          <w:w w:val="105"/>
                        </w:rPr>
                        <w:t> </w:t>
                      </w:r>
                      <w:r>
                        <w:rPr>
                          <w:color w:val="231F1F"/>
                          <w:w w:val="105"/>
                        </w:rPr>
                        <w:t>el</w:t>
                      </w:r>
                      <w:r>
                        <w:rPr>
                          <w:color w:val="231F1F"/>
                          <w:spacing w:val="-5"/>
                          <w:w w:val="105"/>
                        </w:rPr>
                        <w:t> </w:t>
                      </w:r>
                      <w:r>
                        <w:rPr>
                          <w:color w:val="231F1F"/>
                          <w:w w:val="105"/>
                        </w:rPr>
                        <w:t>más</w:t>
                      </w:r>
                      <w:r>
                        <w:rPr>
                          <w:color w:val="231F1F"/>
                          <w:spacing w:val="-5"/>
                          <w:w w:val="105"/>
                        </w:rPr>
                        <w:t> </w:t>
                      </w:r>
                      <w:r>
                        <w:rPr>
                          <w:color w:val="231F1F"/>
                          <w:w w:val="105"/>
                        </w:rPr>
                        <w:t>adecuado</w:t>
                      </w:r>
                      <w:r>
                        <w:rPr>
                          <w:color w:val="231F1F"/>
                          <w:spacing w:val="-5"/>
                          <w:w w:val="105"/>
                        </w:rPr>
                        <w:t> </w:t>
                      </w:r>
                      <w:r>
                        <w:rPr>
                          <w:color w:val="231F1F"/>
                          <w:w w:val="105"/>
                        </w:rPr>
                        <w:t>para</w:t>
                      </w:r>
                      <w:r>
                        <w:rPr>
                          <w:color w:val="231F1F"/>
                          <w:spacing w:val="-4"/>
                          <w:w w:val="105"/>
                        </w:rPr>
                        <w:t> </w:t>
                      </w:r>
                      <w:r>
                        <w:rPr>
                          <w:color w:val="231F1F"/>
                          <w:w w:val="105"/>
                        </w:rPr>
                        <w:t>el</w:t>
                      </w:r>
                      <w:r>
                        <w:rPr>
                          <w:color w:val="231F1F"/>
                          <w:spacing w:val="-5"/>
                          <w:w w:val="105"/>
                        </w:rPr>
                        <w:t> </w:t>
                      </w:r>
                      <w:r>
                        <w:rPr>
                          <w:color w:val="231F1F"/>
                          <w:w w:val="105"/>
                        </w:rPr>
                        <w:t>alumbramiento</w:t>
                      </w:r>
                      <w:r>
                        <w:rPr>
                          <w:color w:val="231F1F"/>
                          <w:spacing w:val="-5"/>
                          <w:w w:val="105"/>
                        </w:rPr>
                        <w:t> </w:t>
                      </w:r>
                      <w:r>
                        <w:rPr>
                          <w:color w:val="231F1F"/>
                          <w:w w:val="105"/>
                        </w:rPr>
                        <w:t>dirigido? (oxitocina, ergotínicos, prostaglandinas y carbetocina)</w:t>
                      </w:r>
                    </w:p>
                  </w:txbxContent>
                </v:textbox>
                <v:stroke dashstyle="solid"/>
                <w10:wrap type="topAndBottom"/>
              </v:shape>
            </w:pict>
          </mc:Fallback>
        </mc:AlternateContent>
      </w:r>
    </w:p>
    <w:p>
      <w:pPr>
        <w:pStyle w:val="BodyText"/>
        <w:spacing w:line="252" w:lineRule="auto" w:before="265"/>
        <w:ind w:left="283" w:right="122"/>
        <w:jc w:val="both"/>
      </w:pPr>
      <w:r>
        <w:rPr>
          <w:color w:val="231F1F"/>
          <w:w w:val="110"/>
        </w:rPr>
        <w:t>Los uterotónicos se introdujeron originalmente para el tratamiento de la HPP. La admi- nistración</w:t>
      </w:r>
      <w:r>
        <w:rPr>
          <w:color w:val="231F1F"/>
          <w:spacing w:val="-9"/>
          <w:w w:val="110"/>
        </w:rPr>
        <w:t> </w:t>
      </w:r>
      <w:r>
        <w:rPr>
          <w:color w:val="231F1F"/>
          <w:w w:val="110"/>
        </w:rPr>
        <w:t>profiláctica</w:t>
      </w:r>
      <w:r>
        <w:rPr>
          <w:color w:val="231F1F"/>
          <w:spacing w:val="-10"/>
          <w:w w:val="110"/>
        </w:rPr>
        <w:t> </w:t>
      </w:r>
      <w:r>
        <w:rPr>
          <w:color w:val="231F1F"/>
          <w:w w:val="110"/>
        </w:rPr>
        <w:t>de</w:t>
      </w:r>
      <w:r>
        <w:rPr>
          <w:color w:val="231F1F"/>
          <w:spacing w:val="-9"/>
          <w:w w:val="110"/>
        </w:rPr>
        <w:t> </w:t>
      </w:r>
      <w:r>
        <w:rPr>
          <w:color w:val="231F1F"/>
          <w:w w:val="110"/>
        </w:rPr>
        <w:t>rutina</w:t>
      </w:r>
      <w:r>
        <w:rPr>
          <w:color w:val="231F1F"/>
          <w:spacing w:val="-9"/>
          <w:w w:val="110"/>
        </w:rPr>
        <w:t> </w:t>
      </w:r>
      <w:r>
        <w:rPr>
          <w:color w:val="231F1F"/>
          <w:w w:val="110"/>
        </w:rPr>
        <w:t>de</w:t>
      </w:r>
      <w:r>
        <w:rPr>
          <w:color w:val="231F1F"/>
          <w:spacing w:val="-9"/>
          <w:w w:val="110"/>
        </w:rPr>
        <w:t> </w:t>
      </w:r>
      <w:r>
        <w:rPr>
          <w:color w:val="231F1F"/>
          <w:w w:val="110"/>
        </w:rPr>
        <w:t>un</w:t>
      </w:r>
      <w:r>
        <w:rPr>
          <w:color w:val="231F1F"/>
          <w:spacing w:val="-9"/>
          <w:w w:val="110"/>
        </w:rPr>
        <w:t> </w:t>
      </w:r>
      <w:r>
        <w:rPr>
          <w:color w:val="231F1F"/>
          <w:w w:val="110"/>
        </w:rPr>
        <w:t>agente</w:t>
      </w:r>
      <w:r>
        <w:rPr>
          <w:color w:val="231F1F"/>
          <w:spacing w:val="-9"/>
          <w:w w:val="110"/>
        </w:rPr>
        <w:t> </w:t>
      </w:r>
      <w:r>
        <w:rPr>
          <w:color w:val="231F1F"/>
          <w:w w:val="110"/>
        </w:rPr>
        <w:t>oxitócico</w:t>
      </w:r>
      <w:r>
        <w:rPr>
          <w:color w:val="231F1F"/>
          <w:spacing w:val="-9"/>
          <w:w w:val="110"/>
        </w:rPr>
        <w:t> </w:t>
      </w:r>
      <w:r>
        <w:rPr>
          <w:color w:val="231F1F"/>
          <w:w w:val="110"/>
        </w:rPr>
        <w:t>forma</w:t>
      </w:r>
      <w:r>
        <w:rPr>
          <w:color w:val="231F1F"/>
          <w:spacing w:val="-9"/>
          <w:w w:val="110"/>
        </w:rPr>
        <w:t> </w:t>
      </w:r>
      <w:r>
        <w:rPr>
          <w:color w:val="231F1F"/>
          <w:w w:val="110"/>
        </w:rPr>
        <w:t>parte</w:t>
      </w:r>
      <w:r>
        <w:rPr>
          <w:color w:val="231F1F"/>
          <w:spacing w:val="-9"/>
          <w:w w:val="110"/>
        </w:rPr>
        <w:t> </w:t>
      </w:r>
      <w:r>
        <w:rPr>
          <w:color w:val="231F1F"/>
          <w:w w:val="110"/>
        </w:rPr>
        <w:t>del</w:t>
      </w:r>
      <w:r>
        <w:rPr>
          <w:color w:val="231F1F"/>
          <w:spacing w:val="-10"/>
          <w:w w:val="110"/>
        </w:rPr>
        <w:t> </w:t>
      </w:r>
      <w:r>
        <w:rPr>
          <w:color w:val="231F1F"/>
          <w:w w:val="110"/>
        </w:rPr>
        <w:t>manejo</w:t>
      </w:r>
      <w:r>
        <w:rPr>
          <w:color w:val="231F1F"/>
          <w:spacing w:val="-9"/>
          <w:w w:val="110"/>
        </w:rPr>
        <w:t> </w:t>
      </w:r>
      <w:r>
        <w:rPr>
          <w:color w:val="231F1F"/>
          <w:w w:val="110"/>
        </w:rPr>
        <w:t>activo</w:t>
      </w:r>
      <w:r>
        <w:rPr>
          <w:color w:val="231F1F"/>
          <w:spacing w:val="-9"/>
          <w:w w:val="110"/>
        </w:rPr>
        <w:t> </w:t>
      </w:r>
      <w:r>
        <w:rPr>
          <w:color w:val="231F1F"/>
          <w:w w:val="110"/>
        </w:rPr>
        <w:t>del alumbramiento.</w:t>
      </w:r>
      <w:r>
        <w:rPr>
          <w:color w:val="231F1F"/>
          <w:spacing w:val="-11"/>
          <w:w w:val="110"/>
        </w:rPr>
        <w:t> </w:t>
      </w:r>
      <w:r>
        <w:rPr>
          <w:color w:val="231F1F"/>
          <w:w w:val="110"/>
        </w:rPr>
        <w:t>Los</w:t>
      </w:r>
      <w:r>
        <w:rPr>
          <w:color w:val="231F1F"/>
          <w:spacing w:val="-11"/>
          <w:w w:val="110"/>
        </w:rPr>
        <w:t> </w:t>
      </w:r>
      <w:r>
        <w:rPr>
          <w:color w:val="231F1F"/>
          <w:w w:val="110"/>
        </w:rPr>
        <w:t>agentes</w:t>
      </w:r>
      <w:r>
        <w:rPr>
          <w:color w:val="231F1F"/>
          <w:spacing w:val="-11"/>
          <w:w w:val="110"/>
        </w:rPr>
        <w:t> </w:t>
      </w:r>
      <w:r>
        <w:rPr>
          <w:color w:val="231F1F"/>
          <w:w w:val="110"/>
        </w:rPr>
        <w:t>uterotónicos</w:t>
      </w:r>
      <w:r>
        <w:rPr>
          <w:color w:val="231F1F"/>
          <w:spacing w:val="-11"/>
          <w:w w:val="110"/>
        </w:rPr>
        <w:t> </w:t>
      </w:r>
      <w:r>
        <w:rPr>
          <w:color w:val="231F1F"/>
          <w:w w:val="110"/>
        </w:rPr>
        <w:t>se</w:t>
      </w:r>
      <w:r>
        <w:rPr>
          <w:color w:val="231F1F"/>
          <w:spacing w:val="-11"/>
          <w:w w:val="110"/>
        </w:rPr>
        <w:t> </w:t>
      </w:r>
      <w:r>
        <w:rPr>
          <w:color w:val="231F1F"/>
          <w:w w:val="110"/>
        </w:rPr>
        <w:t>dividen</w:t>
      </w:r>
      <w:r>
        <w:rPr>
          <w:color w:val="231F1F"/>
          <w:spacing w:val="-11"/>
          <w:w w:val="110"/>
        </w:rPr>
        <w:t> </w:t>
      </w:r>
      <w:r>
        <w:rPr>
          <w:color w:val="231F1F"/>
          <w:w w:val="110"/>
        </w:rPr>
        <w:t>en</w:t>
      </w:r>
      <w:r>
        <w:rPr>
          <w:color w:val="231F1F"/>
          <w:spacing w:val="-10"/>
          <w:w w:val="110"/>
        </w:rPr>
        <w:t> </w:t>
      </w:r>
      <w:r>
        <w:rPr>
          <w:color w:val="231F1F"/>
          <w:w w:val="110"/>
        </w:rPr>
        <w:t>tres</w:t>
      </w:r>
      <w:r>
        <w:rPr>
          <w:color w:val="231F1F"/>
          <w:spacing w:val="-11"/>
          <w:w w:val="110"/>
        </w:rPr>
        <w:t> </w:t>
      </w:r>
      <w:r>
        <w:rPr>
          <w:color w:val="231F1F"/>
          <w:w w:val="110"/>
        </w:rPr>
        <w:t>grupos:</w:t>
      </w:r>
      <w:r>
        <w:rPr>
          <w:color w:val="231F1F"/>
          <w:spacing w:val="-11"/>
          <w:w w:val="110"/>
        </w:rPr>
        <w:t> </w:t>
      </w:r>
      <w:r>
        <w:rPr>
          <w:color w:val="231F1F"/>
          <w:w w:val="110"/>
        </w:rPr>
        <w:t>alcaloides</w:t>
      </w:r>
      <w:r>
        <w:rPr>
          <w:color w:val="231F1F"/>
          <w:spacing w:val="-11"/>
          <w:w w:val="110"/>
        </w:rPr>
        <w:t> </w:t>
      </w:r>
      <w:r>
        <w:rPr>
          <w:color w:val="231F1F"/>
          <w:w w:val="110"/>
        </w:rPr>
        <w:t>del</w:t>
      </w:r>
      <w:r>
        <w:rPr>
          <w:color w:val="231F1F"/>
          <w:spacing w:val="-11"/>
          <w:w w:val="110"/>
        </w:rPr>
        <w:t> </w:t>
      </w:r>
      <w:r>
        <w:rPr>
          <w:color w:val="231F1F"/>
          <w:w w:val="110"/>
        </w:rPr>
        <w:t>corne- zuelo</w:t>
      </w:r>
      <w:r>
        <w:rPr>
          <w:color w:val="231F1F"/>
          <w:spacing w:val="-16"/>
          <w:w w:val="110"/>
        </w:rPr>
        <w:t> </w:t>
      </w:r>
      <w:r>
        <w:rPr>
          <w:color w:val="231F1F"/>
          <w:w w:val="110"/>
        </w:rPr>
        <w:t>de</w:t>
      </w:r>
      <w:r>
        <w:rPr>
          <w:color w:val="231F1F"/>
          <w:spacing w:val="-15"/>
          <w:w w:val="110"/>
        </w:rPr>
        <w:t> </w:t>
      </w:r>
      <w:r>
        <w:rPr>
          <w:color w:val="231F1F"/>
          <w:w w:val="110"/>
        </w:rPr>
        <w:t>centeno,</w:t>
      </w:r>
      <w:r>
        <w:rPr>
          <w:color w:val="231F1F"/>
          <w:spacing w:val="-15"/>
          <w:w w:val="110"/>
        </w:rPr>
        <w:t> </w:t>
      </w:r>
      <w:r>
        <w:rPr>
          <w:color w:val="231F1F"/>
          <w:w w:val="110"/>
        </w:rPr>
        <w:t>oxitocina</w:t>
      </w:r>
      <w:r>
        <w:rPr>
          <w:color w:val="231F1F"/>
          <w:spacing w:val="-15"/>
          <w:w w:val="110"/>
        </w:rPr>
        <w:t> </w:t>
      </w:r>
      <w:r>
        <w:rPr>
          <w:color w:val="231F1F"/>
          <w:w w:val="110"/>
        </w:rPr>
        <w:t>y</w:t>
      </w:r>
      <w:r>
        <w:rPr>
          <w:color w:val="231F1F"/>
          <w:spacing w:val="-15"/>
          <w:w w:val="110"/>
        </w:rPr>
        <w:t> </w:t>
      </w:r>
      <w:r>
        <w:rPr>
          <w:color w:val="231F1F"/>
          <w:w w:val="110"/>
        </w:rPr>
        <w:t>prostaglandinas</w:t>
      </w:r>
      <w:r>
        <w:rPr>
          <w:color w:val="231F1F"/>
          <w:spacing w:val="-15"/>
          <w:w w:val="110"/>
        </w:rPr>
        <w:t> </w:t>
      </w:r>
      <w:r>
        <w:rPr>
          <w:color w:val="231F1F"/>
          <w:w w:val="110"/>
        </w:rPr>
        <w:t>y</w:t>
      </w:r>
      <w:r>
        <w:rPr>
          <w:color w:val="231F1F"/>
          <w:spacing w:val="-15"/>
          <w:w w:val="110"/>
        </w:rPr>
        <w:t> </w:t>
      </w:r>
      <w:r>
        <w:rPr>
          <w:color w:val="231F1F"/>
          <w:w w:val="110"/>
        </w:rPr>
        <w:t>últimamente</w:t>
      </w:r>
      <w:r>
        <w:rPr>
          <w:color w:val="231F1F"/>
          <w:spacing w:val="-15"/>
          <w:w w:val="110"/>
        </w:rPr>
        <w:t> </w:t>
      </w:r>
      <w:r>
        <w:rPr>
          <w:color w:val="231F1F"/>
          <w:w w:val="110"/>
        </w:rPr>
        <w:t>se</w:t>
      </w:r>
      <w:r>
        <w:rPr>
          <w:color w:val="231F1F"/>
          <w:spacing w:val="-16"/>
          <w:w w:val="110"/>
        </w:rPr>
        <w:t> </w:t>
      </w:r>
      <w:r>
        <w:rPr>
          <w:color w:val="231F1F"/>
          <w:w w:val="110"/>
        </w:rPr>
        <w:t>ha</w:t>
      </w:r>
      <w:r>
        <w:rPr>
          <w:color w:val="231F1F"/>
          <w:spacing w:val="-15"/>
          <w:w w:val="110"/>
        </w:rPr>
        <w:t> </w:t>
      </w:r>
      <w:r>
        <w:rPr>
          <w:color w:val="231F1F"/>
          <w:w w:val="110"/>
        </w:rPr>
        <w:t>introducido</w:t>
      </w:r>
      <w:r>
        <w:rPr>
          <w:color w:val="231F1F"/>
          <w:spacing w:val="-15"/>
          <w:w w:val="110"/>
        </w:rPr>
        <w:t> </w:t>
      </w:r>
      <w:r>
        <w:rPr>
          <w:color w:val="231F1F"/>
          <w:w w:val="110"/>
        </w:rPr>
        <w:t>también</w:t>
      </w:r>
      <w:r>
        <w:rPr>
          <w:color w:val="231F1F"/>
          <w:spacing w:val="-15"/>
          <w:w w:val="110"/>
        </w:rPr>
        <w:t> </w:t>
      </w:r>
      <w:r>
        <w:rPr>
          <w:color w:val="231F1F"/>
          <w:w w:val="110"/>
        </w:rPr>
        <w:t>la </w:t>
      </w:r>
      <w:r>
        <w:rPr>
          <w:color w:val="231F1F"/>
        </w:rPr>
        <w:t>carbetocina,</w:t>
      </w:r>
      <w:r>
        <w:rPr>
          <w:color w:val="231F1F"/>
          <w:spacing w:val="35"/>
        </w:rPr>
        <w:t> </w:t>
      </w:r>
      <w:r>
        <w:rPr>
          <w:color w:val="231F1F"/>
        </w:rPr>
        <w:t>un</w:t>
      </w:r>
      <w:r>
        <w:rPr>
          <w:color w:val="231F1F"/>
          <w:spacing w:val="35"/>
        </w:rPr>
        <w:t> </w:t>
      </w:r>
      <w:r>
        <w:rPr>
          <w:color w:val="231F1F"/>
        </w:rPr>
        <w:t>análogo</w:t>
      </w:r>
      <w:r>
        <w:rPr>
          <w:color w:val="231F1F"/>
          <w:spacing w:val="35"/>
        </w:rPr>
        <w:t> </w:t>
      </w:r>
      <w:r>
        <w:rPr>
          <w:color w:val="231F1F"/>
        </w:rPr>
        <w:t>de</w:t>
      </w:r>
      <w:r>
        <w:rPr>
          <w:color w:val="231F1F"/>
          <w:spacing w:val="35"/>
        </w:rPr>
        <w:t> </w:t>
      </w:r>
      <w:r>
        <w:rPr>
          <w:color w:val="231F1F"/>
        </w:rPr>
        <w:t>la</w:t>
      </w:r>
      <w:r>
        <w:rPr>
          <w:color w:val="231F1F"/>
          <w:spacing w:val="35"/>
        </w:rPr>
        <w:t> </w:t>
      </w:r>
      <w:r>
        <w:rPr>
          <w:color w:val="231F1F"/>
        </w:rPr>
        <w:t>oxitocina.</w:t>
      </w:r>
      <w:r>
        <w:rPr>
          <w:color w:val="231F1F"/>
          <w:spacing w:val="35"/>
        </w:rPr>
        <w:t> </w:t>
      </w:r>
      <w:r>
        <w:rPr>
          <w:color w:val="231F1F"/>
        </w:rPr>
        <w:t>Sus</w:t>
      </w:r>
      <w:r>
        <w:rPr>
          <w:color w:val="231F1F"/>
          <w:spacing w:val="35"/>
        </w:rPr>
        <w:t> </w:t>
      </w:r>
      <w:r>
        <w:rPr>
          <w:color w:val="231F1F"/>
        </w:rPr>
        <w:t>mecanismos</w:t>
      </w:r>
      <w:r>
        <w:rPr>
          <w:color w:val="231F1F"/>
          <w:spacing w:val="35"/>
        </w:rPr>
        <w:t> </w:t>
      </w:r>
      <w:r>
        <w:rPr>
          <w:color w:val="231F1F"/>
        </w:rPr>
        <w:t>para</w:t>
      </w:r>
      <w:r>
        <w:rPr>
          <w:color w:val="231F1F"/>
          <w:spacing w:val="35"/>
        </w:rPr>
        <w:t> </w:t>
      </w:r>
      <w:r>
        <w:rPr>
          <w:color w:val="231F1F"/>
        </w:rPr>
        <w:t>prevenir</w:t>
      </w:r>
      <w:r>
        <w:rPr>
          <w:color w:val="231F1F"/>
          <w:spacing w:val="35"/>
        </w:rPr>
        <w:t> </w:t>
      </w:r>
      <w:r>
        <w:rPr>
          <w:color w:val="231F1F"/>
        </w:rPr>
        <w:t>la</w:t>
      </w:r>
      <w:r>
        <w:rPr>
          <w:color w:val="231F1F"/>
          <w:spacing w:val="35"/>
        </w:rPr>
        <w:t> </w:t>
      </w:r>
      <w:r>
        <w:rPr>
          <w:color w:val="231F1F"/>
        </w:rPr>
        <w:t>HPP</w:t>
      </w:r>
      <w:r>
        <w:rPr>
          <w:color w:val="231F1F"/>
          <w:spacing w:val="35"/>
        </w:rPr>
        <w:t> </w:t>
      </w:r>
      <w:r>
        <w:rPr>
          <w:color w:val="231F1F"/>
        </w:rPr>
        <w:t>son</w:t>
      </w:r>
      <w:r>
        <w:rPr>
          <w:color w:val="231F1F"/>
          <w:spacing w:val="35"/>
        </w:rPr>
        <w:t> </w:t>
      </w:r>
      <w:r>
        <w:rPr>
          <w:color w:val="231F1F"/>
        </w:rPr>
        <w:t>diferen- </w:t>
      </w:r>
      <w:r>
        <w:rPr>
          <w:color w:val="231F1F"/>
          <w:w w:val="110"/>
        </w:rPr>
        <w:t>tes,</w:t>
      </w:r>
      <w:r>
        <w:rPr>
          <w:color w:val="231F1F"/>
          <w:spacing w:val="-12"/>
          <w:w w:val="110"/>
        </w:rPr>
        <w:t> </w:t>
      </w:r>
      <w:r>
        <w:rPr>
          <w:color w:val="231F1F"/>
          <w:w w:val="110"/>
        </w:rPr>
        <w:t>así</w:t>
      </w:r>
      <w:r>
        <w:rPr>
          <w:color w:val="231F1F"/>
          <w:spacing w:val="-12"/>
          <w:w w:val="110"/>
        </w:rPr>
        <w:t> </w:t>
      </w:r>
      <w:r>
        <w:rPr>
          <w:color w:val="231F1F"/>
          <w:w w:val="110"/>
        </w:rPr>
        <w:t>como</w:t>
      </w:r>
      <w:r>
        <w:rPr>
          <w:color w:val="231F1F"/>
          <w:spacing w:val="-12"/>
          <w:w w:val="110"/>
        </w:rPr>
        <w:t> </w:t>
      </w:r>
      <w:r>
        <w:rPr>
          <w:color w:val="231F1F"/>
          <w:w w:val="110"/>
        </w:rPr>
        <w:t>su</w:t>
      </w:r>
      <w:r>
        <w:rPr>
          <w:color w:val="231F1F"/>
          <w:spacing w:val="-12"/>
          <w:w w:val="110"/>
        </w:rPr>
        <w:t> </w:t>
      </w:r>
      <w:r>
        <w:rPr>
          <w:color w:val="231F1F"/>
          <w:w w:val="110"/>
        </w:rPr>
        <w:t>efectividad</w:t>
      </w:r>
      <w:r>
        <w:rPr>
          <w:color w:val="231F1F"/>
          <w:spacing w:val="-12"/>
          <w:w w:val="110"/>
        </w:rPr>
        <w:t> </w:t>
      </w:r>
      <w:r>
        <w:rPr>
          <w:color w:val="231F1F"/>
          <w:w w:val="110"/>
        </w:rPr>
        <w:t>y</w:t>
      </w:r>
      <w:r>
        <w:rPr>
          <w:color w:val="231F1F"/>
          <w:spacing w:val="-12"/>
          <w:w w:val="110"/>
        </w:rPr>
        <w:t> </w:t>
      </w:r>
      <w:r>
        <w:rPr>
          <w:color w:val="231F1F"/>
          <w:w w:val="110"/>
        </w:rPr>
        <w:t>efectos</w:t>
      </w:r>
      <w:r>
        <w:rPr>
          <w:color w:val="231F1F"/>
          <w:spacing w:val="-12"/>
          <w:w w:val="110"/>
        </w:rPr>
        <w:t> </w:t>
      </w:r>
      <w:r>
        <w:rPr>
          <w:color w:val="231F1F"/>
          <w:w w:val="110"/>
        </w:rPr>
        <w:t>colaterales.</w:t>
      </w:r>
      <w:r>
        <w:rPr>
          <w:color w:val="231F1F"/>
          <w:spacing w:val="-12"/>
          <w:w w:val="110"/>
        </w:rPr>
        <w:t> </w:t>
      </w:r>
      <w:r>
        <w:rPr>
          <w:color w:val="231F1F"/>
          <w:w w:val="110"/>
        </w:rPr>
        <w:t>Es</w:t>
      </w:r>
      <w:r>
        <w:rPr>
          <w:color w:val="231F1F"/>
          <w:spacing w:val="-12"/>
          <w:w w:val="110"/>
        </w:rPr>
        <w:t> </w:t>
      </w:r>
      <w:r>
        <w:rPr>
          <w:color w:val="231F1F"/>
          <w:w w:val="110"/>
        </w:rPr>
        <w:t>necesario</w:t>
      </w:r>
      <w:r>
        <w:rPr>
          <w:color w:val="231F1F"/>
          <w:spacing w:val="-12"/>
          <w:w w:val="110"/>
        </w:rPr>
        <w:t> </w:t>
      </w:r>
      <w:r>
        <w:rPr>
          <w:color w:val="231F1F"/>
          <w:w w:val="110"/>
        </w:rPr>
        <w:t>conocer</w:t>
      </w:r>
      <w:r>
        <w:rPr>
          <w:color w:val="231F1F"/>
          <w:spacing w:val="-12"/>
          <w:w w:val="110"/>
        </w:rPr>
        <w:t> </w:t>
      </w:r>
      <w:r>
        <w:rPr>
          <w:color w:val="231F1F"/>
          <w:w w:val="110"/>
        </w:rPr>
        <w:t>la</w:t>
      </w:r>
      <w:r>
        <w:rPr>
          <w:color w:val="231F1F"/>
          <w:spacing w:val="-12"/>
          <w:w w:val="110"/>
        </w:rPr>
        <w:t> </w:t>
      </w:r>
      <w:r>
        <w:rPr>
          <w:color w:val="231F1F"/>
          <w:w w:val="110"/>
        </w:rPr>
        <w:t>efectividad</w:t>
      </w:r>
      <w:r>
        <w:rPr>
          <w:color w:val="231F1F"/>
          <w:spacing w:val="-12"/>
          <w:w w:val="110"/>
        </w:rPr>
        <w:t> </w:t>
      </w:r>
      <w:r>
        <w:rPr>
          <w:color w:val="231F1F"/>
          <w:w w:val="110"/>
        </w:rPr>
        <w:t>y</w:t>
      </w:r>
      <w:r>
        <w:rPr>
          <w:color w:val="231F1F"/>
          <w:spacing w:val="-12"/>
          <w:w w:val="110"/>
        </w:rPr>
        <w:t> </w:t>
      </w:r>
      <w:r>
        <w:rPr>
          <w:color w:val="231F1F"/>
          <w:w w:val="110"/>
        </w:rPr>
        <w:t>la seguridad del uso profiláctico de los diferentes uterotónicos.</w:t>
      </w:r>
    </w:p>
    <w:p>
      <w:pPr>
        <w:pStyle w:val="BodyText"/>
        <w:spacing w:before="57"/>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214"/>
        <w:ind w:left="283" w:right="1368"/>
        <w:jc w:val="both"/>
      </w:pPr>
      <w:r>
        <w:rPr>
          <w:color w:val="231F1F"/>
          <w:w w:val="110"/>
        </w:rPr>
        <w:t>La guía NICE (10) para responder a esta pregunta cuenta con varias RS de alta calidad que abordan diferentes comparaciones entre uterotónicos: Por </w:t>
      </w:r>
      <w:r>
        <w:rPr>
          <w:color w:val="231F1F"/>
        </w:rPr>
        <w:t>un lado las RS de Elbourne y McDonal (187;188) y seis estudios, (189-194) de </w:t>
      </w:r>
      <w:r>
        <w:rPr>
          <w:color w:val="231F1F"/>
          <w:w w:val="110"/>
        </w:rPr>
        <w:t>suficientemente buena calidad y</w:t>
      </w:r>
      <w:r>
        <w:rPr>
          <w:color w:val="231F1F"/>
          <w:spacing w:val="-1"/>
          <w:w w:val="110"/>
        </w:rPr>
        <w:t> </w:t>
      </w:r>
      <w:r>
        <w:rPr>
          <w:color w:val="231F1F"/>
          <w:w w:val="110"/>
        </w:rPr>
        <w:t>diseño similar que evaluaban la inyección umbilical de oxitocina. Dos de estos estudios eran ECAs (191;192).</w:t>
      </w:r>
    </w:p>
    <w:p>
      <w:pPr>
        <w:pStyle w:val="BodyText"/>
        <w:spacing w:line="247" w:lineRule="auto" w:before="139"/>
        <w:ind w:left="283" w:right="1363" w:firstLine="453"/>
        <w:jc w:val="both"/>
      </w:pPr>
      <w:r>
        <w:rPr>
          <w:color w:val="231F1F"/>
          <w:w w:val="105"/>
        </w:rPr>
        <w:t>La</w:t>
      </w:r>
      <w:r>
        <w:rPr>
          <w:color w:val="231F1F"/>
          <w:w w:val="105"/>
        </w:rPr>
        <w:t> RS</w:t>
      </w:r>
      <w:r>
        <w:rPr>
          <w:color w:val="231F1F"/>
          <w:w w:val="105"/>
        </w:rPr>
        <w:t> de</w:t>
      </w:r>
      <w:r>
        <w:rPr>
          <w:color w:val="231F1F"/>
          <w:w w:val="105"/>
        </w:rPr>
        <w:t> Elbourne</w:t>
      </w:r>
      <w:r>
        <w:rPr>
          <w:color w:val="231F1F"/>
          <w:w w:val="105"/>
        </w:rPr>
        <w:t> de</w:t>
      </w:r>
      <w:r>
        <w:rPr>
          <w:color w:val="231F1F"/>
          <w:w w:val="105"/>
        </w:rPr>
        <w:t> 2005</w:t>
      </w:r>
      <w:r>
        <w:rPr>
          <w:color w:val="231F1F"/>
          <w:w w:val="105"/>
        </w:rPr>
        <w:t> (187)</w:t>
      </w:r>
      <w:r>
        <w:rPr>
          <w:color w:val="231F1F"/>
          <w:w w:val="105"/>
        </w:rPr>
        <w:t> incluía</w:t>
      </w:r>
      <w:r>
        <w:rPr>
          <w:color w:val="231F1F"/>
          <w:w w:val="105"/>
        </w:rPr>
        <w:t> siete</w:t>
      </w:r>
      <w:r>
        <w:rPr>
          <w:color w:val="231F1F"/>
          <w:w w:val="105"/>
        </w:rPr>
        <w:t> estudios</w:t>
      </w:r>
      <w:r>
        <w:rPr>
          <w:color w:val="231F1F"/>
          <w:w w:val="105"/>
        </w:rPr>
        <w:t> y</w:t>
      </w:r>
      <w:r>
        <w:rPr>
          <w:color w:val="231F1F"/>
          <w:w w:val="105"/>
        </w:rPr>
        <w:t> evaluaba</w:t>
      </w:r>
      <w:r>
        <w:rPr>
          <w:color w:val="231F1F"/>
          <w:w w:val="105"/>
        </w:rPr>
        <w:t> la rutina de empleo de oxitocina en la tercera etapa comparada con la no utili- zación</w:t>
      </w:r>
      <w:r>
        <w:rPr>
          <w:color w:val="231F1F"/>
          <w:w w:val="105"/>
        </w:rPr>
        <w:t> de</w:t>
      </w:r>
      <w:r>
        <w:rPr>
          <w:color w:val="231F1F"/>
          <w:w w:val="105"/>
        </w:rPr>
        <w:t> uterotónicos</w:t>
      </w:r>
      <w:r>
        <w:rPr>
          <w:color w:val="231F1F"/>
          <w:w w:val="105"/>
        </w:rPr>
        <w:t> y</w:t>
      </w:r>
      <w:r>
        <w:rPr>
          <w:color w:val="231F1F"/>
          <w:w w:val="105"/>
        </w:rPr>
        <w:t> alcaloides</w:t>
      </w:r>
      <w:r>
        <w:rPr>
          <w:color w:val="231F1F"/>
          <w:w w:val="105"/>
        </w:rPr>
        <w:t> ergotínicos.</w:t>
      </w:r>
      <w:r>
        <w:rPr>
          <w:color w:val="231F1F"/>
          <w:w w:val="105"/>
        </w:rPr>
        <w:t> Otra</w:t>
      </w:r>
      <w:r>
        <w:rPr>
          <w:color w:val="231F1F"/>
          <w:w w:val="105"/>
        </w:rPr>
        <w:t> RS</w:t>
      </w:r>
      <w:r>
        <w:rPr>
          <w:color w:val="231F1F"/>
          <w:w w:val="105"/>
        </w:rPr>
        <w:t> (188)</w:t>
      </w:r>
      <w:r>
        <w:rPr>
          <w:color w:val="231F1F"/>
          <w:w w:val="105"/>
        </w:rPr>
        <w:t> publicada</w:t>
      </w:r>
      <w:r>
        <w:rPr>
          <w:color w:val="231F1F"/>
          <w:w w:val="105"/>
        </w:rPr>
        <w:t> en 2004</w:t>
      </w:r>
      <w:r>
        <w:rPr>
          <w:color w:val="231F1F"/>
          <w:spacing w:val="-1"/>
          <w:w w:val="105"/>
        </w:rPr>
        <w:t> </w:t>
      </w:r>
      <w:r>
        <w:rPr>
          <w:color w:val="231F1F"/>
          <w:w w:val="105"/>
        </w:rPr>
        <w:t>incluía</w:t>
      </w:r>
      <w:r>
        <w:rPr>
          <w:color w:val="231F1F"/>
          <w:spacing w:val="-1"/>
          <w:w w:val="105"/>
        </w:rPr>
        <w:t> </w:t>
      </w:r>
      <w:r>
        <w:rPr>
          <w:color w:val="231F1F"/>
          <w:w w:val="105"/>
        </w:rPr>
        <w:t>6</w:t>
      </w:r>
      <w:r>
        <w:rPr>
          <w:color w:val="231F1F"/>
          <w:spacing w:val="-1"/>
          <w:w w:val="105"/>
        </w:rPr>
        <w:t> </w:t>
      </w:r>
      <w:r>
        <w:rPr>
          <w:color w:val="231F1F"/>
          <w:w w:val="105"/>
        </w:rPr>
        <w:t>estudios y</w:t>
      </w:r>
      <w:r>
        <w:rPr>
          <w:color w:val="231F1F"/>
          <w:spacing w:val="-1"/>
          <w:w w:val="105"/>
        </w:rPr>
        <w:t> </w:t>
      </w:r>
      <w:r>
        <w:rPr>
          <w:color w:val="231F1F"/>
          <w:w w:val="105"/>
        </w:rPr>
        <w:t>9.332</w:t>
      </w:r>
      <w:r>
        <w:rPr>
          <w:color w:val="231F1F"/>
          <w:spacing w:val="-1"/>
          <w:w w:val="105"/>
        </w:rPr>
        <w:t> </w:t>
      </w:r>
      <w:r>
        <w:rPr>
          <w:color w:val="231F1F"/>
          <w:w w:val="105"/>
        </w:rPr>
        <w:t>mujeres</w:t>
      </w:r>
      <w:r>
        <w:rPr>
          <w:color w:val="231F1F"/>
          <w:spacing w:val="-1"/>
          <w:w w:val="105"/>
        </w:rPr>
        <w:t> </w:t>
      </w:r>
      <w:r>
        <w:rPr>
          <w:color w:val="231F1F"/>
          <w:w w:val="105"/>
        </w:rPr>
        <w:t>[NE=1+]. En</w:t>
      </w:r>
      <w:r>
        <w:rPr>
          <w:color w:val="231F1F"/>
          <w:spacing w:val="-1"/>
          <w:w w:val="105"/>
        </w:rPr>
        <w:t> </w:t>
      </w:r>
      <w:r>
        <w:rPr>
          <w:color w:val="231F1F"/>
          <w:w w:val="105"/>
        </w:rPr>
        <w:t>ésta</w:t>
      </w:r>
      <w:r>
        <w:rPr>
          <w:color w:val="231F1F"/>
          <w:spacing w:val="-1"/>
          <w:w w:val="105"/>
        </w:rPr>
        <w:t> </w:t>
      </w:r>
      <w:r>
        <w:rPr>
          <w:color w:val="231F1F"/>
          <w:w w:val="105"/>
        </w:rPr>
        <w:t>última se</w:t>
      </w:r>
      <w:r>
        <w:rPr>
          <w:color w:val="231F1F"/>
          <w:spacing w:val="-1"/>
          <w:w w:val="105"/>
        </w:rPr>
        <w:t> </w:t>
      </w:r>
      <w:r>
        <w:rPr>
          <w:color w:val="231F1F"/>
          <w:w w:val="105"/>
        </w:rPr>
        <w:t>realizaron subgrupos</w:t>
      </w:r>
      <w:r>
        <w:rPr>
          <w:color w:val="231F1F"/>
          <w:w w:val="105"/>
        </w:rPr>
        <w:t> de</w:t>
      </w:r>
      <w:r>
        <w:rPr>
          <w:color w:val="231F1F"/>
          <w:w w:val="105"/>
        </w:rPr>
        <w:t> análisis</w:t>
      </w:r>
      <w:r>
        <w:rPr>
          <w:color w:val="231F1F"/>
          <w:w w:val="105"/>
        </w:rPr>
        <w:t> por</w:t>
      </w:r>
      <w:r>
        <w:rPr>
          <w:color w:val="231F1F"/>
          <w:w w:val="105"/>
        </w:rPr>
        <w:t> dosis</w:t>
      </w:r>
      <w:r>
        <w:rPr>
          <w:color w:val="231F1F"/>
          <w:w w:val="105"/>
        </w:rPr>
        <w:t> de</w:t>
      </w:r>
      <w:r>
        <w:rPr>
          <w:color w:val="231F1F"/>
          <w:w w:val="105"/>
        </w:rPr>
        <w:t> oxitocina.</w:t>
      </w:r>
      <w:r>
        <w:rPr>
          <w:color w:val="231F1F"/>
          <w:w w:val="105"/>
        </w:rPr>
        <w:t> Se</w:t>
      </w:r>
      <w:r>
        <w:rPr>
          <w:color w:val="231F1F"/>
          <w:w w:val="105"/>
        </w:rPr>
        <w:t> realizó</w:t>
      </w:r>
      <w:r>
        <w:rPr>
          <w:color w:val="231F1F"/>
          <w:w w:val="105"/>
        </w:rPr>
        <w:t> un</w:t>
      </w:r>
      <w:r>
        <w:rPr>
          <w:color w:val="231F1F"/>
          <w:w w:val="105"/>
        </w:rPr>
        <w:t> metaanálisis</w:t>
      </w:r>
      <w:r>
        <w:rPr>
          <w:color w:val="231F1F"/>
          <w:w w:val="105"/>
        </w:rPr>
        <w:t> de acuerdo a dos comparaciones: oxitocina umbilical frente a oxitocina intrave- nosa y oxitocina umbilical frente a placebo.</w:t>
      </w:r>
    </w:p>
    <w:p>
      <w:pPr>
        <w:pStyle w:val="BodyText"/>
        <w:spacing w:line="249" w:lineRule="auto" w:before="129"/>
        <w:ind w:left="283" w:right="1363" w:firstLine="453"/>
        <w:jc w:val="both"/>
      </w:pPr>
      <w:r>
        <w:rPr>
          <w:color w:val="231F1F"/>
          <w:w w:val="105"/>
        </w:rPr>
        <w:t>NICE (10) también identificó dos revisiones sistemáticas de 2005 y 2006 (195;196) y cuatro estudios (197-200) en los que se comparaba la administra- ción</w:t>
      </w:r>
      <w:r>
        <w:rPr>
          <w:color w:val="231F1F"/>
          <w:w w:val="105"/>
        </w:rPr>
        <w:t> rutinaria</w:t>
      </w:r>
      <w:r>
        <w:rPr>
          <w:color w:val="231F1F"/>
          <w:w w:val="105"/>
        </w:rPr>
        <w:t> de</w:t>
      </w:r>
      <w:r>
        <w:rPr>
          <w:color w:val="231F1F"/>
          <w:w w:val="105"/>
        </w:rPr>
        <w:t> prostaglandinas</w:t>
      </w:r>
      <w:r>
        <w:rPr>
          <w:color w:val="231F1F"/>
          <w:w w:val="105"/>
        </w:rPr>
        <w:t> con</w:t>
      </w:r>
      <w:r>
        <w:rPr>
          <w:color w:val="231F1F"/>
          <w:w w:val="105"/>
        </w:rPr>
        <w:t> otros</w:t>
      </w:r>
      <w:r>
        <w:rPr>
          <w:color w:val="231F1F"/>
          <w:w w:val="105"/>
        </w:rPr>
        <w:t> uterotónicos</w:t>
      </w:r>
      <w:r>
        <w:rPr>
          <w:color w:val="231F1F"/>
          <w:w w:val="105"/>
        </w:rPr>
        <w:t> (ergometrina</w:t>
      </w:r>
      <w:r>
        <w:rPr>
          <w:color w:val="231F1F"/>
          <w:w w:val="105"/>
        </w:rPr>
        <w:t> y/o oxitocina)</w:t>
      </w:r>
      <w:r>
        <w:rPr>
          <w:color w:val="231F1F"/>
          <w:w w:val="105"/>
        </w:rPr>
        <w:t> en</w:t>
      </w:r>
      <w:r>
        <w:rPr>
          <w:color w:val="231F1F"/>
          <w:w w:val="105"/>
        </w:rPr>
        <w:t> la</w:t>
      </w:r>
      <w:r>
        <w:rPr>
          <w:color w:val="231F1F"/>
          <w:w w:val="105"/>
        </w:rPr>
        <w:t> tercera</w:t>
      </w:r>
      <w:r>
        <w:rPr>
          <w:color w:val="231F1F"/>
          <w:w w:val="105"/>
        </w:rPr>
        <w:t> etapa</w:t>
      </w:r>
      <w:r>
        <w:rPr>
          <w:color w:val="231F1F"/>
          <w:w w:val="105"/>
        </w:rPr>
        <w:t> del</w:t>
      </w:r>
      <w:r>
        <w:rPr>
          <w:color w:val="231F1F"/>
          <w:w w:val="105"/>
        </w:rPr>
        <w:t> parto.</w:t>
      </w:r>
      <w:r>
        <w:rPr>
          <w:color w:val="231F1F"/>
          <w:w w:val="105"/>
        </w:rPr>
        <w:t> Las</w:t>
      </w:r>
      <w:r>
        <w:rPr>
          <w:color w:val="231F1F"/>
          <w:w w:val="105"/>
        </w:rPr>
        <w:t> revisiones</w:t>
      </w:r>
      <w:r>
        <w:rPr>
          <w:color w:val="231F1F"/>
          <w:w w:val="105"/>
        </w:rPr>
        <w:t> sistemáticas</w:t>
      </w:r>
      <w:r>
        <w:rPr>
          <w:color w:val="231F1F"/>
          <w:w w:val="105"/>
        </w:rPr>
        <w:t> eran</w:t>
      </w:r>
      <w:r>
        <w:rPr>
          <w:color w:val="231F1F"/>
          <w:w w:val="105"/>
        </w:rPr>
        <w:t> de buena calidad y todos los estudios tenían una buena calidad y nivel de homo- geneidad, lo que permitió realizar un nuevo metaanálisis incluyendo todos los estudios [NE=1+].</w:t>
      </w:r>
    </w:p>
    <w:p>
      <w:pPr>
        <w:tabs>
          <w:tab w:pos="7725" w:val="left" w:leader="none"/>
          <w:tab w:pos="7945" w:val="left" w:leader="none"/>
          <w:tab w:pos="8085" w:val="left" w:leader="none"/>
        </w:tabs>
        <w:spacing w:line="244" w:lineRule="auto" w:before="88"/>
        <w:ind w:left="283" w:right="338" w:firstLine="453"/>
        <w:jc w:val="left"/>
        <w:rPr>
          <w:rFonts w:ascii="Arial MT"/>
          <w:position w:val="8"/>
          <w:sz w:val="18"/>
        </w:rPr>
      </w:pPr>
      <w:r>
        <w:rPr>
          <w:color w:val="231F1F"/>
          <w:sz w:val="22"/>
        </w:rPr>
        <w:t>Cuando se compara el </w:t>
      </w:r>
      <w:r>
        <w:rPr>
          <w:i/>
          <w:color w:val="231F1F"/>
          <w:sz w:val="22"/>
        </w:rPr>
        <w:t>uso de oxitocina con el no uso y </w:t>
      </w:r>
      <w:r>
        <w:rPr>
          <w:color w:val="231F1F"/>
          <w:sz w:val="22"/>
        </w:rPr>
        <w:t>se analizan todos</w:t>
        <w:tab/>
      </w:r>
      <w:r>
        <w:rPr>
          <w:rFonts w:ascii="Arial MT"/>
          <w:color w:val="231F1F"/>
          <w:sz w:val="18"/>
        </w:rPr>
        <w:t>RS-MA</w:t>
      </w:r>
      <w:r>
        <w:rPr>
          <w:rFonts w:ascii="Arial MT"/>
          <w:color w:val="231F1F"/>
          <w:spacing w:val="-10"/>
          <w:sz w:val="18"/>
        </w:rPr>
        <w:t> </w:t>
      </w:r>
      <w:r>
        <w:rPr>
          <w:rFonts w:ascii="Arial MT"/>
          <w:color w:val="231F1F"/>
          <w:sz w:val="18"/>
        </w:rPr>
        <w:t>de </w:t>
      </w:r>
      <w:r>
        <w:rPr>
          <w:color w:val="231F1F"/>
          <w:w w:val="105"/>
          <w:sz w:val="22"/>
        </w:rPr>
        <w:t>los estudios, los resultados muestran que con la oxitocina se produce menor</w:t>
      </w:r>
      <w:r>
        <w:rPr>
          <w:color w:val="231F1F"/>
          <w:sz w:val="22"/>
        </w:rPr>
        <w:tab/>
        <w:tab/>
      </w:r>
      <w:r>
        <w:rPr>
          <w:rFonts w:ascii="Arial MT"/>
          <w:color w:val="231F1F"/>
          <w:spacing w:val="-4"/>
          <w:w w:val="105"/>
          <w:position w:val="4"/>
          <w:sz w:val="18"/>
        </w:rPr>
        <w:t>ECAs </w:t>
      </w:r>
      <w:r>
        <w:rPr>
          <w:color w:val="231F1F"/>
          <w:w w:val="105"/>
          <w:sz w:val="22"/>
        </w:rPr>
        <w:t>HPP&gt;500 ml: RR 0,50 [IC 95% 0,43 a 0,59]) en 6 estudios con 3.193 mujeres;</w:t>
      </w:r>
      <w:r>
        <w:rPr>
          <w:color w:val="231F1F"/>
          <w:sz w:val="22"/>
        </w:rPr>
        <w:tab/>
        <w:tab/>
        <w:tab/>
      </w:r>
      <w:r>
        <w:rPr>
          <w:rFonts w:ascii="Arial MT"/>
          <w:color w:val="231F1F"/>
          <w:spacing w:val="-6"/>
          <w:w w:val="105"/>
          <w:position w:val="8"/>
          <w:sz w:val="18"/>
        </w:rPr>
        <w:t>1+</w:t>
      </w:r>
    </w:p>
    <w:p>
      <w:pPr>
        <w:pStyle w:val="BodyText"/>
        <w:spacing w:line="244" w:lineRule="auto" w:before="10"/>
        <w:ind w:left="283" w:right="1368"/>
        <w:jc w:val="both"/>
      </w:pPr>
      <w:r>
        <w:rPr>
          <w:color w:val="231F1F"/>
          <w:w w:val="105"/>
        </w:rPr>
        <w:t>menor HPP &gt; 1000 ml: RR 0,61 [IC 95% 0,44 a 0,87] en 4 estudios con 2.243 mujeres</w:t>
      </w:r>
      <w:r>
        <w:rPr>
          <w:color w:val="231F1F"/>
          <w:w w:val="105"/>
        </w:rPr>
        <w:t> y</w:t>
      </w:r>
      <w:r>
        <w:rPr>
          <w:color w:val="231F1F"/>
          <w:w w:val="105"/>
        </w:rPr>
        <w:t> menor</w:t>
      </w:r>
      <w:r>
        <w:rPr>
          <w:color w:val="231F1F"/>
          <w:w w:val="105"/>
        </w:rPr>
        <w:t> uso</w:t>
      </w:r>
      <w:r>
        <w:rPr>
          <w:color w:val="231F1F"/>
          <w:w w:val="105"/>
        </w:rPr>
        <w:t> terapéutico</w:t>
      </w:r>
      <w:r>
        <w:rPr>
          <w:color w:val="231F1F"/>
          <w:w w:val="105"/>
        </w:rPr>
        <w:t> de</w:t>
      </w:r>
      <w:r>
        <w:rPr>
          <w:color w:val="231F1F"/>
          <w:w w:val="105"/>
        </w:rPr>
        <w:t> uterotónicos:</w:t>
      </w:r>
      <w:r>
        <w:rPr>
          <w:color w:val="231F1F"/>
          <w:w w:val="105"/>
        </w:rPr>
        <w:t> RR</w:t>
      </w:r>
      <w:r>
        <w:rPr>
          <w:color w:val="231F1F"/>
          <w:w w:val="105"/>
        </w:rPr>
        <w:t> 0,50</w:t>
      </w:r>
      <w:r>
        <w:rPr>
          <w:color w:val="231F1F"/>
          <w:w w:val="105"/>
        </w:rPr>
        <w:t> [IC</w:t>
      </w:r>
      <w:r>
        <w:rPr>
          <w:color w:val="231F1F"/>
          <w:w w:val="105"/>
        </w:rPr>
        <w:t> 95%</w:t>
      </w:r>
      <w:r>
        <w:rPr>
          <w:color w:val="231F1F"/>
          <w:w w:val="105"/>
        </w:rPr>
        <w:t> 0,39</w:t>
      </w:r>
      <w:r>
        <w:rPr>
          <w:color w:val="231F1F"/>
          <w:w w:val="105"/>
        </w:rPr>
        <w:t> a 0,64] en 5 estudios con 2.327 mujeres.</w:t>
      </w:r>
    </w:p>
    <w:p>
      <w:pPr>
        <w:pStyle w:val="BodyText"/>
        <w:spacing w:line="261" w:lineRule="auto" w:before="80"/>
        <w:ind w:left="283" w:right="1368" w:firstLine="453"/>
        <w:jc w:val="both"/>
      </w:pPr>
      <w:r>
        <w:rPr>
          <w:color w:val="231F1F"/>
        </w:rPr>
        <w:t>Cuando</w:t>
      </w:r>
      <w:r>
        <w:rPr>
          <w:color w:val="231F1F"/>
          <w:spacing w:val="39"/>
        </w:rPr>
        <w:t> </w:t>
      </w:r>
      <w:r>
        <w:rPr>
          <w:color w:val="231F1F"/>
        </w:rPr>
        <w:t>se</w:t>
      </w:r>
      <w:r>
        <w:rPr>
          <w:color w:val="231F1F"/>
          <w:spacing w:val="40"/>
        </w:rPr>
        <w:t> </w:t>
      </w:r>
      <w:r>
        <w:rPr>
          <w:color w:val="231F1F"/>
        </w:rPr>
        <w:t>incluyen</w:t>
      </w:r>
      <w:r>
        <w:rPr>
          <w:color w:val="231F1F"/>
          <w:spacing w:val="40"/>
        </w:rPr>
        <w:t> </w:t>
      </w:r>
      <w:r>
        <w:rPr>
          <w:color w:val="231F1F"/>
        </w:rPr>
        <w:t>los</w:t>
      </w:r>
      <w:r>
        <w:rPr>
          <w:color w:val="231F1F"/>
          <w:spacing w:val="40"/>
        </w:rPr>
        <w:t> </w:t>
      </w:r>
      <w:r>
        <w:rPr>
          <w:color w:val="231F1F"/>
        </w:rPr>
        <w:t>estudios</w:t>
      </w:r>
      <w:r>
        <w:rPr>
          <w:color w:val="231F1F"/>
          <w:spacing w:val="39"/>
        </w:rPr>
        <w:t> </w:t>
      </w:r>
      <w:r>
        <w:rPr>
          <w:color w:val="231F1F"/>
        </w:rPr>
        <w:t>aleatorizados</w:t>
      </w:r>
      <w:r>
        <w:rPr>
          <w:color w:val="231F1F"/>
          <w:spacing w:val="40"/>
        </w:rPr>
        <w:t> </w:t>
      </w:r>
      <w:r>
        <w:rPr>
          <w:color w:val="231F1F"/>
        </w:rPr>
        <w:t>con</w:t>
      </w:r>
      <w:r>
        <w:rPr>
          <w:color w:val="231F1F"/>
          <w:spacing w:val="40"/>
        </w:rPr>
        <w:t> </w:t>
      </w:r>
      <w:r>
        <w:rPr>
          <w:color w:val="231F1F"/>
        </w:rPr>
        <w:t>la</w:t>
      </w:r>
      <w:r>
        <w:rPr>
          <w:color w:val="231F1F"/>
          <w:spacing w:val="40"/>
        </w:rPr>
        <w:t> </w:t>
      </w:r>
      <w:r>
        <w:rPr>
          <w:color w:val="231F1F"/>
        </w:rPr>
        <w:t>oxitocina</w:t>
      </w:r>
      <w:r>
        <w:rPr>
          <w:color w:val="231F1F"/>
          <w:spacing w:val="39"/>
        </w:rPr>
        <w:t> </w:t>
      </w:r>
      <w:r>
        <w:rPr>
          <w:color w:val="231F1F"/>
        </w:rPr>
        <w:t>se</w:t>
      </w:r>
      <w:r>
        <w:rPr>
          <w:color w:val="231F1F"/>
          <w:spacing w:val="40"/>
        </w:rPr>
        <w:t> </w:t>
      </w:r>
      <w:r>
        <w:rPr>
          <w:color w:val="231F1F"/>
        </w:rPr>
        <w:t>produ- ce menor HPP (pérdida &gt; 500ml: RR 0,61 [IC 95% 0,51 a 0,72]) en 4 estudios</w:t>
      </w:r>
      <w:r>
        <w:rPr>
          <w:color w:val="231F1F"/>
          <w:spacing w:val="80"/>
        </w:rPr>
        <w:t> </w:t>
      </w:r>
      <w:r>
        <w:rPr>
          <w:color w:val="231F1F"/>
        </w:rPr>
        <w:t>con</w:t>
      </w:r>
      <w:r>
        <w:rPr>
          <w:color w:val="231F1F"/>
          <w:spacing w:val="33"/>
        </w:rPr>
        <w:t> </w:t>
      </w:r>
      <w:r>
        <w:rPr>
          <w:color w:val="231F1F"/>
        </w:rPr>
        <w:t>2.213</w:t>
      </w:r>
      <w:r>
        <w:rPr>
          <w:color w:val="231F1F"/>
          <w:spacing w:val="33"/>
        </w:rPr>
        <w:t> </w:t>
      </w:r>
      <w:r>
        <w:rPr>
          <w:color w:val="231F1F"/>
        </w:rPr>
        <w:t>mujeres</w:t>
      </w:r>
      <w:r>
        <w:rPr>
          <w:color w:val="231F1F"/>
          <w:spacing w:val="33"/>
        </w:rPr>
        <w:t> </w:t>
      </w:r>
      <w:r>
        <w:rPr>
          <w:color w:val="231F1F"/>
        </w:rPr>
        <w:t>pero</w:t>
      </w:r>
      <w:r>
        <w:rPr>
          <w:color w:val="231F1F"/>
          <w:spacing w:val="33"/>
        </w:rPr>
        <w:t> </w:t>
      </w:r>
      <w:r>
        <w:rPr>
          <w:color w:val="231F1F"/>
        </w:rPr>
        <w:t>no</w:t>
      </w:r>
      <w:r>
        <w:rPr>
          <w:color w:val="231F1F"/>
          <w:spacing w:val="33"/>
        </w:rPr>
        <w:t> </w:t>
      </w:r>
      <w:r>
        <w:rPr>
          <w:color w:val="231F1F"/>
        </w:rPr>
        <w:t>hubo</w:t>
      </w:r>
      <w:r>
        <w:rPr>
          <w:color w:val="231F1F"/>
          <w:spacing w:val="33"/>
        </w:rPr>
        <w:t> </w:t>
      </w:r>
      <w:r>
        <w:rPr>
          <w:color w:val="231F1F"/>
        </w:rPr>
        <w:t>diferencias</w:t>
      </w:r>
      <w:r>
        <w:rPr>
          <w:color w:val="231F1F"/>
          <w:spacing w:val="33"/>
        </w:rPr>
        <w:t> </w:t>
      </w:r>
      <w:r>
        <w:rPr>
          <w:color w:val="231F1F"/>
        </w:rPr>
        <w:t>en</w:t>
      </w:r>
      <w:r>
        <w:rPr>
          <w:color w:val="231F1F"/>
          <w:spacing w:val="33"/>
        </w:rPr>
        <w:t> </w:t>
      </w:r>
      <w:r>
        <w:rPr>
          <w:color w:val="231F1F"/>
        </w:rPr>
        <w:t>la</w:t>
      </w:r>
      <w:r>
        <w:rPr>
          <w:color w:val="231F1F"/>
          <w:spacing w:val="33"/>
        </w:rPr>
        <w:t> </w:t>
      </w:r>
      <w:r>
        <w:rPr>
          <w:color w:val="231F1F"/>
        </w:rPr>
        <w:t>disminución</w:t>
      </w:r>
      <w:r>
        <w:rPr>
          <w:color w:val="231F1F"/>
          <w:spacing w:val="33"/>
        </w:rPr>
        <w:t> </w:t>
      </w:r>
      <w:r>
        <w:rPr>
          <w:color w:val="231F1F"/>
        </w:rPr>
        <w:t>de</w:t>
      </w:r>
      <w:r>
        <w:rPr>
          <w:color w:val="231F1F"/>
          <w:spacing w:val="33"/>
        </w:rPr>
        <w:t> </w:t>
      </w:r>
      <w:r>
        <w:rPr>
          <w:color w:val="231F1F"/>
        </w:rPr>
        <w:t>las</w:t>
      </w:r>
      <w:r>
        <w:rPr>
          <w:color w:val="231F1F"/>
          <w:spacing w:val="33"/>
        </w:rPr>
        <w:t> </w:t>
      </w:r>
      <w:r>
        <w:rPr>
          <w:color w:val="231F1F"/>
        </w:rPr>
        <w:t>pérdidas por</w:t>
      </w:r>
      <w:r>
        <w:rPr>
          <w:color w:val="231F1F"/>
          <w:spacing w:val="40"/>
        </w:rPr>
        <w:t> </w:t>
      </w:r>
      <w:r>
        <w:rPr>
          <w:color w:val="231F1F"/>
        </w:rPr>
        <w:t>HPP</w:t>
      </w:r>
      <w:r>
        <w:rPr>
          <w:color w:val="231F1F"/>
          <w:spacing w:val="40"/>
        </w:rPr>
        <w:t> </w:t>
      </w:r>
      <w:r>
        <w:rPr>
          <w:color w:val="231F1F"/>
        </w:rPr>
        <w:t>severa</w:t>
      </w:r>
      <w:r>
        <w:rPr>
          <w:color w:val="231F1F"/>
          <w:spacing w:val="40"/>
        </w:rPr>
        <w:t> </w:t>
      </w:r>
      <w:r>
        <w:rPr>
          <w:color w:val="231F1F"/>
        </w:rPr>
        <w:t>(&gt;1000</w:t>
      </w:r>
      <w:r>
        <w:rPr>
          <w:color w:val="231F1F"/>
          <w:spacing w:val="40"/>
        </w:rPr>
        <w:t> </w:t>
      </w:r>
      <w:r>
        <w:rPr>
          <w:color w:val="231F1F"/>
        </w:rPr>
        <w:t>ml).</w:t>
      </w:r>
    </w:p>
    <w:p>
      <w:pPr>
        <w:pStyle w:val="BodyText"/>
        <w:spacing w:after="0" w:line="261" w:lineRule="auto"/>
        <w:jc w:val="both"/>
        <w:sectPr>
          <w:pgSz w:w="11900" w:h="16840"/>
          <w:pgMar w:header="0" w:footer="622" w:top="1560" w:bottom="820" w:left="1417" w:right="1559"/>
        </w:sectPr>
      </w:pPr>
    </w:p>
    <w:p>
      <w:pPr>
        <w:pStyle w:val="BodyText"/>
        <w:tabs>
          <w:tab w:pos="7989" w:val="left" w:leader="none"/>
          <w:tab w:pos="8114" w:val="left" w:leader="none"/>
        </w:tabs>
        <w:spacing w:line="242" w:lineRule="auto" w:before="73"/>
        <w:ind w:left="283" w:right="355" w:firstLine="453"/>
        <w:rPr>
          <w:rFonts w:ascii="Arial MT" w:hAnsi="Arial MT"/>
          <w:position w:val="8"/>
          <w:sz w:val="18"/>
        </w:rPr>
      </w:pPr>
      <w:r>
        <w:rPr>
          <w:color w:val="231F1F"/>
          <w:w w:val="110"/>
        </w:rPr>
        <w:t>Los</w:t>
      </w:r>
      <w:r>
        <w:rPr>
          <w:color w:val="231F1F"/>
          <w:spacing w:val="-15"/>
          <w:w w:val="110"/>
        </w:rPr>
        <w:t> </w:t>
      </w:r>
      <w:r>
        <w:rPr>
          <w:color w:val="231F1F"/>
          <w:w w:val="110"/>
        </w:rPr>
        <w:t>estudios</w:t>
      </w:r>
      <w:r>
        <w:rPr>
          <w:color w:val="231F1F"/>
          <w:spacing w:val="-11"/>
          <w:w w:val="110"/>
        </w:rPr>
        <w:t> </w:t>
      </w:r>
      <w:r>
        <w:rPr>
          <w:color w:val="231F1F"/>
          <w:w w:val="110"/>
        </w:rPr>
        <w:t>que</w:t>
      </w:r>
      <w:r>
        <w:rPr>
          <w:color w:val="231F1F"/>
          <w:spacing w:val="-11"/>
          <w:w w:val="110"/>
        </w:rPr>
        <w:t> </w:t>
      </w:r>
      <w:r>
        <w:rPr>
          <w:color w:val="231F1F"/>
          <w:w w:val="110"/>
        </w:rPr>
        <w:t>compararon</w:t>
      </w:r>
      <w:r>
        <w:rPr>
          <w:color w:val="231F1F"/>
          <w:spacing w:val="-11"/>
          <w:w w:val="110"/>
        </w:rPr>
        <w:t> </w:t>
      </w:r>
      <w:r>
        <w:rPr>
          <w:color w:val="231F1F"/>
          <w:w w:val="110"/>
        </w:rPr>
        <w:t>el</w:t>
      </w:r>
      <w:r>
        <w:rPr>
          <w:color w:val="231F1F"/>
          <w:spacing w:val="-12"/>
          <w:w w:val="110"/>
        </w:rPr>
        <w:t> </w:t>
      </w:r>
      <w:r>
        <w:rPr>
          <w:color w:val="231F1F"/>
          <w:w w:val="110"/>
        </w:rPr>
        <w:t>uso</w:t>
      </w:r>
      <w:r>
        <w:rPr>
          <w:color w:val="231F1F"/>
          <w:spacing w:val="-11"/>
          <w:w w:val="110"/>
        </w:rPr>
        <w:t> </w:t>
      </w:r>
      <w:r>
        <w:rPr>
          <w:color w:val="231F1F"/>
          <w:w w:val="110"/>
        </w:rPr>
        <w:t>exclusivo</w:t>
      </w:r>
      <w:r>
        <w:rPr>
          <w:color w:val="231F1F"/>
          <w:spacing w:val="-11"/>
          <w:w w:val="110"/>
        </w:rPr>
        <w:t> </w:t>
      </w:r>
      <w:r>
        <w:rPr>
          <w:color w:val="231F1F"/>
          <w:w w:val="110"/>
        </w:rPr>
        <w:t>de</w:t>
      </w:r>
      <w:r>
        <w:rPr>
          <w:color w:val="231F1F"/>
          <w:spacing w:val="-11"/>
          <w:w w:val="110"/>
        </w:rPr>
        <w:t> </w:t>
      </w:r>
      <w:r>
        <w:rPr>
          <w:color w:val="231F1F"/>
          <w:w w:val="110"/>
        </w:rPr>
        <w:t>oxitocina</w:t>
      </w:r>
      <w:r>
        <w:rPr>
          <w:color w:val="231F1F"/>
          <w:spacing w:val="-11"/>
          <w:w w:val="110"/>
        </w:rPr>
        <w:t> </w:t>
      </w:r>
      <w:r>
        <w:rPr>
          <w:color w:val="231F1F"/>
          <w:w w:val="110"/>
        </w:rPr>
        <w:t>(sin</w:t>
      </w:r>
      <w:r>
        <w:rPr>
          <w:color w:val="231F1F"/>
          <w:spacing w:val="-11"/>
          <w:w w:val="110"/>
        </w:rPr>
        <w:t> </w:t>
      </w:r>
      <w:r>
        <w:rPr>
          <w:color w:val="231F1F"/>
          <w:w w:val="110"/>
        </w:rPr>
        <w:t>ningún</w:t>
      </w:r>
      <w:r>
        <w:rPr>
          <w:color w:val="231F1F"/>
          <w:spacing w:val="71"/>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otro componente del manejo activo del alumbramiento) mostraron que se</w:t>
      </w:r>
      <w:r>
        <w:rPr>
          <w:color w:val="231F1F"/>
        </w:rPr>
        <w:tab/>
      </w:r>
      <w:r>
        <w:rPr>
          <w:rFonts w:ascii="Arial MT" w:hAnsi="Arial MT"/>
          <w:color w:val="231F1F"/>
          <w:spacing w:val="-4"/>
          <w:w w:val="110"/>
          <w:position w:val="4"/>
          <w:sz w:val="18"/>
        </w:rPr>
        <w:t>ECAs </w:t>
      </w:r>
      <w:r>
        <w:rPr>
          <w:color w:val="231F1F"/>
          <w:w w:val="110"/>
        </w:rPr>
        <w:t>produce menor HPP&gt;500 ml: RR 0,50 [IC 95% 0,42 a 0,58] en 5 estudios con</w:t>
      </w:r>
      <w:r>
        <w:rPr>
          <w:color w:val="231F1F"/>
        </w:rPr>
        <w:tab/>
        <w:tab/>
      </w:r>
      <w:r>
        <w:rPr>
          <w:rFonts w:ascii="Arial MT" w:hAnsi="Arial MT"/>
          <w:color w:val="231F1F"/>
          <w:spacing w:val="-6"/>
          <w:w w:val="110"/>
          <w:position w:val="8"/>
          <w:sz w:val="18"/>
        </w:rPr>
        <w:t>1+</w:t>
      </w:r>
    </w:p>
    <w:p>
      <w:pPr>
        <w:pStyle w:val="BodyText"/>
        <w:spacing w:line="244" w:lineRule="auto" w:before="17"/>
        <w:ind w:left="283" w:right="1369"/>
        <w:jc w:val="both"/>
      </w:pPr>
      <w:r>
        <w:rPr>
          <w:color w:val="231F1F"/>
          <w:w w:val="105"/>
        </w:rPr>
        <w:t>2.253</w:t>
      </w:r>
      <w:r>
        <w:rPr>
          <w:color w:val="231F1F"/>
          <w:spacing w:val="-3"/>
          <w:w w:val="105"/>
        </w:rPr>
        <w:t> </w:t>
      </w:r>
      <w:r>
        <w:rPr>
          <w:color w:val="231F1F"/>
          <w:w w:val="105"/>
        </w:rPr>
        <w:t>mujeres</w:t>
      </w:r>
      <w:r>
        <w:rPr>
          <w:color w:val="231F1F"/>
          <w:spacing w:val="-3"/>
          <w:w w:val="105"/>
        </w:rPr>
        <w:t> </w:t>
      </w:r>
      <w:r>
        <w:rPr>
          <w:color w:val="231F1F"/>
          <w:w w:val="105"/>
        </w:rPr>
        <w:t>y</w:t>
      </w:r>
      <w:r>
        <w:rPr>
          <w:color w:val="231F1F"/>
          <w:spacing w:val="-3"/>
          <w:w w:val="105"/>
        </w:rPr>
        <w:t> </w:t>
      </w:r>
      <w:r>
        <w:rPr>
          <w:color w:val="231F1F"/>
          <w:w w:val="105"/>
        </w:rPr>
        <w:t>menor</w:t>
      </w:r>
      <w:r>
        <w:rPr>
          <w:color w:val="231F1F"/>
          <w:spacing w:val="-3"/>
          <w:w w:val="105"/>
        </w:rPr>
        <w:t> </w:t>
      </w:r>
      <w:r>
        <w:rPr>
          <w:color w:val="231F1F"/>
          <w:w w:val="105"/>
        </w:rPr>
        <w:t>HPP</w:t>
      </w:r>
      <w:r>
        <w:rPr>
          <w:color w:val="231F1F"/>
          <w:spacing w:val="-3"/>
          <w:w w:val="105"/>
        </w:rPr>
        <w:t> </w:t>
      </w:r>
      <w:r>
        <w:rPr>
          <w:color w:val="231F1F"/>
          <w:w w:val="105"/>
        </w:rPr>
        <w:t>severa</w:t>
      </w:r>
      <w:r>
        <w:rPr>
          <w:color w:val="231F1F"/>
          <w:spacing w:val="-4"/>
          <w:w w:val="105"/>
        </w:rPr>
        <w:t> </w:t>
      </w:r>
      <w:r>
        <w:rPr>
          <w:color w:val="231F1F"/>
          <w:w w:val="105"/>
        </w:rPr>
        <w:t>(&gt;1000</w:t>
      </w:r>
      <w:r>
        <w:rPr>
          <w:color w:val="231F1F"/>
          <w:spacing w:val="-3"/>
          <w:w w:val="105"/>
        </w:rPr>
        <w:t> </w:t>
      </w:r>
      <w:r>
        <w:rPr>
          <w:color w:val="231F1F"/>
          <w:w w:val="105"/>
        </w:rPr>
        <w:t>ml):</w:t>
      </w:r>
      <w:r>
        <w:rPr>
          <w:color w:val="231F1F"/>
          <w:spacing w:val="-3"/>
          <w:w w:val="105"/>
        </w:rPr>
        <w:t> </w:t>
      </w:r>
      <w:r>
        <w:rPr>
          <w:color w:val="231F1F"/>
          <w:w w:val="105"/>
        </w:rPr>
        <w:t>RR</w:t>
      </w:r>
      <w:r>
        <w:rPr>
          <w:color w:val="231F1F"/>
          <w:spacing w:val="-3"/>
          <w:w w:val="105"/>
        </w:rPr>
        <w:t> </w:t>
      </w:r>
      <w:r>
        <w:rPr>
          <w:color w:val="231F1F"/>
          <w:w w:val="105"/>
        </w:rPr>
        <w:t>0,61</w:t>
      </w:r>
      <w:r>
        <w:rPr>
          <w:color w:val="231F1F"/>
          <w:spacing w:val="-3"/>
          <w:w w:val="105"/>
        </w:rPr>
        <w:t> </w:t>
      </w:r>
      <w:r>
        <w:rPr>
          <w:color w:val="231F1F"/>
          <w:w w:val="105"/>
        </w:rPr>
        <w:t>[IC</w:t>
      </w:r>
      <w:r>
        <w:rPr>
          <w:color w:val="231F1F"/>
          <w:spacing w:val="-3"/>
          <w:w w:val="105"/>
        </w:rPr>
        <w:t> </w:t>
      </w:r>
      <w:r>
        <w:rPr>
          <w:color w:val="231F1F"/>
          <w:w w:val="105"/>
        </w:rPr>
        <w:t>95%</w:t>
      </w:r>
      <w:r>
        <w:rPr>
          <w:color w:val="231F1F"/>
          <w:spacing w:val="-3"/>
          <w:w w:val="105"/>
        </w:rPr>
        <w:t> </w:t>
      </w:r>
      <w:r>
        <w:rPr>
          <w:color w:val="231F1F"/>
          <w:w w:val="105"/>
        </w:rPr>
        <w:t>0,44</w:t>
      </w:r>
      <w:r>
        <w:rPr>
          <w:color w:val="231F1F"/>
          <w:spacing w:val="-3"/>
          <w:w w:val="105"/>
        </w:rPr>
        <w:t> </w:t>
      </w:r>
      <w:r>
        <w:rPr>
          <w:color w:val="231F1F"/>
          <w:w w:val="105"/>
        </w:rPr>
        <w:t>a</w:t>
      </w:r>
      <w:r>
        <w:rPr>
          <w:color w:val="231F1F"/>
          <w:spacing w:val="-3"/>
          <w:w w:val="105"/>
        </w:rPr>
        <w:t> </w:t>
      </w:r>
      <w:r>
        <w:rPr>
          <w:color w:val="231F1F"/>
          <w:w w:val="105"/>
        </w:rPr>
        <w:t>0,87] en</w:t>
      </w:r>
      <w:r>
        <w:rPr>
          <w:color w:val="231F1F"/>
          <w:w w:val="105"/>
        </w:rPr>
        <w:t> 4</w:t>
      </w:r>
      <w:r>
        <w:rPr>
          <w:color w:val="231F1F"/>
          <w:w w:val="105"/>
        </w:rPr>
        <w:t> estudios</w:t>
      </w:r>
      <w:r>
        <w:rPr>
          <w:color w:val="231F1F"/>
          <w:w w:val="105"/>
        </w:rPr>
        <w:t> con</w:t>
      </w:r>
      <w:r>
        <w:rPr>
          <w:color w:val="231F1F"/>
          <w:w w:val="105"/>
        </w:rPr>
        <w:t> 2.243</w:t>
      </w:r>
      <w:r>
        <w:rPr>
          <w:color w:val="231F1F"/>
          <w:w w:val="105"/>
        </w:rPr>
        <w:t> mujeres,</w:t>
      </w:r>
      <w:r>
        <w:rPr>
          <w:color w:val="231F1F"/>
          <w:w w:val="105"/>
        </w:rPr>
        <w:t> así</w:t>
      </w:r>
      <w:r>
        <w:rPr>
          <w:color w:val="231F1F"/>
          <w:w w:val="105"/>
        </w:rPr>
        <w:t> como,</w:t>
      </w:r>
      <w:r>
        <w:rPr>
          <w:color w:val="231F1F"/>
          <w:w w:val="105"/>
        </w:rPr>
        <w:t> menor</w:t>
      </w:r>
      <w:r>
        <w:rPr>
          <w:color w:val="231F1F"/>
          <w:w w:val="105"/>
        </w:rPr>
        <w:t> necesidad</w:t>
      </w:r>
      <w:r>
        <w:rPr>
          <w:color w:val="231F1F"/>
          <w:w w:val="105"/>
        </w:rPr>
        <w:t> terapéutica</w:t>
      </w:r>
      <w:r>
        <w:rPr>
          <w:color w:val="231F1F"/>
          <w:w w:val="105"/>
        </w:rPr>
        <w:t> de uterotónicos: RR 0,64 [IC 95% 0,47 a 0,87] en 3 estudios con 1.273 mujeres.</w:t>
      </w:r>
    </w:p>
    <w:p>
      <w:pPr>
        <w:pStyle w:val="BodyText"/>
        <w:tabs>
          <w:tab w:pos="7791" w:val="left" w:leader="none"/>
          <w:tab w:pos="7989" w:val="left" w:leader="none"/>
          <w:tab w:pos="8114" w:val="left" w:leader="none"/>
        </w:tabs>
        <w:spacing w:line="249" w:lineRule="auto" w:before="114"/>
        <w:ind w:left="283" w:right="312" w:firstLine="453"/>
      </w:pPr>
      <w:r>
        <w:rPr>
          <w:color w:val="231F1F"/>
        </w:rPr>
        <w:t>Cuando se compara el </w:t>
      </w:r>
      <w:r>
        <w:rPr>
          <w:i/>
          <w:color w:val="231F1F"/>
        </w:rPr>
        <w:t>uso de oxitocina versus ergotínicos </w:t>
      </w:r>
      <w:r>
        <w:rPr>
          <w:color w:val="231F1F"/>
        </w:rPr>
        <w:t>NICE (10)</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analiza todos los estudios y no observa diferentes resultados en cuanto a la</w:t>
      </w:r>
      <w:r>
        <w:rPr>
          <w:color w:val="231F1F"/>
        </w:rPr>
        <w:tab/>
        <w:tab/>
      </w:r>
      <w:r>
        <w:rPr>
          <w:rFonts w:ascii="Arial MT" w:hAnsi="Arial MT"/>
          <w:color w:val="231F1F"/>
          <w:spacing w:val="-4"/>
          <w:w w:val="105"/>
          <w:position w:val="4"/>
          <w:sz w:val="18"/>
        </w:rPr>
        <w:t>ECAs </w:t>
      </w:r>
      <w:r>
        <w:rPr>
          <w:color w:val="231F1F"/>
          <w:w w:val="105"/>
        </w:rPr>
        <w:t>disminución de la HPP&gt;500ml: RR 0,90 [IC 95% 0,70 a 1,16] en 5 estudios con</w:t>
      </w:r>
      <w:r>
        <w:rPr>
          <w:color w:val="231F1F"/>
        </w:rPr>
        <w:tab/>
        <w:tab/>
        <w:tab/>
      </w:r>
      <w:r>
        <w:rPr>
          <w:rFonts w:ascii="Arial MT" w:hAnsi="Arial MT"/>
          <w:color w:val="231F1F"/>
          <w:spacing w:val="-6"/>
          <w:w w:val="105"/>
          <w:position w:val="8"/>
          <w:sz w:val="18"/>
        </w:rPr>
        <w:t>1+ </w:t>
      </w:r>
      <w:r>
        <w:rPr>
          <w:color w:val="231F1F"/>
          <w:w w:val="105"/>
        </w:rPr>
        <w:t>2.719 mujeres ni de la disminución de la HPP&gt;1000 ml: RR 0,99 [IC 95% 0,56</w:t>
      </w:r>
    </w:p>
    <w:p>
      <w:pPr>
        <w:pStyle w:val="BodyText"/>
        <w:spacing w:line="248" w:lineRule="exact"/>
        <w:ind w:left="283"/>
      </w:pPr>
      <w:r>
        <w:rPr>
          <w:color w:val="231F1F"/>
          <w:w w:val="105"/>
        </w:rPr>
        <w:t>a</w:t>
      </w:r>
      <w:r>
        <w:rPr>
          <w:color w:val="231F1F"/>
          <w:spacing w:val="-4"/>
          <w:w w:val="105"/>
        </w:rPr>
        <w:t> </w:t>
      </w:r>
      <w:r>
        <w:rPr>
          <w:color w:val="231F1F"/>
          <w:w w:val="105"/>
        </w:rPr>
        <w:t>1,74]</w:t>
      </w:r>
      <w:r>
        <w:rPr>
          <w:color w:val="231F1F"/>
          <w:spacing w:val="-4"/>
          <w:w w:val="105"/>
        </w:rPr>
        <w:t> </w:t>
      </w:r>
      <w:r>
        <w:rPr>
          <w:color w:val="231F1F"/>
          <w:w w:val="105"/>
        </w:rPr>
        <w:t>en</w:t>
      </w:r>
      <w:r>
        <w:rPr>
          <w:color w:val="231F1F"/>
          <w:spacing w:val="-4"/>
          <w:w w:val="105"/>
        </w:rPr>
        <w:t> </w:t>
      </w:r>
      <w:r>
        <w:rPr>
          <w:color w:val="231F1F"/>
          <w:w w:val="105"/>
        </w:rPr>
        <w:t>3</w:t>
      </w:r>
      <w:r>
        <w:rPr>
          <w:color w:val="231F1F"/>
          <w:spacing w:val="-4"/>
          <w:w w:val="105"/>
        </w:rPr>
        <w:t> </w:t>
      </w:r>
      <w:r>
        <w:rPr>
          <w:color w:val="231F1F"/>
          <w:w w:val="105"/>
        </w:rPr>
        <w:t>estudios</w:t>
      </w:r>
      <w:r>
        <w:rPr>
          <w:color w:val="231F1F"/>
          <w:spacing w:val="-4"/>
          <w:w w:val="105"/>
        </w:rPr>
        <w:t> </w:t>
      </w:r>
      <w:r>
        <w:rPr>
          <w:color w:val="231F1F"/>
          <w:w w:val="105"/>
        </w:rPr>
        <w:t>con</w:t>
      </w:r>
      <w:r>
        <w:rPr>
          <w:color w:val="231F1F"/>
          <w:spacing w:val="-5"/>
          <w:w w:val="105"/>
        </w:rPr>
        <w:t> </w:t>
      </w:r>
      <w:r>
        <w:rPr>
          <w:color w:val="231F1F"/>
          <w:w w:val="105"/>
        </w:rPr>
        <w:t>1.746</w:t>
      </w:r>
      <w:r>
        <w:rPr>
          <w:color w:val="231F1F"/>
          <w:spacing w:val="-4"/>
          <w:w w:val="105"/>
        </w:rPr>
        <w:t> </w:t>
      </w:r>
      <w:r>
        <w:rPr>
          <w:color w:val="231F1F"/>
          <w:spacing w:val="-2"/>
          <w:w w:val="105"/>
        </w:rPr>
        <w:t>mujeres.</w:t>
      </w:r>
    </w:p>
    <w:p>
      <w:pPr>
        <w:pStyle w:val="BodyText"/>
        <w:spacing w:line="244" w:lineRule="auto" w:before="63"/>
        <w:ind w:left="283" w:right="1386" w:firstLine="453"/>
      </w:pPr>
      <w:r>
        <w:rPr>
          <w:color w:val="231F1F"/>
          <w:w w:val="105"/>
        </w:rPr>
        <w:t>Se observó una disminución significativa de la extracción manual de la placenta</w:t>
      </w:r>
      <w:r>
        <w:rPr>
          <w:color w:val="231F1F"/>
          <w:spacing w:val="-10"/>
          <w:w w:val="105"/>
        </w:rPr>
        <w:t> </w:t>
      </w:r>
      <w:r>
        <w:rPr>
          <w:color w:val="231F1F"/>
          <w:w w:val="105"/>
        </w:rPr>
        <w:t>en</w:t>
      </w:r>
      <w:r>
        <w:rPr>
          <w:color w:val="231F1F"/>
          <w:spacing w:val="-8"/>
          <w:w w:val="105"/>
        </w:rPr>
        <w:t> </w:t>
      </w:r>
      <w:r>
        <w:rPr>
          <w:color w:val="231F1F"/>
          <w:w w:val="105"/>
        </w:rPr>
        <w:t>el</w:t>
      </w:r>
      <w:r>
        <w:rPr>
          <w:color w:val="231F1F"/>
          <w:spacing w:val="-10"/>
          <w:w w:val="105"/>
        </w:rPr>
        <w:t> </w:t>
      </w:r>
      <w:r>
        <w:rPr>
          <w:color w:val="231F1F"/>
          <w:w w:val="105"/>
        </w:rPr>
        <w:t>grupo</w:t>
      </w:r>
      <w:r>
        <w:rPr>
          <w:color w:val="231F1F"/>
          <w:spacing w:val="-10"/>
          <w:w w:val="105"/>
        </w:rPr>
        <w:t> </w:t>
      </w:r>
      <w:r>
        <w:rPr>
          <w:color w:val="231F1F"/>
          <w:w w:val="105"/>
        </w:rPr>
        <w:t>de</w:t>
      </w:r>
      <w:r>
        <w:rPr>
          <w:color w:val="231F1F"/>
          <w:spacing w:val="-10"/>
          <w:w w:val="105"/>
        </w:rPr>
        <w:t> </w:t>
      </w:r>
      <w:r>
        <w:rPr>
          <w:color w:val="231F1F"/>
          <w:w w:val="105"/>
        </w:rPr>
        <w:t>oxitocina:</w:t>
      </w:r>
      <w:r>
        <w:rPr>
          <w:color w:val="231F1F"/>
          <w:spacing w:val="-10"/>
          <w:w w:val="105"/>
        </w:rPr>
        <w:t> </w:t>
      </w:r>
      <w:r>
        <w:rPr>
          <w:color w:val="231F1F"/>
          <w:w w:val="105"/>
        </w:rPr>
        <w:t>RR</w:t>
      </w:r>
      <w:r>
        <w:rPr>
          <w:color w:val="231F1F"/>
          <w:spacing w:val="-7"/>
          <w:w w:val="105"/>
        </w:rPr>
        <w:t> </w:t>
      </w:r>
      <w:r>
        <w:rPr>
          <w:color w:val="231F1F"/>
          <w:w w:val="105"/>
        </w:rPr>
        <w:t>0,57</w:t>
      </w:r>
      <w:r>
        <w:rPr>
          <w:color w:val="231F1F"/>
          <w:spacing w:val="-8"/>
          <w:w w:val="105"/>
        </w:rPr>
        <w:t> </w:t>
      </w:r>
      <w:r>
        <w:rPr>
          <w:color w:val="231F1F"/>
          <w:w w:val="105"/>
        </w:rPr>
        <w:t>[IC</w:t>
      </w:r>
      <w:r>
        <w:rPr>
          <w:color w:val="231F1F"/>
          <w:spacing w:val="-8"/>
          <w:w w:val="105"/>
        </w:rPr>
        <w:t> </w:t>
      </w:r>
      <w:r>
        <w:rPr>
          <w:color w:val="231F1F"/>
          <w:w w:val="105"/>
        </w:rPr>
        <w:t>95%</w:t>
      </w:r>
      <w:r>
        <w:rPr>
          <w:color w:val="231F1F"/>
          <w:spacing w:val="-8"/>
          <w:w w:val="105"/>
        </w:rPr>
        <w:t> </w:t>
      </w:r>
      <w:r>
        <w:rPr>
          <w:color w:val="231F1F"/>
          <w:w w:val="105"/>
        </w:rPr>
        <w:t>0,41</w:t>
      </w:r>
      <w:r>
        <w:rPr>
          <w:color w:val="231F1F"/>
          <w:spacing w:val="-9"/>
          <w:w w:val="105"/>
        </w:rPr>
        <w:t> </w:t>
      </w:r>
      <w:r>
        <w:rPr>
          <w:color w:val="231F1F"/>
          <w:w w:val="105"/>
        </w:rPr>
        <w:t>a</w:t>
      </w:r>
      <w:r>
        <w:rPr>
          <w:color w:val="231F1F"/>
          <w:spacing w:val="-8"/>
          <w:w w:val="105"/>
        </w:rPr>
        <w:t> </w:t>
      </w:r>
      <w:r>
        <w:rPr>
          <w:color w:val="231F1F"/>
          <w:w w:val="105"/>
        </w:rPr>
        <w:t>0,79]</w:t>
      </w:r>
      <w:r>
        <w:rPr>
          <w:color w:val="231F1F"/>
          <w:spacing w:val="-8"/>
          <w:w w:val="105"/>
        </w:rPr>
        <w:t> </w:t>
      </w:r>
      <w:r>
        <w:rPr>
          <w:color w:val="231F1F"/>
          <w:w w:val="105"/>
        </w:rPr>
        <w:t>en</w:t>
      </w:r>
      <w:r>
        <w:rPr>
          <w:color w:val="231F1F"/>
          <w:spacing w:val="-9"/>
          <w:w w:val="105"/>
        </w:rPr>
        <w:t> </w:t>
      </w:r>
      <w:r>
        <w:rPr>
          <w:color w:val="231F1F"/>
          <w:w w:val="105"/>
        </w:rPr>
        <w:t>3</w:t>
      </w:r>
      <w:r>
        <w:rPr>
          <w:color w:val="231F1F"/>
          <w:spacing w:val="-8"/>
          <w:w w:val="105"/>
        </w:rPr>
        <w:t> </w:t>
      </w:r>
      <w:r>
        <w:rPr>
          <w:color w:val="231F1F"/>
          <w:w w:val="105"/>
        </w:rPr>
        <w:t>estudios</w:t>
      </w:r>
    </w:p>
    <w:p>
      <w:pPr>
        <w:pStyle w:val="BodyText"/>
        <w:spacing w:before="17"/>
        <w:ind w:left="283"/>
      </w:pPr>
      <w:r>
        <w:rPr>
          <w:color w:val="231F1F"/>
        </w:rPr>
        <w:t>con</w:t>
      </w:r>
      <w:r>
        <w:rPr>
          <w:color w:val="231F1F"/>
          <w:spacing w:val="3"/>
        </w:rPr>
        <w:t> </w:t>
      </w:r>
      <w:r>
        <w:rPr>
          <w:color w:val="231F1F"/>
        </w:rPr>
        <w:t>1.746</w:t>
      </w:r>
      <w:r>
        <w:rPr>
          <w:color w:val="231F1F"/>
          <w:spacing w:val="3"/>
        </w:rPr>
        <w:t> </w:t>
      </w:r>
      <w:r>
        <w:rPr>
          <w:color w:val="231F1F"/>
          <w:spacing w:val="-2"/>
        </w:rPr>
        <w:t>mujeres.</w:t>
      </w:r>
    </w:p>
    <w:p>
      <w:pPr>
        <w:tabs>
          <w:tab w:pos="7791" w:val="left" w:leader="none"/>
          <w:tab w:pos="7989" w:val="left" w:leader="none"/>
          <w:tab w:pos="8114" w:val="left" w:leader="none"/>
        </w:tabs>
        <w:spacing w:line="240" w:lineRule="auto" w:before="122"/>
        <w:ind w:left="283" w:right="312" w:firstLine="453"/>
        <w:jc w:val="left"/>
        <w:rPr>
          <w:rFonts w:ascii="Arial MT" w:hAnsi="Arial MT"/>
          <w:position w:val="8"/>
          <w:sz w:val="18"/>
        </w:rPr>
      </w:pPr>
      <w:r>
        <w:rPr>
          <w:color w:val="231F1F"/>
          <w:sz w:val="22"/>
        </w:rPr>
        <w:t>Cuando</w:t>
      </w:r>
      <w:r>
        <w:rPr>
          <w:color w:val="231F1F"/>
          <w:spacing w:val="40"/>
          <w:sz w:val="22"/>
        </w:rPr>
        <w:t> </w:t>
      </w:r>
      <w:r>
        <w:rPr>
          <w:color w:val="231F1F"/>
          <w:sz w:val="22"/>
        </w:rPr>
        <w:t>se</w:t>
      </w:r>
      <w:r>
        <w:rPr>
          <w:color w:val="231F1F"/>
          <w:spacing w:val="40"/>
          <w:sz w:val="22"/>
        </w:rPr>
        <w:t> </w:t>
      </w:r>
      <w:r>
        <w:rPr>
          <w:color w:val="231F1F"/>
          <w:sz w:val="22"/>
        </w:rPr>
        <w:t>incluyen</w:t>
      </w:r>
      <w:r>
        <w:rPr>
          <w:color w:val="231F1F"/>
          <w:spacing w:val="40"/>
          <w:sz w:val="22"/>
        </w:rPr>
        <w:t> </w:t>
      </w:r>
      <w:r>
        <w:rPr>
          <w:color w:val="231F1F"/>
          <w:sz w:val="22"/>
        </w:rPr>
        <w:t>todos</w:t>
      </w:r>
      <w:r>
        <w:rPr>
          <w:color w:val="231F1F"/>
          <w:spacing w:val="40"/>
          <w:sz w:val="22"/>
        </w:rPr>
        <w:t> </w:t>
      </w:r>
      <w:r>
        <w:rPr>
          <w:color w:val="231F1F"/>
          <w:sz w:val="22"/>
        </w:rPr>
        <w:t>los</w:t>
      </w:r>
      <w:r>
        <w:rPr>
          <w:color w:val="231F1F"/>
          <w:spacing w:val="40"/>
          <w:sz w:val="22"/>
        </w:rPr>
        <w:t> </w:t>
      </w:r>
      <w:r>
        <w:rPr>
          <w:color w:val="231F1F"/>
          <w:sz w:val="22"/>
        </w:rPr>
        <w:t>estudios</w:t>
      </w:r>
      <w:r>
        <w:rPr>
          <w:color w:val="231F1F"/>
          <w:spacing w:val="40"/>
          <w:sz w:val="22"/>
        </w:rPr>
        <w:t> </w:t>
      </w:r>
      <w:r>
        <w:rPr>
          <w:color w:val="231F1F"/>
          <w:sz w:val="22"/>
        </w:rPr>
        <w:t>y</w:t>
      </w:r>
      <w:r>
        <w:rPr>
          <w:color w:val="231F1F"/>
          <w:spacing w:val="40"/>
          <w:sz w:val="22"/>
        </w:rPr>
        <w:t> </w:t>
      </w:r>
      <w:r>
        <w:rPr>
          <w:color w:val="231F1F"/>
          <w:sz w:val="22"/>
        </w:rPr>
        <w:t>se</w:t>
      </w:r>
      <w:r>
        <w:rPr>
          <w:color w:val="231F1F"/>
          <w:spacing w:val="40"/>
          <w:sz w:val="22"/>
        </w:rPr>
        <w:t> </w:t>
      </w:r>
      <w:r>
        <w:rPr>
          <w:color w:val="231F1F"/>
          <w:sz w:val="22"/>
        </w:rPr>
        <w:t>compara</w:t>
      </w:r>
      <w:r>
        <w:rPr>
          <w:color w:val="231F1F"/>
          <w:spacing w:val="40"/>
          <w:sz w:val="22"/>
        </w:rPr>
        <w:t> </w:t>
      </w:r>
      <w:r>
        <w:rPr>
          <w:color w:val="231F1F"/>
          <w:sz w:val="22"/>
        </w:rPr>
        <w:t>el</w:t>
      </w:r>
      <w:r>
        <w:rPr>
          <w:color w:val="231F1F"/>
          <w:spacing w:val="40"/>
          <w:sz w:val="22"/>
        </w:rPr>
        <w:t> </w:t>
      </w:r>
      <w:r>
        <w:rPr>
          <w:color w:val="231F1F"/>
          <w:sz w:val="22"/>
        </w:rPr>
        <w:t>uso</w:t>
      </w:r>
      <w:r>
        <w:rPr>
          <w:color w:val="231F1F"/>
          <w:spacing w:val="40"/>
          <w:sz w:val="22"/>
        </w:rPr>
        <w:t> </w:t>
      </w:r>
      <w:r>
        <w:rPr>
          <w:color w:val="231F1F"/>
          <w:sz w:val="22"/>
        </w:rPr>
        <w:t>de</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i/>
          <w:color w:val="231F1F"/>
          <w:w w:val="105"/>
          <w:sz w:val="22"/>
        </w:rPr>
        <w:t>oxitocina+ergotínicos vs ergotínicos </w:t>
      </w:r>
      <w:r>
        <w:rPr>
          <w:color w:val="231F1F"/>
          <w:w w:val="105"/>
          <w:sz w:val="22"/>
        </w:rPr>
        <w:t>no se encuentran diferencias en la dismi-</w:t>
      </w:r>
      <w:r>
        <w:rPr>
          <w:color w:val="231F1F"/>
          <w:sz w:val="22"/>
        </w:rPr>
        <w:tab/>
        <w:tab/>
      </w:r>
      <w:r>
        <w:rPr>
          <w:rFonts w:ascii="Arial MT" w:hAnsi="Arial MT"/>
          <w:color w:val="231F1F"/>
          <w:spacing w:val="-4"/>
          <w:w w:val="105"/>
          <w:position w:val="4"/>
          <w:sz w:val="18"/>
        </w:rPr>
        <w:t>ECAs </w:t>
      </w:r>
      <w:r>
        <w:rPr>
          <w:color w:val="231F1F"/>
          <w:w w:val="105"/>
          <w:sz w:val="22"/>
        </w:rPr>
        <w:t>nución de la HPP, en la duración de la tercera etapa del parto (&gt;20 min) ni en</w:t>
      </w:r>
      <w:r>
        <w:rPr>
          <w:color w:val="231F1F"/>
          <w:sz w:val="22"/>
        </w:rPr>
        <w:tab/>
        <w:tab/>
        <w:tab/>
      </w:r>
      <w:r>
        <w:rPr>
          <w:rFonts w:ascii="Arial MT" w:hAnsi="Arial MT"/>
          <w:color w:val="231F1F"/>
          <w:spacing w:val="-6"/>
          <w:w w:val="105"/>
          <w:position w:val="8"/>
          <w:sz w:val="18"/>
        </w:rPr>
        <w:t>1+</w:t>
      </w:r>
    </w:p>
    <w:p>
      <w:pPr>
        <w:pStyle w:val="BodyText"/>
        <w:spacing w:before="10"/>
        <w:ind w:left="283"/>
      </w:pPr>
      <w:r>
        <w:rPr>
          <w:color w:val="231F1F"/>
        </w:rPr>
        <w:t>la</w:t>
      </w:r>
      <w:r>
        <w:rPr>
          <w:color w:val="231F1F"/>
          <w:spacing w:val="27"/>
        </w:rPr>
        <w:t> </w:t>
      </w:r>
      <w:r>
        <w:rPr>
          <w:color w:val="231F1F"/>
        </w:rPr>
        <w:t>tasa</w:t>
      </w:r>
      <w:r>
        <w:rPr>
          <w:color w:val="231F1F"/>
          <w:spacing w:val="27"/>
        </w:rPr>
        <w:t> </w:t>
      </w:r>
      <w:r>
        <w:rPr>
          <w:color w:val="231F1F"/>
        </w:rPr>
        <w:t>de</w:t>
      </w:r>
      <w:r>
        <w:rPr>
          <w:color w:val="231F1F"/>
          <w:spacing w:val="29"/>
        </w:rPr>
        <w:t> </w:t>
      </w:r>
      <w:r>
        <w:rPr>
          <w:color w:val="231F1F"/>
        </w:rPr>
        <w:t>extracción</w:t>
      </w:r>
      <w:r>
        <w:rPr>
          <w:color w:val="231F1F"/>
          <w:spacing w:val="27"/>
        </w:rPr>
        <w:t> </w:t>
      </w:r>
      <w:r>
        <w:rPr>
          <w:color w:val="231F1F"/>
        </w:rPr>
        <w:t>manual</w:t>
      </w:r>
      <w:r>
        <w:rPr>
          <w:color w:val="231F1F"/>
          <w:spacing w:val="29"/>
        </w:rPr>
        <w:t> </w:t>
      </w:r>
      <w:r>
        <w:rPr>
          <w:color w:val="231F1F"/>
        </w:rPr>
        <w:t>de</w:t>
      </w:r>
      <w:r>
        <w:rPr>
          <w:color w:val="231F1F"/>
          <w:spacing w:val="29"/>
        </w:rPr>
        <w:t> </w:t>
      </w:r>
      <w:r>
        <w:rPr>
          <w:color w:val="231F1F"/>
        </w:rPr>
        <w:t>la</w:t>
      </w:r>
      <w:r>
        <w:rPr>
          <w:color w:val="231F1F"/>
          <w:spacing w:val="29"/>
        </w:rPr>
        <w:t> </w:t>
      </w:r>
      <w:r>
        <w:rPr>
          <w:color w:val="231F1F"/>
          <w:spacing w:val="-2"/>
        </w:rPr>
        <w:t>placenta.</w:t>
      </w:r>
    </w:p>
    <w:p>
      <w:pPr>
        <w:pStyle w:val="BodyText"/>
        <w:spacing w:line="247" w:lineRule="auto" w:before="68"/>
        <w:ind w:left="283" w:right="1354" w:firstLine="453"/>
        <w:jc w:val="both"/>
      </w:pPr>
      <w:r>
        <w:rPr>
          <w:color w:val="231F1F"/>
          <w:w w:val="105"/>
        </w:rPr>
        <w:t>Cuando</w:t>
      </w:r>
      <w:r>
        <w:rPr>
          <w:color w:val="231F1F"/>
          <w:w w:val="105"/>
        </w:rPr>
        <w:t> se</w:t>
      </w:r>
      <w:r>
        <w:rPr>
          <w:color w:val="231F1F"/>
          <w:w w:val="105"/>
        </w:rPr>
        <w:t> analizan</w:t>
      </w:r>
      <w:r>
        <w:rPr>
          <w:color w:val="231F1F"/>
          <w:w w:val="105"/>
        </w:rPr>
        <w:t> sólo</w:t>
      </w:r>
      <w:r>
        <w:rPr>
          <w:color w:val="231F1F"/>
          <w:w w:val="105"/>
        </w:rPr>
        <w:t> los</w:t>
      </w:r>
      <w:r>
        <w:rPr>
          <w:color w:val="231F1F"/>
          <w:w w:val="105"/>
        </w:rPr>
        <w:t> estudios</w:t>
      </w:r>
      <w:r>
        <w:rPr>
          <w:color w:val="231F1F"/>
          <w:w w:val="105"/>
        </w:rPr>
        <w:t> aleatorizados</w:t>
      </w:r>
      <w:r>
        <w:rPr>
          <w:color w:val="231F1F"/>
          <w:w w:val="105"/>
        </w:rPr>
        <w:t> se</w:t>
      </w:r>
      <w:r>
        <w:rPr>
          <w:color w:val="231F1F"/>
          <w:w w:val="105"/>
        </w:rPr>
        <w:t> encuentran</w:t>
      </w:r>
      <w:r>
        <w:rPr>
          <w:color w:val="231F1F"/>
          <w:w w:val="105"/>
        </w:rPr>
        <w:t> dife- rencias</w:t>
      </w:r>
      <w:r>
        <w:rPr>
          <w:color w:val="231F1F"/>
          <w:w w:val="105"/>
        </w:rPr>
        <w:t> en</w:t>
      </w:r>
      <w:r>
        <w:rPr>
          <w:color w:val="231F1F"/>
          <w:w w:val="105"/>
        </w:rPr>
        <w:t> la</w:t>
      </w:r>
      <w:r>
        <w:rPr>
          <w:color w:val="231F1F"/>
          <w:w w:val="105"/>
        </w:rPr>
        <w:t> disminución</w:t>
      </w:r>
      <w:r>
        <w:rPr>
          <w:color w:val="231F1F"/>
          <w:w w:val="105"/>
        </w:rPr>
        <w:t> de</w:t>
      </w:r>
      <w:r>
        <w:rPr>
          <w:color w:val="231F1F"/>
          <w:w w:val="105"/>
        </w:rPr>
        <w:t> la</w:t>
      </w:r>
      <w:r>
        <w:rPr>
          <w:color w:val="231F1F"/>
          <w:w w:val="105"/>
        </w:rPr>
        <w:t> HPP</w:t>
      </w:r>
      <w:r>
        <w:rPr>
          <w:color w:val="231F1F"/>
          <w:w w:val="105"/>
        </w:rPr>
        <w:t> &gt;</w:t>
      </w:r>
      <w:r>
        <w:rPr>
          <w:color w:val="231F1F"/>
          <w:w w:val="105"/>
        </w:rPr>
        <w:t> 500ml</w:t>
      </w:r>
      <w:r>
        <w:rPr>
          <w:color w:val="231F1F"/>
          <w:w w:val="105"/>
        </w:rPr>
        <w:t> a</w:t>
      </w:r>
      <w:r>
        <w:rPr>
          <w:color w:val="231F1F"/>
          <w:w w:val="105"/>
        </w:rPr>
        <w:t> favor</w:t>
      </w:r>
      <w:r>
        <w:rPr>
          <w:color w:val="231F1F"/>
          <w:w w:val="105"/>
        </w:rPr>
        <w:t> del</w:t>
      </w:r>
      <w:r>
        <w:rPr>
          <w:color w:val="231F1F"/>
          <w:w w:val="105"/>
        </w:rPr>
        <w:t> uso</w:t>
      </w:r>
      <w:r>
        <w:rPr>
          <w:color w:val="231F1F"/>
          <w:w w:val="105"/>
        </w:rPr>
        <w:t> </w:t>
      </w:r>
      <w:r>
        <w:rPr>
          <w:color w:val="231F1F"/>
          <w:spacing w:val="12"/>
          <w:w w:val="105"/>
        </w:rPr>
        <w:t>de </w:t>
      </w:r>
      <w:r>
        <w:rPr>
          <w:color w:val="231F1F"/>
          <w:w w:val="105"/>
        </w:rPr>
        <w:t>oxitocina+ergotínicos: RR 0,44 [IC 95% 0,20 a 0,94] en 2 estudios con 1.161 mujeres,</w:t>
      </w:r>
      <w:r>
        <w:rPr>
          <w:color w:val="231F1F"/>
          <w:w w:val="105"/>
        </w:rPr>
        <w:t> pero</w:t>
      </w:r>
      <w:r>
        <w:rPr>
          <w:color w:val="231F1F"/>
          <w:w w:val="105"/>
        </w:rPr>
        <w:t> no</w:t>
      </w:r>
      <w:r>
        <w:rPr>
          <w:color w:val="231F1F"/>
          <w:w w:val="105"/>
        </w:rPr>
        <w:t> hay</w:t>
      </w:r>
      <w:r>
        <w:rPr>
          <w:color w:val="231F1F"/>
          <w:w w:val="105"/>
        </w:rPr>
        <w:t> evidencia</w:t>
      </w:r>
      <w:r>
        <w:rPr>
          <w:color w:val="231F1F"/>
          <w:w w:val="105"/>
        </w:rPr>
        <w:t> de</w:t>
      </w:r>
      <w:r>
        <w:rPr>
          <w:color w:val="231F1F"/>
          <w:w w:val="105"/>
        </w:rPr>
        <w:t> diferencias</w:t>
      </w:r>
      <w:r>
        <w:rPr>
          <w:color w:val="231F1F"/>
          <w:w w:val="105"/>
        </w:rPr>
        <w:t> en</w:t>
      </w:r>
      <w:r>
        <w:rPr>
          <w:color w:val="231F1F"/>
          <w:w w:val="105"/>
        </w:rPr>
        <w:t> la</w:t>
      </w:r>
      <w:r>
        <w:rPr>
          <w:color w:val="231F1F"/>
          <w:w w:val="105"/>
        </w:rPr>
        <w:t> duración</w:t>
      </w:r>
      <w:r>
        <w:rPr>
          <w:color w:val="231F1F"/>
          <w:w w:val="105"/>
        </w:rPr>
        <w:t> de</w:t>
      </w:r>
      <w:r>
        <w:rPr>
          <w:color w:val="231F1F"/>
          <w:w w:val="105"/>
        </w:rPr>
        <w:t> la</w:t>
      </w:r>
      <w:r>
        <w:rPr>
          <w:color w:val="231F1F"/>
          <w:w w:val="105"/>
        </w:rPr>
        <w:t> tercera</w:t>
      </w:r>
      <w:r>
        <w:rPr>
          <w:color w:val="231F1F"/>
          <w:spacing w:val="40"/>
          <w:w w:val="105"/>
        </w:rPr>
        <w:t> </w:t>
      </w:r>
      <w:r>
        <w:rPr>
          <w:color w:val="231F1F"/>
          <w:w w:val="105"/>
        </w:rPr>
        <w:t>etapa (&gt;20 min).</w:t>
      </w:r>
    </w:p>
    <w:p>
      <w:pPr>
        <w:pStyle w:val="BodyText"/>
        <w:tabs>
          <w:tab w:pos="7791" w:val="left" w:leader="none"/>
          <w:tab w:pos="7989" w:val="left" w:leader="none"/>
          <w:tab w:pos="8114" w:val="left" w:leader="none"/>
        </w:tabs>
        <w:spacing w:line="247" w:lineRule="auto" w:before="104"/>
        <w:ind w:left="283" w:right="312" w:firstLine="453"/>
      </w:pPr>
      <w:r>
        <w:rPr>
          <w:color w:val="231F1F"/>
        </w:rPr>
        <w:t>El siguiente análisis compara </w:t>
      </w:r>
      <w:r>
        <w:rPr>
          <w:i/>
          <w:color w:val="231F1F"/>
        </w:rPr>
        <w:t>oxitocina+ergotínicos/oxitócicos</w:t>
      </w:r>
      <w:r>
        <w:rPr>
          <w:color w:val="231F1F"/>
        </w:rPr>
        <w:t>. Cuando</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se incluyen todos los estudios se observan diferencias a favor de la combinación</w:t>
      </w:r>
      <w:r>
        <w:rPr>
          <w:color w:val="231F1F"/>
        </w:rPr>
        <w:tab/>
        <w:tab/>
      </w:r>
      <w:r>
        <w:rPr>
          <w:rFonts w:ascii="Arial MT" w:hAnsi="Arial MT"/>
          <w:color w:val="231F1F"/>
          <w:spacing w:val="-4"/>
          <w:w w:val="105"/>
          <w:position w:val="4"/>
          <w:sz w:val="18"/>
        </w:rPr>
        <w:t>ECAs </w:t>
      </w:r>
      <w:r>
        <w:rPr>
          <w:color w:val="231F1F"/>
          <w:w w:val="105"/>
        </w:rPr>
        <w:t>oxitocina+ergotínicos para la disminución de la HPP &gt; 500ml: RR 0,82 [IC</w:t>
      </w:r>
      <w:r>
        <w:rPr>
          <w:color w:val="231F1F"/>
        </w:rPr>
        <w:tab/>
        <w:tab/>
        <w:tab/>
      </w:r>
      <w:r>
        <w:rPr>
          <w:rFonts w:ascii="Arial MT" w:hAnsi="Arial MT"/>
          <w:color w:val="231F1F"/>
          <w:spacing w:val="-6"/>
          <w:w w:val="105"/>
          <w:position w:val="8"/>
          <w:sz w:val="18"/>
        </w:rPr>
        <w:t>1+ </w:t>
      </w:r>
      <w:r>
        <w:rPr>
          <w:color w:val="231F1F"/>
          <w:w w:val="105"/>
        </w:rPr>
        <w:t>95% 0,71 a 0,95] en 6 estudios con 9.332 y para la necesidad de uso terapéu-</w:t>
      </w:r>
    </w:p>
    <w:p>
      <w:pPr>
        <w:pStyle w:val="BodyText"/>
        <w:spacing w:line="244" w:lineRule="auto"/>
        <w:ind w:left="283" w:right="1467"/>
      </w:pPr>
      <w:r>
        <w:rPr>
          <w:color w:val="231F1F"/>
          <w:w w:val="110"/>
        </w:rPr>
        <w:t>tico</w:t>
      </w:r>
      <w:r>
        <w:rPr>
          <w:color w:val="231F1F"/>
          <w:spacing w:val="-16"/>
          <w:w w:val="110"/>
        </w:rPr>
        <w:t> </w:t>
      </w:r>
      <w:r>
        <w:rPr>
          <w:color w:val="231F1F"/>
          <w:w w:val="110"/>
        </w:rPr>
        <w:t>de</w:t>
      </w:r>
      <w:r>
        <w:rPr>
          <w:color w:val="231F1F"/>
          <w:spacing w:val="-15"/>
          <w:w w:val="110"/>
        </w:rPr>
        <w:t> </w:t>
      </w:r>
      <w:r>
        <w:rPr>
          <w:color w:val="231F1F"/>
          <w:w w:val="110"/>
        </w:rPr>
        <w:t>uterotónicos:</w:t>
      </w:r>
      <w:r>
        <w:rPr>
          <w:color w:val="231F1F"/>
          <w:spacing w:val="-15"/>
          <w:w w:val="110"/>
        </w:rPr>
        <w:t> </w:t>
      </w:r>
      <w:r>
        <w:rPr>
          <w:color w:val="231F1F"/>
          <w:w w:val="110"/>
        </w:rPr>
        <w:t>RR</w:t>
      </w:r>
      <w:r>
        <w:rPr>
          <w:color w:val="231F1F"/>
          <w:spacing w:val="-15"/>
          <w:w w:val="110"/>
        </w:rPr>
        <w:t> </w:t>
      </w:r>
      <w:r>
        <w:rPr>
          <w:color w:val="231F1F"/>
          <w:w w:val="110"/>
        </w:rPr>
        <w:t>0,83</w:t>
      </w:r>
      <w:r>
        <w:rPr>
          <w:color w:val="231F1F"/>
          <w:spacing w:val="-15"/>
          <w:w w:val="110"/>
        </w:rPr>
        <w:t> </w:t>
      </w:r>
      <w:r>
        <w:rPr>
          <w:color w:val="231F1F"/>
          <w:w w:val="110"/>
        </w:rPr>
        <w:t>[IC</w:t>
      </w:r>
      <w:r>
        <w:rPr>
          <w:color w:val="231F1F"/>
          <w:spacing w:val="-16"/>
          <w:w w:val="110"/>
        </w:rPr>
        <w:t> </w:t>
      </w:r>
      <w:r>
        <w:rPr>
          <w:color w:val="231F1F"/>
          <w:w w:val="110"/>
        </w:rPr>
        <w:t>95%</w:t>
      </w:r>
      <w:r>
        <w:rPr>
          <w:color w:val="231F1F"/>
          <w:spacing w:val="-15"/>
          <w:w w:val="110"/>
        </w:rPr>
        <w:t> </w:t>
      </w:r>
      <w:r>
        <w:rPr>
          <w:color w:val="231F1F"/>
          <w:w w:val="110"/>
        </w:rPr>
        <w:t>0,72</w:t>
      </w:r>
      <w:r>
        <w:rPr>
          <w:color w:val="231F1F"/>
          <w:spacing w:val="-15"/>
          <w:w w:val="110"/>
        </w:rPr>
        <w:t> </w:t>
      </w:r>
      <w:r>
        <w:rPr>
          <w:color w:val="231F1F"/>
          <w:w w:val="110"/>
        </w:rPr>
        <w:t>a</w:t>
      </w:r>
      <w:r>
        <w:rPr>
          <w:color w:val="231F1F"/>
          <w:spacing w:val="-15"/>
          <w:w w:val="110"/>
        </w:rPr>
        <w:t> </w:t>
      </w:r>
      <w:r>
        <w:rPr>
          <w:color w:val="231F1F"/>
          <w:w w:val="110"/>
        </w:rPr>
        <w:t>0,96])</w:t>
      </w:r>
      <w:r>
        <w:rPr>
          <w:color w:val="231F1F"/>
          <w:spacing w:val="-15"/>
          <w:w w:val="110"/>
        </w:rPr>
        <w:t> </w:t>
      </w:r>
      <w:r>
        <w:rPr>
          <w:color w:val="231F1F"/>
          <w:w w:val="110"/>
        </w:rPr>
        <w:t>en</w:t>
      </w:r>
      <w:r>
        <w:rPr>
          <w:color w:val="231F1F"/>
          <w:spacing w:val="-15"/>
          <w:w w:val="110"/>
        </w:rPr>
        <w:t> </w:t>
      </w:r>
      <w:r>
        <w:rPr>
          <w:color w:val="231F1F"/>
          <w:w w:val="110"/>
        </w:rPr>
        <w:t>3</w:t>
      </w:r>
      <w:r>
        <w:rPr>
          <w:color w:val="231F1F"/>
          <w:spacing w:val="-15"/>
          <w:w w:val="110"/>
        </w:rPr>
        <w:t> </w:t>
      </w:r>
      <w:r>
        <w:rPr>
          <w:color w:val="231F1F"/>
          <w:w w:val="110"/>
        </w:rPr>
        <w:t>estudios</w:t>
      </w:r>
      <w:r>
        <w:rPr>
          <w:color w:val="231F1F"/>
          <w:spacing w:val="-15"/>
          <w:w w:val="110"/>
        </w:rPr>
        <w:t> </w:t>
      </w:r>
      <w:r>
        <w:rPr>
          <w:color w:val="231F1F"/>
          <w:w w:val="110"/>
        </w:rPr>
        <w:t>con</w:t>
      </w:r>
      <w:r>
        <w:rPr>
          <w:color w:val="231F1F"/>
          <w:spacing w:val="-16"/>
          <w:w w:val="110"/>
        </w:rPr>
        <w:t> </w:t>
      </w:r>
      <w:r>
        <w:rPr>
          <w:color w:val="231F1F"/>
          <w:w w:val="110"/>
        </w:rPr>
        <w:t>5.465 mujeres. No se observan otras diferencias.</w:t>
      </w:r>
    </w:p>
    <w:p>
      <w:pPr>
        <w:pStyle w:val="BodyText"/>
        <w:tabs>
          <w:tab w:pos="7989" w:val="left" w:leader="none"/>
          <w:tab w:pos="8114" w:val="left" w:leader="none"/>
        </w:tabs>
        <w:spacing w:line="244" w:lineRule="auto" w:before="103"/>
        <w:ind w:left="283" w:right="355" w:firstLine="453"/>
      </w:pPr>
      <w:r>
        <w:rPr>
          <w:color w:val="231F1F"/>
          <w:w w:val="105"/>
        </w:rPr>
        <w:t>Cuando se realiza el análisis de subgrupos por dosis de oxitocina (5 ó 10 </w:t>
      </w:r>
      <w:r>
        <w:rPr>
          <w:rFonts w:ascii="Arial MT" w:hAnsi="Arial MT"/>
          <w:color w:val="231F1F"/>
          <w:w w:val="105"/>
          <w:sz w:val="18"/>
        </w:rPr>
        <w:t>RS-MA de </w:t>
      </w:r>
      <w:r>
        <w:rPr>
          <w:color w:val="231F1F"/>
          <w:w w:val="105"/>
        </w:rPr>
        <w:t>UI), para la HPP definida como pérdida &gt; 500 ml ambas dosis mostraron una</w:t>
      </w:r>
      <w:r>
        <w:rPr>
          <w:color w:val="231F1F"/>
        </w:rPr>
        <w:tab/>
      </w:r>
      <w:r>
        <w:rPr>
          <w:rFonts w:ascii="Arial MT" w:hAnsi="Arial MT"/>
          <w:color w:val="231F1F"/>
          <w:spacing w:val="-4"/>
          <w:w w:val="105"/>
          <w:position w:val="4"/>
          <w:sz w:val="18"/>
        </w:rPr>
        <w:t>ECAs </w:t>
      </w:r>
      <w:r>
        <w:rPr>
          <w:color w:val="231F1F"/>
          <w:w w:val="105"/>
        </w:rPr>
        <w:t>reducción significativa al usar ergometrina-oxitocina comparado con el uso</w:t>
      </w:r>
      <w:r>
        <w:rPr>
          <w:color w:val="231F1F"/>
        </w:rPr>
        <w:tab/>
        <w:tab/>
      </w:r>
      <w:r>
        <w:rPr>
          <w:rFonts w:ascii="Arial MT" w:hAnsi="Arial MT"/>
          <w:color w:val="231F1F"/>
          <w:spacing w:val="-6"/>
          <w:w w:val="105"/>
          <w:position w:val="8"/>
          <w:sz w:val="18"/>
        </w:rPr>
        <w:t>1+</w:t>
      </w:r>
      <w:r>
        <w:rPr>
          <w:rFonts w:ascii="Arial MT" w:hAnsi="Arial MT"/>
          <w:color w:val="231F1F"/>
          <w:spacing w:val="80"/>
          <w:w w:val="105"/>
          <w:position w:val="8"/>
          <w:sz w:val="18"/>
        </w:rPr>
        <w:t> </w:t>
      </w:r>
      <w:r>
        <w:rPr>
          <w:color w:val="231F1F"/>
          <w:w w:val="105"/>
        </w:rPr>
        <w:t>de</w:t>
      </w:r>
      <w:r>
        <w:rPr>
          <w:color w:val="231F1F"/>
          <w:spacing w:val="31"/>
          <w:w w:val="105"/>
        </w:rPr>
        <w:t> </w:t>
      </w:r>
      <w:r>
        <w:rPr>
          <w:color w:val="231F1F"/>
          <w:w w:val="105"/>
        </w:rPr>
        <w:t>oxitocina,</w:t>
      </w:r>
      <w:r>
        <w:rPr>
          <w:color w:val="231F1F"/>
          <w:spacing w:val="31"/>
          <w:w w:val="105"/>
        </w:rPr>
        <w:t> </w:t>
      </w:r>
      <w:r>
        <w:rPr>
          <w:color w:val="231F1F"/>
          <w:w w:val="105"/>
        </w:rPr>
        <w:t>aunque</w:t>
      </w:r>
      <w:r>
        <w:rPr>
          <w:color w:val="231F1F"/>
          <w:spacing w:val="31"/>
          <w:w w:val="105"/>
        </w:rPr>
        <w:t> </w:t>
      </w:r>
      <w:r>
        <w:rPr>
          <w:color w:val="231F1F"/>
          <w:w w:val="105"/>
        </w:rPr>
        <w:t>el</w:t>
      </w:r>
      <w:r>
        <w:rPr>
          <w:color w:val="231F1F"/>
          <w:spacing w:val="31"/>
          <w:w w:val="105"/>
        </w:rPr>
        <w:t> </w:t>
      </w:r>
      <w:r>
        <w:rPr>
          <w:color w:val="231F1F"/>
          <w:w w:val="105"/>
        </w:rPr>
        <w:t>efecto</w:t>
      </w:r>
      <w:r>
        <w:rPr>
          <w:color w:val="231F1F"/>
          <w:spacing w:val="31"/>
          <w:w w:val="105"/>
        </w:rPr>
        <w:t> </w:t>
      </w:r>
      <w:r>
        <w:rPr>
          <w:color w:val="231F1F"/>
          <w:w w:val="105"/>
        </w:rPr>
        <w:t>era</w:t>
      </w:r>
      <w:r>
        <w:rPr>
          <w:color w:val="231F1F"/>
          <w:spacing w:val="31"/>
          <w:w w:val="105"/>
        </w:rPr>
        <w:t> </w:t>
      </w:r>
      <w:r>
        <w:rPr>
          <w:color w:val="231F1F"/>
          <w:w w:val="105"/>
        </w:rPr>
        <w:t>mayor</w:t>
      </w:r>
      <w:r>
        <w:rPr>
          <w:color w:val="231F1F"/>
          <w:spacing w:val="31"/>
          <w:w w:val="105"/>
        </w:rPr>
        <w:t> </w:t>
      </w:r>
      <w:r>
        <w:rPr>
          <w:color w:val="231F1F"/>
          <w:w w:val="105"/>
        </w:rPr>
        <w:t>al</w:t>
      </w:r>
      <w:r>
        <w:rPr>
          <w:color w:val="231F1F"/>
          <w:spacing w:val="31"/>
          <w:w w:val="105"/>
        </w:rPr>
        <w:t> </w:t>
      </w:r>
      <w:r>
        <w:rPr>
          <w:color w:val="231F1F"/>
          <w:w w:val="105"/>
        </w:rPr>
        <w:t>comparar</w:t>
      </w:r>
      <w:r>
        <w:rPr>
          <w:color w:val="231F1F"/>
          <w:spacing w:val="31"/>
          <w:w w:val="105"/>
        </w:rPr>
        <w:t> </w:t>
      </w:r>
      <w:r>
        <w:rPr>
          <w:color w:val="231F1F"/>
          <w:w w:val="105"/>
        </w:rPr>
        <w:t>con</w:t>
      </w:r>
      <w:r>
        <w:rPr>
          <w:color w:val="231F1F"/>
          <w:spacing w:val="31"/>
          <w:w w:val="105"/>
        </w:rPr>
        <w:t> </w:t>
      </w:r>
      <w:r>
        <w:rPr>
          <w:color w:val="231F1F"/>
          <w:w w:val="105"/>
        </w:rPr>
        <w:t>una</w:t>
      </w:r>
      <w:r>
        <w:rPr>
          <w:color w:val="231F1F"/>
          <w:spacing w:val="31"/>
          <w:w w:val="105"/>
        </w:rPr>
        <w:t> </w:t>
      </w:r>
      <w:r>
        <w:rPr>
          <w:color w:val="231F1F"/>
          <w:w w:val="105"/>
        </w:rPr>
        <w:t>dosis</w:t>
      </w:r>
      <w:r>
        <w:rPr>
          <w:color w:val="231F1F"/>
          <w:spacing w:val="31"/>
          <w:w w:val="105"/>
        </w:rPr>
        <w:t> </w:t>
      </w:r>
      <w:r>
        <w:rPr>
          <w:color w:val="231F1F"/>
          <w:w w:val="105"/>
        </w:rPr>
        <w:t>de</w:t>
      </w:r>
      <w:r>
        <w:rPr>
          <w:color w:val="231F1F"/>
          <w:spacing w:val="31"/>
          <w:w w:val="105"/>
        </w:rPr>
        <w:t> </w:t>
      </w:r>
      <w:r>
        <w:rPr>
          <w:color w:val="231F1F"/>
          <w:w w:val="105"/>
        </w:rPr>
        <w:t>5</w:t>
      </w:r>
      <w:r>
        <w:rPr>
          <w:color w:val="231F1F"/>
          <w:spacing w:val="31"/>
          <w:w w:val="105"/>
        </w:rPr>
        <w:t> </w:t>
      </w:r>
      <w:r>
        <w:rPr>
          <w:color w:val="231F1F"/>
          <w:w w:val="105"/>
        </w:rPr>
        <w:t>UI</w:t>
      </w:r>
    </w:p>
    <w:p>
      <w:pPr>
        <w:pStyle w:val="BodyText"/>
        <w:spacing w:line="249" w:lineRule="auto" w:before="11"/>
        <w:ind w:left="283" w:right="1366"/>
        <w:jc w:val="both"/>
      </w:pPr>
      <w:r>
        <w:rPr>
          <w:color w:val="231F1F"/>
          <w:w w:val="105"/>
        </w:rPr>
        <w:t>o lo que es lo mismo: el uso de 10 UI de oxitocina sola muestra un efecto más próximo a los alcaloides ergotínicos+oxitocina en la reducción de la HPP que el</w:t>
      </w:r>
      <w:r>
        <w:rPr>
          <w:color w:val="231F1F"/>
          <w:spacing w:val="33"/>
          <w:w w:val="105"/>
        </w:rPr>
        <w:t> </w:t>
      </w:r>
      <w:r>
        <w:rPr>
          <w:color w:val="231F1F"/>
          <w:w w:val="105"/>
        </w:rPr>
        <w:t>empleo</w:t>
      </w:r>
      <w:r>
        <w:rPr>
          <w:color w:val="231F1F"/>
          <w:spacing w:val="35"/>
          <w:w w:val="105"/>
        </w:rPr>
        <w:t> </w:t>
      </w:r>
      <w:r>
        <w:rPr>
          <w:color w:val="231F1F"/>
          <w:w w:val="105"/>
        </w:rPr>
        <w:t>de</w:t>
      </w:r>
      <w:r>
        <w:rPr>
          <w:color w:val="231F1F"/>
          <w:spacing w:val="33"/>
          <w:w w:val="105"/>
        </w:rPr>
        <w:t> </w:t>
      </w:r>
      <w:r>
        <w:rPr>
          <w:color w:val="231F1F"/>
          <w:w w:val="105"/>
        </w:rPr>
        <w:t>5</w:t>
      </w:r>
      <w:r>
        <w:rPr>
          <w:color w:val="231F1F"/>
          <w:spacing w:val="35"/>
          <w:w w:val="105"/>
        </w:rPr>
        <w:t> </w:t>
      </w:r>
      <w:r>
        <w:rPr>
          <w:color w:val="231F1F"/>
          <w:w w:val="105"/>
        </w:rPr>
        <w:t>UI</w:t>
      </w:r>
      <w:r>
        <w:rPr>
          <w:color w:val="231F1F"/>
          <w:spacing w:val="33"/>
          <w:w w:val="105"/>
        </w:rPr>
        <w:t> </w:t>
      </w:r>
      <w:r>
        <w:rPr>
          <w:color w:val="231F1F"/>
          <w:w w:val="105"/>
        </w:rPr>
        <w:t>de</w:t>
      </w:r>
      <w:r>
        <w:rPr>
          <w:color w:val="231F1F"/>
          <w:spacing w:val="34"/>
          <w:w w:val="105"/>
        </w:rPr>
        <w:t> </w:t>
      </w:r>
      <w:r>
        <w:rPr>
          <w:color w:val="231F1F"/>
          <w:w w:val="105"/>
        </w:rPr>
        <w:t>oxitocina</w:t>
      </w:r>
      <w:r>
        <w:rPr>
          <w:color w:val="231F1F"/>
          <w:spacing w:val="33"/>
          <w:w w:val="105"/>
        </w:rPr>
        <w:t> </w:t>
      </w:r>
      <w:r>
        <w:rPr>
          <w:color w:val="231F1F"/>
          <w:w w:val="105"/>
        </w:rPr>
        <w:t>sola.</w:t>
      </w:r>
      <w:r>
        <w:rPr>
          <w:color w:val="231F1F"/>
          <w:spacing w:val="33"/>
          <w:w w:val="105"/>
        </w:rPr>
        <w:t> </w:t>
      </w:r>
      <w:r>
        <w:rPr>
          <w:color w:val="231F1F"/>
          <w:w w:val="105"/>
        </w:rPr>
        <w:t>En</w:t>
      </w:r>
      <w:r>
        <w:rPr>
          <w:color w:val="231F1F"/>
          <w:spacing w:val="35"/>
          <w:w w:val="105"/>
        </w:rPr>
        <w:t> </w:t>
      </w:r>
      <w:r>
        <w:rPr>
          <w:color w:val="231F1F"/>
          <w:w w:val="105"/>
        </w:rPr>
        <w:t>cuanto</w:t>
      </w:r>
      <w:r>
        <w:rPr>
          <w:color w:val="231F1F"/>
          <w:spacing w:val="34"/>
          <w:w w:val="105"/>
        </w:rPr>
        <w:t> </w:t>
      </w:r>
      <w:r>
        <w:rPr>
          <w:color w:val="231F1F"/>
          <w:w w:val="105"/>
        </w:rPr>
        <w:t>a</w:t>
      </w:r>
      <w:r>
        <w:rPr>
          <w:color w:val="231F1F"/>
          <w:spacing w:val="35"/>
          <w:w w:val="105"/>
        </w:rPr>
        <w:t> </w:t>
      </w:r>
      <w:r>
        <w:rPr>
          <w:color w:val="231F1F"/>
          <w:w w:val="105"/>
        </w:rPr>
        <w:t>la</w:t>
      </w:r>
      <w:r>
        <w:rPr>
          <w:color w:val="231F1F"/>
          <w:spacing w:val="34"/>
          <w:w w:val="105"/>
        </w:rPr>
        <w:t> </w:t>
      </w:r>
      <w:r>
        <w:rPr>
          <w:color w:val="231F1F"/>
          <w:w w:val="105"/>
        </w:rPr>
        <w:t>HPP</w:t>
      </w:r>
      <w:r>
        <w:rPr>
          <w:color w:val="231F1F"/>
          <w:spacing w:val="35"/>
          <w:w w:val="105"/>
        </w:rPr>
        <w:t> </w:t>
      </w:r>
      <w:r>
        <w:rPr>
          <w:color w:val="231F1F"/>
          <w:w w:val="105"/>
        </w:rPr>
        <w:t>severa</w:t>
      </w:r>
      <w:r>
        <w:rPr>
          <w:color w:val="231F1F"/>
          <w:spacing w:val="32"/>
          <w:w w:val="105"/>
        </w:rPr>
        <w:t> </w:t>
      </w:r>
      <w:r>
        <w:rPr>
          <w:color w:val="231F1F"/>
          <w:w w:val="105"/>
        </w:rPr>
        <w:t>(pérdidas</w:t>
      </w:r>
    </w:p>
    <w:p>
      <w:pPr>
        <w:pStyle w:val="BodyText"/>
        <w:spacing w:before="3"/>
        <w:ind w:left="283"/>
        <w:jc w:val="both"/>
      </w:pPr>
      <w:r>
        <w:rPr>
          <w:color w:val="231F1F"/>
          <w:w w:val="105"/>
        </w:rPr>
        <w:t>&gt;1000</w:t>
      </w:r>
      <w:r>
        <w:rPr>
          <w:color w:val="231F1F"/>
          <w:spacing w:val="-8"/>
          <w:w w:val="105"/>
        </w:rPr>
        <w:t> </w:t>
      </w:r>
      <w:r>
        <w:rPr>
          <w:color w:val="231F1F"/>
          <w:w w:val="105"/>
        </w:rPr>
        <w:t>ml)</w:t>
      </w:r>
      <w:r>
        <w:rPr>
          <w:color w:val="231F1F"/>
          <w:spacing w:val="-7"/>
          <w:w w:val="105"/>
        </w:rPr>
        <w:t> </w:t>
      </w:r>
      <w:r>
        <w:rPr>
          <w:color w:val="231F1F"/>
          <w:w w:val="105"/>
        </w:rPr>
        <w:t>ninguna</w:t>
      </w:r>
      <w:r>
        <w:rPr>
          <w:color w:val="231F1F"/>
          <w:spacing w:val="-7"/>
          <w:w w:val="105"/>
        </w:rPr>
        <w:t> </w:t>
      </w:r>
      <w:r>
        <w:rPr>
          <w:color w:val="231F1F"/>
          <w:w w:val="105"/>
        </w:rPr>
        <w:t>dosis</w:t>
      </w:r>
      <w:r>
        <w:rPr>
          <w:color w:val="231F1F"/>
          <w:spacing w:val="-6"/>
          <w:w w:val="105"/>
        </w:rPr>
        <w:t> </w:t>
      </w:r>
      <w:r>
        <w:rPr>
          <w:color w:val="231F1F"/>
          <w:w w:val="105"/>
        </w:rPr>
        <w:t>mostró</w:t>
      </w:r>
      <w:r>
        <w:rPr>
          <w:color w:val="231F1F"/>
          <w:spacing w:val="-6"/>
          <w:w w:val="105"/>
        </w:rPr>
        <w:t> </w:t>
      </w:r>
      <w:r>
        <w:rPr>
          <w:color w:val="231F1F"/>
          <w:w w:val="105"/>
        </w:rPr>
        <w:t>diferencias</w:t>
      </w:r>
      <w:r>
        <w:rPr>
          <w:color w:val="231F1F"/>
          <w:spacing w:val="-7"/>
          <w:w w:val="105"/>
        </w:rPr>
        <w:t> </w:t>
      </w:r>
      <w:r>
        <w:rPr>
          <w:color w:val="231F1F"/>
          <w:spacing w:val="-2"/>
          <w:w w:val="105"/>
        </w:rPr>
        <w:t>significativa.</w:t>
      </w:r>
    </w:p>
    <w:p>
      <w:pPr>
        <w:pStyle w:val="BodyText"/>
        <w:tabs>
          <w:tab w:pos="7791" w:val="left" w:leader="none"/>
          <w:tab w:pos="7989" w:val="left" w:leader="none"/>
          <w:tab w:pos="8114" w:val="left" w:leader="none"/>
        </w:tabs>
        <w:spacing w:before="116"/>
        <w:ind w:left="283" w:right="312" w:firstLine="453"/>
        <w:rPr>
          <w:rFonts w:ascii="Arial MT" w:hAnsi="Arial MT"/>
          <w:position w:val="8"/>
          <w:sz w:val="18"/>
        </w:rPr>
      </w:pPr>
      <w:r>
        <w:rPr>
          <w:color w:val="231F1F"/>
        </w:rPr>
        <w:t>Sin embargo, se encuentra evidencia de mayores complicaciones mater-</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nas en el grupo combinado ergometrina+oxitocina, como la elevación de</w:t>
      </w:r>
      <w:r>
        <w:rPr>
          <w:color w:val="231F1F"/>
        </w:rPr>
        <w:tab/>
        <w:tab/>
      </w:r>
      <w:r>
        <w:rPr>
          <w:rFonts w:ascii="Arial MT" w:hAnsi="Arial MT"/>
          <w:color w:val="231F1F"/>
          <w:spacing w:val="-4"/>
          <w:w w:val="105"/>
          <w:position w:val="4"/>
          <w:sz w:val="18"/>
        </w:rPr>
        <w:t>ECAs </w:t>
      </w:r>
      <w:r>
        <w:rPr>
          <w:color w:val="231F1F"/>
          <w:w w:val="105"/>
        </w:rPr>
        <w:t>presión diastólica: RR 2,40 [IC 95% 1,58 a 3,64] en 4 estudios con 7.486, vó-</w:t>
      </w:r>
      <w:r>
        <w:rPr>
          <w:color w:val="231F1F"/>
        </w:rPr>
        <w:tab/>
        <w:tab/>
        <w:tab/>
      </w:r>
      <w:r>
        <w:rPr>
          <w:rFonts w:ascii="Arial MT" w:hAnsi="Arial MT"/>
          <w:color w:val="231F1F"/>
          <w:spacing w:val="-6"/>
          <w:w w:val="105"/>
          <w:position w:val="8"/>
          <w:sz w:val="18"/>
        </w:rPr>
        <w:t>1+</w:t>
      </w:r>
    </w:p>
    <w:p>
      <w:pPr>
        <w:pStyle w:val="BodyText"/>
        <w:spacing w:before="20"/>
        <w:ind w:left="283"/>
      </w:pPr>
      <w:r>
        <w:rPr>
          <w:color w:val="231F1F"/>
        </w:rPr>
        <w:t>mitos:</w:t>
      </w:r>
      <w:r>
        <w:rPr>
          <w:color w:val="231F1F"/>
          <w:spacing w:val="-2"/>
        </w:rPr>
        <w:t> </w:t>
      </w:r>
      <w:r>
        <w:rPr>
          <w:color w:val="231F1F"/>
        </w:rPr>
        <w:t>RR 4,92 [IC</w:t>
      </w:r>
      <w:r>
        <w:rPr>
          <w:color w:val="231F1F"/>
          <w:spacing w:val="1"/>
        </w:rPr>
        <w:t> </w:t>
      </w:r>
      <w:r>
        <w:rPr>
          <w:color w:val="231F1F"/>
        </w:rPr>
        <w:t>95% 4,03</w:t>
      </w:r>
      <w:r>
        <w:rPr>
          <w:color w:val="231F1F"/>
          <w:spacing w:val="-1"/>
        </w:rPr>
        <w:t> </w:t>
      </w:r>
      <w:r>
        <w:rPr>
          <w:color w:val="231F1F"/>
        </w:rPr>
        <w:t>a 6,00]) en 3 estudios con 5.458 mujeres,</w:t>
      </w:r>
      <w:r>
        <w:rPr>
          <w:color w:val="231F1F"/>
          <w:spacing w:val="-1"/>
        </w:rPr>
        <w:t> </w:t>
      </w:r>
      <w:r>
        <w:rPr>
          <w:color w:val="231F1F"/>
          <w:spacing w:val="-2"/>
        </w:rPr>
        <w:t>náuseas;</w:t>
      </w:r>
    </w:p>
    <w:p>
      <w:pPr>
        <w:pStyle w:val="BodyText"/>
        <w:spacing w:before="6"/>
        <w:ind w:left="283"/>
      </w:pPr>
      <w:r>
        <w:rPr>
          <w:color w:val="231F1F"/>
          <w:w w:val="105"/>
        </w:rPr>
        <w:t>RR</w:t>
      </w:r>
      <w:r>
        <w:rPr>
          <w:color w:val="231F1F"/>
          <w:spacing w:val="-2"/>
          <w:w w:val="105"/>
        </w:rPr>
        <w:t> </w:t>
      </w:r>
      <w:r>
        <w:rPr>
          <w:color w:val="231F1F"/>
          <w:w w:val="105"/>
        </w:rPr>
        <w:t>4,07</w:t>
      </w:r>
      <w:r>
        <w:rPr>
          <w:color w:val="231F1F"/>
          <w:spacing w:val="-1"/>
          <w:w w:val="105"/>
        </w:rPr>
        <w:t> </w:t>
      </w:r>
      <w:r>
        <w:rPr>
          <w:color w:val="231F1F"/>
          <w:w w:val="105"/>
        </w:rPr>
        <w:t>[IC 95%</w:t>
      </w:r>
      <w:r>
        <w:rPr>
          <w:color w:val="231F1F"/>
          <w:spacing w:val="-1"/>
          <w:w w:val="105"/>
        </w:rPr>
        <w:t> </w:t>
      </w:r>
      <w:r>
        <w:rPr>
          <w:color w:val="231F1F"/>
          <w:w w:val="105"/>
        </w:rPr>
        <w:t>3,43 a</w:t>
      </w:r>
      <w:r>
        <w:rPr>
          <w:color w:val="231F1F"/>
          <w:spacing w:val="-2"/>
          <w:w w:val="105"/>
        </w:rPr>
        <w:t> </w:t>
      </w:r>
      <w:r>
        <w:rPr>
          <w:color w:val="231F1F"/>
          <w:w w:val="105"/>
        </w:rPr>
        <w:t>4,84]</w:t>
      </w:r>
      <w:r>
        <w:rPr>
          <w:color w:val="231F1F"/>
          <w:spacing w:val="-1"/>
          <w:w w:val="105"/>
        </w:rPr>
        <w:t> </w:t>
      </w:r>
      <w:r>
        <w:rPr>
          <w:color w:val="231F1F"/>
          <w:w w:val="105"/>
        </w:rPr>
        <w:t>en</w:t>
      </w:r>
      <w:r>
        <w:rPr>
          <w:color w:val="231F1F"/>
          <w:spacing w:val="-2"/>
          <w:w w:val="105"/>
        </w:rPr>
        <w:t> </w:t>
      </w:r>
      <w:r>
        <w:rPr>
          <w:color w:val="231F1F"/>
          <w:w w:val="105"/>
        </w:rPr>
        <w:t>3</w:t>
      </w:r>
      <w:r>
        <w:rPr>
          <w:color w:val="231F1F"/>
          <w:spacing w:val="1"/>
          <w:w w:val="105"/>
        </w:rPr>
        <w:t> </w:t>
      </w:r>
      <w:r>
        <w:rPr>
          <w:color w:val="231F1F"/>
          <w:w w:val="105"/>
        </w:rPr>
        <w:t>estudios</w:t>
      </w:r>
      <w:r>
        <w:rPr>
          <w:color w:val="231F1F"/>
          <w:spacing w:val="-1"/>
          <w:w w:val="105"/>
        </w:rPr>
        <w:t> </w:t>
      </w:r>
      <w:r>
        <w:rPr>
          <w:color w:val="231F1F"/>
          <w:w w:val="105"/>
        </w:rPr>
        <w:t>con 5.458</w:t>
      </w:r>
      <w:r>
        <w:rPr>
          <w:color w:val="231F1F"/>
          <w:spacing w:val="-2"/>
          <w:w w:val="105"/>
        </w:rPr>
        <w:t> </w:t>
      </w:r>
      <w:r>
        <w:rPr>
          <w:color w:val="231F1F"/>
          <w:w w:val="105"/>
        </w:rPr>
        <w:t>mujeres y</w:t>
      </w:r>
      <w:r>
        <w:rPr>
          <w:color w:val="231F1F"/>
          <w:spacing w:val="-1"/>
          <w:w w:val="105"/>
        </w:rPr>
        <w:t> </w:t>
      </w:r>
      <w:r>
        <w:rPr>
          <w:color w:val="231F1F"/>
          <w:w w:val="105"/>
        </w:rPr>
        <w:t>vómitos</w:t>
      </w:r>
      <w:r>
        <w:rPr>
          <w:color w:val="231F1F"/>
          <w:spacing w:val="-1"/>
          <w:w w:val="105"/>
        </w:rPr>
        <w:t> </w:t>
      </w:r>
      <w:r>
        <w:rPr>
          <w:color w:val="231F1F"/>
          <w:spacing w:val="-5"/>
          <w:w w:val="105"/>
        </w:rPr>
        <w:t>y/o</w:t>
      </w:r>
    </w:p>
    <w:p>
      <w:pPr>
        <w:pStyle w:val="BodyText"/>
        <w:spacing w:before="26"/>
        <w:ind w:left="283"/>
      </w:pPr>
      <w:r>
        <w:rPr>
          <w:color w:val="231F1F"/>
        </w:rPr>
        <w:t>náuseas):</w:t>
      </w:r>
      <w:r>
        <w:rPr>
          <w:color w:val="231F1F"/>
          <w:spacing w:val="14"/>
        </w:rPr>
        <w:t> </w:t>
      </w:r>
      <w:r>
        <w:rPr>
          <w:color w:val="231F1F"/>
        </w:rPr>
        <w:t>RR</w:t>
      </w:r>
      <w:r>
        <w:rPr>
          <w:color w:val="231F1F"/>
          <w:spacing w:val="15"/>
        </w:rPr>
        <w:t> </w:t>
      </w:r>
      <w:r>
        <w:rPr>
          <w:color w:val="231F1F"/>
        </w:rPr>
        <w:t>5,71</w:t>
      </w:r>
      <w:r>
        <w:rPr>
          <w:color w:val="231F1F"/>
          <w:spacing w:val="15"/>
        </w:rPr>
        <w:t> </w:t>
      </w:r>
      <w:r>
        <w:rPr>
          <w:color w:val="231F1F"/>
        </w:rPr>
        <w:t>[IC</w:t>
      </w:r>
      <w:r>
        <w:rPr>
          <w:color w:val="231F1F"/>
          <w:spacing w:val="15"/>
        </w:rPr>
        <w:t> </w:t>
      </w:r>
      <w:r>
        <w:rPr>
          <w:color w:val="231F1F"/>
        </w:rPr>
        <w:t>95%</w:t>
      </w:r>
      <w:r>
        <w:rPr>
          <w:color w:val="231F1F"/>
          <w:spacing w:val="15"/>
        </w:rPr>
        <w:t> </w:t>
      </w:r>
      <w:r>
        <w:rPr>
          <w:color w:val="231F1F"/>
        </w:rPr>
        <w:t>4,97</w:t>
      </w:r>
      <w:r>
        <w:rPr>
          <w:color w:val="231F1F"/>
          <w:spacing w:val="15"/>
        </w:rPr>
        <w:t> </w:t>
      </w:r>
      <w:r>
        <w:rPr>
          <w:color w:val="231F1F"/>
        </w:rPr>
        <w:t>a</w:t>
      </w:r>
      <w:r>
        <w:rPr>
          <w:color w:val="231F1F"/>
          <w:spacing w:val="15"/>
        </w:rPr>
        <w:t> </w:t>
      </w:r>
      <w:r>
        <w:rPr>
          <w:color w:val="231F1F"/>
        </w:rPr>
        <w:t>6,57])</w:t>
      </w:r>
      <w:r>
        <w:rPr>
          <w:color w:val="231F1F"/>
          <w:spacing w:val="14"/>
        </w:rPr>
        <w:t> </w:t>
      </w:r>
      <w:r>
        <w:rPr>
          <w:color w:val="231F1F"/>
        </w:rPr>
        <w:t>en</w:t>
      </w:r>
      <w:r>
        <w:rPr>
          <w:color w:val="231F1F"/>
          <w:spacing w:val="15"/>
        </w:rPr>
        <w:t> </w:t>
      </w:r>
      <w:r>
        <w:rPr>
          <w:color w:val="231F1F"/>
        </w:rPr>
        <w:t>4</w:t>
      </w:r>
      <w:r>
        <w:rPr>
          <w:color w:val="231F1F"/>
          <w:spacing w:val="15"/>
        </w:rPr>
        <w:t> </w:t>
      </w:r>
      <w:r>
        <w:rPr>
          <w:color w:val="231F1F"/>
        </w:rPr>
        <w:t>estudios</w:t>
      </w:r>
      <w:r>
        <w:rPr>
          <w:color w:val="231F1F"/>
          <w:spacing w:val="15"/>
        </w:rPr>
        <w:t> </w:t>
      </w:r>
      <w:r>
        <w:rPr>
          <w:color w:val="231F1F"/>
        </w:rPr>
        <w:t>con</w:t>
      </w:r>
      <w:r>
        <w:rPr>
          <w:color w:val="231F1F"/>
          <w:spacing w:val="15"/>
        </w:rPr>
        <w:t> </w:t>
      </w:r>
      <w:r>
        <w:rPr>
          <w:color w:val="231F1F"/>
        </w:rPr>
        <w:t>7.486</w:t>
      </w:r>
      <w:r>
        <w:rPr>
          <w:color w:val="231F1F"/>
          <w:spacing w:val="17"/>
        </w:rPr>
        <w:t> </w:t>
      </w:r>
      <w:r>
        <w:rPr>
          <w:color w:val="231F1F"/>
          <w:spacing w:val="-2"/>
        </w:rPr>
        <w:t>mujeres.</w:t>
      </w:r>
    </w:p>
    <w:p>
      <w:pPr>
        <w:pStyle w:val="BodyText"/>
        <w:spacing w:after="0"/>
        <w:sectPr>
          <w:pgSz w:w="11900" w:h="16840"/>
          <w:pgMar w:header="0" w:footer="622" w:top="1560" w:bottom="820" w:left="1417" w:right="1559"/>
        </w:sectPr>
      </w:pPr>
    </w:p>
    <w:p>
      <w:pPr>
        <w:pStyle w:val="BodyText"/>
        <w:spacing w:line="261" w:lineRule="auto" w:before="72"/>
        <w:ind w:left="283" w:firstLine="453"/>
        <w:jc w:val="both"/>
      </w:pPr>
      <w:r>
        <w:rPr>
          <w:color w:val="231F1F"/>
        </w:rPr>
        <w:t>La</w:t>
      </w:r>
      <w:r>
        <w:rPr>
          <w:color w:val="231F1F"/>
          <w:spacing w:val="40"/>
        </w:rPr>
        <w:t> </w:t>
      </w:r>
      <w:r>
        <w:rPr>
          <w:color w:val="231F1F"/>
        </w:rPr>
        <w:t>comparación</w:t>
      </w:r>
      <w:r>
        <w:rPr>
          <w:color w:val="231F1F"/>
          <w:spacing w:val="40"/>
        </w:rPr>
        <w:t> </w:t>
      </w:r>
      <w:r>
        <w:rPr>
          <w:color w:val="231F1F"/>
        </w:rPr>
        <w:t>entre</w:t>
      </w:r>
      <w:r>
        <w:rPr>
          <w:color w:val="231F1F"/>
          <w:spacing w:val="40"/>
        </w:rPr>
        <w:t> </w:t>
      </w:r>
      <w:r>
        <w:rPr>
          <w:color w:val="231F1F"/>
        </w:rPr>
        <w:t>el</w:t>
      </w:r>
      <w:r>
        <w:rPr>
          <w:color w:val="231F1F"/>
          <w:spacing w:val="40"/>
        </w:rPr>
        <w:t> </w:t>
      </w:r>
      <w:r>
        <w:rPr>
          <w:color w:val="231F1F"/>
        </w:rPr>
        <w:t>uso</w:t>
      </w:r>
      <w:r>
        <w:rPr>
          <w:color w:val="231F1F"/>
          <w:spacing w:val="40"/>
        </w:rPr>
        <w:t> </w:t>
      </w:r>
      <w:r>
        <w:rPr>
          <w:color w:val="231F1F"/>
        </w:rPr>
        <w:t>de</w:t>
      </w:r>
      <w:r>
        <w:rPr>
          <w:color w:val="231F1F"/>
          <w:spacing w:val="40"/>
        </w:rPr>
        <w:t> </w:t>
      </w:r>
      <w:r>
        <w:rPr>
          <w:i/>
          <w:color w:val="231F1F"/>
        </w:rPr>
        <w:t>prostaglandinas frente a otros uterotó- nicos</w:t>
      </w:r>
      <w:r>
        <w:rPr>
          <w:i/>
          <w:color w:val="231F1F"/>
          <w:spacing w:val="32"/>
        </w:rPr>
        <w:t> </w:t>
      </w:r>
      <w:r>
        <w:rPr>
          <w:color w:val="231F1F"/>
        </w:rPr>
        <w:t>muestra</w:t>
      </w:r>
      <w:r>
        <w:rPr>
          <w:color w:val="231F1F"/>
          <w:spacing w:val="40"/>
        </w:rPr>
        <w:t> </w:t>
      </w:r>
      <w:r>
        <w:rPr>
          <w:color w:val="231F1F"/>
        </w:rPr>
        <w:t>que</w:t>
      </w:r>
      <w:r>
        <w:rPr>
          <w:color w:val="231F1F"/>
          <w:spacing w:val="40"/>
        </w:rPr>
        <w:t> </w:t>
      </w:r>
      <w:r>
        <w:rPr>
          <w:color w:val="231F1F"/>
        </w:rPr>
        <w:t>el</w:t>
      </w:r>
      <w:r>
        <w:rPr>
          <w:color w:val="231F1F"/>
          <w:spacing w:val="40"/>
        </w:rPr>
        <w:t> </w:t>
      </w:r>
      <w:r>
        <w:rPr>
          <w:color w:val="231F1F"/>
        </w:rPr>
        <w:t>uso</w:t>
      </w:r>
      <w:r>
        <w:rPr>
          <w:color w:val="231F1F"/>
          <w:spacing w:val="40"/>
        </w:rPr>
        <w:t> </w:t>
      </w:r>
      <w:r>
        <w:rPr>
          <w:color w:val="231F1F"/>
        </w:rPr>
        <w:t>de</w:t>
      </w:r>
      <w:r>
        <w:rPr>
          <w:color w:val="231F1F"/>
          <w:spacing w:val="40"/>
        </w:rPr>
        <w:t> </w:t>
      </w:r>
      <w:r>
        <w:rPr>
          <w:color w:val="231F1F"/>
        </w:rPr>
        <w:t>prostaglandinas</w:t>
      </w:r>
      <w:r>
        <w:rPr>
          <w:color w:val="231F1F"/>
          <w:spacing w:val="40"/>
        </w:rPr>
        <w:t> </w:t>
      </w:r>
      <w:r>
        <w:rPr>
          <w:color w:val="231F1F"/>
        </w:rPr>
        <w:t>fue</w:t>
      </w:r>
      <w:r>
        <w:rPr>
          <w:color w:val="231F1F"/>
          <w:spacing w:val="40"/>
        </w:rPr>
        <w:t> </w:t>
      </w:r>
      <w:r>
        <w:rPr>
          <w:color w:val="231F1F"/>
        </w:rPr>
        <w:t>menos</w:t>
      </w:r>
      <w:r>
        <w:rPr>
          <w:color w:val="231F1F"/>
          <w:spacing w:val="40"/>
        </w:rPr>
        <w:t> </w:t>
      </w:r>
      <w:r>
        <w:rPr>
          <w:color w:val="231F1F"/>
        </w:rPr>
        <w:t>efectivo</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reduc- ción</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hemorragia</w:t>
      </w:r>
      <w:r>
        <w:rPr>
          <w:color w:val="231F1F"/>
          <w:spacing w:val="40"/>
        </w:rPr>
        <w:t> </w:t>
      </w:r>
      <w:r>
        <w:rPr>
          <w:color w:val="231F1F"/>
        </w:rPr>
        <w:t>posparto:</w:t>
      </w:r>
      <w:r>
        <w:rPr>
          <w:color w:val="231F1F"/>
          <w:spacing w:val="40"/>
        </w:rPr>
        <w:t> </w:t>
      </w:r>
      <w:r>
        <w:rPr>
          <w:color w:val="231F1F"/>
        </w:rPr>
        <w:t>HPP</w:t>
      </w:r>
      <w:r>
        <w:rPr>
          <w:color w:val="231F1F"/>
          <w:spacing w:val="40"/>
        </w:rPr>
        <w:t> </w:t>
      </w:r>
      <w:r>
        <w:rPr>
          <w:color w:val="231F1F"/>
        </w:rPr>
        <w:t>(pérdida</w:t>
      </w:r>
      <w:r>
        <w:rPr>
          <w:color w:val="231F1F"/>
          <w:spacing w:val="40"/>
        </w:rPr>
        <w:t> </w:t>
      </w:r>
      <w:r>
        <w:rPr>
          <w:color w:val="231F1F"/>
        </w:rPr>
        <w:t>&gt;</w:t>
      </w:r>
      <w:r>
        <w:rPr>
          <w:color w:val="231F1F"/>
          <w:spacing w:val="40"/>
        </w:rPr>
        <w:t> </w:t>
      </w:r>
      <w:r>
        <w:rPr>
          <w:color w:val="231F1F"/>
        </w:rPr>
        <w:t>500</w:t>
      </w:r>
      <w:r>
        <w:rPr>
          <w:color w:val="231F1F"/>
          <w:spacing w:val="40"/>
        </w:rPr>
        <w:t> </w:t>
      </w:r>
      <w:r>
        <w:rPr>
          <w:color w:val="231F1F"/>
        </w:rPr>
        <w:t>ml)</w:t>
      </w:r>
      <w:r>
        <w:rPr>
          <w:color w:val="231F1F"/>
          <w:spacing w:val="40"/>
        </w:rPr>
        <w:t> </w:t>
      </w:r>
      <w:r>
        <w:rPr>
          <w:color w:val="231F1F"/>
        </w:rPr>
        <w:t>(21</w:t>
      </w:r>
      <w:r>
        <w:rPr>
          <w:color w:val="231F1F"/>
          <w:spacing w:val="40"/>
        </w:rPr>
        <w:t> </w:t>
      </w:r>
      <w:r>
        <w:rPr>
          <w:color w:val="231F1F"/>
        </w:rPr>
        <w:t>estudios):</w:t>
      </w:r>
      <w:r>
        <w:rPr>
          <w:color w:val="231F1F"/>
          <w:spacing w:val="40"/>
        </w:rPr>
        <w:t> </w:t>
      </w:r>
      <w:r>
        <w:rPr>
          <w:color w:val="231F1F"/>
        </w:rPr>
        <w:t>OR 1,49</w:t>
      </w:r>
      <w:r>
        <w:rPr>
          <w:color w:val="231F1F"/>
          <w:spacing w:val="22"/>
        </w:rPr>
        <w:t> </w:t>
      </w:r>
      <w:r>
        <w:rPr>
          <w:color w:val="231F1F"/>
        </w:rPr>
        <w:t>[IC</w:t>
      </w:r>
      <w:r>
        <w:rPr>
          <w:color w:val="231F1F"/>
          <w:spacing w:val="22"/>
        </w:rPr>
        <w:t> </w:t>
      </w:r>
      <w:r>
        <w:rPr>
          <w:color w:val="231F1F"/>
        </w:rPr>
        <w:t>95%</w:t>
      </w:r>
      <w:r>
        <w:rPr>
          <w:color w:val="231F1F"/>
          <w:spacing w:val="22"/>
        </w:rPr>
        <w:t> </w:t>
      </w:r>
      <w:r>
        <w:rPr>
          <w:color w:val="231F1F"/>
        </w:rPr>
        <w:t>1,39</w:t>
      </w:r>
      <w:r>
        <w:rPr>
          <w:color w:val="231F1F"/>
          <w:spacing w:val="23"/>
        </w:rPr>
        <w:t> </w:t>
      </w:r>
      <w:r>
        <w:rPr>
          <w:color w:val="231F1F"/>
        </w:rPr>
        <w:t>a</w:t>
      </w:r>
      <w:r>
        <w:rPr>
          <w:color w:val="231F1F"/>
          <w:spacing w:val="22"/>
        </w:rPr>
        <w:t> </w:t>
      </w:r>
      <w:r>
        <w:rPr>
          <w:color w:val="231F1F"/>
        </w:rPr>
        <w:t>1,59],</w:t>
      </w:r>
      <w:r>
        <w:rPr>
          <w:color w:val="231F1F"/>
          <w:spacing w:val="22"/>
        </w:rPr>
        <w:t> </w:t>
      </w:r>
      <w:r>
        <w:rPr>
          <w:color w:val="231F1F"/>
        </w:rPr>
        <w:t>y</w:t>
      </w:r>
      <w:r>
        <w:rPr>
          <w:color w:val="231F1F"/>
          <w:spacing w:val="22"/>
        </w:rPr>
        <w:t> </w:t>
      </w:r>
      <w:r>
        <w:rPr>
          <w:color w:val="231F1F"/>
        </w:rPr>
        <w:t>HPP</w:t>
      </w:r>
      <w:r>
        <w:rPr>
          <w:color w:val="231F1F"/>
          <w:spacing w:val="23"/>
        </w:rPr>
        <w:t> </w:t>
      </w:r>
      <w:r>
        <w:rPr>
          <w:color w:val="231F1F"/>
        </w:rPr>
        <w:t>severa</w:t>
      </w:r>
      <w:r>
        <w:rPr>
          <w:color w:val="231F1F"/>
          <w:spacing w:val="22"/>
        </w:rPr>
        <w:t> </w:t>
      </w:r>
      <w:r>
        <w:rPr>
          <w:color w:val="231F1F"/>
        </w:rPr>
        <w:t>(pérdida</w:t>
      </w:r>
      <w:r>
        <w:rPr>
          <w:color w:val="231F1F"/>
          <w:spacing w:val="24"/>
        </w:rPr>
        <w:t> </w:t>
      </w:r>
      <w:r>
        <w:rPr>
          <w:color w:val="231F1F"/>
        </w:rPr>
        <w:t>&gt;</w:t>
      </w:r>
      <w:r>
        <w:rPr>
          <w:color w:val="231F1F"/>
          <w:spacing w:val="22"/>
        </w:rPr>
        <w:t> </w:t>
      </w:r>
      <w:r>
        <w:rPr>
          <w:color w:val="231F1F"/>
        </w:rPr>
        <w:t>1000</w:t>
      </w:r>
      <w:r>
        <w:rPr>
          <w:color w:val="231F1F"/>
          <w:spacing w:val="23"/>
        </w:rPr>
        <w:t> </w:t>
      </w:r>
      <w:r>
        <w:rPr>
          <w:color w:val="231F1F"/>
        </w:rPr>
        <w:t>ml,</w:t>
      </w:r>
      <w:r>
        <w:rPr>
          <w:color w:val="231F1F"/>
          <w:spacing w:val="22"/>
        </w:rPr>
        <w:t> </w:t>
      </w:r>
      <w:r>
        <w:rPr>
          <w:color w:val="231F1F"/>
        </w:rPr>
        <w:t>16</w:t>
      </w:r>
      <w:r>
        <w:rPr>
          <w:color w:val="231F1F"/>
          <w:spacing w:val="22"/>
        </w:rPr>
        <w:t> </w:t>
      </w:r>
      <w:r>
        <w:rPr>
          <w:color w:val="231F1F"/>
        </w:rPr>
        <w:t>estudios)</w:t>
      </w:r>
      <w:r>
        <w:rPr>
          <w:color w:val="231F1F"/>
          <w:spacing w:val="22"/>
        </w:rPr>
        <w:t> </w:t>
      </w:r>
      <w:r>
        <w:rPr>
          <w:color w:val="231F1F"/>
        </w:rPr>
        <w:t>OR</w:t>
      </w:r>
    </w:p>
    <w:p>
      <w:pPr>
        <w:pStyle w:val="BodyText"/>
        <w:spacing w:line="240" w:lineRule="exact"/>
        <w:ind w:left="283"/>
        <w:jc w:val="both"/>
      </w:pPr>
      <w:r>
        <w:rPr>
          <w:color w:val="231F1F"/>
          <w:w w:val="105"/>
        </w:rPr>
        <w:t>1,31</w:t>
      </w:r>
      <w:r>
        <w:rPr>
          <w:color w:val="231F1F"/>
          <w:spacing w:val="12"/>
          <w:w w:val="105"/>
        </w:rPr>
        <w:t> </w:t>
      </w:r>
      <w:r>
        <w:rPr>
          <w:color w:val="231F1F"/>
          <w:w w:val="105"/>
        </w:rPr>
        <w:t>[IC</w:t>
      </w:r>
      <w:r>
        <w:rPr>
          <w:color w:val="231F1F"/>
          <w:spacing w:val="12"/>
          <w:w w:val="105"/>
        </w:rPr>
        <w:t> </w:t>
      </w:r>
      <w:r>
        <w:rPr>
          <w:color w:val="231F1F"/>
          <w:w w:val="105"/>
        </w:rPr>
        <w:t>95%</w:t>
      </w:r>
      <w:r>
        <w:rPr>
          <w:color w:val="231F1F"/>
          <w:spacing w:val="14"/>
          <w:w w:val="105"/>
        </w:rPr>
        <w:t> </w:t>
      </w:r>
      <w:r>
        <w:rPr>
          <w:color w:val="231F1F"/>
          <w:w w:val="105"/>
        </w:rPr>
        <w:t>1,14</w:t>
      </w:r>
      <w:r>
        <w:rPr>
          <w:color w:val="231F1F"/>
          <w:spacing w:val="13"/>
          <w:w w:val="105"/>
        </w:rPr>
        <w:t> </w:t>
      </w:r>
      <w:r>
        <w:rPr>
          <w:color w:val="231F1F"/>
          <w:w w:val="105"/>
        </w:rPr>
        <w:t>a</w:t>
      </w:r>
      <w:r>
        <w:rPr>
          <w:color w:val="231F1F"/>
          <w:spacing w:val="14"/>
          <w:w w:val="105"/>
        </w:rPr>
        <w:t> </w:t>
      </w:r>
      <w:r>
        <w:rPr>
          <w:color w:val="231F1F"/>
          <w:w w:val="105"/>
        </w:rPr>
        <w:t>1,50].</w:t>
      </w:r>
      <w:r>
        <w:rPr>
          <w:color w:val="231F1F"/>
          <w:spacing w:val="10"/>
          <w:w w:val="105"/>
        </w:rPr>
        <w:t> </w:t>
      </w:r>
      <w:r>
        <w:rPr>
          <w:color w:val="231F1F"/>
          <w:w w:val="105"/>
        </w:rPr>
        <w:t>Además,</w:t>
      </w:r>
      <w:r>
        <w:rPr>
          <w:color w:val="231F1F"/>
          <w:spacing w:val="12"/>
          <w:w w:val="105"/>
        </w:rPr>
        <w:t> </w:t>
      </w:r>
      <w:r>
        <w:rPr>
          <w:color w:val="231F1F"/>
          <w:w w:val="105"/>
        </w:rPr>
        <w:t>el</w:t>
      </w:r>
      <w:r>
        <w:rPr>
          <w:color w:val="231F1F"/>
          <w:spacing w:val="11"/>
          <w:w w:val="105"/>
        </w:rPr>
        <w:t> </w:t>
      </w:r>
      <w:r>
        <w:rPr>
          <w:color w:val="231F1F"/>
          <w:w w:val="105"/>
        </w:rPr>
        <w:t>grupo</w:t>
      </w:r>
      <w:r>
        <w:rPr>
          <w:color w:val="231F1F"/>
          <w:spacing w:val="13"/>
          <w:w w:val="105"/>
        </w:rPr>
        <w:t> </w:t>
      </w:r>
      <w:r>
        <w:rPr>
          <w:color w:val="231F1F"/>
          <w:w w:val="105"/>
        </w:rPr>
        <w:t>con</w:t>
      </w:r>
      <w:r>
        <w:rPr>
          <w:color w:val="231F1F"/>
          <w:spacing w:val="12"/>
          <w:w w:val="105"/>
        </w:rPr>
        <w:t> </w:t>
      </w:r>
      <w:r>
        <w:rPr>
          <w:color w:val="231F1F"/>
          <w:w w:val="105"/>
        </w:rPr>
        <w:t>prostaglandinas</w:t>
      </w:r>
      <w:r>
        <w:rPr>
          <w:color w:val="231F1F"/>
          <w:spacing w:val="12"/>
          <w:w w:val="105"/>
        </w:rPr>
        <w:t> </w:t>
      </w:r>
      <w:r>
        <w:rPr>
          <w:color w:val="231F1F"/>
          <w:spacing w:val="-2"/>
          <w:w w:val="105"/>
        </w:rPr>
        <w:t>presentó</w:t>
      </w:r>
    </w:p>
    <w:p>
      <w:pPr>
        <w:pStyle w:val="BodyText"/>
        <w:spacing w:before="11"/>
        <w:ind w:left="283"/>
      </w:pPr>
      <w:r>
        <w:rPr>
          <w:color w:val="231F1F"/>
          <w:w w:val="105"/>
        </w:rPr>
        <w:t>más</w:t>
      </w:r>
      <w:r>
        <w:rPr>
          <w:color w:val="231F1F"/>
          <w:spacing w:val="5"/>
          <w:w w:val="105"/>
        </w:rPr>
        <w:t> </w:t>
      </w:r>
      <w:r>
        <w:rPr>
          <w:color w:val="231F1F"/>
          <w:w w:val="105"/>
        </w:rPr>
        <w:t>efectos</w:t>
      </w:r>
      <w:r>
        <w:rPr>
          <w:color w:val="231F1F"/>
          <w:spacing w:val="7"/>
          <w:w w:val="105"/>
        </w:rPr>
        <w:t> </w:t>
      </w:r>
      <w:r>
        <w:rPr>
          <w:color w:val="231F1F"/>
          <w:w w:val="105"/>
        </w:rPr>
        <w:t>adversos:</w:t>
      </w:r>
      <w:r>
        <w:rPr>
          <w:color w:val="231F1F"/>
          <w:spacing w:val="6"/>
          <w:w w:val="105"/>
        </w:rPr>
        <w:t> </w:t>
      </w:r>
      <w:r>
        <w:rPr>
          <w:color w:val="231F1F"/>
          <w:w w:val="105"/>
        </w:rPr>
        <w:t>vómitos</w:t>
      </w:r>
      <w:r>
        <w:rPr>
          <w:color w:val="231F1F"/>
          <w:spacing w:val="7"/>
          <w:w w:val="105"/>
        </w:rPr>
        <w:t> </w:t>
      </w:r>
      <w:r>
        <w:rPr>
          <w:color w:val="231F1F"/>
          <w:w w:val="105"/>
        </w:rPr>
        <w:t>(19</w:t>
      </w:r>
      <w:r>
        <w:rPr>
          <w:color w:val="231F1F"/>
          <w:spacing w:val="7"/>
          <w:w w:val="105"/>
        </w:rPr>
        <w:t> </w:t>
      </w:r>
      <w:r>
        <w:rPr>
          <w:color w:val="231F1F"/>
          <w:w w:val="105"/>
        </w:rPr>
        <w:t>estudios):</w:t>
      </w:r>
      <w:r>
        <w:rPr>
          <w:color w:val="231F1F"/>
          <w:spacing w:val="6"/>
          <w:w w:val="105"/>
        </w:rPr>
        <w:t> </w:t>
      </w:r>
      <w:r>
        <w:rPr>
          <w:color w:val="231F1F"/>
          <w:w w:val="105"/>
        </w:rPr>
        <w:t>OR</w:t>
      </w:r>
      <w:r>
        <w:rPr>
          <w:color w:val="231F1F"/>
          <w:spacing w:val="7"/>
          <w:w w:val="105"/>
        </w:rPr>
        <w:t> </w:t>
      </w:r>
      <w:r>
        <w:rPr>
          <w:color w:val="231F1F"/>
          <w:w w:val="105"/>
        </w:rPr>
        <w:t>1,27</w:t>
      </w:r>
      <w:r>
        <w:rPr>
          <w:color w:val="231F1F"/>
          <w:spacing w:val="6"/>
          <w:w w:val="105"/>
        </w:rPr>
        <w:t> </w:t>
      </w:r>
      <w:r>
        <w:rPr>
          <w:color w:val="231F1F"/>
          <w:w w:val="105"/>
        </w:rPr>
        <w:t>[IC</w:t>
      </w:r>
      <w:r>
        <w:rPr>
          <w:color w:val="231F1F"/>
          <w:spacing w:val="6"/>
          <w:w w:val="105"/>
        </w:rPr>
        <w:t> </w:t>
      </w:r>
      <w:r>
        <w:rPr>
          <w:color w:val="231F1F"/>
          <w:w w:val="105"/>
        </w:rPr>
        <w:t>95%</w:t>
      </w:r>
      <w:r>
        <w:rPr>
          <w:color w:val="231F1F"/>
          <w:spacing w:val="7"/>
          <w:w w:val="105"/>
        </w:rPr>
        <w:t> </w:t>
      </w:r>
      <w:r>
        <w:rPr>
          <w:color w:val="231F1F"/>
          <w:w w:val="105"/>
        </w:rPr>
        <w:t>1,04</w:t>
      </w:r>
      <w:r>
        <w:rPr>
          <w:color w:val="231F1F"/>
          <w:spacing w:val="6"/>
          <w:w w:val="105"/>
        </w:rPr>
        <w:t> </w:t>
      </w:r>
      <w:r>
        <w:rPr>
          <w:color w:val="231F1F"/>
          <w:w w:val="105"/>
        </w:rPr>
        <w:t>a</w:t>
      </w:r>
      <w:r>
        <w:rPr>
          <w:color w:val="231F1F"/>
          <w:spacing w:val="6"/>
          <w:w w:val="105"/>
        </w:rPr>
        <w:t> </w:t>
      </w:r>
      <w:r>
        <w:rPr>
          <w:color w:val="231F1F"/>
          <w:spacing w:val="-2"/>
          <w:w w:val="105"/>
        </w:rPr>
        <w:t>1,55],</w:t>
      </w:r>
    </w:p>
    <w:p>
      <w:pPr>
        <w:pStyle w:val="BodyText"/>
        <w:spacing w:before="6"/>
        <w:ind w:left="283"/>
      </w:pPr>
      <w:r>
        <w:rPr>
          <w:color w:val="231F1F"/>
          <w:w w:val="105"/>
        </w:rPr>
        <w:t>diarrea</w:t>
      </w:r>
      <w:r>
        <w:rPr>
          <w:color w:val="231F1F"/>
          <w:spacing w:val="-12"/>
          <w:w w:val="105"/>
        </w:rPr>
        <w:t> </w:t>
      </w:r>
      <w:r>
        <w:rPr>
          <w:color w:val="231F1F"/>
          <w:w w:val="105"/>
        </w:rPr>
        <w:t>(15</w:t>
      </w:r>
      <w:r>
        <w:rPr>
          <w:color w:val="231F1F"/>
          <w:spacing w:val="-10"/>
          <w:w w:val="105"/>
        </w:rPr>
        <w:t> </w:t>
      </w:r>
      <w:r>
        <w:rPr>
          <w:color w:val="231F1F"/>
          <w:w w:val="105"/>
        </w:rPr>
        <w:t>estudios):</w:t>
      </w:r>
      <w:r>
        <w:rPr>
          <w:color w:val="231F1F"/>
          <w:spacing w:val="-9"/>
          <w:w w:val="105"/>
        </w:rPr>
        <w:t> </w:t>
      </w:r>
      <w:r>
        <w:rPr>
          <w:color w:val="231F1F"/>
          <w:w w:val="105"/>
        </w:rPr>
        <w:t>OR</w:t>
      </w:r>
      <w:r>
        <w:rPr>
          <w:color w:val="231F1F"/>
          <w:spacing w:val="-8"/>
          <w:w w:val="105"/>
        </w:rPr>
        <w:t> </w:t>
      </w:r>
      <w:r>
        <w:rPr>
          <w:color w:val="231F1F"/>
          <w:w w:val="105"/>
        </w:rPr>
        <w:t>1,97</w:t>
      </w:r>
      <w:r>
        <w:rPr>
          <w:color w:val="231F1F"/>
          <w:spacing w:val="-9"/>
          <w:w w:val="105"/>
        </w:rPr>
        <w:t> </w:t>
      </w:r>
      <w:r>
        <w:rPr>
          <w:color w:val="231F1F"/>
          <w:w w:val="105"/>
        </w:rPr>
        <w:t>[IC</w:t>
      </w:r>
      <w:r>
        <w:rPr>
          <w:color w:val="231F1F"/>
          <w:spacing w:val="-10"/>
          <w:w w:val="105"/>
        </w:rPr>
        <w:t> </w:t>
      </w:r>
      <w:r>
        <w:rPr>
          <w:color w:val="231F1F"/>
          <w:w w:val="105"/>
        </w:rPr>
        <w:t>95%</w:t>
      </w:r>
      <w:r>
        <w:rPr>
          <w:color w:val="231F1F"/>
          <w:spacing w:val="-8"/>
          <w:w w:val="105"/>
        </w:rPr>
        <w:t> </w:t>
      </w:r>
      <w:r>
        <w:rPr>
          <w:color w:val="231F1F"/>
          <w:w w:val="105"/>
        </w:rPr>
        <w:t>1,44</w:t>
      </w:r>
      <w:r>
        <w:rPr>
          <w:color w:val="231F1F"/>
          <w:spacing w:val="-10"/>
          <w:w w:val="105"/>
        </w:rPr>
        <w:t> </w:t>
      </w:r>
      <w:r>
        <w:rPr>
          <w:color w:val="231F1F"/>
          <w:w w:val="105"/>
        </w:rPr>
        <w:t>a</w:t>
      </w:r>
      <w:r>
        <w:rPr>
          <w:color w:val="231F1F"/>
          <w:spacing w:val="-8"/>
          <w:w w:val="105"/>
        </w:rPr>
        <w:t> </w:t>
      </w:r>
      <w:r>
        <w:rPr>
          <w:color w:val="231F1F"/>
          <w:w w:val="105"/>
        </w:rPr>
        <w:t>2,70],</w:t>
      </w:r>
      <w:r>
        <w:rPr>
          <w:color w:val="231F1F"/>
          <w:spacing w:val="-10"/>
          <w:w w:val="105"/>
        </w:rPr>
        <w:t> </w:t>
      </w:r>
      <w:r>
        <w:rPr>
          <w:color w:val="231F1F"/>
          <w:w w:val="105"/>
        </w:rPr>
        <w:t>fiebre</w:t>
      </w:r>
      <w:r>
        <w:rPr>
          <w:color w:val="231F1F"/>
          <w:spacing w:val="-10"/>
          <w:w w:val="105"/>
        </w:rPr>
        <w:t> </w:t>
      </w:r>
      <w:r>
        <w:rPr>
          <w:color w:val="231F1F"/>
          <w:w w:val="105"/>
        </w:rPr>
        <w:t>(12</w:t>
      </w:r>
      <w:r>
        <w:rPr>
          <w:color w:val="231F1F"/>
          <w:spacing w:val="-9"/>
          <w:w w:val="105"/>
        </w:rPr>
        <w:t> </w:t>
      </w:r>
      <w:r>
        <w:rPr>
          <w:color w:val="231F1F"/>
          <w:w w:val="105"/>
        </w:rPr>
        <w:t>estudios);</w:t>
      </w:r>
      <w:r>
        <w:rPr>
          <w:color w:val="231F1F"/>
          <w:spacing w:val="-6"/>
          <w:w w:val="105"/>
        </w:rPr>
        <w:t> </w:t>
      </w:r>
      <w:r>
        <w:rPr>
          <w:color w:val="231F1F"/>
          <w:spacing w:val="-5"/>
          <w:w w:val="105"/>
        </w:rPr>
        <w:t>OR</w:t>
      </w:r>
    </w:p>
    <w:p>
      <w:pPr>
        <w:pStyle w:val="BodyText"/>
        <w:spacing w:before="6"/>
        <w:ind w:left="283"/>
      </w:pPr>
      <w:r>
        <w:rPr>
          <w:color w:val="231F1F"/>
          <w:w w:val="105"/>
        </w:rPr>
        <w:t>6,67</w:t>
      </w:r>
      <w:r>
        <w:rPr>
          <w:color w:val="231F1F"/>
          <w:spacing w:val="1"/>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5,57</w:t>
      </w:r>
      <w:r>
        <w:rPr>
          <w:color w:val="231F1F"/>
          <w:spacing w:val="1"/>
          <w:w w:val="105"/>
        </w:rPr>
        <w:t> </w:t>
      </w:r>
      <w:r>
        <w:rPr>
          <w:color w:val="231F1F"/>
          <w:w w:val="105"/>
        </w:rPr>
        <w:t>a</w:t>
      </w:r>
      <w:r>
        <w:rPr>
          <w:color w:val="231F1F"/>
          <w:spacing w:val="2"/>
          <w:w w:val="105"/>
        </w:rPr>
        <w:t> </w:t>
      </w:r>
      <w:r>
        <w:rPr>
          <w:color w:val="231F1F"/>
          <w:w w:val="105"/>
        </w:rPr>
        <w:t>7,99], temblores (19</w:t>
      </w:r>
      <w:r>
        <w:rPr>
          <w:color w:val="231F1F"/>
          <w:spacing w:val="2"/>
          <w:w w:val="105"/>
        </w:rPr>
        <w:t> </w:t>
      </w:r>
      <w:r>
        <w:rPr>
          <w:color w:val="231F1F"/>
          <w:w w:val="105"/>
        </w:rPr>
        <w:t>estudios);</w:t>
      </w:r>
      <w:r>
        <w:rPr>
          <w:color w:val="231F1F"/>
          <w:spacing w:val="2"/>
          <w:w w:val="105"/>
        </w:rPr>
        <w:t> </w:t>
      </w:r>
      <w:r>
        <w:rPr>
          <w:color w:val="231F1F"/>
          <w:w w:val="105"/>
        </w:rPr>
        <w:t>OR</w:t>
      </w:r>
      <w:r>
        <w:rPr>
          <w:color w:val="231F1F"/>
          <w:spacing w:val="2"/>
          <w:w w:val="105"/>
        </w:rPr>
        <w:t> </w:t>
      </w:r>
      <w:r>
        <w:rPr>
          <w:color w:val="231F1F"/>
          <w:w w:val="105"/>
        </w:rPr>
        <w:t>3,51</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3,25</w:t>
      </w:r>
      <w:r>
        <w:rPr>
          <w:color w:val="231F1F"/>
          <w:spacing w:val="1"/>
          <w:w w:val="105"/>
        </w:rPr>
        <w:t> </w:t>
      </w:r>
      <w:r>
        <w:rPr>
          <w:color w:val="231F1F"/>
          <w:spacing w:val="-10"/>
          <w:w w:val="105"/>
        </w:rPr>
        <w:t>a</w:t>
      </w:r>
    </w:p>
    <w:p>
      <w:pPr>
        <w:pStyle w:val="BodyText"/>
        <w:spacing w:before="31"/>
        <w:ind w:left="283"/>
      </w:pPr>
      <w:r>
        <w:rPr>
          <w:color w:val="231F1F"/>
          <w:spacing w:val="-2"/>
        </w:rPr>
        <w:t>3,80].</w:t>
      </w:r>
    </w:p>
    <w:p>
      <w:pPr>
        <w:pStyle w:val="BodyText"/>
        <w:spacing w:before="98"/>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9" w:lineRule="auto" w:before="209"/>
        <w:ind w:left="283"/>
        <w:jc w:val="both"/>
      </w:pPr>
      <w:r>
        <w:rPr>
          <w:color w:val="231F1F"/>
          <w:w w:val="105"/>
        </w:rPr>
        <w:t>En</w:t>
      </w:r>
      <w:r>
        <w:rPr>
          <w:color w:val="231F1F"/>
          <w:w w:val="105"/>
        </w:rPr>
        <w:t> la</w:t>
      </w:r>
      <w:r>
        <w:rPr>
          <w:color w:val="231F1F"/>
          <w:w w:val="105"/>
        </w:rPr>
        <w:t> búsqueda</w:t>
      </w:r>
      <w:r>
        <w:rPr>
          <w:color w:val="231F1F"/>
          <w:w w:val="105"/>
        </w:rPr>
        <w:t> realizada</w:t>
      </w:r>
      <w:r>
        <w:rPr>
          <w:color w:val="231F1F"/>
          <w:w w:val="105"/>
        </w:rPr>
        <w:t> para</w:t>
      </w:r>
      <w:r>
        <w:rPr>
          <w:color w:val="231F1F"/>
          <w:w w:val="105"/>
        </w:rPr>
        <w:t> la</w:t>
      </w:r>
      <w:r>
        <w:rPr>
          <w:color w:val="231F1F"/>
          <w:w w:val="105"/>
        </w:rPr>
        <w:t> actualización</w:t>
      </w:r>
      <w:r>
        <w:rPr>
          <w:color w:val="231F1F"/>
          <w:w w:val="105"/>
        </w:rPr>
        <w:t> de</w:t>
      </w:r>
      <w:r>
        <w:rPr>
          <w:color w:val="231F1F"/>
          <w:w w:val="105"/>
        </w:rPr>
        <w:t> esta</w:t>
      </w:r>
      <w:r>
        <w:rPr>
          <w:color w:val="231F1F"/>
          <w:w w:val="105"/>
        </w:rPr>
        <w:t> pregunta</w:t>
      </w:r>
      <w:r>
        <w:rPr>
          <w:color w:val="231F1F"/>
          <w:w w:val="105"/>
        </w:rPr>
        <w:t> se</w:t>
      </w:r>
      <w:r>
        <w:rPr>
          <w:color w:val="231F1F"/>
          <w:w w:val="105"/>
        </w:rPr>
        <w:t> preselec- cionaron</w:t>
      </w:r>
      <w:r>
        <w:rPr>
          <w:color w:val="231F1F"/>
          <w:spacing w:val="-3"/>
          <w:w w:val="105"/>
        </w:rPr>
        <w:t> </w:t>
      </w:r>
      <w:r>
        <w:rPr>
          <w:color w:val="231F1F"/>
          <w:w w:val="105"/>
        </w:rPr>
        <w:t>35</w:t>
      </w:r>
      <w:r>
        <w:rPr>
          <w:color w:val="231F1F"/>
          <w:spacing w:val="-4"/>
          <w:w w:val="105"/>
        </w:rPr>
        <w:t> </w:t>
      </w:r>
      <w:r>
        <w:rPr>
          <w:color w:val="231F1F"/>
          <w:w w:val="105"/>
        </w:rPr>
        <w:t>referencias</w:t>
      </w:r>
      <w:r>
        <w:rPr>
          <w:color w:val="231F1F"/>
          <w:spacing w:val="-4"/>
          <w:w w:val="105"/>
        </w:rPr>
        <w:t> </w:t>
      </w:r>
      <w:r>
        <w:rPr>
          <w:color w:val="231F1F"/>
          <w:w w:val="105"/>
        </w:rPr>
        <w:t>Tras</w:t>
      </w:r>
      <w:r>
        <w:rPr>
          <w:color w:val="231F1F"/>
          <w:spacing w:val="-4"/>
          <w:w w:val="105"/>
        </w:rPr>
        <w:t> </w:t>
      </w:r>
      <w:r>
        <w:rPr>
          <w:color w:val="231F1F"/>
          <w:w w:val="105"/>
        </w:rPr>
        <w:t>la</w:t>
      </w:r>
      <w:r>
        <w:rPr>
          <w:color w:val="231F1F"/>
          <w:spacing w:val="-4"/>
          <w:w w:val="105"/>
        </w:rPr>
        <w:t> </w:t>
      </w:r>
      <w:r>
        <w:rPr>
          <w:color w:val="231F1F"/>
          <w:w w:val="105"/>
        </w:rPr>
        <w:t>lectura</w:t>
      </w:r>
      <w:r>
        <w:rPr>
          <w:color w:val="231F1F"/>
          <w:spacing w:val="-4"/>
          <w:w w:val="105"/>
        </w:rPr>
        <w:t> </w:t>
      </w:r>
      <w:r>
        <w:rPr>
          <w:color w:val="231F1F"/>
          <w:w w:val="105"/>
        </w:rPr>
        <w:t>de</w:t>
      </w:r>
      <w:r>
        <w:rPr>
          <w:color w:val="231F1F"/>
          <w:spacing w:val="-4"/>
          <w:w w:val="105"/>
        </w:rPr>
        <w:t> </w:t>
      </w:r>
      <w:r>
        <w:rPr>
          <w:color w:val="231F1F"/>
          <w:w w:val="105"/>
        </w:rPr>
        <w:t>los</w:t>
      </w:r>
      <w:r>
        <w:rPr>
          <w:color w:val="231F1F"/>
          <w:spacing w:val="-4"/>
          <w:w w:val="105"/>
        </w:rPr>
        <w:t> </w:t>
      </w:r>
      <w:r>
        <w:rPr>
          <w:color w:val="231F1F"/>
          <w:w w:val="105"/>
        </w:rPr>
        <w:t>abstracts</w:t>
      </w:r>
      <w:r>
        <w:rPr>
          <w:color w:val="231F1F"/>
          <w:spacing w:val="-4"/>
          <w:w w:val="105"/>
        </w:rPr>
        <w:t> </w:t>
      </w:r>
      <w:r>
        <w:rPr>
          <w:color w:val="231F1F"/>
          <w:w w:val="105"/>
        </w:rPr>
        <w:t>se</w:t>
      </w:r>
      <w:r>
        <w:rPr>
          <w:color w:val="231F1F"/>
          <w:spacing w:val="-4"/>
          <w:w w:val="105"/>
        </w:rPr>
        <w:t> </w:t>
      </w:r>
      <w:r>
        <w:rPr>
          <w:color w:val="231F1F"/>
          <w:w w:val="105"/>
        </w:rPr>
        <w:t>extrajeron</w:t>
      </w:r>
      <w:r>
        <w:rPr>
          <w:color w:val="231F1F"/>
          <w:spacing w:val="-3"/>
          <w:w w:val="105"/>
        </w:rPr>
        <w:t> </w:t>
      </w:r>
      <w:r>
        <w:rPr>
          <w:color w:val="231F1F"/>
          <w:w w:val="105"/>
        </w:rPr>
        <w:t>cinco</w:t>
      </w:r>
      <w:r>
        <w:rPr>
          <w:color w:val="231F1F"/>
          <w:spacing w:val="-4"/>
          <w:w w:val="105"/>
        </w:rPr>
        <w:t> </w:t>
      </w:r>
      <w:r>
        <w:rPr>
          <w:color w:val="231F1F"/>
          <w:w w:val="105"/>
        </w:rPr>
        <w:t>para leer</w:t>
      </w:r>
      <w:r>
        <w:rPr>
          <w:color w:val="231F1F"/>
          <w:spacing w:val="-6"/>
          <w:w w:val="105"/>
        </w:rPr>
        <w:t> </w:t>
      </w:r>
      <w:r>
        <w:rPr>
          <w:color w:val="231F1F"/>
          <w:w w:val="105"/>
        </w:rPr>
        <w:t>a</w:t>
      </w:r>
      <w:r>
        <w:rPr>
          <w:color w:val="231F1F"/>
          <w:spacing w:val="-6"/>
          <w:w w:val="105"/>
        </w:rPr>
        <w:t> </w:t>
      </w:r>
      <w:r>
        <w:rPr>
          <w:color w:val="231F1F"/>
          <w:w w:val="105"/>
        </w:rPr>
        <w:t>texto</w:t>
      </w:r>
      <w:r>
        <w:rPr>
          <w:color w:val="231F1F"/>
          <w:spacing w:val="-6"/>
          <w:w w:val="105"/>
        </w:rPr>
        <w:t> </w:t>
      </w:r>
      <w:r>
        <w:rPr>
          <w:color w:val="231F1F"/>
          <w:w w:val="105"/>
        </w:rPr>
        <w:t>completo.</w:t>
      </w:r>
      <w:r>
        <w:rPr>
          <w:color w:val="231F1F"/>
          <w:spacing w:val="-5"/>
          <w:w w:val="105"/>
        </w:rPr>
        <w:t> </w:t>
      </w:r>
      <w:r>
        <w:rPr>
          <w:color w:val="231F1F"/>
          <w:w w:val="105"/>
        </w:rPr>
        <w:t>Se</w:t>
      </w:r>
      <w:r>
        <w:rPr>
          <w:color w:val="231F1F"/>
          <w:spacing w:val="-6"/>
          <w:w w:val="105"/>
        </w:rPr>
        <w:t> </w:t>
      </w:r>
      <w:r>
        <w:rPr>
          <w:color w:val="231F1F"/>
          <w:w w:val="105"/>
        </w:rPr>
        <w:t>incluyeron</w:t>
      </w:r>
      <w:r>
        <w:rPr>
          <w:color w:val="231F1F"/>
          <w:spacing w:val="-6"/>
          <w:w w:val="105"/>
        </w:rPr>
        <w:t> </w:t>
      </w:r>
      <w:r>
        <w:rPr>
          <w:color w:val="231F1F"/>
          <w:w w:val="105"/>
        </w:rPr>
        <w:t>cuatro</w:t>
      </w:r>
      <w:r>
        <w:rPr>
          <w:color w:val="231F1F"/>
          <w:spacing w:val="-6"/>
          <w:w w:val="105"/>
        </w:rPr>
        <w:t> </w:t>
      </w:r>
      <w:r>
        <w:rPr>
          <w:color w:val="231F1F"/>
          <w:w w:val="105"/>
        </w:rPr>
        <w:t>revisiones</w:t>
      </w:r>
      <w:r>
        <w:rPr>
          <w:color w:val="231F1F"/>
          <w:spacing w:val="-5"/>
          <w:w w:val="105"/>
        </w:rPr>
        <w:t> </w:t>
      </w:r>
      <w:r>
        <w:rPr>
          <w:color w:val="231F1F"/>
          <w:w w:val="105"/>
        </w:rPr>
        <w:t>Cochrane</w:t>
      </w:r>
      <w:r>
        <w:rPr>
          <w:color w:val="231F1F"/>
          <w:spacing w:val="-6"/>
          <w:w w:val="105"/>
        </w:rPr>
        <w:t> </w:t>
      </w:r>
      <w:r>
        <w:rPr>
          <w:color w:val="231F1F"/>
          <w:w w:val="105"/>
        </w:rPr>
        <w:t>(201-204)</w:t>
      </w:r>
      <w:r>
        <w:rPr>
          <w:color w:val="231F1F"/>
          <w:spacing w:val="-6"/>
          <w:w w:val="105"/>
        </w:rPr>
        <w:t> </w:t>
      </w:r>
      <w:r>
        <w:rPr>
          <w:color w:val="231F1F"/>
          <w:w w:val="105"/>
        </w:rPr>
        <w:t>con un</w:t>
      </w:r>
      <w:r>
        <w:rPr>
          <w:color w:val="231F1F"/>
          <w:spacing w:val="-1"/>
          <w:w w:val="105"/>
        </w:rPr>
        <w:t> </w:t>
      </w:r>
      <w:r>
        <w:rPr>
          <w:color w:val="231F1F"/>
          <w:w w:val="105"/>
        </w:rPr>
        <w:t>NE=1+</w:t>
      </w:r>
      <w:r>
        <w:rPr>
          <w:color w:val="231F1F"/>
          <w:spacing w:val="-1"/>
          <w:w w:val="105"/>
        </w:rPr>
        <w:t> </w:t>
      </w:r>
      <w:r>
        <w:rPr>
          <w:color w:val="231F1F"/>
          <w:w w:val="105"/>
        </w:rPr>
        <w:t>que</w:t>
      </w:r>
      <w:r>
        <w:rPr>
          <w:color w:val="231F1F"/>
          <w:spacing w:val="-1"/>
          <w:w w:val="105"/>
        </w:rPr>
        <w:t> </w:t>
      </w:r>
      <w:r>
        <w:rPr>
          <w:color w:val="231F1F"/>
          <w:w w:val="105"/>
        </w:rPr>
        <w:t>cumplían</w:t>
      </w:r>
      <w:r>
        <w:rPr>
          <w:color w:val="231F1F"/>
          <w:spacing w:val="-1"/>
          <w:w w:val="105"/>
        </w:rPr>
        <w:t> </w:t>
      </w:r>
      <w:r>
        <w:rPr>
          <w:color w:val="231F1F"/>
          <w:w w:val="105"/>
        </w:rPr>
        <w:t>los</w:t>
      </w:r>
      <w:r>
        <w:rPr>
          <w:color w:val="231F1F"/>
          <w:spacing w:val="-1"/>
          <w:w w:val="105"/>
        </w:rPr>
        <w:t> </w:t>
      </w:r>
      <w:r>
        <w:rPr>
          <w:color w:val="231F1F"/>
          <w:w w:val="105"/>
        </w:rPr>
        <w:t>criterios de</w:t>
      </w:r>
      <w:r>
        <w:rPr>
          <w:color w:val="231F1F"/>
          <w:spacing w:val="-1"/>
          <w:w w:val="105"/>
        </w:rPr>
        <w:t> </w:t>
      </w:r>
      <w:r>
        <w:rPr>
          <w:color w:val="231F1F"/>
          <w:w w:val="105"/>
        </w:rPr>
        <w:t>inclusión</w:t>
      </w:r>
      <w:r>
        <w:rPr>
          <w:color w:val="231F1F"/>
          <w:spacing w:val="-1"/>
          <w:w w:val="105"/>
        </w:rPr>
        <w:t> </w:t>
      </w:r>
      <w:r>
        <w:rPr>
          <w:color w:val="231F1F"/>
          <w:w w:val="105"/>
        </w:rPr>
        <w:t>y</w:t>
      </w:r>
      <w:r>
        <w:rPr>
          <w:color w:val="231F1F"/>
          <w:spacing w:val="-1"/>
          <w:w w:val="105"/>
        </w:rPr>
        <w:t> </w:t>
      </w:r>
      <w:r>
        <w:rPr>
          <w:color w:val="231F1F"/>
          <w:w w:val="105"/>
        </w:rPr>
        <w:t>se</w:t>
      </w:r>
      <w:r>
        <w:rPr>
          <w:color w:val="231F1F"/>
          <w:spacing w:val="-1"/>
          <w:w w:val="105"/>
        </w:rPr>
        <w:t> </w:t>
      </w:r>
      <w:r>
        <w:rPr>
          <w:color w:val="231F1F"/>
          <w:w w:val="105"/>
        </w:rPr>
        <w:t>extrajeron datos</w:t>
      </w:r>
      <w:r>
        <w:rPr>
          <w:color w:val="231F1F"/>
          <w:spacing w:val="-1"/>
          <w:w w:val="105"/>
        </w:rPr>
        <w:t> </w:t>
      </w:r>
      <w:r>
        <w:rPr>
          <w:color w:val="231F1F"/>
          <w:w w:val="105"/>
        </w:rPr>
        <w:t>de</w:t>
      </w:r>
      <w:r>
        <w:rPr>
          <w:color w:val="231F1F"/>
          <w:spacing w:val="-1"/>
          <w:w w:val="105"/>
        </w:rPr>
        <w:t> </w:t>
      </w:r>
      <w:r>
        <w:rPr>
          <w:color w:val="231F1F"/>
          <w:w w:val="105"/>
        </w:rPr>
        <w:t>tres RS</w:t>
      </w:r>
      <w:r>
        <w:rPr>
          <w:color w:val="231F1F"/>
          <w:w w:val="105"/>
        </w:rPr>
        <w:t> ya</w:t>
      </w:r>
      <w:r>
        <w:rPr>
          <w:color w:val="231F1F"/>
          <w:w w:val="105"/>
        </w:rPr>
        <w:t> que</w:t>
      </w:r>
      <w:r>
        <w:rPr>
          <w:color w:val="231F1F"/>
          <w:w w:val="105"/>
        </w:rPr>
        <w:t> una</w:t>
      </w:r>
      <w:r>
        <w:rPr>
          <w:color w:val="231F1F"/>
          <w:w w:val="105"/>
        </w:rPr>
        <w:t> de</w:t>
      </w:r>
      <w:r>
        <w:rPr>
          <w:color w:val="231F1F"/>
          <w:w w:val="105"/>
        </w:rPr>
        <w:t> ellas</w:t>
      </w:r>
      <w:r>
        <w:rPr>
          <w:color w:val="231F1F"/>
          <w:w w:val="105"/>
        </w:rPr>
        <w:t> (202)</w:t>
      </w:r>
      <w:r>
        <w:rPr>
          <w:color w:val="231F1F"/>
          <w:w w:val="105"/>
        </w:rPr>
        <w:t> presenta</w:t>
      </w:r>
      <w:r>
        <w:rPr>
          <w:color w:val="231F1F"/>
          <w:w w:val="105"/>
        </w:rPr>
        <w:t> resultados</w:t>
      </w:r>
      <w:r>
        <w:rPr>
          <w:color w:val="231F1F"/>
          <w:w w:val="105"/>
        </w:rPr>
        <w:t> de</w:t>
      </w:r>
      <w:r>
        <w:rPr>
          <w:color w:val="231F1F"/>
          <w:w w:val="105"/>
        </w:rPr>
        <w:t> ergotínicos</w:t>
      </w:r>
      <w:r>
        <w:rPr>
          <w:color w:val="231F1F"/>
          <w:w w:val="105"/>
        </w:rPr>
        <w:t> obtenidos frente a placebo en lugar de frente a oxitocina que es la intervención de com- paración de esta pregunta.</w:t>
      </w:r>
    </w:p>
    <w:p>
      <w:pPr>
        <w:pStyle w:val="BodyText"/>
        <w:spacing w:line="244" w:lineRule="auto" w:before="141"/>
        <w:ind w:left="283" w:right="4" w:firstLine="453"/>
        <w:jc w:val="both"/>
      </w:pPr>
      <w:r>
        <w:rPr>
          <w:color w:val="231F1F"/>
          <w:w w:val="110"/>
        </w:rPr>
        <w:t>La</w:t>
      </w:r>
      <w:r>
        <w:rPr>
          <w:color w:val="231F1F"/>
          <w:spacing w:val="-16"/>
          <w:w w:val="110"/>
        </w:rPr>
        <w:t> </w:t>
      </w:r>
      <w:r>
        <w:rPr>
          <w:color w:val="231F1F"/>
          <w:w w:val="110"/>
        </w:rPr>
        <w:t>Revisión</w:t>
      </w:r>
      <w:r>
        <w:rPr>
          <w:color w:val="231F1F"/>
          <w:spacing w:val="-15"/>
          <w:w w:val="110"/>
        </w:rPr>
        <w:t> </w:t>
      </w:r>
      <w:r>
        <w:rPr>
          <w:color w:val="231F1F"/>
          <w:w w:val="110"/>
        </w:rPr>
        <w:t>Cochrane</w:t>
      </w:r>
      <w:r>
        <w:rPr>
          <w:color w:val="231F1F"/>
          <w:spacing w:val="-15"/>
          <w:w w:val="110"/>
        </w:rPr>
        <w:t> </w:t>
      </w:r>
      <w:r>
        <w:rPr>
          <w:color w:val="231F1F"/>
          <w:w w:val="110"/>
        </w:rPr>
        <w:t>de</w:t>
      </w:r>
      <w:r>
        <w:rPr>
          <w:color w:val="231F1F"/>
          <w:spacing w:val="-15"/>
          <w:w w:val="110"/>
        </w:rPr>
        <w:t> </w:t>
      </w:r>
      <w:r>
        <w:rPr>
          <w:color w:val="231F1F"/>
          <w:w w:val="110"/>
        </w:rPr>
        <w:t>2008</w:t>
      </w:r>
      <w:r>
        <w:rPr>
          <w:color w:val="231F1F"/>
          <w:spacing w:val="-15"/>
          <w:w w:val="110"/>
        </w:rPr>
        <w:t> </w:t>
      </w:r>
      <w:r>
        <w:rPr>
          <w:color w:val="231F1F"/>
          <w:w w:val="110"/>
        </w:rPr>
        <w:t>(201);</w:t>
      </w:r>
      <w:r>
        <w:rPr>
          <w:color w:val="231F1F"/>
          <w:spacing w:val="-15"/>
          <w:w w:val="110"/>
        </w:rPr>
        <w:t> </w:t>
      </w:r>
      <w:r>
        <w:rPr>
          <w:color w:val="231F1F"/>
          <w:w w:val="110"/>
        </w:rPr>
        <w:t>(46</w:t>
      </w:r>
      <w:r>
        <w:rPr>
          <w:color w:val="231F1F"/>
          <w:spacing w:val="-15"/>
          <w:w w:val="110"/>
        </w:rPr>
        <w:t> </w:t>
      </w:r>
      <w:r>
        <w:rPr>
          <w:color w:val="231F1F"/>
          <w:w w:val="110"/>
        </w:rPr>
        <w:t>estudios</w:t>
      </w:r>
      <w:r>
        <w:rPr>
          <w:color w:val="231F1F"/>
          <w:spacing w:val="-15"/>
          <w:w w:val="110"/>
        </w:rPr>
        <w:t> </w:t>
      </w:r>
      <w:r>
        <w:rPr>
          <w:color w:val="231F1F"/>
          <w:w w:val="110"/>
        </w:rPr>
        <w:t>con</w:t>
      </w:r>
      <w:r>
        <w:rPr>
          <w:color w:val="231F1F"/>
          <w:spacing w:val="-16"/>
          <w:w w:val="110"/>
        </w:rPr>
        <w:t> </w:t>
      </w:r>
      <w:r>
        <w:rPr>
          <w:color w:val="231F1F"/>
          <w:w w:val="110"/>
        </w:rPr>
        <w:t>42.621</w:t>
      </w:r>
      <w:r>
        <w:rPr>
          <w:color w:val="231F1F"/>
          <w:spacing w:val="-15"/>
          <w:w w:val="110"/>
        </w:rPr>
        <w:t> </w:t>
      </w:r>
      <w:r>
        <w:rPr>
          <w:color w:val="231F1F"/>
          <w:w w:val="110"/>
        </w:rPr>
        <w:t>mujeres) evalúa el efecto del uso de las prostaglandinas en el alumbramiento.</w:t>
      </w:r>
    </w:p>
    <w:p>
      <w:pPr>
        <w:spacing w:line="249" w:lineRule="auto" w:before="94"/>
        <w:ind w:left="283" w:right="2" w:firstLine="453"/>
        <w:jc w:val="both"/>
        <w:rPr>
          <w:sz w:val="22"/>
        </w:rPr>
      </w:pPr>
      <w:r>
        <w:rPr>
          <w:color w:val="231F1F"/>
          <w:w w:val="105"/>
          <w:sz w:val="22"/>
        </w:rPr>
        <w:t>Cuando se compara </w:t>
      </w:r>
      <w:r>
        <w:rPr>
          <w:i/>
          <w:color w:val="231F1F"/>
          <w:w w:val="105"/>
          <w:sz w:val="22"/>
        </w:rPr>
        <w:t>misoprostol</w:t>
      </w:r>
      <w:r>
        <w:rPr>
          <w:i/>
          <w:color w:val="231F1F"/>
          <w:spacing w:val="-2"/>
          <w:w w:val="105"/>
          <w:sz w:val="22"/>
        </w:rPr>
        <w:t> </w:t>
      </w:r>
      <w:r>
        <w:rPr>
          <w:i/>
          <w:color w:val="231F1F"/>
          <w:w w:val="105"/>
          <w:sz w:val="22"/>
        </w:rPr>
        <w:t>versus</w:t>
      </w:r>
      <w:r>
        <w:rPr>
          <w:i/>
          <w:color w:val="231F1F"/>
          <w:spacing w:val="-2"/>
          <w:w w:val="105"/>
          <w:sz w:val="22"/>
        </w:rPr>
        <w:t> </w:t>
      </w:r>
      <w:r>
        <w:rPr>
          <w:i/>
          <w:color w:val="231F1F"/>
          <w:w w:val="105"/>
          <w:sz w:val="22"/>
        </w:rPr>
        <w:t>uterotónicos</w:t>
      </w:r>
      <w:r>
        <w:rPr>
          <w:i/>
          <w:color w:val="231F1F"/>
          <w:spacing w:val="-3"/>
          <w:w w:val="105"/>
          <w:sz w:val="22"/>
        </w:rPr>
        <w:t> </w:t>
      </w:r>
      <w:r>
        <w:rPr>
          <w:color w:val="231F1F"/>
          <w:w w:val="105"/>
          <w:sz w:val="22"/>
        </w:rPr>
        <w:t>se analizan 25 estu- dios (16 oral, 5 rectal y 4 sublingual).</w:t>
      </w:r>
    </w:p>
    <w:p>
      <w:pPr>
        <w:pStyle w:val="ListParagraph"/>
        <w:numPr>
          <w:ilvl w:val="0"/>
          <w:numId w:val="51"/>
        </w:numPr>
        <w:tabs>
          <w:tab w:pos="956" w:val="left" w:leader="none"/>
        </w:tabs>
        <w:spacing w:line="244" w:lineRule="auto" w:before="155" w:after="0"/>
        <w:ind w:left="956" w:right="4" w:hanging="220"/>
        <w:jc w:val="both"/>
        <w:rPr>
          <w:sz w:val="22"/>
        </w:rPr>
      </w:pPr>
      <w:r>
        <w:rPr>
          <w:color w:val="231F1F"/>
          <w:w w:val="110"/>
          <w:sz w:val="22"/>
        </w:rPr>
        <w:t>El</w:t>
      </w:r>
      <w:r>
        <w:rPr>
          <w:color w:val="231F1F"/>
          <w:spacing w:val="-12"/>
          <w:w w:val="110"/>
          <w:sz w:val="22"/>
        </w:rPr>
        <w:t> </w:t>
      </w:r>
      <w:r>
        <w:rPr>
          <w:color w:val="231F1F"/>
          <w:w w:val="110"/>
          <w:sz w:val="22"/>
        </w:rPr>
        <w:t>uso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misoprostol</w:t>
      </w:r>
      <w:r>
        <w:rPr>
          <w:color w:val="231F1F"/>
          <w:spacing w:val="-12"/>
          <w:w w:val="110"/>
          <w:sz w:val="22"/>
        </w:rPr>
        <w:t> </w:t>
      </w:r>
      <w:r>
        <w:rPr>
          <w:color w:val="231F1F"/>
          <w:w w:val="110"/>
          <w:sz w:val="22"/>
        </w:rPr>
        <w:t>oral</w:t>
      </w:r>
      <w:r>
        <w:rPr>
          <w:color w:val="231F1F"/>
          <w:spacing w:val="-12"/>
          <w:w w:val="110"/>
          <w:sz w:val="22"/>
        </w:rPr>
        <w:t> </w:t>
      </w:r>
      <w:r>
        <w:rPr>
          <w:color w:val="231F1F"/>
          <w:w w:val="110"/>
          <w:sz w:val="22"/>
        </w:rPr>
        <w:t>aumenta</w:t>
      </w:r>
      <w:r>
        <w:rPr>
          <w:color w:val="231F1F"/>
          <w:spacing w:val="-12"/>
          <w:w w:val="110"/>
          <w:sz w:val="22"/>
        </w:rPr>
        <w:t> </w:t>
      </w:r>
      <w:r>
        <w:rPr>
          <w:color w:val="231F1F"/>
          <w:w w:val="110"/>
          <w:sz w:val="22"/>
        </w:rPr>
        <w:t>el</w:t>
      </w:r>
      <w:r>
        <w:rPr>
          <w:color w:val="231F1F"/>
          <w:spacing w:val="-12"/>
          <w:w w:val="110"/>
          <w:sz w:val="22"/>
        </w:rPr>
        <w:t> </w:t>
      </w:r>
      <w:r>
        <w:rPr>
          <w:color w:val="231F1F"/>
          <w:w w:val="110"/>
          <w:sz w:val="22"/>
        </w:rPr>
        <w:t>riesgo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HPP</w:t>
      </w:r>
      <w:r>
        <w:rPr>
          <w:color w:val="231F1F"/>
          <w:spacing w:val="-12"/>
          <w:w w:val="110"/>
          <w:sz w:val="22"/>
        </w:rPr>
        <w:t> </w:t>
      </w:r>
      <w:r>
        <w:rPr>
          <w:color w:val="231F1F"/>
          <w:w w:val="110"/>
          <w:sz w:val="22"/>
        </w:rPr>
        <w:t>severa</w:t>
      </w:r>
      <w:r>
        <w:rPr>
          <w:color w:val="231F1F"/>
          <w:spacing w:val="-12"/>
          <w:w w:val="110"/>
          <w:sz w:val="22"/>
        </w:rPr>
        <w:t> </w:t>
      </w:r>
      <w:r>
        <w:rPr>
          <w:color w:val="231F1F"/>
          <w:w w:val="110"/>
          <w:sz w:val="22"/>
        </w:rPr>
        <w:t>(16</w:t>
      </w:r>
      <w:r>
        <w:rPr>
          <w:color w:val="231F1F"/>
          <w:spacing w:val="-12"/>
          <w:w w:val="110"/>
          <w:sz w:val="22"/>
        </w:rPr>
        <w:t> </w:t>
      </w:r>
      <w:r>
        <w:rPr>
          <w:color w:val="231F1F"/>
          <w:w w:val="110"/>
          <w:sz w:val="22"/>
        </w:rPr>
        <w:t>estu- dios; n=29.042; RR 1,31; IC 95% 1,16 a 1.59)</w:t>
      </w:r>
    </w:p>
    <w:p>
      <w:pPr>
        <w:pStyle w:val="ListParagraph"/>
        <w:numPr>
          <w:ilvl w:val="0"/>
          <w:numId w:val="51"/>
        </w:numPr>
        <w:tabs>
          <w:tab w:pos="956" w:val="left" w:leader="none"/>
        </w:tabs>
        <w:spacing w:line="254" w:lineRule="auto" w:before="161" w:after="0"/>
        <w:ind w:left="956" w:right="0" w:hanging="220"/>
        <w:jc w:val="both"/>
        <w:rPr>
          <w:sz w:val="22"/>
        </w:rPr>
      </w:pPr>
      <w:r>
        <w:rPr>
          <w:color w:val="231F1F"/>
          <w:sz w:val="22"/>
        </w:rPr>
        <w:t>El misoprostol rectal fue similar a los uterotónicos en cuanto a la HPP </w:t>
      </w:r>
      <w:r>
        <w:rPr>
          <w:color w:val="231F1F"/>
          <w:spacing w:val="-2"/>
          <w:sz w:val="22"/>
        </w:rPr>
        <w:t>grave</w:t>
      </w:r>
    </w:p>
    <w:p>
      <w:pPr>
        <w:pStyle w:val="ListParagraph"/>
        <w:numPr>
          <w:ilvl w:val="0"/>
          <w:numId w:val="51"/>
        </w:numPr>
        <w:tabs>
          <w:tab w:pos="955" w:val="left" w:leader="none"/>
        </w:tabs>
        <w:spacing w:line="249" w:lineRule="auto" w:before="145" w:after="0"/>
        <w:ind w:left="955" w:right="2" w:hanging="220"/>
        <w:jc w:val="both"/>
        <w:rPr>
          <w:sz w:val="22"/>
        </w:rPr>
      </w:pPr>
      <w:r>
        <w:rPr>
          <w:color w:val="231F1F"/>
          <w:w w:val="105"/>
          <w:sz w:val="22"/>
        </w:rPr>
        <w:t>El</w:t>
      </w:r>
      <w:r>
        <w:rPr>
          <w:color w:val="231F1F"/>
          <w:w w:val="105"/>
          <w:sz w:val="22"/>
        </w:rPr>
        <w:t> </w:t>
      </w:r>
      <w:r>
        <w:rPr>
          <w:i/>
          <w:color w:val="231F1F"/>
          <w:w w:val="105"/>
          <w:sz w:val="22"/>
        </w:rPr>
        <w:t>misoprostol combinado con oxitocina </w:t>
      </w:r>
      <w:r>
        <w:rPr>
          <w:color w:val="231F1F"/>
          <w:w w:val="105"/>
          <w:sz w:val="22"/>
        </w:rPr>
        <w:t>fue</w:t>
      </w:r>
      <w:r>
        <w:rPr>
          <w:color w:val="231F1F"/>
          <w:w w:val="105"/>
          <w:sz w:val="22"/>
        </w:rPr>
        <w:t> más</w:t>
      </w:r>
      <w:r>
        <w:rPr>
          <w:color w:val="231F1F"/>
          <w:w w:val="105"/>
          <w:sz w:val="22"/>
        </w:rPr>
        <w:t> efectivo</w:t>
      </w:r>
      <w:r>
        <w:rPr>
          <w:color w:val="231F1F"/>
          <w:w w:val="105"/>
          <w:sz w:val="22"/>
        </w:rPr>
        <w:t> que</w:t>
      </w:r>
      <w:r>
        <w:rPr>
          <w:color w:val="231F1F"/>
          <w:w w:val="105"/>
          <w:sz w:val="22"/>
        </w:rPr>
        <w:t> el</w:t>
      </w:r>
      <w:r>
        <w:rPr>
          <w:color w:val="231F1F"/>
          <w:w w:val="105"/>
          <w:sz w:val="22"/>
        </w:rPr>
        <w:t> pla- cebo y la oxitocina en la reducción de la HPP y la HPP grave.</w:t>
      </w:r>
    </w:p>
    <w:p>
      <w:pPr>
        <w:pStyle w:val="ListParagraph"/>
        <w:numPr>
          <w:ilvl w:val="0"/>
          <w:numId w:val="51"/>
        </w:numPr>
        <w:tabs>
          <w:tab w:pos="955" w:val="left" w:leader="none"/>
        </w:tabs>
        <w:spacing w:line="244" w:lineRule="auto" w:before="155" w:after="0"/>
        <w:ind w:left="955" w:right="1" w:hanging="220"/>
        <w:jc w:val="both"/>
        <w:rPr>
          <w:sz w:val="22"/>
        </w:rPr>
      </w:pPr>
      <w:r>
        <w:rPr>
          <w:color w:val="231F1F"/>
          <w:w w:val="105"/>
          <w:sz w:val="22"/>
        </w:rPr>
        <w:t>El misoprostol oral (600 μg) se asoció con altas tasas de náuseas, vó- mitos,</w:t>
      </w:r>
      <w:r>
        <w:rPr>
          <w:color w:val="231F1F"/>
          <w:w w:val="105"/>
          <w:sz w:val="22"/>
        </w:rPr>
        <w:t> diarrea,</w:t>
      </w:r>
      <w:r>
        <w:rPr>
          <w:color w:val="231F1F"/>
          <w:w w:val="105"/>
          <w:sz w:val="22"/>
        </w:rPr>
        <w:t> temblores</w:t>
      </w:r>
      <w:r>
        <w:rPr>
          <w:color w:val="231F1F"/>
          <w:w w:val="105"/>
          <w:sz w:val="22"/>
        </w:rPr>
        <w:t> y</w:t>
      </w:r>
      <w:r>
        <w:rPr>
          <w:color w:val="231F1F"/>
          <w:w w:val="105"/>
          <w:sz w:val="22"/>
        </w:rPr>
        <w:t> pirexia</w:t>
      </w:r>
      <w:r>
        <w:rPr>
          <w:color w:val="231F1F"/>
          <w:w w:val="105"/>
          <w:sz w:val="22"/>
        </w:rPr>
        <w:t> en</w:t>
      </w:r>
      <w:r>
        <w:rPr>
          <w:color w:val="231F1F"/>
          <w:w w:val="105"/>
          <w:sz w:val="22"/>
        </w:rPr>
        <w:t> comparación</w:t>
      </w:r>
      <w:r>
        <w:rPr>
          <w:color w:val="231F1F"/>
          <w:w w:val="105"/>
          <w:sz w:val="22"/>
        </w:rPr>
        <w:t> con</w:t>
      </w:r>
      <w:r>
        <w:rPr>
          <w:color w:val="231F1F"/>
          <w:w w:val="105"/>
          <w:sz w:val="22"/>
        </w:rPr>
        <w:t> placebo</w:t>
      </w:r>
      <w:r>
        <w:rPr>
          <w:color w:val="231F1F"/>
          <w:w w:val="105"/>
          <w:sz w:val="22"/>
        </w:rPr>
        <w:t> y uterotónicos convencionales. Los efectos 2º fueron menores con dosis de 400 μg y con misoprostol rectal.</w:t>
      </w:r>
    </w:p>
    <w:p>
      <w:pPr>
        <w:pStyle w:val="ListParagraph"/>
        <w:numPr>
          <w:ilvl w:val="0"/>
          <w:numId w:val="51"/>
        </w:numPr>
        <w:tabs>
          <w:tab w:pos="956" w:val="left" w:leader="none"/>
        </w:tabs>
        <w:spacing w:line="244" w:lineRule="auto" w:before="168" w:after="0"/>
        <w:ind w:left="956" w:right="3" w:hanging="220"/>
        <w:jc w:val="both"/>
        <w:rPr>
          <w:sz w:val="22"/>
        </w:rPr>
      </w:pPr>
      <w:r>
        <w:rPr>
          <w:color w:val="231F1F"/>
          <w:w w:val="110"/>
          <w:sz w:val="22"/>
        </w:rPr>
        <w:t>Cuando se compara el uso de </w:t>
      </w:r>
      <w:r>
        <w:rPr>
          <w:i/>
          <w:color w:val="231F1F"/>
          <w:w w:val="110"/>
          <w:sz w:val="22"/>
        </w:rPr>
        <w:t>prostaglandinas</w:t>
      </w:r>
      <w:r>
        <w:rPr>
          <w:i/>
          <w:color w:val="231F1F"/>
          <w:spacing w:val="-9"/>
          <w:w w:val="110"/>
          <w:sz w:val="22"/>
        </w:rPr>
        <w:t> </w:t>
      </w:r>
      <w:r>
        <w:rPr>
          <w:i/>
          <w:color w:val="231F1F"/>
          <w:w w:val="110"/>
          <w:sz w:val="22"/>
        </w:rPr>
        <w:t>con</w:t>
      </w:r>
      <w:r>
        <w:rPr>
          <w:i/>
          <w:color w:val="231F1F"/>
          <w:spacing w:val="-9"/>
          <w:w w:val="110"/>
          <w:sz w:val="22"/>
        </w:rPr>
        <w:t> </w:t>
      </w:r>
      <w:r>
        <w:rPr>
          <w:i/>
          <w:color w:val="231F1F"/>
          <w:w w:val="110"/>
          <w:sz w:val="22"/>
        </w:rPr>
        <w:t>uterotónicos</w:t>
      </w:r>
      <w:r>
        <w:rPr>
          <w:i/>
          <w:color w:val="231F1F"/>
          <w:spacing w:val="-8"/>
          <w:w w:val="110"/>
          <w:sz w:val="22"/>
        </w:rPr>
        <w:t> </w:t>
      </w:r>
      <w:r>
        <w:rPr>
          <w:color w:val="231F1F"/>
          <w:w w:val="110"/>
          <w:sz w:val="22"/>
        </w:rPr>
        <w:t>(10 estudios)</w:t>
      </w:r>
      <w:r>
        <w:rPr>
          <w:color w:val="231F1F"/>
          <w:spacing w:val="-15"/>
          <w:w w:val="110"/>
          <w:sz w:val="22"/>
        </w:rPr>
        <w:t> </w:t>
      </w:r>
      <w:r>
        <w:rPr>
          <w:color w:val="231F1F"/>
          <w:w w:val="110"/>
          <w:sz w:val="22"/>
        </w:rPr>
        <w:t>se</w:t>
      </w:r>
      <w:r>
        <w:rPr>
          <w:color w:val="231F1F"/>
          <w:spacing w:val="-15"/>
          <w:w w:val="110"/>
          <w:sz w:val="22"/>
        </w:rPr>
        <w:t> </w:t>
      </w:r>
      <w:r>
        <w:rPr>
          <w:color w:val="231F1F"/>
          <w:w w:val="110"/>
          <w:sz w:val="22"/>
        </w:rPr>
        <w:t>muestra</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las</w:t>
      </w:r>
      <w:r>
        <w:rPr>
          <w:color w:val="231F1F"/>
          <w:spacing w:val="-15"/>
          <w:w w:val="110"/>
          <w:sz w:val="22"/>
        </w:rPr>
        <w:t> </w:t>
      </w:r>
      <w:r>
        <w:rPr>
          <w:color w:val="231F1F"/>
          <w:w w:val="110"/>
          <w:sz w:val="22"/>
        </w:rPr>
        <w:t>prostaglandinas</w:t>
      </w:r>
      <w:r>
        <w:rPr>
          <w:color w:val="231F1F"/>
          <w:spacing w:val="-16"/>
          <w:w w:val="110"/>
          <w:sz w:val="22"/>
        </w:rPr>
        <w:t> </w:t>
      </w:r>
      <w:r>
        <w:rPr>
          <w:color w:val="231F1F"/>
          <w:w w:val="110"/>
          <w:sz w:val="22"/>
        </w:rPr>
        <w:t>tuvieron</w:t>
      </w:r>
      <w:r>
        <w:rPr>
          <w:color w:val="231F1F"/>
          <w:spacing w:val="-14"/>
          <w:w w:val="110"/>
          <w:sz w:val="22"/>
        </w:rPr>
        <w:t> </w:t>
      </w:r>
      <w:r>
        <w:rPr>
          <w:color w:val="231F1F"/>
          <w:w w:val="110"/>
          <w:sz w:val="22"/>
        </w:rPr>
        <w:t>menores</w:t>
      </w:r>
      <w:r>
        <w:rPr>
          <w:color w:val="231F1F"/>
          <w:spacing w:val="-15"/>
          <w:w w:val="110"/>
          <w:sz w:val="22"/>
        </w:rPr>
        <w:t> </w:t>
      </w:r>
      <w:r>
        <w:rPr>
          <w:color w:val="231F1F"/>
          <w:w w:val="110"/>
          <w:sz w:val="22"/>
        </w:rPr>
        <w:t>pérdi- das</w:t>
      </w:r>
      <w:r>
        <w:rPr>
          <w:color w:val="231F1F"/>
          <w:spacing w:val="-3"/>
          <w:w w:val="110"/>
          <w:sz w:val="22"/>
        </w:rPr>
        <w:t> </w:t>
      </w:r>
      <w:r>
        <w:rPr>
          <w:color w:val="231F1F"/>
          <w:w w:val="110"/>
          <w:sz w:val="22"/>
        </w:rPr>
        <w:t>de</w:t>
      </w:r>
      <w:r>
        <w:rPr>
          <w:color w:val="231F1F"/>
          <w:spacing w:val="-3"/>
          <w:w w:val="110"/>
          <w:sz w:val="22"/>
        </w:rPr>
        <w:t> </w:t>
      </w:r>
      <w:r>
        <w:rPr>
          <w:color w:val="231F1F"/>
          <w:w w:val="110"/>
          <w:sz w:val="22"/>
        </w:rPr>
        <w:t>sangre</w:t>
      </w:r>
      <w:r>
        <w:rPr>
          <w:color w:val="231F1F"/>
          <w:spacing w:val="-3"/>
          <w:w w:val="110"/>
          <w:sz w:val="22"/>
        </w:rPr>
        <w:t> </w:t>
      </w:r>
      <w:r>
        <w:rPr>
          <w:color w:val="231F1F"/>
          <w:w w:val="110"/>
          <w:sz w:val="22"/>
        </w:rPr>
        <w:t>y</w:t>
      </w:r>
      <w:r>
        <w:rPr>
          <w:color w:val="231F1F"/>
          <w:spacing w:val="-3"/>
          <w:w w:val="110"/>
          <w:sz w:val="22"/>
        </w:rPr>
        <w:t> </w:t>
      </w:r>
      <w:r>
        <w:rPr>
          <w:color w:val="231F1F"/>
          <w:w w:val="110"/>
          <w:sz w:val="22"/>
        </w:rPr>
        <w:t>menor</w:t>
      </w:r>
      <w:r>
        <w:rPr>
          <w:color w:val="231F1F"/>
          <w:spacing w:val="-3"/>
          <w:w w:val="110"/>
          <w:sz w:val="22"/>
        </w:rPr>
        <w:t> </w:t>
      </w:r>
      <w:r>
        <w:rPr>
          <w:color w:val="231F1F"/>
          <w:w w:val="110"/>
          <w:sz w:val="22"/>
        </w:rPr>
        <w:t>duración</w:t>
      </w:r>
      <w:r>
        <w:rPr>
          <w:color w:val="231F1F"/>
          <w:spacing w:val="-3"/>
          <w:w w:val="110"/>
          <w:sz w:val="22"/>
        </w:rPr>
        <w:t> </w:t>
      </w:r>
      <w:r>
        <w:rPr>
          <w:color w:val="231F1F"/>
          <w:w w:val="110"/>
          <w:sz w:val="22"/>
        </w:rPr>
        <w:t>en</w:t>
      </w:r>
      <w:r>
        <w:rPr>
          <w:color w:val="231F1F"/>
          <w:spacing w:val="-3"/>
          <w:w w:val="110"/>
          <w:sz w:val="22"/>
        </w:rPr>
        <w:t> </w:t>
      </w:r>
      <w:r>
        <w:rPr>
          <w:color w:val="231F1F"/>
          <w:w w:val="110"/>
          <w:sz w:val="22"/>
        </w:rPr>
        <w:t>el</w:t>
      </w:r>
      <w:r>
        <w:rPr>
          <w:color w:val="231F1F"/>
          <w:spacing w:val="-3"/>
          <w:w w:val="110"/>
          <w:sz w:val="22"/>
        </w:rPr>
        <w:t> </w:t>
      </w:r>
      <w:r>
        <w:rPr>
          <w:color w:val="231F1F"/>
          <w:w w:val="110"/>
          <w:sz w:val="22"/>
        </w:rPr>
        <w:t>alumbramiento</w:t>
      </w:r>
      <w:r>
        <w:rPr>
          <w:color w:val="231F1F"/>
          <w:spacing w:val="-3"/>
          <w:w w:val="110"/>
          <w:sz w:val="22"/>
        </w:rPr>
        <w:t> </w:t>
      </w:r>
      <w:r>
        <w:rPr>
          <w:color w:val="231F1F"/>
          <w:w w:val="110"/>
          <w:sz w:val="22"/>
        </w:rPr>
        <w:t>que</w:t>
      </w:r>
      <w:r>
        <w:rPr>
          <w:color w:val="231F1F"/>
          <w:spacing w:val="-3"/>
          <w:w w:val="110"/>
          <w:sz w:val="22"/>
        </w:rPr>
        <w:t> </w:t>
      </w:r>
      <w:r>
        <w:rPr>
          <w:color w:val="231F1F"/>
          <w:w w:val="110"/>
          <w:sz w:val="22"/>
        </w:rPr>
        <w:t>con</w:t>
      </w:r>
      <w:r>
        <w:rPr>
          <w:color w:val="231F1F"/>
          <w:spacing w:val="-3"/>
          <w:w w:val="110"/>
          <w:sz w:val="22"/>
        </w:rPr>
        <w:t> </w:t>
      </w:r>
      <w:r>
        <w:rPr>
          <w:color w:val="231F1F"/>
          <w:w w:val="110"/>
          <w:sz w:val="22"/>
        </w:rPr>
        <w:t>utero- tónicos</w:t>
      </w:r>
      <w:r>
        <w:rPr>
          <w:color w:val="231F1F"/>
          <w:spacing w:val="-6"/>
          <w:w w:val="110"/>
          <w:sz w:val="22"/>
        </w:rPr>
        <w:t> </w:t>
      </w:r>
      <w:r>
        <w:rPr>
          <w:color w:val="231F1F"/>
          <w:w w:val="110"/>
          <w:sz w:val="22"/>
        </w:rPr>
        <w:t>pero</w:t>
      </w:r>
      <w:r>
        <w:rPr>
          <w:color w:val="231F1F"/>
          <w:spacing w:val="-6"/>
          <w:w w:val="110"/>
          <w:sz w:val="22"/>
        </w:rPr>
        <w:t> </w:t>
      </w:r>
      <w:r>
        <w:rPr>
          <w:color w:val="231F1F"/>
          <w:w w:val="110"/>
          <w:sz w:val="22"/>
        </w:rPr>
        <w:t>también</w:t>
      </w:r>
      <w:r>
        <w:rPr>
          <w:color w:val="231F1F"/>
          <w:spacing w:val="-6"/>
          <w:w w:val="110"/>
          <w:sz w:val="22"/>
        </w:rPr>
        <w:t> </w:t>
      </w:r>
      <w:r>
        <w:rPr>
          <w:color w:val="231F1F"/>
          <w:w w:val="110"/>
          <w:sz w:val="22"/>
        </w:rPr>
        <w:t>presentaron</w:t>
      </w:r>
      <w:r>
        <w:rPr>
          <w:color w:val="231F1F"/>
          <w:spacing w:val="-6"/>
          <w:w w:val="110"/>
          <w:sz w:val="22"/>
        </w:rPr>
        <w:t> </w:t>
      </w:r>
      <w:r>
        <w:rPr>
          <w:color w:val="231F1F"/>
          <w:w w:val="110"/>
          <w:sz w:val="22"/>
        </w:rPr>
        <w:t>más</w:t>
      </w:r>
      <w:r>
        <w:rPr>
          <w:color w:val="231F1F"/>
          <w:spacing w:val="-6"/>
          <w:w w:val="110"/>
          <w:sz w:val="22"/>
        </w:rPr>
        <w:t> </w:t>
      </w:r>
      <w:r>
        <w:rPr>
          <w:color w:val="231F1F"/>
          <w:w w:val="110"/>
          <w:sz w:val="22"/>
        </w:rPr>
        <w:t>efectos</w:t>
      </w:r>
      <w:r>
        <w:rPr>
          <w:color w:val="231F1F"/>
          <w:spacing w:val="-6"/>
          <w:w w:val="110"/>
          <w:sz w:val="22"/>
        </w:rPr>
        <w:t> </w:t>
      </w:r>
      <w:r>
        <w:rPr>
          <w:color w:val="231F1F"/>
          <w:w w:val="110"/>
          <w:sz w:val="22"/>
        </w:rPr>
        <w:t>secundarios</w:t>
      </w:r>
      <w:r>
        <w:rPr>
          <w:color w:val="231F1F"/>
          <w:spacing w:val="-7"/>
          <w:w w:val="110"/>
          <w:sz w:val="22"/>
        </w:rPr>
        <w:t> </w:t>
      </w:r>
      <w:r>
        <w:rPr>
          <w:color w:val="231F1F"/>
          <w:w w:val="110"/>
          <w:sz w:val="22"/>
        </w:rPr>
        <w:t>como</w:t>
      </w:r>
      <w:r>
        <w:rPr>
          <w:color w:val="231F1F"/>
          <w:spacing w:val="-6"/>
          <w:w w:val="110"/>
          <w:sz w:val="22"/>
        </w:rPr>
        <w:t> </w:t>
      </w:r>
      <w:r>
        <w:rPr>
          <w:color w:val="231F1F"/>
          <w:w w:val="110"/>
          <w:sz w:val="22"/>
        </w:rPr>
        <w:t>vó- mitos, dolor abdominal y diarrea.</w:t>
      </w:r>
    </w:p>
    <w:p>
      <w:pPr>
        <w:pStyle w:val="BodyText"/>
        <w:spacing w:line="244" w:lineRule="auto" w:before="59"/>
        <w:ind w:left="283" w:firstLine="453"/>
        <w:jc w:val="both"/>
      </w:pPr>
      <w:r>
        <w:rPr>
          <w:color w:val="231F1F"/>
          <w:w w:val="105"/>
        </w:rPr>
        <w:t>La</w:t>
      </w:r>
      <w:r>
        <w:rPr>
          <w:color w:val="231F1F"/>
          <w:spacing w:val="-5"/>
          <w:w w:val="105"/>
        </w:rPr>
        <w:t> </w:t>
      </w:r>
      <w:r>
        <w:rPr>
          <w:color w:val="231F1F"/>
          <w:w w:val="105"/>
        </w:rPr>
        <w:t>RS</w:t>
      </w:r>
      <w:r>
        <w:rPr>
          <w:color w:val="231F1F"/>
          <w:spacing w:val="-5"/>
          <w:w w:val="105"/>
        </w:rPr>
        <w:t> </w:t>
      </w:r>
      <w:r>
        <w:rPr>
          <w:color w:val="231F1F"/>
          <w:w w:val="105"/>
        </w:rPr>
        <w:t>de</w:t>
      </w:r>
      <w:r>
        <w:rPr>
          <w:color w:val="231F1F"/>
          <w:spacing w:val="-5"/>
          <w:w w:val="105"/>
        </w:rPr>
        <w:t> </w:t>
      </w:r>
      <w:r>
        <w:rPr>
          <w:color w:val="231F1F"/>
          <w:w w:val="105"/>
        </w:rPr>
        <w:t>Mousa,</w:t>
      </w:r>
      <w:r>
        <w:rPr>
          <w:color w:val="231F1F"/>
          <w:spacing w:val="-5"/>
          <w:w w:val="105"/>
        </w:rPr>
        <w:t> </w:t>
      </w:r>
      <w:r>
        <w:rPr>
          <w:color w:val="231F1F"/>
          <w:w w:val="105"/>
        </w:rPr>
        <w:t>2008</w:t>
      </w:r>
      <w:r>
        <w:rPr>
          <w:color w:val="231F1F"/>
          <w:spacing w:val="-5"/>
          <w:w w:val="105"/>
        </w:rPr>
        <w:t> </w:t>
      </w:r>
      <w:r>
        <w:rPr>
          <w:color w:val="231F1F"/>
          <w:w w:val="105"/>
        </w:rPr>
        <w:t>(203)</w:t>
      </w:r>
      <w:r>
        <w:rPr>
          <w:color w:val="231F1F"/>
          <w:spacing w:val="-5"/>
          <w:w w:val="105"/>
        </w:rPr>
        <w:t> </w:t>
      </w:r>
      <w:r>
        <w:rPr>
          <w:color w:val="231F1F"/>
          <w:w w:val="105"/>
        </w:rPr>
        <w:t>con</w:t>
      </w:r>
      <w:r>
        <w:rPr>
          <w:color w:val="231F1F"/>
          <w:spacing w:val="-5"/>
          <w:w w:val="105"/>
        </w:rPr>
        <w:t> </w:t>
      </w:r>
      <w:r>
        <w:rPr>
          <w:color w:val="231F1F"/>
          <w:w w:val="105"/>
        </w:rPr>
        <w:t>3</w:t>
      </w:r>
      <w:r>
        <w:rPr>
          <w:color w:val="231F1F"/>
          <w:spacing w:val="-5"/>
          <w:w w:val="105"/>
        </w:rPr>
        <w:t> </w:t>
      </w:r>
      <w:r>
        <w:rPr>
          <w:color w:val="231F1F"/>
          <w:w w:val="105"/>
        </w:rPr>
        <w:t>estudios</w:t>
      </w:r>
      <w:r>
        <w:rPr>
          <w:color w:val="231F1F"/>
          <w:spacing w:val="-4"/>
          <w:w w:val="105"/>
        </w:rPr>
        <w:t> </w:t>
      </w:r>
      <w:r>
        <w:rPr>
          <w:color w:val="231F1F"/>
          <w:w w:val="105"/>
        </w:rPr>
        <w:t>y</w:t>
      </w:r>
      <w:r>
        <w:rPr>
          <w:color w:val="231F1F"/>
          <w:spacing w:val="-5"/>
          <w:w w:val="105"/>
        </w:rPr>
        <w:t> </w:t>
      </w:r>
      <w:r>
        <w:rPr>
          <w:color w:val="231F1F"/>
          <w:w w:val="105"/>
        </w:rPr>
        <w:t>462</w:t>
      </w:r>
      <w:r>
        <w:rPr>
          <w:color w:val="231F1F"/>
          <w:spacing w:val="-5"/>
          <w:w w:val="105"/>
        </w:rPr>
        <w:t> </w:t>
      </w:r>
      <w:r>
        <w:rPr>
          <w:color w:val="231F1F"/>
          <w:w w:val="105"/>
        </w:rPr>
        <w:t>mujeres</w:t>
      </w:r>
      <w:r>
        <w:rPr>
          <w:color w:val="231F1F"/>
          <w:spacing w:val="-5"/>
          <w:w w:val="105"/>
        </w:rPr>
        <w:t> </w:t>
      </w:r>
      <w:r>
        <w:rPr>
          <w:color w:val="231F1F"/>
          <w:w w:val="105"/>
        </w:rPr>
        <w:t>evalúa</w:t>
      </w:r>
      <w:r>
        <w:rPr>
          <w:color w:val="231F1F"/>
          <w:spacing w:val="-5"/>
          <w:w w:val="105"/>
        </w:rPr>
        <w:t> </w:t>
      </w:r>
      <w:r>
        <w:rPr>
          <w:color w:val="231F1F"/>
          <w:w w:val="105"/>
        </w:rPr>
        <w:t>la</w:t>
      </w:r>
      <w:r>
        <w:rPr>
          <w:color w:val="231F1F"/>
          <w:spacing w:val="-5"/>
          <w:w w:val="105"/>
        </w:rPr>
        <w:t> </w:t>
      </w:r>
      <w:r>
        <w:rPr>
          <w:color w:val="231F1F"/>
          <w:w w:val="105"/>
        </w:rPr>
        <w:t>efec- tividad y seguridad de las intervenciones radiológicas, quirúrgicas y farmaco- lógicas</w:t>
      </w:r>
      <w:r>
        <w:rPr>
          <w:color w:val="231F1F"/>
          <w:w w:val="105"/>
        </w:rPr>
        <w:t> utilizadas</w:t>
      </w:r>
      <w:r>
        <w:rPr>
          <w:color w:val="231F1F"/>
          <w:w w:val="105"/>
        </w:rPr>
        <w:t> para</w:t>
      </w:r>
      <w:r>
        <w:rPr>
          <w:color w:val="231F1F"/>
          <w:w w:val="105"/>
        </w:rPr>
        <w:t> la</w:t>
      </w:r>
      <w:r>
        <w:rPr>
          <w:color w:val="231F1F"/>
          <w:w w:val="105"/>
        </w:rPr>
        <w:t> HPP.</w:t>
      </w:r>
      <w:r>
        <w:rPr>
          <w:color w:val="231F1F"/>
          <w:w w:val="105"/>
        </w:rPr>
        <w:t> Entre</w:t>
      </w:r>
      <w:r>
        <w:rPr>
          <w:color w:val="231F1F"/>
          <w:w w:val="105"/>
        </w:rPr>
        <w:t> estas</w:t>
      </w:r>
      <w:r>
        <w:rPr>
          <w:color w:val="231F1F"/>
          <w:w w:val="105"/>
        </w:rPr>
        <w:t> últimas</w:t>
      </w:r>
      <w:r>
        <w:rPr>
          <w:color w:val="231F1F"/>
          <w:w w:val="105"/>
        </w:rPr>
        <w:t> analiza</w:t>
      </w:r>
      <w:r>
        <w:rPr>
          <w:color w:val="231F1F"/>
          <w:w w:val="105"/>
        </w:rPr>
        <w:t> la</w:t>
      </w:r>
      <w:r>
        <w:rPr>
          <w:color w:val="231F1F"/>
          <w:w w:val="105"/>
        </w:rPr>
        <w:t> comparación entre </w:t>
      </w:r>
      <w:r>
        <w:rPr>
          <w:i/>
          <w:color w:val="231F1F"/>
          <w:w w:val="105"/>
        </w:rPr>
        <w:t>misoprostol vs oxitocina/ergometrina </w:t>
      </w:r>
      <w:r>
        <w:rPr>
          <w:color w:val="231F1F"/>
          <w:w w:val="105"/>
        </w:rPr>
        <w:t>(1 estudio):</w:t>
      </w:r>
    </w:p>
    <w:p>
      <w:pPr>
        <w:spacing w:line="278" w:lineRule="auto" w:before="104"/>
        <w:ind w:left="90" w:right="153" w:firstLine="0"/>
        <w:jc w:val="center"/>
        <w:rPr>
          <w:rFonts w:ascii="Arial MT"/>
          <w:sz w:val="18"/>
        </w:rPr>
      </w:pPr>
      <w:r>
        <w:rPr/>
        <w:br w:type="column"/>
      </w: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91" w:right="452"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37"/>
        <w:rPr>
          <w:rFonts w:ascii="Arial MT"/>
          <w:sz w:val="18"/>
        </w:rPr>
      </w:pPr>
    </w:p>
    <w:p>
      <w:pPr>
        <w:spacing w:line="278" w:lineRule="auto" w:before="0"/>
        <w:ind w:left="90" w:right="153"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391" w:right="452" w:firstLine="0"/>
        <w:jc w:val="center"/>
        <w:rPr>
          <w:rFonts w:ascii="Arial MT"/>
          <w:sz w:val="18"/>
        </w:rPr>
      </w:pPr>
      <w:r>
        <w:rPr>
          <w:rFonts w:ascii="Arial MT"/>
          <w:color w:val="231F1F"/>
          <w:spacing w:val="-5"/>
          <w:sz w:val="18"/>
        </w:rPr>
        <w:t>1+</w:t>
      </w:r>
    </w:p>
    <w:p>
      <w:pPr>
        <w:spacing w:after="0" w:line="202" w:lineRule="exact"/>
        <w:jc w:val="center"/>
        <w:rPr>
          <w:rFonts w:ascii="Arial MT"/>
          <w:sz w:val="18"/>
        </w:rPr>
        <w:sectPr>
          <w:pgSz w:w="11900" w:h="16840"/>
          <w:pgMar w:header="0" w:footer="622" w:top="1580" w:bottom="820" w:left="1417" w:right="1559"/>
          <w:cols w:num="2" w:equalWidth="0">
            <w:col w:w="7552" w:space="40"/>
            <w:col w:w="1332"/>
          </w:cols>
        </w:sectPr>
      </w:pPr>
    </w:p>
    <w:p>
      <w:pPr>
        <w:pStyle w:val="BodyText"/>
        <w:tabs>
          <w:tab w:pos="8036" w:val="left" w:leader="none"/>
          <w:tab w:pos="8114" w:val="left" w:leader="none"/>
        </w:tabs>
        <w:spacing w:line="252" w:lineRule="auto" w:before="73"/>
        <w:ind w:left="283" w:right="524" w:firstLine="453"/>
      </w:pPr>
      <w:r>
        <w:rPr>
          <w:color w:val="231F1F"/>
          <w:w w:val="105"/>
        </w:rPr>
        <w:t>El misoprostol rectal frente a combinación de sintometrina (I.M.)+infusión</w:t>
      </w:r>
      <w:r>
        <w:rPr>
          <w:color w:val="231F1F"/>
        </w:rPr>
        <w:tab/>
      </w:r>
      <w:r>
        <w:rPr>
          <w:rFonts w:ascii="Arial MT" w:hAnsi="Arial MT"/>
          <w:color w:val="231F1F"/>
          <w:spacing w:val="-12"/>
          <w:w w:val="105"/>
          <w:sz w:val="18"/>
        </w:rPr>
        <w:t>ECA </w:t>
      </w:r>
      <w:r>
        <w:rPr>
          <w:color w:val="231F1F"/>
          <w:w w:val="105"/>
        </w:rPr>
        <w:t>de oxitocina fue ligeramente superior en el cese de la hemorragia a los 20 mi-</w:t>
      </w:r>
      <w:r>
        <w:rPr>
          <w:color w:val="231F1F"/>
        </w:rPr>
        <w:tab/>
        <w:tab/>
      </w:r>
      <w:r>
        <w:rPr>
          <w:rFonts w:ascii="Arial MT" w:hAnsi="Arial MT"/>
          <w:color w:val="231F1F"/>
          <w:spacing w:val="-6"/>
          <w:w w:val="105"/>
          <w:position w:val="4"/>
          <w:sz w:val="18"/>
        </w:rPr>
        <w:t>1+ </w:t>
      </w:r>
      <w:r>
        <w:rPr>
          <w:color w:val="231F1F"/>
          <w:w w:val="105"/>
        </w:rPr>
        <w:t>nutos: RR 0,18 [IC 95% 0,04 a 0,76], n=64 así como en reducción uso de utero-</w:t>
      </w:r>
    </w:p>
    <w:p>
      <w:pPr>
        <w:pStyle w:val="BodyText"/>
        <w:spacing w:line="259" w:lineRule="auto"/>
        <w:ind w:left="319" w:right="1364" w:firstLine="52"/>
        <w:jc w:val="right"/>
      </w:pPr>
      <w:r>
        <w:rPr>
          <w:color w:val="231F1F"/>
          <w:spacing w:val="-2"/>
          <w:w w:val="105"/>
        </w:rPr>
        <w:t>tónicos</w:t>
      </w:r>
      <w:r>
        <w:rPr>
          <w:color w:val="231F1F"/>
          <w:spacing w:val="-10"/>
          <w:w w:val="105"/>
        </w:rPr>
        <w:t> </w:t>
      </w:r>
      <w:r>
        <w:rPr>
          <w:color w:val="231F1F"/>
          <w:spacing w:val="-2"/>
          <w:w w:val="105"/>
        </w:rPr>
        <w:t>adicionales:</w:t>
      </w:r>
      <w:r>
        <w:rPr>
          <w:color w:val="231F1F"/>
          <w:spacing w:val="-7"/>
          <w:w w:val="105"/>
        </w:rPr>
        <w:t> </w:t>
      </w:r>
      <w:r>
        <w:rPr>
          <w:color w:val="231F1F"/>
          <w:spacing w:val="-2"/>
          <w:w w:val="105"/>
        </w:rPr>
        <w:t>RR</w:t>
      </w:r>
      <w:r>
        <w:rPr>
          <w:color w:val="231F1F"/>
          <w:spacing w:val="-9"/>
          <w:w w:val="105"/>
        </w:rPr>
        <w:t> </w:t>
      </w:r>
      <w:r>
        <w:rPr>
          <w:color w:val="231F1F"/>
          <w:spacing w:val="-2"/>
          <w:w w:val="105"/>
        </w:rPr>
        <w:t>0,1</w:t>
      </w:r>
      <w:r>
        <w:rPr>
          <w:color w:val="231F1F"/>
          <w:spacing w:val="-7"/>
          <w:w w:val="105"/>
        </w:rPr>
        <w:t> </w:t>
      </w:r>
      <w:r>
        <w:rPr>
          <w:color w:val="231F1F"/>
          <w:spacing w:val="-2"/>
          <w:w w:val="105"/>
        </w:rPr>
        <w:t>[IC</w:t>
      </w:r>
      <w:r>
        <w:rPr>
          <w:color w:val="231F1F"/>
          <w:spacing w:val="-9"/>
          <w:w w:val="105"/>
        </w:rPr>
        <w:t> </w:t>
      </w:r>
      <w:r>
        <w:rPr>
          <w:color w:val="231F1F"/>
          <w:spacing w:val="-2"/>
          <w:w w:val="105"/>
        </w:rPr>
        <w:t>95%</w:t>
      </w:r>
      <w:r>
        <w:rPr>
          <w:color w:val="231F1F"/>
          <w:spacing w:val="-7"/>
          <w:w w:val="105"/>
        </w:rPr>
        <w:t> </w:t>
      </w:r>
      <w:r>
        <w:rPr>
          <w:color w:val="231F1F"/>
          <w:spacing w:val="-2"/>
          <w:w w:val="105"/>
        </w:rPr>
        <w:t>0,04</w:t>
      </w:r>
      <w:r>
        <w:rPr>
          <w:color w:val="231F1F"/>
          <w:spacing w:val="-9"/>
          <w:w w:val="105"/>
        </w:rPr>
        <w:t> </w:t>
      </w:r>
      <w:r>
        <w:rPr>
          <w:color w:val="231F1F"/>
          <w:spacing w:val="-2"/>
          <w:w w:val="105"/>
        </w:rPr>
        <w:t>a</w:t>
      </w:r>
      <w:r>
        <w:rPr>
          <w:color w:val="231F1F"/>
          <w:spacing w:val="-7"/>
          <w:w w:val="105"/>
        </w:rPr>
        <w:t> </w:t>
      </w:r>
      <w:r>
        <w:rPr>
          <w:color w:val="231F1F"/>
          <w:spacing w:val="-2"/>
          <w:w w:val="105"/>
        </w:rPr>
        <w:t>0,76],</w:t>
      </w:r>
      <w:r>
        <w:rPr>
          <w:color w:val="231F1F"/>
          <w:spacing w:val="-9"/>
          <w:w w:val="105"/>
        </w:rPr>
        <w:t> </w:t>
      </w:r>
      <w:r>
        <w:rPr>
          <w:color w:val="231F1F"/>
          <w:spacing w:val="-2"/>
          <w:w w:val="105"/>
        </w:rPr>
        <w:t>n=64.</w:t>
      </w:r>
      <w:r>
        <w:rPr>
          <w:color w:val="231F1F"/>
          <w:spacing w:val="-9"/>
          <w:w w:val="105"/>
        </w:rPr>
        <w:t> </w:t>
      </w:r>
      <w:r>
        <w:rPr>
          <w:color w:val="231F1F"/>
          <w:spacing w:val="-2"/>
          <w:w w:val="105"/>
        </w:rPr>
        <w:t>En</w:t>
      </w:r>
      <w:r>
        <w:rPr>
          <w:color w:val="231F1F"/>
          <w:spacing w:val="-7"/>
          <w:w w:val="105"/>
        </w:rPr>
        <w:t> </w:t>
      </w:r>
      <w:r>
        <w:rPr>
          <w:color w:val="231F1F"/>
          <w:spacing w:val="-2"/>
          <w:w w:val="105"/>
        </w:rPr>
        <w:t>cuanto</w:t>
      </w:r>
      <w:r>
        <w:rPr>
          <w:color w:val="231F1F"/>
          <w:spacing w:val="-7"/>
          <w:w w:val="105"/>
        </w:rPr>
        <w:t> </w:t>
      </w:r>
      <w:r>
        <w:rPr>
          <w:color w:val="231F1F"/>
          <w:spacing w:val="-2"/>
          <w:w w:val="105"/>
        </w:rPr>
        <w:t>a</w:t>
      </w:r>
      <w:r>
        <w:rPr>
          <w:color w:val="231F1F"/>
          <w:spacing w:val="-9"/>
          <w:w w:val="105"/>
        </w:rPr>
        <w:t> </w:t>
      </w:r>
      <w:r>
        <w:rPr>
          <w:color w:val="231F1F"/>
          <w:spacing w:val="-2"/>
          <w:w w:val="105"/>
        </w:rPr>
        <w:t>los</w:t>
      </w:r>
      <w:r>
        <w:rPr>
          <w:color w:val="231F1F"/>
          <w:spacing w:val="-7"/>
          <w:w w:val="105"/>
        </w:rPr>
        <w:t> </w:t>
      </w:r>
      <w:r>
        <w:rPr>
          <w:color w:val="231F1F"/>
          <w:spacing w:val="-2"/>
          <w:w w:val="105"/>
        </w:rPr>
        <w:t>efectos secundarios</w:t>
      </w:r>
      <w:r>
        <w:rPr>
          <w:color w:val="231F1F"/>
          <w:spacing w:val="-16"/>
          <w:w w:val="105"/>
        </w:rPr>
        <w:t> </w:t>
      </w:r>
      <w:r>
        <w:rPr>
          <w:color w:val="231F1F"/>
          <w:spacing w:val="-2"/>
          <w:w w:val="105"/>
        </w:rPr>
        <w:t>se</w:t>
      </w:r>
      <w:r>
        <w:rPr>
          <w:color w:val="231F1F"/>
          <w:spacing w:val="-16"/>
          <w:w w:val="105"/>
        </w:rPr>
        <w:t> </w:t>
      </w:r>
      <w:r>
        <w:rPr>
          <w:color w:val="231F1F"/>
          <w:spacing w:val="-2"/>
          <w:w w:val="105"/>
        </w:rPr>
        <w:t>observó</w:t>
      </w:r>
      <w:r>
        <w:rPr>
          <w:color w:val="231F1F"/>
          <w:spacing w:val="-16"/>
          <w:w w:val="105"/>
        </w:rPr>
        <w:t> </w:t>
      </w:r>
      <w:r>
        <w:rPr>
          <w:color w:val="231F1F"/>
          <w:spacing w:val="-2"/>
          <w:w w:val="105"/>
        </w:rPr>
        <w:t>un</w:t>
      </w:r>
      <w:r>
        <w:rPr>
          <w:color w:val="231F1F"/>
          <w:spacing w:val="-11"/>
          <w:w w:val="105"/>
        </w:rPr>
        <w:t> </w:t>
      </w:r>
      <w:r>
        <w:rPr>
          <w:color w:val="231F1F"/>
          <w:spacing w:val="-2"/>
          <w:w w:val="105"/>
        </w:rPr>
        <w:t>aumento</w:t>
      </w:r>
      <w:r>
        <w:rPr>
          <w:color w:val="231F1F"/>
          <w:spacing w:val="-14"/>
          <w:w w:val="105"/>
        </w:rPr>
        <w:t> </w:t>
      </w:r>
      <w:r>
        <w:rPr>
          <w:color w:val="231F1F"/>
          <w:spacing w:val="-2"/>
          <w:w w:val="105"/>
        </w:rPr>
        <w:t>significativo</w:t>
      </w:r>
      <w:r>
        <w:rPr>
          <w:color w:val="231F1F"/>
          <w:spacing w:val="-16"/>
          <w:w w:val="105"/>
        </w:rPr>
        <w:t> </w:t>
      </w:r>
      <w:r>
        <w:rPr>
          <w:color w:val="231F1F"/>
          <w:spacing w:val="-2"/>
          <w:w w:val="105"/>
        </w:rPr>
        <w:t>en</w:t>
      </w:r>
      <w:r>
        <w:rPr>
          <w:color w:val="231F1F"/>
          <w:spacing w:val="-14"/>
          <w:w w:val="105"/>
        </w:rPr>
        <w:t> </w:t>
      </w:r>
      <w:r>
        <w:rPr>
          <w:color w:val="231F1F"/>
          <w:spacing w:val="-2"/>
          <w:w w:val="105"/>
        </w:rPr>
        <w:t>la</w:t>
      </w:r>
      <w:r>
        <w:rPr>
          <w:color w:val="231F1F"/>
          <w:spacing w:val="-11"/>
          <w:w w:val="105"/>
        </w:rPr>
        <w:t> </w:t>
      </w:r>
      <w:r>
        <w:rPr>
          <w:color w:val="231F1F"/>
          <w:spacing w:val="-2"/>
          <w:w w:val="105"/>
        </w:rPr>
        <w:t>pirexia</w:t>
      </w:r>
      <w:r>
        <w:rPr>
          <w:color w:val="231F1F"/>
          <w:spacing w:val="-16"/>
          <w:w w:val="105"/>
        </w:rPr>
        <w:t> </w:t>
      </w:r>
      <w:r>
        <w:rPr>
          <w:color w:val="231F1F"/>
          <w:spacing w:val="-2"/>
          <w:w w:val="105"/>
        </w:rPr>
        <w:t>materna</w:t>
      </w:r>
      <w:r>
        <w:rPr>
          <w:color w:val="231F1F"/>
          <w:spacing w:val="-16"/>
          <w:w w:val="105"/>
        </w:rPr>
        <w:t> </w:t>
      </w:r>
      <w:r>
        <w:rPr>
          <w:color w:val="231F1F"/>
          <w:spacing w:val="-2"/>
          <w:w w:val="105"/>
        </w:rPr>
        <w:t>y</w:t>
      </w:r>
      <w:r>
        <w:rPr>
          <w:color w:val="231F1F"/>
          <w:spacing w:val="-14"/>
          <w:w w:val="105"/>
        </w:rPr>
        <w:t> </w:t>
      </w:r>
      <w:r>
        <w:rPr>
          <w:color w:val="231F1F"/>
          <w:spacing w:val="-2"/>
          <w:w w:val="105"/>
        </w:rPr>
        <w:t>temblor. </w:t>
      </w:r>
      <w:r>
        <w:rPr>
          <w:color w:val="231F1F"/>
          <w:w w:val="105"/>
        </w:rPr>
        <w:t>La RS de Su, 2008, (204) incluye 4 estudios y 1.037 mujeres. Evalúa si la carbetocina es tan eficaz como los agentes uterotónicos convencionales para</w:t>
      </w:r>
      <w:r>
        <w:rPr>
          <w:color w:val="231F1F"/>
          <w:spacing w:val="40"/>
          <w:w w:val="105"/>
        </w:rPr>
        <w:t> </w:t>
      </w:r>
      <w:r>
        <w:rPr>
          <w:color w:val="231F1F"/>
          <w:w w:val="105"/>
        </w:rPr>
        <w:t>la reducción de la HPP. Tres estudios eran sobre partos con cesárea y un es-</w:t>
      </w:r>
    </w:p>
    <w:p>
      <w:pPr>
        <w:pStyle w:val="BodyText"/>
        <w:spacing w:line="240" w:lineRule="exact"/>
        <w:ind w:left="283"/>
      </w:pPr>
      <w:r>
        <w:rPr>
          <w:color w:val="231F1F"/>
          <w:w w:val="110"/>
        </w:rPr>
        <w:t>tudio</w:t>
      </w:r>
      <w:r>
        <w:rPr>
          <w:color w:val="231F1F"/>
          <w:spacing w:val="-7"/>
          <w:w w:val="110"/>
        </w:rPr>
        <w:t> </w:t>
      </w:r>
      <w:r>
        <w:rPr>
          <w:color w:val="231F1F"/>
          <w:w w:val="110"/>
        </w:rPr>
        <w:t>sobre</w:t>
      </w:r>
      <w:r>
        <w:rPr>
          <w:color w:val="231F1F"/>
          <w:spacing w:val="-6"/>
          <w:w w:val="110"/>
        </w:rPr>
        <w:t> </w:t>
      </w:r>
      <w:r>
        <w:rPr>
          <w:color w:val="231F1F"/>
          <w:w w:val="110"/>
        </w:rPr>
        <w:t>mujeres</w:t>
      </w:r>
      <w:r>
        <w:rPr>
          <w:color w:val="231F1F"/>
          <w:spacing w:val="-6"/>
          <w:w w:val="110"/>
        </w:rPr>
        <w:t> </w:t>
      </w:r>
      <w:r>
        <w:rPr>
          <w:color w:val="231F1F"/>
          <w:w w:val="110"/>
        </w:rPr>
        <w:t>con</w:t>
      </w:r>
      <w:r>
        <w:rPr>
          <w:color w:val="231F1F"/>
          <w:spacing w:val="-5"/>
          <w:w w:val="110"/>
        </w:rPr>
        <w:t> </w:t>
      </w:r>
      <w:r>
        <w:rPr>
          <w:color w:val="231F1F"/>
          <w:w w:val="110"/>
        </w:rPr>
        <w:t>parto</w:t>
      </w:r>
      <w:r>
        <w:rPr>
          <w:color w:val="231F1F"/>
          <w:spacing w:val="-6"/>
          <w:w w:val="110"/>
        </w:rPr>
        <w:t> </w:t>
      </w:r>
      <w:r>
        <w:rPr>
          <w:color w:val="231F1F"/>
          <w:w w:val="110"/>
        </w:rPr>
        <w:t>vaginal</w:t>
      </w:r>
      <w:r>
        <w:rPr>
          <w:color w:val="231F1F"/>
          <w:spacing w:val="-7"/>
          <w:w w:val="110"/>
        </w:rPr>
        <w:t> </w:t>
      </w:r>
      <w:r>
        <w:rPr>
          <w:color w:val="231F1F"/>
          <w:spacing w:val="-2"/>
          <w:w w:val="110"/>
        </w:rPr>
        <w:t>(n=152)</w:t>
      </w:r>
    </w:p>
    <w:p>
      <w:pPr>
        <w:pStyle w:val="BodyText"/>
        <w:tabs>
          <w:tab w:pos="7791" w:val="left" w:leader="none"/>
          <w:tab w:pos="7989" w:val="left" w:leader="none"/>
          <w:tab w:pos="8114" w:val="left" w:leader="none"/>
        </w:tabs>
        <w:spacing w:line="249" w:lineRule="auto" w:before="84"/>
        <w:ind w:left="283" w:right="312" w:firstLine="453"/>
      </w:pPr>
      <w:r>
        <w:rPr>
          <w:color w:val="231F1F"/>
          <w:w w:val="110"/>
        </w:rPr>
        <w:t>Los resultados muestran que la carbetocina redujo la necesidad de ma-</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saje uterino: RR 0,70 [IC 95% 0,51 a 0,94] y no se observaron diferencias</w:t>
      </w:r>
      <w:r>
        <w:rPr>
          <w:color w:val="231F1F"/>
        </w:rPr>
        <w:tab/>
        <w:tab/>
      </w:r>
      <w:r>
        <w:rPr>
          <w:rFonts w:ascii="Arial MT" w:hAnsi="Arial MT"/>
          <w:color w:val="231F1F"/>
          <w:spacing w:val="-4"/>
          <w:w w:val="110"/>
          <w:position w:val="4"/>
          <w:sz w:val="18"/>
        </w:rPr>
        <w:t>ECAs </w:t>
      </w:r>
      <w:r>
        <w:rPr>
          <w:color w:val="231F1F"/>
          <w:w w:val="110"/>
        </w:rPr>
        <w:t>significativas en la HPP, la pérdida de sangre, la hemoglobina o el uso de</w:t>
      </w:r>
      <w:r>
        <w:rPr>
          <w:color w:val="231F1F"/>
        </w:rPr>
        <w:tab/>
        <w:tab/>
        <w:tab/>
      </w:r>
      <w:r>
        <w:rPr>
          <w:rFonts w:ascii="Arial MT" w:hAnsi="Arial MT"/>
          <w:color w:val="231F1F"/>
          <w:spacing w:val="-6"/>
          <w:w w:val="110"/>
          <w:position w:val="8"/>
          <w:sz w:val="18"/>
        </w:rPr>
        <w:t>1+ </w:t>
      </w:r>
      <w:r>
        <w:rPr>
          <w:color w:val="231F1F"/>
          <w:w w:val="110"/>
        </w:rPr>
        <w:t>uterotónicos terapéuticos. En cuanto a efectos adversos, las mujeres que re-</w:t>
      </w:r>
    </w:p>
    <w:p>
      <w:pPr>
        <w:pStyle w:val="BodyText"/>
        <w:spacing w:line="249" w:lineRule="auto"/>
        <w:ind w:left="283" w:right="1386"/>
      </w:pPr>
      <w:r>
        <w:rPr>
          <w:color w:val="231F1F"/>
          <w:w w:val="110"/>
        </w:rPr>
        <w:t>cibieron</w:t>
      </w:r>
      <w:r>
        <w:rPr>
          <w:color w:val="231F1F"/>
          <w:spacing w:val="-16"/>
          <w:w w:val="110"/>
        </w:rPr>
        <w:t> </w:t>
      </w:r>
      <w:r>
        <w:rPr>
          <w:color w:val="231F1F"/>
          <w:w w:val="110"/>
        </w:rPr>
        <w:t>carbetocina</w:t>
      </w:r>
      <w:r>
        <w:rPr>
          <w:color w:val="231F1F"/>
          <w:spacing w:val="-15"/>
          <w:w w:val="110"/>
        </w:rPr>
        <w:t> </w:t>
      </w:r>
      <w:r>
        <w:rPr>
          <w:color w:val="231F1F"/>
          <w:w w:val="110"/>
        </w:rPr>
        <w:t>presentaron</w:t>
      </w:r>
      <w:r>
        <w:rPr>
          <w:color w:val="231F1F"/>
          <w:spacing w:val="-15"/>
          <w:w w:val="110"/>
        </w:rPr>
        <w:t> </w:t>
      </w:r>
      <w:r>
        <w:rPr>
          <w:color w:val="231F1F"/>
          <w:w w:val="110"/>
        </w:rPr>
        <w:t>un</w:t>
      </w:r>
      <w:r>
        <w:rPr>
          <w:color w:val="231F1F"/>
          <w:spacing w:val="-15"/>
          <w:w w:val="110"/>
        </w:rPr>
        <w:t> </w:t>
      </w:r>
      <w:r>
        <w:rPr>
          <w:color w:val="231F1F"/>
          <w:w w:val="110"/>
        </w:rPr>
        <w:t>riesgo</w:t>
      </w:r>
      <w:r>
        <w:rPr>
          <w:color w:val="231F1F"/>
          <w:spacing w:val="-15"/>
          <w:w w:val="110"/>
        </w:rPr>
        <w:t> </w:t>
      </w:r>
      <w:r>
        <w:rPr>
          <w:color w:val="231F1F"/>
          <w:w w:val="110"/>
        </w:rPr>
        <w:t>inferior</w:t>
      </w:r>
      <w:r>
        <w:rPr>
          <w:color w:val="231F1F"/>
          <w:spacing w:val="-15"/>
          <w:w w:val="110"/>
        </w:rPr>
        <w:t> </w:t>
      </w:r>
      <w:r>
        <w:rPr>
          <w:color w:val="231F1F"/>
          <w:w w:val="110"/>
        </w:rPr>
        <w:t>de</w:t>
      </w:r>
      <w:r>
        <w:rPr>
          <w:color w:val="231F1F"/>
          <w:spacing w:val="-15"/>
          <w:w w:val="110"/>
        </w:rPr>
        <w:t> </w:t>
      </w:r>
      <w:r>
        <w:rPr>
          <w:color w:val="231F1F"/>
          <w:w w:val="110"/>
        </w:rPr>
        <w:t>cefalea,</w:t>
      </w:r>
      <w:r>
        <w:rPr>
          <w:color w:val="231F1F"/>
          <w:spacing w:val="-15"/>
          <w:w w:val="110"/>
        </w:rPr>
        <w:t> </w:t>
      </w:r>
      <w:r>
        <w:rPr>
          <w:color w:val="231F1F"/>
          <w:w w:val="110"/>
        </w:rPr>
        <w:t>náuseas</w:t>
      </w:r>
      <w:r>
        <w:rPr>
          <w:color w:val="231F1F"/>
          <w:spacing w:val="-16"/>
          <w:w w:val="110"/>
        </w:rPr>
        <w:t> </w:t>
      </w:r>
      <w:r>
        <w:rPr>
          <w:color w:val="231F1F"/>
          <w:w w:val="110"/>
        </w:rPr>
        <w:t>y</w:t>
      </w:r>
      <w:r>
        <w:rPr>
          <w:color w:val="231F1F"/>
          <w:spacing w:val="-15"/>
          <w:w w:val="110"/>
        </w:rPr>
        <w:t> </w:t>
      </w:r>
      <w:r>
        <w:rPr>
          <w:color w:val="231F1F"/>
          <w:w w:val="110"/>
        </w:rPr>
        <w:t>vó- mitos, aunque la diferencia no fue estadísticamente significativa.</w:t>
      </w:r>
    </w:p>
    <w:p>
      <w:pPr>
        <w:pStyle w:val="BodyText"/>
        <w:spacing w:line="249" w:lineRule="auto" w:before="35"/>
        <w:ind w:left="283" w:right="1365" w:firstLine="453"/>
        <w:jc w:val="both"/>
      </w:pPr>
      <w:r>
        <w:rPr>
          <w:color w:val="231F1F"/>
          <w:w w:val="105"/>
        </w:rPr>
        <w:t>En resumen, el nivel de la evidencia es alto y consistente, ya que los es- tudios y las revisiones sistemáticas incluidas tanto en NICE (10) como en la actualización presentan un NE=1+ y resultados en la misma dirección ya que todas las intervenciones analizadas consiguen</w:t>
      </w:r>
      <w:r>
        <w:rPr>
          <w:color w:val="231F1F"/>
          <w:spacing w:val="-2"/>
          <w:w w:val="105"/>
        </w:rPr>
        <w:t> </w:t>
      </w:r>
      <w:r>
        <w:rPr>
          <w:color w:val="231F1F"/>
          <w:w w:val="105"/>
        </w:rPr>
        <w:t>menores pérdidas de</w:t>
      </w:r>
      <w:r>
        <w:rPr>
          <w:color w:val="231F1F"/>
          <w:spacing w:val="-1"/>
          <w:w w:val="105"/>
        </w:rPr>
        <w:t> </w:t>
      </w:r>
      <w:r>
        <w:rPr>
          <w:color w:val="231F1F"/>
          <w:w w:val="105"/>
        </w:rPr>
        <w:t>sangre que el placebo. Con respecto a la oxitocina, el resto de agentes uterotónicos con- siguieron igual o mejor resultado en cuanto a la pérdida de sangre pero todos ellos tuvieron un mayor índice de efectos adversos, salvo la carbetocina según (204),</w:t>
      </w:r>
      <w:r>
        <w:rPr>
          <w:color w:val="231F1F"/>
          <w:spacing w:val="40"/>
          <w:w w:val="105"/>
        </w:rPr>
        <w:t> </w:t>
      </w:r>
      <w:r>
        <w:rPr>
          <w:color w:val="231F1F"/>
          <w:w w:val="105"/>
        </w:rPr>
        <w:t>fármaco</w:t>
      </w:r>
      <w:r>
        <w:rPr>
          <w:color w:val="231F1F"/>
          <w:spacing w:val="40"/>
          <w:w w:val="105"/>
        </w:rPr>
        <w:t> </w:t>
      </w:r>
      <w:r>
        <w:rPr>
          <w:color w:val="231F1F"/>
          <w:w w:val="105"/>
        </w:rPr>
        <w:t>cuyo</w:t>
      </w:r>
      <w:r>
        <w:rPr>
          <w:color w:val="231F1F"/>
          <w:spacing w:val="40"/>
          <w:w w:val="105"/>
        </w:rPr>
        <w:t> </w:t>
      </w:r>
      <w:r>
        <w:rPr>
          <w:color w:val="231F1F"/>
          <w:w w:val="105"/>
        </w:rPr>
        <w:t>uso</w:t>
      </w:r>
      <w:r>
        <w:rPr>
          <w:color w:val="231F1F"/>
          <w:spacing w:val="40"/>
          <w:w w:val="105"/>
        </w:rPr>
        <w:t> </w:t>
      </w:r>
      <w:r>
        <w:rPr>
          <w:color w:val="231F1F"/>
          <w:w w:val="105"/>
        </w:rPr>
        <w:t>está</w:t>
      </w:r>
      <w:r>
        <w:rPr>
          <w:color w:val="231F1F"/>
          <w:spacing w:val="40"/>
          <w:w w:val="105"/>
        </w:rPr>
        <w:t> </w:t>
      </w:r>
      <w:r>
        <w:rPr>
          <w:color w:val="231F1F"/>
          <w:w w:val="105"/>
        </w:rPr>
        <w:t>únicamente</w:t>
      </w:r>
      <w:r>
        <w:rPr>
          <w:color w:val="231F1F"/>
          <w:spacing w:val="40"/>
          <w:w w:val="105"/>
        </w:rPr>
        <w:t> </w:t>
      </w:r>
      <w:r>
        <w:rPr>
          <w:color w:val="231F1F"/>
          <w:w w:val="105"/>
        </w:rPr>
        <w:t>aprobado</w:t>
      </w:r>
      <w:r>
        <w:rPr>
          <w:color w:val="231F1F"/>
          <w:spacing w:val="40"/>
          <w:w w:val="105"/>
        </w:rPr>
        <w:t> </w:t>
      </w:r>
      <w:r>
        <w:rPr>
          <w:color w:val="231F1F"/>
          <w:w w:val="105"/>
        </w:rPr>
        <w:t>para</w:t>
      </w:r>
      <w:r>
        <w:rPr>
          <w:color w:val="231F1F"/>
          <w:spacing w:val="40"/>
          <w:w w:val="105"/>
        </w:rPr>
        <w:t> </w:t>
      </w:r>
      <w:r>
        <w:rPr>
          <w:color w:val="231F1F"/>
          <w:w w:val="105"/>
        </w:rPr>
        <w:t>las</w:t>
      </w:r>
      <w:r>
        <w:rPr>
          <w:color w:val="231F1F"/>
          <w:spacing w:val="40"/>
          <w:w w:val="105"/>
        </w:rPr>
        <w:t> </w:t>
      </w:r>
      <w:r>
        <w:rPr>
          <w:color w:val="231F1F"/>
          <w:w w:val="105"/>
        </w:rPr>
        <w:t>cesáreas.</w:t>
      </w:r>
    </w:p>
    <w:p>
      <w:pPr>
        <w:pStyle w:val="BodyText"/>
        <w:spacing w:line="244" w:lineRule="auto" w:before="123"/>
        <w:ind w:left="283" w:right="1368" w:firstLine="453"/>
        <w:jc w:val="both"/>
      </w:pPr>
      <w:r>
        <w:rPr>
          <w:color w:val="231F1F"/>
          <w:w w:val="110"/>
        </w:rPr>
        <w:t>La</w:t>
      </w:r>
      <w:r>
        <w:rPr>
          <w:color w:val="231F1F"/>
          <w:spacing w:val="-16"/>
          <w:w w:val="110"/>
        </w:rPr>
        <w:t> </w:t>
      </w:r>
      <w:r>
        <w:rPr>
          <w:color w:val="231F1F"/>
          <w:w w:val="110"/>
        </w:rPr>
        <w:t>variabilidad</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estudios</w:t>
      </w:r>
      <w:r>
        <w:rPr>
          <w:color w:val="231F1F"/>
          <w:spacing w:val="-15"/>
          <w:w w:val="110"/>
        </w:rPr>
        <w:t> </w:t>
      </w:r>
      <w:r>
        <w:rPr>
          <w:color w:val="231F1F"/>
          <w:w w:val="110"/>
        </w:rPr>
        <w:t>incluidos</w:t>
      </w:r>
      <w:r>
        <w:rPr>
          <w:color w:val="231F1F"/>
          <w:spacing w:val="-15"/>
          <w:w w:val="110"/>
        </w:rPr>
        <w:t> </w:t>
      </w:r>
      <w:r>
        <w:rPr>
          <w:color w:val="231F1F"/>
          <w:w w:val="110"/>
        </w:rPr>
        <w:t>en</w:t>
      </w:r>
      <w:r>
        <w:rPr>
          <w:color w:val="231F1F"/>
          <w:spacing w:val="-15"/>
          <w:w w:val="110"/>
        </w:rPr>
        <w:t> </w:t>
      </w:r>
      <w:r>
        <w:rPr>
          <w:color w:val="231F1F"/>
          <w:w w:val="110"/>
        </w:rPr>
        <w:t>relación</w:t>
      </w:r>
      <w:r>
        <w:rPr>
          <w:color w:val="231F1F"/>
          <w:spacing w:val="-15"/>
          <w:w w:val="110"/>
        </w:rPr>
        <w:t> </w:t>
      </w:r>
      <w:r>
        <w:rPr>
          <w:color w:val="231F1F"/>
          <w:w w:val="110"/>
        </w:rPr>
        <w:t>con</w:t>
      </w:r>
      <w:r>
        <w:rPr>
          <w:color w:val="231F1F"/>
          <w:spacing w:val="-16"/>
          <w:w w:val="110"/>
        </w:rPr>
        <w:t> </w:t>
      </w:r>
      <w:r>
        <w:rPr>
          <w:color w:val="231F1F"/>
          <w:w w:val="110"/>
        </w:rPr>
        <w:t>el</w:t>
      </w:r>
      <w:r>
        <w:rPr>
          <w:color w:val="231F1F"/>
          <w:spacing w:val="-15"/>
          <w:w w:val="110"/>
        </w:rPr>
        <w:t> </w:t>
      </w:r>
      <w:r>
        <w:rPr>
          <w:color w:val="231F1F"/>
          <w:w w:val="110"/>
        </w:rPr>
        <w:t>manejo</w:t>
      </w:r>
      <w:r>
        <w:rPr>
          <w:color w:val="231F1F"/>
          <w:spacing w:val="-15"/>
          <w:w w:val="110"/>
        </w:rPr>
        <w:t> </w:t>
      </w:r>
      <w:r>
        <w:rPr>
          <w:color w:val="231F1F"/>
          <w:w w:val="110"/>
        </w:rPr>
        <w:t>de</w:t>
      </w:r>
      <w:r>
        <w:rPr>
          <w:color w:val="231F1F"/>
          <w:spacing w:val="-15"/>
          <w:w w:val="110"/>
        </w:rPr>
        <w:t> </w:t>
      </w:r>
      <w:r>
        <w:rPr>
          <w:color w:val="231F1F"/>
          <w:w w:val="110"/>
        </w:rPr>
        <w:t>la tercera etapa del parto hace que al elaborar las recomendaciones se hayan valorado cuidadosamente los posibles beneficios y efectos adversos de las prostaglandinas frente al uso de oxitócicos a la hora de establecer las reco- </w:t>
      </w:r>
      <w:r>
        <w:rPr>
          <w:color w:val="231F1F"/>
          <w:spacing w:val="-2"/>
          <w:w w:val="110"/>
        </w:rPr>
        <w:t>mendaciones.</w:t>
      </w:r>
    </w:p>
    <w:p>
      <w:pPr>
        <w:pStyle w:val="BodyText"/>
        <w:spacing w:before="83"/>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4"/>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497" w:hRule="atLeast"/>
        </w:trPr>
        <w:tc>
          <w:tcPr>
            <w:tcW w:w="7373" w:type="dxa"/>
          </w:tcPr>
          <w:p>
            <w:pPr>
              <w:pStyle w:val="TableParagraph"/>
              <w:spacing w:line="252" w:lineRule="auto" w:before="29"/>
              <w:ind w:right="88"/>
              <w:jc w:val="both"/>
              <w:rPr>
                <w:sz w:val="22"/>
              </w:rPr>
            </w:pPr>
            <w:r>
              <w:rPr>
                <w:color w:val="231F1F"/>
                <w:w w:val="110"/>
                <w:sz w:val="22"/>
              </w:rPr>
              <w:t>Hay</w:t>
            </w:r>
            <w:r>
              <w:rPr>
                <w:color w:val="231F1F"/>
                <w:spacing w:val="-5"/>
                <w:w w:val="110"/>
                <w:sz w:val="22"/>
              </w:rPr>
              <w:t> </w:t>
            </w:r>
            <w:r>
              <w:rPr>
                <w:color w:val="231F1F"/>
                <w:w w:val="110"/>
                <w:sz w:val="22"/>
              </w:rPr>
              <w:t>evidencia</w:t>
            </w:r>
            <w:r>
              <w:rPr>
                <w:color w:val="231F1F"/>
                <w:spacing w:val="-5"/>
                <w:w w:val="110"/>
                <w:sz w:val="22"/>
              </w:rPr>
              <w:t> </w:t>
            </w:r>
            <w:r>
              <w:rPr>
                <w:color w:val="231F1F"/>
                <w:w w:val="110"/>
                <w:sz w:val="22"/>
              </w:rPr>
              <w:t>de</w:t>
            </w:r>
            <w:r>
              <w:rPr>
                <w:color w:val="231F1F"/>
                <w:spacing w:val="-5"/>
                <w:w w:val="110"/>
                <w:sz w:val="22"/>
              </w:rPr>
              <w:t> </w:t>
            </w:r>
            <w:r>
              <w:rPr>
                <w:color w:val="231F1F"/>
                <w:w w:val="110"/>
                <w:sz w:val="22"/>
              </w:rPr>
              <w:t>alta</w:t>
            </w:r>
            <w:r>
              <w:rPr>
                <w:color w:val="231F1F"/>
                <w:spacing w:val="-6"/>
                <w:w w:val="110"/>
                <w:sz w:val="22"/>
              </w:rPr>
              <w:t> </w:t>
            </w:r>
            <w:r>
              <w:rPr>
                <w:color w:val="231F1F"/>
                <w:w w:val="110"/>
                <w:sz w:val="22"/>
              </w:rPr>
              <w:t>calidad</w:t>
            </w:r>
            <w:r>
              <w:rPr>
                <w:color w:val="231F1F"/>
                <w:spacing w:val="-5"/>
                <w:w w:val="110"/>
                <w:sz w:val="22"/>
              </w:rPr>
              <w:t> </w:t>
            </w:r>
            <w:r>
              <w:rPr>
                <w:color w:val="231F1F"/>
                <w:w w:val="110"/>
                <w:sz w:val="22"/>
              </w:rPr>
              <w:t>que</w:t>
            </w:r>
            <w:r>
              <w:rPr>
                <w:color w:val="231F1F"/>
                <w:spacing w:val="-5"/>
                <w:w w:val="110"/>
                <w:sz w:val="22"/>
              </w:rPr>
              <w:t> </w:t>
            </w:r>
            <w:r>
              <w:rPr>
                <w:color w:val="231F1F"/>
                <w:w w:val="110"/>
                <w:sz w:val="22"/>
              </w:rPr>
              <w:t>demuestra</w:t>
            </w:r>
            <w:r>
              <w:rPr>
                <w:color w:val="231F1F"/>
                <w:spacing w:val="-6"/>
                <w:w w:val="110"/>
                <w:sz w:val="22"/>
              </w:rPr>
              <w:t> </w:t>
            </w:r>
            <w:r>
              <w:rPr>
                <w:color w:val="231F1F"/>
                <w:w w:val="110"/>
                <w:sz w:val="22"/>
              </w:rPr>
              <w:t>que</w:t>
            </w:r>
            <w:r>
              <w:rPr>
                <w:color w:val="231F1F"/>
                <w:spacing w:val="-5"/>
                <w:w w:val="110"/>
                <w:sz w:val="22"/>
              </w:rPr>
              <w:t> </w:t>
            </w:r>
            <w:r>
              <w:rPr>
                <w:color w:val="231F1F"/>
                <w:w w:val="110"/>
                <w:sz w:val="22"/>
              </w:rPr>
              <w:t>el</w:t>
            </w:r>
            <w:r>
              <w:rPr>
                <w:color w:val="231F1F"/>
                <w:spacing w:val="-6"/>
                <w:w w:val="110"/>
                <w:sz w:val="22"/>
              </w:rPr>
              <w:t> </w:t>
            </w:r>
            <w:r>
              <w:rPr>
                <w:color w:val="231F1F"/>
                <w:w w:val="110"/>
                <w:sz w:val="22"/>
              </w:rPr>
              <w:t>uso</w:t>
            </w:r>
            <w:r>
              <w:rPr>
                <w:color w:val="231F1F"/>
                <w:spacing w:val="-5"/>
                <w:w w:val="110"/>
                <w:sz w:val="22"/>
              </w:rPr>
              <w:t> </w:t>
            </w:r>
            <w:r>
              <w:rPr>
                <w:color w:val="231F1F"/>
                <w:w w:val="110"/>
                <w:sz w:val="22"/>
              </w:rPr>
              <w:t>rutinario</w:t>
            </w:r>
            <w:r>
              <w:rPr>
                <w:color w:val="231F1F"/>
                <w:spacing w:val="-5"/>
                <w:w w:val="110"/>
                <w:sz w:val="22"/>
              </w:rPr>
              <w:t> </w:t>
            </w:r>
            <w:r>
              <w:rPr>
                <w:color w:val="231F1F"/>
                <w:w w:val="110"/>
                <w:sz w:val="22"/>
              </w:rPr>
              <w:t>de</w:t>
            </w:r>
            <w:r>
              <w:rPr>
                <w:color w:val="231F1F"/>
                <w:spacing w:val="-5"/>
                <w:w w:val="110"/>
                <w:sz w:val="22"/>
              </w:rPr>
              <w:t> </w:t>
            </w:r>
            <w:r>
              <w:rPr>
                <w:color w:val="231F1F"/>
                <w:w w:val="110"/>
                <w:sz w:val="22"/>
              </w:rPr>
              <w:t>oxito- </w:t>
            </w:r>
            <w:r>
              <w:rPr>
                <w:color w:val="231F1F"/>
                <w:spacing w:val="-2"/>
                <w:w w:val="110"/>
                <w:sz w:val="22"/>
              </w:rPr>
              <w:t>cina</w:t>
            </w:r>
            <w:r>
              <w:rPr>
                <w:color w:val="231F1F"/>
                <w:spacing w:val="-6"/>
                <w:w w:val="110"/>
                <w:sz w:val="22"/>
              </w:rPr>
              <w:t> </w:t>
            </w:r>
            <w:r>
              <w:rPr>
                <w:color w:val="231F1F"/>
                <w:spacing w:val="-2"/>
                <w:w w:val="110"/>
                <w:sz w:val="22"/>
              </w:rPr>
              <w:t>como</w:t>
            </w:r>
            <w:r>
              <w:rPr>
                <w:color w:val="231F1F"/>
                <w:spacing w:val="-6"/>
                <w:w w:val="110"/>
                <w:sz w:val="22"/>
              </w:rPr>
              <w:t> </w:t>
            </w:r>
            <w:r>
              <w:rPr>
                <w:color w:val="231F1F"/>
                <w:spacing w:val="-2"/>
                <w:w w:val="110"/>
                <w:sz w:val="22"/>
              </w:rPr>
              <w:t>uterotónico</w:t>
            </w:r>
            <w:r>
              <w:rPr>
                <w:color w:val="231F1F"/>
                <w:spacing w:val="-6"/>
                <w:w w:val="110"/>
                <w:sz w:val="22"/>
              </w:rPr>
              <w:t> </w:t>
            </w:r>
            <w:r>
              <w:rPr>
                <w:color w:val="231F1F"/>
                <w:spacing w:val="-2"/>
                <w:w w:val="110"/>
                <w:sz w:val="22"/>
              </w:rPr>
              <w:t>en</w:t>
            </w:r>
            <w:r>
              <w:rPr>
                <w:color w:val="231F1F"/>
                <w:spacing w:val="-6"/>
                <w:w w:val="110"/>
                <w:sz w:val="22"/>
              </w:rPr>
              <w:t> </w:t>
            </w:r>
            <w:r>
              <w:rPr>
                <w:color w:val="231F1F"/>
                <w:spacing w:val="-2"/>
                <w:w w:val="110"/>
                <w:sz w:val="22"/>
              </w:rPr>
              <w:t>el</w:t>
            </w:r>
            <w:r>
              <w:rPr>
                <w:color w:val="231F1F"/>
                <w:spacing w:val="-7"/>
                <w:w w:val="110"/>
                <w:sz w:val="22"/>
              </w:rPr>
              <w:t> </w:t>
            </w:r>
            <w:r>
              <w:rPr>
                <w:color w:val="231F1F"/>
                <w:spacing w:val="-2"/>
                <w:w w:val="110"/>
                <w:sz w:val="22"/>
              </w:rPr>
              <w:t>manejo</w:t>
            </w:r>
            <w:r>
              <w:rPr>
                <w:color w:val="231F1F"/>
                <w:spacing w:val="-6"/>
                <w:w w:val="110"/>
                <w:sz w:val="22"/>
              </w:rPr>
              <w:t> </w:t>
            </w:r>
            <w:r>
              <w:rPr>
                <w:color w:val="231F1F"/>
                <w:spacing w:val="-2"/>
                <w:w w:val="110"/>
                <w:sz w:val="22"/>
              </w:rPr>
              <w:t>activo</w:t>
            </w:r>
            <w:r>
              <w:rPr>
                <w:color w:val="231F1F"/>
                <w:spacing w:val="-6"/>
                <w:w w:val="110"/>
                <w:sz w:val="22"/>
              </w:rPr>
              <w:t> </w:t>
            </w:r>
            <w:r>
              <w:rPr>
                <w:color w:val="231F1F"/>
                <w:spacing w:val="-2"/>
                <w:w w:val="110"/>
                <w:sz w:val="22"/>
              </w:rPr>
              <w:t>del</w:t>
            </w:r>
            <w:r>
              <w:rPr>
                <w:color w:val="231F1F"/>
                <w:spacing w:val="-7"/>
                <w:w w:val="110"/>
                <w:sz w:val="22"/>
              </w:rPr>
              <w:t> </w:t>
            </w:r>
            <w:r>
              <w:rPr>
                <w:color w:val="231F1F"/>
                <w:spacing w:val="-2"/>
                <w:w w:val="110"/>
                <w:sz w:val="22"/>
              </w:rPr>
              <w:t>alumbramiento</w:t>
            </w:r>
            <w:r>
              <w:rPr>
                <w:color w:val="231F1F"/>
                <w:spacing w:val="-6"/>
                <w:w w:val="110"/>
                <w:sz w:val="22"/>
              </w:rPr>
              <w:t> </w:t>
            </w:r>
            <w:r>
              <w:rPr>
                <w:color w:val="231F1F"/>
                <w:spacing w:val="-2"/>
                <w:w w:val="110"/>
                <w:sz w:val="22"/>
              </w:rPr>
              <w:t>disminuye</w:t>
            </w:r>
            <w:r>
              <w:rPr>
                <w:color w:val="231F1F"/>
                <w:spacing w:val="-6"/>
                <w:w w:val="110"/>
                <w:sz w:val="22"/>
              </w:rPr>
              <w:t> </w:t>
            </w:r>
            <w:r>
              <w:rPr>
                <w:color w:val="231F1F"/>
                <w:spacing w:val="-2"/>
                <w:w w:val="110"/>
                <w:sz w:val="22"/>
              </w:rPr>
              <w:t>el </w:t>
            </w:r>
            <w:r>
              <w:rPr>
                <w:color w:val="231F1F"/>
                <w:sz w:val="22"/>
              </w:rPr>
              <w:t>riesgo de HPP&gt;500 ml y la necesidad terapéutica de usar uterotónicos. Estos </w:t>
            </w:r>
            <w:r>
              <w:rPr>
                <w:color w:val="231F1F"/>
                <w:w w:val="110"/>
                <w:sz w:val="22"/>
              </w:rPr>
              <w:t>efectos</w:t>
            </w:r>
            <w:r>
              <w:rPr>
                <w:color w:val="231F1F"/>
                <w:spacing w:val="-5"/>
                <w:w w:val="110"/>
                <w:sz w:val="22"/>
              </w:rPr>
              <w:t> </w:t>
            </w:r>
            <w:r>
              <w:rPr>
                <w:color w:val="231F1F"/>
                <w:w w:val="110"/>
                <w:sz w:val="22"/>
              </w:rPr>
              <w:t>también</w:t>
            </w:r>
            <w:r>
              <w:rPr>
                <w:color w:val="231F1F"/>
                <w:spacing w:val="-4"/>
                <w:w w:val="110"/>
                <w:sz w:val="22"/>
              </w:rPr>
              <w:t> </w:t>
            </w:r>
            <w:r>
              <w:rPr>
                <w:color w:val="231F1F"/>
                <w:w w:val="110"/>
                <w:sz w:val="22"/>
              </w:rPr>
              <w:t>se</w:t>
            </w:r>
            <w:r>
              <w:rPr>
                <w:color w:val="231F1F"/>
                <w:spacing w:val="-5"/>
                <w:w w:val="110"/>
                <w:sz w:val="22"/>
              </w:rPr>
              <w:t> </w:t>
            </w:r>
            <w:r>
              <w:rPr>
                <w:color w:val="231F1F"/>
                <w:w w:val="110"/>
                <w:sz w:val="22"/>
              </w:rPr>
              <w:t>observan</w:t>
            </w:r>
            <w:r>
              <w:rPr>
                <w:color w:val="231F1F"/>
                <w:spacing w:val="-5"/>
                <w:w w:val="110"/>
                <w:sz w:val="22"/>
              </w:rPr>
              <w:t> </w:t>
            </w:r>
            <w:r>
              <w:rPr>
                <w:color w:val="231F1F"/>
                <w:w w:val="110"/>
                <w:sz w:val="22"/>
              </w:rPr>
              <w:t>con</w:t>
            </w:r>
            <w:r>
              <w:rPr>
                <w:color w:val="231F1F"/>
                <w:spacing w:val="-4"/>
                <w:w w:val="110"/>
                <w:sz w:val="22"/>
              </w:rPr>
              <w:t> </w:t>
            </w:r>
            <w:r>
              <w:rPr>
                <w:color w:val="231F1F"/>
                <w:w w:val="110"/>
                <w:sz w:val="22"/>
              </w:rPr>
              <w:t>el</w:t>
            </w:r>
            <w:r>
              <w:rPr>
                <w:color w:val="231F1F"/>
                <w:spacing w:val="-5"/>
                <w:w w:val="110"/>
                <w:sz w:val="22"/>
              </w:rPr>
              <w:t> </w:t>
            </w:r>
            <w:r>
              <w:rPr>
                <w:color w:val="231F1F"/>
                <w:w w:val="110"/>
                <w:sz w:val="22"/>
              </w:rPr>
              <w:t>uso</w:t>
            </w:r>
            <w:r>
              <w:rPr>
                <w:color w:val="231F1F"/>
                <w:spacing w:val="-4"/>
                <w:w w:val="110"/>
                <w:sz w:val="22"/>
              </w:rPr>
              <w:t> </w:t>
            </w:r>
            <w:r>
              <w:rPr>
                <w:color w:val="231F1F"/>
                <w:w w:val="110"/>
                <w:sz w:val="22"/>
              </w:rPr>
              <w:t>exclusivo</w:t>
            </w:r>
            <w:r>
              <w:rPr>
                <w:color w:val="231F1F"/>
                <w:spacing w:val="-4"/>
                <w:w w:val="110"/>
                <w:sz w:val="22"/>
              </w:rPr>
              <w:t> </w:t>
            </w:r>
            <w:r>
              <w:rPr>
                <w:color w:val="231F1F"/>
                <w:w w:val="110"/>
                <w:sz w:val="22"/>
              </w:rPr>
              <w:t>de</w:t>
            </w:r>
            <w:r>
              <w:rPr>
                <w:color w:val="231F1F"/>
                <w:spacing w:val="-5"/>
                <w:w w:val="110"/>
                <w:sz w:val="22"/>
              </w:rPr>
              <w:t> </w:t>
            </w:r>
            <w:r>
              <w:rPr>
                <w:color w:val="231F1F"/>
                <w:w w:val="110"/>
                <w:sz w:val="22"/>
              </w:rPr>
              <w:t>oxitocina</w:t>
            </w:r>
            <w:r>
              <w:rPr>
                <w:color w:val="231F1F"/>
                <w:spacing w:val="-5"/>
                <w:w w:val="110"/>
                <w:sz w:val="22"/>
              </w:rPr>
              <w:t> </w:t>
            </w:r>
            <w:r>
              <w:rPr>
                <w:color w:val="231F1F"/>
                <w:w w:val="110"/>
                <w:sz w:val="22"/>
              </w:rPr>
              <w:t>(sin</w:t>
            </w:r>
            <w:r>
              <w:rPr>
                <w:color w:val="231F1F"/>
                <w:spacing w:val="-4"/>
                <w:w w:val="110"/>
                <w:sz w:val="22"/>
              </w:rPr>
              <w:t> </w:t>
            </w:r>
            <w:r>
              <w:rPr>
                <w:color w:val="231F1F"/>
                <w:w w:val="110"/>
                <w:sz w:val="22"/>
              </w:rPr>
              <w:t>ningún otro componente del manejo activo del alumbramiento) (187).</w:t>
            </w:r>
          </w:p>
        </w:tc>
        <w:tc>
          <w:tcPr>
            <w:tcW w:w="1133" w:type="dxa"/>
          </w:tcPr>
          <w:p>
            <w:pPr>
              <w:pStyle w:val="TableParagraph"/>
              <w:ind w:left="0"/>
              <w:rPr>
                <w:rFonts w:ascii="Arial MT"/>
                <w:sz w:val="22"/>
              </w:rPr>
            </w:pPr>
          </w:p>
          <w:p>
            <w:pPr>
              <w:pStyle w:val="TableParagraph"/>
              <w:spacing w:before="85"/>
              <w:ind w:left="0"/>
              <w:rPr>
                <w:rFonts w:ascii="Arial MT"/>
                <w:sz w:val="22"/>
              </w:rPr>
            </w:pPr>
          </w:p>
          <w:p>
            <w:pPr>
              <w:pStyle w:val="TableParagraph"/>
              <w:ind w:left="49" w:right="22"/>
              <w:jc w:val="center"/>
              <w:rPr>
                <w:sz w:val="22"/>
              </w:rPr>
            </w:pPr>
            <w:r>
              <w:rPr>
                <w:color w:val="231F1F"/>
                <w:spacing w:val="-5"/>
                <w:w w:val="105"/>
                <w:sz w:val="22"/>
              </w:rPr>
              <w:t>1+</w:t>
            </w:r>
          </w:p>
        </w:tc>
      </w:tr>
      <w:tr>
        <w:trPr>
          <w:trHeight w:val="1218" w:hRule="atLeast"/>
        </w:trPr>
        <w:tc>
          <w:tcPr>
            <w:tcW w:w="7373" w:type="dxa"/>
          </w:tcPr>
          <w:p>
            <w:pPr>
              <w:pStyle w:val="TableParagraph"/>
              <w:spacing w:line="247" w:lineRule="auto" w:before="29"/>
              <w:ind w:right="89"/>
              <w:jc w:val="both"/>
              <w:rPr>
                <w:sz w:val="22"/>
              </w:rPr>
            </w:pPr>
            <w:r>
              <w:rPr>
                <w:color w:val="231F1F"/>
                <w:w w:val="110"/>
                <w:sz w:val="22"/>
              </w:rPr>
              <w:t>No</w:t>
            </w:r>
            <w:r>
              <w:rPr>
                <w:color w:val="231F1F"/>
                <w:spacing w:val="-13"/>
                <w:w w:val="110"/>
                <w:sz w:val="22"/>
              </w:rPr>
              <w:t> </w:t>
            </w:r>
            <w:r>
              <w:rPr>
                <w:color w:val="231F1F"/>
                <w:w w:val="110"/>
                <w:sz w:val="22"/>
              </w:rPr>
              <w:t>se</w:t>
            </w:r>
            <w:r>
              <w:rPr>
                <w:color w:val="231F1F"/>
                <w:spacing w:val="-13"/>
                <w:w w:val="110"/>
                <w:sz w:val="22"/>
              </w:rPr>
              <w:t> </w:t>
            </w:r>
            <w:r>
              <w:rPr>
                <w:color w:val="231F1F"/>
                <w:w w:val="110"/>
                <w:sz w:val="22"/>
              </w:rPr>
              <w:t>observan</w:t>
            </w:r>
            <w:r>
              <w:rPr>
                <w:color w:val="231F1F"/>
                <w:spacing w:val="-13"/>
                <w:w w:val="110"/>
                <w:sz w:val="22"/>
              </w:rPr>
              <w:t> </w:t>
            </w:r>
            <w:r>
              <w:rPr>
                <w:color w:val="231F1F"/>
                <w:w w:val="110"/>
                <w:sz w:val="22"/>
              </w:rPr>
              <w:t>diferencias</w:t>
            </w:r>
            <w:r>
              <w:rPr>
                <w:color w:val="231F1F"/>
                <w:spacing w:val="-14"/>
                <w:w w:val="110"/>
                <w:sz w:val="22"/>
              </w:rPr>
              <w:t> </w:t>
            </w:r>
            <w:r>
              <w:rPr>
                <w:color w:val="231F1F"/>
                <w:w w:val="110"/>
                <w:sz w:val="22"/>
              </w:rPr>
              <w:t>entre</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uso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oxitocina</w:t>
            </w:r>
            <w:r>
              <w:rPr>
                <w:color w:val="231F1F"/>
                <w:spacing w:val="-13"/>
                <w:w w:val="110"/>
                <w:sz w:val="22"/>
              </w:rPr>
              <w:t> </w:t>
            </w:r>
            <w:r>
              <w:rPr>
                <w:color w:val="231F1F"/>
                <w:w w:val="110"/>
                <w:sz w:val="22"/>
              </w:rPr>
              <w:t>y</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uso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ergotínicos en</w:t>
            </w:r>
            <w:r>
              <w:rPr>
                <w:color w:val="231F1F"/>
                <w:spacing w:val="-16"/>
                <w:w w:val="110"/>
                <w:sz w:val="22"/>
              </w:rPr>
              <w:t> </w:t>
            </w:r>
            <w:r>
              <w:rPr>
                <w:color w:val="231F1F"/>
                <w:w w:val="110"/>
                <w:sz w:val="22"/>
              </w:rPr>
              <w:t>cuanto</w:t>
            </w:r>
            <w:r>
              <w:rPr>
                <w:color w:val="231F1F"/>
                <w:spacing w:val="-15"/>
                <w:w w:val="110"/>
                <w:sz w:val="22"/>
              </w:rPr>
              <w:t> </w:t>
            </w:r>
            <w:r>
              <w:rPr>
                <w:color w:val="231F1F"/>
                <w:w w:val="110"/>
                <w:sz w:val="22"/>
              </w:rPr>
              <w:t>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disminución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HPP&gt;500</w:t>
            </w:r>
            <w:r>
              <w:rPr>
                <w:color w:val="231F1F"/>
                <w:spacing w:val="-15"/>
                <w:w w:val="110"/>
                <w:sz w:val="22"/>
              </w:rPr>
              <w:t> </w:t>
            </w:r>
            <w:r>
              <w:rPr>
                <w:color w:val="231F1F"/>
                <w:w w:val="110"/>
                <w:sz w:val="22"/>
              </w:rPr>
              <w:t>ml.</w:t>
            </w:r>
            <w:r>
              <w:rPr>
                <w:color w:val="231F1F"/>
                <w:spacing w:val="-16"/>
                <w:w w:val="110"/>
                <w:sz w:val="22"/>
              </w:rPr>
              <w:t> </w:t>
            </w:r>
            <w:r>
              <w:rPr>
                <w:color w:val="231F1F"/>
                <w:w w:val="110"/>
                <w:sz w:val="22"/>
              </w:rPr>
              <w:t>Se</w:t>
            </w:r>
            <w:r>
              <w:rPr>
                <w:color w:val="231F1F"/>
                <w:spacing w:val="-15"/>
                <w:w w:val="110"/>
                <w:sz w:val="22"/>
              </w:rPr>
              <w:t> </w:t>
            </w:r>
            <w:r>
              <w:rPr>
                <w:color w:val="231F1F"/>
                <w:w w:val="110"/>
                <w:sz w:val="22"/>
              </w:rPr>
              <w:t>observó</w:t>
            </w:r>
            <w:r>
              <w:rPr>
                <w:color w:val="231F1F"/>
                <w:spacing w:val="-15"/>
                <w:w w:val="110"/>
                <w:sz w:val="22"/>
              </w:rPr>
              <w:t> </w:t>
            </w:r>
            <w:r>
              <w:rPr>
                <w:color w:val="231F1F"/>
                <w:w w:val="110"/>
                <w:sz w:val="22"/>
              </w:rPr>
              <w:t>una</w:t>
            </w:r>
            <w:r>
              <w:rPr>
                <w:color w:val="231F1F"/>
                <w:spacing w:val="-15"/>
                <w:w w:val="110"/>
                <w:sz w:val="22"/>
              </w:rPr>
              <w:t> </w:t>
            </w:r>
            <w:r>
              <w:rPr>
                <w:color w:val="231F1F"/>
                <w:w w:val="110"/>
                <w:sz w:val="22"/>
              </w:rPr>
              <w:t>disminución del</w:t>
            </w:r>
            <w:r>
              <w:rPr>
                <w:color w:val="231F1F"/>
                <w:spacing w:val="-4"/>
                <w:w w:val="110"/>
                <w:sz w:val="22"/>
              </w:rPr>
              <w:t> </w:t>
            </w:r>
            <w:r>
              <w:rPr>
                <w:color w:val="231F1F"/>
                <w:w w:val="110"/>
                <w:sz w:val="22"/>
              </w:rPr>
              <w:t>riesgo</w:t>
            </w:r>
            <w:r>
              <w:rPr>
                <w:color w:val="231F1F"/>
                <w:spacing w:val="-3"/>
                <w:w w:val="110"/>
                <w:sz w:val="22"/>
              </w:rPr>
              <w:t> </w:t>
            </w:r>
            <w:r>
              <w:rPr>
                <w:color w:val="231F1F"/>
                <w:w w:val="110"/>
                <w:sz w:val="22"/>
              </w:rPr>
              <w:t>de</w:t>
            </w:r>
            <w:r>
              <w:rPr>
                <w:color w:val="231F1F"/>
                <w:spacing w:val="-4"/>
                <w:w w:val="110"/>
                <w:sz w:val="22"/>
              </w:rPr>
              <w:t> </w:t>
            </w:r>
            <w:r>
              <w:rPr>
                <w:color w:val="231F1F"/>
                <w:w w:val="110"/>
                <w:sz w:val="22"/>
              </w:rPr>
              <w:t>extracción</w:t>
            </w:r>
            <w:r>
              <w:rPr>
                <w:color w:val="231F1F"/>
                <w:spacing w:val="-3"/>
                <w:w w:val="110"/>
                <w:sz w:val="22"/>
              </w:rPr>
              <w:t> </w:t>
            </w:r>
            <w:r>
              <w:rPr>
                <w:color w:val="231F1F"/>
                <w:w w:val="110"/>
                <w:sz w:val="22"/>
              </w:rPr>
              <w:t>manual</w:t>
            </w:r>
            <w:r>
              <w:rPr>
                <w:color w:val="231F1F"/>
                <w:spacing w:val="-4"/>
                <w:w w:val="110"/>
                <w:sz w:val="22"/>
              </w:rPr>
              <w:t> </w:t>
            </w:r>
            <w:r>
              <w:rPr>
                <w:color w:val="231F1F"/>
                <w:w w:val="110"/>
                <w:sz w:val="22"/>
              </w:rPr>
              <w:t>de</w:t>
            </w:r>
            <w:r>
              <w:rPr>
                <w:color w:val="231F1F"/>
                <w:spacing w:val="-4"/>
                <w:w w:val="110"/>
                <w:sz w:val="22"/>
              </w:rPr>
              <w:t> </w:t>
            </w:r>
            <w:r>
              <w:rPr>
                <w:color w:val="231F1F"/>
                <w:w w:val="110"/>
                <w:sz w:val="22"/>
              </w:rPr>
              <w:t>la</w:t>
            </w:r>
            <w:r>
              <w:rPr>
                <w:color w:val="231F1F"/>
                <w:spacing w:val="-4"/>
                <w:w w:val="110"/>
                <w:sz w:val="22"/>
              </w:rPr>
              <w:t> </w:t>
            </w:r>
            <w:r>
              <w:rPr>
                <w:color w:val="231F1F"/>
                <w:w w:val="110"/>
                <w:sz w:val="22"/>
              </w:rPr>
              <w:t>placenta</w:t>
            </w:r>
            <w:r>
              <w:rPr>
                <w:color w:val="231F1F"/>
                <w:spacing w:val="-4"/>
                <w:w w:val="110"/>
                <w:sz w:val="22"/>
              </w:rPr>
              <w:t> </w:t>
            </w:r>
            <w:r>
              <w:rPr>
                <w:color w:val="231F1F"/>
                <w:w w:val="110"/>
                <w:sz w:val="22"/>
              </w:rPr>
              <w:t>en</w:t>
            </w:r>
            <w:r>
              <w:rPr>
                <w:color w:val="231F1F"/>
                <w:spacing w:val="-3"/>
                <w:w w:val="110"/>
                <w:sz w:val="22"/>
              </w:rPr>
              <w:t> </w:t>
            </w:r>
            <w:r>
              <w:rPr>
                <w:color w:val="231F1F"/>
                <w:w w:val="110"/>
                <w:sz w:val="22"/>
              </w:rPr>
              <w:t>el</w:t>
            </w:r>
            <w:r>
              <w:rPr>
                <w:color w:val="231F1F"/>
                <w:spacing w:val="-4"/>
                <w:w w:val="110"/>
                <w:sz w:val="22"/>
              </w:rPr>
              <w:t> </w:t>
            </w:r>
            <w:r>
              <w:rPr>
                <w:color w:val="231F1F"/>
                <w:w w:val="110"/>
                <w:sz w:val="22"/>
              </w:rPr>
              <w:t>grupo</w:t>
            </w:r>
            <w:r>
              <w:rPr>
                <w:color w:val="231F1F"/>
                <w:spacing w:val="-4"/>
                <w:w w:val="110"/>
                <w:sz w:val="22"/>
              </w:rPr>
              <w:t> </w:t>
            </w:r>
            <w:r>
              <w:rPr>
                <w:color w:val="231F1F"/>
                <w:w w:val="110"/>
                <w:sz w:val="22"/>
              </w:rPr>
              <w:t>de</w:t>
            </w:r>
            <w:r>
              <w:rPr>
                <w:color w:val="231F1F"/>
                <w:spacing w:val="-4"/>
                <w:w w:val="110"/>
                <w:sz w:val="22"/>
              </w:rPr>
              <w:t> </w:t>
            </w:r>
            <w:r>
              <w:rPr>
                <w:color w:val="231F1F"/>
                <w:w w:val="110"/>
                <w:sz w:val="22"/>
              </w:rPr>
              <w:t>oxitocina</w:t>
            </w:r>
            <w:r>
              <w:rPr>
                <w:color w:val="231F1F"/>
                <w:spacing w:val="-4"/>
                <w:w w:val="110"/>
                <w:sz w:val="22"/>
              </w:rPr>
              <w:t> </w:t>
            </w:r>
            <w:r>
              <w:rPr>
                <w:color w:val="231F1F"/>
                <w:w w:val="110"/>
                <w:sz w:val="22"/>
              </w:rPr>
              <w:t>en comparación con los ergotínicos (10).</w:t>
            </w:r>
          </w:p>
        </w:tc>
        <w:tc>
          <w:tcPr>
            <w:tcW w:w="1133" w:type="dxa"/>
          </w:tcPr>
          <w:p>
            <w:pPr>
              <w:pStyle w:val="TableParagraph"/>
              <w:spacing w:before="199"/>
              <w:ind w:left="0"/>
              <w:rPr>
                <w:rFonts w:ascii="Arial MT"/>
                <w:sz w:val="22"/>
              </w:rPr>
            </w:pPr>
          </w:p>
          <w:p>
            <w:pPr>
              <w:pStyle w:val="TableParagraph"/>
              <w:ind w:left="49" w:right="22"/>
              <w:jc w:val="center"/>
              <w:rPr>
                <w:sz w:val="22"/>
              </w:rPr>
            </w:pPr>
            <w:r>
              <w:rPr>
                <w:color w:val="231F1F"/>
                <w:spacing w:val="-5"/>
                <w:w w:val="105"/>
                <w:sz w:val="22"/>
              </w:rPr>
              <w:t>1+</w:t>
            </w:r>
          </w:p>
        </w:tc>
      </w:tr>
      <w:tr>
        <w:trPr>
          <w:trHeight w:val="1218" w:hRule="atLeast"/>
        </w:trPr>
        <w:tc>
          <w:tcPr>
            <w:tcW w:w="7373" w:type="dxa"/>
          </w:tcPr>
          <w:p>
            <w:pPr>
              <w:pStyle w:val="TableParagraph"/>
              <w:spacing w:line="244" w:lineRule="auto" w:before="29"/>
              <w:ind w:right="91"/>
              <w:jc w:val="both"/>
              <w:rPr>
                <w:sz w:val="22"/>
              </w:rPr>
            </w:pPr>
            <w:r>
              <w:rPr>
                <w:color w:val="231F1F"/>
                <w:spacing w:val="-2"/>
                <w:w w:val="110"/>
                <w:sz w:val="22"/>
              </w:rPr>
              <w:t>Se</w:t>
            </w:r>
            <w:r>
              <w:rPr>
                <w:color w:val="231F1F"/>
                <w:spacing w:val="-8"/>
                <w:w w:val="110"/>
                <w:sz w:val="22"/>
              </w:rPr>
              <w:t> </w:t>
            </w:r>
            <w:r>
              <w:rPr>
                <w:color w:val="231F1F"/>
                <w:spacing w:val="-2"/>
                <w:w w:val="110"/>
                <w:sz w:val="22"/>
              </w:rPr>
              <w:t>observan</w:t>
            </w:r>
            <w:r>
              <w:rPr>
                <w:color w:val="231F1F"/>
                <w:spacing w:val="-8"/>
                <w:w w:val="110"/>
                <w:sz w:val="22"/>
              </w:rPr>
              <w:t> </w:t>
            </w:r>
            <w:r>
              <w:rPr>
                <w:color w:val="231F1F"/>
                <w:spacing w:val="-2"/>
                <w:w w:val="110"/>
                <w:sz w:val="22"/>
              </w:rPr>
              <w:t>diferencias</w:t>
            </w:r>
            <w:r>
              <w:rPr>
                <w:color w:val="231F1F"/>
                <w:spacing w:val="-8"/>
                <w:w w:val="110"/>
                <w:sz w:val="22"/>
              </w:rPr>
              <w:t> </w:t>
            </w:r>
            <w:r>
              <w:rPr>
                <w:color w:val="231F1F"/>
                <w:spacing w:val="-2"/>
                <w:w w:val="110"/>
                <w:sz w:val="22"/>
              </w:rPr>
              <w:t>con</w:t>
            </w:r>
            <w:r>
              <w:rPr>
                <w:color w:val="231F1F"/>
                <w:spacing w:val="-8"/>
                <w:w w:val="110"/>
                <w:sz w:val="22"/>
              </w:rPr>
              <w:t> </w:t>
            </w:r>
            <w:r>
              <w:rPr>
                <w:color w:val="231F1F"/>
                <w:spacing w:val="-2"/>
                <w:w w:val="110"/>
                <w:sz w:val="22"/>
              </w:rPr>
              <w:t>mayor</w:t>
            </w:r>
            <w:r>
              <w:rPr>
                <w:color w:val="231F1F"/>
                <w:spacing w:val="-8"/>
                <w:w w:val="110"/>
                <w:sz w:val="22"/>
              </w:rPr>
              <w:t> </w:t>
            </w:r>
            <w:r>
              <w:rPr>
                <w:color w:val="231F1F"/>
                <w:spacing w:val="-2"/>
                <w:w w:val="110"/>
                <w:sz w:val="22"/>
              </w:rPr>
              <w:t>disminución</w:t>
            </w:r>
            <w:r>
              <w:rPr>
                <w:color w:val="231F1F"/>
                <w:spacing w:val="-8"/>
                <w:w w:val="110"/>
                <w:sz w:val="22"/>
              </w:rPr>
              <w:t> </w:t>
            </w:r>
            <w:r>
              <w:rPr>
                <w:color w:val="231F1F"/>
                <w:spacing w:val="-2"/>
                <w:w w:val="110"/>
                <w:sz w:val="22"/>
              </w:rPr>
              <w:t>de</w:t>
            </w:r>
            <w:r>
              <w:rPr>
                <w:color w:val="231F1F"/>
                <w:spacing w:val="-8"/>
                <w:w w:val="110"/>
                <w:sz w:val="22"/>
              </w:rPr>
              <w:t> </w:t>
            </w:r>
            <w:r>
              <w:rPr>
                <w:color w:val="231F1F"/>
                <w:spacing w:val="-2"/>
                <w:w w:val="110"/>
                <w:sz w:val="22"/>
              </w:rPr>
              <w:t>la</w:t>
            </w:r>
            <w:r>
              <w:rPr>
                <w:color w:val="231F1F"/>
                <w:spacing w:val="-8"/>
                <w:w w:val="110"/>
                <w:sz w:val="22"/>
              </w:rPr>
              <w:t> </w:t>
            </w:r>
            <w:r>
              <w:rPr>
                <w:color w:val="231F1F"/>
                <w:spacing w:val="-2"/>
                <w:w w:val="110"/>
                <w:sz w:val="22"/>
              </w:rPr>
              <w:t>HPP</w:t>
            </w:r>
            <w:r>
              <w:rPr>
                <w:color w:val="231F1F"/>
                <w:spacing w:val="-8"/>
                <w:w w:val="110"/>
                <w:sz w:val="22"/>
              </w:rPr>
              <w:t> </w:t>
            </w:r>
            <w:r>
              <w:rPr>
                <w:color w:val="231F1F"/>
                <w:spacing w:val="-2"/>
                <w:w w:val="110"/>
                <w:sz w:val="22"/>
              </w:rPr>
              <w:t>&gt;500</w:t>
            </w:r>
            <w:r>
              <w:rPr>
                <w:color w:val="231F1F"/>
                <w:spacing w:val="-7"/>
                <w:w w:val="110"/>
                <w:sz w:val="22"/>
              </w:rPr>
              <w:t> </w:t>
            </w:r>
            <w:r>
              <w:rPr>
                <w:color w:val="231F1F"/>
                <w:spacing w:val="-2"/>
                <w:w w:val="110"/>
                <w:sz w:val="22"/>
              </w:rPr>
              <w:t>ml</w:t>
            </w:r>
            <w:r>
              <w:rPr>
                <w:color w:val="231F1F"/>
                <w:spacing w:val="-8"/>
                <w:w w:val="110"/>
                <w:sz w:val="22"/>
              </w:rPr>
              <w:t> </w:t>
            </w:r>
            <w:r>
              <w:rPr>
                <w:color w:val="231F1F"/>
                <w:spacing w:val="-2"/>
                <w:w w:val="110"/>
                <w:sz w:val="22"/>
              </w:rPr>
              <w:t>cuando </w:t>
            </w:r>
            <w:r>
              <w:rPr>
                <w:color w:val="231F1F"/>
                <w:w w:val="110"/>
                <w:sz w:val="22"/>
              </w:rPr>
              <w:t>se</w:t>
            </w:r>
            <w:r>
              <w:rPr>
                <w:color w:val="231F1F"/>
                <w:spacing w:val="-12"/>
                <w:w w:val="110"/>
                <w:sz w:val="22"/>
              </w:rPr>
              <w:t> </w:t>
            </w:r>
            <w:r>
              <w:rPr>
                <w:color w:val="231F1F"/>
                <w:w w:val="110"/>
                <w:sz w:val="22"/>
              </w:rPr>
              <w:t>utiliza</w:t>
            </w:r>
            <w:r>
              <w:rPr>
                <w:color w:val="231F1F"/>
                <w:spacing w:val="-11"/>
                <w:w w:val="110"/>
                <w:sz w:val="22"/>
              </w:rPr>
              <w:t> </w:t>
            </w:r>
            <w:r>
              <w:rPr>
                <w:color w:val="231F1F"/>
                <w:w w:val="110"/>
                <w:sz w:val="22"/>
              </w:rPr>
              <w:t>oxitocina+ergotínicos</w:t>
            </w:r>
            <w:r>
              <w:rPr>
                <w:color w:val="231F1F"/>
                <w:spacing w:val="-12"/>
                <w:w w:val="110"/>
                <w:sz w:val="22"/>
              </w:rPr>
              <w:t> </w:t>
            </w:r>
            <w:r>
              <w:rPr>
                <w:color w:val="231F1F"/>
                <w:w w:val="110"/>
                <w:sz w:val="22"/>
              </w:rPr>
              <w:t>en</w:t>
            </w:r>
            <w:r>
              <w:rPr>
                <w:color w:val="231F1F"/>
                <w:spacing w:val="-11"/>
                <w:w w:val="110"/>
                <w:sz w:val="22"/>
              </w:rPr>
              <w:t> </w:t>
            </w:r>
            <w:r>
              <w:rPr>
                <w:color w:val="231F1F"/>
                <w:w w:val="110"/>
                <w:sz w:val="22"/>
              </w:rPr>
              <w:t>comparación</w:t>
            </w:r>
            <w:r>
              <w:rPr>
                <w:color w:val="231F1F"/>
                <w:spacing w:val="-11"/>
                <w:w w:val="110"/>
                <w:sz w:val="22"/>
              </w:rPr>
              <w:t> </w:t>
            </w:r>
            <w:r>
              <w:rPr>
                <w:color w:val="231F1F"/>
                <w:w w:val="110"/>
                <w:sz w:val="22"/>
              </w:rPr>
              <w:t>con</w:t>
            </w:r>
            <w:r>
              <w:rPr>
                <w:color w:val="231F1F"/>
                <w:spacing w:val="-11"/>
                <w:w w:val="110"/>
                <w:sz w:val="22"/>
              </w:rPr>
              <w:t> </w:t>
            </w:r>
            <w:r>
              <w:rPr>
                <w:color w:val="231F1F"/>
                <w:w w:val="110"/>
                <w:sz w:val="22"/>
              </w:rPr>
              <w:t>los</w:t>
            </w:r>
            <w:r>
              <w:rPr>
                <w:color w:val="231F1F"/>
                <w:spacing w:val="-12"/>
                <w:w w:val="110"/>
                <w:sz w:val="22"/>
              </w:rPr>
              <w:t> </w:t>
            </w:r>
            <w:r>
              <w:rPr>
                <w:color w:val="231F1F"/>
                <w:w w:val="110"/>
                <w:sz w:val="22"/>
              </w:rPr>
              <w:t>ergotínicos.</w:t>
            </w:r>
            <w:r>
              <w:rPr>
                <w:color w:val="231F1F"/>
                <w:spacing w:val="-12"/>
                <w:w w:val="110"/>
                <w:sz w:val="22"/>
              </w:rPr>
              <w:t> </w:t>
            </w:r>
            <w:r>
              <w:rPr>
                <w:color w:val="231F1F"/>
                <w:w w:val="110"/>
                <w:sz w:val="22"/>
              </w:rPr>
              <w:t>No</w:t>
            </w:r>
            <w:r>
              <w:rPr>
                <w:color w:val="231F1F"/>
                <w:spacing w:val="-11"/>
                <w:w w:val="110"/>
                <w:sz w:val="22"/>
              </w:rPr>
              <w:t> </w:t>
            </w:r>
            <w:r>
              <w:rPr>
                <w:color w:val="231F1F"/>
                <w:w w:val="110"/>
                <w:sz w:val="22"/>
              </w:rPr>
              <w:t>se encuentran diferencias</w:t>
            </w:r>
            <w:r>
              <w:rPr>
                <w:color w:val="231F1F"/>
                <w:spacing w:val="-1"/>
                <w:w w:val="110"/>
                <w:sz w:val="22"/>
              </w:rPr>
              <w:t> </w:t>
            </w:r>
            <w:r>
              <w:rPr>
                <w:color w:val="231F1F"/>
                <w:w w:val="110"/>
                <w:sz w:val="22"/>
              </w:rPr>
              <w:t>en la duración</w:t>
            </w:r>
            <w:r>
              <w:rPr>
                <w:color w:val="231F1F"/>
                <w:spacing w:val="-1"/>
                <w:w w:val="110"/>
                <w:sz w:val="22"/>
              </w:rPr>
              <w:t> </w:t>
            </w:r>
            <w:r>
              <w:rPr>
                <w:color w:val="231F1F"/>
                <w:w w:val="110"/>
                <w:sz w:val="22"/>
              </w:rPr>
              <w:t>de</w:t>
            </w:r>
            <w:r>
              <w:rPr>
                <w:color w:val="231F1F"/>
                <w:spacing w:val="-1"/>
                <w:w w:val="110"/>
                <w:sz w:val="22"/>
              </w:rPr>
              <w:t> </w:t>
            </w:r>
            <w:r>
              <w:rPr>
                <w:color w:val="231F1F"/>
                <w:w w:val="110"/>
                <w:sz w:val="22"/>
              </w:rPr>
              <w:t>la</w:t>
            </w:r>
            <w:r>
              <w:rPr>
                <w:color w:val="231F1F"/>
                <w:spacing w:val="-1"/>
                <w:w w:val="110"/>
                <w:sz w:val="22"/>
              </w:rPr>
              <w:t> </w:t>
            </w:r>
            <w:r>
              <w:rPr>
                <w:color w:val="231F1F"/>
                <w:w w:val="110"/>
                <w:sz w:val="22"/>
              </w:rPr>
              <w:t>tercera etapa</w:t>
            </w:r>
            <w:r>
              <w:rPr>
                <w:color w:val="231F1F"/>
                <w:spacing w:val="-1"/>
                <w:w w:val="110"/>
                <w:sz w:val="22"/>
              </w:rPr>
              <w:t> </w:t>
            </w:r>
            <w:r>
              <w:rPr>
                <w:color w:val="231F1F"/>
                <w:w w:val="110"/>
                <w:sz w:val="22"/>
              </w:rPr>
              <w:t>del</w:t>
            </w:r>
            <w:r>
              <w:rPr>
                <w:color w:val="231F1F"/>
                <w:spacing w:val="-1"/>
                <w:w w:val="110"/>
                <w:sz w:val="22"/>
              </w:rPr>
              <w:t> </w:t>
            </w:r>
            <w:r>
              <w:rPr>
                <w:color w:val="231F1F"/>
                <w:w w:val="110"/>
                <w:sz w:val="22"/>
              </w:rPr>
              <w:t>parto</w:t>
            </w:r>
            <w:r>
              <w:rPr>
                <w:color w:val="231F1F"/>
                <w:spacing w:val="-1"/>
                <w:w w:val="110"/>
                <w:sz w:val="22"/>
              </w:rPr>
              <w:t> </w:t>
            </w:r>
            <w:r>
              <w:rPr>
                <w:color w:val="231F1F"/>
                <w:w w:val="110"/>
                <w:sz w:val="22"/>
              </w:rPr>
              <w:t>ni</w:t>
            </w:r>
            <w:r>
              <w:rPr>
                <w:color w:val="231F1F"/>
                <w:spacing w:val="-1"/>
                <w:w w:val="110"/>
                <w:sz w:val="22"/>
              </w:rPr>
              <w:t> </w:t>
            </w:r>
            <w:r>
              <w:rPr>
                <w:color w:val="231F1F"/>
                <w:w w:val="110"/>
                <w:sz w:val="22"/>
              </w:rPr>
              <w:t>en la tasa de extracción manual de la placenta (10).</w:t>
            </w:r>
          </w:p>
        </w:tc>
        <w:tc>
          <w:tcPr>
            <w:tcW w:w="1133" w:type="dxa"/>
          </w:tcPr>
          <w:p>
            <w:pPr>
              <w:pStyle w:val="TableParagraph"/>
              <w:spacing w:before="199"/>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2312"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40" w:hRule="atLeast"/>
        </w:trPr>
        <w:tc>
          <w:tcPr>
            <w:tcW w:w="7373" w:type="dxa"/>
          </w:tcPr>
          <w:p>
            <w:pPr>
              <w:pStyle w:val="TableParagraph"/>
              <w:spacing w:line="244" w:lineRule="auto" w:before="29"/>
              <w:ind w:right="84"/>
              <w:jc w:val="both"/>
              <w:rPr>
                <w:sz w:val="22"/>
              </w:rPr>
            </w:pPr>
            <w:r>
              <w:rPr>
                <w:color w:val="231F1F"/>
                <w:w w:val="105"/>
                <w:sz w:val="22"/>
              </w:rPr>
              <w:t>Se</w:t>
            </w:r>
            <w:r>
              <w:rPr>
                <w:color w:val="231F1F"/>
                <w:w w:val="105"/>
                <w:sz w:val="22"/>
              </w:rPr>
              <w:t> observa</w:t>
            </w:r>
            <w:r>
              <w:rPr>
                <w:color w:val="231F1F"/>
                <w:w w:val="105"/>
                <w:sz w:val="22"/>
              </w:rPr>
              <w:t> que</w:t>
            </w:r>
            <w:r>
              <w:rPr>
                <w:color w:val="231F1F"/>
                <w:w w:val="105"/>
                <w:sz w:val="22"/>
              </w:rPr>
              <w:t> la</w:t>
            </w:r>
            <w:r>
              <w:rPr>
                <w:color w:val="231F1F"/>
                <w:w w:val="105"/>
                <w:sz w:val="22"/>
              </w:rPr>
              <w:t> combinación</w:t>
            </w:r>
            <w:r>
              <w:rPr>
                <w:color w:val="231F1F"/>
                <w:w w:val="105"/>
                <w:sz w:val="22"/>
              </w:rPr>
              <w:t> de</w:t>
            </w:r>
            <w:r>
              <w:rPr>
                <w:color w:val="231F1F"/>
                <w:w w:val="105"/>
                <w:sz w:val="22"/>
              </w:rPr>
              <w:t> oxitocina</w:t>
            </w:r>
            <w:r>
              <w:rPr>
                <w:color w:val="231F1F"/>
                <w:w w:val="105"/>
                <w:sz w:val="22"/>
              </w:rPr>
              <w:t> y</w:t>
            </w:r>
            <w:r>
              <w:rPr>
                <w:color w:val="231F1F"/>
                <w:w w:val="105"/>
                <w:sz w:val="22"/>
              </w:rPr>
              <w:t> ergotínicos</w:t>
            </w:r>
            <w:r>
              <w:rPr>
                <w:color w:val="231F1F"/>
                <w:w w:val="105"/>
                <w:sz w:val="22"/>
              </w:rPr>
              <w:t> disminuye</w:t>
            </w:r>
            <w:r>
              <w:rPr>
                <w:color w:val="231F1F"/>
                <w:w w:val="105"/>
                <w:sz w:val="22"/>
              </w:rPr>
              <w:t> la HPP&gt;500</w:t>
            </w:r>
            <w:r>
              <w:rPr>
                <w:color w:val="231F1F"/>
                <w:w w:val="105"/>
                <w:sz w:val="22"/>
              </w:rPr>
              <w:t> ml</w:t>
            </w:r>
            <w:r>
              <w:rPr>
                <w:color w:val="231F1F"/>
                <w:w w:val="105"/>
                <w:sz w:val="22"/>
              </w:rPr>
              <w:t> y</w:t>
            </w:r>
            <w:r>
              <w:rPr>
                <w:color w:val="231F1F"/>
                <w:w w:val="105"/>
                <w:sz w:val="22"/>
              </w:rPr>
              <w:t> la</w:t>
            </w:r>
            <w:r>
              <w:rPr>
                <w:color w:val="231F1F"/>
                <w:w w:val="105"/>
                <w:sz w:val="22"/>
              </w:rPr>
              <w:t> necesidad</w:t>
            </w:r>
            <w:r>
              <w:rPr>
                <w:color w:val="231F1F"/>
                <w:w w:val="105"/>
                <w:sz w:val="22"/>
              </w:rPr>
              <w:t> del</w:t>
            </w:r>
            <w:r>
              <w:rPr>
                <w:color w:val="231F1F"/>
                <w:w w:val="105"/>
                <w:sz w:val="22"/>
              </w:rPr>
              <w:t> uso</w:t>
            </w:r>
            <w:r>
              <w:rPr>
                <w:color w:val="231F1F"/>
                <w:w w:val="105"/>
                <w:sz w:val="22"/>
              </w:rPr>
              <w:t> terapéutico</w:t>
            </w:r>
            <w:r>
              <w:rPr>
                <w:color w:val="231F1F"/>
                <w:w w:val="105"/>
                <w:sz w:val="22"/>
              </w:rPr>
              <w:t> de</w:t>
            </w:r>
            <w:r>
              <w:rPr>
                <w:color w:val="231F1F"/>
                <w:w w:val="105"/>
                <w:sz w:val="22"/>
              </w:rPr>
              <w:t> uterotónicos,</w:t>
            </w:r>
            <w:r>
              <w:rPr>
                <w:color w:val="231F1F"/>
                <w:w w:val="105"/>
                <w:sz w:val="22"/>
              </w:rPr>
              <w:t> cuando</w:t>
            </w:r>
            <w:r>
              <w:rPr>
                <w:color w:val="231F1F"/>
                <w:w w:val="105"/>
                <w:sz w:val="22"/>
              </w:rPr>
              <w:t> se comparan con oxitocina (10).</w:t>
            </w:r>
          </w:p>
        </w:tc>
        <w:tc>
          <w:tcPr>
            <w:tcW w:w="1133" w:type="dxa"/>
          </w:tcPr>
          <w:p>
            <w:pPr>
              <w:pStyle w:val="TableParagraph"/>
              <w:spacing w:before="55"/>
              <w:ind w:left="0"/>
              <w:rPr>
                <w:rFonts w:ascii="Arial MT"/>
                <w:sz w:val="22"/>
              </w:rPr>
            </w:pPr>
          </w:p>
          <w:p>
            <w:pPr>
              <w:pStyle w:val="TableParagraph"/>
              <w:ind w:left="49" w:right="22"/>
              <w:jc w:val="center"/>
              <w:rPr>
                <w:sz w:val="22"/>
              </w:rPr>
            </w:pPr>
            <w:r>
              <w:rPr>
                <w:color w:val="231F1F"/>
                <w:spacing w:val="-5"/>
                <w:w w:val="105"/>
                <w:sz w:val="22"/>
              </w:rPr>
              <w:t>1+</w:t>
            </w:r>
          </w:p>
        </w:tc>
      </w:tr>
      <w:tr>
        <w:trPr>
          <w:trHeight w:val="1497" w:hRule="atLeast"/>
        </w:trPr>
        <w:tc>
          <w:tcPr>
            <w:tcW w:w="7373" w:type="dxa"/>
          </w:tcPr>
          <w:p>
            <w:pPr>
              <w:pStyle w:val="TableParagraph"/>
              <w:spacing w:line="247" w:lineRule="auto" w:before="29"/>
              <w:ind w:right="82"/>
              <w:jc w:val="both"/>
              <w:rPr>
                <w:sz w:val="22"/>
              </w:rPr>
            </w:pPr>
            <w:r>
              <w:rPr>
                <w:color w:val="231F1F"/>
                <w:w w:val="105"/>
                <w:sz w:val="22"/>
              </w:rPr>
              <w:t>La combinación de oxitocina y ergotínicos produce un aumento de compli- caciones maternas tales como: elevación de la presión diastólica, vómitos y náuseas. No hay evidencia de otras complicaciones como pérdida de sangre mayor</w:t>
            </w:r>
            <w:r>
              <w:rPr>
                <w:color w:val="231F1F"/>
                <w:w w:val="105"/>
                <w:sz w:val="22"/>
              </w:rPr>
              <w:t> de</w:t>
            </w:r>
            <w:r>
              <w:rPr>
                <w:color w:val="231F1F"/>
                <w:w w:val="105"/>
                <w:sz w:val="22"/>
              </w:rPr>
              <w:t> 1.000</w:t>
            </w:r>
            <w:r>
              <w:rPr>
                <w:color w:val="231F1F"/>
                <w:w w:val="105"/>
                <w:sz w:val="22"/>
              </w:rPr>
              <w:t> ml,</w:t>
            </w:r>
            <w:r>
              <w:rPr>
                <w:color w:val="231F1F"/>
                <w:w w:val="105"/>
                <w:sz w:val="22"/>
              </w:rPr>
              <w:t> tasa</w:t>
            </w:r>
            <w:r>
              <w:rPr>
                <w:color w:val="231F1F"/>
                <w:w w:val="105"/>
                <w:sz w:val="22"/>
              </w:rPr>
              <w:t> de</w:t>
            </w:r>
            <w:r>
              <w:rPr>
                <w:color w:val="231F1F"/>
                <w:w w:val="105"/>
                <w:sz w:val="22"/>
              </w:rPr>
              <w:t> transfusión</w:t>
            </w:r>
            <w:r>
              <w:rPr>
                <w:color w:val="231F1F"/>
                <w:w w:val="105"/>
                <w:sz w:val="22"/>
              </w:rPr>
              <w:t> sanguínea,</w:t>
            </w:r>
            <w:r>
              <w:rPr>
                <w:color w:val="231F1F"/>
                <w:w w:val="105"/>
                <w:sz w:val="22"/>
              </w:rPr>
              <w:t> extracción</w:t>
            </w:r>
            <w:r>
              <w:rPr>
                <w:color w:val="231F1F"/>
                <w:w w:val="105"/>
                <w:sz w:val="22"/>
              </w:rPr>
              <w:t> manual</w:t>
            </w:r>
            <w:r>
              <w:rPr>
                <w:color w:val="231F1F"/>
                <w:w w:val="105"/>
                <w:sz w:val="22"/>
              </w:rPr>
              <w:t> de</w:t>
            </w:r>
            <w:r>
              <w:rPr>
                <w:color w:val="231F1F"/>
                <w:w w:val="105"/>
                <w:sz w:val="22"/>
              </w:rPr>
              <w:t> la placenta, duración de la tercera etapa del parto o resultados neonatales (10)</w:t>
            </w:r>
          </w:p>
        </w:tc>
        <w:tc>
          <w:tcPr>
            <w:tcW w:w="1133" w:type="dxa"/>
          </w:tcPr>
          <w:p>
            <w:pPr>
              <w:pStyle w:val="TableParagraph"/>
              <w:ind w:left="0"/>
              <w:rPr>
                <w:rFonts w:ascii="Arial MT"/>
                <w:sz w:val="22"/>
              </w:rPr>
            </w:pPr>
          </w:p>
          <w:p>
            <w:pPr>
              <w:pStyle w:val="TableParagraph"/>
              <w:spacing w:before="80"/>
              <w:ind w:left="0"/>
              <w:rPr>
                <w:rFonts w:ascii="Arial MT"/>
                <w:sz w:val="22"/>
              </w:rPr>
            </w:pPr>
          </w:p>
          <w:p>
            <w:pPr>
              <w:pStyle w:val="TableParagraph"/>
              <w:ind w:left="49" w:right="22"/>
              <w:jc w:val="center"/>
              <w:rPr>
                <w:sz w:val="22"/>
              </w:rPr>
            </w:pPr>
            <w:r>
              <w:rPr>
                <w:color w:val="231F1F"/>
                <w:spacing w:val="-5"/>
                <w:w w:val="105"/>
                <w:sz w:val="22"/>
              </w:rPr>
              <w:t>1+</w:t>
            </w:r>
          </w:p>
        </w:tc>
      </w:tr>
      <w:tr>
        <w:trPr>
          <w:trHeight w:val="1218" w:hRule="atLeast"/>
        </w:trPr>
        <w:tc>
          <w:tcPr>
            <w:tcW w:w="7373" w:type="dxa"/>
          </w:tcPr>
          <w:p>
            <w:pPr>
              <w:pStyle w:val="TableParagraph"/>
              <w:spacing w:line="244" w:lineRule="auto" w:before="29"/>
              <w:ind w:right="89"/>
              <w:jc w:val="both"/>
              <w:rPr>
                <w:sz w:val="22"/>
              </w:rPr>
            </w:pPr>
            <w:r>
              <w:rPr>
                <w:color w:val="231F1F"/>
                <w:w w:val="110"/>
                <w:sz w:val="22"/>
              </w:rPr>
              <w:t>El uso de prostaglandinas, muestra una menor pérdida de sangre y menor duración</w:t>
            </w:r>
            <w:r>
              <w:rPr>
                <w:color w:val="231F1F"/>
                <w:spacing w:val="-10"/>
                <w:w w:val="110"/>
                <w:sz w:val="22"/>
              </w:rPr>
              <w:t> </w:t>
            </w:r>
            <w:r>
              <w:rPr>
                <w:color w:val="231F1F"/>
                <w:w w:val="110"/>
                <w:sz w:val="22"/>
              </w:rPr>
              <w:t>del</w:t>
            </w:r>
            <w:r>
              <w:rPr>
                <w:color w:val="231F1F"/>
                <w:spacing w:val="-11"/>
                <w:w w:val="110"/>
                <w:sz w:val="22"/>
              </w:rPr>
              <w:t> </w:t>
            </w:r>
            <w:r>
              <w:rPr>
                <w:color w:val="231F1F"/>
                <w:w w:val="110"/>
                <w:sz w:val="22"/>
              </w:rPr>
              <w:t>alumbramiento,</w:t>
            </w:r>
            <w:r>
              <w:rPr>
                <w:color w:val="231F1F"/>
                <w:spacing w:val="-11"/>
                <w:w w:val="110"/>
                <w:sz w:val="22"/>
              </w:rPr>
              <w:t> </w:t>
            </w:r>
            <w:r>
              <w:rPr>
                <w:color w:val="231F1F"/>
                <w:w w:val="110"/>
                <w:sz w:val="22"/>
              </w:rPr>
              <w:t>cuando</w:t>
            </w:r>
            <w:r>
              <w:rPr>
                <w:color w:val="231F1F"/>
                <w:spacing w:val="-9"/>
                <w:w w:val="110"/>
                <w:sz w:val="22"/>
              </w:rPr>
              <w:t> </w:t>
            </w:r>
            <w:r>
              <w:rPr>
                <w:color w:val="231F1F"/>
                <w:w w:val="110"/>
                <w:sz w:val="22"/>
              </w:rPr>
              <w:t>se</w:t>
            </w:r>
            <w:r>
              <w:rPr>
                <w:color w:val="231F1F"/>
                <w:spacing w:val="-10"/>
                <w:w w:val="110"/>
                <w:sz w:val="22"/>
              </w:rPr>
              <w:t> </w:t>
            </w:r>
            <w:r>
              <w:rPr>
                <w:color w:val="231F1F"/>
                <w:w w:val="110"/>
                <w:sz w:val="22"/>
              </w:rPr>
              <w:t>compara</w:t>
            </w:r>
            <w:r>
              <w:rPr>
                <w:color w:val="231F1F"/>
                <w:spacing w:val="-10"/>
                <w:w w:val="110"/>
                <w:sz w:val="22"/>
              </w:rPr>
              <w:t> </w:t>
            </w:r>
            <w:r>
              <w:rPr>
                <w:color w:val="231F1F"/>
                <w:w w:val="110"/>
                <w:sz w:val="22"/>
              </w:rPr>
              <w:t>con</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uso</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otros</w:t>
            </w:r>
            <w:r>
              <w:rPr>
                <w:color w:val="231F1F"/>
                <w:spacing w:val="-11"/>
                <w:w w:val="110"/>
                <w:sz w:val="22"/>
              </w:rPr>
              <w:t> </w:t>
            </w:r>
            <w:r>
              <w:rPr>
                <w:color w:val="231F1F"/>
                <w:w w:val="110"/>
                <w:sz w:val="22"/>
              </w:rPr>
              <w:t>utero- tónicos, aunque las prostaglandinas presentaron más efectos secundarios como vómitos, dolor abdominal y diarrea (201).</w:t>
            </w:r>
          </w:p>
        </w:tc>
        <w:tc>
          <w:tcPr>
            <w:tcW w:w="1133" w:type="dxa"/>
          </w:tcPr>
          <w:p>
            <w:pPr>
              <w:pStyle w:val="TableParagraph"/>
              <w:spacing w:before="199"/>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8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13"/>
                <w:w w:val="110"/>
                <w:sz w:val="22"/>
              </w:rPr>
              <w:t> </w:t>
            </w:r>
            <w:r>
              <w:rPr>
                <w:color w:val="231F1F"/>
                <w:w w:val="110"/>
                <w:sz w:val="22"/>
              </w:rPr>
              <w:t>recomienda</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utilización</w:t>
            </w:r>
            <w:r>
              <w:rPr>
                <w:color w:val="231F1F"/>
                <w:spacing w:val="-13"/>
                <w:w w:val="110"/>
                <w:sz w:val="22"/>
              </w:rPr>
              <w:t> </w:t>
            </w:r>
            <w:r>
              <w:rPr>
                <w:color w:val="231F1F"/>
                <w:w w:val="110"/>
                <w:sz w:val="22"/>
              </w:rPr>
              <w:t>rutinaria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oxitocina</w:t>
            </w:r>
            <w:r>
              <w:rPr>
                <w:color w:val="231F1F"/>
                <w:spacing w:val="-13"/>
                <w:w w:val="110"/>
                <w:sz w:val="22"/>
              </w:rPr>
              <w:t> </w:t>
            </w:r>
            <w:r>
              <w:rPr>
                <w:color w:val="231F1F"/>
                <w:w w:val="110"/>
                <w:sz w:val="22"/>
              </w:rPr>
              <w:t>en</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manejo</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tercera</w:t>
            </w:r>
            <w:r>
              <w:rPr>
                <w:color w:val="231F1F"/>
                <w:spacing w:val="-13"/>
                <w:w w:val="110"/>
                <w:sz w:val="22"/>
              </w:rPr>
              <w:t> </w:t>
            </w:r>
            <w:r>
              <w:rPr>
                <w:color w:val="231F1F"/>
                <w:w w:val="110"/>
                <w:sz w:val="22"/>
              </w:rPr>
              <w:t>fase del parto.</w:t>
            </w:r>
          </w:p>
        </w:tc>
      </w:tr>
    </w:tbl>
    <w:p>
      <w:pPr>
        <w:pStyle w:val="TableParagraph"/>
        <w:spacing w:after="0" w:line="244" w:lineRule="auto"/>
        <w:rPr>
          <w:sz w:val="22"/>
        </w:rPr>
        <w:sectPr>
          <w:type w:val="continuous"/>
          <w:pgSz w:w="11900" w:h="16840"/>
          <w:pgMar w:header="0" w:footer="622" w:top="1640" w:bottom="820" w:left="1417" w:right="1559"/>
        </w:sectPr>
      </w:pPr>
    </w:p>
    <w:p>
      <w:pPr>
        <w:pStyle w:val="Heading2"/>
        <w:numPr>
          <w:ilvl w:val="2"/>
          <w:numId w:val="2"/>
        </w:numPr>
        <w:tabs>
          <w:tab w:pos="1002" w:val="left" w:leader="none"/>
          <w:tab w:pos="1005" w:val="left" w:leader="none"/>
        </w:tabs>
        <w:spacing w:line="232" w:lineRule="auto" w:before="77" w:after="0"/>
        <w:ind w:left="1005" w:right="682" w:hanging="724"/>
        <w:jc w:val="left"/>
      </w:pPr>
      <w:bookmarkStart w:name="_TOC_250028" w:id="28"/>
      <w:r>
        <w:rPr>
          <w:color w:val="231F1F"/>
        </w:rPr>
        <w:t>Dosis de oxitocina (I.V.) para el alumbramiento</w:t>
      </w:r>
      <w:r>
        <w:rPr>
          <w:color w:val="231F1F"/>
          <w:spacing w:val="80"/>
        </w:rPr>
        <w:t> </w:t>
      </w:r>
      <w:bookmarkEnd w:id="28"/>
      <w:r>
        <w:rPr>
          <w:color w:val="231F1F"/>
          <w:spacing w:val="-2"/>
        </w:rPr>
        <w:t>dirigido</w:t>
      </w:r>
    </w:p>
    <w:p>
      <w:pPr>
        <w:pStyle w:val="BodyText"/>
        <w:spacing w:before="24"/>
        <w:rPr>
          <w:sz w:val="20"/>
        </w:rPr>
      </w:pPr>
      <w:r>
        <w:rPr>
          <w:sz w:val="20"/>
        </w:rPr>
        <mc:AlternateContent>
          <mc:Choice Requires="wps">
            <w:drawing>
              <wp:anchor distT="0" distB="0" distL="0" distR="0" allowOverlap="1" layoutInCell="1" locked="0" behindDoc="1" simplePos="0" relativeHeight="487613952">
                <wp:simplePos x="0" y="0"/>
                <wp:positionH relativeFrom="page">
                  <wp:posOffset>1082675</wp:posOffset>
                </wp:positionH>
                <wp:positionV relativeFrom="paragraph">
                  <wp:posOffset>180281</wp:posOffset>
                </wp:positionV>
                <wp:extent cx="5400040" cy="440055"/>
                <wp:effectExtent l="0" t="0" r="0" b="0"/>
                <wp:wrapTopAndBottom/>
                <wp:docPr id="105" name="Textbox 105"/>
                <wp:cNvGraphicFramePr>
                  <a:graphicFrameLocks/>
                </wp:cNvGraphicFramePr>
                <a:graphic>
                  <a:graphicData uri="http://schemas.microsoft.com/office/word/2010/wordprocessingShape">
                    <wps:wsp>
                      <wps:cNvPr id="105" name="Textbox 105"/>
                      <wps:cNvSpPr txBox="1"/>
                      <wps:spPr>
                        <a:xfrm>
                          <a:off x="0" y="0"/>
                          <a:ext cx="5400040" cy="440055"/>
                        </a:xfrm>
                        <a:prstGeom prst="rect">
                          <a:avLst/>
                        </a:prstGeom>
                        <a:ln w="6350">
                          <a:solidFill>
                            <a:srgbClr val="A30046"/>
                          </a:solidFill>
                          <a:prstDash val="solid"/>
                        </a:ln>
                      </wps:spPr>
                      <wps:txbx>
                        <w:txbxContent>
                          <w:p>
                            <w:pPr>
                              <w:pStyle w:val="BodyText"/>
                              <w:numPr>
                                <w:ilvl w:val="0"/>
                                <w:numId w:val="52"/>
                              </w:numPr>
                              <w:tabs>
                                <w:tab w:pos="323" w:val="left" w:leader="none"/>
                              </w:tabs>
                              <w:spacing w:line="240" w:lineRule="auto" w:before="56" w:after="0"/>
                              <w:ind w:left="323" w:right="209" w:hanging="220"/>
                              <w:jc w:val="left"/>
                            </w:pPr>
                            <w:r>
                              <w:rPr>
                                <w:color w:val="231F1F"/>
                              </w:rPr>
                              <w:t>¿Cuál</w:t>
                            </w:r>
                            <w:r>
                              <w:rPr>
                                <w:color w:val="231F1F"/>
                                <w:spacing w:val="29"/>
                              </w:rPr>
                              <w:t> </w:t>
                            </w:r>
                            <w:r>
                              <w:rPr>
                                <w:color w:val="231F1F"/>
                              </w:rPr>
                              <w:t>sería</w:t>
                            </w:r>
                            <w:r>
                              <w:rPr>
                                <w:color w:val="231F1F"/>
                                <w:spacing w:val="29"/>
                              </w:rPr>
                              <w:t> </w:t>
                            </w:r>
                            <w:r>
                              <w:rPr>
                                <w:color w:val="231F1F"/>
                              </w:rPr>
                              <w:t>la</w:t>
                            </w:r>
                            <w:r>
                              <w:rPr>
                                <w:color w:val="231F1F"/>
                                <w:spacing w:val="29"/>
                              </w:rPr>
                              <w:t> </w:t>
                            </w:r>
                            <w:r>
                              <w:rPr>
                                <w:color w:val="231F1F"/>
                              </w:rPr>
                              <w:t>dosis</w:t>
                            </w:r>
                            <w:r>
                              <w:rPr>
                                <w:color w:val="231F1F"/>
                                <w:spacing w:val="29"/>
                              </w:rPr>
                              <w:t> </w:t>
                            </w:r>
                            <w:r>
                              <w:rPr>
                                <w:color w:val="231F1F"/>
                              </w:rPr>
                              <w:t>de</w:t>
                            </w:r>
                            <w:r>
                              <w:rPr>
                                <w:color w:val="231F1F"/>
                                <w:spacing w:val="29"/>
                              </w:rPr>
                              <w:t> </w:t>
                            </w:r>
                            <w:r>
                              <w:rPr>
                                <w:color w:val="231F1F"/>
                              </w:rPr>
                              <w:t>oxitocina</w:t>
                            </w:r>
                            <w:r>
                              <w:rPr>
                                <w:color w:val="231F1F"/>
                                <w:spacing w:val="29"/>
                              </w:rPr>
                              <w:t> </w:t>
                            </w:r>
                            <w:r>
                              <w:rPr>
                                <w:color w:val="231F1F"/>
                              </w:rPr>
                              <w:t>intravenosa</w:t>
                            </w:r>
                            <w:r>
                              <w:rPr>
                                <w:color w:val="231F1F"/>
                                <w:spacing w:val="30"/>
                              </w:rPr>
                              <w:t> </w:t>
                            </w:r>
                            <w:r>
                              <w:rPr>
                                <w:color w:val="231F1F"/>
                              </w:rPr>
                              <w:t>(IV)</w:t>
                            </w:r>
                            <w:r>
                              <w:rPr>
                                <w:color w:val="231F1F"/>
                                <w:spacing w:val="29"/>
                              </w:rPr>
                              <w:t> </w:t>
                            </w:r>
                            <w:r>
                              <w:rPr>
                                <w:color w:val="231F1F"/>
                              </w:rPr>
                              <w:t>más</w:t>
                            </w:r>
                            <w:r>
                              <w:rPr>
                                <w:color w:val="231F1F"/>
                                <w:spacing w:val="29"/>
                              </w:rPr>
                              <w:t> </w:t>
                            </w:r>
                            <w:r>
                              <w:rPr>
                                <w:color w:val="231F1F"/>
                              </w:rPr>
                              <w:t>adecuada</w:t>
                            </w:r>
                            <w:r>
                              <w:rPr>
                                <w:color w:val="231F1F"/>
                                <w:spacing w:val="29"/>
                              </w:rPr>
                              <w:t> </w:t>
                            </w:r>
                            <w:r>
                              <w:rPr>
                                <w:color w:val="231F1F"/>
                              </w:rPr>
                              <w:t>para</w:t>
                            </w:r>
                            <w:r>
                              <w:rPr>
                                <w:color w:val="231F1F"/>
                                <w:spacing w:val="29"/>
                              </w:rPr>
                              <w:t> </w:t>
                            </w:r>
                            <w:r>
                              <w:rPr>
                                <w:color w:val="231F1F"/>
                              </w:rPr>
                              <w:t>el</w:t>
                            </w:r>
                            <w:r>
                              <w:rPr>
                                <w:color w:val="231F1F"/>
                                <w:spacing w:val="29"/>
                              </w:rPr>
                              <w:t> </w:t>
                            </w:r>
                            <w:r>
                              <w:rPr>
                                <w:color w:val="231F1F"/>
                              </w:rPr>
                              <w:t>alumbramien- to dirigido?</w:t>
                            </w:r>
                          </w:p>
                        </w:txbxContent>
                      </wps:txbx>
                      <wps:bodyPr wrap="square" lIns="0" tIns="0" rIns="0" bIns="0" rtlCol="0">
                        <a:noAutofit/>
                      </wps:bodyPr>
                    </wps:wsp>
                  </a:graphicData>
                </a:graphic>
              </wp:anchor>
            </w:drawing>
          </mc:Choice>
          <mc:Fallback>
            <w:pict>
              <v:shape style="position:absolute;margin-left:85.25pt;margin-top:14.19541pt;width:425.2pt;height:34.65pt;mso-position-horizontal-relative:page;mso-position-vertical-relative:paragraph;z-index:-15702528;mso-wrap-distance-left:0;mso-wrap-distance-right:0" type="#_x0000_t202" id="docshape94" filled="false" stroked="true" strokeweight=".5pt" strokecolor="#a30046">
                <v:textbox inset="0,0,0,0">
                  <w:txbxContent>
                    <w:p>
                      <w:pPr>
                        <w:pStyle w:val="BodyText"/>
                        <w:numPr>
                          <w:ilvl w:val="0"/>
                          <w:numId w:val="52"/>
                        </w:numPr>
                        <w:tabs>
                          <w:tab w:pos="323" w:val="left" w:leader="none"/>
                        </w:tabs>
                        <w:spacing w:line="240" w:lineRule="auto" w:before="56" w:after="0"/>
                        <w:ind w:left="323" w:right="209" w:hanging="220"/>
                        <w:jc w:val="left"/>
                      </w:pPr>
                      <w:r>
                        <w:rPr>
                          <w:color w:val="231F1F"/>
                        </w:rPr>
                        <w:t>¿Cuál</w:t>
                      </w:r>
                      <w:r>
                        <w:rPr>
                          <w:color w:val="231F1F"/>
                          <w:spacing w:val="29"/>
                        </w:rPr>
                        <w:t> </w:t>
                      </w:r>
                      <w:r>
                        <w:rPr>
                          <w:color w:val="231F1F"/>
                        </w:rPr>
                        <w:t>sería</w:t>
                      </w:r>
                      <w:r>
                        <w:rPr>
                          <w:color w:val="231F1F"/>
                          <w:spacing w:val="29"/>
                        </w:rPr>
                        <w:t> </w:t>
                      </w:r>
                      <w:r>
                        <w:rPr>
                          <w:color w:val="231F1F"/>
                        </w:rPr>
                        <w:t>la</w:t>
                      </w:r>
                      <w:r>
                        <w:rPr>
                          <w:color w:val="231F1F"/>
                          <w:spacing w:val="29"/>
                        </w:rPr>
                        <w:t> </w:t>
                      </w:r>
                      <w:r>
                        <w:rPr>
                          <w:color w:val="231F1F"/>
                        </w:rPr>
                        <w:t>dosis</w:t>
                      </w:r>
                      <w:r>
                        <w:rPr>
                          <w:color w:val="231F1F"/>
                          <w:spacing w:val="29"/>
                        </w:rPr>
                        <w:t> </w:t>
                      </w:r>
                      <w:r>
                        <w:rPr>
                          <w:color w:val="231F1F"/>
                        </w:rPr>
                        <w:t>de</w:t>
                      </w:r>
                      <w:r>
                        <w:rPr>
                          <w:color w:val="231F1F"/>
                          <w:spacing w:val="29"/>
                        </w:rPr>
                        <w:t> </w:t>
                      </w:r>
                      <w:r>
                        <w:rPr>
                          <w:color w:val="231F1F"/>
                        </w:rPr>
                        <w:t>oxitocina</w:t>
                      </w:r>
                      <w:r>
                        <w:rPr>
                          <w:color w:val="231F1F"/>
                          <w:spacing w:val="29"/>
                        </w:rPr>
                        <w:t> </w:t>
                      </w:r>
                      <w:r>
                        <w:rPr>
                          <w:color w:val="231F1F"/>
                        </w:rPr>
                        <w:t>intravenosa</w:t>
                      </w:r>
                      <w:r>
                        <w:rPr>
                          <w:color w:val="231F1F"/>
                          <w:spacing w:val="30"/>
                        </w:rPr>
                        <w:t> </w:t>
                      </w:r>
                      <w:r>
                        <w:rPr>
                          <w:color w:val="231F1F"/>
                        </w:rPr>
                        <w:t>(IV)</w:t>
                      </w:r>
                      <w:r>
                        <w:rPr>
                          <w:color w:val="231F1F"/>
                          <w:spacing w:val="29"/>
                        </w:rPr>
                        <w:t> </w:t>
                      </w:r>
                      <w:r>
                        <w:rPr>
                          <w:color w:val="231F1F"/>
                        </w:rPr>
                        <w:t>más</w:t>
                      </w:r>
                      <w:r>
                        <w:rPr>
                          <w:color w:val="231F1F"/>
                          <w:spacing w:val="29"/>
                        </w:rPr>
                        <w:t> </w:t>
                      </w:r>
                      <w:r>
                        <w:rPr>
                          <w:color w:val="231F1F"/>
                        </w:rPr>
                        <w:t>adecuada</w:t>
                      </w:r>
                      <w:r>
                        <w:rPr>
                          <w:color w:val="231F1F"/>
                          <w:spacing w:val="29"/>
                        </w:rPr>
                        <w:t> </w:t>
                      </w:r>
                      <w:r>
                        <w:rPr>
                          <w:color w:val="231F1F"/>
                        </w:rPr>
                        <w:t>para</w:t>
                      </w:r>
                      <w:r>
                        <w:rPr>
                          <w:color w:val="231F1F"/>
                          <w:spacing w:val="29"/>
                        </w:rPr>
                        <w:t> </w:t>
                      </w:r>
                      <w:r>
                        <w:rPr>
                          <w:color w:val="231F1F"/>
                        </w:rPr>
                        <w:t>el</w:t>
                      </w:r>
                      <w:r>
                        <w:rPr>
                          <w:color w:val="231F1F"/>
                          <w:spacing w:val="29"/>
                        </w:rPr>
                        <w:t> </w:t>
                      </w:r>
                      <w:r>
                        <w:rPr>
                          <w:color w:val="231F1F"/>
                        </w:rPr>
                        <w:t>alumbramien- to dirigido?</w:t>
                      </w:r>
                    </w:p>
                  </w:txbxContent>
                </v:textbox>
                <v:stroke dashstyle="solid"/>
                <w10:wrap type="topAndBottom"/>
              </v:shape>
            </w:pict>
          </mc:Fallback>
        </mc:AlternateContent>
      </w:r>
    </w:p>
    <w:p>
      <w:pPr>
        <w:pStyle w:val="BodyText"/>
        <w:spacing w:line="244" w:lineRule="auto" w:before="318"/>
        <w:ind w:left="282" w:right="122"/>
        <w:jc w:val="both"/>
      </w:pPr>
      <w:r>
        <w:rPr>
          <w:color w:val="231F1F"/>
          <w:w w:val="110"/>
        </w:rPr>
        <w:t>La</w:t>
      </w:r>
      <w:r>
        <w:rPr>
          <w:color w:val="231F1F"/>
          <w:spacing w:val="-16"/>
          <w:w w:val="110"/>
        </w:rPr>
        <w:t> </w:t>
      </w:r>
      <w:r>
        <w:rPr>
          <w:color w:val="231F1F"/>
          <w:w w:val="110"/>
        </w:rPr>
        <w:t>oxitocina</w:t>
      </w:r>
      <w:r>
        <w:rPr>
          <w:color w:val="231F1F"/>
          <w:spacing w:val="-15"/>
          <w:w w:val="110"/>
        </w:rPr>
        <w:t> </w:t>
      </w:r>
      <w:r>
        <w:rPr>
          <w:color w:val="231F1F"/>
          <w:w w:val="110"/>
        </w:rPr>
        <w:t>se</w:t>
      </w:r>
      <w:r>
        <w:rPr>
          <w:color w:val="231F1F"/>
          <w:spacing w:val="-15"/>
          <w:w w:val="110"/>
        </w:rPr>
        <w:t> </w:t>
      </w:r>
      <w:r>
        <w:rPr>
          <w:color w:val="231F1F"/>
          <w:w w:val="110"/>
        </w:rPr>
        <w:t>emplea</w:t>
      </w:r>
      <w:r>
        <w:rPr>
          <w:color w:val="231F1F"/>
          <w:spacing w:val="-15"/>
          <w:w w:val="110"/>
        </w:rPr>
        <w:t> </w:t>
      </w:r>
      <w:r>
        <w:rPr>
          <w:color w:val="231F1F"/>
          <w:w w:val="110"/>
        </w:rPr>
        <w:t>como</w:t>
      </w:r>
      <w:r>
        <w:rPr>
          <w:color w:val="231F1F"/>
          <w:spacing w:val="-15"/>
          <w:w w:val="110"/>
        </w:rPr>
        <w:t> </w:t>
      </w:r>
      <w:r>
        <w:rPr>
          <w:color w:val="231F1F"/>
          <w:w w:val="110"/>
        </w:rPr>
        <w:t>uterotónico</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manejo</w:t>
      </w:r>
      <w:r>
        <w:rPr>
          <w:color w:val="231F1F"/>
          <w:spacing w:val="-16"/>
          <w:w w:val="110"/>
        </w:rPr>
        <w:t> </w:t>
      </w:r>
      <w:r>
        <w:rPr>
          <w:color w:val="231F1F"/>
          <w:w w:val="110"/>
        </w:rPr>
        <w:t>activo</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tercera</w:t>
      </w:r>
      <w:r>
        <w:rPr>
          <w:color w:val="231F1F"/>
          <w:spacing w:val="-15"/>
          <w:w w:val="110"/>
        </w:rPr>
        <w:t> </w:t>
      </w:r>
      <w:r>
        <w:rPr>
          <w:color w:val="231F1F"/>
          <w:w w:val="110"/>
        </w:rPr>
        <w:t>etapa</w:t>
      </w:r>
      <w:r>
        <w:rPr>
          <w:color w:val="231F1F"/>
          <w:spacing w:val="-15"/>
          <w:w w:val="110"/>
        </w:rPr>
        <w:t> </w:t>
      </w:r>
      <w:r>
        <w:rPr>
          <w:color w:val="231F1F"/>
          <w:w w:val="110"/>
        </w:rPr>
        <w:t>del</w:t>
      </w:r>
      <w:r>
        <w:rPr>
          <w:color w:val="231F1F"/>
          <w:spacing w:val="-15"/>
          <w:w w:val="110"/>
        </w:rPr>
        <w:t> </w:t>
      </w:r>
      <w:r>
        <w:rPr>
          <w:color w:val="231F1F"/>
          <w:w w:val="110"/>
        </w:rPr>
        <w:t>parto. </w:t>
      </w:r>
      <w:r>
        <w:rPr>
          <w:color w:val="231F1F"/>
          <w:spacing w:val="-2"/>
          <w:w w:val="110"/>
        </w:rPr>
        <w:t>Sin</w:t>
      </w:r>
      <w:r>
        <w:rPr>
          <w:color w:val="231F1F"/>
          <w:spacing w:val="-8"/>
          <w:w w:val="110"/>
        </w:rPr>
        <w:t> </w:t>
      </w:r>
      <w:r>
        <w:rPr>
          <w:color w:val="231F1F"/>
          <w:spacing w:val="-2"/>
          <w:w w:val="110"/>
        </w:rPr>
        <w:t>embargo,</w:t>
      </w:r>
      <w:r>
        <w:rPr>
          <w:color w:val="231F1F"/>
          <w:spacing w:val="-8"/>
          <w:w w:val="110"/>
        </w:rPr>
        <w:t> </w:t>
      </w:r>
      <w:r>
        <w:rPr>
          <w:color w:val="231F1F"/>
          <w:spacing w:val="-2"/>
          <w:w w:val="110"/>
        </w:rPr>
        <w:t>existe</w:t>
      </w:r>
      <w:r>
        <w:rPr>
          <w:color w:val="231F1F"/>
          <w:spacing w:val="-8"/>
          <w:w w:val="110"/>
        </w:rPr>
        <w:t> </w:t>
      </w:r>
      <w:r>
        <w:rPr>
          <w:color w:val="231F1F"/>
          <w:spacing w:val="-2"/>
          <w:w w:val="110"/>
        </w:rPr>
        <w:t>controversia</w:t>
      </w:r>
      <w:r>
        <w:rPr>
          <w:color w:val="231F1F"/>
          <w:spacing w:val="-8"/>
          <w:w w:val="110"/>
        </w:rPr>
        <w:t> </w:t>
      </w:r>
      <w:r>
        <w:rPr>
          <w:color w:val="231F1F"/>
          <w:spacing w:val="-2"/>
          <w:w w:val="110"/>
        </w:rPr>
        <w:t>en</w:t>
      </w:r>
      <w:r>
        <w:rPr>
          <w:color w:val="231F1F"/>
          <w:spacing w:val="-8"/>
          <w:w w:val="110"/>
        </w:rPr>
        <w:t> </w:t>
      </w:r>
      <w:r>
        <w:rPr>
          <w:color w:val="231F1F"/>
          <w:spacing w:val="-2"/>
          <w:w w:val="110"/>
        </w:rPr>
        <w:t>cuál</w:t>
      </w:r>
      <w:r>
        <w:rPr>
          <w:color w:val="231F1F"/>
          <w:spacing w:val="-8"/>
          <w:w w:val="110"/>
        </w:rPr>
        <w:t> </w:t>
      </w:r>
      <w:r>
        <w:rPr>
          <w:color w:val="231F1F"/>
          <w:spacing w:val="-2"/>
          <w:w w:val="110"/>
        </w:rPr>
        <w:t>es</w:t>
      </w:r>
      <w:r>
        <w:rPr>
          <w:color w:val="231F1F"/>
          <w:spacing w:val="-8"/>
          <w:w w:val="110"/>
        </w:rPr>
        <w:t> </w:t>
      </w:r>
      <w:r>
        <w:rPr>
          <w:color w:val="231F1F"/>
          <w:spacing w:val="-2"/>
          <w:w w:val="110"/>
        </w:rPr>
        <w:t>la</w:t>
      </w:r>
      <w:r>
        <w:rPr>
          <w:color w:val="231F1F"/>
          <w:spacing w:val="-8"/>
          <w:w w:val="110"/>
        </w:rPr>
        <w:t> </w:t>
      </w:r>
      <w:r>
        <w:rPr>
          <w:color w:val="231F1F"/>
          <w:spacing w:val="-2"/>
          <w:w w:val="110"/>
        </w:rPr>
        <w:t>dosis</w:t>
      </w:r>
      <w:r>
        <w:rPr>
          <w:color w:val="231F1F"/>
          <w:spacing w:val="-8"/>
          <w:w w:val="110"/>
        </w:rPr>
        <w:t> </w:t>
      </w:r>
      <w:r>
        <w:rPr>
          <w:color w:val="231F1F"/>
          <w:spacing w:val="-2"/>
          <w:w w:val="110"/>
        </w:rPr>
        <w:t>óptima</w:t>
      </w:r>
      <w:r>
        <w:rPr>
          <w:color w:val="231F1F"/>
          <w:spacing w:val="-8"/>
          <w:w w:val="110"/>
        </w:rPr>
        <w:t> </w:t>
      </w:r>
      <w:r>
        <w:rPr>
          <w:color w:val="231F1F"/>
          <w:spacing w:val="-2"/>
          <w:w w:val="110"/>
        </w:rPr>
        <w:t>a</w:t>
      </w:r>
      <w:r>
        <w:rPr>
          <w:color w:val="231F1F"/>
          <w:spacing w:val="-8"/>
          <w:w w:val="110"/>
        </w:rPr>
        <w:t> </w:t>
      </w:r>
      <w:r>
        <w:rPr>
          <w:color w:val="231F1F"/>
          <w:spacing w:val="-2"/>
          <w:w w:val="110"/>
        </w:rPr>
        <w:t>emplear,</w:t>
      </w:r>
      <w:r>
        <w:rPr>
          <w:color w:val="231F1F"/>
          <w:spacing w:val="-8"/>
          <w:w w:val="110"/>
        </w:rPr>
        <w:t> </w:t>
      </w:r>
      <w:r>
        <w:rPr>
          <w:color w:val="231F1F"/>
          <w:spacing w:val="-2"/>
          <w:w w:val="110"/>
        </w:rPr>
        <w:t>existiendo</w:t>
      </w:r>
      <w:r>
        <w:rPr>
          <w:color w:val="231F1F"/>
          <w:spacing w:val="-8"/>
          <w:w w:val="110"/>
        </w:rPr>
        <w:t> </w:t>
      </w:r>
      <w:r>
        <w:rPr>
          <w:color w:val="231F1F"/>
          <w:spacing w:val="-2"/>
          <w:w w:val="110"/>
        </w:rPr>
        <w:t>una</w:t>
      </w:r>
      <w:r>
        <w:rPr>
          <w:color w:val="231F1F"/>
          <w:spacing w:val="-8"/>
          <w:w w:val="110"/>
        </w:rPr>
        <w:t> </w:t>
      </w:r>
      <w:r>
        <w:rPr>
          <w:color w:val="231F1F"/>
          <w:spacing w:val="-2"/>
          <w:w w:val="110"/>
        </w:rPr>
        <w:t>gran </w:t>
      </w:r>
      <w:r>
        <w:rPr>
          <w:color w:val="231F1F"/>
          <w:w w:val="110"/>
        </w:rPr>
        <w:t>variabilidad en la práctica clínica.</w:t>
      </w:r>
    </w:p>
    <w:p>
      <w:pPr>
        <w:pStyle w:val="BodyText"/>
        <w:spacing w:before="167"/>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4"/>
        <w:ind w:left="283" w:right="1368"/>
        <w:jc w:val="both"/>
      </w:pPr>
      <w:r>
        <w:rPr>
          <w:color w:val="231F1F"/>
          <w:w w:val="110"/>
        </w:rPr>
        <w:t>La guía NICE (10) no responde a la pregunta sobre cuál es la dosis de oxi- tocina intravenosa más adecuada en el alumbramiento dirigido. Es impor- tante señalar también que en la guía se comenta que en el momento de la publicación (Septiembre de 2007), la oxitocina no tenía autorización para esta indicación, por lo que se debía pedir y documentar el consentimiento </w:t>
      </w:r>
      <w:r>
        <w:rPr>
          <w:color w:val="231F1F"/>
          <w:spacing w:val="-2"/>
          <w:w w:val="110"/>
        </w:rPr>
        <w:t>informado.</w:t>
      </w:r>
    </w:p>
    <w:p>
      <w:pPr>
        <w:pStyle w:val="BodyText"/>
        <w:spacing w:before="82"/>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2"/>
          <w:sz w:val="24"/>
        </w:rPr>
        <w:t> </w:t>
      </w:r>
      <w:r>
        <w:rPr>
          <w:rFonts w:ascii="Arial MT" w:hAnsi="Arial MT"/>
          <w:color w:val="231F1F"/>
          <w:sz w:val="24"/>
        </w:rPr>
        <w:t>mayo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2"/>
          <w:sz w:val="24"/>
        </w:rPr>
        <w:t> </w:t>
      </w:r>
      <w:r>
        <w:rPr>
          <w:rFonts w:ascii="Arial MT" w:hAnsi="Arial MT"/>
          <w:color w:val="231F1F"/>
          <w:spacing w:val="-2"/>
          <w:sz w:val="24"/>
        </w:rPr>
        <w:t>2008)</w:t>
      </w:r>
    </w:p>
    <w:p>
      <w:pPr>
        <w:pStyle w:val="BodyText"/>
        <w:spacing w:line="244" w:lineRule="auto" w:before="214"/>
        <w:ind w:left="287" w:right="38"/>
        <w:jc w:val="both"/>
      </w:pPr>
      <w:r>
        <w:rPr>
          <w:color w:val="231F1F"/>
          <w:w w:val="105"/>
        </w:rPr>
        <w:t>De las 23 referencias bibliograficas encontradas en la búsqueda se decidió no incluir</w:t>
      </w:r>
      <w:r>
        <w:rPr>
          <w:color w:val="231F1F"/>
          <w:w w:val="105"/>
        </w:rPr>
        <w:t> ninguna.</w:t>
      </w:r>
      <w:r>
        <w:rPr>
          <w:color w:val="231F1F"/>
          <w:w w:val="105"/>
        </w:rPr>
        <w:t> En</w:t>
      </w:r>
      <w:r>
        <w:rPr>
          <w:color w:val="231F1F"/>
          <w:w w:val="105"/>
        </w:rPr>
        <w:t> una</w:t>
      </w:r>
      <w:r>
        <w:rPr>
          <w:color w:val="231F1F"/>
          <w:w w:val="105"/>
        </w:rPr>
        <w:t> búsqueda</w:t>
      </w:r>
      <w:r>
        <w:rPr>
          <w:color w:val="231F1F"/>
          <w:w w:val="105"/>
        </w:rPr>
        <w:t> de</w:t>
      </w:r>
      <w:r>
        <w:rPr>
          <w:color w:val="231F1F"/>
          <w:w w:val="105"/>
        </w:rPr>
        <w:t> literatura</w:t>
      </w:r>
      <w:r>
        <w:rPr>
          <w:color w:val="231F1F"/>
          <w:w w:val="105"/>
        </w:rPr>
        <w:t> gris</w:t>
      </w:r>
      <w:r>
        <w:rPr>
          <w:color w:val="231F1F"/>
          <w:w w:val="105"/>
        </w:rPr>
        <w:t> tampoco</w:t>
      </w:r>
      <w:r>
        <w:rPr>
          <w:color w:val="231F1F"/>
          <w:w w:val="105"/>
        </w:rPr>
        <w:t> se</w:t>
      </w:r>
      <w:r>
        <w:rPr>
          <w:color w:val="231F1F"/>
          <w:w w:val="105"/>
        </w:rPr>
        <w:t> seleccionó </w:t>
      </w:r>
      <w:r>
        <w:rPr>
          <w:color w:val="231F1F"/>
          <w:spacing w:val="-2"/>
          <w:w w:val="105"/>
        </w:rPr>
        <w:t>ninguna.</w:t>
      </w:r>
    </w:p>
    <w:p>
      <w:pPr>
        <w:pStyle w:val="BodyText"/>
        <w:spacing w:line="244" w:lineRule="auto" w:before="176"/>
        <w:ind w:left="288" w:right="42" w:firstLine="453"/>
        <w:jc w:val="both"/>
      </w:pPr>
      <w:r>
        <w:rPr>
          <w:color w:val="231F1F"/>
          <w:w w:val="110"/>
        </w:rPr>
        <w:t>Se</w:t>
      </w:r>
      <w:r>
        <w:rPr>
          <w:color w:val="231F1F"/>
          <w:spacing w:val="-5"/>
          <w:w w:val="110"/>
        </w:rPr>
        <w:t> </w:t>
      </w:r>
      <w:r>
        <w:rPr>
          <w:color w:val="231F1F"/>
          <w:w w:val="110"/>
        </w:rPr>
        <w:t>seleccionaron</w:t>
      </w:r>
      <w:r>
        <w:rPr>
          <w:color w:val="231F1F"/>
          <w:spacing w:val="-5"/>
          <w:w w:val="110"/>
        </w:rPr>
        <w:t> </w:t>
      </w:r>
      <w:r>
        <w:rPr>
          <w:color w:val="231F1F"/>
          <w:w w:val="110"/>
        </w:rPr>
        <w:t>cuatro</w:t>
      </w:r>
      <w:r>
        <w:rPr>
          <w:color w:val="231F1F"/>
          <w:spacing w:val="-5"/>
          <w:w w:val="110"/>
        </w:rPr>
        <w:t> </w:t>
      </w:r>
      <w:r>
        <w:rPr>
          <w:color w:val="231F1F"/>
          <w:w w:val="110"/>
        </w:rPr>
        <w:t>ECAs</w:t>
      </w:r>
      <w:r>
        <w:rPr>
          <w:color w:val="231F1F"/>
          <w:spacing w:val="-5"/>
          <w:w w:val="110"/>
        </w:rPr>
        <w:t> </w:t>
      </w:r>
      <w:r>
        <w:rPr>
          <w:color w:val="231F1F"/>
          <w:w w:val="110"/>
        </w:rPr>
        <w:t>ya</w:t>
      </w:r>
      <w:r>
        <w:rPr>
          <w:color w:val="231F1F"/>
          <w:spacing w:val="-5"/>
          <w:w w:val="110"/>
        </w:rPr>
        <w:t> </w:t>
      </w:r>
      <w:r>
        <w:rPr>
          <w:color w:val="231F1F"/>
          <w:w w:val="110"/>
        </w:rPr>
        <w:t>que</w:t>
      </w:r>
      <w:r>
        <w:rPr>
          <w:color w:val="231F1F"/>
          <w:spacing w:val="-5"/>
          <w:w w:val="110"/>
        </w:rPr>
        <w:t> </w:t>
      </w:r>
      <w:r>
        <w:rPr>
          <w:color w:val="231F1F"/>
          <w:w w:val="110"/>
        </w:rPr>
        <w:t>evaluaban</w:t>
      </w:r>
      <w:r>
        <w:rPr>
          <w:color w:val="231F1F"/>
          <w:spacing w:val="-4"/>
          <w:w w:val="110"/>
        </w:rPr>
        <w:t> </w:t>
      </w:r>
      <w:r>
        <w:rPr>
          <w:color w:val="231F1F"/>
          <w:w w:val="110"/>
        </w:rPr>
        <w:t>la</w:t>
      </w:r>
      <w:r>
        <w:rPr>
          <w:color w:val="231F1F"/>
          <w:spacing w:val="-5"/>
          <w:w w:val="110"/>
        </w:rPr>
        <w:t> </w:t>
      </w:r>
      <w:r>
        <w:rPr>
          <w:color w:val="231F1F"/>
          <w:w w:val="110"/>
        </w:rPr>
        <w:t>oxitocina</w:t>
      </w:r>
      <w:r>
        <w:rPr>
          <w:color w:val="231F1F"/>
          <w:spacing w:val="-5"/>
          <w:w w:val="110"/>
        </w:rPr>
        <w:t> </w:t>
      </w:r>
      <w:r>
        <w:rPr>
          <w:color w:val="231F1F"/>
          <w:w w:val="110"/>
        </w:rPr>
        <w:t>IV</w:t>
      </w:r>
      <w:r>
        <w:rPr>
          <w:color w:val="231F1F"/>
          <w:spacing w:val="-4"/>
          <w:w w:val="110"/>
        </w:rPr>
        <w:t> </w:t>
      </w:r>
      <w:r>
        <w:rPr>
          <w:color w:val="231F1F"/>
          <w:w w:val="110"/>
        </w:rPr>
        <w:t>frente a</w:t>
      </w:r>
      <w:r>
        <w:rPr>
          <w:color w:val="231F1F"/>
          <w:spacing w:val="-3"/>
          <w:w w:val="110"/>
        </w:rPr>
        <w:t> </w:t>
      </w:r>
      <w:r>
        <w:rPr>
          <w:color w:val="231F1F"/>
          <w:w w:val="110"/>
        </w:rPr>
        <w:t>otros</w:t>
      </w:r>
      <w:r>
        <w:rPr>
          <w:color w:val="231F1F"/>
          <w:spacing w:val="-3"/>
          <w:w w:val="110"/>
        </w:rPr>
        <w:t> </w:t>
      </w:r>
      <w:r>
        <w:rPr>
          <w:color w:val="231F1F"/>
          <w:w w:val="110"/>
        </w:rPr>
        <w:t>tratamientos</w:t>
      </w:r>
      <w:r>
        <w:rPr>
          <w:color w:val="231F1F"/>
          <w:spacing w:val="-3"/>
          <w:w w:val="110"/>
        </w:rPr>
        <w:t> </w:t>
      </w:r>
      <w:r>
        <w:rPr>
          <w:color w:val="231F1F"/>
          <w:w w:val="110"/>
        </w:rPr>
        <w:t>o</w:t>
      </w:r>
      <w:r>
        <w:rPr>
          <w:color w:val="231F1F"/>
          <w:spacing w:val="-2"/>
          <w:w w:val="110"/>
        </w:rPr>
        <w:t> </w:t>
      </w:r>
      <w:r>
        <w:rPr>
          <w:color w:val="231F1F"/>
          <w:w w:val="110"/>
        </w:rPr>
        <w:t>placebo,</w:t>
      </w:r>
      <w:r>
        <w:rPr>
          <w:color w:val="231F1F"/>
          <w:spacing w:val="-3"/>
          <w:w w:val="110"/>
        </w:rPr>
        <w:t> </w:t>
      </w:r>
      <w:r>
        <w:rPr>
          <w:color w:val="231F1F"/>
          <w:w w:val="110"/>
        </w:rPr>
        <w:t>aunque</w:t>
      </w:r>
      <w:r>
        <w:rPr>
          <w:color w:val="231F1F"/>
          <w:spacing w:val="-2"/>
          <w:w w:val="110"/>
        </w:rPr>
        <w:t> </w:t>
      </w:r>
      <w:r>
        <w:rPr>
          <w:color w:val="231F1F"/>
          <w:w w:val="110"/>
        </w:rPr>
        <w:t>ninguno</w:t>
      </w:r>
      <w:r>
        <w:rPr>
          <w:color w:val="231F1F"/>
          <w:spacing w:val="-2"/>
          <w:w w:val="110"/>
        </w:rPr>
        <w:t> </w:t>
      </w:r>
      <w:r>
        <w:rPr>
          <w:color w:val="231F1F"/>
          <w:w w:val="110"/>
        </w:rPr>
        <w:t>de</w:t>
      </w:r>
      <w:r>
        <w:rPr>
          <w:color w:val="231F1F"/>
          <w:spacing w:val="-3"/>
          <w:w w:val="110"/>
        </w:rPr>
        <w:t> </w:t>
      </w:r>
      <w:r>
        <w:rPr>
          <w:color w:val="231F1F"/>
          <w:w w:val="110"/>
        </w:rPr>
        <w:t>ellos</w:t>
      </w:r>
      <w:r>
        <w:rPr>
          <w:color w:val="231F1F"/>
          <w:spacing w:val="-3"/>
          <w:w w:val="110"/>
        </w:rPr>
        <w:t> </w:t>
      </w:r>
      <w:r>
        <w:rPr>
          <w:color w:val="231F1F"/>
          <w:w w:val="110"/>
        </w:rPr>
        <w:t>estudiaba</w:t>
      </w:r>
      <w:r>
        <w:rPr>
          <w:color w:val="231F1F"/>
          <w:spacing w:val="-2"/>
          <w:w w:val="110"/>
        </w:rPr>
        <w:t> </w:t>
      </w:r>
      <w:r>
        <w:rPr>
          <w:color w:val="231F1F"/>
          <w:w w:val="110"/>
        </w:rPr>
        <w:t>el</w:t>
      </w:r>
      <w:r>
        <w:rPr>
          <w:color w:val="231F1F"/>
          <w:spacing w:val="-3"/>
          <w:w w:val="110"/>
        </w:rPr>
        <w:t> </w:t>
      </w:r>
      <w:r>
        <w:rPr>
          <w:color w:val="231F1F"/>
          <w:w w:val="110"/>
        </w:rPr>
        <w:t>efecto de dosis 2-3 UI frente a 5-10 UI.</w:t>
      </w:r>
    </w:p>
    <w:p>
      <w:pPr>
        <w:pStyle w:val="BodyText"/>
        <w:spacing w:line="256" w:lineRule="auto" w:before="181"/>
        <w:ind w:left="287" w:right="39" w:firstLine="453"/>
        <w:jc w:val="both"/>
      </w:pPr>
      <w:r>
        <w:rPr>
          <w:color w:val="231F1F"/>
          <w:w w:val="110"/>
        </w:rPr>
        <w:t>Los</w:t>
      </w:r>
      <w:r>
        <w:rPr>
          <w:color w:val="231F1F"/>
          <w:spacing w:val="-16"/>
          <w:w w:val="110"/>
        </w:rPr>
        <w:t> </w:t>
      </w:r>
      <w:r>
        <w:rPr>
          <w:color w:val="231F1F"/>
          <w:w w:val="110"/>
        </w:rPr>
        <w:t>cuatro</w:t>
      </w:r>
      <w:r>
        <w:rPr>
          <w:color w:val="231F1F"/>
          <w:spacing w:val="-15"/>
          <w:w w:val="110"/>
        </w:rPr>
        <w:t> </w:t>
      </w:r>
      <w:r>
        <w:rPr>
          <w:color w:val="231F1F"/>
          <w:w w:val="110"/>
        </w:rPr>
        <w:t>estudios</w:t>
      </w:r>
      <w:r>
        <w:rPr>
          <w:color w:val="231F1F"/>
          <w:spacing w:val="-15"/>
          <w:w w:val="110"/>
        </w:rPr>
        <w:t> </w:t>
      </w:r>
      <w:r>
        <w:rPr>
          <w:color w:val="231F1F"/>
          <w:w w:val="110"/>
        </w:rPr>
        <w:t>eran</w:t>
      </w:r>
      <w:r>
        <w:rPr>
          <w:color w:val="231F1F"/>
          <w:spacing w:val="-15"/>
          <w:w w:val="110"/>
        </w:rPr>
        <w:t> </w:t>
      </w:r>
      <w:r>
        <w:rPr>
          <w:color w:val="231F1F"/>
          <w:w w:val="110"/>
        </w:rPr>
        <w:t>ECAs</w:t>
      </w:r>
      <w:r>
        <w:rPr>
          <w:color w:val="231F1F"/>
          <w:spacing w:val="-15"/>
          <w:w w:val="110"/>
        </w:rPr>
        <w:t> </w:t>
      </w:r>
      <w:r>
        <w:rPr>
          <w:color w:val="231F1F"/>
          <w:w w:val="110"/>
        </w:rPr>
        <w:t>de</w:t>
      </w:r>
      <w:r>
        <w:rPr>
          <w:color w:val="231F1F"/>
          <w:spacing w:val="-15"/>
          <w:w w:val="110"/>
        </w:rPr>
        <w:t> </w:t>
      </w:r>
      <w:r>
        <w:rPr>
          <w:color w:val="231F1F"/>
          <w:w w:val="110"/>
        </w:rPr>
        <w:t>buena</w:t>
      </w:r>
      <w:r>
        <w:rPr>
          <w:color w:val="231F1F"/>
          <w:spacing w:val="-15"/>
          <w:w w:val="110"/>
        </w:rPr>
        <w:t> </w:t>
      </w:r>
      <w:r>
        <w:rPr>
          <w:color w:val="231F1F"/>
          <w:w w:val="110"/>
        </w:rPr>
        <w:t>calidad</w:t>
      </w:r>
      <w:r>
        <w:rPr>
          <w:color w:val="231F1F"/>
          <w:spacing w:val="-15"/>
          <w:w w:val="110"/>
        </w:rPr>
        <w:t> </w:t>
      </w:r>
      <w:r>
        <w:rPr>
          <w:color w:val="231F1F"/>
          <w:w w:val="110"/>
        </w:rPr>
        <w:t>[NE=1+]</w:t>
      </w:r>
      <w:r>
        <w:rPr>
          <w:color w:val="231F1F"/>
          <w:spacing w:val="-16"/>
          <w:w w:val="110"/>
        </w:rPr>
        <w:t> </w:t>
      </w:r>
      <w:r>
        <w:rPr>
          <w:color w:val="231F1F"/>
          <w:w w:val="110"/>
        </w:rPr>
        <w:t>realizados</w:t>
      </w:r>
      <w:r>
        <w:rPr>
          <w:color w:val="231F1F"/>
          <w:spacing w:val="-15"/>
          <w:w w:val="110"/>
        </w:rPr>
        <w:t> </w:t>
      </w:r>
      <w:r>
        <w:rPr>
          <w:color w:val="231F1F"/>
          <w:w w:val="110"/>
        </w:rPr>
        <w:t>en Japón</w:t>
      </w:r>
      <w:r>
        <w:rPr>
          <w:color w:val="231F1F"/>
          <w:spacing w:val="-2"/>
          <w:w w:val="110"/>
        </w:rPr>
        <w:t> </w:t>
      </w:r>
      <w:r>
        <w:rPr>
          <w:color w:val="231F1F"/>
          <w:w w:val="110"/>
        </w:rPr>
        <w:t>(205),</w:t>
      </w:r>
      <w:r>
        <w:rPr>
          <w:color w:val="231F1F"/>
          <w:spacing w:val="-2"/>
          <w:w w:val="110"/>
        </w:rPr>
        <w:t> </w:t>
      </w:r>
      <w:r>
        <w:rPr>
          <w:color w:val="231F1F"/>
          <w:w w:val="110"/>
        </w:rPr>
        <w:t>Nigeria</w:t>
      </w:r>
      <w:r>
        <w:rPr>
          <w:color w:val="231F1F"/>
          <w:spacing w:val="-2"/>
          <w:w w:val="110"/>
        </w:rPr>
        <w:t> </w:t>
      </w:r>
      <w:r>
        <w:rPr>
          <w:color w:val="231F1F"/>
          <w:w w:val="110"/>
        </w:rPr>
        <w:t>(206),</w:t>
      </w:r>
      <w:r>
        <w:rPr>
          <w:color w:val="231F1F"/>
          <w:spacing w:val="-2"/>
          <w:w w:val="110"/>
        </w:rPr>
        <w:t> </w:t>
      </w:r>
      <w:r>
        <w:rPr>
          <w:color w:val="231F1F"/>
          <w:w w:val="110"/>
        </w:rPr>
        <w:t>EEUU</w:t>
      </w:r>
      <w:r>
        <w:rPr>
          <w:color w:val="231F1F"/>
          <w:spacing w:val="-1"/>
          <w:w w:val="110"/>
        </w:rPr>
        <w:t> </w:t>
      </w:r>
      <w:r>
        <w:rPr>
          <w:color w:val="231F1F"/>
          <w:w w:val="110"/>
        </w:rPr>
        <w:t>(207)</w:t>
      </w:r>
      <w:r>
        <w:rPr>
          <w:color w:val="231F1F"/>
          <w:spacing w:val="-2"/>
          <w:w w:val="110"/>
        </w:rPr>
        <w:t> </w:t>
      </w:r>
      <w:r>
        <w:rPr>
          <w:color w:val="231F1F"/>
          <w:w w:val="110"/>
        </w:rPr>
        <w:t>y</w:t>
      </w:r>
      <w:r>
        <w:rPr>
          <w:color w:val="231F1F"/>
          <w:spacing w:val="-2"/>
          <w:w w:val="110"/>
        </w:rPr>
        <w:t> </w:t>
      </w:r>
      <w:r>
        <w:rPr>
          <w:color w:val="231F1F"/>
          <w:w w:val="110"/>
        </w:rPr>
        <w:t>México</w:t>
      </w:r>
      <w:r>
        <w:rPr>
          <w:color w:val="231F1F"/>
          <w:spacing w:val="-3"/>
          <w:w w:val="110"/>
        </w:rPr>
        <w:t> </w:t>
      </w:r>
      <w:r>
        <w:rPr>
          <w:color w:val="231F1F"/>
          <w:w w:val="110"/>
        </w:rPr>
        <w:t>(208).</w:t>
      </w:r>
      <w:r>
        <w:rPr>
          <w:color w:val="231F1F"/>
          <w:spacing w:val="-2"/>
          <w:w w:val="110"/>
        </w:rPr>
        <w:t> </w:t>
      </w:r>
      <w:r>
        <w:rPr>
          <w:color w:val="231F1F"/>
          <w:w w:val="110"/>
        </w:rPr>
        <w:t>En</w:t>
      </w:r>
      <w:r>
        <w:rPr>
          <w:color w:val="231F1F"/>
          <w:spacing w:val="-2"/>
          <w:w w:val="110"/>
        </w:rPr>
        <w:t> </w:t>
      </w:r>
      <w:r>
        <w:rPr>
          <w:color w:val="231F1F"/>
          <w:w w:val="110"/>
        </w:rPr>
        <w:t>todos</w:t>
      </w:r>
      <w:r>
        <w:rPr>
          <w:color w:val="231F1F"/>
          <w:spacing w:val="-3"/>
          <w:w w:val="110"/>
        </w:rPr>
        <w:t> </w:t>
      </w:r>
      <w:r>
        <w:rPr>
          <w:color w:val="231F1F"/>
          <w:w w:val="110"/>
        </w:rPr>
        <w:t>ellos</w:t>
      </w:r>
      <w:r>
        <w:rPr>
          <w:color w:val="231F1F"/>
          <w:spacing w:val="-3"/>
          <w:w w:val="110"/>
        </w:rPr>
        <w:t> </w:t>
      </w:r>
      <w:r>
        <w:rPr>
          <w:color w:val="231F1F"/>
          <w:w w:val="110"/>
        </w:rPr>
        <w:t>se realizó</w:t>
      </w:r>
      <w:r>
        <w:rPr>
          <w:color w:val="231F1F"/>
          <w:spacing w:val="-16"/>
          <w:w w:val="110"/>
        </w:rPr>
        <w:t> </w:t>
      </w:r>
      <w:r>
        <w:rPr>
          <w:color w:val="231F1F"/>
          <w:w w:val="110"/>
        </w:rPr>
        <w:t>una</w:t>
      </w:r>
      <w:r>
        <w:rPr>
          <w:color w:val="231F1F"/>
          <w:spacing w:val="-15"/>
          <w:w w:val="110"/>
        </w:rPr>
        <w:t> </w:t>
      </w:r>
      <w:r>
        <w:rPr>
          <w:color w:val="231F1F"/>
          <w:w w:val="110"/>
        </w:rPr>
        <w:t>comparación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oxitocina</w:t>
      </w:r>
      <w:r>
        <w:rPr>
          <w:color w:val="231F1F"/>
          <w:spacing w:val="-15"/>
          <w:w w:val="110"/>
        </w:rPr>
        <w:t> </w:t>
      </w:r>
      <w:r>
        <w:rPr>
          <w:color w:val="231F1F"/>
          <w:w w:val="110"/>
        </w:rPr>
        <w:t>intravenosa</w:t>
      </w:r>
      <w:r>
        <w:rPr>
          <w:color w:val="231F1F"/>
          <w:spacing w:val="-15"/>
          <w:w w:val="110"/>
        </w:rPr>
        <w:t> </w:t>
      </w:r>
      <w:r>
        <w:rPr>
          <w:color w:val="231F1F"/>
          <w:w w:val="110"/>
        </w:rPr>
        <w:t>(a</w:t>
      </w:r>
      <w:r>
        <w:rPr>
          <w:color w:val="231F1F"/>
          <w:spacing w:val="-15"/>
          <w:w w:val="110"/>
        </w:rPr>
        <w:t> </w:t>
      </w:r>
      <w:r>
        <w:rPr>
          <w:color w:val="231F1F"/>
          <w:w w:val="110"/>
        </w:rPr>
        <w:t>diferentes</w:t>
      </w:r>
      <w:r>
        <w:rPr>
          <w:color w:val="231F1F"/>
          <w:spacing w:val="-16"/>
          <w:w w:val="110"/>
        </w:rPr>
        <w:t> </w:t>
      </w:r>
      <w:r>
        <w:rPr>
          <w:color w:val="231F1F"/>
          <w:w w:val="110"/>
        </w:rPr>
        <w:t>concentra- </w:t>
      </w:r>
      <w:r>
        <w:rPr>
          <w:color w:val="231F1F"/>
          <w:spacing w:val="-2"/>
          <w:w w:val="110"/>
        </w:rPr>
        <w:t>ciones)</w:t>
      </w:r>
      <w:r>
        <w:rPr>
          <w:color w:val="231F1F"/>
          <w:spacing w:val="-7"/>
          <w:w w:val="110"/>
        </w:rPr>
        <w:t> </w:t>
      </w:r>
      <w:r>
        <w:rPr>
          <w:color w:val="231F1F"/>
          <w:spacing w:val="-2"/>
          <w:w w:val="110"/>
        </w:rPr>
        <w:t>con</w:t>
      </w:r>
      <w:r>
        <w:rPr>
          <w:color w:val="231F1F"/>
          <w:spacing w:val="-7"/>
          <w:w w:val="110"/>
        </w:rPr>
        <w:t> </w:t>
      </w:r>
      <w:r>
        <w:rPr>
          <w:color w:val="231F1F"/>
          <w:spacing w:val="-2"/>
          <w:w w:val="110"/>
        </w:rPr>
        <w:t>otros</w:t>
      </w:r>
      <w:r>
        <w:rPr>
          <w:color w:val="231F1F"/>
          <w:spacing w:val="-8"/>
          <w:w w:val="110"/>
        </w:rPr>
        <w:t> </w:t>
      </w:r>
      <w:r>
        <w:rPr>
          <w:color w:val="231F1F"/>
          <w:spacing w:val="-2"/>
          <w:w w:val="110"/>
        </w:rPr>
        <w:t>oxitócicos</w:t>
      </w:r>
      <w:r>
        <w:rPr>
          <w:color w:val="231F1F"/>
          <w:spacing w:val="-8"/>
          <w:w w:val="110"/>
        </w:rPr>
        <w:t> </w:t>
      </w:r>
      <w:r>
        <w:rPr>
          <w:color w:val="231F1F"/>
          <w:spacing w:val="-2"/>
          <w:w w:val="110"/>
        </w:rPr>
        <w:t>(ergometrina,</w:t>
      </w:r>
      <w:r>
        <w:rPr>
          <w:color w:val="231F1F"/>
          <w:spacing w:val="-8"/>
          <w:w w:val="110"/>
        </w:rPr>
        <w:t> </w:t>
      </w:r>
      <w:r>
        <w:rPr>
          <w:color w:val="231F1F"/>
          <w:spacing w:val="-2"/>
          <w:w w:val="110"/>
        </w:rPr>
        <w:t>metilergometrina)</w:t>
      </w:r>
      <w:r>
        <w:rPr>
          <w:color w:val="231F1F"/>
          <w:spacing w:val="-7"/>
          <w:w w:val="110"/>
        </w:rPr>
        <w:t> </w:t>
      </w:r>
      <w:r>
        <w:rPr>
          <w:color w:val="231F1F"/>
          <w:spacing w:val="-2"/>
          <w:w w:val="110"/>
        </w:rPr>
        <w:t>o</w:t>
      </w:r>
      <w:r>
        <w:rPr>
          <w:color w:val="231F1F"/>
          <w:spacing w:val="-7"/>
          <w:w w:val="110"/>
        </w:rPr>
        <w:t> </w:t>
      </w:r>
      <w:r>
        <w:rPr>
          <w:color w:val="231F1F"/>
          <w:spacing w:val="-2"/>
          <w:w w:val="110"/>
        </w:rPr>
        <w:t>placebo,</w:t>
      </w:r>
      <w:r>
        <w:rPr>
          <w:color w:val="231F1F"/>
          <w:spacing w:val="-8"/>
          <w:w w:val="110"/>
        </w:rPr>
        <w:t> </w:t>
      </w:r>
      <w:r>
        <w:rPr>
          <w:color w:val="231F1F"/>
          <w:spacing w:val="-2"/>
          <w:w w:val="110"/>
        </w:rPr>
        <w:t>para </w:t>
      </w:r>
      <w:r>
        <w:rPr>
          <w:color w:val="231F1F"/>
          <w:w w:val="110"/>
        </w:rPr>
        <w:t>ver</w:t>
      </w:r>
      <w:r>
        <w:rPr>
          <w:color w:val="231F1F"/>
          <w:spacing w:val="-6"/>
          <w:w w:val="110"/>
        </w:rPr>
        <w:t> </w:t>
      </w:r>
      <w:r>
        <w:rPr>
          <w:color w:val="231F1F"/>
          <w:w w:val="110"/>
        </w:rPr>
        <w:t>su</w:t>
      </w:r>
      <w:r>
        <w:rPr>
          <w:color w:val="231F1F"/>
          <w:spacing w:val="-6"/>
          <w:w w:val="110"/>
        </w:rPr>
        <w:t> </w:t>
      </w:r>
      <w:r>
        <w:rPr>
          <w:color w:val="231F1F"/>
          <w:w w:val="110"/>
        </w:rPr>
        <w:t>efecto</w:t>
      </w:r>
      <w:r>
        <w:rPr>
          <w:color w:val="231F1F"/>
          <w:spacing w:val="-6"/>
          <w:w w:val="110"/>
        </w:rPr>
        <w:t> </w:t>
      </w:r>
      <w:r>
        <w:rPr>
          <w:color w:val="231F1F"/>
          <w:w w:val="110"/>
        </w:rPr>
        <w:t>sobre</w:t>
      </w:r>
      <w:r>
        <w:rPr>
          <w:color w:val="231F1F"/>
          <w:spacing w:val="-6"/>
          <w:w w:val="110"/>
        </w:rPr>
        <w:t> </w:t>
      </w:r>
      <w:r>
        <w:rPr>
          <w:color w:val="231F1F"/>
          <w:w w:val="110"/>
        </w:rPr>
        <w:t>la</w:t>
      </w:r>
      <w:r>
        <w:rPr>
          <w:color w:val="231F1F"/>
          <w:spacing w:val="-6"/>
          <w:w w:val="110"/>
        </w:rPr>
        <w:t> </w:t>
      </w:r>
      <w:r>
        <w:rPr>
          <w:color w:val="231F1F"/>
          <w:w w:val="110"/>
        </w:rPr>
        <w:t>reducción</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hemorragia</w:t>
      </w:r>
      <w:r>
        <w:rPr>
          <w:color w:val="231F1F"/>
          <w:spacing w:val="-6"/>
          <w:w w:val="110"/>
        </w:rPr>
        <w:t> </w:t>
      </w:r>
      <w:r>
        <w:rPr>
          <w:color w:val="231F1F"/>
          <w:w w:val="110"/>
        </w:rPr>
        <w:t>posparto</w:t>
      </w:r>
      <w:r>
        <w:rPr>
          <w:color w:val="231F1F"/>
          <w:spacing w:val="-6"/>
          <w:w w:val="110"/>
        </w:rPr>
        <w:t> </w:t>
      </w:r>
      <w:r>
        <w:rPr>
          <w:color w:val="231F1F"/>
          <w:w w:val="110"/>
        </w:rPr>
        <w:t>y</w:t>
      </w:r>
      <w:r>
        <w:rPr>
          <w:color w:val="231F1F"/>
          <w:spacing w:val="-6"/>
          <w:w w:val="110"/>
        </w:rPr>
        <w:t> </w:t>
      </w:r>
      <w:r>
        <w:rPr>
          <w:color w:val="231F1F"/>
          <w:w w:val="110"/>
        </w:rPr>
        <w:t>otras</w:t>
      </w:r>
      <w:r>
        <w:rPr>
          <w:color w:val="231F1F"/>
          <w:spacing w:val="-6"/>
          <w:w w:val="110"/>
        </w:rPr>
        <w:t> </w:t>
      </w:r>
      <w:r>
        <w:rPr>
          <w:color w:val="231F1F"/>
          <w:w w:val="110"/>
        </w:rPr>
        <w:t>variables como la duración de la tercera etapa del parto, la presión sanguínea o las concentraciones de hemoglobina.</w:t>
      </w:r>
    </w:p>
    <w:p>
      <w:pPr>
        <w:pStyle w:val="BodyText"/>
        <w:spacing w:line="266" w:lineRule="auto" w:before="69"/>
        <w:ind w:left="287" w:right="38" w:firstLine="453"/>
        <w:jc w:val="both"/>
      </w:pPr>
      <w:r>
        <w:rPr>
          <w:color w:val="231F1F"/>
        </w:rPr>
        <w:t>Cuando</w:t>
      </w:r>
      <w:r>
        <w:rPr>
          <w:color w:val="231F1F"/>
          <w:spacing w:val="40"/>
        </w:rPr>
        <w:t> </w:t>
      </w:r>
      <w:r>
        <w:rPr>
          <w:color w:val="231F1F"/>
        </w:rPr>
        <w:t>se</w:t>
      </w:r>
      <w:r>
        <w:rPr>
          <w:color w:val="231F1F"/>
          <w:spacing w:val="40"/>
        </w:rPr>
        <w:t> </w:t>
      </w:r>
      <w:r>
        <w:rPr>
          <w:color w:val="231F1F"/>
        </w:rPr>
        <w:t>compara</w:t>
      </w:r>
      <w:r>
        <w:rPr>
          <w:color w:val="231F1F"/>
          <w:spacing w:val="40"/>
        </w:rPr>
        <w:t> </w:t>
      </w:r>
      <w:r>
        <w:rPr>
          <w:color w:val="231F1F"/>
        </w:rPr>
        <w:t>la</w:t>
      </w:r>
      <w:r>
        <w:rPr>
          <w:color w:val="231F1F"/>
          <w:spacing w:val="40"/>
        </w:rPr>
        <w:t> </w:t>
      </w:r>
      <w:r>
        <w:rPr>
          <w:color w:val="231F1F"/>
        </w:rPr>
        <w:t>utilización</w:t>
      </w:r>
      <w:r>
        <w:rPr>
          <w:color w:val="231F1F"/>
          <w:spacing w:val="39"/>
        </w:rPr>
        <w:t> </w:t>
      </w:r>
      <w:r>
        <w:rPr>
          <w:color w:val="231F1F"/>
        </w:rPr>
        <w:t>de</w:t>
      </w:r>
      <w:r>
        <w:rPr>
          <w:color w:val="231F1F"/>
          <w:spacing w:val="40"/>
        </w:rPr>
        <w:t> </w:t>
      </w:r>
      <w:r>
        <w:rPr>
          <w:i/>
          <w:color w:val="231F1F"/>
        </w:rPr>
        <w:t>5 UI de oxitocina IV </w:t>
      </w:r>
      <w:r>
        <w:rPr>
          <w:color w:val="231F1F"/>
        </w:rPr>
        <w:t>(n=229)</w:t>
      </w:r>
      <w:r>
        <w:rPr>
          <w:color w:val="231F1F"/>
          <w:spacing w:val="40"/>
        </w:rPr>
        <w:t> </w:t>
      </w:r>
      <w:r>
        <w:rPr>
          <w:color w:val="231F1F"/>
        </w:rPr>
        <w:t>vs</w:t>
      </w:r>
      <w:r>
        <w:rPr>
          <w:color w:val="231F1F"/>
          <w:spacing w:val="40"/>
        </w:rPr>
        <w:t> </w:t>
      </w:r>
      <w:r>
        <w:rPr>
          <w:color w:val="231F1F"/>
        </w:rPr>
        <w:t>0,2 mg</w:t>
      </w:r>
      <w:r>
        <w:rPr>
          <w:color w:val="231F1F"/>
          <w:spacing w:val="40"/>
        </w:rPr>
        <w:t> </w:t>
      </w:r>
      <w:r>
        <w:rPr>
          <w:color w:val="231F1F"/>
        </w:rPr>
        <w:t>de</w:t>
      </w:r>
      <w:r>
        <w:rPr>
          <w:color w:val="231F1F"/>
          <w:spacing w:val="40"/>
        </w:rPr>
        <w:t> </w:t>
      </w:r>
      <w:r>
        <w:rPr>
          <w:color w:val="231F1F"/>
        </w:rPr>
        <w:t>metilergometrina</w:t>
      </w:r>
      <w:r>
        <w:rPr>
          <w:color w:val="231F1F"/>
          <w:spacing w:val="40"/>
        </w:rPr>
        <w:t> </w:t>
      </w:r>
      <w:r>
        <w:rPr>
          <w:color w:val="231F1F"/>
        </w:rPr>
        <w:t>IV</w:t>
      </w:r>
      <w:r>
        <w:rPr>
          <w:color w:val="231F1F"/>
          <w:spacing w:val="40"/>
        </w:rPr>
        <w:t> </w:t>
      </w:r>
      <w:r>
        <w:rPr>
          <w:color w:val="231F1F"/>
        </w:rPr>
        <w:t>o</w:t>
      </w:r>
      <w:r>
        <w:rPr>
          <w:color w:val="231F1F"/>
          <w:spacing w:val="40"/>
        </w:rPr>
        <w:t> </w:t>
      </w:r>
      <w:r>
        <w:rPr>
          <w:color w:val="231F1F"/>
        </w:rPr>
        <w:t>mediante</w:t>
      </w:r>
      <w:r>
        <w:rPr>
          <w:color w:val="231F1F"/>
          <w:spacing w:val="40"/>
        </w:rPr>
        <w:t> </w:t>
      </w:r>
      <w:r>
        <w:rPr>
          <w:color w:val="231F1F"/>
        </w:rPr>
        <w:t>gotero</w:t>
      </w:r>
      <w:r>
        <w:rPr>
          <w:color w:val="231F1F"/>
          <w:spacing w:val="40"/>
        </w:rPr>
        <w:t> </w:t>
      </w:r>
      <w:r>
        <w:rPr>
          <w:color w:val="231F1F"/>
        </w:rPr>
        <w:t>(n=209),</w:t>
      </w:r>
      <w:r>
        <w:rPr>
          <w:color w:val="231F1F"/>
          <w:spacing w:val="40"/>
        </w:rPr>
        <w:t> </w:t>
      </w:r>
      <w:r>
        <w:rPr>
          <w:color w:val="231F1F"/>
        </w:rPr>
        <w:t>tras</w:t>
      </w:r>
      <w:r>
        <w:rPr>
          <w:color w:val="231F1F"/>
          <w:spacing w:val="40"/>
        </w:rPr>
        <w:t> </w:t>
      </w:r>
      <w:r>
        <w:rPr>
          <w:color w:val="231F1F"/>
        </w:rPr>
        <w:t>la</w:t>
      </w:r>
      <w:r>
        <w:rPr>
          <w:color w:val="231F1F"/>
          <w:spacing w:val="40"/>
        </w:rPr>
        <w:t> </w:t>
      </w:r>
      <w:r>
        <w:rPr>
          <w:color w:val="231F1F"/>
        </w:rPr>
        <w:t>3ª</w:t>
      </w:r>
      <w:r>
        <w:rPr>
          <w:color w:val="231F1F"/>
          <w:spacing w:val="40"/>
        </w:rPr>
        <w:t> </w:t>
      </w:r>
      <w:r>
        <w:rPr>
          <w:color w:val="231F1F"/>
        </w:rPr>
        <w:t>etapa</w:t>
      </w:r>
      <w:r>
        <w:rPr>
          <w:color w:val="231F1F"/>
          <w:spacing w:val="40"/>
        </w:rPr>
        <w:t> </w:t>
      </w:r>
      <w:r>
        <w:rPr>
          <w:color w:val="231F1F"/>
        </w:rPr>
        <w:t>o</w:t>
      </w:r>
      <w:r>
        <w:rPr>
          <w:color w:val="231F1F"/>
          <w:spacing w:val="40"/>
        </w:rPr>
        <w:t> </w:t>
      </w:r>
      <w:r>
        <w:rPr>
          <w:color w:val="231F1F"/>
        </w:rPr>
        <w:t>al final</w:t>
      </w:r>
      <w:r>
        <w:rPr>
          <w:color w:val="231F1F"/>
          <w:spacing w:val="33"/>
        </w:rPr>
        <w:t> </w:t>
      </w:r>
      <w:r>
        <w:rPr>
          <w:color w:val="231F1F"/>
        </w:rPr>
        <w:t>de</w:t>
      </w:r>
      <w:r>
        <w:rPr>
          <w:color w:val="231F1F"/>
          <w:spacing w:val="32"/>
        </w:rPr>
        <w:t> </w:t>
      </w:r>
      <w:r>
        <w:rPr>
          <w:color w:val="231F1F"/>
        </w:rPr>
        <w:t>la</w:t>
      </w:r>
      <w:r>
        <w:rPr>
          <w:color w:val="231F1F"/>
          <w:spacing w:val="32"/>
        </w:rPr>
        <w:t> </w:t>
      </w:r>
      <w:r>
        <w:rPr>
          <w:color w:val="231F1F"/>
        </w:rPr>
        <w:t>2ª,</w:t>
      </w:r>
      <w:r>
        <w:rPr>
          <w:color w:val="231F1F"/>
          <w:spacing w:val="32"/>
        </w:rPr>
        <w:t> </w:t>
      </w:r>
      <w:r>
        <w:rPr>
          <w:color w:val="231F1F"/>
        </w:rPr>
        <w:t>(205),</w:t>
      </w:r>
      <w:r>
        <w:rPr>
          <w:color w:val="231F1F"/>
          <w:spacing w:val="33"/>
        </w:rPr>
        <w:t> </w:t>
      </w:r>
      <w:r>
        <w:rPr>
          <w:color w:val="231F1F"/>
        </w:rPr>
        <w:t>los</w:t>
      </w:r>
      <w:r>
        <w:rPr>
          <w:color w:val="231F1F"/>
          <w:spacing w:val="33"/>
        </w:rPr>
        <w:t> </w:t>
      </w:r>
      <w:r>
        <w:rPr>
          <w:color w:val="231F1F"/>
        </w:rPr>
        <w:t>resultados</w:t>
      </w:r>
      <w:r>
        <w:rPr>
          <w:color w:val="231F1F"/>
          <w:spacing w:val="33"/>
        </w:rPr>
        <w:t> </w:t>
      </w:r>
      <w:r>
        <w:rPr>
          <w:color w:val="231F1F"/>
        </w:rPr>
        <w:t>indican</w:t>
      </w:r>
      <w:r>
        <w:rPr>
          <w:color w:val="231F1F"/>
          <w:spacing w:val="33"/>
        </w:rPr>
        <w:t> </w:t>
      </w:r>
      <w:r>
        <w:rPr>
          <w:color w:val="231F1F"/>
        </w:rPr>
        <w:t>que</w:t>
      </w:r>
      <w:r>
        <w:rPr>
          <w:color w:val="231F1F"/>
          <w:spacing w:val="32"/>
        </w:rPr>
        <w:t> </w:t>
      </w:r>
      <w:r>
        <w:rPr>
          <w:color w:val="231F1F"/>
        </w:rPr>
        <w:t>la</w:t>
      </w:r>
      <w:r>
        <w:rPr>
          <w:color w:val="231F1F"/>
          <w:spacing w:val="32"/>
        </w:rPr>
        <w:t> </w:t>
      </w:r>
      <w:r>
        <w:rPr>
          <w:color w:val="231F1F"/>
        </w:rPr>
        <w:t>oxitocina</w:t>
      </w:r>
      <w:r>
        <w:rPr>
          <w:color w:val="231F1F"/>
          <w:spacing w:val="32"/>
        </w:rPr>
        <w:t> </w:t>
      </w:r>
      <w:r>
        <w:rPr>
          <w:color w:val="231F1F"/>
        </w:rPr>
        <w:t>IV</w:t>
      </w:r>
      <w:r>
        <w:rPr>
          <w:color w:val="231F1F"/>
          <w:spacing w:val="32"/>
        </w:rPr>
        <w:t> </w:t>
      </w:r>
      <w:r>
        <w:rPr>
          <w:color w:val="231F1F"/>
        </w:rPr>
        <w:t>inmediatamen- te después de la salida del hombro anterior del RN produjo reducciones en la pérdida de sangre posparto más acusadas que la metilergometrina. Y no hubo diferencias significativas en las concentraciones de hemoglobina ni en la pre-</w:t>
      </w:r>
      <w:r>
        <w:rPr>
          <w:color w:val="231F1F"/>
          <w:spacing w:val="80"/>
          <w:w w:val="150"/>
        </w:rPr>
        <w:t> </w:t>
      </w:r>
      <w:r>
        <w:rPr>
          <w:color w:val="231F1F"/>
        </w:rPr>
        <w:t>sión sanguínea.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9"/>
        <w:rPr>
          <w:sz w:val="18"/>
        </w:rPr>
      </w:pPr>
    </w:p>
    <w:p>
      <w:pPr>
        <w:spacing w:line="278" w:lineRule="auto" w:before="0"/>
        <w:ind w:left="365" w:right="513" w:hanging="78"/>
        <w:jc w:val="left"/>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95" w:space="162"/>
            <w:col w:w="1167"/>
          </w:cols>
        </w:sectPr>
      </w:pPr>
    </w:p>
    <w:p>
      <w:pPr>
        <w:pStyle w:val="BodyText"/>
        <w:tabs>
          <w:tab w:pos="8131" w:val="left" w:leader="none"/>
        </w:tabs>
        <w:spacing w:line="259" w:lineRule="auto" w:before="68"/>
        <w:ind w:left="295" w:right="515" w:firstLine="511"/>
      </w:pPr>
      <w:r>
        <w:rPr>
          <w:color w:val="231F1F"/>
          <w:w w:val="110"/>
          <w:position w:val="1"/>
        </w:rPr>
        <w:t>Cuando</w:t>
      </w:r>
      <w:r>
        <w:rPr>
          <w:color w:val="231F1F"/>
          <w:spacing w:val="-5"/>
          <w:w w:val="110"/>
          <w:position w:val="1"/>
        </w:rPr>
        <w:t> </w:t>
      </w:r>
      <w:r>
        <w:rPr>
          <w:color w:val="231F1F"/>
          <w:w w:val="110"/>
          <w:position w:val="1"/>
        </w:rPr>
        <w:t>se</w:t>
      </w:r>
      <w:r>
        <w:rPr>
          <w:color w:val="231F1F"/>
          <w:spacing w:val="-5"/>
          <w:w w:val="110"/>
          <w:position w:val="1"/>
        </w:rPr>
        <w:t> </w:t>
      </w:r>
      <w:r>
        <w:rPr>
          <w:color w:val="231F1F"/>
          <w:w w:val="110"/>
          <w:position w:val="1"/>
        </w:rPr>
        <w:t>compara</w:t>
      </w:r>
      <w:r>
        <w:rPr>
          <w:color w:val="231F1F"/>
          <w:spacing w:val="-5"/>
          <w:w w:val="110"/>
          <w:position w:val="1"/>
        </w:rPr>
        <w:t> </w:t>
      </w:r>
      <w:r>
        <w:rPr>
          <w:color w:val="231F1F"/>
          <w:w w:val="110"/>
          <w:position w:val="1"/>
        </w:rPr>
        <w:t>el</w:t>
      </w:r>
      <w:r>
        <w:rPr>
          <w:color w:val="231F1F"/>
          <w:spacing w:val="-5"/>
          <w:w w:val="110"/>
          <w:position w:val="1"/>
        </w:rPr>
        <w:t> </w:t>
      </w:r>
      <w:r>
        <w:rPr>
          <w:color w:val="231F1F"/>
          <w:w w:val="110"/>
          <w:position w:val="1"/>
        </w:rPr>
        <w:t>uso</w:t>
      </w:r>
      <w:r>
        <w:rPr>
          <w:color w:val="231F1F"/>
          <w:spacing w:val="-5"/>
          <w:w w:val="110"/>
          <w:position w:val="1"/>
        </w:rPr>
        <w:t> </w:t>
      </w:r>
      <w:r>
        <w:rPr>
          <w:color w:val="231F1F"/>
          <w:w w:val="110"/>
          <w:position w:val="1"/>
        </w:rPr>
        <w:t>de</w:t>
      </w:r>
      <w:r>
        <w:rPr>
          <w:color w:val="231F1F"/>
          <w:spacing w:val="-6"/>
          <w:w w:val="110"/>
          <w:position w:val="1"/>
        </w:rPr>
        <w:t> </w:t>
      </w:r>
      <w:r>
        <w:rPr>
          <w:i/>
          <w:color w:val="231F1F"/>
          <w:w w:val="110"/>
          <w:position w:val="1"/>
        </w:rPr>
        <w:t>10</w:t>
      </w:r>
      <w:r>
        <w:rPr>
          <w:i/>
          <w:color w:val="231F1F"/>
          <w:spacing w:val="-7"/>
          <w:w w:val="110"/>
          <w:position w:val="1"/>
        </w:rPr>
        <w:t> </w:t>
      </w:r>
      <w:r>
        <w:rPr>
          <w:i/>
          <w:color w:val="231F1F"/>
          <w:w w:val="110"/>
          <w:position w:val="1"/>
        </w:rPr>
        <w:t>UI</w:t>
      </w:r>
      <w:r>
        <w:rPr>
          <w:i/>
          <w:color w:val="231F1F"/>
          <w:spacing w:val="-6"/>
          <w:w w:val="110"/>
          <w:position w:val="1"/>
        </w:rPr>
        <w:t> </w:t>
      </w:r>
      <w:r>
        <w:rPr>
          <w:i/>
          <w:color w:val="231F1F"/>
          <w:w w:val="110"/>
          <w:position w:val="1"/>
        </w:rPr>
        <w:t>de</w:t>
      </w:r>
      <w:r>
        <w:rPr>
          <w:i/>
          <w:color w:val="231F1F"/>
          <w:spacing w:val="-7"/>
          <w:w w:val="110"/>
          <w:position w:val="1"/>
        </w:rPr>
        <w:t> </w:t>
      </w:r>
      <w:r>
        <w:rPr>
          <w:i/>
          <w:color w:val="231F1F"/>
          <w:w w:val="110"/>
          <w:position w:val="1"/>
        </w:rPr>
        <w:t>oxitocina</w:t>
      </w:r>
      <w:r>
        <w:rPr>
          <w:i/>
          <w:color w:val="231F1F"/>
          <w:spacing w:val="-7"/>
          <w:w w:val="110"/>
          <w:position w:val="1"/>
        </w:rPr>
        <w:t> </w:t>
      </w:r>
      <w:r>
        <w:rPr>
          <w:i/>
          <w:color w:val="231F1F"/>
          <w:w w:val="110"/>
          <w:position w:val="1"/>
        </w:rPr>
        <w:t>IV</w:t>
      </w:r>
      <w:r>
        <w:rPr>
          <w:i/>
          <w:color w:val="231F1F"/>
          <w:spacing w:val="-6"/>
          <w:w w:val="110"/>
          <w:position w:val="1"/>
        </w:rPr>
        <w:t> </w:t>
      </w:r>
      <w:r>
        <w:rPr>
          <w:color w:val="231F1F"/>
          <w:w w:val="110"/>
          <w:position w:val="1"/>
        </w:rPr>
        <w:t>(n=256)</w:t>
      </w:r>
      <w:r>
        <w:rPr>
          <w:color w:val="231F1F"/>
          <w:spacing w:val="-5"/>
          <w:w w:val="110"/>
          <w:position w:val="1"/>
        </w:rPr>
        <w:t> </w:t>
      </w:r>
      <w:r>
        <w:rPr>
          <w:color w:val="231F1F"/>
          <w:w w:val="110"/>
          <w:position w:val="1"/>
        </w:rPr>
        <w:t>vs</w:t>
      </w:r>
      <w:r>
        <w:rPr>
          <w:color w:val="231F1F"/>
          <w:spacing w:val="-5"/>
          <w:w w:val="110"/>
          <w:position w:val="1"/>
        </w:rPr>
        <w:t> </w:t>
      </w:r>
      <w:r>
        <w:rPr>
          <w:color w:val="231F1F"/>
          <w:w w:val="110"/>
          <w:position w:val="1"/>
        </w:rPr>
        <w:t>0,5</w:t>
      </w:r>
      <w:r>
        <w:rPr>
          <w:color w:val="231F1F"/>
          <w:spacing w:val="-5"/>
          <w:w w:val="110"/>
          <w:position w:val="1"/>
        </w:rPr>
        <w:t> </w:t>
      </w:r>
      <w:r>
        <w:rPr>
          <w:color w:val="231F1F"/>
          <w:w w:val="110"/>
          <w:position w:val="1"/>
        </w:rPr>
        <w:t>mg</w:t>
      </w:r>
      <w:r>
        <w:rPr>
          <w:color w:val="231F1F"/>
          <w:spacing w:val="-5"/>
          <w:w w:val="110"/>
          <w:position w:val="1"/>
        </w:rPr>
        <w:t> </w:t>
      </w:r>
      <w:r>
        <w:rPr>
          <w:color w:val="231F1F"/>
          <w:w w:val="110"/>
          <w:position w:val="1"/>
        </w:rPr>
        <w:t>de</w:t>
      </w:r>
      <w:r>
        <w:rPr>
          <w:color w:val="231F1F"/>
          <w:spacing w:val="40"/>
          <w:w w:val="110"/>
          <w:position w:val="1"/>
        </w:rPr>
        <w:t> </w:t>
      </w:r>
      <w:r>
        <w:rPr>
          <w:rFonts w:ascii="Arial MT" w:hAnsi="Arial MT"/>
          <w:color w:val="231F1F"/>
          <w:w w:val="110"/>
          <w:sz w:val="18"/>
        </w:rPr>
        <w:t>ECA </w:t>
      </w:r>
      <w:r>
        <w:rPr>
          <w:color w:val="231F1F"/>
          <w:w w:val="110"/>
        </w:rPr>
        <w:t>ergometrina IM (n=254) (206) los resultados muestran presión sanguínea</w:t>
      </w:r>
      <w:r>
        <w:rPr>
          <w:color w:val="231F1F"/>
        </w:rPr>
        <w:tab/>
      </w:r>
      <w:r>
        <w:rPr>
          <w:rFonts w:ascii="Arial MT" w:hAnsi="Arial MT"/>
          <w:color w:val="231F1F"/>
          <w:spacing w:val="-6"/>
          <w:w w:val="110"/>
          <w:position w:val="4"/>
          <w:sz w:val="18"/>
        </w:rPr>
        <w:t>1+ </w:t>
      </w:r>
      <w:r>
        <w:rPr>
          <w:color w:val="231F1F"/>
          <w:w w:val="110"/>
        </w:rPr>
        <w:t>elevada</w:t>
      </w:r>
      <w:r>
        <w:rPr>
          <w:color w:val="231F1F"/>
          <w:spacing w:val="-1"/>
          <w:w w:val="110"/>
        </w:rPr>
        <w:t> </w:t>
      </w:r>
      <w:r>
        <w:rPr>
          <w:color w:val="231F1F"/>
          <w:w w:val="110"/>
        </w:rPr>
        <w:t>en un</w:t>
      </w:r>
      <w:r>
        <w:rPr>
          <w:color w:val="231F1F"/>
          <w:spacing w:val="-1"/>
          <w:w w:val="110"/>
        </w:rPr>
        <w:t> </w:t>
      </w:r>
      <w:r>
        <w:rPr>
          <w:color w:val="231F1F"/>
          <w:w w:val="110"/>
        </w:rPr>
        <w:t>52,6% en el</w:t>
      </w:r>
      <w:r>
        <w:rPr>
          <w:color w:val="231F1F"/>
          <w:spacing w:val="-1"/>
          <w:w w:val="110"/>
        </w:rPr>
        <w:t> </w:t>
      </w:r>
      <w:r>
        <w:rPr>
          <w:color w:val="231F1F"/>
          <w:w w:val="110"/>
        </w:rPr>
        <w:t>grupo de la</w:t>
      </w:r>
      <w:r>
        <w:rPr>
          <w:color w:val="231F1F"/>
          <w:spacing w:val="-1"/>
          <w:w w:val="110"/>
        </w:rPr>
        <w:t> </w:t>
      </w:r>
      <w:r>
        <w:rPr>
          <w:color w:val="231F1F"/>
          <w:w w:val="110"/>
        </w:rPr>
        <w:t>ergometrina y</w:t>
      </w:r>
      <w:r>
        <w:rPr>
          <w:color w:val="231F1F"/>
          <w:spacing w:val="-1"/>
          <w:w w:val="110"/>
        </w:rPr>
        <w:t> </w:t>
      </w:r>
      <w:r>
        <w:rPr>
          <w:color w:val="231F1F"/>
          <w:w w:val="110"/>
        </w:rPr>
        <w:t>en un 11,3% en el de</w:t>
      </w:r>
      <w:r>
        <w:rPr>
          <w:color w:val="231F1F"/>
          <w:spacing w:val="-1"/>
          <w:w w:val="110"/>
        </w:rPr>
        <w:t> </w:t>
      </w:r>
      <w:r>
        <w:rPr>
          <w:color w:val="231F1F"/>
          <w:w w:val="110"/>
        </w:rPr>
        <w:t>la oxitocina, p=0,001. La pérdida sanguínea es menor en el grupo con ergome-</w:t>
      </w:r>
    </w:p>
    <w:p>
      <w:pPr>
        <w:pStyle w:val="BodyText"/>
        <w:spacing w:line="249" w:lineRule="auto"/>
        <w:ind w:left="295" w:right="1489"/>
      </w:pPr>
      <w:r>
        <w:rPr>
          <w:color w:val="231F1F"/>
          <w:w w:val="105"/>
        </w:rPr>
        <w:t>trina. El estudio concluye que en la práctica obstétrica de rutina es preferible el</w:t>
      </w:r>
      <w:r>
        <w:rPr>
          <w:color w:val="231F1F"/>
          <w:spacing w:val="25"/>
          <w:w w:val="105"/>
        </w:rPr>
        <w:t> </w:t>
      </w:r>
      <w:r>
        <w:rPr>
          <w:color w:val="231F1F"/>
          <w:w w:val="105"/>
        </w:rPr>
        <w:t>uso</w:t>
      </w:r>
      <w:r>
        <w:rPr>
          <w:color w:val="231F1F"/>
          <w:spacing w:val="28"/>
          <w:w w:val="105"/>
        </w:rPr>
        <w:t> </w:t>
      </w:r>
      <w:r>
        <w:rPr>
          <w:color w:val="231F1F"/>
          <w:w w:val="105"/>
        </w:rPr>
        <w:t>de</w:t>
      </w:r>
      <w:r>
        <w:rPr>
          <w:color w:val="231F1F"/>
          <w:spacing w:val="27"/>
          <w:w w:val="105"/>
        </w:rPr>
        <w:t> </w:t>
      </w:r>
      <w:r>
        <w:rPr>
          <w:color w:val="231F1F"/>
          <w:w w:val="105"/>
        </w:rPr>
        <w:t>oxitocina,</w:t>
      </w:r>
      <w:r>
        <w:rPr>
          <w:color w:val="231F1F"/>
          <w:spacing w:val="25"/>
          <w:w w:val="105"/>
        </w:rPr>
        <w:t> </w:t>
      </w:r>
      <w:r>
        <w:rPr>
          <w:color w:val="231F1F"/>
          <w:w w:val="105"/>
        </w:rPr>
        <w:t>reservando</w:t>
      </w:r>
      <w:r>
        <w:rPr>
          <w:color w:val="231F1F"/>
          <w:spacing w:val="28"/>
          <w:w w:val="105"/>
        </w:rPr>
        <w:t> </w:t>
      </w:r>
      <w:r>
        <w:rPr>
          <w:color w:val="231F1F"/>
          <w:w w:val="105"/>
        </w:rPr>
        <w:t>la</w:t>
      </w:r>
      <w:r>
        <w:rPr>
          <w:color w:val="231F1F"/>
          <w:spacing w:val="26"/>
          <w:w w:val="105"/>
        </w:rPr>
        <w:t> </w:t>
      </w:r>
      <w:r>
        <w:rPr>
          <w:color w:val="231F1F"/>
          <w:w w:val="105"/>
        </w:rPr>
        <w:t>ergometrina</w:t>
      </w:r>
      <w:r>
        <w:rPr>
          <w:color w:val="231F1F"/>
          <w:spacing w:val="28"/>
          <w:w w:val="105"/>
        </w:rPr>
        <w:t> </w:t>
      </w:r>
      <w:r>
        <w:rPr>
          <w:color w:val="231F1F"/>
          <w:w w:val="105"/>
        </w:rPr>
        <w:t>para</w:t>
      </w:r>
      <w:r>
        <w:rPr>
          <w:color w:val="231F1F"/>
          <w:spacing w:val="27"/>
          <w:w w:val="105"/>
        </w:rPr>
        <w:t> </w:t>
      </w:r>
      <w:r>
        <w:rPr>
          <w:color w:val="231F1F"/>
          <w:w w:val="105"/>
        </w:rPr>
        <w:t>mujeres</w:t>
      </w:r>
      <w:r>
        <w:rPr>
          <w:color w:val="231F1F"/>
          <w:spacing w:val="27"/>
          <w:w w:val="105"/>
        </w:rPr>
        <w:t> </w:t>
      </w:r>
      <w:r>
        <w:rPr>
          <w:color w:val="231F1F"/>
          <w:w w:val="105"/>
        </w:rPr>
        <w:t>con</w:t>
      </w:r>
      <w:r>
        <w:rPr>
          <w:color w:val="231F1F"/>
          <w:spacing w:val="28"/>
          <w:w w:val="105"/>
        </w:rPr>
        <w:t> </w:t>
      </w:r>
      <w:r>
        <w:rPr>
          <w:color w:val="231F1F"/>
          <w:w w:val="105"/>
        </w:rPr>
        <w:t>riesgo</w:t>
      </w:r>
      <w:r>
        <w:rPr>
          <w:color w:val="231F1F"/>
          <w:spacing w:val="28"/>
          <w:w w:val="105"/>
        </w:rPr>
        <w:t> </w:t>
      </w:r>
      <w:r>
        <w:rPr>
          <w:color w:val="231F1F"/>
          <w:w w:val="105"/>
        </w:rPr>
        <w:t>de HPP por sus mejores resultados para la pérdida sanguínea.</w:t>
      </w:r>
    </w:p>
    <w:p>
      <w:pPr>
        <w:tabs>
          <w:tab w:pos="7229" w:val="left" w:leader="none"/>
        </w:tabs>
        <w:spacing w:before="91"/>
        <w:ind w:left="0" w:right="498" w:firstLine="0"/>
        <w:jc w:val="right"/>
        <w:rPr>
          <w:rFonts w:ascii="Arial MT" w:hAnsi="Arial MT"/>
          <w:sz w:val="18"/>
        </w:rPr>
      </w:pPr>
      <w:r>
        <w:rPr>
          <w:color w:val="231F1F"/>
          <w:sz w:val="22"/>
        </w:rPr>
        <w:t>El</w:t>
      </w:r>
      <w:r>
        <w:rPr>
          <w:color w:val="231F1F"/>
          <w:spacing w:val="-4"/>
          <w:sz w:val="22"/>
        </w:rPr>
        <w:t> </w:t>
      </w:r>
      <w:r>
        <w:rPr>
          <w:color w:val="231F1F"/>
          <w:sz w:val="22"/>
        </w:rPr>
        <w:t>uso</w:t>
      </w:r>
      <w:r>
        <w:rPr>
          <w:color w:val="231F1F"/>
          <w:spacing w:val="2"/>
          <w:sz w:val="22"/>
        </w:rPr>
        <w:t> </w:t>
      </w:r>
      <w:r>
        <w:rPr>
          <w:color w:val="231F1F"/>
          <w:sz w:val="22"/>
        </w:rPr>
        <w:t>de</w:t>
      </w:r>
      <w:r>
        <w:rPr>
          <w:color w:val="231F1F"/>
          <w:spacing w:val="2"/>
          <w:sz w:val="22"/>
        </w:rPr>
        <w:t> </w:t>
      </w:r>
      <w:r>
        <w:rPr>
          <w:i/>
          <w:color w:val="231F1F"/>
          <w:sz w:val="22"/>
        </w:rPr>
        <w:t>20 UI de oxitocina</w:t>
      </w:r>
      <w:r>
        <w:rPr>
          <w:i/>
          <w:color w:val="231F1F"/>
          <w:spacing w:val="-2"/>
          <w:sz w:val="22"/>
        </w:rPr>
        <w:t> </w:t>
      </w:r>
      <w:r>
        <w:rPr>
          <w:i/>
          <w:color w:val="231F1F"/>
          <w:sz w:val="22"/>
        </w:rPr>
        <w:t>IV</w:t>
      </w:r>
      <w:r>
        <w:rPr>
          <w:i/>
          <w:color w:val="231F1F"/>
          <w:spacing w:val="2"/>
          <w:sz w:val="22"/>
        </w:rPr>
        <w:t> </w:t>
      </w:r>
      <w:r>
        <w:rPr>
          <w:color w:val="231F1F"/>
          <w:sz w:val="22"/>
        </w:rPr>
        <w:t>(n=39)</w:t>
      </w:r>
      <w:r>
        <w:rPr>
          <w:color w:val="231F1F"/>
          <w:spacing w:val="3"/>
          <w:sz w:val="22"/>
        </w:rPr>
        <w:t> </w:t>
      </w:r>
      <w:r>
        <w:rPr>
          <w:color w:val="231F1F"/>
          <w:sz w:val="22"/>
        </w:rPr>
        <w:t>vs</w:t>
      </w:r>
      <w:r>
        <w:rPr>
          <w:color w:val="231F1F"/>
          <w:spacing w:val="1"/>
          <w:sz w:val="22"/>
        </w:rPr>
        <w:t> </w:t>
      </w:r>
      <w:r>
        <w:rPr>
          <w:color w:val="231F1F"/>
          <w:sz w:val="22"/>
        </w:rPr>
        <w:t>placebo (solución</w:t>
      </w:r>
      <w:r>
        <w:rPr>
          <w:color w:val="231F1F"/>
          <w:spacing w:val="2"/>
          <w:sz w:val="22"/>
        </w:rPr>
        <w:t> </w:t>
      </w:r>
      <w:r>
        <w:rPr>
          <w:color w:val="231F1F"/>
          <w:sz w:val="22"/>
        </w:rPr>
        <w:t>salina)</w:t>
      </w:r>
      <w:r>
        <w:rPr>
          <w:color w:val="231F1F"/>
          <w:spacing w:val="1"/>
          <w:sz w:val="22"/>
        </w:rPr>
        <w:t> </w:t>
      </w:r>
      <w:r>
        <w:rPr>
          <w:color w:val="231F1F"/>
          <w:spacing w:val="-2"/>
          <w:sz w:val="22"/>
        </w:rPr>
        <w:t>(n=40)</w:t>
      </w:r>
      <w:r>
        <w:rPr>
          <w:color w:val="231F1F"/>
          <w:sz w:val="22"/>
        </w:rPr>
        <w:tab/>
      </w:r>
      <w:r>
        <w:rPr>
          <w:rFonts w:ascii="Arial MT" w:hAnsi="Arial MT"/>
          <w:color w:val="231F1F"/>
          <w:spacing w:val="-5"/>
          <w:sz w:val="18"/>
        </w:rPr>
        <w:t>ECA</w:t>
      </w:r>
    </w:p>
    <w:p>
      <w:pPr>
        <w:pStyle w:val="BodyText"/>
        <w:tabs>
          <w:tab w:pos="7837" w:val="left" w:leader="none"/>
        </w:tabs>
        <w:spacing w:before="22"/>
        <w:ind w:right="591"/>
        <w:jc w:val="right"/>
        <w:rPr>
          <w:rFonts w:ascii="Arial MT" w:hAnsi="Arial MT"/>
          <w:position w:val="4"/>
          <w:sz w:val="18"/>
        </w:rPr>
      </w:pPr>
      <w:r>
        <w:rPr>
          <w:color w:val="231F1F"/>
          <w:w w:val="110"/>
        </w:rPr>
        <w:t>(207)</w:t>
      </w:r>
      <w:r>
        <w:rPr>
          <w:color w:val="231F1F"/>
          <w:spacing w:val="-13"/>
          <w:w w:val="110"/>
        </w:rPr>
        <w:t> </w:t>
      </w:r>
      <w:r>
        <w:rPr>
          <w:color w:val="231F1F"/>
          <w:w w:val="110"/>
        </w:rPr>
        <w:t>produce</w:t>
      </w:r>
      <w:r>
        <w:rPr>
          <w:color w:val="231F1F"/>
          <w:spacing w:val="-11"/>
          <w:w w:val="110"/>
        </w:rPr>
        <w:t> </w:t>
      </w:r>
      <w:r>
        <w:rPr>
          <w:color w:val="231F1F"/>
          <w:w w:val="110"/>
        </w:rPr>
        <w:t>una</w:t>
      </w:r>
      <w:r>
        <w:rPr>
          <w:color w:val="231F1F"/>
          <w:spacing w:val="-10"/>
          <w:w w:val="110"/>
        </w:rPr>
        <w:t> </w:t>
      </w:r>
      <w:r>
        <w:rPr>
          <w:color w:val="231F1F"/>
          <w:w w:val="110"/>
        </w:rPr>
        <w:t>duración</w:t>
      </w:r>
      <w:r>
        <w:rPr>
          <w:color w:val="231F1F"/>
          <w:spacing w:val="-11"/>
          <w:w w:val="110"/>
        </w:rPr>
        <w:t> </w:t>
      </w:r>
      <w:r>
        <w:rPr>
          <w:color w:val="231F1F"/>
          <w:w w:val="110"/>
        </w:rPr>
        <w:t>de</w:t>
      </w:r>
      <w:r>
        <w:rPr>
          <w:color w:val="231F1F"/>
          <w:spacing w:val="-10"/>
          <w:w w:val="110"/>
        </w:rPr>
        <w:t> </w:t>
      </w:r>
      <w:r>
        <w:rPr>
          <w:color w:val="231F1F"/>
          <w:w w:val="110"/>
        </w:rPr>
        <w:t>la</w:t>
      </w:r>
      <w:r>
        <w:rPr>
          <w:color w:val="231F1F"/>
          <w:spacing w:val="-13"/>
          <w:w w:val="110"/>
        </w:rPr>
        <w:t> </w:t>
      </w:r>
      <w:r>
        <w:rPr>
          <w:color w:val="231F1F"/>
          <w:w w:val="110"/>
        </w:rPr>
        <w:t>3ª</w:t>
      </w:r>
      <w:r>
        <w:rPr>
          <w:color w:val="231F1F"/>
          <w:spacing w:val="-12"/>
          <w:w w:val="110"/>
        </w:rPr>
        <w:t> </w:t>
      </w:r>
      <w:r>
        <w:rPr>
          <w:color w:val="231F1F"/>
          <w:w w:val="110"/>
        </w:rPr>
        <w:t>etapa</w:t>
      </w:r>
      <w:r>
        <w:rPr>
          <w:color w:val="231F1F"/>
          <w:spacing w:val="-11"/>
          <w:w w:val="110"/>
        </w:rPr>
        <w:t> </w:t>
      </w:r>
      <w:r>
        <w:rPr>
          <w:color w:val="231F1F"/>
          <w:w w:val="110"/>
        </w:rPr>
        <w:t>2</w:t>
      </w:r>
      <w:r>
        <w:rPr>
          <w:color w:val="231F1F"/>
          <w:spacing w:val="-11"/>
          <w:w w:val="110"/>
        </w:rPr>
        <w:t> </w:t>
      </w:r>
      <w:r>
        <w:rPr>
          <w:color w:val="231F1F"/>
          <w:w w:val="110"/>
        </w:rPr>
        <w:t>minutos</w:t>
      </w:r>
      <w:r>
        <w:rPr>
          <w:color w:val="231F1F"/>
          <w:spacing w:val="-10"/>
          <w:w w:val="110"/>
        </w:rPr>
        <w:t> </w:t>
      </w:r>
      <w:r>
        <w:rPr>
          <w:color w:val="231F1F"/>
          <w:w w:val="110"/>
        </w:rPr>
        <w:t>menor</w:t>
      </w:r>
      <w:r>
        <w:rPr>
          <w:color w:val="231F1F"/>
          <w:spacing w:val="-12"/>
          <w:w w:val="110"/>
        </w:rPr>
        <w:t> </w:t>
      </w:r>
      <w:r>
        <w:rPr>
          <w:color w:val="231F1F"/>
          <w:w w:val="110"/>
        </w:rPr>
        <w:t>(ns)</w:t>
      </w:r>
      <w:r>
        <w:rPr>
          <w:color w:val="231F1F"/>
          <w:spacing w:val="-11"/>
          <w:w w:val="110"/>
        </w:rPr>
        <w:t> </w:t>
      </w:r>
      <w:r>
        <w:rPr>
          <w:color w:val="231F1F"/>
          <w:w w:val="110"/>
        </w:rPr>
        <w:t>en</w:t>
      </w:r>
      <w:r>
        <w:rPr>
          <w:color w:val="231F1F"/>
          <w:spacing w:val="-11"/>
          <w:w w:val="110"/>
        </w:rPr>
        <w:t> </w:t>
      </w:r>
      <w:r>
        <w:rPr>
          <w:color w:val="231F1F"/>
          <w:w w:val="110"/>
        </w:rPr>
        <w:t>el</w:t>
      </w:r>
      <w:r>
        <w:rPr>
          <w:color w:val="231F1F"/>
          <w:spacing w:val="-10"/>
          <w:w w:val="110"/>
        </w:rPr>
        <w:t> </w:t>
      </w:r>
      <w:r>
        <w:rPr>
          <w:color w:val="231F1F"/>
          <w:spacing w:val="-2"/>
          <w:w w:val="110"/>
        </w:rPr>
        <w:t>grupo</w:t>
      </w:r>
      <w:r>
        <w:rPr>
          <w:color w:val="231F1F"/>
        </w:rPr>
        <w:tab/>
      </w:r>
      <w:r>
        <w:rPr>
          <w:rFonts w:ascii="Arial MT" w:hAnsi="Arial MT"/>
          <w:color w:val="231F1F"/>
          <w:spacing w:val="-5"/>
          <w:w w:val="110"/>
          <w:position w:val="4"/>
          <w:sz w:val="18"/>
        </w:rPr>
        <w:t>1+</w:t>
      </w:r>
    </w:p>
    <w:p>
      <w:pPr>
        <w:pStyle w:val="BodyText"/>
        <w:spacing w:line="266" w:lineRule="auto" w:before="26"/>
        <w:ind w:left="294" w:right="1429"/>
        <w:jc w:val="both"/>
      </w:pPr>
      <w:r>
        <w:rPr>
          <w:color w:val="231F1F"/>
        </w:rPr>
        <w:t>con oxitocina y descensos de los niveles de hemoglobina menores en el grupo</w:t>
      </w:r>
      <w:r>
        <w:rPr>
          <w:color w:val="231F1F"/>
          <w:spacing w:val="40"/>
        </w:rPr>
        <w:t> </w:t>
      </w:r>
      <w:r>
        <w:rPr>
          <w:color w:val="231F1F"/>
        </w:rPr>
        <w:t>con oxitocina (p=0,02). Se produjeron tres casos de HPP en el grupo con suero salino y uno en el de oxitocina. La retención placentaria &gt;15 minutos fue significativamente</w:t>
      </w:r>
      <w:r>
        <w:rPr>
          <w:color w:val="231F1F"/>
          <w:spacing w:val="40"/>
        </w:rPr>
        <w:t> </w:t>
      </w:r>
      <w:r>
        <w:rPr>
          <w:color w:val="231F1F"/>
        </w:rPr>
        <w:t>menor</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grupo</w:t>
      </w:r>
      <w:r>
        <w:rPr>
          <w:color w:val="231F1F"/>
          <w:spacing w:val="40"/>
        </w:rPr>
        <w:t> </w:t>
      </w:r>
      <w:r>
        <w:rPr>
          <w:color w:val="231F1F"/>
        </w:rPr>
        <w:t>con</w:t>
      </w:r>
      <w:r>
        <w:rPr>
          <w:color w:val="231F1F"/>
          <w:spacing w:val="40"/>
        </w:rPr>
        <w:t> </w:t>
      </w:r>
      <w:r>
        <w:rPr>
          <w:color w:val="231F1F"/>
        </w:rPr>
        <w:t>oxitocina.</w:t>
      </w:r>
    </w:p>
    <w:p>
      <w:pPr>
        <w:pStyle w:val="BodyText"/>
        <w:tabs>
          <w:tab w:pos="8051" w:val="left" w:leader="none"/>
          <w:tab w:pos="8131" w:val="left" w:leader="none"/>
        </w:tabs>
        <w:spacing w:line="256" w:lineRule="auto" w:before="62"/>
        <w:ind w:left="294" w:right="509" w:firstLine="519"/>
      </w:pPr>
      <w:r>
        <w:rPr>
          <w:color w:val="231F1F"/>
          <w:w w:val="105"/>
        </w:rPr>
        <w:t>El estudio que compara </w:t>
      </w:r>
      <w:r>
        <w:rPr>
          <w:i/>
          <w:color w:val="231F1F"/>
          <w:w w:val="105"/>
        </w:rPr>
        <w:t>10 UI de oxitocina IV </w:t>
      </w:r>
      <w:r>
        <w:rPr>
          <w:color w:val="231F1F"/>
          <w:w w:val="105"/>
        </w:rPr>
        <w:t>(n=32) vs solución salina</w:t>
      </w:r>
      <w:r>
        <w:rPr>
          <w:color w:val="231F1F"/>
        </w:rPr>
        <w:tab/>
      </w:r>
      <w:r>
        <w:rPr>
          <w:rFonts w:ascii="Arial MT" w:hAnsi="Arial MT"/>
          <w:color w:val="231F1F"/>
          <w:spacing w:val="-12"/>
          <w:w w:val="105"/>
          <w:sz w:val="18"/>
        </w:rPr>
        <w:t>ECA </w:t>
      </w:r>
      <w:r>
        <w:rPr>
          <w:color w:val="231F1F"/>
          <w:w w:val="105"/>
        </w:rPr>
        <w:t>(n=32) (208) encuentra resultados no significativos en relación con las varia-</w:t>
      </w:r>
      <w:r>
        <w:rPr>
          <w:color w:val="231F1F"/>
        </w:rPr>
        <w:tab/>
        <w:tab/>
      </w:r>
      <w:r>
        <w:rPr>
          <w:rFonts w:ascii="Arial MT" w:hAnsi="Arial MT"/>
          <w:color w:val="231F1F"/>
          <w:spacing w:val="-6"/>
          <w:w w:val="105"/>
          <w:position w:val="4"/>
          <w:sz w:val="18"/>
        </w:rPr>
        <w:t>1+ </w:t>
      </w:r>
      <w:r>
        <w:rPr>
          <w:color w:val="231F1F"/>
          <w:w w:val="105"/>
        </w:rPr>
        <w:t>bles</w:t>
      </w:r>
      <w:r>
        <w:rPr>
          <w:color w:val="231F1F"/>
          <w:spacing w:val="40"/>
          <w:w w:val="105"/>
        </w:rPr>
        <w:t> </w:t>
      </w:r>
      <w:r>
        <w:rPr>
          <w:color w:val="231F1F"/>
          <w:w w:val="105"/>
        </w:rPr>
        <w:t>de</w:t>
      </w:r>
      <w:r>
        <w:rPr>
          <w:color w:val="231F1F"/>
          <w:spacing w:val="40"/>
          <w:w w:val="105"/>
        </w:rPr>
        <w:t> </w:t>
      </w:r>
      <w:r>
        <w:rPr>
          <w:color w:val="231F1F"/>
          <w:w w:val="105"/>
        </w:rPr>
        <w:t>resultado</w:t>
      </w:r>
      <w:r>
        <w:rPr>
          <w:color w:val="231F1F"/>
          <w:spacing w:val="40"/>
          <w:w w:val="105"/>
        </w:rPr>
        <w:t> </w:t>
      </w:r>
      <w:r>
        <w:rPr>
          <w:color w:val="231F1F"/>
          <w:w w:val="105"/>
        </w:rPr>
        <w:t>estudiadas:</w:t>
      </w:r>
      <w:r>
        <w:rPr>
          <w:color w:val="231F1F"/>
          <w:spacing w:val="40"/>
          <w:w w:val="105"/>
        </w:rPr>
        <w:t> </w:t>
      </w:r>
      <w:r>
        <w:rPr>
          <w:color w:val="231F1F"/>
          <w:w w:val="105"/>
        </w:rPr>
        <w:t>la</w:t>
      </w:r>
      <w:r>
        <w:rPr>
          <w:color w:val="231F1F"/>
          <w:spacing w:val="40"/>
          <w:w w:val="105"/>
        </w:rPr>
        <w:t> </w:t>
      </w:r>
      <w:r>
        <w:rPr>
          <w:color w:val="231F1F"/>
          <w:w w:val="105"/>
        </w:rPr>
        <w:t>pérdida</w:t>
      </w:r>
      <w:r>
        <w:rPr>
          <w:color w:val="231F1F"/>
          <w:spacing w:val="40"/>
          <w:w w:val="105"/>
        </w:rPr>
        <w:t> </w:t>
      </w:r>
      <w:r>
        <w:rPr>
          <w:color w:val="231F1F"/>
          <w:w w:val="105"/>
        </w:rPr>
        <w:t>sanguínea</w:t>
      </w:r>
      <w:r>
        <w:rPr>
          <w:color w:val="231F1F"/>
          <w:spacing w:val="40"/>
          <w:w w:val="105"/>
        </w:rPr>
        <w:t> </w:t>
      </w:r>
      <w:r>
        <w:rPr>
          <w:color w:val="231F1F"/>
          <w:w w:val="105"/>
        </w:rPr>
        <w:t>es</w:t>
      </w:r>
      <w:r>
        <w:rPr>
          <w:color w:val="231F1F"/>
          <w:spacing w:val="40"/>
          <w:w w:val="105"/>
        </w:rPr>
        <w:t> </w:t>
      </w:r>
      <w:r>
        <w:rPr>
          <w:color w:val="231F1F"/>
          <w:w w:val="105"/>
        </w:rPr>
        <w:t>inferior</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grupo</w:t>
      </w:r>
      <w:r>
        <w:rPr>
          <w:color w:val="231F1F"/>
          <w:spacing w:val="40"/>
          <w:w w:val="105"/>
        </w:rPr>
        <w:t> </w:t>
      </w:r>
      <w:r>
        <w:rPr>
          <w:color w:val="231F1F"/>
          <w:w w:val="105"/>
        </w:rPr>
        <w:t>de oxitocina: 263,7±220,9 ml y placebo: 286,7±230,4 ml (p=0,64). El tiempo de alumbramiento fue superior usando oxitocina 265,3±383,9 segundos</w:t>
      </w:r>
      <w:r>
        <w:rPr>
          <w:color w:val="231F1F"/>
          <w:w w:val="105"/>
        </w:rPr>
        <w:t> que con</w:t>
      </w:r>
    </w:p>
    <w:p>
      <w:pPr>
        <w:pStyle w:val="BodyText"/>
        <w:spacing w:line="249" w:lineRule="auto" w:before="2"/>
        <w:ind w:left="294" w:right="1440"/>
        <w:jc w:val="both"/>
      </w:pPr>
      <w:r>
        <w:rPr>
          <w:color w:val="231F1F"/>
          <w:w w:val="105"/>
        </w:rPr>
        <w:t>placebo</w:t>
      </w:r>
      <w:r>
        <w:rPr>
          <w:color w:val="231F1F"/>
          <w:spacing w:val="-2"/>
          <w:w w:val="105"/>
        </w:rPr>
        <w:t> </w:t>
      </w:r>
      <w:r>
        <w:rPr>
          <w:color w:val="231F1F"/>
          <w:w w:val="105"/>
        </w:rPr>
        <w:t>197,1±314,3</w:t>
      </w:r>
      <w:r>
        <w:rPr>
          <w:color w:val="231F1F"/>
          <w:spacing w:val="-1"/>
          <w:w w:val="105"/>
        </w:rPr>
        <w:t> </w:t>
      </w:r>
      <w:r>
        <w:rPr>
          <w:color w:val="231F1F"/>
          <w:w w:val="105"/>
        </w:rPr>
        <w:t>segundos</w:t>
      </w:r>
      <w:r>
        <w:rPr>
          <w:color w:val="231F1F"/>
          <w:spacing w:val="-1"/>
          <w:w w:val="105"/>
        </w:rPr>
        <w:t> </w:t>
      </w:r>
      <w:r>
        <w:rPr>
          <w:color w:val="231F1F"/>
          <w:w w:val="105"/>
        </w:rPr>
        <w:t>(p=0,44)</w:t>
      </w:r>
      <w:r>
        <w:rPr>
          <w:color w:val="231F1F"/>
          <w:spacing w:val="-1"/>
          <w:w w:val="105"/>
        </w:rPr>
        <w:t> </w:t>
      </w:r>
      <w:r>
        <w:rPr>
          <w:color w:val="231F1F"/>
          <w:w w:val="105"/>
        </w:rPr>
        <w:t>y</w:t>
      </w:r>
      <w:r>
        <w:rPr>
          <w:color w:val="231F1F"/>
          <w:spacing w:val="-1"/>
          <w:w w:val="105"/>
        </w:rPr>
        <w:t> </w:t>
      </w:r>
      <w:r>
        <w:rPr>
          <w:color w:val="231F1F"/>
          <w:w w:val="105"/>
        </w:rPr>
        <w:t>la</w:t>
      </w:r>
      <w:r>
        <w:rPr>
          <w:color w:val="231F1F"/>
          <w:spacing w:val="-1"/>
          <w:w w:val="105"/>
        </w:rPr>
        <w:t> </w:t>
      </w:r>
      <w:r>
        <w:rPr>
          <w:color w:val="231F1F"/>
          <w:w w:val="105"/>
        </w:rPr>
        <w:t>retención placentaria</w:t>
      </w:r>
      <w:r>
        <w:rPr>
          <w:color w:val="231F1F"/>
          <w:spacing w:val="-2"/>
          <w:w w:val="105"/>
        </w:rPr>
        <w:t> </w:t>
      </w:r>
      <w:r>
        <w:rPr>
          <w:color w:val="231F1F"/>
          <w:w w:val="105"/>
        </w:rPr>
        <w:t>se</w:t>
      </w:r>
      <w:r>
        <w:rPr>
          <w:color w:val="231F1F"/>
          <w:spacing w:val="-1"/>
          <w:w w:val="105"/>
        </w:rPr>
        <w:t> </w:t>
      </w:r>
      <w:r>
        <w:rPr>
          <w:color w:val="231F1F"/>
          <w:w w:val="105"/>
        </w:rPr>
        <w:t>produce en un caso en el grupo de oxitocina y en 2 casos en el grupo de placebo (RR 0,5 IC 95% 0,04 a 5,24).</w:t>
      </w:r>
    </w:p>
    <w:p>
      <w:pPr>
        <w:pStyle w:val="BodyText"/>
        <w:spacing w:line="256" w:lineRule="auto" w:before="50"/>
        <w:ind w:left="294" w:right="1386" w:firstLine="524"/>
      </w:pPr>
      <w:r>
        <w:rPr>
          <w:color w:val="231F1F"/>
          <w:w w:val="105"/>
        </w:rPr>
        <w:t>En</w:t>
      </w:r>
      <w:r>
        <w:rPr>
          <w:color w:val="231F1F"/>
          <w:spacing w:val="25"/>
          <w:w w:val="105"/>
        </w:rPr>
        <w:t> </w:t>
      </w:r>
      <w:r>
        <w:rPr>
          <w:color w:val="231F1F"/>
          <w:w w:val="105"/>
        </w:rPr>
        <w:t>resumen,</w:t>
      </w:r>
      <w:r>
        <w:rPr>
          <w:color w:val="231F1F"/>
          <w:spacing w:val="25"/>
          <w:w w:val="105"/>
        </w:rPr>
        <w:t> </w:t>
      </w:r>
      <w:r>
        <w:rPr>
          <w:color w:val="231F1F"/>
          <w:w w:val="105"/>
        </w:rPr>
        <w:t>el</w:t>
      </w:r>
      <w:r>
        <w:rPr>
          <w:color w:val="231F1F"/>
          <w:spacing w:val="26"/>
          <w:w w:val="105"/>
        </w:rPr>
        <w:t> </w:t>
      </w:r>
      <w:r>
        <w:rPr>
          <w:color w:val="231F1F"/>
          <w:w w:val="105"/>
        </w:rPr>
        <w:t>volumen</w:t>
      </w:r>
      <w:r>
        <w:rPr>
          <w:color w:val="231F1F"/>
          <w:spacing w:val="27"/>
          <w:w w:val="105"/>
        </w:rPr>
        <w:t> </w:t>
      </w:r>
      <w:r>
        <w:rPr>
          <w:color w:val="231F1F"/>
          <w:w w:val="105"/>
        </w:rPr>
        <w:t>de</w:t>
      </w:r>
      <w:r>
        <w:rPr>
          <w:color w:val="231F1F"/>
          <w:spacing w:val="26"/>
          <w:w w:val="105"/>
        </w:rPr>
        <w:t> </w:t>
      </w:r>
      <w:r>
        <w:rPr>
          <w:color w:val="231F1F"/>
          <w:w w:val="105"/>
        </w:rPr>
        <w:t>la</w:t>
      </w:r>
      <w:r>
        <w:rPr>
          <w:color w:val="231F1F"/>
          <w:spacing w:val="27"/>
          <w:w w:val="105"/>
        </w:rPr>
        <w:t> </w:t>
      </w:r>
      <w:r>
        <w:rPr>
          <w:color w:val="231F1F"/>
          <w:w w:val="105"/>
        </w:rPr>
        <w:t>evidencia</w:t>
      </w:r>
      <w:r>
        <w:rPr>
          <w:color w:val="231F1F"/>
          <w:spacing w:val="27"/>
          <w:w w:val="105"/>
        </w:rPr>
        <w:t> </w:t>
      </w:r>
      <w:r>
        <w:rPr>
          <w:color w:val="231F1F"/>
          <w:w w:val="105"/>
        </w:rPr>
        <w:t>viene</w:t>
      </w:r>
      <w:r>
        <w:rPr>
          <w:color w:val="231F1F"/>
          <w:spacing w:val="26"/>
          <w:w w:val="105"/>
        </w:rPr>
        <w:t> </w:t>
      </w:r>
      <w:r>
        <w:rPr>
          <w:color w:val="231F1F"/>
          <w:w w:val="105"/>
        </w:rPr>
        <w:t>dado</w:t>
      </w:r>
      <w:r>
        <w:rPr>
          <w:color w:val="231F1F"/>
          <w:spacing w:val="27"/>
          <w:w w:val="105"/>
        </w:rPr>
        <w:t> </w:t>
      </w:r>
      <w:r>
        <w:rPr>
          <w:color w:val="231F1F"/>
          <w:w w:val="105"/>
        </w:rPr>
        <w:t>por</w:t>
      </w:r>
      <w:r>
        <w:rPr>
          <w:color w:val="231F1F"/>
          <w:spacing w:val="27"/>
          <w:w w:val="105"/>
        </w:rPr>
        <w:t> </w:t>
      </w:r>
      <w:r>
        <w:rPr>
          <w:color w:val="231F1F"/>
          <w:w w:val="105"/>
        </w:rPr>
        <w:t>cuatro</w:t>
      </w:r>
      <w:r>
        <w:rPr>
          <w:color w:val="231F1F"/>
          <w:spacing w:val="27"/>
          <w:w w:val="105"/>
        </w:rPr>
        <w:t> </w:t>
      </w:r>
      <w:r>
        <w:rPr>
          <w:color w:val="231F1F"/>
          <w:w w:val="105"/>
        </w:rPr>
        <w:t>ECAs publicados</w:t>
      </w:r>
      <w:r>
        <w:rPr>
          <w:color w:val="231F1F"/>
          <w:spacing w:val="-11"/>
          <w:w w:val="105"/>
        </w:rPr>
        <w:t> </w:t>
      </w:r>
      <w:r>
        <w:rPr>
          <w:color w:val="231F1F"/>
          <w:w w:val="105"/>
        </w:rPr>
        <w:t>entre</w:t>
      </w:r>
      <w:r>
        <w:rPr>
          <w:color w:val="231F1F"/>
          <w:spacing w:val="-10"/>
          <w:w w:val="105"/>
        </w:rPr>
        <w:t> </w:t>
      </w:r>
      <w:r>
        <w:rPr>
          <w:color w:val="231F1F"/>
          <w:w w:val="105"/>
        </w:rPr>
        <w:t>2006</w:t>
      </w:r>
      <w:r>
        <w:rPr>
          <w:color w:val="231F1F"/>
          <w:spacing w:val="-10"/>
          <w:w w:val="105"/>
        </w:rPr>
        <w:t> </w:t>
      </w:r>
      <w:r>
        <w:rPr>
          <w:color w:val="231F1F"/>
          <w:w w:val="105"/>
        </w:rPr>
        <w:t>y</w:t>
      </w:r>
      <w:r>
        <w:rPr>
          <w:color w:val="231F1F"/>
          <w:spacing w:val="-10"/>
          <w:w w:val="105"/>
        </w:rPr>
        <w:t> </w:t>
      </w:r>
      <w:r>
        <w:rPr>
          <w:color w:val="231F1F"/>
          <w:w w:val="105"/>
        </w:rPr>
        <w:t>2008</w:t>
      </w:r>
      <w:r>
        <w:rPr>
          <w:color w:val="231F1F"/>
          <w:spacing w:val="-10"/>
          <w:w w:val="105"/>
        </w:rPr>
        <w:t> </w:t>
      </w:r>
      <w:r>
        <w:rPr>
          <w:color w:val="231F1F"/>
          <w:w w:val="105"/>
        </w:rPr>
        <w:t>y</w:t>
      </w:r>
      <w:r>
        <w:rPr>
          <w:color w:val="231F1F"/>
          <w:spacing w:val="-10"/>
          <w:w w:val="105"/>
        </w:rPr>
        <w:t> </w:t>
      </w:r>
      <w:r>
        <w:rPr>
          <w:color w:val="231F1F"/>
          <w:w w:val="105"/>
        </w:rPr>
        <w:t>con</w:t>
      </w:r>
      <w:r>
        <w:rPr>
          <w:color w:val="231F1F"/>
          <w:spacing w:val="-10"/>
          <w:w w:val="105"/>
        </w:rPr>
        <w:t> </w:t>
      </w:r>
      <w:r>
        <w:rPr>
          <w:color w:val="231F1F"/>
          <w:w w:val="105"/>
        </w:rPr>
        <w:t>un</w:t>
      </w:r>
      <w:r>
        <w:rPr>
          <w:color w:val="231F1F"/>
          <w:spacing w:val="-10"/>
          <w:w w:val="105"/>
        </w:rPr>
        <w:t> </w:t>
      </w:r>
      <w:r>
        <w:rPr>
          <w:color w:val="231F1F"/>
          <w:w w:val="105"/>
        </w:rPr>
        <w:t>NE=1+</w:t>
      </w:r>
      <w:r>
        <w:rPr>
          <w:color w:val="231F1F"/>
          <w:spacing w:val="-10"/>
          <w:w w:val="105"/>
        </w:rPr>
        <w:t> </w:t>
      </w:r>
      <w:r>
        <w:rPr>
          <w:color w:val="231F1F"/>
          <w:w w:val="105"/>
        </w:rPr>
        <w:t>con</w:t>
      </w:r>
      <w:r>
        <w:rPr>
          <w:color w:val="231F1F"/>
          <w:spacing w:val="-11"/>
          <w:w w:val="105"/>
        </w:rPr>
        <w:t> </w:t>
      </w:r>
      <w:r>
        <w:rPr>
          <w:color w:val="231F1F"/>
          <w:w w:val="105"/>
        </w:rPr>
        <w:t>bajo</w:t>
      </w:r>
      <w:r>
        <w:rPr>
          <w:color w:val="231F1F"/>
          <w:spacing w:val="-11"/>
          <w:w w:val="105"/>
        </w:rPr>
        <w:t> </w:t>
      </w:r>
      <w:r>
        <w:rPr>
          <w:color w:val="231F1F"/>
          <w:w w:val="105"/>
        </w:rPr>
        <w:t>riesgo</w:t>
      </w:r>
      <w:r>
        <w:rPr>
          <w:color w:val="231F1F"/>
          <w:spacing w:val="-10"/>
          <w:w w:val="105"/>
        </w:rPr>
        <w:t> </w:t>
      </w:r>
      <w:r>
        <w:rPr>
          <w:color w:val="231F1F"/>
          <w:w w:val="105"/>
        </w:rPr>
        <w:t>de</w:t>
      </w:r>
      <w:r>
        <w:rPr>
          <w:color w:val="231F1F"/>
          <w:spacing w:val="-11"/>
          <w:w w:val="105"/>
        </w:rPr>
        <w:t> </w:t>
      </w:r>
      <w:r>
        <w:rPr>
          <w:color w:val="231F1F"/>
          <w:w w:val="105"/>
        </w:rPr>
        <w:t>sesgos.</w:t>
      </w:r>
      <w:r>
        <w:rPr>
          <w:color w:val="231F1F"/>
          <w:spacing w:val="-12"/>
          <w:w w:val="105"/>
        </w:rPr>
        <w:t> </w:t>
      </w:r>
      <w:r>
        <w:rPr>
          <w:color w:val="231F1F"/>
          <w:w w:val="105"/>
        </w:rPr>
        <w:t>Aun- que</w:t>
      </w:r>
      <w:r>
        <w:rPr>
          <w:color w:val="231F1F"/>
          <w:spacing w:val="-1"/>
          <w:w w:val="105"/>
        </w:rPr>
        <w:t> </w:t>
      </w:r>
      <w:r>
        <w:rPr>
          <w:color w:val="231F1F"/>
          <w:w w:val="105"/>
        </w:rPr>
        <w:t>existe</w:t>
      </w:r>
      <w:r>
        <w:rPr>
          <w:color w:val="231F1F"/>
          <w:spacing w:val="-1"/>
          <w:w w:val="105"/>
        </w:rPr>
        <w:t> </w:t>
      </w:r>
      <w:r>
        <w:rPr>
          <w:color w:val="231F1F"/>
          <w:w w:val="105"/>
        </w:rPr>
        <w:t>heterogeneidad</w:t>
      </w:r>
      <w:r>
        <w:rPr>
          <w:color w:val="231F1F"/>
          <w:spacing w:val="-1"/>
          <w:w w:val="105"/>
        </w:rPr>
        <w:t> </w:t>
      </w:r>
      <w:r>
        <w:rPr>
          <w:color w:val="231F1F"/>
          <w:w w:val="105"/>
        </w:rPr>
        <w:t>en</w:t>
      </w:r>
      <w:r>
        <w:rPr>
          <w:color w:val="231F1F"/>
          <w:spacing w:val="-1"/>
          <w:w w:val="105"/>
        </w:rPr>
        <w:t> </w:t>
      </w:r>
      <w:r>
        <w:rPr>
          <w:color w:val="231F1F"/>
          <w:w w:val="105"/>
        </w:rPr>
        <w:t>las</w:t>
      </w:r>
      <w:r>
        <w:rPr>
          <w:color w:val="231F1F"/>
          <w:spacing w:val="-1"/>
          <w:w w:val="105"/>
        </w:rPr>
        <w:t> </w:t>
      </w:r>
      <w:r>
        <w:rPr>
          <w:color w:val="231F1F"/>
          <w:w w:val="105"/>
        </w:rPr>
        <w:t>dosis,</w:t>
      </w:r>
      <w:r>
        <w:rPr>
          <w:color w:val="231F1F"/>
          <w:spacing w:val="-3"/>
          <w:w w:val="105"/>
        </w:rPr>
        <w:t> </w:t>
      </w:r>
      <w:r>
        <w:rPr>
          <w:color w:val="231F1F"/>
          <w:w w:val="105"/>
        </w:rPr>
        <w:t>la</w:t>
      </w:r>
      <w:r>
        <w:rPr>
          <w:color w:val="231F1F"/>
          <w:spacing w:val="-1"/>
          <w:w w:val="105"/>
        </w:rPr>
        <w:t> </w:t>
      </w:r>
      <w:r>
        <w:rPr>
          <w:color w:val="231F1F"/>
          <w:w w:val="105"/>
        </w:rPr>
        <w:t>evidencia</w:t>
      </w:r>
      <w:r>
        <w:rPr>
          <w:color w:val="231F1F"/>
          <w:spacing w:val="-1"/>
          <w:w w:val="105"/>
        </w:rPr>
        <w:t> </w:t>
      </w:r>
      <w:r>
        <w:rPr>
          <w:color w:val="231F1F"/>
          <w:w w:val="105"/>
        </w:rPr>
        <w:t>es</w:t>
      </w:r>
      <w:r>
        <w:rPr>
          <w:color w:val="231F1F"/>
          <w:spacing w:val="-1"/>
          <w:w w:val="105"/>
        </w:rPr>
        <w:t> </w:t>
      </w:r>
      <w:r>
        <w:rPr>
          <w:color w:val="231F1F"/>
          <w:w w:val="105"/>
        </w:rPr>
        <w:t>consistente</w:t>
      </w:r>
      <w:r>
        <w:rPr>
          <w:color w:val="231F1F"/>
          <w:spacing w:val="-1"/>
          <w:w w:val="105"/>
        </w:rPr>
        <w:t> </w:t>
      </w:r>
      <w:r>
        <w:rPr>
          <w:color w:val="231F1F"/>
          <w:w w:val="105"/>
        </w:rPr>
        <w:t>con</w:t>
      </w:r>
      <w:r>
        <w:rPr>
          <w:color w:val="231F1F"/>
          <w:spacing w:val="-1"/>
          <w:w w:val="105"/>
        </w:rPr>
        <w:t> </w:t>
      </w:r>
      <w:r>
        <w:rPr>
          <w:color w:val="231F1F"/>
          <w:w w:val="105"/>
        </w:rPr>
        <w:t>respec- to a la reducción de las hemorragias posparto de la oxitocina IV. En ningún estudio</w:t>
      </w:r>
      <w:r>
        <w:rPr>
          <w:color w:val="231F1F"/>
          <w:spacing w:val="40"/>
          <w:w w:val="105"/>
        </w:rPr>
        <w:t> </w:t>
      </w:r>
      <w:r>
        <w:rPr>
          <w:color w:val="231F1F"/>
          <w:w w:val="105"/>
        </w:rPr>
        <w:t>se</w:t>
      </w:r>
      <w:r>
        <w:rPr>
          <w:color w:val="231F1F"/>
          <w:spacing w:val="39"/>
          <w:w w:val="105"/>
        </w:rPr>
        <w:t> </w:t>
      </w:r>
      <w:r>
        <w:rPr>
          <w:color w:val="231F1F"/>
          <w:w w:val="105"/>
        </w:rPr>
        <w:t>encontraron</w:t>
      </w:r>
      <w:r>
        <w:rPr>
          <w:color w:val="231F1F"/>
          <w:spacing w:val="40"/>
          <w:w w:val="105"/>
        </w:rPr>
        <w:t> </w:t>
      </w:r>
      <w:r>
        <w:rPr>
          <w:color w:val="231F1F"/>
          <w:w w:val="105"/>
        </w:rPr>
        <w:t>dosis</w:t>
      </w:r>
      <w:r>
        <w:rPr>
          <w:color w:val="231F1F"/>
          <w:spacing w:val="39"/>
          <w:w w:val="105"/>
        </w:rPr>
        <w:t> </w:t>
      </w:r>
      <w:r>
        <w:rPr>
          <w:color w:val="231F1F"/>
          <w:w w:val="105"/>
        </w:rPr>
        <w:t>inferiores</w:t>
      </w:r>
      <w:r>
        <w:rPr>
          <w:color w:val="231F1F"/>
          <w:spacing w:val="39"/>
          <w:w w:val="105"/>
        </w:rPr>
        <w:t> </w:t>
      </w:r>
      <w:r>
        <w:rPr>
          <w:color w:val="231F1F"/>
          <w:w w:val="105"/>
        </w:rPr>
        <w:t>a</w:t>
      </w:r>
      <w:r>
        <w:rPr>
          <w:color w:val="231F1F"/>
          <w:spacing w:val="40"/>
          <w:w w:val="105"/>
        </w:rPr>
        <w:t> </w:t>
      </w:r>
      <w:r>
        <w:rPr>
          <w:color w:val="231F1F"/>
          <w:w w:val="105"/>
        </w:rPr>
        <w:t>5</w:t>
      </w:r>
      <w:r>
        <w:rPr>
          <w:color w:val="231F1F"/>
          <w:spacing w:val="40"/>
          <w:w w:val="105"/>
        </w:rPr>
        <w:t> </w:t>
      </w:r>
      <w:r>
        <w:rPr>
          <w:color w:val="231F1F"/>
          <w:w w:val="105"/>
        </w:rPr>
        <w:t>UI,</w:t>
      </w:r>
      <w:r>
        <w:rPr>
          <w:color w:val="231F1F"/>
          <w:spacing w:val="39"/>
          <w:w w:val="105"/>
        </w:rPr>
        <w:t> </w:t>
      </w:r>
      <w:r>
        <w:rPr>
          <w:color w:val="231F1F"/>
          <w:w w:val="105"/>
        </w:rPr>
        <w:t>por</w:t>
      </w:r>
      <w:r>
        <w:rPr>
          <w:color w:val="231F1F"/>
          <w:spacing w:val="40"/>
          <w:w w:val="105"/>
        </w:rPr>
        <w:t> </w:t>
      </w:r>
      <w:r>
        <w:rPr>
          <w:color w:val="231F1F"/>
          <w:w w:val="105"/>
        </w:rPr>
        <w:t>lo</w:t>
      </w:r>
      <w:r>
        <w:rPr>
          <w:color w:val="231F1F"/>
          <w:spacing w:val="40"/>
          <w:w w:val="105"/>
        </w:rPr>
        <w:t> </w:t>
      </w:r>
      <w:r>
        <w:rPr>
          <w:color w:val="231F1F"/>
          <w:w w:val="105"/>
        </w:rPr>
        <w:t>que</w:t>
      </w:r>
      <w:r>
        <w:rPr>
          <w:color w:val="231F1F"/>
          <w:spacing w:val="39"/>
          <w:w w:val="105"/>
        </w:rPr>
        <w:t> </w:t>
      </w:r>
      <w:r>
        <w:rPr>
          <w:color w:val="231F1F"/>
          <w:w w:val="105"/>
        </w:rPr>
        <w:t>no</w:t>
      </w:r>
      <w:r>
        <w:rPr>
          <w:color w:val="231F1F"/>
          <w:spacing w:val="40"/>
          <w:w w:val="105"/>
        </w:rPr>
        <w:t> </w:t>
      </w:r>
      <w:r>
        <w:rPr>
          <w:color w:val="231F1F"/>
          <w:w w:val="105"/>
        </w:rPr>
        <w:t>se</w:t>
      </w:r>
      <w:r>
        <w:rPr>
          <w:color w:val="231F1F"/>
          <w:spacing w:val="39"/>
          <w:w w:val="105"/>
        </w:rPr>
        <w:t> </w:t>
      </w:r>
      <w:r>
        <w:rPr>
          <w:color w:val="231F1F"/>
          <w:w w:val="105"/>
        </w:rPr>
        <w:t>pudieron evaluar los resultados de oxitocina IV 2-3 UI frente a oxitocina IV 5-10 UI.</w:t>
      </w:r>
    </w:p>
    <w:p>
      <w:pPr>
        <w:pStyle w:val="BodyText"/>
        <w:spacing w:before="91"/>
      </w:pPr>
    </w:p>
    <w:p>
      <w:pPr>
        <w:spacing w:before="0"/>
        <w:ind w:left="295"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6"/>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301"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68"/>
        <w:gridCol w:w="1138"/>
      </w:tblGrid>
      <w:tr>
        <w:trPr>
          <w:trHeight w:val="964" w:hRule="atLeast"/>
        </w:trPr>
        <w:tc>
          <w:tcPr>
            <w:tcW w:w="7368" w:type="dxa"/>
          </w:tcPr>
          <w:p>
            <w:pPr>
              <w:pStyle w:val="TableParagraph"/>
              <w:spacing w:line="249" w:lineRule="auto" w:before="49"/>
              <w:ind w:right="80" w:firstLine="50"/>
              <w:jc w:val="both"/>
              <w:rPr>
                <w:sz w:val="22"/>
              </w:rPr>
            </w:pPr>
            <w:r>
              <w:rPr>
                <w:color w:val="231F1F"/>
                <w:w w:val="105"/>
                <w:sz w:val="22"/>
              </w:rPr>
              <w:t>La evidencia es consistente con que la utilización de oxitocina IV reduce el riesgo de hemorragias posparto, pero no hay estudios que valoren los resul- tados de oxitocina IV 2-3 UI frente a oxitocina IV 5-10 UI (205-208).</w:t>
            </w:r>
          </w:p>
        </w:tc>
        <w:tc>
          <w:tcPr>
            <w:tcW w:w="1138" w:type="dxa"/>
          </w:tcPr>
          <w:p>
            <w:pPr>
              <w:pStyle w:val="TableParagraph"/>
              <w:spacing w:before="74"/>
              <w:ind w:left="0"/>
              <w:rPr>
                <w:rFonts w:ascii="Arial MT"/>
                <w:sz w:val="22"/>
              </w:rPr>
            </w:pPr>
          </w:p>
          <w:p>
            <w:pPr>
              <w:pStyle w:val="TableParagraph"/>
              <w:ind w:left="24"/>
              <w:jc w:val="center"/>
              <w:rPr>
                <w:sz w:val="22"/>
              </w:rPr>
            </w:pPr>
            <w:r>
              <w:rPr>
                <w:color w:val="231F1F"/>
                <w:spacing w:val="-5"/>
                <w:w w:val="105"/>
                <w:sz w:val="22"/>
              </w:rPr>
              <w:t>1+</w:t>
            </w:r>
          </w:p>
        </w:tc>
      </w:tr>
    </w:tbl>
    <w:p>
      <w:pPr>
        <w:pStyle w:val="BodyText"/>
        <w:spacing w:before="10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3"/>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w:t>
            </w:r>
          </w:p>
        </w:tc>
        <w:tc>
          <w:tcPr>
            <w:tcW w:w="8050" w:type="dxa"/>
          </w:tcPr>
          <w:p>
            <w:pPr>
              <w:pStyle w:val="TableParagraph"/>
              <w:spacing w:line="254" w:lineRule="auto" w:before="63"/>
              <w:ind w:right="155"/>
              <w:rPr>
                <w:sz w:val="22"/>
              </w:rPr>
            </w:pPr>
            <w:r>
              <w:rPr>
                <w:color w:val="231F1F"/>
                <w:sz w:val="22"/>
              </w:rPr>
              <w:t>Se</w:t>
            </w:r>
            <w:r>
              <w:rPr>
                <w:color w:val="231F1F"/>
                <w:spacing w:val="24"/>
                <w:sz w:val="22"/>
              </w:rPr>
              <w:t> </w:t>
            </w:r>
            <w:r>
              <w:rPr>
                <w:color w:val="231F1F"/>
                <w:sz w:val="22"/>
              </w:rPr>
              <w:t>recomienda</w:t>
            </w:r>
            <w:r>
              <w:rPr>
                <w:color w:val="231F1F"/>
                <w:spacing w:val="26"/>
                <w:sz w:val="22"/>
              </w:rPr>
              <w:t> </w:t>
            </w:r>
            <w:r>
              <w:rPr>
                <w:color w:val="231F1F"/>
                <w:sz w:val="22"/>
              </w:rPr>
              <w:t>la</w:t>
            </w:r>
            <w:r>
              <w:rPr>
                <w:color w:val="231F1F"/>
                <w:spacing w:val="24"/>
                <w:sz w:val="22"/>
              </w:rPr>
              <w:t> </w:t>
            </w:r>
            <w:r>
              <w:rPr>
                <w:color w:val="231F1F"/>
                <w:sz w:val="22"/>
              </w:rPr>
              <w:t>administración</w:t>
            </w:r>
            <w:r>
              <w:rPr>
                <w:color w:val="231F1F"/>
                <w:spacing w:val="23"/>
                <w:sz w:val="22"/>
              </w:rPr>
              <w:t> </w:t>
            </w:r>
            <w:r>
              <w:rPr>
                <w:color w:val="231F1F"/>
                <w:sz w:val="22"/>
              </w:rPr>
              <w:t>de</w:t>
            </w:r>
            <w:r>
              <w:rPr>
                <w:color w:val="231F1F"/>
                <w:spacing w:val="24"/>
                <w:sz w:val="22"/>
              </w:rPr>
              <w:t> </w:t>
            </w:r>
            <w:r>
              <w:rPr>
                <w:color w:val="231F1F"/>
                <w:sz w:val="22"/>
              </w:rPr>
              <w:t>10</w:t>
            </w:r>
            <w:r>
              <w:rPr>
                <w:color w:val="231F1F"/>
                <w:spacing w:val="24"/>
                <w:sz w:val="22"/>
              </w:rPr>
              <w:t> </w:t>
            </w:r>
            <w:r>
              <w:rPr>
                <w:color w:val="231F1F"/>
                <w:sz w:val="22"/>
              </w:rPr>
              <w:t>UI</w:t>
            </w:r>
            <w:r>
              <w:rPr>
                <w:color w:val="231F1F"/>
                <w:spacing w:val="24"/>
                <w:sz w:val="22"/>
              </w:rPr>
              <w:t> </w:t>
            </w:r>
            <w:r>
              <w:rPr>
                <w:color w:val="231F1F"/>
                <w:sz w:val="22"/>
              </w:rPr>
              <w:t>IV</w:t>
            </w:r>
            <w:r>
              <w:rPr>
                <w:color w:val="231F1F"/>
                <w:spacing w:val="24"/>
                <w:sz w:val="22"/>
              </w:rPr>
              <w:t> </w:t>
            </w:r>
            <w:r>
              <w:rPr>
                <w:color w:val="231F1F"/>
                <w:sz w:val="22"/>
              </w:rPr>
              <w:t>lenta</w:t>
            </w:r>
            <w:r>
              <w:rPr>
                <w:color w:val="231F1F"/>
                <w:spacing w:val="24"/>
                <w:sz w:val="22"/>
              </w:rPr>
              <w:t> </w:t>
            </w:r>
            <w:r>
              <w:rPr>
                <w:color w:val="231F1F"/>
                <w:sz w:val="22"/>
              </w:rPr>
              <w:t>para</w:t>
            </w:r>
            <w:r>
              <w:rPr>
                <w:color w:val="231F1F"/>
                <w:spacing w:val="24"/>
                <w:sz w:val="22"/>
              </w:rPr>
              <w:t> </w:t>
            </w:r>
            <w:r>
              <w:rPr>
                <w:color w:val="231F1F"/>
                <w:sz w:val="22"/>
              </w:rPr>
              <w:t>la</w:t>
            </w:r>
            <w:r>
              <w:rPr>
                <w:color w:val="231F1F"/>
                <w:spacing w:val="24"/>
                <w:sz w:val="22"/>
              </w:rPr>
              <w:t> </w:t>
            </w:r>
            <w:r>
              <w:rPr>
                <w:color w:val="231F1F"/>
                <w:sz w:val="22"/>
              </w:rPr>
              <w:t>profilaxis</w:t>
            </w:r>
            <w:r>
              <w:rPr>
                <w:color w:val="231F1F"/>
                <w:spacing w:val="24"/>
                <w:sz w:val="22"/>
              </w:rPr>
              <w:t> </w:t>
            </w:r>
            <w:r>
              <w:rPr>
                <w:color w:val="231F1F"/>
                <w:sz w:val="22"/>
              </w:rPr>
              <w:t>de</w:t>
            </w:r>
            <w:r>
              <w:rPr>
                <w:color w:val="231F1F"/>
                <w:spacing w:val="24"/>
                <w:sz w:val="22"/>
              </w:rPr>
              <w:t> </w:t>
            </w:r>
            <w:r>
              <w:rPr>
                <w:color w:val="231F1F"/>
                <w:sz w:val="22"/>
              </w:rPr>
              <w:t>la</w:t>
            </w:r>
            <w:r>
              <w:rPr>
                <w:color w:val="231F1F"/>
                <w:spacing w:val="24"/>
                <w:sz w:val="22"/>
              </w:rPr>
              <w:t> </w:t>
            </w:r>
            <w:r>
              <w:rPr>
                <w:color w:val="231F1F"/>
                <w:sz w:val="22"/>
              </w:rPr>
              <w:t>hemorra- gia posparto.</w:t>
            </w:r>
          </w:p>
        </w:tc>
      </w:tr>
    </w:tbl>
    <w:p>
      <w:pPr>
        <w:pStyle w:val="TableParagraph"/>
        <w:spacing w:after="0" w:line="254" w:lineRule="auto"/>
        <w:rPr>
          <w:sz w:val="22"/>
        </w:rPr>
        <w:sectPr>
          <w:pgSz w:w="11900" w:h="16840"/>
          <w:pgMar w:header="0" w:footer="622" w:top="1560" w:bottom="820" w:left="1417" w:right="1559"/>
        </w:sectPr>
      </w:pPr>
    </w:p>
    <w:p>
      <w:pPr>
        <w:pStyle w:val="BodyText"/>
        <w:spacing w:before="4"/>
        <w:rPr>
          <w:rFonts w:ascii="Arial MT"/>
          <w:sz w:val="17"/>
        </w:rPr>
      </w:pPr>
    </w:p>
    <w:p>
      <w:pPr>
        <w:pStyle w:val="BodyText"/>
        <w:spacing w:after="0"/>
        <w:rPr>
          <w:rFonts w:ascii="Arial MT"/>
          <w:sz w:val="17"/>
        </w:rPr>
        <w:sectPr>
          <w:footerReference w:type="even" r:id="rId50"/>
          <w:pgSz w:w="11900" w:h="16840"/>
          <w:pgMar w:header="0" w:footer="0" w:top="1940" w:bottom="28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27" w:id="29"/>
      <w:r>
        <w:rPr>
          <w:color w:val="231F1F"/>
        </w:rPr>
        <w:t>Cuidados</w:t>
      </w:r>
      <w:r>
        <w:rPr>
          <w:color w:val="231F1F"/>
          <w:spacing w:val="30"/>
          <w:w w:val="150"/>
        </w:rPr>
        <w:t> </w:t>
      </w:r>
      <w:r>
        <w:rPr>
          <w:color w:val="231F1F"/>
        </w:rPr>
        <w:t>del</w:t>
      </w:r>
      <w:r>
        <w:rPr>
          <w:color w:val="231F1F"/>
          <w:spacing w:val="28"/>
          <w:w w:val="150"/>
        </w:rPr>
        <w:t> </w:t>
      </w:r>
      <w:r>
        <w:rPr>
          <w:color w:val="231F1F"/>
        </w:rPr>
        <w:t>recién</w:t>
      </w:r>
      <w:r>
        <w:rPr>
          <w:color w:val="231F1F"/>
          <w:spacing w:val="29"/>
          <w:w w:val="150"/>
        </w:rPr>
        <w:t> </w:t>
      </w:r>
      <w:bookmarkEnd w:id="29"/>
      <w:r>
        <w:rPr>
          <w:color w:val="231F1F"/>
          <w:spacing w:val="-2"/>
        </w:rPr>
        <w:t>nacido</w:t>
      </w:r>
    </w:p>
    <w:p>
      <w:pPr>
        <w:pStyle w:val="Heading2"/>
        <w:numPr>
          <w:ilvl w:val="2"/>
          <w:numId w:val="2"/>
        </w:numPr>
        <w:tabs>
          <w:tab w:pos="1004" w:val="left" w:leader="none"/>
        </w:tabs>
        <w:spacing w:line="240" w:lineRule="auto" w:before="573" w:after="0"/>
        <w:ind w:left="1004" w:right="0" w:hanging="721"/>
        <w:jc w:val="left"/>
      </w:pPr>
      <w:bookmarkStart w:name="_TOC_250026" w:id="30"/>
      <w:r>
        <w:rPr>
          <w:color w:val="231F1F"/>
        </w:rPr>
        <w:t>Pinzamiento</w:t>
      </w:r>
      <w:r>
        <w:rPr>
          <w:color w:val="231F1F"/>
          <w:spacing w:val="71"/>
        </w:rPr>
        <w:t> </w:t>
      </w:r>
      <w:r>
        <w:rPr>
          <w:color w:val="231F1F"/>
        </w:rPr>
        <w:t>del</w:t>
      </w:r>
      <w:r>
        <w:rPr>
          <w:color w:val="231F1F"/>
          <w:spacing w:val="71"/>
        </w:rPr>
        <w:t> </w:t>
      </w:r>
      <w:r>
        <w:rPr>
          <w:color w:val="231F1F"/>
        </w:rPr>
        <w:t>cordón</w:t>
      </w:r>
      <w:r>
        <w:rPr>
          <w:color w:val="231F1F"/>
          <w:spacing w:val="73"/>
        </w:rPr>
        <w:t> </w:t>
      </w:r>
      <w:bookmarkEnd w:id="30"/>
      <w:r>
        <w:rPr>
          <w:color w:val="231F1F"/>
          <w:spacing w:val="-2"/>
        </w:rPr>
        <w:t>umbilical</w:t>
      </w:r>
    </w:p>
    <w:p>
      <w:pPr>
        <w:pStyle w:val="BodyText"/>
        <w:spacing w:before="25"/>
        <w:rPr>
          <w:sz w:val="20"/>
        </w:rPr>
      </w:pPr>
      <w:r>
        <w:rPr>
          <w:sz w:val="20"/>
        </w:rPr>
        <mc:AlternateContent>
          <mc:Choice Requires="wps">
            <w:drawing>
              <wp:anchor distT="0" distB="0" distL="0" distR="0" allowOverlap="1" layoutInCell="1" locked="0" behindDoc="1" simplePos="0" relativeHeight="487614464">
                <wp:simplePos x="0" y="0"/>
                <wp:positionH relativeFrom="page">
                  <wp:posOffset>1082675</wp:posOffset>
                </wp:positionH>
                <wp:positionV relativeFrom="paragraph">
                  <wp:posOffset>180393</wp:posOffset>
                </wp:positionV>
                <wp:extent cx="5400040" cy="262255"/>
                <wp:effectExtent l="0" t="0" r="0" b="0"/>
                <wp:wrapTopAndBottom/>
                <wp:docPr id="110" name="Textbox 110"/>
                <wp:cNvGraphicFramePr>
                  <a:graphicFrameLocks/>
                </wp:cNvGraphicFramePr>
                <a:graphic>
                  <a:graphicData uri="http://schemas.microsoft.com/office/word/2010/wordprocessingShape">
                    <wps:wsp>
                      <wps:cNvPr id="110" name="Textbox 110"/>
                      <wps:cNvSpPr txBox="1"/>
                      <wps:spPr>
                        <a:xfrm>
                          <a:off x="0" y="0"/>
                          <a:ext cx="5400040" cy="262255"/>
                        </a:xfrm>
                        <a:prstGeom prst="rect">
                          <a:avLst/>
                        </a:prstGeom>
                        <a:ln w="6350">
                          <a:solidFill>
                            <a:srgbClr val="A30046"/>
                          </a:solidFill>
                          <a:prstDash val="solid"/>
                        </a:ln>
                      </wps:spPr>
                      <wps:txbx>
                        <w:txbxContent>
                          <w:p>
                            <w:pPr>
                              <w:pStyle w:val="BodyText"/>
                              <w:numPr>
                                <w:ilvl w:val="0"/>
                                <w:numId w:val="53"/>
                              </w:numPr>
                              <w:tabs>
                                <w:tab w:pos="322" w:val="left" w:leader="none"/>
                              </w:tabs>
                              <w:spacing w:line="240" w:lineRule="auto" w:before="42" w:after="0"/>
                              <w:ind w:left="322" w:right="0" w:hanging="218"/>
                              <w:jc w:val="left"/>
                            </w:pPr>
                            <w:r>
                              <w:rPr>
                                <w:color w:val="231F1F"/>
                              </w:rPr>
                              <w:t>¿Cuál</w:t>
                            </w:r>
                            <w:r>
                              <w:rPr>
                                <w:color w:val="231F1F"/>
                                <w:spacing w:val="32"/>
                              </w:rPr>
                              <w:t> </w:t>
                            </w:r>
                            <w:r>
                              <w:rPr>
                                <w:color w:val="231F1F"/>
                              </w:rPr>
                              <w:t>es</w:t>
                            </w:r>
                            <w:r>
                              <w:rPr>
                                <w:color w:val="231F1F"/>
                                <w:spacing w:val="36"/>
                              </w:rPr>
                              <w:t> </w:t>
                            </w:r>
                            <w:r>
                              <w:rPr>
                                <w:color w:val="231F1F"/>
                              </w:rPr>
                              <w:t>el</w:t>
                            </w:r>
                            <w:r>
                              <w:rPr>
                                <w:color w:val="231F1F"/>
                                <w:spacing w:val="35"/>
                              </w:rPr>
                              <w:t> </w:t>
                            </w:r>
                            <w:r>
                              <w:rPr>
                                <w:color w:val="231F1F"/>
                              </w:rPr>
                              <w:t>momento</w:t>
                            </w:r>
                            <w:r>
                              <w:rPr>
                                <w:color w:val="231F1F"/>
                                <w:spacing w:val="36"/>
                              </w:rPr>
                              <w:t> </w:t>
                            </w:r>
                            <w:r>
                              <w:rPr>
                                <w:color w:val="231F1F"/>
                              </w:rPr>
                              <w:t>más</w:t>
                            </w:r>
                            <w:r>
                              <w:rPr>
                                <w:color w:val="231F1F"/>
                                <w:spacing w:val="36"/>
                              </w:rPr>
                              <w:t> </w:t>
                            </w:r>
                            <w:r>
                              <w:rPr>
                                <w:color w:val="231F1F"/>
                              </w:rPr>
                              <w:t>adecuado</w:t>
                            </w:r>
                            <w:r>
                              <w:rPr>
                                <w:color w:val="231F1F"/>
                                <w:spacing w:val="35"/>
                              </w:rPr>
                              <w:t> </w:t>
                            </w:r>
                            <w:r>
                              <w:rPr>
                                <w:color w:val="231F1F"/>
                              </w:rPr>
                              <w:t>para</w:t>
                            </w:r>
                            <w:r>
                              <w:rPr>
                                <w:color w:val="231F1F"/>
                                <w:spacing w:val="36"/>
                              </w:rPr>
                              <w:t> </w:t>
                            </w:r>
                            <w:r>
                              <w:rPr>
                                <w:color w:val="231F1F"/>
                              </w:rPr>
                              <w:t>pinzar</w:t>
                            </w:r>
                            <w:r>
                              <w:rPr>
                                <w:color w:val="231F1F"/>
                                <w:spacing w:val="36"/>
                              </w:rPr>
                              <w:t> </w:t>
                            </w:r>
                            <w:r>
                              <w:rPr>
                                <w:color w:val="231F1F"/>
                              </w:rPr>
                              <w:t>el</w:t>
                            </w:r>
                            <w:r>
                              <w:rPr>
                                <w:color w:val="231F1F"/>
                                <w:spacing w:val="34"/>
                              </w:rPr>
                              <w:t> </w:t>
                            </w:r>
                            <w:r>
                              <w:rPr>
                                <w:color w:val="231F1F"/>
                              </w:rPr>
                              <w:t>cordón</w:t>
                            </w:r>
                            <w:r>
                              <w:rPr>
                                <w:color w:val="231F1F"/>
                                <w:spacing w:val="37"/>
                              </w:rPr>
                              <w:t> </w:t>
                            </w:r>
                            <w:r>
                              <w:rPr>
                                <w:color w:val="231F1F"/>
                                <w:spacing w:val="-2"/>
                              </w:rPr>
                              <w:t>umbilical?</w:t>
                            </w:r>
                          </w:p>
                        </w:txbxContent>
                      </wps:txbx>
                      <wps:bodyPr wrap="square" lIns="0" tIns="0" rIns="0" bIns="0" rtlCol="0">
                        <a:noAutofit/>
                      </wps:bodyPr>
                    </wps:wsp>
                  </a:graphicData>
                </a:graphic>
              </wp:anchor>
            </w:drawing>
          </mc:Choice>
          <mc:Fallback>
            <w:pict>
              <v:shape style="position:absolute;margin-left:85.25pt;margin-top:14.204199pt;width:425.2pt;height:20.65pt;mso-position-horizontal-relative:page;mso-position-vertical-relative:paragraph;z-index:-15702016;mso-wrap-distance-left:0;mso-wrap-distance-right:0" type="#_x0000_t202" id="docshape99" filled="false" stroked="true" strokeweight=".5pt" strokecolor="#a30046">
                <v:textbox inset="0,0,0,0">
                  <w:txbxContent>
                    <w:p>
                      <w:pPr>
                        <w:pStyle w:val="BodyText"/>
                        <w:numPr>
                          <w:ilvl w:val="0"/>
                          <w:numId w:val="53"/>
                        </w:numPr>
                        <w:tabs>
                          <w:tab w:pos="322" w:val="left" w:leader="none"/>
                        </w:tabs>
                        <w:spacing w:line="240" w:lineRule="auto" w:before="42" w:after="0"/>
                        <w:ind w:left="322" w:right="0" w:hanging="218"/>
                        <w:jc w:val="left"/>
                      </w:pPr>
                      <w:r>
                        <w:rPr>
                          <w:color w:val="231F1F"/>
                        </w:rPr>
                        <w:t>¿Cuál</w:t>
                      </w:r>
                      <w:r>
                        <w:rPr>
                          <w:color w:val="231F1F"/>
                          <w:spacing w:val="32"/>
                        </w:rPr>
                        <w:t> </w:t>
                      </w:r>
                      <w:r>
                        <w:rPr>
                          <w:color w:val="231F1F"/>
                        </w:rPr>
                        <w:t>es</w:t>
                      </w:r>
                      <w:r>
                        <w:rPr>
                          <w:color w:val="231F1F"/>
                          <w:spacing w:val="36"/>
                        </w:rPr>
                        <w:t> </w:t>
                      </w:r>
                      <w:r>
                        <w:rPr>
                          <w:color w:val="231F1F"/>
                        </w:rPr>
                        <w:t>el</w:t>
                      </w:r>
                      <w:r>
                        <w:rPr>
                          <w:color w:val="231F1F"/>
                          <w:spacing w:val="35"/>
                        </w:rPr>
                        <w:t> </w:t>
                      </w:r>
                      <w:r>
                        <w:rPr>
                          <w:color w:val="231F1F"/>
                        </w:rPr>
                        <w:t>momento</w:t>
                      </w:r>
                      <w:r>
                        <w:rPr>
                          <w:color w:val="231F1F"/>
                          <w:spacing w:val="36"/>
                        </w:rPr>
                        <w:t> </w:t>
                      </w:r>
                      <w:r>
                        <w:rPr>
                          <w:color w:val="231F1F"/>
                        </w:rPr>
                        <w:t>más</w:t>
                      </w:r>
                      <w:r>
                        <w:rPr>
                          <w:color w:val="231F1F"/>
                          <w:spacing w:val="36"/>
                        </w:rPr>
                        <w:t> </w:t>
                      </w:r>
                      <w:r>
                        <w:rPr>
                          <w:color w:val="231F1F"/>
                        </w:rPr>
                        <w:t>adecuado</w:t>
                      </w:r>
                      <w:r>
                        <w:rPr>
                          <w:color w:val="231F1F"/>
                          <w:spacing w:val="35"/>
                        </w:rPr>
                        <w:t> </w:t>
                      </w:r>
                      <w:r>
                        <w:rPr>
                          <w:color w:val="231F1F"/>
                        </w:rPr>
                        <w:t>para</w:t>
                      </w:r>
                      <w:r>
                        <w:rPr>
                          <w:color w:val="231F1F"/>
                          <w:spacing w:val="36"/>
                        </w:rPr>
                        <w:t> </w:t>
                      </w:r>
                      <w:r>
                        <w:rPr>
                          <w:color w:val="231F1F"/>
                        </w:rPr>
                        <w:t>pinzar</w:t>
                      </w:r>
                      <w:r>
                        <w:rPr>
                          <w:color w:val="231F1F"/>
                          <w:spacing w:val="36"/>
                        </w:rPr>
                        <w:t> </w:t>
                      </w:r>
                      <w:r>
                        <w:rPr>
                          <w:color w:val="231F1F"/>
                        </w:rPr>
                        <w:t>el</w:t>
                      </w:r>
                      <w:r>
                        <w:rPr>
                          <w:color w:val="231F1F"/>
                          <w:spacing w:val="34"/>
                        </w:rPr>
                        <w:t> </w:t>
                      </w:r>
                      <w:r>
                        <w:rPr>
                          <w:color w:val="231F1F"/>
                        </w:rPr>
                        <w:t>cordón</w:t>
                      </w:r>
                      <w:r>
                        <w:rPr>
                          <w:color w:val="231F1F"/>
                          <w:spacing w:val="37"/>
                        </w:rPr>
                        <w:t> </w:t>
                      </w:r>
                      <w:r>
                        <w:rPr>
                          <w:color w:val="231F1F"/>
                          <w:spacing w:val="-2"/>
                        </w:rPr>
                        <w:t>umbilical?</w:t>
                      </w:r>
                    </w:p>
                  </w:txbxContent>
                </v:textbox>
                <v:stroke dashstyle="solid"/>
                <w10:wrap type="topAndBottom"/>
              </v:shape>
            </w:pict>
          </mc:Fallback>
        </mc:AlternateContent>
      </w:r>
    </w:p>
    <w:p>
      <w:pPr>
        <w:pStyle w:val="BodyText"/>
        <w:spacing w:line="249" w:lineRule="auto" w:before="378"/>
        <w:ind w:left="283" w:right="122"/>
        <w:jc w:val="both"/>
      </w:pPr>
      <w:r>
        <w:rPr>
          <w:color w:val="231F1F"/>
          <w:w w:val="110"/>
        </w:rPr>
        <w:t>Se</w:t>
      </w:r>
      <w:r>
        <w:rPr>
          <w:color w:val="231F1F"/>
          <w:spacing w:val="-16"/>
          <w:w w:val="110"/>
        </w:rPr>
        <w:t> </w:t>
      </w:r>
      <w:r>
        <w:rPr>
          <w:color w:val="231F1F"/>
          <w:w w:val="110"/>
        </w:rPr>
        <w:t>cree</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pinzamiento</w:t>
      </w:r>
      <w:r>
        <w:rPr>
          <w:color w:val="231F1F"/>
          <w:spacing w:val="-15"/>
          <w:w w:val="110"/>
        </w:rPr>
        <w:t> </w:t>
      </w:r>
      <w:r>
        <w:rPr>
          <w:color w:val="231F1F"/>
          <w:w w:val="110"/>
        </w:rPr>
        <w:t>precoz</w:t>
      </w:r>
      <w:r>
        <w:rPr>
          <w:color w:val="231F1F"/>
          <w:spacing w:val="-15"/>
          <w:w w:val="110"/>
        </w:rPr>
        <w:t> </w:t>
      </w:r>
      <w:r>
        <w:rPr>
          <w:color w:val="231F1F"/>
          <w:w w:val="110"/>
        </w:rPr>
        <w:t>del</w:t>
      </w:r>
      <w:r>
        <w:rPr>
          <w:color w:val="231F1F"/>
          <w:spacing w:val="-15"/>
          <w:w w:val="110"/>
        </w:rPr>
        <w:t> </w:t>
      </w:r>
      <w:r>
        <w:rPr>
          <w:color w:val="231F1F"/>
          <w:w w:val="110"/>
        </w:rPr>
        <w:t>cordón</w:t>
      </w:r>
      <w:r>
        <w:rPr>
          <w:color w:val="231F1F"/>
          <w:spacing w:val="-15"/>
          <w:w w:val="110"/>
        </w:rPr>
        <w:t> </w:t>
      </w:r>
      <w:r>
        <w:rPr>
          <w:color w:val="231F1F"/>
          <w:w w:val="110"/>
        </w:rPr>
        <w:t>umbilical</w:t>
      </w:r>
      <w:r>
        <w:rPr>
          <w:color w:val="231F1F"/>
          <w:spacing w:val="-16"/>
          <w:w w:val="110"/>
        </w:rPr>
        <w:t> </w:t>
      </w:r>
      <w:r>
        <w:rPr>
          <w:color w:val="231F1F"/>
          <w:w w:val="110"/>
        </w:rPr>
        <w:t>reduce</w:t>
      </w:r>
      <w:r>
        <w:rPr>
          <w:color w:val="231F1F"/>
          <w:spacing w:val="-15"/>
          <w:w w:val="110"/>
        </w:rPr>
        <w:t> </w:t>
      </w:r>
      <w:r>
        <w:rPr>
          <w:color w:val="231F1F"/>
          <w:w w:val="110"/>
        </w:rPr>
        <w:t>el</w:t>
      </w:r>
      <w:r>
        <w:rPr>
          <w:color w:val="231F1F"/>
          <w:spacing w:val="-15"/>
          <w:w w:val="110"/>
        </w:rPr>
        <w:t> </w:t>
      </w:r>
      <w:r>
        <w:rPr>
          <w:color w:val="231F1F"/>
          <w:w w:val="110"/>
        </w:rPr>
        <w:t>riesgo</w:t>
      </w:r>
      <w:r>
        <w:rPr>
          <w:color w:val="231F1F"/>
          <w:spacing w:val="-15"/>
          <w:w w:val="110"/>
        </w:rPr>
        <w:t> </w:t>
      </w:r>
      <w:r>
        <w:rPr>
          <w:color w:val="231F1F"/>
          <w:w w:val="110"/>
        </w:rPr>
        <w:t>de</w:t>
      </w:r>
      <w:r>
        <w:rPr>
          <w:color w:val="231F1F"/>
          <w:spacing w:val="-15"/>
          <w:w w:val="110"/>
        </w:rPr>
        <w:t> </w:t>
      </w:r>
      <w:r>
        <w:rPr>
          <w:color w:val="231F1F"/>
          <w:w w:val="110"/>
        </w:rPr>
        <w:t>HPP</w:t>
      </w:r>
      <w:r>
        <w:rPr>
          <w:color w:val="231F1F"/>
          <w:spacing w:val="-15"/>
          <w:w w:val="110"/>
        </w:rPr>
        <w:t> </w:t>
      </w:r>
      <w:r>
        <w:rPr>
          <w:color w:val="231F1F"/>
          <w:w w:val="110"/>
        </w:rPr>
        <w:t>y</w:t>
      </w:r>
      <w:r>
        <w:rPr>
          <w:color w:val="231F1F"/>
          <w:spacing w:val="-15"/>
          <w:w w:val="110"/>
        </w:rPr>
        <w:t> </w:t>
      </w:r>
      <w:r>
        <w:rPr>
          <w:color w:val="231F1F"/>
          <w:w w:val="110"/>
        </w:rPr>
        <w:t>de</w:t>
      </w:r>
      <w:r>
        <w:rPr>
          <w:color w:val="231F1F"/>
          <w:spacing w:val="-15"/>
          <w:w w:val="110"/>
        </w:rPr>
        <w:t> </w:t>
      </w:r>
      <w:r>
        <w:rPr>
          <w:color w:val="231F1F"/>
          <w:w w:val="110"/>
        </w:rPr>
        <w:t>icte- ricia</w:t>
      </w:r>
      <w:r>
        <w:rPr>
          <w:color w:val="231F1F"/>
          <w:spacing w:val="-4"/>
          <w:w w:val="110"/>
        </w:rPr>
        <w:t> </w:t>
      </w:r>
      <w:r>
        <w:rPr>
          <w:color w:val="231F1F"/>
          <w:w w:val="110"/>
        </w:rPr>
        <w:t>neonatal</w:t>
      </w:r>
      <w:r>
        <w:rPr>
          <w:color w:val="231F1F"/>
          <w:spacing w:val="-5"/>
          <w:w w:val="110"/>
        </w:rPr>
        <w:t> </w:t>
      </w:r>
      <w:r>
        <w:rPr>
          <w:color w:val="231F1F"/>
          <w:w w:val="110"/>
        </w:rPr>
        <w:t>(209).</w:t>
      </w:r>
      <w:r>
        <w:rPr>
          <w:color w:val="231F1F"/>
          <w:spacing w:val="-5"/>
          <w:w w:val="110"/>
        </w:rPr>
        <w:t> </w:t>
      </w:r>
      <w:r>
        <w:rPr>
          <w:color w:val="231F1F"/>
          <w:w w:val="110"/>
        </w:rPr>
        <w:t>Por</w:t>
      </w:r>
      <w:r>
        <w:rPr>
          <w:color w:val="231F1F"/>
          <w:spacing w:val="-5"/>
          <w:w w:val="110"/>
        </w:rPr>
        <w:t> </w:t>
      </w:r>
      <w:r>
        <w:rPr>
          <w:color w:val="231F1F"/>
          <w:w w:val="110"/>
        </w:rPr>
        <w:t>otro</w:t>
      </w:r>
      <w:r>
        <w:rPr>
          <w:color w:val="231F1F"/>
          <w:spacing w:val="-4"/>
          <w:w w:val="110"/>
        </w:rPr>
        <w:t> </w:t>
      </w:r>
      <w:r>
        <w:rPr>
          <w:color w:val="231F1F"/>
          <w:w w:val="110"/>
        </w:rPr>
        <w:t>lado,</w:t>
      </w:r>
      <w:r>
        <w:rPr>
          <w:color w:val="231F1F"/>
          <w:spacing w:val="-5"/>
          <w:w w:val="110"/>
        </w:rPr>
        <w:t> </w:t>
      </w:r>
      <w:r>
        <w:rPr>
          <w:color w:val="231F1F"/>
          <w:w w:val="110"/>
        </w:rPr>
        <w:t>hay</w:t>
      </w:r>
      <w:r>
        <w:rPr>
          <w:color w:val="231F1F"/>
          <w:spacing w:val="-4"/>
          <w:w w:val="110"/>
        </w:rPr>
        <w:t> </w:t>
      </w:r>
      <w:r>
        <w:rPr>
          <w:color w:val="231F1F"/>
          <w:w w:val="110"/>
        </w:rPr>
        <w:t>datos</w:t>
      </w:r>
      <w:r>
        <w:rPr>
          <w:color w:val="231F1F"/>
          <w:spacing w:val="-5"/>
          <w:w w:val="110"/>
        </w:rPr>
        <w:t> </w:t>
      </w:r>
      <w:r>
        <w:rPr>
          <w:color w:val="231F1F"/>
          <w:w w:val="110"/>
        </w:rPr>
        <w:t>que</w:t>
      </w:r>
      <w:r>
        <w:rPr>
          <w:color w:val="231F1F"/>
          <w:spacing w:val="-4"/>
          <w:w w:val="110"/>
        </w:rPr>
        <w:t> </w:t>
      </w:r>
      <w:r>
        <w:rPr>
          <w:color w:val="231F1F"/>
          <w:w w:val="110"/>
        </w:rPr>
        <w:t>sugieren</w:t>
      </w:r>
      <w:r>
        <w:rPr>
          <w:color w:val="231F1F"/>
          <w:spacing w:val="-5"/>
          <w:w w:val="110"/>
        </w:rPr>
        <w:t> </w:t>
      </w:r>
      <w:r>
        <w:rPr>
          <w:color w:val="231F1F"/>
          <w:w w:val="110"/>
        </w:rPr>
        <w:t>que</w:t>
      </w:r>
      <w:r>
        <w:rPr>
          <w:color w:val="231F1F"/>
          <w:spacing w:val="-4"/>
          <w:w w:val="110"/>
        </w:rPr>
        <w:t> </w:t>
      </w:r>
      <w:r>
        <w:rPr>
          <w:color w:val="231F1F"/>
          <w:w w:val="110"/>
        </w:rPr>
        <w:t>puede</w:t>
      </w:r>
      <w:r>
        <w:rPr>
          <w:color w:val="231F1F"/>
          <w:spacing w:val="-5"/>
          <w:w w:val="110"/>
        </w:rPr>
        <w:t> </w:t>
      </w:r>
      <w:r>
        <w:rPr>
          <w:color w:val="231F1F"/>
          <w:w w:val="110"/>
        </w:rPr>
        <w:t>haber</w:t>
      </w:r>
      <w:r>
        <w:rPr>
          <w:color w:val="231F1F"/>
          <w:spacing w:val="-5"/>
          <w:w w:val="110"/>
        </w:rPr>
        <w:t> </w:t>
      </w:r>
      <w:r>
        <w:rPr>
          <w:color w:val="231F1F"/>
          <w:w w:val="110"/>
        </w:rPr>
        <w:t>beneficios</w:t>
      </w:r>
      <w:r>
        <w:rPr>
          <w:color w:val="231F1F"/>
          <w:spacing w:val="-5"/>
          <w:w w:val="110"/>
        </w:rPr>
        <w:t> </w:t>
      </w:r>
      <w:r>
        <w:rPr>
          <w:color w:val="231F1F"/>
          <w:w w:val="110"/>
        </w:rPr>
        <w:t>si </w:t>
      </w:r>
      <w:r>
        <w:rPr>
          <w:color w:val="231F1F"/>
          <w:spacing w:val="-2"/>
          <w:w w:val="110"/>
        </w:rPr>
        <w:t>el</w:t>
      </w:r>
      <w:r>
        <w:rPr>
          <w:color w:val="231F1F"/>
          <w:spacing w:val="-8"/>
          <w:w w:val="110"/>
        </w:rPr>
        <w:t> </w:t>
      </w:r>
      <w:r>
        <w:rPr>
          <w:color w:val="231F1F"/>
          <w:spacing w:val="-2"/>
          <w:w w:val="110"/>
        </w:rPr>
        <w:t>pinzamiento</w:t>
      </w:r>
      <w:r>
        <w:rPr>
          <w:color w:val="231F1F"/>
          <w:spacing w:val="-8"/>
          <w:w w:val="110"/>
        </w:rPr>
        <w:t> </w:t>
      </w:r>
      <w:r>
        <w:rPr>
          <w:color w:val="231F1F"/>
          <w:spacing w:val="-2"/>
          <w:w w:val="110"/>
        </w:rPr>
        <w:t>se</w:t>
      </w:r>
      <w:r>
        <w:rPr>
          <w:color w:val="231F1F"/>
          <w:spacing w:val="-8"/>
          <w:w w:val="110"/>
        </w:rPr>
        <w:t> </w:t>
      </w:r>
      <w:r>
        <w:rPr>
          <w:color w:val="231F1F"/>
          <w:spacing w:val="-2"/>
          <w:w w:val="110"/>
        </w:rPr>
        <w:t>realiza</w:t>
      </w:r>
      <w:r>
        <w:rPr>
          <w:color w:val="231F1F"/>
          <w:spacing w:val="-8"/>
          <w:w w:val="110"/>
        </w:rPr>
        <w:t> </w:t>
      </w:r>
      <w:r>
        <w:rPr>
          <w:color w:val="231F1F"/>
          <w:spacing w:val="-2"/>
          <w:w w:val="110"/>
        </w:rPr>
        <w:t>tardíamente.</w:t>
      </w:r>
      <w:r>
        <w:rPr>
          <w:color w:val="231F1F"/>
          <w:spacing w:val="-8"/>
          <w:w w:val="110"/>
        </w:rPr>
        <w:t> </w:t>
      </w:r>
      <w:r>
        <w:rPr>
          <w:color w:val="231F1F"/>
          <w:spacing w:val="-2"/>
          <w:w w:val="110"/>
        </w:rPr>
        <w:t>Entre</w:t>
      </w:r>
      <w:r>
        <w:rPr>
          <w:color w:val="231F1F"/>
          <w:spacing w:val="-8"/>
          <w:w w:val="110"/>
        </w:rPr>
        <w:t> </w:t>
      </w:r>
      <w:r>
        <w:rPr>
          <w:color w:val="231F1F"/>
          <w:spacing w:val="-2"/>
          <w:w w:val="110"/>
        </w:rPr>
        <w:t>los</w:t>
      </w:r>
      <w:r>
        <w:rPr>
          <w:color w:val="231F1F"/>
          <w:spacing w:val="-8"/>
          <w:w w:val="110"/>
        </w:rPr>
        <w:t> </w:t>
      </w:r>
      <w:r>
        <w:rPr>
          <w:color w:val="231F1F"/>
          <w:spacing w:val="-2"/>
          <w:w w:val="110"/>
        </w:rPr>
        <w:t>beneficios</w:t>
      </w:r>
      <w:r>
        <w:rPr>
          <w:color w:val="231F1F"/>
          <w:spacing w:val="-8"/>
          <w:w w:val="110"/>
        </w:rPr>
        <w:t> </w:t>
      </w:r>
      <w:r>
        <w:rPr>
          <w:color w:val="231F1F"/>
          <w:spacing w:val="-2"/>
          <w:w w:val="110"/>
        </w:rPr>
        <w:t>se</w:t>
      </w:r>
      <w:r>
        <w:rPr>
          <w:color w:val="231F1F"/>
          <w:spacing w:val="-8"/>
          <w:w w:val="110"/>
        </w:rPr>
        <w:t> </w:t>
      </w:r>
      <w:r>
        <w:rPr>
          <w:color w:val="231F1F"/>
          <w:spacing w:val="-2"/>
          <w:w w:val="110"/>
        </w:rPr>
        <w:t>ha</w:t>
      </w:r>
      <w:r>
        <w:rPr>
          <w:color w:val="231F1F"/>
          <w:spacing w:val="-8"/>
          <w:w w:val="110"/>
        </w:rPr>
        <w:t> </w:t>
      </w:r>
      <w:r>
        <w:rPr>
          <w:color w:val="231F1F"/>
          <w:spacing w:val="-2"/>
          <w:w w:val="110"/>
        </w:rPr>
        <w:t>descrito</w:t>
      </w:r>
      <w:r>
        <w:rPr>
          <w:color w:val="231F1F"/>
          <w:spacing w:val="-8"/>
          <w:w w:val="110"/>
        </w:rPr>
        <w:t> </w:t>
      </w:r>
      <w:r>
        <w:rPr>
          <w:color w:val="231F1F"/>
          <w:spacing w:val="-2"/>
          <w:w w:val="110"/>
        </w:rPr>
        <w:t>una</w:t>
      </w:r>
      <w:r>
        <w:rPr>
          <w:color w:val="231F1F"/>
          <w:spacing w:val="-8"/>
          <w:w w:val="110"/>
        </w:rPr>
        <w:t> </w:t>
      </w:r>
      <w:r>
        <w:rPr>
          <w:color w:val="231F1F"/>
          <w:spacing w:val="-2"/>
          <w:w w:val="110"/>
        </w:rPr>
        <w:t>reducción</w:t>
      </w:r>
      <w:r>
        <w:rPr>
          <w:color w:val="231F1F"/>
          <w:spacing w:val="-7"/>
          <w:w w:val="110"/>
        </w:rPr>
        <w:t> </w:t>
      </w:r>
      <w:r>
        <w:rPr>
          <w:color w:val="231F1F"/>
          <w:spacing w:val="-2"/>
          <w:w w:val="110"/>
        </w:rPr>
        <w:t>de </w:t>
      </w:r>
      <w:r>
        <w:rPr>
          <w:color w:val="231F1F"/>
          <w:w w:val="110"/>
        </w:rPr>
        <w:t>la</w:t>
      </w:r>
      <w:r>
        <w:rPr>
          <w:color w:val="231F1F"/>
          <w:spacing w:val="-14"/>
          <w:w w:val="110"/>
        </w:rPr>
        <w:t> </w:t>
      </w:r>
      <w:r>
        <w:rPr>
          <w:color w:val="231F1F"/>
          <w:w w:val="110"/>
        </w:rPr>
        <w:t>probabilidad</w:t>
      </w:r>
      <w:r>
        <w:rPr>
          <w:color w:val="231F1F"/>
          <w:spacing w:val="-14"/>
          <w:w w:val="110"/>
        </w:rPr>
        <w:t> </w:t>
      </w:r>
      <w:r>
        <w:rPr>
          <w:color w:val="231F1F"/>
          <w:w w:val="110"/>
        </w:rPr>
        <w:t>de</w:t>
      </w:r>
      <w:r>
        <w:rPr>
          <w:color w:val="231F1F"/>
          <w:spacing w:val="-14"/>
          <w:w w:val="110"/>
        </w:rPr>
        <w:t> </w:t>
      </w:r>
      <w:r>
        <w:rPr>
          <w:color w:val="231F1F"/>
          <w:w w:val="110"/>
        </w:rPr>
        <w:t>transfusión</w:t>
      </w:r>
      <w:r>
        <w:rPr>
          <w:color w:val="231F1F"/>
          <w:spacing w:val="-15"/>
          <w:w w:val="110"/>
        </w:rPr>
        <w:t> </w:t>
      </w:r>
      <w:r>
        <w:rPr>
          <w:color w:val="231F1F"/>
          <w:w w:val="110"/>
        </w:rPr>
        <w:t>feto-materna,</w:t>
      </w:r>
      <w:r>
        <w:rPr>
          <w:color w:val="231F1F"/>
          <w:spacing w:val="-14"/>
          <w:w w:val="110"/>
        </w:rPr>
        <w:t> </w:t>
      </w:r>
      <w:r>
        <w:rPr>
          <w:color w:val="231F1F"/>
          <w:w w:val="110"/>
        </w:rPr>
        <w:t>(210)</w:t>
      </w:r>
      <w:r>
        <w:rPr>
          <w:color w:val="231F1F"/>
          <w:spacing w:val="-14"/>
          <w:w w:val="110"/>
        </w:rPr>
        <w:t> </w:t>
      </w:r>
      <w:r>
        <w:rPr>
          <w:color w:val="231F1F"/>
          <w:w w:val="110"/>
        </w:rPr>
        <w:t>incremento</w:t>
      </w:r>
      <w:r>
        <w:rPr>
          <w:color w:val="231F1F"/>
          <w:spacing w:val="-14"/>
          <w:w w:val="110"/>
        </w:rPr>
        <w:t> </w:t>
      </w:r>
      <w:r>
        <w:rPr>
          <w:color w:val="231F1F"/>
          <w:w w:val="110"/>
        </w:rPr>
        <w:t>de</w:t>
      </w:r>
      <w:r>
        <w:rPr>
          <w:color w:val="231F1F"/>
          <w:spacing w:val="-14"/>
          <w:w w:val="110"/>
        </w:rPr>
        <w:t> </w:t>
      </w:r>
      <w:r>
        <w:rPr>
          <w:color w:val="231F1F"/>
          <w:w w:val="110"/>
        </w:rPr>
        <w:t>los</w:t>
      </w:r>
      <w:r>
        <w:rPr>
          <w:color w:val="231F1F"/>
          <w:spacing w:val="-15"/>
          <w:w w:val="110"/>
        </w:rPr>
        <w:t> </w:t>
      </w:r>
      <w:r>
        <w:rPr>
          <w:color w:val="231F1F"/>
          <w:w w:val="110"/>
        </w:rPr>
        <w:t>niveles</w:t>
      </w:r>
      <w:r>
        <w:rPr>
          <w:color w:val="231F1F"/>
          <w:spacing w:val="-15"/>
          <w:w w:val="110"/>
        </w:rPr>
        <w:t> </w:t>
      </w:r>
      <w:r>
        <w:rPr>
          <w:color w:val="231F1F"/>
          <w:w w:val="110"/>
        </w:rPr>
        <w:t>de</w:t>
      </w:r>
      <w:r>
        <w:rPr>
          <w:color w:val="231F1F"/>
          <w:spacing w:val="-14"/>
          <w:w w:val="110"/>
        </w:rPr>
        <w:t> </w:t>
      </w:r>
      <w:r>
        <w:rPr>
          <w:color w:val="231F1F"/>
          <w:w w:val="110"/>
        </w:rPr>
        <w:t>hemoglo- bina</w:t>
      </w:r>
      <w:r>
        <w:rPr>
          <w:color w:val="231F1F"/>
          <w:spacing w:val="-7"/>
          <w:w w:val="110"/>
        </w:rPr>
        <w:t> </w:t>
      </w:r>
      <w:r>
        <w:rPr>
          <w:color w:val="231F1F"/>
          <w:w w:val="110"/>
        </w:rPr>
        <w:t>(209)</w:t>
      </w:r>
      <w:r>
        <w:rPr>
          <w:color w:val="231F1F"/>
          <w:spacing w:val="-7"/>
          <w:w w:val="110"/>
        </w:rPr>
        <w:t> </w:t>
      </w:r>
      <w:r>
        <w:rPr>
          <w:color w:val="231F1F"/>
          <w:w w:val="110"/>
        </w:rPr>
        <w:t>y</w:t>
      </w:r>
      <w:r>
        <w:rPr>
          <w:color w:val="231F1F"/>
          <w:spacing w:val="-7"/>
          <w:w w:val="110"/>
        </w:rPr>
        <w:t> </w:t>
      </w:r>
      <w:r>
        <w:rPr>
          <w:color w:val="231F1F"/>
          <w:w w:val="110"/>
        </w:rPr>
        <w:t>depósitos</w:t>
      </w:r>
      <w:r>
        <w:rPr>
          <w:color w:val="231F1F"/>
          <w:spacing w:val="-7"/>
          <w:w w:val="110"/>
        </w:rPr>
        <w:t> </w:t>
      </w:r>
      <w:r>
        <w:rPr>
          <w:color w:val="231F1F"/>
          <w:w w:val="110"/>
        </w:rPr>
        <w:t>de</w:t>
      </w:r>
      <w:r>
        <w:rPr>
          <w:color w:val="231F1F"/>
          <w:spacing w:val="-7"/>
          <w:w w:val="110"/>
        </w:rPr>
        <w:t> </w:t>
      </w:r>
      <w:r>
        <w:rPr>
          <w:color w:val="231F1F"/>
          <w:w w:val="110"/>
        </w:rPr>
        <w:t>hierro</w:t>
      </w:r>
      <w:r>
        <w:rPr>
          <w:color w:val="231F1F"/>
          <w:spacing w:val="-7"/>
          <w:w w:val="110"/>
        </w:rPr>
        <w:t> </w:t>
      </w:r>
      <w:r>
        <w:rPr>
          <w:color w:val="231F1F"/>
          <w:w w:val="110"/>
        </w:rPr>
        <w:t>en</w:t>
      </w:r>
      <w:r>
        <w:rPr>
          <w:color w:val="231F1F"/>
          <w:spacing w:val="-7"/>
          <w:w w:val="110"/>
        </w:rPr>
        <w:t> </w:t>
      </w:r>
      <w:r>
        <w:rPr>
          <w:color w:val="231F1F"/>
          <w:w w:val="110"/>
        </w:rPr>
        <w:t>el</w:t>
      </w:r>
      <w:r>
        <w:rPr>
          <w:color w:val="231F1F"/>
          <w:spacing w:val="-7"/>
          <w:w w:val="110"/>
        </w:rPr>
        <w:t> </w:t>
      </w:r>
      <w:r>
        <w:rPr>
          <w:color w:val="231F1F"/>
          <w:w w:val="110"/>
        </w:rPr>
        <w:t>neonato</w:t>
      </w:r>
      <w:r>
        <w:rPr>
          <w:color w:val="231F1F"/>
          <w:spacing w:val="-7"/>
          <w:w w:val="110"/>
        </w:rPr>
        <w:t> </w:t>
      </w:r>
      <w:r>
        <w:rPr>
          <w:color w:val="231F1F"/>
          <w:w w:val="110"/>
        </w:rPr>
        <w:t>con</w:t>
      </w:r>
      <w:r>
        <w:rPr>
          <w:color w:val="231F1F"/>
          <w:spacing w:val="-6"/>
          <w:w w:val="110"/>
        </w:rPr>
        <w:t> </w:t>
      </w:r>
      <w:r>
        <w:rPr>
          <w:color w:val="231F1F"/>
          <w:w w:val="110"/>
        </w:rPr>
        <w:t>una</w:t>
      </w:r>
      <w:r>
        <w:rPr>
          <w:color w:val="231F1F"/>
          <w:spacing w:val="-7"/>
          <w:w w:val="110"/>
        </w:rPr>
        <w:t> </w:t>
      </w:r>
      <w:r>
        <w:rPr>
          <w:color w:val="231F1F"/>
          <w:w w:val="110"/>
        </w:rPr>
        <w:t>reducción</w:t>
      </w:r>
      <w:r>
        <w:rPr>
          <w:color w:val="231F1F"/>
          <w:spacing w:val="-6"/>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anemia</w:t>
      </w:r>
      <w:r>
        <w:rPr>
          <w:color w:val="231F1F"/>
          <w:spacing w:val="-7"/>
          <w:w w:val="110"/>
        </w:rPr>
        <w:t> </w:t>
      </w:r>
      <w:r>
        <w:rPr>
          <w:color w:val="231F1F"/>
          <w:w w:val="110"/>
        </w:rPr>
        <w:t>durante</w:t>
      </w:r>
      <w:r>
        <w:rPr>
          <w:color w:val="231F1F"/>
          <w:spacing w:val="-7"/>
          <w:w w:val="110"/>
        </w:rPr>
        <w:t> </w:t>
      </w:r>
      <w:r>
        <w:rPr>
          <w:color w:val="231F1F"/>
          <w:w w:val="110"/>
        </w:rPr>
        <w:t>la infancia</w:t>
      </w:r>
      <w:r>
        <w:rPr>
          <w:color w:val="231F1F"/>
          <w:spacing w:val="-13"/>
          <w:w w:val="110"/>
        </w:rPr>
        <w:t> </w:t>
      </w:r>
      <w:r>
        <w:rPr>
          <w:color w:val="231F1F"/>
          <w:w w:val="110"/>
        </w:rPr>
        <w:t>(4;211),</w:t>
      </w:r>
      <w:r>
        <w:rPr>
          <w:color w:val="231F1F"/>
          <w:spacing w:val="-13"/>
          <w:w w:val="110"/>
        </w:rPr>
        <w:t> </w:t>
      </w:r>
      <w:r>
        <w:rPr>
          <w:color w:val="231F1F"/>
          <w:w w:val="110"/>
        </w:rPr>
        <w:t>mejor</w:t>
      </w:r>
      <w:r>
        <w:rPr>
          <w:color w:val="231F1F"/>
          <w:spacing w:val="-13"/>
          <w:w w:val="110"/>
        </w:rPr>
        <w:t> </w:t>
      </w:r>
      <w:r>
        <w:rPr>
          <w:color w:val="231F1F"/>
          <w:w w:val="110"/>
        </w:rPr>
        <w:t>adaptación</w:t>
      </w:r>
      <w:r>
        <w:rPr>
          <w:color w:val="231F1F"/>
          <w:spacing w:val="-13"/>
          <w:w w:val="110"/>
        </w:rPr>
        <w:t> </w:t>
      </w:r>
      <w:r>
        <w:rPr>
          <w:color w:val="231F1F"/>
          <w:w w:val="110"/>
        </w:rPr>
        <w:t>cardiopulmonar</w:t>
      </w:r>
      <w:r>
        <w:rPr>
          <w:color w:val="231F1F"/>
          <w:spacing w:val="-13"/>
          <w:w w:val="110"/>
        </w:rPr>
        <w:t> </w:t>
      </w:r>
      <w:r>
        <w:rPr>
          <w:color w:val="231F1F"/>
          <w:w w:val="110"/>
        </w:rPr>
        <w:t>e</w:t>
      </w:r>
      <w:r>
        <w:rPr>
          <w:color w:val="231F1F"/>
          <w:spacing w:val="-13"/>
          <w:w w:val="110"/>
        </w:rPr>
        <w:t> </w:t>
      </w:r>
      <w:r>
        <w:rPr>
          <w:color w:val="231F1F"/>
          <w:w w:val="110"/>
        </w:rPr>
        <w:t>incremento</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duración</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lac- tancia (212).</w:t>
      </w:r>
    </w:p>
    <w:p>
      <w:pPr>
        <w:pStyle w:val="BodyText"/>
        <w:spacing w:before="101"/>
        <w:rPr>
          <w:sz w:val="20"/>
        </w:rPr>
      </w:pPr>
    </w:p>
    <w:p>
      <w:pPr>
        <w:pStyle w:val="BodyText"/>
        <w:spacing w:after="0"/>
        <w:rPr>
          <w:sz w:val="20"/>
        </w:rPr>
        <w:sectPr>
          <w:footerReference w:type="default" r:id="rId51"/>
          <w:footerReference w:type="even" r:id="rId52"/>
          <w:pgSz w:w="11900" w:h="16840"/>
          <w:pgMar w:header="0" w:footer="622" w:top="1520" w:bottom="820" w:left="1417" w:right="1559"/>
          <w:pgNumType w:start="159"/>
        </w:sectPr>
      </w:pPr>
    </w:p>
    <w:p>
      <w:pPr>
        <w:spacing w:before="92"/>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17"/>
          <w:sz w:val="24"/>
        </w:rPr>
        <w:t> </w:t>
      </w:r>
      <w:r>
        <w:rPr>
          <w:rFonts w:ascii="Arial MT" w:hAnsi="Arial MT"/>
          <w:color w:val="231F1F"/>
          <w:sz w:val="24"/>
        </w:rPr>
        <w:t>científica</w:t>
      </w:r>
      <w:r>
        <w:rPr>
          <w:rFonts w:ascii="Arial MT" w:hAnsi="Arial MT"/>
          <w:color w:val="231F1F"/>
          <w:spacing w:val="19"/>
          <w:sz w:val="24"/>
        </w:rPr>
        <w:t> </w:t>
      </w:r>
      <w:r>
        <w:rPr>
          <w:rFonts w:ascii="Arial MT" w:hAnsi="Arial MT"/>
          <w:color w:val="231F1F"/>
          <w:sz w:val="24"/>
        </w:rPr>
        <w:t>(hasta</w:t>
      </w:r>
      <w:r>
        <w:rPr>
          <w:rFonts w:ascii="Arial MT" w:hAnsi="Arial MT"/>
          <w:color w:val="231F1F"/>
          <w:spacing w:val="18"/>
          <w:sz w:val="24"/>
        </w:rPr>
        <w:t> </w:t>
      </w:r>
      <w:r>
        <w:rPr>
          <w:rFonts w:ascii="Arial MT" w:hAnsi="Arial MT"/>
          <w:color w:val="231F1F"/>
          <w:sz w:val="24"/>
        </w:rPr>
        <w:t>mayo</w:t>
      </w:r>
      <w:r>
        <w:rPr>
          <w:rFonts w:ascii="Arial MT" w:hAnsi="Arial MT"/>
          <w:color w:val="231F1F"/>
          <w:spacing w:val="20"/>
          <w:sz w:val="24"/>
        </w:rPr>
        <w:t> </w:t>
      </w:r>
      <w:r>
        <w:rPr>
          <w:rFonts w:ascii="Arial MT" w:hAnsi="Arial MT"/>
          <w:color w:val="231F1F"/>
          <w:sz w:val="24"/>
        </w:rPr>
        <w:t>de</w:t>
      </w:r>
      <w:r>
        <w:rPr>
          <w:rFonts w:ascii="Arial MT" w:hAnsi="Arial MT"/>
          <w:color w:val="231F1F"/>
          <w:spacing w:val="18"/>
          <w:sz w:val="24"/>
        </w:rPr>
        <w:t> </w:t>
      </w:r>
      <w:r>
        <w:rPr>
          <w:rFonts w:ascii="Arial MT" w:hAnsi="Arial MT"/>
          <w:color w:val="231F1F"/>
          <w:spacing w:val="-2"/>
          <w:sz w:val="24"/>
        </w:rPr>
        <w:t>2008)</w:t>
      </w:r>
    </w:p>
    <w:p>
      <w:pPr>
        <w:pStyle w:val="BodyText"/>
        <w:spacing w:line="244" w:lineRule="auto" w:before="214"/>
        <w:ind w:left="288" w:right="38"/>
        <w:jc w:val="both"/>
      </w:pPr>
      <w:r>
        <w:rPr>
          <w:color w:val="231F1F"/>
          <w:w w:val="110"/>
        </w:rPr>
        <w:t>La</w:t>
      </w:r>
      <w:r>
        <w:rPr>
          <w:color w:val="231F1F"/>
          <w:w w:val="110"/>
        </w:rPr>
        <w:t> guía</w:t>
      </w:r>
      <w:r>
        <w:rPr>
          <w:color w:val="231F1F"/>
          <w:w w:val="110"/>
        </w:rPr>
        <w:t> NICE</w:t>
      </w:r>
      <w:r>
        <w:rPr>
          <w:color w:val="231F1F"/>
          <w:w w:val="110"/>
        </w:rPr>
        <w:t> (10)</w:t>
      </w:r>
      <w:r>
        <w:rPr>
          <w:color w:val="231F1F"/>
          <w:w w:val="110"/>
        </w:rPr>
        <w:t> para</w:t>
      </w:r>
      <w:r>
        <w:rPr>
          <w:color w:val="231F1F"/>
          <w:w w:val="110"/>
        </w:rPr>
        <w:t> responder</w:t>
      </w:r>
      <w:r>
        <w:rPr>
          <w:color w:val="231F1F"/>
          <w:w w:val="110"/>
        </w:rPr>
        <w:t> esta</w:t>
      </w:r>
      <w:r>
        <w:rPr>
          <w:color w:val="231F1F"/>
          <w:w w:val="110"/>
        </w:rPr>
        <w:t> cuestión</w:t>
      </w:r>
      <w:r>
        <w:rPr>
          <w:color w:val="231F1F"/>
          <w:w w:val="110"/>
        </w:rPr>
        <w:t> empleó</w:t>
      </w:r>
      <w:r>
        <w:rPr>
          <w:color w:val="231F1F"/>
          <w:w w:val="110"/>
        </w:rPr>
        <w:t> una</w:t>
      </w:r>
      <w:r>
        <w:rPr>
          <w:color w:val="231F1F"/>
          <w:w w:val="110"/>
        </w:rPr>
        <w:t> RS</w:t>
      </w:r>
      <w:r>
        <w:rPr>
          <w:color w:val="231F1F"/>
          <w:w w:val="110"/>
        </w:rPr>
        <w:t> (213)</w:t>
      </w:r>
      <w:r>
        <w:rPr>
          <w:color w:val="231F1F"/>
          <w:w w:val="110"/>
        </w:rPr>
        <w:t> y tres</w:t>
      </w:r>
      <w:r>
        <w:rPr>
          <w:color w:val="231F1F"/>
          <w:w w:val="110"/>
        </w:rPr>
        <w:t> estudios</w:t>
      </w:r>
      <w:r>
        <w:rPr>
          <w:color w:val="231F1F"/>
          <w:w w:val="110"/>
        </w:rPr>
        <w:t> realizados</w:t>
      </w:r>
      <w:r>
        <w:rPr>
          <w:color w:val="231F1F"/>
          <w:w w:val="110"/>
        </w:rPr>
        <w:t> en</w:t>
      </w:r>
      <w:r>
        <w:rPr>
          <w:color w:val="231F1F"/>
          <w:w w:val="110"/>
        </w:rPr>
        <w:t> países</w:t>
      </w:r>
      <w:r>
        <w:rPr>
          <w:color w:val="231F1F"/>
          <w:w w:val="110"/>
        </w:rPr>
        <w:t> con</w:t>
      </w:r>
      <w:r>
        <w:rPr>
          <w:color w:val="231F1F"/>
          <w:w w:val="110"/>
        </w:rPr>
        <w:t> un</w:t>
      </w:r>
      <w:r>
        <w:rPr>
          <w:color w:val="231F1F"/>
          <w:w w:val="110"/>
        </w:rPr>
        <w:t> nivel</w:t>
      </w:r>
      <w:r>
        <w:rPr>
          <w:color w:val="231F1F"/>
          <w:w w:val="110"/>
        </w:rPr>
        <w:t> medio</w:t>
      </w:r>
      <w:r>
        <w:rPr>
          <w:color w:val="231F1F"/>
          <w:w w:val="110"/>
        </w:rPr>
        <w:t> o</w:t>
      </w:r>
      <w:r>
        <w:rPr>
          <w:color w:val="231F1F"/>
          <w:w w:val="110"/>
        </w:rPr>
        <w:t> bajo</w:t>
      </w:r>
      <w:r>
        <w:rPr>
          <w:color w:val="231F1F"/>
          <w:w w:val="110"/>
        </w:rPr>
        <w:t> de</w:t>
      </w:r>
      <w:r>
        <w:rPr>
          <w:color w:val="231F1F"/>
          <w:w w:val="110"/>
        </w:rPr>
        <w:t> ingresos </w:t>
      </w:r>
      <w:r>
        <w:rPr>
          <w:color w:val="231F1F"/>
          <w:spacing w:val="-2"/>
          <w:w w:val="110"/>
        </w:rPr>
        <w:t>(214-216).</w:t>
      </w:r>
    </w:p>
    <w:p>
      <w:pPr>
        <w:pStyle w:val="BodyText"/>
        <w:spacing w:line="249" w:lineRule="auto" w:before="186"/>
        <w:ind w:left="287" w:right="40" w:firstLine="453"/>
        <w:jc w:val="both"/>
      </w:pPr>
      <w:r>
        <w:rPr>
          <w:color w:val="231F1F"/>
          <w:w w:val="105"/>
        </w:rPr>
        <w:t>La RS, publicada en el 2004 presenta un NE=1+ e incluye ocho estudios, de los cuales cuatro (217-220), fueron realizados en países con altos ingresos</w:t>
      </w:r>
      <w:r>
        <w:rPr>
          <w:color w:val="231F1F"/>
          <w:spacing w:val="40"/>
          <w:w w:val="105"/>
        </w:rPr>
        <w:t> </w:t>
      </w:r>
      <w:r>
        <w:rPr>
          <w:color w:val="231F1F"/>
          <w:w w:val="105"/>
        </w:rPr>
        <w:t>y los otros cuatro (221-224) países con un nivel bajo o medio de ingresos. De entre</w:t>
      </w:r>
      <w:r>
        <w:rPr>
          <w:color w:val="231F1F"/>
          <w:w w:val="105"/>
        </w:rPr>
        <w:t> los</w:t>
      </w:r>
      <w:r>
        <w:rPr>
          <w:color w:val="231F1F"/>
          <w:w w:val="105"/>
        </w:rPr>
        <w:t> cuatro</w:t>
      </w:r>
      <w:r>
        <w:rPr>
          <w:color w:val="231F1F"/>
          <w:w w:val="105"/>
        </w:rPr>
        <w:t> primeros,</w:t>
      </w:r>
      <w:r>
        <w:rPr>
          <w:color w:val="231F1F"/>
          <w:w w:val="105"/>
        </w:rPr>
        <w:t> únicamente</w:t>
      </w:r>
      <w:r>
        <w:rPr>
          <w:color w:val="231F1F"/>
          <w:w w:val="105"/>
        </w:rPr>
        <w:t> había</w:t>
      </w:r>
      <w:r>
        <w:rPr>
          <w:color w:val="231F1F"/>
          <w:w w:val="105"/>
        </w:rPr>
        <w:t> un</w:t>
      </w:r>
      <w:r>
        <w:rPr>
          <w:color w:val="231F1F"/>
          <w:w w:val="105"/>
        </w:rPr>
        <w:t> ECA</w:t>
      </w:r>
      <w:r>
        <w:rPr>
          <w:color w:val="231F1F"/>
          <w:w w:val="105"/>
        </w:rPr>
        <w:t> (220).</w:t>
      </w:r>
      <w:r>
        <w:rPr>
          <w:color w:val="231F1F"/>
          <w:w w:val="105"/>
        </w:rPr>
        <w:t> Entre</w:t>
      </w:r>
      <w:r>
        <w:rPr>
          <w:color w:val="231F1F"/>
          <w:w w:val="105"/>
        </w:rPr>
        <w:t> los</w:t>
      </w:r>
      <w:r>
        <w:rPr>
          <w:color w:val="231F1F"/>
          <w:w w:val="105"/>
        </w:rPr>
        <w:t> siete estudios</w:t>
      </w:r>
      <w:r>
        <w:rPr>
          <w:color w:val="231F1F"/>
          <w:spacing w:val="-5"/>
          <w:w w:val="105"/>
        </w:rPr>
        <w:t> </w:t>
      </w:r>
      <w:r>
        <w:rPr>
          <w:color w:val="231F1F"/>
          <w:w w:val="105"/>
        </w:rPr>
        <w:t>realizados</w:t>
      </w:r>
      <w:r>
        <w:rPr>
          <w:color w:val="231F1F"/>
          <w:spacing w:val="-5"/>
          <w:w w:val="105"/>
        </w:rPr>
        <w:t> </w:t>
      </w:r>
      <w:r>
        <w:rPr>
          <w:color w:val="231F1F"/>
          <w:w w:val="105"/>
        </w:rPr>
        <w:t>en</w:t>
      </w:r>
      <w:r>
        <w:rPr>
          <w:color w:val="231F1F"/>
          <w:spacing w:val="-6"/>
          <w:w w:val="105"/>
        </w:rPr>
        <w:t> </w:t>
      </w:r>
      <w:r>
        <w:rPr>
          <w:color w:val="231F1F"/>
          <w:w w:val="105"/>
        </w:rPr>
        <w:t>países</w:t>
      </w:r>
      <w:r>
        <w:rPr>
          <w:color w:val="231F1F"/>
          <w:spacing w:val="-6"/>
          <w:w w:val="105"/>
        </w:rPr>
        <w:t> </w:t>
      </w:r>
      <w:r>
        <w:rPr>
          <w:color w:val="231F1F"/>
          <w:w w:val="105"/>
        </w:rPr>
        <w:t>con</w:t>
      </w:r>
      <w:r>
        <w:rPr>
          <w:color w:val="231F1F"/>
          <w:spacing w:val="-5"/>
          <w:w w:val="105"/>
        </w:rPr>
        <w:t> </w:t>
      </w:r>
      <w:r>
        <w:rPr>
          <w:color w:val="231F1F"/>
          <w:w w:val="105"/>
        </w:rPr>
        <w:t>un</w:t>
      </w:r>
      <w:r>
        <w:rPr>
          <w:color w:val="231F1F"/>
          <w:spacing w:val="-6"/>
          <w:w w:val="105"/>
        </w:rPr>
        <w:t> </w:t>
      </w:r>
      <w:r>
        <w:rPr>
          <w:color w:val="231F1F"/>
          <w:w w:val="105"/>
        </w:rPr>
        <w:t>nivel</w:t>
      </w:r>
      <w:r>
        <w:rPr>
          <w:color w:val="231F1F"/>
          <w:spacing w:val="-6"/>
          <w:w w:val="105"/>
        </w:rPr>
        <w:t> </w:t>
      </w:r>
      <w:r>
        <w:rPr>
          <w:color w:val="231F1F"/>
          <w:w w:val="105"/>
        </w:rPr>
        <w:t>medio</w:t>
      </w:r>
      <w:r>
        <w:rPr>
          <w:color w:val="231F1F"/>
          <w:spacing w:val="-6"/>
          <w:w w:val="105"/>
        </w:rPr>
        <w:t> </w:t>
      </w:r>
      <w:r>
        <w:rPr>
          <w:color w:val="231F1F"/>
          <w:w w:val="105"/>
        </w:rPr>
        <w:t>o</w:t>
      </w:r>
      <w:r>
        <w:rPr>
          <w:color w:val="231F1F"/>
          <w:spacing w:val="-6"/>
          <w:w w:val="105"/>
        </w:rPr>
        <w:t> </w:t>
      </w:r>
      <w:r>
        <w:rPr>
          <w:color w:val="231F1F"/>
          <w:w w:val="105"/>
        </w:rPr>
        <w:t>bajo</w:t>
      </w:r>
      <w:r>
        <w:rPr>
          <w:color w:val="231F1F"/>
          <w:spacing w:val="-6"/>
          <w:w w:val="105"/>
        </w:rPr>
        <w:t> </w:t>
      </w:r>
      <w:r>
        <w:rPr>
          <w:color w:val="231F1F"/>
          <w:w w:val="105"/>
        </w:rPr>
        <w:t>de</w:t>
      </w:r>
      <w:r>
        <w:rPr>
          <w:color w:val="231F1F"/>
          <w:spacing w:val="-6"/>
          <w:w w:val="105"/>
        </w:rPr>
        <w:t> </w:t>
      </w:r>
      <w:r>
        <w:rPr>
          <w:color w:val="231F1F"/>
          <w:w w:val="105"/>
        </w:rPr>
        <w:t>ingresos</w:t>
      </w:r>
      <w:r>
        <w:rPr>
          <w:color w:val="231F1F"/>
          <w:spacing w:val="-6"/>
          <w:w w:val="105"/>
        </w:rPr>
        <w:t> </w:t>
      </w:r>
      <w:r>
        <w:rPr>
          <w:color w:val="231F1F"/>
          <w:w w:val="105"/>
        </w:rPr>
        <w:t>hubo</w:t>
      </w:r>
      <w:r>
        <w:rPr>
          <w:color w:val="231F1F"/>
          <w:spacing w:val="-6"/>
          <w:w w:val="105"/>
        </w:rPr>
        <w:t> </w:t>
      </w:r>
      <w:r>
        <w:rPr>
          <w:color w:val="231F1F"/>
          <w:w w:val="105"/>
        </w:rPr>
        <w:t>cinco ensayos</w:t>
      </w:r>
      <w:r>
        <w:rPr>
          <w:color w:val="231F1F"/>
          <w:spacing w:val="40"/>
          <w:w w:val="105"/>
        </w:rPr>
        <w:t> </w:t>
      </w:r>
      <w:r>
        <w:rPr>
          <w:color w:val="231F1F"/>
          <w:w w:val="105"/>
        </w:rPr>
        <w:t>controlados</w:t>
      </w:r>
      <w:r>
        <w:rPr>
          <w:color w:val="231F1F"/>
          <w:spacing w:val="40"/>
          <w:w w:val="105"/>
        </w:rPr>
        <w:t> </w:t>
      </w:r>
      <w:r>
        <w:rPr>
          <w:color w:val="231F1F"/>
          <w:w w:val="105"/>
        </w:rPr>
        <w:t>aleatorizados</w:t>
      </w:r>
      <w:r>
        <w:rPr>
          <w:color w:val="231F1F"/>
          <w:spacing w:val="40"/>
          <w:w w:val="105"/>
        </w:rPr>
        <w:t> </w:t>
      </w:r>
      <w:r>
        <w:rPr>
          <w:color w:val="231F1F"/>
          <w:w w:val="105"/>
        </w:rPr>
        <w:t>y</w:t>
      </w:r>
      <w:r>
        <w:rPr>
          <w:color w:val="231F1F"/>
          <w:spacing w:val="40"/>
          <w:w w:val="105"/>
        </w:rPr>
        <w:t> </w:t>
      </w:r>
      <w:r>
        <w:rPr>
          <w:color w:val="231F1F"/>
          <w:w w:val="105"/>
        </w:rPr>
        <w:t>uno</w:t>
      </w:r>
      <w:r>
        <w:rPr>
          <w:color w:val="231F1F"/>
          <w:spacing w:val="40"/>
          <w:w w:val="105"/>
        </w:rPr>
        <w:t> </w:t>
      </w:r>
      <w:r>
        <w:rPr>
          <w:color w:val="231F1F"/>
          <w:w w:val="105"/>
        </w:rPr>
        <w:t>cuasi-aleatorizado.</w:t>
      </w:r>
    </w:p>
    <w:p>
      <w:pPr>
        <w:pStyle w:val="BodyText"/>
        <w:spacing w:line="244" w:lineRule="auto" w:before="188"/>
        <w:ind w:left="288" w:right="43" w:firstLine="453"/>
        <w:jc w:val="both"/>
      </w:pPr>
      <w:r>
        <w:rPr>
          <w:color w:val="231F1F"/>
        </w:rPr>
        <w:t>Todos</w:t>
      </w:r>
      <w:r>
        <w:rPr>
          <w:color w:val="231F1F"/>
          <w:spacing w:val="40"/>
        </w:rPr>
        <w:t> </w:t>
      </w:r>
      <w:r>
        <w:rPr>
          <w:color w:val="231F1F"/>
        </w:rPr>
        <w:t>los</w:t>
      </w:r>
      <w:r>
        <w:rPr>
          <w:color w:val="231F1F"/>
          <w:spacing w:val="40"/>
        </w:rPr>
        <w:t> </w:t>
      </w:r>
      <w:r>
        <w:rPr>
          <w:color w:val="231F1F"/>
        </w:rPr>
        <w:t>estudios</w:t>
      </w:r>
      <w:r>
        <w:rPr>
          <w:color w:val="231F1F"/>
          <w:spacing w:val="40"/>
        </w:rPr>
        <w:t> </w:t>
      </w:r>
      <w:r>
        <w:rPr>
          <w:color w:val="231F1F"/>
        </w:rPr>
        <w:t>comparaban</w:t>
      </w:r>
      <w:r>
        <w:rPr>
          <w:color w:val="231F1F"/>
          <w:spacing w:val="40"/>
        </w:rPr>
        <w:t> </w:t>
      </w:r>
      <w:r>
        <w:rPr>
          <w:color w:val="231F1F"/>
        </w:rPr>
        <w:t>el</w:t>
      </w:r>
      <w:r>
        <w:rPr>
          <w:color w:val="231F1F"/>
          <w:spacing w:val="40"/>
        </w:rPr>
        <w:t> </w:t>
      </w:r>
      <w:r>
        <w:rPr>
          <w:color w:val="231F1F"/>
        </w:rPr>
        <w:t>pinzamiento</w:t>
      </w:r>
      <w:r>
        <w:rPr>
          <w:color w:val="231F1F"/>
          <w:spacing w:val="40"/>
        </w:rPr>
        <w:t> </w:t>
      </w:r>
      <w:r>
        <w:rPr>
          <w:color w:val="231F1F"/>
        </w:rPr>
        <w:t>temprano</w:t>
      </w:r>
      <w:r>
        <w:rPr>
          <w:color w:val="231F1F"/>
          <w:spacing w:val="40"/>
        </w:rPr>
        <w:t> </w:t>
      </w:r>
      <w:r>
        <w:rPr>
          <w:color w:val="231F1F"/>
        </w:rPr>
        <w:t>del</w:t>
      </w:r>
      <w:r>
        <w:rPr>
          <w:color w:val="231F1F"/>
          <w:spacing w:val="40"/>
        </w:rPr>
        <w:t> </w:t>
      </w:r>
      <w:r>
        <w:rPr>
          <w:color w:val="231F1F"/>
        </w:rPr>
        <w:t>cordón</w:t>
      </w:r>
      <w:r>
        <w:rPr>
          <w:color w:val="231F1F"/>
          <w:spacing w:val="40"/>
        </w:rPr>
        <w:t> </w:t>
      </w:r>
      <w:r>
        <w:rPr>
          <w:color w:val="231F1F"/>
        </w:rPr>
        <w:t>con </w:t>
      </w:r>
      <w:r>
        <w:rPr>
          <w:color w:val="231F1F"/>
          <w:w w:val="110"/>
        </w:rPr>
        <w:t>el</w:t>
      </w:r>
      <w:r>
        <w:rPr>
          <w:color w:val="231F1F"/>
          <w:spacing w:val="-13"/>
          <w:w w:val="110"/>
        </w:rPr>
        <w:t> </w:t>
      </w:r>
      <w:r>
        <w:rPr>
          <w:color w:val="231F1F"/>
          <w:w w:val="110"/>
        </w:rPr>
        <w:t>tardío</w:t>
      </w:r>
      <w:r>
        <w:rPr>
          <w:color w:val="231F1F"/>
          <w:spacing w:val="-12"/>
          <w:w w:val="110"/>
        </w:rPr>
        <w:t> </w:t>
      </w:r>
      <w:r>
        <w:rPr>
          <w:color w:val="231F1F"/>
          <w:w w:val="110"/>
        </w:rPr>
        <w:t>y</w:t>
      </w:r>
      <w:r>
        <w:rPr>
          <w:color w:val="231F1F"/>
          <w:spacing w:val="-12"/>
          <w:w w:val="110"/>
        </w:rPr>
        <w:t> </w:t>
      </w:r>
      <w:r>
        <w:rPr>
          <w:color w:val="231F1F"/>
          <w:w w:val="110"/>
        </w:rPr>
        <w:t>mostraron</w:t>
      </w:r>
      <w:r>
        <w:rPr>
          <w:color w:val="231F1F"/>
          <w:spacing w:val="-12"/>
          <w:w w:val="110"/>
        </w:rPr>
        <w:t> </w:t>
      </w:r>
      <w:r>
        <w:rPr>
          <w:color w:val="231F1F"/>
          <w:w w:val="110"/>
        </w:rPr>
        <w:t>bastante</w:t>
      </w:r>
      <w:r>
        <w:rPr>
          <w:color w:val="231F1F"/>
          <w:spacing w:val="-12"/>
          <w:w w:val="110"/>
        </w:rPr>
        <w:t> </w:t>
      </w:r>
      <w:r>
        <w:rPr>
          <w:color w:val="231F1F"/>
          <w:w w:val="110"/>
        </w:rPr>
        <w:t>homogeneidad.</w:t>
      </w:r>
      <w:r>
        <w:rPr>
          <w:color w:val="231F1F"/>
          <w:spacing w:val="-13"/>
          <w:w w:val="110"/>
        </w:rPr>
        <w:t> </w:t>
      </w:r>
      <w:r>
        <w:rPr>
          <w:color w:val="231F1F"/>
          <w:w w:val="110"/>
        </w:rPr>
        <w:t>En</w:t>
      </w:r>
      <w:r>
        <w:rPr>
          <w:color w:val="231F1F"/>
          <w:spacing w:val="-12"/>
          <w:w w:val="110"/>
        </w:rPr>
        <w:t> </w:t>
      </w:r>
      <w:r>
        <w:rPr>
          <w:color w:val="231F1F"/>
          <w:w w:val="110"/>
        </w:rPr>
        <w:t>cambio</w:t>
      </w:r>
      <w:r>
        <w:rPr>
          <w:color w:val="231F1F"/>
          <w:spacing w:val="-13"/>
          <w:w w:val="110"/>
        </w:rPr>
        <w:t> </w:t>
      </w:r>
      <w:r>
        <w:rPr>
          <w:color w:val="231F1F"/>
          <w:w w:val="110"/>
        </w:rPr>
        <w:t>la</w:t>
      </w:r>
      <w:r>
        <w:rPr>
          <w:color w:val="231F1F"/>
          <w:spacing w:val="-12"/>
          <w:w w:val="110"/>
        </w:rPr>
        <w:t> </w:t>
      </w:r>
      <w:r>
        <w:rPr>
          <w:color w:val="231F1F"/>
          <w:w w:val="110"/>
        </w:rPr>
        <w:t>descripción</w:t>
      </w:r>
      <w:r>
        <w:rPr>
          <w:color w:val="231F1F"/>
          <w:spacing w:val="-13"/>
          <w:w w:val="110"/>
        </w:rPr>
        <w:t> </w:t>
      </w:r>
      <w:r>
        <w:rPr>
          <w:color w:val="231F1F"/>
          <w:w w:val="110"/>
        </w:rPr>
        <w:t>y</w:t>
      </w:r>
      <w:r>
        <w:rPr>
          <w:color w:val="231F1F"/>
          <w:spacing w:val="-12"/>
          <w:w w:val="110"/>
        </w:rPr>
        <w:t> </w:t>
      </w:r>
      <w:r>
        <w:rPr>
          <w:color w:val="231F1F"/>
          <w:w w:val="110"/>
        </w:rPr>
        <w:t>el momento del pinzamiento tardío variaron enormemente. Todos fueron in- cluidos</w:t>
      </w:r>
      <w:r>
        <w:rPr>
          <w:color w:val="231F1F"/>
          <w:w w:val="110"/>
        </w:rPr>
        <w:t> en</w:t>
      </w:r>
      <w:r>
        <w:rPr>
          <w:color w:val="231F1F"/>
          <w:w w:val="110"/>
        </w:rPr>
        <w:t> un</w:t>
      </w:r>
      <w:r>
        <w:rPr>
          <w:color w:val="231F1F"/>
          <w:w w:val="110"/>
        </w:rPr>
        <w:t> metaanálisis,</w:t>
      </w:r>
      <w:r>
        <w:rPr>
          <w:color w:val="231F1F"/>
          <w:w w:val="110"/>
        </w:rPr>
        <w:t> aunque</w:t>
      </w:r>
      <w:r>
        <w:rPr>
          <w:color w:val="231F1F"/>
          <w:w w:val="110"/>
        </w:rPr>
        <w:t> el</w:t>
      </w:r>
      <w:r>
        <w:rPr>
          <w:color w:val="231F1F"/>
          <w:w w:val="110"/>
        </w:rPr>
        <w:t> análisis</w:t>
      </w:r>
      <w:r>
        <w:rPr>
          <w:color w:val="231F1F"/>
          <w:w w:val="110"/>
        </w:rPr>
        <w:t> e</w:t>
      </w:r>
      <w:r>
        <w:rPr>
          <w:color w:val="231F1F"/>
          <w:w w:val="110"/>
        </w:rPr>
        <w:t> interpretación</w:t>
      </w:r>
      <w:r>
        <w:rPr>
          <w:color w:val="231F1F"/>
          <w:w w:val="110"/>
        </w:rPr>
        <w:t> se</w:t>
      </w:r>
      <w:r>
        <w:rPr>
          <w:color w:val="231F1F"/>
          <w:w w:val="110"/>
        </w:rPr>
        <w:t> hizo</w:t>
      </w:r>
      <w:r>
        <w:rPr>
          <w:color w:val="231F1F"/>
          <w:w w:val="110"/>
        </w:rPr>
        <w:t> en función de los niveles de ingresos de los países.</w:t>
      </w:r>
    </w:p>
    <w:p>
      <w:pPr>
        <w:pStyle w:val="BodyText"/>
        <w:spacing w:line="256" w:lineRule="auto" w:before="136"/>
        <w:ind w:left="287" w:right="38" w:firstLine="453"/>
        <w:jc w:val="both"/>
      </w:pPr>
      <w:r>
        <w:rPr>
          <w:color w:val="231F1F"/>
          <w:w w:val="105"/>
        </w:rPr>
        <w:t>En</w:t>
      </w:r>
      <w:r>
        <w:rPr>
          <w:color w:val="231F1F"/>
          <w:spacing w:val="-8"/>
          <w:w w:val="105"/>
        </w:rPr>
        <w:t> </w:t>
      </w:r>
      <w:r>
        <w:rPr>
          <w:color w:val="231F1F"/>
          <w:w w:val="105"/>
        </w:rPr>
        <w:t>dos</w:t>
      </w:r>
      <w:r>
        <w:rPr>
          <w:color w:val="231F1F"/>
          <w:spacing w:val="-8"/>
          <w:w w:val="105"/>
        </w:rPr>
        <w:t> </w:t>
      </w:r>
      <w:r>
        <w:rPr>
          <w:color w:val="231F1F"/>
          <w:w w:val="105"/>
        </w:rPr>
        <w:t>ensayos</w:t>
      </w:r>
      <w:r>
        <w:rPr>
          <w:color w:val="231F1F"/>
          <w:spacing w:val="-7"/>
          <w:w w:val="105"/>
        </w:rPr>
        <w:t> </w:t>
      </w:r>
      <w:r>
        <w:rPr>
          <w:color w:val="231F1F"/>
          <w:w w:val="105"/>
        </w:rPr>
        <w:t>en</w:t>
      </w:r>
      <w:r>
        <w:rPr>
          <w:color w:val="231F1F"/>
          <w:spacing w:val="-8"/>
          <w:w w:val="105"/>
        </w:rPr>
        <w:t> </w:t>
      </w:r>
      <w:r>
        <w:rPr>
          <w:color w:val="231F1F"/>
          <w:w w:val="105"/>
        </w:rPr>
        <w:t>países</w:t>
      </w:r>
      <w:r>
        <w:rPr>
          <w:color w:val="231F1F"/>
          <w:spacing w:val="-8"/>
          <w:w w:val="105"/>
        </w:rPr>
        <w:t> </w:t>
      </w:r>
      <w:r>
        <w:rPr>
          <w:color w:val="231F1F"/>
          <w:w w:val="105"/>
        </w:rPr>
        <w:t>con</w:t>
      </w:r>
      <w:r>
        <w:rPr>
          <w:color w:val="231F1F"/>
          <w:spacing w:val="-8"/>
          <w:w w:val="105"/>
        </w:rPr>
        <w:t> </w:t>
      </w:r>
      <w:r>
        <w:rPr>
          <w:color w:val="231F1F"/>
          <w:w w:val="105"/>
        </w:rPr>
        <w:t>ingresos</w:t>
      </w:r>
      <w:r>
        <w:rPr>
          <w:color w:val="231F1F"/>
          <w:spacing w:val="-9"/>
          <w:w w:val="105"/>
        </w:rPr>
        <w:t> </w:t>
      </w:r>
      <w:r>
        <w:rPr>
          <w:color w:val="231F1F"/>
          <w:w w:val="105"/>
        </w:rPr>
        <w:t>elevados,</w:t>
      </w:r>
      <w:r>
        <w:rPr>
          <w:color w:val="231F1F"/>
          <w:spacing w:val="-8"/>
          <w:w w:val="105"/>
        </w:rPr>
        <w:t> </w:t>
      </w:r>
      <w:r>
        <w:rPr>
          <w:color w:val="231F1F"/>
          <w:w w:val="105"/>
        </w:rPr>
        <w:t>(217;219)</w:t>
      </w:r>
      <w:r>
        <w:rPr>
          <w:color w:val="231F1F"/>
          <w:spacing w:val="-8"/>
          <w:w w:val="105"/>
        </w:rPr>
        <w:t> </w:t>
      </w:r>
      <w:r>
        <w:rPr>
          <w:color w:val="231F1F"/>
          <w:w w:val="105"/>
        </w:rPr>
        <w:t>se</w:t>
      </w:r>
      <w:r>
        <w:rPr>
          <w:color w:val="231F1F"/>
          <w:spacing w:val="-8"/>
          <w:w w:val="105"/>
        </w:rPr>
        <w:t> </w:t>
      </w:r>
      <w:r>
        <w:rPr>
          <w:color w:val="231F1F"/>
          <w:w w:val="105"/>
        </w:rPr>
        <w:t>observó</w:t>
      </w:r>
      <w:r>
        <w:rPr>
          <w:color w:val="231F1F"/>
          <w:spacing w:val="-8"/>
          <w:w w:val="105"/>
        </w:rPr>
        <w:t> </w:t>
      </w:r>
      <w:r>
        <w:rPr>
          <w:color w:val="231F1F"/>
          <w:w w:val="105"/>
        </w:rPr>
        <w:t>que el</w:t>
      </w:r>
      <w:r>
        <w:rPr>
          <w:color w:val="231F1F"/>
          <w:w w:val="105"/>
        </w:rPr>
        <w:t> nivel</w:t>
      </w:r>
      <w:r>
        <w:rPr>
          <w:color w:val="231F1F"/>
          <w:w w:val="105"/>
        </w:rPr>
        <w:t> de</w:t>
      </w:r>
      <w:r>
        <w:rPr>
          <w:color w:val="231F1F"/>
          <w:w w:val="105"/>
        </w:rPr>
        <w:t> hematocrito</w:t>
      </w:r>
      <w:r>
        <w:rPr>
          <w:color w:val="231F1F"/>
          <w:w w:val="105"/>
        </w:rPr>
        <w:t> 24</w:t>
      </w:r>
      <w:r>
        <w:rPr>
          <w:color w:val="231F1F"/>
          <w:w w:val="105"/>
        </w:rPr>
        <w:t> horas</w:t>
      </w:r>
      <w:r>
        <w:rPr>
          <w:color w:val="231F1F"/>
          <w:w w:val="105"/>
        </w:rPr>
        <w:t> después</w:t>
      </w:r>
      <w:r>
        <w:rPr>
          <w:color w:val="231F1F"/>
          <w:w w:val="105"/>
        </w:rPr>
        <w:t> del</w:t>
      </w:r>
      <w:r>
        <w:rPr>
          <w:color w:val="231F1F"/>
          <w:w w:val="105"/>
        </w:rPr>
        <w:t> parto</w:t>
      </w:r>
      <w:r>
        <w:rPr>
          <w:color w:val="231F1F"/>
          <w:w w:val="105"/>
        </w:rPr>
        <w:t> era</w:t>
      </w:r>
      <w:r>
        <w:rPr>
          <w:color w:val="231F1F"/>
          <w:w w:val="105"/>
        </w:rPr>
        <w:t> significativamente mayor</w:t>
      </w:r>
      <w:r>
        <w:rPr>
          <w:color w:val="231F1F"/>
          <w:spacing w:val="19"/>
          <w:w w:val="105"/>
        </w:rPr>
        <w:t> </w:t>
      </w:r>
      <w:r>
        <w:rPr>
          <w:color w:val="231F1F"/>
          <w:w w:val="105"/>
        </w:rPr>
        <w:t>entre</w:t>
      </w:r>
      <w:r>
        <w:rPr>
          <w:color w:val="231F1F"/>
          <w:spacing w:val="20"/>
          <w:w w:val="105"/>
        </w:rPr>
        <w:t> </w:t>
      </w:r>
      <w:r>
        <w:rPr>
          <w:color w:val="231F1F"/>
          <w:w w:val="105"/>
        </w:rPr>
        <w:t>los</w:t>
      </w:r>
      <w:r>
        <w:rPr>
          <w:color w:val="231F1F"/>
          <w:spacing w:val="19"/>
          <w:w w:val="105"/>
        </w:rPr>
        <w:t> </w:t>
      </w:r>
      <w:r>
        <w:rPr>
          <w:color w:val="231F1F"/>
          <w:w w:val="105"/>
        </w:rPr>
        <w:t>RN</w:t>
      </w:r>
      <w:r>
        <w:rPr>
          <w:color w:val="231F1F"/>
          <w:spacing w:val="20"/>
          <w:w w:val="105"/>
        </w:rPr>
        <w:t> </w:t>
      </w:r>
      <w:r>
        <w:rPr>
          <w:color w:val="231F1F"/>
          <w:w w:val="105"/>
        </w:rPr>
        <w:t>con</w:t>
      </w:r>
      <w:r>
        <w:rPr>
          <w:color w:val="231F1F"/>
          <w:spacing w:val="20"/>
          <w:w w:val="105"/>
        </w:rPr>
        <w:t> </w:t>
      </w:r>
      <w:r>
        <w:rPr>
          <w:color w:val="231F1F"/>
          <w:w w:val="105"/>
        </w:rPr>
        <w:t>pinzamiento</w:t>
      </w:r>
      <w:r>
        <w:rPr>
          <w:color w:val="231F1F"/>
          <w:spacing w:val="19"/>
          <w:w w:val="105"/>
        </w:rPr>
        <w:t> </w:t>
      </w:r>
      <w:r>
        <w:rPr>
          <w:color w:val="231F1F"/>
          <w:w w:val="105"/>
        </w:rPr>
        <w:t>tardío:</w:t>
      </w:r>
      <w:r>
        <w:rPr>
          <w:color w:val="231F1F"/>
          <w:spacing w:val="19"/>
          <w:w w:val="105"/>
        </w:rPr>
        <w:t> </w:t>
      </w:r>
      <w:r>
        <w:rPr>
          <w:color w:val="231F1F"/>
          <w:w w:val="105"/>
        </w:rPr>
        <w:t>DMP</w:t>
      </w:r>
      <w:r>
        <w:rPr>
          <w:color w:val="231F1F"/>
          <w:spacing w:val="20"/>
          <w:w w:val="105"/>
        </w:rPr>
        <w:t> </w:t>
      </w:r>
      <w:r>
        <w:rPr>
          <w:color w:val="231F1F"/>
          <w:w w:val="105"/>
        </w:rPr>
        <w:t>14,19%</w:t>
      </w:r>
      <w:r>
        <w:rPr>
          <w:color w:val="231F1F"/>
          <w:spacing w:val="20"/>
          <w:w w:val="105"/>
        </w:rPr>
        <w:t> </w:t>
      </w:r>
      <w:r>
        <w:rPr>
          <w:color w:val="231F1F"/>
          <w:w w:val="105"/>
        </w:rPr>
        <w:t>[IC</w:t>
      </w:r>
      <w:r>
        <w:rPr>
          <w:color w:val="231F1F"/>
          <w:spacing w:val="20"/>
          <w:w w:val="105"/>
        </w:rPr>
        <w:t> </w:t>
      </w:r>
      <w:r>
        <w:rPr>
          <w:color w:val="231F1F"/>
          <w:w w:val="105"/>
        </w:rPr>
        <w:t>95%</w:t>
      </w:r>
      <w:r>
        <w:rPr>
          <w:color w:val="231F1F"/>
          <w:spacing w:val="20"/>
          <w:w w:val="105"/>
        </w:rPr>
        <w:t> </w:t>
      </w:r>
      <w:r>
        <w:rPr>
          <w:color w:val="231F1F"/>
          <w:w w:val="105"/>
        </w:rPr>
        <w:t>11,27% a</w:t>
      </w:r>
      <w:r>
        <w:rPr>
          <w:color w:val="231F1F"/>
          <w:w w:val="105"/>
        </w:rPr>
        <w:t> 17,12%]</w:t>
      </w:r>
      <w:r>
        <w:rPr>
          <w:color w:val="231F1F"/>
          <w:w w:val="105"/>
        </w:rPr>
        <w:t> al</w:t>
      </w:r>
      <w:r>
        <w:rPr>
          <w:color w:val="231F1F"/>
          <w:w w:val="105"/>
        </w:rPr>
        <w:t> igual</w:t>
      </w:r>
      <w:r>
        <w:rPr>
          <w:color w:val="231F1F"/>
          <w:w w:val="105"/>
        </w:rPr>
        <w:t> que</w:t>
      </w:r>
      <w:r>
        <w:rPr>
          <w:color w:val="231F1F"/>
          <w:w w:val="105"/>
        </w:rPr>
        <w:t> a</w:t>
      </w:r>
      <w:r>
        <w:rPr>
          <w:color w:val="231F1F"/>
          <w:w w:val="105"/>
        </w:rPr>
        <w:t> las</w:t>
      </w:r>
      <w:r>
        <w:rPr>
          <w:color w:val="231F1F"/>
          <w:w w:val="105"/>
        </w:rPr>
        <w:t> 2</w:t>
      </w:r>
      <w:r>
        <w:rPr>
          <w:color w:val="231F1F"/>
          <w:w w:val="105"/>
        </w:rPr>
        <w:t> a</w:t>
      </w:r>
      <w:r>
        <w:rPr>
          <w:color w:val="231F1F"/>
          <w:w w:val="105"/>
        </w:rPr>
        <w:t> 4</w:t>
      </w:r>
      <w:r>
        <w:rPr>
          <w:color w:val="231F1F"/>
          <w:w w:val="105"/>
        </w:rPr>
        <w:t> horas:</w:t>
      </w:r>
      <w:r>
        <w:rPr>
          <w:color w:val="231F1F"/>
          <w:w w:val="105"/>
        </w:rPr>
        <w:t> DMP</w:t>
      </w:r>
      <w:r>
        <w:rPr>
          <w:color w:val="231F1F"/>
          <w:w w:val="105"/>
        </w:rPr>
        <w:t> 13,12%</w:t>
      </w:r>
      <w:r>
        <w:rPr>
          <w:color w:val="231F1F"/>
          <w:w w:val="105"/>
        </w:rPr>
        <w:t> [IC</w:t>
      </w:r>
      <w:r>
        <w:rPr>
          <w:color w:val="231F1F"/>
          <w:w w:val="105"/>
        </w:rPr>
        <w:t> 95%</w:t>
      </w:r>
      <w:r>
        <w:rPr>
          <w:color w:val="231F1F"/>
          <w:w w:val="105"/>
        </w:rPr>
        <w:t> 11,21%</w:t>
      </w:r>
      <w:r>
        <w:rPr>
          <w:color w:val="231F1F"/>
          <w:w w:val="105"/>
        </w:rPr>
        <w:t> a 15,03%]</w:t>
      </w:r>
      <w:r>
        <w:rPr>
          <w:color w:val="231F1F"/>
          <w:w w:val="105"/>
        </w:rPr>
        <w:t> en</w:t>
      </w:r>
      <w:r>
        <w:rPr>
          <w:color w:val="231F1F"/>
          <w:w w:val="105"/>
        </w:rPr>
        <w:t> 4</w:t>
      </w:r>
      <w:r>
        <w:rPr>
          <w:color w:val="231F1F"/>
          <w:w w:val="105"/>
        </w:rPr>
        <w:t> estudios</w:t>
      </w:r>
      <w:r>
        <w:rPr>
          <w:color w:val="231F1F"/>
          <w:w w:val="105"/>
        </w:rPr>
        <w:t> (217-220)</w:t>
      </w:r>
      <w:r>
        <w:rPr>
          <w:color w:val="231F1F"/>
          <w:w w:val="105"/>
        </w:rPr>
        <w:t> y</w:t>
      </w:r>
      <w:r>
        <w:rPr>
          <w:color w:val="231F1F"/>
          <w:w w:val="105"/>
        </w:rPr>
        <w:t> a</w:t>
      </w:r>
      <w:r>
        <w:rPr>
          <w:color w:val="231F1F"/>
          <w:w w:val="105"/>
        </w:rPr>
        <w:t> las</w:t>
      </w:r>
      <w:r>
        <w:rPr>
          <w:color w:val="231F1F"/>
          <w:w w:val="105"/>
        </w:rPr>
        <w:t> 120</w:t>
      </w:r>
      <w:r>
        <w:rPr>
          <w:color w:val="231F1F"/>
          <w:w w:val="105"/>
        </w:rPr>
        <w:t> horas</w:t>
      </w:r>
      <w:r>
        <w:rPr>
          <w:color w:val="231F1F"/>
          <w:w w:val="105"/>
        </w:rPr>
        <w:t> después</w:t>
      </w:r>
      <w:r>
        <w:rPr>
          <w:color w:val="231F1F"/>
          <w:w w:val="105"/>
        </w:rPr>
        <w:t> del</w:t>
      </w:r>
      <w:r>
        <w:rPr>
          <w:color w:val="231F1F"/>
          <w:w w:val="105"/>
        </w:rPr>
        <w:t> parto:</w:t>
      </w:r>
      <w:r>
        <w:rPr>
          <w:color w:val="231F1F"/>
          <w:w w:val="105"/>
        </w:rPr>
        <w:t> DMP 10,46%</w:t>
      </w:r>
      <w:r>
        <w:rPr>
          <w:color w:val="231F1F"/>
          <w:w w:val="105"/>
        </w:rPr>
        <w:t> [IC</w:t>
      </w:r>
      <w:r>
        <w:rPr>
          <w:color w:val="231F1F"/>
          <w:w w:val="105"/>
        </w:rPr>
        <w:t> 95%</w:t>
      </w:r>
      <w:r>
        <w:rPr>
          <w:color w:val="231F1F"/>
          <w:w w:val="105"/>
        </w:rPr>
        <w:t> 8,31%</w:t>
      </w:r>
      <w:r>
        <w:rPr>
          <w:color w:val="231F1F"/>
          <w:w w:val="105"/>
        </w:rPr>
        <w:t> a</w:t>
      </w:r>
      <w:r>
        <w:rPr>
          <w:color w:val="231F1F"/>
          <w:w w:val="105"/>
        </w:rPr>
        <w:t> 12,61%]</w:t>
      </w:r>
      <w:r>
        <w:rPr>
          <w:color w:val="231F1F"/>
          <w:w w:val="105"/>
        </w:rPr>
        <w:t> en</w:t>
      </w:r>
      <w:r>
        <w:rPr>
          <w:color w:val="231F1F"/>
          <w:w w:val="105"/>
        </w:rPr>
        <w:t> tres</w:t>
      </w:r>
      <w:r>
        <w:rPr>
          <w:color w:val="231F1F"/>
          <w:w w:val="105"/>
        </w:rPr>
        <w:t> estudios</w:t>
      </w:r>
      <w:r>
        <w:rPr>
          <w:color w:val="231F1F"/>
          <w:w w:val="105"/>
        </w:rPr>
        <w:t> (217-219).</w:t>
      </w:r>
      <w:r>
        <w:rPr>
          <w:color w:val="231F1F"/>
          <w:w w:val="105"/>
        </w:rPr>
        <w:t> También,</w:t>
      </w:r>
      <w:r>
        <w:rPr>
          <w:color w:val="231F1F"/>
          <w:w w:val="105"/>
        </w:rPr>
        <w:t> se observó</w:t>
      </w:r>
      <w:r>
        <w:rPr>
          <w:color w:val="231F1F"/>
          <w:spacing w:val="31"/>
          <w:w w:val="105"/>
        </w:rPr>
        <w:t> </w:t>
      </w:r>
      <w:r>
        <w:rPr>
          <w:color w:val="231F1F"/>
          <w:w w:val="105"/>
        </w:rPr>
        <w:t>un</w:t>
      </w:r>
      <w:r>
        <w:rPr>
          <w:color w:val="231F1F"/>
          <w:spacing w:val="32"/>
          <w:w w:val="105"/>
        </w:rPr>
        <w:t> </w:t>
      </w:r>
      <w:r>
        <w:rPr>
          <w:color w:val="231F1F"/>
          <w:w w:val="105"/>
        </w:rPr>
        <w:t>incremento</w:t>
      </w:r>
      <w:r>
        <w:rPr>
          <w:color w:val="231F1F"/>
          <w:spacing w:val="31"/>
          <w:w w:val="105"/>
        </w:rPr>
        <w:t> </w:t>
      </w:r>
      <w:r>
        <w:rPr>
          <w:color w:val="231F1F"/>
          <w:w w:val="105"/>
        </w:rPr>
        <w:t>en</w:t>
      </w:r>
      <w:r>
        <w:rPr>
          <w:color w:val="231F1F"/>
          <w:spacing w:val="32"/>
          <w:w w:val="105"/>
        </w:rPr>
        <w:t> </w:t>
      </w:r>
      <w:r>
        <w:rPr>
          <w:color w:val="231F1F"/>
          <w:w w:val="105"/>
        </w:rPr>
        <w:t>la</w:t>
      </w:r>
      <w:r>
        <w:rPr>
          <w:color w:val="231F1F"/>
          <w:spacing w:val="32"/>
          <w:w w:val="105"/>
        </w:rPr>
        <w:t> </w:t>
      </w:r>
      <w:r>
        <w:rPr>
          <w:color w:val="231F1F"/>
          <w:w w:val="105"/>
        </w:rPr>
        <w:t>proporción</w:t>
      </w:r>
      <w:r>
        <w:rPr>
          <w:color w:val="231F1F"/>
          <w:spacing w:val="31"/>
          <w:w w:val="105"/>
        </w:rPr>
        <w:t> </w:t>
      </w:r>
      <w:r>
        <w:rPr>
          <w:color w:val="231F1F"/>
          <w:w w:val="105"/>
        </w:rPr>
        <w:t>de</w:t>
      </w:r>
      <w:r>
        <w:rPr>
          <w:color w:val="231F1F"/>
          <w:spacing w:val="32"/>
          <w:w w:val="105"/>
        </w:rPr>
        <w:t> </w:t>
      </w:r>
      <w:r>
        <w:rPr>
          <w:color w:val="231F1F"/>
          <w:w w:val="105"/>
        </w:rPr>
        <w:t>neonatos</w:t>
      </w:r>
      <w:r>
        <w:rPr>
          <w:color w:val="231F1F"/>
          <w:spacing w:val="31"/>
          <w:w w:val="105"/>
        </w:rPr>
        <w:t> </w:t>
      </w:r>
      <w:r>
        <w:rPr>
          <w:color w:val="231F1F"/>
          <w:w w:val="105"/>
        </w:rPr>
        <w:t>con</w:t>
      </w:r>
      <w:r>
        <w:rPr>
          <w:color w:val="231F1F"/>
          <w:spacing w:val="32"/>
          <w:w w:val="105"/>
        </w:rPr>
        <w:t> </w:t>
      </w:r>
      <w:r>
        <w:rPr>
          <w:color w:val="231F1F"/>
          <w:w w:val="105"/>
        </w:rPr>
        <w:t>bilirrubina</w:t>
      </w:r>
      <w:r>
        <w:rPr>
          <w:color w:val="231F1F"/>
          <w:spacing w:val="31"/>
          <w:w w:val="105"/>
        </w:rPr>
        <w:t> </w:t>
      </w:r>
      <w:r>
        <w:rPr>
          <w:color w:val="231F1F"/>
          <w:w w:val="105"/>
        </w:rPr>
        <w:t>mayor a 15 mg/dl: OR=8,68 [IC 95% 1,49 a 50,48].</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3"/>
        <w:rPr>
          <w:sz w:val="18"/>
        </w:rPr>
      </w:pPr>
    </w:p>
    <w:p>
      <w:pPr>
        <w:spacing w:line="273" w:lineRule="auto" w:before="1"/>
        <w:ind w:left="287" w:right="488" w:firstLine="0"/>
        <w:jc w:val="center"/>
        <w:rPr>
          <w:rFonts w:ascii="Arial MT"/>
          <w:sz w:val="18"/>
        </w:rPr>
      </w:pPr>
      <w:r>
        <w:rPr>
          <w:rFonts w:ascii="Arial MT"/>
          <w:color w:val="231F1F"/>
          <w:spacing w:val="-10"/>
          <w:sz w:val="18"/>
        </w:rPr>
        <w:t>ECAs</w:t>
      </w:r>
      <w:r>
        <w:rPr>
          <w:rFonts w:ascii="Arial MT"/>
          <w:color w:val="231F1F"/>
          <w:spacing w:val="-6"/>
          <w:sz w:val="18"/>
        </w:rPr>
        <w:t> 1+</w:t>
      </w:r>
    </w:p>
    <w:p>
      <w:pPr>
        <w:spacing w:after="0" w:line="273" w:lineRule="auto"/>
        <w:jc w:val="center"/>
        <w:rPr>
          <w:rFonts w:ascii="Arial MT"/>
          <w:sz w:val="18"/>
        </w:rPr>
        <w:sectPr>
          <w:type w:val="continuous"/>
          <w:pgSz w:w="11900" w:h="16840"/>
          <w:pgMar w:header="0" w:footer="622" w:top="560" w:bottom="280" w:left="1417" w:right="1559"/>
          <w:cols w:num="2" w:equalWidth="0">
            <w:col w:w="7597" w:space="121"/>
            <w:col w:w="1206"/>
          </w:cols>
        </w:sectPr>
      </w:pPr>
    </w:p>
    <w:p>
      <w:pPr>
        <w:pStyle w:val="BodyText"/>
        <w:spacing w:line="247" w:lineRule="auto" w:before="73"/>
        <w:ind w:left="283" w:right="39" w:firstLine="453"/>
        <w:jc w:val="both"/>
      </w:pPr>
      <w:r>
        <w:rPr>
          <w:color w:val="231F1F"/>
          <w:w w:val="105"/>
        </w:rPr>
        <w:t>Cuando se analizan los estudios realizados en países con ingresos bajos</w:t>
      </w:r>
      <w:r>
        <w:rPr>
          <w:color w:val="231F1F"/>
          <w:spacing w:val="80"/>
          <w:w w:val="150"/>
        </w:rPr>
        <w:t> </w:t>
      </w:r>
      <w:r>
        <w:rPr>
          <w:color w:val="231F1F"/>
          <w:w w:val="105"/>
        </w:rPr>
        <w:t>y</w:t>
      </w:r>
      <w:r>
        <w:rPr>
          <w:color w:val="231F1F"/>
          <w:w w:val="105"/>
        </w:rPr>
        <w:t> medios,</w:t>
      </w:r>
      <w:r>
        <w:rPr>
          <w:color w:val="231F1F"/>
          <w:w w:val="105"/>
        </w:rPr>
        <w:t> los</w:t>
      </w:r>
      <w:r>
        <w:rPr>
          <w:color w:val="231F1F"/>
          <w:w w:val="105"/>
        </w:rPr>
        <w:t> resultados</w:t>
      </w:r>
      <w:r>
        <w:rPr>
          <w:color w:val="231F1F"/>
          <w:w w:val="105"/>
        </w:rPr>
        <w:t> fueron</w:t>
      </w:r>
      <w:r>
        <w:rPr>
          <w:color w:val="231F1F"/>
          <w:w w:val="105"/>
        </w:rPr>
        <w:t> favorables</w:t>
      </w:r>
      <w:r>
        <w:rPr>
          <w:color w:val="231F1F"/>
          <w:w w:val="105"/>
        </w:rPr>
        <w:t> al</w:t>
      </w:r>
      <w:r>
        <w:rPr>
          <w:color w:val="231F1F"/>
          <w:w w:val="105"/>
        </w:rPr>
        <w:t> pinzamiento</w:t>
      </w:r>
      <w:r>
        <w:rPr>
          <w:color w:val="231F1F"/>
          <w:w w:val="105"/>
        </w:rPr>
        <w:t> tardío:</w:t>
      </w:r>
      <w:r>
        <w:rPr>
          <w:color w:val="231F1F"/>
          <w:w w:val="105"/>
        </w:rPr>
        <w:t> e</w:t>
      </w:r>
      <w:r>
        <w:rPr>
          <w:color w:val="231F1F"/>
          <w:w w:val="105"/>
        </w:rPr>
        <w:t> nivel</w:t>
      </w:r>
      <w:r>
        <w:rPr>
          <w:color w:val="231F1F"/>
          <w:w w:val="105"/>
        </w:rPr>
        <w:t> de hematocrito</w:t>
      </w:r>
      <w:r>
        <w:rPr>
          <w:color w:val="231F1F"/>
          <w:w w:val="105"/>
        </w:rPr>
        <w:t> a</w:t>
      </w:r>
      <w:r>
        <w:rPr>
          <w:color w:val="231F1F"/>
          <w:w w:val="105"/>
        </w:rPr>
        <w:t> las</w:t>
      </w:r>
      <w:r>
        <w:rPr>
          <w:color w:val="231F1F"/>
          <w:w w:val="105"/>
        </w:rPr>
        <w:t> 24</w:t>
      </w:r>
      <w:r>
        <w:rPr>
          <w:color w:val="231F1F"/>
          <w:w w:val="105"/>
        </w:rPr>
        <w:t> horas</w:t>
      </w:r>
      <w:r>
        <w:rPr>
          <w:color w:val="231F1F"/>
          <w:w w:val="105"/>
        </w:rPr>
        <w:t> fue</w:t>
      </w:r>
      <w:r>
        <w:rPr>
          <w:color w:val="231F1F"/>
          <w:w w:val="105"/>
        </w:rPr>
        <w:t> superior</w:t>
      </w:r>
      <w:r>
        <w:rPr>
          <w:color w:val="231F1F"/>
          <w:w w:val="105"/>
        </w:rPr>
        <w:t> en</w:t>
      </w:r>
      <w:r>
        <w:rPr>
          <w:color w:val="231F1F"/>
          <w:w w:val="105"/>
        </w:rPr>
        <w:t> ese</w:t>
      </w:r>
      <w:r>
        <w:rPr>
          <w:color w:val="231F1F"/>
          <w:w w:val="105"/>
        </w:rPr>
        <w:t> grupo:</w:t>
      </w:r>
      <w:r>
        <w:rPr>
          <w:color w:val="231F1F"/>
          <w:w w:val="105"/>
        </w:rPr>
        <w:t> DMP</w:t>
      </w:r>
      <w:r>
        <w:rPr>
          <w:color w:val="231F1F"/>
          <w:w w:val="105"/>
        </w:rPr>
        <w:t> 4,56%</w:t>
      </w:r>
      <w:r>
        <w:rPr>
          <w:color w:val="231F1F"/>
          <w:w w:val="105"/>
        </w:rPr>
        <w:t> [IC</w:t>
      </w:r>
      <w:r>
        <w:rPr>
          <w:color w:val="231F1F"/>
          <w:w w:val="105"/>
        </w:rPr>
        <w:t> 95% 3,01% a 6,10%] (214-216). La proporción de neonatos con anemia se redujo significativamente:</w:t>
      </w:r>
      <w:r>
        <w:rPr>
          <w:color w:val="231F1F"/>
          <w:spacing w:val="-3"/>
          <w:w w:val="105"/>
        </w:rPr>
        <w:t> </w:t>
      </w:r>
      <w:r>
        <w:rPr>
          <w:color w:val="231F1F"/>
          <w:w w:val="105"/>
        </w:rPr>
        <w:t>OR</w:t>
      </w:r>
      <w:r>
        <w:rPr>
          <w:color w:val="231F1F"/>
          <w:spacing w:val="-2"/>
          <w:w w:val="105"/>
        </w:rPr>
        <w:t> </w:t>
      </w:r>
      <w:r>
        <w:rPr>
          <w:color w:val="231F1F"/>
          <w:w w:val="105"/>
        </w:rPr>
        <w:t>0,14</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1"/>
          <w:w w:val="105"/>
        </w:rPr>
        <w:t> </w:t>
      </w:r>
      <w:r>
        <w:rPr>
          <w:color w:val="231F1F"/>
          <w:w w:val="105"/>
        </w:rPr>
        <w:t>0,05</w:t>
      </w:r>
      <w:r>
        <w:rPr>
          <w:color w:val="231F1F"/>
          <w:spacing w:val="-2"/>
          <w:w w:val="105"/>
        </w:rPr>
        <w:t> </w:t>
      </w:r>
      <w:r>
        <w:rPr>
          <w:color w:val="231F1F"/>
          <w:w w:val="105"/>
        </w:rPr>
        <w:t>a</w:t>
      </w:r>
      <w:r>
        <w:rPr>
          <w:color w:val="231F1F"/>
          <w:spacing w:val="-2"/>
          <w:w w:val="105"/>
        </w:rPr>
        <w:t> </w:t>
      </w:r>
      <w:r>
        <w:rPr>
          <w:color w:val="231F1F"/>
          <w:w w:val="105"/>
        </w:rPr>
        <w:t>0,40]</w:t>
      </w:r>
      <w:r>
        <w:rPr>
          <w:color w:val="231F1F"/>
          <w:spacing w:val="-2"/>
          <w:w w:val="105"/>
        </w:rPr>
        <w:t> </w:t>
      </w:r>
      <w:r>
        <w:rPr>
          <w:color w:val="231F1F"/>
          <w:w w:val="105"/>
        </w:rPr>
        <w:t>(222;224)</w:t>
      </w:r>
      <w:r>
        <w:rPr>
          <w:color w:val="231F1F"/>
          <w:spacing w:val="-1"/>
          <w:w w:val="105"/>
        </w:rPr>
        <w:t> </w:t>
      </w:r>
      <w:r>
        <w:rPr>
          <w:color w:val="231F1F"/>
          <w:w w:val="105"/>
        </w:rPr>
        <w:t>y</w:t>
      </w:r>
      <w:r>
        <w:rPr>
          <w:color w:val="231F1F"/>
          <w:spacing w:val="-2"/>
          <w:w w:val="105"/>
        </w:rPr>
        <w:t> </w:t>
      </w:r>
      <w:r>
        <w:rPr>
          <w:color w:val="231F1F"/>
          <w:w w:val="105"/>
        </w:rPr>
        <w:t>la</w:t>
      </w:r>
      <w:r>
        <w:rPr>
          <w:color w:val="231F1F"/>
          <w:spacing w:val="-2"/>
          <w:w w:val="105"/>
        </w:rPr>
        <w:t> </w:t>
      </w:r>
      <w:r>
        <w:rPr>
          <w:color w:val="231F1F"/>
          <w:w w:val="105"/>
        </w:rPr>
        <w:t>hemoglobina media infantil fue superior: DMP 0,96 g/l [IC 95% 0,29 a 1,64 g/l] medida en seis estudios (215;216;221-224).</w:t>
      </w:r>
    </w:p>
    <w:p>
      <w:pPr>
        <w:pStyle w:val="BodyText"/>
        <w:spacing w:line="254" w:lineRule="auto" w:before="72"/>
        <w:ind w:left="283" w:right="43" w:firstLine="453"/>
        <w:jc w:val="both"/>
      </w:pPr>
      <w:r>
        <w:rPr>
          <w:color w:val="231F1F"/>
          <w:w w:val="110"/>
        </w:rPr>
        <w:t>En</w:t>
      </w:r>
      <w:r>
        <w:rPr>
          <w:color w:val="231F1F"/>
          <w:spacing w:val="-2"/>
          <w:w w:val="110"/>
        </w:rPr>
        <w:t> </w:t>
      </w:r>
      <w:r>
        <w:rPr>
          <w:color w:val="231F1F"/>
          <w:w w:val="110"/>
        </w:rPr>
        <w:t>un</w:t>
      </w:r>
      <w:r>
        <w:rPr>
          <w:color w:val="231F1F"/>
          <w:spacing w:val="-2"/>
          <w:w w:val="110"/>
        </w:rPr>
        <w:t> </w:t>
      </w:r>
      <w:r>
        <w:rPr>
          <w:color w:val="231F1F"/>
          <w:w w:val="110"/>
        </w:rPr>
        <w:t>estudio</w:t>
      </w:r>
      <w:r>
        <w:rPr>
          <w:color w:val="231F1F"/>
          <w:spacing w:val="-1"/>
          <w:w w:val="110"/>
        </w:rPr>
        <w:t> </w:t>
      </w:r>
      <w:r>
        <w:rPr>
          <w:color w:val="231F1F"/>
          <w:w w:val="110"/>
        </w:rPr>
        <w:t>de</w:t>
      </w:r>
      <w:r>
        <w:rPr>
          <w:color w:val="231F1F"/>
          <w:spacing w:val="-2"/>
          <w:w w:val="110"/>
        </w:rPr>
        <w:t> </w:t>
      </w:r>
      <w:r>
        <w:rPr>
          <w:color w:val="231F1F"/>
          <w:w w:val="110"/>
        </w:rPr>
        <w:t>un</w:t>
      </w:r>
      <w:r>
        <w:rPr>
          <w:color w:val="231F1F"/>
          <w:spacing w:val="-2"/>
          <w:w w:val="110"/>
        </w:rPr>
        <w:t> </w:t>
      </w:r>
      <w:r>
        <w:rPr>
          <w:color w:val="231F1F"/>
          <w:w w:val="110"/>
        </w:rPr>
        <w:t>país</w:t>
      </w:r>
      <w:r>
        <w:rPr>
          <w:color w:val="231F1F"/>
          <w:spacing w:val="-2"/>
          <w:w w:val="110"/>
        </w:rPr>
        <w:t> </w:t>
      </w:r>
      <w:r>
        <w:rPr>
          <w:color w:val="231F1F"/>
          <w:w w:val="110"/>
        </w:rPr>
        <w:t>con</w:t>
      </w:r>
      <w:r>
        <w:rPr>
          <w:color w:val="231F1F"/>
          <w:spacing w:val="-1"/>
          <w:w w:val="110"/>
        </w:rPr>
        <w:t> </w:t>
      </w:r>
      <w:r>
        <w:rPr>
          <w:color w:val="231F1F"/>
          <w:w w:val="110"/>
        </w:rPr>
        <w:t>un</w:t>
      </w:r>
      <w:r>
        <w:rPr>
          <w:color w:val="231F1F"/>
          <w:spacing w:val="-2"/>
          <w:w w:val="110"/>
        </w:rPr>
        <w:t> </w:t>
      </w:r>
      <w:r>
        <w:rPr>
          <w:color w:val="231F1F"/>
          <w:w w:val="110"/>
        </w:rPr>
        <w:t>nivel</w:t>
      </w:r>
      <w:r>
        <w:rPr>
          <w:color w:val="231F1F"/>
          <w:spacing w:val="-3"/>
          <w:w w:val="110"/>
        </w:rPr>
        <w:t> </w:t>
      </w:r>
      <w:r>
        <w:rPr>
          <w:color w:val="231F1F"/>
          <w:w w:val="110"/>
        </w:rPr>
        <w:t>de</w:t>
      </w:r>
      <w:r>
        <w:rPr>
          <w:color w:val="231F1F"/>
          <w:spacing w:val="-2"/>
          <w:w w:val="110"/>
        </w:rPr>
        <w:t> </w:t>
      </w:r>
      <w:r>
        <w:rPr>
          <w:color w:val="231F1F"/>
          <w:w w:val="110"/>
        </w:rPr>
        <w:t>ingresos</w:t>
      </w:r>
      <w:r>
        <w:rPr>
          <w:color w:val="231F1F"/>
          <w:spacing w:val="-2"/>
          <w:w w:val="110"/>
        </w:rPr>
        <w:t> </w:t>
      </w:r>
      <w:r>
        <w:rPr>
          <w:color w:val="231F1F"/>
          <w:w w:val="110"/>
        </w:rPr>
        <w:t>medio-bajo</w:t>
      </w:r>
      <w:r>
        <w:rPr>
          <w:color w:val="231F1F"/>
          <w:spacing w:val="-2"/>
          <w:w w:val="110"/>
        </w:rPr>
        <w:t> </w:t>
      </w:r>
      <w:r>
        <w:rPr>
          <w:color w:val="231F1F"/>
          <w:w w:val="110"/>
        </w:rPr>
        <w:t>(214)</w:t>
      </w:r>
      <w:r>
        <w:rPr>
          <w:color w:val="231F1F"/>
          <w:spacing w:val="-2"/>
          <w:w w:val="110"/>
        </w:rPr>
        <w:t> </w:t>
      </w:r>
      <w:r>
        <w:rPr>
          <w:color w:val="231F1F"/>
          <w:w w:val="110"/>
        </w:rPr>
        <w:t>se </w:t>
      </w:r>
      <w:r>
        <w:rPr>
          <w:color w:val="231F1F"/>
        </w:rPr>
        <w:t>vió que había una menor frecuencia de anemia neonatal a las 6 y a las 24 horas</w:t>
      </w:r>
      <w:r>
        <w:rPr>
          <w:color w:val="231F1F"/>
          <w:spacing w:val="80"/>
          <w:w w:val="110"/>
        </w:rPr>
        <w:t> </w:t>
      </w:r>
      <w:r>
        <w:rPr>
          <w:color w:val="231F1F"/>
          <w:w w:val="110"/>
        </w:rPr>
        <w:t>en</w:t>
      </w:r>
      <w:r>
        <w:rPr>
          <w:color w:val="231F1F"/>
          <w:spacing w:val="-2"/>
          <w:w w:val="110"/>
        </w:rPr>
        <w:t> </w:t>
      </w:r>
      <w:r>
        <w:rPr>
          <w:color w:val="231F1F"/>
          <w:w w:val="110"/>
        </w:rPr>
        <w:t>el</w:t>
      </w:r>
      <w:r>
        <w:rPr>
          <w:color w:val="231F1F"/>
          <w:spacing w:val="-2"/>
          <w:w w:val="110"/>
        </w:rPr>
        <w:t> </w:t>
      </w:r>
      <w:r>
        <w:rPr>
          <w:color w:val="231F1F"/>
          <w:w w:val="110"/>
        </w:rPr>
        <w:t>grupo</w:t>
      </w:r>
      <w:r>
        <w:rPr>
          <w:color w:val="231F1F"/>
          <w:spacing w:val="-2"/>
          <w:w w:val="110"/>
        </w:rPr>
        <w:t> </w:t>
      </w:r>
      <w:r>
        <w:rPr>
          <w:color w:val="231F1F"/>
          <w:w w:val="110"/>
        </w:rPr>
        <w:t>con</w:t>
      </w:r>
      <w:r>
        <w:rPr>
          <w:color w:val="231F1F"/>
          <w:spacing w:val="-1"/>
          <w:w w:val="110"/>
        </w:rPr>
        <w:t> </w:t>
      </w:r>
      <w:r>
        <w:rPr>
          <w:color w:val="231F1F"/>
          <w:w w:val="110"/>
        </w:rPr>
        <w:t>pinzamiento</w:t>
      </w:r>
      <w:r>
        <w:rPr>
          <w:color w:val="231F1F"/>
          <w:spacing w:val="-2"/>
          <w:w w:val="110"/>
        </w:rPr>
        <w:t> </w:t>
      </w:r>
      <w:r>
        <w:rPr>
          <w:color w:val="231F1F"/>
          <w:w w:val="110"/>
        </w:rPr>
        <w:t>tardío</w:t>
      </w:r>
      <w:r>
        <w:rPr>
          <w:color w:val="231F1F"/>
          <w:spacing w:val="-2"/>
          <w:w w:val="110"/>
        </w:rPr>
        <w:t> </w:t>
      </w:r>
      <w:r>
        <w:rPr>
          <w:color w:val="231F1F"/>
          <w:w w:val="110"/>
        </w:rPr>
        <w:t>(hematocrito&lt;45%)</w:t>
      </w:r>
      <w:r>
        <w:rPr>
          <w:color w:val="231F1F"/>
          <w:spacing w:val="-2"/>
          <w:w w:val="110"/>
        </w:rPr>
        <w:t> </w:t>
      </w:r>
      <w:r>
        <w:rPr>
          <w:color w:val="231F1F"/>
          <w:w w:val="110"/>
        </w:rPr>
        <w:t>y</w:t>
      </w:r>
      <w:r>
        <w:rPr>
          <w:color w:val="231F1F"/>
          <w:spacing w:val="-2"/>
          <w:w w:val="110"/>
        </w:rPr>
        <w:t> </w:t>
      </w:r>
      <w:r>
        <w:rPr>
          <w:color w:val="231F1F"/>
          <w:w w:val="110"/>
        </w:rPr>
        <w:t>un</w:t>
      </w:r>
      <w:r>
        <w:rPr>
          <w:color w:val="231F1F"/>
          <w:spacing w:val="-2"/>
          <w:w w:val="110"/>
        </w:rPr>
        <w:t> </w:t>
      </w:r>
      <w:r>
        <w:rPr>
          <w:color w:val="231F1F"/>
          <w:w w:val="110"/>
        </w:rPr>
        <w:t>aumento</w:t>
      </w:r>
      <w:r>
        <w:rPr>
          <w:color w:val="231F1F"/>
          <w:spacing w:val="-2"/>
          <w:w w:val="110"/>
        </w:rPr>
        <w:t> </w:t>
      </w:r>
      <w:r>
        <w:rPr>
          <w:color w:val="231F1F"/>
          <w:w w:val="110"/>
        </w:rPr>
        <w:t>en</w:t>
      </w:r>
      <w:r>
        <w:rPr>
          <w:color w:val="231F1F"/>
          <w:spacing w:val="-2"/>
          <w:w w:val="110"/>
        </w:rPr>
        <w:t> </w:t>
      </w:r>
      <w:r>
        <w:rPr>
          <w:color w:val="231F1F"/>
          <w:w w:val="110"/>
        </w:rPr>
        <w:t>la policitemia neonatal (hematocrito&gt;65%) a las 6 y 24 horas de vida.</w:t>
      </w:r>
    </w:p>
    <w:p>
      <w:pPr>
        <w:pStyle w:val="BodyText"/>
        <w:spacing w:line="244" w:lineRule="auto" w:before="41"/>
        <w:ind w:left="283" w:right="44" w:firstLine="453"/>
        <w:jc w:val="both"/>
      </w:pPr>
      <w:r>
        <w:rPr>
          <w:color w:val="231F1F"/>
          <w:w w:val="105"/>
        </w:rPr>
        <w:t>NICE (10) apunta en las conclusiones que existe una evidencia limitada</w:t>
      </w:r>
      <w:r>
        <w:rPr>
          <w:color w:val="231F1F"/>
          <w:spacing w:val="80"/>
          <w:w w:val="105"/>
        </w:rPr>
        <w:t> </w:t>
      </w:r>
      <w:r>
        <w:rPr>
          <w:color w:val="231F1F"/>
          <w:w w:val="105"/>
        </w:rPr>
        <w:t>y de nivel medio que muestra que en los países de elevados ingresos, el pin- zamiento tardío de cordón reduce la incidencia de anemia en neonatos, sien- do el principal efecto adverso, el incremento en la incidencia de ictericia.</w:t>
      </w:r>
    </w:p>
    <w:p>
      <w:pPr>
        <w:pStyle w:val="BodyText"/>
        <w:spacing w:line="249" w:lineRule="auto" w:before="134"/>
        <w:ind w:left="283" w:right="42" w:firstLine="453"/>
        <w:jc w:val="both"/>
      </w:pPr>
      <w:r>
        <w:rPr>
          <w:color w:val="231F1F"/>
          <w:w w:val="105"/>
        </w:rPr>
        <w:t>Para</w:t>
      </w:r>
      <w:r>
        <w:rPr>
          <w:color w:val="231F1F"/>
          <w:spacing w:val="-1"/>
          <w:w w:val="105"/>
        </w:rPr>
        <w:t> </w:t>
      </w:r>
      <w:r>
        <w:rPr>
          <w:color w:val="231F1F"/>
          <w:w w:val="105"/>
        </w:rPr>
        <w:t>los</w:t>
      </w:r>
      <w:r>
        <w:rPr>
          <w:color w:val="231F1F"/>
          <w:spacing w:val="-1"/>
          <w:w w:val="105"/>
        </w:rPr>
        <w:t> </w:t>
      </w:r>
      <w:r>
        <w:rPr>
          <w:color w:val="231F1F"/>
          <w:w w:val="105"/>
        </w:rPr>
        <w:t>países</w:t>
      </w:r>
      <w:r>
        <w:rPr>
          <w:color w:val="231F1F"/>
          <w:spacing w:val="-1"/>
          <w:w w:val="105"/>
        </w:rPr>
        <w:t> </w:t>
      </w:r>
      <w:r>
        <w:rPr>
          <w:color w:val="231F1F"/>
          <w:w w:val="105"/>
        </w:rPr>
        <w:t>de</w:t>
      </w:r>
      <w:r>
        <w:rPr>
          <w:color w:val="231F1F"/>
          <w:spacing w:val="-1"/>
          <w:w w:val="105"/>
        </w:rPr>
        <w:t> </w:t>
      </w:r>
      <w:r>
        <w:rPr>
          <w:color w:val="231F1F"/>
          <w:w w:val="105"/>
        </w:rPr>
        <w:t>bajos</w:t>
      </w:r>
      <w:r>
        <w:rPr>
          <w:color w:val="231F1F"/>
          <w:spacing w:val="-1"/>
          <w:w w:val="105"/>
        </w:rPr>
        <w:t> </w:t>
      </w:r>
      <w:r>
        <w:rPr>
          <w:color w:val="231F1F"/>
          <w:w w:val="105"/>
        </w:rPr>
        <w:t>ingresos</w:t>
      </w:r>
      <w:r>
        <w:rPr>
          <w:color w:val="231F1F"/>
          <w:spacing w:val="-1"/>
          <w:w w:val="105"/>
        </w:rPr>
        <w:t> </w:t>
      </w:r>
      <w:r>
        <w:rPr>
          <w:color w:val="231F1F"/>
          <w:w w:val="105"/>
        </w:rPr>
        <w:t>económicos, donde</w:t>
      </w:r>
      <w:r>
        <w:rPr>
          <w:color w:val="231F1F"/>
          <w:spacing w:val="-1"/>
          <w:w w:val="105"/>
        </w:rPr>
        <w:t> </w:t>
      </w:r>
      <w:r>
        <w:rPr>
          <w:color w:val="231F1F"/>
          <w:w w:val="105"/>
        </w:rPr>
        <w:t>la</w:t>
      </w:r>
      <w:r>
        <w:rPr>
          <w:color w:val="231F1F"/>
          <w:spacing w:val="-1"/>
          <w:w w:val="105"/>
        </w:rPr>
        <w:t> </w:t>
      </w:r>
      <w:r>
        <w:rPr>
          <w:color w:val="231F1F"/>
          <w:w w:val="105"/>
        </w:rPr>
        <w:t>anemia</w:t>
      </w:r>
      <w:r>
        <w:rPr>
          <w:color w:val="231F1F"/>
          <w:spacing w:val="-1"/>
          <w:w w:val="105"/>
        </w:rPr>
        <w:t> </w:t>
      </w:r>
      <w:r>
        <w:rPr>
          <w:color w:val="231F1F"/>
          <w:w w:val="105"/>
        </w:rPr>
        <w:t>en</w:t>
      </w:r>
      <w:r>
        <w:rPr>
          <w:color w:val="231F1F"/>
          <w:spacing w:val="-1"/>
          <w:w w:val="105"/>
        </w:rPr>
        <w:t> </w:t>
      </w:r>
      <w:r>
        <w:rPr>
          <w:color w:val="231F1F"/>
          <w:w w:val="105"/>
        </w:rPr>
        <w:t>los</w:t>
      </w:r>
      <w:r>
        <w:rPr>
          <w:color w:val="231F1F"/>
          <w:spacing w:val="-1"/>
          <w:w w:val="105"/>
        </w:rPr>
        <w:t> </w:t>
      </w:r>
      <w:r>
        <w:rPr>
          <w:color w:val="231F1F"/>
          <w:w w:val="105"/>
        </w:rPr>
        <w:t>RN es más prevalente, la evidencia de elevada calidad muestra que el pinzamien- to</w:t>
      </w:r>
      <w:r>
        <w:rPr>
          <w:color w:val="231F1F"/>
          <w:w w:val="105"/>
        </w:rPr>
        <w:t> tardío</w:t>
      </w:r>
      <w:r>
        <w:rPr>
          <w:color w:val="231F1F"/>
          <w:w w:val="105"/>
        </w:rPr>
        <w:t> reduce</w:t>
      </w:r>
      <w:r>
        <w:rPr>
          <w:color w:val="231F1F"/>
          <w:w w:val="105"/>
        </w:rPr>
        <w:t> la</w:t>
      </w:r>
      <w:r>
        <w:rPr>
          <w:color w:val="231F1F"/>
          <w:w w:val="105"/>
        </w:rPr>
        <w:t> incidencia</w:t>
      </w:r>
      <w:r>
        <w:rPr>
          <w:color w:val="231F1F"/>
          <w:w w:val="105"/>
        </w:rPr>
        <w:t> de</w:t>
      </w:r>
      <w:r>
        <w:rPr>
          <w:color w:val="231F1F"/>
          <w:w w:val="105"/>
        </w:rPr>
        <w:t> anemia</w:t>
      </w:r>
      <w:r>
        <w:rPr>
          <w:color w:val="231F1F"/>
          <w:w w:val="105"/>
        </w:rPr>
        <w:t> en</w:t>
      </w:r>
      <w:r>
        <w:rPr>
          <w:color w:val="231F1F"/>
          <w:w w:val="105"/>
        </w:rPr>
        <w:t> el</w:t>
      </w:r>
      <w:r>
        <w:rPr>
          <w:color w:val="231F1F"/>
          <w:w w:val="105"/>
        </w:rPr>
        <w:t> neonato.</w:t>
      </w:r>
      <w:r>
        <w:rPr>
          <w:color w:val="231F1F"/>
          <w:w w:val="105"/>
        </w:rPr>
        <w:t> No</w:t>
      </w:r>
      <w:r>
        <w:rPr>
          <w:color w:val="231F1F"/>
          <w:w w:val="105"/>
        </w:rPr>
        <w:t> hubo</w:t>
      </w:r>
      <w:r>
        <w:rPr>
          <w:color w:val="231F1F"/>
          <w:w w:val="105"/>
        </w:rPr>
        <w:t> resultados significativos</w:t>
      </w:r>
      <w:r>
        <w:rPr>
          <w:color w:val="231F1F"/>
          <w:w w:val="105"/>
        </w:rPr>
        <w:t> en</w:t>
      </w:r>
      <w:r>
        <w:rPr>
          <w:color w:val="231F1F"/>
          <w:w w:val="105"/>
        </w:rPr>
        <w:t> otras</w:t>
      </w:r>
      <w:r>
        <w:rPr>
          <w:color w:val="231F1F"/>
          <w:w w:val="105"/>
        </w:rPr>
        <w:t> variables</w:t>
      </w:r>
      <w:r>
        <w:rPr>
          <w:color w:val="231F1F"/>
          <w:w w:val="105"/>
        </w:rPr>
        <w:t> como</w:t>
      </w:r>
      <w:r>
        <w:rPr>
          <w:color w:val="231F1F"/>
          <w:w w:val="105"/>
        </w:rPr>
        <w:t> la</w:t>
      </w:r>
      <w:r>
        <w:rPr>
          <w:color w:val="231F1F"/>
          <w:w w:val="105"/>
        </w:rPr>
        <w:t> hemoglobina</w:t>
      </w:r>
      <w:r>
        <w:rPr>
          <w:color w:val="231F1F"/>
          <w:w w:val="105"/>
        </w:rPr>
        <w:t> media</w:t>
      </w:r>
      <w:r>
        <w:rPr>
          <w:color w:val="231F1F"/>
          <w:w w:val="105"/>
        </w:rPr>
        <w:t> en</w:t>
      </w:r>
      <w:r>
        <w:rPr>
          <w:color w:val="231F1F"/>
          <w:w w:val="105"/>
        </w:rPr>
        <w:t> el</w:t>
      </w:r>
      <w:r>
        <w:rPr>
          <w:color w:val="231F1F"/>
          <w:w w:val="105"/>
        </w:rPr>
        <w:t> cordón, ferritina</w:t>
      </w:r>
      <w:r>
        <w:rPr>
          <w:color w:val="231F1F"/>
          <w:spacing w:val="40"/>
          <w:w w:val="105"/>
        </w:rPr>
        <w:t> </w:t>
      </w:r>
      <w:r>
        <w:rPr>
          <w:color w:val="231F1F"/>
          <w:w w:val="105"/>
        </w:rPr>
        <w:t>media</w:t>
      </w:r>
      <w:r>
        <w:rPr>
          <w:color w:val="231F1F"/>
          <w:spacing w:val="40"/>
          <w:w w:val="105"/>
        </w:rPr>
        <w:t> </w:t>
      </w:r>
      <w:r>
        <w:rPr>
          <w:color w:val="231F1F"/>
          <w:w w:val="105"/>
        </w:rPr>
        <w:t>fetal,</w:t>
      </w:r>
      <w:r>
        <w:rPr>
          <w:color w:val="231F1F"/>
          <w:spacing w:val="40"/>
          <w:w w:val="105"/>
        </w:rPr>
        <w:t> </w:t>
      </w:r>
      <w:r>
        <w:rPr>
          <w:color w:val="231F1F"/>
          <w:w w:val="105"/>
        </w:rPr>
        <w:t>hematocrito</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cordón</w:t>
      </w:r>
      <w:r>
        <w:rPr>
          <w:color w:val="231F1F"/>
          <w:spacing w:val="40"/>
          <w:w w:val="105"/>
        </w:rPr>
        <w:t> </w:t>
      </w:r>
      <w:r>
        <w:rPr>
          <w:color w:val="231F1F"/>
          <w:w w:val="105"/>
        </w:rPr>
        <w:t>y</w:t>
      </w:r>
      <w:r>
        <w:rPr>
          <w:color w:val="231F1F"/>
          <w:spacing w:val="40"/>
          <w:w w:val="105"/>
        </w:rPr>
        <w:t> </w:t>
      </w:r>
      <w:r>
        <w:rPr>
          <w:color w:val="231F1F"/>
          <w:w w:val="105"/>
        </w:rPr>
        <w:t>bilirrubina</w:t>
      </w:r>
      <w:r>
        <w:rPr>
          <w:color w:val="231F1F"/>
          <w:spacing w:val="40"/>
          <w:w w:val="105"/>
        </w:rPr>
        <w:t> </w:t>
      </w:r>
      <w:r>
        <w:rPr>
          <w:color w:val="231F1F"/>
          <w:w w:val="105"/>
        </w:rPr>
        <w:t>sérica.</w:t>
      </w:r>
    </w:p>
    <w:p>
      <w:pPr>
        <w:pStyle w:val="BodyText"/>
        <w:spacing w:line="247" w:lineRule="auto" w:before="139"/>
        <w:ind w:left="283" w:right="43" w:firstLine="453"/>
        <w:jc w:val="both"/>
      </w:pPr>
      <w:r>
        <w:rPr>
          <w:color w:val="231F1F"/>
        </w:rPr>
        <w:t>Por ello debido a las limitaciones de los estudios en países de altos ingre-</w:t>
      </w:r>
      <w:r>
        <w:rPr>
          <w:color w:val="231F1F"/>
          <w:spacing w:val="40"/>
          <w:w w:val="110"/>
        </w:rPr>
        <w:t> </w:t>
      </w:r>
      <w:r>
        <w:rPr>
          <w:color w:val="231F1F"/>
          <w:w w:val="110"/>
        </w:rPr>
        <w:t>sos y a la variabilidad en la descripción del momento de pinzamiento del cordón,</w:t>
      </w:r>
      <w:r>
        <w:rPr>
          <w:color w:val="231F1F"/>
          <w:spacing w:val="-2"/>
          <w:w w:val="110"/>
        </w:rPr>
        <w:t> </w:t>
      </w:r>
      <w:r>
        <w:rPr>
          <w:color w:val="231F1F"/>
          <w:w w:val="110"/>
        </w:rPr>
        <w:t>consideran</w:t>
      </w:r>
      <w:r>
        <w:rPr>
          <w:color w:val="231F1F"/>
          <w:spacing w:val="-1"/>
          <w:w w:val="110"/>
        </w:rPr>
        <w:t> </w:t>
      </w:r>
      <w:r>
        <w:rPr>
          <w:color w:val="231F1F"/>
          <w:w w:val="110"/>
        </w:rPr>
        <w:t>que</w:t>
      </w:r>
      <w:r>
        <w:rPr>
          <w:color w:val="231F1F"/>
          <w:spacing w:val="-3"/>
          <w:w w:val="110"/>
        </w:rPr>
        <w:t> </w:t>
      </w:r>
      <w:r>
        <w:rPr>
          <w:color w:val="231F1F"/>
          <w:w w:val="110"/>
        </w:rPr>
        <w:t>puede</w:t>
      </w:r>
      <w:r>
        <w:rPr>
          <w:color w:val="231F1F"/>
          <w:spacing w:val="-3"/>
          <w:w w:val="110"/>
        </w:rPr>
        <w:t> </w:t>
      </w:r>
      <w:r>
        <w:rPr>
          <w:color w:val="231F1F"/>
          <w:w w:val="110"/>
        </w:rPr>
        <w:t>haber</w:t>
      </w:r>
      <w:r>
        <w:rPr>
          <w:color w:val="231F1F"/>
          <w:spacing w:val="-3"/>
          <w:w w:val="110"/>
        </w:rPr>
        <w:t> </w:t>
      </w:r>
      <w:r>
        <w:rPr>
          <w:color w:val="231F1F"/>
          <w:w w:val="110"/>
        </w:rPr>
        <w:t>confusión</w:t>
      </w:r>
      <w:r>
        <w:rPr>
          <w:color w:val="231F1F"/>
          <w:spacing w:val="-1"/>
          <w:w w:val="110"/>
        </w:rPr>
        <w:t> </w:t>
      </w:r>
      <w:r>
        <w:rPr>
          <w:color w:val="231F1F"/>
          <w:w w:val="110"/>
        </w:rPr>
        <w:t>y</w:t>
      </w:r>
      <w:r>
        <w:rPr>
          <w:color w:val="231F1F"/>
          <w:spacing w:val="-2"/>
          <w:w w:val="110"/>
        </w:rPr>
        <w:t> </w:t>
      </w:r>
      <w:r>
        <w:rPr>
          <w:color w:val="231F1F"/>
          <w:w w:val="110"/>
        </w:rPr>
        <w:t>que</w:t>
      </w:r>
      <w:r>
        <w:rPr>
          <w:color w:val="231F1F"/>
          <w:spacing w:val="-3"/>
          <w:w w:val="110"/>
        </w:rPr>
        <w:t> </w:t>
      </w:r>
      <w:r>
        <w:rPr>
          <w:color w:val="231F1F"/>
          <w:w w:val="110"/>
        </w:rPr>
        <w:t>el</w:t>
      </w:r>
      <w:r>
        <w:rPr>
          <w:color w:val="231F1F"/>
          <w:spacing w:val="-3"/>
          <w:w w:val="110"/>
        </w:rPr>
        <w:t> </w:t>
      </w:r>
      <w:r>
        <w:rPr>
          <w:color w:val="231F1F"/>
          <w:w w:val="110"/>
        </w:rPr>
        <w:t>impacto</w:t>
      </w:r>
      <w:r>
        <w:rPr>
          <w:color w:val="231F1F"/>
          <w:spacing w:val="-2"/>
          <w:w w:val="110"/>
        </w:rPr>
        <w:t> </w:t>
      </w:r>
      <w:r>
        <w:rPr>
          <w:color w:val="231F1F"/>
          <w:w w:val="110"/>
        </w:rPr>
        <w:t>de</w:t>
      </w:r>
      <w:r>
        <w:rPr>
          <w:color w:val="231F1F"/>
          <w:spacing w:val="-2"/>
          <w:w w:val="110"/>
        </w:rPr>
        <w:t> </w:t>
      </w:r>
      <w:r>
        <w:rPr>
          <w:color w:val="231F1F"/>
          <w:w w:val="110"/>
        </w:rPr>
        <w:t>retrasar el</w:t>
      </w:r>
      <w:r>
        <w:rPr>
          <w:color w:val="231F1F"/>
          <w:spacing w:val="-16"/>
          <w:w w:val="110"/>
        </w:rPr>
        <w:t> </w:t>
      </w:r>
      <w:r>
        <w:rPr>
          <w:color w:val="231F1F"/>
          <w:w w:val="110"/>
        </w:rPr>
        <w:t>pinzamiento</w:t>
      </w:r>
      <w:r>
        <w:rPr>
          <w:color w:val="231F1F"/>
          <w:spacing w:val="-15"/>
          <w:w w:val="110"/>
        </w:rPr>
        <w:t> </w:t>
      </w:r>
      <w:r>
        <w:rPr>
          <w:color w:val="231F1F"/>
          <w:w w:val="110"/>
        </w:rPr>
        <w:t>en</w:t>
      </w:r>
      <w:r>
        <w:rPr>
          <w:color w:val="231F1F"/>
          <w:spacing w:val="-15"/>
          <w:w w:val="110"/>
        </w:rPr>
        <w:t> </w:t>
      </w:r>
      <w:r>
        <w:rPr>
          <w:color w:val="231F1F"/>
          <w:w w:val="110"/>
        </w:rPr>
        <w:t>países</w:t>
      </w:r>
      <w:r>
        <w:rPr>
          <w:color w:val="231F1F"/>
          <w:spacing w:val="-15"/>
          <w:w w:val="110"/>
        </w:rPr>
        <w:t> </w:t>
      </w:r>
      <w:r>
        <w:rPr>
          <w:color w:val="231F1F"/>
          <w:w w:val="110"/>
        </w:rPr>
        <w:t>donde</w:t>
      </w:r>
      <w:r>
        <w:rPr>
          <w:color w:val="231F1F"/>
          <w:spacing w:val="-15"/>
          <w:w w:val="110"/>
        </w:rPr>
        <w:t> </w:t>
      </w:r>
      <w:r>
        <w:rPr>
          <w:color w:val="231F1F"/>
          <w:w w:val="110"/>
        </w:rPr>
        <w:t>la</w:t>
      </w:r>
      <w:r>
        <w:rPr>
          <w:color w:val="231F1F"/>
          <w:spacing w:val="-16"/>
          <w:w w:val="110"/>
        </w:rPr>
        <w:t> </w:t>
      </w:r>
      <w:r>
        <w:rPr>
          <w:color w:val="231F1F"/>
          <w:w w:val="110"/>
        </w:rPr>
        <w:t>anemia</w:t>
      </w:r>
      <w:r>
        <w:rPr>
          <w:color w:val="231F1F"/>
          <w:spacing w:val="-15"/>
          <w:w w:val="110"/>
        </w:rPr>
        <w:t> </w:t>
      </w:r>
      <w:r>
        <w:rPr>
          <w:color w:val="231F1F"/>
          <w:w w:val="110"/>
        </w:rPr>
        <w:t>es</w:t>
      </w:r>
      <w:r>
        <w:rPr>
          <w:color w:val="231F1F"/>
          <w:spacing w:val="-15"/>
          <w:w w:val="110"/>
        </w:rPr>
        <w:t> </w:t>
      </w:r>
      <w:r>
        <w:rPr>
          <w:color w:val="231F1F"/>
          <w:w w:val="110"/>
        </w:rPr>
        <w:t>menos</w:t>
      </w:r>
      <w:r>
        <w:rPr>
          <w:color w:val="231F1F"/>
          <w:spacing w:val="-15"/>
          <w:w w:val="110"/>
        </w:rPr>
        <w:t> </w:t>
      </w:r>
      <w:r>
        <w:rPr>
          <w:color w:val="231F1F"/>
          <w:w w:val="110"/>
        </w:rPr>
        <w:t>prevalente</w:t>
      </w:r>
      <w:r>
        <w:rPr>
          <w:color w:val="231F1F"/>
          <w:spacing w:val="-15"/>
          <w:w w:val="110"/>
        </w:rPr>
        <w:t> </w:t>
      </w:r>
      <w:r>
        <w:rPr>
          <w:color w:val="231F1F"/>
          <w:w w:val="110"/>
        </w:rPr>
        <w:t>no</w:t>
      </w:r>
      <w:r>
        <w:rPr>
          <w:color w:val="231F1F"/>
          <w:spacing w:val="-16"/>
          <w:w w:val="110"/>
        </w:rPr>
        <w:t> </w:t>
      </w:r>
      <w:r>
        <w:rPr>
          <w:color w:val="231F1F"/>
          <w:w w:val="110"/>
        </w:rPr>
        <w:t>se</w:t>
      </w:r>
      <w:r>
        <w:rPr>
          <w:color w:val="231F1F"/>
          <w:spacing w:val="-15"/>
          <w:w w:val="110"/>
        </w:rPr>
        <w:t> </w:t>
      </w:r>
      <w:r>
        <w:rPr>
          <w:color w:val="231F1F"/>
          <w:w w:val="110"/>
        </w:rPr>
        <w:t>conoce.</w:t>
      </w:r>
    </w:p>
    <w:p>
      <w:pPr>
        <w:pStyle w:val="BodyText"/>
        <w:spacing w:before="81"/>
      </w:pPr>
    </w:p>
    <w:p>
      <w:pPr>
        <w:spacing w:before="1"/>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4" w:lineRule="auto" w:before="199"/>
        <w:ind w:left="283" w:right="46"/>
        <w:jc w:val="both"/>
      </w:pPr>
      <w:r>
        <w:rPr>
          <w:color w:val="231F1F"/>
          <w:w w:val="105"/>
        </w:rPr>
        <w:t>La búsqueda bibliográfica arrojó 15 nuevas referencias, de las cuales se selec- cionaron 4 para su lectura a texto completo, siendo seleccionadas dos revisio- nes sistemáticas (225;226).</w:t>
      </w:r>
    </w:p>
    <w:p>
      <w:pPr>
        <w:pStyle w:val="BodyText"/>
        <w:spacing w:line="252" w:lineRule="auto" w:before="124"/>
        <w:ind w:left="283" w:right="43" w:firstLine="453"/>
        <w:jc w:val="both"/>
      </w:pPr>
      <w:r>
        <w:rPr>
          <w:color w:val="231F1F"/>
          <w:w w:val="110"/>
        </w:rPr>
        <w:t>El</w:t>
      </w:r>
      <w:r>
        <w:rPr>
          <w:color w:val="231F1F"/>
          <w:spacing w:val="-16"/>
          <w:w w:val="110"/>
        </w:rPr>
        <w:t> </w:t>
      </w:r>
      <w:r>
        <w:rPr>
          <w:color w:val="231F1F"/>
          <w:w w:val="110"/>
        </w:rPr>
        <w:t>metaanálisis</w:t>
      </w:r>
      <w:r>
        <w:rPr>
          <w:color w:val="231F1F"/>
          <w:spacing w:val="-15"/>
          <w:w w:val="110"/>
        </w:rPr>
        <w:t> </w:t>
      </w:r>
      <w:r>
        <w:rPr>
          <w:color w:val="231F1F"/>
          <w:w w:val="110"/>
        </w:rPr>
        <w:t>de</w:t>
      </w:r>
      <w:r>
        <w:rPr>
          <w:color w:val="231F1F"/>
          <w:spacing w:val="-15"/>
          <w:w w:val="110"/>
        </w:rPr>
        <w:t> </w:t>
      </w:r>
      <w:r>
        <w:rPr>
          <w:color w:val="231F1F"/>
          <w:w w:val="110"/>
        </w:rPr>
        <w:t>Hutton</w:t>
      </w:r>
      <w:r>
        <w:rPr>
          <w:color w:val="231F1F"/>
          <w:spacing w:val="-15"/>
          <w:w w:val="110"/>
        </w:rPr>
        <w:t> </w:t>
      </w:r>
      <w:r>
        <w:rPr>
          <w:color w:val="231F1F"/>
          <w:w w:val="110"/>
        </w:rPr>
        <w:t>(225),</w:t>
      </w:r>
      <w:r>
        <w:rPr>
          <w:color w:val="231F1F"/>
          <w:spacing w:val="-15"/>
          <w:w w:val="110"/>
        </w:rPr>
        <w:t> </w:t>
      </w:r>
      <w:r>
        <w:rPr>
          <w:color w:val="231F1F"/>
          <w:w w:val="110"/>
        </w:rPr>
        <w:t>analiza</w:t>
      </w:r>
      <w:r>
        <w:rPr>
          <w:color w:val="231F1F"/>
          <w:spacing w:val="-15"/>
          <w:w w:val="110"/>
        </w:rPr>
        <w:t> </w:t>
      </w:r>
      <w:r>
        <w:rPr>
          <w:color w:val="231F1F"/>
          <w:w w:val="110"/>
        </w:rPr>
        <w:t>15</w:t>
      </w:r>
      <w:r>
        <w:rPr>
          <w:color w:val="231F1F"/>
          <w:spacing w:val="-15"/>
          <w:w w:val="110"/>
        </w:rPr>
        <w:t> </w:t>
      </w:r>
      <w:r>
        <w:rPr>
          <w:color w:val="231F1F"/>
          <w:w w:val="110"/>
        </w:rPr>
        <w:t>estudios:</w:t>
      </w:r>
      <w:r>
        <w:rPr>
          <w:color w:val="231F1F"/>
          <w:spacing w:val="-15"/>
          <w:w w:val="110"/>
        </w:rPr>
        <w:t> </w:t>
      </w:r>
      <w:r>
        <w:rPr>
          <w:color w:val="231F1F"/>
          <w:w w:val="110"/>
        </w:rPr>
        <w:t>ocho</w:t>
      </w:r>
      <w:r>
        <w:rPr>
          <w:color w:val="231F1F"/>
          <w:spacing w:val="-16"/>
          <w:w w:val="110"/>
        </w:rPr>
        <w:t> </w:t>
      </w:r>
      <w:r>
        <w:rPr>
          <w:color w:val="231F1F"/>
          <w:w w:val="110"/>
        </w:rPr>
        <w:t>ECAs</w:t>
      </w:r>
      <w:r>
        <w:rPr>
          <w:color w:val="231F1F"/>
          <w:spacing w:val="-15"/>
          <w:w w:val="110"/>
        </w:rPr>
        <w:t> </w:t>
      </w:r>
      <w:r>
        <w:rPr>
          <w:color w:val="231F1F"/>
          <w:w w:val="110"/>
        </w:rPr>
        <w:t>y</w:t>
      </w:r>
      <w:r>
        <w:rPr>
          <w:color w:val="231F1F"/>
          <w:spacing w:val="-15"/>
          <w:w w:val="110"/>
        </w:rPr>
        <w:t> </w:t>
      </w:r>
      <w:r>
        <w:rPr>
          <w:color w:val="231F1F"/>
          <w:w w:val="110"/>
        </w:rPr>
        <w:t>siete estudios</w:t>
      </w:r>
      <w:r>
        <w:rPr>
          <w:color w:val="231F1F"/>
          <w:spacing w:val="-5"/>
          <w:w w:val="110"/>
        </w:rPr>
        <w:t> </w:t>
      </w:r>
      <w:r>
        <w:rPr>
          <w:color w:val="231F1F"/>
          <w:w w:val="110"/>
        </w:rPr>
        <w:t>no</w:t>
      </w:r>
      <w:r>
        <w:rPr>
          <w:color w:val="231F1F"/>
          <w:spacing w:val="-5"/>
          <w:w w:val="110"/>
        </w:rPr>
        <w:t> </w:t>
      </w:r>
      <w:r>
        <w:rPr>
          <w:color w:val="231F1F"/>
          <w:w w:val="110"/>
        </w:rPr>
        <w:t>aleatorizados</w:t>
      </w:r>
      <w:r>
        <w:rPr>
          <w:color w:val="231F1F"/>
          <w:spacing w:val="-5"/>
          <w:w w:val="110"/>
        </w:rPr>
        <w:t> </w:t>
      </w:r>
      <w:r>
        <w:rPr>
          <w:color w:val="231F1F"/>
          <w:w w:val="110"/>
        </w:rPr>
        <w:t>que</w:t>
      </w:r>
      <w:r>
        <w:rPr>
          <w:color w:val="231F1F"/>
          <w:spacing w:val="-5"/>
          <w:w w:val="110"/>
        </w:rPr>
        <w:t> </w:t>
      </w:r>
      <w:r>
        <w:rPr>
          <w:color w:val="231F1F"/>
          <w:w w:val="110"/>
        </w:rPr>
        <w:t>incluían</w:t>
      </w:r>
      <w:r>
        <w:rPr>
          <w:color w:val="231F1F"/>
          <w:spacing w:val="-4"/>
          <w:w w:val="110"/>
        </w:rPr>
        <w:t> </w:t>
      </w:r>
      <w:r>
        <w:rPr>
          <w:color w:val="231F1F"/>
          <w:w w:val="110"/>
        </w:rPr>
        <w:t>1.912</w:t>
      </w:r>
      <w:r>
        <w:rPr>
          <w:color w:val="231F1F"/>
          <w:spacing w:val="-5"/>
          <w:w w:val="110"/>
        </w:rPr>
        <w:t> </w:t>
      </w:r>
      <w:r>
        <w:rPr>
          <w:color w:val="231F1F"/>
          <w:w w:val="110"/>
        </w:rPr>
        <w:t>mujeres.</w:t>
      </w:r>
      <w:r>
        <w:rPr>
          <w:color w:val="231F1F"/>
          <w:spacing w:val="-5"/>
          <w:w w:val="110"/>
        </w:rPr>
        <w:t> </w:t>
      </w:r>
      <w:r>
        <w:rPr>
          <w:color w:val="231F1F"/>
          <w:w w:val="110"/>
        </w:rPr>
        <w:t>Se</w:t>
      </w:r>
      <w:r>
        <w:rPr>
          <w:color w:val="231F1F"/>
          <w:spacing w:val="-5"/>
          <w:w w:val="110"/>
        </w:rPr>
        <w:t> </w:t>
      </w:r>
      <w:r>
        <w:rPr>
          <w:color w:val="231F1F"/>
          <w:w w:val="110"/>
        </w:rPr>
        <w:t>compara</w:t>
      </w:r>
      <w:r>
        <w:rPr>
          <w:color w:val="231F1F"/>
          <w:spacing w:val="-5"/>
          <w:w w:val="110"/>
        </w:rPr>
        <w:t> </w:t>
      </w:r>
      <w:r>
        <w:rPr>
          <w:color w:val="231F1F"/>
          <w:w w:val="110"/>
        </w:rPr>
        <w:t>el</w:t>
      </w:r>
      <w:r>
        <w:rPr>
          <w:color w:val="231F1F"/>
          <w:spacing w:val="-5"/>
          <w:w w:val="110"/>
        </w:rPr>
        <w:t> </w:t>
      </w:r>
      <w:r>
        <w:rPr>
          <w:color w:val="231F1F"/>
          <w:w w:val="110"/>
        </w:rPr>
        <w:t>pinza- </w:t>
      </w:r>
      <w:r>
        <w:rPr>
          <w:color w:val="231F1F"/>
          <w:spacing w:val="-2"/>
          <w:w w:val="110"/>
        </w:rPr>
        <w:t>miento</w:t>
      </w:r>
      <w:r>
        <w:rPr>
          <w:color w:val="231F1F"/>
          <w:spacing w:val="-4"/>
          <w:w w:val="110"/>
        </w:rPr>
        <w:t> </w:t>
      </w:r>
      <w:r>
        <w:rPr>
          <w:color w:val="231F1F"/>
          <w:spacing w:val="-2"/>
          <w:w w:val="110"/>
        </w:rPr>
        <w:t>temprano</w:t>
      </w:r>
      <w:r>
        <w:rPr>
          <w:color w:val="231F1F"/>
          <w:spacing w:val="-5"/>
          <w:w w:val="110"/>
        </w:rPr>
        <w:t> </w:t>
      </w:r>
      <w:r>
        <w:rPr>
          <w:color w:val="231F1F"/>
          <w:spacing w:val="-2"/>
          <w:w w:val="110"/>
        </w:rPr>
        <w:t>(n=911)</w:t>
      </w:r>
      <w:r>
        <w:rPr>
          <w:color w:val="231F1F"/>
          <w:spacing w:val="-5"/>
          <w:w w:val="110"/>
        </w:rPr>
        <w:t> </w:t>
      </w:r>
      <w:r>
        <w:rPr>
          <w:color w:val="231F1F"/>
          <w:spacing w:val="-2"/>
          <w:w w:val="110"/>
        </w:rPr>
        <w:t>vs</w:t>
      </w:r>
      <w:r>
        <w:rPr>
          <w:color w:val="231F1F"/>
          <w:spacing w:val="-5"/>
          <w:w w:val="110"/>
        </w:rPr>
        <w:t> </w:t>
      </w:r>
      <w:r>
        <w:rPr>
          <w:color w:val="231F1F"/>
          <w:spacing w:val="-2"/>
          <w:w w:val="110"/>
        </w:rPr>
        <w:t>pinzamiento</w:t>
      </w:r>
      <w:r>
        <w:rPr>
          <w:color w:val="231F1F"/>
          <w:spacing w:val="-5"/>
          <w:w w:val="110"/>
        </w:rPr>
        <w:t> </w:t>
      </w:r>
      <w:r>
        <w:rPr>
          <w:color w:val="231F1F"/>
          <w:spacing w:val="-2"/>
          <w:w w:val="110"/>
        </w:rPr>
        <w:t>tardío</w:t>
      </w:r>
      <w:r>
        <w:rPr>
          <w:color w:val="231F1F"/>
          <w:spacing w:val="-5"/>
          <w:w w:val="110"/>
        </w:rPr>
        <w:t> </w:t>
      </w:r>
      <w:r>
        <w:rPr>
          <w:color w:val="231F1F"/>
          <w:spacing w:val="-2"/>
          <w:w w:val="110"/>
        </w:rPr>
        <w:t>(n=1.001)</w:t>
      </w:r>
      <w:r>
        <w:rPr>
          <w:color w:val="231F1F"/>
          <w:spacing w:val="-5"/>
          <w:w w:val="110"/>
        </w:rPr>
        <w:t> </w:t>
      </w:r>
      <w:r>
        <w:rPr>
          <w:color w:val="231F1F"/>
          <w:spacing w:val="-2"/>
          <w:w w:val="110"/>
        </w:rPr>
        <w:t>del</w:t>
      </w:r>
      <w:r>
        <w:rPr>
          <w:color w:val="231F1F"/>
          <w:spacing w:val="-6"/>
          <w:w w:val="110"/>
        </w:rPr>
        <w:t> </w:t>
      </w:r>
      <w:r>
        <w:rPr>
          <w:color w:val="231F1F"/>
          <w:spacing w:val="-2"/>
          <w:w w:val="110"/>
        </w:rPr>
        <w:t>cordón</w:t>
      </w:r>
      <w:r>
        <w:rPr>
          <w:color w:val="231F1F"/>
          <w:spacing w:val="-4"/>
          <w:w w:val="110"/>
        </w:rPr>
        <w:t> </w:t>
      </w:r>
      <w:r>
        <w:rPr>
          <w:color w:val="231F1F"/>
          <w:spacing w:val="-2"/>
          <w:w w:val="110"/>
        </w:rPr>
        <w:t>umbi- </w:t>
      </w:r>
      <w:r>
        <w:rPr>
          <w:color w:val="231F1F"/>
        </w:rPr>
        <w:t>lical de al menos dos minutos, en partos de neonatos con periodos de gestación</w:t>
      </w:r>
      <w:r>
        <w:rPr>
          <w:color w:val="231F1F"/>
          <w:spacing w:val="80"/>
          <w:w w:val="110"/>
        </w:rPr>
        <w:t> </w:t>
      </w:r>
      <w:r>
        <w:rPr>
          <w:color w:val="231F1F"/>
          <w:w w:val="110"/>
        </w:rPr>
        <w:t>de 37 o más semanas.</w:t>
      </w:r>
    </w:p>
    <w:p>
      <w:pPr>
        <w:pStyle w:val="BodyText"/>
        <w:spacing w:line="244" w:lineRule="auto" w:before="83"/>
        <w:ind w:left="283" w:right="39" w:firstLine="453"/>
        <w:jc w:val="both"/>
      </w:pPr>
      <w:r>
        <w:rPr>
          <w:color w:val="231F1F"/>
          <w:w w:val="105"/>
        </w:rPr>
        <w:t>Con el pinzamiento tardío las ventajas a los 2 y 6 meses incluyeron me- joras del estado hematológico, medido por el hematocrito, el hierro (concen- tración de ferritina) y las reservas de hierro, con importantes descensos en el riesgo</w:t>
      </w:r>
      <w:r>
        <w:rPr>
          <w:color w:val="231F1F"/>
          <w:spacing w:val="-3"/>
          <w:w w:val="105"/>
        </w:rPr>
        <w:t> </w:t>
      </w:r>
      <w:r>
        <w:rPr>
          <w:color w:val="231F1F"/>
          <w:w w:val="105"/>
        </w:rPr>
        <w:t>de</w:t>
      </w:r>
      <w:r>
        <w:rPr>
          <w:color w:val="231F1F"/>
          <w:spacing w:val="-3"/>
          <w:w w:val="105"/>
        </w:rPr>
        <w:t> </w:t>
      </w:r>
      <w:r>
        <w:rPr>
          <w:color w:val="231F1F"/>
          <w:w w:val="105"/>
        </w:rPr>
        <w:t>anemia.</w:t>
      </w:r>
      <w:r>
        <w:rPr>
          <w:color w:val="231F1F"/>
          <w:spacing w:val="-3"/>
          <w:w w:val="105"/>
        </w:rPr>
        <w:t> </w:t>
      </w:r>
      <w:r>
        <w:rPr>
          <w:color w:val="231F1F"/>
          <w:w w:val="105"/>
        </w:rPr>
        <w:t>El</w:t>
      </w:r>
      <w:r>
        <w:rPr>
          <w:color w:val="231F1F"/>
          <w:spacing w:val="-3"/>
          <w:w w:val="105"/>
        </w:rPr>
        <w:t> </w:t>
      </w:r>
      <w:r>
        <w:rPr>
          <w:color w:val="231F1F"/>
          <w:w w:val="105"/>
        </w:rPr>
        <w:t>riesgo</w:t>
      </w:r>
      <w:r>
        <w:rPr>
          <w:color w:val="231F1F"/>
          <w:spacing w:val="-3"/>
          <w:w w:val="105"/>
        </w:rPr>
        <w:t> </w:t>
      </w:r>
      <w:r>
        <w:rPr>
          <w:color w:val="231F1F"/>
          <w:w w:val="105"/>
        </w:rPr>
        <w:t>de</w:t>
      </w:r>
      <w:r>
        <w:rPr>
          <w:color w:val="231F1F"/>
          <w:spacing w:val="-3"/>
          <w:w w:val="105"/>
        </w:rPr>
        <w:t> </w:t>
      </w:r>
      <w:r>
        <w:rPr>
          <w:color w:val="231F1F"/>
          <w:w w:val="105"/>
        </w:rPr>
        <w:t>anemia</w:t>
      </w:r>
      <w:r>
        <w:rPr>
          <w:color w:val="231F1F"/>
          <w:spacing w:val="-3"/>
          <w:w w:val="105"/>
        </w:rPr>
        <w:t> </w:t>
      </w:r>
      <w:r>
        <w:rPr>
          <w:color w:val="231F1F"/>
          <w:w w:val="105"/>
        </w:rPr>
        <w:t>a</w:t>
      </w:r>
      <w:r>
        <w:rPr>
          <w:color w:val="231F1F"/>
          <w:spacing w:val="-3"/>
          <w:w w:val="105"/>
        </w:rPr>
        <w:t> </w:t>
      </w:r>
      <w:r>
        <w:rPr>
          <w:color w:val="231F1F"/>
          <w:w w:val="105"/>
        </w:rPr>
        <w:t>las</w:t>
      </w:r>
      <w:r>
        <w:rPr>
          <w:color w:val="231F1F"/>
          <w:spacing w:val="-3"/>
          <w:w w:val="105"/>
        </w:rPr>
        <w:t> </w:t>
      </w:r>
      <w:r>
        <w:rPr>
          <w:color w:val="231F1F"/>
          <w:w w:val="105"/>
        </w:rPr>
        <w:t>24</w:t>
      </w:r>
      <w:r>
        <w:rPr>
          <w:color w:val="231F1F"/>
          <w:spacing w:val="-3"/>
          <w:w w:val="105"/>
        </w:rPr>
        <w:t> </w:t>
      </w:r>
      <w:r>
        <w:rPr>
          <w:color w:val="231F1F"/>
          <w:w w:val="105"/>
        </w:rPr>
        <w:t>y</w:t>
      </w:r>
      <w:r>
        <w:rPr>
          <w:color w:val="231F1F"/>
          <w:spacing w:val="-3"/>
          <w:w w:val="105"/>
        </w:rPr>
        <w:t> </w:t>
      </w:r>
      <w:r>
        <w:rPr>
          <w:color w:val="231F1F"/>
          <w:w w:val="105"/>
        </w:rPr>
        <w:t>48</w:t>
      </w:r>
      <w:r>
        <w:rPr>
          <w:color w:val="231F1F"/>
          <w:spacing w:val="-3"/>
          <w:w w:val="105"/>
        </w:rPr>
        <w:t> </w:t>
      </w:r>
      <w:r>
        <w:rPr>
          <w:color w:val="231F1F"/>
          <w:w w:val="105"/>
        </w:rPr>
        <w:t>horas</w:t>
      </w:r>
      <w:r>
        <w:rPr>
          <w:color w:val="231F1F"/>
          <w:spacing w:val="-3"/>
          <w:w w:val="105"/>
        </w:rPr>
        <w:t> </w:t>
      </w:r>
      <w:r>
        <w:rPr>
          <w:color w:val="231F1F"/>
          <w:w w:val="105"/>
        </w:rPr>
        <w:t>fue</w:t>
      </w:r>
      <w:r>
        <w:rPr>
          <w:color w:val="231F1F"/>
          <w:spacing w:val="-3"/>
          <w:w w:val="105"/>
        </w:rPr>
        <w:t> </w:t>
      </w:r>
      <w:r>
        <w:rPr>
          <w:color w:val="231F1F"/>
          <w:w w:val="105"/>
        </w:rPr>
        <w:t>menor</w:t>
      </w:r>
      <w:r>
        <w:rPr>
          <w:color w:val="231F1F"/>
          <w:spacing w:val="-3"/>
          <w:w w:val="105"/>
        </w:rPr>
        <w:t> </w:t>
      </w:r>
      <w:r>
        <w:rPr>
          <w:color w:val="231F1F"/>
          <w:w w:val="105"/>
        </w:rPr>
        <w:t>en</w:t>
      </w:r>
      <w:r>
        <w:rPr>
          <w:color w:val="231F1F"/>
          <w:spacing w:val="-3"/>
          <w:w w:val="105"/>
        </w:rPr>
        <w:t> </w:t>
      </w:r>
      <w:r>
        <w:rPr>
          <w:color w:val="231F1F"/>
          <w:w w:val="105"/>
        </w:rPr>
        <w:t>los</w:t>
      </w:r>
      <w:r>
        <w:rPr>
          <w:color w:val="231F1F"/>
          <w:spacing w:val="-3"/>
          <w:w w:val="105"/>
        </w:rPr>
        <w:t> </w:t>
      </w:r>
      <w:r>
        <w:rPr>
          <w:color w:val="231F1F"/>
          <w:w w:val="105"/>
        </w:rPr>
        <w:t>RN con pinzamiento tardío.</w:t>
      </w:r>
    </w:p>
    <w:p>
      <w:pPr>
        <w:pStyle w:val="BodyText"/>
        <w:spacing w:line="249" w:lineRule="auto" w:before="49"/>
        <w:ind w:left="283" w:right="38" w:firstLine="453"/>
        <w:jc w:val="both"/>
      </w:pPr>
      <w:r>
        <w:rPr>
          <w:color w:val="231F1F"/>
          <w:w w:val="105"/>
        </w:rPr>
        <w:t>No se encontraron diferencias significativas entre los dos grupos para el riesgo</w:t>
      </w:r>
      <w:r>
        <w:rPr>
          <w:color w:val="231F1F"/>
          <w:spacing w:val="32"/>
          <w:w w:val="105"/>
        </w:rPr>
        <w:t> </w:t>
      </w:r>
      <w:r>
        <w:rPr>
          <w:color w:val="231F1F"/>
          <w:w w:val="105"/>
        </w:rPr>
        <w:t>de</w:t>
      </w:r>
      <w:r>
        <w:rPr>
          <w:color w:val="231F1F"/>
          <w:w w:val="105"/>
        </w:rPr>
        <w:t> ictericia.</w:t>
      </w:r>
      <w:r>
        <w:rPr>
          <w:color w:val="231F1F"/>
          <w:w w:val="105"/>
        </w:rPr>
        <w:t> El</w:t>
      </w:r>
      <w:r>
        <w:rPr>
          <w:color w:val="231F1F"/>
          <w:w w:val="105"/>
        </w:rPr>
        <w:t> riesgo</w:t>
      </w:r>
      <w:r>
        <w:rPr>
          <w:color w:val="231F1F"/>
          <w:spacing w:val="31"/>
          <w:w w:val="105"/>
        </w:rPr>
        <w:t> </w:t>
      </w:r>
      <w:r>
        <w:rPr>
          <w:color w:val="231F1F"/>
          <w:w w:val="105"/>
        </w:rPr>
        <w:t>de</w:t>
      </w:r>
      <w:r>
        <w:rPr>
          <w:color w:val="231F1F"/>
          <w:w w:val="105"/>
        </w:rPr>
        <w:t> policitemia</w:t>
      </w:r>
      <w:r>
        <w:rPr>
          <w:color w:val="231F1F"/>
          <w:w w:val="105"/>
        </w:rPr>
        <w:t> fue</w:t>
      </w:r>
      <w:r>
        <w:rPr>
          <w:color w:val="231F1F"/>
          <w:w w:val="105"/>
        </w:rPr>
        <w:t> significativamente</w:t>
      </w:r>
      <w:r>
        <w:rPr>
          <w:color w:val="231F1F"/>
          <w:w w:val="105"/>
        </w:rPr>
        <w:t> mayor</w:t>
      </w:r>
      <w:r>
        <w:rPr>
          <w:color w:val="231F1F"/>
          <w:w w:val="105"/>
        </w:rPr>
        <w:t> en</w:t>
      </w:r>
      <w:r>
        <w:rPr>
          <w:color w:val="231F1F"/>
          <w:spacing w:val="40"/>
          <w:w w:val="105"/>
        </w:rPr>
        <w:t> </w:t>
      </w:r>
      <w:r>
        <w:rPr>
          <w:color w:val="231F1F"/>
          <w:w w:val="105"/>
        </w:rPr>
        <w:t>el</w:t>
      </w:r>
      <w:r>
        <w:rPr>
          <w:color w:val="231F1F"/>
          <w:spacing w:val="-2"/>
          <w:w w:val="105"/>
        </w:rPr>
        <w:t> </w:t>
      </w:r>
      <w:r>
        <w:rPr>
          <w:color w:val="231F1F"/>
          <w:w w:val="105"/>
        </w:rPr>
        <w:t>grupo</w:t>
      </w:r>
      <w:r>
        <w:rPr>
          <w:color w:val="231F1F"/>
          <w:spacing w:val="-2"/>
          <w:w w:val="105"/>
        </w:rPr>
        <w:t> </w:t>
      </w:r>
      <w:r>
        <w:rPr>
          <w:color w:val="231F1F"/>
          <w:w w:val="105"/>
        </w:rPr>
        <w:t>de</w:t>
      </w:r>
      <w:r>
        <w:rPr>
          <w:color w:val="231F1F"/>
          <w:spacing w:val="-2"/>
          <w:w w:val="105"/>
        </w:rPr>
        <w:t> </w:t>
      </w:r>
      <w:r>
        <w:rPr>
          <w:color w:val="231F1F"/>
          <w:w w:val="105"/>
        </w:rPr>
        <w:t>pinzamiento</w:t>
      </w:r>
      <w:r>
        <w:rPr>
          <w:color w:val="231F1F"/>
          <w:spacing w:val="-2"/>
          <w:w w:val="105"/>
        </w:rPr>
        <w:t> </w:t>
      </w:r>
      <w:r>
        <w:rPr>
          <w:color w:val="231F1F"/>
          <w:w w:val="105"/>
        </w:rPr>
        <w:t>tardío.</w:t>
      </w:r>
      <w:r>
        <w:rPr>
          <w:color w:val="231F1F"/>
          <w:spacing w:val="-2"/>
          <w:w w:val="105"/>
        </w:rPr>
        <w:t> </w:t>
      </w:r>
      <w:r>
        <w:rPr>
          <w:color w:val="231F1F"/>
          <w:w w:val="105"/>
        </w:rPr>
        <w:t>Al</w:t>
      </w:r>
      <w:r>
        <w:rPr>
          <w:color w:val="231F1F"/>
          <w:spacing w:val="-2"/>
          <w:w w:val="105"/>
        </w:rPr>
        <w:t> </w:t>
      </w:r>
      <w:r>
        <w:rPr>
          <w:color w:val="231F1F"/>
          <w:w w:val="105"/>
        </w:rPr>
        <w:t>hacer</w:t>
      </w:r>
      <w:r>
        <w:rPr>
          <w:color w:val="231F1F"/>
          <w:spacing w:val="-2"/>
          <w:w w:val="105"/>
        </w:rPr>
        <w:t> </w:t>
      </w:r>
      <w:r>
        <w:rPr>
          <w:color w:val="231F1F"/>
          <w:w w:val="105"/>
        </w:rPr>
        <w:t>el</w:t>
      </w:r>
      <w:r>
        <w:rPr>
          <w:color w:val="231F1F"/>
          <w:spacing w:val="-2"/>
          <w:w w:val="105"/>
        </w:rPr>
        <w:t> </w:t>
      </w:r>
      <w:r>
        <w:rPr>
          <w:color w:val="231F1F"/>
          <w:w w:val="105"/>
        </w:rPr>
        <w:t>análisis</w:t>
      </w:r>
      <w:r>
        <w:rPr>
          <w:color w:val="231F1F"/>
          <w:spacing w:val="-1"/>
          <w:w w:val="105"/>
        </w:rPr>
        <w:t> </w:t>
      </w:r>
      <w:r>
        <w:rPr>
          <w:color w:val="231F1F"/>
          <w:w w:val="105"/>
        </w:rPr>
        <w:t>sólo</w:t>
      </w:r>
      <w:r>
        <w:rPr>
          <w:color w:val="231F1F"/>
          <w:spacing w:val="-2"/>
          <w:w w:val="105"/>
        </w:rPr>
        <w:t> </w:t>
      </w:r>
      <w:r>
        <w:rPr>
          <w:color w:val="231F1F"/>
          <w:w w:val="105"/>
        </w:rPr>
        <w:t>con</w:t>
      </w:r>
      <w:r>
        <w:rPr>
          <w:color w:val="231F1F"/>
          <w:spacing w:val="-2"/>
          <w:w w:val="105"/>
        </w:rPr>
        <w:t> </w:t>
      </w:r>
      <w:r>
        <w:rPr>
          <w:color w:val="231F1F"/>
          <w:w w:val="105"/>
        </w:rPr>
        <w:t>estudios</w:t>
      </w:r>
      <w:r>
        <w:rPr>
          <w:color w:val="231F1F"/>
          <w:spacing w:val="-1"/>
          <w:w w:val="105"/>
        </w:rPr>
        <w:t> </w:t>
      </w:r>
      <w:r>
        <w:rPr>
          <w:color w:val="231F1F"/>
          <w:w w:val="105"/>
        </w:rPr>
        <w:t>de</w:t>
      </w:r>
      <w:r>
        <w:rPr>
          <w:color w:val="231F1F"/>
          <w:spacing w:val="-2"/>
          <w:w w:val="105"/>
        </w:rPr>
        <w:t> </w:t>
      </w:r>
      <w:r>
        <w:rPr>
          <w:color w:val="231F1F"/>
          <w:w w:val="105"/>
        </w:rPr>
        <w:t>buena calidad</w:t>
      </w:r>
      <w:r>
        <w:rPr>
          <w:color w:val="231F1F"/>
          <w:spacing w:val="-6"/>
          <w:w w:val="105"/>
        </w:rPr>
        <w:t> </w:t>
      </w:r>
      <w:r>
        <w:rPr>
          <w:color w:val="231F1F"/>
          <w:w w:val="105"/>
        </w:rPr>
        <w:t>las</w:t>
      </w:r>
      <w:r>
        <w:rPr>
          <w:color w:val="231F1F"/>
          <w:spacing w:val="-6"/>
          <w:w w:val="105"/>
        </w:rPr>
        <w:t> </w:t>
      </w:r>
      <w:r>
        <w:rPr>
          <w:color w:val="231F1F"/>
          <w:w w:val="105"/>
        </w:rPr>
        <w:t>diferencias</w:t>
      </w:r>
      <w:r>
        <w:rPr>
          <w:color w:val="231F1F"/>
          <w:spacing w:val="-6"/>
          <w:w w:val="105"/>
        </w:rPr>
        <w:t> </w:t>
      </w:r>
      <w:r>
        <w:rPr>
          <w:color w:val="231F1F"/>
          <w:w w:val="105"/>
        </w:rPr>
        <w:t>se</w:t>
      </w:r>
      <w:r>
        <w:rPr>
          <w:color w:val="231F1F"/>
          <w:spacing w:val="-7"/>
          <w:w w:val="105"/>
        </w:rPr>
        <w:t> </w:t>
      </w:r>
      <w:r>
        <w:rPr>
          <w:color w:val="231F1F"/>
          <w:w w:val="105"/>
        </w:rPr>
        <w:t>mantenían,</w:t>
      </w:r>
      <w:r>
        <w:rPr>
          <w:color w:val="231F1F"/>
          <w:spacing w:val="-5"/>
          <w:w w:val="105"/>
        </w:rPr>
        <w:t> </w:t>
      </w:r>
      <w:r>
        <w:rPr>
          <w:color w:val="231F1F"/>
          <w:w w:val="105"/>
        </w:rPr>
        <w:t>pero</w:t>
      </w:r>
      <w:r>
        <w:rPr>
          <w:color w:val="231F1F"/>
          <w:spacing w:val="-6"/>
          <w:w w:val="105"/>
        </w:rPr>
        <w:t> </w:t>
      </w:r>
      <w:r>
        <w:rPr>
          <w:color w:val="231F1F"/>
          <w:w w:val="105"/>
        </w:rPr>
        <w:t>se</w:t>
      </w:r>
      <w:r>
        <w:rPr>
          <w:color w:val="231F1F"/>
          <w:spacing w:val="-6"/>
          <w:w w:val="105"/>
        </w:rPr>
        <w:t> </w:t>
      </w:r>
      <w:r>
        <w:rPr>
          <w:color w:val="231F1F"/>
          <w:w w:val="105"/>
        </w:rPr>
        <w:t>perdía</w:t>
      </w:r>
      <w:r>
        <w:rPr>
          <w:color w:val="231F1F"/>
          <w:spacing w:val="-7"/>
          <w:w w:val="105"/>
        </w:rPr>
        <w:t> </w:t>
      </w:r>
      <w:r>
        <w:rPr>
          <w:color w:val="231F1F"/>
          <w:w w:val="105"/>
        </w:rPr>
        <w:t>la</w:t>
      </w:r>
      <w:r>
        <w:rPr>
          <w:color w:val="231F1F"/>
          <w:spacing w:val="-6"/>
          <w:w w:val="105"/>
        </w:rPr>
        <w:t> </w:t>
      </w:r>
      <w:r>
        <w:rPr>
          <w:color w:val="231F1F"/>
          <w:w w:val="105"/>
        </w:rPr>
        <w:t>significación</w:t>
      </w:r>
      <w:r>
        <w:rPr>
          <w:color w:val="231F1F"/>
          <w:spacing w:val="-5"/>
          <w:w w:val="105"/>
        </w:rPr>
        <w:t> </w:t>
      </w:r>
      <w:r>
        <w:rPr>
          <w:color w:val="231F1F"/>
          <w:w w:val="105"/>
        </w:rPr>
        <w:t>estadística.</w:t>
      </w:r>
    </w:p>
    <w:p>
      <w:pPr>
        <w:spacing w:line="278" w:lineRule="auto" w:before="124"/>
        <w:ind w:left="263" w:right="470" w:firstLine="0"/>
        <w:jc w:val="center"/>
        <w:rPr>
          <w:rFonts w:ascii="Arial MT"/>
          <w:sz w:val="18"/>
        </w:rPr>
      </w:pPr>
      <w:r>
        <w:rPr/>
        <w:br w:type="column"/>
      </w:r>
      <w:r>
        <w:rPr>
          <w:rFonts w:ascii="Arial MT"/>
          <w:color w:val="231F1F"/>
          <w:spacing w:val="-10"/>
          <w:sz w:val="18"/>
        </w:rPr>
        <w:t>ECAs</w:t>
      </w:r>
      <w:r>
        <w:rPr>
          <w:rFonts w:ascii="Arial MT"/>
          <w:color w:val="231F1F"/>
          <w:spacing w:val="-6"/>
          <w:sz w:val="18"/>
        </w:rPr>
        <w:t>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0"/>
        <w:rPr>
          <w:rFonts w:ascii="Arial MT"/>
          <w:sz w:val="18"/>
        </w:rPr>
      </w:pPr>
    </w:p>
    <w:p>
      <w:pPr>
        <w:spacing w:line="278" w:lineRule="auto" w:before="0"/>
        <w:ind w:left="263" w:right="448"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4"/>
        <w:rPr>
          <w:rFonts w:ascii="Arial MT"/>
          <w:sz w:val="18"/>
        </w:rPr>
      </w:pPr>
    </w:p>
    <w:p>
      <w:pPr>
        <w:spacing w:line="278" w:lineRule="auto" w:before="0"/>
        <w:ind w:left="263" w:right="470" w:firstLine="0"/>
        <w:jc w:val="center"/>
        <w:rPr>
          <w:rFonts w:ascii="Arial MT"/>
          <w:sz w:val="18"/>
        </w:rPr>
      </w:pPr>
      <w:r>
        <w:rPr>
          <w:rFonts w:ascii="Arial MT"/>
          <w:color w:val="231F1F"/>
          <w:spacing w:val="-10"/>
          <w:sz w:val="18"/>
        </w:rPr>
        <w:t>ECAs</w:t>
      </w:r>
      <w:r>
        <w:rPr>
          <w:rFonts w:ascii="Arial MT"/>
          <w:color w:val="231F1F"/>
          <w:spacing w:val="-6"/>
          <w:sz w:val="18"/>
        </w:rPr>
        <w:t> 1+</w:t>
      </w:r>
    </w:p>
    <w:p>
      <w:pPr>
        <w:spacing w:after="0" w:line="278" w:lineRule="auto"/>
        <w:jc w:val="center"/>
        <w:rPr>
          <w:rFonts w:ascii="Arial MT"/>
          <w:sz w:val="18"/>
        </w:rPr>
        <w:sectPr>
          <w:pgSz w:w="11900" w:h="16840"/>
          <w:pgMar w:header="0" w:footer="622" w:top="1560" w:bottom="820" w:left="1417" w:right="1559"/>
          <w:cols w:num="2" w:equalWidth="0">
            <w:col w:w="7594" w:space="119"/>
            <w:col w:w="1211"/>
          </w:cols>
        </w:sectPr>
      </w:pPr>
    </w:p>
    <w:p>
      <w:pPr>
        <w:pStyle w:val="BodyText"/>
        <w:spacing w:line="254" w:lineRule="auto" w:before="73"/>
        <w:ind w:left="283" w:firstLine="453"/>
        <w:jc w:val="both"/>
      </w:pPr>
      <w:r>
        <w:rPr>
          <w:color w:val="231F1F"/>
          <w:w w:val="110"/>
        </w:rPr>
        <w:t>La</w:t>
      </w:r>
      <w:r>
        <w:rPr>
          <w:color w:val="231F1F"/>
          <w:spacing w:val="-3"/>
          <w:w w:val="110"/>
        </w:rPr>
        <w:t> </w:t>
      </w:r>
      <w:r>
        <w:rPr>
          <w:color w:val="231F1F"/>
          <w:w w:val="110"/>
        </w:rPr>
        <w:t>RS</w:t>
      </w:r>
      <w:r>
        <w:rPr>
          <w:color w:val="231F1F"/>
          <w:spacing w:val="-3"/>
          <w:w w:val="110"/>
        </w:rPr>
        <w:t> </w:t>
      </w:r>
      <w:r>
        <w:rPr>
          <w:color w:val="231F1F"/>
          <w:w w:val="110"/>
        </w:rPr>
        <w:t>Cochrane</w:t>
      </w:r>
      <w:r>
        <w:rPr>
          <w:color w:val="231F1F"/>
          <w:spacing w:val="-3"/>
          <w:w w:val="110"/>
        </w:rPr>
        <w:t> </w:t>
      </w:r>
      <w:r>
        <w:rPr>
          <w:color w:val="231F1F"/>
          <w:w w:val="110"/>
        </w:rPr>
        <w:t>de</w:t>
      </w:r>
      <w:r>
        <w:rPr>
          <w:color w:val="231F1F"/>
          <w:spacing w:val="-3"/>
          <w:w w:val="110"/>
        </w:rPr>
        <w:t> </w:t>
      </w:r>
      <w:r>
        <w:rPr>
          <w:color w:val="231F1F"/>
          <w:w w:val="110"/>
        </w:rPr>
        <w:t>McDonald</w:t>
      </w:r>
      <w:r>
        <w:rPr>
          <w:color w:val="231F1F"/>
          <w:spacing w:val="-4"/>
          <w:w w:val="110"/>
        </w:rPr>
        <w:t> </w:t>
      </w:r>
      <w:r>
        <w:rPr>
          <w:color w:val="231F1F"/>
          <w:w w:val="110"/>
        </w:rPr>
        <w:t>de</w:t>
      </w:r>
      <w:r>
        <w:rPr>
          <w:color w:val="231F1F"/>
          <w:spacing w:val="-3"/>
          <w:w w:val="110"/>
        </w:rPr>
        <w:t> </w:t>
      </w:r>
      <w:r>
        <w:rPr>
          <w:color w:val="231F1F"/>
          <w:w w:val="110"/>
        </w:rPr>
        <w:t>2008</w:t>
      </w:r>
      <w:r>
        <w:rPr>
          <w:color w:val="231F1F"/>
          <w:spacing w:val="-3"/>
          <w:w w:val="110"/>
        </w:rPr>
        <w:t> </w:t>
      </w:r>
      <w:r>
        <w:rPr>
          <w:color w:val="231F1F"/>
          <w:w w:val="110"/>
        </w:rPr>
        <w:t>(226),</w:t>
      </w:r>
      <w:r>
        <w:rPr>
          <w:color w:val="231F1F"/>
          <w:spacing w:val="-3"/>
          <w:w w:val="110"/>
        </w:rPr>
        <w:t> </w:t>
      </w:r>
      <w:r>
        <w:rPr>
          <w:color w:val="231F1F"/>
          <w:w w:val="110"/>
        </w:rPr>
        <w:t>incluye</w:t>
      </w:r>
      <w:r>
        <w:rPr>
          <w:color w:val="231F1F"/>
          <w:spacing w:val="-3"/>
          <w:w w:val="110"/>
        </w:rPr>
        <w:t> </w:t>
      </w:r>
      <w:r>
        <w:rPr>
          <w:color w:val="231F1F"/>
          <w:w w:val="110"/>
        </w:rPr>
        <w:t>once</w:t>
      </w:r>
      <w:r>
        <w:rPr>
          <w:color w:val="231F1F"/>
          <w:spacing w:val="-3"/>
          <w:w w:val="110"/>
        </w:rPr>
        <w:t> </w:t>
      </w:r>
      <w:r>
        <w:rPr>
          <w:color w:val="231F1F"/>
          <w:w w:val="110"/>
        </w:rPr>
        <w:t>ECAs</w:t>
      </w:r>
      <w:r>
        <w:rPr>
          <w:color w:val="231F1F"/>
          <w:spacing w:val="-3"/>
          <w:w w:val="110"/>
        </w:rPr>
        <w:t> </w:t>
      </w:r>
      <w:r>
        <w:rPr>
          <w:color w:val="231F1F"/>
          <w:w w:val="110"/>
        </w:rPr>
        <w:t>con </w:t>
      </w:r>
      <w:r>
        <w:rPr>
          <w:color w:val="231F1F"/>
        </w:rPr>
        <w:t>n=2.989 mujeres [NE=1+]. Todos los estudios eran ECAs por lo que la revisión </w:t>
      </w:r>
      <w:r>
        <w:rPr>
          <w:color w:val="231F1F"/>
          <w:w w:val="110"/>
        </w:rPr>
        <w:t>también presenta un NE=1+. Pretende determinar los efectos de pinzar el cordón</w:t>
      </w:r>
      <w:r>
        <w:rPr>
          <w:color w:val="231F1F"/>
          <w:spacing w:val="-14"/>
          <w:w w:val="110"/>
        </w:rPr>
        <w:t> </w:t>
      </w:r>
      <w:r>
        <w:rPr>
          <w:color w:val="231F1F"/>
          <w:w w:val="110"/>
        </w:rPr>
        <w:t>en</w:t>
      </w:r>
      <w:r>
        <w:rPr>
          <w:color w:val="231F1F"/>
          <w:spacing w:val="-13"/>
          <w:w w:val="110"/>
        </w:rPr>
        <w:t> </w:t>
      </w:r>
      <w:r>
        <w:rPr>
          <w:color w:val="231F1F"/>
          <w:w w:val="110"/>
        </w:rPr>
        <w:t>diferentes</w:t>
      </w:r>
      <w:r>
        <w:rPr>
          <w:color w:val="231F1F"/>
          <w:spacing w:val="-14"/>
          <w:w w:val="110"/>
        </w:rPr>
        <w:t> </w:t>
      </w:r>
      <w:r>
        <w:rPr>
          <w:color w:val="231F1F"/>
          <w:w w:val="110"/>
        </w:rPr>
        <w:t>momentos,</w:t>
      </w:r>
      <w:r>
        <w:rPr>
          <w:color w:val="231F1F"/>
          <w:spacing w:val="-16"/>
          <w:w w:val="110"/>
        </w:rPr>
        <w:t> </w:t>
      </w:r>
      <w:r>
        <w:rPr>
          <w:color w:val="231F1F"/>
          <w:w w:val="110"/>
        </w:rPr>
        <w:t>sobre</w:t>
      </w:r>
      <w:r>
        <w:rPr>
          <w:color w:val="231F1F"/>
          <w:spacing w:val="-12"/>
          <w:w w:val="110"/>
        </w:rPr>
        <w:t> </w:t>
      </w:r>
      <w:r>
        <w:rPr>
          <w:color w:val="231F1F"/>
          <w:w w:val="110"/>
        </w:rPr>
        <w:t>los</w:t>
      </w:r>
      <w:r>
        <w:rPr>
          <w:color w:val="231F1F"/>
          <w:spacing w:val="-13"/>
          <w:w w:val="110"/>
        </w:rPr>
        <w:t> </w:t>
      </w:r>
      <w:r>
        <w:rPr>
          <w:color w:val="231F1F"/>
          <w:w w:val="110"/>
        </w:rPr>
        <w:t>resultados</w:t>
      </w:r>
      <w:r>
        <w:rPr>
          <w:color w:val="231F1F"/>
          <w:spacing w:val="-14"/>
          <w:w w:val="110"/>
        </w:rPr>
        <w:t> </w:t>
      </w:r>
      <w:r>
        <w:rPr>
          <w:color w:val="231F1F"/>
          <w:w w:val="110"/>
        </w:rPr>
        <w:t>maternos</w:t>
      </w:r>
      <w:r>
        <w:rPr>
          <w:color w:val="231F1F"/>
          <w:spacing w:val="-13"/>
          <w:w w:val="110"/>
        </w:rPr>
        <w:t> </w:t>
      </w:r>
      <w:r>
        <w:rPr>
          <w:color w:val="231F1F"/>
          <w:w w:val="110"/>
        </w:rPr>
        <w:t>y</w:t>
      </w:r>
      <w:r>
        <w:rPr>
          <w:color w:val="231F1F"/>
          <w:spacing w:val="-13"/>
          <w:w w:val="110"/>
        </w:rPr>
        <w:t> </w:t>
      </w:r>
      <w:r>
        <w:rPr>
          <w:color w:val="231F1F"/>
          <w:w w:val="110"/>
        </w:rPr>
        <w:t>neonatales.</w:t>
      </w:r>
    </w:p>
    <w:p>
      <w:pPr>
        <w:pStyle w:val="BodyText"/>
        <w:spacing w:line="244" w:lineRule="auto" w:before="108"/>
        <w:ind w:left="283" w:right="1" w:firstLine="453"/>
        <w:jc w:val="both"/>
      </w:pPr>
      <w:r>
        <w:rPr>
          <w:color w:val="231F1F"/>
          <w:w w:val="105"/>
        </w:rPr>
        <w:t>Los niveles de ferritina materna fueron significativamente mayores en el grupo con el pinzamiento inmediato: DMP 9,10 μg/L [IC 95% 7,86 a 10,34; </w:t>
      </w:r>
      <w:r>
        <w:rPr>
          <w:color w:val="231F1F"/>
          <w:spacing w:val="-2"/>
          <w:w w:val="105"/>
        </w:rPr>
        <w:t>n=107].</w:t>
      </w:r>
    </w:p>
    <w:p>
      <w:pPr>
        <w:pStyle w:val="BodyText"/>
        <w:spacing w:line="244" w:lineRule="auto" w:before="85"/>
        <w:ind w:left="283" w:right="1" w:firstLine="453"/>
        <w:jc w:val="both"/>
      </w:pPr>
      <w:r>
        <w:rPr>
          <w:color w:val="231F1F"/>
          <w:w w:val="110"/>
        </w:rPr>
        <w:t>No se observaron diferencias significativas en otras variables como la HPP</w:t>
      </w:r>
      <w:r>
        <w:rPr>
          <w:color w:val="231F1F"/>
          <w:spacing w:val="-14"/>
          <w:w w:val="110"/>
        </w:rPr>
        <w:t> </w:t>
      </w:r>
      <w:r>
        <w:rPr>
          <w:color w:val="231F1F"/>
          <w:w w:val="110"/>
        </w:rPr>
        <w:t>pérdida</w:t>
      </w:r>
      <w:r>
        <w:rPr>
          <w:color w:val="231F1F"/>
          <w:spacing w:val="-14"/>
          <w:w w:val="110"/>
        </w:rPr>
        <w:t> </w:t>
      </w:r>
      <w:r>
        <w:rPr>
          <w:color w:val="231F1F"/>
          <w:w w:val="110"/>
        </w:rPr>
        <w:t>media</w:t>
      </w:r>
      <w:r>
        <w:rPr>
          <w:color w:val="231F1F"/>
          <w:spacing w:val="-14"/>
          <w:w w:val="110"/>
        </w:rPr>
        <w:t> </w:t>
      </w:r>
      <w:r>
        <w:rPr>
          <w:color w:val="231F1F"/>
          <w:w w:val="110"/>
        </w:rPr>
        <w:t>de</w:t>
      </w:r>
      <w:r>
        <w:rPr>
          <w:color w:val="231F1F"/>
          <w:spacing w:val="-14"/>
          <w:w w:val="110"/>
        </w:rPr>
        <w:t> </w:t>
      </w:r>
      <w:r>
        <w:rPr>
          <w:color w:val="231F1F"/>
          <w:w w:val="110"/>
        </w:rPr>
        <w:t>sangre,</w:t>
      </w:r>
      <w:r>
        <w:rPr>
          <w:color w:val="231F1F"/>
          <w:spacing w:val="-15"/>
          <w:w w:val="110"/>
        </w:rPr>
        <w:t> </w:t>
      </w:r>
      <w:r>
        <w:rPr>
          <w:color w:val="231F1F"/>
          <w:w w:val="110"/>
        </w:rPr>
        <w:t>necesidad</w:t>
      </w:r>
      <w:r>
        <w:rPr>
          <w:color w:val="231F1F"/>
          <w:spacing w:val="-14"/>
          <w:w w:val="110"/>
        </w:rPr>
        <w:t> </w:t>
      </w:r>
      <w:r>
        <w:rPr>
          <w:color w:val="231F1F"/>
          <w:w w:val="110"/>
        </w:rPr>
        <w:t>de</w:t>
      </w:r>
      <w:r>
        <w:rPr>
          <w:color w:val="231F1F"/>
          <w:spacing w:val="-14"/>
          <w:w w:val="110"/>
        </w:rPr>
        <w:t> </w:t>
      </w:r>
      <w:r>
        <w:rPr>
          <w:color w:val="231F1F"/>
          <w:w w:val="110"/>
        </w:rPr>
        <w:t>transfusión,</w:t>
      </w:r>
      <w:r>
        <w:rPr>
          <w:color w:val="231F1F"/>
          <w:spacing w:val="-15"/>
          <w:w w:val="110"/>
        </w:rPr>
        <w:t> </w:t>
      </w:r>
      <w:r>
        <w:rPr>
          <w:color w:val="231F1F"/>
          <w:w w:val="110"/>
        </w:rPr>
        <w:t>uso</w:t>
      </w:r>
      <w:r>
        <w:rPr>
          <w:color w:val="231F1F"/>
          <w:spacing w:val="-14"/>
          <w:w w:val="110"/>
        </w:rPr>
        <w:t> </w:t>
      </w:r>
      <w:r>
        <w:rPr>
          <w:color w:val="231F1F"/>
          <w:w w:val="110"/>
        </w:rPr>
        <w:t>de</w:t>
      </w:r>
      <w:r>
        <w:rPr>
          <w:color w:val="231F1F"/>
          <w:spacing w:val="-14"/>
          <w:w w:val="110"/>
        </w:rPr>
        <w:t> </w:t>
      </w:r>
      <w:r>
        <w:rPr>
          <w:color w:val="231F1F"/>
          <w:w w:val="110"/>
        </w:rPr>
        <w:t>uterotónicos o duración de la tercera etapa del parto.</w:t>
      </w:r>
    </w:p>
    <w:p>
      <w:pPr>
        <w:pStyle w:val="BodyText"/>
        <w:spacing w:line="247" w:lineRule="auto" w:before="90"/>
        <w:ind w:left="283" w:right="3" w:firstLine="453"/>
        <w:jc w:val="both"/>
      </w:pPr>
      <w:r>
        <w:rPr>
          <w:color w:val="231F1F"/>
          <w:w w:val="105"/>
        </w:rPr>
        <w:t>La ictericia neonatal se observó en un menor número de neonatos en el grupo</w:t>
      </w:r>
      <w:r>
        <w:rPr>
          <w:color w:val="231F1F"/>
          <w:w w:val="105"/>
        </w:rPr>
        <w:t> con</w:t>
      </w:r>
      <w:r>
        <w:rPr>
          <w:color w:val="231F1F"/>
          <w:w w:val="105"/>
        </w:rPr>
        <w:t> pinzamiento</w:t>
      </w:r>
      <w:r>
        <w:rPr>
          <w:color w:val="231F1F"/>
          <w:w w:val="105"/>
        </w:rPr>
        <w:t> temprano</w:t>
      </w:r>
      <w:r>
        <w:rPr>
          <w:color w:val="231F1F"/>
          <w:w w:val="105"/>
        </w:rPr>
        <w:t> medido</w:t>
      </w:r>
      <w:r>
        <w:rPr>
          <w:color w:val="231F1F"/>
          <w:w w:val="105"/>
        </w:rPr>
        <w:t> por</w:t>
      </w:r>
      <w:r>
        <w:rPr>
          <w:color w:val="231F1F"/>
          <w:w w:val="105"/>
        </w:rPr>
        <w:t> la</w:t>
      </w:r>
      <w:r>
        <w:rPr>
          <w:color w:val="231F1F"/>
          <w:w w:val="105"/>
        </w:rPr>
        <w:t> necesidad</w:t>
      </w:r>
      <w:r>
        <w:rPr>
          <w:color w:val="231F1F"/>
          <w:w w:val="105"/>
        </w:rPr>
        <w:t> de</w:t>
      </w:r>
      <w:r>
        <w:rPr>
          <w:color w:val="231F1F"/>
          <w:w w:val="105"/>
        </w:rPr>
        <w:t> fototerapia</w:t>
      </w:r>
      <w:r>
        <w:rPr>
          <w:color w:val="231F1F"/>
          <w:w w:val="105"/>
        </w:rPr>
        <w:t> para la</w:t>
      </w:r>
      <w:r>
        <w:rPr>
          <w:color w:val="231F1F"/>
          <w:spacing w:val="34"/>
          <w:w w:val="105"/>
        </w:rPr>
        <w:t> </w:t>
      </w:r>
      <w:r>
        <w:rPr>
          <w:color w:val="231F1F"/>
          <w:w w:val="105"/>
        </w:rPr>
        <w:t>ictericia:</w:t>
      </w:r>
      <w:r>
        <w:rPr>
          <w:color w:val="231F1F"/>
          <w:spacing w:val="34"/>
          <w:w w:val="105"/>
        </w:rPr>
        <w:t> </w:t>
      </w:r>
      <w:r>
        <w:rPr>
          <w:color w:val="231F1F"/>
          <w:w w:val="105"/>
        </w:rPr>
        <w:t>RR</w:t>
      </w:r>
      <w:r>
        <w:rPr>
          <w:color w:val="231F1F"/>
          <w:spacing w:val="34"/>
          <w:w w:val="105"/>
        </w:rPr>
        <w:t> </w:t>
      </w:r>
      <w:r>
        <w:rPr>
          <w:color w:val="231F1F"/>
          <w:w w:val="105"/>
        </w:rPr>
        <w:t>0,59</w:t>
      </w:r>
      <w:r>
        <w:rPr>
          <w:color w:val="231F1F"/>
          <w:spacing w:val="34"/>
          <w:w w:val="105"/>
        </w:rPr>
        <w:t> </w:t>
      </w:r>
      <w:r>
        <w:rPr>
          <w:color w:val="231F1F"/>
          <w:w w:val="105"/>
        </w:rPr>
        <w:t>[IC</w:t>
      </w:r>
      <w:r>
        <w:rPr>
          <w:color w:val="231F1F"/>
          <w:spacing w:val="34"/>
          <w:w w:val="105"/>
        </w:rPr>
        <w:t> </w:t>
      </w:r>
      <w:r>
        <w:rPr>
          <w:color w:val="231F1F"/>
          <w:w w:val="105"/>
        </w:rPr>
        <w:t>95%</w:t>
      </w:r>
      <w:r>
        <w:rPr>
          <w:color w:val="231F1F"/>
          <w:spacing w:val="37"/>
          <w:w w:val="105"/>
        </w:rPr>
        <w:t> </w:t>
      </w:r>
      <w:r>
        <w:rPr>
          <w:color w:val="231F1F"/>
          <w:w w:val="105"/>
        </w:rPr>
        <w:t>0,38</w:t>
      </w:r>
      <w:r>
        <w:rPr>
          <w:color w:val="231F1F"/>
          <w:spacing w:val="34"/>
          <w:w w:val="105"/>
        </w:rPr>
        <w:t> </w:t>
      </w:r>
      <w:r>
        <w:rPr>
          <w:color w:val="231F1F"/>
          <w:w w:val="105"/>
        </w:rPr>
        <w:t>a</w:t>
      </w:r>
      <w:r>
        <w:rPr>
          <w:color w:val="231F1F"/>
          <w:spacing w:val="34"/>
          <w:w w:val="105"/>
        </w:rPr>
        <w:t> </w:t>
      </w:r>
      <w:r>
        <w:rPr>
          <w:color w:val="231F1F"/>
          <w:w w:val="105"/>
        </w:rPr>
        <w:t>0,92], 5</w:t>
      </w:r>
      <w:r>
        <w:rPr>
          <w:color w:val="231F1F"/>
          <w:spacing w:val="34"/>
          <w:w w:val="105"/>
        </w:rPr>
        <w:t> </w:t>
      </w:r>
      <w:r>
        <w:rPr>
          <w:color w:val="231F1F"/>
          <w:w w:val="105"/>
        </w:rPr>
        <w:t>estudios,</w:t>
      </w:r>
      <w:r>
        <w:rPr>
          <w:color w:val="231F1F"/>
          <w:spacing w:val="34"/>
          <w:w w:val="105"/>
        </w:rPr>
        <w:t> </w:t>
      </w:r>
      <w:r>
        <w:rPr>
          <w:color w:val="231F1F"/>
          <w:w w:val="105"/>
        </w:rPr>
        <w:t>n=1.762.</w:t>
      </w:r>
    </w:p>
    <w:p>
      <w:pPr>
        <w:pStyle w:val="BodyText"/>
        <w:spacing w:line="247" w:lineRule="auto" w:before="82"/>
        <w:ind w:left="283" w:firstLine="453"/>
        <w:jc w:val="both"/>
      </w:pPr>
      <w:r>
        <w:rPr>
          <w:color w:val="231F1F"/>
          <w:w w:val="105"/>
        </w:rPr>
        <w:t>Existe</w:t>
      </w:r>
      <w:r>
        <w:rPr>
          <w:color w:val="231F1F"/>
          <w:w w:val="105"/>
        </w:rPr>
        <w:t> un</w:t>
      </w:r>
      <w:r>
        <w:rPr>
          <w:color w:val="231F1F"/>
          <w:w w:val="105"/>
        </w:rPr>
        <w:t> nivel</w:t>
      </w:r>
      <w:r>
        <w:rPr>
          <w:color w:val="231F1F"/>
          <w:w w:val="105"/>
        </w:rPr>
        <w:t> significativamente</w:t>
      </w:r>
      <w:r>
        <w:rPr>
          <w:color w:val="231F1F"/>
          <w:w w:val="105"/>
        </w:rPr>
        <w:t> mayor</w:t>
      </w:r>
      <w:r>
        <w:rPr>
          <w:color w:val="231F1F"/>
          <w:w w:val="105"/>
        </w:rPr>
        <w:t> de</w:t>
      </w:r>
      <w:r>
        <w:rPr>
          <w:color w:val="231F1F"/>
          <w:w w:val="105"/>
        </w:rPr>
        <w:t> hemoglobina</w:t>
      </w:r>
      <w:r>
        <w:rPr>
          <w:color w:val="231F1F"/>
          <w:w w:val="105"/>
        </w:rPr>
        <w:t> en</w:t>
      </w:r>
      <w:r>
        <w:rPr>
          <w:color w:val="231F1F"/>
          <w:w w:val="105"/>
        </w:rPr>
        <w:t> el</w:t>
      </w:r>
      <w:r>
        <w:rPr>
          <w:color w:val="231F1F"/>
          <w:w w:val="105"/>
        </w:rPr>
        <w:t> RN</w:t>
      </w:r>
      <w:r>
        <w:rPr>
          <w:color w:val="231F1F"/>
          <w:w w:val="105"/>
        </w:rPr>
        <w:t> del grupo</w:t>
      </w:r>
      <w:r>
        <w:rPr>
          <w:color w:val="231F1F"/>
          <w:spacing w:val="-15"/>
          <w:w w:val="105"/>
        </w:rPr>
        <w:t> </w:t>
      </w:r>
      <w:r>
        <w:rPr>
          <w:color w:val="231F1F"/>
          <w:w w:val="105"/>
        </w:rPr>
        <w:t>con</w:t>
      </w:r>
      <w:r>
        <w:rPr>
          <w:color w:val="231F1F"/>
          <w:spacing w:val="-14"/>
          <w:w w:val="105"/>
        </w:rPr>
        <w:t> </w:t>
      </w:r>
      <w:r>
        <w:rPr>
          <w:color w:val="231F1F"/>
          <w:w w:val="105"/>
        </w:rPr>
        <w:t>pinzamiento</w:t>
      </w:r>
      <w:r>
        <w:rPr>
          <w:color w:val="231F1F"/>
          <w:spacing w:val="-15"/>
          <w:w w:val="105"/>
        </w:rPr>
        <w:t> </w:t>
      </w:r>
      <w:r>
        <w:rPr>
          <w:color w:val="231F1F"/>
          <w:w w:val="105"/>
        </w:rPr>
        <w:t>tardío:</w:t>
      </w:r>
      <w:r>
        <w:rPr>
          <w:color w:val="231F1F"/>
          <w:spacing w:val="-14"/>
          <w:w w:val="105"/>
        </w:rPr>
        <w:t> </w:t>
      </w:r>
      <w:r>
        <w:rPr>
          <w:color w:val="231F1F"/>
          <w:w w:val="105"/>
        </w:rPr>
        <w:t>DMP</w:t>
      </w:r>
      <w:r>
        <w:rPr>
          <w:color w:val="231F1F"/>
          <w:spacing w:val="-15"/>
          <w:w w:val="105"/>
        </w:rPr>
        <w:t> </w:t>
      </w:r>
      <w:r>
        <w:rPr>
          <w:color w:val="231F1F"/>
          <w:w w:val="105"/>
        </w:rPr>
        <w:t>2,17</w:t>
      </w:r>
      <w:r>
        <w:rPr>
          <w:color w:val="231F1F"/>
          <w:spacing w:val="-14"/>
          <w:w w:val="105"/>
        </w:rPr>
        <w:t> </w:t>
      </w:r>
      <w:r>
        <w:rPr>
          <w:color w:val="231F1F"/>
          <w:w w:val="105"/>
        </w:rPr>
        <w:t>g/dL</w:t>
      </w:r>
      <w:r>
        <w:rPr>
          <w:color w:val="231F1F"/>
          <w:spacing w:val="-15"/>
          <w:w w:val="105"/>
        </w:rPr>
        <w:t> </w:t>
      </w:r>
      <w:r>
        <w:rPr>
          <w:color w:val="231F1F"/>
          <w:w w:val="105"/>
        </w:rPr>
        <w:t>[IC</w:t>
      </w:r>
      <w:r>
        <w:rPr>
          <w:color w:val="231F1F"/>
          <w:spacing w:val="-14"/>
          <w:w w:val="105"/>
        </w:rPr>
        <w:t> </w:t>
      </w:r>
      <w:r>
        <w:rPr>
          <w:color w:val="231F1F"/>
          <w:w w:val="105"/>
        </w:rPr>
        <w:t>95%</w:t>
      </w:r>
      <w:r>
        <w:rPr>
          <w:color w:val="231F1F"/>
          <w:spacing w:val="-14"/>
          <w:w w:val="105"/>
        </w:rPr>
        <w:t> </w:t>
      </w:r>
      <w:r>
        <w:rPr>
          <w:color w:val="231F1F"/>
          <w:w w:val="105"/>
        </w:rPr>
        <w:t>0,28</w:t>
      </w:r>
      <w:r>
        <w:rPr>
          <w:color w:val="231F1F"/>
          <w:spacing w:val="-15"/>
          <w:w w:val="105"/>
        </w:rPr>
        <w:t> </w:t>
      </w:r>
      <w:r>
        <w:rPr>
          <w:color w:val="231F1F"/>
          <w:w w:val="105"/>
        </w:rPr>
        <w:t>a</w:t>
      </w:r>
      <w:r>
        <w:rPr>
          <w:color w:val="231F1F"/>
          <w:spacing w:val="-14"/>
          <w:w w:val="105"/>
        </w:rPr>
        <w:t> </w:t>
      </w:r>
      <w:r>
        <w:rPr>
          <w:color w:val="231F1F"/>
          <w:w w:val="105"/>
        </w:rPr>
        <w:t>4,06],</w:t>
      </w:r>
      <w:r>
        <w:rPr>
          <w:color w:val="231F1F"/>
          <w:spacing w:val="-15"/>
          <w:w w:val="105"/>
        </w:rPr>
        <w:t> </w:t>
      </w:r>
      <w:r>
        <w:rPr>
          <w:color w:val="231F1F"/>
          <w:w w:val="105"/>
        </w:rPr>
        <w:t>3</w:t>
      </w:r>
      <w:r>
        <w:rPr>
          <w:color w:val="231F1F"/>
          <w:spacing w:val="-14"/>
          <w:w w:val="105"/>
        </w:rPr>
        <w:t> </w:t>
      </w:r>
      <w:r>
        <w:rPr>
          <w:color w:val="231F1F"/>
          <w:w w:val="105"/>
        </w:rPr>
        <w:t>estudios, n=671. También se han observado diferencias en la concentración de hemo- globina</w:t>
      </w:r>
      <w:r>
        <w:rPr>
          <w:color w:val="231F1F"/>
          <w:w w:val="105"/>
        </w:rPr>
        <w:t> a</w:t>
      </w:r>
      <w:r>
        <w:rPr>
          <w:color w:val="231F1F"/>
          <w:w w:val="105"/>
        </w:rPr>
        <w:t> las</w:t>
      </w:r>
      <w:r>
        <w:rPr>
          <w:color w:val="231F1F"/>
          <w:w w:val="105"/>
        </w:rPr>
        <w:t> 24-48</w:t>
      </w:r>
      <w:r>
        <w:rPr>
          <w:color w:val="231F1F"/>
          <w:w w:val="105"/>
        </w:rPr>
        <w:t> horas,</w:t>
      </w:r>
      <w:r>
        <w:rPr>
          <w:color w:val="231F1F"/>
          <w:w w:val="105"/>
        </w:rPr>
        <w:t> aunque</w:t>
      </w:r>
      <w:r>
        <w:rPr>
          <w:color w:val="231F1F"/>
          <w:w w:val="105"/>
        </w:rPr>
        <w:t> hubo</w:t>
      </w:r>
      <w:r>
        <w:rPr>
          <w:color w:val="231F1F"/>
          <w:w w:val="105"/>
        </w:rPr>
        <w:t> una</w:t>
      </w:r>
      <w:r>
        <w:rPr>
          <w:color w:val="231F1F"/>
          <w:w w:val="105"/>
        </w:rPr>
        <w:t> gran</w:t>
      </w:r>
      <w:r>
        <w:rPr>
          <w:color w:val="231F1F"/>
          <w:w w:val="105"/>
        </w:rPr>
        <w:t> heterogeneidad</w:t>
      </w:r>
      <w:r>
        <w:rPr>
          <w:color w:val="231F1F"/>
          <w:w w:val="105"/>
        </w:rPr>
        <w:t> entre</w:t>
      </w:r>
      <w:r>
        <w:rPr>
          <w:color w:val="231F1F"/>
          <w:w w:val="105"/>
        </w:rPr>
        <w:t> los diferentes</w:t>
      </w:r>
      <w:r>
        <w:rPr>
          <w:color w:val="231F1F"/>
          <w:w w:val="105"/>
        </w:rPr>
        <w:t> estudios;</w:t>
      </w:r>
      <w:r>
        <w:rPr>
          <w:color w:val="231F1F"/>
          <w:w w:val="105"/>
        </w:rPr>
        <w:t> en</w:t>
      </w:r>
      <w:r>
        <w:rPr>
          <w:color w:val="231F1F"/>
          <w:w w:val="105"/>
        </w:rPr>
        <w:t> cambio,</w:t>
      </w:r>
      <w:r>
        <w:rPr>
          <w:color w:val="231F1F"/>
          <w:w w:val="105"/>
        </w:rPr>
        <w:t> a</w:t>
      </w:r>
      <w:r>
        <w:rPr>
          <w:color w:val="231F1F"/>
          <w:w w:val="105"/>
        </w:rPr>
        <w:t> partir</w:t>
      </w:r>
      <w:r>
        <w:rPr>
          <w:color w:val="231F1F"/>
          <w:w w:val="105"/>
        </w:rPr>
        <w:t> de</w:t>
      </w:r>
      <w:r>
        <w:rPr>
          <w:color w:val="231F1F"/>
          <w:w w:val="105"/>
        </w:rPr>
        <w:t> los</w:t>
      </w:r>
      <w:r>
        <w:rPr>
          <w:color w:val="231F1F"/>
          <w:w w:val="105"/>
        </w:rPr>
        <w:t> dos</w:t>
      </w:r>
      <w:r>
        <w:rPr>
          <w:color w:val="231F1F"/>
          <w:w w:val="105"/>
        </w:rPr>
        <w:t> meses,</w:t>
      </w:r>
      <w:r>
        <w:rPr>
          <w:color w:val="231F1F"/>
          <w:w w:val="105"/>
        </w:rPr>
        <w:t> las</w:t>
      </w:r>
      <w:r>
        <w:rPr>
          <w:color w:val="231F1F"/>
          <w:w w:val="105"/>
        </w:rPr>
        <w:t> diferencias</w:t>
      </w:r>
      <w:r>
        <w:rPr>
          <w:color w:val="231F1F"/>
          <w:w w:val="105"/>
        </w:rPr>
        <w:t> no fueron estadística ni clínicamente significativas.</w:t>
      </w:r>
    </w:p>
    <w:p>
      <w:pPr>
        <w:pStyle w:val="BodyText"/>
        <w:spacing w:line="249" w:lineRule="auto" w:before="78"/>
        <w:ind w:left="283" w:right="2" w:firstLine="453"/>
        <w:jc w:val="both"/>
      </w:pPr>
      <w:r>
        <w:rPr>
          <w:color w:val="231F1F"/>
          <w:w w:val="105"/>
        </w:rPr>
        <w:t>Menos RN tuvieron valores de hematocrito inferiores a 45% en el grupo con</w:t>
      </w:r>
      <w:r>
        <w:rPr>
          <w:color w:val="231F1F"/>
          <w:spacing w:val="-1"/>
          <w:w w:val="105"/>
        </w:rPr>
        <w:t> </w:t>
      </w:r>
      <w:r>
        <w:rPr>
          <w:color w:val="231F1F"/>
          <w:w w:val="105"/>
        </w:rPr>
        <w:t>pinzamiento</w:t>
      </w:r>
      <w:r>
        <w:rPr>
          <w:color w:val="231F1F"/>
          <w:spacing w:val="-1"/>
          <w:w w:val="105"/>
        </w:rPr>
        <w:t> </w:t>
      </w:r>
      <w:r>
        <w:rPr>
          <w:color w:val="231F1F"/>
          <w:w w:val="105"/>
        </w:rPr>
        <w:t>tardío</w:t>
      </w:r>
      <w:r>
        <w:rPr>
          <w:color w:val="231F1F"/>
          <w:spacing w:val="-1"/>
          <w:w w:val="105"/>
        </w:rPr>
        <w:t> </w:t>
      </w:r>
      <w:r>
        <w:rPr>
          <w:color w:val="231F1F"/>
          <w:w w:val="105"/>
        </w:rPr>
        <w:t>tanto</w:t>
      </w:r>
      <w:r>
        <w:rPr>
          <w:color w:val="231F1F"/>
          <w:spacing w:val="-1"/>
          <w:w w:val="105"/>
        </w:rPr>
        <w:t> </w:t>
      </w:r>
      <w:r>
        <w:rPr>
          <w:color w:val="231F1F"/>
          <w:w w:val="105"/>
        </w:rPr>
        <w:t>a</w:t>
      </w:r>
      <w:r>
        <w:rPr>
          <w:color w:val="231F1F"/>
          <w:spacing w:val="-1"/>
          <w:w w:val="105"/>
        </w:rPr>
        <w:t> </w:t>
      </w:r>
      <w:r>
        <w:rPr>
          <w:color w:val="231F1F"/>
          <w:w w:val="105"/>
        </w:rPr>
        <w:t>las</w:t>
      </w:r>
      <w:r>
        <w:rPr>
          <w:color w:val="231F1F"/>
          <w:spacing w:val="-1"/>
          <w:w w:val="105"/>
        </w:rPr>
        <w:t> </w:t>
      </w:r>
      <w:r>
        <w:rPr>
          <w:color w:val="231F1F"/>
          <w:w w:val="105"/>
        </w:rPr>
        <w:t>6</w:t>
      </w:r>
      <w:r>
        <w:rPr>
          <w:color w:val="231F1F"/>
          <w:spacing w:val="-1"/>
          <w:w w:val="105"/>
        </w:rPr>
        <w:t> </w:t>
      </w:r>
      <w:r>
        <w:rPr>
          <w:color w:val="231F1F"/>
          <w:w w:val="105"/>
        </w:rPr>
        <w:t>como</w:t>
      </w:r>
      <w:r>
        <w:rPr>
          <w:color w:val="231F1F"/>
          <w:spacing w:val="-1"/>
          <w:w w:val="105"/>
        </w:rPr>
        <w:t> </w:t>
      </w:r>
      <w:r>
        <w:rPr>
          <w:color w:val="231F1F"/>
          <w:w w:val="105"/>
        </w:rPr>
        <w:t>a</w:t>
      </w:r>
      <w:r>
        <w:rPr>
          <w:color w:val="231F1F"/>
          <w:spacing w:val="-1"/>
          <w:w w:val="105"/>
        </w:rPr>
        <w:t> </w:t>
      </w:r>
      <w:r>
        <w:rPr>
          <w:color w:val="231F1F"/>
          <w:w w:val="105"/>
        </w:rPr>
        <w:t>las</w:t>
      </w:r>
      <w:r>
        <w:rPr>
          <w:color w:val="231F1F"/>
          <w:spacing w:val="-1"/>
          <w:w w:val="105"/>
        </w:rPr>
        <w:t> </w:t>
      </w:r>
      <w:r>
        <w:rPr>
          <w:color w:val="231F1F"/>
          <w:w w:val="105"/>
        </w:rPr>
        <w:t>24-48</w:t>
      </w:r>
      <w:r>
        <w:rPr>
          <w:color w:val="231F1F"/>
          <w:spacing w:val="-1"/>
          <w:w w:val="105"/>
        </w:rPr>
        <w:t> </w:t>
      </w:r>
      <w:r>
        <w:rPr>
          <w:color w:val="231F1F"/>
          <w:w w:val="105"/>
        </w:rPr>
        <w:t>horas.</w:t>
      </w:r>
      <w:r>
        <w:rPr>
          <w:color w:val="231F1F"/>
          <w:spacing w:val="-1"/>
          <w:w w:val="105"/>
        </w:rPr>
        <w:t> </w:t>
      </w:r>
      <w:r>
        <w:rPr>
          <w:color w:val="231F1F"/>
          <w:w w:val="105"/>
        </w:rPr>
        <w:t>No</w:t>
      </w:r>
      <w:r>
        <w:rPr>
          <w:color w:val="231F1F"/>
          <w:spacing w:val="-1"/>
          <w:w w:val="105"/>
        </w:rPr>
        <w:t> </w:t>
      </w:r>
      <w:r>
        <w:rPr>
          <w:color w:val="231F1F"/>
          <w:w w:val="105"/>
        </w:rPr>
        <w:t>se</w:t>
      </w:r>
      <w:r>
        <w:rPr>
          <w:color w:val="231F1F"/>
          <w:spacing w:val="-1"/>
          <w:w w:val="105"/>
        </w:rPr>
        <w:t> </w:t>
      </w:r>
      <w:r>
        <w:rPr>
          <w:color w:val="231F1F"/>
          <w:w w:val="105"/>
        </w:rPr>
        <w:t>observaron diferencias</w:t>
      </w:r>
      <w:r>
        <w:rPr>
          <w:color w:val="231F1F"/>
          <w:w w:val="105"/>
        </w:rPr>
        <w:t> significativas</w:t>
      </w:r>
      <w:r>
        <w:rPr>
          <w:color w:val="231F1F"/>
          <w:w w:val="105"/>
        </w:rPr>
        <w:t> en</w:t>
      </w:r>
      <w:r>
        <w:rPr>
          <w:color w:val="231F1F"/>
          <w:w w:val="105"/>
        </w:rPr>
        <w:t> otras</w:t>
      </w:r>
      <w:r>
        <w:rPr>
          <w:color w:val="231F1F"/>
          <w:w w:val="105"/>
        </w:rPr>
        <w:t> variables</w:t>
      </w:r>
      <w:r>
        <w:rPr>
          <w:color w:val="231F1F"/>
          <w:w w:val="105"/>
        </w:rPr>
        <w:t> como</w:t>
      </w:r>
      <w:r>
        <w:rPr>
          <w:color w:val="231F1F"/>
          <w:w w:val="105"/>
        </w:rPr>
        <w:t> la</w:t>
      </w:r>
      <w:r>
        <w:rPr>
          <w:color w:val="231F1F"/>
          <w:w w:val="105"/>
        </w:rPr>
        <w:t> policitemia,</w:t>
      </w:r>
      <w:r>
        <w:rPr>
          <w:color w:val="231F1F"/>
          <w:w w:val="105"/>
        </w:rPr>
        <w:t> valores</w:t>
      </w:r>
      <w:r>
        <w:rPr>
          <w:color w:val="231F1F"/>
          <w:w w:val="105"/>
        </w:rPr>
        <w:t> del test</w:t>
      </w:r>
      <w:r>
        <w:rPr>
          <w:color w:val="231F1F"/>
          <w:spacing w:val="40"/>
          <w:w w:val="105"/>
        </w:rPr>
        <w:t> </w:t>
      </w:r>
      <w:r>
        <w:rPr>
          <w:color w:val="231F1F"/>
          <w:w w:val="105"/>
        </w:rPr>
        <w:t>Apgar,</w:t>
      </w:r>
      <w:r>
        <w:rPr>
          <w:color w:val="231F1F"/>
          <w:spacing w:val="40"/>
          <w:w w:val="105"/>
        </w:rPr>
        <w:t> </w:t>
      </w:r>
      <w:r>
        <w:rPr>
          <w:color w:val="231F1F"/>
          <w:w w:val="105"/>
        </w:rPr>
        <w:t>lactancia,</w:t>
      </w:r>
      <w:r>
        <w:rPr>
          <w:color w:val="231F1F"/>
          <w:spacing w:val="40"/>
          <w:w w:val="105"/>
        </w:rPr>
        <w:t> </w:t>
      </w:r>
      <w:r>
        <w:rPr>
          <w:color w:val="231F1F"/>
          <w:w w:val="105"/>
        </w:rPr>
        <w:t>problemas</w:t>
      </w:r>
      <w:r>
        <w:rPr>
          <w:color w:val="231F1F"/>
          <w:spacing w:val="40"/>
          <w:w w:val="105"/>
        </w:rPr>
        <w:t> </w:t>
      </w:r>
      <w:r>
        <w:rPr>
          <w:color w:val="231F1F"/>
          <w:w w:val="105"/>
        </w:rPr>
        <w:t>respiratorios</w:t>
      </w:r>
      <w:r>
        <w:rPr>
          <w:color w:val="231F1F"/>
          <w:spacing w:val="40"/>
          <w:w w:val="105"/>
        </w:rPr>
        <w:t> </w:t>
      </w:r>
      <w:r>
        <w:rPr>
          <w:color w:val="231F1F"/>
          <w:w w:val="105"/>
        </w:rPr>
        <w:t>e</w:t>
      </w:r>
      <w:r>
        <w:rPr>
          <w:color w:val="231F1F"/>
          <w:spacing w:val="40"/>
          <w:w w:val="105"/>
        </w:rPr>
        <w:t> </w:t>
      </w:r>
      <w:r>
        <w:rPr>
          <w:color w:val="231F1F"/>
          <w:w w:val="105"/>
        </w:rPr>
        <w:t>ingresos</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UCIN.</w:t>
      </w:r>
    </w:p>
    <w:p>
      <w:pPr>
        <w:pStyle w:val="BodyText"/>
        <w:spacing w:line="244" w:lineRule="auto" w:before="42"/>
        <w:ind w:left="283" w:firstLine="453"/>
        <w:jc w:val="both"/>
      </w:pPr>
      <w:r>
        <w:rPr>
          <w:color w:val="231F1F"/>
          <w:w w:val="110"/>
        </w:rPr>
        <w:t>En resumen, el pinzamiento tardío del cordón (a los 2 ó 3 minutos del nacimiento)</w:t>
      </w:r>
      <w:r>
        <w:rPr>
          <w:color w:val="231F1F"/>
          <w:w w:val="110"/>
        </w:rPr>
        <w:t> demostró</w:t>
      </w:r>
      <w:r>
        <w:rPr>
          <w:color w:val="231F1F"/>
          <w:w w:val="110"/>
        </w:rPr>
        <w:t> no</w:t>
      </w:r>
      <w:r>
        <w:rPr>
          <w:color w:val="231F1F"/>
          <w:w w:val="110"/>
        </w:rPr>
        <w:t> incrementar</w:t>
      </w:r>
      <w:r>
        <w:rPr>
          <w:color w:val="231F1F"/>
          <w:w w:val="110"/>
        </w:rPr>
        <w:t> el</w:t>
      </w:r>
      <w:r>
        <w:rPr>
          <w:color w:val="231F1F"/>
          <w:w w:val="110"/>
        </w:rPr>
        <w:t> riesgo</w:t>
      </w:r>
      <w:r>
        <w:rPr>
          <w:color w:val="231F1F"/>
          <w:w w:val="110"/>
        </w:rPr>
        <w:t> de</w:t>
      </w:r>
      <w:r>
        <w:rPr>
          <w:color w:val="231F1F"/>
          <w:w w:val="110"/>
        </w:rPr>
        <w:t> hemorragia</w:t>
      </w:r>
      <w:r>
        <w:rPr>
          <w:color w:val="231F1F"/>
          <w:w w:val="110"/>
        </w:rPr>
        <w:t> posparto. </w:t>
      </w:r>
      <w:r>
        <w:rPr>
          <w:color w:val="231F1F"/>
          <w:spacing w:val="-2"/>
          <w:w w:val="110"/>
        </w:rPr>
        <w:t>Además,</w:t>
      </w:r>
      <w:r>
        <w:rPr>
          <w:color w:val="231F1F"/>
          <w:spacing w:val="-6"/>
          <w:w w:val="110"/>
        </w:rPr>
        <w:t> </w:t>
      </w:r>
      <w:r>
        <w:rPr>
          <w:color w:val="231F1F"/>
          <w:spacing w:val="-2"/>
          <w:w w:val="110"/>
        </w:rPr>
        <w:t>el</w:t>
      </w:r>
      <w:r>
        <w:rPr>
          <w:color w:val="231F1F"/>
          <w:spacing w:val="-6"/>
          <w:w w:val="110"/>
        </w:rPr>
        <w:t> </w:t>
      </w:r>
      <w:r>
        <w:rPr>
          <w:color w:val="231F1F"/>
          <w:spacing w:val="-2"/>
          <w:w w:val="110"/>
        </w:rPr>
        <w:t>pinzamiento</w:t>
      </w:r>
      <w:r>
        <w:rPr>
          <w:color w:val="231F1F"/>
          <w:spacing w:val="-6"/>
          <w:w w:val="110"/>
        </w:rPr>
        <w:t> </w:t>
      </w:r>
      <w:r>
        <w:rPr>
          <w:color w:val="231F1F"/>
          <w:spacing w:val="-2"/>
          <w:w w:val="110"/>
        </w:rPr>
        <w:t>tardío</w:t>
      </w:r>
      <w:r>
        <w:rPr>
          <w:color w:val="231F1F"/>
          <w:spacing w:val="-6"/>
          <w:w w:val="110"/>
        </w:rPr>
        <w:t> </w:t>
      </w:r>
      <w:r>
        <w:rPr>
          <w:color w:val="231F1F"/>
          <w:spacing w:val="-2"/>
          <w:w w:val="110"/>
        </w:rPr>
        <w:t>puede</w:t>
      </w:r>
      <w:r>
        <w:rPr>
          <w:color w:val="231F1F"/>
          <w:spacing w:val="-6"/>
          <w:w w:val="110"/>
        </w:rPr>
        <w:t> </w:t>
      </w:r>
      <w:r>
        <w:rPr>
          <w:color w:val="231F1F"/>
          <w:spacing w:val="-2"/>
          <w:w w:val="110"/>
        </w:rPr>
        <w:t>ser</w:t>
      </w:r>
      <w:r>
        <w:rPr>
          <w:color w:val="231F1F"/>
          <w:spacing w:val="-6"/>
          <w:w w:val="110"/>
        </w:rPr>
        <w:t> </w:t>
      </w:r>
      <w:r>
        <w:rPr>
          <w:color w:val="231F1F"/>
          <w:spacing w:val="-2"/>
          <w:w w:val="110"/>
        </w:rPr>
        <w:t>ventajoso</w:t>
      </w:r>
      <w:r>
        <w:rPr>
          <w:color w:val="231F1F"/>
          <w:spacing w:val="-6"/>
          <w:w w:val="110"/>
        </w:rPr>
        <w:t> </w:t>
      </w:r>
      <w:r>
        <w:rPr>
          <w:color w:val="231F1F"/>
          <w:spacing w:val="-2"/>
          <w:w w:val="110"/>
        </w:rPr>
        <w:t>para</w:t>
      </w:r>
      <w:r>
        <w:rPr>
          <w:color w:val="231F1F"/>
          <w:spacing w:val="-6"/>
          <w:w w:val="110"/>
        </w:rPr>
        <w:t> </w:t>
      </w:r>
      <w:r>
        <w:rPr>
          <w:color w:val="231F1F"/>
          <w:spacing w:val="-2"/>
          <w:w w:val="110"/>
        </w:rPr>
        <w:t>los</w:t>
      </w:r>
      <w:r>
        <w:rPr>
          <w:color w:val="231F1F"/>
          <w:spacing w:val="-6"/>
          <w:w w:val="110"/>
        </w:rPr>
        <w:t> </w:t>
      </w:r>
      <w:r>
        <w:rPr>
          <w:color w:val="231F1F"/>
          <w:spacing w:val="-2"/>
          <w:w w:val="110"/>
        </w:rPr>
        <w:t>neonatos</w:t>
      </w:r>
      <w:r>
        <w:rPr>
          <w:color w:val="231F1F"/>
          <w:spacing w:val="-6"/>
          <w:w w:val="110"/>
        </w:rPr>
        <w:t> </w:t>
      </w:r>
      <w:r>
        <w:rPr>
          <w:color w:val="231F1F"/>
          <w:spacing w:val="-2"/>
          <w:w w:val="110"/>
        </w:rPr>
        <w:t>porque </w:t>
      </w:r>
      <w:r>
        <w:rPr>
          <w:color w:val="231F1F"/>
          <w:w w:val="110"/>
        </w:rPr>
        <w:t>mejoran</w:t>
      </w:r>
      <w:r>
        <w:rPr>
          <w:color w:val="231F1F"/>
          <w:spacing w:val="-8"/>
          <w:w w:val="110"/>
        </w:rPr>
        <w:t> </w:t>
      </w:r>
      <w:r>
        <w:rPr>
          <w:color w:val="231F1F"/>
          <w:w w:val="110"/>
        </w:rPr>
        <w:t>los</w:t>
      </w:r>
      <w:r>
        <w:rPr>
          <w:color w:val="231F1F"/>
          <w:spacing w:val="-9"/>
          <w:w w:val="110"/>
        </w:rPr>
        <w:t> </w:t>
      </w:r>
      <w:r>
        <w:rPr>
          <w:color w:val="231F1F"/>
          <w:w w:val="110"/>
        </w:rPr>
        <w:t>niveles</w:t>
      </w:r>
      <w:r>
        <w:rPr>
          <w:color w:val="231F1F"/>
          <w:spacing w:val="-9"/>
          <w:w w:val="110"/>
        </w:rPr>
        <w:t> </w:t>
      </w:r>
      <w:r>
        <w:rPr>
          <w:color w:val="231F1F"/>
          <w:w w:val="110"/>
        </w:rPr>
        <w:t>de</w:t>
      </w:r>
      <w:r>
        <w:rPr>
          <w:color w:val="231F1F"/>
          <w:spacing w:val="-8"/>
          <w:w w:val="110"/>
        </w:rPr>
        <w:t> </w:t>
      </w:r>
      <w:r>
        <w:rPr>
          <w:color w:val="231F1F"/>
          <w:w w:val="110"/>
        </w:rPr>
        <w:t>hierro,</w:t>
      </w:r>
      <w:r>
        <w:rPr>
          <w:color w:val="231F1F"/>
          <w:spacing w:val="-9"/>
          <w:w w:val="110"/>
        </w:rPr>
        <w:t> </w:t>
      </w:r>
      <w:r>
        <w:rPr>
          <w:color w:val="231F1F"/>
          <w:w w:val="110"/>
        </w:rPr>
        <w:t>los</w:t>
      </w:r>
      <w:r>
        <w:rPr>
          <w:color w:val="231F1F"/>
          <w:spacing w:val="-9"/>
          <w:w w:val="110"/>
        </w:rPr>
        <w:t> </w:t>
      </w:r>
      <w:r>
        <w:rPr>
          <w:color w:val="231F1F"/>
          <w:w w:val="110"/>
        </w:rPr>
        <w:t>cuales</w:t>
      </w:r>
      <w:r>
        <w:rPr>
          <w:color w:val="231F1F"/>
          <w:spacing w:val="-9"/>
          <w:w w:val="110"/>
        </w:rPr>
        <w:t> </w:t>
      </w:r>
      <w:r>
        <w:rPr>
          <w:color w:val="231F1F"/>
          <w:w w:val="110"/>
        </w:rPr>
        <w:t>pueden</w:t>
      </w:r>
      <w:r>
        <w:rPr>
          <w:color w:val="231F1F"/>
          <w:spacing w:val="-8"/>
          <w:w w:val="110"/>
        </w:rPr>
        <w:t> </w:t>
      </w:r>
      <w:r>
        <w:rPr>
          <w:color w:val="231F1F"/>
          <w:w w:val="110"/>
        </w:rPr>
        <w:t>tener</w:t>
      </w:r>
      <w:r>
        <w:rPr>
          <w:color w:val="231F1F"/>
          <w:spacing w:val="-9"/>
          <w:w w:val="110"/>
        </w:rPr>
        <w:t> </w:t>
      </w:r>
      <w:r>
        <w:rPr>
          <w:color w:val="231F1F"/>
          <w:w w:val="110"/>
        </w:rPr>
        <w:t>valor</w:t>
      </w:r>
      <w:r>
        <w:rPr>
          <w:color w:val="231F1F"/>
          <w:spacing w:val="-9"/>
          <w:w w:val="110"/>
        </w:rPr>
        <w:t> </w:t>
      </w:r>
      <w:r>
        <w:rPr>
          <w:color w:val="231F1F"/>
          <w:w w:val="110"/>
        </w:rPr>
        <w:t>clínico</w:t>
      </w:r>
      <w:r>
        <w:rPr>
          <w:color w:val="231F1F"/>
          <w:spacing w:val="-9"/>
          <w:w w:val="110"/>
        </w:rPr>
        <w:t> </w:t>
      </w:r>
      <w:r>
        <w:rPr>
          <w:color w:val="231F1F"/>
          <w:w w:val="110"/>
        </w:rPr>
        <w:t>en</w:t>
      </w:r>
      <w:r>
        <w:rPr>
          <w:color w:val="231F1F"/>
          <w:spacing w:val="-8"/>
          <w:w w:val="110"/>
        </w:rPr>
        <w:t> </w:t>
      </w:r>
      <w:r>
        <w:rPr>
          <w:color w:val="231F1F"/>
          <w:w w:val="110"/>
        </w:rPr>
        <w:t>niños </w:t>
      </w:r>
      <w:r>
        <w:rPr>
          <w:color w:val="231F1F"/>
          <w:spacing w:val="-2"/>
          <w:w w:val="110"/>
        </w:rPr>
        <w:t>cuyo</w:t>
      </w:r>
      <w:r>
        <w:rPr>
          <w:color w:val="231F1F"/>
          <w:spacing w:val="-8"/>
          <w:w w:val="110"/>
        </w:rPr>
        <w:t> </w:t>
      </w:r>
      <w:r>
        <w:rPr>
          <w:color w:val="231F1F"/>
          <w:spacing w:val="-2"/>
          <w:w w:val="110"/>
        </w:rPr>
        <w:t>acceso</w:t>
      </w:r>
      <w:r>
        <w:rPr>
          <w:color w:val="231F1F"/>
          <w:spacing w:val="-7"/>
          <w:w w:val="110"/>
        </w:rPr>
        <w:t> </w:t>
      </w:r>
      <w:r>
        <w:rPr>
          <w:color w:val="231F1F"/>
          <w:spacing w:val="-2"/>
          <w:w w:val="110"/>
        </w:rPr>
        <w:t>a</w:t>
      </w:r>
      <w:r>
        <w:rPr>
          <w:color w:val="231F1F"/>
          <w:spacing w:val="-8"/>
          <w:w w:val="110"/>
        </w:rPr>
        <w:t> </w:t>
      </w:r>
      <w:r>
        <w:rPr>
          <w:color w:val="231F1F"/>
          <w:spacing w:val="-2"/>
          <w:w w:val="110"/>
        </w:rPr>
        <w:t>una</w:t>
      </w:r>
      <w:r>
        <w:rPr>
          <w:color w:val="231F1F"/>
          <w:spacing w:val="-9"/>
          <w:w w:val="110"/>
        </w:rPr>
        <w:t> </w:t>
      </w:r>
      <w:r>
        <w:rPr>
          <w:color w:val="231F1F"/>
          <w:spacing w:val="-2"/>
          <w:w w:val="110"/>
        </w:rPr>
        <w:t>buena</w:t>
      </w:r>
      <w:r>
        <w:rPr>
          <w:color w:val="231F1F"/>
          <w:spacing w:val="-9"/>
          <w:w w:val="110"/>
        </w:rPr>
        <w:t> </w:t>
      </w:r>
      <w:r>
        <w:rPr>
          <w:color w:val="231F1F"/>
          <w:spacing w:val="-2"/>
          <w:w w:val="110"/>
        </w:rPr>
        <w:t>alimentación</w:t>
      </w:r>
      <w:r>
        <w:rPr>
          <w:color w:val="231F1F"/>
          <w:spacing w:val="-9"/>
          <w:w w:val="110"/>
        </w:rPr>
        <w:t> </w:t>
      </w:r>
      <w:r>
        <w:rPr>
          <w:color w:val="231F1F"/>
          <w:spacing w:val="-2"/>
          <w:w w:val="110"/>
        </w:rPr>
        <w:t>es</w:t>
      </w:r>
      <w:r>
        <w:rPr>
          <w:color w:val="231F1F"/>
          <w:spacing w:val="-9"/>
          <w:w w:val="110"/>
        </w:rPr>
        <w:t> </w:t>
      </w:r>
      <w:r>
        <w:rPr>
          <w:color w:val="231F1F"/>
          <w:spacing w:val="-2"/>
          <w:w w:val="110"/>
        </w:rPr>
        <w:t>déficitario,</w:t>
      </w:r>
      <w:r>
        <w:rPr>
          <w:color w:val="231F1F"/>
          <w:spacing w:val="-9"/>
          <w:w w:val="110"/>
        </w:rPr>
        <w:t> </w:t>
      </w:r>
      <w:r>
        <w:rPr>
          <w:color w:val="231F1F"/>
          <w:spacing w:val="-2"/>
          <w:w w:val="110"/>
        </w:rPr>
        <w:t>aunque</w:t>
      </w:r>
      <w:r>
        <w:rPr>
          <w:color w:val="231F1F"/>
          <w:spacing w:val="-8"/>
          <w:w w:val="110"/>
        </w:rPr>
        <w:t> </w:t>
      </w:r>
      <w:r>
        <w:rPr>
          <w:color w:val="231F1F"/>
          <w:spacing w:val="-2"/>
          <w:w w:val="110"/>
        </w:rPr>
        <w:t>aumenta</w:t>
      </w:r>
      <w:r>
        <w:rPr>
          <w:color w:val="231F1F"/>
          <w:spacing w:val="-9"/>
          <w:w w:val="110"/>
        </w:rPr>
        <w:t> </w:t>
      </w:r>
      <w:r>
        <w:rPr>
          <w:color w:val="231F1F"/>
          <w:spacing w:val="-2"/>
          <w:w w:val="110"/>
        </w:rPr>
        <w:t>el</w:t>
      </w:r>
      <w:r>
        <w:rPr>
          <w:color w:val="231F1F"/>
          <w:spacing w:val="-9"/>
          <w:w w:val="110"/>
        </w:rPr>
        <w:t> </w:t>
      </w:r>
      <w:r>
        <w:rPr>
          <w:color w:val="231F1F"/>
          <w:spacing w:val="-2"/>
          <w:w w:val="110"/>
        </w:rPr>
        <w:t>ries- </w:t>
      </w:r>
      <w:r>
        <w:rPr>
          <w:color w:val="231F1F"/>
          <w:w w:val="110"/>
        </w:rPr>
        <w:t>go de ictericia con requerimiento de fototerapia.</w:t>
      </w:r>
    </w:p>
    <w:p>
      <w:pPr>
        <w:pStyle w:val="BodyText"/>
        <w:spacing w:line="249" w:lineRule="auto" w:before="132"/>
        <w:ind w:left="283" w:right="1" w:firstLine="453"/>
        <w:jc w:val="both"/>
      </w:pPr>
      <w:r>
        <w:rPr>
          <w:color w:val="231F1F"/>
          <w:w w:val="105"/>
        </w:rPr>
        <w:t>El GEG cosnsidera que la calidad de la evidencia es buena ya que tanto los estudios incluidos en NICE (10) como el metaanálisis del JAMA, realiza- do</w:t>
      </w:r>
      <w:r>
        <w:rPr>
          <w:color w:val="231F1F"/>
          <w:w w:val="105"/>
        </w:rPr>
        <w:t> por</w:t>
      </w:r>
      <w:r>
        <w:rPr>
          <w:color w:val="231F1F"/>
          <w:w w:val="105"/>
        </w:rPr>
        <w:t> Hutton</w:t>
      </w:r>
      <w:r>
        <w:rPr>
          <w:color w:val="231F1F"/>
          <w:w w:val="105"/>
        </w:rPr>
        <w:t> et</w:t>
      </w:r>
      <w:r>
        <w:rPr>
          <w:color w:val="231F1F"/>
          <w:w w:val="105"/>
        </w:rPr>
        <w:t> al</w:t>
      </w:r>
      <w:r>
        <w:rPr>
          <w:color w:val="231F1F"/>
          <w:w w:val="105"/>
        </w:rPr>
        <w:t> (225)</w:t>
      </w:r>
      <w:r>
        <w:rPr>
          <w:color w:val="231F1F"/>
          <w:w w:val="105"/>
        </w:rPr>
        <w:t> tienen</w:t>
      </w:r>
      <w:r>
        <w:rPr>
          <w:color w:val="231F1F"/>
          <w:w w:val="105"/>
        </w:rPr>
        <w:t> un</w:t>
      </w:r>
      <w:r>
        <w:rPr>
          <w:color w:val="231F1F"/>
          <w:w w:val="105"/>
        </w:rPr>
        <w:t> NE=1+</w:t>
      </w:r>
      <w:r>
        <w:rPr>
          <w:color w:val="231F1F"/>
          <w:w w:val="105"/>
        </w:rPr>
        <w:t> y</w:t>
      </w:r>
      <w:r>
        <w:rPr>
          <w:color w:val="231F1F"/>
          <w:w w:val="105"/>
        </w:rPr>
        <w:t> la</w:t>
      </w:r>
      <w:r>
        <w:rPr>
          <w:color w:val="231F1F"/>
          <w:w w:val="105"/>
        </w:rPr>
        <w:t> revisión</w:t>
      </w:r>
      <w:r>
        <w:rPr>
          <w:color w:val="231F1F"/>
          <w:w w:val="105"/>
        </w:rPr>
        <w:t> de</w:t>
      </w:r>
      <w:r>
        <w:rPr>
          <w:color w:val="231F1F"/>
          <w:w w:val="105"/>
        </w:rPr>
        <w:t> Cochrane</w:t>
      </w:r>
      <w:r>
        <w:rPr>
          <w:color w:val="231F1F"/>
          <w:w w:val="105"/>
        </w:rPr>
        <w:t> tiene estudios de calidad media y alta.</w:t>
      </w:r>
    </w:p>
    <w:p>
      <w:pPr>
        <w:pStyle w:val="BodyText"/>
        <w:spacing w:line="268" w:lineRule="auto" w:before="129"/>
        <w:ind w:left="283" w:right="3" w:firstLine="453"/>
        <w:jc w:val="both"/>
      </w:pPr>
      <w:r>
        <w:rPr>
          <w:color w:val="231F1F"/>
        </w:rPr>
        <w:t>Al valorar los resultados NICE (10) se centra en la localización de los estu- dios, hace hincapié en que los datos son difícilmente extrapolables a la población general porque algunos están realizados en países con bajos niveles de ingresos.</w:t>
      </w:r>
    </w:p>
    <w:p>
      <w:pPr>
        <w:pStyle w:val="BodyText"/>
        <w:spacing w:before="57"/>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
        <w:rPr>
          <w:rFonts w:ascii="Arial MT"/>
          <w:sz w:val="18"/>
        </w:rPr>
      </w:pPr>
    </w:p>
    <w:p>
      <w:pPr>
        <w:spacing w:line="278" w:lineRule="auto" w:before="0"/>
        <w:ind w:left="526" w:right="234"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pStyle w:val="BodyText"/>
        <w:rPr>
          <w:rFonts w:ascii="Arial MT"/>
          <w:sz w:val="18"/>
        </w:rPr>
      </w:pPr>
    </w:p>
    <w:p>
      <w:pPr>
        <w:pStyle w:val="BodyText"/>
        <w:spacing w:before="28"/>
        <w:rPr>
          <w:rFonts w:ascii="Arial MT"/>
          <w:sz w:val="18"/>
        </w:rPr>
      </w:pPr>
    </w:p>
    <w:p>
      <w:pPr>
        <w:spacing w:line="278" w:lineRule="auto" w:before="0"/>
        <w:ind w:left="526" w:right="234"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pStyle w:val="BodyText"/>
        <w:rPr>
          <w:rFonts w:ascii="Arial MT"/>
          <w:sz w:val="18"/>
        </w:rPr>
      </w:pPr>
    </w:p>
    <w:p>
      <w:pPr>
        <w:pStyle w:val="BodyText"/>
        <w:spacing w:before="22"/>
        <w:rPr>
          <w:rFonts w:ascii="Arial MT"/>
          <w:sz w:val="18"/>
        </w:rPr>
      </w:pPr>
    </w:p>
    <w:p>
      <w:pPr>
        <w:spacing w:line="278" w:lineRule="auto" w:before="1"/>
        <w:ind w:left="526" w:right="234"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39"/>
        <w:rPr>
          <w:rFonts w:ascii="Arial MT"/>
          <w:sz w:val="18"/>
        </w:rPr>
      </w:pPr>
    </w:p>
    <w:p>
      <w:pPr>
        <w:spacing w:line="278" w:lineRule="auto" w:before="0"/>
        <w:ind w:left="526" w:right="234"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spacing w:after="0" w:line="278" w:lineRule="auto"/>
        <w:jc w:val="left"/>
        <w:rPr>
          <w:rFonts w:ascii="Arial MT"/>
          <w:sz w:val="18"/>
        </w:rPr>
        <w:sectPr>
          <w:pgSz w:w="11900" w:h="16840"/>
          <w:pgMar w:header="0" w:footer="622" w:top="1560" w:bottom="2575" w:left="1417" w:right="1559"/>
          <w:cols w:num="2" w:equalWidth="0">
            <w:col w:w="7552" w:space="40"/>
            <w:col w:w="1332"/>
          </w:cols>
        </w:sectPr>
      </w:pP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61" w:lineRule="auto" w:before="39"/>
              <w:ind w:right="137"/>
              <w:jc w:val="both"/>
              <w:rPr>
                <w:sz w:val="22"/>
              </w:rPr>
            </w:pPr>
            <w:r>
              <w:rPr>
                <w:color w:val="231F1F"/>
                <w:w w:val="110"/>
                <w:sz w:val="22"/>
              </w:rPr>
              <w:t>Hay</w:t>
            </w:r>
            <w:r>
              <w:rPr>
                <w:color w:val="231F1F"/>
                <w:spacing w:val="-9"/>
                <w:w w:val="110"/>
                <w:sz w:val="22"/>
              </w:rPr>
              <w:t> </w:t>
            </w:r>
            <w:r>
              <w:rPr>
                <w:color w:val="231F1F"/>
                <w:w w:val="110"/>
                <w:sz w:val="22"/>
              </w:rPr>
              <w:t>evidencia</w:t>
            </w:r>
            <w:r>
              <w:rPr>
                <w:color w:val="231F1F"/>
                <w:spacing w:val="-9"/>
                <w:w w:val="110"/>
                <w:sz w:val="22"/>
              </w:rPr>
              <w:t> </w:t>
            </w:r>
            <w:r>
              <w:rPr>
                <w:color w:val="231F1F"/>
                <w:w w:val="110"/>
                <w:sz w:val="22"/>
              </w:rPr>
              <w:t>de</w:t>
            </w:r>
            <w:r>
              <w:rPr>
                <w:color w:val="231F1F"/>
                <w:spacing w:val="-9"/>
                <w:w w:val="110"/>
                <w:sz w:val="22"/>
              </w:rPr>
              <w:t> </w:t>
            </w:r>
            <w:r>
              <w:rPr>
                <w:color w:val="231F1F"/>
                <w:w w:val="110"/>
                <w:sz w:val="22"/>
              </w:rPr>
              <w:t>buena</w:t>
            </w:r>
            <w:r>
              <w:rPr>
                <w:color w:val="231F1F"/>
                <w:spacing w:val="-9"/>
                <w:w w:val="110"/>
                <w:sz w:val="22"/>
              </w:rPr>
              <w:t> </w:t>
            </w:r>
            <w:r>
              <w:rPr>
                <w:color w:val="231F1F"/>
                <w:w w:val="110"/>
                <w:sz w:val="22"/>
              </w:rPr>
              <w:t>calidad</w:t>
            </w:r>
            <w:r>
              <w:rPr>
                <w:color w:val="231F1F"/>
                <w:spacing w:val="-9"/>
                <w:w w:val="110"/>
                <w:sz w:val="22"/>
              </w:rPr>
              <w:t> </w:t>
            </w:r>
            <w:r>
              <w:rPr>
                <w:color w:val="231F1F"/>
                <w:w w:val="110"/>
                <w:sz w:val="22"/>
              </w:rPr>
              <w:t>que</w:t>
            </w:r>
            <w:r>
              <w:rPr>
                <w:color w:val="231F1F"/>
                <w:spacing w:val="-9"/>
                <w:w w:val="110"/>
                <w:sz w:val="22"/>
              </w:rPr>
              <w:t> </w:t>
            </w:r>
            <w:r>
              <w:rPr>
                <w:color w:val="231F1F"/>
                <w:w w:val="110"/>
                <w:sz w:val="22"/>
              </w:rPr>
              <w:t>indique</w:t>
            </w:r>
            <w:r>
              <w:rPr>
                <w:color w:val="231F1F"/>
                <w:spacing w:val="-9"/>
                <w:w w:val="110"/>
                <w:sz w:val="22"/>
              </w:rPr>
              <w:t> </w:t>
            </w:r>
            <w:r>
              <w:rPr>
                <w:color w:val="231F1F"/>
                <w:w w:val="110"/>
                <w:sz w:val="22"/>
              </w:rPr>
              <w:t>que</w:t>
            </w:r>
            <w:r>
              <w:rPr>
                <w:color w:val="231F1F"/>
                <w:spacing w:val="-9"/>
                <w:w w:val="110"/>
                <w:sz w:val="22"/>
              </w:rPr>
              <w:t> </w:t>
            </w:r>
            <w:r>
              <w:rPr>
                <w:color w:val="231F1F"/>
                <w:w w:val="110"/>
                <w:sz w:val="22"/>
              </w:rPr>
              <w:t>el</w:t>
            </w:r>
            <w:r>
              <w:rPr>
                <w:color w:val="231F1F"/>
                <w:spacing w:val="-9"/>
                <w:w w:val="110"/>
                <w:sz w:val="22"/>
              </w:rPr>
              <w:t> </w:t>
            </w:r>
            <w:r>
              <w:rPr>
                <w:color w:val="231F1F"/>
                <w:w w:val="110"/>
                <w:sz w:val="22"/>
              </w:rPr>
              <w:t>pinzamiento</w:t>
            </w:r>
            <w:r>
              <w:rPr>
                <w:color w:val="231F1F"/>
                <w:spacing w:val="-9"/>
                <w:w w:val="110"/>
                <w:sz w:val="22"/>
              </w:rPr>
              <w:t> </w:t>
            </w:r>
            <w:r>
              <w:rPr>
                <w:color w:val="231F1F"/>
                <w:w w:val="110"/>
                <w:sz w:val="22"/>
              </w:rPr>
              <w:t>tardío</w:t>
            </w:r>
            <w:r>
              <w:rPr>
                <w:color w:val="231F1F"/>
                <w:spacing w:val="-9"/>
                <w:w w:val="110"/>
                <w:sz w:val="22"/>
              </w:rPr>
              <w:t> </w:t>
            </w:r>
            <w:r>
              <w:rPr>
                <w:color w:val="231F1F"/>
                <w:w w:val="110"/>
                <w:sz w:val="22"/>
              </w:rPr>
              <w:t>del cordón</w:t>
            </w:r>
            <w:r>
              <w:rPr>
                <w:color w:val="231F1F"/>
                <w:spacing w:val="-16"/>
                <w:w w:val="110"/>
                <w:sz w:val="22"/>
              </w:rPr>
              <w:t> </w:t>
            </w:r>
            <w:r>
              <w:rPr>
                <w:color w:val="231F1F"/>
                <w:w w:val="110"/>
                <w:sz w:val="22"/>
              </w:rPr>
              <w:t>umbilical</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neonatos</w:t>
            </w:r>
            <w:r>
              <w:rPr>
                <w:color w:val="231F1F"/>
                <w:spacing w:val="-15"/>
                <w:w w:val="110"/>
                <w:sz w:val="22"/>
              </w:rPr>
              <w:t> </w:t>
            </w:r>
            <w:r>
              <w:rPr>
                <w:color w:val="231F1F"/>
                <w:w w:val="110"/>
                <w:sz w:val="22"/>
              </w:rPr>
              <w:t>a</w:t>
            </w:r>
            <w:r>
              <w:rPr>
                <w:color w:val="231F1F"/>
                <w:spacing w:val="-15"/>
                <w:w w:val="110"/>
                <w:sz w:val="22"/>
              </w:rPr>
              <w:t> </w:t>
            </w:r>
            <w:r>
              <w:rPr>
                <w:color w:val="231F1F"/>
                <w:w w:val="110"/>
                <w:sz w:val="22"/>
              </w:rPr>
              <w:t>término,</w:t>
            </w:r>
            <w:r>
              <w:rPr>
                <w:color w:val="231F1F"/>
                <w:spacing w:val="-15"/>
                <w:w w:val="110"/>
                <w:sz w:val="22"/>
              </w:rPr>
              <w:t> </w:t>
            </w:r>
            <w:r>
              <w:rPr>
                <w:color w:val="231F1F"/>
                <w:w w:val="110"/>
                <w:sz w:val="22"/>
              </w:rPr>
              <w:t>al</w:t>
            </w:r>
            <w:r>
              <w:rPr>
                <w:color w:val="231F1F"/>
                <w:spacing w:val="-15"/>
                <w:w w:val="110"/>
                <w:sz w:val="22"/>
              </w:rPr>
              <w:t> </w:t>
            </w:r>
            <w:r>
              <w:rPr>
                <w:color w:val="231F1F"/>
                <w:w w:val="110"/>
                <w:sz w:val="22"/>
              </w:rPr>
              <w:t>menos</w:t>
            </w:r>
            <w:r>
              <w:rPr>
                <w:color w:val="231F1F"/>
                <w:spacing w:val="-15"/>
                <w:w w:val="110"/>
                <w:sz w:val="22"/>
              </w:rPr>
              <w:t> </w:t>
            </w:r>
            <w:r>
              <w:rPr>
                <w:color w:val="231F1F"/>
                <w:w w:val="110"/>
                <w:sz w:val="22"/>
              </w:rPr>
              <w:t>dos</w:t>
            </w:r>
            <w:r>
              <w:rPr>
                <w:color w:val="231F1F"/>
                <w:spacing w:val="-16"/>
                <w:w w:val="110"/>
                <w:sz w:val="22"/>
              </w:rPr>
              <w:t> </w:t>
            </w:r>
            <w:r>
              <w:rPr>
                <w:color w:val="231F1F"/>
                <w:w w:val="110"/>
                <w:sz w:val="22"/>
              </w:rPr>
              <w:t>minutos</w:t>
            </w:r>
            <w:r>
              <w:rPr>
                <w:color w:val="231F1F"/>
                <w:spacing w:val="-15"/>
                <w:w w:val="110"/>
                <w:sz w:val="22"/>
              </w:rPr>
              <w:t> </w:t>
            </w:r>
            <w:r>
              <w:rPr>
                <w:color w:val="231F1F"/>
                <w:w w:val="110"/>
                <w:sz w:val="22"/>
              </w:rPr>
              <w:t>después</w:t>
            </w:r>
            <w:r>
              <w:rPr>
                <w:color w:val="231F1F"/>
                <w:spacing w:val="-15"/>
                <w:w w:val="110"/>
                <w:sz w:val="22"/>
              </w:rPr>
              <w:t> </w:t>
            </w:r>
            <w:r>
              <w:rPr>
                <w:color w:val="231F1F"/>
                <w:w w:val="110"/>
                <w:sz w:val="22"/>
              </w:rPr>
              <w:t>del </w:t>
            </w:r>
            <w:r>
              <w:rPr>
                <w:color w:val="231F1F"/>
                <w:sz w:val="22"/>
              </w:rPr>
              <w:t>parto,</w:t>
            </w:r>
            <w:r>
              <w:rPr>
                <w:color w:val="231F1F"/>
                <w:spacing w:val="34"/>
                <w:sz w:val="22"/>
              </w:rPr>
              <w:t> </w:t>
            </w:r>
            <w:r>
              <w:rPr>
                <w:color w:val="231F1F"/>
                <w:sz w:val="22"/>
              </w:rPr>
              <w:t>no</w:t>
            </w:r>
            <w:r>
              <w:rPr>
                <w:color w:val="231F1F"/>
                <w:spacing w:val="34"/>
                <w:sz w:val="22"/>
              </w:rPr>
              <w:t> </w:t>
            </w:r>
            <w:r>
              <w:rPr>
                <w:color w:val="231F1F"/>
                <w:sz w:val="22"/>
              </w:rPr>
              <w:t>incrementa</w:t>
            </w:r>
            <w:r>
              <w:rPr>
                <w:color w:val="231F1F"/>
                <w:spacing w:val="35"/>
                <w:sz w:val="22"/>
              </w:rPr>
              <w:t> </w:t>
            </w:r>
            <w:r>
              <w:rPr>
                <w:color w:val="231F1F"/>
                <w:sz w:val="22"/>
              </w:rPr>
              <w:t>el</w:t>
            </w:r>
            <w:r>
              <w:rPr>
                <w:color w:val="231F1F"/>
                <w:spacing w:val="34"/>
                <w:sz w:val="22"/>
              </w:rPr>
              <w:t> </w:t>
            </w:r>
            <w:r>
              <w:rPr>
                <w:color w:val="231F1F"/>
                <w:sz w:val="22"/>
              </w:rPr>
              <w:t>riesgo</w:t>
            </w:r>
            <w:r>
              <w:rPr>
                <w:color w:val="231F1F"/>
                <w:spacing w:val="34"/>
                <w:sz w:val="22"/>
              </w:rPr>
              <w:t> </w:t>
            </w:r>
            <w:r>
              <w:rPr>
                <w:color w:val="231F1F"/>
                <w:sz w:val="22"/>
              </w:rPr>
              <w:t>de</w:t>
            </w:r>
            <w:r>
              <w:rPr>
                <w:color w:val="231F1F"/>
                <w:spacing w:val="34"/>
                <w:sz w:val="22"/>
              </w:rPr>
              <w:t> </w:t>
            </w:r>
            <w:r>
              <w:rPr>
                <w:color w:val="231F1F"/>
                <w:sz w:val="22"/>
              </w:rPr>
              <w:t>hemorragia</w:t>
            </w:r>
            <w:r>
              <w:rPr>
                <w:color w:val="231F1F"/>
                <w:spacing w:val="33"/>
                <w:sz w:val="22"/>
              </w:rPr>
              <w:t> </w:t>
            </w:r>
            <w:r>
              <w:rPr>
                <w:color w:val="231F1F"/>
                <w:sz w:val="22"/>
              </w:rPr>
              <w:t>posparto</w:t>
            </w:r>
            <w:r>
              <w:rPr>
                <w:color w:val="231F1F"/>
                <w:spacing w:val="34"/>
                <w:sz w:val="22"/>
              </w:rPr>
              <w:t> </w:t>
            </w:r>
            <w:r>
              <w:rPr>
                <w:color w:val="231F1F"/>
                <w:sz w:val="22"/>
              </w:rPr>
              <w:t>y</w:t>
            </w:r>
            <w:r>
              <w:rPr>
                <w:color w:val="231F1F"/>
                <w:spacing w:val="34"/>
                <w:sz w:val="22"/>
              </w:rPr>
              <w:t> </w:t>
            </w:r>
            <w:r>
              <w:rPr>
                <w:color w:val="231F1F"/>
                <w:sz w:val="22"/>
              </w:rPr>
              <w:t>mejoran</w:t>
            </w:r>
            <w:r>
              <w:rPr>
                <w:color w:val="231F1F"/>
                <w:spacing w:val="34"/>
                <w:sz w:val="22"/>
              </w:rPr>
              <w:t> </w:t>
            </w:r>
            <w:r>
              <w:rPr>
                <w:color w:val="231F1F"/>
                <w:sz w:val="22"/>
              </w:rPr>
              <w:t>los</w:t>
            </w:r>
            <w:r>
              <w:rPr>
                <w:color w:val="231F1F"/>
                <w:spacing w:val="34"/>
                <w:sz w:val="22"/>
              </w:rPr>
              <w:t> </w:t>
            </w:r>
            <w:r>
              <w:rPr>
                <w:color w:val="231F1F"/>
                <w:sz w:val="22"/>
              </w:rPr>
              <w:t>niveles </w:t>
            </w:r>
            <w:r>
              <w:rPr>
                <w:color w:val="231F1F"/>
                <w:w w:val="110"/>
                <w:sz w:val="22"/>
              </w:rPr>
              <w:t>de hierro en neonatos (225;226).</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type w:val="continuous"/>
          <w:pgSz w:w="11900" w:h="16840"/>
          <w:pgMar w:header="0" w:footer="622" w:top="560" w:bottom="28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w w:val="110"/>
                <w:sz w:val="22"/>
              </w:rPr>
              <w:t>A</w:t>
            </w:r>
            <w:r>
              <w:rPr>
                <w:color w:val="231F1F"/>
                <w:spacing w:val="-7"/>
                <w:w w:val="110"/>
                <w:sz w:val="22"/>
              </w:rPr>
              <w:t> </w:t>
            </w:r>
            <w:r>
              <w:rPr>
                <w:color w:val="231F1F"/>
                <w:w w:val="110"/>
                <w:sz w:val="22"/>
              </w:rPr>
              <w:t>pesar</w:t>
            </w:r>
            <w:r>
              <w:rPr>
                <w:color w:val="231F1F"/>
                <w:spacing w:val="-7"/>
                <w:w w:val="110"/>
                <w:sz w:val="22"/>
              </w:rPr>
              <w:t> </w:t>
            </w:r>
            <w:r>
              <w:rPr>
                <w:color w:val="231F1F"/>
                <w:w w:val="110"/>
                <w:sz w:val="22"/>
              </w:rPr>
              <w:t>de</w:t>
            </w:r>
            <w:r>
              <w:rPr>
                <w:color w:val="231F1F"/>
                <w:spacing w:val="-7"/>
                <w:w w:val="110"/>
                <w:sz w:val="22"/>
              </w:rPr>
              <w:t> </w:t>
            </w:r>
            <w:r>
              <w:rPr>
                <w:color w:val="231F1F"/>
                <w:w w:val="110"/>
                <w:sz w:val="22"/>
              </w:rPr>
              <w:t>que</w:t>
            </w:r>
            <w:r>
              <w:rPr>
                <w:color w:val="231F1F"/>
                <w:spacing w:val="-7"/>
                <w:w w:val="110"/>
                <w:sz w:val="22"/>
              </w:rPr>
              <w:t> </w:t>
            </w:r>
            <w:r>
              <w:rPr>
                <w:color w:val="231F1F"/>
                <w:w w:val="110"/>
                <w:sz w:val="22"/>
              </w:rPr>
              <w:t>existe</w:t>
            </w:r>
            <w:r>
              <w:rPr>
                <w:color w:val="231F1F"/>
                <w:spacing w:val="-7"/>
                <w:w w:val="110"/>
                <w:sz w:val="22"/>
              </w:rPr>
              <w:t> </w:t>
            </w:r>
            <w:r>
              <w:rPr>
                <w:color w:val="231F1F"/>
                <w:w w:val="110"/>
                <w:sz w:val="22"/>
              </w:rPr>
              <w:t>un</w:t>
            </w:r>
            <w:r>
              <w:rPr>
                <w:color w:val="231F1F"/>
                <w:spacing w:val="-7"/>
                <w:w w:val="110"/>
                <w:sz w:val="22"/>
              </w:rPr>
              <w:t> </w:t>
            </w:r>
            <w:r>
              <w:rPr>
                <w:color w:val="231F1F"/>
                <w:w w:val="110"/>
                <w:sz w:val="22"/>
              </w:rPr>
              <w:t>aumento</w:t>
            </w:r>
            <w:r>
              <w:rPr>
                <w:color w:val="231F1F"/>
                <w:spacing w:val="-7"/>
                <w:w w:val="110"/>
                <w:sz w:val="22"/>
              </w:rPr>
              <w:t> </w:t>
            </w:r>
            <w:r>
              <w:rPr>
                <w:color w:val="231F1F"/>
                <w:w w:val="110"/>
                <w:sz w:val="22"/>
              </w:rPr>
              <w:t>de</w:t>
            </w:r>
            <w:r>
              <w:rPr>
                <w:color w:val="231F1F"/>
                <w:spacing w:val="-7"/>
                <w:w w:val="110"/>
                <w:sz w:val="22"/>
              </w:rPr>
              <w:t> </w:t>
            </w:r>
            <w:r>
              <w:rPr>
                <w:color w:val="231F1F"/>
                <w:w w:val="110"/>
                <w:sz w:val="22"/>
              </w:rPr>
              <w:t>niños</w:t>
            </w:r>
            <w:r>
              <w:rPr>
                <w:color w:val="231F1F"/>
                <w:spacing w:val="-7"/>
                <w:w w:val="110"/>
                <w:sz w:val="22"/>
              </w:rPr>
              <w:t> </w:t>
            </w:r>
            <w:r>
              <w:rPr>
                <w:color w:val="231F1F"/>
                <w:w w:val="110"/>
                <w:sz w:val="22"/>
              </w:rPr>
              <w:t>con</w:t>
            </w:r>
            <w:r>
              <w:rPr>
                <w:color w:val="231F1F"/>
                <w:spacing w:val="-7"/>
                <w:w w:val="110"/>
                <w:sz w:val="22"/>
              </w:rPr>
              <w:t> </w:t>
            </w:r>
            <w:r>
              <w:rPr>
                <w:color w:val="231F1F"/>
                <w:w w:val="110"/>
                <w:sz w:val="22"/>
              </w:rPr>
              <w:t>policitemia</w:t>
            </w:r>
            <w:r>
              <w:rPr>
                <w:color w:val="231F1F"/>
                <w:spacing w:val="-7"/>
                <w:w w:val="110"/>
                <w:sz w:val="22"/>
              </w:rPr>
              <w:t> </w:t>
            </w:r>
            <w:r>
              <w:rPr>
                <w:color w:val="231F1F"/>
                <w:w w:val="110"/>
                <w:sz w:val="22"/>
              </w:rPr>
              <w:t>entre</w:t>
            </w:r>
            <w:r>
              <w:rPr>
                <w:color w:val="231F1F"/>
                <w:spacing w:val="-7"/>
                <w:w w:val="110"/>
                <w:sz w:val="22"/>
              </w:rPr>
              <w:t> </w:t>
            </w:r>
            <w:r>
              <w:rPr>
                <w:color w:val="231F1F"/>
                <w:w w:val="110"/>
                <w:sz w:val="22"/>
              </w:rPr>
              <w:t>los</w:t>
            </w:r>
            <w:r>
              <w:rPr>
                <w:color w:val="231F1F"/>
                <w:spacing w:val="-7"/>
                <w:w w:val="110"/>
                <w:sz w:val="22"/>
              </w:rPr>
              <w:t> </w:t>
            </w:r>
            <w:r>
              <w:rPr>
                <w:color w:val="231F1F"/>
                <w:w w:val="110"/>
                <w:sz w:val="22"/>
              </w:rPr>
              <w:t>de pinzamiento tardío, este hecho parece ser benigno (225).</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156"/>
              <w:rPr>
                <w:sz w:val="22"/>
              </w:rPr>
            </w:pPr>
            <w:r>
              <w:rPr>
                <w:color w:val="231F1F"/>
                <w:w w:val="110"/>
                <w:sz w:val="22"/>
              </w:rPr>
              <w:t>En</w:t>
            </w:r>
            <w:r>
              <w:rPr>
                <w:color w:val="231F1F"/>
                <w:spacing w:val="-8"/>
                <w:w w:val="110"/>
                <w:sz w:val="22"/>
              </w:rPr>
              <w:t> </w:t>
            </w:r>
            <w:r>
              <w:rPr>
                <w:color w:val="231F1F"/>
                <w:w w:val="110"/>
                <w:sz w:val="22"/>
              </w:rPr>
              <w:t>el</w:t>
            </w:r>
            <w:r>
              <w:rPr>
                <w:color w:val="231F1F"/>
                <w:spacing w:val="-9"/>
                <w:w w:val="110"/>
                <w:sz w:val="22"/>
              </w:rPr>
              <w:t> </w:t>
            </w:r>
            <w:r>
              <w:rPr>
                <w:color w:val="231F1F"/>
                <w:w w:val="110"/>
                <w:sz w:val="22"/>
              </w:rPr>
              <w:t>grupo</w:t>
            </w:r>
            <w:r>
              <w:rPr>
                <w:color w:val="231F1F"/>
                <w:spacing w:val="-8"/>
                <w:w w:val="110"/>
                <w:sz w:val="22"/>
              </w:rPr>
              <w:t> </w:t>
            </w:r>
            <w:r>
              <w:rPr>
                <w:color w:val="231F1F"/>
                <w:w w:val="110"/>
                <w:sz w:val="22"/>
              </w:rPr>
              <w:t>con</w:t>
            </w:r>
            <w:r>
              <w:rPr>
                <w:color w:val="231F1F"/>
                <w:spacing w:val="-8"/>
                <w:w w:val="110"/>
                <w:sz w:val="22"/>
              </w:rPr>
              <w:t> </w:t>
            </w:r>
            <w:r>
              <w:rPr>
                <w:color w:val="231F1F"/>
                <w:w w:val="110"/>
                <w:sz w:val="22"/>
              </w:rPr>
              <w:t>pinzamiento</w:t>
            </w:r>
            <w:r>
              <w:rPr>
                <w:color w:val="231F1F"/>
                <w:spacing w:val="-8"/>
                <w:w w:val="110"/>
                <w:sz w:val="22"/>
              </w:rPr>
              <w:t> </w:t>
            </w:r>
            <w:r>
              <w:rPr>
                <w:color w:val="231F1F"/>
                <w:w w:val="110"/>
                <w:sz w:val="22"/>
              </w:rPr>
              <w:t>temprano</w:t>
            </w:r>
            <w:r>
              <w:rPr>
                <w:color w:val="231F1F"/>
                <w:spacing w:val="-8"/>
                <w:w w:val="110"/>
                <w:sz w:val="22"/>
              </w:rPr>
              <w:t> </w:t>
            </w:r>
            <w:r>
              <w:rPr>
                <w:color w:val="231F1F"/>
                <w:w w:val="110"/>
                <w:sz w:val="22"/>
              </w:rPr>
              <w:t>se</w:t>
            </w:r>
            <w:r>
              <w:rPr>
                <w:color w:val="231F1F"/>
                <w:spacing w:val="-8"/>
                <w:w w:val="110"/>
                <w:sz w:val="22"/>
              </w:rPr>
              <w:t> </w:t>
            </w:r>
            <w:r>
              <w:rPr>
                <w:color w:val="231F1F"/>
                <w:w w:val="110"/>
                <w:sz w:val="22"/>
              </w:rPr>
              <w:t>observó</w:t>
            </w:r>
            <w:r>
              <w:rPr>
                <w:color w:val="231F1F"/>
                <w:spacing w:val="-8"/>
                <w:w w:val="110"/>
                <w:sz w:val="22"/>
              </w:rPr>
              <w:t> </w:t>
            </w:r>
            <w:r>
              <w:rPr>
                <w:color w:val="231F1F"/>
                <w:w w:val="110"/>
                <w:sz w:val="22"/>
              </w:rPr>
              <w:t>un</w:t>
            </w:r>
            <w:r>
              <w:rPr>
                <w:color w:val="231F1F"/>
                <w:spacing w:val="-8"/>
                <w:w w:val="110"/>
                <w:sz w:val="22"/>
              </w:rPr>
              <w:t> </w:t>
            </w:r>
            <w:r>
              <w:rPr>
                <w:color w:val="231F1F"/>
                <w:w w:val="110"/>
                <w:sz w:val="22"/>
              </w:rPr>
              <w:t>menor</w:t>
            </w:r>
            <w:r>
              <w:rPr>
                <w:color w:val="231F1F"/>
                <w:spacing w:val="-8"/>
                <w:w w:val="110"/>
                <w:sz w:val="22"/>
              </w:rPr>
              <w:t> </w:t>
            </w:r>
            <w:r>
              <w:rPr>
                <w:color w:val="231F1F"/>
                <w:w w:val="110"/>
                <w:sz w:val="22"/>
              </w:rPr>
              <w:t>número</w:t>
            </w:r>
            <w:r>
              <w:rPr>
                <w:color w:val="231F1F"/>
                <w:spacing w:val="-8"/>
                <w:w w:val="110"/>
                <w:sz w:val="22"/>
              </w:rPr>
              <w:t> </w:t>
            </w:r>
            <w:r>
              <w:rPr>
                <w:color w:val="231F1F"/>
                <w:w w:val="110"/>
                <w:sz w:val="22"/>
              </w:rPr>
              <w:t>de neonatos con ictericia, medido por la necesidad de fototerapia (226).</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82"/>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ind w:left="46" w:right="43"/>
              <w:jc w:val="center"/>
              <w:rPr>
                <w:sz w:val="22"/>
              </w:rPr>
            </w:pPr>
            <w:r>
              <w:rPr>
                <w:color w:val="231F1F"/>
                <w:spacing w:val="-10"/>
                <w:w w:val="115"/>
                <w:sz w:val="22"/>
              </w:rPr>
              <w:t>A</w:t>
            </w:r>
          </w:p>
        </w:tc>
        <w:tc>
          <w:tcPr>
            <w:tcW w:w="8050" w:type="dxa"/>
          </w:tcPr>
          <w:p>
            <w:pPr>
              <w:pStyle w:val="TableParagraph"/>
              <w:spacing w:before="49"/>
              <w:rPr>
                <w:sz w:val="22"/>
              </w:rPr>
            </w:pPr>
            <w:r>
              <w:rPr>
                <w:color w:val="231F1F"/>
                <w:sz w:val="22"/>
              </w:rPr>
              <w:t>Se</w:t>
            </w:r>
            <w:r>
              <w:rPr>
                <w:color w:val="231F1F"/>
                <w:spacing w:val="39"/>
                <w:sz w:val="22"/>
              </w:rPr>
              <w:t> </w:t>
            </w:r>
            <w:r>
              <w:rPr>
                <w:color w:val="231F1F"/>
                <w:sz w:val="22"/>
              </w:rPr>
              <w:t>recomienda</w:t>
            </w:r>
            <w:r>
              <w:rPr>
                <w:color w:val="231F1F"/>
                <w:spacing w:val="44"/>
                <w:sz w:val="22"/>
              </w:rPr>
              <w:t> </w:t>
            </w:r>
            <w:r>
              <w:rPr>
                <w:color w:val="231F1F"/>
                <w:sz w:val="22"/>
              </w:rPr>
              <w:t>el</w:t>
            </w:r>
            <w:r>
              <w:rPr>
                <w:color w:val="231F1F"/>
                <w:spacing w:val="41"/>
                <w:sz w:val="22"/>
              </w:rPr>
              <w:t> </w:t>
            </w:r>
            <w:r>
              <w:rPr>
                <w:color w:val="231F1F"/>
                <w:sz w:val="22"/>
              </w:rPr>
              <w:t>pinzamiento</w:t>
            </w:r>
            <w:r>
              <w:rPr>
                <w:color w:val="231F1F"/>
                <w:spacing w:val="42"/>
                <w:sz w:val="22"/>
              </w:rPr>
              <w:t> </w:t>
            </w:r>
            <w:r>
              <w:rPr>
                <w:color w:val="231F1F"/>
                <w:sz w:val="22"/>
              </w:rPr>
              <w:t>tardío</w:t>
            </w:r>
            <w:r>
              <w:rPr>
                <w:color w:val="231F1F"/>
                <w:spacing w:val="41"/>
                <w:sz w:val="22"/>
              </w:rPr>
              <w:t> </w:t>
            </w:r>
            <w:r>
              <w:rPr>
                <w:color w:val="231F1F"/>
                <w:sz w:val="22"/>
              </w:rPr>
              <w:t>del</w:t>
            </w:r>
            <w:r>
              <w:rPr>
                <w:color w:val="231F1F"/>
                <w:spacing w:val="40"/>
                <w:sz w:val="22"/>
              </w:rPr>
              <w:t> </w:t>
            </w:r>
            <w:r>
              <w:rPr>
                <w:color w:val="231F1F"/>
                <w:sz w:val="22"/>
              </w:rPr>
              <w:t>cordón</w:t>
            </w:r>
            <w:r>
              <w:rPr>
                <w:color w:val="231F1F"/>
                <w:spacing w:val="43"/>
                <w:sz w:val="22"/>
              </w:rPr>
              <w:t> </w:t>
            </w:r>
            <w:r>
              <w:rPr>
                <w:color w:val="231F1F"/>
                <w:spacing w:val="-2"/>
                <w:sz w:val="22"/>
              </w:rPr>
              <w:t>umbilical.</w:t>
            </w:r>
          </w:p>
        </w:tc>
      </w:tr>
      <w:tr>
        <w:trPr>
          <w:trHeight w:val="681" w:hRule="atLeast"/>
        </w:trPr>
        <w:tc>
          <w:tcPr>
            <w:tcW w:w="456" w:type="dxa"/>
          </w:tcPr>
          <w:p>
            <w:pPr>
              <w:pStyle w:val="TableParagraph"/>
              <w:spacing w:before="178"/>
              <w:ind w:left="43" w:right="61"/>
              <w:jc w:val="center"/>
              <w:rPr>
                <w:sz w:val="22"/>
              </w:rPr>
            </w:pPr>
            <w:r>
              <w:rPr>
                <w:color w:val="231F1F"/>
                <w:spacing w:val="-10"/>
                <w:w w:val="110"/>
                <w:sz w:val="22"/>
              </w:rPr>
              <w:t>B</w:t>
            </w:r>
          </w:p>
        </w:tc>
        <w:tc>
          <w:tcPr>
            <w:tcW w:w="8050" w:type="dxa"/>
          </w:tcPr>
          <w:p>
            <w:pPr>
              <w:pStyle w:val="TableParagraph"/>
              <w:spacing w:line="244" w:lineRule="auto" w:before="53"/>
              <w:ind w:right="155"/>
              <w:rPr>
                <w:sz w:val="22"/>
              </w:rPr>
            </w:pPr>
            <w:r>
              <w:rPr>
                <w:color w:val="231F1F"/>
                <w:w w:val="105"/>
                <w:sz w:val="22"/>
              </w:rPr>
              <w:t>Se sugiere como conveniente el pinzamiento del cordón a partir del segundo minu- to o tras el cese del latido de cordón umbilical.</w:t>
            </w:r>
          </w:p>
        </w:tc>
      </w:tr>
    </w:tbl>
    <w:p>
      <w:pPr>
        <w:pStyle w:val="TableParagraph"/>
        <w:spacing w:after="0" w:line="244" w:lineRule="auto"/>
        <w:rPr>
          <w:sz w:val="22"/>
        </w:rPr>
        <w:sectPr>
          <w:type w:val="continuous"/>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both"/>
      </w:pPr>
      <w:bookmarkStart w:name="_TOC_250025" w:id="31"/>
      <w:r>
        <w:rPr>
          <w:color w:val="231F1F"/>
        </w:rPr>
        <w:t>Contacto</w:t>
      </w:r>
      <w:r>
        <w:rPr>
          <w:color w:val="231F1F"/>
          <w:spacing w:val="51"/>
        </w:rPr>
        <w:t> </w:t>
      </w:r>
      <w:r>
        <w:rPr>
          <w:color w:val="231F1F"/>
        </w:rPr>
        <w:t>piel</w:t>
      </w:r>
      <w:r>
        <w:rPr>
          <w:color w:val="231F1F"/>
          <w:spacing w:val="47"/>
        </w:rPr>
        <w:t> </w:t>
      </w:r>
      <w:r>
        <w:rPr>
          <w:color w:val="231F1F"/>
        </w:rPr>
        <w:t>con</w:t>
      </w:r>
      <w:r>
        <w:rPr>
          <w:color w:val="231F1F"/>
          <w:spacing w:val="55"/>
        </w:rPr>
        <w:t> </w:t>
      </w:r>
      <w:bookmarkEnd w:id="31"/>
      <w:r>
        <w:rPr>
          <w:color w:val="231F1F"/>
          <w:spacing w:val="-4"/>
        </w:rPr>
        <w:t>piel</w:t>
      </w:r>
    </w:p>
    <w:p>
      <w:pPr>
        <w:pStyle w:val="BodyText"/>
        <w:spacing w:before="26"/>
        <w:rPr>
          <w:sz w:val="20"/>
        </w:rPr>
      </w:pPr>
      <w:r>
        <w:rPr>
          <w:sz w:val="20"/>
        </w:rPr>
        <mc:AlternateContent>
          <mc:Choice Requires="wps">
            <w:drawing>
              <wp:anchor distT="0" distB="0" distL="0" distR="0" allowOverlap="1" layoutInCell="1" locked="0" behindDoc="1" simplePos="0" relativeHeight="487614976">
                <wp:simplePos x="0" y="0"/>
                <wp:positionH relativeFrom="page">
                  <wp:posOffset>1082675</wp:posOffset>
                </wp:positionH>
                <wp:positionV relativeFrom="paragraph">
                  <wp:posOffset>180997</wp:posOffset>
                </wp:positionV>
                <wp:extent cx="5400040" cy="262255"/>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5400040" cy="262255"/>
                        </a:xfrm>
                        <a:prstGeom prst="rect">
                          <a:avLst/>
                        </a:prstGeom>
                        <a:ln w="6350">
                          <a:solidFill>
                            <a:srgbClr val="A30046"/>
                          </a:solidFill>
                          <a:prstDash val="solid"/>
                        </a:ln>
                      </wps:spPr>
                      <wps:txbx>
                        <w:txbxContent>
                          <w:p>
                            <w:pPr>
                              <w:pStyle w:val="BodyText"/>
                              <w:numPr>
                                <w:ilvl w:val="0"/>
                                <w:numId w:val="54"/>
                              </w:numPr>
                              <w:tabs>
                                <w:tab w:pos="322" w:val="left" w:leader="none"/>
                              </w:tabs>
                              <w:spacing w:line="240" w:lineRule="auto" w:before="60" w:after="0"/>
                              <w:ind w:left="322" w:right="0" w:hanging="218"/>
                              <w:jc w:val="left"/>
                            </w:pPr>
                            <w:r>
                              <w:rPr>
                                <w:color w:val="231F1F"/>
                              </w:rPr>
                              <w:t>¿Cuál</w:t>
                            </w:r>
                            <w:r>
                              <w:rPr>
                                <w:color w:val="231F1F"/>
                                <w:spacing w:val="24"/>
                              </w:rPr>
                              <w:t> </w:t>
                            </w:r>
                            <w:r>
                              <w:rPr>
                                <w:color w:val="231F1F"/>
                              </w:rPr>
                              <w:t>es</w:t>
                            </w:r>
                            <w:r>
                              <w:rPr>
                                <w:color w:val="231F1F"/>
                                <w:spacing w:val="26"/>
                              </w:rPr>
                              <w:t> </w:t>
                            </w:r>
                            <w:r>
                              <w:rPr>
                                <w:color w:val="231F1F"/>
                              </w:rPr>
                              <w:t>el</w:t>
                            </w:r>
                            <w:r>
                              <w:rPr>
                                <w:color w:val="231F1F"/>
                                <w:spacing w:val="25"/>
                              </w:rPr>
                              <w:t> </w:t>
                            </w:r>
                            <w:r>
                              <w:rPr>
                                <w:color w:val="231F1F"/>
                              </w:rPr>
                              <w:t>beneficio</w:t>
                            </w:r>
                            <w:r>
                              <w:rPr>
                                <w:color w:val="231F1F"/>
                                <w:spacing w:val="25"/>
                              </w:rPr>
                              <w:t> </w:t>
                            </w:r>
                            <w:r>
                              <w:rPr>
                                <w:color w:val="231F1F"/>
                              </w:rPr>
                              <w:t>del</w:t>
                            </w:r>
                            <w:r>
                              <w:rPr>
                                <w:color w:val="231F1F"/>
                                <w:spacing w:val="24"/>
                              </w:rPr>
                              <w:t> </w:t>
                            </w:r>
                            <w:r>
                              <w:rPr>
                                <w:color w:val="231F1F"/>
                              </w:rPr>
                              <w:t>contacto</w:t>
                            </w:r>
                            <w:r>
                              <w:rPr>
                                <w:color w:val="231F1F"/>
                                <w:spacing w:val="26"/>
                              </w:rPr>
                              <w:t> </w:t>
                            </w:r>
                            <w:r>
                              <w:rPr>
                                <w:color w:val="231F1F"/>
                              </w:rPr>
                              <w:t>piel</w:t>
                            </w:r>
                            <w:r>
                              <w:rPr>
                                <w:color w:val="231F1F"/>
                                <w:spacing w:val="25"/>
                              </w:rPr>
                              <w:t> </w:t>
                            </w:r>
                            <w:r>
                              <w:rPr>
                                <w:color w:val="231F1F"/>
                              </w:rPr>
                              <w:t>con</w:t>
                            </w:r>
                            <w:r>
                              <w:rPr>
                                <w:color w:val="231F1F"/>
                                <w:spacing w:val="25"/>
                              </w:rPr>
                              <w:t> </w:t>
                            </w:r>
                            <w:r>
                              <w:rPr>
                                <w:color w:val="231F1F"/>
                                <w:spacing w:val="-2"/>
                              </w:rPr>
                              <w:t>piel?</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1504;mso-wrap-distance-left:0;mso-wrap-distance-right:0" type="#_x0000_t202" id="docshape100" filled="false" stroked="true" strokeweight=".5pt" strokecolor="#a30046">
                <v:textbox inset="0,0,0,0">
                  <w:txbxContent>
                    <w:p>
                      <w:pPr>
                        <w:pStyle w:val="BodyText"/>
                        <w:numPr>
                          <w:ilvl w:val="0"/>
                          <w:numId w:val="54"/>
                        </w:numPr>
                        <w:tabs>
                          <w:tab w:pos="322" w:val="left" w:leader="none"/>
                        </w:tabs>
                        <w:spacing w:line="240" w:lineRule="auto" w:before="60" w:after="0"/>
                        <w:ind w:left="322" w:right="0" w:hanging="218"/>
                        <w:jc w:val="left"/>
                      </w:pPr>
                      <w:r>
                        <w:rPr>
                          <w:color w:val="231F1F"/>
                        </w:rPr>
                        <w:t>¿Cuál</w:t>
                      </w:r>
                      <w:r>
                        <w:rPr>
                          <w:color w:val="231F1F"/>
                          <w:spacing w:val="24"/>
                        </w:rPr>
                        <w:t> </w:t>
                      </w:r>
                      <w:r>
                        <w:rPr>
                          <w:color w:val="231F1F"/>
                        </w:rPr>
                        <w:t>es</w:t>
                      </w:r>
                      <w:r>
                        <w:rPr>
                          <w:color w:val="231F1F"/>
                          <w:spacing w:val="26"/>
                        </w:rPr>
                        <w:t> </w:t>
                      </w:r>
                      <w:r>
                        <w:rPr>
                          <w:color w:val="231F1F"/>
                        </w:rPr>
                        <w:t>el</w:t>
                      </w:r>
                      <w:r>
                        <w:rPr>
                          <w:color w:val="231F1F"/>
                          <w:spacing w:val="25"/>
                        </w:rPr>
                        <w:t> </w:t>
                      </w:r>
                      <w:r>
                        <w:rPr>
                          <w:color w:val="231F1F"/>
                        </w:rPr>
                        <w:t>beneficio</w:t>
                      </w:r>
                      <w:r>
                        <w:rPr>
                          <w:color w:val="231F1F"/>
                          <w:spacing w:val="25"/>
                        </w:rPr>
                        <w:t> </w:t>
                      </w:r>
                      <w:r>
                        <w:rPr>
                          <w:color w:val="231F1F"/>
                        </w:rPr>
                        <w:t>del</w:t>
                      </w:r>
                      <w:r>
                        <w:rPr>
                          <w:color w:val="231F1F"/>
                          <w:spacing w:val="24"/>
                        </w:rPr>
                        <w:t> </w:t>
                      </w:r>
                      <w:r>
                        <w:rPr>
                          <w:color w:val="231F1F"/>
                        </w:rPr>
                        <w:t>contacto</w:t>
                      </w:r>
                      <w:r>
                        <w:rPr>
                          <w:color w:val="231F1F"/>
                          <w:spacing w:val="26"/>
                        </w:rPr>
                        <w:t> </w:t>
                      </w:r>
                      <w:r>
                        <w:rPr>
                          <w:color w:val="231F1F"/>
                        </w:rPr>
                        <w:t>piel</w:t>
                      </w:r>
                      <w:r>
                        <w:rPr>
                          <w:color w:val="231F1F"/>
                          <w:spacing w:val="25"/>
                        </w:rPr>
                        <w:t> </w:t>
                      </w:r>
                      <w:r>
                        <w:rPr>
                          <w:color w:val="231F1F"/>
                        </w:rPr>
                        <w:t>con</w:t>
                      </w:r>
                      <w:r>
                        <w:rPr>
                          <w:color w:val="231F1F"/>
                          <w:spacing w:val="25"/>
                        </w:rPr>
                        <w:t> </w:t>
                      </w:r>
                      <w:r>
                        <w:rPr>
                          <w:color w:val="231F1F"/>
                          <w:spacing w:val="-2"/>
                        </w:rPr>
                        <w:t>piel?</w:t>
                      </w:r>
                    </w:p>
                  </w:txbxContent>
                </v:textbox>
                <v:stroke dashstyle="solid"/>
                <w10:wrap type="topAndBottom"/>
              </v:shape>
            </w:pict>
          </mc:Fallback>
        </mc:AlternateContent>
      </w:r>
    </w:p>
    <w:p>
      <w:pPr>
        <w:pStyle w:val="BodyText"/>
        <w:spacing w:line="244" w:lineRule="auto" w:before="272"/>
        <w:ind w:left="283" w:right="122"/>
        <w:jc w:val="both"/>
      </w:pPr>
      <w:r>
        <w:rPr>
          <w:color w:val="231F1F"/>
          <w:w w:val="110"/>
        </w:rPr>
        <w:t>En muchas culturas los bebés son colocados directamente sobre el pecho desnudo de la madre</w:t>
      </w:r>
      <w:r>
        <w:rPr>
          <w:color w:val="231F1F"/>
          <w:spacing w:val="-11"/>
          <w:w w:val="110"/>
        </w:rPr>
        <w:t> </w:t>
      </w:r>
      <w:r>
        <w:rPr>
          <w:color w:val="231F1F"/>
          <w:w w:val="110"/>
        </w:rPr>
        <w:t>inmediatamente</w:t>
      </w:r>
      <w:r>
        <w:rPr>
          <w:color w:val="231F1F"/>
          <w:spacing w:val="-11"/>
          <w:w w:val="110"/>
        </w:rPr>
        <w:t> </w:t>
      </w:r>
      <w:r>
        <w:rPr>
          <w:color w:val="231F1F"/>
          <w:w w:val="110"/>
        </w:rPr>
        <w:t>después</w:t>
      </w:r>
      <w:r>
        <w:rPr>
          <w:color w:val="231F1F"/>
          <w:spacing w:val="-12"/>
          <w:w w:val="110"/>
        </w:rPr>
        <w:t> </w:t>
      </w:r>
      <w:r>
        <w:rPr>
          <w:color w:val="231F1F"/>
          <w:w w:val="110"/>
        </w:rPr>
        <w:t>del</w:t>
      </w:r>
      <w:r>
        <w:rPr>
          <w:color w:val="231F1F"/>
          <w:spacing w:val="-12"/>
          <w:w w:val="110"/>
        </w:rPr>
        <w:t> </w:t>
      </w:r>
      <w:r>
        <w:rPr>
          <w:color w:val="231F1F"/>
          <w:w w:val="110"/>
        </w:rPr>
        <w:t>nacimiento.</w:t>
      </w:r>
      <w:r>
        <w:rPr>
          <w:color w:val="231F1F"/>
          <w:spacing w:val="-12"/>
          <w:w w:val="110"/>
        </w:rPr>
        <w:t> </w:t>
      </w:r>
      <w:r>
        <w:rPr>
          <w:color w:val="231F1F"/>
          <w:w w:val="110"/>
        </w:rPr>
        <w:t>Históricamente</w:t>
      </w:r>
      <w:r>
        <w:rPr>
          <w:color w:val="231F1F"/>
          <w:spacing w:val="-11"/>
          <w:w w:val="110"/>
        </w:rPr>
        <w:t> </w:t>
      </w:r>
      <w:r>
        <w:rPr>
          <w:color w:val="231F1F"/>
          <w:w w:val="110"/>
        </w:rPr>
        <w:t>este</w:t>
      </w:r>
      <w:r>
        <w:rPr>
          <w:color w:val="231F1F"/>
          <w:spacing w:val="-11"/>
          <w:w w:val="110"/>
        </w:rPr>
        <w:t> </w:t>
      </w:r>
      <w:r>
        <w:rPr>
          <w:color w:val="231F1F"/>
          <w:w w:val="110"/>
        </w:rPr>
        <w:t>comportamiento</w:t>
      </w:r>
      <w:r>
        <w:rPr>
          <w:color w:val="231F1F"/>
          <w:spacing w:val="-12"/>
          <w:w w:val="110"/>
        </w:rPr>
        <w:t> </w:t>
      </w:r>
      <w:r>
        <w:rPr>
          <w:color w:val="231F1F"/>
          <w:w w:val="110"/>
        </w:rPr>
        <w:t>era </w:t>
      </w:r>
      <w:r>
        <w:rPr>
          <w:color w:val="231F1F"/>
          <w:spacing w:val="-2"/>
          <w:w w:val="110"/>
        </w:rPr>
        <w:t>necesario</w:t>
      </w:r>
      <w:r>
        <w:rPr>
          <w:color w:val="231F1F"/>
          <w:spacing w:val="-7"/>
          <w:w w:val="110"/>
        </w:rPr>
        <w:t> </w:t>
      </w:r>
      <w:r>
        <w:rPr>
          <w:color w:val="231F1F"/>
          <w:spacing w:val="-2"/>
          <w:w w:val="110"/>
        </w:rPr>
        <w:t>para</w:t>
      </w:r>
      <w:r>
        <w:rPr>
          <w:color w:val="231F1F"/>
          <w:spacing w:val="-7"/>
          <w:w w:val="110"/>
        </w:rPr>
        <w:t> </w:t>
      </w:r>
      <w:r>
        <w:rPr>
          <w:color w:val="231F1F"/>
          <w:spacing w:val="-2"/>
          <w:w w:val="110"/>
        </w:rPr>
        <w:t>la</w:t>
      </w:r>
      <w:r>
        <w:rPr>
          <w:color w:val="231F1F"/>
          <w:spacing w:val="-7"/>
          <w:w w:val="110"/>
        </w:rPr>
        <w:t> </w:t>
      </w:r>
      <w:r>
        <w:rPr>
          <w:color w:val="231F1F"/>
          <w:spacing w:val="-2"/>
          <w:w w:val="110"/>
        </w:rPr>
        <w:t>supervivencia</w:t>
      </w:r>
      <w:r>
        <w:rPr>
          <w:color w:val="231F1F"/>
          <w:spacing w:val="-8"/>
          <w:w w:val="110"/>
        </w:rPr>
        <w:t> </w:t>
      </w:r>
      <w:r>
        <w:rPr>
          <w:color w:val="231F1F"/>
          <w:spacing w:val="-2"/>
          <w:w w:val="110"/>
        </w:rPr>
        <w:t>del</w:t>
      </w:r>
      <w:r>
        <w:rPr>
          <w:color w:val="231F1F"/>
          <w:spacing w:val="-8"/>
          <w:w w:val="110"/>
        </w:rPr>
        <w:t> </w:t>
      </w:r>
      <w:r>
        <w:rPr>
          <w:color w:val="231F1F"/>
          <w:spacing w:val="-2"/>
          <w:w w:val="110"/>
        </w:rPr>
        <w:t>RN.</w:t>
      </w:r>
      <w:r>
        <w:rPr>
          <w:color w:val="231F1F"/>
          <w:spacing w:val="-8"/>
          <w:w w:val="110"/>
        </w:rPr>
        <w:t> </w:t>
      </w:r>
      <w:r>
        <w:rPr>
          <w:color w:val="231F1F"/>
          <w:spacing w:val="-2"/>
          <w:w w:val="110"/>
        </w:rPr>
        <w:t>Actualmente,</w:t>
      </w:r>
      <w:r>
        <w:rPr>
          <w:color w:val="231F1F"/>
          <w:spacing w:val="-8"/>
          <w:w w:val="110"/>
        </w:rPr>
        <w:t> </w:t>
      </w:r>
      <w:r>
        <w:rPr>
          <w:color w:val="231F1F"/>
          <w:spacing w:val="-2"/>
          <w:w w:val="110"/>
        </w:rPr>
        <w:t>la</w:t>
      </w:r>
      <w:r>
        <w:rPr>
          <w:color w:val="231F1F"/>
          <w:spacing w:val="-7"/>
          <w:w w:val="110"/>
        </w:rPr>
        <w:t> </w:t>
      </w:r>
      <w:r>
        <w:rPr>
          <w:color w:val="231F1F"/>
          <w:spacing w:val="-2"/>
          <w:w w:val="110"/>
        </w:rPr>
        <w:t>mayoría</w:t>
      </w:r>
      <w:r>
        <w:rPr>
          <w:color w:val="231F1F"/>
          <w:spacing w:val="-7"/>
          <w:w w:val="110"/>
        </w:rPr>
        <w:t> </w:t>
      </w:r>
      <w:r>
        <w:rPr>
          <w:color w:val="231F1F"/>
          <w:spacing w:val="-2"/>
          <w:w w:val="110"/>
        </w:rPr>
        <w:t>de</w:t>
      </w:r>
      <w:r>
        <w:rPr>
          <w:color w:val="231F1F"/>
          <w:spacing w:val="-7"/>
          <w:w w:val="110"/>
        </w:rPr>
        <w:t> </w:t>
      </w:r>
      <w:r>
        <w:rPr>
          <w:color w:val="231F1F"/>
          <w:spacing w:val="-2"/>
          <w:w w:val="110"/>
        </w:rPr>
        <w:t>los</w:t>
      </w:r>
      <w:r>
        <w:rPr>
          <w:color w:val="231F1F"/>
          <w:spacing w:val="-8"/>
          <w:w w:val="110"/>
        </w:rPr>
        <w:t> </w:t>
      </w:r>
      <w:r>
        <w:rPr>
          <w:color w:val="231F1F"/>
          <w:spacing w:val="-2"/>
          <w:w w:val="110"/>
        </w:rPr>
        <w:t>niños</w:t>
      </w:r>
      <w:r>
        <w:rPr>
          <w:color w:val="231F1F"/>
          <w:spacing w:val="-7"/>
          <w:w w:val="110"/>
        </w:rPr>
        <w:t> </w:t>
      </w:r>
      <w:r>
        <w:rPr>
          <w:color w:val="231F1F"/>
          <w:spacing w:val="-2"/>
          <w:w w:val="110"/>
        </w:rPr>
        <w:t>nacen</w:t>
      </w:r>
      <w:r>
        <w:rPr>
          <w:color w:val="231F1F"/>
          <w:spacing w:val="-7"/>
          <w:w w:val="110"/>
        </w:rPr>
        <w:t> </w:t>
      </w:r>
      <w:r>
        <w:rPr>
          <w:color w:val="231F1F"/>
          <w:spacing w:val="-2"/>
          <w:w w:val="110"/>
        </w:rPr>
        <w:t>en</w:t>
      </w:r>
      <w:r>
        <w:rPr>
          <w:color w:val="231F1F"/>
          <w:spacing w:val="-7"/>
          <w:w w:val="110"/>
        </w:rPr>
        <w:t> </w:t>
      </w:r>
      <w:r>
        <w:rPr>
          <w:color w:val="231F1F"/>
          <w:spacing w:val="-2"/>
          <w:w w:val="110"/>
        </w:rPr>
        <w:t>un </w:t>
      </w:r>
      <w:r>
        <w:rPr>
          <w:color w:val="231F1F"/>
          <w:w w:val="110"/>
        </w:rPr>
        <w:t>hospital</w:t>
      </w:r>
      <w:r>
        <w:rPr>
          <w:color w:val="231F1F"/>
          <w:spacing w:val="-11"/>
          <w:w w:val="110"/>
        </w:rPr>
        <w:t> </w:t>
      </w:r>
      <w:r>
        <w:rPr>
          <w:color w:val="231F1F"/>
          <w:w w:val="110"/>
        </w:rPr>
        <w:t>y</w:t>
      </w:r>
      <w:r>
        <w:rPr>
          <w:color w:val="231F1F"/>
          <w:spacing w:val="-10"/>
          <w:w w:val="110"/>
        </w:rPr>
        <w:t> </w:t>
      </w:r>
      <w:r>
        <w:rPr>
          <w:color w:val="231F1F"/>
          <w:w w:val="110"/>
        </w:rPr>
        <w:t>son</w:t>
      </w:r>
      <w:r>
        <w:rPr>
          <w:color w:val="231F1F"/>
          <w:spacing w:val="-10"/>
          <w:w w:val="110"/>
        </w:rPr>
        <w:t> </w:t>
      </w:r>
      <w:r>
        <w:rPr>
          <w:color w:val="231F1F"/>
          <w:w w:val="110"/>
        </w:rPr>
        <w:t>separados</w:t>
      </w:r>
      <w:r>
        <w:rPr>
          <w:color w:val="231F1F"/>
          <w:spacing w:val="-12"/>
          <w:w w:val="110"/>
        </w:rPr>
        <w:t> </w:t>
      </w:r>
      <w:r>
        <w:rPr>
          <w:color w:val="231F1F"/>
          <w:w w:val="110"/>
        </w:rPr>
        <w:t>de</w:t>
      </w:r>
      <w:r>
        <w:rPr>
          <w:color w:val="231F1F"/>
          <w:spacing w:val="-11"/>
          <w:w w:val="110"/>
        </w:rPr>
        <w:t> </w:t>
      </w:r>
      <w:r>
        <w:rPr>
          <w:color w:val="231F1F"/>
          <w:w w:val="110"/>
        </w:rPr>
        <w:t>la</w:t>
      </w:r>
      <w:r>
        <w:rPr>
          <w:color w:val="231F1F"/>
          <w:spacing w:val="-10"/>
          <w:w w:val="110"/>
        </w:rPr>
        <w:t> </w:t>
      </w:r>
      <w:r>
        <w:rPr>
          <w:color w:val="231F1F"/>
          <w:w w:val="110"/>
        </w:rPr>
        <w:t>madre</w:t>
      </w:r>
      <w:r>
        <w:rPr>
          <w:color w:val="231F1F"/>
          <w:spacing w:val="-10"/>
          <w:w w:val="110"/>
        </w:rPr>
        <w:t> </w:t>
      </w:r>
      <w:r>
        <w:rPr>
          <w:color w:val="231F1F"/>
          <w:w w:val="110"/>
        </w:rPr>
        <w:t>o</w:t>
      </w:r>
      <w:r>
        <w:rPr>
          <w:color w:val="231F1F"/>
          <w:spacing w:val="-10"/>
          <w:w w:val="110"/>
        </w:rPr>
        <w:t> </w:t>
      </w:r>
      <w:r>
        <w:rPr>
          <w:color w:val="231F1F"/>
          <w:w w:val="110"/>
        </w:rPr>
        <w:t>vestidos</w:t>
      </w:r>
      <w:r>
        <w:rPr>
          <w:color w:val="231F1F"/>
          <w:spacing w:val="-10"/>
          <w:w w:val="110"/>
        </w:rPr>
        <w:t> </w:t>
      </w:r>
      <w:r>
        <w:rPr>
          <w:color w:val="231F1F"/>
          <w:w w:val="110"/>
        </w:rPr>
        <w:t>antes</w:t>
      </w:r>
      <w:r>
        <w:rPr>
          <w:color w:val="231F1F"/>
          <w:spacing w:val="-11"/>
          <w:w w:val="110"/>
        </w:rPr>
        <w:t> </w:t>
      </w:r>
      <w:r>
        <w:rPr>
          <w:color w:val="231F1F"/>
          <w:w w:val="110"/>
        </w:rPr>
        <w:t>de</w:t>
      </w:r>
      <w:r>
        <w:rPr>
          <w:color w:val="231F1F"/>
          <w:spacing w:val="-11"/>
          <w:w w:val="110"/>
        </w:rPr>
        <w:t> </w:t>
      </w:r>
      <w:r>
        <w:rPr>
          <w:color w:val="231F1F"/>
          <w:w w:val="110"/>
        </w:rPr>
        <w:t>entregárselo.</w:t>
      </w:r>
      <w:r>
        <w:rPr>
          <w:color w:val="231F1F"/>
          <w:spacing w:val="-11"/>
          <w:w w:val="110"/>
        </w:rPr>
        <w:t> </w:t>
      </w:r>
      <w:r>
        <w:rPr>
          <w:color w:val="231F1F"/>
          <w:w w:val="110"/>
        </w:rPr>
        <w:t>Se</w:t>
      </w:r>
      <w:r>
        <w:rPr>
          <w:color w:val="231F1F"/>
          <w:spacing w:val="-11"/>
          <w:w w:val="110"/>
        </w:rPr>
        <w:t> </w:t>
      </w:r>
      <w:r>
        <w:rPr>
          <w:color w:val="231F1F"/>
          <w:w w:val="110"/>
        </w:rPr>
        <w:t>ha</w:t>
      </w:r>
      <w:r>
        <w:rPr>
          <w:color w:val="231F1F"/>
          <w:spacing w:val="-11"/>
          <w:w w:val="110"/>
        </w:rPr>
        <w:t> </w:t>
      </w:r>
      <w:r>
        <w:rPr>
          <w:color w:val="231F1F"/>
          <w:w w:val="110"/>
        </w:rPr>
        <w:t>sugerido</w:t>
      </w:r>
      <w:r>
        <w:rPr>
          <w:color w:val="231F1F"/>
          <w:spacing w:val="-11"/>
          <w:w w:val="110"/>
        </w:rPr>
        <w:t> </w:t>
      </w:r>
      <w:r>
        <w:rPr>
          <w:color w:val="231F1F"/>
          <w:w w:val="110"/>
        </w:rPr>
        <w:t>que estas</w:t>
      </w:r>
      <w:r>
        <w:rPr>
          <w:color w:val="231F1F"/>
          <w:spacing w:val="-9"/>
          <w:w w:val="110"/>
        </w:rPr>
        <w:t> </w:t>
      </w:r>
      <w:r>
        <w:rPr>
          <w:color w:val="231F1F"/>
          <w:w w:val="110"/>
        </w:rPr>
        <w:t>rutinas</w:t>
      </w:r>
      <w:r>
        <w:rPr>
          <w:color w:val="231F1F"/>
          <w:spacing w:val="-9"/>
          <w:w w:val="110"/>
        </w:rPr>
        <w:t> </w:t>
      </w:r>
      <w:r>
        <w:rPr>
          <w:color w:val="231F1F"/>
          <w:w w:val="110"/>
        </w:rPr>
        <w:t>hospitalarias</w:t>
      </w:r>
      <w:r>
        <w:rPr>
          <w:color w:val="231F1F"/>
          <w:spacing w:val="-9"/>
          <w:w w:val="110"/>
        </w:rPr>
        <w:t> </w:t>
      </w:r>
      <w:r>
        <w:rPr>
          <w:color w:val="231F1F"/>
          <w:w w:val="110"/>
        </w:rPr>
        <w:t>pueden</w:t>
      </w:r>
      <w:r>
        <w:rPr>
          <w:color w:val="231F1F"/>
          <w:spacing w:val="-9"/>
          <w:w w:val="110"/>
        </w:rPr>
        <w:t> </w:t>
      </w:r>
      <w:r>
        <w:rPr>
          <w:color w:val="231F1F"/>
          <w:w w:val="110"/>
        </w:rPr>
        <w:t>perturbar</w:t>
      </w:r>
      <w:r>
        <w:rPr>
          <w:color w:val="231F1F"/>
          <w:spacing w:val="-10"/>
          <w:w w:val="110"/>
        </w:rPr>
        <w:t> </w:t>
      </w:r>
      <w:r>
        <w:rPr>
          <w:color w:val="231F1F"/>
          <w:w w:val="110"/>
        </w:rPr>
        <w:t>la</w:t>
      </w:r>
      <w:r>
        <w:rPr>
          <w:color w:val="231F1F"/>
          <w:spacing w:val="-9"/>
          <w:w w:val="110"/>
        </w:rPr>
        <w:t> </w:t>
      </w:r>
      <w:r>
        <w:rPr>
          <w:color w:val="231F1F"/>
          <w:w w:val="110"/>
        </w:rPr>
        <w:t>interacción</w:t>
      </w:r>
      <w:r>
        <w:rPr>
          <w:color w:val="231F1F"/>
          <w:spacing w:val="-9"/>
          <w:w w:val="110"/>
        </w:rPr>
        <w:t> </w:t>
      </w:r>
      <w:r>
        <w:rPr>
          <w:color w:val="231F1F"/>
          <w:w w:val="110"/>
        </w:rPr>
        <w:t>precoz</w:t>
      </w:r>
      <w:r>
        <w:rPr>
          <w:color w:val="231F1F"/>
          <w:spacing w:val="-10"/>
          <w:w w:val="110"/>
        </w:rPr>
        <w:t> </w:t>
      </w:r>
      <w:r>
        <w:rPr>
          <w:color w:val="231F1F"/>
          <w:w w:val="110"/>
        </w:rPr>
        <w:t>entre</w:t>
      </w:r>
      <w:r>
        <w:rPr>
          <w:color w:val="231F1F"/>
          <w:spacing w:val="-9"/>
          <w:w w:val="110"/>
        </w:rPr>
        <w:t> </w:t>
      </w:r>
      <w:r>
        <w:rPr>
          <w:color w:val="231F1F"/>
          <w:w w:val="110"/>
        </w:rPr>
        <w:t>la</w:t>
      </w:r>
      <w:r>
        <w:rPr>
          <w:color w:val="231F1F"/>
          <w:spacing w:val="-9"/>
          <w:w w:val="110"/>
        </w:rPr>
        <w:t> </w:t>
      </w:r>
      <w:r>
        <w:rPr>
          <w:color w:val="231F1F"/>
          <w:w w:val="110"/>
        </w:rPr>
        <w:t>madre</w:t>
      </w:r>
      <w:r>
        <w:rPr>
          <w:color w:val="231F1F"/>
          <w:spacing w:val="-9"/>
          <w:w w:val="110"/>
        </w:rPr>
        <w:t> </w:t>
      </w:r>
      <w:r>
        <w:rPr>
          <w:color w:val="231F1F"/>
          <w:w w:val="110"/>
        </w:rPr>
        <w:t>y</w:t>
      </w:r>
      <w:r>
        <w:rPr>
          <w:color w:val="231F1F"/>
          <w:spacing w:val="-9"/>
          <w:w w:val="110"/>
        </w:rPr>
        <w:t> </w:t>
      </w:r>
      <w:r>
        <w:rPr>
          <w:color w:val="231F1F"/>
          <w:w w:val="110"/>
        </w:rPr>
        <w:t>su</w:t>
      </w:r>
      <w:r>
        <w:rPr>
          <w:color w:val="231F1F"/>
          <w:spacing w:val="-9"/>
          <w:w w:val="110"/>
        </w:rPr>
        <w:t> </w:t>
      </w:r>
      <w:r>
        <w:rPr>
          <w:color w:val="231F1F"/>
          <w:w w:val="110"/>
        </w:rPr>
        <w:t>hijo y tener efectos nocivos sobre ambos.</w:t>
      </w:r>
    </w:p>
    <w:p>
      <w:pPr>
        <w:pStyle w:val="BodyText"/>
        <w:spacing w:before="79"/>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5"/>
          <w:sz w:val="24"/>
        </w:rPr>
        <w:t> </w:t>
      </w:r>
      <w:r>
        <w:rPr>
          <w:rFonts w:ascii="Arial MT" w:hAnsi="Arial MT"/>
          <w:color w:val="231F1F"/>
          <w:spacing w:val="-2"/>
          <w:sz w:val="24"/>
        </w:rPr>
        <w:t>científica</w:t>
      </w:r>
    </w:p>
    <w:p>
      <w:pPr>
        <w:pStyle w:val="BodyText"/>
        <w:spacing w:before="210"/>
        <w:ind w:left="288"/>
        <w:jc w:val="both"/>
      </w:pPr>
      <w:r>
        <w:rPr>
          <w:color w:val="231F1F"/>
        </w:rPr>
        <w:t>La</w:t>
      </w:r>
      <w:r>
        <w:rPr>
          <w:color w:val="231F1F"/>
          <w:spacing w:val="32"/>
        </w:rPr>
        <w:t> </w:t>
      </w:r>
      <w:r>
        <w:rPr>
          <w:color w:val="231F1F"/>
        </w:rPr>
        <w:t>guía</w:t>
      </w:r>
      <w:r>
        <w:rPr>
          <w:color w:val="231F1F"/>
          <w:spacing w:val="35"/>
        </w:rPr>
        <w:t> </w:t>
      </w:r>
      <w:r>
        <w:rPr>
          <w:color w:val="231F1F"/>
        </w:rPr>
        <w:t>NICE</w:t>
      </w:r>
      <w:r>
        <w:rPr>
          <w:color w:val="231F1F"/>
          <w:spacing w:val="34"/>
        </w:rPr>
        <w:t> </w:t>
      </w:r>
      <w:r>
        <w:rPr>
          <w:color w:val="231F1F"/>
        </w:rPr>
        <w:t>(10)</w:t>
      </w:r>
      <w:r>
        <w:rPr>
          <w:color w:val="231F1F"/>
          <w:spacing w:val="36"/>
        </w:rPr>
        <w:t> </w:t>
      </w:r>
      <w:r>
        <w:rPr>
          <w:color w:val="231F1F"/>
        </w:rPr>
        <w:t>utiliza</w:t>
      </w:r>
      <w:r>
        <w:rPr>
          <w:color w:val="231F1F"/>
          <w:spacing w:val="32"/>
        </w:rPr>
        <w:t> </w:t>
      </w:r>
      <w:r>
        <w:rPr>
          <w:color w:val="231F1F"/>
        </w:rPr>
        <w:t>para</w:t>
      </w:r>
      <w:r>
        <w:rPr>
          <w:color w:val="231F1F"/>
          <w:spacing w:val="36"/>
        </w:rPr>
        <w:t> </w:t>
      </w:r>
      <w:r>
        <w:rPr>
          <w:color w:val="231F1F"/>
        </w:rPr>
        <w:t>este</w:t>
      </w:r>
      <w:r>
        <w:rPr>
          <w:color w:val="231F1F"/>
          <w:spacing w:val="34"/>
        </w:rPr>
        <w:t> </w:t>
      </w:r>
      <w:r>
        <w:rPr>
          <w:color w:val="231F1F"/>
        </w:rPr>
        <w:t>punto</w:t>
      </w:r>
      <w:r>
        <w:rPr>
          <w:color w:val="231F1F"/>
          <w:spacing w:val="36"/>
        </w:rPr>
        <w:t> </w:t>
      </w:r>
      <w:r>
        <w:rPr>
          <w:color w:val="231F1F"/>
        </w:rPr>
        <w:t>la</w:t>
      </w:r>
      <w:r>
        <w:rPr>
          <w:color w:val="231F1F"/>
          <w:spacing w:val="34"/>
        </w:rPr>
        <w:t> </w:t>
      </w:r>
      <w:r>
        <w:rPr>
          <w:color w:val="231F1F"/>
        </w:rPr>
        <w:t>evidencia</w:t>
      </w:r>
      <w:r>
        <w:rPr>
          <w:color w:val="231F1F"/>
          <w:spacing w:val="34"/>
        </w:rPr>
        <w:t> </w:t>
      </w:r>
      <w:r>
        <w:rPr>
          <w:color w:val="231F1F"/>
        </w:rPr>
        <w:t>procedente</w:t>
      </w:r>
      <w:r>
        <w:rPr>
          <w:color w:val="231F1F"/>
          <w:spacing w:val="30"/>
        </w:rPr>
        <w:t> </w:t>
      </w:r>
      <w:r>
        <w:rPr>
          <w:color w:val="231F1F"/>
        </w:rPr>
        <w:t>de</w:t>
      </w:r>
      <w:r>
        <w:rPr>
          <w:color w:val="231F1F"/>
          <w:spacing w:val="36"/>
        </w:rPr>
        <w:t> </w:t>
      </w:r>
      <w:r>
        <w:rPr>
          <w:color w:val="231F1F"/>
        </w:rPr>
        <w:t>la</w:t>
      </w:r>
      <w:r>
        <w:rPr>
          <w:color w:val="231F1F"/>
          <w:spacing w:val="34"/>
        </w:rPr>
        <w:t> </w:t>
      </w:r>
      <w:r>
        <w:rPr>
          <w:color w:val="231F1F"/>
          <w:spacing w:val="-4"/>
        </w:rPr>
        <w:t>guía</w:t>
      </w:r>
    </w:p>
    <w:p>
      <w:pPr>
        <w:pStyle w:val="BodyText"/>
        <w:spacing w:line="252" w:lineRule="auto" w:before="16"/>
        <w:ind w:left="287" w:right="1434"/>
        <w:jc w:val="both"/>
      </w:pPr>
      <w:r>
        <w:rPr>
          <w:color w:val="231F1F"/>
          <w:w w:val="105"/>
        </w:rPr>
        <w:t>(227) que</w:t>
      </w:r>
      <w:r>
        <w:rPr>
          <w:color w:val="231F1F"/>
          <w:spacing w:val="-1"/>
          <w:w w:val="105"/>
        </w:rPr>
        <w:t> </w:t>
      </w:r>
      <w:r>
        <w:rPr>
          <w:color w:val="231F1F"/>
          <w:w w:val="105"/>
        </w:rPr>
        <w:t>analiza sólo los efectos del</w:t>
      </w:r>
      <w:r>
        <w:rPr>
          <w:color w:val="231F1F"/>
          <w:spacing w:val="-1"/>
          <w:w w:val="105"/>
        </w:rPr>
        <w:t> </w:t>
      </w:r>
      <w:r>
        <w:rPr>
          <w:color w:val="231F1F"/>
          <w:w w:val="105"/>
        </w:rPr>
        <w:t>contacto piel</w:t>
      </w:r>
      <w:r>
        <w:rPr>
          <w:color w:val="231F1F"/>
          <w:spacing w:val="-1"/>
          <w:w w:val="105"/>
        </w:rPr>
        <w:t> </w:t>
      </w:r>
      <w:r>
        <w:rPr>
          <w:color w:val="231F1F"/>
          <w:w w:val="105"/>
        </w:rPr>
        <w:t>con piel</w:t>
      </w:r>
      <w:r>
        <w:rPr>
          <w:color w:val="231F1F"/>
          <w:spacing w:val="-1"/>
          <w:w w:val="105"/>
        </w:rPr>
        <w:t> </w:t>
      </w:r>
      <w:r>
        <w:rPr>
          <w:color w:val="231F1F"/>
          <w:w w:val="105"/>
        </w:rPr>
        <w:t>y la lactancia</w:t>
      </w:r>
      <w:r>
        <w:rPr>
          <w:color w:val="231F1F"/>
          <w:spacing w:val="-1"/>
          <w:w w:val="105"/>
        </w:rPr>
        <w:t> </w:t>
      </w:r>
      <w:r>
        <w:rPr>
          <w:color w:val="231F1F"/>
          <w:w w:val="105"/>
        </w:rPr>
        <w:t>ma- terna.</w:t>
      </w:r>
      <w:r>
        <w:rPr>
          <w:color w:val="231F1F"/>
          <w:spacing w:val="-15"/>
          <w:w w:val="105"/>
        </w:rPr>
        <w:t> </w:t>
      </w:r>
      <w:r>
        <w:rPr>
          <w:color w:val="231F1F"/>
          <w:w w:val="105"/>
        </w:rPr>
        <w:t>Los</w:t>
      </w:r>
      <w:r>
        <w:rPr>
          <w:color w:val="231F1F"/>
          <w:spacing w:val="-14"/>
          <w:w w:val="105"/>
        </w:rPr>
        <w:t> </w:t>
      </w:r>
      <w:r>
        <w:rPr>
          <w:color w:val="231F1F"/>
          <w:w w:val="105"/>
        </w:rPr>
        <w:t>estudios</w:t>
      </w:r>
      <w:r>
        <w:rPr>
          <w:color w:val="231F1F"/>
          <w:spacing w:val="-15"/>
          <w:w w:val="105"/>
        </w:rPr>
        <w:t> </w:t>
      </w:r>
      <w:r>
        <w:rPr>
          <w:color w:val="231F1F"/>
          <w:w w:val="105"/>
        </w:rPr>
        <w:t>incluidos</w:t>
      </w:r>
      <w:r>
        <w:rPr>
          <w:color w:val="231F1F"/>
          <w:spacing w:val="-14"/>
          <w:w w:val="105"/>
        </w:rPr>
        <w:t> </w:t>
      </w:r>
      <w:r>
        <w:rPr>
          <w:color w:val="231F1F"/>
          <w:w w:val="105"/>
        </w:rPr>
        <w:t>fueron</w:t>
      </w:r>
      <w:r>
        <w:rPr>
          <w:color w:val="231F1F"/>
          <w:spacing w:val="-15"/>
          <w:w w:val="105"/>
        </w:rPr>
        <w:t> </w:t>
      </w:r>
      <w:r>
        <w:rPr>
          <w:color w:val="231F1F"/>
          <w:w w:val="105"/>
        </w:rPr>
        <w:t>1</w:t>
      </w:r>
      <w:r>
        <w:rPr>
          <w:color w:val="231F1F"/>
          <w:spacing w:val="-14"/>
          <w:w w:val="105"/>
        </w:rPr>
        <w:t> </w:t>
      </w:r>
      <w:r>
        <w:rPr>
          <w:color w:val="231F1F"/>
          <w:w w:val="105"/>
        </w:rPr>
        <w:t>RS</w:t>
      </w:r>
      <w:r>
        <w:rPr>
          <w:color w:val="231F1F"/>
          <w:spacing w:val="-15"/>
          <w:w w:val="105"/>
        </w:rPr>
        <w:t> </w:t>
      </w:r>
      <w:r>
        <w:rPr>
          <w:color w:val="231F1F"/>
          <w:w w:val="105"/>
        </w:rPr>
        <w:t>con</w:t>
      </w:r>
      <w:r>
        <w:rPr>
          <w:color w:val="231F1F"/>
          <w:spacing w:val="-14"/>
          <w:w w:val="105"/>
        </w:rPr>
        <w:t> </w:t>
      </w:r>
      <w:r>
        <w:rPr>
          <w:color w:val="231F1F"/>
          <w:w w:val="105"/>
        </w:rPr>
        <w:t>17</w:t>
      </w:r>
      <w:r>
        <w:rPr>
          <w:color w:val="231F1F"/>
          <w:spacing w:val="-14"/>
          <w:w w:val="105"/>
        </w:rPr>
        <w:t> </w:t>
      </w:r>
      <w:r>
        <w:rPr>
          <w:color w:val="231F1F"/>
          <w:w w:val="105"/>
        </w:rPr>
        <w:t>estudios</w:t>
      </w:r>
      <w:r>
        <w:rPr>
          <w:color w:val="231F1F"/>
          <w:spacing w:val="-15"/>
          <w:w w:val="105"/>
        </w:rPr>
        <w:t> </w:t>
      </w:r>
      <w:r>
        <w:rPr>
          <w:color w:val="231F1F"/>
          <w:w w:val="105"/>
        </w:rPr>
        <w:t>de</w:t>
      </w:r>
      <w:r>
        <w:rPr>
          <w:color w:val="231F1F"/>
          <w:spacing w:val="-14"/>
          <w:w w:val="105"/>
        </w:rPr>
        <w:t> </w:t>
      </w:r>
      <w:r>
        <w:rPr>
          <w:color w:val="231F1F"/>
          <w:w w:val="105"/>
        </w:rPr>
        <w:t>baja</w:t>
      </w:r>
      <w:r>
        <w:rPr>
          <w:color w:val="231F1F"/>
          <w:spacing w:val="-15"/>
          <w:w w:val="105"/>
        </w:rPr>
        <w:t> </w:t>
      </w:r>
      <w:r>
        <w:rPr>
          <w:color w:val="231F1F"/>
          <w:w w:val="105"/>
        </w:rPr>
        <w:t>calidad</w:t>
      </w:r>
      <w:r>
        <w:rPr>
          <w:color w:val="231F1F"/>
          <w:spacing w:val="-14"/>
          <w:w w:val="105"/>
        </w:rPr>
        <w:t> </w:t>
      </w:r>
      <w:r>
        <w:rPr>
          <w:color w:val="231F1F"/>
          <w:w w:val="105"/>
        </w:rPr>
        <w:t>(228), dos ECAs con NE=1+ (229;230) y 1 estudio observacional NE=3, (231).</w:t>
      </w:r>
    </w:p>
    <w:p>
      <w:pPr>
        <w:pStyle w:val="BodyText"/>
        <w:spacing w:before="115"/>
        <w:ind w:left="826"/>
        <w:jc w:val="both"/>
        <w:rPr>
          <w:rFonts w:ascii="Arial MT"/>
          <w:sz w:val="18"/>
        </w:rPr>
      </w:pPr>
      <w:r>
        <w:rPr>
          <w:color w:val="231F1F"/>
          <w:w w:val="110"/>
        </w:rPr>
        <w:t>La</w:t>
      </w:r>
      <w:r>
        <w:rPr>
          <w:color w:val="231F1F"/>
          <w:spacing w:val="-9"/>
          <w:w w:val="110"/>
        </w:rPr>
        <w:t> </w:t>
      </w:r>
      <w:r>
        <w:rPr>
          <w:color w:val="231F1F"/>
          <w:w w:val="110"/>
        </w:rPr>
        <w:t>RS</w:t>
      </w:r>
      <w:r>
        <w:rPr>
          <w:color w:val="231F1F"/>
          <w:spacing w:val="-7"/>
          <w:w w:val="110"/>
        </w:rPr>
        <w:t> </w:t>
      </w:r>
      <w:r>
        <w:rPr>
          <w:color w:val="231F1F"/>
          <w:w w:val="110"/>
        </w:rPr>
        <w:t>encuentra</w:t>
      </w:r>
      <w:r>
        <w:rPr>
          <w:color w:val="231F1F"/>
          <w:spacing w:val="-7"/>
          <w:w w:val="110"/>
        </w:rPr>
        <w:t> </w:t>
      </w:r>
      <w:r>
        <w:rPr>
          <w:color w:val="231F1F"/>
          <w:w w:val="110"/>
        </w:rPr>
        <w:t>que</w:t>
      </w:r>
      <w:r>
        <w:rPr>
          <w:color w:val="231F1F"/>
          <w:spacing w:val="-7"/>
          <w:w w:val="110"/>
        </w:rPr>
        <w:t> </w:t>
      </w:r>
      <w:r>
        <w:rPr>
          <w:color w:val="231F1F"/>
          <w:w w:val="110"/>
        </w:rPr>
        <w:t>el</w:t>
      </w:r>
      <w:r>
        <w:rPr>
          <w:color w:val="231F1F"/>
          <w:spacing w:val="-7"/>
          <w:w w:val="110"/>
        </w:rPr>
        <w:t> </w:t>
      </w:r>
      <w:r>
        <w:rPr>
          <w:color w:val="231F1F"/>
          <w:w w:val="110"/>
        </w:rPr>
        <w:t>contacto</w:t>
      </w:r>
      <w:r>
        <w:rPr>
          <w:color w:val="231F1F"/>
          <w:spacing w:val="-7"/>
          <w:w w:val="110"/>
        </w:rPr>
        <w:t> </w:t>
      </w:r>
      <w:r>
        <w:rPr>
          <w:color w:val="231F1F"/>
          <w:w w:val="110"/>
        </w:rPr>
        <w:t>temprano</w:t>
      </w:r>
      <w:r>
        <w:rPr>
          <w:color w:val="231F1F"/>
          <w:spacing w:val="-7"/>
          <w:w w:val="110"/>
        </w:rPr>
        <w:t> </w:t>
      </w:r>
      <w:r>
        <w:rPr>
          <w:color w:val="231F1F"/>
          <w:w w:val="110"/>
        </w:rPr>
        <w:t>piel</w:t>
      </w:r>
      <w:r>
        <w:rPr>
          <w:color w:val="231F1F"/>
          <w:spacing w:val="-9"/>
          <w:w w:val="110"/>
        </w:rPr>
        <w:t> </w:t>
      </w:r>
      <w:r>
        <w:rPr>
          <w:color w:val="231F1F"/>
          <w:w w:val="110"/>
        </w:rPr>
        <w:t>con</w:t>
      </w:r>
      <w:r>
        <w:rPr>
          <w:color w:val="231F1F"/>
          <w:spacing w:val="-8"/>
          <w:w w:val="110"/>
        </w:rPr>
        <w:t> </w:t>
      </w:r>
      <w:r>
        <w:rPr>
          <w:color w:val="231F1F"/>
          <w:w w:val="110"/>
        </w:rPr>
        <w:t>piel</w:t>
      </w:r>
      <w:r>
        <w:rPr>
          <w:color w:val="231F1F"/>
          <w:spacing w:val="-9"/>
          <w:w w:val="110"/>
        </w:rPr>
        <w:t> </w:t>
      </w:r>
      <w:r>
        <w:rPr>
          <w:color w:val="231F1F"/>
          <w:w w:val="110"/>
        </w:rPr>
        <w:t>entre</w:t>
      </w:r>
      <w:r>
        <w:rPr>
          <w:color w:val="231F1F"/>
          <w:spacing w:val="-7"/>
          <w:w w:val="110"/>
        </w:rPr>
        <w:t> </w:t>
      </w:r>
      <w:r>
        <w:rPr>
          <w:color w:val="231F1F"/>
          <w:w w:val="110"/>
        </w:rPr>
        <w:t>madre</w:t>
      </w:r>
      <w:r>
        <w:rPr>
          <w:color w:val="231F1F"/>
          <w:spacing w:val="-7"/>
          <w:w w:val="110"/>
        </w:rPr>
        <w:t> </w:t>
      </w:r>
      <w:r>
        <w:rPr>
          <w:color w:val="231F1F"/>
          <w:w w:val="110"/>
        </w:rPr>
        <w:t>y</w:t>
      </w:r>
      <w:r>
        <w:rPr>
          <w:color w:val="231F1F"/>
          <w:spacing w:val="73"/>
          <w:w w:val="110"/>
        </w:rPr>
        <w:t>   </w:t>
      </w:r>
      <w:r>
        <w:rPr>
          <w:rFonts w:ascii="Arial MT"/>
          <w:color w:val="231F1F"/>
          <w:w w:val="110"/>
          <w:sz w:val="18"/>
        </w:rPr>
        <w:t>RS</w:t>
      </w:r>
      <w:r>
        <w:rPr>
          <w:rFonts w:ascii="Arial MT"/>
          <w:color w:val="231F1F"/>
          <w:spacing w:val="-11"/>
          <w:w w:val="110"/>
          <w:sz w:val="18"/>
        </w:rPr>
        <w:t> </w:t>
      </w:r>
      <w:r>
        <w:rPr>
          <w:rFonts w:ascii="Arial MT"/>
          <w:color w:val="231F1F"/>
          <w:w w:val="110"/>
          <w:sz w:val="18"/>
        </w:rPr>
        <w:t>-</w:t>
      </w:r>
      <w:r>
        <w:rPr>
          <w:rFonts w:ascii="Arial MT"/>
          <w:color w:val="231F1F"/>
          <w:spacing w:val="-10"/>
          <w:w w:val="110"/>
          <w:sz w:val="18"/>
        </w:rPr>
        <w:t>1</w:t>
      </w:r>
    </w:p>
    <w:p>
      <w:pPr>
        <w:pStyle w:val="BodyText"/>
        <w:spacing w:line="228" w:lineRule="auto" w:before="21"/>
        <w:ind w:left="287" w:right="1564"/>
        <w:jc w:val="both"/>
      </w:pPr>
      <w:r>
        <w:rPr>
          <w:color w:val="231F1F"/>
        </w:rPr>
        <w:t>RN</w:t>
      </w:r>
      <w:r>
        <w:rPr>
          <w:color w:val="231F1F"/>
          <w:spacing w:val="27"/>
        </w:rPr>
        <w:t> </w:t>
      </w:r>
      <w:r>
        <w:rPr>
          <w:color w:val="231F1F"/>
        </w:rPr>
        <w:t>parece</w:t>
      </w:r>
      <w:r>
        <w:rPr>
          <w:color w:val="231F1F"/>
          <w:spacing w:val="29"/>
        </w:rPr>
        <w:t> </w:t>
      </w:r>
      <w:r>
        <w:rPr>
          <w:color w:val="231F1F"/>
        </w:rPr>
        <w:t>tener</w:t>
      </w:r>
      <w:r>
        <w:rPr>
          <w:color w:val="231F1F"/>
          <w:spacing w:val="30"/>
        </w:rPr>
        <w:t> </w:t>
      </w:r>
      <w:r>
        <w:rPr>
          <w:color w:val="231F1F"/>
        </w:rPr>
        <w:t>algún</w:t>
      </w:r>
      <w:r>
        <w:rPr>
          <w:color w:val="231F1F"/>
          <w:spacing w:val="29"/>
        </w:rPr>
        <w:t> </w:t>
      </w:r>
      <w:r>
        <w:rPr>
          <w:color w:val="231F1F"/>
        </w:rPr>
        <w:t>beneficio</w:t>
      </w:r>
      <w:r>
        <w:rPr>
          <w:color w:val="231F1F"/>
          <w:spacing w:val="29"/>
        </w:rPr>
        <w:t> </w:t>
      </w:r>
      <w:r>
        <w:rPr>
          <w:color w:val="231F1F"/>
        </w:rPr>
        <w:t>clínico</w:t>
      </w:r>
      <w:r>
        <w:rPr>
          <w:color w:val="231F1F"/>
          <w:spacing w:val="29"/>
        </w:rPr>
        <w:t> </w:t>
      </w:r>
      <w:r>
        <w:rPr>
          <w:color w:val="231F1F"/>
        </w:rPr>
        <w:t>en</w:t>
      </w:r>
      <w:r>
        <w:rPr>
          <w:color w:val="231F1F"/>
          <w:spacing w:val="29"/>
        </w:rPr>
        <w:t> </w:t>
      </w:r>
      <w:r>
        <w:rPr>
          <w:color w:val="231F1F"/>
        </w:rPr>
        <w:t>relación</w:t>
      </w:r>
      <w:r>
        <w:rPr>
          <w:color w:val="231F1F"/>
          <w:spacing w:val="30"/>
        </w:rPr>
        <w:t> </w:t>
      </w:r>
      <w:r>
        <w:rPr>
          <w:color w:val="231F1F"/>
        </w:rPr>
        <w:t>con</w:t>
      </w:r>
      <w:r>
        <w:rPr>
          <w:color w:val="231F1F"/>
          <w:spacing w:val="29"/>
        </w:rPr>
        <w:t> </w:t>
      </w:r>
      <w:r>
        <w:rPr>
          <w:color w:val="231F1F"/>
        </w:rPr>
        <w:t>la</w:t>
      </w:r>
      <w:r>
        <w:rPr>
          <w:color w:val="231F1F"/>
          <w:spacing w:val="27"/>
        </w:rPr>
        <w:t> </w:t>
      </w:r>
      <w:r>
        <w:rPr>
          <w:color w:val="231F1F"/>
        </w:rPr>
        <w:t>lactancia</w:t>
      </w:r>
      <w:r>
        <w:rPr>
          <w:color w:val="231F1F"/>
          <w:spacing w:val="30"/>
        </w:rPr>
        <w:t> </w:t>
      </w:r>
      <w:r>
        <w:rPr>
          <w:color w:val="231F1F"/>
        </w:rPr>
        <w:t>materna y</w:t>
      </w:r>
      <w:r>
        <w:rPr>
          <w:color w:val="231F1F"/>
          <w:spacing w:val="13"/>
        </w:rPr>
        <w:t> </w:t>
      </w:r>
      <w:r>
        <w:rPr>
          <w:color w:val="231F1F"/>
        </w:rPr>
        <w:t>con</w:t>
      </w:r>
      <w:r>
        <w:rPr>
          <w:color w:val="231F1F"/>
          <w:spacing w:val="15"/>
        </w:rPr>
        <w:t> </w:t>
      </w:r>
      <w:r>
        <w:rPr>
          <w:color w:val="231F1F"/>
        </w:rPr>
        <w:t>el</w:t>
      </w:r>
      <w:r>
        <w:rPr>
          <w:color w:val="231F1F"/>
          <w:spacing w:val="14"/>
        </w:rPr>
        <w:t> </w:t>
      </w:r>
      <w:r>
        <w:rPr>
          <w:color w:val="231F1F"/>
        </w:rPr>
        <w:t>llanto</w:t>
      </w:r>
      <w:r>
        <w:rPr>
          <w:color w:val="231F1F"/>
          <w:spacing w:val="15"/>
        </w:rPr>
        <w:t> </w:t>
      </w:r>
      <w:r>
        <w:rPr>
          <w:color w:val="231F1F"/>
        </w:rPr>
        <w:t>y</w:t>
      </w:r>
      <w:r>
        <w:rPr>
          <w:color w:val="231F1F"/>
          <w:spacing w:val="15"/>
        </w:rPr>
        <w:t> </w:t>
      </w:r>
      <w:r>
        <w:rPr>
          <w:color w:val="231F1F"/>
        </w:rPr>
        <w:t>no</w:t>
      </w:r>
      <w:r>
        <w:rPr>
          <w:color w:val="231F1F"/>
          <w:spacing w:val="13"/>
        </w:rPr>
        <w:t> </w:t>
      </w:r>
      <w:r>
        <w:rPr>
          <w:color w:val="231F1F"/>
        </w:rPr>
        <w:t>tiene</w:t>
      </w:r>
      <w:r>
        <w:rPr>
          <w:color w:val="231F1F"/>
          <w:spacing w:val="15"/>
        </w:rPr>
        <w:t> </w:t>
      </w:r>
      <w:r>
        <w:rPr>
          <w:color w:val="231F1F"/>
        </w:rPr>
        <w:t>aparentes</w:t>
      </w:r>
      <w:r>
        <w:rPr>
          <w:color w:val="231F1F"/>
          <w:spacing w:val="15"/>
        </w:rPr>
        <w:t> </w:t>
      </w:r>
      <w:r>
        <w:rPr>
          <w:color w:val="231F1F"/>
        </w:rPr>
        <w:t>efectos</w:t>
      </w:r>
      <w:r>
        <w:rPr>
          <w:color w:val="231F1F"/>
          <w:spacing w:val="14"/>
        </w:rPr>
        <w:t> </w:t>
      </w:r>
      <w:r>
        <w:rPr>
          <w:color w:val="231F1F"/>
        </w:rPr>
        <w:t>negativos</w:t>
      </w:r>
      <w:r>
        <w:rPr>
          <w:color w:val="231F1F"/>
          <w:spacing w:val="15"/>
        </w:rPr>
        <w:t> </w:t>
      </w:r>
      <w:r>
        <w:rPr>
          <w:color w:val="231F1F"/>
        </w:rPr>
        <w:t>a</w:t>
      </w:r>
      <w:r>
        <w:rPr>
          <w:color w:val="231F1F"/>
          <w:spacing w:val="14"/>
        </w:rPr>
        <w:t> </w:t>
      </w:r>
      <w:r>
        <w:rPr>
          <w:color w:val="231F1F"/>
        </w:rPr>
        <w:t>corto</w:t>
      </w:r>
      <w:r>
        <w:rPr>
          <w:color w:val="231F1F"/>
          <w:spacing w:val="14"/>
        </w:rPr>
        <w:t> </w:t>
      </w:r>
      <w:r>
        <w:rPr>
          <w:color w:val="231F1F"/>
        </w:rPr>
        <w:t>o</w:t>
      </w:r>
      <w:r>
        <w:rPr>
          <w:color w:val="231F1F"/>
          <w:spacing w:val="15"/>
        </w:rPr>
        <w:t> </w:t>
      </w:r>
      <w:r>
        <w:rPr>
          <w:color w:val="231F1F"/>
        </w:rPr>
        <w:t>largo</w:t>
      </w:r>
      <w:r>
        <w:rPr>
          <w:color w:val="231F1F"/>
          <w:spacing w:val="15"/>
        </w:rPr>
        <w:t> </w:t>
      </w:r>
      <w:r>
        <w:rPr>
          <w:color w:val="231F1F"/>
        </w:rPr>
        <w:t>plazo.</w:t>
      </w:r>
      <w:r>
        <w:rPr>
          <w:color w:val="231F1F"/>
          <w:spacing w:val="14"/>
        </w:rPr>
        <w:t> </w:t>
      </w:r>
      <w:r>
        <w:rPr>
          <w:color w:val="231F1F"/>
        </w:rPr>
        <w:t>El</w:t>
      </w:r>
    </w:p>
    <w:p>
      <w:pPr>
        <w:pStyle w:val="BodyText"/>
        <w:spacing w:after="0" w:line="228" w:lineRule="auto"/>
        <w:jc w:val="both"/>
        <w:sectPr>
          <w:pgSz w:w="11900" w:h="16840"/>
          <w:pgMar w:header="0" w:footer="622" w:top="1560" w:bottom="820" w:left="1417" w:right="1559"/>
        </w:sectPr>
      </w:pPr>
    </w:p>
    <w:p>
      <w:pPr>
        <w:pStyle w:val="BodyText"/>
        <w:spacing w:line="254" w:lineRule="auto" w:before="71"/>
        <w:ind w:left="288" w:right="38"/>
      </w:pPr>
      <w:r>
        <w:rPr>
          <w:color w:val="231F1F"/>
          <w:w w:val="110"/>
        </w:rPr>
        <w:t>ECA</w:t>
      </w:r>
      <w:r>
        <w:rPr>
          <w:color w:val="231F1F"/>
          <w:spacing w:val="-14"/>
          <w:w w:val="110"/>
        </w:rPr>
        <w:t> </w:t>
      </w:r>
      <w:r>
        <w:rPr>
          <w:color w:val="231F1F"/>
          <w:w w:val="110"/>
        </w:rPr>
        <w:t>publicado</w:t>
      </w:r>
      <w:r>
        <w:rPr>
          <w:color w:val="231F1F"/>
          <w:spacing w:val="-16"/>
          <w:w w:val="110"/>
        </w:rPr>
        <w:t> </w:t>
      </w:r>
      <w:r>
        <w:rPr>
          <w:color w:val="231F1F"/>
          <w:w w:val="110"/>
        </w:rPr>
        <w:t>en</w:t>
      </w:r>
      <w:r>
        <w:rPr>
          <w:color w:val="231F1F"/>
          <w:spacing w:val="-14"/>
          <w:w w:val="110"/>
        </w:rPr>
        <w:t> </w:t>
      </w:r>
      <w:r>
        <w:rPr>
          <w:color w:val="231F1F"/>
          <w:w w:val="110"/>
        </w:rPr>
        <w:t>1985</w:t>
      </w:r>
      <w:r>
        <w:rPr>
          <w:color w:val="231F1F"/>
          <w:spacing w:val="-15"/>
          <w:w w:val="110"/>
        </w:rPr>
        <w:t> </w:t>
      </w:r>
      <w:r>
        <w:rPr>
          <w:color w:val="231F1F"/>
          <w:w w:val="110"/>
        </w:rPr>
        <w:t>(229)</w:t>
      </w:r>
      <w:r>
        <w:rPr>
          <w:color w:val="231F1F"/>
          <w:spacing w:val="-15"/>
          <w:w w:val="110"/>
        </w:rPr>
        <w:t> </w:t>
      </w:r>
      <w:r>
        <w:rPr>
          <w:color w:val="231F1F"/>
          <w:w w:val="110"/>
        </w:rPr>
        <w:t>encuentra</w:t>
      </w:r>
      <w:r>
        <w:rPr>
          <w:color w:val="231F1F"/>
          <w:spacing w:val="-15"/>
          <w:w w:val="110"/>
        </w:rPr>
        <w:t> </w:t>
      </w:r>
      <w:r>
        <w:rPr>
          <w:color w:val="231F1F"/>
          <w:w w:val="110"/>
        </w:rPr>
        <w:t>que</w:t>
      </w:r>
      <w:r>
        <w:rPr>
          <w:color w:val="231F1F"/>
          <w:spacing w:val="-14"/>
          <w:w w:val="110"/>
        </w:rPr>
        <w:t> </w:t>
      </w:r>
      <w:r>
        <w:rPr>
          <w:color w:val="231F1F"/>
          <w:w w:val="110"/>
        </w:rPr>
        <w:t>el</w:t>
      </w:r>
      <w:r>
        <w:rPr>
          <w:color w:val="231F1F"/>
          <w:spacing w:val="-15"/>
          <w:w w:val="110"/>
        </w:rPr>
        <w:t> </w:t>
      </w:r>
      <w:r>
        <w:rPr>
          <w:color w:val="231F1F"/>
          <w:w w:val="110"/>
        </w:rPr>
        <w:t>contacto</w:t>
      </w:r>
      <w:r>
        <w:rPr>
          <w:color w:val="231F1F"/>
          <w:spacing w:val="-15"/>
          <w:w w:val="110"/>
        </w:rPr>
        <w:t> </w:t>
      </w:r>
      <w:r>
        <w:rPr>
          <w:color w:val="231F1F"/>
          <w:w w:val="110"/>
        </w:rPr>
        <w:t>temprano</w:t>
      </w:r>
      <w:r>
        <w:rPr>
          <w:color w:val="231F1F"/>
          <w:spacing w:val="-15"/>
          <w:w w:val="110"/>
        </w:rPr>
        <w:t> </w:t>
      </w:r>
      <w:r>
        <w:rPr>
          <w:color w:val="231F1F"/>
          <w:w w:val="110"/>
        </w:rPr>
        <w:t>piel</w:t>
      </w:r>
      <w:r>
        <w:rPr>
          <w:color w:val="231F1F"/>
          <w:spacing w:val="-15"/>
          <w:w w:val="110"/>
        </w:rPr>
        <w:t> </w:t>
      </w:r>
      <w:r>
        <w:rPr>
          <w:color w:val="231F1F"/>
          <w:w w:val="110"/>
        </w:rPr>
        <w:t>con piel</w:t>
      </w:r>
      <w:r>
        <w:rPr>
          <w:color w:val="231F1F"/>
          <w:spacing w:val="-13"/>
          <w:w w:val="110"/>
        </w:rPr>
        <w:t> </w:t>
      </w:r>
      <w:r>
        <w:rPr>
          <w:color w:val="231F1F"/>
          <w:w w:val="110"/>
        </w:rPr>
        <w:t>entre</w:t>
      </w:r>
      <w:r>
        <w:rPr>
          <w:color w:val="231F1F"/>
          <w:spacing w:val="-9"/>
          <w:w w:val="110"/>
        </w:rPr>
        <w:t> </w:t>
      </w:r>
      <w:r>
        <w:rPr>
          <w:color w:val="231F1F"/>
          <w:w w:val="110"/>
        </w:rPr>
        <w:t>madre</w:t>
      </w:r>
      <w:r>
        <w:rPr>
          <w:color w:val="231F1F"/>
          <w:spacing w:val="-10"/>
          <w:w w:val="110"/>
        </w:rPr>
        <w:t> </w:t>
      </w:r>
      <w:r>
        <w:rPr>
          <w:color w:val="231F1F"/>
          <w:w w:val="110"/>
        </w:rPr>
        <w:t>e</w:t>
      </w:r>
      <w:r>
        <w:rPr>
          <w:color w:val="231F1F"/>
          <w:spacing w:val="-9"/>
          <w:w w:val="110"/>
        </w:rPr>
        <w:t> </w:t>
      </w:r>
      <w:r>
        <w:rPr>
          <w:color w:val="231F1F"/>
          <w:w w:val="110"/>
        </w:rPr>
        <w:t>hijo</w:t>
      </w:r>
      <w:r>
        <w:rPr>
          <w:color w:val="231F1F"/>
          <w:spacing w:val="-10"/>
          <w:w w:val="110"/>
        </w:rPr>
        <w:t> </w:t>
      </w:r>
      <w:r>
        <w:rPr>
          <w:color w:val="231F1F"/>
          <w:w w:val="110"/>
        </w:rPr>
        <w:t>con</w:t>
      </w:r>
      <w:r>
        <w:rPr>
          <w:color w:val="231F1F"/>
          <w:spacing w:val="-9"/>
          <w:w w:val="110"/>
        </w:rPr>
        <w:t> </w:t>
      </w:r>
      <w:r>
        <w:rPr>
          <w:color w:val="231F1F"/>
          <w:w w:val="110"/>
        </w:rPr>
        <w:t>succión</w:t>
      </w:r>
      <w:r>
        <w:rPr>
          <w:color w:val="231F1F"/>
          <w:spacing w:val="-11"/>
          <w:w w:val="110"/>
        </w:rPr>
        <w:t> </w:t>
      </w:r>
      <w:r>
        <w:rPr>
          <w:color w:val="231F1F"/>
          <w:w w:val="110"/>
        </w:rPr>
        <w:t>se</w:t>
      </w:r>
      <w:r>
        <w:rPr>
          <w:color w:val="231F1F"/>
          <w:spacing w:val="-8"/>
          <w:w w:val="110"/>
        </w:rPr>
        <w:t> </w:t>
      </w:r>
      <w:r>
        <w:rPr>
          <w:color w:val="231F1F"/>
          <w:w w:val="110"/>
        </w:rPr>
        <w:t>asocia</w:t>
      </w:r>
      <w:r>
        <w:rPr>
          <w:color w:val="231F1F"/>
          <w:spacing w:val="-11"/>
          <w:w w:val="110"/>
        </w:rPr>
        <w:t> </w:t>
      </w:r>
      <w:r>
        <w:rPr>
          <w:color w:val="231F1F"/>
          <w:w w:val="110"/>
        </w:rPr>
        <w:t>con</w:t>
      </w:r>
      <w:r>
        <w:rPr>
          <w:color w:val="231F1F"/>
          <w:spacing w:val="-8"/>
          <w:w w:val="110"/>
        </w:rPr>
        <w:t> </w:t>
      </w:r>
      <w:r>
        <w:rPr>
          <w:color w:val="231F1F"/>
          <w:w w:val="110"/>
        </w:rPr>
        <w:t>una</w:t>
      </w:r>
      <w:r>
        <w:rPr>
          <w:color w:val="231F1F"/>
          <w:spacing w:val="-11"/>
          <w:w w:val="110"/>
        </w:rPr>
        <w:t> </w:t>
      </w:r>
      <w:r>
        <w:rPr>
          <w:color w:val="231F1F"/>
          <w:w w:val="110"/>
        </w:rPr>
        <w:t>mayor</w:t>
      </w:r>
      <w:r>
        <w:rPr>
          <w:color w:val="231F1F"/>
          <w:spacing w:val="-9"/>
          <w:w w:val="110"/>
        </w:rPr>
        <w:t> </w:t>
      </w:r>
      <w:r>
        <w:rPr>
          <w:color w:val="231F1F"/>
          <w:w w:val="110"/>
        </w:rPr>
        <w:t>duración</w:t>
      </w:r>
      <w:r>
        <w:rPr>
          <w:color w:val="231F1F"/>
          <w:spacing w:val="-10"/>
          <w:w w:val="110"/>
        </w:rPr>
        <w:t> </w:t>
      </w:r>
      <w:r>
        <w:rPr>
          <w:color w:val="231F1F"/>
          <w:w w:val="110"/>
        </w:rPr>
        <w:t>de</w:t>
      </w:r>
      <w:r>
        <w:rPr>
          <w:color w:val="231F1F"/>
          <w:spacing w:val="-9"/>
          <w:w w:val="110"/>
        </w:rPr>
        <w:t> </w:t>
      </w:r>
      <w:r>
        <w:rPr>
          <w:color w:val="231F1F"/>
          <w:spacing w:val="-5"/>
          <w:w w:val="110"/>
        </w:rPr>
        <w:t>la</w:t>
      </w:r>
    </w:p>
    <w:p>
      <w:pPr>
        <w:spacing w:line="204" w:lineRule="exact" w:before="0"/>
        <w:ind w:left="288" w:right="0" w:firstLine="0"/>
        <w:jc w:val="left"/>
        <w:rPr>
          <w:rFonts w:ascii="Arial MT"/>
          <w:sz w:val="18"/>
        </w:rPr>
      </w:pPr>
      <w:r>
        <w:rPr/>
        <w:br w:type="column"/>
      </w:r>
      <w:r>
        <w:rPr>
          <w:rFonts w:ascii="Arial MT"/>
          <w:color w:val="231F1F"/>
          <w:spacing w:val="-2"/>
          <w:sz w:val="18"/>
        </w:rPr>
        <w:t>ECA</w:t>
      </w:r>
      <w:r>
        <w:rPr>
          <w:rFonts w:ascii="Arial MT"/>
          <w:color w:val="231F1F"/>
          <w:spacing w:val="-8"/>
          <w:sz w:val="18"/>
        </w:rPr>
        <w:t> </w:t>
      </w:r>
      <w:r>
        <w:rPr>
          <w:rFonts w:ascii="Arial MT"/>
          <w:color w:val="231F1F"/>
          <w:spacing w:val="-5"/>
          <w:sz w:val="18"/>
        </w:rPr>
        <w:t>1+</w:t>
      </w:r>
    </w:p>
    <w:p>
      <w:pPr>
        <w:spacing w:after="0" w:line="204" w:lineRule="exact"/>
        <w:jc w:val="left"/>
        <w:rPr>
          <w:rFonts w:ascii="Arial MT"/>
          <w:sz w:val="18"/>
        </w:rPr>
        <w:sectPr>
          <w:type w:val="continuous"/>
          <w:pgSz w:w="11900" w:h="16840"/>
          <w:pgMar w:header="0" w:footer="622" w:top="560" w:bottom="280" w:left="1417" w:right="1559"/>
          <w:cols w:num="2" w:equalWidth="0">
            <w:col w:w="7460" w:space="172"/>
            <w:col w:w="1292"/>
          </w:cols>
        </w:sectPr>
      </w:pPr>
    </w:p>
    <w:p>
      <w:pPr>
        <w:pStyle w:val="BodyText"/>
        <w:tabs>
          <w:tab w:pos="7965" w:val="left" w:leader="none"/>
          <w:tab w:pos="8005" w:val="left" w:leader="none"/>
          <w:tab w:pos="8129" w:val="left" w:leader="none"/>
        </w:tabs>
        <w:spacing w:line="254" w:lineRule="auto"/>
        <w:ind w:left="287" w:right="441"/>
      </w:pPr>
      <w:r>
        <w:rPr>
          <w:color w:val="231F1F"/>
          <w:w w:val="105"/>
          <w:position w:val="2"/>
        </w:rPr>
        <w:t>lactancia materna, (p&lt;0,001) y el segundo ECA del 2005 (230) realiza un aná-</w:t>
      </w:r>
      <w:r>
        <w:rPr>
          <w:color w:val="231F1F"/>
          <w:position w:val="2"/>
        </w:rPr>
        <w:tab/>
      </w:r>
      <w:r>
        <w:rPr>
          <w:rFonts w:ascii="Arial MT" w:hAnsi="Arial MT"/>
          <w:color w:val="231F1F"/>
          <w:spacing w:val="-8"/>
          <w:w w:val="105"/>
          <w:sz w:val="18"/>
        </w:rPr>
        <w:t>MA</w:t>
      </w:r>
      <w:r>
        <w:rPr>
          <w:rFonts w:ascii="Arial MT" w:hAnsi="Arial MT"/>
          <w:color w:val="231F1F"/>
          <w:spacing w:val="-11"/>
          <w:w w:val="105"/>
          <w:sz w:val="18"/>
        </w:rPr>
        <w:t> </w:t>
      </w:r>
      <w:r>
        <w:rPr>
          <w:rFonts w:ascii="Arial MT" w:hAnsi="Arial MT"/>
          <w:color w:val="231F1F"/>
          <w:spacing w:val="-8"/>
          <w:w w:val="105"/>
          <w:sz w:val="18"/>
        </w:rPr>
        <w:t>de </w:t>
      </w:r>
      <w:r>
        <w:rPr>
          <w:color w:val="231F1F"/>
        </w:rPr>
        <w:t>lisis sumando los datos de la RS de Anderson (228) y obtiene un menor valor</w:t>
        <w:tab/>
        <w:tab/>
      </w:r>
      <w:r>
        <w:rPr>
          <w:rFonts w:ascii="Arial MT" w:hAnsi="Arial MT"/>
          <w:color w:val="231F1F"/>
          <w:spacing w:val="-4"/>
          <w:sz w:val="18"/>
        </w:rPr>
        <w:t>ECAs </w:t>
      </w:r>
      <w:r>
        <w:rPr>
          <w:color w:val="231F1F"/>
          <w:w w:val="105"/>
        </w:rPr>
        <w:t>de OR pero con una estimación más precisa y con significación estadística: OR</w:t>
      </w:r>
      <w:r>
        <w:rPr>
          <w:color w:val="231F1F"/>
        </w:rPr>
        <w:tab/>
        <w:tab/>
        <w:tab/>
      </w:r>
      <w:r>
        <w:rPr>
          <w:rFonts w:ascii="Arial MT" w:hAnsi="Arial MT"/>
          <w:color w:val="231F1F"/>
          <w:spacing w:val="-6"/>
          <w:w w:val="105"/>
          <w:position w:val="4"/>
          <w:sz w:val="18"/>
        </w:rPr>
        <w:t>1+ </w:t>
      </w:r>
      <w:r>
        <w:rPr>
          <w:color w:val="231F1F"/>
          <w:w w:val="105"/>
        </w:rPr>
        <w:t>1,89 [IC 95% 1,06 a 3,34] sobre los beneficios para la lactancia materna.</w:t>
      </w:r>
    </w:p>
    <w:p>
      <w:pPr>
        <w:pStyle w:val="BodyText"/>
        <w:spacing w:before="85"/>
        <w:ind w:right="275"/>
        <w:jc w:val="right"/>
        <w:rPr>
          <w:rFonts w:ascii="Arial MT"/>
          <w:sz w:val="18"/>
        </w:rPr>
      </w:pPr>
      <w:r>
        <w:rPr>
          <w:color w:val="231F1F"/>
          <w:w w:val="105"/>
        </w:rPr>
        <w:t>Hay</w:t>
      </w:r>
      <w:r>
        <w:rPr>
          <w:color w:val="231F1F"/>
          <w:spacing w:val="-15"/>
          <w:w w:val="105"/>
        </w:rPr>
        <w:t> </w:t>
      </w:r>
      <w:r>
        <w:rPr>
          <w:color w:val="231F1F"/>
          <w:w w:val="105"/>
        </w:rPr>
        <w:t>evidencia</w:t>
      </w:r>
      <w:r>
        <w:rPr>
          <w:color w:val="231F1F"/>
          <w:spacing w:val="-14"/>
          <w:w w:val="105"/>
        </w:rPr>
        <w:t> </w:t>
      </w:r>
      <w:r>
        <w:rPr>
          <w:color w:val="231F1F"/>
          <w:w w:val="105"/>
        </w:rPr>
        <w:t>de</w:t>
      </w:r>
      <w:r>
        <w:rPr>
          <w:color w:val="231F1F"/>
          <w:spacing w:val="-15"/>
          <w:w w:val="105"/>
        </w:rPr>
        <w:t> </w:t>
      </w:r>
      <w:r>
        <w:rPr>
          <w:color w:val="231F1F"/>
          <w:w w:val="105"/>
        </w:rPr>
        <w:t>baja</w:t>
      </w:r>
      <w:r>
        <w:rPr>
          <w:color w:val="231F1F"/>
          <w:spacing w:val="-14"/>
          <w:w w:val="105"/>
        </w:rPr>
        <w:t> </w:t>
      </w:r>
      <w:r>
        <w:rPr>
          <w:color w:val="231F1F"/>
          <w:w w:val="105"/>
        </w:rPr>
        <w:t>calidad</w:t>
      </w:r>
      <w:r>
        <w:rPr>
          <w:color w:val="231F1F"/>
          <w:spacing w:val="-15"/>
          <w:w w:val="105"/>
        </w:rPr>
        <w:t> </w:t>
      </w:r>
      <w:r>
        <w:rPr>
          <w:color w:val="231F1F"/>
          <w:w w:val="105"/>
        </w:rPr>
        <w:t>que</w:t>
      </w:r>
      <w:r>
        <w:rPr>
          <w:color w:val="231F1F"/>
          <w:spacing w:val="-14"/>
          <w:w w:val="105"/>
        </w:rPr>
        <w:t> </w:t>
      </w:r>
      <w:r>
        <w:rPr>
          <w:color w:val="231F1F"/>
          <w:w w:val="105"/>
        </w:rPr>
        <w:t>encuentra</w:t>
      </w:r>
      <w:r>
        <w:rPr>
          <w:color w:val="231F1F"/>
          <w:spacing w:val="-15"/>
          <w:w w:val="105"/>
        </w:rPr>
        <w:t> </w:t>
      </w:r>
      <w:r>
        <w:rPr>
          <w:color w:val="231F1F"/>
          <w:w w:val="105"/>
        </w:rPr>
        <w:t>diferencias</w:t>
      </w:r>
      <w:r>
        <w:rPr>
          <w:color w:val="231F1F"/>
          <w:spacing w:val="-14"/>
          <w:w w:val="105"/>
        </w:rPr>
        <w:t> </w:t>
      </w:r>
      <w:r>
        <w:rPr>
          <w:color w:val="231F1F"/>
          <w:w w:val="105"/>
        </w:rPr>
        <w:t>significativas</w:t>
      </w:r>
      <w:r>
        <w:rPr>
          <w:color w:val="231F1F"/>
          <w:spacing w:val="-14"/>
          <w:w w:val="105"/>
        </w:rPr>
        <w:t> </w:t>
      </w:r>
      <w:r>
        <w:rPr>
          <w:color w:val="231F1F"/>
          <w:w w:val="105"/>
        </w:rPr>
        <w:t>en</w:t>
      </w:r>
      <w:r>
        <w:rPr>
          <w:color w:val="231F1F"/>
          <w:spacing w:val="65"/>
          <w:w w:val="150"/>
        </w:rPr>
        <w:t> </w:t>
      </w:r>
      <w:r>
        <w:rPr>
          <w:rFonts w:ascii="Arial MT"/>
          <w:color w:val="231F1F"/>
          <w:w w:val="105"/>
          <w:sz w:val="18"/>
        </w:rPr>
        <w:t>E.</w:t>
      </w:r>
      <w:r>
        <w:rPr>
          <w:rFonts w:ascii="Arial MT"/>
          <w:color w:val="231F1F"/>
          <w:spacing w:val="-13"/>
          <w:w w:val="105"/>
          <w:sz w:val="18"/>
        </w:rPr>
        <w:t> </w:t>
      </w:r>
      <w:r>
        <w:rPr>
          <w:rFonts w:ascii="Arial MT"/>
          <w:color w:val="231F1F"/>
          <w:spacing w:val="-2"/>
          <w:w w:val="105"/>
          <w:sz w:val="18"/>
        </w:rPr>
        <w:t>Observa-</w:t>
      </w:r>
    </w:p>
    <w:p>
      <w:pPr>
        <w:pStyle w:val="BodyText"/>
        <w:tabs>
          <w:tab w:pos="7622" w:val="left" w:leader="none"/>
        </w:tabs>
        <w:spacing w:before="12"/>
        <w:ind w:right="372"/>
        <w:jc w:val="right"/>
        <w:rPr>
          <w:rFonts w:ascii="Arial MT" w:hAnsi="Arial MT"/>
          <w:position w:val="3"/>
          <w:sz w:val="18"/>
        </w:rPr>
      </w:pPr>
      <w:r>
        <w:rPr>
          <w:color w:val="231F1F"/>
        </w:rPr>
        <w:t>el</w:t>
      </w:r>
      <w:r>
        <w:rPr>
          <w:color w:val="231F1F"/>
          <w:spacing w:val="20"/>
        </w:rPr>
        <w:t> </w:t>
      </w:r>
      <w:r>
        <w:rPr>
          <w:color w:val="231F1F"/>
        </w:rPr>
        <w:t>aumento</w:t>
      </w:r>
      <w:r>
        <w:rPr>
          <w:color w:val="231F1F"/>
          <w:spacing w:val="23"/>
        </w:rPr>
        <w:t> </w:t>
      </w:r>
      <w:r>
        <w:rPr>
          <w:color w:val="231F1F"/>
        </w:rPr>
        <w:t>del</w:t>
      </w:r>
      <w:r>
        <w:rPr>
          <w:color w:val="231F1F"/>
          <w:spacing w:val="20"/>
        </w:rPr>
        <w:t> </w:t>
      </w:r>
      <w:r>
        <w:rPr>
          <w:color w:val="231F1F"/>
        </w:rPr>
        <w:t>tiempo</w:t>
      </w:r>
      <w:r>
        <w:rPr>
          <w:color w:val="231F1F"/>
          <w:spacing w:val="23"/>
        </w:rPr>
        <w:t> </w:t>
      </w:r>
      <w:r>
        <w:rPr>
          <w:color w:val="231F1F"/>
        </w:rPr>
        <w:t>de</w:t>
      </w:r>
      <w:r>
        <w:rPr>
          <w:color w:val="231F1F"/>
          <w:spacing w:val="21"/>
        </w:rPr>
        <w:t> </w:t>
      </w:r>
      <w:r>
        <w:rPr>
          <w:color w:val="231F1F"/>
        </w:rPr>
        <w:t>lactancia</w:t>
      </w:r>
      <w:r>
        <w:rPr>
          <w:color w:val="231F1F"/>
          <w:spacing w:val="20"/>
        </w:rPr>
        <w:t> </w:t>
      </w:r>
      <w:r>
        <w:rPr>
          <w:color w:val="231F1F"/>
        </w:rPr>
        <w:t>entre</w:t>
      </w:r>
      <w:r>
        <w:rPr>
          <w:color w:val="231F1F"/>
          <w:spacing w:val="23"/>
        </w:rPr>
        <w:t> </w:t>
      </w:r>
      <w:r>
        <w:rPr>
          <w:color w:val="231F1F"/>
        </w:rPr>
        <w:t>1,55</w:t>
      </w:r>
      <w:r>
        <w:rPr>
          <w:color w:val="231F1F"/>
          <w:spacing w:val="20"/>
        </w:rPr>
        <w:t> </w:t>
      </w:r>
      <w:r>
        <w:rPr>
          <w:color w:val="231F1F"/>
        </w:rPr>
        <w:t>y</w:t>
      </w:r>
      <w:r>
        <w:rPr>
          <w:color w:val="231F1F"/>
          <w:spacing w:val="23"/>
        </w:rPr>
        <w:t> </w:t>
      </w:r>
      <w:r>
        <w:rPr>
          <w:color w:val="231F1F"/>
        </w:rPr>
        <w:t>3,10</w:t>
      </w:r>
      <w:r>
        <w:rPr>
          <w:color w:val="231F1F"/>
          <w:spacing w:val="21"/>
        </w:rPr>
        <w:t> </w:t>
      </w:r>
      <w:r>
        <w:rPr>
          <w:color w:val="231F1F"/>
        </w:rPr>
        <w:t>meses</w:t>
      </w:r>
      <w:r>
        <w:rPr>
          <w:color w:val="231F1F"/>
          <w:spacing w:val="21"/>
        </w:rPr>
        <w:t> </w:t>
      </w:r>
      <w:r>
        <w:rPr>
          <w:color w:val="231F1F"/>
        </w:rPr>
        <w:t>más</w:t>
      </w:r>
      <w:r>
        <w:rPr>
          <w:color w:val="231F1F"/>
          <w:spacing w:val="24"/>
        </w:rPr>
        <w:t> </w:t>
      </w:r>
      <w:r>
        <w:rPr>
          <w:color w:val="231F1F"/>
          <w:spacing w:val="-2"/>
        </w:rPr>
        <w:t>(p&lt;0,001).</w:t>
      </w:r>
      <w:r>
        <w:rPr>
          <w:color w:val="231F1F"/>
        </w:rPr>
        <w:tab/>
      </w:r>
      <w:r>
        <w:rPr>
          <w:rFonts w:ascii="Arial MT" w:hAnsi="Arial MT"/>
          <w:color w:val="231F1F"/>
          <w:position w:val="3"/>
          <w:sz w:val="18"/>
        </w:rPr>
        <w:t>cional</w:t>
      </w:r>
      <w:r>
        <w:rPr>
          <w:rFonts w:ascii="Arial MT" w:hAnsi="Arial MT"/>
          <w:color w:val="231F1F"/>
          <w:spacing w:val="12"/>
          <w:position w:val="3"/>
          <w:sz w:val="18"/>
        </w:rPr>
        <w:t> </w:t>
      </w:r>
      <w:r>
        <w:rPr>
          <w:rFonts w:ascii="Arial MT" w:hAnsi="Arial MT"/>
          <w:color w:val="231F1F"/>
          <w:spacing w:val="-10"/>
          <w:position w:val="3"/>
          <w:sz w:val="18"/>
        </w:rPr>
        <w:t>3</w:t>
      </w:r>
    </w:p>
    <w:p>
      <w:pPr>
        <w:pStyle w:val="BodyText"/>
        <w:spacing w:before="26"/>
        <w:rPr>
          <w:rFonts w:ascii="Arial MT"/>
        </w:rPr>
      </w:pPr>
    </w:p>
    <w:p>
      <w:pPr>
        <w:spacing w:before="0"/>
        <w:ind w:left="287" w:right="0" w:firstLine="0"/>
        <w:jc w:val="left"/>
        <w:rPr>
          <w:rFonts w:ascii="Arial MT" w:hAnsi="Arial MT"/>
          <w:sz w:val="24"/>
        </w:rPr>
      </w:pPr>
      <w:r>
        <w:rPr>
          <w:rFonts w:ascii="Arial MT" w:hAnsi="Arial MT"/>
          <w:color w:val="231F1F"/>
          <w:sz w:val="24"/>
        </w:rPr>
        <w:t>Actualización</w:t>
      </w:r>
      <w:r>
        <w:rPr>
          <w:rFonts w:ascii="Arial MT" w:hAnsi="Arial MT"/>
          <w:color w:val="231F1F"/>
          <w:spacing w:val="8"/>
          <w:sz w:val="24"/>
        </w:rPr>
        <w:t> </w:t>
      </w:r>
      <w:r>
        <w:rPr>
          <w:rFonts w:ascii="Arial MT" w:hAnsi="Arial MT"/>
          <w:color w:val="231F1F"/>
          <w:sz w:val="24"/>
        </w:rPr>
        <w:t>(2005</w:t>
      </w:r>
      <w:r>
        <w:rPr>
          <w:rFonts w:ascii="Arial MT" w:hAnsi="Arial MT"/>
          <w:color w:val="231F1F"/>
          <w:spacing w:val="15"/>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3"/>
          <w:sz w:val="24"/>
        </w:rPr>
        <w:t> </w:t>
      </w:r>
      <w:r>
        <w:rPr>
          <w:rFonts w:ascii="Arial MT" w:hAnsi="Arial MT"/>
          <w:color w:val="231F1F"/>
          <w:spacing w:val="-2"/>
          <w:sz w:val="24"/>
        </w:rPr>
        <w:t>2008)</w:t>
      </w:r>
    </w:p>
    <w:p>
      <w:pPr>
        <w:pStyle w:val="BodyText"/>
        <w:spacing w:line="266" w:lineRule="auto" w:before="224"/>
        <w:ind w:left="287" w:right="1467"/>
      </w:pPr>
      <w:r>
        <w:rPr>
          <w:color w:val="231F1F"/>
        </w:rPr>
        <w:t>En la búsqueda de actualización se han encontrado 4 estudios, dos RS (232;233), una revisión de estudios de intervención (234), y una propuesta de GPC (235)</w:t>
      </w:r>
      <w:r>
        <w:rPr>
          <w:color w:val="231F1F"/>
        </w:rPr>
        <w:t> que</w:t>
      </w:r>
      <w:r>
        <w:rPr>
          <w:color w:val="231F1F"/>
          <w:spacing w:val="26"/>
        </w:rPr>
        <w:t> </w:t>
      </w:r>
      <w:r>
        <w:rPr>
          <w:color w:val="231F1F"/>
        </w:rPr>
        <w:t>no</w:t>
      </w:r>
      <w:r>
        <w:rPr>
          <w:color w:val="231F1F"/>
          <w:spacing w:val="26"/>
        </w:rPr>
        <w:t> </w:t>
      </w:r>
      <w:r>
        <w:rPr>
          <w:color w:val="231F1F"/>
        </w:rPr>
        <w:t>presenta</w:t>
      </w:r>
      <w:r>
        <w:rPr>
          <w:color w:val="231F1F"/>
          <w:spacing w:val="26"/>
        </w:rPr>
        <w:t> </w:t>
      </w:r>
      <w:r>
        <w:rPr>
          <w:color w:val="231F1F"/>
        </w:rPr>
        <w:t>la</w:t>
      </w:r>
      <w:r>
        <w:rPr>
          <w:color w:val="231F1F"/>
          <w:spacing w:val="26"/>
        </w:rPr>
        <w:t> </w:t>
      </w:r>
      <w:r>
        <w:rPr>
          <w:color w:val="231F1F"/>
        </w:rPr>
        <w:t>evidencia</w:t>
      </w:r>
      <w:r>
        <w:rPr>
          <w:color w:val="231F1F"/>
          <w:spacing w:val="26"/>
        </w:rPr>
        <w:t> </w:t>
      </w:r>
      <w:r>
        <w:rPr>
          <w:color w:val="231F1F"/>
        </w:rPr>
        <w:t>pero</w:t>
      </w:r>
      <w:r>
        <w:rPr>
          <w:color w:val="231F1F"/>
          <w:spacing w:val="26"/>
        </w:rPr>
        <w:t> </w:t>
      </w:r>
      <w:r>
        <w:rPr>
          <w:color w:val="231F1F"/>
        </w:rPr>
        <w:t>sí</w:t>
      </w:r>
      <w:r>
        <w:rPr>
          <w:color w:val="231F1F"/>
          <w:spacing w:val="26"/>
        </w:rPr>
        <w:t> </w:t>
      </w:r>
      <w:r>
        <w:rPr>
          <w:color w:val="231F1F"/>
        </w:rPr>
        <w:t>los</w:t>
      </w:r>
      <w:r>
        <w:rPr>
          <w:color w:val="231F1F"/>
          <w:spacing w:val="26"/>
        </w:rPr>
        <w:t> </w:t>
      </w:r>
      <w:r>
        <w:rPr>
          <w:color w:val="231F1F"/>
        </w:rPr>
        <w:t>criterios</w:t>
      </w:r>
      <w:r>
        <w:rPr>
          <w:color w:val="231F1F"/>
          <w:spacing w:val="26"/>
        </w:rPr>
        <w:t> </w:t>
      </w:r>
      <w:r>
        <w:rPr>
          <w:color w:val="231F1F"/>
        </w:rPr>
        <w:t>utilizados</w:t>
      </w:r>
      <w:r>
        <w:rPr>
          <w:color w:val="231F1F"/>
          <w:spacing w:val="26"/>
        </w:rPr>
        <w:t> </w:t>
      </w:r>
      <w:r>
        <w:rPr>
          <w:color w:val="231F1F"/>
        </w:rPr>
        <w:t>para</w:t>
      </w:r>
      <w:r>
        <w:rPr>
          <w:color w:val="231F1F"/>
          <w:spacing w:val="26"/>
        </w:rPr>
        <w:t> </w:t>
      </w:r>
      <w:r>
        <w:rPr>
          <w:color w:val="231F1F"/>
        </w:rPr>
        <w:t>la</w:t>
      </w:r>
      <w:r>
        <w:rPr>
          <w:color w:val="231F1F"/>
          <w:spacing w:val="26"/>
        </w:rPr>
        <w:t> </w:t>
      </w:r>
      <w:r>
        <w:rPr>
          <w:color w:val="231F1F"/>
        </w:rPr>
        <w:t>graduación de</w:t>
      </w:r>
      <w:r>
        <w:rPr>
          <w:color w:val="231F1F"/>
          <w:spacing w:val="40"/>
        </w:rPr>
        <w:t> </w:t>
      </w:r>
      <w:r>
        <w:rPr>
          <w:color w:val="231F1F"/>
        </w:rPr>
        <w:t>sus</w:t>
      </w:r>
      <w:r>
        <w:rPr>
          <w:color w:val="231F1F"/>
          <w:spacing w:val="40"/>
        </w:rPr>
        <w:t> </w:t>
      </w:r>
      <w:r>
        <w:rPr>
          <w:color w:val="231F1F"/>
        </w:rPr>
        <w:t>recomendaciones</w:t>
      </w:r>
      <w:r>
        <w:rPr>
          <w:color w:val="231F1F"/>
          <w:spacing w:val="40"/>
        </w:rPr>
        <w:t> </w:t>
      </w:r>
      <w:r>
        <w:rPr>
          <w:color w:val="231F1F"/>
        </w:rPr>
        <w:t>a</w:t>
      </w:r>
      <w:r>
        <w:rPr>
          <w:color w:val="231F1F"/>
          <w:spacing w:val="40"/>
        </w:rPr>
        <w:t> </w:t>
      </w:r>
      <w:r>
        <w:rPr>
          <w:color w:val="231F1F"/>
        </w:rPr>
        <w:t>favor</w:t>
      </w:r>
      <w:r>
        <w:rPr>
          <w:color w:val="231F1F"/>
          <w:spacing w:val="40"/>
        </w:rPr>
        <w:t> </w:t>
      </w:r>
      <w:r>
        <w:rPr>
          <w:color w:val="231F1F"/>
        </w:rPr>
        <w:t>del</w:t>
      </w:r>
      <w:r>
        <w:rPr>
          <w:color w:val="231F1F"/>
          <w:spacing w:val="40"/>
        </w:rPr>
        <w:t> </w:t>
      </w:r>
      <w:r>
        <w:rPr>
          <w:color w:val="231F1F"/>
        </w:rPr>
        <w:t>contacto</w:t>
      </w:r>
      <w:r>
        <w:rPr>
          <w:color w:val="231F1F"/>
          <w:spacing w:val="40"/>
        </w:rPr>
        <w:t> </w:t>
      </w:r>
      <w:r>
        <w:rPr>
          <w:color w:val="231F1F"/>
        </w:rPr>
        <w:t>piel</w:t>
      </w:r>
      <w:r>
        <w:rPr>
          <w:color w:val="231F1F"/>
          <w:spacing w:val="40"/>
        </w:rPr>
        <w:t> </w:t>
      </w:r>
      <w:r>
        <w:rPr>
          <w:color w:val="231F1F"/>
        </w:rPr>
        <w:t>con</w:t>
      </w:r>
      <w:r>
        <w:rPr>
          <w:color w:val="231F1F"/>
          <w:spacing w:val="40"/>
        </w:rPr>
        <w:t> </w:t>
      </w:r>
      <w:r>
        <w:rPr>
          <w:color w:val="231F1F"/>
        </w:rPr>
        <w:t>piel.</w:t>
      </w:r>
    </w:p>
    <w:p>
      <w:pPr>
        <w:pStyle w:val="BodyText"/>
        <w:spacing w:line="261" w:lineRule="auto" w:before="134"/>
        <w:ind w:left="287" w:right="1366" w:firstLine="578"/>
      </w:pPr>
      <w:r>
        <w:rPr>
          <w:color w:val="231F1F"/>
        </w:rPr>
        <w:t>La revisión de Mercer (232) tiene como objetivo revisar la evidencia sobre los</w:t>
      </w:r>
      <w:r>
        <w:rPr>
          <w:color w:val="231F1F"/>
          <w:spacing w:val="33"/>
        </w:rPr>
        <w:t> </w:t>
      </w:r>
      <w:r>
        <w:rPr>
          <w:color w:val="231F1F"/>
        </w:rPr>
        <w:t>efectos</w:t>
      </w:r>
      <w:r>
        <w:rPr>
          <w:color w:val="231F1F"/>
          <w:spacing w:val="33"/>
        </w:rPr>
        <w:t> </w:t>
      </w:r>
      <w:r>
        <w:rPr>
          <w:color w:val="231F1F"/>
        </w:rPr>
        <w:t>de</w:t>
      </w:r>
      <w:r>
        <w:rPr>
          <w:color w:val="231F1F"/>
          <w:spacing w:val="33"/>
        </w:rPr>
        <w:t> </w:t>
      </w:r>
      <w:r>
        <w:rPr>
          <w:color w:val="231F1F"/>
        </w:rPr>
        <w:t>las</w:t>
      </w:r>
      <w:r>
        <w:rPr>
          <w:color w:val="231F1F"/>
          <w:spacing w:val="33"/>
        </w:rPr>
        <w:t> </w:t>
      </w:r>
      <w:r>
        <w:rPr>
          <w:color w:val="231F1F"/>
        </w:rPr>
        <w:t>prácticas</w:t>
      </w:r>
      <w:r>
        <w:rPr>
          <w:color w:val="231F1F"/>
          <w:spacing w:val="34"/>
        </w:rPr>
        <w:t> </w:t>
      </w:r>
      <w:r>
        <w:rPr>
          <w:color w:val="231F1F"/>
        </w:rPr>
        <w:t>existentes</w:t>
      </w:r>
      <w:r>
        <w:rPr>
          <w:color w:val="231F1F"/>
          <w:spacing w:val="33"/>
        </w:rPr>
        <w:t> </w:t>
      </w:r>
      <w:r>
        <w:rPr>
          <w:color w:val="231F1F"/>
        </w:rPr>
        <w:t>en</w:t>
      </w:r>
      <w:r>
        <w:rPr>
          <w:color w:val="231F1F"/>
          <w:spacing w:val="33"/>
        </w:rPr>
        <w:t> </w:t>
      </w:r>
      <w:r>
        <w:rPr>
          <w:color w:val="231F1F"/>
        </w:rPr>
        <w:t>la</w:t>
      </w:r>
      <w:r>
        <w:rPr>
          <w:color w:val="231F1F"/>
          <w:spacing w:val="33"/>
        </w:rPr>
        <w:t> </w:t>
      </w:r>
      <w:r>
        <w:rPr>
          <w:color w:val="231F1F"/>
        </w:rPr>
        <w:t>transición</w:t>
      </w:r>
      <w:r>
        <w:rPr>
          <w:color w:val="231F1F"/>
          <w:spacing w:val="33"/>
        </w:rPr>
        <w:t> </w:t>
      </w:r>
      <w:r>
        <w:rPr>
          <w:color w:val="231F1F"/>
        </w:rPr>
        <w:t>del</w:t>
      </w:r>
      <w:r>
        <w:rPr>
          <w:color w:val="231F1F"/>
          <w:spacing w:val="34"/>
        </w:rPr>
        <w:t> </w:t>
      </w:r>
      <w:r>
        <w:rPr>
          <w:color w:val="231F1F"/>
        </w:rPr>
        <w:t>neonato,</w:t>
      </w:r>
      <w:r>
        <w:rPr>
          <w:color w:val="231F1F"/>
          <w:spacing w:val="33"/>
        </w:rPr>
        <w:t> </w:t>
      </w:r>
      <w:r>
        <w:rPr>
          <w:color w:val="231F1F"/>
        </w:rPr>
        <w:t>medido</w:t>
      </w:r>
      <w:r>
        <w:rPr>
          <w:color w:val="231F1F"/>
          <w:spacing w:val="33"/>
        </w:rPr>
        <w:t> </w:t>
      </w:r>
      <w:r>
        <w:rPr>
          <w:color w:val="231F1F"/>
        </w:rPr>
        <w:t>en un caso como control de la termorregulación. Incluye la RS y uno de los ECAs analizados</w:t>
      </w:r>
      <w:r>
        <w:rPr>
          <w:color w:val="231F1F"/>
          <w:spacing w:val="40"/>
        </w:rPr>
        <w:t> </w:t>
      </w:r>
      <w:r>
        <w:rPr>
          <w:color w:val="231F1F"/>
        </w:rPr>
        <w:t>por</w:t>
      </w:r>
      <w:r>
        <w:rPr>
          <w:color w:val="231F1F"/>
          <w:spacing w:val="40"/>
        </w:rPr>
        <w:t> </w:t>
      </w:r>
      <w:r>
        <w:rPr>
          <w:color w:val="231F1F"/>
        </w:rPr>
        <w:t>la</w:t>
      </w:r>
      <w:r>
        <w:rPr>
          <w:color w:val="231F1F"/>
          <w:spacing w:val="40"/>
        </w:rPr>
        <w:t> </w:t>
      </w:r>
      <w:r>
        <w:rPr>
          <w:color w:val="231F1F"/>
        </w:rPr>
        <w:t>guía</w:t>
      </w:r>
      <w:r>
        <w:rPr>
          <w:color w:val="231F1F"/>
          <w:spacing w:val="40"/>
        </w:rPr>
        <w:t> </w:t>
      </w:r>
      <w:r>
        <w:rPr>
          <w:color w:val="231F1F"/>
        </w:rPr>
        <w:t>NICE</w:t>
      </w:r>
      <w:r>
        <w:rPr>
          <w:color w:val="231F1F"/>
          <w:spacing w:val="40"/>
        </w:rPr>
        <w:t> </w:t>
      </w:r>
      <w:r>
        <w:rPr>
          <w:color w:val="231F1F"/>
        </w:rPr>
        <w:t>(10).</w:t>
      </w:r>
    </w:p>
    <w:p>
      <w:pPr>
        <w:pStyle w:val="BodyText"/>
        <w:tabs>
          <w:tab w:pos="8107" w:val="left" w:leader="none"/>
        </w:tabs>
        <w:spacing w:before="101"/>
        <w:ind w:left="887"/>
        <w:rPr>
          <w:rFonts w:ascii="Arial MT"/>
          <w:sz w:val="18"/>
        </w:rPr>
      </w:pPr>
      <w:r>
        <w:rPr>
          <w:color w:val="231F1F"/>
          <w:position w:val="1"/>
        </w:rPr>
        <w:t>Concluye</w:t>
      </w:r>
      <w:r>
        <w:rPr>
          <w:color w:val="231F1F"/>
          <w:spacing w:val="4"/>
          <w:position w:val="1"/>
        </w:rPr>
        <w:t> </w:t>
      </w:r>
      <w:r>
        <w:rPr>
          <w:color w:val="231F1F"/>
          <w:position w:val="1"/>
        </w:rPr>
        <w:t>que</w:t>
      </w:r>
      <w:r>
        <w:rPr>
          <w:color w:val="231F1F"/>
          <w:spacing w:val="4"/>
          <w:position w:val="1"/>
        </w:rPr>
        <w:t> </w:t>
      </w:r>
      <w:r>
        <w:rPr>
          <w:color w:val="231F1F"/>
          <w:position w:val="1"/>
        </w:rPr>
        <w:t>el</w:t>
      </w:r>
      <w:r>
        <w:rPr>
          <w:color w:val="231F1F"/>
          <w:spacing w:val="4"/>
          <w:position w:val="1"/>
        </w:rPr>
        <w:t> </w:t>
      </w:r>
      <w:r>
        <w:rPr>
          <w:color w:val="231F1F"/>
          <w:position w:val="1"/>
        </w:rPr>
        <w:t>contacto</w:t>
      </w:r>
      <w:r>
        <w:rPr>
          <w:color w:val="231F1F"/>
          <w:spacing w:val="5"/>
          <w:position w:val="1"/>
        </w:rPr>
        <w:t> </w:t>
      </w:r>
      <w:r>
        <w:rPr>
          <w:color w:val="231F1F"/>
          <w:position w:val="1"/>
        </w:rPr>
        <w:t>piel</w:t>
      </w:r>
      <w:r>
        <w:rPr>
          <w:color w:val="231F1F"/>
          <w:spacing w:val="6"/>
          <w:position w:val="1"/>
        </w:rPr>
        <w:t> </w:t>
      </w:r>
      <w:r>
        <w:rPr>
          <w:color w:val="231F1F"/>
          <w:position w:val="1"/>
        </w:rPr>
        <w:t>con</w:t>
      </w:r>
      <w:r>
        <w:rPr>
          <w:color w:val="231F1F"/>
          <w:spacing w:val="4"/>
          <w:position w:val="1"/>
        </w:rPr>
        <w:t> </w:t>
      </w:r>
      <w:r>
        <w:rPr>
          <w:color w:val="231F1F"/>
          <w:position w:val="1"/>
        </w:rPr>
        <w:t>piel</w:t>
      </w:r>
      <w:r>
        <w:rPr>
          <w:color w:val="231F1F"/>
          <w:spacing w:val="4"/>
          <w:position w:val="1"/>
        </w:rPr>
        <w:t> </w:t>
      </w:r>
      <w:r>
        <w:rPr>
          <w:color w:val="231F1F"/>
          <w:position w:val="1"/>
        </w:rPr>
        <w:t>temprano</w:t>
      </w:r>
      <w:r>
        <w:rPr>
          <w:color w:val="231F1F"/>
          <w:spacing w:val="6"/>
          <w:position w:val="1"/>
        </w:rPr>
        <w:t> </w:t>
      </w:r>
      <w:r>
        <w:rPr>
          <w:color w:val="231F1F"/>
          <w:position w:val="1"/>
        </w:rPr>
        <w:t>presenta</w:t>
      </w:r>
      <w:r>
        <w:rPr>
          <w:color w:val="231F1F"/>
          <w:spacing w:val="4"/>
          <w:position w:val="1"/>
        </w:rPr>
        <w:t> </w:t>
      </w:r>
      <w:r>
        <w:rPr>
          <w:color w:val="231F1F"/>
          <w:position w:val="1"/>
        </w:rPr>
        <w:t>beneficios</w:t>
      </w:r>
      <w:r>
        <w:rPr>
          <w:color w:val="231F1F"/>
          <w:spacing w:val="6"/>
          <w:position w:val="1"/>
        </w:rPr>
        <w:t> </w:t>
      </w:r>
      <w:r>
        <w:rPr>
          <w:color w:val="231F1F"/>
          <w:spacing w:val="-2"/>
          <w:position w:val="1"/>
        </w:rPr>
        <w:t>tanto</w:t>
      </w:r>
      <w:r>
        <w:rPr>
          <w:color w:val="231F1F"/>
          <w:position w:val="1"/>
        </w:rPr>
        <w:tab/>
      </w:r>
      <w:r>
        <w:rPr>
          <w:rFonts w:ascii="Arial MT"/>
          <w:color w:val="231F1F"/>
          <w:spacing w:val="-5"/>
          <w:sz w:val="18"/>
        </w:rPr>
        <w:t>RS</w:t>
      </w:r>
    </w:p>
    <w:p>
      <w:pPr>
        <w:pStyle w:val="BodyText"/>
        <w:tabs>
          <w:tab w:pos="8148" w:val="left" w:leader="none"/>
        </w:tabs>
        <w:spacing w:line="256" w:lineRule="auto" w:before="26"/>
        <w:ind w:left="288" w:right="612"/>
      </w:pPr>
      <w:r>
        <w:rPr>
          <w:color w:val="231F1F"/>
          <w:w w:val="110"/>
        </w:rPr>
        <w:t>a corto como a largo plazo: a corto plazo aumenta y mantiene la tenperatura</w:t>
      </w:r>
      <w:r>
        <w:rPr>
          <w:color w:val="231F1F"/>
        </w:rPr>
        <w:tab/>
      </w:r>
      <w:r>
        <w:rPr>
          <w:rFonts w:ascii="Arial MT" w:hAnsi="Arial MT"/>
          <w:color w:val="231F1F"/>
          <w:spacing w:val="-12"/>
          <w:w w:val="110"/>
          <w:position w:val="3"/>
          <w:sz w:val="18"/>
        </w:rPr>
        <w:t>1- </w:t>
      </w:r>
      <w:r>
        <w:rPr>
          <w:color w:val="231F1F"/>
          <w:w w:val="110"/>
        </w:rPr>
        <w:t>del</w:t>
      </w:r>
      <w:r>
        <w:rPr>
          <w:color w:val="231F1F"/>
          <w:spacing w:val="29"/>
          <w:w w:val="110"/>
        </w:rPr>
        <w:t> </w:t>
      </w:r>
      <w:r>
        <w:rPr>
          <w:color w:val="231F1F"/>
          <w:w w:val="110"/>
        </w:rPr>
        <w:t>RN,</w:t>
      </w:r>
      <w:r>
        <w:rPr>
          <w:color w:val="231F1F"/>
          <w:spacing w:val="29"/>
          <w:w w:val="110"/>
        </w:rPr>
        <w:t> </w:t>
      </w:r>
      <w:r>
        <w:rPr>
          <w:color w:val="231F1F"/>
          <w:w w:val="110"/>
        </w:rPr>
        <w:t>que</w:t>
      </w:r>
      <w:r>
        <w:rPr>
          <w:color w:val="231F1F"/>
          <w:spacing w:val="33"/>
          <w:w w:val="110"/>
        </w:rPr>
        <w:t> </w:t>
      </w:r>
      <w:r>
        <w:rPr>
          <w:color w:val="231F1F"/>
          <w:w w:val="110"/>
        </w:rPr>
        <w:t>duerme</w:t>
      </w:r>
      <w:r>
        <w:rPr>
          <w:color w:val="231F1F"/>
          <w:spacing w:val="32"/>
          <w:w w:val="110"/>
        </w:rPr>
        <w:t> </w:t>
      </w:r>
      <w:r>
        <w:rPr>
          <w:color w:val="231F1F"/>
          <w:w w:val="110"/>
        </w:rPr>
        <w:t>más</w:t>
      </w:r>
      <w:r>
        <w:rPr>
          <w:color w:val="231F1F"/>
          <w:spacing w:val="33"/>
          <w:w w:val="110"/>
        </w:rPr>
        <w:t> </w:t>
      </w:r>
      <w:r>
        <w:rPr>
          <w:color w:val="231F1F"/>
          <w:w w:val="110"/>
        </w:rPr>
        <w:t>tiempo</w:t>
      </w:r>
      <w:r>
        <w:rPr>
          <w:color w:val="231F1F"/>
          <w:spacing w:val="32"/>
          <w:w w:val="110"/>
        </w:rPr>
        <w:t> </w:t>
      </w:r>
      <w:r>
        <w:rPr>
          <w:color w:val="231F1F"/>
          <w:w w:val="110"/>
        </w:rPr>
        <w:t>y</w:t>
      </w:r>
      <w:r>
        <w:rPr>
          <w:color w:val="231F1F"/>
          <w:spacing w:val="32"/>
          <w:w w:val="110"/>
        </w:rPr>
        <w:t> </w:t>
      </w:r>
      <w:r>
        <w:rPr>
          <w:color w:val="231F1F"/>
          <w:w w:val="110"/>
        </w:rPr>
        <w:t>llora</w:t>
      </w:r>
      <w:r>
        <w:rPr>
          <w:color w:val="231F1F"/>
          <w:spacing w:val="33"/>
          <w:w w:val="110"/>
        </w:rPr>
        <w:t> </w:t>
      </w:r>
      <w:r>
        <w:rPr>
          <w:color w:val="231F1F"/>
          <w:w w:val="110"/>
        </w:rPr>
        <w:t>menos.</w:t>
      </w:r>
      <w:r>
        <w:rPr>
          <w:color w:val="231F1F"/>
          <w:spacing w:val="29"/>
          <w:w w:val="110"/>
        </w:rPr>
        <w:t> </w:t>
      </w:r>
      <w:r>
        <w:rPr>
          <w:color w:val="231F1F"/>
          <w:w w:val="110"/>
        </w:rPr>
        <w:t>A</w:t>
      </w:r>
      <w:r>
        <w:rPr>
          <w:color w:val="231F1F"/>
          <w:spacing w:val="33"/>
          <w:w w:val="110"/>
        </w:rPr>
        <w:t> </w:t>
      </w:r>
      <w:r>
        <w:rPr>
          <w:color w:val="231F1F"/>
          <w:w w:val="110"/>
        </w:rPr>
        <w:t>largo</w:t>
      </w:r>
      <w:r>
        <w:rPr>
          <w:color w:val="231F1F"/>
          <w:spacing w:val="32"/>
          <w:w w:val="110"/>
        </w:rPr>
        <w:t> </w:t>
      </w:r>
      <w:r>
        <w:rPr>
          <w:color w:val="231F1F"/>
          <w:w w:val="110"/>
        </w:rPr>
        <w:t>plazo,</w:t>
      </w:r>
      <w:r>
        <w:rPr>
          <w:color w:val="231F1F"/>
          <w:spacing w:val="29"/>
          <w:w w:val="110"/>
        </w:rPr>
        <w:t> </w:t>
      </w:r>
      <w:r>
        <w:rPr>
          <w:color w:val="231F1F"/>
          <w:w w:val="110"/>
        </w:rPr>
        <w:t>cuando</w:t>
      </w:r>
      <w:r>
        <w:rPr>
          <w:color w:val="231F1F"/>
          <w:spacing w:val="33"/>
          <w:w w:val="110"/>
        </w:rPr>
        <w:t> </w:t>
      </w:r>
      <w:r>
        <w:rPr>
          <w:color w:val="231F1F"/>
          <w:w w:val="110"/>
        </w:rPr>
        <w:t>se produce el contacto piel con piel y el amamantamiento en la primera hora,</w:t>
      </w:r>
      <w:r>
        <w:rPr>
          <w:color w:val="231F1F"/>
          <w:spacing w:val="40"/>
          <w:w w:val="110"/>
        </w:rPr>
        <w:t> </w:t>
      </w:r>
      <w:r>
        <w:rPr>
          <w:color w:val="231F1F"/>
          <w:w w:val="110"/>
        </w:rPr>
        <w:t>aumenta el tiempo de lactancia, se aumenta el afecto materno y se obtiene</w:t>
      </w:r>
    </w:p>
    <w:p>
      <w:pPr>
        <w:pStyle w:val="BodyText"/>
        <w:spacing w:line="250" w:lineRule="exact"/>
        <w:ind w:left="287"/>
      </w:pPr>
      <w:r>
        <w:rPr>
          <w:color w:val="231F1F"/>
        </w:rPr>
        <w:t>una</w:t>
      </w:r>
      <w:r>
        <w:rPr>
          <w:color w:val="231F1F"/>
          <w:spacing w:val="28"/>
        </w:rPr>
        <w:t> </w:t>
      </w:r>
      <w:r>
        <w:rPr>
          <w:color w:val="231F1F"/>
        </w:rPr>
        <w:t>puntación</w:t>
      </w:r>
      <w:r>
        <w:rPr>
          <w:color w:val="231F1F"/>
          <w:spacing w:val="30"/>
        </w:rPr>
        <w:t> </w:t>
      </w:r>
      <w:r>
        <w:rPr>
          <w:color w:val="231F1F"/>
        </w:rPr>
        <w:t>más</w:t>
      </w:r>
      <w:r>
        <w:rPr>
          <w:color w:val="231F1F"/>
          <w:spacing w:val="32"/>
        </w:rPr>
        <w:t> </w:t>
      </w:r>
      <w:r>
        <w:rPr>
          <w:color w:val="231F1F"/>
        </w:rPr>
        <w:t>alta</w:t>
      </w:r>
      <w:r>
        <w:rPr>
          <w:color w:val="231F1F"/>
          <w:spacing w:val="30"/>
        </w:rPr>
        <w:t> </w:t>
      </w:r>
      <w:r>
        <w:rPr>
          <w:color w:val="231F1F"/>
        </w:rPr>
        <w:t>en</w:t>
      </w:r>
      <w:r>
        <w:rPr>
          <w:color w:val="231F1F"/>
          <w:spacing w:val="32"/>
        </w:rPr>
        <w:t> </w:t>
      </w:r>
      <w:r>
        <w:rPr>
          <w:color w:val="231F1F"/>
        </w:rPr>
        <w:t>los</w:t>
      </w:r>
      <w:r>
        <w:rPr>
          <w:color w:val="231F1F"/>
          <w:spacing w:val="30"/>
        </w:rPr>
        <w:t> </w:t>
      </w:r>
      <w:r>
        <w:rPr>
          <w:color w:val="231F1F"/>
        </w:rPr>
        <w:t>niveles</w:t>
      </w:r>
      <w:r>
        <w:rPr>
          <w:color w:val="231F1F"/>
          <w:spacing w:val="31"/>
        </w:rPr>
        <w:t> </w:t>
      </w:r>
      <w:r>
        <w:rPr>
          <w:color w:val="231F1F"/>
        </w:rPr>
        <w:t>de</w:t>
      </w:r>
      <w:r>
        <w:rPr>
          <w:color w:val="231F1F"/>
          <w:spacing w:val="31"/>
        </w:rPr>
        <w:t> </w:t>
      </w:r>
      <w:r>
        <w:rPr>
          <w:color w:val="231F1F"/>
        </w:rPr>
        <w:t>sentimientos</w:t>
      </w:r>
      <w:r>
        <w:rPr>
          <w:color w:val="231F1F"/>
          <w:spacing w:val="31"/>
        </w:rPr>
        <w:t> </w:t>
      </w:r>
      <w:r>
        <w:rPr>
          <w:color w:val="231F1F"/>
          <w:spacing w:val="-2"/>
        </w:rPr>
        <w:t>maternales.</w:t>
      </w:r>
    </w:p>
    <w:p>
      <w:pPr>
        <w:pStyle w:val="BodyText"/>
        <w:spacing w:after="0" w:line="250" w:lineRule="exact"/>
        <w:sectPr>
          <w:type w:val="continuous"/>
          <w:pgSz w:w="11900" w:h="16840"/>
          <w:pgMar w:header="0" w:footer="622" w:top="560" w:bottom="280" w:left="1417" w:right="1559"/>
        </w:sectPr>
      </w:pPr>
    </w:p>
    <w:p>
      <w:pPr>
        <w:pStyle w:val="BodyText"/>
        <w:spacing w:line="247" w:lineRule="auto" w:before="72"/>
        <w:ind w:left="283" w:right="1367" w:firstLine="453"/>
        <w:jc w:val="both"/>
      </w:pPr>
      <w:r>
        <w:rPr>
          <w:color w:val="231F1F"/>
        </w:rPr>
        <w:t>La RS de Moore (233) incluye 30 estudios (29 ECAs y 1 cuasi-aleatorio), </w:t>
      </w:r>
      <w:r>
        <w:rPr>
          <w:color w:val="231F1F"/>
          <w:w w:val="110"/>
        </w:rPr>
        <w:t>con</w:t>
      </w:r>
      <w:r>
        <w:rPr>
          <w:color w:val="231F1F"/>
          <w:spacing w:val="-9"/>
          <w:w w:val="110"/>
        </w:rPr>
        <w:t> </w:t>
      </w:r>
      <w:r>
        <w:rPr>
          <w:color w:val="231F1F"/>
          <w:w w:val="110"/>
        </w:rPr>
        <w:t>un</w:t>
      </w:r>
      <w:r>
        <w:rPr>
          <w:color w:val="231F1F"/>
          <w:spacing w:val="-9"/>
          <w:w w:val="110"/>
        </w:rPr>
        <w:t> </w:t>
      </w:r>
      <w:r>
        <w:rPr>
          <w:color w:val="231F1F"/>
          <w:w w:val="110"/>
        </w:rPr>
        <w:t>total</w:t>
      </w:r>
      <w:r>
        <w:rPr>
          <w:color w:val="231F1F"/>
          <w:spacing w:val="-10"/>
          <w:w w:val="110"/>
        </w:rPr>
        <w:t> </w:t>
      </w:r>
      <w:r>
        <w:rPr>
          <w:color w:val="231F1F"/>
          <w:w w:val="110"/>
        </w:rPr>
        <w:t>de</w:t>
      </w:r>
      <w:r>
        <w:rPr>
          <w:color w:val="231F1F"/>
          <w:spacing w:val="-9"/>
          <w:w w:val="110"/>
        </w:rPr>
        <w:t> </w:t>
      </w:r>
      <w:r>
        <w:rPr>
          <w:color w:val="231F1F"/>
          <w:w w:val="110"/>
        </w:rPr>
        <w:t>1.925</w:t>
      </w:r>
      <w:r>
        <w:rPr>
          <w:color w:val="231F1F"/>
          <w:spacing w:val="-9"/>
          <w:w w:val="110"/>
        </w:rPr>
        <w:t> </w:t>
      </w:r>
      <w:r>
        <w:rPr>
          <w:color w:val="231F1F"/>
          <w:w w:val="110"/>
        </w:rPr>
        <w:t>participantes</w:t>
      </w:r>
      <w:r>
        <w:rPr>
          <w:color w:val="231F1F"/>
          <w:spacing w:val="-10"/>
          <w:w w:val="110"/>
        </w:rPr>
        <w:t> </w:t>
      </w:r>
      <w:r>
        <w:rPr>
          <w:color w:val="231F1F"/>
          <w:w w:val="110"/>
        </w:rPr>
        <w:t>y</w:t>
      </w:r>
      <w:r>
        <w:rPr>
          <w:color w:val="231F1F"/>
          <w:spacing w:val="-9"/>
          <w:w w:val="110"/>
        </w:rPr>
        <w:t> </w:t>
      </w:r>
      <w:r>
        <w:rPr>
          <w:color w:val="231F1F"/>
          <w:w w:val="110"/>
        </w:rPr>
        <w:t>analiza</w:t>
      </w:r>
      <w:r>
        <w:rPr>
          <w:color w:val="231F1F"/>
          <w:spacing w:val="-10"/>
          <w:w w:val="110"/>
        </w:rPr>
        <w:t> </w:t>
      </w:r>
      <w:r>
        <w:rPr>
          <w:color w:val="231F1F"/>
          <w:w w:val="110"/>
        </w:rPr>
        <w:t>si</w:t>
      </w:r>
      <w:r>
        <w:rPr>
          <w:color w:val="231F1F"/>
          <w:spacing w:val="-10"/>
          <w:w w:val="110"/>
        </w:rPr>
        <w:t> </w:t>
      </w:r>
      <w:r>
        <w:rPr>
          <w:color w:val="231F1F"/>
          <w:w w:val="110"/>
        </w:rPr>
        <w:t>el</w:t>
      </w:r>
      <w:r>
        <w:rPr>
          <w:color w:val="231F1F"/>
          <w:spacing w:val="-10"/>
          <w:w w:val="110"/>
        </w:rPr>
        <w:t> </w:t>
      </w:r>
      <w:r>
        <w:rPr>
          <w:color w:val="231F1F"/>
          <w:w w:val="110"/>
        </w:rPr>
        <w:t>contacto</w:t>
      </w:r>
      <w:r>
        <w:rPr>
          <w:color w:val="231F1F"/>
          <w:spacing w:val="-9"/>
          <w:w w:val="110"/>
        </w:rPr>
        <w:t> </w:t>
      </w:r>
      <w:r>
        <w:rPr>
          <w:color w:val="231F1F"/>
          <w:w w:val="110"/>
        </w:rPr>
        <w:t>piel</w:t>
      </w:r>
      <w:r>
        <w:rPr>
          <w:color w:val="231F1F"/>
          <w:spacing w:val="-10"/>
          <w:w w:val="110"/>
        </w:rPr>
        <w:t> </w:t>
      </w:r>
      <w:r>
        <w:rPr>
          <w:color w:val="231F1F"/>
          <w:w w:val="110"/>
        </w:rPr>
        <w:t>con</w:t>
      </w:r>
      <w:r>
        <w:rPr>
          <w:color w:val="231F1F"/>
          <w:spacing w:val="-9"/>
          <w:w w:val="110"/>
        </w:rPr>
        <w:t> </w:t>
      </w:r>
      <w:r>
        <w:rPr>
          <w:color w:val="231F1F"/>
          <w:w w:val="110"/>
        </w:rPr>
        <w:t>piel</w:t>
      </w:r>
      <w:r>
        <w:rPr>
          <w:color w:val="231F1F"/>
          <w:spacing w:val="-10"/>
          <w:w w:val="110"/>
        </w:rPr>
        <w:t> </w:t>
      </w:r>
      <w:r>
        <w:rPr>
          <w:color w:val="231F1F"/>
          <w:w w:val="110"/>
        </w:rPr>
        <w:t>tem- prano</w:t>
      </w:r>
      <w:r>
        <w:rPr>
          <w:color w:val="231F1F"/>
          <w:spacing w:val="-16"/>
          <w:w w:val="110"/>
        </w:rPr>
        <w:t> </w:t>
      </w:r>
      <w:r>
        <w:rPr>
          <w:color w:val="231F1F"/>
          <w:w w:val="110"/>
        </w:rPr>
        <w:t>tiene</w:t>
      </w:r>
      <w:r>
        <w:rPr>
          <w:color w:val="231F1F"/>
          <w:spacing w:val="-15"/>
          <w:w w:val="110"/>
        </w:rPr>
        <w:t> </w:t>
      </w:r>
      <w:r>
        <w:rPr>
          <w:color w:val="231F1F"/>
          <w:w w:val="110"/>
        </w:rPr>
        <w:t>resultados</w:t>
      </w:r>
      <w:r>
        <w:rPr>
          <w:color w:val="231F1F"/>
          <w:spacing w:val="-15"/>
          <w:w w:val="110"/>
        </w:rPr>
        <w:t> </w:t>
      </w:r>
      <w:r>
        <w:rPr>
          <w:color w:val="231F1F"/>
          <w:w w:val="110"/>
        </w:rPr>
        <w:t>beneficiosos</w:t>
      </w:r>
      <w:r>
        <w:rPr>
          <w:color w:val="231F1F"/>
          <w:spacing w:val="-15"/>
          <w:w w:val="110"/>
        </w:rPr>
        <w:t> </w:t>
      </w:r>
      <w:r>
        <w:rPr>
          <w:color w:val="231F1F"/>
          <w:w w:val="110"/>
        </w:rPr>
        <w:t>o</w:t>
      </w:r>
      <w:r>
        <w:rPr>
          <w:color w:val="231F1F"/>
          <w:spacing w:val="-15"/>
          <w:w w:val="110"/>
        </w:rPr>
        <w:t> </w:t>
      </w:r>
      <w:r>
        <w:rPr>
          <w:color w:val="231F1F"/>
          <w:w w:val="110"/>
        </w:rPr>
        <w:t>adversos</w:t>
      </w:r>
      <w:r>
        <w:rPr>
          <w:color w:val="231F1F"/>
          <w:spacing w:val="-15"/>
          <w:w w:val="110"/>
        </w:rPr>
        <w:t> </w:t>
      </w:r>
      <w:r>
        <w:rPr>
          <w:color w:val="231F1F"/>
          <w:w w:val="110"/>
        </w:rPr>
        <w:t>sobre</w:t>
      </w:r>
      <w:r>
        <w:rPr>
          <w:color w:val="231F1F"/>
          <w:spacing w:val="-15"/>
          <w:w w:val="110"/>
        </w:rPr>
        <w:t> </w:t>
      </w:r>
      <w:r>
        <w:rPr>
          <w:color w:val="231F1F"/>
          <w:w w:val="110"/>
        </w:rPr>
        <w:t>la</w:t>
      </w:r>
      <w:r>
        <w:rPr>
          <w:color w:val="231F1F"/>
          <w:spacing w:val="-15"/>
          <w:w w:val="110"/>
        </w:rPr>
        <w:t> </w:t>
      </w:r>
      <w:r>
        <w:rPr>
          <w:color w:val="231F1F"/>
          <w:w w:val="110"/>
        </w:rPr>
        <w:t>lactancia,</w:t>
      </w:r>
      <w:r>
        <w:rPr>
          <w:color w:val="231F1F"/>
          <w:spacing w:val="-16"/>
          <w:w w:val="110"/>
        </w:rPr>
        <w:t> </w:t>
      </w:r>
      <w:r>
        <w:rPr>
          <w:color w:val="231F1F"/>
          <w:w w:val="110"/>
        </w:rPr>
        <w:t>conducta</w:t>
      </w:r>
      <w:r>
        <w:rPr>
          <w:color w:val="231F1F"/>
          <w:spacing w:val="-15"/>
          <w:w w:val="110"/>
        </w:rPr>
        <w:t> </w:t>
      </w:r>
      <w:r>
        <w:rPr>
          <w:color w:val="231F1F"/>
          <w:w w:val="110"/>
        </w:rPr>
        <w:t>y adaptación</w:t>
      </w:r>
      <w:r>
        <w:rPr>
          <w:color w:val="231F1F"/>
          <w:spacing w:val="-1"/>
          <w:w w:val="110"/>
        </w:rPr>
        <w:t> </w:t>
      </w:r>
      <w:r>
        <w:rPr>
          <w:color w:val="231F1F"/>
          <w:w w:val="110"/>
        </w:rPr>
        <w:t>madre-hijo.</w:t>
      </w:r>
      <w:r>
        <w:rPr>
          <w:color w:val="231F1F"/>
          <w:spacing w:val="-1"/>
          <w:w w:val="110"/>
        </w:rPr>
        <w:t> </w:t>
      </w:r>
      <w:r>
        <w:rPr>
          <w:color w:val="231F1F"/>
          <w:w w:val="110"/>
        </w:rPr>
        <w:t>Otros</w:t>
      </w:r>
      <w:r>
        <w:rPr>
          <w:color w:val="231F1F"/>
          <w:spacing w:val="-1"/>
          <w:w w:val="110"/>
        </w:rPr>
        <w:t> </w:t>
      </w:r>
      <w:r>
        <w:rPr>
          <w:color w:val="231F1F"/>
          <w:w w:val="110"/>
        </w:rPr>
        <w:t>resultados</w:t>
      </w:r>
      <w:r>
        <w:rPr>
          <w:color w:val="231F1F"/>
          <w:spacing w:val="-1"/>
          <w:w w:val="110"/>
        </w:rPr>
        <w:t> </w:t>
      </w:r>
      <w:r>
        <w:rPr>
          <w:color w:val="231F1F"/>
          <w:w w:val="110"/>
        </w:rPr>
        <w:t>como</w:t>
      </w:r>
      <w:r>
        <w:rPr>
          <w:color w:val="231F1F"/>
          <w:spacing w:val="-1"/>
          <w:w w:val="110"/>
        </w:rPr>
        <w:t> </w:t>
      </w:r>
      <w:r>
        <w:rPr>
          <w:color w:val="231F1F"/>
          <w:w w:val="110"/>
        </w:rPr>
        <w:t>la</w:t>
      </w:r>
      <w:r>
        <w:rPr>
          <w:color w:val="231F1F"/>
          <w:spacing w:val="-1"/>
          <w:w w:val="110"/>
        </w:rPr>
        <w:t> </w:t>
      </w:r>
      <w:r>
        <w:rPr>
          <w:color w:val="231F1F"/>
          <w:w w:val="110"/>
        </w:rPr>
        <w:t>temperatura</w:t>
      </w:r>
      <w:r>
        <w:rPr>
          <w:color w:val="231F1F"/>
          <w:spacing w:val="-1"/>
          <w:w w:val="110"/>
        </w:rPr>
        <w:t> </w:t>
      </w:r>
      <w:r>
        <w:rPr>
          <w:color w:val="231F1F"/>
          <w:w w:val="110"/>
        </w:rPr>
        <w:t>axilar,</w:t>
      </w:r>
      <w:r>
        <w:rPr>
          <w:color w:val="231F1F"/>
          <w:spacing w:val="-1"/>
          <w:w w:val="110"/>
        </w:rPr>
        <w:t> </w:t>
      </w:r>
      <w:r>
        <w:rPr>
          <w:color w:val="231F1F"/>
          <w:w w:val="110"/>
        </w:rPr>
        <w:t>la</w:t>
      </w:r>
      <w:r>
        <w:rPr>
          <w:color w:val="231F1F"/>
          <w:spacing w:val="-1"/>
          <w:w w:val="110"/>
        </w:rPr>
        <w:t> </w:t>
      </w:r>
      <w:r>
        <w:rPr>
          <w:color w:val="231F1F"/>
          <w:w w:val="110"/>
        </w:rPr>
        <w:t>fre- cuencia cardíaca y respiratoria no presentan diferencias significativas.</w:t>
      </w:r>
    </w:p>
    <w:p>
      <w:pPr>
        <w:pStyle w:val="BodyText"/>
        <w:spacing w:before="127"/>
        <w:ind w:left="736"/>
        <w:jc w:val="both"/>
      </w:pPr>
      <w:r>
        <w:rPr>
          <w:color w:val="231F1F"/>
          <w:w w:val="105"/>
        </w:rPr>
        <w:t>Estos</w:t>
      </w:r>
      <w:r>
        <w:rPr>
          <w:color w:val="231F1F"/>
          <w:spacing w:val="1"/>
          <w:w w:val="105"/>
        </w:rPr>
        <w:t> </w:t>
      </w:r>
      <w:r>
        <w:rPr>
          <w:color w:val="231F1F"/>
          <w:w w:val="105"/>
        </w:rPr>
        <w:t>son</w:t>
      </w:r>
      <w:r>
        <w:rPr>
          <w:color w:val="231F1F"/>
          <w:spacing w:val="3"/>
          <w:w w:val="105"/>
        </w:rPr>
        <w:t> </w:t>
      </w:r>
      <w:r>
        <w:rPr>
          <w:color w:val="231F1F"/>
          <w:w w:val="105"/>
        </w:rPr>
        <w:t>los</w:t>
      </w:r>
      <w:r>
        <w:rPr>
          <w:color w:val="231F1F"/>
          <w:spacing w:val="3"/>
          <w:w w:val="105"/>
        </w:rPr>
        <w:t> </w:t>
      </w:r>
      <w:r>
        <w:rPr>
          <w:color w:val="231F1F"/>
          <w:w w:val="105"/>
        </w:rPr>
        <w:t>resultados</w:t>
      </w:r>
      <w:r>
        <w:rPr>
          <w:color w:val="231F1F"/>
          <w:spacing w:val="1"/>
          <w:w w:val="105"/>
        </w:rPr>
        <w:t> </w:t>
      </w:r>
      <w:r>
        <w:rPr>
          <w:color w:val="231F1F"/>
          <w:w w:val="105"/>
        </w:rPr>
        <w:t>más</w:t>
      </w:r>
      <w:r>
        <w:rPr>
          <w:color w:val="231F1F"/>
          <w:spacing w:val="3"/>
          <w:w w:val="105"/>
        </w:rPr>
        <w:t> </w:t>
      </w:r>
      <w:r>
        <w:rPr>
          <w:color w:val="231F1F"/>
          <w:spacing w:val="-2"/>
          <w:w w:val="105"/>
        </w:rPr>
        <w:t>significativos:</w:t>
      </w:r>
    </w:p>
    <w:p>
      <w:pPr>
        <w:pStyle w:val="ListParagraph"/>
        <w:numPr>
          <w:ilvl w:val="0"/>
          <w:numId w:val="55"/>
        </w:numPr>
        <w:tabs>
          <w:tab w:pos="668" w:val="left" w:leader="none"/>
        </w:tabs>
        <w:spacing w:line="240" w:lineRule="auto" w:before="107" w:after="0"/>
        <w:ind w:left="668" w:right="0" w:hanging="218"/>
        <w:jc w:val="center"/>
        <w:rPr>
          <w:rFonts w:ascii="Arial MT" w:hAnsi="Arial MT"/>
          <w:sz w:val="18"/>
        </w:rPr>
      </w:pPr>
      <w:r>
        <w:rPr>
          <w:color w:val="231F1F"/>
          <w:w w:val="105"/>
          <w:sz w:val="22"/>
        </w:rPr>
        <w:t>Lactancia</w:t>
      </w:r>
      <w:r>
        <w:rPr>
          <w:color w:val="231F1F"/>
          <w:spacing w:val="-2"/>
          <w:w w:val="105"/>
          <w:sz w:val="22"/>
        </w:rPr>
        <w:t> </w:t>
      </w:r>
      <w:r>
        <w:rPr>
          <w:color w:val="231F1F"/>
          <w:w w:val="105"/>
          <w:sz w:val="22"/>
        </w:rPr>
        <w:t>1</w:t>
      </w:r>
      <w:r>
        <w:rPr>
          <w:color w:val="231F1F"/>
          <w:spacing w:val="1"/>
          <w:w w:val="105"/>
          <w:sz w:val="22"/>
        </w:rPr>
        <w:t> </w:t>
      </w:r>
      <w:r>
        <w:rPr>
          <w:color w:val="231F1F"/>
          <w:w w:val="105"/>
          <w:sz w:val="22"/>
        </w:rPr>
        <w:t>mes</w:t>
      </w:r>
      <w:r>
        <w:rPr>
          <w:color w:val="231F1F"/>
          <w:spacing w:val="2"/>
          <w:w w:val="105"/>
          <w:sz w:val="22"/>
        </w:rPr>
        <w:t> </w:t>
      </w:r>
      <w:r>
        <w:rPr>
          <w:color w:val="231F1F"/>
          <w:w w:val="105"/>
          <w:sz w:val="22"/>
        </w:rPr>
        <w:t>a</w:t>
      </w:r>
      <w:r>
        <w:rPr>
          <w:color w:val="231F1F"/>
          <w:spacing w:val="2"/>
          <w:w w:val="105"/>
          <w:sz w:val="22"/>
        </w:rPr>
        <w:t> </w:t>
      </w:r>
      <w:r>
        <w:rPr>
          <w:color w:val="231F1F"/>
          <w:w w:val="105"/>
          <w:sz w:val="22"/>
        </w:rPr>
        <w:t>4</w:t>
      </w:r>
      <w:r>
        <w:rPr>
          <w:color w:val="231F1F"/>
          <w:spacing w:val="1"/>
          <w:w w:val="105"/>
          <w:sz w:val="22"/>
        </w:rPr>
        <w:t> </w:t>
      </w:r>
      <w:r>
        <w:rPr>
          <w:color w:val="231F1F"/>
          <w:w w:val="105"/>
          <w:sz w:val="22"/>
        </w:rPr>
        <w:t>meses</w:t>
      </w:r>
      <w:r>
        <w:rPr>
          <w:color w:val="231F1F"/>
          <w:spacing w:val="-1"/>
          <w:w w:val="105"/>
          <w:sz w:val="22"/>
        </w:rPr>
        <w:t> </w:t>
      </w:r>
      <w:r>
        <w:rPr>
          <w:color w:val="231F1F"/>
          <w:w w:val="105"/>
          <w:sz w:val="22"/>
        </w:rPr>
        <w:t>después</w:t>
      </w:r>
      <w:r>
        <w:rPr>
          <w:color w:val="231F1F"/>
          <w:spacing w:val="2"/>
          <w:w w:val="105"/>
          <w:sz w:val="22"/>
        </w:rPr>
        <w:t> </w:t>
      </w:r>
      <w:r>
        <w:rPr>
          <w:color w:val="231F1F"/>
          <w:w w:val="105"/>
          <w:sz w:val="22"/>
        </w:rPr>
        <w:t>del nacimiento,</w:t>
      </w:r>
      <w:r>
        <w:rPr>
          <w:color w:val="231F1F"/>
          <w:spacing w:val="-1"/>
          <w:w w:val="105"/>
          <w:sz w:val="22"/>
        </w:rPr>
        <w:t> </w:t>
      </w:r>
      <w:r>
        <w:rPr>
          <w:color w:val="231F1F"/>
          <w:w w:val="105"/>
          <w:sz w:val="22"/>
        </w:rPr>
        <w:t>10</w:t>
      </w:r>
      <w:r>
        <w:rPr>
          <w:color w:val="231F1F"/>
          <w:spacing w:val="1"/>
          <w:w w:val="105"/>
          <w:sz w:val="22"/>
        </w:rPr>
        <w:t> </w:t>
      </w:r>
      <w:r>
        <w:rPr>
          <w:color w:val="231F1F"/>
          <w:w w:val="105"/>
          <w:sz w:val="22"/>
        </w:rPr>
        <w:t>estudios</w:t>
      </w:r>
      <w:r>
        <w:rPr>
          <w:color w:val="231F1F"/>
          <w:spacing w:val="2"/>
          <w:w w:val="105"/>
          <w:sz w:val="22"/>
        </w:rPr>
        <w:t> </w:t>
      </w:r>
      <w:r>
        <w:rPr>
          <w:color w:val="231F1F"/>
          <w:w w:val="105"/>
          <w:sz w:val="22"/>
        </w:rPr>
        <w:t>y</w:t>
      </w:r>
      <w:r>
        <w:rPr>
          <w:color w:val="231F1F"/>
          <w:spacing w:val="1"/>
          <w:w w:val="105"/>
          <w:sz w:val="22"/>
        </w:rPr>
        <w:t> </w:t>
      </w:r>
      <w:r>
        <w:rPr>
          <w:color w:val="231F1F"/>
          <w:w w:val="105"/>
          <w:sz w:val="22"/>
        </w:rPr>
        <w:t>552</w:t>
      </w:r>
      <w:r>
        <w:rPr>
          <w:color w:val="231F1F"/>
          <w:spacing w:val="23"/>
          <w:w w:val="105"/>
          <w:sz w:val="22"/>
        </w:rPr>
        <w:t>  </w:t>
      </w:r>
      <w:r>
        <w:rPr>
          <w:rFonts w:ascii="Arial MT" w:hAnsi="Arial MT"/>
          <w:color w:val="231F1F"/>
          <w:w w:val="105"/>
          <w:sz w:val="18"/>
        </w:rPr>
        <w:t>RS</w:t>
      </w:r>
      <w:r>
        <w:rPr>
          <w:rFonts w:ascii="Arial MT" w:hAnsi="Arial MT"/>
          <w:color w:val="231F1F"/>
          <w:spacing w:val="1"/>
          <w:w w:val="105"/>
          <w:sz w:val="18"/>
        </w:rPr>
        <w:t> </w:t>
      </w:r>
      <w:r>
        <w:rPr>
          <w:rFonts w:ascii="Arial MT" w:hAnsi="Arial MT"/>
          <w:color w:val="231F1F"/>
          <w:w w:val="105"/>
          <w:sz w:val="18"/>
        </w:rPr>
        <w:t>de</w:t>
      </w:r>
      <w:r>
        <w:rPr>
          <w:rFonts w:ascii="Arial MT" w:hAnsi="Arial MT"/>
          <w:color w:val="231F1F"/>
          <w:spacing w:val="2"/>
          <w:w w:val="105"/>
          <w:sz w:val="18"/>
        </w:rPr>
        <w:t> </w:t>
      </w:r>
      <w:r>
        <w:rPr>
          <w:rFonts w:ascii="Arial MT" w:hAnsi="Arial MT"/>
          <w:color w:val="231F1F"/>
          <w:spacing w:val="-4"/>
          <w:w w:val="105"/>
          <w:sz w:val="18"/>
        </w:rPr>
        <w:t>ECAs</w:t>
      </w:r>
    </w:p>
    <w:p>
      <w:pPr>
        <w:pStyle w:val="BodyText"/>
        <w:tabs>
          <w:tab w:pos="7511" w:val="left" w:leader="none"/>
        </w:tabs>
        <w:spacing w:before="22"/>
        <w:ind w:left="351"/>
        <w:jc w:val="center"/>
        <w:rPr>
          <w:rFonts w:ascii="Arial MT"/>
          <w:position w:val="4"/>
          <w:sz w:val="18"/>
        </w:rPr>
      </w:pPr>
      <w:r>
        <w:rPr>
          <w:color w:val="231F1F"/>
          <w:w w:val="105"/>
        </w:rPr>
        <w:t>participantes:</w:t>
      </w:r>
      <w:r>
        <w:rPr>
          <w:color w:val="231F1F"/>
          <w:spacing w:val="-6"/>
          <w:w w:val="105"/>
        </w:rPr>
        <w:t> </w:t>
      </w:r>
      <w:r>
        <w:rPr>
          <w:color w:val="231F1F"/>
          <w:w w:val="105"/>
        </w:rPr>
        <w:t>OR</w:t>
      </w:r>
      <w:r>
        <w:rPr>
          <w:color w:val="231F1F"/>
          <w:spacing w:val="-3"/>
          <w:w w:val="105"/>
        </w:rPr>
        <w:t> </w:t>
      </w:r>
      <w:r>
        <w:rPr>
          <w:color w:val="231F1F"/>
          <w:w w:val="105"/>
        </w:rPr>
        <w:t>1,82</w:t>
      </w:r>
      <w:r>
        <w:rPr>
          <w:color w:val="231F1F"/>
          <w:spacing w:val="-2"/>
          <w:w w:val="105"/>
        </w:rPr>
        <w:t> </w:t>
      </w:r>
      <w:r>
        <w:rPr>
          <w:color w:val="231F1F"/>
          <w:w w:val="105"/>
        </w:rPr>
        <w:t>[IC</w:t>
      </w:r>
      <w:r>
        <w:rPr>
          <w:color w:val="231F1F"/>
          <w:spacing w:val="-3"/>
          <w:w w:val="105"/>
        </w:rPr>
        <w:t> </w:t>
      </w:r>
      <w:r>
        <w:rPr>
          <w:color w:val="231F1F"/>
          <w:w w:val="105"/>
        </w:rPr>
        <w:t>95%</w:t>
      </w:r>
      <w:r>
        <w:rPr>
          <w:color w:val="231F1F"/>
          <w:spacing w:val="-2"/>
          <w:w w:val="105"/>
        </w:rPr>
        <w:t> </w:t>
      </w:r>
      <w:r>
        <w:rPr>
          <w:color w:val="231F1F"/>
          <w:w w:val="105"/>
        </w:rPr>
        <w:t>1,08</w:t>
      </w:r>
      <w:r>
        <w:rPr>
          <w:color w:val="231F1F"/>
          <w:spacing w:val="-3"/>
          <w:w w:val="105"/>
        </w:rPr>
        <w:t> </w:t>
      </w:r>
      <w:r>
        <w:rPr>
          <w:color w:val="231F1F"/>
          <w:w w:val="105"/>
        </w:rPr>
        <w:t>a</w:t>
      </w:r>
      <w:r>
        <w:rPr>
          <w:color w:val="231F1F"/>
          <w:spacing w:val="-3"/>
          <w:w w:val="105"/>
        </w:rPr>
        <w:t> </w:t>
      </w:r>
      <w:r>
        <w:rPr>
          <w:color w:val="231F1F"/>
          <w:spacing w:val="-2"/>
          <w:w w:val="105"/>
        </w:rPr>
        <w:t>3,07].</w:t>
      </w:r>
      <w:r>
        <w:rPr>
          <w:color w:val="231F1F"/>
        </w:rPr>
        <w:tab/>
      </w:r>
      <w:r>
        <w:rPr>
          <w:rFonts w:ascii="Arial MT"/>
          <w:color w:val="231F1F"/>
          <w:spacing w:val="-5"/>
          <w:w w:val="105"/>
          <w:position w:val="4"/>
          <w:sz w:val="18"/>
        </w:rPr>
        <w:t>1+</w:t>
      </w:r>
    </w:p>
    <w:p>
      <w:pPr>
        <w:pStyle w:val="ListParagraph"/>
        <w:numPr>
          <w:ilvl w:val="0"/>
          <w:numId w:val="55"/>
        </w:numPr>
        <w:tabs>
          <w:tab w:pos="620" w:val="left" w:leader="none"/>
        </w:tabs>
        <w:spacing w:line="240" w:lineRule="auto" w:before="107" w:after="0"/>
        <w:ind w:left="620" w:right="0" w:hanging="217"/>
        <w:jc w:val="center"/>
        <w:rPr>
          <w:rFonts w:ascii="Arial MT" w:hAnsi="Arial MT"/>
          <w:sz w:val="18"/>
        </w:rPr>
      </w:pPr>
      <w:r>
        <w:rPr>
          <w:color w:val="231F1F"/>
          <w:w w:val="105"/>
          <w:sz w:val="22"/>
        </w:rPr>
        <w:t>Contacto</w:t>
      </w:r>
      <w:r>
        <w:rPr>
          <w:color w:val="231F1F"/>
          <w:spacing w:val="-16"/>
          <w:w w:val="105"/>
          <w:sz w:val="22"/>
        </w:rPr>
        <w:t> </w:t>
      </w:r>
      <w:r>
        <w:rPr>
          <w:color w:val="231F1F"/>
          <w:w w:val="105"/>
          <w:sz w:val="22"/>
        </w:rPr>
        <w:t>afectivo</w:t>
      </w:r>
      <w:r>
        <w:rPr>
          <w:color w:val="231F1F"/>
          <w:spacing w:val="-15"/>
          <w:w w:val="105"/>
          <w:sz w:val="22"/>
        </w:rPr>
        <w:t> </w:t>
      </w:r>
      <w:r>
        <w:rPr>
          <w:color w:val="231F1F"/>
          <w:w w:val="105"/>
          <w:sz w:val="22"/>
        </w:rPr>
        <w:t>durante</w:t>
      </w:r>
      <w:r>
        <w:rPr>
          <w:color w:val="231F1F"/>
          <w:spacing w:val="-15"/>
          <w:w w:val="105"/>
          <w:sz w:val="22"/>
        </w:rPr>
        <w:t> </w:t>
      </w:r>
      <w:r>
        <w:rPr>
          <w:color w:val="231F1F"/>
          <w:w w:val="105"/>
          <w:sz w:val="22"/>
        </w:rPr>
        <w:t>lactancia</w:t>
      </w:r>
      <w:r>
        <w:rPr>
          <w:color w:val="231F1F"/>
          <w:spacing w:val="-15"/>
          <w:w w:val="105"/>
          <w:sz w:val="22"/>
        </w:rPr>
        <w:t> </w:t>
      </w:r>
      <w:r>
        <w:rPr>
          <w:color w:val="231F1F"/>
          <w:w w:val="105"/>
          <w:sz w:val="22"/>
        </w:rPr>
        <w:t>36-49</w:t>
      </w:r>
      <w:r>
        <w:rPr>
          <w:color w:val="231F1F"/>
          <w:spacing w:val="-15"/>
          <w:w w:val="105"/>
          <w:sz w:val="22"/>
        </w:rPr>
        <w:t> </w:t>
      </w:r>
      <w:r>
        <w:rPr>
          <w:color w:val="231F1F"/>
          <w:w w:val="105"/>
          <w:sz w:val="22"/>
        </w:rPr>
        <w:t>horas</w:t>
      </w:r>
      <w:r>
        <w:rPr>
          <w:color w:val="231F1F"/>
          <w:spacing w:val="-14"/>
          <w:w w:val="105"/>
          <w:sz w:val="22"/>
        </w:rPr>
        <w:t> </w:t>
      </w:r>
      <w:r>
        <w:rPr>
          <w:color w:val="231F1F"/>
          <w:w w:val="105"/>
          <w:sz w:val="22"/>
        </w:rPr>
        <w:t>después</w:t>
      </w:r>
      <w:r>
        <w:rPr>
          <w:color w:val="231F1F"/>
          <w:spacing w:val="-14"/>
          <w:w w:val="105"/>
          <w:sz w:val="22"/>
        </w:rPr>
        <w:t> </w:t>
      </w:r>
      <w:r>
        <w:rPr>
          <w:color w:val="231F1F"/>
          <w:w w:val="105"/>
          <w:sz w:val="22"/>
        </w:rPr>
        <w:t>del</w:t>
      </w:r>
      <w:r>
        <w:rPr>
          <w:color w:val="231F1F"/>
          <w:spacing w:val="-15"/>
          <w:w w:val="105"/>
          <w:sz w:val="22"/>
        </w:rPr>
        <w:t> </w:t>
      </w:r>
      <w:r>
        <w:rPr>
          <w:color w:val="231F1F"/>
          <w:w w:val="105"/>
          <w:sz w:val="22"/>
        </w:rPr>
        <w:t>nacimien-</w:t>
      </w:r>
      <w:r>
        <w:rPr>
          <w:color w:val="231F1F"/>
          <w:spacing w:val="64"/>
          <w:w w:val="105"/>
          <w:sz w:val="22"/>
        </w:rPr>
        <w:t> </w:t>
      </w:r>
      <w:r>
        <w:rPr>
          <w:rFonts w:ascii="Arial MT" w:hAnsi="Arial MT"/>
          <w:color w:val="231F1F"/>
          <w:w w:val="105"/>
          <w:sz w:val="18"/>
        </w:rPr>
        <w:t>RS de</w:t>
      </w:r>
      <w:r>
        <w:rPr>
          <w:rFonts w:ascii="Arial MT" w:hAnsi="Arial MT"/>
          <w:color w:val="231F1F"/>
          <w:spacing w:val="-2"/>
          <w:w w:val="105"/>
          <w:sz w:val="18"/>
        </w:rPr>
        <w:t> </w:t>
      </w:r>
      <w:r>
        <w:rPr>
          <w:rFonts w:ascii="Arial MT" w:hAnsi="Arial MT"/>
          <w:color w:val="231F1F"/>
          <w:spacing w:val="-4"/>
          <w:w w:val="105"/>
          <w:sz w:val="18"/>
        </w:rPr>
        <w:t>ECAs</w:t>
      </w:r>
    </w:p>
    <w:p>
      <w:pPr>
        <w:pStyle w:val="BodyText"/>
        <w:tabs>
          <w:tab w:pos="7511" w:val="left" w:leader="none"/>
        </w:tabs>
        <w:spacing w:before="22"/>
        <w:ind w:left="351"/>
        <w:jc w:val="center"/>
        <w:rPr>
          <w:rFonts w:ascii="Arial MT"/>
          <w:position w:val="4"/>
          <w:sz w:val="18"/>
        </w:rPr>
      </w:pPr>
      <w:r>
        <w:rPr>
          <w:color w:val="231F1F"/>
          <w:w w:val="105"/>
        </w:rPr>
        <w:t>to,</w:t>
      </w:r>
      <w:r>
        <w:rPr>
          <w:color w:val="231F1F"/>
          <w:spacing w:val="-6"/>
          <w:w w:val="105"/>
        </w:rPr>
        <w:t> </w:t>
      </w:r>
      <w:r>
        <w:rPr>
          <w:color w:val="231F1F"/>
          <w:w w:val="105"/>
        </w:rPr>
        <w:t>4</w:t>
      </w:r>
      <w:r>
        <w:rPr>
          <w:color w:val="231F1F"/>
          <w:spacing w:val="-5"/>
          <w:w w:val="105"/>
        </w:rPr>
        <w:t> </w:t>
      </w:r>
      <w:r>
        <w:rPr>
          <w:color w:val="231F1F"/>
          <w:w w:val="105"/>
        </w:rPr>
        <w:t>estudios</w:t>
      </w:r>
      <w:r>
        <w:rPr>
          <w:color w:val="231F1F"/>
          <w:spacing w:val="-5"/>
          <w:w w:val="105"/>
        </w:rPr>
        <w:t> </w:t>
      </w:r>
      <w:r>
        <w:rPr>
          <w:color w:val="231F1F"/>
          <w:w w:val="105"/>
        </w:rPr>
        <w:t>y</w:t>
      </w:r>
      <w:r>
        <w:rPr>
          <w:color w:val="231F1F"/>
          <w:spacing w:val="-3"/>
          <w:w w:val="105"/>
        </w:rPr>
        <w:t> </w:t>
      </w:r>
      <w:r>
        <w:rPr>
          <w:color w:val="231F1F"/>
          <w:w w:val="105"/>
        </w:rPr>
        <w:t>314</w:t>
      </w:r>
      <w:r>
        <w:rPr>
          <w:color w:val="231F1F"/>
          <w:spacing w:val="-5"/>
          <w:w w:val="105"/>
        </w:rPr>
        <w:t> </w:t>
      </w:r>
      <w:r>
        <w:rPr>
          <w:color w:val="231F1F"/>
          <w:w w:val="105"/>
        </w:rPr>
        <w:t>participantes:</w:t>
      </w:r>
      <w:r>
        <w:rPr>
          <w:color w:val="231F1F"/>
          <w:spacing w:val="-7"/>
          <w:w w:val="105"/>
        </w:rPr>
        <w:t> </w:t>
      </w:r>
      <w:r>
        <w:rPr>
          <w:color w:val="231F1F"/>
          <w:w w:val="105"/>
        </w:rPr>
        <w:t>DME</w:t>
      </w:r>
      <w:r>
        <w:rPr>
          <w:color w:val="231F1F"/>
          <w:spacing w:val="-3"/>
          <w:w w:val="105"/>
        </w:rPr>
        <w:t> </w:t>
      </w:r>
      <w:r>
        <w:rPr>
          <w:color w:val="231F1F"/>
          <w:w w:val="105"/>
        </w:rPr>
        <w:t>0,52</w:t>
      </w:r>
      <w:r>
        <w:rPr>
          <w:color w:val="231F1F"/>
          <w:spacing w:val="-6"/>
          <w:w w:val="105"/>
        </w:rPr>
        <w:t> </w:t>
      </w:r>
      <w:r>
        <w:rPr>
          <w:color w:val="231F1F"/>
          <w:w w:val="105"/>
        </w:rPr>
        <w:t>[IC</w:t>
      </w:r>
      <w:r>
        <w:rPr>
          <w:color w:val="231F1F"/>
          <w:spacing w:val="-5"/>
          <w:w w:val="105"/>
        </w:rPr>
        <w:t> </w:t>
      </w:r>
      <w:r>
        <w:rPr>
          <w:color w:val="231F1F"/>
          <w:w w:val="105"/>
        </w:rPr>
        <w:t>95%</w:t>
      </w:r>
      <w:r>
        <w:rPr>
          <w:color w:val="231F1F"/>
          <w:spacing w:val="-4"/>
          <w:w w:val="105"/>
        </w:rPr>
        <w:t> </w:t>
      </w:r>
      <w:r>
        <w:rPr>
          <w:color w:val="231F1F"/>
          <w:w w:val="105"/>
        </w:rPr>
        <w:t>0,07</w:t>
      </w:r>
      <w:r>
        <w:rPr>
          <w:color w:val="231F1F"/>
          <w:spacing w:val="-5"/>
          <w:w w:val="105"/>
        </w:rPr>
        <w:t> </w:t>
      </w:r>
      <w:r>
        <w:rPr>
          <w:color w:val="231F1F"/>
          <w:w w:val="105"/>
        </w:rPr>
        <w:t>a</w:t>
      </w:r>
      <w:r>
        <w:rPr>
          <w:color w:val="231F1F"/>
          <w:spacing w:val="-6"/>
          <w:w w:val="105"/>
        </w:rPr>
        <w:t> </w:t>
      </w:r>
      <w:r>
        <w:rPr>
          <w:color w:val="231F1F"/>
          <w:spacing w:val="-2"/>
          <w:w w:val="105"/>
        </w:rPr>
        <w:t>0,98].</w:t>
      </w:r>
      <w:r>
        <w:rPr>
          <w:color w:val="231F1F"/>
        </w:rPr>
        <w:tab/>
      </w:r>
      <w:r>
        <w:rPr>
          <w:rFonts w:ascii="Arial MT"/>
          <w:color w:val="231F1F"/>
          <w:spacing w:val="-5"/>
          <w:w w:val="105"/>
          <w:position w:val="4"/>
          <w:sz w:val="18"/>
        </w:rPr>
        <w:t>1+</w:t>
      </w:r>
    </w:p>
    <w:p>
      <w:pPr>
        <w:pStyle w:val="ListParagraph"/>
        <w:numPr>
          <w:ilvl w:val="0"/>
          <w:numId w:val="55"/>
        </w:numPr>
        <w:tabs>
          <w:tab w:pos="611" w:val="left" w:leader="none"/>
          <w:tab w:pos="7175" w:val="left" w:leader="none"/>
        </w:tabs>
        <w:spacing w:line="240" w:lineRule="auto" w:before="117" w:after="0"/>
        <w:ind w:left="611" w:right="0" w:hanging="216"/>
        <w:jc w:val="center"/>
        <w:rPr>
          <w:rFonts w:ascii="Arial MT" w:hAnsi="Arial MT"/>
          <w:sz w:val="18"/>
        </w:rPr>
      </w:pPr>
      <w:r>
        <w:rPr>
          <w:color w:val="231F1F"/>
          <w:sz w:val="22"/>
        </w:rPr>
        <w:t>Conducta</w:t>
      </w:r>
      <w:r>
        <w:rPr>
          <w:color w:val="231F1F"/>
          <w:spacing w:val="7"/>
          <w:sz w:val="22"/>
        </w:rPr>
        <w:t> </w:t>
      </w:r>
      <w:r>
        <w:rPr>
          <w:color w:val="231F1F"/>
          <w:sz w:val="22"/>
        </w:rPr>
        <w:t>de</w:t>
      </w:r>
      <w:r>
        <w:rPr>
          <w:color w:val="231F1F"/>
          <w:spacing w:val="10"/>
          <w:sz w:val="22"/>
        </w:rPr>
        <w:t> </w:t>
      </w:r>
      <w:r>
        <w:rPr>
          <w:color w:val="231F1F"/>
          <w:sz w:val="22"/>
        </w:rPr>
        <w:t>apego</w:t>
      </w:r>
      <w:r>
        <w:rPr>
          <w:color w:val="231F1F"/>
          <w:spacing w:val="9"/>
          <w:sz w:val="22"/>
        </w:rPr>
        <w:t> </w:t>
      </w:r>
      <w:r>
        <w:rPr>
          <w:color w:val="231F1F"/>
          <w:sz w:val="22"/>
        </w:rPr>
        <w:t>materno</w:t>
      </w:r>
      <w:r>
        <w:rPr>
          <w:color w:val="231F1F"/>
          <w:spacing w:val="9"/>
          <w:sz w:val="22"/>
        </w:rPr>
        <w:t> </w:t>
      </w:r>
      <w:r>
        <w:rPr>
          <w:color w:val="231F1F"/>
          <w:sz w:val="22"/>
        </w:rPr>
        <w:t>durante</w:t>
      </w:r>
      <w:r>
        <w:rPr>
          <w:color w:val="231F1F"/>
          <w:spacing w:val="9"/>
          <w:sz w:val="22"/>
        </w:rPr>
        <w:t> </w:t>
      </w:r>
      <w:r>
        <w:rPr>
          <w:color w:val="231F1F"/>
          <w:sz w:val="22"/>
        </w:rPr>
        <w:t>alimentación</w:t>
      </w:r>
      <w:r>
        <w:rPr>
          <w:color w:val="231F1F"/>
          <w:spacing w:val="10"/>
          <w:sz w:val="22"/>
        </w:rPr>
        <w:t> </w:t>
      </w:r>
      <w:r>
        <w:rPr>
          <w:color w:val="231F1F"/>
          <w:sz w:val="22"/>
        </w:rPr>
        <w:t>al</w:t>
      </w:r>
      <w:r>
        <w:rPr>
          <w:color w:val="231F1F"/>
          <w:spacing w:val="9"/>
          <w:sz w:val="22"/>
        </w:rPr>
        <w:t> </w:t>
      </w:r>
      <w:r>
        <w:rPr>
          <w:color w:val="231F1F"/>
          <w:sz w:val="22"/>
        </w:rPr>
        <w:t>primer</w:t>
      </w:r>
      <w:r>
        <w:rPr>
          <w:color w:val="231F1F"/>
          <w:spacing w:val="9"/>
          <w:sz w:val="22"/>
        </w:rPr>
        <w:t> </w:t>
      </w:r>
      <w:r>
        <w:rPr>
          <w:color w:val="231F1F"/>
          <w:sz w:val="22"/>
        </w:rPr>
        <w:t>o</w:t>
      </w:r>
      <w:r>
        <w:rPr>
          <w:color w:val="231F1F"/>
          <w:spacing w:val="9"/>
          <w:sz w:val="22"/>
        </w:rPr>
        <w:t> </w:t>
      </w:r>
      <w:r>
        <w:rPr>
          <w:color w:val="231F1F"/>
          <w:spacing w:val="-2"/>
          <w:sz w:val="22"/>
        </w:rPr>
        <w:t>segundo</w:t>
      </w:r>
      <w:r>
        <w:rPr>
          <w:color w:val="231F1F"/>
          <w:sz w:val="22"/>
        </w:rPr>
        <w:tab/>
      </w:r>
      <w:r>
        <w:rPr>
          <w:rFonts w:ascii="Arial MT" w:hAnsi="Arial MT"/>
          <w:color w:val="231F1F"/>
          <w:sz w:val="18"/>
        </w:rPr>
        <w:t>RS</w:t>
      </w:r>
      <w:r>
        <w:rPr>
          <w:rFonts w:ascii="Arial MT" w:hAnsi="Arial MT"/>
          <w:color w:val="231F1F"/>
          <w:spacing w:val="34"/>
          <w:sz w:val="18"/>
        </w:rPr>
        <w:t> </w:t>
      </w:r>
      <w:r>
        <w:rPr>
          <w:rFonts w:ascii="Arial MT" w:hAnsi="Arial MT"/>
          <w:color w:val="231F1F"/>
          <w:sz w:val="18"/>
        </w:rPr>
        <w:t>de</w:t>
      </w:r>
      <w:r>
        <w:rPr>
          <w:rFonts w:ascii="Arial MT" w:hAnsi="Arial MT"/>
          <w:color w:val="231F1F"/>
          <w:spacing w:val="35"/>
          <w:sz w:val="18"/>
        </w:rPr>
        <w:t> </w:t>
      </w:r>
      <w:r>
        <w:rPr>
          <w:rFonts w:ascii="Arial MT" w:hAnsi="Arial MT"/>
          <w:color w:val="231F1F"/>
          <w:spacing w:val="-4"/>
          <w:sz w:val="18"/>
        </w:rPr>
        <w:t>ECAs</w:t>
      </w:r>
    </w:p>
    <w:p>
      <w:pPr>
        <w:pStyle w:val="BodyText"/>
        <w:tabs>
          <w:tab w:pos="8114" w:val="left" w:leader="none"/>
        </w:tabs>
        <w:spacing w:before="22"/>
        <w:ind w:left="956"/>
        <w:rPr>
          <w:rFonts w:ascii="Arial MT" w:hAnsi="Arial MT"/>
          <w:position w:val="4"/>
          <w:sz w:val="18"/>
        </w:rPr>
      </w:pPr>
      <w:r>
        <w:rPr>
          <w:color w:val="231F1F"/>
          <w:w w:val="105"/>
        </w:rPr>
        <w:t>día</w:t>
      </w:r>
      <w:r>
        <w:rPr>
          <w:color w:val="231F1F"/>
          <w:spacing w:val="-12"/>
          <w:w w:val="105"/>
        </w:rPr>
        <w:t> </w:t>
      </w:r>
      <w:r>
        <w:rPr>
          <w:color w:val="231F1F"/>
          <w:w w:val="105"/>
        </w:rPr>
        <w:t>posparto,</w:t>
      </w:r>
      <w:r>
        <w:rPr>
          <w:color w:val="231F1F"/>
          <w:spacing w:val="-11"/>
          <w:w w:val="105"/>
        </w:rPr>
        <w:t> </w:t>
      </w:r>
      <w:r>
        <w:rPr>
          <w:color w:val="231F1F"/>
          <w:w w:val="105"/>
        </w:rPr>
        <w:t>6</w:t>
      </w:r>
      <w:r>
        <w:rPr>
          <w:color w:val="231F1F"/>
          <w:spacing w:val="-9"/>
          <w:w w:val="105"/>
        </w:rPr>
        <w:t> </w:t>
      </w:r>
      <w:r>
        <w:rPr>
          <w:color w:val="231F1F"/>
          <w:w w:val="105"/>
        </w:rPr>
        <w:t>estudios</w:t>
      </w:r>
      <w:r>
        <w:rPr>
          <w:color w:val="231F1F"/>
          <w:spacing w:val="-12"/>
          <w:w w:val="105"/>
        </w:rPr>
        <w:t> </w:t>
      </w:r>
      <w:r>
        <w:rPr>
          <w:color w:val="231F1F"/>
          <w:w w:val="105"/>
        </w:rPr>
        <w:t>y</w:t>
      </w:r>
      <w:r>
        <w:rPr>
          <w:color w:val="231F1F"/>
          <w:spacing w:val="-9"/>
          <w:w w:val="105"/>
        </w:rPr>
        <w:t> </w:t>
      </w:r>
      <w:r>
        <w:rPr>
          <w:color w:val="231F1F"/>
          <w:w w:val="105"/>
        </w:rPr>
        <w:t>396</w:t>
      </w:r>
      <w:r>
        <w:rPr>
          <w:color w:val="231F1F"/>
          <w:spacing w:val="-10"/>
          <w:w w:val="105"/>
        </w:rPr>
        <w:t> </w:t>
      </w:r>
      <w:r>
        <w:rPr>
          <w:color w:val="231F1F"/>
          <w:w w:val="105"/>
        </w:rPr>
        <w:t>participantes:</w:t>
      </w:r>
      <w:r>
        <w:rPr>
          <w:color w:val="231F1F"/>
          <w:spacing w:val="-12"/>
          <w:w w:val="105"/>
        </w:rPr>
        <w:t> </w:t>
      </w:r>
      <w:r>
        <w:rPr>
          <w:color w:val="231F1F"/>
          <w:w w:val="105"/>
        </w:rPr>
        <w:t>DME</w:t>
      </w:r>
      <w:r>
        <w:rPr>
          <w:color w:val="231F1F"/>
          <w:spacing w:val="-10"/>
          <w:w w:val="105"/>
        </w:rPr>
        <w:t> </w:t>
      </w:r>
      <w:r>
        <w:rPr>
          <w:color w:val="231F1F"/>
          <w:w w:val="105"/>
        </w:rPr>
        <w:t>0,52</w:t>
      </w:r>
      <w:r>
        <w:rPr>
          <w:color w:val="231F1F"/>
          <w:spacing w:val="-10"/>
          <w:w w:val="105"/>
        </w:rPr>
        <w:t> </w:t>
      </w:r>
      <w:r>
        <w:rPr>
          <w:color w:val="231F1F"/>
          <w:w w:val="105"/>
        </w:rPr>
        <w:t>[IC</w:t>
      </w:r>
      <w:r>
        <w:rPr>
          <w:color w:val="231F1F"/>
          <w:spacing w:val="-11"/>
          <w:w w:val="105"/>
        </w:rPr>
        <w:t> </w:t>
      </w:r>
      <w:r>
        <w:rPr>
          <w:color w:val="231F1F"/>
          <w:w w:val="105"/>
        </w:rPr>
        <w:t>95%</w:t>
      </w:r>
      <w:r>
        <w:rPr>
          <w:color w:val="231F1F"/>
          <w:spacing w:val="-9"/>
          <w:w w:val="105"/>
        </w:rPr>
        <w:t> </w:t>
      </w:r>
      <w:r>
        <w:rPr>
          <w:color w:val="231F1F"/>
          <w:w w:val="105"/>
        </w:rPr>
        <w:t>0,31</w:t>
      </w:r>
      <w:r>
        <w:rPr>
          <w:color w:val="231F1F"/>
          <w:spacing w:val="-11"/>
          <w:w w:val="105"/>
        </w:rPr>
        <w:t> </w:t>
      </w:r>
      <w:r>
        <w:rPr>
          <w:color w:val="231F1F"/>
          <w:spacing w:val="-10"/>
          <w:w w:val="105"/>
        </w:rPr>
        <w:t>a</w:t>
      </w:r>
      <w:r>
        <w:rPr>
          <w:color w:val="231F1F"/>
        </w:rPr>
        <w:tab/>
      </w:r>
      <w:r>
        <w:rPr>
          <w:rFonts w:ascii="Arial MT" w:hAnsi="Arial MT"/>
          <w:color w:val="231F1F"/>
          <w:spacing w:val="-5"/>
          <w:w w:val="105"/>
          <w:position w:val="4"/>
          <w:sz w:val="18"/>
        </w:rPr>
        <w:t>1+</w:t>
      </w:r>
    </w:p>
    <w:p>
      <w:pPr>
        <w:pStyle w:val="BodyText"/>
        <w:spacing w:before="30"/>
        <w:ind w:left="956"/>
      </w:pPr>
      <w:r>
        <w:rPr>
          <w:color w:val="231F1F"/>
          <w:spacing w:val="-2"/>
        </w:rPr>
        <w:t>0,72].</w:t>
      </w:r>
    </w:p>
    <w:p>
      <w:pPr>
        <w:pStyle w:val="BodyText"/>
        <w:spacing w:line="249" w:lineRule="auto" w:before="78"/>
        <w:ind w:left="283" w:right="1367" w:firstLine="453"/>
        <w:jc w:val="both"/>
      </w:pPr>
      <w:r>
        <w:rPr>
          <w:color w:val="231F1F"/>
          <w:w w:val="105"/>
        </w:rPr>
        <w:t>En resumen, tanto en la guía NICE (10) como en las revisiones posterio- res de buena calidad, se observa que el contacto piel con piel entre madre e hijo tiene beneficios sobre el neonato y la madre en algunos parámetros como la</w:t>
      </w:r>
      <w:r>
        <w:rPr>
          <w:color w:val="231F1F"/>
          <w:w w:val="105"/>
        </w:rPr>
        <w:t> duración</w:t>
      </w:r>
      <w:r>
        <w:rPr>
          <w:color w:val="231F1F"/>
          <w:w w:val="105"/>
        </w:rPr>
        <w:t> de</w:t>
      </w:r>
      <w:r>
        <w:rPr>
          <w:color w:val="231F1F"/>
          <w:w w:val="105"/>
        </w:rPr>
        <w:t> la</w:t>
      </w:r>
      <w:r>
        <w:rPr>
          <w:color w:val="231F1F"/>
          <w:w w:val="105"/>
        </w:rPr>
        <w:t> lactancia,</w:t>
      </w:r>
      <w:r>
        <w:rPr>
          <w:color w:val="231F1F"/>
          <w:w w:val="105"/>
        </w:rPr>
        <w:t> la</w:t>
      </w:r>
      <w:r>
        <w:rPr>
          <w:color w:val="231F1F"/>
          <w:w w:val="105"/>
        </w:rPr>
        <w:t> termorregulación</w:t>
      </w:r>
      <w:r>
        <w:rPr>
          <w:color w:val="231F1F"/>
          <w:w w:val="105"/>
        </w:rPr>
        <w:t> del</w:t>
      </w:r>
      <w:r>
        <w:rPr>
          <w:color w:val="231F1F"/>
          <w:w w:val="105"/>
        </w:rPr>
        <w:t> neonato</w:t>
      </w:r>
      <w:r>
        <w:rPr>
          <w:color w:val="231F1F"/>
          <w:w w:val="105"/>
        </w:rPr>
        <w:t> o</w:t>
      </w:r>
      <w:r>
        <w:rPr>
          <w:color w:val="231F1F"/>
          <w:w w:val="105"/>
        </w:rPr>
        <w:t> los</w:t>
      </w:r>
      <w:r>
        <w:rPr>
          <w:color w:val="231F1F"/>
          <w:w w:val="105"/>
        </w:rPr>
        <w:t> vínculos madre-hijo.</w:t>
      </w:r>
      <w:r>
        <w:rPr>
          <w:color w:val="231F1F"/>
          <w:w w:val="105"/>
        </w:rPr>
        <w:t> No</w:t>
      </w:r>
      <w:r>
        <w:rPr>
          <w:color w:val="231F1F"/>
          <w:w w:val="105"/>
        </w:rPr>
        <w:t> se</w:t>
      </w:r>
      <w:r>
        <w:rPr>
          <w:color w:val="231F1F"/>
          <w:w w:val="105"/>
        </w:rPr>
        <w:t> han</w:t>
      </w:r>
      <w:r>
        <w:rPr>
          <w:color w:val="231F1F"/>
          <w:w w:val="105"/>
        </w:rPr>
        <w:t> encontrados</w:t>
      </w:r>
      <w:r>
        <w:rPr>
          <w:color w:val="231F1F"/>
          <w:w w:val="105"/>
        </w:rPr>
        <w:t> efectos</w:t>
      </w:r>
      <w:r>
        <w:rPr>
          <w:color w:val="231F1F"/>
          <w:w w:val="105"/>
        </w:rPr>
        <w:t> adversos</w:t>
      </w:r>
      <w:r>
        <w:rPr>
          <w:color w:val="231F1F"/>
          <w:w w:val="105"/>
        </w:rPr>
        <w:t> en</w:t>
      </w:r>
      <w:r>
        <w:rPr>
          <w:color w:val="231F1F"/>
          <w:w w:val="105"/>
        </w:rPr>
        <w:t> el</w:t>
      </w:r>
      <w:r>
        <w:rPr>
          <w:color w:val="231F1F"/>
          <w:w w:val="105"/>
        </w:rPr>
        <w:t> contacto</w:t>
      </w:r>
      <w:r>
        <w:rPr>
          <w:color w:val="231F1F"/>
          <w:w w:val="105"/>
        </w:rPr>
        <w:t> piel</w:t>
      </w:r>
      <w:r>
        <w:rPr>
          <w:color w:val="231F1F"/>
          <w:w w:val="105"/>
        </w:rPr>
        <w:t> con </w:t>
      </w:r>
      <w:r>
        <w:rPr>
          <w:color w:val="231F1F"/>
          <w:spacing w:val="-4"/>
          <w:w w:val="105"/>
        </w:rPr>
        <w:t>piel.</w:t>
      </w:r>
    </w:p>
    <w:p>
      <w:pPr>
        <w:pStyle w:val="BodyText"/>
        <w:spacing w:before="15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6" w:lineRule="auto" w:before="44"/>
              <w:ind w:right="136"/>
              <w:jc w:val="both"/>
              <w:rPr>
                <w:sz w:val="22"/>
              </w:rPr>
            </w:pPr>
            <w:r>
              <w:rPr>
                <w:color w:val="231F1F"/>
                <w:w w:val="105"/>
                <w:sz w:val="22"/>
              </w:rPr>
              <w:t>Hay evidencia procedente de ECAs de buena calidad que encuentra que el contacto piel con piel es beneficioso a corto plazo para mantener la tempe- ratura y disminuir el llanto del niño, y a largo plazo para aumentar el tiempo de lactancia materna (232;233).</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16"/>
                <w:w w:val="110"/>
                <w:sz w:val="22"/>
              </w:rPr>
              <w:t> </w:t>
            </w:r>
            <w:r>
              <w:rPr>
                <w:color w:val="231F1F"/>
                <w:w w:val="110"/>
                <w:sz w:val="22"/>
              </w:rPr>
              <w:t>recomienda</w:t>
            </w:r>
            <w:r>
              <w:rPr>
                <w:color w:val="231F1F"/>
                <w:spacing w:val="-13"/>
                <w:w w:val="110"/>
                <w:sz w:val="22"/>
              </w:rPr>
              <w:t> </w:t>
            </w:r>
            <w:r>
              <w:rPr>
                <w:color w:val="231F1F"/>
                <w:w w:val="110"/>
                <w:sz w:val="22"/>
              </w:rPr>
              <w:t>que</w:t>
            </w:r>
            <w:r>
              <w:rPr>
                <w:color w:val="231F1F"/>
                <w:spacing w:val="-14"/>
                <w:w w:val="110"/>
                <w:sz w:val="22"/>
              </w:rPr>
              <w:t> </w:t>
            </w:r>
            <w:r>
              <w:rPr>
                <w:color w:val="231F1F"/>
                <w:w w:val="110"/>
                <w:sz w:val="22"/>
              </w:rPr>
              <w:t>las</w:t>
            </w:r>
            <w:r>
              <w:rPr>
                <w:color w:val="231F1F"/>
                <w:spacing w:val="-14"/>
                <w:w w:val="110"/>
                <w:sz w:val="22"/>
              </w:rPr>
              <w:t> </w:t>
            </w:r>
            <w:r>
              <w:rPr>
                <w:color w:val="231F1F"/>
                <w:w w:val="110"/>
                <w:sz w:val="22"/>
              </w:rPr>
              <w:t>mujeres</w:t>
            </w:r>
            <w:r>
              <w:rPr>
                <w:color w:val="231F1F"/>
                <w:spacing w:val="-14"/>
                <w:w w:val="110"/>
                <w:sz w:val="22"/>
              </w:rPr>
              <w:t> </w:t>
            </w:r>
            <w:r>
              <w:rPr>
                <w:color w:val="231F1F"/>
                <w:w w:val="110"/>
                <w:sz w:val="22"/>
              </w:rPr>
              <w:t>mantengan</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contacto</w:t>
            </w:r>
            <w:r>
              <w:rPr>
                <w:color w:val="231F1F"/>
                <w:spacing w:val="-14"/>
                <w:w w:val="110"/>
                <w:sz w:val="22"/>
              </w:rPr>
              <w:t> </w:t>
            </w:r>
            <w:r>
              <w:rPr>
                <w:color w:val="231F1F"/>
                <w:w w:val="110"/>
                <w:sz w:val="22"/>
              </w:rPr>
              <w:t>piel</w:t>
            </w:r>
            <w:r>
              <w:rPr>
                <w:color w:val="231F1F"/>
                <w:spacing w:val="-16"/>
                <w:w w:val="110"/>
                <w:sz w:val="22"/>
              </w:rPr>
              <w:t> </w:t>
            </w:r>
            <w:r>
              <w:rPr>
                <w:color w:val="231F1F"/>
                <w:w w:val="110"/>
                <w:sz w:val="22"/>
              </w:rPr>
              <w:t>con</w:t>
            </w:r>
            <w:r>
              <w:rPr>
                <w:color w:val="231F1F"/>
                <w:spacing w:val="-13"/>
                <w:w w:val="110"/>
                <w:sz w:val="22"/>
              </w:rPr>
              <w:t> </w:t>
            </w:r>
            <w:r>
              <w:rPr>
                <w:color w:val="231F1F"/>
                <w:w w:val="110"/>
                <w:sz w:val="22"/>
              </w:rPr>
              <w:t>piel</w:t>
            </w:r>
            <w:r>
              <w:rPr>
                <w:color w:val="231F1F"/>
                <w:spacing w:val="-16"/>
                <w:w w:val="110"/>
                <w:sz w:val="22"/>
              </w:rPr>
              <w:t> </w:t>
            </w:r>
            <w:r>
              <w:rPr>
                <w:color w:val="231F1F"/>
                <w:w w:val="110"/>
                <w:sz w:val="22"/>
              </w:rPr>
              <w:t>con</w:t>
            </w:r>
            <w:r>
              <w:rPr>
                <w:color w:val="231F1F"/>
                <w:spacing w:val="-13"/>
                <w:w w:val="110"/>
                <w:sz w:val="22"/>
              </w:rPr>
              <w:t> </w:t>
            </w:r>
            <w:r>
              <w:rPr>
                <w:color w:val="231F1F"/>
                <w:w w:val="110"/>
                <w:sz w:val="22"/>
              </w:rPr>
              <w:t>sus</w:t>
            </w:r>
            <w:r>
              <w:rPr>
                <w:color w:val="231F1F"/>
                <w:spacing w:val="-14"/>
                <w:w w:val="110"/>
                <w:sz w:val="22"/>
              </w:rPr>
              <w:t> </w:t>
            </w:r>
            <w:r>
              <w:rPr>
                <w:color w:val="231F1F"/>
                <w:w w:val="110"/>
                <w:sz w:val="22"/>
              </w:rPr>
              <w:t>bebés inmediatamente después del nacimiento.</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4"/>
              <w:ind w:right="84"/>
              <w:jc w:val="both"/>
              <w:rPr>
                <w:sz w:val="22"/>
              </w:rPr>
            </w:pPr>
            <w:r>
              <w:rPr>
                <w:color w:val="231F1F"/>
                <w:w w:val="110"/>
                <w:sz w:val="22"/>
              </w:rPr>
              <w:t>Para</w:t>
            </w:r>
            <w:r>
              <w:rPr>
                <w:color w:val="231F1F"/>
                <w:spacing w:val="-6"/>
                <w:w w:val="110"/>
                <w:sz w:val="22"/>
              </w:rPr>
              <w:t> </w:t>
            </w:r>
            <w:r>
              <w:rPr>
                <w:color w:val="231F1F"/>
                <w:w w:val="110"/>
                <w:sz w:val="22"/>
              </w:rPr>
              <w:t>mantener</w:t>
            </w:r>
            <w:r>
              <w:rPr>
                <w:color w:val="231F1F"/>
                <w:spacing w:val="-7"/>
                <w:w w:val="110"/>
                <w:sz w:val="22"/>
              </w:rPr>
              <w:t> </w:t>
            </w:r>
            <w:r>
              <w:rPr>
                <w:color w:val="231F1F"/>
                <w:w w:val="110"/>
                <w:sz w:val="22"/>
              </w:rPr>
              <w:t>caliente</w:t>
            </w:r>
            <w:r>
              <w:rPr>
                <w:color w:val="231F1F"/>
                <w:spacing w:val="-7"/>
                <w:w w:val="110"/>
                <w:sz w:val="22"/>
              </w:rPr>
              <w:t> </w:t>
            </w:r>
            <w:r>
              <w:rPr>
                <w:color w:val="231F1F"/>
                <w:w w:val="110"/>
                <w:sz w:val="22"/>
              </w:rPr>
              <w:t>al</w:t>
            </w:r>
            <w:r>
              <w:rPr>
                <w:color w:val="231F1F"/>
                <w:spacing w:val="-7"/>
                <w:w w:val="110"/>
                <w:sz w:val="22"/>
              </w:rPr>
              <w:t> </w:t>
            </w:r>
            <w:r>
              <w:rPr>
                <w:color w:val="231F1F"/>
                <w:w w:val="110"/>
                <w:sz w:val="22"/>
              </w:rPr>
              <w:t>bebé,</w:t>
            </w:r>
            <w:r>
              <w:rPr>
                <w:color w:val="231F1F"/>
                <w:spacing w:val="-7"/>
                <w:w w:val="110"/>
                <w:sz w:val="22"/>
              </w:rPr>
              <w:t> </w:t>
            </w:r>
            <w:r>
              <w:rPr>
                <w:color w:val="231F1F"/>
                <w:w w:val="110"/>
                <w:sz w:val="22"/>
              </w:rPr>
              <w:t>se</w:t>
            </w:r>
            <w:r>
              <w:rPr>
                <w:color w:val="231F1F"/>
                <w:spacing w:val="-7"/>
                <w:w w:val="110"/>
                <w:sz w:val="22"/>
              </w:rPr>
              <w:t> </w:t>
            </w:r>
            <w:r>
              <w:rPr>
                <w:color w:val="231F1F"/>
                <w:w w:val="110"/>
                <w:sz w:val="22"/>
              </w:rPr>
              <w:t>recomienda</w:t>
            </w:r>
            <w:r>
              <w:rPr>
                <w:color w:val="231F1F"/>
                <w:spacing w:val="-6"/>
                <w:w w:val="110"/>
                <w:sz w:val="22"/>
              </w:rPr>
              <w:t> </w:t>
            </w:r>
            <w:r>
              <w:rPr>
                <w:color w:val="231F1F"/>
                <w:w w:val="110"/>
                <w:sz w:val="22"/>
              </w:rPr>
              <w:t>cubrirlo</w:t>
            </w:r>
            <w:r>
              <w:rPr>
                <w:color w:val="231F1F"/>
                <w:spacing w:val="-6"/>
                <w:w w:val="110"/>
                <w:sz w:val="22"/>
              </w:rPr>
              <w:t> </w:t>
            </w:r>
            <w:r>
              <w:rPr>
                <w:color w:val="231F1F"/>
                <w:w w:val="110"/>
                <w:sz w:val="22"/>
              </w:rPr>
              <w:t>y</w:t>
            </w:r>
            <w:r>
              <w:rPr>
                <w:color w:val="231F1F"/>
                <w:spacing w:val="-6"/>
                <w:w w:val="110"/>
                <w:sz w:val="22"/>
              </w:rPr>
              <w:t> </w:t>
            </w:r>
            <w:r>
              <w:rPr>
                <w:color w:val="231F1F"/>
                <w:w w:val="110"/>
                <w:sz w:val="22"/>
              </w:rPr>
              <w:t>secarlo</w:t>
            </w:r>
            <w:r>
              <w:rPr>
                <w:color w:val="231F1F"/>
                <w:spacing w:val="-7"/>
                <w:w w:val="110"/>
                <w:sz w:val="22"/>
              </w:rPr>
              <w:t> </w:t>
            </w:r>
            <w:r>
              <w:rPr>
                <w:color w:val="231F1F"/>
                <w:w w:val="110"/>
                <w:sz w:val="22"/>
              </w:rPr>
              <w:t>con</w:t>
            </w:r>
            <w:r>
              <w:rPr>
                <w:color w:val="231F1F"/>
                <w:spacing w:val="-6"/>
                <w:w w:val="110"/>
                <w:sz w:val="22"/>
              </w:rPr>
              <w:t> </w:t>
            </w:r>
            <w:r>
              <w:rPr>
                <w:color w:val="231F1F"/>
                <w:w w:val="110"/>
                <w:sz w:val="22"/>
              </w:rPr>
              <w:t>una</w:t>
            </w:r>
            <w:r>
              <w:rPr>
                <w:color w:val="231F1F"/>
                <w:spacing w:val="-6"/>
                <w:w w:val="110"/>
                <w:sz w:val="22"/>
              </w:rPr>
              <w:t> </w:t>
            </w:r>
            <w:r>
              <w:rPr>
                <w:color w:val="231F1F"/>
                <w:w w:val="110"/>
                <w:sz w:val="22"/>
              </w:rPr>
              <w:t>manta</w:t>
            </w:r>
            <w:r>
              <w:rPr>
                <w:color w:val="231F1F"/>
                <w:spacing w:val="-6"/>
                <w:w w:val="110"/>
                <w:sz w:val="22"/>
              </w:rPr>
              <w:t> </w:t>
            </w:r>
            <w:r>
              <w:rPr>
                <w:color w:val="231F1F"/>
                <w:w w:val="110"/>
                <w:sz w:val="22"/>
              </w:rPr>
              <w:t>o toalla,</w:t>
            </w:r>
            <w:r>
              <w:rPr>
                <w:color w:val="231F1F"/>
                <w:spacing w:val="-13"/>
                <w:w w:val="110"/>
                <w:sz w:val="22"/>
              </w:rPr>
              <w:t> </w:t>
            </w:r>
            <w:r>
              <w:rPr>
                <w:color w:val="231F1F"/>
                <w:w w:val="110"/>
                <w:sz w:val="22"/>
              </w:rPr>
              <w:t>previamente</w:t>
            </w:r>
            <w:r>
              <w:rPr>
                <w:color w:val="231F1F"/>
                <w:spacing w:val="-13"/>
                <w:w w:val="110"/>
                <w:sz w:val="22"/>
              </w:rPr>
              <w:t> </w:t>
            </w:r>
            <w:r>
              <w:rPr>
                <w:color w:val="231F1F"/>
                <w:w w:val="110"/>
                <w:sz w:val="22"/>
              </w:rPr>
              <w:t>calentadas,</w:t>
            </w:r>
            <w:r>
              <w:rPr>
                <w:color w:val="231F1F"/>
                <w:spacing w:val="-13"/>
                <w:w w:val="110"/>
                <w:sz w:val="22"/>
              </w:rPr>
              <w:t> </w:t>
            </w:r>
            <w:r>
              <w:rPr>
                <w:color w:val="231F1F"/>
                <w:w w:val="110"/>
                <w:sz w:val="22"/>
              </w:rPr>
              <w:t>al</w:t>
            </w:r>
            <w:r>
              <w:rPr>
                <w:color w:val="231F1F"/>
                <w:spacing w:val="-13"/>
                <w:w w:val="110"/>
                <w:sz w:val="22"/>
              </w:rPr>
              <w:t> </w:t>
            </w:r>
            <w:r>
              <w:rPr>
                <w:color w:val="231F1F"/>
                <w:w w:val="110"/>
                <w:sz w:val="22"/>
              </w:rPr>
              <w:t>tiempo</w:t>
            </w:r>
            <w:r>
              <w:rPr>
                <w:color w:val="231F1F"/>
                <w:spacing w:val="-12"/>
                <w:w w:val="110"/>
                <w:sz w:val="22"/>
              </w:rPr>
              <w:t> </w:t>
            </w:r>
            <w:r>
              <w:rPr>
                <w:color w:val="231F1F"/>
                <w:w w:val="110"/>
                <w:sz w:val="22"/>
              </w:rPr>
              <w:t>que</w:t>
            </w:r>
            <w:r>
              <w:rPr>
                <w:color w:val="231F1F"/>
                <w:spacing w:val="-12"/>
                <w:w w:val="110"/>
                <w:sz w:val="22"/>
              </w:rPr>
              <w:t> </w:t>
            </w:r>
            <w:r>
              <w:rPr>
                <w:color w:val="231F1F"/>
                <w:w w:val="110"/>
                <w:sz w:val="22"/>
              </w:rPr>
              <w:t>se</w:t>
            </w:r>
            <w:r>
              <w:rPr>
                <w:color w:val="231F1F"/>
                <w:spacing w:val="-12"/>
                <w:w w:val="110"/>
                <w:sz w:val="22"/>
              </w:rPr>
              <w:t> </w:t>
            </w:r>
            <w:r>
              <w:rPr>
                <w:color w:val="231F1F"/>
                <w:w w:val="110"/>
                <w:sz w:val="22"/>
              </w:rPr>
              <w:t>mantiene</w:t>
            </w:r>
            <w:r>
              <w:rPr>
                <w:color w:val="231F1F"/>
                <w:spacing w:val="-12"/>
                <w:w w:val="110"/>
                <w:sz w:val="22"/>
              </w:rPr>
              <w:t> </w:t>
            </w:r>
            <w:r>
              <w:rPr>
                <w:color w:val="231F1F"/>
                <w:w w:val="110"/>
                <w:sz w:val="22"/>
              </w:rPr>
              <w:t>el</w:t>
            </w:r>
            <w:r>
              <w:rPr>
                <w:color w:val="231F1F"/>
                <w:spacing w:val="-13"/>
                <w:w w:val="110"/>
                <w:sz w:val="22"/>
              </w:rPr>
              <w:t> </w:t>
            </w:r>
            <w:r>
              <w:rPr>
                <w:color w:val="231F1F"/>
                <w:w w:val="110"/>
                <w:sz w:val="22"/>
              </w:rPr>
              <w:t>contacto</w:t>
            </w:r>
            <w:r>
              <w:rPr>
                <w:color w:val="231F1F"/>
                <w:spacing w:val="-12"/>
                <w:w w:val="110"/>
                <w:sz w:val="22"/>
              </w:rPr>
              <w:t> </w:t>
            </w:r>
            <w:r>
              <w:rPr>
                <w:color w:val="231F1F"/>
                <w:w w:val="110"/>
                <w:sz w:val="22"/>
              </w:rPr>
              <w:t>piel</w:t>
            </w:r>
            <w:r>
              <w:rPr>
                <w:color w:val="231F1F"/>
                <w:spacing w:val="-13"/>
                <w:w w:val="110"/>
                <w:sz w:val="22"/>
              </w:rPr>
              <w:t> </w:t>
            </w:r>
            <w:r>
              <w:rPr>
                <w:color w:val="231F1F"/>
                <w:w w:val="110"/>
                <w:sz w:val="22"/>
              </w:rPr>
              <w:t>con</w:t>
            </w:r>
            <w:r>
              <w:rPr>
                <w:color w:val="231F1F"/>
                <w:spacing w:val="-12"/>
                <w:w w:val="110"/>
                <w:sz w:val="22"/>
              </w:rPr>
              <w:t> </w:t>
            </w:r>
            <w:r>
              <w:rPr>
                <w:color w:val="231F1F"/>
                <w:w w:val="110"/>
                <w:sz w:val="22"/>
              </w:rPr>
              <w:t>piel con la madre.</w:t>
            </w:r>
          </w:p>
        </w:tc>
      </w:tr>
      <w:tr>
        <w:trPr>
          <w:trHeight w:val="1799" w:hRule="atLeast"/>
        </w:trPr>
        <w:tc>
          <w:tcPr>
            <w:tcW w:w="456"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9" w:lineRule="auto" w:before="44"/>
              <w:ind w:right="85"/>
              <w:jc w:val="both"/>
              <w:rPr>
                <w:sz w:val="22"/>
              </w:rPr>
            </w:pPr>
            <w:r>
              <w:rPr>
                <w:color w:val="231F1F"/>
                <w:w w:val="105"/>
                <w:sz w:val="22"/>
              </w:rPr>
              <w:t>Se recomienda evitar la separación de la madre y el bebé dentro de la primera hora de vida y hasta que haya finalizado la primera toma. Durante este periodo se reco- mienda que la matrona mantenga una vigilancia con observación periódica que in- terfiera</w:t>
            </w:r>
            <w:r>
              <w:rPr>
                <w:color w:val="231F1F"/>
                <w:spacing w:val="-3"/>
                <w:w w:val="105"/>
                <w:sz w:val="22"/>
              </w:rPr>
              <w:t> </w:t>
            </w:r>
            <w:r>
              <w:rPr>
                <w:color w:val="231F1F"/>
                <w:w w:val="105"/>
                <w:sz w:val="22"/>
              </w:rPr>
              <w:t>lo</w:t>
            </w:r>
            <w:r>
              <w:rPr>
                <w:color w:val="231F1F"/>
                <w:spacing w:val="-2"/>
                <w:w w:val="105"/>
                <w:sz w:val="22"/>
              </w:rPr>
              <w:t> </w:t>
            </w:r>
            <w:r>
              <w:rPr>
                <w:color w:val="231F1F"/>
                <w:w w:val="105"/>
                <w:sz w:val="22"/>
              </w:rPr>
              <w:t>menos</w:t>
            </w:r>
            <w:r>
              <w:rPr>
                <w:color w:val="231F1F"/>
                <w:spacing w:val="-2"/>
                <w:w w:val="105"/>
                <w:sz w:val="22"/>
              </w:rPr>
              <w:t> </w:t>
            </w:r>
            <w:r>
              <w:rPr>
                <w:color w:val="231F1F"/>
                <w:w w:val="105"/>
                <w:sz w:val="22"/>
              </w:rPr>
              <w:t>posible</w:t>
            </w:r>
            <w:r>
              <w:rPr>
                <w:color w:val="231F1F"/>
                <w:spacing w:val="-2"/>
                <w:w w:val="105"/>
                <w:sz w:val="22"/>
              </w:rPr>
              <w:t> </w:t>
            </w:r>
            <w:r>
              <w:rPr>
                <w:color w:val="231F1F"/>
                <w:w w:val="105"/>
                <w:sz w:val="22"/>
              </w:rPr>
              <w:t>en</w:t>
            </w:r>
            <w:r>
              <w:rPr>
                <w:color w:val="231F1F"/>
                <w:spacing w:val="-2"/>
                <w:w w:val="105"/>
                <w:sz w:val="22"/>
              </w:rPr>
              <w:t> </w:t>
            </w:r>
            <w:r>
              <w:rPr>
                <w:color w:val="231F1F"/>
                <w:w w:val="105"/>
                <w:sz w:val="22"/>
              </w:rPr>
              <w:t>la</w:t>
            </w:r>
            <w:r>
              <w:rPr>
                <w:color w:val="231F1F"/>
                <w:spacing w:val="-2"/>
                <w:w w:val="105"/>
                <w:sz w:val="22"/>
              </w:rPr>
              <w:t> </w:t>
            </w:r>
            <w:r>
              <w:rPr>
                <w:color w:val="231F1F"/>
                <w:w w:val="105"/>
                <w:sz w:val="22"/>
              </w:rPr>
              <w:t>relación</w:t>
            </w:r>
            <w:r>
              <w:rPr>
                <w:color w:val="231F1F"/>
                <w:spacing w:val="-2"/>
                <w:w w:val="105"/>
                <w:sz w:val="22"/>
              </w:rPr>
              <w:t> </w:t>
            </w:r>
            <w:r>
              <w:rPr>
                <w:color w:val="231F1F"/>
                <w:w w:val="105"/>
                <w:sz w:val="22"/>
              </w:rPr>
              <w:t>entre</w:t>
            </w:r>
            <w:r>
              <w:rPr>
                <w:color w:val="231F1F"/>
                <w:spacing w:val="-2"/>
                <w:w w:val="105"/>
                <w:sz w:val="22"/>
              </w:rPr>
              <w:t> </w:t>
            </w:r>
            <w:r>
              <w:rPr>
                <w:color w:val="231F1F"/>
                <w:w w:val="105"/>
                <w:sz w:val="22"/>
              </w:rPr>
              <w:t>la</w:t>
            </w:r>
            <w:r>
              <w:rPr>
                <w:color w:val="231F1F"/>
                <w:spacing w:val="-2"/>
                <w:w w:val="105"/>
                <w:sz w:val="22"/>
              </w:rPr>
              <w:t> </w:t>
            </w:r>
            <w:r>
              <w:rPr>
                <w:color w:val="231F1F"/>
                <w:w w:val="105"/>
                <w:sz w:val="22"/>
              </w:rPr>
              <w:t>madre</w:t>
            </w:r>
            <w:r>
              <w:rPr>
                <w:color w:val="231F1F"/>
                <w:spacing w:val="-2"/>
                <w:w w:val="105"/>
                <w:sz w:val="22"/>
              </w:rPr>
              <w:t> </w:t>
            </w:r>
            <w:r>
              <w:rPr>
                <w:color w:val="231F1F"/>
                <w:w w:val="105"/>
                <w:sz w:val="22"/>
              </w:rPr>
              <w:t>y</w:t>
            </w:r>
            <w:r>
              <w:rPr>
                <w:color w:val="231F1F"/>
                <w:spacing w:val="-2"/>
                <w:w w:val="105"/>
                <w:sz w:val="22"/>
              </w:rPr>
              <w:t> </w:t>
            </w:r>
            <w:r>
              <w:rPr>
                <w:color w:val="231F1F"/>
                <w:w w:val="105"/>
                <w:sz w:val="22"/>
              </w:rPr>
              <w:t>el</w:t>
            </w:r>
            <w:r>
              <w:rPr>
                <w:color w:val="231F1F"/>
                <w:spacing w:val="-2"/>
                <w:w w:val="105"/>
                <w:sz w:val="22"/>
              </w:rPr>
              <w:t> </w:t>
            </w:r>
            <w:r>
              <w:rPr>
                <w:color w:val="231F1F"/>
                <w:w w:val="105"/>
                <w:sz w:val="22"/>
              </w:rPr>
              <w:t>RN</w:t>
            </w:r>
            <w:r>
              <w:rPr>
                <w:color w:val="231F1F"/>
                <w:spacing w:val="-2"/>
                <w:w w:val="105"/>
                <w:sz w:val="22"/>
              </w:rPr>
              <w:t> </w:t>
            </w:r>
            <w:r>
              <w:rPr>
                <w:color w:val="231F1F"/>
                <w:w w:val="105"/>
                <w:sz w:val="22"/>
              </w:rPr>
              <w:t>con</w:t>
            </w:r>
            <w:r>
              <w:rPr>
                <w:color w:val="231F1F"/>
                <w:spacing w:val="-2"/>
                <w:w w:val="105"/>
                <w:sz w:val="22"/>
              </w:rPr>
              <w:t> </w:t>
            </w:r>
            <w:r>
              <w:rPr>
                <w:color w:val="231F1F"/>
                <w:w w:val="105"/>
                <w:sz w:val="22"/>
              </w:rPr>
              <w:t>registro</w:t>
            </w:r>
            <w:r>
              <w:rPr>
                <w:color w:val="231F1F"/>
                <w:spacing w:val="-2"/>
                <w:w w:val="105"/>
                <w:sz w:val="22"/>
              </w:rPr>
              <w:t> </w:t>
            </w:r>
            <w:r>
              <w:rPr>
                <w:color w:val="231F1F"/>
                <w:w w:val="105"/>
                <w:sz w:val="22"/>
              </w:rPr>
              <w:t>de</w:t>
            </w:r>
            <w:r>
              <w:rPr>
                <w:color w:val="231F1F"/>
                <w:spacing w:val="-2"/>
                <w:w w:val="105"/>
                <w:sz w:val="22"/>
              </w:rPr>
              <w:t> </w:t>
            </w:r>
            <w:r>
              <w:rPr>
                <w:color w:val="231F1F"/>
                <w:w w:val="105"/>
                <w:sz w:val="22"/>
              </w:rPr>
              <w:t>signos vitales</w:t>
            </w:r>
            <w:r>
              <w:rPr>
                <w:color w:val="231F1F"/>
                <w:spacing w:val="-10"/>
                <w:w w:val="105"/>
                <w:sz w:val="22"/>
              </w:rPr>
              <w:t> </w:t>
            </w:r>
            <w:r>
              <w:rPr>
                <w:color w:val="231F1F"/>
                <w:w w:val="105"/>
                <w:sz w:val="22"/>
              </w:rPr>
              <w:t>de</w:t>
            </w:r>
            <w:r>
              <w:rPr>
                <w:color w:val="231F1F"/>
                <w:spacing w:val="-10"/>
                <w:w w:val="105"/>
                <w:sz w:val="22"/>
              </w:rPr>
              <w:t> </w:t>
            </w:r>
            <w:r>
              <w:rPr>
                <w:color w:val="231F1F"/>
                <w:w w:val="105"/>
                <w:sz w:val="22"/>
              </w:rPr>
              <w:t>los</w:t>
            </w:r>
            <w:r>
              <w:rPr>
                <w:color w:val="231F1F"/>
                <w:spacing w:val="-10"/>
                <w:w w:val="105"/>
                <w:sz w:val="22"/>
              </w:rPr>
              <w:t> </w:t>
            </w:r>
            <w:r>
              <w:rPr>
                <w:color w:val="231F1F"/>
                <w:w w:val="105"/>
                <w:sz w:val="22"/>
              </w:rPr>
              <w:t>RN</w:t>
            </w:r>
            <w:r>
              <w:rPr>
                <w:color w:val="231F1F"/>
                <w:spacing w:val="-10"/>
                <w:w w:val="105"/>
                <w:sz w:val="22"/>
              </w:rPr>
              <w:t> </w:t>
            </w:r>
            <w:r>
              <w:rPr>
                <w:color w:val="231F1F"/>
                <w:w w:val="105"/>
                <w:sz w:val="22"/>
              </w:rPr>
              <w:t>(color,</w:t>
            </w:r>
            <w:r>
              <w:rPr>
                <w:color w:val="231F1F"/>
                <w:spacing w:val="-10"/>
                <w:w w:val="105"/>
                <w:sz w:val="22"/>
              </w:rPr>
              <w:t> </w:t>
            </w:r>
            <w:r>
              <w:rPr>
                <w:color w:val="231F1F"/>
                <w:w w:val="105"/>
                <w:sz w:val="22"/>
              </w:rPr>
              <w:t>movimientos</w:t>
            </w:r>
            <w:r>
              <w:rPr>
                <w:color w:val="231F1F"/>
                <w:spacing w:val="-10"/>
                <w:w w:val="105"/>
                <w:sz w:val="22"/>
              </w:rPr>
              <w:t> </w:t>
            </w:r>
            <w:r>
              <w:rPr>
                <w:color w:val="231F1F"/>
                <w:w w:val="105"/>
                <w:sz w:val="22"/>
              </w:rPr>
              <w:t>respiratorios,</w:t>
            </w:r>
            <w:r>
              <w:rPr>
                <w:color w:val="231F1F"/>
                <w:spacing w:val="-9"/>
                <w:w w:val="105"/>
                <w:sz w:val="22"/>
              </w:rPr>
              <w:t> </w:t>
            </w:r>
            <w:r>
              <w:rPr>
                <w:color w:val="231F1F"/>
                <w:w w:val="105"/>
                <w:sz w:val="22"/>
              </w:rPr>
              <w:t>tono</w:t>
            </w:r>
            <w:r>
              <w:rPr>
                <w:color w:val="231F1F"/>
                <w:spacing w:val="-10"/>
                <w:w w:val="105"/>
                <w:sz w:val="22"/>
              </w:rPr>
              <w:t> </w:t>
            </w:r>
            <w:r>
              <w:rPr>
                <w:color w:val="231F1F"/>
                <w:w w:val="105"/>
                <w:sz w:val="22"/>
              </w:rPr>
              <w:t>y,</w:t>
            </w:r>
            <w:r>
              <w:rPr>
                <w:color w:val="231F1F"/>
                <w:spacing w:val="-10"/>
                <w:w w:val="105"/>
                <w:sz w:val="22"/>
              </w:rPr>
              <w:t> </w:t>
            </w:r>
            <w:r>
              <w:rPr>
                <w:color w:val="231F1F"/>
                <w:w w:val="105"/>
                <w:sz w:val="22"/>
              </w:rPr>
              <w:t>si</w:t>
            </w:r>
            <w:r>
              <w:rPr>
                <w:color w:val="231F1F"/>
                <w:spacing w:val="-10"/>
                <w:w w:val="105"/>
                <w:sz w:val="22"/>
              </w:rPr>
              <w:t> </w:t>
            </w:r>
            <w:r>
              <w:rPr>
                <w:color w:val="231F1F"/>
                <w:w w:val="105"/>
                <w:sz w:val="22"/>
              </w:rPr>
              <w:t>es</w:t>
            </w:r>
            <w:r>
              <w:rPr>
                <w:color w:val="231F1F"/>
                <w:spacing w:val="-10"/>
                <w:w w:val="105"/>
                <w:sz w:val="22"/>
              </w:rPr>
              <w:t> </w:t>
            </w:r>
            <w:r>
              <w:rPr>
                <w:color w:val="231F1F"/>
                <w:w w:val="105"/>
                <w:sz w:val="22"/>
              </w:rPr>
              <w:t>preciso</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frecuencia cardiaca)</w:t>
            </w:r>
            <w:r>
              <w:rPr>
                <w:color w:val="231F1F"/>
                <w:spacing w:val="40"/>
                <w:w w:val="105"/>
                <w:sz w:val="22"/>
              </w:rPr>
              <w:t> </w:t>
            </w:r>
            <w:r>
              <w:rPr>
                <w:color w:val="231F1F"/>
                <w:w w:val="105"/>
                <w:sz w:val="22"/>
              </w:rPr>
              <w:t>alertando</w:t>
            </w:r>
            <w:r>
              <w:rPr>
                <w:color w:val="231F1F"/>
                <w:spacing w:val="40"/>
                <w:w w:val="105"/>
                <w:sz w:val="22"/>
              </w:rPr>
              <w:t> </w:t>
            </w:r>
            <w:r>
              <w:rPr>
                <w:color w:val="231F1F"/>
                <w:w w:val="105"/>
                <w:sz w:val="22"/>
              </w:rPr>
              <w:t>al</w:t>
            </w:r>
            <w:r>
              <w:rPr>
                <w:color w:val="231F1F"/>
                <w:spacing w:val="40"/>
                <w:w w:val="105"/>
                <w:sz w:val="22"/>
              </w:rPr>
              <w:t> </w:t>
            </w:r>
            <w:r>
              <w:rPr>
                <w:color w:val="231F1F"/>
                <w:w w:val="105"/>
                <w:sz w:val="22"/>
              </w:rPr>
              <w:t>especialista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cualquier</w:t>
            </w:r>
            <w:r>
              <w:rPr>
                <w:color w:val="231F1F"/>
                <w:spacing w:val="40"/>
                <w:w w:val="105"/>
                <w:sz w:val="22"/>
              </w:rPr>
              <w:t> </w:t>
            </w:r>
            <w:r>
              <w:rPr>
                <w:color w:val="231F1F"/>
                <w:w w:val="105"/>
                <w:sz w:val="22"/>
              </w:rPr>
              <w:t>cambio</w:t>
            </w:r>
            <w:r>
              <w:rPr>
                <w:color w:val="231F1F"/>
                <w:spacing w:val="40"/>
                <w:w w:val="105"/>
                <w:sz w:val="22"/>
              </w:rPr>
              <w:t> </w:t>
            </w:r>
            <w:r>
              <w:rPr>
                <w:color w:val="231F1F"/>
                <w:w w:val="105"/>
                <w:sz w:val="22"/>
              </w:rPr>
              <w:t>cardiorrespiratorio.</w:t>
            </w:r>
          </w:p>
        </w:tc>
      </w:tr>
    </w:tbl>
    <w:p>
      <w:pPr>
        <w:pStyle w:val="TableParagraph"/>
        <w:spacing w:after="0" w:line="249" w:lineRule="auto"/>
        <w:jc w:val="both"/>
        <w:rPr>
          <w:sz w:val="22"/>
        </w:rPr>
        <w:sectPr>
          <w:pgSz w:w="11900" w:h="16840"/>
          <w:pgMar w:header="0" w:footer="622" w:top="158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24" w:id="32"/>
      <w:r>
        <w:rPr>
          <w:color w:val="231F1F"/>
        </w:rPr>
        <w:t>Lactancia</w:t>
      </w:r>
      <w:r>
        <w:rPr>
          <w:color w:val="231F1F"/>
          <w:spacing w:val="50"/>
          <w:w w:val="150"/>
        </w:rPr>
        <w:t> </w:t>
      </w:r>
      <w:bookmarkEnd w:id="32"/>
      <w:r>
        <w:rPr>
          <w:color w:val="231F1F"/>
          <w:spacing w:val="-2"/>
        </w:rPr>
        <w:t>materna</w:t>
      </w:r>
    </w:p>
    <w:p>
      <w:pPr>
        <w:pStyle w:val="BodyText"/>
        <w:spacing w:before="26"/>
        <w:rPr>
          <w:sz w:val="20"/>
        </w:rPr>
      </w:pPr>
      <w:r>
        <w:rPr>
          <w:sz w:val="20"/>
        </w:rPr>
        <mc:AlternateContent>
          <mc:Choice Requires="wps">
            <w:drawing>
              <wp:anchor distT="0" distB="0" distL="0" distR="0" allowOverlap="1" layoutInCell="1" locked="0" behindDoc="1" simplePos="0" relativeHeight="487615488">
                <wp:simplePos x="0" y="0"/>
                <wp:positionH relativeFrom="page">
                  <wp:posOffset>1082675</wp:posOffset>
                </wp:positionH>
                <wp:positionV relativeFrom="paragraph">
                  <wp:posOffset>180997</wp:posOffset>
                </wp:positionV>
                <wp:extent cx="5400040" cy="262255"/>
                <wp:effectExtent l="0" t="0" r="0" b="0"/>
                <wp:wrapTopAndBottom/>
                <wp:docPr id="112" name="Textbox 112"/>
                <wp:cNvGraphicFramePr>
                  <a:graphicFrameLocks/>
                </wp:cNvGraphicFramePr>
                <a:graphic>
                  <a:graphicData uri="http://schemas.microsoft.com/office/word/2010/wordprocessingShape">
                    <wps:wsp>
                      <wps:cNvPr id="112" name="Textbox 112"/>
                      <wps:cNvSpPr txBox="1"/>
                      <wps:spPr>
                        <a:xfrm>
                          <a:off x="0" y="0"/>
                          <a:ext cx="5400040" cy="262255"/>
                        </a:xfrm>
                        <a:prstGeom prst="rect">
                          <a:avLst/>
                        </a:prstGeom>
                        <a:ln w="6350">
                          <a:solidFill>
                            <a:srgbClr val="A30046"/>
                          </a:solidFill>
                          <a:prstDash val="solid"/>
                        </a:ln>
                      </wps:spPr>
                      <wps:txbx>
                        <w:txbxContent>
                          <w:p>
                            <w:pPr>
                              <w:pStyle w:val="BodyText"/>
                              <w:numPr>
                                <w:ilvl w:val="0"/>
                                <w:numId w:val="56"/>
                              </w:numPr>
                              <w:tabs>
                                <w:tab w:pos="322" w:val="left" w:leader="none"/>
                              </w:tabs>
                              <w:spacing w:line="240" w:lineRule="auto" w:before="51" w:after="0"/>
                              <w:ind w:left="322" w:right="0" w:hanging="218"/>
                              <w:jc w:val="left"/>
                            </w:pPr>
                            <w:r>
                              <w:rPr>
                                <w:color w:val="231F1F"/>
                              </w:rPr>
                              <w:t>¿Es</w:t>
                            </w:r>
                            <w:r>
                              <w:rPr>
                                <w:color w:val="231F1F"/>
                                <w:spacing w:val="33"/>
                              </w:rPr>
                              <w:t> </w:t>
                            </w:r>
                            <w:r>
                              <w:rPr>
                                <w:color w:val="231F1F"/>
                              </w:rPr>
                              <w:t>recomendable</w:t>
                            </w:r>
                            <w:r>
                              <w:rPr>
                                <w:color w:val="231F1F"/>
                                <w:spacing w:val="33"/>
                              </w:rPr>
                              <w:t> </w:t>
                            </w:r>
                            <w:r>
                              <w:rPr>
                                <w:color w:val="231F1F"/>
                              </w:rPr>
                              <w:t>favorecer</w:t>
                            </w:r>
                            <w:r>
                              <w:rPr>
                                <w:color w:val="231F1F"/>
                                <w:spacing w:val="37"/>
                              </w:rPr>
                              <w:t> </w:t>
                            </w:r>
                            <w:r>
                              <w:rPr>
                                <w:color w:val="231F1F"/>
                              </w:rPr>
                              <w:t>que</w:t>
                            </w:r>
                            <w:r>
                              <w:rPr>
                                <w:color w:val="231F1F"/>
                                <w:spacing w:val="33"/>
                              </w:rPr>
                              <w:t> </w:t>
                            </w:r>
                            <w:r>
                              <w:rPr>
                                <w:color w:val="231F1F"/>
                              </w:rPr>
                              <w:t>el</w:t>
                            </w:r>
                            <w:r>
                              <w:rPr>
                                <w:color w:val="231F1F"/>
                                <w:spacing w:val="35"/>
                              </w:rPr>
                              <w:t> </w:t>
                            </w:r>
                            <w:r>
                              <w:rPr>
                                <w:color w:val="231F1F"/>
                              </w:rPr>
                              <w:t>RN</w:t>
                            </w:r>
                            <w:r>
                              <w:rPr>
                                <w:color w:val="231F1F"/>
                                <w:spacing w:val="35"/>
                              </w:rPr>
                              <w:t> </w:t>
                            </w:r>
                            <w:r>
                              <w:rPr>
                                <w:color w:val="231F1F"/>
                              </w:rPr>
                              <w:t>coja</w:t>
                            </w:r>
                            <w:r>
                              <w:rPr>
                                <w:color w:val="231F1F"/>
                                <w:spacing w:val="33"/>
                              </w:rPr>
                              <w:t> </w:t>
                            </w:r>
                            <w:r>
                              <w:rPr>
                                <w:color w:val="231F1F"/>
                              </w:rPr>
                              <w:t>el</w:t>
                            </w:r>
                            <w:r>
                              <w:rPr>
                                <w:color w:val="231F1F"/>
                                <w:spacing w:val="35"/>
                              </w:rPr>
                              <w:t> </w:t>
                            </w:r>
                            <w:r>
                              <w:rPr>
                                <w:color w:val="231F1F"/>
                              </w:rPr>
                              <w:t>pecho</w:t>
                            </w:r>
                            <w:r>
                              <w:rPr>
                                <w:color w:val="231F1F"/>
                                <w:spacing w:val="35"/>
                              </w:rPr>
                              <w:t> </w:t>
                            </w:r>
                            <w:r>
                              <w:rPr>
                                <w:color w:val="231F1F"/>
                                <w:spacing w:val="-2"/>
                              </w:rPr>
                              <w:t>espontáneamente?</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0992;mso-wrap-distance-left:0;mso-wrap-distance-right:0" type="#_x0000_t202" id="docshape101" filled="false" stroked="true" strokeweight=".5pt" strokecolor="#a30046">
                <v:textbox inset="0,0,0,0">
                  <w:txbxContent>
                    <w:p>
                      <w:pPr>
                        <w:pStyle w:val="BodyText"/>
                        <w:numPr>
                          <w:ilvl w:val="0"/>
                          <w:numId w:val="56"/>
                        </w:numPr>
                        <w:tabs>
                          <w:tab w:pos="322" w:val="left" w:leader="none"/>
                        </w:tabs>
                        <w:spacing w:line="240" w:lineRule="auto" w:before="51" w:after="0"/>
                        <w:ind w:left="322" w:right="0" w:hanging="218"/>
                        <w:jc w:val="left"/>
                      </w:pPr>
                      <w:r>
                        <w:rPr>
                          <w:color w:val="231F1F"/>
                        </w:rPr>
                        <w:t>¿Es</w:t>
                      </w:r>
                      <w:r>
                        <w:rPr>
                          <w:color w:val="231F1F"/>
                          <w:spacing w:val="33"/>
                        </w:rPr>
                        <w:t> </w:t>
                      </w:r>
                      <w:r>
                        <w:rPr>
                          <w:color w:val="231F1F"/>
                        </w:rPr>
                        <w:t>recomendable</w:t>
                      </w:r>
                      <w:r>
                        <w:rPr>
                          <w:color w:val="231F1F"/>
                          <w:spacing w:val="33"/>
                        </w:rPr>
                        <w:t> </w:t>
                      </w:r>
                      <w:r>
                        <w:rPr>
                          <w:color w:val="231F1F"/>
                        </w:rPr>
                        <w:t>favorecer</w:t>
                      </w:r>
                      <w:r>
                        <w:rPr>
                          <w:color w:val="231F1F"/>
                          <w:spacing w:val="37"/>
                        </w:rPr>
                        <w:t> </w:t>
                      </w:r>
                      <w:r>
                        <w:rPr>
                          <w:color w:val="231F1F"/>
                        </w:rPr>
                        <w:t>que</w:t>
                      </w:r>
                      <w:r>
                        <w:rPr>
                          <w:color w:val="231F1F"/>
                          <w:spacing w:val="33"/>
                        </w:rPr>
                        <w:t> </w:t>
                      </w:r>
                      <w:r>
                        <w:rPr>
                          <w:color w:val="231F1F"/>
                        </w:rPr>
                        <w:t>el</w:t>
                      </w:r>
                      <w:r>
                        <w:rPr>
                          <w:color w:val="231F1F"/>
                          <w:spacing w:val="35"/>
                        </w:rPr>
                        <w:t> </w:t>
                      </w:r>
                      <w:r>
                        <w:rPr>
                          <w:color w:val="231F1F"/>
                        </w:rPr>
                        <w:t>RN</w:t>
                      </w:r>
                      <w:r>
                        <w:rPr>
                          <w:color w:val="231F1F"/>
                          <w:spacing w:val="35"/>
                        </w:rPr>
                        <w:t> </w:t>
                      </w:r>
                      <w:r>
                        <w:rPr>
                          <w:color w:val="231F1F"/>
                        </w:rPr>
                        <w:t>coja</w:t>
                      </w:r>
                      <w:r>
                        <w:rPr>
                          <w:color w:val="231F1F"/>
                          <w:spacing w:val="33"/>
                        </w:rPr>
                        <w:t> </w:t>
                      </w:r>
                      <w:r>
                        <w:rPr>
                          <w:color w:val="231F1F"/>
                        </w:rPr>
                        <w:t>el</w:t>
                      </w:r>
                      <w:r>
                        <w:rPr>
                          <w:color w:val="231F1F"/>
                          <w:spacing w:val="35"/>
                        </w:rPr>
                        <w:t> </w:t>
                      </w:r>
                      <w:r>
                        <w:rPr>
                          <w:color w:val="231F1F"/>
                        </w:rPr>
                        <w:t>pecho</w:t>
                      </w:r>
                      <w:r>
                        <w:rPr>
                          <w:color w:val="231F1F"/>
                          <w:spacing w:val="35"/>
                        </w:rPr>
                        <w:t> </w:t>
                      </w:r>
                      <w:r>
                        <w:rPr>
                          <w:color w:val="231F1F"/>
                          <w:spacing w:val="-2"/>
                        </w:rPr>
                        <w:t>espontáneamente?</w:t>
                      </w:r>
                    </w:p>
                  </w:txbxContent>
                </v:textbox>
                <v:stroke dashstyle="solid"/>
                <w10:wrap type="topAndBottom"/>
              </v:shape>
            </w:pict>
          </mc:Fallback>
        </mc:AlternateContent>
      </w:r>
    </w:p>
    <w:p>
      <w:pPr>
        <w:pStyle w:val="BodyText"/>
        <w:spacing w:line="249" w:lineRule="auto" w:before="334"/>
        <w:ind w:left="283" w:right="107"/>
        <w:jc w:val="both"/>
      </w:pPr>
      <w:r>
        <w:rPr>
          <w:color w:val="231F1F"/>
          <w:w w:val="105"/>
        </w:rPr>
        <w:t>La</w:t>
      </w:r>
      <w:r>
        <w:rPr>
          <w:color w:val="231F1F"/>
          <w:spacing w:val="-3"/>
          <w:w w:val="105"/>
        </w:rPr>
        <w:t> </w:t>
      </w:r>
      <w:r>
        <w:rPr>
          <w:color w:val="231F1F"/>
          <w:w w:val="105"/>
        </w:rPr>
        <w:t>preocupación</w:t>
      </w:r>
      <w:r>
        <w:rPr>
          <w:color w:val="231F1F"/>
          <w:spacing w:val="-4"/>
          <w:w w:val="105"/>
        </w:rPr>
        <w:t> </w:t>
      </w:r>
      <w:r>
        <w:rPr>
          <w:color w:val="231F1F"/>
          <w:w w:val="105"/>
        </w:rPr>
        <w:t>por</w:t>
      </w:r>
      <w:r>
        <w:rPr>
          <w:color w:val="231F1F"/>
          <w:spacing w:val="-3"/>
          <w:w w:val="105"/>
        </w:rPr>
        <w:t> </w:t>
      </w:r>
      <w:r>
        <w:rPr>
          <w:color w:val="231F1F"/>
          <w:w w:val="105"/>
        </w:rPr>
        <w:t>facilitar</w:t>
      </w:r>
      <w:r>
        <w:rPr>
          <w:color w:val="231F1F"/>
          <w:spacing w:val="-3"/>
          <w:w w:val="105"/>
        </w:rPr>
        <w:t> </w:t>
      </w:r>
      <w:r>
        <w:rPr>
          <w:color w:val="231F1F"/>
          <w:w w:val="105"/>
        </w:rPr>
        <w:t>un</w:t>
      </w:r>
      <w:r>
        <w:rPr>
          <w:color w:val="231F1F"/>
          <w:spacing w:val="-3"/>
          <w:w w:val="105"/>
        </w:rPr>
        <w:t> </w:t>
      </w:r>
      <w:r>
        <w:rPr>
          <w:color w:val="231F1F"/>
          <w:w w:val="105"/>
        </w:rPr>
        <w:t>inicio</w:t>
      </w:r>
      <w:r>
        <w:rPr>
          <w:color w:val="231F1F"/>
          <w:spacing w:val="-3"/>
          <w:w w:val="105"/>
        </w:rPr>
        <w:t> </w:t>
      </w:r>
      <w:r>
        <w:rPr>
          <w:color w:val="231F1F"/>
          <w:w w:val="105"/>
        </w:rPr>
        <w:t>precoz</w:t>
      </w:r>
      <w:r>
        <w:rPr>
          <w:color w:val="231F1F"/>
          <w:spacing w:val="-4"/>
          <w:w w:val="105"/>
        </w:rPr>
        <w:t> </w:t>
      </w:r>
      <w:r>
        <w:rPr>
          <w:color w:val="231F1F"/>
          <w:w w:val="105"/>
        </w:rPr>
        <w:t>de</w:t>
      </w:r>
      <w:r>
        <w:rPr>
          <w:color w:val="231F1F"/>
          <w:spacing w:val="-3"/>
          <w:w w:val="105"/>
        </w:rPr>
        <w:t> </w:t>
      </w:r>
      <w:r>
        <w:rPr>
          <w:color w:val="231F1F"/>
          <w:w w:val="105"/>
        </w:rPr>
        <w:t>la</w:t>
      </w:r>
      <w:r>
        <w:rPr>
          <w:color w:val="231F1F"/>
          <w:spacing w:val="-3"/>
          <w:w w:val="105"/>
        </w:rPr>
        <w:t> </w:t>
      </w:r>
      <w:r>
        <w:rPr>
          <w:color w:val="231F1F"/>
          <w:w w:val="105"/>
        </w:rPr>
        <w:t>lactancia</w:t>
      </w:r>
      <w:r>
        <w:rPr>
          <w:color w:val="231F1F"/>
          <w:spacing w:val="-4"/>
          <w:w w:val="105"/>
        </w:rPr>
        <w:t> </w:t>
      </w:r>
      <w:r>
        <w:rPr>
          <w:color w:val="231F1F"/>
          <w:w w:val="105"/>
        </w:rPr>
        <w:t>ha</w:t>
      </w:r>
      <w:r>
        <w:rPr>
          <w:color w:val="231F1F"/>
          <w:spacing w:val="-3"/>
          <w:w w:val="105"/>
        </w:rPr>
        <w:t> </w:t>
      </w:r>
      <w:r>
        <w:rPr>
          <w:color w:val="231F1F"/>
          <w:w w:val="105"/>
        </w:rPr>
        <w:t>motivado</w:t>
      </w:r>
      <w:r>
        <w:rPr>
          <w:color w:val="231F1F"/>
          <w:spacing w:val="-4"/>
          <w:w w:val="105"/>
        </w:rPr>
        <w:t> </w:t>
      </w:r>
      <w:r>
        <w:rPr>
          <w:color w:val="231F1F"/>
          <w:w w:val="105"/>
        </w:rPr>
        <w:t>el</w:t>
      </w:r>
      <w:r>
        <w:rPr>
          <w:color w:val="231F1F"/>
          <w:spacing w:val="-4"/>
          <w:w w:val="105"/>
        </w:rPr>
        <w:t> </w:t>
      </w:r>
      <w:r>
        <w:rPr>
          <w:color w:val="231F1F"/>
          <w:w w:val="105"/>
        </w:rPr>
        <w:t>que,</w:t>
      </w:r>
      <w:r>
        <w:rPr>
          <w:color w:val="231F1F"/>
          <w:spacing w:val="-4"/>
          <w:w w:val="105"/>
        </w:rPr>
        <w:t> </w:t>
      </w:r>
      <w:r>
        <w:rPr>
          <w:color w:val="231F1F"/>
          <w:w w:val="105"/>
        </w:rPr>
        <w:t>en</w:t>
      </w:r>
      <w:r>
        <w:rPr>
          <w:color w:val="231F1F"/>
          <w:spacing w:val="-3"/>
          <w:w w:val="105"/>
        </w:rPr>
        <w:t> </w:t>
      </w:r>
      <w:r>
        <w:rPr>
          <w:color w:val="231F1F"/>
          <w:w w:val="105"/>
        </w:rPr>
        <w:t>muchos centros,</w:t>
      </w:r>
      <w:r>
        <w:rPr>
          <w:color w:val="231F1F"/>
          <w:spacing w:val="-2"/>
          <w:w w:val="105"/>
        </w:rPr>
        <w:t> </w:t>
      </w:r>
      <w:r>
        <w:rPr>
          <w:color w:val="231F1F"/>
          <w:w w:val="105"/>
        </w:rPr>
        <w:t>se</w:t>
      </w:r>
      <w:r>
        <w:rPr>
          <w:color w:val="231F1F"/>
          <w:spacing w:val="-3"/>
          <w:w w:val="105"/>
        </w:rPr>
        <w:t> </w:t>
      </w:r>
      <w:r>
        <w:rPr>
          <w:color w:val="231F1F"/>
          <w:w w:val="105"/>
        </w:rPr>
        <w:t>adopte</w:t>
      </w:r>
      <w:r>
        <w:rPr>
          <w:color w:val="231F1F"/>
          <w:spacing w:val="-2"/>
          <w:w w:val="105"/>
        </w:rPr>
        <w:t> </w:t>
      </w:r>
      <w:r>
        <w:rPr>
          <w:color w:val="231F1F"/>
          <w:w w:val="105"/>
        </w:rPr>
        <w:t>la</w:t>
      </w:r>
      <w:r>
        <w:rPr>
          <w:color w:val="231F1F"/>
          <w:spacing w:val="-3"/>
          <w:w w:val="105"/>
        </w:rPr>
        <w:t> </w:t>
      </w:r>
      <w:r>
        <w:rPr>
          <w:color w:val="231F1F"/>
          <w:w w:val="105"/>
        </w:rPr>
        <w:t>práctica</w:t>
      </w:r>
      <w:r>
        <w:rPr>
          <w:color w:val="231F1F"/>
          <w:spacing w:val="-3"/>
          <w:w w:val="105"/>
        </w:rPr>
        <w:t> </w:t>
      </w:r>
      <w:r>
        <w:rPr>
          <w:color w:val="231F1F"/>
          <w:w w:val="105"/>
        </w:rPr>
        <w:t>de</w:t>
      </w:r>
      <w:r>
        <w:rPr>
          <w:color w:val="231F1F"/>
          <w:spacing w:val="-3"/>
          <w:w w:val="105"/>
        </w:rPr>
        <w:t> </w:t>
      </w:r>
      <w:r>
        <w:rPr>
          <w:color w:val="231F1F"/>
          <w:w w:val="105"/>
        </w:rPr>
        <w:t>estimular</w:t>
      </w:r>
      <w:r>
        <w:rPr>
          <w:color w:val="231F1F"/>
          <w:spacing w:val="-2"/>
          <w:w w:val="105"/>
        </w:rPr>
        <w:t> </w:t>
      </w:r>
      <w:r>
        <w:rPr>
          <w:color w:val="231F1F"/>
          <w:w w:val="105"/>
        </w:rPr>
        <w:t>el</w:t>
      </w:r>
      <w:r>
        <w:rPr>
          <w:color w:val="231F1F"/>
          <w:spacing w:val="-3"/>
          <w:w w:val="105"/>
        </w:rPr>
        <w:t> </w:t>
      </w:r>
      <w:r>
        <w:rPr>
          <w:color w:val="231F1F"/>
          <w:w w:val="105"/>
        </w:rPr>
        <w:t>agarre</w:t>
      </w:r>
      <w:r>
        <w:rPr>
          <w:color w:val="231F1F"/>
          <w:spacing w:val="-3"/>
          <w:w w:val="105"/>
        </w:rPr>
        <w:t> </w:t>
      </w:r>
      <w:r>
        <w:rPr>
          <w:color w:val="231F1F"/>
          <w:w w:val="105"/>
        </w:rPr>
        <w:t>al</w:t>
      </w:r>
      <w:r>
        <w:rPr>
          <w:color w:val="231F1F"/>
          <w:spacing w:val="-3"/>
          <w:w w:val="105"/>
        </w:rPr>
        <w:t> </w:t>
      </w:r>
      <w:r>
        <w:rPr>
          <w:color w:val="231F1F"/>
          <w:w w:val="105"/>
        </w:rPr>
        <w:t>pecho</w:t>
      </w:r>
      <w:r>
        <w:rPr>
          <w:color w:val="231F1F"/>
          <w:spacing w:val="-3"/>
          <w:w w:val="105"/>
        </w:rPr>
        <w:t> </w:t>
      </w:r>
      <w:r>
        <w:rPr>
          <w:color w:val="231F1F"/>
          <w:w w:val="105"/>
        </w:rPr>
        <w:t>en</w:t>
      </w:r>
      <w:r>
        <w:rPr>
          <w:color w:val="231F1F"/>
          <w:spacing w:val="-2"/>
          <w:w w:val="105"/>
        </w:rPr>
        <w:t> </w:t>
      </w:r>
      <w:r>
        <w:rPr>
          <w:color w:val="231F1F"/>
          <w:w w:val="105"/>
        </w:rPr>
        <w:t>la</w:t>
      </w:r>
      <w:r>
        <w:rPr>
          <w:color w:val="231F1F"/>
          <w:spacing w:val="-3"/>
          <w:w w:val="105"/>
        </w:rPr>
        <w:t> </w:t>
      </w:r>
      <w:r>
        <w:rPr>
          <w:color w:val="231F1F"/>
          <w:w w:val="105"/>
        </w:rPr>
        <w:t>sala</w:t>
      </w:r>
      <w:r>
        <w:rPr>
          <w:color w:val="231F1F"/>
          <w:spacing w:val="-3"/>
          <w:w w:val="105"/>
        </w:rPr>
        <w:t> </w:t>
      </w:r>
      <w:r>
        <w:rPr>
          <w:color w:val="231F1F"/>
          <w:w w:val="105"/>
        </w:rPr>
        <w:t>de</w:t>
      </w:r>
      <w:r>
        <w:rPr>
          <w:color w:val="231F1F"/>
          <w:spacing w:val="-3"/>
          <w:w w:val="105"/>
        </w:rPr>
        <w:t> </w:t>
      </w:r>
      <w:r>
        <w:rPr>
          <w:color w:val="231F1F"/>
          <w:w w:val="105"/>
        </w:rPr>
        <w:t>partos,</w:t>
      </w:r>
      <w:r>
        <w:rPr>
          <w:color w:val="231F1F"/>
          <w:spacing w:val="-3"/>
          <w:w w:val="105"/>
        </w:rPr>
        <w:t> </w:t>
      </w:r>
      <w:r>
        <w:rPr>
          <w:color w:val="231F1F"/>
          <w:w w:val="105"/>
        </w:rPr>
        <w:t>de</w:t>
      </w:r>
      <w:r>
        <w:rPr>
          <w:color w:val="231F1F"/>
          <w:spacing w:val="-3"/>
          <w:w w:val="105"/>
        </w:rPr>
        <w:t> </w:t>
      </w:r>
      <w:r>
        <w:rPr>
          <w:color w:val="231F1F"/>
          <w:w w:val="105"/>
        </w:rPr>
        <w:t>la</w:t>
      </w:r>
      <w:r>
        <w:rPr>
          <w:color w:val="231F1F"/>
          <w:spacing w:val="-3"/>
          <w:w w:val="105"/>
        </w:rPr>
        <w:t> </w:t>
      </w:r>
      <w:r>
        <w:rPr>
          <w:color w:val="231F1F"/>
          <w:w w:val="105"/>
        </w:rPr>
        <w:t>forma clásica. Sin embargo, se está proponiendo esperar a que el RN se encuentre preparado para iniciar la succión y que sea la propia criatura quién encuentre el pezón y se afiance al pecho espontáneamente. De esta forma, se respetaría mejor el proceso de adaptación de los recién nacidos y se facilitaría un agarre al pecho correcto.</w:t>
      </w:r>
    </w:p>
    <w:p>
      <w:pPr>
        <w:pStyle w:val="BodyText"/>
        <w:spacing w:before="169"/>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line="244" w:lineRule="auto" w:before="205"/>
        <w:ind w:left="283" w:right="1369"/>
        <w:jc w:val="both"/>
      </w:pPr>
      <w:r>
        <w:rPr>
          <w:color w:val="231F1F"/>
          <w:w w:val="110"/>
        </w:rPr>
        <w:t>La</w:t>
      </w:r>
      <w:r>
        <w:rPr>
          <w:color w:val="231F1F"/>
          <w:spacing w:val="-6"/>
          <w:w w:val="110"/>
        </w:rPr>
        <w:t> </w:t>
      </w:r>
      <w:r>
        <w:rPr>
          <w:color w:val="231F1F"/>
          <w:w w:val="110"/>
        </w:rPr>
        <w:t>guía</w:t>
      </w:r>
      <w:r>
        <w:rPr>
          <w:color w:val="231F1F"/>
          <w:spacing w:val="-6"/>
          <w:w w:val="110"/>
        </w:rPr>
        <w:t> </w:t>
      </w:r>
      <w:r>
        <w:rPr>
          <w:color w:val="231F1F"/>
          <w:w w:val="110"/>
        </w:rPr>
        <w:t>NICE</w:t>
      </w:r>
      <w:r>
        <w:rPr>
          <w:color w:val="231F1F"/>
          <w:spacing w:val="-6"/>
          <w:w w:val="110"/>
        </w:rPr>
        <w:t> </w:t>
      </w:r>
      <w:r>
        <w:rPr>
          <w:color w:val="231F1F"/>
          <w:w w:val="110"/>
        </w:rPr>
        <w:t>(10)</w:t>
      </w:r>
      <w:r>
        <w:rPr>
          <w:color w:val="231F1F"/>
          <w:spacing w:val="-6"/>
          <w:w w:val="110"/>
        </w:rPr>
        <w:t> </w:t>
      </w:r>
      <w:r>
        <w:rPr>
          <w:color w:val="231F1F"/>
          <w:w w:val="110"/>
        </w:rPr>
        <w:t>en</w:t>
      </w:r>
      <w:r>
        <w:rPr>
          <w:color w:val="231F1F"/>
          <w:spacing w:val="-6"/>
          <w:w w:val="110"/>
        </w:rPr>
        <w:t> </w:t>
      </w:r>
      <w:r>
        <w:rPr>
          <w:color w:val="231F1F"/>
          <w:w w:val="110"/>
        </w:rPr>
        <w:t>su</w:t>
      </w:r>
      <w:r>
        <w:rPr>
          <w:color w:val="231F1F"/>
          <w:spacing w:val="-6"/>
          <w:w w:val="110"/>
        </w:rPr>
        <w:t> </w:t>
      </w:r>
      <w:r>
        <w:rPr>
          <w:color w:val="231F1F"/>
          <w:w w:val="110"/>
        </w:rPr>
        <w:t>apartado</w:t>
      </w:r>
      <w:r>
        <w:rPr>
          <w:color w:val="231F1F"/>
          <w:spacing w:val="-6"/>
          <w:w w:val="110"/>
        </w:rPr>
        <w:t> </w:t>
      </w:r>
      <w:r>
        <w:rPr>
          <w:color w:val="231F1F"/>
          <w:w w:val="110"/>
        </w:rPr>
        <w:t>sobre</w:t>
      </w:r>
      <w:r>
        <w:rPr>
          <w:color w:val="231F1F"/>
          <w:spacing w:val="-6"/>
          <w:w w:val="110"/>
        </w:rPr>
        <w:t> </w:t>
      </w:r>
      <w:r>
        <w:rPr>
          <w:color w:val="231F1F"/>
          <w:w w:val="110"/>
        </w:rPr>
        <w:t>«Vínculo</w:t>
      </w:r>
      <w:r>
        <w:rPr>
          <w:color w:val="231F1F"/>
          <w:spacing w:val="-6"/>
          <w:w w:val="110"/>
        </w:rPr>
        <w:t> </w:t>
      </w:r>
      <w:r>
        <w:rPr>
          <w:color w:val="231F1F"/>
          <w:w w:val="110"/>
        </w:rPr>
        <w:t>madre-niño</w:t>
      </w:r>
      <w:r>
        <w:rPr>
          <w:color w:val="231F1F"/>
          <w:spacing w:val="-6"/>
          <w:w w:val="110"/>
        </w:rPr>
        <w:t> </w:t>
      </w:r>
      <w:r>
        <w:rPr>
          <w:color w:val="231F1F"/>
          <w:w w:val="110"/>
        </w:rPr>
        <w:t>y</w:t>
      </w:r>
      <w:r>
        <w:rPr>
          <w:color w:val="231F1F"/>
          <w:spacing w:val="-6"/>
          <w:w w:val="110"/>
        </w:rPr>
        <w:t> </w:t>
      </w:r>
      <w:r>
        <w:rPr>
          <w:color w:val="231F1F"/>
          <w:w w:val="110"/>
        </w:rPr>
        <w:t>promoción de</w:t>
      </w:r>
      <w:r>
        <w:rPr>
          <w:color w:val="231F1F"/>
          <w:spacing w:val="-13"/>
          <w:w w:val="110"/>
        </w:rPr>
        <w:t> </w:t>
      </w:r>
      <w:r>
        <w:rPr>
          <w:color w:val="231F1F"/>
          <w:w w:val="110"/>
        </w:rPr>
        <w:t>la</w:t>
      </w:r>
      <w:r>
        <w:rPr>
          <w:color w:val="231F1F"/>
          <w:spacing w:val="-13"/>
          <w:w w:val="110"/>
        </w:rPr>
        <w:t> </w:t>
      </w:r>
      <w:r>
        <w:rPr>
          <w:color w:val="231F1F"/>
          <w:w w:val="110"/>
        </w:rPr>
        <w:t>lactancia</w:t>
      </w:r>
      <w:r>
        <w:rPr>
          <w:color w:val="231F1F"/>
          <w:spacing w:val="-12"/>
          <w:w w:val="110"/>
        </w:rPr>
        <w:t> </w:t>
      </w:r>
      <w:r>
        <w:rPr>
          <w:color w:val="231F1F"/>
          <w:w w:val="110"/>
        </w:rPr>
        <w:t>materna»,</w:t>
      </w:r>
      <w:r>
        <w:rPr>
          <w:color w:val="231F1F"/>
          <w:spacing w:val="-13"/>
          <w:w w:val="110"/>
        </w:rPr>
        <w:t> </w:t>
      </w:r>
      <w:r>
        <w:rPr>
          <w:color w:val="231F1F"/>
          <w:w w:val="110"/>
        </w:rPr>
        <w:t>utiliza</w:t>
      </w:r>
      <w:r>
        <w:rPr>
          <w:color w:val="231F1F"/>
          <w:spacing w:val="-13"/>
          <w:w w:val="110"/>
        </w:rPr>
        <w:t> </w:t>
      </w:r>
      <w:r>
        <w:rPr>
          <w:color w:val="231F1F"/>
          <w:w w:val="110"/>
        </w:rPr>
        <w:t>las</w:t>
      </w:r>
      <w:r>
        <w:rPr>
          <w:color w:val="231F1F"/>
          <w:spacing w:val="-13"/>
          <w:w w:val="110"/>
        </w:rPr>
        <w:t> </w:t>
      </w:r>
      <w:r>
        <w:rPr>
          <w:color w:val="231F1F"/>
          <w:w w:val="110"/>
        </w:rPr>
        <w:t>recomendaciones</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guía</w:t>
      </w:r>
      <w:r>
        <w:rPr>
          <w:color w:val="231F1F"/>
          <w:spacing w:val="-13"/>
          <w:w w:val="110"/>
        </w:rPr>
        <w:t> </w:t>
      </w:r>
      <w:r>
        <w:rPr>
          <w:color w:val="231F1F"/>
          <w:w w:val="110"/>
        </w:rPr>
        <w:t>realizada</w:t>
      </w:r>
      <w:r>
        <w:rPr>
          <w:color w:val="231F1F"/>
          <w:spacing w:val="-13"/>
          <w:w w:val="110"/>
        </w:rPr>
        <w:t> </w:t>
      </w:r>
      <w:r>
        <w:rPr>
          <w:color w:val="231F1F"/>
          <w:w w:val="110"/>
        </w:rPr>
        <w:t>en el</w:t>
      </w:r>
      <w:r>
        <w:rPr>
          <w:color w:val="231F1F"/>
          <w:spacing w:val="-16"/>
          <w:w w:val="110"/>
        </w:rPr>
        <w:t> </w:t>
      </w:r>
      <w:r>
        <w:rPr>
          <w:color w:val="231F1F"/>
          <w:w w:val="110"/>
        </w:rPr>
        <w:t>año</w:t>
      </w:r>
      <w:r>
        <w:rPr>
          <w:color w:val="231F1F"/>
          <w:spacing w:val="-15"/>
          <w:w w:val="110"/>
        </w:rPr>
        <w:t> </w:t>
      </w:r>
      <w:r>
        <w:rPr>
          <w:color w:val="231F1F"/>
          <w:w w:val="110"/>
        </w:rPr>
        <w:t>2006</w:t>
      </w:r>
      <w:r>
        <w:rPr>
          <w:color w:val="231F1F"/>
          <w:spacing w:val="-15"/>
          <w:w w:val="110"/>
        </w:rPr>
        <w:t> </w:t>
      </w:r>
      <w:r>
        <w:rPr>
          <w:color w:val="231F1F"/>
          <w:w w:val="110"/>
        </w:rPr>
        <w:t>y</w:t>
      </w:r>
      <w:r>
        <w:rPr>
          <w:color w:val="231F1F"/>
          <w:spacing w:val="-15"/>
          <w:w w:val="110"/>
        </w:rPr>
        <w:t> </w:t>
      </w:r>
      <w:r>
        <w:rPr>
          <w:color w:val="231F1F"/>
          <w:w w:val="110"/>
        </w:rPr>
        <w:t>titulada</w:t>
      </w:r>
      <w:r>
        <w:rPr>
          <w:color w:val="231F1F"/>
          <w:spacing w:val="-15"/>
          <w:w w:val="110"/>
        </w:rPr>
        <w:t> </w:t>
      </w:r>
      <w:r>
        <w:rPr>
          <w:color w:val="231F1F"/>
          <w:w w:val="110"/>
        </w:rPr>
        <w:t>«Postnatal</w:t>
      </w:r>
      <w:r>
        <w:rPr>
          <w:color w:val="231F1F"/>
          <w:spacing w:val="-15"/>
          <w:w w:val="110"/>
        </w:rPr>
        <w:t> </w:t>
      </w:r>
      <w:r>
        <w:rPr>
          <w:color w:val="231F1F"/>
          <w:w w:val="110"/>
        </w:rPr>
        <w:t>Care:</w:t>
      </w:r>
      <w:r>
        <w:rPr>
          <w:color w:val="231F1F"/>
          <w:spacing w:val="-15"/>
          <w:w w:val="110"/>
        </w:rPr>
        <w:t> </w:t>
      </w:r>
      <w:r>
        <w:rPr>
          <w:color w:val="231F1F"/>
          <w:w w:val="110"/>
        </w:rPr>
        <w:t>Routine</w:t>
      </w:r>
      <w:r>
        <w:rPr>
          <w:color w:val="231F1F"/>
          <w:spacing w:val="-15"/>
          <w:w w:val="110"/>
        </w:rPr>
        <w:t> </w:t>
      </w:r>
      <w:r>
        <w:rPr>
          <w:color w:val="231F1F"/>
          <w:w w:val="110"/>
        </w:rPr>
        <w:t>postnatal</w:t>
      </w:r>
      <w:r>
        <w:rPr>
          <w:color w:val="231F1F"/>
          <w:spacing w:val="-16"/>
          <w:w w:val="110"/>
        </w:rPr>
        <w:t> </w:t>
      </w:r>
      <w:r>
        <w:rPr>
          <w:color w:val="231F1F"/>
          <w:w w:val="110"/>
        </w:rPr>
        <w:t>care</w:t>
      </w:r>
      <w:r>
        <w:rPr>
          <w:color w:val="231F1F"/>
          <w:spacing w:val="-15"/>
          <w:w w:val="110"/>
        </w:rPr>
        <w:t> </w:t>
      </w:r>
      <w:r>
        <w:rPr>
          <w:color w:val="231F1F"/>
          <w:w w:val="110"/>
        </w:rPr>
        <w:t>of</w:t>
      </w:r>
      <w:r>
        <w:rPr>
          <w:color w:val="231F1F"/>
          <w:spacing w:val="-15"/>
          <w:w w:val="110"/>
        </w:rPr>
        <w:t> </w:t>
      </w:r>
      <w:r>
        <w:rPr>
          <w:color w:val="231F1F"/>
          <w:w w:val="110"/>
        </w:rPr>
        <w:t>women</w:t>
      </w:r>
      <w:r>
        <w:rPr>
          <w:color w:val="231F1F"/>
          <w:spacing w:val="-15"/>
          <w:w w:val="110"/>
        </w:rPr>
        <w:t> </w:t>
      </w:r>
      <w:r>
        <w:rPr>
          <w:color w:val="231F1F"/>
          <w:w w:val="110"/>
        </w:rPr>
        <w:t>and their babies» (227).</w:t>
      </w:r>
    </w:p>
    <w:p>
      <w:pPr>
        <w:pStyle w:val="BodyText"/>
        <w:tabs>
          <w:tab w:pos="8060" w:val="left" w:leader="none"/>
          <w:tab w:pos="8096" w:val="left" w:leader="none"/>
        </w:tabs>
        <w:spacing w:line="249" w:lineRule="auto" w:before="101"/>
        <w:ind w:left="283" w:right="547" w:firstLine="453"/>
      </w:pPr>
      <w:r>
        <w:rPr>
          <w:color w:val="231F1F"/>
          <w:w w:val="110"/>
        </w:rPr>
        <w:t>En esta guía se dice que aunque no se ha llegado a analizar si el momen-</w:t>
      </w:r>
      <w:r>
        <w:rPr>
          <w:color w:val="231F1F"/>
        </w:rPr>
        <w:tab/>
        <w:tab/>
      </w:r>
      <w:r>
        <w:rPr>
          <w:rFonts w:ascii="Arial MT" w:hAnsi="Arial MT"/>
          <w:color w:val="231F1F"/>
          <w:spacing w:val="-6"/>
          <w:w w:val="110"/>
          <w:sz w:val="18"/>
        </w:rPr>
        <w:t>RS </w:t>
      </w:r>
      <w:r>
        <w:rPr>
          <w:color w:val="231F1F"/>
          <w:w w:val="110"/>
        </w:rPr>
        <w:t>to de la primera lactancia es importante, existen estudios como el (236) pu-</w:t>
      </w:r>
      <w:r>
        <w:rPr>
          <w:color w:val="231F1F"/>
        </w:rPr>
        <w:tab/>
      </w:r>
      <w:r>
        <w:rPr>
          <w:rFonts w:ascii="Arial MT" w:hAnsi="Arial MT"/>
          <w:color w:val="231F1F"/>
          <w:spacing w:val="-12"/>
          <w:w w:val="110"/>
          <w:position w:val="4"/>
          <w:sz w:val="18"/>
        </w:rPr>
        <w:t>1++ </w:t>
      </w:r>
      <w:r>
        <w:rPr>
          <w:color w:val="231F1F"/>
          <w:w w:val="110"/>
        </w:rPr>
        <w:t>blicado en el año 2005 que concluye diciendo que un comienzo precoz de la lactancia favorece una mayor relación entre madre e hijo.</w:t>
      </w:r>
    </w:p>
    <w:p>
      <w:pPr>
        <w:pStyle w:val="BodyText"/>
        <w:spacing w:before="86"/>
        <w:ind w:left="736"/>
        <w:rPr>
          <w:rFonts w:ascii="Arial MT"/>
          <w:sz w:val="18"/>
        </w:rPr>
      </w:pPr>
      <w:r>
        <w:rPr>
          <w:color w:val="231F1F"/>
          <w:w w:val="105"/>
        </w:rPr>
        <w:t>En</w:t>
      </w:r>
      <w:r>
        <w:rPr>
          <w:color w:val="231F1F"/>
          <w:spacing w:val="-15"/>
          <w:w w:val="105"/>
        </w:rPr>
        <w:t> </w:t>
      </w:r>
      <w:r>
        <w:rPr>
          <w:color w:val="231F1F"/>
          <w:w w:val="105"/>
        </w:rPr>
        <w:t>cuanto</w:t>
      </w:r>
      <w:r>
        <w:rPr>
          <w:color w:val="231F1F"/>
          <w:spacing w:val="-14"/>
          <w:w w:val="105"/>
        </w:rPr>
        <w:t> </w:t>
      </w:r>
      <w:r>
        <w:rPr>
          <w:color w:val="231F1F"/>
          <w:w w:val="105"/>
        </w:rPr>
        <w:t>al</w:t>
      </w:r>
      <w:r>
        <w:rPr>
          <w:color w:val="231F1F"/>
          <w:spacing w:val="-15"/>
          <w:w w:val="105"/>
        </w:rPr>
        <w:t> </w:t>
      </w:r>
      <w:r>
        <w:rPr>
          <w:color w:val="231F1F"/>
          <w:w w:val="105"/>
        </w:rPr>
        <w:t>inicio</w:t>
      </w:r>
      <w:r>
        <w:rPr>
          <w:color w:val="231F1F"/>
          <w:spacing w:val="-14"/>
          <w:w w:val="105"/>
        </w:rPr>
        <w:t> </w:t>
      </w:r>
      <w:r>
        <w:rPr>
          <w:color w:val="231F1F"/>
          <w:w w:val="105"/>
        </w:rPr>
        <w:t>de</w:t>
      </w:r>
      <w:r>
        <w:rPr>
          <w:color w:val="231F1F"/>
          <w:spacing w:val="-15"/>
          <w:w w:val="105"/>
        </w:rPr>
        <w:t> </w:t>
      </w:r>
      <w:r>
        <w:rPr>
          <w:color w:val="231F1F"/>
          <w:w w:val="105"/>
        </w:rPr>
        <w:t>la</w:t>
      </w:r>
      <w:r>
        <w:rPr>
          <w:color w:val="231F1F"/>
          <w:spacing w:val="-14"/>
          <w:w w:val="105"/>
        </w:rPr>
        <w:t> </w:t>
      </w:r>
      <w:r>
        <w:rPr>
          <w:color w:val="231F1F"/>
          <w:w w:val="105"/>
        </w:rPr>
        <w:t>lactancia</w:t>
      </w:r>
      <w:r>
        <w:rPr>
          <w:color w:val="231F1F"/>
          <w:spacing w:val="-15"/>
          <w:w w:val="105"/>
        </w:rPr>
        <w:t> </w:t>
      </w:r>
      <w:r>
        <w:rPr>
          <w:color w:val="231F1F"/>
          <w:w w:val="105"/>
        </w:rPr>
        <w:t>incluye</w:t>
      </w:r>
      <w:r>
        <w:rPr>
          <w:color w:val="231F1F"/>
          <w:spacing w:val="-14"/>
          <w:w w:val="105"/>
        </w:rPr>
        <w:t> </w:t>
      </w:r>
      <w:r>
        <w:rPr>
          <w:color w:val="231F1F"/>
          <w:w w:val="105"/>
        </w:rPr>
        <w:t>los</w:t>
      </w:r>
      <w:r>
        <w:rPr>
          <w:color w:val="231F1F"/>
          <w:spacing w:val="-14"/>
          <w:w w:val="105"/>
        </w:rPr>
        <w:t> </w:t>
      </w:r>
      <w:r>
        <w:rPr>
          <w:color w:val="231F1F"/>
          <w:w w:val="105"/>
        </w:rPr>
        <w:t>siguientes</w:t>
      </w:r>
      <w:r>
        <w:rPr>
          <w:color w:val="231F1F"/>
          <w:spacing w:val="-15"/>
          <w:w w:val="105"/>
        </w:rPr>
        <w:t> </w:t>
      </w:r>
      <w:r>
        <w:rPr>
          <w:color w:val="231F1F"/>
          <w:w w:val="105"/>
        </w:rPr>
        <w:t>estudios:</w:t>
      </w:r>
      <w:r>
        <w:rPr>
          <w:color w:val="231F1F"/>
          <w:spacing w:val="-14"/>
          <w:w w:val="105"/>
        </w:rPr>
        <w:t> </w:t>
      </w:r>
      <w:r>
        <w:rPr>
          <w:color w:val="231F1F"/>
          <w:w w:val="105"/>
        </w:rPr>
        <w:t>una</w:t>
      </w:r>
      <w:r>
        <w:rPr>
          <w:color w:val="231F1F"/>
          <w:spacing w:val="-15"/>
          <w:w w:val="105"/>
        </w:rPr>
        <w:t> </w:t>
      </w:r>
      <w:r>
        <w:rPr>
          <w:color w:val="231F1F"/>
          <w:w w:val="105"/>
        </w:rPr>
        <w:t>RS</w:t>
      </w:r>
      <w:r>
        <w:rPr>
          <w:color w:val="231F1F"/>
          <w:spacing w:val="25"/>
          <w:w w:val="105"/>
        </w:rPr>
        <w:t>  </w:t>
      </w:r>
      <w:r>
        <w:rPr>
          <w:rFonts w:ascii="Arial MT"/>
          <w:color w:val="231F1F"/>
          <w:w w:val="105"/>
          <w:sz w:val="18"/>
        </w:rPr>
        <w:t>RS</w:t>
      </w:r>
      <w:r>
        <w:rPr>
          <w:rFonts w:ascii="Arial MT"/>
          <w:color w:val="231F1F"/>
          <w:spacing w:val="3"/>
          <w:w w:val="105"/>
          <w:sz w:val="18"/>
        </w:rPr>
        <w:t> </w:t>
      </w:r>
      <w:r>
        <w:rPr>
          <w:rFonts w:ascii="Arial MT"/>
          <w:color w:val="231F1F"/>
          <w:w w:val="105"/>
          <w:sz w:val="18"/>
        </w:rPr>
        <w:t>de</w:t>
      </w:r>
      <w:r>
        <w:rPr>
          <w:rFonts w:ascii="Arial MT"/>
          <w:color w:val="231F1F"/>
          <w:spacing w:val="3"/>
          <w:w w:val="105"/>
          <w:sz w:val="18"/>
        </w:rPr>
        <w:t> </w:t>
      </w:r>
      <w:r>
        <w:rPr>
          <w:rFonts w:ascii="Arial MT"/>
          <w:color w:val="231F1F"/>
          <w:spacing w:val="-4"/>
          <w:w w:val="105"/>
          <w:sz w:val="18"/>
        </w:rPr>
        <w:t>ECAs</w:t>
      </w:r>
    </w:p>
    <w:p>
      <w:pPr>
        <w:pStyle w:val="BodyText"/>
        <w:tabs>
          <w:tab w:pos="7959" w:val="left" w:leader="none"/>
        </w:tabs>
        <w:spacing w:before="3"/>
        <w:ind w:left="283"/>
        <w:rPr>
          <w:rFonts w:ascii="Arial MT"/>
          <w:position w:val="4"/>
          <w:sz w:val="18"/>
        </w:rPr>
      </w:pPr>
      <w:r>
        <w:rPr>
          <w:color w:val="231F1F"/>
          <w:w w:val="110"/>
        </w:rPr>
        <w:t>Cochrane</w:t>
      </w:r>
      <w:r>
        <w:rPr>
          <w:color w:val="231F1F"/>
          <w:spacing w:val="-10"/>
          <w:w w:val="110"/>
        </w:rPr>
        <w:t> </w:t>
      </w:r>
      <w:r>
        <w:rPr>
          <w:color w:val="231F1F"/>
          <w:w w:val="110"/>
        </w:rPr>
        <w:t>de</w:t>
      </w:r>
      <w:r>
        <w:rPr>
          <w:color w:val="231F1F"/>
          <w:spacing w:val="-7"/>
          <w:w w:val="110"/>
        </w:rPr>
        <w:t> </w:t>
      </w:r>
      <w:r>
        <w:rPr>
          <w:color w:val="231F1F"/>
          <w:w w:val="110"/>
        </w:rPr>
        <w:t>Anderson</w:t>
      </w:r>
      <w:r>
        <w:rPr>
          <w:color w:val="231F1F"/>
          <w:spacing w:val="-9"/>
          <w:w w:val="110"/>
        </w:rPr>
        <w:t> </w:t>
      </w:r>
      <w:r>
        <w:rPr>
          <w:color w:val="231F1F"/>
          <w:w w:val="110"/>
        </w:rPr>
        <w:t>et</w:t>
      </w:r>
      <w:r>
        <w:rPr>
          <w:color w:val="231F1F"/>
          <w:spacing w:val="-7"/>
          <w:w w:val="110"/>
        </w:rPr>
        <w:t> </w:t>
      </w:r>
      <w:r>
        <w:rPr>
          <w:color w:val="231F1F"/>
          <w:w w:val="110"/>
        </w:rPr>
        <w:t>al</w:t>
      </w:r>
      <w:r>
        <w:rPr>
          <w:color w:val="231F1F"/>
          <w:spacing w:val="-9"/>
          <w:w w:val="110"/>
        </w:rPr>
        <w:t> </w:t>
      </w:r>
      <w:r>
        <w:rPr>
          <w:color w:val="231F1F"/>
          <w:w w:val="110"/>
        </w:rPr>
        <w:t>2003</w:t>
      </w:r>
      <w:r>
        <w:rPr>
          <w:color w:val="231F1F"/>
          <w:spacing w:val="-7"/>
          <w:w w:val="110"/>
        </w:rPr>
        <w:t> </w:t>
      </w:r>
      <w:r>
        <w:rPr>
          <w:color w:val="231F1F"/>
          <w:w w:val="110"/>
        </w:rPr>
        <w:t>(228)</w:t>
      </w:r>
      <w:r>
        <w:rPr>
          <w:color w:val="231F1F"/>
          <w:spacing w:val="-9"/>
          <w:w w:val="110"/>
        </w:rPr>
        <w:t> </w:t>
      </w:r>
      <w:r>
        <w:rPr>
          <w:color w:val="231F1F"/>
          <w:w w:val="110"/>
        </w:rPr>
        <w:t>en</w:t>
      </w:r>
      <w:r>
        <w:rPr>
          <w:color w:val="231F1F"/>
          <w:spacing w:val="-7"/>
          <w:w w:val="110"/>
        </w:rPr>
        <w:t> </w:t>
      </w:r>
      <w:r>
        <w:rPr>
          <w:color w:val="231F1F"/>
          <w:w w:val="110"/>
        </w:rPr>
        <w:t>la</w:t>
      </w:r>
      <w:r>
        <w:rPr>
          <w:color w:val="231F1F"/>
          <w:spacing w:val="-9"/>
          <w:w w:val="110"/>
        </w:rPr>
        <w:t> </w:t>
      </w:r>
      <w:r>
        <w:rPr>
          <w:color w:val="231F1F"/>
          <w:w w:val="110"/>
        </w:rPr>
        <w:t>que</w:t>
      </w:r>
      <w:r>
        <w:rPr>
          <w:color w:val="231F1F"/>
          <w:spacing w:val="-7"/>
          <w:w w:val="110"/>
        </w:rPr>
        <w:t> </w:t>
      </w:r>
      <w:r>
        <w:rPr>
          <w:color w:val="231F1F"/>
          <w:w w:val="110"/>
        </w:rPr>
        <w:t>se</w:t>
      </w:r>
      <w:r>
        <w:rPr>
          <w:color w:val="231F1F"/>
          <w:spacing w:val="-9"/>
          <w:w w:val="110"/>
        </w:rPr>
        <w:t> </w:t>
      </w:r>
      <w:r>
        <w:rPr>
          <w:color w:val="231F1F"/>
          <w:w w:val="110"/>
        </w:rPr>
        <w:t>concluye</w:t>
      </w:r>
      <w:r>
        <w:rPr>
          <w:color w:val="231F1F"/>
          <w:spacing w:val="-7"/>
          <w:w w:val="110"/>
        </w:rPr>
        <w:t> </w:t>
      </w:r>
      <w:r>
        <w:rPr>
          <w:color w:val="231F1F"/>
          <w:w w:val="110"/>
        </w:rPr>
        <w:t>que</w:t>
      </w:r>
      <w:r>
        <w:rPr>
          <w:color w:val="231F1F"/>
          <w:spacing w:val="-10"/>
          <w:w w:val="110"/>
        </w:rPr>
        <w:t> </w:t>
      </w:r>
      <w:r>
        <w:rPr>
          <w:color w:val="231F1F"/>
          <w:w w:val="110"/>
        </w:rPr>
        <w:t>los</w:t>
      </w:r>
      <w:r>
        <w:rPr>
          <w:color w:val="231F1F"/>
          <w:spacing w:val="-7"/>
          <w:w w:val="110"/>
        </w:rPr>
        <w:t> </w:t>
      </w:r>
      <w:r>
        <w:rPr>
          <w:color w:val="231F1F"/>
          <w:w w:val="110"/>
        </w:rPr>
        <w:t>RN</w:t>
      </w:r>
      <w:r>
        <w:rPr>
          <w:color w:val="231F1F"/>
          <w:spacing w:val="-9"/>
          <w:w w:val="110"/>
        </w:rPr>
        <w:t> </w:t>
      </w:r>
      <w:r>
        <w:rPr>
          <w:color w:val="231F1F"/>
          <w:spacing w:val="-10"/>
          <w:w w:val="110"/>
        </w:rPr>
        <w:t>a</w:t>
      </w:r>
      <w:r>
        <w:rPr>
          <w:color w:val="231F1F"/>
        </w:rPr>
        <w:tab/>
      </w:r>
      <w:r>
        <w:rPr>
          <w:rFonts w:ascii="Arial MT"/>
          <w:color w:val="231F1F"/>
          <w:w w:val="105"/>
          <w:position w:val="4"/>
          <w:sz w:val="18"/>
        </w:rPr>
        <w:t>y</w:t>
      </w:r>
      <w:r>
        <w:rPr>
          <w:rFonts w:ascii="Arial MT"/>
          <w:color w:val="231F1F"/>
          <w:spacing w:val="-8"/>
          <w:w w:val="105"/>
          <w:position w:val="4"/>
          <w:sz w:val="18"/>
        </w:rPr>
        <w:t> </w:t>
      </w:r>
      <w:r>
        <w:rPr>
          <w:rFonts w:ascii="Arial MT"/>
          <w:color w:val="231F1F"/>
          <w:spacing w:val="-5"/>
          <w:w w:val="110"/>
          <w:position w:val="4"/>
          <w:sz w:val="18"/>
        </w:rPr>
        <w:t>ECC</w:t>
      </w:r>
    </w:p>
    <w:p>
      <w:pPr>
        <w:pStyle w:val="BodyText"/>
        <w:spacing w:after="0"/>
        <w:rPr>
          <w:rFonts w:ascii="Arial MT"/>
          <w:position w:val="4"/>
          <w:sz w:val="18"/>
        </w:rPr>
        <w:sectPr>
          <w:pgSz w:w="11900" w:h="16840"/>
          <w:pgMar w:header="0" w:footer="622" w:top="1560" w:bottom="820" w:left="1417" w:right="1559"/>
        </w:sectPr>
      </w:pPr>
    </w:p>
    <w:p>
      <w:pPr>
        <w:pStyle w:val="BodyText"/>
        <w:spacing w:line="244" w:lineRule="auto" w:before="35"/>
        <w:ind w:left="283" w:right="38"/>
        <w:jc w:val="both"/>
      </w:pPr>
      <w:r>
        <w:rPr>
          <w:color w:val="231F1F"/>
          <w:w w:val="110"/>
        </w:rPr>
        <w:t>término y saludables, cogen el pezón de forma espontánea y comienzan a mamar</w:t>
      </w:r>
      <w:r>
        <w:rPr>
          <w:color w:val="231F1F"/>
          <w:w w:val="110"/>
        </w:rPr>
        <w:t> aproximadamente</w:t>
      </w:r>
      <w:r>
        <w:rPr>
          <w:color w:val="231F1F"/>
          <w:w w:val="110"/>
        </w:rPr>
        <w:t> a</w:t>
      </w:r>
      <w:r>
        <w:rPr>
          <w:color w:val="231F1F"/>
          <w:w w:val="110"/>
        </w:rPr>
        <w:t> los</w:t>
      </w:r>
      <w:r>
        <w:rPr>
          <w:color w:val="231F1F"/>
          <w:w w:val="110"/>
        </w:rPr>
        <w:t> 55</w:t>
      </w:r>
      <w:r>
        <w:rPr>
          <w:color w:val="231F1F"/>
          <w:w w:val="110"/>
        </w:rPr>
        <w:t> minutos</w:t>
      </w:r>
      <w:r>
        <w:rPr>
          <w:color w:val="231F1F"/>
          <w:w w:val="110"/>
        </w:rPr>
        <w:t> después</w:t>
      </w:r>
      <w:r>
        <w:rPr>
          <w:color w:val="231F1F"/>
          <w:w w:val="110"/>
        </w:rPr>
        <w:t> del</w:t>
      </w:r>
      <w:r>
        <w:rPr>
          <w:color w:val="231F1F"/>
          <w:w w:val="110"/>
        </w:rPr>
        <w:t> nacimiento</w:t>
      </w:r>
      <w:r>
        <w:rPr>
          <w:color w:val="231F1F"/>
          <w:w w:val="110"/>
        </w:rPr>
        <w:t> y</w:t>
      </w:r>
      <w:r>
        <w:rPr>
          <w:color w:val="231F1F"/>
          <w:w w:val="110"/>
        </w:rPr>
        <w:t> que durante los primeros 30 minutos sólo lamen el pezón.</w:t>
      </w:r>
    </w:p>
    <w:p>
      <w:pPr>
        <w:spacing w:before="4"/>
        <w:ind w:left="283" w:right="0" w:firstLine="0"/>
        <w:jc w:val="left"/>
        <w:rPr>
          <w:rFonts w:ascii="Arial MT"/>
          <w:sz w:val="18"/>
        </w:rPr>
      </w:pPr>
      <w:r>
        <w:rPr/>
        <w:br w:type="column"/>
      </w:r>
      <w:r>
        <w:rPr>
          <w:rFonts w:ascii="Arial MT"/>
          <w:color w:val="231F1F"/>
          <w:spacing w:val="-5"/>
          <w:sz w:val="18"/>
        </w:rPr>
        <w:t>1++</w:t>
      </w:r>
    </w:p>
    <w:p>
      <w:pPr>
        <w:spacing w:after="0"/>
        <w:jc w:val="left"/>
        <w:rPr>
          <w:rFonts w:ascii="Arial MT"/>
          <w:sz w:val="18"/>
        </w:rPr>
        <w:sectPr>
          <w:type w:val="continuous"/>
          <w:pgSz w:w="11900" w:h="16840"/>
          <w:pgMar w:header="0" w:footer="622" w:top="560" w:bottom="280" w:left="1417" w:right="1559"/>
          <w:cols w:num="2" w:equalWidth="0">
            <w:col w:w="7592" w:space="213"/>
            <w:col w:w="1119"/>
          </w:cols>
        </w:sectPr>
      </w:pPr>
    </w:p>
    <w:p>
      <w:pPr>
        <w:pStyle w:val="BodyText"/>
        <w:tabs>
          <w:tab w:pos="7883" w:val="left" w:leader="none"/>
          <w:tab w:pos="8006" w:val="left" w:leader="none"/>
          <w:tab w:pos="8129" w:val="left" w:leader="none"/>
        </w:tabs>
        <w:spacing w:line="242" w:lineRule="auto" w:before="99"/>
        <w:ind w:left="283" w:right="381" w:firstLine="453"/>
        <w:rPr>
          <w:rFonts w:ascii="Arial MT" w:hAnsi="Arial MT"/>
          <w:position w:val="8"/>
          <w:sz w:val="18"/>
        </w:rPr>
      </w:pPr>
      <w:r>
        <w:rPr>
          <w:color w:val="231F1F"/>
          <w:w w:val="105"/>
        </w:rPr>
        <w:t>El estudio de cohortes de Jansson et al, 1995 (237) estudia el comporta-</w:t>
      </w:r>
      <w:r>
        <w:rPr>
          <w:color w:val="231F1F"/>
        </w:rPr>
        <w:tab/>
        <w:tab/>
      </w:r>
      <w:r>
        <w:rPr>
          <w:rFonts w:ascii="Arial MT" w:hAnsi="Arial MT"/>
          <w:color w:val="231F1F"/>
          <w:w w:val="105"/>
          <w:sz w:val="18"/>
        </w:rPr>
        <w:t>E.</w:t>
      </w:r>
      <w:r>
        <w:rPr>
          <w:rFonts w:ascii="Arial MT" w:hAnsi="Arial MT"/>
          <w:color w:val="231F1F"/>
          <w:spacing w:val="-3"/>
          <w:w w:val="105"/>
          <w:sz w:val="18"/>
        </w:rPr>
        <w:t> </w:t>
      </w:r>
      <w:r>
        <w:rPr>
          <w:rFonts w:ascii="Arial MT" w:hAnsi="Arial MT"/>
          <w:color w:val="231F1F"/>
          <w:w w:val="105"/>
          <w:sz w:val="18"/>
        </w:rPr>
        <w:t>de </w:t>
      </w:r>
      <w:r>
        <w:rPr>
          <w:color w:val="231F1F"/>
        </w:rPr>
        <w:t>miento de la alimentación de 46 RN, mediante reflejos como llevar el dedo a</w:t>
        <w:tab/>
      </w:r>
      <w:r>
        <w:rPr>
          <w:rFonts w:ascii="Arial MT" w:hAnsi="Arial MT"/>
          <w:color w:val="231F1F"/>
          <w:spacing w:val="-2"/>
          <w:position w:val="4"/>
          <w:sz w:val="18"/>
        </w:rPr>
        <w:t>Cohorte </w:t>
      </w:r>
      <w:r>
        <w:rPr>
          <w:color w:val="231F1F"/>
          <w:w w:val="105"/>
        </w:rPr>
        <w:t>la boca o girar la cabeza cuando se le toca la mejilla. Los resultados indican</w:t>
      </w:r>
      <w:r>
        <w:rPr>
          <w:color w:val="231F1F"/>
        </w:rPr>
        <w:tab/>
        <w:tab/>
        <w:tab/>
      </w:r>
      <w:r>
        <w:rPr>
          <w:rFonts w:ascii="Arial MT" w:hAnsi="Arial MT"/>
          <w:color w:val="231F1F"/>
          <w:spacing w:val="-10"/>
          <w:w w:val="105"/>
          <w:position w:val="8"/>
          <w:sz w:val="18"/>
        </w:rPr>
        <w:t>3</w:t>
      </w:r>
    </w:p>
    <w:p>
      <w:pPr>
        <w:pStyle w:val="BodyText"/>
        <w:spacing w:line="244" w:lineRule="auto" w:before="8"/>
        <w:ind w:left="283" w:right="1369"/>
        <w:jc w:val="both"/>
      </w:pPr>
      <w:r>
        <w:rPr>
          <w:color w:val="231F1F"/>
          <w:w w:val="110"/>
        </w:rPr>
        <w:t>que</w:t>
      </w:r>
      <w:r>
        <w:rPr>
          <w:color w:val="231F1F"/>
          <w:spacing w:val="-4"/>
          <w:w w:val="110"/>
        </w:rPr>
        <w:t> </w:t>
      </w:r>
      <w:r>
        <w:rPr>
          <w:color w:val="231F1F"/>
          <w:w w:val="110"/>
        </w:rPr>
        <w:t>los</w:t>
      </w:r>
      <w:r>
        <w:rPr>
          <w:color w:val="231F1F"/>
          <w:spacing w:val="-4"/>
          <w:w w:val="110"/>
        </w:rPr>
        <w:t> </w:t>
      </w:r>
      <w:r>
        <w:rPr>
          <w:color w:val="231F1F"/>
          <w:w w:val="110"/>
        </w:rPr>
        <w:t>niños</w:t>
      </w:r>
      <w:r>
        <w:rPr>
          <w:color w:val="231F1F"/>
          <w:spacing w:val="-4"/>
          <w:w w:val="110"/>
        </w:rPr>
        <w:t> </w:t>
      </w:r>
      <w:r>
        <w:rPr>
          <w:color w:val="231F1F"/>
          <w:w w:val="110"/>
        </w:rPr>
        <w:t>que</w:t>
      </w:r>
      <w:r>
        <w:rPr>
          <w:color w:val="231F1F"/>
          <w:spacing w:val="-4"/>
          <w:w w:val="110"/>
        </w:rPr>
        <w:t> </w:t>
      </w:r>
      <w:r>
        <w:rPr>
          <w:color w:val="231F1F"/>
          <w:w w:val="110"/>
        </w:rPr>
        <w:t>son</w:t>
      </w:r>
      <w:r>
        <w:rPr>
          <w:color w:val="231F1F"/>
          <w:spacing w:val="-4"/>
          <w:w w:val="110"/>
        </w:rPr>
        <w:t> </w:t>
      </w:r>
      <w:r>
        <w:rPr>
          <w:color w:val="231F1F"/>
          <w:w w:val="110"/>
        </w:rPr>
        <w:t>bañados</w:t>
      </w:r>
      <w:r>
        <w:rPr>
          <w:color w:val="231F1F"/>
          <w:spacing w:val="-4"/>
          <w:w w:val="110"/>
        </w:rPr>
        <w:t> </w:t>
      </w:r>
      <w:r>
        <w:rPr>
          <w:color w:val="231F1F"/>
          <w:w w:val="110"/>
        </w:rPr>
        <w:t>a</w:t>
      </w:r>
      <w:r>
        <w:rPr>
          <w:color w:val="231F1F"/>
          <w:spacing w:val="-4"/>
          <w:w w:val="110"/>
        </w:rPr>
        <w:t> </w:t>
      </w:r>
      <w:r>
        <w:rPr>
          <w:color w:val="231F1F"/>
          <w:w w:val="110"/>
        </w:rPr>
        <w:t>los</w:t>
      </w:r>
      <w:r>
        <w:rPr>
          <w:color w:val="231F1F"/>
          <w:spacing w:val="-4"/>
          <w:w w:val="110"/>
        </w:rPr>
        <w:t> </w:t>
      </w:r>
      <w:r>
        <w:rPr>
          <w:color w:val="231F1F"/>
          <w:w w:val="110"/>
        </w:rPr>
        <w:t>17</w:t>
      </w:r>
      <w:r>
        <w:rPr>
          <w:color w:val="231F1F"/>
          <w:spacing w:val="-4"/>
          <w:w w:val="110"/>
        </w:rPr>
        <w:t> </w:t>
      </w:r>
      <w:r>
        <w:rPr>
          <w:color w:val="231F1F"/>
          <w:w w:val="110"/>
        </w:rPr>
        <w:t>minutos</w:t>
      </w:r>
      <w:r>
        <w:rPr>
          <w:color w:val="231F1F"/>
          <w:spacing w:val="-4"/>
          <w:w w:val="110"/>
        </w:rPr>
        <w:t> </w:t>
      </w:r>
      <w:r>
        <w:rPr>
          <w:color w:val="231F1F"/>
          <w:w w:val="110"/>
        </w:rPr>
        <w:t>después</w:t>
      </w:r>
      <w:r>
        <w:rPr>
          <w:color w:val="231F1F"/>
          <w:spacing w:val="-4"/>
          <w:w w:val="110"/>
        </w:rPr>
        <w:t> </w:t>
      </w:r>
      <w:r>
        <w:rPr>
          <w:color w:val="231F1F"/>
          <w:w w:val="110"/>
        </w:rPr>
        <w:t>de</w:t>
      </w:r>
      <w:r>
        <w:rPr>
          <w:color w:val="231F1F"/>
          <w:spacing w:val="-4"/>
          <w:w w:val="110"/>
        </w:rPr>
        <w:t> </w:t>
      </w:r>
      <w:r>
        <w:rPr>
          <w:color w:val="231F1F"/>
          <w:w w:val="110"/>
        </w:rPr>
        <w:t>nacer</w:t>
      </w:r>
      <w:r>
        <w:rPr>
          <w:color w:val="231F1F"/>
          <w:spacing w:val="-4"/>
          <w:w w:val="110"/>
        </w:rPr>
        <w:t> </w:t>
      </w:r>
      <w:r>
        <w:rPr>
          <w:color w:val="231F1F"/>
          <w:w w:val="110"/>
        </w:rPr>
        <w:t>presentan menos</w:t>
      </w:r>
      <w:r>
        <w:rPr>
          <w:color w:val="231F1F"/>
          <w:spacing w:val="-12"/>
          <w:w w:val="110"/>
        </w:rPr>
        <w:t> </w:t>
      </w:r>
      <w:r>
        <w:rPr>
          <w:color w:val="231F1F"/>
          <w:w w:val="110"/>
        </w:rPr>
        <w:t>signos</w:t>
      </w:r>
      <w:r>
        <w:rPr>
          <w:color w:val="231F1F"/>
          <w:spacing w:val="-12"/>
          <w:w w:val="110"/>
        </w:rPr>
        <w:t> </w:t>
      </w:r>
      <w:r>
        <w:rPr>
          <w:color w:val="231F1F"/>
          <w:w w:val="110"/>
        </w:rPr>
        <w:t>de</w:t>
      </w:r>
      <w:r>
        <w:rPr>
          <w:color w:val="231F1F"/>
          <w:spacing w:val="-11"/>
          <w:w w:val="110"/>
        </w:rPr>
        <w:t> </w:t>
      </w:r>
      <w:r>
        <w:rPr>
          <w:color w:val="231F1F"/>
          <w:w w:val="110"/>
        </w:rPr>
        <w:t>pre-lactancia</w:t>
      </w:r>
      <w:r>
        <w:rPr>
          <w:color w:val="231F1F"/>
          <w:spacing w:val="-11"/>
          <w:w w:val="110"/>
        </w:rPr>
        <w:t> </w:t>
      </w:r>
      <w:r>
        <w:rPr>
          <w:color w:val="231F1F"/>
          <w:w w:val="110"/>
        </w:rPr>
        <w:t>que</w:t>
      </w:r>
      <w:r>
        <w:rPr>
          <w:color w:val="231F1F"/>
          <w:spacing w:val="-12"/>
          <w:w w:val="110"/>
        </w:rPr>
        <w:t> </w:t>
      </w:r>
      <w:r>
        <w:rPr>
          <w:color w:val="231F1F"/>
          <w:w w:val="110"/>
        </w:rPr>
        <w:t>los</w:t>
      </w:r>
      <w:r>
        <w:rPr>
          <w:color w:val="231F1F"/>
          <w:spacing w:val="-12"/>
          <w:w w:val="110"/>
        </w:rPr>
        <w:t> </w:t>
      </w:r>
      <w:r>
        <w:rPr>
          <w:color w:val="231F1F"/>
          <w:w w:val="110"/>
        </w:rPr>
        <w:t>que</w:t>
      </w:r>
      <w:r>
        <w:rPr>
          <w:color w:val="231F1F"/>
          <w:spacing w:val="-11"/>
          <w:w w:val="110"/>
        </w:rPr>
        <w:t> </w:t>
      </w:r>
      <w:r>
        <w:rPr>
          <w:color w:val="231F1F"/>
          <w:w w:val="110"/>
        </w:rPr>
        <w:t>se</w:t>
      </w:r>
      <w:r>
        <w:rPr>
          <w:color w:val="231F1F"/>
          <w:spacing w:val="-12"/>
          <w:w w:val="110"/>
        </w:rPr>
        <w:t> </w:t>
      </w:r>
      <w:r>
        <w:rPr>
          <w:color w:val="231F1F"/>
          <w:w w:val="110"/>
        </w:rPr>
        <w:t>bañan</w:t>
      </w:r>
      <w:r>
        <w:rPr>
          <w:color w:val="231F1F"/>
          <w:spacing w:val="-12"/>
          <w:w w:val="110"/>
        </w:rPr>
        <w:t> </w:t>
      </w:r>
      <w:r>
        <w:rPr>
          <w:color w:val="231F1F"/>
          <w:w w:val="110"/>
        </w:rPr>
        <w:t>cuando</w:t>
      </w:r>
      <w:r>
        <w:rPr>
          <w:color w:val="231F1F"/>
          <w:spacing w:val="-11"/>
          <w:w w:val="110"/>
        </w:rPr>
        <w:t> </w:t>
      </w:r>
      <w:r>
        <w:rPr>
          <w:color w:val="231F1F"/>
          <w:w w:val="110"/>
        </w:rPr>
        <w:t>han</w:t>
      </w:r>
      <w:r>
        <w:rPr>
          <w:color w:val="231F1F"/>
          <w:spacing w:val="-11"/>
          <w:w w:val="110"/>
        </w:rPr>
        <w:t> </w:t>
      </w:r>
      <w:r>
        <w:rPr>
          <w:color w:val="231F1F"/>
          <w:w w:val="110"/>
        </w:rPr>
        <w:t>pasado</w:t>
      </w:r>
      <w:r>
        <w:rPr>
          <w:color w:val="231F1F"/>
          <w:spacing w:val="-11"/>
          <w:w w:val="110"/>
        </w:rPr>
        <w:t> </w:t>
      </w:r>
      <w:r>
        <w:rPr>
          <w:color w:val="231F1F"/>
          <w:w w:val="110"/>
        </w:rPr>
        <w:t>28,5 minutos del nacimiento.</w:t>
      </w:r>
    </w:p>
    <w:p>
      <w:pPr>
        <w:pStyle w:val="BodyText"/>
        <w:spacing w:line="249" w:lineRule="auto" w:before="104"/>
        <w:ind w:left="283" w:right="516" w:firstLine="453"/>
        <w:jc w:val="both"/>
      </w:pPr>
      <w:r>
        <w:rPr>
          <w:color w:val="231F1F"/>
          <w:w w:val="110"/>
        </w:rPr>
        <w:t>El ECA</w:t>
      </w:r>
      <w:r>
        <w:rPr>
          <w:color w:val="231F1F"/>
          <w:w w:val="110"/>
        </w:rPr>
        <w:t> de Taylor et al 1985 (229) encontró que el contacto temprano</w:t>
      </w:r>
      <w:r>
        <w:rPr>
          <w:color w:val="231F1F"/>
          <w:spacing w:val="40"/>
          <w:w w:val="110"/>
        </w:rPr>
        <w:t>  </w:t>
      </w:r>
      <w:r>
        <w:rPr>
          <w:rFonts w:ascii="Arial MT" w:hAnsi="Arial MT"/>
          <w:color w:val="231F1F"/>
          <w:w w:val="110"/>
          <w:sz w:val="18"/>
        </w:rPr>
        <w:t>ECA </w:t>
      </w:r>
      <w:r>
        <w:rPr>
          <w:color w:val="231F1F"/>
          <w:w w:val="110"/>
        </w:rPr>
        <w:t>piel con piel entre madre e hijo con succión se asociaba con una mayor dura-</w:t>
      </w:r>
      <w:r>
        <w:rPr>
          <w:color w:val="231F1F"/>
          <w:spacing w:val="80"/>
          <w:w w:val="110"/>
        </w:rPr>
        <w:t> </w:t>
      </w:r>
      <w:r>
        <w:rPr>
          <w:rFonts w:ascii="Arial MT" w:hAnsi="Arial MT"/>
          <w:color w:val="231F1F"/>
          <w:w w:val="110"/>
          <w:position w:val="4"/>
          <w:sz w:val="18"/>
        </w:rPr>
        <w:t>1++ </w:t>
      </w:r>
      <w:r>
        <w:rPr>
          <w:color w:val="231F1F"/>
          <w:w w:val="110"/>
        </w:rPr>
        <w:t>ción de la lactancia materna (p&lt;0,001), en comparación con el contacto piel</w:t>
      </w:r>
    </w:p>
    <w:p>
      <w:pPr>
        <w:pStyle w:val="BodyText"/>
        <w:spacing w:line="247" w:lineRule="exact"/>
        <w:ind w:left="283"/>
        <w:jc w:val="both"/>
      </w:pPr>
      <w:r>
        <w:rPr>
          <w:color w:val="231F1F"/>
          <w:w w:val="105"/>
        </w:rPr>
        <w:t>con</w:t>
      </w:r>
      <w:r>
        <w:rPr>
          <w:color w:val="231F1F"/>
          <w:spacing w:val="-4"/>
          <w:w w:val="105"/>
        </w:rPr>
        <w:t> </w:t>
      </w:r>
      <w:r>
        <w:rPr>
          <w:color w:val="231F1F"/>
          <w:w w:val="105"/>
        </w:rPr>
        <w:t>piel</w:t>
      </w:r>
      <w:r>
        <w:rPr>
          <w:color w:val="231F1F"/>
          <w:spacing w:val="-3"/>
          <w:w w:val="105"/>
        </w:rPr>
        <w:t> </w:t>
      </w:r>
      <w:r>
        <w:rPr>
          <w:color w:val="231F1F"/>
          <w:spacing w:val="-2"/>
          <w:w w:val="105"/>
        </w:rPr>
        <w:t>sólo.</w:t>
      </w:r>
    </w:p>
    <w:p>
      <w:pPr>
        <w:pStyle w:val="BodyText"/>
        <w:spacing w:line="244" w:lineRule="auto" w:before="69"/>
        <w:ind w:left="283" w:right="1372" w:firstLine="453"/>
        <w:jc w:val="both"/>
      </w:pPr>
      <w:r>
        <w:rPr>
          <w:color w:val="231F1F"/>
          <w:w w:val="110"/>
        </w:rPr>
        <w:t>NICE (10) afirma que la lactancia materna puede verse facilitada si la madre</w:t>
      </w:r>
      <w:r>
        <w:rPr>
          <w:color w:val="231F1F"/>
          <w:spacing w:val="-7"/>
          <w:w w:val="110"/>
        </w:rPr>
        <w:t> </w:t>
      </w:r>
      <w:r>
        <w:rPr>
          <w:color w:val="231F1F"/>
          <w:w w:val="110"/>
        </w:rPr>
        <w:t>está</w:t>
      </w:r>
      <w:r>
        <w:rPr>
          <w:color w:val="231F1F"/>
          <w:spacing w:val="-7"/>
          <w:w w:val="110"/>
        </w:rPr>
        <w:t> </w:t>
      </w:r>
      <w:r>
        <w:rPr>
          <w:color w:val="231F1F"/>
          <w:w w:val="110"/>
        </w:rPr>
        <w:t>cómoda,</w:t>
      </w:r>
      <w:r>
        <w:rPr>
          <w:color w:val="231F1F"/>
          <w:spacing w:val="-7"/>
          <w:w w:val="110"/>
        </w:rPr>
        <w:t> </w:t>
      </w:r>
      <w:r>
        <w:rPr>
          <w:color w:val="231F1F"/>
          <w:w w:val="110"/>
        </w:rPr>
        <w:t>tiene</w:t>
      </w:r>
      <w:r>
        <w:rPr>
          <w:color w:val="231F1F"/>
          <w:spacing w:val="-7"/>
          <w:w w:val="110"/>
        </w:rPr>
        <w:t> </w:t>
      </w:r>
      <w:r>
        <w:rPr>
          <w:color w:val="231F1F"/>
          <w:w w:val="110"/>
        </w:rPr>
        <w:t>el</w:t>
      </w:r>
      <w:r>
        <w:rPr>
          <w:color w:val="231F1F"/>
          <w:spacing w:val="-7"/>
          <w:w w:val="110"/>
        </w:rPr>
        <w:t> </w:t>
      </w:r>
      <w:r>
        <w:rPr>
          <w:color w:val="231F1F"/>
          <w:w w:val="110"/>
        </w:rPr>
        <w:t>cuerpo</w:t>
      </w:r>
      <w:r>
        <w:rPr>
          <w:color w:val="231F1F"/>
          <w:spacing w:val="-6"/>
          <w:w w:val="110"/>
        </w:rPr>
        <w:t> </w:t>
      </w:r>
      <w:r>
        <w:rPr>
          <w:color w:val="231F1F"/>
          <w:w w:val="110"/>
        </w:rPr>
        <w:t>bien</w:t>
      </w:r>
      <w:r>
        <w:rPr>
          <w:color w:val="231F1F"/>
          <w:spacing w:val="-7"/>
          <w:w w:val="110"/>
        </w:rPr>
        <w:t> </w:t>
      </w:r>
      <w:r>
        <w:rPr>
          <w:color w:val="231F1F"/>
          <w:w w:val="110"/>
        </w:rPr>
        <w:t>acomodado</w:t>
      </w:r>
      <w:r>
        <w:rPr>
          <w:color w:val="231F1F"/>
          <w:spacing w:val="-6"/>
          <w:w w:val="110"/>
        </w:rPr>
        <w:t> </w:t>
      </w:r>
      <w:r>
        <w:rPr>
          <w:color w:val="231F1F"/>
          <w:w w:val="110"/>
        </w:rPr>
        <w:t>y</w:t>
      </w:r>
      <w:r>
        <w:rPr>
          <w:color w:val="231F1F"/>
          <w:spacing w:val="-7"/>
          <w:w w:val="110"/>
        </w:rPr>
        <w:t> </w:t>
      </w:r>
      <w:r>
        <w:rPr>
          <w:color w:val="231F1F"/>
          <w:w w:val="110"/>
        </w:rPr>
        <w:t>el</w:t>
      </w:r>
      <w:r>
        <w:rPr>
          <w:color w:val="231F1F"/>
          <w:spacing w:val="-7"/>
          <w:w w:val="110"/>
        </w:rPr>
        <w:t> </w:t>
      </w:r>
      <w:r>
        <w:rPr>
          <w:color w:val="231F1F"/>
          <w:w w:val="110"/>
        </w:rPr>
        <w:t>RN</w:t>
      </w:r>
      <w:r>
        <w:rPr>
          <w:color w:val="231F1F"/>
          <w:spacing w:val="-6"/>
          <w:w w:val="110"/>
        </w:rPr>
        <w:t> </w:t>
      </w:r>
      <w:r>
        <w:rPr>
          <w:color w:val="231F1F"/>
          <w:w w:val="110"/>
        </w:rPr>
        <w:t>es</w:t>
      </w:r>
      <w:r>
        <w:rPr>
          <w:color w:val="231F1F"/>
          <w:spacing w:val="-7"/>
          <w:w w:val="110"/>
        </w:rPr>
        <w:t> </w:t>
      </w:r>
      <w:r>
        <w:rPr>
          <w:color w:val="231F1F"/>
          <w:w w:val="110"/>
        </w:rPr>
        <w:t>llevado</w:t>
      </w:r>
      <w:r>
        <w:rPr>
          <w:color w:val="231F1F"/>
          <w:spacing w:val="-7"/>
          <w:w w:val="110"/>
        </w:rPr>
        <w:t> </w:t>
      </w:r>
      <w:r>
        <w:rPr>
          <w:color w:val="231F1F"/>
          <w:w w:val="110"/>
        </w:rPr>
        <w:t>a</w:t>
      </w:r>
      <w:r>
        <w:rPr>
          <w:color w:val="231F1F"/>
          <w:spacing w:val="-7"/>
          <w:w w:val="110"/>
        </w:rPr>
        <w:t> </w:t>
      </w:r>
      <w:r>
        <w:rPr>
          <w:color w:val="231F1F"/>
          <w:w w:val="110"/>
        </w:rPr>
        <w:t>la </w:t>
      </w:r>
      <w:r>
        <w:rPr>
          <w:color w:val="231F1F"/>
          <w:spacing w:val="-2"/>
          <w:w w:val="110"/>
        </w:rPr>
        <w:t>mama.</w:t>
      </w:r>
    </w:p>
    <w:p>
      <w:pPr>
        <w:pStyle w:val="BodyText"/>
        <w:spacing w:after="0" w:line="244" w:lineRule="auto"/>
        <w:jc w:val="both"/>
        <w:sectPr>
          <w:type w:val="continuous"/>
          <w:pgSz w:w="11900" w:h="16840"/>
          <w:pgMar w:header="0" w:footer="622" w:top="560" w:bottom="280" w:left="1417" w:right="1559"/>
        </w:sectPr>
      </w:pPr>
    </w:p>
    <w:p>
      <w:pPr>
        <w:spacing w:line="252" w:lineRule="auto" w:before="73"/>
        <w:ind w:left="283" w:right="0" w:firstLine="453"/>
        <w:jc w:val="both"/>
        <w:rPr>
          <w:sz w:val="22"/>
        </w:rPr>
      </w:pPr>
      <w:r>
        <w:rPr>
          <w:color w:val="231F1F"/>
          <w:w w:val="105"/>
          <w:sz w:val="22"/>
        </w:rPr>
        <w:t>Las</w:t>
      </w:r>
      <w:r>
        <w:rPr>
          <w:color w:val="231F1F"/>
          <w:w w:val="105"/>
          <w:sz w:val="22"/>
        </w:rPr>
        <w:t> recomendaciones</w:t>
      </w:r>
      <w:r>
        <w:rPr>
          <w:color w:val="231F1F"/>
          <w:w w:val="105"/>
          <w:sz w:val="22"/>
        </w:rPr>
        <w:t> publicadas</w:t>
      </w:r>
      <w:r>
        <w:rPr>
          <w:color w:val="231F1F"/>
          <w:w w:val="105"/>
          <w:sz w:val="22"/>
        </w:rPr>
        <w:t> por</w:t>
      </w:r>
      <w:r>
        <w:rPr>
          <w:color w:val="231F1F"/>
          <w:w w:val="105"/>
          <w:sz w:val="22"/>
        </w:rPr>
        <w:t> la</w:t>
      </w:r>
      <w:r>
        <w:rPr>
          <w:color w:val="231F1F"/>
          <w:w w:val="105"/>
          <w:sz w:val="22"/>
        </w:rPr>
        <w:t> OMS</w:t>
      </w:r>
      <w:r>
        <w:rPr>
          <w:color w:val="231F1F"/>
          <w:w w:val="105"/>
          <w:sz w:val="22"/>
        </w:rPr>
        <w:t> en</w:t>
      </w:r>
      <w:r>
        <w:rPr>
          <w:color w:val="231F1F"/>
          <w:w w:val="105"/>
          <w:sz w:val="22"/>
        </w:rPr>
        <w:t> 1996</w:t>
      </w:r>
      <w:r>
        <w:rPr>
          <w:color w:val="231F1F"/>
          <w:w w:val="105"/>
          <w:sz w:val="22"/>
        </w:rPr>
        <w:t> sobre</w:t>
      </w:r>
      <w:r>
        <w:rPr>
          <w:color w:val="231F1F"/>
          <w:w w:val="105"/>
          <w:sz w:val="22"/>
        </w:rPr>
        <w:t> «Cuidados en</w:t>
      </w:r>
      <w:r>
        <w:rPr>
          <w:color w:val="231F1F"/>
          <w:spacing w:val="30"/>
          <w:w w:val="105"/>
          <w:sz w:val="22"/>
        </w:rPr>
        <w:t> </w:t>
      </w:r>
      <w:r>
        <w:rPr>
          <w:color w:val="231F1F"/>
          <w:w w:val="105"/>
          <w:sz w:val="22"/>
        </w:rPr>
        <w:t>el</w:t>
      </w:r>
      <w:r>
        <w:rPr>
          <w:color w:val="231F1F"/>
          <w:spacing w:val="29"/>
          <w:w w:val="105"/>
          <w:sz w:val="22"/>
        </w:rPr>
        <w:t> </w:t>
      </w:r>
      <w:r>
        <w:rPr>
          <w:color w:val="231F1F"/>
          <w:w w:val="105"/>
          <w:sz w:val="22"/>
        </w:rPr>
        <w:t>parto</w:t>
      </w:r>
      <w:r>
        <w:rPr>
          <w:color w:val="231F1F"/>
          <w:spacing w:val="29"/>
          <w:w w:val="105"/>
          <w:sz w:val="22"/>
        </w:rPr>
        <w:t> </w:t>
      </w:r>
      <w:r>
        <w:rPr>
          <w:color w:val="231F1F"/>
          <w:w w:val="105"/>
          <w:sz w:val="22"/>
        </w:rPr>
        <w:t>normal:</w:t>
      </w:r>
      <w:r>
        <w:rPr>
          <w:color w:val="231F1F"/>
          <w:spacing w:val="29"/>
          <w:w w:val="105"/>
          <w:sz w:val="22"/>
        </w:rPr>
        <w:t> </w:t>
      </w:r>
      <w:r>
        <w:rPr>
          <w:color w:val="231F1F"/>
          <w:w w:val="105"/>
          <w:sz w:val="22"/>
        </w:rPr>
        <w:t>una</w:t>
      </w:r>
      <w:r>
        <w:rPr>
          <w:color w:val="231F1F"/>
          <w:spacing w:val="29"/>
          <w:w w:val="105"/>
          <w:sz w:val="22"/>
        </w:rPr>
        <w:t> </w:t>
      </w:r>
      <w:r>
        <w:rPr>
          <w:color w:val="231F1F"/>
          <w:w w:val="105"/>
          <w:sz w:val="22"/>
        </w:rPr>
        <w:t>guía</w:t>
      </w:r>
      <w:r>
        <w:rPr>
          <w:color w:val="231F1F"/>
          <w:spacing w:val="29"/>
          <w:w w:val="105"/>
          <w:sz w:val="22"/>
        </w:rPr>
        <w:t> </w:t>
      </w:r>
      <w:r>
        <w:rPr>
          <w:color w:val="231F1F"/>
          <w:w w:val="105"/>
          <w:sz w:val="22"/>
        </w:rPr>
        <w:t>práctica»</w:t>
      </w:r>
      <w:r>
        <w:rPr>
          <w:color w:val="231F1F"/>
          <w:spacing w:val="29"/>
          <w:w w:val="105"/>
          <w:sz w:val="22"/>
        </w:rPr>
        <w:t> </w:t>
      </w:r>
      <w:r>
        <w:rPr>
          <w:color w:val="231F1F"/>
          <w:w w:val="105"/>
          <w:sz w:val="22"/>
        </w:rPr>
        <w:t>(4),</w:t>
      </w:r>
      <w:r>
        <w:rPr>
          <w:color w:val="231F1F"/>
          <w:spacing w:val="30"/>
          <w:w w:val="105"/>
          <w:sz w:val="22"/>
        </w:rPr>
        <w:t> </w:t>
      </w:r>
      <w:r>
        <w:rPr>
          <w:color w:val="231F1F"/>
          <w:w w:val="105"/>
          <w:sz w:val="22"/>
        </w:rPr>
        <w:t>presentaba</w:t>
      </w:r>
      <w:r>
        <w:rPr>
          <w:color w:val="231F1F"/>
          <w:spacing w:val="29"/>
          <w:w w:val="105"/>
          <w:sz w:val="22"/>
        </w:rPr>
        <w:t> </w:t>
      </w:r>
      <w:r>
        <w:rPr>
          <w:color w:val="231F1F"/>
          <w:w w:val="105"/>
          <w:sz w:val="22"/>
        </w:rPr>
        <w:t>en</w:t>
      </w:r>
      <w:r>
        <w:rPr>
          <w:color w:val="231F1F"/>
          <w:spacing w:val="30"/>
          <w:w w:val="105"/>
          <w:sz w:val="22"/>
        </w:rPr>
        <w:t> </w:t>
      </w:r>
      <w:r>
        <w:rPr>
          <w:color w:val="231F1F"/>
          <w:w w:val="105"/>
          <w:sz w:val="22"/>
        </w:rPr>
        <w:t>la</w:t>
      </w:r>
      <w:r>
        <w:rPr>
          <w:color w:val="231F1F"/>
          <w:spacing w:val="30"/>
          <w:w w:val="105"/>
          <w:sz w:val="22"/>
        </w:rPr>
        <w:t> </w:t>
      </w:r>
      <w:r>
        <w:rPr>
          <w:color w:val="231F1F"/>
          <w:w w:val="105"/>
          <w:sz w:val="22"/>
        </w:rPr>
        <w:t>categoría</w:t>
      </w:r>
      <w:r>
        <w:rPr>
          <w:color w:val="231F1F"/>
          <w:spacing w:val="30"/>
          <w:w w:val="105"/>
          <w:sz w:val="22"/>
        </w:rPr>
        <w:t> </w:t>
      </w:r>
      <w:r>
        <w:rPr>
          <w:color w:val="231F1F"/>
          <w:w w:val="105"/>
          <w:sz w:val="22"/>
        </w:rPr>
        <w:t>A</w:t>
      </w:r>
      <w:r>
        <w:rPr>
          <w:color w:val="231F1F"/>
          <w:spacing w:val="31"/>
          <w:w w:val="105"/>
          <w:sz w:val="22"/>
        </w:rPr>
        <w:t> </w:t>
      </w:r>
      <w:r>
        <w:rPr>
          <w:color w:val="231F1F"/>
          <w:w w:val="105"/>
          <w:sz w:val="22"/>
        </w:rPr>
        <w:t>de sus recomendaciones: </w:t>
      </w:r>
      <w:r>
        <w:rPr>
          <w:i/>
          <w:color w:val="231F1F"/>
          <w:w w:val="105"/>
          <w:sz w:val="22"/>
        </w:rPr>
        <w:t>Prácticas</w:t>
      </w:r>
      <w:r>
        <w:rPr>
          <w:i/>
          <w:color w:val="231F1F"/>
          <w:spacing w:val="-14"/>
          <w:w w:val="105"/>
          <w:sz w:val="22"/>
        </w:rPr>
        <w:t> </w:t>
      </w:r>
      <w:r>
        <w:rPr>
          <w:i/>
          <w:color w:val="231F1F"/>
          <w:w w:val="105"/>
          <w:sz w:val="22"/>
        </w:rPr>
        <w:t>claramente</w:t>
      </w:r>
      <w:r>
        <w:rPr>
          <w:i/>
          <w:color w:val="231F1F"/>
          <w:spacing w:val="-14"/>
          <w:w w:val="105"/>
          <w:sz w:val="22"/>
        </w:rPr>
        <w:t> </w:t>
      </w:r>
      <w:r>
        <w:rPr>
          <w:i/>
          <w:color w:val="231F1F"/>
          <w:w w:val="105"/>
          <w:sz w:val="22"/>
        </w:rPr>
        <w:t>útiles</w:t>
      </w:r>
      <w:r>
        <w:rPr>
          <w:i/>
          <w:color w:val="231F1F"/>
          <w:spacing w:val="-15"/>
          <w:w w:val="105"/>
          <w:sz w:val="22"/>
        </w:rPr>
        <w:t> </w:t>
      </w:r>
      <w:r>
        <w:rPr>
          <w:i/>
          <w:color w:val="231F1F"/>
          <w:w w:val="105"/>
          <w:sz w:val="22"/>
        </w:rPr>
        <w:t>y</w:t>
      </w:r>
      <w:r>
        <w:rPr>
          <w:i/>
          <w:color w:val="231F1F"/>
          <w:spacing w:val="-14"/>
          <w:w w:val="105"/>
          <w:sz w:val="22"/>
        </w:rPr>
        <w:t> </w:t>
      </w:r>
      <w:r>
        <w:rPr>
          <w:i/>
          <w:color w:val="231F1F"/>
          <w:w w:val="105"/>
          <w:sz w:val="22"/>
        </w:rPr>
        <w:t>que</w:t>
      </w:r>
      <w:r>
        <w:rPr>
          <w:i/>
          <w:color w:val="231F1F"/>
          <w:spacing w:val="-14"/>
          <w:w w:val="105"/>
          <w:sz w:val="22"/>
        </w:rPr>
        <w:t> </w:t>
      </w:r>
      <w:r>
        <w:rPr>
          <w:i/>
          <w:color w:val="231F1F"/>
          <w:w w:val="105"/>
          <w:sz w:val="22"/>
        </w:rPr>
        <w:t>deben</w:t>
      </w:r>
      <w:r>
        <w:rPr>
          <w:i/>
          <w:color w:val="231F1F"/>
          <w:spacing w:val="-14"/>
          <w:w w:val="105"/>
          <w:sz w:val="22"/>
        </w:rPr>
        <w:t> </w:t>
      </w:r>
      <w:r>
        <w:rPr>
          <w:i/>
          <w:color w:val="231F1F"/>
          <w:w w:val="105"/>
          <w:sz w:val="22"/>
        </w:rPr>
        <w:t>ser</w:t>
      </w:r>
      <w:r>
        <w:rPr>
          <w:i/>
          <w:color w:val="231F1F"/>
          <w:spacing w:val="-14"/>
          <w:w w:val="105"/>
          <w:sz w:val="22"/>
        </w:rPr>
        <w:t> </w:t>
      </w:r>
      <w:r>
        <w:rPr>
          <w:i/>
          <w:color w:val="231F1F"/>
          <w:w w:val="105"/>
          <w:sz w:val="22"/>
        </w:rPr>
        <w:t>promovidas</w:t>
      </w:r>
      <w:r>
        <w:rPr>
          <w:color w:val="231F1F"/>
          <w:w w:val="105"/>
          <w:sz w:val="22"/>
        </w:rPr>
        <w:t>, la</w:t>
      </w:r>
      <w:r>
        <w:rPr>
          <w:color w:val="231F1F"/>
          <w:spacing w:val="-9"/>
          <w:w w:val="105"/>
          <w:sz w:val="22"/>
        </w:rPr>
        <w:t> </w:t>
      </w:r>
      <w:r>
        <w:rPr>
          <w:color w:val="231F1F"/>
          <w:w w:val="105"/>
          <w:sz w:val="22"/>
        </w:rPr>
        <w:t>realización</w:t>
      </w:r>
      <w:r>
        <w:rPr>
          <w:color w:val="231F1F"/>
          <w:spacing w:val="-9"/>
          <w:w w:val="105"/>
          <w:sz w:val="22"/>
        </w:rPr>
        <w:t> </w:t>
      </w:r>
      <w:r>
        <w:rPr>
          <w:color w:val="231F1F"/>
          <w:w w:val="105"/>
          <w:sz w:val="22"/>
        </w:rPr>
        <w:t>del</w:t>
      </w:r>
      <w:r>
        <w:rPr>
          <w:color w:val="231F1F"/>
          <w:spacing w:val="-10"/>
          <w:w w:val="105"/>
          <w:sz w:val="22"/>
        </w:rPr>
        <w:t> </w:t>
      </w:r>
      <w:r>
        <w:rPr>
          <w:color w:val="231F1F"/>
          <w:w w:val="105"/>
          <w:sz w:val="22"/>
        </w:rPr>
        <w:t>contacto</w:t>
      </w:r>
      <w:r>
        <w:rPr>
          <w:color w:val="231F1F"/>
          <w:spacing w:val="-9"/>
          <w:w w:val="105"/>
          <w:sz w:val="22"/>
        </w:rPr>
        <w:t> </w:t>
      </w:r>
      <w:r>
        <w:rPr>
          <w:color w:val="231F1F"/>
          <w:w w:val="105"/>
          <w:sz w:val="22"/>
        </w:rPr>
        <w:t>inmediato</w:t>
      </w:r>
      <w:r>
        <w:rPr>
          <w:color w:val="231F1F"/>
          <w:spacing w:val="-9"/>
          <w:w w:val="105"/>
          <w:sz w:val="22"/>
        </w:rPr>
        <w:t> </w:t>
      </w:r>
      <w:r>
        <w:rPr>
          <w:color w:val="231F1F"/>
          <w:w w:val="105"/>
          <w:sz w:val="22"/>
        </w:rPr>
        <w:t>piel</w:t>
      </w:r>
      <w:r>
        <w:rPr>
          <w:color w:val="231F1F"/>
          <w:spacing w:val="-10"/>
          <w:w w:val="105"/>
          <w:sz w:val="22"/>
        </w:rPr>
        <w:t> </w:t>
      </w:r>
      <w:r>
        <w:rPr>
          <w:color w:val="231F1F"/>
          <w:w w:val="105"/>
          <w:sz w:val="22"/>
        </w:rPr>
        <w:t>con</w:t>
      </w:r>
      <w:r>
        <w:rPr>
          <w:color w:val="231F1F"/>
          <w:spacing w:val="-9"/>
          <w:w w:val="105"/>
          <w:sz w:val="22"/>
        </w:rPr>
        <w:t> </w:t>
      </w:r>
      <w:r>
        <w:rPr>
          <w:color w:val="231F1F"/>
          <w:w w:val="105"/>
          <w:sz w:val="22"/>
        </w:rPr>
        <w:t>piel</w:t>
      </w:r>
      <w:r>
        <w:rPr>
          <w:color w:val="231F1F"/>
          <w:spacing w:val="-10"/>
          <w:w w:val="105"/>
          <w:sz w:val="22"/>
        </w:rPr>
        <w:t> </w:t>
      </w:r>
      <w:r>
        <w:rPr>
          <w:color w:val="231F1F"/>
          <w:w w:val="105"/>
          <w:sz w:val="22"/>
        </w:rPr>
        <w:t>entre</w:t>
      </w:r>
      <w:r>
        <w:rPr>
          <w:color w:val="231F1F"/>
          <w:spacing w:val="-9"/>
          <w:w w:val="105"/>
          <w:sz w:val="22"/>
        </w:rPr>
        <w:t> </w:t>
      </w:r>
      <w:r>
        <w:rPr>
          <w:color w:val="231F1F"/>
          <w:w w:val="105"/>
          <w:sz w:val="22"/>
        </w:rPr>
        <w:t>madre</w:t>
      </w:r>
      <w:r>
        <w:rPr>
          <w:color w:val="231F1F"/>
          <w:spacing w:val="-9"/>
          <w:w w:val="105"/>
          <w:sz w:val="22"/>
        </w:rPr>
        <w:t> </w:t>
      </w:r>
      <w:r>
        <w:rPr>
          <w:color w:val="231F1F"/>
          <w:w w:val="105"/>
          <w:sz w:val="22"/>
        </w:rPr>
        <w:t>e</w:t>
      </w:r>
      <w:r>
        <w:rPr>
          <w:color w:val="231F1F"/>
          <w:spacing w:val="-9"/>
          <w:w w:val="105"/>
          <w:sz w:val="22"/>
        </w:rPr>
        <w:t> </w:t>
      </w:r>
      <w:r>
        <w:rPr>
          <w:color w:val="231F1F"/>
          <w:w w:val="105"/>
          <w:sz w:val="22"/>
        </w:rPr>
        <w:t>hijo</w:t>
      </w:r>
      <w:r>
        <w:rPr>
          <w:color w:val="231F1F"/>
          <w:spacing w:val="-9"/>
          <w:w w:val="105"/>
          <w:sz w:val="22"/>
        </w:rPr>
        <w:t> </w:t>
      </w:r>
      <w:r>
        <w:rPr>
          <w:color w:val="231F1F"/>
          <w:w w:val="105"/>
          <w:sz w:val="22"/>
        </w:rPr>
        <w:t>y</w:t>
      </w:r>
      <w:r>
        <w:rPr>
          <w:color w:val="231F1F"/>
          <w:spacing w:val="-9"/>
          <w:w w:val="105"/>
          <w:sz w:val="22"/>
        </w:rPr>
        <w:t> </w:t>
      </w:r>
      <w:r>
        <w:rPr>
          <w:color w:val="231F1F"/>
          <w:w w:val="105"/>
          <w:sz w:val="22"/>
        </w:rPr>
        <w:t>el</w:t>
      </w:r>
      <w:r>
        <w:rPr>
          <w:color w:val="231F1F"/>
          <w:spacing w:val="-10"/>
          <w:w w:val="105"/>
          <w:sz w:val="22"/>
        </w:rPr>
        <w:t> </w:t>
      </w:r>
      <w:r>
        <w:rPr>
          <w:color w:val="231F1F"/>
          <w:w w:val="105"/>
          <w:sz w:val="22"/>
        </w:rPr>
        <w:t>apoyo al inicio de la lactancia en la primera hora después del parto. En el año 2006, en</w:t>
      </w:r>
      <w:r>
        <w:rPr>
          <w:color w:val="231F1F"/>
          <w:w w:val="105"/>
          <w:sz w:val="22"/>
        </w:rPr>
        <w:t> la</w:t>
      </w:r>
      <w:r>
        <w:rPr>
          <w:color w:val="231F1F"/>
          <w:w w:val="105"/>
          <w:sz w:val="22"/>
        </w:rPr>
        <w:t> página</w:t>
      </w:r>
      <w:r>
        <w:rPr>
          <w:color w:val="231F1F"/>
          <w:w w:val="105"/>
          <w:sz w:val="22"/>
        </w:rPr>
        <w:t> Web</w:t>
      </w:r>
      <w:r>
        <w:rPr>
          <w:color w:val="231F1F"/>
          <w:w w:val="105"/>
          <w:sz w:val="22"/>
        </w:rPr>
        <w:t> de</w:t>
      </w:r>
      <w:r>
        <w:rPr>
          <w:color w:val="231F1F"/>
          <w:w w:val="105"/>
          <w:sz w:val="22"/>
        </w:rPr>
        <w:t> UNICEF,</w:t>
      </w:r>
      <w:r>
        <w:rPr>
          <w:color w:val="231F1F"/>
          <w:w w:val="105"/>
          <w:sz w:val="22"/>
        </w:rPr>
        <w:t> encontramos</w:t>
      </w:r>
      <w:r>
        <w:rPr>
          <w:color w:val="231F1F"/>
          <w:w w:val="105"/>
          <w:sz w:val="22"/>
        </w:rPr>
        <w:t> un</w:t>
      </w:r>
      <w:r>
        <w:rPr>
          <w:color w:val="231F1F"/>
          <w:w w:val="105"/>
          <w:sz w:val="22"/>
        </w:rPr>
        <w:t> documento</w:t>
      </w:r>
      <w:r>
        <w:rPr>
          <w:color w:val="231F1F"/>
          <w:w w:val="105"/>
          <w:sz w:val="22"/>
        </w:rPr>
        <w:t> que</w:t>
      </w:r>
      <w:r>
        <w:rPr>
          <w:color w:val="231F1F"/>
          <w:w w:val="105"/>
          <w:sz w:val="22"/>
        </w:rPr>
        <w:t> trata</w:t>
      </w:r>
      <w:r>
        <w:rPr>
          <w:color w:val="231F1F"/>
          <w:w w:val="105"/>
          <w:sz w:val="22"/>
        </w:rPr>
        <w:t> de</w:t>
      </w:r>
      <w:r>
        <w:rPr>
          <w:color w:val="231F1F"/>
          <w:w w:val="105"/>
          <w:sz w:val="22"/>
        </w:rPr>
        <w:t> los principales</w:t>
      </w:r>
      <w:r>
        <w:rPr>
          <w:color w:val="231F1F"/>
          <w:w w:val="105"/>
          <w:sz w:val="22"/>
        </w:rPr>
        <w:t> factores</w:t>
      </w:r>
      <w:r>
        <w:rPr>
          <w:color w:val="231F1F"/>
          <w:w w:val="105"/>
          <w:sz w:val="22"/>
        </w:rPr>
        <w:t> que</w:t>
      </w:r>
      <w:r>
        <w:rPr>
          <w:color w:val="231F1F"/>
          <w:w w:val="105"/>
          <w:sz w:val="22"/>
        </w:rPr>
        <w:t> favorecen</w:t>
      </w:r>
      <w:r>
        <w:rPr>
          <w:color w:val="231F1F"/>
          <w:w w:val="105"/>
          <w:sz w:val="22"/>
        </w:rPr>
        <w:t> el</w:t>
      </w:r>
      <w:r>
        <w:rPr>
          <w:color w:val="231F1F"/>
          <w:w w:val="105"/>
          <w:sz w:val="22"/>
        </w:rPr>
        <w:t> inicio</w:t>
      </w:r>
      <w:r>
        <w:rPr>
          <w:color w:val="231F1F"/>
          <w:w w:val="105"/>
          <w:sz w:val="22"/>
        </w:rPr>
        <w:t> de</w:t>
      </w:r>
      <w:r>
        <w:rPr>
          <w:color w:val="231F1F"/>
          <w:w w:val="105"/>
          <w:sz w:val="22"/>
        </w:rPr>
        <w:t> la</w:t>
      </w:r>
      <w:r>
        <w:rPr>
          <w:color w:val="231F1F"/>
          <w:w w:val="105"/>
          <w:sz w:val="22"/>
        </w:rPr>
        <w:t> lactancia</w:t>
      </w:r>
      <w:r>
        <w:rPr>
          <w:color w:val="231F1F"/>
          <w:w w:val="105"/>
          <w:sz w:val="22"/>
        </w:rPr>
        <w:t> y</w:t>
      </w:r>
      <w:r>
        <w:rPr>
          <w:color w:val="231F1F"/>
          <w:w w:val="105"/>
          <w:sz w:val="22"/>
        </w:rPr>
        <w:t> que</w:t>
      </w:r>
      <w:r>
        <w:rPr>
          <w:color w:val="231F1F"/>
          <w:w w:val="105"/>
          <w:sz w:val="22"/>
        </w:rPr>
        <w:t> están</w:t>
      </w:r>
      <w:r>
        <w:rPr>
          <w:color w:val="231F1F"/>
          <w:w w:val="105"/>
          <w:sz w:val="22"/>
        </w:rPr>
        <w:t> resu- midos en 10 pasos: «</w:t>
      </w:r>
      <w:r>
        <w:rPr>
          <w:i/>
          <w:color w:val="231F1F"/>
          <w:w w:val="105"/>
          <w:sz w:val="22"/>
        </w:rPr>
        <w:t>Los</w:t>
      </w:r>
      <w:r>
        <w:rPr>
          <w:i/>
          <w:color w:val="231F1F"/>
          <w:spacing w:val="-9"/>
          <w:w w:val="105"/>
          <w:sz w:val="22"/>
        </w:rPr>
        <w:t> </w:t>
      </w:r>
      <w:r>
        <w:rPr>
          <w:i/>
          <w:color w:val="231F1F"/>
          <w:w w:val="105"/>
          <w:sz w:val="22"/>
        </w:rPr>
        <w:t>10</w:t>
      </w:r>
      <w:r>
        <w:rPr>
          <w:i/>
          <w:color w:val="231F1F"/>
          <w:spacing w:val="-9"/>
          <w:w w:val="105"/>
          <w:sz w:val="22"/>
        </w:rPr>
        <w:t> </w:t>
      </w:r>
      <w:r>
        <w:rPr>
          <w:i/>
          <w:color w:val="231F1F"/>
          <w:w w:val="105"/>
          <w:sz w:val="22"/>
        </w:rPr>
        <w:t>Pasos</w:t>
      </w:r>
      <w:r>
        <w:rPr>
          <w:i/>
          <w:color w:val="231F1F"/>
          <w:spacing w:val="-9"/>
          <w:w w:val="105"/>
          <w:sz w:val="22"/>
        </w:rPr>
        <w:t> </w:t>
      </w:r>
      <w:r>
        <w:rPr>
          <w:i/>
          <w:color w:val="231F1F"/>
          <w:w w:val="105"/>
          <w:sz w:val="22"/>
        </w:rPr>
        <w:t>para</w:t>
      </w:r>
      <w:r>
        <w:rPr>
          <w:i/>
          <w:color w:val="231F1F"/>
          <w:spacing w:val="-9"/>
          <w:w w:val="105"/>
          <w:sz w:val="22"/>
        </w:rPr>
        <w:t> </w:t>
      </w:r>
      <w:r>
        <w:rPr>
          <w:i/>
          <w:color w:val="231F1F"/>
          <w:w w:val="105"/>
          <w:sz w:val="22"/>
        </w:rPr>
        <w:t>la</w:t>
      </w:r>
      <w:r>
        <w:rPr>
          <w:i/>
          <w:color w:val="231F1F"/>
          <w:spacing w:val="-9"/>
          <w:w w:val="105"/>
          <w:sz w:val="22"/>
        </w:rPr>
        <w:t> </w:t>
      </w:r>
      <w:r>
        <w:rPr>
          <w:i/>
          <w:color w:val="231F1F"/>
          <w:w w:val="105"/>
          <w:sz w:val="22"/>
        </w:rPr>
        <w:t>Lactancia</w:t>
      </w:r>
      <w:r>
        <w:rPr>
          <w:i/>
          <w:color w:val="231F1F"/>
          <w:spacing w:val="-9"/>
          <w:w w:val="105"/>
          <w:sz w:val="22"/>
        </w:rPr>
        <w:t> </w:t>
      </w:r>
      <w:r>
        <w:rPr>
          <w:i/>
          <w:color w:val="231F1F"/>
          <w:w w:val="105"/>
          <w:sz w:val="22"/>
        </w:rPr>
        <w:t>Exitosa</w:t>
      </w:r>
      <w:r>
        <w:rPr>
          <w:color w:val="231F1F"/>
          <w:w w:val="105"/>
          <w:sz w:val="22"/>
        </w:rPr>
        <w:t>». Este documen- to es una Iniciativa del Hospital Amigo del Niño y de la Madre (IHANM) de UNICEF/OMS, ahora iniciativa humanización de la atención al nacimiento y lactancia de UNICEF/OMS. En este documento, uno de los 10 pasos es ayu- dar</w:t>
      </w:r>
      <w:r>
        <w:rPr>
          <w:color w:val="231F1F"/>
          <w:w w:val="105"/>
          <w:sz w:val="22"/>
        </w:rPr>
        <w:t> a</w:t>
      </w:r>
      <w:r>
        <w:rPr>
          <w:color w:val="231F1F"/>
          <w:w w:val="105"/>
          <w:sz w:val="22"/>
        </w:rPr>
        <w:t> las</w:t>
      </w:r>
      <w:r>
        <w:rPr>
          <w:color w:val="231F1F"/>
          <w:w w:val="105"/>
          <w:sz w:val="22"/>
        </w:rPr>
        <w:t> madres</w:t>
      </w:r>
      <w:r>
        <w:rPr>
          <w:color w:val="231F1F"/>
          <w:w w:val="105"/>
          <w:sz w:val="22"/>
        </w:rPr>
        <w:t> a</w:t>
      </w:r>
      <w:r>
        <w:rPr>
          <w:color w:val="231F1F"/>
          <w:w w:val="105"/>
          <w:sz w:val="22"/>
        </w:rPr>
        <w:t> iniciar</w:t>
      </w:r>
      <w:r>
        <w:rPr>
          <w:color w:val="231F1F"/>
          <w:w w:val="105"/>
          <w:sz w:val="22"/>
        </w:rPr>
        <w:t> la</w:t>
      </w:r>
      <w:r>
        <w:rPr>
          <w:color w:val="231F1F"/>
          <w:w w:val="105"/>
          <w:sz w:val="22"/>
        </w:rPr>
        <w:t> lactancia</w:t>
      </w:r>
      <w:r>
        <w:rPr>
          <w:color w:val="231F1F"/>
          <w:w w:val="105"/>
          <w:sz w:val="22"/>
        </w:rPr>
        <w:t> dentro</w:t>
      </w:r>
      <w:r>
        <w:rPr>
          <w:color w:val="231F1F"/>
          <w:w w:val="105"/>
          <w:sz w:val="22"/>
        </w:rPr>
        <w:t> de</w:t>
      </w:r>
      <w:r>
        <w:rPr>
          <w:color w:val="231F1F"/>
          <w:w w:val="105"/>
          <w:sz w:val="22"/>
        </w:rPr>
        <w:t> la</w:t>
      </w:r>
      <w:r>
        <w:rPr>
          <w:color w:val="231F1F"/>
          <w:w w:val="105"/>
          <w:sz w:val="22"/>
        </w:rPr>
        <w:t> media</w:t>
      </w:r>
      <w:r>
        <w:rPr>
          <w:color w:val="231F1F"/>
          <w:w w:val="105"/>
          <w:sz w:val="22"/>
        </w:rPr>
        <w:t> hora</w:t>
      </w:r>
      <w:r>
        <w:rPr>
          <w:color w:val="231F1F"/>
          <w:w w:val="105"/>
          <w:sz w:val="22"/>
        </w:rPr>
        <w:t> siguiente</w:t>
      </w:r>
      <w:r>
        <w:rPr>
          <w:color w:val="231F1F"/>
          <w:w w:val="105"/>
          <w:sz w:val="22"/>
        </w:rPr>
        <w:t> al parto: Después del parto, el RN debe secarse y colocarse sobre la madre, para favorecer el apego precoz y el contacto piel con piel entre ambos. </w:t>
      </w:r>
      <w:r>
        <w:rPr>
          <w:i/>
          <w:color w:val="231F1F"/>
          <w:w w:val="105"/>
          <w:sz w:val="22"/>
        </w:rPr>
        <w:t>Después</w:t>
      </w:r>
      <w:r>
        <w:rPr>
          <w:i/>
          <w:color w:val="231F1F"/>
          <w:spacing w:val="-4"/>
          <w:w w:val="105"/>
          <w:sz w:val="22"/>
        </w:rPr>
        <w:t> </w:t>
      </w:r>
      <w:r>
        <w:rPr>
          <w:i/>
          <w:color w:val="231F1F"/>
          <w:w w:val="105"/>
          <w:sz w:val="22"/>
        </w:rPr>
        <w:t>de 30 minutos el RN inicia los reflejos de mamar. Permitir que el RN mame, en contacto</w:t>
      </w:r>
      <w:r>
        <w:rPr>
          <w:i/>
          <w:color w:val="231F1F"/>
          <w:spacing w:val="-5"/>
          <w:w w:val="105"/>
          <w:sz w:val="22"/>
        </w:rPr>
        <w:t> </w:t>
      </w:r>
      <w:r>
        <w:rPr>
          <w:i/>
          <w:color w:val="231F1F"/>
          <w:w w:val="105"/>
          <w:sz w:val="22"/>
        </w:rPr>
        <w:t>piel</w:t>
      </w:r>
      <w:r>
        <w:rPr>
          <w:i/>
          <w:color w:val="231F1F"/>
          <w:spacing w:val="-5"/>
          <w:w w:val="105"/>
          <w:sz w:val="22"/>
        </w:rPr>
        <w:t> </w:t>
      </w:r>
      <w:r>
        <w:rPr>
          <w:i/>
          <w:color w:val="231F1F"/>
          <w:w w:val="105"/>
          <w:sz w:val="22"/>
        </w:rPr>
        <w:t>con</w:t>
      </w:r>
      <w:r>
        <w:rPr>
          <w:i/>
          <w:color w:val="231F1F"/>
          <w:spacing w:val="-5"/>
          <w:w w:val="105"/>
          <w:sz w:val="22"/>
        </w:rPr>
        <w:t> </w:t>
      </w:r>
      <w:r>
        <w:rPr>
          <w:i/>
          <w:color w:val="231F1F"/>
          <w:w w:val="105"/>
          <w:sz w:val="22"/>
        </w:rPr>
        <w:t>piel,</w:t>
      </w:r>
      <w:r>
        <w:rPr>
          <w:i/>
          <w:color w:val="231F1F"/>
          <w:spacing w:val="-5"/>
          <w:w w:val="105"/>
          <w:sz w:val="22"/>
        </w:rPr>
        <w:t> </w:t>
      </w:r>
      <w:r>
        <w:rPr>
          <w:i/>
          <w:color w:val="231F1F"/>
          <w:w w:val="105"/>
          <w:sz w:val="22"/>
        </w:rPr>
        <w:t>dentro</w:t>
      </w:r>
      <w:r>
        <w:rPr>
          <w:i/>
          <w:color w:val="231F1F"/>
          <w:spacing w:val="-5"/>
          <w:w w:val="105"/>
          <w:sz w:val="22"/>
        </w:rPr>
        <w:t> </w:t>
      </w:r>
      <w:r>
        <w:rPr>
          <w:i/>
          <w:color w:val="231F1F"/>
          <w:w w:val="105"/>
          <w:sz w:val="22"/>
        </w:rPr>
        <w:t>de</w:t>
      </w:r>
      <w:r>
        <w:rPr>
          <w:i/>
          <w:color w:val="231F1F"/>
          <w:spacing w:val="-5"/>
          <w:w w:val="105"/>
          <w:sz w:val="22"/>
        </w:rPr>
        <w:t> </w:t>
      </w:r>
      <w:r>
        <w:rPr>
          <w:i/>
          <w:color w:val="231F1F"/>
          <w:w w:val="105"/>
          <w:sz w:val="22"/>
        </w:rPr>
        <w:t>la</w:t>
      </w:r>
      <w:r>
        <w:rPr>
          <w:i/>
          <w:color w:val="231F1F"/>
          <w:spacing w:val="-5"/>
          <w:w w:val="105"/>
          <w:sz w:val="22"/>
        </w:rPr>
        <w:t> </w:t>
      </w:r>
      <w:r>
        <w:rPr>
          <w:i/>
          <w:color w:val="231F1F"/>
          <w:w w:val="105"/>
          <w:sz w:val="22"/>
        </w:rPr>
        <w:t>primera</w:t>
      </w:r>
      <w:r>
        <w:rPr>
          <w:i/>
          <w:color w:val="231F1F"/>
          <w:spacing w:val="-5"/>
          <w:w w:val="105"/>
          <w:sz w:val="22"/>
        </w:rPr>
        <w:t> </w:t>
      </w:r>
      <w:r>
        <w:rPr>
          <w:i/>
          <w:color w:val="231F1F"/>
          <w:w w:val="105"/>
          <w:sz w:val="22"/>
        </w:rPr>
        <w:t>hora</w:t>
      </w:r>
      <w:r>
        <w:rPr>
          <w:i/>
          <w:color w:val="231F1F"/>
          <w:spacing w:val="-5"/>
          <w:w w:val="105"/>
          <w:sz w:val="22"/>
        </w:rPr>
        <w:t> </w:t>
      </w:r>
      <w:r>
        <w:rPr>
          <w:i/>
          <w:color w:val="231F1F"/>
          <w:w w:val="105"/>
          <w:sz w:val="22"/>
        </w:rPr>
        <w:t>de</w:t>
      </w:r>
      <w:r>
        <w:rPr>
          <w:i/>
          <w:color w:val="231F1F"/>
          <w:spacing w:val="-5"/>
          <w:w w:val="105"/>
          <w:sz w:val="22"/>
        </w:rPr>
        <w:t> </w:t>
      </w:r>
      <w:r>
        <w:rPr>
          <w:i/>
          <w:color w:val="231F1F"/>
          <w:w w:val="105"/>
          <w:sz w:val="22"/>
        </w:rPr>
        <w:t>vida</w:t>
      </w:r>
      <w:r>
        <w:rPr>
          <w:i/>
          <w:color w:val="231F1F"/>
          <w:spacing w:val="-5"/>
          <w:w w:val="105"/>
          <w:sz w:val="22"/>
        </w:rPr>
        <w:t> </w:t>
      </w:r>
      <w:r>
        <w:rPr>
          <w:i/>
          <w:color w:val="231F1F"/>
          <w:w w:val="105"/>
          <w:sz w:val="22"/>
        </w:rPr>
        <w:t>en</w:t>
      </w:r>
      <w:r>
        <w:rPr>
          <w:i/>
          <w:color w:val="231F1F"/>
          <w:spacing w:val="-5"/>
          <w:w w:val="105"/>
          <w:sz w:val="22"/>
        </w:rPr>
        <w:t> </w:t>
      </w:r>
      <w:r>
        <w:rPr>
          <w:i/>
          <w:color w:val="231F1F"/>
          <w:w w:val="105"/>
          <w:sz w:val="22"/>
        </w:rPr>
        <w:t>la</w:t>
      </w:r>
      <w:r>
        <w:rPr>
          <w:i/>
          <w:color w:val="231F1F"/>
          <w:spacing w:val="-5"/>
          <w:w w:val="105"/>
          <w:sz w:val="22"/>
        </w:rPr>
        <w:t> </w:t>
      </w:r>
      <w:r>
        <w:rPr>
          <w:i/>
          <w:color w:val="231F1F"/>
          <w:w w:val="105"/>
          <w:sz w:val="22"/>
        </w:rPr>
        <w:t>sala</w:t>
      </w:r>
      <w:r>
        <w:rPr>
          <w:i/>
          <w:color w:val="231F1F"/>
          <w:spacing w:val="-5"/>
          <w:w w:val="105"/>
          <w:sz w:val="22"/>
        </w:rPr>
        <w:t> </w:t>
      </w:r>
      <w:r>
        <w:rPr>
          <w:i/>
          <w:color w:val="231F1F"/>
          <w:w w:val="105"/>
          <w:sz w:val="22"/>
        </w:rPr>
        <w:t>de</w:t>
      </w:r>
      <w:r>
        <w:rPr>
          <w:i/>
          <w:color w:val="231F1F"/>
          <w:spacing w:val="-5"/>
          <w:w w:val="105"/>
          <w:sz w:val="22"/>
        </w:rPr>
        <w:t> </w:t>
      </w:r>
      <w:r>
        <w:rPr>
          <w:i/>
          <w:color w:val="231F1F"/>
          <w:w w:val="105"/>
          <w:sz w:val="22"/>
        </w:rPr>
        <w:t>partos</w:t>
      </w:r>
      <w:r>
        <w:rPr>
          <w:i/>
          <w:color w:val="231F1F"/>
          <w:spacing w:val="-5"/>
          <w:w w:val="105"/>
          <w:sz w:val="22"/>
        </w:rPr>
        <w:t> </w:t>
      </w:r>
      <w:r>
        <w:rPr>
          <w:i/>
          <w:color w:val="231F1F"/>
          <w:w w:val="105"/>
          <w:sz w:val="22"/>
        </w:rPr>
        <w:t>o de</w:t>
      </w:r>
      <w:r>
        <w:rPr>
          <w:i/>
          <w:color w:val="231F1F"/>
          <w:spacing w:val="-1"/>
          <w:w w:val="105"/>
          <w:sz w:val="22"/>
        </w:rPr>
        <w:t> </w:t>
      </w:r>
      <w:r>
        <w:rPr>
          <w:i/>
          <w:color w:val="231F1F"/>
          <w:w w:val="105"/>
          <w:sz w:val="22"/>
        </w:rPr>
        <w:t>recuperación,</w:t>
      </w:r>
      <w:r>
        <w:rPr>
          <w:i/>
          <w:color w:val="231F1F"/>
          <w:spacing w:val="-1"/>
          <w:w w:val="105"/>
          <w:sz w:val="22"/>
        </w:rPr>
        <w:t> </w:t>
      </w:r>
      <w:r>
        <w:rPr>
          <w:i/>
          <w:color w:val="231F1F"/>
          <w:w w:val="105"/>
          <w:sz w:val="22"/>
        </w:rPr>
        <w:t>hace</w:t>
      </w:r>
      <w:r>
        <w:rPr>
          <w:i/>
          <w:color w:val="231F1F"/>
          <w:spacing w:val="-1"/>
          <w:w w:val="105"/>
          <w:sz w:val="22"/>
        </w:rPr>
        <w:t> </w:t>
      </w:r>
      <w:r>
        <w:rPr>
          <w:i/>
          <w:color w:val="231F1F"/>
          <w:w w:val="105"/>
          <w:sz w:val="22"/>
        </w:rPr>
        <w:t>que</w:t>
      </w:r>
      <w:r>
        <w:rPr>
          <w:i/>
          <w:color w:val="231F1F"/>
          <w:spacing w:val="-1"/>
          <w:w w:val="105"/>
          <w:sz w:val="22"/>
        </w:rPr>
        <w:t> </w:t>
      </w:r>
      <w:r>
        <w:rPr>
          <w:i/>
          <w:color w:val="231F1F"/>
          <w:w w:val="105"/>
          <w:sz w:val="22"/>
        </w:rPr>
        <w:t>se</w:t>
      </w:r>
      <w:r>
        <w:rPr>
          <w:i/>
          <w:color w:val="231F1F"/>
          <w:spacing w:val="-1"/>
          <w:w w:val="105"/>
          <w:sz w:val="22"/>
        </w:rPr>
        <w:t> </w:t>
      </w:r>
      <w:r>
        <w:rPr>
          <w:i/>
          <w:color w:val="231F1F"/>
          <w:w w:val="105"/>
          <w:sz w:val="22"/>
        </w:rPr>
        <w:t>desencadene</w:t>
      </w:r>
      <w:r>
        <w:rPr>
          <w:i/>
          <w:color w:val="231F1F"/>
          <w:spacing w:val="-1"/>
          <w:w w:val="105"/>
          <w:sz w:val="22"/>
        </w:rPr>
        <w:t> </w:t>
      </w:r>
      <w:r>
        <w:rPr>
          <w:i/>
          <w:color w:val="231F1F"/>
          <w:w w:val="105"/>
          <w:sz w:val="22"/>
        </w:rPr>
        <w:t>en la madre el reflejo de oxitocina, que</w:t>
      </w:r>
      <w:r>
        <w:rPr>
          <w:i/>
          <w:color w:val="231F1F"/>
          <w:spacing w:val="-9"/>
          <w:w w:val="105"/>
          <w:sz w:val="22"/>
        </w:rPr>
        <w:t> </w:t>
      </w:r>
      <w:r>
        <w:rPr>
          <w:i/>
          <w:color w:val="231F1F"/>
          <w:w w:val="105"/>
          <w:sz w:val="22"/>
        </w:rPr>
        <w:t>favorece</w:t>
      </w:r>
      <w:r>
        <w:rPr>
          <w:i/>
          <w:color w:val="231F1F"/>
          <w:spacing w:val="-9"/>
          <w:w w:val="105"/>
          <w:sz w:val="22"/>
        </w:rPr>
        <w:t> </w:t>
      </w:r>
      <w:r>
        <w:rPr>
          <w:i/>
          <w:color w:val="231F1F"/>
          <w:w w:val="105"/>
          <w:sz w:val="22"/>
        </w:rPr>
        <w:t>la</w:t>
      </w:r>
      <w:r>
        <w:rPr>
          <w:i/>
          <w:color w:val="231F1F"/>
          <w:spacing w:val="-9"/>
          <w:w w:val="105"/>
          <w:sz w:val="22"/>
        </w:rPr>
        <w:t> </w:t>
      </w:r>
      <w:r>
        <w:rPr>
          <w:i/>
          <w:color w:val="231F1F"/>
          <w:w w:val="105"/>
          <w:sz w:val="22"/>
        </w:rPr>
        <w:t>retracción</w:t>
      </w:r>
      <w:r>
        <w:rPr>
          <w:i/>
          <w:color w:val="231F1F"/>
          <w:spacing w:val="-10"/>
          <w:w w:val="105"/>
          <w:sz w:val="22"/>
        </w:rPr>
        <w:t> </w:t>
      </w:r>
      <w:r>
        <w:rPr>
          <w:i/>
          <w:color w:val="231F1F"/>
          <w:w w:val="105"/>
          <w:sz w:val="22"/>
        </w:rPr>
        <w:t>uterina</w:t>
      </w:r>
      <w:r>
        <w:rPr>
          <w:i/>
          <w:color w:val="231F1F"/>
          <w:spacing w:val="-10"/>
          <w:w w:val="105"/>
          <w:sz w:val="22"/>
        </w:rPr>
        <w:t> </w:t>
      </w:r>
      <w:r>
        <w:rPr>
          <w:i/>
          <w:color w:val="231F1F"/>
          <w:w w:val="105"/>
          <w:sz w:val="22"/>
        </w:rPr>
        <w:t>previniendo</w:t>
      </w:r>
      <w:r>
        <w:rPr>
          <w:i/>
          <w:color w:val="231F1F"/>
          <w:spacing w:val="-10"/>
          <w:w w:val="105"/>
          <w:sz w:val="22"/>
        </w:rPr>
        <w:t> </w:t>
      </w:r>
      <w:r>
        <w:rPr>
          <w:i/>
          <w:color w:val="231F1F"/>
          <w:w w:val="105"/>
          <w:sz w:val="22"/>
        </w:rPr>
        <w:t>hemorragias.</w:t>
      </w:r>
      <w:r>
        <w:rPr>
          <w:i/>
          <w:color w:val="231F1F"/>
          <w:spacing w:val="-9"/>
          <w:w w:val="105"/>
          <w:sz w:val="22"/>
        </w:rPr>
        <w:t> </w:t>
      </w:r>
      <w:r>
        <w:rPr>
          <w:i/>
          <w:color w:val="231F1F"/>
          <w:w w:val="105"/>
          <w:sz w:val="22"/>
        </w:rPr>
        <w:t>El</w:t>
      </w:r>
      <w:r>
        <w:rPr>
          <w:i/>
          <w:color w:val="231F1F"/>
          <w:spacing w:val="-9"/>
          <w:w w:val="105"/>
          <w:sz w:val="22"/>
        </w:rPr>
        <w:t> </w:t>
      </w:r>
      <w:r>
        <w:rPr>
          <w:i/>
          <w:color w:val="231F1F"/>
          <w:w w:val="105"/>
          <w:sz w:val="22"/>
        </w:rPr>
        <w:t>contacto</w:t>
      </w:r>
      <w:r>
        <w:rPr>
          <w:i/>
          <w:color w:val="231F1F"/>
          <w:spacing w:val="-10"/>
          <w:w w:val="105"/>
          <w:sz w:val="22"/>
        </w:rPr>
        <w:t> </w:t>
      </w:r>
      <w:r>
        <w:rPr>
          <w:i/>
          <w:color w:val="231F1F"/>
          <w:w w:val="105"/>
          <w:sz w:val="22"/>
        </w:rPr>
        <w:t>piel</w:t>
      </w:r>
      <w:r>
        <w:rPr>
          <w:i/>
          <w:color w:val="231F1F"/>
          <w:spacing w:val="-9"/>
          <w:w w:val="105"/>
          <w:sz w:val="22"/>
        </w:rPr>
        <w:t> </w:t>
      </w:r>
      <w:r>
        <w:rPr>
          <w:i/>
          <w:color w:val="231F1F"/>
          <w:w w:val="105"/>
          <w:sz w:val="22"/>
        </w:rPr>
        <w:t>a piel y el calostro evitan el estrés en el RN, lo inmunizan, mantienen la tempe- ratura corporal y el nivel de glucemia </w:t>
      </w:r>
      <w:r>
        <w:rPr>
          <w:color w:val="231F1F"/>
          <w:w w:val="105"/>
          <w:sz w:val="22"/>
        </w:rPr>
        <w:t>(238).</w:t>
      </w:r>
    </w:p>
    <w:p>
      <w:pPr>
        <w:pStyle w:val="BodyText"/>
        <w:spacing w:before="45"/>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(2005</w:t>
      </w:r>
      <w:r>
        <w:rPr>
          <w:rFonts w:ascii="Arial MT" w:hAnsi="Arial MT"/>
          <w:color w:val="231F1F"/>
          <w:spacing w:val="14"/>
          <w:sz w:val="24"/>
        </w:rPr>
        <w:t> </w:t>
      </w:r>
      <w:r>
        <w:rPr>
          <w:rFonts w:ascii="Arial MT" w:hAnsi="Arial MT"/>
          <w:color w:val="231F1F"/>
          <w:sz w:val="24"/>
        </w:rPr>
        <w:t>a</w:t>
      </w:r>
      <w:r>
        <w:rPr>
          <w:rFonts w:ascii="Arial MT" w:hAnsi="Arial MT"/>
          <w:color w:val="231F1F"/>
          <w:spacing w:val="15"/>
          <w:sz w:val="24"/>
        </w:rPr>
        <w:t> </w:t>
      </w:r>
      <w:r>
        <w:rPr>
          <w:rFonts w:ascii="Arial MT" w:hAnsi="Arial MT"/>
          <w:color w:val="231F1F"/>
          <w:sz w:val="24"/>
        </w:rPr>
        <w:t>mayo</w:t>
      </w:r>
      <w:r>
        <w:rPr>
          <w:rFonts w:ascii="Arial MT" w:hAnsi="Arial MT"/>
          <w:color w:val="231F1F"/>
          <w:spacing w:val="15"/>
          <w:sz w:val="24"/>
        </w:rPr>
        <w:t> </w:t>
      </w:r>
      <w:r>
        <w:rPr>
          <w:rFonts w:ascii="Arial MT" w:hAnsi="Arial MT"/>
          <w:color w:val="231F1F"/>
          <w:sz w:val="24"/>
        </w:rPr>
        <w:t>de</w:t>
      </w:r>
      <w:r>
        <w:rPr>
          <w:rFonts w:ascii="Arial MT" w:hAnsi="Arial MT"/>
          <w:color w:val="231F1F"/>
          <w:spacing w:val="14"/>
          <w:sz w:val="24"/>
        </w:rPr>
        <w:t> </w:t>
      </w:r>
      <w:r>
        <w:rPr>
          <w:rFonts w:ascii="Arial MT" w:hAnsi="Arial MT"/>
          <w:color w:val="231F1F"/>
          <w:spacing w:val="-2"/>
          <w:sz w:val="24"/>
        </w:rPr>
        <w:t>2008)</w:t>
      </w:r>
    </w:p>
    <w:p>
      <w:pPr>
        <w:pStyle w:val="BodyText"/>
        <w:spacing w:line="247" w:lineRule="auto" w:before="204"/>
        <w:ind w:left="283" w:right="5"/>
        <w:jc w:val="both"/>
      </w:pPr>
      <w:r>
        <w:rPr>
          <w:color w:val="231F1F"/>
          <w:w w:val="105"/>
        </w:rPr>
        <w:t>De</w:t>
      </w:r>
      <w:r>
        <w:rPr>
          <w:color w:val="231F1F"/>
          <w:w w:val="105"/>
        </w:rPr>
        <w:t> 48</w:t>
      </w:r>
      <w:r>
        <w:rPr>
          <w:color w:val="231F1F"/>
          <w:w w:val="105"/>
        </w:rPr>
        <w:t> estudios</w:t>
      </w:r>
      <w:r>
        <w:rPr>
          <w:color w:val="231F1F"/>
          <w:w w:val="105"/>
        </w:rPr>
        <w:t> identificados</w:t>
      </w:r>
      <w:r>
        <w:rPr>
          <w:color w:val="231F1F"/>
          <w:w w:val="105"/>
        </w:rPr>
        <w:t> solo</w:t>
      </w:r>
      <w:r>
        <w:rPr>
          <w:color w:val="231F1F"/>
          <w:w w:val="105"/>
        </w:rPr>
        <w:t> se</w:t>
      </w:r>
      <w:r>
        <w:rPr>
          <w:color w:val="231F1F"/>
          <w:w w:val="105"/>
        </w:rPr>
        <w:t> seleccionó</w:t>
      </w:r>
      <w:r>
        <w:rPr>
          <w:color w:val="231F1F"/>
          <w:w w:val="105"/>
        </w:rPr>
        <w:t> uno</w:t>
      </w:r>
      <w:r>
        <w:rPr>
          <w:color w:val="231F1F"/>
          <w:w w:val="105"/>
        </w:rPr>
        <w:t> ya</w:t>
      </w:r>
      <w:r>
        <w:rPr>
          <w:color w:val="231F1F"/>
          <w:w w:val="105"/>
        </w:rPr>
        <w:t> que</w:t>
      </w:r>
      <w:r>
        <w:rPr>
          <w:color w:val="231F1F"/>
          <w:w w:val="105"/>
        </w:rPr>
        <w:t> los</w:t>
      </w:r>
      <w:r>
        <w:rPr>
          <w:color w:val="231F1F"/>
          <w:w w:val="105"/>
        </w:rPr>
        <w:t> demás</w:t>
      </w:r>
      <w:r>
        <w:rPr>
          <w:color w:val="231F1F"/>
          <w:w w:val="105"/>
        </w:rPr>
        <w:t> o</w:t>
      </w:r>
      <w:r>
        <w:rPr>
          <w:color w:val="231F1F"/>
          <w:w w:val="105"/>
        </w:rPr>
        <w:t> no cumplían los criterios de inclusión o ya estaban recogidos en la RS Cochrane de Moore, realizada en 2007 que fue finalmente seleccionada. (233)</w:t>
      </w:r>
    </w:p>
    <w:p>
      <w:pPr>
        <w:pStyle w:val="BodyText"/>
        <w:spacing w:line="244" w:lineRule="auto" w:before="140"/>
        <w:ind w:left="283" w:firstLine="453"/>
        <w:jc w:val="both"/>
      </w:pPr>
      <w:r>
        <w:rPr>
          <w:color w:val="231F1F"/>
          <w:w w:val="105"/>
        </w:rPr>
        <w:t>Esta</w:t>
      </w:r>
      <w:r>
        <w:rPr>
          <w:color w:val="231F1F"/>
          <w:w w:val="105"/>
        </w:rPr>
        <w:t> RS</w:t>
      </w:r>
      <w:r>
        <w:rPr>
          <w:color w:val="231F1F"/>
          <w:w w:val="105"/>
        </w:rPr>
        <w:t> está</w:t>
      </w:r>
      <w:r>
        <w:rPr>
          <w:color w:val="231F1F"/>
          <w:w w:val="105"/>
        </w:rPr>
        <w:t> también</w:t>
      </w:r>
      <w:r>
        <w:rPr>
          <w:color w:val="231F1F"/>
          <w:w w:val="105"/>
        </w:rPr>
        <w:t> incluida</w:t>
      </w:r>
      <w:r>
        <w:rPr>
          <w:color w:val="231F1F"/>
          <w:w w:val="105"/>
        </w:rPr>
        <w:t> en</w:t>
      </w:r>
      <w:r>
        <w:rPr>
          <w:color w:val="231F1F"/>
          <w:w w:val="105"/>
        </w:rPr>
        <w:t> la</w:t>
      </w:r>
      <w:r>
        <w:rPr>
          <w:color w:val="231F1F"/>
          <w:w w:val="105"/>
        </w:rPr>
        <w:t> pregunta</w:t>
      </w:r>
      <w:r>
        <w:rPr>
          <w:color w:val="231F1F"/>
          <w:w w:val="105"/>
        </w:rPr>
        <w:t> del</w:t>
      </w:r>
      <w:r>
        <w:rPr>
          <w:color w:val="231F1F"/>
          <w:w w:val="105"/>
        </w:rPr>
        <w:t> «Contacto</w:t>
      </w:r>
      <w:r>
        <w:rPr>
          <w:color w:val="231F1F"/>
          <w:w w:val="105"/>
        </w:rPr>
        <w:t> temprano</w:t>
      </w:r>
      <w:r>
        <w:rPr>
          <w:color w:val="231F1F"/>
          <w:spacing w:val="80"/>
          <w:w w:val="105"/>
        </w:rPr>
        <w:t> </w:t>
      </w:r>
      <w:r>
        <w:rPr>
          <w:color w:val="231F1F"/>
          <w:w w:val="105"/>
        </w:rPr>
        <w:t>piel</w:t>
      </w:r>
      <w:r>
        <w:rPr>
          <w:color w:val="231F1F"/>
          <w:w w:val="105"/>
        </w:rPr>
        <w:t> con</w:t>
      </w:r>
      <w:r>
        <w:rPr>
          <w:color w:val="231F1F"/>
          <w:w w:val="105"/>
        </w:rPr>
        <w:t> piel</w:t>
      </w:r>
      <w:r>
        <w:rPr>
          <w:color w:val="231F1F"/>
          <w:w w:val="105"/>
        </w:rPr>
        <w:t> entre</w:t>
      </w:r>
      <w:r>
        <w:rPr>
          <w:color w:val="231F1F"/>
          <w:w w:val="105"/>
        </w:rPr>
        <w:t> madre</w:t>
      </w:r>
      <w:r>
        <w:rPr>
          <w:color w:val="231F1F"/>
          <w:w w:val="105"/>
        </w:rPr>
        <w:t> e</w:t>
      </w:r>
      <w:r>
        <w:rPr>
          <w:color w:val="231F1F"/>
          <w:w w:val="105"/>
        </w:rPr>
        <w:t> hijo».</w:t>
      </w:r>
      <w:r>
        <w:rPr>
          <w:color w:val="231F1F"/>
          <w:w w:val="105"/>
        </w:rPr>
        <w:t> Para</w:t>
      </w:r>
      <w:r>
        <w:rPr>
          <w:color w:val="231F1F"/>
          <w:w w:val="105"/>
        </w:rPr>
        <w:t> analizar</w:t>
      </w:r>
      <w:r>
        <w:rPr>
          <w:color w:val="231F1F"/>
          <w:w w:val="105"/>
        </w:rPr>
        <w:t> si</w:t>
      </w:r>
      <w:r>
        <w:rPr>
          <w:color w:val="231F1F"/>
          <w:w w:val="105"/>
        </w:rPr>
        <w:t> el</w:t>
      </w:r>
      <w:r>
        <w:rPr>
          <w:color w:val="231F1F"/>
          <w:w w:val="105"/>
        </w:rPr>
        <w:t> contacto</w:t>
      </w:r>
      <w:r>
        <w:rPr>
          <w:color w:val="231F1F"/>
          <w:w w:val="105"/>
        </w:rPr>
        <w:t> piel</w:t>
      </w:r>
      <w:r>
        <w:rPr>
          <w:color w:val="231F1F"/>
          <w:w w:val="105"/>
        </w:rPr>
        <w:t> con</w:t>
      </w:r>
      <w:r>
        <w:rPr>
          <w:color w:val="231F1F"/>
          <w:w w:val="105"/>
        </w:rPr>
        <w:t> piel temprano</w:t>
      </w:r>
      <w:r>
        <w:rPr>
          <w:color w:val="231F1F"/>
          <w:w w:val="105"/>
        </w:rPr>
        <w:t> tiene</w:t>
      </w:r>
      <w:r>
        <w:rPr>
          <w:color w:val="231F1F"/>
          <w:w w:val="105"/>
        </w:rPr>
        <w:t> resultados</w:t>
      </w:r>
      <w:r>
        <w:rPr>
          <w:color w:val="231F1F"/>
          <w:w w:val="105"/>
        </w:rPr>
        <w:t> beneficiosos</w:t>
      </w:r>
      <w:r>
        <w:rPr>
          <w:color w:val="231F1F"/>
          <w:w w:val="105"/>
        </w:rPr>
        <w:t> o</w:t>
      </w:r>
      <w:r>
        <w:rPr>
          <w:color w:val="231F1F"/>
          <w:w w:val="105"/>
        </w:rPr>
        <w:t> adversos</w:t>
      </w:r>
      <w:r>
        <w:rPr>
          <w:color w:val="231F1F"/>
          <w:w w:val="105"/>
        </w:rPr>
        <w:t> sobre</w:t>
      </w:r>
      <w:r>
        <w:rPr>
          <w:color w:val="231F1F"/>
          <w:w w:val="105"/>
        </w:rPr>
        <w:t> la</w:t>
      </w:r>
      <w:r>
        <w:rPr>
          <w:color w:val="231F1F"/>
          <w:w w:val="105"/>
        </w:rPr>
        <w:t> lactancia</w:t>
      </w:r>
      <w:r>
        <w:rPr>
          <w:color w:val="231F1F"/>
          <w:w w:val="105"/>
        </w:rPr>
        <w:t> extrae resultados de 16 estudios.</w:t>
      </w:r>
    </w:p>
    <w:p>
      <w:pPr>
        <w:pStyle w:val="BodyText"/>
        <w:spacing w:line="254" w:lineRule="auto" w:before="96"/>
        <w:ind w:left="283" w:firstLine="453"/>
        <w:jc w:val="both"/>
      </w:pPr>
      <w:r>
        <w:rPr>
          <w:color w:val="231F1F"/>
          <w:spacing w:val="-2"/>
          <w:w w:val="110"/>
        </w:rPr>
        <w:t>Quince</w:t>
      </w:r>
      <w:r>
        <w:rPr>
          <w:color w:val="231F1F"/>
          <w:spacing w:val="-7"/>
          <w:w w:val="110"/>
        </w:rPr>
        <w:t> </w:t>
      </w:r>
      <w:r>
        <w:rPr>
          <w:color w:val="231F1F"/>
          <w:spacing w:val="-2"/>
          <w:w w:val="110"/>
        </w:rPr>
        <w:t>de</w:t>
      </w:r>
      <w:r>
        <w:rPr>
          <w:color w:val="231F1F"/>
          <w:spacing w:val="-7"/>
          <w:w w:val="110"/>
        </w:rPr>
        <w:t> </w:t>
      </w:r>
      <w:r>
        <w:rPr>
          <w:color w:val="231F1F"/>
          <w:spacing w:val="-2"/>
          <w:w w:val="110"/>
        </w:rPr>
        <w:t>los</w:t>
      </w:r>
      <w:r>
        <w:rPr>
          <w:color w:val="231F1F"/>
          <w:spacing w:val="-7"/>
          <w:w w:val="110"/>
        </w:rPr>
        <w:t> </w:t>
      </w:r>
      <w:r>
        <w:rPr>
          <w:color w:val="231F1F"/>
          <w:spacing w:val="-2"/>
          <w:w w:val="110"/>
        </w:rPr>
        <w:t>16</w:t>
      </w:r>
      <w:r>
        <w:rPr>
          <w:color w:val="231F1F"/>
          <w:spacing w:val="-7"/>
          <w:w w:val="110"/>
        </w:rPr>
        <w:t> </w:t>
      </w:r>
      <w:r>
        <w:rPr>
          <w:color w:val="231F1F"/>
          <w:spacing w:val="-2"/>
          <w:w w:val="110"/>
        </w:rPr>
        <w:t>estudios</w:t>
      </w:r>
      <w:r>
        <w:rPr>
          <w:color w:val="231F1F"/>
          <w:spacing w:val="-7"/>
          <w:w w:val="110"/>
        </w:rPr>
        <w:t> </w:t>
      </w:r>
      <w:r>
        <w:rPr>
          <w:color w:val="231F1F"/>
          <w:spacing w:val="-2"/>
          <w:w w:val="110"/>
        </w:rPr>
        <w:t>permitieron</w:t>
      </w:r>
      <w:r>
        <w:rPr>
          <w:color w:val="231F1F"/>
          <w:spacing w:val="-7"/>
          <w:w w:val="110"/>
        </w:rPr>
        <w:t> </w:t>
      </w:r>
      <w:r>
        <w:rPr>
          <w:color w:val="231F1F"/>
          <w:spacing w:val="-2"/>
          <w:w w:val="110"/>
        </w:rPr>
        <w:t>que</w:t>
      </w:r>
      <w:r>
        <w:rPr>
          <w:color w:val="231F1F"/>
          <w:spacing w:val="-7"/>
          <w:w w:val="110"/>
        </w:rPr>
        <w:t> </w:t>
      </w:r>
      <w:r>
        <w:rPr>
          <w:color w:val="231F1F"/>
          <w:spacing w:val="-2"/>
          <w:w w:val="110"/>
        </w:rPr>
        <w:t>los</w:t>
      </w:r>
      <w:r>
        <w:rPr>
          <w:color w:val="231F1F"/>
          <w:spacing w:val="-7"/>
          <w:w w:val="110"/>
        </w:rPr>
        <w:t> </w:t>
      </w:r>
      <w:r>
        <w:rPr>
          <w:color w:val="231F1F"/>
          <w:spacing w:val="-2"/>
          <w:w w:val="110"/>
        </w:rPr>
        <w:t>neonatos</w:t>
      </w:r>
      <w:r>
        <w:rPr>
          <w:color w:val="231F1F"/>
          <w:spacing w:val="-8"/>
          <w:w w:val="110"/>
        </w:rPr>
        <w:t> </w:t>
      </w:r>
      <w:r>
        <w:rPr>
          <w:color w:val="231F1F"/>
          <w:spacing w:val="-2"/>
          <w:w w:val="110"/>
        </w:rPr>
        <w:t>lactaran</w:t>
      </w:r>
      <w:r>
        <w:rPr>
          <w:color w:val="231F1F"/>
          <w:spacing w:val="-6"/>
          <w:w w:val="110"/>
        </w:rPr>
        <w:t> </w:t>
      </w:r>
      <w:r>
        <w:rPr>
          <w:color w:val="231F1F"/>
          <w:spacing w:val="-2"/>
          <w:w w:val="110"/>
        </w:rPr>
        <w:t>durante </w:t>
      </w:r>
      <w:r>
        <w:rPr>
          <w:color w:val="231F1F"/>
        </w:rPr>
        <w:t>el contacto piel a piel, pero sólo tres estudios documentaron el éxito del primer </w:t>
      </w:r>
      <w:r>
        <w:rPr>
          <w:color w:val="231F1F"/>
          <w:w w:val="110"/>
        </w:rPr>
        <w:t>intento</w:t>
      </w:r>
      <w:r>
        <w:rPr>
          <w:color w:val="231F1F"/>
          <w:spacing w:val="-13"/>
          <w:w w:val="110"/>
        </w:rPr>
        <w:t> </w:t>
      </w:r>
      <w:r>
        <w:rPr>
          <w:color w:val="231F1F"/>
          <w:w w:val="110"/>
        </w:rPr>
        <w:t>de</w:t>
      </w:r>
      <w:r>
        <w:rPr>
          <w:color w:val="231F1F"/>
          <w:spacing w:val="-13"/>
          <w:w w:val="110"/>
        </w:rPr>
        <w:t> </w:t>
      </w:r>
      <w:r>
        <w:rPr>
          <w:color w:val="231F1F"/>
          <w:w w:val="110"/>
        </w:rPr>
        <w:t>lactar.</w:t>
      </w:r>
      <w:r>
        <w:rPr>
          <w:color w:val="231F1F"/>
          <w:spacing w:val="-14"/>
          <w:w w:val="110"/>
        </w:rPr>
        <w:t> </w:t>
      </w:r>
      <w:r>
        <w:rPr>
          <w:color w:val="231F1F"/>
          <w:w w:val="110"/>
        </w:rPr>
        <w:t>El</w:t>
      </w:r>
      <w:r>
        <w:rPr>
          <w:color w:val="231F1F"/>
          <w:spacing w:val="-14"/>
          <w:w w:val="110"/>
        </w:rPr>
        <w:t> </w:t>
      </w:r>
      <w:r>
        <w:rPr>
          <w:color w:val="231F1F"/>
          <w:w w:val="110"/>
        </w:rPr>
        <w:t>contacto</w:t>
      </w:r>
      <w:r>
        <w:rPr>
          <w:color w:val="231F1F"/>
          <w:spacing w:val="-13"/>
          <w:w w:val="110"/>
        </w:rPr>
        <w:t> </w:t>
      </w:r>
      <w:r>
        <w:rPr>
          <w:color w:val="231F1F"/>
          <w:w w:val="110"/>
        </w:rPr>
        <w:t>temprano</w:t>
      </w:r>
      <w:r>
        <w:rPr>
          <w:color w:val="231F1F"/>
          <w:spacing w:val="-13"/>
          <w:w w:val="110"/>
        </w:rPr>
        <w:t> </w:t>
      </w:r>
      <w:r>
        <w:rPr>
          <w:color w:val="231F1F"/>
          <w:w w:val="110"/>
        </w:rPr>
        <w:t>piel</w:t>
      </w:r>
      <w:r>
        <w:rPr>
          <w:color w:val="231F1F"/>
          <w:spacing w:val="-14"/>
          <w:w w:val="110"/>
        </w:rPr>
        <w:t> </w:t>
      </w:r>
      <w:r>
        <w:rPr>
          <w:color w:val="231F1F"/>
          <w:w w:val="110"/>
        </w:rPr>
        <w:t>con</w:t>
      </w:r>
      <w:r>
        <w:rPr>
          <w:color w:val="231F1F"/>
          <w:spacing w:val="-13"/>
          <w:w w:val="110"/>
        </w:rPr>
        <w:t> </w:t>
      </w:r>
      <w:r>
        <w:rPr>
          <w:color w:val="231F1F"/>
          <w:w w:val="110"/>
        </w:rPr>
        <w:t>piel</w:t>
      </w:r>
      <w:r>
        <w:rPr>
          <w:color w:val="231F1F"/>
          <w:spacing w:val="-14"/>
          <w:w w:val="110"/>
        </w:rPr>
        <w:t> </w:t>
      </w:r>
      <w:r>
        <w:rPr>
          <w:color w:val="231F1F"/>
          <w:w w:val="110"/>
        </w:rPr>
        <w:t>produjo</w:t>
      </w:r>
      <w:r>
        <w:rPr>
          <w:color w:val="231F1F"/>
          <w:spacing w:val="-13"/>
          <w:w w:val="110"/>
        </w:rPr>
        <w:t> </w:t>
      </w:r>
      <w:r>
        <w:rPr>
          <w:color w:val="231F1F"/>
          <w:w w:val="110"/>
        </w:rPr>
        <w:t>una</w:t>
      </w:r>
      <w:r>
        <w:rPr>
          <w:color w:val="231F1F"/>
          <w:spacing w:val="-13"/>
          <w:w w:val="110"/>
        </w:rPr>
        <w:t> </w:t>
      </w:r>
      <w:r>
        <w:rPr>
          <w:color w:val="231F1F"/>
          <w:w w:val="110"/>
        </w:rPr>
        <w:t>mejora</w:t>
      </w:r>
      <w:r>
        <w:rPr>
          <w:color w:val="231F1F"/>
          <w:spacing w:val="-13"/>
          <w:w w:val="110"/>
        </w:rPr>
        <w:t> </w:t>
      </w:r>
      <w:r>
        <w:rPr>
          <w:color w:val="231F1F"/>
          <w:w w:val="110"/>
        </w:rPr>
        <w:t>sig- nificativa</w:t>
      </w:r>
      <w:r>
        <w:rPr>
          <w:color w:val="231F1F"/>
          <w:spacing w:val="-16"/>
          <w:w w:val="110"/>
        </w:rPr>
        <w:t> </w:t>
      </w:r>
      <w:r>
        <w:rPr>
          <w:color w:val="231F1F"/>
          <w:w w:val="110"/>
        </w:rPr>
        <w:t>en</w:t>
      </w:r>
      <w:r>
        <w:rPr>
          <w:color w:val="231F1F"/>
          <w:spacing w:val="-15"/>
          <w:w w:val="110"/>
        </w:rPr>
        <w:t> </w:t>
      </w:r>
      <w:r>
        <w:rPr>
          <w:color w:val="231F1F"/>
          <w:w w:val="110"/>
        </w:rPr>
        <w:t>las</w:t>
      </w:r>
      <w:r>
        <w:rPr>
          <w:color w:val="231F1F"/>
          <w:spacing w:val="-15"/>
          <w:w w:val="110"/>
        </w:rPr>
        <w:t> </w:t>
      </w:r>
      <w:r>
        <w:rPr>
          <w:color w:val="231F1F"/>
          <w:w w:val="110"/>
        </w:rPr>
        <w:t>medidas</w:t>
      </w:r>
      <w:r>
        <w:rPr>
          <w:color w:val="231F1F"/>
          <w:spacing w:val="-15"/>
          <w:w w:val="110"/>
        </w:rPr>
        <w:t> </w:t>
      </w:r>
      <w:r>
        <w:rPr>
          <w:color w:val="231F1F"/>
          <w:w w:val="110"/>
        </w:rPr>
        <w:t>de</w:t>
      </w:r>
      <w:r>
        <w:rPr>
          <w:color w:val="231F1F"/>
          <w:spacing w:val="-15"/>
          <w:w w:val="110"/>
        </w:rPr>
        <w:t> </w:t>
      </w:r>
      <w:r>
        <w:rPr>
          <w:color w:val="231F1F"/>
          <w:w w:val="110"/>
        </w:rPr>
        <w:t>lactancia</w:t>
      </w:r>
      <w:r>
        <w:rPr>
          <w:color w:val="231F1F"/>
          <w:spacing w:val="-15"/>
          <w:w w:val="110"/>
        </w:rPr>
        <w:t> </w:t>
      </w:r>
      <w:r>
        <w:rPr>
          <w:color w:val="231F1F"/>
          <w:w w:val="110"/>
        </w:rPr>
        <w:t>con</w:t>
      </w:r>
      <w:r>
        <w:rPr>
          <w:color w:val="231F1F"/>
          <w:spacing w:val="-15"/>
          <w:w w:val="110"/>
        </w:rPr>
        <w:t> </w:t>
      </w:r>
      <w:r>
        <w:rPr>
          <w:color w:val="231F1F"/>
          <w:w w:val="110"/>
        </w:rPr>
        <w:t>la</w:t>
      </w:r>
      <w:r>
        <w:rPr>
          <w:color w:val="231F1F"/>
          <w:spacing w:val="-15"/>
          <w:w w:val="110"/>
        </w:rPr>
        <w:t> </w:t>
      </w:r>
      <w:r>
        <w:rPr>
          <w:color w:val="231F1F"/>
          <w:w w:val="110"/>
        </w:rPr>
        <w:t>puntuación</w:t>
      </w:r>
      <w:r>
        <w:rPr>
          <w:color w:val="231F1F"/>
          <w:spacing w:val="-16"/>
          <w:w w:val="110"/>
        </w:rPr>
        <w:t> </w:t>
      </w:r>
      <w:r>
        <w:rPr>
          <w:color w:val="231F1F"/>
          <w:w w:val="110"/>
        </w:rPr>
        <w:t>BAT</w:t>
      </w:r>
      <w:r>
        <w:rPr>
          <w:color w:val="231F1F"/>
          <w:spacing w:val="-15"/>
          <w:w w:val="110"/>
        </w:rPr>
        <w:t> </w:t>
      </w:r>
      <w:r>
        <w:rPr>
          <w:color w:val="231F1F"/>
          <w:w w:val="110"/>
        </w:rPr>
        <w:t>(Índice</w:t>
      </w:r>
      <w:r>
        <w:rPr>
          <w:color w:val="231F1F"/>
          <w:spacing w:val="-15"/>
          <w:w w:val="110"/>
        </w:rPr>
        <w:t> </w:t>
      </w:r>
      <w:r>
        <w:rPr>
          <w:color w:val="231F1F"/>
          <w:w w:val="110"/>
        </w:rPr>
        <w:t>del</w:t>
      </w:r>
      <w:r>
        <w:rPr>
          <w:color w:val="231F1F"/>
          <w:spacing w:val="-15"/>
          <w:w w:val="110"/>
        </w:rPr>
        <w:t> </w:t>
      </w:r>
      <w:r>
        <w:rPr>
          <w:color w:val="231F1F"/>
          <w:w w:val="110"/>
        </w:rPr>
        <w:t>Es- tado</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Lactancia)</w:t>
      </w:r>
      <w:r>
        <w:rPr>
          <w:color w:val="231F1F"/>
          <w:spacing w:val="-15"/>
          <w:w w:val="110"/>
        </w:rPr>
        <w:t> </w:t>
      </w:r>
      <w:r>
        <w:rPr>
          <w:color w:val="231F1F"/>
          <w:w w:val="110"/>
        </w:rPr>
        <w:t>en</w:t>
      </w:r>
      <w:r>
        <w:rPr>
          <w:color w:val="231F1F"/>
          <w:spacing w:val="-14"/>
          <w:w w:val="110"/>
        </w:rPr>
        <w:t> </w:t>
      </w:r>
      <w:r>
        <w:rPr>
          <w:color w:val="231F1F"/>
          <w:w w:val="110"/>
        </w:rPr>
        <w:t>estos</w:t>
      </w:r>
      <w:r>
        <w:rPr>
          <w:color w:val="231F1F"/>
          <w:spacing w:val="-14"/>
          <w:w w:val="110"/>
        </w:rPr>
        <w:t> </w:t>
      </w:r>
      <w:r>
        <w:rPr>
          <w:color w:val="231F1F"/>
          <w:w w:val="110"/>
        </w:rPr>
        <w:t>3</w:t>
      </w:r>
      <w:r>
        <w:rPr>
          <w:color w:val="231F1F"/>
          <w:spacing w:val="-14"/>
          <w:w w:val="110"/>
        </w:rPr>
        <w:t> </w:t>
      </w:r>
      <w:r>
        <w:rPr>
          <w:color w:val="231F1F"/>
          <w:w w:val="110"/>
        </w:rPr>
        <w:t>estudios</w:t>
      </w:r>
      <w:r>
        <w:rPr>
          <w:color w:val="231F1F"/>
          <w:spacing w:val="-14"/>
          <w:w w:val="110"/>
        </w:rPr>
        <w:t> </w:t>
      </w:r>
      <w:r>
        <w:rPr>
          <w:color w:val="231F1F"/>
          <w:w w:val="110"/>
        </w:rPr>
        <w:t>con</w:t>
      </w:r>
      <w:r>
        <w:rPr>
          <w:color w:val="231F1F"/>
          <w:spacing w:val="-14"/>
          <w:w w:val="110"/>
        </w:rPr>
        <w:t> </w:t>
      </w:r>
      <w:r>
        <w:rPr>
          <w:color w:val="231F1F"/>
          <w:w w:val="110"/>
        </w:rPr>
        <w:t>223</w:t>
      </w:r>
      <w:r>
        <w:rPr>
          <w:color w:val="231F1F"/>
          <w:spacing w:val="-14"/>
          <w:w w:val="110"/>
        </w:rPr>
        <w:t> </w:t>
      </w:r>
      <w:r>
        <w:rPr>
          <w:color w:val="231F1F"/>
          <w:w w:val="110"/>
        </w:rPr>
        <w:t>participantes:</w:t>
      </w:r>
      <w:r>
        <w:rPr>
          <w:color w:val="231F1F"/>
          <w:spacing w:val="-15"/>
          <w:w w:val="110"/>
        </w:rPr>
        <w:t> </w:t>
      </w:r>
      <w:r>
        <w:rPr>
          <w:color w:val="231F1F"/>
          <w:w w:val="110"/>
        </w:rPr>
        <w:t>OR</w:t>
      </w:r>
      <w:r>
        <w:rPr>
          <w:color w:val="231F1F"/>
          <w:spacing w:val="-14"/>
          <w:w w:val="110"/>
        </w:rPr>
        <w:t> </w:t>
      </w:r>
      <w:r>
        <w:rPr>
          <w:color w:val="231F1F"/>
          <w:w w:val="110"/>
        </w:rPr>
        <w:t>2,65,</w:t>
      </w:r>
      <w:r>
        <w:rPr>
          <w:color w:val="231F1F"/>
          <w:spacing w:val="-15"/>
          <w:w w:val="110"/>
        </w:rPr>
        <w:t> </w:t>
      </w:r>
      <w:r>
        <w:rPr>
          <w:color w:val="231F1F"/>
          <w:w w:val="110"/>
        </w:rPr>
        <w:t>[IC </w:t>
      </w:r>
      <w:r>
        <w:rPr>
          <w:color w:val="231F1F"/>
        </w:rPr>
        <w:t>95% 1,19 a 5,91] cuando se comparaba con neonatos sostenidos por sus madres </w:t>
      </w:r>
      <w:r>
        <w:rPr>
          <w:color w:val="231F1F"/>
          <w:w w:val="110"/>
        </w:rPr>
        <w:t>envueltos en mantas. A los 28 días los resultados no fueron significativos.</w:t>
      </w:r>
    </w:p>
    <w:p>
      <w:pPr>
        <w:pStyle w:val="BodyText"/>
        <w:spacing w:line="247" w:lineRule="auto" w:before="53"/>
        <w:ind w:left="283" w:firstLine="453"/>
        <w:jc w:val="both"/>
      </w:pPr>
      <w:r>
        <w:rPr>
          <w:color w:val="231F1F"/>
        </w:rPr>
        <w:t>Los resultados de los diferentes estudios están influidos por las diferentes </w:t>
      </w:r>
      <w:r>
        <w:rPr>
          <w:color w:val="231F1F"/>
          <w:w w:val="110"/>
        </w:rPr>
        <w:t>condiciones</w:t>
      </w:r>
      <w:r>
        <w:rPr>
          <w:color w:val="231F1F"/>
          <w:spacing w:val="-16"/>
          <w:w w:val="110"/>
        </w:rPr>
        <w:t> </w:t>
      </w:r>
      <w:r>
        <w:rPr>
          <w:color w:val="231F1F"/>
          <w:w w:val="110"/>
        </w:rPr>
        <w:t>de</w:t>
      </w:r>
      <w:r>
        <w:rPr>
          <w:color w:val="231F1F"/>
          <w:spacing w:val="-15"/>
          <w:w w:val="110"/>
        </w:rPr>
        <w:t> </w:t>
      </w:r>
      <w:r>
        <w:rPr>
          <w:color w:val="231F1F"/>
          <w:w w:val="110"/>
        </w:rPr>
        <w:t>asistencia</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madre,</w:t>
      </w:r>
      <w:r>
        <w:rPr>
          <w:color w:val="231F1F"/>
          <w:spacing w:val="-15"/>
          <w:w w:val="110"/>
        </w:rPr>
        <w:t> </w:t>
      </w:r>
      <w:r>
        <w:rPr>
          <w:color w:val="231F1F"/>
          <w:w w:val="110"/>
        </w:rPr>
        <w:t>que</w:t>
      </w:r>
      <w:r>
        <w:rPr>
          <w:color w:val="231F1F"/>
          <w:spacing w:val="-15"/>
          <w:w w:val="110"/>
        </w:rPr>
        <w:t> </w:t>
      </w:r>
      <w:r>
        <w:rPr>
          <w:color w:val="231F1F"/>
          <w:w w:val="110"/>
        </w:rPr>
        <w:t>no</w:t>
      </w:r>
      <w:r>
        <w:rPr>
          <w:color w:val="231F1F"/>
          <w:spacing w:val="-15"/>
          <w:w w:val="110"/>
        </w:rPr>
        <w:t> </w:t>
      </w:r>
      <w:r>
        <w:rPr>
          <w:color w:val="231F1F"/>
          <w:w w:val="110"/>
        </w:rPr>
        <w:t>está</w:t>
      </w:r>
      <w:r>
        <w:rPr>
          <w:color w:val="231F1F"/>
          <w:spacing w:val="-16"/>
          <w:w w:val="110"/>
        </w:rPr>
        <w:t> </w:t>
      </w:r>
      <w:r>
        <w:rPr>
          <w:color w:val="231F1F"/>
          <w:w w:val="110"/>
        </w:rPr>
        <w:t>bien</w:t>
      </w:r>
      <w:r>
        <w:rPr>
          <w:color w:val="231F1F"/>
          <w:spacing w:val="-15"/>
          <w:w w:val="110"/>
        </w:rPr>
        <w:t> </w:t>
      </w:r>
      <w:r>
        <w:rPr>
          <w:color w:val="231F1F"/>
          <w:w w:val="110"/>
        </w:rPr>
        <w:t>documentada.</w:t>
      </w:r>
      <w:r>
        <w:rPr>
          <w:color w:val="231F1F"/>
          <w:spacing w:val="-15"/>
          <w:w w:val="110"/>
        </w:rPr>
        <w:t> </w:t>
      </w:r>
      <w:r>
        <w:rPr>
          <w:color w:val="231F1F"/>
          <w:w w:val="110"/>
        </w:rPr>
        <w:t>La</w:t>
      </w:r>
      <w:r>
        <w:rPr>
          <w:color w:val="231F1F"/>
          <w:spacing w:val="-15"/>
          <w:w w:val="110"/>
        </w:rPr>
        <w:t> </w:t>
      </w:r>
      <w:r>
        <w:rPr>
          <w:color w:val="231F1F"/>
          <w:w w:val="110"/>
        </w:rPr>
        <w:t>asis- tencia en la primera lactancia podría ser un</w:t>
      </w:r>
      <w:r>
        <w:rPr>
          <w:color w:val="231F1F"/>
          <w:spacing w:val="-2"/>
          <w:w w:val="110"/>
        </w:rPr>
        <w:t> </w:t>
      </w:r>
      <w:r>
        <w:rPr>
          <w:color w:val="231F1F"/>
          <w:w w:val="110"/>
        </w:rPr>
        <w:t>componente necesario del con- tacto</w:t>
      </w:r>
      <w:r>
        <w:rPr>
          <w:color w:val="231F1F"/>
          <w:spacing w:val="-7"/>
          <w:w w:val="110"/>
        </w:rPr>
        <w:t> </w:t>
      </w:r>
      <w:r>
        <w:rPr>
          <w:color w:val="231F1F"/>
          <w:w w:val="110"/>
        </w:rPr>
        <w:t>piel</w:t>
      </w:r>
      <w:r>
        <w:rPr>
          <w:color w:val="231F1F"/>
          <w:spacing w:val="-9"/>
          <w:w w:val="110"/>
        </w:rPr>
        <w:t> </w:t>
      </w:r>
      <w:r>
        <w:rPr>
          <w:color w:val="231F1F"/>
          <w:w w:val="110"/>
        </w:rPr>
        <w:t>a</w:t>
      </w:r>
      <w:r>
        <w:rPr>
          <w:color w:val="231F1F"/>
          <w:spacing w:val="-8"/>
          <w:w w:val="110"/>
        </w:rPr>
        <w:t> </w:t>
      </w:r>
      <w:r>
        <w:rPr>
          <w:color w:val="231F1F"/>
          <w:w w:val="110"/>
        </w:rPr>
        <w:t>piel,</w:t>
      </w:r>
      <w:r>
        <w:rPr>
          <w:color w:val="231F1F"/>
          <w:spacing w:val="-9"/>
          <w:w w:val="110"/>
        </w:rPr>
        <w:t> </w:t>
      </w:r>
      <w:r>
        <w:rPr>
          <w:color w:val="231F1F"/>
          <w:w w:val="110"/>
        </w:rPr>
        <w:t>porque</w:t>
      </w:r>
      <w:r>
        <w:rPr>
          <w:color w:val="231F1F"/>
          <w:spacing w:val="-8"/>
          <w:w w:val="110"/>
        </w:rPr>
        <w:t> </w:t>
      </w:r>
      <w:r>
        <w:rPr>
          <w:color w:val="231F1F"/>
          <w:w w:val="110"/>
        </w:rPr>
        <w:t>las</w:t>
      </w:r>
      <w:r>
        <w:rPr>
          <w:color w:val="231F1F"/>
          <w:spacing w:val="-8"/>
          <w:w w:val="110"/>
        </w:rPr>
        <w:t> </w:t>
      </w:r>
      <w:r>
        <w:rPr>
          <w:color w:val="231F1F"/>
          <w:w w:val="110"/>
        </w:rPr>
        <w:t>madres</w:t>
      </w:r>
      <w:r>
        <w:rPr>
          <w:color w:val="231F1F"/>
          <w:spacing w:val="-8"/>
          <w:w w:val="110"/>
        </w:rPr>
        <w:t> </w:t>
      </w:r>
      <w:r>
        <w:rPr>
          <w:color w:val="231F1F"/>
          <w:w w:val="110"/>
        </w:rPr>
        <w:t>a</w:t>
      </w:r>
      <w:r>
        <w:rPr>
          <w:color w:val="231F1F"/>
          <w:spacing w:val="-8"/>
          <w:w w:val="110"/>
        </w:rPr>
        <w:t> </w:t>
      </w:r>
      <w:r>
        <w:rPr>
          <w:color w:val="231F1F"/>
          <w:w w:val="110"/>
        </w:rPr>
        <w:t>veces</w:t>
      </w:r>
      <w:r>
        <w:rPr>
          <w:color w:val="231F1F"/>
          <w:spacing w:val="-8"/>
          <w:w w:val="110"/>
        </w:rPr>
        <w:t> </w:t>
      </w:r>
      <w:r>
        <w:rPr>
          <w:color w:val="231F1F"/>
          <w:w w:val="110"/>
        </w:rPr>
        <w:t>se</w:t>
      </w:r>
      <w:r>
        <w:rPr>
          <w:color w:val="231F1F"/>
          <w:spacing w:val="-8"/>
          <w:w w:val="110"/>
        </w:rPr>
        <w:t> </w:t>
      </w:r>
      <w:r>
        <w:rPr>
          <w:color w:val="231F1F"/>
          <w:w w:val="110"/>
        </w:rPr>
        <w:t>sienten</w:t>
      </w:r>
      <w:r>
        <w:rPr>
          <w:color w:val="231F1F"/>
          <w:spacing w:val="-8"/>
          <w:w w:val="110"/>
        </w:rPr>
        <w:t> </w:t>
      </w:r>
      <w:r>
        <w:rPr>
          <w:color w:val="231F1F"/>
          <w:w w:val="110"/>
        </w:rPr>
        <w:t>inseguras</w:t>
      </w:r>
      <w:r>
        <w:rPr>
          <w:color w:val="231F1F"/>
          <w:spacing w:val="-8"/>
          <w:w w:val="110"/>
        </w:rPr>
        <w:t> </w:t>
      </w:r>
      <w:r>
        <w:rPr>
          <w:color w:val="231F1F"/>
          <w:w w:val="110"/>
        </w:rPr>
        <w:t>sobre</w:t>
      </w:r>
      <w:r>
        <w:rPr>
          <w:color w:val="231F1F"/>
          <w:spacing w:val="-8"/>
          <w:w w:val="110"/>
        </w:rPr>
        <w:t> </w:t>
      </w:r>
      <w:r>
        <w:rPr>
          <w:color w:val="231F1F"/>
          <w:w w:val="110"/>
        </w:rPr>
        <w:t>su</w:t>
      </w:r>
      <w:r>
        <w:rPr>
          <w:color w:val="231F1F"/>
          <w:spacing w:val="-8"/>
          <w:w w:val="110"/>
        </w:rPr>
        <w:t> </w:t>
      </w:r>
      <w:r>
        <w:rPr>
          <w:color w:val="231F1F"/>
          <w:w w:val="110"/>
        </w:rPr>
        <w:t>ca- pacidad para iniciar satisfactoriamente la lactancia.</w:t>
      </w:r>
    </w:p>
    <w:p>
      <w:pPr>
        <w:pStyle w:val="BodyText"/>
        <w:spacing w:before="137"/>
        <w:ind w:left="283" w:right="3" w:firstLine="453"/>
        <w:jc w:val="both"/>
      </w:pPr>
      <w:r>
        <w:rPr>
          <w:color w:val="231F1F"/>
          <w:spacing w:val="-2"/>
          <w:w w:val="110"/>
        </w:rPr>
        <w:t>En</w:t>
      </w:r>
      <w:r>
        <w:rPr>
          <w:color w:val="231F1F"/>
          <w:spacing w:val="-9"/>
          <w:w w:val="110"/>
        </w:rPr>
        <w:t> </w:t>
      </w:r>
      <w:r>
        <w:rPr>
          <w:color w:val="231F1F"/>
          <w:spacing w:val="-2"/>
          <w:w w:val="110"/>
        </w:rPr>
        <w:t>resumen</w:t>
      </w:r>
      <w:r>
        <w:rPr>
          <w:color w:val="231F1F"/>
          <w:spacing w:val="-9"/>
          <w:w w:val="110"/>
        </w:rPr>
        <w:t> </w:t>
      </w:r>
      <w:r>
        <w:rPr>
          <w:color w:val="231F1F"/>
          <w:spacing w:val="-2"/>
          <w:w w:val="110"/>
        </w:rPr>
        <w:t>se</w:t>
      </w:r>
      <w:r>
        <w:rPr>
          <w:color w:val="231F1F"/>
          <w:spacing w:val="-10"/>
          <w:w w:val="110"/>
        </w:rPr>
        <w:t> </w:t>
      </w:r>
      <w:r>
        <w:rPr>
          <w:color w:val="231F1F"/>
          <w:spacing w:val="-2"/>
          <w:w w:val="110"/>
        </w:rPr>
        <w:t>observa</w:t>
      </w:r>
      <w:r>
        <w:rPr>
          <w:color w:val="231F1F"/>
          <w:spacing w:val="-9"/>
          <w:w w:val="110"/>
        </w:rPr>
        <w:t> </w:t>
      </w:r>
      <w:r>
        <w:rPr>
          <w:color w:val="231F1F"/>
          <w:spacing w:val="-2"/>
          <w:w w:val="110"/>
        </w:rPr>
        <w:t>que</w:t>
      </w:r>
      <w:r>
        <w:rPr>
          <w:color w:val="231F1F"/>
          <w:spacing w:val="-9"/>
          <w:w w:val="110"/>
        </w:rPr>
        <w:t> </w:t>
      </w:r>
      <w:r>
        <w:rPr>
          <w:color w:val="231F1F"/>
          <w:spacing w:val="-2"/>
          <w:w w:val="110"/>
        </w:rPr>
        <w:t>un</w:t>
      </w:r>
      <w:r>
        <w:rPr>
          <w:color w:val="231F1F"/>
          <w:spacing w:val="-9"/>
          <w:w w:val="110"/>
        </w:rPr>
        <w:t> </w:t>
      </w:r>
      <w:r>
        <w:rPr>
          <w:color w:val="231F1F"/>
          <w:spacing w:val="-2"/>
          <w:w w:val="110"/>
        </w:rPr>
        <w:t>comienzo</w:t>
      </w:r>
      <w:r>
        <w:rPr>
          <w:color w:val="231F1F"/>
          <w:spacing w:val="-9"/>
          <w:w w:val="110"/>
        </w:rPr>
        <w:t> </w:t>
      </w:r>
      <w:r>
        <w:rPr>
          <w:color w:val="231F1F"/>
          <w:spacing w:val="-2"/>
          <w:w w:val="110"/>
        </w:rPr>
        <w:t>precoz</w:t>
      </w:r>
      <w:r>
        <w:rPr>
          <w:color w:val="231F1F"/>
          <w:spacing w:val="-10"/>
          <w:w w:val="110"/>
        </w:rPr>
        <w:t> </w:t>
      </w:r>
      <w:r>
        <w:rPr>
          <w:color w:val="231F1F"/>
          <w:spacing w:val="-2"/>
          <w:w w:val="110"/>
        </w:rPr>
        <w:t>de</w:t>
      </w:r>
      <w:r>
        <w:rPr>
          <w:color w:val="231F1F"/>
          <w:spacing w:val="-9"/>
          <w:w w:val="110"/>
        </w:rPr>
        <w:t> </w:t>
      </w:r>
      <w:r>
        <w:rPr>
          <w:color w:val="231F1F"/>
          <w:spacing w:val="-2"/>
          <w:w w:val="110"/>
        </w:rPr>
        <w:t>la</w:t>
      </w:r>
      <w:r>
        <w:rPr>
          <w:color w:val="231F1F"/>
          <w:spacing w:val="-9"/>
          <w:w w:val="110"/>
        </w:rPr>
        <w:t> </w:t>
      </w:r>
      <w:r>
        <w:rPr>
          <w:color w:val="231F1F"/>
          <w:spacing w:val="-2"/>
          <w:w w:val="110"/>
        </w:rPr>
        <w:t>lactancia</w:t>
      </w:r>
      <w:r>
        <w:rPr>
          <w:color w:val="231F1F"/>
          <w:spacing w:val="-9"/>
          <w:w w:val="110"/>
        </w:rPr>
        <w:t> </w:t>
      </w:r>
      <w:r>
        <w:rPr>
          <w:color w:val="231F1F"/>
          <w:spacing w:val="-2"/>
          <w:w w:val="110"/>
        </w:rPr>
        <w:t>favorece </w:t>
      </w:r>
      <w:r>
        <w:rPr>
          <w:color w:val="231F1F"/>
          <w:spacing w:val="-4"/>
          <w:w w:val="110"/>
        </w:rPr>
        <w:t>una</w:t>
      </w:r>
      <w:r>
        <w:rPr>
          <w:color w:val="231F1F"/>
          <w:spacing w:val="-14"/>
          <w:w w:val="110"/>
        </w:rPr>
        <w:t> </w:t>
      </w:r>
      <w:r>
        <w:rPr>
          <w:color w:val="231F1F"/>
          <w:spacing w:val="-4"/>
          <w:w w:val="110"/>
        </w:rPr>
        <w:t>mayor</w:t>
      </w:r>
      <w:r>
        <w:rPr>
          <w:color w:val="231F1F"/>
          <w:spacing w:val="-15"/>
          <w:w w:val="110"/>
        </w:rPr>
        <w:t> </w:t>
      </w:r>
      <w:r>
        <w:rPr>
          <w:color w:val="231F1F"/>
          <w:spacing w:val="-4"/>
          <w:w w:val="110"/>
        </w:rPr>
        <w:t>relación</w:t>
      </w:r>
      <w:r>
        <w:rPr>
          <w:color w:val="231F1F"/>
          <w:spacing w:val="-14"/>
          <w:w w:val="110"/>
        </w:rPr>
        <w:t> </w:t>
      </w:r>
      <w:r>
        <w:rPr>
          <w:color w:val="231F1F"/>
          <w:spacing w:val="-4"/>
          <w:w w:val="110"/>
        </w:rPr>
        <w:t>madre</w:t>
      </w:r>
      <w:r>
        <w:rPr>
          <w:color w:val="231F1F"/>
          <w:spacing w:val="-15"/>
          <w:w w:val="110"/>
        </w:rPr>
        <w:t> </w:t>
      </w:r>
      <w:r>
        <w:rPr>
          <w:color w:val="231F1F"/>
          <w:spacing w:val="-4"/>
          <w:w w:val="110"/>
        </w:rPr>
        <w:t>e</w:t>
      </w:r>
      <w:r>
        <w:rPr>
          <w:color w:val="231F1F"/>
          <w:spacing w:val="-14"/>
          <w:w w:val="110"/>
        </w:rPr>
        <w:t> </w:t>
      </w:r>
      <w:r>
        <w:rPr>
          <w:color w:val="231F1F"/>
          <w:spacing w:val="-4"/>
          <w:w w:val="110"/>
        </w:rPr>
        <w:t>hijo</w:t>
      </w:r>
      <w:r>
        <w:rPr>
          <w:color w:val="231F1F"/>
          <w:spacing w:val="-15"/>
          <w:w w:val="110"/>
        </w:rPr>
        <w:t> </w:t>
      </w:r>
      <w:r>
        <w:rPr>
          <w:color w:val="231F1F"/>
          <w:spacing w:val="-4"/>
          <w:w w:val="110"/>
        </w:rPr>
        <w:t>y</w:t>
      </w:r>
      <w:r>
        <w:rPr>
          <w:color w:val="231F1F"/>
          <w:spacing w:val="-14"/>
          <w:w w:val="110"/>
        </w:rPr>
        <w:t> </w:t>
      </w:r>
      <w:r>
        <w:rPr>
          <w:color w:val="231F1F"/>
          <w:spacing w:val="-4"/>
          <w:w w:val="110"/>
        </w:rPr>
        <w:t>una</w:t>
      </w:r>
      <w:r>
        <w:rPr>
          <w:color w:val="231F1F"/>
          <w:spacing w:val="-15"/>
          <w:w w:val="110"/>
        </w:rPr>
        <w:t> </w:t>
      </w:r>
      <w:r>
        <w:rPr>
          <w:color w:val="231F1F"/>
          <w:spacing w:val="-4"/>
          <w:w w:val="110"/>
        </w:rPr>
        <w:t>mayor</w:t>
      </w:r>
      <w:r>
        <w:rPr>
          <w:color w:val="231F1F"/>
          <w:spacing w:val="-14"/>
          <w:w w:val="110"/>
        </w:rPr>
        <w:t> </w:t>
      </w:r>
      <w:r>
        <w:rPr>
          <w:color w:val="231F1F"/>
          <w:spacing w:val="-4"/>
          <w:w w:val="110"/>
        </w:rPr>
        <w:t>duración</w:t>
      </w:r>
      <w:r>
        <w:rPr>
          <w:color w:val="231F1F"/>
          <w:spacing w:val="-15"/>
          <w:w w:val="110"/>
        </w:rPr>
        <w:t> </w:t>
      </w:r>
      <w:r>
        <w:rPr>
          <w:color w:val="231F1F"/>
          <w:spacing w:val="-4"/>
          <w:w w:val="110"/>
        </w:rPr>
        <w:t>de</w:t>
      </w:r>
      <w:r>
        <w:rPr>
          <w:color w:val="231F1F"/>
          <w:spacing w:val="-14"/>
          <w:w w:val="110"/>
        </w:rPr>
        <w:t> </w:t>
      </w:r>
      <w:r>
        <w:rPr>
          <w:color w:val="231F1F"/>
          <w:spacing w:val="-4"/>
          <w:w w:val="110"/>
        </w:rPr>
        <w:t>la</w:t>
      </w:r>
      <w:r>
        <w:rPr>
          <w:color w:val="231F1F"/>
          <w:spacing w:val="-15"/>
          <w:w w:val="110"/>
        </w:rPr>
        <w:t> </w:t>
      </w:r>
      <w:r>
        <w:rPr>
          <w:color w:val="231F1F"/>
          <w:spacing w:val="-4"/>
          <w:w w:val="110"/>
        </w:rPr>
        <w:t>lactancia</w:t>
      </w:r>
      <w:r>
        <w:rPr>
          <w:color w:val="231F1F"/>
          <w:spacing w:val="-14"/>
          <w:w w:val="110"/>
        </w:rPr>
        <w:t> </w:t>
      </w:r>
      <w:r>
        <w:rPr>
          <w:color w:val="231F1F"/>
          <w:spacing w:val="-4"/>
          <w:w w:val="110"/>
        </w:rPr>
        <w:t>materna.</w:t>
      </w:r>
    </w:p>
    <w:p>
      <w:pPr>
        <w:spacing w:line="278" w:lineRule="auto" w:before="95"/>
        <w:ind w:left="317" w:right="376" w:firstLine="0"/>
        <w:jc w:val="center"/>
        <w:rPr>
          <w:rFonts w:ascii="Arial MT" w:hAnsi="Arial MT"/>
          <w:sz w:val="18"/>
        </w:rPr>
      </w:pPr>
      <w:r>
        <w:rPr/>
        <w:br w:type="column"/>
      </w:r>
      <w:r>
        <w:rPr>
          <w:rFonts w:ascii="Arial MT" w:hAnsi="Arial MT"/>
          <w:color w:val="231F1F"/>
          <w:spacing w:val="-6"/>
          <w:sz w:val="18"/>
        </w:rPr>
        <w:t>Opinión </w:t>
      </w:r>
      <w:r>
        <w:rPr>
          <w:rFonts w:ascii="Arial MT" w:hAnsi="Arial MT"/>
          <w:color w:val="231F1F"/>
          <w:spacing w:val="-2"/>
          <w:sz w:val="18"/>
        </w:rPr>
        <w:t>experta </w:t>
      </w:r>
      <w:r>
        <w:rPr>
          <w:rFonts w:ascii="Arial MT" w:hAnsi="Arial MT"/>
          <w:color w:val="231F1F"/>
          <w:spacing w:val="-10"/>
          <w:sz w:val="18"/>
        </w:rPr>
        <w:t>4</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9"/>
        <w:rPr>
          <w:rFonts w:ascii="Arial MT"/>
          <w:sz w:val="18"/>
        </w:rPr>
      </w:pPr>
    </w:p>
    <w:p>
      <w:pPr>
        <w:spacing w:line="278" w:lineRule="auto" w:before="0"/>
        <w:ind w:left="85" w:right="154" w:firstLine="0"/>
        <w:jc w:val="center"/>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spacing w:after="0" w:line="278" w:lineRule="auto"/>
        <w:jc w:val="center"/>
        <w:rPr>
          <w:rFonts w:ascii="Arial MT"/>
          <w:sz w:val="18"/>
        </w:rPr>
        <w:sectPr>
          <w:pgSz w:w="11900" w:h="16840"/>
          <w:pgMar w:header="0" w:footer="622" w:top="1560" w:bottom="820" w:left="1417" w:right="1559"/>
          <w:cols w:num="2" w:equalWidth="0">
            <w:col w:w="7553" w:space="40"/>
            <w:col w:w="1331"/>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53"/>
              <w:ind w:right="311"/>
              <w:rPr>
                <w:sz w:val="22"/>
              </w:rPr>
            </w:pPr>
            <w:r>
              <w:rPr>
                <w:color w:val="231F1F"/>
                <w:sz w:val="22"/>
              </w:rPr>
              <w:t>La mayoría de RN sanos a término, presentan comportamientos espontáneos </w:t>
            </w:r>
            <w:r>
              <w:rPr>
                <w:color w:val="231F1F"/>
                <w:w w:val="105"/>
                <w:sz w:val="22"/>
              </w:rPr>
              <w:t>de alimentación en la primera hora de vida (228).</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156"/>
              <w:rPr>
                <w:sz w:val="22"/>
              </w:rPr>
            </w:pPr>
            <w:r>
              <w:rPr>
                <w:color w:val="231F1F"/>
                <w:w w:val="110"/>
                <w:sz w:val="22"/>
              </w:rPr>
              <w:t>El</w:t>
            </w:r>
            <w:r>
              <w:rPr>
                <w:color w:val="231F1F"/>
                <w:spacing w:val="-8"/>
                <w:w w:val="110"/>
                <w:sz w:val="22"/>
              </w:rPr>
              <w:t> </w:t>
            </w:r>
            <w:r>
              <w:rPr>
                <w:color w:val="231F1F"/>
                <w:w w:val="110"/>
                <w:sz w:val="22"/>
              </w:rPr>
              <w:t>contacto</w:t>
            </w:r>
            <w:r>
              <w:rPr>
                <w:color w:val="231F1F"/>
                <w:spacing w:val="-8"/>
                <w:w w:val="110"/>
                <w:sz w:val="22"/>
              </w:rPr>
              <w:t> </w:t>
            </w:r>
            <w:r>
              <w:rPr>
                <w:color w:val="231F1F"/>
                <w:w w:val="110"/>
                <w:sz w:val="22"/>
              </w:rPr>
              <w:t>temprano</w:t>
            </w:r>
            <w:r>
              <w:rPr>
                <w:color w:val="231F1F"/>
                <w:spacing w:val="-8"/>
                <w:w w:val="110"/>
                <w:sz w:val="22"/>
              </w:rPr>
              <w:t> </w:t>
            </w:r>
            <w:r>
              <w:rPr>
                <w:color w:val="231F1F"/>
                <w:w w:val="110"/>
                <w:sz w:val="22"/>
              </w:rPr>
              <w:t>piel</w:t>
            </w:r>
            <w:r>
              <w:rPr>
                <w:color w:val="231F1F"/>
                <w:spacing w:val="-9"/>
                <w:w w:val="110"/>
                <w:sz w:val="22"/>
              </w:rPr>
              <w:t> </w:t>
            </w:r>
            <w:r>
              <w:rPr>
                <w:color w:val="231F1F"/>
                <w:w w:val="110"/>
                <w:sz w:val="22"/>
              </w:rPr>
              <w:t>con</w:t>
            </w:r>
            <w:r>
              <w:rPr>
                <w:color w:val="231F1F"/>
                <w:spacing w:val="-8"/>
                <w:w w:val="110"/>
                <w:sz w:val="22"/>
              </w:rPr>
              <w:t> </w:t>
            </w:r>
            <w:r>
              <w:rPr>
                <w:color w:val="231F1F"/>
                <w:w w:val="110"/>
                <w:sz w:val="22"/>
              </w:rPr>
              <w:t>piel</w:t>
            </w:r>
            <w:r>
              <w:rPr>
                <w:color w:val="231F1F"/>
                <w:spacing w:val="-9"/>
                <w:w w:val="110"/>
                <w:sz w:val="22"/>
              </w:rPr>
              <w:t> </w:t>
            </w:r>
            <w:r>
              <w:rPr>
                <w:color w:val="231F1F"/>
                <w:w w:val="110"/>
                <w:sz w:val="22"/>
              </w:rPr>
              <w:t>con</w:t>
            </w:r>
            <w:r>
              <w:rPr>
                <w:color w:val="231F1F"/>
                <w:spacing w:val="-8"/>
                <w:w w:val="110"/>
                <w:sz w:val="22"/>
              </w:rPr>
              <w:t> </w:t>
            </w:r>
            <w:r>
              <w:rPr>
                <w:color w:val="231F1F"/>
                <w:w w:val="110"/>
                <w:sz w:val="22"/>
              </w:rPr>
              <w:t>succión</w:t>
            </w:r>
            <w:r>
              <w:rPr>
                <w:color w:val="231F1F"/>
                <w:spacing w:val="-8"/>
                <w:w w:val="110"/>
                <w:sz w:val="22"/>
              </w:rPr>
              <w:t> </w:t>
            </w:r>
            <w:r>
              <w:rPr>
                <w:color w:val="231F1F"/>
                <w:w w:val="110"/>
                <w:sz w:val="22"/>
              </w:rPr>
              <w:t>se</w:t>
            </w:r>
            <w:r>
              <w:rPr>
                <w:color w:val="231F1F"/>
                <w:spacing w:val="-8"/>
                <w:w w:val="110"/>
                <w:sz w:val="22"/>
              </w:rPr>
              <w:t> </w:t>
            </w:r>
            <w:r>
              <w:rPr>
                <w:color w:val="231F1F"/>
                <w:w w:val="110"/>
                <w:sz w:val="22"/>
              </w:rPr>
              <w:t>asocia</w:t>
            </w:r>
            <w:r>
              <w:rPr>
                <w:color w:val="231F1F"/>
                <w:spacing w:val="-8"/>
                <w:w w:val="110"/>
                <w:sz w:val="22"/>
              </w:rPr>
              <w:t> </w:t>
            </w:r>
            <w:r>
              <w:rPr>
                <w:color w:val="231F1F"/>
                <w:w w:val="110"/>
                <w:sz w:val="22"/>
              </w:rPr>
              <w:t>con</w:t>
            </w:r>
            <w:r>
              <w:rPr>
                <w:color w:val="231F1F"/>
                <w:spacing w:val="-8"/>
                <w:w w:val="110"/>
                <w:sz w:val="22"/>
              </w:rPr>
              <w:t> </w:t>
            </w:r>
            <w:r>
              <w:rPr>
                <w:color w:val="231F1F"/>
                <w:w w:val="110"/>
                <w:sz w:val="22"/>
              </w:rPr>
              <w:t>una</w:t>
            </w:r>
            <w:r>
              <w:rPr>
                <w:color w:val="231F1F"/>
                <w:spacing w:val="-8"/>
                <w:w w:val="110"/>
                <w:sz w:val="22"/>
              </w:rPr>
              <w:t> </w:t>
            </w:r>
            <w:r>
              <w:rPr>
                <w:color w:val="231F1F"/>
                <w:w w:val="110"/>
                <w:sz w:val="22"/>
              </w:rPr>
              <w:t>mayor duración de la lactancia (233).</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22"/>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53"/>
              <w:ind w:right="155"/>
              <w:rPr>
                <w:sz w:val="22"/>
              </w:rPr>
            </w:pPr>
            <w:r>
              <w:rPr>
                <w:color w:val="231F1F"/>
                <w:w w:val="105"/>
                <w:sz w:val="22"/>
              </w:rPr>
              <w:t>La iniciación de la lactancia materna debe</w:t>
            </w:r>
            <w:r>
              <w:rPr>
                <w:color w:val="231F1F"/>
                <w:spacing w:val="-1"/>
                <w:w w:val="105"/>
                <w:sz w:val="22"/>
              </w:rPr>
              <w:t> </w:t>
            </w:r>
            <w:r>
              <w:rPr>
                <w:color w:val="231F1F"/>
                <w:w w:val="105"/>
                <w:sz w:val="22"/>
              </w:rPr>
              <w:t>ser alentada lo antes posible después del nacimiento,</w:t>
            </w:r>
            <w:r>
              <w:rPr>
                <w:color w:val="231F1F"/>
                <w:spacing w:val="40"/>
                <w:w w:val="105"/>
                <w:sz w:val="22"/>
              </w:rPr>
              <w:t> </w:t>
            </w:r>
            <w:r>
              <w:rPr>
                <w:color w:val="231F1F"/>
                <w:w w:val="105"/>
                <w:sz w:val="22"/>
              </w:rPr>
              <w:t>preferentemente</w:t>
            </w:r>
            <w:r>
              <w:rPr>
                <w:color w:val="231F1F"/>
                <w:spacing w:val="40"/>
                <w:w w:val="105"/>
                <w:sz w:val="22"/>
              </w:rPr>
              <w:t> </w:t>
            </w:r>
            <w:r>
              <w:rPr>
                <w:color w:val="231F1F"/>
                <w:w w:val="105"/>
                <w:sz w:val="22"/>
              </w:rPr>
              <w:t>dentro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primera</w:t>
            </w:r>
            <w:r>
              <w:rPr>
                <w:color w:val="231F1F"/>
                <w:spacing w:val="40"/>
                <w:w w:val="105"/>
                <w:sz w:val="22"/>
              </w:rPr>
              <w:t> </w:t>
            </w:r>
            <w:r>
              <w:rPr>
                <w:color w:val="231F1F"/>
                <w:w w:val="105"/>
                <w:sz w:val="22"/>
              </w:rPr>
              <w:t>hora.</w:t>
            </w:r>
          </w:p>
        </w:tc>
      </w:tr>
      <w:tr>
        <w:trPr>
          <w:trHeight w:val="1242" w:hRule="atLeast"/>
        </w:trPr>
        <w:tc>
          <w:tcPr>
            <w:tcW w:w="456" w:type="dxa"/>
          </w:tcPr>
          <w:p>
            <w:pPr>
              <w:pStyle w:val="TableParagraph"/>
              <w:spacing w:before="208"/>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9" w:lineRule="auto" w:before="44"/>
              <w:ind w:right="86"/>
              <w:jc w:val="both"/>
              <w:rPr>
                <w:sz w:val="22"/>
              </w:rPr>
            </w:pPr>
            <w:r>
              <w:rPr>
                <w:color w:val="231F1F"/>
                <w:w w:val="105"/>
                <w:sz w:val="22"/>
              </w:rPr>
              <w:t>Debe</w:t>
            </w:r>
            <w:r>
              <w:rPr>
                <w:color w:val="231F1F"/>
                <w:w w:val="105"/>
                <w:sz w:val="22"/>
              </w:rPr>
              <w:t> indicarse</w:t>
            </w:r>
            <w:r>
              <w:rPr>
                <w:color w:val="231F1F"/>
                <w:w w:val="105"/>
                <w:sz w:val="22"/>
              </w:rPr>
              <w:t> a</w:t>
            </w:r>
            <w:r>
              <w:rPr>
                <w:color w:val="231F1F"/>
                <w:w w:val="105"/>
                <w:sz w:val="22"/>
              </w:rPr>
              <w:t> las</w:t>
            </w:r>
            <w:r>
              <w:rPr>
                <w:color w:val="231F1F"/>
                <w:w w:val="105"/>
                <w:sz w:val="22"/>
              </w:rPr>
              <w:t> mujeres</w:t>
            </w:r>
            <w:r>
              <w:rPr>
                <w:color w:val="231F1F"/>
                <w:w w:val="105"/>
                <w:sz w:val="22"/>
              </w:rPr>
              <w:t> que</w:t>
            </w:r>
            <w:r>
              <w:rPr>
                <w:color w:val="231F1F"/>
                <w:w w:val="105"/>
                <w:sz w:val="22"/>
              </w:rPr>
              <w:t> si</w:t>
            </w:r>
            <w:r>
              <w:rPr>
                <w:color w:val="231F1F"/>
                <w:w w:val="105"/>
                <w:sz w:val="22"/>
              </w:rPr>
              <w:t> el</w:t>
            </w:r>
            <w:r>
              <w:rPr>
                <w:color w:val="231F1F"/>
                <w:w w:val="105"/>
                <w:sz w:val="22"/>
              </w:rPr>
              <w:t> RN</w:t>
            </w:r>
            <w:r>
              <w:rPr>
                <w:color w:val="231F1F"/>
                <w:w w:val="105"/>
                <w:sz w:val="22"/>
              </w:rPr>
              <w:t> no</w:t>
            </w:r>
            <w:r>
              <w:rPr>
                <w:color w:val="231F1F"/>
                <w:w w:val="105"/>
                <w:sz w:val="22"/>
              </w:rPr>
              <w:t> está</w:t>
            </w:r>
            <w:r>
              <w:rPr>
                <w:color w:val="231F1F"/>
                <w:w w:val="105"/>
                <w:sz w:val="22"/>
              </w:rPr>
              <w:t> intentando</w:t>
            </w:r>
            <w:r>
              <w:rPr>
                <w:color w:val="231F1F"/>
                <w:w w:val="105"/>
                <w:sz w:val="22"/>
              </w:rPr>
              <w:t> mamar,</w:t>
            </w:r>
            <w:r>
              <w:rPr>
                <w:color w:val="231F1F"/>
                <w:w w:val="105"/>
                <w:sz w:val="22"/>
              </w:rPr>
              <w:t> se</w:t>
            </w:r>
            <w:r>
              <w:rPr>
                <w:color w:val="231F1F"/>
                <w:w w:val="105"/>
                <w:sz w:val="22"/>
              </w:rPr>
              <w:t> le</w:t>
            </w:r>
            <w:r>
              <w:rPr>
                <w:color w:val="231F1F"/>
                <w:w w:val="105"/>
                <w:sz w:val="22"/>
              </w:rPr>
              <w:t> puede colocar enfrente del pecho para facilitar la puesta en marcha de los reflejos necesa- rios</w:t>
            </w:r>
            <w:r>
              <w:rPr>
                <w:color w:val="231F1F"/>
                <w:w w:val="105"/>
                <w:sz w:val="22"/>
              </w:rPr>
              <w:t> para</w:t>
            </w:r>
            <w:r>
              <w:rPr>
                <w:color w:val="231F1F"/>
                <w:w w:val="105"/>
                <w:sz w:val="22"/>
              </w:rPr>
              <w:t> conseguir</w:t>
            </w:r>
            <w:r>
              <w:rPr>
                <w:color w:val="231F1F"/>
                <w:w w:val="105"/>
                <w:sz w:val="22"/>
              </w:rPr>
              <w:t> un</w:t>
            </w:r>
            <w:r>
              <w:rPr>
                <w:color w:val="231F1F"/>
                <w:w w:val="105"/>
                <w:sz w:val="22"/>
              </w:rPr>
              <w:t> agarre</w:t>
            </w:r>
            <w:r>
              <w:rPr>
                <w:color w:val="231F1F"/>
                <w:w w:val="105"/>
                <w:sz w:val="22"/>
              </w:rPr>
              <w:t> adecuado,</w:t>
            </w:r>
            <w:r>
              <w:rPr>
                <w:color w:val="231F1F"/>
                <w:w w:val="105"/>
                <w:sz w:val="22"/>
              </w:rPr>
              <w:t> pero</w:t>
            </w:r>
            <w:r>
              <w:rPr>
                <w:color w:val="231F1F"/>
                <w:w w:val="105"/>
                <w:sz w:val="22"/>
              </w:rPr>
              <w:t> que</w:t>
            </w:r>
            <w:r>
              <w:rPr>
                <w:color w:val="231F1F"/>
                <w:w w:val="105"/>
                <w:sz w:val="22"/>
              </w:rPr>
              <w:t> no</w:t>
            </w:r>
            <w:r>
              <w:rPr>
                <w:color w:val="231F1F"/>
                <w:w w:val="105"/>
                <w:sz w:val="22"/>
              </w:rPr>
              <w:t> es</w:t>
            </w:r>
            <w:r>
              <w:rPr>
                <w:color w:val="231F1F"/>
                <w:w w:val="105"/>
                <w:sz w:val="22"/>
              </w:rPr>
              <w:t> recomendable</w:t>
            </w:r>
            <w:r>
              <w:rPr>
                <w:color w:val="231F1F"/>
                <w:w w:val="105"/>
                <w:sz w:val="22"/>
              </w:rPr>
              <w:t> forzar</w:t>
            </w:r>
            <w:r>
              <w:rPr>
                <w:color w:val="231F1F"/>
                <w:w w:val="105"/>
                <w:sz w:val="22"/>
              </w:rPr>
              <w:t> esta primera toma.</w:t>
            </w:r>
          </w:p>
        </w:tc>
      </w:tr>
    </w:tbl>
    <w:p>
      <w:pPr>
        <w:pStyle w:val="TableParagraph"/>
        <w:spacing w:after="0" w:line="249" w:lineRule="auto"/>
        <w:jc w:val="both"/>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23" w:id="33"/>
      <w:r>
        <w:rPr>
          <w:color w:val="231F1F"/>
        </w:rPr>
        <w:t>Baño</w:t>
      </w:r>
      <w:r>
        <w:rPr>
          <w:color w:val="231F1F"/>
          <w:spacing w:val="42"/>
        </w:rPr>
        <w:t> </w:t>
      </w:r>
      <w:r>
        <w:rPr>
          <w:color w:val="231F1F"/>
        </w:rPr>
        <w:t>del</w:t>
      </w:r>
      <w:r>
        <w:rPr>
          <w:color w:val="231F1F"/>
          <w:spacing w:val="46"/>
        </w:rPr>
        <w:t> </w:t>
      </w:r>
      <w:bookmarkEnd w:id="33"/>
      <w:r>
        <w:rPr>
          <w:color w:val="231F1F"/>
          <w:spacing w:val="-5"/>
        </w:rPr>
        <w:t>RN</w:t>
      </w:r>
    </w:p>
    <w:p>
      <w:pPr>
        <w:pStyle w:val="BodyText"/>
        <w:spacing w:before="26"/>
        <w:rPr>
          <w:sz w:val="20"/>
        </w:rPr>
      </w:pPr>
      <w:r>
        <w:rPr>
          <w:sz w:val="20"/>
        </w:rPr>
        <mc:AlternateContent>
          <mc:Choice Requires="wps">
            <w:drawing>
              <wp:anchor distT="0" distB="0" distL="0" distR="0" allowOverlap="1" layoutInCell="1" locked="0" behindDoc="1" simplePos="0" relativeHeight="487616000">
                <wp:simplePos x="0" y="0"/>
                <wp:positionH relativeFrom="page">
                  <wp:posOffset>1082675</wp:posOffset>
                </wp:positionH>
                <wp:positionV relativeFrom="paragraph">
                  <wp:posOffset>180997</wp:posOffset>
                </wp:positionV>
                <wp:extent cx="5400040" cy="262255"/>
                <wp:effectExtent l="0" t="0" r="0" b="0"/>
                <wp:wrapTopAndBottom/>
                <wp:docPr id="113" name="Textbox 113"/>
                <wp:cNvGraphicFramePr>
                  <a:graphicFrameLocks/>
                </wp:cNvGraphicFramePr>
                <a:graphic>
                  <a:graphicData uri="http://schemas.microsoft.com/office/word/2010/wordprocessingShape">
                    <wps:wsp>
                      <wps:cNvPr id="113" name="Textbox 113"/>
                      <wps:cNvSpPr txBox="1"/>
                      <wps:spPr>
                        <a:xfrm>
                          <a:off x="0" y="0"/>
                          <a:ext cx="5400040" cy="262255"/>
                        </a:xfrm>
                        <a:prstGeom prst="rect">
                          <a:avLst/>
                        </a:prstGeom>
                        <a:ln w="6350">
                          <a:solidFill>
                            <a:srgbClr val="A30046"/>
                          </a:solidFill>
                          <a:prstDash val="solid"/>
                        </a:ln>
                      </wps:spPr>
                      <wps:txbx>
                        <w:txbxContent>
                          <w:p>
                            <w:pPr>
                              <w:pStyle w:val="BodyText"/>
                              <w:numPr>
                                <w:ilvl w:val="0"/>
                                <w:numId w:val="57"/>
                              </w:numPr>
                              <w:tabs>
                                <w:tab w:pos="322" w:val="left" w:leader="none"/>
                              </w:tabs>
                              <w:spacing w:line="240" w:lineRule="auto" w:before="51" w:after="0"/>
                              <w:ind w:left="322" w:right="0" w:hanging="218"/>
                              <w:jc w:val="left"/>
                            </w:pPr>
                            <w:r>
                              <w:rPr>
                                <w:color w:val="231F1F"/>
                                <w:w w:val="110"/>
                              </w:rPr>
                              <w:t>¿Cuál</w:t>
                            </w:r>
                            <w:r>
                              <w:rPr>
                                <w:color w:val="231F1F"/>
                                <w:spacing w:val="-15"/>
                                <w:w w:val="110"/>
                              </w:rPr>
                              <w:t> </w:t>
                            </w:r>
                            <w:r>
                              <w:rPr>
                                <w:color w:val="231F1F"/>
                                <w:w w:val="110"/>
                              </w:rPr>
                              <w:t>es</w:t>
                            </w:r>
                            <w:r>
                              <w:rPr>
                                <w:color w:val="231F1F"/>
                                <w:spacing w:val="-12"/>
                                <w:w w:val="110"/>
                              </w:rPr>
                              <w:t> </w:t>
                            </w:r>
                            <w:r>
                              <w:rPr>
                                <w:color w:val="231F1F"/>
                                <w:w w:val="110"/>
                              </w:rPr>
                              <w:t>el</w:t>
                            </w:r>
                            <w:r>
                              <w:rPr>
                                <w:color w:val="231F1F"/>
                                <w:spacing w:val="-13"/>
                                <w:w w:val="110"/>
                              </w:rPr>
                              <w:t> </w:t>
                            </w:r>
                            <w:r>
                              <w:rPr>
                                <w:color w:val="231F1F"/>
                                <w:w w:val="110"/>
                              </w:rPr>
                              <w:t>efecto</w:t>
                            </w:r>
                            <w:r>
                              <w:rPr>
                                <w:color w:val="231F1F"/>
                                <w:spacing w:val="-12"/>
                                <w:w w:val="110"/>
                              </w:rPr>
                              <w:t> </w:t>
                            </w:r>
                            <w:r>
                              <w:rPr>
                                <w:color w:val="231F1F"/>
                                <w:w w:val="110"/>
                              </w:rPr>
                              <w:t>del</w:t>
                            </w:r>
                            <w:r>
                              <w:rPr>
                                <w:color w:val="231F1F"/>
                                <w:spacing w:val="-15"/>
                                <w:w w:val="110"/>
                              </w:rPr>
                              <w:t> </w:t>
                            </w:r>
                            <w:r>
                              <w:rPr>
                                <w:color w:val="231F1F"/>
                                <w:w w:val="110"/>
                              </w:rPr>
                              <w:t>baño</w:t>
                            </w:r>
                            <w:r>
                              <w:rPr>
                                <w:color w:val="231F1F"/>
                                <w:spacing w:val="-14"/>
                                <w:w w:val="110"/>
                              </w:rPr>
                              <w:t> </w:t>
                            </w:r>
                            <w:r>
                              <w:rPr>
                                <w:color w:val="231F1F"/>
                                <w:w w:val="110"/>
                              </w:rPr>
                              <w:t>en</w:t>
                            </w:r>
                            <w:r>
                              <w:rPr>
                                <w:color w:val="231F1F"/>
                                <w:spacing w:val="-13"/>
                                <w:w w:val="110"/>
                              </w:rPr>
                              <w:t> </w:t>
                            </w:r>
                            <w:r>
                              <w:rPr>
                                <w:color w:val="231F1F"/>
                                <w:w w:val="110"/>
                              </w:rPr>
                              <w:t>el</w:t>
                            </w:r>
                            <w:r>
                              <w:rPr>
                                <w:color w:val="231F1F"/>
                                <w:spacing w:val="-12"/>
                                <w:w w:val="110"/>
                              </w:rPr>
                              <w:t> </w:t>
                            </w:r>
                            <w:r>
                              <w:rPr>
                                <w:color w:val="231F1F"/>
                                <w:spacing w:val="-5"/>
                                <w:w w:val="110"/>
                              </w:rPr>
                              <w:t>RN?</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700480;mso-wrap-distance-left:0;mso-wrap-distance-right:0" type="#_x0000_t202" id="docshape102" filled="false" stroked="true" strokeweight=".5pt" strokecolor="#a30046">
                <v:textbox inset="0,0,0,0">
                  <w:txbxContent>
                    <w:p>
                      <w:pPr>
                        <w:pStyle w:val="BodyText"/>
                        <w:numPr>
                          <w:ilvl w:val="0"/>
                          <w:numId w:val="57"/>
                        </w:numPr>
                        <w:tabs>
                          <w:tab w:pos="322" w:val="left" w:leader="none"/>
                        </w:tabs>
                        <w:spacing w:line="240" w:lineRule="auto" w:before="51" w:after="0"/>
                        <w:ind w:left="322" w:right="0" w:hanging="218"/>
                        <w:jc w:val="left"/>
                      </w:pPr>
                      <w:r>
                        <w:rPr>
                          <w:color w:val="231F1F"/>
                          <w:w w:val="110"/>
                        </w:rPr>
                        <w:t>¿Cuál</w:t>
                      </w:r>
                      <w:r>
                        <w:rPr>
                          <w:color w:val="231F1F"/>
                          <w:spacing w:val="-15"/>
                          <w:w w:val="110"/>
                        </w:rPr>
                        <w:t> </w:t>
                      </w:r>
                      <w:r>
                        <w:rPr>
                          <w:color w:val="231F1F"/>
                          <w:w w:val="110"/>
                        </w:rPr>
                        <w:t>es</w:t>
                      </w:r>
                      <w:r>
                        <w:rPr>
                          <w:color w:val="231F1F"/>
                          <w:spacing w:val="-12"/>
                          <w:w w:val="110"/>
                        </w:rPr>
                        <w:t> </w:t>
                      </w:r>
                      <w:r>
                        <w:rPr>
                          <w:color w:val="231F1F"/>
                          <w:w w:val="110"/>
                        </w:rPr>
                        <w:t>el</w:t>
                      </w:r>
                      <w:r>
                        <w:rPr>
                          <w:color w:val="231F1F"/>
                          <w:spacing w:val="-13"/>
                          <w:w w:val="110"/>
                        </w:rPr>
                        <w:t> </w:t>
                      </w:r>
                      <w:r>
                        <w:rPr>
                          <w:color w:val="231F1F"/>
                          <w:w w:val="110"/>
                        </w:rPr>
                        <w:t>efecto</w:t>
                      </w:r>
                      <w:r>
                        <w:rPr>
                          <w:color w:val="231F1F"/>
                          <w:spacing w:val="-12"/>
                          <w:w w:val="110"/>
                        </w:rPr>
                        <w:t> </w:t>
                      </w:r>
                      <w:r>
                        <w:rPr>
                          <w:color w:val="231F1F"/>
                          <w:w w:val="110"/>
                        </w:rPr>
                        <w:t>del</w:t>
                      </w:r>
                      <w:r>
                        <w:rPr>
                          <w:color w:val="231F1F"/>
                          <w:spacing w:val="-15"/>
                          <w:w w:val="110"/>
                        </w:rPr>
                        <w:t> </w:t>
                      </w:r>
                      <w:r>
                        <w:rPr>
                          <w:color w:val="231F1F"/>
                          <w:w w:val="110"/>
                        </w:rPr>
                        <w:t>baño</w:t>
                      </w:r>
                      <w:r>
                        <w:rPr>
                          <w:color w:val="231F1F"/>
                          <w:spacing w:val="-14"/>
                          <w:w w:val="110"/>
                        </w:rPr>
                        <w:t> </w:t>
                      </w:r>
                      <w:r>
                        <w:rPr>
                          <w:color w:val="231F1F"/>
                          <w:w w:val="110"/>
                        </w:rPr>
                        <w:t>en</w:t>
                      </w:r>
                      <w:r>
                        <w:rPr>
                          <w:color w:val="231F1F"/>
                          <w:spacing w:val="-13"/>
                          <w:w w:val="110"/>
                        </w:rPr>
                        <w:t> </w:t>
                      </w:r>
                      <w:r>
                        <w:rPr>
                          <w:color w:val="231F1F"/>
                          <w:w w:val="110"/>
                        </w:rPr>
                        <w:t>el</w:t>
                      </w:r>
                      <w:r>
                        <w:rPr>
                          <w:color w:val="231F1F"/>
                          <w:spacing w:val="-12"/>
                          <w:w w:val="110"/>
                        </w:rPr>
                        <w:t> </w:t>
                      </w:r>
                      <w:r>
                        <w:rPr>
                          <w:color w:val="231F1F"/>
                          <w:spacing w:val="-5"/>
                          <w:w w:val="110"/>
                        </w:rPr>
                        <w:t>RN?</w:t>
                      </w:r>
                    </w:p>
                  </w:txbxContent>
                </v:textbox>
                <v:stroke dashstyle="solid"/>
                <w10:wrap type="topAndBottom"/>
              </v:shape>
            </w:pict>
          </mc:Fallback>
        </mc:AlternateContent>
      </w:r>
    </w:p>
    <w:p>
      <w:pPr>
        <w:pStyle w:val="BodyText"/>
        <w:spacing w:line="244" w:lineRule="auto" w:before="324"/>
        <w:ind w:left="283" w:right="124"/>
        <w:jc w:val="both"/>
      </w:pPr>
      <w:r>
        <w:rPr>
          <w:color w:val="231F1F"/>
          <w:w w:val="110"/>
        </w:rPr>
        <w:t>No parece haber evidencia de que bañar a los RN produzca beneficios, por el contrario supone</w:t>
      </w:r>
      <w:r>
        <w:rPr>
          <w:color w:val="231F1F"/>
          <w:spacing w:val="-10"/>
          <w:w w:val="110"/>
        </w:rPr>
        <w:t> </w:t>
      </w:r>
      <w:r>
        <w:rPr>
          <w:color w:val="231F1F"/>
          <w:w w:val="110"/>
        </w:rPr>
        <w:t>una</w:t>
      </w:r>
      <w:r>
        <w:rPr>
          <w:color w:val="231F1F"/>
          <w:spacing w:val="-10"/>
          <w:w w:val="110"/>
        </w:rPr>
        <w:t> </w:t>
      </w:r>
      <w:r>
        <w:rPr>
          <w:color w:val="231F1F"/>
          <w:w w:val="110"/>
        </w:rPr>
        <w:t>pérdida</w:t>
      </w:r>
      <w:r>
        <w:rPr>
          <w:color w:val="231F1F"/>
          <w:spacing w:val="-10"/>
          <w:w w:val="110"/>
        </w:rPr>
        <w:t> </w:t>
      </w:r>
      <w:r>
        <w:rPr>
          <w:color w:val="231F1F"/>
          <w:w w:val="110"/>
        </w:rPr>
        <w:t>de</w:t>
      </w:r>
      <w:r>
        <w:rPr>
          <w:color w:val="231F1F"/>
          <w:spacing w:val="-10"/>
          <w:w w:val="110"/>
        </w:rPr>
        <w:t> </w:t>
      </w:r>
      <w:r>
        <w:rPr>
          <w:color w:val="231F1F"/>
          <w:w w:val="110"/>
        </w:rPr>
        <w:t>temperatura</w:t>
      </w:r>
      <w:r>
        <w:rPr>
          <w:color w:val="231F1F"/>
          <w:spacing w:val="-10"/>
          <w:w w:val="110"/>
        </w:rPr>
        <w:t> </w:t>
      </w:r>
      <w:r>
        <w:rPr>
          <w:color w:val="231F1F"/>
          <w:w w:val="110"/>
        </w:rPr>
        <w:t>corporal</w:t>
      </w:r>
      <w:r>
        <w:rPr>
          <w:color w:val="231F1F"/>
          <w:spacing w:val="-10"/>
          <w:w w:val="110"/>
        </w:rPr>
        <w:t> </w:t>
      </w:r>
      <w:r>
        <w:rPr>
          <w:color w:val="231F1F"/>
          <w:w w:val="110"/>
        </w:rPr>
        <w:t>e</w:t>
      </w:r>
      <w:r>
        <w:rPr>
          <w:color w:val="231F1F"/>
          <w:spacing w:val="-10"/>
          <w:w w:val="110"/>
        </w:rPr>
        <w:t> </w:t>
      </w:r>
      <w:r>
        <w:rPr>
          <w:color w:val="231F1F"/>
          <w:w w:val="110"/>
        </w:rPr>
        <w:t>interfiere</w:t>
      </w:r>
      <w:r>
        <w:rPr>
          <w:color w:val="231F1F"/>
          <w:spacing w:val="-10"/>
          <w:w w:val="110"/>
        </w:rPr>
        <w:t> </w:t>
      </w:r>
      <w:r>
        <w:rPr>
          <w:color w:val="231F1F"/>
          <w:w w:val="110"/>
        </w:rPr>
        <w:t>con</w:t>
      </w:r>
      <w:r>
        <w:rPr>
          <w:color w:val="231F1F"/>
          <w:spacing w:val="-10"/>
          <w:w w:val="110"/>
        </w:rPr>
        <w:t> </w:t>
      </w:r>
      <w:r>
        <w:rPr>
          <w:color w:val="231F1F"/>
          <w:w w:val="110"/>
        </w:rPr>
        <w:t>la</w:t>
      </w:r>
      <w:r>
        <w:rPr>
          <w:color w:val="231F1F"/>
          <w:spacing w:val="-10"/>
          <w:w w:val="110"/>
        </w:rPr>
        <w:t> </w:t>
      </w:r>
      <w:r>
        <w:rPr>
          <w:color w:val="231F1F"/>
          <w:w w:val="110"/>
        </w:rPr>
        <w:t>recomendación</w:t>
      </w:r>
      <w:r>
        <w:rPr>
          <w:color w:val="231F1F"/>
          <w:spacing w:val="-10"/>
          <w:w w:val="110"/>
        </w:rPr>
        <w:t> </w:t>
      </w:r>
      <w:r>
        <w:rPr>
          <w:color w:val="231F1F"/>
          <w:w w:val="110"/>
        </w:rPr>
        <w:t>de</w:t>
      </w:r>
      <w:r>
        <w:rPr>
          <w:color w:val="231F1F"/>
          <w:spacing w:val="-10"/>
          <w:w w:val="110"/>
        </w:rPr>
        <w:t> </w:t>
      </w:r>
      <w:r>
        <w:rPr>
          <w:color w:val="231F1F"/>
          <w:w w:val="110"/>
        </w:rPr>
        <w:t>perma- necer</w:t>
      </w:r>
      <w:r>
        <w:rPr>
          <w:color w:val="231F1F"/>
          <w:spacing w:val="-16"/>
          <w:w w:val="110"/>
        </w:rPr>
        <w:t> </w:t>
      </w:r>
      <w:r>
        <w:rPr>
          <w:color w:val="231F1F"/>
          <w:w w:val="110"/>
        </w:rPr>
        <w:t>en</w:t>
      </w:r>
      <w:r>
        <w:rPr>
          <w:color w:val="231F1F"/>
          <w:spacing w:val="-15"/>
          <w:w w:val="110"/>
        </w:rPr>
        <w:t> </w:t>
      </w:r>
      <w:r>
        <w:rPr>
          <w:color w:val="231F1F"/>
          <w:w w:val="110"/>
        </w:rPr>
        <w:t>contacto</w:t>
      </w:r>
      <w:r>
        <w:rPr>
          <w:color w:val="231F1F"/>
          <w:spacing w:val="-15"/>
          <w:w w:val="110"/>
        </w:rPr>
        <w:t> </w:t>
      </w:r>
      <w:r>
        <w:rPr>
          <w:color w:val="231F1F"/>
          <w:w w:val="110"/>
        </w:rPr>
        <w:t>piel</w:t>
      </w:r>
      <w:r>
        <w:rPr>
          <w:color w:val="231F1F"/>
          <w:spacing w:val="-15"/>
          <w:w w:val="110"/>
        </w:rPr>
        <w:t> </w:t>
      </w:r>
      <w:r>
        <w:rPr>
          <w:color w:val="231F1F"/>
          <w:w w:val="110"/>
        </w:rPr>
        <w:t>con</w:t>
      </w:r>
      <w:r>
        <w:rPr>
          <w:color w:val="231F1F"/>
          <w:spacing w:val="-15"/>
          <w:w w:val="110"/>
        </w:rPr>
        <w:t> </w:t>
      </w:r>
      <w:r>
        <w:rPr>
          <w:color w:val="231F1F"/>
          <w:w w:val="110"/>
        </w:rPr>
        <w:t>piel</w:t>
      </w:r>
      <w:r>
        <w:rPr>
          <w:color w:val="231F1F"/>
          <w:spacing w:val="-15"/>
          <w:w w:val="110"/>
        </w:rPr>
        <w:t> </w:t>
      </w:r>
      <w:r>
        <w:rPr>
          <w:color w:val="231F1F"/>
          <w:w w:val="110"/>
        </w:rPr>
        <w:t>durante</w:t>
      </w:r>
      <w:r>
        <w:rPr>
          <w:color w:val="231F1F"/>
          <w:spacing w:val="-15"/>
          <w:w w:val="110"/>
        </w:rPr>
        <w:t> </w:t>
      </w:r>
      <w:r>
        <w:rPr>
          <w:color w:val="231F1F"/>
          <w:w w:val="110"/>
        </w:rPr>
        <w:t>al</w:t>
      </w:r>
      <w:r>
        <w:rPr>
          <w:color w:val="231F1F"/>
          <w:spacing w:val="-15"/>
          <w:w w:val="110"/>
        </w:rPr>
        <w:t> </w:t>
      </w:r>
      <w:r>
        <w:rPr>
          <w:color w:val="231F1F"/>
          <w:w w:val="110"/>
        </w:rPr>
        <w:t>menos</w:t>
      </w:r>
      <w:r>
        <w:rPr>
          <w:color w:val="231F1F"/>
          <w:spacing w:val="-16"/>
          <w:w w:val="110"/>
        </w:rPr>
        <w:t> </w:t>
      </w:r>
      <w:r>
        <w:rPr>
          <w:color w:val="231F1F"/>
          <w:w w:val="110"/>
        </w:rPr>
        <w:t>la</w:t>
      </w:r>
      <w:r>
        <w:rPr>
          <w:color w:val="231F1F"/>
          <w:spacing w:val="-15"/>
          <w:w w:val="110"/>
        </w:rPr>
        <w:t> </w:t>
      </w:r>
      <w:r>
        <w:rPr>
          <w:color w:val="231F1F"/>
          <w:w w:val="110"/>
        </w:rPr>
        <w:t>primera</w:t>
      </w:r>
      <w:r>
        <w:rPr>
          <w:color w:val="231F1F"/>
          <w:spacing w:val="-15"/>
          <w:w w:val="110"/>
        </w:rPr>
        <w:t> </w:t>
      </w:r>
      <w:r>
        <w:rPr>
          <w:color w:val="231F1F"/>
          <w:w w:val="110"/>
        </w:rPr>
        <w:t>hora.</w:t>
      </w:r>
      <w:r>
        <w:rPr>
          <w:color w:val="231F1F"/>
          <w:spacing w:val="-15"/>
          <w:w w:val="110"/>
        </w:rPr>
        <w:t> </w:t>
      </w:r>
      <w:r>
        <w:rPr>
          <w:color w:val="231F1F"/>
          <w:w w:val="110"/>
        </w:rPr>
        <w:t>No</w:t>
      </w:r>
      <w:r>
        <w:rPr>
          <w:color w:val="231F1F"/>
          <w:spacing w:val="-15"/>
          <w:w w:val="110"/>
        </w:rPr>
        <w:t> </w:t>
      </w:r>
      <w:r>
        <w:rPr>
          <w:color w:val="231F1F"/>
          <w:w w:val="110"/>
        </w:rPr>
        <w:t>existe</w:t>
      </w:r>
      <w:r>
        <w:rPr>
          <w:color w:val="231F1F"/>
          <w:spacing w:val="-15"/>
          <w:w w:val="110"/>
        </w:rPr>
        <w:t> </w:t>
      </w:r>
      <w:r>
        <w:rPr>
          <w:color w:val="231F1F"/>
          <w:w w:val="110"/>
        </w:rPr>
        <w:t>además</w:t>
      </w:r>
      <w:r>
        <w:rPr>
          <w:color w:val="231F1F"/>
          <w:spacing w:val="-15"/>
          <w:w w:val="110"/>
        </w:rPr>
        <w:t> </w:t>
      </w:r>
      <w:r>
        <w:rPr>
          <w:color w:val="231F1F"/>
          <w:w w:val="110"/>
        </w:rPr>
        <w:t>ningu- na contraindicación al hecho de no bañar al RN.</w:t>
      </w:r>
    </w:p>
    <w:p>
      <w:pPr>
        <w:pStyle w:val="BodyText"/>
        <w:spacing w:line="244" w:lineRule="auto" w:before="144"/>
        <w:ind w:left="283" w:right="110" w:firstLine="453"/>
        <w:jc w:val="both"/>
      </w:pPr>
      <w:r>
        <w:rPr>
          <w:color w:val="231F1F"/>
          <w:w w:val="105"/>
        </w:rPr>
        <w:t>Se desconoce la función real de la vérnix, pero sí se sabe que si no se baña al bebé la sustancia</w:t>
      </w:r>
      <w:r>
        <w:rPr>
          <w:color w:val="231F1F"/>
          <w:w w:val="105"/>
        </w:rPr>
        <w:t> grasa</w:t>
      </w:r>
      <w:r>
        <w:rPr>
          <w:color w:val="231F1F"/>
          <w:w w:val="105"/>
        </w:rPr>
        <w:t> es</w:t>
      </w:r>
      <w:r>
        <w:rPr>
          <w:color w:val="231F1F"/>
          <w:w w:val="105"/>
        </w:rPr>
        <w:t> reabsorbida</w:t>
      </w:r>
      <w:r>
        <w:rPr>
          <w:color w:val="231F1F"/>
          <w:w w:val="105"/>
        </w:rPr>
        <w:t> por</w:t>
      </w:r>
      <w:r>
        <w:rPr>
          <w:color w:val="231F1F"/>
          <w:w w:val="105"/>
        </w:rPr>
        <w:t> la</w:t>
      </w:r>
      <w:r>
        <w:rPr>
          <w:color w:val="231F1F"/>
          <w:w w:val="105"/>
        </w:rPr>
        <w:t> piel.</w:t>
      </w:r>
      <w:r>
        <w:rPr>
          <w:color w:val="231F1F"/>
          <w:w w:val="105"/>
        </w:rPr>
        <w:t> Este</w:t>
      </w:r>
      <w:r>
        <w:rPr>
          <w:color w:val="231F1F"/>
          <w:w w:val="105"/>
        </w:rPr>
        <w:t> efecto</w:t>
      </w:r>
      <w:r>
        <w:rPr>
          <w:color w:val="231F1F"/>
          <w:w w:val="105"/>
        </w:rPr>
        <w:t> sugiere</w:t>
      </w:r>
      <w:r>
        <w:rPr>
          <w:color w:val="231F1F"/>
          <w:w w:val="105"/>
        </w:rPr>
        <w:t> que</w:t>
      </w:r>
      <w:r>
        <w:rPr>
          <w:color w:val="231F1F"/>
          <w:w w:val="105"/>
        </w:rPr>
        <w:t> puede</w:t>
      </w:r>
      <w:r>
        <w:rPr>
          <w:color w:val="231F1F"/>
          <w:w w:val="105"/>
        </w:rPr>
        <w:t> tener</w:t>
      </w:r>
      <w:r>
        <w:rPr>
          <w:color w:val="231F1F"/>
          <w:w w:val="105"/>
        </w:rPr>
        <w:t> efectos protectores sobre la piel mejorando la acidificación, hidratando y protegiendo de la pérdi-</w:t>
      </w:r>
      <w:r>
        <w:rPr>
          <w:color w:val="231F1F"/>
          <w:spacing w:val="40"/>
          <w:w w:val="105"/>
        </w:rPr>
        <w:t> </w:t>
      </w:r>
      <w:r>
        <w:rPr>
          <w:color w:val="231F1F"/>
          <w:w w:val="105"/>
        </w:rPr>
        <w:t>da de calor y de las infecciones.</w:t>
      </w:r>
    </w:p>
    <w:p>
      <w:pPr>
        <w:pStyle w:val="BodyText"/>
        <w:spacing w:before="159"/>
      </w:pPr>
    </w:p>
    <w:p>
      <w:pPr>
        <w:spacing w:before="0"/>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0"/>
        <w:ind w:left="283" w:right="131" w:firstLine="453"/>
        <w:jc w:val="both"/>
      </w:pPr>
      <w:r>
        <w:rPr>
          <w:color w:val="231F1F"/>
          <w:w w:val="110"/>
        </w:rPr>
        <w:t>La guía NICE (10) no aborda el baño del RN y tampoco se ha encontrado ningún estudio que cumpla los criterios de selección en la actualización (a marzo de 2008).</w:t>
      </w:r>
    </w:p>
    <w:p>
      <w:pPr>
        <w:pStyle w:val="BodyText"/>
        <w:spacing w:before="166"/>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7"/>
        </w:rPr>
      </w:pPr>
      <w:r>
        <w:rPr>
          <w:rFonts w:ascii="Arial MT"/>
          <w:sz w:val="17"/>
        </w:rPr>
        <mc:AlternateContent>
          <mc:Choice Requires="wps">
            <w:drawing>
              <wp:anchor distT="0" distB="0" distL="0" distR="0" allowOverlap="1" layoutInCell="1" locked="0" behindDoc="1" simplePos="0" relativeHeight="487616512">
                <wp:simplePos x="0" y="0"/>
                <wp:positionH relativeFrom="page">
                  <wp:posOffset>1082675</wp:posOffset>
                </wp:positionH>
                <wp:positionV relativeFrom="paragraph">
                  <wp:posOffset>148405</wp:posOffset>
                </wp:positionV>
                <wp:extent cx="5400040" cy="973455"/>
                <wp:effectExtent l="0" t="0" r="0" b="0"/>
                <wp:wrapTopAndBottom/>
                <wp:docPr id="114" name="Textbox 114"/>
                <wp:cNvGraphicFramePr>
                  <a:graphicFrameLocks/>
                </wp:cNvGraphicFramePr>
                <a:graphic>
                  <a:graphicData uri="http://schemas.microsoft.com/office/word/2010/wordprocessingShape">
                    <wps:wsp>
                      <wps:cNvPr id="114" name="Textbox 114"/>
                      <wps:cNvSpPr txBox="1"/>
                      <wps:spPr>
                        <a:xfrm>
                          <a:off x="0" y="0"/>
                          <a:ext cx="5400040" cy="973455"/>
                        </a:xfrm>
                        <a:prstGeom prst="rect">
                          <a:avLst/>
                        </a:prstGeom>
                        <a:ln w="6350">
                          <a:solidFill>
                            <a:srgbClr val="A30046"/>
                          </a:solidFill>
                          <a:prstDash val="solid"/>
                        </a:ln>
                      </wps:spPr>
                      <wps:txbx>
                        <w:txbxContent>
                          <w:p>
                            <w:pPr>
                              <w:pStyle w:val="BodyText"/>
                              <w:spacing w:line="244" w:lineRule="auto" w:before="48"/>
                              <w:ind w:left="104" w:right="97"/>
                              <w:jc w:val="both"/>
                            </w:pPr>
                            <w:r>
                              <w:rPr>
                                <w:color w:val="231F1F"/>
                                <w:w w:val="110"/>
                              </w:rPr>
                              <w:t>No</w:t>
                            </w:r>
                            <w:r>
                              <w:rPr>
                                <w:color w:val="231F1F"/>
                                <w:spacing w:val="-2"/>
                                <w:w w:val="110"/>
                              </w:rPr>
                              <w:t> </w:t>
                            </w:r>
                            <w:r>
                              <w:rPr>
                                <w:color w:val="231F1F"/>
                                <w:w w:val="110"/>
                              </w:rPr>
                              <w:t>existe</w:t>
                            </w:r>
                            <w:r>
                              <w:rPr>
                                <w:color w:val="231F1F"/>
                                <w:spacing w:val="-3"/>
                                <w:w w:val="110"/>
                              </w:rPr>
                              <w:t> </w:t>
                            </w:r>
                            <w:r>
                              <w:rPr>
                                <w:color w:val="231F1F"/>
                                <w:w w:val="110"/>
                              </w:rPr>
                              <w:t>evidencia</w:t>
                            </w:r>
                            <w:r>
                              <w:rPr>
                                <w:color w:val="231F1F"/>
                                <w:spacing w:val="-3"/>
                                <w:w w:val="110"/>
                              </w:rPr>
                              <w:t> </w:t>
                            </w:r>
                            <w:r>
                              <w:rPr>
                                <w:color w:val="231F1F"/>
                                <w:w w:val="110"/>
                              </w:rPr>
                              <w:t>para</w:t>
                            </w:r>
                            <w:r>
                              <w:rPr>
                                <w:color w:val="231F1F"/>
                                <w:spacing w:val="-3"/>
                                <w:w w:val="110"/>
                              </w:rPr>
                              <w:t> </w:t>
                            </w:r>
                            <w:r>
                              <w:rPr>
                                <w:color w:val="231F1F"/>
                                <w:w w:val="110"/>
                              </w:rPr>
                              <w:t>poder</w:t>
                            </w:r>
                            <w:r>
                              <w:rPr>
                                <w:color w:val="231F1F"/>
                                <w:spacing w:val="-3"/>
                                <w:w w:val="110"/>
                              </w:rPr>
                              <w:t> </w:t>
                            </w:r>
                            <w:r>
                              <w:rPr>
                                <w:color w:val="231F1F"/>
                                <w:w w:val="110"/>
                              </w:rPr>
                              <w:t>recomendar</w:t>
                            </w:r>
                            <w:r>
                              <w:rPr>
                                <w:color w:val="231F1F"/>
                                <w:spacing w:val="-3"/>
                                <w:w w:val="110"/>
                              </w:rPr>
                              <w:t> </w:t>
                            </w:r>
                            <w:r>
                              <w:rPr>
                                <w:color w:val="231F1F"/>
                                <w:w w:val="110"/>
                              </w:rPr>
                              <w:t>o</w:t>
                            </w:r>
                            <w:r>
                              <w:rPr>
                                <w:color w:val="231F1F"/>
                                <w:spacing w:val="-2"/>
                                <w:w w:val="110"/>
                              </w:rPr>
                              <w:t> </w:t>
                            </w:r>
                            <w:r>
                              <w:rPr>
                                <w:color w:val="231F1F"/>
                                <w:w w:val="110"/>
                              </w:rPr>
                              <w:t>no</w:t>
                            </w:r>
                            <w:r>
                              <w:rPr>
                                <w:color w:val="231F1F"/>
                                <w:spacing w:val="-2"/>
                                <w:w w:val="110"/>
                              </w:rPr>
                              <w:t> </w:t>
                            </w:r>
                            <w:r>
                              <w:rPr>
                                <w:color w:val="231F1F"/>
                                <w:w w:val="110"/>
                              </w:rPr>
                              <w:t>el</w:t>
                            </w:r>
                            <w:r>
                              <w:rPr>
                                <w:color w:val="231F1F"/>
                                <w:spacing w:val="-3"/>
                                <w:w w:val="110"/>
                              </w:rPr>
                              <w:t> </w:t>
                            </w:r>
                            <w:r>
                              <w:rPr>
                                <w:color w:val="231F1F"/>
                                <w:w w:val="110"/>
                              </w:rPr>
                              <w:t>baño</w:t>
                            </w:r>
                            <w:r>
                              <w:rPr>
                                <w:color w:val="231F1F"/>
                                <w:spacing w:val="-2"/>
                                <w:w w:val="110"/>
                              </w:rPr>
                              <w:t> </w:t>
                            </w:r>
                            <w:r>
                              <w:rPr>
                                <w:color w:val="231F1F"/>
                                <w:w w:val="110"/>
                              </w:rPr>
                              <w:t>inmediato</w:t>
                            </w:r>
                            <w:r>
                              <w:rPr>
                                <w:color w:val="231F1F"/>
                                <w:spacing w:val="-2"/>
                                <w:w w:val="110"/>
                              </w:rPr>
                              <w:t> </w:t>
                            </w:r>
                            <w:r>
                              <w:rPr>
                                <w:color w:val="231F1F"/>
                                <w:w w:val="110"/>
                              </w:rPr>
                              <w:t>en</w:t>
                            </w:r>
                            <w:r>
                              <w:rPr>
                                <w:color w:val="231F1F"/>
                                <w:spacing w:val="-2"/>
                                <w:w w:val="110"/>
                              </w:rPr>
                              <w:t> </w:t>
                            </w:r>
                            <w:r>
                              <w:rPr>
                                <w:color w:val="231F1F"/>
                                <w:w w:val="110"/>
                              </w:rPr>
                              <w:t>el</w:t>
                            </w:r>
                            <w:r>
                              <w:rPr>
                                <w:color w:val="231F1F"/>
                                <w:spacing w:val="-3"/>
                                <w:w w:val="110"/>
                              </w:rPr>
                              <w:t> </w:t>
                            </w:r>
                            <w:r>
                              <w:rPr>
                                <w:color w:val="231F1F"/>
                                <w:w w:val="110"/>
                              </w:rPr>
                              <w:t>RN.</w:t>
                            </w:r>
                            <w:r>
                              <w:rPr>
                                <w:color w:val="231F1F"/>
                                <w:spacing w:val="-3"/>
                                <w:w w:val="110"/>
                              </w:rPr>
                              <w:t> </w:t>
                            </w:r>
                            <w:r>
                              <w:rPr>
                                <w:color w:val="231F1F"/>
                                <w:w w:val="110"/>
                              </w:rPr>
                              <w:t>Sin</w:t>
                            </w:r>
                            <w:r>
                              <w:rPr>
                                <w:color w:val="231F1F"/>
                                <w:spacing w:val="-3"/>
                                <w:w w:val="110"/>
                              </w:rPr>
                              <w:t> </w:t>
                            </w:r>
                            <w:r>
                              <w:rPr>
                                <w:color w:val="231F1F"/>
                                <w:w w:val="110"/>
                              </w:rPr>
                              <w:t>em- bargo, distintas publicaciones hacen hincapié en la necesidad de esperar a realizar el baño</w:t>
                            </w:r>
                            <w:r>
                              <w:rPr>
                                <w:color w:val="231F1F"/>
                                <w:spacing w:val="-14"/>
                                <w:w w:val="110"/>
                              </w:rPr>
                              <w:t> </w:t>
                            </w:r>
                            <w:r>
                              <w:rPr>
                                <w:color w:val="231F1F"/>
                                <w:w w:val="110"/>
                              </w:rPr>
                              <w:t>cuando</w:t>
                            </w:r>
                            <w:r>
                              <w:rPr>
                                <w:color w:val="231F1F"/>
                                <w:spacing w:val="-14"/>
                                <w:w w:val="110"/>
                              </w:rPr>
                              <w:t> </w:t>
                            </w:r>
                            <w:r>
                              <w:rPr>
                                <w:color w:val="231F1F"/>
                                <w:w w:val="110"/>
                              </w:rPr>
                              <w:t>la</w:t>
                            </w:r>
                            <w:r>
                              <w:rPr>
                                <w:color w:val="231F1F"/>
                                <w:spacing w:val="-14"/>
                                <w:w w:val="110"/>
                              </w:rPr>
                              <w:t> </w:t>
                            </w:r>
                            <w:r>
                              <w:rPr>
                                <w:color w:val="231F1F"/>
                                <w:w w:val="110"/>
                              </w:rPr>
                              <w:t>temperatura</w:t>
                            </w:r>
                            <w:r>
                              <w:rPr>
                                <w:color w:val="231F1F"/>
                                <w:spacing w:val="-14"/>
                                <w:w w:val="110"/>
                              </w:rPr>
                              <w:t> </w:t>
                            </w:r>
                            <w:r>
                              <w:rPr>
                                <w:color w:val="231F1F"/>
                                <w:w w:val="110"/>
                              </w:rPr>
                              <w:t>del</w:t>
                            </w:r>
                            <w:r>
                              <w:rPr>
                                <w:color w:val="231F1F"/>
                                <w:spacing w:val="-15"/>
                                <w:w w:val="110"/>
                              </w:rPr>
                              <w:t> </w:t>
                            </w:r>
                            <w:r>
                              <w:rPr>
                                <w:color w:val="231F1F"/>
                                <w:w w:val="110"/>
                              </w:rPr>
                              <w:t>RN</w:t>
                            </w:r>
                            <w:r>
                              <w:rPr>
                                <w:color w:val="231F1F"/>
                                <w:spacing w:val="-14"/>
                                <w:w w:val="110"/>
                              </w:rPr>
                              <w:t> </w:t>
                            </w:r>
                            <w:r>
                              <w:rPr>
                                <w:color w:val="231F1F"/>
                                <w:w w:val="110"/>
                              </w:rPr>
                              <w:t>se</w:t>
                            </w:r>
                            <w:r>
                              <w:rPr>
                                <w:color w:val="231F1F"/>
                                <w:spacing w:val="-14"/>
                                <w:w w:val="110"/>
                              </w:rPr>
                              <w:t> </w:t>
                            </w:r>
                            <w:r>
                              <w:rPr>
                                <w:color w:val="231F1F"/>
                                <w:w w:val="110"/>
                              </w:rPr>
                              <w:t>haya</w:t>
                            </w:r>
                            <w:r>
                              <w:rPr>
                                <w:color w:val="231F1F"/>
                                <w:spacing w:val="-14"/>
                                <w:w w:val="110"/>
                              </w:rPr>
                              <w:t> </w:t>
                            </w:r>
                            <w:r>
                              <w:rPr>
                                <w:color w:val="231F1F"/>
                                <w:w w:val="110"/>
                              </w:rPr>
                              <w:t>estabilizado,</w:t>
                            </w:r>
                            <w:r>
                              <w:rPr>
                                <w:color w:val="231F1F"/>
                                <w:spacing w:val="-14"/>
                                <w:w w:val="110"/>
                              </w:rPr>
                              <w:t> </w:t>
                            </w:r>
                            <w:r>
                              <w:rPr>
                                <w:color w:val="231F1F"/>
                                <w:w w:val="110"/>
                              </w:rPr>
                              <w:t>realizando</w:t>
                            </w:r>
                            <w:r>
                              <w:rPr>
                                <w:color w:val="231F1F"/>
                                <w:spacing w:val="-14"/>
                                <w:w w:val="110"/>
                              </w:rPr>
                              <w:t> </w:t>
                            </w:r>
                            <w:r>
                              <w:rPr>
                                <w:color w:val="231F1F"/>
                                <w:w w:val="110"/>
                              </w:rPr>
                              <w:t>al</w:t>
                            </w:r>
                            <w:r>
                              <w:rPr>
                                <w:color w:val="231F1F"/>
                                <w:spacing w:val="-14"/>
                                <w:w w:val="110"/>
                              </w:rPr>
                              <w:t> </w:t>
                            </w:r>
                            <w:r>
                              <w:rPr>
                                <w:color w:val="231F1F"/>
                                <w:w w:val="110"/>
                              </w:rPr>
                              <w:t>nacer</w:t>
                            </w:r>
                            <w:r>
                              <w:rPr>
                                <w:color w:val="231F1F"/>
                                <w:spacing w:val="-15"/>
                                <w:w w:val="110"/>
                              </w:rPr>
                              <w:t> </w:t>
                            </w:r>
                            <w:r>
                              <w:rPr>
                                <w:color w:val="231F1F"/>
                                <w:w w:val="110"/>
                              </w:rPr>
                              <w:t>solamente una</w:t>
                            </w:r>
                            <w:r>
                              <w:rPr>
                                <w:color w:val="231F1F"/>
                                <w:spacing w:val="-13"/>
                                <w:w w:val="110"/>
                              </w:rPr>
                              <w:t> </w:t>
                            </w:r>
                            <w:r>
                              <w:rPr>
                                <w:color w:val="231F1F"/>
                                <w:w w:val="110"/>
                              </w:rPr>
                              <w:t>limpieza</w:t>
                            </w:r>
                            <w:r>
                              <w:rPr>
                                <w:color w:val="231F1F"/>
                                <w:spacing w:val="-13"/>
                                <w:w w:val="110"/>
                              </w:rPr>
                              <w:t> </w:t>
                            </w:r>
                            <w:r>
                              <w:rPr>
                                <w:color w:val="231F1F"/>
                                <w:w w:val="110"/>
                              </w:rPr>
                              <w:t>del</w:t>
                            </w:r>
                            <w:r>
                              <w:rPr>
                                <w:color w:val="231F1F"/>
                                <w:spacing w:val="-14"/>
                                <w:w w:val="110"/>
                              </w:rPr>
                              <w:t> </w:t>
                            </w:r>
                            <w:r>
                              <w:rPr>
                                <w:color w:val="231F1F"/>
                                <w:w w:val="110"/>
                              </w:rPr>
                              <w:t>exceso</w:t>
                            </w:r>
                            <w:r>
                              <w:rPr>
                                <w:color w:val="231F1F"/>
                                <w:spacing w:val="-12"/>
                                <w:w w:val="110"/>
                              </w:rPr>
                              <w:t> </w:t>
                            </w:r>
                            <w:r>
                              <w:rPr>
                                <w:color w:val="231F1F"/>
                                <w:w w:val="110"/>
                              </w:rPr>
                              <w:t>de</w:t>
                            </w:r>
                            <w:r>
                              <w:rPr>
                                <w:color w:val="231F1F"/>
                                <w:spacing w:val="-13"/>
                                <w:w w:val="110"/>
                              </w:rPr>
                              <w:t> </w:t>
                            </w:r>
                            <w:r>
                              <w:rPr>
                                <w:color w:val="231F1F"/>
                                <w:w w:val="110"/>
                              </w:rPr>
                              <w:t>vérnix.</w:t>
                            </w:r>
                            <w:r>
                              <w:rPr>
                                <w:color w:val="231F1F"/>
                                <w:spacing w:val="-14"/>
                                <w:w w:val="110"/>
                              </w:rPr>
                              <w:t> </w:t>
                            </w:r>
                            <w:r>
                              <w:rPr>
                                <w:color w:val="231F1F"/>
                                <w:w w:val="110"/>
                              </w:rPr>
                              <w:t>Por</w:t>
                            </w:r>
                            <w:r>
                              <w:rPr>
                                <w:color w:val="231F1F"/>
                                <w:spacing w:val="-14"/>
                                <w:w w:val="110"/>
                              </w:rPr>
                              <w:t> </w:t>
                            </w:r>
                            <w:r>
                              <w:rPr>
                                <w:color w:val="231F1F"/>
                                <w:w w:val="110"/>
                              </w:rPr>
                              <w:t>otra</w:t>
                            </w:r>
                            <w:r>
                              <w:rPr>
                                <w:color w:val="231F1F"/>
                                <w:spacing w:val="-13"/>
                                <w:w w:val="110"/>
                              </w:rPr>
                              <w:t> </w:t>
                            </w:r>
                            <w:r>
                              <w:rPr>
                                <w:color w:val="231F1F"/>
                                <w:w w:val="110"/>
                              </w:rPr>
                              <w:t>parte,</w:t>
                            </w:r>
                            <w:r>
                              <w:rPr>
                                <w:color w:val="231F1F"/>
                                <w:spacing w:val="-14"/>
                                <w:w w:val="110"/>
                              </w:rPr>
                              <w:t> </w:t>
                            </w:r>
                            <w:r>
                              <w:rPr>
                                <w:color w:val="231F1F"/>
                                <w:w w:val="110"/>
                              </w:rPr>
                              <w:t>se</w:t>
                            </w:r>
                            <w:r>
                              <w:rPr>
                                <w:color w:val="231F1F"/>
                                <w:spacing w:val="-13"/>
                                <w:w w:val="110"/>
                              </w:rPr>
                              <w:t> </w:t>
                            </w:r>
                            <w:r>
                              <w:rPr>
                                <w:color w:val="231F1F"/>
                                <w:w w:val="110"/>
                              </w:rPr>
                              <w:t>insiste</w:t>
                            </w:r>
                            <w:r>
                              <w:rPr>
                                <w:color w:val="231F1F"/>
                                <w:spacing w:val="-13"/>
                                <w:w w:val="110"/>
                              </w:rPr>
                              <w:t> </w:t>
                            </w:r>
                            <w:r>
                              <w:rPr>
                                <w:color w:val="231F1F"/>
                                <w:w w:val="110"/>
                              </w:rPr>
                              <w:t>también</w:t>
                            </w:r>
                            <w:r>
                              <w:rPr>
                                <w:color w:val="231F1F"/>
                                <w:spacing w:val="-12"/>
                                <w:w w:val="110"/>
                              </w:rPr>
                              <w:t> </w:t>
                            </w:r>
                            <w:r>
                              <w:rPr>
                                <w:color w:val="231F1F"/>
                                <w:w w:val="110"/>
                              </w:rPr>
                              <w:t>en</w:t>
                            </w:r>
                            <w:r>
                              <w:rPr>
                                <w:color w:val="231F1F"/>
                                <w:spacing w:val="-13"/>
                                <w:w w:val="110"/>
                              </w:rPr>
                              <w:t> </w:t>
                            </w:r>
                            <w:r>
                              <w:rPr>
                                <w:color w:val="231F1F"/>
                                <w:w w:val="110"/>
                              </w:rPr>
                              <w:t>la</w:t>
                            </w:r>
                            <w:r>
                              <w:rPr>
                                <w:color w:val="231F1F"/>
                                <w:spacing w:val="-13"/>
                                <w:w w:val="110"/>
                              </w:rPr>
                              <w:t> </w:t>
                            </w:r>
                            <w:r>
                              <w:rPr>
                                <w:color w:val="231F1F"/>
                                <w:w w:val="110"/>
                              </w:rPr>
                              <w:t>conveniencia de no interferir en el contacto piel con piel.</w:t>
                            </w:r>
                          </w:p>
                        </w:txbxContent>
                      </wps:txbx>
                      <wps:bodyPr wrap="square" lIns="0" tIns="0" rIns="0" bIns="0" rtlCol="0">
                        <a:noAutofit/>
                      </wps:bodyPr>
                    </wps:wsp>
                  </a:graphicData>
                </a:graphic>
              </wp:anchor>
            </w:drawing>
          </mc:Choice>
          <mc:Fallback>
            <w:pict>
              <v:shape style="position:absolute;margin-left:85.25pt;margin-top:11.685437pt;width:425.2pt;height:76.650pt;mso-position-horizontal-relative:page;mso-position-vertical-relative:paragraph;z-index:-15699968;mso-wrap-distance-left:0;mso-wrap-distance-right:0" type="#_x0000_t202" id="docshape103" filled="false" stroked="true" strokeweight=".5pt" strokecolor="#a30046">
                <v:textbox inset="0,0,0,0">
                  <w:txbxContent>
                    <w:p>
                      <w:pPr>
                        <w:pStyle w:val="BodyText"/>
                        <w:spacing w:line="244" w:lineRule="auto" w:before="48"/>
                        <w:ind w:left="104" w:right="97"/>
                        <w:jc w:val="both"/>
                      </w:pPr>
                      <w:r>
                        <w:rPr>
                          <w:color w:val="231F1F"/>
                          <w:w w:val="110"/>
                        </w:rPr>
                        <w:t>No</w:t>
                      </w:r>
                      <w:r>
                        <w:rPr>
                          <w:color w:val="231F1F"/>
                          <w:spacing w:val="-2"/>
                          <w:w w:val="110"/>
                        </w:rPr>
                        <w:t> </w:t>
                      </w:r>
                      <w:r>
                        <w:rPr>
                          <w:color w:val="231F1F"/>
                          <w:w w:val="110"/>
                        </w:rPr>
                        <w:t>existe</w:t>
                      </w:r>
                      <w:r>
                        <w:rPr>
                          <w:color w:val="231F1F"/>
                          <w:spacing w:val="-3"/>
                          <w:w w:val="110"/>
                        </w:rPr>
                        <w:t> </w:t>
                      </w:r>
                      <w:r>
                        <w:rPr>
                          <w:color w:val="231F1F"/>
                          <w:w w:val="110"/>
                        </w:rPr>
                        <w:t>evidencia</w:t>
                      </w:r>
                      <w:r>
                        <w:rPr>
                          <w:color w:val="231F1F"/>
                          <w:spacing w:val="-3"/>
                          <w:w w:val="110"/>
                        </w:rPr>
                        <w:t> </w:t>
                      </w:r>
                      <w:r>
                        <w:rPr>
                          <w:color w:val="231F1F"/>
                          <w:w w:val="110"/>
                        </w:rPr>
                        <w:t>para</w:t>
                      </w:r>
                      <w:r>
                        <w:rPr>
                          <w:color w:val="231F1F"/>
                          <w:spacing w:val="-3"/>
                          <w:w w:val="110"/>
                        </w:rPr>
                        <w:t> </w:t>
                      </w:r>
                      <w:r>
                        <w:rPr>
                          <w:color w:val="231F1F"/>
                          <w:w w:val="110"/>
                        </w:rPr>
                        <w:t>poder</w:t>
                      </w:r>
                      <w:r>
                        <w:rPr>
                          <w:color w:val="231F1F"/>
                          <w:spacing w:val="-3"/>
                          <w:w w:val="110"/>
                        </w:rPr>
                        <w:t> </w:t>
                      </w:r>
                      <w:r>
                        <w:rPr>
                          <w:color w:val="231F1F"/>
                          <w:w w:val="110"/>
                        </w:rPr>
                        <w:t>recomendar</w:t>
                      </w:r>
                      <w:r>
                        <w:rPr>
                          <w:color w:val="231F1F"/>
                          <w:spacing w:val="-3"/>
                          <w:w w:val="110"/>
                        </w:rPr>
                        <w:t> </w:t>
                      </w:r>
                      <w:r>
                        <w:rPr>
                          <w:color w:val="231F1F"/>
                          <w:w w:val="110"/>
                        </w:rPr>
                        <w:t>o</w:t>
                      </w:r>
                      <w:r>
                        <w:rPr>
                          <w:color w:val="231F1F"/>
                          <w:spacing w:val="-2"/>
                          <w:w w:val="110"/>
                        </w:rPr>
                        <w:t> </w:t>
                      </w:r>
                      <w:r>
                        <w:rPr>
                          <w:color w:val="231F1F"/>
                          <w:w w:val="110"/>
                        </w:rPr>
                        <w:t>no</w:t>
                      </w:r>
                      <w:r>
                        <w:rPr>
                          <w:color w:val="231F1F"/>
                          <w:spacing w:val="-2"/>
                          <w:w w:val="110"/>
                        </w:rPr>
                        <w:t> </w:t>
                      </w:r>
                      <w:r>
                        <w:rPr>
                          <w:color w:val="231F1F"/>
                          <w:w w:val="110"/>
                        </w:rPr>
                        <w:t>el</w:t>
                      </w:r>
                      <w:r>
                        <w:rPr>
                          <w:color w:val="231F1F"/>
                          <w:spacing w:val="-3"/>
                          <w:w w:val="110"/>
                        </w:rPr>
                        <w:t> </w:t>
                      </w:r>
                      <w:r>
                        <w:rPr>
                          <w:color w:val="231F1F"/>
                          <w:w w:val="110"/>
                        </w:rPr>
                        <w:t>baño</w:t>
                      </w:r>
                      <w:r>
                        <w:rPr>
                          <w:color w:val="231F1F"/>
                          <w:spacing w:val="-2"/>
                          <w:w w:val="110"/>
                        </w:rPr>
                        <w:t> </w:t>
                      </w:r>
                      <w:r>
                        <w:rPr>
                          <w:color w:val="231F1F"/>
                          <w:w w:val="110"/>
                        </w:rPr>
                        <w:t>inmediato</w:t>
                      </w:r>
                      <w:r>
                        <w:rPr>
                          <w:color w:val="231F1F"/>
                          <w:spacing w:val="-2"/>
                          <w:w w:val="110"/>
                        </w:rPr>
                        <w:t> </w:t>
                      </w:r>
                      <w:r>
                        <w:rPr>
                          <w:color w:val="231F1F"/>
                          <w:w w:val="110"/>
                        </w:rPr>
                        <w:t>en</w:t>
                      </w:r>
                      <w:r>
                        <w:rPr>
                          <w:color w:val="231F1F"/>
                          <w:spacing w:val="-2"/>
                          <w:w w:val="110"/>
                        </w:rPr>
                        <w:t> </w:t>
                      </w:r>
                      <w:r>
                        <w:rPr>
                          <w:color w:val="231F1F"/>
                          <w:w w:val="110"/>
                        </w:rPr>
                        <w:t>el</w:t>
                      </w:r>
                      <w:r>
                        <w:rPr>
                          <w:color w:val="231F1F"/>
                          <w:spacing w:val="-3"/>
                          <w:w w:val="110"/>
                        </w:rPr>
                        <w:t> </w:t>
                      </w:r>
                      <w:r>
                        <w:rPr>
                          <w:color w:val="231F1F"/>
                          <w:w w:val="110"/>
                        </w:rPr>
                        <w:t>RN.</w:t>
                      </w:r>
                      <w:r>
                        <w:rPr>
                          <w:color w:val="231F1F"/>
                          <w:spacing w:val="-3"/>
                          <w:w w:val="110"/>
                        </w:rPr>
                        <w:t> </w:t>
                      </w:r>
                      <w:r>
                        <w:rPr>
                          <w:color w:val="231F1F"/>
                          <w:w w:val="110"/>
                        </w:rPr>
                        <w:t>Sin</w:t>
                      </w:r>
                      <w:r>
                        <w:rPr>
                          <w:color w:val="231F1F"/>
                          <w:spacing w:val="-3"/>
                          <w:w w:val="110"/>
                        </w:rPr>
                        <w:t> </w:t>
                      </w:r>
                      <w:r>
                        <w:rPr>
                          <w:color w:val="231F1F"/>
                          <w:w w:val="110"/>
                        </w:rPr>
                        <w:t>em- bargo, distintas publicaciones hacen hincapié en la necesidad de esperar a realizar el baño</w:t>
                      </w:r>
                      <w:r>
                        <w:rPr>
                          <w:color w:val="231F1F"/>
                          <w:spacing w:val="-14"/>
                          <w:w w:val="110"/>
                        </w:rPr>
                        <w:t> </w:t>
                      </w:r>
                      <w:r>
                        <w:rPr>
                          <w:color w:val="231F1F"/>
                          <w:w w:val="110"/>
                        </w:rPr>
                        <w:t>cuando</w:t>
                      </w:r>
                      <w:r>
                        <w:rPr>
                          <w:color w:val="231F1F"/>
                          <w:spacing w:val="-14"/>
                          <w:w w:val="110"/>
                        </w:rPr>
                        <w:t> </w:t>
                      </w:r>
                      <w:r>
                        <w:rPr>
                          <w:color w:val="231F1F"/>
                          <w:w w:val="110"/>
                        </w:rPr>
                        <w:t>la</w:t>
                      </w:r>
                      <w:r>
                        <w:rPr>
                          <w:color w:val="231F1F"/>
                          <w:spacing w:val="-14"/>
                          <w:w w:val="110"/>
                        </w:rPr>
                        <w:t> </w:t>
                      </w:r>
                      <w:r>
                        <w:rPr>
                          <w:color w:val="231F1F"/>
                          <w:w w:val="110"/>
                        </w:rPr>
                        <w:t>temperatura</w:t>
                      </w:r>
                      <w:r>
                        <w:rPr>
                          <w:color w:val="231F1F"/>
                          <w:spacing w:val="-14"/>
                          <w:w w:val="110"/>
                        </w:rPr>
                        <w:t> </w:t>
                      </w:r>
                      <w:r>
                        <w:rPr>
                          <w:color w:val="231F1F"/>
                          <w:w w:val="110"/>
                        </w:rPr>
                        <w:t>del</w:t>
                      </w:r>
                      <w:r>
                        <w:rPr>
                          <w:color w:val="231F1F"/>
                          <w:spacing w:val="-15"/>
                          <w:w w:val="110"/>
                        </w:rPr>
                        <w:t> </w:t>
                      </w:r>
                      <w:r>
                        <w:rPr>
                          <w:color w:val="231F1F"/>
                          <w:w w:val="110"/>
                        </w:rPr>
                        <w:t>RN</w:t>
                      </w:r>
                      <w:r>
                        <w:rPr>
                          <w:color w:val="231F1F"/>
                          <w:spacing w:val="-14"/>
                          <w:w w:val="110"/>
                        </w:rPr>
                        <w:t> </w:t>
                      </w:r>
                      <w:r>
                        <w:rPr>
                          <w:color w:val="231F1F"/>
                          <w:w w:val="110"/>
                        </w:rPr>
                        <w:t>se</w:t>
                      </w:r>
                      <w:r>
                        <w:rPr>
                          <w:color w:val="231F1F"/>
                          <w:spacing w:val="-14"/>
                          <w:w w:val="110"/>
                        </w:rPr>
                        <w:t> </w:t>
                      </w:r>
                      <w:r>
                        <w:rPr>
                          <w:color w:val="231F1F"/>
                          <w:w w:val="110"/>
                        </w:rPr>
                        <w:t>haya</w:t>
                      </w:r>
                      <w:r>
                        <w:rPr>
                          <w:color w:val="231F1F"/>
                          <w:spacing w:val="-14"/>
                          <w:w w:val="110"/>
                        </w:rPr>
                        <w:t> </w:t>
                      </w:r>
                      <w:r>
                        <w:rPr>
                          <w:color w:val="231F1F"/>
                          <w:w w:val="110"/>
                        </w:rPr>
                        <w:t>estabilizado,</w:t>
                      </w:r>
                      <w:r>
                        <w:rPr>
                          <w:color w:val="231F1F"/>
                          <w:spacing w:val="-14"/>
                          <w:w w:val="110"/>
                        </w:rPr>
                        <w:t> </w:t>
                      </w:r>
                      <w:r>
                        <w:rPr>
                          <w:color w:val="231F1F"/>
                          <w:w w:val="110"/>
                        </w:rPr>
                        <w:t>realizando</w:t>
                      </w:r>
                      <w:r>
                        <w:rPr>
                          <w:color w:val="231F1F"/>
                          <w:spacing w:val="-14"/>
                          <w:w w:val="110"/>
                        </w:rPr>
                        <w:t> </w:t>
                      </w:r>
                      <w:r>
                        <w:rPr>
                          <w:color w:val="231F1F"/>
                          <w:w w:val="110"/>
                        </w:rPr>
                        <w:t>al</w:t>
                      </w:r>
                      <w:r>
                        <w:rPr>
                          <w:color w:val="231F1F"/>
                          <w:spacing w:val="-14"/>
                          <w:w w:val="110"/>
                        </w:rPr>
                        <w:t> </w:t>
                      </w:r>
                      <w:r>
                        <w:rPr>
                          <w:color w:val="231F1F"/>
                          <w:w w:val="110"/>
                        </w:rPr>
                        <w:t>nacer</w:t>
                      </w:r>
                      <w:r>
                        <w:rPr>
                          <w:color w:val="231F1F"/>
                          <w:spacing w:val="-15"/>
                          <w:w w:val="110"/>
                        </w:rPr>
                        <w:t> </w:t>
                      </w:r>
                      <w:r>
                        <w:rPr>
                          <w:color w:val="231F1F"/>
                          <w:w w:val="110"/>
                        </w:rPr>
                        <w:t>solamente una</w:t>
                      </w:r>
                      <w:r>
                        <w:rPr>
                          <w:color w:val="231F1F"/>
                          <w:spacing w:val="-13"/>
                          <w:w w:val="110"/>
                        </w:rPr>
                        <w:t> </w:t>
                      </w:r>
                      <w:r>
                        <w:rPr>
                          <w:color w:val="231F1F"/>
                          <w:w w:val="110"/>
                        </w:rPr>
                        <w:t>limpieza</w:t>
                      </w:r>
                      <w:r>
                        <w:rPr>
                          <w:color w:val="231F1F"/>
                          <w:spacing w:val="-13"/>
                          <w:w w:val="110"/>
                        </w:rPr>
                        <w:t> </w:t>
                      </w:r>
                      <w:r>
                        <w:rPr>
                          <w:color w:val="231F1F"/>
                          <w:w w:val="110"/>
                        </w:rPr>
                        <w:t>del</w:t>
                      </w:r>
                      <w:r>
                        <w:rPr>
                          <w:color w:val="231F1F"/>
                          <w:spacing w:val="-14"/>
                          <w:w w:val="110"/>
                        </w:rPr>
                        <w:t> </w:t>
                      </w:r>
                      <w:r>
                        <w:rPr>
                          <w:color w:val="231F1F"/>
                          <w:w w:val="110"/>
                        </w:rPr>
                        <w:t>exceso</w:t>
                      </w:r>
                      <w:r>
                        <w:rPr>
                          <w:color w:val="231F1F"/>
                          <w:spacing w:val="-12"/>
                          <w:w w:val="110"/>
                        </w:rPr>
                        <w:t> </w:t>
                      </w:r>
                      <w:r>
                        <w:rPr>
                          <w:color w:val="231F1F"/>
                          <w:w w:val="110"/>
                        </w:rPr>
                        <w:t>de</w:t>
                      </w:r>
                      <w:r>
                        <w:rPr>
                          <w:color w:val="231F1F"/>
                          <w:spacing w:val="-13"/>
                          <w:w w:val="110"/>
                        </w:rPr>
                        <w:t> </w:t>
                      </w:r>
                      <w:r>
                        <w:rPr>
                          <w:color w:val="231F1F"/>
                          <w:w w:val="110"/>
                        </w:rPr>
                        <w:t>vérnix.</w:t>
                      </w:r>
                      <w:r>
                        <w:rPr>
                          <w:color w:val="231F1F"/>
                          <w:spacing w:val="-14"/>
                          <w:w w:val="110"/>
                        </w:rPr>
                        <w:t> </w:t>
                      </w:r>
                      <w:r>
                        <w:rPr>
                          <w:color w:val="231F1F"/>
                          <w:w w:val="110"/>
                        </w:rPr>
                        <w:t>Por</w:t>
                      </w:r>
                      <w:r>
                        <w:rPr>
                          <w:color w:val="231F1F"/>
                          <w:spacing w:val="-14"/>
                          <w:w w:val="110"/>
                        </w:rPr>
                        <w:t> </w:t>
                      </w:r>
                      <w:r>
                        <w:rPr>
                          <w:color w:val="231F1F"/>
                          <w:w w:val="110"/>
                        </w:rPr>
                        <w:t>otra</w:t>
                      </w:r>
                      <w:r>
                        <w:rPr>
                          <w:color w:val="231F1F"/>
                          <w:spacing w:val="-13"/>
                          <w:w w:val="110"/>
                        </w:rPr>
                        <w:t> </w:t>
                      </w:r>
                      <w:r>
                        <w:rPr>
                          <w:color w:val="231F1F"/>
                          <w:w w:val="110"/>
                        </w:rPr>
                        <w:t>parte,</w:t>
                      </w:r>
                      <w:r>
                        <w:rPr>
                          <w:color w:val="231F1F"/>
                          <w:spacing w:val="-14"/>
                          <w:w w:val="110"/>
                        </w:rPr>
                        <w:t> </w:t>
                      </w:r>
                      <w:r>
                        <w:rPr>
                          <w:color w:val="231F1F"/>
                          <w:w w:val="110"/>
                        </w:rPr>
                        <w:t>se</w:t>
                      </w:r>
                      <w:r>
                        <w:rPr>
                          <w:color w:val="231F1F"/>
                          <w:spacing w:val="-13"/>
                          <w:w w:val="110"/>
                        </w:rPr>
                        <w:t> </w:t>
                      </w:r>
                      <w:r>
                        <w:rPr>
                          <w:color w:val="231F1F"/>
                          <w:w w:val="110"/>
                        </w:rPr>
                        <w:t>insiste</w:t>
                      </w:r>
                      <w:r>
                        <w:rPr>
                          <w:color w:val="231F1F"/>
                          <w:spacing w:val="-13"/>
                          <w:w w:val="110"/>
                        </w:rPr>
                        <w:t> </w:t>
                      </w:r>
                      <w:r>
                        <w:rPr>
                          <w:color w:val="231F1F"/>
                          <w:w w:val="110"/>
                        </w:rPr>
                        <w:t>también</w:t>
                      </w:r>
                      <w:r>
                        <w:rPr>
                          <w:color w:val="231F1F"/>
                          <w:spacing w:val="-12"/>
                          <w:w w:val="110"/>
                        </w:rPr>
                        <w:t> </w:t>
                      </w:r>
                      <w:r>
                        <w:rPr>
                          <w:color w:val="231F1F"/>
                          <w:w w:val="110"/>
                        </w:rPr>
                        <w:t>en</w:t>
                      </w:r>
                      <w:r>
                        <w:rPr>
                          <w:color w:val="231F1F"/>
                          <w:spacing w:val="-13"/>
                          <w:w w:val="110"/>
                        </w:rPr>
                        <w:t> </w:t>
                      </w:r>
                      <w:r>
                        <w:rPr>
                          <w:color w:val="231F1F"/>
                          <w:w w:val="110"/>
                        </w:rPr>
                        <w:t>la</w:t>
                      </w:r>
                      <w:r>
                        <w:rPr>
                          <w:color w:val="231F1F"/>
                          <w:spacing w:val="-13"/>
                          <w:w w:val="110"/>
                        </w:rPr>
                        <w:t> </w:t>
                      </w:r>
                      <w:r>
                        <w:rPr>
                          <w:color w:val="231F1F"/>
                          <w:w w:val="110"/>
                        </w:rPr>
                        <w:t>conveniencia de no interferir en el contacto piel con piel.</w:t>
                      </w:r>
                    </w:p>
                  </w:txbxContent>
                </v:textbox>
                <v:stroke dashstyle="solid"/>
                <w10:wrap type="topAndBottom"/>
              </v:shape>
            </w:pict>
          </mc:Fallback>
        </mc:AlternateContent>
      </w:r>
    </w:p>
    <w:p>
      <w:pPr>
        <w:pStyle w:val="BodyText"/>
        <w:spacing w:before="124"/>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before="44"/>
              <w:ind w:right="155"/>
              <w:rPr>
                <w:sz w:val="22"/>
              </w:rPr>
            </w:pPr>
            <w:r>
              <w:rPr>
                <w:color w:val="231F1F"/>
                <w:w w:val="110"/>
                <w:sz w:val="22"/>
              </w:rPr>
              <w:t>Se</w:t>
            </w:r>
            <w:r>
              <w:rPr>
                <w:color w:val="231F1F"/>
                <w:spacing w:val="-7"/>
                <w:w w:val="110"/>
                <w:sz w:val="22"/>
              </w:rPr>
              <w:t> </w:t>
            </w:r>
            <w:r>
              <w:rPr>
                <w:color w:val="231F1F"/>
                <w:w w:val="110"/>
                <w:sz w:val="22"/>
              </w:rPr>
              <w:t>recomienda</w:t>
            </w:r>
            <w:r>
              <w:rPr>
                <w:color w:val="231F1F"/>
                <w:spacing w:val="-7"/>
                <w:w w:val="110"/>
                <w:sz w:val="22"/>
              </w:rPr>
              <w:t> </w:t>
            </w:r>
            <w:r>
              <w:rPr>
                <w:color w:val="231F1F"/>
                <w:w w:val="110"/>
                <w:sz w:val="22"/>
              </w:rPr>
              <w:t>no</w:t>
            </w:r>
            <w:r>
              <w:rPr>
                <w:color w:val="231F1F"/>
                <w:spacing w:val="-7"/>
                <w:w w:val="110"/>
                <w:sz w:val="22"/>
              </w:rPr>
              <w:t> </w:t>
            </w:r>
            <w:r>
              <w:rPr>
                <w:color w:val="231F1F"/>
                <w:w w:val="110"/>
                <w:sz w:val="22"/>
              </w:rPr>
              <w:t>bañar</w:t>
            </w:r>
            <w:r>
              <w:rPr>
                <w:color w:val="231F1F"/>
                <w:spacing w:val="-7"/>
                <w:w w:val="110"/>
                <w:sz w:val="22"/>
              </w:rPr>
              <w:t> </w:t>
            </w:r>
            <w:r>
              <w:rPr>
                <w:color w:val="231F1F"/>
                <w:w w:val="110"/>
                <w:sz w:val="22"/>
              </w:rPr>
              <w:t>rutinariamente</w:t>
            </w:r>
            <w:r>
              <w:rPr>
                <w:color w:val="231F1F"/>
                <w:spacing w:val="-7"/>
                <w:w w:val="110"/>
                <w:sz w:val="22"/>
              </w:rPr>
              <w:t> </w:t>
            </w:r>
            <w:r>
              <w:rPr>
                <w:color w:val="231F1F"/>
                <w:w w:val="110"/>
                <w:sz w:val="22"/>
              </w:rPr>
              <w:t>al</w:t>
            </w:r>
            <w:r>
              <w:rPr>
                <w:color w:val="231F1F"/>
                <w:spacing w:val="-7"/>
                <w:w w:val="110"/>
                <w:sz w:val="22"/>
              </w:rPr>
              <w:t> </w:t>
            </w:r>
            <w:r>
              <w:rPr>
                <w:color w:val="231F1F"/>
                <w:w w:val="110"/>
                <w:sz w:val="22"/>
              </w:rPr>
              <w:t>RN</w:t>
            </w:r>
            <w:r>
              <w:rPr>
                <w:color w:val="231F1F"/>
                <w:spacing w:val="-7"/>
                <w:w w:val="110"/>
                <w:sz w:val="22"/>
              </w:rPr>
              <w:t> </w:t>
            </w:r>
            <w:r>
              <w:rPr>
                <w:color w:val="231F1F"/>
                <w:w w:val="110"/>
                <w:sz w:val="22"/>
              </w:rPr>
              <w:t>en</w:t>
            </w:r>
            <w:r>
              <w:rPr>
                <w:color w:val="231F1F"/>
                <w:spacing w:val="-7"/>
                <w:w w:val="110"/>
                <w:sz w:val="22"/>
              </w:rPr>
              <w:t> </w:t>
            </w:r>
            <w:r>
              <w:rPr>
                <w:color w:val="231F1F"/>
                <w:w w:val="110"/>
                <w:sz w:val="22"/>
              </w:rPr>
              <w:t>las</w:t>
            </w:r>
            <w:r>
              <w:rPr>
                <w:color w:val="231F1F"/>
                <w:spacing w:val="-7"/>
                <w:w w:val="110"/>
                <w:sz w:val="22"/>
              </w:rPr>
              <w:t> </w:t>
            </w:r>
            <w:r>
              <w:rPr>
                <w:color w:val="231F1F"/>
                <w:w w:val="110"/>
                <w:sz w:val="22"/>
              </w:rPr>
              <w:t>primeras</w:t>
            </w:r>
            <w:r>
              <w:rPr>
                <w:color w:val="231F1F"/>
                <w:spacing w:val="-7"/>
                <w:w w:val="110"/>
                <w:sz w:val="22"/>
              </w:rPr>
              <w:t> </w:t>
            </w:r>
            <w:r>
              <w:rPr>
                <w:color w:val="231F1F"/>
                <w:w w:val="110"/>
                <w:sz w:val="22"/>
              </w:rPr>
              <w:t>horas</w:t>
            </w:r>
            <w:r>
              <w:rPr>
                <w:color w:val="231F1F"/>
                <w:spacing w:val="-8"/>
                <w:w w:val="110"/>
                <w:sz w:val="22"/>
              </w:rPr>
              <w:t> </w:t>
            </w:r>
            <w:r>
              <w:rPr>
                <w:color w:val="231F1F"/>
                <w:w w:val="110"/>
                <w:sz w:val="22"/>
              </w:rPr>
              <w:t>después</w:t>
            </w:r>
            <w:r>
              <w:rPr>
                <w:color w:val="231F1F"/>
                <w:spacing w:val="-7"/>
                <w:w w:val="110"/>
                <w:sz w:val="22"/>
              </w:rPr>
              <w:t> </w:t>
            </w:r>
            <w:r>
              <w:rPr>
                <w:color w:val="231F1F"/>
                <w:w w:val="110"/>
                <w:sz w:val="22"/>
              </w:rPr>
              <w:t>del </w:t>
            </w:r>
            <w:r>
              <w:rPr>
                <w:color w:val="231F1F"/>
                <w:spacing w:val="-2"/>
                <w:w w:val="110"/>
                <w:sz w:val="22"/>
              </w:rPr>
              <w:t>nacimiento.</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9"/>
              <w:ind w:right="78"/>
              <w:jc w:val="both"/>
              <w:rPr>
                <w:sz w:val="22"/>
              </w:rPr>
            </w:pPr>
            <w:r>
              <w:rPr>
                <w:color w:val="231F1F"/>
                <w:w w:val="110"/>
                <w:sz w:val="22"/>
              </w:rPr>
              <w:t>Si la madre lo solicitara, el baño sería una opción aceptable siempre que se haya alcanzado</w:t>
            </w:r>
            <w:r>
              <w:rPr>
                <w:color w:val="231F1F"/>
                <w:spacing w:val="-12"/>
                <w:w w:val="110"/>
                <w:sz w:val="22"/>
              </w:rPr>
              <w:t> </w:t>
            </w:r>
            <w:r>
              <w:rPr>
                <w:color w:val="231F1F"/>
                <w:w w:val="110"/>
                <w:sz w:val="22"/>
              </w:rPr>
              <w:t>la</w:t>
            </w:r>
            <w:r>
              <w:rPr>
                <w:color w:val="231F1F"/>
                <w:spacing w:val="-13"/>
                <w:w w:val="110"/>
                <w:sz w:val="22"/>
              </w:rPr>
              <w:t> </w:t>
            </w:r>
            <w:r>
              <w:rPr>
                <w:color w:val="231F1F"/>
                <w:w w:val="110"/>
                <w:sz w:val="22"/>
              </w:rPr>
              <w:t>estabilidad</w:t>
            </w:r>
            <w:r>
              <w:rPr>
                <w:color w:val="231F1F"/>
                <w:spacing w:val="-13"/>
                <w:w w:val="110"/>
                <w:sz w:val="22"/>
              </w:rPr>
              <w:t> </w:t>
            </w:r>
            <w:r>
              <w:rPr>
                <w:color w:val="231F1F"/>
                <w:w w:val="110"/>
                <w:sz w:val="22"/>
              </w:rPr>
              <w:t>térmica</w:t>
            </w:r>
            <w:r>
              <w:rPr>
                <w:color w:val="231F1F"/>
                <w:spacing w:val="-13"/>
                <w:w w:val="110"/>
                <w:sz w:val="22"/>
              </w:rPr>
              <w:t> </w:t>
            </w:r>
            <w:r>
              <w:rPr>
                <w:color w:val="231F1F"/>
                <w:w w:val="110"/>
                <w:sz w:val="22"/>
              </w:rPr>
              <w:t>del</w:t>
            </w:r>
            <w:r>
              <w:rPr>
                <w:color w:val="231F1F"/>
                <w:spacing w:val="-14"/>
                <w:w w:val="110"/>
                <w:sz w:val="22"/>
              </w:rPr>
              <w:t> </w:t>
            </w:r>
            <w:r>
              <w:rPr>
                <w:color w:val="231F1F"/>
                <w:w w:val="110"/>
                <w:sz w:val="22"/>
              </w:rPr>
              <w:t>neonato</w:t>
            </w:r>
            <w:r>
              <w:rPr>
                <w:color w:val="231F1F"/>
                <w:spacing w:val="-13"/>
                <w:w w:val="110"/>
                <w:sz w:val="22"/>
              </w:rPr>
              <w:t> </w:t>
            </w:r>
            <w:r>
              <w:rPr>
                <w:color w:val="231F1F"/>
                <w:w w:val="110"/>
                <w:sz w:val="22"/>
              </w:rPr>
              <w:t>y</w:t>
            </w:r>
            <w:r>
              <w:rPr>
                <w:color w:val="231F1F"/>
                <w:spacing w:val="-13"/>
                <w:w w:val="110"/>
                <w:sz w:val="22"/>
              </w:rPr>
              <w:t> </w:t>
            </w:r>
            <w:r>
              <w:rPr>
                <w:color w:val="231F1F"/>
                <w:w w:val="110"/>
                <w:sz w:val="22"/>
              </w:rPr>
              <w:t>sin</w:t>
            </w:r>
            <w:r>
              <w:rPr>
                <w:color w:val="231F1F"/>
                <w:spacing w:val="-13"/>
                <w:w w:val="110"/>
                <w:sz w:val="22"/>
              </w:rPr>
              <w:t> </w:t>
            </w:r>
            <w:r>
              <w:rPr>
                <w:color w:val="231F1F"/>
                <w:w w:val="110"/>
                <w:sz w:val="22"/>
              </w:rPr>
              <w:t>interferir</w:t>
            </w:r>
            <w:r>
              <w:rPr>
                <w:color w:val="231F1F"/>
                <w:spacing w:val="-14"/>
                <w:w w:val="110"/>
                <w:sz w:val="22"/>
              </w:rPr>
              <w:t> </w:t>
            </w:r>
            <w:r>
              <w:rPr>
                <w:color w:val="231F1F"/>
                <w:w w:val="110"/>
                <w:sz w:val="22"/>
              </w:rPr>
              <w:t>en</w:t>
            </w:r>
            <w:r>
              <w:rPr>
                <w:color w:val="231F1F"/>
                <w:spacing w:val="-13"/>
                <w:w w:val="110"/>
                <w:sz w:val="22"/>
              </w:rPr>
              <w:t> </w:t>
            </w:r>
            <w:r>
              <w:rPr>
                <w:color w:val="231F1F"/>
                <w:w w:val="110"/>
                <w:sz w:val="22"/>
              </w:rPr>
              <w:t>el</w:t>
            </w:r>
            <w:r>
              <w:rPr>
                <w:color w:val="231F1F"/>
                <w:spacing w:val="-14"/>
                <w:w w:val="110"/>
                <w:sz w:val="22"/>
              </w:rPr>
              <w:t> </w:t>
            </w:r>
            <w:r>
              <w:rPr>
                <w:color w:val="231F1F"/>
                <w:w w:val="110"/>
                <w:sz w:val="22"/>
              </w:rPr>
              <w:t>tiempo</w:t>
            </w:r>
            <w:r>
              <w:rPr>
                <w:color w:val="231F1F"/>
                <w:spacing w:val="-13"/>
                <w:w w:val="110"/>
                <w:sz w:val="22"/>
              </w:rPr>
              <w:t> </w:t>
            </w:r>
            <w:r>
              <w:rPr>
                <w:color w:val="231F1F"/>
                <w:w w:val="110"/>
                <w:sz w:val="22"/>
              </w:rPr>
              <w:t>recomen- dado de contacto piel con piel.</w:t>
            </w:r>
          </w:p>
        </w:tc>
      </w:tr>
    </w:tbl>
    <w:p>
      <w:pPr>
        <w:pStyle w:val="TableParagraph"/>
        <w:spacing w:after="0" w:line="244" w:lineRule="auto"/>
        <w:jc w:val="both"/>
        <w:rPr>
          <w:sz w:val="22"/>
        </w:rPr>
        <w:sectPr>
          <w:pgSz w:w="11900" w:h="16840"/>
          <w:pgMar w:header="0" w:footer="622" w:top="1560" w:bottom="820" w:left="1417" w:right="1559"/>
        </w:sectPr>
      </w:pPr>
    </w:p>
    <w:p>
      <w:pPr>
        <w:pStyle w:val="Heading2"/>
        <w:numPr>
          <w:ilvl w:val="2"/>
          <w:numId w:val="2"/>
        </w:numPr>
        <w:tabs>
          <w:tab w:pos="1002" w:val="left" w:leader="none"/>
          <w:tab w:pos="1005" w:val="left" w:leader="none"/>
        </w:tabs>
        <w:spacing w:line="232" w:lineRule="auto" w:before="77" w:after="0"/>
        <w:ind w:left="1005" w:right="451" w:hanging="724"/>
        <w:jc w:val="left"/>
      </w:pPr>
      <w:bookmarkStart w:name="_TOC_250022" w:id="34"/>
      <w:r>
        <w:rPr>
          <w:color w:val="231F1F"/>
        </w:rPr>
        <w:t>Aspiración nasofaríngea y sondaje gástrico-rectal</w:t>
      </w:r>
      <w:r>
        <w:rPr>
          <w:color w:val="231F1F"/>
          <w:spacing w:val="80"/>
          <w:w w:val="150"/>
        </w:rPr>
        <w:t> </w:t>
      </w:r>
      <w:bookmarkEnd w:id="34"/>
      <w:r>
        <w:rPr>
          <w:color w:val="231F1F"/>
        </w:rPr>
        <w:t>en el período neonatal</w:t>
      </w:r>
    </w:p>
    <w:p>
      <w:pPr>
        <w:pStyle w:val="BodyText"/>
        <w:spacing w:before="24"/>
        <w:rPr>
          <w:sz w:val="20"/>
        </w:rPr>
      </w:pPr>
      <w:r>
        <w:rPr>
          <w:sz w:val="20"/>
        </w:rPr>
        <mc:AlternateContent>
          <mc:Choice Requires="wps">
            <w:drawing>
              <wp:anchor distT="0" distB="0" distL="0" distR="0" allowOverlap="1" layoutInCell="1" locked="0" behindDoc="1" simplePos="0" relativeHeight="487617024">
                <wp:simplePos x="0" y="0"/>
                <wp:positionH relativeFrom="page">
                  <wp:posOffset>1082675</wp:posOffset>
                </wp:positionH>
                <wp:positionV relativeFrom="paragraph">
                  <wp:posOffset>180281</wp:posOffset>
                </wp:positionV>
                <wp:extent cx="5400040" cy="440055"/>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5400040" cy="440055"/>
                        </a:xfrm>
                        <a:prstGeom prst="rect">
                          <a:avLst/>
                        </a:prstGeom>
                        <a:ln w="6350">
                          <a:solidFill>
                            <a:srgbClr val="A30046"/>
                          </a:solidFill>
                          <a:prstDash val="solid"/>
                        </a:ln>
                      </wps:spPr>
                      <wps:txbx>
                        <w:txbxContent>
                          <w:p>
                            <w:pPr>
                              <w:pStyle w:val="BodyText"/>
                              <w:numPr>
                                <w:ilvl w:val="0"/>
                                <w:numId w:val="58"/>
                              </w:numPr>
                              <w:tabs>
                                <w:tab w:pos="323" w:val="left" w:leader="none"/>
                              </w:tabs>
                              <w:spacing w:line="249" w:lineRule="auto" w:before="41" w:after="0"/>
                              <w:ind w:left="323" w:right="202" w:hanging="219"/>
                              <w:jc w:val="left"/>
                            </w:pPr>
                            <w:r>
                              <w:rPr>
                                <w:color w:val="231F1F"/>
                                <w:spacing w:val="-2"/>
                                <w:w w:val="110"/>
                              </w:rPr>
                              <w:t>El</w:t>
                            </w:r>
                            <w:r>
                              <w:rPr>
                                <w:color w:val="231F1F"/>
                                <w:spacing w:val="-10"/>
                                <w:w w:val="110"/>
                              </w:rPr>
                              <w:t> </w:t>
                            </w:r>
                            <w:r>
                              <w:rPr>
                                <w:color w:val="231F1F"/>
                                <w:spacing w:val="-2"/>
                                <w:w w:val="110"/>
                              </w:rPr>
                              <w:t>paso</w:t>
                            </w:r>
                            <w:r>
                              <w:rPr>
                                <w:color w:val="231F1F"/>
                                <w:spacing w:val="-9"/>
                                <w:w w:val="110"/>
                              </w:rPr>
                              <w:t> </w:t>
                            </w:r>
                            <w:r>
                              <w:rPr>
                                <w:color w:val="231F1F"/>
                                <w:spacing w:val="-2"/>
                                <w:w w:val="110"/>
                              </w:rPr>
                              <w:t>de</w:t>
                            </w:r>
                            <w:r>
                              <w:rPr>
                                <w:color w:val="231F1F"/>
                                <w:spacing w:val="-9"/>
                                <w:w w:val="110"/>
                              </w:rPr>
                              <w:t> </w:t>
                            </w:r>
                            <w:r>
                              <w:rPr>
                                <w:color w:val="231F1F"/>
                                <w:spacing w:val="-2"/>
                                <w:w w:val="110"/>
                              </w:rPr>
                              <w:t>sondas</w:t>
                            </w:r>
                            <w:r>
                              <w:rPr>
                                <w:color w:val="231F1F"/>
                                <w:spacing w:val="-10"/>
                                <w:w w:val="110"/>
                              </w:rPr>
                              <w:t> </w:t>
                            </w:r>
                            <w:r>
                              <w:rPr>
                                <w:color w:val="231F1F"/>
                                <w:spacing w:val="-2"/>
                                <w:w w:val="110"/>
                              </w:rPr>
                              <w:t>gástrica-rectal</w:t>
                            </w:r>
                            <w:r>
                              <w:rPr>
                                <w:color w:val="231F1F"/>
                                <w:spacing w:val="-11"/>
                                <w:w w:val="110"/>
                              </w:rPr>
                              <w:t> </w:t>
                            </w:r>
                            <w:r>
                              <w:rPr>
                                <w:color w:val="231F1F"/>
                                <w:spacing w:val="-2"/>
                                <w:w w:val="110"/>
                              </w:rPr>
                              <w:t>y/o</w:t>
                            </w:r>
                            <w:r>
                              <w:rPr>
                                <w:color w:val="231F1F"/>
                                <w:spacing w:val="-9"/>
                                <w:w w:val="110"/>
                              </w:rPr>
                              <w:t> </w:t>
                            </w:r>
                            <w:r>
                              <w:rPr>
                                <w:color w:val="231F1F"/>
                                <w:spacing w:val="-2"/>
                                <w:w w:val="110"/>
                              </w:rPr>
                              <w:t>la</w:t>
                            </w:r>
                            <w:r>
                              <w:rPr>
                                <w:color w:val="231F1F"/>
                                <w:spacing w:val="-9"/>
                                <w:w w:val="110"/>
                              </w:rPr>
                              <w:t> </w:t>
                            </w:r>
                            <w:r>
                              <w:rPr>
                                <w:color w:val="231F1F"/>
                                <w:spacing w:val="-2"/>
                                <w:w w:val="110"/>
                              </w:rPr>
                              <w:t>aspiración</w:t>
                            </w:r>
                            <w:r>
                              <w:rPr>
                                <w:color w:val="231F1F"/>
                                <w:spacing w:val="-9"/>
                                <w:w w:val="110"/>
                              </w:rPr>
                              <w:t> </w:t>
                            </w:r>
                            <w:r>
                              <w:rPr>
                                <w:color w:val="231F1F"/>
                                <w:spacing w:val="-2"/>
                                <w:w w:val="110"/>
                              </w:rPr>
                              <w:t>naso-orofaríngea</w:t>
                            </w:r>
                            <w:r>
                              <w:rPr>
                                <w:color w:val="231F1F"/>
                                <w:spacing w:val="-11"/>
                                <w:w w:val="110"/>
                              </w:rPr>
                              <w:t> </w:t>
                            </w:r>
                            <w:r>
                              <w:rPr>
                                <w:color w:val="231F1F"/>
                                <w:spacing w:val="-2"/>
                                <w:w w:val="110"/>
                              </w:rPr>
                              <w:t>sistemática</w:t>
                            </w:r>
                            <w:r>
                              <w:rPr>
                                <w:color w:val="231F1F"/>
                                <w:spacing w:val="-10"/>
                                <w:w w:val="110"/>
                              </w:rPr>
                              <w:t> </w:t>
                            </w:r>
                            <w:r>
                              <w:rPr>
                                <w:color w:val="231F1F"/>
                                <w:spacing w:val="-2"/>
                                <w:w w:val="110"/>
                              </w:rPr>
                              <w:t>en</w:t>
                            </w:r>
                            <w:r>
                              <w:rPr>
                                <w:color w:val="231F1F"/>
                                <w:spacing w:val="-9"/>
                                <w:w w:val="110"/>
                              </w:rPr>
                              <w:t> </w:t>
                            </w:r>
                            <w:r>
                              <w:rPr>
                                <w:color w:val="231F1F"/>
                                <w:spacing w:val="-2"/>
                                <w:w w:val="110"/>
                              </w:rPr>
                              <w:t>el </w:t>
                            </w:r>
                            <w:r>
                              <w:rPr>
                                <w:color w:val="231F1F"/>
                                <w:w w:val="110"/>
                              </w:rPr>
                              <w:t>período neonatal inmediato ¿mejoran o no el pronóstico neonatal?</w:t>
                            </w:r>
                          </w:p>
                        </w:txbxContent>
                      </wps:txbx>
                      <wps:bodyPr wrap="square" lIns="0" tIns="0" rIns="0" bIns="0" rtlCol="0">
                        <a:noAutofit/>
                      </wps:bodyPr>
                    </wps:wsp>
                  </a:graphicData>
                </a:graphic>
              </wp:anchor>
            </w:drawing>
          </mc:Choice>
          <mc:Fallback>
            <w:pict>
              <v:shape style="position:absolute;margin-left:85.25pt;margin-top:14.19541pt;width:425.2pt;height:34.65pt;mso-position-horizontal-relative:page;mso-position-vertical-relative:paragraph;z-index:-15699456;mso-wrap-distance-left:0;mso-wrap-distance-right:0" type="#_x0000_t202" id="docshape104" filled="false" stroked="true" strokeweight=".5pt" strokecolor="#a30046">
                <v:textbox inset="0,0,0,0">
                  <w:txbxContent>
                    <w:p>
                      <w:pPr>
                        <w:pStyle w:val="BodyText"/>
                        <w:numPr>
                          <w:ilvl w:val="0"/>
                          <w:numId w:val="58"/>
                        </w:numPr>
                        <w:tabs>
                          <w:tab w:pos="323" w:val="left" w:leader="none"/>
                        </w:tabs>
                        <w:spacing w:line="249" w:lineRule="auto" w:before="41" w:after="0"/>
                        <w:ind w:left="323" w:right="202" w:hanging="219"/>
                        <w:jc w:val="left"/>
                      </w:pPr>
                      <w:r>
                        <w:rPr>
                          <w:color w:val="231F1F"/>
                          <w:spacing w:val="-2"/>
                          <w:w w:val="110"/>
                        </w:rPr>
                        <w:t>El</w:t>
                      </w:r>
                      <w:r>
                        <w:rPr>
                          <w:color w:val="231F1F"/>
                          <w:spacing w:val="-10"/>
                          <w:w w:val="110"/>
                        </w:rPr>
                        <w:t> </w:t>
                      </w:r>
                      <w:r>
                        <w:rPr>
                          <w:color w:val="231F1F"/>
                          <w:spacing w:val="-2"/>
                          <w:w w:val="110"/>
                        </w:rPr>
                        <w:t>paso</w:t>
                      </w:r>
                      <w:r>
                        <w:rPr>
                          <w:color w:val="231F1F"/>
                          <w:spacing w:val="-9"/>
                          <w:w w:val="110"/>
                        </w:rPr>
                        <w:t> </w:t>
                      </w:r>
                      <w:r>
                        <w:rPr>
                          <w:color w:val="231F1F"/>
                          <w:spacing w:val="-2"/>
                          <w:w w:val="110"/>
                        </w:rPr>
                        <w:t>de</w:t>
                      </w:r>
                      <w:r>
                        <w:rPr>
                          <w:color w:val="231F1F"/>
                          <w:spacing w:val="-9"/>
                          <w:w w:val="110"/>
                        </w:rPr>
                        <w:t> </w:t>
                      </w:r>
                      <w:r>
                        <w:rPr>
                          <w:color w:val="231F1F"/>
                          <w:spacing w:val="-2"/>
                          <w:w w:val="110"/>
                        </w:rPr>
                        <w:t>sondas</w:t>
                      </w:r>
                      <w:r>
                        <w:rPr>
                          <w:color w:val="231F1F"/>
                          <w:spacing w:val="-10"/>
                          <w:w w:val="110"/>
                        </w:rPr>
                        <w:t> </w:t>
                      </w:r>
                      <w:r>
                        <w:rPr>
                          <w:color w:val="231F1F"/>
                          <w:spacing w:val="-2"/>
                          <w:w w:val="110"/>
                        </w:rPr>
                        <w:t>gástrica-rectal</w:t>
                      </w:r>
                      <w:r>
                        <w:rPr>
                          <w:color w:val="231F1F"/>
                          <w:spacing w:val="-11"/>
                          <w:w w:val="110"/>
                        </w:rPr>
                        <w:t> </w:t>
                      </w:r>
                      <w:r>
                        <w:rPr>
                          <w:color w:val="231F1F"/>
                          <w:spacing w:val="-2"/>
                          <w:w w:val="110"/>
                        </w:rPr>
                        <w:t>y/o</w:t>
                      </w:r>
                      <w:r>
                        <w:rPr>
                          <w:color w:val="231F1F"/>
                          <w:spacing w:val="-9"/>
                          <w:w w:val="110"/>
                        </w:rPr>
                        <w:t> </w:t>
                      </w:r>
                      <w:r>
                        <w:rPr>
                          <w:color w:val="231F1F"/>
                          <w:spacing w:val="-2"/>
                          <w:w w:val="110"/>
                        </w:rPr>
                        <w:t>la</w:t>
                      </w:r>
                      <w:r>
                        <w:rPr>
                          <w:color w:val="231F1F"/>
                          <w:spacing w:val="-9"/>
                          <w:w w:val="110"/>
                        </w:rPr>
                        <w:t> </w:t>
                      </w:r>
                      <w:r>
                        <w:rPr>
                          <w:color w:val="231F1F"/>
                          <w:spacing w:val="-2"/>
                          <w:w w:val="110"/>
                        </w:rPr>
                        <w:t>aspiración</w:t>
                      </w:r>
                      <w:r>
                        <w:rPr>
                          <w:color w:val="231F1F"/>
                          <w:spacing w:val="-9"/>
                          <w:w w:val="110"/>
                        </w:rPr>
                        <w:t> </w:t>
                      </w:r>
                      <w:r>
                        <w:rPr>
                          <w:color w:val="231F1F"/>
                          <w:spacing w:val="-2"/>
                          <w:w w:val="110"/>
                        </w:rPr>
                        <w:t>naso-orofaríngea</w:t>
                      </w:r>
                      <w:r>
                        <w:rPr>
                          <w:color w:val="231F1F"/>
                          <w:spacing w:val="-11"/>
                          <w:w w:val="110"/>
                        </w:rPr>
                        <w:t> </w:t>
                      </w:r>
                      <w:r>
                        <w:rPr>
                          <w:color w:val="231F1F"/>
                          <w:spacing w:val="-2"/>
                          <w:w w:val="110"/>
                        </w:rPr>
                        <w:t>sistemática</w:t>
                      </w:r>
                      <w:r>
                        <w:rPr>
                          <w:color w:val="231F1F"/>
                          <w:spacing w:val="-10"/>
                          <w:w w:val="110"/>
                        </w:rPr>
                        <w:t> </w:t>
                      </w:r>
                      <w:r>
                        <w:rPr>
                          <w:color w:val="231F1F"/>
                          <w:spacing w:val="-2"/>
                          <w:w w:val="110"/>
                        </w:rPr>
                        <w:t>en</w:t>
                      </w:r>
                      <w:r>
                        <w:rPr>
                          <w:color w:val="231F1F"/>
                          <w:spacing w:val="-9"/>
                          <w:w w:val="110"/>
                        </w:rPr>
                        <w:t> </w:t>
                      </w:r>
                      <w:r>
                        <w:rPr>
                          <w:color w:val="231F1F"/>
                          <w:spacing w:val="-2"/>
                          <w:w w:val="110"/>
                        </w:rPr>
                        <w:t>el </w:t>
                      </w:r>
                      <w:r>
                        <w:rPr>
                          <w:color w:val="231F1F"/>
                          <w:w w:val="110"/>
                        </w:rPr>
                        <w:t>período neonatal inmediato ¿mejoran o no el pronóstico neonatal?</w:t>
                      </w:r>
                    </w:p>
                  </w:txbxContent>
                </v:textbox>
                <v:stroke dashstyle="solid"/>
                <w10:wrap type="topAndBottom"/>
              </v:shape>
            </w:pict>
          </mc:Fallback>
        </mc:AlternateContent>
      </w:r>
    </w:p>
    <w:p>
      <w:pPr>
        <w:pStyle w:val="BodyText"/>
        <w:spacing w:line="244" w:lineRule="auto" w:before="318"/>
        <w:ind w:left="281" w:right="118"/>
        <w:jc w:val="both"/>
      </w:pPr>
      <w:r>
        <w:rPr>
          <w:color w:val="231F1F"/>
          <w:w w:val="105"/>
        </w:rPr>
        <w:t>El paso sistemático de sondas para aspiración de secreciones, sangre o meconio, en RN con buena vitalidad, así como la verificación de que el esófago, ano-recto y coanas son permea- bles sigue siendo una práctica común en muchos centros (239;240).</w:t>
      </w:r>
    </w:p>
    <w:p>
      <w:pPr>
        <w:pStyle w:val="BodyText"/>
        <w:spacing w:line="244" w:lineRule="auto" w:before="148"/>
        <w:ind w:left="281" w:right="130" w:firstLine="453"/>
        <w:jc w:val="both"/>
      </w:pPr>
      <w:r>
        <w:rPr>
          <w:color w:val="231F1F"/>
          <w:w w:val="105"/>
        </w:rPr>
        <w:t>La aspiración oro-naso-faríngea se lleva a cabo con el fin de minimizar los riesgos de complicaciones respiratorias, principalmente el síndrome de aspiración meconial (241); sin embargo algunas publicaciones han cuestionado su utilidad (242;243).</w:t>
      </w:r>
    </w:p>
    <w:p>
      <w:pPr>
        <w:pStyle w:val="BodyText"/>
        <w:spacing w:line="244" w:lineRule="auto" w:before="142"/>
        <w:ind w:left="282" w:right="125" w:firstLine="453"/>
        <w:jc w:val="both"/>
      </w:pPr>
      <w:r>
        <w:rPr>
          <w:color w:val="231F1F"/>
          <w:w w:val="110"/>
        </w:rPr>
        <w:t>Dado</w:t>
      </w:r>
      <w:r>
        <w:rPr>
          <w:color w:val="231F1F"/>
          <w:spacing w:val="-9"/>
          <w:w w:val="110"/>
        </w:rPr>
        <w:t> </w:t>
      </w:r>
      <w:r>
        <w:rPr>
          <w:color w:val="231F1F"/>
          <w:w w:val="110"/>
        </w:rPr>
        <w:t>que</w:t>
      </w:r>
      <w:r>
        <w:rPr>
          <w:color w:val="231F1F"/>
          <w:spacing w:val="-9"/>
          <w:w w:val="110"/>
        </w:rPr>
        <w:t> </w:t>
      </w:r>
      <w:r>
        <w:rPr>
          <w:color w:val="231F1F"/>
          <w:w w:val="110"/>
        </w:rPr>
        <w:t>la</w:t>
      </w:r>
      <w:r>
        <w:rPr>
          <w:color w:val="231F1F"/>
          <w:spacing w:val="-9"/>
          <w:w w:val="110"/>
        </w:rPr>
        <w:t> </w:t>
      </w:r>
      <w:r>
        <w:rPr>
          <w:color w:val="231F1F"/>
          <w:w w:val="110"/>
        </w:rPr>
        <w:t>práctica</w:t>
      </w:r>
      <w:r>
        <w:rPr>
          <w:color w:val="231F1F"/>
          <w:spacing w:val="-8"/>
          <w:w w:val="110"/>
        </w:rPr>
        <w:t> </w:t>
      </w:r>
      <w:r>
        <w:rPr>
          <w:color w:val="231F1F"/>
          <w:w w:val="110"/>
        </w:rPr>
        <w:t>de</w:t>
      </w:r>
      <w:r>
        <w:rPr>
          <w:color w:val="231F1F"/>
          <w:spacing w:val="-9"/>
          <w:w w:val="110"/>
        </w:rPr>
        <w:t> </w:t>
      </w:r>
      <w:r>
        <w:rPr>
          <w:color w:val="231F1F"/>
          <w:w w:val="110"/>
        </w:rPr>
        <w:t>aspirar</w:t>
      </w:r>
      <w:r>
        <w:rPr>
          <w:color w:val="231F1F"/>
          <w:spacing w:val="-9"/>
          <w:w w:val="110"/>
        </w:rPr>
        <w:t> </w:t>
      </w:r>
      <w:r>
        <w:rPr>
          <w:color w:val="231F1F"/>
          <w:w w:val="110"/>
        </w:rPr>
        <w:t>al</w:t>
      </w:r>
      <w:r>
        <w:rPr>
          <w:color w:val="231F1F"/>
          <w:spacing w:val="-9"/>
          <w:w w:val="110"/>
        </w:rPr>
        <w:t> </w:t>
      </w:r>
      <w:r>
        <w:rPr>
          <w:color w:val="231F1F"/>
          <w:w w:val="110"/>
        </w:rPr>
        <w:t>RN</w:t>
      </w:r>
      <w:r>
        <w:rPr>
          <w:color w:val="231F1F"/>
          <w:spacing w:val="-8"/>
          <w:w w:val="110"/>
        </w:rPr>
        <w:t> </w:t>
      </w:r>
      <w:r>
        <w:rPr>
          <w:color w:val="231F1F"/>
          <w:w w:val="110"/>
        </w:rPr>
        <w:t>tiene</w:t>
      </w:r>
      <w:r>
        <w:rPr>
          <w:color w:val="231F1F"/>
          <w:spacing w:val="-8"/>
          <w:w w:val="110"/>
        </w:rPr>
        <w:t> </w:t>
      </w:r>
      <w:r>
        <w:rPr>
          <w:color w:val="231F1F"/>
          <w:w w:val="110"/>
        </w:rPr>
        <w:t>riesgos</w:t>
      </w:r>
      <w:r>
        <w:rPr>
          <w:color w:val="231F1F"/>
          <w:spacing w:val="-8"/>
          <w:w w:val="110"/>
        </w:rPr>
        <w:t> </w:t>
      </w:r>
      <w:r>
        <w:rPr>
          <w:color w:val="231F1F"/>
          <w:w w:val="110"/>
        </w:rPr>
        <w:t>potenciales,</w:t>
      </w:r>
      <w:r>
        <w:rPr>
          <w:color w:val="231F1F"/>
          <w:spacing w:val="-9"/>
          <w:w w:val="110"/>
        </w:rPr>
        <w:t> </w:t>
      </w:r>
      <w:r>
        <w:rPr>
          <w:color w:val="231F1F"/>
          <w:w w:val="110"/>
        </w:rPr>
        <w:t>la</w:t>
      </w:r>
      <w:r>
        <w:rPr>
          <w:color w:val="231F1F"/>
          <w:spacing w:val="-8"/>
          <w:w w:val="110"/>
        </w:rPr>
        <w:t> </w:t>
      </w:r>
      <w:r>
        <w:rPr>
          <w:color w:val="231F1F"/>
          <w:w w:val="110"/>
        </w:rPr>
        <w:t>necesidad</w:t>
      </w:r>
      <w:r>
        <w:rPr>
          <w:color w:val="231F1F"/>
          <w:spacing w:val="-9"/>
          <w:w w:val="110"/>
        </w:rPr>
        <w:t> </w:t>
      </w:r>
      <w:r>
        <w:rPr>
          <w:color w:val="231F1F"/>
          <w:w w:val="110"/>
        </w:rPr>
        <w:t>de</w:t>
      </w:r>
      <w:r>
        <w:rPr>
          <w:color w:val="231F1F"/>
          <w:spacing w:val="-9"/>
          <w:w w:val="110"/>
        </w:rPr>
        <w:t> </w:t>
      </w:r>
      <w:r>
        <w:rPr>
          <w:color w:val="231F1F"/>
          <w:w w:val="110"/>
        </w:rPr>
        <w:t>eva- luación de este procedimiento ampliamente practicado no debe ser ignorada (242-244).</w:t>
      </w:r>
    </w:p>
    <w:p>
      <w:pPr>
        <w:pStyle w:val="BodyText"/>
        <w:spacing w:before="167"/>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195"/>
        <w:ind w:left="283"/>
        <w:jc w:val="both"/>
      </w:pPr>
      <w:r>
        <w:rPr>
          <w:color w:val="231F1F"/>
          <w:w w:val="110"/>
        </w:rPr>
        <w:t>La</w:t>
      </w:r>
      <w:r>
        <w:rPr>
          <w:color w:val="231F1F"/>
          <w:spacing w:val="-15"/>
          <w:w w:val="110"/>
        </w:rPr>
        <w:t> </w:t>
      </w:r>
      <w:r>
        <w:rPr>
          <w:color w:val="231F1F"/>
          <w:w w:val="110"/>
        </w:rPr>
        <w:t>guía</w:t>
      </w:r>
      <w:r>
        <w:rPr>
          <w:color w:val="231F1F"/>
          <w:spacing w:val="-13"/>
          <w:w w:val="110"/>
        </w:rPr>
        <w:t> </w:t>
      </w:r>
      <w:r>
        <w:rPr>
          <w:color w:val="231F1F"/>
          <w:w w:val="110"/>
        </w:rPr>
        <w:t>NICE</w:t>
      </w:r>
      <w:r>
        <w:rPr>
          <w:color w:val="231F1F"/>
          <w:spacing w:val="-11"/>
          <w:w w:val="110"/>
        </w:rPr>
        <w:t> </w:t>
      </w:r>
      <w:r>
        <w:rPr>
          <w:color w:val="231F1F"/>
          <w:w w:val="110"/>
        </w:rPr>
        <w:t>(10)</w:t>
      </w:r>
      <w:r>
        <w:rPr>
          <w:color w:val="231F1F"/>
          <w:spacing w:val="-13"/>
          <w:w w:val="110"/>
        </w:rPr>
        <w:t> </w:t>
      </w:r>
      <w:r>
        <w:rPr>
          <w:color w:val="231F1F"/>
          <w:w w:val="110"/>
        </w:rPr>
        <w:t>no</w:t>
      </w:r>
      <w:r>
        <w:rPr>
          <w:color w:val="231F1F"/>
          <w:spacing w:val="-11"/>
          <w:w w:val="110"/>
        </w:rPr>
        <w:t> </w:t>
      </w:r>
      <w:r>
        <w:rPr>
          <w:color w:val="231F1F"/>
          <w:w w:val="110"/>
        </w:rPr>
        <w:t>aborda</w:t>
      </w:r>
      <w:r>
        <w:rPr>
          <w:color w:val="231F1F"/>
          <w:spacing w:val="-13"/>
          <w:w w:val="110"/>
        </w:rPr>
        <w:t> </w:t>
      </w:r>
      <w:r>
        <w:rPr>
          <w:color w:val="231F1F"/>
          <w:w w:val="110"/>
        </w:rPr>
        <w:t>este</w:t>
      </w:r>
      <w:r>
        <w:rPr>
          <w:color w:val="231F1F"/>
          <w:spacing w:val="-13"/>
          <w:w w:val="110"/>
        </w:rPr>
        <w:t> </w:t>
      </w:r>
      <w:r>
        <w:rPr>
          <w:color w:val="231F1F"/>
          <w:spacing w:val="-2"/>
          <w:w w:val="110"/>
        </w:rPr>
        <w:t>punto.</w:t>
      </w:r>
    </w:p>
    <w:p>
      <w:pPr>
        <w:pStyle w:val="BodyText"/>
        <w:spacing w:before="184"/>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30"/>
          <w:sz w:val="24"/>
        </w:rPr>
        <w:t> </w:t>
      </w:r>
      <w:r>
        <w:rPr>
          <w:rFonts w:ascii="Arial MT" w:hAnsi="Arial MT"/>
          <w:color w:val="231F1F"/>
          <w:sz w:val="24"/>
        </w:rPr>
        <w:t>(hasta</w:t>
      </w:r>
      <w:r>
        <w:rPr>
          <w:rFonts w:ascii="Arial MT" w:hAnsi="Arial MT"/>
          <w:color w:val="231F1F"/>
          <w:spacing w:val="28"/>
          <w:sz w:val="24"/>
        </w:rPr>
        <w:t> </w:t>
      </w:r>
      <w:r>
        <w:rPr>
          <w:rFonts w:ascii="Arial MT" w:hAnsi="Arial MT"/>
          <w:color w:val="231F1F"/>
          <w:sz w:val="24"/>
        </w:rPr>
        <w:t>diciembre</w:t>
      </w:r>
      <w:r>
        <w:rPr>
          <w:rFonts w:ascii="Arial MT" w:hAnsi="Arial MT"/>
          <w:color w:val="231F1F"/>
          <w:spacing w:val="29"/>
          <w:sz w:val="24"/>
        </w:rPr>
        <w:t> </w:t>
      </w:r>
      <w:r>
        <w:rPr>
          <w:rFonts w:ascii="Arial MT" w:hAnsi="Arial MT"/>
          <w:color w:val="231F1F"/>
          <w:sz w:val="24"/>
        </w:rPr>
        <w:t>de</w:t>
      </w:r>
      <w:r>
        <w:rPr>
          <w:rFonts w:ascii="Arial MT" w:hAnsi="Arial MT"/>
          <w:color w:val="231F1F"/>
          <w:spacing w:val="29"/>
          <w:sz w:val="24"/>
        </w:rPr>
        <w:t> </w:t>
      </w:r>
      <w:r>
        <w:rPr>
          <w:rFonts w:ascii="Arial MT" w:hAnsi="Arial MT"/>
          <w:color w:val="231F1F"/>
          <w:spacing w:val="-2"/>
          <w:sz w:val="24"/>
        </w:rPr>
        <w:t>2008)</w:t>
      </w:r>
    </w:p>
    <w:p>
      <w:pPr>
        <w:pStyle w:val="BodyText"/>
        <w:spacing w:line="266" w:lineRule="auto" w:before="219"/>
        <w:ind w:left="287" w:right="1468"/>
        <w:jc w:val="both"/>
      </w:pPr>
      <w:r>
        <w:rPr>
          <w:color w:val="231F1F"/>
        </w:rPr>
        <w:t>No</w:t>
      </w:r>
      <w:r>
        <w:rPr>
          <w:color w:val="231F1F"/>
          <w:spacing w:val="25"/>
        </w:rPr>
        <w:t> </w:t>
      </w:r>
      <w:r>
        <w:rPr>
          <w:color w:val="231F1F"/>
        </w:rPr>
        <w:t>se</w:t>
      </w:r>
      <w:r>
        <w:rPr>
          <w:color w:val="231F1F"/>
          <w:spacing w:val="25"/>
        </w:rPr>
        <w:t> </w:t>
      </w:r>
      <w:r>
        <w:rPr>
          <w:color w:val="231F1F"/>
        </w:rPr>
        <w:t>encontraron</w:t>
      </w:r>
      <w:r>
        <w:rPr>
          <w:color w:val="231F1F"/>
          <w:spacing w:val="25"/>
        </w:rPr>
        <w:t> </w:t>
      </w:r>
      <w:r>
        <w:rPr>
          <w:color w:val="231F1F"/>
        </w:rPr>
        <w:t>estudios</w:t>
      </w:r>
      <w:r>
        <w:rPr>
          <w:color w:val="231F1F"/>
          <w:spacing w:val="25"/>
        </w:rPr>
        <w:t> </w:t>
      </w:r>
      <w:r>
        <w:rPr>
          <w:color w:val="231F1F"/>
        </w:rPr>
        <w:t>en</w:t>
      </w:r>
      <w:r>
        <w:rPr>
          <w:color w:val="231F1F"/>
          <w:spacing w:val="25"/>
        </w:rPr>
        <w:t> </w:t>
      </w:r>
      <w:r>
        <w:rPr>
          <w:color w:val="231F1F"/>
        </w:rPr>
        <w:t>la</w:t>
      </w:r>
      <w:r>
        <w:rPr>
          <w:color w:val="231F1F"/>
          <w:spacing w:val="25"/>
        </w:rPr>
        <w:t> </w:t>
      </w:r>
      <w:r>
        <w:rPr>
          <w:color w:val="231F1F"/>
        </w:rPr>
        <w:t>primera</w:t>
      </w:r>
      <w:r>
        <w:rPr>
          <w:color w:val="231F1F"/>
          <w:spacing w:val="25"/>
        </w:rPr>
        <w:t> </w:t>
      </w:r>
      <w:r>
        <w:rPr>
          <w:color w:val="231F1F"/>
        </w:rPr>
        <w:t>búsqueda</w:t>
      </w:r>
      <w:r>
        <w:rPr>
          <w:color w:val="231F1F"/>
          <w:spacing w:val="25"/>
        </w:rPr>
        <w:t> </w:t>
      </w:r>
      <w:r>
        <w:rPr>
          <w:color w:val="231F1F"/>
        </w:rPr>
        <w:t>de</w:t>
      </w:r>
      <w:r>
        <w:rPr>
          <w:color w:val="231F1F"/>
          <w:spacing w:val="25"/>
        </w:rPr>
        <w:t> </w:t>
      </w:r>
      <w:r>
        <w:rPr>
          <w:color w:val="231F1F"/>
        </w:rPr>
        <w:t>RS</w:t>
      </w:r>
      <w:r>
        <w:rPr>
          <w:color w:val="231F1F"/>
          <w:spacing w:val="25"/>
        </w:rPr>
        <w:t> </w:t>
      </w:r>
      <w:r>
        <w:rPr>
          <w:color w:val="231F1F"/>
        </w:rPr>
        <w:t>y</w:t>
      </w:r>
      <w:r>
        <w:rPr>
          <w:color w:val="231F1F"/>
          <w:spacing w:val="25"/>
        </w:rPr>
        <w:t> </w:t>
      </w:r>
      <w:r>
        <w:rPr>
          <w:color w:val="231F1F"/>
        </w:rPr>
        <w:t>metaanálisis</w:t>
      </w:r>
      <w:r>
        <w:rPr>
          <w:color w:val="231F1F"/>
          <w:spacing w:val="25"/>
        </w:rPr>
        <w:t> </w:t>
      </w:r>
      <w:r>
        <w:rPr>
          <w:color w:val="231F1F"/>
        </w:rPr>
        <w:t>para la</w:t>
      </w:r>
      <w:r>
        <w:rPr>
          <w:color w:val="231F1F"/>
          <w:spacing w:val="31"/>
        </w:rPr>
        <w:t> </w:t>
      </w:r>
      <w:r>
        <w:rPr>
          <w:color w:val="231F1F"/>
        </w:rPr>
        <w:t>actualización,</w:t>
      </w:r>
      <w:r>
        <w:rPr>
          <w:color w:val="231F1F"/>
          <w:spacing w:val="30"/>
        </w:rPr>
        <w:t> </w:t>
      </w:r>
      <w:r>
        <w:rPr>
          <w:color w:val="231F1F"/>
        </w:rPr>
        <w:t>por</w:t>
      </w:r>
      <w:r>
        <w:rPr>
          <w:color w:val="231F1F"/>
          <w:spacing w:val="31"/>
        </w:rPr>
        <w:t> </w:t>
      </w:r>
      <w:r>
        <w:rPr>
          <w:color w:val="231F1F"/>
        </w:rPr>
        <w:t>lo</w:t>
      </w:r>
      <w:r>
        <w:rPr>
          <w:color w:val="231F1F"/>
          <w:spacing w:val="31"/>
        </w:rPr>
        <w:t> </w:t>
      </w:r>
      <w:r>
        <w:rPr>
          <w:color w:val="231F1F"/>
        </w:rPr>
        <w:t>que</w:t>
      </w:r>
      <w:r>
        <w:rPr>
          <w:color w:val="231F1F"/>
          <w:spacing w:val="31"/>
        </w:rPr>
        <w:t> </w:t>
      </w:r>
      <w:r>
        <w:rPr>
          <w:color w:val="231F1F"/>
        </w:rPr>
        <w:t>en</w:t>
      </w:r>
      <w:r>
        <w:rPr>
          <w:color w:val="231F1F"/>
          <w:spacing w:val="31"/>
        </w:rPr>
        <w:t> </w:t>
      </w:r>
      <w:r>
        <w:rPr>
          <w:color w:val="231F1F"/>
        </w:rPr>
        <w:t>una</w:t>
      </w:r>
      <w:r>
        <w:rPr>
          <w:color w:val="231F1F"/>
          <w:spacing w:val="31"/>
        </w:rPr>
        <w:t> </w:t>
      </w:r>
      <w:r>
        <w:rPr>
          <w:color w:val="231F1F"/>
        </w:rPr>
        <w:t>segunda</w:t>
      </w:r>
      <w:r>
        <w:rPr>
          <w:color w:val="231F1F"/>
          <w:spacing w:val="31"/>
        </w:rPr>
        <w:t> </w:t>
      </w:r>
      <w:r>
        <w:rPr>
          <w:color w:val="231F1F"/>
        </w:rPr>
        <w:t>búsqueda</w:t>
      </w:r>
      <w:r>
        <w:rPr>
          <w:color w:val="231F1F"/>
          <w:spacing w:val="31"/>
        </w:rPr>
        <w:t> </w:t>
      </w:r>
      <w:r>
        <w:rPr>
          <w:color w:val="231F1F"/>
        </w:rPr>
        <w:t>se</w:t>
      </w:r>
      <w:r>
        <w:rPr>
          <w:color w:val="231F1F"/>
          <w:spacing w:val="31"/>
        </w:rPr>
        <w:t> </w:t>
      </w:r>
      <w:r>
        <w:rPr>
          <w:color w:val="231F1F"/>
        </w:rPr>
        <w:t>incluyeron</w:t>
      </w:r>
      <w:r>
        <w:rPr>
          <w:color w:val="231F1F"/>
          <w:spacing w:val="31"/>
        </w:rPr>
        <w:t> </w:t>
      </w:r>
      <w:r>
        <w:rPr>
          <w:color w:val="231F1F"/>
        </w:rPr>
        <w:t>ECAs</w:t>
      </w:r>
      <w:r>
        <w:rPr>
          <w:color w:val="231F1F"/>
          <w:spacing w:val="31"/>
        </w:rPr>
        <w:t> </w:t>
      </w:r>
      <w:r>
        <w:rPr>
          <w:color w:val="231F1F"/>
        </w:rPr>
        <w:t>en la</w:t>
      </w:r>
      <w:r>
        <w:rPr>
          <w:color w:val="231F1F"/>
          <w:spacing w:val="21"/>
        </w:rPr>
        <w:t> </w:t>
      </w:r>
      <w:r>
        <w:rPr>
          <w:color w:val="231F1F"/>
        </w:rPr>
        <w:t>estrategia.</w:t>
      </w:r>
      <w:r>
        <w:rPr>
          <w:color w:val="231F1F"/>
          <w:spacing w:val="21"/>
        </w:rPr>
        <w:t> </w:t>
      </w:r>
      <w:r>
        <w:rPr>
          <w:color w:val="231F1F"/>
        </w:rPr>
        <w:t>Se</w:t>
      </w:r>
      <w:r>
        <w:rPr>
          <w:color w:val="231F1F"/>
          <w:spacing w:val="21"/>
        </w:rPr>
        <w:t> </w:t>
      </w:r>
      <w:r>
        <w:rPr>
          <w:color w:val="231F1F"/>
        </w:rPr>
        <w:t>encontraron</w:t>
      </w:r>
      <w:r>
        <w:rPr>
          <w:color w:val="231F1F"/>
          <w:spacing w:val="20"/>
        </w:rPr>
        <w:t> </w:t>
      </w:r>
      <w:r>
        <w:rPr>
          <w:color w:val="231F1F"/>
        </w:rPr>
        <w:t>2</w:t>
      </w:r>
      <w:r>
        <w:rPr>
          <w:color w:val="231F1F"/>
          <w:spacing w:val="21"/>
        </w:rPr>
        <w:t> </w:t>
      </w:r>
      <w:r>
        <w:rPr>
          <w:color w:val="231F1F"/>
        </w:rPr>
        <w:t>estudios</w:t>
      </w:r>
      <w:r>
        <w:rPr>
          <w:color w:val="231F1F"/>
          <w:spacing w:val="21"/>
        </w:rPr>
        <w:t> </w:t>
      </w:r>
      <w:r>
        <w:rPr>
          <w:color w:val="231F1F"/>
        </w:rPr>
        <w:t>que</w:t>
      </w:r>
      <w:r>
        <w:rPr>
          <w:color w:val="231F1F"/>
          <w:spacing w:val="21"/>
        </w:rPr>
        <w:t> </w:t>
      </w:r>
      <w:r>
        <w:rPr>
          <w:color w:val="231F1F"/>
        </w:rPr>
        <w:t>cumplían</w:t>
      </w:r>
      <w:r>
        <w:rPr>
          <w:color w:val="231F1F"/>
          <w:spacing w:val="21"/>
        </w:rPr>
        <w:t> </w:t>
      </w:r>
      <w:r>
        <w:rPr>
          <w:color w:val="231F1F"/>
        </w:rPr>
        <w:t>los</w:t>
      </w:r>
      <w:r>
        <w:rPr>
          <w:color w:val="231F1F"/>
          <w:spacing w:val="21"/>
        </w:rPr>
        <w:t> </w:t>
      </w:r>
      <w:r>
        <w:rPr>
          <w:color w:val="231F1F"/>
        </w:rPr>
        <w:t>criterios</w:t>
      </w:r>
      <w:r>
        <w:rPr>
          <w:color w:val="231F1F"/>
          <w:spacing w:val="21"/>
        </w:rPr>
        <w:t> </w:t>
      </w:r>
      <w:r>
        <w:rPr>
          <w:color w:val="231F1F"/>
        </w:rPr>
        <w:t>de</w:t>
      </w:r>
      <w:r>
        <w:rPr>
          <w:color w:val="231F1F"/>
          <w:spacing w:val="21"/>
        </w:rPr>
        <w:t> </w:t>
      </w:r>
      <w:r>
        <w:rPr>
          <w:color w:val="231F1F"/>
        </w:rPr>
        <w:t>inclusión y</w:t>
      </w:r>
      <w:r>
        <w:rPr>
          <w:color w:val="231F1F"/>
          <w:spacing w:val="-4"/>
        </w:rPr>
        <w:t> </w:t>
      </w:r>
      <w:r>
        <w:rPr>
          <w:color w:val="231F1F"/>
        </w:rPr>
        <w:t>que</w:t>
      </w:r>
      <w:r>
        <w:rPr>
          <w:color w:val="231F1F"/>
          <w:spacing w:val="-4"/>
        </w:rPr>
        <w:t> </w:t>
      </w:r>
      <w:r>
        <w:rPr>
          <w:color w:val="231F1F"/>
        </w:rPr>
        <w:t>evaluaban</w:t>
      </w:r>
      <w:r>
        <w:rPr>
          <w:color w:val="231F1F"/>
          <w:spacing w:val="-3"/>
        </w:rPr>
        <w:t> </w:t>
      </w:r>
      <w:r>
        <w:rPr>
          <w:color w:val="231F1F"/>
        </w:rPr>
        <w:t>la</w:t>
      </w:r>
      <w:r>
        <w:rPr>
          <w:color w:val="231F1F"/>
          <w:spacing w:val="-4"/>
        </w:rPr>
        <w:t> </w:t>
      </w:r>
      <w:r>
        <w:rPr>
          <w:color w:val="231F1F"/>
        </w:rPr>
        <w:t>aspiración</w:t>
      </w:r>
      <w:r>
        <w:rPr>
          <w:color w:val="231F1F"/>
          <w:spacing w:val="-3"/>
        </w:rPr>
        <w:t> </w:t>
      </w:r>
      <w:r>
        <w:rPr>
          <w:color w:val="231F1F"/>
        </w:rPr>
        <w:t>nasofaríngea</w:t>
      </w:r>
      <w:r>
        <w:rPr>
          <w:color w:val="231F1F"/>
          <w:spacing w:val="-4"/>
        </w:rPr>
        <w:t> </w:t>
      </w:r>
      <w:r>
        <w:rPr>
          <w:color w:val="231F1F"/>
        </w:rPr>
        <w:t>en</w:t>
      </w:r>
      <w:r>
        <w:rPr>
          <w:color w:val="231F1F"/>
          <w:spacing w:val="-3"/>
        </w:rPr>
        <w:t> </w:t>
      </w:r>
      <w:r>
        <w:rPr>
          <w:color w:val="231F1F"/>
        </w:rPr>
        <w:t>RN</w:t>
      </w:r>
      <w:r>
        <w:rPr>
          <w:color w:val="231F1F"/>
          <w:spacing w:val="-4"/>
        </w:rPr>
        <w:t> </w:t>
      </w:r>
      <w:r>
        <w:rPr>
          <w:color w:val="231F1F"/>
        </w:rPr>
        <w:t>sanos</w:t>
      </w:r>
      <w:r>
        <w:rPr>
          <w:color w:val="231F1F"/>
          <w:spacing w:val="-4"/>
        </w:rPr>
        <w:t> </w:t>
      </w:r>
      <w:r>
        <w:rPr>
          <w:color w:val="231F1F"/>
        </w:rPr>
        <w:t>frente</w:t>
      </w:r>
      <w:r>
        <w:rPr>
          <w:color w:val="231F1F"/>
          <w:spacing w:val="-3"/>
        </w:rPr>
        <w:t> </w:t>
      </w:r>
      <w:r>
        <w:rPr>
          <w:color w:val="231F1F"/>
        </w:rPr>
        <w:t>a</w:t>
      </w:r>
      <w:r>
        <w:rPr>
          <w:color w:val="231F1F"/>
          <w:spacing w:val="-4"/>
        </w:rPr>
        <w:t> </w:t>
      </w:r>
      <w:r>
        <w:rPr>
          <w:color w:val="231F1F"/>
        </w:rPr>
        <w:t>la</w:t>
      </w:r>
      <w:r>
        <w:rPr>
          <w:color w:val="231F1F"/>
          <w:spacing w:val="-3"/>
        </w:rPr>
        <w:t> </w:t>
      </w:r>
      <w:r>
        <w:rPr>
          <w:color w:val="231F1F"/>
        </w:rPr>
        <w:t>no</w:t>
      </w:r>
      <w:r>
        <w:rPr>
          <w:color w:val="231F1F"/>
          <w:spacing w:val="-4"/>
        </w:rPr>
        <w:t> </w:t>
      </w:r>
      <w:r>
        <w:rPr>
          <w:color w:val="231F1F"/>
        </w:rPr>
        <w:t>aspiración.</w:t>
      </w:r>
    </w:p>
    <w:p>
      <w:pPr>
        <w:pStyle w:val="BodyText"/>
        <w:spacing w:before="82"/>
        <w:ind w:left="789"/>
        <w:jc w:val="both"/>
        <w:rPr>
          <w:rFonts w:ascii="Arial MT" w:hAnsi="Arial MT"/>
          <w:sz w:val="18"/>
        </w:rPr>
      </w:pPr>
      <w:r>
        <w:rPr>
          <w:color w:val="231F1F"/>
          <w:w w:val="110"/>
        </w:rPr>
        <w:t>El</w:t>
      </w:r>
      <w:r>
        <w:rPr>
          <w:color w:val="231F1F"/>
          <w:spacing w:val="-14"/>
          <w:w w:val="110"/>
        </w:rPr>
        <w:t> </w:t>
      </w:r>
      <w:r>
        <w:rPr>
          <w:color w:val="231F1F"/>
          <w:w w:val="110"/>
        </w:rPr>
        <w:t>ensayo</w:t>
      </w:r>
      <w:r>
        <w:rPr>
          <w:color w:val="231F1F"/>
          <w:spacing w:val="-13"/>
          <w:w w:val="110"/>
        </w:rPr>
        <w:t> </w:t>
      </w:r>
      <w:r>
        <w:rPr>
          <w:color w:val="231F1F"/>
          <w:w w:val="110"/>
        </w:rPr>
        <w:t>de</w:t>
      </w:r>
      <w:r>
        <w:rPr>
          <w:color w:val="231F1F"/>
          <w:spacing w:val="-12"/>
          <w:w w:val="110"/>
        </w:rPr>
        <w:t> </w:t>
      </w:r>
      <w:r>
        <w:rPr>
          <w:color w:val="231F1F"/>
          <w:w w:val="110"/>
        </w:rPr>
        <w:t>Estol</w:t>
      </w:r>
      <w:r>
        <w:rPr>
          <w:color w:val="231F1F"/>
          <w:spacing w:val="-13"/>
          <w:w w:val="110"/>
        </w:rPr>
        <w:t> </w:t>
      </w:r>
      <w:r>
        <w:rPr>
          <w:color w:val="231F1F"/>
          <w:w w:val="110"/>
        </w:rPr>
        <w:t>de</w:t>
      </w:r>
      <w:r>
        <w:rPr>
          <w:color w:val="231F1F"/>
          <w:spacing w:val="-13"/>
          <w:w w:val="110"/>
        </w:rPr>
        <w:t> </w:t>
      </w:r>
      <w:r>
        <w:rPr>
          <w:color w:val="231F1F"/>
          <w:w w:val="110"/>
        </w:rPr>
        <w:t>1992,</w:t>
      </w:r>
      <w:r>
        <w:rPr>
          <w:color w:val="231F1F"/>
          <w:spacing w:val="-14"/>
          <w:w w:val="110"/>
        </w:rPr>
        <w:t> </w:t>
      </w:r>
      <w:r>
        <w:rPr>
          <w:color w:val="231F1F"/>
          <w:w w:val="110"/>
        </w:rPr>
        <w:t>(245)</w:t>
      </w:r>
      <w:r>
        <w:rPr>
          <w:color w:val="231F1F"/>
          <w:spacing w:val="-13"/>
          <w:w w:val="110"/>
        </w:rPr>
        <w:t> </w:t>
      </w:r>
      <w:r>
        <w:rPr>
          <w:color w:val="231F1F"/>
          <w:w w:val="110"/>
        </w:rPr>
        <w:t>era</w:t>
      </w:r>
      <w:r>
        <w:rPr>
          <w:color w:val="231F1F"/>
          <w:spacing w:val="-12"/>
          <w:w w:val="110"/>
        </w:rPr>
        <w:t> </w:t>
      </w:r>
      <w:r>
        <w:rPr>
          <w:color w:val="231F1F"/>
          <w:w w:val="110"/>
        </w:rPr>
        <w:t>de</w:t>
      </w:r>
      <w:r>
        <w:rPr>
          <w:color w:val="231F1F"/>
          <w:spacing w:val="-12"/>
          <w:w w:val="110"/>
        </w:rPr>
        <w:t> </w:t>
      </w:r>
      <w:r>
        <w:rPr>
          <w:color w:val="231F1F"/>
          <w:w w:val="110"/>
        </w:rPr>
        <w:t>muestra</w:t>
      </w:r>
      <w:r>
        <w:rPr>
          <w:color w:val="231F1F"/>
          <w:spacing w:val="-13"/>
          <w:w w:val="110"/>
        </w:rPr>
        <w:t> </w:t>
      </w:r>
      <w:r>
        <w:rPr>
          <w:color w:val="231F1F"/>
          <w:w w:val="110"/>
        </w:rPr>
        <w:t>pequeña,</w:t>
      </w:r>
      <w:r>
        <w:rPr>
          <w:color w:val="231F1F"/>
          <w:spacing w:val="-15"/>
          <w:w w:val="110"/>
        </w:rPr>
        <w:t> </w:t>
      </w:r>
      <w:r>
        <w:rPr>
          <w:color w:val="231F1F"/>
          <w:w w:val="110"/>
        </w:rPr>
        <w:t>(n=40),</w:t>
      </w:r>
      <w:r>
        <w:rPr>
          <w:color w:val="231F1F"/>
          <w:spacing w:val="-12"/>
          <w:w w:val="110"/>
        </w:rPr>
        <w:t> </w:t>
      </w:r>
      <w:r>
        <w:rPr>
          <w:color w:val="231F1F"/>
          <w:w w:val="110"/>
        </w:rPr>
        <w:t>con</w:t>
      </w:r>
      <w:r>
        <w:rPr>
          <w:color w:val="231F1F"/>
          <w:spacing w:val="66"/>
          <w:w w:val="110"/>
        </w:rPr>
        <w:t>    </w:t>
      </w:r>
      <w:r>
        <w:rPr>
          <w:rFonts w:ascii="Arial MT" w:hAnsi="Arial MT"/>
          <w:color w:val="231F1F"/>
          <w:spacing w:val="-5"/>
          <w:w w:val="110"/>
          <w:sz w:val="18"/>
        </w:rPr>
        <w:t>ECA</w:t>
      </w:r>
    </w:p>
    <w:p>
      <w:pPr>
        <w:pStyle w:val="BodyText"/>
        <w:tabs>
          <w:tab w:pos="8144" w:val="left" w:leader="none"/>
        </w:tabs>
        <w:spacing w:line="254" w:lineRule="auto" w:before="27"/>
        <w:ind w:left="287" w:right="621"/>
      </w:pPr>
      <w:r>
        <w:rPr>
          <w:color w:val="231F1F"/>
          <w:w w:val="105"/>
        </w:rPr>
        <w:t>riesgo de sesgos, debido a la ausencia de una correcta aleatorización y ocul-</w:t>
      </w:r>
      <w:r>
        <w:rPr>
          <w:color w:val="231F1F"/>
        </w:rPr>
        <w:tab/>
      </w:r>
      <w:r>
        <w:rPr>
          <w:rFonts w:ascii="Arial MT" w:hAnsi="Arial MT"/>
          <w:color w:val="231F1F"/>
          <w:spacing w:val="-10"/>
          <w:w w:val="105"/>
          <w:position w:val="4"/>
          <w:sz w:val="18"/>
        </w:rPr>
        <w:t>1- </w:t>
      </w:r>
      <w:r>
        <w:rPr>
          <w:color w:val="231F1F"/>
          <w:w w:val="105"/>
        </w:rPr>
        <w:t>tación de la secuencia. No encontró diferencias significativas en las variables estudiadas.</w:t>
      </w:r>
      <w:r>
        <w:rPr>
          <w:color w:val="231F1F"/>
          <w:spacing w:val="40"/>
          <w:w w:val="105"/>
        </w:rPr>
        <w:t> </w:t>
      </w:r>
      <w:r>
        <w:rPr>
          <w:color w:val="231F1F"/>
          <w:w w:val="105"/>
        </w:rPr>
        <w:t>El</w:t>
      </w:r>
      <w:r>
        <w:rPr>
          <w:color w:val="231F1F"/>
          <w:spacing w:val="40"/>
          <w:w w:val="105"/>
        </w:rPr>
        <w:t> </w:t>
      </w:r>
      <w:r>
        <w:rPr>
          <w:color w:val="231F1F"/>
          <w:w w:val="105"/>
        </w:rPr>
        <w:t>estudio</w:t>
      </w:r>
      <w:r>
        <w:rPr>
          <w:color w:val="231F1F"/>
          <w:spacing w:val="40"/>
          <w:w w:val="105"/>
        </w:rPr>
        <w:t> </w:t>
      </w:r>
      <w:r>
        <w:rPr>
          <w:color w:val="231F1F"/>
          <w:w w:val="105"/>
        </w:rPr>
        <w:t>concluye</w:t>
      </w:r>
      <w:r>
        <w:rPr>
          <w:color w:val="231F1F"/>
          <w:spacing w:val="40"/>
          <w:w w:val="105"/>
        </w:rPr>
        <w:t> </w:t>
      </w:r>
      <w:r>
        <w:rPr>
          <w:color w:val="231F1F"/>
          <w:w w:val="105"/>
        </w:rPr>
        <w:t>que</w:t>
      </w:r>
      <w:r>
        <w:rPr>
          <w:color w:val="231F1F"/>
          <w:spacing w:val="40"/>
          <w:w w:val="105"/>
        </w:rPr>
        <w:t> </w:t>
      </w:r>
      <w:r>
        <w:rPr>
          <w:color w:val="231F1F"/>
          <w:w w:val="105"/>
        </w:rPr>
        <w:t>dado</w:t>
      </w:r>
      <w:r>
        <w:rPr>
          <w:color w:val="231F1F"/>
          <w:spacing w:val="40"/>
          <w:w w:val="105"/>
        </w:rPr>
        <w:t> </w:t>
      </w:r>
      <w:r>
        <w:rPr>
          <w:color w:val="231F1F"/>
          <w:w w:val="105"/>
        </w:rPr>
        <w:t>que</w:t>
      </w:r>
      <w:r>
        <w:rPr>
          <w:color w:val="231F1F"/>
          <w:spacing w:val="40"/>
          <w:w w:val="105"/>
        </w:rPr>
        <w:t> </w:t>
      </w:r>
      <w:r>
        <w:rPr>
          <w:color w:val="231F1F"/>
          <w:w w:val="105"/>
        </w:rPr>
        <w:t>la</w:t>
      </w:r>
      <w:r>
        <w:rPr>
          <w:color w:val="231F1F"/>
          <w:spacing w:val="40"/>
          <w:w w:val="105"/>
        </w:rPr>
        <w:t> </w:t>
      </w:r>
      <w:r>
        <w:rPr>
          <w:color w:val="231F1F"/>
          <w:w w:val="105"/>
        </w:rPr>
        <w:t>mecánica</w:t>
      </w:r>
      <w:r>
        <w:rPr>
          <w:color w:val="231F1F"/>
          <w:spacing w:val="40"/>
          <w:w w:val="105"/>
        </w:rPr>
        <w:t> </w:t>
      </w:r>
      <w:r>
        <w:rPr>
          <w:color w:val="231F1F"/>
          <w:w w:val="105"/>
        </w:rPr>
        <w:t>respiratoria</w:t>
      </w:r>
      <w:r>
        <w:rPr>
          <w:color w:val="231F1F"/>
          <w:spacing w:val="40"/>
          <w:w w:val="105"/>
        </w:rPr>
        <w:t> </w:t>
      </w:r>
      <w:r>
        <w:rPr>
          <w:color w:val="231F1F"/>
          <w:w w:val="105"/>
        </w:rPr>
        <w:t>y</w:t>
      </w:r>
      <w:r>
        <w:rPr>
          <w:color w:val="231F1F"/>
          <w:spacing w:val="40"/>
          <w:w w:val="105"/>
        </w:rPr>
        <w:t> </w:t>
      </w:r>
      <w:r>
        <w:rPr>
          <w:color w:val="231F1F"/>
          <w:w w:val="105"/>
        </w:rPr>
        <w:t>la frecuencia cardiaca no se benefician de la aspiración oro-nasofaríngea, su uso</w:t>
      </w:r>
      <w:r>
        <w:rPr>
          <w:color w:val="231F1F"/>
          <w:spacing w:val="40"/>
          <w:w w:val="105"/>
        </w:rPr>
        <w:t> </w:t>
      </w:r>
      <w:r>
        <w:rPr>
          <w:color w:val="231F1F"/>
          <w:w w:val="105"/>
        </w:rPr>
        <w:t>rutinario debe ser limitado en RN sanos por vía vaginal.</w:t>
      </w:r>
    </w:p>
    <w:p>
      <w:pPr>
        <w:pStyle w:val="BodyText"/>
        <w:tabs>
          <w:tab w:pos="8045" w:val="left" w:leader="none"/>
          <w:tab w:pos="8125" w:val="left" w:leader="none"/>
        </w:tabs>
        <w:spacing w:line="256" w:lineRule="auto" w:before="104"/>
        <w:ind w:left="287" w:right="515" w:firstLine="550"/>
      </w:pPr>
      <w:r>
        <w:rPr>
          <w:color w:val="231F1F"/>
          <w:w w:val="105"/>
        </w:rPr>
        <w:t>El estudio publicado en 2005 por Gungor S. et al (246) realizado en Tur-</w:t>
      </w:r>
      <w:r>
        <w:rPr>
          <w:color w:val="231F1F"/>
        </w:rPr>
        <w:tab/>
      </w:r>
      <w:r>
        <w:rPr>
          <w:rFonts w:ascii="Arial MT" w:hAnsi="Arial MT"/>
          <w:color w:val="231F1F"/>
          <w:spacing w:val="-12"/>
          <w:w w:val="105"/>
          <w:sz w:val="18"/>
        </w:rPr>
        <w:t>ECA </w:t>
      </w:r>
      <w:r>
        <w:rPr>
          <w:color w:val="231F1F"/>
          <w:w w:val="105"/>
        </w:rPr>
        <w:t>quía, incluyó 140 RN con parto vaginal y líquido amniótico claro y se realiza-</w:t>
      </w:r>
      <w:r>
        <w:rPr>
          <w:color w:val="231F1F"/>
        </w:rPr>
        <w:tab/>
        <w:tab/>
      </w:r>
      <w:r>
        <w:rPr>
          <w:rFonts w:ascii="Arial MT" w:hAnsi="Arial MT"/>
          <w:color w:val="231F1F"/>
          <w:spacing w:val="-6"/>
          <w:w w:val="105"/>
          <w:position w:val="4"/>
          <w:sz w:val="18"/>
        </w:rPr>
        <w:t>1+ </w:t>
      </w:r>
      <w:r>
        <w:rPr>
          <w:color w:val="231F1F"/>
          <w:w w:val="105"/>
        </w:rPr>
        <w:t>ron</w:t>
      </w:r>
      <w:r>
        <w:rPr>
          <w:color w:val="231F1F"/>
          <w:spacing w:val="40"/>
          <w:w w:val="105"/>
        </w:rPr>
        <w:t> </w:t>
      </w:r>
      <w:r>
        <w:rPr>
          <w:color w:val="231F1F"/>
          <w:w w:val="105"/>
        </w:rPr>
        <w:t>dos</w:t>
      </w:r>
      <w:r>
        <w:rPr>
          <w:color w:val="231F1F"/>
          <w:spacing w:val="40"/>
          <w:w w:val="105"/>
        </w:rPr>
        <w:t> </w:t>
      </w:r>
      <w:r>
        <w:rPr>
          <w:color w:val="231F1F"/>
          <w:w w:val="105"/>
        </w:rPr>
        <w:t>grupos</w:t>
      </w:r>
      <w:r>
        <w:rPr>
          <w:color w:val="231F1F"/>
          <w:spacing w:val="40"/>
          <w:w w:val="105"/>
        </w:rPr>
        <w:t> </w:t>
      </w:r>
      <w:r>
        <w:rPr>
          <w:color w:val="231F1F"/>
          <w:w w:val="105"/>
        </w:rPr>
        <w:t>aleatorios</w:t>
      </w:r>
      <w:r>
        <w:rPr>
          <w:color w:val="231F1F"/>
          <w:spacing w:val="40"/>
          <w:w w:val="105"/>
        </w:rPr>
        <w:t> </w:t>
      </w:r>
      <w:r>
        <w:rPr>
          <w:color w:val="231F1F"/>
          <w:w w:val="105"/>
        </w:rPr>
        <w:t>de</w:t>
      </w:r>
      <w:r>
        <w:rPr>
          <w:color w:val="231F1F"/>
          <w:spacing w:val="40"/>
          <w:w w:val="105"/>
        </w:rPr>
        <w:t> </w:t>
      </w:r>
      <w:r>
        <w:rPr>
          <w:color w:val="231F1F"/>
          <w:w w:val="105"/>
        </w:rPr>
        <w:t>70</w:t>
      </w:r>
      <w:r>
        <w:rPr>
          <w:color w:val="231F1F"/>
          <w:spacing w:val="40"/>
          <w:w w:val="105"/>
        </w:rPr>
        <w:t> </w:t>
      </w:r>
      <w:r>
        <w:rPr>
          <w:color w:val="231F1F"/>
          <w:w w:val="105"/>
        </w:rPr>
        <w:t>RN</w:t>
      </w:r>
      <w:r>
        <w:rPr>
          <w:color w:val="231F1F"/>
          <w:spacing w:val="40"/>
          <w:w w:val="105"/>
        </w:rPr>
        <w:t> </w:t>
      </w:r>
      <w:r>
        <w:rPr>
          <w:color w:val="231F1F"/>
          <w:w w:val="105"/>
        </w:rPr>
        <w:t>en</w:t>
      </w:r>
      <w:r>
        <w:rPr>
          <w:color w:val="231F1F"/>
          <w:spacing w:val="40"/>
          <w:w w:val="105"/>
        </w:rPr>
        <w:t> </w:t>
      </w:r>
      <w:r>
        <w:rPr>
          <w:color w:val="231F1F"/>
          <w:w w:val="105"/>
        </w:rPr>
        <w:t>cada</w:t>
      </w:r>
      <w:r>
        <w:rPr>
          <w:color w:val="231F1F"/>
          <w:spacing w:val="40"/>
          <w:w w:val="105"/>
        </w:rPr>
        <w:t> </w:t>
      </w:r>
      <w:r>
        <w:rPr>
          <w:color w:val="231F1F"/>
          <w:w w:val="105"/>
        </w:rPr>
        <w:t>grupo</w:t>
      </w:r>
      <w:r>
        <w:rPr>
          <w:color w:val="231F1F"/>
          <w:spacing w:val="40"/>
          <w:w w:val="105"/>
        </w:rPr>
        <w:t> </w:t>
      </w:r>
      <w:r>
        <w:rPr>
          <w:color w:val="231F1F"/>
          <w:w w:val="105"/>
        </w:rPr>
        <w:t>(con</w:t>
      </w:r>
      <w:r>
        <w:rPr>
          <w:color w:val="231F1F"/>
          <w:spacing w:val="40"/>
          <w:w w:val="105"/>
        </w:rPr>
        <w:t> </w:t>
      </w:r>
      <w:r>
        <w:rPr>
          <w:color w:val="231F1F"/>
          <w:w w:val="105"/>
        </w:rPr>
        <w:t>aspiración</w:t>
      </w:r>
      <w:r>
        <w:rPr>
          <w:color w:val="231F1F"/>
          <w:spacing w:val="40"/>
          <w:w w:val="105"/>
        </w:rPr>
        <w:t> </w:t>
      </w:r>
      <w:r>
        <w:rPr>
          <w:color w:val="231F1F"/>
          <w:w w:val="105"/>
        </w:rPr>
        <w:t>de</w:t>
      </w:r>
      <w:r>
        <w:rPr>
          <w:color w:val="231F1F"/>
          <w:spacing w:val="40"/>
          <w:w w:val="105"/>
        </w:rPr>
        <w:t> </w:t>
      </w:r>
      <w:r>
        <w:rPr>
          <w:color w:val="231F1F"/>
          <w:w w:val="105"/>
        </w:rPr>
        <w:t>oro- nasofaringe</w:t>
      </w:r>
      <w:r>
        <w:rPr>
          <w:color w:val="231F1F"/>
          <w:spacing w:val="80"/>
          <w:w w:val="105"/>
        </w:rPr>
        <w:t> </w:t>
      </w:r>
      <w:r>
        <w:rPr>
          <w:color w:val="231F1F"/>
          <w:w w:val="105"/>
        </w:rPr>
        <w:t>y</w:t>
      </w:r>
      <w:r>
        <w:rPr>
          <w:color w:val="231F1F"/>
          <w:spacing w:val="80"/>
          <w:w w:val="105"/>
        </w:rPr>
        <w:t> </w:t>
      </w:r>
      <w:r>
        <w:rPr>
          <w:color w:val="231F1F"/>
          <w:w w:val="105"/>
        </w:rPr>
        <w:t>sin</w:t>
      </w:r>
      <w:r>
        <w:rPr>
          <w:color w:val="231F1F"/>
          <w:spacing w:val="80"/>
          <w:w w:val="105"/>
        </w:rPr>
        <w:t> </w:t>
      </w:r>
      <w:r>
        <w:rPr>
          <w:color w:val="231F1F"/>
          <w:w w:val="105"/>
        </w:rPr>
        <w:t>aspiración).</w:t>
      </w:r>
      <w:r>
        <w:rPr>
          <w:color w:val="231F1F"/>
          <w:spacing w:val="80"/>
          <w:w w:val="105"/>
        </w:rPr>
        <w:t> </w:t>
      </w:r>
      <w:r>
        <w:rPr>
          <w:color w:val="231F1F"/>
          <w:w w:val="105"/>
        </w:rPr>
        <w:t>Los</w:t>
      </w:r>
      <w:r>
        <w:rPr>
          <w:color w:val="231F1F"/>
          <w:spacing w:val="80"/>
          <w:w w:val="105"/>
        </w:rPr>
        <w:t> </w:t>
      </w:r>
      <w:r>
        <w:rPr>
          <w:color w:val="231F1F"/>
          <w:w w:val="105"/>
        </w:rPr>
        <w:t>resultados</w:t>
      </w:r>
      <w:r>
        <w:rPr>
          <w:color w:val="231F1F"/>
          <w:spacing w:val="80"/>
          <w:w w:val="105"/>
        </w:rPr>
        <w:t> </w:t>
      </w:r>
      <w:r>
        <w:rPr>
          <w:color w:val="231F1F"/>
          <w:w w:val="105"/>
        </w:rPr>
        <w:t>obtenidos</w:t>
      </w:r>
      <w:r>
        <w:rPr>
          <w:color w:val="231F1F"/>
          <w:spacing w:val="80"/>
          <w:w w:val="105"/>
        </w:rPr>
        <w:t> </w:t>
      </w:r>
      <w:r>
        <w:rPr>
          <w:color w:val="231F1F"/>
          <w:w w:val="105"/>
        </w:rPr>
        <w:t>mostraron</w:t>
      </w:r>
      <w:r>
        <w:rPr>
          <w:color w:val="231F1F"/>
          <w:spacing w:val="80"/>
          <w:w w:val="105"/>
        </w:rPr>
        <w:t> </w:t>
      </w:r>
      <w:r>
        <w:rPr>
          <w:color w:val="231F1F"/>
          <w:w w:val="105"/>
        </w:rPr>
        <w:t>una</w:t>
      </w:r>
    </w:p>
    <w:p>
      <w:pPr>
        <w:pStyle w:val="BodyText"/>
        <w:spacing w:line="252" w:lineRule="exact"/>
        <w:ind w:left="287"/>
      </w:pPr>
      <w:r>
        <w:rPr>
          <w:color w:val="231F1F"/>
          <w:w w:val="105"/>
        </w:rPr>
        <w:t>frecuencia</w:t>
      </w:r>
      <w:r>
        <w:rPr>
          <w:color w:val="231F1F"/>
          <w:spacing w:val="-6"/>
          <w:w w:val="105"/>
        </w:rPr>
        <w:t> </w:t>
      </w:r>
      <w:r>
        <w:rPr>
          <w:color w:val="231F1F"/>
          <w:w w:val="105"/>
        </w:rPr>
        <w:t>cardiaca</w:t>
      </w:r>
      <w:r>
        <w:rPr>
          <w:color w:val="231F1F"/>
          <w:spacing w:val="-5"/>
          <w:w w:val="105"/>
        </w:rPr>
        <w:t> </w:t>
      </w:r>
      <w:r>
        <w:rPr>
          <w:color w:val="231F1F"/>
          <w:w w:val="105"/>
        </w:rPr>
        <w:t>significativamente</w:t>
      </w:r>
      <w:r>
        <w:rPr>
          <w:color w:val="231F1F"/>
          <w:spacing w:val="-5"/>
          <w:w w:val="105"/>
        </w:rPr>
        <w:t> </w:t>
      </w:r>
      <w:r>
        <w:rPr>
          <w:color w:val="231F1F"/>
          <w:w w:val="105"/>
        </w:rPr>
        <w:t>menor</w:t>
      </w:r>
      <w:r>
        <w:rPr>
          <w:color w:val="231F1F"/>
          <w:spacing w:val="-6"/>
          <w:w w:val="105"/>
        </w:rPr>
        <w:t> </w:t>
      </w:r>
      <w:r>
        <w:rPr>
          <w:color w:val="231F1F"/>
          <w:w w:val="105"/>
        </w:rPr>
        <w:t>a</w:t>
      </w:r>
      <w:r>
        <w:rPr>
          <w:color w:val="231F1F"/>
          <w:spacing w:val="-5"/>
          <w:w w:val="105"/>
        </w:rPr>
        <w:t> </w:t>
      </w:r>
      <w:r>
        <w:rPr>
          <w:color w:val="231F1F"/>
          <w:w w:val="105"/>
        </w:rPr>
        <w:t>los</w:t>
      </w:r>
      <w:r>
        <w:rPr>
          <w:color w:val="231F1F"/>
          <w:spacing w:val="-6"/>
          <w:w w:val="105"/>
        </w:rPr>
        <w:t> </w:t>
      </w:r>
      <w:r>
        <w:rPr>
          <w:color w:val="231F1F"/>
          <w:w w:val="105"/>
        </w:rPr>
        <w:t>3-6</w:t>
      </w:r>
      <w:r>
        <w:rPr>
          <w:color w:val="231F1F"/>
          <w:spacing w:val="-5"/>
          <w:w w:val="105"/>
        </w:rPr>
        <w:t> </w:t>
      </w:r>
      <w:r>
        <w:rPr>
          <w:color w:val="231F1F"/>
          <w:w w:val="105"/>
        </w:rPr>
        <w:t>minutos</w:t>
      </w:r>
      <w:r>
        <w:rPr>
          <w:color w:val="231F1F"/>
          <w:spacing w:val="-5"/>
          <w:w w:val="105"/>
        </w:rPr>
        <w:t> </w:t>
      </w:r>
      <w:r>
        <w:rPr>
          <w:color w:val="231F1F"/>
          <w:w w:val="105"/>
        </w:rPr>
        <w:t>en</w:t>
      </w:r>
      <w:r>
        <w:rPr>
          <w:color w:val="231F1F"/>
          <w:spacing w:val="-5"/>
          <w:w w:val="105"/>
        </w:rPr>
        <w:t> </w:t>
      </w:r>
      <w:r>
        <w:rPr>
          <w:color w:val="231F1F"/>
          <w:w w:val="105"/>
        </w:rPr>
        <w:t>el</w:t>
      </w:r>
      <w:r>
        <w:rPr>
          <w:color w:val="231F1F"/>
          <w:spacing w:val="-6"/>
          <w:w w:val="105"/>
        </w:rPr>
        <w:t> </w:t>
      </w:r>
      <w:r>
        <w:rPr>
          <w:color w:val="231F1F"/>
          <w:w w:val="105"/>
        </w:rPr>
        <w:t>grupo</w:t>
      </w:r>
      <w:r>
        <w:rPr>
          <w:color w:val="231F1F"/>
          <w:spacing w:val="-5"/>
          <w:w w:val="105"/>
        </w:rPr>
        <w:t> de</w:t>
      </w:r>
    </w:p>
    <w:p>
      <w:pPr>
        <w:pStyle w:val="BodyText"/>
        <w:spacing w:line="232" w:lineRule="auto" w:before="45"/>
        <w:ind w:left="287" w:right="1366"/>
      </w:pPr>
      <w:r>
        <w:rPr>
          <w:color w:val="231F1F"/>
        </w:rPr>
        <w:t>no</w:t>
      </w:r>
      <w:r>
        <w:rPr>
          <w:color w:val="231F1F"/>
          <w:spacing w:val="30"/>
        </w:rPr>
        <w:t> </w:t>
      </w:r>
      <w:r>
        <w:rPr>
          <w:color w:val="231F1F"/>
        </w:rPr>
        <w:t>aspirados</w:t>
      </w:r>
      <w:r>
        <w:rPr>
          <w:color w:val="231F1F"/>
          <w:spacing w:val="30"/>
        </w:rPr>
        <w:t> </w:t>
      </w:r>
      <w:r>
        <w:rPr>
          <w:color w:val="231F1F"/>
        </w:rPr>
        <w:t>(p&lt;0,001).</w:t>
      </w:r>
      <w:r>
        <w:rPr>
          <w:color w:val="231F1F"/>
          <w:spacing w:val="30"/>
        </w:rPr>
        <w:t> </w:t>
      </w:r>
      <w:r>
        <w:rPr>
          <w:color w:val="231F1F"/>
        </w:rPr>
        <w:t>El</w:t>
      </w:r>
      <w:r>
        <w:rPr>
          <w:color w:val="231F1F"/>
          <w:spacing w:val="30"/>
        </w:rPr>
        <w:t> </w:t>
      </w:r>
      <w:r>
        <w:rPr>
          <w:color w:val="231F1F"/>
        </w:rPr>
        <w:t>tiempo</w:t>
      </w:r>
      <w:r>
        <w:rPr>
          <w:color w:val="231F1F"/>
          <w:spacing w:val="30"/>
        </w:rPr>
        <w:t> </w:t>
      </w:r>
      <w:r>
        <w:rPr>
          <w:color w:val="231F1F"/>
        </w:rPr>
        <w:t>máximo</w:t>
      </w:r>
      <w:r>
        <w:rPr>
          <w:color w:val="231F1F"/>
          <w:spacing w:val="30"/>
        </w:rPr>
        <w:t> </w:t>
      </w:r>
      <w:r>
        <w:rPr>
          <w:color w:val="231F1F"/>
        </w:rPr>
        <w:t>para</w:t>
      </w:r>
      <w:r>
        <w:rPr>
          <w:color w:val="231F1F"/>
          <w:spacing w:val="30"/>
        </w:rPr>
        <w:t> </w:t>
      </w:r>
      <w:r>
        <w:rPr>
          <w:color w:val="231F1F"/>
        </w:rPr>
        <w:t>obtener</w:t>
      </w:r>
      <w:r>
        <w:rPr>
          <w:color w:val="231F1F"/>
          <w:spacing w:val="30"/>
        </w:rPr>
        <w:t> </w:t>
      </w:r>
      <w:r>
        <w:rPr>
          <w:color w:val="231F1F"/>
        </w:rPr>
        <w:t>niveles</w:t>
      </w:r>
      <w:r>
        <w:rPr>
          <w:color w:val="231F1F"/>
          <w:spacing w:val="30"/>
        </w:rPr>
        <w:t> </w:t>
      </w:r>
      <w:r>
        <w:rPr>
          <w:color w:val="231F1F"/>
        </w:rPr>
        <w:t>de</w:t>
      </w:r>
      <w:r>
        <w:rPr>
          <w:color w:val="231F1F"/>
          <w:spacing w:val="30"/>
        </w:rPr>
        <w:t> </w:t>
      </w:r>
      <w:r>
        <w:rPr>
          <w:color w:val="231F1F"/>
        </w:rPr>
        <w:t>SaO</w:t>
      </w:r>
      <w:r>
        <w:rPr>
          <w:color w:val="231F1F"/>
          <w:position w:val="-4"/>
          <w:sz w:val="12"/>
        </w:rPr>
        <w:t>2</w:t>
      </w:r>
      <w:r>
        <w:rPr>
          <w:color w:val="231F1F"/>
        </w:rPr>
        <w:t>&gt;92% fue</w:t>
      </w:r>
      <w:r>
        <w:rPr>
          <w:color w:val="231F1F"/>
          <w:spacing w:val="40"/>
        </w:rPr>
        <w:t> </w:t>
      </w:r>
      <w:r>
        <w:rPr>
          <w:color w:val="231F1F"/>
        </w:rPr>
        <w:t>de</w:t>
      </w:r>
      <w:r>
        <w:rPr>
          <w:color w:val="231F1F"/>
          <w:spacing w:val="40"/>
        </w:rPr>
        <w:t> </w:t>
      </w:r>
      <w:r>
        <w:rPr>
          <w:color w:val="231F1F"/>
        </w:rPr>
        <w:t>6</w:t>
      </w:r>
      <w:r>
        <w:rPr>
          <w:color w:val="231F1F"/>
          <w:spacing w:val="40"/>
        </w:rPr>
        <w:t> </w:t>
      </w:r>
      <w:r>
        <w:rPr>
          <w:color w:val="231F1F"/>
        </w:rPr>
        <w:t>y</w:t>
      </w:r>
      <w:r>
        <w:rPr>
          <w:color w:val="231F1F"/>
          <w:spacing w:val="40"/>
        </w:rPr>
        <w:t> </w:t>
      </w:r>
      <w:r>
        <w:rPr>
          <w:color w:val="231F1F"/>
        </w:rPr>
        <w:t>11</w:t>
      </w:r>
      <w:r>
        <w:rPr>
          <w:color w:val="231F1F"/>
          <w:spacing w:val="40"/>
        </w:rPr>
        <w:t> </w:t>
      </w:r>
      <w:r>
        <w:rPr>
          <w:color w:val="231F1F"/>
        </w:rPr>
        <w:t>minutos</w:t>
      </w:r>
      <w:r>
        <w:rPr>
          <w:color w:val="231F1F"/>
          <w:spacing w:val="40"/>
        </w:rPr>
        <w:t> </w:t>
      </w:r>
      <w:r>
        <w:rPr>
          <w:color w:val="231F1F"/>
        </w:rPr>
        <w:t>(no</w:t>
      </w:r>
      <w:r>
        <w:rPr>
          <w:color w:val="231F1F"/>
          <w:spacing w:val="40"/>
        </w:rPr>
        <w:t> </w:t>
      </w:r>
      <w:r>
        <w:rPr>
          <w:color w:val="231F1F"/>
        </w:rPr>
        <w:t>aspirados</w:t>
      </w:r>
      <w:r>
        <w:rPr>
          <w:color w:val="231F1F"/>
          <w:spacing w:val="40"/>
        </w:rPr>
        <w:t> </w:t>
      </w:r>
      <w:r>
        <w:rPr>
          <w:color w:val="231F1F"/>
        </w:rPr>
        <w:t>y</w:t>
      </w:r>
      <w:r>
        <w:rPr>
          <w:color w:val="231F1F"/>
          <w:spacing w:val="40"/>
        </w:rPr>
        <w:t> </w:t>
      </w:r>
      <w:r>
        <w:rPr>
          <w:color w:val="231F1F"/>
        </w:rPr>
        <w:t>aspirados)</w:t>
      </w:r>
      <w:r>
        <w:rPr>
          <w:color w:val="231F1F"/>
          <w:spacing w:val="40"/>
        </w:rPr>
        <w:t> </w:t>
      </w:r>
      <w:r>
        <w:rPr>
          <w:color w:val="231F1F"/>
        </w:rPr>
        <w:t>respectivamente</w:t>
      </w:r>
      <w:r>
        <w:rPr>
          <w:color w:val="231F1F"/>
          <w:spacing w:val="40"/>
        </w:rPr>
        <w:t> </w:t>
      </w:r>
      <w:r>
        <w:rPr>
          <w:color w:val="231F1F"/>
        </w:rPr>
        <w:t>(p&lt;0,001). El</w:t>
      </w:r>
      <w:r>
        <w:rPr>
          <w:color w:val="231F1F"/>
          <w:spacing w:val="50"/>
        </w:rPr>
        <w:t> </w:t>
      </w:r>
      <w:r>
        <w:rPr>
          <w:color w:val="231F1F"/>
        </w:rPr>
        <w:t>Apgar</w:t>
      </w:r>
      <w:r>
        <w:rPr>
          <w:color w:val="231F1F"/>
          <w:spacing w:val="51"/>
        </w:rPr>
        <w:t> </w:t>
      </w:r>
      <w:r>
        <w:rPr>
          <w:color w:val="231F1F"/>
        </w:rPr>
        <w:t>al</w:t>
      </w:r>
      <w:r>
        <w:rPr>
          <w:color w:val="231F1F"/>
          <w:spacing w:val="51"/>
        </w:rPr>
        <w:t> </w:t>
      </w:r>
      <w:r>
        <w:rPr>
          <w:color w:val="231F1F"/>
        </w:rPr>
        <w:t>minuto</w:t>
      </w:r>
      <w:r>
        <w:rPr>
          <w:color w:val="231F1F"/>
          <w:spacing w:val="52"/>
        </w:rPr>
        <w:t> </w:t>
      </w:r>
      <w:r>
        <w:rPr>
          <w:color w:val="231F1F"/>
        </w:rPr>
        <w:t>alcanzó</w:t>
      </w:r>
      <w:r>
        <w:rPr>
          <w:color w:val="231F1F"/>
          <w:spacing w:val="52"/>
        </w:rPr>
        <w:t> </w:t>
      </w:r>
      <w:r>
        <w:rPr>
          <w:color w:val="231F1F"/>
        </w:rPr>
        <w:t>una</w:t>
      </w:r>
      <w:r>
        <w:rPr>
          <w:color w:val="231F1F"/>
          <w:spacing w:val="51"/>
        </w:rPr>
        <w:t> </w:t>
      </w:r>
      <w:r>
        <w:rPr>
          <w:color w:val="231F1F"/>
        </w:rPr>
        <w:t>puntuación</w:t>
      </w:r>
      <w:r>
        <w:rPr>
          <w:color w:val="231F1F"/>
          <w:spacing w:val="51"/>
        </w:rPr>
        <w:t> </w:t>
      </w:r>
      <w:r>
        <w:rPr>
          <w:color w:val="231F1F"/>
        </w:rPr>
        <w:t>en</w:t>
      </w:r>
      <w:r>
        <w:rPr>
          <w:color w:val="231F1F"/>
          <w:spacing w:val="52"/>
        </w:rPr>
        <w:t> </w:t>
      </w:r>
      <w:r>
        <w:rPr>
          <w:color w:val="231F1F"/>
        </w:rPr>
        <w:t>cualquiera</w:t>
      </w:r>
      <w:r>
        <w:rPr>
          <w:color w:val="231F1F"/>
          <w:spacing w:val="52"/>
        </w:rPr>
        <w:t> </w:t>
      </w:r>
      <w:r>
        <w:rPr>
          <w:color w:val="231F1F"/>
        </w:rPr>
        <w:t>de</w:t>
      </w:r>
      <w:r>
        <w:rPr>
          <w:color w:val="231F1F"/>
          <w:spacing w:val="52"/>
        </w:rPr>
        <w:t> </w:t>
      </w:r>
      <w:r>
        <w:rPr>
          <w:color w:val="231F1F"/>
        </w:rPr>
        <w:t>los</w:t>
      </w:r>
      <w:r>
        <w:rPr>
          <w:color w:val="231F1F"/>
          <w:spacing w:val="52"/>
        </w:rPr>
        <w:t> </w:t>
      </w:r>
      <w:r>
        <w:rPr>
          <w:color w:val="231F1F"/>
        </w:rPr>
        <w:t>grupos</w:t>
      </w:r>
      <w:r>
        <w:rPr>
          <w:color w:val="231F1F"/>
          <w:spacing w:val="52"/>
        </w:rPr>
        <w:t> </w:t>
      </w:r>
      <w:r>
        <w:rPr>
          <w:color w:val="231F1F"/>
          <w:spacing w:val="-5"/>
        </w:rPr>
        <w:t>de</w:t>
      </w:r>
    </w:p>
    <w:p>
      <w:pPr>
        <w:pStyle w:val="BodyText"/>
        <w:spacing w:line="249" w:lineRule="auto" w:before="17"/>
        <w:ind w:left="287" w:right="1397"/>
        <w:jc w:val="both"/>
      </w:pPr>
      <w:r>
        <w:rPr>
          <w:color w:val="231F1F"/>
          <w:w w:val="105"/>
        </w:rPr>
        <w:t>8-9,</w:t>
      </w:r>
      <w:r>
        <w:rPr>
          <w:color w:val="231F1F"/>
          <w:spacing w:val="-1"/>
          <w:w w:val="105"/>
        </w:rPr>
        <w:t> </w:t>
      </w:r>
      <w:r>
        <w:rPr>
          <w:color w:val="231F1F"/>
          <w:w w:val="105"/>
        </w:rPr>
        <w:t>mientras que</w:t>
      </w:r>
      <w:r>
        <w:rPr>
          <w:color w:val="231F1F"/>
          <w:spacing w:val="-1"/>
          <w:w w:val="105"/>
        </w:rPr>
        <w:t> </w:t>
      </w:r>
      <w:r>
        <w:rPr>
          <w:color w:val="231F1F"/>
          <w:w w:val="105"/>
        </w:rPr>
        <w:t>el</w:t>
      </w:r>
      <w:r>
        <w:rPr>
          <w:color w:val="231F1F"/>
          <w:spacing w:val="-1"/>
          <w:w w:val="105"/>
        </w:rPr>
        <w:t> </w:t>
      </w:r>
      <w:r>
        <w:rPr>
          <w:color w:val="231F1F"/>
          <w:w w:val="105"/>
        </w:rPr>
        <w:t>Apgar</w:t>
      </w:r>
      <w:r>
        <w:rPr>
          <w:color w:val="231F1F"/>
          <w:spacing w:val="-1"/>
          <w:w w:val="105"/>
        </w:rPr>
        <w:t> </w:t>
      </w:r>
      <w:r>
        <w:rPr>
          <w:color w:val="231F1F"/>
          <w:w w:val="105"/>
        </w:rPr>
        <w:t>a</w:t>
      </w:r>
      <w:r>
        <w:rPr>
          <w:color w:val="231F1F"/>
          <w:spacing w:val="-1"/>
          <w:w w:val="105"/>
        </w:rPr>
        <w:t> </w:t>
      </w:r>
      <w:r>
        <w:rPr>
          <w:color w:val="231F1F"/>
          <w:w w:val="105"/>
        </w:rPr>
        <w:t>los</w:t>
      </w:r>
      <w:r>
        <w:rPr>
          <w:color w:val="231F1F"/>
          <w:spacing w:val="-1"/>
          <w:w w:val="105"/>
        </w:rPr>
        <w:t> </w:t>
      </w:r>
      <w:r>
        <w:rPr>
          <w:color w:val="231F1F"/>
          <w:w w:val="105"/>
        </w:rPr>
        <w:t>5 minutos en RN aspirados no</w:t>
      </w:r>
      <w:r>
        <w:rPr>
          <w:color w:val="231F1F"/>
          <w:spacing w:val="-1"/>
          <w:w w:val="105"/>
        </w:rPr>
        <w:t> </w:t>
      </w:r>
      <w:r>
        <w:rPr>
          <w:color w:val="231F1F"/>
          <w:w w:val="105"/>
        </w:rPr>
        <w:t>llegó a la pun- tuación 10. Los autores concluyen recomendando revisar la política de aspi- ración rutinaria de oro-nasofaringe en RN sanos.</w:t>
      </w:r>
    </w:p>
    <w:p>
      <w:pPr>
        <w:pStyle w:val="BodyText"/>
        <w:spacing w:after="0" w:line="249" w:lineRule="auto"/>
        <w:jc w:val="both"/>
        <w:sectPr>
          <w:pgSz w:w="11900" w:h="16840"/>
          <w:pgMar w:header="0" w:footer="622" w:top="1560" w:bottom="820" w:left="1417" w:right="1559"/>
        </w:sectPr>
      </w:pPr>
    </w:p>
    <w:p>
      <w:pPr>
        <w:pStyle w:val="BodyText"/>
        <w:spacing w:line="244" w:lineRule="auto" w:before="62"/>
        <w:ind w:left="283" w:right="1366" w:firstLine="453"/>
        <w:jc w:val="both"/>
      </w:pPr>
      <w:r>
        <w:rPr>
          <w:color w:val="231F1F"/>
          <w:w w:val="105"/>
        </w:rPr>
        <w:t>Ambos estudios llegan a la misma conclusión: no es necesario realizar el aspirado</w:t>
      </w:r>
      <w:r>
        <w:rPr>
          <w:color w:val="231F1F"/>
          <w:w w:val="105"/>
        </w:rPr>
        <w:t> nasofaríngeo</w:t>
      </w:r>
      <w:r>
        <w:rPr>
          <w:color w:val="231F1F"/>
          <w:w w:val="105"/>
        </w:rPr>
        <w:t> en</w:t>
      </w:r>
      <w:r>
        <w:rPr>
          <w:color w:val="231F1F"/>
          <w:w w:val="105"/>
        </w:rPr>
        <w:t> RN</w:t>
      </w:r>
      <w:r>
        <w:rPr>
          <w:color w:val="231F1F"/>
          <w:w w:val="105"/>
        </w:rPr>
        <w:t> sanos</w:t>
      </w:r>
      <w:r>
        <w:rPr>
          <w:color w:val="231F1F"/>
          <w:w w:val="105"/>
        </w:rPr>
        <w:t> de</w:t>
      </w:r>
      <w:r>
        <w:rPr>
          <w:color w:val="231F1F"/>
          <w:w w:val="105"/>
        </w:rPr>
        <w:t> parto</w:t>
      </w:r>
      <w:r>
        <w:rPr>
          <w:color w:val="231F1F"/>
          <w:w w:val="105"/>
        </w:rPr>
        <w:t> vaginal.</w:t>
      </w:r>
      <w:r>
        <w:rPr>
          <w:color w:val="231F1F"/>
          <w:w w:val="105"/>
        </w:rPr>
        <w:t> Ante</w:t>
      </w:r>
      <w:r>
        <w:rPr>
          <w:color w:val="231F1F"/>
          <w:w w:val="105"/>
        </w:rPr>
        <w:t> esta</w:t>
      </w:r>
      <w:r>
        <w:rPr>
          <w:color w:val="231F1F"/>
          <w:w w:val="105"/>
        </w:rPr>
        <w:t> evidencia</w:t>
      </w:r>
      <w:r>
        <w:rPr>
          <w:color w:val="231F1F"/>
          <w:w w:val="105"/>
        </w:rPr>
        <w:t> el GEG</w:t>
      </w:r>
      <w:r>
        <w:rPr>
          <w:color w:val="231F1F"/>
          <w:spacing w:val="40"/>
          <w:w w:val="105"/>
        </w:rPr>
        <w:t> </w:t>
      </w:r>
      <w:r>
        <w:rPr>
          <w:color w:val="231F1F"/>
          <w:w w:val="105"/>
        </w:rPr>
        <w:t>considera</w:t>
      </w:r>
      <w:r>
        <w:rPr>
          <w:color w:val="231F1F"/>
          <w:spacing w:val="40"/>
          <w:w w:val="105"/>
        </w:rPr>
        <w:t> </w:t>
      </w:r>
      <w:r>
        <w:rPr>
          <w:color w:val="231F1F"/>
          <w:w w:val="105"/>
        </w:rPr>
        <w:t>adecuado</w:t>
      </w:r>
      <w:r>
        <w:rPr>
          <w:color w:val="231F1F"/>
          <w:spacing w:val="40"/>
          <w:w w:val="105"/>
        </w:rPr>
        <w:t> </w:t>
      </w:r>
      <w:r>
        <w:rPr>
          <w:color w:val="231F1F"/>
          <w:w w:val="105"/>
        </w:rPr>
        <w:t>no</w:t>
      </w:r>
      <w:r>
        <w:rPr>
          <w:color w:val="231F1F"/>
          <w:spacing w:val="40"/>
          <w:w w:val="105"/>
        </w:rPr>
        <w:t> </w:t>
      </w:r>
      <w:r>
        <w:rPr>
          <w:color w:val="231F1F"/>
          <w:w w:val="105"/>
        </w:rPr>
        <w:t>recomendar</w:t>
      </w:r>
      <w:r>
        <w:rPr>
          <w:color w:val="231F1F"/>
          <w:spacing w:val="40"/>
          <w:w w:val="105"/>
        </w:rPr>
        <w:t> </w:t>
      </w:r>
      <w:r>
        <w:rPr>
          <w:color w:val="231F1F"/>
          <w:w w:val="105"/>
        </w:rPr>
        <w:t>la</w:t>
      </w:r>
      <w:r>
        <w:rPr>
          <w:color w:val="231F1F"/>
          <w:spacing w:val="40"/>
          <w:w w:val="105"/>
        </w:rPr>
        <w:t> </w:t>
      </w:r>
      <w:r>
        <w:rPr>
          <w:color w:val="231F1F"/>
          <w:w w:val="105"/>
        </w:rPr>
        <w:t>aspiración</w:t>
      </w:r>
      <w:r>
        <w:rPr>
          <w:color w:val="231F1F"/>
          <w:spacing w:val="40"/>
          <w:w w:val="105"/>
        </w:rPr>
        <w:t> </w:t>
      </w:r>
      <w:r>
        <w:rPr>
          <w:color w:val="231F1F"/>
          <w:w w:val="105"/>
        </w:rPr>
        <w:t>oro-nasofaríngea.</w:t>
      </w:r>
    </w:p>
    <w:p>
      <w:pPr>
        <w:pStyle w:val="BodyText"/>
        <w:spacing w:line="247" w:lineRule="auto" w:before="148"/>
        <w:ind w:left="283" w:right="1367" w:firstLine="453"/>
        <w:jc w:val="both"/>
      </w:pPr>
      <w:r>
        <w:rPr>
          <w:color w:val="231F1F"/>
          <w:w w:val="110"/>
        </w:rPr>
        <w:t>No</w:t>
      </w:r>
      <w:r>
        <w:rPr>
          <w:color w:val="231F1F"/>
          <w:spacing w:val="-16"/>
          <w:w w:val="110"/>
        </w:rPr>
        <w:t> </w:t>
      </w:r>
      <w:r>
        <w:rPr>
          <w:color w:val="231F1F"/>
          <w:w w:val="110"/>
        </w:rPr>
        <w:t>existe</w:t>
      </w:r>
      <w:r>
        <w:rPr>
          <w:color w:val="231F1F"/>
          <w:spacing w:val="-15"/>
          <w:w w:val="110"/>
        </w:rPr>
        <w:t> </w:t>
      </w:r>
      <w:r>
        <w:rPr>
          <w:color w:val="231F1F"/>
          <w:w w:val="110"/>
        </w:rPr>
        <w:t>evidencia</w:t>
      </w:r>
      <w:r>
        <w:rPr>
          <w:color w:val="231F1F"/>
          <w:spacing w:val="-15"/>
          <w:w w:val="110"/>
        </w:rPr>
        <w:t> </w:t>
      </w:r>
      <w:r>
        <w:rPr>
          <w:color w:val="231F1F"/>
          <w:w w:val="110"/>
        </w:rPr>
        <w:t>en</w:t>
      </w:r>
      <w:r>
        <w:rPr>
          <w:color w:val="231F1F"/>
          <w:spacing w:val="-15"/>
          <w:w w:val="110"/>
        </w:rPr>
        <w:t> </w:t>
      </w:r>
      <w:r>
        <w:rPr>
          <w:color w:val="231F1F"/>
          <w:w w:val="110"/>
        </w:rPr>
        <w:t>relación</w:t>
      </w:r>
      <w:r>
        <w:rPr>
          <w:color w:val="231F1F"/>
          <w:spacing w:val="-15"/>
          <w:w w:val="110"/>
        </w:rPr>
        <w:t> </w:t>
      </w:r>
      <w:r>
        <w:rPr>
          <w:color w:val="231F1F"/>
          <w:w w:val="110"/>
        </w:rPr>
        <w:t>al</w:t>
      </w:r>
      <w:r>
        <w:rPr>
          <w:color w:val="231F1F"/>
          <w:spacing w:val="-15"/>
          <w:w w:val="110"/>
        </w:rPr>
        <w:t> </w:t>
      </w:r>
      <w:r>
        <w:rPr>
          <w:color w:val="231F1F"/>
          <w:w w:val="110"/>
        </w:rPr>
        <w:t>paso</w:t>
      </w:r>
      <w:r>
        <w:rPr>
          <w:color w:val="231F1F"/>
          <w:spacing w:val="-15"/>
          <w:w w:val="110"/>
        </w:rPr>
        <w:t> </w:t>
      </w:r>
      <w:r>
        <w:rPr>
          <w:color w:val="231F1F"/>
          <w:w w:val="110"/>
        </w:rPr>
        <w:t>de</w:t>
      </w:r>
      <w:r>
        <w:rPr>
          <w:color w:val="231F1F"/>
          <w:spacing w:val="-15"/>
          <w:w w:val="110"/>
        </w:rPr>
        <w:t> </w:t>
      </w:r>
      <w:r>
        <w:rPr>
          <w:color w:val="231F1F"/>
          <w:w w:val="110"/>
        </w:rPr>
        <w:t>sondas</w:t>
      </w:r>
      <w:r>
        <w:rPr>
          <w:color w:val="231F1F"/>
          <w:spacing w:val="-15"/>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diagnóstico</w:t>
      </w:r>
      <w:r>
        <w:rPr>
          <w:color w:val="231F1F"/>
          <w:spacing w:val="-15"/>
          <w:w w:val="110"/>
        </w:rPr>
        <w:t> </w:t>
      </w:r>
      <w:r>
        <w:rPr>
          <w:color w:val="231F1F"/>
          <w:w w:val="110"/>
        </w:rPr>
        <w:t>de atresia</w:t>
      </w:r>
      <w:r>
        <w:rPr>
          <w:color w:val="231F1F"/>
          <w:spacing w:val="-5"/>
          <w:w w:val="110"/>
        </w:rPr>
        <w:t> </w:t>
      </w:r>
      <w:r>
        <w:rPr>
          <w:color w:val="231F1F"/>
          <w:w w:val="110"/>
        </w:rPr>
        <w:t>esofágica.</w:t>
      </w:r>
      <w:r>
        <w:rPr>
          <w:color w:val="231F1F"/>
          <w:spacing w:val="-5"/>
          <w:w w:val="110"/>
        </w:rPr>
        <w:t> </w:t>
      </w:r>
      <w:r>
        <w:rPr>
          <w:color w:val="231F1F"/>
          <w:w w:val="110"/>
        </w:rPr>
        <w:t>El</w:t>
      </w:r>
      <w:r>
        <w:rPr>
          <w:color w:val="231F1F"/>
          <w:spacing w:val="-6"/>
          <w:w w:val="110"/>
        </w:rPr>
        <w:t> </w:t>
      </w:r>
      <w:r>
        <w:rPr>
          <w:color w:val="231F1F"/>
          <w:w w:val="110"/>
        </w:rPr>
        <w:t>GEG</w:t>
      </w:r>
      <w:r>
        <w:rPr>
          <w:color w:val="231F1F"/>
          <w:spacing w:val="-4"/>
          <w:w w:val="110"/>
        </w:rPr>
        <w:t> </w:t>
      </w:r>
      <w:r>
        <w:rPr>
          <w:color w:val="231F1F"/>
          <w:w w:val="110"/>
        </w:rPr>
        <w:t>considera</w:t>
      </w:r>
      <w:r>
        <w:rPr>
          <w:color w:val="231F1F"/>
          <w:spacing w:val="-4"/>
          <w:w w:val="110"/>
        </w:rPr>
        <w:t> </w:t>
      </w:r>
      <w:r>
        <w:rPr>
          <w:color w:val="231F1F"/>
          <w:w w:val="110"/>
        </w:rPr>
        <w:t>que</w:t>
      </w:r>
      <w:r>
        <w:rPr>
          <w:color w:val="231F1F"/>
          <w:spacing w:val="-5"/>
          <w:w w:val="110"/>
        </w:rPr>
        <w:t> </w:t>
      </w:r>
      <w:r>
        <w:rPr>
          <w:color w:val="231F1F"/>
          <w:w w:val="110"/>
        </w:rPr>
        <w:t>existen</w:t>
      </w:r>
      <w:r>
        <w:rPr>
          <w:color w:val="231F1F"/>
          <w:spacing w:val="-5"/>
          <w:w w:val="110"/>
        </w:rPr>
        <w:t> </w:t>
      </w:r>
      <w:r>
        <w:rPr>
          <w:color w:val="231F1F"/>
          <w:w w:val="110"/>
        </w:rPr>
        <w:t>otros</w:t>
      </w:r>
      <w:r>
        <w:rPr>
          <w:color w:val="231F1F"/>
          <w:spacing w:val="-6"/>
          <w:w w:val="110"/>
        </w:rPr>
        <w:t> </w:t>
      </w:r>
      <w:r>
        <w:rPr>
          <w:color w:val="231F1F"/>
          <w:w w:val="110"/>
        </w:rPr>
        <w:t>signos</w:t>
      </w:r>
      <w:r>
        <w:rPr>
          <w:color w:val="231F1F"/>
          <w:spacing w:val="-6"/>
          <w:w w:val="110"/>
        </w:rPr>
        <w:t> </w:t>
      </w:r>
      <w:r>
        <w:rPr>
          <w:color w:val="231F1F"/>
          <w:w w:val="110"/>
        </w:rPr>
        <w:t>de</w:t>
      </w:r>
      <w:r>
        <w:rPr>
          <w:color w:val="231F1F"/>
          <w:spacing w:val="-5"/>
          <w:w w:val="110"/>
        </w:rPr>
        <w:t> </w:t>
      </w:r>
      <w:r>
        <w:rPr>
          <w:color w:val="231F1F"/>
          <w:w w:val="110"/>
        </w:rPr>
        <w:t>alarma</w:t>
      </w:r>
      <w:r>
        <w:rPr>
          <w:color w:val="231F1F"/>
          <w:spacing w:val="-6"/>
          <w:w w:val="110"/>
        </w:rPr>
        <w:t> </w:t>
      </w:r>
      <w:r>
        <w:rPr>
          <w:color w:val="231F1F"/>
          <w:w w:val="110"/>
        </w:rPr>
        <w:t>que permiten</w:t>
      </w:r>
      <w:r>
        <w:rPr>
          <w:color w:val="231F1F"/>
          <w:spacing w:val="-8"/>
          <w:w w:val="110"/>
        </w:rPr>
        <w:t> </w:t>
      </w:r>
      <w:r>
        <w:rPr>
          <w:color w:val="231F1F"/>
          <w:w w:val="110"/>
        </w:rPr>
        <w:t>sospechar</w:t>
      </w:r>
      <w:r>
        <w:rPr>
          <w:color w:val="231F1F"/>
          <w:spacing w:val="-9"/>
          <w:w w:val="110"/>
        </w:rPr>
        <w:t> </w:t>
      </w:r>
      <w:r>
        <w:rPr>
          <w:color w:val="231F1F"/>
          <w:w w:val="110"/>
        </w:rPr>
        <w:t>una</w:t>
      </w:r>
      <w:r>
        <w:rPr>
          <w:color w:val="231F1F"/>
          <w:spacing w:val="-9"/>
          <w:w w:val="110"/>
        </w:rPr>
        <w:t> </w:t>
      </w:r>
      <w:r>
        <w:rPr>
          <w:color w:val="231F1F"/>
          <w:w w:val="110"/>
        </w:rPr>
        <w:t>atresia</w:t>
      </w:r>
      <w:r>
        <w:rPr>
          <w:color w:val="231F1F"/>
          <w:spacing w:val="-8"/>
          <w:w w:val="110"/>
        </w:rPr>
        <w:t> </w:t>
      </w:r>
      <w:r>
        <w:rPr>
          <w:color w:val="231F1F"/>
          <w:w w:val="110"/>
        </w:rPr>
        <w:t>de</w:t>
      </w:r>
      <w:r>
        <w:rPr>
          <w:color w:val="231F1F"/>
          <w:spacing w:val="-9"/>
          <w:w w:val="110"/>
        </w:rPr>
        <w:t> </w:t>
      </w:r>
      <w:r>
        <w:rPr>
          <w:color w:val="231F1F"/>
          <w:w w:val="110"/>
        </w:rPr>
        <w:t>esófago</w:t>
      </w:r>
      <w:r>
        <w:rPr>
          <w:color w:val="231F1F"/>
          <w:spacing w:val="-8"/>
          <w:w w:val="110"/>
        </w:rPr>
        <w:t> </w:t>
      </w:r>
      <w:r>
        <w:rPr>
          <w:color w:val="231F1F"/>
          <w:w w:val="110"/>
        </w:rPr>
        <w:t>y</w:t>
      </w:r>
      <w:r>
        <w:rPr>
          <w:color w:val="231F1F"/>
          <w:spacing w:val="-8"/>
          <w:w w:val="110"/>
        </w:rPr>
        <w:t> </w:t>
      </w:r>
      <w:r>
        <w:rPr>
          <w:color w:val="231F1F"/>
          <w:w w:val="110"/>
        </w:rPr>
        <w:t>está</w:t>
      </w:r>
      <w:r>
        <w:rPr>
          <w:color w:val="231F1F"/>
          <w:spacing w:val="-8"/>
          <w:w w:val="110"/>
        </w:rPr>
        <w:t> </w:t>
      </w:r>
      <w:r>
        <w:rPr>
          <w:color w:val="231F1F"/>
          <w:w w:val="110"/>
        </w:rPr>
        <w:t>de</w:t>
      </w:r>
      <w:r>
        <w:rPr>
          <w:color w:val="231F1F"/>
          <w:spacing w:val="-9"/>
          <w:w w:val="110"/>
        </w:rPr>
        <w:t> </w:t>
      </w:r>
      <w:r>
        <w:rPr>
          <w:color w:val="231F1F"/>
          <w:w w:val="110"/>
        </w:rPr>
        <w:t>acuerdo</w:t>
      </w:r>
      <w:r>
        <w:rPr>
          <w:color w:val="231F1F"/>
          <w:spacing w:val="-8"/>
          <w:w w:val="110"/>
        </w:rPr>
        <w:t> </w:t>
      </w:r>
      <w:r>
        <w:rPr>
          <w:color w:val="231F1F"/>
          <w:w w:val="110"/>
        </w:rPr>
        <w:t>con</w:t>
      </w:r>
      <w:r>
        <w:rPr>
          <w:color w:val="231F1F"/>
          <w:spacing w:val="-8"/>
          <w:w w:val="110"/>
        </w:rPr>
        <w:t> </w:t>
      </w:r>
      <w:r>
        <w:rPr>
          <w:color w:val="231F1F"/>
          <w:w w:val="110"/>
        </w:rPr>
        <w:t>las</w:t>
      </w:r>
      <w:r>
        <w:rPr>
          <w:color w:val="231F1F"/>
          <w:spacing w:val="-9"/>
          <w:w w:val="110"/>
        </w:rPr>
        <w:t> </w:t>
      </w:r>
      <w:r>
        <w:rPr>
          <w:color w:val="231F1F"/>
          <w:w w:val="110"/>
        </w:rPr>
        <w:t>últimas recomendaciones</w:t>
      </w:r>
      <w:r>
        <w:rPr>
          <w:color w:val="231F1F"/>
          <w:spacing w:val="-11"/>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Asociación</w:t>
      </w:r>
      <w:r>
        <w:rPr>
          <w:color w:val="231F1F"/>
          <w:spacing w:val="-10"/>
          <w:w w:val="110"/>
        </w:rPr>
        <w:t> </w:t>
      </w:r>
      <w:r>
        <w:rPr>
          <w:color w:val="231F1F"/>
          <w:w w:val="110"/>
        </w:rPr>
        <w:t>Española</w:t>
      </w:r>
      <w:r>
        <w:rPr>
          <w:color w:val="231F1F"/>
          <w:spacing w:val="-11"/>
          <w:w w:val="110"/>
        </w:rPr>
        <w:t> </w:t>
      </w:r>
      <w:r>
        <w:rPr>
          <w:color w:val="231F1F"/>
          <w:w w:val="110"/>
        </w:rPr>
        <w:t>de</w:t>
      </w:r>
      <w:r>
        <w:rPr>
          <w:color w:val="231F1F"/>
          <w:spacing w:val="-11"/>
          <w:w w:val="110"/>
        </w:rPr>
        <w:t> </w:t>
      </w:r>
      <w:r>
        <w:rPr>
          <w:color w:val="231F1F"/>
          <w:w w:val="110"/>
        </w:rPr>
        <w:t>Pediatría</w:t>
      </w:r>
      <w:r>
        <w:rPr>
          <w:color w:val="231F1F"/>
          <w:spacing w:val="-11"/>
          <w:w w:val="110"/>
        </w:rPr>
        <w:t> </w:t>
      </w:r>
      <w:r>
        <w:rPr>
          <w:color w:val="231F1F"/>
          <w:w w:val="110"/>
        </w:rPr>
        <w:t>sobre</w:t>
      </w:r>
      <w:r>
        <w:rPr>
          <w:color w:val="231F1F"/>
          <w:spacing w:val="-11"/>
          <w:w w:val="110"/>
        </w:rPr>
        <w:t> </w:t>
      </w:r>
      <w:r>
        <w:rPr>
          <w:color w:val="231F1F"/>
          <w:w w:val="110"/>
        </w:rPr>
        <w:t>el</w:t>
      </w:r>
      <w:r>
        <w:rPr>
          <w:color w:val="231F1F"/>
          <w:spacing w:val="-12"/>
          <w:w w:val="110"/>
        </w:rPr>
        <w:t> </w:t>
      </w:r>
      <w:r>
        <w:rPr>
          <w:color w:val="231F1F"/>
          <w:w w:val="110"/>
        </w:rPr>
        <w:t>cuidado</w:t>
      </w:r>
      <w:r>
        <w:rPr>
          <w:color w:val="231F1F"/>
          <w:spacing w:val="-10"/>
          <w:w w:val="110"/>
        </w:rPr>
        <w:t> </w:t>
      </w:r>
      <w:r>
        <w:rPr>
          <w:color w:val="231F1F"/>
          <w:w w:val="110"/>
        </w:rPr>
        <w:t>y atención del</w:t>
      </w:r>
      <w:r>
        <w:rPr>
          <w:color w:val="231F1F"/>
          <w:spacing w:val="-1"/>
          <w:w w:val="110"/>
        </w:rPr>
        <w:t> </w:t>
      </w:r>
      <w:r>
        <w:rPr>
          <w:color w:val="231F1F"/>
          <w:w w:val="110"/>
        </w:rPr>
        <w:t>recien nacido</w:t>
      </w:r>
      <w:r>
        <w:rPr>
          <w:color w:val="231F1F"/>
          <w:spacing w:val="-1"/>
          <w:w w:val="110"/>
        </w:rPr>
        <w:t> </w:t>
      </w:r>
      <w:r>
        <w:rPr>
          <w:color w:val="231F1F"/>
          <w:w w:val="110"/>
        </w:rPr>
        <w:t>sano</w:t>
      </w:r>
      <w:r>
        <w:rPr>
          <w:color w:val="231F1F"/>
          <w:spacing w:val="-1"/>
          <w:w w:val="110"/>
        </w:rPr>
        <w:t> </w:t>
      </w:r>
      <w:r>
        <w:rPr>
          <w:color w:val="231F1F"/>
          <w:w w:val="110"/>
        </w:rPr>
        <w:t>en el</w:t>
      </w:r>
      <w:r>
        <w:rPr>
          <w:color w:val="231F1F"/>
          <w:spacing w:val="-1"/>
          <w:w w:val="110"/>
        </w:rPr>
        <w:t> </w:t>
      </w:r>
      <w:r>
        <w:rPr>
          <w:color w:val="231F1F"/>
          <w:w w:val="110"/>
        </w:rPr>
        <w:t>parto</w:t>
      </w:r>
      <w:r>
        <w:rPr>
          <w:color w:val="231F1F"/>
          <w:spacing w:val="-1"/>
          <w:w w:val="110"/>
        </w:rPr>
        <w:t> </w:t>
      </w:r>
      <w:r>
        <w:rPr>
          <w:color w:val="231F1F"/>
          <w:w w:val="110"/>
        </w:rPr>
        <w:t>y en las</w:t>
      </w:r>
      <w:r>
        <w:rPr>
          <w:color w:val="231F1F"/>
          <w:spacing w:val="-1"/>
          <w:w w:val="110"/>
        </w:rPr>
        <w:t> </w:t>
      </w:r>
      <w:r>
        <w:rPr>
          <w:color w:val="231F1F"/>
          <w:w w:val="110"/>
        </w:rPr>
        <w:t>primeras</w:t>
      </w:r>
      <w:r>
        <w:rPr>
          <w:color w:val="231F1F"/>
          <w:spacing w:val="-1"/>
          <w:w w:val="110"/>
        </w:rPr>
        <w:t> </w:t>
      </w:r>
      <w:r>
        <w:rPr>
          <w:color w:val="231F1F"/>
          <w:w w:val="110"/>
        </w:rPr>
        <w:t>horas</w:t>
      </w:r>
      <w:r>
        <w:rPr>
          <w:color w:val="231F1F"/>
          <w:spacing w:val="-1"/>
          <w:w w:val="110"/>
        </w:rPr>
        <w:t> </w:t>
      </w:r>
      <w:r>
        <w:rPr>
          <w:color w:val="231F1F"/>
          <w:w w:val="110"/>
        </w:rPr>
        <w:t>despues </w:t>
      </w:r>
      <w:r>
        <w:rPr>
          <w:color w:val="231F1F"/>
        </w:rPr>
        <w:t>del nacimiento (247), de no realizar el paso de sondas por las fosas nasales, ni </w:t>
      </w:r>
      <w:r>
        <w:rPr>
          <w:color w:val="231F1F"/>
          <w:spacing w:val="-2"/>
          <w:w w:val="110"/>
        </w:rPr>
        <w:t>esofago,</w:t>
      </w:r>
      <w:r>
        <w:rPr>
          <w:color w:val="231F1F"/>
          <w:spacing w:val="-9"/>
          <w:w w:val="110"/>
        </w:rPr>
        <w:t> </w:t>
      </w:r>
      <w:r>
        <w:rPr>
          <w:color w:val="231F1F"/>
          <w:spacing w:val="-2"/>
          <w:w w:val="110"/>
        </w:rPr>
        <w:t>ni</w:t>
      </w:r>
      <w:r>
        <w:rPr>
          <w:color w:val="231F1F"/>
          <w:spacing w:val="-10"/>
          <w:w w:val="110"/>
        </w:rPr>
        <w:t> </w:t>
      </w:r>
      <w:r>
        <w:rPr>
          <w:color w:val="231F1F"/>
          <w:spacing w:val="-2"/>
          <w:w w:val="110"/>
        </w:rPr>
        <w:t>por</w:t>
      </w:r>
      <w:r>
        <w:rPr>
          <w:color w:val="231F1F"/>
          <w:spacing w:val="-10"/>
          <w:w w:val="110"/>
        </w:rPr>
        <w:t> </w:t>
      </w:r>
      <w:r>
        <w:rPr>
          <w:color w:val="231F1F"/>
          <w:spacing w:val="-2"/>
          <w:w w:val="110"/>
        </w:rPr>
        <w:t>el</w:t>
      </w:r>
      <w:r>
        <w:rPr>
          <w:color w:val="231F1F"/>
          <w:spacing w:val="-10"/>
          <w:w w:val="110"/>
        </w:rPr>
        <w:t> </w:t>
      </w:r>
      <w:r>
        <w:rPr>
          <w:color w:val="231F1F"/>
          <w:spacing w:val="-2"/>
          <w:w w:val="110"/>
        </w:rPr>
        <w:t>ano,</w:t>
      </w:r>
      <w:r>
        <w:rPr>
          <w:color w:val="231F1F"/>
          <w:spacing w:val="-10"/>
          <w:w w:val="110"/>
        </w:rPr>
        <w:t> </w:t>
      </w:r>
      <w:r>
        <w:rPr>
          <w:color w:val="231F1F"/>
          <w:spacing w:val="-2"/>
          <w:w w:val="110"/>
        </w:rPr>
        <w:t>ya</w:t>
      </w:r>
      <w:r>
        <w:rPr>
          <w:color w:val="231F1F"/>
          <w:spacing w:val="-9"/>
          <w:w w:val="110"/>
        </w:rPr>
        <w:t> </w:t>
      </w:r>
      <w:r>
        <w:rPr>
          <w:color w:val="231F1F"/>
          <w:spacing w:val="-2"/>
          <w:w w:val="110"/>
        </w:rPr>
        <w:t>que</w:t>
      </w:r>
      <w:r>
        <w:rPr>
          <w:color w:val="231F1F"/>
          <w:spacing w:val="-9"/>
          <w:w w:val="110"/>
        </w:rPr>
        <w:t> </w:t>
      </w:r>
      <w:r>
        <w:rPr>
          <w:color w:val="231F1F"/>
          <w:spacing w:val="-2"/>
          <w:w w:val="110"/>
        </w:rPr>
        <w:t>la</w:t>
      </w:r>
      <w:r>
        <w:rPr>
          <w:color w:val="231F1F"/>
          <w:spacing w:val="-9"/>
          <w:w w:val="110"/>
        </w:rPr>
        <w:t> </w:t>
      </w:r>
      <w:r>
        <w:rPr>
          <w:color w:val="231F1F"/>
          <w:spacing w:val="-2"/>
          <w:w w:val="110"/>
        </w:rPr>
        <w:t>simple</w:t>
      </w:r>
      <w:r>
        <w:rPr>
          <w:color w:val="231F1F"/>
          <w:spacing w:val="-9"/>
          <w:w w:val="110"/>
        </w:rPr>
        <w:t> </w:t>
      </w:r>
      <w:r>
        <w:rPr>
          <w:color w:val="231F1F"/>
          <w:spacing w:val="-2"/>
          <w:w w:val="110"/>
        </w:rPr>
        <w:t>exploración</w:t>
      </w:r>
      <w:r>
        <w:rPr>
          <w:color w:val="231F1F"/>
          <w:spacing w:val="-9"/>
          <w:w w:val="110"/>
        </w:rPr>
        <w:t> </w:t>
      </w:r>
      <w:r>
        <w:rPr>
          <w:color w:val="231F1F"/>
          <w:spacing w:val="-2"/>
          <w:w w:val="110"/>
        </w:rPr>
        <w:t>del</w:t>
      </w:r>
      <w:r>
        <w:rPr>
          <w:color w:val="231F1F"/>
          <w:spacing w:val="-10"/>
          <w:w w:val="110"/>
        </w:rPr>
        <w:t> </w:t>
      </w:r>
      <w:r>
        <w:rPr>
          <w:color w:val="231F1F"/>
          <w:spacing w:val="-2"/>
          <w:w w:val="110"/>
        </w:rPr>
        <w:t>RN</w:t>
      </w:r>
      <w:r>
        <w:rPr>
          <w:color w:val="231F1F"/>
          <w:spacing w:val="-8"/>
          <w:w w:val="110"/>
        </w:rPr>
        <w:t> </w:t>
      </w:r>
      <w:r>
        <w:rPr>
          <w:color w:val="231F1F"/>
          <w:spacing w:val="-2"/>
          <w:w w:val="110"/>
        </w:rPr>
        <w:t>es</w:t>
      </w:r>
      <w:r>
        <w:rPr>
          <w:color w:val="231F1F"/>
          <w:spacing w:val="-10"/>
          <w:w w:val="110"/>
        </w:rPr>
        <w:t> </w:t>
      </w:r>
      <w:r>
        <w:rPr>
          <w:color w:val="231F1F"/>
          <w:spacing w:val="-2"/>
          <w:w w:val="110"/>
        </w:rPr>
        <w:t>suficiente</w:t>
      </w:r>
      <w:r>
        <w:rPr>
          <w:color w:val="231F1F"/>
          <w:spacing w:val="-10"/>
          <w:w w:val="110"/>
        </w:rPr>
        <w:t> </w:t>
      </w:r>
      <w:r>
        <w:rPr>
          <w:color w:val="231F1F"/>
          <w:spacing w:val="-2"/>
          <w:w w:val="110"/>
        </w:rPr>
        <w:t>para </w:t>
      </w:r>
      <w:r>
        <w:rPr>
          <w:color w:val="231F1F"/>
          <w:w w:val="110"/>
        </w:rPr>
        <w:t>descartar la mayor parte de los problemas graves neonatales.</w:t>
      </w:r>
    </w:p>
    <w:p>
      <w:pPr>
        <w:pStyle w:val="BodyText"/>
        <w:spacing w:before="158"/>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59" w:lineRule="auto" w:before="44"/>
              <w:ind w:left="154" w:right="111" w:hanging="11"/>
              <w:jc w:val="both"/>
              <w:rPr>
                <w:sz w:val="22"/>
              </w:rPr>
            </w:pPr>
            <w:r>
              <w:rPr>
                <w:color w:val="231F1F"/>
                <w:w w:val="105"/>
                <w:sz w:val="22"/>
              </w:rPr>
              <w:t>Los</w:t>
            </w:r>
            <w:r>
              <w:rPr>
                <w:color w:val="231F1F"/>
                <w:w w:val="105"/>
                <w:sz w:val="22"/>
              </w:rPr>
              <w:t> RN</w:t>
            </w:r>
            <w:r>
              <w:rPr>
                <w:color w:val="231F1F"/>
                <w:w w:val="105"/>
                <w:sz w:val="22"/>
              </w:rPr>
              <w:t> a</w:t>
            </w:r>
            <w:r>
              <w:rPr>
                <w:color w:val="231F1F"/>
                <w:w w:val="105"/>
                <w:sz w:val="22"/>
              </w:rPr>
              <w:t> los</w:t>
            </w:r>
            <w:r>
              <w:rPr>
                <w:color w:val="231F1F"/>
                <w:w w:val="105"/>
                <w:sz w:val="22"/>
              </w:rPr>
              <w:t> que</w:t>
            </w:r>
            <w:r>
              <w:rPr>
                <w:color w:val="231F1F"/>
                <w:w w:val="105"/>
                <w:sz w:val="22"/>
              </w:rPr>
              <w:t> no</w:t>
            </w:r>
            <w:r>
              <w:rPr>
                <w:color w:val="231F1F"/>
                <w:w w:val="105"/>
                <w:sz w:val="22"/>
              </w:rPr>
              <w:t> se</w:t>
            </w:r>
            <w:r>
              <w:rPr>
                <w:color w:val="231F1F"/>
                <w:w w:val="105"/>
                <w:sz w:val="22"/>
              </w:rPr>
              <w:t> ha</w:t>
            </w:r>
            <w:r>
              <w:rPr>
                <w:color w:val="231F1F"/>
                <w:w w:val="105"/>
                <w:sz w:val="22"/>
              </w:rPr>
              <w:t> realizado</w:t>
            </w:r>
            <w:r>
              <w:rPr>
                <w:color w:val="231F1F"/>
                <w:w w:val="105"/>
                <w:sz w:val="22"/>
              </w:rPr>
              <w:t> aspiración</w:t>
            </w:r>
            <w:r>
              <w:rPr>
                <w:color w:val="231F1F"/>
                <w:w w:val="105"/>
                <w:sz w:val="22"/>
              </w:rPr>
              <w:t> presentan</w:t>
            </w:r>
            <w:r>
              <w:rPr>
                <w:color w:val="231F1F"/>
                <w:w w:val="105"/>
                <w:sz w:val="22"/>
              </w:rPr>
              <w:t> una</w:t>
            </w:r>
            <w:r>
              <w:rPr>
                <w:color w:val="231F1F"/>
                <w:w w:val="105"/>
                <w:sz w:val="22"/>
              </w:rPr>
              <w:t> frecuencia cardiaca</w:t>
            </w:r>
            <w:r>
              <w:rPr>
                <w:color w:val="231F1F"/>
                <w:w w:val="105"/>
                <w:sz w:val="22"/>
              </w:rPr>
              <w:t> menor</w:t>
            </w:r>
            <w:r>
              <w:rPr>
                <w:color w:val="231F1F"/>
                <w:w w:val="105"/>
                <w:sz w:val="22"/>
              </w:rPr>
              <w:t> a</w:t>
            </w:r>
            <w:r>
              <w:rPr>
                <w:color w:val="231F1F"/>
                <w:w w:val="105"/>
                <w:sz w:val="22"/>
              </w:rPr>
              <w:t> los</w:t>
            </w:r>
            <w:r>
              <w:rPr>
                <w:color w:val="231F1F"/>
                <w:w w:val="105"/>
                <w:sz w:val="22"/>
              </w:rPr>
              <w:t> 3-6</w:t>
            </w:r>
            <w:r>
              <w:rPr>
                <w:color w:val="231F1F"/>
                <w:w w:val="105"/>
                <w:sz w:val="22"/>
              </w:rPr>
              <w:t> minutos,</w:t>
            </w:r>
            <w:r>
              <w:rPr>
                <w:color w:val="231F1F"/>
                <w:w w:val="105"/>
                <w:sz w:val="22"/>
              </w:rPr>
              <w:t> un</w:t>
            </w:r>
            <w:r>
              <w:rPr>
                <w:color w:val="231F1F"/>
                <w:w w:val="105"/>
                <w:sz w:val="22"/>
              </w:rPr>
              <w:t> menor</w:t>
            </w:r>
            <w:r>
              <w:rPr>
                <w:color w:val="231F1F"/>
                <w:w w:val="105"/>
                <w:sz w:val="22"/>
              </w:rPr>
              <w:t> tiempo</w:t>
            </w:r>
            <w:r>
              <w:rPr>
                <w:color w:val="231F1F"/>
                <w:w w:val="105"/>
                <w:sz w:val="22"/>
              </w:rPr>
              <w:t> máximo</w:t>
            </w:r>
            <w:r>
              <w:rPr>
                <w:color w:val="231F1F"/>
                <w:w w:val="105"/>
                <w:sz w:val="22"/>
              </w:rPr>
              <w:t> para</w:t>
            </w:r>
            <w:r>
              <w:rPr>
                <w:color w:val="231F1F"/>
                <w:w w:val="105"/>
                <w:sz w:val="22"/>
              </w:rPr>
              <w:t> obtener niveles</w:t>
            </w:r>
            <w:r>
              <w:rPr>
                <w:color w:val="231F1F"/>
                <w:spacing w:val="-10"/>
                <w:w w:val="105"/>
                <w:sz w:val="22"/>
              </w:rPr>
              <w:t> </w:t>
            </w:r>
            <w:r>
              <w:rPr>
                <w:color w:val="231F1F"/>
                <w:w w:val="105"/>
                <w:sz w:val="22"/>
              </w:rPr>
              <w:t>de</w:t>
            </w:r>
            <w:r>
              <w:rPr>
                <w:color w:val="231F1F"/>
                <w:spacing w:val="-10"/>
                <w:w w:val="105"/>
                <w:sz w:val="22"/>
              </w:rPr>
              <w:t> </w:t>
            </w:r>
            <w:r>
              <w:rPr>
                <w:color w:val="231F1F"/>
                <w:w w:val="105"/>
                <w:sz w:val="22"/>
              </w:rPr>
              <w:t>SaO</w:t>
            </w:r>
            <w:r>
              <w:rPr>
                <w:color w:val="231F1F"/>
                <w:w w:val="105"/>
                <w:position w:val="-4"/>
                <w:sz w:val="12"/>
              </w:rPr>
              <w:t>2</w:t>
            </w:r>
            <w:r>
              <w:rPr>
                <w:color w:val="231F1F"/>
                <w:w w:val="105"/>
                <w:sz w:val="22"/>
              </w:rPr>
              <w:t>&gt;92%</w:t>
            </w:r>
            <w:r>
              <w:rPr>
                <w:color w:val="231F1F"/>
                <w:spacing w:val="-9"/>
                <w:w w:val="105"/>
                <w:sz w:val="22"/>
              </w:rPr>
              <w:t> </w:t>
            </w:r>
            <w:r>
              <w:rPr>
                <w:color w:val="231F1F"/>
                <w:w w:val="105"/>
                <w:sz w:val="22"/>
              </w:rPr>
              <w:t>y</w:t>
            </w:r>
            <w:r>
              <w:rPr>
                <w:color w:val="231F1F"/>
                <w:spacing w:val="-9"/>
                <w:w w:val="105"/>
                <w:sz w:val="22"/>
              </w:rPr>
              <w:t> </w:t>
            </w:r>
            <w:r>
              <w:rPr>
                <w:color w:val="231F1F"/>
                <w:w w:val="105"/>
                <w:sz w:val="22"/>
              </w:rPr>
              <w:t>mejores</w:t>
            </w:r>
            <w:r>
              <w:rPr>
                <w:color w:val="231F1F"/>
                <w:spacing w:val="-9"/>
                <w:w w:val="105"/>
                <w:sz w:val="22"/>
              </w:rPr>
              <w:t> </w:t>
            </w:r>
            <w:r>
              <w:rPr>
                <w:color w:val="231F1F"/>
                <w:w w:val="105"/>
                <w:sz w:val="22"/>
              </w:rPr>
              <w:t>resultados</w:t>
            </w:r>
            <w:r>
              <w:rPr>
                <w:color w:val="231F1F"/>
                <w:spacing w:val="-8"/>
                <w:w w:val="105"/>
                <w:sz w:val="22"/>
              </w:rPr>
              <w:t> </w:t>
            </w:r>
            <w:r>
              <w:rPr>
                <w:color w:val="231F1F"/>
                <w:w w:val="105"/>
                <w:sz w:val="22"/>
              </w:rPr>
              <w:t>en</w:t>
            </w:r>
            <w:r>
              <w:rPr>
                <w:color w:val="231F1F"/>
                <w:spacing w:val="-9"/>
                <w:w w:val="105"/>
                <w:sz w:val="22"/>
              </w:rPr>
              <w:t> </w:t>
            </w:r>
            <w:r>
              <w:rPr>
                <w:color w:val="231F1F"/>
                <w:w w:val="105"/>
                <w:sz w:val="22"/>
              </w:rPr>
              <w:t>el</w:t>
            </w:r>
            <w:r>
              <w:rPr>
                <w:color w:val="231F1F"/>
                <w:spacing w:val="-10"/>
                <w:w w:val="105"/>
                <w:sz w:val="22"/>
              </w:rPr>
              <w:t> </w:t>
            </w:r>
            <w:r>
              <w:rPr>
                <w:color w:val="231F1F"/>
                <w:w w:val="105"/>
                <w:sz w:val="22"/>
              </w:rPr>
              <w:t>Apgar</w:t>
            </w:r>
            <w:r>
              <w:rPr>
                <w:color w:val="231F1F"/>
                <w:spacing w:val="-10"/>
                <w:w w:val="105"/>
                <w:sz w:val="22"/>
              </w:rPr>
              <w:t> </w:t>
            </w:r>
            <w:r>
              <w:rPr>
                <w:color w:val="231F1F"/>
                <w:w w:val="105"/>
                <w:sz w:val="22"/>
              </w:rPr>
              <w:t>a</w:t>
            </w:r>
            <w:r>
              <w:rPr>
                <w:color w:val="231F1F"/>
                <w:spacing w:val="-9"/>
                <w:w w:val="105"/>
                <w:sz w:val="22"/>
              </w:rPr>
              <w:t> </w:t>
            </w:r>
            <w:r>
              <w:rPr>
                <w:color w:val="231F1F"/>
                <w:w w:val="105"/>
                <w:sz w:val="22"/>
              </w:rPr>
              <w:t>los</w:t>
            </w:r>
            <w:r>
              <w:rPr>
                <w:color w:val="231F1F"/>
                <w:spacing w:val="-9"/>
                <w:w w:val="105"/>
                <w:sz w:val="22"/>
              </w:rPr>
              <w:t> </w:t>
            </w:r>
            <w:r>
              <w:rPr>
                <w:color w:val="231F1F"/>
                <w:w w:val="105"/>
                <w:sz w:val="22"/>
              </w:rPr>
              <w:t>5</w:t>
            </w:r>
            <w:r>
              <w:rPr>
                <w:color w:val="231F1F"/>
                <w:spacing w:val="-9"/>
                <w:w w:val="105"/>
                <w:sz w:val="22"/>
              </w:rPr>
              <w:t> </w:t>
            </w:r>
            <w:r>
              <w:rPr>
                <w:color w:val="231F1F"/>
                <w:w w:val="105"/>
                <w:sz w:val="22"/>
              </w:rPr>
              <w:t>minutos</w:t>
            </w:r>
            <w:r>
              <w:rPr>
                <w:color w:val="231F1F"/>
                <w:spacing w:val="-10"/>
                <w:w w:val="105"/>
                <w:sz w:val="22"/>
              </w:rPr>
              <w:t> </w:t>
            </w:r>
            <w:r>
              <w:rPr>
                <w:color w:val="231F1F"/>
                <w:w w:val="105"/>
                <w:sz w:val="22"/>
              </w:rPr>
              <w:t>(246).</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ind w:left="46" w:right="43"/>
              <w:jc w:val="center"/>
              <w:rPr>
                <w:sz w:val="22"/>
              </w:rPr>
            </w:pPr>
            <w:r>
              <w:rPr>
                <w:color w:val="231F1F"/>
                <w:spacing w:val="-10"/>
                <w:w w:val="115"/>
                <w:sz w:val="22"/>
              </w:rPr>
              <w:t>A</w:t>
            </w:r>
          </w:p>
        </w:tc>
        <w:tc>
          <w:tcPr>
            <w:tcW w:w="8050" w:type="dxa"/>
          </w:tcPr>
          <w:p>
            <w:pPr>
              <w:pStyle w:val="TableParagraph"/>
              <w:spacing w:before="58"/>
              <w:rPr>
                <w:sz w:val="22"/>
              </w:rPr>
            </w:pPr>
            <w:r>
              <w:rPr>
                <w:color w:val="231F1F"/>
                <w:sz w:val="22"/>
              </w:rPr>
              <w:t>No</w:t>
            </w:r>
            <w:r>
              <w:rPr>
                <w:color w:val="231F1F"/>
                <w:spacing w:val="31"/>
                <w:sz w:val="22"/>
              </w:rPr>
              <w:t> </w:t>
            </w:r>
            <w:r>
              <w:rPr>
                <w:color w:val="231F1F"/>
                <w:sz w:val="22"/>
              </w:rPr>
              <w:t>se</w:t>
            </w:r>
            <w:r>
              <w:rPr>
                <w:color w:val="231F1F"/>
                <w:spacing w:val="38"/>
                <w:sz w:val="22"/>
              </w:rPr>
              <w:t> </w:t>
            </w:r>
            <w:r>
              <w:rPr>
                <w:color w:val="231F1F"/>
                <w:sz w:val="22"/>
              </w:rPr>
              <w:t>recomienda</w:t>
            </w:r>
            <w:r>
              <w:rPr>
                <w:color w:val="231F1F"/>
                <w:spacing w:val="38"/>
                <w:sz w:val="22"/>
              </w:rPr>
              <w:t> </w:t>
            </w:r>
            <w:r>
              <w:rPr>
                <w:color w:val="231F1F"/>
                <w:sz w:val="22"/>
              </w:rPr>
              <w:t>la</w:t>
            </w:r>
            <w:r>
              <w:rPr>
                <w:color w:val="231F1F"/>
                <w:spacing w:val="36"/>
                <w:sz w:val="22"/>
              </w:rPr>
              <w:t> </w:t>
            </w:r>
            <w:r>
              <w:rPr>
                <w:color w:val="231F1F"/>
                <w:sz w:val="22"/>
              </w:rPr>
              <w:t>aspiración</w:t>
            </w:r>
            <w:r>
              <w:rPr>
                <w:color w:val="231F1F"/>
                <w:spacing w:val="37"/>
                <w:sz w:val="22"/>
              </w:rPr>
              <w:t> </w:t>
            </w:r>
            <w:r>
              <w:rPr>
                <w:color w:val="231F1F"/>
                <w:sz w:val="22"/>
              </w:rPr>
              <w:t>sistemática</w:t>
            </w:r>
            <w:r>
              <w:rPr>
                <w:color w:val="231F1F"/>
                <w:spacing w:val="37"/>
                <w:sz w:val="22"/>
              </w:rPr>
              <w:t> </w:t>
            </w:r>
            <w:r>
              <w:rPr>
                <w:color w:val="231F1F"/>
                <w:sz w:val="22"/>
              </w:rPr>
              <w:t>orofaríngea</w:t>
            </w:r>
            <w:r>
              <w:rPr>
                <w:color w:val="231F1F"/>
                <w:spacing w:val="36"/>
                <w:sz w:val="22"/>
              </w:rPr>
              <w:t> </w:t>
            </w:r>
            <w:r>
              <w:rPr>
                <w:color w:val="231F1F"/>
                <w:sz w:val="22"/>
              </w:rPr>
              <w:t>ni</w:t>
            </w:r>
            <w:r>
              <w:rPr>
                <w:color w:val="231F1F"/>
                <w:spacing w:val="37"/>
                <w:sz w:val="22"/>
              </w:rPr>
              <w:t> </w:t>
            </w:r>
            <w:r>
              <w:rPr>
                <w:color w:val="231F1F"/>
                <w:sz w:val="22"/>
              </w:rPr>
              <w:t>nasofaríngea</w:t>
            </w:r>
            <w:r>
              <w:rPr>
                <w:color w:val="231F1F"/>
                <w:spacing w:val="37"/>
                <w:sz w:val="22"/>
              </w:rPr>
              <w:t> </w:t>
            </w:r>
            <w:r>
              <w:rPr>
                <w:color w:val="231F1F"/>
                <w:sz w:val="22"/>
              </w:rPr>
              <w:t>del</w:t>
            </w:r>
            <w:r>
              <w:rPr>
                <w:color w:val="231F1F"/>
                <w:spacing w:val="37"/>
                <w:sz w:val="22"/>
              </w:rPr>
              <w:t> </w:t>
            </w:r>
            <w:r>
              <w:rPr>
                <w:color w:val="231F1F"/>
                <w:spacing w:val="-5"/>
                <w:sz w:val="22"/>
              </w:rPr>
              <w:t>RN.</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sz w:val="22"/>
              </w:rPr>
              <w:t>No</w:t>
            </w:r>
            <w:r>
              <w:rPr>
                <w:color w:val="231F1F"/>
                <w:spacing w:val="33"/>
                <w:sz w:val="22"/>
              </w:rPr>
              <w:t> </w:t>
            </w:r>
            <w:r>
              <w:rPr>
                <w:color w:val="231F1F"/>
                <w:sz w:val="22"/>
              </w:rPr>
              <w:t>se</w:t>
            </w:r>
            <w:r>
              <w:rPr>
                <w:color w:val="231F1F"/>
                <w:spacing w:val="33"/>
                <w:sz w:val="22"/>
              </w:rPr>
              <w:t> </w:t>
            </w:r>
            <w:r>
              <w:rPr>
                <w:color w:val="231F1F"/>
                <w:sz w:val="22"/>
              </w:rPr>
              <w:t>recomienda</w:t>
            </w:r>
            <w:r>
              <w:rPr>
                <w:color w:val="231F1F"/>
                <w:spacing w:val="33"/>
                <w:sz w:val="22"/>
              </w:rPr>
              <w:t> </w:t>
            </w:r>
            <w:r>
              <w:rPr>
                <w:color w:val="231F1F"/>
                <w:sz w:val="22"/>
              </w:rPr>
              <w:t>realizar</w:t>
            </w:r>
            <w:r>
              <w:rPr>
                <w:color w:val="231F1F"/>
                <w:spacing w:val="33"/>
                <w:sz w:val="22"/>
              </w:rPr>
              <w:t> </w:t>
            </w:r>
            <w:r>
              <w:rPr>
                <w:color w:val="231F1F"/>
                <w:sz w:val="22"/>
              </w:rPr>
              <w:t>el</w:t>
            </w:r>
            <w:r>
              <w:rPr>
                <w:color w:val="231F1F"/>
                <w:spacing w:val="33"/>
                <w:sz w:val="22"/>
              </w:rPr>
              <w:t> </w:t>
            </w:r>
            <w:r>
              <w:rPr>
                <w:color w:val="231F1F"/>
                <w:sz w:val="22"/>
              </w:rPr>
              <w:t>paso</w:t>
            </w:r>
            <w:r>
              <w:rPr>
                <w:color w:val="231F1F"/>
                <w:spacing w:val="33"/>
                <w:sz w:val="22"/>
              </w:rPr>
              <w:t> </w:t>
            </w:r>
            <w:r>
              <w:rPr>
                <w:color w:val="231F1F"/>
                <w:sz w:val="22"/>
              </w:rPr>
              <w:t>sistemático</w:t>
            </w:r>
            <w:r>
              <w:rPr>
                <w:color w:val="231F1F"/>
                <w:spacing w:val="33"/>
                <w:sz w:val="22"/>
              </w:rPr>
              <w:t> </w:t>
            </w:r>
            <w:r>
              <w:rPr>
                <w:color w:val="231F1F"/>
                <w:sz w:val="22"/>
              </w:rPr>
              <w:t>de</w:t>
            </w:r>
            <w:r>
              <w:rPr>
                <w:color w:val="231F1F"/>
                <w:spacing w:val="33"/>
                <w:sz w:val="22"/>
              </w:rPr>
              <w:t> </w:t>
            </w:r>
            <w:r>
              <w:rPr>
                <w:color w:val="231F1F"/>
                <w:sz w:val="22"/>
              </w:rPr>
              <w:t>sonda</w:t>
            </w:r>
            <w:r>
              <w:rPr>
                <w:color w:val="231F1F"/>
                <w:spacing w:val="33"/>
                <w:sz w:val="22"/>
              </w:rPr>
              <w:t> </w:t>
            </w:r>
            <w:r>
              <w:rPr>
                <w:color w:val="231F1F"/>
                <w:sz w:val="22"/>
              </w:rPr>
              <w:t>nasogástrica</w:t>
            </w:r>
            <w:r>
              <w:rPr>
                <w:color w:val="231F1F"/>
                <w:spacing w:val="33"/>
                <w:sz w:val="22"/>
              </w:rPr>
              <w:t> </w:t>
            </w:r>
            <w:r>
              <w:rPr>
                <w:color w:val="231F1F"/>
                <w:sz w:val="22"/>
              </w:rPr>
              <w:t>ni</w:t>
            </w:r>
            <w:r>
              <w:rPr>
                <w:color w:val="231F1F"/>
                <w:spacing w:val="29"/>
                <w:sz w:val="22"/>
              </w:rPr>
              <w:t> </w:t>
            </w:r>
            <w:r>
              <w:rPr>
                <w:color w:val="231F1F"/>
                <w:sz w:val="22"/>
              </w:rPr>
              <w:t>rectal</w:t>
            </w:r>
            <w:r>
              <w:rPr>
                <w:color w:val="231F1F"/>
                <w:spacing w:val="35"/>
                <w:sz w:val="22"/>
              </w:rPr>
              <w:t> </w:t>
            </w:r>
            <w:r>
              <w:rPr>
                <w:color w:val="231F1F"/>
                <w:sz w:val="22"/>
              </w:rPr>
              <w:t>para </w:t>
            </w:r>
            <w:r>
              <w:rPr>
                <w:color w:val="231F1F"/>
                <w:w w:val="110"/>
                <w:sz w:val="22"/>
              </w:rPr>
              <w:t>descartar atresias en el RN sano.</w:t>
            </w:r>
          </w:p>
        </w:tc>
      </w:tr>
    </w:tbl>
    <w:p>
      <w:pPr>
        <w:pStyle w:val="TableParagraph"/>
        <w:spacing w:after="0" w:line="244" w:lineRule="auto"/>
        <w:rPr>
          <w:sz w:val="22"/>
        </w:rPr>
        <w:sectPr>
          <w:pgSz w:w="11900" w:h="16840"/>
          <w:pgMar w:header="0" w:footer="622" w:top="158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21" w:id="35"/>
      <w:r>
        <w:rPr>
          <w:color w:val="231F1F"/>
        </w:rPr>
        <w:t>Profilaxis</w:t>
      </w:r>
      <w:r>
        <w:rPr>
          <w:color w:val="231F1F"/>
          <w:spacing w:val="49"/>
        </w:rPr>
        <w:t> </w:t>
      </w:r>
      <w:bookmarkEnd w:id="35"/>
      <w:r>
        <w:rPr>
          <w:color w:val="231F1F"/>
          <w:spacing w:val="-2"/>
        </w:rPr>
        <w:t>oftálmica</w:t>
      </w:r>
    </w:p>
    <w:p>
      <w:pPr>
        <w:pStyle w:val="BodyText"/>
        <w:spacing w:line="247" w:lineRule="auto" w:before="259"/>
        <w:ind w:left="283" w:right="116"/>
        <w:jc w:val="both"/>
      </w:pPr>
      <w:r>
        <w:rPr>
          <w:color w:val="231F1F"/>
          <w:w w:val="110"/>
        </w:rPr>
        <w:t>La oftalmía neonatal, también llamada conjuntivitis neonatal, es una inflamación de la superficie</w:t>
      </w:r>
      <w:r>
        <w:rPr>
          <w:color w:val="231F1F"/>
          <w:spacing w:val="-14"/>
          <w:w w:val="110"/>
        </w:rPr>
        <w:t> </w:t>
      </w:r>
      <w:r>
        <w:rPr>
          <w:color w:val="231F1F"/>
          <w:w w:val="110"/>
        </w:rPr>
        <w:t>ocular</w:t>
      </w:r>
      <w:r>
        <w:rPr>
          <w:color w:val="231F1F"/>
          <w:spacing w:val="-14"/>
          <w:w w:val="110"/>
        </w:rPr>
        <w:t> </w:t>
      </w:r>
      <w:r>
        <w:rPr>
          <w:color w:val="231F1F"/>
          <w:w w:val="110"/>
        </w:rPr>
        <w:t>causada</w:t>
      </w:r>
      <w:r>
        <w:rPr>
          <w:color w:val="231F1F"/>
          <w:spacing w:val="-12"/>
          <w:w w:val="110"/>
        </w:rPr>
        <w:t> </w:t>
      </w:r>
      <w:r>
        <w:rPr>
          <w:color w:val="231F1F"/>
          <w:w w:val="110"/>
        </w:rPr>
        <w:t>principalmente</w:t>
      </w:r>
      <w:r>
        <w:rPr>
          <w:color w:val="231F1F"/>
          <w:spacing w:val="-14"/>
          <w:w w:val="110"/>
        </w:rPr>
        <w:t> </w:t>
      </w:r>
      <w:r>
        <w:rPr>
          <w:color w:val="231F1F"/>
          <w:w w:val="110"/>
        </w:rPr>
        <w:t>por</w:t>
      </w:r>
      <w:r>
        <w:rPr>
          <w:color w:val="231F1F"/>
          <w:spacing w:val="-14"/>
          <w:w w:val="110"/>
        </w:rPr>
        <w:t> </w:t>
      </w:r>
      <w:r>
        <w:rPr>
          <w:color w:val="231F1F"/>
          <w:w w:val="110"/>
        </w:rPr>
        <w:t>bacterias</w:t>
      </w:r>
      <w:r>
        <w:rPr>
          <w:color w:val="231F1F"/>
          <w:spacing w:val="-14"/>
          <w:w w:val="110"/>
        </w:rPr>
        <w:t> </w:t>
      </w:r>
      <w:r>
        <w:rPr>
          <w:color w:val="231F1F"/>
          <w:w w:val="110"/>
        </w:rPr>
        <w:t>y</w:t>
      </w:r>
      <w:r>
        <w:rPr>
          <w:color w:val="231F1F"/>
          <w:spacing w:val="-13"/>
          <w:w w:val="110"/>
        </w:rPr>
        <w:t> </w:t>
      </w:r>
      <w:r>
        <w:rPr>
          <w:color w:val="231F1F"/>
          <w:w w:val="110"/>
        </w:rPr>
        <w:t>menos</w:t>
      </w:r>
      <w:r>
        <w:rPr>
          <w:color w:val="231F1F"/>
          <w:spacing w:val="-14"/>
          <w:w w:val="110"/>
        </w:rPr>
        <w:t> </w:t>
      </w:r>
      <w:r>
        <w:rPr>
          <w:color w:val="231F1F"/>
          <w:w w:val="110"/>
        </w:rPr>
        <w:t>frecuentemente</w:t>
      </w:r>
      <w:r>
        <w:rPr>
          <w:color w:val="231F1F"/>
          <w:spacing w:val="-13"/>
          <w:w w:val="110"/>
        </w:rPr>
        <w:t> </w:t>
      </w:r>
      <w:r>
        <w:rPr>
          <w:color w:val="231F1F"/>
          <w:w w:val="110"/>
        </w:rPr>
        <w:t>por</w:t>
      </w:r>
      <w:r>
        <w:rPr>
          <w:color w:val="231F1F"/>
          <w:spacing w:val="-14"/>
          <w:w w:val="110"/>
        </w:rPr>
        <w:t> </w:t>
      </w:r>
      <w:r>
        <w:rPr>
          <w:color w:val="231F1F"/>
          <w:w w:val="110"/>
        </w:rPr>
        <w:t>virus o</w:t>
      </w:r>
      <w:r>
        <w:rPr>
          <w:color w:val="231F1F"/>
          <w:spacing w:val="-8"/>
          <w:w w:val="110"/>
        </w:rPr>
        <w:t> </w:t>
      </w:r>
      <w:r>
        <w:rPr>
          <w:color w:val="231F1F"/>
          <w:w w:val="110"/>
        </w:rPr>
        <w:t>agentes</w:t>
      </w:r>
      <w:r>
        <w:rPr>
          <w:color w:val="231F1F"/>
          <w:spacing w:val="-8"/>
          <w:w w:val="110"/>
        </w:rPr>
        <w:t> </w:t>
      </w:r>
      <w:r>
        <w:rPr>
          <w:color w:val="231F1F"/>
          <w:w w:val="110"/>
        </w:rPr>
        <w:t>químicos</w:t>
      </w:r>
      <w:r>
        <w:rPr>
          <w:color w:val="231F1F"/>
          <w:spacing w:val="-8"/>
          <w:w w:val="110"/>
        </w:rPr>
        <w:t> </w:t>
      </w:r>
      <w:r>
        <w:rPr>
          <w:color w:val="231F1F"/>
          <w:w w:val="110"/>
        </w:rPr>
        <w:t>(248).</w:t>
      </w:r>
      <w:r>
        <w:rPr>
          <w:color w:val="231F1F"/>
          <w:spacing w:val="-8"/>
          <w:w w:val="110"/>
        </w:rPr>
        <w:t> </w:t>
      </w:r>
      <w:r>
        <w:rPr>
          <w:color w:val="231F1F"/>
          <w:w w:val="110"/>
        </w:rPr>
        <w:t>Puede</w:t>
      </w:r>
      <w:r>
        <w:rPr>
          <w:color w:val="231F1F"/>
          <w:spacing w:val="-8"/>
          <w:w w:val="110"/>
        </w:rPr>
        <w:t> </w:t>
      </w:r>
      <w:r>
        <w:rPr>
          <w:color w:val="231F1F"/>
          <w:w w:val="110"/>
        </w:rPr>
        <w:t>conducir</w:t>
      </w:r>
      <w:r>
        <w:rPr>
          <w:color w:val="231F1F"/>
          <w:spacing w:val="-8"/>
          <w:w w:val="110"/>
        </w:rPr>
        <w:t> </w:t>
      </w:r>
      <w:r>
        <w:rPr>
          <w:color w:val="231F1F"/>
          <w:w w:val="110"/>
        </w:rPr>
        <w:t>a</w:t>
      </w:r>
      <w:r>
        <w:rPr>
          <w:color w:val="231F1F"/>
          <w:spacing w:val="-8"/>
          <w:w w:val="110"/>
        </w:rPr>
        <w:t> </w:t>
      </w:r>
      <w:r>
        <w:rPr>
          <w:color w:val="231F1F"/>
          <w:w w:val="110"/>
        </w:rPr>
        <w:t>una</w:t>
      </w:r>
      <w:r>
        <w:rPr>
          <w:color w:val="231F1F"/>
          <w:spacing w:val="-8"/>
          <w:w w:val="110"/>
        </w:rPr>
        <w:t> </w:t>
      </w:r>
      <w:r>
        <w:rPr>
          <w:color w:val="231F1F"/>
          <w:w w:val="110"/>
        </w:rPr>
        <w:t>lesión</w:t>
      </w:r>
      <w:r>
        <w:rPr>
          <w:color w:val="231F1F"/>
          <w:spacing w:val="-8"/>
          <w:w w:val="110"/>
        </w:rPr>
        <w:t> </w:t>
      </w:r>
      <w:r>
        <w:rPr>
          <w:color w:val="231F1F"/>
          <w:w w:val="110"/>
        </w:rPr>
        <w:t>ocular</w:t>
      </w:r>
      <w:r>
        <w:rPr>
          <w:color w:val="231F1F"/>
          <w:spacing w:val="-8"/>
          <w:w w:val="110"/>
        </w:rPr>
        <w:t> </w:t>
      </w:r>
      <w:r>
        <w:rPr>
          <w:color w:val="231F1F"/>
          <w:w w:val="110"/>
        </w:rPr>
        <w:t>permanente</w:t>
      </w:r>
      <w:r>
        <w:rPr>
          <w:color w:val="231F1F"/>
          <w:spacing w:val="-8"/>
          <w:w w:val="110"/>
        </w:rPr>
        <w:t> </w:t>
      </w:r>
      <w:r>
        <w:rPr>
          <w:color w:val="231F1F"/>
          <w:w w:val="110"/>
        </w:rPr>
        <w:t>y</w:t>
      </w:r>
      <w:r>
        <w:rPr>
          <w:color w:val="231F1F"/>
          <w:spacing w:val="-8"/>
          <w:w w:val="110"/>
        </w:rPr>
        <w:t> </w:t>
      </w:r>
      <w:r>
        <w:rPr>
          <w:color w:val="231F1F"/>
          <w:w w:val="110"/>
        </w:rPr>
        <w:t>a</w:t>
      </w:r>
      <w:r>
        <w:rPr>
          <w:color w:val="231F1F"/>
          <w:spacing w:val="-8"/>
          <w:w w:val="110"/>
        </w:rPr>
        <w:t> </w:t>
      </w:r>
      <w:r>
        <w:rPr>
          <w:color w:val="231F1F"/>
          <w:w w:val="110"/>
        </w:rPr>
        <w:t>la</w:t>
      </w:r>
      <w:r>
        <w:rPr>
          <w:color w:val="231F1F"/>
          <w:spacing w:val="-8"/>
          <w:w w:val="110"/>
        </w:rPr>
        <w:t> </w:t>
      </w:r>
      <w:r>
        <w:rPr>
          <w:color w:val="231F1F"/>
          <w:w w:val="110"/>
        </w:rPr>
        <w:t>ceguera. El</w:t>
      </w:r>
      <w:r>
        <w:rPr>
          <w:color w:val="231F1F"/>
          <w:spacing w:val="-2"/>
          <w:w w:val="110"/>
        </w:rPr>
        <w:t> </w:t>
      </w:r>
      <w:r>
        <w:rPr>
          <w:color w:val="231F1F"/>
          <w:w w:val="110"/>
        </w:rPr>
        <w:t>contagio</w:t>
      </w:r>
      <w:r>
        <w:rPr>
          <w:color w:val="231F1F"/>
          <w:spacing w:val="-1"/>
          <w:w w:val="110"/>
        </w:rPr>
        <w:t> </w:t>
      </w:r>
      <w:r>
        <w:rPr>
          <w:color w:val="231F1F"/>
          <w:w w:val="110"/>
        </w:rPr>
        <w:t>se</w:t>
      </w:r>
      <w:r>
        <w:rPr>
          <w:color w:val="231F1F"/>
          <w:spacing w:val="-1"/>
          <w:w w:val="110"/>
        </w:rPr>
        <w:t> </w:t>
      </w:r>
      <w:r>
        <w:rPr>
          <w:color w:val="231F1F"/>
          <w:w w:val="110"/>
        </w:rPr>
        <w:t>produce</w:t>
      </w:r>
      <w:r>
        <w:rPr>
          <w:color w:val="231F1F"/>
          <w:spacing w:val="-1"/>
          <w:w w:val="110"/>
        </w:rPr>
        <w:t> </w:t>
      </w:r>
      <w:r>
        <w:rPr>
          <w:color w:val="231F1F"/>
          <w:w w:val="110"/>
        </w:rPr>
        <w:t>principalmente</w:t>
      </w:r>
      <w:r>
        <w:rPr>
          <w:color w:val="231F1F"/>
          <w:spacing w:val="-1"/>
          <w:w w:val="110"/>
        </w:rPr>
        <w:t> </w:t>
      </w:r>
      <w:r>
        <w:rPr>
          <w:color w:val="231F1F"/>
          <w:w w:val="110"/>
        </w:rPr>
        <w:t>en</w:t>
      </w:r>
      <w:r>
        <w:rPr>
          <w:color w:val="231F1F"/>
          <w:spacing w:val="-1"/>
          <w:w w:val="110"/>
        </w:rPr>
        <w:t> </w:t>
      </w:r>
      <w:r>
        <w:rPr>
          <w:color w:val="231F1F"/>
          <w:w w:val="110"/>
        </w:rPr>
        <w:t>el</w:t>
      </w:r>
      <w:r>
        <w:rPr>
          <w:color w:val="231F1F"/>
          <w:spacing w:val="-2"/>
          <w:w w:val="110"/>
        </w:rPr>
        <w:t> </w:t>
      </w:r>
      <w:r>
        <w:rPr>
          <w:color w:val="231F1F"/>
          <w:w w:val="110"/>
        </w:rPr>
        <w:t>canal</w:t>
      </w:r>
      <w:r>
        <w:rPr>
          <w:color w:val="231F1F"/>
          <w:spacing w:val="-1"/>
          <w:w w:val="110"/>
        </w:rPr>
        <w:t> </w:t>
      </w:r>
      <w:r>
        <w:rPr>
          <w:color w:val="231F1F"/>
          <w:w w:val="110"/>
        </w:rPr>
        <w:t>del</w:t>
      </w:r>
      <w:r>
        <w:rPr>
          <w:color w:val="231F1F"/>
          <w:spacing w:val="-2"/>
          <w:w w:val="110"/>
        </w:rPr>
        <w:t> </w:t>
      </w:r>
      <w:r>
        <w:rPr>
          <w:color w:val="231F1F"/>
          <w:w w:val="110"/>
        </w:rPr>
        <w:t>parto,</w:t>
      </w:r>
      <w:r>
        <w:rPr>
          <w:color w:val="231F1F"/>
          <w:spacing w:val="-2"/>
          <w:w w:val="110"/>
        </w:rPr>
        <w:t> </w:t>
      </w:r>
      <w:r>
        <w:rPr>
          <w:color w:val="231F1F"/>
          <w:w w:val="110"/>
        </w:rPr>
        <w:t>aunque</w:t>
      </w:r>
      <w:r>
        <w:rPr>
          <w:color w:val="231F1F"/>
          <w:spacing w:val="-1"/>
          <w:w w:val="110"/>
        </w:rPr>
        <w:t> </w:t>
      </w:r>
      <w:r>
        <w:rPr>
          <w:color w:val="231F1F"/>
          <w:w w:val="110"/>
        </w:rPr>
        <w:t>también puede</w:t>
      </w:r>
      <w:r>
        <w:rPr>
          <w:color w:val="231F1F"/>
          <w:spacing w:val="-1"/>
          <w:w w:val="110"/>
        </w:rPr>
        <w:t> </w:t>
      </w:r>
      <w:r>
        <w:rPr>
          <w:color w:val="231F1F"/>
          <w:w w:val="110"/>
        </w:rPr>
        <w:t>pro- </w:t>
      </w:r>
      <w:r>
        <w:rPr>
          <w:color w:val="231F1F"/>
          <w:spacing w:val="-2"/>
          <w:w w:val="110"/>
        </w:rPr>
        <w:t>ducirse</w:t>
      </w:r>
      <w:r>
        <w:rPr>
          <w:color w:val="231F1F"/>
          <w:spacing w:val="-10"/>
          <w:w w:val="110"/>
        </w:rPr>
        <w:t> </w:t>
      </w:r>
      <w:r>
        <w:rPr>
          <w:color w:val="231F1F"/>
          <w:spacing w:val="-2"/>
          <w:w w:val="110"/>
        </w:rPr>
        <w:t>intraútero</w:t>
      </w:r>
      <w:r>
        <w:rPr>
          <w:color w:val="231F1F"/>
          <w:spacing w:val="-10"/>
          <w:w w:val="110"/>
        </w:rPr>
        <w:t> </w:t>
      </w:r>
      <w:r>
        <w:rPr>
          <w:color w:val="231F1F"/>
          <w:spacing w:val="-2"/>
          <w:w w:val="110"/>
        </w:rPr>
        <w:t>o</w:t>
      </w:r>
      <w:r>
        <w:rPr>
          <w:color w:val="231F1F"/>
          <w:spacing w:val="-9"/>
          <w:w w:val="110"/>
        </w:rPr>
        <w:t> </w:t>
      </w:r>
      <w:r>
        <w:rPr>
          <w:color w:val="231F1F"/>
          <w:spacing w:val="-2"/>
          <w:w w:val="110"/>
        </w:rPr>
        <w:t>tras</w:t>
      </w:r>
      <w:r>
        <w:rPr>
          <w:color w:val="231F1F"/>
          <w:spacing w:val="-10"/>
          <w:w w:val="110"/>
        </w:rPr>
        <w:t> </w:t>
      </w:r>
      <w:r>
        <w:rPr>
          <w:color w:val="231F1F"/>
          <w:spacing w:val="-2"/>
          <w:w w:val="110"/>
        </w:rPr>
        <w:t>el</w:t>
      </w:r>
      <w:r>
        <w:rPr>
          <w:color w:val="231F1F"/>
          <w:spacing w:val="-10"/>
          <w:w w:val="110"/>
        </w:rPr>
        <w:t> </w:t>
      </w:r>
      <w:r>
        <w:rPr>
          <w:color w:val="231F1F"/>
          <w:spacing w:val="-2"/>
          <w:w w:val="110"/>
        </w:rPr>
        <w:t>nacimiento</w:t>
      </w:r>
      <w:r>
        <w:rPr>
          <w:color w:val="231F1F"/>
          <w:spacing w:val="-9"/>
          <w:w w:val="110"/>
        </w:rPr>
        <w:t> </w:t>
      </w:r>
      <w:r>
        <w:rPr>
          <w:color w:val="231F1F"/>
          <w:spacing w:val="-2"/>
          <w:w w:val="110"/>
        </w:rPr>
        <w:t>por</w:t>
      </w:r>
      <w:r>
        <w:rPr>
          <w:color w:val="231F1F"/>
          <w:spacing w:val="-10"/>
          <w:w w:val="110"/>
        </w:rPr>
        <w:t> </w:t>
      </w:r>
      <w:r>
        <w:rPr>
          <w:color w:val="231F1F"/>
          <w:spacing w:val="-2"/>
          <w:w w:val="110"/>
        </w:rPr>
        <w:t>secreciones</w:t>
      </w:r>
      <w:r>
        <w:rPr>
          <w:color w:val="231F1F"/>
          <w:spacing w:val="-11"/>
          <w:w w:val="110"/>
        </w:rPr>
        <w:t> </w:t>
      </w:r>
      <w:r>
        <w:rPr>
          <w:color w:val="231F1F"/>
          <w:spacing w:val="-2"/>
          <w:w w:val="110"/>
        </w:rPr>
        <w:t>contaminadas</w:t>
      </w:r>
      <w:r>
        <w:rPr>
          <w:color w:val="231F1F"/>
          <w:spacing w:val="-9"/>
          <w:w w:val="110"/>
        </w:rPr>
        <w:t> </w:t>
      </w:r>
      <w:r>
        <w:rPr>
          <w:color w:val="231F1F"/>
          <w:spacing w:val="-2"/>
          <w:w w:val="110"/>
        </w:rPr>
        <w:t>del</w:t>
      </w:r>
      <w:r>
        <w:rPr>
          <w:color w:val="231F1F"/>
          <w:spacing w:val="-10"/>
          <w:w w:val="110"/>
        </w:rPr>
        <w:t> </w:t>
      </w:r>
      <w:r>
        <w:rPr>
          <w:color w:val="231F1F"/>
          <w:spacing w:val="-2"/>
          <w:w w:val="110"/>
        </w:rPr>
        <w:t>personal</w:t>
      </w:r>
      <w:r>
        <w:rPr>
          <w:color w:val="231F1F"/>
          <w:spacing w:val="-10"/>
          <w:w w:val="110"/>
        </w:rPr>
        <w:t> </w:t>
      </w:r>
      <w:r>
        <w:rPr>
          <w:color w:val="231F1F"/>
          <w:spacing w:val="-2"/>
          <w:w w:val="110"/>
        </w:rPr>
        <w:t>sanitario </w:t>
      </w:r>
      <w:r>
        <w:rPr>
          <w:color w:val="231F1F"/>
          <w:w w:val="110"/>
        </w:rPr>
        <w:t>o miembros de la familia (249;250).</w:t>
      </w:r>
    </w:p>
    <w:p>
      <w:pPr>
        <w:pStyle w:val="BodyText"/>
        <w:spacing w:line="249" w:lineRule="auto" w:before="131"/>
        <w:ind w:left="283" w:right="117" w:firstLine="453"/>
        <w:jc w:val="both"/>
      </w:pPr>
      <w:r>
        <w:rPr>
          <w:color w:val="231F1F"/>
          <w:w w:val="105"/>
        </w:rPr>
        <w:t>Se</w:t>
      </w:r>
      <w:r>
        <w:rPr>
          <w:color w:val="231F1F"/>
          <w:w w:val="105"/>
        </w:rPr>
        <w:t> ha</w:t>
      </w:r>
      <w:r>
        <w:rPr>
          <w:color w:val="231F1F"/>
          <w:w w:val="105"/>
        </w:rPr>
        <w:t> descrito</w:t>
      </w:r>
      <w:r>
        <w:rPr>
          <w:color w:val="231F1F"/>
          <w:w w:val="105"/>
        </w:rPr>
        <w:t> que</w:t>
      </w:r>
      <w:r>
        <w:rPr>
          <w:color w:val="231F1F"/>
          <w:w w:val="105"/>
        </w:rPr>
        <w:t> la</w:t>
      </w:r>
      <w:r>
        <w:rPr>
          <w:color w:val="231F1F"/>
          <w:w w:val="105"/>
        </w:rPr>
        <w:t> profilaxis</w:t>
      </w:r>
      <w:r>
        <w:rPr>
          <w:color w:val="231F1F"/>
          <w:w w:val="105"/>
        </w:rPr>
        <w:t> mediante</w:t>
      </w:r>
      <w:r>
        <w:rPr>
          <w:color w:val="231F1F"/>
          <w:w w:val="105"/>
        </w:rPr>
        <w:t> pomadas</w:t>
      </w:r>
      <w:r>
        <w:rPr>
          <w:color w:val="231F1F"/>
          <w:w w:val="105"/>
        </w:rPr>
        <w:t> antibióticas</w:t>
      </w:r>
      <w:r>
        <w:rPr>
          <w:color w:val="231F1F"/>
          <w:w w:val="105"/>
        </w:rPr>
        <w:t> reduce</w:t>
      </w:r>
      <w:r>
        <w:rPr>
          <w:color w:val="231F1F"/>
          <w:w w:val="105"/>
        </w:rPr>
        <w:t> significativa- mente</w:t>
      </w:r>
      <w:r>
        <w:rPr>
          <w:color w:val="231F1F"/>
          <w:w w:val="105"/>
        </w:rPr>
        <w:t> el</w:t>
      </w:r>
      <w:r>
        <w:rPr>
          <w:color w:val="231F1F"/>
          <w:w w:val="105"/>
        </w:rPr>
        <w:t> riesgo</w:t>
      </w:r>
      <w:r>
        <w:rPr>
          <w:color w:val="231F1F"/>
          <w:w w:val="105"/>
        </w:rPr>
        <w:t> de</w:t>
      </w:r>
      <w:r>
        <w:rPr>
          <w:color w:val="231F1F"/>
          <w:w w:val="105"/>
        </w:rPr>
        <w:t> desarrollar</w:t>
      </w:r>
      <w:r>
        <w:rPr>
          <w:color w:val="231F1F"/>
          <w:w w:val="105"/>
        </w:rPr>
        <w:t> oftalmía</w:t>
      </w:r>
      <w:r>
        <w:rPr>
          <w:color w:val="231F1F"/>
          <w:w w:val="105"/>
        </w:rPr>
        <w:t> neonatal</w:t>
      </w:r>
      <w:r>
        <w:rPr>
          <w:color w:val="231F1F"/>
          <w:w w:val="105"/>
        </w:rPr>
        <w:t> (251).</w:t>
      </w:r>
      <w:r>
        <w:rPr>
          <w:color w:val="231F1F"/>
          <w:w w:val="105"/>
        </w:rPr>
        <w:t> Sin</w:t>
      </w:r>
      <w:r>
        <w:rPr>
          <w:color w:val="231F1F"/>
          <w:w w:val="105"/>
        </w:rPr>
        <w:t> embargo,</w:t>
      </w:r>
      <w:r>
        <w:rPr>
          <w:color w:val="231F1F"/>
          <w:w w:val="105"/>
        </w:rPr>
        <w:t> queda</w:t>
      </w:r>
      <w:r>
        <w:rPr>
          <w:color w:val="231F1F"/>
          <w:w w:val="105"/>
        </w:rPr>
        <w:t> por</w:t>
      </w:r>
      <w:r>
        <w:rPr>
          <w:color w:val="231F1F"/>
          <w:w w:val="105"/>
        </w:rPr>
        <w:t> resolver</w:t>
      </w:r>
      <w:r>
        <w:rPr>
          <w:color w:val="231F1F"/>
          <w:spacing w:val="40"/>
          <w:w w:val="105"/>
        </w:rPr>
        <w:t> </w:t>
      </w:r>
      <w:r>
        <w:rPr>
          <w:color w:val="231F1F"/>
          <w:w w:val="105"/>
        </w:rPr>
        <w:t>cuál es la medicación profiláctica más efectiva, el régimen y momento de la administración más adecuados.</w:t>
      </w:r>
    </w:p>
    <w:p>
      <w:pPr>
        <w:pStyle w:val="BodyText"/>
        <w:spacing w:line="244" w:lineRule="auto" w:before="133"/>
        <w:ind w:left="283" w:right="123" w:firstLine="453"/>
        <w:jc w:val="both"/>
      </w:pPr>
      <w:r>
        <w:rPr>
          <w:color w:val="231F1F"/>
          <w:w w:val="110"/>
        </w:rPr>
        <w:t>Por otra parte, existe preocupación sobre las consecuencias que la alteración de la vista</w:t>
      </w:r>
      <w:r>
        <w:rPr>
          <w:color w:val="231F1F"/>
          <w:spacing w:val="-15"/>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olfato</w:t>
      </w:r>
      <w:r>
        <w:rPr>
          <w:color w:val="231F1F"/>
          <w:spacing w:val="-15"/>
          <w:w w:val="110"/>
        </w:rPr>
        <w:t> </w:t>
      </w:r>
      <w:r>
        <w:rPr>
          <w:color w:val="231F1F"/>
          <w:w w:val="110"/>
        </w:rPr>
        <w:t>del</w:t>
      </w:r>
      <w:r>
        <w:rPr>
          <w:color w:val="231F1F"/>
          <w:spacing w:val="-15"/>
          <w:w w:val="110"/>
        </w:rPr>
        <w:t> </w:t>
      </w:r>
      <w:r>
        <w:rPr>
          <w:color w:val="231F1F"/>
          <w:w w:val="110"/>
        </w:rPr>
        <w:t>RN</w:t>
      </w:r>
      <w:r>
        <w:rPr>
          <w:color w:val="231F1F"/>
          <w:spacing w:val="-14"/>
          <w:w w:val="110"/>
        </w:rPr>
        <w:t> </w:t>
      </w:r>
      <w:r>
        <w:rPr>
          <w:color w:val="231F1F"/>
          <w:w w:val="110"/>
        </w:rPr>
        <w:t>ocasionada</w:t>
      </w:r>
      <w:r>
        <w:rPr>
          <w:color w:val="231F1F"/>
          <w:spacing w:val="-15"/>
          <w:w w:val="110"/>
        </w:rPr>
        <w:t> </w:t>
      </w:r>
      <w:r>
        <w:rPr>
          <w:color w:val="231F1F"/>
          <w:w w:val="110"/>
        </w:rPr>
        <w:t>por</w:t>
      </w:r>
      <w:r>
        <w:rPr>
          <w:color w:val="231F1F"/>
          <w:spacing w:val="-15"/>
          <w:w w:val="110"/>
        </w:rPr>
        <w:t> </w:t>
      </w:r>
      <w:r>
        <w:rPr>
          <w:color w:val="231F1F"/>
          <w:w w:val="110"/>
        </w:rPr>
        <w:t>la</w:t>
      </w:r>
      <w:r>
        <w:rPr>
          <w:color w:val="231F1F"/>
          <w:spacing w:val="-15"/>
          <w:w w:val="110"/>
        </w:rPr>
        <w:t> </w:t>
      </w:r>
      <w:r>
        <w:rPr>
          <w:color w:val="231F1F"/>
          <w:w w:val="110"/>
        </w:rPr>
        <w:t>profilaxis</w:t>
      </w:r>
      <w:r>
        <w:rPr>
          <w:color w:val="231F1F"/>
          <w:spacing w:val="-15"/>
          <w:w w:val="110"/>
        </w:rPr>
        <w:t> </w:t>
      </w:r>
      <w:r>
        <w:rPr>
          <w:color w:val="231F1F"/>
          <w:w w:val="110"/>
        </w:rPr>
        <w:t>puedan</w:t>
      </w:r>
      <w:r>
        <w:rPr>
          <w:color w:val="231F1F"/>
          <w:spacing w:val="-15"/>
          <w:w w:val="110"/>
        </w:rPr>
        <w:t> </w:t>
      </w:r>
      <w:r>
        <w:rPr>
          <w:color w:val="231F1F"/>
          <w:w w:val="110"/>
        </w:rPr>
        <w:t>tener</w:t>
      </w:r>
      <w:r>
        <w:rPr>
          <w:color w:val="231F1F"/>
          <w:spacing w:val="-15"/>
          <w:w w:val="110"/>
        </w:rPr>
        <w:t> </w:t>
      </w:r>
      <w:r>
        <w:rPr>
          <w:color w:val="231F1F"/>
          <w:w w:val="110"/>
        </w:rPr>
        <w:t>sobre</w:t>
      </w:r>
      <w:r>
        <w:rPr>
          <w:color w:val="231F1F"/>
          <w:spacing w:val="-15"/>
          <w:w w:val="110"/>
        </w:rPr>
        <w:t> </w:t>
      </w:r>
      <w:r>
        <w:rPr>
          <w:color w:val="231F1F"/>
          <w:w w:val="110"/>
        </w:rPr>
        <w:t>el</w:t>
      </w:r>
      <w:r>
        <w:rPr>
          <w:color w:val="231F1F"/>
          <w:spacing w:val="-15"/>
          <w:w w:val="110"/>
        </w:rPr>
        <w:t> </w:t>
      </w:r>
      <w:r>
        <w:rPr>
          <w:color w:val="231F1F"/>
          <w:w w:val="110"/>
        </w:rPr>
        <w:t>reconocimiento del pecho materno y el inicio de la lactancia.</w:t>
      </w:r>
    </w:p>
    <w:p>
      <w:pPr>
        <w:pStyle w:val="BodyText"/>
      </w:pPr>
    </w:p>
    <w:p>
      <w:pPr>
        <w:pStyle w:val="BodyText"/>
        <w:spacing w:before="38"/>
      </w:pPr>
    </w:p>
    <w:p>
      <w:pPr>
        <w:pStyle w:val="Heading3"/>
        <w:numPr>
          <w:ilvl w:val="3"/>
          <w:numId w:val="2"/>
        </w:numPr>
        <w:tabs>
          <w:tab w:pos="1158" w:val="left" w:leader="none"/>
        </w:tabs>
        <w:spacing w:line="240" w:lineRule="auto" w:before="0" w:after="0"/>
        <w:ind w:left="1158" w:right="0" w:hanging="875"/>
        <w:jc w:val="left"/>
      </w:pPr>
      <w:r>
        <w:rPr>
          <w:color w:val="231F1F"/>
        </w:rPr>
        <w:t>Efectividad</w:t>
      </w:r>
      <w:r>
        <w:rPr>
          <w:color w:val="231F1F"/>
          <w:spacing w:val="46"/>
        </w:rPr>
        <w:t> </w:t>
      </w:r>
      <w:r>
        <w:rPr>
          <w:color w:val="231F1F"/>
        </w:rPr>
        <w:t>de</w:t>
      </w:r>
      <w:r>
        <w:rPr>
          <w:color w:val="231F1F"/>
          <w:spacing w:val="50"/>
        </w:rPr>
        <w:t> </w:t>
      </w:r>
      <w:r>
        <w:rPr>
          <w:color w:val="231F1F"/>
        </w:rPr>
        <w:t>la</w:t>
      </w:r>
      <w:r>
        <w:rPr>
          <w:color w:val="231F1F"/>
          <w:spacing w:val="48"/>
        </w:rPr>
        <w:t> </w:t>
      </w:r>
      <w:r>
        <w:rPr>
          <w:color w:val="231F1F"/>
        </w:rPr>
        <w:t>profilaxis</w:t>
      </w:r>
      <w:r>
        <w:rPr>
          <w:color w:val="231F1F"/>
          <w:spacing w:val="50"/>
        </w:rPr>
        <w:t> </w:t>
      </w:r>
      <w:r>
        <w:rPr>
          <w:color w:val="231F1F"/>
        </w:rPr>
        <w:t>oftálmica</w:t>
      </w:r>
      <w:r>
        <w:rPr>
          <w:color w:val="231F1F"/>
          <w:spacing w:val="50"/>
        </w:rPr>
        <w:t> </w:t>
      </w:r>
      <w:r>
        <w:rPr>
          <w:color w:val="231F1F"/>
          <w:spacing w:val="-2"/>
        </w:rPr>
        <w:t>sistemática</w:t>
      </w:r>
    </w:p>
    <w:p>
      <w:pPr>
        <w:pStyle w:val="BodyText"/>
        <w:spacing w:before="18"/>
        <w:rPr>
          <w:sz w:val="20"/>
        </w:rPr>
      </w:pPr>
      <w:r>
        <w:rPr>
          <w:sz w:val="20"/>
        </w:rPr>
        <mc:AlternateContent>
          <mc:Choice Requires="wps">
            <w:drawing>
              <wp:anchor distT="0" distB="0" distL="0" distR="0" allowOverlap="1" layoutInCell="1" locked="0" behindDoc="1" simplePos="0" relativeHeight="487617536">
                <wp:simplePos x="0" y="0"/>
                <wp:positionH relativeFrom="page">
                  <wp:posOffset>1082675</wp:posOffset>
                </wp:positionH>
                <wp:positionV relativeFrom="paragraph">
                  <wp:posOffset>176020</wp:posOffset>
                </wp:positionV>
                <wp:extent cx="5400040" cy="262255"/>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5400040" cy="262255"/>
                        </a:xfrm>
                        <a:prstGeom prst="rect">
                          <a:avLst/>
                        </a:prstGeom>
                        <a:ln w="6350">
                          <a:solidFill>
                            <a:srgbClr val="A30046"/>
                          </a:solidFill>
                          <a:prstDash val="solid"/>
                        </a:ln>
                      </wps:spPr>
                      <wps:txbx>
                        <w:txbxContent>
                          <w:p>
                            <w:pPr>
                              <w:pStyle w:val="BodyText"/>
                              <w:numPr>
                                <w:ilvl w:val="0"/>
                                <w:numId w:val="59"/>
                              </w:numPr>
                              <w:tabs>
                                <w:tab w:pos="322" w:val="left" w:leader="none"/>
                              </w:tabs>
                              <w:spacing w:line="240" w:lineRule="auto" w:before="63" w:after="0"/>
                              <w:ind w:left="322" w:right="0" w:hanging="218"/>
                              <w:jc w:val="left"/>
                            </w:pPr>
                            <w:r>
                              <w:rPr>
                                <w:color w:val="231F1F"/>
                              </w:rPr>
                              <w:t>¿Cuál</w:t>
                            </w:r>
                            <w:r>
                              <w:rPr>
                                <w:color w:val="231F1F"/>
                                <w:spacing w:val="21"/>
                              </w:rPr>
                              <w:t> </w:t>
                            </w:r>
                            <w:r>
                              <w:rPr>
                                <w:color w:val="231F1F"/>
                              </w:rPr>
                              <w:t>es</w:t>
                            </w:r>
                            <w:r>
                              <w:rPr>
                                <w:color w:val="231F1F"/>
                                <w:spacing w:val="24"/>
                              </w:rPr>
                              <w:t> </w:t>
                            </w:r>
                            <w:r>
                              <w:rPr>
                                <w:color w:val="231F1F"/>
                              </w:rPr>
                              <w:t>la</w:t>
                            </w:r>
                            <w:r>
                              <w:rPr>
                                <w:color w:val="231F1F"/>
                                <w:spacing w:val="23"/>
                              </w:rPr>
                              <w:t> </w:t>
                            </w:r>
                            <w:r>
                              <w:rPr>
                                <w:color w:val="231F1F"/>
                              </w:rPr>
                              <w:t>efectividad</w:t>
                            </w:r>
                            <w:r>
                              <w:rPr>
                                <w:color w:val="231F1F"/>
                                <w:spacing w:val="22"/>
                              </w:rPr>
                              <w:t> </w:t>
                            </w:r>
                            <w:r>
                              <w:rPr>
                                <w:color w:val="231F1F"/>
                              </w:rPr>
                              <w:t>de</w:t>
                            </w:r>
                            <w:r>
                              <w:rPr>
                                <w:color w:val="231F1F"/>
                                <w:spacing w:val="23"/>
                              </w:rPr>
                              <w:t> </w:t>
                            </w:r>
                            <w:r>
                              <w:rPr>
                                <w:color w:val="231F1F"/>
                              </w:rPr>
                              <w:t>la</w:t>
                            </w:r>
                            <w:r>
                              <w:rPr>
                                <w:color w:val="231F1F"/>
                                <w:spacing w:val="24"/>
                              </w:rPr>
                              <w:t> </w:t>
                            </w:r>
                            <w:r>
                              <w:rPr>
                                <w:color w:val="231F1F"/>
                              </w:rPr>
                              <w:t>profilaxis</w:t>
                            </w:r>
                            <w:r>
                              <w:rPr>
                                <w:color w:val="231F1F"/>
                                <w:spacing w:val="24"/>
                              </w:rPr>
                              <w:t> </w:t>
                            </w:r>
                            <w:r>
                              <w:rPr>
                                <w:color w:val="231F1F"/>
                              </w:rPr>
                              <w:t>oftálmica</w:t>
                            </w:r>
                            <w:r>
                              <w:rPr>
                                <w:color w:val="231F1F"/>
                                <w:spacing w:val="21"/>
                              </w:rPr>
                              <w:t> </w:t>
                            </w:r>
                            <w:r>
                              <w:rPr>
                                <w:color w:val="231F1F"/>
                              </w:rPr>
                              <w:t>sistemática</w:t>
                            </w:r>
                            <w:r>
                              <w:rPr>
                                <w:color w:val="231F1F"/>
                                <w:spacing w:val="24"/>
                              </w:rPr>
                              <w:t> </w:t>
                            </w:r>
                            <w:r>
                              <w:rPr>
                                <w:color w:val="231F1F"/>
                              </w:rPr>
                              <w:t>en</w:t>
                            </w:r>
                            <w:r>
                              <w:rPr>
                                <w:color w:val="231F1F"/>
                                <w:spacing w:val="23"/>
                              </w:rPr>
                              <w:t> </w:t>
                            </w:r>
                            <w:r>
                              <w:rPr>
                                <w:color w:val="231F1F"/>
                              </w:rPr>
                              <w:t>el</w:t>
                            </w:r>
                            <w:r>
                              <w:rPr>
                                <w:color w:val="231F1F"/>
                                <w:spacing w:val="24"/>
                              </w:rPr>
                              <w:t> </w:t>
                            </w:r>
                            <w:r>
                              <w:rPr>
                                <w:color w:val="231F1F"/>
                                <w:spacing w:val="-5"/>
                              </w:rPr>
                              <w:t>RN?</w:t>
                            </w:r>
                          </w:p>
                        </w:txbxContent>
                      </wps:txbx>
                      <wps:bodyPr wrap="square" lIns="0" tIns="0" rIns="0" bIns="0" rtlCol="0">
                        <a:noAutofit/>
                      </wps:bodyPr>
                    </wps:wsp>
                  </a:graphicData>
                </a:graphic>
              </wp:anchor>
            </w:drawing>
          </mc:Choice>
          <mc:Fallback>
            <w:pict>
              <v:shape style="position:absolute;margin-left:85.25pt;margin-top:13.859863pt;width:425.2pt;height:20.65pt;mso-position-horizontal-relative:page;mso-position-vertical-relative:paragraph;z-index:-15698944;mso-wrap-distance-left:0;mso-wrap-distance-right:0" type="#_x0000_t202" id="docshape105" filled="false" stroked="true" strokeweight=".5pt" strokecolor="#a30046">
                <v:textbox inset="0,0,0,0">
                  <w:txbxContent>
                    <w:p>
                      <w:pPr>
                        <w:pStyle w:val="BodyText"/>
                        <w:numPr>
                          <w:ilvl w:val="0"/>
                          <w:numId w:val="59"/>
                        </w:numPr>
                        <w:tabs>
                          <w:tab w:pos="322" w:val="left" w:leader="none"/>
                        </w:tabs>
                        <w:spacing w:line="240" w:lineRule="auto" w:before="63" w:after="0"/>
                        <w:ind w:left="322" w:right="0" w:hanging="218"/>
                        <w:jc w:val="left"/>
                      </w:pPr>
                      <w:r>
                        <w:rPr>
                          <w:color w:val="231F1F"/>
                        </w:rPr>
                        <w:t>¿Cuál</w:t>
                      </w:r>
                      <w:r>
                        <w:rPr>
                          <w:color w:val="231F1F"/>
                          <w:spacing w:val="21"/>
                        </w:rPr>
                        <w:t> </w:t>
                      </w:r>
                      <w:r>
                        <w:rPr>
                          <w:color w:val="231F1F"/>
                        </w:rPr>
                        <w:t>es</w:t>
                      </w:r>
                      <w:r>
                        <w:rPr>
                          <w:color w:val="231F1F"/>
                          <w:spacing w:val="24"/>
                        </w:rPr>
                        <w:t> </w:t>
                      </w:r>
                      <w:r>
                        <w:rPr>
                          <w:color w:val="231F1F"/>
                        </w:rPr>
                        <w:t>la</w:t>
                      </w:r>
                      <w:r>
                        <w:rPr>
                          <w:color w:val="231F1F"/>
                          <w:spacing w:val="23"/>
                        </w:rPr>
                        <w:t> </w:t>
                      </w:r>
                      <w:r>
                        <w:rPr>
                          <w:color w:val="231F1F"/>
                        </w:rPr>
                        <w:t>efectividad</w:t>
                      </w:r>
                      <w:r>
                        <w:rPr>
                          <w:color w:val="231F1F"/>
                          <w:spacing w:val="22"/>
                        </w:rPr>
                        <w:t> </w:t>
                      </w:r>
                      <w:r>
                        <w:rPr>
                          <w:color w:val="231F1F"/>
                        </w:rPr>
                        <w:t>de</w:t>
                      </w:r>
                      <w:r>
                        <w:rPr>
                          <w:color w:val="231F1F"/>
                          <w:spacing w:val="23"/>
                        </w:rPr>
                        <w:t> </w:t>
                      </w:r>
                      <w:r>
                        <w:rPr>
                          <w:color w:val="231F1F"/>
                        </w:rPr>
                        <w:t>la</w:t>
                      </w:r>
                      <w:r>
                        <w:rPr>
                          <w:color w:val="231F1F"/>
                          <w:spacing w:val="24"/>
                        </w:rPr>
                        <w:t> </w:t>
                      </w:r>
                      <w:r>
                        <w:rPr>
                          <w:color w:val="231F1F"/>
                        </w:rPr>
                        <w:t>profilaxis</w:t>
                      </w:r>
                      <w:r>
                        <w:rPr>
                          <w:color w:val="231F1F"/>
                          <w:spacing w:val="24"/>
                        </w:rPr>
                        <w:t> </w:t>
                      </w:r>
                      <w:r>
                        <w:rPr>
                          <w:color w:val="231F1F"/>
                        </w:rPr>
                        <w:t>oftálmica</w:t>
                      </w:r>
                      <w:r>
                        <w:rPr>
                          <w:color w:val="231F1F"/>
                          <w:spacing w:val="21"/>
                        </w:rPr>
                        <w:t> </w:t>
                      </w:r>
                      <w:r>
                        <w:rPr>
                          <w:color w:val="231F1F"/>
                        </w:rPr>
                        <w:t>sistemática</w:t>
                      </w:r>
                      <w:r>
                        <w:rPr>
                          <w:color w:val="231F1F"/>
                          <w:spacing w:val="24"/>
                        </w:rPr>
                        <w:t> </w:t>
                      </w:r>
                      <w:r>
                        <w:rPr>
                          <w:color w:val="231F1F"/>
                        </w:rPr>
                        <w:t>en</w:t>
                      </w:r>
                      <w:r>
                        <w:rPr>
                          <w:color w:val="231F1F"/>
                          <w:spacing w:val="23"/>
                        </w:rPr>
                        <w:t> </w:t>
                      </w:r>
                      <w:r>
                        <w:rPr>
                          <w:color w:val="231F1F"/>
                        </w:rPr>
                        <w:t>el</w:t>
                      </w:r>
                      <w:r>
                        <w:rPr>
                          <w:color w:val="231F1F"/>
                          <w:spacing w:val="24"/>
                        </w:rPr>
                        <w:t> </w:t>
                      </w:r>
                      <w:r>
                        <w:rPr>
                          <w:color w:val="231F1F"/>
                          <w:spacing w:val="-5"/>
                        </w:rPr>
                        <w:t>RN?</w:t>
                      </w:r>
                    </w:p>
                  </w:txbxContent>
                </v:textbox>
                <v:stroke dashstyle="solid"/>
                <w10:wrap type="topAndBottom"/>
              </v:shape>
            </w:pict>
          </mc:Fallback>
        </mc:AlternateContent>
      </w:r>
    </w:p>
    <w:p>
      <w:pPr>
        <w:pStyle w:val="BodyText"/>
        <w:spacing w:before="30"/>
        <w:rPr>
          <w:sz w:val="32"/>
        </w:rPr>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205"/>
        <w:ind w:left="288"/>
        <w:jc w:val="both"/>
      </w:pPr>
      <w:r>
        <w:rPr>
          <w:color w:val="231F1F"/>
          <w:w w:val="110"/>
        </w:rPr>
        <w:t>La</w:t>
      </w:r>
      <w:r>
        <w:rPr>
          <w:color w:val="231F1F"/>
          <w:spacing w:val="-15"/>
          <w:w w:val="110"/>
        </w:rPr>
        <w:t> </w:t>
      </w:r>
      <w:r>
        <w:rPr>
          <w:color w:val="231F1F"/>
          <w:w w:val="110"/>
        </w:rPr>
        <w:t>guía</w:t>
      </w:r>
      <w:r>
        <w:rPr>
          <w:color w:val="231F1F"/>
          <w:spacing w:val="-13"/>
          <w:w w:val="110"/>
        </w:rPr>
        <w:t> </w:t>
      </w:r>
      <w:r>
        <w:rPr>
          <w:color w:val="231F1F"/>
          <w:w w:val="110"/>
        </w:rPr>
        <w:t>NICE</w:t>
      </w:r>
      <w:r>
        <w:rPr>
          <w:color w:val="231F1F"/>
          <w:spacing w:val="-11"/>
          <w:w w:val="110"/>
        </w:rPr>
        <w:t> </w:t>
      </w:r>
      <w:r>
        <w:rPr>
          <w:color w:val="231F1F"/>
          <w:w w:val="110"/>
        </w:rPr>
        <w:t>(10)</w:t>
      </w:r>
      <w:r>
        <w:rPr>
          <w:color w:val="231F1F"/>
          <w:spacing w:val="-13"/>
          <w:w w:val="110"/>
        </w:rPr>
        <w:t> </w:t>
      </w:r>
      <w:r>
        <w:rPr>
          <w:color w:val="231F1F"/>
          <w:w w:val="110"/>
        </w:rPr>
        <w:t>no</w:t>
      </w:r>
      <w:r>
        <w:rPr>
          <w:color w:val="231F1F"/>
          <w:spacing w:val="-11"/>
          <w:w w:val="110"/>
        </w:rPr>
        <w:t> </w:t>
      </w:r>
      <w:r>
        <w:rPr>
          <w:color w:val="231F1F"/>
          <w:w w:val="110"/>
        </w:rPr>
        <w:t>aborda</w:t>
      </w:r>
      <w:r>
        <w:rPr>
          <w:color w:val="231F1F"/>
          <w:spacing w:val="-13"/>
          <w:w w:val="110"/>
        </w:rPr>
        <w:t> </w:t>
      </w:r>
      <w:r>
        <w:rPr>
          <w:color w:val="231F1F"/>
          <w:w w:val="110"/>
        </w:rPr>
        <w:t>este</w:t>
      </w:r>
      <w:r>
        <w:rPr>
          <w:color w:val="231F1F"/>
          <w:spacing w:val="-13"/>
          <w:w w:val="110"/>
        </w:rPr>
        <w:t> </w:t>
      </w:r>
      <w:r>
        <w:rPr>
          <w:color w:val="231F1F"/>
          <w:spacing w:val="-2"/>
          <w:w w:val="110"/>
        </w:rPr>
        <w:t>punto.</w:t>
      </w:r>
    </w:p>
    <w:p>
      <w:pPr>
        <w:pStyle w:val="BodyText"/>
        <w:spacing w:before="115"/>
        <w:rPr>
          <w:sz w:val="20"/>
        </w:rPr>
      </w:pPr>
    </w:p>
    <w:p>
      <w:pPr>
        <w:pStyle w:val="BodyText"/>
        <w:spacing w:after="0"/>
        <w:rPr>
          <w:sz w:val="20"/>
        </w:rPr>
        <w:sectPr>
          <w:pgSz w:w="11900" w:h="16840"/>
          <w:pgMar w:header="0" w:footer="622" w:top="1560" w:bottom="820" w:left="1417" w:right="1559"/>
        </w:sectPr>
      </w:pPr>
    </w:p>
    <w:p>
      <w:pPr>
        <w:spacing w:before="92"/>
        <w:ind w:left="287" w:right="0" w:firstLine="0"/>
        <w:jc w:val="both"/>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3"/>
          <w:sz w:val="24"/>
        </w:rPr>
        <w:t> </w:t>
      </w:r>
      <w:r>
        <w:rPr>
          <w:rFonts w:ascii="Arial MT" w:hAnsi="Arial MT"/>
          <w:color w:val="231F1F"/>
          <w:sz w:val="24"/>
        </w:rPr>
        <w:t>julio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3"/>
          <w:sz w:val="24"/>
        </w:rPr>
        <w:t> </w:t>
      </w:r>
      <w:r>
        <w:rPr>
          <w:rFonts w:ascii="Arial MT" w:hAnsi="Arial MT"/>
          <w:color w:val="231F1F"/>
          <w:spacing w:val="-2"/>
          <w:sz w:val="24"/>
        </w:rPr>
        <w:t>2008)</w:t>
      </w:r>
    </w:p>
    <w:p>
      <w:pPr>
        <w:pStyle w:val="BodyText"/>
        <w:spacing w:line="249" w:lineRule="auto" w:before="210"/>
        <w:ind w:left="288" w:right="5"/>
        <w:jc w:val="both"/>
      </w:pPr>
      <w:r>
        <w:rPr>
          <w:color w:val="231F1F"/>
          <w:w w:val="110"/>
        </w:rPr>
        <w:t>Se</w:t>
      </w:r>
      <w:r>
        <w:rPr>
          <w:color w:val="231F1F"/>
          <w:spacing w:val="-6"/>
          <w:w w:val="110"/>
        </w:rPr>
        <w:t> </w:t>
      </w:r>
      <w:r>
        <w:rPr>
          <w:color w:val="231F1F"/>
          <w:w w:val="110"/>
        </w:rPr>
        <w:t>ha</w:t>
      </w:r>
      <w:r>
        <w:rPr>
          <w:color w:val="231F1F"/>
          <w:spacing w:val="-6"/>
          <w:w w:val="110"/>
        </w:rPr>
        <w:t> </w:t>
      </w:r>
      <w:r>
        <w:rPr>
          <w:color w:val="231F1F"/>
          <w:w w:val="110"/>
        </w:rPr>
        <w:t>incluido</w:t>
      </w:r>
      <w:r>
        <w:rPr>
          <w:color w:val="231F1F"/>
          <w:spacing w:val="-6"/>
          <w:w w:val="110"/>
        </w:rPr>
        <w:t> </w:t>
      </w:r>
      <w:r>
        <w:rPr>
          <w:color w:val="231F1F"/>
          <w:w w:val="110"/>
        </w:rPr>
        <w:t>un</w:t>
      </w:r>
      <w:r>
        <w:rPr>
          <w:color w:val="231F1F"/>
          <w:spacing w:val="-6"/>
          <w:w w:val="110"/>
        </w:rPr>
        <w:t> </w:t>
      </w:r>
      <w:r>
        <w:rPr>
          <w:color w:val="231F1F"/>
          <w:w w:val="110"/>
        </w:rPr>
        <w:t>estudio</w:t>
      </w:r>
      <w:r>
        <w:rPr>
          <w:color w:val="231F1F"/>
          <w:spacing w:val="-5"/>
          <w:w w:val="110"/>
        </w:rPr>
        <w:t> </w:t>
      </w:r>
      <w:r>
        <w:rPr>
          <w:color w:val="231F1F"/>
          <w:w w:val="110"/>
        </w:rPr>
        <w:t>(252)</w:t>
      </w:r>
      <w:r>
        <w:rPr>
          <w:color w:val="231F1F"/>
          <w:spacing w:val="-6"/>
          <w:w w:val="110"/>
        </w:rPr>
        <w:t> </w:t>
      </w:r>
      <w:r>
        <w:rPr>
          <w:color w:val="231F1F"/>
          <w:w w:val="110"/>
        </w:rPr>
        <w:t>en</w:t>
      </w:r>
      <w:r>
        <w:rPr>
          <w:color w:val="231F1F"/>
          <w:spacing w:val="-6"/>
          <w:w w:val="110"/>
        </w:rPr>
        <w:t> </w:t>
      </w:r>
      <w:r>
        <w:rPr>
          <w:color w:val="231F1F"/>
          <w:w w:val="110"/>
        </w:rPr>
        <w:t>la</w:t>
      </w:r>
      <w:r>
        <w:rPr>
          <w:color w:val="231F1F"/>
          <w:spacing w:val="-6"/>
          <w:w w:val="110"/>
        </w:rPr>
        <w:t> </w:t>
      </w:r>
      <w:r>
        <w:rPr>
          <w:color w:val="231F1F"/>
          <w:w w:val="110"/>
        </w:rPr>
        <w:t>búsqueda</w:t>
      </w:r>
      <w:r>
        <w:rPr>
          <w:color w:val="231F1F"/>
          <w:spacing w:val="-6"/>
          <w:w w:val="110"/>
        </w:rPr>
        <w:t> </w:t>
      </w:r>
      <w:r>
        <w:rPr>
          <w:color w:val="231F1F"/>
          <w:w w:val="110"/>
        </w:rPr>
        <w:t>de</w:t>
      </w:r>
      <w:r>
        <w:rPr>
          <w:color w:val="231F1F"/>
          <w:spacing w:val="-6"/>
          <w:w w:val="110"/>
        </w:rPr>
        <w:t> </w:t>
      </w:r>
      <w:r>
        <w:rPr>
          <w:color w:val="231F1F"/>
          <w:w w:val="110"/>
        </w:rPr>
        <w:t>actualización.</w:t>
      </w:r>
      <w:r>
        <w:rPr>
          <w:color w:val="231F1F"/>
          <w:spacing w:val="-7"/>
          <w:w w:val="110"/>
        </w:rPr>
        <w:t> </w:t>
      </w:r>
      <w:r>
        <w:rPr>
          <w:color w:val="231F1F"/>
          <w:w w:val="110"/>
        </w:rPr>
        <w:t>Se</w:t>
      </w:r>
      <w:r>
        <w:rPr>
          <w:color w:val="231F1F"/>
          <w:spacing w:val="-6"/>
          <w:w w:val="110"/>
        </w:rPr>
        <w:t> </w:t>
      </w:r>
      <w:r>
        <w:rPr>
          <w:color w:val="231F1F"/>
          <w:w w:val="110"/>
        </w:rPr>
        <w:t>trata</w:t>
      </w:r>
      <w:r>
        <w:rPr>
          <w:color w:val="231F1F"/>
          <w:spacing w:val="-6"/>
          <w:w w:val="110"/>
        </w:rPr>
        <w:t> </w:t>
      </w:r>
      <w:r>
        <w:rPr>
          <w:color w:val="231F1F"/>
          <w:w w:val="110"/>
        </w:rPr>
        <w:t>de un</w:t>
      </w:r>
      <w:r>
        <w:rPr>
          <w:color w:val="231F1F"/>
          <w:spacing w:val="-12"/>
          <w:w w:val="110"/>
        </w:rPr>
        <w:t> </w:t>
      </w:r>
      <w:r>
        <w:rPr>
          <w:color w:val="231F1F"/>
          <w:w w:val="110"/>
        </w:rPr>
        <w:t>documento</w:t>
      </w:r>
      <w:r>
        <w:rPr>
          <w:color w:val="231F1F"/>
          <w:spacing w:val="-12"/>
          <w:w w:val="110"/>
        </w:rPr>
        <w:t> </w:t>
      </w:r>
      <w:r>
        <w:rPr>
          <w:color w:val="231F1F"/>
          <w:w w:val="110"/>
        </w:rPr>
        <w:t>de</w:t>
      </w:r>
      <w:r>
        <w:rPr>
          <w:color w:val="231F1F"/>
          <w:spacing w:val="-12"/>
          <w:w w:val="110"/>
        </w:rPr>
        <w:t> </w:t>
      </w:r>
      <w:r>
        <w:rPr>
          <w:color w:val="231F1F"/>
          <w:w w:val="110"/>
        </w:rPr>
        <w:t>revisión</w:t>
      </w:r>
      <w:r>
        <w:rPr>
          <w:color w:val="231F1F"/>
          <w:spacing w:val="-11"/>
          <w:w w:val="110"/>
        </w:rPr>
        <w:t> </w:t>
      </w:r>
      <w:r>
        <w:rPr>
          <w:color w:val="231F1F"/>
          <w:w w:val="110"/>
        </w:rPr>
        <w:t>elaborado</w:t>
      </w:r>
      <w:r>
        <w:rPr>
          <w:color w:val="231F1F"/>
          <w:spacing w:val="-11"/>
          <w:w w:val="110"/>
        </w:rPr>
        <w:t> </w:t>
      </w:r>
      <w:r>
        <w:rPr>
          <w:color w:val="231F1F"/>
          <w:w w:val="110"/>
        </w:rPr>
        <w:t>por</w:t>
      </w:r>
      <w:r>
        <w:rPr>
          <w:color w:val="231F1F"/>
          <w:spacing w:val="-12"/>
          <w:w w:val="110"/>
        </w:rPr>
        <w:t> </w:t>
      </w:r>
      <w:r>
        <w:rPr>
          <w:color w:val="231F1F"/>
          <w:w w:val="110"/>
        </w:rPr>
        <w:t>Goldbloom</w:t>
      </w:r>
      <w:r>
        <w:rPr>
          <w:color w:val="231F1F"/>
          <w:spacing w:val="-10"/>
          <w:w w:val="110"/>
        </w:rPr>
        <w:t> </w:t>
      </w:r>
      <w:r>
        <w:rPr>
          <w:color w:val="231F1F"/>
          <w:w w:val="110"/>
        </w:rPr>
        <w:t>RB</w:t>
      </w:r>
      <w:r>
        <w:rPr>
          <w:color w:val="231F1F"/>
          <w:spacing w:val="-11"/>
          <w:w w:val="110"/>
        </w:rPr>
        <w:t> </w:t>
      </w:r>
      <w:r>
        <w:rPr>
          <w:color w:val="231F1F"/>
          <w:w w:val="110"/>
        </w:rPr>
        <w:t>en</w:t>
      </w:r>
      <w:r>
        <w:rPr>
          <w:color w:val="231F1F"/>
          <w:spacing w:val="-12"/>
          <w:w w:val="110"/>
        </w:rPr>
        <w:t> </w:t>
      </w:r>
      <w:r>
        <w:rPr>
          <w:color w:val="231F1F"/>
          <w:w w:val="110"/>
        </w:rPr>
        <w:t>1994</w:t>
      </w:r>
      <w:r>
        <w:rPr>
          <w:color w:val="231F1F"/>
          <w:spacing w:val="-12"/>
          <w:w w:val="110"/>
        </w:rPr>
        <w:t> </w:t>
      </w:r>
      <w:r>
        <w:rPr>
          <w:color w:val="231F1F"/>
          <w:w w:val="110"/>
        </w:rPr>
        <w:t>(252)</w:t>
      </w:r>
      <w:r>
        <w:rPr>
          <w:color w:val="231F1F"/>
          <w:spacing w:val="-12"/>
          <w:w w:val="110"/>
        </w:rPr>
        <w:t> </w:t>
      </w:r>
      <w:r>
        <w:rPr>
          <w:color w:val="231F1F"/>
          <w:w w:val="110"/>
        </w:rPr>
        <w:t>para la</w:t>
      </w:r>
      <w:r>
        <w:rPr>
          <w:color w:val="231F1F"/>
          <w:spacing w:val="-11"/>
          <w:w w:val="110"/>
        </w:rPr>
        <w:t> </w:t>
      </w:r>
      <w:r>
        <w:rPr>
          <w:color w:val="231F1F"/>
          <w:w w:val="110"/>
        </w:rPr>
        <w:t>Canadian</w:t>
      </w:r>
      <w:r>
        <w:rPr>
          <w:color w:val="231F1F"/>
          <w:spacing w:val="-11"/>
          <w:w w:val="110"/>
        </w:rPr>
        <w:t> </w:t>
      </w:r>
      <w:r>
        <w:rPr>
          <w:color w:val="231F1F"/>
          <w:w w:val="110"/>
        </w:rPr>
        <w:t>Task</w:t>
      </w:r>
      <w:r>
        <w:rPr>
          <w:color w:val="231F1F"/>
          <w:spacing w:val="-11"/>
          <w:w w:val="110"/>
        </w:rPr>
        <w:t> </w:t>
      </w:r>
      <w:r>
        <w:rPr>
          <w:color w:val="231F1F"/>
          <w:w w:val="110"/>
        </w:rPr>
        <w:t>Force,</w:t>
      </w:r>
      <w:r>
        <w:rPr>
          <w:color w:val="231F1F"/>
          <w:spacing w:val="-11"/>
          <w:w w:val="110"/>
        </w:rPr>
        <w:t> </w:t>
      </w:r>
      <w:r>
        <w:rPr>
          <w:color w:val="231F1F"/>
          <w:w w:val="110"/>
        </w:rPr>
        <w:t>sobre</w:t>
      </w:r>
      <w:r>
        <w:rPr>
          <w:color w:val="231F1F"/>
          <w:spacing w:val="-11"/>
          <w:w w:val="110"/>
        </w:rPr>
        <w:t> </w:t>
      </w:r>
      <w:r>
        <w:rPr>
          <w:color w:val="231F1F"/>
          <w:w w:val="110"/>
        </w:rPr>
        <w:t>la</w:t>
      </w:r>
      <w:r>
        <w:rPr>
          <w:color w:val="231F1F"/>
          <w:spacing w:val="-11"/>
          <w:w w:val="110"/>
        </w:rPr>
        <w:t> </w:t>
      </w:r>
      <w:r>
        <w:rPr>
          <w:color w:val="231F1F"/>
          <w:w w:val="110"/>
        </w:rPr>
        <w:t>profilaxis</w:t>
      </w:r>
      <w:r>
        <w:rPr>
          <w:color w:val="231F1F"/>
          <w:spacing w:val="-11"/>
          <w:w w:val="110"/>
        </w:rPr>
        <w:t> </w:t>
      </w:r>
      <w:r>
        <w:rPr>
          <w:color w:val="231F1F"/>
          <w:w w:val="110"/>
        </w:rPr>
        <w:t>oftálmica</w:t>
      </w:r>
      <w:r>
        <w:rPr>
          <w:color w:val="231F1F"/>
          <w:spacing w:val="-11"/>
          <w:w w:val="110"/>
        </w:rPr>
        <w:t> </w:t>
      </w:r>
      <w:r>
        <w:rPr>
          <w:color w:val="231F1F"/>
          <w:w w:val="110"/>
        </w:rPr>
        <w:t>por</w:t>
      </w:r>
      <w:r>
        <w:rPr>
          <w:color w:val="231F1F"/>
          <w:spacing w:val="-11"/>
          <w:w w:val="110"/>
        </w:rPr>
        <w:t> </w:t>
      </w:r>
      <w:r>
        <w:rPr>
          <w:color w:val="231F1F"/>
          <w:w w:val="110"/>
        </w:rPr>
        <w:t>gonococos</w:t>
      </w:r>
      <w:r>
        <w:rPr>
          <w:color w:val="231F1F"/>
          <w:spacing w:val="-11"/>
          <w:w w:val="110"/>
        </w:rPr>
        <w:t> </w:t>
      </w:r>
      <w:r>
        <w:rPr>
          <w:color w:val="231F1F"/>
          <w:w w:val="110"/>
        </w:rPr>
        <w:t>y</w:t>
      </w:r>
      <w:r>
        <w:rPr>
          <w:color w:val="231F1F"/>
          <w:spacing w:val="-11"/>
          <w:w w:val="110"/>
        </w:rPr>
        <w:t> </w:t>
      </w:r>
      <w:r>
        <w:rPr>
          <w:color w:val="231F1F"/>
          <w:w w:val="110"/>
        </w:rPr>
        <w:t>chla- </w:t>
      </w:r>
      <w:r>
        <w:rPr>
          <w:color w:val="231F1F"/>
          <w:spacing w:val="-2"/>
          <w:w w:val="110"/>
        </w:rPr>
        <w:t>mydia</w:t>
      </w:r>
      <w:r>
        <w:rPr>
          <w:color w:val="231F1F"/>
          <w:spacing w:val="-10"/>
          <w:w w:val="110"/>
        </w:rPr>
        <w:t> </w:t>
      </w:r>
      <w:r>
        <w:rPr>
          <w:color w:val="231F1F"/>
          <w:spacing w:val="-2"/>
          <w:w w:val="110"/>
        </w:rPr>
        <w:t>en</w:t>
      </w:r>
      <w:r>
        <w:rPr>
          <w:color w:val="231F1F"/>
          <w:spacing w:val="-10"/>
          <w:w w:val="110"/>
        </w:rPr>
        <w:t> </w:t>
      </w:r>
      <w:r>
        <w:rPr>
          <w:color w:val="231F1F"/>
          <w:spacing w:val="-2"/>
          <w:w w:val="110"/>
        </w:rPr>
        <w:t>neonatos.</w:t>
      </w:r>
      <w:r>
        <w:rPr>
          <w:color w:val="231F1F"/>
          <w:spacing w:val="-11"/>
          <w:w w:val="110"/>
        </w:rPr>
        <w:t> </w:t>
      </w:r>
      <w:r>
        <w:rPr>
          <w:color w:val="231F1F"/>
          <w:spacing w:val="-2"/>
          <w:w w:val="110"/>
        </w:rPr>
        <w:t>La</w:t>
      </w:r>
      <w:r>
        <w:rPr>
          <w:color w:val="231F1F"/>
          <w:spacing w:val="-10"/>
          <w:w w:val="110"/>
        </w:rPr>
        <w:t> </w:t>
      </w:r>
      <w:r>
        <w:rPr>
          <w:color w:val="231F1F"/>
          <w:spacing w:val="-2"/>
          <w:w w:val="110"/>
        </w:rPr>
        <w:t>revisión</w:t>
      </w:r>
      <w:r>
        <w:rPr>
          <w:color w:val="231F1F"/>
          <w:spacing w:val="-10"/>
          <w:w w:val="110"/>
        </w:rPr>
        <w:t> </w:t>
      </w:r>
      <w:r>
        <w:rPr>
          <w:color w:val="231F1F"/>
          <w:spacing w:val="-2"/>
          <w:w w:val="110"/>
        </w:rPr>
        <w:t>incluyó</w:t>
      </w:r>
      <w:r>
        <w:rPr>
          <w:color w:val="231F1F"/>
          <w:spacing w:val="-10"/>
          <w:w w:val="110"/>
        </w:rPr>
        <w:t> </w:t>
      </w:r>
      <w:r>
        <w:rPr>
          <w:color w:val="231F1F"/>
          <w:spacing w:val="-2"/>
          <w:w w:val="110"/>
        </w:rPr>
        <w:t>estudios</w:t>
      </w:r>
      <w:r>
        <w:rPr>
          <w:color w:val="231F1F"/>
          <w:spacing w:val="-10"/>
          <w:w w:val="110"/>
        </w:rPr>
        <w:t> </w:t>
      </w:r>
      <w:r>
        <w:rPr>
          <w:color w:val="231F1F"/>
          <w:spacing w:val="-2"/>
          <w:w w:val="110"/>
        </w:rPr>
        <w:t>que</w:t>
      </w:r>
      <w:r>
        <w:rPr>
          <w:color w:val="231F1F"/>
          <w:spacing w:val="-10"/>
          <w:w w:val="110"/>
        </w:rPr>
        <w:t> </w:t>
      </w:r>
      <w:r>
        <w:rPr>
          <w:color w:val="231F1F"/>
          <w:spacing w:val="-2"/>
          <w:w w:val="110"/>
        </w:rPr>
        <w:t>evaluaban</w:t>
      </w:r>
      <w:r>
        <w:rPr>
          <w:color w:val="231F1F"/>
          <w:spacing w:val="-10"/>
          <w:w w:val="110"/>
        </w:rPr>
        <w:t> </w:t>
      </w:r>
      <w:r>
        <w:rPr>
          <w:color w:val="231F1F"/>
          <w:spacing w:val="-2"/>
          <w:w w:val="110"/>
        </w:rPr>
        <w:t>la</w:t>
      </w:r>
      <w:r>
        <w:rPr>
          <w:color w:val="231F1F"/>
          <w:spacing w:val="-10"/>
          <w:w w:val="110"/>
        </w:rPr>
        <w:t> </w:t>
      </w:r>
      <w:r>
        <w:rPr>
          <w:color w:val="231F1F"/>
          <w:spacing w:val="-2"/>
          <w:w w:val="110"/>
        </w:rPr>
        <w:t>eficacia</w:t>
      </w:r>
      <w:r>
        <w:rPr>
          <w:color w:val="231F1F"/>
          <w:spacing w:val="-10"/>
          <w:w w:val="110"/>
        </w:rPr>
        <w:t> </w:t>
      </w:r>
      <w:r>
        <w:rPr>
          <w:color w:val="231F1F"/>
          <w:spacing w:val="-2"/>
          <w:w w:val="110"/>
        </w:rPr>
        <w:t>de </w:t>
      </w:r>
      <w:r>
        <w:rPr>
          <w:color w:val="231F1F"/>
          <w:w w:val="110"/>
        </w:rPr>
        <w:t>la</w:t>
      </w:r>
      <w:r>
        <w:rPr>
          <w:color w:val="231F1F"/>
          <w:spacing w:val="-6"/>
          <w:w w:val="110"/>
        </w:rPr>
        <w:t> </w:t>
      </w:r>
      <w:r>
        <w:rPr>
          <w:color w:val="231F1F"/>
          <w:w w:val="110"/>
        </w:rPr>
        <w:t>profilaxis</w:t>
      </w:r>
      <w:r>
        <w:rPr>
          <w:color w:val="231F1F"/>
          <w:spacing w:val="-7"/>
          <w:w w:val="110"/>
        </w:rPr>
        <w:t> </w:t>
      </w:r>
      <w:r>
        <w:rPr>
          <w:color w:val="231F1F"/>
          <w:w w:val="110"/>
        </w:rPr>
        <w:t>ocular</w:t>
      </w:r>
      <w:r>
        <w:rPr>
          <w:color w:val="231F1F"/>
          <w:spacing w:val="-7"/>
          <w:w w:val="110"/>
        </w:rPr>
        <w:t> </w:t>
      </w:r>
      <w:r>
        <w:rPr>
          <w:color w:val="231F1F"/>
          <w:w w:val="110"/>
        </w:rPr>
        <w:t>neonatal</w:t>
      </w:r>
      <w:r>
        <w:rPr>
          <w:color w:val="231F1F"/>
          <w:spacing w:val="-7"/>
          <w:w w:val="110"/>
        </w:rPr>
        <w:t> </w:t>
      </w:r>
      <w:r>
        <w:rPr>
          <w:color w:val="231F1F"/>
          <w:w w:val="110"/>
        </w:rPr>
        <w:t>con</w:t>
      </w:r>
      <w:r>
        <w:rPr>
          <w:color w:val="231F1F"/>
          <w:spacing w:val="-6"/>
          <w:w w:val="110"/>
        </w:rPr>
        <w:t> </w:t>
      </w:r>
      <w:r>
        <w:rPr>
          <w:color w:val="231F1F"/>
          <w:w w:val="110"/>
        </w:rPr>
        <w:t>solución</w:t>
      </w:r>
      <w:r>
        <w:rPr>
          <w:color w:val="231F1F"/>
          <w:spacing w:val="-7"/>
          <w:w w:val="110"/>
        </w:rPr>
        <w:t> </w:t>
      </w:r>
      <w:r>
        <w:rPr>
          <w:color w:val="231F1F"/>
          <w:w w:val="110"/>
        </w:rPr>
        <w:t>de</w:t>
      </w:r>
      <w:r>
        <w:rPr>
          <w:color w:val="231F1F"/>
          <w:spacing w:val="-7"/>
          <w:w w:val="110"/>
        </w:rPr>
        <w:t> </w:t>
      </w:r>
      <w:r>
        <w:rPr>
          <w:color w:val="231F1F"/>
          <w:w w:val="110"/>
        </w:rPr>
        <w:t>nitrato</w:t>
      </w:r>
      <w:r>
        <w:rPr>
          <w:color w:val="231F1F"/>
          <w:spacing w:val="-6"/>
          <w:w w:val="110"/>
        </w:rPr>
        <w:t> </w:t>
      </w:r>
      <w:r>
        <w:rPr>
          <w:color w:val="231F1F"/>
          <w:w w:val="110"/>
        </w:rPr>
        <w:t>de</w:t>
      </w:r>
      <w:r>
        <w:rPr>
          <w:color w:val="231F1F"/>
          <w:spacing w:val="-7"/>
          <w:w w:val="110"/>
        </w:rPr>
        <w:t> </w:t>
      </w:r>
      <w:r>
        <w:rPr>
          <w:color w:val="231F1F"/>
          <w:w w:val="110"/>
        </w:rPr>
        <w:t>plata</w:t>
      </w:r>
      <w:r>
        <w:rPr>
          <w:color w:val="231F1F"/>
          <w:spacing w:val="-7"/>
          <w:w w:val="110"/>
        </w:rPr>
        <w:t> </w:t>
      </w:r>
      <w:r>
        <w:rPr>
          <w:color w:val="231F1F"/>
          <w:w w:val="110"/>
        </w:rPr>
        <w:t>al</w:t>
      </w:r>
      <w:r>
        <w:rPr>
          <w:color w:val="231F1F"/>
          <w:spacing w:val="-7"/>
          <w:w w:val="110"/>
        </w:rPr>
        <w:t> </w:t>
      </w:r>
      <w:r>
        <w:rPr>
          <w:color w:val="231F1F"/>
          <w:w w:val="110"/>
        </w:rPr>
        <w:t>1%,</w:t>
      </w:r>
      <w:r>
        <w:rPr>
          <w:color w:val="231F1F"/>
          <w:spacing w:val="-7"/>
          <w:w w:val="110"/>
        </w:rPr>
        <w:t> </w:t>
      </w:r>
      <w:r>
        <w:rPr>
          <w:color w:val="231F1F"/>
          <w:w w:val="110"/>
        </w:rPr>
        <w:t>pomada de</w:t>
      </w:r>
      <w:r>
        <w:rPr>
          <w:color w:val="231F1F"/>
          <w:spacing w:val="-11"/>
          <w:w w:val="110"/>
        </w:rPr>
        <w:t> </w:t>
      </w:r>
      <w:r>
        <w:rPr>
          <w:color w:val="231F1F"/>
          <w:w w:val="110"/>
        </w:rPr>
        <w:t>tetraciclina</w:t>
      </w:r>
      <w:r>
        <w:rPr>
          <w:color w:val="231F1F"/>
          <w:spacing w:val="-11"/>
          <w:w w:val="110"/>
        </w:rPr>
        <w:t> </w:t>
      </w:r>
      <w:r>
        <w:rPr>
          <w:color w:val="231F1F"/>
          <w:w w:val="110"/>
        </w:rPr>
        <w:t>al</w:t>
      </w:r>
      <w:r>
        <w:rPr>
          <w:color w:val="231F1F"/>
          <w:spacing w:val="-12"/>
          <w:w w:val="110"/>
        </w:rPr>
        <w:t> </w:t>
      </w:r>
      <w:r>
        <w:rPr>
          <w:color w:val="231F1F"/>
          <w:w w:val="110"/>
        </w:rPr>
        <w:t>1%</w:t>
      </w:r>
      <w:r>
        <w:rPr>
          <w:color w:val="231F1F"/>
          <w:spacing w:val="-10"/>
          <w:w w:val="110"/>
        </w:rPr>
        <w:t> </w:t>
      </w:r>
      <w:r>
        <w:rPr>
          <w:color w:val="231F1F"/>
          <w:w w:val="110"/>
        </w:rPr>
        <w:t>o</w:t>
      </w:r>
      <w:r>
        <w:rPr>
          <w:color w:val="231F1F"/>
          <w:spacing w:val="-11"/>
          <w:w w:val="110"/>
        </w:rPr>
        <w:t> </w:t>
      </w:r>
      <w:r>
        <w:rPr>
          <w:color w:val="231F1F"/>
          <w:w w:val="110"/>
        </w:rPr>
        <w:t>de</w:t>
      </w:r>
      <w:r>
        <w:rPr>
          <w:color w:val="231F1F"/>
          <w:spacing w:val="-12"/>
          <w:w w:val="110"/>
        </w:rPr>
        <w:t> </w:t>
      </w:r>
      <w:r>
        <w:rPr>
          <w:color w:val="231F1F"/>
          <w:w w:val="110"/>
        </w:rPr>
        <w:t>eritromicina</w:t>
      </w:r>
      <w:r>
        <w:rPr>
          <w:color w:val="231F1F"/>
          <w:spacing w:val="-12"/>
          <w:w w:val="110"/>
        </w:rPr>
        <w:t> </w:t>
      </w:r>
      <w:r>
        <w:rPr>
          <w:color w:val="231F1F"/>
          <w:w w:val="110"/>
        </w:rPr>
        <w:t>al</w:t>
      </w:r>
      <w:r>
        <w:rPr>
          <w:color w:val="231F1F"/>
          <w:spacing w:val="-12"/>
          <w:w w:val="110"/>
        </w:rPr>
        <w:t> </w:t>
      </w:r>
      <w:r>
        <w:rPr>
          <w:color w:val="231F1F"/>
          <w:w w:val="110"/>
        </w:rPr>
        <w:t>0,5%</w:t>
      </w:r>
      <w:r>
        <w:rPr>
          <w:color w:val="231F1F"/>
          <w:spacing w:val="-10"/>
          <w:w w:val="110"/>
        </w:rPr>
        <w:t> </w:t>
      </w:r>
      <w:r>
        <w:rPr>
          <w:color w:val="231F1F"/>
          <w:w w:val="110"/>
        </w:rPr>
        <w:t>en</w:t>
      </w:r>
      <w:r>
        <w:rPr>
          <w:color w:val="231F1F"/>
          <w:spacing w:val="-11"/>
          <w:w w:val="110"/>
        </w:rPr>
        <w:t> </w:t>
      </w:r>
      <w:r>
        <w:rPr>
          <w:color w:val="231F1F"/>
          <w:w w:val="110"/>
        </w:rPr>
        <w:t>dosis</w:t>
      </w:r>
      <w:r>
        <w:rPr>
          <w:color w:val="231F1F"/>
          <w:spacing w:val="-12"/>
          <w:w w:val="110"/>
        </w:rPr>
        <w:t> </w:t>
      </w:r>
      <w:r>
        <w:rPr>
          <w:color w:val="231F1F"/>
          <w:w w:val="110"/>
        </w:rPr>
        <w:t>única,</w:t>
      </w:r>
      <w:r>
        <w:rPr>
          <w:color w:val="231F1F"/>
          <w:spacing w:val="-12"/>
          <w:w w:val="110"/>
        </w:rPr>
        <w:t> </w:t>
      </w:r>
      <w:r>
        <w:rPr>
          <w:color w:val="231F1F"/>
          <w:w w:val="110"/>
        </w:rPr>
        <w:t>aplicada</w:t>
      </w:r>
      <w:r>
        <w:rPr>
          <w:color w:val="231F1F"/>
          <w:spacing w:val="-12"/>
          <w:w w:val="110"/>
        </w:rPr>
        <w:t> </w:t>
      </w:r>
      <w:r>
        <w:rPr>
          <w:color w:val="231F1F"/>
          <w:w w:val="110"/>
        </w:rPr>
        <w:t>en</w:t>
      </w:r>
      <w:r>
        <w:rPr>
          <w:color w:val="231F1F"/>
          <w:spacing w:val="-11"/>
          <w:w w:val="110"/>
        </w:rPr>
        <w:t> </w:t>
      </w:r>
      <w:r>
        <w:rPr>
          <w:color w:val="231F1F"/>
          <w:w w:val="110"/>
        </w:rPr>
        <w:t>el saco conjuntival del RN.</w:t>
      </w:r>
    </w:p>
    <w:p>
      <w:pPr>
        <w:pStyle w:val="BodyText"/>
        <w:spacing w:line="264" w:lineRule="auto" w:before="160"/>
        <w:ind w:left="287" w:firstLine="453"/>
        <w:jc w:val="both"/>
      </w:pPr>
      <w:r>
        <w:rPr>
          <w:color w:val="231F1F"/>
        </w:rPr>
        <w:t>La evidencia procedente de estudios antes-después que comparan la realización</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profilaxis</w:t>
      </w:r>
      <w:r>
        <w:rPr>
          <w:color w:val="231F1F"/>
          <w:spacing w:val="40"/>
        </w:rPr>
        <w:t> </w:t>
      </w:r>
      <w:r>
        <w:rPr>
          <w:color w:val="231F1F"/>
        </w:rPr>
        <w:t>frente</w:t>
      </w:r>
      <w:r>
        <w:rPr>
          <w:color w:val="231F1F"/>
          <w:spacing w:val="40"/>
        </w:rPr>
        <w:t> </w:t>
      </w:r>
      <w:r>
        <w:rPr>
          <w:color w:val="231F1F"/>
        </w:rPr>
        <w:t>a</w:t>
      </w:r>
      <w:r>
        <w:rPr>
          <w:color w:val="231F1F"/>
          <w:spacing w:val="40"/>
        </w:rPr>
        <w:t> </w:t>
      </w:r>
      <w:r>
        <w:rPr>
          <w:color w:val="231F1F"/>
        </w:rPr>
        <w:t>no</w:t>
      </w:r>
      <w:r>
        <w:rPr>
          <w:color w:val="231F1F"/>
          <w:spacing w:val="40"/>
        </w:rPr>
        <w:t> </w:t>
      </w:r>
      <w:r>
        <w:rPr>
          <w:color w:val="231F1F"/>
        </w:rPr>
        <w:t>hacerla,</w:t>
      </w:r>
      <w:r>
        <w:rPr>
          <w:color w:val="231F1F"/>
          <w:spacing w:val="40"/>
        </w:rPr>
        <w:t> </w:t>
      </w:r>
      <w:r>
        <w:rPr>
          <w:color w:val="231F1F"/>
        </w:rPr>
        <w:t>mostró</w:t>
      </w:r>
      <w:r>
        <w:rPr>
          <w:color w:val="231F1F"/>
          <w:spacing w:val="40"/>
        </w:rPr>
        <w:t> </w:t>
      </w:r>
      <w:r>
        <w:rPr>
          <w:color w:val="231F1F"/>
        </w:rPr>
        <w:t>una</w:t>
      </w:r>
      <w:r>
        <w:rPr>
          <w:color w:val="231F1F"/>
          <w:spacing w:val="40"/>
        </w:rPr>
        <w:t> </w:t>
      </w:r>
      <w:r>
        <w:rPr>
          <w:color w:val="231F1F"/>
        </w:rPr>
        <w:t>drástica</w:t>
      </w:r>
      <w:r>
        <w:rPr>
          <w:color w:val="231F1F"/>
          <w:spacing w:val="40"/>
        </w:rPr>
        <w:t> </w:t>
      </w:r>
      <w:r>
        <w:rPr>
          <w:color w:val="231F1F"/>
        </w:rPr>
        <w:t>reducción en la incidencia de oftalmía gonocócica y ceguera. En relación con la infección por</w:t>
      </w:r>
      <w:r>
        <w:rPr>
          <w:color w:val="231F1F"/>
          <w:spacing w:val="40"/>
        </w:rPr>
        <w:t> </w:t>
      </w:r>
      <w:r>
        <w:rPr>
          <w:color w:val="231F1F"/>
        </w:rPr>
        <w:t>chlamydia</w:t>
      </w:r>
      <w:r>
        <w:rPr>
          <w:color w:val="231F1F"/>
          <w:spacing w:val="40"/>
        </w:rPr>
        <w:t> </w:t>
      </w:r>
      <w:r>
        <w:rPr>
          <w:color w:val="231F1F"/>
        </w:rPr>
        <w:t>la</w:t>
      </w:r>
      <w:r>
        <w:rPr>
          <w:color w:val="231F1F"/>
          <w:spacing w:val="40"/>
        </w:rPr>
        <w:t> </w:t>
      </w:r>
      <w:r>
        <w:rPr>
          <w:color w:val="231F1F"/>
        </w:rPr>
        <w:t>evidencia</w:t>
      </w:r>
      <w:r>
        <w:rPr>
          <w:color w:val="231F1F"/>
          <w:spacing w:val="40"/>
        </w:rPr>
        <w:t> </w:t>
      </w:r>
      <w:r>
        <w:rPr>
          <w:color w:val="231F1F"/>
        </w:rPr>
        <w:t>procedente</w:t>
      </w:r>
      <w:r>
        <w:rPr>
          <w:color w:val="231F1F"/>
          <w:spacing w:val="40"/>
        </w:rPr>
        <w:t> </w:t>
      </w:r>
      <w:r>
        <w:rPr>
          <w:color w:val="231F1F"/>
        </w:rPr>
        <w:t>de</w:t>
      </w:r>
      <w:r>
        <w:rPr>
          <w:color w:val="231F1F"/>
          <w:spacing w:val="40"/>
        </w:rPr>
        <w:t> </w:t>
      </w:r>
      <w:r>
        <w:rPr>
          <w:color w:val="231F1F"/>
        </w:rPr>
        <w:t>ensayos</w:t>
      </w:r>
      <w:r>
        <w:rPr>
          <w:color w:val="231F1F"/>
          <w:spacing w:val="40"/>
        </w:rPr>
        <w:t> </w:t>
      </w:r>
      <w:r>
        <w:rPr>
          <w:color w:val="231F1F"/>
        </w:rPr>
        <w:t>cuasi-experimentales</w:t>
      </w:r>
      <w:r>
        <w:rPr>
          <w:color w:val="231F1F"/>
          <w:spacing w:val="40"/>
        </w:rPr>
        <w:t> </w:t>
      </w:r>
      <w:r>
        <w:rPr>
          <w:color w:val="231F1F"/>
        </w:rPr>
        <w:t>mos- tró que los diferentes agentes tienen una eficacia comparable, aunque no </w:t>
      </w:r>
      <w:r>
        <w:rPr>
          <w:color w:val="231F1F"/>
          <w:spacing w:val="-2"/>
        </w:rPr>
        <w:t>concluyente.</w:t>
      </w:r>
    </w:p>
    <w:p>
      <w:pPr>
        <w:pStyle w:val="BodyText"/>
        <w:spacing w:line="254" w:lineRule="auto" w:before="39"/>
        <w:ind w:left="288" w:right="7" w:firstLine="453"/>
        <w:jc w:val="both"/>
      </w:pPr>
      <w:r>
        <w:rPr>
          <w:color w:val="231F1F"/>
          <w:w w:val="110"/>
        </w:rPr>
        <w:t>En</w:t>
      </w:r>
      <w:r>
        <w:rPr>
          <w:color w:val="231F1F"/>
          <w:spacing w:val="-16"/>
          <w:w w:val="110"/>
        </w:rPr>
        <w:t> </w:t>
      </w:r>
      <w:r>
        <w:rPr>
          <w:color w:val="231F1F"/>
          <w:w w:val="110"/>
        </w:rPr>
        <w:t>resumen,</w:t>
      </w:r>
      <w:r>
        <w:rPr>
          <w:color w:val="231F1F"/>
          <w:spacing w:val="-15"/>
          <w:w w:val="110"/>
        </w:rPr>
        <w:t> </w:t>
      </w:r>
      <w:r>
        <w:rPr>
          <w:color w:val="231F1F"/>
          <w:w w:val="110"/>
        </w:rPr>
        <w:t>existe</w:t>
      </w:r>
      <w:r>
        <w:rPr>
          <w:color w:val="231F1F"/>
          <w:spacing w:val="-15"/>
          <w:w w:val="110"/>
        </w:rPr>
        <w:t> </w:t>
      </w:r>
      <w:r>
        <w:rPr>
          <w:color w:val="231F1F"/>
          <w:w w:val="110"/>
        </w:rPr>
        <w:t>evidencia</w:t>
      </w:r>
      <w:r>
        <w:rPr>
          <w:color w:val="231F1F"/>
          <w:spacing w:val="-15"/>
          <w:w w:val="110"/>
        </w:rPr>
        <w:t> </w:t>
      </w:r>
      <w:r>
        <w:rPr>
          <w:color w:val="231F1F"/>
          <w:w w:val="110"/>
        </w:rPr>
        <w:t>de</w:t>
      </w:r>
      <w:r>
        <w:rPr>
          <w:color w:val="231F1F"/>
          <w:spacing w:val="-15"/>
          <w:w w:val="110"/>
        </w:rPr>
        <w:t> </w:t>
      </w:r>
      <w:r>
        <w:rPr>
          <w:color w:val="231F1F"/>
          <w:w w:val="110"/>
        </w:rPr>
        <w:t>calidad</w:t>
      </w:r>
      <w:r>
        <w:rPr>
          <w:color w:val="231F1F"/>
          <w:spacing w:val="-15"/>
          <w:w w:val="110"/>
        </w:rPr>
        <w:t> </w:t>
      </w:r>
      <w:r>
        <w:rPr>
          <w:color w:val="231F1F"/>
          <w:w w:val="110"/>
        </w:rPr>
        <w:t>para</w:t>
      </w:r>
      <w:r>
        <w:rPr>
          <w:color w:val="231F1F"/>
          <w:spacing w:val="-15"/>
          <w:w w:val="110"/>
        </w:rPr>
        <w:t> </w:t>
      </w:r>
      <w:r>
        <w:rPr>
          <w:color w:val="231F1F"/>
          <w:w w:val="110"/>
        </w:rPr>
        <w:t>justificar</w:t>
      </w:r>
      <w:r>
        <w:rPr>
          <w:color w:val="231F1F"/>
          <w:spacing w:val="-15"/>
          <w:w w:val="110"/>
        </w:rPr>
        <w:t> </w:t>
      </w:r>
      <w:r>
        <w:rPr>
          <w:color w:val="231F1F"/>
          <w:w w:val="110"/>
        </w:rPr>
        <w:t>la</w:t>
      </w:r>
      <w:r>
        <w:rPr>
          <w:color w:val="231F1F"/>
          <w:spacing w:val="-16"/>
          <w:w w:val="110"/>
        </w:rPr>
        <w:t> </w:t>
      </w:r>
      <w:r>
        <w:rPr>
          <w:color w:val="231F1F"/>
          <w:w w:val="110"/>
        </w:rPr>
        <w:t>utilización</w:t>
      </w:r>
      <w:r>
        <w:rPr>
          <w:color w:val="231F1F"/>
          <w:spacing w:val="-15"/>
          <w:w w:val="110"/>
        </w:rPr>
        <w:t> </w:t>
      </w:r>
      <w:r>
        <w:rPr>
          <w:color w:val="231F1F"/>
          <w:w w:val="110"/>
        </w:rPr>
        <w:t>ru- tinaria</w:t>
      </w:r>
      <w:r>
        <w:rPr>
          <w:color w:val="231F1F"/>
          <w:spacing w:val="-15"/>
          <w:w w:val="110"/>
        </w:rPr>
        <w:t> </w:t>
      </w:r>
      <w:r>
        <w:rPr>
          <w:color w:val="231F1F"/>
          <w:w w:val="110"/>
        </w:rPr>
        <w:t>de</w:t>
      </w:r>
      <w:r>
        <w:rPr>
          <w:color w:val="231F1F"/>
          <w:spacing w:val="-14"/>
          <w:w w:val="110"/>
        </w:rPr>
        <w:t> </w:t>
      </w:r>
      <w:r>
        <w:rPr>
          <w:color w:val="231F1F"/>
          <w:w w:val="110"/>
        </w:rPr>
        <w:t>la</w:t>
      </w:r>
      <w:r>
        <w:rPr>
          <w:color w:val="231F1F"/>
          <w:spacing w:val="-15"/>
          <w:w w:val="110"/>
        </w:rPr>
        <w:t> </w:t>
      </w:r>
      <w:r>
        <w:rPr>
          <w:color w:val="231F1F"/>
          <w:w w:val="110"/>
        </w:rPr>
        <w:t>profilaxis</w:t>
      </w:r>
      <w:r>
        <w:rPr>
          <w:color w:val="231F1F"/>
          <w:spacing w:val="-15"/>
          <w:w w:val="110"/>
        </w:rPr>
        <w:t> </w:t>
      </w:r>
      <w:r>
        <w:rPr>
          <w:color w:val="231F1F"/>
          <w:w w:val="110"/>
        </w:rPr>
        <w:t>oftálmica</w:t>
      </w:r>
      <w:r>
        <w:rPr>
          <w:color w:val="231F1F"/>
          <w:spacing w:val="-15"/>
          <w:w w:val="110"/>
        </w:rPr>
        <w:t> </w:t>
      </w:r>
      <w:r>
        <w:rPr>
          <w:color w:val="231F1F"/>
          <w:w w:val="110"/>
        </w:rPr>
        <w:t>de</w:t>
      </w:r>
      <w:r>
        <w:rPr>
          <w:color w:val="231F1F"/>
          <w:spacing w:val="-15"/>
          <w:w w:val="110"/>
        </w:rPr>
        <w:t> </w:t>
      </w:r>
      <w:r>
        <w:rPr>
          <w:color w:val="231F1F"/>
          <w:w w:val="110"/>
        </w:rPr>
        <w:t>infección</w:t>
      </w:r>
      <w:r>
        <w:rPr>
          <w:color w:val="231F1F"/>
          <w:spacing w:val="-14"/>
          <w:w w:val="110"/>
        </w:rPr>
        <w:t> </w:t>
      </w:r>
      <w:r>
        <w:rPr>
          <w:color w:val="231F1F"/>
          <w:w w:val="110"/>
        </w:rPr>
        <w:t>gonocócica,</w:t>
      </w:r>
      <w:r>
        <w:rPr>
          <w:color w:val="231F1F"/>
          <w:spacing w:val="-16"/>
          <w:w w:val="110"/>
        </w:rPr>
        <w:t> </w:t>
      </w:r>
      <w:r>
        <w:rPr>
          <w:color w:val="231F1F"/>
          <w:w w:val="110"/>
        </w:rPr>
        <w:t>al</w:t>
      </w:r>
      <w:r>
        <w:rPr>
          <w:color w:val="231F1F"/>
          <w:spacing w:val="-15"/>
          <w:w w:val="110"/>
        </w:rPr>
        <w:t> </w:t>
      </w:r>
      <w:r>
        <w:rPr>
          <w:color w:val="231F1F"/>
          <w:w w:val="110"/>
        </w:rPr>
        <w:t>menos</w:t>
      </w:r>
      <w:r>
        <w:rPr>
          <w:color w:val="231F1F"/>
          <w:spacing w:val="-15"/>
          <w:w w:val="110"/>
        </w:rPr>
        <w:t> </w:t>
      </w:r>
      <w:r>
        <w:rPr>
          <w:color w:val="231F1F"/>
          <w:w w:val="110"/>
        </w:rPr>
        <w:t>en</w:t>
      </w:r>
      <w:r>
        <w:rPr>
          <w:color w:val="231F1F"/>
          <w:spacing w:val="-14"/>
          <w:w w:val="110"/>
        </w:rPr>
        <w:t> </w:t>
      </w:r>
      <w:r>
        <w:rPr>
          <w:color w:val="231F1F"/>
          <w:w w:val="110"/>
        </w:rPr>
        <w:t>la</w:t>
      </w:r>
      <w:r>
        <w:rPr>
          <w:color w:val="231F1F"/>
          <w:spacing w:val="-15"/>
          <w:w w:val="110"/>
        </w:rPr>
        <w:t> </w:t>
      </w:r>
      <w:r>
        <w:rPr>
          <w:color w:val="231F1F"/>
          <w:w w:val="110"/>
        </w:rPr>
        <w:t>au- sencia de pruebas prenatales universales para la gonorrea.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0"/>
        <w:rPr>
          <w:sz w:val="18"/>
        </w:rPr>
      </w:pPr>
    </w:p>
    <w:p>
      <w:pPr>
        <w:spacing w:line="278" w:lineRule="auto" w:before="0"/>
        <w:ind w:left="90" w:right="251" w:firstLine="194"/>
        <w:jc w:val="left"/>
        <w:rPr>
          <w:rFonts w:ascii="Arial MT"/>
          <w:sz w:val="18"/>
        </w:rPr>
      </w:pPr>
      <w:r>
        <w:rPr>
          <w:rFonts w:ascii="Arial MT"/>
          <w:color w:val="231F1F"/>
          <w:sz w:val="18"/>
        </w:rPr>
        <w:t>E. Cuasi </w:t>
      </w:r>
      <w:r>
        <w:rPr>
          <w:rFonts w:ascii="Arial MT"/>
          <w:color w:val="231F1F"/>
          <w:spacing w:val="-6"/>
          <w:sz w:val="18"/>
        </w:rPr>
        <w:t>experimental</w:t>
      </w:r>
    </w:p>
    <w:p>
      <w:pPr>
        <w:spacing w:line="202" w:lineRule="exact" w:before="0"/>
        <w:ind w:left="524" w:right="0" w:firstLine="0"/>
        <w:jc w:val="left"/>
        <w:rPr>
          <w:rFonts w:ascii="Arial MT"/>
          <w:sz w:val="18"/>
        </w:rPr>
      </w:pPr>
      <w:r>
        <w:rPr>
          <w:rFonts w:ascii="Arial MT"/>
          <w:color w:val="231F1F"/>
          <w:spacing w:val="-5"/>
          <w:sz w:val="18"/>
        </w:rPr>
        <w:t>2+</w:t>
      </w:r>
    </w:p>
    <w:p>
      <w:pPr>
        <w:spacing w:after="0" w:line="202" w:lineRule="exact"/>
        <w:jc w:val="left"/>
        <w:rPr>
          <w:rFonts w:ascii="Arial MT"/>
          <w:sz w:val="18"/>
        </w:rPr>
        <w:sectPr>
          <w:type w:val="continuous"/>
          <w:pgSz w:w="11900" w:h="16840"/>
          <w:pgMar w:header="0" w:footer="622" w:top="560" w:bottom="280" w:left="1417" w:right="1559"/>
          <w:cols w:num="2" w:equalWidth="0">
            <w:col w:w="7559" w:space="40"/>
            <w:col w:w="1325"/>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w w:val="105"/>
                <w:sz w:val="22"/>
              </w:rPr>
              <w:t>La</w:t>
            </w:r>
            <w:r>
              <w:rPr>
                <w:color w:val="231F1F"/>
                <w:spacing w:val="22"/>
                <w:w w:val="105"/>
                <w:sz w:val="22"/>
              </w:rPr>
              <w:t> </w:t>
            </w:r>
            <w:r>
              <w:rPr>
                <w:color w:val="231F1F"/>
                <w:w w:val="105"/>
                <w:sz w:val="22"/>
              </w:rPr>
              <w:t>profilaxis</w:t>
            </w:r>
            <w:r>
              <w:rPr>
                <w:color w:val="231F1F"/>
                <w:spacing w:val="-3"/>
                <w:w w:val="105"/>
                <w:sz w:val="22"/>
              </w:rPr>
              <w:t> </w:t>
            </w:r>
            <w:r>
              <w:rPr>
                <w:color w:val="231F1F"/>
                <w:w w:val="105"/>
                <w:sz w:val="22"/>
              </w:rPr>
              <w:t>oftálmica</w:t>
            </w:r>
            <w:r>
              <w:rPr>
                <w:color w:val="231F1F"/>
                <w:spacing w:val="-3"/>
                <w:w w:val="105"/>
                <w:sz w:val="22"/>
              </w:rPr>
              <w:t> </w:t>
            </w:r>
            <w:r>
              <w:rPr>
                <w:color w:val="231F1F"/>
                <w:w w:val="105"/>
                <w:sz w:val="22"/>
              </w:rPr>
              <w:t>reduce</w:t>
            </w:r>
            <w:r>
              <w:rPr>
                <w:color w:val="231F1F"/>
                <w:spacing w:val="20"/>
                <w:w w:val="105"/>
                <w:sz w:val="22"/>
              </w:rPr>
              <w:t> </w:t>
            </w:r>
            <w:r>
              <w:rPr>
                <w:color w:val="231F1F"/>
                <w:w w:val="105"/>
                <w:sz w:val="22"/>
              </w:rPr>
              <w:t>de</w:t>
            </w:r>
            <w:r>
              <w:rPr>
                <w:color w:val="231F1F"/>
                <w:spacing w:val="-3"/>
                <w:w w:val="105"/>
                <w:sz w:val="22"/>
              </w:rPr>
              <w:t> </w:t>
            </w:r>
            <w:r>
              <w:rPr>
                <w:color w:val="231F1F"/>
                <w:w w:val="105"/>
                <w:sz w:val="22"/>
              </w:rPr>
              <w:t>forma</w:t>
            </w:r>
            <w:r>
              <w:rPr>
                <w:color w:val="231F1F"/>
                <w:spacing w:val="-3"/>
                <w:w w:val="105"/>
                <w:sz w:val="22"/>
              </w:rPr>
              <w:t> </w:t>
            </w:r>
            <w:r>
              <w:rPr>
                <w:color w:val="231F1F"/>
                <w:w w:val="105"/>
                <w:sz w:val="22"/>
              </w:rPr>
              <w:t>drástica</w:t>
            </w:r>
            <w:r>
              <w:rPr>
                <w:color w:val="231F1F"/>
                <w:spacing w:val="-3"/>
                <w:w w:val="105"/>
                <w:sz w:val="22"/>
              </w:rPr>
              <w:t> </w:t>
            </w:r>
            <w:r>
              <w:rPr>
                <w:color w:val="231F1F"/>
                <w:w w:val="105"/>
                <w:sz w:val="22"/>
              </w:rPr>
              <w:t>la</w:t>
            </w:r>
            <w:r>
              <w:rPr>
                <w:color w:val="231F1F"/>
                <w:spacing w:val="20"/>
                <w:w w:val="105"/>
                <w:sz w:val="22"/>
              </w:rPr>
              <w:t> </w:t>
            </w:r>
            <w:r>
              <w:rPr>
                <w:color w:val="231F1F"/>
                <w:w w:val="105"/>
                <w:sz w:val="22"/>
              </w:rPr>
              <w:t>incidencia</w:t>
            </w:r>
            <w:r>
              <w:rPr>
                <w:color w:val="231F1F"/>
                <w:spacing w:val="-3"/>
                <w:w w:val="105"/>
                <w:sz w:val="22"/>
              </w:rPr>
              <w:t> </w:t>
            </w:r>
            <w:r>
              <w:rPr>
                <w:color w:val="231F1F"/>
                <w:w w:val="105"/>
                <w:sz w:val="22"/>
              </w:rPr>
              <w:t>de</w:t>
            </w:r>
            <w:r>
              <w:rPr>
                <w:color w:val="231F1F"/>
                <w:spacing w:val="-4"/>
                <w:w w:val="105"/>
                <w:sz w:val="22"/>
              </w:rPr>
              <w:t> </w:t>
            </w:r>
            <w:r>
              <w:rPr>
                <w:color w:val="231F1F"/>
                <w:w w:val="105"/>
                <w:sz w:val="22"/>
              </w:rPr>
              <w:t>oftalmía gonocócica y ceguera (252).</w:t>
            </w:r>
          </w:p>
        </w:tc>
        <w:tc>
          <w:tcPr>
            <w:tcW w:w="1133" w:type="dxa"/>
          </w:tcPr>
          <w:p>
            <w:pPr>
              <w:pStyle w:val="TableParagraph"/>
              <w:spacing w:before="178"/>
              <w:ind w:left="49" w:right="22"/>
              <w:jc w:val="center"/>
              <w:rPr>
                <w:sz w:val="22"/>
              </w:rPr>
            </w:pPr>
            <w:r>
              <w:rPr>
                <w:color w:val="231F1F"/>
                <w:spacing w:val="-5"/>
                <w:w w:val="105"/>
                <w:sz w:val="22"/>
              </w:rPr>
              <w:t>2+</w:t>
            </w:r>
          </w:p>
        </w:tc>
      </w:tr>
      <w:tr>
        <w:trPr>
          <w:trHeight w:val="681" w:hRule="atLeast"/>
        </w:trPr>
        <w:tc>
          <w:tcPr>
            <w:tcW w:w="7373" w:type="dxa"/>
          </w:tcPr>
          <w:p>
            <w:pPr>
              <w:pStyle w:val="TableParagraph"/>
              <w:spacing w:line="244" w:lineRule="auto" w:before="53"/>
              <w:ind w:right="156"/>
              <w:rPr>
                <w:sz w:val="22"/>
              </w:rPr>
            </w:pPr>
            <w:r>
              <w:rPr>
                <w:color w:val="231F1F"/>
                <w:w w:val="105"/>
                <w:sz w:val="22"/>
              </w:rPr>
              <w:t>La</w:t>
            </w:r>
            <w:r>
              <w:rPr>
                <w:color w:val="231F1F"/>
                <w:spacing w:val="-4"/>
                <w:w w:val="105"/>
                <w:sz w:val="22"/>
              </w:rPr>
              <w:t> </w:t>
            </w:r>
            <w:r>
              <w:rPr>
                <w:color w:val="231F1F"/>
                <w:w w:val="105"/>
                <w:sz w:val="22"/>
              </w:rPr>
              <w:t>evidencia</w:t>
            </w:r>
            <w:r>
              <w:rPr>
                <w:color w:val="231F1F"/>
                <w:spacing w:val="-4"/>
                <w:w w:val="105"/>
                <w:sz w:val="22"/>
              </w:rPr>
              <w:t> </w:t>
            </w:r>
            <w:r>
              <w:rPr>
                <w:color w:val="231F1F"/>
                <w:w w:val="105"/>
                <w:sz w:val="22"/>
              </w:rPr>
              <w:t>sobre</w:t>
            </w:r>
            <w:r>
              <w:rPr>
                <w:color w:val="231F1F"/>
                <w:spacing w:val="-4"/>
                <w:w w:val="105"/>
                <w:sz w:val="22"/>
              </w:rPr>
              <w:t> </w:t>
            </w:r>
            <w:r>
              <w:rPr>
                <w:color w:val="231F1F"/>
                <w:w w:val="105"/>
                <w:sz w:val="22"/>
              </w:rPr>
              <w:t>la</w:t>
            </w:r>
            <w:r>
              <w:rPr>
                <w:color w:val="231F1F"/>
                <w:spacing w:val="-4"/>
                <w:w w:val="105"/>
                <w:sz w:val="22"/>
              </w:rPr>
              <w:t> </w:t>
            </w:r>
            <w:r>
              <w:rPr>
                <w:color w:val="231F1F"/>
                <w:w w:val="105"/>
                <w:sz w:val="22"/>
              </w:rPr>
              <w:t>eficacia</w:t>
            </w:r>
            <w:r>
              <w:rPr>
                <w:color w:val="231F1F"/>
                <w:spacing w:val="-4"/>
                <w:w w:val="105"/>
                <w:sz w:val="22"/>
              </w:rPr>
              <w:t> </w:t>
            </w:r>
            <w:r>
              <w:rPr>
                <w:color w:val="231F1F"/>
                <w:w w:val="105"/>
                <w:sz w:val="22"/>
              </w:rPr>
              <w:t>de</w:t>
            </w:r>
            <w:r>
              <w:rPr>
                <w:color w:val="231F1F"/>
                <w:spacing w:val="-4"/>
                <w:w w:val="105"/>
                <w:sz w:val="22"/>
              </w:rPr>
              <w:t> </w:t>
            </w:r>
            <w:r>
              <w:rPr>
                <w:color w:val="231F1F"/>
                <w:w w:val="105"/>
                <w:sz w:val="22"/>
              </w:rPr>
              <w:t>la</w:t>
            </w:r>
            <w:r>
              <w:rPr>
                <w:color w:val="231F1F"/>
                <w:spacing w:val="-4"/>
                <w:w w:val="105"/>
                <w:sz w:val="22"/>
              </w:rPr>
              <w:t> </w:t>
            </w:r>
            <w:r>
              <w:rPr>
                <w:color w:val="231F1F"/>
                <w:w w:val="105"/>
                <w:sz w:val="22"/>
              </w:rPr>
              <w:t>profilaxis</w:t>
            </w:r>
            <w:r>
              <w:rPr>
                <w:color w:val="231F1F"/>
                <w:spacing w:val="-4"/>
                <w:w w:val="105"/>
                <w:sz w:val="22"/>
              </w:rPr>
              <w:t> </w:t>
            </w:r>
            <w:r>
              <w:rPr>
                <w:color w:val="231F1F"/>
                <w:w w:val="105"/>
                <w:sz w:val="22"/>
              </w:rPr>
              <w:t>oftálmica</w:t>
            </w:r>
            <w:r>
              <w:rPr>
                <w:color w:val="231F1F"/>
                <w:spacing w:val="-4"/>
                <w:w w:val="105"/>
                <w:sz w:val="22"/>
              </w:rPr>
              <w:t> </w:t>
            </w:r>
            <w:r>
              <w:rPr>
                <w:color w:val="231F1F"/>
                <w:w w:val="105"/>
                <w:sz w:val="22"/>
              </w:rPr>
              <w:t>neonatal</w:t>
            </w:r>
            <w:r>
              <w:rPr>
                <w:color w:val="231F1F"/>
                <w:spacing w:val="-5"/>
                <w:w w:val="105"/>
                <w:sz w:val="22"/>
              </w:rPr>
              <w:t> </w:t>
            </w:r>
            <w:r>
              <w:rPr>
                <w:color w:val="231F1F"/>
                <w:w w:val="105"/>
                <w:sz w:val="22"/>
              </w:rPr>
              <w:t>de</w:t>
            </w:r>
            <w:r>
              <w:rPr>
                <w:color w:val="231F1F"/>
                <w:spacing w:val="-4"/>
                <w:w w:val="105"/>
                <w:sz w:val="22"/>
              </w:rPr>
              <w:t> </w:t>
            </w:r>
            <w:r>
              <w:rPr>
                <w:color w:val="231F1F"/>
                <w:w w:val="105"/>
                <w:sz w:val="22"/>
              </w:rPr>
              <w:t>la</w:t>
            </w:r>
            <w:r>
              <w:rPr>
                <w:color w:val="231F1F"/>
                <w:spacing w:val="-4"/>
                <w:w w:val="105"/>
                <w:sz w:val="22"/>
              </w:rPr>
              <w:t> </w:t>
            </w:r>
            <w:r>
              <w:rPr>
                <w:color w:val="231F1F"/>
                <w:w w:val="105"/>
                <w:sz w:val="22"/>
              </w:rPr>
              <w:t>infec- ción por chlamydia no es concluyente (252).</w:t>
            </w:r>
          </w:p>
        </w:tc>
        <w:tc>
          <w:tcPr>
            <w:tcW w:w="1133" w:type="dxa"/>
          </w:tcPr>
          <w:p>
            <w:pPr>
              <w:pStyle w:val="TableParagraph"/>
              <w:spacing w:before="178"/>
              <w:ind w:left="49" w:right="22"/>
              <w:jc w:val="center"/>
              <w:rPr>
                <w:sz w:val="22"/>
              </w:rPr>
            </w:pPr>
            <w:r>
              <w:rPr>
                <w:color w:val="231F1F"/>
                <w:spacing w:val="-5"/>
                <w:w w:val="105"/>
                <w:sz w:val="22"/>
              </w:rPr>
              <w:t>2+</w:t>
            </w:r>
          </w:p>
        </w:tc>
      </w:tr>
    </w:tbl>
    <w:p>
      <w:pPr>
        <w:pStyle w:val="BodyText"/>
        <w:spacing w:before="122"/>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B</w:t>
            </w:r>
          </w:p>
        </w:tc>
        <w:tc>
          <w:tcPr>
            <w:tcW w:w="8050" w:type="dxa"/>
          </w:tcPr>
          <w:p>
            <w:pPr>
              <w:pStyle w:val="TableParagraph"/>
              <w:spacing w:line="244" w:lineRule="auto" w:before="44"/>
              <w:ind w:right="155"/>
              <w:rPr>
                <w:sz w:val="22"/>
              </w:rPr>
            </w:pPr>
            <w:r>
              <w:rPr>
                <w:color w:val="231F1F"/>
                <w:w w:val="110"/>
                <w:sz w:val="22"/>
              </w:rPr>
              <w:t>Se</w:t>
            </w:r>
            <w:r>
              <w:rPr>
                <w:color w:val="231F1F"/>
                <w:spacing w:val="-9"/>
                <w:w w:val="110"/>
                <w:sz w:val="22"/>
              </w:rPr>
              <w:t> </w:t>
            </w:r>
            <w:r>
              <w:rPr>
                <w:color w:val="231F1F"/>
                <w:w w:val="110"/>
                <w:sz w:val="22"/>
              </w:rPr>
              <w:t>recomienda</w:t>
            </w:r>
            <w:r>
              <w:rPr>
                <w:color w:val="231F1F"/>
                <w:spacing w:val="-9"/>
                <w:w w:val="110"/>
                <w:sz w:val="22"/>
              </w:rPr>
              <w:t> </w:t>
            </w:r>
            <w:r>
              <w:rPr>
                <w:color w:val="231F1F"/>
                <w:w w:val="110"/>
                <w:sz w:val="22"/>
              </w:rPr>
              <w:t>la</w:t>
            </w:r>
            <w:r>
              <w:rPr>
                <w:color w:val="231F1F"/>
                <w:spacing w:val="-9"/>
                <w:w w:val="110"/>
                <w:sz w:val="22"/>
              </w:rPr>
              <w:t> </w:t>
            </w:r>
            <w:r>
              <w:rPr>
                <w:color w:val="231F1F"/>
                <w:w w:val="110"/>
                <w:sz w:val="22"/>
              </w:rPr>
              <w:t>realización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la</w:t>
            </w:r>
            <w:r>
              <w:rPr>
                <w:color w:val="231F1F"/>
                <w:spacing w:val="-9"/>
                <w:w w:val="110"/>
                <w:sz w:val="22"/>
              </w:rPr>
              <w:t> </w:t>
            </w:r>
            <w:r>
              <w:rPr>
                <w:color w:val="231F1F"/>
                <w:w w:val="110"/>
                <w:sz w:val="22"/>
              </w:rPr>
              <w:t>profilaxis</w:t>
            </w:r>
            <w:r>
              <w:rPr>
                <w:color w:val="231F1F"/>
                <w:spacing w:val="-9"/>
                <w:w w:val="110"/>
                <w:sz w:val="22"/>
              </w:rPr>
              <w:t> </w:t>
            </w:r>
            <w:r>
              <w:rPr>
                <w:color w:val="231F1F"/>
                <w:w w:val="110"/>
                <w:sz w:val="22"/>
              </w:rPr>
              <w:t>oftálmica</w:t>
            </w:r>
            <w:r>
              <w:rPr>
                <w:color w:val="231F1F"/>
                <w:spacing w:val="-9"/>
                <w:w w:val="110"/>
                <w:sz w:val="22"/>
              </w:rPr>
              <w:t> </w:t>
            </w:r>
            <w:r>
              <w:rPr>
                <w:color w:val="231F1F"/>
                <w:w w:val="110"/>
                <w:sz w:val="22"/>
              </w:rPr>
              <w:t>en</w:t>
            </w:r>
            <w:r>
              <w:rPr>
                <w:color w:val="231F1F"/>
                <w:spacing w:val="-9"/>
                <w:w w:val="110"/>
                <w:sz w:val="22"/>
              </w:rPr>
              <w:t> </w:t>
            </w:r>
            <w:r>
              <w:rPr>
                <w:color w:val="231F1F"/>
                <w:w w:val="110"/>
                <w:sz w:val="22"/>
              </w:rPr>
              <w:t>la</w:t>
            </w:r>
            <w:r>
              <w:rPr>
                <w:color w:val="231F1F"/>
                <w:spacing w:val="-9"/>
                <w:w w:val="110"/>
                <w:sz w:val="22"/>
              </w:rPr>
              <w:t> </w:t>
            </w:r>
            <w:r>
              <w:rPr>
                <w:color w:val="231F1F"/>
                <w:w w:val="110"/>
                <w:sz w:val="22"/>
              </w:rPr>
              <w:t>atención</w:t>
            </w:r>
            <w:r>
              <w:rPr>
                <w:color w:val="231F1F"/>
                <w:spacing w:val="-9"/>
                <w:w w:val="110"/>
                <w:sz w:val="22"/>
              </w:rPr>
              <w:t> </w:t>
            </w:r>
            <w:r>
              <w:rPr>
                <w:color w:val="231F1F"/>
                <w:w w:val="110"/>
                <w:sz w:val="22"/>
              </w:rPr>
              <w:t>rutinaria</w:t>
            </w:r>
            <w:r>
              <w:rPr>
                <w:color w:val="231F1F"/>
                <w:spacing w:val="-9"/>
                <w:w w:val="110"/>
                <w:sz w:val="22"/>
              </w:rPr>
              <w:t> </w:t>
            </w:r>
            <w:r>
              <w:rPr>
                <w:color w:val="231F1F"/>
                <w:w w:val="110"/>
                <w:sz w:val="22"/>
              </w:rPr>
              <w:t>al </w:t>
            </w:r>
            <w:r>
              <w:rPr>
                <w:color w:val="231F1F"/>
                <w:spacing w:val="-4"/>
                <w:w w:val="110"/>
                <w:sz w:val="22"/>
              </w:rPr>
              <w:t>RN.</w:t>
            </w:r>
          </w:p>
        </w:tc>
      </w:tr>
    </w:tbl>
    <w:p>
      <w:pPr>
        <w:pStyle w:val="TableParagraph"/>
        <w:spacing w:after="0" w:line="24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Momento</w:t>
      </w:r>
      <w:r>
        <w:rPr>
          <w:color w:val="231F1F"/>
          <w:spacing w:val="56"/>
        </w:rPr>
        <w:t> </w:t>
      </w:r>
      <w:r>
        <w:rPr>
          <w:color w:val="231F1F"/>
        </w:rPr>
        <w:t>idóneo</w:t>
      </w:r>
      <w:r>
        <w:rPr>
          <w:color w:val="231F1F"/>
          <w:spacing w:val="62"/>
        </w:rPr>
        <w:t> </w:t>
      </w:r>
      <w:r>
        <w:rPr>
          <w:color w:val="231F1F"/>
        </w:rPr>
        <w:t>para</w:t>
      </w:r>
      <w:r>
        <w:rPr>
          <w:color w:val="231F1F"/>
          <w:spacing w:val="59"/>
        </w:rPr>
        <w:t> </w:t>
      </w:r>
      <w:r>
        <w:rPr>
          <w:color w:val="231F1F"/>
        </w:rPr>
        <w:t>la</w:t>
      </w:r>
      <w:r>
        <w:rPr>
          <w:color w:val="231F1F"/>
          <w:spacing w:val="60"/>
        </w:rPr>
        <w:t> </w:t>
      </w:r>
      <w:r>
        <w:rPr>
          <w:color w:val="231F1F"/>
        </w:rPr>
        <w:t>profilaxis</w:t>
      </w:r>
      <w:r>
        <w:rPr>
          <w:color w:val="231F1F"/>
          <w:spacing w:val="61"/>
        </w:rPr>
        <w:t> </w:t>
      </w:r>
      <w:r>
        <w:rPr>
          <w:color w:val="231F1F"/>
          <w:spacing w:val="-2"/>
        </w:rPr>
        <w:t>oftálmica</w:t>
      </w:r>
    </w:p>
    <w:p>
      <w:pPr>
        <w:pStyle w:val="BodyText"/>
        <w:spacing w:before="20"/>
        <w:rPr>
          <w:sz w:val="20"/>
        </w:rPr>
      </w:pPr>
      <w:r>
        <w:rPr>
          <w:sz w:val="20"/>
        </w:rPr>
        <mc:AlternateContent>
          <mc:Choice Requires="wps">
            <w:drawing>
              <wp:anchor distT="0" distB="0" distL="0" distR="0" allowOverlap="1" layoutInCell="1" locked="0" behindDoc="1" simplePos="0" relativeHeight="487618048">
                <wp:simplePos x="0" y="0"/>
                <wp:positionH relativeFrom="page">
                  <wp:posOffset>1082675</wp:posOffset>
                </wp:positionH>
                <wp:positionV relativeFrom="paragraph">
                  <wp:posOffset>177184</wp:posOffset>
                </wp:positionV>
                <wp:extent cx="5400040" cy="262255"/>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5400040" cy="262255"/>
                        </a:xfrm>
                        <a:prstGeom prst="rect">
                          <a:avLst/>
                        </a:prstGeom>
                        <a:ln w="6350">
                          <a:solidFill>
                            <a:srgbClr val="A30046"/>
                          </a:solidFill>
                          <a:prstDash val="solid"/>
                        </a:ln>
                      </wps:spPr>
                      <wps:txbx>
                        <w:txbxContent>
                          <w:p>
                            <w:pPr>
                              <w:pStyle w:val="BodyText"/>
                              <w:numPr>
                                <w:ilvl w:val="0"/>
                                <w:numId w:val="60"/>
                              </w:numPr>
                              <w:tabs>
                                <w:tab w:pos="322" w:val="left" w:leader="none"/>
                              </w:tabs>
                              <w:spacing w:line="240" w:lineRule="auto" w:before="55" w:after="0"/>
                              <w:ind w:left="322" w:right="0" w:hanging="218"/>
                              <w:jc w:val="left"/>
                            </w:pPr>
                            <w:r>
                              <w:rPr>
                                <w:color w:val="231F1F"/>
                              </w:rPr>
                              <w:t>¿Cuál</w:t>
                            </w:r>
                            <w:r>
                              <w:rPr>
                                <w:color w:val="231F1F"/>
                                <w:spacing w:val="30"/>
                              </w:rPr>
                              <w:t> </w:t>
                            </w:r>
                            <w:r>
                              <w:rPr>
                                <w:color w:val="231F1F"/>
                              </w:rPr>
                              <w:t>es</w:t>
                            </w:r>
                            <w:r>
                              <w:rPr>
                                <w:color w:val="231F1F"/>
                                <w:spacing w:val="30"/>
                              </w:rPr>
                              <w:t> </w:t>
                            </w:r>
                            <w:r>
                              <w:rPr>
                                <w:color w:val="231F1F"/>
                              </w:rPr>
                              <w:t>el</w:t>
                            </w:r>
                            <w:r>
                              <w:rPr>
                                <w:color w:val="231F1F"/>
                                <w:spacing w:val="31"/>
                              </w:rPr>
                              <w:t> </w:t>
                            </w:r>
                            <w:r>
                              <w:rPr>
                                <w:color w:val="231F1F"/>
                              </w:rPr>
                              <w:t>momento</w:t>
                            </w:r>
                            <w:r>
                              <w:rPr>
                                <w:color w:val="231F1F"/>
                                <w:spacing w:val="30"/>
                              </w:rPr>
                              <w:t> </w:t>
                            </w:r>
                            <w:r>
                              <w:rPr>
                                <w:color w:val="231F1F"/>
                              </w:rPr>
                              <w:t>idóneo</w:t>
                            </w:r>
                            <w:r>
                              <w:rPr>
                                <w:color w:val="231F1F"/>
                                <w:spacing w:val="32"/>
                              </w:rPr>
                              <w:t> </w:t>
                            </w:r>
                            <w:r>
                              <w:rPr>
                                <w:color w:val="231F1F"/>
                              </w:rPr>
                              <w:t>para</w:t>
                            </w:r>
                            <w:r>
                              <w:rPr>
                                <w:color w:val="231F1F"/>
                                <w:spacing w:val="30"/>
                              </w:rPr>
                              <w:t> </w:t>
                            </w:r>
                            <w:r>
                              <w:rPr>
                                <w:color w:val="231F1F"/>
                              </w:rPr>
                              <w:t>realizar</w:t>
                            </w:r>
                            <w:r>
                              <w:rPr>
                                <w:color w:val="231F1F"/>
                                <w:spacing w:val="31"/>
                              </w:rPr>
                              <w:t> </w:t>
                            </w:r>
                            <w:r>
                              <w:rPr>
                                <w:color w:val="231F1F"/>
                              </w:rPr>
                              <w:t>la</w:t>
                            </w:r>
                            <w:r>
                              <w:rPr>
                                <w:color w:val="231F1F"/>
                                <w:spacing w:val="31"/>
                              </w:rPr>
                              <w:t> </w:t>
                            </w:r>
                            <w:r>
                              <w:rPr>
                                <w:color w:val="231F1F"/>
                              </w:rPr>
                              <w:t>profilaxis</w:t>
                            </w:r>
                            <w:r>
                              <w:rPr>
                                <w:color w:val="231F1F"/>
                                <w:spacing w:val="30"/>
                              </w:rPr>
                              <w:t> </w:t>
                            </w:r>
                            <w:r>
                              <w:rPr>
                                <w:color w:val="231F1F"/>
                              </w:rPr>
                              <w:t>oftálmica</w:t>
                            </w:r>
                            <w:r>
                              <w:rPr>
                                <w:color w:val="231F1F"/>
                                <w:spacing w:val="31"/>
                              </w:rPr>
                              <w:t> </w:t>
                            </w:r>
                            <w:r>
                              <w:rPr>
                                <w:color w:val="231F1F"/>
                              </w:rPr>
                              <w:t>en</w:t>
                            </w:r>
                            <w:r>
                              <w:rPr>
                                <w:color w:val="231F1F"/>
                                <w:spacing w:val="30"/>
                              </w:rPr>
                              <w:t> </w:t>
                            </w:r>
                            <w:r>
                              <w:rPr>
                                <w:color w:val="231F1F"/>
                              </w:rPr>
                              <w:t>el</w:t>
                            </w:r>
                            <w:r>
                              <w:rPr>
                                <w:color w:val="231F1F"/>
                                <w:spacing w:val="33"/>
                              </w:rPr>
                              <w:t> </w:t>
                            </w:r>
                            <w:r>
                              <w:rPr>
                                <w:color w:val="231F1F"/>
                                <w:spacing w:val="-5"/>
                              </w:rPr>
                              <w:t>RN?</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8432;mso-wrap-distance-left:0;mso-wrap-distance-right:0" type="#_x0000_t202" id="docshape106" filled="false" stroked="true" strokeweight=".5pt" strokecolor="#a30046">
                <v:textbox inset="0,0,0,0">
                  <w:txbxContent>
                    <w:p>
                      <w:pPr>
                        <w:pStyle w:val="BodyText"/>
                        <w:numPr>
                          <w:ilvl w:val="0"/>
                          <w:numId w:val="60"/>
                        </w:numPr>
                        <w:tabs>
                          <w:tab w:pos="322" w:val="left" w:leader="none"/>
                        </w:tabs>
                        <w:spacing w:line="240" w:lineRule="auto" w:before="55" w:after="0"/>
                        <w:ind w:left="322" w:right="0" w:hanging="218"/>
                        <w:jc w:val="left"/>
                      </w:pPr>
                      <w:r>
                        <w:rPr>
                          <w:color w:val="231F1F"/>
                        </w:rPr>
                        <w:t>¿Cuál</w:t>
                      </w:r>
                      <w:r>
                        <w:rPr>
                          <w:color w:val="231F1F"/>
                          <w:spacing w:val="30"/>
                        </w:rPr>
                        <w:t> </w:t>
                      </w:r>
                      <w:r>
                        <w:rPr>
                          <w:color w:val="231F1F"/>
                        </w:rPr>
                        <w:t>es</w:t>
                      </w:r>
                      <w:r>
                        <w:rPr>
                          <w:color w:val="231F1F"/>
                          <w:spacing w:val="30"/>
                        </w:rPr>
                        <w:t> </w:t>
                      </w:r>
                      <w:r>
                        <w:rPr>
                          <w:color w:val="231F1F"/>
                        </w:rPr>
                        <w:t>el</w:t>
                      </w:r>
                      <w:r>
                        <w:rPr>
                          <w:color w:val="231F1F"/>
                          <w:spacing w:val="31"/>
                        </w:rPr>
                        <w:t> </w:t>
                      </w:r>
                      <w:r>
                        <w:rPr>
                          <w:color w:val="231F1F"/>
                        </w:rPr>
                        <w:t>momento</w:t>
                      </w:r>
                      <w:r>
                        <w:rPr>
                          <w:color w:val="231F1F"/>
                          <w:spacing w:val="30"/>
                        </w:rPr>
                        <w:t> </w:t>
                      </w:r>
                      <w:r>
                        <w:rPr>
                          <w:color w:val="231F1F"/>
                        </w:rPr>
                        <w:t>idóneo</w:t>
                      </w:r>
                      <w:r>
                        <w:rPr>
                          <w:color w:val="231F1F"/>
                          <w:spacing w:val="32"/>
                        </w:rPr>
                        <w:t> </w:t>
                      </w:r>
                      <w:r>
                        <w:rPr>
                          <w:color w:val="231F1F"/>
                        </w:rPr>
                        <w:t>para</w:t>
                      </w:r>
                      <w:r>
                        <w:rPr>
                          <w:color w:val="231F1F"/>
                          <w:spacing w:val="30"/>
                        </w:rPr>
                        <w:t> </w:t>
                      </w:r>
                      <w:r>
                        <w:rPr>
                          <w:color w:val="231F1F"/>
                        </w:rPr>
                        <w:t>realizar</w:t>
                      </w:r>
                      <w:r>
                        <w:rPr>
                          <w:color w:val="231F1F"/>
                          <w:spacing w:val="31"/>
                        </w:rPr>
                        <w:t> </w:t>
                      </w:r>
                      <w:r>
                        <w:rPr>
                          <w:color w:val="231F1F"/>
                        </w:rPr>
                        <w:t>la</w:t>
                      </w:r>
                      <w:r>
                        <w:rPr>
                          <w:color w:val="231F1F"/>
                          <w:spacing w:val="31"/>
                        </w:rPr>
                        <w:t> </w:t>
                      </w:r>
                      <w:r>
                        <w:rPr>
                          <w:color w:val="231F1F"/>
                        </w:rPr>
                        <w:t>profilaxis</w:t>
                      </w:r>
                      <w:r>
                        <w:rPr>
                          <w:color w:val="231F1F"/>
                          <w:spacing w:val="30"/>
                        </w:rPr>
                        <w:t> </w:t>
                      </w:r>
                      <w:r>
                        <w:rPr>
                          <w:color w:val="231F1F"/>
                        </w:rPr>
                        <w:t>oftálmica</w:t>
                      </w:r>
                      <w:r>
                        <w:rPr>
                          <w:color w:val="231F1F"/>
                          <w:spacing w:val="31"/>
                        </w:rPr>
                        <w:t> </w:t>
                      </w:r>
                      <w:r>
                        <w:rPr>
                          <w:color w:val="231F1F"/>
                        </w:rPr>
                        <w:t>en</w:t>
                      </w:r>
                      <w:r>
                        <w:rPr>
                          <w:color w:val="231F1F"/>
                          <w:spacing w:val="30"/>
                        </w:rPr>
                        <w:t> </w:t>
                      </w:r>
                      <w:r>
                        <w:rPr>
                          <w:color w:val="231F1F"/>
                        </w:rPr>
                        <w:t>el</w:t>
                      </w:r>
                      <w:r>
                        <w:rPr>
                          <w:color w:val="231F1F"/>
                          <w:spacing w:val="33"/>
                        </w:rPr>
                        <w:t> </w:t>
                      </w:r>
                      <w:r>
                        <w:rPr>
                          <w:color w:val="231F1F"/>
                          <w:spacing w:val="-5"/>
                        </w:rPr>
                        <w:t>RN?</w:t>
                      </w:r>
                    </w:p>
                  </w:txbxContent>
                </v:textbox>
                <v:stroke dashstyle="solid"/>
                <w10:wrap type="topAndBottom"/>
              </v:shape>
            </w:pict>
          </mc:Fallback>
        </mc:AlternateContent>
      </w:r>
    </w:p>
    <w:p>
      <w:pPr>
        <w:pStyle w:val="BodyText"/>
        <w:spacing w:before="27"/>
        <w:rPr>
          <w:sz w:val="32"/>
        </w:rPr>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3"/>
          <w:sz w:val="24"/>
        </w:rPr>
        <w:t> </w:t>
      </w:r>
      <w:r>
        <w:rPr>
          <w:rFonts w:ascii="Arial MT" w:hAnsi="Arial MT"/>
          <w:color w:val="231F1F"/>
          <w:sz w:val="24"/>
        </w:rPr>
        <w:t>julio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3"/>
          <w:sz w:val="24"/>
        </w:rPr>
        <w:t> </w:t>
      </w:r>
      <w:r>
        <w:rPr>
          <w:rFonts w:ascii="Arial MT" w:hAnsi="Arial MT"/>
          <w:color w:val="231F1F"/>
          <w:spacing w:val="-2"/>
          <w:sz w:val="24"/>
        </w:rPr>
        <w:t>2008)</w:t>
      </w:r>
    </w:p>
    <w:p>
      <w:pPr>
        <w:pStyle w:val="BodyText"/>
        <w:tabs>
          <w:tab w:pos="8045" w:val="left" w:leader="none"/>
        </w:tabs>
        <w:spacing w:line="242" w:lineRule="auto" w:before="166"/>
        <w:ind w:left="283" w:right="360"/>
        <w:jc w:val="both"/>
        <w:rPr>
          <w:rFonts w:ascii="Arial MT" w:hAnsi="Arial MT"/>
          <w:position w:val="8"/>
          <w:sz w:val="18"/>
        </w:rPr>
      </w:pPr>
      <w:r>
        <w:rPr>
          <w:color w:val="231F1F"/>
          <w:w w:val="105"/>
        </w:rPr>
        <w:t>Para</w:t>
      </w:r>
      <w:r>
        <w:rPr>
          <w:color w:val="231F1F"/>
          <w:w w:val="105"/>
        </w:rPr>
        <w:t> responder</w:t>
      </w:r>
      <w:r>
        <w:rPr>
          <w:color w:val="231F1F"/>
          <w:w w:val="105"/>
        </w:rPr>
        <w:t> a</w:t>
      </w:r>
      <w:r>
        <w:rPr>
          <w:color w:val="231F1F"/>
          <w:w w:val="105"/>
        </w:rPr>
        <w:t> esta</w:t>
      </w:r>
      <w:r>
        <w:rPr>
          <w:color w:val="231F1F"/>
          <w:w w:val="105"/>
        </w:rPr>
        <w:t> pregunta</w:t>
      </w:r>
      <w:r>
        <w:rPr>
          <w:color w:val="231F1F"/>
          <w:w w:val="105"/>
        </w:rPr>
        <w:t> se</w:t>
      </w:r>
      <w:r>
        <w:rPr>
          <w:color w:val="231F1F"/>
          <w:w w:val="105"/>
        </w:rPr>
        <w:t> ha</w:t>
      </w:r>
      <w:r>
        <w:rPr>
          <w:color w:val="231F1F"/>
          <w:w w:val="105"/>
        </w:rPr>
        <w:t> seleccionado</w:t>
      </w:r>
      <w:r>
        <w:rPr>
          <w:color w:val="231F1F"/>
          <w:w w:val="105"/>
        </w:rPr>
        <w:t> un</w:t>
      </w:r>
      <w:r>
        <w:rPr>
          <w:color w:val="231F1F"/>
          <w:w w:val="105"/>
        </w:rPr>
        <w:t> informe</w:t>
      </w:r>
      <w:r>
        <w:rPr>
          <w:color w:val="231F1F"/>
          <w:w w:val="105"/>
        </w:rPr>
        <w:t> realizado</w:t>
      </w:r>
      <w:r>
        <w:rPr>
          <w:color w:val="231F1F"/>
          <w:w w:val="105"/>
        </w:rPr>
        <w:t> en</w:t>
      </w:r>
      <w:r>
        <w:rPr>
          <w:color w:val="231F1F"/>
          <w:w w:val="105"/>
        </w:rPr>
        <w:t> el</w:t>
      </w:r>
      <w:r>
        <w:rPr>
          <w:color w:val="231F1F"/>
          <w:spacing w:val="40"/>
          <w:w w:val="105"/>
        </w:rPr>
        <w:t>  </w:t>
      </w:r>
      <w:r>
        <w:rPr>
          <w:rFonts w:ascii="Arial MT" w:hAnsi="Arial MT"/>
          <w:color w:val="231F1F"/>
          <w:w w:val="105"/>
          <w:sz w:val="18"/>
        </w:rPr>
        <w:t>Opinión</w:t>
      </w:r>
      <w:r>
        <w:rPr>
          <w:rFonts w:ascii="Arial MT" w:hAnsi="Arial MT"/>
          <w:color w:val="231F1F"/>
          <w:spacing w:val="40"/>
          <w:w w:val="105"/>
          <w:sz w:val="18"/>
        </w:rPr>
        <w:t> </w:t>
      </w:r>
      <w:r>
        <w:rPr>
          <w:color w:val="231F1F"/>
          <w:w w:val="105"/>
        </w:rPr>
        <w:t>año</w:t>
      </w:r>
      <w:r>
        <w:rPr>
          <w:color w:val="231F1F"/>
          <w:spacing w:val="14"/>
          <w:w w:val="105"/>
        </w:rPr>
        <w:t> </w:t>
      </w:r>
      <w:r>
        <w:rPr>
          <w:color w:val="231F1F"/>
          <w:w w:val="105"/>
        </w:rPr>
        <w:t>2002</w:t>
      </w:r>
      <w:r>
        <w:rPr>
          <w:color w:val="231F1F"/>
          <w:spacing w:val="14"/>
          <w:w w:val="105"/>
        </w:rPr>
        <w:t> </w:t>
      </w:r>
      <w:r>
        <w:rPr>
          <w:color w:val="231F1F"/>
          <w:w w:val="105"/>
        </w:rPr>
        <w:t>sobre</w:t>
      </w:r>
      <w:r>
        <w:rPr>
          <w:color w:val="231F1F"/>
          <w:spacing w:val="14"/>
          <w:w w:val="105"/>
        </w:rPr>
        <w:t> </w:t>
      </w:r>
      <w:r>
        <w:rPr>
          <w:color w:val="231F1F"/>
          <w:w w:val="105"/>
        </w:rPr>
        <w:t>prácticas</w:t>
      </w:r>
      <w:r>
        <w:rPr>
          <w:color w:val="231F1F"/>
          <w:spacing w:val="13"/>
          <w:w w:val="105"/>
        </w:rPr>
        <w:t> </w:t>
      </w:r>
      <w:r>
        <w:rPr>
          <w:color w:val="231F1F"/>
          <w:w w:val="105"/>
        </w:rPr>
        <w:t>rutinarias</w:t>
      </w:r>
      <w:r>
        <w:rPr>
          <w:color w:val="231F1F"/>
          <w:spacing w:val="15"/>
          <w:w w:val="105"/>
        </w:rPr>
        <w:t> </w:t>
      </w:r>
      <w:r>
        <w:rPr>
          <w:color w:val="231F1F"/>
          <w:w w:val="105"/>
        </w:rPr>
        <w:t>de</w:t>
      </w:r>
      <w:r>
        <w:rPr>
          <w:color w:val="231F1F"/>
          <w:spacing w:val="14"/>
          <w:w w:val="105"/>
        </w:rPr>
        <w:t> </w:t>
      </w:r>
      <w:r>
        <w:rPr>
          <w:color w:val="231F1F"/>
          <w:w w:val="105"/>
        </w:rPr>
        <w:t>enfermería</w:t>
      </w:r>
      <w:r>
        <w:rPr>
          <w:color w:val="231F1F"/>
          <w:spacing w:val="13"/>
          <w:w w:val="105"/>
        </w:rPr>
        <w:t> </w:t>
      </w:r>
      <w:r>
        <w:rPr>
          <w:color w:val="231F1F"/>
          <w:w w:val="105"/>
        </w:rPr>
        <w:t>en</w:t>
      </w:r>
      <w:r>
        <w:rPr>
          <w:color w:val="231F1F"/>
          <w:spacing w:val="14"/>
          <w:w w:val="105"/>
        </w:rPr>
        <w:t> </w:t>
      </w:r>
      <w:r>
        <w:rPr>
          <w:color w:val="231F1F"/>
          <w:w w:val="105"/>
        </w:rPr>
        <w:t>Canadá</w:t>
      </w:r>
      <w:r>
        <w:rPr>
          <w:color w:val="231F1F"/>
          <w:spacing w:val="14"/>
          <w:w w:val="105"/>
        </w:rPr>
        <w:t> </w:t>
      </w:r>
      <w:r>
        <w:rPr>
          <w:color w:val="231F1F"/>
          <w:w w:val="105"/>
        </w:rPr>
        <w:t>(253).</w:t>
      </w:r>
      <w:r>
        <w:rPr>
          <w:color w:val="231F1F"/>
          <w:spacing w:val="15"/>
          <w:w w:val="105"/>
        </w:rPr>
        <w:t> </w:t>
      </w:r>
      <w:r>
        <w:rPr>
          <w:color w:val="231F1F"/>
          <w:w w:val="105"/>
        </w:rPr>
        <w:t>En</w:t>
      </w:r>
      <w:r>
        <w:rPr>
          <w:color w:val="231F1F"/>
          <w:spacing w:val="14"/>
          <w:w w:val="105"/>
        </w:rPr>
        <w:t> </w:t>
      </w:r>
      <w:r>
        <w:rPr>
          <w:color w:val="231F1F"/>
          <w:w w:val="105"/>
        </w:rPr>
        <w:t>base</w:t>
      </w:r>
      <w:r>
        <w:rPr>
          <w:color w:val="231F1F"/>
          <w:spacing w:val="74"/>
          <w:w w:val="150"/>
        </w:rPr>
        <w:t>   </w:t>
      </w:r>
      <w:r>
        <w:rPr>
          <w:rFonts w:ascii="Arial MT" w:hAnsi="Arial MT"/>
          <w:color w:val="231F1F"/>
          <w:w w:val="105"/>
          <w:position w:val="4"/>
          <w:sz w:val="18"/>
        </w:rPr>
        <w:t>experta </w:t>
      </w:r>
      <w:r>
        <w:rPr>
          <w:color w:val="231F1F"/>
          <w:w w:val="105"/>
        </w:rPr>
        <w:t>a la evidencia disponible en el momento y por metodos de consenso, estable-</w:t>
      </w:r>
      <w:r>
        <w:rPr>
          <w:color w:val="231F1F"/>
        </w:rPr>
        <w:tab/>
      </w:r>
      <w:r>
        <w:rPr>
          <w:rFonts w:ascii="Arial MT" w:hAnsi="Arial MT"/>
          <w:color w:val="231F1F"/>
          <w:spacing w:val="-10"/>
          <w:w w:val="105"/>
          <w:position w:val="8"/>
          <w:sz w:val="18"/>
        </w:rPr>
        <w:t>4</w:t>
      </w:r>
    </w:p>
    <w:p>
      <w:pPr>
        <w:pStyle w:val="BodyText"/>
        <w:spacing w:line="244" w:lineRule="auto" w:before="17"/>
        <w:ind w:left="283" w:right="1367"/>
        <w:jc w:val="both"/>
      </w:pPr>
      <w:r>
        <w:rPr>
          <w:color w:val="231F1F"/>
          <w:spacing w:val="-2"/>
          <w:w w:val="110"/>
        </w:rPr>
        <w:t>ce</w:t>
      </w:r>
      <w:r>
        <w:rPr>
          <w:color w:val="231F1F"/>
          <w:spacing w:val="-10"/>
          <w:w w:val="110"/>
        </w:rPr>
        <w:t> </w:t>
      </w:r>
      <w:r>
        <w:rPr>
          <w:color w:val="231F1F"/>
          <w:spacing w:val="-2"/>
          <w:w w:val="110"/>
        </w:rPr>
        <w:t>el</w:t>
      </w:r>
      <w:r>
        <w:rPr>
          <w:color w:val="231F1F"/>
          <w:spacing w:val="-10"/>
          <w:w w:val="110"/>
        </w:rPr>
        <w:t> </w:t>
      </w:r>
      <w:r>
        <w:rPr>
          <w:color w:val="231F1F"/>
          <w:spacing w:val="-2"/>
          <w:w w:val="110"/>
        </w:rPr>
        <w:t>momento</w:t>
      </w:r>
      <w:r>
        <w:rPr>
          <w:color w:val="231F1F"/>
          <w:spacing w:val="-10"/>
          <w:w w:val="110"/>
        </w:rPr>
        <w:t> </w:t>
      </w:r>
      <w:r>
        <w:rPr>
          <w:color w:val="231F1F"/>
          <w:spacing w:val="-2"/>
          <w:w w:val="110"/>
        </w:rPr>
        <w:t>de</w:t>
      </w:r>
      <w:r>
        <w:rPr>
          <w:color w:val="231F1F"/>
          <w:spacing w:val="-10"/>
          <w:w w:val="110"/>
        </w:rPr>
        <w:t> </w:t>
      </w:r>
      <w:r>
        <w:rPr>
          <w:color w:val="231F1F"/>
          <w:spacing w:val="-2"/>
          <w:w w:val="110"/>
        </w:rPr>
        <w:t>administración</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eritromicina</w:t>
      </w:r>
      <w:r>
        <w:rPr>
          <w:color w:val="231F1F"/>
          <w:spacing w:val="-10"/>
          <w:w w:val="110"/>
        </w:rPr>
        <w:t> </w:t>
      </w:r>
      <w:r>
        <w:rPr>
          <w:color w:val="231F1F"/>
          <w:spacing w:val="-2"/>
          <w:w w:val="110"/>
        </w:rPr>
        <w:t>en</w:t>
      </w:r>
      <w:r>
        <w:rPr>
          <w:color w:val="231F1F"/>
          <w:spacing w:val="-10"/>
          <w:w w:val="110"/>
        </w:rPr>
        <w:t> </w:t>
      </w:r>
      <w:r>
        <w:rPr>
          <w:color w:val="231F1F"/>
          <w:spacing w:val="-2"/>
          <w:w w:val="110"/>
        </w:rPr>
        <w:t>la</w:t>
      </w:r>
      <w:r>
        <w:rPr>
          <w:color w:val="231F1F"/>
          <w:spacing w:val="-10"/>
          <w:w w:val="110"/>
        </w:rPr>
        <w:t> </w:t>
      </w:r>
      <w:r>
        <w:rPr>
          <w:color w:val="231F1F"/>
          <w:spacing w:val="-2"/>
          <w:w w:val="110"/>
        </w:rPr>
        <w:t>profilaxis</w:t>
      </w:r>
      <w:r>
        <w:rPr>
          <w:color w:val="231F1F"/>
          <w:spacing w:val="-10"/>
          <w:w w:val="110"/>
        </w:rPr>
        <w:t> </w:t>
      </w:r>
      <w:r>
        <w:rPr>
          <w:color w:val="231F1F"/>
          <w:spacing w:val="-2"/>
          <w:w w:val="110"/>
        </w:rPr>
        <w:t>oftálmica </w:t>
      </w:r>
      <w:r>
        <w:rPr>
          <w:color w:val="231F1F"/>
          <w:w w:val="110"/>
        </w:rPr>
        <w:t>neonatal.</w:t>
      </w:r>
      <w:r>
        <w:rPr>
          <w:color w:val="231F1F"/>
          <w:spacing w:val="-11"/>
          <w:w w:val="110"/>
        </w:rPr>
        <w:t> </w:t>
      </w:r>
      <w:r>
        <w:rPr>
          <w:color w:val="231F1F"/>
          <w:w w:val="110"/>
        </w:rPr>
        <w:t>Hasta</w:t>
      </w:r>
      <w:r>
        <w:rPr>
          <w:color w:val="231F1F"/>
          <w:spacing w:val="-10"/>
          <w:w w:val="110"/>
        </w:rPr>
        <w:t> </w:t>
      </w:r>
      <w:r>
        <w:rPr>
          <w:color w:val="231F1F"/>
          <w:w w:val="110"/>
        </w:rPr>
        <w:t>ese</w:t>
      </w:r>
      <w:r>
        <w:rPr>
          <w:color w:val="231F1F"/>
          <w:spacing w:val="-10"/>
          <w:w w:val="110"/>
        </w:rPr>
        <w:t> </w:t>
      </w:r>
      <w:r>
        <w:rPr>
          <w:color w:val="231F1F"/>
          <w:w w:val="110"/>
        </w:rPr>
        <w:t>momento</w:t>
      </w:r>
      <w:r>
        <w:rPr>
          <w:color w:val="231F1F"/>
          <w:spacing w:val="-10"/>
          <w:w w:val="110"/>
        </w:rPr>
        <w:t> </w:t>
      </w:r>
      <w:r>
        <w:rPr>
          <w:color w:val="231F1F"/>
          <w:w w:val="110"/>
        </w:rPr>
        <w:t>se</w:t>
      </w:r>
      <w:r>
        <w:rPr>
          <w:color w:val="231F1F"/>
          <w:spacing w:val="-10"/>
          <w:w w:val="110"/>
        </w:rPr>
        <w:t> </w:t>
      </w:r>
      <w:r>
        <w:rPr>
          <w:color w:val="231F1F"/>
          <w:w w:val="110"/>
        </w:rPr>
        <w:t>administraba</w:t>
      </w:r>
      <w:r>
        <w:rPr>
          <w:color w:val="231F1F"/>
          <w:spacing w:val="-10"/>
          <w:w w:val="110"/>
        </w:rPr>
        <w:t> </w:t>
      </w:r>
      <w:r>
        <w:rPr>
          <w:color w:val="231F1F"/>
          <w:w w:val="110"/>
        </w:rPr>
        <w:t>antes</w:t>
      </w:r>
      <w:r>
        <w:rPr>
          <w:color w:val="231F1F"/>
          <w:spacing w:val="-10"/>
          <w:w w:val="110"/>
        </w:rPr>
        <w:t> </w:t>
      </w:r>
      <w:r>
        <w:rPr>
          <w:color w:val="231F1F"/>
          <w:w w:val="110"/>
        </w:rPr>
        <w:t>de</w:t>
      </w:r>
      <w:r>
        <w:rPr>
          <w:color w:val="231F1F"/>
          <w:spacing w:val="-10"/>
          <w:w w:val="110"/>
        </w:rPr>
        <w:t> </w:t>
      </w:r>
      <w:r>
        <w:rPr>
          <w:color w:val="231F1F"/>
          <w:w w:val="110"/>
        </w:rPr>
        <w:t>una</w:t>
      </w:r>
      <w:r>
        <w:rPr>
          <w:color w:val="231F1F"/>
          <w:spacing w:val="-10"/>
          <w:w w:val="110"/>
        </w:rPr>
        <w:t> </w:t>
      </w:r>
      <w:r>
        <w:rPr>
          <w:color w:val="231F1F"/>
          <w:w w:val="110"/>
        </w:rPr>
        <w:t>hora</w:t>
      </w:r>
      <w:r>
        <w:rPr>
          <w:color w:val="231F1F"/>
          <w:spacing w:val="-10"/>
          <w:w w:val="110"/>
        </w:rPr>
        <w:t> </w:t>
      </w:r>
      <w:r>
        <w:rPr>
          <w:color w:val="231F1F"/>
          <w:w w:val="110"/>
        </w:rPr>
        <w:t>tras</w:t>
      </w:r>
      <w:r>
        <w:rPr>
          <w:color w:val="231F1F"/>
          <w:spacing w:val="-10"/>
          <w:w w:val="110"/>
        </w:rPr>
        <w:t> </w:t>
      </w:r>
      <w:r>
        <w:rPr>
          <w:color w:val="231F1F"/>
          <w:w w:val="110"/>
        </w:rPr>
        <w:t>el</w:t>
      </w:r>
      <w:r>
        <w:rPr>
          <w:color w:val="231F1F"/>
          <w:spacing w:val="-11"/>
          <w:w w:val="110"/>
        </w:rPr>
        <w:t> </w:t>
      </w:r>
      <w:r>
        <w:rPr>
          <w:color w:val="231F1F"/>
          <w:w w:val="110"/>
        </w:rPr>
        <w:t>naci- miento y a partir</w:t>
      </w:r>
      <w:r>
        <w:rPr>
          <w:color w:val="231F1F"/>
          <w:spacing w:val="-1"/>
          <w:w w:val="110"/>
        </w:rPr>
        <w:t> </w:t>
      </w:r>
      <w:r>
        <w:rPr>
          <w:color w:val="231F1F"/>
          <w:w w:val="110"/>
        </w:rPr>
        <w:t>de ese año se prorrogó el</w:t>
      </w:r>
      <w:r>
        <w:rPr>
          <w:color w:val="231F1F"/>
          <w:spacing w:val="-1"/>
          <w:w w:val="110"/>
        </w:rPr>
        <w:t> </w:t>
      </w:r>
      <w:r>
        <w:rPr>
          <w:color w:val="231F1F"/>
          <w:w w:val="110"/>
        </w:rPr>
        <w:t>período de administración a dos horas</w:t>
      </w:r>
      <w:r>
        <w:rPr>
          <w:color w:val="231F1F"/>
          <w:spacing w:val="-4"/>
          <w:w w:val="110"/>
        </w:rPr>
        <w:t> </w:t>
      </w:r>
      <w:r>
        <w:rPr>
          <w:color w:val="231F1F"/>
          <w:w w:val="110"/>
        </w:rPr>
        <w:t>con</w:t>
      </w:r>
      <w:r>
        <w:rPr>
          <w:color w:val="231F1F"/>
          <w:spacing w:val="-3"/>
          <w:w w:val="110"/>
        </w:rPr>
        <w:t> </w:t>
      </w:r>
      <w:r>
        <w:rPr>
          <w:color w:val="231F1F"/>
          <w:w w:val="110"/>
        </w:rPr>
        <w:t>el</w:t>
      </w:r>
      <w:r>
        <w:rPr>
          <w:color w:val="231F1F"/>
          <w:spacing w:val="-4"/>
          <w:w w:val="110"/>
        </w:rPr>
        <w:t> </w:t>
      </w:r>
      <w:r>
        <w:rPr>
          <w:color w:val="231F1F"/>
          <w:w w:val="110"/>
        </w:rPr>
        <w:t>fin</w:t>
      </w:r>
      <w:r>
        <w:rPr>
          <w:color w:val="231F1F"/>
          <w:spacing w:val="-3"/>
          <w:w w:val="110"/>
        </w:rPr>
        <w:t> </w:t>
      </w:r>
      <w:r>
        <w:rPr>
          <w:color w:val="231F1F"/>
          <w:w w:val="110"/>
        </w:rPr>
        <w:t>de</w:t>
      </w:r>
      <w:r>
        <w:rPr>
          <w:color w:val="231F1F"/>
          <w:spacing w:val="-4"/>
          <w:w w:val="110"/>
        </w:rPr>
        <w:t> </w:t>
      </w:r>
      <w:r>
        <w:rPr>
          <w:color w:val="231F1F"/>
          <w:w w:val="110"/>
        </w:rPr>
        <w:t>fomentar</w:t>
      </w:r>
      <w:r>
        <w:rPr>
          <w:color w:val="231F1F"/>
          <w:spacing w:val="-4"/>
          <w:w w:val="110"/>
        </w:rPr>
        <w:t> </w:t>
      </w:r>
      <w:r>
        <w:rPr>
          <w:color w:val="231F1F"/>
          <w:w w:val="110"/>
        </w:rPr>
        <w:t>los</w:t>
      </w:r>
      <w:r>
        <w:rPr>
          <w:color w:val="231F1F"/>
          <w:spacing w:val="-4"/>
          <w:w w:val="110"/>
        </w:rPr>
        <w:t> </w:t>
      </w:r>
      <w:r>
        <w:rPr>
          <w:color w:val="231F1F"/>
          <w:w w:val="110"/>
        </w:rPr>
        <w:t>lazos</w:t>
      </w:r>
      <w:r>
        <w:rPr>
          <w:color w:val="231F1F"/>
          <w:spacing w:val="-4"/>
          <w:w w:val="110"/>
        </w:rPr>
        <w:t> </w:t>
      </w:r>
      <w:r>
        <w:rPr>
          <w:color w:val="231F1F"/>
          <w:w w:val="110"/>
        </w:rPr>
        <w:t>madre-hijo.</w:t>
      </w:r>
      <w:r>
        <w:rPr>
          <w:color w:val="231F1F"/>
          <w:spacing w:val="-4"/>
          <w:w w:val="110"/>
        </w:rPr>
        <w:t> </w:t>
      </w:r>
      <w:r>
        <w:rPr>
          <w:color w:val="231F1F"/>
          <w:w w:val="110"/>
        </w:rPr>
        <w:t>Estos</w:t>
      </w:r>
      <w:r>
        <w:rPr>
          <w:color w:val="231F1F"/>
          <w:spacing w:val="-4"/>
          <w:w w:val="110"/>
        </w:rPr>
        <w:t> </w:t>
      </w:r>
      <w:r>
        <w:rPr>
          <w:color w:val="231F1F"/>
          <w:w w:val="110"/>
        </w:rPr>
        <w:t>cambios</w:t>
      </w:r>
      <w:r>
        <w:rPr>
          <w:color w:val="231F1F"/>
          <w:spacing w:val="-4"/>
          <w:w w:val="110"/>
        </w:rPr>
        <w:t> </w:t>
      </w:r>
      <w:r>
        <w:rPr>
          <w:color w:val="231F1F"/>
          <w:w w:val="110"/>
        </w:rPr>
        <w:t>se</w:t>
      </w:r>
      <w:r>
        <w:rPr>
          <w:color w:val="231F1F"/>
          <w:spacing w:val="-4"/>
          <w:w w:val="110"/>
        </w:rPr>
        <w:t> </w:t>
      </w:r>
      <w:r>
        <w:rPr>
          <w:color w:val="231F1F"/>
          <w:w w:val="110"/>
        </w:rPr>
        <w:t>apoyan en el conocimiento de que el período de incubación de la gonorrea es de 9 días</w:t>
      </w:r>
      <w:r>
        <w:rPr>
          <w:color w:val="231F1F"/>
          <w:spacing w:val="-16"/>
          <w:w w:val="110"/>
        </w:rPr>
        <w:t> </w:t>
      </w:r>
      <w:r>
        <w:rPr>
          <w:color w:val="231F1F"/>
          <w:w w:val="110"/>
        </w:rPr>
        <w:t>y</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chlamydia</w:t>
      </w:r>
      <w:r>
        <w:rPr>
          <w:color w:val="231F1F"/>
          <w:spacing w:val="-15"/>
          <w:w w:val="110"/>
        </w:rPr>
        <w:t> </w:t>
      </w:r>
      <w:r>
        <w:rPr>
          <w:color w:val="231F1F"/>
          <w:w w:val="110"/>
        </w:rPr>
        <w:t>de</w:t>
      </w:r>
      <w:r>
        <w:rPr>
          <w:color w:val="231F1F"/>
          <w:spacing w:val="-15"/>
          <w:w w:val="110"/>
        </w:rPr>
        <w:t> </w:t>
      </w:r>
      <w:r>
        <w:rPr>
          <w:color w:val="231F1F"/>
          <w:w w:val="110"/>
        </w:rPr>
        <w:t>3-4</w:t>
      </w:r>
      <w:r>
        <w:rPr>
          <w:color w:val="231F1F"/>
          <w:spacing w:val="-15"/>
          <w:w w:val="110"/>
        </w:rPr>
        <w:t> </w:t>
      </w:r>
      <w:r>
        <w:rPr>
          <w:color w:val="231F1F"/>
          <w:w w:val="110"/>
        </w:rPr>
        <w:t>días.</w:t>
      </w:r>
      <w:r>
        <w:rPr>
          <w:color w:val="231F1F"/>
          <w:spacing w:val="-15"/>
          <w:w w:val="110"/>
        </w:rPr>
        <w:t> </w:t>
      </w:r>
      <w:r>
        <w:rPr>
          <w:color w:val="231F1F"/>
          <w:w w:val="110"/>
        </w:rPr>
        <w:t>Los</w:t>
      </w:r>
      <w:r>
        <w:rPr>
          <w:color w:val="231F1F"/>
          <w:spacing w:val="-16"/>
          <w:w w:val="110"/>
        </w:rPr>
        <w:t> </w:t>
      </w:r>
      <w:r>
        <w:rPr>
          <w:color w:val="231F1F"/>
          <w:w w:val="110"/>
        </w:rPr>
        <w:t>autores</w:t>
      </w:r>
      <w:r>
        <w:rPr>
          <w:color w:val="231F1F"/>
          <w:spacing w:val="-15"/>
          <w:w w:val="110"/>
        </w:rPr>
        <w:t> </w:t>
      </w:r>
      <w:r>
        <w:rPr>
          <w:color w:val="231F1F"/>
          <w:w w:val="110"/>
        </w:rPr>
        <w:t>recomiendan</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momento ideal para la profilaxis oftálmica sea 4 horas después del parto.</w:t>
      </w:r>
    </w:p>
    <w:p>
      <w:pPr>
        <w:pStyle w:val="BodyText"/>
        <w:tabs>
          <w:tab w:pos="8024" w:val="left" w:leader="none"/>
          <w:tab w:pos="8114" w:val="left" w:leader="none"/>
        </w:tabs>
        <w:spacing w:line="256" w:lineRule="auto" w:before="94"/>
        <w:ind w:left="283" w:right="512" w:firstLine="453"/>
      </w:pPr>
      <w:r>
        <w:rPr>
          <w:color w:val="231F1F"/>
          <w:w w:val="110"/>
        </w:rPr>
        <w:t>Por otro lado, la RS de Canadian Task Force de 1994, mencionada en la</w:t>
      </w:r>
      <w:r>
        <w:rPr>
          <w:color w:val="231F1F"/>
        </w:rPr>
        <w:tab/>
      </w:r>
      <w:r>
        <w:rPr>
          <w:rFonts w:ascii="Arial MT" w:hAnsi="Arial MT"/>
          <w:color w:val="231F1F"/>
          <w:spacing w:val="-12"/>
          <w:w w:val="105"/>
          <w:sz w:val="18"/>
        </w:rPr>
        <w:t>GPC </w:t>
      </w:r>
      <w:r>
        <w:rPr>
          <w:color w:val="231F1F"/>
          <w:w w:val="110"/>
        </w:rPr>
        <w:t>pregunta anterior (252), proponía realizar la profilaxis antes de una hora</w:t>
      </w:r>
      <w:r>
        <w:rPr>
          <w:color w:val="231F1F"/>
        </w:rPr>
        <w:tab/>
        <w:tab/>
      </w:r>
      <w:r>
        <w:rPr>
          <w:rFonts w:ascii="Arial MT" w:hAnsi="Arial MT"/>
          <w:color w:val="231F1F"/>
          <w:spacing w:val="-6"/>
          <w:w w:val="110"/>
          <w:position w:val="4"/>
          <w:sz w:val="18"/>
        </w:rPr>
        <w:t>2+ </w:t>
      </w:r>
      <w:r>
        <w:rPr>
          <w:color w:val="231F1F"/>
          <w:w w:val="110"/>
        </w:rPr>
        <w:t>después del nacimiento, ya que en los estudios incluidos en la misma así lo</w:t>
      </w:r>
    </w:p>
    <w:p>
      <w:pPr>
        <w:pStyle w:val="BodyText"/>
        <w:spacing w:line="244" w:lineRule="exact"/>
        <w:ind w:left="283"/>
      </w:pPr>
      <w:r>
        <w:rPr>
          <w:color w:val="231F1F"/>
          <w:spacing w:val="-2"/>
          <w:w w:val="105"/>
        </w:rPr>
        <w:t>hacían.</w:t>
      </w:r>
    </w:p>
    <w:p>
      <w:pPr>
        <w:pStyle w:val="BodyText"/>
        <w:spacing w:before="98"/>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4" w:lineRule="auto" w:before="44"/>
              <w:ind w:right="90"/>
              <w:jc w:val="both"/>
              <w:rPr>
                <w:sz w:val="22"/>
              </w:rPr>
            </w:pPr>
            <w:r>
              <w:rPr>
                <w:color w:val="231F1F"/>
                <w:w w:val="105"/>
                <w:sz w:val="22"/>
              </w:rPr>
              <w:t>Hay evidencias sobre los periodos de incubación en las infecciones oftálmi- cas</w:t>
            </w:r>
            <w:r>
              <w:rPr>
                <w:color w:val="231F1F"/>
                <w:spacing w:val="-10"/>
                <w:w w:val="105"/>
                <w:sz w:val="22"/>
              </w:rPr>
              <w:t> </w:t>
            </w:r>
            <w:r>
              <w:rPr>
                <w:color w:val="231F1F"/>
                <w:w w:val="105"/>
                <w:sz w:val="22"/>
              </w:rPr>
              <w:t>(9</w:t>
            </w:r>
            <w:r>
              <w:rPr>
                <w:color w:val="231F1F"/>
                <w:spacing w:val="-10"/>
                <w:w w:val="105"/>
                <w:sz w:val="22"/>
              </w:rPr>
              <w:t> </w:t>
            </w:r>
            <w:r>
              <w:rPr>
                <w:color w:val="231F1F"/>
                <w:w w:val="105"/>
                <w:sz w:val="22"/>
              </w:rPr>
              <w:t>días</w:t>
            </w:r>
            <w:r>
              <w:rPr>
                <w:color w:val="231F1F"/>
                <w:spacing w:val="-10"/>
                <w:w w:val="105"/>
                <w:sz w:val="22"/>
              </w:rPr>
              <w:t> </w:t>
            </w:r>
            <w:r>
              <w:rPr>
                <w:color w:val="231F1F"/>
                <w:w w:val="105"/>
                <w:sz w:val="22"/>
              </w:rPr>
              <w:t>para</w:t>
            </w:r>
            <w:r>
              <w:rPr>
                <w:color w:val="231F1F"/>
                <w:spacing w:val="-11"/>
                <w:w w:val="105"/>
                <w:sz w:val="22"/>
              </w:rPr>
              <w:t> </w:t>
            </w:r>
            <w:r>
              <w:rPr>
                <w:color w:val="231F1F"/>
                <w:w w:val="105"/>
                <w:sz w:val="22"/>
              </w:rPr>
              <w:t>la</w:t>
            </w:r>
            <w:r>
              <w:rPr>
                <w:color w:val="231F1F"/>
                <w:spacing w:val="-10"/>
                <w:w w:val="105"/>
                <w:sz w:val="22"/>
              </w:rPr>
              <w:t> </w:t>
            </w:r>
            <w:r>
              <w:rPr>
                <w:color w:val="231F1F"/>
                <w:w w:val="105"/>
                <w:sz w:val="22"/>
              </w:rPr>
              <w:t>gonorrea</w:t>
            </w:r>
            <w:r>
              <w:rPr>
                <w:color w:val="231F1F"/>
                <w:spacing w:val="-11"/>
                <w:w w:val="105"/>
                <w:sz w:val="22"/>
              </w:rPr>
              <w:t> </w:t>
            </w:r>
            <w:r>
              <w:rPr>
                <w:color w:val="231F1F"/>
                <w:w w:val="105"/>
                <w:sz w:val="22"/>
              </w:rPr>
              <w:t>y</w:t>
            </w:r>
            <w:r>
              <w:rPr>
                <w:color w:val="231F1F"/>
                <w:spacing w:val="-10"/>
                <w:w w:val="105"/>
                <w:sz w:val="22"/>
              </w:rPr>
              <w:t> </w:t>
            </w:r>
            <w:r>
              <w:rPr>
                <w:color w:val="231F1F"/>
                <w:w w:val="105"/>
                <w:sz w:val="22"/>
              </w:rPr>
              <w:t>3-4</w:t>
            </w:r>
            <w:r>
              <w:rPr>
                <w:color w:val="231F1F"/>
                <w:spacing w:val="-10"/>
                <w:w w:val="105"/>
                <w:sz w:val="22"/>
              </w:rPr>
              <w:t> </w:t>
            </w:r>
            <w:r>
              <w:rPr>
                <w:color w:val="231F1F"/>
                <w:w w:val="105"/>
                <w:sz w:val="22"/>
              </w:rPr>
              <w:t>para</w:t>
            </w:r>
            <w:r>
              <w:rPr>
                <w:color w:val="231F1F"/>
                <w:spacing w:val="-11"/>
                <w:w w:val="105"/>
                <w:sz w:val="22"/>
              </w:rPr>
              <w:t> </w:t>
            </w:r>
            <w:r>
              <w:rPr>
                <w:color w:val="231F1F"/>
                <w:w w:val="105"/>
                <w:sz w:val="22"/>
              </w:rPr>
              <w:t>la</w:t>
            </w:r>
            <w:r>
              <w:rPr>
                <w:color w:val="231F1F"/>
                <w:spacing w:val="-10"/>
                <w:w w:val="105"/>
                <w:sz w:val="22"/>
              </w:rPr>
              <w:t> </w:t>
            </w:r>
            <w:r>
              <w:rPr>
                <w:color w:val="231F1F"/>
                <w:w w:val="105"/>
                <w:sz w:val="22"/>
              </w:rPr>
              <w:t>chlamydia)</w:t>
            </w:r>
            <w:r>
              <w:rPr>
                <w:color w:val="231F1F"/>
                <w:spacing w:val="-10"/>
                <w:w w:val="105"/>
                <w:sz w:val="22"/>
              </w:rPr>
              <w:t> </w:t>
            </w:r>
            <w:r>
              <w:rPr>
                <w:color w:val="231F1F"/>
                <w:w w:val="105"/>
                <w:sz w:val="22"/>
              </w:rPr>
              <w:t>que</w:t>
            </w:r>
            <w:r>
              <w:rPr>
                <w:color w:val="231F1F"/>
                <w:spacing w:val="-11"/>
                <w:w w:val="105"/>
                <w:sz w:val="22"/>
              </w:rPr>
              <w:t> </w:t>
            </w:r>
            <w:r>
              <w:rPr>
                <w:color w:val="231F1F"/>
                <w:w w:val="105"/>
                <w:sz w:val="22"/>
              </w:rPr>
              <w:t>han</w:t>
            </w:r>
            <w:r>
              <w:rPr>
                <w:color w:val="231F1F"/>
                <w:spacing w:val="-10"/>
                <w:w w:val="105"/>
                <w:sz w:val="22"/>
              </w:rPr>
              <w:t> </w:t>
            </w:r>
            <w:r>
              <w:rPr>
                <w:color w:val="231F1F"/>
                <w:w w:val="105"/>
                <w:sz w:val="22"/>
              </w:rPr>
              <w:t>servido</w:t>
            </w:r>
            <w:r>
              <w:rPr>
                <w:color w:val="231F1F"/>
                <w:spacing w:val="-11"/>
                <w:w w:val="105"/>
                <w:sz w:val="22"/>
              </w:rPr>
              <w:t> </w:t>
            </w:r>
            <w:r>
              <w:rPr>
                <w:color w:val="231F1F"/>
                <w:w w:val="105"/>
                <w:sz w:val="22"/>
              </w:rPr>
              <w:t>de</w:t>
            </w:r>
            <w:r>
              <w:rPr>
                <w:color w:val="231F1F"/>
                <w:spacing w:val="-11"/>
                <w:w w:val="105"/>
                <w:sz w:val="22"/>
              </w:rPr>
              <w:t> </w:t>
            </w:r>
            <w:r>
              <w:rPr>
                <w:color w:val="231F1F"/>
                <w:w w:val="105"/>
                <w:sz w:val="22"/>
              </w:rPr>
              <w:t>apoyo para retrasar el momento de realización de la profilaxis oftálmica (253).</w:t>
            </w:r>
          </w:p>
        </w:tc>
        <w:tc>
          <w:tcPr>
            <w:tcW w:w="1133" w:type="dxa"/>
          </w:tcPr>
          <w:p>
            <w:pPr>
              <w:pStyle w:val="TableParagraph"/>
              <w:spacing w:before="88"/>
              <w:ind w:left="0"/>
              <w:rPr>
                <w:rFonts w:ascii="Arial MT"/>
                <w:sz w:val="22"/>
              </w:rPr>
            </w:pPr>
          </w:p>
          <w:p>
            <w:pPr>
              <w:pStyle w:val="TableParagraph"/>
              <w:ind w:left="49"/>
              <w:jc w:val="center"/>
              <w:rPr>
                <w:sz w:val="22"/>
              </w:rPr>
            </w:pPr>
            <w:r>
              <w:rPr>
                <w:color w:val="231F1F"/>
                <w:spacing w:val="-10"/>
                <w:sz w:val="22"/>
              </w:rPr>
              <w:t>4</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6" w:hRule="atLeast"/>
        </w:trPr>
        <w:tc>
          <w:tcPr>
            <w:tcW w:w="456" w:type="dxa"/>
          </w:tcPr>
          <w:p>
            <w:pPr>
              <w:pStyle w:val="TableParagraph"/>
              <w:spacing w:before="178"/>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w w:val="110"/>
                <w:sz w:val="22"/>
              </w:rPr>
              <w:t>El</w:t>
            </w:r>
            <w:r>
              <w:rPr>
                <w:color w:val="231F1F"/>
                <w:spacing w:val="-9"/>
                <w:w w:val="110"/>
                <w:sz w:val="22"/>
              </w:rPr>
              <w:t> </w:t>
            </w:r>
            <w:r>
              <w:rPr>
                <w:color w:val="231F1F"/>
                <w:w w:val="110"/>
                <w:sz w:val="22"/>
              </w:rPr>
              <w:t>tiempo</w:t>
            </w:r>
            <w:r>
              <w:rPr>
                <w:color w:val="231F1F"/>
                <w:spacing w:val="-8"/>
                <w:w w:val="110"/>
                <w:sz w:val="22"/>
              </w:rPr>
              <w:t> </w:t>
            </w:r>
            <w:r>
              <w:rPr>
                <w:color w:val="231F1F"/>
                <w:w w:val="110"/>
                <w:sz w:val="22"/>
              </w:rPr>
              <w:t>de</w:t>
            </w:r>
            <w:r>
              <w:rPr>
                <w:color w:val="231F1F"/>
                <w:spacing w:val="-8"/>
                <w:w w:val="110"/>
                <w:sz w:val="22"/>
              </w:rPr>
              <w:t> </w:t>
            </w:r>
            <w:r>
              <w:rPr>
                <w:color w:val="231F1F"/>
                <w:w w:val="110"/>
                <w:sz w:val="22"/>
              </w:rPr>
              <w:t>administración</w:t>
            </w:r>
            <w:r>
              <w:rPr>
                <w:color w:val="231F1F"/>
                <w:spacing w:val="-8"/>
                <w:w w:val="110"/>
                <w:sz w:val="22"/>
              </w:rPr>
              <w:t> </w:t>
            </w:r>
            <w:r>
              <w:rPr>
                <w:color w:val="231F1F"/>
                <w:w w:val="110"/>
                <w:sz w:val="22"/>
              </w:rPr>
              <w:t>de</w:t>
            </w:r>
            <w:r>
              <w:rPr>
                <w:color w:val="231F1F"/>
                <w:spacing w:val="-8"/>
                <w:w w:val="110"/>
                <w:sz w:val="22"/>
              </w:rPr>
              <w:t> </w:t>
            </w:r>
            <w:r>
              <w:rPr>
                <w:color w:val="231F1F"/>
                <w:w w:val="110"/>
                <w:sz w:val="22"/>
              </w:rPr>
              <w:t>profilaxis</w:t>
            </w:r>
            <w:r>
              <w:rPr>
                <w:color w:val="231F1F"/>
                <w:spacing w:val="-8"/>
                <w:w w:val="110"/>
                <w:sz w:val="22"/>
              </w:rPr>
              <w:t> </w:t>
            </w:r>
            <w:r>
              <w:rPr>
                <w:color w:val="231F1F"/>
                <w:w w:val="110"/>
                <w:sz w:val="22"/>
              </w:rPr>
              <w:t>oftálmica</w:t>
            </w:r>
            <w:r>
              <w:rPr>
                <w:color w:val="231F1F"/>
                <w:spacing w:val="-8"/>
                <w:w w:val="110"/>
                <w:sz w:val="22"/>
              </w:rPr>
              <w:t> </w:t>
            </w:r>
            <w:r>
              <w:rPr>
                <w:color w:val="231F1F"/>
                <w:w w:val="110"/>
                <w:sz w:val="22"/>
              </w:rPr>
              <w:t>puede</w:t>
            </w:r>
            <w:r>
              <w:rPr>
                <w:color w:val="231F1F"/>
                <w:spacing w:val="-8"/>
                <w:w w:val="110"/>
                <w:sz w:val="22"/>
              </w:rPr>
              <w:t> </w:t>
            </w:r>
            <w:r>
              <w:rPr>
                <w:color w:val="231F1F"/>
                <w:w w:val="110"/>
                <w:sz w:val="22"/>
              </w:rPr>
              <w:t>ampliarse</w:t>
            </w:r>
            <w:r>
              <w:rPr>
                <w:color w:val="231F1F"/>
                <w:spacing w:val="-8"/>
                <w:w w:val="110"/>
                <w:sz w:val="22"/>
              </w:rPr>
              <w:t> </w:t>
            </w:r>
            <w:r>
              <w:rPr>
                <w:color w:val="231F1F"/>
                <w:w w:val="110"/>
                <w:sz w:val="22"/>
              </w:rPr>
              <w:t>hasta</w:t>
            </w:r>
            <w:r>
              <w:rPr>
                <w:color w:val="231F1F"/>
                <w:spacing w:val="-8"/>
                <w:w w:val="110"/>
                <w:sz w:val="22"/>
              </w:rPr>
              <w:t> </w:t>
            </w:r>
            <w:r>
              <w:rPr>
                <w:color w:val="231F1F"/>
                <w:w w:val="110"/>
                <w:sz w:val="22"/>
              </w:rPr>
              <w:t>las</w:t>
            </w:r>
            <w:r>
              <w:rPr>
                <w:color w:val="231F1F"/>
                <w:spacing w:val="-8"/>
                <w:w w:val="110"/>
                <w:sz w:val="22"/>
              </w:rPr>
              <w:t> </w:t>
            </w:r>
            <w:r>
              <w:rPr>
                <w:color w:val="231F1F"/>
                <w:w w:val="110"/>
                <w:sz w:val="22"/>
              </w:rPr>
              <w:t>4 horas tras el nacimiento.</w:t>
            </w:r>
          </w:p>
        </w:tc>
      </w:tr>
    </w:tbl>
    <w:p>
      <w:pPr>
        <w:pStyle w:val="TableParagraph"/>
        <w:spacing w:after="0" w:line="24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05"/>
        </w:rPr>
        <w:t>Producto</w:t>
      </w:r>
      <w:r>
        <w:rPr>
          <w:color w:val="231F1F"/>
          <w:spacing w:val="2"/>
          <w:w w:val="105"/>
        </w:rPr>
        <w:t> </w:t>
      </w:r>
      <w:r>
        <w:rPr>
          <w:color w:val="231F1F"/>
          <w:w w:val="105"/>
        </w:rPr>
        <w:t>más</w:t>
      </w:r>
      <w:r>
        <w:rPr>
          <w:color w:val="231F1F"/>
          <w:spacing w:val="4"/>
          <w:w w:val="105"/>
        </w:rPr>
        <w:t> </w:t>
      </w:r>
      <w:r>
        <w:rPr>
          <w:color w:val="231F1F"/>
          <w:w w:val="105"/>
        </w:rPr>
        <w:t>eficaz</w:t>
      </w:r>
      <w:r>
        <w:rPr>
          <w:color w:val="231F1F"/>
          <w:spacing w:val="2"/>
          <w:w w:val="105"/>
        </w:rPr>
        <w:t> </w:t>
      </w:r>
      <w:r>
        <w:rPr>
          <w:color w:val="231F1F"/>
          <w:w w:val="105"/>
        </w:rPr>
        <w:t>para</w:t>
      </w:r>
      <w:r>
        <w:rPr>
          <w:color w:val="231F1F"/>
          <w:spacing w:val="5"/>
          <w:w w:val="105"/>
        </w:rPr>
        <w:t> </w:t>
      </w:r>
      <w:r>
        <w:rPr>
          <w:color w:val="231F1F"/>
          <w:w w:val="105"/>
        </w:rPr>
        <w:t>la</w:t>
      </w:r>
      <w:r>
        <w:rPr>
          <w:color w:val="231F1F"/>
          <w:spacing w:val="2"/>
          <w:w w:val="105"/>
        </w:rPr>
        <w:t> </w:t>
      </w:r>
      <w:r>
        <w:rPr>
          <w:color w:val="231F1F"/>
          <w:w w:val="105"/>
        </w:rPr>
        <w:t>profilaxis</w:t>
      </w:r>
      <w:r>
        <w:rPr>
          <w:color w:val="231F1F"/>
          <w:spacing w:val="4"/>
          <w:w w:val="105"/>
        </w:rPr>
        <w:t> </w:t>
      </w:r>
      <w:r>
        <w:rPr>
          <w:color w:val="231F1F"/>
          <w:spacing w:val="-2"/>
          <w:w w:val="105"/>
        </w:rPr>
        <w:t>oftálmica</w:t>
      </w:r>
    </w:p>
    <w:p>
      <w:pPr>
        <w:pStyle w:val="BodyText"/>
        <w:spacing w:before="20"/>
        <w:rPr>
          <w:sz w:val="20"/>
        </w:rPr>
      </w:pPr>
      <w:r>
        <w:rPr>
          <w:sz w:val="20"/>
        </w:rPr>
        <mc:AlternateContent>
          <mc:Choice Requires="wps">
            <w:drawing>
              <wp:anchor distT="0" distB="0" distL="0" distR="0" allowOverlap="1" layoutInCell="1" locked="0" behindDoc="1" simplePos="0" relativeHeight="487618560">
                <wp:simplePos x="0" y="0"/>
                <wp:positionH relativeFrom="page">
                  <wp:posOffset>1082675</wp:posOffset>
                </wp:positionH>
                <wp:positionV relativeFrom="paragraph">
                  <wp:posOffset>177184</wp:posOffset>
                </wp:positionV>
                <wp:extent cx="5400040" cy="26225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5400040" cy="262255"/>
                        </a:xfrm>
                        <a:prstGeom prst="rect">
                          <a:avLst/>
                        </a:prstGeom>
                        <a:ln w="6350">
                          <a:solidFill>
                            <a:srgbClr val="A30046"/>
                          </a:solidFill>
                          <a:prstDash val="solid"/>
                        </a:ln>
                      </wps:spPr>
                      <wps:txbx>
                        <w:txbxContent>
                          <w:p>
                            <w:pPr>
                              <w:pStyle w:val="BodyText"/>
                              <w:numPr>
                                <w:ilvl w:val="0"/>
                                <w:numId w:val="61"/>
                              </w:numPr>
                              <w:tabs>
                                <w:tab w:pos="322" w:val="left" w:leader="none"/>
                              </w:tabs>
                              <w:spacing w:line="240" w:lineRule="auto" w:before="46" w:after="0"/>
                              <w:ind w:left="322" w:right="0" w:hanging="218"/>
                              <w:jc w:val="left"/>
                            </w:pPr>
                            <w:r>
                              <w:rPr>
                                <w:color w:val="231F1F"/>
                                <w:w w:val="105"/>
                              </w:rPr>
                              <w:t>¿Cuál</w:t>
                            </w:r>
                            <w:r>
                              <w:rPr>
                                <w:color w:val="231F1F"/>
                                <w:spacing w:val="-3"/>
                                <w:w w:val="105"/>
                              </w:rPr>
                              <w:t> </w:t>
                            </w:r>
                            <w:r>
                              <w:rPr>
                                <w:color w:val="231F1F"/>
                                <w:w w:val="105"/>
                              </w:rPr>
                              <w:t>es</w:t>
                            </w:r>
                            <w:r>
                              <w:rPr>
                                <w:color w:val="231F1F"/>
                                <w:spacing w:val="1"/>
                                <w:w w:val="105"/>
                              </w:rPr>
                              <w:t> </w:t>
                            </w:r>
                            <w:r>
                              <w:rPr>
                                <w:color w:val="231F1F"/>
                                <w:w w:val="105"/>
                              </w:rPr>
                              <w:t>el</w:t>
                            </w:r>
                            <w:r>
                              <w:rPr>
                                <w:color w:val="231F1F"/>
                                <w:spacing w:val="-1"/>
                                <w:w w:val="105"/>
                              </w:rPr>
                              <w:t> </w:t>
                            </w:r>
                            <w:r>
                              <w:rPr>
                                <w:color w:val="231F1F"/>
                                <w:w w:val="105"/>
                              </w:rPr>
                              <w:t>producto</w:t>
                            </w:r>
                            <w:r>
                              <w:rPr>
                                <w:color w:val="231F1F"/>
                                <w:spacing w:val="-2"/>
                                <w:w w:val="105"/>
                              </w:rPr>
                              <w:t> </w:t>
                            </w:r>
                            <w:r>
                              <w:rPr>
                                <w:color w:val="231F1F"/>
                                <w:w w:val="105"/>
                              </w:rPr>
                              <w:t>más</w:t>
                            </w:r>
                            <w:r>
                              <w:rPr>
                                <w:color w:val="231F1F"/>
                                <w:spacing w:val="1"/>
                                <w:w w:val="105"/>
                              </w:rPr>
                              <w:t> </w:t>
                            </w:r>
                            <w:r>
                              <w:rPr>
                                <w:color w:val="231F1F"/>
                                <w:w w:val="105"/>
                              </w:rPr>
                              <w:t>eficaz</w:t>
                            </w:r>
                            <w:r>
                              <w:rPr>
                                <w:color w:val="231F1F"/>
                                <w:spacing w:val="1"/>
                                <w:w w:val="105"/>
                              </w:rPr>
                              <w:t> </w:t>
                            </w:r>
                            <w:r>
                              <w:rPr>
                                <w:color w:val="231F1F"/>
                                <w:w w:val="105"/>
                              </w:rPr>
                              <w:t>para</w:t>
                            </w:r>
                            <w:r>
                              <w:rPr>
                                <w:color w:val="231F1F"/>
                                <w:spacing w:val="-3"/>
                                <w:w w:val="105"/>
                              </w:rPr>
                              <w:t> </w:t>
                            </w:r>
                            <w:r>
                              <w:rPr>
                                <w:color w:val="231F1F"/>
                                <w:w w:val="105"/>
                              </w:rPr>
                              <w:t>la</w:t>
                            </w:r>
                            <w:r>
                              <w:rPr>
                                <w:color w:val="231F1F"/>
                                <w:spacing w:val="1"/>
                                <w:w w:val="105"/>
                              </w:rPr>
                              <w:t> </w:t>
                            </w:r>
                            <w:r>
                              <w:rPr>
                                <w:color w:val="231F1F"/>
                                <w:w w:val="105"/>
                              </w:rPr>
                              <w:t>profilaxis</w:t>
                            </w:r>
                            <w:r>
                              <w:rPr>
                                <w:color w:val="231F1F"/>
                                <w:spacing w:val="-1"/>
                                <w:w w:val="105"/>
                              </w:rPr>
                              <w:t> </w:t>
                            </w:r>
                            <w:r>
                              <w:rPr>
                                <w:color w:val="231F1F"/>
                                <w:w w:val="105"/>
                              </w:rPr>
                              <w:t>oftálmica</w:t>
                            </w:r>
                            <w:r>
                              <w:rPr>
                                <w:color w:val="231F1F"/>
                                <w:spacing w:val="-1"/>
                                <w:w w:val="105"/>
                              </w:rPr>
                              <w:t> </w:t>
                            </w:r>
                            <w:r>
                              <w:rPr>
                                <w:color w:val="231F1F"/>
                                <w:w w:val="105"/>
                              </w:rPr>
                              <w:t>del</w:t>
                            </w:r>
                            <w:r>
                              <w:rPr>
                                <w:color w:val="231F1F"/>
                                <w:spacing w:val="-2"/>
                                <w:w w:val="105"/>
                              </w:rPr>
                              <w:t> </w:t>
                            </w:r>
                            <w:r>
                              <w:rPr>
                                <w:color w:val="231F1F"/>
                                <w:spacing w:val="-5"/>
                                <w:w w:val="105"/>
                              </w:rPr>
                              <w:t>RN?</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7920;mso-wrap-distance-left:0;mso-wrap-distance-right:0" type="#_x0000_t202" id="docshape107" filled="false" stroked="true" strokeweight=".5pt" strokecolor="#a30046">
                <v:textbox inset="0,0,0,0">
                  <w:txbxContent>
                    <w:p>
                      <w:pPr>
                        <w:pStyle w:val="BodyText"/>
                        <w:numPr>
                          <w:ilvl w:val="0"/>
                          <w:numId w:val="61"/>
                        </w:numPr>
                        <w:tabs>
                          <w:tab w:pos="322" w:val="left" w:leader="none"/>
                        </w:tabs>
                        <w:spacing w:line="240" w:lineRule="auto" w:before="46" w:after="0"/>
                        <w:ind w:left="322" w:right="0" w:hanging="218"/>
                        <w:jc w:val="left"/>
                      </w:pPr>
                      <w:r>
                        <w:rPr>
                          <w:color w:val="231F1F"/>
                          <w:w w:val="105"/>
                        </w:rPr>
                        <w:t>¿Cuál</w:t>
                      </w:r>
                      <w:r>
                        <w:rPr>
                          <w:color w:val="231F1F"/>
                          <w:spacing w:val="-3"/>
                          <w:w w:val="105"/>
                        </w:rPr>
                        <w:t> </w:t>
                      </w:r>
                      <w:r>
                        <w:rPr>
                          <w:color w:val="231F1F"/>
                          <w:w w:val="105"/>
                        </w:rPr>
                        <w:t>es</w:t>
                      </w:r>
                      <w:r>
                        <w:rPr>
                          <w:color w:val="231F1F"/>
                          <w:spacing w:val="1"/>
                          <w:w w:val="105"/>
                        </w:rPr>
                        <w:t> </w:t>
                      </w:r>
                      <w:r>
                        <w:rPr>
                          <w:color w:val="231F1F"/>
                          <w:w w:val="105"/>
                        </w:rPr>
                        <w:t>el</w:t>
                      </w:r>
                      <w:r>
                        <w:rPr>
                          <w:color w:val="231F1F"/>
                          <w:spacing w:val="-1"/>
                          <w:w w:val="105"/>
                        </w:rPr>
                        <w:t> </w:t>
                      </w:r>
                      <w:r>
                        <w:rPr>
                          <w:color w:val="231F1F"/>
                          <w:w w:val="105"/>
                        </w:rPr>
                        <w:t>producto</w:t>
                      </w:r>
                      <w:r>
                        <w:rPr>
                          <w:color w:val="231F1F"/>
                          <w:spacing w:val="-2"/>
                          <w:w w:val="105"/>
                        </w:rPr>
                        <w:t> </w:t>
                      </w:r>
                      <w:r>
                        <w:rPr>
                          <w:color w:val="231F1F"/>
                          <w:w w:val="105"/>
                        </w:rPr>
                        <w:t>más</w:t>
                      </w:r>
                      <w:r>
                        <w:rPr>
                          <w:color w:val="231F1F"/>
                          <w:spacing w:val="1"/>
                          <w:w w:val="105"/>
                        </w:rPr>
                        <w:t> </w:t>
                      </w:r>
                      <w:r>
                        <w:rPr>
                          <w:color w:val="231F1F"/>
                          <w:w w:val="105"/>
                        </w:rPr>
                        <w:t>eficaz</w:t>
                      </w:r>
                      <w:r>
                        <w:rPr>
                          <w:color w:val="231F1F"/>
                          <w:spacing w:val="1"/>
                          <w:w w:val="105"/>
                        </w:rPr>
                        <w:t> </w:t>
                      </w:r>
                      <w:r>
                        <w:rPr>
                          <w:color w:val="231F1F"/>
                          <w:w w:val="105"/>
                        </w:rPr>
                        <w:t>para</w:t>
                      </w:r>
                      <w:r>
                        <w:rPr>
                          <w:color w:val="231F1F"/>
                          <w:spacing w:val="-3"/>
                          <w:w w:val="105"/>
                        </w:rPr>
                        <w:t> </w:t>
                      </w:r>
                      <w:r>
                        <w:rPr>
                          <w:color w:val="231F1F"/>
                          <w:w w:val="105"/>
                        </w:rPr>
                        <w:t>la</w:t>
                      </w:r>
                      <w:r>
                        <w:rPr>
                          <w:color w:val="231F1F"/>
                          <w:spacing w:val="1"/>
                          <w:w w:val="105"/>
                        </w:rPr>
                        <w:t> </w:t>
                      </w:r>
                      <w:r>
                        <w:rPr>
                          <w:color w:val="231F1F"/>
                          <w:w w:val="105"/>
                        </w:rPr>
                        <w:t>profilaxis</w:t>
                      </w:r>
                      <w:r>
                        <w:rPr>
                          <w:color w:val="231F1F"/>
                          <w:spacing w:val="-1"/>
                          <w:w w:val="105"/>
                        </w:rPr>
                        <w:t> </w:t>
                      </w:r>
                      <w:r>
                        <w:rPr>
                          <w:color w:val="231F1F"/>
                          <w:w w:val="105"/>
                        </w:rPr>
                        <w:t>oftálmica</w:t>
                      </w:r>
                      <w:r>
                        <w:rPr>
                          <w:color w:val="231F1F"/>
                          <w:spacing w:val="-1"/>
                          <w:w w:val="105"/>
                        </w:rPr>
                        <w:t> </w:t>
                      </w:r>
                      <w:r>
                        <w:rPr>
                          <w:color w:val="231F1F"/>
                          <w:w w:val="105"/>
                        </w:rPr>
                        <w:t>del</w:t>
                      </w:r>
                      <w:r>
                        <w:rPr>
                          <w:color w:val="231F1F"/>
                          <w:spacing w:val="-2"/>
                          <w:w w:val="105"/>
                        </w:rPr>
                        <w:t> </w:t>
                      </w:r>
                      <w:r>
                        <w:rPr>
                          <w:color w:val="231F1F"/>
                          <w:spacing w:val="-5"/>
                          <w:w w:val="105"/>
                        </w:rPr>
                        <w:t>RN?</w:t>
                      </w:r>
                    </w:p>
                  </w:txbxContent>
                </v:textbox>
                <v:stroke dashstyle="solid"/>
                <w10:wrap type="topAndBottom"/>
              </v:shape>
            </w:pict>
          </mc:Fallback>
        </mc:AlternateContent>
      </w:r>
    </w:p>
    <w:p>
      <w:pPr>
        <w:pStyle w:val="BodyText"/>
        <w:spacing w:line="244" w:lineRule="auto" w:before="324"/>
        <w:ind w:left="283" w:right="116"/>
        <w:jc w:val="both"/>
      </w:pPr>
      <w:r>
        <w:rPr>
          <w:color w:val="231F1F"/>
          <w:w w:val="110"/>
        </w:rPr>
        <w:t>Desde</w:t>
      </w:r>
      <w:r>
        <w:rPr>
          <w:color w:val="231F1F"/>
          <w:spacing w:val="-7"/>
          <w:w w:val="110"/>
        </w:rPr>
        <w:t> </w:t>
      </w:r>
      <w:r>
        <w:rPr>
          <w:color w:val="231F1F"/>
          <w:w w:val="110"/>
        </w:rPr>
        <w:t>1884</w:t>
      </w:r>
      <w:r>
        <w:rPr>
          <w:color w:val="231F1F"/>
          <w:spacing w:val="-7"/>
          <w:w w:val="110"/>
        </w:rPr>
        <w:t> </w:t>
      </w:r>
      <w:r>
        <w:rPr>
          <w:color w:val="231F1F"/>
          <w:w w:val="110"/>
        </w:rPr>
        <w:t>se</w:t>
      </w:r>
      <w:r>
        <w:rPr>
          <w:color w:val="231F1F"/>
          <w:spacing w:val="-7"/>
          <w:w w:val="110"/>
        </w:rPr>
        <w:t> </w:t>
      </w:r>
      <w:r>
        <w:rPr>
          <w:color w:val="231F1F"/>
          <w:w w:val="110"/>
        </w:rPr>
        <w:t>viene</w:t>
      </w:r>
      <w:r>
        <w:rPr>
          <w:color w:val="231F1F"/>
          <w:spacing w:val="-8"/>
          <w:w w:val="110"/>
        </w:rPr>
        <w:t> </w:t>
      </w:r>
      <w:r>
        <w:rPr>
          <w:color w:val="231F1F"/>
          <w:w w:val="110"/>
        </w:rPr>
        <w:t>realizando</w:t>
      </w:r>
      <w:r>
        <w:rPr>
          <w:color w:val="231F1F"/>
          <w:spacing w:val="-7"/>
          <w:w w:val="110"/>
        </w:rPr>
        <w:t> </w:t>
      </w:r>
      <w:r>
        <w:rPr>
          <w:color w:val="231F1F"/>
          <w:w w:val="110"/>
        </w:rPr>
        <w:t>profilaxis</w:t>
      </w:r>
      <w:r>
        <w:rPr>
          <w:color w:val="231F1F"/>
          <w:spacing w:val="-8"/>
          <w:w w:val="110"/>
        </w:rPr>
        <w:t> </w:t>
      </w:r>
      <w:r>
        <w:rPr>
          <w:color w:val="231F1F"/>
          <w:w w:val="110"/>
        </w:rPr>
        <w:t>oftálmica</w:t>
      </w:r>
      <w:r>
        <w:rPr>
          <w:color w:val="231F1F"/>
          <w:spacing w:val="-8"/>
          <w:w w:val="110"/>
        </w:rPr>
        <w:t> </w:t>
      </w:r>
      <w:r>
        <w:rPr>
          <w:color w:val="231F1F"/>
          <w:w w:val="110"/>
        </w:rPr>
        <w:t>en</w:t>
      </w:r>
      <w:r>
        <w:rPr>
          <w:color w:val="231F1F"/>
          <w:spacing w:val="-7"/>
          <w:w w:val="110"/>
        </w:rPr>
        <w:t> </w:t>
      </w:r>
      <w:r>
        <w:rPr>
          <w:color w:val="231F1F"/>
          <w:w w:val="110"/>
        </w:rPr>
        <w:t>el</w:t>
      </w:r>
      <w:r>
        <w:rPr>
          <w:color w:val="231F1F"/>
          <w:spacing w:val="-8"/>
          <w:w w:val="110"/>
        </w:rPr>
        <w:t> </w:t>
      </w:r>
      <w:r>
        <w:rPr>
          <w:color w:val="231F1F"/>
          <w:w w:val="110"/>
        </w:rPr>
        <w:t>RN,</w:t>
      </w:r>
      <w:r>
        <w:rPr>
          <w:color w:val="231F1F"/>
          <w:spacing w:val="-8"/>
          <w:w w:val="110"/>
        </w:rPr>
        <w:t> </w:t>
      </w:r>
      <w:r>
        <w:rPr>
          <w:color w:val="231F1F"/>
          <w:w w:val="110"/>
        </w:rPr>
        <w:t>tanto</w:t>
      </w:r>
      <w:r>
        <w:rPr>
          <w:color w:val="231F1F"/>
          <w:spacing w:val="-7"/>
          <w:w w:val="110"/>
        </w:rPr>
        <w:t> </w:t>
      </w:r>
      <w:r>
        <w:rPr>
          <w:color w:val="231F1F"/>
          <w:w w:val="110"/>
        </w:rPr>
        <w:t>para</w:t>
      </w:r>
      <w:r>
        <w:rPr>
          <w:color w:val="231F1F"/>
          <w:spacing w:val="-7"/>
          <w:w w:val="110"/>
        </w:rPr>
        <w:t> </w:t>
      </w:r>
      <w:r>
        <w:rPr>
          <w:color w:val="231F1F"/>
          <w:w w:val="110"/>
        </w:rPr>
        <w:t>infecciones</w:t>
      </w:r>
      <w:r>
        <w:rPr>
          <w:color w:val="231F1F"/>
          <w:spacing w:val="-7"/>
          <w:w w:val="110"/>
        </w:rPr>
        <w:t> </w:t>
      </w:r>
      <w:r>
        <w:rPr>
          <w:color w:val="231F1F"/>
          <w:w w:val="110"/>
        </w:rPr>
        <w:t>go- nocócicas</w:t>
      </w:r>
      <w:r>
        <w:rPr>
          <w:color w:val="231F1F"/>
          <w:spacing w:val="-16"/>
          <w:w w:val="110"/>
        </w:rPr>
        <w:t> </w:t>
      </w:r>
      <w:r>
        <w:rPr>
          <w:color w:val="231F1F"/>
          <w:w w:val="110"/>
        </w:rPr>
        <w:t>como</w:t>
      </w:r>
      <w:r>
        <w:rPr>
          <w:color w:val="231F1F"/>
          <w:spacing w:val="-15"/>
          <w:w w:val="110"/>
        </w:rPr>
        <w:t> </w:t>
      </w:r>
      <w:r>
        <w:rPr>
          <w:color w:val="231F1F"/>
          <w:w w:val="110"/>
        </w:rPr>
        <w:t>por</w:t>
      </w:r>
      <w:r>
        <w:rPr>
          <w:color w:val="231F1F"/>
          <w:spacing w:val="-15"/>
          <w:w w:val="110"/>
        </w:rPr>
        <w:t> </w:t>
      </w:r>
      <w:r>
        <w:rPr>
          <w:color w:val="231F1F"/>
          <w:w w:val="110"/>
        </w:rPr>
        <w:t>chlamydia,</w:t>
      </w:r>
      <w:r>
        <w:rPr>
          <w:color w:val="231F1F"/>
          <w:spacing w:val="-15"/>
          <w:w w:val="110"/>
        </w:rPr>
        <w:t> </w:t>
      </w:r>
      <w:r>
        <w:rPr>
          <w:color w:val="231F1F"/>
          <w:w w:val="110"/>
        </w:rPr>
        <w:t>con</w:t>
      </w:r>
      <w:r>
        <w:rPr>
          <w:color w:val="231F1F"/>
          <w:spacing w:val="-15"/>
          <w:w w:val="110"/>
        </w:rPr>
        <w:t> </w:t>
      </w:r>
      <w:r>
        <w:rPr>
          <w:color w:val="231F1F"/>
          <w:w w:val="110"/>
        </w:rPr>
        <w:t>diferentes</w:t>
      </w:r>
      <w:r>
        <w:rPr>
          <w:color w:val="231F1F"/>
          <w:spacing w:val="-15"/>
          <w:w w:val="110"/>
        </w:rPr>
        <w:t> </w:t>
      </w:r>
      <w:r>
        <w:rPr>
          <w:color w:val="231F1F"/>
          <w:w w:val="110"/>
        </w:rPr>
        <w:t>sustancias,</w:t>
      </w:r>
      <w:r>
        <w:rPr>
          <w:color w:val="231F1F"/>
          <w:spacing w:val="-15"/>
          <w:w w:val="110"/>
        </w:rPr>
        <w:t> </w:t>
      </w:r>
      <w:r>
        <w:rPr>
          <w:color w:val="231F1F"/>
          <w:w w:val="110"/>
        </w:rPr>
        <w:t>obteniendo</w:t>
      </w:r>
      <w:r>
        <w:rPr>
          <w:color w:val="231F1F"/>
          <w:spacing w:val="-15"/>
          <w:w w:val="110"/>
        </w:rPr>
        <w:t> </w:t>
      </w:r>
      <w:r>
        <w:rPr>
          <w:color w:val="231F1F"/>
          <w:w w:val="110"/>
        </w:rPr>
        <w:t>distintos</w:t>
      </w:r>
      <w:r>
        <w:rPr>
          <w:color w:val="231F1F"/>
          <w:spacing w:val="-16"/>
          <w:w w:val="110"/>
        </w:rPr>
        <w:t> </w:t>
      </w:r>
      <w:r>
        <w:rPr>
          <w:color w:val="231F1F"/>
          <w:w w:val="110"/>
        </w:rPr>
        <w:t>resultados para</w:t>
      </w:r>
      <w:r>
        <w:rPr>
          <w:color w:val="231F1F"/>
          <w:spacing w:val="-12"/>
          <w:w w:val="110"/>
        </w:rPr>
        <w:t> </w:t>
      </w:r>
      <w:r>
        <w:rPr>
          <w:color w:val="231F1F"/>
          <w:w w:val="110"/>
        </w:rPr>
        <w:t>cada</w:t>
      </w:r>
      <w:r>
        <w:rPr>
          <w:color w:val="231F1F"/>
          <w:spacing w:val="-12"/>
          <w:w w:val="110"/>
        </w:rPr>
        <w:t> </w:t>
      </w:r>
      <w:r>
        <w:rPr>
          <w:color w:val="231F1F"/>
          <w:w w:val="110"/>
        </w:rPr>
        <w:t>una</w:t>
      </w:r>
      <w:r>
        <w:rPr>
          <w:color w:val="231F1F"/>
          <w:spacing w:val="-12"/>
          <w:w w:val="110"/>
        </w:rPr>
        <w:t> </w:t>
      </w:r>
      <w:r>
        <w:rPr>
          <w:color w:val="231F1F"/>
          <w:w w:val="110"/>
        </w:rPr>
        <w:t>de</w:t>
      </w:r>
      <w:r>
        <w:rPr>
          <w:color w:val="231F1F"/>
          <w:spacing w:val="-12"/>
          <w:w w:val="110"/>
        </w:rPr>
        <w:t> </w:t>
      </w:r>
      <w:r>
        <w:rPr>
          <w:color w:val="231F1F"/>
          <w:w w:val="110"/>
        </w:rPr>
        <w:t>ellas.</w:t>
      </w:r>
      <w:r>
        <w:rPr>
          <w:color w:val="231F1F"/>
          <w:spacing w:val="-13"/>
          <w:w w:val="110"/>
        </w:rPr>
        <w:t> </w:t>
      </w:r>
      <w:r>
        <w:rPr>
          <w:color w:val="231F1F"/>
          <w:w w:val="110"/>
        </w:rPr>
        <w:t>También</w:t>
      </w:r>
      <w:r>
        <w:rPr>
          <w:color w:val="231F1F"/>
          <w:spacing w:val="-12"/>
          <w:w w:val="110"/>
        </w:rPr>
        <w:t> </w:t>
      </w:r>
      <w:r>
        <w:rPr>
          <w:color w:val="231F1F"/>
          <w:w w:val="110"/>
        </w:rPr>
        <w:t>se</w:t>
      </w:r>
      <w:r>
        <w:rPr>
          <w:color w:val="231F1F"/>
          <w:spacing w:val="-12"/>
          <w:w w:val="110"/>
        </w:rPr>
        <w:t> </w:t>
      </w:r>
      <w:r>
        <w:rPr>
          <w:color w:val="231F1F"/>
          <w:w w:val="110"/>
        </w:rPr>
        <w:t>han</w:t>
      </w:r>
      <w:r>
        <w:rPr>
          <w:color w:val="231F1F"/>
          <w:spacing w:val="-12"/>
          <w:w w:val="110"/>
        </w:rPr>
        <w:t> </w:t>
      </w:r>
      <w:r>
        <w:rPr>
          <w:color w:val="231F1F"/>
          <w:w w:val="110"/>
        </w:rPr>
        <w:t>ido</w:t>
      </w:r>
      <w:r>
        <w:rPr>
          <w:color w:val="231F1F"/>
          <w:spacing w:val="-12"/>
          <w:w w:val="110"/>
        </w:rPr>
        <w:t> </w:t>
      </w:r>
      <w:r>
        <w:rPr>
          <w:color w:val="231F1F"/>
          <w:w w:val="110"/>
        </w:rPr>
        <w:t>sustituyendo</w:t>
      </w:r>
      <w:r>
        <w:rPr>
          <w:color w:val="231F1F"/>
          <w:spacing w:val="-13"/>
          <w:w w:val="110"/>
        </w:rPr>
        <w:t> </w:t>
      </w:r>
      <w:r>
        <w:rPr>
          <w:color w:val="231F1F"/>
          <w:w w:val="110"/>
        </w:rPr>
        <w:t>los</w:t>
      </w:r>
      <w:r>
        <w:rPr>
          <w:color w:val="231F1F"/>
          <w:spacing w:val="-13"/>
          <w:w w:val="110"/>
        </w:rPr>
        <w:t> </w:t>
      </w:r>
      <w:r>
        <w:rPr>
          <w:color w:val="231F1F"/>
          <w:w w:val="110"/>
        </w:rPr>
        <w:t>distintos</w:t>
      </w:r>
      <w:r>
        <w:rPr>
          <w:color w:val="231F1F"/>
          <w:spacing w:val="-12"/>
          <w:w w:val="110"/>
        </w:rPr>
        <w:t> </w:t>
      </w:r>
      <w:r>
        <w:rPr>
          <w:color w:val="231F1F"/>
          <w:w w:val="110"/>
        </w:rPr>
        <w:t>productos</w:t>
      </w:r>
      <w:r>
        <w:rPr>
          <w:color w:val="231F1F"/>
          <w:spacing w:val="-13"/>
          <w:w w:val="110"/>
        </w:rPr>
        <w:t> </w:t>
      </w:r>
      <w:r>
        <w:rPr>
          <w:color w:val="231F1F"/>
          <w:w w:val="110"/>
        </w:rPr>
        <w:t>aplicados a</w:t>
      </w:r>
      <w:r>
        <w:rPr>
          <w:color w:val="231F1F"/>
          <w:spacing w:val="-5"/>
          <w:w w:val="110"/>
        </w:rPr>
        <w:t> </w:t>
      </w:r>
      <w:r>
        <w:rPr>
          <w:color w:val="231F1F"/>
          <w:w w:val="110"/>
        </w:rPr>
        <w:t>lo</w:t>
      </w:r>
      <w:r>
        <w:rPr>
          <w:color w:val="231F1F"/>
          <w:spacing w:val="-5"/>
          <w:w w:val="110"/>
        </w:rPr>
        <w:t> </w:t>
      </w:r>
      <w:r>
        <w:rPr>
          <w:color w:val="231F1F"/>
          <w:w w:val="110"/>
        </w:rPr>
        <w:t>largo</w:t>
      </w:r>
      <w:r>
        <w:rPr>
          <w:color w:val="231F1F"/>
          <w:spacing w:val="-5"/>
          <w:w w:val="110"/>
        </w:rPr>
        <w:t> </w:t>
      </w:r>
      <w:r>
        <w:rPr>
          <w:color w:val="231F1F"/>
          <w:w w:val="110"/>
        </w:rPr>
        <w:t>del</w:t>
      </w:r>
      <w:r>
        <w:rPr>
          <w:color w:val="231F1F"/>
          <w:spacing w:val="-6"/>
          <w:w w:val="110"/>
        </w:rPr>
        <w:t> </w:t>
      </w:r>
      <w:r>
        <w:rPr>
          <w:color w:val="231F1F"/>
          <w:w w:val="110"/>
        </w:rPr>
        <w:t>tiempo.</w:t>
      </w:r>
      <w:r>
        <w:rPr>
          <w:color w:val="231F1F"/>
          <w:spacing w:val="-6"/>
          <w:w w:val="110"/>
        </w:rPr>
        <w:t> </w:t>
      </w:r>
      <w:r>
        <w:rPr>
          <w:color w:val="231F1F"/>
          <w:w w:val="110"/>
        </w:rPr>
        <w:t>Actualmente</w:t>
      </w:r>
      <w:r>
        <w:rPr>
          <w:color w:val="231F1F"/>
          <w:spacing w:val="-5"/>
          <w:w w:val="110"/>
        </w:rPr>
        <w:t> </w:t>
      </w:r>
      <w:r>
        <w:rPr>
          <w:color w:val="231F1F"/>
          <w:w w:val="110"/>
        </w:rPr>
        <w:t>se</w:t>
      </w:r>
      <w:r>
        <w:rPr>
          <w:color w:val="231F1F"/>
          <w:spacing w:val="-5"/>
          <w:w w:val="110"/>
        </w:rPr>
        <w:t> </w:t>
      </w:r>
      <w:r>
        <w:rPr>
          <w:color w:val="231F1F"/>
          <w:w w:val="110"/>
        </w:rPr>
        <w:t>emplean</w:t>
      </w:r>
      <w:r>
        <w:rPr>
          <w:color w:val="231F1F"/>
          <w:spacing w:val="-5"/>
          <w:w w:val="110"/>
        </w:rPr>
        <w:t> </w:t>
      </w:r>
      <w:r>
        <w:rPr>
          <w:color w:val="231F1F"/>
          <w:w w:val="110"/>
        </w:rPr>
        <w:t>varios</w:t>
      </w:r>
      <w:r>
        <w:rPr>
          <w:color w:val="231F1F"/>
          <w:spacing w:val="-6"/>
          <w:w w:val="110"/>
        </w:rPr>
        <w:t> </w:t>
      </w:r>
      <w:r>
        <w:rPr>
          <w:color w:val="231F1F"/>
          <w:w w:val="110"/>
        </w:rPr>
        <w:t>tipos</w:t>
      </w:r>
      <w:r>
        <w:rPr>
          <w:color w:val="231F1F"/>
          <w:spacing w:val="-6"/>
          <w:w w:val="110"/>
        </w:rPr>
        <w:t> </w:t>
      </w:r>
      <w:r>
        <w:rPr>
          <w:color w:val="231F1F"/>
          <w:w w:val="110"/>
        </w:rPr>
        <w:t>de</w:t>
      </w:r>
      <w:r>
        <w:rPr>
          <w:color w:val="231F1F"/>
          <w:spacing w:val="-5"/>
          <w:w w:val="110"/>
        </w:rPr>
        <w:t> </w:t>
      </w:r>
      <w:r>
        <w:rPr>
          <w:color w:val="231F1F"/>
          <w:w w:val="110"/>
        </w:rPr>
        <w:t>antibióticos</w:t>
      </w:r>
      <w:r>
        <w:rPr>
          <w:color w:val="231F1F"/>
          <w:spacing w:val="-6"/>
          <w:w w:val="110"/>
        </w:rPr>
        <w:t> </w:t>
      </w:r>
      <w:r>
        <w:rPr>
          <w:color w:val="231F1F"/>
          <w:w w:val="110"/>
        </w:rPr>
        <w:t>y</w:t>
      </w:r>
      <w:r>
        <w:rPr>
          <w:color w:val="231F1F"/>
          <w:spacing w:val="-5"/>
          <w:w w:val="110"/>
        </w:rPr>
        <w:t> </w:t>
      </w:r>
      <w:r>
        <w:rPr>
          <w:color w:val="231F1F"/>
          <w:w w:val="110"/>
        </w:rPr>
        <w:t>antisépticos diferentes (tetraciclina, aureomicina, eritromicina, nitrato de plata, e incluso soluciones yodadas) y en distintas formulaciones (colirio, crema o pomada).</w:t>
      </w:r>
    </w:p>
    <w:p>
      <w:pPr>
        <w:pStyle w:val="BodyText"/>
        <w:spacing w:before="166"/>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200"/>
        <w:ind w:left="283"/>
        <w:jc w:val="both"/>
      </w:pPr>
      <w:r>
        <w:rPr>
          <w:color w:val="231F1F"/>
          <w:w w:val="110"/>
        </w:rPr>
        <w:t>La</w:t>
      </w:r>
      <w:r>
        <w:rPr>
          <w:color w:val="231F1F"/>
          <w:spacing w:val="-15"/>
          <w:w w:val="110"/>
        </w:rPr>
        <w:t> </w:t>
      </w:r>
      <w:r>
        <w:rPr>
          <w:color w:val="231F1F"/>
          <w:w w:val="110"/>
        </w:rPr>
        <w:t>guía</w:t>
      </w:r>
      <w:r>
        <w:rPr>
          <w:color w:val="231F1F"/>
          <w:spacing w:val="-13"/>
          <w:w w:val="110"/>
        </w:rPr>
        <w:t> </w:t>
      </w:r>
      <w:r>
        <w:rPr>
          <w:color w:val="231F1F"/>
          <w:w w:val="110"/>
        </w:rPr>
        <w:t>NICE</w:t>
      </w:r>
      <w:r>
        <w:rPr>
          <w:color w:val="231F1F"/>
          <w:spacing w:val="-11"/>
          <w:w w:val="110"/>
        </w:rPr>
        <w:t> </w:t>
      </w:r>
      <w:r>
        <w:rPr>
          <w:color w:val="231F1F"/>
          <w:w w:val="110"/>
        </w:rPr>
        <w:t>(10)</w:t>
      </w:r>
      <w:r>
        <w:rPr>
          <w:color w:val="231F1F"/>
          <w:spacing w:val="-13"/>
          <w:w w:val="110"/>
        </w:rPr>
        <w:t> </w:t>
      </w:r>
      <w:r>
        <w:rPr>
          <w:color w:val="231F1F"/>
          <w:w w:val="110"/>
        </w:rPr>
        <w:t>no</w:t>
      </w:r>
      <w:r>
        <w:rPr>
          <w:color w:val="231F1F"/>
          <w:spacing w:val="-11"/>
          <w:w w:val="110"/>
        </w:rPr>
        <w:t> </w:t>
      </w:r>
      <w:r>
        <w:rPr>
          <w:color w:val="231F1F"/>
          <w:w w:val="110"/>
        </w:rPr>
        <w:t>aborda</w:t>
      </w:r>
      <w:r>
        <w:rPr>
          <w:color w:val="231F1F"/>
          <w:spacing w:val="-13"/>
          <w:w w:val="110"/>
        </w:rPr>
        <w:t> </w:t>
      </w:r>
      <w:r>
        <w:rPr>
          <w:color w:val="231F1F"/>
          <w:w w:val="110"/>
        </w:rPr>
        <w:t>este</w:t>
      </w:r>
      <w:r>
        <w:rPr>
          <w:color w:val="231F1F"/>
          <w:spacing w:val="-13"/>
          <w:w w:val="110"/>
        </w:rPr>
        <w:t> </w:t>
      </w:r>
      <w:r>
        <w:rPr>
          <w:color w:val="231F1F"/>
          <w:spacing w:val="-2"/>
          <w:w w:val="110"/>
        </w:rPr>
        <w:t>punto.</w:t>
      </w:r>
    </w:p>
    <w:p>
      <w:pPr>
        <w:pStyle w:val="BodyText"/>
        <w:spacing w:before="180"/>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3"/>
          <w:sz w:val="24"/>
        </w:rPr>
        <w:t> </w:t>
      </w:r>
      <w:r>
        <w:rPr>
          <w:rFonts w:ascii="Arial MT" w:hAnsi="Arial MT"/>
          <w:color w:val="231F1F"/>
          <w:sz w:val="24"/>
        </w:rPr>
        <w:t>julio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3"/>
          <w:sz w:val="24"/>
        </w:rPr>
        <w:t> </w:t>
      </w:r>
      <w:r>
        <w:rPr>
          <w:rFonts w:ascii="Arial MT" w:hAnsi="Arial MT"/>
          <w:color w:val="231F1F"/>
          <w:spacing w:val="-2"/>
          <w:sz w:val="24"/>
        </w:rPr>
        <w:t>2008)</w:t>
      </w:r>
    </w:p>
    <w:p>
      <w:pPr>
        <w:pStyle w:val="BodyText"/>
        <w:tabs>
          <w:tab w:pos="8096" w:val="left" w:leader="none"/>
        </w:tabs>
        <w:spacing w:line="247" w:lineRule="auto" w:before="166"/>
        <w:ind w:left="283" w:right="594"/>
      </w:pPr>
      <w:r>
        <w:rPr>
          <w:color w:val="231F1F"/>
          <w:w w:val="110"/>
        </w:rPr>
        <w:t>La revisión de Goldbloom RB de 1994 (252) recomienda la profilaxis con</w:t>
      </w:r>
      <w:r>
        <w:rPr>
          <w:color w:val="231F1F"/>
        </w:rPr>
        <w:tab/>
      </w:r>
      <w:r>
        <w:rPr>
          <w:rFonts w:ascii="Arial MT" w:hAnsi="Arial MT"/>
          <w:color w:val="231F1F"/>
          <w:spacing w:val="-20"/>
          <w:w w:val="105"/>
          <w:sz w:val="18"/>
        </w:rPr>
        <w:t>RS</w:t>
      </w:r>
      <w:r>
        <w:rPr>
          <w:rFonts w:ascii="Arial MT" w:hAnsi="Arial MT"/>
          <w:color w:val="231F1F"/>
          <w:w w:val="105"/>
          <w:sz w:val="18"/>
        </w:rPr>
        <w:t> </w:t>
      </w:r>
      <w:r>
        <w:rPr>
          <w:color w:val="231F1F"/>
          <w:w w:val="110"/>
        </w:rPr>
        <w:t>pomada oftálmica de eritromicina al 0,5%, de tetraciclina al 1% o de nitrato</w:t>
      </w:r>
      <w:r>
        <w:rPr>
          <w:color w:val="231F1F"/>
        </w:rPr>
        <w:tab/>
      </w:r>
      <w:r>
        <w:rPr>
          <w:color w:val="231F1F"/>
          <w:spacing w:val="-40"/>
        </w:rPr>
        <w:t> </w:t>
      </w:r>
      <w:r>
        <w:rPr>
          <w:rFonts w:ascii="Arial MT" w:hAnsi="Arial MT"/>
          <w:color w:val="231F1F"/>
          <w:spacing w:val="-10"/>
          <w:w w:val="110"/>
          <w:position w:val="4"/>
          <w:sz w:val="18"/>
        </w:rPr>
        <w:t>2+ </w:t>
      </w:r>
      <w:r>
        <w:rPr>
          <w:color w:val="231F1F"/>
          <w:w w:val="110"/>
        </w:rPr>
        <w:t>de plata al 1%, en una sola aplicación y en dosis única. Sin embargo, cabe mencionar que la utilización del nitrato de plata puede presentar efectos se- cundarios como son las conjuntivitis químicas transitorias.</w:t>
      </w:r>
    </w:p>
    <w:p>
      <w:pPr>
        <w:pStyle w:val="BodyText"/>
        <w:spacing w:line="244" w:lineRule="auto" w:before="100"/>
        <w:ind w:left="283" w:right="371" w:firstLine="441"/>
        <w:jc w:val="both"/>
        <w:rPr>
          <w:rFonts w:ascii="Arial MT" w:hAnsi="Arial MT"/>
          <w:position w:val="8"/>
          <w:sz w:val="18"/>
        </w:rPr>
      </w:pPr>
      <w:r>
        <w:rPr>
          <w:color w:val="231F1F"/>
          <w:w w:val="110"/>
        </w:rPr>
        <w:t>En</w:t>
      </w:r>
      <w:r>
        <w:rPr>
          <w:color w:val="231F1F"/>
          <w:spacing w:val="-4"/>
          <w:w w:val="110"/>
        </w:rPr>
        <w:t> </w:t>
      </w:r>
      <w:r>
        <w:rPr>
          <w:color w:val="231F1F"/>
          <w:w w:val="110"/>
        </w:rPr>
        <w:t>nuestro</w:t>
      </w:r>
      <w:r>
        <w:rPr>
          <w:color w:val="231F1F"/>
          <w:spacing w:val="-3"/>
          <w:w w:val="110"/>
        </w:rPr>
        <w:t> </w:t>
      </w:r>
      <w:r>
        <w:rPr>
          <w:color w:val="231F1F"/>
          <w:w w:val="110"/>
        </w:rPr>
        <w:t>contexto,</w:t>
      </w:r>
      <w:r>
        <w:rPr>
          <w:color w:val="231F1F"/>
          <w:spacing w:val="-4"/>
          <w:w w:val="110"/>
        </w:rPr>
        <w:t> </w:t>
      </w:r>
      <w:r>
        <w:rPr>
          <w:color w:val="231F1F"/>
          <w:w w:val="110"/>
        </w:rPr>
        <w:t>diversas</w:t>
      </w:r>
      <w:r>
        <w:rPr>
          <w:color w:val="231F1F"/>
          <w:spacing w:val="-4"/>
          <w:w w:val="110"/>
        </w:rPr>
        <w:t> </w:t>
      </w:r>
      <w:r>
        <w:rPr>
          <w:color w:val="231F1F"/>
          <w:w w:val="110"/>
        </w:rPr>
        <w:t>sociedades</w:t>
      </w:r>
      <w:r>
        <w:rPr>
          <w:color w:val="231F1F"/>
          <w:spacing w:val="-3"/>
          <w:w w:val="110"/>
        </w:rPr>
        <w:t> </w:t>
      </w:r>
      <w:r>
        <w:rPr>
          <w:color w:val="231F1F"/>
          <w:w w:val="110"/>
        </w:rPr>
        <w:t>científicas,</w:t>
      </w:r>
      <w:r>
        <w:rPr>
          <w:color w:val="231F1F"/>
          <w:spacing w:val="-4"/>
          <w:w w:val="110"/>
        </w:rPr>
        <w:t> </w:t>
      </w:r>
      <w:r>
        <w:rPr>
          <w:color w:val="231F1F"/>
          <w:w w:val="110"/>
        </w:rPr>
        <w:t>entre</w:t>
      </w:r>
      <w:r>
        <w:rPr>
          <w:color w:val="231F1F"/>
          <w:spacing w:val="-3"/>
          <w:w w:val="110"/>
        </w:rPr>
        <w:t> </w:t>
      </w:r>
      <w:r>
        <w:rPr>
          <w:color w:val="231F1F"/>
          <w:w w:val="110"/>
        </w:rPr>
        <w:t>ellas</w:t>
      </w:r>
      <w:r>
        <w:rPr>
          <w:color w:val="231F1F"/>
          <w:spacing w:val="-4"/>
          <w:w w:val="110"/>
        </w:rPr>
        <w:t> </w:t>
      </w:r>
      <w:r>
        <w:rPr>
          <w:color w:val="231F1F"/>
          <w:w w:val="110"/>
        </w:rPr>
        <w:t>la</w:t>
      </w:r>
      <w:r>
        <w:rPr>
          <w:color w:val="231F1F"/>
          <w:spacing w:val="-4"/>
          <w:w w:val="110"/>
        </w:rPr>
        <w:t> </w:t>
      </w:r>
      <w:r>
        <w:rPr>
          <w:color w:val="231F1F"/>
          <w:w w:val="110"/>
        </w:rPr>
        <w:t>Aso-</w:t>
      </w:r>
      <w:r>
        <w:rPr>
          <w:color w:val="231F1F"/>
          <w:spacing w:val="80"/>
          <w:w w:val="150"/>
        </w:rPr>
        <w:t> </w:t>
      </w:r>
      <w:r>
        <w:rPr>
          <w:rFonts w:ascii="Arial MT" w:hAnsi="Arial MT"/>
          <w:color w:val="231F1F"/>
          <w:w w:val="110"/>
          <w:sz w:val="18"/>
        </w:rPr>
        <w:t>Opinión </w:t>
      </w:r>
      <w:r>
        <w:rPr>
          <w:color w:val="231F1F"/>
          <w:w w:val="110"/>
        </w:rPr>
        <w:t>ciación</w:t>
      </w:r>
      <w:r>
        <w:rPr>
          <w:color w:val="231F1F"/>
          <w:w w:val="110"/>
        </w:rPr>
        <w:t> Española</w:t>
      </w:r>
      <w:r>
        <w:rPr>
          <w:color w:val="231F1F"/>
          <w:w w:val="110"/>
        </w:rPr>
        <w:t> de</w:t>
      </w:r>
      <w:r>
        <w:rPr>
          <w:color w:val="231F1F"/>
          <w:w w:val="110"/>
        </w:rPr>
        <w:t> Pediatría</w:t>
      </w:r>
      <w:r>
        <w:rPr>
          <w:color w:val="231F1F"/>
          <w:w w:val="110"/>
        </w:rPr>
        <w:t> (AEP)</w:t>
      </w:r>
      <w:r>
        <w:rPr>
          <w:color w:val="231F1F"/>
          <w:w w:val="110"/>
        </w:rPr>
        <w:t> en</w:t>
      </w:r>
      <w:r>
        <w:rPr>
          <w:color w:val="231F1F"/>
          <w:w w:val="110"/>
        </w:rPr>
        <w:t> sus</w:t>
      </w:r>
      <w:r>
        <w:rPr>
          <w:color w:val="231F1F"/>
          <w:w w:val="110"/>
        </w:rPr>
        <w:t> protocolos</w:t>
      </w:r>
      <w:r>
        <w:rPr>
          <w:color w:val="231F1F"/>
          <w:w w:val="110"/>
        </w:rPr>
        <w:t> sobre</w:t>
      </w:r>
      <w:r>
        <w:rPr>
          <w:color w:val="231F1F"/>
          <w:w w:val="110"/>
        </w:rPr>
        <w:t> diagnóstico</w:t>
      </w:r>
      <w:r>
        <w:rPr>
          <w:color w:val="231F1F"/>
          <w:w w:val="110"/>
        </w:rPr>
        <w:t> y</w:t>
      </w:r>
      <w:r>
        <w:rPr>
          <w:color w:val="231F1F"/>
          <w:spacing w:val="40"/>
          <w:w w:val="110"/>
        </w:rPr>
        <w:t> </w:t>
      </w:r>
      <w:r>
        <w:rPr>
          <w:rFonts w:ascii="Arial MT" w:hAnsi="Arial MT"/>
          <w:color w:val="231F1F"/>
          <w:w w:val="110"/>
          <w:position w:val="4"/>
          <w:sz w:val="18"/>
        </w:rPr>
        <w:t>experta </w:t>
      </w:r>
      <w:r>
        <w:rPr>
          <w:color w:val="231F1F"/>
          <w:w w:val="110"/>
        </w:rPr>
        <w:t>terapéutica de neonatología en pediatría (revisados en el año 2003) (254),</w:t>
      </w:r>
      <w:r>
        <w:rPr>
          <w:color w:val="231F1F"/>
          <w:spacing w:val="80"/>
          <w:w w:val="110"/>
        </w:rPr>
        <w:t>   </w:t>
      </w:r>
      <w:r>
        <w:rPr>
          <w:rFonts w:ascii="Arial MT" w:hAnsi="Arial MT"/>
          <w:color w:val="231F1F"/>
          <w:w w:val="110"/>
          <w:position w:val="8"/>
          <w:sz w:val="18"/>
        </w:rPr>
        <w:t>4</w:t>
      </w:r>
    </w:p>
    <w:p>
      <w:pPr>
        <w:pStyle w:val="BodyText"/>
        <w:spacing w:line="247" w:lineRule="auto"/>
        <w:ind w:left="283" w:right="1369"/>
        <w:jc w:val="both"/>
      </w:pPr>
      <w:r>
        <w:rPr>
          <w:color w:val="231F1F"/>
          <w:w w:val="110"/>
        </w:rPr>
        <w:t>recomienda</w:t>
      </w:r>
      <w:r>
        <w:rPr>
          <w:color w:val="231F1F"/>
          <w:spacing w:val="-7"/>
          <w:w w:val="110"/>
        </w:rPr>
        <w:t> </w:t>
      </w:r>
      <w:r>
        <w:rPr>
          <w:color w:val="231F1F"/>
          <w:w w:val="110"/>
        </w:rPr>
        <w:t>realizar</w:t>
      </w:r>
      <w:r>
        <w:rPr>
          <w:color w:val="231F1F"/>
          <w:spacing w:val="-7"/>
          <w:w w:val="110"/>
        </w:rPr>
        <w:t> </w:t>
      </w:r>
      <w:r>
        <w:rPr>
          <w:color w:val="231F1F"/>
          <w:w w:val="110"/>
        </w:rPr>
        <w:t>dentro</w:t>
      </w:r>
      <w:r>
        <w:rPr>
          <w:color w:val="231F1F"/>
          <w:spacing w:val="-7"/>
          <w:w w:val="110"/>
        </w:rPr>
        <w:t> </w:t>
      </w:r>
      <w:r>
        <w:rPr>
          <w:color w:val="231F1F"/>
          <w:w w:val="110"/>
        </w:rPr>
        <w:t>de</w:t>
      </w:r>
      <w:r>
        <w:rPr>
          <w:color w:val="231F1F"/>
          <w:spacing w:val="-7"/>
          <w:w w:val="110"/>
        </w:rPr>
        <w:t> </w:t>
      </w:r>
      <w:r>
        <w:rPr>
          <w:color w:val="231F1F"/>
          <w:w w:val="110"/>
        </w:rPr>
        <w:t>los</w:t>
      </w:r>
      <w:r>
        <w:rPr>
          <w:color w:val="231F1F"/>
          <w:spacing w:val="-7"/>
          <w:w w:val="110"/>
        </w:rPr>
        <w:t> </w:t>
      </w:r>
      <w:r>
        <w:rPr>
          <w:color w:val="231F1F"/>
          <w:w w:val="110"/>
        </w:rPr>
        <w:t>cuidados</w:t>
      </w:r>
      <w:r>
        <w:rPr>
          <w:color w:val="231F1F"/>
          <w:spacing w:val="-7"/>
          <w:w w:val="110"/>
        </w:rPr>
        <w:t> </w:t>
      </w:r>
      <w:r>
        <w:rPr>
          <w:color w:val="231F1F"/>
          <w:w w:val="110"/>
        </w:rPr>
        <w:t>generales</w:t>
      </w:r>
      <w:r>
        <w:rPr>
          <w:color w:val="231F1F"/>
          <w:spacing w:val="-8"/>
          <w:w w:val="110"/>
        </w:rPr>
        <w:t> </w:t>
      </w: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sala</w:t>
      </w:r>
      <w:r>
        <w:rPr>
          <w:color w:val="231F1F"/>
          <w:spacing w:val="-7"/>
          <w:w w:val="110"/>
        </w:rPr>
        <w:t> </w:t>
      </w:r>
      <w:r>
        <w:rPr>
          <w:color w:val="231F1F"/>
          <w:w w:val="110"/>
        </w:rPr>
        <w:t>de</w:t>
      </w:r>
      <w:r>
        <w:rPr>
          <w:color w:val="231F1F"/>
          <w:spacing w:val="-7"/>
          <w:w w:val="110"/>
        </w:rPr>
        <w:t> </w:t>
      </w:r>
      <w:r>
        <w:rPr>
          <w:color w:val="231F1F"/>
          <w:w w:val="110"/>
        </w:rPr>
        <w:t>partos,</w:t>
      </w:r>
      <w:r>
        <w:rPr>
          <w:color w:val="231F1F"/>
          <w:spacing w:val="-8"/>
          <w:w w:val="110"/>
        </w:rPr>
        <w:t> </w:t>
      </w:r>
      <w:r>
        <w:rPr>
          <w:color w:val="231F1F"/>
          <w:w w:val="110"/>
        </w:rPr>
        <w:t>la prevención</w:t>
      </w:r>
      <w:r>
        <w:rPr>
          <w:color w:val="231F1F"/>
          <w:spacing w:val="-14"/>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oftalmía</w:t>
      </w:r>
      <w:r>
        <w:rPr>
          <w:color w:val="231F1F"/>
          <w:spacing w:val="-13"/>
          <w:w w:val="110"/>
        </w:rPr>
        <w:t> </w:t>
      </w:r>
      <w:r>
        <w:rPr>
          <w:color w:val="231F1F"/>
          <w:w w:val="110"/>
        </w:rPr>
        <w:t>neonatal</w:t>
      </w:r>
      <w:r>
        <w:rPr>
          <w:color w:val="231F1F"/>
          <w:spacing w:val="-14"/>
          <w:w w:val="110"/>
        </w:rPr>
        <w:t> </w:t>
      </w:r>
      <w:r>
        <w:rPr>
          <w:color w:val="231F1F"/>
          <w:w w:val="110"/>
        </w:rPr>
        <w:t>con</w:t>
      </w:r>
      <w:r>
        <w:rPr>
          <w:color w:val="231F1F"/>
          <w:spacing w:val="-13"/>
          <w:w w:val="110"/>
        </w:rPr>
        <w:t> </w:t>
      </w:r>
      <w:r>
        <w:rPr>
          <w:color w:val="231F1F"/>
          <w:w w:val="110"/>
        </w:rPr>
        <w:t>administración</w:t>
      </w:r>
      <w:r>
        <w:rPr>
          <w:color w:val="231F1F"/>
          <w:spacing w:val="-13"/>
          <w:w w:val="110"/>
        </w:rPr>
        <w:t> </w:t>
      </w:r>
      <w:r>
        <w:rPr>
          <w:color w:val="231F1F"/>
          <w:w w:val="110"/>
        </w:rPr>
        <w:t>de</w:t>
      </w:r>
      <w:r>
        <w:rPr>
          <w:color w:val="231F1F"/>
          <w:spacing w:val="-13"/>
          <w:w w:val="110"/>
        </w:rPr>
        <w:t> </w:t>
      </w:r>
      <w:r>
        <w:rPr>
          <w:color w:val="231F1F"/>
          <w:w w:val="110"/>
        </w:rPr>
        <w:t>pomada</w:t>
      </w:r>
      <w:r>
        <w:rPr>
          <w:color w:val="231F1F"/>
          <w:spacing w:val="-14"/>
          <w:w w:val="110"/>
        </w:rPr>
        <w:t> </w:t>
      </w:r>
      <w:r>
        <w:rPr>
          <w:color w:val="231F1F"/>
          <w:w w:val="110"/>
        </w:rPr>
        <w:t>oftálmica de</w:t>
      </w:r>
      <w:r>
        <w:rPr>
          <w:color w:val="231F1F"/>
          <w:spacing w:val="-16"/>
          <w:w w:val="110"/>
        </w:rPr>
        <w:t> </w:t>
      </w:r>
      <w:r>
        <w:rPr>
          <w:color w:val="231F1F"/>
          <w:w w:val="110"/>
        </w:rPr>
        <w:t>tetraciclina</w:t>
      </w:r>
      <w:r>
        <w:rPr>
          <w:color w:val="231F1F"/>
          <w:spacing w:val="-15"/>
          <w:w w:val="110"/>
        </w:rPr>
        <w:t> </w:t>
      </w:r>
      <w:r>
        <w:rPr>
          <w:color w:val="231F1F"/>
          <w:w w:val="110"/>
        </w:rPr>
        <w:t>al</w:t>
      </w:r>
      <w:r>
        <w:rPr>
          <w:color w:val="231F1F"/>
          <w:spacing w:val="-15"/>
          <w:w w:val="110"/>
        </w:rPr>
        <w:t> </w:t>
      </w:r>
      <w:r>
        <w:rPr>
          <w:color w:val="231F1F"/>
          <w:w w:val="110"/>
        </w:rPr>
        <w:t>1%</w:t>
      </w:r>
      <w:r>
        <w:rPr>
          <w:color w:val="231F1F"/>
          <w:spacing w:val="-15"/>
          <w:w w:val="110"/>
        </w:rPr>
        <w:t> </w:t>
      </w:r>
      <w:r>
        <w:rPr>
          <w:color w:val="231F1F"/>
          <w:w w:val="110"/>
        </w:rPr>
        <w:t>(aureomicina)</w:t>
      </w:r>
      <w:r>
        <w:rPr>
          <w:color w:val="231F1F"/>
          <w:spacing w:val="-15"/>
          <w:w w:val="110"/>
        </w:rPr>
        <w:t> </w:t>
      </w:r>
      <w:r>
        <w:rPr>
          <w:color w:val="231F1F"/>
          <w:w w:val="110"/>
        </w:rPr>
        <w:t>o</w:t>
      </w:r>
      <w:r>
        <w:rPr>
          <w:color w:val="231F1F"/>
          <w:spacing w:val="-15"/>
          <w:w w:val="110"/>
        </w:rPr>
        <w:t> </w:t>
      </w:r>
      <w:r>
        <w:rPr>
          <w:color w:val="231F1F"/>
          <w:w w:val="110"/>
        </w:rPr>
        <w:t>de</w:t>
      </w:r>
      <w:r>
        <w:rPr>
          <w:color w:val="231F1F"/>
          <w:spacing w:val="-15"/>
          <w:w w:val="110"/>
        </w:rPr>
        <w:t> </w:t>
      </w:r>
      <w:r>
        <w:rPr>
          <w:color w:val="231F1F"/>
          <w:w w:val="110"/>
        </w:rPr>
        <w:t>eritromicina</w:t>
      </w:r>
      <w:r>
        <w:rPr>
          <w:color w:val="231F1F"/>
          <w:spacing w:val="-15"/>
          <w:w w:val="110"/>
        </w:rPr>
        <w:t> </w:t>
      </w:r>
      <w:r>
        <w:rPr>
          <w:color w:val="231F1F"/>
          <w:w w:val="110"/>
        </w:rPr>
        <w:t>al</w:t>
      </w:r>
      <w:r>
        <w:rPr>
          <w:color w:val="231F1F"/>
          <w:spacing w:val="-16"/>
          <w:w w:val="110"/>
        </w:rPr>
        <w:t> </w:t>
      </w:r>
      <w:r>
        <w:rPr>
          <w:color w:val="231F1F"/>
          <w:w w:val="110"/>
        </w:rPr>
        <w:t>0,5%</w:t>
      </w:r>
      <w:r>
        <w:rPr>
          <w:color w:val="231F1F"/>
          <w:spacing w:val="-15"/>
          <w:w w:val="110"/>
        </w:rPr>
        <w:t> </w:t>
      </w:r>
      <w:r>
        <w:rPr>
          <w:color w:val="231F1F"/>
          <w:w w:val="110"/>
        </w:rPr>
        <w:t>en</w:t>
      </w:r>
      <w:r>
        <w:rPr>
          <w:color w:val="231F1F"/>
          <w:spacing w:val="-15"/>
          <w:w w:val="110"/>
        </w:rPr>
        <w:t> </w:t>
      </w:r>
      <w:r>
        <w:rPr>
          <w:color w:val="231F1F"/>
          <w:w w:val="110"/>
        </w:rPr>
        <w:t>ambos</w:t>
      </w:r>
      <w:r>
        <w:rPr>
          <w:color w:val="231F1F"/>
          <w:spacing w:val="-15"/>
          <w:w w:val="110"/>
        </w:rPr>
        <w:t> </w:t>
      </w:r>
      <w:r>
        <w:rPr>
          <w:color w:val="231F1F"/>
          <w:w w:val="110"/>
        </w:rPr>
        <w:t>ojos, reconociendo</w:t>
      </w:r>
      <w:r>
        <w:rPr>
          <w:color w:val="231F1F"/>
          <w:spacing w:val="-6"/>
          <w:w w:val="110"/>
        </w:rPr>
        <w:t> </w:t>
      </w:r>
      <w:r>
        <w:rPr>
          <w:color w:val="231F1F"/>
          <w:w w:val="110"/>
        </w:rPr>
        <w:t>que</w:t>
      </w:r>
      <w:r>
        <w:rPr>
          <w:color w:val="231F1F"/>
          <w:spacing w:val="-7"/>
          <w:w w:val="110"/>
        </w:rPr>
        <w:t> </w:t>
      </w:r>
      <w:r>
        <w:rPr>
          <w:color w:val="231F1F"/>
          <w:w w:val="110"/>
        </w:rPr>
        <w:t>la</w:t>
      </w:r>
      <w:r>
        <w:rPr>
          <w:color w:val="231F1F"/>
          <w:spacing w:val="-7"/>
          <w:w w:val="110"/>
        </w:rPr>
        <w:t> </w:t>
      </w:r>
      <w:r>
        <w:rPr>
          <w:color w:val="231F1F"/>
          <w:w w:val="110"/>
        </w:rPr>
        <w:t>práctica</w:t>
      </w:r>
      <w:r>
        <w:rPr>
          <w:color w:val="231F1F"/>
          <w:spacing w:val="-7"/>
          <w:w w:val="110"/>
        </w:rPr>
        <w:t> </w:t>
      </w:r>
      <w:r>
        <w:rPr>
          <w:color w:val="231F1F"/>
          <w:w w:val="110"/>
        </w:rPr>
        <w:t>es</w:t>
      </w:r>
      <w:r>
        <w:rPr>
          <w:color w:val="231F1F"/>
          <w:spacing w:val="-7"/>
          <w:w w:val="110"/>
        </w:rPr>
        <w:t> </w:t>
      </w:r>
      <w:r>
        <w:rPr>
          <w:color w:val="231F1F"/>
          <w:w w:val="110"/>
        </w:rPr>
        <w:t>muy</w:t>
      </w:r>
      <w:r>
        <w:rPr>
          <w:color w:val="231F1F"/>
          <w:spacing w:val="-7"/>
          <w:w w:val="110"/>
        </w:rPr>
        <w:t> </w:t>
      </w:r>
      <w:r>
        <w:rPr>
          <w:color w:val="231F1F"/>
          <w:w w:val="110"/>
        </w:rPr>
        <w:t>útil</w:t>
      </w:r>
      <w:r>
        <w:rPr>
          <w:color w:val="231F1F"/>
          <w:spacing w:val="-7"/>
          <w:w w:val="110"/>
        </w:rPr>
        <w:t> </w:t>
      </w:r>
      <w:r>
        <w:rPr>
          <w:color w:val="231F1F"/>
          <w:w w:val="110"/>
        </w:rPr>
        <w:t>para</w:t>
      </w:r>
      <w:r>
        <w:rPr>
          <w:color w:val="231F1F"/>
          <w:spacing w:val="-7"/>
          <w:w w:val="110"/>
        </w:rPr>
        <w:t> </w:t>
      </w:r>
      <w:r>
        <w:rPr>
          <w:color w:val="231F1F"/>
          <w:w w:val="110"/>
        </w:rPr>
        <w:t>la</w:t>
      </w:r>
      <w:r>
        <w:rPr>
          <w:color w:val="231F1F"/>
          <w:spacing w:val="-7"/>
          <w:w w:val="110"/>
        </w:rPr>
        <w:t> </w:t>
      </w:r>
      <w:r>
        <w:rPr>
          <w:color w:val="231F1F"/>
          <w:w w:val="110"/>
        </w:rPr>
        <w:t>infección</w:t>
      </w:r>
      <w:r>
        <w:rPr>
          <w:color w:val="231F1F"/>
          <w:spacing w:val="-6"/>
          <w:w w:val="110"/>
        </w:rPr>
        <w:t> </w:t>
      </w:r>
      <w:r>
        <w:rPr>
          <w:color w:val="231F1F"/>
          <w:w w:val="110"/>
        </w:rPr>
        <w:t>por</w:t>
      </w:r>
      <w:r>
        <w:rPr>
          <w:color w:val="231F1F"/>
          <w:spacing w:val="-7"/>
          <w:w w:val="110"/>
        </w:rPr>
        <w:t> </w:t>
      </w:r>
      <w:r>
        <w:rPr>
          <w:color w:val="231F1F"/>
          <w:w w:val="110"/>
        </w:rPr>
        <w:t>Neisseria</w:t>
      </w:r>
      <w:r>
        <w:rPr>
          <w:color w:val="231F1F"/>
          <w:spacing w:val="-6"/>
          <w:w w:val="110"/>
        </w:rPr>
        <w:t> </w:t>
      </w:r>
      <w:r>
        <w:rPr>
          <w:color w:val="231F1F"/>
          <w:w w:val="110"/>
        </w:rPr>
        <w:t>go- norrhoeae y parcialmente efectiva para la infección por chlamydia.</w:t>
      </w:r>
    </w:p>
    <w:p>
      <w:pPr>
        <w:pStyle w:val="BodyText"/>
        <w:spacing w:line="242" w:lineRule="auto" w:before="84"/>
        <w:ind w:left="275" w:right="371" w:firstLine="479"/>
        <w:jc w:val="both"/>
        <w:rPr>
          <w:rFonts w:ascii="Arial MT" w:hAnsi="Arial MT"/>
          <w:position w:val="8"/>
          <w:sz w:val="18"/>
        </w:rPr>
      </w:pPr>
      <w:r>
        <w:rPr>
          <w:color w:val="231F1F"/>
          <w:w w:val="110"/>
        </w:rPr>
        <w:t>Además,</w:t>
      </w:r>
      <w:r>
        <w:rPr>
          <w:color w:val="231F1F"/>
          <w:spacing w:val="-14"/>
          <w:w w:val="110"/>
        </w:rPr>
        <w:t> </w:t>
      </w:r>
      <w:r>
        <w:rPr>
          <w:color w:val="231F1F"/>
          <w:w w:val="110"/>
        </w:rPr>
        <w:t>en</w:t>
      </w:r>
      <w:r>
        <w:rPr>
          <w:color w:val="231F1F"/>
          <w:spacing w:val="-13"/>
          <w:w w:val="110"/>
        </w:rPr>
        <w:t> </w:t>
      </w:r>
      <w:r>
        <w:rPr>
          <w:color w:val="231F1F"/>
          <w:w w:val="110"/>
        </w:rPr>
        <w:t>el</w:t>
      </w:r>
      <w:r>
        <w:rPr>
          <w:color w:val="231F1F"/>
          <w:spacing w:val="-13"/>
          <w:w w:val="110"/>
        </w:rPr>
        <w:t> </w:t>
      </w:r>
      <w:r>
        <w:rPr>
          <w:color w:val="231F1F"/>
          <w:w w:val="110"/>
        </w:rPr>
        <w:t>documento</w:t>
      </w:r>
      <w:r>
        <w:rPr>
          <w:color w:val="231F1F"/>
          <w:spacing w:val="-13"/>
          <w:w w:val="110"/>
        </w:rPr>
        <w:t> </w:t>
      </w:r>
      <w:r>
        <w:rPr>
          <w:color w:val="231F1F"/>
          <w:w w:val="110"/>
        </w:rPr>
        <w:t>publicado</w:t>
      </w:r>
      <w:r>
        <w:rPr>
          <w:color w:val="231F1F"/>
          <w:spacing w:val="-13"/>
          <w:w w:val="110"/>
        </w:rPr>
        <w:t> </w:t>
      </w:r>
      <w:r>
        <w:rPr>
          <w:color w:val="231F1F"/>
          <w:w w:val="110"/>
        </w:rPr>
        <w:t>en</w:t>
      </w:r>
      <w:r>
        <w:rPr>
          <w:color w:val="231F1F"/>
          <w:spacing w:val="-13"/>
          <w:w w:val="110"/>
        </w:rPr>
        <w:t> </w:t>
      </w:r>
      <w:r>
        <w:rPr>
          <w:color w:val="231F1F"/>
          <w:w w:val="110"/>
        </w:rPr>
        <w:t>2009</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Asociación</w:t>
      </w:r>
      <w:r>
        <w:rPr>
          <w:color w:val="231F1F"/>
          <w:spacing w:val="-13"/>
          <w:w w:val="110"/>
        </w:rPr>
        <w:t> </w:t>
      </w:r>
      <w:r>
        <w:rPr>
          <w:color w:val="231F1F"/>
          <w:w w:val="110"/>
        </w:rPr>
        <w:t>Española</w:t>
      </w:r>
      <w:r>
        <w:rPr>
          <w:color w:val="231F1F"/>
          <w:spacing w:val="80"/>
          <w:w w:val="150"/>
        </w:rPr>
        <w:t> </w:t>
      </w:r>
      <w:r>
        <w:rPr>
          <w:rFonts w:ascii="Arial MT" w:hAnsi="Arial MT"/>
          <w:color w:val="231F1F"/>
          <w:w w:val="110"/>
          <w:sz w:val="18"/>
        </w:rPr>
        <w:t>Opinión </w:t>
      </w:r>
      <w:r>
        <w:rPr>
          <w:color w:val="231F1F"/>
          <w:w w:val="110"/>
        </w:rPr>
        <w:t>de</w:t>
      </w:r>
      <w:r>
        <w:rPr>
          <w:color w:val="231F1F"/>
          <w:spacing w:val="-5"/>
          <w:w w:val="110"/>
        </w:rPr>
        <w:t> </w:t>
      </w:r>
      <w:r>
        <w:rPr>
          <w:color w:val="231F1F"/>
          <w:w w:val="110"/>
        </w:rPr>
        <w:t>Pediatría</w:t>
      </w:r>
      <w:r>
        <w:rPr>
          <w:color w:val="231F1F"/>
          <w:spacing w:val="-5"/>
          <w:w w:val="110"/>
        </w:rPr>
        <w:t> </w:t>
      </w:r>
      <w:r>
        <w:rPr>
          <w:color w:val="231F1F"/>
          <w:w w:val="110"/>
        </w:rPr>
        <w:t>sobre</w:t>
      </w:r>
      <w:r>
        <w:rPr>
          <w:color w:val="231F1F"/>
          <w:spacing w:val="-5"/>
          <w:w w:val="110"/>
        </w:rPr>
        <w:t> </w:t>
      </w:r>
      <w:r>
        <w:rPr>
          <w:color w:val="231F1F"/>
          <w:w w:val="110"/>
        </w:rPr>
        <w:t>el</w:t>
      </w:r>
      <w:r>
        <w:rPr>
          <w:color w:val="231F1F"/>
          <w:spacing w:val="-5"/>
          <w:w w:val="110"/>
        </w:rPr>
        <w:t> </w:t>
      </w:r>
      <w:r>
        <w:rPr>
          <w:color w:val="231F1F"/>
          <w:w w:val="110"/>
        </w:rPr>
        <w:t>cuidado</w:t>
      </w:r>
      <w:r>
        <w:rPr>
          <w:color w:val="231F1F"/>
          <w:spacing w:val="-5"/>
          <w:w w:val="110"/>
        </w:rPr>
        <w:t> </w:t>
      </w:r>
      <w:r>
        <w:rPr>
          <w:color w:val="231F1F"/>
          <w:w w:val="110"/>
        </w:rPr>
        <w:t>y</w:t>
      </w:r>
      <w:r>
        <w:rPr>
          <w:color w:val="231F1F"/>
          <w:spacing w:val="-5"/>
          <w:w w:val="110"/>
        </w:rPr>
        <w:t> </w:t>
      </w:r>
      <w:r>
        <w:rPr>
          <w:color w:val="231F1F"/>
          <w:w w:val="110"/>
        </w:rPr>
        <w:t>atención</w:t>
      </w:r>
      <w:r>
        <w:rPr>
          <w:color w:val="231F1F"/>
          <w:spacing w:val="-5"/>
          <w:w w:val="110"/>
        </w:rPr>
        <w:t> </w:t>
      </w:r>
      <w:r>
        <w:rPr>
          <w:color w:val="231F1F"/>
          <w:w w:val="110"/>
        </w:rPr>
        <w:t>del</w:t>
      </w:r>
      <w:r>
        <w:rPr>
          <w:color w:val="231F1F"/>
          <w:spacing w:val="-6"/>
          <w:w w:val="110"/>
        </w:rPr>
        <w:t> </w:t>
      </w:r>
      <w:r>
        <w:rPr>
          <w:color w:val="231F1F"/>
          <w:w w:val="110"/>
        </w:rPr>
        <w:t>recien</w:t>
      </w:r>
      <w:r>
        <w:rPr>
          <w:color w:val="231F1F"/>
          <w:spacing w:val="-5"/>
          <w:w w:val="110"/>
        </w:rPr>
        <w:t> </w:t>
      </w:r>
      <w:r>
        <w:rPr>
          <w:color w:val="231F1F"/>
          <w:w w:val="110"/>
        </w:rPr>
        <w:t>nacido</w:t>
      </w:r>
      <w:r>
        <w:rPr>
          <w:color w:val="231F1F"/>
          <w:spacing w:val="-5"/>
          <w:w w:val="110"/>
        </w:rPr>
        <w:t> </w:t>
      </w:r>
      <w:r>
        <w:rPr>
          <w:color w:val="231F1F"/>
          <w:w w:val="110"/>
        </w:rPr>
        <w:t>sano</w:t>
      </w:r>
      <w:r>
        <w:rPr>
          <w:color w:val="231F1F"/>
          <w:spacing w:val="-5"/>
          <w:w w:val="110"/>
        </w:rPr>
        <w:t> </w:t>
      </w:r>
      <w:r>
        <w:rPr>
          <w:color w:val="231F1F"/>
          <w:w w:val="110"/>
        </w:rPr>
        <w:t>en</w:t>
      </w:r>
      <w:r>
        <w:rPr>
          <w:color w:val="231F1F"/>
          <w:spacing w:val="-5"/>
          <w:w w:val="110"/>
        </w:rPr>
        <w:t> </w:t>
      </w:r>
      <w:r>
        <w:rPr>
          <w:color w:val="231F1F"/>
          <w:w w:val="110"/>
        </w:rPr>
        <w:t>el</w:t>
      </w:r>
      <w:r>
        <w:rPr>
          <w:color w:val="231F1F"/>
          <w:spacing w:val="-5"/>
          <w:w w:val="110"/>
        </w:rPr>
        <w:t> </w:t>
      </w:r>
      <w:r>
        <w:rPr>
          <w:color w:val="231F1F"/>
          <w:w w:val="110"/>
        </w:rPr>
        <w:t>parto</w:t>
      </w:r>
      <w:r>
        <w:rPr>
          <w:color w:val="231F1F"/>
          <w:spacing w:val="-5"/>
          <w:w w:val="110"/>
        </w:rPr>
        <w:t> </w:t>
      </w:r>
      <w:r>
        <w:rPr>
          <w:color w:val="231F1F"/>
          <w:w w:val="110"/>
        </w:rPr>
        <w:t>y</w:t>
      </w:r>
      <w:r>
        <w:rPr>
          <w:color w:val="231F1F"/>
          <w:spacing w:val="80"/>
          <w:w w:val="110"/>
        </w:rPr>
        <w:t>  </w:t>
      </w:r>
      <w:r>
        <w:rPr>
          <w:rFonts w:ascii="Arial MT" w:hAnsi="Arial MT"/>
          <w:color w:val="231F1F"/>
          <w:w w:val="110"/>
          <w:position w:val="4"/>
          <w:sz w:val="18"/>
        </w:rPr>
        <w:t>experta </w:t>
      </w:r>
      <w:r>
        <w:rPr>
          <w:color w:val="231F1F"/>
          <w:w w:val="110"/>
        </w:rPr>
        <w:t>en</w:t>
      </w:r>
      <w:r>
        <w:rPr>
          <w:color w:val="231F1F"/>
          <w:spacing w:val="-19"/>
          <w:w w:val="110"/>
        </w:rPr>
        <w:t> </w:t>
      </w:r>
      <w:r>
        <w:rPr>
          <w:color w:val="231F1F"/>
          <w:w w:val="110"/>
        </w:rPr>
        <w:t>las</w:t>
      </w:r>
      <w:r>
        <w:rPr>
          <w:color w:val="231F1F"/>
          <w:spacing w:val="-17"/>
          <w:w w:val="110"/>
        </w:rPr>
        <w:t> </w:t>
      </w:r>
      <w:r>
        <w:rPr>
          <w:color w:val="231F1F"/>
          <w:w w:val="110"/>
        </w:rPr>
        <w:t>primeras</w:t>
      </w:r>
      <w:r>
        <w:rPr>
          <w:color w:val="231F1F"/>
          <w:spacing w:val="-19"/>
          <w:w w:val="110"/>
        </w:rPr>
        <w:t> </w:t>
      </w:r>
      <w:r>
        <w:rPr>
          <w:color w:val="231F1F"/>
          <w:w w:val="110"/>
        </w:rPr>
        <w:t>horas</w:t>
      </w:r>
      <w:r>
        <w:rPr>
          <w:color w:val="231F1F"/>
          <w:spacing w:val="-17"/>
          <w:w w:val="110"/>
        </w:rPr>
        <w:t> </w:t>
      </w:r>
      <w:r>
        <w:rPr>
          <w:color w:val="231F1F"/>
          <w:w w:val="110"/>
        </w:rPr>
        <w:t>despues</w:t>
      </w:r>
      <w:r>
        <w:rPr>
          <w:color w:val="231F1F"/>
          <w:spacing w:val="-19"/>
          <w:w w:val="110"/>
        </w:rPr>
        <w:t> </w:t>
      </w:r>
      <w:r>
        <w:rPr>
          <w:color w:val="231F1F"/>
          <w:w w:val="110"/>
        </w:rPr>
        <w:t>del</w:t>
      </w:r>
      <w:r>
        <w:rPr>
          <w:color w:val="231F1F"/>
          <w:spacing w:val="-19"/>
          <w:w w:val="110"/>
        </w:rPr>
        <w:t> </w:t>
      </w:r>
      <w:r>
        <w:rPr>
          <w:color w:val="231F1F"/>
          <w:w w:val="110"/>
        </w:rPr>
        <w:t>nacimiento</w:t>
      </w:r>
      <w:r>
        <w:rPr>
          <w:color w:val="231F1F"/>
          <w:spacing w:val="-19"/>
          <w:w w:val="110"/>
        </w:rPr>
        <w:t> </w:t>
      </w:r>
      <w:r>
        <w:rPr>
          <w:color w:val="231F1F"/>
          <w:w w:val="110"/>
        </w:rPr>
        <w:t>(247),</w:t>
      </w:r>
      <w:r>
        <w:rPr>
          <w:color w:val="231F1F"/>
          <w:spacing w:val="-17"/>
          <w:w w:val="110"/>
        </w:rPr>
        <w:t> </w:t>
      </w:r>
      <w:r>
        <w:rPr>
          <w:color w:val="231F1F"/>
          <w:w w:val="110"/>
        </w:rPr>
        <w:t>se</w:t>
      </w:r>
      <w:r>
        <w:rPr>
          <w:color w:val="231F1F"/>
          <w:spacing w:val="-19"/>
          <w:w w:val="110"/>
        </w:rPr>
        <w:t> </w:t>
      </w:r>
      <w:r>
        <w:rPr>
          <w:color w:val="231F1F"/>
          <w:w w:val="110"/>
        </w:rPr>
        <w:t>recomienda</w:t>
      </w:r>
      <w:r>
        <w:rPr>
          <w:color w:val="231F1F"/>
          <w:spacing w:val="-17"/>
          <w:w w:val="110"/>
        </w:rPr>
        <w:t> </w:t>
      </w:r>
      <w:r>
        <w:rPr>
          <w:color w:val="231F1F"/>
          <w:w w:val="110"/>
        </w:rPr>
        <w:t>como</w:t>
      </w:r>
      <w:r>
        <w:rPr>
          <w:color w:val="231F1F"/>
          <w:spacing w:val="-19"/>
          <w:w w:val="110"/>
        </w:rPr>
        <w:t> </w:t>
      </w:r>
      <w:r>
        <w:rPr>
          <w:color w:val="231F1F"/>
          <w:w w:val="110"/>
        </w:rPr>
        <w:t>mejor</w:t>
      </w:r>
      <w:r>
        <w:rPr>
          <w:color w:val="231F1F"/>
          <w:spacing w:val="80"/>
          <w:w w:val="110"/>
        </w:rPr>
        <w:t>   </w:t>
      </w:r>
      <w:r>
        <w:rPr>
          <w:rFonts w:ascii="Arial MT" w:hAnsi="Arial MT"/>
          <w:color w:val="231F1F"/>
          <w:w w:val="110"/>
          <w:position w:val="8"/>
          <w:sz w:val="18"/>
        </w:rPr>
        <w:t>4</w:t>
      </w:r>
    </w:p>
    <w:p>
      <w:pPr>
        <w:pStyle w:val="BodyText"/>
        <w:spacing w:line="249" w:lineRule="auto" w:before="13"/>
        <w:ind w:left="283" w:right="1363"/>
        <w:jc w:val="both"/>
      </w:pPr>
      <w:r>
        <w:rPr>
          <w:color w:val="231F1F"/>
          <w:w w:val="105"/>
        </w:rPr>
        <w:t>forma de prevención de la infección neonatal vertical, el diagnóstico y el tra- tamiento de las infecciones por gonococo y por C. trachomatis en la gestante, así como la administración de dosis única, lo mas precoz posible, de colirio o pomada antibiótica al RN. Sin embargo y debido a que estos fármacos pueden enturbiar la visión del RN e interferir con la instauración del vínculo madre- hijo,</w:t>
      </w:r>
      <w:r>
        <w:rPr>
          <w:color w:val="231F1F"/>
          <w:w w:val="105"/>
        </w:rPr>
        <w:t> se</w:t>
      </w:r>
      <w:r>
        <w:rPr>
          <w:color w:val="231F1F"/>
          <w:w w:val="105"/>
        </w:rPr>
        <w:t> recomienda</w:t>
      </w:r>
      <w:r>
        <w:rPr>
          <w:color w:val="231F1F"/>
          <w:w w:val="105"/>
        </w:rPr>
        <w:t> retrasar</w:t>
      </w:r>
      <w:r>
        <w:rPr>
          <w:color w:val="231F1F"/>
          <w:w w:val="105"/>
        </w:rPr>
        <w:t> esta</w:t>
      </w:r>
      <w:r>
        <w:rPr>
          <w:color w:val="231F1F"/>
          <w:w w:val="105"/>
        </w:rPr>
        <w:t> administración</w:t>
      </w:r>
      <w:r>
        <w:rPr>
          <w:color w:val="231F1F"/>
          <w:w w:val="105"/>
        </w:rPr>
        <w:t> hasta</w:t>
      </w:r>
      <w:r>
        <w:rPr>
          <w:color w:val="231F1F"/>
          <w:w w:val="105"/>
        </w:rPr>
        <w:t> que</w:t>
      </w:r>
      <w:r>
        <w:rPr>
          <w:color w:val="231F1F"/>
          <w:w w:val="105"/>
        </w:rPr>
        <w:t> el</w:t>
      </w:r>
      <w:r>
        <w:rPr>
          <w:color w:val="231F1F"/>
          <w:w w:val="105"/>
        </w:rPr>
        <w:t> período</w:t>
      </w:r>
      <w:r>
        <w:rPr>
          <w:color w:val="231F1F"/>
          <w:w w:val="105"/>
        </w:rPr>
        <w:t> de contacto piel con piel haya finalizado (50–120min).</w:t>
      </w:r>
    </w:p>
    <w:p>
      <w:pPr>
        <w:pStyle w:val="BodyText"/>
        <w:spacing w:line="244" w:lineRule="auto" w:before="64"/>
        <w:ind w:left="283" w:right="1371" w:firstLine="453"/>
        <w:jc w:val="both"/>
      </w:pPr>
      <w:r>
        <w:rPr>
          <w:color w:val="231F1F"/>
          <w:w w:val="105"/>
        </w:rPr>
        <w:t>El GEG</w:t>
      </w:r>
      <w:r>
        <w:rPr>
          <w:color w:val="231F1F"/>
          <w:w w:val="105"/>
        </w:rPr>
        <w:t> esta</w:t>
      </w:r>
      <w:r>
        <w:rPr>
          <w:color w:val="231F1F"/>
          <w:w w:val="105"/>
        </w:rPr>
        <w:t> totalmente</w:t>
      </w:r>
      <w:r>
        <w:rPr>
          <w:color w:val="231F1F"/>
          <w:w w:val="105"/>
        </w:rPr>
        <w:t> deacuerdo</w:t>
      </w:r>
      <w:r>
        <w:rPr>
          <w:color w:val="231F1F"/>
          <w:w w:val="105"/>
        </w:rPr>
        <w:t> tanto</w:t>
      </w:r>
      <w:r>
        <w:rPr>
          <w:color w:val="231F1F"/>
          <w:w w:val="105"/>
        </w:rPr>
        <w:t> con</w:t>
      </w:r>
      <w:r>
        <w:rPr>
          <w:color w:val="231F1F"/>
          <w:w w:val="105"/>
        </w:rPr>
        <w:t> la</w:t>
      </w:r>
      <w:r>
        <w:rPr>
          <w:color w:val="231F1F"/>
          <w:w w:val="105"/>
        </w:rPr>
        <w:t> evidencia</w:t>
      </w:r>
      <w:r>
        <w:rPr>
          <w:color w:val="231F1F"/>
          <w:w w:val="105"/>
        </w:rPr>
        <w:t> para</w:t>
      </w:r>
      <w:r>
        <w:rPr>
          <w:color w:val="231F1F"/>
          <w:w w:val="105"/>
        </w:rPr>
        <w:t> la</w:t>
      </w:r>
      <w:r>
        <w:rPr>
          <w:color w:val="231F1F"/>
          <w:w w:val="105"/>
        </w:rPr>
        <w:t> admi- nistración</w:t>
      </w:r>
      <w:r>
        <w:rPr>
          <w:color w:val="231F1F"/>
          <w:w w:val="105"/>
        </w:rPr>
        <w:t> del</w:t>
      </w:r>
      <w:r>
        <w:rPr>
          <w:color w:val="231F1F"/>
          <w:w w:val="105"/>
        </w:rPr>
        <w:t> tratamiento</w:t>
      </w:r>
      <w:r>
        <w:rPr>
          <w:color w:val="231F1F"/>
          <w:w w:val="105"/>
        </w:rPr>
        <w:t> farmacológico,</w:t>
      </w:r>
      <w:r>
        <w:rPr>
          <w:color w:val="231F1F"/>
          <w:w w:val="105"/>
        </w:rPr>
        <w:t> como</w:t>
      </w:r>
      <w:r>
        <w:rPr>
          <w:color w:val="231F1F"/>
          <w:w w:val="105"/>
        </w:rPr>
        <w:t> con</w:t>
      </w:r>
      <w:r>
        <w:rPr>
          <w:color w:val="231F1F"/>
          <w:w w:val="105"/>
        </w:rPr>
        <w:t> lel</w:t>
      </w:r>
      <w:r>
        <w:rPr>
          <w:color w:val="231F1F"/>
          <w:w w:val="105"/>
        </w:rPr>
        <w:t> retraso</w:t>
      </w:r>
      <w:r>
        <w:rPr>
          <w:color w:val="231F1F"/>
          <w:w w:val="105"/>
        </w:rPr>
        <w:t> de</w:t>
      </w:r>
      <w:r>
        <w:rPr>
          <w:color w:val="231F1F"/>
          <w:w w:val="105"/>
        </w:rPr>
        <w:t> dicho</w:t>
      </w:r>
      <w:r>
        <w:rPr>
          <w:color w:val="231F1F"/>
          <w:w w:val="105"/>
        </w:rPr>
        <w:t> tra- tamiento hasta la finalización del periodo piel con piel.</w:t>
      </w:r>
    </w:p>
    <w:p>
      <w:pPr>
        <w:pStyle w:val="BodyText"/>
        <w:spacing w:after="0" w:line="244" w:lineRule="auto"/>
        <w:jc w:val="both"/>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4" w:lineRule="auto" w:before="53"/>
              <w:ind w:right="119"/>
              <w:jc w:val="both"/>
              <w:rPr>
                <w:sz w:val="22"/>
              </w:rPr>
            </w:pPr>
            <w:r>
              <w:rPr>
                <w:color w:val="231F1F"/>
                <w:sz w:val="22"/>
              </w:rPr>
              <w:t>Dosis únicas de pomada oftálmica de eritromicina al 0,5%, de tetraciclina al</w:t>
            </w:r>
            <w:r>
              <w:rPr>
                <w:color w:val="231F1F"/>
                <w:spacing w:val="80"/>
                <w:w w:val="110"/>
                <w:sz w:val="22"/>
              </w:rPr>
              <w:t> </w:t>
            </w:r>
            <w:r>
              <w:rPr>
                <w:color w:val="231F1F"/>
                <w:w w:val="110"/>
                <w:sz w:val="22"/>
              </w:rPr>
              <w:t>1%</w:t>
            </w:r>
            <w:r>
              <w:rPr>
                <w:color w:val="231F1F"/>
                <w:spacing w:val="-8"/>
                <w:w w:val="110"/>
                <w:sz w:val="22"/>
              </w:rPr>
              <w:t> </w:t>
            </w:r>
            <w:r>
              <w:rPr>
                <w:color w:val="231F1F"/>
                <w:w w:val="110"/>
                <w:sz w:val="22"/>
              </w:rPr>
              <w:t>o</w:t>
            </w:r>
            <w:r>
              <w:rPr>
                <w:color w:val="231F1F"/>
                <w:spacing w:val="-8"/>
                <w:w w:val="110"/>
                <w:sz w:val="22"/>
              </w:rPr>
              <w:t> </w:t>
            </w:r>
            <w:r>
              <w:rPr>
                <w:color w:val="231F1F"/>
                <w:w w:val="110"/>
                <w:sz w:val="22"/>
              </w:rPr>
              <w:t>de</w:t>
            </w:r>
            <w:r>
              <w:rPr>
                <w:color w:val="231F1F"/>
                <w:spacing w:val="-9"/>
                <w:w w:val="110"/>
                <w:sz w:val="22"/>
              </w:rPr>
              <w:t> </w:t>
            </w:r>
            <w:r>
              <w:rPr>
                <w:color w:val="231F1F"/>
                <w:w w:val="110"/>
                <w:sz w:val="22"/>
              </w:rPr>
              <w:t>nitrato</w:t>
            </w:r>
            <w:r>
              <w:rPr>
                <w:color w:val="231F1F"/>
                <w:spacing w:val="-8"/>
                <w:w w:val="110"/>
                <w:sz w:val="22"/>
              </w:rPr>
              <w:t> </w:t>
            </w:r>
            <w:r>
              <w:rPr>
                <w:color w:val="231F1F"/>
                <w:w w:val="110"/>
                <w:sz w:val="22"/>
              </w:rPr>
              <w:t>de</w:t>
            </w:r>
            <w:r>
              <w:rPr>
                <w:color w:val="231F1F"/>
                <w:spacing w:val="-9"/>
                <w:w w:val="110"/>
                <w:sz w:val="22"/>
              </w:rPr>
              <w:t> </w:t>
            </w:r>
            <w:r>
              <w:rPr>
                <w:color w:val="231F1F"/>
                <w:w w:val="110"/>
                <w:sz w:val="22"/>
              </w:rPr>
              <w:t>plata</w:t>
            </w:r>
            <w:r>
              <w:rPr>
                <w:color w:val="231F1F"/>
                <w:spacing w:val="-9"/>
                <w:w w:val="110"/>
                <w:sz w:val="22"/>
              </w:rPr>
              <w:t> </w:t>
            </w:r>
            <w:r>
              <w:rPr>
                <w:color w:val="231F1F"/>
                <w:w w:val="110"/>
                <w:sz w:val="22"/>
              </w:rPr>
              <w:t>al</w:t>
            </w:r>
            <w:r>
              <w:rPr>
                <w:color w:val="231F1F"/>
                <w:spacing w:val="-9"/>
                <w:w w:val="110"/>
                <w:sz w:val="22"/>
              </w:rPr>
              <w:t> </w:t>
            </w:r>
            <w:r>
              <w:rPr>
                <w:color w:val="231F1F"/>
                <w:w w:val="110"/>
                <w:sz w:val="22"/>
              </w:rPr>
              <w:t>1%,</w:t>
            </w:r>
            <w:r>
              <w:rPr>
                <w:color w:val="231F1F"/>
                <w:spacing w:val="-9"/>
                <w:w w:val="110"/>
                <w:sz w:val="22"/>
              </w:rPr>
              <w:t> </w:t>
            </w:r>
            <w:r>
              <w:rPr>
                <w:color w:val="231F1F"/>
                <w:w w:val="110"/>
                <w:sz w:val="22"/>
              </w:rPr>
              <w:t>son</w:t>
            </w:r>
            <w:r>
              <w:rPr>
                <w:color w:val="231F1F"/>
                <w:spacing w:val="-9"/>
                <w:w w:val="110"/>
                <w:sz w:val="22"/>
              </w:rPr>
              <w:t> </w:t>
            </w:r>
            <w:r>
              <w:rPr>
                <w:color w:val="231F1F"/>
                <w:w w:val="110"/>
                <w:sz w:val="22"/>
              </w:rPr>
              <w:t>eficaces</w:t>
            </w:r>
            <w:r>
              <w:rPr>
                <w:color w:val="231F1F"/>
                <w:spacing w:val="-8"/>
                <w:w w:val="110"/>
                <w:sz w:val="22"/>
              </w:rPr>
              <w:t> </w:t>
            </w:r>
            <w:r>
              <w:rPr>
                <w:color w:val="231F1F"/>
                <w:w w:val="110"/>
                <w:sz w:val="22"/>
              </w:rPr>
              <w:t>y</w:t>
            </w:r>
            <w:r>
              <w:rPr>
                <w:color w:val="231F1F"/>
                <w:spacing w:val="-8"/>
                <w:w w:val="110"/>
                <w:sz w:val="22"/>
              </w:rPr>
              <w:t> </w:t>
            </w:r>
            <w:r>
              <w:rPr>
                <w:color w:val="231F1F"/>
                <w:w w:val="110"/>
                <w:sz w:val="22"/>
              </w:rPr>
              <w:t>comparables</w:t>
            </w:r>
            <w:r>
              <w:rPr>
                <w:color w:val="231F1F"/>
                <w:spacing w:val="-9"/>
                <w:w w:val="110"/>
                <w:sz w:val="22"/>
              </w:rPr>
              <w:t> </w:t>
            </w:r>
            <w:r>
              <w:rPr>
                <w:color w:val="231F1F"/>
                <w:w w:val="110"/>
                <w:sz w:val="22"/>
              </w:rPr>
              <w:t>en</w:t>
            </w:r>
            <w:r>
              <w:rPr>
                <w:color w:val="231F1F"/>
                <w:spacing w:val="-8"/>
                <w:w w:val="110"/>
                <w:sz w:val="22"/>
              </w:rPr>
              <w:t> </w:t>
            </w:r>
            <w:r>
              <w:rPr>
                <w:color w:val="231F1F"/>
                <w:w w:val="110"/>
                <w:sz w:val="22"/>
              </w:rPr>
              <w:t>la</w:t>
            </w:r>
            <w:r>
              <w:rPr>
                <w:color w:val="231F1F"/>
                <w:spacing w:val="-9"/>
                <w:w w:val="110"/>
                <w:sz w:val="22"/>
              </w:rPr>
              <w:t> </w:t>
            </w:r>
            <w:r>
              <w:rPr>
                <w:color w:val="231F1F"/>
                <w:w w:val="110"/>
                <w:sz w:val="22"/>
              </w:rPr>
              <w:t>profilaxis oftálmica</w:t>
            </w:r>
            <w:r>
              <w:rPr>
                <w:color w:val="231F1F"/>
                <w:spacing w:val="-10"/>
                <w:w w:val="110"/>
                <w:sz w:val="22"/>
              </w:rPr>
              <w:t> </w:t>
            </w:r>
            <w:r>
              <w:rPr>
                <w:color w:val="231F1F"/>
                <w:w w:val="110"/>
                <w:sz w:val="22"/>
              </w:rPr>
              <w:t>del</w:t>
            </w:r>
            <w:r>
              <w:rPr>
                <w:color w:val="231F1F"/>
                <w:spacing w:val="-10"/>
                <w:w w:val="110"/>
                <w:sz w:val="22"/>
              </w:rPr>
              <w:t> </w:t>
            </w:r>
            <w:r>
              <w:rPr>
                <w:color w:val="231F1F"/>
                <w:w w:val="110"/>
                <w:sz w:val="22"/>
              </w:rPr>
              <w:t>RN.</w:t>
            </w:r>
            <w:r>
              <w:rPr>
                <w:color w:val="231F1F"/>
                <w:spacing w:val="-10"/>
                <w:w w:val="110"/>
                <w:sz w:val="22"/>
              </w:rPr>
              <w:t> </w:t>
            </w:r>
            <w:r>
              <w:rPr>
                <w:color w:val="231F1F"/>
                <w:w w:val="110"/>
                <w:sz w:val="22"/>
              </w:rPr>
              <w:t>La</w:t>
            </w:r>
            <w:r>
              <w:rPr>
                <w:color w:val="231F1F"/>
                <w:spacing w:val="-9"/>
                <w:w w:val="110"/>
                <w:sz w:val="22"/>
              </w:rPr>
              <w:t> </w:t>
            </w:r>
            <w:r>
              <w:rPr>
                <w:color w:val="231F1F"/>
                <w:w w:val="110"/>
                <w:sz w:val="22"/>
              </w:rPr>
              <w:t>solución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nitrato</w:t>
            </w:r>
            <w:r>
              <w:rPr>
                <w:color w:val="231F1F"/>
                <w:spacing w:val="-9"/>
                <w:w w:val="110"/>
                <w:sz w:val="22"/>
              </w:rPr>
              <w:t> </w:t>
            </w:r>
            <w:r>
              <w:rPr>
                <w:color w:val="231F1F"/>
                <w:w w:val="110"/>
                <w:sz w:val="22"/>
              </w:rPr>
              <w:t>de</w:t>
            </w:r>
            <w:r>
              <w:rPr>
                <w:color w:val="231F1F"/>
                <w:spacing w:val="-9"/>
                <w:w w:val="110"/>
                <w:sz w:val="22"/>
              </w:rPr>
              <w:t> </w:t>
            </w:r>
            <w:r>
              <w:rPr>
                <w:color w:val="231F1F"/>
                <w:w w:val="110"/>
                <w:sz w:val="22"/>
              </w:rPr>
              <w:t>plata</w:t>
            </w:r>
            <w:r>
              <w:rPr>
                <w:color w:val="231F1F"/>
                <w:spacing w:val="-9"/>
                <w:w w:val="110"/>
                <w:sz w:val="22"/>
              </w:rPr>
              <w:t> </w:t>
            </w:r>
            <w:r>
              <w:rPr>
                <w:color w:val="231F1F"/>
                <w:w w:val="110"/>
                <w:sz w:val="22"/>
              </w:rPr>
              <w:t>puede</w:t>
            </w:r>
            <w:r>
              <w:rPr>
                <w:color w:val="231F1F"/>
                <w:spacing w:val="-10"/>
                <w:w w:val="110"/>
                <w:sz w:val="22"/>
              </w:rPr>
              <w:t> </w:t>
            </w:r>
            <w:r>
              <w:rPr>
                <w:color w:val="231F1F"/>
                <w:w w:val="110"/>
                <w:sz w:val="22"/>
              </w:rPr>
              <w:t>producir</w:t>
            </w:r>
            <w:r>
              <w:rPr>
                <w:color w:val="231F1F"/>
                <w:spacing w:val="-10"/>
                <w:w w:val="110"/>
                <w:sz w:val="22"/>
              </w:rPr>
              <w:t> </w:t>
            </w:r>
            <w:r>
              <w:rPr>
                <w:color w:val="231F1F"/>
                <w:w w:val="110"/>
                <w:sz w:val="22"/>
              </w:rPr>
              <w:t>conjunti- vitis químicas transitorias en el RN (252).</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2+</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1237" w:hRule="atLeast"/>
        </w:trPr>
        <w:tc>
          <w:tcPr>
            <w:tcW w:w="456" w:type="dxa"/>
          </w:tcPr>
          <w:p>
            <w:pPr>
              <w:pStyle w:val="TableParagraph"/>
              <w:spacing w:before="203"/>
              <w:ind w:left="0"/>
              <w:rPr>
                <w:rFonts w:ascii="Arial MT"/>
                <w:sz w:val="22"/>
              </w:rPr>
            </w:pPr>
          </w:p>
          <w:p>
            <w:pPr>
              <w:pStyle w:val="TableParagraph"/>
              <w:spacing w:before="1"/>
              <w:rPr>
                <w:sz w:val="22"/>
              </w:rPr>
            </w:pPr>
            <w:r>
              <w:rPr>
                <w:color w:val="231F1F"/>
                <w:spacing w:val="-10"/>
                <w:w w:val="110"/>
                <w:sz w:val="22"/>
              </w:rPr>
              <w:t>√</w:t>
            </w:r>
          </w:p>
        </w:tc>
        <w:tc>
          <w:tcPr>
            <w:tcW w:w="8050" w:type="dxa"/>
          </w:tcPr>
          <w:p>
            <w:pPr>
              <w:pStyle w:val="TableParagraph"/>
              <w:spacing w:line="256" w:lineRule="auto" w:before="39"/>
              <w:ind w:right="178"/>
              <w:rPr>
                <w:sz w:val="22"/>
              </w:rPr>
            </w:pPr>
            <w:r>
              <w:rPr>
                <w:color w:val="231F1F"/>
                <w:w w:val="105"/>
                <w:sz w:val="22"/>
              </w:rPr>
              <w:t>Se</w:t>
            </w:r>
            <w:r>
              <w:rPr>
                <w:color w:val="231F1F"/>
                <w:spacing w:val="-7"/>
                <w:w w:val="105"/>
                <w:sz w:val="22"/>
              </w:rPr>
              <w:t> </w:t>
            </w:r>
            <w:r>
              <w:rPr>
                <w:color w:val="231F1F"/>
                <w:w w:val="105"/>
                <w:sz w:val="22"/>
              </w:rPr>
              <w:t>recomienda</w:t>
            </w:r>
            <w:r>
              <w:rPr>
                <w:color w:val="231F1F"/>
                <w:spacing w:val="-5"/>
                <w:w w:val="105"/>
                <w:sz w:val="22"/>
              </w:rPr>
              <w:t> </w:t>
            </w:r>
            <w:r>
              <w:rPr>
                <w:color w:val="231F1F"/>
                <w:w w:val="105"/>
                <w:sz w:val="22"/>
              </w:rPr>
              <w:t>la</w:t>
            </w:r>
            <w:r>
              <w:rPr>
                <w:color w:val="231F1F"/>
                <w:spacing w:val="-6"/>
                <w:w w:val="105"/>
                <w:sz w:val="22"/>
              </w:rPr>
              <w:t> </w:t>
            </w:r>
            <w:r>
              <w:rPr>
                <w:color w:val="231F1F"/>
                <w:w w:val="105"/>
                <w:sz w:val="22"/>
              </w:rPr>
              <w:t>utilización</w:t>
            </w:r>
            <w:r>
              <w:rPr>
                <w:color w:val="231F1F"/>
                <w:spacing w:val="-7"/>
                <w:w w:val="105"/>
                <w:sz w:val="22"/>
              </w:rPr>
              <w:t> </w:t>
            </w:r>
            <w:r>
              <w:rPr>
                <w:color w:val="231F1F"/>
                <w:w w:val="105"/>
                <w:sz w:val="22"/>
              </w:rPr>
              <w:t>de</w:t>
            </w:r>
            <w:r>
              <w:rPr>
                <w:color w:val="231F1F"/>
                <w:spacing w:val="-7"/>
                <w:w w:val="105"/>
                <w:sz w:val="22"/>
              </w:rPr>
              <w:t> </w:t>
            </w:r>
            <w:r>
              <w:rPr>
                <w:color w:val="231F1F"/>
                <w:w w:val="105"/>
                <w:sz w:val="22"/>
              </w:rPr>
              <w:t>pomada</w:t>
            </w:r>
            <w:r>
              <w:rPr>
                <w:color w:val="231F1F"/>
                <w:spacing w:val="-7"/>
                <w:w w:val="105"/>
                <w:sz w:val="22"/>
              </w:rPr>
              <w:t> </w:t>
            </w:r>
            <w:r>
              <w:rPr>
                <w:color w:val="231F1F"/>
                <w:w w:val="105"/>
                <w:sz w:val="22"/>
              </w:rPr>
              <w:t>de</w:t>
            </w:r>
            <w:r>
              <w:rPr>
                <w:color w:val="231F1F"/>
                <w:spacing w:val="-7"/>
                <w:w w:val="105"/>
                <w:sz w:val="22"/>
              </w:rPr>
              <w:t> </w:t>
            </w:r>
            <w:r>
              <w:rPr>
                <w:color w:val="231F1F"/>
                <w:w w:val="105"/>
                <w:sz w:val="22"/>
              </w:rPr>
              <w:t>eritromicina</w:t>
            </w:r>
            <w:r>
              <w:rPr>
                <w:color w:val="231F1F"/>
                <w:spacing w:val="-6"/>
                <w:w w:val="105"/>
                <w:sz w:val="22"/>
              </w:rPr>
              <w:t> </w:t>
            </w:r>
            <w:r>
              <w:rPr>
                <w:color w:val="231F1F"/>
                <w:w w:val="105"/>
                <w:sz w:val="22"/>
              </w:rPr>
              <w:t>al</w:t>
            </w:r>
            <w:r>
              <w:rPr>
                <w:color w:val="231F1F"/>
                <w:spacing w:val="-7"/>
                <w:w w:val="105"/>
                <w:sz w:val="22"/>
              </w:rPr>
              <w:t> </w:t>
            </w:r>
            <w:r>
              <w:rPr>
                <w:color w:val="231F1F"/>
                <w:w w:val="105"/>
                <w:sz w:val="22"/>
              </w:rPr>
              <w:t>0.5%,</w:t>
            </w:r>
            <w:r>
              <w:rPr>
                <w:color w:val="231F1F"/>
                <w:spacing w:val="-7"/>
                <w:w w:val="105"/>
                <w:sz w:val="22"/>
              </w:rPr>
              <w:t> </w:t>
            </w:r>
            <w:r>
              <w:rPr>
                <w:color w:val="231F1F"/>
                <w:w w:val="105"/>
                <w:sz w:val="22"/>
              </w:rPr>
              <w:t>y</w:t>
            </w:r>
            <w:r>
              <w:rPr>
                <w:color w:val="231F1F"/>
                <w:spacing w:val="-6"/>
                <w:w w:val="105"/>
                <w:sz w:val="22"/>
              </w:rPr>
              <w:t> </w:t>
            </w:r>
            <w:r>
              <w:rPr>
                <w:color w:val="231F1F"/>
                <w:w w:val="105"/>
                <w:sz w:val="22"/>
              </w:rPr>
              <w:t>como</w:t>
            </w:r>
            <w:r>
              <w:rPr>
                <w:color w:val="231F1F"/>
                <w:spacing w:val="-6"/>
                <w:w w:val="105"/>
                <w:sz w:val="22"/>
              </w:rPr>
              <w:t> </w:t>
            </w:r>
            <w:r>
              <w:rPr>
                <w:color w:val="231F1F"/>
                <w:w w:val="105"/>
                <w:sz w:val="22"/>
              </w:rPr>
              <w:t>alternativa tetraciclina</w:t>
            </w:r>
            <w:r>
              <w:rPr>
                <w:color w:val="231F1F"/>
                <w:spacing w:val="-3"/>
                <w:w w:val="105"/>
                <w:sz w:val="22"/>
              </w:rPr>
              <w:t> </w:t>
            </w:r>
            <w:r>
              <w:rPr>
                <w:color w:val="231F1F"/>
                <w:w w:val="105"/>
                <w:sz w:val="22"/>
              </w:rPr>
              <w:t>al</w:t>
            </w:r>
            <w:r>
              <w:rPr>
                <w:color w:val="231F1F"/>
                <w:spacing w:val="-1"/>
                <w:w w:val="105"/>
                <w:sz w:val="22"/>
              </w:rPr>
              <w:t> </w:t>
            </w:r>
            <w:r>
              <w:rPr>
                <w:color w:val="231F1F"/>
                <w:w w:val="105"/>
                <w:sz w:val="22"/>
              </w:rPr>
              <w:t>1%,</w:t>
            </w:r>
            <w:r>
              <w:rPr>
                <w:color w:val="231F1F"/>
                <w:spacing w:val="-1"/>
                <w:w w:val="105"/>
                <w:sz w:val="22"/>
              </w:rPr>
              <w:t> </w:t>
            </w:r>
            <w:r>
              <w:rPr>
                <w:color w:val="231F1F"/>
                <w:w w:val="105"/>
                <w:sz w:val="22"/>
              </w:rPr>
              <w:t>para</w:t>
            </w:r>
            <w:r>
              <w:rPr>
                <w:color w:val="231F1F"/>
                <w:spacing w:val="-2"/>
                <w:w w:val="105"/>
                <w:sz w:val="22"/>
              </w:rPr>
              <w:t> </w:t>
            </w:r>
            <w:r>
              <w:rPr>
                <w:color w:val="231F1F"/>
                <w:w w:val="105"/>
                <w:sz w:val="22"/>
              </w:rPr>
              <w:t>la realización de</w:t>
            </w:r>
            <w:r>
              <w:rPr>
                <w:color w:val="231F1F"/>
                <w:spacing w:val="-1"/>
                <w:w w:val="105"/>
                <w:sz w:val="22"/>
              </w:rPr>
              <w:t> </w:t>
            </w:r>
            <w:r>
              <w:rPr>
                <w:color w:val="231F1F"/>
                <w:w w:val="105"/>
                <w:sz w:val="22"/>
              </w:rPr>
              <w:t>profilaxis</w:t>
            </w:r>
            <w:r>
              <w:rPr>
                <w:color w:val="231F1F"/>
                <w:spacing w:val="-1"/>
                <w:w w:val="105"/>
                <w:sz w:val="22"/>
              </w:rPr>
              <w:t> </w:t>
            </w:r>
            <w:r>
              <w:rPr>
                <w:color w:val="231F1F"/>
                <w:w w:val="105"/>
                <w:sz w:val="22"/>
              </w:rPr>
              <w:t>oftálmica.</w:t>
            </w:r>
            <w:r>
              <w:rPr>
                <w:color w:val="231F1F"/>
                <w:spacing w:val="-1"/>
                <w:w w:val="105"/>
                <w:sz w:val="22"/>
              </w:rPr>
              <w:t> </w:t>
            </w:r>
            <w:r>
              <w:rPr>
                <w:color w:val="231F1F"/>
                <w:w w:val="105"/>
                <w:sz w:val="22"/>
              </w:rPr>
              <w:t>Solamente</w:t>
            </w:r>
            <w:r>
              <w:rPr>
                <w:color w:val="231F1F"/>
                <w:spacing w:val="-2"/>
                <w:w w:val="105"/>
                <w:sz w:val="22"/>
              </w:rPr>
              <w:t> </w:t>
            </w:r>
            <w:r>
              <w:rPr>
                <w:color w:val="231F1F"/>
                <w:w w:val="105"/>
                <w:sz w:val="22"/>
              </w:rPr>
              <w:t>en caso de no disponer de eritromicina o tetraciclina se recomendaría la utilización de nitrato de plata al 1%.</w:t>
            </w:r>
          </w:p>
        </w:tc>
      </w:tr>
    </w:tbl>
    <w:p>
      <w:pPr>
        <w:pStyle w:val="TableParagraph"/>
        <w:spacing w:after="0" w:line="256" w:lineRule="auto"/>
        <w:rPr>
          <w:sz w:val="22"/>
        </w:rPr>
        <w:sectPr>
          <w:pgSz w:w="11900" w:h="16840"/>
          <w:pgMar w:header="0" w:footer="622" w:top="1560" w:bottom="820" w:left="1417" w:right="1559"/>
        </w:sectPr>
      </w:pPr>
    </w:p>
    <w:p>
      <w:pPr>
        <w:pStyle w:val="Heading2"/>
        <w:numPr>
          <w:ilvl w:val="2"/>
          <w:numId w:val="2"/>
        </w:numPr>
        <w:tabs>
          <w:tab w:pos="1002" w:val="left" w:leader="none"/>
          <w:tab w:pos="1005" w:val="left" w:leader="none"/>
        </w:tabs>
        <w:spacing w:line="232" w:lineRule="auto" w:before="77" w:after="0"/>
        <w:ind w:left="1005" w:right="1135" w:hanging="724"/>
        <w:jc w:val="left"/>
      </w:pPr>
      <w:bookmarkStart w:name="_TOC_250020" w:id="36"/>
      <w:r>
        <w:rPr>
          <w:color w:val="231F1F"/>
        </w:rPr>
        <w:t>Profilaxis de la enfermedad hemorrágica con</w:t>
      </w:r>
      <w:r>
        <w:rPr>
          <w:color w:val="231F1F"/>
          <w:spacing w:val="80"/>
        </w:rPr>
        <w:t> </w:t>
      </w:r>
      <w:bookmarkEnd w:id="36"/>
      <w:r>
        <w:rPr>
          <w:color w:val="231F1F"/>
        </w:rPr>
        <w:t>vitamina K</w:t>
      </w:r>
    </w:p>
    <w:p>
      <w:pPr>
        <w:pStyle w:val="BodyText"/>
        <w:spacing w:line="244" w:lineRule="auto" w:before="229"/>
        <w:ind w:left="283" w:right="177"/>
        <w:jc w:val="both"/>
      </w:pPr>
      <w:r>
        <w:rPr>
          <w:color w:val="231F1F"/>
          <w:w w:val="110"/>
        </w:rPr>
        <w:t>El</w:t>
      </w:r>
      <w:r>
        <w:rPr>
          <w:color w:val="231F1F"/>
          <w:spacing w:val="-8"/>
          <w:w w:val="110"/>
        </w:rPr>
        <w:t> </w:t>
      </w:r>
      <w:r>
        <w:rPr>
          <w:color w:val="231F1F"/>
          <w:w w:val="110"/>
        </w:rPr>
        <w:t>síndrome</w:t>
      </w:r>
      <w:r>
        <w:rPr>
          <w:color w:val="231F1F"/>
          <w:spacing w:val="-8"/>
          <w:w w:val="110"/>
        </w:rPr>
        <w:t> </w:t>
      </w:r>
      <w:r>
        <w:rPr>
          <w:color w:val="231F1F"/>
          <w:w w:val="110"/>
        </w:rPr>
        <w:t>de</w:t>
      </w:r>
      <w:r>
        <w:rPr>
          <w:color w:val="231F1F"/>
          <w:spacing w:val="-8"/>
          <w:w w:val="110"/>
        </w:rPr>
        <w:t> </w:t>
      </w:r>
      <w:r>
        <w:rPr>
          <w:color w:val="231F1F"/>
          <w:w w:val="110"/>
        </w:rPr>
        <w:t>hemorragia</w:t>
      </w:r>
      <w:r>
        <w:rPr>
          <w:color w:val="231F1F"/>
          <w:spacing w:val="-8"/>
          <w:w w:val="110"/>
        </w:rPr>
        <w:t> </w:t>
      </w:r>
      <w:r>
        <w:rPr>
          <w:color w:val="231F1F"/>
          <w:w w:val="110"/>
        </w:rPr>
        <w:t>por</w:t>
      </w:r>
      <w:r>
        <w:rPr>
          <w:color w:val="231F1F"/>
          <w:spacing w:val="-8"/>
          <w:w w:val="110"/>
        </w:rPr>
        <w:t> </w:t>
      </w:r>
      <w:r>
        <w:rPr>
          <w:color w:val="231F1F"/>
          <w:w w:val="110"/>
        </w:rPr>
        <w:t>déficit</w:t>
      </w:r>
      <w:r>
        <w:rPr>
          <w:color w:val="231F1F"/>
          <w:spacing w:val="-8"/>
          <w:w w:val="110"/>
        </w:rPr>
        <w:t> </w:t>
      </w:r>
      <w:r>
        <w:rPr>
          <w:color w:val="231F1F"/>
          <w:w w:val="110"/>
        </w:rPr>
        <w:t>de</w:t>
      </w:r>
      <w:r>
        <w:rPr>
          <w:color w:val="231F1F"/>
          <w:spacing w:val="-8"/>
          <w:w w:val="110"/>
        </w:rPr>
        <w:t> </w:t>
      </w:r>
      <w:r>
        <w:rPr>
          <w:color w:val="231F1F"/>
          <w:w w:val="110"/>
        </w:rPr>
        <w:t>vitamina</w:t>
      </w:r>
      <w:r>
        <w:rPr>
          <w:color w:val="231F1F"/>
          <w:spacing w:val="-8"/>
          <w:w w:val="110"/>
        </w:rPr>
        <w:t> </w:t>
      </w:r>
      <w:r>
        <w:rPr>
          <w:color w:val="231F1F"/>
          <w:w w:val="110"/>
        </w:rPr>
        <w:t>K</w:t>
      </w:r>
      <w:r>
        <w:rPr>
          <w:color w:val="231F1F"/>
          <w:spacing w:val="-8"/>
          <w:w w:val="110"/>
        </w:rPr>
        <w:t> </w:t>
      </w:r>
      <w:r>
        <w:rPr>
          <w:color w:val="231F1F"/>
          <w:w w:val="110"/>
        </w:rPr>
        <w:t>(HDVK)</w:t>
      </w:r>
      <w:r>
        <w:rPr>
          <w:color w:val="231F1F"/>
          <w:spacing w:val="-8"/>
          <w:w w:val="110"/>
        </w:rPr>
        <w:t> </w:t>
      </w:r>
      <w:r>
        <w:rPr>
          <w:color w:val="231F1F"/>
          <w:w w:val="110"/>
        </w:rPr>
        <w:t>puede</w:t>
      </w:r>
      <w:r>
        <w:rPr>
          <w:color w:val="231F1F"/>
          <w:spacing w:val="-8"/>
          <w:w w:val="110"/>
        </w:rPr>
        <w:t> </w:t>
      </w:r>
      <w:r>
        <w:rPr>
          <w:color w:val="231F1F"/>
          <w:w w:val="110"/>
        </w:rPr>
        <w:t>presentarse</w:t>
      </w:r>
      <w:r>
        <w:rPr>
          <w:color w:val="231F1F"/>
          <w:spacing w:val="-8"/>
          <w:w w:val="110"/>
        </w:rPr>
        <w:t> </w:t>
      </w:r>
      <w:r>
        <w:rPr>
          <w:color w:val="231F1F"/>
          <w:w w:val="110"/>
        </w:rPr>
        <w:t>de</w:t>
      </w:r>
      <w:r>
        <w:rPr>
          <w:color w:val="231F1F"/>
          <w:spacing w:val="-8"/>
          <w:w w:val="110"/>
        </w:rPr>
        <w:t> </w:t>
      </w:r>
      <w:r>
        <w:rPr>
          <w:color w:val="231F1F"/>
          <w:w w:val="110"/>
        </w:rPr>
        <w:t>tres </w:t>
      </w:r>
      <w:r>
        <w:rPr>
          <w:color w:val="231F1F"/>
          <w:spacing w:val="-2"/>
          <w:w w:val="110"/>
        </w:rPr>
        <w:t>formas:</w:t>
      </w:r>
    </w:p>
    <w:p>
      <w:pPr>
        <w:pStyle w:val="ListParagraph"/>
        <w:numPr>
          <w:ilvl w:val="0"/>
          <w:numId w:val="62"/>
        </w:numPr>
        <w:tabs>
          <w:tab w:pos="953" w:val="left" w:leader="none"/>
        </w:tabs>
        <w:spacing w:line="240" w:lineRule="auto" w:before="142" w:after="0"/>
        <w:ind w:left="953" w:right="0" w:hanging="218"/>
        <w:jc w:val="left"/>
        <w:rPr>
          <w:sz w:val="22"/>
        </w:rPr>
      </w:pPr>
      <w:r>
        <w:rPr>
          <w:color w:val="231F1F"/>
          <w:sz w:val="22"/>
        </w:rPr>
        <w:t>Comienzo</w:t>
      </w:r>
      <w:r>
        <w:rPr>
          <w:color w:val="231F1F"/>
          <w:spacing w:val="37"/>
          <w:sz w:val="22"/>
        </w:rPr>
        <w:t> </w:t>
      </w:r>
      <w:r>
        <w:rPr>
          <w:color w:val="231F1F"/>
          <w:sz w:val="22"/>
        </w:rPr>
        <w:t>temprano</w:t>
      </w:r>
      <w:r>
        <w:rPr>
          <w:color w:val="231F1F"/>
          <w:spacing w:val="39"/>
          <w:sz w:val="22"/>
        </w:rPr>
        <w:t> </w:t>
      </w:r>
      <w:r>
        <w:rPr>
          <w:color w:val="231F1F"/>
          <w:sz w:val="22"/>
        </w:rPr>
        <w:t>durante</w:t>
      </w:r>
      <w:r>
        <w:rPr>
          <w:color w:val="231F1F"/>
          <w:spacing w:val="39"/>
          <w:sz w:val="22"/>
        </w:rPr>
        <w:t> </w:t>
      </w:r>
      <w:r>
        <w:rPr>
          <w:color w:val="231F1F"/>
          <w:sz w:val="22"/>
        </w:rPr>
        <w:t>las</w:t>
      </w:r>
      <w:r>
        <w:rPr>
          <w:color w:val="231F1F"/>
          <w:spacing w:val="41"/>
          <w:sz w:val="22"/>
        </w:rPr>
        <w:t> </w:t>
      </w:r>
      <w:r>
        <w:rPr>
          <w:color w:val="231F1F"/>
          <w:sz w:val="22"/>
        </w:rPr>
        <w:t>24</w:t>
      </w:r>
      <w:r>
        <w:rPr>
          <w:color w:val="231F1F"/>
          <w:spacing w:val="38"/>
          <w:sz w:val="22"/>
        </w:rPr>
        <w:t> </w:t>
      </w:r>
      <w:r>
        <w:rPr>
          <w:color w:val="231F1F"/>
          <w:sz w:val="22"/>
        </w:rPr>
        <w:t>horas</w:t>
      </w:r>
      <w:r>
        <w:rPr>
          <w:color w:val="231F1F"/>
          <w:spacing w:val="39"/>
          <w:sz w:val="22"/>
        </w:rPr>
        <w:t> </w:t>
      </w:r>
      <w:r>
        <w:rPr>
          <w:color w:val="231F1F"/>
          <w:sz w:val="22"/>
        </w:rPr>
        <w:t>desde</w:t>
      </w:r>
      <w:r>
        <w:rPr>
          <w:color w:val="231F1F"/>
          <w:spacing w:val="39"/>
          <w:sz w:val="22"/>
        </w:rPr>
        <w:t> </w:t>
      </w:r>
      <w:r>
        <w:rPr>
          <w:color w:val="231F1F"/>
          <w:sz w:val="22"/>
        </w:rPr>
        <w:t>el</w:t>
      </w:r>
      <w:r>
        <w:rPr>
          <w:color w:val="231F1F"/>
          <w:spacing w:val="41"/>
          <w:sz w:val="22"/>
        </w:rPr>
        <w:t> </w:t>
      </w:r>
      <w:r>
        <w:rPr>
          <w:color w:val="231F1F"/>
          <w:spacing w:val="-2"/>
          <w:sz w:val="22"/>
        </w:rPr>
        <w:t>nacimiento.</w:t>
      </w:r>
    </w:p>
    <w:p>
      <w:pPr>
        <w:pStyle w:val="ListParagraph"/>
        <w:numPr>
          <w:ilvl w:val="0"/>
          <w:numId w:val="62"/>
        </w:numPr>
        <w:tabs>
          <w:tab w:pos="952" w:val="left" w:leader="none"/>
          <w:tab w:pos="956" w:val="left" w:leader="none"/>
        </w:tabs>
        <w:spacing w:line="249" w:lineRule="auto" w:before="150" w:after="0"/>
        <w:ind w:left="956" w:right="119" w:hanging="221"/>
        <w:jc w:val="both"/>
        <w:rPr>
          <w:sz w:val="22"/>
        </w:rPr>
      </w:pPr>
      <w:r>
        <w:rPr>
          <w:color w:val="231F1F"/>
          <w:w w:val="105"/>
          <w:sz w:val="22"/>
        </w:rPr>
        <w:t>Comienzo habitual durante la primera semana tras el nacimiento, presentándose de forma clásica con sangrado oral, umbilical, rectal o por la circuncisión cuando si se haya realizado.</w:t>
      </w:r>
    </w:p>
    <w:p>
      <w:pPr>
        <w:pStyle w:val="ListParagraph"/>
        <w:numPr>
          <w:ilvl w:val="0"/>
          <w:numId w:val="62"/>
        </w:numPr>
        <w:tabs>
          <w:tab w:pos="957" w:val="left" w:leader="none"/>
        </w:tabs>
        <w:spacing w:line="244" w:lineRule="auto" w:before="147" w:after="0"/>
        <w:ind w:left="957" w:right="122" w:hanging="220"/>
        <w:jc w:val="both"/>
        <w:rPr>
          <w:sz w:val="22"/>
        </w:rPr>
      </w:pPr>
      <w:r>
        <w:rPr>
          <w:color w:val="231F1F"/>
          <w:w w:val="110"/>
          <w:sz w:val="22"/>
        </w:rPr>
        <w:t>Comienzo</w:t>
      </w:r>
      <w:r>
        <w:rPr>
          <w:color w:val="231F1F"/>
          <w:spacing w:val="-16"/>
          <w:w w:val="110"/>
          <w:sz w:val="22"/>
        </w:rPr>
        <w:t> </w:t>
      </w:r>
      <w:r>
        <w:rPr>
          <w:color w:val="231F1F"/>
          <w:w w:val="110"/>
          <w:sz w:val="22"/>
        </w:rPr>
        <w:t>tardío,</w:t>
      </w:r>
      <w:r>
        <w:rPr>
          <w:color w:val="231F1F"/>
          <w:spacing w:val="-15"/>
          <w:w w:val="110"/>
          <w:sz w:val="22"/>
        </w:rPr>
        <w:t> </w:t>
      </w:r>
      <w:r>
        <w:rPr>
          <w:color w:val="231F1F"/>
          <w:w w:val="110"/>
          <w:sz w:val="22"/>
        </w:rPr>
        <w:t>después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primera</w:t>
      </w:r>
      <w:r>
        <w:rPr>
          <w:color w:val="231F1F"/>
          <w:spacing w:val="-15"/>
          <w:w w:val="110"/>
          <w:sz w:val="22"/>
        </w:rPr>
        <w:t> </w:t>
      </w:r>
      <w:r>
        <w:rPr>
          <w:color w:val="231F1F"/>
          <w:w w:val="110"/>
          <w:sz w:val="22"/>
        </w:rPr>
        <w:t>semana,</w:t>
      </w:r>
      <w:r>
        <w:rPr>
          <w:color w:val="231F1F"/>
          <w:spacing w:val="-15"/>
          <w:w w:val="110"/>
          <w:sz w:val="22"/>
        </w:rPr>
        <w:t> </w:t>
      </w:r>
      <w:r>
        <w:rPr>
          <w:color w:val="231F1F"/>
          <w:w w:val="110"/>
          <w:sz w:val="22"/>
        </w:rPr>
        <w:t>casi</w:t>
      </w:r>
      <w:r>
        <w:rPr>
          <w:color w:val="231F1F"/>
          <w:spacing w:val="-15"/>
          <w:w w:val="110"/>
          <w:sz w:val="22"/>
        </w:rPr>
        <w:t> </w:t>
      </w:r>
      <w:r>
        <w:rPr>
          <w:color w:val="231F1F"/>
          <w:w w:val="110"/>
          <w:sz w:val="22"/>
        </w:rPr>
        <w:t>exclusiva</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RNs</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lactan- cia</w:t>
      </w:r>
      <w:r>
        <w:rPr>
          <w:color w:val="231F1F"/>
          <w:spacing w:val="-5"/>
          <w:w w:val="110"/>
          <w:sz w:val="22"/>
        </w:rPr>
        <w:t> </w:t>
      </w:r>
      <w:r>
        <w:rPr>
          <w:color w:val="231F1F"/>
          <w:w w:val="110"/>
          <w:sz w:val="22"/>
        </w:rPr>
        <w:t>materna</w:t>
      </w:r>
      <w:r>
        <w:rPr>
          <w:color w:val="231F1F"/>
          <w:spacing w:val="-5"/>
          <w:w w:val="110"/>
          <w:sz w:val="22"/>
        </w:rPr>
        <w:t> </w:t>
      </w:r>
      <w:r>
        <w:rPr>
          <w:color w:val="231F1F"/>
          <w:w w:val="110"/>
          <w:sz w:val="22"/>
        </w:rPr>
        <w:t>y</w:t>
      </w:r>
      <w:r>
        <w:rPr>
          <w:color w:val="231F1F"/>
          <w:spacing w:val="-5"/>
          <w:w w:val="110"/>
          <w:sz w:val="22"/>
        </w:rPr>
        <w:t> </w:t>
      </w:r>
      <w:r>
        <w:rPr>
          <w:color w:val="231F1F"/>
          <w:w w:val="110"/>
          <w:sz w:val="22"/>
        </w:rPr>
        <w:t>de</w:t>
      </w:r>
      <w:r>
        <w:rPr>
          <w:color w:val="231F1F"/>
          <w:spacing w:val="-5"/>
          <w:w w:val="110"/>
          <w:sz w:val="22"/>
        </w:rPr>
        <w:t> </w:t>
      </w:r>
      <w:r>
        <w:rPr>
          <w:color w:val="231F1F"/>
          <w:w w:val="110"/>
          <w:sz w:val="22"/>
        </w:rPr>
        <w:t>aparición</w:t>
      </w:r>
      <w:r>
        <w:rPr>
          <w:color w:val="231F1F"/>
          <w:spacing w:val="-5"/>
          <w:w w:val="110"/>
          <w:sz w:val="22"/>
        </w:rPr>
        <w:t> </w:t>
      </w:r>
      <w:r>
        <w:rPr>
          <w:color w:val="231F1F"/>
          <w:w w:val="110"/>
          <w:sz w:val="22"/>
        </w:rPr>
        <w:t>a</w:t>
      </w:r>
      <w:r>
        <w:rPr>
          <w:color w:val="231F1F"/>
          <w:spacing w:val="-5"/>
          <w:w w:val="110"/>
          <w:sz w:val="22"/>
        </w:rPr>
        <w:t> </w:t>
      </w:r>
      <w:r>
        <w:rPr>
          <w:color w:val="231F1F"/>
          <w:w w:val="110"/>
          <w:sz w:val="22"/>
        </w:rPr>
        <w:t>menudo</w:t>
      </w:r>
      <w:r>
        <w:rPr>
          <w:color w:val="231F1F"/>
          <w:spacing w:val="-5"/>
          <w:w w:val="110"/>
          <w:sz w:val="22"/>
        </w:rPr>
        <w:t> </w:t>
      </w:r>
      <w:r>
        <w:rPr>
          <w:color w:val="231F1F"/>
          <w:w w:val="110"/>
          <w:sz w:val="22"/>
        </w:rPr>
        <w:t>en</w:t>
      </w:r>
      <w:r>
        <w:rPr>
          <w:color w:val="231F1F"/>
          <w:spacing w:val="-5"/>
          <w:w w:val="110"/>
          <w:sz w:val="22"/>
        </w:rPr>
        <w:t> </w:t>
      </w:r>
      <w:r>
        <w:rPr>
          <w:color w:val="231F1F"/>
          <w:w w:val="110"/>
          <w:sz w:val="22"/>
        </w:rPr>
        <w:t>neonatos</w:t>
      </w:r>
      <w:r>
        <w:rPr>
          <w:color w:val="231F1F"/>
          <w:spacing w:val="-6"/>
          <w:w w:val="110"/>
          <w:sz w:val="22"/>
        </w:rPr>
        <w:t> </w:t>
      </w:r>
      <w:r>
        <w:rPr>
          <w:color w:val="231F1F"/>
          <w:w w:val="110"/>
          <w:sz w:val="22"/>
        </w:rPr>
        <w:t>con</w:t>
      </w:r>
      <w:r>
        <w:rPr>
          <w:color w:val="231F1F"/>
          <w:spacing w:val="-5"/>
          <w:w w:val="110"/>
          <w:sz w:val="22"/>
        </w:rPr>
        <w:t> </w:t>
      </w:r>
      <w:r>
        <w:rPr>
          <w:color w:val="231F1F"/>
          <w:w w:val="110"/>
          <w:sz w:val="22"/>
        </w:rPr>
        <w:t>enfermedad</w:t>
      </w:r>
      <w:r>
        <w:rPr>
          <w:color w:val="231F1F"/>
          <w:spacing w:val="-5"/>
          <w:w w:val="110"/>
          <w:sz w:val="22"/>
        </w:rPr>
        <w:t> </w:t>
      </w:r>
      <w:r>
        <w:rPr>
          <w:color w:val="231F1F"/>
          <w:w w:val="110"/>
          <w:sz w:val="22"/>
        </w:rPr>
        <w:t>hepática</w:t>
      </w:r>
      <w:r>
        <w:rPr>
          <w:color w:val="231F1F"/>
          <w:spacing w:val="-6"/>
          <w:w w:val="110"/>
          <w:sz w:val="22"/>
        </w:rPr>
        <w:t> </w:t>
      </w:r>
      <w:r>
        <w:rPr>
          <w:color w:val="231F1F"/>
          <w:w w:val="110"/>
          <w:sz w:val="22"/>
        </w:rPr>
        <w:t>o</w:t>
      </w:r>
      <w:r>
        <w:rPr>
          <w:color w:val="231F1F"/>
          <w:spacing w:val="-5"/>
          <w:w w:val="110"/>
          <w:sz w:val="22"/>
        </w:rPr>
        <w:t> </w:t>
      </w:r>
      <w:r>
        <w:rPr>
          <w:color w:val="231F1F"/>
          <w:w w:val="110"/>
          <w:sz w:val="22"/>
        </w:rPr>
        <w:t>ma- labsorción.</w:t>
      </w:r>
      <w:r>
        <w:rPr>
          <w:color w:val="231F1F"/>
          <w:spacing w:val="-5"/>
          <w:w w:val="110"/>
          <w:sz w:val="22"/>
        </w:rPr>
        <w:t> </w:t>
      </w:r>
      <w:r>
        <w:rPr>
          <w:color w:val="231F1F"/>
          <w:w w:val="110"/>
          <w:sz w:val="22"/>
        </w:rPr>
        <w:t>En</w:t>
      </w:r>
      <w:r>
        <w:rPr>
          <w:color w:val="231F1F"/>
          <w:spacing w:val="-4"/>
          <w:w w:val="110"/>
          <w:sz w:val="22"/>
        </w:rPr>
        <w:t> </w:t>
      </w:r>
      <w:r>
        <w:rPr>
          <w:color w:val="231F1F"/>
          <w:w w:val="110"/>
          <w:sz w:val="22"/>
        </w:rPr>
        <w:t>más</w:t>
      </w:r>
      <w:r>
        <w:rPr>
          <w:color w:val="231F1F"/>
          <w:spacing w:val="-4"/>
          <w:w w:val="110"/>
          <w:sz w:val="22"/>
        </w:rPr>
        <w:t> </w:t>
      </w:r>
      <w:r>
        <w:rPr>
          <w:color w:val="231F1F"/>
          <w:w w:val="110"/>
          <w:sz w:val="22"/>
        </w:rPr>
        <w:t>del</w:t>
      </w:r>
      <w:r>
        <w:rPr>
          <w:color w:val="231F1F"/>
          <w:spacing w:val="-5"/>
          <w:w w:val="110"/>
          <w:sz w:val="22"/>
        </w:rPr>
        <w:t> </w:t>
      </w:r>
      <w:r>
        <w:rPr>
          <w:color w:val="231F1F"/>
          <w:w w:val="110"/>
          <w:sz w:val="22"/>
        </w:rPr>
        <w:t>50%</w:t>
      </w:r>
      <w:r>
        <w:rPr>
          <w:color w:val="231F1F"/>
          <w:spacing w:val="-3"/>
          <w:w w:val="110"/>
          <w:sz w:val="22"/>
        </w:rPr>
        <w:t> </w:t>
      </w:r>
      <w:r>
        <w:rPr>
          <w:color w:val="231F1F"/>
          <w:w w:val="110"/>
          <w:sz w:val="22"/>
        </w:rPr>
        <w:t>de</w:t>
      </w:r>
      <w:r>
        <w:rPr>
          <w:color w:val="231F1F"/>
          <w:spacing w:val="-4"/>
          <w:w w:val="110"/>
          <w:sz w:val="22"/>
        </w:rPr>
        <w:t> </w:t>
      </w:r>
      <w:r>
        <w:rPr>
          <w:color w:val="231F1F"/>
          <w:w w:val="110"/>
          <w:sz w:val="22"/>
        </w:rPr>
        <w:t>niños</w:t>
      </w:r>
      <w:r>
        <w:rPr>
          <w:color w:val="231F1F"/>
          <w:spacing w:val="-4"/>
          <w:w w:val="110"/>
          <w:sz w:val="22"/>
        </w:rPr>
        <w:t> </w:t>
      </w:r>
      <w:r>
        <w:rPr>
          <w:color w:val="231F1F"/>
          <w:w w:val="110"/>
          <w:sz w:val="22"/>
        </w:rPr>
        <w:t>diagnosticados</w:t>
      </w:r>
      <w:r>
        <w:rPr>
          <w:color w:val="231F1F"/>
          <w:spacing w:val="-4"/>
          <w:w w:val="110"/>
          <w:sz w:val="22"/>
        </w:rPr>
        <w:t> </w:t>
      </w:r>
      <w:r>
        <w:rPr>
          <w:color w:val="231F1F"/>
          <w:w w:val="110"/>
          <w:sz w:val="22"/>
        </w:rPr>
        <w:t>de</w:t>
      </w:r>
      <w:r>
        <w:rPr>
          <w:color w:val="231F1F"/>
          <w:spacing w:val="-4"/>
          <w:w w:val="110"/>
          <w:sz w:val="22"/>
        </w:rPr>
        <w:t> </w:t>
      </w:r>
      <w:r>
        <w:rPr>
          <w:color w:val="231F1F"/>
          <w:w w:val="110"/>
          <w:sz w:val="22"/>
        </w:rPr>
        <w:t>HDVK</w:t>
      </w:r>
      <w:r>
        <w:rPr>
          <w:color w:val="231F1F"/>
          <w:spacing w:val="-4"/>
          <w:w w:val="110"/>
          <w:sz w:val="22"/>
        </w:rPr>
        <w:t> </w:t>
      </w:r>
      <w:r>
        <w:rPr>
          <w:color w:val="231F1F"/>
          <w:w w:val="110"/>
          <w:sz w:val="22"/>
        </w:rPr>
        <w:t>tardía</w:t>
      </w:r>
      <w:r>
        <w:rPr>
          <w:color w:val="231F1F"/>
          <w:spacing w:val="-4"/>
          <w:w w:val="110"/>
          <w:sz w:val="22"/>
        </w:rPr>
        <w:t> </w:t>
      </w:r>
      <w:r>
        <w:rPr>
          <w:color w:val="231F1F"/>
          <w:w w:val="110"/>
          <w:sz w:val="22"/>
        </w:rPr>
        <w:t>se</w:t>
      </w:r>
      <w:r>
        <w:rPr>
          <w:color w:val="231F1F"/>
          <w:spacing w:val="-4"/>
          <w:w w:val="110"/>
          <w:sz w:val="22"/>
        </w:rPr>
        <w:t> </w:t>
      </w:r>
      <w:r>
        <w:rPr>
          <w:color w:val="231F1F"/>
          <w:w w:val="110"/>
          <w:sz w:val="22"/>
        </w:rPr>
        <w:t>produce hemorragia intracraneal.</w:t>
      </w:r>
    </w:p>
    <w:p>
      <w:pPr>
        <w:pStyle w:val="BodyText"/>
      </w:pPr>
    </w:p>
    <w:p>
      <w:pPr>
        <w:pStyle w:val="BodyText"/>
        <w:spacing w:before="8"/>
      </w:pPr>
    </w:p>
    <w:p>
      <w:pPr>
        <w:pStyle w:val="Heading3"/>
        <w:numPr>
          <w:ilvl w:val="3"/>
          <w:numId w:val="2"/>
        </w:numPr>
        <w:tabs>
          <w:tab w:pos="1156" w:val="left" w:leader="none"/>
          <w:tab w:pos="1166" w:val="left" w:leader="none"/>
        </w:tabs>
        <w:spacing w:line="237" w:lineRule="auto" w:before="0" w:after="0"/>
        <w:ind w:left="1166" w:right="507" w:hanging="885"/>
        <w:jc w:val="left"/>
      </w:pPr>
      <w:r>
        <w:rPr>
          <w:color w:val="231F1F"/>
        </w:rPr>
        <w:t>Relación riesgo beneficio de la profilaxis neonatal con</w:t>
      </w:r>
      <w:r>
        <w:rPr>
          <w:color w:val="231F1F"/>
          <w:spacing w:val="40"/>
        </w:rPr>
        <w:t> </w:t>
      </w:r>
      <w:r>
        <w:rPr>
          <w:color w:val="231F1F"/>
        </w:rPr>
        <w:t>vitamina K</w:t>
      </w:r>
    </w:p>
    <w:p>
      <w:pPr>
        <w:pStyle w:val="BodyText"/>
        <w:spacing w:before="13"/>
        <w:rPr>
          <w:sz w:val="20"/>
        </w:rPr>
      </w:pPr>
      <w:r>
        <w:rPr>
          <w:sz w:val="20"/>
        </w:rPr>
        <mc:AlternateContent>
          <mc:Choice Requires="wps">
            <w:drawing>
              <wp:anchor distT="0" distB="0" distL="0" distR="0" allowOverlap="1" layoutInCell="1" locked="0" behindDoc="1" simplePos="0" relativeHeight="487619072">
                <wp:simplePos x="0" y="0"/>
                <wp:positionH relativeFrom="page">
                  <wp:posOffset>1082675</wp:posOffset>
                </wp:positionH>
                <wp:positionV relativeFrom="paragraph">
                  <wp:posOffset>173274</wp:posOffset>
                </wp:positionV>
                <wp:extent cx="5400040" cy="262255"/>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5400040" cy="262255"/>
                        </a:xfrm>
                        <a:prstGeom prst="rect">
                          <a:avLst/>
                        </a:prstGeom>
                        <a:ln w="6350">
                          <a:solidFill>
                            <a:srgbClr val="A30046"/>
                          </a:solidFill>
                          <a:prstDash val="solid"/>
                        </a:ln>
                      </wps:spPr>
                      <wps:txbx>
                        <w:txbxContent>
                          <w:p>
                            <w:pPr>
                              <w:pStyle w:val="BodyText"/>
                              <w:numPr>
                                <w:ilvl w:val="0"/>
                                <w:numId w:val="63"/>
                              </w:numPr>
                              <w:tabs>
                                <w:tab w:pos="322" w:val="left" w:leader="none"/>
                              </w:tabs>
                              <w:spacing w:line="240" w:lineRule="auto" w:before="63" w:after="0"/>
                              <w:ind w:left="322" w:right="0" w:hanging="218"/>
                              <w:jc w:val="left"/>
                            </w:pPr>
                            <w:r>
                              <w:rPr>
                                <w:color w:val="231F1F"/>
                              </w:rPr>
                              <w:t>¿Cuál</w:t>
                            </w:r>
                            <w:r>
                              <w:rPr>
                                <w:color w:val="231F1F"/>
                                <w:spacing w:val="13"/>
                              </w:rPr>
                              <w:t> </w:t>
                            </w:r>
                            <w:r>
                              <w:rPr>
                                <w:color w:val="231F1F"/>
                              </w:rPr>
                              <w:t>es</w:t>
                            </w:r>
                            <w:r>
                              <w:rPr>
                                <w:color w:val="231F1F"/>
                                <w:spacing w:val="18"/>
                              </w:rPr>
                              <w:t> </w:t>
                            </w:r>
                            <w:r>
                              <w:rPr>
                                <w:color w:val="231F1F"/>
                              </w:rPr>
                              <w:t>la</w:t>
                            </w:r>
                            <w:r>
                              <w:rPr>
                                <w:color w:val="231F1F"/>
                                <w:spacing w:val="19"/>
                              </w:rPr>
                              <w:t> </w:t>
                            </w:r>
                            <w:r>
                              <w:rPr>
                                <w:color w:val="231F1F"/>
                              </w:rPr>
                              <w:t>relación</w:t>
                            </w:r>
                            <w:r>
                              <w:rPr>
                                <w:color w:val="231F1F"/>
                                <w:spacing w:val="21"/>
                              </w:rPr>
                              <w:t> </w:t>
                            </w:r>
                            <w:r>
                              <w:rPr>
                                <w:color w:val="231F1F"/>
                              </w:rPr>
                              <w:t>riesgo/beneficio</w:t>
                            </w:r>
                            <w:r>
                              <w:rPr>
                                <w:color w:val="231F1F"/>
                                <w:spacing w:val="21"/>
                              </w:rPr>
                              <w:t> </w:t>
                            </w:r>
                            <w:r>
                              <w:rPr>
                                <w:color w:val="231F1F"/>
                              </w:rPr>
                              <w:t>de</w:t>
                            </w:r>
                            <w:r>
                              <w:rPr>
                                <w:color w:val="231F1F"/>
                                <w:spacing w:val="19"/>
                              </w:rPr>
                              <w:t> </w:t>
                            </w:r>
                            <w:r>
                              <w:rPr>
                                <w:color w:val="231F1F"/>
                              </w:rPr>
                              <w:t>realizar</w:t>
                            </w:r>
                            <w:r>
                              <w:rPr>
                                <w:color w:val="231F1F"/>
                                <w:spacing w:val="19"/>
                              </w:rPr>
                              <w:t> </w:t>
                            </w:r>
                            <w:r>
                              <w:rPr>
                                <w:color w:val="231F1F"/>
                              </w:rPr>
                              <w:t>la</w:t>
                            </w:r>
                            <w:r>
                              <w:rPr>
                                <w:color w:val="231F1F"/>
                                <w:spacing w:val="19"/>
                              </w:rPr>
                              <w:t> </w:t>
                            </w:r>
                            <w:r>
                              <w:rPr>
                                <w:color w:val="231F1F"/>
                              </w:rPr>
                              <w:t>profilaxis</w:t>
                            </w:r>
                            <w:r>
                              <w:rPr>
                                <w:color w:val="231F1F"/>
                                <w:spacing w:val="19"/>
                              </w:rPr>
                              <w:t> </w:t>
                            </w:r>
                            <w:r>
                              <w:rPr>
                                <w:color w:val="231F1F"/>
                              </w:rPr>
                              <w:t>neonatal</w:t>
                            </w:r>
                            <w:r>
                              <w:rPr>
                                <w:color w:val="231F1F"/>
                                <w:spacing w:val="19"/>
                              </w:rPr>
                              <w:t> </w:t>
                            </w:r>
                            <w:r>
                              <w:rPr>
                                <w:color w:val="231F1F"/>
                              </w:rPr>
                              <w:t>con</w:t>
                            </w:r>
                            <w:r>
                              <w:rPr>
                                <w:color w:val="231F1F"/>
                                <w:spacing w:val="19"/>
                              </w:rPr>
                              <w:t> </w:t>
                            </w:r>
                            <w:r>
                              <w:rPr>
                                <w:color w:val="231F1F"/>
                              </w:rPr>
                              <w:t>vitamina</w:t>
                            </w:r>
                            <w:r>
                              <w:rPr>
                                <w:color w:val="231F1F"/>
                                <w:spacing w:val="19"/>
                              </w:rPr>
                              <w:t> </w:t>
                            </w:r>
                            <w:r>
                              <w:rPr>
                                <w:color w:val="231F1F"/>
                                <w:spacing w:val="-5"/>
                              </w:rPr>
                              <w:t>K?</w:t>
                            </w:r>
                          </w:p>
                        </w:txbxContent>
                      </wps:txbx>
                      <wps:bodyPr wrap="square" lIns="0" tIns="0" rIns="0" bIns="0" rtlCol="0">
                        <a:noAutofit/>
                      </wps:bodyPr>
                    </wps:wsp>
                  </a:graphicData>
                </a:graphic>
              </wp:anchor>
            </w:drawing>
          </mc:Choice>
          <mc:Fallback>
            <w:pict>
              <v:shape style="position:absolute;margin-left:85.25pt;margin-top:13.643652pt;width:425.2pt;height:20.65pt;mso-position-horizontal-relative:page;mso-position-vertical-relative:paragraph;z-index:-15697408;mso-wrap-distance-left:0;mso-wrap-distance-right:0" type="#_x0000_t202" id="docshape108" filled="false" stroked="true" strokeweight=".5pt" strokecolor="#a30046">
                <v:textbox inset="0,0,0,0">
                  <w:txbxContent>
                    <w:p>
                      <w:pPr>
                        <w:pStyle w:val="BodyText"/>
                        <w:numPr>
                          <w:ilvl w:val="0"/>
                          <w:numId w:val="63"/>
                        </w:numPr>
                        <w:tabs>
                          <w:tab w:pos="322" w:val="left" w:leader="none"/>
                        </w:tabs>
                        <w:spacing w:line="240" w:lineRule="auto" w:before="63" w:after="0"/>
                        <w:ind w:left="322" w:right="0" w:hanging="218"/>
                        <w:jc w:val="left"/>
                      </w:pPr>
                      <w:r>
                        <w:rPr>
                          <w:color w:val="231F1F"/>
                        </w:rPr>
                        <w:t>¿Cuál</w:t>
                      </w:r>
                      <w:r>
                        <w:rPr>
                          <w:color w:val="231F1F"/>
                          <w:spacing w:val="13"/>
                        </w:rPr>
                        <w:t> </w:t>
                      </w:r>
                      <w:r>
                        <w:rPr>
                          <w:color w:val="231F1F"/>
                        </w:rPr>
                        <w:t>es</w:t>
                      </w:r>
                      <w:r>
                        <w:rPr>
                          <w:color w:val="231F1F"/>
                          <w:spacing w:val="18"/>
                        </w:rPr>
                        <w:t> </w:t>
                      </w:r>
                      <w:r>
                        <w:rPr>
                          <w:color w:val="231F1F"/>
                        </w:rPr>
                        <w:t>la</w:t>
                      </w:r>
                      <w:r>
                        <w:rPr>
                          <w:color w:val="231F1F"/>
                          <w:spacing w:val="19"/>
                        </w:rPr>
                        <w:t> </w:t>
                      </w:r>
                      <w:r>
                        <w:rPr>
                          <w:color w:val="231F1F"/>
                        </w:rPr>
                        <w:t>relación</w:t>
                      </w:r>
                      <w:r>
                        <w:rPr>
                          <w:color w:val="231F1F"/>
                          <w:spacing w:val="21"/>
                        </w:rPr>
                        <w:t> </w:t>
                      </w:r>
                      <w:r>
                        <w:rPr>
                          <w:color w:val="231F1F"/>
                        </w:rPr>
                        <w:t>riesgo/beneficio</w:t>
                      </w:r>
                      <w:r>
                        <w:rPr>
                          <w:color w:val="231F1F"/>
                          <w:spacing w:val="21"/>
                        </w:rPr>
                        <w:t> </w:t>
                      </w:r>
                      <w:r>
                        <w:rPr>
                          <w:color w:val="231F1F"/>
                        </w:rPr>
                        <w:t>de</w:t>
                      </w:r>
                      <w:r>
                        <w:rPr>
                          <w:color w:val="231F1F"/>
                          <w:spacing w:val="19"/>
                        </w:rPr>
                        <w:t> </w:t>
                      </w:r>
                      <w:r>
                        <w:rPr>
                          <w:color w:val="231F1F"/>
                        </w:rPr>
                        <w:t>realizar</w:t>
                      </w:r>
                      <w:r>
                        <w:rPr>
                          <w:color w:val="231F1F"/>
                          <w:spacing w:val="19"/>
                        </w:rPr>
                        <w:t> </w:t>
                      </w:r>
                      <w:r>
                        <w:rPr>
                          <w:color w:val="231F1F"/>
                        </w:rPr>
                        <w:t>la</w:t>
                      </w:r>
                      <w:r>
                        <w:rPr>
                          <w:color w:val="231F1F"/>
                          <w:spacing w:val="19"/>
                        </w:rPr>
                        <w:t> </w:t>
                      </w:r>
                      <w:r>
                        <w:rPr>
                          <w:color w:val="231F1F"/>
                        </w:rPr>
                        <w:t>profilaxis</w:t>
                      </w:r>
                      <w:r>
                        <w:rPr>
                          <w:color w:val="231F1F"/>
                          <w:spacing w:val="19"/>
                        </w:rPr>
                        <w:t> </w:t>
                      </w:r>
                      <w:r>
                        <w:rPr>
                          <w:color w:val="231F1F"/>
                        </w:rPr>
                        <w:t>neonatal</w:t>
                      </w:r>
                      <w:r>
                        <w:rPr>
                          <w:color w:val="231F1F"/>
                          <w:spacing w:val="19"/>
                        </w:rPr>
                        <w:t> </w:t>
                      </w:r>
                      <w:r>
                        <w:rPr>
                          <w:color w:val="231F1F"/>
                        </w:rPr>
                        <w:t>con</w:t>
                      </w:r>
                      <w:r>
                        <w:rPr>
                          <w:color w:val="231F1F"/>
                          <w:spacing w:val="19"/>
                        </w:rPr>
                        <w:t> </w:t>
                      </w:r>
                      <w:r>
                        <w:rPr>
                          <w:color w:val="231F1F"/>
                        </w:rPr>
                        <w:t>vitamina</w:t>
                      </w:r>
                      <w:r>
                        <w:rPr>
                          <w:color w:val="231F1F"/>
                          <w:spacing w:val="19"/>
                        </w:rPr>
                        <w:t> </w:t>
                      </w:r>
                      <w:r>
                        <w:rPr>
                          <w:color w:val="231F1F"/>
                          <w:spacing w:val="-5"/>
                        </w:rPr>
                        <w:t>K?</w:t>
                      </w:r>
                    </w:p>
                  </w:txbxContent>
                </v:textbox>
                <v:stroke dashstyle="solid"/>
                <w10:wrap type="topAndBottom"/>
              </v:shape>
            </w:pict>
          </mc:Fallback>
        </mc:AlternateContent>
      </w:r>
    </w:p>
    <w:p>
      <w:pPr>
        <w:pStyle w:val="BodyText"/>
        <w:spacing w:line="244" w:lineRule="auto" w:before="265"/>
        <w:ind w:left="283" w:right="125"/>
        <w:jc w:val="both"/>
      </w:pPr>
      <w:r>
        <w:rPr>
          <w:color w:val="231F1F"/>
          <w:w w:val="110"/>
        </w:rPr>
        <w:t>Es</w:t>
      </w:r>
      <w:r>
        <w:rPr>
          <w:color w:val="231F1F"/>
          <w:spacing w:val="-16"/>
          <w:w w:val="110"/>
        </w:rPr>
        <w:t> </w:t>
      </w:r>
      <w:r>
        <w:rPr>
          <w:color w:val="231F1F"/>
          <w:w w:val="110"/>
        </w:rPr>
        <w:t>bien</w:t>
      </w:r>
      <w:r>
        <w:rPr>
          <w:color w:val="231F1F"/>
          <w:spacing w:val="-15"/>
          <w:w w:val="110"/>
        </w:rPr>
        <w:t> </w:t>
      </w:r>
      <w:r>
        <w:rPr>
          <w:color w:val="231F1F"/>
          <w:w w:val="110"/>
        </w:rPr>
        <w:t>conocido</w:t>
      </w:r>
      <w:r>
        <w:rPr>
          <w:color w:val="231F1F"/>
          <w:spacing w:val="-15"/>
          <w:w w:val="110"/>
        </w:rPr>
        <w:t> </w:t>
      </w:r>
      <w:r>
        <w:rPr>
          <w:color w:val="231F1F"/>
          <w:w w:val="110"/>
        </w:rPr>
        <w:t>el</w:t>
      </w:r>
      <w:r>
        <w:rPr>
          <w:color w:val="231F1F"/>
          <w:spacing w:val="-14"/>
          <w:w w:val="110"/>
        </w:rPr>
        <w:t> </w:t>
      </w:r>
      <w:r>
        <w:rPr>
          <w:color w:val="231F1F"/>
          <w:w w:val="110"/>
        </w:rPr>
        <w:t>riesgo</w:t>
      </w:r>
      <w:r>
        <w:rPr>
          <w:color w:val="231F1F"/>
          <w:spacing w:val="-15"/>
          <w:w w:val="110"/>
        </w:rPr>
        <w:t> </w:t>
      </w:r>
      <w:r>
        <w:rPr>
          <w:color w:val="231F1F"/>
          <w:w w:val="110"/>
        </w:rPr>
        <w:t>de</w:t>
      </w:r>
      <w:r>
        <w:rPr>
          <w:color w:val="231F1F"/>
          <w:spacing w:val="-15"/>
          <w:w w:val="110"/>
        </w:rPr>
        <w:t> </w:t>
      </w:r>
      <w:r>
        <w:rPr>
          <w:color w:val="231F1F"/>
          <w:w w:val="110"/>
        </w:rPr>
        <w:t>desarrollar</w:t>
      </w:r>
      <w:r>
        <w:rPr>
          <w:color w:val="231F1F"/>
          <w:spacing w:val="-15"/>
          <w:w w:val="110"/>
        </w:rPr>
        <w:t> </w:t>
      </w:r>
      <w:r>
        <w:rPr>
          <w:color w:val="231F1F"/>
          <w:w w:val="110"/>
        </w:rPr>
        <w:t>un</w:t>
      </w:r>
      <w:r>
        <w:rPr>
          <w:color w:val="231F1F"/>
          <w:spacing w:val="-15"/>
          <w:w w:val="110"/>
        </w:rPr>
        <w:t> </w:t>
      </w:r>
      <w:r>
        <w:rPr>
          <w:color w:val="231F1F"/>
          <w:w w:val="110"/>
        </w:rPr>
        <w:t>cuadro</w:t>
      </w:r>
      <w:r>
        <w:rPr>
          <w:color w:val="231F1F"/>
          <w:spacing w:val="-15"/>
          <w:w w:val="110"/>
        </w:rPr>
        <w:t> </w:t>
      </w:r>
      <w:r>
        <w:rPr>
          <w:color w:val="231F1F"/>
          <w:w w:val="110"/>
        </w:rPr>
        <w:t>hemorragico</w:t>
      </w:r>
      <w:r>
        <w:rPr>
          <w:color w:val="231F1F"/>
          <w:spacing w:val="-15"/>
          <w:w w:val="110"/>
        </w:rPr>
        <w:t> </w:t>
      </w:r>
      <w:r>
        <w:rPr>
          <w:color w:val="231F1F"/>
          <w:w w:val="110"/>
        </w:rPr>
        <w:t>por</w:t>
      </w:r>
      <w:r>
        <w:rPr>
          <w:color w:val="231F1F"/>
          <w:spacing w:val="-15"/>
          <w:w w:val="110"/>
        </w:rPr>
        <w:t> </w:t>
      </w:r>
      <w:r>
        <w:rPr>
          <w:color w:val="231F1F"/>
          <w:w w:val="110"/>
        </w:rPr>
        <w:t>déficit</w:t>
      </w:r>
      <w:r>
        <w:rPr>
          <w:color w:val="231F1F"/>
          <w:spacing w:val="-15"/>
          <w:w w:val="110"/>
        </w:rPr>
        <w:t> </w:t>
      </w:r>
      <w:r>
        <w:rPr>
          <w:color w:val="231F1F"/>
          <w:w w:val="110"/>
        </w:rPr>
        <w:t>de</w:t>
      </w:r>
      <w:r>
        <w:rPr>
          <w:color w:val="231F1F"/>
          <w:spacing w:val="-15"/>
          <w:w w:val="110"/>
        </w:rPr>
        <w:t> </w:t>
      </w:r>
      <w:r>
        <w:rPr>
          <w:color w:val="231F1F"/>
          <w:w w:val="110"/>
        </w:rPr>
        <w:t>vitamina</w:t>
      </w:r>
      <w:r>
        <w:rPr>
          <w:color w:val="231F1F"/>
          <w:spacing w:val="-15"/>
          <w:w w:val="110"/>
        </w:rPr>
        <w:t> </w:t>
      </w:r>
      <w:r>
        <w:rPr>
          <w:color w:val="231F1F"/>
          <w:w w:val="110"/>
        </w:rPr>
        <w:t>k (HDVK)</w:t>
      </w:r>
      <w:r>
        <w:rPr>
          <w:color w:val="231F1F"/>
          <w:spacing w:val="-3"/>
          <w:w w:val="110"/>
        </w:rPr>
        <w:t> </w:t>
      </w:r>
      <w:r>
        <w:rPr>
          <w:color w:val="231F1F"/>
          <w:w w:val="110"/>
        </w:rPr>
        <w:t>en</w:t>
      </w:r>
      <w:r>
        <w:rPr>
          <w:color w:val="231F1F"/>
          <w:spacing w:val="-3"/>
          <w:w w:val="110"/>
        </w:rPr>
        <w:t> </w:t>
      </w:r>
      <w:r>
        <w:rPr>
          <w:color w:val="231F1F"/>
          <w:w w:val="110"/>
        </w:rPr>
        <w:t>el</w:t>
      </w:r>
      <w:r>
        <w:rPr>
          <w:color w:val="231F1F"/>
          <w:spacing w:val="-4"/>
          <w:w w:val="110"/>
        </w:rPr>
        <w:t> </w:t>
      </w:r>
      <w:r>
        <w:rPr>
          <w:color w:val="231F1F"/>
          <w:w w:val="110"/>
        </w:rPr>
        <w:t>RN.</w:t>
      </w:r>
      <w:r>
        <w:rPr>
          <w:color w:val="231F1F"/>
          <w:spacing w:val="-4"/>
          <w:w w:val="110"/>
        </w:rPr>
        <w:t> </w:t>
      </w:r>
      <w:r>
        <w:rPr>
          <w:color w:val="231F1F"/>
          <w:w w:val="110"/>
        </w:rPr>
        <w:t>La</w:t>
      </w:r>
      <w:r>
        <w:rPr>
          <w:color w:val="231F1F"/>
          <w:spacing w:val="-3"/>
          <w:w w:val="110"/>
        </w:rPr>
        <w:t> </w:t>
      </w:r>
      <w:r>
        <w:rPr>
          <w:color w:val="231F1F"/>
          <w:w w:val="110"/>
        </w:rPr>
        <w:t>HDVK</w:t>
      </w:r>
      <w:r>
        <w:rPr>
          <w:color w:val="231F1F"/>
          <w:spacing w:val="-2"/>
          <w:w w:val="110"/>
        </w:rPr>
        <w:t> </w:t>
      </w:r>
      <w:r>
        <w:rPr>
          <w:color w:val="231F1F"/>
          <w:w w:val="110"/>
        </w:rPr>
        <w:t>puede</w:t>
      </w:r>
      <w:r>
        <w:rPr>
          <w:color w:val="231F1F"/>
          <w:spacing w:val="-3"/>
          <w:w w:val="110"/>
        </w:rPr>
        <w:t> </w:t>
      </w:r>
      <w:r>
        <w:rPr>
          <w:color w:val="231F1F"/>
          <w:w w:val="110"/>
        </w:rPr>
        <w:t>poner</w:t>
      </w:r>
      <w:r>
        <w:rPr>
          <w:color w:val="231F1F"/>
          <w:spacing w:val="-4"/>
          <w:w w:val="110"/>
        </w:rPr>
        <w:t> </w:t>
      </w:r>
      <w:r>
        <w:rPr>
          <w:color w:val="231F1F"/>
          <w:w w:val="110"/>
        </w:rPr>
        <w:t>en</w:t>
      </w:r>
      <w:r>
        <w:rPr>
          <w:color w:val="231F1F"/>
          <w:spacing w:val="-3"/>
          <w:w w:val="110"/>
        </w:rPr>
        <w:t> </w:t>
      </w:r>
      <w:r>
        <w:rPr>
          <w:color w:val="231F1F"/>
          <w:w w:val="110"/>
        </w:rPr>
        <w:t>riesgo</w:t>
      </w:r>
      <w:r>
        <w:rPr>
          <w:color w:val="231F1F"/>
          <w:spacing w:val="-3"/>
          <w:w w:val="110"/>
        </w:rPr>
        <w:t> </w:t>
      </w:r>
      <w:r>
        <w:rPr>
          <w:color w:val="231F1F"/>
          <w:w w:val="110"/>
        </w:rPr>
        <w:t>la</w:t>
      </w:r>
      <w:r>
        <w:rPr>
          <w:color w:val="231F1F"/>
          <w:spacing w:val="-3"/>
          <w:w w:val="110"/>
        </w:rPr>
        <w:t> </w:t>
      </w:r>
      <w:r>
        <w:rPr>
          <w:color w:val="231F1F"/>
          <w:w w:val="110"/>
        </w:rPr>
        <w:t>vida</w:t>
      </w:r>
      <w:r>
        <w:rPr>
          <w:color w:val="231F1F"/>
          <w:spacing w:val="-3"/>
          <w:w w:val="110"/>
        </w:rPr>
        <w:t> </w:t>
      </w:r>
      <w:r>
        <w:rPr>
          <w:color w:val="231F1F"/>
          <w:w w:val="110"/>
        </w:rPr>
        <w:t>del</w:t>
      </w:r>
      <w:r>
        <w:rPr>
          <w:color w:val="231F1F"/>
          <w:spacing w:val="-4"/>
          <w:w w:val="110"/>
        </w:rPr>
        <w:t> </w:t>
      </w:r>
      <w:r>
        <w:rPr>
          <w:color w:val="231F1F"/>
          <w:w w:val="110"/>
        </w:rPr>
        <w:t>niño</w:t>
      </w:r>
      <w:r>
        <w:rPr>
          <w:color w:val="231F1F"/>
          <w:spacing w:val="-3"/>
          <w:w w:val="110"/>
        </w:rPr>
        <w:t> </w:t>
      </w:r>
      <w:r>
        <w:rPr>
          <w:color w:val="231F1F"/>
          <w:w w:val="110"/>
        </w:rPr>
        <w:t>desde</w:t>
      </w:r>
      <w:r>
        <w:rPr>
          <w:color w:val="231F1F"/>
          <w:spacing w:val="-3"/>
          <w:w w:val="110"/>
        </w:rPr>
        <w:t> </w:t>
      </w:r>
      <w:r>
        <w:rPr>
          <w:color w:val="231F1F"/>
          <w:w w:val="110"/>
        </w:rPr>
        <w:t>las</w:t>
      </w:r>
      <w:r>
        <w:rPr>
          <w:color w:val="231F1F"/>
          <w:spacing w:val="-3"/>
          <w:w w:val="110"/>
        </w:rPr>
        <w:t> </w:t>
      </w:r>
      <w:r>
        <w:rPr>
          <w:color w:val="231F1F"/>
          <w:w w:val="110"/>
        </w:rPr>
        <w:t>primeras horas</w:t>
      </w:r>
      <w:r>
        <w:rPr>
          <w:color w:val="231F1F"/>
          <w:spacing w:val="-16"/>
          <w:w w:val="110"/>
        </w:rPr>
        <w:t> </w:t>
      </w:r>
      <w:r>
        <w:rPr>
          <w:color w:val="231F1F"/>
          <w:w w:val="110"/>
        </w:rPr>
        <w:t>de</w:t>
      </w:r>
      <w:r>
        <w:rPr>
          <w:color w:val="231F1F"/>
          <w:spacing w:val="-15"/>
          <w:w w:val="110"/>
        </w:rPr>
        <w:t> </w:t>
      </w:r>
      <w:r>
        <w:rPr>
          <w:color w:val="231F1F"/>
          <w:w w:val="110"/>
        </w:rPr>
        <w:t>vida</w:t>
      </w:r>
      <w:r>
        <w:rPr>
          <w:color w:val="231F1F"/>
          <w:spacing w:val="-15"/>
          <w:w w:val="110"/>
        </w:rPr>
        <w:t> </w:t>
      </w:r>
      <w:r>
        <w:rPr>
          <w:color w:val="231F1F"/>
          <w:w w:val="110"/>
        </w:rPr>
        <w:t>hasta</w:t>
      </w:r>
      <w:r>
        <w:rPr>
          <w:color w:val="231F1F"/>
          <w:spacing w:val="-15"/>
          <w:w w:val="110"/>
        </w:rPr>
        <w:t> </w:t>
      </w:r>
      <w:r>
        <w:rPr>
          <w:color w:val="231F1F"/>
          <w:w w:val="110"/>
        </w:rPr>
        <w:t>unos</w:t>
      </w:r>
      <w:r>
        <w:rPr>
          <w:color w:val="231F1F"/>
          <w:spacing w:val="-15"/>
          <w:w w:val="110"/>
        </w:rPr>
        <w:t> </w:t>
      </w:r>
      <w:r>
        <w:rPr>
          <w:color w:val="231F1F"/>
          <w:w w:val="110"/>
        </w:rPr>
        <w:t>meses</w:t>
      </w:r>
      <w:r>
        <w:rPr>
          <w:color w:val="231F1F"/>
          <w:spacing w:val="-15"/>
          <w:w w:val="110"/>
        </w:rPr>
        <w:t> </w:t>
      </w:r>
      <w:r>
        <w:rPr>
          <w:color w:val="231F1F"/>
          <w:w w:val="110"/>
        </w:rPr>
        <w:t>después</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6"/>
          <w:w w:val="110"/>
        </w:rPr>
        <w:t> </w:t>
      </w:r>
      <w:r>
        <w:rPr>
          <w:color w:val="231F1F"/>
          <w:w w:val="110"/>
        </w:rPr>
        <w:t>administración</w:t>
      </w:r>
      <w:r>
        <w:rPr>
          <w:color w:val="231F1F"/>
          <w:spacing w:val="-15"/>
          <w:w w:val="110"/>
        </w:rPr>
        <w:t> </w:t>
      </w:r>
      <w:r>
        <w:rPr>
          <w:color w:val="231F1F"/>
          <w:w w:val="110"/>
        </w:rPr>
        <w:t>de</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puede</w:t>
      </w:r>
      <w:r>
        <w:rPr>
          <w:color w:val="231F1F"/>
          <w:spacing w:val="-15"/>
          <w:w w:val="110"/>
        </w:rPr>
        <w:t> </w:t>
      </w:r>
      <w:r>
        <w:rPr>
          <w:color w:val="231F1F"/>
          <w:w w:val="110"/>
        </w:rPr>
        <w:t>prevenir esta enfermedad.</w:t>
      </w:r>
    </w:p>
    <w:p>
      <w:pPr>
        <w:pStyle w:val="BodyText"/>
        <w:spacing w:line="249" w:lineRule="auto" w:before="144"/>
        <w:ind w:left="283" w:right="124" w:firstLine="453"/>
        <w:jc w:val="both"/>
      </w:pPr>
      <w:r>
        <w:rPr>
          <w:color w:val="231F1F"/>
          <w:w w:val="110"/>
        </w:rPr>
        <w:t>En</w:t>
      </w:r>
      <w:r>
        <w:rPr>
          <w:color w:val="231F1F"/>
          <w:spacing w:val="-9"/>
          <w:w w:val="110"/>
        </w:rPr>
        <w:t> </w:t>
      </w:r>
      <w:r>
        <w:rPr>
          <w:color w:val="231F1F"/>
          <w:w w:val="110"/>
        </w:rPr>
        <w:t>diferentes</w:t>
      </w:r>
      <w:r>
        <w:rPr>
          <w:color w:val="231F1F"/>
          <w:spacing w:val="-10"/>
          <w:w w:val="110"/>
        </w:rPr>
        <w:t> </w:t>
      </w:r>
      <w:r>
        <w:rPr>
          <w:color w:val="231F1F"/>
          <w:w w:val="110"/>
        </w:rPr>
        <w:t>partes</w:t>
      </w:r>
      <w:r>
        <w:rPr>
          <w:color w:val="231F1F"/>
          <w:spacing w:val="-9"/>
          <w:w w:val="110"/>
        </w:rPr>
        <w:t> </w:t>
      </w:r>
      <w:r>
        <w:rPr>
          <w:color w:val="231F1F"/>
          <w:w w:val="110"/>
        </w:rPr>
        <w:t>del</w:t>
      </w:r>
      <w:r>
        <w:rPr>
          <w:color w:val="231F1F"/>
          <w:spacing w:val="-10"/>
          <w:w w:val="110"/>
        </w:rPr>
        <w:t> </w:t>
      </w:r>
      <w:r>
        <w:rPr>
          <w:color w:val="231F1F"/>
          <w:w w:val="110"/>
        </w:rPr>
        <w:t>mundo</w:t>
      </w:r>
      <w:r>
        <w:rPr>
          <w:color w:val="231F1F"/>
          <w:spacing w:val="-9"/>
          <w:w w:val="110"/>
        </w:rPr>
        <w:t> </w:t>
      </w:r>
      <w:r>
        <w:rPr>
          <w:color w:val="231F1F"/>
          <w:w w:val="110"/>
        </w:rPr>
        <w:t>se</w:t>
      </w:r>
      <w:r>
        <w:rPr>
          <w:color w:val="231F1F"/>
          <w:spacing w:val="-9"/>
          <w:w w:val="110"/>
        </w:rPr>
        <w:t> </w:t>
      </w:r>
      <w:r>
        <w:rPr>
          <w:color w:val="231F1F"/>
          <w:w w:val="110"/>
        </w:rPr>
        <w:t>han</w:t>
      </w:r>
      <w:r>
        <w:rPr>
          <w:color w:val="231F1F"/>
          <w:spacing w:val="-9"/>
          <w:w w:val="110"/>
        </w:rPr>
        <w:t> </w:t>
      </w:r>
      <w:r>
        <w:rPr>
          <w:color w:val="231F1F"/>
          <w:w w:val="110"/>
        </w:rPr>
        <w:t>utilizado</w:t>
      </w:r>
      <w:r>
        <w:rPr>
          <w:color w:val="231F1F"/>
          <w:spacing w:val="-9"/>
          <w:w w:val="110"/>
        </w:rPr>
        <w:t> </w:t>
      </w:r>
      <w:r>
        <w:rPr>
          <w:color w:val="231F1F"/>
          <w:w w:val="110"/>
        </w:rPr>
        <w:t>varios</w:t>
      </w:r>
      <w:r>
        <w:rPr>
          <w:color w:val="231F1F"/>
          <w:spacing w:val="-9"/>
          <w:w w:val="110"/>
        </w:rPr>
        <w:t> </w:t>
      </w:r>
      <w:r>
        <w:rPr>
          <w:color w:val="231F1F"/>
          <w:w w:val="110"/>
        </w:rPr>
        <w:t>métodos</w:t>
      </w:r>
      <w:r>
        <w:rPr>
          <w:color w:val="231F1F"/>
          <w:spacing w:val="-9"/>
          <w:w w:val="110"/>
        </w:rPr>
        <w:t> </w:t>
      </w:r>
      <w:r>
        <w:rPr>
          <w:color w:val="231F1F"/>
          <w:w w:val="110"/>
        </w:rPr>
        <w:t>de</w:t>
      </w:r>
      <w:r>
        <w:rPr>
          <w:color w:val="231F1F"/>
          <w:spacing w:val="-9"/>
          <w:w w:val="110"/>
        </w:rPr>
        <w:t> </w:t>
      </w:r>
      <w:r>
        <w:rPr>
          <w:color w:val="231F1F"/>
          <w:w w:val="110"/>
        </w:rPr>
        <w:t>profilaxis</w:t>
      </w:r>
      <w:r>
        <w:rPr>
          <w:color w:val="231F1F"/>
          <w:spacing w:val="-10"/>
          <w:w w:val="110"/>
        </w:rPr>
        <w:t> </w:t>
      </w:r>
      <w:r>
        <w:rPr>
          <w:color w:val="231F1F"/>
          <w:w w:val="110"/>
        </w:rPr>
        <w:t>con</w:t>
      </w:r>
      <w:r>
        <w:rPr>
          <w:color w:val="231F1F"/>
          <w:spacing w:val="-9"/>
          <w:w w:val="110"/>
        </w:rPr>
        <w:t> </w:t>
      </w:r>
      <w:r>
        <w:rPr>
          <w:color w:val="231F1F"/>
          <w:w w:val="110"/>
        </w:rPr>
        <w:t>vi- tamina</w:t>
      </w:r>
      <w:r>
        <w:rPr>
          <w:color w:val="231F1F"/>
          <w:spacing w:val="-16"/>
          <w:w w:val="110"/>
        </w:rPr>
        <w:t> </w:t>
      </w:r>
      <w:r>
        <w:rPr>
          <w:color w:val="231F1F"/>
          <w:w w:val="110"/>
        </w:rPr>
        <w:t>K.</w:t>
      </w:r>
      <w:r>
        <w:rPr>
          <w:color w:val="231F1F"/>
          <w:spacing w:val="-15"/>
          <w:w w:val="110"/>
        </w:rPr>
        <w:t> </w:t>
      </w:r>
      <w:r>
        <w:rPr>
          <w:color w:val="231F1F"/>
          <w:w w:val="110"/>
        </w:rPr>
        <w:t>Los</w:t>
      </w:r>
      <w:r>
        <w:rPr>
          <w:color w:val="231F1F"/>
          <w:spacing w:val="-15"/>
          <w:w w:val="110"/>
        </w:rPr>
        <w:t> </w:t>
      </w:r>
      <w:r>
        <w:rPr>
          <w:color w:val="231F1F"/>
          <w:w w:val="110"/>
        </w:rPr>
        <w:t>beneficios</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profilaxis</w:t>
      </w:r>
      <w:r>
        <w:rPr>
          <w:color w:val="231F1F"/>
          <w:spacing w:val="-15"/>
          <w:w w:val="110"/>
        </w:rPr>
        <w:t> </w:t>
      </w:r>
      <w:r>
        <w:rPr>
          <w:color w:val="231F1F"/>
          <w:w w:val="110"/>
        </w:rPr>
        <w:t>oral</w:t>
      </w:r>
      <w:r>
        <w:rPr>
          <w:color w:val="231F1F"/>
          <w:spacing w:val="-15"/>
          <w:w w:val="110"/>
        </w:rPr>
        <w:t> </w:t>
      </w:r>
      <w:r>
        <w:rPr>
          <w:color w:val="231F1F"/>
          <w:w w:val="110"/>
        </w:rPr>
        <w:t>radican</w:t>
      </w:r>
      <w:r>
        <w:rPr>
          <w:color w:val="231F1F"/>
          <w:spacing w:val="-16"/>
          <w:w w:val="110"/>
        </w:rPr>
        <w:t> </w:t>
      </w:r>
      <w:r>
        <w:rPr>
          <w:color w:val="231F1F"/>
          <w:w w:val="110"/>
        </w:rPr>
        <w:t>en</w:t>
      </w:r>
      <w:r>
        <w:rPr>
          <w:color w:val="231F1F"/>
          <w:spacing w:val="-15"/>
          <w:w w:val="110"/>
        </w:rPr>
        <w:t> </w:t>
      </w:r>
      <w:r>
        <w:rPr>
          <w:color w:val="231F1F"/>
          <w:w w:val="110"/>
        </w:rPr>
        <w:t>que</w:t>
      </w:r>
      <w:r>
        <w:rPr>
          <w:color w:val="231F1F"/>
          <w:spacing w:val="-15"/>
          <w:w w:val="110"/>
        </w:rPr>
        <w:t> </w:t>
      </w:r>
      <w:r>
        <w:rPr>
          <w:color w:val="231F1F"/>
          <w:w w:val="110"/>
        </w:rPr>
        <w:t>es</w:t>
      </w:r>
      <w:r>
        <w:rPr>
          <w:color w:val="231F1F"/>
          <w:spacing w:val="-15"/>
          <w:w w:val="110"/>
        </w:rPr>
        <w:t> </w:t>
      </w:r>
      <w:r>
        <w:rPr>
          <w:color w:val="231F1F"/>
          <w:w w:val="110"/>
        </w:rPr>
        <w:t>un</w:t>
      </w:r>
      <w:r>
        <w:rPr>
          <w:color w:val="231F1F"/>
          <w:spacing w:val="-15"/>
          <w:w w:val="110"/>
        </w:rPr>
        <w:t> </w:t>
      </w:r>
      <w:r>
        <w:rPr>
          <w:color w:val="231F1F"/>
          <w:w w:val="110"/>
        </w:rPr>
        <w:t>método</w:t>
      </w:r>
      <w:r>
        <w:rPr>
          <w:color w:val="231F1F"/>
          <w:spacing w:val="-15"/>
          <w:w w:val="110"/>
        </w:rPr>
        <w:t> </w:t>
      </w:r>
      <w:r>
        <w:rPr>
          <w:color w:val="231F1F"/>
          <w:w w:val="110"/>
        </w:rPr>
        <w:t>fácil</w:t>
      </w:r>
      <w:r>
        <w:rPr>
          <w:color w:val="231F1F"/>
          <w:spacing w:val="-15"/>
          <w:w w:val="110"/>
        </w:rPr>
        <w:t> </w:t>
      </w:r>
      <w:r>
        <w:rPr>
          <w:color w:val="231F1F"/>
          <w:w w:val="110"/>
        </w:rPr>
        <w:t>y</w:t>
      </w:r>
      <w:r>
        <w:rPr>
          <w:color w:val="231F1F"/>
          <w:spacing w:val="-15"/>
          <w:w w:val="110"/>
        </w:rPr>
        <w:t> </w:t>
      </w:r>
      <w:r>
        <w:rPr>
          <w:color w:val="231F1F"/>
          <w:w w:val="110"/>
        </w:rPr>
        <w:t>no</w:t>
      </w:r>
      <w:r>
        <w:rPr>
          <w:color w:val="231F1F"/>
          <w:spacing w:val="-16"/>
          <w:w w:val="110"/>
        </w:rPr>
        <w:t> </w:t>
      </w:r>
      <w:r>
        <w:rPr>
          <w:color w:val="231F1F"/>
          <w:w w:val="110"/>
        </w:rPr>
        <w:t>inva- </w:t>
      </w:r>
      <w:r>
        <w:rPr>
          <w:color w:val="231F1F"/>
          <w:spacing w:val="-2"/>
          <w:w w:val="110"/>
        </w:rPr>
        <w:t>sivo.</w:t>
      </w:r>
      <w:r>
        <w:rPr>
          <w:color w:val="231F1F"/>
          <w:spacing w:val="-8"/>
          <w:w w:val="110"/>
        </w:rPr>
        <w:t> </w:t>
      </w:r>
      <w:r>
        <w:rPr>
          <w:color w:val="231F1F"/>
          <w:spacing w:val="-2"/>
          <w:w w:val="110"/>
        </w:rPr>
        <w:t>La</w:t>
      </w:r>
      <w:r>
        <w:rPr>
          <w:color w:val="231F1F"/>
          <w:spacing w:val="-8"/>
          <w:w w:val="110"/>
        </w:rPr>
        <w:t> </w:t>
      </w:r>
      <w:r>
        <w:rPr>
          <w:color w:val="231F1F"/>
          <w:spacing w:val="-2"/>
          <w:w w:val="110"/>
        </w:rPr>
        <w:t>principal</w:t>
      </w:r>
      <w:r>
        <w:rPr>
          <w:color w:val="231F1F"/>
          <w:spacing w:val="-8"/>
          <w:w w:val="110"/>
        </w:rPr>
        <w:t> </w:t>
      </w:r>
      <w:r>
        <w:rPr>
          <w:color w:val="231F1F"/>
          <w:spacing w:val="-2"/>
          <w:w w:val="110"/>
        </w:rPr>
        <w:t>desventaja</w:t>
      </w:r>
      <w:r>
        <w:rPr>
          <w:color w:val="231F1F"/>
          <w:spacing w:val="-8"/>
          <w:w w:val="110"/>
        </w:rPr>
        <w:t> </w:t>
      </w:r>
      <w:r>
        <w:rPr>
          <w:color w:val="231F1F"/>
          <w:spacing w:val="-2"/>
          <w:w w:val="110"/>
        </w:rPr>
        <w:t>es</w:t>
      </w:r>
      <w:r>
        <w:rPr>
          <w:color w:val="231F1F"/>
          <w:spacing w:val="-8"/>
          <w:w w:val="110"/>
        </w:rPr>
        <w:t> </w:t>
      </w:r>
      <w:r>
        <w:rPr>
          <w:color w:val="231F1F"/>
          <w:spacing w:val="-2"/>
          <w:w w:val="110"/>
        </w:rPr>
        <w:t>la</w:t>
      </w:r>
      <w:r>
        <w:rPr>
          <w:color w:val="231F1F"/>
          <w:spacing w:val="-8"/>
          <w:w w:val="110"/>
        </w:rPr>
        <w:t> </w:t>
      </w:r>
      <w:r>
        <w:rPr>
          <w:color w:val="231F1F"/>
          <w:spacing w:val="-2"/>
          <w:w w:val="110"/>
        </w:rPr>
        <w:t>incertidumbre</w:t>
      </w:r>
      <w:r>
        <w:rPr>
          <w:color w:val="231F1F"/>
          <w:spacing w:val="-8"/>
          <w:w w:val="110"/>
        </w:rPr>
        <w:t> </w:t>
      </w:r>
      <w:r>
        <w:rPr>
          <w:color w:val="231F1F"/>
          <w:spacing w:val="-2"/>
          <w:w w:val="110"/>
        </w:rPr>
        <w:t>de</w:t>
      </w:r>
      <w:r>
        <w:rPr>
          <w:color w:val="231F1F"/>
          <w:spacing w:val="-8"/>
          <w:w w:val="110"/>
        </w:rPr>
        <w:t> </w:t>
      </w:r>
      <w:r>
        <w:rPr>
          <w:color w:val="231F1F"/>
          <w:spacing w:val="-2"/>
          <w:w w:val="110"/>
        </w:rPr>
        <w:t>la</w:t>
      </w:r>
      <w:r>
        <w:rPr>
          <w:color w:val="231F1F"/>
          <w:spacing w:val="-8"/>
          <w:w w:val="110"/>
        </w:rPr>
        <w:t> </w:t>
      </w:r>
      <w:r>
        <w:rPr>
          <w:color w:val="231F1F"/>
          <w:spacing w:val="-2"/>
          <w:w w:val="110"/>
        </w:rPr>
        <w:t>dosis</w:t>
      </w:r>
      <w:r>
        <w:rPr>
          <w:color w:val="231F1F"/>
          <w:spacing w:val="-8"/>
          <w:w w:val="110"/>
        </w:rPr>
        <w:t> </w:t>
      </w:r>
      <w:r>
        <w:rPr>
          <w:color w:val="231F1F"/>
          <w:spacing w:val="-2"/>
          <w:w w:val="110"/>
        </w:rPr>
        <w:t>absorbida,</w:t>
      </w:r>
      <w:r>
        <w:rPr>
          <w:color w:val="231F1F"/>
          <w:spacing w:val="-7"/>
          <w:w w:val="110"/>
        </w:rPr>
        <w:t> </w:t>
      </w:r>
      <w:r>
        <w:rPr>
          <w:color w:val="231F1F"/>
          <w:spacing w:val="-2"/>
          <w:w w:val="110"/>
        </w:rPr>
        <w:t>que</w:t>
      </w:r>
      <w:r>
        <w:rPr>
          <w:color w:val="231F1F"/>
          <w:spacing w:val="-8"/>
          <w:w w:val="110"/>
        </w:rPr>
        <w:t> </w:t>
      </w:r>
      <w:r>
        <w:rPr>
          <w:color w:val="231F1F"/>
          <w:spacing w:val="-2"/>
          <w:w w:val="110"/>
        </w:rPr>
        <w:t>también</w:t>
      </w:r>
      <w:r>
        <w:rPr>
          <w:color w:val="231F1F"/>
          <w:spacing w:val="-8"/>
          <w:w w:val="110"/>
        </w:rPr>
        <w:t> </w:t>
      </w:r>
      <w:r>
        <w:rPr>
          <w:color w:val="231F1F"/>
          <w:spacing w:val="-2"/>
          <w:w w:val="110"/>
        </w:rPr>
        <w:t>puede </w:t>
      </w:r>
      <w:r>
        <w:rPr>
          <w:color w:val="231F1F"/>
        </w:rPr>
        <w:t>verse afectada por los vómitos o la regurgitación. Además, al ser necesarias varias dosis, el </w:t>
      </w:r>
      <w:r>
        <w:rPr>
          <w:color w:val="231F1F"/>
          <w:w w:val="110"/>
        </w:rPr>
        <w:t>cumplimiento</w:t>
      </w:r>
      <w:r>
        <w:rPr>
          <w:color w:val="231F1F"/>
          <w:spacing w:val="-13"/>
          <w:w w:val="110"/>
        </w:rPr>
        <w:t> </w:t>
      </w:r>
      <w:r>
        <w:rPr>
          <w:color w:val="231F1F"/>
          <w:w w:val="110"/>
        </w:rPr>
        <w:t>puede</w:t>
      </w:r>
      <w:r>
        <w:rPr>
          <w:color w:val="231F1F"/>
          <w:spacing w:val="-12"/>
          <w:w w:val="110"/>
        </w:rPr>
        <w:t> </w:t>
      </w:r>
      <w:r>
        <w:rPr>
          <w:color w:val="231F1F"/>
          <w:w w:val="110"/>
        </w:rPr>
        <w:t>ser</w:t>
      </w:r>
      <w:r>
        <w:rPr>
          <w:color w:val="231F1F"/>
          <w:spacing w:val="-13"/>
          <w:w w:val="110"/>
        </w:rPr>
        <w:t> </w:t>
      </w:r>
      <w:r>
        <w:rPr>
          <w:color w:val="231F1F"/>
          <w:w w:val="110"/>
        </w:rPr>
        <w:t>un</w:t>
      </w:r>
      <w:r>
        <w:rPr>
          <w:color w:val="231F1F"/>
          <w:spacing w:val="-12"/>
          <w:w w:val="110"/>
        </w:rPr>
        <w:t> </w:t>
      </w:r>
      <w:r>
        <w:rPr>
          <w:color w:val="231F1F"/>
          <w:w w:val="110"/>
        </w:rPr>
        <w:t>problema</w:t>
      </w:r>
      <w:r>
        <w:rPr>
          <w:color w:val="231F1F"/>
          <w:spacing w:val="-12"/>
          <w:w w:val="110"/>
        </w:rPr>
        <w:t> </w:t>
      </w:r>
      <w:r>
        <w:rPr>
          <w:color w:val="231F1F"/>
          <w:w w:val="110"/>
        </w:rPr>
        <w:t>(255).</w:t>
      </w:r>
      <w:r>
        <w:rPr>
          <w:color w:val="231F1F"/>
          <w:spacing w:val="-12"/>
          <w:w w:val="110"/>
        </w:rPr>
        <w:t> </w:t>
      </w:r>
      <w:r>
        <w:rPr>
          <w:color w:val="231F1F"/>
          <w:w w:val="110"/>
        </w:rPr>
        <w:t>La</w:t>
      </w:r>
      <w:r>
        <w:rPr>
          <w:color w:val="231F1F"/>
          <w:spacing w:val="-12"/>
          <w:w w:val="110"/>
        </w:rPr>
        <w:t> </w:t>
      </w:r>
      <w:r>
        <w:rPr>
          <w:color w:val="231F1F"/>
          <w:w w:val="110"/>
        </w:rPr>
        <w:t>profilaxis</w:t>
      </w:r>
      <w:r>
        <w:rPr>
          <w:color w:val="231F1F"/>
          <w:spacing w:val="-13"/>
          <w:w w:val="110"/>
        </w:rPr>
        <w:t> </w:t>
      </w:r>
      <w:r>
        <w:rPr>
          <w:color w:val="231F1F"/>
          <w:w w:val="110"/>
        </w:rPr>
        <w:t>intramuscular</w:t>
      </w:r>
      <w:r>
        <w:rPr>
          <w:color w:val="231F1F"/>
          <w:spacing w:val="-12"/>
          <w:w w:val="110"/>
        </w:rPr>
        <w:t> </w:t>
      </w:r>
      <w:r>
        <w:rPr>
          <w:color w:val="231F1F"/>
          <w:w w:val="110"/>
        </w:rPr>
        <w:t>es</w:t>
      </w:r>
      <w:r>
        <w:rPr>
          <w:color w:val="231F1F"/>
          <w:spacing w:val="-12"/>
          <w:w w:val="110"/>
        </w:rPr>
        <w:t> </w:t>
      </w:r>
      <w:r>
        <w:rPr>
          <w:color w:val="231F1F"/>
          <w:w w:val="110"/>
        </w:rPr>
        <w:t>un</w:t>
      </w:r>
      <w:r>
        <w:rPr>
          <w:color w:val="231F1F"/>
          <w:spacing w:val="-12"/>
          <w:w w:val="110"/>
        </w:rPr>
        <w:t> </w:t>
      </w:r>
      <w:r>
        <w:rPr>
          <w:color w:val="231F1F"/>
          <w:w w:val="110"/>
        </w:rPr>
        <w:t>método</w:t>
      </w:r>
      <w:r>
        <w:rPr>
          <w:color w:val="231F1F"/>
          <w:spacing w:val="-12"/>
          <w:w w:val="110"/>
        </w:rPr>
        <w:t> </w:t>
      </w:r>
      <w:r>
        <w:rPr>
          <w:color w:val="231F1F"/>
          <w:w w:val="110"/>
        </w:rPr>
        <w:t>in- vasivo</w:t>
      </w:r>
      <w:r>
        <w:rPr>
          <w:color w:val="231F1F"/>
          <w:spacing w:val="-3"/>
          <w:w w:val="110"/>
        </w:rPr>
        <w:t> </w:t>
      </w:r>
      <w:r>
        <w:rPr>
          <w:color w:val="231F1F"/>
          <w:w w:val="110"/>
        </w:rPr>
        <w:t>que</w:t>
      </w:r>
      <w:r>
        <w:rPr>
          <w:color w:val="231F1F"/>
          <w:spacing w:val="-4"/>
          <w:w w:val="110"/>
        </w:rPr>
        <w:t> </w:t>
      </w:r>
      <w:r>
        <w:rPr>
          <w:color w:val="231F1F"/>
          <w:w w:val="110"/>
        </w:rPr>
        <w:t>puede</w:t>
      </w:r>
      <w:r>
        <w:rPr>
          <w:color w:val="231F1F"/>
          <w:spacing w:val="-4"/>
          <w:w w:val="110"/>
        </w:rPr>
        <w:t> </w:t>
      </w:r>
      <w:r>
        <w:rPr>
          <w:color w:val="231F1F"/>
          <w:w w:val="110"/>
        </w:rPr>
        <w:t>causar</w:t>
      </w:r>
      <w:r>
        <w:rPr>
          <w:color w:val="231F1F"/>
          <w:spacing w:val="-3"/>
          <w:w w:val="110"/>
        </w:rPr>
        <w:t> </w:t>
      </w:r>
      <w:r>
        <w:rPr>
          <w:color w:val="231F1F"/>
          <w:w w:val="110"/>
        </w:rPr>
        <w:t>dolor</w:t>
      </w:r>
      <w:r>
        <w:rPr>
          <w:color w:val="231F1F"/>
          <w:spacing w:val="-4"/>
          <w:w w:val="110"/>
        </w:rPr>
        <w:t> </w:t>
      </w:r>
      <w:r>
        <w:rPr>
          <w:color w:val="231F1F"/>
          <w:w w:val="110"/>
        </w:rPr>
        <w:t>y/o</w:t>
      </w:r>
      <w:r>
        <w:rPr>
          <w:color w:val="231F1F"/>
          <w:spacing w:val="-3"/>
          <w:w w:val="110"/>
        </w:rPr>
        <w:t> </w:t>
      </w:r>
      <w:r>
        <w:rPr>
          <w:color w:val="231F1F"/>
          <w:w w:val="110"/>
        </w:rPr>
        <w:t>generar</w:t>
      </w:r>
      <w:r>
        <w:rPr>
          <w:color w:val="231F1F"/>
          <w:spacing w:val="-4"/>
          <w:w w:val="110"/>
        </w:rPr>
        <w:t> </w:t>
      </w:r>
      <w:r>
        <w:rPr>
          <w:color w:val="231F1F"/>
          <w:w w:val="110"/>
        </w:rPr>
        <w:t>un</w:t>
      </w:r>
      <w:r>
        <w:rPr>
          <w:color w:val="231F1F"/>
          <w:spacing w:val="-3"/>
          <w:w w:val="110"/>
        </w:rPr>
        <w:t> </w:t>
      </w:r>
      <w:r>
        <w:rPr>
          <w:color w:val="231F1F"/>
          <w:w w:val="110"/>
        </w:rPr>
        <w:t>hematoma</w:t>
      </w:r>
      <w:r>
        <w:rPr>
          <w:color w:val="231F1F"/>
          <w:spacing w:val="-4"/>
          <w:w w:val="110"/>
        </w:rPr>
        <w:t> </w:t>
      </w:r>
      <w:r>
        <w:rPr>
          <w:color w:val="231F1F"/>
          <w:w w:val="110"/>
        </w:rPr>
        <w:t>en</w:t>
      </w:r>
      <w:r>
        <w:rPr>
          <w:color w:val="231F1F"/>
          <w:spacing w:val="-3"/>
          <w:w w:val="110"/>
        </w:rPr>
        <w:t> </w:t>
      </w:r>
      <w:r>
        <w:rPr>
          <w:color w:val="231F1F"/>
          <w:w w:val="110"/>
        </w:rPr>
        <w:t>el</w:t>
      </w:r>
      <w:r>
        <w:rPr>
          <w:color w:val="231F1F"/>
          <w:spacing w:val="-4"/>
          <w:w w:val="110"/>
        </w:rPr>
        <w:t> </w:t>
      </w:r>
      <w:r>
        <w:rPr>
          <w:color w:val="231F1F"/>
          <w:w w:val="110"/>
        </w:rPr>
        <w:t>lugar</w:t>
      </w:r>
      <w:r>
        <w:rPr>
          <w:color w:val="231F1F"/>
          <w:spacing w:val="-4"/>
          <w:w w:val="110"/>
        </w:rPr>
        <w:t> </w:t>
      </w:r>
      <w:r>
        <w:rPr>
          <w:color w:val="231F1F"/>
          <w:w w:val="110"/>
        </w:rPr>
        <w:t>de</w:t>
      </w:r>
      <w:r>
        <w:rPr>
          <w:color w:val="231F1F"/>
          <w:spacing w:val="-4"/>
          <w:w w:val="110"/>
        </w:rPr>
        <w:t> </w:t>
      </w:r>
      <w:r>
        <w:rPr>
          <w:color w:val="231F1F"/>
          <w:w w:val="110"/>
        </w:rPr>
        <w:t>la</w:t>
      </w:r>
      <w:r>
        <w:rPr>
          <w:color w:val="231F1F"/>
          <w:spacing w:val="-3"/>
          <w:w w:val="110"/>
        </w:rPr>
        <w:t> </w:t>
      </w:r>
      <w:r>
        <w:rPr>
          <w:color w:val="231F1F"/>
          <w:w w:val="110"/>
        </w:rPr>
        <w:t>inyección.</w:t>
      </w:r>
      <w:r>
        <w:rPr>
          <w:color w:val="231F1F"/>
          <w:spacing w:val="-4"/>
          <w:w w:val="110"/>
        </w:rPr>
        <w:t> </w:t>
      </w:r>
      <w:r>
        <w:rPr>
          <w:color w:val="231F1F"/>
          <w:w w:val="110"/>
        </w:rPr>
        <w:t>Por otro</w:t>
      </w:r>
      <w:r>
        <w:rPr>
          <w:color w:val="231F1F"/>
          <w:spacing w:val="-12"/>
          <w:w w:val="110"/>
        </w:rPr>
        <w:t> </w:t>
      </w:r>
      <w:r>
        <w:rPr>
          <w:color w:val="231F1F"/>
          <w:w w:val="110"/>
        </w:rPr>
        <w:t>lado</w:t>
      </w:r>
      <w:r>
        <w:rPr>
          <w:color w:val="231F1F"/>
          <w:spacing w:val="-12"/>
          <w:w w:val="110"/>
        </w:rPr>
        <w:t> </w:t>
      </w:r>
      <w:r>
        <w:rPr>
          <w:color w:val="231F1F"/>
          <w:w w:val="110"/>
        </w:rPr>
        <w:t>se</w:t>
      </w:r>
      <w:r>
        <w:rPr>
          <w:color w:val="231F1F"/>
          <w:spacing w:val="-12"/>
          <w:w w:val="110"/>
        </w:rPr>
        <w:t> </w:t>
      </w:r>
      <w:r>
        <w:rPr>
          <w:color w:val="231F1F"/>
          <w:w w:val="110"/>
        </w:rPr>
        <w:t>ha</w:t>
      </w:r>
      <w:r>
        <w:rPr>
          <w:color w:val="231F1F"/>
          <w:spacing w:val="-12"/>
          <w:w w:val="110"/>
        </w:rPr>
        <w:t> </w:t>
      </w:r>
      <w:r>
        <w:rPr>
          <w:color w:val="231F1F"/>
          <w:w w:val="110"/>
        </w:rPr>
        <w:t>comunicado</w:t>
      </w:r>
      <w:r>
        <w:rPr>
          <w:color w:val="231F1F"/>
          <w:spacing w:val="-12"/>
          <w:w w:val="110"/>
        </w:rPr>
        <w:t> </w:t>
      </w:r>
      <w:r>
        <w:rPr>
          <w:color w:val="231F1F"/>
          <w:w w:val="110"/>
        </w:rPr>
        <w:t>un</w:t>
      </w:r>
      <w:r>
        <w:rPr>
          <w:color w:val="231F1F"/>
          <w:spacing w:val="-12"/>
          <w:w w:val="110"/>
        </w:rPr>
        <w:t> </w:t>
      </w:r>
      <w:r>
        <w:rPr>
          <w:color w:val="231F1F"/>
          <w:w w:val="110"/>
        </w:rPr>
        <w:t>incremento</w:t>
      </w:r>
      <w:r>
        <w:rPr>
          <w:color w:val="231F1F"/>
          <w:spacing w:val="-12"/>
          <w:w w:val="110"/>
        </w:rPr>
        <w:t> </w:t>
      </w:r>
      <w:r>
        <w:rPr>
          <w:color w:val="231F1F"/>
          <w:w w:val="110"/>
        </w:rPr>
        <w:t>del</w:t>
      </w:r>
      <w:r>
        <w:rPr>
          <w:color w:val="231F1F"/>
          <w:spacing w:val="-13"/>
          <w:w w:val="110"/>
        </w:rPr>
        <w:t> </w:t>
      </w:r>
      <w:r>
        <w:rPr>
          <w:color w:val="231F1F"/>
          <w:w w:val="110"/>
        </w:rPr>
        <w:t>riesgo</w:t>
      </w:r>
      <w:r>
        <w:rPr>
          <w:color w:val="231F1F"/>
          <w:spacing w:val="-12"/>
          <w:w w:val="110"/>
        </w:rPr>
        <w:t> </w:t>
      </w:r>
      <w:r>
        <w:rPr>
          <w:color w:val="231F1F"/>
          <w:w w:val="110"/>
        </w:rPr>
        <w:t>de</w:t>
      </w:r>
      <w:r>
        <w:rPr>
          <w:color w:val="231F1F"/>
          <w:spacing w:val="-12"/>
          <w:w w:val="110"/>
        </w:rPr>
        <w:t> </w:t>
      </w:r>
      <w:r>
        <w:rPr>
          <w:color w:val="231F1F"/>
          <w:w w:val="110"/>
        </w:rPr>
        <w:t>desarrollo</w:t>
      </w:r>
      <w:r>
        <w:rPr>
          <w:color w:val="231F1F"/>
          <w:spacing w:val="-12"/>
          <w:w w:val="110"/>
        </w:rPr>
        <w:t> </w:t>
      </w:r>
      <w:r>
        <w:rPr>
          <w:color w:val="231F1F"/>
          <w:w w:val="110"/>
        </w:rPr>
        <w:t>de</w:t>
      </w:r>
      <w:r>
        <w:rPr>
          <w:color w:val="231F1F"/>
          <w:spacing w:val="-12"/>
          <w:w w:val="110"/>
        </w:rPr>
        <w:t> </w:t>
      </w:r>
      <w:r>
        <w:rPr>
          <w:color w:val="231F1F"/>
          <w:w w:val="110"/>
        </w:rPr>
        <w:t>cáncer</w:t>
      </w:r>
      <w:r>
        <w:rPr>
          <w:color w:val="231F1F"/>
          <w:spacing w:val="-12"/>
          <w:w w:val="110"/>
        </w:rPr>
        <w:t> </w:t>
      </w:r>
      <w:r>
        <w:rPr>
          <w:color w:val="231F1F"/>
          <w:w w:val="110"/>
        </w:rPr>
        <w:t>infantil</w:t>
      </w:r>
      <w:r>
        <w:rPr>
          <w:color w:val="231F1F"/>
          <w:spacing w:val="-13"/>
          <w:w w:val="110"/>
        </w:rPr>
        <w:t> </w:t>
      </w:r>
      <w:r>
        <w:rPr>
          <w:color w:val="231F1F"/>
          <w:w w:val="110"/>
        </w:rPr>
        <w:t>des- pués de la inyección intramuscular de vitamina K (256;257).</w:t>
      </w:r>
    </w:p>
    <w:p>
      <w:pPr>
        <w:pStyle w:val="BodyText"/>
        <w:spacing w:before="75"/>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5"/>
          <w:sz w:val="24"/>
        </w:rPr>
        <w:t> </w:t>
      </w:r>
      <w:r>
        <w:rPr>
          <w:rFonts w:ascii="Arial MT" w:hAnsi="Arial MT"/>
          <w:color w:val="231F1F"/>
          <w:spacing w:val="-2"/>
          <w:sz w:val="24"/>
        </w:rPr>
        <w:t>científica</w:t>
      </w:r>
    </w:p>
    <w:p>
      <w:pPr>
        <w:pStyle w:val="BodyText"/>
        <w:spacing w:before="224"/>
        <w:ind w:left="283"/>
        <w:jc w:val="both"/>
      </w:pPr>
      <w:r>
        <w:rPr>
          <w:color w:val="231F1F"/>
        </w:rPr>
        <w:t>La</w:t>
      </w:r>
      <w:r>
        <w:rPr>
          <w:color w:val="231F1F"/>
          <w:spacing w:val="9"/>
        </w:rPr>
        <w:t> </w:t>
      </w:r>
      <w:r>
        <w:rPr>
          <w:color w:val="231F1F"/>
        </w:rPr>
        <w:t>guía</w:t>
      </w:r>
      <w:r>
        <w:rPr>
          <w:color w:val="231F1F"/>
          <w:spacing w:val="9"/>
        </w:rPr>
        <w:t> </w:t>
      </w:r>
      <w:r>
        <w:rPr>
          <w:color w:val="231F1F"/>
        </w:rPr>
        <w:t>NICE</w:t>
      </w:r>
      <w:r>
        <w:rPr>
          <w:color w:val="231F1F"/>
          <w:spacing w:val="9"/>
        </w:rPr>
        <w:t> </w:t>
      </w:r>
      <w:r>
        <w:rPr>
          <w:color w:val="231F1F"/>
        </w:rPr>
        <w:t>(10)</w:t>
      </w:r>
      <w:r>
        <w:rPr>
          <w:color w:val="231F1F"/>
          <w:spacing w:val="11"/>
        </w:rPr>
        <w:t> </w:t>
      </w:r>
      <w:r>
        <w:rPr>
          <w:color w:val="231F1F"/>
        </w:rPr>
        <w:t>no</w:t>
      </w:r>
      <w:r>
        <w:rPr>
          <w:color w:val="231F1F"/>
          <w:spacing w:val="9"/>
        </w:rPr>
        <w:t> </w:t>
      </w:r>
      <w:r>
        <w:rPr>
          <w:color w:val="231F1F"/>
        </w:rPr>
        <w:t>aborda</w:t>
      </w:r>
      <w:r>
        <w:rPr>
          <w:color w:val="231F1F"/>
          <w:spacing w:val="10"/>
        </w:rPr>
        <w:t> </w:t>
      </w:r>
      <w:r>
        <w:rPr>
          <w:color w:val="231F1F"/>
        </w:rPr>
        <w:t>este</w:t>
      </w:r>
      <w:r>
        <w:rPr>
          <w:color w:val="231F1F"/>
          <w:spacing w:val="9"/>
        </w:rPr>
        <w:t> </w:t>
      </w:r>
      <w:r>
        <w:rPr>
          <w:color w:val="231F1F"/>
        </w:rPr>
        <w:t>punto.</w:t>
      </w:r>
      <w:r>
        <w:rPr>
          <w:color w:val="231F1F"/>
          <w:spacing w:val="11"/>
        </w:rPr>
        <w:t> </w:t>
      </w:r>
      <w:r>
        <w:rPr>
          <w:color w:val="231F1F"/>
        </w:rPr>
        <w:t>Sin</w:t>
      </w:r>
      <w:r>
        <w:rPr>
          <w:color w:val="231F1F"/>
          <w:spacing w:val="9"/>
        </w:rPr>
        <w:t> </w:t>
      </w:r>
      <w:r>
        <w:rPr>
          <w:color w:val="231F1F"/>
        </w:rPr>
        <w:t>embargo</w:t>
      </w:r>
      <w:r>
        <w:rPr>
          <w:color w:val="231F1F"/>
          <w:spacing w:val="9"/>
        </w:rPr>
        <w:t> </w:t>
      </w:r>
      <w:r>
        <w:rPr>
          <w:color w:val="231F1F"/>
        </w:rPr>
        <w:t>sí</w:t>
      </w:r>
      <w:r>
        <w:rPr>
          <w:color w:val="231F1F"/>
          <w:spacing w:val="10"/>
        </w:rPr>
        <w:t> </w:t>
      </w:r>
      <w:r>
        <w:rPr>
          <w:color w:val="231F1F"/>
        </w:rPr>
        <w:t>lo</w:t>
      </w:r>
      <w:r>
        <w:rPr>
          <w:color w:val="231F1F"/>
          <w:spacing w:val="11"/>
        </w:rPr>
        <w:t> </w:t>
      </w:r>
      <w:r>
        <w:rPr>
          <w:color w:val="231F1F"/>
        </w:rPr>
        <w:t>hace</w:t>
      </w:r>
      <w:r>
        <w:rPr>
          <w:color w:val="231F1F"/>
          <w:spacing w:val="9"/>
        </w:rPr>
        <w:t> </w:t>
      </w:r>
      <w:r>
        <w:rPr>
          <w:color w:val="231F1F"/>
        </w:rPr>
        <w:t>la</w:t>
      </w:r>
      <w:r>
        <w:rPr>
          <w:color w:val="231F1F"/>
          <w:spacing w:val="9"/>
        </w:rPr>
        <w:t> </w:t>
      </w:r>
      <w:r>
        <w:rPr>
          <w:color w:val="231F1F"/>
        </w:rPr>
        <w:t>guía</w:t>
      </w:r>
      <w:r>
        <w:rPr>
          <w:color w:val="231F1F"/>
          <w:spacing w:val="11"/>
        </w:rPr>
        <w:t> </w:t>
      </w:r>
      <w:r>
        <w:rPr>
          <w:color w:val="231F1F"/>
          <w:spacing w:val="-4"/>
        </w:rPr>
        <w:t>NICE</w:t>
      </w:r>
    </w:p>
    <w:p>
      <w:pPr>
        <w:pStyle w:val="BodyText"/>
        <w:spacing w:line="247" w:lineRule="auto" w:before="20"/>
        <w:ind w:left="283" w:right="1365"/>
        <w:jc w:val="both"/>
      </w:pPr>
      <w:r>
        <w:rPr>
          <w:color w:val="231F1F"/>
          <w:w w:val="105"/>
        </w:rPr>
        <w:t>«Postnatal Care» (227), publicada en julio de 2006 que además de tratar sobre la efectividad de la vitamina K pretende dilucidar la posible asociación entre</w:t>
      </w:r>
      <w:r>
        <w:rPr>
          <w:color w:val="231F1F"/>
          <w:spacing w:val="40"/>
          <w:w w:val="105"/>
        </w:rPr>
        <w:t> </w:t>
      </w:r>
      <w:r>
        <w:rPr>
          <w:color w:val="231F1F"/>
          <w:w w:val="105"/>
        </w:rPr>
        <w:t>la</w:t>
      </w:r>
      <w:r>
        <w:rPr>
          <w:color w:val="231F1F"/>
          <w:spacing w:val="40"/>
          <w:w w:val="105"/>
        </w:rPr>
        <w:t> </w:t>
      </w:r>
      <w:r>
        <w:rPr>
          <w:color w:val="231F1F"/>
          <w:w w:val="105"/>
        </w:rPr>
        <w:t>administración</w:t>
      </w:r>
      <w:r>
        <w:rPr>
          <w:color w:val="231F1F"/>
          <w:spacing w:val="40"/>
          <w:w w:val="105"/>
        </w:rPr>
        <w:t> </w:t>
      </w:r>
      <w:r>
        <w:rPr>
          <w:color w:val="231F1F"/>
          <w:w w:val="105"/>
        </w:rPr>
        <w:t>de</w:t>
      </w:r>
      <w:r>
        <w:rPr>
          <w:color w:val="231F1F"/>
          <w:spacing w:val="40"/>
          <w:w w:val="105"/>
        </w:rPr>
        <w:t> </w:t>
      </w:r>
      <w:r>
        <w:rPr>
          <w:color w:val="231F1F"/>
          <w:w w:val="105"/>
        </w:rPr>
        <w:t>vitamina</w:t>
      </w:r>
      <w:r>
        <w:rPr>
          <w:color w:val="231F1F"/>
          <w:spacing w:val="40"/>
          <w:w w:val="105"/>
        </w:rPr>
        <w:t> </w:t>
      </w:r>
      <w:r>
        <w:rPr>
          <w:color w:val="231F1F"/>
          <w:w w:val="105"/>
        </w:rPr>
        <w:t>K</w:t>
      </w:r>
      <w:r>
        <w:rPr>
          <w:color w:val="231F1F"/>
          <w:spacing w:val="40"/>
          <w:w w:val="105"/>
        </w:rPr>
        <w:t> </w:t>
      </w:r>
      <w:r>
        <w:rPr>
          <w:color w:val="231F1F"/>
          <w:w w:val="105"/>
        </w:rPr>
        <w:t>y</w:t>
      </w:r>
      <w:r>
        <w:rPr>
          <w:color w:val="231F1F"/>
          <w:spacing w:val="40"/>
          <w:w w:val="105"/>
        </w:rPr>
        <w:t> </w:t>
      </w:r>
      <w:r>
        <w:rPr>
          <w:color w:val="231F1F"/>
          <w:w w:val="105"/>
        </w:rPr>
        <w:t>desarrollo</w:t>
      </w:r>
      <w:r>
        <w:rPr>
          <w:color w:val="231F1F"/>
          <w:spacing w:val="40"/>
          <w:w w:val="105"/>
        </w:rPr>
        <w:t> </w:t>
      </w:r>
      <w:r>
        <w:rPr>
          <w:color w:val="231F1F"/>
          <w:w w:val="105"/>
        </w:rPr>
        <w:t>de</w:t>
      </w:r>
      <w:r>
        <w:rPr>
          <w:color w:val="231F1F"/>
          <w:spacing w:val="40"/>
          <w:w w:val="105"/>
        </w:rPr>
        <w:t> </w:t>
      </w:r>
      <w:r>
        <w:rPr>
          <w:color w:val="231F1F"/>
          <w:w w:val="105"/>
        </w:rPr>
        <w:t>cáncer</w:t>
      </w:r>
      <w:r>
        <w:rPr>
          <w:color w:val="231F1F"/>
          <w:spacing w:val="40"/>
          <w:w w:val="105"/>
        </w:rPr>
        <w:t> </w:t>
      </w:r>
      <w:r>
        <w:rPr>
          <w:color w:val="231F1F"/>
          <w:w w:val="105"/>
        </w:rPr>
        <w:t>en</w:t>
      </w:r>
      <w:r>
        <w:rPr>
          <w:color w:val="231F1F"/>
          <w:spacing w:val="40"/>
          <w:w w:val="105"/>
        </w:rPr>
        <w:t> </w:t>
      </w:r>
      <w:r>
        <w:rPr>
          <w:color w:val="231F1F"/>
          <w:w w:val="105"/>
        </w:rPr>
        <w:t>los</w:t>
      </w:r>
      <w:r>
        <w:rPr>
          <w:color w:val="231F1F"/>
          <w:spacing w:val="40"/>
          <w:w w:val="105"/>
        </w:rPr>
        <w:t> </w:t>
      </w:r>
      <w:r>
        <w:rPr>
          <w:color w:val="231F1F"/>
          <w:w w:val="105"/>
        </w:rPr>
        <w:t>niños.</w:t>
      </w:r>
    </w:p>
    <w:p>
      <w:pPr>
        <w:pStyle w:val="BodyText"/>
        <w:spacing w:line="244" w:lineRule="auto" w:before="160"/>
        <w:ind w:left="283" w:right="1371" w:firstLine="453"/>
        <w:jc w:val="both"/>
      </w:pPr>
      <w:r>
        <w:rPr>
          <w:color w:val="231F1F"/>
          <w:spacing w:val="-2"/>
          <w:w w:val="110"/>
        </w:rPr>
        <w:t>La</w:t>
      </w:r>
      <w:r>
        <w:rPr>
          <w:color w:val="231F1F"/>
          <w:spacing w:val="-12"/>
          <w:w w:val="110"/>
        </w:rPr>
        <w:t> </w:t>
      </w:r>
      <w:r>
        <w:rPr>
          <w:color w:val="231F1F"/>
          <w:spacing w:val="-2"/>
          <w:w w:val="110"/>
        </w:rPr>
        <w:t>evidencia</w:t>
      </w:r>
      <w:r>
        <w:rPr>
          <w:color w:val="231F1F"/>
          <w:spacing w:val="-12"/>
          <w:w w:val="110"/>
        </w:rPr>
        <w:t> </w:t>
      </w:r>
      <w:r>
        <w:rPr>
          <w:color w:val="231F1F"/>
          <w:spacing w:val="-2"/>
          <w:w w:val="110"/>
        </w:rPr>
        <w:t>disponible</w:t>
      </w:r>
      <w:r>
        <w:rPr>
          <w:color w:val="231F1F"/>
          <w:spacing w:val="-12"/>
          <w:w w:val="110"/>
        </w:rPr>
        <w:t> </w:t>
      </w:r>
      <w:r>
        <w:rPr>
          <w:color w:val="231F1F"/>
          <w:spacing w:val="-2"/>
          <w:w w:val="110"/>
        </w:rPr>
        <w:t>cuando</w:t>
      </w:r>
      <w:r>
        <w:rPr>
          <w:color w:val="231F1F"/>
          <w:spacing w:val="-12"/>
          <w:w w:val="110"/>
        </w:rPr>
        <w:t> </w:t>
      </w:r>
      <w:r>
        <w:rPr>
          <w:color w:val="231F1F"/>
          <w:spacing w:val="-2"/>
          <w:w w:val="110"/>
        </w:rPr>
        <w:t>se</w:t>
      </w:r>
      <w:r>
        <w:rPr>
          <w:color w:val="231F1F"/>
          <w:spacing w:val="-12"/>
          <w:w w:val="110"/>
        </w:rPr>
        <w:t> </w:t>
      </w:r>
      <w:r>
        <w:rPr>
          <w:color w:val="231F1F"/>
          <w:spacing w:val="-2"/>
          <w:w w:val="110"/>
        </w:rPr>
        <w:t>publicó</w:t>
      </w:r>
      <w:r>
        <w:rPr>
          <w:color w:val="231F1F"/>
          <w:spacing w:val="-12"/>
          <w:w w:val="110"/>
        </w:rPr>
        <w:t> </w:t>
      </w:r>
      <w:r>
        <w:rPr>
          <w:color w:val="231F1F"/>
          <w:spacing w:val="-2"/>
          <w:w w:val="110"/>
        </w:rPr>
        <w:t>esa</w:t>
      </w:r>
      <w:r>
        <w:rPr>
          <w:color w:val="231F1F"/>
          <w:spacing w:val="-12"/>
          <w:w w:val="110"/>
        </w:rPr>
        <w:t> </w:t>
      </w:r>
      <w:r>
        <w:rPr>
          <w:color w:val="231F1F"/>
          <w:spacing w:val="-2"/>
          <w:w w:val="110"/>
        </w:rPr>
        <w:t>guía</w:t>
      </w:r>
      <w:r>
        <w:rPr>
          <w:color w:val="231F1F"/>
          <w:spacing w:val="-12"/>
          <w:w w:val="110"/>
        </w:rPr>
        <w:t> </w:t>
      </w:r>
      <w:r>
        <w:rPr>
          <w:color w:val="231F1F"/>
          <w:spacing w:val="-2"/>
          <w:w w:val="110"/>
        </w:rPr>
        <w:t>era</w:t>
      </w:r>
      <w:r>
        <w:rPr>
          <w:color w:val="231F1F"/>
          <w:spacing w:val="-12"/>
          <w:w w:val="110"/>
        </w:rPr>
        <w:t> </w:t>
      </w:r>
      <w:r>
        <w:rPr>
          <w:color w:val="231F1F"/>
          <w:spacing w:val="-2"/>
          <w:w w:val="110"/>
        </w:rPr>
        <w:t>de</w:t>
      </w:r>
      <w:r>
        <w:rPr>
          <w:color w:val="231F1F"/>
          <w:spacing w:val="-12"/>
          <w:w w:val="110"/>
        </w:rPr>
        <w:t> </w:t>
      </w:r>
      <w:r>
        <w:rPr>
          <w:color w:val="231F1F"/>
          <w:spacing w:val="-2"/>
          <w:w w:val="110"/>
        </w:rPr>
        <w:t>calidad</w:t>
      </w:r>
      <w:r>
        <w:rPr>
          <w:color w:val="231F1F"/>
          <w:spacing w:val="-12"/>
          <w:w w:val="110"/>
        </w:rPr>
        <w:t> </w:t>
      </w:r>
      <w:r>
        <w:rPr>
          <w:color w:val="231F1F"/>
          <w:spacing w:val="-2"/>
          <w:w w:val="110"/>
        </w:rPr>
        <w:t>media </w:t>
      </w:r>
      <w:r>
        <w:rPr>
          <w:color w:val="231F1F"/>
          <w:w w:val="110"/>
        </w:rPr>
        <w:t>e</w:t>
      </w:r>
      <w:r>
        <w:rPr>
          <w:color w:val="231F1F"/>
          <w:spacing w:val="-16"/>
          <w:w w:val="110"/>
        </w:rPr>
        <w:t> </w:t>
      </w:r>
      <w:r>
        <w:rPr>
          <w:color w:val="231F1F"/>
          <w:w w:val="110"/>
        </w:rPr>
        <w:t>indica</w:t>
      </w:r>
      <w:r>
        <w:rPr>
          <w:color w:val="231F1F"/>
          <w:spacing w:val="-15"/>
          <w:w w:val="110"/>
        </w:rPr>
        <w:t> </w:t>
      </w:r>
      <w:r>
        <w:rPr>
          <w:color w:val="231F1F"/>
          <w:w w:val="110"/>
        </w:rPr>
        <w:t>que</w:t>
      </w:r>
      <w:r>
        <w:rPr>
          <w:color w:val="231F1F"/>
          <w:spacing w:val="-15"/>
          <w:w w:val="110"/>
        </w:rPr>
        <w:t> </w:t>
      </w:r>
      <w:r>
        <w:rPr>
          <w:color w:val="231F1F"/>
          <w:w w:val="110"/>
        </w:rPr>
        <w:t>la</w:t>
      </w:r>
      <w:r>
        <w:rPr>
          <w:color w:val="231F1F"/>
          <w:spacing w:val="-15"/>
          <w:w w:val="110"/>
        </w:rPr>
        <w:t> </w:t>
      </w:r>
      <w:r>
        <w:rPr>
          <w:color w:val="231F1F"/>
          <w:w w:val="110"/>
        </w:rPr>
        <w:t>profilaxis</w:t>
      </w:r>
      <w:r>
        <w:rPr>
          <w:color w:val="231F1F"/>
          <w:spacing w:val="-15"/>
          <w:w w:val="110"/>
        </w:rPr>
        <w:t> </w:t>
      </w:r>
      <w:r>
        <w:rPr>
          <w:color w:val="231F1F"/>
          <w:w w:val="110"/>
        </w:rPr>
        <w:t>con</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es</w:t>
      </w:r>
      <w:r>
        <w:rPr>
          <w:color w:val="231F1F"/>
          <w:spacing w:val="-16"/>
          <w:w w:val="110"/>
        </w:rPr>
        <w:t> </w:t>
      </w:r>
      <w:r>
        <w:rPr>
          <w:color w:val="231F1F"/>
          <w:w w:val="110"/>
        </w:rPr>
        <w:t>efectiva</w:t>
      </w:r>
      <w:r>
        <w:rPr>
          <w:color w:val="231F1F"/>
          <w:spacing w:val="-15"/>
          <w:w w:val="110"/>
        </w:rPr>
        <w:t> </w:t>
      </w:r>
      <w:r>
        <w:rPr>
          <w:color w:val="231F1F"/>
          <w:w w:val="110"/>
        </w:rPr>
        <w:t>y</w:t>
      </w:r>
      <w:r>
        <w:rPr>
          <w:color w:val="231F1F"/>
          <w:spacing w:val="-15"/>
          <w:w w:val="110"/>
        </w:rPr>
        <w:t> </w:t>
      </w:r>
      <w:r>
        <w:rPr>
          <w:color w:val="231F1F"/>
          <w:w w:val="110"/>
        </w:rPr>
        <w:t>previene</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5"/>
          <w:w w:val="110"/>
        </w:rPr>
        <w:t> </w:t>
      </w:r>
      <w:r>
        <w:rPr>
          <w:color w:val="231F1F"/>
          <w:w w:val="110"/>
        </w:rPr>
        <w:t>sig- nificativa</w:t>
      </w:r>
      <w:r>
        <w:rPr>
          <w:color w:val="231F1F"/>
          <w:spacing w:val="-5"/>
          <w:w w:val="110"/>
        </w:rPr>
        <w:t> </w:t>
      </w:r>
      <w:r>
        <w:rPr>
          <w:color w:val="231F1F"/>
          <w:w w:val="110"/>
        </w:rPr>
        <w:t>tanto</w:t>
      </w:r>
      <w:r>
        <w:rPr>
          <w:color w:val="231F1F"/>
          <w:spacing w:val="-5"/>
          <w:w w:val="110"/>
        </w:rPr>
        <w:t> </w:t>
      </w:r>
      <w:r>
        <w:rPr>
          <w:color w:val="231F1F"/>
          <w:w w:val="110"/>
        </w:rPr>
        <w:t>la</w:t>
      </w:r>
      <w:r>
        <w:rPr>
          <w:color w:val="231F1F"/>
          <w:spacing w:val="-5"/>
          <w:w w:val="110"/>
        </w:rPr>
        <w:t> </w:t>
      </w:r>
      <w:r>
        <w:rPr>
          <w:color w:val="231F1F"/>
          <w:w w:val="110"/>
        </w:rPr>
        <w:t>morbilidad</w:t>
      </w:r>
      <w:r>
        <w:rPr>
          <w:color w:val="231F1F"/>
          <w:spacing w:val="-5"/>
          <w:w w:val="110"/>
        </w:rPr>
        <w:t> </w:t>
      </w:r>
      <w:r>
        <w:rPr>
          <w:color w:val="231F1F"/>
          <w:w w:val="110"/>
        </w:rPr>
        <w:t>como</w:t>
      </w:r>
      <w:r>
        <w:rPr>
          <w:color w:val="231F1F"/>
          <w:spacing w:val="-5"/>
          <w:w w:val="110"/>
        </w:rPr>
        <w:t> </w:t>
      </w:r>
      <w:r>
        <w:rPr>
          <w:color w:val="231F1F"/>
          <w:w w:val="110"/>
        </w:rPr>
        <w:t>la</w:t>
      </w:r>
      <w:r>
        <w:rPr>
          <w:color w:val="231F1F"/>
          <w:spacing w:val="-5"/>
          <w:w w:val="110"/>
        </w:rPr>
        <w:t> </w:t>
      </w:r>
      <w:r>
        <w:rPr>
          <w:color w:val="231F1F"/>
          <w:w w:val="110"/>
        </w:rPr>
        <w:t>mortalidad</w:t>
      </w:r>
      <w:r>
        <w:rPr>
          <w:color w:val="231F1F"/>
          <w:spacing w:val="-5"/>
          <w:w w:val="110"/>
        </w:rPr>
        <w:t> </w:t>
      </w:r>
      <w:r>
        <w:rPr>
          <w:color w:val="231F1F"/>
          <w:w w:val="110"/>
        </w:rPr>
        <w:t>debido</w:t>
      </w:r>
      <w:r>
        <w:rPr>
          <w:color w:val="231F1F"/>
          <w:spacing w:val="-6"/>
          <w:w w:val="110"/>
        </w:rPr>
        <w:t> </w:t>
      </w:r>
      <w:r>
        <w:rPr>
          <w:color w:val="231F1F"/>
          <w:w w:val="110"/>
        </w:rPr>
        <w:t>a</w:t>
      </w:r>
      <w:r>
        <w:rPr>
          <w:color w:val="231F1F"/>
          <w:spacing w:val="-5"/>
          <w:w w:val="110"/>
        </w:rPr>
        <w:t> </w:t>
      </w:r>
      <w:r>
        <w:rPr>
          <w:color w:val="231F1F"/>
          <w:w w:val="110"/>
        </w:rPr>
        <w:t>la</w:t>
      </w:r>
      <w:r>
        <w:rPr>
          <w:color w:val="231F1F"/>
          <w:spacing w:val="-5"/>
          <w:w w:val="110"/>
        </w:rPr>
        <w:t> </w:t>
      </w:r>
      <w:r>
        <w:rPr>
          <w:color w:val="231F1F"/>
          <w:w w:val="110"/>
        </w:rPr>
        <w:t>HDVK</w:t>
      </w:r>
      <w:r>
        <w:rPr>
          <w:color w:val="231F1F"/>
          <w:spacing w:val="-5"/>
          <w:w w:val="110"/>
        </w:rPr>
        <w:t> </w:t>
      </w:r>
      <w:r>
        <w:rPr>
          <w:color w:val="231F1F"/>
          <w:w w:val="110"/>
        </w:rPr>
        <w:t>(258).</w:t>
      </w:r>
    </w:p>
    <w:p>
      <w:pPr>
        <w:pStyle w:val="BodyText"/>
        <w:spacing w:after="0" w:line="244" w:lineRule="auto"/>
        <w:jc w:val="both"/>
        <w:sectPr>
          <w:pgSz w:w="11900" w:h="16840"/>
          <w:pgMar w:header="0" w:footer="622" w:top="1560" w:bottom="820" w:left="1417" w:right="1559"/>
        </w:sectPr>
      </w:pPr>
    </w:p>
    <w:p>
      <w:pPr>
        <w:pStyle w:val="BodyText"/>
        <w:tabs>
          <w:tab w:pos="8114" w:val="left" w:leader="none"/>
        </w:tabs>
        <w:spacing w:line="242" w:lineRule="auto" w:before="73"/>
        <w:ind w:left="283" w:right="289" w:firstLine="453"/>
        <w:jc w:val="both"/>
        <w:rPr>
          <w:rFonts w:ascii="Arial MT" w:hAnsi="Arial MT"/>
          <w:position w:val="8"/>
          <w:sz w:val="18"/>
        </w:rPr>
      </w:pPr>
      <w:r>
        <w:rPr>
          <w:color w:val="231F1F"/>
          <w:w w:val="110"/>
        </w:rPr>
        <w:t>En</w:t>
      </w:r>
      <w:r>
        <w:rPr>
          <w:color w:val="231F1F"/>
          <w:spacing w:val="-16"/>
          <w:w w:val="110"/>
        </w:rPr>
        <w:t> </w:t>
      </w:r>
      <w:r>
        <w:rPr>
          <w:color w:val="231F1F"/>
          <w:w w:val="110"/>
        </w:rPr>
        <w:t>1992,</w:t>
      </w:r>
      <w:r>
        <w:rPr>
          <w:color w:val="231F1F"/>
          <w:spacing w:val="-15"/>
          <w:w w:val="110"/>
        </w:rPr>
        <w:t> </w:t>
      </w:r>
      <w:r>
        <w:rPr>
          <w:color w:val="231F1F"/>
          <w:w w:val="110"/>
        </w:rPr>
        <w:t>(257)</w:t>
      </w:r>
      <w:r>
        <w:rPr>
          <w:color w:val="231F1F"/>
          <w:spacing w:val="-15"/>
          <w:w w:val="110"/>
        </w:rPr>
        <w:t> </w:t>
      </w:r>
      <w:r>
        <w:rPr>
          <w:color w:val="231F1F"/>
          <w:w w:val="110"/>
        </w:rPr>
        <w:t>se</w:t>
      </w:r>
      <w:r>
        <w:rPr>
          <w:color w:val="231F1F"/>
          <w:spacing w:val="-15"/>
          <w:w w:val="110"/>
        </w:rPr>
        <w:t> </w:t>
      </w:r>
      <w:r>
        <w:rPr>
          <w:color w:val="231F1F"/>
          <w:w w:val="110"/>
        </w:rPr>
        <w:t>observó</w:t>
      </w:r>
      <w:r>
        <w:rPr>
          <w:color w:val="231F1F"/>
          <w:spacing w:val="-15"/>
          <w:w w:val="110"/>
        </w:rPr>
        <w:t> </w:t>
      </w:r>
      <w:r>
        <w:rPr>
          <w:color w:val="231F1F"/>
          <w:w w:val="110"/>
        </w:rPr>
        <w:t>una</w:t>
      </w:r>
      <w:r>
        <w:rPr>
          <w:color w:val="231F1F"/>
          <w:spacing w:val="-15"/>
          <w:w w:val="110"/>
        </w:rPr>
        <w:t> </w:t>
      </w:r>
      <w:r>
        <w:rPr>
          <w:color w:val="231F1F"/>
          <w:w w:val="110"/>
        </w:rPr>
        <w:t>asociación</w:t>
      </w:r>
      <w:r>
        <w:rPr>
          <w:color w:val="231F1F"/>
          <w:spacing w:val="-15"/>
          <w:w w:val="110"/>
        </w:rPr>
        <w:t> </w:t>
      </w:r>
      <w:r>
        <w:rPr>
          <w:color w:val="231F1F"/>
          <w:w w:val="110"/>
        </w:rPr>
        <w:t>entre</w:t>
      </w:r>
      <w:r>
        <w:rPr>
          <w:color w:val="231F1F"/>
          <w:spacing w:val="-15"/>
          <w:w w:val="110"/>
        </w:rPr>
        <w:t> </w:t>
      </w:r>
      <w:r>
        <w:rPr>
          <w:color w:val="231F1F"/>
          <w:w w:val="110"/>
        </w:rPr>
        <w:t>la</w:t>
      </w:r>
      <w:r>
        <w:rPr>
          <w:color w:val="231F1F"/>
          <w:spacing w:val="-16"/>
          <w:w w:val="110"/>
        </w:rPr>
        <w:t> </w:t>
      </w:r>
      <w:r>
        <w:rPr>
          <w:color w:val="231F1F"/>
          <w:w w:val="110"/>
        </w:rPr>
        <w:t>aparición</w:t>
      </w:r>
      <w:r>
        <w:rPr>
          <w:color w:val="231F1F"/>
          <w:spacing w:val="-15"/>
          <w:w w:val="110"/>
        </w:rPr>
        <w:t> </w:t>
      </w:r>
      <w:r>
        <w:rPr>
          <w:color w:val="231F1F"/>
          <w:w w:val="110"/>
        </w:rPr>
        <w:t>de</w:t>
      </w:r>
      <w:r>
        <w:rPr>
          <w:color w:val="231F1F"/>
          <w:spacing w:val="-15"/>
          <w:w w:val="110"/>
        </w:rPr>
        <w:t> </w:t>
      </w:r>
      <w:r>
        <w:rPr>
          <w:color w:val="231F1F"/>
          <w:w w:val="110"/>
        </w:rPr>
        <w:t>cáncer</w:t>
      </w:r>
      <w:r>
        <w:rPr>
          <w:color w:val="231F1F"/>
          <w:spacing w:val="-15"/>
          <w:w w:val="110"/>
        </w:rPr>
        <w:t> </w:t>
      </w:r>
      <w:r>
        <w:rPr>
          <w:color w:val="231F1F"/>
          <w:w w:val="110"/>
        </w:rPr>
        <w:t>y</w:t>
      </w:r>
      <w:r>
        <w:rPr>
          <w:color w:val="231F1F"/>
          <w:spacing w:val="-4"/>
          <w:w w:val="110"/>
        </w:rPr>
        <w:t> </w:t>
      </w:r>
      <w:r>
        <w:rPr>
          <w:rFonts w:ascii="Arial MT" w:hAnsi="Arial MT"/>
          <w:color w:val="231F1F"/>
          <w:w w:val="110"/>
          <w:sz w:val="18"/>
        </w:rPr>
        <w:t>E.</w:t>
      </w:r>
      <w:r>
        <w:rPr>
          <w:rFonts w:ascii="Arial MT" w:hAnsi="Arial MT"/>
          <w:color w:val="231F1F"/>
          <w:spacing w:val="-14"/>
          <w:w w:val="110"/>
          <w:sz w:val="18"/>
        </w:rPr>
        <w:t> </w:t>
      </w:r>
      <w:r>
        <w:rPr>
          <w:rFonts w:ascii="Arial MT" w:hAnsi="Arial MT"/>
          <w:color w:val="231F1F"/>
          <w:w w:val="110"/>
          <w:sz w:val="18"/>
        </w:rPr>
        <w:t>Observa- </w:t>
      </w:r>
      <w:r>
        <w:rPr>
          <w:color w:val="231F1F"/>
          <w:w w:val="110"/>
        </w:rPr>
        <w:t>la</w:t>
      </w:r>
      <w:r>
        <w:rPr>
          <w:color w:val="231F1F"/>
          <w:spacing w:val="-1"/>
          <w:w w:val="110"/>
        </w:rPr>
        <w:t> </w:t>
      </w:r>
      <w:r>
        <w:rPr>
          <w:color w:val="231F1F"/>
          <w:w w:val="110"/>
        </w:rPr>
        <w:t>administración</w:t>
      </w:r>
      <w:r>
        <w:rPr>
          <w:color w:val="231F1F"/>
          <w:spacing w:val="-1"/>
          <w:w w:val="110"/>
        </w:rPr>
        <w:t> </w:t>
      </w:r>
      <w:r>
        <w:rPr>
          <w:color w:val="231F1F"/>
          <w:w w:val="110"/>
        </w:rPr>
        <w:t>IM de</w:t>
      </w:r>
      <w:r>
        <w:rPr>
          <w:color w:val="231F1F"/>
          <w:spacing w:val="-1"/>
          <w:w w:val="110"/>
        </w:rPr>
        <w:t> </w:t>
      </w:r>
      <w:r>
        <w:rPr>
          <w:color w:val="231F1F"/>
          <w:w w:val="110"/>
        </w:rPr>
        <w:t>vitamina</w:t>
      </w:r>
      <w:r>
        <w:rPr>
          <w:color w:val="231F1F"/>
          <w:spacing w:val="-1"/>
          <w:w w:val="110"/>
        </w:rPr>
        <w:t> </w:t>
      </w:r>
      <w:r>
        <w:rPr>
          <w:color w:val="231F1F"/>
          <w:w w:val="110"/>
        </w:rPr>
        <w:t>K</w:t>
      </w:r>
      <w:r>
        <w:rPr>
          <w:color w:val="231F1F"/>
          <w:spacing w:val="-1"/>
          <w:w w:val="110"/>
        </w:rPr>
        <w:t> </w:t>
      </w:r>
      <w:r>
        <w:rPr>
          <w:color w:val="231F1F"/>
          <w:w w:val="110"/>
        </w:rPr>
        <w:t>(p=0,002),</w:t>
      </w:r>
      <w:r>
        <w:rPr>
          <w:color w:val="231F1F"/>
          <w:spacing w:val="-1"/>
          <w:w w:val="110"/>
        </w:rPr>
        <w:t> </w:t>
      </w:r>
      <w:r>
        <w:rPr>
          <w:color w:val="231F1F"/>
          <w:w w:val="110"/>
        </w:rPr>
        <w:t>OR</w:t>
      </w:r>
      <w:r>
        <w:rPr>
          <w:color w:val="231F1F"/>
          <w:spacing w:val="-1"/>
          <w:w w:val="110"/>
        </w:rPr>
        <w:t> </w:t>
      </w:r>
      <w:r>
        <w:rPr>
          <w:color w:val="231F1F"/>
          <w:w w:val="110"/>
        </w:rPr>
        <w:t>1,97</w:t>
      </w:r>
      <w:r>
        <w:rPr>
          <w:color w:val="231F1F"/>
          <w:spacing w:val="-1"/>
          <w:w w:val="110"/>
        </w:rPr>
        <w:t> </w:t>
      </w:r>
      <w:r>
        <w:rPr>
          <w:color w:val="231F1F"/>
          <w:w w:val="110"/>
        </w:rPr>
        <w:t>[IC</w:t>
      </w:r>
      <w:r>
        <w:rPr>
          <w:color w:val="231F1F"/>
          <w:spacing w:val="-1"/>
          <w:w w:val="110"/>
        </w:rPr>
        <w:t> </w:t>
      </w:r>
      <w:r>
        <w:rPr>
          <w:color w:val="231F1F"/>
          <w:w w:val="110"/>
        </w:rPr>
        <w:t>95% 1,3</w:t>
      </w:r>
      <w:r>
        <w:rPr>
          <w:color w:val="231F1F"/>
          <w:spacing w:val="-1"/>
          <w:w w:val="110"/>
        </w:rPr>
        <w:t> </w:t>
      </w:r>
      <w:r>
        <w:rPr>
          <w:color w:val="231F1F"/>
          <w:w w:val="110"/>
        </w:rPr>
        <w:t>a</w:t>
      </w:r>
      <w:r>
        <w:rPr>
          <w:color w:val="231F1F"/>
          <w:spacing w:val="-1"/>
          <w:w w:val="110"/>
        </w:rPr>
        <w:t> </w:t>
      </w:r>
      <w:r>
        <w:rPr>
          <w:color w:val="231F1F"/>
          <w:w w:val="110"/>
        </w:rPr>
        <w:t>3,0]</w:t>
      </w:r>
      <w:r>
        <w:rPr>
          <w:color w:val="231F1F"/>
          <w:spacing w:val="40"/>
          <w:w w:val="110"/>
        </w:rPr>
        <w:t>  </w:t>
      </w:r>
      <w:r>
        <w:rPr>
          <w:rFonts w:ascii="Arial MT" w:hAnsi="Arial MT"/>
          <w:color w:val="231F1F"/>
          <w:w w:val="110"/>
          <w:position w:val="4"/>
          <w:sz w:val="18"/>
        </w:rPr>
        <w:t>cionales </w:t>
      </w:r>
      <w:r>
        <w:rPr>
          <w:color w:val="231F1F"/>
          <w:w w:val="110"/>
        </w:rPr>
        <w:t>cuando se comparó con la vitamina K oral o su no administración.</w:t>
      </w:r>
      <w:r>
        <w:rPr>
          <w:color w:val="231F1F"/>
        </w:rPr>
        <w:tab/>
      </w:r>
      <w:r>
        <w:rPr>
          <w:rFonts w:ascii="Arial MT" w:hAnsi="Arial MT"/>
          <w:color w:val="231F1F"/>
          <w:spacing w:val="-6"/>
          <w:w w:val="110"/>
          <w:position w:val="8"/>
          <w:sz w:val="18"/>
        </w:rPr>
        <w:t>2+</w:t>
      </w:r>
    </w:p>
    <w:p>
      <w:pPr>
        <w:pStyle w:val="BodyText"/>
        <w:tabs>
          <w:tab w:pos="8114" w:val="left" w:leader="none"/>
        </w:tabs>
        <w:spacing w:line="242" w:lineRule="auto" w:before="103"/>
        <w:ind w:left="283" w:right="299" w:firstLine="453"/>
        <w:jc w:val="both"/>
        <w:rPr>
          <w:rFonts w:ascii="Arial MT" w:hAnsi="Arial MT"/>
          <w:position w:val="8"/>
          <w:sz w:val="18"/>
        </w:rPr>
      </w:pPr>
      <w:r>
        <w:rPr>
          <w:color w:val="231F1F"/>
          <w:w w:val="110"/>
        </w:rPr>
        <w:t>Sin</w:t>
      </w:r>
      <w:r>
        <w:rPr>
          <w:color w:val="231F1F"/>
          <w:spacing w:val="-16"/>
          <w:w w:val="110"/>
        </w:rPr>
        <w:t> </w:t>
      </w:r>
      <w:r>
        <w:rPr>
          <w:color w:val="231F1F"/>
          <w:w w:val="110"/>
        </w:rPr>
        <w:t>embargo,</w:t>
      </w:r>
      <w:r>
        <w:rPr>
          <w:color w:val="231F1F"/>
          <w:spacing w:val="-15"/>
          <w:w w:val="110"/>
        </w:rPr>
        <w:t> </w:t>
      </w:r>
      <w:r>
        <w:rPr>
          <w:color w:val="231F1F"/>
          <w:w w:val="110"/>
        </w:rPr>
        <w:t>estudios</w:t>
      </w:r>
      <w:r>
        <w:rPr>
          <w:color w:val="231F1F"/>
          <w:spacing w:val="-15"/>
          <w:w w:val="110"/>
        </w:rPr>
        <w:t> </w:t>
      </w:r>
      <w:r>
        <w:rPr>
          <w:color w:val="231F1F"/>
          <w:w w:val="110"/>
        </w:rPr>
        <w:t>posteriores</w:t>
      </w:r>
      <w:r>
        <w:rPr>
          <w:color w:val="231F1F"/>
          <w:spacing w:val="-15"/>
          <w:w w:val="110"/>
        </w:rPr>
        <w:t> </w:t>
      </w:r>
      <w:r>
        <w:rPr>
          <w:color w:val="231F1F"/>
          <w:w w:val="110"/>
        </w:rPr>
        <w:t>realizados</w:t>
      </w:r>
      <w:r>
        <w:rPr>
          <w:color w:val="231F1F"/>
          <w:spacing w:val="-15"/>
          <w:w w:val="110"/>
        </w:rPr>
        <w:t> </w:t>
      </w:r>
      <w:r>
        <w:rPr>
          <w:color w:val="231F1F"/>
          <w:w w:val="110"/>
        </w:rPr>
        <w:t>en</w:t>
      </w:r>
      <w:r>
        <w:rPr>
          <w:color w:val="231F1F"/>
          <w:spacing w:val="-15"/>
          <w:w w:val="110"/>
        </w:rPr>
        <w:t> </w:t>
      </w:r>
      <w:r>
        <w:rPr>
          <w:color w:val="231F1F"/>
          <w:w w:val="110"/>
        </w:rPr>
        <w:t>1998</w:t>
      </w:r>
      <w:r>
        <w:rPr>
          <w:color w:val="231F1F"/>
          <w:spacing w:val="-15"/>
          <w:w w:val="110"/>
        </w:rPr>
        <w:t> </w:t>
      </w:r>
      <w:r>
        <w:rPr>
          <w:color w:val="231F1F"/>
          <w:w w:val="110"/>
        </w:rPr>
        <w:t>por</w:t>
      </w:r>
      <w:r>
        <w:rPr>
          <w:color w:val="231F1F"/>
          <w:spacing w:val="-15"/>
          <w:w w:val="110"/>
        </w:rPr>
        <w:t> </w:t>
      </w:r>
      <w:r>
        <w:rPr>
          <w:color w:val="231F1F"/>
          <w:w w:val="110"/>
        </w:rPr>
        <w:t>otros</w:t>
      </w:r>
      <w:r>
        <w:rPr>
          <w:color w:val="231F1F"/>
          <w:spacing w:val="-16"/>
          <w:w w:val="110"/>
        </w:rPr>
        <w:t> </w:t>
      </w:r>
      <w:r>
        <w:rPr>
          <w:color w:val="231F1F"/>
          <w:w w:val="110"/>
        </w:rPr>
        <w:t>investi-</w:t>
      </w:r>
      <w:r>
        <w:rPr>
          <w:color w:val="231F1F"/>
          <w:spacing w:val="27"/>
          <w:w w:val="110"/>
        </w:rPr>
        <w:t> </w:t>
      </w:r>
      <w:r>
        <w:rPr>
          <w:rFonts w:ascii="Arial MT" w:hAnsi="Arial MT"/>
          <w:color w:val="231F1F"/>
          <w:w w:val="110"/>
          <w:sz w:val="18"/>
        </w:rPr>
        <w:t>E.</w:t>
      </w:r>
      <w:r>
        <w:rPr>
          <w:rFonts w:ascii="Arial MT" w:hAnsi="Arial MT"/>
          <w:color w:val="231F1F"/>
          <w:spacing w:val="-14"/>
          <w:w w:val="110"/>
          <w:sz w:val="18"/>
        </w:rPr>
        <w:t> </w:t>
      </w:r>
      <w:r>
        <w:rPr>
          <w:rFonts w:ascii="Arial MT" w:hAnsi="Arial MT"/>
          <w:color w:val="231F1F"/>
          <w:w w:val="110"/>
          <w:sz w:val="18"/>
        </w:rPr>
        <w:t>Observa- </w:t>
      </w:r>
      <w:r>
        <w:rPr>
          <w:color w:val="231F1F"/>
          <w:w w:val="110"/>
        </w:rPr>
        <w:t>gadores</w:t>
      </w:r>
      <w:r>
        <w:rPr>
          <w:color w:val="231F1F"/>
          <w:spacing w:val="-2"/>
          <w:w w:val="110"/>
        </w:rPr>
        <w:t> </w:t>
      </w:r>
      <w:r>
        <w:rPr>
          <w:color w:val="231F1F"/>
          <w:w w:val="110"/>
        </w:rPr>
        <w:t>no</w:t>
      </w:r>
      <w:r>
        <w:rPr>
          <w:color w:val="231F1F"/>
          <w:spacing w:val="-2"/>
          <w:w w:val="110"/>
        </w:rPr>
        <w:t> </w:t>
      </w:r>
      <w:r>
        <w:rPr>
          <w:color w:val="231F1F"/>
          <w:w w:val="110"/>
        </w:rPr>
        <w:t>apoyaron</w:t>
      </w:r>
      <w:r>
        <w:rPr>
          <w:color w:val="231F1F"/>
          <w:spacing w:val="-2"/>
          <w:w w:val="110"/>
        </w:rPr>
        <w:t> </w:t>
      </w:r>
      <w:r>
        <w:rPr>
          <w:color w:val="231F1F"/>
          <w:w w:val="110"/>
        </w:rPr>
        <w:t>esta</w:t>
      </w:r>
      <w:r>
        <w:rPr>
          <w:color w:val="231F1F"/>
          <w:spacing w:val="-2"/>
          <w:w w:val="110"/>
        </w:rPr>
        <w:t> </w:t>
      </w:r>
      <w:r>
        <w:rPr>
          <w:color w:val="231F1F"/>
          <w:w w:val="110"/>
        </w:rPr>
        <w:t>relación</w:t>
      </w:r>
      <w:r>
        <w:rPr>
          <w:color w:val="231F1F"/>
          <w:spacing w:val="-2"/>
          <w:w w:val="110"/>
        </w:rPr>
        <w:t> </w:t>
      </w:r>
      <w:r>
        <w:rPr>
          <w:color w:val="231F1F"/>
          <w:w w:val="110"/>
        </w:rPr>
        <w:t>entre</w:t>
      </w:r>
      <w:r>
        <w:rPr>
          <w:color w:val="231F1F"/>
          <w:spacing w:val="-2"/>
          <w:w w:val="110"/>
        </w:rPr>
        <w:t> </w:t>
      </w:r>
      <w:r>
        <w:rPr>
          <w:color w:val="231F1F"/>
          <w:w w:val="110"/>
        </w:rPr>
        <w:t>cáncer</w:t>
      </w:r>
      <w:r>
        <w:rPr>
          <w:color w:val="231F1F"/>
          <w:spacing w:val="-2"/>
          <w:w w:val="110"/>
        </w:rPr>
        <w:t> </w:t>
      </w:r>
      <w:r>
        <w:rPr>
          <w:color w:val="231F1F"/>
          <w:w w:val="110"/>
        </w:rPr>
        <w:t>y</w:t>
      </w:r>
      <w:r>
        <w:rPr>
          <w:color w:val="231F1F"/>
          <w:spacing w:val="-2"/>
          <w:w w:val="110"/>
        </w:rPr>
        <w:t> </w:t>
      </w:r>
      <w:r>
        <w:rPr>
          <w:color w:val="231F1F"/>
          <w:w w:val="110"/>
        </w:rPr>
        <w:t>administración</w:t>
      </w:r>
      <w:r>
        <w:rPr>
          <w:color w:val="231F1F"/>
          <w:spacing w:val="-2"/>
          <w:w w:val="110"/>
        </w:rPr>
        <w:t> </w:t>
      </w:r>
      <w:r>
        <w:rPr>
          <w:color w:val="231F1F"/>
          <w:w w:val="110"/>
        </w:rPr>
        <w:t>IM</w:t>
      </w:r>
      <w:r>
        <w:rPr>
          <w:color w:val="231F1F"/>
          <w:spacing w:val="-1"/>
          <w:w w:val="110"/>
        </w:rPr>
        <w:t> </w:t>
      </w:r>
      <w:r>
        <w:rPr>
          <w:color w:val="231F1F"/>
          <w:w w:val="110"/>
        </w:rPr>
        <w:t>de</w:t>
      </w:r>
      <w:r>
        <w:rPr>
          <w:color w:val="231F1F"/>
          <w:spacing w:val="-2"/>
          <w:w w:val="110"/>
        </w:rPr>
        <w:t> </w:t>
      </w:r>
      <w:r>
        <w:rPr>
          <w:color w:val="231F1F"/>
          <w:w w:val="110"/>
        </w:rPr>
        <w:t>vita-</w:t>
      </w:r>
      <w:r>
        <w:rPr>
          <w:color w:val="231F1F"/>
          <w:spacing w:val="80"/>
          <w:w w:val="150"/>
        </w:rPr>
        <w:t> </w:t>
      </w:r>
      <w:r>
        <w:rPr>
          <w:rFonts w:ascii="Arial MT" w:hAnsi="Arial MT"/>
          <w:color w:val="231F1F"/>
          <w:w w:val="110"/>
          <w:position w:val="4"/>
          <w:sz w:val="18"/>
        </w:rPr>
        <w:t>cionales </w:t>
      </w:r>
      <w:r>
        <w:rPr>
          <w:color w:val="231F1F"/>
          <w:w w:val="110"/>
        </w:rPr>
        <w:t>mina K (259).</w:t>
      </w:r>
      <w:r>
        <w:rPr>
          <w:color w:val="231F1F"/>
        </w:rPr>
        <w:tab/>
      </w:r>
      <w:r>
        <w:rPr>
          <w:rFonts w:ascii="Arial MT" w:hAnsi="Arial MT"/>
          <w:color w:val="231F1F"/>
          <w:spacing w:val="-6"/>
          <w:w w:val="110"/>
          <w:position w:val="8"/>
          <w:sz w:val="18"/>
        </w:rPr>
        <w:t>2+</w:t>
      </w:r>
    </w:p>
    <w:p>
      <w:pPr>
        <w:pStyle w:val="BodyText"/>
        <w:spacing w:before="99"/>
        <w:ind w:left="736"/>
        <w:jc w:val="both"/>
        <w:rPr>
          <w:rFonts w:ascii="Arial MT" w:hAnsi="Arial MT"/>
          <w:sz w:val="18"/>
        </w:rPr>
      </w:pPr>
      <w:r>
        <w:rPr>
          <w:color w:val="231F1F"/>
          <w:w w:val="110"/>
        </w:rPr>
        <w:t>Un</w:t>
      </w:r>
      <w:r>
        <w:rPr>
          <w:color w:val="231F1F"/>
          <w:spacing w:val="-8"/>
          <w:w w:val="110"/>
        </w:rPr>
        <w:t> </w:t>
      </w:r>
      <w:r>
        <w:rPr>
          <w:color w:val="231F1F"/>
          <w:w w:val="110"/>
        </w:rPr>
        <w:t>estudio</w:t>
      </w:r>
      <w:r>
        <w:rPr>
          <w:color w:val="231F1F"/>
          <w:spacing w:val="-5"/>
          <w:w w:val="110"/>
        </w:rPr>
        <w:t> </w:t>
      </w:r>
      <w:r>
        <w:rPr>
          <w:color w:val="231F1F"/>
          <w:w w:val="110"/>
        </w:rPr>
        <w:t>más</w:t>
      </w:r>
      <w:r>
        <w:rPr>
          <w:color w:val="231F1F"/>
          <w:spacing w:val="-5"/>
          <w:w w:val="110"/>
        </w:rPr>
        <w:t> </w:t>
      </w:r>
      <w:r>
        <w:rPr>
          <w:color w:val="231F1F"/>
          <w:w w:val="110"/>
        </w:rPr>
        <w:t>reciente</w:t>
      </w:r>
      <w:r>
        <w:rPr>
          <w:color w:val="231F1F"/>
          <w:spacing w:val="-5"/>
          <w:w w:val="110"/>
        </w:rPr>
        <w:t> </w:t>
      </w:r>
      <w:r>
        <w:rPr>
          <w:color w:val="231F1F"/>
          <w:w w:val="110"/>
        </w:rPr>
        <w:t>más</w:t>
      </w:r>
      <w:r>
        <w:rPr>
          <w:color w:val="231F1F"/>
          <w:spacing w:val="-4"/>
          <w:w w:val="110"/>
        </w:rPr>
        <w:t> </w:t>
      </w:r>
      <w:r>
        <w:rPr>
          <w:color w:val="231F1F"/>
          <w:w w:val="110"/>
        </w:rPr>
        <w:t>reciente</w:t>
      </w:r>
      <w:r>
        <w:rPr>
          <w:color w:val="231F1F"/>
          <w:spacing w:val="-5"/>
          <w:w w:val="110"/>
        </w:rPr>
        <w:t> </w:t>
      </w:r>
      <w:r>
        <w:rPr>
          <w:color w:val="231F1F"/>
          <w:w w:val="110"/>
        </w:rPr>
        <w:t>realizado</w:t>
      </w:r>
      <w:r>
        <w:rPr>
          <w:color w:val="231F1F"/>
          <w:spacing w:val="-5"/>
          <w:w w:val="110"/>
        </w:rPr>
        <w:t> </w:t>
      </w:r>
      <w:r>
        <w:rPr>
          <w:color w:val="231F1F"/>
          <w:w w:val="110"/>
        </w:rPr>
        <w:t>en</w:t>
      </w:r>
      <w:r>
        <w:rPr>
          <w:color w:val="231F1F"/>
          <w:spacing w:val="-5"/>
          <w:w w:val="110"/>
        </w:rPr>
        <w:t> </w:t>
      </w:r>
      <w:r>
        <w:rPr>
          <w:color w:val="231F1F"/>
          <w:w w:val="110"/>
        </w:rPr>
        <w:t>2002</w:t>
      </w:r>
      <w:r>
        <w:rPr>
          <w:color w:val="231F1F"/>
          <w:spacing w:val="-5"/>
          <w:w w:val="110"/>
        </w:rPr>
        <w:t> </w:t>
      </w:r>
      <w:r>
        <w:rPr>
          <w:color w:val="231F1F"/>
          <w:w w:val="110"/>
        </w:rPr>
        <w:t>(260)</w:t>
      </w:r>
      <w:r>
        <w:rPr>
          <w:color w:val="231F1F"/>
          <w:spacing w:val="-4"/>
          <w:w w:val="110"/>
        </w:rPr>
        <w:t> </w:t>
      </w:r>
      <w:r>
        <w:rPr>
          <w:color w:val="231F1F"/>
          <w:w w:val="110"/>
        </w:rPr>
        <w:t>analizó</w:t>
      </w:r>
      <w:r>
        <w:rPr>
          <w:color w:val="231F1F"/>
          <w:spacing w:val="59"/>
          <w:w w:val="150"/>
        </w:rPr>
        <w:t> </w:t>
      </w:r>
      <w:r>
        <w:rPr>
          <w:rFonts w:ascii="Arial MT" w:hAnsi="Arial MT"/>
          <w:color w:val="231F1F"/>
          <w:w w:val="110"/>
          <w:sz w:val="18"/>
        </w:rPr>
        <w:t>E.</w:t>
      </w:r>
      <w:r>
        <w:rPr>
          <w:rFonts w:ascii="Arial MT" w:hAnsi="Arial MT"/>
          <w:color w:val="231F1F"/>
          <w:spacing w:val="-14"/>
          <w:w w:val="110"/>
          <w:sz w:val="18"/>
        </w:rPr>
        <w:t> </w:t>
      </w:r>
      <w:r>
        <w:rPr>
          <w:rFonts w:ascii="Arial MT" w:hAnsi="Arial MT"/>
          <w:color w:val="231F1F"/>
          <w:spacing w:val="-2"/>
          <w:w w:val="110"/>
          <w:sz w:val="18"/>
        </w:rPr>
        <w:t>Observa-</w:t>
      </w:r>
    </w:p>
    <w:p>
      <w:pPr>
        <w:pStyle w:val="BodyText"/>
        <w:tabs>
          <w:tab w:pos="7872" w:val="left" w:leader="none"/>
          <w:tab w:pos="8114" w:val="left" w:leader="none"/>
        </w:tabs>
        <w:spacing w:line="249" w:lineRule="auto" w:before="17"/>
        <w:ind w:left="283" w:right="339"/>
      </w:pPr>
      <w:r>
        <w:rPr>
          <w:color w:val="231F1F"/>
          <w:w w:val="110"/>
        </w:rPr>
        <w:t>2.431 niños que desarrollaron cáncer antes de los 15 años de edad con 6.338</w:t>
      </w:r>
      <w:r>
        <w:rPr>
          <w:color w:val="231F1F"/>
        </w:rPr>
        <w:tab/>
      </w:r>
      <w:r>
        <w:rPr>
          <w:rFonts w:ascii="Arial MT" w:hAnsi="Arial MT"/>
          <w:color w:val="231F1F"/>
          <w:spacing w:val="-4"/>
          <w:w w:val="110"/>
          <w:position w:val="4"/>
          <w:sz w:val="18"/>
        </w:rPr>
        <w:t>cionale</w:t>
      </w:r>
      <w:r>
        <w:rPr>
          <w:rFonts w:ascii="Arial MT" w:hAnsi="Arial MT"/>
          <w:color w:val="231F1F"/>
          <w:spacing w:val="-4"/>
          <w:w w:val="110"/>
          <w:position w:val="4"/>
          <w:sz w:val="18"/>
        </w:rPr>
        <w:t>s</w:t>
      </w:r>
      <w:r>
        <w:rPr>
          <w:rFonts w:ascii="Arial MT" w:hAnsi="Arial MT"/>
          <w:color w:val="231F1F"/>
          <w:spacing w:val="-4"/>
          <w:w w:val="110"/>
          <w:position w:val="4"/>
          <w:sz w:val="18"/>
        </w:rPr>
        <w:t> </w:t>
      </w:r>
      <w:r>
        <w:rPr>
          <w:color w:val="231F1F"/>
          <w:w w:val="110"/>
        </w:rPr>
        <w:t>controles pareados por sexo y edad, pero no por lugar de nacimiento. El es-</w:t>
      </w:r>
      <w:r>
        <w:rPr>
          <w:color w:val="231F1F"/>
        </w:rPr>
        <w:tab/>
        <w:tab/>
      </w:r>
      <w:r>
        <w:rPr>
          <w:rFonts w:ascii="Arial MT" w:hAnsi="Arial MT"/>
          <w:color w:val="231F1F"/>
          <w:spacing w:val="-6"/>
          <w:w w:val="110"/>
          <w:position w:val="8"/>
          <w:sz w:val="18"/>
        </w:rPr>
        <w:t>2+ </w:t>
      </w:r>
      <w:r>
        <w:rPr>
          <w:color w:val="231F1F"/>
          <w:w w:val="110"/>
        </w:rPr>
        <w:t>tudio confirmó que los tumores sólidos no fueron más comunes en niños que recibieron vitamina K IM al nacimiento, si bien, la situación respecto a las</w:t>
      </w:r>
    </w:p>
    <w:p>
      <w:pPr>
        <w:pStyle w:val="BodyText"/>
        <w:spacing w:before="3"/>
        <w:ind w:left="283"/>
      </w:pPr>
      <w:r>
        <w:rPr>
          <w:color w:val="231F1F"/>
          <w:w w:val="110"/>
        </w:rPr>
        <w:t>leucemias</w:t>
      </w:r>
      <w:r>
        <w:rPr>
          <w:color w:val="231F1F"/>
          <w:spacing w:val="3"/>
          <w:w w:val="110"/>
        </w:rPr>
        <w:t> </w:t>
      </w:r>
      <w:r>
        <w:rPr>
          <w:color w:val="231F1F"/>
          <w:w w:val="110"/>
        </w:rPr>
        <w:t>fue</w:t>
      </w:r>
      <w:r>
        <w:rPr>
          <w:color w:val="231F1F"/>
          <w:spacing w:val="3"/>
          <w:w w:val="110"/>
        </w:rPr>
        <w:t> </w:t>
      </w:r>
      <w:r>
        <w:rPr>
          <w:color w:val="231F1F"/>
          <w:w w:val="110"/>
        </w:rPr>
        <w:t>menos</w:t>
      </w:r>
      <w:r>
        <w:rPr>
          <w:color w:val="231F1F"/>
          <w:spacing w:val="5"/>
          <w:w w:val="110"/>
        </w:rPr>
        <w:t> </w:t>
      </w:r>
      <w:r>
        <w:rPr>
          <w:color w:val="231F1F"/>
          <w:spacing w:val="-2"/>
          <w:w w:val="110"/>
        </w:rPr>
        <w:t>clara.</w:t>
      </w:r>
    </w:p>
    <w:p>
      <w:pPr>
        <w:pStyle w:val="BodyText"/>
        <w:spacing w:line="247" w:lineRule="auto" w:before="64"/>
        <w:ind w:left="283" w:right="1370" w:firstLine="453"/>
        <w:jc w:val="both"/>
      </w:pPr>
      <w:r>
        <w:rPr>
          <w:color w:val="231F1F"/>
          <w:w w:val="110"/>
        </w:rPr>
        <w:t>El</w:t>
      </w:r>
      <w:r>
        <w:rPr>
          <w:color w:val="231F1F"/>
          <w:spacing w:val="-12"/>
          <w:w w:val="110"/>
        </w:rPr>
        <w:t> </w:t>
      </w:r>
      <w:r>
        <w:rPr>
          <w:color w:val="231F1F"/>
          <w:w w:val="110"/>
        </w:rPr>
        <w:t>United</w:t>
      </w:r>
      <w:r>
        <w:rPr>
          <w:color w:val="231F1F"/>
          <w:spacing w:val="-11"/>
          <w:w w:val="110"/>
        </w:rPr>
        <w:t> </w:t>
      </w:r>
      <w:r>
        <w:rPr>
          <w:color w:val="231F1F"/>
          <w:w w:val="110"/>
        </w:rPr>
        <w:t>Kingdom</w:t>
      </w:r>
      <w:r>
        <w:rPr>
          <w:color w:val="231F1F"/>
          <w:spacing w:val="-10"/>
          <w:w w:val="110"/>
        </w:rPr>
        <w:t> </w:t>
      </w:r>
      <w:r>
        <w:rPr>
          <w:color w:val="231F1F"/>
          <w:w w:val="110"/>
        </w:rPr>
        <w:t>Childhood</w:t>
      </w:r>
      <w:r>
        <w:rPr>
          <w:color w:val="231F1F"/>
          <w:spacing w:val="-12"/>
          <w:w w:val="110"/>
        </w:rPr>
        <w:t> </w:t>
      </w:r>
      <w:r>
        <w:rPr>
          <w:color w:val="231F1F"/>
          <w:w w:val="110"/>
        </w:rPr>
        <w:t>Cancer</w:t>
      </w:r>
      <w:r>
        <w:rPr>
          <w:color w:val="231F1F"/>
          <w:spacing w:val="-12"/>
          <w:w w:val="110"/>
        </w:rPr>
        <w:t> </w:t>
      </w:r>
      <w:r>
        <w:rPr>
          <w:color w:val="231F1F"/>
          <w:w w:val="110"/>
        </w:rPr>
        <w:t>Study</w:t>
      </w:r>
      <w:r>
        <w:rPr>
          <w:color w:val="231F1F"/>
          <w:spacing w:val="-12"/>
          <w:w w:val="110"/>
        </w:rPr>
        <w:t> </w:t>
      </w:r>
      <w:r>
        <w:rPr>
          <w:color w:val="231F1F"/>
          <w:w w:val="110"/>
        </w:rPr>
        <w:t>(261)</w:t>
      </w:r>
      <w:r>
        <w:rPr>
          <w:color w:val="231F1F"/>
          <w:spacing w:val="-12"/>
          <w:w w:val="110"/>
        </w:rPr>
        <w:t> </w:t>
      </w:r>
      <w:r>
        <w:rPr>
          <w:color w:val="231F1F"/>
          <w:w w:val="110"/>
        </w:rPr>
        <w:t>analizó</w:t>
      </w:r>
      <w:r>
        <w:rPr>
          <w:color w:val="231F1F"/>
          <w:spacing w:val="-12"/>
          <w:w w:val="110"/>
        </w:rPr>
        <w:t> </w:t>
      </w:r>
      <w:r>
        <w:rPr>
          <w:color w:val="231F1F"/>
          <w:w w:val="110"/>
        </w:rPr>
        <w:t>retrospecti- vamente</w:t>
      </w:r>
      <w:r>
        <w:rPr>
          <w:color w:val="231F1F"/>
          <w:spacing w:val="-16"/>
          <w:w w:val="110"/>
        </w:rPr>
        <w:t> </w:t>
      </w:r>
      <w:r>
        <w:rPr>
          <w:color w:val="231F1F"/>
          <w:w w:val="110"/>
        </w:rPr>
        <w:t>los</w:t>
      </w:r>
      <w:r>
        <w:rPr>
          <w:color w:val="231F1F"/>
          <w:spacing w:val="-15"/>
          <w:w w:val="110"/>
        </w:rPr>
        <w:t> </w:t>
      </w:r>
      <w:r>
        <w:rPr>
          <w:color w:val="231F1F"/>
          <w:w w:val="110"/>
        </w:rPr>
        <w:t>datos</w:t>
      </w:r>
      <w:r>
        <w:rPr>
          <w:color w:val="231F1F"/>
          <w:spacing w:val="-15"/>
          <w:w w:val="110"/>
        </w:rPr>
        <w:t> </w:t>
      </w:r>
      <w:r>
        <w:rPr>
          <w:color w:val="231F1F"/>
          <w:w w:val="110"/>
        </w:rPr>
        <w:t>de</w:t>
      </w:r>
      <w:r>
        <w:rPr>
          <w:color w:val="231F1F"/>
          <w:spacing w:val="-15"/>
          <w:w w:val="110"/>
        </w:rPr>
        <w:t> </w:t>
      </w:r>
      <w:r>
        <w:rPr>
          <w:color w:val="231F1F"/>
          <w:w w:val="110"/>
        </w:rPr>
        <w:t>7.017</w:t>
      </w:r>
      <w:r>
        <w:rPr>
          <w:color w:val="231F1F"/>
          <w:spacing w:val="-15"/>
          <w:w w:val="110"/>
        </w:rPr>
        <w:t> </w:t>
      </w:r>
      <w:r>
        <w:rPr>
          <w:color w:val="231F1F"/>
          <w:w w:val="110"/>
        </w:rPr>
        <w:t>niños</w:t>
      </w:r>
      <w:r>
        <w:rPr>
          <w:color w:val="231F1F"/>
          <w:spacing w:val="-15"/>
          <w:w w:val="110"/>
        </w:rPr>
        <w:t> </w:t>
      </w:r>
      <w:r>
        <w:rPr>
          <w:color w:val="231F1F"/>
          <w:w w:val="110"/>
        </w:rPr>
        <w:t>(1.174</w:t>
      </w:r>
      <w:r>
        <w:rPr>
          <w:color w:val="231F1F"/>
          <w:spacing w:val="-15"/>
          <w:w w:val="110"/>
        </w:rPr>
        <w:t> </w:t>
      </w:r>
      <w:r>
        <w:rPr>
          <w:color w:val="231F1F"/>
          <w:w w:val="110"/>
        </w:rPr>
        <w:t>con</w:t>
      </w:r>
      <w:r>
        <w:rPr>
          <w:color w:val="231F1F"/>
          <w:spacing w:val="-15"/>
          <w:w w:val="110"/>
        </w:rPr>
        <w:t> </w:t>
      </w:r>
      <w:r>
        <w:rPr>
          <w:color w:val="231F1F"/>
          <w:w w:val="110"/>
        </w:rPr>
        <w:t>leucemia),</w:t>
      </w:r>
      <w:r>
        <w:rPr>
          <w:color w:val="231F1F"/>
          <w:spacing w:val="-16"/>
          <w:w w:val="110"/>
        </w:rPr>
        <w:t> </w:t>
      </w:r>
      <w:r>
        <w:rPr>
          <w:color w:val="231F1F"/>
          <w:w w:val="110"/>
        </w:rPr>
        <w:t>no</w:t>
      </w:r>
      <w:r>
        <w:rPr>
          <w:color w:val="231F1F"/>
          <w:spacing w:val="-15"/>
          <w:w w:val="110"/>
        </w:rPr>
        <w:t> </w:t>
      </w:r>
      <w:r>
        <w:rPr>
          <w:color w:val="231F1F"/>
          <w:w w:val="110"/>
        </w:rPr>
        <w:t>encontrando</w:t>
      </w:r>
      <w:r>
        <w:rPr>
          <w:color w:val="231F1F"/>
          <w:spacing w:val="-15"/>
          <w:w w:val="110"/>
        </w:rPr>
        <w:t> </w:t>
      </w:r>
      <w:r>
        <w:rPr>
          <w:color w:val="231F1F"/>
          <w:w w:val="110"/>
        </w:rPr>
        <w:t>aso- ciación</w:t>
      </w:r>
      <w:r>
        <w:rPr>
          <w:color w:val="231F1F"/>
          <w:spacing w:val="-16"/>
          <w:w w:val="110"/>
        </w:rPr>
        <w:t> </w:t>
      </w:r>
      <w:r>
        <w:rPr>
          <w:color w:val="231F1F"/>
          <w:w w:val="110"/>
        </w:rPr>
        <w:t>entre</w:t>
      </w:r>
      <w:r>
        <w:rPr>
          <w:color w:val="231F1F"/>
          <w:spacing w:val="-15"/>
          <w:w w:val="110"/>
        </w:rPr>
        <w:t> </w:t>
      </w:r>
      <w:r>
        <w:rPr>
          <w:color w:val="231F1F"/>
          <w:w w:val="110"/>
        </w:rPr>
        <w:t>la</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IM</w:t>
      </w:r>
      <w:r>
        <w:rPr>
          <w:color w:val="231F1F"/>
          <w:spacing w:val="-15"/>
          <w:w w:val="110"/>
        </w:rPr>
        <w:t> </w:t>
      </w:r>
      <w:r>
        <w:rPr>
          <w:color w:val="231F1F"/>
          <w:w w:val="110"/>
        </w:rPr>
        <w:t>y</w:t>
      </w:r>
      <w:r>
        <w:rPr>
          <w:color w:val="231F1F"/>
          <w:spacing w:val="-15"/>
          <w:w w:val="110"/>
        </w:rPr>
        <w:t> </w:t>
      </w:r>
      <w:r>
        <w:rPr>
          <w:color w:val="231F1F"/>
          <w:w w:val="110"/>
        </w:rPr>
        <w:t>cualquier</w:t>
      </w:r>
      <w:r>
        <w:rPr>
          <w:color w:val="231F1F"/>
          <w:spacing w:val="-15"/>
          <w:w w:val="110"/>
        </w:rPr>
        <w:t> </w:t>
      </w:r>
      <w:r>
        <w:rPr>
          <w:color w:val="231F1F"/>
          <w:w w:val="110"/>
        </w:rPr>
        <w:t>grupo</w:t>
      </w:r>
      <w:r>
        <w:rPr>
          <w:color w:val="231F1F"/>
          <w:spacing w:val="-16"/>
          <w:w w:val="110"/>
        </w:rPr>
        <w:t> </w:t>
      </w:r>
      <w:r>
        <w:rPr>
          <w:color w:val="231F1F"/>
          <w:w w:val="110"/>
        </w:rPr>
        <w:t>diagnóstico,</w:t>
      </w:r>
      <w:r>
        <w:rPr>
          <w:color w:val="231F1F"/>
          <w:spacing w:val="-15"/>
          <w:w w:val="110"/>
        </w:rPr>
        <w:t> </w:t>
      </w:r>
      <w:r>
        <w:rPr>
          <w:color w:val="231F1F"/>
          <w:w w:val="110"/>
        </w:rPr>
        <w:t>siendo</w:t>
      </w:r>
      <w:r>
        <w:rPr>
          <w:color w:val="231F1F"/>
          <w:spacing w:val="-15"/>
          <w:w w:val="110"/>
        </w:rPr>
        <w:t> </w:t>
      </w:r>
      <w:r>
        <w:rPr>
          <w:color w:val="231F1F"/>
          <w:w w:val="110"/>
        </w:rPr>
        <w:t>la</w:t>
      </w:r>
      <w:r>
        <w:rPr>
          <w:color w:val="231F1F"/>
          <w:spacing w:val="-15"/>
          <w:w w:val="110"/>
        </w:rPr>
        <w:t> </w:t>
      </w:r>
      <w:r>
        <w:rPr>
          <w:color w:val="231F1F"/>
          <w:w w:val="110"/>
        </w:rPr>
        <w:t>odds ratio</w:t>
      </w:r>
      <w:r>
        <w:rPr>
          <w:color w:val="231F1F"/>
          <w:spacing w:val="-1"/>
          <w:w w:val="110"/>
        </w:rPr>
        <w:t> </w:t>
      </w:r>
      <w:r>
        <w:rPr>
          <w:color w:val="231F1F"/>
          <w:w w:val="110"/>
        </w:rPr>
        <w:t>para</w:t>
      </w:r>
      <w:r>
        <w:rPr>
          <w:color w:val="231F1F"/>
          <w:spacing w:val="-2"/>
          <w:w w:val="110"/>
        </w:rPr>
        <w:t> </w:t>
      </w:r>
      <w:r>
        <w:rPr>
          <w:color w:val="231F1F"/>
          <w:w w:val="110"/>
        </w:rPr>
        <w:t>la</w:t>
      </w:r>
      <w:r>
        <w:rPr>
          <w:color w:val="231F1F"/>
          <w:spacing w:val="-2"/>
          <w:w w:val="110"/>
        </w:rPr>
        <w:t> </w:t>
      </w:r>
      <w:r>
        <w:rPr>
          <w:color w:val="231F1F"/>
          <w:w w:val="110"/>
        </w:rPr>
        <w:t>leucemia</w:t>
      </w:r>
      <w:r>
        <w:rPr>
          <w:color w:val="231F1F"/>
          <w:spacing w:val="-1"/>
          <w:w w:val="110"/>
        </w:rPr>
        <w:t> </w:t>
      </w:r>
      <w:r>
        <w:rPr>
          <w:color w:val="231F1F"/>
          <w:w w:val="110"/>
        </w:rPr>
        <w:t>diagnosticada</w:t>
      </w:r>
      <w:r>
        <w:rPr>
          <w:color w:val="231F1F"/>
          <w:spacing w:val="-2"/>
          <w:w w:val="110"/>
        </w:rPr>
        <w:t> </w:t>
      </w:r>
      <w:r>
        <w:rPr>
          <w:color w:val="231F1F"/>
          <w:w w:val="110"/>
        </w:rPr>
        <w:t>entre</w:t>
      </w:r>
      <w:r>
        <w:rPr>
          <w:color w:val="231F1F"/>
          <w:spacing w:val="-2"/>
          <w:w w:val="110"/>
        </w:rPr>
        <w:t> </w:t>
      </w:r>
      <w:r>
        <w:rPr>
          <w:color w:val="231F1F"/>
          <w:w w:val="110"/>
        </w:rPr>
        <w:t>los</w:t>
      </w:r>
      <w:r>
        <w:rPr>
          <w:color w:val="231F1F"/>
          <w:spacing w:val="-2"/>
          <w:w w:val="110"/>
        </w:rPr>
        <w:t> </w:t>
      </w:r>
      <w:r>
        <w:rPr>
          <w:color w:val="231F1F"/>
          <w:w w:val="110"/>
        </w:rPr>
        <w:t>12</w:t>
      </w:r>
      <w:r>
        <w:rPr>
          <w:color w:val="231F1F"/>
          <w:spacing w:val="-1"/>
          <w:w w:val="110"/>
        </w:rPr>
        <w:t> </w:t>
      </w:r>
      <w:r>
        <w:rPr>
          <w:color w:val="231F1F"/>
          <w:w w:val="110"/>
        </w:rPr>
        <w:t>y</w:t>
      </w:r>
      <w:r>
        <w:rPr>
          <w:color w:val="231F1F"/>
          <w:spacing w:val="-1"/>
          <w:w w:val="110"/>
        </w:rPr>
        <w:t> </w:t>
      </w:r>
      <w:r>
        <w:rPr>
          <w:color w:val="231F1F"/>
          <w:w w:val="110"/>
        </w:rPr>
        <w:t>los</w:t>
      </w:r>
      <w:r>
        <w:rPr>
          <w:color w:val="231F1F"/>
          <w:spacing w:val="-2"/>
          <w:w w:val="110"/>
        </w:rPr>
        <w:t> </w:t>
      </w:r>
      <w:r>
        <w:rPr>
          <w:color w:val="231F1F"/>
          <w:w w:val="110"/>
        </w:rPr>
        <w:t>71</w:t>
      </w:r>
      <w:r>
        <w:rPr>
          <w:color w:val="231F1F"/>
          <w:spacing w:val="-1"/>
          <w:w w:val="110"/>
        </w:rPr>
        <w:t> </w:t>
      </w:r>
      <w:r>
        <w:rPr>
          <w:color w:val="231F1F"/>
          <w:w w:val="110"/>
        </w:rPr>
        <w:t>meses</w:t>
      </w:r>
      <w:r>
        <w:rPr>
          <w:color w:val="231F1F"/>
          <w:spacing w:val="-2"/>
          <w:w w:val="110"/>
        </w:rPr>
        <w:t> </w:t>
      </w:r>
      <w:r>
        <w:rPr>
          <w:color w:val="231F1F"/>
          <w:w w:val="110"/>
        </w:rPr>
        <w:t>de</w:t>
      </w:r>
      <w:r>
        <w:rPr>
          <w:color w:val="231F1F"/>
          <w:spacing w:val="-2"/>
          <w:w w:val="110"/>
        </w:rPr>
        <w:t> </w:t>
      </w:r>
      <w:r>
        <w:rPr>
          <w:color w:val="231F1F"/>
          <w:w w:val="110"/>
        </w:rPr>
        <w:t>edad</w:t>
      </w:r>
      <w:r>
        <w:rPr>
          <w:color w:val="231F1F"/>
          <w:spacing w:val="-1"/>
          <w:w w:val="110"/>
        </w:rPr>
        <w:t> </w:t>
      </w:r>
      <w:r>
        <w:rPr>
          <w:color w:val="231F1F"/>
          <w:w w:val="110"/>
        </w:rPr>
        <w:t>de 0,98 [IC 95% 0,79 a 1,22).</w:t>
      </w:r>
    </w:p>
    <w:p>
      <w:pPr>
        <w:pStyle w:val="BodyText"/>
        <w:tabs>
          <w:tab w:pos="6860" w:val="left" w:leader="none"/>
        </w:tabs>
        <w:spacing w:before="89"/>
        <w:ind w:right="325"/>
        <w:jc w:val="right"/>
        <w:rPr>
          <w:rFonts w:ascii="Arial MT" w:hAnsi="Arial MT"/>
          <w:sz w:val="18"/>
        </w:rPr>
      </w:pPr>
      <w:r>
        <w:rPr>
          <w:color w:val="231F1F"/>
          <w:w w:val="105"/>
        </w:rPr>
        <w:t>Los</w:t>
      </w:r>
      <w:r>
        <w:rPr>
          <w:color w:val="231F1F"/>
          <w:spacing w:val="26"/>
          <w:w w:val="105"/>
        </w:rPr>
        <w:t> </w:t>
      </w:r>
      <w:r>
        <w:rPr>
          <w:color w:val="231F1F"/>
          <w:w w:val="105"/>
        </w:rPr>
        <w:t>autores</w:t>
      </w:r>
      <w:r>
        <w:rPr>
          <w:color w:val="231F1F"/>
          <w:spacing w:val="28"/>
          <w:w w:val="105"/>
        </w:rPr>
        <w:t> </w:t>
      </w:r>
      <w:r>
        <w:rPr>
          <w:color w:val="231F1F"/>
          <w:w w:val="105"/>
        </w:rPr>
        <w:t>concluyen</w:t>
      </w:r>
      <w:r>
        <w:rPr>
          <w:color w:val="231F1F"/>
          <w:spacing w:val="27"/>
          <w:w w:val="105"/>
        </w:rPr>
        <w:t> </w:t>
      </w:r>
      <w:r>
        <w:rPr>
          <w:color w:val="231F1F"/>
          <w:w w:val="105"/>
        </w:rPr>
        <w:t>que</w:t>
      </w:r>
      <w:r>
        <w:rPr>
          <w:color w:val="231F1F"/>
          <w:spacing w:val="26"/>
          <w:w w:val="105"/>
        </w:rPr>
        <w:t> </w:t>
      </w:r>
      <w:r>
        <w:rPr>
          <w:color w:val="231F1F"/>
          <w:w w:val="105"/>
        </w:rPr>
        <w:t>lo</w:t>
      </w:r>
      <w:r>
        <w:rPr>
          <w:color w:val="231F1F"/>
          <w:spacing w:val="29"/>
          <w:w w:val="105"/>
        </w:rPr>
        <w:t> </w:t>
      </w:r>
      <w:r>
        <w:rPr>
          <w:color w:val="231F1F"/>
          <w:w w:val="105"/>
        </w:rPr>
        <w:t>más</w:t>
      </w:r>
      <w:r>
        <w:rPr>
          <w:color w:val="231F1F"/>
          <w:spacing w:val="26"/>
          <w:w w:val="105"/>
        </w:rPr>
        <w:t> </w:t>
      </w:r>
      <w:r>
        <w:rPr>
          <w:color w:val="231F1F"/>
          <w:w w:val="105"/>
        </w:rPr>
        <w:t>probable</w:t>
      </w:r>
      <w:r>
        <w:rPr>
          <w:color w:val="231F1F"/>
          <w:spacing w:val="26"/>
          <w:w w:val="105"/>
        </w:rPr>
        <w:t> </w:t>
      </w:r>
      <w:r>
        <w:rPr>
          <w:color w:val="231F1F"/>
          <w:w w:val="105"/>
        </w:rPr>
        <w:t>es</w:t>
      </w:r>
      <w:r>
        <w:rPr>
          <w:color w:val="231F1F"/>
          <w:spacing w:val="28"/>
          <w:w w:val="105"/>
        </w:rPr>
        <w:t> </w:t>
      </w:r>
      <w:r>
        <w:rPr>
          <w:color w:val="231F1F"/>
          <w:w w:val="105"/>
        </w:rPr>
        <w:t>que</w:t>
      </w:r>
      <w:r>
        <w:rPr>
          <w:color w:val="231F1F"/>
          <w:spacing w:val="26"/>
          <w:w w:val="105"/>
        </w:rPr>
        <w:t> </w:t>
      </w:r>
      <w:r>
        <w:rPr>
          <w:color w:val="231F1F"/>
          <w:w w:val="105"/>
        </w:rPr>
        <w:t>los</w:t>
      </w:r>
      <w:r>
        <w:rPr>
          <w:color w:val="231F1F"/>
          <w:spacing w:val="28"/>
          <w:w w:val="105"/>
        </w:rPr>
        <w:t> </w:t>
      </w:r>
      <w:r>
        <w:rPr>
          <w:color w:val="231F1F"/>
          <w:w w:val="105"/>
        </w:rPr>
        <w:t>hallazgos</w:t>
      </w:r>
      <w:r>
        <w:rPr>
          <w:color w:val="231F1F"/>
          <w:spacing w:val="27"/>
          <w:w w:val="105"/>
        </w:rPr>
        <w:t> </w:t>
      </w:r>
      <w:r>
        <w:rPr>
          <w:color w:val="231F1F"/>
          <w:spacing w:val="-5"/>
          <w:w w:val="105"/>
        </w:rPr>
        <w:t>que</w:t>
      </w:r>
      <w:r>
        <w:rPr>
          <w:color w:val="231F1F"/>
        </w:rPr>
        <w:tab/>
      </w:r>
      <w:r>
        <w:rPr>
          <w:rFonts w:ascii="Arial MT" w:hAnsi="Arial MT"/>
          <w:color w:val="231F1F"/>
          <w:w w:val="105"/>
          <w:sz w:val="18"/>
        </w:rPr>
        <w:t>E.</w:t>
      </w:r>
      <w:r>
        <w:rPr>
          <w:rFonts w:ascii="Arial MT" w:hAnsi="Arial MT"/>
          <w:color w:val="231F1F"/>
          <w:spacing w:val="6"/>
          <w:w w:val="105"/>
          <w:sz w:val="18"/>
        </w:rPr>
        <w:t> </w:t>
      </w:r>
      <w:r>
        <w:rPr>
          <w:rFonts w:ascii="Arial MT" w:hAnsi="Arial MT"/>
          <w:color w:val="231F1F"/>
          <w:spacing w:val="-2"/>
          <w:w w:val="105"/>
          <w:sz w:val="18"/>
        </w:rPr>
        <w:t>Observa-</w:t>
      </w:r>
    </w:p>
    <w:p>
      <w:pPr>
        <w:pStyle w:val="BodyText"/>
        <w:tabs>
          <w:tab w:pos="7589" w:val="left" w:leader="none"/>
        </w:tabs>
        <w:spacing w:line="254" w:lineRule="exact" w:before="8"/>
        <w:ind w:right="373"/>
        <w:jc w:val="right"/>
        <w:rPr>
          <w:rFonts w:ascii="Arial MT" w:hAnsi="Arial MT"/>
          <w:position w:val="4"/>
          <w:sz w:val="18"/>
        </w:rPr>
      </w:pPr>
      <w:r>
        <w:rPr>
          <w:color w:val="231F1F"/>
          <w:w w:val="105"/>
        </w:rPr>
        <w:t>asociaban</w:t>
      </w:r>
      <w:r>
        <w:rPr>
          <w:color w:val="231F1F"/>
          <w:spacing w:val="-1"/>
          <w:w w:val="105"/>
        </w:rPr>
        <w:t> </w:t>
      </w:r>
      <w:r>
        <w:rPr>
          <w:color w:val="231F1F"/>
          <w:w w:val="105"/>
        </w:rPr>
        <w:t>la</w:t>
      </w:r>
      <w:r>
        <w:rPr>
          <w:color w:val="231F1F"/>
          <w:spacing w:val="-1"/>
          <w:w w:val="105"/>
        </w:rPr>
        <w:t> </w:t>
      </w:r>
      <w:r>
        <w:rPr>
          <w:color w:val="231F1F"/>
          <w:w w:val="105"/>
        </w:rPr>
        <w:t>vitamina</w:t>
      </w:r>
      <w:r>
        <w:rPr>
          <w:color w:val="231F1F"/>
          <w:spacing w:val="-1"/>
          <w:w w:val="105"/>
        </w:rPr>
        <w:t> </w:t>
      </w:r>
      <w:r>
        <w:rPr>
          <w:color w:val="231F1F"/>
          <w:w w:val="105"/>
        </w:rPr>
        <w:t>K IM</w:t>
      </w:r>
      <w:r>
        <w:rPr>
          <w:color w:val="231F1F"/>
          <w:spacing w:val="-1"/>
          <w:w w:val="105"/>
        </w:rPr>
        <w:t> </w:t>
      </w:r>
      <w:r>
        <w:rPr>
          <w:color w:val="231F1F"/>
          <w:w w:val="105"/>
        </w:rPr>
        <w:t>y</w:t>
      </w:r>
      <w:r>
        <w:rPr>
          <w:color w:val="231F1F"/>
          <w:spacing w:val="-1"/>
          <w:w w:val="105"/>
        </w:rPr>
        <w:t> </w:t>
      </w:r>
      <w:r>
        <w:rPr>
          <w:color w:val="231F1F"/>
          <w:w w:val="105"/>
        </w:rPr>
        <w:t>el</w:t>
      </w:r>
      <w:r>
        <w:rPr>
          <w:color w:val="231F1F"/>
          <w:spacing w:val="-2"/>
          <w:w w:val="105"/>
        </w:rPr>
        <w:t> </w:t>
      </w:r>
      <w:r>
        <w:rPr>
          <w:color w:val="231F1F"/>
          <w:w w:val="105"/>
        </w:rPr>
        <w:t>cáncer</w:t>
      </w:r>
      <w:r>
        <w:rPr>
          <w:color w:val="231F1F"/>
          <w:spacing w:val="-1"/>
          <w:w w:val="105"/>
        </w:rPr>
        <w:t> </w:t>
      </w:r>
      <w:r>
        <w:rPr>
          <w:color w:val="231F1F"/>
          <w:w w:val="105"/>
        </w:rPr>
        <w:t>infantil</w:t>
      </w:r>
      <w:r>
        <w:rPr>
          <w:color w:val="231F1F"/>
          <w:spacing w:val="-3"/>
          <w:w w:val="105"/>
        </w:rPr>
        <w:t> </w:t>
      </w:r>
      <w:r>
        <w:rPr>
          <w:color w:val="231F1F"/>
          <w:w w:val="105"/>
        </w:rPr>
        <w:t>hayan</w:t>
      </w:r>
      <w:r>
        <w:rPr>
          <w:color w:val="231F1F"/>
          <w:spacing w:val="-2"/>
          <w:w w:val="105"/>
        </w:rPr>
        <w:t> </w:t>
      </w:r>
      <w:r>
        <w:rPr>
          <w:color w:val="231F1F"/>
          <w:w w:val="105"/>
        </w:rPr>
        <w:t>sido</w:t>
      </w:r>
      <w:r>
        <w:rPr>
          <w:color w:val="231F1F"/>
          <w:spacing w:val="-1"/>
          <w:w w:val="105"/>
        </w:rPr>
        <w:t> </w:t>
      </w:r>
      <w:r>
        <w:rPr>
          <w:color w:val="231F1F"/>
          <w:spacing w:val="-2"/>
          <w:w w:val="105"/>
        </w:rPr>
        <w:t>casuales.</w:t>
      </w:r>
      <w:r>
        <w:rPr>
          <w:color w:val="231F1F"/>
        </w:rPr>
        <w:tab/>
      </w:r>
      <w:r>
        <w:rPr>
          <w:rFonts w:ascii="Arial MT" w:hAnsi="Arial MT"/>
          <w:color w:val="231F1F"/>
          <w:spacing w:val="-2"/>
          <w:w w:val="105"/>
          <w:position w:val="4"/>
          <w:sz w:val="18"/>
        </w:rPr>
        <w:t>cionales</w:t>
      </w:r>
    </w:p>
    <w:p>
      <w:pPr>
        <w:spacing w:line="204" w:lineRule="exact" w:before="0"/>
        <w:ind w:left="0" w:right="586" w:firstLine="0"/>
        <w:jc w:val="right"/>
        <w:rPr>
          <w:rFonts w:ascii="Arial MT"/>
          <w:sz w:val="18"/>
        </w:rPr>
      </w:pPr>
      <w:r>
        <w:rPr>
          <w:rFonts w:ascii="Arial MT"/>
          <w:color w:val="231F1F"/>
          <w:spacing w:val="-5"/>
          <w:sz w:val="18"/>
        </w:rPr>
        <w:t>2+</w:t>
      </w:r>
    </w:p>
    <w:p>
      <w:pPr>
        <w:pStyle w:val="BodyText"/>
        <w:spacing w:before="153"/>
        <w:rPr>
          <w:rFonts w:ascii="Arial MT"/>
          <w:sz w:val="18"/>
        </w:rPr>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(2005</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before="209"/>
        <w:ind w:left="283" w:right="1386"/>
      </w:pPr>
      <w:r>
        <w:rPr>
          <w:color w:val="231F1F"/>
          <w:w w:val="110"/>
        </w:rPr>
        <w:t>Se</w:t>
      </w:r>
      <w:r>
        <w:rPr>
          <w:color w:val="231F1F"/>
          <w:spacing w:val="-7"/>
          <w:w w:val="110"/>
        </w:rPr>
        <w:t> </w:t>
      </w:r>
      <w:r>
        <w:rPr>
          <w:color w:val="231F1F"/>
          <w:w w:val="110"/>
        </w:rPr>
        <w:t>ha</w:t>
      </w:r>
      <w:r>
        <w:rPr>
          <w:color w:val="231F1F"/>
          <w:spacing w:val="-7"/>
          <w:w w:val="110"/>
        </w:rPr>
        <w:t> </w:t>
      </w:r>
      <w:r>
        <w:rPr>
          <w:color w:val="231F1F"/>
          <w:w w:val="110"/>
        </w:rPr>
        <w:t>seleccionado</w:t>
      </w:r>
      <w:r>
        <w:rPr>
          <w:color w:val="231F1F"/>
          <w:spacing w:val="-8"/>
          <w:w w:val="110"/>
        </w:rPr>
        <w:t> </w:t>
      </w:r>
      <w:r>
        <w:rPr>
          <w:color w:val="231F1F"/>
          <w:w w:val="110"/>
        </w:rPr>
        <w:t>una</w:t>
      </w:r>
      <w:r>
        <w:rPr>
          <w:color w:val="231F1F"/>
          <w:spacing w:val="-7"/>
          <w:w w:val="110"/>
        </w:rPr>
        <w:t> </w:t>
      </w:r>
      <w:r>
        <w:rPr>
          <w:color w:val="231F1F"/>
          <w:w w:val="110"/>
        </w:rPr>
        <w:t>RS</w:t>
      </w:r>
      <w:r>
        <w:rPr>
          <w:color w:val="231F1F"/>
          <w:spacing w:val="-7"/>
          <w:w w:val="110"/>
        </w:rPr>
        <w:t> </w:t>
      </w:r>
      <w:r>
        <w:rPr>
          <w:color w:val="231F1F"/>
          <w:w w:val="110"/>
        </w:rPr>
        <w:t>Cochrane</w:t>
      </w:r>
      <w:r>
        <w:rPr>
          <w:color w:val="231F1F"/>
          <w:spacing w:val="-7"/>
          <w:w w:val="110"/>
        </w:rPr>
        <w:t> </w:t>
      </w:r>
      <w:r>
        <w:rPr>
          <w:color w:val="231F1F"/>
          <w:w w:val="110"/>
        </w:rPr>
        <w:t>publicada</w:t>
      </w:r>
      <w:r>
        <w:rPr>
          <w:color w:val="231F1F"/>
          <w:spacing w:val="-7"/>
          <w:w w:val="110"/>
        </w:rPr>
        <w:t> </w:t>
      </w:r>
      <w:r>
        <w:rPr>
          <w:color w:val="231F1F"/>
          <w:w w:val="110"/>
        </w:rPr>
        <w:t>en</w:t>
      </w:r>
      <w:r>
        <w:rPr>
          <w:color w:val="231F1F"/>
          <w:spacing w:val="-7"/>
          <w:w w:val="110"/>
        </w:rPr>
        <w:t> </w:t>
      </w:r>
      <w:r>
        <w:rPr>
          <w:color w:val="231F1F"/>
          <w:w w:val="110"/>
        </w:rPr>
        <w:t>2006</w:t>
      </w:r>
      <w:r>
        <w:rPr>
          <w:color w:val="231F1F"/>
          <w:spacing w:val="-7"/>
          <w:w w:val="110"/>
        </w:rPr>
        <w:t> </w:t>
      </w:r>
      <w:r>
        <w:rPr>
          <w:color w:val="231F1F"/>
          <w:w w:val="110"/>
        </w:rPr>
        <w:t>que</w:t>
      </w:r>
      <w:r>
        <w:rPr>
          <w:color w:val="231F1F"/>
          <w:spacing w:val="-7"/>
          <w:w w:val="110"/>
        </w:rPr>
        <w:t> </w:t>
      </w:r>
      <w:r>
        <w:rPr>
          <w:color w:val="231F1F"/>
          <w:w w:val="110"/>
        </w:rPr>
        <w:t>responde</w:t>
      </w:r>
      <w:r>
        <w:rPr>
          <w:color w:val="231F1F"/>
          <w:spacing w:val="-6"/>
          <w:w w:val="110"/>
        </w:rPr>
        <w:t> </w:t>
      </w:r>
      <w:r>
        <w:rPr>
          <w:color w:val="231F1F"/>
          <w:w w:val="110"/>
        </w:rPr>
        <w:t>ade- cuadamente a la pregunta (262).</w:t>
      </w:r>
    </w:p>
    <w:p>
      <w:pPr>
        <w:pStyle w:val="BodyText"/>
        <w:spacing w:line="254" w:lineRule="auto" w:before="147"/>
        <w:ind w:left="283" w:right="1371" w:firstLine="453"/>
        <w:jc w:val="both"/>
      </w:pPr>
      <w:r>
        <w:rPr>
          <w:color w:val="231F1F"/>
          <w:w w:val="110"/>
        </w:rPr>
        <w:t>Para</w:t>
      </w:r>
      <w:r>
        <w:rPr>
          <w:color w:val="231F1F"/>
          <w:spacing w:val="-16"/>
          <w:w w:val="110"/>
        </w:rPr>
        <w:t> </w:t>
      </w:r>
      <w:r>
        <w:rPr>
          <w:color w:val="231F1F"/>
          <w:w w:val="110"/>
        </w:rPr>
        <w:t>evaluar</w:t>
      </w:r>
      <w:r>
        <w:rPr>
          <w:color w:val="231F1F"/>
          <w:spacing w:val="-15"/>
          <w:w w:val="110"/>
        </w:rPr>
        <w:t> </w:t>
      </w:r>
      <w:r>
        <w:rPr>
          <w:color w:val="231F1F"/>
          <w:w w:val="110"/>
        </w:rPr>
        <w:t>la</w:t>
      </w:r>
      <w:r>
        <w:rPr>
          <w:color w:val="231F1F"/>
          <w:spacing w:val="-15"/>
          <w:w w:val="110"/>
        </w:rPr>
        <w:t> </w:t>
      </w:r>
      <w:r>
        <w:rPr>
          <w:color w:val="231F1F"/>
          <w:w w:val="110"/>
        </w:rPr>
        <w:t>eficacia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por</w:t>
      </w:r>
      <w:r>
        <w:rPr>
          <w:color w:val="231F1F"/>
          <w:spacing w:val="-16"/>
          <w:w w:val="110"/>
        </w:rPr>
        <w:t> </w:t>
      </w:r>
      <w:r>
        <w:rPr>
          <w:color w:val="231F1F"/>
          <w:w w:val="110"/>
        </w:rPr>
        <w:t>vía</w:t>
      </w:r>
      <w:r>
        <w:rPr>
          <w:color w:val="231F1F"/>
          <w:spacing w:val="-15"/>
          <w:w w:val="110"/>
        </w:rPr>
        <w:t> </w:t>
      </w:r>
      <w:r>
        <w:rPr>
          <w:color w:val="231F1F"/>
          <w:w w:val="110"/>
        </w:rPr>
        <w:t>intramuscular</w:t>
      </w:r>
      <w:r>
        <w:rPr>
          <w:color w:val="231F1F"/>
          <w:spacing w:val="-15"/>
          <w:w w:val="110"/>
        </w:rPr>
        <w:t> </w:t>
      </w:r>
      <w:r>
        <w:rPr>
          <w:color w:val="231F1F"/>
          <w:w w:val="110"/>
        </w:rPr>
        <w:t>para</w:t>
      </w:r>
      <w:r>
        <w:rPr>
          <w:color w:val="231F1F"/>
          <w:spacing w:val="-15"/>
          <w:w w:val="110"/>
        </w:rPr>
        <w:t> </w:t>
      </w:r>
      <w:r>
        <w:rPr>
          <w:color w:val="231F1F"/>
          <w:w w:val="110"/>
        </w:rPr>
        <w:t>evi- </w:t>
      </w:r>
      <w:r>
        <w:rPr>
          <w:color w:val="231F1F"/>
        </w:rPr>
        <w:t>tar</w:t>
      </w:r>
      <w:r>
        <w:rPr>
          <w:color w:val="231F1F"/>
          <w:spacing w:val="32"/>
        </w:rPr>
        <w:t> </w:t>
      </w:r>
      <w:r>
        <w:rPr>
          <w:color w:val="231F1F"/>
        </w:rPr>
        <w:t>el</w:t>
      </w:r>
      <w:r>
        <w:rPr>
          <w:color w:val="231F1F"/>
          <w:spacing w:val="32"/>
        </w:rPr>
        <w:t> </w:t>
      </w:r>
      <w:r>
        <w:rPr>
          <w:color w:val="231F1F"/>
        </w:rPr>
        <w:t>sangrado</w:t>
      </w:r>
      <w:r>
        <w:rPr>
          <w:color w:val="231F1F"/>
          <w:spacing w:val="32"/>
        </w:rPr>
        <w:t> </w:t>
      </w:r>
      <w:r>
        <w:rPr>
          <w:color w:val="231F1F"/>
        </w:rPr>
        <w:t>(resultado</w:t>
      </w:r>
      <w:r>
        <w:rPr>
          <w:color w:val="231F1F"/>
          <w:spacing w:val="32"/>
        </w:rPr>
        <w:t> </w:t>
      </w:r>
      <w:r>
        <w:rPr>
          <w:color w:val="231F1F"/>
        </w:rPr>
        <w:t>clínico)</w:t>
      </w:r>
      <w:r>
        <w:rPr>
          <w:color w:val="231F1F"/>
          <w:spacing w:val="31"/>
        </w:rPr>
        <w:t> </w:t>
      </w:r>
      <w:r>
        <w:rPr>
          <w:color w:val="231F1F"/>
        </w:rPr>
        <w:t>se</w:t>
      </w:r>
      <w:r>
        <w:rPr>
          <w:color w:val="231F1F"/>
          <w:spacing w:val="31"/>
        </w:rPr>
        <w:t> </w:t>
      </w:r>
      <w:r>
        <w:rPr>
          <w:color w:val="231F1F"/>
        </w:rPr>
        <w:t>seleccionaron</w:t>
      </w:r>
      <w:r>
        <w:rPr>
          <w:color w:val="231F1F"/>
          <w:spacing w:val="33"/>
        </w:rPr>
        <w:t> </w:t>
      </w:r>
      <w:r>
        <w:rPr>
          <w:color w:val="231F1F"/>
        </w:rPr>
        <w:t>dos</w:t>
      </w:r>
      <w:r>
        <w:rPr>
          <w:color w:val="231F1F"/>
          <w:spacing w:val="32"/>
        </w:rPr>
        <w:t> </w:t>
      </w:r>
      <w:r>
        <w:rPr>
          <w:color w:val="231F1F"/>
        </w:rPr>
        <w:t>ECAs</w:t>
      </w:r>
      <w:r>
        <w:rPr>
          <w:color w:val="231F1F"/>
          <w:spacing w:val="32"/>
        </w:rPr>
        <w:t> </w:t>
      </w:r>
      <w:r>
        <w:rPr>
          <w:color w:val="231F1F"/>
        </w:rPr>
        <w:t>que</w:t>
      </w:r>
      <w:r>
        <w:rPr>
          <w:color w:val="231F1F"/>
          <w:spacing w:val="31"/>
        </w:rPr>
        <w:t> </w:t>
      </w:r>
      <w:r>
        <w:rPr>
          <w:color w:val="231F1F"/>
        </w:rPr>
        <w:t>comparaban </w:t>
      </w:r>
      <w:r>
        <w:rPr>
          <w:color w:val="231F1F"/>
          <w:w w:val="110"/>
        </w:rPr>
        <w:t>el</w:t>
      </w:r>
      <w:r>
        <w:rPr>
          <w:color w:val="231F1F"/>
          <w:spacing w:val="-12"/>
          <w:w w:val="110"/>
        </w:rPr>
        <w:t> </w:t>
      </w:r>
      <w:r>
        <w:rPr>
          <w:color w:val="231F1F"/>
          <w:w w:val="110"/>
        </w:rPr>
        <w:t>uso</w:t>
      </w:r>
      <w:r>
        <w:rPr>
          <w:color w:val="231F1F"/>
          <w:spacing w:val="-11"/>
          <w:w w:val="110"/>
        </w:rPr>
        <w:t> </w:t>
      </w:r>
      <w:r>
        <w:rPr>
          <w:color w:val="231F1F"/>
          <w:w w:val="110"/>
        </w:rPr>
        <w:t>de</w:t>
      </w:r>
      <w:r>
        <w:rPr>
          <w:color w:val="231F1F"/>
          <w:spacing w:val="-11"/>
          <w:w w:val="110"/>
        </w:rPr>
        <w:t> </w:t>
      </w:r>
      <w:r>
        <w:rPr>
          <w:color w:val="231F1F"/>
          <w:w w:val="110"/>
        </w:rPr>
        <w:t>una</w:t>
      </w:r>
      <w:r>
        <w:rPr>
          <w:color w:val="231F1F"/>
          <w:spacing w:val="-11"/>
          <w:w w:val="110"/>
        </w:rPr>
        <w:t> </w:t>
      </w:r>
      <w:r>
        <w:rPr>
          <w:color w:val="231F1F"/>
          <w:w w:val="110"/>
        </w:rPr>
        <w:t>dosis</w:t>
      </w:r>
      <w:r>
        <w:rPr>
          <w:color w:val="231F1F"/>
          <w:spacing w:val="-11"/>
          <w:w w:val="110"/>
        </w:rPr>
        <w:t> </w:t>
      </w:r>
      <w:r>
        <w:rPr>
          <w:color w:val="231F1F"/>
          <w:w w:val="110"/>
        </w:rPr>
        <w:t>única</w:t>
      </w:r>
      <w:r>
        <w:rPr>
          <w:color w:val="231F1F"/>
          <w:spacing w:val="-11"/>
          <w:w w:val="110"/>
        </w:rPr>
        <w:t> </w:t>
      </w:r>
      <w:r>
        <w:rPr>
          <w:color w:val="231F1F"/>
          <w:w w:val="110"/>
        </w:rPr>
        <w:t>de</w:t>
      </w:r>
      <w:r>
        <w:rPr>
          <w:color w:val="231F1F"/>
          <w:spacing w:val="-11"/>
          <w:w w:val="110"/>
        </w:rPr>
        <w:t> </w:t>
      </w:r>
      <w:r>
        <w:rPr>
          <w:color w:val="231F1F"/>
          <w:w w:val="110"/>
        </w:rPr>
        <w:t>vitamina</w:t>
      </w:r>
      <w:r>
        <w:rPr>
          <w:color w:val="231F1F"/>
          <w:spacing w:val="-11"/>
          <w:w w:val="110"/>
        </w:rPr>
        <w:t> </w:t>
      </w:r>
      <w:r>
        <w:rPr>
          <w:color w:val="231F1F"/>
          <w:w w:val="110"/>
        </w:rPr>
        <w:t>K</w:t>
      </w:r>
      <w:r>
        <w:rPr>
          <w:color w:val="231F1F"/>
          <w:spacing w:val="-11"/>
          <w:w w:val="110"/>
        </w:rPr>
        <w:t> </w:t>
      </w:r>
      <w:r>
        <w:rPr>
          <w:color w:val="231F1F"/>
          <w:w w:val="110"/>
        </w:rPr>
        <w:t>por</w:t>
      </w:r>
      <w:r>
        <w:rPr>
          <w:color w:val="231F1F"/>
          <w:spacing w:val="-11"/>
          <w:w w:val="110"/>
        </w:rPr>
        <w:t> </w:t>
      </w:r>
      <w:r>
        <w:rPr>
          <w:color w:val="231F1F"/>
          <w:w w:val="110"/>
        </w:rPr>
        <w:t>vía</w:t>
      </w:r>
      <w:r>
        <w:rPr>
          <w:color w:val="231F1F"/>
          <w:spacing w:val="-11"/>
          <w:w w:val="110"/>
        </w:rPr>
        <w:t> </w:t>
      </w:r>
      <w:r>
        <w:rPr>
          <w:color w:val="231F1F"/>
          <w:w w:val="110"/>
        </w:rPr>
        <w:t>intramuscular</w:t>
      </w:r>
      <w:r>
        <w:rPr>
          <w:color w:val="231F1F"/>
          <w:spacing w:val="-11"/>
          <w:w w:val="110"/>
        </w:rPr>
        <w:t> </w:t>
      </w:r>
      <w:r>
        <w:rPr>
          <w:color w:val="231F1F"/>
          <w:w w:val="110"/>
        </w:rPr>
        <w:t>contra</w:t>
      </w:r>
      <w:r>
        <w:rPr>
          <w:color w:val="231F1F"/>
          <w:spacing w:val="-11"/>
          <w:w w:val="110"/>
        </w:rPr>
        <w:t> </w:t>
      </w:r>
      <w:r>
        <w:rPr>
          <w:color w:val="231F1F"/>
          <w:w w:val="110"/>
        </w:rPr>
        <w:t>un</w:t>
      </w:r>
      <w:r>
        <w:rPr>
          <w:color w:val="231F1F"/>
          <w:spacing w:val="-11"/>
          <w:w w:val="110"/>
        </w:rPr>
        <w:t> </w:t>
      </w:r>
      <w:r>
        <w:rPr>
          <w:color w:val="231F1F"/>
          <w:w w:val="110"/>
        </w:rPr>
        <w:t>pla- cebo o contra nada (263;264).</w:t>
      </w:r>
    </w:p>
    <w:p>
      <w:pPr>
        <w:pStyle w:val="BodyText"/>
        <w:tabs>
          <w:tab w:pos="8036" w:val="left" w:leader="none"/>
          <w:tab w:pos="8114" w:val="left" w:leader="none"/>
        </w:tabs>
        <w:spacing w:line="249" w:lineRule="auto" w:before="89"/>
        <w:ind w:left="283" w:right="524" w:firstLine="453"/>
      </w:pPr>
      <w:r>
        <w:rPr>
          <w:color w:val="231F1F"/>
          <w:w w:val="105"/>
        </w:rPr>
        <w:t>El ECA de Sutherland, 1967 investigó todos los casos de sangrado entre</w:t>
      </w:r>
      <w:r>
        <w:rPr>
          <w:color w:val="231F1F"/>
        </w:rPr>
        <w:tab/>
      </w:r>
      <w:r>
        <w:rPr>
          <w:rFonts w:ascii="Arial MT" w:hAnsi="Arial MT"/>
          <w:color w:val="231F1F"/>
          <w:spacing w:val="-12"/>
          <w:w w:val="105"/>
          <w:sz w:val="18"/>
        </w:rPr>
        <w:t>ECA </w:t>
      </w:r>
      <w:r>
        <w:rPr>
          <w:color w:val="231F1F"/>
          <w:w w:val="105"/>
        </w:rPr>
        <w:t>el primero y el séptimo día y encontró una diferencia significativa a favor del</w:t>
      </w:r>
      <w:r>
        <w:rPr>
          <w:color w:val="231F1F"/>
        </w:rPr>
        <w:tab/>
        <w:tab/>
      </w:r>
      <w:r>
        <w:rPr>
          <w:rFonts w:ascii="Arial MT" w:hAnsi="Arial MT"/>
          <w:color w:val="231F1F"/>
          <w:spacing w:val="-6"/>
          <w:w w:val="105"/>
          <w:position w:val="4"/>
          <w:sz w:val="18"/>
        </w:rPr>
        <w:t>1+ </w:t>
      </w:r>
      <w:r>
        <w:rPr>
          <w:color w:val="231F1F"/>
          <w:w w:val="105"/>
        </w:rPr>
        <w:t>uso</w:t>
      </w:r>
      <w:r>
        <w:rPr>
          <w:color w:val="231F1F"/>
          <w:spacing w:val="40"/>
          <w:w w:val="105"/>
        </w:rPr>
        <w:t> </w:t>
      </w:r>
      <w:r>
        <w:rPr>
          <w:color w:val="231F1F"/>
          <w:w w:val="105"/>
        </w:rPr>
        <w:t>profiláctico</w:t>
      </w:r>
      <w:r>
        <w:rPr>
          <w:color w:val="231F1F"/>
          <w:spacing w:val="40"/>
          <w:w w:val="105"/>
        </w:rPr>
        <w:t> </w:t>
      </w:r>
      <w:r>
        <w:rPr>
          <w:color w:val="231F1F"/>
          <w:w w:val="105"/>
        </w:rPr>
        <w:t>de</w:t>
      </w:r>
      <w:r>
        <w:rPr>
          <w:color w:val="231F1F"/>
          <w:spacing w:val="40"/>
          <w:w w:val="105"/>
        </w:rPr>
        <w:t> </w:t>
      </w:r>
      <w:r>
        <w:rPr>
          <w:color w:val="231F1F"/>
          <w:w w:val="105"/>
        </w:rPr>
        <w:t>vitamina</w:t>
      </w:r>
      <w:r>
        <w:rPr>
          <w:color w:val="231F1F"/>
          <w:spacing w:val="40"/>
          <w:w w:val="105"/>
        </w:rPr>
        <w:t> </w:t>
      </w:r>
      <w:r>
        <w:rPr>
          <w:color w:val="231F1F"/>
          <w:w w:val="105"/>
        </w:rPr>
        <w:t>K,</w:t>
      </w:r>
      <w:r>
        <w:rPr>
          <w:color w:val="231F1F"/>
          <w:spacing w:val="40"/>
          <w:w w:val="105"/>
        </w:rPr>
        <w:t> </w:t>
      </w:r>
      <w:r>
        <w:rPr>
          <w:color w:val="231F1F"/>
          <w:w w:val="105"/>
        </w:rPr>
        <w:t>RR</w:t>
      </w:r>
      <w:r>
        <w:rPr>
          <w:color w:val="231F1F"/>
          <w:spacing w:val="40"/>
          <w:w w:val="105"/>
        </w:rPr>
        <w:t> </w:t>
      </w:r>
      <w:r>
        <w:rPr>
          <w:color w:val="231F1F"/>
          <w:w w:val="105"/>
        </w:rPr>
        <w:t>0,73</w:t>
      </w:r>
      <w:r>
        <w:rPr>
          <w:color w:val="231F1F"/>
          <w:spacing w:val="40"/>
          <w:w w:val="105"/>
        </w:rPr>
        <w:t> </w:t>
      </w:r>
      <w:r>
        <w:rPr>
          <w:color w:val="231F1F"/>
          <w:w w:val="105"/>
        </w:rPr>
        <w:t>[IC</w:t>
      </w:r>
      <w:r>
        <w:rPr>
          <w:color w:val="231F1F"/>
          <w:spacing w:val="40"/>
          <w:w w:val="105"/>
        </w:rPr>
        <w:t> </w:t>
      </w:r>
      <w:r>
        <w:rPr>
          <w:color w:val="231F1F"/>
          <w:w w:val="105"/>
        </w:rPr>
        <w:t>95%0,56</w:t>
      </w:r>
      <w:r>
        <w:rPr>
          <w:color w:val="231F1F"/>
          <w:spacing w:val="40"/>
          <w:w w:val="105"/>
        </w:rPr>
        <w:t> </w:t>
      </w:r>
      <w:r>
        <w:rPr>
          <w:color w:val="231F1F"/>
          <w:w w:val="105"/>
        </w:rPr>
        <w:t>a</w:t>
      </w:r>
      <w:r>
        <w:rPr>
          <w:color w:val="231F1F"/>
          <w:spacing w:val="40"/>
          <w:w w:val="105"/>
        </w:rPr>
        <w:t> </w:t>
      </w:r>
      <w:r>
        <w:rPr>
          <w:color w:val="231F1F"/>
          <w:w w:val="105"/>
        </w:rPr>
        <w:t>0,96),</w:t>
      </w:r>
      <w:r>
        <w:rPr>
          <w:color w:val="231F1F"/>
          <w:spacing w:val="40"/>
          <w:w w:val="105"/>
        </w:rPr>
        <w:t> </w:t>
      </w:r>
      <w:r>
        <w:rPr>
          <w:color w:val="231F1F"/>
          <w:w w:val="105"/>
        </w:rPr>
        <w:t>DR</w:t>
      </w:r>
      <w:r>
        <w:rPr>
          <w:color w:val="231F1F"/>
          <w:spacing w:val="40"/>
          <w:w w:val="105"/>
        </w:rPr>
        <w:t> </w:t>
      </w:r>
      <w:r>
        <w:rPr>
          <w:color w:val="231F1F"/>
          <w:w w:val="105"/>
        </w:rPr>
        <w:t>-0,02</w:t>
      </w:r>
      <w:r>
        <w:rPr>
          <w:color w:val="231F1F"/>
          <w:spacing w:val="40"/>
          <w:w w:val="105"/>
        </w:rPr>
        <w:t> </w:t>
      </w:r>
      <w:r>
        <w:rPr>
          <w:color w:val="231F1F"/>
          <w:w w:val="105"/>
        </w:rPr>
        <w:t>[IC</w:t>
      </w:r>
    </w:p>
    <w:p>
      <w:pPr>
        <w:pStyle w:val="BodyText"/>
        <w:spacing w:line="249" w:lineRule="auto"/>
        <w:ind w:left="283" w:right="1366"/>
        <w:jc w:val="both"/>
      </w:pPr>
      <w:r>
        <w:rPr>
          <w:color w:val="231F1F"/>
          <w:w w:val="105"/>
        </w:rPr>
        <w:t>95%-0,04 a 0,00). El ECA de Vietti 1960, investigó la presencia de sangrado después</w:t>
      </w:r>
      <w:r>
        <w:rPr>
          <w:color w:val="231F1F"/>
          <w:spacing w:val="-1"/>
          <w:w w:val="105"/>
        </w:rPr>
        <w:t> </w:t>
      </w:r>
      <w:r>
        <w:rPr>
          <w:color w:val="231F1F"/>
          <w:w w:val="105"/>
        </w:rPr>
        <w:t>de</w:t>
      </w:r>
      <w:r>
        <w:rPr>
          <w:color w:val="231F1F"/>
          <w:spacing w:val="-1"/>
          <w:w w:val="105"/>
        </w:rPr>
        <w:t> </w:t>
      </w:r>
      <w:r>
        <w:rPr>
          <w:color w:val="231F1F"/>
          <w:w w:val="105"/>
        </w:rPr>
        <w:t>una</w:t>
      </w:r>
      <w:r>
        <w:rPr>
          <w:color w:val="231F1F"/>
          <w:spacing w:val="-1"/>
          <w:w w:val="105"/>
        </w:rPr>
        <w:t> </w:t>
      </w:r>
      <w:r>
        <w:rPr>
          <w:color w:val="231F1F"/>
          <w:w w:val="105"/>
        </w:rPr>
        <w:t>circuncisión y</w:t>
      </w:r>
      <w:r>
        <w:rPr>
          <w:color w:val="231F1F"/>
          <w:spacing w:val="-1"/>
          <w:w w:val="105"/>
        </w:rPr>
        <w:t> </w:t>
      </w:r>
      <w:r>
        <w:rPr>
          <w:color w:val="231F1F"/>
          <w:w w:val="105"/>
        </w:rPr>
        <w:t>encontró una</w:t>
      </w:r>
      <w:r>
        <w:rPr>
          <w:color w:val="231F1F"/>
          <w:spacing w:val="-1"/>
          <w:w w:val="105"/>
        </w:rPr>
        <w:t> </w:t>
      </w:r>
      <w:r>
        <w:rPr>
          <w:color w:val="231F1F"/>
          <w:w w:val="105"/>
        </w:rPr>
        <w:t>diferencia</w:t>
      </w:r>
      <w:r>
        <w:rPr>
          <w:color w:val="231F1F"/>
          <w:spacing w:val="-1"/>
          <w:w w:val="105"/>
        </w:rPr>
        <w:t> </w:t>
      </w:r>
      <w:r>
        <w:rPr>
          <w:color w:val="231F1F"/>
          <w:w w:val="105"/>
        </w:rPr>
        <w:t>significativa</w:t>
      </w:r>
      <w:r>
        <w:rPr>
          <w:color w:val="231F1F"/>
          <w:spacing w:val="-1"/>
          <w:w w:val="105"/>
        </w:rPr>
        <w:t> </w:t>
      </w:r>
      <w:r>
        <w:rPr>
          <w:color w:val="231F1F"/>
          <w:w w:val="105"/>
        </w:rPr>
        <w:t>a</w:t>
      </w:r>
      <w:r>
        <w:rPr>
          <w:color w:val="231F1F"/>
          <w:spacing w:val="-1"/>
          <w:w w:val="105"/>
        </w:rPr>
        <w:t> </w:t>
      </w:r>
      <w:r>
        <w:rPr>
          <w:color w:val="231F1F"/>
          <w:w w:val="105"/>
        </w:rPr>
        <w:t>favor del uso profiláctico de vitamina K, RR 0,18 [IC 95%0,08 a 0,42), DR -0,11 [IC 95%-0,16 a -0,07]. Ambos ensayos apoyan la presencia de un efecto derivado de</w:t>
      </w:r>
      <w:r>
        <w:rPr>
          <w:color w:val="231F1F"/>
          <w:spacing w:val="40"/>
          <w:w w:val="105"/>
        </w:rPr>
        <w:t> </w:t>
      </w:r>
      <w:r>
        <w:rPr>
          <w:color w:val="231F1F"/>
          <w:w w:val="105"/>
        </w:rPr>
        <w:t>la</w:t>
      </w:r>
      <w:r>
        <w:rPr>
          <w:color w:val="231F1F"/>
          <w:spacing w:val="40"/>
          <w:w w:val="105"/>
        </w:rPr>
        <w:t> </w:t>
      </w:r>
      <w:r>
        <w:rPr>
          <w:color w:val="231F1F"/>
          <w:w w:val="105"/>
        </w:rPr>
        <w:t>vitamina</w:t>
      </w:r>
      <w:r>
        <w:rPr>
          <w:color w:val="231F1F"/>
          <w:spacing w:val="40"/>
          <w:w w:val="105"/>
        </w:rPr>
        <w:t> </w:t>
      </w:r>
      <w:r>
        <w:rPr>
          <w:color w:val="231F1F"/>
          <w:w w:val="105"/>
        </w:rPr>
        <w:t>K</w:t>
      </w:r>
      <w:r>
        <w:rPr>
          <w:color w:val="231F1F"/>
          <w:spacing w:val="40"/>
          <w:w w:val="105"/>
        </w:rPr>
        <w:t> </w:t>
      </w:r>
      <w:r>
        <w:rPr>
          <w:color w:val="231F1F"/>
          <w:w w:val="105"/>
        </w:rPr>
        <w:t>intramuscular</w:t>
      </w:r>
      <w:r>
        <w:rPr>
          <w:color w:val="231F1F"/>
          <w:spacing w:val="40"/>
          <w:w w:val="105"/>
        </w:rPr>
        <w:t> </w:t>
      </w:r>
      <w:r>
        <w:rPr>
          <w:color w:val="231F1F"/>
          <w:w w:val="105"/>
        </w:rPr>
        <w:t>para</w:t>
      </w:r>
      <w:r>
        <w:rPr>
          <w:color w:val="231F1F"/>
          <w:spacing w:val="40"/>
          <w:w w:val="105"/>
        </w:rPr>
        <w:t> </w:t>
      </w:r>
      <w:r>
        <w:rPr>
          <w:color w:val="231F1F"/>
          <w:w w:val="105"/>
        </w:rPr>
        <w:t>prevenir</w:t>
      </w:r>
      <w:r>
        <w:rPr>
          <w:color w:val="231F1F"/>
          <w:spacing w:val="40"/>
          <w:w w:val="105"/>
        </w:rPr>
        <w:t> </w:t>
      </w:r>
      <w:r>
        <w:rPr>
          <w:color w:val="231F1F"/>
          <w:w w:val="105"/>
        </w:rPr>
        <w:t>la</w:t>
      </w:r>
      <w:r>
        <w:rPr>
          <w:color w:val="231F1F"/>
          <w:spacing w:val="40"/>
          <w:w w:val="105"/>
        </w:rPr>
        <w:t> </w:t>
      </w:r>
      <w:r>
        <w:rPr>
          <w:color w:val="231F1F"/>
          <w:w w:val="105"/>
        </w:rPr>
        <w:t>HDVK</w:t>
      </w:r>
      <w:r>
        <w:rPr>
          <w:color w:val="231F1F"/>
          <w:spacing w:val="40"/>
          <w:w w:val="105"/>
        </w:rPr>
        <w:t> </w:t>
      </w:r>
      <w:r>
        <w:rPr>
          <w:color w:val="231F1F"/>
          <w:w w:val="105"/>
        </w:rPr>
        <w:t>clásica.</w:t>
      </w:r>
    </w:p>
    <w:p>
      <w:pPr>
        <w:pStyle w:val="BodyText"/>
        <w:spacing w:before="76"/>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3"/>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281"/>
              <w:rPr>
                <w:sz w:val="22"/>
              </w:rPr>
            </w:pPr>
            <w:r>
              <w:rPr>
                <w:color w:val="231F1F"/>
                <w:w w:val="105"/>
                <w:sz w:val="22"/>
              </w:rPr>
              <w:t>Una</w:t>
            </w:r>
            <w:r>
              <w:rPr>
                <w:color w:val="231F1F"/>
                <w:spacing w:val="-8"/>
                <w:w w:val="105"/>
                <w:sz w:val="22"/>
              </w:rPr>
              <w:t> </w:t>
            </w:r>
            <w:r>
              <w:rPr>
                <w:color w:val="231F1F"/>
                <w:w w:val="105"/>
                <w:sz w:val="22"/>
              </w:rPr>
              <w:t>inyección</w:t>
            </w:r>
            <w:r>
              <w:rPr>
                <w:color w:val="231F1F"/>
                <w:spacing w:val="-9"/>
                <w:w w:val="105"/>
                <w:sz w:val="22"/>
              </w:rPr>
              <w:t> </w:t>
            </w:r>
            <w:r>
              <w:rPr>
                <w:color w:val="231F1F"/>
                <w:w w:val="105"/>
                <w:sz w:val="22"/>
              </w:rPr>
              <w:t>única</w:t>
            </w:r>
            <w:r>
              <w:rPr>
                <w:color w:val="231F1F"/>
                <w:spacing w:val="-9"/>
                <w:w w:val="105"/>
                <w:sz w:val="22"/>
              </w:rPr>
              <w:t> </w:t>
            </w:r>
            <w:r>
              <w:rPr>
                <w:color w:val="231F1F"/>
                <w:w w:val="105"/>
                <w:sz w:val="22"/>
              </w:rPr>
              <w:t>de</w:t>
            </w:r>
            <w:r>
              <w:rPr>
                <w:color w:val="231F1F"/>
                <w:spacing w:val="-9"/>
                <w:w w:val="105"/>
                <w:sz w:val="22"/>
              </w:rPr>
              <w:t> </w:t>
            </w:r>
            <w:r>
              <w:rPr>
                <w:color w:val="231F1F"/>
                <w:w w:val="105"/>
                <w:sz w:val="22"/>
              </w:rPr>
              <w:t>vitamina</w:t>
            </w:r>
            <w:r>
              <w:rPr>
                <w:color w:val="231F1F"/>
                <w:spacing w:val="-8"/>
                <w:w w:val="105"/>
                <w:sz w:val="22"/>
              </w:rPr>
              <w:t> </w:t>
            </w:r>
            <w:r>
              <w:rPr>
                <w:color w:val="231F1F"/>
                <w:w w:val="105"/>
                <w:sz w:val="22"/>
              </w:rPr>
              <w:t>K</w:t>
            </w:r>
            <w:r>
              <w:rPr>
                <w:color w:val="231F1F"/>
                <w:spacing w:val="-8"/>
                <w:w w:val="105"/>
                <w:sz w:val="22"/>
              </w:rPr>
              <w:t> </w:t>
            </w:r>
            <w:r>
              <w:rPr>
                <w:color w:val="231F1F"/>
                <w:w w:val="105"/>
                <w:sz w:val="22"/>
              </w:rPr>
              <w:t>previene</w:t>
            </w:r>
            <w:r>
              <w:rPr>
                <w:color w:val="231F1F"/>
                <w:spacing w:val="-9"/>
                <w:w w:val="105"/>
                <w:sz w:val="22"/>
              </w:rPr>
              <w:t> </w:t>
            </w:r>
            <w:r>
              <w:rPr>
                <w:color w:val="231F1F"/>
                <w:w w:val="105"/>
                <w:sz w:val="22"/>
              </w:rPr>
              <w:t>la</w:t>
            </w:r>
            <w:r>
              <w:rPr>
                <w:color w:val="231F1F"/>
                <w:spacing w:val="-9"/>
                <w:w w:val="105"/>
                <w:sz w:val="22"/>
              </w:rPr>
              <w:t> </w:t>
            </w:r>
            <w:r>
              <w:rPr>
                <w:color w:val="231F1F"/>
                <w:w w:val="105"/>
                <w:sz w:val="22"/>
              </w:rPr>
              <w:t>aparición</w:t>
            </w:r>
            <w:r>
              <w:rPr>
                <w:color w:val="231F1F"/>
                <w:spacing w:val="-8"/>
                <w:w w:val="105"/>
                <w:sz w:val="22"/>
              </w:rPr>
              <w:t> </w:t>
            </w:r>
            <w:r>
              <w:rPr>
                <w:color w:val="231F1F"/>
                <w:w w:val="105"/>
                <w:sz w:val="22"/>
              </w:rPr>
              <w:t>de</w:t>
            </w:r>
            <w:r>
              <w:rPr>
                <w:color w:val="231F1F"/>
                <w:spacing w:val="-8"/>
                <w:w w:val="105"/>
                <w:sz w:val="22"/>
              </w:rPr>
              <w:t> </w:t>
            </w:r>
            <w:r>
              <w:rPr>
                <w:color w:val="231F1F"/>
                <w:w w:val="105"/>
                <w:sz w:val="22"/>
              </w:rPr>
              <w:t>HDVK</w:t>
            </w:r>
            <w:r>
              <w:rPr>
                <w:color w:val="231F1F"/>
                <w:spacing w:val="-8"/>
                <w:w w:val="105"/>
                <w:sz w:val="22"/>
              </w:rPr>
              <w:t> </w:t>
            </w:r>
            <w:r>
              <w:rPr>
                <w:color w:val="231F1F"/>
                <w:w w:val="105"/>
                <w:sz w:val="22"/>
              </w:rPr>
              <w:t>clásica. </w:t>
            </w:r>
            <w:r>
              <w:rPr>
                <w:color w:val="231F1F"/>
                <w:spacing w:val="-2"/>
                <w:w w:val="105"/>
                <w:sz w:val="22"/>
              </w:rPr>
              <w:t>(262-264).</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w w:val="110"/>
                <w:sz w:val="22"/>
              </w:rPr>
              <w:t>A</w:t>
            </w:r>
            <w:r>
              <w:rPr>
                <w:color w:val="231F1F"/>
                <w:spacing w:val="-7"/>
                <w:w w:val="110"/>
                <w:sz w:val="22"/>
              </w:rPr>
              <w:t> </w:t>
            </w:r>
            <w:r>
              <w:rPr>
                <w:color w:val="231F1F"/>
                <w:w w:val="110"/>
                <w:sz w:val="22"/>
              </w:rPr>
              <w:t>la</w:t>
            </w:r>
            <w:r>
              <w:rPr>
                <w:color w:val="231F1F"/>
                <w:spacing w:val="-7"/>
                <w:w w:val="110"/>
                <w:sz w:val="22"/>
              </w:rPr>
              <w:t> </w:t>
            </w:r>
            <w:r>
              <w:rPr>
                <w:color w:val="231F1F"/>
                <w:w w:val="110"/>
                <w:sz w:val="22"/>
              </w:rPr>
              <w:t>luz</w:t>
            </w:r>
            <w:r>
              <w:rPr>
                <w:color w:val="231F1F"/>
                <w:spacing w:val="-7"/>
                <w:w w:val="110"/>
                <w:sz w:val="22"/>
              </w:rPr>
              <w:t> </w:t>
            </w:r>
            <w:r>
              <w:rPr>
                <w:color w:val="231F1F"/>
                <w:w w:val="110"/>
                <w:sz w:val="22"/>
              </w:rPr>
              <w:t>de</w:t>
            </w:r>
            <w:r>
              <w:rPr>
                <w:color w:val="231F1F"/>
                <w:spacing w:val="-7"/>
                <w:w w:val="110"/>
                <w:sz w:val="22"/>
              </w:rPr>
              <w:t> </w:t>
            </w:r>
            <w:r>
              <w:rPr>
                <w:color w:val="231F1F"/>
                <w:w w:val="110"/>
                <w:sz w:val="22"/>
              </w:rPr>
              <w:t>la</w:t>
            </w:r>
            <w:r>
              <w:rPr>
                <w:color w:val="231F1F"/>
                <w:spacing w:val="-7"/>
                <w:w w:val="110"/>
                <w:sz w:val="22"/>
              </w:rPr>
              <w:t> </w:t>
            </w:r>
            <w:r>
              <w:rPr>
                <w:color w:val="231F1F"/>
                <w:w w:val="110"/>
                <w:sz w:val="22"/>
              </w:rPr>
              <w:t>evidencia</w:t>
            </w:r>
            <w:r>
              <w:rPr>
                <w:color w:val="231F1F"/>
                <w:spacing w:val="-7"/>
                <w:w w:val="110"/>
                <w:sz w:val="22"/>
              </w:rPr>
              <w:t> </w:t>
            </w:r>
            <w:r>
              <w:rPr>
                <w:color w:val="231F1F"/>
                <w:w w:val="110"/>
                <w:sz w:val="22"/>
              </w:rPr>
              <w:t>disponible</w:t>
            </w:r>
            <w:r>
              <w:rPr>
                <w:color w:val="231F1F"/>
                <w:spacing w:val="-7"/>
                <w:w w:val="110"/>
                <w:sz w:val="22"/>
              </w:rPr>
              <w:t> </w:t>
            </w:r>
            <w:r>
              <w:rPr>
                <w:color w:val="231F1F"/>
                <w:w w:val="110"/>
                <w:sz w:val="22"/>
              </w:rPr>
              <w:t>no</w:t>
            </w:r>
            <w:r>
              <w:rPr>
                <w:color w:val="231F1F"/>
                <w:spacing w:val="-7"/>
                <w:w w:val="110"/>
                <w:sz w:val="22"/>
              </w:rPr>
              <w:t> </w:t>
            </w:r>
            <w:r>
              <w:rPr>
                <w:color w:val="231F1F"/>
                <w:w w:val="110"/>
                <w:sz w:val="22"/>
              </w:rPr>
              <w:t>existe</w:t>
            </w:r>
            <w:r>
              <w:rPr>
                <w:color w:val="231F1F"/>
                <w:spacing w:val="-7"/>
                <w:w w:val="110"/>
                <w:sz w:val="22"/>
              </w:rPr>
              <w:t> </w:t>
            </w:r>
            <w:r>
              <w:rPr>
                <w:color w:val="231F1F"/>
                <w:w w:val="110"/>
                <w:sz w:val="22"/>
              </w:rPr>
              <w:t>una</w:t>
            </w:r>
            <w:r>
              <w:rPr>
                <w:color w:val="231F1F"/>
                <w:spacing w:val="-7"/>
                <w:w w:val="110"/>
                <w:sz w:val="22"/>
              </w:rPr>
              <w:t> </w:t>
            </w:r>
            <w:r>
              <w:rPr>
                <w:color w:val="231F1F"/>
                <w:w w:val="110"/>
                <w:sz w:val="22"/>
              </w:rPr>
              <w:t>relación</w:t>
            </w:r>
            <w:r>
              <w:rPr>
                <w:color w:val="231F1F"/>
                <w:spacing w:val="-7"/>
                <w:w w:val="110"/>
                <w:sz w:val="22"/>
              </w:rPr>
              <w:t> </w:t>
            </w:r>
            <w:r>
              <w:rPr>
                <w:color w:val="231F1F"/>
                <w:w w:val="110"/>
                <w:sz w:val="22"/>
              </w:rPr>
              <w:t>directa</w:t>
            </w:r>
            <w:r>
              <w:rPr>
                <w:color w:val="231F1F"/>
                <w:spacing w:val="-7"/>
                <w:w w:val="110"/>
                <w:sz w:val="22"/>
              </w:rPr>
              <w:t> </w:t>
            </w:r>
            <w:r>
              <w:rPr>
                <w:color w:val="231F1F"/>
                <w:w w:val="110"/>
                <w:sz w:val="22"/>
              </w:rPr>
              <w:t>entre</w:t>
            </w:r>
            <w:r>
              <w:rPr>
                <w:color w:val="231F1F"/>
                <w:spacing w:val="-7"/>
                <w:w w:val="110"/>
                <w:sz w:val="22"/>
              </w:rPr>
              <w:t> </w:t>
            </w:r>
            <w:r>
              <w:rPr>
                <w:color w:val="231F1F"/>
                <w:w w:val="110"/>
                <w:sz w:val="22"/>
              </w:rPr>
              <w:t>el cáncer infantil y la profilaxis con vitamina K IM (259-261).</w:t>
            </w:r>
          </w:p>
        </w:tc>
        <w:tc>
          <w:tcPr>
            <w:tcW w:w="1133" w:type="dxa"/>
          </w:tcPr>
          <w:p>
            <w:pPr>
              <w:pStyle w:val="TableParagraph"/>
              <w:spacing w:before="178"/>
              <w:ind w:left="388"/>
              <w:rPr>
                <w:sz w:val="22"/>
              </w:rPr>
            </w:pPr>
            <w:r>
              <w:rPr>
                <w:color w:val="231F1F"/>
                <w:spacing w:val="-5"/>
                <w:w w:val="105"/>
                <w:sz w:val="22"/>
              </w:rPr>
              <w:t>2++</w:t>
            </w:r>
          </w:p>
        </w:tc>
      </w:tr>
    </w:tbl>
    <w:p>
      <w:pPr>
        <w:pStyle w:val="BodyText"/>
        <w:spacing w:before="17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La</w:t>
            </w:r>
            <w:r>
              <w:rPr>
                <w:color w:val="231F1F"/>
                <w:spacing w:val="-13"/>
                <w:w w:val="110"/>
                <w:sz w:val="22"/>
              </w:rPr>
              <w:t> </w:t>
            </w:r>
            <w:r>
              <w:rPr>
                <w:color w:val="231F1F"/>
                <w:w w:val="110"/>
                <w:sz w:val="22"/>
              </w:rPr>
              <w:t>profilaxis</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vitamina</w:t>
            </w:r>
            <w:r>
              <w:rPr>
                <w:color w:val="231F1F"/>
                <w:spacing w:val="-13"/>
                <w:w w:val="110"/>
                <w:sz w:val="22"/>
              </w:rPr>
              <w:t> </w:t>
            </w:r>
            <w:r>
              <w:rPr>
                <w:color w:val="231F1F"/>
                <w:w w:val="110"/>
                <w:sz w:val="22"/>
              </w:rPr>
              <w:t>K</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los</w:t>
            </w:r>
            <w:r>
              <w:rPr>
                <w:color w:val="231F1F"/>
                <w:spacing w:val="-13"/>
                <w:w w:val="110"/>
                <w:sz w:val="22"/>
              </w:rPr>
              <w:t> </w:t>
            </w:r>
            <w:r>
              <w:rPr>
                <w:color w:val="231F1F"/>
                <w:w w:val="110"/>
                <w:sz w:val="22"/>
              </w:rPr>
              <w:t>RN</w:t>
            </w:r>
            <w:r>
              <w:rPr>
                <w:color w:val="231F1F"/>
                <w:spacing w:val="-13"/>
                <w:w w:val="110"/>
                <w:sz w:val="22"/>
              </w:rPr>
              <w:t> </w:t>
            </w:r>
            <w:r>
              <w:rPr>
                <w:color w:val="231F1F"/>
                <w:w w:val="110"/>
                <w:sz w:val="22"/>
              </w:rPr>
              <w:t>debería</w:t>
            </w:r>
            <w:r>
              <w:rPr>
                <w:color w:val="231F1F"/>
                <w:spacing w:val="-13"/>
                <w:w w:val="110"/>
                <w:sz w:val="22"/>
              </w:rPr>
              <w:t> </w:t>
            </w:r>
            <w:r>
              <w:rPr>
                <w:color w:val="231F1F"/>
                <w:w w:val="110"/>
                <w:sz w:val="22"/>
              </w:rPr>
              <w:t>ser</w:t>
            </w:r>
            <w:r>
              <w:rPr>
                <w:color w:val="231F1F"/>
                <w:spacing w:val="-15"/>
                <w:w w:val="110"/>
                <w:sz w:val="22"/>
              </w:rPr>
              <w:t> </w:t>
            </w:r>
            <w:r>
              <w:rPr>
                <w:color w:val="231F1F"/>
                <w:w w:val="110"/>
                <w:sz w:val="22"/>
              </w:rPr>
              <w:t>ofrecida</w:t>
            </w:r>
            <w:r>
              <w:rPr>
                <w:color w:val="231F1F"/>
                <w:spacing w:val="-13"/>
                <w:w w:val="110"/>
                <w:sz w:val="22"/>
              </w:rPr>
              <w:t> </w:t>
            </w:r>
            <w:r>
              <w:rPr>
                <w:color w:val="231F1F"/>
                <w:w w:val="110"/>
                <w:sz w:val="22"/>
              </w:rPr>
              <w:t>para</w:t>
            </w:r>
            <w:r>
              <w:rPr>
                <w:color w:val="231F1F"/>
                <w:spacing w:val="-13"/>
                <w:w w:val="110"/>
                <w:sz w:val="22"/>
              </w:rPr>
              <w:t> </w:t>
            </w:r>
            <w:r>
              <w:rPr>
                <w:color w:val="231F1F"/>
                <w:w w:val="110"/>
                <w:sz w:val="22"/>
              </w:rPr>
              <w:t>prevenir</w:t>
            </w:r>
            <w:r>
              <w:rPr>
                <w:color w:val="231F1F"/>
                <w:spacing w:val="-15"/>
                <w:w w:val="110"/>
                <w:sz w:val="22"/>
              </w:rPr>
              <w:t> </w:t>
            </w:r>
            <w:r>
              <w:rPr>
                <w:color w:val="231F1F"/>
                <w:w w:val="110"/>
                <w:sz w:val="22"/>
              </w:rPr>
              <w:t>el</w:t>
            </w:r>
            <w:r>
              <w:rPr>
                <w:color w:val="231F1F"/>
                <w:spacing w:val="-13"/>
                <w:w w:val="110"/>
                <w:sz w:val="22"/>
              </w:rPr>
              <w:t> </w:t>
            </w:r>
            <w:r>
              <w:rPr>
                <w:color w:val="231F1F"/>
                <w:w w:val="110"/>
                <w:sz w:val="22"/>
              </w:rPr>
              <w:t>raro, aunque grave y a veces</w:t>
            </w:r>
            <w:r>
              <w:rPr>
                <w:color w:val="231F1F"/>
                <w:spacing w:val="-1"/>
                <w:w w:val="110"/>
                <w:sz w:val="22"/>
              </w:rPr>
              <w:t> </w:t>
            </w:r>
            <w:r>
              <w:rPr>
                <w:color w:val="231F1F"/>
                <w:w w:val="110"/>
                <w:sz w:val="22"/>
              </w:rPr>
              <w:t>fatal síndrome de hemorragia por déficit de vitamina K.</w:t>
            </w:r>
          </w:p>
        </w:tc>
      </w:tr>
    </w:tbl>
    <w:p>
      <w:pPr>
        <w:pStyle w:val="TableParagraph"/>
        <w:spacing w:after="0" w:line="244" w:lineRule="auto"/>
        <w:rPr>
          <w:sz w:val="22"/>
        </w:rPr>
        <w:sectPr>
          <w:pgSz w:w="11900" w:h="16840"/>
          <w:pgMar w:header="0" w:footer="622" w:top="164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Vía</w:t>
      </w:r>
      <w:r>
        <w:rPr>
          <w:color w:val="231F1F"/>
          <w:spacing w:val="39"/>
        </w:rPr>
        <w:t> </w:t>
      </w:r>
      <w:r>
        <w:rPr>
          <w:color w:val="231F1F"/>
        </w:rPr>
        <w:t>de</w:t>
      </w:r>
      <w:r>
        <w:rPr>
          <w:color w:val="231F1F"/>
          <w:spacing w:val="44"/>
        </w:rPr>
        <w:t> </w:t>
      </w:r>
      <w:r>
        <w:rPr>
          <w:color w:val="231F1F"/>
        </w:rPr>
        <w:t>administración</w:t>
      </w:r>
      <w:r>
        <w:rPr>
          <w:color w:val="231F1F"/>
          <w:spacing w:val="42"/>
        </w:rPr>
        <w:t> </w:t>
      </w:r>
      <w:r>
        <w:rPr>
          <w:color w:val="231F1F"/>
        </w:rPr>
        <w:t>de</w:t>
      </w:r>
      <w:r>
        <w:rPr>
          <w:color w:val="231F1F"/>
          <w:spacing w:val="44"/>
        </w:rPr>
        <w:t> </w:t>
      </w:r>
      <w:r>
        <w:rPr>
          <w:color w:val="231F1F"/>
        </w:rPr>
        <w:t>la</w:t>
      </w:r>
      <w:r>
        <w:rPr>
          <w:color w:val="231F1F"/>
          <w:spacing w:val="44"/>
        </w:rPr>
        <w:t> </w:t>
      </w:r>
      <w:r>
        <w:rPr>
          <w:color w:val="231F1F"/>
        </w:rPr>
        <w:t>profilaxis</w:t>
      </w:r>
      <w:r>
        <w:rPr>
          <w:color w:val="231F1F"/>
          <w:spacing w:val="44"/>
        </w:rPr>
        <w:t> </w:t>
      </w:r>
      <w:r>
        <w:rPr>
          <w:color w:val="231F1F"/>
        </w:rPr>
        <w:t>con</w:t>
      </w:r>
      <w:r>
        <w:rPr>
          <w:color w:val="231F1F"/>
          <w:spacing w:val="44"/>
        </w:rPr>
        <w:t> </w:t>
      </w:r>
      <w:r>
        <w:rPr>
          <w:color w:val="231F1F"/>
        </w:rPr>
        <w:t>vitamina</w:t>
      </w:r>
      <w:r>
        <w:rPr>
          <w:color w:val="231F1F"/>
          <w:spacing w:val="46"/>
        </w:rPr>
        <w:t> </w:t>
      </w:r>
      <w:r>
        <w:rPr>
          <w:color w:val="231F1F"/>
          <w:spacing w:val="-10"/>
        </w:rPr>
        <w:t>K</w:t>
      </w:r>
    </w:p>
    <w:p>
      <w:pPr>
        <w:pStyle w:val="BodyText"/>
        <w:spacing w:before="20"/>
        <w:rPr>
          <w:sz w:val="20"/>
        </w:rPr>
      </w:pPr>
      <w:r>
        <w:rPr>
          <w:sz w:val="20"/>
        </w:rPr>
        <mc:AlternateContent>
          <mc:Choice Requires="wps">
            <w:drawing>
              <wp:anchor distT="0" distB="0" distL="0" distR="0" allowOverlap="1" layoutInCell="1" locked="0" behindDoc="1" simplePos="0" relativeHeight="487619584">
                <wp:simplePos x="0" y="0"/>
                <wp:positionH relativeFrom="page">
                  <wp:posOffset>1082675</wp:posOffset>
                </wp:positionH>
                <wp:positionV relativeFrom="paragraph">
                  <wp:posOffset>177184</wp:posOffset>
                </wp:positionV>
                <wp:extent cx="5400040" cy="262255"/>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5400040" cy="262255"/>
                        </a:xfrm>
                        <a:prstGeom prst="rect">
                          <a:avLst/>
                        </a:prstGeom>
                        <a:ln w="6350">
                          <a:solidFill>
                            <a:srgbClr val="A30046"/>
                          </a:solidFill>
                          <a:prstDash val="solid"/>
                        </a:ln>
                      </wps:spPr>
                      <wps:txbx>
                        <w:txbxContent>
                          <w:p>
                            <w:pPr>
                              <w:pStyle w:val="BodyText"/>
                              <w:numPr>
                                <w:ilvl w:val="0"/>
                                <w:numId w:val="64"/>
                              </w:numPr>
                              <w:tabs>
                                <w:tab w:pos="322" w:val="left" w:leader="none"/>
                              </w:tabs>
                              <w:spacing w:line="240" w:lineRule="auto" w:before="46" w:after="0"/>
                              <w:ind w:left="322" w:right="0" w:hanging="218"/>
                              <w:jc w:val="left"/>
                            </w:pPr>
                            <w:r>
                              <w:rPr>
                                <w:color w:val="231F1F"/>
                                <w:w w:val="105"/>
                              </w:rPr>
                              <w:t>¿Cuál</w:t>
                            </w:r>
                            <w:r>
                              <w:rPr>
                                <w:color w:val="231F1F"/>
                                <w:spacing w:val="-5"/>
                                <w:w w:val="105"/>
                              </w:rPr>
                              <w:t> </w:t>
                            </w:r>
                            <w:r>
                              <w:rPr>
                                <w:color w:val="231F1F"/>
                                <w:w w:val="105"/>
                              </w:rPr>
                              <w:t>es la vía</w:t>
                            </w:r>
                            <w:r>
                              <w:rPr>
                                <w:color w:val="231F1F"/>
                                <w:spacing w:val="-2"/>
                                <w:w w:val="105"/>
                              </w:rPr>
                              <w:t> </w:t>
                            </w:r>
                            <w:r>
                              <w:rPr>
                                <w:color w:val="231F1F"/>
                                <w:w w:val="105"/>
                              </w:rPr>
                              <w:t>más recomendable en</w:t>
                            </w:r>
                            <w:r>
                              <w:rPr>
                                <w:color w:val="231F1F"/>
                                <w:spacing w:val="-2"/>
                                <w:w w:val="105"/>
                              </w:rPr>
                              <w:t> </w:t>
                            </w:r>
                            <w:r>
                              <w:rPr>
                                <w:color w:val="231F1F"/>
                                <w:w w:val="105"/>
                              </w:rPr>
                              <w:t>la</w:t>
                            </w:r>
                            <w:r>
                              <w:rPr>
                                <w:color w:val="231F1F"/>
                                <w:spacing w:val="-1"/>
                                <w:w w:val="105"/>
                              </w:rPr>
                              <w:t> </w:t>
                            </w:r>
                            <w:r>
                              <w:rPr>
                                <w:color w:val="231F1F"/>
                                <w:w w:val="105"/>
                              </w:rPr>
                              <w:t>profilaxis</w:t>
                            </w:r>
                            <w:r>
                              <w:rPr>
                                <w:color w:val="231F1F"/>
                                <w:spacing w:val="-2"/>
                                <w:w w:val="105"/>
                              </w:rPr>
                              <w:t> </w:t>
                            </w:r>
                            <w:r>
                              <w:rPr>
                                <w:color w:val="231F1F"/>
                                <w:w w:val="105"/>
                              </w:rPr>
                              <w:t>con</w:t>
                            </w:r>
                            <w:r>
                              <w:rPr>
                                <w:color w:val="231F1F"/>
                                <w:spacing w:val="-1"/>
                                <w:w w:val="105"/>
                              </w:rPr>
                              <w:t> </w:t>
                            </w:r>
                            <w:r>
                              <w:rPr>
                                <w:color w:val="231F1F"/>
                                <w:w w:val="105"/>
                              </w:rPr>
                              <w:t>vitamina</w:t>
                            </w:r>
                            <w:r>
                              <w:rPr>
                                <w:color w:val="231F1F"/>
                                <w:spacing w:val="-1"/>
                                <w:w w:val="105"/>
                              </w:rPr>
                              <w:t> </w:t>
                            </w:r>
                            <w:r>
                              <w:rPr>
                                <w:color w:val="231F1F"/>
                                <w:spacing w:val="-5"/>
                                <w:w w:val="105"/>
                              </w:rPr>
                              <w:t>K?</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6896;mso-wrap-distance-left:0;mso-wrap-distance-right:0" type="#_x0000_t202" id="docshape109" filled="false" stroked="true" strokeweight=".5pt" strokecolor="#a30046">
                <v:textbox inset="0,0,0,0">
                  <w:txbxContent>
                    <w:p>
                      <w:pPr>
                        <w:pStyle w:val="BodyText"/>
                        <w:numPr>
                          <w:ilvl w:val="0"/>
                          <w:numId w:val="64"/>
                        </w:numPr>
                        <w:tabs>
                          <w:tab w:pos="322" w:val="left" w:leader="none"/>
                        </w:tabs>
                        <w:spacing w:line="240" w:lineRule="auto" w:before="46" w:after="0"/>
                        <w:ind w:left="322" w:right="0" w:hanging="218"/>
                        <w:jc w:val="left"/>
                      </w:pPr>
                      <w:r>
                        <w:rPr>
                          <w:color w:val="231F1F"/>
                          <w:w w:val="105"/>
                        </w:rPr>
                        <w:t>¿Cuál</w:t>
                      </w:r>
                      <w:r>
                        <w:rPr>
                          <w:color w:val="231F1F"/>
                          <w:spacing w:val="-5"/>
                          <w:w w:val="105"/>
                        </w:rPr>
                        <w:t> </w:t>
                      </w:r>
                      <w:r>
                        <w:rPr>
                          <w:color w:val="231F1F"/>
                          <w:w w:val="105"/>
                        </w:rPr>
                        <w:t>es la vía</w:t>
                      </w:r>
                      <w:r>
                        <w:rPr>
                          <w:color w:val="231F1F"/>
                          <w:spacing w:val="-2"/>
                          <w:w w:val="105"/>
                        </w:rPr>
                        <w:t> </w:t>
                      </w:r>
                      <w:r>
                        <w:rPr>
                          <w:color w:val="231F1F"/>
                          <w:w w:val="105"/>
                        </w:rPr>
                        <w:t>más recomendable en</w:t>
                      </w:r>
                      <w:r>
                        <w:rPr>
                          <w:color w:val="231F1F"/>
                          <w:spacing w:val="-2"/>
                          <w:w w:val="105"/>
                        </w:rPr>
                        <w:t> </w:t>
                      </w:r>
                      <w:r>
                        <w:rPr>
                          <w:color w:val="231F1F"/>
                          <w:w w:val="105"/>
                        </w:rPr>
                        <w:t>la</w:t>
                      </w:r>
                      <w:r>
                        <w:rPr>
                          <w:color w:val="231F1F"/>
                          <w:spacing w:val="-1"/>
                          <w:w w:val="105"/>
                        </w:rPr>
                        <w:t> </w:t>
                      </w:r>
                      <w:r>
                        <w:rPr>
                          <w:color w:val="231F1F"/>
                          <w:w w:val="105"/>
                        </w:rPr>
                        <w:t>profilaxis</w:t>
                      </w:r>
                      <w:r>
                        <w:rPr>
                          <w:color w:val="231F1F"/>
                          <w:spacing w:val="-2"/>
                          <w:w w:val="105"/>
                        </w:rPr>
                        <w:t> </w:t>
                      </w:r>
                      <w:r>
                        <w:rPr>
                          <w:color w:val="231F1F"/>
                          <w:w w:val="105"/>
                        </w:rPr>
                        <w:t>con</w:t>
                      </w:r>
                      <w:r>
                        <w:rPr>
                          <w:color w:val="231F1F"/>
                          <w:spacing w:val="-1"/>
                          <w:w w:val="105"/>
                        </w:rPr>
                        <w:t> </w:t>
                      </w:r>
                      <w:r>
                        <w:rPr>
                          <w:color w:val="231F1F"/>
                          <w:w w:val="105"/>
                        </w:rPr>
                        <w:t>vitamina</w:t>
                      </w:r>
                      <w:r>
                        <w:rPr>
                          <w:color w:val="231F1F"/>
                          <w:spacing w:val="-1"/>
                          <w:w w:val="105"/>
                        </w:rPr>
                        <w:t> </w:t>
                      </w:r>
                      <w:r>
                        <w:rPr>
                          <w:color w:val="231F1F"/>
                          <w:spacing w:val="-5"/>
                          <w:w w:val="105"/>
                        </w:rPr>
                        <w:t>K?</w:t>
                      </w:r>
                    </w:p>
                  </w:txbxContent>
                </v:textbox>
                <v:stroke dashstyle="solid"/>
                <w10:wrap type="topAndBottom"/>
              </v:shape>
            </w:pict>
          </mc:Fallback>
        </mc:AlternateContent>
      </w:r>
    </w:p>
    <w:p>
      <w:pPr>
        <w:pStyle w:val="BodyText"/>
        <w:spacing w:before="66"/>
        <w:rPr>
          <w:sz w:val="32"/>
        </w:rPr>
      </w:pPr>
    </w:p>
    <w:p>
      <w:pPr>
        <w:pStyle w:val="BodyText"/>
        <w:spacing w:line="247" w:lineRule="auto" w:before="1"/>
        <w:ind w:left="283" w:right="122"/>
        <w:jc w:val="both"/>
      </w:pPr>
      <w:r>
        <w:rPr>
          <w:color w:val="231F1F"/>
          <w:w w:val="110"/>
        </w:rPr>
        <w:t>Hasta</w:t>
      </w:r>
      <w:r>
        <w:rPr>
          <w:color w:val="231F1F"/>
          <w:spacing w:val="-1"/>
          <w:w w:val="110"/>
        </w:rPr>
        <w:t> </w:t>
      </w:r>
      <w:r>
        <w:rPr>
          <w:color w:val="231F1F"/>
          <w:w w:val="110"/>
        </w:rPr>
        <w:t>el</w:t>
      </w:r>
      <w:r>
        <w:rPr>
          <w:color w:val="231F1F"/>
          <w:spacing w:val="-1"/>
          <w:w w:val="110"/>
        </w:rPr>
        <w:t> </w:t>
      </w:r>
      <w:r>
        <w:rPr>
          <w:color w:val="231F1F"/>
          <w:w w:val="110"/>
        </w:rPr>
        <w:t>informe</w:t>
      </w:r>
      <w:r>
        <w:rPr>
          <w:color w:val="231F1F"/>
          <w:spacing w:val="-1"/>
          <w:w w:val="110"/>
        </w:rPr>
        <w:t> </w:t>
      </w:r>
      <w:r>
        <w:rPr>
          <w:color w:val="231F1F"/>
          <w:w w:val="110"/>
        </w:rPr>
        <w:t>Golding (256;257),</w:t>
      </w:r>
      <w:r>
        <w:rPr>
          <w:color w:val="231F1F"/>
          <w:spacing w:val="-1"/>
          <w:w w:val="110"/>
        </w:rPr>
        <w:t> </w:t>
      </w:r>
      <w:r>
        <w:rPr>
          <w:color w:val="231F1F"/>
          <w:w w:val="110"/>
        </w:rPr>
        <w:t>la</w:t>
      </w:r>
      <w:r>
        <w:rPr>
          <w:color w:val="231F1F"/>
          <w:spacing w:val="-1"/>
          <w:w w:val="110"/>
        </w:rPr>
        <w:t> </w:t>
      </w:r>
      <w:r>
        <w:rPr>
          <w:color w:val="231F1F"/>
          <w:w w:val="110"/>
        </w:rPr>
        <w:t>vía</w:t>
      </w:r>
      <w:r>
        <w:rPr>
          <w:color w:val="231F1F"/>
          <w:spacing w:val="-1"/>
          <w:w w:val="110"/>
        </w:rPr>
        <w:t> </w:t>
      </w:r>
      <w:r>
        <w:rPr>
          <w:color w:val="231F1F"/>
          <w:w w:val="110"/>
        </w:rPr>
        <w:t>intramuscular</w:t>
      </w:r>
      <w:r>
        <w:rPr>
          <w:color w:val="231F1F"/>
          <w:spacing w:val="-1"/>
          <w:w w:val="110"/>
        </w:rPr>
        <w:t> </w:t>
      </w:r>
      <w:r>
        <w:rPr>
          <w:color w:val="231F1F"/>
          <w:w w:val="110"/>
        </w:rPr>
        <w:t>fue</w:t>
      </w:r>
      <w:r>
        <w:rPr>
          <w:color w:val="231F1F"/>
          <w:spacing w:val="-1"/>
          <w:w w:val="110"/>
        </w:rPr>
        <w:t> </w:t>
      </w:r>
      <w:r>
        <w:rPr>
          <w:color w:val="231F1F"/>
          <w:w w:val="110"/>
        </w:rPr>
        <w:t>la</w:t>
      </w:r>
      <w:r>
        <w:rPr>
          <w:color w:val="231F1F"/>
          <w:spacing w:val="-1"/>
          <w:w w:val="110"/>
        </w:rPr>
        <w:t> </w:t>
      </w:r>
      <w:r>
        <w:rPr>
          <w:color w:val="231F1F"/>
          <w:w w:val="110"/>
        </w:rPr>
        <w:t>más</w:t>
      </w:r>
      <w:r>
        <w:rPr>
          <w:color w:val="231F1F"/>
          <w:spacing w:val="-1"/>
          <w:w w:val="110"/>
        </w:rPr>
        <w:t> </w:t>
      </w:r>
      <w:r>
        <w:rPr>
          <w:color w:val="231F1F"/>
          <w:w w:val="110"/>
        </w:rPr>
        <w:t>común</w:t>
      </w:r>
      <w:r>
        <w:rPr>
          <w:color w:val="231F1F"/>
          <w:spacing w:val="-1"/>
          <w:w w:val="110"/>
        </w:rPr>
        <w:t> </w:t>
      </w:r>
      <w:r>
        <w:rPr>
          <w:color w:val="231F1F"/>
          <w:w w:val="110"/>
        </w:rPr>
        <w:t>a</w:t>
      </w:r>
      <w:r>
        <w:rPr>
          <w:color w:val="231F1F"/>
          <w:spacing w:val="-1"/>
          <w:w w:val="110"/>
        </w:rPr>
        <w:t> </w:t>
      </w:r>
      <w:r>
        <w:rPr>
          <w:color w:val="231F1F"/>
          <w:w w:val="110"/>
        </w:rPr>
        <w:t>la</w:t>
      </w:r>
      <w:r>
        <w:rPr>
          <w:color w:val="231F1F"/>
          <w:spacing w:val="-1"/>
          <w:w w:val="110"/>
        </w:rPr>
        <w:t> </w:t>
      </w:r>
      <w:r>
        <w:rPr>
          <w:color w:val="231F1F"/>
          <w:w w:val="110"/>
        </w:rPr>
        <w:t>hora</w:t>
      </w:r>
      <w:r>
        <w:rPr>
          <w:color w:val="231F1F"/>
          <w:spacing w:val="-1"/>
          <w:w w:val="110"/>
        </w:rPr>
        <w:t> </w:t>
      </w:r>
      <w:r>
        <w:rPr>
          <w:color w:val="231F1F"/>
          <w:w w:val="110"/>
        </w:rPr>
        <w:t>de administrar</w:t>
      </w:r>
      <w:r>
        <w:rPr>
          <w:color w:val="231F1F"/>
          <w:spacing w:val="-6"/>
          <w:w w:val="110"/>
        </w:rPr>
        <w:t> </w:t>
      </w:r>
      <w:r>
        <w:rPr>
          <w:color w:val="231F1F"/>
          <w:w w:val="110"/>
        </w:rPr>
        <w:t>vitamina</w:t>
      </w:r>
      <w:r>
        <w:rPr>
          <w:color w:val="231F1F"/>
          <w:spacing w:val="-5"/>
          <w:w w:val="110"/>
        </w:rPr>
        <w:t> </w:t>
      </w:r>
      <w:r>
        <w:rPr>
          <w:color w:val="231F1F"/>
          <w:w w:val="110"/>
        </w:rPr>
        <w:t>K</w:t>
      </w:r>
      <w:r>
        <w:rPr>
          <w:color w:val="231F1F"/>
          <w:spacing w:val="-4"/>
          <w:w w:val="110"/>
        </w:rPr>
        <w:t> </w:t>
      </w:r>
      <w:r>
        <w:rPr>
          <w:color w:val="231F1F"/>
          <w:w w:val="110"/>
        </w:rPr>
        <w:t>a</w:t>
      </w:r>
      <w:r>
        <w:rPr>
          <w:color w:val="231F1F"/>
          <w:spacing w:val="-5"/>
          <w:w w:val="110"/>
        </w:rPr>
        <w:t> </w:t>
      </w:r>
      <w:r>
        <w:rPr>
          <w:color w:val="231F1F"/>
          <w:w w:val="110"/>
        </w:rPr>
        <w:t>los</w:t>
      </w:r>
      <w:r>
        <w:rPr>
          <w:color w:val="231F1F"/>
          <w:spacing w:val="-6"/>
          <w:w w:val="110"/>
        </w:rPr>
        <w:t> </w:t>
      </w:r>
      <w:r>
        <w:rPr>
          <w:color w:val="231F1F"/>
          <w:w w:val="110"/>
        </w:rPr>
        <w:t>RN.</w:t>
      </w:r>
      <w:r>
        <w:rPr>
          <w:color w:val="231F1F"/>
          <w:spacing w:val="-6"/>
          <w:w w:val="110"/>
        </w:rPr>
        <w:t> </w:t>
      </w:r>
      <w:r>
        <w:rPr>
          <w:color w:val="231F1F"/>
          <w:w w:val="110"/>
        </w:rPr>
        <w:t>Posteriormente,</w:t>
      </w:r>
      <w:r>
        <w:rPr>
          <w:color w:val="231F1F"/>
          <w:spacing w:val="-6"/>
          <w:w w:val="110"/>
        </w:rPr>
        <w:t> </w:t>
      </w:r>
      <w:r>
        <w:rPr>
          <w:color w:val="231F1F"/>
          <w:w w:val="110"/>
        </w:rPr>
        <w:t>se</w:t>
      </w:r>
      <w:r>
        <w:rPr>
          <w:color w:val="231F1F"/>
          <w:spacing w:val="-5"/>
          <w:w w:val="110"/>
        </w:rPr>
        <w:t> </w:t>
      </w:r>
      <w:r>
        <w:rPr>
          <w:color w:val="231F1F"/>
          <w:w w:val="110"/>
        </w:rPr>
        <w:t>ha</w:t>
      </w:r>
      <w:r>
        <w:rPr>
          <w:color w:val="231F1F"/>
          <w:spacing w:val="-5"/>
          <w:w w:val="110"/>
        </w:rPr>
        <w:t> </w:t>
      </w:r>
      <w:r>
        <w:rPr>
          <w:color w:val="231F1F"/>
          <w:w w:val="110"/>
        </w:rPr>
        <w:t>recomendado</w:t>
      </w:r>
      <w:r>
        <w:rPr>
          <w:color w:val="231F1F"/>
          <w:spacing w:val="-5"/>
          <w:w w:val="110"/>
        </w:rPr>
        <w:t> </w:t>
      </w:r>
      <w:r>
        <w:rPr>
          <w:color w:val="231F1F"/>
          <w:w w:val="110"/>
        </w:rPr>
        <w:t>la</w:t>
      </w:r>
      <w:r>
        <w:rPr>
          <w:color w:val="231F1F"/>
          <w:spacing w:val="-5"/>
          <w:w w:val="110"/>
        </w:rPr>
        <w:t> </w:t>
      </w:r>
      <w:r>
        <w:rPr>
          <w:color w:val="231F1F"/>
          <w:w w:val="110"/>
        </w:rPr>
        <w:t>suplementación oral</w:t>
      </w:r>
      <w:r>
        <w:rPr>
          <w:color w:val="231F1F"/>
          <w:spacing w:val="-16"/>
          <w:w w:val="110"/>
        </w:rPr>
        <w:t> </w:t>
      </w:r>
      <w:r>
        <w:rPr>
          <w:color w:val="231F1F"/>
          <w:w w:val="110"/>
        </w:rPr>
        <w:t>de</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en</w:t>
      </w:r>
      <w:r>
        <w:rPr>
          <w:color w:val="231F1F"/>
          <w:spacing w:val="-15"/>
          <w:w w:val="110"/>
        </w:rPr>
        <w:t> </w:t>
      </w:r>
      <w:r>
        <w:rPr>
          <w:color w:val="231F1F"/>
          <w:w w:val="110"/>
        </w:rPr>
        <w:t>varias</w:t>
      </w:r>
      <w:r>
        <w:rPr>
          <w:color w:val="231F1F"/>
          <w:spacing w:val="-15"/>
          <w:w w:val="110"/>
        </w:rPr>
        <w:t> </w:t>
      </w:r>
      <w:r>
        <w:rPr>
          <w:color w:val="231F1F"/>
          <w:w w:val="110"/>
        </w:rPr>
        <w:t>dosis,</w:t>
      </w:r>
      <w:r>
        <w:rPr>
          <w:color w:val="231F1F"/>
          <w:spacing w:val="-15"/>
          <w:w w:val="110"/>
        </w:rPr>
        <w:t> </w:t>
      </w:r>
      <w:r>
        <w:rPr>
          <w:color w:val="231F1F"/>
          <w:w w:val="110"/>
        </w:rPr>
        <w:t>para</w:t>
      </w:r>
      <w:r>
        <w:rPr>
          <w:color w:val="231F1F"/>
          <w:spacing w:val="-15"/>
          <w:w w:val="110"/>
        </w:rPr>
        <w:t> </w:t>
      </w:r>
      <w:r>
        <w:rPr>
          <w:color w:val="231F1F"/>
          <w:w w:val="110"/>
        </w:rPr>
        <w:t>aquellos</w:t>
      </w:r>
      <w:r>
        <w:rPr>
          <w:color w:val="231F1F"/>
          <w:spacing w:val="-16"/>
          <w:w w:val="110"/>
        </w:rPr>
        <w:t> </w:t>
      </w:r>
      <w:r>
        <w:rPr>
          <w:color w:val="231F1F"/>
          <w:w w:val="110"/>
        </w:rPr>
        <w:t>niños</w:t>
      </w:r>
      <w:r>
        <w:rPr>
          <w:color w:val="231F1F"/>
          <w:spacing w:val="-15"/>
          <w:w w:val="110"/>
        </w:rPr>
        <w:t> </w:t>
      </w:r>
      <w:r>
        <w:rPr>
          <w:color w:val="231F1F"/>
          <w:w w:val="110"/>
        </w:rPr>
        <w:t>con</w:t>
      </w:r>
      <w:r>
        <w:rPr>
          <w:color w:val="231F1F"/>
          <w:spacing w:val="-15"/>
          <w:w w:val="110"/>
        </w:rPr>
        <w:t> </w:t>
      </w:r>
      <w:r>
        <w:rPr>
          <w:color w:val="231F1F"/>
          <w:w w:val="110"/>
        </w:rPr>
        <w:t>alimentación</w:t>
      </w:r>
      <w:r>
        <w:rPr>
          <w:color w:val="231F1F"/>
          <w:spacing w:val="-15"/>
          <w:w w:val="110"/>
        </w:rPr>
        <w:t> </w:t>
      </w:r>
      <w:r>
        <w:rPr>
          <w:color w:val="231F1F"/>
          <w:w w:val="110"/>
        </w:rPr>
        <w:t>materna.</w:t>
      </w:r>
      <w:r>
        <w:rPr>
          <w:color w:val="231F1F"/>
          <w:spacing w:val="-15"/>
          <w:w w:val="110"/>
        </w:rPr>
        <w:t> </w:t>
      </w:r>
      <w:r>
        <w:rPr>
          <w:color w:val="231F1F"/>
          <w:w w:val="110"/>
        </w:rPr>
        <w:t>Debido a la incertidumbre sobre la dosis óptima, los regímenes son variados.</w:t>
      </w:r>
    </w:p>
    <w:p>
      <w:pPr>
        <w:pStyle w:val="BodyText"/>
        <w:spacing w:line="244" w:lineRule="auto" w:before="143"/>
        <w:ind w:left="283" w:right="122" w:firstLine="453"/>
        <w:jc w:val="both"/>
      </w:pPr>
      <w:r>
        <w:rPr>
          <w:color w:val="231F1F"/>
          <w:w w:val="105"/>
        </w:rPr>
        <w:t>Además existen algunos problemas con la dosificación oral que podrían comprometer su efectividad como un bajo cumplimiento debido a que se necesitan varias dosis de vita- mina K oral durante varias semanas. (227;255).</w:t>
      </w:r>
    </w:p>
    <w:p>
      <w:pPr>
        <w:pStyle w:val="BodyText"/>
        <w:spacing w:line="252" w:lineRule="auto" w:before="143"/>
        <w:ind w:left="283" w:right="117" w:firstLine="453"/>
        <w:jc w:val="both"/>
      </w:pPr>
      <w:r>
        <w:rPr>
          <w:color w:val="231F1F"/>
          <w:w w:val="105"/>
        </w:rPr>
        <w:t>En diciembre de 1992, el Colegio Australiano de Pediatría y el Real Colegio Austra- liano</w:t>
      </w:r>
      <w:r>
        <w:rPr>
          <w:color w:val="231F1F"/>
          <w:w w:val="105"/>
        </w:rPr>
        <w:t> de</w:t>
      </w:r>
      <w:r>
        <w:rPr>
          <w:color w:val="231F1F"/>
          <w:w w:val="105"/>
        </w:rPr>
        <w:t> Obstetricia</w:t>
      </w:r>
      <w:r>
        <w:rPr>
          <w:color w:val="231F1F"/>
          <w:w w:val="105"/>
        </w:rPr>
        <w:t> y</w:t>
      </w:r>
      <w:r>
        <w:rPr>
          <w:color w:val="231F1F"/>
          <w:w w:val="105"/>
        </w:rPr>
        <w:t> Ginecología</w:t>
      </w:r>
      <w:r>
        <w:rPr>
          <w:color w:val="231F1F"/>
          <w:w w:val="105"/>
        </w:rPr>
        <w:t> recomendaron</w:t>
      </w:r>
      <w:r>
        <w:rPr>
          <w:color w:val="231F1F"/>
          <w:w w:val="105"/>
        </w:rPr>
        <w:t> reemplazar</w:t>
      </w:r>
      <w:r>
        <w:rPr>
          <w:color w:val="231F1F"/>
          <w:w w:val="105"/>
        </w:rPr>
        <w:t> la</w:t>
      </w:r>
      <w:r>
        <w:rPr>
          <w:color w:val="231F1F"/>
          <w:w w:val="105"/>
        </w:rPr>
        <w:t> vitamina</w:t>
      </w:r>
      <w:r>
        <w:rPr>
          <w:color w:val="231F1F"/>
          <w:w w:val="105"/>
        </w:rPr>
        <w:t> K</w:t>
      </w:r>
      <w:r>
        <w:rPr>
          <w:color w:val="231F1F"/>
          <w:w w:val="105"/>
        </w:rPr>
        <w:t> IM</w:t>
      </w:r>
      <w:r>
        <w:rPr>
          <w:color w:val="231F1F"/>
          <w:w w:val="105"/>
        </w:rPr>
        <w:t> por</w:t>
      </w:r>
      <w:r>
        <w:rPr>
          <w:color w:val="231F1F"/>
          <w:w w:val="105"/>
        </w:rPr>
        <w:t> tres dosis orales de 1 mg cada una. Sin embargo, la decisión fue anulada en 1994 debido al in- cremento en la incidencia de HDVK, enfatizando la eficacia de la profilaxis por vía IM. En diferentes países europeos, y a la luz del informe Golding (256), se comenzó a administrar la vitamina K por vía oral</w:t>
      </w:r>
    </w:p>
    <w:p>
      <w:pPr>
        <w:pStyle w:val="BodyText"/>
        <w:spacing w:before="173"/>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8" w:right="1386"/>
      </w:pPr>
      <w:r>
        <w:rPr>
          <w:color w:val="231F1F"/>
        </w:rPr>
        <w:t>La</w:t>
      </w:r>
      <w:r>
        <w:rPr>
          <w:color w:val="231F1F"/>
          <w:spacing w:val="31"/>
        </w:rPr>
        <w:t> </w:t>
      </w:r>
      <w:r>
        <w:rPr>
          <w:color w:val="231F1F"/>
        </w:rPr>
        <w:t>guía</w:t>
      </w:r>
      <w:r>
        <w:rPr>
          <w:color w:val="231F1F"/>
          <w:spacing w:val="33"/>
        </w:rPr>
        <w:t> </w:t>
      </w:r>
      <w:r>
        <w:rPr>
          <w:color w:val="231F1F"/>
        </w:rPr>
        <w:t>NICE</w:t>
      </w:r>
      <w:r>
        <w:rPr>
          <w:color w:val="231F1F"/>
          <w:spacing w:val="33"/>
        </w:rPr>
        <w:t> </w:t>
      </w:r>
      <w:r>
        <w:rPr>
          <w:color w:val="231F1F"/>
        </w:rPr>
        <w:t>Postnatal</w:t>
      </w:r>
      <w:r>
        <w:rPr>
          <w:color w:val="231F1F"/>
          <w:spacing w:val="31"/>
        </w:rPr>
        <w:t> </w:t>
      </w:r>
      <w:r>
        <w:rPr>
          <w:color w:val="231F1F"/>
        </w:rPr>
        <w:t>Care</w:t>
      </w:r>
      <w:r>
        <w:rPr>
          <w:color w:val="231F1F"/>
          <w:spacing w:val="33"/>
        </w:rPr>
        <w:t> </w:t>
      </w:r>
      <w:r>
        <w:rPr>
          <w:color w:val="231F1F"/>
        </w:rPr>
        <w:t>(227)</w:t>
      </w:r>
      <w:r>
        <w:rPr>
          <w:color w:val="231F1F"/>
          <w:spacing w:val="33"/>
        </w:rPr>
        <w:t> </w:t>
      </w:r>
      <w:r>
        <w:rPr>
          <w:color w:val="231F1F"/>
        </w:rPr>
        <w:t>publicada</w:t>
      </w:r>
      <w:r>
        <w:rPr>
          <w:color w:val="231F1F"/>
          <w:spacing w:val="33"/>
        </w:rPr>
        <w:t> </w:t>
      </w:r>
      <w:r>
        <w:rPr>
          <w:color w:val="231F1F"/>
        </w:rPr>
        <w:t>en</w:t>
      </w:r>
      <w:r>
        <w:rPr>
          <w:color w:val="231F1F"/>
          <w:spacing w:val="33"/>
        </w:rPr>
        <w:t> </w:t>
      </w:r>
      <w:r>
        <w:rPr>
          <w:color w:val="231F1F"/>
        </w:rPr>
        <w:t>julio</w:t>
      </w:r>
      <w:r>
        <w:rPr>
          <w:color w:val="231F1F"/>
          <w:spacing w:val="33"/>
        </w:rPr>
        <w:t> </w:t>
      </w:r>
      <w:r>
        <w:rPr>
          <w:color w:val="231F1F"/>
        </w:rPr>
        <w:t>de</w:t>
      </w:r>
      <w:r>
        <w:rPr>
          <w:color w:val="231F1F"/>
          <w:spacing w:val="33"/>
        </w:rPr>
        <w:t> </w:t>
      </w:r>
      <w:r>
        <w:rPr>
          <w:color w:val="231F1F"/>
        </w:rPr>
        <w:t>2006</w:t>
      </w:r>
      <w:r>
        <w:rPr>
          <w:color w:val="231F1F"/>
          <w:spacing w:val="33"/>
        </w:rPr>
        <w:t> </w:t>
      </w:r>
      <w:r>
        <w:rPr>
          <w:color w:val="231F1F"/>
        </w:rPr>
        <w:t>responde</w:t>
      </w:r>
      <w:r>
        <w:rPr>
          <w:color w:val="231F1F"/>
          <w:spacing w:val="33"/>
        </w:rPr>
        <w:t> </w:t>
      </w:r>
      <w:r>
        <w:rPr>
          <w:color w:val="231F1F"/>
        </w:rPr>
        <w:t>a</w:t>
      </w:r>
      <w:r>
        <w:rPr>
          <w:color w:val="231F1F"/>
          <w:spacing w:val="33"/>
        </w:rPr>
        <w:t> </w:t>
      </w:r>
      <w:r>
        <w:rPr>
          <w:color w:val="231F1F"/>
        </w:rPr>
        <w:t>la </w:t>
      </w:r>
      <w:r>
        <w:rPr>
          <w:color w:val="231F1F"/>
          <w:w w:val="110"/>
        </w:rPr>
        <w:t>pregunta sobre cuál es la mejor vía para administrar la vitamina K.</w:t>
      </w:r>
    </w:p>
    <w:p>
      <w:pPr>
        <w:pStyle w:val="BodyText"/>
        <w:tabs>
          <w:tab w:pos="8100" w:val="left" w:leader="none"/>
        </w:tabs>
        <w:spacing w:line="254" w:lineRule="auto" w:before="118"/>
        <w:ind w:left="287" w:right="594" w:firstLine="453"/>
      </w:pPr>
      <w:r>
        <w:rPr>
          <w:color w:val="231F1F"/>
          <w:w w:val="105"/>
          <w:position w:val="1"/>
        </w:rPr>
        <w:t>Para ello se basó en los resultados de una revisión Cochrane (265) que</w:t>
      </w:r>
      <w:r>
        <w:rPr>
          <w:color w:val="231F1F"/>
          <w:position w:val="1"/>
        </w:rPr>
        <w:tab/>
      </w:r>
      <w:r>
        <w:rPr>
          <w:rFonts w:ascii="Arial MT" w:hAnsi="Arial MT"/>
          <w:color w:val="231F1F"/>
          <w:spacing w:val="-22"/>
          <w:w w:val="105"/>
          <w:sz w:val="18"/>
        </w:rPr>
        <w:t>RS</w:t>
      </w:r>
      <w:r>
        <w:rPr>
          <w:rFonts w:ascii="Arial MT" w:hAnsi="Arial MT"/>
          <w:color w:val="231F1F"/>
          <w:w w:val="105"/>
          <w:sz w:val="18"/>
        </w:rPr>
        <w:t> </w:t>
      </w:r>
      <w:r>
        <w:rPr>
          <w:color w:val="231F1F"/>
          <w:w w:val="105"/>
        </w:rPr>
        <w:t>evaluó once ECAs en los que se comparaba la administración oral con la</w:t>
      </w:r>
      <w:r>
        <w:rPr>
          <w:color w:val="231F1F"/>
        </w:rPr>
        <w:tab/>
      </w:r>
      <w:r>
        <w:rPr>
          <w:color w:val="231F1F"/>
          <w:spacing w:val="-39"/>
        </w:rPr>
        <w:t> </w:t>
      </w:r>
      <w:r>
        <w:rPr>
          <w:rFonts w:ascii="Arial MT" w:hAnsi="Arial MT"/>
          <w:color w:val="231F1F"/>
          <w:spacing w:val="-6"/>
          <w:w w:val="105"/>
          <w:position w:val="2"/>
          <w:sz w:val="18"/>
        </w:rPr>
        <w:t>1+ </w:t>
      </w:r>
      <w:r>
        <w:rPr>
          <w:color w:val="231F1F"/>
          <w:w w:val="105"/>
        </w:rPr>
        <w:t>administración</w:t>
      </w:r>
      <w:r>
        <w:rPr>
          <w:color w:val="231F1F"/>
          <w:spacing w:val="40"/>
          <w:w w:val="105"/>
        </w:rPr>
        <w:t> </w:t>
      </w:r>
      <w:r>
        <w:rPr>
          <w:color w:val="231F1F"/>
          <w:w w:val="105"/>
        </w:rPr>
        <w:t>IM</w:t>
      </w:r>
      <w:r>
        <w:rPr>
          <w:color w:val="231F1F"/>
          <w:spacing w:val="40"/>
          <w:w w:val="105"/>
        </w:rPr>
        <w:t> </w:t>
      </w:r>
      <w:r>
        <w:rPr>
          <w:color w:val="231F1F"/>
          <w:w w:val="105"/>
        </w:rPr>
        <w:t>de</w:t>
      </w:r>
      <w:r>
        <w:rPr>
          <w:color w:val="231F1F"/>
          <w:spacing w:val="40"/>
          <w:w w:val="105"/>
        </w:rPr>
        <w:t> </w:t>
      </w:r>
      <w:r>
        <w:rPr>
          <w:color w:val="231F1F"/>
          <w:w w:val="105"/>
        </w:rPr>
        <w:t>vitamina</w:t>
      </w:r>
      <w:r>
        <w:rPr>
          <w:color w:val="231F1F"/>
          <w:spacing w:val="40"/>
          <w:w w:val="105"/>
        </w:rPr>
        <w:t> </w:t>
      </w:r>
      <w:r>
        <w:rPr>
          <w:color w:val="231F1F"/>
          <w:w w:val="105"/>
        </w:rPr>
        <w:t>K</w:t>
      </w:r>
      <w:r>
        <w:rPr>
          <w:color w:val="231F1F"/>
          <w:spacing w:val="40"/>
          <w:w w:val="105"/>
        </w:rPr>
        <w:t> </w:t>
      </w:r>
      <w:r>
        <w:rPr>
          <w:color w:val="231F1F"/>
          <w:w w:val="105"/>
        </w:rPr>
        <w:t>utilizando</w:t>
      </w:r>
      <w:r>
        <w:rPr>
          <w:color w:val="231F1F"/>
          <w:spacing w:val="40"/>
          <w:w w:val="105"/>
        </w:rPr>
        <w:t> </w:t>
      </w:r>
      <w:r>
        <w:rPr>
          <w:color w:val="231F1F"/>
          <w:w w:val="105"/>
        </w:rPr>
        <w:t>como</w:t>
      </w:r>
      <w:r>
        <w:rPr>
          <w:color w:val="231F1F"/>
          <w:spacing w:val="40"/>
          <w:w w:val="105"/>
        </w:rPr>
        <w:t> </w:t>
      </w:r>
      <w:r>
        <w:rPr>
          <w:color w:val="231F1F"/>
          <w:w w:val="105"/>
        </w:rPr>
        <w:t>medidas</w:t>
      </w:r>
      <w:r>
        <w:rPr>
          <w:color w:val="231F1F"/>
          <w:spacing w:val="40"/>
          <w:w w:val="105"/>
        </w:rPr>
        <w:t> </w:t>
      </w:r>
      <w:r>
        <w:rPr>
          <w:color w:val="231F1F"/>
          <w:w w:val="105"/>
        </w:rPr>
        <w:t>de</w:t>
      </w:r>
      <w:r>
        <w:rPr>
          <w:color w:val="231F1F"/>
          <w:spacing w:val="40"/>
          <w:w w:val="105"/>
        </w:rPr>
        <w:t> </w:t>
      </w:r>
      <w:r>
        <w:rPr>
          <w:color w:val="231F1F"/>
          <w:w w:val="105"/>
        </w:rPr>
        <w:t>resultado parámetros</w:t>
      </w:r>
      <w:r>
        <w:rPr>
          <w:color w:val="231F1F"/>
          <w:spacing w:val="40"/>
          <w:w w:val="105"/>
        </w:rPr>
        <w:t> </w:t>
      </w:r>
      <w:r>
        <w:rPr>
          <w:color w:val="231F1F"/>
          <w:w w:val="105"/>
        </w:rPr>
        <w:t>bioquímicos</w:t>
      </w:r>
      <w:r>
        <w:rPr>
          <w:color w:val="231F1F"/>
          <w:spacing w:val="40"/>
          <w:w w:val="105"/>
        </w:rPr>
        <w:t> </w:t>
      </w:r>
      <w:r>
        <w:rPr>
          <w:color w:val="231F1F"/>
          <w:w w:val="105"/>
        </w:rPr>
        <w:t>del</w:t>
      </w:r>
      <w:r>
        <w:rPr>
          <w:color w:val="231F1F"/>
          <w:spacing w:val="40"/>
          <w:w w:val="105"/>
        </w:rPr>
        <w:t> </w:t>
      </w:r>
      <w:r>
        <w:rPr>
          <w:color w:val="231F1F"/>
          <w:w w:val="105"/>
        </w:rPr>
        <w:t>estado</w:t>
      </w:r>
      <w:r>
        <w:rPr>
          <w:color w:val="231F1F"/>
          <w:spacing w:val="40"/>
          <w:w w:val="105"/>
        </w:rPr>
        <w:t> </w:t>
      </w:r>
      <w:r>
        <w:rPr>
          <w:color w:val="231F1F"/>
          <w:w w:val="105"/>
        </w:rPr>
        <w:t>de</w:t>
      </w:r>
      <w:r>
        <w:rPr>
          <w:color w:val="231F1F"/>
          <w:spacing w:val="40"/>
          <w:w w:val="105"/>
        </w:rPr>
        <w:t> </w:t>
      </w:r>
      <w:r>
        <w:rPr>
          <w:color w:val="231F1F"/>
          <w:w w:val="105"/>
        </w:rPr>
        <w:t>coagulación.</w:t>
      </w:r>
      <w:r>
        <w:rPr>
          <w:color w:val="231F1F"/>
          <w:spacing w:val="40"/>
          <w:w w:val="105"/>
        </w:rPr>
        <w:t> </w:t>
      </w:r>
      <w:r>
        <w:rPr>
          <w:color w:val="231F1F"/>
          <w:w w:val="105"/>
        </w:rPr>
        <w:t>Los</w:t>
      </w:r>
      <w:r>
        <w:rPr>
          <w:color w:val="231F1F"/>
          <w:spacing w:val="40"/>
          <w:w w:val="105"/>
        </w:rPr>
        <w:t> </w:t>
      </w:r>
      <w:r>
        <w:rPr>
          <w:color w:val="231F1F"/>
          <w:w w:val="105"/>
        </w:rPr>
        <w:t>resultados</w:t>
      </w:r>
      <w:r>
        <w:rPr>
          <w:color w:val="231F1F"/>
          <w:spacing w:val="40"/>
          <w:w w:val="105"/>
        </w:rPr>
        <w:t> </w:t>
      </w:r>
      <w:r>
        <w:rPr>
          <w:color w:val="231F1F"/>
          <w:w w:val="105"/>
        </w:rPr>
        <w:t>obtenidos mostraron</w:t>
      </w:r>
      <w:r>
        <w:rPr>
          <w:color w:val="231F1F"/>
          <w:spacing w:val="40"/>
          <w:w w:val="105"/>
        </w:rPr>
        <w:t> </w:t>
      </w:r>
      <w:r>
        <w:rPr>
          <w:color w:val="231F1F"/>
          <w:w w:val="105"/>
        </w:rPr>
        <w:t>que</w:t>
      </w:r>
      <w:r>
        <w:rPr>
          <w:color w:val="231F1F"/>
          <w:spacing w:val="40"/>
          <w:w w:val="105"/>
        </w:rPr>
        <w:t> </w:t>
      </w:r>
      <w:r>
        <w:rPr>
          <w:color w:val="231F1F"/>
          <w:w w:val="105"/>
        </w:rPr>
        <w:t>en</w:t>
      </w:r>
      <w:r>
        <w:rPr>
          <w:color w:val="231F1F"/>
          <w:spacing w:val="40"/>
          <w:w w:val="105"/>
        </w:rPr>
        <w:t> </w:t>
      </w:r>
      <w:r>
        <w:rPr>
          <w:color w:val="231F1F"/>
          <w:w w:val="105"/>
        </w:rPr>
        <w:t>comparación</w:t>
      </w:r>
      <w:r>
        <w:rPr>
          <w:color w:val="231F1F"/>
          <w:spacing w:val="40"/>
          <w:w w:val="105"/>
        </w:rPr>
        <w:t> </w:t>
      </w:r>
      <w:r>
        <w:rPr>
          <w:color w:val="231F1F"/>
          <w:w w:val="105"/>
        </w:rPr>
        <w:t>con</w:t>
      </w:r>
      <w:r>
        <w:rPr>
          <w:color w:val="231F1F"/>
          <w:spacing w:val="40"/>
          <w:w w:val="105"/>
        </w:rPr>
        <w:t> </w:t>
      </w:r>
      <w:r>
        <w:rPr>
          <w:color w:val="231F1F"/>
          <w:w w:val="105"/>
        </w:rPr>
        <w:t>una</w:t>
      </w:r>
      <w:r>
        <w:rPr>
          <w:color w:val="231F1F"/>
          <w:spacing w:val="40"/>
          <w:w w:val="105"/>
        </w:rPr>
        <w:t> </w:t>
      </w:r>
      <w:r>
        <w:rPr>
          <w:color w:val="231F1F"/>
          <w:w w:val="105"/>
        </w:rPr>
        <w:t>dosis</w:t>
      </w:r>
      <w:r>
        <w:rPr>
          <w:color w:val="231F1F"/>
          <w:spacing w:val="40"/>
          <w:w w:val="105"/>
        </w:rPr>
        <w:t> </w:t>
      </w:r>
      <w:r>
        <w:rPr>
          <w:color w:val="231F1F"/>
          <w:w w:val="105"/>
        </w:rPr>
        <w:t>única</w:t>
      </w:r>
      <w:r>
        <w:rPr>
          <w:color w:val="231F1F"/>
          <w:spacing w:val="40"/>
          <w:w w:val="105"/>
        </w:rPr>
        <w:t> </w:t>
      </w:r>
      <w:r>
        <w:rPr>
          <w:color w:val="231F1F"/>
          <w:w w:val="105"/>
        </w:rPr>
        <w:t>IM,</w:t>
      </w:r>
      <w:r>
        <w:rPr>
          <w:color w:val="231F1F"/>
          <w:spacing w:val="40"/>
          <w:w w:val="105"/>
        </w:rPr>
        <w:t> </w:t>
      </w:r>
      <w:r>
        <w:rPr>
          <w:color w:val="231F1F"/>
          <w:w w:val="105"/>
        </w:rPr>
        <w:t>una</w:t>
      </w:r>
      <w:r>
        <w:rPr>
          <w:color w:val="231F1F"/>
          <w:spacing w:val="40"/>
          <w:w w:val="105"/>
        </w:rPr>
        <w:t> </w:t>
      </w:r>
      <w:r>
        <w:rPr>
          <w:color w:val="231F1F"/>
          <w:w w:val="105"/>
        </w:rPr>
        <w:t>dosis</w:t>
      </w:r>
      <w:r>
        <w:rPr>
          <w:color w:val="231F1F"/>
          <w:spacing w:val="40"/>
          <w:w w:val="105"/>
        </w:rPr>
        <w:t> </w:t>
      </w:r>
      <w:r>
        <w:rPr>
          <w:color w:val="231F1F"/>
          <w:w w:val="105"/>
        </w:rPr>
        <w:t>única</w:t>
      </w:r>
      <w:r>
        <w:rPr>
          <w:color w:val="231F1F"/>
          <w:spacing w:val="40"/>
          <w:w w:val="105"/>
        </w:rPr>
        <w:t> </w:t>
      </w:r>
      <w:r>
        <w:rPr>
          <w:color w:val="231F1F"/>
          <w:w w:val="105"/>
        </w:rPr>
        <w:t>oral mostró niveles más bajos de vitamina K a las dos semanas y al mes, mientras</w:t>
      </w:r>
    </w:p>
    <w:p>
      <w:pPr>
        <w:pStyle w:val="BodyText"/>
        <w:spacing w:line="256" w:lineRule="auto" w:before="3"/>
        <w:ind w:left="287" w:right="1367"/>
        <w:jc w:val="both"/>
      </w:pPr>
      <w:r>
        <w:rPr>
          <w:color w:val="231F1F"/>
          <w:w w:val="105"/>
        </w:rPr>
        <w:t>que</w:t>
      </w:r>
      <w:r>
        <w:rPr>
          <w:color w:val="231F1F"/>
          <w:spacing w:val="26"/>
          <w:w w:val="105"/>
        </w:rPr>
        <w:t> </w:t>
      </w:r>
      <w:r>
        <w:rPr>
          <w:color w:val="231F1F"/>
          <w:w w:val="105"/>
        </w:rPr>
        <w:t>con</w:t>
      </w:r>
      <w:r>
        <w:rPr>
          <w:color w:val="231F1F"/>
          <w:spacing w:val="26"/>
          <w:w w:val="105"/>
        </w:rPr>
        <w:t> </w:t>
      </w:r>
      <w:r>
        <w:rPr>
          <w:color w:val="231F1F"/>
          <w:w w:val="105"/>
        </w:rPr>
        <w:t>la</w:t>
      </w:r>
      <w:r>
        <w:rPr>
          <w:color w:val="231F1F"/>
          <w:spacing w:val="26"/>
          <w:w w:val="105"/>
        </w:rPr>
        <w:t> </w:t>
      </w:r>
      <w:r>
        <w:rPr>
          <w:color w:val="231F1F"/>
          <w:w w:val="105"/>
        </w:rPr>
        <w:t>administración</w:t>
      </w:r>
      <w:r>
        <w:rPr>
          <w:color w:val="231F1F"/>
          <w:spacing w:val="27"/>
          <w:w w:val="105"/>
        </w:rPr>
        <w:t> </w:t>
      </w:r>
      <w:r>
        <w:rPr>
          <w:color w:val="231F1F"/>
          <w:w w:val="105"/>
        </w:rPr>
        <w:t>de</w:t>
      </w:r>
      <w:r>
        <w:rPr>
          <w:color w:val="231F1F"/>
          <w:spacing w:val="26"/>
          <w:w w:val="105"/>
        </w:rPr>
        <w:t> </w:t>
      </w:r>
      <w:r>
        <w:rPr>
          <w:color w:val="231F1F"/>
          <w:w w:val="105"/>
        </w:rPr>
        <w:t>3</w:t>
      </w:r>
      <w:r>
        <w:rPr>
          <w:color w:val="231F1F"/>
          <w:spacing w:val="26"/>
          <w:w w:val="105"/>
        </w:rPr>
        <w:t> </w:t>
      </w:r>
      <w:r>
        <w:rPr>
          <w:color w:val="231F1F"/>
          <w:w w:val="105"/>
        </w:rPr>
        <w:t>dosis</w:t>
      </w:r>
      <w:r>
        <w:rPr>
          <w:color w:val="231F1F"/>
          <w:spacing w:val="26"/>
          <w:w w:val="105"/>
        </w:rPr>
        <w:t> </w:t>
      </w:r>
      <w:r>
        <w:rPr>
          <w:color w:val="231F1F"/>
          <w:w w:val="105"/>
        </w:rPr>
        <w:t>orales</w:t>
      </w:r>
      <w:r>
        <w:rPr>
          <w:color w:val="231F1F"/>
          <w:spacing w:val="25"/>
          <w:w w:val="105"/>
        </w:rPr>
        <w:t> </w:t>
      </w:r>
      <w:r>
        <w:rPr>
          <w:color w:val="231F1F"/>
          <w:w w:val="105"/>
        </w:rPr>
        <w:t>se</w:t>
      </w:r>
      <w:r>
        <w:rPr>
          <w:color w:val="231F1F"/>
          <w:spacing w:val="26"/>
          <w:w w:val="105"/>
        </w:rPr>
        <w:t> </w:t>
      </w:r>
      <w:r>
        <w:rPr>
          <w:color w:val="231F1F"/>
          <w:w w:val="105"/>
        </w:rPr>
        <w:t>obtuvieron</w:t>
      </w:r>
      <w:r>
        <w:rPr>
          <w:color w:val="231F1F"/>
          <w:spacing w:val="25"/>
          <w:w w:val="105"/>
        </w:rPr>
        <w:t> </w:t>
      </w:r>
      <w:r>
        <w:rPr>
          <w:color w:val="231F1F"/>
          <w:w w:val="105"/>
        </w:rPr>
        <w:t>niveles</w:t>
      </w:r>
      <w:r>
        <w:rPr>
          <w:color w:val="231F1F"/>
          <w:spacing w:val="25"/>
          <w:w w:val="105"/>
        </w:rPr>
        <w:t> </w:t>
      </w:r>
      <w:r>
        <w:rPr>
          <w:color w:val="231F1F"/>
          <w:w w:val="105"/>
        </w:rPr>
        <w:t>más</w:t>
      </w:r>
      <w:r>
        <w:rPr>
          <w:color w:val="231F1F"/>
          <w:spacing w:val="26"/>
          <w:w w:val="105"/>
        </w:rPr>
        <w:t> </w:t>
      </w:r>
      <w:r>
        <w:rPr>
          <w:color w:val="231F1F"/>
          <w:w w:val="105"/>
        </w:rPr>
        <w:t>altos de</w:t>
      </w:r>
      <w:r>
        <w:rPr>
          <w:color w:val="231F1F"/>
          <w:w w:val="105"/>
        </w:rPr>
        <w:t> vitamina</w:t>
      </w:r>
      <w:r>
        <w:rPr>
          <w:color w:val="231F1F"/>
          <w:w w:val="105"/>
        </w:rPr>
        <w:t> K</w:t>
      </w:r>
      <w:r>
        <w:rPr>
          <w:color w:val="231F1F"/>
          <w:w w:val="105"/>
        </w:rPr>
        <w:t> a</w:t>
      </w:r>
      <w:r>
        <w:rPr>
          <w:color w:val="231F1F"/>
          <w:w w:val="105"/>
        </w:rPr>
        <w:t> las</w:t>
      </w:r>
      <w:r>
        <w:rPr>
          <w:color w:val="231F1F"/>
          <w:w w:val="105"/>
        </w:rPr>
        <w:t> dos</w:t>
      </w:r>
      <w:r>
        <w:rPr>
          <w:color w:val="231F1F"/>
          <w:w w:val="105"/>
        </w:rPr>
        <w:t> semanas</w:t>
      </w:r>
      <w:r>
        <w:rPr>
          <w:color w:val="231F1F"/>
          <w:w w:val="105"/>
        </w:rPr>
        <w:t> y</w:t>
      </w:r>
      <w:r>
        <w:rPr>
          <w:color w:val="231F1F"/>
          <w:w w:val="105"/>
        </w:rPr>
        <w:t> a</w:t>
      </w:r>
      <w:r>
        <w:rPr>
          <w:color w:val="231F1F"/>
          <w:w w:val="105"/>
        </w:rPr>
        <w:t> los</w:t>
      </w:r>
      <w:r>
        <w:rPr>
          <w:color w:val="231F1F"/>
          <w:w w:val="105"/>
        </w:rPr>
        <w:t> dos</w:t>
      </w:r>
      <w:r>
        <w:rPr>
          <w:color w:val="231F1F"/>
          <w:w w:val="105"/>
        </w:rPr>
        <w:t> meses</w:t>
      </w:r>
      <w:r>
        <w:rPr>
          <w:color w:val="231F1F"/>
          <w:w w:val="105"/>
        </w:rPr>
        <w:t> que</w:t>
      </w:r>
      <w:r>
        <w:rPr>
          <w:color w:val="231F1F"/>
          <w:w w:val="105"/>
        </w:rPr>
        <w:t> con</w:t>
      </w:r>
      <w:r>
        <w:rPr>
          <w:color w:val="231F1F"/>
          <w:w w:val="105"/>
        </w:rPr>
        <w:t> una</w:t>
      </w:r>
      <w:r>
        <w:rPr>
          <w:color w:val="231F1F"/>
          <w:w w:val="105"/>
        </w:rPr>
        <w:t> dosis</w:t>
      </w:r>
      <w:r>
        <w:rPr>
          <w:color w:val="231F1F"/>
          <w:w w:val="105"/>
        </w:rPr>
        <w:t> IM </w:t>
      </w:r>
      <w:r>
        <w:rPr>
          <w:color w:val="231F1F"/>
          <w:spacing w:val="-2"/>
          <w:w w:val="105"/>
        </w:rPr>
        <w:t>única.</w:t>
      </w:r>
    </w:p>
    <w:p>
      <w:pPr>
        <w:pStyle w:val="BodyText"/>
        <w:tabs>
          <w:tab w:pos="8114" w:val="left" w:leader="none"/>
        </w:tabs>
        <w:spacing w:line="256" w:lineRule="auto" w:before="105"/>
        <w:ind w:left="283" w:right="313" w:firstLine="453"/>
      </w:pPr>
      <w:r>
        <w:rPr>
          <w:color w:val="231F1F"/>
          <w:w w:val="105"/>
        </w:rPr>
        <w:t>Un</w:t>
      </w:r>
      <w:r>
        <w:rPr>
          <w:color w:val="231F1F"/>
          <w:spacing w:val="-2"/>
          <w:w w:val="105"/>
        </w:rPr>
        <w:t> </w:t>
      </w:r>
      <w:r>
        <w:rPr>
          <w:color w:val="231F1F"/>
          <w:w w:val="105"/>
        </w:rPr>
        <w:t>estudio</w:t>
      </w:r>
      <w:r>
        <w:rPr>
          <w:color w:val="231F1F"/>
          <w:spacing w:val="-1"/>
          <w:w w:val="105"/>
        </w:rPr>
        <w:t> </w:t>
      </w:r>
      <w:r>
        <w:rPr>
          <w:color w:val="231F1F"/>
          <w:w w:val="105"/>
        </w:rPr>
        <w:t>de</w:t>
      </w:r>
      <w:r>
        <w:rPr>
          <w:color w:val="231F1F"/>
          <w:spacing w:val="-1"/>
          <w:w w:val="105"/>
        </w:rPr>
        <w:t> </w:t>
      </w:r>
      <w:r>
        <w:rPr>
          <w:color w:val="231F1F"/>
          <w:w w:val="105"/>
        </w:rPr>
        <w:t>intervención</w:t>
      </w:r>
      <w:r>
        <w:rPr>
          <w:color w:val="231F1F"/>
          <w:w w:val="105"/>
        </w:rPr>
        <w:t> realizado</w:t>
      </w:r>
      <w:r>
        <w:rPr>
          <w:color w:val="231F1F"/>
          <w:w w:val="105"/>
        </w:rPr>
        <w:t> en</w:t>
      </w:r>
      <w:r>
        <w:rPr>
          <w:color w:val="231F1F"/>
          <w:spacing w:val="-1"/>
          <w:w w:val="105"/>
        </w:rPr>
        <w:t> </w:t>
      </w:r>
      <w:r>
        <w:rPr>
          <w:color w:val="231F1F"/>
          <w:w w:val="105"/>
        </w:rPr>
        <w:t>Inglaterra</w:t>
      </w:r>
      <w:r>
        <w:rPr>
          <w:color w:val="231F1F"/>
          <w:spacing w:val="-1"/>
          <w:w w:val="105"/>
        </w:rPr>
        <w:t> </w:t>
      </w:r>
      <w:r>
        <w:rPr>
          <w:color w:val="231F1F"/>
          <w:w w:val="105"/>
        </w:rPr>
        <w:t>durante</w:t>
      </w:r>
      <w:r>
        <w:rPr>
          <w:color w:val="231F1F"/>
          <w:spacing w:val="-1"/>
          <w:w w:val="105"/>
        </w:rPr>
        <w:t> </w:t>
      </w:r>
      <w:r>
        <w:rPr>
          <w:color w:val="231F1F"/>
          <w:w w:val="105"/>
        </w:rPr>
        <w:t>6</w:t>
      </w:r>
      <w:r>
        <w:rPr>
          <w:color w:val="231F1F"/>
          <w:spacing w:val="-2"/>
          <w:w w:val="105"/>
        </w:rPr>
        <w:t> </w:t>
      </w:r>
      <w:r>
        <w:rPr>
          <w:color w:val="231F1F"/>
          <w:w w:val="105"/>
        </w:rPr>
        <w:t>años</w:t>
      </w:r>
      <w:r>
        <w:rPr>
          <w:color w:val="231F1F"/>
          <w:spacing w:val="-1"/>
          <w:w w:val="105"/>
        </w:rPr>
        <w:t> </w:t>
      </w:r>
      <w:r>
        <w:rPr>
          <w:color w:val="231F1F"/>
          <w:w w:val="105"/>
        </w:rPr>
        <w:t>(266)</w:t>
      </w:r>
      <w:r>
        <w:rPr>
          <w:color w:val="231F1F"/>
          <w:spacing w:val="30"/>
          <w:w w:val="105"/>
        </w:rPr>
        <w:t> </w:t>
      </w:r>
      <w:r>
        <w:rPr>
          <w:rFonts w:ascii="Arial MT" w:hAnsi="Arial MT"/>
          <w:color w:val="231F1F"/>
          <w:w w:val="105"/>
          <w:sz w:val="18"/>
        </w:rPr>
        <w:t>E.</w:t>
      </w:r>
      <w:r>
        <w:rPr>
          <w:rFonts w:ascii="Arial MT" w:hAnsi="Arial MT"/>
          <w:color w:val="231F1F"/>
          <w:w w:val="105"/>
          <w:sz w:val="18"/>
        </w:rPr>
        <w:t> transversal </w:t>
      </w:r>
      <w:r>
        <w:rPr>
          <w:color w:val="231F1F"/>
          <w:w w:val="105"/>
        </w:rPr>
        <w:t>describe que a 182.000 RN se les administró 1mg de vitamina K oral y en el</w:t>
      </w:r>
      <w:r>
        <w:rPr>
          <w:color w:val="231F1F"/>
        </w:rPr>
        <w:tab/>
      </w:r>
      <w:r>
        <w:rPr>
          <w:rFonts w:ascii="Arial MT" w:hAnsi="Arial MT"/>
          <w:color w:val="231F1F"/>
          <w:spacing w:val="-6"/>
          <w:w w:val="105"/>
          <w:position w:val="4"/>
          <w:sz w:val="18"/>
        </w:rPr>
        <w:t>2+ </w:t>
      </w:r>
      <w:r>
        <w:rPr>
          <w:color w:val="231F1F"/>
          <w:w w:val="105"/>
        </w:rPr>
        <w:t>caso</w:t>
      </w:r>
      <w:r>
        <w:rPr>
          <w:color w:val="231F1F"/>
          <w:spacing w:val="34"/>
          <w:w w:val="105"/>
        </w:rPr>
        <w:t> </w:t>
      </w:r>
      <w:r>
        <w:rPr>
          <w:color w:val="231F1F"/>
          <w:w w:val="105"/>
        </w:rPr>
        <w:t>de</w:t>
      </w:r>
      <w:r>
        <w:rPr>
          <w:color w:val="231F1F"/>
          <w:spacing w:val="34"/>
          <w:w w:val="105"/>
        </w:rPr>
        <w:t> </w:t>
      </w:r>
      <w:r>
        <w:rPr>
          <w:color w:val="231F1F"/>
          <w:w w:val="105"/>
        </w:rPr>
        <w:t>tener</w:t>
      </w:r>
      <w:r>
        <w:rPr>
          <w:color w:val="231F1F"/>
          <w:spacing w:val="34"/>
          <w:w w:val="105"/>
        </w:rPr>
        <w:t> </w:t>
      </w:r>
      <w:r>
        <w:rPr>
          <w:color w:val="231F1F"/>
          <w:w w:val="105"/>
        </w:rPr>
        <w:t>alto</w:t>
      </w:r>
      <w:r>
        <w:rPr>
          <w:color w:val="231F1F"/>
          <w:spacing w:val="34"/>
          <w:w w:val="105"/>
        </w:rPr>
        <w:t> </w:t>
      </w:r>
      <w:r>
        <w:rPr>
          <w:color w:val="231F1F"/>
          <w:w w:val="105"/>
        </w:rPr>
        <w:t>riesgo</w:t>
      </w:r>
      <w:r>
        <w:rPr>
          <w:color w:val="231F1F"/>
          <w:spacing w:val="34"/>
          <w:w w:val="105"/>
        </w:rPr>
        <w:t> </w:t>
      </w:r>
      <w:r>
        <w:rPr>
          <w:color w:val="231F1F"/>
          <w:w w:val="105"/>
        </w:rPr>
        <w:t>de</w:t>
      </w:r>
      <w:r>
        <w:rPr>
          <w:color w:val="231F1F"/>
          <w:spacing w:val="34"/>
          <w:w w:val="105"/>
        </w:rPr>
        <w:t> </w:t>
      </w:r>
      <w:r>
        <w:rPr>
          <w:color w:val="231F1F"/>
          <w:w w:val="105"/>
        </w:rPr>
        <w:t>sangrado</w:t>
      </w:r>
      <w:r>
        <w:rPr>
          <w:color w:val="231F1F"/>
          <w:spacing w:val="34"/>
          <w:w w:val="105"/>
        </w:rPr>
        <w:t> </w:t>
      </w:r>
      <w:r>
        <w:rPr>
          <w:color w:val="231F1F"/>
          <w:w w:val="105"/>
        </w:rPr>
        <w:t>(13.472)</w:t>
      </w:r>
      <w:r>
        <w:rPr>
          <w:color w:val="231F1F"/>
          <w:spacing w:val="34"/>
          <w:w w:val="105"/>
        </w:rPr>
        <w:t> </w:t>
      </w:r>
      <w:r>
        <w:rPr>
          <w:color w:val="231F1F"/>
          <w:w w:val="105"/>
        </w:rPr>
        <w:t>0,1</w:t>
      </w:r>
      <w:r>
        <w:rPr>
          <w:color w:val="231F1F"/>
          <w:spacing w:val="34"/>
          <w:w w:val="105"/>
        </w:rPr>
        <w:t> </w:t>
      </w:r>
      <w:r>
        <w:rPr>
          <w:color w:val="231F1F"/>
          <w:w w:val="105"/>
        </w:rPr>
        <w:t>mg/kg</w:t>
      </w:r>
      <w:r>
        <w:rPr>
          <w:color w:val="231F1F"/>
          <w:spacing w:val="34"/>
          <w:w w:val="105"/>
        </w:rPr>
        <w:t> </w:t>
      </w:r>
      <w:r>
        <w:rPr>
          <w:color w:val="231F1F"/>
          <w:w w:val="105"/>
        </w:rPr>
        <w:t>IM</w:t>
      </w:r>
      <w:r>
        <w:rPr>
          <w:color w:val="231F1F"/>
          <w:spacing w:val="34"/>
          <w:w w:val="105"/>
        </w:rPr>
        <w:t> </w:t>
      </w:r>
      <w:r>
        <w:rPr>
          <w:color w:val="231F1F"/>
          <w:w w:val="105"/>
        </w:rPr>
        <w:t>de</w:t>
      </w:r>
      <w:r>
        <w:rPr>
          <w:color w:val="231F1F"/>
          <w:spacing w:val="34"/>
          <w:w w:val="105"/>
        </w:rPr>
        <w:t> </w:t>
      </w:r>
      <w:r>
        <w:rPr>
          <w:color w:val="231F1F"/>
          <w:w w:val="105"/>
        </w:rPr>
        <w:t>vitamina</w:t>
      </w:r>
      <w:r>
        <w:rPr>
          <w:color w:val="231F1F"/>
          <w:spacing w:val="34"/>
          <w:w w:val="105"/>
        </w:rPr>
        <w:t> </w:t>
      </w:r>
      <w:r>
        <w:rPr>
          <w:color w:val="231F1F"/>
          <w:w w:val="105"/>
        </w:rPr>
        <w:t>K.</w:t>
      </w:r>
    </w:p>
    <w:p>
      <w:pPr>
        <w:pStyle w:val="BodyText"/>
        <w:spacing w:line="239" w:lineRule="exact"/>
        <w:ind w:left="283"/>
        <w:jc w:val="both"/>
      </w:pPr>
      <w:r>
        <w:rPr>
          <w:color w:val="231F1F"/>
          <w:w w:val="105"/>
        </w:rPr>
        <w:t>Independientemente</w:t>
      </w:r>
      <w:r>
        <w:rPr>
          <w:color w:val="231F1F"/>
          <w:spacing w:val="45"/>
          <w:w w:val="105"/>
        </w:rPr>
        <w:t> </w:t>
      </w:r>
      <w:r>
        <w:rPr>
          <w:color w:val="231F1F"/>
          <w:w w:val="105"/>
        </w:rPr>
        <w:t>del</w:t>
      </w:r>
      <w:r>
        <w:rPr>
          <w:color w:val="231F1F"/>
          <w:spacing w:val="46"/>
          <w:w w:val="105"/>
        </w:rPr>
        <w:t> </w:t>
      </w:r>
      <w:r>
        <w:rPr>
          <w:color w:val="231F1F"/>
          <w:w w:val="105"/>
        </w:rPr>
        <w:t>tratamiento</w:t>
      </w:r>
      <w:r>
        <w:rPr>
          <w:color w:val="231F1F"/>
          <w:spacing w:val="46"/>
          <w:w w:val="105"/>
        </w:rPr>
        <w:t> </w:t>
      </w:r>
      <w:r>
        <w:rPr>
          <w:color w:val="231F1F"/>
          <w:w w:val="105"/>
        </w:rPr>
        <w:t>recibido</w:t>
      </w:r>
      <w:r>
        <w:rPr>
          <w:color w:val="231F1F"/>
          <w:spacing w:val="46"/>
          <w:w w:val="105"/>
        </w:rPr>
        <w:t> </w:t>
      </w:r>
      <w:r>
        <w:rPr>
          <w:color w:val="231F1F"/>
          <w:w w:val="105"/>
        </w:rPr>
        <w:t>al</w:t>
      </w:r>
      <w:r>
        <w:rPr>
          <w:color w:val="231F1F"/>
          <w:spacing w:val="46"/>
          <w:w w:val="105"/>
        </w:rPr>
        <w:t> </w:t>
      </w:r>
      <w:r>
        <w:rPr>
          <w:color w:val="231F1F"/>
          <w:w w:val="105"/>
        </w:rPr>
        <w:t>nacer,</w:t>
      </w:r>
      <w:r>
        <w:rPr>
          <w:color w:val="231F1F"/>
          <w:spacing w:val="46"/>
          <w:w w:val="105"/>
        </w:rPr>
        <w:t> </w:t>
      </w:r>
      <w:r>
        <w:rPr>
          <w:color w:val="231F1F"/>
          <w:w w:val="105"/>
        </w:rPr>
        <w:t>se</w:t>
      </w:r>
      <w:r>
        <w:rPr>
          <w:color w:val="231F1F"/>
          <w:spacing w:val="46"/>
          <w:w w:val="105"/>
        </w:rPr>
        <w:t> </w:t>
      </w:r>
      <w:r>
        <w:rPr>
          <w:color w:val="231F1F"/>
          <w:w w:val="105"/>
        </w:rPr>
        <w:t>recomendó</w:t>
      </w:r>
      <w:r>
        <w:rPr>
          <w:color w:val="231F1F"/>
          <w:spacing w:val="46"/>
          <w:w w:val="105"/>
        </w:rPr>
        <w:t> </w:t>
      </w:r>
      <w:r>
        <w:rPr>
          <w:color w:val="231F1F"/>
          <w:w w:val="105"/>
        </w:rPr>
        <w:t>a</w:t>
      </w:r>
      <w:r>
        <w:rPr>
          <w:color w:val="231F1F"/>
          <w:spacing w:val="46"/>
          <w:w w:val="105"/>
        </w:rPr>
        <w:t> </w:t>
      </w:r>
      <w:r>
        <w:rPr>
          <w:color w:val="231F1F"/>
          <w:spacing w:val="-5"/>
          <w:w w:val="105"/>
        </w:rPr>
        <w:t>los</w:t>
      </w:r>
    </w:p>
    <w:p>
      <w:pPr>
        <w:pStyle w:val="BodyText"/>
        <w:spacing w:line="249" w:lineRule="auto" w:before="16"/>
        <w:ind w:left="283" w:right="1366"/>
        <w:jc w:val="both"/>
      </w:pPr>
      <w:r>
        <w:rPr>
          <w:color w:val="231F1F"/>
          <w:w w:val="105"/>
        </w:rPr>
        <w:t>padres de niños con alimentación materna que les administrasen por vía oral tres</w:t>
      </w:r>
      <w:r>
        <w:rPr>
          <w:color w:val="231F1F"/>
          <w:w w:val="105"/>
        </w:rPr>
        <w:t> cápsulas</w:t>
      </w:r>
      <w:r>
        <w:rPr>
          <w:color w:val="231F1F"/>
          <w:w w:val="105"/>
        </w:rPr>
        <w:t> de</w:t>
      </w:r>
      <w:r>
        <w:rPr>
          <w:color w:val="231F1F"/>
          <w:w w:val="105"/>
        </w:rPr>
        <w:t> 1</w:t>
      </w:r>
      <w:r>
        <w:rPr>
          <w:color w:val="231F1F"/>
          <w:w w:val="105"/>
        </w:rPr>
        <w:t> mg</w:t>
      </w:r>
      <w:r>
        <w:rPr>
          <w:color w:val="231F1F"/>
          <w:w w:val="105"/>
        </w:rPr>
        <w:t> de</w:t>
      </w:r>
      <w:r>
        <w:rPr>
          <w:color w:val="231F1F"/>
          <w:w w:val="105"/>
        </w:rPr>
        <w:t> vitamina</w:t>
      </w:r>
      <w:r>
        <w:rPr>
          <w:color w:val="231F1F"/>
          <w:w w:val="105"/>
        </w:rPr>
        <w:t> K,</w:t>
      </w:r>
      <w:r>
        <w:rPr>
          <w:color w:val="231F1F"/>
          <w:w w:val="105"/>
        </w:rPr>
        <w:t> una</w:t>
      </w:r>
      <w:r>
        <w:rPr>
          <w:color w:val="231F1F"/>
          <w:w w:val="105"/>
        </w:rPr>
        <w:t> cada</w:t>
      </w:r>
      <w:r>
        <w:rPr>
          <w:color w:val="231F1F"/>
          <w:w w:val="105"/>
        </w:rPr>
        <w:t> quince</w:t>
      </w:r>
      <w:r>
        <w:rPr>
          <w:color w:val="231F1F"/>
          <w:w w:val="105"/>
        </w:rPr>
        <w:t> días.</w:t>
      </w:r>
      <w:r>
        <w:rPr>
          <w:color w:val="231F1F"/>
          <w:w w:val="105"/>
        </w:rPr>
        <w:t> Ninguno</w:t>
      </w:r>
      <w:r>
        <w:rPr>
          <w:color w:val="231F1F"/>
          <w:w w:val="105"/>
        </w:rPr>
        <w:t> de</w:t>
      </w:r>
      <w:r>
        <w:rPr>
          <w:color w:val="231F1F"/>
          <w:w w:val="105"/>
        </w:rPr>
        <w:t> los niños tratados con vitamina K oral desarrollaron signos de déficit de vitamina K</w:t>
      </w:r>
      <w:r>
        <w:rPr>
          <w:color w:val="231F1F"/>
          <w:spacing w:val="-7"/>
          <w:w w:val="105"/>
        </w:rPr>
        <w:t> </w:t>
      </w:r>
      <w:r>
        <w:rPr>
          <w:color w:val="231F1F"/>
          <w:w w:val="105"/>
        </w:rPr>
        <w:t>en</w:t>
      </w:r>
      <w:r>
        <w:rPr>
          <w:color w:val="231F1F"/>
          <w:spacing w:val="-7"/>
          <w:w w:val="105"/>
        </w:rPr>
        <w:t> </w:t>
      </w:r>
      <w:r>
        <w:rPr>
          <w:color w:val="231F1F"/>
          <w:w w:val="105"/>
        </w:rPr>
        <w:t>los</w:t>
      </w:r>
      <w:r>
        <w:rPr>
          <w:color w:val="231F1F"/>
          <w:spacing w:val="-7"/>
          <w:w w:val="105"/>
        </w:rPr>
        <w:t> </w:t>
      </w:r>
      <w:r>
        <w:rPr>
          <w:color w:val="231F1F"/>
          <w:w w:val="105"/>
        </w:rPr>
        <w:t>siguientes</w:t>
      </w:r>
      <w:r>
        <w:rPr>
          <w:color w:val="231F1F"/>
          <w:spacing w:val="-7"/>
          <w:w w:val="105"/>
        </w:rPr>
        <w:t> </w:t>
      </w:r>
      <w:r>
        <w:rPr>
          <w:color w:val="231F1F"/>
          <w:w w:val="105"/>
        </w:rPr>
        <w:t>siete</w:t>
      </w:r>
      <w:r>
        <w:rPr>
          <w:color w:val="231F1F"/>
          <w:spacing w:val="-7"/>
          <w:w w:val="105"/>
        </w:rPr>
        <w:t> </w:t>
      </w:r>
      <w:r>
        <w:rPr>
          <w:color w:val="231F1F"/>
          <w:w w:val="105"/>
        </w:rPr>
        <w:t>días</w:t>
      </w:r>
      <w:r>
        <w:rPr>
          <w:color w:val="231F1F"/>
          <w:spacing w:val="-7"/>
          <w:w w:val="105"/>
        </w:rPr>
        <w:t> </w:t>
      </w:r>
      <w:r>
        <w:rPr>
          <w:color w:val="231F1F"/>
          <w:w w:val="105"/>
        </w:rPr>
        <w:t>de</w:t>
      </w:r>
      <w:r>
        <w:rPr>
          <w:color w:val="231F1F"/>
          <w:spacing w:val="-7"/>
          <w:w w:val="105"/>
        </w:rPr>
        <w:t> </w:t>
      </w:r>
      <w:r>
        <w:rPr>
          <w:color w:val="231F1F"/>
          <w:w w:val="105"/>
        </w:rPr>
        <w:t>vida.</w:t>
      </w:r>
      <w:r>
        <w:rPr>
          <w:color w:val="231F1F"/>
          <w:spacing w:val="-7"/>
          <w:w w:val="105"/>
        </w:rPr>
        <w:t> </w:t>
      </w:r>
      <w:r>
        <w:rPr>
          <w:color w:val="231F1F"/>
          <w:w w:val="105"/>
        </w:rPr>
        <w:t>Se</w:t>
      </w:r>
      <w:r>
        <w:rPr>
          <w:color w:val="231F1F"/>
          <w:spacing w:val="-7"/>
          <w:w w:val="105"/>
        </w:rPr>
        <w:t> </w:t>
      </w:r>
      <w:r>
        <w:rPr>
          <w:color w:val="231F1F"/>
          <w:w w:val="105"/>
        </w:rPr>
        <w:t>documentaron</w:t>
      </w:r>
      <w:r>
        <w:rPr>
          <w:color w:val="231F1F"/>
          <w:spacing w:val="-7"/>
          <w:w w:val="105"/>
        </w:rPr>
        <w:t> </w:t>
      </w:r>
      <w:r>
        <w:rPr>
          <w:color w:val="231F1F"/>
          <w:w w:val="105"/>
        </w:rPr>
        <w:t>cuatro</w:t>
      </w:r>
      <w:r>
        <w:rPr>
          <w:color w:val="231F1F"/>
          <w:spacing w:val="-6"/>
          <w:w w:val="105"/>
        </w:rPr>
        <w:t> </w:t>
      </w:r>
      <w:r>
        <w:rPr>
          <w:color w:val="231F1F"/>
          <w:w w:val="105"/>
        </w:rPr>
        <w:t>casos</w:t>
      </w:r>
      <w:r>
        <w:rPr>
          <w:color w:val="231F1F"/>
          <w:spacing w:val="-6"/>
          <w:w w:val="105"/>
        </w:rPr>
        <w:t> </w:t>
      </w:r>
      <w:r>
        <w:rPr>
          <w:color w:val="231F1F"/>
          <w:w w:val="105"/>
        </w:rPr>
        <w:t>de</w:t>
      </w:r>
      <w:r>
        <w:rPr>
          <w:color w:val="231F1F"/>
          <w:spacing w:val="-7"/>
          <w:w w:val="105"/>
        </w:rPr>
        <w:t> </w:t>
      </w:r>
      <w:r>
        <w:rPr>
          <w:color w:val="231F1F"/>
          <w:w w:val="105"/>
        </w:rPr>
        <w:t>HDVK tardía,</w:t>
      </w:r>
      <w:r>
        <w:rPr>
          <w:color w:val="231F1F"/>
          <w:w w:val="105"/>
        </w:rPr>
        <w:t> dos</w:t>
      </w:r>
      <w:r>
        <w:rPr>
          <w:color w:val="231F1F"/>
          <w:w w:val="105"/>
        </w:rPr>
        <w:t> en</w:t>
      </w:r>
      <w:r>
        <w:rPr>
          <w:color w:val="231F1F"/>
          <w:w w:val="105"/>
        </w:rPr>
        <w:t> niños</w:t>
      </w:r>
      <w:r>
        <w:rPr>
          <w:color w:val="231F1F"/>
          <w:w w:val="105"/>
        </w:rPr>
        <w:t> con</w:t>
      </w:r>
      <w:r>
        <w:rPr>
          <w:color w:val="231F1F"/>
          <w:w w:val="105"/>
        </w:rPr>
        <w:t> déficit</w:t>
      </w:r>
      <w:r>
        <w:rPr>
          <w:color w:val="231F1F"/>
          <w:w w:val="105"/>
        </w:rPr>
        <w:t> de</w:t>
      </w:r>
      <w:r>
        <w:rPr>
          <w:color w:val="231F1F"/>
          <w:w w:val="105"/>
        </w:rPr>
        <w:t> alfa-1-antitripsina</w:t>
      </w:r>
      <w:r>
        <w:rPr>
          <w:color w:val="231F1F"/>
          <w:w w:val="105"/>
        </w:rPr>
        <w:t> y</w:t>
      </w:r>
      <w:r>
        <w:rPr>
          <w:color w:val="231F1F"/>
          <w:w w:val="105"/>
        </w:rPr>
        <w:t> otros</w:t>
      </w:r>
      <w:r>
        <w:rPr>
          <w:color w:val="231F1F"/>
          <w:w w:val="105"/>
        </w:rPr>
        <w:t> dos</w:t>
      </w:r>
      <w:r>
        <w:rPr>
          <w:color w:val="231F1F"/>
          <w:w w:val="105"/>
        </w:rPr>
        <w:t> porque</w:t>
      </w:r>
      <w:r>
        <w:rPr>
          <w:color w:val="231F1F"/>
          <w:w w:val="105"/>
        </w:rPr>
        <w:t> las madres no recibieron la información.</w:t>
      </w:r>
    </w:p>
    <w:p>
      <w:pPr>
        <w:pStyle w:val="BodyText"/>
        <w:spacing w:after="0" w:line="249" w:lineRule="auto"/>
        <w:jc w:val="both"/>
        <w:sectPr>
          <w:pgSz w:w="11900" w:h="16840"/>
          <w:pgMar w:header="0" w:footer="622" w:top="1560" w:bottom="820" w:left="1417" w:right="1559"/>
        </w:sectPr>
      </w:pPr>
    </w:p>
    <w:p>
      <w:pPr>
        <w:pStyle w:val="BodyText"/>
        <w:spacing w:line="249" w:lineRule="auto" w:before="62"/>
        <w:ind w:left="283" w:firstLine="453"/>
        <w:jc w:val="both"/>
      </w:pPr>
      <w:r>
        <w:rPr>
          <w:color w:val="231F1F"/>
          <w:w w:val="105"/>
        </w:rPr>
        <w:t>A la luz del informe Golding (256) se comenzó a administrar la vitamina K</w:t>
      </w:r>
      <w:r>
        <w:rPr>
          <w:color w:val="231F1F"/>
          <w:w w:val="105"/>
        </w:rPr>
        <w:t> por</w:t>
      </w:r>
      <w:r>
        <w:rPr>
          <w:color w:val="231F1F"/>
          <w:w w:val="105"/>
        </w:rPr>
        <w:t> vía</w:t>
      </w:r>
      <w:r>
        <w:rPr>
          <w:color w:val="231F1F"/>
          <w:w w:val="105"/>
        </w:rPr>
        <w:t> oral.</w:t>
      </w:r>
      <w:r>
        <w:rPr>
          <w:color w:val="231F1F"/>
          <w:w w:val="105"/>
        </w:rPr>
        <w:t> En</w:t>
      </w:r>
      <w:r>
        <w:rPr>
          <w:color w:val="231F1F"/>
          <w:w w:val="105"/>
        </w:rPr>
        <w:t> diversos</w:t>
      </w:r>
      <w:r>
        <w:rPr>
          <w:color w:val="231F1F"/>
          <w:w w:val="105"/>
        </w:rPr>
        <w:t> países</w:t>
      </w:r>
      <w:r>
        <w:rPr>
          <w:color w:val="231F1F"/>
          <w:w w:val="105"/>
        </w:rPr>
        <w:t> europeos</w:t>
      </w:r>
      <w:r>
        <w:rPr>
          <w:color w:val="231F1F"/>
          <w:w w:val="105"/>
        </w:rPr>
        <w:t> se</w:t>
      </w:r>
      <w:r>
        <w:rPr>
          <w:color w:val="231F1F"/>
          <w:w w:val="105"/>
        </w:rPr>
        <w:t> realizaron</w:t>
      </w:r>
      <w:r>
        <w:rPr>
          <w:color w:val="231F1F"/>
          <w:w w:val="105"/>
        </w:rPr>
        <w:t> estudios</w:t>
      </w:r>
      <w:r>
        <w:rPr>
          <w:color w:val="231F1F"/>
          <w:w w:val="105"/>
        </w:rPr>
        <w:t> de</w:t>
      </w:r>
      <w:r>
        <w:rPr>
          <w:color w:val="231F1F"/>
          <w:w w:val="105"/>
        </w:rPr>
        <w:t> segui- miento de aparición de HDVK entre los días 8 y 84 que mostraron que cuan- do se administró 1 mg de vitamina K IM al nacimiento (325.000 RN) no hubo casos</w:t>
      </w:r>
      <w:r>
        <w:rPr>
          <w:color w:val="231F1F"/>
          <w:w w:val="105"/>
        </w:rPr>
        <w:t> de</w:t>
      </w:r>
      <w:r>
        <w:rPr>
          <w:color w:val="231F1F"/>
          <w:w w:val="105"/>
        </w:rPr>
        <w:t> HDKV</w:t>
      </w:r>
      <w:r>
        <w:rPr>
          <w:color w:val="231F1F"/>
          <w:w w:val="105"/>
        </w:rPr>
        <w:t> mientras</w:t>
      </w:r>
      <w:r>
        <w:rPr>
          <w:color w:val="231F1F"/>
          <w:w w:val="105"/>
        </w:rPr>
        <w:t> que</w:t>
      </w:r>
      <w:r>
        <w:rPr>
          <w:color w:val="231F1F"/>
          <w:w w:val="105"/>
        </w:rPr>
        <w:t> otros</w:t>
      </w:r>
      <w:r>
        <w:rPr>
          <w:color w:val="231F1F"/>
          <w:w w:val="105"/>
        </w:rPr>
        <w:t> estudios</w:t>
      </w:r>
      <w:r>
        <w:rPr>
          <w:color w:val="231F1F"/>
          <w:w w:val="105"/>
        </w:rPr>
        <w:t> que</w:t>
      </w:r>
      <w:r>
        <w:rPr>
          <w:color w:val="231F1F"/>
          <w:w w:val="105"/>
        </w:rPr>
        <w:t> administraban</w:t>
      </w:r>
      <w:r>
        <w:rPr>
          <w:color w:val="231F1F"/>
          <w:w w:val="105"/>
        </w:rPr>
        <w:t> vitamina</w:t>
      </w:r>
      <w:r>
        <w:rPr>
          <w:color w:val="231F1F"/>
          <w:w w:val="105"/>
        </w:rPr>
        <w:t> K oral</w:t>
      </w:r>
      <w:r>
        <w:rPr>
          <w:color w:val="231F1F"/>
          <w:spacing w:val="-2"/>
          <w:w w:val="105"/>
        </w:rPr>
        <w:t> </w:t>
      </w:r>
      <w:r>
        <w:rPr>
          <w:color w:val="231F1F"/>
          <w:w w:val="105"/>
        </w:rPr>
        <w:t>al</w:t>
      </w:r>
      <w:r>
        <w:rPr>
          <w:color w:val="231F1F"/>
          <w:spacing w:val="-2"/>
          <w:w w:val="105"/>
        </w:rPr>
        <w:t> </w:t>
      </w:r>
      <w:r>
        <w:rPr>
          <w:color w:val="231F1F"/>
          <w:w w:val="105"/>
        </w:rPr>
        <w:t>nacimiento</w:t>
      </w:r>
      <w:r>
        <w:rPr>
          <w:color w:val="231F1F"/>
          <w:spacing w:val="-2"/>
          <w:w w:val="105"/>
        </w:rPr>
        <w:t> </w:t>
      </w:r>
      <w:r>
        <w:rPr>
          <w:color w:val="231F1F"/>
          <w:w w:val="105"/>
        </w:rPr>
        <w:t>más</w:t>
      </w:r>
      <w:r>
        <w:rPr>
          <w:color w:val="231F1F"/>
          <w:spacing w:val="-1"/>
          <w:w w:val="105"/>
        </w:rPr>
        <w:t> </w:t>
      </w:r>
      <w:r>
        <w:rPr>
          <w:color w:val="231F1F"/>
          <w:w w:val="105"/>
        </w:rPr>
        <w:t>dos</w:t>
      </w:r>
      <w:r>
        <w:rPr>
          <w:color w:val="231F1F"/>
          <w:spacing w:val="-1"/>
          <w:w w:val="105"/>
        </w:rPr>
        <w:t> </w:t>
      </w:r>
      <w:r>
        <w:rPr>
          <w:color w:val="231F1F"/>
          <w:w w:val="105"/>
        </w:rPr>
        <w:t>dosis</w:t>
      </w:r>
      <w:r>
        <w:rPr>
          <w:color w:val="231F1F"/>
          <w:spacing w:val="-2"/>
          <w:w w:val="105"/>
        </w:rPr>
        <w:t> </w:t>
      </w:r>
      <w:r>
        <w:rPr>
          <w:color w:val="231F1F"/>
          <w:w w:val="105"/>
        </w:rPr>
        <w:t>adicionales</w:t>
      </w:r>
      <w:r>
        <w:rPr>
          <w:color w:val="231F1F"/>
          <w:spacing w:val="-1"/>
          <w:w w:val="105"/>
        </w:rPr>
        <w:t> </w:t>
      </w:r>
      <w:r>
        <w:rPr>
          <w:color w:val="231F1F"/>
          <w:w w:val="105"/>
        </w:rPr>
        <w:t>mostraron</w:t>
      </w:r>
      <w:r>
        <w:rPr>
          <w:color w:val="231F1F"/>
          <w:spacing w:val="-2"/>
          <w:w w:val="105"/>
        </w:rPr>
        <w:t> </w:t>
      </w:r>
      <w:r>
        <w:rPr>
          <w:color w:val="231F1F"/>
          <w:w w:val="105"/>
        </w:rPr>
        <w:t>que</w:t>
      </w:r>
      <w:r>
        <w:rPr>
          <w:color w:val="231F1F"/>
          <w:spacing w:val="-2"/>
          <w:w w:val="105"/>
        </w:rPr>
        <w:t> </w:t>
      </w:r>
      <w:r>
        <w:rPr>
          <w:color w:val="231F1F"/>
          <w:w w:val="105"/>
        </w:rPr>
        <w:t>se</w:t>
      </w:r>
      <w:r>
        <w:rPr>
          <w:color w:val="231F1F"/>
          <w:spacing w:val="-1"/>
          <w:w w:val="105"/>
        </w:rPr>
        <w:t> </w:t>
      </w:r>
      <w:r>
        <w:rPr>
          <w:color w:val="231F1F"/>
          <w:w w:val="105"/>
        </w:rPr>
        <w:t>produjo</w:t>
      </w:r>
      <w:r>
        <w:rPr>
          <w:color w:val="231F1F"/>
          <w:spacing w:val="-2"/>
          <w:w w:val="105"/>
        </w:rPr>
        <w:t> </w:t>
      </w:r>
      <w:r>
        <w:rPr>
          <w:color w:val="231F1F"/>
          <w:w w:val="105"/>
        </w:rPr>
        <w:t>HDKV en un rango de 0,9 a 4,8 casos por 100.000.</w:t>
      </w:r>
    </w:p>
    <w:p>
      <w:pPr>
        <w:pStyle w:val="BodyText"/>
        <w:spacing w:line="261" w:lineRule="auto" w:before="74"/>
        <w:ind w:left="283" w:right="3" w:firstLine="453"/>
        <w:jc w:val="both"/>
      </w:pPr>
      <w:r>
        <w:rPr>
          <w:color w:val="231F1F"/>
        </w:rPr>
        <w:t>Sólo</w:t>
      </w:r>
      <w:r>
        <w:rPr>
          <w:color w:val="231F1F"/>
          <w:spacing w:val="20"/>
        </w:rPr>
        <w:t> </w:t>
      </w:r>
      <w:r>
        <w:rPr>
          <w:color w:val="231F1F"/>
        </w:rPr>
        <w:t>en</w:t>
      </w:r>
      <w:r>
        <w:rPr>
          <w:color w:val="231F1F"/>
          <w:spacing w:val="21"/>
        </w:rPr>
        <w:t> </w:t>
      </w:r>
      <w:r>
        <w:rPr>
          <w:color w:val="231F1F"/>
        </w:rPr>
        <w:t>el</w:t>
      </w:r>
      <w:r>
        <w:rPr>
          <w:color w:val="231F1F"/>
          <w:spacing w:val="21"/>
        </w:rPr>
        <w:t> </w:t>
      </w:r>
      <w:r>
        <w:rPr>
          <w:color w:val="231F1F"/>
        </w:rPr>
        <w:t>estudio</w:t>
      </w:r>
      <w:r>
        <w:rPr>
          <w:color w:val="231F1F"/>
          <w:spacing w:val="20"/>
        </w:rPr>
        <w:t> </w:t>
      </w:r>
      <w:r>
        <w:rPr>
          <w:color w:val="231F1F"/>
        </w:rPr>
        <w:t>realizado</w:t>
      </w:r>
      <w:r>
        <w:rPr>
          <w:color w:val="231F1F"/>
          <w:spacing w:val="21"/>
        </w:rPr>
        <w:t> </w:t>
      </w:r>
      <w:r>
        <w:rPr>
          <w:color w:val="231F1F"/>
        </w:rPr>
        <w:t>en</w:t>
      </w:r>
      <w:r>
        <w:rPr>
          <w:color w:val="231F1F"/>
          <w:spacing w:val="21"/>
        </w:rPr>
        <w:t> </w:t>
      </w:r>
      <w:r>
        <w:rPr>
          <w:color w:val="231F1F"/>
        </w:rPr>
        <w:t>Dinamarca</w:t>
      </w:r>
      <w:r>
        <w:rPr>
          <w:color w:val="231F1F"/>
          <w:spacing w:val="20"/>
        </w:rPr>
        <w:t> </w:t>
      </w:r>
      <w:r>
        <w:rPr>
          <w:color w:val="231F1F"/>
        </w:rPr>
        <w:t>con</w:t>
      </w:r>
      <w:r>
        <w:rPr>
          <w:color w:val="231F1F"/>
          <w:spacing w:val="21"/>
        </w:rPr>
        <w:t> </w:t>
      </w:r>
      <w:r>
        <w:rPr>
          <w:color w:val="231F1F"/>
        </w:rPr>
        <w:t>396.000</w:t>
      </w:r>
      <w:r>
        <w:rPr>
          <w:color w:val="231F1F"/>
          <w:spacing w:val="21"/>
        </w:rPr>
        <w:t> </w:t>
      </w:r>
      <w:r>
        <w:rPr>
          <w:color w:val="231F1F"/>
        </w:rPr>
        <w:t>RN</w:t>
      </w:r>
      <w:r>
        <w:rPr>
          <w:color w:val="231F1F"/>
          <w:spacing w:val="20"/>
        </w:rPr>
        <w:t> </w:t>
      </w:r>
      <w:r>
        <w:rPr>
          <w:color w:val="231F1F"/>
        </w:rPr>
        <w:t>que</w:t>
      </w:r>
      <w:r>
        <w:rPr>
          <w:color w:val="231F1F"/>
          <w:spacing w:val="21"/>
        </w:rPr>
        <w:t> </w:t>
      </w:r>
      <w:r>
        <w:rPr>
          <w:color w:val="231F1F"/>
        </w:rPr>
        <w:t>recibieron 1 mg oral de vitamina K al nacimiento y 1 mg semanal no se presentaron casos</w:t>
      </w:r>
      <w:r>
        <w:rPr>
          <w:color w:val="231F1F"/>
          <w:spacing w:val="80"/>
          <w:w w:val="150"/>
        </w:rPr>
        <w:t> </w:t>
      </w:r>
      <w:r>
        <w:rPr>
          <w:color w:val="231F1F"/>
        </w:rPr>
        <w:t>de HDVK tardía (267).</w:t>
      </w:r>
    </w:p>
    <w:p>
      <w:pPr>
        <w:pStyle w:val="BodyText"/>
        <w:spacing w:before="143"/>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(2005</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before="214"/>
        <w:ind w:left="283"/>
        <w:jc w:val="both"/>
      </w:pPr>
      <w:r>
        <w:rPr>
          <w:color w:val="231F1F"/>
        </w:rPr>
        <w:t>Se</w:t>
      </w:r>
      <w:r>
        <w:rPr>
          <w:color w:val="231F1F"/>
          <w:spacing w:val="31"/>
        </w:rPr>
        <w:t> </w:t>
      </w:r>
      <w:r>
        <w:rPr>
          <w:color w:val="231F1F"/>
        </w:rPr>
        <w:t>identifica</w:t>
      </w:r>
      <w:r>
        <w:rPr>
          <w:color w:val="231F1F"/>
          <w:spacing w:val="33"/>
        </w:rPr>
        <w:t> </w:t>
      </w:r>
      <w:r>
        <w:rPr>
          <w:color w:val="231F1F"/>
        </w:rPr>
        <w:t>la</w:t>
      </w:r>
      <w:r>
        <w:rPr>
          <w:color w:val="231F1F"/>
          <w:spacing w:val="31"/>
        </w:rPr>
        <w:t> </w:t>
      </w:r>
      <w:r>
        <w:rPr>
          <w:color w:val="231F1F"/>
        </w:rPr>
        <w:t>actualización</w:t>
      </w:r>
      <w:r>
        <w:rPr>
          <w:color w:val="231F1F"/>
          <w:spacing w:val="33"/>
        </w:rPr>
        <w:t> </w:t>
      </w:r>
      <w:r>
        <w:rPr>
          <w:color w:val="231F1F"/>
        </w:rPr>
        <w:t>de</w:t>
      </w:r>
      <w:r>
        <w:rPr>
          <w:color w:val="231F1F"/>
          <w:spacing w:val="32"/>
        </w:rPr>
        <w:t> </w:t>
      </w:r>
      <w:r>
        <w:rPr>
          <w:color w:val="231F1F"/>
        </w:rPr>
        <w:t>la</w:t>
      </w:r>
      <w:r>
        <w:rPr>
          <w:color w:val="231F1F"/>
          <w:spacing w:val="31"/>
        </w:rPr>
        <w:t> </w:t>
      </w:r>
      <w:r>
        <w:rPr>
          <w:color w:val="231F1F"/>
        </w:rPr>
        <w:t>RS</w:t>
      </w:r>
      <w:r>
        <w:rPr>
          <w:color w:val="231F1F"/>
          <w:spacing w:val="32"/>
        </w:rPr>
        <w:t> </w:t>
      </w:r>
      <w:r>
        <w:rPr>
          <w:color w:val="231F1F"/>
        </w:rPr>
        <w:t>Cochrane</w:t>
      </w:r>
      <w:r>
        <w:rPr>
          <w:color w:val="231F1F"/>
          <w:spacing w:val="34"/>
        </w:rPr>
        <w:t> </w:t>
      </w:r>
      <w:r>
        <w:rPr>
          <w:color w:val="231F1F"/>
        </w:rPr>
        <w:t>de</w:t>
      </w:r>
      <w:r>
        <w:rPr>
          <w:color w:val="231F1F"/>
          <w:spacing w:val="31"/>
        </w:rPr>
        <w:t> </w:t>
      </w:r>
      <w:r>
        <w:rPr>
          <w:color w:val="231F1F"/>
        </w:rPr>
        <w:t>Puckett</w:t>
      </w:r>
      <w:r>
        <w:rPr>
          <w:color w:val="231F1F"/>
          <w:spacing w:val="31"/>
        </w:rPr>
        <w:t> </w:t>
      </w:r>
      <w:r>
        <w:rPr>
          <w:color w:val="231F1F"/>
          <w:spacing w:val="-2"/>
        </w:rPr>
        <w:t>(262).</w:t>
      </w:r>
    </w:p>
    <w:p>
      <w:pPr>
        <w:pStyle w:val="BodyText"/>
        <w:spacing w:line="244" w:lineRule="auto" w:before="150"/>
        <w:ind w:left="283" w:right="2" w:firstLine="453"/>
        <w:jc w:val="both"/>
      </w:pPr>
      <w:r>
        <w:rPr>
          <w:color w:val="231F1F"/>
          <w:w w:val="105"/>
        </w:rPr>
        <w:t>En relación con la comparación entre </w:t>
      </w:r>
      <w:r>
        <w:rPr>
          <w:i/>
          <w:color w:val="231F1F"/>
          <w:w w:val="105"/>
        </w:rPr>
        <w:t>la vía IM y la vía oral </w:t>
      </w:r>
      <w:r>
        <w:rPr>
          <w:color w:val="231F1F"/>
          <w:w w:val="105"/>
        </w:rPr>
        <w:t>ninguno de los ensayos incluidos evaluó específicamente la ocurrencia de HDVK.</w:t>
      </w:r>
    </w:p>
    <w:p>
      <w:pPr>
        <w:pStyle w:val="BodyText"/>
        <w:spacing w:line="244" w:lineRule="auto" w:before="104"/>
        <w:ind w:left="283" w:firstLine="453"/>
        <w:jc w:val="both"/>
      </w:pPr>
      <w:r>
        <w:rPr>
          <w:color w:val="231F1F"/>
          <w:w w:val="105"/>
        </w:rPr>
        <w:t>Se</w:t>
      </w:r>
      <w:r>
        <w:rPr>
          <w:color w:val="231F1F"/>
          <w:w w:val="105"/>
        </w:rPr>
        <w:t> analizan</w:t>
      </w:r>
      <w:r>
        <w:rPr>
          <w:color w:val="231F1F"/>
          <w:w w:val="105"/>
        </w:rPr>
        <w:t> los</w:t>
      </w:r>
      <w:r>
        <w:rPr>
          <w:color w:val="231F1F"/>
          <w:w w:val="105"/>
        </w:rPr>
        <w:t> ensayos</w:t>
      </w:r>
      <w:r>
        <w:rPr>
          <w:color w:val="231F1F"/>
          <w:w w:val="105"/>
        </w:rPr>
        <w:t> que</w:t>
      </w:r>
      <w:r>
        <w:rPr>
          <w:color w:val="231F1F"/>
          <w:w w:val="105"/>
        </w:rPr>
        <w:t> presentan</w:t>
      </w:r>
      <w:r>
        <w:rPr>
          <w:color w:val="231F1F"/>
          <w:w w:val="105"/>
        </w:rPr>
        <w:t> resultados</w:t>
      </w:r>
      <w:r>
        <w:rPr>
          <w:color w:val="231F1F"/>
          <w:w w:val="105"/>
        </w:rPr>
        <w:t> intermedios</w:t>
      </w:r>
      <w:r>
        <w:rPr>
          <w:color w:val="231F1F"/>
          <w:w w:val="105"/>
        </w:rPr>
        <w:t> como</w:t>
      </w:r>
      <w:r>
        <w:rPr>
          <w:color w:val="231F1F"/>
          <w:w w:val="105"/>
        </w:rPr>
        <w:t> la presencia de proteínas inducidas por ausencia de vitamina K (PIAVK II). Los cuatro</w:t>
      </w:r>
      <w:r>
        <w:rPr>
          <w:color w:val="231F1F"/>
          <w:spacing w:val="-15"/>
          <w:w w:val="105"/>
        </w:rPr>
        <w:t> </w:t>
      </w:r>
      <w:r>
        <w:rPr>
          <w:color w:val="231F1F"/>
          <w:w w:val="105"/>
        </w:rPr>
        <w:t>ensayos</w:t>
      </w:r>
      <w:r>
        <w:rPr>
          <w:color w:val="231F1F"/>
          <w:spacing w:val="-14"/>
          <w:w w:val="105"/>
        </w:rPr>
        <w:t> </w:t>
      </w:r>
      <w:r>
        <w:rPr>
          <w:color w:val="231F1F"/>
          <w:w w:val="105"/>
        </w:rPr>
        <w:t>con</w:t>
      </w:r>
      <w:r>
        <w:rPr>
          <w:color w:val="231F1F"/>
          <w:spacing w:val="-15"/>
          <w:w w:val="105"/>
        </w:rPr>
        <w:t> </w:t>
      </w:r>
      <w:r>
        <w:rPr>
          <w:color w:val="231F1F"/>
          <w:w w:val="105"/>
        </w:rPr>
        <w:t>este</w:t>
      </w:r>
      <w:r>
        <w:rPr>
          <w:color w:val="231F1F"/>
          <w:spacing w:val="-14"/>
          <w:w w:val="105"/>
        </w:rPr>
        <w:t> </w:t>
      </w:r>
      <w:r>
        <w:rPr>
          <w:color w:val="231F1F"/>
          <w:w w:val="105"/>
        </w:rPr>
        <w:t>resultado</w:t>
      </w:r>
      <w:r>
        <w:rPr>
          <w:color w:val="231F1F"/>
          <w:spacing w:val="-15"/>
          <w:w w:val="105"/>
        </w:rPr>
        <w:t> </w:t>
      </w:r>
      <w:r>
        <w:rPr>
          <w:color w:val="231F1F"/>
          <w:w w:val="105"/>
        </w:rPr>
        <w:t>no</w:t>
      </w:r>
      <w:r>
        <w:rPr>
          <w:color w:val="231F1F"/>
          <w:spacing w:val="-14"/>
          <w:w w:val="105"/>
        </w:rPr>
        <w:t> </w:t>
      </w:r>
      <w:r>
        <w:rPr>
          <w:color w:val="231F1F"/>
          <w:w w:val="105"/>
        </w:rPr>
        <w:t>presentaron</w:t>
      </w:r>
      <w:r>
        <w:rPr>
          <w:color w:val="231F1F"/>
          <w:spacing w:val="-15"/>
          <w:w w:val="105"/>
        </w:rPr>
        <w:t> </w:t>
      </w:r>
      <w:r>
        <w:rPr>
          <w:color w:val="231F1F"/>
          <w:w w:val="105"/>
        </w:rPr>
        <w:t>diferencias</w:t>
      </w:r>
      <w:r>
        <w:rPr>
          <w:color w:val="231F1F"/>
          <w:spacing w:val="-14"/>
          <w:w w:val="105"/>
        </w:rPr>
        <w:t> </w:t>
      </w:r>
      <w:r>
        <w:rPr>
          <w:color w:val="231F1F"/>
          <w:w w:val="105"/>
        </w:rPr>
        <w:t>significativas</w:t>
      </w:r>
      <w:r>
        <w:rPr>
          <w:color w:val="231F1F"/>
          <w:spacing w:val="-14"/>
          <w:w w:val="105"/>
        </w:rPr>
        <w:t> </w:t>
      </w:r>
      <w:r>
        <w:rPr>
          <w:color w:val="231F1F"/>
          <w:w w:val="105"/>
        </w:rPr>
        <w:t>entre el</w:t>
      </w:r>
      <w:r>
        <w:rPr>
          <w:color w:val="231F1F"/>
          <w:spacing w:val="-2"/>
          <w:w w:val="105"/>
        </w:rPr>
        <w:t> </w:t>
      </w:r>
      <w:r>
        <w:rPr>
          <w:color w:val="231F1F"/>
          <w:w w:val="105"/>
        </w:rPr>
        <w:t>primer</w:t>
      </w:r>
      <w:r>
        <w:rPr>
          <w:color w:val="231F1F"/>
          <w:spacing w:val="-2"/>
          <w:w w:val="105"/>
        </w:rPr>
        <w:t> </w:t>
      </w:r>
      <w:r>
        <w:rPr>
          <w:color w:val="231F1F"/>
          <w:w w:val="105"/>
        </w:rPr>
        <w:t>y séptimo día (268-270) a las</w:t>
      </w:r>
      <w:r>
        <w:rPr>
          <w:color w:val="231F1F"/>
          <w:spacing w:val="-2"/>
          <w:w w:val="105"/>
        </w:rPr>
        <w:t> </w:t>
      </w:r>
      <w:r>
        <w:rPr>
          <w:color w:val="231F1F"/>
          <w:w w:val="105"/>
        </w:rPr>
        <w:t>dos semanas,(271)</w:t>
      </w:r>
      <w:r>
        <w:rPr>
          <w:color w:val="231F1F"/>
          <w:spacing w:val="-2"/>
          <w:w w:val="105"/>
        </w:rPr>
        <w:t> </w:t>
      </w:r>
      <w:r>
        <w:rPr>
          <w:color w:val="231F1F"/>
          <w:w w:val="105"/>
        </w:rPr>
        <w:t>y al</w:t>
      </w:r>
      <w:r>
        <w:rPr>
          <w:color w:val="231F1F"/>
          <w:spacing w:val="-2"/>
          <w:w w:val="105"/>
        </w:rPr>
        <w:t> </w:t>
      </w:r>
      <w:r>
        <w:rPr>
          <w:color w:val="231F1F"/>
          <w:w w:val="105"/>
        </w:rPr>
        <w:t>mes.(270;271).</w:t>
      </w:r>
    </w:p>
    <w:p>
      <w:pPr>
        <w:pStyle w:val="BodyText"/>
        <w:spacing w:line="244" w:lineRule="auto" w:before="67"/>
        <w:ind w:left="283" w:firstLine="453"/>
        <w:jc w:val="both"/>
      </w:pPr>
      <w:r>
        <w:rPr>
          <w:color w:val="231F1F"/>
          <w:w w:val="110"/>
        </w:rPr>
        <w:t>Dos</w:t>
      </w:r>
      <w:r>
        <w:rPr>
          <w:color w:val="231F1F"/>
          <w:spacing w:val="-10"/>
          <w:w w:val="110"/>
        </w:rPr>
        <w:t> </w:t>
      </w:r>
      <w:r>
        <w:rPr>
          <w:color w:val="231F1F"/>
          <w:w w:val="110"/>
        </w:rPr>
        <w:t>ensayos</w:t>
      </w:r>
      <w:r>
        <w:rPr>
          <w:color w:val="231F1F"/>
          <w:spacing w:val="-9"/>
          <w:w w:val="110"/>
        </w:rPr>
        <w:t> </w:t>
      </w:r>
      <w:r>
        <w:rPr>
          <w:color w:val="231F1F"/>
          <w:w w:val="110"/>
        </w:rPr>
        <w:t>midieron</w:t>
      </w:r>
      <w:r>
        <w:rPr>
          <w:color w:val="231F1F"/>
          <w:spacing w:val="-10"/>
          <w:w w:val="110"/>
        </w:rPr>
        <w:t> </w:t>
      </w:r>
      <w:r>
        <w:rPr>
          <w:color w:val="231F1F"/>
          <w:w w:val="110"/>
        </w:rPr>
        <w:t>el</w:t>
      </w:r>
      <w:r>
        <w:rPr>
          <w:color w:val="231F1F"/>
          <w:spacing w:val="-10"/>
          <w:w w:val="110"/>
        </w:rPr>
        <w:t> </w:t>
      </w:r>
      <w:r>
        <w:rPr>
          <w:color w:val="231F1F"/>
          <w:w w:val="110"/>
        </w:rPr>
        <w:t>efecto</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administración</w:t>
      </w:r>
      <w:r>
        <w:rPr>
          <w:color w:val="231F1F"/>
          <w:spacing w:val="-10"/>
          <w:w w:val="110"/>
        </w:rPr>
        <w:t> </w:t>
      </w:r>
      <w:r>
        <w:rPr>
          <w:color w:val="231F1F"/>
          <w:w w:val="110"/>
        </w:rPr>
        <w:t>de</w:t>
      </w:r>
      <w:r>
        <w:rPr>
          <w:color w:val="231F1F"/>
          <w:spacing w:val="-10"/>
          <w:w w:val="110"/>
        </w:rPr>
        <w:t> </w:t>
      </w:r>
      <w:r>
        <w:rPr>
          <w:color w:val="231F1F"/>
          <w:w w:val="110"/>
        </w:rPr>
        <w:t>vitamina</w:t>
      </w:r>
      <w:r>
        <w:rPr>
          <w:color w:val="231F1F"/>
          <w:spacing w:val="-10"/>
          <w:w w:val="110"/>
        </w:rPr>
        <w:t> </w:t>
      </w:r>
      <w:r>
        <w:rPr>
          <w:color w:val="231F1F"/>
          <w:w w:val="110"/>
        </w:rPr>
        <w:t>K</w:t>
      </w:r>
      <w:r>
        <w:rPr>
          <w:color w:val="231F1F"/>
          <w:spacing w:val="-9"/>
          <w:w w:val="110"/>
        </w:rPr>
        <w:t> </w:t>
      </w:r>
      <w:r>
        <w:rPr>
          <w:color w:val="231F1F"/>
          <w:w w:val="110"/>
        </w:rPr>
        <w:t>por </w:t>
      </w:r>
      <w:r>
        <w:rPr>
          <w:i/>
          <w:color w:val="231F1F"/>
          <w:w w:val="110"/>
        </w:rPr>
        <w:t>vía</w:t>
      </w:r>
      <w:r>
        <w:rPr>
          <w:i/>
          <w:color w:val="231F1F"/>
          <w:spacing w:val="-16"/>
          <w:w w:val="110"/>
        </w:rPr>
        <w:t> </w:t>
      </w:r>
      <w:r>
        <w:rPr>
          <w:i/>
          <w:color w:val="231F1F"/>
          <w:w w:val="110"/>
        </w:rPr>
        <w:t>IM</w:t>
      </w:r>
      <w:r>
        <w:rPr>
          <w:i/>
          <w:color w:val="231F1F"/>
          <w:spacing w:val="-15"/>
          <w:w w:val="110"/>
        </w:rPr>
        <w:t> </w:t>
      </w:r>
      <w:r>
        <w:rPr>
          <w:i/>
          <w:color w:val="231F1F"/>
          <w:w w:val="110"/>
        </w:rPr>
        <w:t>vs</w:t>
      </w:r>
      <w:r>
        <w:rPr>
          <w:i/>
          <w:color w:val="231F1F"/>
          <w:spacing w:val="-15"/>
          <w:w w:val="110"/>
        </w:rPr>
        <w:t> </w:t>
      </w:r>
      <w:r>
        <w:rPr>
          <w:i/>
          <w:color w:val="231F1F"/>
          <w:w w:val="110"/>
        </w:rPr>
        <w:t>vía</w:t>
      </w:r>
      <w:r>
        <w:rPr>
          <w:i/>
          <w:color w:val="231F1F"/>
          <w:spacing w:val="-15"/>
          <w:w w:val="110"/>
        </w:rPr>
        <w:t> </w:t>
      </w:r>
      <w:r>
        <w:rPr>
          <w:i/>
          <w:color w:val="231F1F"/>
          <w:w w:val="110"/>
        </w:rPr>
        <w:t>oral</w:t>
      </w:r>
      <w:r>
        <w:rPr>
          <w:i/>
          <w:color w:val="231F1F"/>
          <w:spacing w:val="-15"/>
          <w:w w:val="110"/>
        </w:rPr>
        <w:t> </w:t>
      </w:r>
      <w:r>
        <w:rPr>
          <w:color w:val="231F1F"/>
          <w:w w:val="110"/>
        </w:rPr>
        <w:t>analizando</w:t>
      </w:r>
      <w:r>
        <w:rPr>
          <w:color w:val="231F1F"/>
          <w:spacing w:val="-15"/>
          <w:w w:val="110"/>
        </w:rPr>
        <w:t> </w:t>
      </w:r>
      <w:r>
        <w:rPr>
          <w:color w:val="231F1F"/>
          <w:w w:val="110"/>
        </w:rPr>
        <w:t>la</w:t>
      </w:r>
      <w:r>
        <w:rPr>
          <w:color w:val="231F1F"/>
          <w:spacing w:val="-15"/>
          <w:w w:val="110"/>
        </w:rPr>
        <w:t> </w:t>
      </w:r>
      <w:r>
        <w:rPr>
          <w:color w:val="231F1F"/>
          <w:w w:val="110"/>
        </w:rPr>
        <w:t>concentración</w:t>
      </w:r>
      <w:r>
        <w:rPr>
          <w:color w:val="231F1F"/>
          <w:spacing w:val="-15"/>
          <w:w w:val="110"/>
        </w:rPr>
        <w:t> </w:t>
      </w:r>
      <w:r>
        <w:rPr>
          <w:color w:val="231F1F"/>
          <w:w w:val="110"/>
        </w:rPr>
        <w:t>de</w:t>
      </w:r>
      <w:r>
        <w:rPr>
          <w:color w:val="231F1F"/>
          <w:spacing w:val="-16"/>
          <w:w w:val="110"/>
        </w:rPr>
        <w:t> </w:t>
      </w:r>
      <w:r>
        <w:rPr>
          <w:color w:val="231F1F"/>
          <w:w w:val="110"/>
        </w:rPr>
        <w:t>Vitamina</w:t>
      </w:r>
      <w:r>
        <w:rPr>
          <w:color w:val="231F1F"/>
          <w:spacing w:val="-15"/>
          <w:w w:val="110"/>
        </w:rPr>
        <w:t> </w:t>
      </w:r>
      <w:r>
        <w:rPr>
          <w:color w:val="231F1F"/>
          <w:w w:val="110"/>
        </w:rPr>
        <w:t>K</w:t>
      </w:r>
      <w:r>
        <w:rPr>
          <w:color w:val="231F1F"/>
          <w:spacing w:val="-15"/>
          <w:w w:val="110"/>
        </w:rPr>
        <w:t> </w:t>
      </w:r>
      <w:r>
        <w:rPr>
          <w:color w:val="231F1F"/>
          <w:w w:val="110"/>
        </w:rPr>
        <w:t>en</w:t>
      </w:r>
      <w:r>
        <w:rPr>
          <w:color w:val="231F1F"/>
          <w:spacing w:val="-15"/>
          <w:w w:val="110"/>
        </w:rPr>
        <w:t> </w:t>
      </w:r>
      <w:r>
        <w:rPr>
          <w:color w:val="231F1F"/>
          <w:w w:val="110"/>
        </w:rPr>
        <w:t>plasma</w:t>
      </w:r>
      <w:r>
        <w:rPr>
          <w:color w:val="231F1F"/>
          <w:spacing w:val="-15"/>
          <w:w w:val="110"/>
        </w:rPr>
        <w:t> </w:t>
      </w:r>
      <w:r>
        <w:rPr>
          <w:color w:val="231F1F"/>
          <w:w w:val="110"/>
        </w:rPr>
        <w:t>(ng/ ml) (271;272).</w:t>
      </w:r>
    </w:p>
    <w:p>
      <w:pPr>
        <w:pStyle w:val="BodyText"/>
        <w:spacing w:before="99"/>
        <w:ind w:left="736"/>
        <w:jc w:val="both"/>
      </w:pPr>
      <w:r>
        <w:rPr>
          <w:color w:val="231F1F"/>
        </w:rPr>
        <w:t>Solo</w:t>
      </w:r>
      <w:r>
        <w:rPr>
          <w:color w:val="231F1F"/>
          <w:spacing w:val="3"/>
        </w:rPr>
        <w:t> </w:t>
      </w:r>
      <w:r>
        <w:rPr>
          <w:color w:val="231F1F"/>
        </w:rPr>
        <w:t>se</w:t>
      </w:r>
      <w:r>
        <w:rPr>
          <w:color w:val="231F1F"/>
          <w:spacing w:val="4"/>
        </w:rPr>
        <w:t> </w:t>
      </w:r>
      <w:r>
        <w:rPr>
          <w:color w:val="231F1F"/>
        </w:rPr>
        <w:t>encontraron</w:t>
      </w:r>
      <w:r>
        <w:rPr>
          <w:color w:val="231F1F"/>
          <w:spacing w:val="6"/>
        </w:rPr>
        <w:t> </w:t>
      </w:r>
      <w:r>
        <w:rPr>
          <w:color w:val="231F1F"/>
        </w:rPr>
        <w:t>diferencias</w:t>
      </w:r>
      <w:r>
        <w:rPr>
          <w:color w:val="231F1F"/>
          <w:spacing w:val="4"/>
        </w:rPr>
        <w:t> </w:t>
      </w:r>
      <w:r>
        <w:rPr>
          <w:color w:val="231F1F"/>
        </w:rPr>
        <w:t>significativas</w:t>
      </w:r>
      <w:r>
        <w:rPr>
          <w:color w:val="231F1F"/>
          <w:spacing w:val="6"/>
        </w:rPr>
        <w:t> </w:t>
      </w:r>
      <w:r>
        <w:rPr>
          <w:color w:val="231F1F"/>
        </w:rPr>
        <w:t>en</w:t>
      </w:r>
      <w:r>
        <w:rPr>
          <w:color w:val="231F1F"/>
          <w:spacing w:val="5"/>
        </w:rPr>
        <w:t> </w:t>
      </w:r>
      <w:r>
        <w:rPr>
          <w:color w:val="231F1F"/>
        </w:rPr>
        <w:t>el</w:t>
      </w:r>
      <w:r>
        <w:rPr>
          <w:color w:val="231F1F"/>
          <w:spacing w:val="5"/>
        </w:rPr>
        <w:t> </w:t>
      </w:r>
      <w:r>
        <w:rPr>
          <w:color w:val="231F1F"/>
        </w:rPr>
        <w:t>estudio</w:t>
      </w:r>
      <w:r>
        <w:rPr>
          <w:color w:val="231F1F"/>
          <w:spacing w:val="6"/>
        </w:rPr>
        <w:t> </w:t>
      </w:r>
      <w:r>
        <w:rPr>
          <w:color w:val="231F1F"/>
        </w:rPr>
        <w:t>de</w:t>
      </w:r>
      <w:r>
        <w:rPr>
          <w:color w:val="231F1F"/>
          <w:spacing w:val="5"/>
        </w:rPr>
        <w:t> </w:t>
      </w:r>
      <w:r>
        <w:rPr>
          <w:color w:val="231F1F"/>
          <w:spacing w:val="-2"/>
        </w:rPr>
        <w:t>Cornelissen</w:t>
      </w:r>
    </w:p>
    <w:p>
      <w:pPr>
        <w:pStyle w:val="BodyText"/>
        <w:spacing w:line="244" w:lineRule="auto" w:before="16"/>
        <w:ind w:left="283"/>
        <w:jc w:val="both"/>
      </w:pPr>
      <w:r>
        <w:rPr>
          <w:color w:val="231F1F"/>
          <w:w w:val="110"/>
        </w:rPr>
        <w:t>(271)</w:t>
      </w:r>
      <w:r>
        <w:rPr>
          <w:color w:val="231F1F"/>
          <w:spacing w:val="-7"/>
          <w:w w:val="110"/>
        </w:rPr>
        <w:t> </w:t>
      </w:r>
      <w:r>
        <w:rPr>
          <w:color w:val="231F1F"/>
          <w:w w:val="110"/>
        </w:rPr>
        <w:t>que</w:t>
      </w:r>
      <w:r>
        <w:rPr>
          <w:color w:val="231F1F"/>
          <w:spacing w:val="-7"/>
          <w:w w:val="110"/>
        </w:rPr>
        <w:t> </w:t>
      </w:r>
      <w:r>
        <w:rPr>
          <w:color w:val="231F1F"/>
          <w:w w:val="110"/>
        </w:rPr>
        <w:t>fue</w:t>
      </w:r>
      <w:r>
        <w:rPr>
          <w:color w:val="231F1F"/>
          <w:spacing w:val="-7"/>
          <w:w w:val="110"/>
        </w:rPr>
        <w:t> </w:t>
      </w:r>
      <w:r>
        <w:rPr>
          <w:color w:val="231F1F"/>
          <w:w w:val="110"/>
        </w:rPr>
        <w:t>el</w:t>
      </w:r>
      <w:r>
        <w:rPr>
          <w:color w:val="231F1F"/>
          <w:spacing w:val="-8"/>
          <w:w w:val="110"/>
        </w:rPr>
        <w:t> </w:t>
      </w:r>
      <w:r>
        <w:rPr>
          <w:color w:val="231F1F"/>
          <w:w w:val="110"/>
        </w:rPr>
        <w:t>único</w:t>
      </w:r>
      <w:r>
        <w:rPr>
          <w:color w:val="231F1F"/>
          <w:spacing w:val="-7"/>
          <w:w w:val="110"/>
        </w:rPr>
        <w:t> </w:t>
      </w:r>
      <w:r>
        <w:rPr>
          <w:color w:val="231F1F"/>
          <w:w w:val="110"/>
        </w:rPr>
        <w:t>que</w:t>
      </w:r>
      <w:r>
        <w:rPr>
          <w:color w:val="231F1F"/>
          <w:spacing w:val="-7"/>
          <w:w w:val="110"/>
        </w:rPr>
        <w:t> </w:t>
      </w:r>
      <w:r>
        <w:rPr>
          <w:color w:val="231F1F"/>
          <w:w w:val="110"/>
        </w:rPr>
        <w:t>evaluó</w:t>
      </w:r>
      <w:r>
        <w:rPr>
          <w:color w:val="231F1F"/>
          <w:spacing w:val="-7"/>
          <w:w w:val="110"/>
        </w:rPr>
        <w:t> </w:t>
      </w:r>
      <w:r>
        <w:rPr>
          <w:color w:val="231F1F"/>
          <w:w w:val="110"/>
        </w:rPr>
        <w:t>este</w:t>
      </w:r>
      <w:r>
        <w:rPr>
          <w:color w:val="231F1F"/>
          <w:spacing w:val="-7"/>
          <w:w w:val="110"/>
        </w:rPr>
        <w:t> </w:t>
      </w:r>
      <w:r>
        <w:rPr>
          <w:color w:val="231F1F"/>
          <w:w w:val="110"/>
        </w:rPr>
        <w:t>resultado</w:t>
      </w:r>
      <w:r>
        <w:rPr>
          <w:color w:val="231F1F"/>
          <w:spacing w:val="-6"/>
          <w:w w:val="110"/>
        </w:rPr>
        <w:t> </w:t>
      </w:r>
      <w:r>
        <w:rPr>
          <w:color w:val="231F1F"/>
          <w:w w:val="110"/>
        </w:rPr>
        <w:t>a</w:t>
      </w:r>
      <w:r>
        <w:rPr>
          <w:color w:val="231F1F"/>
          <w:spacing w:val="-7"/>
          <w:w w:val="110"/>
        </w:rPr>
        <w:t> </w:t>
      </w:r>
      <w:r>
        <w:rPr>
          <w:color w:val="231F1F"/>
          <w:w w:val="110"/>
        </w:rPr>
        <w:t>las</w:t>
      </w:r>
      <w:r>
        <w:rPr>
          <w:color w:val="231F1F"/>
          <w:spacing w:val="-7"/>
          <w:w w:val="110"/>
        </w:rPr>
        <w:t> </w:t>
      </w:r>
      <w:r>
        <w:rPr>
          <w:color w:val="231F1F"/>
          <w:w w:val="110"/>
        </w:rPr>
        <w:t>dos</w:t>
      </w:r>
      <w:r>
        <w:rPr>
          <w:color w:val="231F1F"/>
          <w:spacing w:val="-7"/>
          <w:w w:val="110"/>
        </w:rPr>
        <w:t> </w:t>
      </w:r>
      <w:r>
        <w:rPr>
          <w:color w:val="231F1F"/>
          <w:w w:val="110"/>
        </w:rPr>
        <w:t>semanas.</w:t>
      </w:r>
      <w:r>
        <w:rPr>
          <w:color w:val="231F1F"/>
          <w:spacing w:val="-8"/>
          <w:w w:val="110"/>
        </w:rPr>
        <w:t> </w:t>
      </w:r>
      <w:r>
        <w:rPr>
          <w:color w:val="231F1F"/>
          <w:w w:val="110"/>
        </w:rPr>
        <w:t>Este</w:t>
      </w:r>
      <w:r>
        <w:rPr>
          <w:color w:val="231F1F"/>
          <w:spacing w:val="-7"/>
          <w:w w:val="110"/>
        </w:rPr>
        <w:t> </w:t>
      </w:r>
      <w:r>
        <w:rPr>
          <w:color w:val="231F1F"/>
          <w:w w:val="110"/>
        </w:rPr>
        <w:t>en- sayo mostró una diferencia significativa, encontrando niveles más altos en plasma en el grupo tratado por vía intramuscular: diferencia de promedios</w:t>
      </w:r>
    </w:p>
    <w:p>
      <w:pPr>
        <w:pStyle w:val="BodyText"/>
        <w:spacing w:line="244" w:lineRule="auto" w:before="3"/>
        <w:ind w:left="283" w:right="3"/>
        <w:jc w:val="both"/>
      </w:pPr>
      <w:r>
        <w:rPr>
          <w:color w:val="231F1F"/>
          <w:w w:val="105"/>
        </w:rPr>
        <w:t>-0,79</w:t>
      </w:r>
      <w:r>
        <w:rPr>
          <w:color w:val="231F1F"/>
          <w:spacing w:val="-10"/>
          <w:w w:val="105"/>
        </w:rPr>
        <w:t> </w:t>
      </w:r>
      <w:r>
        <w:rPr>
          <w:color w:val="231F1F"/>
          <w:w w:val="105"/>
        </w:rPr>
        <w:t>ng/ml</w:t>
      </w:r>
      <w:r>
        <w:rPr>
          <w:color w:val="231F1F"/>
          <w:spacing w:val="-10"/>
          <w:w w:val="105"/>
        </w:rPr>
        <w:t> </w:t>
      </w:r>
      <w:r>
        <w:rPr>
          <w:color w:val="231F1F"/>
          <w:w w:val="105"/>
        </w:rPr>
        <w:t>[IC</w:t>
      </w:r>
      <w:r>
        <w:rPr>
          <w:color w:val="231F1F"/>
          <w:spacing w:val="-9"/>
          <w:w w:val="105"/>
        </w:rPr>
        <w:t> </w:t>
      </w:r>
      <w:r>
        <w:rPr>
          <w:color w:val="231F1F"/>
          <w:w w:val="105"/>
        </w:rPr>
        <w:t>95%</w:t>
      </w:r>
      <w:r>
        <w:rPr>
          <w:color w:val="231F1F"/>
          <w:spacing w:val="-9"/>
          <w:w w:val="105"/>
        </w:rPr>
        <w:t> </w:t>
      </w:r>
      <w:r>
        <w:rPr>
          <w:color w:val="231F1F"/>
          <w:w w:val="105"/>
        </w:rPr>
        <w:t>-1,02,</w:t>
      </w:r>
      <w:r>
        <w:rPr>
          <w:color w:val="231F1F"/>
          <w:spacing w:val="-10"/>
          <w:w w:val="105"/>
        </w:rPr>
        <w:t> </w:t>
      </w:r>
      <w:r>
        <w:rPr>
          <w:color w:val="231F1F"/>
          <w:w w:val="105"/>
        </w:rPr>
        <w:t>a</w:t>
      </w:r>
      <w:r>
        <w:rPr>
          <w:color w:val="231F1F"/>
          <w:spacing w:val="-9"/>
          <w:w w:val="105"/>
        </w:rPr>
        <w:t> </w:t>
      </w:r>
      <w:r>
        <w:rPr>
          <w:color w:val="231F1F"/>
          <w:w w:val="105"/>
        </w:rPr>
        <w:t>0,56].</w:t>
      </w:r>
      <w:r>
        <w:rPr>
          <w:color w:val="231F1F"/>
          <w:spacing w:val="-10"/>
          <w:w w:val="105"/>
        </w:rPr>
        <w:t> </w:t>
      </w:r>
      <w:r>
        <w:rPr>
          <w:color w:val="231F1F"/>
          <w:w w:val="105"/>
        </w:rPr>
        <w:t>Maurage</w:t>
      </w:r>
      <w:r>
        <w:rPr>
          <w:color w:val="231F1F"/>
          <w:spacing w:val="-9"/>
          <w:w w:val="105"/>
        </w:rPr>
        <w:t> </w:t>
      </w:r>
      <w:r>
        <w:rPr>
          <w:color w:val="231F1F"/>
          <w:w w:val="105"/>
        </w:rPr>
        <w:t>(272)</w:t>
      </w:r>
      <w:r>
        <w:rPr>
          <w:color w:val="231F1F"/>
          <w:spacing w:val="-9"/>
          <w:w w:val="105"/>
        </w:rPr>
        <w:t> </w:t>
      </w:r>
      <w:r>
        <w:rPr>
          <w:color w:val="231F1F"/>
          <w:w w:val="105"/>
        </w:rPr>
        <w:t>fue</w:t>
      </w:r>
      <w:r>
        <w:rPr>
          <w:color w:val="231F1F"/>
          <w:spacing w:val="-9"/>
          <w:w w:val="105"/>
        </w:rPr>
        <w:t> </w:t>
      </w:r>
      <w:r>
        <w:rPr>
          <w:color w:val="231F1F"/>
          <w:w w:val="105"/>
        </w:rPr>
        <w:t>el</w:t>
      </w:r>
      <w:r>
        <w:rPr>
          <w:color w:val="231F1F"/>
          <w:spacing w:val="-10"/>
          <w:w w:val="105"/>
        </w:rPr>
        <w:t> </w:t>
      </w:r>
      <w:r>
        <w:rPr>
          <w:color w:val="231F1F"/>
          <w:w w:val="105"/>
        </w:rPr>
        <w:t>único</w:t>
      </w:r>
      <w:r>
        <w:rPr>
          <w:color w:val="231F1F"/>
          <w:spacing w:val="-9"/>
          <w:w w:val="105"/>
        </w:rPr>
        <w:t> </w:t>
      </w:r>
      <w:r>
        <w:rPr>
          <w:color w:val="231F1F"/>
          <w:w w:val="105"/>
        </w:rPr>
        <w:t>que</w:t>
      </w:r>
      <w:r>
        <w:rPr>
          <w:color w:val="231F1F"/>
          <w:spacing w:val="-10"/>
          <w:w w:val="105"/>
        </w:rPr>
        <w:t> </w:t>
      </w:r>
      <w:r>
        <w:rPr>
          <w:color w:val="231F1F"/>
          <w:w w:val="105"/>
        </w:rPr>
        <w:t>evaluó</w:t>
      </w:r>
      <w:r>
        <w:rPr>
          <w:color w:val="231F1F"/>
          <w:spacing w:val="-9"/>
          <w:w w:val="105"/>
        </w:rPr>
        <w:t> </w:t>
      </w:r>
      <w:r>
        <w:rPr>
          <w:color w:val="231F1F"/>
          <w:w w:val="105"/>
        </w:rPr>
        <w:t>este resultado</w:t>
      </w:r>
      <w:r>
        <w:rPr>
          <w:color w:val="231F1F"/>
          <w:w w:val="105"/>
        </w:rPr>
        <w:t> entre</w:t>
      </w:r>
      <w:r>
        <w:rPr>
          <w:color w:val="231F1F"/>
          <w:w w:val="105"/>
        </w:rPr>
        <w:t> el</w:t>
      </w:r>
      <w:r>
        <w:rPr>
          <w:color w:val="231F1F"/>
          <w:w w:val="105"/>
        </w:rPr>
        <w:t> primer</w:t>
      </w:r>
      <w:r>
        <w:rPr>
          <w:color w:val="231F1F"/>
          <w:w w:val="105"/>
        </w:rPr>
        <w:t> y</w:t>
      </w:r>
      <w:r>
        <w:rPr>
          <w:color w:val="231F1F"/>
          <w:w w:val="105"/>
        </w:rPr>
        <w:t> el</w:t>
      </w:r>
      <w:r>
        <w:rPr>
          <w:color w:val="231F1F"/>
          <w:w w:val="105"/>
        </w:rPr>
        <w:t> séptimo</w:t>
      </w:r>
      <w:r>
        <w:rPr>
          <w:color w:val="231F1F"/>
          <w:w w:val="105"/>
        </w:rPr>
        <w:t> día.</w:t>
      </w:r>
      <w:r>
        <w:rPr>
          <w:color w:val="231F1F"/>
          <w:w w:val="105"/>
        </w:rPr>
        <w:t> No</w:t>
      </w:r>
      <w:r>
        <w:rPr>
          <w:color w:val="231F1F"/>
          <w:w w:val="105"/>
        </w:rPr>
        <w:t> se</w:t>
      </w:r>
      <w:r>
        <w:rPr>
          <w:color w:val="231F1F"/>
          <w:w w:val="105"/>
        </w:rPr>
        <w:t> encontraron</w:t>
      </w:r>
      <w:r>
        <w:rPr>
          <w:color w:val="231F1F"/>
          <w:w w:val="105"/>
        </w:rPr>
        <w:t> diferencias significativas entre los grupos.</w:t>
      </w:r>
    </w:p>
    <w:p>
      <w:pPr>
        <w:pStyle w:val="BodyText"/>
        <w:spacing w:line="249" w:lineRule="auto" w:before="95"/>
        <w:ind w:left="283" w:right="1" w:firstLine="453"/>
        <w:jc w:val="both"/>
      </w:pPr>
      <w:r>
        <w:rPr>
          <w:color w:val="231F1F"/>
          <w:w w:val="110"/>
        </w:rPr>
        <w:t>Ambos</w:t>
      </w:r>
      <w:r>
        <w:rPr>
          <w:color w:val="231F1F"/>
          <w:spacing w:val="-16"/>
          <w:w w:val="110"/>
        </w:rPr>
        <w:t> </w:t>
      </w:r>
      <w:r>
        <w:rPr>
          <w:color w:val="231F1F"/>
          <w:w w:val="110"/>
        </w:rPr>
        <w:t>ensayos</w:t>
      </w:r>
      <w:r>
        <w:rPr>
          <w:color w:val="231F1F"/>
          <w:spacing w:val="-15"/>
          <w:w w:val="110"/>
        </w:rPr>
        <w:t> </w:t>
      </w:r>
      <w:r>
        <w:rPr>
          <w:color w:val="231F1F"/>
          <w:w w:val="110"/>
        </w:rPr>
        <w:t>analizaron</w:t>
      </w:r>
      <w:r>
        <w:rPr>
          <w:color w:val="231F1F"/>
          <w:spacing w:val="-15"/>
          <w:w w:val="110"/>
        </w:rPr>
        <w:t> </w:t>
      </w:r>
      <w:r>
        <w:rPr>
          <w:color w:val="231F1F"/>
          <w:w w:val="110"/>
        </w:rPr>
        <w:t>este</w:t>
      </w:r>
      <w:r>
        <w:rPr>
          <w:color w:val="231F1F"/>
          <w:spacing w:val="-15"/>
          <w:w w:val="110"/>
        </w:rPr>
        <w:t> </w:t>
      </w:r>
      <w:r>
        <w:rPr>
          <w:color w:val="231F1F"/>
          <w:w w:val="110"/>
        </w:rPr>
        <w:t>resultado</w:t>
      </w:r>
      <w:r>
        <w:rPr>
          <w:color w:val="231F1F"/>
          <w:spacing w:val="-15"/>
          <w:w w:val="110"/>
        </w:rPr>
        <w:t> </w:t>
      </w:r>
      <w:r>
        <w:rPr>
          <w:color w:val="231F1F"/>
          <w:w w:val="110"/>
        </w:rPr>
        <w:t>al</w:t>
      </w:r>
      <w:r>
        <w:rPr>
          <w:color w:val="231F1F"/>
          <w:spacing w:val="-15"/>
          <w:w w:val="110"/>
        </w:rPr>
        <w:t> </w:t>
      </w:r>
      <w:r>
        <w:rPr>
          <w:color w:val="231F1F"/>
          <w:w w:val="110"/>
        </w:rPr>
        <w:t>cabo</w:t>
      </w:r>
      <w:r>
        <w:rPr>
          <w:color w:val="231F1F"/>
          <w:spacing w:val="-15"/>
          <w:w w:val="110"/>
        </w:rPr>
        <w:t> </w:t>
      </w:r>
      <w:r>
        <w:rPr>
          <w:color w:val="231F1F"/>
          <w:w w:val="110"/>
        </w:rPr>
        <w:t>de</w:t>
      </w:r>
      <w:r>
        <w:rPr>
          <w:color w:val="231F1F"/>
          <w:spacing w:val="-15"/>
          <w:w w:val="110"/>
        </w:rPr>
        <w:t> </w:t>
      </w:r>
      <w:r>
        <w:rPr>
          <w:color w:val="231F1F"/>
          <w:w w:val="110"/>
        </w:rPr>
        <w:t>un</w:t>
      </w:r>
      <w:r>
        <w:rPr>
          <w:color w:val="231F1F"/>
          <w:spacing w:val="-16"/>
          <w:w w:val="110"/>
        </w:rPr>
        <w:t> </w:t>
      </w:r>
      <w:r>
        <w:rPr>
          <w:color w:val="231F1F"/>
          <w:w w:val="110"/>
        </w:rPr>
        <w:t>mes:</w:t>
      </w:r>
      <w:r>
        <w:rPr>
          <w:color w:val="231F1F"/>
          <w:spacing w:val="-15"/>
          <w:w w:val="110"/>
        </w:rPr>
        <w:t> </w:t>
      </w:r>
      <w:r>
        <w:rPr>
          <w:color w:val="231F1F"/>
          <w:w w:val="110"/>
        </w:rPr>
        <w:t>los</w:t>
      </w:r>
      <w:r>
        <w:rPr>
          <w:color w:val="231F1F"/>
          <w:spacing w:val="-15"/>
          <w:w w:val="110"/>
        </w:rPr>
        <w:t> </w:t>
      </w:r>
      <w:r>
        <w:rPr>
          <w:color w:val="231F1F"/>
          <w:w w:val="110"/>
        </w:rPr>
        <w:t>resulta- dos</w:t>
      </w:r>
      <w:r>
        <w:rPr>
          <w:color w:val="231F1F"/>
          <w:spacing w:val="-16"/>
          <w:w w:val="110"/>
        </w:rPr>
        <w:t> </w:t>
      </w:r>
      <w:r>
        <w:rPr>
          <w:color w:val="231F1F"/>
          <w:w w:val="110"/>
        </w:rPr>
        <w:t>combinados</w:t>
      </w:r>
      <w:r>
        <w:rPr>
          <w:color w:val="231F1F"/>
          <w:spacing w:val="-15"/>
          <w:w w:val="110"/>
        </w:rPr>
        <w:t> </w:t>
      </w:r>
      <w:r>
        <w:rPr>
          <w:color w:val="231F1F"/>
          <w:w w:val="110"/>
        </w:rPr>
        <w:t>de</w:t>
      </w:r>
      <w:r>
        <w:rPr>
          <w:color w:val="231F1F"/>
          <w:spacing w:val="-15"/>
          <w:w w:val="110"/>
        </w:rPr>
        <w:t> </w:t>
      </w:r>
      <w:r>
        <w:rPr>
          <w:color w:val="231F1F"/>
          <w:w w:val="110"/>
        </w:rPr>
        <w:t>estos</w:t>
      </w:r>
      <w:r>
        <w:rPr>
          <w:color w:val="231F1F"/>
          <w:spacing w:val="-15"/>
          <w:w w:val="110"/>
        </w:rPr>
        <w:t> </w:t>
      </w:r>
      <w:r>
        <w:rPr>
          <w:color w:val="231F1F"/>
          <w:w w:val="110"/>
        </w:rPr>
        <w:t>ensayos</w:t>
      </w:r>
      <w:r>
        <w:rPr>
          <w:color w:val="231F1F"/>
          <w:spacing w:val="-15"/>
          <w:w w:val="110"/>
        </w:rPr>
        <w:t> </w:t>
      </w:r>
      <w:r>
        <w:rPr>
          <w:color w:val="231F1F"/>
          <w:w w:val="110"/>
        </w:rPr>
        <w:t>mostraron</w:t>
      </w:r>
      <w:r>
        <w:rPr>
          <w:color w:val="231F1F"/>
          <w:spacing w:val="-15"/>
          <w:w w:val="110"/>
        </w:rPr>
        <w:t> </w:t>
      </w:r>
      <w:r>
        <w:rPr>
          <w:color w:val="231F1F"/>
          <w:w w:val="110"/>
        </w:rPr>
        <w:t>una</w:t>
      </w:r>
      <w:r>
        <w:rPr>
          <w:color w:val="231F1F"/>
          <w:spacing w:val="-15"/>
          <w:w w:val="110"/>
        </w:rPr>
        <w:t> </w:t>
      </w:r>
      <w:r>
        <w:rPr>
          <w:color w:val="231F1F"/>
          <w:w w:val="110"/>
        </w:rPr>
        <w:t>diferencia</w:t>
      </w:r>
      <w:r>
        <w:rPr>
          <w:color w:val="231F1F"/>
          <w:spacing w:val="-15"/>
          <w:w w:val="110"/>
        </w:rPr>
        <w:t> </w:t>
      </w:r>
      <w:r>
        <w:rPr>
          <w:color w:val="231F1F"/>
          <w:w w:val="110"/>
        </w:rPr>
        <w:t>significativa,</w:t>
      </w:r>
      <w:r>
        <w:rPr>
          <w:color w:val="231F1F"/>
          <w:spacing w:val="-16"/>
          <w:w w:val="110"/>
        </w:rPr>
        <w:t> </w:t>
      </w:r>
      <w:r>
        <w:rPr>
          <w:color w:val="231F1F"/>
          <w:w w:val="110"/>
        </w:rPr>
        <w:t>en- </w:t>
      </w:r>
      <w:r>
        <w:rPr>
          <w:color w:val="231F1F"/>
          <w:spacing w:val="-2"/>
          <w:w w:val="110"/>
        </w:rPr>
        <w:t>contrando</w:t>
      </w:r>
      <w:r>
        <w:rPr>
          <w:color w:val="231F1F"/>
          <w:spacing w:val="-9"/>
          <w:w w:val="110"/>
        </w:rPr>
        <w:t> </w:t>
      </w:r>
      <w:r>
        <w:rPr>
          <w:color w:val="231F1F"/>
          <w:spacing w:val="-2"/>
          <w:w w:val="110"/>
        </w:rPr>
        <w:t>niveles</w:t>
      </w:r>
      <w:r>
        <w:rPr>
          <w:color w:val="231F1F"/>
          <w:spacing w:val="-10"/>
          <w:w w:val="110"/>
        </w:rPr>
        <w:t> </w:t>
      </w:r>
      <w:r>
        <w:rPr>
          <w:color w:val="231F1F"/>
          <w:spacing w:val="-2"/>
          <w:w w:val="110"/>
        </w:rPr>
        <w:t>más</w:t>
      </w:r>
      <w:r>
        <w:rPr>
          <w:color w:val="231F1F"/>
          <w:spacing w:val="-9"/>
          <w:w w:val="110"/>
        </w:rPr>
        <w:t> </w:t>
      </w:r>
      <w:r>
        <w:rPr>
          <w:color w:val="231F1F"/>
          <w:spacing w:val="-2"/>
          <w:w w:val="110"/>
        </w:rPr>
        <w:t>altos</w:t>
      </w:r>
      <w:r>
        <w:rPr>
          <w:color w:val="231F1F"/>
          <w:spacing w:val="-9"/>
          <w:w w:val="110"/>
        </w:rPr>
        <w:t> </w:t>
      </w:r>
      <w:r>
        <w:rPr>
          <w:color w:val="231F1F"/>
          <w:spacing w:val="-2"/>
          <w:w w:val="110"/>
        </w:rPr>
        <w:t>en</w:t>
      </w:r>
      <w:r>
        <w:rPr>
          <w:color w:val="231F1F"/>
          <w:spacing w:val="-9"/>
          <w:w w:val="110"/>
        </w:rPr>
        <w:t> </w:t>
      </w:r>
      <w:r>
        <w:rPr>
          <w:color w:val="231F1F"/>
          <w:spacing w:val="-2"/>
          <w:w w:val="110"/>
        </w:rPr>
        <w:t>plasma</w:t>
      </w:r>
      <w:r>
        <w:rPr>
          <w:color w:val="231F1F"/>
          <w:spacing w:val="-9"/>
          <w:w w:val="110"/>
        </w:rPr>
        <w:t> </w:t>
      </w:r>
      <w:r>
        <w:rPr>
          <w:color w:val="231F1F"/>
          <w:spacing w:val="-2"/>
          <w:w w:val="110"/>
        </w:rPr>
        <w:t>de</w:t>
      </w:r>
      <w:r>
        <w:rPr>
          <w:color w:val="231F1F"/>
          <w:spacing w:val="-9"/>
          <w:w w:val="110"/>
        </w:rPr>
        <w:t> </w:t>
      </w:r>
      <w:r>
        <w:rPr>
          <w:color w:val="231F1F"/>
          <w:spacing w:val="-2"/>
          <w:w w:val="110"/>
        </w:rPr>
        <w:t>Vitamina</w:t>
      </w:r>
      <w:r>
        <w:rPr>
          <w:color w:val="231F1F"/>
          <w:spacing w:val="-9"/>
          <w:w w:val="110"/>
        </w:rPr>
        <w:t> </w:t>
      </w:r>
      <w:r>
        <w:rPr>
          <w:color w:val="231F1F"/>
          <w:spacing w:val="-2"/>
          <w:w w:val="110"/>
        </w:rPr>
        <w:t>K</w:t>
      </w:r>
      <w:r>
        <w:rPr>
          <w:color w:val="231F1F"/>
          <w:spacing w:val="-9"/>
          <w:w w:val="110"/>
        </w:rPr>
        <w:t> </w:t>
      </w:r>
      <w:r>
        <w:rPr>
          <w:color w:val="231F1F"/>
          <w:spacing w:val="-2"/>
          <w:w w:val="110"/>
        </w:rPr>
        <w:t>en</w:t>
      </w:r>
      <w:r>
        <w:rPr>
          <w:color w:val="231F1F"/>
          <w:spacing w:val="-9"/>
          <w:w w:val="110"/>
        </w:rPr>
        <w:t> </w:t>
      </w:r>
      <w:r>
        <w:rPr>
          <w:color w:val="231F1F"/>
          <w:spacing w:val="-2"/>
          <w:w w:val="110"/>
        </w:rPr>
        <w:t>el</w:t>
      </w:r>
      <w:r>
        <w:rPr>
          <w:color w:val="231F1F"/>
          <w:spacing w:val="-9"/>
          <w:w w:val="110"/>
        </w:rPr>
        <w:t> </w:t>
      </w:r>
      <w:r>
        <w:rPr>
          <w:color w:val="231F1F"/>
          <w:spacing w:val="-2"/>
          <w:w w:val="110"/>
        </w:rPr>
        <w:t>grupo</w:t>
      </w:r>
      <w:r>
        <w:rPr>
          <w:color w:val="231F1F"/>
          <w:spacing w:val="-9"/>
          <w:w w:val="110"/>
        </w:rPr>
        <w:t> </w:t>
      </w:r>
      <w:r>
        <w:rPr>
          <w:color w:val="231F1F"/>
          <w:spacing w:val="-2"/>
          <w:w w:val="110"/>
        </w:rPr>
        <w:t>tratado</w:t>
      </w:r>
      <w:r>
        <w:rPr>
          <w:color w:val="231F1F"/>
          <w:spacing w:val="-9"/>
          <w:w w:val="110"/>
        </w:rPr>
        <w:t> </w:t>
      </w:r>
      <w:r>
        <w:rPr>
          <w:color w:val="231F1F"/>
          <w:spacing w:val="-2"/>
          <w:w w:val="110"/>
        </w:rPr>
        <w:t>por </w:t>
      </w:r>
      <w:r>
        <w:rPr>
          <w:color w:val="231F1F"/>
          <w:w w:val="110"/>
        </w:rPr>
        <w:t>vía intramuscular; diferencia de promedios -0,23 ng/ml (-0,30 a 0,16).</w:t>
      </w:r>
    </w:p>
    <w:p>
      <w:pPr>
        <w:pStyle w:val="BodyText"/>
        <w:spacing w:line="268" w:lineRule="auto" w:before="71"/>
        <w:ind w:left="283" w:right="3" w:firstLine="453"/>
        <w:jc w:val="both"/>
      </w:pPr>
      <w:r>
        <w:rPr>
          <w:color w:val="231F1F"/>
        </w:rPr>
        <w:t>La revisión (262) no encontró diferencias significativas al valorar otros re- sultados intermedios como tiempo de protrombina, factores de coagulación, etc.</w:t>
      </w:r>
    </w:p>
    <w:p>
      <w:pPr>
        <w:pStyle w:val="BodyText"/>
        <w:spacing w:line="247" w:lineRule="auto" w:before="115"/>
        <w:ind w:left="283" w:right="1" w:firstLine="453"/>
        <w:jc w:val="both"/>
      </w:pPr>
      <w:r>
        <w:rPr>
          <w:color w:val="231F1F"/>
          <w:w w:val="105"/>
        </w:rPr>
        <w:t>También</w:t>
      </w:r>
      <w:r>
        <w:rPr>
          <w:color w:val="231F1F"/>
          <w:w w:val="105"/>
        </w:rPr>
        <w:t> se</w:t>
      </w:r>
      <w:r>
        <w:rPr>
          <w:color w:val="231F1F"/>
          <w:w w:val="105"/>
        </w:rPr>
        <w:t> analiza</w:t>
      </w:r>
      <w:r>
        <w:rPr>
          <w:color w:val="231F1F"/>
          <w:w w:val="105"/>
        </w:rPr>
        <w:t> la</w:t>
      </w:r>
      <w:r>
        <w:rPr>
          <w:color w:val="231F1F"/>
          <w:w w:val="105"/>
        </w:rPr>
        <w:t> comparación</w:t>
      </w:r>
      <w:r>
        <w:rPr>
          <w:color w:val="231F1F"/>
          <w:w w:val="105"/>
        </w:rPr>
        <w:t> de</w:t>
      </w:r>
      <w:r>
        <w:rPr>
          <w:color w:val="231F1F"/>
          <w:w w:val="105"/>
        </w:rPr>
        <w:t> </w:t>
      </w:r>
      <w:r>
        <w:rPr>
          <w:i/>
          <w:color w:val="231F1F"/>
          <w:w w:val="105"/>
        </w:rPr>
        <w:t>tres dosis orales vs una dosis de vitamina</w:t>
      </w:r>
      <w:r>
        <w:rPr>
          <w:i/>
          <w:color w:val="231F1F"/>
          <w:spacing w:val="-4"/>
          <w:w w:val="105"/>
        </w:rPr>
        <w:t> </w:t>
      </w:r>
      <w:r>
        <w:rPr>
          <w:i/>
          <w:color w:val="231F1F"/>
          <w:w w:val="105"/>
        </w:rPr>
        <w:t>K</w:t>
      </w:r>
      <w:r>
        <w:rPr>
          <w:i/>
          <w:color w:val="231F1F"/>
          <w:spacing w:val="-4"/>
          <w:w w:val="105"/>
        </w:rPr>
        <w:t> </w:t>
      </w:r>
      <w:r>
        <w:rPr>
          <w:i/>
          <w:color w:val="231F1F"/>
          <w:w w:val="105"/>
        </w:rPr>
        <w:t>por</w:t>
      </w:r>
      <w:r>
        <w:rPr>
          <w:i/>
          <w:color w:val="231F1F"/>
          <w:spacing w:val="-4"/>
          <w:w w:val="105"/>
        </w:rPr>
        <w:t> </w:t>
      </w:r>
      <w:r>
        <w:rPr>
          <w:i/>
          <w:color w:val="231F1F"/>
          <w:w w:val="105"/>
        </w:rPr>
        <w:t>vía</w:t>
      </w:r>
      <w:r>
        <w:rPr>
          <w:i/>
          <w:color w:val="231F1F"/>
          <w:spacing w:val="-4"/>
          <w:w w:val="105"/>
        </w:rPr>
        <w:t> </w:t>
      </w:r>
      <w:r>
        <w:rPr>
          <w:i/>
          <w:color w:val="231F1F"/>
          <w:w w:val="105"/>
        </w:rPr>
        <w:t>intramuscular</w:t>
      </w:r>
      <w:r>
        <w:rPr>
          <w:color w:val="231F1F"/>
          <w:w w:val="105"/>
        </w:rPr>
        <w:t>. El único ensayo que investigó esta compa- ración fue Greer 1998 (273) que no evaluó específicamente la ocurrencia de HDVK</w:t>
      </w:r>
      <w:r>
        <w:rPr>
          <w:color w:val="231F1F"/>
          <w:w w:val="105"/>
        </w:rPr>
        <w:t> pero</w:t>
      </w:r>
      <w:r>
        <w:rPr>
          <w:color w:val="231F1F"/>
          <w:w w:val="105"/>
        </w:rPr>
        <w:t> analizó</w:t>
      </w:r>
      <w:r>
        <w:rPr>
          <w:color w:val="231F1F"/>
          <w:w w:val="105"/>
        </w:rPr>
        <w:t> la</w:t>
      </w:r>
      <w:r>
        <w:rPr>
          <w:color w:val="231F1F"/>
          <w:w w:val="105"/>
        </w:rPr>
        <w:t> vitamina</w:t>
      </w:r>
      <w:r>
        <w:rPr>
          <w:color w:val="231F1F"/>
          <w:w w:val="105"/>
        </w:rPr>
        <w:t> K</w:t>
      </w:r>
      <w:r>
        <w:rPr>
          <w:color w:val="231F1F"/>
          <w:w w:val="105"/>
        </w:rPr>
        <w:t> en</w:t>
      </w:r>
      <w:r>
        <w:rPr>
          <w:color w:val="231F1F"/>
          <w:w w:val="105"/>
        </w:rPr>
        <w:t> plasma</w:t>
      </w:r>
      <w:r>
        <w:rPr>
          <w:color w:val="231F1F"/>
          <w:w w:val="105"/>
        </w:rPr>
        <w:t> (ng/ml).</w:t>
      </w:r>
      <w:r>
        <w:rPr>
          <w:color w:val="231F1F"/>
          <w:w w:val="105"/>
        </w:rPr>
        <w:t> A</w:t>
      </w:r>
      <w:r>
        <w:rPr>
          <w:color w:val="231F1F"/>
          <w:w w:val="105"/>
        </w:rPr>
        <w:t> las</w:t>
      </w:r>
      <w:r>
        <w:rPr>
          <w:color w:val="231F1F"/>
          <w:w w:val="105"/>
        </w:rPr>
        <w:t> dos</w:t>
      </w:r>
      <w:r>
        <w:rPr>
          <w:color w:val="231F1F"/>
          <w:w w:val="105"/>
        </w:rPr>
        <w:t> semanas, Greer encontró un nivel significativamente mayor en el grupo tratado por vía oral,</w:t>
      </w:r>
      <w:r>
        <w:rPr>
          <w:color w:val="231F1F"/>
          <w:spacing w:val="-2"/>
          <w:w w:val="105"/>
        </w:rPr>
        <w:t> </w:t>
      </w:r>
      <w:r>
        <w:rPr>
          <w:color w:val="231F1F"/>
          <w:w w:val="105"/>
        </w:rPr>
        <w:t>diferencia</w:t>
      </w:r>
      <w:r>
        <w:rPr>
          <w:color w:val="231F1F"/>
          <w:spacing w:val="-3"/>
          <w:w w:val="105"/>
        </w:rPr>
        <w:t> </w:t>
      </w:r>
      <w:r>
        <w:rPr>
          <w:color w:val="231F1F"/>
          <w:w w:val="105"/>
        </w:rPr>
        <w:t>de</w:t>
      </w:r>
      <w:r>
        <w:rPr>
          <w:color w:val="231F1F"/>
          <w:spacing w:val="-2"/>
          <w:w w:val="105"/>
        </w:rPr>
        <w:t> </w:t>
      </w:r>
      <w:r>
        <w:rPr>
          <w:color w:val="231F1F"/>
          <w:w w:val="105"/>
        </w:rPr>
        <w:t>promedios:</w:t>
      </w:r>
      <w:r>
        <w:rPr>
          <w:color w:val="231F1F"/>
          <w:spacing w:val="-3"/>
          <w:w w:val="105"/>
        </w:rPr>
        <w:t> </w:t>
      </w:r>
      <w:r>
        <w:rPr>
          <w:color w:val="231F1F"/>
          <w:w w:val="105"/>
        </w:rPr>
        <w:t>0,80</w:t>
      </w:r>
      <w:r>
        <w:rPr>
          <w:color w:val="231F1F"/>
          <w:spacing w:val="-2"/>
          <w:w w:val="105"/>
        </w:rPr>
        <w:t> </w:t>
      </w:r>
      <w:r>
        <w:rPr>
          <w:color w:val="231F1F"/>
          <w:w w:val="105"/>
        </w:rPr>
        <w:t>ng/ml</w:t>
      </w:r>
      <w:r>
        <w:rPr>
          <w:color w:val="231F1F"/>
          <w:spacing w:val="-3"/>
          <w:w w:val="105"/>
        </w:rPr>
        <w:t> </w:t>
      </w:r>
      <w:r>
        <w:rPr>
          <w:color w:val="231F1F"/>
          <w:w w:val="105"/>
        </w:rPr>
        <w:t>(0,34</w:t>
      </w:r>
      <w:r>
        <w:rPr>
          <w:color w:val="231F1F"/>
          <w:spacing w:val="-2"/>
          <w:w w:val="105"/>
        </w:rPr>
        <w:t> </w:t>
      </w:r>
      <w:r>
        <w:rPr>
          <w:color w:val="231F1F"/>
          <w:w w:val="105"/>
        </w:rPr>
        <w:t>a</w:t>
      </w:r>
      <w:r>
        <w:rPr>
          <w:color w:val="231F1F"/>
          <w:spacing w:val="-2"/>
          <w:w w:val="105"/>
        </w:rPr>
        <w:t> </w:t>
      </w:r>
      <w:r>
        <w:rPr>
          <w:color w:val="231F1F"/>
          <w:w w:val="105"/>
        </w:rPr>
        <w:t>1,27).</w:t>
      </w:r>
      <w:r>
        <w:rPr>
          <w:color w:val="231F1F"/>
          <w:spacing w:val="-3"/>
          <w:w w:val="105"/>
        </w:rPr>
        <w:t> </w:t>
      </w:r>
      <w:r>
        <w:rPr>
          <w:color w:val="231F1F"/>
          <w:w w:val="105"/>
        </w:rPr>
        <w:t>Al</w:t>
      </w:r>
      <w:r>
        <w:rPr>
          <w:color w:val="231F1F"/>
          <w:spacing w:val="-2"/>
          <w:w w:val="105"/>
        </w:rPr>
        <w:t> </w:t>
      </w:r>
      <w:r>
        <w:rPr>
          <w:color w:val="231F1F"/>
          <w:w w:val="105"/>
        </w:rPr>
        <w:t>cabo</w:t>
      </w:r>
      <w:r>
        <w:rPr>
          <w:color w:val="231F1F"/>
          <w:spacing w:val="-2"/>
          <w:w w:val="105"/>
        </w:rPr>
        <w:t> </w:t>
      </w:r>
      <w:r>
        <w:rPr>
          <w:color w:val="231F1F"/>
          <w:w w:val="105"/>
        </w:rPr>
        <w:t>de</w:t>
      </w:r>
      <w:r>
        <w:rPr>
          <w:color w:val="231F1F"/>
          <w:spacing w:val="-2"/>
          <w:w w:val="105"/>
        </w:rPr>
        <w:t> </w:t>
      </w:r>
      <w:r>
        <w:rPr>
          <w:color w:val="231F1F"/>
          <w:w w:val="105"/>
        </w:rPr>
        <w:t>un</w:t>
      </w:r>
      <w:r>
        <w:rPr>
          <w:color w:val="231F1F"/>
          <w:spacing w:val="-3"/>
          <w:w w:val="105"/>
        </w:rPr>
        <w:t> </w:t>
      </w:r>
      <w:r>
        <w:rPr>
          <w:color w:val="231F1F"/>
          <w:w w:val="105"/>
        </w:rPr>
        <w:t>mes,</w:t>
      </w:r>
      <w:r>
        <w:rPr>
          <w:color w:val="231F1F"/>
          <w:spacing w:val="-2"/>
          <w:w w:val="105"/>
        </w:rPr>
        <w:t> </w:t>
      </w:r>
      <w:r>
        <w:rPr>
          <w:color w:val="231F1F"/>
          <w:w w:val="105"/>
        </w:rPr>
        <w:t>no se encontraron diferencias significativas. A los tres meses, Greer encontró un</w:t>
      </w:r>
    </w:p>
    <w:p>
      <w:pPr>
        <w:spacing w:line="278" w:lineRule="auto" w:before="104"/>
        <w:ind w:left="379" w:right="0" w:hanging="243"/>
        <w:jc w:val="left"/>
        <w:rPr>
          <w:rFonts w:ascii="Arial MT"/>
          <w:sz w:val="18"/>
        </w:rPr>
      </w:pPr>
      <w:r>
        <w:rPr/>
        <w:br w:type="column"/>
      </w:r>
      <w:r>
        <w:rPr>
          <w:rFonts w:ascii="Arial MT"/>
          <w:color w:val="231F1F"/>
          <w:spacing w:val="-4"/>
          <w:sz w:val="18"/>
        </w:rPr>
        <w:t>E.</w:t>
      </w:r>
      <w:r>
        <w:rPr>
          <w:rFonts w:ascii="Arial MT"/>
          <w:color w:val="231F1F"/>
          <w:spacing w:val="-19"/>
          <w:sz w:val="18"/>
        </w:rPr>
        <w:t> </w:t>
      </w:r>
      <w:r>
        <w:rPr>
          <w:rFonts w:ascii="Arial MT"/>
          <w:color w:val="231F1F"/>
          <w:spacing w:val="-4"/>
          <w:sz w:val="18"/>
        </w:rPr>
        <w:t>Observa- </w:t>
      </w:r>
      <w:r>
        <w:rPr>
          <w:rFonts w:ascii="Arial MT"/>
          <w:color w:val="231F1F"/>
          <w:spacing w:val="-2"/>
          <w:sz w:val="18"/>
        </w:rPr>
        <w:t>cional</w:t>
      </w:r>
    </w:p>
    <w:p>
      <w:pPr>
        <w:spacing w:line="202" w:lineRule="exact" w:before="0"/>
        <w:ind w:left="578" w:right="0" w:firstLine="0"/>
        <w:jc w:val="left"/>
        <w:rPr>
          <w:rFonts w:ascii="Arial MT"/>
          <w:sz w:val="18"/>
        </w:rPr>
      </w:pP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
        <w:rPr>
          <w:rFonts w:ascii="Arial MT"/>
          <w:sz w:val="18"/>
        </w:rPr>
      </w:pPr>
    </w:p>
    <w:p>
      <w:pPr>
        <w:spacing w:line="278" w:lineRule="auto" w:before="0"/>
        <w:ind w:left="524" w:right="157" w:hanging="402"/>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83"/>
        <w:rPr>
          <w:rFonts w:ascii="Arial MT"/>
          <w:sz w:val="18"/>
        </w:rPr>
      </w:pPr>
    </w:p>
    <w:p>
      <w:pPr>
        <w:spacing w:line="278" w:lineRule="auto" w:before="0"/>
        <w:ind w:left="524" w:right="157" w:hanging="402"/>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30"/>
        <w:rPr>
          <w:rFonts w:ascii="Arial MT"/>
          <w:sz w:val="18"/>
        </w:rPr>
      </w:pPr>
    </w:p>
    <w:p>
      <w:pPr>
        <w:spacing w:line="273" w:lineRule="auto" w:before="0"/>
        <w:ind w:left="524" w:right="74" w:hanging="420"/>
        <w:jc w:val="left"/>
        <w:rPr>
          <w:rFonts w:ascii="Arial MT"/>
          <w:sz w:val="18"/>
        </w:rPr>
      </w:pPr>
      <w:r>
        <w:rPr>
          <w:rFonts w:ascii="Arial MT"/>
          <w:color w:val="231F1F"/>
          <w:spacing w:val="-2"/>
          <w:sz w:val="18"/>
        </w:rPr>
        <w:t>MA</w:t>
      </w:r>
      <w:r>
        <w:rPr>
          <w:rFonts w:ascii="Arial MT"/>
          <w:color w:val="231F1F"/>
          <w:spacing w:val="-19"/>
          <w:sz w:val="18"/>
        </w:rPr>
        <w:t> </w:t>
      </w:r>
      <w:r>
        <w:rPr>
          <w:rFonts w:ascii="Arial MT"/>
          <w:color w:val="231F1F"/>
          <w:spacing w:val="-2"/>
          <w:sz w:val="18"/>
        </w:rPr>
        <w:t>de</w:t>
      </w:r>
      <w:r>
        <w:rPr>
          <w:rFonts w:ascii="Arial MT"/>
          <w:color w:val="231F1F"/>
          <w:spacing w:val="-14"/>
          <w:sz w:val="18"/>
        </w:rPr>
        <w:t> </w:t>
      </w:r>
      <w:r>
        <w:rPr>
          <w:rFonts w:ascii="Arial MT"/>
          <w:color w:val="231F1F"/>
          <w:spacing w:val="-2"/>
          <w:sz w:val="18"/>
        </w:rPr>
        <w:t>ECAs </w:t>
      </w:r>
      <w:r>
        <w:rPr>
          <w:rFonts w:ascii="Arial MT"/>
          <w:color w:val="231F1F"/>
          <w:spacing w:val="-6"/>
          <w:sz w:val="18"/>
        </w:rPr>
        <w:t>1+</w:t>
      </w:r>
    </w:p>
    <w:p>
      <w:pPr>
        <w:spacing w:after="0" w:line="273" w:lineRule="auto"/>
        <w:jc w:val="left"/>
        <w:rPr>
          <w:rFonts w:ascii="Arial MT"/>
          <w:sz w:val="18"/>
        </w:rPr>
        <w:sectPr>
          <w:pgSz w:w="11900" w:h="16840"/>
          <w:pgMar w:header="0" w:footer="622" w:top="1580" w:bottom="820" w:left="1417" w:right="1559"/>
          <w:cols w:num="2" w:equalWidth="0">
            <w:col w:w="7551" w:space="40"/>
            <w:col w:w="1333"/>
          </w:cols>
        </w:sectPr>
      </w:pPr>
    </w:p>
    <w:p>
      <w:pPr>
        <w:pStyle w:val="BodyText"/>
        <w:spacing w:line="244" w:lineRule="auto" w:before="73"/>
        <w:ind w:left="283" w:right="1372"/>
        <w:jc w:val="both"/>
      </w:pPr>
      <w:r>
        <w:rPr>
          <w:color w:val="231F1F"/>
          <w:w w:val="105"/>
        </w:rPr>
        <w:t>nivel significativamente mayor en el grupo por vía oral, diferencia de prome- dios: 0,30 ng/ml (0,10 a 0,50).</w:t>
      </w:r>
    </w:p>
    <w:p>
      <w:pPr>
        <w:pStyle w:val="BodyText"/>
        <w:spacing w:line="244" w:lineRule="auto" w:before="127"/>
        <w:ind w:left="283" w:right="1369" w:firstLine="453"/>
        <w:jc w:val="both"/>
      </w:pPr>
      <w:r>
        <w:rPr>
          <w:color w:val="231F1F"/>
          <w:w w:val="110"/>
        </w:rPr>
        <w:t>La</w:t>
      </w:r>
      <w:r>
        <w:rPr>
          <w:color w:val="231F1F"/>
          <w:spacing w:val="-14"/>
          <w:w w:val="110"/>
        </w:rPr>
        <w:t> </w:t>
      </w:r>
      <w:r>
        <w:rPr>
          <w:color w:val="231F1F"/>
          <w:w w:val="110"/>
        </w:rPr>
        <w:t>revisión</w:t>
      </w:r>
      <w:r>
        <w:rPr>
          <w:color w:val="231F1F"/>
          <w:spacing w:val="-14"/>
          <w:w w:val="110"/>
        </w:rPr>
        <w:t> </w:t>
      </w:r>
      <w:r>
        <w:rPr>
          <w:color w:val="231F1F"/>
          <w:w w:val="110"/>
        </w:rPr>
        <w:t>concluye</w:t>
      </w:r>
      <w:r>
        <w:rPr>
          <w:color w:val="231F1F"/>
          <w:spacing w:val="-14"/>
          <w:w w:val="110"/>
        </w:rPr>
        <w:t> </w:t>
      </w:r>
      <w:r>
        <w:rPr>
          <w:color w:val="231F1F"/>
          <w:w w:val="110"/>
        </w:rPr>
        <w:t>que</w:t>
      </w:r>
      <w:r>
        <w:rPr>
          <w:color w:val="231F1F"/>
          <w:spacing w:val="-14"/>
          <w:w w:val="110"/>
        </w:rPr>
        <w:t> </w:t>
      </w:r>
      <w:r>
        <w:rPr>
          <w:color w:val="231F1F"/>
          <w:w w:val="110"/>
        </w:rPr>
        <w:t>teniendo</w:t>
      </w:r>
      <w:r>
        <w:rPr>
          <w:color w:val="231F1F"/>
          <w:spacing w:val="-14"/>
          <w:w w:val="110"/>
        </w:rPr>
        <w:t> </w:t>
      </w:r>
      <w:r>
        <w:rPr>
          <w:color w:val="231F1F"/>
          <w:w w:val="110"/>
        </w:rPr>
        <w:t>en</w:t>
      </w:r>
      <w:r>
        <w:rPr>
          <w:color w:val="231F1F"/>
          <w:spacing w:val="-14"/>
          <w:w w:val="110"/>
        </w:rPr>
        <w:t> </w:t>
      </w:r>
      <w:r>
        <w:rPr>
          <w:color w:val="231F1F"/>
          <w:w w:val="110"/>
        </w:rPr>
        <w:t>cuenta</w:t>
      </w:r>
      <w:r>
        <w:rPr>
          <w:color w:val="231F1F"/>
          <w:spacing w:val="-14"/>
          <w:w w:val="110"/>
        </w:rPr>
        <w:t> </w:t>
      </w:r>
      <w:r>
        <w:rPr>
          <w:color w:val="231F1F"/>
          <w:w w:val="110"/>
        </w:rPr>
        <w:t>que</w:t>
      </w:r>
      <w:r>
        <w:rPr>
          <w:color w:val="231F1F"/>
          <w:spacing w:val="-15"/>
          <w:w w:val="110"/>
        </w:rPr>
        <w:t> </w:t>
      </w:r>
      <w:r>
        <w:rPr>
          <w:color w:val="231F1F"/>
          <w:w w:val="110"/>
        </w:rPr>
        <w:t>se</w:t>
      </w:r>
      <w:r>
        <w:rPr>
          <w:color w:val="231F1F"/>
          <w:spacing w:val="-14"/>
          <w:w w:val="110"/>
        </w:rPr>
        <w:t> </w:t>
      </w:r>
      <w:r>
        <w:rPr>
          <w:color w:val="231F1F"/>
          <w:w w:val="110"/>
        </w:rPr>
        <w:t>desconoce</w:t>
      </w:r>
      <w:r>
        <w:rPr>
          <w:color w:val="231F1F"/>
          <w:spacing w:val="-15"/>
          <w:w w:val="110"/>
        </w:rPr>
        <w:t> </w:t>
      </w:r>
      <w:r>
        <w:rPr>
          <w:color w:val="231F1F"/>
          <w:w w:val="110"/>
        </w:rPr>
        <w:t>la</w:t>
      </w:r>
      <w:r>
        <w:rPr>
          <w:color w:val="231F1F"/>
          <w:spacing w:val="-14"/>
          <w:w w:val="110"/>
        </w:rPr>
        <w:t> </w:t>
      </w:r>
      <w:r>
        <w:rPr>
          <w:color w:val="231F1F"/>
          <w:w w:val="110"/>
        </w:rPr>
        <w:t>corre- lación</w:t>
      </w:r>
      <w:r>
        <w:rPr>
          <w:color w:val="231F1F"/>
          <w:spacing w:val="-16"/>
          <w:w w:val="110"/>
        </w:rPr>
        <w:t> </w:t>
      </w:r>
      <w:r>
        <w:rPr>
          <w:color w:val="231F1F"/>
          <w:w w:val="110"/>
        </w:rPr>
        <w:t>que</w:t>
      </w:r>
      <w:r>
        <w:rPr>
          <w:color w:val="231F1F"/>
          <w:spacing w:val="-15"/>
          <w:w w:val="110"/>
        </w:rPr>
        <w:t> </w:t>
      </w:r>
      <w:r>
        <w:rPr>
          <w:color w:val="231F1F"/>
          <w:w w:val="110"/>
        </w:rPr>
        <w:t>hay</w:t>
      </w:r>
      <w:r>
        <w:rPr>
          <w:color w:val="231F1F"/>
          <w:spacing w:val="-15"/>
          <w:w w:val="110"/>
        </w:rPr>
        <w:t> </w:t>
      </w:r>
      <w:r>
        <w:rPr>
          <w:color w:val="231F1F"/>
          <w:w w:val="110"/>
        </w:rPr>
        <w:t>entre</w:t>
      </w:r>
      <w:r>
        <w:rPr>
          <w:color w:val="231F1F"/>
          <w:spacing w:val="-15"/>
          <w:w w:val="110"/>
        </w:rPr>
        <w:t> </w:t>
      </w:r>
      <w:r>
        <w:rPr>
          <w:color w:val="231F1F"/>
          <w:w w:val="110"/>
        </w:rPr>
        <w:t>los</w:t>
      </w:r>
      <w:r>
        <w:rPr>
          <w:color w:val="231F1F"/>
          <w:spacing w:val="-15"/>
          <w:w w:val="110"/>
        </w:rPr>
        <w:t> </w:t>
      </w:r>
      <w:r>
        <w:rPr>
          <w:color w:val="231F1F"/>
          <w:w w:val="110"/>
        </w:rPr>
        <w:t>niveles</w:t>
      </w:r>
      <w:r>
        <w:rPr>
          <w:color w:val="231F1F"/>
          <w:spacing w:val="-15"/>
          <w:w w:val="110"/>
        </w:rPr>
        <w:t> </w:t>
      </w:r>
      <w:r>
        <w:rPr>
          <w:color w:val="231F1F"/>
          <w:w w:val="110"/>
        </w:rPr>
        <w:t>de</w:t>
      </w:r>
      <w:r>
        <w:rPr>
          <w:color w:val="231F1F"/>
          <w:spacing w:val="-15"/>
          <w:w w:val="110"/>
        </w:rPr>
        <w:t> </w:t>
      </w:r>
      <w:r>
        <w:rPr>
          <w:color w:val="231F1F"/>
          <w:w w:val="110"/>
        </w:rPr>
        <w:t>vitamina</w:t>
      </w:r>
      <w:r>
        <w:rPr>
          <w:color w:val="231F1F"/>
          <w:spacing w:val="-15"/>
          <w:w w:val="110"/>
        </w:rPr>
        <w:t> </w:t>
      </w:r>
      <w:r>
        <w:rPr>
          <w:color w:val="231F1F"/>
          <w:w w:val="110"/>
        </w:rPr>
        <w:t>K</w:t>
      </w:r>
      <w:r>
        <w:rPr>
          <w:color w:val="231F1F"/>
          <w:spacing w:val="-16"/>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estado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del niño,</w:t>
      </w:r>
      <w:r>
        <w:rPr>
          <w:color w:val="231F1F"/>
          <w:spacing w:val="-16"/>
          <w:w w:val="110"/>
        </w:rPr>
        <w:t> </w:t>
      </w:r>
      <w:r>
        <w:rPr>
          <w:color w:val="231F1F"/>
          <w:w w:val="110"/>
        </w:rPr>
        <w:t>y</w:t>
      </w:r>
      <w:r>
        <w:rPr>
          <w:color w:val="231F1F"/>
          <w:spacing w:val="-15"/>
          <w:w w:val="110"/>
        </w:rPr>
        <w:t> </w:t>
      </w:r>
      <w:r>
        <w:rPr>
          <w:color w:val="231F1F"/>
          <w:w w:val="110"/>
        </w:rPr>
        <w:t>dado</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estado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no</w:t>
      </w:r>
      <w:r>
        <w:rPr>
          <w:color w:val="231F1F"/>
          <w:spacing w:val="-16"/>
          <w:w w:val="110"/>
        </w:rPr>
        <w:t> </w:t>
      </w:r>
      <w:r>
        <w:rPr>
          <w:color w:val="231F1F"/>
          <w:w w:val="110"/>
        </w:rPr>
        <w:t>necesariamente</w:t>
      </w:r>
      <w:r>
        <w:rPr>
          <w:color w:val="231F1F"/>
          <w:spacing w:val="-15"/>
          <w:w w:val="110"/>
        </w:rPr>
        <w:t> </w:t>
      </w:r>
      <w:r>
        <w:rPr>
          <w:color w:val="231F1F"/>
          <w:w w:val="110"/>
        </w:rPr>
        <w:t>se</w:t>
      </w:r>
      <w:r>
        <w:rPr>
          <w:color w:val="231F1F"/>
          <w:spacing w:val="-15"/>
          <w:w w:val="110"/>
        </w:rPr>
        <w:t> </w:t>
      </w:r>
      <w:r>
        <w:rPr>
          <w:color w:val="231F1F"/>
          <w:w w:val="110"/>
        </w:rPr>
        <w:t>correlaciona con</w:t>
      </w:r>
      <w:r>
        <w:rPr>
          <w:color w:val="231F1F"/>
          <w:spacing w:val="-14"/>
          <w:w w:val="110"/>
        </w:rPr>
        <w:t> </w:t>
      </w:r>
      <w:r>
        <w:rPr>
          <w:color w:val="231F1F"/>
          <w:w w:val="110"/>
        </w:rPr>
        <w:t>los</w:t>
      </w:r>
      <w:r>
        <w:rPr>
          <w:color w:val="231F1F"/>
          <w:spacing w:val="-15"/>
          <w:w w:val="110"/>
        </w:rPr>
        <w:t> </w:t>
      </w:r>
      <w:r>
        <w:rPr>
          <w:color w:val="231F1F"/>
          <w:w w:val="110"/>
        </w:rPr>
        <w:t>desenlaces</w:t>
      </w:r>
      <w:r>
        <w:rPr>
          <w:color w:val="231F1F"/>
          <w:spacing w:val="-15"/>
          <w:w w:val="110"/>
        </w:rPr>
        <w:t> </w:t>
      </w:r>
      <w:r>
        <w:rPr>
          <w:color w:val="231F1F"/>
          <w:w w:val="110"/>
        </w:rPr>
        <w:t>clínicos,</w:t>
      </w:r>
      <w:r>
        <w:rPr>
          <w:color w:val="231F1F"/>
          <w:spacing w:val="-15"/>
          <w:w w:val="110"/>
        </w:rPr>
        <w:t> </w:t>
      </w:r>
      <w:r>
        <w:rPr>
          <w:color w:val="231F1F"/>
          <w:w w:val="110"/>
        </w:rPr>
        <w:t>no</w:t>
      </w:r>
      <w:r>
        <w:rPr>
          <w:color w:val="231F1F"/>
          <w:spacing w:val="-14"/>
          <w:w w:val="110"/>
        </w:rPr>
        <w:t> </w:t>
      </w:r>
      <w:r>
        <w:rPr>
          <w:color w:val="231F1F"/>
          <w:w w:val="110"/>
        </w:rPr>
        <w:t>se</w:t>
      </w:r>
      <w:r>
        <w:rPr>
          <w:color w:val="231F1F"/>
          <w:spacing w:val="-15"/>
          <w:w w:val="110"/>
        </w:rPr>
        <w:t> </w:t>
      </w:r>
      <w:r>
        <w:rPr>
          <w:color w:val="231F1F"/>
          <w:w w:val="110"/>
        </w:rPr>
        <w:t>puede</w:t>
      </w:r>
      <w:r>
        <w:rPr>
          <w:color w:val="231F1F"/>
          <w:spacing w:val="-15"/>
          <w:w w:val="110"/>
        </w:rPr>
        <w:t> </w:t>
      </w:r>
      <w:r>
        <w:rPr>
          <w:color w:val="231F1F"/>
          <w:w w:val="110"/>
        </w:rPr>
        <w:t>concluir</w:t>
      </w:r>
      <w:r>
        <w:rPr>
          <w:color w:val="231F1F"/>
          <w:spacing w:val="-15"/>
          <w:w w:val="110"/>
        </w:rPr>
        <w:t> </w:t>
      </w:r>
      <w:r>
        <w:rPr>
          <w:color w:val="231F1F"/>
          <w:w w:val="110"/>
        </w:rPr>
        <w:t>que</w:t>
      </w:r>
      <w:r>
        <w:rPr>
          <w:color w:val="231F1F"/>
          <w:spacing w:val="-15"/>
          <w:w w:val="110"/>
        </w:rPr>
        <w:t> </w:t>
      </w:r>
      <w:r>
        <w:rPr>
          <w:color w:val="231F1F"/>
          <w:w w:val="110"/>
        </w:rPr>
        <w:t>una</w:t>
      </w:r>
      <w:r>
        <w:rPr>
          <w:color w:val="231F1F"/>
          <w:spacing w:val="-15"/>
          <w:w w:val="110"/>
        </w:rPr>
        <w:t> </w:t>
      </w:r>
      <w:r>
        <w:rPr>
          <w:color w:val="231F1F"/>
          <w:w w:val="110"/>
        </w:rPr>
        <w:t>dosis</w:t>
      </w:r>
      <w:r>
        <w:rPr>
          <w:color w:val="231F1F"/>
          <w:spacing w:val="-15"/>
          <w:w w:val="110"/>
        </w:rPr>
        <w:t> </w:t>
      </w:r>
      <w:r>
        <w:rPr>
          <w:color w:val="231F1F"/>
          <w:w w:val="110"/>
        </w:rPr>
        <w:t>única</w:t>
      </w:r>
      <w:r>
        <w:rPr>
          <w:color w:val="231F1F"/>
          <w:spacing w:val="-15"/>
          <w:w w:val="110"/>
        </w:rPr>
        <w:t> </w:t>
      </w:r>
      <w:r>
        <w:rPr>
          <w:color w:val="231F1F"/>
          <w:w w:val="110"/>
        </w:rPr>
        <w:t>por</w:t>
      </w:r>
      <w:r>
        <w:rPr>
          <w:color w:val="231F1F"/>
          <w:spacing w:val="-15"/>
          <w:w w:val="110"/>
        </w:rPr>
        <w:t> </w:t>
      </w:r>
      <w:r>
        <w:rPr>
          <w:color w:val="231F1F"/>
          <w:w w:val="110"/>
        </w:rPr>
        <w:t>vía oral sea tan buena como una dosis única por vía intramuscular.</w:t>
      </w:r>
    </w:p>
    <w:p>
      <w:pPr>
        <w:pStyle w:val="BodyText"/>
        <w:spacing w:line="259" w:lineRule="auto" w:before="135"/>
        <w:ind w:left="283" w:right="1368" w:firstLine="453"/>
        <w:jc w:val="both"/>
      </w:pPr>
      <w:r>
        <w:rPr>
          <w:color w:val="231F1F"/>
        </w:rPr>
        <w:t>Como</w:t>
      </w:r>
      <w:r>
        <w:rPr>
          <w:color w:val="231F1F"/>
          <w:spacing w:val="33"/>
        </w:rPr>
        <w:t> </w:t>
      </w:r>
      <w:r>
        <w:rPr>
          <w:color w:val="231F1F"/>
        </w:rPr>
        <w:t>implicaciones</w:t>
      </w:r>
      <w:r>
        <w:rPr>
          <w:color w:val="231F1F"/>
          <w:spacing w:val="33"/>
        </w:rPr>
        <w:t> </w:t>
      </w:r>
      <w:r>
        <w:rPr>
          <w:color w:val="231F1F"/>
        </w:rPr>
        <w:t>para</w:t>
      </w:r>
      <w:r>
        <w:rPr>
          <w:color w:val="231F1F"/>
          <w:spacing w:val="33"/>
        </w:rPr>
        <w:t> </w:t>
      </w:r>
      <w:r>
        <w:rPr>
          <w:color w:val="231F1F"/>
        </w:rPr>
        <w:t>la</w:t>
      </w:r>
      <w:r>
        <w:rPr>
          <w:color w:val="231F1F"/>
          <w:spacing w:val="33"/>
        </w:rPr>
        <w:t> </w:t>
      </w:r>
      <w:r>
        <w:rPr>
          <w:color w:val="231F1F"/>
        </w:rPr>
        <w:t>práctica</w:t>
      </w:r>
      <w:r>
        <w:rPr>
          <w:color w:val="231F1F"/>
          <w:spacing w:val="32"/>
        </w:rPr>
        <w:t> </w:t>
      </w:r>
      <w:r>
        <w:rPr>
          <w:color w:val="231F1F"/>
        </w:rPr>
        <w:t>clínica</w:t>
      </w:r>
      <w:r>
        <w:rPr>
          <w:color w:val="231F1F"/>
          <w:spacing w:val="32"/>
        </w:rPr>
        <w:t> </w:t>
      </w:r>
      <w:r>
        <w:rPr>
          <w:color w:val="231F1F"/>
        </w:rPr>
        <w:t>destacan</w:t>
      </w:r>
      <w:r>
        <w:rPr>
          <w:color w:val="231F1F"/>
          <w:spacing w:val="33"/>
        </w:rPr>
        <w:t> </w:t>
      </w:r>
      <w:r>
        <w:rPr>
          <w:color w:val="231F1F"/>
        </w:rPr>
        <w:t>que</w:t>
      </w:r>
      <w:r>
        <w:rPr>
          <w:color w:val="231F1F"/>
          <w:spacing w:val="33"/>
        </w:rPr>
        <w:t> </w:t>
      </w:r>
      <w:r>
        <w:rPr>
          <w:color w:val="231F1F"/>
        </w:rPr>
        <w:t>una</w:t>
      </w:r>
      <w:r>
        <w:rPr>
          <w:color w:val="231F1F"/>
          <w:spacing w:val="33"/>
        </w:rPr>
        <w:t> </w:t>
      </w:r>
      <w:r>
        <w:rPr>
          <w:color w:val="231F1F"/>
        </w:rPr>
        <w:t>dosis</w:t>
      </w:r>
      <w:r>
        <w:rPr>
          <w:color w:val="231F1F"/>
          <w:spacing w:val="33"/>
        </w:rPr>
        <w:t> </w:t>
      </w:r>
      <w:r>
        <w:rPr>
          <w:color w:val="231F1F"/>
        </w:rPr>
        <w:t>única (1</w:t>
      </w:r>
      <w:r>
        <w:rPr>
          <w:color w:val="231F1F"/>
          <w:spacing w:val="36"/>
        </w:rPr>
        <w:t> </w:t>
      </w:r>
      <w:r>
        <w:rPr>
          <w:color w:val="231F1F"/>
        </w:rPr>
        <w:t>mg)</w:t>
      </w:r>
      <w:r>
        <w:rPr>
          <w:color w:val="231F1F"/>
          <w:spacing w:val="36"/>
        </w:rPr>
        <w:t> </w:t>
      </w:r>
      <w:r>
        <w:rPr>
          <w:color w:val="231F1F"/>
        </w:rPr>
        <w:t>de</w:t>
      </w:r>
      <w:r>
        <w:rPr>
          <w:color w:val="231F1F"/>
          <w:spacing w:val="36"/>
        </w:rPr>
        <w:t> </w:t>
      </w:r>
      <w:r>
        <w:rPr>
          <w:color w:val="231F1F"/>
        </w:rPr>
        <w:t>vitamina</w:t>
      </w:r>
      <w:r>
        <w:rPr>
          <w:color w:val="231F1F"/>
          <w:spacing w:val="35"/>
        </w:rPr>
        <w:t> </w:t>
      </w:r>
      <w:r>
        <w:rPr>
          <w:color w:val="231F1F"/>
        </w:rPr>
        <w:t>K</w:t>
      </w:r>
      <w:r>
        <w:rPr>
          <w:color w:val="231F1F"/>
          <w:spacing w:val="35"/>
        </w:rPr>
        <w:t> </w:t>
      </w:r>
      <w:r>
        <w:rPr>
          <w:color w:val="231F1F"/>
        </w:rPr>
        <w:t>por</w:t>
      </w:r>
      <w:r>
        <w:rPr>
          <w:color w:val="231F1F"/>
          <w:spacing w:val="36"/>
        </w:rPr>
        <w:t> </w:t>
      </w:r>
      <w:r>
        <w:rPr>
          <w:color w:val="231F1F"/>
        </w:rPr>
        <w:t>vía</w:t>
      </w:r>
      <w:r>
        <w:rPr>
          <w:color w:val="231F1F"/>
          <w:spacing w:val="36"/>
        </w:rPr>
        <w:t> </w:t>
      </w:r>
      <w:r>
        <w:rPr>
          <w:color w:val="231F1F"/>
        </w:rPr>
        <w:t>intramuscular</w:t>
      </w:r>
      <w:r>
        <w:rPr>
          <w:color w:val="231F1F"/>
          <w:spacing w:val="37"/>
        </w:rPr>
        <w:t> </w:t>
      </w:r>
      <w:r>
        <w:rPr>
          <w:color w:val="231F1F"/>
        </w:rPr>
        <w:t>después</w:t>
      </w:r>
      <w:r>
        <w:rPr>
          <w:color w:val="231F1F"/>
          <w:spacing w:val="36"/>
        </w:rPr>
        <w:t> </w:t>
      </w:r>
      <w:r>
        <w:rPr>
          <w:color w:val="231F1F"/>
        </w:rPr>
        <w:t>del</w:t>
      </w:r>
      <w:r>
        <w:rPr>
          <w:color w:val="231F1F"/>
          <w:spacing w:val="36"/>
        </w:rPr>
        <w:t> </w:t>
      </w:r>
      <w:r>
        <w:rPr>
          <w:color w:val="231F1F"/>
        </w:rPr>
        <w:t>nacimiento</w:t>
      </w:r>
      <w:r>
        <w:rPr>
          <w:color w:val="231F1F"/>
          <w:spacing w:val="35"/>
        </w:rPr>
        <w:t> </w:t>
      </w:r>
      <w:r>
        <w:rPr>
          <w:color w:val="231F1F"/>
        </w:rPr>
        <w:t>es</w:t>
      </w:r>
      <w:r>
        <w:rPr>
          <w:color w:val="231F1F"/>
          <w:spacing w:val="36"/>
        </w:rPr>
        <w:t> </w:t>
      </w:r>
      <w:r>
        <w:rPr>
          <w:color w:val="231F1F"/>
        </w:rPr>
        <w:t>efecti- va</w:t>
      </w:r>
      <w:r>
        <w:rPr>
          <w:color w:val="231F1F"/>
          <w:spacing w:val="40"/>
        </w:rPr>
        <w:t> </w:t>
      </w:r>
      <w:r>
        <w:rPr>
          <w:color w:val="231F1F"/>
        </w:rPr>
        <w:t>para</w:t>
      </w:r>
      <w:r>
        <w:rPr>
          <w:color w:val="231F1F"/>
          <w:spacing w:val="40"/>
        </w:rPr>
        <w:t> </w:t>
      </w:r>
      <w:r>
        <w:rPr>
          <w:color w:val="231F1F"/>
        </w:rPr>
        <w:t>prevenir</w:t>
      </w:r>
      <w:r>
        <w:rPr>
          <w:color w:val="231F1F"/>
          <w:spacing w:val="40"/>
        </w:rPr>
        <w:t> </w:t>
      </w:r>
      <w:r>
        <w:rPr>
          <w:color w:val="231F1F"/>
        </w:rPr>
        <w:t>la</w:t>
      </w:r>
      <w:r>
        <w:rPr>
          <w:color w:val="231F1F"/>
          <w:spacing w:val="40"/>
        </w:rPr>
        <w:t> </w:t>
      </w:r>
      <w:r>
        <w:rPr>
          <w:color w:val="231F1F"/>
        </w:rPr>
        <w:t>HDVK</w:t>
      </w:r>
      <w:r>
        <w:rPr>
          <w:color w:val="231F1F"/>
          <w:spacing w:val="40"/>
        </w:rPr>
        <w:t> </w:t>
      </w:r>
      <w:r>
        <w:rPr>
          <w:color w:val="231F1F"/>
        </w:rPr>
        <w:t>clásica.</w:t>
      </w:r>
    </w:p>
    <w:p>
      <w:pPr>
        <w:pStyle w:val="BodyText"/>
        <w:spacing w:line="261" w:lineRule="auto" w:before="126"/>
        <w:ind w:left="283" w:right="1369" w:firstLine="453"/>
        <w:jc w:val="both"/>
      </w:pPr>
      <w:r>
        <w:rPr>
          <w:color w:val="231F1F"/>
        </w:rPr>
        <w:t>La profilaxis con vitamina K por vía intramuscular o por vía oral (1 mg), mejora los índices bioquímicos del estado de coagulación entre el primer y el séptimo día.</w:t>
      </w:r>
    </w:p>
    <w:p>
      <w:pPr>
        <w:pStyle w:val="BodyText"/>
        <w:spacing w:line="244" w:lineRule="auto" w:before="104"/>
        <w:ind w:left="283" w:right="1365" w:firstLine="453"/>
        <w:jc w:val="both"/>
      </w:pPr>
      <w:r>
        <w:rPr>
          <w:color w:val="231F1F"/>
          <w:spacing w:val="-2"/>
          <w:w w:val="110"/>
        </w:rPr>
        <w:t>La</w:t>
      </w:r>
      <w:r>
        <w:rPr>
          <w:color w:val="231F1F"/>
          <w:spacing w:val="-10"/>
          <w:w w:val="110"/>
        </w:rPr>
        <w:t> </w:t>
      </w:r>
      <w:r>
        <w:rPr>
          <w:color w:val="231F1F"/>
          <w:spacing w:val="-2"/>
          <w:w w:val="110"/>
        </w:rPr>
        <w:t>vitamina</w:t>
      </w:r>
      <w:r>
        <w:rPr>
          <w:color w:val="231F1F"/>
          <w:spacing w:val="-10"/>
          <w:w w:val="110"/>
        </w:rPr>
        <w:t> </w:t>
      </w:r>
      <w:r>
        <w:rPr>
          <w:color w:val="231F1F"/>
          <w:spacing w:val="-2"/>
          <w:w w:val="110"/>
        </w:rPr>
        <w:t>K</w:t>
      </w:r>
      <w:r>
        <w:rPr>
          <w:color w:val="231F1F"/>
          <w:spacing w:val="-9"/>
          <w:w w:val="110"/>
        </w:rPr>
        <w:t> </w:t>
      </w:r>
      <w:r>
        <w:rPr>
          <w:color w:val="231F1F"/>
          <w:spacing w:val="-2"/>
          <w:w w:val="110"/>
        </w:rPr>
        <w:t>por</w:t>
      </w:r>
      <w:r>
        <w:rPr>
          <w:color w:val="231F1F"/>
          <w:spacing w:val="-10"/>
          <w:w w:val="110"/>
        </w:rPr>
        <w:t> </w:t>
      </w:r>
      <w:r>
        <w:rPr>
          <w:color w:val="231F1F"/>
          <w:spacing w:val="-2"/>
          <w:w w:val="110"/>
        </w:rPr>
        <w:t>vía</w:t>
      </w:r>
      <w:r>
        <w:rPr>
          <w:color w:val="231F1F"/>
          <w:spacing w:val="-10"/>
          <w:w w:val="110"/>
        </w:rPr>
        <w:t> </w:t>
      </w:r>
      <w:r>
        <w:rPr>
          <w:color w:val="231F1F"/>
          <w:spacing w:val="-2"/>
          <w:w w:val="110"/>
        </w:rPr>
        <w:t>intramuscular</w:t>
      </w:r>
      <w:r>
        <w:rPr>
          <w:color w:val="231F1F"/>
          <w:spacing w:val="-10"/>
          <w:w w:val="110"/>
        </w:rPr>
        <w:t> </w:t>
      </w:r>
      <w:r>
        <w:rPr>
          <w:color w:val="231F1F"/>
          <w:spacing w:val="-2"/>
          <w:w w:val="110"/>
        </w:rPr>
        <w:t>y/o</w:t>
      </w:r>
      <w:r>
        <w:rPr>
          <w:color w:val="231F1F"/>
          <w:spacing w:val="-10"/>
          <w:w w:val="110"/>
        </w:rPr>
        <w:t> </w:t>
      </w:r>
      <w:r>
        <w:rPr>
          <w:color w:val="231F1F"/>
          <w:spacing w:val="-2"/>
          <w:w w:val="110"/>
        </w:rPr>
        <w:t>por</w:t>
      </w:r>
      <w:r>
        <w:rPr>
          <w:color w:val="231F1F"/>
          <w:spacing w:val="-10"/>
          <w:w w:val="110"/>
        </w:rPr>
        <w:t> </w:t>
      </w:r>
      <w:r>
        <w:rPr>
          <w:color w:val="231F1F"/>
          <w:spacing w:val="-2"/>
          <w:w w:val="110"/>
        </w:rPr>
        <w:t>vía</w:t>
      </w:r>
      <w:r>
        <w:rPr>
          <w:color w:val="231F1F"/>
          <w:spacing w:val="-10"/>
          <w:w w:val="110"/>
        </w:rPr>
        <w:t> </w:t>
      </w:r>
      <w:r>
        <w:rPr>
          <w:color w:val="231F1F"/>
          <w:spacing w:val="-2"/>
          <w:w w:val="110"/>
        </w:rPr>
        <w:t>oral</w:t>
      </w:r>
      <w:r>
        <w:rPr>
          <w:color w:val="231F1F"/>
          <w:spacing w:val="-11"/>
          <w:w w:val="110"/>
        </w:rPr>
        <w:t> </w:t>
      </w:r>
      <w:r>
        <w:rPr>
          <w:color w:val="231F1F"/>
          <w:spacing w:val="-2"/>
          <w:w w:val="110"/>
        </w:rPr>
        <w:t>no</w:t>
      </w:r>
      <w:r>
        <w:rPr>
          <w:color w:val="231F1F"/>
          <w:spacing w:val="-10"/>
          <w:w w:val="110"/>
        </w:rPr>
        <w:t> </w:t>
      </w:r>
      <w:r>
        <w:rPr>
          <w:color w:val="231F1F"/>
          <w:spacing w:val="-2"/>
          <w:w w:val="110"/>
        </w:rPr>
        <w:t>han</w:t>
      </w:r>
      <w:r>
        <w:rPr>
          <w:color w:val="231F1F"/>
          <w:spacing w:val="-10"/>
          <w:w w:val="110"/>
        </w:rPr>
        <w:t> </w:t>
      </w:r>
      <w:r>
        <w:rPr>
          <w:color w:val="231F1F"/>
          <w:spacing w:val="-2"/>
          <w:w w:val="110"/>
        </w:rPr>
        <w:t>sido</w:t>
      </w:r>
      <w:r>
        <w:rPr>
          <w:color w:val="231F1F"/>
          <w:spacing w:val="-10"/>
          <w:w w:val="110"/>
        </w:rPr>
        <w:t> </w:t>
      </w:r>
      <w:r>
        <w:rPr>
          <w:color w:val="231F1F"/>
          <w:spacing w:val="-2"/>
          <w:w w:val="110"/>
        </w:rPr>
        <w:t>evalua- </w:t>
      </w:r>
      <w:r>
        <w:rPr>
          <w:color w:val="231F1F"/>
          <w:w w:val="110"/>
        </w:rPr>
        <w:t>das dentro de ensayos aleatorios con respecto al efecto que tienen sobre el resultado clínico clave, la HDVK tardía.</w:t>
      </w:r>
    </w:p>
    <w:p>
      <w:pPr>
        <w:pStyle w:val="BodyText"/>
        <w:spacing w:line="244" w:lineRule="auto" w:before="119"/>
        <w:ind w:left="283" w:right="1367" w:firstLine="453"/>
        <w:jc w:val="both"/>
      </w:pPr>
      <w:r>
        <w:rPr>
          <w:color w:val="231F1F"/>
          <w:w w:val="105"/>
        </w:rPr>
        <w:t>No se ha evaluado en ensayos aleatorios el efecto de la vitamina K por vía oral a una sola dosis vs dosis múltiples, sobre el estado de coagulación y sobre los niveles de vitamina K, tales resultados tienen una importancia clíni- ca que es desconocida.</w:t>
      </w:r>
    </w:p>
    <w:p>
      <w:pPr>
        <w:pStyle w:val="BodyText"/>
        <w:spacing w:line="252" w:lineRule="auto" w:before="115"/>
        <w:ind w:left="283" w:right="1366" w:firstLine="453"/>
        <w:jc w:val="both"/>
      </w:pPr>
      <w:r>
        <w:rPr>
          <w:color w:val="231F1F"/>
          <w:w w:val="110"/>
        </w:rPr>
        <w:t>Cuando</w:t>
      </w:r>
      <w:r>
        <w:rPr>
          <w:color w:val="231F1F"/>
          <w:spacing w:val="-16"/>
          <w:w w:val="110"/>
        </w:rPr>
        <w:t> </w:t>
      </w:r>
      <w:r>
        <w:rPr>
          <w:color w:val="231F1F"/>
          <w:w w:val="110"/>
        </w:rPr>
        <w:t>se</w:t>
      </w:r>
      <w:r>
        <w:rPr>
          <w:color w:val="231F1F"/>
          <w:spacing w:val="-15"/>
          <w:w w:val="110"/>
        </w:rPr>
        <w:t> </w:t>
      </w:r>
      <w:r>
        <w:rPr>
          <w:color w:val="231F1F"/>
          <w:w w:val="110"/>
        </w:rPr>
        <w:t>comparan</w:t>
      </w:r>
      <w:r>
        <w:rPr>
          <w:color w:val="231F1F"/>
          <w:spacing w:val="-15"/>
          <w:w w:val="110"/>
        </w:rPr>
        <w:t> </w:t>
      </w:r>
      <w:r>
        <w:rPr>
          <w:i/>
          <w:color w:val="231F1F"/>
          <w:w w:val="110"/>
        </w:rPr>
        <w:t>tres</w:t>
      </w:r>
      <w:r>
        <w:rPr>
          <w:i/>
          <w:color w:val="231F1F"/>
          <w:spacing w:val="-15"/>
          <w:w w:val="110"/>
        </w:rPr>
        <w:t> </w:t>
      </w:r>
      <w:r>
        <w:rPr>
          <w:i/>
          <w:color w:val="231F1F"/>
          <w:w w:val="110"/>
        </w:rPr>
        <w:t>dosis</w:t>
      </w:r>
      <w:r>
        <w:rPr>
          <w:i/>
          <w:color w:val="231F1F"/>
          <w:spacing w:val="-15"/>
          <w:w w:val="110"/>
        </w:rPr>
        <w:t> </w:t>
      </w:r>
      <w:r>
        <w:rPr>
          <w:color w:val="231F1F"/>
          <w:w w:val="110"/>
        </w:rPr>
        <w:t>de</w:t>
      </w:r>
      <w:r>
        <w:rPr>
          <w:color w:val="231F1F"/>
          <w:spacing w:val="-15"/>
          <w:w w:val="110"/>
        </w:rPr>
        <w:t> </w:t>
      </w:r>
      <w:r>
        <w:rPr>
          <w:color w:val="231F1F"/>
          <w:w w:val="110"/>
        </w:rPr>
        <w:t>«</w:t>
      </w:r>
      <w:r>
        <w:rPr>
          <w:i/>
          <w:color w:val="231F1F"/>
          <w:w w:val="110"/>
        </w:rPr>
        <w:t>vitamina</w:t>
      </w:r>
      <w:r>
        <w:rPr>
          <w:i/>
          <w:color w:val="231F1F"/>
          <w:spacing w:val="-15"/>
          <w:w w:val="110"/>
        </w:rPr>
        <w:t> </w:t>
      </w:r>
      <w:r>
        <w:rPr>
          <w:i/>
          <w:color w:val="231F1F"/>
          <w:w w:val="110"/>
        </w:rPr>
        <w:t>K</w:t>
      </w:r>
      <w:r>
        <w:rPr>
          <w:i/>
          <w:color w:val="231F1F"/>
          <w:spacing w:val="-15"/>
          <w:w w:val="110"/>
        </w:rPr>
        <w:t> </w:t>
      </w:r>
      <w:r>
        <w:rPr>
          <w:i/>
          <w:color w:val="231F1F"/>
          <w:w w:val="110"/>
        </w:rPr>
        <w:t>por</w:t>
      </w:r>
      <w:r>
        <w:rPr>
          <w:i/>
          <w:color w:val="231F1F"/>
          <w:spacing w:val="-16"/>
          <w:w w:val="110"/>
        </w:rPr>
        <w:t> </w:t>
      </w:r>
      <w:r>
        <w:rPr>
          <w:i/>
          <w:color w:val="231F1F"/>
          <w:w w:val="110"/>
        </w:rPr>
        <w:t>vía</w:t>
      </w:r>
      <w:r>
        <w:rPr>
          <w:i/>
          <w:color w:val="231F1F"/>
          <w:spacing w:val="-15"/>
          <w:w w:val="110"/>
        </w:rPr>
        <w:t> </w:t>
      </w:r>
      <w:r>
        <w:rPr>
          <w:i/>
          <w:color w:val="231F1F"/>
          <w:w w:val="110"/>
        </w:rPr>
        <w:t>oral</w:t>
      </w:r>
      <w:r>
        <w:rPr>
          <w:color w:val="231F1F"/>
          <w:w w:val="110"/>
        </w:rPr>
        <w:t>»</w:t>
      </w:r>
      <w:r>
        <w:rPr>
          <w:color w:val="231F1F"/>
          <w:spacing w:val="-15"/>
          <w:w w:val="110"/>
        </w:rPr>
        <w:t> </w:t>
      </w:r>
      <w:r>
        <w:rPr>
          <w:color w:val="231F1F"/>
          <w:w w:val="110"/>
        </w:rPr>
        <w:t>contra</w:t>
      </w:r>
      <w:r>
        <w:rPr>
          <w:color w:val="231F1F"/>
          <w:spacing w:val="-15"/>
          <w:w w:val="110"/>
        </w:rPr>
        <w:t> </w:t>
      </w:r>
      <w:r>
        <w:rPr>
          <w:color w:val="231F1F"/>
          <w:w w:val="110"/>
        </w:rPr>
        <w:t>una </w:t>
      </w:r>
      <w:r>
        <w:rPr>
          <w:color w:val="231F1F"/>
          <w:spacing w:val="-2"/>
          <w:w w:val="110"/>
        </w:rPr>
        <w:t>dosis</w:t>
      </w:r>
      <w:r>
        <w:rPr>
          <w:color w:val="231F1F"/>
          <w:spacing w:val="-12"/>
          <w:w w:val="110"/>
        </w:rPr>
        <w:t> </w:t>
      </w:r>
      <w:r>
        <w:rPr>
          <w:color w:val="231F1F"/>
          <w:spacing w:val="-2"/>
          <w:w w:val="110"/>
        </w:rPr>
        <w:t>única</w:t>
      </w:r>
      <w:r>
        <w:rPr>
          <w:color w:val="231F1F"/>
          <w:spacing w:val="-12"/>
          <w:w w:val="110"/>
        </w:rPr>
        <w:t> </w:t>
      </w:r>
      <w:r>
        <w:rPr>
          <w:color w:val="231F1F"/>
          <w:spacing w:val="-2"/>
          <w:w w:val="110"/>
        </w:rPr>
        <w:t>de</w:t>
      </w:r>
      <w:r>
        <w:rPr>
          <w:color w:val="231F1F"/>
          <w:spacing w:val="-12"/>
          <w:w w:val="110"/>
        </w:rPr>
        <w:t> </w:t>
      </w:r>
      <w:r>
        <w:rPr>
          <w:color w:val="231F1F"/>
          <w:spacing w:val="-2"/>
          <w:w w:val="110"/>
        </w:rPr>
        <w:t>vitamina</w:t>
      </w:r>
      <w:r>
        <w:rPr>
          <w:color w:val="231F1F"/>
          <w:spacing w:val="-12"/>
          <w:w w:val="110"/>
        </w:rPr>
        <w:t> </w:t>
      </w:r>
      <w:r>
        <w:rPr>
          <w:color w:val="231F1F"/>
          <w:spacing w:val="-2"/>
          <w:w w:val="110"/>
        </w:rPr>
        <w:t>K</w:t>
      </w:r>
      <w:r>
        <w:rPr>
          <w:color w:val="231F1F"/>
          <w:spacing w:val="-12"/>
          <w:w w:val="110"/>
        </w:rPr>
        <w:t> </w:t>
      </w:r>
      <w:r>
        <w:rPr>
          <w:color w:val="231F1F"/>
          <w:spacing w:val="-2"/>
          <w:w w:val="110"/>
        </w:rPr>
        <w:t>por</w:t>
      </w:r>
      <w:r>
        <w:rPr>
          <w:color w:val="231F1F"/>
          <w:spacing w:val="-12"/>
          <w:w w:val="110"/>
        </w:rPr>
        <w:t> </w:t>
      </w:r>
      <w:r>
        <w:rPr>
          <w:color w:val="231F1F"/>
          <w:spacing w:val="-2"/>
          <w:w w:val="110"/>
        </w:rPr>
        <w:t>vía</w:t>
      </w:r>
      <w:r>
        <w:rPr>
          <w:color w:val="231F1F"/>
          <w:spacing w:val="-12"/>
          <w:w w:val="110"/>
        </w:rPr>
        <w:t> </w:t>
      </w:r>
      <w:r>
        <w:rPr>
          <w:color w:val="231F1F"/>
          <w:spacing w:val="-2"/>
          <w:w w:val="110"/>
        </w:rPr>
        <w:t>intramuscular,</w:t>
      </w:r>
      <w:r>
        <w:rPr>
          <w:color w:val="231F1F"/>
          <w:spacing w:val="-12"/>
          <w:w w:val="110"/>
        </w:rPr>
        <w:t> </w:t>
      </w:r>
      <w:r>
        <w:rPr>
          <w:color w:val="231F1F"/>
          <w:spacing w:val="-2"/>
          <w:w w:val="110"/>
        </w:rPr>
        <w:t>los</w:t>
      </w:r>
      <w:r>
        <w:rPr>
          <w:color w:val="231F1F"/>
          <w:spacing w:val="-12"/>
          <w:w w:val="110"/>
        </w:rPr>
        <w:t> </w:t>
      </w:r>
      <w:r>
        <w:rPr>
          <w:color w:val="231F1F"/>
          <w:spacing w:val="-2"/>
          <w:w w:val="110"/>
        </w:rPr>
        <w:t>niveles</w:t>
      </w:r>
      <w:r>
        <w:rPr>
          <w:color w:val="231F1F"/>
          <w:spacing w:val="-12"/>
          <w:w w:val="110"/>
        </w:rPr>
        <w:t> </w:t>
      </w:r>
      <w:r>
        <w:rPr>
          <w:color w:val="231F1F"/>
          <w:spacing w:val="-2"/>
          <w:w w:val="110"/>
        </w:rPr>
        <w:t>de</w:t>
      </w:r>
      <w:r>
        <w:rPr>
          <w:color w:val="231F1F"/>
          <w:spacing w:val="-12"/>
          <w:w w:val="110"/>
        </w:rPr>
        <w:t> </w:t>
      </w:r>
      <w:r>
        <w:rPr>
          <w:color w:val="231F1F"/>
          <w:spacing w:val="-2"/>
          <w:w w:val="110"/>
        </w:rPr>
        <w:t>vitamina</w:t>
      </w:r>
      <w:r>
        <w:rPr>
          <w:color w:val="231F1F"/>
          <w:spacing w:val="-12"/>
          <w:w w:val="110"/>
        </w:rPr>
        <w:t> </w:t>
      </w:r>
      <w:r>
        <w:rPr>
          <w:color w:val="231F1F"/>
          <w:spacing w:val="-2"/>
          <w:w w:val="110"/>
        </w:rPr>
        <w:t>K</w:t>
      </w:r>
      <w:r>
        <w:rPr>
          <w:color w:val="231F1F"/>
          <w:spacing w:val="-12"/>
          <w:w w:val="110"/>
        </w:rPr>
        <w:t> </w:t>
      </w:r>
      <w:r>
        <w:rPr>
          <w:color w:val="231F1F"/>
          <w:spacing w:val="-2"/>
          <w:w w:val="110"/>
        </w:rPr>
        <w:t>en </w:t>
      </w:r>
      <w:r>
        <w:rPr>
          <w:color w:val="231F1F"/>
          <w:w w:val="110"/>
        </w:rPr>
        <w:t>plasma</w:t>
      </w:r>
      <w:r>
        <w:rPr>
          <w:color w:val="231F1F"/>
          <w:spacing w:val="-16"/>
          <w:w w:val="110"/>
        </w:rPr>
        <w:t> </w:t>
      </w:r>
      <w:r>
        <w:rPr>
          <w:color w:val="231F1F"/>
          <w:w w:val="110"/>
        </w:rPr>
        <w:t>son</w:t>
      </w:r>
      <w:r>
        <w:rPr>
          <w:color w:val="231F1F"/>
          <w:spacing w:val="-15"/>
          <w:w w:val="110"/>
        </w:rPr>
        <w:t> </w:t>
      </w:r>
      <w:r>
        <w:rPr>
          <w:color w:val="231F1F"/>
          <w:w w:val="110"/>
        </w:rPr>
        <w:t>más</w:t>
      </w:r>
      <w:r>
        <w:rPr>
          <w:color w:val="231F1F"/>
          <w:spacing w:val="-15"/>
          <w:w w:val="110"/>
        </w:rPr>
        <w:t> </w:t>
      </w:r>
      <w:r>
        <w:rPr>
          <w:color w:val="231F1F"/>
          <w:w w:val="110"/>
        </w:rPr>
        <w:t>altos</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5"/>
          <w:w w:val="110"/>
        </w:rPr>
        <w:t> </w:t>
      </w:r>
      <w:r>
        <w:rPr>
          <w:color w:val="231F1F"/>
          <w:w w:val="110"/>
        </w:rPr>
        <w:t>tratado</w:t>
      </w:r>
      <w:r>
        <w:rPr>
          <w:color w:val="231F1F"/>
          <w:spacing w:val="-15"/>
          <w:w w:val="110"/>
        </w:rPr>
        <w:t> </w:t>
      </w:r>
      <w:r>
        <w:rPr>
          <w:color w:val="231F1F"/>
          <w:w w:val="110"/>
        </w:rPr>
        <w:t>por</w:t>
      </w:r>
      <w:r>
        <w:rPr>
          <w:color w:val="231F1F"/>
          <w:spacing w:val="-16"/>
          <w:w w:val="110"/>
        </w:rPr>
        <w:t> </w:t>
      </w:r>
      <w:r>
        <w:rPr>
          <w:color w:val="231F1F"/>
          <w:w w:val="110"/>
        </w:rPr>
        <w:t>vía</w:t>
      </w:r>
      <w:r>
        <w:rPr>
          <w:color w:val="231F1F"/>
          <w:spacing w:val="-15"/>
          <w:w w:val="110"/>
        </w:rPr>
        <w:t> </w:t>
      </w:r>
      <w:r>
        <w:rPr>
          <w:color w:val="231F1F"/>
          <w:w w:val="110"/>
        </w:rPr>
        <w:t>oral,</w:t>
      </w:r>
      <w:r>
        <w:rPr>
          <w:color w:val="231F1F"/>
          <w:spacing w:val="-15"/>
          <w:w w:val="110"/>
        </w:rPr>
        <w:t> </w:t>
      </w:r>
      <w:r>
        <w:rPr>
          <w:color w:val="231F1F"/>
          <w:w w:val="110"/>
        </w:rPr>
        <w:t>al</w:t>
      </w:r>
      <w:r>
        <w:rPr>
          <w:color w:val="231F1F"/>
          <w:spacing w:val="-15"/>
          <w:w w:val="110"/>
        </w:rPr>
        <w:t> </w:t>
      </w:r>
      <w:r>
        <w:rPr>
          <w:color w:val="231F1F"/>
          <w:w w:val="110"/>
        </w:rPr>
        <w:t>cabo</w:t>
      </w:r>
      <w:r>
        <w:rPr>
          <w:color w:val="231F1F"/>
          <w:spacing w:val="-15"/>
          <w:w w:val="110"/>
        </w:rPr>
        <w:t> </w:t>
      </w:r>
      <w:r>
        <w:rPr>
          <w:color w:val="231F1F"/>
          <w:w w:val="110"/>
        </w:rPr>
        <w:t>de</w:t>
      </w:r>
      <w:r>
        <w:rPr>
          <w:color w:val="231F1F"/>
          <w:spacing w:val="-15"/>
          <w:w w:val="110"/>
        </w:rPr>
        <w:t> </w:t>
      </w:r>
      <w:r>
        <w:rPr>
          <w:color w:val="231F1F"/>
          <w:w w:val="110"/>
        </w:rPr>
        <w:t>dos</w:t>
      </w:r>
      <w:r>
        <w:rPr>
          <w:color w:val="231F1F"/>
          <w:spacing w:val="-15"/>
          <w:w w:val="110"/>
        </w:rPr>
        <w:t> </w:t>
      </w:r>
      <w:r>
        <w:rPr>
          <w:color w:val="231F1F"/>
          <w:w w:val="110"/>
        </w:rPr>
        <w:t>semanas y</w:t>
      </w:r>
      <w:r>
        <w:rPr>
          <w:color w:val="231F1F"/>
          <w:spacing w:val="-12"/>
          <w:w w:val="110"/>
        </w:rPr>
        <w:t> </w:t>
      </w:r>
      <w:r>
        <w:rPr>
          <w:color w:val="231F1F"/>
          <w:w w:val="110"/>
        </w:rPr>
        <w:t>de</w:t>
      </w:r>
      <w:r>
        <w:rPr>
          <w:color w:val="231F1F"/>
          <w:spacing w:val="-12"/>
          <w:w w:val="110"/>
        </w:rPr>
        <w:t> </w:t>
      </w:r>
      <w:r>
        <w:rPr>
          <w:color w:val="231F1F"/>
          <w:w w:val="110"/>
        </w:rPr>
        <w:t>dos</w:t>
      </w:r>
      <w:r>
        <w:rPr>
          <w:color w:val="231F1F"/>
          <w:spacing w:val="-12"/>
          <w:w w:val="110"/>
        </w:rPr>
        <w:t> </w:t>
      </w:r>
      <w:r>
        <w:rPr>
          <w:color w:val="231F1F"/>
          <w:w w:val="110"/>
        </w:rPr>
        <w:t>meses,</w:t>
      </w:r>
      <w:r>
        <w:rPr>
          <w:color w:val="231F1F"/>
          <w:spacing w:val="-12"/>
          <w:w w:val="110"/>
        </w:rPr>
        <w:t> </w:t>
      </w:r>
      <w:r>
        <w:rPr>
          <w:color w:val="231F1F"/>
          <w:w w:val="110"/>
        </w:rPr>
        <w:t>pero</w:t>
      </w:r>
      <w:r>
        <w:rPr>
          <w:color w:val="231F1F"/>
          <w:spacing w:val="-12"/>
          <w:w w:val="110"/>
        </w:rPr>
        <w:t> </w:t>
      </w:r>
      <w:r>
        <w:rPr>
          <w:color w:val="231F1F"/>
          <w:w w:val="110"/>
        </w:rPr>
        <w:t>de</w:t>
      </w:r>
      <w:r>
        <w:rPr>
          <w:color w:val="231F1F"/>
          <w:spacing w:val="-12"/>
          <w:w w:val="110"/>
        </w:rPr>
        <w:t> </w:t>
      </w:r>
      <w:r>
        <w:rPr>
          <w:color w:val="231F1F"/>
          <w:w w:val="110"/>
        </w:rPr>
        <w:t>nuevo,</w:t>
      </w:r>
      <w:r>
        <w:rPr>
          <w:color w:val="231F1F"/>
          <w:spacing w:val="-13"/>
          <w:w w:val="110"/>
        </w:rPr>
        <w:t> </w:t>
      </w:r>
      <w:r>
        <w:rPr>
          <w:color w:val="231F1F"/>
          <w:w w:val="110"/>
        </w:rPr>
        <w:t>no</w:t>
      </w:r>
      <w:r>
        <w:rPr>
          <w:color w:val="231F1F"/>
          <w:spacing w:val="-12"/>
          <w:w w:val="110"/>
        </w:rPr>
        <w:t> </w:t>
      </w:r>
      <w:r>
        <w:rPr>
          <w:color w:val="231F1F"/>
          <w:w w:val="110"/>
        </w:rPr>
        <w:t>hay</w:t>
      </w:r>
      <w:r>
        <w:rPr>
          <w:color w:val="231F1F"/>
          <w:spacing w:val="-12"/>
          <w:w w:val="110"/>
        </w:rPr>
        <w:t> </w:t>
      </w:r>
      <w:r>
        <w:rPr>
          <w:color w:val="231F1F"/>
          <w:w w:val="110"/>
        </w:rPr>
        <w:t>evidencia</w:t>
      </w:r>
      <w:r>
        <w:rPr>
          <w:color w:val="231F1F"/>
          <w:spacing w:val="-12"/>
          <w:w w:val="110"/>
        </w:rPr>
        <w:t> </w:t>
      </w:r>
      <w:r>
        <w:rPr>
          <w:color w:val="231F1F"/>
          <w:w w:val="110"/>
        </w:rPr>
        <w:t>que</w:t>
      </w:r>
      <w:r>
        <w:rPr>
          <w:color w:val="231F1F"/>
          <w:spacing w:val="-12"/>
          <w:w w:val="110"/>
        </w:rPr>
        <w:t> </w:t>
      </w:r>
      <w:r>
        <w:rPr>
          <w:color w:val="231F1F"/>
          <w:w w:val="110"/>
        </w:rPr>
        <w:t>indique</w:t>
      </w:r>
      <w:r>
        <w:rPr>
          <w:color w:val="231F1F"/>
          <w:spacing w:val="-12"/>
          <w:w w:val="110"/>
        </w:rPr>
        <w:t> </w:t>
      </w:r>
      <w:r>
        <w:rPr>
          <w:color w:val="231F1F"/>
          <w:w w:val="110"/>
        </w:rPr>
        <w:t>que</w:t>
      </w:r>
      <w:r>
        <w:rPr>
          <w:color w:val="231F1F"/>
          <w:spacing w:val="-12"/>
          <w:w w:val="110"/>
        </w:rPr>
        <w:t> </w:t>
      </w:r>
      <w:r>
        <w:rPr>
          <w:color w:val="231F1F"/>
          <w:w w:val="110"/>
        </w:rPr>
        <w:t>existen</w:t>
      </w:r>
      <w:r>
        <w:rPr>
          <w:color w:val="231F1F"/>
          <w:spacing w:val="-12"/>
          <w:w w:val="110"/>
        </w:rPr>
        <w:t> </w:t>
      </w:r>
      <w:r>
        <w:rPr>
          <w:color w:val="231F1F"/>
          <w:w w:val="110"/>
        </w:rPr>
        <w:t>di- ferencias en el estado de coagulación.</w:t>
      </w:r>
    </w:p>
    <w:p>
      <w:pPr>
        <w:pStyle w:val="BodyText"/>
        <w:spacing w:before="103"/>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57" w:hRule="atLeast"/>
        </w:trPr>
        <w:tc>
          <w:tcPr>
            <w:tcW w:w="7373" w:type="dxa"/>
          </w:tcPr>
          <w:p>
            <w:pPr>
              <w:pStyle w:val="TableParagraph"/>
              <w:spacing w:line="249" w:lineRule="auto" w:before="29"/>
              <w:ind w:right="156"/>
              <w:rPr>
                <w:sz w:val="22"/>
              </w:rPr>
            </w:pPr>
            <w:r>
              <w:rPr>
                <w:color w:val="231F1F"/>
                <w:w w:val="110"/>
                <w:sz w:val="22"/>
              </w:rPr>
              <w:t>Una</w:t>
            </w:r>
            <w:r>
              <w:rPr>
                <w:color w:val="231F1F"/>
                <w:spacing w:val="-8"/>
                <w:w w:val="110"/>
                <w:sz w:val="22"/>
              </w:rPr>
              <w:t> </w:t>
            </w:r>
            <w:r>
              <w:rPr>
                <w:color w:val="231F1F"/>
                <w:w w:val="110"/>
                <w:sz w:val="22"/>
              </w:rPr>
              <w:t>dosis</w:t>
            </w:r>
            <w:r>
              <w:rPr>
                <w:color w:val="231F1F"/>
                <w:spacing w:val="-8"/>
                <w:w w:val="110"/>
                <w:sz w:val="22"/>
              </w:rPr>
              <w:t> </w:t>
            </w:r>
            <w:r>
              <w:rPr>
                <w:color w:val="231F1F"/>
                <w:w w:val="110"/>
                <w:sz w:val="22"/>
              </w:rPr>
              <w:t>única</w:t>
            </w:r>
            <w:r>
              <w:rPr>
                <w:color w:val="231F1F"/>
                <w:spacing w:val="-8"/>
                <w:w w:val="110"/>
                <w:sz w:val="22"/>
              </w:rPr>
              <w:t> </w:t>
            </w:r>
            <w:r>
              <w:rPr>
                <w:color w:val="231F1F"/>
                <w:w w:val="110"/>
                <w:sz w:val="22"/>
              </w:rPr>
              <w:t>(1</w:t>
            </w:r>
            <w:r>
              <w:rPr>
                <w:color w:val="231F1F"/>
                <w:spacing w:val="-8"/>
                <w:w w:val="110"/>
                <w:sz w:val="22"/>
              </w:rPr>
              <w:t> </w:t>
            </w:r>
            <w:r>
              <w:rPr>
                <w:color w:val="231F1F"/>
                <w:w w:val="110"/>
                <w:sz w:val="22"/>
              </w:rPr>
              <w:t>mg)</w:t>
            </w:r>
            <w:r>
              <w:rPr>
                <w:color w:val="231F1F"/>
                <w:spacing w:val="-8"/>
                <w:w w:val="110"/>
                <w:sz w:val="22"/>
              </w:rPr>
              <w:t> </w:t>
            </w:r>
            <w:r>
              <w:rPr>
                <w:color w:val="231F1F"/>
                <w:w w:val="110"/>
                <w:sz w:val="22"/>
              </w:rPr>
              <w:t>de</w:t>
            </w:r>
            <w:r>
              <w:rPr>
                <w:color w:val="231F1F"/>
                <w:spacing w:val="-8"/>
                <w:w w:val="110"/>
                <w:sz w:val="22"/>
              </w:rPr>
              <w:t> </w:t>
            </w:r>
            <w:r>
              <w:rPr>
                <w:color w:val="231F1F"/>
                <w:w w:val="110"/>
                <w:sz w:val="22"/>
              </w:rPr>
              <w:t>vitamina</w:t>
            </w:r>
            <w:r>
              <w:rPr>
                <w:color w:val="231F1F"/>
                <w:spacing w:val="-8"/>
                <w:w w:val="110"/>
                <w:sz w:val="22"/>
              </w:rPr>
              <w:t> </w:t>
            </w:r>
            <w:r>
              <w:rPr>
                <w:color w:val="231F1F"/>
                <w:w w:val="110"/>
                <w:sz w:val="22"/>
              </w:rPr>
              <w:t>K</w:t>
            </w:r>
            <w:r>
              <w:rPr>
                <w:color w:val="231F1F"/>
                <w:spacing w:val="-8"/>
                <w:w w:val="110"/>
                <w:sz w:val="22"/>
              </w:rPr>
              <w:t> </w:t>
            </w:r>
            <w:r>
              <w:rPr>
                <w:color w:val="231F1F"/>
                <w:w w:val="110"/>
                <w:sz w:val="22"/>
              </w:rPr>
              <w:t>por</w:t>
            </w:r>
            <w:r>
              <w:rPr>
                <w:color w:val="231F1F"/>
                <w:spacing w:val="-8"/>
                <w:w w:val="110"/>
                <w:sz w:val="22"/>
              </w:rPr>
              <w:t> </w:t>
            </w:r>
            <w:r>
              <w:rPr>
                <w:color w:val="231F1F"/>
                <w:w w:val="110"/>
                <w:sz w:val="22"/>
              </w:rPr>
              <w:t>vía</w:t>
            </w:r>
            <w:r>
              <w:rPr>
                <w:color w:val="231F1F"/>
                <w:spacing w:val="-8"/>
                <w:w w:val="110"/>
                <w:sz w:val="22"/>
              </w:rPr>
              <w:t> </w:t>
            </w:r>
            <w:r>
              <w:rPr>
                <w:color w:val="231F1F"/>
                <w:w w:val="110"/>
                <w:sz w:val="22"/>
              </w:rPr>
              <w:t>intramuscular</w:t>
            </w:r>
            <w:r>
              <w:rPr>
                <w:color w:val="231F1F"/>
                <w:spacing w:val="-8"/>
                <w:w w:val="110"/>
                <w:sz w:val="22"/>
              </w:rPr>
              <w:t> </w:t>
            </w:r>
            <w:r>
              <w:rPr>
                <w:color w:val="231F1F"/>
                <w:w w:val="110"/>
                <w:sz w:val="22"/>
              </w:rPr>
              <w:t>después</w:t>
            </w:r>
            <w:r>
              <w:rPr>
                <w:color w:val="231F1F"/>
                <w:spacing w:val="-8"/>
                <w:w w:val="110"/>
                <w:sz w:val="22"/>
              </w:rPr>
              <w:t> </w:t>
            </w:r>
            <w:r>
              <w:rPr>
                <w:color w:val="231F1F"/>
                <w:w w:val="110"/>
                <w:sz w:val="22"/>
              </w:rPr>
              <w:t>del nacimiento es efectiva para prevenir la HDVK clásica (262).</w:t>
            </w:r>
          </w:p>
        </w:tc>
        <w:tc>
          <w:tcPr>
            <w:tcW w:w="1133" w:type="dxa"/>
          </w:tcPr>
          <w:p>
            <w:pPr>
              <w:pStyle w:val="TableParagraph"/>
              <w:spacing w:before="169"/>
              <w:ind w:left="49" w:right="22"/>
              <w:jc w:val="center"/>
              <w:rPr>
                <w:sz w:val="22"/>
              </w:rPr>
            </w:pPr>
            <w:r>
              <w:rPr>
                <w:color w:val="231F1F"/>
                <w:spacing w:val="-5"/>
                <w:w w:val="105"/>
                <w:sz w:val="22"/>
              </w:rPr>
              <w:t>1+</w:t>
            </w:r>
          </w:p>
        </w:tc>
      </w:tr>
      <w:tr>
        <w:trPr>
          <w:trHeight w:val="940" w:hRule="atLeast"/>
        </w:trPr>
        <w:tc>
          <w:tcPr>
            <w:tcW w:w="7373" w:type="dxa"/>
          </w:tcPr>
          <w:p>
            <w:pPr>
              <w:pStyle w:val="TableParagraph"/>
              <w:spacing w:line="244" w:lineRule="auto" w:before="34"/>
              <w:ind w:right="90"/>
              <w:jc w:val="both"/>
              <w:rPr>
                <w:sz w:val="22"/>
              </w:rPr>
            </w:pPr>
            <w:r>
              <w:rPr>
                <w:color w:val="231F1F"/>
                <w:w w:val="110"/>
                <w:sz w:val="22"/>
              </w:rPr>
              <w:t>Si</w:t>
            </w:r>
            <w:r>
              <w:rPr>
                <w:color w:val="231F1F"/>
                <w:spacing w:val="-3"/>
                <w:w w:val="110"/>
                <w:sz w:val="22"/>
              </w:rPr>
              <w:t> </w:t>
            </w:r>
            <w:r>
              <w:rPr>
                <w:color w:val="231F1F"/>
                <w:w w:val="110"/>
                <w:sz w:val="22"/>
              </w:rPr>
              <w:t>se</w:t>
            </w:r>
            <w:r>
              <w:rPr>
                <w:color w:val="231F1F"/>
                <w:spacing w:val="-3"/>
                <w:w w:val="110"/>
                <w:sz w:val="22"/>
              </w:rPr>
              <w:t> </w:t>
            </w:r>
            <w:r>
              <w:rPr>
                <w:color w:val="231F1F"/>
                <w:w w:val="110"/>
                <w:sz w:val="22"/>
              </w:rPr>
              <w:t>administra</w:t>
            </w:r>
            <w:r>
              <w:rPr>
                <w:color w:val="231F1F"/>
                <w:spacing w:val="-3"/>
                <w:w w:val="110"/>
                <w:sz w:val="22"/>
              </w:rPr>
              <w:t> </w:t>
            </w:r>
            <w:r>
              <w:rPr>
                <w:color w:val="231F1F"/>
                <w:w w:val="110"/>
                <w:sz w:val="22"/>
              </w:rPr>
              <w:t>vitamina</w:t>
            </w:r>
            <w:r>
              <w:rPr>
                <w:color w:val="231F1F"/>
                <w:spacing w:val="-3"/>
                <w:w w:val="110"/>
                <w:sz w:val="22"/>
              </w:rPr>
              <w:t> </w:t>
            </w:r>
            <w:r>
              <w:rPr>
                <w:color w:val="231F1F"/>
                <w:w w:val="110"/>
                <w:sz w:val="22"/>
              </w:rPr>
              <w:t>K</w:t>
            </w:r>
            <w:r>
              <w:rPr>
                <w:color w:val="231F1F"/>
                <w:spacing w:val="-2"/>
                <w:w w:val="110"/>
                <w:sz w:val="22"/>
              </w:rPr>
              <w:t> </w:t>
            </w:r>
            <w:r>
              <w:rPr>
                <w:color w:val="231F1F"/>
                <w:w w:val="110"/>
                <w:sz w:val="22"/>
              </w:rPr>
              <w:t>por</w:t>
            </w:r>
            <w:r>
              <w:rPr>
                <w:color w:val="231F1F"/>
                <w:spacing w:val="-3"/>
                <w:w w:val="110"/>
                <w:sz w:val="22"/>
              </w:rPr>
              <w:t> </w:t>
            </w:r>
            <w:r>
              <w:rPr>
                <w:color w:val="231F1F"/>
                <w:w w:val="110"/>
                <w:sz w:val="22"/>
              </w:rPr>
              <w:t>vía</w:t>
            </w:r>
            <w:r>
              <w:rPr>
                <w:color w:val="231F1F"/>
                <w:spacing w:val="-3"/>
                <w:w w:val="110"/>
                <w:sz w:val="22"/>
              </w:rPr>
              <w:t> </w:t>
            </w:r>
            <w:r>
              <w:rPr>
                <w:color w:val="231F1F"/>
                <w:w w:val="110"/>
                <w:sz w:val="22"/>
              </w:rPr>
              <w:t>oral,</w:t>
            </w:r>
            <w:r>
              <w:rPr>
                <w:color w:val="231F1F"/>
                <w:spacing w:val="-3"/>
                <w:w w:val="110"/>
                <w:sz w:val="22"/>
              </w:rPr>
              <w:t> </w:t>
            </w:r>
            <w:r>
              <w:rPr>
                <w:color w:val="231F1F"/>
                <w:w w:val="110"/>
                <w:sz w:val="22"/>
              </w:rPr>
              <w:t>se</w:t>
            </w:r>
            <w:r>
              <w:rPr>
                <w:color w:val="231F1F"/>
                <w:spacing w:val="-3"/>
                <w:w w:val="110"/>
                <w:sz w:val="22"/>
              </w:rPr>
              <w:t> </w:t>
            </w:r>
            <w:r>
              <w:rPr>
                <w:color w:val="231F1F"/>
                <w:w w:val="110"/>
                <w:sz w:val="22"/>
              </w:rPr>
              <w:t>necesitan</w:t>
            </w:r>
            <w:r>
              <w:rPr>
                <w:color w:val="231F1F"/>
                <w:spacing w:val="-3"/>
                <w:w w:val="110"/>
                <w:sz w:val="22"/>
              </w:rPr>
              <w:t> </w:t>
            </w:r>
            <w:r>
              <w:rPr>
                <w:color w:val="231F1F"/>
                <w:w w:val="110"/>
                <w:sz w:val="22"/>
              </w:rPr>
              <w:t>múltiples</w:t>
            </w:r>
            <w:r>
              <w:rPr>
                <w:color w:val="231F1F"/>
                <w:spacing w:val="-3"/>
                <w:w w:val="110"/>
                <w:sz w:val="22"/>
              </w:rPr>
              <w:t> </w:t>
            </w:r>
            <w:r>
              <w:rPr>
                <w:color w:val="231F1F"/>
                <w:w w:val="110"/>
                <w:sz w:val="22"/>
              </w:rPr>
              <w:t>dosis</w:t>
            </w:r>
            <w:r>
              <w:rPr>
                <w:color w:val="231F1F"/>
                <w:spacing w:val="-3"/>
                <w:w w:val="110"/>
                <w:sz w:val="22"/>
              </w:rPr>
              <w:t> </w:t>
            </w:r>
            <w:r>
              <w:rPr>
                <w:color w:val="231F1F"/>
                <w:w w:val="110"/>
                <w:sz w:val="22"/>
              </w:rPr>
              <w:t>para una</w:t>
            </w:r>
            <w:r>
              <w:rPr>
                <w:color w:val="231F1F"/>
                <w:spacing w:val="-7"/>
                <w:w w:val="110"/>
                <w:sz w:val="22"/>
              </w:rPr>
              <w:t> </w:t>
            </w:r>
            <w:r>
              <w:rPr>
                <w:color w:val="231F1F"/>
                <w:w w:val="110"/>
                <w:sz w:val="22"/>
              </w:rPr>
              <w:t>adecuada</w:t>
            </w:r>
            <w:r>
              <w:rPr>
                <w:color w:val="231F1F"/>
                <w:spacing w:val="-7"/>
                <w:w w:val="110"/>
                <w:sz w:val="22"/>
              </w:rPr>
              <w:t> </w:t>
            </w:r>
            <w:r>
              <w:rPr>
                <w:color w:val="231F1F"/>
                <w:w w:val="110"/>
                <w:sz w:val="22"/>
              </w:rPr>
              <w:t>protección</w:t>
            </w:r>
            <w:r>
              <w:rPr>
                <w:color w:val="231F1F"/>
                <w:spacing w:val="-8"/>
                <w:w w:val="110"/>
                <w:sz w:val="22"/>
              </w:rPr>
              <w:t> </w:t>
            </w:r>
            <w:r>
              <w:rPr>
                <w:color w:val="231F1F"/>
                <w:w w:val="110"/>
                <w:sz w:val="22"/>
              </w:rPr>
              <w:t>de</w:t>
            </w:r>
            <w:r>
              <w:rPr>
                <w:color w:val="231F1F"/>
                <w:spacing w:val="-7"/>
                <w:w w:val="110"/>
                <w:sz w:val="22"/>
              </w:rPr>
              <w:t> </w:t>
            </w:r>
            <w:r>
              <w:rPr>
                <w:color w:val="231F1F"/>
                <w:w w:val="110"/>
                <w:sz w:val="22"/>
              </w:rPr>
              <w:t>los</w:t>
            </w:r>
            <w:r>
              <w:rPr>
                <w:color w:val="231F1F"/>
                <w:spacing w:val="-8"/>
                <w:w w:val="110"/>
                <w:sz w:val="22"/>
              </w:rPr>
              <w:t> </w:t>
            </w:r>
            <w:r>
              <w:rPr>
                <w:color w:val="231F1F"/>
                <w:w w:val="110"/>
                <w:sz w:val="22"/>
              </w:rPr>
              <w:t>lactantes</w:t>
            </w:r>
            <w:r>
              <w:rPr>
                <w:color w:val="231F1F"/>
                <w:spacing w:val="-7"/>
                <w:w w:val="110"/>
                <w:sz w:val="22"/>
              </w:rPr>
              <w:t> </w:t>
            </w:r>
            <w:r>
              <w:rPr>
                <w:color w:val="231F1F"/>
                <w:w w:val="110"/>
                <w:sz w:val="22"/>
              </w:rPr>
              <w:t>frente</w:t>
            </w:r>
            <w:r>
              <w:rPr>
                <w:color w:val="231F1F"/>
                <w:spacing w:val="-7"/>
                <w:w w:val="110"/>
                <w:sz w:val="22"/>
              </w:rPr>
              <w:t> </w:t>
            </w:r>
            <w:r>
              <w:rPr>
                <w:color w:val="231F1F"/>
                <w:w w:val="110"/>
                <w:sz w:val="22"/>
              </w:rPr>
              <w:t>a</w:t>
            </w:r>
            <w:r>
              <w:rPr>
                <w:color w:val="231F1F"/>
                <w:spacing w:val="-7"/>
                <w:w w:val="110"/>
                <w:sz w:val="22"/>
              </w:rPr>
              <w:t> </w:t>
            </w:r>
            <w:r>
              <w:rPr>
                <w:color w:val="231F1F"/>
                <w:w w:val="110"/>
                <w:sz w:val="22"/>
              </w:rPr>
              <w:t>la</w:t>
            </w:r>
            <w:r>
              <w:rPr>
                <w:color w:val="231F1F"/>
                <w:spacing w:val="-7"/>
                <w:w w:val="110"/>
                <w:sz w:val="22"/>
              </w:rPr>
              <w:t> </w:t>
            </w:r>
            <w:r>
              <w:rPr>
                <w:color w:val="231F1F"/>
                <w:w w:val="110"/>
                <w:sz w:val="22"/>
              </w:rPr>
              <w:t>hemorragia</w:t>
            </w:r>
            <w:r>
              <w:rPr>
                <w:color w:val="231F1F"/>
                <w:spacing w:val="-8"/>
                <w:w w:val="110"/>
                <w:sz w:val="22"/>
              </w:rPr>
              <w:t> </w:t>
            </w:r>
            <w:r>
              <w:rPr>
                <w:color w:val="231F1F"/>
                <w:w w:val="110"/>
                <w:sz w:val="22"/>
              </w:rPr>
              <w:t>por</w:t>
            </w:r>
            <w:r>
              <w:rPr>
                <w:color w:val="231F1F"/>
                <w:spacing w:val="-8"/>
                <w:w w:val="110"/>
                <w:sz w:val="22"/>
              </w:rPr>
              <w:t> </w:t>
            </w:r>
            <w:r>
              <w:rPr>
                <w:color w:val="231F1F"/>
                <w:w w:val="110"/>
                <w:sz w:val="22"/>
              </w:rPr>
              <w:t>déficit de la vitamina K tardía (262).</w:t>
            </w:r>
          </w:p>
        </w:tc>
        <w:tc>
          <w:tcPr>
            <w:tcW w:w="1133" w:type="dxa"/>
          </w:tcPr>
          <w:p>
            <w:pPr>
              <w:pStyle w:val="TableParagraph"/>
              <w:spacing w:before="59"/>
              <w:ind w:left="0"/>
              <w:rPr>
                <w:rFonts w:ascii="Arial MT"/>
                <w:sz w:val="22"/>
              </w:rPr>
            </w:pPr>
          </w:p>
          <w:p>
            <w:pPr>
              <w:pStyle w:val="TableParagraph"/>
              <w:spacing w:before="1"/>
              <w:ind w:left="49" w:right="22"/>
              <w:jc w:val="center"/>
              <w:rPr>
                <w:sz w:val="22"/>
              </w:rPr>
            </w:pPr>
            <w:r>
              <w:rPr>
                <w:color w:val="231F1F"/>
                <w:spacing w:val="-5"/>
                <w:w w:val="105"/>
                <w:sz w:val="22"/>
              </w:rPr>
              <w:t>1+</w:t>
            </w:r>
          </w:p>
        </w:tc>
      </w:tr>
    </w:tbl>
    <w:p>
      <w:pPr>
        <w:pStyle w:val="BodyText"/>
        <w:spacing w:before="70"/>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8"/>
        <w:rPr>
          <w:rFonts w:ascii="Arial MT"/>
          <w:sz w:val="17"/>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57" w:hRule="atLeast"/>
        </w:trPr>
        <w:tc>
          <w:tcPr>
            <w:tcW w:w="456" w:type="dxa"/>
          </w:tcPr>
          <w:p>
            <w:pPr>
              <w:pStyle w:val="TableParagraph"/>
              <w:spacing w:before="169"/>
              <w:ind w:left="46" w:right="43"/>
              <w:jc w:val="center"/>
              <w:rPr>
                <w:sz w:val="22"/>
              </w:rPr>
            </w:pPr>
            <w:r>
              <w:rPr>
                <w:color w:val="231F1F"/>
                <w:spacing w:val="-10"/>
                <w:w w:val="115"/>
                <w:sz w:val="22"/>
              </w:rPr>
              <w:t>A</w:t>
            </w:r>
          </w:p>
        </w:tc>
        <w:tc>
          <w:tcPr>
            <w:tcW w:w="8050" w:type="dxa"/>
          </w:tcPr>
          <w:p>
            <w:pPr>
              <w:pStyle w:val="TableParagraph"/>
              <w:spacing w:line="244" w:lineRule="auto" w:before="29"/>
              <w:ind w:right="155"/>
              <w:rPr>
                <w:sz w:val="22"/>
              </w:rPr>
            </w:pPr>
            <w:r>
              <w:rPr>
                <w:color w:val="231F1F"/>
                <w:w w:val="110"/>
                <w:sz w:val="22"/>
              </w:rPr>
              <w:t>Se</w:t>
            </w:r>
            <w:r>
              <w:rPr>
                <w:color w:val="231F1F"/>
                <w:spacing w:val="-15"/>
                <w:w w:val="110"/>
                <w:sz w:val="22"/>
              </w:rPr>
              <w:t> </w:t>
            </w:r>
            <w:r>
              <w:rPr>
                <w:color w:val="231F1F"/>
                <w:w w:val="110"/>
                <w:sz w:val="22"/>
              </w:rPr>
              <w:t>recomienda</w:t>
            </w:r>
            <w:r>
              <w:rPr>
                <w:color w:val="231F1F"/>
                <w:spacing w:val="-15"/>
                <w:w w:val="110"/>
                <w:sz w:val="22"/>
              </w:rPr>
              <w:t> </w:t>
            </w:r>
            <w:r>
              <w:rPr>
                <w:color w:val="231F1F"/>
                <w:w w:val="110"/>
                <w:sz w:val="22"/>
              </w:rPr>
              <w:t>administrar</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vitamina</w:t>
            </w:r>
            <w:r>
              <w:rPr>
                <w:color w:val="231F1F"/>
                <w:spacing w:val="-15"/>
                <w:w w:val="110"/>
                <w:sz w:val="22"/>
              </w:rPr>
              <w:t> </w:t>
            </w:r>
            <w:r>
              <w:rPr>
                <w:color w:val="231F1F"/>
                <w:w w:val="110"/>
                <w:sz w:val="22"/>
              </w:rPr>
              <w:t>K</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dosis</w:t>
            </w:r>
            <w:r>
              <w:rPr>
                <w:color w:val="231F1F"/>
                <w:spacing w:val="-15"/>
                <w:w w:val="110"/>
                <w:sz w:val="22"/>
              </w:rPr>
              <w:t> </w:t>
            </w:r>
            <w:r>
              <w:rPr>
                <w:color w:val="231F1F"/>
                <w:w w:val="110"/>
                <w:sz w:val="22"/>
              </w:rPr>
              <w:t>única</w:t>
            </w:r>
            <w:r>
              <w:rPr>
                <w:color w:val="231F1F"/>
                <w:spacing w:val="-15"/>
                <w:w w:val="110"/>
                <w:sz w:val="22"/>
              </w:rPr>
              <w:t> </w:t>
            </w:r>
            <w:r>
              <w:rPr>
                <w:color w:val="231F1F"/>
                <w:w w:val="110"/>
                <w:sz w:val="22"/>
              </w:rPr>
              <w:t>por</w:t>
            </w:r>
            <w:r>
              <w:rPr>
                <w:color w:val="231F1F"/>
                <w:spacing w:val="-15"/>
                <w:w w:val="110"/>
                <w:sz w:val="22"/>
              </w:rPr>
              <w:t> </w:t>
            </w:r>
            <w:r>
              <w:rPr>
                <w:color w:val="231F1F"/>
                <w:w w:val="110"/>
                <w:sz w:val="22"/>
              </w:rPr>
              <w:t>vía</w:t>
            </w:r>
            <w:r>
              <w:rPr>
                <w:color w:val="231F1F"/>
                <w:spacing w:val="-15"/>
                <w:w w:val="110"/>
                <w:sz w:val="22"/>
              </w:rPr>
              <w:t> </w:t>
            </w:r>
            <w:r>
              <w:rPr>
                <w:color w:val="231F1F"/>
                <w:w w:val="110"/>
                <w:sz w:val="22"/>
              </w:rPr>
              <w:t>IM</w:t>
            </w:r>
            <w:r>
              <w:rPr>
                <w:color w:val="231F1F"/>
                <w:spacing w:val="-13"/>
                <w:w w:val="110"/>
                <w:sz w:val="22"/>
              </w:rPr>
              <w:t> </w:t>
            </w:r>
            <w:r>
              <w:rPr>
                <w:color w:val="231F1F"/>
                <w:w w:val="110"/>
                <w:sz w:val="22"/>
              </w:rPr>
              <w:t>(1</w:t>
            </w:r>
            <w:r>
              <w:rPr>
                <w:color w:val="231F1F"/>
                <w:spacing w:val="-15"/>
                <w:w w:val="110"/>
                <w:sz w:val="22"/>
              </w:rPr>
              <w:t> </w:t>
            </w:r>
            <w:r>
              <w:rPr>
                <w:color w:val="231F1F"/>
                <w:w w:val="110"/>
                <w:sz w:val="22"/>
              </w:rPr>
              <w:t>mg)</w:t>
            </w:r>
            <w:r>
              <w:rPr>
                <w:color w:val="231F1F"/>
                <w:spacing w:val="-15"/>
                <w:w w:val="110"/>
                <w:sz w:val="22"/>
              </w:rPr>
              <w:t> </w:t>
            </w:r>
            <w:r>
              <w:rPr>
                <w:color w:val="231F1F"/>
                <w:w w:val="110"/>
                <w:sz w:val="22"/>
              </w:rPr>
              <w:t>ya</w:t>
            </w:r>
            <w:r>
              <w:rPr>
                <w:color w:val="231F1F"/>
                <w:spacing w:val="-15"/>
                <w:w w:val="110"/>
                <w:sz w:val="22"/>
              </w:rPr>
              <w:t> </w:t>
            </w:r>
            <w:r>
              <w:rPr>
                <w:color w:val="231F1F"/>
                <w:w w:val="110"/>
                <w:sz w:val="22"/>
              </w:rPr>
              <w:t>que este es el método de administración que presenta mejores resultados clínicos.</w:t>
            </w:r>
          </w:p>
        </w:tc>
      </w:tr>
      <w:tr>
        <w:trPr>
          <w:trHeight w:val="1218" w:hRule="atLeast"/>
        </w:trPr>
        <w:tc>
          <w:tcPr>
            <w:tcW w:w="456" w:type="dxa"/>
          </w:tcPr>
          <w:p>
            <w:pPr>
              <w:pStyle w:val="TableParagraph"/>
              <w:spacing w:before="19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7" w:lineRule="auto" w:before="29"/>
              <w:ind w:right="88"/>
              <w:jc w:val="both"/>
              <w:rPr>
                <w:sz w:val="22"/>
              </w:rPr>
            </w:pPr>
            <w:r>
              <w:rPr>
                <w:color w:val="231F1F"/>
                <w:w w:val="110"/>
                <w:sz w:val="22"/>
              </w:rPr>
              <w:t>Si</w:t>
            </w:r>
            <w:r>
              <w:rPr>
                <w:color w:val="231F1F"/>
                <w:spacing w:val="-14"/>
                <w:w w:val="110"/>
                <w:sz w:val="22"/>
              </w:rPr>
              <w:t> </w:t>
            </w:r>
            <w:r>
              <w:rPr>
                <w:color w:val="231F1F"/>
                <w:w w:val="110"/>
                <w:sz w:val="22"/>
              </w:rPr>
              <w:t>los</w:t>
            </w:r>
            <w:r>
              <w:rPr>
                <w:color w:val="231F1F"/>
                <w:spacing w:val="-14"/>
                <w:w w:val="110"/>
                <w:sz w:val="22"/>
              </w:rPr>
              <w:t> </w:t>
            </w:r>
            <w:r>
              <w:rPr>
                <w:color w:val="231F1F"/>
                <w:w w:val="110"/>
                <w:sz w:val="22"/>
              </w:rPr>
              <w:t>padres</w:t>
            </w:r>
            <w:r>
              <w:rPr>
                <w:color w:val="231F1F"/>
                <w:spacing w:val="-14"/>
                <w:w w:val="110"/>
                <w:sz w:val="22"/>
              </w:rPr>
              <w:t> </w:t>
            </w:r>
            <w:r>
              <w:rPr>
                <w:color w:val="231F1F"/>
                <w:w w:val="110"/>
                <w:sz w:val="22"/>
              </w:rPr>
              <w:t>rechazan</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vía</w:t>
            </w:r>
            <w:r>
              <w:rPr>
                <w:color w:val="231F1F"/>
                <w:spacing w:val="-14"/>
                <w:w w:val="110"/>
                <w:sz w:val="22"/>
              </w:rPr>
              <w:t> </w:t>
            </w:r>
            <w:r>
              <w:rPr>
                <w:color w:val="231F1F"/>
                <w:w w:val="110"/>
                <w:sz w:val="22"/>
              </w:rPr>
              <w:t>IM</w:t>
            </w:r>
            <w:r>
              <w:rPr>
                <w:color w:val="231F1F"/>
                <w:spacing w:val="-13"/>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vitamina</w:t>
            </w:r>
            <w:r>
              <w:rPr>
                <w:color w:val="231F1F"/>
                <w:spacing w:val="-14"/>
                <w:w w:val="110"/>
                <w:sz w:val="22"/>
              </w:rPr>
              <w:t> </w:t>
            </w:r>
            <w:r>
              <w:rPr>
                <w:color w:val="231F1F"/>
                <w:w w:val="110"/>
                <w:sz w:val="22"/>
              </w:rPr>
              <w:t>K,</w:t>
            </w:r>
            <w:r>
              <w:rPr>
                <w:color w:val="231F1F"/>
                <w:spacing w:val="-14"/>
                <w:w w:val="110"/>
                <w:sz w:val="22"/>
              </w:rPr>
              <w:t> </w:t>
            </w:r>
            <w:r>
              <w:rPr>
                <w:color w:val="231F1F"/>
                <w:w w:val="110"/>
                <w:sz w:val="22"/>
              </w:rPr>
              <w:t>puede</w:t>
            </w:r>
            <w:r>
              <w:rPr>
                <w:color w:val="231F1F"/>
                <w:spacing w:val="-14"/>
                <w:w w:val="110"/>
                <w:sz w:val="22"/>
              </w:rPr>
              <w:t> </w:t>
            </w:r>
            <w:r>
              <w:rPr>
                <w:color w:val="231F1F"/>
                <w:w w:val="110"/>
                <w:sz w:val="22"/>
              </w:rPr>
              <w:t>ofertarse</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vía</w:t>
            </w:r>
            <w:r>
              <w:rPr>
                <w:color w:val="231F1F"/>
                <w:spacing w:val="-14"/>
                <w:w w:val="110"/>
                <w:sz w:val="22"/>
              </w:rPr>
              <w:t> </w:t>
            </w:r>
            <w:r>
              <w:rPr>
                <w:color w:val="231F1F"/>
                <w:w w:val="110"/>
                <w:sz w:val="22"/>
              </w:rPr>
              <w:t>oral</w:t>
            </w:r>
            <w:r>
              <w:rPr>
                <w:color w:val="231F1F"/>
                <w:spacing w:val="-15"/>
                <w:w w:val="110"/>
                <w:sz w:val="22"/>
              </w:rPr>
              <w:t> </w:t>
            </w:r>
            <w:r>
              <w:rPr>
                <w:color w:val="231F1F"/>
                <w:w w:val="110"/>
                <w:sz w:val="22"/>
              </w:rPr>
              <w:t>como segunda</w:t>
            </w:r>
            <w:r>
              <w:rPr>
                <w:color w:val="231F1F"/>
                <w:spacing w:val="-13"/>
                <w:w w:val="110"/>
                <w:sz w:val="22"/>
              </w:rPr>
              <w:t> </w:t>
            </w:r>
            <w:r>
              <w:rPr>
                <w:color w:val="231F1F"/>
                <w:w w:val="110"/>
                <w:sz w:val="22"/>
              </w:rPr>
              <w:t>opción</w:t>
            </w:r>
            <w:r>
              <w:rPr>
                <w:color w:val="231F1F"/>
                <w:spacing w:val="-13"/>
                <w:w w:val="110"/>
                <w:sz w:val="22"/>
              </w:rPr>
              <w:t> </w:t>
            </w:r>
            <w:r>
              <w:rPr>
                <w:color w:val="231F1F"/>
                <w:w w:val="110"/>
                <w:sz w:val="22"/>
              </w:rPr>
              <w:t>terapéutica,</w:t>
            </w:r>
            <w:r>
              <w:rPr>
                <w:color w:val="231F1F"/>
                <w:spacing w:val="-13"/>
                <w:w w:val="110"/>
                <w:sz w:val="22"/>
              </w:rPr>
              <w:t> </w:t>
            </w:r>
            <w:r>
              <w:rPr>
                <w:color w:val="231F1F"/>
                <w:w w:val="110"/>
                <w:sz w:val="22"/>
              </w:rPr>
              <w:t>informándoles</w:t>
            </w:r>
            <w:r>
              <w:rPr>
                <w:color w:val="231F1F"/>
                <w:spacing w:val="-13"/>
                <w:w w:val="110"/>
                <w:sz w:val="22"/>
              </w:rPr>
              <w:t> </w:t>
            </w:r>
            <w:r>
              <w:rPr>
                <w:color w:val="231F1F"/>
                <w:w w:val="110"/>
                <w:sz w:val="22"/>
              </w:rPr>
              <w:t>que</w:t>
            </w:r>
            <w:r>
              <w:rPr>
                <w:color w:val="231F1F"/>
                <w:spacing w:val="-13"/>
                <w:w w:val="110"/>
                <w:sz w:val="22"/>
              </w:rPr>
              <w:t> </w:t>
            </w:r>
            <w:r>
              <w:rPr>
                <w:color w:val="231F1F"/>
                <w:w w:val="110"/>
                <w:sz w:val="22"/>
              </w:rPr>
              <w:t>requerirá</w:t>
            </w:r>
            <w:r>
              <w:rPr>
                <w:color w:val="231F1F"/>
                <w:spacing w:val="-13"/>
                <w:w w:val="110"/>
                <w:sz w:val="22"/>
              </w:rPr>
              <w:t> </w:t>
            </w:r>
            <w:r>
              <w:rPr>
                <w:color w:val="231F1F"/>
                <w:w w:val="110"/>
                <w:sz w:val="22"/>
              </w:rPr>
              <w:t>dosis</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2</w:t>
            </w:r>
            <w:r>
              <w:rPr>
                <w:color w:val="231F1F"/>
                <w:spacing w:val="-13"/>
                <w:w w:val="110"/>
                <w:sz w:val="22"/>
              </w:rPr>
              <w:t> </w:t>
            </w:r>
            <w:r>
              <w:rPr>
                <w:color w:val="231F1F"/>
                <w:w w:val="110"/>
                <w:sz w:val="22"/>
              </w:rPr>
              <w:t>mg</w:t>
            </w:r>
            <w:r>
              <w:rPr>
                <w:color w:val="231F1F"/>
                <w:spacing w:val="-13"/>
                <w:w w:val="110"/>
                <w:sz w:val="22"/>
              </w:rPr>
              <w:t> </w:t>
            </w:r>
            <w:r>
              <w:rPr>
                <w:color w:val="231F1F"/>
                <w:w w:val="110"/>
                <w:sz w:val="22"/>
              </w:rPr>
              <w:t>al</w:t>
            </w:r>
            <w:r>
              <w:rPr>
                <w:color w:val="231F1F"/>
                <w:spacing w:val="-13"/>
                <w:w w:val="110"/>
                <w:sz w:val="22"/>
              </w:rPr>
              <w:t> </w:t>
            </w:r>
            <w:r>
              <w:rPr>
                <w:color w:val="231F1F"/>
                <w:w w:val="110"/>
                <w:sz w:val="22"/>
              </w:rPr>
              <w:t>nacer,</w:t>
            </w:r>
            <w:r>
              <w:rPr>
                <w:color w:val="231F1F"/>
                <w:spacing w:val="-13"/>
                <w:w w:val="110"/>
                <w:sz w:val="22"/>
              </w:rPr>
              <w:t> </w:t>
            </w:r>
            <w:r>
              <w:rPr>
                <w:color w:val="231F1F"/>
                <w:w w:val="110"/>
                <w:sz w:val="22"/>
              </w:rPr>
              <w:t>a la</w:t>
            </w:r>
            <w:r>
              <w:rPr>
                <w:color w:val="231F1F"/>
                <w:spacing w:val="-16"/>
                <w:w w:val="110"/>
                <w:sz w:val="22"/>
              </w:rPr>
              <w:t> </w:t>
            </w:r>
            <w:r>
              <w:rPr>
                <w:color w:val="231F1F"/>
                <w:w w:val="110"/>
                <w:sz w:val="22"/>
              </w:rPr>
              <w:t>semana</w:t>
            </w:r>
            <w:r>
              <w:rPr>
                <w:color w:val="231F1F"/>
                <w:spacing w:val="-15"/>
                <w:w w:val="110"/>
                <w:sz w:val="22"/>
              </w:rPr>
              <w:t> </w:t>
            </w:r>
            <w:r>
              <w:rPr>
                <w:color w:val="231F1F"/>
                <w:w w:val="110"/>
                <w:sz w:val="22"/>
              </w:rPr>
              <w:t>y</w:t>
            </w:r>
            <w:r>
              <w:rPr>
                <w:color w:val="231F1F"/>
                <w:spacing w:val="-15"/>
                <w:w w:val="110"/>
                <w:sz w:val="22"/>
              </w:rPr>
              <w:t> </w:t>
            </w:r>
            <w:r>
              <w:rPr>
                <w:color w:val="231F1F"/>
                <w:w w:val="110"/>
                <w:sz w:val="22"/>
              </w:rPr>
              <w:t>al</w:t>
            </w:r>
            <w:r>
              <w:rPr>
                <w:color w:val="231F1F"/>
                <w:spacing w:val="-15"/>
                <w:w w:val="110"/>
                <w:sz w:val="22"/>
              </w:rPr>
              <w:t> </w:t>
            </w:r>
            <w:r>
              <w:rPr>
                <w:color w:val="231F1F"/>
                <w:w w:val="110"/>
                <w:sz w:val="22"/>
              </w:rPr>
              <w:t>mes.</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caso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lactancia</w:t>
            </w:r>
            <w:r>
              <w:rPr>
                <w:color w:val="231F1F"/>
                <w:spacing w:val="-16"/>
                <w:w w:val="110"/>
                <w:sz w:val="22"/>
              </w:rPr>
              <w:t> </w:t>
            </w:r>
            <w:r>
              <w:rPr>
                <w:color w:val="231F1F"/>
                <w:w w:val="110"/>
                <w:sz w:val="22"/>
              </w:rPr>
              <w:t>materna</w:t>
            </w:r>
            <w:r>
              <w:rPr>
                <w:color w:val="231F1F"/>
                <w:spacing w:val="-15"/>
                <w:w w:val="110"/>
                <w:sz w:val="22"/>
              </w:rPr>
              <w:t> </w:t>
            </w:r>
            <w:r>
              <w:rPr>
                <w:color w:val="231F1F"/>
                <w:w w:val="110"/>
                <w:sz w:val="22"/>
              </w:rPr>
              <w:t>exclusiva,</w:t>
            </w:r>
            <w:r>
              <w:rPr>
                <w:color w:val="231F1F"/>
                <w:spacing w:val="-15"/>
                <w:w w:val="110"/>
                <w:sz w:val="22"/>
              </w:rPr>
              <w:t> </w:t>
            </w:r>
            <w:r>
              <w:rPr>
                <w:color w:val="231F1F"/>
                <w:w w:val="110"/>
                <w:sz w:val="22"/>
              </w:rPr>
              <w:t>se</w:t>
            </w:r>
            <w:r>
              <w:rPr>
                <w:color w:val="231F1F"/>
                <w:spacing w:val="-15"/>
                <w:w w:val="110"/>
                <w:sz w:val="22"/>
              </w:rPr>
              <w:t> </w:t>
            </w:r>
            <w:r>
              <w:rPr>
                <w:color w:val="231F1F"/>
                <w:w w:val="110"/>
                <w:sz w:val="22"/>
              </w:rPr>
              <w:t>administrarán</w:t>
            </w:r>
            <w:r>
              <w:rPr>
                <w:color w:val="231F1F"/>
                <w:spacing w:val="-15"/>
                <w:w w:val="110"/>
                <w:sz w:val="22"/>
              </w:rPr>
              <w:t> </w:t>
            </w:r>
            <w:r>
              <w:rPr>
                <w:color w:val="231F1F"/>
                <w:w w:val="110"/>
                <w:sz w:val="22"/>
              </w:rPr>
              <w:t>dosis </w:t>
            </w:r>
            <w:r>
              <w:rPr>
                <w:color w:val="231F1F"/>
                <w:spacing w:val="-2"/>
                <w:w w:val="110"/>
                <w:sz w:val="22"/>
              </w:rPr>
              <w:t>adicionales.</w:t>
            </w:r>
          </w:p>
        </w:tc>
      </w:tr>
    </w:tbl>
    <w:p>
      <w:pPr>
        <w:pStyle w:val="TableParagraph"/>
        <w:spacing w:after="0" w:line="247" w:lineRule="auto"/>
        <w:jc w:val="both"/>
        <w:rPr>
          <w:sz w:val="22"/>
        </w:rPr>
        <w:sectPr>
          <w:pgSz w:w="11900" w:h="16840"/>
          <w:pgMar w:header="0" w:footer="622" w:top="1560" w:bottom="820" w:left="1417" w:right="1559"/>
        </w:sectPr>
      </w:pPr>
    </w:p>
    <w:p>
      <w:pPr>
        <w:pStyle w:val="BodyText"/>
        <w:spacing w:before="4"/>
        <w:rPr>
          <w:rFonts w:ascii="Arial MT"/>
          <w:sz w:val="17"/>
        </w:rPr>
      </w:pPr>
    </w:p>
    <w:p>
      <w:pPr>
        <w:pStyle w:val="BodyText"/>
        <w:spacing w:after="0"/>
        <w:rPr>
          <w:rFonts w:ascii="Arial MT"/>
          <w:sz w:val="17"/>
        </w:rPr>
        <w:sectPr>
          <w:footerReference w:type="even" r:id="rId53"/>
          <w:pgSz w:w="11900" w:h="16840"/>
          <w:pgMar w:header="0" w:footer="0" w:top="1940" w:bottom="280" w:left="1417" w:right="1559"/>
        </w:sectPr>
      </w:pPr>
    </w:p>
    <w:p>
      <w:pPr>
        <w:pStyle w:val="Heading1"/>
        <w:numPr>
          <w:ilvl w:val="1"/>
          <w:numId w:val="2"/>
        </w:numPr>
        <w:tabs>
          <w:tab w:pos="910" w:val="left" w:leader="none"/>
        </w:tabs>
        <w:spacing w:line="240" w:lineRule="auto" w:before="63" w:after="0"/>
        <w:ind w:left="910" w:right="0" w:hanging="627"/>
        <w:jc w:val="left"/>
        <w:rPr>
          <w:color w:val="231F1F"/>
        </w:rPr>
      </w:pPr>
      <w:bookmarkStart w:name="_TOC_250019" w:id="37"/>
      <w:r>
        <w:rPr>
          <w:color w:val="231F1F"/>
          <w:w w:val="110"/>
        </w:rPr>
        <w:t>Alivio</w:t>
      </w:r>
      <w:r>
        <w:rPr>
          <w:color w:val="231F1F"/>
          <w:spacing w:val="-25"/>
          <w:w w:val="110"/>
        </w:rPr>
        <w:t> </w:t>
      </w:r>
      <w:r>
        <w:rPr>
          <w:color w:val="231F1F"/>
          <w:w w:val="110"/>
        </w:rPr>
        <w:t>del</w:t>
      </w:r>
      <w:r>
        <w:rPr>
          <w:color w:val="231F1F"/>
          <w:spacing w:val="-23"/>
          <w:w w:val="110"/>
        </w:rPr>
        <w:t> </w:t>
      </w:r>
      <w:r>
        <w:rPr>
          <w:color w:val="231F1F"/>
          <w:w w:val="110"/>
        </w:rPr>
        <w:t>dolor</w:t>
      </w:r>
      <w:r>
        <w:rPr>
          <w:color w:val="231F1F"/>
          <w:spacing w:val="-24"/>
          <w:w w:val="110"/>
        </w:rPr>
        <w:t> </w:t>
      </w:r>
      <w:r>
        <w:rPr>
          <w:color w:val="231F1F"/>
          <w:w w:val="110"/>
        </w:rPr>
        <w:t>durante</w:t>
      </w:r>
      <w:r>
        <w:rPr>
          <w:color w:val="231F1F"/>
          <w:spacing w:val="-24"/>
          <w:w w:val="110"/>
        </w:rPr>
        <w:t> </w:t>
      </w:r>
      <w:r>
        <w:rPr>
          <w:color w:val="231F1F"/>
          <w:w w:val="110"/>
        </w:rPr>
        <w:t>el</w:t>
      </w:r>
      <w:r>
        <w:rPr>
          <w:color w:val="231F1F"/>
          <w:spacing w:val="-23"/>
          <w:w w:val="110"/>
        </w:rPr>
        <w:t> </w:t>
      </w:r>
      <w:bookmarkEnd w:id="37"/>
      <w:r>
        <w:rPr>
          <w:color w:val="231F1F"/>
          <w:spacing w:val="-2"/>
          <w:w w:val="110"/>
        </w:rPr>
        <w:t>parto</w:t>
      </w:r>
    </w:p>
    <w:p>
      <w:pPr>
        <w:pStyle w:val="BodyText"/>
        <w:spacing w:before="81"/>
        <w:rPr>
          <w:sz w:val="50"/>
        </w:rPr>
      </w:pPr>
    </w:p>
    <w:p>
      <w:pPr>
        <w:pStyle w:val="BodyText"/>
        <w:spacing w:line="252" w:lineRule="auto"/>
        <w:ind w:left="283" w:right="117"/>
        <w:jc w:val="both"/>
      </w:pPr>
      <w:r>
        <w:rPr>
          <w:color w:val="231F1F"/>
          <w:w w:val="105"/>
        </w:rPr>
        <w:t>En los últimos años se ha prestado una gran atención a la importancia del alivio del dolor</w:t>
      </w:r>
      <w:r>
        <w:rPr>
          <w:color w:val="231F1F"/>
          <w:spacing w:val="80"/>
          <w:w w:val="105"/>
        </w:rPr>
        <w:t> </w:t>
      </w:r>
      <w:r>
        <w:rPr>
          <w:color w:val="231F1F"/>
          <w:w w:val="105"/>
        </w:rPr>
        <w:t>en el parto. Se ha extendido el uso de la analgesia neuroaxial, una técnica muy eficaz, aun- que invasiva y no exenta de riesgos, que obliga a una mayor vigilancia y dificulta la movi- lidad</w:t>
      </w:r>
      <w:r>
        <w:rPr>
          <w:color w:val="231F1F"/>
          <w:w w:val="105"/>
        </w:rPr>
        <w:t> y</w:t>
      </w:r>
      <w:r>
        <w:rPr>
          <w:color w:val="231F1F"/>
          <w:w w:val="105"/>
        </w:rPr>
        <w:t> la</w:t>
      </w:r>
      <w:r>
        <w:rPr>
          <w:color w:val="231F1F"/>
          <w:w w:val="105"/>
        </w:rPr>
        <w:t> percepción</w:t>
      </w:r>
      <w:r>
        <w:rPr>
          <w:color w:val="231F1F"/>
          <w:w w:val="105"/>
        </w:rPr>
        <w:t> de</w:t>
      </w:r>
      <w:r>
        <w:rPr>
          <w:color w:val="231F1F"/>
          <w:w w:val="105"/>
        </w:rPr>
        <w:t> la</w:t>
      </w:r>
      <w:r>
        <w:rPr>
          <w:color w:val="231F1F"/>
          <w:w w:val="105"/>
        </w:rPr>
        <w:t> sensación</w:t>
      </w:r>
      <w:r>
        <w:rPr>
          <w:color w:val="231F1F"/>
          <w:w w:val="105"/>
        </w:rPr>
        <w:t> de</w:t>
      </w:r>
      <w:r>
        <w:rPr>
          <w:color w:val="231F1F"/>
          <w:w w:val="105"/>
        </w:rPr>
        <w:t> pujo,</w:t>
      </w:r>
      <w:r>
        <w:rPr>
          <w:color w:val="231F1F"/>
          <w:w w:val="105"/>
        </w:rPr>
        <w:t> por</w:t>
      </w:r>
      <w:r>
        <w:rPr>
          <w:color w:val="231F1F"/>
          <w:w w:val="105"/>
        </w:rPr>
        <w:t> lo</w:t>
      </w:r>
      <w:r>
        <w:rPr>
          <w:color w:val="231F1F"/>
          <w:w w:val="105"/>
        </w:rPr>
        <w:t> que</w:t>
      </w:r>
      <w:r>
        <w:rPr>
          <w:color w:val="231F1F"/>
          <w:w w:val="105"/>
        </w:rPr>
        <w:t> relega</w:t>
      </w:r>
      <w:r>
        <w:rPr>
          <w:color w:val="231F1F"/>
          <w:w w:val="105"/>
        </w:rPr>
        <w:t> a</w:t>
      </w:r>
      <w:r>
        <w:rPr>
          <w:color w:val="231F1F"/>
          <w:w w:val="105"/>
        </w:rPr>
        <w:t> las</w:t>
      </w:r>
      <w:r>
        <w:rPr>
          <w:color w:val="231F1F"/>
          <w:w w:val="105"/>
        </w:rPr>
        <w:t> mujeres</w:t>
      </w:r>
      <w:r>
        <w:rPr>
          <w:color w:val="231F1F"/>
          <w:w w:val="105"/>
        </w:rPr>
        <w:t> a</w:t>
      </w:r>
      <w:r>
        <w:rPr>
          <w:color w:val="231F1F"/>
          <w:w w:val="105"/>
        </w:rPr>
        <w:t> un</w:t>
      </w:r>
      <w:r>
        <w:rPr>
          <w:color w:val="231F1F"/>
          <w:w w:val="105"/>
        </w:rPr>
        <w:t> papel</w:t>
      </w:r>
      <w:r>
        <w:rPr>
          <w:color w:val="231F1F"/>
          <w:spacing w:val="80"/>
          <w:w w:val="105"/>
        </w:rPr>
        <w:t> </w:t>
      </w:r>
      <w:r>
        <w:rPr>
          <w:color w:val="231F1F"/>
          <w:w w:val="105"/>
        </w:rPr>
        <w:t>más pasivo. Sin embargo, la implementación de otros métodos de alivio del dolor de reco- nocida eficacia y seguridad y que interfieren menos con la fisiología del parto y el protago- nismo de las mujeres, ha sido escasa.</w:t>
      </w:r>
    </w:p>
    <w:p>
      <w:pPr>
        <w:pStyle w:val="BodyText"/>
        <w:spacing w:line="249" w:lineRule="auto" w:before="128"/>
        <w:ind w:left="283" w:right="113" w:firstLine="453"/>
        <w:jc w:val="both"/>
      </w:pPr>
      <w:r>
        <w:rPr>
          <w:color w:val="231F1F"/>
          <w:w w:val="105"/>
        </w:rPr>
        <w:t>Tal y como la GPC NICE (10) afirma: «El deseo de analgesia y la elección del método se ven influenciados por muchos factores, entre ellos las expectativas de la mujer, la com- plejidad del parto y la intensidad del dolor. Para muchas mujeres el dolor del parto es se- vero, y la mayoría requiere algún tipo de alivio del dolor. El dolor extremo puede dar lugar</w:t>
      </w:r>
      <w:r>
        <w:rPr>
          <w:color w:val="231F1F"/>
          <w:spacing w:val="40"/>
          <w:w w:val="105"/>
        </w:rPr>
        <w:t> </w:t>
      </w:r>
      <w:r>
        <w:rPr>
          <w:color w:val="231F1F"/>
          <w:w w:val="105"/>
        </w:rPr>
        <w:t>a traumas psicológicos para algunas mujeres, mientras que para otras, los efectos secunda- rios indeseables de la analgesia pueden ser perjudiciales para la experiencia del nacimien- to. Las formas eficaces de alivio del dolor no están necesariamente asociadas a una mayor satisfacción con la experiencia del parto y, a la inversa, el fracaso del método elegido puede conducir a la insatisfacción</w:t>
      </w:r>
      <w:r>
        <w:rPr>
          <w:strike/>
          <w:color w:val="231F1F"/>
          <w:w w:val="105"/>
        </w:rPr>
        <w:t>».</w:t>
      </w:r>
    </w:p>
    <w:p>
      <w:pPr>
        <w:pStyle w:val="BodyText"/>
        <w:spacing w:line="244" w:lineRule="auto" w:before="138"/>
        <w:ind w:left="283" w:right="117" w:firstLine="453"/>
        <w:jc w:val="both"/>
      </w:pPr>
      <w:r>
        <w:rPr>
          <w:color w:val="231F1F"/>
          <w:w w:val="110"/>
        </w:rPr>
        <w:t>Por ello, una adecuada preparación prenatal sobre lo que ocurrirá durante el parto puede influir favorablemente en la satisfacción de las mujeres al evitar expectativas no realistas</w:t>
      </w:r>
      <w:r>
        <w:rPr>
          <w:color w:val="231F1F"/>
          <w:spacing w:val="-11"/>
          <w:w w:val="110"/>
        </w:rPr>
        <w:t> </w:t>
      </w:r>
      <w:r>
        <w:rPr>
          <w:color w:val="231F1F"/>
          <w:w w:val="110"/>
        </w:rPr>
        <w:t>sobre</w:t>
      </w:r>
      <w:r>
        <w:rPr>
          <w:color w:val="231F1F"/>
          <w:spacing w:val="-12"/>
          <w:w w:val="110"/>
        </w:rPr>
        <w:t> </w:t>
      </w:r>
      <w:r>
        <w:rPr>
          <w:color w:val="231F1F"/>
          <w:w w:val="110"/>
        </w:rPr>
        <w:t>su</w:t>
      </w:r>
      <w:r>
        <w:rPr>
          <w:color w:val="231F1F"/>
          <w:spacing w:val="-11"/>
          <w:w w:val="110"/>
        </w:rPr>
        <w:t> </w:t>
      </w:r>
      <w:r>
        <w:rPr>
          <w:color w:val="231F1F"/>
          <w:w w:val="110"/>
        </w:rPr>
        <w:t>desarrollo,</w:t>
      </w:r>
      <w:r>
        <w:rPr>
          <w:color w:val="231F1F"/>
          <w:spacing w:val="-13"/>
          <w:w w:val="110"/>
        </w:rPr>
        <w:t> </w:t>
      </w:r>
      <w:r>
        <w:rPr>
          <w:color w:val="231F1F"/>
          <w:w w:val="110"/>
        </w:rPr>
        <w:t>así</w:t>
      </w:r>
      <w:r>
        <w:rPr>
          <w:color w:val="231F1F"/>
          <w:spacing w:val="-12"/>
          <w:w w:val="110"/>
        </w:rPr>
        <w:t> </w:t>
      </w:r>
      <w:r>
        <w:rPr>
          <w:color w:val="231F1F"/>
          <w:w w:val="110"/>
        </w:rPr>
        <w:t>como</w:t>
      </w:r>
      <w:r>
        <w:rPr>
          <w:color w:val="231F1F"/>
          <w:spacing w:val="-11"/>
          <w:w w:val="110"/>
        </w:rPr>
        <w:t> </w:t>
      </w:r>
      <w:r>
        <w:rPr>
          <w:color w:val="231F1F"/>
          <w:w w:val="110"/>
        </w:rPr>
        <w:t>disponer</w:t>
      </w:r>
      <w:r>
        <w:rPr>
          <w:color w:val="231F1F"/>
          <w:spacing w:val="-12"/>
          <w:w w:val="110"/>
        </w:rPr>
        <w:t> </w:t>
      </w:r>
      <w:r>
        <w:rPr>
          <w:color w:val="231F1F"/>
          <w:w w:val="110"/>
        </w:rPr>
        <w:t>de</w:t>
      </w:r>
      <w:r>
        <w:rPr>
          <w:color w:val="231F1F"/>
          <w:spacing w:val="-11"/>
          <w:w w:val="110"/>
        </w:rPr>
        <w:t> </w:t>
      </w:r>
      <w:r>
        <w:rPr>
          <w:color w:val="231F1F"/>
          <w:w w:val="110"/>
        </w:rPr>
        <w:t>información</w:t>
      </w:r>
      <w:r>
        <w:rPr>
          <w:color w:val="231F1F"/>
          <w:spacing w:val="-12"/>
          <w:w w:val="110"/>
        </w:rPr>
        <w:t> </w:t>
      </w:r>
      <w:r>
        <w:rPr>
          <w:color w:val="231F1F"/>
          <w:w w:val="110"/>
        </w:rPr>
        <w:t>veraz</w:t>
      </w:r>
      <w:r>
        <w:rPr>
          <w:color w:val="231F1F"/>
          <w:spacing w:val="-12"/>
          <w:w w:val="110"/>
        </w:rPr>
        <w:t> </w:t>
      </w:r>
      <w:r>
        <w:rPr>
          <w:color w:val="231F1F"/>
          <w:w w:val="110"/>
        </w:rPr>
        <w:t>sobre</w:t>
      </w:r>
      <w:r>
        <w:rPr>
          <w:color w:val="231F1F"/>
          <w:spacing w:val="-12"/>
          <w:w w:val="110"/>
        </w:rPr>
        <w:t> </w:t>
      </w:r>
      <w:r>
        <w:rPr>
          <w:color w:val="231F1F"/>
          <w:w w:val="110"/>
        </w:rPr>
        <w:t>los</w:t>
      </w:r>
      <w:r>
        <w:rPr>
          <w:color w:val="231F1F"/>
          <w:spacing w:val="-12"/>
          <w:w w:val="110"/>
        </w:rPr>
        <w:t> </w:t>
      </w:r>
      <w:r>
        <w:rPr>
          <w:color w:val="231F1F"/>
          <w:w w:val="110"/>
        </w:rPr>
        <w:t>diferentes métodos de alivio del dolor y poder acceder al abanico más amplio posible de ellos.</w:t>
      </w:r>
    </w:p>
    <w:p>
      <w:pPr>
        <w:pStyle w:val="BodyText"/>
        <w:spacing w:after="0" w:line="244" w:lineRule="auto"/>
        <w:jc w:val="both"/>
        <w:sectPr>
          <w:footerReference w:type="default" r:id="rId54"/>
          <w:footerReference w:type="even" r:id="rId55"/>
          <w:pgSz w:w="11900" w:h="16840"/>
          <w:pgMar w:header="0" w:footer="622" w:top="1500" w:bottom="820" w:left="1417" w:right="1559"/>
          <w:pgNumType w:start="183"/>
        </w:sectPr>
      </w:pPr>
    </w:p>
    <w:p>
      <w:pPr>
        <w:pStyle w:val="Heading2"/>
        <w:numPr>
          <w:ilvl w:val="2"/>
          <w:numId w:val="2"/>
        </w:numPr>
        <w:tabs>
          <w:tab w:pos="1004" w:val="left" w:leader="none"/>
        </w:tabs>
        <w:spacing w:line="240" w:lineRule="auto" w:before="62" w:after="0"/>
        <w:ind w:left="1004" w:right="0" w:hanging="721"/>
        <w:jc w:val="left"/>
      </w:pPr>
      <w:bookmarkStart w:name="_TOC_250018" w:id="38"/>
      <w:r>
        <w:rPr>
          <w:color w:val="231F1F"/>
        </w:rPr>
        <w:t>Dolor,</w:t>
      </w:r>
      <w:r>
        <w:rPr>
          <w:color w:val="231F1F"/>
          <w:spacing w:val="51"/>
        </w:rPr>
        <w:t> </w:t>
      </w:r>
      <w:r>
        <w:rPr>
          <w:color w:val="231F1F"/>
        </w:rPr>
        <w:t>analgesia</w:t>
      </w:r>
      <w:r>
        <w:rPr>
          <w:color w:val="231F1F"/>
          <w:spacing w:val="56"/>
        </w:rPr>
        <w:t> </w:t>
      </w:r>
      <w:r>
        <w:rPr>
          <w:color w:val="231F1F"/>
        </w:rPr>
        <w:t>y</w:t>
      </w:r>
      <w:r>
        <w:rPr>
          <w:color w:val="231F1F"/>
          <w:spacing w:val="55"/>
        </w:rPr>
        <w:t> </w:t>
      </w:r>
      <w:r>
        <w:rPr>
          <w:color w:val="231F1F"/>
        </w:rPr>
        <w:t>satisfacción</w:t>
      </w:r>
      <w:r>
        <w:rPr>
          <w:color w:val="231F1F"/>
          <w:spacing w:val="57"/>
        </w:rPr>
        <w:t> </w:t>
      </w:r>
      <w:bookmarkEnd w:id="38"/>
      <w:r>
        <w:rPr>
          <w:color w:val="231F1F"/>
          <w:spacing w:val="-2"/>
        </w:rPr>
        <w:t>materna</w:t>
      </w:r>
    </w:p>
    <w:p>
      <w:pPr>
        <w:pStyle w:val="BodyText"/>
        <w:spacing w:before="26"/>
        <w:rPr>
          <w:sz w:val="20"/>
        </w:rPr>
      </w:pPr>
      <w:r>
        <w:rPr>
          <w:sz w:val="20"/>
        </w:rPr>
        <mc:AlternateContent>
          <mc:Choice Requires="wps">
            <w:drawing>
              <wp:anchor distT="0" distB="0" distL="0" distR="0" allowOverlap="1" layoutInCell="1" locked="0" behindDoc="1" simplePos="0" relativeHeight="487620096">
                <wp:simplePos x="0" y="0"/>
                <wp:positionH relativeFrom="page">
                  <wp:posOffset>1082675</wp:posOffset>
                </wp:positionH>
                <wp:positionV relativeFrom="paragraph">
                  <wp:posOffset>180997</wp:posOffset>
                </wp:positionV>
                <wp:extent cx="5400040" cy="262255"/>
                <wp:effectExtent l="0" t="0" r="0" b="0"/>
                <wp:wrapTopAndBottom/>
                <wp:docPr id="125" name="Textbox 125"/>
                <wp:cNvGraphicFramePr>
                  <a:graphicFrameLocks/>
                </wp:cNvGraphicFramePr>
                <a:graphic>
                  <a:graphicData uri="http://schemas.microsoft.com/office/word/2010/wordprocessingShape">
                    <wps:wsp>
                      <wps:cNvPr id="125" name="Textbox 125"/>
                      <wps:cNvSpPr txBox="1"/>
                      <wps:spPr>
                        <a:xfrm>
                          <a:off x="0" y="0"/>
                          <a:ext cx="5400040" cy="262255"/>
                        </a:xfrm>
                        <a:prstGeom prst="rect">
                          <a:avLst/>
                        </a:prstGeom>
                        <a:ln w="6350">
                          <a:solidFill>
                            <a:srgbClr val="A30046"/>
                          </a:solidFill>
                          <a:prstDash val="solid"/>
                        </a:ln>
                      </wps:spPr>
                      <wps:txbx>
                        <w:txbxContent>
                          <w:p>
                            <w:pPr>
                              <w:pStyle w:val="BodyText"/>
                              <w:numPr>
                                <w:ilvl w:val="0"/>
                                <w:numId w:val="65"/>
                              </w:numPr>
                              <w:tabs>
                                <w:tab w:pos="322" w:val="left" w:leader="none"/>
                              </w:tabs>
                              <w:spacing w:line="240" w:lineRule="auto" w:before="51" w:after="0"/>
                              <w:ind w:left="322" w:right="0" w:hanging="218"/>
                              <w:jc w:val="left"/>
                            </w:pPr>
                            <w:r>
                              <w:rPr>
                                <w:color w:val="231F1F"/>
                                <w:w w:val="105"/>
                              </w:rPr>
                              <w:t>¿Cómo</w:t>
                            </w:r>
                            <w:r>
                              <w:rPr>
                                <w:color w:val="231F1F"/>
                                <w:spacing w:val="1"/>
                                <w:w w:val="105"/>
                              </w:rPr>
                              <w:t> </w:t>
                            </w:r>
                            <w:r>
                              <w:rPr>
                                <w:color w:val="231F1F"/>
                                <w:w w:val="105"/>
                              </w:rPr>
                              <w:t>influyen</w:t>
                            </w:r>
                            <w:r>
                              <w:rPr>
                                <w:color w:val="231F1F"/>
                                <w:spacing w:val="-1"/>
                                <w:w w:val="105"/>
                              </w:rPr>
                              <w:t> </w:t>
                            </w:r>
                            <w:r>
                              <w:rPr>
                                <w:color w:val="231F1F"/>
                                <w:w w:val="105"/>
                              </w:rPr>
                              <w:t>el</w:t>
                            </w:r>
                            <w:r>
                              <w:rPr>
                                <w:color w:val="231F1F"/>
                                <w:spacing w:val="1"/>
                                <w:w w:val="105"/>
                              </w:rPr>
                              <w:t> </w:t>
                            </w:r>
                            <w:r>
                              <w:rPr>
                                <w:color w:val="231F1F"/>
                                <w:w w:val="105"/>
                              </w:rPr>
                              <w:t>dolor</w:t>
                            </w:r>
                            <w:r>
                              <w:rPr>
                                <w:color w:val="231F1F"/>
                                <w:spacing w:val="-1"/>
                                <w:w w:val="105"/>
                              </w:rPr>
                              <w:t> </w:t>
                            </w:r>
                            <w:r>
                              <w:rPr>
                                <w:color w:val="231F1F"/>
                                <w:w w:val="105"/>
                              </w:rPr>
                              <w:t>durante el parto</w:t>
                            </w:r>
                            <w:r>
                              <w:rPr>
                                <w:color w:val="231F1F"/>
                                <w:spacing w:val="-1"/>
                                <w:w w:val="105"/>
                              </w:rPr>
                              <w:t> </w:t>
                            </w:r>
                            <w:r>
                              <w:rPr>
                                <w:color w:val="231F1F"/>
                                <w:w w:val="105"/>
                              </w:rPr>
                              <w:t>y</w:t>
                            </w:r>
                            <w:r>
                              <w:rPr>
                                <w:color w:val="231F1F"/>
                                <w:spacing w:val="3"/>
                                <w:w w:val="105"/>
                              </w:rPr>
                              <w:t> </w:t>
                            </w:r>
                            <w:r>
                              <w:rPr>
                                <w:color w:val="231F1F"/>
                                <w:w w:val="105"/>
                              </w:rPr>
                              <w:t>su</w:t>
                            </w:r>
                            <w:r>
                              <w:rPr>
                                <w:color w:val="231F1F"/>
                                <w:spacing w:val="2"/>
                                <w:w w:val="105"/>
                              </w:rPr>
                              <w:t> </w:t>
                            </w:r>
                            <w:r>
                              <w:rPr>
                                <w:color w:val="231F1F"/>
                                <w:w w:val="105"/>
                              </w:rPr>
                              <w:t>alivio</w:t>
                            </w:r>
                            <w:r>
                              <w:rPr>
                                <w:color w:val="231F1F"/>
                                <w:spacing w:val="1"/>
                                <w:w w:val="105"/>
                              </w:rPr>
                              <w:t> </w:t>
                            </w:r>
                            <w:r>
                              <w:rPr>
                                <w:color w:val="231F1F"/>
                                <w:w w:val="105"/>
                              </w:rPr>
                              <w:t>en</w:t>
                            </w:r>
                            <w:r>
                              <w:rPr>
                                <w:color w:val="231F1F"/>
                                <w:spacing w:val="2"/>
                                <w:w w:val="105"/>
                              </w:rPr>
                              <w:t> </w:t>
                            </w:r>
                            <w:r>
                              <w:rPr>
                                <w:color w:val="231F1F"/>
                                <w:w w:val="105"/>
                              </w:rPr>
                              <w:t>la</w:t>
                            </w:r>
                            <w:r>
                              <w:rPr>
                                <w:color w:val="231F1F"/>
                                <w:spacing w:val="2"/>
                                <w:w w:val="105"/>
                              </w:rPr>
                              <w:t> </w:t>
                            </w:r>
                            <w:r>
                              <w:rPr>
                                <w:color w:val="231F1F"/>
                                <w:w w:val="105"/>
                              </w:rPr>
                              <w:t>satisfacción</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2"/>
                                <w:w w:val="105"/>
                              </w:rPr>
                              <w:t> </w:t>
                            </w:r>
                            <w:r>
                              <w:rPr>
                                <w:color w:val="231F1F"/>
                                <w:spacing w:val="-2"/>
                                <w:w w:val="105"/>
                              </w:rPr>
                              <w:t>mujer?</w:t>
                            </w:r>
                          </w:p>
                        </w:txbxContent>
                      </wps:txbx>
                      <wps:bodyPr wrap="square" lIns="0" tIns="0" rIns="0" bIns="0" rtlCol="0">
                        <a:noAutofit/>
                      </wps:bodyPr>
                    </wps:wsp>
                  </a:graphicData>
                </a:graphic>
              </wp:anchor>
            </w:drawing>
          </mc:Choice>
          <mc:Fallback>
            <w:pict>
              <v:shape style="position:absolute;margin-left:85.25pt;margin-top:14.251758pt;width:425.2pt;height:20.65pt;mso-position-horizontal-relative:page;mso-position-vertical-relative:paragraph;z-index:-15696384;mso-wrap-distance-left:0;mso-wrap-distance-right:0" type="#_x0000_t202" id="docshape114" filled="false" stroked="true" strokeweight=".5pt" strokecolor="#a30046">
                <v:textbox inset="0,0,0,0">
                  <w:txbxContent>
                    <w:p>
                      <w:pPr>
                        <w:pStyle w:val="BodyText"/>
                        <w:numPr>
                          <w:ilvl w:val="0"/>
                          <w:numId w:val="65"/>
                        </w:numPr>
                        <w:tabs>
                          <w:tab w:pos="322" w:val="left" w:leader="none"/>
                        </w:tabs>
                        <w:spacing w:line="240" w:lineRule="auto" w:before="51" w:after="0"/>
                        <w:ind w:left="322" w:right="0" w:hanging="218"/>
                        <w:jc w:val="left"/>
                      </w:pPr>
                      <w:r>
                        <w:rPr>
                          <w:color w:val="231F1F"/>
                          <w:w w:val="105"/>
                        </w:rPr>
                        <w:t>¿Cómo</w:t>
                      </w:r>
                      <w:r>
                        <w:rPr>
                          <w:color w:val="231F1F"/>
                          <w:spacing w:val="1"/>
                          <w:w w:val="105"/>
                        </w:rPr>
                        <w:t> </w:t>
                      </w:r>
                      <w:r>
                        <w:rPr>
                          <w:color w:val="231F1F"/>
                          <w:w w:val="105"/>
                        </w:rPr>
                        <w:t>influyen</w:t>
                      </w:r>
                      <w:r>
                        <w:rPr>
                          <w:color w:val="231F1F"/>
                          <w:spacing w:val="-1"/>
                          <w:w w:val="105"/>
                        </w:rPr>
                        <w:t> </w:t>
                      </w:r>
                      <w:r>
                        <w:rPr>
                          <w:color w:val="231F1F"/>
                          <w:w w:val="105"/>
                        </w:rPr>
                        <w:t>el</w:t>
                      </w:r>
                      <w:r>
                        <w:rPr>
                          <w:color w:val="231F1F"/>
                          <w:spacing w:val="1"/>
                          <w:w w:val="105"/>
                        </w:rPr>
                        <w:t> </w:t>
                      </w:r>
                      <w:r>
                        <w:rPr>
                          <w:color w:val="231F1F"/>
                          <w:w w:val="105"/>
                        </w:rPr>
                        <w:t>dolor</w:t>
                      </w:r>
                      <w:r>
                        <w:rPr>
                          <w:color w:val="231F1F"/>
                          <w:spacing w:val="-1"/>
                          <w:w w:val="105"/>
                        </w:rPr>
                        <w:t> </w:t>
                      </w:r>
                      <w:r>
                        <w:rPr>
                          <w:color w:val="231F1F"/>
                          <w:w w:val="105"/>
                        </w:rPr>
                        <w:t>durante el parto</w:t>
                      </w:r>
                      <w:r>
                        <w:rPr>
                          <w:color w:val="231F1F"/>
                          <w:spacing w:val="-1"/>
                          <w:w w:val="105"/>
                        </w:rPr>
                        <w:t> </w:t>
                      </w:r>
                      <w:r>
                        <w:rPr>
                          <w:color w:val="231F1F"/>
                          <w:w w:val="105"/>
                        </w:rPr>
                        <w:t>y</w:t>
                      </w:r>
                      <w:r>
                        <w:rPr>
                          <w:color w:val="231F1F"/>
                          <w:spacing w:val="3"/>
                          <w:w w:val="105"/>
                        </w:rPr>
                        <w:t> </w:t>
                      </w:r>
                      <w:r>
                        <w:rPr>
                          <w:color w:val="231F1F"/>
                          <w:w w:val="105"/>
                        </w:rPr>
                        <w:t>su</w:t>
                      </w:r>
                      <w:r>
                        <w:rPr>
                          <w:color w:val="231F1F"/>
                          <w:spacing w:val="2"/>
                          <w:w w:val="105"/>
                        </w:rPr>
                        <w:t> </w:t>
                      </w:r>
                      <w:r>
                        <w:rPr>
                          <w:color w:val="231F1F"/>
                          <w:w w:val="105"/>
                        </w:rPr>
                        <w:t>alivio</w:t>
                      </w:r>
                      <w:r>
                        <w:rPr>
                          <w:color w:val="231F1F"/>
                          <w:spacing w:val="1"/>
                          <w:w w:val="105"/>
                        </w:rPr>
                        <w:t> </w:t>
                      </w:r>
                      <w:r>
                        <w:rPr>
                          <w:color w:val="231F1F"/>
                          <w:w w:val="105"/>
                        </w:rPr>
                        <w:t>en</w:t>
                      </w:r>
                      <w:r>
                        <w:rPr>
                          <w:color w:val="231F1F"/>
                          <w:spacing w:val="2"/>
                          <w:w w:val="105"/>
                        </w:rPr>
                        <w:t> </w:t>
                      </w:r>
                      <w:r>
                        <w:rPr>
                          <w:color w:val="231F1F"/>
                          <w:w w:val="105"/>
                        </w:rPr>
                        <w:t>la</w:t>
                      </w:r>
                      <w:r>
                        <w:rPr>
                          <w:color w:val="231F1F"/>
                          <w:spacing w:val="2"/>
                          <w:w w:val="105"/>
                        </w:rPr>
                        <w:t> </w:t>
                      </w:r>
                      <w:r>
                        <w:rPr>
                          <w:color w:val="231F1F"/>
                          <w:w w:val="105"/>
                        </w:rPr>
                        <w:t>satisfacción</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2"/>
                          <w:w w:val="105"/>
                        </w:rPr>
                        <w:t> </w:t>
                      </w:r>
                      <w:r>
                        <w:rPr>
                          <w:color w:val="231F1F"/>
                          <w:spacing w:val="-2"/>
                          <w:w w:val="105"/>
                        </w:rPr>
                        <w:t>mujer?</w:t>
                      </w:r>
                    </w:p>
                  </w:txbxContent>
                </v:textbox>
                <v:stroke dashstyle="solid"/>
                <w10:wrap type="topAndBottom"/>
              </v:shape>
            </w:pict>
          </mc:Fallback>
        </mc:AlternateContent>
      </w:r>
    </w:p>
    <w:p>
      <w:pPr>
        <w:pStyle w:val="BodyText"/>
        <w:spacing w:line="244" w:lineRule="auto" w:before="272"/>
        <w:ind w:left="283" w:right="122"/>
        <w:jc w:val="both"/>
      </w:pPr>
      <w:r>
        <w:rPr>
          <w:color w:val="231F1F"/>
          <w:w w:val="110"/>
        </w:rPr>
        <w:t>El dolor del parto supone una preocupación para muchas mujeres y la mayoría requiere algún</w:t>
      </w:r>
      <w:r>
        <w:rPr>
          <w:color w:val="231F1F"/>
          <w:spacing w:val="-16"/>
          <w:w w:val="110"/>
        </w:rPr>
        <w:t> </w:t>
      </w:r>
      <w:r>
        <w:rPr>
          <w:color w:val="231F1F"/>
          <w:w w:val="110"/>
        </w:rPr>
        <w:t>tipo</w:t>
      </w:r>
      <w:r>
        <w:rPr>
          <w:color w:val="231F1F"/>
          <w:spacing w:val="-15"/>
          <w:w w:val="110"/>
        </w:rPr>
        <w:t> </w:t>
      </w:r>
      <w:r>
        <w:rPr>
          <w:color w:val="231F1F"/>
          <w:w w:val="110"/>
        </w:rPr>
        <w:t>de</w:t>
      </w:r>
      <w:r>
        <w:rPr>
          <w:color w:val="231F1F"/>
          <w:spacing w:val="-15"/>
          <w:w w:val="110"/>
        </w:rPr>
        <w:t> </w:t>
      </w:r>
      <w:r>
        <w:rPr>
          <w:color w:val="231F1F"/>
          <w:w w:val="110"/>
        </w:rPr>
        <w:t>alivio</w:t>
      </w:r>
      <w:r>
        <w:rPr>
          <w:color w:val="231F1F"/>
          <w:spacing w:val="-15"/>
          <w:w w:val="110"/>
        </w:rPr>
        <w:t> </w:t>
      </w:r>
      <w:r>
        <w:rPr>
          <w:color w:val="231F1F"/>
          <w:w w:val="110"/>
        </w:rPr>
        <w:t>del</w:t>
      </w:r>
      <w:r>
        <w:rPr>
          <w:color w:val="231F1F"/>
          <w:spacing w:val="-15"/>
          <w:w w:val="110"/>
        </w:rPr>
        <w:t> </w:t>
      </w:r>
      <w:r>
        <w:rPr>
          <w:color w:val="231F1F"/>
          <w:w w:val="110"/>
        </w:rPr>
        <w:t>dolor.</w:t>
      </w:r>
      <w:r>
        <w:rPr>
          <w:color w:val="231F1F"/>
          <w:spacing w:val="-15"/>
          <w:w w:val="110"/>
        </w:rPr>
        <w:t> </w:t>
      </w:r>
      <w:r>
        <w:rPr>
          <w:color w:val="231F1F"/>
          <w:w w:val="110"/>
        </w:rPr>
        <w:t>Por</w:t>
      </w:r>
      <w:r>
        <w:rPr>
          <w:color w:val="231F1F"/>
          <w:spacing w:val="-15"/>
          <w:w w:val="110"/>
        </w:rPr>
        <w:t> </w:t>
      </w:r>
      <w:r>
        <w:rPr>
          <w:color w:val="231F1F"/>
          <w:w w:val="110"/>
        </w:rPr>
        <w:t>eso</w:t>
      </w:r>
      <w:r>
        <w:rPr>
          <w:color w:val="231F1F"/>
          <w:spacing w:val="-15"/>
          <w:w w:val="110"/>
        </w:rPr>
        <w:t> </w:t>
      </w:r>
      <w:r>
        <w:rPr>
          <w:color w:val="231F1F"/>
          <w:w w:val="110"/>
        </w:rPr>
        <w:t>es</w:t>
      </w:r>
      <w:r>
        <w:rPr>
          <w:color w:val="231F1F"/>
          <w:spacing w:val="-16"/>
          <w:w w:val="110"/>
        </w:rPr>
        <w:t> </w:t>
      </w:r>
      <w:r>
        <w:rPr>
          <w:color w:val="231F1F"/>
          <w:w w:val="110"/>
        </w:rPr>
        <w:t>importante</w:t>
      </w:r>
      <w:r>
        <w:rPr>
          <w:color w:val="231F1F"/>
          <w:spacing w:val="-15"/>
          <w:w w:val="110"/>
        </w:rPr>
        <w:t> </w:t>
      </w:r>
      <w:r>
        <w:rPr>
          <w:color w:val="231F1F"/>
          <w:w w:val="110"/>
        </w:rPr>
        <w:t>conocer</w:t>
      </w:r>
      <w:r>
        <w:rPr>
          <w:color w:val="231F1F"/>
          <w:spacing w:val="-15"/>
          <w:w w:val="110"/>
        </w:rPr>
        <w:t> </w:t>
      </w:r>
      <w:r>
        <w:rPr>
          <w:color w:val="231F1F"/>
          <w:w w:val="110"/>
        </w:rPr>
        <w:t>la</w:t>
      </w:r>
      <w:r>
        <w:rPr>
          <w:color w:val="231F1F"/>
          <w:spacing w:val="-15"/>
          <w:w w:val="110"/>
        </w:rPr>
        <w:t> </w:t>
      </w:r>
      <w:r>
        <w:rPr>
          <w:color w:val="231F1F"/>
          <w:w w:val="110"/>
        </w:rPr>
        <w:t>relación</w:t>
      </w:r>
      <w:r>
        <w:rPr>
          <w:color w:val="231F1F"/>
          <w:spacing w:val="-15"/>
          <w:w w:val="110"/>
        </w:rPr>
        <w:t> </w:t>
      </w:r>
      <w:r>
        <w:rPr>
          <w:color w:val="231F1F"/>
          <w:w w:val="110"/>
        </w:rPr>
        <w:t>que</w:t>
      </w:r>
      <w:r>
        <w:rPr>
          <w:color w:val="231F1F"/>
          <w:spacing w:val="-15"/>
          <w:w w:val="110"/>
        </w:rPr>
        <w:t> </w:t>
      </w:r>
      <w:r>
        <w:rPr>
          <w:color w:val="231F1F"/>
          <w:w w:val="110"/>
        </w:rPr>
        <w:t>pudiera</w:t>
      </w:r>
      <w:r>
        <w:rPr>
          <w:color w:val="231F1F"/>
          <w:spacing w:val="-15"/>
          <w:w w:val="110"/>
        </w:rPr>
        <w:t> </w:t>
      </w:r>
      <w:r>
        <w:rPr>
          <w:color w:val="231F1F"/>
          <w:w w:val="110"/>
        </w:rPr>
        <w:t>haber entre</w:t>
      </w:r>
      <w:r>
        <w:rPr>
          <w:color w:val="231F1F"/>
          <w:spacing w:val="-14"/>
          <w:w w:val="110"/>
        </w:rPr>
        <w:t> </w:t>
      </w:r>
      <w:r>
        <w:rPr>
          <w:color w:val="231F1F"/>
          <w:w w:val="110"/>
        </w:rPr>
        <w:t>el</w:t>
      </w:r>
      <w:r>
        <w:rPr>
          <w:color w:val="231F1F"/>
          <w:spacing w:val="-14"/>
          <w:w w:val="110"/>
        </w:rPr>
        <w:t> </w:t>
      </w:r>
      <w:r>
        <w:rPr>
          <w:color w:val="231F1F"/>
          <w:w w:val="110"/>
        </w:rPr>
        <w:t>dolor</w:t>
      </w:r>
      <w:r>
        <w:rPr>
          <w:color w:val="231F1F"/>
          <w:spacing w:val="-14"/>
          <w:w w:val="110"/>
        </w:rPr>
        <w:t> </w:t>
      </w:r>
      <w:r>
        <w:rPr>
          <w:color w:val="231F1F"/>
          <w:w w:val="110"/>
        </w:rPr>
        <w:t>y</w:t>
      </w:r>
      <w:r>
        <w:rPr>
          <w:color w:val="231F1F"/>
          <w:spacing w:val="-14"/>
          <w:w w:val="110"/>
        </w:rPr>
        <w:t> </w:t>
      </w:r>
      <w:r>
        <w:rPr>
          <w:color w:val="231F1F"/>
          <w:w w:val="110"/>
        </w:rPr>
        <w:t>las</w:t>
      </w:r>
      <w:r>
        <w:rPr>
          <w:color w:val="231F1F"/>
          <w:spacing w:val="-14"/>
          <w:w w:val="110"/>
        </w:rPr>
        <w:t> </w:t>
      </w:r>
      <w:r>
        <w:rPr>
          <w:color w:val="231F1F"/>
          <w:w w:val="110"/>
        </w:rPr>
        <w:t>formas</w:t>
      </w:r>
      <w:r>
        <w:rPr>
          <w:color w:val="231F1F"/>
          <w:spacing w:val="-14"/>
          <w:w w:val="110"/>
        </w:rPr>
        <w:t> </w:t>
      </w:r>
      <w:r>
        <w:rPr>
          <w:color w:val="231F1F"/>
          <w:w w:val="110"/>
        </w:rPr>
        <w:t>eficaces</w:t>
      </w:r>
      <w:r>
        <w:rPr>
          <w:color w:val="231F1F"/>
          <w:spacing w:val="-14"/>
          <w:w w:val="110"/>
        </w:rPr>
        <w:t> </w:t>
      </w:r>
      <w:r>
        <w:rPr>
          <w:color w:val="231F1F"/>
          <w:w w:val="110"/>
        </w:rPr>
        <w:t>de</w:t>
      </w:r>
      <w:r>
        <w:rPr>
          <w:color w:val="231F1F"/>
          <w:spacing w:val="-14"/>
          <w:w w:val="110"/>
        </w:rPr>
        <w:t> </w:t>
      </w:r>
      <w:r>
        <w:rPr>
          <w:color w:val="231F1F"/>
          <w:w w:val="110"/>
        </w:rPr>
        <w:t>alivio</w:t>
      </w:r>
      <w:r>
        <w:rPr>
          <w:color w:val="231F1F"/>
          <w:spacing w:val="-14"/>
          <w:w w:val="110"/>
        </w:rPr>
        <w:t> </w:t>
      </w:r>
      <w:r>
        <w:rPr>
          <w:color w:val="231F1F"/>
          <w:w w:val="110"/>
        </w:rPr>
        <w:t>del</w:t>
      </w:r>
      <w:r>
        <w:rPr>
          <w:color w:val="231F1F"/>
          <w:spacing w:val="-14"/>
          <w:w w:val="110"/>
        </w:rPr>
        <w:t> </w:t>
      </w:r>
      <w:r>
        <w:rPr>
          <w:color w:val="231F1F"/>
          <w:w w:val="110"/>
        </w:rPr>
        <w:t>mismo</w:t>
      </w:r>
      <w:r>
        <w:rPr>
          <w:color w:val="231F1F"/>
          <w:spacing w:val="-14"/>
          <w:w w:val="110"/>
        </w:rPr>
        <w:t> </w:t>
      </w:r>
      <w:r>
        <w:rPr>
          <w:color w:val="231F1F"/>
          <w:w w:val="110"/>
        </w:rPr>
        <w:t>y</w:t>
      </w:r>
      <w:r>
        <w:rPr>
          <w:color w:val="231F1F"/>
          <w:spacing w:val="-14"/>
          <w:w w:val="110"/>
        </w:rPr>
        <w:t> </w:t>
      </w:r>
      <w:r>
        <w:rPr>
          <w:color w:val="231F1F"/>
          <w:w w:val="110"/>
        </w:rPr>
        <w:t>estudiar</w:t>
      </w:r>
      <w:r>
        <w:rPr>
          <w:color w:val="231F1F"/>
          <w:spacing w:val="-14"/>
          <w:w w:val="110"/>
        </w:rPr>
        <w:t> </w:t>
      </w:r>
      <w:r>
        <w:rPr>
          <w:color w:val="231F1F"/>
          <w:w w:val="110"/>
        </w:rPr>
        <w:t>si</w:t>
      </w:r>
      <w:r>
        <w:rPr>
          <w:color w:val="231F1F"/>
          <w:spacing w:val="-14"/>
          <w:w w:val="110"/>
        </w:rPr>
        <w:t> </w:t>
      </w:r>
      <w:r>
        <w:rPr>
          <w:color w:val="231F1F"/>
          <w:w w:val="110"/>
        </w:rPr>
        <w:t>el</w:t>
      </w:r>
      <w:r>
        <w:rPr>
          <w:color w:val="231F1F"/>
          <w:spacing w:val="-14"/>
          <w:w w:val="110"/>
        </w:rPr>
        <w:t> </w:t>
      </w:r>
      <w:r>
        <w:rPr>
          <w:color w:val="231F1F"/>
          <w:w w:val="110"/>
        </w:rPr>
        <w:t>fracaso</w:t>
      </w:r>
      <w:r>
        <w:rPr>
          <w:color w:val="231F1F"/>
          <w:spacing w:val="-14"/>
          <w:w w:val="110"/>
        </w:rPr>
        <w:t> </w:t>
      </w:r>
      <w:r>
        <w:rPr>
          <w:color w:val="231F1F"/>
          <w:w w:val="110"/>
        </w:rPr>
        <w:t>del</w:t>
      </w:r>
      <w:r>
        <w:rPr>
          <w:color w:val="231F1F"/>
          <w:spacing w:val="-14"/>
          <w:w w:val="110"/>
        </w:rPr>
        <w:t> </w:t>
      </w:r>
      <w:r>
        <w:rPr>
          <w:color w:val="231F1F"/>
          <w:w w:val="110"/>
        </w:rPr>
        <w:t>método elegido</w:t>
      </w:r>
      <w:r>
        <w:rPr>
          <w:color w:val="231F1F"/>
          <w:spacing w:val="-14"/>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alivio</w:t>
      </w:r>
      <w:r>
        <w:rPr>
          <w:color w:val="231F1F"/>
          <w:spacing w:val="-15"/>
          <w:w w:val="110"/>
        </w:rPr>
        <w:t> </w:t>
      </w:r>
      <w:r>
        <w:rPr>
          <w:color w:val="231F1F"/>
          <w:w w:val="110"/>
        </w:rPr>
        <w:t>de</w:t>
      </w:r>
      <w:r>
        <w:rPr>
          <w:color w:val="231F1F"/>
          <w:spacing w:val="-14"/>
          <w:w w:val="110"/>
        </w:rPr>
        <w:t> </w:t>
      </w:r>
      <w:r>
        <w:rPr>
          <w:color w:val="231F1F"/>
          <w:w w:val="110"/>
        </w:rPr>
        <w:t>dolor</w:t>
      </w:r>
      <w:r>
        <w:rPr>
          <w:color w:val="231F1F"/>
          <w:spacing w:val="-15"/>
          <w:w w:val="110"/>
        </w:rPr>
        <w:t> </w:t>
      </w:r>
      <w:r>
        <w:rPr>
          <w:color w:val="231F1F"/>
          <w:w w:val="110"/>
        </w:rPr>
        <w:t>puede</w:t>
      </w:r>
      <w:r>
        <w:rPr>
          <w:color w:val="231F1F"/>
          <w:spacing w:val="-15"/>
          <w:w w:val="110"/>
        </w:rPr>
        <w:t> </w:t>
      </w:r>
      <w:r>
        <w:rPr>
          <w:color w:val="231F1F"/>
          <w:w w:val="110"/>
        </w:rPr>
        <w:t>conducir</w:t>
      </w:r>
      <w:r>
        <w:rPr>
          <w:color w:val="231F1F"/>
          <w:spacing w:val="-15"/>
          <w:w w:val="110"/>
        </w:rPr>
        <w:t> </w:t>
      </w:r>
      <w:r>
        <w:rPr>
          <w:color w:val="231F1F"/>
          <w:w w:val="110"/>
        </w:rPr>
        <w:t>a</w:t>
      </w:r>
      <w:r>
        <w:rPr>
          <w:color w:val="231F1F"/>
          <w:spacing w:val="-14"/>
          <w:w w:val="110"/>
        </w:rPr>
        <w:t> </w:t>
      </w:r>
      <w:r>
        <w:rPr>
          <w:color w:val="231F1F"/>
          <w:w w:val="110"/>
        </w:rPr>
        <w:t>insatisfacción</w:t>
      </w:r>
      <w:r>
        <w:rPr>
          <w:color w:val="231F1F"/>
          <w:spacing w:val="-14"/>
          <w:w w:val="110"/>
        </w:rPr>
        <w:t> </w:t>
      </w:r>
      <w:r>
        <w:rPr>
          <w:color w:val="231F1F"/>
          <w:w w:val="110"/>
        </w:rPr>
        <w:t>materna</w:t>
      </w:r>
      <w:r>
        <w:rPr>
          <w:color w:val="231F1F"/>
          <w:spacing w:val="-14"/>
          <w:w w:val="110"/>
        </w:rPr>
        <w:t> </w:t>
      </w:r>
      <w:r>
        <w:rPr>
          <w:color w:val="231F1F"/>
          <w:w w:val="110"/>
        </w:rPr>
        <w:t>con</w:t>
      </w:r>
      <w:r>
        <w:rPr>
          <w:color w:val="231F1F"/>
          <w:spacing w:val="-14"/>
          <w:w w:val="110"/>
        </w:rPr>
        <w:t> </w:t>
      </w:r>
      <w:r>
        <w:rPr>
          <w:color w:val="231F1F"/>
          <w:w w:val="110"/>
        </w:rPr>
        <w:t>la</w:t>
      </w:r>
      <w:r>
        <w:rPr>
          <w:color w:val="231F1F"/>
          <w:spacing w:val="-14"/>
          <w:w w:val="110"/>
        </w:rPr>
        <w:t> </w:t>
      </w:r>
      <w:r>
        <w:rPr>
          <w:color w:val="231F1F"/>
          <w:w w:val="110"/>
        </w:rPr>
        <w:t>experiencia del parto.</w:t>
      </w:r>
    </w:p>
    <w:p>
      <w:pPr>
        <w:pStyle w:val="BodyText"/>
        <w:spacing w:before="160"/>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59"/>
        <w:jc w:val="both"/>
      </w:pPr>
      <w:r>
        <w:rPr>
          <w:color w:val="231F1F"/>
          <w:w w:val="105"/>
        </w:rPr>
        <w:t>La guía NICE (10) analiza las perspectivas y experiencias de la mujer con el dolor y con el alivio del dolor durante el parto basándose en 4 estudios: una</w:t>
      </w:r>
      <w:r>
        <w:rPr>
          <w:color w:val="231F1F"/>
          <w:spacing w:val="40"/>
          <w:w w:val="105"/>
        </w:rPr>
        <w:t> </w:t>
      </w:r>
      <w:r>
        <w:rPr>
          <w:color w:val="231F1F"/>
          <w:w w:val="105"/>
        </w:rPr>
        <w:t>RS</w:t>
      </w:r>
      <w:r>
        <w:rPr>
          <w:color w:val="231F1F"/>
          <w:spacing w:val="-12"/>
          <w:w w:val="105"/>
        </w:rPr>
        <w:t> </w:t>
      </w:r>
      <w:r>
        <w:rPr>
          <w:color w:val="231F1F"/>
          <w:w w:val="105"/>
        </w:rPr>
        <w:t>(11)</w:t>
      </w:r>
      <w:r>
        <w:rPr>
          <w:color w:val="231F1F"/>
          <w:spacing w:val="-12"/>
          <w:w w:val="105"/>
        </w:rPr>
        <w:t> </w:t>
      </w:r>
      <w:r>
        <w:rPr>
          <w:color w:val="231F1F"/>
          <w:w w:val="105"/>
        </w:rPr>
        <w:t>que</w:t>
      </w:r>
      <w:r>
        <w:rPr>
          <w:color w:val="231F1F"/>
          <w:spacing w:val="-12"/>
          <w:w w:val="105"/>
        </w:rPr>
        <w:t> </w:t>
      </w:r>
      <w:r>
        <w:rPr>
          <w:color w:val="231F1F"/>
          <w:w w:val="105"/>
        </w:rPr>
        <w:t>incluye</w:t>
      </w:r>
      <w:r>
        <w:rPr>
          <w:color w:val="231F1F"/>
          <w:spacing w:val="-13"/>
          <w:w w:val="105"/>
        </w:rPr>
        <w:t> </w:t>
      </w:r>
      <w:r>
        <w:rPr>
          <w:color w:val="231F1F"/>
          <w:w w:val="105"/>
        </w:rPr>
        <w:t>137</w:t>
      </w:r>
      <w:r>
        <w:rPr>
          <w:color w:val="231F1F"/>
          <w:spacing w:val="-12"/>
          <w:w w:val="105"/>
        </w:rPr>
        <w:t> </w:t>
      </w:r>
      <w:r>
        <w:rPr>
          <w:color w:val="231F1F"/>
          <w:w w:val="105"/>
        </w:rPr>
        <w:t>artículos,</w:t>
      </w:r>
      <w:r>
        <w:rPr>
          <w:color w:val="231F1F"/>
          <w:spacing w:val="-11"/>
          <w:w w:val="105"/>
        </w:rPr>
        <w:t> </w:t>
      </w:r>
      <w:r>
        <w:rPr>
          <w:color w:val="231F1F"/>
          <w:w w:val="105"/>
        </w:rPr>
        <w:t>un</w:t>
      </w:r>
      <w:r>
        <w:rPr>
          <w:color w:val="231F1F"/>
          <w:spacing w:val="-12"/>
          <w:w w:val="105"/>
        </w:rPr>
        <w:t> </w:t>
      </w:r>
      <w:r>
        <w:rPr>
          <w:color w:val="231F1F"/>
          <w:w w:val="105"/>
        </w:rPr>
        <w:t>ECA</w:t>
      </w:r>
      <w:r>
        <w:rPr>
          <w:color w:val="231F1F"/>
          <w:spacing w:val="-11"/>
          <w:w w:val="105"/>
        </w:rPr>
        <w:t> </w:t>
      </w:r>
      <w:r>
        <w:rPr>
          <w:color w:val="231F1F"/>
          <w:w w:val="105"/>
        </w:rPr>
        <w:t>(274)</w:t>
      </w:r>
      <w:r>
        <w:rPr>
          <w:color w:val="231F1F"/>
          <w:spacing w:val="-12"/>
          <w:w w:val="105"/>
        </w:rPr>
        <w:t> </w:t>
      </w:r>
      <w:r>
        <w:rPr>
          <w:color w:val="231F1F"/>
          <w:w w:val="105"/>
        </w:rPr>
        <w:t>y</w:t>
      </w:r>
      <w:r>
        <w:rPr>
          <w:color w:val="231F1F"/>
          <w:spacing w:val="-12"/>
          <w:w w:val="105"/>
        </w:rPr>
        <w:t> </w:t>
      </w:r>
      <w:r>
        <w:rPr>
          <w:color w:val="231F1F"/>
          <w:w w:val="105"/>
        </w:rPr>
        <w:t>otros</w:t>
      </w:r>
      <w:r>
        <w:rPr>
          <w:color w:val="231F1F"/>
          <w:spacing w:val="-12"/>
          <w:w w:val="105"/>
        </w:rPr>
        <w:t> </w:t>
      </w:r>
      <w:r>
        <w:rPr>
          <w:color w:val="231F1F"/>
          <w:w w:val="105"/>
        </w:rPr>
        <w:t>dos</w:t>
      </w:r>
      <w:r>
        <w:rPr>
          <w:color w:val="231F1F"/>
          <w:spacing w:val="-12"/>
          <w:w w:val="105"/>
        </w:rPr>
        <w:t> </w:t>
      </w:r>
      <w:r>
        <w:rPr>
          <w:color w:val="231F1F"/>
          <w:w w:val="105"/>
        </w:rPr>
        <w:t>estudios</w:t>
      </w:r>
      <w:r>
        <w:rPr>
          <w:color w:val="231F1F"/>
          <w:spacing w:val="-11"/>
          <w:w w:val="105"/>
        </w:rPr>
        <w:t> </w:t>
      </w:r>
      <w:r>
        <w:rPr>
          <w:color w:val="231F1F"/>
          <w:w w:val="105"/>
        </w:rPr>
        <w:t>(275;276) que se realizaron mediante entrevistas y/o encuestas a las mujeres.</w:t>
      </w:r>
    </w:p>
    <w:p>
      <w:pPr>
        <w:pStyle w:val="BodyText"/>
        <w:spacing w:before="91"/>
        <w:ind w:left="736"/>
        <w:jc w:val="both"/>
        <w:rPr>
          <w:rFonts w:ascii="Arial MT" w:hAnsi="Arial MT"/>
          <w:sz w:val="18"/>
        </w:rPr>
      </w:pPr>
      <w:r>
        <w:rPr>
          <w:color w:val="231F1F"/>
          <w:w w:val="110"/>
        </w:rPr>
        <w:t>La</w:t>
      </w:r>
      <w:r>
        <w:rPr>
          <w:color w:val="231F1F"/>
          <w:spacing w:val="3"/>
          <w:w w:val="110"/>
        </w:rPr>
        <w:t> </w:t>
      </w:r>
      <w:r>
        <w:rPr>
          <w:color w:val="231F1F"/>
          <w:w w:val="110"/>
        </w:rPr>
        <w:t>RS</w:t>
      </w:r>
      <w:r>
        <w:rPr>
          <w:color w:val="231F1F"/>
          <w:spacing w:val="3"/>
          <w:w w:val="110"/>
        </w:rPr>
        <w:t> </w:t>
      </w:r>
      <w:r>
        <w:rPr>
          <w:color w:val="231F1F"/>
          <w:w w:val="110"/>
        </w:rPr>
        <w:t>(11)</w:t>
      </w:r>
      <w:r>
        <w:rPr>
          <w:color w:val="231F1F"/>
          <w:spacing w:val="3"/>
          <w:w w:val="110"/>
        </w:rPr>
        <w:t> </w:t>
      </w:r>
      <w:r>
        <w:rPr>
          <w:color w:val="231F1F"/>
          <w:w w:val="110"/>
        </w:rPr>
        <w:t>incluyó</w:t>
      </w:r>
      <w:r>
        <w:rPr>
          <w:color w:val="231F1F"/>
          <w:spacing w:val="3"/>
          <w:w w:val="110"/>
        </w:rPr>
        <w:t> </w:t>
      </w:r>
      <w:r>
        <w:rPr>
          <w:color w:val="231F1F"/>
          <w:w w:val="110"/>
        </w:rPr>
        <w:t>137</w:t>
      </w:r>
      <w:r>
        <w:rPr>
          <w:color w:val="231F1F"/>
          <w:spacing w:val="3"/>
          <w:w w:val="110"/>
        </w:rPr>
        <w:t> </w:t>
      </w:r>
      <w:r>
        <w:rPr>
          <w:color w:val="231F1F"/>
          <w:w w:val="110"/>
        </w:rPr>
        <w:t>informes</w:t>
      </w:r>
      <w:r>
        <w:rPr>
          <w:color w:val="231F1F"/>
          <w:spacing w:val="1"/>
          <w:w w:val="110"/>
        </w:rPr>
        <w:t> </w:t>
      </w:r>
      <w:r>
        <w:rPr>
          <w:color w:val="231F1F"/>
          <w:w w:val="110"/>
        </w:rPr>
        <w:t>de</w:t>
      </w:r>
      <w:r>
        <w:rPr>
          <w:color w:val="231F1F"/>
          <w:spacing w:val="3"/>
          <w:w w:val="110"/>
        </w:rPr>
        <w:t> </w:t>
      </w:r>
      <w:r>
        <w:rPr>
          <w:color w:val="231F1F"/>
          <w:w w:val="110"/>
        </w:rPr>
        <w:t>diferentes</w:t>
      </w:r>
      <w:r>
        <w:rPr>
          <w:color w:val="231F1F"/>
          <w:spacing w:val="2"/>
          <w:w w:val="110"/>
        </w:rPr>
        <w:t> </w:t>
      </w:r>
      <w:r>
        <w:rPr>
          <w:color w:val="231F1F"/>
          <w:w w:val="110"/>
        </w:rPr>
        <w:t>tipos</w:t>
      </w:r>
      <w:r>
        <w:rPr>
          <w:color w:val="231F1F"/>
          <w:spacing w:val="3"/>
          <w:w w:val="110"/>
        </w:rPr>
        <w:t> </w:t>
      </w:r>
      <w:r>
        <w:rPr>
          <w:color w:val="231F1F"/>
          <w:w w:val="110"/>
        </w:rPr>
        <w:t>de</w:t>
      </w:r>
      <w:r>
        <w:rPr>
          <w:color w:val="231F1F"/>
          <w:spacing w:val="3"/>
          <w:w w:val="110"/>
        </w:rPr>
        <w:t> </w:t>
      </w:r>
      <w:r>
        <w:rPr>
          <w:color w:val="231F1F"/>
          <w:w w:val="110"/>
        </w:rPr>
        <w:t>estudios</w:t>
      </w:r>
      <w:r>
        <w:rPr>
          <w:color w:val="231F1F"/>
          <w:spacing w:val="3"/>
          <w:w w:val="110"/>
        </w:rPr>
        <w:t> </w:t>
      </w:r>
      <w:r>
        <w:rPr>
          <w:color w:val="231F1F"/>
          <w:w w:val="110"/>
        </w:rPr>
        <w:t>(es-</w:t>
      </w:r>
      <w:r>
        <w:rPr>
          <w:color w:val="231F1F"/>
          <w:spacing w:val="78"/>
          <w:w w:val="110"/>
        </w:rPr>
        <w:t>   </w:t>
      </w:r>
      <w:r>
        <w:rPr>
          <w:rFonts w:ascii="Arial MT" w:hAnsi="Arial MT"/>
          <w:color w:val="231F1F"/>
          <w:w w:val="110"/>
          <w:sz w:val="18"/>
        </w:rPr>
        <w:t>RS</w:t>
      </w:r>
      <w:r>
        <w:rPr>
          <w:rFonts w:ascii="Arial MT" w:hAnsi="Arial MT"/>
          <w:color w:val="231F1F"/>
          <w:spacing w:val="-2"/>
          <w:w w:val="110"/>
          <w:sz w:val="18"/>
        </w:rPr>
        <w:t> </w:t>
      </w:r>
      <w:r>
        <w:rPr>
          <w:rFonts w:ascii="Arial MT" w:hAnsi="Arial MT"/>
          <w:color w:val="231F1F"/>
          <w:spacing w:val="-5"/>
          <w:w w:val="110"/>
          <w:sz w:val="18"/>
        </w:rPr>
        <w:t>de</w:t>
      </w:r>
    </w:p>
    <w:p>
      <w:pPr>
        <w:pStyle w:val="BodyText"/>
        <w:spacing w:before="8"/>
        <w:ind w:left="283"/>
        <w:jc w:val="both"/>
        <w:rPr>
          <w:rFonts w:ascii="Arial MT" w:hAnsi="Arial MT"/>
          <w:position w:val="4"/>
          <w:sz w:val="18"/>
        </w:rPr>
      </w:pPr>
      <w:r>
        <w:rPr>
          <w:color w:val="231F1F"/>
          <w:w w:val="105"/>
        </w:rPr>
        <w:t>tudios</w:t>
      </w:r>
      <w:r>
        <w:rPr>
          <w:color w:val="231F1F"/>
          <w:spacing w:val="19"/>
          <w:w w:val="105"/>
        </w:rPr>
        <w:t> </w:t>
      </w:r>
      <w:r>
        <w:rPr>
          <w:color w:val="231F1F"/>
          <w:w w:val="105"/>
        </w:rPr>
        <w:t>descriptivos,</w:t>
      </w:r>
      <w:r>
        <w:rPr>
          <w:color w:val="231F1F"/>
          <w:spacing w:val="20"/>
          <w:w w:val="105"/>
        </w:rPr>
        <w:t> </w:t>
      </w:r>
      <w:r>
        <w:rPr>
          <w:color w:val="231F1F"/>
          <w:w w:val="105"/>
        </w:rPr>
        <w:t>ECAs</w:t>
      </w:r>
      <w:r>
        <w:rPr>
          <w:color w:val="231F1F"/>
          <w:spacing w:val="22"/>
          <w:w w:val="105"/>
        </w:rPr>
        <w:t> </w:t>
      </w:r>
      <w:r>
        <w:rPr>
          <w:color w:val="231F1F"/>
          <w:w w:val="105"/>
        </w:rPr>
        <w:t>y</w:t>
      </w:r>
      <w:r>
        <w:rPr>
          <w:color w:val="231F1F"/>
          <w:spacing w:val="22"/>
          <w:w w:val="105"/>
        </w:rPr>
        <w:t> </w:t>
      </w:r>
      <w:r>
        <w:rPr>
          <w:color w:val="231F1F"/>
          <w:w w:val="105"/>
        </w:rPr>
        <w:t>RSs)</w:t>
      </w:r>
      <w:r>
        <w:rPr>
          <w:color w:val="231F1F"/>
          <w:spacing w:val="20"/>
          <w:w w:val="105"/>
        </w:rPr>
        <w:t> </w:t>
      </w:r>
      <w:r>
        <w:rPr>
          <w:color w:val="231F1F"/>
          <w:w w:val="105"/>
        </w:rPr>
        <w:t>que</w:t>
      </w:r>
      <w:r>
        <w:rPr>
          <w:color w:val="231F1F"/>
          <w:spacing w:val="19"/>
          <w:w w:val="105"/>
        </w:rPr>
        <w:t> </w:t>
      </w:r>
      <w:r>
        <w:rPr>
          <w:color w:val="231F1F"/>
          <w:w w:val="105"/>
        </w:rPr>
        <w:t>evaluaban</w:t>
      </w:r>
      <w:r>
        <w:rPr>
          <w:color w:val="231F1F"/>
          <w:spacing w:val="22"/>
          <w:w w:val="105"/>
        </w:rPr>
        <w:t> </w:t>
      </w:r>
      <w:r>
        <w:rPr>
          <w:color w:val="231F1F"/>
          <w:w w:val="105"/>
        </w:rPr>
        <w:t>el</w:t>
      </w:r>
      <w:r>
        <w:rPr>
          <w:color w:val="231F1F"/>
          <w:spacing w:val="20"/>
          <w:w w:val="105"/>
        </w:rPr>
        <w:t> </w:t>
      </w:r>
      <w:r>
        <w:rPr>
          <w:color w:val="231F1F"/>
          <w:w w:val="105"/>
        </w:rPr>
        <w:t>dolor</w:t>
      </w:r>
      <w:r>
        <w:rPr>
          <w:color w:val="231F1F"/>
          <w:spacing w:val="20"/>
          <w:w w:val="105"/>
        </w:rPr>
        <w:t> </w:t>
      </w:r>
      <w:r>
        <w:rPr>
          <w:color w:val="231F1F"/>
          <w:w w:val="105"/>
        </w:rPr>
        <w:t>y</w:t>
      </w:r>
      <w:r>
        <w:rPr>
          <w:color w:val="231F1F"/>
          <w:spacing w:val="22"/>
          <w:w w:val="105"/>
        </w:rPr>
        <w:t> </w:t>
      </w:r>
      <w:r>
        <w:rPr>
          <w:color w:val="231F1F"/>
          <w:w w:val="105"/>
        </w:rPr>
        <w:t>la</w:t>
      </w:r>
      <w:r>
        <w:rPr>
          <w:color w:val="231F1F"/>
          <w:spacing w:val="22"/>
          <w:w w:val="105"/>
        </w:rPr>
        <w:t> </w:t>
      </w:r>
      <w:r>
        <w:rPr>
          <w:color w:val="231F1F"/>
          <w:w w:val="105"/>
        </w:rPr>
        <w:t>satisfacción</w:t>
      </w:r>
      <w:r>
        <w:rPr>
          <w:color w:val="231F1F"/>
          <w:spacing w:val="41"/>
          <w:w w:val="105"/>
        </w:rPr>
        <w:t>  </w:t>
      </w:r>
      <w:r>
        <w:rPr>
          <w:rFonts w:ascii="Arial MT" w:hAnsi="Arial MT"/>
          <w:color w:val="231F1F"/>
          <w:spacing w:val="-2"/>
          <w:w w:val="105"/>
          <w:position w:val="4"/>
          <w:sz w:val="18"/>
        </w:rPr>
        <w:t>descriptivos,</w:t>
      </w:r>
    </w:p>
    <w:p>
      <w:pPr>
        <w:pStyle w:val="BodyText"/>
        <w:spacing w:after="0"/>
        <w:jc w:val="both"/>
        <w:rPr>
          <w:rFonts w:ascii="Arial MT" w:hAnsi="Arial MT"/>
          <w:position w:val="4"/>
          <w:sz w:val="18"/>
        </w:rPr>
        <w:sectPr>
          <w:pgSz w:w="11900" w:h="16840"/>
          <w:pgMar w:header="0" w:footer="622" w:top="1560" w:bottom="820" w:left="1417" w:right="1559"/>
        </w:sectPr>
      </w:pPr>
    </w:p>
    <w:p>
      <w:pPr>
        <w:pStyle w:val="BodyText"/>
        <w:spacing w:line="247" w:lineRule="auto" w:before="30"/>
        <w:ind w:left="283"/>
        <w:jc w:val="both"/>
      </w:pPr>
      <w:r>
        <w:rPr>
          <w:color w:val="231F1F"/>
          <w:w w:val="110"/>
        </w:rPr>
        <w:t>materna.</w:t>
      </w:r>
      <w:r>
        <w:rPr>
          <w:color w:val="231F1F"/>
          <w:w w:val="110"/>
        </w:rPr>
        <w:t> En</w:t>
      </w:r>
      <w:r>
        <w:rPr>
          <w:color w:val="231F1F"/>
          <w:w w:val="110"/>
        </w:rPr>
        <w:t> la</w:t>
      </w:r>
      <w:r>
        <w:rPr>
          <w:color w:val="231F1F"/>
          <w:w w:val="110"/>
        </w:rPr>
        <w:t> revisión</w:t>
      </w:r>
      <w:r>
        <w:rPr>
          <w:color w:val="231F1F"/>
          <w:w w:val="110"/>
        </w:rPr>
        <w:t> se</w:t>
      </w:r>
      <w:r>
        <w:rPr>
          <w:color w:val="231F1F"/>
          <w:w w:val="110"/>
        </w:rPr>
        <w:t> encontró</w:t>
      </w:r>
      <w:r>
        <w:rPr>
          <w:color w:val="231F1F"/>
          <w:w w:val="110"/>
        </w:rPr>
        <w:t> que</w:t>
      </w:r>
      <w:r>
        <w:rPr>
          <w:color w:val="231F1F"/>
          <w:w w:val="110"/>
        </w:rPr>
        <w:t> son</w:t>
      </w:r>
      <w:r>
        <w:rPr>
          <w:color w:val="231F1F"/>
          <w:w w:val="110"/>
        </w:rPr>
        <w:t> cuatro</w:t>
      </w:r>
      <w:r>
        <w:rPr>
          <w:color w:val="231F1F"/>
          <w:w w:val="110"/>
        </w:rPr>
        <w:t> los</w:t>
      </w:r>
      <w:r>
        <w:rPr>
          <w:color w:val="231F1F"/>
          <w:w w:val="110"/>
        </w:rPr>
        <w:t> factores</w:t>
      </w:r>
      <w:r>
        <w:rPr>
          <w:color w:val="231F1F"/>
          <w:w w:val="110"/>
        </w:rPr>
        <w:t> que</w:t>
      </w:r>
      <w:r>
        <w:rPr>
          <w:color w:val="231F1F"/>
          <w:w w:val="110"/>
        </w:rPr>
        <w:t> más influyen en las experiencias de las mujeres con el nacimiento: sus expec- tativas personales, el apoyo recibido por las personas que les atienden, la calidad de la relación entre éstas y las mujeres y su implicación en la toma de decisiones. También se observó que estos factores son tan importantes que</w:t>
      </w:r>
      <w:r>
        <w:rPr>
          <w:color w:val="231F1F"/>
          <w:w w:val="110"/>
        </w:rPr>
        <w:t> anulan</w:t>
      </w:r>
      <w:r>
        <w:rPr>
          <w:color w:val="231F1F"/>
          <w:w w:val="110"/>
        </w:rPr>
        <w:t> la</w:t>
      </w:r>
      <w:r>
        <w:rPr>
          <w:color w:val="231F1F"/>
          <w:w w:val="110"/>
        </w:rPr>
        <w:t> influencia</w:t>
      </w:r>
      <w:r>
        <w:rPr>
          <w:color w:val="231F1F"/>
          <w:w w:val="110"/>
        </w:rPr>
        <w:t> del</w:t>
      </w:r>
      <w:r>
        <w:rPr>
          <w:color w:val="231F1F"/>
          <w:w w:val="110"/>
        </w:rPr>
        <w:t> resto</w:t>
      </w:r>
      <w:r>
        <w:rPr>
          <w:color w:val="231F1F"/>
          <w:w w:val="110"/>
        </w:rPr>
        <w:t> de</w:t>
      </w:r>
      <w:r>
        <w:rPr>
          <w:color w:val="231F1F"/>
          <w:w w:val="110"/>
        </w:rPr>
        <w:t> los</w:t>
      </w:r>
      <w:r>
        <w:rPr>
          <w:color w:val="231F1F"/>
          <w:w w:val="110"/>
        </w:rPr>
        <w:t> factores</w:t>
      </w:r>
      <w:r>
        <w:rPr>
          <w:color w:val="231F1F"/>
          <w:w w:val="110"/>
        </w:rPr>
        <w:t> como</w:t>
      </w:r>
      <w:r>
        <w:rPr>
          <w:color w:val="231F1F"/>
          <w:w w:val="110"/>
        </w:rPr>
        <w:t> la</w:t>
      </w:r>
      <w:r>
        <w:rPr>
          <w:color w:val="231F1F"/>
          <w:w w:val="110"/>
        </w:rPr>
        <w:t> edad,</w:t>
      </w:r>
      <w:r>
        <w:rPr>
          <w:color w:val="231F1F"/>
          <w:w w:val="110"/>
        </w:rPr>
        <w:t> etnia, preparación</w:t>
      </w:r>
      <w:r>
        <w:rPr>
          <w:color w:val="231F1F"/>
          <w:w w:val="110"/>
        </w:rPr>
        <w:t> al</w:t>
      </w:r>
      <w:r>
        <w:rPr>
          <w:color w:val="231F1F"/>
          <w:w w:val="110"/>
        </w:rPr>
        <w:t> parto,</w:t>
      </w:r>
      <w:r>
        <w:rPr>
          <w:color w:val="231F1F"/>
          <w:w w:val="110"/>
        </w:rPr>
        <w:t> dolor,</w:t>
      </w:r>
      <w:r>
        <w:rPr>
          <w:color w:val="231F1F"/>
          <w:w w:val="110"/>
        </w:rPr>
        <w:t> inmovilidad,</w:t>
      </w:r>
      <w:r>
        <w:rPr>
          <w:color w:val="231F1F"/>
          <w:w w:val="110"/>
        </w:rPr>
        <w:t> intervenciones</w:t>
      </w:r>
      <w:r>
        <w:rPr>
          <w:color w:val="231F1F"/>
          <w:w w:val="110"/>
        </w:rPr>
        <w:t> médicas</w:t>
      </w:r>
      <w:r>
        <w:rPr>
          <w:color w:val="231F1F"/>
          <w:w w:val="110"/>
        </w:rPr>
        <w:t> y</w:t>
      </w:r>
      <w:r>
        <w:rPr>
          <w:color w:val="231F1F"/>
          <w:w w:val="110"/>
        </w:rPr>
        <w:t> segui- miento en el cuidado. Por lo que se concluye que en la satisfacción de la mujer, el dolor, su alivio y las intervenciones durante el parto son factores menos</w:t>
      </w:r>
      <w:r>
        <w:rPr>
          <w:color w:val="231F1F"/>
          <w:w w:val="110"/>
        </w:rPr>
        <w:t> importantes</w:t>
      </w:r>
      <w:r>
        <w:rPr>
          <w:color w:val="231F1F"/>
          <w:w w:val="110"/>
        </w:rPr>
        <w:t> que</w:t>
      </w:r>
      <w:r>
        <w:rPr>
          <w:color w:val="231F1F"/>
          <w:w w:val="110"/>
        </w:rPr>
        <w:t> la</w:t>
      </w:r>
      <w:r>
        <w:rPr>
          <w:color w:val="231F1F"/>
          <w:w w:val="110"/>
        </w:rPr>
        <w:t> actitud</w:t>
      </w:r>
      <w:r>
        <w:rPr>
          <w:color w:val="231F1F"/>
          <w:w w:val="110"/>
        </w:rPr>
        <w:t> y</w:t>
      </w:r>
      <w:r>
        <w:rPr>
          <w:color w:val="231F1F"/>
          <w:w w:val="110"/>
        </w:rPr>
        <w:t> el</w:t>
      </w:r>
      <w:r>
        <w:rPr>
          <w:color w:val="231F1F"/>
          <w:w w:val="110"/>
        </w:rPr>
        <w:t> comportamiento</w:t>
      </w:r>
      <w:r>
        <w:rPr>
          <w:color w:val="231F1F"/>
          <w:w w:val="110"/>
        </w:rPr>
        <w:t> de</w:t>
      </w:r>
      <w:r>
        <w:rPr>
          <w:color w:val="231F1F"/>
          <w:w w:val="110"/>
        </w:rPr>
        <w:t> quienes</w:t>
      </w:r>
      <w:r>
        <w:rPr>
          <w:color w:val="231F1F"/>
          <w:w w:val="110"/>
        </w:rPr>
        <w:t> las cuidan. También se observa que el impacto del dolor y de su alivio en la satisfacción es mucho mayor cuando las expectativas de las mujeres no se </w:t>
      </w:r>
      <w:r>
        <w:rPr>
          <w:color w:val="231F1F"/>
          <w:spacing w:val="-2"/>
          <w:w w:val="110"/>
        </w:rPr>
        <w:t>cumplieron.</w:t>
      </w:r>
    </w:p>
    <w:p>
      <w:pPr>
        <w:pStyle w:val="BodyText"/>
        <w:spacing w:line="247" w:lineRule="auto" w:before="30"/>
        <w:ind w:left="283" w:right="4" w:firstLine="453"/>
        <w:jc w:val="both"/>
      </w:pPr>
      <w:r>
        <w:rPr>
          <w:color w:val="231F1F"/>
          <w:w w:val="110"/>
        </w:rPr>
        <w:t>El ECA</w:t>
      </w:r>
      <w:r>
        <w:rPr>
          <w:color w:val="231F1F"/>
          <w:w w:val="110"/>
        </w:rPr>
        <w:t> australiano</w:t>
      </w:r>
      <w:r>
        <w:rPr>
          <w:color w:val="231F1F"/>
          <w:w w:val="110"/>
        </w:rPr>
        <w:t> (274), evaluó</w:t>
      </w:r>
      <w:r>
        <w:rPr>
          <w:color w:val="231F1F"/>
          <w:w w:val="110"/>
        </w:rPr>
        <w:t> mediante</w:t>
      </w:r>
      <w:r>
        <w:rPr>
          <w:color w:val="231F1F"/>
          <w:w w:val="110"/>
        </w:rPr>
        <w:t> la</w:t>
      </w:r>
      <w:r>
        <w:rPr>
          <w:color w:val="231F1F"/>
          <w:w w:val="110"/>
        </w:rPr>
        <w:t> realización</w:t>
      </w:r>
      <w:r>
        <w:rPr>
          <w:color w:val="231F1F"/>
          <w:w w:val="110"/>
        </w:rPr>
        <w:t> de</w:t>
      </w:r>
      <w:r>
        <w:rPr>
          <w:color w:val="231F1F"/>
          <w:w w:val="110"/>
        </w:rPr>
        <w:t> encues- tas, la satisfacción con el parto y con el alivio del dolor en mujeres nulípa- ras</w:t>
      </w:r>
      <w:r>
        <w:rPr>
          <w:color w:val="231F1F"/>
          <w:w w:val="110"/>
        </w:rPr>
        <w:t> aleatorizadas</w:t>
      </w:r>
      <w:r>
        <w:rPr>
          <w:color w:val="231F1F"/>
          <w:w w:val="110"/>
        </w:rPr>
        <w:t> a</w:t>
      </w:r>
      <w:r>
        <w:rPr>
          <w:color w:val="231F1F"/>
          <w:w w:val="110"/>
        </w:rPr>
        <w:t> un</w:t>
      </w:r>
      <w:r>
        <w:rPr>
          <w:color w:val="231F1F"/>
          <w:w w:val="110"/>
        </w:rPr>
        <w:t> grupo</w:t>
      </w:r>
      <w:r>
        <w:rPr>
          <w:color w:val="231F1F"/>
          <w:w w:val="110"/>
        </w:rPr>
        <w:t> con</w:t>
      </w:r>
      <w:r>
        <w:rPr>
          <w:color w:val="231F1F"/>
          <w:w w:val="110"/>
        </w:rPr>
        <w:t> tratamiento</w:t>
      </w:r>
      <w:r>
        <w:rPr>
          <w:color w:val="231F1F"/>
          <w:w w:val="110"/>
        </w:rPr>
        <w:t> de</w:t>
      </w:r>
      <w:r>
        <w:rPr>
          <w:color w:val="231F1F"/>
          <w:w w:val="110"/>
        </w:rPr>
        <w:t> analgesia</w:t>
      </w:r>
      <w:r>
        <w:rPr>
          <w:color w:val="231F1F"/>
          <w:w w:val="110"/>
        </w:rPr>
        <w:t> intradural-epi- dural</w:t>
      </w:r>
      <w:r>
        <w:rPr>
          <w:color w:val="231F1F"/>
          <w:w w:val="110"/>
        </w:rPr>
        <w:t> con</w:t>
      </w:r>
      <w:r>
        <w:rPr>
          <w:color w:val="231F1F"/>
          <w:w w:val="110"/>
        </w:rPr>
        <w:t> analgesia</w:t>
      </w:r>
      <w:r>
        <w:rPr>
          <w:color w:val="231F1F"/>
          <w:w w:val="110"/>
        </w:rPr>
        <w:t> controlada</w:t>
      </w:r>
      <w:r>
        <w:rPr>
          <w:color w:val="231F1F"/>
          <w:w w:val="110"/>
        </w:rPr>
        <w:t> por</w:t>
      </w:r>
      <w:r>
        <w:rPr>
          <w:color w:val="231F1F"/>
          <w:w w:val="110"/>
        </w:rPr>
        <w:t> la</w:t>
      </w:r>
      <w:r>
        <w:rPr>
          <w:color w:val="231F1F"/>
          <w:w w:val="110"/>
        </w:rPr>
        <w:t> paciente</w:t>
      </w:r>
      <w:r>
        <w:rPr>
          <w:color w:val="231F1F"/>
          <w:w w:val="110"/>
        </w:rPr>
        <w:t> (PCEA),</w:t>
      </w:r>
      <w:r>
        <w:rPr>
          <w:color w:val="231F1F"/>
          <w:w w:val="110"/>
        </w:rPr>
        <w:t> frente</w:t>
      </w:r>
      <w:r>
        <w:rPr>
          <w:color w:val="231F1F"/>
          <w:w w:val="110"/>
        </w:rPr>
        <w:t> a</w:t>
      </w:r>
      <w:r>
        <w:rPr>
          <w:color w:val="231F1F"/>
          <w:w w:val="110"/>
        </w:rPr>
        <w:t> mujeres</w:t>
      </w:r>
      <w:r>
        <w:rPr>
          <w:color w:val="231F1F"/>
          <w:spacing w:val="40"/>
          <w:w w:val="110"/>
        </w:rPr>
        <w:t> </w:t>
      </w:r>
      <w:r>
        <w:rPr>
          <w:color w:val="231F1F"/>
          <w:w w:val="110"/>
        </w:rPr>
        <w:t>del grupo con atención continua por la matrona más otras formas de anal- gesia</w:t>
      </w:r>
      <w:r>
        <w:rPr>
          <w:color w:val="231F1F"/>
          <w:w w:val="110"/>
        </w:rPr>
        <w:t> (petidina</w:t>
      </w:r>
      <w:r>
        <w:rPr>
          <w:color w:val="231F1F"/>
          <w:w w:val="110"/>
        </w:rPr>
        <w:t> intamuscular</w:t>
      </w:r>
      <w:r>
        <w:rPr>
          <w:color w:val="231F1F"/>
          <w:w w:val="110"/>
        </w:rPr>
        <w:t> (IM),</w:t>
      </w:r>
      <w:r>
        <w:rPr>
          <w:color w:val="231F1F"/>
          <w:w w:val="110"/>
        </w:rPr>
        <w:t> Entonox®</w:t>
      </w:r>
      <w:r>
        <w:rPr>
          <w:color w:val="231F1F"/>
          <w:w w:val="110"/>
        </w:rPr>
        <w:t> y</w:t>
      </w:r>
      <w:r>
        <w:rPr>
          <w:color w:val="231F1F"/>
          <w:w w:val="110"/>
        </w:rPr>
        <w:t> métodos</w:t>
      </w:r>
      <w:r>
        <w:rPr>
          <w:color w:val="231F1F"/>
          <w:w w:val="110"/>
        </w:rPr>
        <w:t> no</w:t>
      </w:r>
      <w:r>
        <w:rPr>
          <w:color w:val="231F1F"/>
          <w:w w:val="110"/>
        </w:rPr>
        <w:t> farmacológi- </w:t>
      </w:r>
      <w:r>
        <w:rPr>
          <w:color w:val="231F1F"/>
          <w:spacing w:val="-4"/>
          <w:w w:val="110"/>
        </w:rPr>
        <w:t>cos).</w:t>
      </w:r>
    </w:p>
    <w:p>
      <w:pPr>
        <w:spacing w:line="283" w:lineRule="auto" w:before="0"/>
        <w:ind w:left="458" w:right="288" w:hanging="289"/>
        <w:jc w:val="left"/>
        <w:rPr>
          <w:rFonts w:ascii="Arial MT"/>
          <w:sz w:val="18"/>
        </w:rPr>
      </w:pPr>
      <w:r>
        <w:rPr/>
        <w:br w:type="column"/>
      </w:r>
      <w:r>
        <w:rPr>
          <w:rFonts w:ascii="Arial MT"/>
          <w:color w:val="231F1F"/>
          <w:spacing w:val="-2"/>
          <w:sz w:val="18"/>
        </w:rPr>
        <w:t>ECAs</w:t>
      </w:r>
      <w:r>
        <w:rPr>
          <w:rFonts w:ascii="Arial MT"/>
          <w:color w:val="231F1F"/>
          <w:spacing w:val="-23"/>
          <w:sz w:val="18"/>
        </w:rPr>
        <w:t> </w:t>
      </w:r>
      <w:r>
        <w:rPr>
          <w:rFonts w:ascii="Arial MT"/>
          <w:color w:val="231F1F"/>
          <w:spacing w:val="-2"/>
          <w:sz w:val="18"/>
        </w:rPr>
        <w:t>y</w:t>
      </w:r>
      <w:r>
        <w:rPr>
          <w:rFonts w:ascii="Arial MT"/>
          <w:color w:val="231F1F"/>
          <w:spacing w:val="-18"/>
          <w:sz w:val="18"/>
        </w:rPr>
        <w:t> </w:t>
      </w:r>
      <w:r>
        <w:rPr>
          <w:rFonts w:ascii="Arial MT"/>
          <w:color w:val="231F1F"/>
          <w:spacing w:val="-2"/>
          <w:sz w:val="18"/>
        </w:rPr>
        <w:t>RS </w:t>
      </w:r>
      <w:r>
        <w:rPr>
          <w:rFonts w:ascii="Arial MT"/>
          <w:color w:val="231F1F"/>
          <w:spacing w:val="-4"/>
          <w:sz w:val="18"/>
        </w:rPr>
        <w:t>2++</w:t>
      </w:r>
    </w:p>
    <w:p>
      <w:pPr>
        <w:spacing w:after="0" w:line="283" w:lineRule="auto"/>
        <w:jc w:val="left"/>
        <w:rPr>
          <w:rFonts w:ascii="Arial MT"/>
          <w:sz w:val="18"/>
        </w:rPr>
        <w:sectPr>
          <w:type w:val="continuous"/>
          <w:pgSz w:w="11900" w:h="16840"/>
          <w:pgMar w:header="0" w:footer="622" w:top="560" w:bottom="280" w:left="1417" w:right="1559"/>
          <w:cols w:num="2" w:equalWidth="0">
            <w:col w:w="7561" w:space="40"/>
            <w:col w:w="1323"/>
          </w:cols>
        </w:sectPr>
      </w:pPr>
    </w:p>
    <w:p>
      <w:pPr>
        <w:pStyle w:val="BodyText"/>
        <w:tabs>
          <w:tab w:pos="8036" w:val="left" w:leader="none"/>
          <w:tab w:pos="8114" w:val="left" w:leader="none"/>
        </w:tabs>
        <w:spacing w:line="256" w:lineRule="auto" w:before="82"/>
        <w:ind w:left="283" w:right="524" w:firstLine="453"/>
      </w:pPr>
      <w:r>
        <w:rPr>
          <w:color w:val="231F1F"/>
          <w:w w:val="105"/>
        </w:rPr>
        <w:t>El ensayo encontró que a pesar de que las mujeres aleatorizadas al grupo</w:t>
      </w:r>
      <w:r>
        <w:rPr>
          <w:color w:val="231F1F"/>
        </w:rPr>
        <w:tab/>
      </w:r>
      <w:r>
        <w:rPr>
          <w:rFonts w:ascii="Arial MT" w:hAnsi="Arial MT"/>
          <w:color w:val="231F1F"/>
          <w:spacing w:val="-12"/>
          <w:w w:val="105"/>
          <w:sz w:val="18"/>
        </w:rPr>
        <w:t>ECA </w:t>
      </w:r>
      <w:r>
        <w:rPr>
          <w:color w:val="231F1F"/>
          <w:w w:val="105"/>
        </w:rPr>
        <w:t>epidural estuvieron significativamente más satisfechas con el alivio del dolor</w:t>
      </w:r>
      <w:r>
        <w:rPr>
          <w:color w:val="231F1F"/>
        </w:rPr>
        <w:tab/>
        <w:tab/>
      </w:r>
      <w:r>
        <w:rPr>
          <w:rFonts w:ascii="Arial MT" w:hAnsi="Arial MT"/>
          <w:color w:val="231F1F"/>
          <w:spacing w:val="-6"/>
          <w:w w:val="105"/>
          <w:position w:val="4"/>
          <w:sz w:val="18"/>
        </w:rPr>
        <w:t>1+ </w:t>
      </w:r>
      <w:r>
        <w:rPr>
          <w:color w:val="231F1F"/>
          <w:w w:val="105"/>
        </w:rPr>
        <w:t>durante el parto, la satisfacción global con la experiencia del parto y nacimien-</w:t>
      </w:r>
    </w:p>
    <w:p>
      <w:pPr>
        <w:pStyle w:val="BodyText"/>
        <w:spacing w:line="239" w:lineRule="exact"/>
        <w:ind w:left="283"/>
      </w:pPr>
      <w:r>
        <w:rPr>
          <w:color w:val="231F1F"/>
          <w:w w:val="110"/>
        </w:rPr>
        <w:t>to fue</w:t>
      </w:r>
      <w:r>
        <w:rPr>
          <w:color w:val="231F1F"/>
          <w:spacing w:val="1"/>
          <w:w w:val="110"/>
        </w:rPr>
        <w:t> </w:t>
      </w:r>
      <w:r>
        <w:rPr>
          <w:color w:val="231F1F"/>
          <w:w w:val="110"/>
        </w:rPr>
        <w:t>alta</w:t>
      </w:r>
      <w:r>
        <w:rPr>
          <w:color w:val="231F1F"/>
          <w:spacing w:val="1"/>
          <w:w w:val="110"/>
        </w:rPr>
        <w:t> </w:t>
      </w:r>
      <w:r>
        <w:rPr>
          <w:color w:val="231F1F"/>
          <w:w w:val="110"/>
        </w:rPr>
        <w:t>y</w:t>
      </w:r>
      <w:r>
        <w:rPr>
          <w:color w:val="231F1F"/>
          <w:spacing w:val="1"/>
          <w:w w:val="110"/>
        </w:rPr>
        <w:t> </w:t>
      </w:r>
      <w:r>
        <w:rPr>
          <w:color w:val="231F1F"/>
          <w:w w:val="110"/>
        </w:rPr>
        <w:t>similar</w:t>
      </w:r>
      <w:r>
        <w:rPr>
          <w:color w:val="231F1F"/>
          <w:spacing w:val="1"/>
          <w:w w:val="110"/>
        </w:rPr>
        <w:t> </w:t>
      </w:r>
      <w:r>
        <w:rPr>
          <w:color w:val="231F1F"/>
          <w:w w:val="110"/>
        </w:rPr>
        <w:t>en</w:t>
      </w:r>
      <w:r>
        <w:rPr>
          <w:color w:val="231F1F"/>
          <w:spacing w:val="1"/>
          <w:w w:val="110"/>
        </w:rPr>
        <w:t> </w:t>
      </w:r>
      <w:r>
        <w:rPr>
          <w:color w:val="231F1F"/>
          <w:w w:val="110"/>
        </w:rPr>
        <w:t>ambos</w:t>
      </w:r>
      <w:r>
        <w:rPr>
          <w:color w:val="231F1F"/>
          <w:spacing w:val="1"/>
          <w:w w:val="110"/>
        </w:rPr>
        <w:t> </w:t>
      </w:r>
      <w:r>
        <w:rPr>
          <w:color w:val="231F1F"/>
          <w:w w:val="110"/>
        </w:rPr>
        <w:t>grupos.</w:t>
      </w:r>
      <w:r>
        <w:rPr>
          <w:color w:val="231F1F"/>
          <w:spacing w:val="-1"/>
          <w:w w:val="110"/>
        </w:rPr>
        <w:t> </w:t>
      </w:r>
      <w:r>
        <w:rPr>
          <w:color w:val="231F1F"/>
          <w:w w:val="110"/>
        </w:rPr>
        <w:t>Este</w:t>
      </w:r>
      <w:r>
        <w:rPr>
          <w:color w:val="231F1F"/>
          <w:spacing w:val="1"/>
          <w:w w:val="110"/>
        </w:rPr>
        <w:t> </w:t>
      </w:r>
      <w:r>
        <w:rPr>
          <w:color w:val="231F1F"/>
          <w:w w:val="110"/>
        </w:rPr>
        <w:t>hecho</w:t>
      </w:r>
      <w:r>
        <w:rPr>
          <w:color w:val="231F1F"/>
          <w:spacing w:val="1"/>
          <w:w w:val="110"/>
        </w:rPr>
        <w:t> </w:t>
      </w:r>
      <w:r>
        <w:rPr>
          <w:color w:val="231F1F"/>
          <w:w w:val="110"/>
        </w:rPr>
        <w:t>reflejaba</w:t>
      </w:r>
      <w:r>
        <w:rPr>
          <w:color w:val="231F1F"/>
          <w:spacing w:val="1"/>
          <w:w w:val="110"/>
        </w:rPr>
        <w:t> </w:t>
      </w:r>
      <w:r>
        <w:rPr>
          <w:color w:val="231F1F"/>
          <w:w w:val="110"/>
        </w:rPr>
        <w:t>la</w:t>
      </w:r>
      <w:r>
        <w:rPr>
          <w:color w:val="231F1F"/>
          <w:spacing w:val="1"/>
          <w:w w:val="110"/>
        </w:rPr>
        <w:t> </w:t>
      </w:r>
      <w:r>
        <w:rPr>
          <w:color w:val="231F1F"/>
          <w:w w:val="110"/>
        </w:rPr>
        <w:t>existencia</w:t>
      </w:r>
      <w:r>
        <w:rPr>
          <w:color w:val="231F1F"/>
          <w:spacing w:val="1"/>
          <w:w w:val="110"/>
        </w:rPr>
        <w:t> </w:t>
      </w:r>
      <w:r>
        <w:rPr>
          <w:color w:val="231F1F"/>
          <w:spacing w:val="-5"/>
          <w:w w:val="110"/>
        </w:rPr>
        <w:t>de</w:t>
      </w:r>
    </w:p>
    <w:p>
      <w:pPr>
        <w:pStyle w:val="BodyText"/>
        <w:spacing w:line="244" w:lineRule="auto" w:before="6"/>
        <w:ind w:left="283" w:right="1320"/>
      </w:pPr>
      <w:r>
        <w:rPr>
          <w:color w:val="231F1F"/>
          <w:w w:val="110"/>
        </w:rPr>
        <w:t>otros</w:t>
      </w:r>
      <w:r>
        <w:rPr>
          <w:color w:val="231F1F"/>
          <w:spacing w:val="-4"/>
          <w:w w:val="110"/>
        </w:rPr>
        <w:t> </w:t>
      </w:r>
      <w:r>
        <w:rPr>
          <w:color w:val="231F1F"/>
          <w:w w:val="110"/>
        </w:rPr>
        <w:t>factores,</w:t>
      </w:r>
      <w:r>
        <w:rPr>
          <w:color w:val="231F1F"/>
          <w:spacing w:val="-4"/>
          <w:w w:val="110"/>
        </w:rPr>
        <w:t> </w:t>
      </w:r>
      <w:r>
        <w:rPr>
          <w:color w:val="231F1F"/>
          <w:w w:val="110"/>
        </w:rPr>
        <w:t>diferentes</w:t>
      </w:r>
      <w:r>
        <w:rPr>
          <w:color w:val="231F1F"/>
          <w:spacing w:val="-4"/>
          <w:w w:val="110"/>
        </w:rPr>
        <w:t> </w:t>
      </w:r>
      <w:r>
        <w:rPr>
          <w:color w:val="231F1F"/>
          <w:w w:val="110"/>
        </w:rPr>
        <w:t>al</w:t>
      </w:r>
      <w:r>
        <w:rPr>
          <w:color w:val="231F1F"/>
          <w:spacing w:val="-4"/>
          <w:w w:val="110"/>
        </w:rPr>
        <w:t> </w:t>
      </w:r>
      <w:r>
        <w:rPr>
          <w:color w:val="231F1F"/>
          <w:w w:val="110"/>
        </w:rPr>
        <w:t>alivio</w:t>
      </w:r>
      <w:r>
        <w:rPr>
          <w:color w:val="231F1F"/>
          <w:spacing w:val="-4"/>
          <w:w w:val="110"/>
        </w:rPr>
        <w:t> </w:t>
      </w:r>
      <w:r>
        <w:rPr>
          <w:color w:val="231F1F"/>
          <w:w w:val="110"/>
        </w:rPr>
        <w:t>del</w:t>
      </w:r>
      <w:r>
        <w:rPr>
          <w:color w:val="231F1F"/>
          <w:spacing w:val="-4"/>
          <w:w w:val="110"/>
        </w:rPr>
        <w:t> </w:t>
      </w:r>
      <w:r>
        <w:rPr>
          <w:color w:val="231F1F"/>
          <w:w w:val="110"/>
        </w:rPr>
        <w:t>dolor,</w:t>
      </w:r>
      <w:r>
        <w:rPr>
          <w:color w:val="231F1F"/>
          <w:spacing w:val="-4"/>
          <w:w w:val="110"/>
        </w:rPr>
        <w:t> </w:t>
      </w:r>
      <w:r>
        <w:rPr>
          <w:color w:val="231F1F"/>
          <w:w w:val="110"/>
        </w:rPr>
        <w:t>que</w:t>
      </w:r>
      <w:r>
        <w:rPr>
          <w:color w:val="231F1F"/>
          <w:spacing w:val="-3"/>
          <w:w w:val="110"/>
        </w:rPr>
        <w:t> </w:t>
      </w:r>
      <w:r>
        <w:rPr>
          <w:color w:val="231F1F"/>
          <w:w w:val="110"/>
        </w:rPr>
        <w:t>están</w:t>
      </w:r>
      <w:r>
        <w:rPr>
          <w:color w:val="231F1F"/>
          <w:spacing w:val="-3"/>
          <w:w w:val="110"/>
        </w:rPr>
        <w:t> </w:t>
      </w:r>
      <w:r>
        <w:rPr>
          <w:color w:val="231F1F"/>
          <w:w w:val="110"/>
        </w:rPr>
        <w:t>implicados</w:t>
      </w:r>
      <w:r>
        <w:rPr>
          <w:color w:val="231F1F"/>
          <w:spacing w:val="-4"/>
          <w:w w:val="110"/>
        </w:rPr>
        <w:t> </w:t>
      </w:r>
      <w:r>
        <w:rPr>
          <w:color w:val="231F1F"/>
          <w:w w:val="110"/>
        </w:rPr>
        <w:t>en</w:t>
      </w:r>
      <w:r>
        <w:rPr>
          <w:color w:val="231F1F"/>
          <w:spacing w:val="-3"/>
          <w:w w:val="110"/>
        </w:rPr>
        <w:t> </w:t>
      </w:r>
      <w:r>
        <w:rPr>
          <w:color w:val="231F1F"/>
          <w:w w:val="110"/>
        </w:rPr>
        <w:t>los</w:t>
      </w:r>
      <w:r>
        <w:rPr>
          <w:color w:val="231F1F"/>
          <w:spacing w:val="-4"/>
          <w:w w:val="110"/>
        </w:rPr>
        <w:t> </w:t>
      </w:r>
      <w:r>
        <w:rPr>
          <w:color w:val="231F1F"/>
          <w:w w:val="110"/>
        </w:rPr>
        <w:t>re- sultados de satisfacción materna.</w:t>
      </w:r>
    </w:p>
    <w:p>
      <w:pPr>
        <w:pStyle w:val="BodyText"/>
        <w:spacing w:after="0" w:line="244" w:lineRule="auto"/>
        <w:sectPr>
          <w:type w:val="continuous"/>
          <w:pgSz w:w="11900" w:h="16840"/>
          <w:pgMar w:header="0" w:footer="622" w:top="560" w:bottom="280" w:left="1417" w:right="1559"/>
        </w:sectPr>
      </w:pPr>
    </w:p>
    <w:p>
      <w:pPr>
        <w:pStyle w:val="BodyText"/>
        <w:spacing w:line="247" w:lineRule="auto" w:before="73"/>
        <w:ind w:left="283" w:firstLine="453"/>
        <w:jc w:val="both"/>
      </w:pPr>
      <w:r>
        <w:rPr>
          <w:color w:val="231F1F"/>
          <w:w w:val="105"/>
        </w:rPr>
        <w:t>Los</w:t>
      </w:r>
      <w:r>
        <w:rPr>
          <w:color w:val="231F1F"/>
          <w:w w:val="105"/>
        </w:rPr>
        <w:t> dos</w:t>
      </w:r>
      <w:r>
        <w:rPr>
          <w:color w:val="231F1F"/>
          <w:w w:val="105"/>
        </w:rPr>
        <w:t> últimos</w:t>
      </w:r>
      <w:r>
        <w:rPr>
          <w:color w:val="231F1F"/>
          <w:w w:val="105"/>
        </w:rPr>
        <w:t> estudios</w:t>
      </w:r>
      <w:r>
        <w:rPr>
          <w:color w:val="231F1F"/>
          <w:w w:val="105"/>
        </w:rPr>
        <w:t> observacionales</w:t>
      </w:r>
      <w:r>
        <w:rPr>
          <w:color w:val="231F1F"/>
          <w:w w:val="105"/>
        </w:rPr>
        <w:t> se</w:t>
      </w:r>
      <w:r>
        <w:rPr>
          <w:color w:val="231F1F"/>
          <w:w w:val="105"/>
        </w:rPr>
        <w:t> basaban</w:t>
      </w:r>
      <w:r>
        <w:rPr>
          <w:color w:val="231F1F"/>
          <w:w w:val="105"/>
        </w:rPr>
        <w:t> en</w:t>
      </w:r>
      <w:r>
        <w:rPr>
          <w:color w:val="231F1F"/>
          <w:w w:val="105"/>
        </w:rPr>
        <w:t> entrevistas</w:t>
      </w:r>
      <w:r>
        <w:rPr>
          <w:color w:val="231F1F"/>
          <w:w w:val="105"/>
        </w:rPr>
        <w:t> o encuestas. Una se llevo a cabo en Finlandia (275), la otra era un estudio eu- ropeo</w:t>
      </w:r>
      <w:r>
        <w:rPr>
          <w:color w:val="231F1F"/>
          <w:spacing w:val="-15"/>
          <w:w w:val="105"/>
        </w:rPr>
        <w:t> </w:t>
      </w:r>
      <w:r>
        <w:rPr>
          <w:color w:val="231F1F"/>
          <w:w w:val="105"/>
        </w:rPr>
        <w:t>multicéntrico</w:t>
      </w:r>
      <w:r>
        <w:rPr>
          <w:color w:val="231F1F"/>
          <w:spacing w:val="-14"/>
          <w:w w:val="105"/>
        </w:rPr>
        <w:t> </w:t>
      </w:r>
      <w:r>
        <w:rPr>
          <w:color w:val="231F1F"/>
          <w:w w:val="105"/>
        </w:rPr>
        <w:t>(276),</w:t>
      </w:r>
      <w:r>
        <w:rPr>
          <w:color w:val="231F1F"/>
          <w:spacing w:val="-15"/>
          <w:w w:val="105"/>
        </w:rPr>
        <w:t> </w:t>
      </w:r>
      <w:r>
        <w:rPr>
          <w:color w:val="231F1F"/>
          <w:w w:val="105"/>
        </w:rPr>
        <w:t>y</w:t>
      </w:r>
      <w:r>
        <w:rPr>
          <w:color w:val="231F1F"/>
          <w:spacing w:val="-14"/>
          <w:w w:val="105"/>
        </w:rPr>
        <w:t> </w:t>
      </w:r>
      <w:r>
        <w:rPr>
          <w:color w:val="231F1F"/>
          <w:w w:val="105"/>
        </w:rPr>
        <w:t>se</w:t>
      </w:r>
      <w:r>
        <w:rPr>
          <w:color w:val="231F1F"/>
          <w:spacing w:val="-14"/>
          <w:w w:val="105"/>
        </w:rPr>
        <w:t> </w:t>
      </w:r>
      <w:r>
        <w:rPr>
          <w:color w:val="231F1F"/>
          <w:w w:val="105"/>
        </w:rPr>
        <w:t>incluyeron</w:t>
      </w:r>
      <w:r>
        <w:rPr>
          <w:color w:val="231F1F"/>
          <w:spacing w:val="-15"/>
          <w:w w:val="105"/>
        </w:rPr>
        <w:t> </w:t>
      </w:r>
      <w:r>
        <w:rPr>
          <w:color w:val="231F1F"/>
          <w:w w:val="105"/>
        </w:rPr>
        <w:t>1.091</w:t>
      </w:r>
      <w:r>
        <w:rPr>
          <w:color w:val="231F1F"/>
          <w:spacing w:val="-14"/>
          <w:w w:val="105"/>
        </w:rPr>
        <w:t> </w:t>
      </w:r>
      <w:r>
        <w:rPr>
          <w:color w:val="231F1F"/>
          <w:w w:val="105"/>
        </w:rPr>
        <w:t>y</w:t>
      </w:r>
      <w:r>
        <w:rPr>
          <w:color w:val="231F1F"/>
          <w:spacing w:val="-15"/>
          <w:w w:val="105"/>
        </w:rPr>
        <w:t> </w:t>
      </w:r>
      <w:r>
        <w:rPr>
          <w:color w:val="231F1F"/>
          <w:w w:val="105"/>
        </w:rPr>
        <w:t>611</w:t>
      </w:r>
      <w:r>
        <w:rPr>
          <w:color w:val="231F1F"/>
          <w:spacing w:val="-14"/>
          <w:w w:val="105"/>
        </w:rPr>
        <w:t> </w:t>
      </w:r>
      <w:r>
        <w:rPr>
          <w:color w:val="231F1F"/>
          <w:w w:val="105"/>
        </w:rPr>
        <w:t>mujeres,</w:t>
      </w:r>
      <w:r>
        <w:rPr>
          <w:color w:val="231F1F"/>
          <w:spacing w:val="-14"/>
          <w:w w:val="105"/>
        </w:rPr>
        <w:t> </w:t>
      </w:r>
      <w:r>
        <w:rPr>
          <w:color w:val="231F1F"/>
          <w:w w:val="105"/>
        </w:rPr>
        <w:t>respectivamen- te. Su objetivo fue evaluar las expectativas de la mujer sobre el dolor durante el parto y su experiencia con el manejo del mismo.</w:t>
      </w:r>
    </w:p>
    <w:p>
      <w:pPr>
        <w:pStyle w:val="BodyText"/>
        <w:spacing w:line="247" w:lineRule="auto" w:before="50"/>
        <w:ind w:left="283" w:right="3" w:firstLine="453"/>
        <w:jc w:val="both"/>
      </w:pPr>
      <w:r>
        <w:rPr>
          <w:color w:val="231F1F"/>
          <w:w w:val="110"/>
        </w:rPr>
        <w:t>Estos</w:t>
      </w:r>
      <w:r>
        <w:rPr>
          <w:color w:val="231F1F"/>
          <w:spacing w:val="-9"/>
          <w:w w:val="110"/>
        </w:rPr>
        <w:t> </w:t>
      </w:r>
      <w:r>
        <w:rPr>
          <w:color w:val="231F1F"/>
          <w:w w:val="110"/>
        </w:rPr>
        <w:t>estudios</w:t>
      </w:r>
      <w:r>
        <w:rPr>
          <w:color w:val="231F1F"/>
          <w:spacing w:val="-9"/>
          <w:w w:val="110"/>
        </w:rPr>
        <w:t> </w:t>
      </w:r>
      <w:r>
        <w:rPr>
          <w:color w:val="231F1F"/>
          <w:w w:val="110"/>
        </w:rPr>
        <w:t>encontraron</w:t>
      </w:r>
      <w:r>
        <w:rPr>
          <w:color w:val="231F1F"/>
          <w:spacing w:val="-9"/>
          <w:w w:val="110"/>
        </w:rPr>
        <w:t> </w:t>
      </w:r>
      <w:r>
        <w:rPr>
          <w:color w:val="231F1F"/>
          <w:w w:val="110"/>
        </w:rPr>
        <w:t>que</w:t>
      </w:r>
      <w:r>
        <w:rPr>
          <w:color w:val="231F1F"/>
          <w:spacing w:val="-9"/>
          <w:w w:val="110"/>
        </w:rPr>
        <w:t> </w:t>
      </w:r>
      <w:r>
        <w:rPr>
          <w:color w:val="231F1F"/>
          <w:w w:val="110"/>
        </w:rPr>
        <w:t>la</w:t>
      </w:r>
      <w:r>
        <w:rPr>
          <w:color w:val="231F1F"/>
          <w:spacing w:val="-9"/>
          <w:w w:val="110"/>
        </w:rPr>
        <w:t> </w:t>
      </w:r>
      <w:r>
        <w:rPr>
          <w:color w:val="231F1F"/>
          <w:w w:val="110"/>
        </w:rPr>
        <w:t>satisfacción</w:t>
      </w:r>
      <w:r>
        <w:rPr>
          <w:color w:val="231F1F"/>
          <w:spacing w:val="-10"/>
          <w:w w:val="110"/>
        </w:rPr>
        <w:t> </w:t>
      </w:r>
      <w:r>
        <w:rPr>
          <w:color w:val="231F1F"/>
          <w:w w:val="110"/>
        </w:rPr>
        <w:t>global</w:t>
      </w:r>
      <w:r>
        <w:rPr>
          <w:color w:val="231F1F"/>
          <w:spacing w:val="-10"/>
          <w:w w:val="110"/>
        </w:rPr>
        <w:t> </w:t>
      </w:r>
      <w:r>
        <w:rPr>
          <w:color w:val="231F1F"/>
          <w:w w:val="110"/>
        </w:rPr>
        <w:t>no</w:t>
      </w:r>
      <w:r>
        <w:rPr>
          <w:color w:val="231F1F"/>
          <w:spacing w:val="-9"/>
          <w:w w:val="110"/>
        </w:rPr>
        <w:t> </w:t>
      </w:r>
      <w:r>
        <w:rPr>
          <w:color w:val="231F1F"/>
          <w:w w:val="110"/>
        </w:rPr>
        <w:t>se</w:t>
      </w:r>
      <w:r>
        <w:rPr>
          <w:color w:val="231F1F"/>
          <w:spacing w:val="-9"/>
          <w:w w:val="110"/>
        </w:rPr>
        <w:t> </w:t>
      </w:r>
      <w:r>
        <w:rPr>
          <w:color w:val="231F1F"/>
          <w:w w:val="110"/>
        </w:rPr>
        <w:t>relacionaba con</w:t>
      </w:r>
      <w:r>
        <w:rPr>
          <w:color w:val="231F1F"/>
          <w:spacing w:val="-10"/>
          <w:w w:val="110"/>
        </w:rPr>
        <w:t> </w:t>
      </w:r>
      <w:r>
        <w:rPr>
          <w:color w:val="231F1F"/>
          <w:w w:val="110"/>
        </w:rPr>
        <w:t>la</w:t>
      </w:r>
      <w:r>
        <w:rPr>
          <w:color w:val="231F1F"/>
          <w:spacing w:val="-10"/>
          <w:w w:val="110"/>
        </w:rPr>
        <w:t> </w:t>
      </w:r>
      <w:r>
        <w:rPr>
          <w:color w:val="231F1F"/>
          <w:w w:val="110"/>
        </w:rPr>
        <w:t>paridad,</w:t>
      </w:r>
      <w:r>
        <w:rPr>
          <w:color w:val="231F1F"/>
          <w:spacing w:val="-11"/>
          <w:w w:val="110"/>
        </w:rPr>
        <w:t> </w:t>
      </w:r>
      <w:r>
        <w:rPr>
          <w:color w:val="231F1F"/>
          <w:w w:val="110"/>
        </w:rPr>
        <w:t>nivel</w:t>
      </w:r>
      <w:r>
        <w:rPr>
          <w:color w:val="231F1F"/>
          <w:spacing w:val="-11"/>
          <w:w w:val="110"/>
        </w:rPr>
        <w:t> </w:t>
      </w:r>
      <w:r>
        <w:rPr>
          <w:color w:val="231F1F"/>
          <w:w w:val="110"/>
        </w:rPr>
        <w:t>de</w:t>
      </w:r>
      <w:r>
        <w:rPr>
          <w:color w:val="231F1F"/>
          <w:spacing w:val="-10"/>
          <w:w w:val="110"/>
        </w:rPr>
        <w:t> </w:t>
      </w:r>
      <w:r>
        <w:rPr>
          <w:color w:val="231F1F"/>
          <w:w w:val="110"/>
        </w:rPr>
        <w:t>dolor</w:t>
      </w:r>
      <w:r>
        <w:rPr>
          <w:color w:val="231F1F"/>
          <w:spacing w:val="-11"/>
          <w:w w:val="110"/>
        </w:rPr>
        <w:t> </w:t>
      </w:r>
      <w:r>
        <w:rPr>
          <w:color w:val="231F1F"/>
          <w:w w:val="110"/>
        </w:rPr>
        <w:t>o</w:t>
      </w:r>
      <w:r>
        <w:rPr>
          <w:color w:val="231F1F"/>
          <w:spacing w:val="-10"/>
          <w:w w:val="110"/>
        </w:rPr>
        <w:t> </w:t>
      </w:r>
      <w:r>
        <w:rPr>
          <w:color w:val="231F1F"/>
          <w:w w:val="110"/>
        </w:rPr>
        <w:t>alivio</w:t>
      </w:r>
      <w:r>
        <w:rPr>
          <w:color w:val="231F1F"/>
          <w:spacing w:val="-10"/>
          <w:w w:val="110"/>
        </w:rPr>
        <w:t> </w:t>
      </w:r>
      <w:r>
        <w:rPr>
          <w:color w:val="231F1F"/>
          <w:w w:val="110"/>
        </w:rPr>
        <w:t>del</w:t>
      </w:r>
      <w:r>
        <w:rPr>
          <w:color w:val="231F1F"/>
          <w:spacing w:val="-11"/>
          <w:w w:val="110"/>
        </w:rPr>
        <w:t> </w:t>
      </w:r>
      <w:r>
        <w:rPr>
          <w:color w:val="231F1F"/>
          <w:w w:val="110"/>
        </w:rPr>
        <w:t>dolor</w:t>
      </w:r>
      <w:r>
        <w:rPr>
          <w:color w:val="231F1F"/>
          <w:spacing w:val="-11"/>
          <w:w w:val="110"/>
        </w:rPr>
        <w:t> </w:t>
      </w:r>
      <w:r>
        <w:rPr>
          <w:color w:val="231F1F"/>
          <w:w w:val="110"/>
        </w:rPr>
        <w:t>experimentado.</w:t>
      </w:r>
      <w:r>
        <w:rPr>
          <w:color w:val="231F1F"/>
          <w:spacing w:val="-11"/>
          <w:w w:val="110"/>
        </w:rPr>
        <w:t> </w:t>
      </w:r>
      <w:r>
        <w:rPr>
          <w:color w:val="231F1F"/>
          <w:w w:val="110"/>
        </w:rPr>
        <w:t>Las</w:t>
      </w:r>
      <w:r>
        <w:rPr>
          <w:color w:val="231F1F"/>
          <w:spacing w:val="-11"/>
          <w:w w:val="110"/>
        </w:rPr>
        <w:t> </w:t>
      </w:r>
      <w:r>
        <w:rPr>
          <w:color w:val="231F1F"/>
          <w:w w:val="110"/>
        </w:rPr>
        <w:t>mujeres más satisfechas fueron las que esperaban un parto más doloroso y las que tuvieron una experiencia menos dolorosa.</w:t>
      </w:r>
      <w:r>
        <w:rPr>
          <w:color w:val="231F1F"/>
          <w:spacing w:val="-1"/>
          <w:w w:val="110"/>
        </w:rPr>
        <w:t> </w:t>
      </w:r>
      <w:r>
        <w:rPr>
          <w:color w:val="231F1F"/>
          <w:w w:val="110"/>
        </w:rPr>
        <w:t>Además, la insatisfacción con la experiencia</w:t>
      </w:r>
      <w:r>
        <w:rPr>
          <w:color w:val="231F1F"/>
          <w:spacing w:val="-7"/>
          <w:w w:val="110"/>
        </w:rPr>
        <w:t> </w:t>
      </w:r>
      <w:r>
        <w:rPr>
          <w:color w:val="231F1F"/>
          <w:w w:val="110"/>
        </w:rPr>
        <w:t>global</w:t>
      </w:r>
      <w:r>
        <w:rPr>
          <w:color w:val="231F1F"/>
          <w:spacing w:val="-8"/>
          <w:w w:val="110"/>
        </w:rPr>
        <w:t> </w:t>
      </w:r>
      <w:r>
        <w:rPr>
          <w:color w:val="231F1F"/>
          <w:w w:val="110"/>
        </w:rPr>
        <w:t>del</w:t>
      </w:r>
      <w:r>
        <w:rPr>
          <w:color w:val="231F1F"/>
          <w:spacing w:val="-8"/>
          <w:w w:val="110"/>
        </w:rPr>
        <w:t> </w:t>
      </w:r>
      <w:r>
        <w:rPr>
          <w:color w:val="231F1F"/>
          <w:w w:val="110"/>
        </w:rPr>
        <w:t>parto</w:t>
      </w:r>
      <w:r>
        <w:rPr>
          <w:color w:val="231F1F"/>
          <w:spacing w:val="-7"/>
          <w:w w:val="110"/>
        </w:rPr>
        <w:t> </w:t>
      </w:r>
      <w:r>
        <w:rPr>
          <w:color w:val="231F1F"/>
          <w:w w:val="110"/>
        </w:rPr>
        <w:t>se</w:t>
      </w:r>
      <w:r>
        <w:rPr>
          <w:color w:val="231F1F"/>
          <w:spacing w:val="-7"/>
          <w:w w:val="110"/>
        </w:rPr>
        <w:t> </w:t>
      </w:r>
      <w:r>
        <w:rPr>
          <w:color w:val="231F1F"/>
          <w:w w:val="110"/>
        </w:rPr>
        <w:t>relacionaba</w:t>
      </w:r>
      <w:r>
        <w:rPr>
          <w:color w:val="231F1F"/>
          <w:spacing w:val="-7"/>
          <w:w w:val="110"/>
        </w:rPr>
        <w:t> </w:t>
      </w:r>
      <w:r>
        <w:rPr>
          <w:color w:val="231F1F"/>
          <w:w w:val="110"/>
        </w:rPr>
        <w:t>con</w:t>
      </w:r>
      <w:r>
        <w:rPr>
          <w:color w:val="231F1F"/>
          <w:spacing w:val="-7"/>
          <w:w w:val="110"/>
        </w:rPr>
        <w:t> </w:t>
      </w:r>
      <w:r>
        <w:rPr>
          <w:color w:val="231F1F"/>
          <w:w w:val="110"/>
        </w:rPr>
        <w:t>el</w:t>
      </w:r>
      <w:r>
        <w:rPr>
          <w:color w:val="231F1F"/>
          <w:spacing w:val="-8"/>
          <w:w w:val="110"/>
        </w:rPr>
        <w:t> </w:t>
      </w:r>
      <w:r>
        <w:rPr>
          <w:color w:val="231F1F"/>
          <w:w w:val="110"/>
        </w:rPr>
        <w:t>parto</w:t>
      </w:r>
      <w:r>
        <w:rPr>
          <w:color w:val="231F1F"/>
          <w:spacing w:val="-7"/>
          <w:w w:val="110"/>
        </w:rPr>
        <w:t> </w:t>
      </w:r>
      <w:r>
        <w:rPr>
          <w:color w:val="231F1F"/>
          <w:w w:val="110"/>
        </w:rPr>
        <w:t>instrumental,</w:t>
      </w:r>
      <w:r>
        <w:rPr>
          <w:color w:val="231F1F"/>
          <w:spacing w:val="-8"/>
          <w:w w:val="110"/>
        </w:rPr>
        <w:t> </w:t>
      </w:r>
      <w:r>
        <w:rPr>
          <w:color w:val="231F1F"/>
          <w:w w:val="110"/>
        </w:rPr>
        <w:t>no</w:t>
      </w:r>
      <w:r>
        <w:rPr>
          <w:color w:val="231F1F"/>
          <w:spacing w:val="-7"/>
          <w:w w:val="110"/>
        </w:rPr>
        <w:t> </w:t>
      </w:r>
      <w:r>
        <w:rPr>
          <w:color w:val="231F1F"/>
          <w:w w:val="110"/>
        </w:rPr>
        <w:t>así con el uso o necesidad de analgesia.</w:t>
      </w:r>
    </w:p>
    <w:p>
      <w:pPr>
        <w:pStyle w:val="BodyText"/>
        <w:spacing w:before="147"/>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0"/>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2"/>
          <w:sz w:val="24"/>
        </w:rPr>
        <w:t> </w:t>
      </w:r>
      <w:r>
        <w:rPr>
          <w:rFonts w:ascii="Arial MT" w:hAnsi="Arial MT"/>
          <w:color w:val="231F1F"/>
          <w:sz w:val="24"/>
        </w:rPr>
        <w:t>agosto</w:t>
      </w:r>
      <w:r>
        <w:rPr>
          <w:rFonts w:ascii="Arial MT" w:hAnsi="Arial MT"/>
          <w:color w:val="231F1F"/>
          <w:spacing w:val="23"/>
          <w:sz w:val="24"/>
        </w:rPr>
        <w:t> </w:t>
      </w:r>
      <w:r>
        <w:rPr>
          <w:rFonts w:ascii="Arial MT" w:hAnsi="Arial MT"/>
          <w:color w:val="231F1F"/>
          <w:spacing w:val="-2"/>
          <w:sz w:val="24"/>
        </w:rPr>
        <w:t>2008)</w:t>
      </w:r>
    </w:p>
    <w:p>
      <w:pPr>
        <w:pStyle w:val="BodyText"/>
        <w:spacing w:line="252" w:lineRule="auto" w:before="214"/>
        <w:ind w:left="283" w:right="1"/>
        <w:jc w:val="both"/>
      </w:pPr>
      <w:r>
        <w:rPr>
          <w:color w:val="231F1F"/>
          <w:w w:val="110"/>
        </w:rPr>
        <w:t>En</w:t>
      </w:r>
      <w:r>
        <w:rPr>
          <w:color w:val="231F1F"/>
          <w:spacing w:val="-9"/>
          <w:w w:val="110"/>
        </w:rPr>
        <w:t> </w:t>
      </w:r>
      <w:r>
        <w:rPr>
          <w:color w:val="231F1F"/>
          <w:w w:val="110"/>
        </w:rPr>
        <w:t>la</w:t>
      </w:r>
      <w:r>
        <w:rPr>
          <w:color w:val="231F1F"/>
          <w:spacing w:val="-9"/>
          <w:w w:val="110"/>
        </w:rPr>
        <w:t> </w:t>
      </w:r>
      <w:r>
        <w:rPr>
          <w:color w:val="231F1F"/>
          <w:w w:val="110"/>
        </w:rPr>
        <w:t>búsqueda</w:t>
      </w:r>
      <w:r>
        <w:rPr>
          <w:color w:val="231F1F"/>
          <w:spacing w:val="-10"/>
          <w:w w:val="110"/>
        </w:rPr>
        <w:t> </w:t>
      </w:r>
      <w:r>
        <w:rPr>
          <w:color w:val="231F1F"/>
          <w:w w:val="110"/>
        </w:rPr>
        <w:t>bibliográfica</w:t>
      </w:r>
      <w:r>
        <w:rPr>
          <w:color w:val="231F1F"/>
          <w:spacing w:val="-10"/>
          <w:w w:val="110"/>
        </w:rPr>
        <w:t> </w:t>
      </w:r>
      <w:r>
        <w:rPr>
          <w:color w:val="231F1F"/>
          <w:w w:val="110"/>
        </w:rPr>
        <w:t>se</w:t>
      </w:r>
      <w:r>
        <w:rPr>
          <w:color w:val="231F1F"/>
          <w:spacing w:val="-9"/>
          <w:w w:val="110"/>
        </w:rPr>
        <w:t> </w:t>
      </w:r>
      <w:r>
        <w:rPr>
          <w:color w:val="231F1F"/>
          <w:w w:val="110"/>
        </w:rPr>
        <w:t>encontraron</w:t>
      </w:r>
      <w:r>
        <w:rPr>
          <w:color w:val="231F1F"/>
          <w:spacing w:val="-9"/>
          <w:w w:val="110"/>
        </w:rPr>
        <w:t> </w:t>
      </w:r>
      <w:r>
        <w:rPr>
          <w:color w:val="231F1F"/>
          <w:w w:val="110"/>
        </w:rPr>
        <w:t>17</w:t>
      </w:r>
      <w:r>
        <w:rPr>
          <w:color w:val="231F1F"/>
          <w:spacing w:val="-9"/>
          <w:w w:val="110"/>
        </w:rPr>
        <w:t> </w:t>
      </w:r>
      <w:r>
        <w:rPr>
          <w:color w:val="231F1F"/>
          <w:w w:val="110"/>
        </w:rPr>
        <w:t>estudios</w:t>
      </w:r>
      <w:r>
        <w:rPr>
          <w:color w:val="231F1F"/>
          <w:spacing w:val="-9"/>
          <w:w w:val="110"/>
        </w:rPr>
        <w:t> </w:t>
      </w:r>
      <w:r>
        <w:rPr>
          <w:color w:val="231F1F"/>
          <w:w w:val="110"/>
        </w:rPr>
        <w:t>de</w:t>
      </w:r>
      <w:r>
        <w:rPr>
          <w:color w:val="231F1F"/>
          <w:spacing w:val="-9"/>
          <w:w w:val="110"/>
        </w:rPr>
        <w:t> </w:t>
      </w:r>
      <w:r>
        <w:rPr>
          <w:color w:val="231F1F"/>
          <w:w w:val="110"/>
        </w:rPr>
        <w:t>los</w:t>
      </w:r>
      <w:r>
        <w:rPr>
          <w:color w:val="231F1F"/>
          <w:spacing w:val="-10"/>
          <w:w w:val="110"/>
        </w:rPr>
        <w:t> </w:t>
      </w:r>
      <w:r>
        <w:rPr>
          <w:color w:val="231F1F"/>
          <w:w w:val="110"/>
        </w:rPr>
        <w:t>que</w:t>
      </w:r>
      <w:r>
        <w:rPr>
          <w:color w:val="231F1F"/>
          <w:spacing w:val="-9"/>
          <w:w w:val="110"/>
        </w:rPr>
        <w:t> </w:t>
      </w:r>
      <w:r>
        <w:rPr>
          <w:color w:val="231F1F"/>
          <w:w w:val="110"/>
        </w:rPr>
        <w:t>se</w:t>
      </w:r>
      <w:r>
        <w:rPr>
          <w:color w:val="231F1F"/>
          <w:spacing w:val="-9"/>
          <w:w w:val="110"/>
        </w:rPr>
        <w:t> </w:t>
      </w:r>
      <w:r>
        <w:rPr>
          <w:color w:val="231F1F"/>
          <w:w w:val="110"/>
        </w:rPr>
        <w:t>selec- cionaron</w:t>
      </w:r>
      <w:r>
        <w:rPr>
          <w:color w:val="231F1F"/>
          <w:spacing w:val="-12"/>
          <w:w w:val="110"/>
        </w:rPr>
        <w:t> </w:t>
      </w:r>
      <w:r>
        <w:rPr>
          <w:color w:val="231F1F"/>
          <w:w w:val="110"/>
        </w:rPr>
        <w:t>cuatro</w:t>
      </w:r>
      <w:r>
        <w:rPr>
          <w:color w:val="231F1F"/>
          <w:spacing w:val="-13"/>
          <w:w w:val="110"/>
        </w:rPr>
        <w:t> </w:t>
      </w:r>
      <w:r>
        <w:rPr>
          <w:color w:val="231F1F"/>
          <w:w w:val="110"/>
        </w:rPr>
        <w:t>que</w:t>
      </w:r>
      <w:r>
        <w:rPr>
          <w:color w:val="231F1F"/>
          <w:spacing w:val="-13"/>
          <w:w w:val="110"/>
        </w:rPr>
        <w:t> </w:t>
      </w:r>
      <w:r>
        <w:rPr>
          <w:color w:val="231F1F"/>
          <w:w w:val="110"/>
        </w:rPr>
        <w:t>cumplían</w:t>
      </w:r>
      <w:r>
        <w:rPr>
          <w:color w:val="231F1F"/>
          <w:spacing w:val="-13"/>
          <w:w w:val="110"/>
        </w:rPr>
        <w:t> </w:t>
      </w:r>
      <w:r>
        <w:rPr>
          <w:color w:val="231F1F"/>
          <w:w w:val="110"/>
        </w:rPr>
        <w:t>los</w:t>
      </w:r>
      <w:r>
        <w:rPr>
          <w:color w:val="231F1F"/>
          <w:spacing w:val="-13"/>
          <w:w w:val="110"/>
        </w:rPr>
        <w:t> </w:t>
      </w:r>
      <w:r>
        <w:rPr>
          <w:color w:val="231F1F"/>
          <w:w w:val="110"/>
        </w:rPr>
        <w:t>criterios</w:t>
      </w:r>
      <w:r>
        <w:rPr>
          <w:color w:val="231F1F"/>
          <w:spacing w:val="-13"/>
          <w:w w:val="110"/>
        </w:rPr>
        <w:t> </w:t>
      </w:r>
      <w:r>
        <w:rPr>
          <w:color w:val="231F1F"/>
          <w:w w:val="110"/>
        </w:rPr>
        <w:t>de</w:t>
      </w:r>
      <w:r>
        <w:rPr>
          <w:color w:val="231F1F"/>
          <w:spacing w:val="-13"/>
          <w:w w:val="110"/>
        </w:rPr>
        <w:t> </w:t>
      </w:r>
      <w:r>
        <w:rPr>
          <w:color w:val="231F1F"/>
          <w:w w:val="110"/>
        </w:rPr>
        <w:t>inclusión</w:t>
      </w:r>
      <w:r>
        <w:rPr>
          <w:color w:val="231F1F"/>
          <w:spacing w:val="-13"/>
          <w:w w:val="110"/>
        </w:rPr>
        <w:t> </w:t>
      </w:r>
      <w:r>
        <w:rPr>
          <w:color w:val="231F1F"/>
          <w:w w:val="110"/>
        </w:rPr>
        <w:t>establecidos:</w:t>
      </w:r>
      <w:r>
        <w:rPr>
          <w:color w:val="231F1F"/>
          <w:spacing w:val="-13"/>
          <w:w w:val="110"/>
        </w:rPr>
        <w:t> </w:t>
      </w:r>
      <w:r>
        <w:rPr>
          <w:color w:val="231F1F"/>
          <w:w w:val="110"/>
        </w:rPr>
        <w:t>dos</w:t>
      </w:r>
      <w:r>
        <w:rPr>
          <w:color w:val="231F1F"/>
          <w:spacing w:val="-13"/>
          <w:w w:val="110"/>
        </w:rPr>
        <w:t> </w:t>
      </w:r>
      <w:r>
        <w:rPr>
          <w:color w:val="231F1F"/>
          <w:w w:val="110"/>
        </w:rPr>
        <w:t>re- </w:t>
      </w:r>
      <w:r>
        <w:rPr>
          <w:color w:val="231F1F"/>
          <w:spacing w:val="-2"/>
          <w:w w:val="110"/>
        </w:rPr>
        <w:t>visiones</w:t>
      </w:r>
      <w:r>
        <w:rPr>
          <w:color w:val="231F1F"/>
          <w:spacing w:val="-11"/>
          <w:w w:val="110"/>
        </w:rPr>
        <w:t> </w:t>
      </w:r>
      <w:r>
        <w:rPr>
          <w:color w:val="231F1F"/>
          <w:spacing w:val="-2"/>
          <w:w w:val="110"/>
        </w:rPr>
        <w:t>sistemáticas</w:t>
      </w:r>
      <w:r>
        <w:rPr>
          <w:color w:val="231F1F"/>
          <w:spacing w:val="-11"/>
          <w:w w:val="110"/>
        </w:rPr>
        <w:t> </w:t>
      </w:r>
      <w:r>
        <w:rPr>
          <w:color w:val="231F1F"/>
          <w:spacing w:val="-2"/>
          <w:w w:val="110"/>
        </w:rPr>
        <w:t>(277;278),</w:t>
      </w:r>
      <w:r>
        <w:rPr>
          <w:color w:val="231F1F"/>
          <w:spacing w:val="-11"/>
          <w:w w:val="110"/>
        </w:rPr>
        <w:t> </w:t>
      </w:r>
      <w:r>
        <w:rPr>
          <w:color w:val="231F1F"/>
          <w:spacing w:val="-2"/>
          <w:w w:val="110"/>
        </w:rPr>
        <w:t>un</w:t>
      </w:r>
      <w:r>
        <w:rPr>
          <w:color w:val="231F1F"/>
          <w:spacing w:val="-11"/>
          <w:w w:val="110"/>
        </w:rPr>
        <w:t> </w:t>
      </w:r>
      <w:r>
        <w:rPr>
          <w:color w:val="231F1F"/>
          <w:spacing w:val="-2"/>
          <w:w w:val="110"/>
        </w:rPr>
        <w:t>ECA</w:t>
      </w:r>
      <w:r>
        <w:rPr>
          <w:color w:val="231F1F"/>
          <w:spacing w:val="-11"/>
          <w:w w:val="110"/>
        </w:rPr>
        <w:t> </w:t>
      </w:r>
      <w:r>
        <w:rPr>
          <w:color w:val="231F1F"/>
          <w:spacing w:val="-2"/>
          <w:w w:val="110"/>
        </w:rPr>
        <w:t>(279)</w:t>
      </w:r>
      <w:r>
        <w:rPr>
          <w:color w:val="231F1F"/>
          <w:spacing w:val="-11"/>
          <w:w w:val="110"/>
        </w:rPr>
        <w:t> </w:t>
      </w:r>
      <w:r>
        <w:rPr>
          <w:color w:val="231F1F"/>
          <w:spacing w:val="-2"/>
          <w:w w:val="110"/>
        </w:rPr>
        <w:t>y</w:t>
      </w:r>
      <w:r>
        <w:rPr>
          <w:color w:val="231F1F"/>
          <w:spacing w:val="-11"/>
          <w:w w:val="110"/>
        </w:rPr>
        <w:t> </w:t>
      </w:r>
      <w:r>
        <w:rPr>
          <w:color w:val="231F1F"/>
          <w:spacing w:val="-2"/>
          <w:w w:val="110"/>
        </w:rPr>
        <w:t>un</w:t>
      </w:r>
      <w:r>
        <w:rPr>
          <w:color w:val="231F1F"/>
          <w:spacing w:val="-11"/>
          <w:w w:val="110"/>
        </w:rPr>
        <w:t> </w:t>
      </w:r>
      <w:r>
        <w:rPr>
          <w:color w:val="231F1F"/>
          <w:spacing w:val="-2"/>
          <w:w w:val="110"/>
        </w:rPr>
        <w:t>estudio</w:t>
      </w:r>
      <w:r>
        <w:rPr>
          <w:color w:val="231F1F"/>
          <w:spacing w:val="-11"/>
          <w:w w:val="110"/>
        </w:rPr>
        <w:t> </w:t>
      </w:r>
      <w:r>
        <w:rPr>
          <w:color w:val="231F1F"/>
          <w:spacing w:val="-2"/>
          <w:w w:val="110"/>
        </w:rPr>
        <w:t>observacional</w:t>
      </w:r>
      <w:r>
        <w:rPr>
          <w:color w:val="231F1F"/>
          <w:spacing w:val="-11"/>
          <w:w w:val="110"/>
        </w:rPr>
        <w:t> </w:t>
      </w:r>
      <w:r>
        <w:rPr>
          <w:color w:val="231F1F"/>
          <w:spacing w:val="-2"/>
          <w:w w:val="110"/>
        </w:rPr>
        <w:t>de </w:t>
      </w:r>
      <w:r>
        <w:rPr>
          <w:color w:val="231F1F"/>
          <w:w w:val="110"/>
        </w:rPr>
        <w:t>cohortes (280).</w:t>
      </w:r>
    </w:p>
    <w:p>
      <w:pPr>
        <w:pStyle w:val="BodyText"/>
        <w:spacing w:line="249" w:lineRule="auto" w:before="137"/>
        <w:ind w:left="283" w:firstLine="453"/>
        <w:jc w:val="both"/>
      </w:pPr>
      <w:r>
        <w:rPr>
          <w:color w:val="231F1F"/>
          <w:w w:val="105"/>
        </w:rPr>
        <w:t>La primera de las RSs (277) tenía como objetivo examinar los efectos de las terapias complementarias para el tratamiento del dolor sobre la morbilidad materna y perinatal. Varios ensayos clínicos incluidos en esta revisión valora- ban</w:t>
      </w:r>
      <w:r>
        <w:rPr>
          <w:color w:val="231F1F"/>
          <w:w w:val="105"/>
        </w:rPr>
        <w:t> la</w:t>
      </w:r>
      <w:r>
        <w:rPr>
          <w:color w:val="231F1F"/>
          <w:w w:val="105"/>
        </w:rPr>
        <w:t> satisfacción</w:t>
      </w:r>
      <w:r>
        <w:rPr>
          <w:color w:val="231F1F"/>
          <w:w w:val="105"/>
        </w:rPr>
        <w:t> materna</w:t>
      </w:r>
      <w:r>
        <w:rPr>
          <w:color w:val="231F1F"/>
          <w:w w:val="105"/>
        </w:rPr>
        <w:t> o</w:t>
      </w:r>
      <w:r>
        <w:rPr>
          <w:color w:val="231F1F"/>
          <w:w w:val="105"/>
        </w:rPr>
        <w:t> la</w:t>
      </w:r>
      <w:r>
        <w:rPr>
          <w:color w:val="231F1F"/>
          <w:w w:val="105"/>
        </w:rPr>
        <w:t> experiencia</w:t>
      </w:r>
      <w:r>
        <w:rPr>
          <w:color w:val="231F1F"/>
          <w:w w:val="105"/>
        </w:rPr>
        <w:t> emocional</w:t>
      </w:r>
      <w:r>
        <w:rPr>
          <w:color w:val="231F1F"/>
          <w:w w:val="105"/>
        </w:rPr>
        <w:t> de</w:t>
      </w:r>
      <w:r>
        <w:rPr>
          <w:color w:val="231F1F"/>
          <w:w w:val="105"/>
        </w:rPr>
        <w:t> la</w:t>
      </w:r>
      <w:r>
        <w:rPr>
          <w:color w:val="231F1F"/>
          <w:w w:val="105"/>
        </w:rPr>
        <w:t> mujer</w:t>
      </w:r>
      <w:r>
        <w:rPr>
          <w:color w:val="231F1F"/>
          <w:w w:val="105"/>
        </w:rPr>
        <w:t> con</w:t>
      </w:r>
      <w:r>
        <w:rPr>
          <w:color w:val="231F1F"/>
          <w:w w:val="105"/>
        </w:rPr>
        <w:t> el tratamiento del dolor durante el trabajo de parto. Sin embargo, la mayor parte de</w:t>
      </w:r>
      <w:r>
        <w:rPr>
          <w:color w:val="231F1F"/>
          <w:w w:val="105"/>
        </w:rPr>
        <w:t> los</w:t>
      </w:r>
      <w:r>
        <w:rPr>
          <w:color w:val="231F1F"/>
          <w:w w:val="105"/>
        </w:rPr>
        <w:t> tratamientos</w:t>
      </w:r>
      <w:r>
        <w:rPr>
          <w:color w:val="231F1F"/>
          <w:w w:val="105"/>
        </w:rPr>
        <w:t> utilizados</w:t>
      </w:r>
      <w:r>
        <w:rPr>
          <w:color w:val="231F1F"/>
          <w:w w:val="105"/>
        </w:rPr>
        <w:t> en</w:t>
      </w:r>
      <w:r>
        <w:rPr>
          <w:color w:val="231F1F"/>
          <w:w w:val="105"/>
        </w:rPr>
        <w:t> los</w:t>
      </w:r>
      <w:r>
        <w:rPr>
          <w:color w:val="231F1F"/>
          <w:w w:val="105"/>
        </w:rPr>
        <w:t> mismos</w:t>
      </w:r>
      <w:r>
        <w:rPr>
          <w:color w:val="231F1F"/>
          <w:w w:val="105"/>
        </w:rPr>
        <w:t> eran</w:t>
      </w:r>
      <w:r>
        <w:rPr>
          <w:color w:val="231F1F"/>
          <w:w w:val="105"/>
        </w:rPr>
        <w:t> terapias</w:t>
      </w:r>
      <w:r>
        <w:rPr>
          <w:color w:val="231F1F"/>
          <w:w w:val="105"/>
        </w:rPr>
        <w:t> no</w:t>
      </w:r>
      <w:r>
        <w:rPr>
          <w:color w:val="231F1F"/>
          <w:w w:val="105"/>
        </w:rPr>
        <w:t> utilizadas</w:t>
      </w:r>
      <w:r>
        <w:rPr>
          <w:color w:val="231F1F"/>
          <w:w w:val="105"/>
        </w:rPr>
        <w:t> en nuestro</w:t>
      </w:r>
      <w:r>
        <w:rPr>
          <w:color w:val="231F1F"/>
          <w:w w:val="105"/>
        </w:rPr>
        <w:t> ámbito</w:t>
      </w:r>
      <w:r>
        <w:rPr>
          <w:color w:val="231F1F"/>
          <w:w w:val="105"/>
        </w:rPr>
        <w:t> (acupuntura,</w:t>
      </w:r>
      <w:r>
        <w:rPr>
          <w:color w:val="231F1F"/>
          <w:w w:val="105"/>
        </w:rPr>
        <w:t> audioanalgesia,</w:t>
      </w:r>
      <w:r>
        <w:rPr>
          <w:color w:val="231F1F"/>
          <w:w w:val="105"/>
        </w:rPr>
        <w:t> hipnosis</w:t>
      </w:r>
      <w:r>
        <w:rPr>
          <w:color w:val="231F1F"/>
          <w:w w:val="105"/>
        </w:rPr>
        <w:t> y</w:t>
      </w:r>
      <w:r>
        <w:rPr>
          <w:color w:val="231F1F"/>
          <w:w w:val="105"/>
        </w:rPr>
        <w:t> algunas</w:t>
      </w:r>
      <w:r>
        <w:rPr>
          <w:color w:val="231F1F"/>
          <w:w w:val="105"/>
        </w:rPr>
        <w:t> técnicas</w:t>
      </w:r>
      <w:r>
        <w:rPr>
          <w:color w:val="231F1F"/>
          <w:w w:val="105"/>
        </w:rPr>
        <w:t> de masaje), por lo que los resultados no se podrían generalizar a nuestro entorno </w:t>
      </w:r>
      <w:r>
        <w:rPr>
          <w:color w:val="231F1F"/>
          <w:spacing w:val="-2"/>
          <w:w w:val="105"/>
        </w:rPr>
        <w:t>hospitalario.</w:t>
      </w:r>
    </w:p>
    <w:p>
      <w:pPr>
        <w:pStyle w:val="BodyText"/>
        <w:spacing w:line="249" w:lineRule="auto" w:before="85"/>
        <w:ind w:left="283" w:right="1" w:firstLine="453"/>
        <w:jc w:val="both"/>
      </w:pPr>
      <w:r>
        <w:rPr>
          <w:color w:val="231F1F"/>
          <w:w w:val="110"/>
        </w:rPr>
        <w:t>La</w:t>
      </w:r>
      <w:r>
        <w:rPr>
          <w:color w:val="231F1F"/>
          <w:spacing w:val="-6"/>
          <w:w w:val="110"/>
        </w:rPr>
        <w:t> </w:t>
      </w:r>
      <w:r>
        <w:rPr>
          <w:color w:val="231F1F"/>
          <w:w w:val="110"/>
        </w:rPr>
        <w:t>otra</w:t>
      </w:r>
      <w:r>
        <w:rPr>
          <w:color w:val="231F1F"/>
          <w:spacing w:val="-6"/>
          <w:w w:val="110"/>
        </w:rPr>
        <w:t> </w:t>
      </w:r>
      <w:r>
        <w:rPr>
          <w:color w:val="231F1F"/>
          <w:w w:val="110"/>
        </w:rPr>
        <w:t>RS</w:t>
      </w:r>
      <w:r>
        <w:rPr>
          <w:color w:val="231F1F"/>
          <w:spacing w:val="-5"/>
          <w:w w:val="110"/>
        </w:rPr>
        <w:t> </w:t>
      </w:r>
      <w:r>
        <w:rPr>
          <w:color w:val="231F1F"/>
          <w:w w:val="110"/>
        </w:rPr>
        <w:t>(278)</w:t>
      </w:r>
      <w:r>
        <w:rPr>
          <w:color w:val="231F1F"/>
          <w:spacing w:val="-6"/>
          <w:w w:val="110"/>
        </w:rPr>
        <w:t> </w:t>
      </w:r>
      <w:r>
        <w:rPr>
          <w:color w:val="231F1F"/>
          <w:w w:val="110"/>
        </w:rPr>
        <w:t>llevada</w:t>
      </w:r>
      <w:r>
        <w:rPr>
          <w:color w:val="231F1F"/>
          <w:spacing w:val="-5"/>
          <w:w w:val="110"/>
        </w:rPr>
        <w:t> </w:t>
      </w:r>
      <w:r>
        <w:rPr>
          <w:color w:val="231F1F"/>
          <w:w w:val="110"/>
        </w:rPr>
        <w:t>a</w:t>
      </w:r>
      <w:r>
        <w:rPr>
          <w:color w:val="231F1F"/>
          <w:spacing w:val="-5"/>
          <w:w w:val="110"/>
        </w:rPr>
        <w:t> </w:t>
      </w:r>
      <w:r>
        <w:rPr>
          <w:color w:val="231F1F"/>
          <w:w w:val="110"/>
        </w:rPr>
        <w:t>cabo</w:t>
      </w:r>
      <w:r>
        <w:rPr>
          <w:color w:val="231F1F"/>
          <w:spacing w:val="-5"/>
          <w:w w:val="110"/>
        </w:rPr>
        <w:t> </w:t>
      </w:r>
      <w:r>
        <w:rPr>
          <w:color w:val="231F1F"/>
          <w:w w:val="110"/>
        </w:rPr>
        <w:t>en</w:t>
      </w:r>
      <w:r>
        <w:rPr>
          <w:color w:val="231F1F"/>
          <w:spacing w:val="-5"/>
          <w:w w:val="110"/>
        </w:rPr>
        <w:t> </w:t>
      </w:r>
      <w:r>
        <w:rPr>
          <w:color w:val="231F1F"/>
          <w:w w:val="110"/>
        </w:rPr>
        <w:t>el</w:t>
      </w:r>
      <w:r>
        <w:rPr>
          <w:color w:val="231F1F"/>
          <w:spacing w:val="-6"/>
          <w:w w:val="110"/>
        </w:rPr>
        <w:t> </w:t>
      </w:r>
      <w:r>
        <w:rPr>
          <w:color w:val="231F1F"/>
          <w:w w:val="110"/>
        </w:rPr>
        <w:t>Reino</w:t>
      </w:r>
      <w:r>
        <w:rPr>
          <w:color w:val="231F1F"/>
          <w:spacing w:val="-6"/>
          <w:w w:val="110"/>
        </w:rPr>
        <w:t> </w:t>
      </w:r>
      <w:r>
        <w:rPr>
          <w:color w:val="231F1F"/>
          <w:w w:val="110"/>
        </w:rPr>
        <w:t>Unido,</w:t>
      </w:r>
      <w:r>
        <w:rPr>
          <w:color w:val="231F1F"/>
          <w:spacing w:val="-6"/>
          <w:w w:val="110"/>
        </w:rPr>
        <w:t> </w:t>
      </w:r>
      <w:r>
        <w:rPr>
          <w:color w:val="231F1F"/>
          <w:w w:val="110"/>
        </w:rPr>
        <w:t>incluía</w:t>
      </w:r>
      <w:r>
        <w:rPr>
          <w:color w:val="231F1F"/>
          <w:spacing w:val="-5"/>
          <w:w w:val="110"/>
        </w:rPr>
        <w:t> </w:t>
      </w:r>
      <w:r>
        <w:rPr>
          <w:color w:val="231F1F"/>
          <w:w w:val="110"/>
        </w:rPr>
        <w:t>32</w:t>
      </w:r>
      <w:r>
        <w:rPr>
          <w:color w:val="231F1F"/>
          <w:spacing w:val="-5"/>
          <w:w w:val="110"/>
        </w:rPr>
        <w:t> </w:t>
      </w:r>
      <w:r>
        <w:rPr>
          <w:color w:val="231F1F"/>
          <w:w w:val="110"/>
        </w:rPr>
        <w:t>estudios cuantitativos</w:t>
      </w:r>
      <w:r>
        <w:rPr>
          <w:color w:val="231F1F"/>
          <w:spacing w:val="-10"/>
          <w:w w:val="110"/>
        </w:rPr>
        <w:t> </w:t>
      </w:r>
      <w:r>
        <w:rPr>
          <w:color w:val="231F1F"/>
          <w:w w:val="110"/>
        </w:rPr>
        <w:t>y</w:t>
      </w:r>
      <w:r>
        <w:rPr>
          <w:color w:val="231F1F"/>
          <w:spacing w:val="-9"/>
          <w:w w:val="110"/>
        </w:rPr>
        <w:t> </w:t>
      </w:r>
      <w:r>
        <w:rPr>
          <w:color w:val="231F1F"/>
          <w:w w:val="110"/>
        </w:rPr>
        <w:t>cualitativos,</w:t>
      </w:r>
      <w:r>
        <w:rPr>
          <w:color w:val="231F1F"/>
          <w:spacing w:val="-10"/>
          <w:w w:val="110"/>
        </w:rPr>
        <w:t> </w:t>
      </w:r>
      <w:r>
        <w:rPr>
          <w:color w:val="231F1F"/>
          <w:w w:val="110"/>
        </w:rPr>
        <w:t>realizados</w:t>
      </w:r>
      <w:r>
        <w:rPr>
          <w:color w:val="231F1F"/>
          <w:spacing w:val="-9"/>
          <w:w w:val="110"/>
        </w:rPr>
        <w:t> </w:t>
      </w:r>
      <w:r>
        <w:rPr>
          <w:color w:val="231F1F"/>
          <w:w w:val="110"/>
        </w:rPr>
        <w:t>mediante</w:t>
      </w:r>
      <w:r>
        <w:rPr>
          <w:color w:val="231F1F"/>
          <w:spacing w:val="-9"/>
          <w:w w:val="110"/>
        </w:rPr>
        <w:t> </w:t>
      </w:r>
      <w:r>
        <w:rPr>
          <w:color w:val="231F1F"/>
          <w:w w:val="110"/>
        </w:rPr>
        <w:t>encuestas</w:t>
      </w:r>
      <w:r>
        <w:rPr>
          <w:color w:val="231F1F"/>
          <w:spacing w:val="-9"/>
          <w:w w:val="110"/>
        </w:rPr>
        <w:t> </w:t>
      </w:r>
      <w:r>
        <w:rPr>
          <w:color w:val="231F1F"/>
          <w:w w:val="110"/>
        </w:rPr>
        <w:t>y</w:t>
      </w:r>
      <w:r>
        <w:rPr>
          <w:color w:val="231F1F"/>
          <w:spacing w:val="-9"/>
          <w:w w:val="110"/>
        </w:rPr>
        <w:t> </w:t>
      </w:r>
      <w:r>
        <w:rPr>
          <w:color w:val="231F1F"/>
          <w:w w:val="110"/>
        </w:rPr>
        <w:t>entrevistas.</w:t>
      </w:r>
      <w:r>
        <w:rPr>
          <w:color w:val="231F1F"/>
          <w:spacing w:val="-10"/>
          <w:w w:val="110"/>
        </w:rPr>
        <w:t> </w:t>
      </w:r>
      <w:r>
        <w:rPr>
          <w:color w:val="231F1F"/>
          <w:w w:val="110"/>
        </w:rPr>
        <w:t>En ella se evaluaron las expectativas y experiencias de la mujer con el dolor durante el parto y con su alivio, así como su implicación en la toma de de- </w:t>
      </w:r>
      <w:r>
        <w:rPr>
          <w:color w:val="231F1F"/>
          <w:spacing w:val="-2"/>
          <w:w w:val="110"/>
        </w:rPr>
        <w:t>cisiones.</w:t>
      </w:r>
    </w:p>
    <w:p>
      <w:pPr>
        <w:pStyle w:val="BodyText"/>
        <w:spacing w:line="247" w:lineRule="auto" w:before="53"/>
        <w:ind w:left="283" w:right="1" w:firstLine="453"/>
        <w:jc w:val="both"/>
      </w:pPr>
      <w:r>
        <w:rPr>
          <w:color w:val="231F1F"/>
          <w:w w:val="110"/>
        </w:rPr>
        <w:t>La revisión reveló cuatro aspectos claves: el grado y tipo de dolor, el alivio del dolor, la participación en la toma de decisiones y el control. Se observó</w:t>
      </w:r>
      <w:r>
        <w:rPr>
          <w:color w:val="231F1F"/>
          <w:spacing w:val="-10"/>
          <w:w w:val="110"/>
        </w:rPr>
        <w:t> </w:t>
      </w:r>
      <w:r>
        <w:rPr>
          <w:color w:val="231F1F"/>
          <w:w w:val="110"/>
        </w:rPr>
        <w:t>que</w:t>
      </w:r>
      <w:r>
        <w:rPr>
          <w:color w:val="231F1F"/>
          <w:spacing w:val="-10"/>
          <w:w w:val="110"/>
        </w:rPr>
        <w:t> </w:t>
      </w:r>
      <w:r>
        <w:rPr>
          <w:color w:val="231F1F"/>
          <w:w w:val="110"/>
        </w:rPr>
        <w:t>la</w:t>
      </w:r>
      <w:r>
        <w:rPr>
          <w:color w:val="231F1F"/>
          <w:spacing w:val="-10"/>
          <w:w w:val="110"/>
        </w:rPr>
        <w:t> </w:t>
      </w:r>
      <w:r>
        <w:rPr>
          <w:color w:val="231F1F"/>
          <w:w w:val="110"/>
        </w:rPr>
        <w:t>experiencia</w:t>
      </w:r>
      <w:r>
        <w:rPr>
          <w:color w:val="231F1F"/>
          <w:spacing w:val="-10"/>
          <w:w w:val="110"/>
        </w:rPr>
        <w:t> </w:t>
      </w:r>
      <w:r>
        <w:rPr>
          <w:color w:val="231F1F"/>
          <w:w w:val="110"/>
        </w:rPr>
        <w:t>de</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10"/>
          <w:w w:val="110"/>
        </w:rPr>
        <w:t> </w:t>
      </w:r>
      <w:r>
        <w:rPr>
          <w:color w:val="231F1F"/>
          <w:w w:val="110"/>
        </w:rPr>
        <w:t>en</w:t>
      </w:r>
      <w:r>
        <w:rPr>
          <w:color w:val="231F1F"/>
          <w:spacing w:val="-10"/>
          <w:w w:val="110"/>
        </w:rPr>
        <w:t> </w:t>
      </w:r>
      <w:r>
        <w:rPr>
          <w:color w:val="231F1F"/>
          <w:w w:val="110"/>
        </w:rPr>
        <w:t>muchas</w:t>
      </w:r>
      <w:r>
        <w:rPr>
          <w:color w:val="231F1F"/>
          <w:spacing w:val="-10"/>
          <w:w w:val="110"/>
        </w:rPr>
        <w:t> </w:t>
      </w:r>
      <w:r>
        <w:rPr>
          <w:color w:val="231F1F"/>
          <w:w w:val="110"/>
        </w:rPr>
        <w:t>ocasiones</w:t>
      </w:r>
      <w:r>
        <w:rPr>
          <w:color w:val="231F1F"/>
          <w:spacing w:val="-10"/>
          <w:w w:val="110"/>
        </w:rPr>
        <w:t> </w:t>
      </w:r>
      <w:r>
        <w:rPr>
          <w:color w:val="231F1F"/>
          <w:w w:val="110"/>
        </w:rPr>
        <w:t>resultó</w:t>
      </w:r>
      <w:r>
        <w:rPr>
          <w:color w:val="231F1F"/>
          <w:spacing w:val="-10"/>
          <w:w w:val="110"/>
        </w:rPr>
        <w:t> </w:t>
      </w:r>
      <w:r>
        <w:rPr>
          <w:color w:val="231F1F"/>
          <w:w w:val="110"/>
        </w:rPr>
        <w:t>muy diferente a sus expectativas respecto al alivio del dolor, control y toma de decisiones.</w:t>
      </w:r>
      <w:r>
        <w:rPr>
          <w:color w:val="231F1F"/>
          <w:spacing w:val="-1"/>
          <w:w w:val="110"/>
        </w:rPr>
        <w:t> </w:t>
      </w:r>
      <w:r>
        <w:rPr>
          <w:color w:val="231F1F"/>
          <w:w w:val="110"/>
        </w:rPr>
        <w:t>Las</w:t>
      </w:r>
      <w:r>
        <w:rPr>
          <w:color w:val="231F1F"/>
          <w:spacing w:val="-1"/>
          <w:w w:val="110"/>
        </w:rPr>
        <w:t> </w:t>
      </w:r>
      <w:r>
        <w:rPr>
          <w:color w:val="231F1F"/>
          <w:w w:val="110"/>
        </w:rPr>
        <w:t>mujeres</w:t>
      </w:r>
      <w:r>
        <w:rPr>
          <w:color w:val="231F1F"/>
          <w:spacing w:val="-2"/>
          <w:w w:val="110"/>
        </w:rPr>
        <w:t> </w:t>
      </w:r>
      <w:r>
        <w:rPr>
          <w:color w:val="231F1F"/>
          <w:w w:val="110"/>
        </w:rPr>
        <w:t>esperan</w:t>
      </w:r>
      <w:r>
        <w:rPr>
          <w:color w:val="231F1F"/>
          <w:spacing w:val="-1"/>
          <w:w w:val="110"/>
        </w:rPr>
        <w:t> </w:t>
      </w:r>
      <w:r>
        <w:rPr>
          <w:color w:val="231F1F"/>
          <w:w w:val="110"/>
        </w:rPr>
        <w:t>partos</w:t>
      </w:r>
      <w:r>
        <w:rPr>
          <w:color w:val="231F1F"/>
          <w:spacing w:val="-1"/>
          <w:w w:val="110"/>
        </w:rPr>
        <w:t> </w:t>
      </w:r>
      <w:r>
        <w:rPr>
          <w:color w:val="231F1F"/>
          <w:w w:val="110"/>
        </w:rPr>
        <w:t>sin</w:t>
      </w:r>
      <w:r>
        <w:rPr>
          <w:color w:val="231F1F"/>
          <w:spacing w:val="-1"/>
          <w:w w:val="110"/>
        </w:rPr>
        <w:t> </w:t>
      </w:r>
      <w:r>
        <w:rPr>
          <w:color w:val="231F1F"/>
          <w:w w:val="110"/>
        </w:rPr>
        <w:t>alivio</w:t>
      </w:r>
      <w:r>
        <w:rPr>
          <w:color w:val="231F1F"/>
          <w:spacing w:val="-2"/>
          <w:w w:val="110"/>
        </w:rPr>
        <w:t> </w:t>
      </w:r>
      <w:r>
        <w:rPr>
          <w:color w:val="231F1F"/>
          <w:w w:val="110"/>
        </w:rPr>
        <w:t>del</w:t>
      </w:r>
      <w:r>
        <w:rPr>
          <w:color w:val="231F1F"/>
          <w:spacing w:val="-1"/>
          <w:w w:val="110"/>
        </w:rPr>
        <w:t> </w:t>
      </w:r>
      <w:r>
        <w:rPr>
          <w:color w:val="231F1F"/>
          <w:w w:val="110"/>
        </w:rPr>
        <w:t>dolor,</w:t>
      </w:r>
      <w:r>
        <w:rPr>
          <w:color w:val="231F1F"/>
          <w:spacing w:val="-1"/>
          <w:w w:val="110"/>
        </w:rPr>
        <w:t> </w:t>
      </w:r>
      <w:r>
        <w:rPr>
          <w:color w:val="231F1F"/>
          <w:w w:val="110"/>
        </w:rPr>
        <w:t>pero</w:t>
      </w:r>
      <w:r>
        <w:rPr>
          <w:color w:val="231F1F"/>
          <w:spacing w:val="-2"/>
          <w:w w:val="110"/>
        </w:rPr>
        <w:t> </w:t>
      </w:r>
      <w:r>
        <w:rPr>
          <w:color w:val="231F1F"/>
          <w:w w:val="110"/>
        </w:rPr>
        <w:t>muchas</w:t>
      </w:r>
      <w:r>
        <w:rPr>
          <w:color w:val="231F1F"/>
          <w:spacing w:val="-1"/>
          <w:w w:val="110"/>
        </w:rPr>
        <w:t> </w:t>
      </w:r>
      <w:r>
        <w:rPr>
          <w:color w:val="231F1F"/>
          <w:w w:val="110"/>
        </w:rPr>
        <w:t>lo necesitaron, ya que el grado de dolor experimentado fue mayor al espera- </w:t>
      </w:r>
      <w:r>
        <w:rPr>
          <w:color w:val="231F1F"/>
          <w:spacing w:val="-4"/>
          <w:w w:val="110"/>
        </w:rPr>
        <w:t>do.</w:t>
      </w:r>
    </w:p>
    <w:p>
      <w:pPr>
        <w:spacing w:line="278" w:lineRule="auto" w:before="124"/>
        <w:ind w:left="377" w:right="198" w:hanging="243"/>
        <w:jc w:val="left"/>
        <w:rPr>
          <w:rFonts w:ascii="Arial MT"/>
          <w:sz w:val="18"/>
        </w:rPr>
      </w:pPr>
      <w:r>
        <w:rPr/>
        <w:br w:type="column"/>
      </w:r>
      <w:r>
        <w:rPr>
          <w:rFonts w:ascii="Arial MT"/>
          <w:color w:val="231F1F"/>
          <w:spacing w:val="-4"/>
          <w:sz w:val="18"/>
        </w:rPr>
        <w:t>E.</w:t>
      </w:r>
      <w:r>
        <w:rPr>
          <w:rFonts w:ascii="Arial MT"/>
          <w:color w:val="231F1F"/>
          <w:spacing w:val="-18"/>
          <w:sz w:val="18"/>
        </w:rPr>
        <w:t> </w:t>
      </w:r>
      <w:r>
        <w:rPr>
          <w:rFonts w:ascii="Arial MT"/>
          <w:color w:val="231F1F"/>
          <w:spacing w:val="-4"/>
          <w:sz w:val="18"/>
        </w:rPr>
        <w:t>Observa- </w:t>
      </w:r>
      <w:r>
        <w:rPr>
          <w:rFonts w:ascii="Arial MT"/>
          <w:color w:val="231F1F"/>
          <w:spacing w:val="-2"/>
          <w:sz w:val="18"/>
        </w:rPr>
        <w:t>cional</w:t>
      </w:r>
    </w:p>
    <w:p>
      <w:pPr>
        <w:spacing w:line="202" w:lineRule="exact" w:before="0"/>
        <w:ind w:left="575" w:right="0" w:firstLine="0"/>
        <w:jc w:val="left"/>
        <w:rPr>
          <w:rFonts w:ascii="Arial MT"/>
          <w:sz w:val="18"/>
        </w:rPr>
      </w:pP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71"/>
        <w:rPr>
          <w:rFonts w:ascii="Arial MT"/>
          <w:sz w:val="18"/>
        </w:rPr>
      </w:pPr>
    </w:p>
    <w:p>
      <w:pPr>
        <w:spacing w:line="276" w:lineRule="auto" w:before="0"/>
        <w:ind w:left="169" w:right="230" w:hanging="7"/>
        <w:jc w:val="center"/>
        <w:rPr>
          <w:rFonts w:ascii="Arial MT"/>
          <w:sz w:val="18"/>
        </w:rPr>
      </w:pPr>
      <w:r>
        <w:rPr>
          <w:rFonts w:ascii="Arial MT"/>
          <w:color w:val="231F1F"/>
          <w:sz w:val="18"/>
        </w:rPr>
        <w:t>RS de E. </w:t>
      </w:r>
      <w:r>
        <w:rPr>
          <w:rFonts w:ascii="Arial MT"/>
          <w:color w:val="231F1F"/>
          <w:spacing w:val="-6"/>
          <w:sz w:val="18"/>
        </w:rPr>
        <w:t>Observacio- </w:t>
      </w:r>
      <w:r>
        <w:rPr>
          <w:rFonts w:ascii="Arial MT"/>
          <w:color w:val="231F1F"/>
          <w:spacing w:val="-2"/>
          <w:sz w:val="18"/>
        </w:rPr>
        <w:t>nales</w:t>
      </w:r>
    </w:p>
    <w:p>
      <w:pPr>
        <w:spacing w:line="203" w:lineRule="exact" w:before="0"/>
        <w:ind w:left="391" w:right="445" w:firstLine="0"/>
        <w:jc w:val="center"/>
        <w:rPr>
          <w:rFonts w:ascii="Arial MT"/>
          <w:sz w:val="18"/>
        </w:rPr>
      </w:pPr>
      <w:r>
        <w:rPr>
          <w:rFonts w:ascii="Arial MT"/>
          <w:color w:val="231F1F"/>
          <w:spacing w:val="-5"/>
          <w:sz w:val="18"/>
        </w:rPr>
        <w:t>2++</w:t>
      </w:r>
    </w:p>
    <w:p>
      <w:pPr>
        <w:spacing w:after="0" w:line="203" w:lineRule="exact"/>
        <w:jc w:val="center"/>
        <w:rPr>
          <w:rFonts w:ascii="Arial MT"/>
          <w:sz w:val="18"/>
        </w:rPr>
        <w:sectPr>
          <w:pgSz w:w="11900" w:h="16840"/>
          <w:pgMar w:header="0" w:footer="622" w:top="1560" w:bottom="820" w:left="1417" w:right="1559"/>
          <w:cols w:num="2" w:equalWidth="0">
            <w:col w:w="7552" w:space="40"/>
            <w:col w:w="1332"/>
          </w:cols>
        </w:sectPr>
      </w:pPr>
    </w:p>
    <w:p>
      <w:pPr>
        <w:pStyle w:val="BodyText"/>
        <w:spacing w:line="244" w:lineRule="auto" w:before="129"/>
        <w:ind w:left="283" w:right="1370" w:firstLine="453"/>
        <w:jc w:val="both"/>
      </w:pPr>
      <w:r>
        <w:rPr>
          <w:color w:val="231F1F"/>
          <w:w w:val="110"/>
        </w:rPr>
        <w:t>Finalmente,</w:t>
      </w:r>
      <w:r>
        <w:rPr>
          <w:color w:val="231F1F"/>
          <w:spacing w:val="-16"/>
          <w:w w:val="110"/>
        </w:rPr>
        <w:t> </w:t>
      </w:r>
      <w:r>
        <w:rPr>
          <w:color w:val="231F1F"/>
          <w:w w:val="110"/>
        </w:rPr>
        <w:t>el</w:t>
      </w:r>
      <w:r>
        <w:rPr>
          <w:color w:val="231F1F"/>
          <w:spacing w:val="-15"/>
          <w:w w:val="110"/>
        </w:rPr>
        <w:t> </w:t>
      </w:r>
      <w:r>
        <w:rPr>
          <w:color w:val="231F1F"/>
          <w:w w:val="110"/>
        </w:rPr>
        <w:t>estudio</w:t>
      </w:r>
      <w:r>
        <w:rPr>
          <w:color w:val="231F1F"/>
          <w:spacing w:val="-15"/>
          <w:w w:val="110"/>
        </w:rPr>
        <w:t> </w:t>
      </w:r>
      <w:r>
        <w:rPr>
          <w:color w:val="231F1F"/>
          <w:w w:val="110"/>
        </w:rPr>
        <w:t>concluye</w:t>
      </w:r>
      <w:r>
        <w:rPr>
          <w:color w:val="231F1F"/>
          <w:spacing w:val="-15"/>
          <w:w w:val="110"/>
        </w:rPr>
        <w:t> </w:t>
      </w:r>
      <w:r>
        <w:rPr>
          <w:color w:val="231F1F"/>
          <w:w w:val="110"/>
        </w:rPr>
        <w:t>que</w:t>
      </w:r>
      <w:r>
        <w:rPr>
          <w:color w:val="231F1F"/>
          <w:spacing w:val="-15"/>
          <w:w w:val="110"/>
        </w:rPr>
        <w:t> </w:t>
      </w:r>
      <w:r>
        <w:rPr>
          <w:color w:val="231F1F"/>
          <w:w w:val="110"/>
        </w:rPr>
        <w:t>la</w:t>
      </w:r>
      <w:r>
        <w:rPr>
          <w:color w:val="231F1F"/>
          <w:spacing w:val="-15"/>
          <w:w w:val="110"/>
        </w:rPr>
        <w:t> </w:t>
      </w:r>
      <w:r>
        <w:rPr>
          <w:color w:val="231F1F"/>
          <w:w w:val="110"/>
        </w:rPr>
        <w:t>preparación</w:t>
      </w:r>
      <w:r>
        <w:rPr>
          <w:color w:val="231F1F"/>
          <w:spacing w:val="-15"/>
          <w:w w:val="110"/>
        </w:rPr>
        <w:t> </w:t>
      </w:r>
      <w:r>
        <w:rPr>
          <w:color w:val="231F1F"/>
          <w:w w:val="110"/>
        </w:rPr>
        <w:t>preparto</w:t>
      </w:r>
      <w:r>
        <w:rPr>
          <w:color w:val="231F1F"/>
          <w:spacing w:val="-15"/>
          <w:w w:val="110"/>
        </w:rPr>
        <w:t> </w:t>
      </w:r>
      <w:r>
        <w:rPr>
          <w:color w:val="231F1F"/>
          <w:w w:val="110"/>
        </w:rPr>
        <w:t>tendría</w:t>
      </w:r>
      <w:r>
        <w:rPr>
          <w:color w:val="231F1F"/>
          <w:spacing w:val="-16"/>
          <w:w w:val="110"/>
        </w:rPr>
        <w:t> </w:t>
      </w:r>
      <w:r>
        <w:rPr>
          <w:color w:val="231F1F"/>
          <w:w w:val="110"/>
        </w:rPr>
        <w:t>que asegurar</w:t>
      </w:r>
      <w:r>
        <w:rPr>
          <w:color w:val="231F1F"/>
          <w:spacing w:val="-11"/>
          <w:w w:val="110"/>
        </w:rPr>
        <w:t> </w:t>
      </w:r>
      <w:r>
        <w:rPr>
          <w:color w:val="231F1F"/>
          <w:w w:val="110"/>
        </w:rPr>
        <w:t>una</w:t>
      </w:r>
      <w:r>
        <w:rPr>
          <w:color w:val="231F1F"/>
          <w:spacing w:val="-12"/>
          <w:w w:val="110"/>
        </w:rPr>
        <w:t> </w:t>
      </w:r>
      <w:r>
        <w:rPr>
          <w:color w:val="231F1F"/>
          <w:w w:val="110"/>
        </w:rPr>
        <w:t>adecuada</w:t>
      </w:r>
      <w:r>
        <w:rPr>
          <w:color w:val="231F1F"/>
          <w:spacing w:val="-11"/>
          <w:w w:val="110"/>
        </w:rPr>
        <w:t> </w:t>
      </w:r>
      <w:r>
        <w:rPr>
          <w:color w:val="231F1F"/>
          <w:w w:val="110"/>
        </w:rPr>
        <w:t>aproximación</w:t>
      </w:r>
      <w:r>
        <w:rPr>
          <w:color w:val="231F1F"/>
          <w:spacing w:val="-11"/>
          <w:w w:val="110"/>
        </w:rPr>
        <w:t> </w:t>
      </w:r>
      <w:r>
        <w:rPr>
          <w:color w:val="231F1F"/>
          <w:w w:val="110"/>
        </w:rPr>
        <w:t>a</w:t>
      </w:r>
      <w:r>
        <w:rPr>
          <w:color w:val="231F1F"/>
          <w:spacing w:val="-12"/>
          <w:w w:val="110"/>
        </w:rPr>
        <w:t> </w:t>
      </w:r>
      <w:r>
        <w:rPr>
          <w:color w:val="231F1F"/>
          <w:w w:val="110"/>
        </w:rPr>
        <w:t>lo</w:t>
      </w:r>
      <w:r>
        <w:rPr>
          <w:color w:val="231F1F"/>
          <w:spacing w:val="-11"/>
          <w:w w:val="110"/>
        </w:rPr>
        <w:t> </w:t>
      </w:r>
      <w:r>
        <w:rPr>
          <w:color w:val="231F1F"/>
          <w:w w:val="110"/>
        </w:rPr>
        <w:t>que</w:t>
      </w:r>
      <w:r>
        <w:rPr>
          <w:color w:val="231F1F"/>
          <w:spacing w:val="-12"/>
          <w:w w:val="110"/>
        </w:rPr>
        <w:t> </w:t>
      </w:r>
      <w:r>
        <w:rPr>
          <w:color w:val="231F1F"/>
          <w:w w:val="110"/>
        </w:rPr>
        <w:t>ocurrirá</w:t>
      </w:r>
      <w:r>
        <w:rPr>
          <w:color w:val="231F1F"/>
          <w:spacing w:val="-12"/>
          <w:w w:val="110"/>
        </w:rPr>
        <w:t> </w:t>
      </w:r>
      <w:r>
        <w:rPr>
          <w:color w:val="231F1F"/>
          <w:w w:val="110"/>
        </w:rPr>
        <w:t>durante</w:t>
      </w:r>
      <w:r>
        <w:rPr>
          <w:color w:val="231F1F"/>
          <w:spacing w:val="-12"/>
          <w:w w:val="110"/>
        </w:rPr>
        <w:t> </w:t>
      </w:r>
      <w:r>
        <w:rPr>
          <w:color w:val="231F1F"/>
          <w:w w:val="110"/>
        </w:rPr>
        <w:t>el</w:t>
      </w:r>
      <w:r>
        <w:rPr>
          <w:color w:val="231F1F"/>
          <w:spacing w:val="-12"/>
          <w:w w:val="110"/>
        </w:rPr>
        <w:t> </w:t>
      </w:r>
      <w:r>
        <w:rPr>
          <w:color w:val="231F1F"/>
          <w:w w:val="110"/>
        </w:rPr>
        <w:t>parto,</w:t>
      </w:r>
      <w:r>
        <w:rPr>
          <w:color w:val="231F1F"/>
          <w:spacing w:val="-12"/>
          <w:w w:val="110"/>
        </w:rPr>
        <w:t> </w:t>
      </w:r>
      <w:r>
        <w:rPr>
          <w:color w:val="231F1F"/>
          <w:w w:val="110"/>
        </w:rPr>
        <w:t>para </w:t>
      </w:r>
      <w:r>
        <w:rPr>
          <w:color w:val="231F1F"/>
          <w:spacing w:val="-2"/>
          <w:w w:val="110"/>
        </w:rPr>
        <w:t>limitar</w:t>
      </w:r>
      <w:r>
        <w:rPr>
          <w:color w:val="231F1F"/>
          <w:spacing w:val="-8"/>
          <w:w w:val="110"/>
        </w:rPr>
        <w:t> </w:t>
      </w:r>
      <w:r>
        <w:rPr>
          <w:color w:val="231F1F"/>
          <w:spacing w:val="-2"/>
          <w:w w:val="110"/>
        </w:rPr>
        <w:t>el</w:t>
      </w:r>
      <w:r>
        <w:rPr>
          <w:color w:val="231F1F"/>
          <w:spacing w:val="-8"/>
          <w:w w:val="110"/>
        </w:rPr>
        <w:t> </w:t>
      </w:r>
      <w:r>
        <w:rPr>
          <w:color w:val="231F1F"/>
          <w:spacing w:val="-2"/>
          <w:w w:val="110"/>
        </w:rPr>
        <w:t>desajuste</w:t>
      </w:r>
      <w:r>
        <w:rPr>
          <w:color w:val="231F1F"/>
          <w:spacing w:val="-7"/>
          <w:w w:val="110"/>
        </w:rPr>
        <w:t> </w:t>
      </w:r>
      <w:r>
        <w:rPr>
          <w:color w:val="231F1F"/>
          <w:spacing w:val="-2"/>
          <w:w w:val="110"/>
        </w:rPr>
        <w:t>entre</w:t>
      </w:r>
      <w:r>
        <w:rPr>
          <w:color w:val="231F1F"/>
          <w:spacing w:val="-7"/>
          <w:w w:val="110"/>
        </w:rPr>
        <w:t> </w:t>
      </w:r>
      <w:r>
        <w:rPr>
          <w:color w:val="231F1F"/>
          <w:spacing w:val="-2"/>
          <w:w w:val="110"/>
        </w:rPr>
        <w:t>las</w:t>
      </w:r>
      <w:r>
        <w:rPr>
          <w:color w:val="231F1F"/>
          <w:spacing w:val="-8"/>
          <w:w w:val="110"/>
        </w:rPr>
        <w:t> </w:t>
      </w:r>
      <w:r>
        <w:rPr>
          <w:color w:val="231F1F"/>
          <w:spacing w:val="-2"/>
          <w:w w:val="110"/>
        </w:rPr>
        <w:t>expectativas</w:t>
      </w:r>
      <w:r>
        <w:rPr>
          <w:color w:val="231F1F"/>
          <w:spacing w:val="-8"/>
          <w:w w:val="110"/>
        </w:rPr>
        <w:t> </w:t>
      </w:r>
      <w:r>
        <w:rPr>
          <w:color w:val="231F1F"/>
          <w:spacing w:val="-2"/>
          <w:w w:val="110"/>
        </w:rPr>
        <w:t>y</w:t>
      </w:r>
      <w:r>
        <w:rPr>
          <w:color w:val="231F1F"/>
          <w:spacing w:val="-7"/>
          <w:w w:val="110"/>
        </w:rPr>
        <w:t> </w:t>
      </w:r>
      <w:r>
        <w:rPr>
          <w:color w:val="231F1F"/>
          <w:spacing w:val="-2"/>
          <w:w w:val="110"/>
        </w:rPr>
        <w:t>experiencias</w:t>
      </w:r>
      <w:r>
        <w:rPr>
          <w:color w:val="231F1F"/>
          <w:spacing w:val="-7"/>
          <w:w w:val="110"/>
        </w:rPr>
        <w:t> </w:t>
      </w:r>
      <w:r>
        <w:rPr>
          <w:color w:val="231F1F"/>
          <w:spacing w:val="-2"/>
          <w:w w:val="110"/>
        </w:rPr>
        <w:t>y</w:t>
      </w:r>
      <w:r>
        <w:rPr>
          <w:color w:val="231F1F"/>
          <w:spacing w:val="-7"/>
          <w:w w:val="110"/>
        </w:rPr>
        <w:t> </w:t>
      </w:r>
      <w:r>
        <w:rPr>
          <w:color w:val="231F1F"/>
          <w:spacing w:val="-2"/>
          <w:w w:val="110"/>
        </w:rPr>
        <w:t>para</w:t>
      </w:r>
      <w:r>
        <w:rPr>
          <w:color w:val="231F1F"/>
          <w:spacing w:val="-7"/>
          <w:w w:val="110"/>
        </w:rPr>
        <w:t> </w:t>
      </w:r>
      <w:r>
        <w:rPr>
          <w:color w:val="231F1F"/>
          <w:spacing w:val="-2"/>
          <w:w w:val="110"/>
        </w:rPr>
        <w:t>potenciar</w:t>
      </w:r>
      <w:r>
        <w:rPr>
          <w:color w:val="231F1F"/>
          <w:spacing w:val="-8"/>
          <w:w w:val="110"/>
        </w:rPr>
        <w:t> </w:t>
      </w:r>
      <w:r>
        <w:rPr>
          <w:color w:val="231F1F"/>
          <w:spacing w:val="-2"/>
          <w:w w:val="110"/>
        </w:rPr>
        <w:t>una </w:t>
      </w:r>
      <w:r>
        <w:rPr>
          <w:color w:val="231F1F"/>
          <w:w w:val="110"/>
        </w:rPr>
        <w:t>mayor satisfacción global.</w:t>
      </w:r>
    </w:p>
    <w:p>
      <w:pPr>
        <w:pStyle w:val="BodyText"/>
        <w:spacing w:after="0" w:line="244" w:lineRule="auto"/>
        <w:jc w:val="both"/>
        <w:sectPr>
          <w:type w:val="continuous"/>
          <w:pgSz w:w="11900" w:h="16840"/>
          <w:pgMar w:header="0" w:footer="622" w:top="560" w:bottom="280" w:left="1417" w:right="1559"/>
        </w:sectPr>
      </w:pPr>
    </w:p>
    <w:p>
      <w:pPr>
        <w:pStyle w:val="BodyText"/>
        <w:spacing w:line="247" w:lineRule="auto" w:before="73"/>
        <w:ind w:left="283" w:firstLine="453"/>
        <w:jc w:val="both"/>
      </w:pPr>
      <w:r>
        <w:rPr>
          <w:color w:val="231F1F"/>
          <w:w w:val="105"/>
        </w:rPr>
        <w:t>El</w:t>
      </w:r>
      <w:r>
        <w:rPr>
          <w:color w:val="231F1F"/>
          <w:w w:val="105"/>
        </w:rPr>
        <w:t> ECA</w:t>
      </w:r>
      <w:r>
        <w:rPr>
          <w:color w:val="231F1F"/>
          <w:w w:val="105"/>
        </w:rPr>
        <w:t> canadiense</w:t>
      </w:r>
      <w:r>
        <w:rPr>
          <w:color w:val="231F1F"/>
          <w:w w:val="105"/>
        </w:rPr>
        <w:t> (279),</w:t>
      </w:r>
      <w:r>
        <w:rPr>
          <w:color w:val="231F1F"/>
          <w:w w:val="105"/>
        </w:rPr>
        <w:t> que</w:t>
      </w:r>
      <w:r>
        <w:rPr>
          <w:color w:val="231F1F"/>
          <w:w w:val="105"/>
        </w:rPr>
        <w:t> incluyó</w:t>
      </w:r>
      <w:r>
        <w:rPr>
          <w:color w:val="231F1F"/>
          <w:w w:val="105"/>
        </w:rPr>
        <w:t> a</w:t>
      </w:r>
      <w:r>
        <w:rPr>
          <w:color w:val="231F1F"/>
          <w:w w:val="105"/>
        </w:rPr>
        <w:t> 5.002</w:t>
      </w:r>
      <w:r>
        <w:rPr>
          <w:color w:val="231F1F"/>
          <w:w w:val="105"/>
        </w:rPr>
        <w:t> mujeres</w:t>
      </w:r>
      <w:r>
        <w:rPr>
          <w:color w:val="231F1F"/>
          <w:w w:val="105"/>
        </w:rPr>
        <w:t> nulíparas</w:t>
      </w:r>
      <w:r>
        <w:rPr>
          <w:color w:val="231F1F"/>
          <w:w w:val="105"/>
        </w:rPr>
        <w:t> sin complicaciones,</w:t>
      </w:r>
      <w:r>
        <w:rPr>
          <w:color w:val="231F1F"/>
          <w:w w:val="105"/>
        </w:rPr>
        <w:t> evaluaba</w:t>
      </w:r>
      <w:r>
        <w:rPr>
          <w:color w:val="231F1F"/>
          <w:w w:val="105"/>
        </w:rPr>
        <w:t> la</w:t>
      </w:r>
      <w:r>
        <w:rPr>
          <w:color w:val="231F1F"/>
          <w:w w:val="105"/>
        </w:rPr>
        <w:t> influencia</w:t>
      </w:r>
      <w:r>
        <w:rPr>
          <w:color w:val="231F1F"/>
          <w:w w:val="105"/>
        </w:rPr>
        <w:t> de</w:t>
      </w:r>
      <w:r>
        <w:rPr>
          <w:color w:val="231F1F"/>
          <w:w w:val="105"/>
        </w:rPr>
        <w:t> dos</w:t>
      </w:r>
      <w:r>
        <w:rPr>
          <w:color w:val="231F1F"/>
          <w:w w:val="105"/>
        </w:rPr>
        <w:t> tipos</w:t>
      </w:r>
      <w:r>
        <w:rPr>
          <w:color w:val="231F1F"/>
          <w:w w:val="105"/>
        </w:rPr>
        <w:t> diferentes</w:t>
      </w:r>
      <w:r>
        <w:rPr>
          <w:color w:val="231F1F"/>
          <w:w w:val="105"/>
        </w:rPr>
        <w:t> de</w:t>
      </w:r>
      <w:r>
        <w:rPr>
          <w:color w:val="231F1F"/>
          <w:w w:val="105"/>
        </w:rPr>
        <w:t> cuidados durante</w:t>
      </w:r>
      <w:r>
        <w:rPr>
          <w:color w:val="231F1F"/>
          <w:w w:val="105"/>
        </w:rPr>
        <w:t> el</w:t>
      </w:r>
      <w:r>
        <w:rPr>
          <w:color w:val="231F1F"/>
          <w:w w:val="105"/>
        </w:rPr>
        <w:t> trabajo</w:t>
      </w:r>
      <w:r>
        <w:rPr>
          <w:color w:val="231F1F"/>
          <w:w w:val="105"/>
        </w:rPr>
        <w:t> de</w:t>
      </w:r>
      <w:r>
        <w:rPr>
          <w:color w:val="231F1F"/>
          <w:w w:val="105"/>
        </w:rPr>
        <w:t> parto</w:t>
      </w:r>
      <w:r>
        <w:rPr>
          <w:color w:val="231F1F"/>
          <w:w w:val="105"/>
        </w:rPr>
        <w:t> sobre</w:t>
      </w:r>
      <w:r>
        <w:rPr>
          <w:color w:val="231F1F"/>
          <w:w w:val="105"/>
        </w:rPr>
        <w:t> resultados</w:t>
      </w:r>
      <w:r>
        <w:rPr>
          <w:color w:val="231F1F"/>
          <w:w w:val="105"/>
        </w:rPr>
        <w:t> obstétricos,</w:t>
      </w:r>
      <w:r>
        <w:rPr>
          <w:color w:val="231F1F"/>
          <w:w w:val="105"/>
        </w:rPr>
        <w:t> fetales</w:t>
      </w:r>
      <w:r>
        <w:rPr>
          <w:color w:val="231F1F"/>
          <w:w w:val="105"/>
        </w:rPr>
        <w:t> y</w:t>
      </w:r>
      <w:r>
        <w:rPr>
          <w:color w:val="231F1F"/>
          <w:w w:val="105"/>
        </w:rPr>
        <w:t> maternos, entre los que se incluía la satisfacción materna (analizada en 4.131 mujeres). Las mujeres fueron aleatorizadas a un grupo con cuidados habituales y a otro grupo en las que se les proporcionó un cuidado estructurado «una a una», de</w:t>
      </w:r>
      <w:r>
        <w:rPr>
          <w:color w:val="231F1F"/>
          <w:spacing w:val="40"/>
          <w:w w:val="105"/>
        </w:rPr>
        <w:t> </w:t>
      </w:r>
      <w:r>
        <w:rPr>
          <w:color w:val="231F1F"/>
          <w:w w:val="105"/>
        </w:rPr>
        <w:t>al menos una hora, enfocado a evaluar el estado emocional de la mujer, dolor y posición fetal entre otras.</w:t>
      </w:r>
    </w:p>
    <w:p>
      <w:pPr>
        <w:pStyle w:val="BodyText"/>
        <w:spacing w:line="247" w:lineRule="auto" w:before="46"/>
        <w:ind w:left="283" w:right="1" w:firstLine="453"/>
        <w:jc w:val="both"/>
      </w:pPr>
      <w:r>
        <w:rPr>
          <w:color w:val="231F1F"/>
          <w:w w:val="105"/>
        </w:rPr>
        <w:t>En lo que a resultados de satisfacción se refiere, se observó que el núme- ro</w:t>
      </w:r>
      <w:r>
        <w:rPr>
          <w:color w:val="231F1F"/>
          <w:w w:val="105"/>
        </w:rPr>
        <w:t> de</w:t>
      </w:r>
      <w:r>
        <w:rPr>
          <w:color w:val="231F1F"/>
          <w:w w:val="105"/>
        </w:rPr>
        <w:t> mujeres</w:t>
      </w:r>
      <w:r>
        <w:rPr>
          <w:color w:val="231F1F"/>
          <w:w w:val="105"/>
        </w:rPr>
        <w:t> que</w:t>
      </w:r>
      <w:r>
        <w:rPr>
          <w:color w:val="231F1F"/>
          <w:w w:val="105"/>
        </w:rPr>
        <w:t> consideraban</w:t>
      </w:r>
      <w:r>
        <w:rPr>
          <w:color w:val="231F1F"/>
          <w:w w:val="105"/>
        </w:rPr>
        <w:t> la</w:t>
      </w:r>
      <w:r>
        <w:rPr>
          <w:color w:val="231F1F"/>
          <w:w w:val="105"/>
        </w:rPr>
        <w:t> ayuda</w:t>
      </w:r>
      <w:r>
        <w:rPr>
          <w:color w:val="231F1F"/>
          <w:w w:val="105"/>
        </w:rPr>
        <w:t> recibida</w:t>
      </w:r>
      <w:r>
        <w:rPr>
          <w:color w:val="231F1F"/>
          <w:w w:val="105"/>
        </w:rPr>
        <w:t> como</w:t>
      </w:r>
      <w:r>
        <w:rPr>
          <w:color w:val="231F1F"/>
          <w:w w:val="105"/>
        </w:rPr>
        <w:t> «</w:t>
      </w:r>
      <w:r>
        <w:rPr>
          <w:i/>
          <w:color w:val="231F1F"/>
          <w:w w:val="105"/>
        </w:rPr>
        <w:t>no</w:t>
      </w:r>
      <w:r>
        <w:rPr>
          <w:i/>
          <w:color w:val="231F1F"/>
          <w:w w:val="105"/>
        </w:rPr>
        <w:t> muy</w:t>
      </w:r>
      <w:r>
        <w:rPr>
          <w:i/>
          <w:color w:val="231F1F"/>
          <w:w w:val="105"/>
        </w:rPr>
        <w:t> útil</w:t>
      </w:r>
      <w:r>
        <w:rPr>
          <w:color w:val="231F1F"/>
          <w:w w:val="105"/>
        </w:rPr>
        <w:t>»</w:t>
      </w:r>
      <w:r>
        <w:rPr>
          <w:color w:val="231F1F"/>
          <w:w w:val="105"/>
        </w:rPr>
        <w:t> fue menor en el grupo de cuidado estructurado frente al grupo con cuidados ha- bituales, OR 0,67 [IC 98,75% 0,50 a 0,85]. Lo mismo sucedió con el número de mujeres «decepcionadas» con los cuidados recibidos, OR 0,51 [IC 98,75% 0,32</w:t>
      </w:r>
      <w:r>
        <w:rPr>
          <w:color w:val="231F1F"/>
          <w:w w:val="105"/>
        </w:rPr>
        <w:t> a</w:t>
      </w:r>
      <w:r>
        <w:rPr>
          <w:color w:val="231F1F"/>
          <w:w w:val="105"/>
        </w:rPr>
        <w:t> 0,70].</w:t>
      </w:r>
      <w:r>
        <w:rPr>
          <w:color w:val="231F1F"/>
          <w:w w:val="105"/>
        </w:rPr>
        <w:t> El</w:t>
      </w:r>
      <w:r>
        <w:rPr>
          <w:color w:val="231F1F"/>
          <w:w w:val="105"/>
        </w:rPr>
        <w:t> estudio</w:t>
      </w:r>
      <w:r>
        <w:rPr>
          <w:color w:val="231F1F"/>
          <w:w w:val="105"/>
        </w:rPr>
        <w:t> concluye</w:t>
      </w:r>
      <w:r>
        <w:rPr>
          <w:color w:val="231F1F"/>
          <w:w w:val="105"/>
        </w:rPr>
        <w:t> que</w:t>
      </w:r>
      <w:r>
        <w:rPr>
          <w:color w:val="231F1F"/>
          <w:w w:val="105"/>
        </w:rPr>
        <w:t> el</w:t>
      </w:r>
      <w:r>
        <w:rPr>
          <w:color w:val="231F1F"/>
          <w:w w:val="105"/>
        </w:rPr>
        <w:t> cuidado</w:t>
      </w:r>
      <w:r>
        <w:rPr>
          <w:color w:val="231F1F"/>
          <w:w w:val="105"/>
        </w:rPr>
        <w:t> estructurado</w:t>
      </w:r>
      <w:r>
        <w:rPr>
          <w:color w:val="231F1F"/>
          <w:w w:val="105"/>
        </w:rPr>
        <w:t> de</w:t>
      </w:r>
      <w:r>
        <w:rPr>
          <w:color w:val="231F1F"/>
          <w:w w:val="105"/>
        </w:rPr>
        <w:t> atención</w:t>
      </w:r>
      <w:r>
        <w:rPr>
          <w:color w:val="231F1F"/>
          <w:w w:val="105"/>
        </w:rPr>
        <w:t> a mujeres</w:t>
      </w:r>
      <w:r>
        <w:rPr>
          <w:color w:val="231F1F"/>
          <w:w w:val="105"/>
        </w:rPr>
        <w:t> durante</w:t>
      </w:r>
      <w:r>
        <w:rPr>
          <w:color w:val="231F1F"/>
          <w:w w:val="105"/>
        </w:rPr>
        <w:t> el</w:t>
      </w:r>
      <w:r>
        <w:rPr>
          <w:color w:val="231F1F"/>
          <w:w w:val="105"/>
        </w:rPr>
        <w:t> parto</w:t>
      </w:r>
      <w:r>
        <w:rPr>
          <w:color w:val="231F1F"/>
          <w:w w:val="105"/>
        </w:rPr>
        <w:t> incrementa</w:t>
      </w:r>
      <w:r>
        <w:rPr>
          <w:color w:val="231F1F"/>
          <w:w w:val="105"/>
        </w:rPr>
        <w:t> su</w:t>
      </w:r>
      <w:r>
        <w:rPr>
          <w:color w:val="231F1F"/>
          <w:w w:val="105"/>
        </w:rPr>
        <w:t> satisfacción</w:t>
      </w:r>
      <w:r>
        <w:rPr>
          <w:color w:val="231F1F"/>
          <w:w w:val="105"/>
        </w:rPr>
        <w:t> y</w:t>
      </w:r>
      <w:r>
        <w:rPr>
          <w:color w:val="231F1F"/>
          <w:w w:val="105"/>
        </w:rPr>
        <w:t> sugiere</w:t>
      </w:r>
      <w:r>
        <w:rPr>
          <w:color w:val="231F1F"/>
          <w:w w:val="105"/>
        </w:rPr>
        <w:t> un</w:t>
      </w:r>
      <w:r>
        <w:rPr>
          <w:color w:val="231F1F"/>
          <w:w w:val="105"/>
        </w:rPr>
        <w:t> modesto aumento de partos espontáneos vaginales: OR 1,12 [IC 95% 0,96 a 1,27].</w:t>
      </w:r>
    </w:p>
    <w:p>
      <w:pPr>
        <w:pStyle w:val="BodyText"/>
        <w:spacing w:line="249" w:lineRule="auto" w:before="85"/>
        <w:ind w:left="283" w:right="1" w:firstLine="453"/>
        <w:jc w:val="both"/>
      </w:pPr>
      <w:r>
        <w:rPr>
          <w:color w:val="231F1F"/>
          <w:w w:val="105"/>
        </w:rPr>
        <w:t>El último de los estudios, seleccionado en la actualización, es un estudio observacional</w:t>
      </w:r>
      <w:r>
        <w:rPr>
          <w:color w:val="231F1F"/>
          <w:spacing w:val="-6"/>
          <w:w w:val="105"/>
        </w:rPr>
        <w:t> </w:t>
      </w:r>
      <w:r>
        <w:rPr>
          <w:color w:val="231F1F"/>
          <w:w w:val="105"/>
        </w:rPr>
        <w:t>de</w:t>
      </w:r>
      <w:r>
        <w:rPr>
          <w:color w:val="231F1F"/>
          <w:spacing w:val="-5"/>
          <w:w w:val="105"/>
        </w:rPr>
        <w:t> </w:t>
      </w:r>
      <w:r>
        <w:rPr>
          <w:color w:val="231F1F"/>
          <w:w w:val="105"/>
        </w:rPr>
        <w:t>cohortes</w:t>
      </w:r>
      <w:r>
        <w:rPr>
          <w:color w:val="231F1F"/>
          <w:spacing w:val="-5"/>
          <w:w w:val="105"/>
        </w:rPr>
        <w:t> </w:t>
      </w:r>
      <w:r>
        <w:rPr>
          <w:color w:val="231F1F"/>
          <w:w w:val="105"/>
        </w:rPr>
        <w:t>(280)</w:t>
      </w:r>
      <w:r>
        <w:rPr>
          <w:color w:val="231F1F"/>
          <w:spacing w:val="-5"/>
          <w:w w:val="105"/>
        </w:rPr>
        <w:t> </w:t>
      </w:r>
      <w:r>
        <w:rPr>
          <w:color w:val="231F1F"/>
          <w:w w:val="105"/>
        </w:rPr>
        <w:t>que</w:t>
      </w:r>
      <w:r>
        <w:rPr>
          <w:color w:val="231F1F"/>
          <w:spacing w:val="-5"/>
          <w:w w:val="105"/>
        </w:rPr>
        <w:t> </w:t>
      </w:r>
      <w:r>
        <w:rPr>
          <w:color w:val="231F1F"/>
          <w:w w:val="105"/>
        </w:rPr>
        <w:t>incluía</w:t>
      </w:r>
      <w:r>
        <w:rPr>
          <w:color w:val="231F1F"/>
          <w:spacing w:val="-5"/>
          <w:w w:val="105"/>
        </w:rPr>
        <w:t> </w:t>
      </w:r>
      <w:r>
        <w:rPr>
          <w:color w:val="231F1F"/>
          <w:w w:val="105"/>
        </w:rPr>
        <w:t>a</w:t>
      </w:r>
      <w:r>
        <w:rPr>
          <w:color w:val="231F1F"/>
          <w:spacing w:val="-5"/>
          <w:w w:val="105"/>
        </w:rPr>
        <w:t> </w:t>
      </w:r>
      <w:r>
        <w:rPr>
          <w:color w:val="231F1F"/>
          <w:w w:val="105"/>
        </w:rPr>
        <w:t>605</w:t>
      </w:r>
      <w:r>
        <w:rPr>
          <w:color w:val="231F1F"/>
          <w:spacing w:val="-5"/>
          <w:w w:val="105"/>
        </w:rPr>
        <w:t> </w:t>
      </w:r>
      <w:r>
        <w:rPr>
          <w:color w:val="231F1F"/>
          <w:w w:val="105"/>
        </w:rPr>
        <w:t>mujeres</w:t>
      </w:r>
      <w:r>
        <w:rPr>
          <w:color w:val="231F1F"/>
          <w:spacing w:val="-5"/>
          <w:w w:val="105"/>
        </w:rPr>
        <w:t> </w:t>
      </w:r>
      <w:r>
        <w:rPr>
          <w:color w:val="231F1F"/>
          <w:w w:val="105"/>
        </w:rPr>
        <w:t>belgas</w:t>
      </w:r>
      <w:r>
        <w:rPr>
          <w:color w:val="231F1F"/>
          <w:spacing w:val="-5"/>
          <w:w w:val="105"/>
        </w:rPr>
        <w:t> </w:t>
      </w:r>
      <w:r>
        <w:rPr>
          <w:color w:val="231F1F"/>
          <w:w w:val="105"/>
        </w:rPr>
        <w:t>y</w:t>
      </w:r>
      <w:r>
        <w:rPr>
          <w:color w:val="231F1F"/>
          <w:spacing w:val="-5"/>
          <w:w w:val="105"/>
        </w:rPr>
        <w:t> </w:t>
      </w:r>
      <w:r>
        <w:rPr>
          <w:color w:val="231F1F"/>
          <w:w w:val="105"/>
        </w:rPr>
        <w:t>holandesas con partos hospitalarios y en casas de parto. El estudio pretendía valorar, en dos</w:t>
      </w:r>
      <w:r>
        <w:rPr>
          <w:color w:val="231F1F"/>
          <w:w w:val="105"/>
        </w:rPr>
        <w:t> ámbitos</w:t>
      </w:r>
      <w:r>
        <w:rPr>
          <w:color w:val="231F1F"/>
          <w:w w:val="105"/>
        </w:rPr>
        <w:t> de</w:t>
      </w:r>
      <w:r>
        <w:rPr>
          <w:color w:val="231F1F"/>
          <w:w w:val="105"/>
        </w:rPr>
        <w:t> práctica</w:t>
      </w:r>
      <w:r>
        <w:rPr>
          <w:color w:val="231F1F"/>
          <w:w w:val="105"/>
        </w:rPr>
        <w:t> diferentes,</w:t>
      </w:r>
      <w:r>
        <w:rPr>
          <w:color w:val="231F1F"/>
          <w:w w:val="105"/>
        </w:rPr>
        <w:t> la</w:t>
      </w:r>
      <w:r>
        <w:rPr>
          <w:color w:val="231F1F"/>
          <w:w w:val="105"/>
        </w:rPr>
        <w:t> asociación</w:t>
      </w:r>
      <w:r>
        <w:rPr>
          <w:color w:val="231F1F"/>
          <w:w w:val="105"/>
        </w:rPr>
        <w:t> entre</w:t>
      </w:r>
      <w:r>
        <w:rPr>
          <w:color w:val="231F1F"/>
          <w:w w:val="105"/>
        </w:rPr>
        <w:t> diversos</w:t>
      </w:r>
      <w:r>
        <w:rPr>
          <w:color w:val="231F1F"/>
          <w:w w:val="105"/>
        </w:rPr>
        <w:t> factores</w:t>
      </w:r>
      <w:r>
        <w:rPr>
          <w:color w:val="231F1F"/>
          <w:w w:val="105"/>
        </w:rPr>
        <w:t> (la experiencia</w:t>
      </w:r>
      <w:r>
        <w:rPr>
          <w:color w:val="231F1F"/>
          <w:spacing w:val="25"/>
          <w:w w:val="105"/>
        </w:rPr>
        <w:t> </w:t>
      </w:r>
      <w:r>
        <w:rPr>
          <w:color w:val="231F1F"/>
          <w:w w:val="105"/>
        </w:rPr>
        <w:t>con</w:t>
      </w:r>
      <w:r>
        <w:rPr>
          <w:color w:val="231F1F"/>
          <w:spacing w:val="25"/>
          <w:w w:val="105"/>
        </w:rPr>
        <w:t> </w:t>
      </w:r>
      <w:r>
        <w:rPr>
          <w:color w:val="231F1F"/>
          <w:w w:val="105"/>
        </w:rPr>
        <w:t>el</w:t>
      </w:r>
      <w:r>
        <w:rPr>
          <w:color w:val="231F1F"/>
          <w:spacing w:val="25"/>
          <w:w w:val="105"/>
        </w:rPr>
        <w:t> </w:t>
      </w:r>
      <w:r>
        <w:rPr>
          <w:color w:val="231F1F"/>
          <w:w w:val="105"/>
        </w:rPr>
        <w:t>dolor</w:t>
      </w:r>
      <w:r>
        <w:rPr>
          <w:color w:val="231F1F"/>
          <w:spacing w:val="25"/>
          <w:w w:val="105"/>
        </w:rPr>
        <w:t> </w:t>
      </w:r>
      <w:r>
        <w:rPr>
          <w:color w:val="231F1F"/>
          <w:w w:val="105"/>
        </w:rPr>
        <w:t>del</w:t>
      </w:r>
      <w:r>
        <w:rPr>
          <w:color w:val="231F1F"/>
          <w:spacing w:val="24"/>
          <w:w w:val="105"/>
        </w:rPr>
        <w:t> </w:t>
      </w:r>
      <w:r>
        <w:rPr>
          <w:color w:val="231F1F"/>
          <w:w w:val="105"/>
        </w:rPr>
        <w:t>parto,</w:t>
      </w:r>
      <w:r>
        <w:rPr>
          <w:color w:val="231F1F"/>
          <w:spacing w:val="24"/>
          <w:w w:val="105"/>
        </w:rPr>
        <w:t> </w:t>
      </w:r>
      <w:r>
        <w:rPr>
          <w:color w:val="231F1F"/>
          <w:w w:val="105"/>
        </w:rPr>
        <w:t>el</w:t>
      </w:r>
      <w:r>
        <w:rPr>
          <w:color w:val="231F1F"/>
          <w:spacing w:val="25"/>
          <w:w w:val="105"/>
        </w:rPr>
        <w:t> </w:t>
      </w:r>
      <w:r>
        <w:rPr>
          <w:color w:val="231F1F"/>
          <w:w w:val="105"/>
        </w:rPr>
        <w:t>control</w:t>
      </w:r>
      <w:r>
        <w:rPr>
          <w:color w:val="231F1F"/>
          <w:spacing w:val="25"/>
          <w:w w:val="105"/>
        </w:rPr>
        <w:t> </w:t>
      </w:r>
      <w:r>
        <w:rPr>
          <w:color w:val="231F1F"/>
          <w:w w:val="105"/>
        </w:rPr>
        <w:t>personal</w:t>
      </w:r>
      <w:r>
        <w:rPr>
          <w:color w:val="231F1F"/>
          <w:spacing w:val="24"/>
          <w:w w:val="105"/>
        </w:rPr>
        <w:t> </w:t>
      </w:r>
      <w:r>
        <w:rPr>
          <w:color w:val="231F1F"/>
          <w:w w:val="105"/>
        </w:rPr>
        <w:t>y</w:t>
      </w:r>
      <w:r>
        <w:rPr>
          <w:color w:val="231F1F"/>
          <w:spacing w:val="25"/>
          <w:w w:val="105"/>
        </w:rPr>
        <w:t> </w:t>
      </w:r>
      <w:r>
        <w:rPr>
          <w:color w:val="231F1F"/>
          <w:w w:val="105"/>
        </w:rPr>
        <w:t>habilidades</w:t>
      </w:r>
      <w:r>
        <w:rPr>
          <w:color w:val="231F1F"/>
          <w:spacing w:val="25"/>
          <w:w w:val="105"/>
        </w:rPr>
        <w:t> </w:t>
      </w:r>
      <w:r>
        <w:rPr>
          <w:color w:val="231F1F"/>
          <w:w w:val="105"/>
        </w:rPr>
        <w:t>propias y el cumplimiento de las expectativas) con la satisfacción materna durante el </w:t>
      </w:r>
      <w:r>
        <w:rPr>
          <w:color w:val="231F1F"/>
          <w:spacing w:val="-2"/>
          <w:w w:val="105"/>
        </w:rPr>
        <w:t>parto.</w:t>
      </w:r>
    </w:p>
    <w:p>
      <w:pPr>
        <w:pStyle w:val="BodyText"/>
        <w:spacing w:before="50"/>
        <w:ind w:left="283" w:right="1" w:firstLine="453"/>
        <w:jc w:val="both"/>
      </w:pPr>
      <w:r>
        <w:rPr>
          <w:color w:val="231F1F"/>
          <w:spacing w:val="-2"/>
          <w:w w:val="110"/>
        </w:rPr>
        <w:t>El</w:t>
      </w:r>
      <w:r>
        <w:rPr>
          <w:color w:val="231F1F"/>
          <w:spacing w:val="-10"/>
          <w:w w:val="110"/>
        </w:rPr>
        <w:t> </w:t>
      </w:r>
      <w:r>
        <w:rPr>
          <w:color w:val="231F1F"/>
          <w:spacing w:val="-2"/>
          <w:w w:val="110"/>
        </w:rPr>
        <w:t>estudio</w:t>
      </w:r>
      <w:r>
        <w:rPr>
          <w:color w:val="231F1F"/>
          <w:spacing w:val="-8"/>
          <w:w w:val="110"/>
        </w:rPr>
        <w:t> </w:t>
      </w:r>
      <w:r>
        <w:rPr>
          <w:color w:val="231F1F"/>
          <w:spacing w:val="-2"/>
          <w:w w:val="110"/>
        </w:rPr>
        <w:t>encontró</w:t>
      </w:r>
      <w:r>
        <w:rPr>
          <w:color w:val="231F1F"/>
          <w:spacing w:val="-9"/>
          <w:w w:val="110"/>
        </w:rPr>
        <w:t> </w:t>
      </w:r>
      <w:r>
        <w:rPr>
          <w:color w:val="231F1F"/>
          <w:spacing w:val="-2"/>
          <w:w w:val="110"/>
        </w:rPr>
        <w:t>que</w:t>
      </w:r>
      <w:r>
        <w:rPr>
          <w:color w:val="231F1F"/>
          <w:spacing w:val="-9"/>
          <w:w w:val="110"/>
        </w:rPr>
        <w:t> </w:t>
      </w:r>
      <w:r>
        <w:rPr>
          <w:color w:val="231F1F"/>
          <w:spacing w:val="-2"/>
          <w:w w:val="110"/>
        </w:rPr>
        <w:t>es</w:t>
      </w:r>
      <w:r>
        <w:rPr>
          <w:color w:val="231F1F"/>
          <w:spacing w:val="-9"/>
          <w:w w:val="110"/>
        </w:rPr>
        <w:t> </w:t>
      </w:r>
      <w:r>
        <w:rPr>
          <w:color w:val="231F1F"/>
          <w:spacing w:val="-2"/>
          <w:w w:val="110"/>
        </w:rPr>
        <w:t>el</w:t>
      </w:r>
      <w:r>
        <w:rPr>
          <w:color w:val="231F1F"/>
          <w:spacing w:val="-10"/>
          <w:w w:val="110"/>
        </w:rPr>
        <w:t> </w:t>
      </w:r>
      <w:r>
        <w:rPr>
          <w:color w:val="231F1F"/>
          <w:spacing w:val="-2"/>
          <w:w w:val="110"/>
        </w:rPr>
        <w:t>cumplimiento</w:t>
      </w:r>
      <w:r>
        <w:rPr>
          <w:color w:val="231F1F"/>
          <w:spacing w:val="-10"/>
          <w:w w:val="110"/>
        </w:rPr>
        <w:t> </w:t>
      </w:r>
      <w:r>
        <w:rPr>
          <w:color w:val="231F1F"/>
          <w:spacing w:val="-2"/>
          <w:w w:val="110"/>
        </w:rPr>
        <w:t>de</w:t>
      </w:r>
      <w:r>
        <w:rPr>
          <w:color w:val="231F1F"/>
          <w:spacing w:val="-9"/>
          <w:w w:val="110"/>
        </w:rPr>
        <w:t> </w:t>
      </w:r>
      <w:r>
        <w:rPr>
          <w:color w:val="231F1F"/>
          <w:spacing w:val="-2"/>
          <w:w w:val="110"/>
        </w:rPr>
        <w:t>las</w:t>
      </w:r>
      <w:r>
        <w:rPr>
          <w:color w:val="231F1F"/>
          <w:spacing w:val="-9"/>
          <w:w w:val="110"/>
        </w:rPr>
        <w:t> </w:t>
      </w:r>
      <w:r>
        <w:rPr>
          <w:color w:val="231F1F"/>
          <w:spacing w:val="-2"/>
          <w:w w:val="110"/>
        </w:rPr>
        <w:t>expectativas</w:t>
      </w:r>
      <w:r>
        <w:rPr>
          <w:color w:val="231F1F"/>
          <w:spacing w:val="-9"/>
          <w:w w:val="110"/>
        </w:rPr>
        <w:t> </w:t>
      </w:r>
      <w:r>
        <w:rPr>
          <w:color w:val="231F1F"/>
          <w:spacing w:val="-2"/>
          <w:w w:val="110"/>
        </w:rPr>
        <w:t>es</w:t>
      </w:r>
      <w:r>
        <w:rPr>
          <w:color w:val="231F1F"/>
          <w:spacing w:val="-9"/>
          <w:w w:val="110"/>
        </w:rPr>
        <w:t> </w:t>
      </w:r>
      <w:r>
        <w:rPr>
          <w:color w:val="231F1F"/>
          <w:spacing w:val="-2"/>
          <w:w w:val="110"/>
        </w:rPr>
        <w:t>el</w:t>
      </w:r>
      <w:r>
        <w:rPr>
          <w:color w:val="231F1F"/>
          <w:spacing w:val="-10"/>
          <w:w w:val="110"/>
        </w:rPr>
        <w:t> </w:t>
      </w:r>
      <w:r>
        <w:rPr>
          <w:color w:val="231F1F"/>
          <w:spacing w:val="-2"/>
          <w:w w:val="110"/>
        </w:rPr>
        <w:t>fac- </w:t>
      </w:r>
      <w:r>
        <w:rPr>
          <w:color w:val="231F1F"/>
          <w:w w:val="110"/>
        </w:rPr>
        <w:t>tor que más se relaciona con la satisfacción.</w:t>
      </w:r>
    </w:p>
    <w:p>
      <w:pPr>
        <w:pStyle w:val="BodyText"/>
        <w:spacing w:line="244" w:lineRule="auto" w:before="147"/>
        <w:ind w:left="283" w:firstLine="453"/>
        <w:jc w:val="both"/>
      </w:pPr>
      <w:r>
        <w:rPr>
          <w:color w:val="231F1F"/>
          <w:w w:val="110"/>
        </w:rPr>
        <w:t>La</w:t>
      </w:r>
      <w:r>
        <w:rPr>
          <w:color w:val="231F1F"/>
          <w:spacing w:val="-14"/>
          <w:w w:val="110"/>
        </w:rPr>
        <w:t> </w:t>
      </w:r>
      <w:r>
        <w:rPr>
          <w:color w:val="231F1F"/>
          <w:w w:val="110"/>
        </w:rPr>
        <w:t>nueva</w:t>
      </w:r>
      <w:r>
        <w:rPr>
          <w:color w:val="231F1F"/>
          <w:spacing w:val="-14"/>
          <w:w w:val="110"/>
        </w:rPr>
        <w:t> </w:t>
      </w:r>
      <w:r>
        <w:rPr>
          <w:color w:val="231F1F"/>
          <w:w w:val="110"/>
        </w:rPr>
        <w:t>evidencia</w:t>
      </w:r>
      <w:r>
        <w:rPr>
          <w:color w:val="231F1F"/>
          <w:spacing w:val="-14"/>
          <w:w w:val="110"/>
        </w:rPr>
        <w:t> </w:t>
      </w:r>
      <w:r>
        <w:rPr>
          <w:color w:val="231F1F"/>
          <w:w w:val="110"/>
        </w:rPr>
        <w:t>encontrada</w:t>
      </w:r>
      <w:r>
        <w:rPr>
          <w:color w:val="231F1F"/>
          <w:spacing w:val="-13"/>
          <w:w w:val="110"/>
        </w:rPr>
        <w:t> </w:t>
      </w:r>
      <w:r>
        <w:rPr>
          <w:color w:val="231F1F"/>
          <w:w w:val="110"/>
        </w:rPr>
        <w:t>en</w:t>
      </w:r>
      <w:r>
        <w:rPr>
          <w:color w:val="231F1F"/>
          <w:spacing w:val="-13"/>
          <w:w w:val="110"/>
        </w:rPr>
        <w:t> </w:t>
      </w:r>
      <w:r>
        <w:rPr>
          <w:color w:val="231F1F"/>
          <w:w w:val="110"/>
        </w:rPr>
        <w:t>la</w:t>
      </w:r>
      <w:r>
        <w:rPr>
          <w:color w:val="231F1F"/>
          <w:spacing w:val="-14"/>
          <w:w w:val="110"/>
        </w:rPr>
        <w:t> </w:t>
      </w:r>
      <w:r>
        <w:rPr>
          <w:color w:val="231F1F"/>
          <w:w w:val="110"/>
        </w:rPr>
        <w:t>actualización</w:t>
      </w:r>
      <w:r>
        <w:rPr>
          <w:color w:val="231F1F"/>
          <w:spacing w:val="-14"/>
          <w:w w:val="110"/>
        </w:rPr>
        <w:t> </w:t>
      </w:r>
      <w:r>
        <w:rPr>
          <w:color w:val="231F1F"/>
          <w:w w:val="110"/>
        </w:rPr>
        <w:t>es</w:t>
      </w:r>
      <w:r>
        <w:rPr>
          <w:color w:val="231F1F"/>
          <w:spacing w:val="-14"/>
          <w:w w:val="110"/>
        </w:rPr>
        <w:t> </w:t>
      </w:r>
      <w:r>
        <w:rPr>
          <w:color w:val="231F1F"/>
          <w:w w:val="110"/>
        </w:rPr>
        <w:t>consistente</w:t>
      </w:r>
      <w:r>
        <w:rPr>
          <w:color w:val="231F1F"/>
          <w:spacing w:val="-13"/>
          <w:w w:val="110"/>
        </w:rPr>
        <w:t> </w:t>
      </w:r>
      <w:r>
        <w:rPr>
          <w:color w:val="231F1F"/>
          <w:w w:val="110"/>
        </w:rPr>
        <w:t>con</w:t>
      </w:r>
      <w:r>
        <w:rPr>
          <w:color w:val="231F1F"/>
          <w:spacing w:val="-13"/>
          <w:w w:val="110"/>
        </w:rPr>
        <w:t> </w:t>
      </w:r>
      <w:r>
        <w:rPr>
          <w:color w:val="231F1F"/>
          <w:w w:val="110"/>
        </w:rPr>
        <w:t>la evidencia</w:t>
      </w:r>
      <w:r>
        <w:rPr>
          <w:color w:val="231F1F"/>
          <w:spacing w:val="-10"/>
          <w:w w:val="110"/>
        </w:rPr>
        <w:t> </w:t>
      </w:r>
      <w:r>
        <w:rPr>
          <w:color w:val="231F1F"/>
          <w:w w:val="110"/>
        </w:rPr>
        <w:t>resumida</w:t>
      </w:r>
      <w:r>
        <w:rPr>
          <w:color w:val="231F1F"/>
          <w:spacing w:val="-10"/>
          <w:w w:val="110"/>
        </w:rPr>
        <w:t> </w:t>
      </w:r>
      <w:r>
        <w:rPr>
          <w:color w:val="231F1F"/>
          <w:w w:val="110"/>
        </w:rPr>
        <w:t>en</w:t>
      </w:r>
      <w:r>
        <w:rPr>
          <w:color w:val="231F1F"/>
          <w:spacing w:val="-10"/>
          <w:w w:val="110"/>
        </w:rPr>
        <w:t> </w:t>
      </w:r>
      <w:r>
        <w:rPr>
          <w:color w:val="231F1F"/>
          <w:w w:val="110"/>
        </w:rPr>
        <w:t>la</w:t>
      </w:r>
      <w:r>
        <w:rPr>
          <w:color w:val="231F1F"/>
          <w:spacing w:val="-10"/>
          <w:w w:val="110"/>
        </w:rPr>
        <w:t> </w:t>
      </w:r>
      <w:r>
        <w:rPr>
          <w:color w:val="231F1F"/>
          <w:w w:val="110"/>
        </w:rPr>
        <w:t>guía</w:t>
      </w:r>
      <w:r>
        <w:rPr>
          <w:color w:val="231F1F"/>
          <w:spacing w:val="-10"/>
          <w:w w:val="110"/>
        </w:rPr>
        <w:t> </w:t>
      </w:r>
      <w:r>
        <w:rPr>
          <w:color w:val="231F1F"/>
          <w:w w:val="110"/>
        </w:rPr>
        <w:t>NICE</w:t>
      </w:r>
      <w:r>
        <w:rPr>
          <w:color w:val="231F1F"/>
          <w:spacing w:val="-9"/>
          <w:w w:val="110"/>
        </w:rPr>
        <w:t> </w:t>
      </w:r>
      <w:r>
        <w:rPr>
          <w:color w:val="231F1F"/>
          <w:w w:val="110"/>
        </w:rPr>
        <w:t>(10),</w:t>
      </w:r>
      <w:r>
        <w:rPr>
          <w:color w:val="231F1F"/>
          <w:spacing w:val="-10"/>
          <w:w w:val="110"/>
        </w:rPr>
        <w:t> </w:t>
      </w:r>
      <w:r>
        <w:rPr>
          <w:color w:val="231F1F"/>
          <w:w w:val="110"/>
        </w:rPr>
        <w:t>concluyendo</w:t>
      </w:r>
      <w:r>
        <w:rPr>
          <w:color w:val="231F1F"/>
          <w:spacing w:val="-9"/>
          <w:w w:val="110"/>
        </w:rPr>
        <w:t> </w:t>
      </w:r>
      <w:r>
        <w:rPr>
          <w:color w:val="231F1F"/>
          <w:w w:val="110"/>
        </w:rPr>
        <w:t>que</w:t>
      </w:r>
      <w:r>
        <w:rPr>
          <w:color w:val="231F1F"/>
          <w:spacing w:val="-10"/>
          <w:w w:val="110"/>
        </w:rPr>
        <w:t> </w:t>
      </w:r>
      <w:r>
        <w:rPr>
          <w:color w:val="231F1F"/>
          <w:w w:val="110"/>
        </w:rPr>
        <w:t>las</w:t>
      </w:r>
      <w:r>
        <w:rPr>
          <w:color w:val="231F1F"/>
          <w:spacing w:val="-10"/>
          <w:w w:val="110"/>
        </w:rPr>
        <w:t> </w:t>
      </w:r>
      <w:r>
        <w:rPr>
          <w:color w:val="231F1F"/>
          <w:w w:val="110"/>
        </w:rPr>
        <w:t>expectativas de las mujeres, junto al control personal, son los factores más importantes relacionados con la satisfacción de las mujeres durante el parto.</w:t>
      </w:r>
    </w:p>
    <w:p>
      <w:pPr>
        <w:pStyle w:val="BodyText"/>
        <w:spacing w:line="252" w:lineRule="auto" w:before="144"/>
        <w:ind w:left="283" w:firstLine="453"/>
        <w:jc w:val="both"/>
      </w:pPr>
      <w:r>
        <w:rPr>
          <w:color w:val="231F1F"/>
          <w:w w:val="110"/>
        </w:rPr>
        <w:t>Teniendo</w:t>
      </w:r>
      <w:r>
        <w:rPr>
          <w:color w:val="231F1F"/>
          <w:w w:val="110"/>
        </w:rPr>
        <w:t> en</w:t>
      </w:r>
      <w:r>
        <w:rPr>
          <w:color w:val="231F1F"/>
          <w:w w:val="110"/>
        </w:rPr>
        <w:t> cuenta</w:t>
      </w:r>
      <w:r>
        <w:rPr>
          <w:color w:val="231F1F"/>
          <w:w w:val="110"/>
        </w:rPr>
        <w:t> lo</w:t>
      </w:r>
      <w:r>
        <w:rPr>
          <w:color w:val="231F1F"/>
          <w:w w:val="110"/>
        </w:rPr>
        <w:t> anteriormente</w:t>
      </w:r>
      <w:r>
        <w:rPr>
          <w:color w:val="231F1F"/>
          <w:w w:val="110"/>
        </w:rPr>
        <w:t> mencionado,</w:t>
      </w:r>
      <w:r>
        <w:rPr>
          <w:color w:val="231F1F"/>
          <w:w w:val="110"/>
        </w:rPr>
        <w:t> el</w:t>
      </w:r>
      <w:r>
        <w:rPr>
          <w:color w:val="231F1F"/>
          <w:w w:val="110"/>
        </w:rPr>
        <w:t> GEG</w:t>
      </w:r>
      <w:r>
        <w:rPr>
          <w:color w:val="231F1F"/>
          <w:w w:val="110"/>
        </w:rPr>
        <w:t> considera </w:t>
      </w:r>
      <w:r>
        <w:rPr>
          <w:color w:val="231F1F"/>
        </w:rPr>
        <w:t>que</w:t>
      </w:r>
      <w:r>
        <w:rPr>
          <w:color w:val="231F1F"/>
          <w:spacing w:val="40"/>
        </w:rPr>
        <w:t> </w:t>
      </w:r>
      <w:r>
        <w:rPr>
          <w:color w:val="231F1F"/>
        </w:rPr>
        <w:t>durante</w:t>
      </w:r>
      <w:r>
        <w:rPr>
          <w:color w:val="231F1F"/>
          <w:spacing w:val="40"/>
        </w:rPr>
        <w:t> </w:t>
      </w:r>
      <w:r>
        <w:rPr>
          <w:color w:val="231F1F"/>
        </w:rPr>
        <w:t>los</w:t>
      </w:r>
      <w:r>
        <w:rPr>
          <w:color w:val="231F1F"/>
          <w:spacing w:val="40"/>
        </w:rPr>
        <w:t> </w:t>
      </w:r>
      <w:r>
        <w:rPr>
          <w:color w:val="231F1F"/>
        </w:rPr>
        <w:t>cuidados</w:t>
      </w:r>
      <w:r>
        <w:rPr>
          <w:color w:val="231F1F"/>
          <w:spacing w:val="40"/>
        </w:rPr>
        <w:t> </w:t>
      </w:r>
      <w:r>
        <w:rPr>
          <w:color w:val="231F1F"/>
        </w:rPr>
        <w:t>prenatales</w:t>
      </w:r>
      <w:r>
        <w:rPr>
          <w:color w:val="231F1F"/>
          <w:spacing w:val="40"/>
        </w:rPr>
        <w:t> </w:t>
      </w:r>
      <w:r>
        <w:rPr>
          <w:color w:val="231F1F"/>
        </w:rPr>
        <w:t>debe</w:t>
      </w:r>
      <w:r>
        <w:rPr>
          <w:color w:val="231F1F"/>
          <w:spacing w:val="40"/>
        </w:rPr>
        <w:t> </w:t>
      </w:r>
      <w:r>
        <w:rPr>
          <w:color w:val="231F1F"/>
        </w:rPr>
        <w:t>ofrecerse</w:t>
      </w:r>
      <w:r>
        <w:rPr>
          <w:color w:val="231F1F"/>
          <w:spacing w:val="40"/>
        </w:rPr>
        <w:t> </w:t>
      </w:r>
      <w:r>
        <w:rPr>
          <w:color w:val="231F1F"/>
        </w:rPr>
        <w:t>una</w:t>
      </w:r>
      <w:r>
        <w:rPr>
          <w:color w:val="231F1F"/>
          <w:spacing w:val="40"/>
        </w:rPr>
        <w:t> </w:t>
      </w:r>
      <w:r>
        <w:rPr>
          <w:color w:val="231F1F"/>
        </w:rPr>
        <w:t>adecuada</w:t>
      </w:r>
      <w:r>
        <w:rPr>
          <w:color w:val="231F1F"/>
          <w:spacing w:val="40"/>
        </w:rPr>
        <w:t> </w:t>
      </w:r>
      <w:r>
        <w:rPr>
          <w:color w:val="231F1F"/>
        </w:rPr>
        <w:t>información </w:t>
      </w:r>
      <w:r>
        <w:rPr>
          <w:color w:val="231F1F"/>
          <w:spacing w:val="-2"/>
          <w:w w:val="110"/>
        </w:rPr>
        <w:t>del</w:t>
      </w:r>
      <w:r>
        <w:rPr>
          <w:color w:val="231F1F"/>
          <w:spacing w:val="-9"/>
          <w:w w:val="110"/>
        </w:rPr>
        <w:t> </w:t>
      </w:r>
      <w:r>
        <w:rPr>
          <w:color w:val="231F1F"/>
          <w:spacing w:val="-2"/>
          <w:w w:val="110"/>
        </w:rPr>
        <w:t>proceso</w:t>
      </w:r>
      <w:r>
        <w:rPr>
          <w:color w:val="231F1F"/>
          <w:spacing w:val="-8"/>
          <w:w w:val="110"/>
        </w:rPr>
        <w:t> </w:t>
      </w:r>
      <w:r>
        <w:rPr>
          <w:color w:val="231F1F"/>
          <w:spacing w:val="-2"/>
          <w:w w:val="110"/>
        </w:rPr>
        <w:t>del</w:t>
      </w:r>
      <w:r>
        <w:rPr>
          <w:color w:val="231F1F"/>
          <w:spacing w:val="-9"/>
          <w:w w:val="110"/>
        </w:rPr>
        <w:t> </w:t>
      </w:r>
      <w:r>
        <w:rPr>
          <w:color w:val="231F1F"/>
          <w:spacing w:val="-2"/>
          <w:w w:val="110"/>
        </w:rPr>
        <w:t>parto,</w:t>
      </w:r>
      <w:r>
        <w:rPr>
          <w:color w:val="231F1F"/>
          <w:spacing w:val="-9"/>
          <w:w w:val="110"/>
        </w:rPr>
        <w:t> </w:t>
      </w:r>
      <w:r>
        <w:rPr>
          <w:color w:val="231F1F"/>
          <w:spacing w:val="-2"/>
          <w:w w:val="110"/>
        </w:rPr>
        <w:t>que</w:t>
      </w:r>
      <w:r>
        <w:rPr>
          <w:color w:val="231F1F"/>
          <w:spacing w:val="-9"/>
          <w:w w:val="110"/>
        </w:rPr>
        <w:t> </w:t>
      </w:r>
      <w:r>
        <w:rPr>
          <w:color w:val="231F1F"/>
          <w:spacing w:val="-2"/>
          <w:w w:val="110"/>
        </w:rPr>
        <w:t>permita</w:t>
      </w:r>
      <w:r>
        <w:rPr>
          <w:color w:val="231F1F"/>
          <w:spacing w:val="-8"/>
          <w:w w:val="110"/>
        </w:rPr>
        <w:t> </w:t>
      </w:r>
      <w:r>
        <w:rPr>
          <w:color w:val="231F1F"/>
          <w:spacing w:val="-2"/>
          <w:w w:val="110"/>
        </w:rPr>
        <w:t>a</w:t>
      </w:r>
      <w:r>
        <w:rPr>
          <w:color w:val="231F1F"/>
          <w:spacing w:val="-9"/>
          <w:w w:val="110"/>
        </w:rPr>
        <w:t> </w:t>
      </w:r>
      <w:r>
        <w:rPr>
          <w:color w:val="231F1F"/>
          <w:spacing w:val="-2"/>
          <w:w w:val="110"/>
        </w:rPr>
        <w:t>las</w:t>
      </w:r>
      <w:r>
        <w:rPr>
          <w:color w:val="231F1F"/>
          <w:spacing w:val="-9"/>
          <w:w w:val="110"/>
        </w:rPr>
        <w:t> </w:t>
      </w:r>
      <w:r>
        <w:rPr>
          <w:color w:val="231F1F"/>
          <w:spacing w:val="-2"/>
          <w:w w:val="110"/>
        </w:rPr>
        <w:t>mujeres</w:t>
      </w:r>
      <w:r>
        <w:rPr>
          <w:color w:val="231F1F"/>
          <w:spacing w:val="-9"/>
          <w:w w:val="110"/>
        </w:rPr>
        <w:t> </w:t>
      </w:r>
      <w:r>
        <w:rPr>
          <w:color w:val="231F1F"/>
          <w:spacing w:val="-2"/>
          <w:w w:val="110"/>
        </w:rPr>
        <w:t>clarificar</w:t>
      </w:r>
      <w:r>
        <w:rPr>
          <w:color w:val="231F1F"/>
          <w:spacing w:val="-9"/>
          <w:w w:val="110"/>
        </w:rPr>
        <w:t> </w:t>
      </w:r>
      <w:r>
        <w:rPr>
          <w:color w:val="231F1F"/>
          <w:spacing w:val="-2"/>
          <w:w w:val="110"/>
        </w:rPr>
        <w:t>conceptos</w:t>
      </w:r>
      <w:r>
        <w:rPr>
          <w:color w:val="231F1F"/>
          <w:spacing w:val="-8"/>
          <w:w w:val="110"/>
        </w:rPr>
        <w:t> </w:t>
      </w:r>
      <w:r>
        <w:rPr>
          <w:color w:val="231F1F"/>
          <w:spacing w:val="-2"/>
          <w:w w:val="110"/>
        </w:rPr>
        <w:t>y</w:t>
      </w:r>
      <w:r>
        <w:rPr>
          <w:color w:val="231F1F"/>
          <w:spacing w:val="-8"/>
          <w:w w:val="110"/>
        </w:rPr>
        <w:t> </w:t>
      </w:r>
      <w:r>
        <w:rPr>
          <w:color w:val="231F1F"/>
          <w:spacing w:val="-2"/>
          <w:w w:val="110"/>
        </w:rPr>
        <w:t>definir </w:t>
      </w:r>
      <w:r>
        <w:rPr>
          <w:color w:val="231F1F"/>
          <w:w w:val="110"/>
        </w:rPr>
        <w:t>preferencias para que sus expectativas sean más realistas y de este modo, conseguir una mayor satisfacción materna durante el parto.</w:t>
      </w:r>
    </w:p>
    <w:p>
      <w:pPr>
        <w:pStyle w:val="BodyText"/>
        <w:spacing w:before="146"/>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8"/>
          <w:sz w:val="24"/>
        </w:rPr>
        <w:t> </w:t>
      </w:r>
      <w:r>
        <w:rPr>
          <w:rFonts w:ascii="Arial MT"/>
          <w:color w:val="231F1F"/>
          <w:spacing w:val="-2"/>
          <w:sz w:val="24"/>
        </w:rPr>
        <w:t>evidencia</w:t>
      </w:r>
    </w:p>
    <w:p>
      <w:pPr>
        <w:spacing w:line="278" w:lineRule="auto" w:before="124"/>
        <w:ind w:left="513" w:right="514" w:hanging="78"/>
        <w:jc w:val="left"/>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1"/>
        <w:rPr>
          <w:rFonts w:ascii="Arial MT"/>
          <w:sz w:val="18"/>
        </w:rPr>
      </w:pPr>
    </w:p>
    <w:p>
      <w:pPr>
        <w:spacing w:line="273" w:lineRule="auto" w:before="0"/>
        <w:ind w:left="283" w:right="0" w:firstLine="121"/>
        <w:jc w:val="left"/>
        <w:rPr>
          <w:rFonts w:ascii="Arial MT"/>
          <w:sz w:val="18"/>
        </w:rPr>
      </w:pPr>
      <w:r>
        <w:rPr>
          <w:rFonts w:ascii="Arial MT"/>
          <w:color w:val="231F1F"/>
          <w:sz w:val="18"/>
        </w:rPr>
        <w:t>E. de </w:t>
      </w:r>
      <w:r>
        <w:rPr>
          <w:rFonts w:ascii="Arial MT"/>
          <w:color w:val="231F1F"/>
          <w:spacing w:val="-6"/>
          <w:sz w:val="18"/>
        </w:rPr>
        <w:t>Cohorte</w:t>
      </w:r>
    </w:p>
    <w:p>
      <w:pPr>
        <w:spacing w:line="196" w:lineRule="exact" w:before="0"/>
        <w:ind w:left="513" w:right="0" w:firstLine="0"/>
        <w:jc w:val="left"/>
        <w:rPr>
          <w:rFonts w:ascii="Arial MT"/>
          <w:sz w:val="18"/>
        </w:rPr>
      </w:pPr>
      <w:r>
        <w:rPr>
          <w:rFonts w:ascii="Arial MT"/>
          <w:color w:val="231F1F"/>
          <w:spacing w:val="-5"/>
          <w:sz w:val="18"/>
        </w:rPr>
        <w:t>2+</w:t>
      </w:r>
    </w:p>
    <w:p>
      <w:pPr>
        <w:spacing w:after="0" w:line="196" w:lineRule="exact"/>
        <w:jc w:val="left"/>
        <w:rPr>
          <w:rFonts w:ascii="Arial MT"/>
          <w:sz w:val="18"/>
        </w:rPr>
        <w:sectPr>
          <w:pgSz w:w="11900" w:h="16840"/>
          <w:pgMar w:header="0" w:footer="622" w:top="1560" w:bottom="820" w:left="1417" w:right="1559"/>
          <w:cols w:num="2" w:equalWidth="0">
            <w:col w:w="7551" w:space="51"/>
            <w:col w:w="1322"/>
          </w:cols>
        </w:sectPr>
      </w:pP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9" w:lineRule="auto" w:before="44"/>
              <w:ind w:right="86"/>
              <w:jc w:val="both"/>
              <w:rPr>
                <w:sz w:val="22"/>
              </w:rPr>
            </w:pPr>
            <w:r>
              <w:rPr>
                <w:color w:val="231F1F"/>
                <w:w w:val="105"/>
                <w:sz w:val="22"/>
              </w:rPr>
              <w:t>La experiencia de parto está influenciada por varios factores tales como las expectativas,</w:t>
            </w:r>
            <w:r>
              <w:rPr>
                <w:color w:val="231F1F"/>
                <w:spacing w:val="-5"/>
                <w:w w:val="105"/>
                <w:sz w:val="22"/>
              </w:rPr>
              <w:t> </w:t>
            </w:r>
            <w:r>
              <w:rPr>
                <w:color w:val="231F1F"/>
                <w:w w:val="105"/>
                <w:sz w:val="22"/>
              </w:rPr>
              <w:t>nivel</w:t>
            </w:r>
            <w:r>
              <w:rPr>
                <w:color w:val="231F1F"/>
                <w:spacing w:val="-6"/>
                <w:w w:val="105"/>
                <w:sz w:val="22"/>
              </w:rPr>
              <w:t> </w:t>
            </w:r>
            <w:r>
              <w:rPr>
                <w:color w:val="231F1F"/>
                <w:w w:val="105"/>
                <w:sz w:val="22"/>
              </w:rPr>
              <w:t>de</w:t>
            </w:r>
            <w:r>
              <w:rPr>
                <w:color w:val="231F1F"/>
                <w:spacing w:val="-6"/>
                <w:w w:val="105"/>
                <w:sz w:val="22"/>
              </w:rPr>
              <w:t> </w:t>
            </w:r>
            <w:r>
              <w:rPr>
                <w:color w:val="231F1F"/>
                <w:w w:val="105"/>
                <w:sz w:val="22"/>
              </w:rPr>
              <w:t>preparación,</w:t>
            </w:r>
            <w:r>
              <w:rPr>
                <w:color w:val="231F1F"/>
                <w:spacing w:val="-6"/>
                <w:w w:val="105"/>
                <w:sz w:val="22"/>
              </w:rPr>
              <w:t> </w:t>
            </w:r>
            <w:r>
              <w:rPr>
                <w:color w:val="231F1F"/>
                <w:w w:val="105"/>
                <w:sz w:val="22"/>
              </w:rPr>
              <w:t>complicación</w:t>
            </w:r>
            <w:r>
              <w:rPr>
                <w:color w:val="231F1F"/>
                <w:spacing w:val="-5"/>
                <w:w w:val="105"/>
                <w:sz w:val="22"/>
              </w:rPr>
              <w:t> </w:t>
            </w:r>
            <w:r>
              <w:rPr>
                <w:color w:val="231F1F"/>
                <w:w w:val="105"/>
                <w:sz w:val="22"/>
              </w:rPr>
              <w:t>del</w:t>
            </w:r>
            <w:r>
              <w:rPr>
                <w:color w:val="231F1F"/>
                <w:spacing w:val="-6"/>
                <w:w w:val="105"/>
                <w:sz w:val="22"/>
              </w:rPr>
              <w:t> </w:t>
            </w:r>
            <w:r>
              <w:rPr>
                <w:color w:val="231F1F"/>
                <w:w w:val="105"/>
                <w:sz w:val="22"/>
              </w:rPr>
              <w:t>parto</w:t>
            </w:r>
            <w:r>
              <w:rPr>
                <w:color w:val="231F1F"/>
                <w:spacing w:val="-6"/>
                <w:w w:val="105"/>
                <w:sz w:val="22"/>
              </w:rPr>
              <w:t> </w:t>
            </w:r>
            <w:r>
              <w:rPr>
                <w:color w:val="231F1F"/>
                <w:w w:val="105"/>
                <w:sz w:val="22"/>
              </w:rPr>
              <w:t>y</w:t>
            </w:r>
            <w:r>
              <w:rPr>
                <w:color w:val="231F1F"/>
                <w:spacing w:val="-6"/>
                <w:w w:val="105"/>
                <w:sz w:val="22"/>
              </w:rPr>
              <w:t> </w:t>
            </w:r>
            <w:r>
              <w:rPr>
                <w:color w:val="231F1F"/>
                <w:w w:val="105"/>
                <w:sz w:val="22"/>
              </w:rPr>
              <w:t>el</w:t>
            </w:r>
            <w:r>
              <w:rPr>
                <w:color w:val="231F1F"/>
                <w:spacing w:val="-6"/>
                <w:w w:val="105"/>
                <w:sz w:val="22"/>
              </w:rPr>
              <w:t> </w:t>
            </w:r>
            <w:r>
              <w:rPr>
                <w:color w:val="231F1F"/>
                <w:w w:val="105"/>
                <w:sz w:val="22"/>
              </w:rPr>
              <w:t>grado</w:t>
            </w:r>
            <w:r>
              <w:rPr>
                <w:color w:val="231F1F"/>
                <w:spacing w:val="-6"/>
                <w:w w:val="105"/>
                <w:sz w:val="22"/>
              </w:rPr>
              <w:t> </w:t>
            </w:r>
            <w:r>
              <w:rPr>
                <w:color w:val="231F1F"/>
                <w:w w:val="105"/>
                <w:sz w:val="22"/>
              </w:rPr>
              <w:t>de</w:t>
            </w:r>
            <w:r>
              <w:rPr>
                <w:color w:val="231F1F"/>
                <w:spacing w:val="-6"/>
                <w:w w:val="105"/>
                <w:sz w:val="22"/>
              </w:rPr>
              <w:t> </w:t>
            </w:r>
            <w:r>
              <w:rPr>
                <w:color w:val="231F1F"/>
                <w:w w:val="105"/>
                <w:sz w:val="22"/>
              </w:rPr>
              <w:t>dolor experimentado (11).</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2++</w:t>
            </w:r>
          </w:p>
        </w:tc>
      </w:tr>
      <w:tr>
        <w:trPr>
          <w:trHeight w:val="964" w:hRule="atLeast"/>
        </w:trPr>
        <w:tc>
          <w:tcPr>
            <w:tcW w:w="7373" w:type="dxa"/>
          </w:tcPr>
          <w:p>
            <w:pPr>
              <w:pStyle w:val="TableParagraph"/>
              <w:spacing w:line="247" w:lineRule="auto" w:before="44"/>
              <w:ind w:right="87"/>
              <w:jc w:val="both"/>
              <w:rPr>
                <w:sz w:val="22"/>
              </w:rPr>
            </w:pPr>
            <w:r>
              <w:rPr>
                <w:color w:val="231F1F"/>
                <w:spacing w:val="-2"/>
                <w:w w:val="110"/>
                <w:sz w:val="22"/>
              </w:rPr>
              <w:t>La</w:t>
            </w:r>
            <w:r>
              <w:rPr>
                <w:color w:val="231F1F"/>
                <w:spacing w:val="-9"/>
                <w:w w:val="110"/>
                <w:sz w:val="22"/>
              </w:rPr>
              <w:t> </w:t>
            </w:r>
            <w:r>
              <w:rPr>
                <w:color w:val="231F1F"/>
                <w:spacing w:val="-2"/>
                <w:w w:val="110"/>
                <w:sz w:val="22"/>
              </w:rPr>
              <w:t>actitud</w:t>
            </w:r>
            <w:r>
              <w:rPr>
                <w:color w:val="231F1F"/>
                <w:spacing w:val="-9"/>
                <w:w w:val="110"/>
                <w:sz w:val="22"/>
              </w:rPr>
              <w:t> </w:t>
            </w:r>
            <w:r>
              <w:rPr>
                <w:color w:val="231F1F"/>
                <w:spacing w:val="-2"/>
                <w:w w:val="110"/>
                <w:sz w:val="22"/>
              </w:rPr>
              <w:t>y</w:t>
            </w:r>
            <w:r>
              <w:rPr>
                <w:color w:val="231F1F"/>
                <w:spacing w:val="-9"/>
                <w:w w:val="110"/>
                <w:sz w:val="22"/>
              </w:rPr>
              <w:t> </w:t>
            </w:r>
            <w:r>
              <w:rPr>
                <w:color w:val="231F1F"/>
                <w:spacing w:val="-2"/>
                <w:w w:val="110"/>
                <w:sz w:val="22"/>
              </w:rPr>
              <w:t>el</w:t>
            </w:r>
            <w:r>
              <w:rPr>
                <w:color w:val="231F1F"/>
                <w:spacing w:val="-10"/>
                <w:w w:val="110"/>
                <w:sz w:val="22"/>
              </w:rPr>
              <w:t> </w:t>
            </w:r>
            <w:r>
              <w:rPr>
                <w:color w:val="231F1F"/>
                <w:spacing w:val="-2"/>
                <w:w w:val="110"/>
                <w:sz w:val="22"/>
              </w:rPr>
              <w:t>comportamiento</w:t>
            </w:r>
            <w:r>
              <w:rPr>
                <w:color w:val="231F1F"/>
                <w:spacing w:val="-10"/>
                <w:w w:val="110"/>
                <w:sz w:val="22"/>
              </w:rPr>
              <w:t> </w:t>
            </w:r>
            <w:r>
              <w:rPr>
                <w:color w:val="231F1F"/>
                <w:spacing w:val="-2"/>
                <w:w w:val="110"/>
                <w:sz w:val="22"/>
              </w:rPr>
              <w:t>de</w:t>
            </w:r>
            <w:r>
              <w:rPr>
                <w:color w:val="231F1F"/>
                <w:spacing w:val="-9"/>
                <w:w w:val="110"/>
                <w:sz w:val="22"/>
              </w:rPr>
              <w:t> </w:t>
            </w:r>
            <w:r>
              <w:rPr>
                <w:color w:val="231F1F"/>
                <w:spacing w:val="-2"/>
                <w:w w:val="110"/>
                <w:sz w:val="22"/>
              </w:rPr>
              <w:t>los</w:t>
            </w:r>
            <w:r>
              <w:rPr>
                <w:color w:val="231F1F"/>
                <w:spacing w:val="-10"/>
                <w:w w:val="110"/>
                <w:sz w:val="22"/>
              </w:rPr>
              <w:t> </w:t>
            </w:r>
            <w:r>
              <w:rPr>
                <w:color w:val="231F1F"/>
                <w:spacing w:val="-2"/>
                <w:w w:val="110"/>
                <w:sz w:val="22"/>
              </w:rPr>
              <w:t>cuidadores</w:t>
            </w:r>
            <w:r>
              <w:rPr>
                <w:color w:val="231F1F"/>
                <w:spacing w:val="-9"/>
                <w:w w:val="110"/>
                <w:sz w:val="22"/>
              </w:rPr>
              <w:t> </w:t>
            </w:r>
            <w:r>
              <w:rPr>
                <w:color w:val="231F1F"/>
                <w:spacing w:val="-2"/>
                <w:w w:val="110"/>
                <w:sz w:val="22"/>
              </w:rPr>
              <w:t>es</w:t>
            </w:r>
            <w:r>
              <w:rPr>
                <w:color w:val="231F1F"/>
                <w:spacing w:val="-9"/>
                <w:w w:val="110"/>
                <w:sz w:val="22"/>
              </w:rPr>
              <w:t> </w:t>
            </w:r>
            <w:r>
              <w:rPr>
                <w:color w:val="231F1F"/>
                <w:spacing w:val="-2"/>
                <w:w w:val="110"/>
                <w:sz w:val="22"/>
              </w:rPr>
              <w:t>el</w:t>
            </w:r>
            <w:r>
              <w:rPr>
                <w:color w:val="231F1F"/>
                <w:spacing w:val="-10"/>
                <w:w w:val="110"/>
                <w:sz w:val="22"/>
              </w:rPr>
              <w:t> </w:t>
            </w:r>
            <w:r>
              <w:rPr>
                <w:color w:val="231F1F"/>
                <w:spacing w:val="-2"/>
                <w:w w:val="110"/>
                <w:sz w:val="22"/>
              </w:rPr>
              <w:t>factor</w:t>
            </w:r>
            <w:r>
              <w:rPr>
                <w:color w:val="231F1F"/>
                <w:spacing w:val="-9"/>
                <w:w w:val="110"/>
                <w:sz w:val="22"/>
              </w:rPr>
              <w:t> </w:t>
            </w:r>
            <w:r>
              <w:rPr>
                <w:color w:val="231F1F"/>
                <w:spacing w:val="-2"/>
                <w:w w:val="110"/>
                <w:sz w:val="22"/>
              </w:rPr>
              <w:t>que</w:t>
            </w:r>
            <w:r>
              <w:rPr>
                <w:color w:val="231F1F"/>
                <w:spacing w:val="-9"/>
                <w:w w:val="110"/>
                <w:sz w:val="22"/>
              </w:rPr>
              <w:t> </w:t>
            </w:r>
            <w:r>
              <w:rPr>
                <w:color w:val="231F1F"/>
                <w:spacing w:val="-2"/>
                <w:w w:val="110"/>
                <w:sz w:val="22"/>
              </w:rPr>
              <w:t>más</w:t>
            </w:r>
            <w:r>
              <w:rPr>
                <w:color w:val="231F1F"/>
                <w:spacing w:val="-9"/>
                <w:w w:val="110"/>
                <w:sz w:val="22"/>
              </w:rPr>
              <w:t> </w:t>
            </w:r>
            <w:r>
              <w:rPr>
                <w:color w:val="231F1F"/>
                <w:spacing w:val="-2"/>
                <w:w w:val="110"/>
                <w:sz w:val="22"/>
              </w:rPr>
              <w:t>influ- ye</w:t>
            </w:r>
            <w:r>
              <w:rPr>
                <w:color w:val="231F1F"/>
                <w:spacing w:val="-10"/>
                <w:w w:val="110"/>
                <w:sz w:val="22"/>
              </w:rPr>
              <w:t> </w:t>
            </w:r>
            <w:r>
              <w:rPr>
                <w:color w:val="231F1F"/>
                <w:spacing w:val="-2"/>
                <w:w w:val="110"/>
                <w:sz w:val="22"/>
              </w:rPr>
              <w:t>en</w:t>
            </w:r>
            <w:r>
              <w:rPr>
                <w:color w:val="231F1F"/>
                <w:spacing w:val="-9"/>
                <w:w w:val="110"/>
                <w:sz w:val="22"/>
              </w:rPr>
              <w:t> </w:t>
            </w:r>
            <w:r>
              <w:rPr>
                <w:color w:val="231F1F"/>
                <w:spacing w:val="-2"/>
                <w:w w:val="110"/>
                <w:sz w:val="22"/>
              </w:rPr>
              <w:t>la</w:t>
            </w:r>
            <w:r>
              <w:rPr>
                <w:color w:val="231F1F"/>
                <w:spacing w:val="-10"/>
                <w:w w:val="110"/>
                <w:sz w:val="22"/>
              </w:rPr>
              <w:t> </w:t>
            </w:r>
            <w:r>
              <w:rPr>
                <w:color w:val="231F1F"/>
                <w:spacing w:val="-2"/>
                <w:w w:val="110"/>
                <w:sz w:val="22"/>
              </w:rPr>
              <w:t>satisfacción</w:t>
            </w:r>
            <w:r>
              <w:rPr>
                <w:color w:val="231F1F"/>
                <w:spacing w:val="-10"/>
                <w:w w:val="110"/>
                <w:sz w:val="22"/>
              </w:rPr>
              <w:t> </w:t>
            </w:r>
            <w:r>
              <w:rPr>
                <w:color w:val="231F1F"/>
                <w:spacing w:val="-2"/>
                <w:w w:val="110"/>
                <w:sz w:val="22"/>
              </w:rPr>
              <w:t>materna.</w:t>
            </w:r>
            <w:r>
              <w:rPr>
                <w:color w:val="231F1F"/>
                <w:spacing w:val="-9"/>
                <w:w w:val="110"/>
                <w:sz w:val="22"/>
              </w:rPr>
              <w:t> </w:t>
            </w:r>
            <w:r>
              <w:rPr>
                <w:color w:val="231F1F"/>
                <w:spacing w:val="-2"/>
                <w:w w:val="110"/>
                <w:sz w:val="22"/>
              </w:rPr>
              <w:t>Las</w:t>
            </w:r>
            <w:r>
              <w:rPr>
                <w:color w:val="231F1F"/>
                <w:spacing w:val="-9"/>
                <w:w w:val="110"/>
                <w:sz w:val="22"/>
              </w:rPr>
              <w:t> </w:t>
            </w:r>
            <w:r>
              <w:rPr>
                <w:color w:val="231F1F"/>
                <w:spacing w:val="-2"/>
                <w:w w:val="110"/>
                <w:sz w:val="22"/>
              </w:rPr>
              <w:t>mujeres</w:t>
            </w:r>
            <w:r>
              <w:rPr>
                <w:color w:val="231F1F"/>
                <w:spacing w:val="-9"/>
                <w:w w:val="110"/>
                <w:sz w:val="22"/>
              </w:rPr>
              <w:t> </w:t>
            </w:r>
            <w:r>
              <w:rPr>
                <w:color w:val="231F1F"/>
                <w:spacing w:val="-2"/>
                <w:w w:val="110"/>
                <w:sz w:val="22"/>
              </w:rPr>
              <w:t>están</w:t>
            </w:r>
            <w:r>
              <w:rPr>
                <w:color w:val="231F1F"/>
                <w:spacing w:val="-9"/>
                <w:w w:val="110"/>
                <w:sz w:val="22"/>
              </w:rPr>
              <w:t> </w:t>
            </w:r>
            <w:r>
              <w:rPr>
                <w:color w:val="231F1F"/>
                <w:spacing w:val="-2"/>
                <w:w w:val="110"/>
                <w:sz w:val="22"/>
              </w:rPr>
              <w:t>más</w:t>
            </w:r>
            <w:r>
              <w:rPr>
                <w:color w:val="231F1F"/>
                <w:spacing w:val="-9"/>
                <w:w w:val="110"/>
                <w:sz w:val="22"/>
              </w:rPr>
              <w:t> </w:t>
            </w:r>
            <w:r>
              <w:rPr>
                <w:color w:val="231F1F"/>
                <w:spacing w:val="-2"/>
                <w:w w:val="110"/>
                <w:sz w:val="22"/>
              </w:rPr>
              <w:t>satisfechas</w:t>
            </w:r>
            <w:r>
              <w:rPr>
                <w:color w:val="231F1F"/>
                <w:spacing w:val="-10"/>
                <w:w w:val="110"/>
                <w:sz w:val="22"/>
              </w:rPr>
              <w:t> </w:t>
            </w:r>
            <w:r>
              <w:rPr>
                <w:color w:val="231F1F"/>
                <w:spacing w:val="-2"/>
                <w:w w:val="110"/>
                <w:sz w:val="22"/>
              </w:rPr>
              <w:t>cuando</w:t>
            </w:r>
            <w:r>
              <w:rPr>
                <w:color w:val="231F1F"/>
                <w:spacing w:val="-9"/>
                <w:w w:val="110"/>
                <w:sz w:val="22"/>
              </w:rPr>
              <w:t> </w:t>
            </w:r>
            <w:r>
              <w:rPr>
                <w:color w:val="231F1F"/>
                <w:spacing w:val="-2"/>
                <w:w w:val="110"/>
                <w:sz w:val="22"/>
              </w:rPr>
              <w:t>sus </w:t>
            </w:r>
            <w:r>
              <w:rPr>
                <w:color w:val="231F1F"/>
                <w:w w:val="110"/>
                <w:sz w:val="22"/>
              </w:rPr>
              <w:t>expectativas</w:t>
            </w:r>
            <w:r>
              <w:rPr>
                <w:color w:val="231F1F"/>
                <w:spacing w:val="-9"/>
                <w:w w:val="110"/>
                <w:sz w:val="22"/>
              </w:rPr>
              <w:t> </w:t>
            </w:r>
            <w:r>
              <w:rPr>
                <w:color w:val="231F1F"/>
                <w:w w:val="110"/>
                <w:sz w:val="22"/>
              </w:rPr>
              <w:t>de</w:t>
            </w:r>
            <w:r>
              <w:rPr>
                <w:color w:val="231F1F"/>
                <w:spacing w:val="-9"/>
                <w:w w:val="110"/>
                <w:sz w:val="22"/>
              </w:rPr>
              <w:t> </w:t>
            </w:r>
            <w:r>
              <w:rPr>
                <w:color w:val="231F1F"/>
                <w:w w:val="110"/>
                <w:sz w:val="22"/>
              </w:rPr>
              <w:t>dolor</w:t>
            </w:r>
            <w:r>
              <w:rPr>
                <w:color w:val="231F1F"/>
                <w:spacing w:val="-9"/>
                <w:w w:val="110"/>
                <w:sz w:val="22"/>
              </w:rPr>
              <w:t> </w:t>
            </w:r>
            <w:r>
              <w:rPr>
                <w:color w:val="231F1F"/>
                <w:w w:val="110"/>
                <w:sz w:val="22"/>
              </w:rPr>
              <w:t>y</w:t>
            </w:r>
            <w:r>
              <w:rPr>
                <w:color w:val="231F1F"/>
                <w:spacing w:val="-9"/>
                <w:w w:val="110"/>
                <w:sz w:val="22"/>
              </w:rPr>
              <w:t> </w:t>
            </w:r>
            <w:r>
              <w:rPr>
                <w:color w:val="231F1F"/>
                <w:w w:val="110"/>
                <w:sz w:val="22"/>
              </w:rPr>
              <w:t>de</w:t>
            </w:r>
            <w:r>
              <w:rPr>
                <w:color w:val="231F1F"/>
                <w:spacing w:val="-9"/>
                <w:w w:val="110"/>
                <w:sz w:val="22"/>
              </w:rPr>
              <w:t> </w:t>
            </w:r>
            <w:r>
              <w:rPr>
                <w:color w:val="231F1F"/>
                <w:w w:val="110"/>
                <w:sz w:val="22"/>
              </w:rPr>
              <w:t>elección</w:t>
            </w:r>
            <w:r>
              <w:rPr>
                <w:color w:val="231F1F"/>
                <w:spacing w:val="-9"/>
                <w:w w:val="110"/>
                <w:sz w:val="22"/>
              </w:rPr>
              <w:t> </w:t>
            </w:r>
            <w:r>
              <w:rPr>
                <w:color w:val="231F1F"/>
                <w:w w:val="110"/>
                <w:sz w:val="22"/>
              </w:rPr>
              <w:t>del</w:t>
            </w:r>
            <w:r>
              <w:rPr>
                <w:color w:val="231F1F"/>
                <w:spacing w:val="-11"/>
                <w:w w:val="110"/>
                <w:sz w:val="22"/>
              </w:rPr>
              <w:t> </w:t>
            </w:r>
            <w:r>
              <w:rPr>
                <w:color w:val="231F1F"/>
                <w:w w:val="110"/>
                <w:sz w:val="22"/>
              </w:rPr>
              <w:t>manejo</w:t>
            </w:r>
            <w:r>
              <w:rPr>
                <w:color w:val="231F1F"/>
                <w:spacing w:val="-9"/>
                <w:w w:val="110"/>
                <w:sz w:val="22"/>
              </w:rPr>
              <w:t> </w:t>
            </w:r>
            <w:r>
              <w:rPr>
                <w:color w:val="231F1F"/>
                <w:w w:val="110"/>
                <w:sz w:val="22"/>
              </w:rPr>
              <w:t>del</w:t>
            </w:r>
            <w:r>
              <w:rPr>
                <w:color w:val="231F1F"/>
                <w:spacing w:val="-11"/>
                <w:w w:val="110"/>
                <w:sz w:val="22"/>
              </w:rPr>
              <w:t> </w:t>
            </w:r>
            <w:r>
              <w:rPr>
                <w:color w:val="231F1F"/>
                <w:w w:val="110"/>
                <w:sz w:val="22"/>
              </w:rPr>
              <w:t>mismo</w:t>
            </w:r>
            <w:r>
              <w:rPr>
                <w:color w:val="231F1F"/>
                <w:spacing w:val="-9"/>
                <w:w w:val="110"/>
                <w:sz w:val="22"/>
              </w:rPr>
              <w:t> </w:t>
            </w:r>
            <w:r>
              <w:rPr>
                <w:color w:val="231F1F"/>
                <w:w w:val="110"/>
                <w:sz w:val="22"/>
              </w:rPr>
              <w:t>se</w:t>
            </w:r>
            <w:r>
              <w:rPr>
                <w:color w:val="231F1F"/>
                <w:spacing w:val="-9"/>
                <w:w w:val="110"/>
                <w:sz w:val="22"/>
              </w:rPr>
              <w:t> </w:t>
            </w:r>
            <w:r>
              <w:rPr>
                <w:color w:val="231F1F"/>
                <w:w w:val="110"/>
                <w:sz w:val="22"/>
              </w:rPr>
              <w:t>cumplen</w:t>
            </w:r>
            <w:r>
              <w:rPr>
                <w:color w:val="231F1F"/>
                <w:spacing w:val="-9"/>
                <w:w w:val="110"/>
                <w:sz w:val="22"/>
              </w:rPr>
              <w:t> </w:t>
            </w:r>
            <w:r>
              <w:rPr>
                <w:color w:val="231F1F"/>
                <w:w w:val="110"/>
                <w:sz w:val="22"/>
              </w:rPr>
              <w:t>(11)</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2++</w:t>
            </w:r>
          </w:p>
        </w:tc>
      </w:tr>
    </w:tbl>
    <w:p>
      <w:pPr>
        <w:pStyle w:val="TableParagraph"/>
        <w:spacing w:after="0"/>
        <w:jc w:val="center"/>
        <w:rPr>
          <w:sz w:val="22"/>
        </w:rPr>
        <w:sectPr>
          <w:type w:val="continuous"/>
          <w:pgSz w:w="11900" w:h="16840"/>
          <w:pgMar w:header="0" w:footer="622" w:top="560" w:bottom="28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804" w:hRule="atLeast"/>
        </w:trPr>
        <w:tc>
          <w:tcPr>
            <w:tcW w:w="7373" w:type="dxa"/>
          </w:tcPr>
          <w:p>
            <w:pPr>
              <w:pStyle w:val="TableParagraph"/>
              <w:spacing w:line="247" w:lineRule="auto" w:before="44"/>
              <w:ind w:right="79"/>
              <w:jc w:val="both"/>
              <w:rPr>
                <w:sz w:val="22"/>
              </w:rPr>
            </w:pPr>
            <w:r>
              <w:rPr>
                <w:color w:val="231F1F"/>
                <w:w w:val="105"/>
                <w:sz w:val="22"/>
              </w:rPr>
              <w:t>Las</w:t>
            </w:r>
            <w:r>
              <w:rPr>
                <w:color w:val="231F1F"/>
                <w:w w:val="105"/>
                <w:sz w:val="22"/>
              </w:rPr>
              <w:t> mujeres</w:t>
            </w:r>
            <w:r>
              <w:rPr>
                <w:color w:val="231F1F"/>
                <w:w w:val="105"/>
                <w:sz w:val="22"/>
              </w:rPr>
              <w:t> con</w:t>
            </w:r>
            <w:r>
              <w:rPr>
                <w:color w:val="231F1F"/>
                <w:w w:val="105"/>
                <w:sz w:val="22"/>
              </w:rPr>
              <w:t> analgesia</w:t>
            </w:r>
            <w:r>
              <w:rPr>
                <w:color w:val="231F1F"/>
                <w:w w:val="105"/>
                <w:sz w:val="22"/>
              </w:rPr>
              <w:t> neuroaxial</w:t>
            </w:r>
            <w:r>
              <w:rPr>
                <w:color w:val="231F1F"/>
                <w:w w:val="105"/>
                <w:sz w:val="22"/>
              </w:rPr>
              <w:t> combinada</w:t>
            </w:r>
            <w:r>
              <w:rPr>
                <w:color w:val="231F1F"/>
                <w:w w:val="105"/>
                <w:sz w:val="22"/>
              </w:rPr>
              <w:t> intradural-epidural</w:t>
            </w:r>
            <w:r>
              <w:rPr>
                <w:color w:val="231F1F"/>
                <w:w w:val="105"/>
                <w:sz w:val="22"/>
              </w:rPr>
              <w:t> admi- nistrada en PCEA, (controlada por ellas) alcanzan mayor satisfacción con el alivio</w:t>
            </w:r>
            <w:r>
              <w:rPr>
                <w:color w:val="231F1F"/>
                <w:w w:val="105"/>
                <w:sz w:val="22"/>
              </w:rPr>
              <w:t> del</w:t>
            </w:r>
            <w:r>
              <w:rPr>
                <w:color w:val="231F1F"/>
                <w:w w:val="105"/>
                <w:sz w:val="22"/>
              </w:rPr>
              <w:t> dolor</w:t>
            </w:r>
            <w:r>
              <w:rPr>
                <w:color w:val="231F1F"/>
                <w:w w:val="105"/>
                <w:sz w:val="22"/>
              </w:rPr>
              <w:t> durante</w:t>
            </w:r>
            <w:r>
              <w:rPr>
                <w:color w:val="231F1F"/>
                <w:w w:val="105"/>
                <w:sz w:val="22"/>
              </w:rPr>
              <w:t> el</w:t>
            </w:r>
            <w:r>
              <w:rPr>
                <w:color w:val="231F1F"/>
                <w:w w:val="105"/>
                <w:sz w:val="22"/>
              </w:rPr>
              <w:t> parto</w:t>
            </w:r>
            <w:r>
              <w:rPr>
                <w:color w:val="231F1F"/>
                <w:w w:val="105"/>
                <w:sz w:val="22"/>
              </w:rPr>
              <w:t> que</w:t>
            </w:r>
            <w:r>
              <w:rPr>
                <w:color w:val="231F1F"/>
                <w:w w:val="105"/>
                <w:sz w:val="22"/>
              </w:rPr>
              <w:t> las</w:t>
            </w:r>
            <w:r>
              <w:rPr>
                <w:color w:val="231F1F"/>
                <w:w w:val="105"/>
                <w:sz w:val="22"/>
              </w:rPr>
              <w:t> que</w:t>
            </w:r>
            <w:r>
              <w:rPr>
                <w:color w:val="231F1F"/>
                <w:w w:val="105"/>
                <w:sz w:val="22"/>
              </w:rPr>
              <w:t> reciben</w:t>
            </w:r>
            <w:r>
              <w:rPr>
                <w:color w:val="231F1F"/>
                <w:w w:val="105"/>
                <w:sz w:val="22"/>
              </w:rPr>
              <w:t> apoyo</w:t>
            </w:r>
            <w:r>
              <w:rPr>
                <w:color w:val="231F1F"/>
                <w:w w:val="105"/>
                <w:sz w:val="22"/>
              </w:rPr>
              <w:t> continuo</w:t>
            </w:r>
            <w:r>
              <w:rPr>
                <w:color w:val="231F1F"/>
                <w:w w:val="105"/>
                <w:sz w:val="22"/>
              </w:rPr>
              <w:t> por</w:t>
            </w:r>
            <w:r>
              <w:rPr>
                <w:color w:val="231F1F"/>
                <w:w w:val="105"/>
                <w:sz w:val="22"/>
              </w:rPr>
              <w:t> la matrona</w:t>
            </w:r>
            <w:r>
              <w:rPr>
                <w:color w:val="231F1F"/>
                <w:w w:val="105"/>
                <w:sz w:val="22"/>
              </w:rPr>
              <w:t> más</w:t>
            </w:r>
            <w:r>
              <w:rPr>
                <w:color w:val="231F1F"/>
                <w:w w:val="105"/>
                <w:sz w:val="22"/>
              </w:rPr>
              <w:t> otras</w:t>
            </w:r>
            <w:r>
              <w:rPr>
                <w:color w:val="231F1F"/>
                <w:w w:val="105"/>
                <w:sz w:val="22"/>
              </w:rPr>
              <w:t> formas</w:t>
            </w:r>
            <w:r>
              <w:rPr>
                <w:color w:val="231F1F"/>
                <w:w w:val="105"/>
                <w:sz w:val="22"/>
              </w:rPr>
              <w:t> de</w:t>
            </w:r>
            <w:r>
              <w:rPr>
                <w:color w:val="231F1F"/>
                <w:w w:val="105"/>
                <w:sz w:val="22"/>
              </w:rPr>
              <w:t> analgesia</w:t>
            </w:r>
            <w:r>
              <w:rPr>
                <w:color w:val="231F1F"/>
                <w:w w:val="105"/>
                <w:sz w:val="22"/>
              </w:rPr>
              <w:t> (petidina</w:t>
            </w:r>
            <w:r>
              <w:rPr>
                <w:color w:val="231F1F"/>
                <w:w w:val="105"/>
                <w:sz w:val="22"/>
              </w:rPr>
              <w:t> IM,</w:t>
            </w:r>
            <w:r>
              <w:rPr>
                <w:color w:val="231F1F"/>
                <w:w w:val="105"/>
                <w:sz w:val="22"/>
              </w:rPr>
              <w:t> Entonox®</w:t>
            </w:r>
            <w:r>
              <w:rPr>
                <w:color w:val="231F1F"/>
                <w:w w:val="105"/>
                <w:sz w:val="22"/>
              </w:rPr>
              <w:t> y</w:t>
            </w:r>
            <w:r>
              <w:rPr>
                <w:color w:val="231F1F"/>
                <w:w w:val="105"/>
                <w:sz w:val="22"/>
              </w:rPr>
              <w:t> métodos</w:t>
            </w:r>
            <w:r>
              <w:rPr>
                <w:color w:val="231F1F"/>
                <w:spacing w:val="40"/>
                <w:w w:val="105"/>
                <w:sz w:val="22"/>
              </w:rPr>
              <w:t> </w:t>
            </w:r>
            <w:r>
              <w:rPr>
                <w:color w:val="231F1F"/>
                <w:w w:val="105"/>
                <w:sz w:val="22"/>
              </w:rPr>
              <w:t>no</w:t>
            </w:r>
            <w:r>
              <w:rPr>
                <w:color w:val="231F1F"/>
                <w:w w:val="105"/>
                <w:sz w:val="22"/>
              </w:rPr>
              <w:t> farmacológicos).</w:t>
            </w:r>
            <w:r>
              <w:rPr>
                <w:color w:val="231F1F"/>
                <w:w w:val="105"/>
                <w:sz w:val="22"/>
              </w:rPr>
              <w:t> La</w:t>
            </w:r>
            <w:r>
              <w:rPr>
                <w:color w:val="231F1F"/>
                <w:w w:val="105"/>
                <w:sz w:val="22"/>
              </w:rPr>
              <w:t> satisfacción</w:t>
            </w:r>
            <w:r>
              <w:rPr>
                <w:color w:val="231F1F"/>
                <w:w w:val="105"/>
                <w:sz w:val="22"/>
              </w:rPr>
              <w:t> global</w:t>
            </w:r>
            <w:r>
              <w:rPr>
                <w:color w:val="231F1F"/>
                <w:w w:val="105"/>
                <w:sz w:val="22"/>
              </w:rPr>
              <w:t> con</w:t>
            </w:r>
            <w:r>
              <w:rPr>
                <w:color w:val="231F1F"/>
                <w:w w:val="105"/>
                <w:sz w:val="22"/>
              </w:rPr>
              <w:t> la</w:t>
            </w:r>
            <w:r>
              <w:rPr>
                <w:color w:val="231F1F"/>
                <w:w w:val="105"/>
                <w:sz w:val="22"/>
              </w:rPr>
              <w:t> experiencia</w:t>
            </w:r>
            <w:r>
              <w:rPr>
                <w:color w:val="231F1F"/>
                <w:w w:val="105"/>
                <w:sz w:val="22"/>
              </w:rPr>
              <w:t> del</w:t>
            </w:r>
            <w:r>
              <w:rPr>
                <w:color w:val="231F1F"/>
                <w:w w:val="105"/>
                <w:sz w:val="22"/>
              </w:rPr>
              <w:t> parto</w:t>
            </w:r>
            <w:r>
              <w:rPr>
                <w:color w:val="231F1F"/>
                <w:w w:val="105"/>
                <w:sz w:val="22"/>
              </w:rPr>
              <w:t> y nacimiento es alta y similar en mujeres de ambos grupos (274).</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44" w:lineRule="auto" w:before="44"/>
              <w:ind w:right="89"/>
              <w:jc w:val="both"/>
              <w:rPr>
                <w:sz w:val="22"/>
              </w:rPr>
            </w:pPr>
            <w:r>
              <w:rPr>
                <w:color w:val="231F1F"/>
                <w:w w:val="110"/>
                <w:sz w:val="22"/>
              </w:rPr>
              <w:t>La</w:t>
            </w:r>
            <w:r>
              <w:rPr>
                <w:color w:val="231F1F"/>
                <w:spacing w:val="-11"/>
                <w:w w:val="110"/>
                <w:sz w:val="22"/>
              </w:rPr>
              <w:t> </w:t>
            </w:r>
            <w:r>
              <w:rPr>
                <w:color w:val="231F1F"/>
                <w:w w:val="110"/>
                <w:sz w:val="22"/>
              </w:rPr>
              <w:t>satisfacción</w:t>
            </w:r>
            <w:r>
              <w:rPr>
                <w:color w:val="231F1F"/>
                <w:spacing w:val="-12"/>
                <w:w w:val="110"/>
                <w:sz w:val="22"/>
              </w:rPr>
              <w:t> </w:t>
            </w:r>
            <w:r>
              <w:rPr>
                <w:color w:val="231F1F"/>
                <w:w w:val="110"/>
                <w:sz w:val="22"/>
              </w:rPr>
              <w:t>con</w:t>
            </w:r>
            <w:r>
              <w:rPr>
                <w:color w:val="231F1F"/>
                <w:spacing w:val="-10"/>
                <w:w w:val="110"/>
                <w:sz w:val="22"/>
              </w:rPr>
              <w:t> </w:t>
            </w:r>
            <w:r>
              <w:rPr>
                <w:color w:val="231F1F"/>
                <w:w w:val="110"/>
                <w:sz w:val="22"/>
              </w:rPr>
              <w:t>la</w:t>
            </w:r>
            <w:r>
              <w:rPr>
                <w:color w:val="231F1F"/>
                <w:spacing w:val="-11"/>
                <w:w w:val="110"/>
                <w:sz w:val="22"/>
              </w:rPr>
              <w:t> </w:t>
            </w:r>
            <w:r>
              <w:rPr>
                <w:color w:val="231F1F"/>
                <w:w w:val="110"/>
                <w:sz w:val="22"/>
              </w:rPr>
              <w:t>experiencia</w:t>
            </w:r>
            <w:r>
              <w:rPr>
                <w:color w:val="231F1F"/>
                <w:spacing w:val="-10"/>
                <w:w w:val="110"/>
                <w:sz w:val="22"/>
              </w:rPr>
              <w:t> </w:t>
            </w:r>
            <w:r>
              <w:rPr>
                <w:color w:val="231F1F"/>
                <w:w w:val="110"/>
                <w:sz w:val="22"/>
              </w:rPr>
              <w:t>del</w:t>
            </w:r>
            <w:r>
              <w:rPr>
                <w:color w:val="231F1F"/>
                <w:spacing w:val="-12"/>
                <w:w w:val="110"/>
                <w:sz w:val="22"/>
              </w:rPr>
              <w:t> </w:t>
            </w:r>
            <w:r>
              <w:rPr>
                <w:color w:val="231F1F"/>
                <w:w w:val="110"/>
                <w:sz w:val="22"/>
              </w:rPr>
              <w:t>parto</w:t>
            </w:r>
            <w:r>
              <w:rPr>
                <w:color w:val="231F1F"/>
                <w:spacing w:val="-11"/>
                <w:w w:val="110"/>
                <w:sz w:val="22"/>
              </w:rPr>
              <w:t> </w:t>
            </w:r>
            <w:r>
              <w:rPr>
                <w:color w:val="231F1F"/>
                <w:w w:val="110"/>
                <w:sz w:val="22"/>
              </w:rPr>
              <w:t>está</w:t>
            </w:r>
            <w:r>
              <w:rPr>
                <w:color w:val="231F1F"/>
                <w:spacing w:val="-11"/>
                <w:w w:val="110"/>
                <w:sz w:val="22"/>
              </w:rPr>
              <w:t> </w:t>
            </w:r>
            <w:r>
              <w:rPr>
                <w:color w:val="231F1F"/>
                <w:w w:val="110"/>
                <w:sz w:val="22"/>
              </w:rPr>
              <w:t>relacionada</w:t>
            </w:r>
            <w:r>
              <w:rPr>
                <w:color w:val="231F1F"/>
                <w:spacing w:val="-10"/>
                <w:w w:val="110"/>
                <w:sz w:val="22"/>
              </w:rPr>
              <w:t> </w:t>
            </w:r>
            <w:r>
              <w:rPr>
                <w:color w:val="231F1F"/>
                <w:w w:val="110"/>
                <w:sz w:val="22"/>
              </w:rPr>
              <w:t>con</w:t>
            </w:r>
            <w:r>
              <w:rPr>
                <w:color w:val="231F1F"/>
                <w:spacing w:val="-10"/>
                <w:w w:val="110"/>
                <w:sz w:val="22"/>
              </w:rPr>
              <w:t> </w:t>
            </w:r>
            <w:r>
              <w:rPr>
                <w:color w:val="231F1F"/>
                <w:w w:val="110"/>
                <w:sz w:val="22"/>
              </w:rPr>
              <w:t>cuatro</w:t>
            </w:r>
            <w:r>
              <w:rPr>
                <w:color w:val="231F1F"/>
                <w:spacing w:val="-11"/>
                <w:w w:val="110"/>
                <w:sz w:val="22"/>
              </w:rPr>
              <w:t> </w:t>
            </w:r>
            <w:r>
              <w:rPr>
                <w:color w:val="231F1F"/>
                <w:w w:val="110"/>
                <w:sz w:val="22"/>
              </w:rPr>
              <w:t>as- pectos</w:t>
            </w:r>
            <w:r>
              <w:rPr>
                <w:color w:val="231F1F"/>
                <w:spacing w:val="-7"/>
                <w:w w:val="110"/>
                <w:sz w:val="22"/>
              </w:rPr>
              <w:t> </w:t>
            </w:r>
            <w:r>
              <w:rPr>
                <w:color w:val="231F1F"/>
                <w:w w:val="110"/>
                <w:sz w:val="22"/>
              </w:rPr>
              <w:t>claves:</w:t>
            </w:r>
            <w:r>
              <w:rPr>
                <w:color w:val="231F1F"/>
                <w:spacing w:val="-6"/>
                <w:w w:val="110"/>
                <w:sz w:val="22"/>
              </w:rPr>
              <w:t> </w:t>
            </w:r>
            <w:r>
              <w:rPr>
                <w:color w:val="231F1F"/>
                <w:w w:val="110"/>
                <w:sz w:val="22"/>
              </w:rPr>
              <w:t>el</w:t>
            </w:r>
            <w:r>
              <w:rPr>
                <w:color w:val="231F1F"/>
                <w:spacing w:val="-7"/>
                <w:w w:val="110"/>
                <w:sz w:val="22"/>
              </w:rPr>
              <w:t> </w:t>
            </w:r>
            <w:r>
              <w:rPr>
                <w:color w:val="231F1F"/>
                <w:w w:val="110"/>
                <w:sz w:val="22"/>
              </w:rPr>
              <w:t>grado</w:t>
            </w:r>
            <w:r>
              <w:rPr>
                <w:color w:val="231F1F"/>
                <w:spacing w:val="-6"/>
                <w:w w:val="110"/>
                <w:sz w:val="22"/>
              </w:rPr>
              <w:t> </w:t>
            </w:r>
            <w:r>
              <w:rPr>
                <w:color w:val="231F1F"/>
                <w:w w:val="110"/>
                <w:sz w:val="22"/>
              </w:rPr>
              <w:t>y</w:t>
            </w:r>
            <w:r>
              <w:rPr>
                <w:color w:val="231F1F"/>
                <w:spacing w:val="-6"/>
                <w:w w:val="110"/>
                <w:sz w:val="22"/>
              </w:rPr>
              <w:t> </w:t>
            </w:r>
            <w:r>
              <w:rPr>
                <w:color w:val="231F1F"/>
                <w:w w:val="110"/>
                <w:sz w:val="22"/>
              </w:rPr>
              <w:t>tipo</w:t>
            </w:r>
            <w:r>
              <w:rPr>
                <w:color w:val="231F1F"/>
                <w:spacing w:val="-6"/>
                <w:w w:val="110"/>
                <w:sz w:val="22"/>
              </w:rPr>
              <w:t> </w:t>
            </w:r>
            <w:r>
              <w:rPr>
                <w:color w:val="231F1F"/>
                <w:w w:val="110"/>
                <w:sz w:val="22"/>
              </w:rPr>
              <w:t>de</w:t>
            </w:r>
            <w:r>
              <w:rPr>
                <w:color w:val="231F1F"/>
                <w:spacing w:val="-6"/>
                <w:w w:val="110"/>
                <w:sz w:val="22"/>
              </w:rPr>
              <w:t> </w:t>
            </w:r>
            <w:r>
              <w:rPr>
                <w:color w:val="231F1F"/>
                <w:w w:val="110"/>
                <w:sz w:val="22"/>
              </w:rPr>
              <w:t>dolor,</w:t>
            </w:r>
            <w:r>
              <w:rPr>
                <w:color w:val="231F1F"/>
                <w:spacing w:val="-7"/>
                <w:w w:val="110"/>
                <w:sz w:val="22"/>
              </w:rPr>
              <w:t> </w:t>
            </w:r>
            <w:r>
              <w:rPr>
                <w:color w:val="231F1F"/>
                <w:w w:val="110"/>
                <w:sz w:val="22"/>
              </w:rPr>
              <w:t>el</w:t>
            </w:r>
            <w:r>
              <w:rPr>
                <w:color w:val="231F1F"/>
                <w:spacing w:val="-7"/>
                <w:w w:val="110"/>
                <w:sz w:val="22"/>
              </w:rPr>
              <w:t> </w:t>
            </w:r>
            <w:r>
              <w:rPr>
                <w:color w:val="231F1F"/>
                <w:w w:val="110"/>
                <w:sz w:val="22"/>
              </w:rPr>
              <w:t>alivio</w:t>
            </w:r>
            <w:r>
              <w:rPr>
                <w:color w:val="231F1F"/>
                <w:spacing w:val="-6"/>
                <w:w w:val="110"/>
                <w:sz w:val="22"/>
              </w:rPr>
              <w:t> </w:t>
            </w:r>
            <w:r>
              <w:rPr>
                <w:color w:val="231F1F"/>
                <w:w w:val="110"/>
                <w:sz w:val="22"/>
              </w:rPr>
              <w:t>del</w:t>
            </w:r>
            <w:r>
              <w:rPr>
                <w:color w:val="231F1F"/>
                <w:spacing w:val="-7"/>
                <w:w w:val="110"/>
                <w:sz w:val="22"/>
              </w:rPr>
              <w:t> </w:t>
            </w:r>
            <w:r>
              <w:rPr>
                <w:color w:val="231F1F"/>
                <w:w w:val="110"/>
                <w:sz w:val="22"/>
              </w:rPr>
              <w:t>dolor,</w:t>
            </w:r>
            <w:r>
              <w:rPr>
                <w:color w:val="231F1F"/>
                <w:spacing w:val="-7"/>
                <w:w w:val="110"/>
                <w:sz w:val="22"/>
              </w:rPr>
              <w:t> </w:t>
            </w:r>
            <w:r>
              <w:rPr>
                <w:color w:val="231F1F"/>
                <w:w w:val="110"/>
                <w:sz w:val="22"/>
              </w:rPr>
              <w:t>la</w:t>
            </w:r>
            <w:r>
              <w:rPr>
                <w:color w:val="231F1F"/>
                <w:spacing w:val="-6"/>
                <w:w w:val="110"/>
                <w:sz w:val="22"/>
              </w:rPr>
              <w:t> </w:t>
            </w:r>
            <w:r>
              <w:rPr>
                <w:color w:val="231F1F"/>
                <w:w w:val="110"/>
                <w:sz w:val="22"/>
              </w:rPr>
              <w:t>participación, cuidado estructurado y control en la toma de decisiones (278).</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2++</w:t>
            </w:r>
          </w:p>
        </w:tc>
      </w:tr>
      <w:tr>
        <w:trPr>
          <w:trHeight w:val="681" w:hRule="atLeast"/>
        </w:trPr>
        <w:tc>
          <w:tcPr>
            <w:tcW w:w="7373" w:type="dxa"/>
          </w:tcPr>
          <w:p>
            <w:pPr>
              <w:pStyle w:val="TableParagraph"/>
              <w:spacing w:line="244" w:lineRule="auto" w:before="53"/>
              <w:rPr>
                <w:sz w:val="22"/>
              </w:rPr>
            </w:pPr>
            <w:r>
              <w:rPr>
                <w:color w:val="231F1F"/>
                <w:sz w:val="22"/>
              </w:rPr>
              <w:t>El</w:t>
            </w:r>
            <w:r>
              <w:rPr>
                <w:color w:val="231F1F"/>
                <w:spacing w:val="28"/>
                <w:sz w:val="22"/>
              </w:rPr>
              <w:t> </w:t>
            </w:r>
            <w:r>
              <w:rPr>
                <w:color w:val="231F1F"/>
                <w:sz w:val="22"/>
              </w:rPr>
              <w:t>cumplimiento</w:t>
            </w:r>
            <w:r>
              <w:rPr>
                <w:color w:val="231F1F"/>
                <w:spacing w:val="30"/>
                <w:sz w:val="22"/>
              </w:rPr>
              <w:t> </w:t>
            </w:r>
            <w:r>
              <w:rPr>
                <w:color w:val="231F1F"/>
                <w:sz w:val="22"/>
              </w:rPr>
              <w:t>de</w:t>
            </w:r>
            <w:r>
              <w:rPr>
                <w:color w:val="231F1F"/>
                <w:spacing w:val="30"/>
                <w:sz w:val="22"/>
              </w:rPr>
              <w:t> </w:t>
            </w:r>
            <w:r>
              <w:rPr>
                <w:color w:val="231F1F"/>
                <w:sz w:val="22"/>
              </w:rPr>
              <w:t>las</w:t>
            </w:r>
            <w:r>
              <w:rPr>
                <w:color w:val="231F1F"/>
                <w:spacing w:val="30"/>
                <w:sz w:val="22"/>
              </w:rPr>
              <w:t> </w:t>
            </w:r>
            <w:r>
              <w:rPr>
                <w:color w:val="231F1F"/>
                <w:sz w:val="22"/>
              </w:rPr>
              <w:t>expectativas</w:t>
            </w:r>
            <w:r>
              <w:rPr>
                <w:color w:val="231F1F"/>
                <w:spacing w:val="30"/>
                <w:sz w:val="22"/>
              </w:rPr>
              <w:t> </w:t>
            </w:r>
            <w:r>
              <w:rPr>
                <w:color w:val="231F1F"/>
                <w:sz w:val="22"/>
              </w:rPr>
              <w:t>es</w:t>
            </w:r>
            <w:r>
              <w:rPr>
                <w:color w:val="231F1F"/>
                <w:spacing w:val="30"/>
                <w:sz w:val="22"/>
              </w:rPr>
              <w:t> </w:t>
            </w:r>
            <w:r>
              <w:rPr>
                <w:color w:val="231F1F"/>
                <w:sz w:val="22"/>
              </w:rPr>
              <w:t>el</w:t>
            </w:r>
            <w:r>
              <w:rPr>
                <w:color w:val="231F1F"/>
                <w:spacing w:val="30"/>
                <w:sz w:val="22"/>
              </w:rPr>
              <w:t> </w:t>
            </w:r>
            <w:r>
              <w:rPr>
                <w:color w:val="231F1F"/>
                <w:sz w:val="22"/>
              </w:rPr>
              <w:t>factor</w:t>
            </w:r>
            <w:r>
              <w:rPr>
                <w:color w:val="231F1F"/>
                <w:spacing w:val="31"/>
                <w:sz w:val="22"/>
              </w:rPr>
              <w:t> </w:t>
            </w:r>
            <w:r>
              <w:rPr>
                <w:color w:val="231F1F"/>
                <w:sz w:val="22"/>
              </w:rPr>
              <w:t>que</w:t>
            </w:r>
            <w:r>
              <w:rPr>
                <w:color w:val="231F1F"/>
                <w:spacing w:val="28"/>
                <w:sz w:val="22"/>
              </w:rPr>
              <w:t> </w:t>
            </w:r>
            <w:r>
              <w:rPr>
                <w:color w:val="231F1F"/>
                <w:sz w:val="22"/>
              </w:rPr>
              <w:t>más</w:t>
            </w:r>
            <w:r>
              <w:rPr>
                <w:color w:val="231F1F"/>
                <w:spacing w:val="30"/>
                <w:sz w:val="22"/>
              </w:rPr>
              <w:t> </w:t>
            </w:r>
            <w:r>
              <w:rPr>
                <w:color w:val="231F1F"/>
                <w:sz w:val="22"/>
              </w:rPr>
              <w:t>se</w:t>
            </w:r>
            <w:r>
              <w:rPr>
                <w:color w:val="231F1F"/>
                <w:spacing w:val="30"/>
                <w:sz w:val="22"/>
              </w:rPr>
              <w:t> </w:t>
            </w:r>
            <w:r>
              <w:rPr>
                <w:color w:val="231F1F"/>
                <w:sz w:val="22"/>
              </w:rPr>
              <w:t>relaciona</w:t>
            </w:r>
            <w:r>
              <w:rPr>
                <w:color w:val="231F1F"/>
                <w:spacing w:val="31"/>
                <w:sz w:val="22"/>
              </w:rPr>
              <w:t> </w:t>
            </w:r>
            <w:r>
              <w:rPr>
                <w:color w:val="231F1F"/>
                <w:sz w:val="22"/>
              </w:rPr>
              <w:t>con</w:t>
            </w:r>
            <w:r>
              <w:rPr>
                <w:color w:val="231F1F"/>
                <w:spacing w:val="30"/>
                <w:sz w:val="22"/>
              </w:rPr>
              <w:t> </w:t>
            </w:r>
            <w:r>
              <w:rPr>
                <w:color w:val="231F1F"/>
                <w:sz w:val="22"/>
              </w:rPr>
              <w:t>la satisfacción (280).</w:t>
            </w:r>
          </w:p>
        </w:tc>
        <w:tc>
          <w:tcPr>
            <w:tcW w:w="1133" w:type="dxa"/>
          </w:tcPr>
          <w:p>
            <w:pPr>
              <w:pStyle w:val="TableParagraph"/>
              <w:spacing w:before="178"/>
              <w:ind w:left="49" w:right="22"/>
              <w:jc w:val="center"/>
              <w:rPr>
                <w:sz w:val="22"/>
              </w:rPr>
            </w:pPr>
            <w:r>
              <w:rPr>
                <w:color w:val="231F1F"/>
                <w:spacing w:val="-5"/>
                <w:w w:val="105"/>
                <w:sz w:val="22"/>
              </w:rPr>
              <w:t>2+</w:t>
            </w:r>
          </w:p>
        </w:tc>
      </w:tr>
    </w:tbl>
    <w:p>
      <w:pPr>
        <w:pStyle w:val="BodyText"/>
        <w:spacing w:before="182"/>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B</w:t>
            </w:r>
          </w:p>
        </w:tc>
        <w:tc>
          <w:tcPr>
            <w:tcW w:w="8050" w:type="dxa"/>
          </w:tcPr>
          <w:p>
            <w:pPr>
              <w:pStyle w:val="TableParagraph"/>
              <w:spacing w:line="244" w:lineRule="auto" w:before="44"/>
              <w:ind w:right="155"/>
              <w:rPr>
                <w:sz w:val="22"/>
              </w:rPr>
            </w:pPr>
            <w:r>
              <w:rPr>
                <w:color w:val="231F1F"/>
                <w:w w:val="110"/>
                <w:sz w:val="22"/>
              </w:rPr>
              <w:t>Se</w:t>
            </w:r>
            <w:r>
              <w:rPr>
                <w:color w:val="231F1F"/>
                <w:spacing w:val="-12"/>
                <w:w w:val="110"/>
                <w:sz w:val="22"/>
              </w:rPr>
              <w:t> </w:t>
            </w:r>
            <w:r>
              <w:rPr>
                <w:color w:val="231F1F"/>
                <w:w w:val="110"/>
                <w:sz w:val="22"/>
              </w:rPr>
              <w:t>recomienda</w:t>
            </w:r>
            <w:r>
              <w:rPr>
                <w:color w:val="231F1F"/>
                <w:spacing w:val="-12"/>
                <w:w w:val="110"/>
                <w:sz w:val="22"/>
              </w:rPr>
              <w:t> </w:t>
            </w:r>
            <w:r>
              <w:rPr>
                <w:color w:val="231F1F"/>
                <w:w w:val="110"/>
                <w:sz w:val="22"/>
              </w:rPr>
              <w:t>satisfacer,</w:t>
            </w:r>
            <w:r>
              <w:rPr>
                <w:color w:val="231F1F"/>
                <w:spacing w:val="-14"/>
                <w:w w:val="110"/>
                <w:sz w:val="22"/>
              </w:rPr>
              <w:t> </w:t>
            </w:r>
            <w:r>
              <w:rPr>
                <w:color w:val="231F1F"/>
                <w:w w:val="110"/>
                <w:sz w:val="22"/>
              </w:rPr>
              <w:t>en</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medida</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lo</w:t>
            </w:r>
            <w:r>
              <w:rPr>
                <w:color w:val="231F1F"/>
                <w:spacing w:val="-12"/>
                <w:w w:val="110"/>
                <w:sz w:val="22"/>
              </w:rPr>
              <w:t> </w:t>
            </w:r>
            <w:r>
              <w:rPr>
                <w:color w:val="231F1F"/>
                <w:w w:val="110"/>
                <w:sz w:val="22"/>
              </w:rPr>
              <w:t>posible,</w:t>
            </w:r>
            <w:r>
              <w:rPr>
                <w:color w:val="231F1F"/>
                <w:spacing w:val="-12"/>
                <w:w w:val="110"/>
                <w:sz w:val="22"/>
              </w:rPr>
              <w:t> </w:t>
            </w:r>
            <w:r>
              <w:rPr>
                <w:color w:val="231F1F"/>
                <w:w w:val="110"/>
                <w:sz w:val="22"/>
              </w:rPr>
              <w:t>las</w:t>
            </w:r>
            <w:r>
              <w:rPr>
                <w:color w:val="231F1F"/>
                <w:spacing w:val="-12"/>
                <w:w w:val="110"/>
                <w:sz w:val="22"/>
              </w:rPr>
              <w:t> </w:t>
            </w:r>
            <w:r>
              <w:rPr>
                <w:color w:val="231F1F"/>
                <w:w w:val="110"/>
                <w:sz w:val="22"/>
              </w:rPr>
              <w:t>expectativas</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mujer en relación con el alivio del dolor durante el parto.</w:t>
            </w:r>
          </w:p>
        </w:tc>
      </w:tr>
    </w:tbl>
    <w:p>
      <w:pPr>
        <w:pStyle w:val="TableParagraph"/>
        <w:spacing w:after="0" w:line="244" w:lineRule="auto"/>
        <w:rPr>
          <w:sz w:val="22"/>
        </w:rPr>
        <w:sectPr>
          <w:pgSz w:w="11900" w:h="16840"/>
          <w:pgMar w:header="0" w:footer="622" w:top="164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17" w:id="39"/>
      <w:r>
        <w:rPr>
          <w:color w:val="231F1F"/>
        </w:rPr>
        <w:t>Métodos</w:t>
      </w:r>
      <w:r>
        <w:rPr>
          <w:color w:val="231F1F"/>
          <w:spacing w:val="60"/>
        </w:rPr>
        <w:t> </w:t>
      </w:r>
      <w:r>
        <w:rPr>
          <w:color w:val="231F1F"/>
        </w:rPr>
        <w:t>no</w:t>
      </w:r>
      <w:r>
        <w:rPr>
          <w:color w:val="231F1F"/>
          <w:spacing w:val="60"/>
        </w:rPr>
        <w:t> </w:t>
      </w:r>
      <w:r>
        <w:rPr>
          <w:color w:val="231F1F"/>
        </w:rPr>
        <w:t>farmacológicos</w:t>
      </w:r>
      <w:r>
        <w:rPr>
          <w:color w:val="231F1F"/>
          <w:spacing w:val="59"/>
        </w:rPr>
        <w:t> </w:t>
      </w:r>
      <w:r>
        <w:rPr>
          <w:color w:val="231F1F"/>
        </w:rPr>
        <w:t>de</w:t>
      </w:r>
      <w:r>
        <w:rPr>
          <w:color w:val="231F1F"/>
          <w:spacing w:val="60"/>
        </w:rPr>
        <w:t> </w:t>
      </w:r>
      <w:r>
        <w:rPr>
          <w:color w:val="231F1F"/>
        </w:rPr>
        <w:t>alivio</w:t>
      </w:r>
      <w:r>
        <w:rPr>
          <w:color w:val="231F1F"/>
          <w:spacing w:val="59"/>
        </w:rPr>
        <w:t> </w:t>
      </w:r>
      <w:r>
        <w:rPr>
          <w:color w:val="231F1F"/>
        </w:rPr>
        <w:t>del</w:t>
      </w:r>
      <w:r>
        <w:rPr>
          <w:color w:val="231F1F"/>
          <w:spacing w:val="60"/>
        </w:rPr>
        <w:t> </w:t>
      </w:r>
      <w:bookmarkEnd w:id="39"/>
      <w:r>
        <w:rPr>
          <w:color w:val="231F1F"/>
          <w:spacing w:val="-2"/>
        </w:rPr>
        <w:t>dolor</w:t>
      </w:r>
    </w:p>
    <w:p>
      <w:pPr>
        <w:pStyle w:val="BodyText"/>
        <w:spacing w:before="35"/>
        <w:rPr>
          <w:sz w:val="36"/>
        </w:rPr>
      </w:pPr>
    </w:p>
    <w:p>
      <w:pPr>
        <w:pStyle w:val="Heading3"/>
        <w:numPr>
          <w:ilvl w:val="3"/>
          <w:numId w:val="2"/>
        </w:numPr>
        <w:tabs>
          <w:tab w:pos="1158" w:val="left" w:leader="none"/>
        </w:tabs>
        <w:spacing w:line="240" w:lineRule="auto" w:before="0" w:after="0"/>
        <w:ind w:left="1158" w:right="0" w:hanging="875"/>
        <w:jc w:val="left"/>
      </w:pPr>
      <w:r>
        <w:rPr>
          <w:color w:val="231F1F"/>
          <w:w w:val="110"/>
        </w:rPr>
        <w:t>Inmersión</w:t>
      </w:r>
      <w:r>
        <w:rPr>
          <w:color w:val="231F1F"/>
          <w:spacing w:val="-19"/>
          <w:w w:val="110"/>
        </w:rPr>
        <w:t> </w:t>
      </w:r>
      <w:r>
        <w:rPr>
          <w:color w:val="231F1F"/>
          <w:w w:val="110"/>
        </w:rPr>
        <w:t>en</w:t>
      </w:r>
      <w:r>
        <w:rPr>
          <w:color w:val="231F1F"/>
          <w:spacing w:val="-17"/>
          <w:w w:val="110"/>
        </w:rPr>
        <w:t> </w:t>
      </w:r>
      <w:r>
        <w:rPr>
          <w:color w:val="231F1F"/>
          <w:w w:val="110"/>
        </w:rPr>
        <w:t>el</w:t>
      </w:r>
      <w:r>
        <w:rPr>
          <w:color w:val="231F1F"/>
          <w:spacing w:val="-17"/>
          <w:w w:val="110"/>
        </w:rPr>
        <w:t> </w:t>
      </w:r>
      <w:r>
        <w:rPr>
          <w:color w:val="231F1F"/>
          <w:w w:val="110"/>
        </w:rPr>
        <w:t>agua</w:t>
      </w:r>
      <w:r>
        <w:rPr>
          <w:color w:val="231F1F"/>
          <w:spacing w:val="-18"/>
          <w:w w:val="110"/>
        </w:rPr>
        <w:t> </w:t>
      </w:r>
      <w:r>
        <w:rPr>
          <w:color w:val="231F1F"/>
          <w:w w:val="110"/>
        </w:rPr>
        <w:t>durante</w:t>
      </w:r>
      <w:r>
        <w:rPr>
          <w:color w:val="231F1F"/>
          <w:spacing w:val="-17"/>
          <w:w w:val="110"/>
        </w:rPr>
        <w:t> </w:t>
      </w:r>
      <w:r>
        <w:rPr>
          <w:color w:val="231F1F"/>
          <w:w w:val="110"/>
        </w:rPr>
        <w:t>el</w:t>
      </w:r>
      <w:r>
        <w:rPr>
          <w:color w:val="231F1F"/>
          <w:spacing w:val="-18"/>
          <w:w w:val="110"/>
        </w:rPr>
        <w:t> </w:t>
      </w:r>
      <w:r>
        <w:rPr>
          <w:color w:val="231F1F"/>
          <w:w w:val="110"/>
        </w:rPr>
        <w:t>período</w:t>
      </w:r>
      <w:r>
        <w:rPr>
          <w:color w:val="231F1F"/>
          <w:spacing w:val="-17"/>
          <w:w w:val="110"/>
        </w:rPr>
        <w:t> </w:t>
      </w:r>
      <w:r>
        <w:rPr>
          <w:color w:val="231F1F"/>
          <w:w w:val="110"/>
        </w:rPr>
        <w:t>de</w:t>
      </w:r>
      <w:r>
        <w:rPr>
          <w:color w:val="231F1F"/>
          <w:spacing w:val="-18"/>
          <w:w w:val="110"/>
        </w:rPr>
        <w:t> </w:t>
      </w:r>
      <w:r>
        <w:rPr>
          <w:color w:val="231F1F"/>
          <w:spacing w:val="-2"/>
          <w:w w:val="110"/>
        </w:rPr>
        <w:t>dilatación</w:t>
      </w:r>
    </w:p>
    <w:p>
      <w:pPr>
        <w:pStyle w:val="BodyText"/>
        <w:spacing w:before="18"/>
        <w:rPr>
          <w:sz w:val="20"/>
        </w:rPr>
      </w:pPr>
      <w:r>
        <w:rPr>
          <w:sz w:val="20"/>
        </w:rPr>
        <mc:AlternateContent>
          <mc:Choice Requires="wps">
            <w:drawing>
              <wp:anchor distT="0" distB="0" distL="0" distR="0" allowOverlap="1" layoutInCell="1" locked="0" behindDoc="1" simplePos="0" relativeHeight="487620608">
                <wp:simplePos x="0" y="0"/>
                <wp:positionH relativeFrom="page">
                  <wp:posOffset>1082675</wp:posOffset>
                </wp:positionH>
                <wp:positionV relativeFrom="paragraph">
                  <wp:posOffset>175959</wp:posOffset>
                </wp:positionV>
                <wp:extent cx="5400040" cy="440055"/>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5400040" cy="440055"/>
                        </a:xfrm>
                        <a:prstGeom prst="rect">
                          <a:avLst/>
                        </a:prstGeom>
                        <a:ln w="6350">
                          <a:solidFill>
                            <a:srgbClr val="A30046"/>
                          </a:solidFill>
                          <a:prstDash val="solid"/>
                        </a:ln>
                      </wps:spPr>
                      <wps:txbx>
                        <w:txbxContent>
                          <w:p>
                            <w:pPr>
                              <w:pStyle w:val="BodyText"/>
                              <w:numPr>
                                <w:ilvl w:val="0"/>
                                <w:numId w:val="66"/>
                              </w:numPr>
                              <w:tabs>
                                <w:tab w:pos="324" w:val="left" w:leader="none"/>
                              </w:tabs>
                              <w:spacing w:line="259" w:lineRule="auto" w:before="39" w:after="0"/>
                              <w:ind w:left="324" w:right="191" w:hanging="220"/>
                              <w:jc w:val="left"/>
                            </w:pPr>
                            <w:r>
                              <w:rPr>
                                <w:color w:val="231F1F"/>
                              </w:rPr>
                              <w:t>¿Cuál</w:t>
                            </w:r>
                            <w:r>
                              <w:rPr>
                                <w:color w:val="231F1F"/>
                                <w:spacing w:val="30"/>
                              </w:rPr>
                              <w:t> </w:t>
                            </w:r>
                            <w:r>
                              <w:rPr>
                                <w:color w:val="231F1F"/>
                              </w:rPr>
                              <w:t>es</w:t>
                            </w:r>
                            <w:r>
                              <w:rPr>
                                <w:color w:val="231F1F"/>
                                <w:spacing w:val="32"/>
                              </w:rPr>
                              <w:t> </w:t>
                            </w:r>
                            <w:r>
                              <w:rPr>
                                <w:color w:val="231F1F"/>
                              </w:rPr>
                              <w:t>la</w:t>
                            </w:r>
                            <w:r>
                              <w:rPr>
                                <w:color w:val="231F1F"/>
                                <w:spacing w:val="32"/>
                              </w:rPr>
                              <w:t> </w:t>
                            </w:r>
                            <w:r>
                              <w:rPr>
                                <w:color w:val="231F1F"/>
                              </w:rPr>
                              <w:t>efectividad</w:t>
                            </w:r>
                            <w:r>
                              <w:rPr>
                                <w:color w:val="231F1F"/>
                                <w:spacing w:val="32"/>
                              </w:rPr>
                              <w:t> </w:t>
                            </w:r>
                            <w:r>
                              <w:rPr>
                                <w:color w:val="231F1F"/>
                              </w:rPr>
                              <w:t>de</w:t>
                            </w:r>
                            <w:r>
                              <w:rPr>
                                <w:color w:val="231F1F"/>
                                <w:spacing w:val="32"/>
                              </w:rPr>
                              <w:t> </w:t>
                            </w:r>
                            <w:r>
                              <w:rPr>
                                <w:color w:val="231F1F"/>
                              </w:rPr>
                              <w:t>la</w:t>
                            </w:r>
                            <w:r>
                              <w:rPr>
                                <w:color w:val="231F1F"/>
                                <w:spacing w:val="32"/>
                              </w:rPr>
                              <w:t> </w:t>
                            </w:r>
                            <w:r>
                              <w:rPr>
                                <w:color w:val="231F1F"/>
                              </w:rPr>
                              <w:t>inmersión</w:t>
                            </w:r>
                            <w:r>
                              <w:rPr>
                                <w:color w:val="231F1F"/>
                                <w:spacing w:val="32"/>
                              </w:rPr>
                              <w:t> </w:t>
                            </w:r>
                            <w:r>
                              <w:rPr>
                                <w:color w:val="231F1F"/>
                              </w:rPr>
                              <w:t>en</w:t>
                            </w:r>
                            <w:r>
                              <w:rPr>
                                <w:color w:val="231F1F"/>
                                <w:spacing w:val="32"/>
                              </w:rPr>
                              <w:t> </w:t>
                            </w:r>
                            <w:r>
                              <w:rPr>
                                <w:color w:val="231F1F"/>
                              </w:rPr>
                              <w:t>el</w:t>
                            </w:r>
                            <w:r>
                              <w:rPr>
                                <w:color w:val="231F1F"/>
                                <w:spacing w:val="30"/>
                              </w:rPr>
                              <w:t> </w:t>
                            </w:r>
                            <w:r>
                              <w:rPr>
                                <w:color w:val="231F1F"/>
                              </w:rPr>
                              <w:t>agua</w:t>
                            </w:r>
                            <w:r>
                              <w:rPr>
                                <w:color w:val="231F1F"/>
                                <w:spacing w:val="32"/>
                              </w:rPr>
                              <w:t> </w:t>
                            </w:r>
                            <w:r>
                              <w:rPr>
                                <w:color w:val="231F1F"/>
                              </w:rPr>
                              <w:t>durante</w:t>
                            </w:r>
                            <w:r>
                              <w:rPr>
                                <w:color w:val="231F1F"/>
                                <w:spacing w:val="32"/>
                              </w:rPr>
                              <w:t> </w:t>
                            </w:r>
                            <w:r>
                              <w:rPr>
                                <w:color w:val="231F1F"/>
                              </w:rPr>
                              <w:t>el</w:t>
                            </w:r>
                            <w:r>
                              <w:rPr>
                                <w:color w:val="231F1F"/>
                                <w:spacing w:val="32"/>
                              </w:rPr>
                              <w:t> </w:t>
                            </w:r>
                            <w:r>
                              <w:rPr>
                                <w:color w:val="231F1F"/>
                              </w:rPr>
                              <w:t>período</w:t>
                            </w:r>
                            <w:r>
                              <w:rPr>
                                <w:color w:val="231F1F"/>
                                <w:spacing w:val="32"/>
                              </w:rPr>
                              <w:t> </w:t>
                            </w:r>
                            <w:r>
                              <w:rPr>
                                <w:color w:val="231F1F"/>
                              </w:rPr>
                              <w:t>de</w:t>
                            </w:r>
                            <w:r>
                              <w:rPr>
                                <w:color w:val="231F1F"/>
                                <w:spacing w:val="32"/>
                              </w:rPr>
                              <w:t> </w:t>
                            </w:r>
                            <w:r>
                              <w:rPr>
                                <w:color w:val="231F1F"/>
                              </w:rPr>
                              <w:t>dilatación</w:t>
                            </w:r>
                            <w:r>
                              <w:rPr>
                                <w:color w:val="231F1F"/>
                                <w:spacing w:val="32"/>
                              </w:rPr>
                              <w:t> </w:t>
                            </w:r>
                            <w:r>
                              <w:rPr>
                                <w:color w:val="231F1F"/>
                              </w:rPr>
                              <w:t>en </w:t>
                            </w:r>
                            <w:r>
                              <w:rPr>
                                <w:color w:val="231F1F"/>
                                <w:w w:val="110"/>
                              </w:rPr>
                              <w:t>el alivio del dolor?</w:t>
                            </w:r>
                          </w:p>
                        </w:txbxContent>
                      </wps:txbx>
                      <wps:bodyPr wrap="square" lIns="0" tIns="0" rIns="0" bIns="0" rtlCol="0">
                        <a:noAutofit/>
                      </wps:bodyPr>
                    </wps:wsp>
                  </a:graphicData>
                </a:graphic>
              </wp:anchor>
            </w:drawing>
          </mc:Choice>
          <mc:Fallback>
            <w:pict>
              <v:shape style="position:absolute;margin-left:85.25pt;margin-top:13.855078pt;width:425.2pt;height:34.65pt;mso-position-horizontal-relative:page;mso-position-vertical-relative:paragraph;z-index:-15695872;mso-wrap-distance-left:0;mso-wrap-distance-right:0" type="#_x0000_t202" id="docshape115" filled="false" stroked="true" strokeweight=".5pt" strokecolor="#a30046">
                <v:textbox inset="0,0,0,0">
                  <w:txbxContent>
                    <w:p>
                      <w:pPr>
                        <w:pStyle w:val="BodyText"/>
                        <w:numPr>
                          <w:ilvl w:val="0"/>
                          <w:numId w:val="66"/>
                        </w:numPr>
                        <w:tabs>
                          <w:tab w:pos="324" w:val="left" w:leader="none"/>
                        </w:tabs>
                        <w:spacing w:line="259" w:lineRule="auto" w:before="39" w:after="0"/>
                        <w:ind w:left="324" w:right="191" w:hanging="220"/>
                        <w:jc w:val="left"/>
                      </w:pPr>
                      <w:r>
                        <w:rPr>
                          <w:color w:val="231F1F"/>
                        </w:rPr>
                        <w:t>¿Cuál</w:t>
                      </w:r>
                      <w:r>
                        <w:rPr>
                          <w:color w:val="231F1F"/>
                          <w:spacing w:val="30"/>
                        </w:rPr>
                        <w:t> </w:t>
                      </w:r>
                      <w:r>
                        <w:rPr>
                          <w:color w:val="231F1F"/>
                        </w:rPr>
                        <w:t>es</w:t>
                      </w:r>
                      <w:r>
                        <w:rPr>
                          <w:color w:val="231F1F"/>
                          <w:spacing w:val="32"/>
                        </w:rPr>
                        <w:t> </w:t>
                      </w:r>
                      <w:r>
                        <w:rPr>
                          <w:color w:val="231F1F"/>
                        </w:rPr>
                        <w:t>la</w:t>
                      </w:r>
                      <w:r>
                        <w:rPr>
                          <w:color w:val="231F1F"/>
                          <w:spacing w:val="32"/>
                        </w:rPr>
                        <w:t> </w:t>
                      </w:r>
                      <w:r>
                        <w:rPr>
                          <w:color w:val="231F1F"/>
                        </w:rPr>
                        <w:t>efectividad</w:t>
                      </w:r>
                      <w:r>
                        <w:rPr>
                          <w:color w:val="231F1F"/>
                          <w:spacing w:val="32"/>
                        </w:rPr>
                        <w:t> </w:t>
                      </w:r>
                      <w:r>
                        <w:rPr>
                          <w:color w:val="231F1F"/>
                        </w:rPr>
                        <w:t>de</w:t>
                      </w:r>
                      <w:r>
                        <w:rPr>
                          <w:color w:val="231F1F"/>
                          <w:spacing w:val="32"/>
                        </w:rPr>
                        <w:t> </w:t>
                      </w:r>
                      <w:r>
                        <w:rPr>
                          <w:color w:val="231F1F"/>
                        </w:rPr>
                        <w:t>la</w:t>
                      </w:r>
                      <w:r>
                        <w:rPr>
                          <w:color w:val="231F1F"/>
                          <w:spacing w:val="32"/>
                        </w:rPr>
                        <w:t> </w:t>
                      </w:r>
                      <w:r>
                        <w:rPr>
                          <w:color w:val="231F1F"/>
                        </w:rPr>
                        <w:t>inmersión</w:t>
                      </w:r>
                      <w:r>
                        <w:rPr>
                          <w:color w:val="231F1F"/>
                          <w:spacing w:val="32"/>
                        </w:rPr>
                        <w:t> </w:t>
                      </w:r>
                      <w:r>
                        <w:rPr>
                          <w:color w:val="231F1F"/>
                        </w:rPr>
                        <w:t>en</w:t>
                      </w:r>
                      <w:r>
                        <w:rPr>
                          <w:color w:val="231F1F"/>
                          <w:spacing w:val="32"/>
                        </w:rPr>
                        <w:t> </w:t>
                      </w:r>
                      <w:r>
                        <w:rPr>
                          <w:color w:val="231F1F"/>
                        </w:rPr>
                        <w:t>el</w:t>
                      </w:r>
                      <w:r>
                        <w:rPr>
                          <w:color w:val="231F1F"/>
                          <w:spacing w:val="30"/>
                        </w:rPr>
                        <w:t> </w:t>
                      </w:r>
                      <w:r>
                        <w:rPr>
                          <w:color w:val="231F1F"/>
                        </w:rPr>
                        <w:t>agua</w:t>
                      </w:r>
                      <w:r>
                        <w:rPr>
                          <w:color w:val="231F1F"/>
                          <w:spacing w:val="32"/>
                        </w:rPr>
                        <w:t> </w:t>
                      </w:r>
                      <w:r>
                        <w:rPr>
                          <w:color w:val="231F1F"/>
                        </w:rPr>
                        <w:t>durante</w:t>
                      </w:r>
                      <w:r>
                        <w:rPr>
                          <w:color w:val="231F1F"/>
                          <w:spacing w:val="32"/>
                        </w:rPr>
                        <w:t> </w:t>
                      </w:r>
                      <w:r>
                        <w:rPr>
                          <w:color w:val="231F1F"/>
                        </w:rPr>
                        <w:t>el</w:t>
                      </w:r>
                      <w:r>
                        <w:rPr>
                          <w:color w:val="231F1F"/>
                          <w:spacing w:val="32"/>
                        </w:rPr>
                        <w:t> </w:t>
                      </w:r>
                      <w:r>
                        <w:rPr>
                          <w:color w:val="231F1F"/>
                        </w:rPr>
                        <w:t>período</w:t>
                      </w:r>
                      <w:r>
                        <w:rPr>
                          <w:color w:val="231F1F"/>
                          <w:spacing w:val="32"/>
                        </w:rPr>
                        <w:t> </w:t>
                      </w:r>
                      <w:r>
                        <w:rPr>
                          <w:color w:val="231F1F"/>
                        </w:rPr>
                        <w:t>de</w:t>
                      </w:r>
                      <w:r>
                        <w:rPr>
                          <w:color w:val="231F1F"/>
                          <w:spacing w:val="32"/>
                        </w:rPr>
                        <w:t> </w:t>
                      </w:r>
                      <w:r>
                        <w:rPr>
                          <w:color w:val="231F1F"/>
                        </w:rPr>
                        <w:t>dilatación</w:t>
                      </w:r>
                      <w:r>
                        <w:rPr>
                          <w:color w:val="231F1F"/>
                          <w:spacing w:val="32"/>
                        </w:rPr>
                        <w:t> </w:t>
                      </w:r>
                      <w:r>
                        <w:rPr>
                          <w:color w:val="231F1F"/>
                        </w:rPr>
                        <w:t>en </w:t>
                      </w:r>
                      <w:r>
                        <w:rPr>
                          <w:color w:val="231F1F"/>
                          <w:w w:val="110"/>
                        </w:rPr>
                        <w:t>el alivio del dolor?</w:t>
                      </w:r>
                    </w:p>
                  </w:txbxContent>
                </v:textbox>
                <v:stroke dashstyle="solid"/>
                <w10:wrap type="topAndBottom"/>
              </v:shape>
            </w:pict>
          </mc:Fallback>
        </mc:AlternateContent>
      </w:r>
    </w:p>
    <w:p>
      <w:pPr>
        <w:pStyle w:val="BodyText"/>
        <w:spacing w:before="77"/>
        <w:rPr>
          <w:sz w:val="32"/>
        </w:rPr>
      </w:pPr>
    </w:p>
    <w:p>
      <w:pPr>
        <w:pStyle w:val="BodyText"/>
        <w:spacing w:line="261" w:lineRule="auto"/>
        <w:ind w:left="283" w:right="110"/>
        <w:jc w:val="both"/>
      </w:pPr>
      <w:r>
        <w:rPr>
          <w:color w:val="231F1F"/>
        </w:rPr>
        <w:t>La</w:t>
      </w:r>
      <w:r>
        <w:rPr>
          <w:color w:val="231F1F"/>
          <w:spacing w:val="39"/>
        </w:rPr>
        <w:t> </w:t>
      </w:r>
      <w:r>
        <w:rPr>
          <w:color w:val="231F1F"/>
        </w:rPr>
        <w:t>utilización</w:t>
      </w:r>
      <w:r>
        <w:rPr>
          <w:color w:val="231F1F"/>
          <w:spacing w:val="37"/>
        </w:rPr>
        <w:t> </w:t>
      </w:r>
      <w:r>
        <w:rPr>
          <w:color w:val="231F1F"/>
        </w:rPr>
        <w:t>terapéutica</w:t>
      </w:r>
      <w:r>
        <w:rPr>
          <w:color w:val="231F1F"/>
          <w:spacing w:val="39"/>
        </w:rPr>
        <w:t> </w:t>
      </w:r>
      <w:r>
        <w:rPr>
          <w:color w:val="231F1F"/>
        </w:rPr>
        <w:t>del</w:t>
      </w:r>
      <w:r>
        <w:rPr>
          <w:color w:val="231F1F"/>
          <w:spacing w:val="38"/>
        </w:rPr>
        <w:t> </w:t>
      </w:r>
      <w:r>
        <w:rPr>
          <w:color w:val="231F1F"/>
        </w:rPr>
        <w:t>agua</w:t>
      </w:r>
      <w:r>
        <w:rPr>
          <w:color w:val="231F1F"/>
          <w:spacing w:val="38"/>
        </w:rPr>
        <w:t> </w:t>
      </w:r>
      <w:r>
        <w:rPr>
          <w:color w:val="231F1F"/>
        </w:rPr>
        <w:t>es</w:t>
      </w:r>
      <w:r>
        <w:rPr>
          <w:color w:val="231F1F"/>
          <w:spacing w:val="38"/>
        </w:rPr>
        <w:t> </w:t>
      </w:r>
      <w:r>
        <w:rPr>
          <w:color w:val="231F1F"/>
        </w:rPr>
        <w:t>una</w:t>
      </w:r>
      <w:r>
        <w:rPr>
          <w:color w:val="231F1F"/>
          <w:spacing w:val="37"/>
        </w:rPr>
        <w:t> </w:t>
      </w:r>
      <w:r>
        <w:rPr>
          <w:color w:val="231F1F"/>
        </w:rPr>
        <w:t>constante</w:t>
      </w:r>
      <w:r>
        <w:rPr>
          <w:color w:val="231F1F"/>
          <w:spacing w:val="38"/>
        </w:rPr>
        <w:t> </w:t>
      </w:r>
      <w:r>
        <w:rPr>
          <w:color w:val="231F1F"/>
        </w:rPr>
        <w:t>a</w:t>
      </w:r>
      <w:r>
        <w:rPr>
          <w:color w:val="231F1F"/>
          <w:spacing w:val="39"/>
        </w:rPr>
        <w:t> </w:t>
      </w:r>
      <w:r>
        <w:rPr>
          <w:color w:val="231F1F"/>
        </w:rPr>
        <w:t>lo</w:t>
      </w:r>
      <w:r>
        <w:rPr>
          <w:color w:val="231F1F"/>
          <w:spacing w:val="39"/>
        </w:rPr>
        <w:t> </w:t>
      </w:r>
      <w:r>
        <w:rPr>
          <w:color w:val="231F1F"/>
        </w:rPr>
        <w:t>largo</w:t>
      </w:r>
      <w:r>
        <w:rPr>
          <w:color w:val="231F1F"/>
          <w:spacing w:val="39"/>
        </w:rPr>
        <w:t> </w:t>
      </w:r>
      <w:r>
        <w:rPr>
          <w:color w:val="231F1F"/>
        </w:rPr>
        <w:t>de</w:t>
      </w:r>
      <w:r>
        <w:rPr>
          <w:color w:val="231F1F"/>
          <w:spacing w:val="39"/>
        </w:rPr>
        <w:t> </w:t>
      </w:r>
      <w:r>
        <w:rPr>
          <w:color w:val="231F1F"/>
        </w:rPr>
        <w:t>la</w:t>
      </w:r>
      <w:r>
        <w:rPr>
          <w:color w:val="231F1F"/>
          <w:spacing w:val="39"/>
        </w:rPr>
        <w:t> </w:t>
      </w:r>
      <w:r>
        <w:rPr>
          <w:color w:val="231F1F"/>
        </w:rPr>
        <w:t>historia</w:t>
      </w:r>
      <w:r>
        <w:rPr>
          <w:color w:val="231F1F"/>
          <w:spacing w:val="38"/>
        </w:rPr>
        <w:t> </w:t>
      </w:r>
      <w:r>
        <w:rPr>
          <w:color w:val="231F1F"/>
        </w:rPr>
        <w:t>de</w:t>
      </w:r>
      <w:r>
        <w:rPr>
          <w:color w:val="231F1F"/>
          <w:spacing w:val="39"/>
        </w:rPr>
        <w:t> </w:t>
      </w:r>
      <w:r>
        <w:rPr>
          <w:color w:val="231F1F"/>
        </w:rPr>
        <w:t>la</w:t>
      </w:r>
      <w:r>
        <w:rPr>
          <w:color w:val="231F1F"/>
          <w:spacing w:val="39"/>
        </w:rPr>
        <w:t> </w:t>
      </w:r>
      <w:r>
        <w:rPr>
          <w:color w:val="231F1F"/>
        </w:rPr>
        <w:t>humani- dad. La inmersión o la aplicación de agua caliente han sido utilizadas con éxito en múltiples procesos</w:t>
      </w:r>
      <w:r>
        <w:rPr>
          <w:color w:val="231F1F"/>
          <w:spacing w:val="31"/>
        </w:rPr>
        <w:t> </w:t>
      </w:r>
      <w:r>
        <w:rPr>
          <w:color w:val="231F1F"/>
        </w:rPr>
        <w:t>dolorosos.</w:t>
      </w:r>
      <w:r>
        <w:rPr>
          <w:color w:val="231F1F"/>
          <w:spacing w:val="30"/>
        </w:rPr>
        <w:t> </w:t>
      </w:r>
      <w:r>
        <w:rPr>
          <w:color w:val="231F1F"/>
        </w:rPr>
        <w:t>A</w:t>
      </w:r>
      <w:r>
        <w:rPr>
          <w:color w:val="231F1F"/>
          <w:spacing w:val="30"/>
        </w:rPr>
        <w:t> </w:t>
      </w:r>
      <w:r>
        <w:rPr>
          <w:color w:val="231F1F"/>
        </w:rPr>
        <w:t>finales</w:t>
      </w:r>
      <w:r>
        <w:rPr>
          <w:color w:val="231F1F"/>
          <w:spacing w:val="31"/>
        </w:rPr>
        <w:t> </w:t>
      </w:r>
      <w:r>
        <w:rPr>
          <w:color w:val="231F1F"/>
        </w:rPr>
        <w:t>de</w:t>
      </w:r>
      <w:r>
        <w:rPr>
          <w:color w:val="231F1F"/>
          <w:spacing w:val="31"/>
        </w:rPr>
        <w:t> </w:t>
      </w:r>
      <w:r>
        <w:rPr>
          <w:color w:val="231F1F"/>
        </w:rPr>
        <w:t>los</w:t>
      </w:r>
      <w:r>
        <w:rPr>
          <w:color w:val="231F1F"/>
          <w:spacing w:val="31"/>
        </w:rPr>
        <w:t> </w:t>
      </w:r>
      <w:r>
        <w:rPr>
          <w:color w:val="231F1F"/>
        </w:rPr>
        <w:t>años</w:t>
      </w:r>
      <w:r>
        <w:rPr>
          <w:color w:val="231F1F"/>
          <w:spacing w:val="31"/>
        </w:rPr>
        <w:t> </w:t>
      </w:r>
      <w:r>
        <w:rPr>
          <w:color w:val="231F1F"/>
        </w:rPr>
        <w:t>70</w:t>
      </w:r>
      <w:r>
        <w:rPr>
          <w:color w:val="231F1F"/>
          <w:spacing w:val="31"/>
        </w:rPr>
        <w:t> </w:t>
      </w:r>
      <w:r>
        <w:rPr>
          <w:color w:val="231F1F"/>
        </w:rPr>
        <w:t>se</w:t>
      </w:r>
      <w:r>
        <w:rPr>
          <w:color w:val="231F1F"/>
          <w:spacing w:val="31"/>
        </w:rPr>
        <w:t> </w:t>
      </w:r>
      <w:r>
        <w:rPr>
          <w:color w:val="231F1F"/>
        </w:rPr>
        <w:t>introdujo</w:t>
      </w:r>
      <w:r>
        <w:rPr>
          <w:color w:val="231F1F"/>
          <w:spacing w:val="32"/>
        </w:rPr>
        <w:t> </w:t>
      </w:r>
      <w:r>
        <w:rPr>
          <w:color w:val="231F1F"/>
        </w:rPr>
        <w:t>la</w:t>
      </w:r>
      <w:r>
        <w:rPr>
          <w:color w:val="231F1F"/>
          <w:spacing w:val="31"/>
        </w:rPr>
        <w:t> </w:t>
      </w:r>
      <w:r>
        <w:rPr>
          <w:color w:val="231F1F"/>
        </w:rPr>
        <w:t>bañera</w:t>
      </w:r>
      <w:r>
        <w:rPr>
          <w:color w:val="231F1F"/>
          <w:spacing w:val="31"/>
        </w:rPr>
        <w:t> </w:t>
      </w:r>
      <w:r>
        <w:rPr>
          <w:color w:val="231F1F"/>
        </w:rPr>
        <w:t>o</w:t>
      </w:r>
      <w:r>
        <w:rPr>
          <w:color w:val="231F1F"/>
          <w:spacing w:val="31"/>
        </w:rPr>
        <w:t> </w:t>
      </w:r>
      <w:r>
        <w:rPr>
          <w:color w:val="231F1F"/>
        </w:rPr>
        <w:t>piscina</w:t>
      </w:r>
      <w:r>
        <w:rPr>
          <w:color w:val="231F1F"/>
          <w:spacing w:val="30"/>
        </w:rPr>
        <w:t> </w:t>
      </w:r>
      <w:r>
        <w:rPr>
          <w:color w:val="231F1F"/>
        </w:rPr>
        <w:t>para</w:t>
      </w:r>
      <w:r>
        <w:rPr>
          <w:color w:val="231F1F"/>
          <w:spacing w:val="31"/>
        </w:rPr>
        <w:t> </w:t>
      </w:r>
      <w:r>
        <w:rPr>
          <w:color w:val="231F1F"/>
        </w:rPr>
        <w:t>partos</w:t>
      </w:r>
      <w:r>
        <w:rPr>
          <w:color w:val="231F1F"/>
          <w:spacing w:val="31"/>
        </w:rPr>
        <w:t> </w:t>
      </w:r>
      <w:r>
        <w:rPr>
          <w:color w:val="231F1F"/>
        </w:rPr>
        <w:t>en la</w:t>
      </w:r>
      <w:r>
        <w:rPr>
          <w:color w:val="231F1F"/>
          <w:spacing w:val="36"/>
        </w:rPr>
        <w:t> </w:t>
      </w:r>
      <w:r>
        <w:rPr>
          <w:color w:val="231F1F"/>
        </w:rPr>
        <w:t>maternidad</w:t>
      </w:r>
      <w:r>
        <w:rPr>
          <w:color w:val="231F1F"/>
          <w:spacing w:val="36"/>
        </w:rPr>
        <w:t> </w:t>
      </w:r>
      <w:r>
        <w:rPr>
          <w:color w:val="231F1F"/>
        </w:rPr>
        <w:t>del</w:t>
      </w:r>
      <w:r>
        <w:rPr>
          <w:color w:val="231F1F"/>
          <w:spacing w:val="36"/>
        </w:rPr>
        <w:t> </w:t>
      </w:r>
      <w:r>
        <w:rPr>
          <w:color w:val="231F1F"/>
        </w:rPr>
        <w:t>Hospital</w:t>
      </w:r>
      <w:r>
        <w:rPr>
          <w:color w:val="231F1F"/>
          <w:spacing w:val="36"/>
        </w:rPr>
        <w:t> </w:t>
      </w:r>
      <w:r>
        <w:rPr>
          <w:color w:val="231F1F"/>
        </w:rPr>
        <w:t>de</w:t>
      </w:r>
      <w:r>
        <w:rPr>
          <w:color w:val="231F1F"/>
          <w:spacing w:val="36"/>
        </w:rPr>
        <w:t> </w:t>
      </w:r>
      <w:r>
        <w:rPr>
          <w:color w:val="231F1F"/>
        </w:rPr>
        <w:t>Pithiviers,</w:t>
      </w:r>
      <w:r>
        <w:rPr>
          <w:color w:val="231F1F"/>
          <w:spacing w:val="35"/>
        </w:rPr>
        <w:t> </w:t>
      </w:r>
      <w:r>
        <w:rPr>
          <w:color w:val="231F1F"/>
        </w:rPr>
        <w:t>en</w:t>
      </w:r>
      <w:r>
        <w:rPr>
          <w:color w:val="231F1F"/>
          <w:spacing w:val="36"/>
        </w:rPr>
        <w:t> </w:t>
      </w:r>
      <w:r>
        <w:rPr>
          <w:color w:val="231F1F"/>
        </w:rPr>
        <w:t>Francia</w:t>
      </w:r>
      <w:r>
        <w:rPr>
          <w:color w:val="231F1F"/>
          <w:spacing w:val="36"/>
        </w:rPr>
        <w:t> </w:t>
      </w:r>
      <w:r>
        <w:rPr>
          <w:color w:val="231F1F"/>
        </w:rPr>
        <w:t>(281)</w:t>
      </w:r>
      <w:r>
        <w:rPr>
          <w:color w:val="231F1F"/>
          <w:spacing w:val="37"/>
        </w:rPr>
        <w:t> </w:t>
      </w:r>
      <w:r>
        <w:rPr>
          <w:color w:val="231F1F"/>
        </w:rPr>
        <w:t>.</w:t>
      </w:r>
      <w:r>
        <w:rPr>
          <w:color w:val="231F1F"/>
          <w:spacing w:val="36"/>
        </w:rPr>
        <w:t> </w:t>
      </w:r>
      <w:r>
        <w:rPr>
          <w:color w:val="231F1F"/>
        </w:rPr>
        <w:t>En</w:t>
      </w:r>
      <w:r>
        <w:rPr>
          <w:color w:val="231F1F"/>
          <w:spacing w:val="36"/>
        </w:rPr>
        <w:t> </w:t>
      </w:r>
      <w:r>
        <w:rPr>
          <w:color w:val="231F1F"/>
        </w:rPr>
        <w:t>su</w:t>
      </w:r>
      <w:r>
        <w:rPr>
          <w:color w:val="231F1F"/>
          <w:spacing w:val="36"/>
        </w:rPr>
        <w:t> </w:t>
      </w:r>
      <w:r>
        <w:rPr>
          <w:color w:val="231F1F"/>
        </w:rPr>
        <w:t>experiencia,</w:t>
      </w:r>
      <w:r>
        <w:rPr>
          <w:color w:val="231F1F"/>
          <w:spacing w:val="36"/>
        </w:rPr>
        <w:t> </w:t>
      </w:r>
      <w:r>
        <w:rPr>
          <w:color w:val="231F1F"/>
        </w:rPr>
        <w:t>la</w:t>
      </w:r>
      <w:r>
        <w:rPr>
          <w:color w:val="231F1F"/>
          <w:spacing w:val="36"/>
        </w:rPr>
        <w:t> </w:t>
      </w:r>
      <w:r>
        <w:rPr>
          <w:color w:val="231F1F"/>
        </w:rPr>
        <w:t>inmersión en</w:t>
      </w:r>
      <w:r>
        <w:rPr>
          <w:color w:val="231F1F"/>
          <w:spacing w:val="40"/>
        </w:rPr>
        <w:t> </w:t>
      </w:r>
      <w:r>
        <w:rPr>
          <w:color w:val="231F1F"/>
        </w:rPr>
        <w:t>agua</w:t>
      </w:r>
      <w:r>
        <w:rPr>
          <w:color w:val="231F1F"/>
          <w:spacing w:val="40"/>
        </w:rPr>
        <w:t> </w:t>
      </w:r>
      <w:r>
        <w:rPr>
          <w:color w:val="231F1F"/>
        </w:rPr>
        <w:t>a</w:t>
      </w:r>
      <w:r>
        <w:rPr>
          <w:color w:val="231F1F"/>
          <w:spacing w:val="40"/>
        </w:rPr>
        <w:t> </w:t>
      </w:r>
      <w:r>
        <w:rPr>
          <w:color w:val="231F1F"/>
        </w:rPr>
        <w:t>la</w:t>
      </w:r>
      <w:r>
        <w:rPr>
          <w:color w:val="231F1F"/>
          <w:spacing w:val="40"/>
        </w:rPr>
        <w:t> </w:t>
      </w:r>
      <w:r>
        <w:rPr>
          <w:color w:val="231F1F"/>
        </w:rPr>
        <w:t>temperatura</w:t>
      </w:r>
      <w:r>
        <w:rPr>
          <w:color w:val="231F1F"/>
          <w:spacing w:val="40"/>
        </w:rPr>
        <w:t> </w:t>
      </w:r>
      <w:r>
        <w:rPr>
          <w:color w:val="231F1F"/>
        </w:rPr>
        <w:t>corporal</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trabajo</w:t>
      </w:r>
      <w:r>
        <w:rPr>
          <w:color w:val="231F1F"/>
          <w:spacing w:val="40"/>
        </w:rPr>
        <w:t> </w:t>
      </w:r>
      <w:r>
        <w:rPr>
          <w:color w:val="231F1F"/>
        </w:rPr>
        <w:t>de</w:t>
      </w:r>
      <w:r>
        <w:rPr>
          <w:color w:val="231F1F"/>
          <w:spacing w:val="40"/>
        </w:rPr>
        <w:t> </w:t>
      </w:r>
      <w:r>
        <w:rPr>
          <w:color w:val="231F1F"/>
        </w:rPr>
        <w:t>parto</w:t>
      </w:r>
      <w:r>
        <w:rPr>
          <w:color w:val="231F1F"/>
          <w:spacing w:val="40"/>
        </w:rPr>
        <w:t> </w:t>
      </w:r>
      <w:r>
        <w:rPr>
          <w:color w:val="231F1F"/>
        </w:rPr>
        <w:t>produjo</w:t>
      </w:r>
      <w:r>
        <w:rPr>
          <w:color w:val="231F1F"/>
          <w:spacing w:val="40"/>
        </w:rPr>
        <w:t> </w:t>
      </w:r>
      <w:r>
        <w:rPr>
          <w:color w:val="231F1F"/>
        </w:rPr>
        <w:t>un</w:t>
      </w:r>
      <w:r>
        <w:rPr>
          <w:color w:val="231F1F"/>
          <w:spacing w:val="40"/>
        </w:rPr>
        <w:t> </w:t>
      </w:r>
      <w:r>
        <w:rPr>
          <w:color w:val="231F1F"/>
        </w:rPr>
        <w:t>inmediato</w:t>
      </w:r>
      <w:r>
        <w:rPr>
          <w:color w:val="231F1F"/>
          <w:spacing w:val="40"/>
        </w:rPr>
        <w:t> </w:t>
      </w:r>
      <w:r>
        <w:rPr>
          <w:color w:val="231F1F"/>
        </w:rPr>
        <w:t>alivio del</w:t>
      </w:r>
      <w:r>
        <w:rPr>
          <w:color w:val="231F1F"/>
          <w:spacing w:val="34"/>
        </w:rPr>
        <w:t> </w:t>
      </w:r>
      <w:r>
        <w:rPr>
          <w:color w:val="231F1F"/>
        </w:rPr>
        <w:t>dolor</w:t>
      </w:r>
      <w:r>
        <w:rPr>
          <w:color w:val="231F1F"/>
          <w:spacing w:val="34"/>
        </w:rPr>
        <w:t> </w:t>
      </w:r>
      <w:r>
        <w:rPr>
          <w:color w:val="231F1F"/>
        </w:rPr>
        <w:t>de</w:t>
      </w:r>
      <w:r>
        <w:rPr>
          <w:color w:val="231F1F"/>
          <w:spacing w:val="34"/>
        </w:rPr>
        <w:t> </w:t>
      </w:r>
      <w:r>
        <w:rPr>
          <w:color w:val="231F1F"/>
        </w:rPr>
        <w:t>las</w:t>
      </w:r>
      <w:r>
        <w:rPr>
          <w:color w:val="231F1F"/>
          <w:spacing w:val="34"/>
        </w:rPr>
        <w:t> </w:t>
      </w:r>
      <w:r>
        <w:rPr>
          <w:color w:val="231F1F"/>
        </w:rPr>
        <w:t>contracciones</w:t>
      </w:r>
      <w:r>
        <w:rPr>
          <w:color w:val="231F1F"/>
          <w:spacing w:val="33"/>
        </w:rPr>
        <w:t> </w:t>
      </w:r>
      <w:r>
        <w:rPr>
          <w:color w:val="231F1F"/>
        </w:rPr>
        <w:t>y</w:t>
      </w:r>
      <w:r>
        <w:rPr>
          <w:color w:val="231F1F"/>
          <w:spacing w:val="34"/>
        </w:rPr>
        <w:t> </w:t>
      </w:r>
      <w:r>
        <w:rPr>
          <w:color w:val="231F1F"/>
        </w:rPr>
        <w:t>facilitó</w:t>
      </w:r>
      <w:r>
        <w:rPr>
          <w:color w:val="231F1F"/>
          <w:spacing w:val="34"/>
        </w:rPr>
        <w:t> </w:t>
      </w:r>
      <w:r>
        <w:rPr>
          <w:color w:val="231F1F"/>
        </w:rPr>
        <w:t>la</w:t>
      </w:r>
      <w:r>
        <w:rPr>
          <w:color w:val="231F1F"/>
          <w:spacing w:val="34"/>
        </w:rPr>
        <w:t> </w:t>
      </w:r>
      <w:r>
        <w:rPr>
          <w:color w:val="231F1F"/>
        </w:rPr>
        <w:t>relajación</w:t>
      </w:r>
      <w:r>
        <w:rPr>
          <w:color w:val="231F1F"/>
          <w:spacing w:val="35"/>
        </w:rPr>
        <w:t> </w:t>
      </w:r>
      <w:r>
        <w:rPr>
          <w:color w:val="231F1F"/>
        </w:rPr>
        <w:t>y</w:t>
      </w:r>
      <w:r>
        <w:rPr>
          <w:color w:val="231F1F"/>
          <w:spacing w:val="34"/>
        </w:rPr>
        <w:t> </w:t>
      </w:r>
      <w:r>
        <w:rPr>
          <w:color w:val="231F1F"/>
        </w:rPr>
        <w:t>la</w:t>
      </w:r>
      <w:r>
        <w:rPr>
          <w:color w:val="231F1F"/>
          <w:spacing w:val="34"/>
        </w:rPr>
        <w:t> </w:t>
      </w:r>
      <w:r>
        <w:rPr>
          <w:color w:val="231F1F"/>
        </w:rPr>
        <w:t>movilidad</w:t>
      </w:r>
      <w:r>
        <w:rPr>
          <w:color w:val="231F1F"/>
          <w:spacing w:val="34"/>
        </w:rPr>
        <w:t> </w:t>
      </w:r>
      <w:r>
        <w:rPr>
          <w:color w:val="231F1F"/>
        </w:rPr>
        <w:t>de</w:t>
      </w:r>
      <w:r>
        <w:rPr>
          <w:color w:val="231F1F"/>
          <w:spacing w:val="34"/>
        </w:rPr>
        <w:t> </w:t>
      </w:r>
      <w:r>
        <w:rPr>
          <w:color w:val="231F1F"/>
        </w:rPr>
        <w:t>la</w:t>
      </w:r>
      <w:r>
        <w:rPr>
          <w:color w:val="231F1F"/>
          <w:spacing w:val="34"/>
        </w:rPr>
        <w:t> </w:t>
      </w:r>
      <w:r>
        <w:rPr>
          <w:color w:val="231F1F"/>
        </w:rPr>
        <w:t>madre.</w:t>
      </w:r>
      <w:r>
        <w:rPr>
          <w:color w:val="231F1F"/>
          <w:spacing w:val="34"/>
        </w:rPr>
        <w:t> </w:t>
      </w:r>
      <w:r>
        <w:rPr>
          <w:color w:val="231F1F"/>
        </w:rPr>
        <w:t>Encontra- ron</w:t>
      </w:r>
      <w:r>
        <w:rPr>
          <w:color w:val="231F1F"/>
          <w:spacing w:val="40"/>
        </w:rPr>
        <w:t> </w:t>
      </w:r>
      <w:r>
        <w:rPr>
          <w:color w:val="231F1F"/>
        </w:rPr>
        <w:t>también</w:t>
      </w:r>
      <w:r>
        <w:rPr>
          <w:color w:val="231F1F"/>
          <w:spacing w:val="40"/>
        </w:rPr>
        <w:t> </w:t>
      </w:r>
      <w:r>
        <w:rPr>
          <w:color w:val="231F1F"/>
        </w:rPr>
        <w:t>una</w:t>
      </w:r>
      <w:r>
        <w:rPr>
          <w:color w:val="231F1F"/>
          <w:spacing w:val="40"/>
        </w:rPr>
        <w:t> </w:t>
      </w:r>
      <w:r>
        <w:rPr>
          <w:color w:val="231F1F"/>
        </w:rPr>
        <w:t>progresión</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dilatación,</w:t>
      </w:r>
      <w:r>
        <w:rPr>
          <w:color w:val="231F1F"/>
          <w:spacing w:val="40"/>
        </w:rPr>
        <w:t> </w:t>
      </w:r>
      <w:r>
        <w:rPr>
          <w:color w:val="231F1F"/>
        </w:rPr>
        <w:t>lo</w:t>
      </w:r>
      <w:r>
        <w:rPr>
          <w:color w:val="231F1F"/>
          <w:spacing w:val="40"/>
        </w:rPr>
        <w:t> </w:t>
      </w:r>
      <w:r>
        <w:rPr>
          <w:color w:val="231F1F"/>
        </w:rPr>
        <w:t>que</w:t>
      </w:r>
      <w:r>
        <w:rPr>
          <w:color w:val="231F1F"/>
          <w:spacing w:val="40"/>
        </w:rPr>
        <w:t> </w:t>
      </w:r>
      <w:r>
        <w:rPr>
          <w:color w:val="231F1F"/>
        </w:rPr>
        <w:t>se</w:t>
      </w:r>
      <w:r>
        <w:rPr>
          <w:color w:val="231F1F"/>
          <w:spacing w:val="40"/>
        </w:rPr>
        <w:t> </w:t>
      </w:r>
      <w:r>
        <w:rPr>
          <w:color w:val="231F1F"/>
        </w:rPr>
        <w:t>ha</w:t>
      </w:r>
      <w:r>
        <w:rPr>
          <w:color w:val="231F1F"/>
          <w:spacing w:val="40"/>
        </w:rPr>
        <w:t> </w:t>
      </w:r>
      <w:r>
        <w:rPr>
          <w:color w:val="231F1F"/>
        </w:rPr>
        <w:t>atribuido</w:t>
      </w:r>
      <w:r>
        <w:rPr>
          <w:color w:val="231F1F"/>
          <w:spacing w:val="40"/>
        </w:rPr>
        <w:t> </w:t>
      </w:r>
      <w:r>
        <w:rPr>
          <w:color w:val="231F1F"/>
        </w:rPr>
        <w:t>a</w:t>
      </w:r>
      <w:r>
        <w:rPr>
          <w:color w:val="231F1F"/>
          <w:spacing w:val="40"/>
        </w:rPr>
        <w:t> </w:t>
      </w:r>
      <w:r>
        <w:rPr>
          <w:color w:val="231F1F"/>
        </w:rPr>
        <w:t>una</w:t>
      </w:r>
      <w:r>
        <w:rPr>
          <w:color w:val="231F1F"/>
          <w:spacing w:val="40"/>
        </w:rPr>
        <w:t> </w:t>
      </w:r>
      <w:r>
        <w:rPr>
          <w:color w:val="231F1F"/>
        </w:rPr>
        <w:t>mejor</w:t>
      </w:r>
      <w:r>
        <w:rPr>
          <w:color w:val="231F1F"/>
          <w:spacing w:val="40"/>
        </w:rPr>
        <w:t> </w:t>
      </w:r>
      <w:r>
        <w:rPr>
          <w:color w:val="231F1F"/>
        </w:rPr>
        <w:t>liberación de oxitocina al disminuir la ansiedad y el estrés como consecuencia de la inmersión en agua </w:t>
      </w:r>
      <w:r>
        <w:rPr>
          <w:color w:val="231F1F"/>
          <w:spacing w:val="-2"/>
        </w:rPr>
        <w:t>caliente.</w:t>
      </w:r>
    </w:p>
    <w:p>
      <w:pPr>
        <w:pStyle w:val="BodyText"/>
        <w:spacing w:line="244" w:lineRule="auto" w:before="120"/>
        <w:ind w:left="283" w:right="124" w:firstLine="453"/>
        <w:jc w:val="both"/>
      </w:pPr>
      <w:r>
        <w:rPr>
          <w:color w:val="231F1F"/>
          <w:w w:val="110"/>
        </w:rPr>
        <w:t>Desde su introducción en las áreas de parto, las bañeras han recibido una desigual atención. El interés actual por realizar el mínimo de intervenciones posibles en el parto, obliga a tomar en consideración este método físico de alivio del dolor.</w:t>
      </w:r>
    </w:p>
    <w:p>
      <w:pPr>
        <w:pStyle w:val="BodyText"/>
        <w:spacing w:before="88"/>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4"/>
        <w:ind w:left="288" w:right="9"/>
        <w:jc w:val="both"/>
      </w:pPr>
      <w:r>
        <w:rPr>
          <w:color w:val="231F1F"/>
          <w:w w:val="110"/>
        </w:rPr>
        <w:t>Para</w:t>
      </w:r>
      <w:r>
        <w:rPr>
          <w:color w:val="231F1F"/>
          <w:spacing w:val="-5"/>
          <w:w w:val="110"/>
        </w:rPr>
        <w:t> </w:t>
      </w:r>
      <w:r>
        <w:rPr>
          <w:color w:val="231F1F"/>
          <w:w w:val="110"/>
        </w:rPr>
        <w:t>responder</w:t>
      </w:r>
      <w:r>
        <w:rPr>
          <w:color w:val="231F1F"/>
          <w:spacing w:val="-5"/>
          <w:w w:val="110"/>
        </w:rPr>
        <w:t> </w:t>
      </w:r>
      <w:r>
        <w:rPr>
          <w:color w:val="231F1F"/>
          <w:w w:val="110"/>
        </w:rPr>
        <w:t>a</w:t>
      </w:r>
      <w:r>
        <w:rPr>
          <w:color w:val="231F1F"/>
          <w:spacing w:val="-5"/>
          <w:w w:val="110"/>
        </w:rPr>
        <w:t> </w:t>
      </w:r>
      <w:r>
        <w:rPr>
          <w:color w:val="231F1F"/>
          <w:w w:val="110"/>
        </w:rPr>
        <w:t>esta</w:t>
      </w:r>
      <w:r>
        <w:rPr>
          <w:color w:val="231F1F"/>
          <w:spacing w:val="-5"/>
          <w:w w:val="110"/>
        </w:rPr>
        <w:t> </w:t>
      </w:r>
      <w:r>
        <w:rPr>
          <w:color w:val="231F1F"/>
          <w:w w:val="110"/>
        </w:rPr>
        <w:t>pregunta</w:t>
      </w:r>
      <w:r>
        <w:rPr>
          <w:color w:val="231F1F"/>
          <w:spacing w:val="-6"/>
          <w:w w:val="110"/>
        </w:rPr>
        <w:t> </w:t>
      </w:r>
      <w:r>
        <w:rPr>
          <w:color w:val="231F1F"/>
          <w:w w:val="110"/>
        </w:rPr>
        <w:t>la</w:t>
      </w:r>
      <w:r>
        <w:rPr>
          <w:color w:val="231F1F"/>
          <w:spacing w:val="-5"/>
          <w:w w:val="110"/>
        </w:rPr>
        <w:t> </w:t>
      </w:r>
      <w:r>
        <w:rPr>
          <w:color w:val="231F1F"/>
          <w:w w:val="110"/>
        </w:rPr>
        <w:t>guía</w:t>
      </w:r>
      <w:r>
        <w:rPr>
          <w:color w:val="231F1F"/>
          <w:spacing w:val="-5"/>
          <w:w w:val="110"/>
        </w:rPr>
        <w:t> </w:t>
      </w:r>
      <w:r>
        <w:rPr>
          <w:color w:val="231F1F"/>
          <w:w w:val="110"/>
        </w:rPr>
        <w:t>NICE</w:t>
      </w:r>
      <w:r>
        <w:rPr>
          <w:color w:val="231F1F"/>
          <w:spacing w:val="-5"/>
          <w:w w:val="110"/>
        </w:rPr>
        <w:t> </w:t>
      </w:r>
      <w:r>
        <w:rPr>
          <w:color w:val="231F1F"/>
          <w:w w:val="110"/>
        </w:rPr>
        <w:t>(10)</w:t>
      </w:r>
      <w:r>
        <w:rPr>
          <w:color w:val="231F1F"/>
          <w:spacing w:val="-6"/>
          <w:w w:val="110"/>
        </w:rPr>
        <w:t> </w:t>
      </w:r>
      <w:r>
        <w:rPr>
          <w:color w:val="231F1F"/>
          <w:w w:val="110"/>
        </w:rPr>
        <w:t>se</w:t>
      </w:r>
      <w:r>
        <w:rPr>
          <w:color w:val="231F1F"/>
          <w:spacing w:val="-6"/>
          <w:w w:val="110"/>
        </w:rPr>
        <w:t> </w:t>
      </w:r>
      <w:r>
        <w:rPr>
          <w:color w:val="231F1F"/>
          <w:w w:val="110"/>
        </w:rPr>
        <w:t>refiere</w:t>
      </w:r>
      <w:r>
        <w:rPr>
          <w:color w:val="231F1F"/>
          <w:spacing w:val="-5"/>
          <w:w w:val="110"/>
        </w:rPr>
        <w:t> </w:t>
      </w:r>
      <w:r>
        <w:rPr>
          <w:color w:val="231F1F"/>
          <w:w w:val="110"/>
        </w:rPr>
        <w:t>a</w:t>
      </w:r>
      <w:r>
        <w:rPr>
          <w:color w:val="231F1F"/>
          <w:spacing w:val="-5"/>
          <w:w w:val="110"/>
        </w:rPr>
        <w:t> </w:t>
      </w:r>
      <w:r>
        <w:rPr>
          <w:color w:val="231F1F"/>
          <w:w w:val="110"/>
        </w:rPr>
        <w:t>su</w:t>
      </w:r>
      <w:r>
        <w:rPr>
          <w:color w:val="231F1F"/>
          <w:spacing w:val="-5"/>
          <w:w w:val="110"/>
        </w:rPr>
        <w:t> </w:t>
      </w:r>
      <w:r>
        <w:rPr>
          <w:color w:val="231F1F"/>
          <w:w w:val="110"/>
        </w:rPr>
        <w:t>guía</w:t>
      </w:r>
      <w:r>
        <w:rPr>
          <w:color w:val="231F1F"/>
          <w:spacing w:val="-5"/>
          <w:w w:val="110"/>
        </w:rPr>
        <w:t> </w:t>
      </w:r>
      <w:r>
        <w:rPr>
          <w:color w:val="231F1F"/>
          <w:w w:val="110"/>
        </w:rPr>
        <w:t>previa sobre</w:t>
      </w:r>
      <w:r>
        <w:rPr>
          <w:color w:val="231F1F"/>
          <w:spacing w:val="-6"/>
          <w:w w:val="110"/>
        </w:rPr>
        <w:t> </w:t>
      </w:r>
      <w:r>
        <w:rPr>
          <w:color w:val="231F1F"/>
          <w:w w:val="110"/>
        </w:rPr>
        <w:t>Cesárea</w:t>
      </w:r>
      <w:r>
        <w:rPr>
          <w:color w:val="231F1F"/>
          <w:spacing w:val="-5"/>
          <w:w w:val="110"/>
        </w:rPr>
        <w:t> </w:t>
      </w:r>
      <w:r>
        <w:rPr>
          <w:color w:val="231F1F"/>
          <w:w w:val="110"/>
        </w:rPr>
        <w:t>(65)</w:t>
      </w:r>
      <w:r>
        <w:rPr>
          <w:color w:val="231F1F"/>
          <w:spacing w:val="-5"/>
          <w:w w:val="110"/>
        </w:rPr>
        <w:t> </w:t>
      </w:r>
      <w:r>
        <w:rPr>
          <w:color w:val="231F1F"/>
          <w:w w:val="110"/>
        </w:rPr>
        <w:t>en</w:t>
      </w:r>
      <w:r>
        <w:rPr>
          <w:color w:val="231F1F"/>
          <w:spacing w:val="-5"/>
          <w:w w:val="110"/>
        </w:rPr>
        <w:t> </w:t>
      </w:r>
      <w:r>
        <w:rPr>
          <w:color w:val="231F1F"/>
          <w:w w:val="110"/>
        </w:rPr>
        <w:t>la</w:t>
      </w:r>
      <w:r>
        <w:rPr>
          <w:color w:val="231F1F"/>
          <w:spacing w:val="-5"/>
          <w:w w:val="110"/>
        </w:rPr>
        <w:t> </w:t>
      </w:r>
      <w:r>
        <w:rPr>
          <w:color w:val="231F1F"/>
          <w:w w:val="110"/>
        </w:rPr>
        <w:t>que</w:t>
      </w:r>
      <w:r>
        <w:rPr>
          <w:color w:val="231F1F"/>
          <w:spacing w:val="-5"/>
          <w:w w:val="110"/>
        </w:rPr>
        <w:t> </w:t>
      </w:r>
      <w:r>
        <w:rPr>
          <w:color w:val="231F1F"/>
          <w:w w:val="110"/>
        </w:rPr>
        <w:t>se</w:t>
      </w:r>
      <w:r>
        <w:rPr>
          <w:color w:val="231F1F"/>
          <w:spacing w:val="-5"/>
          <w:w w:val="110"/>
        </w:rPr>
        <w:t> </w:t>
      </w:r>
      <w:r>
        <w:rPr>
          <w:color w:val="231F1F"/>
          <w:w w:val="110"/>
        </w:rPr>
        <w:t>recomendaba</w:t>
      </w:r>
      <w:r>
        <w:rPr>
          <w:color w:val="231F1F"/>
          <w:spacing w:val="-5"/>
          <w:w w:val="110"/>
        </w:rPr>
        <w:t> </w:t>
      </w:r>
      <w:r>
        <w:rPr>
          <w:color w:val="231F1F"/>
          <w:w w:val="110"/>
        </w:rPr>
        <w:t>informar</w:t>
      </w:r>
      <w:r>
        <w:rPr>
          <w:color w:val="231F1F"/>
          <w:spacing w:val="-6"/>
          <w:w w:val="110"/>
        </w:rPr>
        <w:t> </w:t>
      </w:r>
      <w:r>
        <w:rPr>
          <w:color w:val="231F1F"/>
          <w:w w:val="110"/>
        </w:rPr>
        <w:t>a</w:t>
      </w:r>
      <w:r>
        <w:rPr>
          <w:color w:val="231F1F"/>
          <w:spacing w:val="-5"/>
          <w:w w:val="110"/>
        </w:rPr>
        <w:t> </w:t>
      </w:r>
      <w:r>
        <w:rPr>
          <w:color w:val="231F1F"/>
          <w:w w:val="110"/>
        </w:rPr>
        <w:t>las</w:t>
      </w:r>
      <w:r>
        <w:rPr>
          <w:color w:val="231F1F"/>
          <w:spacing w:val="-5"/>
          <w:w w:val="110"/>
        </w:rPr>
        <w:t> </w:t>
      </w:r>
      <w:r>
        <w:rPr>
          <w:color w:val="231F1F"/>
          <w:w w:val="110"/>
        </w:rPr>
        <w:t>mujeres</w:t>
      </w:r>
      <w:r>
        <w:rPr>
          <w:color w:val="231F1F"/>
          <w:spacing w:val="-5"/>
          <w:w w:val="110"/>
        </w:rPr>
        <w:t> </w:t>
      </w:r>
      <w:r>
        <w:rPr>
          <w:color w:val="231F1F"/>
          <w:w w:val="110"/>
        </w:rPr>
        <w:t>de</w:t>
      </w:r>
      <w:r>
        <w:rPr>
          <w:color w:val="231F1F"/>
          <w:spacing w:val="-5"/>
          <w:w w:val="110"/>
        </w:rPr>
        <w:t> </w:t>
      </w:r>
      <w:r>
        <w:rPr>
          <w:color w:val="231F1F"/>
          <w:w w:val="110"/>
        </w:rPr>
        <w:t>que la inmersión en el agua no influye en la probabilidad de tener un parto por cesárea, aunque puede afectar a otros resultados.</w:t>
      </w:r>
    </w:p>
    <w:p>
      <w:pPr>
        <w:pStyle w:val="BodyText"/>
        <w:spacing w:before="177"/>
        <w:ind w:left="741"/>
        <w:jc w:val="both"/>
      </w:pPr>
      <w:r>
        <w:rPr>
          <w:color w:val="231F1F"/>
          <w:w w:val="110"/>
        </w:rPr>
        <w:t>NICE</w:t>
      </w:r>
      <w:r>
        <w:rPr>
          <w:color w:val="231F1F"/>
          <w:spacing w:val="-10"/>
          <w:w w:val="110"/>
        </w:rPr>
        <w:t> </w:t>
      </w:r>
      <w:r>
        <w:rPr>
          <w:color w:val="231F1F"/>
          <w:w w:val="110"/>
        </w:rPr>
        <w:t>(10)</w:t>
      </w:r>
      <w:r>
        <w:rPr>
          <w:color w:val="231F1F"/>
          <w:spacing w:val="-7"/>
          <w:w w:val="110"/>
        </w:rPr>
        <w:t> </w:t>
      </w:r>
      <w:r>
        <w:rPr>
          <w:color w:val="231F1F"/>
          <w:w w:val="110"/>
        </w:rPr>
        <w:t>incluye</w:t>
      </w:r>
      <w:r>
        <w:rPr>
          <w:color w:val="231F1F"/>
          <w:spacing w:val="-8"/>
          <w:w w:val="110"/>
        </w:rPr>
        <w:t> </w:t>
      </w:r>
      <w:r>
        <w:rPr>
          <w:color w:val="231F1F"/>
          <w:w w:val="110"/>
        </w:rPr>
        <w:t>en</w:t>
      </w:r>
      <w:r>
        <w:rPr>
          <w:color w:val="231F1F"/>
          <w:spacing w:val="-8"/>
          <w:w w:val="110"/>
        </w:rPr>
        <w:t> </w:t>
      </w:r>
      <w:r>
        <w:rPr>
          <w:color w:val="231F1F"/>
          <w:w w:val="110"/>
        </w:rPr>
        <w:t>este</w:t>
      </w:r>
      <w:r>
        <w:rPr>
          <w:color w:val="231F1F"/>
          <w:spacing w:val="-8"/>
          <w:w w:val="110"/>
        </w:rPr>
        <w:t> </w:t>
      </w:r>
      <w:r>
        <w:rPr>
          <w:color w:val="231F1F"/>
          <w:w w:val="110"/>
        </w:rPr>
        <w:t>apartado</w:t>
      </w:r>
      <w:r>
        <w:rPr>
          <w:color w:val="231F1F"/>
          <w:spacing w:val="-9"/>
          <w:w w:val="110"/>
        </w:rPr>
        <w:t> </w:t>
      </w:r>
      <w:r>
        <w:rPr>
          <w:color w:val="231F1F"/>
          <w:w w:val="110"/>
        </w:rPr>
        <w:t>una</w:t>
      </w:r>
      <w:r>
        <w:rPr>
          <w:color w:val="231F1F"/>
          <w:spacing w:val="-9"/>
          <w:w w:val="110"/>
        </w:rPr>
        <w:t> </w:t>
      </w:r>
      <w:r>
        <w:rPr>
          <w:color w:val="231F1F"/>
          <w:w w:val="110"/>
        </w:rPr>
        <w:t>RS</w:t>
      </w:r>
      <w:r>
        <w:rPr>
          <w:color w:val="231F1F"/>
          <w:spacing w:val="-8"/>
          <w:w w:val="110"/>
        </w:rPr>
        <w:t> </w:t>
      </w:r>
      <w:r>
        <w:rPr>
          <w:color w:val="231F1F"/>
          <w:w w:val="110"/>
        </w:rPr>
        <w:t>Cochrane</w:t>
      </w:r>
      <w:r>
        <w:rPr>
          <w:color w:val="231F1F"/>
          <w:spacing w:val="-9"/>
          <w:w w:val="110"/>
        </w:rPr>
        <w:t> </w:t>
      </w:r>
      <w:r>
        <w:rPr>
          <w:color w:val="231F1F"/>
          <w:w w:val="110"/>
        </w:rPr>
        <w:t>(282)</w:t>
      </w:r>
      <w:r>
        <w:rPr>
          <w:color w:val="231F1F"/>
          <w:spacing w:val="-10"/>
          <w:w w:val="110"/>
        </w:rPr>
        <w:t> </w:t>
      </w:r>
      <w:r>
        <w:rPr>
          <w:color w:val="231F1F"/>
          <w:w w:val="110"/>
        </w:rPr>
        <w:t>y</w:t>
      </w:r>
      <w:r>
        <w:rPr>
          <w:color w:val="231F1F"/>
          <w:spacing w:val="-8"/>
          <w:w w:val="110"/>
        </w:rPr>
        <w:t> </w:t>
      </w:r>
      <w:r>
        <w:rPr>
          <w:color w:val="231F1F"/>
          <w:w w:val="110"/>
        </w:rPr>
        <w:t>un</w:t>
      </w:r>
      <w:r>
        <w:rPr>
          <w:color w:val="231F1F"/>
          <w:spacing w:val="-9"/>
          <w:w w:val="110"/>
        </w:rPr>
        <w:t> </w:t>
      </w:r>
      <w:r>
        <w:rPr>
          <w:color w:val="231F1F"/>
          <w:spacing w:val="-5"/>
          <w:w w:val="110"/>
        </w:rPr>
        <w:t>ECA</w:t>
      </w:r>
    </w:p>
    <w:p>
      <w:pPr>
        <w:pStyle w:val="BodyText"/>
        <w:spacing w:line="261" w:lineRule="auto" w:before="31"/>
        <w:ind w:left="287" w:right="9"/>
        <w:jc w:val="both"/>
      </w:pPr>
      <w:r>
        <w:rPr>
          <w:color w:val="231F1F"/>
        </w:rPr>
        <w:t>(283)</w:t>
      </w:r>
      <w:r>
        <w:rPr>
          <w:color w:val="231F1F"/>
          <w:spacing w:val="28"/>
        </w:rPr>
        <w:t> </w:t>
      </w:r>
      <w:r>
        <w:rPr>
          <w:color w:val="231F1F"/>
        </w:rPr>
        <w:t>del</w:t>
      </w:r>
      <w:r>
        <w:rPr>
          <w:color w:val="231F1F"/>
          <w:spacing w:val="28"/>
        </w:rPr>
        <w:t> </w:t>
      </w:r>
      <w:r>
        <w:rPr>
          <w:color w:val="231F1F"/>
        </w:rPr>
        <w:t>mismo</w:t>
      </w:r>
      <w:r>
        <w:rPr>
          <w:color w:val="231F1F"/>
          <w:spacing w:val="27"/>
        </w:rPr>
        <w:t> </w:t>
      </w:r>
      <w:r>
        <w:rPr>
          <w:color w:val="231F1F"/>
        </w:rPr>
        <w:t>autor</w:t>
      </w:r>
      <w:r>
        <w:rPr>
          <w:color w:val="231F1F"/>
          <w:spacing w:val="28"/>
        </w:rPr>
        <w:t> </w:t>
      </w:r>
      <w:r>
        <w:rPr>
          <w:color w:val="231F1F"/>
        </w:rPr>
        <w:t>(calificado</w:t>
      </w:r>
      <w:r>
        <w:rPr>
          <w:color w:val="231F1F"/>
          <w:spacing w:val="28"/>
        </w:rPr>
        <w:t> </w:t>
      </w:r>
      <w:r>
        <w:rPr>
          <w:color w:val="231F1F"/>
        </w:rPr>
        <w:t>como</w:t>
      </w:r>
      <w:r>
        <w:rPr>
          <w:color w:val="231F1F"/>
          <w:spacing w:val="27"/>
        </w:rPr>
        <w:t> </w:t>
      </w:r>
      <w:r>
        <w:rPr>
          <w:color w:val="231F1F"/>
        </w:rPr>
        <w:t>1-),</w:t>
      </w:r>
      <w:r>
        <w:rPr>
          <w:color w:val="231F1F"/>
          <w:spacing w:val="28"/>
        </w:rPr>
        <w:t> </w:t>
      </w:r>
      <w:r>
        <w:rPr>
          <w:color w:val="231F1F"/>
        </w:rPr>
        <w:t>que</w:t>
      </w:r>
      <w:r>
        <w:rPr>
          <w:color w:val="231F1F"/>
          <w:spacing w:val="28"/>
        </w:rPr>
        <w:t> </w:t>
      </w:r>
      <w:r>
        <w:rPr>
          <w:color w:val="231F1F"/>
        </w:rPr>
        <w:t>examinaba</w:t>
      </w:r>
      <w:r>
        <w:rPr>
          <w:color w:val="231F1F"/>
          <w:spacing w:val="27"/>
        </w:rPr>
        <w:t> </w:t>
      </w:r>
      <w:r>
        <w:rPr>
          <w:color w:val="231F1F"/>
        </w:rPr>
        <w:t>la</w:t>
      </w:r>
      <w:r>
        <w:rPr>
          <w:color w:val="231F1F"/>
          <w:spacing w:val="28"/>
        </w:rPr>
        <w:t> </w:t>
      </w:r>
      <w:r>
        <w:rPr>
          <w:color w:val="231F1F"/>
        </w:rPr>
        <w:t>eficacia</w:t>
      </w:r>
      <w:r>
        <w:rPr>
          <w:color w:val="231F1F"/>
          <w:spacing w:val="27"/>
        </w:rPr>
        <w:t> </w:t>
      </w:r>
      <w:r>
        <w:rPr>
          <w:color w:val="231F1F"/>
        </w:rPr>
        <w:t>del</w:t>
      </w:r>
      <w:r>
        <w:rPr>
          <w:color w:val="231F1F"/>
          <w:spacing w:val="28"/>
        </w:rPr>
        <w:t> </w:t>
      </w:r>
      <w:r>
        <w:rPr>
          <w:color w:val="231F1F"/>
        </w:rPr>
        <w:t>uso de</w:t>
      </w:r>
      <w:r>
        <w:rPr>
          <w:color w:val="231F1F"/>
          <w:spacing w:val="23"/>
        </w:rPr>
        <w:t> </w:t>
      </w:r>
      <w:r>
        <w:rPr>
          <w:color w:val="231F1F"/>
        </w:rPr>
        <w:t>inmersión</w:t>
      </w:r>
      <w:r>
        <w:rPr>
          <w:color w:val="231F1F"/>
          <w:spacing w:val="24"/>
        </w:rPr>
        <w:t> </w:t>
      </w:r>
      <w:r>
        <w:rPr>
          <w:color w:val="231F1F"/>
        </w:rPr>
        <w:t>en</w:t>
      </w:r>
      <w:r>
        <w:rPr>
          <w:color w:val="231F1F"/>
          <w:spacing w:val="23"/>
        </w:rPr>
        <w:t> </w:t>
      </w:r>
      <w:r>
        <w:rPr>
          <w:color w:val="231F1F"/>
        </w:rPr>
        <w:t>agua</w:t>
      </w:r>
      <w:r>
        <w:rPr>
          <w:color w:val="231F1F"/>
          <w:spacing w:val="23"/>
        </w:rPr>
        <w:t> </w:t>
      </w:r>
      <w:r>
        <w:rPr>
          <w:color w:val="231F1F"/>
        </w:rPr>
        <w:t>en</w:t>
      </w:r>
      <w:r>
        <w:rPr>
          <w:color w:val="231F1F"/>
          <w:spacing w:val="23"/>
        </w:rPr>
        <w:t> </w:t>
      </w:r>
      <w:r>
        <w:rPr>
          <w:color w:val="231F1F"/>
        </w:rPr>
        <w:t>la</w:t>
      </w:r>
      <w:r>
        <w:rPr>
          <w:color w:val="231F1F"/>
          <w:spacing w:val="23"/>
        </w:rPr>
        <w:t> </w:t>
      </w:r>
      <w:r>
        <w:rPr>
          <w:color w:val="231F1F"/>
        </w:rPr>
        <w:t>primera</w:t>
      </w:r>
      <w:r>
        <w:rPr>
          <w:color w:val="231F1F"/>
          <w:spacing w:val="23"/>
        </w:rPr>
        <w:t> </w:t>
      </w:r>
      <w:r>
        <w:rPr>
          <w:color w:val="231F1F"/>
        </w:rPr>
        <w:t>etapa</w:t>
      </w:r>
      <w:r>
        <w:rPr>
          <w:color w:val="231F1F"/>
          <w:spacing w:val="23"/>
        </w:rPr>
        <w:t> </w:t>
      </w:r>
      <w:r>
        <w:rPr>
          <w:color w:val="231F1F"/>
        </w:rPr>
        <w:t>del</w:t>
      </w:r>
      <w:r>
        <w:rPr>
          <w:color w:val="231F1F"/>
          <w:spacing w:val="23"/>
        </w:rPr>
        <w:t> </w:t>
      </w:r>
      <w:r>
        <w:rPr>
          <w:color w:val="231F1F"/>
        </w:rPr>
        <w:t>parto.</w:t>
      </w:r>
      <w:r>
        <w:rPr>
          <w:color w:val="231F1F"/>
          <w:spacing w:val="23"/>
        </w:rPr>
        <w:t> </w:t>
      </w:r>
      <w:r>
        <w:rPr>
          <w:color w:val="231F1F"/>
        </w:rPr>
        <w:t>Debido</w:t>
      </w:r>
      <w:r>
        <w:rPr>
          <w:color w:val="231F1F"/>
          <w:spacing w:val="23"/>
        </w:rPr>
        <w:t> </w:t>
      </w:r>
      <w:r>
        <w:rPr>
          <w:color w:val="231F1F"/>
        </w:rPr>
        <w:t>al</w:t>
      </w:r>
      <w:r>
        <w:rPr>
          <w:color w:val="231F1F"/>
          <w:spacing w:val="23"/>
        </w:rPr>
        <w:t> </w:t>
      </w:r>
      <w:r>
        <w:rPr>
          <w:color w:val="231F1F"/>
        </w:rPr>
        <w:t>riesgo</w:t>
      </w:r>
      <w:r>
        <w:rPr>
          <w:color w:val="231F1F"/>
          <w:spacing w:val="23"/>
        </w:rPr>
        <w:t> </w:t>
      </w:r>
      <w:r>
        <w:rPr>
          <w:color w:val="231F1F"/>
        </w:rPr>
        <w:t>de</w:t>
      </w:r>
      <w:r>
        <w:rPr>
          <w:color w:val="231F1F"/>
          <w:spacing w:val="23"/>
        </w:rPr>
        <w:t> </w:t>
      </w:r>
      <w:r>
        <w:rPr>
          <w:color w:val="231F1F"/>
        </w:rPr>
        <w:t>sesgos no</w:t>
      </w:r>
      <w:r>
        <w:rPr>
          <w:color w:val="231F1F"/>
          <w:spacing w:val="40"/>
        </w:rPr>
        <w:t> </w:t>
      </w:r>
      <w:r>
        <w:rPr>
          <w:color w:val="231F1F"/>
        </w:rPr>
        <w:t>se</w:t>
      </w:r>
      <w:r>
        <w:rPr>
          <w:color w:val="231F1F"/>
          <w:spacing w:val="40"/>
        </w:rPr>
        <w:t> </w:t>
      </w:r>
      <w:r>
        <w:rPr>
          <w:color w:val="231F1F"/>
        </w:rPr>
        <w:t>va</w:t>
      </w:r>
      <w:r>
        <w:rPr>
          <w:color w:val="231F1F"/>
          <w:spacing w:val="40"/>
        </w:rPr>
        <w:t> </w:t>
      </w:r>
      <w:r>
        <w:rPr>
          <w:color w:val="231F1F"/>
        </w:rPr>
        <w:t>a</w:t>
      </w:r>
      <w:r>
        <w:rPr>
          <w:color w:val="231F1F"/>
          <w:spacing w:val="40"/>
        </w:rPr>
        <w:t> </w:t>
      </w:r>
      <w:r>
        <w:rPr>
          <w:color w:val="231F1F"/>
        </w:rPr>
        <w:t>tener</w:t>
      </w:r>
      <w:r>
        <w:rPr>
          <w:color w:val="231F1F"/>
          <w:spacing w:val="40"/>
        </w:rPr>
        <w:t> </w:t>
      </w:r>
      <w:r>
        <w:rPr>
          <w:color w:val="231F1F"/>
        </w:rPr>
        <w:t>en</w:t>
      </w:r>
      <w:r>
        <w:rPr>
          <w:color w:val="231F1F"/>
          <w:spacing w:val="40"/>
        </w:rPr>
        <w:t> </w:t>
      </w:r>
      <w:r>
        <w:rPr>
          <w:color w:val="231F1F"/>
        </w:rPr>
        <w:t>cuenta</w:t>
      </w:r>
      <w:r>
        <w:rPr>
          <w:color w:val="231F1F"/>
          <w:spacing w:val="40"/>
        </w:rPr>
        <w:t> </w:t>
      </w:r>
      <w:r>
        <w:rPr>
          <w:color w:val="231F1F"/>
        </w:rPr>
        <w:t>en</w:t>
      </w:r>
      <w:r>
        <w:rPr>
          <w:color w:val="231F1F"/>
          <w:spacing w:val="40"/>
        </w:rPr>
        <w:t> </w:t>
      </w:r>
      <w:r>
        <w:rPr>
          <w:color w:val="231F1F"/>
        </w:rPr>
        <w:t>nuestra</w:t>
      </w:r>
      <w:r>
        <w:rPr>
          <w:color w:val="231F1F"/>
          <w:spacing w:val="40"/>
        </w:rPr>
        <w:t> </w:t>
      </w:r>
      <w:r>
        <w:rPr>
          <w:color w:val="231F1F"/>
        </w:rPr>
        <w:t>guía.</w:t>
      </w:r>
    </w:p>
    <w:p>
      <w:pPr>
        <w:pStyle w:val="BodyText"/>
        <w:spacing w:line="244" w:lineRule="auto" w:before="147"/>
        <w:ind w:left="288" w:right="6" w:firstLine="453"/>
        <w:jc w:val="both"/>
      </w:pPr>
      <w:r>
        <w:rPr>
          <w:color w:val="231F1F"/>
          <w:w w:val="110"/>
        </w:rPr>
        <w:t>La RS incluye 8 estudios. Seis examinaban el parto en agua en la pri- mera etapa del parto, otro examinaba el parto en agua en la segunda etapa y</w:t>
      </w:r>
      <w:r>
        <w:rPr>
          <w:color w:val="231F1F"/>
          <w:spacing w:val="-2"/>
          <w:w w:val="110"/>
        </w:rPr>
        <w:t> </w:t>
      </w:r>
      <w:r>
        <w:rPr>
          <w:color w:val="231F1F"/>
          <w:w w:val="110"/>
        </w:rPr>
        <w:t>el</w:t>
      </w:r>
      <w:r>
        <w:rPr>
          <w:color w:val="231F1F"/>
          <w:spacing w:val="-3"/>
          <w:w w:val="110"/>
        </w:rPr>
        <w:t> </w:t>
      </w:r>
      <w:r>
        <w:rPr>
          <w:color w:val="231F1F"/>
          <w:w w:val="110"/>
        </w:rPr>
        <w:t>último</w:t>
      </w:r>
      <w:r>
        <w:rPr>
          <w:color w:val="231F1F"/>
          <w:spacing w:val="-2"/>
          <w:w w:val="110"/>
        </w:rPr>
        <w:t> </w:t>
      </w:r>
      <w:r>
        <w:rPr>
          <w:color w:val="231F1F"/>
          <w:w w:val="110"/>
        </w:rPr>
        <w:t>examinaba</w:t>
      </w:r>
      <w:r>
        <w:rPr>
          <w:color w:val="231F1F"/>
          <w:spacing w:val="-2"/>
          <w:w w:val="110"/>
        </w:rPr>
        <w:t> </w:t>
      </w:r>
      <w:r>
        <w:rPr>
          <w:color w:val="231F1F"/>
          <w:w w:val="110"/>
        </w:rPr>
        <w:t>el</w:t>
      </w:r>
      <w:r>
        <w:rPr>
          <w:color w:val="231F1F"/>
          <w:spacing w:val="-3"/>
          <w:w w:val="110"/>
        </w:rPr>
        <w:t> </w:t>
      </w:r>
      <w:r>
        <w:rPr>
          <w:color w:val="231F1F"/>
          <w:w w:val="110"/>
        </w:rPr>
        <w:t>momento</w:t>
      </w:r>
      <w:r>
        <w:rPr>
          <w:color w:val="231F1F"/>
          <w:spacing w:val="-2"/>
          <w:w w:val="110"/>
        </w:rPr>
        <w:t> </w:t>
      </w:r>
      <w:r>
        <w:rPr>
          <w:color w:val="231F1F"/>
          <w:w w:val="110"/>
        </w:rPr>
        <w:t>del</w:t>
      </w:r>
      <w:r>
        <w:rPr>
          <w:color w:val="231F1F"/>
          <w:spacing w:val="-3"/>
          <w:w w:val="110"/>
        </w:rPr>
        <w:t> </w:t>
      </w:r>
      <w:r>
        <w:rPr>
          <w:color w:val="231F1F"/>
          <w:w w:val="110"/>
        </w:rPr>
        <w:t>uso</w:t>
      </w:r>
      <w:r>
        <w:rPr>
          <w:color w:val="231F1F"/>
          <w:spacing w:val="-2"/>
          <w:w w:val="110"/>
        </w:rPr>
        <w:t> </w:t>
      </w:r>
      <w:r>
        <w:rPr>
          <w:color w:val="231F1F"/>
          <w:w w:val="110"/>
        </w:rPr>
        <w:t>del</w:t>
      </w:r>
      <w:r>
        <w:rPr>
          <w:color w:val="231F1F"/>
          <w:spacing w:val="-3"/>
          <w:w w:val="110"/>
        </w:rPr>
        <w:t> </w:t>
      </w:r>
      <w:r>
        <w:rPr>
          <w:color w:val="231F1F"/>
          <w:w w:val="110"/>
        </w:rPr>
        <w:t>agua</w:t>
      </w:r>
      <w:r>
        <w:rPr>
          <w:color w:val="231F1F"/>
          <w:spacing w:val="-2"/>
          <w:w w:val="110"/>
        </w:rPr>
        <w:t> </w:t>
      </w:r>
      <w:r>
        <w:rPr>
          <w:color w:val="231F1F"/>
          <w:w w:val="110"/>
        </w:rPr>
        <w:t>en</w:t>
      </w:r>
      <w:r>
        <w:rPr>
          <w:color w:val="231F1F"/>
          <w:spacing w:val="-2"/>
          <w:w w:val="110"/>
        </w:rPr>
        <w:t> </w:t>
      </w:r>
      <w:r>
        <w:rPr>
          <w:color w:val="231F1F"/>
          <w:w w:val="110"/>
        </w:rPr>
        <w:t>la</w:t>
      </w:r>
      <w:r>
        <w:rPr>
          <w:color w:val="231F1F"/>
          <w:spacing w:val="-2"/>
          <w:w w:val="110"/>
        </w:rPr>
        <w:t> </w:t>
      </w:r>
      <w:r>
        <w:rPr>
          <w:color w:val="231F1F"/>
          <w:w w:val="110"/>
        </w:rPr>
        <w:t>primera</w:t>
      </w:r>
      <w:r>
        <w:rPr>
          <w:color w:val="231F1F"/>
          <w:spacing w:val="-3"/>
          <w:w w:val="110"/>
        </w:rPr>
        <w:t> </w:t>
      </w:r>
      <w:r>
        <w:rPr>
          <w:color w:val="231F1F"/>
          <w:w w:val="110"/>
        </w:rPr>
        <w:t>etapa</w:t>
      </w:r>
      <w:r>
        <w:rPr>
          <w:color w:val="231F1F"/>
          <w:spacing w:val="-2"/>
          <w:w w:val="110"/>
        </w:rPr>
        <w:t> </w:t>
      </w:r>
      <w:r>
        <w:rPr>
          <w:color w:val="231F1F"/>
          <w:w w:val="110"/>
        </w:rPr>
        <w:t>del </w:t>
      </w:r>
      <w:r>
        <w:rPr>
          <w:color w:val="231F1F"/>
          <w:spacing w:val="-2"/>
          <w:w w:val="110"/>
        </w:rPr>
        <w:t>parto.</w:t>
      </w:r>
    </w:p>
    <w:p>
      <w:pPr>
        <w:pStyle w:val="BodyText"/>
        <w:spacing w:line="254" w:lineRule="auto" w:before="201"/>
        <w:ind w:left="287" w:right="173" w:firstLine="453"/>
        <w:jc w:val="both"/>
      </w:pPr>
      <w:r>
        <w:rPr>
          <w:color w:val="231F1F"/>
        </w:rPr>
        <w:t>No se identificó ningún estudio relevante que estudiara medidas higiéni- cas</w:t>
      </w:r>
      <w:r>
        <w:rPr>
          <w:color w:val="231F1F"/>
          <w:spacing w:val="40"/>
        </w:rPr>
        <w:t> </w:t>
      </w:r>
      <w:r>
        <w:rPr>
          <w:color w:val="231F1F"/>
        </w:rPr>
        <w:t>para</w:t>
      </w:r>
      <w:r>
        <w:rPr>
          <w:color w:val="231F1F"/>
          <w:spacing w:val="40"/>
        </w:rPr>
        <w:t> </w:t>
      </w:r>
      <w:r>
        <w:rPr>
          <w:color w:val="231F1F"/>
        </w:rPr>
        <w:t>el</w:t>
      </w:r>
      <w:r>
        <w:rPr>
          <w:color w:val="231F1F"/>
          <w:spacing w:val="40"/>
        </w:rPr>
        <w:t> </w:t>
      </w:r>
      <w:r>
        <w:rPr>
          <w:color w:val="231F1F"/>
        </w:rPr>
        <w:t>parto</w:t>
      </w:r>
      <w:r>
        <w:rPr>
          <w:color w:val="231F1F"/>
          <w:spacing w:val="40"/>
        </w:rPr>
        <w:t> </w:t>
      </w:r>
      <w:r>
        <w:rPr>
          <w:color w:val="231F1F"/>
        </w:rPr>
        <w:t>en</w:t>
      </w:r>
      <w:r>
        <w:rPr>
          <w:color w:val="231F1F"/>
          <w:spacing w:val="40"/>
        </w:rPr>
        <w:t> </w:t>
      </w:r>
      <w:r>
        <w:rPr>
          <w:color w:val="231F1F"/>
        </w:rPr>
        <w:t>agua.</w:t>
      </w:r>
    </w:p>
    <w:p>
      <w:pPr>
        <w:pStyle w:val="BodyText"/>
        <w:spacing w:line="254" w:lineRule="auto" w:before="107"/>
        <w:ind w:left="288" w:firstLine="453"/>
        <w:jc w:val="both"/>
      </w:pPr>
      <w:r>
        <w:rPr>
          <w:color w:val="231F1F"/>
          <w:w w:val="110"/>
        </w:rPr>
        <w:t>La RS encuentra que el uso de inmersión en agua en la primera etapa del</w:t>
      </w:r>
      <w:r>
        <w:rPr>
          <w:color w:val="231F1F"/>
          <w:w w:val="110"/>
        </w:rPr>
        <w:t> parto</w:t>
      </w:r>
      <w:r>
        <w:rPr>
          <w:color w:val="231F1F"/>
          <w:w w:val="110"/>
        </w:rPr>
        <w:t> reduce</w:t>
      </w:r>
      <w:r>
        <w:rPr>
          <w:color w:val="231F1F"/>
          <w:w w:val="110"/>
        </w:rPr>
        <w:t> el</w:t>
      </w:r>
      <w:r>
        <w:rPr>
          <w:color w:val="231F1F"/>
          <w:w w:val="110"/>
        </w:rPr>
        <w:t> uso</w:t>
      </w:r>
      <w:r>
        <w:rPr>
          <w:color w:val="231F1F"/>
          <w:w w:val="110"/>
        </w:rPr>
        <w:t> de</w:t>
      </w:r>
      <w:r>
        <w:rPr>
          <w:color w:val="231F1F"/>
          <w:w w:val="110"/>
        </w:rPr>
        <w:t> analgesia</w:t>
      </w:r>
      <w:r>
        <w:rPr>
          <w:color w:val="231F1F"/>
          <w:w w:val="110"/>
        </w:rPr>
        <w:t> regional,</w:t>
      </w:r>
      <w:r>
        <w:rPr>
          <w:color w:val="231F1F"/>
          <w:w w:val="110"/>
        </w:rPr>
        <w:t> OR</w:t>
      </w:r>
      <w:r>
        <w:rPr>
          <w:color w:val="231F1F"/>
          <w:w w:val="110"/>
        </w:rPr>
        <w:t> 0,84</w:t>
      </w:r>
      <w:r>
        <w:rPr>
          <w:color w:val="231F1F"/>
          <w:w w:val="110"/>
        </w:rPr>
        <w:t> [IC</w:t>
      </w:r>
      <w:r>
        <w:rPr>
          <w:color w:val="231F1F"/>
          <w:w w:val="110"/>
        </w:rPr>
        <w:t> 95%</w:t>
      </w:r>
      <w:r>
        <w:rPr>
          <w:color w:val="231F1F"/>
          <w:w w:val="110"/>
        </w:rPr>
        <w:t> 0,71</w:t>
      </w:r>
      <w:r>
        <w:rPr>
          <w:color w:val="231F1F"/>
          <w:w w:val="110"/>
        </w:rPr>
        <w:t> a </w:t>
      </w:r>
      <w:r>
        <w:rPr>
          <w:color w:val="231F1F"/>
          <w:spacing w:val="-2"/>
          <w:w w:val="110"/>
        </w:rPr>
        <w:t>0,99].</w:t>
      </w:r>
    </w:p>
    <w:p>
      <w:pPr>
        <w:pStyle w:val="BodyText"/>
        <w:spacing w:line="254" w:lineRule="auto" w:before="60"/>
        <w:ind w:left="288" w:right="38" w:firstLine="453"/>
        <w:jc w:val="both"/>
      </w:pPr>
      <w:r>
        <w:rPr>
          <w:color w:val="231F1F"/>
          <w:w w:val="105"/>
        </w:rPr>
        <w:t>Otro</w:t>
      </w:r>
      <w:r>
        <w:rPr>
          <w:color w:val="231F1F"/>
          <w:w w:val="105"/>
        </w:rPr>
        <w:t> ensayo</w:t>
      </w:r>
      <w:r>
        <w:rPr>
          <w:color w:val="231F1F"/>
          <w:w w:val="105"/>
        </w:rPr>
        <w:t> incluido</w:t>
      </w:r>
      <w:r>
        <w:rPr>
          <w:color w:val="231F1F"/>
          <w:w w:val="105"/>
        </w:rPr>
        <w:t> en</w:t>
      </w:r>
      <w:r>
        <w:rPr>
          <w:color w:val="231F1F"/>
          <w:w w:val="105"/>
        </w:rPr>
        <w:t> la</w:t>
      </w:r>
      <w:r>
        <w:rPr>
          <w:color w:val="231F1F"/>
          <w:w w:val="105"/>
        </w:rPr>
        <w:t> RS</w:t>
      </w:r>
      <w:r>
        <w:rPr>
          <w:color w:val="231F1F"/>
          <w:w w:val="105"/>
        </w:rPr>
        <w:t> encuentra</w:t>
      </w:r>
      <w:r>
        <w:rPr>
          <w:color w:val="231F1F"/>
          <w:w w:val="105"/>
        </w:rPr>
        <w:t> que</w:t>
      </w:r>
      <w:r>
        <w:rPr>
          <w:color w:val="231F1F"/>
          <w:w w:val="105"/>
        </w:rPr>
        <w:t> la</w:t>
      </w:r>
      <w:r>
        <w:rPr>
          <w:color w:val="231F1F"/>
          <w:w w:val="105"/>
        </w:rPr>
        <w:t> inmersión</w:t>
      </w:r>
      <w:r>
        <w:rPr>
          <w:color w:val="231F1F"/>
          <w:w w:val="105"/>
        </w:rPr>
        <w:t> en</w:t>
      </w:r>
      <w:r>
        <w:rPr>
          <w:color w:val="231F1F"/>
          <w:w w:val="105"/>
        </w:rPr>
        <w:t> agua</w:t>
      </w:r>
      <w:r>
        <w:rPr>
          <w:color w:val="231F1F"/>
          <w:w w:val="105"/>
        </w:rPr>
        <w:t> redu- ce el dolor, OR 0,23, [IC 95% 0,08 a 0,63].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line="278" w:lineRule="auto" w:before="1"/>
        <w:ind w:left="519" w:right="229"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64" w:space="40"/>
            <w:col w:w="1320"/>
          </w:cols>
        </w:sectPr>
      </w:pPr>
    </w:p>
    <w:p>
      <w:pPr>
        <w:pStyle w:val="BodyText"/>
        <w:tabs>
          <w:tab w:pos="8114" w:val="left" w:leader="none"/>
        </w:tabs>
        <w:spacing w:line="252" w:lineRule="auto" w:before="62"/>
        <w:ind w:left="283" w:right="364" w:firstLine="453"/>
      </w:pPr>
      <w:r>
        <w:rPr>
          <w:color w:val="231F1F"/>
          <w:w w:val="105"/>
        </w:rPr>
        <w:t>Existe</w:t>
      </w:r>
      <w:r>
        <w:rPr>
          <w:color w:val="231F1F"/>
          <w:spacing w:val="-15"/>
          <w:w w:val="105"/>
        </w:rPr>
        <w:t> </w:t>
      </w:r>
      <w:r>
        <w:rPr>
          <w:color w:val="231F1F"/>
          <w:w w:val="105"/>
        </w:rPr>
        <w:t>evidencia</w:t>
      </w:r>
      <w:r>
        <w:rPr>
          <w:color w:val="231F1F"/>
          <w:spacing w:val="-14"/>
          <w:w w:val="105"/>
        </w:rPr>
        <w:t> </w:t>
      </w:r>
      <w:r>
        <w:rPr>
          <w:color w:val="231F1F"/>
          <w:w w:val="105"/>
        </w:rPr>
        <w:t>de</w:t>
      </w:r>
      <w:r>
        <w:rPr>
          <w:color w:val="231F1F"/>
          <w:spacing w:val="-15"/>
          <w:w w:val="105"/>
        </w:rPr>
        <w:t> </w:t>
      </w:r>
      <w:r>
        <w:rPr>
          <w:color w:val="231F1F"/>
          <w:w w:val="105"/>
        </w:rPr>
        <w:t>que</w:t>
      </w:r>
      <w:r>
        <w:rPr>
          <w:color w:val="231F1F"/>
          <w:spacing w:val="-14"/>
          <w:w w:val="105"/>
        </w:rPr>
        <w:t> </w:t>
      </w:r>
      <w:r>
        <w:rPr>
          <w:color w:val="231F1F"/>
          <w:w w:val="105"/>
        </w:rPr>
        <w:t>no</w:t>
      </w:r>
      <w:r>
        <w:rPr>
          <w:color w:val="231F1F"/>
          <w:spacing w:val="-15"/>
          <w:w w:val="105"/>
        </w:rPr>
        <w:t> </w:t>
      </w:r>
      <w:r>
        <w:rPr>
          <w:color w:val="231F1F"/>
          <w:w w:val="105"/>
        </w:rPr>
        <w:t>hay</w:t>
      </w:r>
      <w:r>
        <w:rPr>
          <w:color w:val="231F1F"/>
          <w:spacing w:val="-14"/>
          <w:w w:val="105"/>
        </w:rPr>
        <w:t> </w:t>
      </w:r>
      <w:r>
        <w:rPr>
          <w:color w:val="231F1F"/>
          <w:w w:val="105"/>
        </w:rPr>
        <w:t>diferencias</w:t>
      </w:r>
      <w:r>
        <w:rPr>
          <w:color w:val="231F1F"/>
          <w:spacing w:val="-15"/>
          <w:w w:val="105"/>
        </w:rPr>
        <w:t> </w:t>
      </w:r>
      <w:r>
        <w:rPr>
          <w:color w:val="231F1F"/>
          <w:w w:val="105"/>
        </w:rPr>
        <w:t>significativas</w:t>
      </w:r>
      <w:r>
        <w:rPr>
          <w:color w:val="231F1F"/>
          <w:spacing w:val="-14"/>
          <w:w w:val="105"/>
        </w:rPr>
        <w:t> </w:t>
      </w:r>
      <w:r>
        <w:rPr>
          <w:color w:val="231F1F"/>
          <w:w w:val="105"/>
        </w:rPr>
        <w:t>en</w:t>
      </w:r>
      <w:r>
        <w:rPr>
          <w:color w:val="231F1F"/>
          <w:spacing w:val="-14"/>
          <w:w w:val="105"/>
        </w:rPr>
        <w:t> </w:t>
      </w:r>
      <w:r>
        <w:rPr>
          <w:color w:val="231F1F"/>
          <w:w w:val="105"/>
        </w:rPr>
        <w:t>los</w:t>
      </w:r>
      <w:r>
        <w:rPr>
          <w:color w:val="231F1F"/>
          <w:spacing w:val="-15"/>
          <w:w w:val="105"/>
        </w:rPr>
        <w:t> </w:t>
      </w:r>
      <w:r>
        <w:rPr>
          <w:color w:val="231F1F"/>
          <w:w w:val="105"/>
        </w:rPr>
        <w:t>resultados</w:t>
      </w:r>
      <w:r>
        <w:rPr>
          <w:color w:val="231F1F"/>
          <w:spacing w:val="-10"/>
          <w:w w:val="105"/>
        </w:rPr>
        <w:t> </w:t>
      </w:r>
      <w:r>
        <w:rPr>
          <w:rFonts w:ascii="Arial MT" w:hAnsi="Arial MT"/>
          <w:color w:val="231F1F"/>
          <w:w w:val="105"/>
          <w:sz w:val="18"/>
        </w:rPr>
        <w:t>RS</w:t>
      </w:r>
      <w:r>
        <w:rPr>
          <w:rFonts w:ascii="Arial MT" w:hAnsi="Arial MT"/>
          <w:color w:val="231F1F"/>
          <w:spacing w:val="-4"/>
          <w:w w:val="105"/>
          <w:sz w:val="18"/>
        </w:rPr>
        <w:t> </w:t>
      </w:r>
      <w:r>
        <w:rPr>
          <w:rFonts w:ascii="Arial MT" w:hAnsi="Arial MT"/>
          <w:color w:val="231F1F"/>
          <w:w w:val="105"/>
          <w:sz w:val="18"/>
        </w:rPr>
        <w:t>de</w:t>
      </w:r>
      <w:r>
        <w:rPr>
          <w:rFonts w:ascii="Arial MT" w:hAnsi="Arial MT"/>
          <w:color w:val="231F1F"/>
          <w:spacing w:val="-3"/>
          <w:w w:val="105"/>
          <w:sz w:val="18"/>
        </w:rPr>
        <w:t> </w:t>
      </w:r>
      <w:r>
        <w:rPr>
          <w:rFonts w:ascii="Arial MT" w:hAnsi="Arial MT"/>
          <w:color w:val="231F1F"/>
          <w:w w:val="105"/>
          <w:sz w:val="18"/>
        </w:rPr>
        <w:t>ECAs </w:t>
      </w:r>
      <w:r>
        <w:rPr>
          <w:color w:val="231F1F"/>
          <w:w w:val="105"/>
        </w:rPr>
        <w:t>adversos (tasas de parto vaginal instrumentado, tasa de cesáreas, trauma pe-</w:t>
      </w:r>
      <w:r>
        <w:rPr>
          <w:color w:val="231F1F"/>
        </w:rPr>
        <w:tab/>
      </w:r>
      <w:r>
        <w:rPr>
          <w:rFonts w:ascii="Arial MT" w:hAnsi="Arial MT"/>
          <w:color w:val="231F1F"/>
          <w:spacing w:val="-6"/>
          <w:w w:val="105"/>
          <w:position w:val="4"/>
          <w:sz w:val="18"/>
        </w:rPr>
        <w:t>1+ </w:t>
      </w:r>
      <w:r>
        <w:rPr>
          <w:color w:val="231F1F"/>
          <w:w w:val="105"/>
        </w:rPr>
        <w:t>rineal:</w:t>
      </w:r>
      <w:r>
        <w:rPr>
          <w:color w:val="231F1F"/>
          <w:spacing w:val="40"/>
          <w:w w:val="105"/>
        </w:rPr>
        <w:t> </w:t>
      </w:r>
      <w:r>
        <w:rPr>
          <w:color w:val="231F1F"/>
          <w:w w:val="105"/>
        </w:rPr>
        <w:t>episiotomía,</w:t>
      </w:r>
      <w:r>
        <w:rPr>
          <w:color w:val="231F1F"/>
          <w:spacing w:val="40"/>
          <w:w w:val="105"/>
        </w:rPr>
        <w:t> </w:t>
      </w:r>
      <w:r>
        <w:rPr>
          <w:color w:val="231F1F"/>
          <w:w w:val="105"/>
        </w:rPr>
        <w:t>desgarro</w:t>
      </w:r>
      <w:r>
        <w:rPr>
          <w:color w:val="231F1F"/>
          <w:spacing w:val="40"/>
          <w:w w:val="105"/>
        </w:rPr>
        <w:t> </w:t>
      </w:r>
      <w:r>
        <w:rPr>
          <w:color w:val="231F1F"/>
          <w:w w:val="105"/>
        </w:rPr>
        <w:t>de</w:t>
      </w:r>
      <w:r>
        <w:rPr>
          <w:color w:val="231F1F"/>
          <w:spacing w:val="40"/>
          <w:w w:val="105"/>
        </w:rPr>
        <w:t> </w:t>
      </w:r>
      <w:r>
        <w:rPr>
          <w:color w:val="231F1F"/>
          <w:w w:val="105"/>
        </w:rPr>
        <w:t>segundo</w:t>
      </w:r>
      <w:r>
        <w:rPr>
          <w:color w:val="231F1F"/>
          <w:spacing w:val="40"/>
          <w:w w:val="105"/>
        </w:rPr>
        <w:t> </w:t>
      </w:r>
      <w:r>
        <w:rPr>
          <w:color w:val="231F1F"/>
          <w:w w:val="105"/>
        </w:rPr>
        <w:t>grado</w:t>
      </w:r>
      <w:r>
        <w:rPr>
          <w:color w:val="231F1F"/>
          <w:spacing w:val="40"/>
          <w:w w:val="105"/>
        </w:rPr>
        <w:t> </w:t>
      </w:r>
      <w:r>
        <w:rPr>
          <w:color w:val="231F1F"/>
          <w:w w:val="105"/>
        </w:rPr>
        <w:t>o</w:t>
      </w:r>
      <w:r>
        <w:rPr>
          <w:color w:val="231F1F"/>
          <w:spacing w:val="40"/>
          <w:w w:val="105"/>
        </w:rPr>
        <w:t> </w:t>
      </w:r>
      <w:r>
        <w:rPr>
          <w:color w:val="231F1F"/>
          <w:w w:val="105"/>
        </w:rPr>
        <w:t>de</w:t>
      </w:r>
      <w:r>
        <w:rPr>
          <w:color w:val="231F1F"/>
          <w:spacing w:val="40"/>
          <w:w w:val="105"/>
        </w:rPr>
        <w:t> </w:t>
      </w:r>
      <w:r>
        <w:rPr>
          <w:color w:val="231F1F"/>
          <w:w w:val="105"/>
        </w:rPr>
        <w:t>tercer/cuarto</w:t>
      </w:r>
      <w:r>
        <w:rPr>
          <w:color w:val="231F1F"/>
          <w:spacing w:val="40"/>
          <w:w w:val="105"/>
        </w:rPr>
        <w:t> </w:t>
      </w:r>
      <w:r>
        <w:rPr>
          <w:color w:val="231F1F"/>
          <w:w w:val="105"/>
        </w:rPr>
        <w:t>grado,</w:t>
      </w:r>
      <w:r>
        <w:rPr>
          <w:color w:val="231F1F"/>
          <w:spacing w:val="40"/>
          <w:w w:val="105"/>
        </w:rPr>
        <w:t> </w:t>
      </w:r>
      <w:r>
        <w:rPr>
          <w:color w:val="231F1F"/>
          <w:w w:val="105"/>
        </w:rPr>
        <w:t>nú-</w:t>
      </w:r>
    </w:p>
    <w:p>
      <w:pPr>
        <w:pStyle w:val="BodyText"/>
        <w:spacing w:line="244" w:lineRule="auto"/>
        <w:ind w:left="283" w:right="1373"/>
        <w:jc w:val="both"/>
      </w:pPr>
      <w:r>
        <w:rPr>
          <w:color w:val="231F1F"/>
          <w:w w:val="110"/>
        </w:rPr>
        <w:t>mero</w:t>
      </w:r>
      <w:r>
        <w:rPr>
          <w:color w:val="231F1F"/>
          <w:spacing w:val="-7"/>
          <w:w w:val="110"/>
        </w:rPr>
        <w:t> </w:t>
      </w:r>
      <w:r>
        <w:rPr>
          <w:color w:val="231F1F"/>
          <w:w w:val="110"/>
        </w:rPr>
        <w:t>de</w:t>
      </w:r>
      <w:r>
        <w:rPr>
          <w:color w:val="231F1F"/>
          <w:spacing w:val="-8"/>
          <w:w w:val="110"/>
        </w:rPr>
        <w:t> </w:t>
      </w:r>
      <w:r>
        <w:rPr>
          <w:color w:val="231F1F"/>
          <w:w w:val="110"/>
        </w:rPr>
        <w:t>recién</w:t>
      </w:r>
      <w:r>
        <w:rPr>
          <w:color w:val="231F1F"/>
          <w:spacing w:val="-7"/>
          <w:w w:val="110"/>
        </w:rPr>
        <w:t> </w:t>
      </w:r>
      <w:r>
        <w:rPr>
          <w:color w:val="231F1F"/>
          <w:w w:val="110"/>
        </w:rPr>
        <w:t>nacidos</w:t>
      </w:r>
      <w:r>
        <w:rPr>
          <w:color w:val="231F1F"/>
          <w:spacing w:val="-8"/>
          <w:w w:val="110"/>
        </w:rPr>
        <w:t> </w:t>
      </w:r>
      <w:r>
        <w:rPr>
          <w:color w:val="231F1F"/>
          <w:w w:val="110"/>
        </w:rPr>
        <w:t>con</w:t>
      </w:r>
      <w:r>
        <w:rPr>
          <w:color w:val="231F1F"/>
          <w:spacing w:val="-7"/>
          <w:w w:val="110"/>
        </w:rPr>
        <w:t> </w:t>
      </w:r>
      <w:r>
        <w:rPr>
          <w:color w:val="231F1F"/>
          <w:w w:val="110"/>
        </w:rPr>
        <w:t>un</w:t>
      </w:r>
      <w:r>
        <w:rPr>
          <w:color w:val="231F1F"/>
          <w:spacing w:val="-7"/>
          <w:w w:val="110"/>
        </w:rPr>
        <w:t> </w:t>
      </w:r>
      <w:r>
        <w:rPr>
          <w:color w:val="231F1F"/>
          <w:w w:val="110"/>
        </w:rPr>
        <w:t>Apgar</w:t>
      </w:r>
      <w:r>
        <w:rPr>
          <w:color w:val="231F1F"/>
          <w:spacing w:val="-8"/>
          <w:w w:val="110"/>
        </w:rPr>
        <w:t> </w:t>
      </w:r>
      <w:r>
        <w:rPr>
          <w:color w:val="231F1F"/>
          <w:w w:val="110"/>
        </w:rPr>
        <w:t>menor</w:t>
      </w:r>
      <w:r>
        <w:rPr>
          <w:color w:val="231F1F"/>
          <w:spacing w:val="-8"/>
          <w:w w:val="110"/>
        </w:rPr>
        <w:t> </w:t>
      </w:r>
      <w:r>
        <w:rPr>
          <w:color w:val="231F1F"/>
          <w:w w:val="110"/>
        </w:rPr>
        <w:t>de</w:t>
      </w:r>
      <w:r>
        <w:rPr>
          <w:color w:val="231F1F"/>
          <w:spacing w:val="-8"/>
          <w:w w:val="110"/>
        </w:rPr>
        <w:t> </w:t>
      </w:r>
      <w:r>
        <w:rPr>
          <w:color w:val="231F1F"/>
          <w:w w:val="110"/>
        </w:rPr>
        <w:t>7</w:t>
      </w:r>
      <w:r>
        <w:rPr>
          <w:color w:val="231F1F"/>
          <w:spacing w:val="-7"/>
          <w:w w:val="110"/>
        </w:rPr>
        <w:t> </w:t>
      </w:r>
      <w:r>
        <w:rPr>
          <w:color w:val="231F1F"/>
          <w:w w:val="110"/>
        </w:rPr>
        <w:t>a</w:t>
      </w:r>
      <w:r>
        <w:rPr>
          <w:color w:val="231F1F"/>
          <w:spacing w:val="-8"/>
          <w:w w:val="110"/>
        </w:rPr>
        <w:t> </w:t>
      </w:r>
      <w:r>
        <w:rPr>
          <w:color w:val="231F1F"/>
          <w:w w:val="110"/>
        </w:rPr>
        <w:t>los</w:t>
      </w:r>
      <w:r>
        <w:rPr>
          <w:color w:val="231F1F"/>
          <w:spacing w:val="-8"/>
          <w:w w:val="110"/>
        </w:rPr>
        <w:t> </w:t>
      </w:r>
      <w:r>
        <w:rPr>
          <w:color w:val="231F1F"/>
          <w:w w:val="110"/>
        </w:rPr>
        <w:t>5</w:t>
      </w:r>
      <w:r>
        <w:rPr>
          <w:color w:val="231F1F"/>
          <w:spacing w:val="-7"/>
          <w:w w:val="110"/>
        </w:rPr>
        <w:t> </w:t>
      </w:r>
      <w:r>
        <w:rPr>
          <w:color w:val="231F1F"/>
          <w:w w:val="110"/>
        </w:rPr>
        <w:t>minutos</w:t>
      </w:r>
      <w:r>
        <w:rPr>
          <w:color w:val="231F1F"/>
          <w:spacing w:val="-8"/>
          <w:w w:val="110"/>
        </w:rPr>
        <w:t> </w:t>
      </w:r>
      <w:r>
        <w:rPr>
          <w:color w:val="231F1F"/>
          <w:w w:val="110"/>
        </w:rPr>
        <w:t>e</w:t>
      </w:r>
      <w:r>
        <w:rPr>
          <w:color w:val="231F1F"/>
          <w:spacing w:val="-8"/>
          <w:w w:val="110"/>
        </w:rPr>
        <w:t> </w:t>
      </w:r>
      <w:r>
        <w:rPr>
          <w:color w:val="231F1F"/>
          <w:w w:val="110"/>
        </w:rPr>
        <w:t>ingresos en</w:t>
      </w:r>
      <w:r>
        <w:rPr>
          <w:color w:val="231F1F"/>
          <w:spacing w:val="-16"/>
          <w:w w:val="110"/>
        </w:rPr>
        <w:t> </w:t>
      </w:r>
      <w:r>
        <w:rPr>
          <w:color w:val="231F1F"/>
          <w:w w:val="110"/>
        </w:rPr>
        <w:t>la</w:t>
      </w:r>
      <w:r>
        <w:rPr>
          <w:color w:val="231F1F"/>
          <w:spacing w:val="-15"/>
          <w:w w:val="110"/>
        </w:rPr>
        <w:t> </w:t>
      </w:r>
      <w:r>
        <w:rPr>
          <w:color w:val="231F1F"/>
          <w:w w:val="110"/>
        </w:rPr>
        <w:t>unidad</w:t>
      </w:r>
      <w:r>
        <w:rPr>
          <w:color w:val="231F1F"/>
          <w:spacing w:val="-15"/>
          <w:w w:val="110"/>
        </w:rPr>
        <w:t> </w:t>
      </w:r>
      <w:r>
        <w:rPr>
          <w:color w:val="231F1F"/>
          <w:w w:val="110"/>
        </w:rPr>
        <w:t>neonatal)</w:t>
      </w:r>
      <w:r>
        <w:rPr>
          <w:color w:val="231F1F"/>
          <w:spacing w:val="-15"/>
          <w:w w:val="110"/>
        </w:rPr>
        <w:t> </w:t>
      </w:r>
      <w:r>
        <w:rPr>
          <w:color w:val="231F1F"/>
          <w:w w:val="110"/>
        </w:rPr>
        <w:t>cuando</w:t>
      </w:r>
      <w:r>
        <w:rPr>
          <w:color w:val="231F1F"/>
          <w:spacing w:val="-15"/>
          <w:w w:val="110"/>
        </w:rPr>
        <w:t> </w:t>
      </w:r>
      <w:r>
        <w:rPr>
          <w:color w:val="231F1F"/>
          <w:w w:val="110"/>
        </w:rPr>
        <w:t>se</w:t>
      </w:r>
      <w:r>
        <w:rPr>
          <w:color w:val="231F1F"/>
          <w:spacing w:val="-15"/>
          <w:w w:val="110"/>
        </w:rPr>
        <w:t> </w:t>
      </w:r>
      <w:r>
        <w:rPr>
          <w:color w:val="231F1F"/>
          <w:w w:val="110"/>
        </w:rPr>
        <w:t>utiliza</w:t>
      </w:r>
      <w:r>
        <w:rPr>
          <w:color w:val="231F1F"/>
          <w:spacing w:val="-15"/>
          <w:w w:val="110"/>
        </w:rPr>
        <w:t> </w:t>
      </w:r>
      <w:r>
        <w:rPr>
          <w:color w:val="231F1F"/>
          <w:w w:val="110"/>
        </w:rPr>
        <w:t>o</w:t>
      </w:r>
      <w:r>
        <w:rPr>
          <w:color w:val="231F1F"/>
          <w:spacing w:val="-15"/>
          <w:w w:val="110"/>
        </w:rPr>
        <w:t> </w:t>
      </w:r>
      <w:r>
        <w:rPr>
          <w:color w:val="231F1F"/>
          <w:w w:val="110"/>
        </w:rPr>
        <w:t>no</w:t>
      </w:r>
      <w:r>
        <w:rPr>
          <w:color w:val="231F1F"/>
          <w:spacing w:val="-16"/>
          <w:w w:val="110"/>
        </w:rPr>
        <w:t> </w:t>
      </w:r>
      <w:r>
        <w:rPr>
          <w:color w:val="231F1F"/>
          <w:w w:val="110"/>
        </w:rPr>
        <w:t>la</w:t>
      </w:r>
      <w:r>
        <w:rPr>
          <w:color w:val="231F1F"/>
          <w:spacing w:val="-15"/>
          <w:w w:val="110"/>
        </w:rPr>
        <w:t> </w:t>
      </w:r>
      <w:r>
        <w:rPr>
          <w:color w:val="231F1F"/>
          <w:w w:val="110"/>
        </w:rPr>
        <w:t>inmersión</w:t>
      </w:r>
      <w:r>
        <w:rPr>
          <w:color w:val="231F1F"/>
          <w:spacing w:val="-15"/>
          <w:w w:val="110"/>
        </w:rPr>
        <w:t> </w:t>
      </w:r>
      <w:r>
        <w:rPr>
          <w:color w:val="231F1F"/>
          <w:w w:val="110"/>
        </w:rPr>
        <w:t>en</w:t>
      </w:r>
      <w:r>
        <w:rPr>
          <w:color w:val="231F1F"/>
          <w:spacing w:val="-15"/>
          <w:w w:val="110"/>
        </w:rPr>
        <w:t> </w:t>
      </w:r>
      <w:r>
        <w:rPr>
          <w:color w:val="231F1F"/>
          <w:w w:val="110"/>
        </w:rPr>
        <w:t>agua,</w:t>
      </w:r>
      <w:r>
        <w:rPr>
          <w:color w:val="231F1F"/>
          <w:spacing w:val="-15"/>
          <w:w w:val="110"/>
        </w:rPr>
        <w:t> </w:t>
      </w:r>
      <w:r>
        <w:rPr>
          <w:color w:val="231F1F"/>
          <w:w w:val="110"/>
        </w:rPr>
        <w:t>ni</w:t>
      </w:r>
      <w:r>
        <w:rPr>
          <w:color w:val="231F1F"/>
          <w:spacing w:val="-15"/>
          <w:w w:val="110"/>
        </w:rPr>
        <w:t> </w:t>
      </w:r>
      <w:r>
        <w:rPr>
          <w:color w:val="231F1F"/>
          <w:w w:val="110"/>
        </w:rPr>
        <w:t>tampo- co en la duración del parto.</w:t>
      </w:r>
    </w:p>
    <w:p>
      <w:pPr>
        <w:pStyle w:val="BodyText"/>
        <w:tabs>
          <w:tab w:pos="8036" w:val="left" w:leader="none"/>
          <w:tab w:pos="8114" w:val="left" w:leader="none"/>
        </w:tabs>
        <w:spacing w:line="256" w:lineRule="auto" w:before="91"/>
        <w:ind w:left="283" w:right="524" w:firstLine="453"/>
      </w:pPr>
      <w:r>
        <w:rPr>
          <w:color w:val="231F1F"/>
          <w:w w:val="110"/>
        </w:rPr>
        <w:t>En relación con el momento de la inmersión en agua, un estudio piloto</w:t>
      </w:r>
      <w:r>
        <w:rPr>
          <w:color w:val="231F1F"/>
        </w:rPr>
        <w:tab/>
      </w:r>
      <w:r>
        <w:rPr>
          <w:rFonts w:ascii="Arial MT" w:hAnsi="Arial MT"/>
          <w:color w:val="231F1F"/>
          <w:spacing w:val="-12"/>
          <w:w w:val="105"/>
          <w:sz w:val="18"/>
        </w:rPr>
        <w:t>ECA </w:t>
      </w:r>
      <w:r>
        <w:rPr>
          <w:color w:val="231F1F"/>
          <w:w w:val="110"/>
        </w:rPr>
        <w:t>aleatorizado (284) realizado a 200 mujeres incluido en la RS comparaba la</w:t>
      </w:r>
      <w:r>
        <w:rPr>
          <w:color w:val="231F1F"/>
        </w:rPr>
        <w:tab/>
        <w:tab/>
      </w:r>
      <w:r>
        <w:rPr>
          <w:rFonts w:ascii="Arial MT" w:hAnsi="Arial MT"/>
          <w:color w:val="231F1F"/>
          <w:spacing w:val="-6"/>
          <w:w w:val="110"/>
          <w:position w:val="4"/>
          <w:sz w:val="18"/>
        </w:rPr>
        <w:t>1+ </w:t>
      </w:r>
      <w:r>
        <w:rPr>
          <w:color w:val="231F1F"/>
          <w:w w:val="110"/>
        </w:rPr>
        <w:t>inmersión temprana (&lt;5 cm de dilatación) frente a la tardía (&gt;5cm) durante</w:t>
      </w:r>
    </w:p>
    <w:p>
      <w:pPr>
        <w:pStyle w:val="BodyText"/>
        <w:spacing w:line="244" w:lineRule="auto"/>
        <w:ind w:left="283" w:right="1364"/>
        <w:jc w:val="both"/>
      </w:pPr>
      <w:r>
        <w:rPr>
          <w:color w:val="231F1F"/>
          <w:w w:val="105"/>
        </w:rPr>
        <w:t>la</w:t>
      </w:r>
      <w:r>
        <w:rPr>
          <w:color w:val="231F1F"/>
          <w:w w:val="105"/>
        </w:rPr>
        <w:t> primera</w:t>
      </w:r>
      <w:r>
        <w:rPr>
          <w:color w:val="231F1F"/>
          <w:w w:val="105"/>
        </w:rPr>
        <w:t> etapa</w:t>
      </w:r>
      <w:r>
        <w:rPr>
          <w:color w:val="231F1F"/>
          <w:w w:val="105"/>
        </w:rPr>
        <w:t> del</w:t>
      </w:r>
      <w:r>
        <w:rPr>
          <w:color w:val="231F1F"/>
          <w:w w:val="105"/>
        </w:rPr>
        <w:t> parto.</w:t>
      </w:r>
      <w:r>
        <w:rPr>
          <w:color w:val="231F1F"/>
          <w:w w:val="105"/>
        </w:rPr>
        <w:t> En</w:t>
      </w:r>
      <w:r>
        <w:rPr>
          <w:color w:val="231F1F"/>
          <w:w w:val="105"/>
        </w:rPr>
        <w:t> el</w:t>
      </w:r>
      <w:r>
        <w:rPr>
          <w:color w:val="231F1F"/>
          <w:w w:val="105"/>
        </w:rPr>
        <w:t> grupo</w:t>
      </w:r>
      <w:r>
        <w:rPr>
          <w:color w:val="231F1F"/>
          <w:w w:val="105"/>
        </w:rPr>
        <w:t> de</w:t>
      </w:r>
      <w:r>
        <w:rPr>
          <w:color w:val="231F1F"/>
          <w:w w:val="105"/>
        </w:rPr>
        <w:t> inmersión</w:t>
      </w:r>
      <w:r>
        <w:rPr>
          <w:color w:val="231F1F"/>
          <w:w w:val="105"/>
        </w:rPr>
        <w:t> temprana</w:t>
      </w:r>
      <w:r>
        <w:rPr>
          <w:color w:val="231F1F"/>
          <w:w w:val="105"/>
        </w:rPr>
        <w:t> en</w:t>
      </w:r>
      <w:r>
        <w:rPr>
          <w:color w:val="231F1F"/>
          <w:w w:val="105"/>
        </w:rPr>
        <w:t> agua</w:t>
      </w:r>
      <w:r>
        <w:rPr>
          <w:color w:val="231F1F"/>
          <w:w w:val="105"/>
        </w:rPr>
        <w:t> se observó</w:t>
      </w:r>
      <w:r>
        <w:rPr>
          <w:color w:val="231F1F"/>
          <w:w w:val="105"/>
        </w:rPr>
        <w:t> una</w:t>
      </w:r>
      <w:r>
        <w:rPr>
          <w:color w:val="231F1F"/>
          <w:w w:val="105"/>
        </w:rPr>
        <w:t> tasa</w:t>
      </w:r>
      <w:r>
        <w:rPr>
          <w:color w:val="231F1F"/>
          <w:w w:val="105"/>
        </w:rPr>
        <w:t> de</w:t>
      </w:r>
      <w:r>
        <w:rPr>
          <w:color w:val="231F1F"/>
          <w:w w:val="105"/>
        </w:rPr>
        <w:t> uso</w:t>
      </w:r>
      <w:r>
        <w:rPr>
          <w:color w:val="231F1F"/>
          <w:w w:val="105"/>
        </w:rPr>
        <w:t> de</w:t>
      </w:r>
      <w:r>
        <w:rPr>
          <w:color w:val="231F1F"/>
          <w:w w:val="105"/>
        </w:rPr>
        <w:t> analgesia</w:t>
      </w:r>
      <w:r>
        <w:rPr>
          <w:color w:val="231F1F"/>
          <w:w w:val="105"/>
        </w:rPr>
        <w:t> epidural</w:t>
      </w:r>
      <w:r>
        <w:rPr>
          <w:color w:val="231F1F"/>
          <w:w w:val="105"/>
        </w:rPr>
        <w:t> significativamente</w:t>
      </w:r>
      <w:r>
        <w:rPr>
          <w:color w:val="231F1F"/>
          <w:w w:val="105"/>
        </w:rPr>
        <w:t> mayor</w:t>
      </w:r>
      <w:r>
        <w:rPr>
          <w:color w:val="231F1F"/>
          <w:w w:val="105"/>
        </w:rPr>
        <w:t> OR 3,09</w:t>
      </w:r>
      <w:r>
        <w:rPr>
          <w:color w:val="231F1F"/>
          <w:spacing w:val="-2"/>
          <w:w w:val="105"/>
        </w:rPr>
        <w:t> </w:t>
      </w:r>
      <w:r>
        <w:rPr>
          <w:color w:val="231F1F"/>
          <w:w w:val="105"/>
        </w:rPr>
        <w:t>[IC</w:t>
      </w:r>
      <w:r>
        <w:rPr>
          <w:color w:val="231F1F"/>
          <w:spacing w:val="-1"/>
          <w:w w:val="105"/>
        </w:rPr>
        <w:t> </w:t>
      </w:r>
      <w:r>
        <w:rPr>
          <w:color w:val="231F1F"/>
          <w:w w:val="105"/>
        </w:rPr>
        <w:t>95%</w:t>
      </w:r>
      <w:r>
        <w:rPr>
          <w:color w:val="231F1F"/>
          <w:spacing w:val="-1"/>
          <w:w w:val="105"/>
        </w:rPr>
        <w:t> </w:t>
      </w:r>
      <w:r>
        <w:rPr>
          <w:color w:val="231F1F"/>
          <w:w w:val="105"/>
        </w:rPr>
        <w:t>1,63</w:t>
      </w:r>
      <w:r>
        <w:rPr>
          <w:color w:val="231F1F"/>
          <w:spacing w:val="-2"/>
          <w:w w:val="105"/>
        </w:rPr>
        <w:t> </w:t>
      </w:r>
      <w:r>
        <w:rPr>
          <w:color w:val="231F1F"/>
          <w:w w:val="105"/>
        </w:rPr>
        <w:t>a</w:t>
      </w:r>
      <w:r>
        <w:rPr>
          <w:color w:val="231F1F"/>
          <w:spacing w:val="-1"/>
          <w:w w:val="105"/>
        </w:rPr>
        <w:t> </w:t>
      </w:r>
      <w:r>
        <w:rPr>
          <w:color w:val="231F1F"/>
          <w:w w:val="105"/>
        </w:rPr>
        <w:t>5,84]</w:t>
      </w:r>
      <w:r>
        <w:rPr>
          <w:color w:val="231F1F"/>
          <w:spacing w:val="-1"/>
          <w:w w:val="105"/>
        </w:rPr>
        <w:t> </w:t>
      </w:r>
      <w:r>
        <w:rPr>
          <w:color w:val="231F1F"/>
          <w:w w:val="105"/>
        </w:rPr>
        <w:t>y un</w:t>
      </w:r>
      <w:r>
        <w:rPr>
          <w:color w:val="231F1F"/>
          <w:spacing w:val="-1"/>
          <w:w w:val="105"/>
        </w:rPr>
        <w:t> </w:t>
      </w:r>
      <w:r>
        <w:rPr>
          <w:color w:val="231F1F"/>
          <w:w w:val="105"/>
        </w:rPr>
        <w:t>mayor uso</w:t>
      </w:r>
      <w:r>
        <w:rPr>
          <w:color w:val="231F1F"/>
          <w:spacing w:val="-1"/>
          <w:w w:val="105"/>
        </w:rPr>
        <w:t> </w:t>
      </w:r>
      <w:r>
        <w:rPr>
          <w:color w:val="231F1F"/>
          <w:w w:val="105"/>
        </w:rPr>
        <w:t>de</w:t>
      </w:r>
      <w:r>
        <w:rPr>
          <w:color w:val="231F1F"/>
          <w:spacing w:val="-2"/>
          <w:w w:val="105"/>
        </w:rPr>
        <w:t> </w:t>
      </w:r>
      <w:r>
        <w:rPr>
          <w:color w:val="231F1F"/>
          <w:w w:val="105"/>
        </w:rPr>
        <w:t>oxitocina</w:t>
      </w:r>
      <w:r>
        <w:rPr>
          <w:color w:val="231F1F"/>
          <w:spacing w:val="-3"/>
          <w:w w:val="105"/>
        </w:rPr>
        <w:t> </w:t>
      </w:r>
      <w:r>
        <w:rPr>
          <w:color w:val="231F1F"/>
          <w:w w:val="105"/>
        </w:rPr>
        <w:t>OR 3,09</w:t>
      </w:r>
      <w:r>
        <w:rPr>
          <w:color w:val="231F1F"/>
          <w:spacing w:val="-1"/>
          <w:w w:val="105"/>
        </w:rPr>
        <w:t> </w:t>
      </w:r>
      <w:r>
        <w:rPr>
          <w:color w:val="231F1F"/>
          <w:w w:val="105"/>
        </w:rPr>
        <w:t>[IC</w:t>
      </w:r>
      <w:r>
        <w:rPr>
          <w:color w:val="231F1F"/>
          <w:spacing w:val="-1"/>
          <w:w w:val="105"/>
        </w:rPr>
        <w:t> </w:t>
      </w:r>
      <w:r>
        <w:rPr>
          <w:color w:val="231F1F"/>
          <w:w w:val="105"/>
        </w:rPr>
        <w:t>95% 1,73</w:t>
      </w:r>
    </w:p>
    <w:p>
      <w:pPr>
        <w:pStyle w:val="BodyText"/>
        <w:ind w:left="283"/>
        <w:jc w:val="both"/>
      </w:pPr>
      <w:r>
        <w:rPr>
          <w:color w:val="231F1F"/>
          <w:w w:val="105"/>
        </w:rPr>
        <w:t>a</w:t>
      </w:r>
      <w:r>
        <w:rPr>
          <w:color w:val="231F1F"/>
          <w:spacing w:val="2"/>
          <w:w w:val="105"/>
        </w:rPr>
        <w:t> </w:t>
      </w:r>
      <w:r>
        <w:rPr>
          <w:color w:val="231F1F"/>
          <w:spacing w:val="-2"/>
          <w:w w:val="105"/>
        </w:rPr>
        <w:t>5,54].</w:t>
      </w:r>
    </w:p>
    <w:p>
      <w:pPr>
        <w:pStyle w:val="BodyText"/>
        <w:spacing w:before="93"/>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23"/>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4"/>
          <w:sz w:val="24"/>
        </w:rPr>
        <w:t> </w:t>
      </w:r>
      <w:r>
        <w:rPr>
          <w:rFonts w:ascii="Arial MT" w:hAnsi="Arial MT"/>
          <w:color w:val="231F1F"/>
          <w:sz w:val="24"/>
        </w:rPr>
        <w:t>octubre</w:t>
      </w:r>
      <w:r>
        <w:rPr>
          <w:rFonts w:ascii="Arial MT" w:hAnsi="Arial MT"/>
          <w:color w:val="231F1F"/>
          <w:spacing w:val="23"/>
          <w:sz w:val="24"/>
        </w:rPr>
        <w:t> </w:t>
      </w:r>
      <w:r>
        <w:rPr>
          <w:rFonts w:ascii="Arial MT" w:hAnsi="Arial MT"/>
          <w:color w:val="231F1F"/>
          <w:spacing w:val="-2"/>
          <w:sz w:val="24"/>
        </w:rPr>
        <w:t>2008)</w:t>
      </w:r>
    </w:p>
    <w:p>
      <w:pPr>
        <w:pStyle w:val="BodyText"/>
        <w:spacing w:line="249" w:lineRule="auto" w:before="210"/>
        <w:ind w:left="283" w:right="1369"/>
        <w:jc w:val="both"/>
      </w:pPr>
      <w:r>
        <w:rPr>
          <w:color w:val="231F1F"/>
          <w:w w:val="105"/>
        </w:rPr>
        <w:t>No se han encontrado nuevos estudios que cumplan los criterios de inclusión</w:t>
      </w:r>
      <w:r>
        <w:rPr>
          <w:color w:val="231F1F"/>
          <w:spacing w:val="40"/>
          <w:w w:val="105"/>
        </w:rPr>
        <w:t> </w:t>
      </w:r>
      <w:r>
        <w:rPr>
          <w:color w:val="231F1F"/>
          <w:w w:val="105"/>
        </w:rPr>
        <w:t>y que aporten evidencias de calidad sobre la inmersión en agua como método de alivio del dolor del parto.</w:t>
      </w:r>
    </w:p>
    <w:p>
      <w:pPr>
        <w:pStyle w:val="BodyText"/>
        <w:spacing w:before="157"/>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before="49"/>
              <w:ind w:right="156"/>
              <w:rPr>
                <w:sz w:val="22"/>
              </w:rPr>
            </w:pPr>
            <w:r>
              <w:rPr>
                <w:color w:val="231F1F"/>
                <w:w w:val="110"/>
                <w:sz w:val="22"/>
              </w:rPr>
              <w:t>El</w:t>
            </w:r>
            <w:r>
              <w:rPr>
                <w:color w:val="231F1F"/>
                <w:spacing w:val="-16"/>
                <w:w w:val="110"/>
                <w:sz w:val="22"/>
              </w:rPr>
              <w:t> </w:t>
            </w:r>
            <w:r>
              <w:rPr>
                <w:color w:val="231F1F"/>
                <w:w w:val="110"/>
                <w:sz w:val="22"/>
              </w:rPr>
              <w:t>uso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inmersión</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agua</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primera</w:t>
            </w:r>
            <w:r>
              <w:rPr>
                <w:color w:val="231F1F"/>
                <w:spacing w:val="-16"/>
                <w:w w:val="110"/>
                <w:sz w:val="22"/>
              </w:rPr>
              <w:t> </w:t>
            </w:r>
            <w:r>
              <w:rPr>
                <w:color w:val="231F1F"/>
                <w:w w:val="110"/>
                <w:sz w:val="22"/>
              </w:rPr>
              <w:t>etapa</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reduce</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dolor</w:t>
            </w:r>
            <w:r>
              <w:rPr>
                <w:color w:val="231F1F"/>
                <w:spacing w:val="-15"/>
                <w:w w:val="110"/>
                <w:sz w:val="22"/>
              </w:rPr>
              <w:t> </w:t>
            </w:r>
            <w:r>
              <w:rPr>
                <w:color w:val="231F1F"/>
                <w:w w:val="110"/>
                <w:sz w:val="22"/>
              </w:rPr>
              <w:t>y el uso de analgesia regional (282).</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686" w:hRule="atLeast"/>
        </w:trPr>
        <w:tc>
          <w:tcPr>
            <w:tcW w:w="7373" w:type="dxa"/>
          </w:tcPr>
          <w:p>
            <w:pPr>
              <w:pStyle w:val="TableParagraph"/>
              <w:spacing w:before="49"/>
              <w:ind w:right="156"/>
              <w:rPr>
                <w:sz w:val="22"/>
              </w:rPr>
            </w:pPr>
            <w:r>
              <w:rPr>
                <w:color w:val="231F1F"/>
                <w:w w:val="110"/>
                <w:sz w:val="22"/>
              </w:rPr>
              <w:t>La</w:t>
            </w:r>
            <w:r>
              <w:rPr>
                <w:color w:val="231F1F"/>
                <w:spacing w:val="-11"/>
                <w:w w:val="110"/>
                <w:sz w:val="22"/>
              </w:rPr>
              <w:t> </w:t>
            </w:r>
            <w:r>
              <w:rPr>
                <w:color w:val="231F1F"/>
                <w:w w:val="110"/>
                <w:sz w:val="22"/>
              </w:rPr>
              <w:t>inmersión</w:t>
            </w:r>
            <w:r>
              <w:rPr>
                <w:color w:val="231F1F"/>
                <w:spacing w:val="-11"/>
                <w:w w:val="110"/>
                <w:sz w:val="22"/>
              </w:rPr>
              <w:t> </w:t>
            </w:r>
            <w:r>
              <w:rPr>
                <w:color w:val="231F1F"/>
                <w:w w:val="110"/>
                <w:sz w:val="22"/>
              </w:rPr>
              <w:t>temprana</w:t>
            </w:r>
            <w:r>
              <w:rPr>
                <w:color w:val="231F1F"/>
                <w:spacing w:val="-11"/>
                <w:w w:val="110"/>
                <w:sz w:val="22"/>
              </w:rPr>
              <w:t> </w:t>
            </w:r>
            <w:r>
              <w:rPr>
                <w:color w:val="231F1F"/>
                <w:w w:val="110"/>
                <w:sz w:val="22"/>
              </w:rPr>
              <w:t>en</w:t>
            </w:r>
            <w:r>
              <w:rPr>
                <w:color w:val="231F1F"/>
                <w:spacing w:val="-11"/>
                <w:w w:val="110"/>
                <w:sz w:val="22"/>
              </w:rPr>
              <w:t> </w:t>
            </w:r>
            <w:r>
              <w:rPr>
                <w:color w:val="231F1F"/>
                <w:w w:val="110"/>
                <w:sz w:val="22"/>
              </w:rPr>
              <w:t>agua</w:t>
            </w:r>
            <w:r>
              <w:rPr>
                <w:color w:val="231F1F"/>
                <w:spacing w:val="-11"/>
                <w:w w:val="110"/>
                <w:sz w:val="22"/>
              </w:rPr>
              <w:t> </w:t>
            </w:r>
            <w:r>
              <w:rPr>
                <w:color w:val="231F1F"/>
                <w:w w:val="110"/>
                <w:sz w:val="22"/>
              </w:rPr>
              <w:t>aumenta</w:t>
            </w:r>
            <w:r>
              <w:rPr>
                <w:color w:val="231F1F"/>
                <w:spacing w:val="-11"/>
                <w:w w:val="110"/>
                <w:sz w:val="22"/>
              </w:rPr>
              <w:t> </w:t>
            </w:r>
            <w:r>
              <w:rPr>
                <w:color w:val="231F1F"/>
                <w:w w:val="110"/>
                <w:sz w:val="22"/>
              </w:rPr>
              <w:t>el</w:t>
            </w:r>
            <w:r>
              <w:rPr>
                <w:color w:val="231F1F"/>
                <w:spacing w:val="-11"/>
                <w:w w:val="110"/>
                <w:sz w:val="22"/>
              </w:rPr>
              <w:t> </w:t>
            </w:r>
            <w:r>
              <w:rPr>
                <w:color w:val="231F1F"/>
                <w:w w:val="110"/>
                <w:sz w:val="22"/>
              </w:rPr>
              <w:t>uso</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analgesia</w:t>
            </w:r>
            <w:r>
              <w:rPr>
                <w:color w:val="231F1F"/>
                <w:spacing w:val="-11"/>
                <w:w w:val="110"/>
                <w:sz w:val="22"/>
              </w:rPr>
              <w:t> </w:t>
            </w:r>
            <w:r>
              <w:rPr>
                <w:color w:val="231F1F"/>
                <w:w w:val="110"/>
                <w:sz w:val="22"/>
              </w:rPr>
              <w:t>epidural</w:t>
            </w:r>
            <w:r>
              <w:rPr>
                <w:color w:val="231F1F"/>
                <w:spacing w:val="-11"/>
                <w:w w:val="110"/>
                <w:sz w:val="22"/>
              </w:rPr>
              <w:t> </w:t>
            </w:r>
            <w:r>
              <w:rPr>
                <w:color w:val="231F1F"/>
                <w:w w:val="110"/>
                <w:sz w:val="22"/>
              </w:rPr>
              <w:t>y</w:t>
            </w:r>
            <w:r>
              <w:rPr>
                <w:color w:val="231F1F"/>
                <w:spacing w:val="-11"/>
                <w:w w:val="110"/>
                <w:sz w:val="22"/>
              </w:rPr>
              <w:t> </w:t>
            </w:r>
            <w:r>
              <w:rPr>
                <w:color w:val="231F1F"/>
                <w:w w:val="110"/>
                <w:sz w:val="22"/>
              </w:rPr>
              <w:t>de oxitocina (284).</w:t>
            </w:r>
          </w:p>
        </w:tc>
        <w:tc>
          <w:tcPr>
            <w:tcW w:w="1133" w:type="dxa"/>
          </w:tcPr>
          <w:p>
            <w:pPr>
              <w:pStyle w:val="TableParagraph"/>
              <w:spacing w:before="183"/>
              <w:ind w:left="49" w:right="22"/>
              <w:jc w:val="center"/>
              <w:rPr>
                <w:sz w:val="22"/>
              </w:rPr>
            </w:pPr>
            <w:r>
              <w:rPr>
                <w:color w:val="231F1F"/>
                <w:spacing w:val="-5"/>
                <w:w w:val="105"/>
                <w:sz w:val="22"/>
              </w:rPr>
              <w:t>1+</w:t>
            </w:r>
          </w:p>
        </w:tc>
      </w:tr>
    </w:tbl>
    <w:p>
      <w:pPr>
        <w:pStyle w:val="BodyText"/>
        <w:spacing w:before="117"/>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90"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before="49"/>
              <w:ind w:right="155"/>
              <w:rPr>
                <w:sz w:val="22"/>
              </w:rPr>
            </w:pPr>
            <w:r>
              <w:rPr>
                <w:color w:val="231F1F"/>
                <w:w w:val="110"/>
                <w:sz w:val="22"/>
              </w:rPr>
              <w:t>Se</w:t>
            </w:r>
            <w:r>
              <w:rPr>
                <w:color w:val="231F1F"/>
                <w:spacing w:val="-10"/>
                <w:w w:val="110"/>
                <w:sz w:val="22"/>
              </w:rPr>
              <w:t> </w:t>
            </w:r>
            <w:r>
              <w:rPr>
                <w:color w:val="231F1F"/>
                <w:w w:val="110"/>
                <w:sz w:val="22"/>
              </w:rPr>
              <w:t>recomienda</w:t>
            </w:r>
            <w:r>
              <w:rPr>
                <w:color w:val="231F1F"/>
                <w:spacing w:val="-10"/>
                <w:w w:val="110"/>
                <w:sz w:val="22"/>
              </w:rPr>
              <w:t> </w:t>
            </w:r>
            <w:r>
              <w:rPr>
                <w:color w:val="231F1F"/>
                <w:w w:val="110"/>
                <w:sz w:val="22"/>
              </w:rPr>
              <w:t>la</w:t>
            </w:r>
            <w:r>
              <w:rPr>
                <w:color w:val="231F1F"/>
                <w:spacing w:val="-10"/>
                <w:w w:val="110"/>
                <w:sz w:val="22"/>
              </w:rPr>
              <w:t> </w:t>
            </w:r>
            <w:r>
              <w:rPr>
                <w:color w:val="231F1F"/>
                <w:w w:val="110"/>
                <w:sz w:val="22"/>
              </w:rPr>
              <w:t>inmersión</w:t>
            </w:r>
            <w:r>
              <w:rPr>
                <w:color w:val="231F1F"/>
                <w:spacing w:val="-10"/>
                <w:w w:val="110"/>
                <w:sz w:val="22"/>
              </w:rPr>
              <w:t> </w:t>
            </w:r>
            <w:r>
              <w:rPr>
                <w:color w:val="231F1F"/>
                <w:w w:val="110"/>
                <w:sz w:val="22"/>
              </w:rPr>
              <w:t>en</w:t>
            </w:r>
            <w:r>
              <w:rPr>
                <w:color w:val="231F1F"/>
                <w:spacing w:val="-10"/>
                <w:w w:val="110"/>
                <w:sz w:val="22"/>
              </w:rPr>
              <w:t> </w:t>
            </w:r>
            <w:r>
              <w:rPr>
                <w:color w:val="231F1F"/>
                <w:w w:val="110"/>
                <w:sz w:val="22"/>
              </w:rPr>
              <w:t>agua</w:t>
            </w:r>
            <w:r>
              <w:rPr>
                <w:color w:val="231F1F"/>
                <w:spacing w:val="-10"/>
                <w:w w:val="110"/>
                <w:sz w:val="22"/>
              </w:rPr>
              <w:t> </w:t>
            </w:r>
            <w:r>
              <w:rPr>
                <w:color w:val="231F1F"/>
                <w:w w:val="110"/>
                <w:sz w:val="22"/>
              </w:rPr>
              <w:t>caliente</w:t>
            </w:r>
            <w:r>
              <w:rPr>
                <w:color w:val="231F1F"/>
                <w:spacing w:val="-10"/>
                <w:w w:val="110"/>
                <w:sz w:val="22"/>
              </w:rPr>
              <w:t> </w:t>
            </w:r>
            <w:r>
              <w:rPr>
                <w:color w:val="231F1F"/>
                <w:w w:val="110"/>
                <w:sz w:val="22"/>
              </w:rPr>
              <w:t>como</w:t>
            </w:r>
            <w:r>
              <w:rPr>
                <w:color w:val="231F1F"/>
                <w:spacing w:val="-10"/>
                <w:w w:val="110"/>
                <w:sz w:val="22"/>
              </w:rPr>
              <w:t> </w:t>
            </w:r>
            <w:r>
              <w:rPr>
                <w:color w:val="231F1F"/>
                <w:w w:val="110"/>
                <w:sz w:val="22"/>
              </w:rPr>
              <w:t>un</w:t>
            </w:r>
            <w:r>
              <w:rPr>
                <w:color w:val="231F1F"/>
                <w:spacing w:val="-10"/>
                <w:w w:val="110"/>
                <w:sz w:val="22"/>
              </w:rPr>
              <w:t> </w:t>
            </w:r>
            <w:r>
              <w:rPr>
                <w:color w:val="231F1F"/>
                <w:w w:val="110"/>
                <w:sz w:val="22"/>
              </w:rPr>
              <w:t>método</w:t>
            </w:r>
            <w:r>
              <w:rPr>
                <w:color w:val="231F1F"/>
                <w:spacing w:val="-10"/>
                <w:w w:val="110"/>
                <w:sz w:val="22"/>
              </w:rPr>
              <w:t> </w:t>
            </w:r>
            <w:r>
              <w:rPr>
                <w:color w:val="231F1F"/>
                <w:w w:val="110"/>
                <w:sz w:val="22"/>
              </w:rPr>
              <w:t>eficaz</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alivio</w:t>
            </w:r>
            <w:r>
              <w:rPr>
                <w:color w:val="231F1F"/>
                <w:spacing w:val="-10"/>
                <w:w w:val="110"/>
                <w:sz w:val="22"/>
              </w:rPr>
              <w:t> </w:t>
            </w:r>
            <w:r>
              <w:rPr>
                <w:color w:val="231F1F"/>
                <w:w w:val="110"/>
                <w:sz w:val="22"/>
              </w:rPr>
              <w:t>de dolor durante la fase tardía de la primera etapa del parto.</w:t>
            </w:r>
          </w:p>
        </w:tc>
      </w:tr>
    </w:tbl>
    <w:p>
      <w:pPr>
        <w:pStyle w:val="TableParagraph"/>
        <w:spacing w:after="0"/>
        <w:rPr>
          <w:sz w:val="22"/>
        </w:rPr>
        <w:sectPr>
          <w:pgSz w:w="11900" w:h="16840"/>
          <w:pgMar w:header="0" w:footer="622" w:top="158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spacing w:val="-2"/>
          <w:w w:val="105"/>
        </w:rPr>
        <w:t>Masaje</w:t>
      </w:r>
    </w:p>
    <w:p>
      <w:pPr>
        <w:pStyle w:val="BodyText"/>
        <w:spacing w:before="20"/>
        <w:rPr>
          <w:sz w:val="20"/>
        </w:rPr>
      </w:pPr>
      <w:r>
        <w:rPr>
          <w:sz w:val="20"/>
        </w:rPr>
        <mc:AlternateContent>
          <mc:Choice Requires="wps">
            <w:drawing>
              <wp:anchor distT="0" distB="0" distL="0" distR="0" allowOverlap="1" layoutInCell="1" locked="0" behindDoc="1" simplePos="0" relativeHeight="487621120">
                <wp:simplePos x="0" y="0"/>
                <wp:positionH relativeFrom="page">
                  <wp:posOffset>1082675</wp:posOffset>
                </wp:positionH>
                <wp:positionV relativeFrom="paragraph">
                  <wp:posOffset>177184</wp:posOffset>
                </wp:positionV>
                <wp:extent cx="5400040" cy="262255"/>
                <wp:effectExtent l="0" t="0" r="0" b="0"/>
                <wp:wrapTopAndBottom/>
                <wp:docPr id="127" name="Textbox 127"/>
                <wp:cNvGraphicFramePr>
                  <a:graphicFrameLocks/>
                </wp:cNvGraphicFramePr>
                <a:graphic>
                  <a:graphicData uri="http://schemas.microsoft.com/office/word/2010/wordprocessingShape">
                    <wps:wsp>
                      <wps:cNvPr id="127" name="Textbox 127"/>
                      <wps:cNvSpPr txBox="1"/>
                      <wps:spPr>
                        <a:xfrm>
                          <a:off x="0" y="0"/>
                          <a:ext cx="5400040" cy="262255"/>
                        </a:xfrm>
                        <a:prstGeom prst="rect">
                          <a:avLst/>
                        </a:prstGeom>
                        <a:ln w="6350">
                          <a:solidFill>
                            <a:srgbClr val="A30046"/>
                          </a:solidFill>
                          <a:prstDash val="solid"/>
                        </a:ln>
                      </wps:spPr>
                      <wps:txbx>
                        <w:txbxContent>
                          <w:p>
                            <w:pPr>
                              <w:pStyle w:val="BodyText"/>
                              <w:numPr>
                                <w:ilvl w:val="0"/>
                                <w:numId w:val="67"/>
                              </w:numPr>
                              <w:tabs>
                                <w:tab w:pos="322" w:val="left" w:leader="none"/>
                              </w:tabs>
                              <w:spacing w:line="240" w:lineRule="auto" w:before="46" w:after="0"/>
                              <w:ind w:left="322" w:right="0" w:hanging="218"/>
                              <w:jc w:val="left"/>
                            </w:pPr>
                            <w:r>
                              <w:rPr>
                                <w:color w:val="231F1F"/>
                              </w:rPr>
                              <w:t>¿Cuál</w:t>
                            </w:r>
                            <w:r>
                              <w:rPr>
                                <w:color w:val="231F1F"/>
                                <w:spacing w:val="27"/>
                              </w:rPr>
                              <w:t> </w:t>
                            </w:r>
                            <w:r>
                              <w:rPr>
                                <w:color w:val="231F1F"/>
                              </w:rPr>
                              <w:t>es</w:t>
                            </w:r>
                            <w:r>
                              <w:rPr>
                                <w:color w:val="231F1F"/>
                                <w:spacing w:val="30"/>
                              </w:rPr>
                              <w:t> </w:t>
                            </w:r>
                            <w:r>
                              <w:rPr>
                                <w:color w:val="231F1F"/>
                              </w:rPr>
                              <w:t>la</w:t>
                            </w:r>
                            <w:r>
                              <w:rPr>
                                <w:color w:val="231F1F"/>
                                <w:spacing w:val="30"/>
                              </w:rPr>
                              <w:t> </w:t>
                            </w:r>
                            <w:r>
                              <w:rPr>
                                <w:color w:val="231F1F"/>
                              </w:rPr>
                              <w:t>efectividad</w:t>
                            </w:r>
                            <w:r>
                              <w:rPr>
                                <w:color w:val="231F1F"/>
                                <w:spacing w:val="30"/>
                              </w:rPr>
                              <w:t> </w:t>
                            </w:r>
                            <w:r>
                              <w:rPr>
                                <w:color w:val="231F1F"/>
                              </w:rPr>
                              <w:t>del</w:t>
                            </w:r>
                            <w:r>
                              <w:rPr>
                                <w:color w:val="231F1F"/>
                                <w:spacing w:val="26"/>
                              </w:rPr>
                              <w:t> </w:t>
                            </w:r>
                            <w:r>
                              <w:rPr>
                                <w:color w:val="231F1F"/>
                              </w:rPr>
                              <w:t>masaje</w:t>
                            </w:r>
                            <w:r>
                              <w:rPr>
                                <w:color w:val="231F1F"/>
                                <w:spacing w:val="31"/>
                              </w:rPr>
                              <w:t> </w:t>
                            </w:r>
                            <w:r>
                              <w:rPr>
                                <w:color w:val="231F1F"/>
                              </w:rPr>
                              <w:t>para</w:t>
                            </w:r>
                            <w:r>
                              <w:rPr>
                                <w:color w:val="231F1F"/>
                                <w:spacing w:val="30"/>
                              </w:rPr>
                              <w:t> </w:t>
                            </w:r>
                            <w:r>
                              <w:rPr>
                                <w:color w:val="231F1F"/>
                              </w:rPr>
                              <w:t>el</w:t>
                            </w:r>
                            <w:r>
                              <w:rPr>
                                <w:color w:val="231F1F"/>
                                <w:spacing w:val="30"/>
                              </w:rPr>
                              <w:t> </w:t>
                            </w:r>
                            <w:r>
                              <w:rPr>
                                <w:color w:val="231F1F"/>
                              </w:rPr>
                              <w:t>alivio</w:t>
                            </w:r>
                            <w:r>
                              <w:rPr>
                                <w:color w:val="231F1F"/>
                                <w:spacing w:val="29"/>
                              </w:rPr>
                              <w:t> </w:t>
                            </w:r>
                            <w:r>
                              <w:rPr>
                                <w:color w:val="231F1F"/>
                              </w:rPr>
                              <w:t>del</w:t>
                            </w:r>
                            <w:r>
                              <w:rPr>
                                <w:color w:val="231F1F"/>
                                <w:spacing w:val="27"/>
                              </w:rPr>
                              <w:t> </w:t>
                            </w:r>
                            <w:r>
                              <w:rPr>
                                <w:color w:val="231F1F"/>
                              </w:rPr>
                              <w:t>dolor</w:t>
                            </w:r>
                            <w:r>
                              <w:rPr>
                                <w:color w:val="231F1F"/>
                                <w:spacing w:val="31"/>
                              </w:rPr>
                              <w:t> </w:t>
                            </w:r>
                            <w:r>
                              <w:rPr>
                                <w:color w:val="231F1F"/>
                              </w:rPr>
                              <w:t>durante</w:t>
                            </w:r>
                            <w:r>
                              <w:rPr>
                                <w:color w:val="231F1F"/>
                                <w:spacing w:val="30"/>
                              </w:rPr>
                              <w:t> </w:t>
                            </w:r>
                            <w:r>
                              <w:rPr>
                                <w:color w:val="231F1F"/>
                              </w:rPr>
                              <w:t>el</w:t>
                            </w:r>
                            <w:r>
                              <w:rPr>
                                <w:color w:val="231F1F"/>
                                <w:spacing w:val="28"/>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5360;mso-wrap-distance-left:0;mso-wrap-distance-right:0" type="#_x0000_t202" id="docshape116" filled="false" stroked="true" strokeweight=".5pt" strokecolor="#a30046">
                <v:textbox inset="0,0,0,0">
                  <w:txbxContent>
                    <w:p>
                      <w:pPr>
                        <w:pStyle w:val="BodyText"/>
                        <w:numPr>
                          <w:ilvl w:val="0"/>
                          <w:numId w:val="67"/>
                        </w:numPr>
                        <w:tabs>
                          <w:tab w:pos="322" w:val="left" w:leader="none"/>
                        </w:tabs>
                        <w:spacing w:line="240" w:lineRule="auto" w:before="46" w:after="0"/>
                        <w:ind w:left="322" w:right="0" w:hanging="218"/>
                        <w:jc w:val="left"/>
                      </w:pPr>
                      <w:r>
                        <w:rPr>
                          <w:color w:val="231F1F"/>
                        </w:rPr>
                        <w:t>¿Cuál</w:t>
                      </w:r>
                      <w:r>
                        <w:rPr>
                          <w:color w:val="231F1F"/>
                          <w:spacing w:val="27"/>
                        </w:rPr>
                        <w:t> </w:t>
                      </w:r>
                      <w:r>
                        <w:rPr>
                          <w:color w:val="231F1F"/>
                        </w:rPr>
                        <w:t>es</w:t>
                      </w:r>
                      <w:r>
                        <w:rPr>
                          <w:color w:val="231F1F"/>
                          <w:spacing w:val="30"/>
                        </w:rPr>
                        <w:t> </w:t>
                      </w:r>
                      <w:r>
                        <w:rPr>
                          <w:color w:val="231F1F"/>
                        </w:rPr>
                        <w:t>la</w:t>
                      </w:r>
                      <w:r>
                        <w:rPr>
                          <w:color w:val="231F1F"/>
                          <w:spacing w:val="30"/>
                        </w:rPr>
                        <w:t> </w:t>
                      </w:r>
                      <w:r>
                        <w:rPr>
                          <w:color w:val="231F1F"/>
                        </w:rPr>
                        <w:t>efectividad</w:t>
                      </w:r>
                      <w:r>
                        <w:rPr>
                          <w:color w:val="231F1F"/>
                          <w:spacing w:val="30"/>
                        </w:rPr>
                        <w:t> </w:t>
                      </w:r>
                      <w:r>
                        <w:rPr>
                          <w:color w:val="231F1F"/>
                        </w:rPr>
                        <w:t>del</w:t>
                      </w:r>
                      <w:r>
                        <w:rPr>
                          <w:color w:val="231F1F"/>
                          <w:spacing w:val="26"/>
                        </w:rPr>
                        <w:t> </w:t>
                      </w:r>
                      <w:r>
                        <w:rPr>
                          <w:color w:val="231F1F"/>
                        </w:rPr>
                        <w:t>masaje</w:t>
                      </w:r>
                      <w:r>
                        <w:rPr>
                          <w:color w:val="231F1F"/>
                          <w:spacing w:val="31"/>
                        </w:rPr>
                        <w:t> </w:t>
                      </w:r>
                      <w:r>
                        <w:rPr>
                          <w:color w:val="231F1F"/>
                        </w:rPr>
                        <w:t>para</w:t>
                      </w:r>
                      <w:r>
                        <w:rPr>
                          <w:color w:val="231F1F"/>
                          <w:spacing w:val="30"/>
                        </w:rPr>
                        <w:t> </w:t>
                      </w:r>
                      <w:r>
                        <w:rPr>
                          <w:color w:val="231F1F"/>
                        </w:rPr>
                        <w:t>el</w:t>
                      </w:r>
                      <w:r>
                        <w:rPr>
                          <w:color w:val="231F1F"/>
                          <w:spacing w:val="30"/>
                        </w:rPr>
                        <w:t> </w:t>
                      </w:r>
                      <w:r>
                        <w:rPr>
                          <w:color w:val="231F1F"/>
                        </w:rPr>
                        <w:t>alivio</w:t>
                      </w:r>
                      <w:r>
                        <w:rPr>
                          <w:color w:val="231F1F"/>
                          <w:spacing w:val="29"/>
                        </w:rPr>
                        <w:t> </w:t>
                      </w:r>
                      <w:r>
                        <w:rPr>
                          <w:color w:val="231F1F"/>
                        </w:rPr>
                        <w:t>del</w:t>
                      </w:r>
                      <w:r>
                        <w:rPr>
                          <w:color w:val="231F1F"/>
                          <w:spacing w:val="27"/>
                        </w:rPr>
                        <w:t> </w:t>
                      </w:r>
                      <w:r>
                        <w:rPr>
                          <w:color w:val="231F1F"/>
                        </w:rPr>
                        <w:t>dolor</w:t>
                      </w:r>
                      <w:r>
                        <w:rPr>
                          <w:color w:val="231F1F"/>
                          <w:spacing w:val="31"/>
                        </w:rPr>
                        <w:t> </w:t>
                      </w:r>
                      <w:r>
                        <w:rPr>
                          <w:color w:val="231F1F"/>
                        </w:rPr>
                        <w:t>durante</w:t>
                      </w:r>
                      <w:r>
                        <w:rPr>
                          <w:color w:val="231F1F"/>
                          <w:spacing w:val="30"/>
                        </w:rPr>
                        <w:t> </w:t>
                      </w:r>
                      <w:r>
                        <w:rPr>
                          <w:color w:val="231F1F"/>
                        </w:rPr>
                        <w:t>el</w:t>
                      </w:r>
                      <w:r>
                        <w:rPr>
                          <w:color w:val="231F1F"/>
                          <w:spacing w:val="28"/>
                        </w:rPr>
                        <w:t> </w:t>
                      </w:r>
                      <w:r>
                        <w:rPr>
                          <w:color w:val="231F1F"/>
                          <w:spacing w:val="-2"/>
                        </w:rPr>
                        <w:t>parto?</w:t>
                      </w:r>
                    </w:p>
                  </w:txbxContent>
                </v:textbox>
                <v:stroke dashstyle="solid"/>
                <w10:wrap type="topAndBottom"/>
              </v:shape>
            </w:pict>
          </mc:Fallback>
        </mc:AlternateContent>
      </w:r>
    </w:p>
    <w:p>
      <w:pPr>
        <w:pStyle w:val="BodyText"/>
        <w:spacing w:line="244" w:lineRule="auto" w:before="324"/>
        <w:ind w:left="283" w:right="110"/>
        <w:jc w:val="both"/>
      </w:pPr>
      <w:r>
        <w:rPr>
          <w:color w:val="231F1F"/>
          <w:w w:val="110"/>
        </w:rPr>
        <w:t>El</w:t>
      </w:r>
      <w:r>
        <w:rPr>
          <w:color w:val="231F1F"/>
          <w:spacing w:val="-10"/>
          <w:w w:val="110"/>
        </w:rPr>
        <w:t> </w:t>
      </w:r>
      <w:r>
        <w:rPr>
          <w:color w:val="231F1F"/>
          <w:w w:val="110"/>
        </w:rPr>
        <w:t>masaje</w:t>
      </w:r>
      <w:r>
        <w:rPr>
          <w:color w:val="231F1F"/>
          <w:spacing w:val="-9"/>
          <w:w w:val="110"/>
        </w:rPr>
        <w:t> </w:t>
      </w:r>
      <w:r>
        <w:rPr>
          <w:color w:val="231F1F"/>
          <w:w w:val="110"/>
        </w:rPr>
        <w:t>y</w:t>
      </w:r>
      <w:r>
        <w:rPr>
          <w:color w:val="231F1F"/>
          <w:spacing w:val="-9"/>
          <w:w w:val="110"/>
        </w:rPr>
        <w:t> </w:t>
      </w:r>
      <w:r>
        <w:rPr>
          <w:color w:val="231F1F"/>
          <w:w w:val="110"/>
        </w:rPr>
        <w:t>el</w:t>
      </w:r>
      <w:r>
        <w:rPr>
          <w:color w:val="231F1F"/>
          <w:spacing w:val="-10"/>
          <w:w w:val="110"/>
        </w:rPr>
        <w:t> </w:t>
      </w:r>
      <w:r>
        <w:rPr>
          <w:color w:val="231F1F"/>
          <w:w w:val="110"/>
        </w:rPr>
        <w:t>tacto</w:t>
      </w:r>
      <w:r>
        <w:rPr>
          <w:color w:val="231F1F"/>
          <w:spacing w:val="-9"/>
          <w:w w:val="110"/>
        </w:rPr>
        <w:t> </w:t>
      </w:r>
      <w:r>
        <w:rPr>
          <w:color w:val="231F1F"/>
          <w:w w:val="110"/>
        </w:rPr>
        <w:t>tranquilizador</w:t>
      </w:r>
      <w:r>
        <w:rPr>
          <w:color w:val="231F1F"/>
          <w:spacing w:val="-10"/>
          <w:w w:val="110"/>
        </w:rPr>
        <w:t> </w:t>
      </w:r>
      <w:r>
        <w:rPr>
          <w:color w:val="231F1F"/>
          <w:w w:val="110"/>
        </w:rPr>
        <w:t>durante</w:t>
      </w:r>
      <w:r>
        <w:rPr>
          <w:color w:val="231F1F"/>
          <w:spacing w:val="-10"/>
          <w:w w:val="110"/>
        </w:rPr>
        <w:t> </w:t>
      </w:r>
      <w:r>
        <w:rPr>
          <w:color w:val="231F1F"/>
          <w:w w:val="110"/>
        </w:rPr>
        <w:t>el</w:t>
      </w:r>
      <w:r>
        <w:rPr>
          <w:color w:val="231F1F"/>
          <w:spacing w:val="-10"/>
          <w:w w:val="110"/>
        </w:rPr>
        <w:t> </w:t>
      </w:r>
      <w:r>
        <w:rPr>
          <w:color w:val="231F1F"/>
          <w:w w:val="110"/>
        </w:rPr>
        <w:t>parto</w:t>
      </w:r>
      <w:r>
        <w:rPr>
          <w:color w:val="231F1F"/>
          <w:spacing w:val="-9"/>
          <w:w w:val="110"/>
        </w:rPr>
        <w:t> </w:t>
      </w:r>
      <w:r>
        <w:rPr>
          <w:color w:val="231F1F"/>
          <w:w w:val="110"/>
        </w:rPr>
        <w:t>pretenden</w:t>
      </w:r>
      <w:r>
        <w:rPr>
          <w:color w:val="231F1F"/>
          <w:spacing w:val="-10"/>
          <w:w w:val="110"/>
        </w:rPr>
        <w:t> </w:t>
      </w:r>
      <w:r>
        <w:rPr>
          <w:color w:val="231F1F"/>
          <w:w w:val="110"/>
        </w:rPr>
        <w:t>ayudar</w:t>
      </w:r>
      <w:r>
        <w:rPr>
          <w:color w:val="231F1F"/>
          <w:spacing w:val="-9"/>
          <w:w w:val="110"/>
        </w:rPr>
        <w:t> </w:t>
      </w:r>
      <w:r>
        <w:rPr>
          <w:color w:val="231F1F"/>
          <w:w w:val="110"/>
        </w:rPr>
        <w:t>a</w:t>
      </w:r>
      <w:r>
        <w:rPr>
          <w:color w:val="231F1F"/>
          <w:spacing w:val="-9"/>
          <w:w w:val="110"/>
        </w:rPr>
        <w:t> </w:t>
      </w:r>
      <w:r>
        <w:rPr>
          <w:color w:val="231F1F"/>
          <w:w w:val="110"/>
        </w:rPr>
        <w:t>las</w:t>
      </w:r>
      <w:r>
        <w:rPr>
          <w:color w:val="231F1F"/>
          <w:spacing w:val="-10"/>
          <w:w w:val="110"/>
        </w:rPr>
        <w:t> </w:t>
      </w:r>
      <w:r>
        <w:rPr>
          <w:color w:val="231F1F"/>
          <w:w w:val="110"/>
        </w:rPr>
        <w:t>mujeres</w:t>
      </w:r>
      <w:r>
        <w:rPr>
          <w:color w:val="231F1F"/>
          <w:spacing w:val="-9"/>
          <w:w w:val="110"/>
        </w:rPr>
        <w:t> </w:t>
      </w:r>
      <w:r>
        <w:rPr>
          <w:color w:val="231F1F"/>
          <w:w w:val="110"/>
        </w:rPr>
        <w:t>a</w:t>
      </w:r>
      <w:r>
        <w:rPr>
          <w:color w:val="231F1F"/>
          <w:spacing w:val="-9"/>
          <w:w w:val="110"/>
        </w:rPr>
        <w:t> </w:t>
      </w:r>
      <w:r>
        <w:rPr>
          <w:color w:val="231F1F"/>
          <w:w w:val="110"/>
        </w:rPr>
        <w:t>rela- jarse y aliviar el dolor de las contracciones, transmitir interés, comprensión y procurar consuelo.</w:t>
      </w:r>
      <w:r>
        <w:rPr>
          <w:color w:val="231F1F"/>
          <w:spacing w:val="-16"/>
          <w:w w:val="110"/>
        </w:rPr>
        <w:t> </w:t>
      </w:r>
      <w:r>
        <w:rPr>
          <w:color w:val="231F1F"/>
          <w:w w:val="110"/>
        </w:rPr>
        <w:t>Parece</w:t>
      </w:r>
      <w:r>
        <w:rPr>
          <w:color w:val="231F1F"/>
          <w:spacing w:val="-15"/>
          <w:w w:val="110"/>
        </w:rPr>
        <w:t> </w:t>
      </w:r>
      <w:r>
        <w:rPr>
          <w:color w:val="231F1F"/>
          <w:w w:val="110"/>
        </w:rPr>
        <w:t>que</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aprecian</w:t>
      </w:r>
      <w:r>
        <w:rPr>
          <w:color w:val="231F1F"/>
          <w:spacing w:val="-15"/>
          <w:w w:val="110"/>
        </w:rPr>
        <w:t> </w:t>
      </w:r>
      <w:r>
        <w:rPr>
          <w:color w:val="231F1F"/>
          <w:w w:val="110"/>
        </w:rPr>
        <w:t>estas</w:t>
      </w:r>
      <w:r>
        <w:rPr>
          <w:color w:val="231F1F"/>
          <w:spacing w:val="-15"/>
          <w:w w:val="110"/>
        </w:rPr>
        <w:t> </w:t>
      </w:r>
      <w:r>
        <w:rPr>
          <w:color w:val="231F1F"/>
          <w:w w:val="110"/>
        </w:rPr>
        <w:t>intervenciones</w:t>
      </w:r>
      <w:r>
        <w:rPr>
          <w:color w:val="231F1F"/>
          <w:spacing w:val="-15"/>
          <w:w w:val="110"/>
        </w:rPr>
        <w:t> </w:t>
      </w:r>
      <w:r>
        <w:rPr>
          <w:color w:val="231F1F"/>
          <w:w w:val="110"/>
        </w:rPr>
        <w:t>que</w:t>
      </w:r>
      <w:r>
        <w:rPr>
          <w:color w:val="231F1F"/>
          <w:spacing w:val="-16"/>
          <w:w w:val="110"/>
        </w:rPr>
        <w:t> </w:t>
      </w:r>
      <w:r>
        <w:rPr>
          <w:color w:val="231F1F"/>
          <w:w w:val="110"/>
        </w:rPr>
        <w:t>les</w:t>
      </w:r>
      <w:r>
        <w:rPr>
          <w:color w:val="231F1F"/>
          <w:spacing w:val="-15"/>
          <w:w w:val="110"/>
        </w:rPr>
        <w:t> </w:t>
      </w:r>
      <w:r>
        <w:rPr>
          <w:color w:val="231F1F"/>
          <w:w w:val="110"/>
        </w:rPr>
        <w:t>hacen</w:t>
      </w:r>
      <w:r>
        <w:rPr>
          <w:color w:val="231F1F"/>
          <w:spacing w:val="-15"/>
          <w:w w:val="110"/>
        </w:rPr>
        <w:t> </w:t>
      </w:r>
      <w:r>
        <w:rPr>
          <w:color w:val="231F1F"/>
          <w:w w:val="110"/>
        </w:rPr>
        <w:t>sentirse</w:t>
      </w:r>
      <w:r>
        <w:rPr>
          <w:color w:val="231F1F"/>
          <w:spacing w:val="-15"/>
          <w:w w:val="110"/>
        </w:rPr>
        <w:t> </w:t>
      </w:r>
      <w:r>
        <w:rPr>
          <w:color w:val="231F1F"/>
          <w:w w:val="110"/>
        </w:rPr>
        <w:t>cui- dadas</w:t>
      </w:r>
      <w:r>
        <w:rPr>
          <w:color w:val="231F1F"/>
          <w:w w:val="110"/>
        </w:rPr>
        <w:t> y</w:t>
      </w:r>
      <w:r>
        <w:rPr>
          <w:color w:val="231F1F"/>
          <w:w w:val="110"/>
        </w:rPr>
        <w:t> les</w:t>
      </w:r>
      <w:r>
        <w:rPr>
          <w:color w:val="231F1F"/>
          <w:w w:val="110"/>
        </w:rPr>
        <w:t> producen</w:t>
      </w:r>
      <w:r>
        <w:rPr>
          <w:color w:val="231F1F"/>
          <w:w w:val="110"/>
        </w:rPr>
        <w:t> bienestar.</w:t>
      </w:r>
      <w:r>
        <w:rPr>
          <w:color w:val="231F1F"/>
          <w:w w:val="110"/>
        </w:rPr>
        <w:t> Sin</w:t>
      </w:r>
      <w:r>
        <w:rPr>
          <w:color w:val="231F1F"/>
          <w:w w:val="110"/>
        </w:rPr>
        <w:t> embargo</w:t>
      </w:r>
      <w:r>
        <w:rPr>
          <w:color w:val="231F1F"/>
          <w:w w:val="110"/>
        </w:rPr>
        <w:t> es</w:t>
      </w:r>
      <w:r>
        <w:rPr>
          <w:color w:val="231F1F"/>
          <w:w w:val="110"/>
        </w:rPr>
        <w:t> necesario</w:t>
      </w:r>
      <w:r>
        <w:rPr>
          <w:color w:val="231F1F"/>
          <w:w w:val="110"/>
        </w:rPr>
        <w:t> conocer</w:t>
      </w:r>
      <w:r>
        <w:rPr>
          <w:color w:val="231F1F"/>
          <w:w w:val="110"/>
        </w:rPr>
        <w:t> mejor</w:t>
      </w:r>
      <w:r>
        <w:rPr>
          <w:color w:val="231F1F"/>
          <w:w w:val="110"/>
        </w:rPr>
        <w:t> el</w:t>
      </w:r>
      <w:r>
        <w:rPr>
          <w:color w:val="231F1F"/>
          <w:w w:val="110"/>
        </w:rPr>
        <w:t> efecto</w:t>
      </w:r>
      <w:r>
        <w:rPr>
          <w:color w:val="231F1F"/>
          <w:w w:val="110"/>
        </w:rPr>
        <w:t> del masaje en el alivio del dolor durante el parto.</w:t>
      </w:r>
    </w:p>
    <w:p>
      <w:pPr>
        <w:pStyle w:val="BodyText"/>
        <w:spacing w:before="86"/>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4"/>
        <w:ind w:left="287" w:right="40"/>
        <w:jc w:val="both"/>
      </w:pPr>
      <w:r>
        <w:rPr>
          <w:color w:val="231F1F"/>
          <w:w w:val="105"/>
        </w:rPr>
        <w:t>Para</w:t>
      </w:r>
      <w:r>
        <w:rPr>
          <w:color w:val="231F1F"/>
          <w:w w:val="105"/>
        </w:rPr>
        <w:t> responder</w:t>
      </w:r>
      <w:r>
        <w:rPr>
          <w:color w:val="231F1F"/>
          <w:w w:val="105"/>
        </w:rPr>
        <w:t> a</w:t>
      </w:r>
      <w:r>
        <w:rPr>
          <w:color w:val="231F1F"/>
          <w:w w:val="105"/>
        </w:rPr>
        <w:t> esta</w:t>
      </w:r>
      <w:r>
        <w:rPr>
          <w:color w:val="231F1F"/>
          <w:w w:val="105"/>
        </w:rPr>
        <w:t> pregunta</w:t>
      </w:r>
      <w:r>
        <w:rPr>
          <w:color w:val="231F1F"/>
          <w:w w:val="105"/>
        </w:rPr>
        <w:t> la</w:t>
      </w:r>
      <w:r>
        <w:rPr>
          <w:color w:val="231F1F"/>
          <w:w w:val="105"/>
        </w:rPr>
        <w:t> guía</w:t>
      </w:r>
      <w:r>
        <w:rPr>
          <w:color w:val="231F1F"/>
          <w:w w:val="105"/>
        </w:rPr>
        <w:t> NICE</w:t>
      </w:r>
      <w:r>
        <w:rPr>
          <w:color w:val="231F1F"/>
          <w:w w:val="105"/>
        </w:rPr>
        <w:t> (10)</w:t>
      </w:r>
      <w:r>
        <w:rPr>
          <w:color w:val="231F1F"/>
          <w:w w:val="105"/>
        </w:rPr>
        <w:t> utiliza</w:t>
      </w:r>
      <w:r>
        <w:rPr>
          <w:color w:val="231F1F"/>
          <w:w w:val="105"/>
        </w:rPr>
        <w:t> la</w:t>
      </w:r>
      <w:r>
        <w:rPr>
          <w:color w:val="231F1F"/>
          <w:w w:val="105"/>
        </w:rPr>
        <w:t> evidencia</w:t>
      </w:r>
      <w:r>
        <w:rPr>
          <w:color w:val="231F1F"/>
          <w:w w:val="105"/>
        </w:rPr>
        <w:t> apor- tada por dos revisiones sistemáticas (47;285) que incluyen tres estudios: dos ECAs</w:t>
      </w:r>
      <w:r>
        <w:rPr>
          <w:color w:val="231F1F"/>
          <w:w w:val="105"/>
        </w:rPr>
        <w:t> de</w:t>
      </w:r>
      <w:r>
        <w:rPr>
          <w:color w:val="231F1F"/>
          <w:w w:val="105"/>
        </w:rPr>
        <w:t> muestra</w:t>
      </w:r>
      <w:r>
        <w:rPr>
          <w:color w:val="231F1F"/>
          <w:w w:val="105"/>
        </w:rPr>
        <w:t> pequeña</w:t>
      </w:r>
      <w:r>
        <w:rPr>
          <w:color w:val="231F1F"/>
          <w:w w:val="105"/>
        </w:rPr>
        <w:t> (n=24</w:t>
      </w:r>
      <w:r>
        <w:rPr>
          <w:color w:val="231F1F"/>
          <w:w w:val="105"/>
        </w:rPr>
        <w:t> y</w:t>
      </w:r>
      <w:r>
        <w:rPr>
          <w:color w:val="231F1F"/>
          <w:w w:val="105"/>
        </w:rPr>
        <w:t> n=60)</w:t>
      </w:r>
      <w:r>
        <w:rPr>
          <w:color w:val="231F1F"/>
          <w:w w:val="105"/>
        </w:rPr>
        <w:t> y</w:t>
      </w:r>
      <w:r>
        <w:rPr>
          <w:color w:val="231F1F"/>
          <w:w w:val="105"/>
        </w:rPr>
        <w:t> un</w:t>
      </w:r>
      <w:r>
        <w:rPr>
          <w:color w:val="231F1F"/>
          <w:w w:val="105"/>
        </w:rPr>
        <w:t> estudio</w:t>
      </w:r>
      <w:r>
        <w:rPr>
          <w:color w:val="231F1F"/>
          <w:w w:val="105"/>
        </w:rPr>
        <w:t> de</w:t>
      </w:r>
      <w:r>
        <w:rPr>
          <w:color w:val="231F1F"/>
          <w:w w:val="105"/>
        </w:rPr>
        <w:t> cohortes</w:t>
      </w:r>
      <w:r>
        <w:rPr>
          <w:color w:val="231F1F"/>
          <w:w w:val="105"/>
        </w:rPr>
        <w:t> pros- pectivo.</w:t>
      </w:r>
      <w:r>
        <w:rPr>
          <w:color w:val="231F1F"/>
          <w:w w:val="105"/>
        </w:rPr>
        <w:t> Los</w:t>
      </w:r>
      <w:r>
        <w:rPr>
          <w:color w:val="231F1F"/>
          <w:w w:val="105"/>
        </w:rPr>
        <w:t> dos</w:t>
      </w:r>
      <w:r>
        <w:rPr>
          <w:color w:val="231F1F"/>
          <w:w w:val="105"/>
        </w:rPr>
        <w:t> ECAs</w:t>
      </w:r>
      <w:r>
        <w:rPr>
          <w:color w:val="231F1F"/>
          <w:w w:val="105"/>
        </w:rPr>
        <w:t> fueron</w:t>
      </w:r>
      <w:r>
        <w:rPr>
          <w:color w:val="231F1F"/>
          <w:w w:val="105"/>
        </w:rPr>
        <w:t> llevados</w:t>
      </w:r>
      <w:r>
        <w:rPr>
          <w:color w:val="231F1F"/>
          <w:w w:val="105"/>
        </w:rPr>
        <w:t> a</w:t>
      </w:r>
      <w:r>
        <w:rPr>
          <w:color w:val="231F1F"/>
          <w:w w:val="105"/>
        </w:rPr>
        <w:t> cabo</w:t>
      </w:r>
      <w:r>
        <w:rPr>
          <w:color w:val="231F1F"/>
          <w:w w:val="105"/>
        </w:rPr>
        <w:t> en</w:t>
      </w:r>
      <w:r>
        <w:rPr>
          <w:color w:val="231F1F"/>
          <w:w w:val="105"/>
        </w:rPr>
        <w:t> EEUU</w:t>
      </w:r>
      <w:r>
        <w:rPr>
          <w:color w:val="231F1F"/>
          <w:w w:val="105"/>
        </w:rPr>
        <w:t> y</w:t>
      </w:r>
      <w:r>
        <w:rPr>
          <w:color w:val="231F1F"/>
          <w:w w:val="105"/>
        </w:rPr>
        <w:t> Taiwan,</w:t>
      </w:r>
      <w:r>
        <w:rPr>
          <w:color w:val="231F1F"/>
          <w:w w:val="105"/>
        </w:rPr>
        <w:t> respec- </w:t>
      </w:r>
      <w:r>
        <w:rPr>
          <w:color w:val="231F1F"/>
          <w:spacing w:val="-2"/>
          <w:w w:val="105"/>
        </w:rPr>
        <w:t>tivamente.</w:t>
      </w:r>
    </w:p>
    <w:p>
      <w:pPr>
        <w:pStyle w:val="BodyText"/>
        <w:spacing w:line="256" w:lineRule="auto" w:before="150"/>
        <w:ind w:left="287" w:right="38" w:firstLine="453"/>
        <w:jc w:val="both"/>
      </w:pPr>
      <w:r>
        <w:rPr>
          <w:color w:val="231F1F"/>
          <w:w w:val="105"/>
        </w:rPr>
        <w:t>La</w:t>
      </w:r>
      <w:r>
        <w:rPr>
          <w:color w:val="231F1F"/>
          <w:w w:val="105"/>
        </w:rPr>
        <w:t> heterogeneidad</w:t>
      </w:r>
      <w:r>
        <w:rPr>
          <w:color w:val="231F1F"/>
          <w:w w:val="105"/>
        </w:rPr>
        <w:t> entre</w:t>
      </w:r>
      <w:r>
        <w:rPr>
          <w:color w:val="231F1F"/>
          <w:w w:val="105"/>
        </w:rPr>
        <w:t> los</w:t>
      </w:r>
      <w:r>
        <w:rPr>
          <w:color w:val="231F1F"/>
          <w:w w:val="105"/>
        </w:rPr>
        <w:t> ECAs</w:t>
      </w:r>
      <w:r>
        <w:rPr>
          <w:color w:val="231F1F"/>
          <w:w w:val="105"/>
        </w:rPr>
        <w:t> impidió</w:t>
      </w:r>
      <w:r>
        <w:rPr>
          <w:color w:val="231F1F"/>
          <w:w w:val="105"/>
        </w:rPr>
        <w:t> la</w:t>
      </w:r>
      <w:r>
        <w:rPr>
          <w:color w:val="231F1F"/>
          <w:w w:val="105"/>
        </w:rPr>
        <w:t> puesta</w:t>
      </w:r>
      <w:r>
        <w:rPr>
          <w:color w:val="231F1F"/>
          <w:w w:val="105"/>
        </w:rPr>
        <w:t> en</w:t>
      </w:r>
      <w:r>
        <w:rPr>
          <w:color w:val="231F1F"/>
          <w:w w:val="105"/>
        </w:rPr>
        <w:t> común</w:t>
      </w:r>
      <w:r>
        <w:rPr>
          <w:color w:val="231F1F"/>
          <w:w w:val="105"/>
        </w:rPr>
        <w:t> de</w:t>
      </w:r>
      <w:r>
        <w:rPr>
          <w:color w:val="231F1F"/>
          <w:w w:val="105"/>
        </w:rPr>
        <w:t> los datos. Ambos ensayos mostraron una reducción significativa del dolor duran- te el parto, notificado por enfermeras y mujeres, en el grupo con masaje. No</w:t>
      </w:r>
      <w:r>
        <w:rPr>
          <w:color w:val="231F1F"/>
          <w:spacing w:val="40"/>
          <w:w w:val="105"/>
        </w:rPr>
        <w:t> </w:t>
      </w:r>
      <w:r>
        <w:rPr>
          <w:color w:val="231F1F"/>
          <w:w w:val="105"/>
        </w:rPr>
        <w:t>se</w:t>
      </w:r>
      <w:r>
        <w:rPr>
          <w:color w:val="231F1F"/>
          <w:w w:val="105"/>
        </w:rPr>
        <w:t> menciona</w:t>
      </w:r>
      <w:r>
        <w:rPr>
          <w:color w:val="231F1F"/>
          <w:w w:val="105"/>
        </w:rPr>
        <w:t> la</w:t>
      </w:r>
      <w:r>
        <w:rPr>
          <w:color w:val="231F1F"/>
          <w:w w:val="105"/>
        </w:rPr>
        <w:t> utilización</w:t>
      </w:r>
      <w:r>
        <w:rPr>
          <w:color w:val="231F1F"/>
          <w:w w:val="105"/>
        </w:rPr>
        <w:t> de</w:t>
      </w:r>
      <w:r>
        <w:rPr>
          <w:color w:val="231F1F"/>
          <w:w w:val="105"/>
        </w:rPr>
        <w:t> otro</w:t>
      </w:r>
      <w:r>
        <w:rPr>
          <w:color w:val="231F1F"/>
          <w:w w:val="105"/>
        </w:rPr>
        <w:t> tipo</w:t>
      </w:r>
      <w:r>
        <w:rPr>
          <w:color w:val="231F1F"/>
          <w:w w:val="105"/>
        </w:rPr>
        <w:t> de</w:t>
      </w:r>
      <w:r>
        <w:rPr>
          <w:color w:val="231F1F"/>
          <w:w w:val="105"/>
        </w:rPr>
        <w:t> analgesia</w:t>
      </w:r>
      <w:r>
        <w:rPr>
          <w:color w:val="231F1F"/>
          <w:w w:val="105"/>
        </w:rPr>
        <w:t> durante</w:t>
      </w:r>
      <w:r>
        <w:rPr>
          <w:color w:val="231F1F"/>
          <w:w w:val="105"/>
        </w:rPr>
        <w:t> el</w:t>
      </w:r>
      <w:r>
        <w:rPr>
          <w:color w:val="231F1F"/>
          <w:w w:val="105"/>
        </w:rPr>
        <w:t> parto</w:t>
      </w:r>
      <w:r>
        <w:rPr>
          <w:color w:val="231F1F"/>
          <w:w w:val="105"/>
        </w:rPr>
        <w:t> en</w:t>
      </w:r>
      <w:r>
        <w:rPr>
          <w:color w:val="231F1F"/>
          <w:w w:val="105"/>
        </w:rPr>
        <w:t> nin- guno de los grupos. En el estudio más pequeño se notificó, tanto por las mu- jeres como por observadores cegados, una disminución significativa del estrés y</w:t>
      </w:r>
      <w:r>
        <w:rPr>
          <w:color w:val="231F1F"/>
          <w:spacing w:val="-6"/>
          <w:w w:val="105"/>
        </w:rPr>
        <w:t> </w:t>
      </w:r>
      <w:r>
        <w:rPr>
          <w:color w:val="231F1F"/>
          <w:w w:val="105"/>
        </w:rPr>
        <w:t>ansiedad</w:t>
      </w:r>
      <w:r>
        <w:rPr>
          <w:color w:val="231F1F"/>
          <w:spacing w:val="-6"/>
          <w:w w:val="105"/>
        </w:rPr>
        <w:t> </w:t>
      </w:r>
      <w:r>
        <w:rPr>
          <w:color w:val="231F1F"/>
          <w:w w:val="105"/>
        </w:rPr>
        <w:t>durante</w:t>
      </w:r>
      <w:r>
        <w:rPr>
          <w:color w:val="231F1F"/>
          <w:spacing w:val="-7"/>
          <w:w w:val="105"/>
        </w:rPr>
        <w:t> </w:t>
      </w:r>
      <w:r>
        <w:rPr>
          <w:color w:val="231F1F"/>
          <w:w w:val="105"/>
        </w:rPr>
        <w:t>el</w:t>
      </w:r>
      <w:r>
        <w:rPr>
          <w:color w:val="231F1F"/>
          <w:spacing w:val="-7"/>
          <w:w w:val="105"/>
        </w:rPr>
        <w:t> </w:t>
      </w:r>
      <w:r>
        <w:rPr>
          <w:color w:val="231F1F"/>
          <w:w w:val="105"/>
        </w:rPr>
        <w:t>parto.</w:t>
      </w:r>
      <w:r>
        <w:rPr>
          <w:color w:val="231F1F"/>
          <w:spacing w:val="-6"/>
          <w:w w:val="105"/>
        </w:rPr>
        <w:t> </w:t>
      </w:r>
      <w:r>
        <w:rPr>
          <w:color w:val="231F1F"/>
          <w:w w:val="105"/>
        </w:rPr>
        <w:t>También</w:t>
      </w:r>
      <w:r>
        <w:rPr>
          <w:color w:val="231F1F"/>
          <w:spacing w:val="-6"/>
          <w:w w:val="105"/>
        </w:rPr>
        <w:t> </w:t>
      </w:r>
      <w:r>
        <w:rPr>
          <w:color w:val="231F1F"/>
          <w:w w:val="105"/>
        </w:rPr>
        <w:t>hubo</w:t>
      </w:r>
      <w:r>
        <w:rPr>
          <w:color w:val="231F1F"/>
          <w:spacing w:val="-6"/>
          <w:w w:val="105"/>
        </w:rPr>
        <w:t> </w:t>
      </w:r>
      <w:r>
        <w:rPr>
          <w:color w:val="231F1F"/>
          <w:w w:val="105"/>
        </w:rPr>
        <w:t>una</w:t>
      </w:r>
      <w:r>
        <w:rPr>
          <w:color w:val="231F1F"/>
          <w:spacing w:val="-6"/>
          <w:w w:val="105"/>
        </w:rPr>
        <w:t> </w:t>
      </w:r>
      <w:r>
        <w:rPr>
          <w:color w:val="231F1F"/>
          <w:w w:val="105"/>
        </w:rPr>
        <w:t>mejoría</w:t>
      </w:r>
      <w:r>
        <w:rPr>
          <w:color w:val="231F1F"/>
          <w:spacing w:val="-6"/>
          <w:w w:val="105"/>
        </w:rPr>
        <w:t> </w:t>
      </w:r>
      <w:r>
        <w:rPr>
          <w:color w:val="231F1F"/>
          <w:w w:val="105"/>
        </w:rPr>
        <w:t>significativa</w:t>
      </w:r>
      <w:r>
        <w:rPr>
          <w:color w:val="231F1F"/>
          <w:spacing w:val="-7"/>
          <w:w w:val="105"/>
        </w:rPr>
        <w:t> </w:t>
      </w:r>
      <w:r>
        <w:rPr>
          <w:color w:val="231F1F"/>
          <w:w w:val="105"/>
        </w:rPr>
        <w:t>del</w:t>
      </w:r>
      <w:r>
        <w:rPr>
          <w:color w:val="231F1F"/>
          <w:spacing w:val="-7"/>
          <w:w w:val="105"/>
        </w:rPr>
        <w:t> </w:t>
      </w:r>
      <w:r>
        <w:rPr>
          <w:color w:val="231F1F"/>
          <w:w w:val="105"/>
        </w:rPr>
        <w:t>humor de</w:t>
      </w:r>
      <w:r>
        <w:rPr>
          <w:color w:val="231F1F"/>
          <w:w w:val="105"/>
        </w:rPr>
        <w:t> la</w:t>
      </w:r>
      <w:r>
        <w:rPr>
          <w:color w:val="231F1F"/>
          <w:w w:val="105"/>
        </w:rPr>
        <w:t> madre</w:t>
      </w:r>
      <w:r>
        <w:rPr>
          <w:color w:val="231F1F"/>
          <w:w w:val="105"/>
        </w:rPr>
        <w:t> (utilizando</w:t>
      </w:r>
      <w:r>
        <w:rPr>
          <w:color w:val="231F1F"/>
          <w:w w:val="105"/>
        </w:rPr>
        <w:t> una</w:t>
      </w:r>
      <w:r>
        <w:rPr>
          <w:color w:val="231F1F"/>
          <w:w w:val="105"/>
        </w:rPr>
        <w:t> escala</w:t>
      </w:r>
      <w:r>
        <w:rPr>
          <w:color w:val="231F1F"/>
          <w:w w:val="105"/>
        </w:rPr>
        <w:t> de</w:t>
      </w:r>
      <w:r>
        <w:rPr>
          <w:color w:val="231F1F"/>
          <w:w w:val="105"/>
        </w:rPr>
        <w:t> depresión)</w:t>
      </w:r>
      <w:r>
        <w:rPr>
          <w:color w:val="231F1F"/>
          <w:w w:val="105"/>
        </w:rPr>
        <w:t> durante</w:t>
      </w:r>
      <w:r>
        <w:rPr>
          <w:color w:val="231F1F"/>
          <w:w w:val="105"/>
        </w:rPr>
        <w:t> el</w:t>
      </w:r>
      <w:r>
        <w:rPr>
          <w:color w:val="231F1F"/>
          <w:w w:val="105"/>
        </w:rPr>
        <w:t> parto</w:t>
      </w:r>
      <w:r>
        <w:rPr>
          <w:color w:val="231F1F"/>
          <w:w w:val="105"/>
        </w:rPr>
        <w:t> y</w:t>
      </w:r>
      <w:r>
        <w:rPr>
          <w:color w:val="231F1F"/>
          <w:w w:val="105"/>
        </w:rPr>
        <w:t> tras</w:t>
      </w:r>
      <w:r>
        <w:rPr>
          <w:color w:val="231F1F"/>
          <w:w w:val="105"/>
        </w:rPr>
        <w:t> el </w:t>
      </w:r>
      <w:r>
        <w:rPr>
          <w:color w:val="231F1F"/>
          <w:spacing w:val="-2"/>
          <w:w w:val="105"/>
        </w:rPr>
        <w:t>nacimiento.</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6"/>
        <w:rPr>
          <w:sz w:val="18"/>
        </w:rPr>
      </w:pPr>
    </w:p>
    <w:p>
      <w:pPr>
        <w:spacing w:before="0"/>
        <w:ind w:left="287" w:right="0" w:firstLine="0"/>
        <w:jc w:val="left"/>
        <w:rPr>
          <w:rFonts w:ascii="Arial MT"/>
          <w:sz w:val="18"/>
        </w:rPr>
      </w:pPr>
      <w:r>
        <w:rPr>
          <w:rFonts w:ascii="Arial MT"/>
          <w:color w:val="231F1F"/>
          <w:sz w:val="18"/>
        </w:rPr>
        <w:t>2</w:t>
      </w:r>
      <w:r>
        <w:rPr>
          <w:rFonts w:ascii="Arial MT"/>
          <w:color w:val="231F1F"/>
          <w:spacing w:val="-5"/>
          <w:sz w:val="18"/>
        </w:rPr>
        <w:t> RS</w:t>
      </w:r>
    </w:p>
    <w:p>
      <w:pPr>
        <w:spacing w:before="28"/>
        <w:ind w:left="379" w:right="0" w:firstLine="0"/>
        <w:jc w:val="left"/>
        <w:rPr>
          <w:rFonts w:ascii="Arial MT"/>
          <w:sz w:val="18"/>
        </w:rPr>
      </w:pPr>
      <w:r>
        <w:rPr>
          <w:rFonts w:ascii="Arial MT"/>
          <w:color w:val="231F1F"/>
          <w:spacing w:val="-5"/>
          <w:sz w:val="18"/>
        </w:rPr>
        <w:t>1+</w:t>
      </w:r>
    </w:p>
    <w:p>
      <w:pPr>
        <w:spacing w:after="0"/>
        <w:jc w:val="left"/>
        <w:rPr>
          <w:rFonts w:ascii="Arial MT"/>
          <w:sz w:val="18"/>
        </w:rPr>
        <w:sectPr>
          <w:type w:val="continuous"/>
          <w:pgSz w:w="11900" w:h="16840"/>
          <w:pgMar w:header="0" w:footer="622" w:top="560" w:bottom="280" w:left="1417" w:right="1559"/>
          <w:cols w:num="2" w:equalWidth="0">
            <w:col w:w="7598" w:space="144"/>
            <w:col w:w="1182"/>
          </w:cols>
        </w:sectPr>
      </w:pPr>
    </w:p>
    <w:p>
      <w:pPr>
        <w:pStyle w:val="BodyText"/>
        <w:tabs>
          <w:tab w:pos="8114" w:val="left" w:leader="none"/>
        </w:tabs>
        <w:spacing w:line="254" w:lineRule="auto" w:before="88"/>
        <w:ind w:left="283" w:right="479" w:firstLine="453"/>
      </w:pPr>
      <w:r>
        <w:rPr>
          <w:color w:val="231F1F"/>
          <w:w w:val="110"/>
        </w:rPr>
        <w:t>El</w:t>
      </w:r>
      <w:r>
        <w:rPr>
          <w:color w:val="231F1F"/>
          <w:spacing w:val="-5"/>
          <w:w w:val="110"/>
        </w:rPr>
        <w:t> </w:t>
      </w:r>
      <w:r>
        <w:rPr>
          <w:color w:val="231F1F"/>
          <w:w w:val="110"/>
        </w:rPr>
        <w:t>estudio</w:t>
      </w:r>
      <w:r>
        <w:rPr>
          <w:color w:val="231F1F"/>
          <w:spacing w:val="-4"/>
          <w:w w:val="110"/>
        </w:rPr>
        <w:t> </w:t>
      </w:r>
      <w:r>
        <w:rPr>
          <w:color w:val="231F1F"/>
          <w:w w:val="110"/>
        </w:rPr>
        <w:t>prospectivo</w:t>
      </w:r>
      <w:r>
        <w:rPr>
          <w:color w:val="231F1F"/>
          <w:spacing w:val="-4"/>
          <w:w w:val="110"/>
        </w:rPr>
        <w:t> </w:t>
      </w:r>
      <w:r>
        <w:rPr>
          <w:color w:val="231F1F"/>
          <w:w w:val="110"/>
        </w:rPr>
        <w:t>de</w:t>
      </w:r>
      <w:r>
        <w:rPr>
          <w:color w:val="231F1F"/>
          <w:spacing w:val="-4"/>
          <w:w w:val="110"/>
        </w:rPr>
        <w:t> </w:t>
      </w:r>
      <w:r>
        <w:rPr>
          <w:color w:val="231F1F"/>
          <w:w w:val="110"/>
        </w:rPr>
        <w:t>cohortes</w:t>
      </w:r>
      <w:r>
        <w:rPr>
          <w:color w:val="231F1F"/>
          <w:spacing w:val="-4"/>
          <w:w w:val="110"/>
        </w:rPr>
        <w:t> </w:t>
      </w:r>
      <w:r>
        <w:rPr>
          <w:color w:val="231F1F"/>
          <w:w w:val="110"/>
        </w:rPr>
        <w:t>(n=90)</w:t>
      </w:r>
      <w:r>
        <w:rPr>
          <w:color w:val="231F1F"/>
          <w:spacing w:val="-4"/>
          <w:w w:val="110"/>
        </w:rPr>
        <w:t> </w:t>
      </w:r>
      <w:r>
        <w:rPr>
          <w:color w:val="231F1F"/>
          <w:w w:val="110"/>
        </w:rPr>
        <w:t>(286),</w:t>
      </w:r>
      <w:r>
        <w:rPr>
          <w:color w:val="231F1F"/>
          <w:spacing w:val="-5"/>
          <w:w w:val="110"/>
        </w:rPr>
        <w:t> </w:t>
      </w:r>
      <w:r>
        <w:rPr>
          <w:color w:val="231F1F"/>
          <w:w w:val="110"/>
        </w:rPr>
        <w:t>llevado</w:t>
      </w:r>
      <w:r>
        <w:rPr>
          <w:color w:val="231F1F"/>
          <w:spacing w:val="-4"/>
          <w:w w:val="110"/>
        </w:rPr>
        <w:t> </w:t>
      </w:r>
      <w:r>
        <w:rPr>
          <w:color w:val="231F1F"/>
          <w:w w:val="110"/>
        </w:rPr>
        <w:t>a</w:t>
      </w:r>
      <w:r>
        <w:rPr>
          <w:color w:val="231F1F"/>
          <w:spacing w:val="-4"/>
          <w:w w:val="110"/>
        </w:rPr>
        <w:t> </w:t>
      </w:r>
      <w:r>
        <w:rPr>
          <w:color w:val="231F1F"/>
          <w:w w:val="110"/>
        </w:rPr>
        <w:t>cabo</w:t>
      </w:r>
      <w:r>
        <w:rPr>
          <w:color w:val="231F1F"/>
          <w:spacing w:val="-4"/>
          <w:w w:val="110"/>
        </w:rPr>
        <w:t> </w:t>
      </w:r>
      <w:r>
        <w:rPr>
          <w:color w:val="231F1F"/>
          <w:w w:val="110"/>
        </w:rPr>
        <w:t>en</w:t>
      </w:r>
      <w:r>
        <w:rPr>
          <w:color w:val="231F1F"/>
          <w:spacing w:val="29"/>
          <w:w w:val="110"/>
        </w:rPr>
        <w:t> </w:t>
      </w:r>
      <w:r>
        <w:rPr>
          <w:rFonts w:ascii="Arial MT" w:hAnsi="Arial MT"/>
          <w:color w:val="231F1F"/>
          <w:w w:val="110"/>
          <w:sz w:val="18"/>
        </w:rPr>
        <w:t>E.</w:t>
      </w:r>
      <w:r>
        <w:rPr>
          <w:rFonts w:ascii="Arial MT" w:hAnsi="Arial MT"/>
          <w:color w:val="231F1F"/>
          <w:spacing w:val="-8"/>
          <w:w w:val="110"/>
          <w:sz w:val="18"/>
        </w:rPr>
        <w:t> </w:t>
      </w:r>
      <w:r>
        <w:rPr>
          <w:rFonts w:ascii="Arial MT" w:hAnsi="Arial MT"/>
          <w:color w:val="231F1F"/>
          <w:w w:val="110"/>
          <w:sz w:val="18"/>
        </w:rPr>
        <w:t>de</w:t>
      </w:r>
      <w:r>
        <w:rPr>
          <w:rFonts w:ascii="Arial MT" w:hAnsi="Arial MT"/>
          <w:color w:val="231F1F"/>
          <w:spacing w:val="-4"/>
          <w:w w:val="110"/>
          <w:sz w:val="18"/>
        </w:rPr>
        <w:t> </w:t>
      </w:r>
      <w:r>
        <w:rPr>
          <w:rFonts w:ascii="Arial MT" w:hAnsi="Arial MT"/>
          <w:color w:val="231F1F"/>
          <w:w w:val="110"/>
          <w:sz w:val="18"/>
        </w:rPr>
        <w:t>cohorte </w:t>
      </w:r>
      <w:r>
        <w:rPr>
          <w:color w:val="231F1F"/>
          <w:w w:val="110"/>
        </w:rPr>
        <w:t>EEUU, examinó el efecto del contacto físico con fin terapéutico durante el</w:t>
      </w:r>
      <w:r>
        <w:rPr>
          <w:color w:val="231F1F"/>
        </w:rPr>
        <w:tab/>
      </w:r>
      <w:r>
        <w:rPr>
          <w:rFonts w:ascii="Arial MT" w:hAnsi="Arial MT"/>
          <w:color w:val="231F1F"/>
          <w:spacing w:val="-6"/>
          <w:w w:val="110"/>
          <w:position w:val="4"/>
          <w:sz w:val="18"/>
        </w:rPr>
        <w:t>2+ </w:t>
      </w:r>
      <w:r>
        <w:rPr>
          <w:color w:val="231F1F"/>
          <w:w w:val="110"/>
        </w:rPr>
        <w:t>parto. Las mujeres del grupo experimental recibieron contacto de la matro-</w:t>
      </w:r>
    </w:p>
    <w:p>
      <w:pPr>
        <w:pStyle w:val="BodyText"/>
        <w:spacing w:line="247" w:lineRule="auto"/>
        <w:ind w:left="283" w:right="1362"/>
        <w:jc w:val="both"/>
      </w:pPr>
      <w:r>
        <w:rPr>
          <w:color w:val="231F1F"/>
          <w:w w:val="105"/>
        </w:rPr>
        <w:t>na (ej. coger de la mano) por un periodo de 5 a 10 segundos después de cada expresión</w:t>
      </w:r>
      <w:r>
        <w:rPr>
          <w:color w:val="231F1F"/>
          <w:spacing w:val="24"/>
          <w:w w:val="105"/>
        </w:rPr>
        <w:t> </w:t>
      </w:r>
      <w:r>
        <w:rPr>
          <w:color w:val="231F1F"/>
          <w:w w:val="105"/>
        </w:rPr>
        <w:t>verbal</w:t>
      </w:r>
      <w:r>
        <w:rPr>
          <w:color w:val="231F1F"/>
          <w:spacing w:val="24"/>
          <w:w w:val="105"/>
        </w:rPr>
        <w:t> </w:t>
      </w:r>
      <w:r>
        <w:rPr>
          <w:color w:val="231F1F"/>
          <w:w w:val="105"/>
        </w:rPr>
        <w:t>de</w:t>
      </w:r>
      <w:r>
        <w:rPr>
          <w:color w:val="231F1F"/>
          <w:spacing w:val="24"/>
          <w:w w:val="105"/>
        </w:rPr>
        <w:t> </w:t>
      </w:r>
      <w:r>
        <w:rPr>
          <w:color w:val="231F1F"/>
          <w:w w:val="105"/>
        </w:rPr>
        <w:t>ansiedad.</w:t>
      </w:r>
      <w:r>
        <w:rPr>
          <w:color w:val="231F1F"/>
          <w:spacing w:val="24"/>
          <w:w w:val="105"/>
        </w:rPr>
        <w:t> </w:t>
      </w:r>
      <w:r>
        <w:rPr>
          <w:color w:val="231F1F"/>
          <w:w w:val="105"/>
        </w:rPr>
        <w:t>El</w:t>
      </w:r>
      <w:r>
        <w:rPr>
          <w:color w:val="231F1F"/>
          <w:spacing w:val="24"/>
          <w:w w:val="105"/>
        </w:rPr>
        <w:t> </w:t>
      </w:r>
      <w:r>
        <w:rPr>
          <w:color w:val="231F1F"/>
          <w:w w:val="105"/>
        </w:rPr>
        <w:t>estudio</w:t>
      </w:r>
      <w:r>
        <w:rPr>
          <w:color w:val="231F1F"/>
          <w:spacing w:val="24"/>
          <w:w w:val="105"/>
        </w:rPr>
        <w:t> </w:t>
      </w:r>
      <w:r>
        <w:rPr>
          <w:color w:val="231F1F"/>
          <w:w w:val="105"/>
        </w:rPr>
        <w:t>se</w:t>
      </w:r>
      <w:r>
        <w:rPr>
          <w:color w:val="231F1F"/>
          <w:spacing w:val="24"/>
          <w:w w:val="105"/>
        </w:rPr>
        <w:t> </w:t>
      </w:r>
      <w:r>
        <w:rPr>
          <w:color w:val="231F1F"/>
          <w:w w:val="105"/>
        </w:rPr>
        <w:t>llevo</w:t>
      </w:r>
      <w:r>
        <w:rPr>
          <w:color w:val="231F1F"/>
          <w:spacing w:val="24"/>
          <w:w w:val="105"/>
        </w:rPr>
        <w:t> </w:t>
      </w:r>
      <w:r>
        <w:rPr>
          <w:color w:val="231F1F"/>
          <w:w w:val="105"/>
        </w:rPr>
        <w:t>a</w:t>
      </w:r>
      <w:r>
        <w:rPr>
          <w:color w:val="231F1F"/>
          <w:spacing w:val="24"/>
          <w:w w:val="105"/>
        </w:rPr>
        <w:t> </w:t>
      </w:r>
      <w:r>
        <w:rPr>
          <w:color w:val="231F1F"/>
          <w:w w:val="105"/>
        </w:rPr>
        <w:t>cabo</w:t>
      </w:r>
      <w:r>
        <w:rPr>
          <w:color w:val="231F1F"/>
          <w:spacing w:val="24"/>
          <w:w w:val="105"/>
        </w:rPr>
        <w:t> </w:t>
      </w:r>
      <w:r>
        <w:rPr>
          <w:color w:val="231F1F"/>
          <w:w w:val="105"/>
        </w:rPr>
        <w:t>durante</w:t>
      </w:r>
      <w:r>
        <w:rPr>
          <w:color w:val="231F1F"/>
          <w:spacing w:val="24"/>
          <w:w w:val="105"/>
        </w:rPr>
        <w:t> </w:t>
      </w:r>
      <w:r>
        <w:rPr>
          <w:color w:val="231F1F"/>
          <w:w w:val="105"/>
        </w:rPr>
        <w:t>un</w:t>
      </w:r>
      <w:r>
        <w:rPr>
          <w:color w:val="231F1F"/>
          <w:spacing w:val="24"/>
          <w:w w:val="105"/>
        </w:rPr>
        <w:t> </w:t>
      </w:r>
      <w:r>
        <w:rPr>
          <w:color w:val="231F1F"/>
          <w:w w:val="105"/>
        </w:rPr>
        <w:t>periodo de</w:t>
      </w:r>
      <w:r>
        <w:rPr>
          <w:color w:val="231F1F"/>
          <w:w w:val="105"/>
        </w:rPr>
        <w:t> 30</w:t>
      </w:r>
      <w:r>
        <w:rPr>
          <w:color w:val="231F1F"/>
          <w:w w:val="105"/>
        </w:rPr>
        <w:t> minutos</w:t>
      </w:r>
      <w:r>
        <w:rPr>
          <w:color w:val="231F1F"/>
          <w:w w:val="105"/>
        </w:rPr>
        <w:t> de</w:t>
      </w:r>
      <w:r>
        <w:rPr>
          <w:color w:val="231F1F"/>
          <w:w w:val="105"/>
        </w:rPr>
        <w:t> intervención</w:t>
      </w:r>
      <w:r>
        <w:rPr>
          <w:color w:val="231F1F"/>
          <w:w w:val="105"/>
        </w:rPr>
        <w:t> al</w:t>
      </w:r>
      <w:r>
        <w:rPr>
          <w:color w:val="231F1F"/>
          <w:w w:val="105"/>
        </w:rPr>
        <w:t> final</w:t>
      </w:r>
      <w:r>
        <w:rPr>
          <w:color w:val="231F1F"/>
          <w:w w:val="105"/>
        </w:rPr>
        <w:t> de</w:t>
      </w:r>
      <w:r>
        <w:rPr>
          <w:color w:val="231F1F"/>
          <w:w w:val="105"/>
        </w:rPr>
        <w:t> la</w:t>
      </w:r>
      <w:r>
        <w:rPr>
          <w:color w:val="231F1F"/>
          <w:w w:val="105"/>
        </w:rPr>
        <w:t> primera</w:t>
      </w:r>
      <w:r>
        <w:rPr>
          <w:color w:val="231F1F"/>
          <w:w w:val="105"/>
        </w:rPr>
        <w:t> etapa</w:t>
      </w:r>
      <w:r>
        <w:rPr>
          <w:color w:val="231F1F"/>
          <w:w w:val="105"/>
        </w:rPr>
        <w:t> del</w:t>
      </w:r>
      <w:r>
        <w:rPr>
          <w:color w:val="231F1F"/>
          <w:w w:val="105"/>
        </w:rPr>
        <w:t> parto</w:t>
      </w:r>
      <w:r>
        <w:rPr>
          <w:color w:val="231F1F"/>
          <w:w w:val="105"/>
        </w:rPr>
        <w:t> (dilata- ción</w:t>
      </w:r>
      <w:r>
        <w:rPr>
          <w:color w:val="231F1F"/>
          <w:w w:val="105"/>
        </w:rPr>
        <w:t> de</w:t>
      </w:r>
      <w:r>
        <w:rPr>
          <w:color w:val="231F1F"/>
          <w:w w:val="105"/>
        </w:rPr>
        <w:t> 8–10</w:t>
      </w:r>
      <w:r>
        <w:rPr>
          <w:color w:val="231F1F"/>
          <w:w w:val="105"/>
        </w:rPr>
        <w:t> cm).</w:t>
      </w:r>
      <w:r>
        <w:rPr>
          <w:color w:val="231F1F"/>
          <w:w w:val="105"/>
        </w:rPr>
        <w:t> El</w:t>
      </w:r>
      <w:r>
        <w:rPr>
          <w:color w:val="231F1F"/>
          <w:w w:val="105"/>
        </w:rPr>
        <w:t> grupo</w:t>
      </w:r>
      <w:r>
        <w:rPr>
          <w:color w:val="231F1F"/>
          <w:w w:val="105"/>
        </w:rPr>
        <w:t> control</w:t>
      </w:r>
      <w:r>
        <w:rPr>
          <w:color w:val="231F1F"/>
          <w:w w:val="105"/>
        </w:rPr>
        <w:t> recibió</w:t>
      </w:r>
      <w:r>
        <w:rPr>
          <w:color w:val="231F1F"/>
          <w:w w:val="105"/>
        </w:rPr>
        <w:t> «cuidado</w:t>
      </w:r>
      <w:r>
        <w:rPr>
          <w:color w:val="231F1F"/>
          <w:w w:val="105"/>
        </w:rPr>
        <w:t> habitual».</w:t>
      </w:r>
      <w:r>
        <w:rPr>
          <w:color w:val="231F1F"/>
          <w:w w:val="105"/>
        </w:rPr>
        <w:t> A</w:t>
      </w:r>
      <w:r>
        <w:rPr>
          <w:color w:val="231F1F"/>
          <w:w w:val="105"/>
        </w:rPr>
        <w:t> pesar</w:t>
      </w:r>
      <w:r>
        <w:rPr>
          <w:color w:val="231F1F"/>
          <w:w w:val="105"/>
        </w:rPr>
        <w:t> del aparente</w:t>
      </w:r>
      <w:r>
        <w:rPr>
          <w:color w:val="231F1F"/>
          <w:w w:val="105"/>
        </w:rPr>
        <w:t> corto</w:t>
      </w:r>
      <w:r>
        <w:rPr>
          <w:color w:val="231F1F"/>
          <w:w w:val="105"/>
        </w:rPr>
        <w:t> periodo</w:t>
      </w:r>
      <w:r>
        <w:rPr>
          <w:color w:val="231F1F"/>
          <w:w w:val="105"/>
        </w:rPr>
        <w:t> de</w:t>
      </w:r>
      <w:r>
        <w:rPr>
          <w:color w:val="231F1F"/>
          <w:w w:val="105"/>
        </w:rPr>
        <w:t> intervención,</w:t>
      </w:r>
      <w:r>
        <w:rPr>
          <w:color w:val="231F1F"/>
          <w:w w:val="105"/>
        </w:rPr>
        <w:t> la</w:t>
      </w:r>
      <w:r>
        <w:rPr>
          <w:color w:val="231F1F"/>
          <w:w w:val="105"/>
        </w:rPr>
        <w:t> ansiedad</w:t>
      </w:r>
      <w:r>
        <w:rPr>
          <w:color w:val="231F1F"/>
          <w:w w:val="105"/>
        </w:rPr>
        <w:t> materna</w:t>
      </w:r>
      <w:r>
        <w:rPr>
          <w:color w:val="231F1F"/>
          <w:w w:val="105"/>
        </w:rPr>
        <w:t> (medido</w:t>
      </w:r>
      <w:r>
        <w:rPr>
          <w:color w:val="231F1F"/>
          <w:w w:val="105"/>
        </w:rPr>
        <w:t> me- diante presión sanguínea, expresión verbal de ansiedad y puntuaciones de ansiedad</w:t>
      </w:r>
      <w:r>
        <w:rPr>
          <w:color w:val="231F1F"/>
          <w:spacing w:val="40"/>
          <w:w w:val="105"/>
        </w:rPr>
        <w:t> </w:t>
      </w:r>
      <w:r>
        <w:rPr>
          <w:color w:val="231F1F"/>
          <w:w w:val="105"/>
        </w:rPr>
        <w:t>notificados</w:t>
      </w:r>
      <w:r>
        <w:rPr>
          <w:color w:val="231F1F"/>
          <w:spacing w:val="40"/>
          <w:w w:val="105"/>
        </w:rPr>
        <w:t> </w:t>
      </w:r>
      <w:r>
        <w:rPr>
          <w:color w:val="231F1F"/>
          <w:w w:val="105"/>
        </w:rPr>
        <w:t>por</w:t>
      </w:r>
      <w:r>
        <w:rPr>
          <w:color w:val="231F1F"/>
          <w:spacing w:val="40"/>
          <w:w w:val="105"/>
        </w:rPr>
        <w:t> </w:t>
      </w:r>
      <w:r>
        <w:rPr>
          <w:color w:val="231F1F"/>
          <w:w w:val="105"/>
        </w:rPr>
        <w:t>la</w:t>
      </w:r>
      <w:r>
        <w:rPr>
          <w:color w:val="231F1F"/>
          <w:spacing w:val="40"/>
          <w:w w:val="105"/>
        </w:rPr>
        <w:t> </w:t>
      </w:r>
      <w:r>
        <w:rPr>
          <w:color w:val="231F1F"/>
          <w:w w:val="105"/>
        </w:rPr>
        <w:t>mujer</w:t>
      </w:r>
      <w:r>
        <w:rPr>
          <w:color w:val="231F1F"/>
          <w:spacing w:val="40"/>
          <w:w w:val="105"/>
        </w:rPr>
        <w:t> </w:t>
      </w:r>
      <w:r>
        <w:rPr>
          <w:color w:val="231F1F"/>
          <w:w w:val="105"/>
        </w:rPr>
        <w:t>durante</w:t>
      </w:r>
      <w:r>
        <w:rPr>
          <w:color w:val="231F1F"/>
          <w:spacing w:val="40"/>
          <w:w w:val="105"/>
        </w:rPr>
        <w:t> </w:t>
      </w:r>
      <w:r>
        <w:rPr>
          <w:color w:val="231F1F"/>
          <w:w w:val="105"/>
        </w:rPr>
        <w:t>el</w:t>
      </w:r>
      <w:r>
        <w:rPr>
          <w:color w:val="231F1F"/>
          <w:spacing w:val="40"/>
          <w:w w:val="105"/>
        </w:rPr>
        <w:t> </w:t>
      </w:r>
      <w:r>
        <w:rPr>
          <w:color w:val="231F1F"/>
          <w:w w:val="105"/>
        </w:rPr>
        <w:t>periodo</w:t>
      </w:r>
      <w:r>
        <w:rPr>
          <w:color w:val="231F1F"/>
          <w:spacing w:val="40"/>
          <w:w w:val="105"/>
        </w:rPr>
        <w:t> </w:t>
      </w:r>
      <w:r>
        <w:rPr>
          <w:color w:val="231F1F"/>
          <w:w w:val="105"/>
        </w:rPr>
        <w:t>postnatal</w:t>
      </w:r>
      <w:r>
        <w:rPr>
          <w:color w:val="231F1F"/>
          <w:spacing w:val="40"/>
          <w:w w:val="105"/>
        </w:rPr>
        <w:t> </w:t>
      </w:r>
      <w:r>
        <w:rPr>
          <w:color w:val="231F1F"/>
          <w:w w:val="105"/>
        </w:rPr>
        <w:t>prematuro) se</w:t>
      </w:r>
      <w:r>
        <w:rPr>
          <w:color w:val="231F1F"/>
          <w:w w:val="105"/>
        </w:rPr>
        <w:t> redujo</w:t>
      </w:r>
      <w:r>
        <w:rPr>
          <w:color w:val="231F1F"/>
          <w:w w:val="105"/>
        </w:rPr>
        <w:t> significativamente</w:t>
      </w:r>
      <w:r>
        <w:rPr>
          <w:color w:val="231F1F"/>
          <w:w w:val="105"/>
        </w:rPr>
        <w:t> en</w:t>
      </w:r>
      <w:r>
        <w:rPr>
          <w:color w:val="231F1F"/>
          <w:w w:val="105"/>
        </w:rPr>
        <w:t> el</w:t>
      </w:r>
      <w:r>
        <w:rPr>
          <w:color w:val="231F1F"/>
          <w:w w:val="105"/>
        </w:rPr>
        <w:t> grupo</w:t>
      </w:r>
      <w:r>
        <w:rPr>
          <w:color w:val="231F1F"/>
          <w:w w:val="105"/>
        </w:rPr>
        <w:t> experimental,</w:t>
      </w:r>
      <w:r>
        <w:rPr>
          <w:color w:val="231F1F"/>
          <w:w w:val="105"/>
        </w:rPr>
        <w:t> comparado</w:t>
      </w:r>
      <w:r>
        <w:rPr>
          <w:color w:val="231F1F"/>
          <w:w w:val="105"/>
        </w:rPr>
        <w:t> con</w:t>
      </w:r>
      <w:r>
        <w:rPr>
          <w:color w:val="231F1F"/>
          <w:w w:val="105"/>
        </w:rPr>
        <w:t> el</w:t>
      </w:r>
      <w:r>
        <w:rPr>
          <w:color w:val="231F1F"/>
          <w:spacing w:val="40"/>
          <w:w w:val="105"/>
        </w:rPr>
        <w:t> </w:t>
      </w:r>
      <w:r>
        <w:rPr>
          <w:color w:val="231F1F"/>
          <w:w w:val="105"/>
        </w:rPr>
        <w:t>grupo control (p&lt;0.05).</w:t>
      </w:r>
    </w:p>
    <w:p>
      <w:pPr>
        <w:pStyle w:val="BodyText"/>
        <w:spacing w:before="30"/>
        <w:ind w:left="283" w:right="1371" w:firstLine="453"/>
        <w:jc w:val="both"/>
      </w:pPr>
      <w:r>
        <w:rPr>
          <w:color w:val="231F1F"/>
          <w:w w:val="110"/>
        </w:rPr>
        <w:t>La</w:t>
      </w:r>
      <w:r>
        <w:rPr>
          <w:color w:val="231F1F"/>
          <w:spacing w:val="-3"/>
          <w:w w:val="110"/>
        </w:rPr>
        <w:t> </w:t>
      </w:r>
      <w:r>
        <w:rPr>
          <w:color w:val="231F1F"/>
          <w:w w:val="110"/>
        </w:rPr>
        <w:t>evidencia</w:t>
      </w:r>
      <w:r>
        <w:rPr>
          <w:color w:val="231F1F"/>
          <w:spacing w:val="-3"/>
          <w:w w:val="110"/>
        </w:rPr>
        <w:t> </w:t>
      </w:r>
      <w:r>
        <w:rPr>
          <w:color w:val="231F1F"/>
          <w:w w:val="110"/>
        </w:rPr>
        <w:t>sugiere</w:t>
      </w:r>
      <w:r>
        <w:rPr>
          <w:color w:val="231F1F"/>
          <w:spacing w:val="-4"/>
          <w:w w:val="110"/>
        </w:rPr>
        <w:t> </w:t>
      </w:r>
      <w:r>
        <w:rPr>
          <w:color w:val="231F1F"/>
          <w:w w:val="110"/>
        </w:rPr>
        <w:t>que</w:t>
      </w:r>
      <w:r>
        <w:rPr>
          <w:color w:val="231F1F"/>
          <w:spacing w:val="-4"/>
          <w:w w:val="110"/>
        </w:rPr>
        <w:t> </w:t>
      </w:r>
      <w:r>
        <w:rPr>
          <w:color w:val="231F1F"/>
          <w:w w:val="110"/>
        </w:rPr>
        <w:t>el</w:t>
      </w:r>
      <w:r>
        <w:rPr>
          <w:color w:val="231F1F"/>
          <w:spacing w:val="-4"/>
          <w:w w:val="110"/>
        </w:rPr>
        <w:t> </w:t>
      </w:r>
      <w:r>
        <w:rPr>
          <w:color w:val="231F1F"/>
          <w:w w:val="110"/>
        </w:rPr>
        <w:t>masaje</w:t>
      </w:r>
      <w:r>
        <w:rPr>
          <w:color w:val="231F1F"/>
          <w:spacing w:val="-3"/>
          <w:w w:val="110"/>
        </w:rPr>
        <w:t> </w:t>
      </w:r>
      <w:r>
        <w:rPr>
          <w:color w:val="231F1F"/>
          <w:w w:val="110"/>
        </w:rPr>
        <w:t>y</w:t>
      </w:r>
      <w:r>
        <w:rPr>
          <w:color w:val="231F1F"/>
          <w:spacing w:val="-3"/>
          <w:w w:val="110"/>
        </w:rPr>
        <w:t> </w:t>
      </w:r>
      <w:r>
        <w:rPr>
          <w:color w:val="231F1F"/>
          <w:w w:val="110"/>
        </w:rPr>
        <w:t>el</w:t>
      </w:r>
      <w:r>
        <w:rPr>
          <w:color w:val="231F1F"/>
          <w:spacing w:val="-4"/>
          <w:w w:val="110"/>
        </w:rPr>
        <w:t> </w:t>
      </w:r>
      <w:r>
        <w:rPr>
          <w:color w:val="231F1F"/>
          <w:w w:val="110"/>
        </w:rPr>
        <w:t>tacto</w:t>
      </w:r>
      <w:r>
        <w:rPr>
          <w:color w:val="231F1F"/>
          <w:spacing w:val="-3"/>
          <w:w w:val="110"/>
        </w:rPr>
        <w:t> </w:t>
      </w:r>
      <w:r>
        <w:rPr>
          <w:color w:val="231F1F"/>
          <w:w w:val="110"/>
        </w:rPr>
        <w:t>tranquilizador</w:t>
      </w:r>
      <w:r>
        <w:rPr>
          <w:color w:val="231F1F"/>
          <w:spacing w:val="-4"/>
          <w:w w:val="110"/>
        </w:rPr>
        <w:t> </w:t>
      </w:r>
      <w:r>
        <w:rPr>
          <w:color w:val="231F1F"/>
          <w:w w:val="110"/>
        </w:rPr>
        <w:t>reducen</w:t>
      </w:r>
      <w:r>
        <w:rPr>
          <w:color w:val="231F1F"/>
          <w:spacing w:val="-3"/>
          <w:w w:val="110"/>
        </w:rPr>
        <w:t> </w:t>
      </w:r>
      <w:r>
        <w:rPr>
          <w:color w:val="231F1F"/>
          <w:w w:val="110"/>
        </w:rPr>
        <w:t>el dolor y la ansiedad expresada durante el parto.</w:t>
      </w:r>
    </w:p>
    <w:p>
      <w:pPr>
        <w:pStyle w:val="BodyText"/>
        <w:spacing w:line="254" w:lineRule="auto" w:before="170"/>
        <w:ind w:left="283" w:right="1320" w:firstLine="453"/>
      </w:pPr>
      <w:r>
        <w:rPr>
          <w:color w:val="231F1F"/>
        </w:rPr>
        <w:t>No</w:t>
      </w:r>
      <w:r>
        <w:rPr>
          <w:color w:val="231F1F"/>
          <w:spacing w:val="30"/>
        </w:rPr>
        <w:t> </w:t>
      </w:r>
      <w:r>
        <w:rPr>
          <w:color w:val="231F1F"/>
        </w:rPr>
        <w:t>existe</w:t>
      </w:r>
      <w:r>
        <w:rPr>
          <w:color w:val="231F1F"/>
          <w:spacing w:val="30"/>
        </w:rPr>
        <w:t> </w:t>
      </w:r>
      <w:r>
        <w:rPr>
          <w:color w:val="231F1F"/>
        </w:rPr>
        <w:t>suficiente</w:t>
      </w:r>
      <w:r>
        <w:rPr>
          <w:color w:val="231F1F"/>
          <w:spacing w:val="30"/>
        </w:rPr>
        <w:t> </w:t>
      </w:r>
      <w:r>
        <w:rPr>
          <w:color w:val="231F1F"/>
        </w:rPr>
        <w:t>evidencia</w:t>
      </w:r>
      <w:r>
        <w:rPr>
          <w:color w:val="231F1F"/>
          <w:spacing w:val="30"/>
        </w:rPr>
        <w:t> </w:t>
      </w:r>
      <w:r>
        <w:rPr>
          <w:color w:val="231F1F"/>
        </w:rPr>
        <w:t>sobre</w:t>
      </w:r>
      <w:r>
        <w:rPr>
          <w:color w:val="231F1F"/>
          <w:spacing w:val="30"/>
        </w:rPr>
        <w:t> </w:t>
      </w:r>
      <w:r>
        <w:rPr>
          <w:color w:val="231F1F"/>
        </w:rPr>
        <w:t>la</w:t>
      </w:r>
      <w:r>
        <w:rPr>
          <w:color w:val="231F1F"/>
          <w:spacing w:val="30"/>
        </w:rPr>
        <w:t> </w:t>
      </w:r>
      <w:r>
        <w:rPr>
          <w:color w:val="231F1F"/>
        </w:rPr>
        <w:t>influencia</w:t>
      </w:r>
      <w:r>
        <w:rPr>
          <w:color w:val="231F1F"/>
          <w:spacing w:val="30"/>
        </w:rPr>
        <w:t> </w:t>
      </w:r>
      <w:r>
        <w:rPr>
          <w:color w:val="231F1F"/>
        </w:rPr>
        <w:t>del</w:t>
      </w:r>
      <w:r>
        <w:rPr>
          <w:color w:val="231F1F"/>
          <w:spacing w:val="30"/>
        </w:rPr>
        <w:t> </w:t>
      </w:r>
      <w:r>
        <w:rPr>
          <w:color w:val="231F1F"/>
        </w:rPr>
        <w:t>masaje</w:t>
      </w:r>
      <w:r>
        <w:rPr>
          <w:color w:val="231F1F"/>
          <w:spacing w:val="30"/>
        </w:rPr>
        <w:t> </w:t>
      </w:r>
      <w:r>
        <w:rPr>
          <w:color w:val="231F1F"/>
        </w:rPr>
        <w:t>en</w:t>
      </w:r>
      <w:r>
        <w:rPr>
          <w:color w:val="231F1F"/>
          <w:spacing w:val="30"/>
        </w:rPr>
        <w:t> </w:t>
      </w:r>
      <w:r>
        <w:rPr>
          <w:color w:val="231F1F"/>
        </w:rPr>
        <w:t>los</w:t>
      </w:r>
      <w:r>
        <w:rPr>
          <w:color w:val="231F1F"/>
          <w:spacing w:val="30"/>
        </w:rPr>
        <w:t> </w:t>
      </w:r>
      <w:r>
        <w:rPr>
          <w:color w:val="231F1F"/>
        </w:rPr>
        <w:t>resul- tados del parto.</w:t>
      </w:r>
    </w:p>
    <w:p>
      <w:pPr>
        <w:pStyle w:val="BodyText"/>
        <w:spacing w:after="0" w:line="254" w:lineRule="auto"/>
        <w:sectPr>
          <w:type w:val="continuous"/>
          <w:pgSz w:w="11900" w:h="16840"/>
          <w:pgMar w:header="0" w:footer="622" w:top="560" w:bottom="280" w:left="1417" w:right="1559"/>
        </w:sectPr>
      </w:pPr>
    </w:p>
    <w:p>
      <w:pPr>
        <w:spacing w:before="82"/>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3"/>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4"/>
          <w:sz w:val="24"/>
        </w:rPr>
        <w:t> </w:t>
      </w:r>
      <w:r>
        <w:rPr>
          <w:rFonts w:ascii="Arial MT" w:hAnsi="Arial MT"/>
          <w:color w:val="231F1F"/>
          <w:sz w:val="24"/>
        </w:rPr>
        <w:t>octubre</w:t>
      </w:r>
      <w:r>
        <w:rPr>
          <w:rFonts w:ascii="Arial MT" w:hAnsi="Arial MT"/>
          <w:color w:val="231F1F"/>
          <w:spacing w:val="23"/>
          <w:sz w:val="24"/>
        </w:rPr>
        <w:t> </w:t>
      </w:r>
      <w:r>
        <w:rPr>
          <w:rFonts w:ascii="Arial MT" w:hAnsi="Arial MT"/>
          <w:color w:val="231F1F"/>
          <w:spacing w:val="-2"/>
          <w:sz w:val="24"/>
        </w:rPr>
        <w:t>2008)</w:t>
      </w:r>
    </w:p>
    <w:p>
      <w:pPr>
        <w:pStyle w:val="BodyText"/>
        <w:spacing w:before="214"/>
        <w:ind w:left="283" w:right="43"/>
        <w:jc w:val="both"/>
      </w:pPr>
      <w:r>
        <w:rPr>
          <w:color w:val="231F1F"/>
          <w:w w:val="105"/>
        </w:rPr>
        <w:t>Se</w:t>
      </w:r>
      <w:r>
        <w:rPr>
          <w:color w:val="231F1F"/>
          <w:spacing w:val="40"/>
          <w:w w:val="105"/>
        </w:rPr>
        <w:t> </w:t>
      </w:r>
      <w:r>
        <w:rPr>
          <w:color w:val="231F1F"/>
          <w:w w:val="105"/>
        </w:rPr>
        <w:t>han</w:t>
      </w:r>
      <w:r>
        <w:rPr>
          <w:color w:val="231F1F"/>
          <w:spacing w:val="40"/>
          <w:w w:val="105"/>
        </w:rPr>
        <w:t> </w:t>
      </w:r>
      <w:r>
        <w:rPr>
          <w:color w:val="231F1F"/>
          <w:w w:val="105"/>
        </w:rPr>
        <w:t>seleccionado</w:t>
      </w:r>
      <w:r>
        <w:rPr>
          <w:color w:val="231F1F"/>
          <w:spacing w:val="40"/>
          <w:w w:val="105"/>
        </w:rPr>
        <w:t> </w:t>
      </w:r>
      <w:r>
        <w:rPr>
          <w:color w:val="231F1F"/>
          <w:w w:val="105"/>
        </w:rPr>
        <w:t>dos</w:t>
      </w:r>
      <w:r>
        <w:rPr>
          <w:color w:val="231F1F"/>
          <w:spacing w:val="40"/>
          <w:w w:val="105"/>
        </w:rPr>
        <w:t> </w:t>
      </w:r>
      <w:r>
        <w:rPr>
          <w:color w:val="231F1F"/>
          <w:w w:val="105"/>
        </w:rPr>
        <w:t>estudios:</w:t>
      </w:r>
      <w:r>
        <w:rPr>
          <w:color w:val="231F1F"/>
          <w:spacing w:val="40"/>
          <w:w w:val="105"/>
        </w:rPr>
        <w:t> </w:t>
      </w:r>
      <w:r>
        <w:rPr>
          <w:color w:val="231F1F"/>
          <w:w w:val="105"/>
        </w:rPr>
        <w:t>una</w:t>
      </w:r>
      <w:r>
        <w:rPr>
          <w:color w:val="231F1F"/>
          <w:spacing w:val="40"/>
          <w:w w:val="105"/>
        </w:rPr>
        <w:t> </w:t>
      </w:r>
      <w:r>
        <w:rPr>
          <w:color w:val="231F1F"/>
          <w:w w:val="105"/>
        </w:rPr>
        <w:t>RS</w:t>
      </w:r>
      <w:r>
        <w:rPr>
          <w:color w:val="231F1F"/>
          <w:spacing w:val="40"/>
          <w:w w:val="105"/>
        </w:rPr>
        <w:t> </w:t>
      </w:r>
      <w:r>
        <w:rPr>
          <w:color w:val="231F1F"/>
          <w:w w:val="105"/>
        </w:rPr>
        <w:t>Cochrane</w:t>
      </w:r>
      <w:r>
        <w:rPr>
          <w:color w:val="231F1F"/>
          <w:spacing w:val="40"/>
          <w:w w:val="105"/>
        </w:rPr>
        <w:t> </w:t>
      </w:r>
      <w:r>
        <w:rPr>
          <w:color w:val="231F1F"/>
          <w:w w:val="105"/>
        </w:rPr>
        <w:t>(277)</w:t>
      </w:r>
      <w:r>
        <w:rPr>
          <w:color w:val="231F1F"/>
          <w:spacing w:val="40"/>
          <w:w w:val="105"/>
        </w:rPr>
        <w:t> </w:t>
      </w:r>
      <w:r>
        <w:rPr>
          <w:color w:val="231F1F"/>
          <w:w w:val="105"/>
        </w:rPr>
        <w:t>y</w:t>
      </w:r>
      <w:r>
        <w:rPr>
          <w:color w:val="231F1F"/>
          <w:spacing w:val="40"/>
          <w:w w:val="105"/>
        </w:rPr>
        <w:t> </w:t>
      </w:r>
      <w:r>
        <w:rPr>
          <w:color w:val="231F1F"/>
          <w:w w:val="105"/>
        </w:rPr>
        <w:t>un</w:t>
      </w:r>
      <w:r>
        <w:rPr>
          <w:color w:val="231F1F"/>
          <w:spacing w:val="40"/>
          <w:w w:val="105"/>
        </w:rPr>
        <w:t> </w:t>
      </w:r>
      <w:r>
        <w:rPr>
          <w:color w:val="231F1F"/>
          <w:w w:val="105"/>
        </w:rPr>
        <w:t>ECA </w:t>
      </w:r>
      <w:r>
        <w:rPr>
          <w:color w:val="231F1F"/>
          <w:spacing w:val="-2"/>
          <w:w w:val="105"/>
        </w:rPr>
        <w:t>(287).</w:t>
      </w:r>
    </w:p>
    <w:p>
      <w:pPr>
        <w:pStyle w:val="BodyText"/>
        <w:spacing w:line="244" w:lineRule="auto" w:before="156"/>
        <w:ind w:left="283" w:right="47" w:firstLine="453"/>
        <w:jc w:val="both"/>
      </w:pPr>
      <w:r>
        <w:rPr>
          <w:color w:val="231F1F"/>
          <w:w w:val="105"/>
        </w:rPr>
        <w:t>La RS (277) de calidad media estudia los tratamientos complementarios</w:t>
      </w:r>
      <w:r>
        <w:rPr>
          <w:color w:val="231F1F"/>
          <w:spacing w:val="40"/>
          <w:w w:val="105"/>
        </w:rPr>
        <w:t> </w:t>
      </w:r>
      <w:r>
        <w:rPr>
          <w:color w:val="231F1F"/>
          <w:w w:val="105"/>
        </w:rPr>
        <w:t>y</w:t>
      </w:r>
      <w:r>
        <w:rPr>
          <w:color w:val="231F1F"/>
          <w:w w:val="105"/>
        </w:rPr>
        <w:t> alternativos</w:t>
      </w:r>
      <w:r>
        <w:rPr>
          <w:color w:val="231F1F"/>
          <w:w w:val="105"/>
        </w:rPr>
        <w:t> para</w:t>
      </w:r>
      <w:r>
        <w:rPr>
          <w:color w:val="231F1F"/>
          <w:w w:val="105"/>
        </w:rPr>
        <w:t> el</w:t>
      </w:r>
      <w:r>
        <w:rPr>
          <w:color w:val="231F1F"/>
          <w:w w:val="105"/>
        </w:rPr>
        <w:t> manejo</w:t>
      </w:r>
      <w:r>
        <w:rPr>
          <w:color w:val="231F1F"/>
          <w:w w:val="105"/>
        </w:rPr>
        <w:t> del</w:t>
      </w:r>
      <w:r>
        <w:rPr>
          <w:color w:val="231F1F"/>
          <w:w w:val="105"/>
        </w:rPr>
        <w:t> dolor</w:t>
      </w:r>
      <w:r>
        <w:rPr>
          <w:color w:val="231F1F"/>
          <w:w w:val="105"/>
        </w:rPr>
        <w:t> durante</w:t>
      </w:r>
      <w:r>
        <w:rPr>
          <w:color w:val="231F1F"/>
          <w:w w:val="105"/>
        </w:rPr>
        <w:t> el</w:t>
      </w:r>
      <w:r>
        <w:rPr>
          <w:color w:val="231F1F"/>
          <w:w w:val="105"/>
        </w:rPr>
        <w:t> parto,</w:t>
      </w:r>
      <w:r>
        <w:rPr>
          <w:color w:val="231F1F"/>
          <w:w w:val="105"/>
        </w:rPr>
        <w:t> incluyendo</w:t>
      </w:r>
      <w:r>
        <w:rPr>
          <w:color w:val="231F1F"/>
          <w:w w:val="105"/>
        </w:rPr>
        <w:t> entre</w:t>
      </w:r>
      <w:r>
        <w:rPr>
          <w:color w:val="231F1F"/>
          <w:spacing w:val="80"/>
          <w:w w:val="150"/>
        </w:rPr>
        <w:t> </w:t>
      </w:r>
      <w:r>
        <w:rPr>
          <w:color w:val="231F1F"/>
          <w:w w:val="105"/>
        </w:rPr>
        <w:t>otras actuaciones el masaje. La evidencia sobre el masaje procede de un en- sayo</w:t>
      </w:r>
      <w:r>
        <w:rPr>
          <w:color w:val="231F1F"/>
          <w:spacing w:val="40"/>
          <w:w w:val="105"/>
        </w:rPr>
        <w:t> </w:t>
      </w:r>
      <w:r>
        <w:rPr>
          <w:color w:val="231F1F"/>
          <w:w w:val="105"/>
        </w:rPr>
        <w:t>realizado</w:t>
      </w:r>
      <w:r>
        <w:rPr>
          <w:color w:val="231F1F"/>
          <w:spacing w:val="40"/>
          <w:w w:val="105"/>
        </w:rPr>
        <w:t> </w:t>
      </w:r>
      <w:r>
        <w:rPr>
          <w:color w:val="231F1F"/>
          <w:w w:val="105"/>
        </w:rPr>
        <w:t>en</w:t>
      </w:r>
      <w:r>
        <w:rPr>
          <w:color w:val="231F1F"/>
          <w:spacing w:val="40"/>
          <w:w w:val="105"/>
        </w:rPr>
        <w:t> </w:t>
      </w:r>
      <w:r>
        <w:rPr>
          <w:color w:val="231F1F"/>
          <w:w w:val="105"/>
        </w:rPr>
        <w:t>Taiwan</w:t>
      </w:r>
      <w:r>
        <w:rPr>
          <w:color w:val="231F1F"/>
          <w:spacing w:val="40"/>
          <w:w w:val="105"/>
        </w:rPr>
        <w:t> </w:t>
      </w:r>
      <w:r>
        <w:rPr>
          <w:color w:val="231F1F"/>
          <w:w w:val="105"/>
        </w:rPr>
        <w:t>(288)</w:t>
      </w:r>
      <w:r>
        <w:rPr>
          <w:color w:val="231F1F"/>
          <w:spacing w:val="40"/>
          <w:w w:val="105"/>
        </w:rPr>
        <w:t> </w:t>
      </w:r>
      <w:r>
        <w:rPr>
          <w:color w:val="231F1F"/>
          <w:w w:val="105"/>
        </w:rPr>
        <w:t>que</w:t>
      </w:r>
      <w:r>
        <w:rPr>
          <w:color w:val="231F1F"/>
          <w:spacing w:val="40"/>
          <w:w w:val="105"/>
        </w:rPr>
        <w:t> </w:t>
      </w:r>
      <w:r>
        <w:rPr>
          <w:color w:val="231F1F"/>
          <w:w w:val="105"/>
        </w:rPr>
        <w:t>incluyó</w:t>
      </w:r>
      <w:r>
        <w:rPr>
          <w:color w:val="231F1F"/>
          <w:spacing w:val="40"/>
          <w:w w:val="105"/>
        </w:rPr>
        <w:t> </w:t>
      </w:r>
      <w:r>
        <w:rPr>
          <w:color w:val="231F1F"/>
          <w:w w:val="105"/>
        </w:rPr>
        <w:t>a</w:t>
      </w:r>
      <w:r>
        <w:rPr>
          <w:color w:val="231F1F"/>
          <w:spacing w:val="40"/>
          <w:w w:val="105"/>
        </w:rPr>
        <w:t> </w:t>
      </w:r>
      <w:r>
        <w:rPr>
          <w:color w:val="231F1F"/>
          <w:w w:val="105"/>
        </w:rPr>
        <w:t>60</w:t>
      </w:r>
      <w:r>
        <w:rPr>
          <w:color w:val="231F1F"/>
          <w:spacing w:val="40"/>
          <w:w w:val="105"/>
        </w:rPr>
        <w:t> </w:t>
      </w:r>
      <w:r>
        <w:rPr>
          <w:color w:val="231F1F"/>
          <w:w w:val="105"/>
        </w:rPr>
        <w:t>mujeres.</w:t>
      </w:r>
    </w:p>
    <w:p>
      <w:pPr>
        <w:pStyle w:val="BodyText"/>
        <w:spacing w:line="247" w:lineRule="auto" w:before="149"/>
        <w:ind w:left="283" w:right="46" w:firstLine="453"/>
        <w:jc w:val="both"/>
      </w:pPr>
      <w:r>
        <w:rPr>
          <w:color w:val="231F1F"/>
          <w:w w:val="110"/>
        </w:rPr>
        <w:t>La intervención consistió en un masaje suave, presión sacra y masaje firme</w:t>
      </w:r>
      <w:r>
        <w:rPr>
          <w:color w:val="231F1F"/>
          <w:w w:val="110"/>
        </w:rPr>
        <w:t> del</w:t>
      </w:r>
      <w:r>
        <w:rPr>
          <w:color w:val="231F1F"/>
          <w:w w:val="110"/>
        </w:rPr>
        <w:t> hombro</w:t>
      </w:r>
      <w:r>
        <w:rPr>
          <w:color w:val="231F1F"/>
          <w:w w:val="110"/>
        </w:rPr>
        <w:t> y</w:t>
      </w:r>
      <w:r>
        <w:rPr>
          <w:color w:val="231F1F"/>
          <w:w w:val="110"/>
        </w:rPr>
        <w:t> la</w:t>
      </w:r>
      <w:r>
        <w:rPr>
          <w:color w:val="231F1F"/>
          <w:w w:val="110"/>
        </w:rPr>
        <w:t> espalda</w:t>
      </w:r>
      <w:r>
        <w:rPr>
          <w:color w:val="231F1F"/>
          <w:w w:val="110"/>
        </w:rPr>
        <w:t> de</w:t>
      </w:r>
      <w:r>
        <w:rPr>
          <w:color w:val="231F1F"/>
          <w:w w:val="110"/>
        </w:rPr>
        <w:t> media</w:t>
      </w:r>
      <w:r>
        <w:rPr>
          <w:color w:val="231F1F"/>
          <w:w w:val="110"/>
        </w:rPr>
        <w:t> hora</w:t>
      </w:r>
      <w:r>
        <w:rPr>
          <w:color w:val="231F1F"/>
          <w:w w:val="110"/>
        </w:rPr>
        <w:t> en</w:t>
      </w:r>
      <w:r>
        <w:rPr>
          <w:color w:val="231F1F"/>
          <w:w w:val="110"/>
        </w:rPr>
        <w:t> las</w:t>
      </w:r>
      <w:r>
        <w:rPr>
          <w:color w:val="231F1F"/>
          <w:w w:val="110"/>
        </w:rPr>
        <w:t> 3</w:t>
      </w:r>
      <w:r>
        <w:rPr>
          <w:color w:val="231F1F"/>
          <w:w w:val="110"/>
        </w:rPr>
        <w:t> etapas</w:t>
      </w:r>
      <w:r>
        <w:rPr>
          <w:color w:val="231F1F"/>
          <w:w w:val="110"/>
        </w:rPr>
        <w:t> del</w:t>
      </w:r>
      <w:r>
        <w:rPr>
          <w:color w:val="231F1F"/>
          <w:w w:val="110"/>
        </w:rPr>
        <w:t> parto durante las contracciones, realizado por una persona acompañante previa- mente</w:t>
      </w:r>
      <w:r>
        <w:rPr>
          <w:color w:val="231F1F"/>
          <w:w w:val="110"/>
        </w:rPr>
        <w:t> entrenada.</w:t>
      </w:r>
      <w:r>
        <w:rPr>
          <w:color w:val="231F1F"/>
          <w:w w:val="110"/>
        </w:rPr>
        <w:t> El</w:t>
      </w:r>
      <w:r>
        <w:rPr>
          <w:color w:val="231F1F"/>
          <w:w w:val="110"/>
        </w:rPr>
        <w:t> grupo</w:t>
      </w:r>
      <w:r>
        <w:rPr>
          <w:color w:val="231F1F"/>
          <w:w w:val="110"/>
        </w:rPr>
        <w:t> control</w:t>
      </w:r>
      <w:r>
        <w:rPr>
          <w:color w:val="231F1F"/>
          <w:w w:val="110"/>
        </w:rPr>
        <w:t> recibió</w:t>
      </w:r>
      <w:r>
        <w:rPr>
          <w:color w:val="231F1F"/>
          <w:w w:val="110"/>
        </w:rPr>
        <w:t> atención</w:t>
      </w:r>
      <w:r>
        <w:rPr>
          <w:color w:val="231F1F"/>
          <w:w w:val="110"/>
        </w:rPr>
        <w:t> estándar</w:t>
      </w:r>
      <w:r>
        <w:rPr>
          <w:color w:val="231F1F"/>
          <w:w w:val="110"/>
        </w:rPr>
        <w:t> de</w:t>
      </w:r>
      <w:r>
        <w:rPr>
          <w:color w:val="231F1F"/>
          <w:w w:val="110"/>
        </w:rPr>
        <w:t> enferme- ría</w:t>
      </w:r>
      <w:r>
        <w:rPr>
          <w:color w:val="231F1F"/>
          <w:spacing w:val="-2"/>
          <w:w w:val="110"/>
        </w:rPr>
        <w:t> </w:t>
      </w:r>
      <w:r>
        <w:rPr>
          <w:color w:val="231F1F"/>
          <w:w w:val="110"/>
        </w:rPr>
        <w:t>y</w:t>
      </w:r>
      <w:r>
        <w:rPr>
          <w:color w:val="231F1F"/>
          <w:spacing w:val="-3"/>
          <w:w w:val="110"/>
        </w:rPr>
        <w:t> </w:t>
      </w:r>
      <w:r>
        <w:rPr>
          <w:color w:val="231F1F"/>
          <w:w w:val="110"/>
        </w:rPr>
        <w:t>30</w:t>
      </w:r>
      <w:r>
        <w:rPr>
          <w:color w:val="231F1F"/>
          <w:spacing w:val="-2"/>
          <w:w w:val="110"/>
        </w:rPr>
        <w:t> </w:t>
      </w:r>
      <w:r>
        <w:rPr>
          <w:color w:val="231F1F"/>
          <w:w w:val="110"/>
        </w:rPr>
        <w:t>minutos</w:t>
      </w:r>
      <w:r>
        <w:rPr>
          <w:color w:val="231F1F"/>
          <w:spacing w:val="-2"/>
          <w:w w:val="110"/>
        </w:rPr>
        <w:t> </w:t>
      </w:r>
      <w:r>
        <w:rPr>
          <w:color w:val="231F1F"/>
          <w:w w:val="110"/>
        </w:rPr>
        <w:t>de</w:t>
      </w:r>
      <w:r>
        <w:rPr>
          <w:color w:val="231F1F"/>
          <w:spacing w:val="-3"/>
          <w:w w:val="110"/>
        </w:rPr>
        <w:t> </w:t>
      </w:r>
      <w:r>
        <w:rPr>
          <w:color w:val="231F1F"/>
          <w:w w:val="110"/>
        </w:rPr>
        <w:t>conversación</w:t>
      </w:r>
      <w:r>
        <w:rPr>
          <w:color w:val="231F1F"/>
          <w:spacing w:val="-2"/>
          <w:w w:val="110"/>
        </w:rPr>
        <w:t> </w:t>
      </w:r>
      <w:r>
        <w:rPr>
          <w:color w:val="231F1F"/>
          <w:w w:val="110"/>
        </w:rPr>
        <w:t>informal</w:t>
      </w:r>
      <w:r>
        <w:rPr>
          <w:color w:val="231F1F"/>
          <w:spacing w:val="-3"/>
          <w:w w:val="110"/>
        </w:rPr>
        <w:t> </w:t>
      </w:r>
      <w:r>
        <w:rPr>
          <w:color w:val="231F1F"/>
          <w:w w:val="110"/>
        </w:rPr>
        <w:t>con</w:t>
      </w:r>
      <w:r>
        <w:rPr>
          <w:color w:val="231F1F"/>
          <w:spacing w:val="-2"/>
          <w:w w:val="110"/>
        </w:rPr>
        <w:t> </w:t>
      </w:r>
      <w:r>
        <w:rPr>
          <w:color w:val="231F1F"/>
          <w:w w:val="110"/>
        </w:rPr>
        <w:t>quienes</w:t>
      </w:r>
      <w:r>
        <w:rPr>
          <w:color w:val="231F1F"/>
          <w:spacing w:val="-2"/>
          <w:w w:val="110"/>
        </w:rPr>
        <w:t> </w:t>
      </w:r>
      <w:r>
        <w:rPr>
          <w:color w:val="231F1F"/>
          <w:w w:val="110"/>
        </w:rPr>
        <w:t>realizaban</w:t>
      </w:r>
      <w:r>
        <w:rPr>
          <w:color w:val="231F1F"/>
          <w:spacing w:val="-2"/>
          <w:w w:val="110"/>
        </w:rPr>
        <w:t> </w:t>
      </w:r>
      <w:r>
        <w:rPr>
          <w:color w:val="231F1F"/>
          <w:w w:val="110"/>
        </w:rPr>
        <w:t>la</w:t>
      </w:r>
      <w:r>
        <w:rPr>
          <w:color w:val="231F1F"/>
          <w:spacing w:val="-3"/>
          <w:w w:val="110"/>
        </w:rPr>
        <w:t> </w:t>
      </w:r>
      <w:r>
        <w:rPr>
          <w:color w:val="231F1F"/>
          <w:w w:val="110"/>
        </w:rPr>
        <w:t>inves- </w:t>
      </w:r>
      <w:r>
        <w:rPr>
          <w:color w:val="231F1F"/>
          <w:spacing w:val="-2"/>
          <w:w w:val="110"/>
        </w:rPr>
        <w:t>tigación.</w:t>
      </w:r>
    </w:p>
    <w:p>
      <w:pPr>
        <w:pStyle w:val="BodyText"/>
        <w:spacing w:line="244" w:lineRule="auto" w:before="93"/>
        <w:ind w:left="283" w:right="41" w:firstLine="453"/>
        <w:jc w:val="both"/>
      </w:pPr>
      <w:r>
        <w:rPr>
          <w:color w:val="231F1F"/>
          <w:w w:val="105"/>
        </w:rPr>
        <w:t>En</w:t>
      </w:r>
      <w:r>
        <w:rPr>
          <w:color w:val="231F1F"/>
          <w:w w:val="105"/>
        </w:rPr>
        <w:t> el</w:t>
      </w:r>
      <w:r>
        <w:rPr>
          <w:color w:val="231F1F"/>
          <w:w w:val="105"/>
        </w:rPr>
        <w:t> estudio</w:t>
      </w:r>
      <w:r>
        <w:rPr>
          <w:color w:val="231F1F"/>
          <w:w w:val="105"/>
        </w:rPr>
        <w:t> no</w:t>
      </w:r>
      <w:r>
        <w:rPr>
          <w:color w:val="231F1F"/>
          <w:w w:val="105"/>
        </w:rPr>
        <w:t> se</w:t>
      </w:r>
      <w:r>
        <w:rPr>
          <w:color w:val="231F1F"/>
          <w:w w:val="105"/>
        </w:rPr>
        <w:t> encontraron</w:t>
      </w:r>
      <w:r>
        <w:rPr>
          <w:color w:val="231F1F"/>
          <w:w w:val="105"/>
        </w:rPr>
        <w:t> diferencias</w:t>
      </w:r>
      <w:r>
        <w:rPr>
          <w:color w:val="231F1F"/>
          <w:w w:val="105"/>
        </w:rPr>
        <w:t> en</w:t>
      </w:r>
      <w:r>
        <w:rPr>
          <w:color w:val="231F1F"/>
          <w:w w:val="105"/>
        </w:rPr>
        <w:t> la</w:t>
      </w:r>
      <w:r>
        <w:rPr>
          <w:color w:val="231F1F"/>
          <w:w w:val="105"/>
        </w:rPr>
        <w:t> duración</w:t>
      </w:r>
      <w:r>
        <w:rPr>
          <w:color w:val="231F1F"/>
          <w:w w:val="105"/>
        </w:rPr>
        <w:t> del</w:t>
      </w:r>
      <w:r>
        <w:rPr>
          <w:color w:val="231F1F"/>
          <w:w w:val="105"/>
        </w:rPr>
        <w:t> parto:</w:t>
      </w:r>
      <w:r>
        <w:rPr>
          <w:color w:val="231F1F"/>
          <w:spacing w:val="40"/>
          <w:w w:val="105"/>
        </w:rPr>
        <w:t> </w:t>
      </w:r>
      <w:r>
        <w:rPr>
          <w:color w:val="231F1F"/>
          <w:w w:val="105"/>
        </w:rPr>
        <w:t>DMP 1,35 minutos [IC del 95% -0,98 a 3,68] ni en la satisfacción general con la experiencia del parto: DMP -0,47 [IC del 95% -1,07 a 0,13].</w:t>
      </w:r>
    </w:p>
    <w:p>
      <w:pPr>
        <w:pStyle w:val="BodyText"/>
        <w:spacing w:line="247" w:lineRule="auto" w:before="61"/>
        <w:ind w:left="283" w:right="38" w:firstLine="453"/>
        <w:jc w:val="both"/>
      </w:pPr>
      <w:r>
        <w:rPr>
          <w:color w:val="231F1F"/>
          <w:w w:val="105"/>
        </w:rPr>
        <w:t>El</w:t>
      </w:r>
      <w:r>
        <w:rPr>
          <w:color w:val="231F1F"/>
          <w:spacing w:val="40"/>
          <w:w w:val="105"/>
        </w:rPr>
        <w:t> </w:t>
      </w:r>
      <w:r>
        <w:rPr>
          <w:color w:val="231F1F"/>
          <w:w w:val="105"/>
        </w:rPr>
        <w:t>pequeño</w:t>
      </w:r>
      <w:r>
        <w:rPr>
          <w:color w:val="231F1F"/>
          <w:spacing w:val="40"/>
          <w:w w:val="105"/>
        </w:rPr>
        <w:t> </w:t>
      </w:r>
      <w:r>
        <w:rPr>
          <w:color w:val="231F1F"/>
          <w:w w:val="105"/>
        </w:rPr>
        <w:t>tamaño</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muestra</w:t>
      </w:r>
      <w:r>
        <w:rPr>
          <w:color w:val="231F1F"/>
          <w:spacing w:val="40"/>
          <w:w w:val="105"/>
        </w:rPr>
        <w:t> </w:t>
      </w:r>
      <w:r>
        <w:rPr>
          <w:color w:val="231F1F"/>
          <w:w w:val="105"/>
        </w:rPr>
        <w:t>y</w:t>
      </w:r>
      <w:r>
        <w:rPr>
          <w:color w:val="231F1F"/>
          <w:spacing w:val="40"/>
          <w:w w:val="105"/>
        </w:rPr>
        <w:t> </w:t>
      </w:r>
      <w:r>
        <w:rPr>
          <w:color w:val="231F1F"/>
          <w:w w:val="105"/>
        </w:rPr>
        <w:t>la</w:t>
      </w:r>
      <w:r>
        <w:rPr>
          <w:color w:val="231F1F"/>
          <w:spacing w:val="40"/>
          <w:w w:val="105"/>
        </w:rPr>
        <w:t> </w:t>
      </w:r>
      <w:r>
        <w:rPr>
          <w:color w:val="231F1F"/>
          <w:w w:val="105"/>
        </w:rPr>
        <w:t>baja</w:t>
      </w:r>
      <w:r>
        <w:rPr>
          <w:color w:val="231F1F"/>
          <w:spacing w:val="40"/>
          <w:w w:val="105"/>
        </w:rPr>
        <w:t> </w:t>
      </w:r>
      <w:r>
        <w:rPr>
          <w:color w:val="231F1F"/>
          <w:w w:val="105"/>
        </w:rPr>
        <w:t>calidad</w:t>
      </w:r>
      <w:r>
        <w:rPr>
          <w:color w:val="231F1F"/>
          <w:spacing w:val="40"/>
          <w:w w:val="105"/>
        </w:rPr>
        <w:t> </w:t>
      </w:r>
      <w:r>
        <w:rPr>
          <w:color w:val="231F1F"/>
          <w:w w:val="105"/>
        </w:rPr>
        <w:t>del</w:t>
      </w:r>
      <w:r>
        <w:rPr>
          <w:color w:val="231F1F"/>
          <w:spacing w:val="40"/>
          <w:w w:val="105"/>
        </w:rPr>
        <w:t> </w:t>
      </w:r>
      <w:r>
        <w:rPr>
          <w:color w:val="231F1F"/>
          <w:w w:val="105"/>
        </w:rPr>
        <w:t>ensayo</w:t>
      </w:r>
      <w:r>
        <w:rPr>
          <w:color w:val="231F1F"/>
          <w:spacing w:val="40"/>
          <w:w w:val="105"/>
        </w:rPr>
        <w:t> </w:t>
      </w:r>
      <w:r>
        <w:rPr>
          <w:color w:val="231F1F"/>
          <w:w w:val="105"/>
        </w:rPr>
        <w:t>impi- den</w:t>
      </w:r>
      <w:r>
        <w:rPr>
          <w:color w:val="231F1F"/>
          <w:w w:val="105"/>
        </w:rPr>
        <w:t> establecer</w:t>
      </w:r>
      <w:r>
        <w:rPr>
          <w:color w:val="231F1F"/>
          <w:w w:val="105"/>
        </w:rPr>
        <w:t> conclusiones</w:t>
      </w:r>
      <w:r>
        <w:rPr>
          <w:color w:val="231F1F"/>
          <w:w w:val="105"/>
        </w:rPr>
        <w:t> sobre</w:t>
      </w:r>
      <w:r>
        <w:rPr>
          <w:color w:val="231F1F"/>
          <w:w w:val="105"/>
        </w:rPr>
        <w:t> la</w:t>
      </w:r>
      <w:r>
        <w:rPr>
          <w:color w:val="231F1F"/>
          <w:w w:val="105"/>
        </w:rPr>
        <w:t> eficacia</w:t>
      </w:r>
      <w:r>
        <w:rPr>
          <w:color w:val="231F1F"/>
          <w:w w:val="105"/>
        </w:rPr>
        <w:t> del</w:t>
      </w:r>
      <w:r>
        <w:rPr>
          <w:color w:val="231F1F"/>
          <w:w w:val="105"/>
        </w:rPr>
        <w:t> masaje.</w:t>
      </w:r>
      <w:r>
        <w:rPr>
          <w:color w:val="231F1F"/>
          <w:w w:val="105"/>
        </w:rPr>
        <w:t> El</w:t>
      </w:r>
      <w:r>
        <w:rPr>
          <w:color w:val="231F1F"/>
          <w:w w:val="105"/>
        </w:rPr>
        <w:t> contexto</w:t>
      </w:r>
      <w:r>
        <w:rPr>
          <w:color w:val="231F1F"/>
          <w:w w:val="105"/>
        </w:rPr>
        <w:t> de realización</w:t>
      </w:r>
      <w:r>
        <w:rPr>
          <w:color w:val="231F1F"/>
          <w:spacing w:val="40"/>
          <w:w w:val="105"/>
        </w:rPr>
        <w:t> </w:t>
      </w:r>
      <w:r>
        <w:rPr>
          <w:color w:val="231F1F"/>
          <w:w w:val="105"/>
        </w:rPr>
        <w:t>de</w:t>
      </w:r>
      <w:r>
        <w:rPr>
          <w:color w:val="231F1F"/>
          <w:spacing w:val="40"/>
          <w:w w:val="105"/>
        </w:rPr>
        <w:t> </w:t>
      </w:r>
      <w:r>
        <w:rPr>
          <w:color w:val="231F1F"/>
          <w:w w:val="105"/>
        </w:rPr>
        <w:t>estudio,</w:t>
      </w:r>
      <w:r>
        <w:rPr>
          <w:color w:val="231F1F"/>
          <w:spacing w:val="40"/>
          <w:w w:val="105"/>
        </w:rPr>
        <w:t> </w:t>
      </w:r>
      <w:r>
        <w:rPr>
          <w:color w:val="231F1F"/>
          <w:w w:val="105"/>
        </w:rPr>
        <w:t>país</w:t>
      </w:r>
      <w:r>
        <w:rPr>
          <w:color w:val="231F1F"/>
          <w:spacing w:val="40"/>
          <w:w w:val="105"/>
        </w:rPr>
        <w:t> </w:t>
      </w:r>
      <w:r>
        <w:rPr>
          <w:color w:val="231F1F"/>
          <w:w w:val="105"/>
        </w:rPr>
        <w:t>con</w:t>
      </w:r>
      <w:r>
        <w:rPr>
          <w:color w:val="231F1F"/>
          <w:spacing w:val="40"/>
          <w:w w:val="105"/>
        </w:rPr>
        <w:t> </w:t>
      </w:r>
      <w:r>
        <w:rPr>
          <w:color w:val="231F1F"/>
          <w:w w:val="105"/>
        </w:rPr>
        <w:t>gran</w:t>
      </w:r>
      <w:r>
        <w:rPr>
          <w:color w:val="231F1F"/>
          <w:spacing w:val="40"/>
          <w:w w:val="105"/>
        </w:rPr>
        <w:t> </w:t>
      </w:r>
      <w:r>
        <w:rPr>
          <w:color w:val="231F1F"/>
          <w:w w:val="105"/>
        </w:rPr>
        <w:t>tradición</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práctica</w:t>
      </w:r>
      <w:r>
        <w:rPr>
          <w:color w:val="231F1F"/>
          <w:spacing w:val="40"/>
          <w:w w:val="105"/>
        </w:rPr>
        <w:t> </w:t>
      </w:r>
      <w:r>
        <w:rPr>
          <w:color w:val="231F1F"/>
          <w:w w:val="105"/>
        </w:rPr>
        <w:t>del</w:t>
      </w:r>
      <w:r>
        <w:rPr>
          <w:color w:val="231F1F"/>
          <w:spacing w:val="40"/>
          <w:w w:val="105"/>
        </w:rPr>
        <w:t> </w:t>
      </w:r>
      <w:r>
        <w:rPr>
          <w:color w:val="231F1F"/>
          <w:w w:val="105"/>
        </w:rPr>
        <w:t>masaje, hace</w:t>
      </w:r>
      <w:r>
        <w:rPr>
          <w:color w:val="231F1F"/>
          <w:w w:val="105"/>
        </w:rPr>
        <w:t> que</w:t>
      </w:r>
      <w:r>
        <w:rPr>
          <w:color w:val="231F1F"/>
          <w:w w:val="105"/>
        </w:rPr>
        <w:t> la</w:t>
      </w:r>
      <w:r>
        <w:rPr>
          <w:color w:val="231F1F"/>
          <w:w w:val="105"/>
        </w:rPr>
        <w:t> validez</w:t>
      </w:r>
      <w:r>
        <w:rPr>
          <w:color w:val="231F1F"/>
          <w:w w:val="105"/>
        </w:rPr>
        <w:t> externa</w:t>
      </w:r>
      <w:r>
        <w:rPr>
          <w:color w:val="231F1F"/>
          <w:w w:val="105"/>
        </w:rPr>
        <w:t> sea</w:t>
      </w:r>
      <w:r>
        <w:rPr>
          <w:color w:val="231F1F"/>
          <w:w w:val="105"/>
        </w:rPr>
        <w:t> baja</w:t>
      </w:r>
      <w:r>
        <w:rPr>
          <w:color w:val="231F1F"/>
          <w:w w:val="105"/>
        </w:rPr>
        <w:t> así</w:t>
      </w:r>
      <w:r>
        <w:rPr>
          <w:color w:val="231F1F"/>
          <w:w w:val="105"/>
        </w:rPr>
        <w:t> como</w:t>
      </w:r>
      <w:r>
        <w:rPr>
          <w:color w:val="231F1F"/>
          <w:w w:val="105"/>
        </w:rPr>
        <w:t> su</w:t>
      </w:r>
      <w:r>
        <w:rPr>
          <w:color w:val="231F1F"/>
          <w:w w:val="105"/>
        </w:rPr>
        <w:t> aplicabilidad</w:t>
      </w:r>
      <w:r>
        <w:rPr>
          <w:color w:val="231F1F"/>
          <w:w w:val="105"/>
        </w:rPr>
        <w:t> en</w:t>
      </w:r>
      <w:r>
        <w:rPr>
          <w:color w:val="231F1F"/>
          <w:w w:val="105"/>
        </w:rPr>
        <w:t> nuestro </w:t>
      </w:r>
      <w:r>
        <w:rPr>
          <w:color w:val="231F1F"/>
          <w:spacing w:val="-2"/>
          <w:w w:val="105"/>
        </w:rPr>
        <w:t>medio.</w:t>
      </w:r>
    </w:p>
    <w:p>
      <w:pPr>
        <w:pStyle w:val="BodyText"/>
        <w:spacing w:line="244" w:lineRule="auto" w:before="132"/>
        <w:ind w:left="283" w:right="45" w:firstLine="453"/>
        <w:jc w:val="both"/>
      </w:pPr>
      <w:r>
        <w:rPr>
          <w:color w:val="231F1F"/>
          <w:w w:val="105"/>
        </w:rPr>
        <w:t>El</w:t>
      </w:r>
      <w:r>
        <w:rPr>
          <w:color w:val="231F1F"/>
          <w:w w:val="105"/>
        </w:rPr>
        <w:t> segundo</w:t>
      </w:r>
      <w:r>
        <w:rPr>
          <w:color w:val="231F1F"/>
          <w:w w:val="105"/>
        </w:rPr>
        <w:t> estudio</w:t>
      </w:r>
      <w:r>
        <w:rPr>
          <w:color w:val="231F1F"/>
          <w:w w:val="105"/>
        </w:rPr>
        <w:t> seleccionado</w:t>
      </w:r>
      <w:r>
        <w:rPr>
          <w:color w:val="231F1F"/>
          <w:w w:val="105"/>
        </w:rPr>
        <w:t> en</w:t>
      </w:r>
      <w:r>
        <w:rPr>
          <w:color w:val="231F1F"/>
          <w:w w:val="105"/>
        </w:rPr>
        <w:t> la</w:t>
      </w:r>
      <w:r>
        <w:rPr>
          <w:color w:val="231F1F"/>
          <w:w w:val="105"/>
        </w:rPr>
        <w:t> actualización</w:t>
      </w:r>
      <w:r>
        <w:rPr>
          <w:color w:val="231F1F"/>
          <w:w w:val="105"/>
        </w:rPr>
        <w:t> (287),</w:t>
      </w:r>
      <w:r>
        <w:rPr>
          <w:color w:val="231F1F"/>
          <w:w w:val="105"/>
        </w:rPr>
        <w:t> forma</w:t>
      </w:r>
      <w:r>
        <w:rPr>
          <w:color w:val="231F1F"/>
          <w:w w:val="105"/>
        </w:rPr>
        <w:t> parte del</w:t>
      </w:r>
      <w:r>
        <w:rPr>
          <w:color w:val="231F1F"/>
          <w:w w:val="105"/>
        </w:rPr>
        <w:t> ECA</w:t>
      </w:r>
      <w:r>
        <w:rPr>
          <w:color w:val="231F1F"/>
          <w:w w:val="105"/>
        </w:rPr>
        <w:t> (288)</w:t>
      </w:r>
      <w:r>
        <w:rPr>
          <w:color w:val="231F1F"/>
          <w:w w:val="105"/>
        </w:rPr>
        <w:t> recogido</w:t>
      </w:r>
      <w:r>
        <w:rPr>
          <w:color w:val="231F1F"/>
          <w:w w:val="105"/>
        </w:rPr>
        <w:t> en</w:t>
      </w:r>
      <w:r>
        <w:rPr>
          <w:color w:val="231F1F"/>
          <w:w w:val="105"/>
        </w:rPr>
        <w:t> la</w:t>
      </w:r>
      <w:r>
        <w:rPr>
          <w:color w:val="231F1F"/>
          <w:w w:val="105"/>
        </w:rPr>
        <w:t> RS</w:t>
      </w:r>
      <w:r>
        <w:rPr>
          <w:color w:val="231F1F"/>
          <w:w w:val="105"/>
        </w:rPr>
        <w:t> Cochrane</w:t>
      </w:r>
      <w:r>
        <w:rPr>
          <w:color w:val="231F1F"/>
          <w:w w:val="105"/>
        </w:rPr>
        <w:t> (277).</w:t>
      </w:r>
      <w:r>
        <w:rPr>
          <w:color w:val="231F1F"/>
          <w:w w:val="105"/>
        </w:rPr>
        <w:t> En</w:t>
      </w:r>
      <w:r>
        <w:rPr>
          <w:color w:val="231F1F"/>
          <w:w w:val="105"/>
        </w:rPr>
        <w:t> él</w:t>
      </w:r>
      <w:r>
        <w:rPr>
          <w:color w:val="231F1F"/>
          <w:w w:val="105"/>
        </w:rPr>
        <w:t> se</w:t>
      </w:r>
      <w:r>
        <w:rPr>
          <w:color w:val="231F1F"/>
          <w:w w:val="105"/>
        </w:rPr>
        <w:t> analizan</w:t>
      </w:r>
      <w:r>
        <w:rPr>
          <w:color w:val="231F1F"/>
          <w:w w:val="105"/>
        </w:rPr>
        <w:t> los</w:t>
      </w:r>
      <w:r>
        <w:rPr>
          <w:color w:val="231F1F"/>
          <w:w w:val="105"/>
        </w:rPr>
        <w:t> ha- llazgos</w:t>
      </w:r>
      <w:r>
        <w:rPr>
          <w:color w:val="231F1F"/>
          <w:spacing w:val="-9"/>
          <w:w w:val="105"/>
        </w:rPr>
        <w:t> </w:t>
      </w:r>
      <w:r>
        <w:rPr>
          <w:color w:val="231F1F"/>
          <w:w w:val="105"/>
        </w:rPr>
        <w:t>sobre</w:t>
      </w:r>
      <w:r>
        <w:rPr>
          <w:color w:val="231F1F"/>
          <w:spacing w:val="-9"/>
          <w:w w:val="105"/>
        </w:rPr>
        <w:t> </w:t>
      </w:r>
      <w:r>
        <w:rPr>
          <w:color w:val="231F1F"/>
          <w:w w:val="105"/>
        </w:rPr>
        <w:t>las</w:t>
      </w:r>
      <w:r>
        <w:rPr>
          <w:color w:val="231F1F"/>
          <w:spacing w:val="-9"/>
          <w:w w:val="105"/>
        </w:rPr>
        <w:t> </w:t>
      </w:r>
      <w:r>
        <w:rPr>
          <w:color w:val="231F1F"/>
          <w:w w:val="105"/>
        </w:rPr>
        <w:t>dimensiones</w:t>
      </w:r>
      <w:r>
        <w:rPr>
          <w:color w:val="231F1F"/>
          <w:spacing w:val="-8"/>
          <w:w w:val="105"/>
        </w:rPr>
        <w:t> </w:t>
      </w:r>
      <w:r>
        <w:rPr>
          <w:color w:val="231F1F"/>
          <w:w w:val="105"/>
        </w:rPr>
        <w:t>del</w:t>
      </w:r>
      <w:r>
        <w:rPr>
          <w:color w:val="231F1F"/>
          <w:spacing w:val="-9"/>
          <w:w w:val="105"/>
        </w:rPr>
        <w:t> </w:t>
      </w:r>
      <w:r>
        <w:rPr>
          <w:color w:val="231F1F"/>
          <w:w w:val="105"/>
        </w:rPr>
        <w:t>dolor</w:t>
      </w:r>
      <w:r>
        <w:rPr>
          <w:color w:val="231F1F"/>
          <w:spacing w:val="-9"/>
          <w:w w:val="105"/>
        </w:rPr>
        <w:t> </w:t>
      </w:r>
      <w:r>
        <w:rPr>
          <w:color w:val="231F1F"/>
          <w:w w:val="105"/>
        </w:rPr>
        <w:t>tal</w:t>
      </w:r>
      <w:r>
        <w:rPr>
          <w:color w:val="231F1F"/>
          <w:spacing w:val="-9"/>
          <w:w w:val="105"/>
        </w:rPr>
        <w:t> </w:t>
      </w:r>
      <w:r>
        <w:rPr>
          <w:color w:val="231F1F"/>
          <w:w w:val="105"/>
        </w:rPr>
        <w:t>y</w:t>
      </w:r>
      <w:r>
        <w:rPr>
          <w:color w:val="231F1F"/>
          <w:spacing w:val="-8"/>
          <w:w w:val="105"/>
        </w:rPr>
        <w:t> </w:t>
      </w:r>
      <w:r>
        <w:rPr>
          <w:color w:val="231F1F"/>
          <w:w w:val="105"/>
        </w:rPr>
        <w:t>como</w:t>
      </w:r>
      <w:r>
        <w:rPr>
          <w:color w:val="231F1F"/>
          <w:spacing w:val="-8"/>
          <w:w w:val="105"/>
        </w:rPr>
        <w:t> </w:t>
      </w:r>
      <w:r>
        <w:rPr>
          <w:color w:val="231F1F"/>
          <w:w w:val="105"/>
        </w:rPr>
        <w:t>se</w:t>
      </w:r>
      <w:r>
        <w:rPr>
          <w:color w:val="231F1F"/>
          <w:spacing w:val="-8"/>
          <w:w w:val="105"/>
        </w:rPr>
        <w:t> </w:t>
      </w:r>
      <w:r>
        <w:rPr>
          <w:color w:val="231F1F"/>
          <w:w w:val="105"/>
        </w:rPr>
        <w:t>miden</w:t>
      </w:r>
      <w:r>
        <w:rPr>
          <w:color w:val="231F1F"/>
          <w:spacing w:val="-9"/>
          <w:w w:val="105"/>
        </w:rPr>
        <w:t> </w:t>
      </w:r>
      <w:r>
        <w:rPr>
          <w:color w:val="231F1F"/>
          <w:w w:val="105"/>
        </w:rPr>
        <w:t>con</w:t>
      </w:r>
      <w:r>
        <w:rPr>
          <w:color w:val="231F1F"/>
          <w:spacing w:val="-8"/>
          <w:w w:val="105"/>
        </w:rPr>
        <w:t> </w:t>
      </w:r>
      <w:r>
        <w:rPr>
          <w:color w:val="231F1F"/>
          <w:w w:val="105"/>
        </w:rPr>
        <w:t>la</w:t>
      </w:r>
      <w:r>
        <w:rPr>
          <w:color w:val="231F1F"/>
          <w:spacing w:val="-8"/>
          <w:w w:val="105"/>
        </w:rPr>
        <w:t> </w:t>
      </w:r>
      <w:r>
        <w:rPr>
          <w:color w:val="231F1F"/>
          <w:w w:val="105"/>
        </w:rPr>
        <w:t>escala</w:t>
      </w:r>
      <w:r>
        <w:rPr>
          <w:color w:val="231F1F"/>
          <w:spacing w:val="-8"/>
          <w:w w:val="105"/>
        </w:rPr>
        <w:t> </w:t>
      </w:r>
      <w:r>
        <w:rPr>
          <w:color w:val="231F1F"/>
          <w:w w:val="105"/>
        </w:rPr>
        <w:t>Short Form</w:t>
      </w:r>
      <w:r>
        <w:rPr>
          <w:color w:val="231F1F"/>
          <w:w w:val="105"/>
        </w:rPr>
        <w:t> Mc</w:t>
      </w:r>
      <w:r>
        <w:rPr>
          <w:color w:val="231F1F"/>
          <w:w w:val="105"/>
        </w:rPr>
        <w:t> Gill</w:t>
      </w:r>
      <w:r>
        <w:rPr>
          <w:color w:val="231F1F"/>
          <w:w w:val="105"/>
        </w:rPr>
        <w:t> Pain</w:t>
      </w:r>
      <w:r>
        <w:rPr>
          <w:color w:val="231F1F"/>
          <w:w w:val="105"/>
        </w:rPr>
        <w:t> Questionnaire</w:t>
      </w:r>
      <w:r>
        <w:rPr>
          <w:color w:val="231F1F"/>
          <w:w w:val="105"/>
        </w:rPr>
        <w:t> (SF-MPQ).</w:t>
      </w:r>
      <w:r>
        <w:rPr>
          <w:color w:val="231F1F"/>
          <w:w w:val="105"/>
        </w:rPr>
        <w:t> Los</w:t>
      </w:r>
      <w:r>
        <w:rPr>
          <w:color w:val="231F1F"/>
          <w:w w:val="105"/>
        </w:rPr>
        <w:t> resultados</w:t>
      </w:r>
      <w:r>
        <w:rPr>
          <w:color w:val="231F1F"/>
          <w:w w:val="105"/>
        </w:rPr>
        <w:t> indican</w:t>
      </w:r>
      <w:r>
        <w:rPr>
          <w:color w:val="231F1F"/>
          <w:w w:val="105"/>
        </w:rPr>
        <w:t> que</w:t>
      </w:r>
      <w:r>
        <w:rPr>
          <w:color w:val="231F1F"/>
          <w:w w:val="105"/>
        </w:rPr>
        <w:t> la experiencia del dolor varía y que la intensidad y características son altamente individuales y subjetivas.</w:t>
      </w:r>
    </w:p>
    <w:p>
      <w:pPr>
        <w:spacing w:line="244" w:lineRule="auto" w:before="93"/>
        <w:ind w:left="283" w:right="44" w:firstLine="453"/>
        <w:jc w:val="both"/>
        <w:rPr>
          <w:sz w:val="22"/>
        </w:rPr>
      </w:pPr>
      <w:r>
        <w:rPr>
          <w:color w:val="231F1F"/>
          <w:w w:val="110"/>
          <w:sz w:val="22"/>
        </w:rPr>
        <w:t>En</w:t>
      </w:r>
      <w:r>
        <w:rPr>
          <w:color w:val="231F1F"/>
          <w:w w:val="110"/>
          <w:sz w:val="22"/>
        </w:rPr>
        <w:t> este</w:t>
      </w:r>
      <w:r>
        <w:rPr>
          <w:color w:val="231F1F"/>
          <w:w w:val="110"/>
          <w:sz w:val="22"/>
        </w:rPr>
        <w:t> estudio</w:t>
      </w:r>
      <w:r>
        <w:rPr>
          <w:color w:val="231F1F"/>
          <w:w w:val="110"/>
          <w:sz w:val="22"/>
        </w:rPr>
        <w:t> también</w:t>
      </w:r>
      <w:r>
        <w:rPr>
          <w:color w:val="231F1F"/>
          <w:w w:val="110"/>
          <w:sz w:val="22"/>
        </w:rPr>
        <w:t> se</w:t>
      </w:r>
      <w:r>
        <w:rPr>
          <w:color w:val="231F1F"/>
          <w:w w:val="110"/>
          <w:sz w:val="22"/>
        </w:rPr>
        <w:t> realiza</w:t>
      </w:r>
      <w:r>
        <w:rPr>
          <w:color w:val="231F1F"/>
          <w:w w:val="110"/>
          <w:sz w:val="22"/>
        </w:rPr>
        <w:t> un</w:t>
      </w:r>
      <w:r>
        <w:rPr>
          <w:color w:val="231F1F"/>
          <w:w w:val="110"/>
          <w:sz w:val="22"/>
        </w:rPr>
        <w:t> análisis</w:t>
      </w:r>
      <w:r>
        <w:rPr>
          <w:color w:val="231F1F"/>
          <w:w w:val="110"/>
          <w:sz w:val="22"/>
        </w:rPr>
        <w:t> cualitativo</w:t>
      </w:r>
      <w:r>
        <w:rPr>
          <w:color w:val="231F1F"/>
          <w:w w:val="110"/>
          <w:sz w:val="22"/>
        </w:rPr>
        <w:t> sobre</w:t>
      </w:r>
      <w:r>
        <w:rPr>
          <w:color w:val="231F1F"/>
          <w:w w:val="110"/>
          <w:sz w:val="22"/>
        </w:rPr>
        <w:t> las palabras</w:t>
      </w:r>
      <w:r>
        <w:rPr>
          <w:color w:val="231F1F"/>
          <w:w w:val="110"/>
          <w:sz w:val="22"/>
        </w:rPr>
        <w:t> más</w:t>
      </w:r>
      <w:r>
        <w:rPr>
          <w:color w:val="231F1F"/>
          <w:w w:val="110"/>
          <w:sz w:val="22"/>
        </w:rPr>
        <w:t> frecuentemente</w:t>
      </w:r>
      <w:r>
        <w:rPr>
          <w:color w:val="231F1F"/>
          <w:w w:val="110"/>
          <w:sz w:val="22"/>
        </w:rPr>
        <w:t> elegidas</w:t>
      </w:r>
      <w:r>
        <w:rPr>
          <w:color w:val="231F1F"/>
          <w:w w:val="110"/>
          <w:sz w:val="22"/>
        </w:rPr>
        <w:t> por</w:t>
      </w:r>
      <w:r>
        <w:rPr>
          <w:color w:val="231F1F"/>
          <w:w w:val="110"/>
          <w:sz w:val="22"/>
        </w:rPr>
        <w:t> las</w:t>
      </w:r>
      <w:r>
        <w:rPr>
          <w:color w:val="231F1F"/>
          <w:w w:val="110"/>
          <w:sz w:val="22"/>
        </w:rPr>
        <w:t> mujeres</w:t>
      </w:r>
      <w:r>
        <w:rPr>
          <w:color w:val="231F1F"/>
          <w:w w:val="110"/>
          <w:sz w:val="22"/>
        </w:rPr>
        <w:t> para</w:t>
      </w:r>
      <w:r>
        <w:rPr>
          <w:color w:val="231F1F"/>
          <w:w w:val="110"/>
          <w:sz w:val="22"/>
        </w:rPr>
        <w:t> describir</w:t>
      </w:r>
      <w:r>
        <w:rPr>
          <w:color w:val="231F1F"/>
          <w:w w:val="110"/>
          <w:sz w:val="22"/>
        </w:rPr>
        <w:t> su dolor: «</w:t>
      </w:r>
      <w:r>
        <w:rPr>
          <w:i/>
          <w:color w:val="231F1F"/>
          <w:w w:val="110"/>
          <w:sz w:val="22"/>
        </w:rPr>
        <w:t>Doloroso, agudo, fuerte, punzante y calambre</w:t>
      </w:r>
      <w:r>
        <w:rPr>
          <w:color w:val="231F1F"/>
          <w:w w:val="110"/>
          <w:sz w:val="22"/>
        </w:rPr>
        <w:t>» fueron 5 de las 12</w:t>
      </w:r>
    </w:p>
    <w:p>
      <w:pPr>
        <w:pStyle w:val="BodyText"/>
        <w:spacing w:line="244" w:lineRule="auto" w:before="9"/>
        <w:ind w:left="283" w:right="41"/>
        <w:jc w:val="both"/>
      </w:pPr>
      <w:r>
        <w:rPr>
          <w:color w:val="231F1F"/>
          <w:w w:val="105"/>
        </w:rPr>
        <w:t>«palabras</w:t>
      </w:r>
      <w:r>
        <w:rPr>
          <w:color w:val="231F1F"/>
          <w:w w:val="105"/>
        </w:rPr>
        <w:t> sensoriales»</w:t>
      </w:r>
      <w:r>
        <w:rPr>
          <w:color w:val="231F1F"/>
          <w:w w:val="105"/>
        </w:rPr>
        <w:t> con</w:t>
      </w:r>
      <w:r>
        <w:rPr>
          <w:color w:val="231F1F"/>
          <w:w w:val="105"/>
        </w:rPr>
        <w:t> mayores</w:t>
      </w:r>
      <w:r>
        <w:rPr>
          <w:color w:val="231F1F"/>
          <w:w w:val="105"/>
        </w:rPr>
        <w:t> puntuaciones</w:t>
      </w:r>
      <w:r>
        <w:rPr>
          <w:color w:val="231F1F"/>
          <w:w w:val="105"/>
        </w:rPr>
        <w:t> en</w:t>
      </w:r>
      <w:r>
        <w:rPr>
          <w:color w:val="231F1F"/>
          <w:w w:val="105"/>
        </w:rPr>
        <w:t> ambos</w:t>
      </w:r>
      <w:r>
        <w:rPr>
          <w:color w:val="231F1F"/>
          <w:w w:val="105"/>
        </w:rPr>
        <w:t> grupos</w:t>
      </w:r>
      <w:r>
        <w:rPr>
          <w:color w:val="231F1F"/>
          <w:w w:val="105"/>
        </w:rPr>
        <w:t> y</w:t>
      </w:r>
      <w:r>
        <w:rPr>
          <w:color w:val="231F1F"/>
          <w:w w:val="105"/>
        </w:rPr>
        <w:t> «</w:t>
      </w:r>
      <w:r>
        <w:rPr>
          <w:i/>
          <w:color w:val="231F1F"/>
          <w:w w:val="105"/>
        </w:rPr>
        <w:t>ate- rrador</w:t>
      </w:r>
      <w:r>
        <w:rPr>
          <w:i/>
          <w:color w:val="231F1F"/>
          <w:w w:val="105"/>
        </w:rPr>
        <w:t> y</w:t>
      </w:r>
      <w:r>
        <w:rPr>
          <w:i/>
          <w:color w:val="231F1F"/>
          <w:w w:val="105"/>
        </w:rPr>
        <w:t> agotador</w:t>
      </w:r>
      <w:r>
        <w:rPr>
          <w:color w:val="231F1F"/>
          <w:w w:val="105"/>
        </w:rPr>
        <w:t>»</w:t>
      </w:r>
      <w:r>
        <w:rPr>
          <w:color w:val="231F1F"/>
          <w:spacing w:val="40"/>
          <w:w w:val="105"/>
        </w:rPr>
        <w:t> </w:t>
      </w:r>
      <w:r>
        <w:rPr>
          <w:color w:val="231F1F"/>
          <w:w w:val="105"/>
        </w:rPr>
        <w:t>fueron</w:t>
      </w:r>
      <w:r>
        <w:rPr>
          <w:color w:val="231F1F"/>
          <w:spacing w:val="40"/>
          <w:w w:val="105"/>
        </w:rPr>
        <w:t> </w:t>
      </w:r>
      <w:r>
        <w:rPr>
          <w:color w:val="231F1F"/>
          <w:w w:val="105"/>
        </w:rPr>
        <w:t>2</w:t>
      </w:r>
      <w:r>
        <w:rPr>
          <w:color w:val="231F1F"/>
          <w:spacing w:val="40"/>
          <w:w w:val="105"/>
        </w:rPr>
        <w:t> </w:t>
      </w:r>
      <w:r>
        <w:rPr>
          <w:color w:val="231F1F"/>
          <w:w w:val="105"/>
        </w:rPr>
        <w:t>de</w:t>
      </w:r>
      <w:r>
        <w:rPr>
          <w:color w:val="231F1F"/>
          <w:spacing w:val="40"/>
          <w:w w:val="105"/>
        </w:rPr>
        <w:t> </w:t>
      </w:r>
      <w:r>
        <w:rPr>
          <w:color w:val="231F1F"/>
          <w:w w:val="105"/>
        </w:rPr>
        <w:t>las</w:t>
      </w:r>
      <w:r>
        <w:rPr>
          <w:color w:val="231F1F"/>
          <w:spacing w:val="40"/>
          <w:w w:val="105"/>
        </w:rPr>
        <w:t> </w:t>
      </w:r>
      <w:r>
        <w:rPr>
          <w:color w:val="231F1F"/>
          <w:w w:val="105"/>
        </w:rPr>
        <w:t>4</w:t>
      </w:r>
      <w:r>
        <w:rPr>
          <w:color w:val="231F1F"/>
          <w:spacing w:val="40"/>
          <w:w w:val="105"/>
        </w:rPr>
        <w:t> </w:t>
      </w:r>
      <w:r>
        <w:rPr>
          <w:color w:val="231F1F"/>
          <w:w w:val="105"/>
        </w:rPr>
        <w:t>«palabras</w:t>
      </w:r>
      <w:r>
        <w:rPr>
          <w:color w:val="231F1F"/>
          <w:spacing w:val="40"/>
          <w:w w:val="105"/>
        </w:rPr>
        <w:t> </w:t>
      </w:r>
      <w:r>
        <w:rPr>
          <w:color w:val="231F1F"/>
          <w:w w:val="105"/>
        </w:rPr>
        <w:t>afectivas»</w:t>
      </w:r>
      <w:r>
        <w:rPr>
          <w:color w:val="231F1F"/>
          <w:spacing w:val="40"/>
          <w:w w:val="105"/>
        </w:rPr>
        <w:t> </w:t>
      </w:r>
      <w:r>
        <w:rPr>
          <w:color w:val="231F1F"/>
          <w:w w:val="105"/>
        </w:rPr>
        <w:t>escogidas</w:t>
      </w:r>
      <w:r>
        <w:rPr>
          <w:color w:val="231F1F"/>
          <w:spacing w:val="40"/>
          <w:w w:val="105"/>
        </w:rPr>
        <w:t> </w:t>
      </w:r>
      <w:r>
        <w:rPr>
          <w:color w:val="231F1F"/>
          <w:w w:val="105"/>
        </w:rPr>
        <w:t>en ambos grupos.</w:t>
      </w:r>
    </w:p>
    <w:p>
      <w:pPr>
        <w:pStyle w:val="BodyText"/>
        <w:spacing w:line="244" w:lineRule="auto" w:before="61"/>
        <w:ind w:left="283" w:right="49" w:firstLine="453"/>
        <w:jc w:val="both"/>
      </w:pPr>
      <w:r>
        <w:rPr>
          <w:color w:val="231F1F"/>
          <w:w w:val="110"/>
        </w:rPr>
        <w:t>El</w:t>
      </w:r>
      <w:r>
        <w:rPr>
          <w:color w:val="231F1F"/>
          <w:spacing w:val="-10"/>
          <w:w w:val="110"/>
        </w:rPr>
        <w:t> </w:t>
      </w:r>
      <w:r>
        <w:rPr>
          <w:color w:val="231F1F"/>
          <w:w w:val="110"/>
        </w:rPr>
        <w:t>estudio</w:t>
      </w:r>
      <w:r>
        <w:rPr>
          <w:color w:val="231F1F"/>
          <w:spacing w:val="-9"/>
          <w:w w:val="110"/>
        </w:rPr>
        <w:t> </w:t>
      </w:r>
      <w:r>
        <w:rPr>
          <w:color w:val="231F1F"/>
          <w:w w:val="110"/>
        </w:rPr>
        <w:t>concluye</w:t>
      </w:r>
      <w:r>
        <w:rPr>
          <w:color w:val="231F1F"/>
          <w:spacing w:val="-10"/>
          <w:w w:val="110"/>
        </w:rPr>
        <w:t> </w:t>
      </w:r>
      <w:r>
        <w:rPr>
          <w:color w:val="231F1F"/>
          <w:w w:val="110"/>
        </w:rPr>
        <w:t>que</w:t>
      </w:r>
      <w:r>
        <w:rPr>
          <w:color w:val="231F1F"/>
          <w:spacing w:val="-10"/>
          <w:w w:val="110"/>
        </w:rPr>
        <w:t> </w:t>
      </w:r>
      <w:r>
        <w:rPr>
          <w:color w:val="231F1F"/>
          <w:w w:val="110"/>
        </w:rPr>
        <w:t>aunque</w:t>
      </w:r>
      <w:r>
        <w:rPr>
          <w:color w:val="231F1F"/>
          <w:spacing w:val="-9"/>
          <w:w w:val="110"/>
        </w:rPr>
        <w:t> </w:t>
      </w:r>
      <w:r>
        <w:rPr>
          <w:color w:val="231F1F"/>
          <w:w w:val="110"/>
        </w:rPr>
        <w:t>el</w:t>
      </w:r>
      <w:r>
        <w:rPr>
          <w:color w:val="231F1F"/>
          <w:spacing w:val="-10"/>
          <w:w w:val="110"/>
        </w:rPr>
        <w:t> </w:t>
      </w:r>
      <w:r>
        <w:rPr>
          <w:color w:val="231F1F"/>
          <w:w w:val="110"/>
        </w:rPr>
        <w:t>masaje</w:t>
      </w:r>
      <w:r>
        <w:rPr>
          <w:color w:val="231F1F"/>
          <w:spacing w:val="-9"/>
          <w:w w:val="110"/>
        </w:rPr>
        <w:t> </w:t>
      </w:r>
      <w:r>
        <w:rPr>
          <w:color w:val="231F1F"/>
          <w:w w:val="110"/>
        </w:rPr>
        <w:t>no</w:t>
      </w:r>
      <w:r>
        <w:rPr>
          <w:color w:val="231F1F"/>
          <w:spacing w:val="-10"/>
          <w:w w:val="110"/>
        </w:rPr>
        <w:t> </w:t>
      </w:r>
      <w:r>
        <w:rPr>
          <w:color w:val="231F1F"/>
          <w:w w:val="110"/>
        </w:rPr>
        <w:t>cambia</w:t>
      </w:r>
      <w:r>
        <w:rPr>
          <w:color w:val="231F1F"/>
          <w:spacing w:val="-10"/>
          <w:w w:val="110"/>
        </w:rPr>
        <w:t> </w:t>
      </w:r>
      <w:r>
        <w:rPr>
          <w:color w:val="231F1F"/>
          <w:w w:val="110"/>
        </w:rPr>
        <w:t>las</w:t>
      </w:r>
      <w:r>
        <w:rPr>
          <w:color w:val="231F1F"/>
          <w:spacing w:val="-10"/>
          <w:w w:val="110"/>
        </w:rPr>
        <w:t> </w:t>
      </w:r>
      <w:r>
        <w:rPr>
          <w:color w:val="231F1F"/>
          <w:w w:val="110"/>
        </w:rPr>
        <w:t>características del</w:t>
      </w:r>
      <w:r>
        <w:rPr>
          <w:color w:val="231F1F"/>
          <w:spacing w:val="-3"/>
          <w:w w:val="110"/>
        </w:rPr>
        <w:t> </w:t>
      </w:r>
      <w:r>
        <w:rPr>
          <w:color w:val="231F1F"/>
          <w:w w:val="110"/>
        </w:rPr>
        <w:t>dolor</w:t>
      </w:r>
      <w:r>
        <w:rPr>
          <w:color w:val="231F1F"/>
          <w:spacing w:val="-3"/>
          <w:w w:val="110"/>
        </w:rPr>
        <w:t> </w:t>
      </w:r>
      <w:r>
        <w:rPr>
          <w:color w:val="231F1F"/>
          <w:w w:val="110"/>
        </w:rPr>
        <w:t>del</w:t>
      </w:r>
      <w:r>
        <w:rPr>
          <w:color w:val="231F1F"/>
          <w:spacing w:val="-3"/>
          <w:w w:val="110"/>
        </w:rPr>
        <w:t> </w:t>
      </w:r>
      <w:r>
        <w:rPr>
          <w:color w:val="231F1F"/>
          <w:w w:val="110"/>
        </w:rPr>
        <w:t>parto,</w:t>
      </w:r>
      <w:r>
        <w:rPr>
          <w:color w:val="231F1F"/>
          <w:spacing w:val="-3"/>
          <w:w w:val="110"/>
        </w:rPr>
        <w:t> </w:t>
      </w:r>
      <w:r>
        <w:rPr>
          <w:color w:val="231F1F"/>
          <w:w w:val="110"/>
        </w:rPr>
        <w:t>puede</w:t>
      </w:r>
      <w:r>
        <w:rPr>
          <w:color w:val="231F1F"/>
          <w:spacing w:val="-3"/>
          <w:w w:val="110"/>
        </w:rPr>
        <w:t> </w:t>
      </w:r>
      <w:r>
        <w:rPr>
          <w:color w:val="231F1F"/>
          <w:w w:val="110"/>
        </w:rPr>
        <w:t>ser</w:t>
      </w:r>
      <w:r>
        <w:rPr>
          <w:color w:val="231F1F"/>
          <w:spacing w:val="-3"/>
          <w:w w:val="110"/>
        </w:rPr>
        <w:t> </w:t>
      </w:r>
      <w:r>
        <w:rPr>
          <w:color w:val="231F1F"/>
          <w:w w:val="110"/>
        </w:rPr>
        <w:t>efectivo</w:t>
      </w:r>
      <w:r>
        <w:rPr>
          <w:color w:val="231F1F"/>
          <w:spacing w:val="-2"/>
          <w:w w:val="110"/>
        </w:rPr>
        <w:t> </w:t>
      </w:r>
      <w:r>
        <w:rPr>
          <w:color w:val="231F1F"/>
          <w:w w:val="110"/>
        </w:rPr>
        <w:t>disminuyendo</w:t>
      </w:r>
      <w:r>
        <w:rPr>
          <w:color w:val="231F1F"/>
          <w:spacing w:val="-2"/>
          <w:w w:val="110"/>
        </w:rPr>
        <w:t> </w:t>
      </w:r>
      <w:r>
        <w:rPr>
          <w:color w:val="231F1F"/>
          <w:w w:val="110"/>
        </w:rPr>
        <w:t>la</w:t>
      </w:r>
      <w:r>
        <w:rPr>
          <w:color w:val="231F1F"/>
          <w:spacing w:val="-2"/>
          <w:w w:val="110"/>
        </w:rPr>
        <w:t> </w:t>
      </w:r>
      <w:r>
        <w:rPr>
          <w:color w:val="231F1F"/>
          <w:w w:val="110"/>
        </w:rPr>
        <w:t>intensidad</w:t>
      </w:r>
      <w:r>
        <w:rPr>
          <w:color w:val="231F1F"/>
          <w:spacing w:val="-2"/>
          <w:w w:val="110"/>
        </w:rPr>
        <w:t> </w:t>
      </w:r>
      <w:r>
        <w:rPr>
          <w:color w:val="231F1F"/>
          <w:w w:val="110"/>
        </w:rPr>
        <w:t>de</w:t>
      </w:r>
      <w:r>
        <w:rPr>
          <w:color w:val="231F1F"/>
          <w:spacing w:val="-2"/>
          <w:w w:val="110"/>
        </w:rPr>
        <w:t> </w:t>
      </w:r>
      <w:r>
        <w:rPr>
          <w:color w:val="231F1F"/>
          <w:w w:val="110"/>
        </w:rPr>
        <w:t>dolor en la 1ª y 2ª fase de la etapa de dilatación.</w:t>
      </w:r>
    </w:p>
    <w:p>
      <w:pPr>
        <w:pStyle w:val="BodyText"/>
        <w:spacing w:line="252" w:lineRule="auto" w:before="142"/>
        <w:ind w:left="283" w:right="49" w:firstLine="453"/>
        <w:jc w:val="both"/>
      </w:pPr>
      <w:r>
        <w:rPr>
          <w:color w:val="231F1F"/>
          <w:w w:val="110"/>
        </w:rPr>
        <w:t>La</w:t>
      </w:r>
      <w:r>
        <w:rPr>
          <w:color w:val="231F1F"/>
          <w:spacing w:val="-16"/>
          <w:w w:val="110"/>
        </w:rPr>
        <w:t> </w:t>
      </w:r>
      <w:r>
        <w:rPr>
          <w:color w:val="231F1F"/>
          <w:w w:val="110"/>
        </w:rPr>
        <w:t>evidencia</w:t>
      </w:r>
      <w:r>
        <w:rPr>
          <w:color w:val="231F1F"/>
          <w:spacing w:val="-15"/>
          <w:w w:val="110"/>
        </w:rPr>
        <w:t> </w:t>
      </w:r>
      <w:r>
        <w:rPr>
          <w:color w:val="231F1F"/>
          <w:w w:val="110"/>
        </w:rPr>
        <w:t>a</w:t>
      </w:r>
      <w:r>
        <w:rPr>
          <w:color w:val="231F1F"/>
          <w:spacing w:val="-15"/>
          <w:w w:val="110"/>
        </w:rPr>
        <w:t> </w:t>
      </w:r>
      <w:r>
        <w:rPr>
          <w:color w:val="231F1F"/>
          <w:w w:val="110"/>
        </w:rPr>
        <w:t>favor</w:t>
      </w:r>
      <w:r>
        <w:rPr>
          <w:color w:val="231F1F"/>
          <w:spacing w:val="-15"/>
          <w:w w:val="110"/>
        </w:rPr>
        <w:t> </w:t>
      </w:r>
      <w:r>
        <w:rPr>
          <w:color w:val="231F1F"/>
          <w:w w:val="110"/>
        </w:rPr>
        <w:t>del</w:t>
      </w:r>
      <w:r>
        <w:rPr>
          <w:color w:val="231F1F"/>
          <w:spacing w:val="-15"/>
          <w:w w:val="110"/>
        </w:rPr>
        <w:t> </w:t>
      </w:r>
      <w:r>
        <w:rPr>
          <w:color w:val="231F1F"/>
          <w:w w:val="110"/>
        </w:rPr>
        <w:t>masaje</w:t>
      </w:r>
      <w:r>
        <w:rPr>
          <w:color w:val="231F1F"/>
          <w:spacing w:val="-15"/>
          <w:w w:val="110"/>
        </w:rPr>
        <w:t> </w:t>
      </w:r>
      <w:r>
        <w:rPr>
          <w:color w:val="231F1F"/>
          <w:w w:val="110"/>
        </w:rPr>
        <w:t>proviene</w:t>
      </w:r>
      <w:r>
        <w:rPr>
          <w:color w:val="231F1F"/>
          <w:spacing w:val="-15"/>
          <w:w w:val="110"/>
        </w:rPr>
        <w:t> </w:t>
      </w:r>
      <w:r>
        <w:rPr>
          <w:color w:val="231F1F"/>
          <w:w w:val="110"/>
        </w:rPr>
        <w:t>de</w:t>
      </w:r>
      <w:r>
        <w:rPr>
          <w:color w:val="231F1F"/>
          <w:spacing w:val="-15"/>
          <w:w w:val="110"/>
        </w:rPr>
        <w:t> </w:t>
      </w:r>
      <w:r>
        <w:rPr>
          <w:color w:val="231F1F"/>
          <w:w w:val="110"/>
        </w:rPr>
        <w:t>un</w:t>
      </w:r>
      <w:r>
        <w:rPr>
          <w:color w:val="231F1F"/>
          <w:spacing w:val="-16"/>
          <w:w w:val="110"/>
        </w:rPr>
        <w:t> </w:t>
      </w:r>
      <w:r>
        <w:rPr>
          <w:color w:val="231F1F"/>
          <w:w w:val="110"/>
        </w:rPr>
        <w:t>estudio</w:t>
      </w:r>
      <w:r>
        <w:rPr>
          <w:color w:val="231F1F"/>
          <w:spacing w:val="-15"/>
          <w:w w:val="110"/>
        </w:rPr>
        <w:t> </w:t>
      </w:r>
      <w:r>
        <w:rPr>
          <w:color w:val="231F1F"/>
          <w:w w:val="110"/>
        </w:rPr>
        <w:t>donde</w:t>
      </w:r>
      <w:r>
        <w:rPr>
          <w:color w:val="231F1F"/>
          <w:spacing w:val="-15"/>
          <w:w w:val="110"/>
        </w:rPr>
        <w:t> </w:t>
      </w:r>
      <w:r>
        <w:rPr>
          <w:color w:val="231F1F"/>
          <w:w w:val="110"/>
        </w:rPr>
        <w:t>las</w:t>
      </w:r>
      <w:r>
        <w:rPr>
          <w:color w:val="231F1F"/>
          <w:spacing w:val="-15"/>
          <w:w w:val="110"/>
        </w:rPr>
        <w:t> </w:t>
      </w:r>
      <w:r>
        <w:rPr>
          <w:color w:val="231F1F"/>
          <w:w w:val="110"/>
        </w:rPr>
        <w:t>perso- nas</w:t>
      </w:r>
      <w:r>
        <w:rPr>
          <w:color w:val="231F1F"/>
          <w:spacing w:val="-6"/>
          <w:w w:val="110"/>
        </w:rPr>
        <w:t> </w:t>
      </w:r>
      <w:r>
        <w:rPr>
          <w:color w:val="231F1F"/>
          <w:w w:val="110"/>
        </w:rPr>
        <w:t>que</w:t>
      </w:r>
      <w:r>
        <w:rPr>
          <w:color w:val="231F1F"/>
          <w:spacing w:val="-6"/>
          <w:w w:val="110"/>
        </w:rPr>
        <w:t> </w:t>
      </w:r>
      <w:r>
        <w:rPr>
          <w:color w:val="231F1F"/>
          <w:w w:val="110"/>
        </w:rPr>
        <w:t>acompañan</w:t>
      </w:r>
      <w:r>
        <w:rPr>
          <w:color w:val="231F1F"/>
          <w:spacing w:val="-5"/>
          <w:w w:val="110"/>
        </w:rPr>
        <w:t> </w:t>
      </w:r>
      <w:r>
        <w:rPr>
          <w:color w:val="231F1F"/>
          <w:w w:val="110"/>
        </w:rPr>
        <w:t>son</w:t>
      </w:r>
      <w:r>
        <w:rPr>
          <w:color w:val="231F1F"/>
          <w:spacing w:val="-6"/>
          <w:w w:val="110"/>
        </w:rPr>
        <w:t> </w:t>
      </w:r>
      <w:r>
        <w:rPr>
          <w:color w:val="231F1F"/>
          <w:w w:val="110"/>
        </w:rPr>
        <w:t>entrenadas,</w:t>
      </w:r>
      <w:r>
        <w:rPr>
          <w:color w:val="231F1F"/>
          <w:spacing w:val="-5"/>
          <w:w w:val="110"/>
        </w:rPr>
        <w:t> </w:t>
      </w:r>
      <w:r>
        <w:rPr>
          <w:color w:val="231F1F"/>
          <w:w w:val="110"/>
        </w:rPr>
        <w:t>lo</w:t>
      </w:r>
      <w:r>
        <w:rPr>
          <w:color w:val="231F1F"/>
          <w:spacing w:val="-5"/>
          <w:w w:val="110"/>
        </w:rPr>
        <w:t> </w:t>
      </w:r>
      <w:r>
        <w:rPr>
          <w:color w:val="231F1F"/>
          <w:w w:val="110"/>
        </w:rPr>
        <w:t>que</w:t>
      </w:r>
      <w:r>
        <w:rPr>
          <w:color w:val="231F1F"/>
          <w:spacing w:val="-6"/>
          <w:w w:val="110"/>
        </w:rPr>
        <w:t> </w:t>
      </w:r>
      <w:r>
        <w:rPr>
          <w:color w:val="231F1F"/>
          <w:w w:val="110"/>
        </w:rPr>
        <w:t>hay</w:t>
      </w:r>
      <w:r>
        <w:rPr>
          <w:color w:val="231F1F"/>
          <w:spacing w:val="-6"/>
          <w:w w:val="110"/>
        </w:rPr>
        <w:t> </w:t>
      </w:r>
      <w:r>
        <w:rPr>
          <w:color w:val="231F1F"/>
          <w:w w:val="110"/>
        </w:rPr>
        <w:t>que</w:t>
      </w:r>
      <w:r>
        <w:rPr>
          <w:color w:val="231F1F"/>
          <w:spacing w:val="-6"/>
          <w:w w:val="110"/>
        </w:rPr>
        <w:t> </w:t>
      </w:r>
      <w:r>
        <w:rPr>
          <w:color w:val="231F1F"/>
          <w:w w:val="110"/>
        </w:rPr>
        <w:t>tener</w:t>
      </w:r>
      <w:r>
        <w:rPr>
          <w:color w:val="231F1F"/>
          <w:spacing w:val="-6"/>
          <w:w w:val="110"/>
        </w:rPr>
        <w:t> </w:t>
      </w:r>
      <w:r>
        <w:rPr>
          <w:color w:val="231F1F"/>
          <w:w w:val="110"/>
        </w:rPr>
        <w:t>en</w:t>
      </w:r>
      <w:r>
        <w:rPr>
          <w:color w:val="231F1F"/>
          <w:spacing w:val="-5"/>
          <w:w w:val="110"/>
        </w:rPr>
        <w:t> </w:t>
      </w:r>
      <w:r>
        <w:rPr>
          <w:color w:val="231F1F"/>
          <w:w w:val="110"/>
        </w:rPr>
        <w:t>cuenta</w:t>
      </w:r>
      <w:r>
        <w:rPr>
          <w:color w:val="231F1F"/>
          <w:spacing w:val="-6"/>
          <w:w w:val="110"/>
        </w:rPr>
        <w:t> </w:t>
      </w:r>
      <w:r>
        <w:rPr>
          <w:color w:val="231F1F"/>
          <w:w w:val="110"/>
        </w:rPr>
        <w:t>para</w:t>
      </w:r>
      <w:r>
        <w:rPr>
          <w:color w:val="231F1F"/>
          <w:spacing w:val="-6"/>
          <w:w w:val="110"/>
        </w:rPr>
        <w:t> </w:t>
      </w:r>
      <w:r>
        <w:rPr>
          <w:color w:val="231F1F"/>
          <w:w w:val="110"/>
        </w:rPr>
        <w:t>va- </w:t>
      </w:r>
      <w:r>
        <w:rPr>
          <w:color w:val="231F1F"/>
        </w:rPr>
        <w:t>lorar el posible efecto en nuestro contexto. Asimismo es preciso recalcar que, </w:t>
      </w:r>
      <w:r>
        <w:rPr>
          <w:color w:val="231F1F"/>
          <w:spacing w:val="-2"/>
          <w:w w:val="110"/>
        </w:rPr>
        <w:t>además</w:t>
      </w:r>
      <w:r>
        <w:rPr>
          <w:color w:val="231F1F"/>
          <w:spacing w:val="-8"/>
          <w:w w:val="110"/>
        </w:rPr>
        <w:t> </w:t>
      </w:r>
      <w:r>
        <w:rPr>
          <w:color w:val="231F1F"/>
          <w:spacing w:val="-2"/>
          <w:w w:val="110"/>
        </w:rPr>
        <w:t>del</w:t>
      </w:r>
      <w:r>
        <w:rPr>
          <w:color w:val="231F1F"/>
          <w:spacing w:val="-8"/>
          <w:w w:val="110"/>
        </w:rPr>
        <w:t> </w:t>
      </w:r>
      <w:r>
        <w:rPr>
          <w:color w:val="231F1F"/>
          <w:spacing w:val="-2"/>
          <w:w w:val="110"/>
        </w:rPr>
        <w:t>masaje,</w:t>
      </w:r>
      <w:r>
        <w:rPr>
          <w:color w:val="231F1F"/>
          <w:spacing w:val="-8"/>
          <w:w w:val="110"/>
        </w:rPr>
        <w:t> </w:t>
      </w:r>
      <w:r>
        <w:rPr>
          <w:color w:val="231F1F"/>
          <w:spacing w:val="-2"/>
          <w:w w:val="110"/>
        </w:rPr>
        <w:t>el</w:t>
      </w:r>
      <w:r>
        <w:rPr>
          <w:color w:val="231F1F"/>
          <w:spacing w:val="-8"/>
          <w:w w:val="110"/>
        </w:rPr>
        <w:t> </w:t>
      </w:r>
      <w:r>
        <w:rPr>
          <w:color w:val="231F1F"/>
          <w:spacing w:val="-2"/>
          <w:w w:val="110"/>
        </w:rPr>
        <w:t>mero</w:t>
      </w:r>
      <w:r>
        <w:rPr>
          <w:color w:val="231F1F"/>
          <w:spacing w:val="-8"/>
          <w:w w:val="110"/>
        </w:rPr>
        <w:t> </w:t>
      </w:r>
      <w:r>
        <w:rPr>
          <w:color w:val="231F1F"/>
          <w:spacing w:val="-2"/>
          <w:w w:val="110"/>
        </w:rPr>
        <w:t>contacto</w:t>
      </w:r>
      <w:r>
        <w:rPr>
          <w:color w:val="231F1F"/>
          <w:spacing w:val="-8"/>
          <w:w w:val="110"/>
        </w:rPr>
        <w:t> </w:t>
      </w:r>
      <w:r>
        <w:rPr>
          <w:color w:val="231F1F"/>
          <w:spacing w:val="-2"/>
          <w:w w:val="110"/>
        </w:rPr>
        <w:t>físico</w:t>
      </w:r>
      <w:r>
        <w:rPr>
          <w:color w:val="231F1F"/>
          <w:spacing w:val="-7"/>
          <w:w w:val="110"/>
        </w:rPr>
        <w:t> </w:t>
      </w:r>
      <w:r>
        <w:rPr>
          <w:color w:val="231F1F"/>
          <w:spacing w:val="-2"/>
          <w:w w:val="110"/>
        </w:rPr>
        <w:t>ha</w:t>
      </w:r>
      <w:r>
        <w:rPr>
          <w:color w:val="231F1F"/>
          <w:spacing w:val="-8"/>
          <w:w w:val="110"/>
        </w:rPr>
        <w:t> </w:t>
      </w:r>
      <w:r>
        <w:rPr>
          <w:color w:val="231F1F"/>
          <w:spacing w:val="-2"/>
          <w:w w:val="110"/>
        </w:rPr>
        <w:t>demostrado</w:t>
      </w:r>
      <w:r>
        <w:rPr>
          <w:color w:val="231F1F"/>
          <w:spacing w:val="-8"/>
          <w:w w:val="110"/>
        </w:rPr>
        <w:t> </w:t>
      </w:r>
      <w:r>
        <w:rPr>
          <w:color w:val="231F1F"/>
          <w:spacing w:val="-2"/>
          <w:w w:val="110"/>
        </w:rPr>
        <w:t>ser</w:t>
      </w:r>
      <w:r>
        <w:rPr>
          <w:color w:val="231F1F"/>
          <w:spacing w:val="-8"/>
          <w:w w:val="110"/>
        </w:rPr>
        <w:t> </w:t>
      </w:r>
      <w:r>
        <w:rPr>
          <w:color w:val="231F1F"/>
          <w:spacing w:val="-2"/>
          <w:w w:val="110"/>
        </w:rPr>
        <w:t>beneficioso</w:t>
      </w:r>
      <w:r>
        <w:rPr>
          <w:color w:val="231F1F"/>
          <w:spacing w:val="-8"/>
          <w:w w:val="110"/>
        </w:rPr>
        <w:t> </w:t>
      </w:r>
      <w:r>
        <w:rPr>
          <w:color w:val="231F1F"/>
          <w:spacing w:val="-2"/>
          <w:w w:val="110"/>
        </w:rPr>
        <w:t>en </w:t>
      </w:r>
      <w:r>
        <w:rPr>
          <w:color w:val="231F1F"/>
          <w:w w:val="110"/>
        </w:rPr>
        <w:t>el parto.</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8"/>
        </w:rPr>
      </w:pPr>
    </w:p>
    <w:p>
      <w:pPr>
        <w:spacing w:line="278" w:lineRule="auto" w:before="1"/>
        <w:ind w:left="380" w:right="522" w:hanging="97"/>
        <w:jc w:val="left"/>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
        <w:rPr>
          <w:rFonts w:ascii="Arial MT"/>
          <w:sz w:val="18"/>
        </w:rPr>
      </w:pPr>
    </w:p>
    <w:p>
      <w:pPr>
        <w:spacing w:line="278" w:lineRule="auto" w:before="0"/>
        <w:ind w:left="380" w:right="522" w:hanging="97"/>
        <w:jc w:val="left"/>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left"/>
        <w:rPr>
          <w:rFonts w:ascii="Arial MT"/>
          <w:sz w:val="18"/>
        </w:rPr>
        <w:sectPr>
          <w:pgSz w:w="11900" w:h="16840"/>
          <w:pgMar w:header="0" w:footer="622" w:top="1560" w:bottom="820" w:left="1417" w:right="1559"/>
          <w:cols w:num="2" w:equalWidth="0">
            <w:col w:w="7599" w:space="158"/>
            <w:col w:w="1167"/>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sz w:val="22"/>
              </w:rPr>
              <w:t>El</w:t>
            </w:r>
            <w:r>
              <w:rPr>
                <w:color w:val="231F1F"/>
                <w:spacing w:val="31"/>
                <w:sz w:val="22"/>
              </w:rPr>
              <w:t> </w:t>
            </w:r>
            <w:r>
              <w:rPr>
                <w:color w:val="231F1F"/>
                <w:sz w:val="22"/>
              </w:rPr>
              <w:t>masaje</w:t>
            </w:r>
            <w:r>
              <w:rPr>
                <w:color w:val="231F1F"/>
                <w:spacing w:val="33"/>
                <w:sz w:val="22"/>
              </w:rPr>
              <w:t> </w:t>
            </w:r>
            <w:r>
              <w:rPr>
                <w:color w:val="231F1F"/>
                <w:sz w:val="22"/>
              </w:rPr>
              <w:t>por</w:t>
            </w:r>
            <w:r>
              <w:rPr>
                <w:color w:val="231F1F"/>
                <w:spacing w:val="33"/>
                <w:sz w:val="22"/>
              </w:rPr>
              <w:t> </w:t>
            </w:r>
            <w:r>
              <w:rPr>
                <w:color w:val="231F1F"/>
                <w:sz w:val="22"/>
              </w:rPr>
              <w:t>la</w:t>
            </w:r>
            <w:r>
              <w:rPr>
                <w:color w:val="231F1F"/>
                <w:spacing w:val="33"/>
                <w:sz w:val="22"/>
              </w:rPr>
              <w:t> </w:t>
            </w:r>
            <w:r>
              <w:rPr>
                <w:color w:val="231F1F"/>
                <w:sz w:val="22"/>
              </w:rPr>
              <w:t>persona</w:t>
            </w:r>
            <w:r>
              <w:rPr>
                <w:color w:val="231F1F"/>
                <w:spacing w:val="33"/>
                <w:sz w:val="22"/>
              </w:rPr>
              <w:t> </w:t>
            </w:r>
            <w:r>
              <w:rPr>
                <w:color w:val="231F1F"/>
                <w:sz w:val="22"/>
              </w:rPr>
              <w:t>acompañante</w:t>
            </w:r>
            <w:r>
              <w:rPr>
                <w:color w:val="231F1F"/>
                <w:spacing w:val="33"/>
                <w:sz w:val="22"/>
              </w:rPr>
              <w:t> </w:t>
            </w:r>
            <w:r>
              <w:rPr>
                <w:color w:val="231F1F"/>
                <w:sz w:val="22"/>
              </w:rPr>
              <w:t>reduce</w:t>
            </w:r>
            <w:r>
              <w:rPr>
                <w:color w:val="231F1F"/>
                <w:spacing w:val="33"/>
                <w:sz w:val="22"/>
              </w:rPr>
              <w:t> </w:t>
            </w:r>
            <w:r>
              <w:rPr>
                <w:color w:val="231F1F"/>
                <w:sz w:val="22"/>
              </w:rPr>
              <w:t>el</w:t>
            </w:r>
            <w:r>
              <w:rPr>
                <w:color w:val="231F1F"/>
                <w:spacing w:val="33"/>
                <w:sz w:val="22"/>
              </w:rPr>
              <w:t> </w:t>
            </w:r>
            <w:r>
              <w:rPr>
                <w:color w:val="231F1F"/>
                <w:sz w:val="22"/>
              </w:rPr>
              <w:t>dolor</w:t>
            </w:r>
            <w:r>
              <w:rPr>
                <w:color w:val="231F1F"/>
                <w:spacing w:val="31"/>
                <w:sz w:val="22"/>
              </w:rPr>
              <w:t> </w:t>
            </w:r>
            <w:r>
              <w:rPr>
                <w:color w:val="231F1F"/>
                <w:sz w:val="22"/>
              </w:rPr>
              <w:t>y</w:t>
            </w:r>
            <w:r>
              <w:rPr>
                <w:color w:val="231F1F"/>
                <w:spacing w:val="33"/>
                <w:sz w:val="22"/>
              </w:rPr>
              <w:t> </w:t>
            </w:r>
            <w:r>
              <w:rPr>
                <w:color w:val="231F1F"/>
                <w:sz w:val="22"/>
              </w:rPr>
              <w:t>la</w:t>
            </w:r>
            <w:r>
              <w:rPr>
                <w:color w:val="231F1F"/>
                <w:spacing w:val="33"/>
                <w:sz w:val="22"/>
              </w:rPr>
              <w:t> </w:t>
            </w:r>
            <w:r>
              <w:rPr>
                <w:color w:val="231F1F"/>
                <w:sz w:val="22"/>
              </w:rPr>
              <w:t>ansiedad</w:t>
            </w:r>
            <w:r>
              <w:rPr>
                <w:color w:val="231F1F"/>
                <w:spacing w:val="33"/>
                <w:sz w:val="22"/>
              </w:rPr>
              <w:t> </w:t>
            </w:r>
            <w:r>
              <w:rPr>
                <w:color w:val="231F1F"/>
                <w:sz w:val="22"/>
              </w:rPr>
              <w:t>duran- </w:t>
            </w:r>
            <w:r>
              <w:rPr>
                <w:color w:val="231F1F"/>
                <w:w w:val="110"/>
                <w:sz w:val="22"/>
              </w:rPr>
              <w:t>te el parto y mejora el humor de la madre (47;285).</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402" w:hRule="atLeast"/>
        </w:trPr>
        <w:tc>
          <w:tcPr>
            <w:tcW w:w="7373" w:type="dxa"/>
          </w:tcPr>
          <w:p>
            <w:pPr>
              <w:pStyle w:val="TableParagraph"/>
              <w:spacing w:before="49"/>
              <w:rPr>
                <w:sz w:val="22"/>
              </w:rPr>
            </w:pPr>
            <w:r>
              <w:rPr>
                <w:color w:val="231F1F"/>
                <w:sz w:val="22"/>
              </w:rPr>
              <w:t>El</w:t>
            </w:r>
            <w:r>
              <w:rPr>
                <w:color w:val="231F1F"/>
                <w:spacing w:val="34"/>
                <w:sz w:val="22"/>
              </w:rPr>
              <w:t> </w:t>
            </w:r>
            <w:r>
              <w:rPr>
                <w:color w:val="231F1F"/>
                <w:sz w:val="22"/>
              </w:rPr>
              <w:t>tacto</w:t>
            </w:r>
            <w:r>
              <w:rPr>
                <w:color w:val="231F1F"/>
                <w:spacing w:val="38"/>
                <w:sz w:val="22"/>
              </w:rPr>
              <w:t> </w:t>
            </w:r>
            <w:r>
              <w:rPr>
                <w:color w:val="231F1F"/>
                <w:sz w:val="22"/>
              </w:rPr>
              <w:t>tranquilizador</w:t>
            </w:r>
            <w:r>
              <w:rPr>
                <w:color w:val="231F1F"/>
                <w:spacing w:val="40"/>
                <w:sz w:val="22"/>
              </w:rPr>
              <w:t> </w:t>
            </w:r>
            <w:r>
              <w:rPr>
                <w:color w:val="231F1F"/>
                <w:sz w:val="22"/>
              </w:rPr>
              <w:t>reduce</w:t>
            </w:r>
            <w:r>
              <w:rPr>
                <w:color w:val="231F1F"/>
                <w:spacing w:val="36"/>
                <w:sz w:val="22"/>
              </w:rPr>
              <w:t> </w:t>
            </w:r>
            <w:r>
              <w:rPr>
                <w:color w:val="231F1F"/>
                <w:sz w:val="22"/>
              </w:rPr>
              <w:t>la</w:t>
            </w:r>
            <w:r>
              <w:rPr>
                <w:color w:val="231F1F"/>
                <w:spacing w:val="39"/>
                <w:sz w:val="22"/>
              </w:rPr>
              <w:t> </w:t>
            </w:r>
            <w:r>
              <w:rPr>
                <w:color w:val="231F1F"/>
                <w:sz w:val="22"/>
              </w:rPr>
              <w:t>ansiedad</w:t>
            </w:r>
            <w:r>
              <w:rPr>
                <w:color w:val="231F1F"/>
                <w:spacing w:val="35"/>
                <w:sz w:val="22"/>
              </w:rPr>
              <w:t> </w:t>
            </w:r>
            <w:r>
              <w:rPr>
                <w:color w:val="231F1F"/>
                <w:sz w:val="22"/>
              </w:rPr>
              <w:t>expresada</w:t>
            </w:r>
            <w:r>
              <w:rPr>
                <w:color w:val="231F1F"/>
                <w:spacing w:val="37"/>
                <w:sz w:val="22"/>
              </w:rPr>
              <w:t> </w:t>
            </w:r>
            <w:r>
              <w:rPr>
                <w:color w:val="231F1F"/>
                <w:sz w:val="22"/>
              </w:rPr>
              <w:t>durante</w:t>
            </w:r>
            <w:r>
              <w:rPr>
                <w:color w:val="231F1F"/>
                <w:spacing w:val="38"/>
                <w:sz w:val="22"/>
              </w:rPr>
              <w:t> </w:t>
            </w:r>
            <w:r>
              <w:rPr>
                <w:color w:val="231F1F"/>
                <w:sz w:val="22"/>
              </w:rPr>
              <w:t>el</w:t>
            </w:r>
            <w:r>
              <w:rPr>
                <w:color w:val="231F1F"/>
                <w:spacing w:val="39"/>
                <w:sz w:val="22"/>
              </w:rPr>
              <w:t> </w:t>
            </w:r>
            <w:r>
              <w:rPr>
                <w:color w:val="231F1F"/>
                <w:sz w:val="22"/>
              </w:rPr>
              <w:t>parto</w:t>
            </w:r>
            <w:r>
              <w:rPr>
                <w:color w:val="231F1F"/>
                <w:spacing w:val="37"/>
                <w:sz w:val="22"/>
              </w:rPr>
              <w:t> </w:t>
            </w:r>
            <w:r>
              <w:rPr>
                <w:color w:val="231F1F"/>
                <w:spacing w:val="-2"/>
                <w:sz w:val="22"/>
              </w:rPr>
              <w:t>(286).</w:t>
            </w:r>
          </w:p>
        </w:tc>
        <w:tc>
          <w:tcPr>
            <w:tcW w:w="1133" w:type="dxa"/>
          </w:tcPr>
          <w:p>
            <w:pPr>
              <w:pStyle w:val="TableParagraph"/>
              <w:spacing w:before="39"/>
              <w:ind w:left="49" w:right="22"/>
              <w:jc w:val="center"/>
              <w:rPr>
                <w:sz w:val="22"/>
              </w:rPr>
            </w:pPr>
            <w:r>
              <w:rPr>
                <w:color w:val="231F1F"/>
                <w:spacing w:val="-5"/>
                <w:w w:val="105"/>
                <w:sz w:val="22"/>
              </w:rPr>
              <w:t>2+</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3"/>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B</w:t>
            </w:r>
          </w:p>
        </w:tc>
        <w:tc>
          <w:tcPr>
            <w:tcW w:w="8050" w:type="dxa"/>
          </w:tcPr>
          <w:p>
            <w:pPr>
              <w:pStyle w:val="TableParagraph"/>
              <w:spacing w:line="244" w:lineRule="auto" w:before="44"/>
              <w:ind w:right="155"/>
              <w:rPr>
                <w:sz w:val="22"/>
              </w:rPr>
            </w:pPr>
            <w:r>
              <w:rPr>
                <w:color w:val="231F1F"/>
                <w:w w:val="110"/>
                <w:sz w:val="22"/>
              </w:rPr>
              <w:t>Se</w:t>
            </w:r>
            <w:r>
              <w:rPr>
                <w:color w:val="231F1F"/>
                <w:spacing w:val="-7"/>
                <w:w w:val="110"/>
                <w:sz w:val="22"/>
              </w:rPr>
              <w:t> </w:t>
            </w:r>
            <w:r>
              <w:rPr>
                <w:color w:val="231F1F"/>
                <w:w w:val="110"/>
                <w:sz w:val="22"/>
              </w:rPr>
              <w:t>recomienda</w:t>
            </w:r>
            <w:r>
              <w:rPr>
                <w:color w:val="231F1F"/>
                <w:spacing w:val="-7"/>
                <w:w w:val="110"/>
                <w:sz w:val="22"/>
              </w:rPr>
              <w:t> </w:t>
            </w:r>
            <w:r>
              <w:rPr>
                <w:color w:val="231F1F"/>
                <w:w w:val="110"/>
                <w:sz w:val="22"/>
              </w:rPr>
              <w:t>el</w:t>
            </w:r>
            <w:r>
              <w:rPr>
                <w:color w:val="231F1F"/>
                <w:spacing w:val="-7"/>
                <w:w w:val="110"/>
                <w:sz w:val="22"/>
              </w:rPr>
              <w:t> </w:t>
            </w:r>
            <w:r>
              <w:rPr>
                <w:color w:val="231F1F"/>
                <w:w w:val="110"/>
                <w:sz w:val="22"/>
              </w:rPr>
              <w:t>masaje</w:t>
            </w:r>
            <w:r>
              <w:rPr>
                <w:color w:val="231F1F"/>
                <w:spacing w:val="-7"/>
                <w:w w:val="110"/>
                <w:sz w:val="22"/>
              </w:rPr>
              <w:t> </w:t>
            </w:r>
            <w:r>
              <w:rPr>
                <w:color w:val="231F1F"/>
                <w:w w:val="110"/>
                <w:sz w:val="22"/>
              </w:rPr>
              <w:t>y</w:t>
            </w:r>
            <w:r>
              <w:rPr>
                <w:color w:val="231F1F"/>
                <w:spacing w:val="-7"/>
                <w:w w:val="110"/>
                <w:sz w:val="22"/>
              </w:rPr>
              <w:t> </w:t>
            </w:r>
            <w:r>
              <w:rPr>
                <w:color w:val="231F1F"/>
                <w:w w:val="110"/>
                <w:sz w:val="22"/>
              </w:rPr>
              <w:t>el</w:t>
            </w:r>
            <w:r>
              <w:rPr>
                <w:color w:val="231F1F"/>
                <w:spacing w:val="-7"/>
                <w:w w:val="110"/>
                <w:sz w:val="22"/>
              </w:rPr>
              <w:t> </w:t>
            </w:r>
            <w:r>
              <w:rPr>
                <w:color w:val="231F1F"/>
                <w:w w:val="110"/>
                <w:sz w:val="22"/>
              </w:rPr>
              <w:t>contacto</w:t>
            </w:r>
            <w:r>
              <w:rPr>
                <w:color w:val="231F1F"/>
                <w:spacing w:val="-7"/>
                <w:w w:val="110"/>
                <w:sz w:val="22"/>
              </w:rPr>
              <w:t> </w:t>
            </w:r>
            <w:r>
              <w:rPr>
                <w:color w:val="231F1F"/>
                <w:w w:val="110"/>
                <w:sz w:val="22"/>
              </w:rPr>
              <w:t>físico</w:t>
            </w:r>
            <w:r>
              <w:rPr>
                <w:color w:val="231F1F"/>
                <w:spacing w:val="-7"/>
                <w:w w:val="110"/>
                <w:sz w:val="22"/>
              </w:rPr>
              <w:t> </w:t>
            </w:r>
            <w:r>
              <w:rPr>
                <w:color w:val="231F1F"/>
                <w:w w:val="110"/>
                <w:sz w:val="22"/>
              </w:rPr>
              <w:t>tranquilizador</w:t>
            </w:r>
            <w:r>
              <w:rPr>
                <w:color w:val="231F1F"/>
                <w:spacing w:val="-7"/>
                <w:w w:val="110"/>
                <w:sz w:val="22"/>
              </w:rPr>
              <w:t> </w:t>
            </w:r>
            <w:r>
              <w:rPr>
                <w:color w:val="231F1F"/>
                <w:w w:val="110"/>
                <w:sz w:val="22"/>
              </w:rPr>
              <w:t>como</w:t>
            </w:r>
            <w:r>
              <w:rPr>
                <w:color w:val="231F1F"/>
                <w:spacing w:val="-7"/>
                <w:w w:val="110"/>
                <w:sz w:val="22"/>
              </w:rPr>
              <w:t> </w:t>
            </w:r>
            <w:r>
              <w:rPr>
                <w:color w:val="231F1F"/>
                <w:w w:val="110"/>
                <w:sz w:val="22"/>
              </w:rPr>
              <w:t>un</w:t>
            </w:r>
            <w:r>
              <w:rPr>
                <w:color w:val="231F1F"/>
                <w:spacing w:val="-7"/>
                <w:w w:val="110"/>
                <w:sz w:val="22"/>
              </w:rPr>
              <w:t> </w:t>
            </w:r>
            <w:r>
              <w:rPr>
                <w:color w:val="231F1F"/>
                <w:w w:val="110"/>
                <w:sz w:val="22"/>
              </w:rPr>
              <w:t>método</w:t>
            </w:r>
            <w:r>
              <w:rPr>
                <w:color w:val="231F1F"/>
                <w:spacing w:val="-7"/>
                <w:w w:val="110"/>
                <w:sz w:val="22"/>
              </w:rPr>
              <w:t> </w:t>
            </w:r>
            <w:r>
              <w:rPr>
                <w:color w:val="231F1F"/>
                <w:w w:val="110"/>
                <w:sz w:val="22"/>
              </w:rPr>
              <w:t>de alivio del dolor durante la primera y la segunda etapa del parto.</w:t>
            </w:r>
          </w:p>
        </w:tc>
      </w:tr>
    </w:tbl>
    <w:p>
      <w:pPr>
        <w:pStyle w:val="TableParagraph"/>
        <w:spacing w:after="0" w:line="24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10"/>
        </w:rPr>
        <w:t>Pelotas</w:t>
      </w:r>
      <w:r>
        <w:rPr>
          <w:color w:val="231F1F"/>
          <w:spacing w:val="-19"/>
          <w:w w:val="110"/>
        </w:rPr>
        <w:t> </w:t>
      </w:r>
      <w:r>
        <w:rPr>
          <w:color w:val="231F1F"/>
          <w:w w:val="110"/>
        </w:rPr>
        <w:t>de</w:t>
      </w:r>
      <w:r>
        <w:rPr>
          <w:color w:val="231F1F"/>
          <w:spacing w:val="-20"/>
          <w:w w:val="110"/>
        </w:rPr>
        <w:t> </w:t>
      </w:r>
      <w:r>
        <w:rPr>
          <w:color w:val="231F1F"/>
          <w:spacing w:val="-4"/>
          <w:w w:val="110"/>
        </w:rPr>
        <w:t>parto</w:t>
      </w:r>
    </w:p>
    <w:p>
      <w:pPr>
        <w:pStyle w:val="BodyText"/>
        <w:spacing w:before="20"/>
        <w:rPr>
          <w:sz w:val="20"/>
        </w:rPr>
      </w:pPr>
      <w:r>
        <w:rPr>
          <w:sz w:val="20"/>
        </w:rPr>
        <mc:AlternateContent>
          <mc:Choice Requires="wps">
            <w:drawing>
              <wp:anchor distT="0" distB="0" distL="0" distR="0" allowOverlap="1" layoutInCell="1" locked="0" behindDoc="1" simplePos="0" relativeHeight="487621632">
                <wp:simplePos x="0" y="0"/>
                <wp:positionH relativeFrom="page">
                  <wp:posOffset>1082675</wp:posOffset>
                </wp:positionH>
                <wp:positionV relativeFrom="paragraph">
                  <wp:posOffset>177184</wp:posOffset>
                </wp:positionV>
                <wp:extent cx="5400040" cy="440055"/>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5400040" cy="440055"/>
                        </a:xfrm>
                        <a:prstGeom prst="rect">
                          <a:avLst/>
                        </a:prstGeom>
                        <a:ln w="6350">
                          <a:solidFill>
                            <a:srgbClr val="A30046"/>
                          </a:solidFill>
                          <a:prstDash val="solid"/>
                        </a:ln>
                      </wps:spPr>
                      <wps:txbx>
                        <w:txbxContent>
                          <w:p>
                            <w:pPr>
                              <w:pStyle w:val="BodyText"/>
                              <w:numPr>
                                <w:ilvl w:val="0"/>
                                <w:numId w:val="68"/>
                              </w:numPr>
                              <w:tabs>
                                <w:tab w:pos="322" w:val="left" w:leader="none"/>
                              </w:tabs>
                              <w:spacing w:line="244" w:lineRule="auto" w:before="46" w:after="0"/>
                              <w:ind w:left="322" w:right="207" w:hanging="218"/>
                              <w:jc w:val="left"/>
                            </w:pPr>
                            <w:r>
                              <w:rPr>
                                <w:color w:val="231F1F"/>
                                <w:w w:val="110"/>
                              </w:rPr>
                              <w:t>¿Cuál</w:t>
                            </w:r>
                            <w:r>
                              <w:rPr>
                                <w:color w:val="231F1F"/>
                                <w:spacing w:val="-12"/>
                                <w:w w:val="110"/>
                              </w:rPr>
                              <w:t> </w:t>
                            </w:r>
                            <w:r>
                              <w:rPr>
                                <w:color w:val="231F1F"/>
                                <w:w w:val="110"/>
                              </w:rPr>
                              <w:t>es</w:t>
                            </w:r>
                            <w:r>
                              <w:rPr>
                                <w:color w:val="231F1F"/>
                                <w:spacing w:val="-12"/>
                                <w:w w:val="110"/>
                              </w:rPr>
                              <w:t> </w:t>
                            </w:r>
                            <w:r>
                              <w:rPr>
                                <w:color w:val="231F1F"/>
                                <w:w w:val="110"/>
                              </w:rPr>
                              <w:t>la</w:t>
                            </w:r>
                            <w:r>
                              <w:rPr>
                                <w:color w:val="231F1F"/>
                                <w:spacing w:val="-11"/>
                                <w:w w:val="110"/>
                              </w:rPr>
                              <w:t> </w:t>
                            </w:r>
                            <w:r>
                              <w:rPr>
                                <w:color w:val="231F1F"/>
                                <w:w w:val="110"/>
                              </w:rPr>
                              <w:t>efectividad</w:t>
                            </w:r>
                            <w:r>
                              <w:rPr>
                                <w:color w:val="231F1F"/>
                                <w:spacing w:val="-12"/>
                                <w:w w:val="110"/>
                              </w:rPr>
                              <w:t> </w:t>
                            </w:r>
                            <w:r>
                              <w:rPr>
                                <w:color w:val="231F1F"/>
                                <w:w w:val="110"/>
                              </w:rPr>
                              <w:t>del</w:t>
                            </w:r>
                            <w:r>
                              <w:rPr>
                                <w:color w:val="231F1F"/>
                                <w:spacing w:val="-14"/>
                                <w:w w:val="110"/>
                              </w:rPr>
                              <w:t> </w:t>
                            </w:r>
                            <w:r>
                              <w:rPr>
                                <w:color w:val="231F1F"/>
                                <w:w w:val="110"/>
                              </w:rPr>
                              <w:t>uso</w:t>
                            </w:r>
                            <w:r>
                              <w:rPr>
                                <w:color w:val="231F1F"/>
                                <w:spacing w:val="-11"/>
                                <w:w w:val="110"/>
                              </w:rPr>
                              <w:t> </w:t>
                            </w:r>
                            <w:r>
                              <w:rPr>
                                <w:color w:val="231F1F"/>
                                <w:w w:val="110"/>
                              </w:rPr>
                              <w:t>de</w:t>
                            </w:r>
                            <w:r>
                              <w:rPr>
                                <w:color w:val="231F1F"/>
                                <w:spacing w:val="-12"/>
                                <w:w w:val="110"/>
                              </w:rPr>
                              <w:t> </w:t>
                            </w:r>
                            <w:r>
                              <w:rPr>
                                <w:color w:val="231F1F"/>
                                <w:w w:val="110"/>
                              </w:rPr>
                              <w:t>pelotas</w:t>
                            </w:r>
                            <w:r>
                              <w:rPr>
                                <w:color w:val="231F1F"/>
                                <w:spacing w:val="-12"/>
                                <w:w w:val="110"/>
                              </w:rPr>
                              <w:t> </w:t>
                            </w:r>
                            <w:r>
                              <w:rPr>
                                <w:color w:val="231F1F"/>
                                <w:w w:val="110"/>
                              </w:rPr>
                              <w:t>de</w:t>
                            </w:r>
                            <w:r>
                              <w:rPr>
                                <w:color w:val="231F1F"/>
                                <w:spacing w:val="-11"/>
                                <w:w w:val="110"/>
                              </w:rPr>
                              <w:t> </w:t>
                            </w:r>
                            <w:r>
                              <w:rPr>
                                <w:color w:val="231F1F"/>
                                <w:w w:val="110"/>
                              </w:rPr>
                              <w:t>parto</w:t>
                            </w:r>
                            <w:r>
                              <w:rPr>
                                <w:color w:val="231F1F"/>
                                <w:spacing w:val="-12"/>
                                <w:w w:val="110"/>
                              </w:rPr>
                              <w:t> </w:t>
                            </w:r>
                            <w:r>
                              <w:rPr>
                                <w:color w:val="231F1F"/>
                                <w:w w:val="110"/>
                              </w:rPr>
                              <w:t>para</w:t>
                            </w:r>
                            <w:r>
                              <w:rPr>
                                <w:color w:val="231F1F"/>
                                <w:spacing w:val="-12"/>
                                <w:w w:val="110"/>
                              </w:rPr>
                              <w:t> </w:t>
                            </w:r>
                            <w:r>
                              <w:rPr>
                                <w:color w:val="231F1F"/>
                                <w:w w:val="110"/>
                              </w:rPr>
                              <w:t>el</w:t>
                            </w:r>
                            <w:r>
                              <w:rPr>
                                <w:color w:val="231F1F"/>
                                <w:spacing w:val="-11"/>
                                <w:w w:val="110"/>
                              </w:rPr>
                              <w:t> </w:t>
                            </w:r>
                            <w:r>
                              <w:rPr>
                                <w:color w:val="231F1F"/>
                                <w:w w:val="110"/>
                              </w:rPr>
                              <w:t>alivio</w:t>
                            </w:r>
                            <w:r>
                              <w:rPr>
                                <w:color w:val="231F1F"/>
                                <w:spacing w:val="-12"/>
                                <w:w w:val="110"/>
                              </w:rPr>
                              <w:t> </w:t>
                            </w:r>
                            <w:r>
                              <w:rPr>
                                <w:color w:val="231F1F"/>
                                <w:w w:val="110"/>
                              </w:rPr>
                              <w:t>del</w:t>
                            </w:r>
                            <w:r>
                              <w:rPr>
                                <w:color w:val="231F1F"/>
                                <w:spacing w:val="-13"/>
                                <w:w w:val="110"/>
                              </w:rPr>
                              <w:t> </w:t>
                            </w:r>
                            <w:r>
                              <w:rPr>
                                <w:color w:val="231F1F"/>
                                <w:w w:val="110"/>
                              </w:rPr>
                              <w:t>dolor</w:t>
                            </w:r>
                            <w:r>
                              <w:rPr>
                                <w:color w:val="231F1F"/>
                                <w:spacing w:val="-12"/>
                                <w:w w:val="110"/>
                              </w:rPr>
                              <w:t> </w:t>
                            </w:r>
                            <w:r>
                              <w:rPr>
                                <w:color w:val="231F1F"/>
                                <w:w w:val="110"/>
                              </w:rPr>
                              <w:t>durante</w:t>
                            </w:r>
                            <w:r>
                              <w:rPr>
                                <w:color w:val="231F1F"/>
                                <w:spacing w:val="-12"/>
                                <w:w w:val="110"/>
                              </w:rPr>
                              <w:t> </w:t>
                            </w:r>
                            <w:r>
                              <w:rPr>
                                <w:color w:val="231F1F"/>
                                <w:w w:val="110"/>
                              </w:rPr>
                              <w:t>el </w:t>
                            </w:r>
                            <w:r>
                              <w:rPr>
                                <w:color w:val="231F1F"/>
                                <w:spacing w:val="-2"/>
                                <w:w w:val="110"/>
                              </w:rPr>
                              <w:t>parto?</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94848;mso-wrap-distance-left:0;mso-wrap-distance-right:0" type="#_x0000_t202" id="docshape117" filled="false" stroked="true" strokeweight=".5pt" strokecolor="#a30046">
                <v:textbox inset="0,0,0,0">
                  <w:txbxContent>
                    <w:p>
                      <w:pPr>
                        <w:pStyle w:val="BodyText"/>
                        <w:numPr>
                          <w:ilvl w:val="0"/>
                          <w:numId w:val="68"/>
                        </w:numPr>
                        <w:tabs>
                          <w:tab w:pos="322" w:val="left" w:leader="none"/>
                        </w:tabs>
                        <w:spacing w:line="244" w:lineRule="auto" w:before="46" w:after="0"/>
                        <w:ind w:left="322" w:right="207" w:hanging="218"/>
                        <w:jc w:val="left"/>
                      </w:pPr>
                      <w:r>
                        <w:rPr>
                          <w:color w:val="231F1F"/>
                          <w:w w:val="110"/>
                        </w:rPr>
                        <w:t>¿Cuál</w:t>
                      </w:r>
                      <w:r>
                        <w:rPr>
                          <w:color w:val="231F1F"/>
                          <w:spacing w:val="-12"/>
                          <w:w w:val="110"/>
                        </w:rPr>
                        <w:t> </w:t>
                      </w:r>
                      <w:r>
                        <w:rPr>
                          <w:color w:val="231F1F"/>
                          <w:w w:val="110"/>
                        </w:rPr>
                        <w:t>es</w:t>
                      </w:r>
                      <w:r>
                        <w:rPr>
                          <w:color w:val="231F1F"/>
                          <w:spacing w:val="-12"/>
                          <w:w w:val="110"/>
                        </w:rPr>
                        <w:t> </w:t>
                      </w:r>
                      <w:r>
                        <w:rPr>
                          <w:color w:val="231F1F"/>
                          <w:w w:val="110"/>
                        </w:rPr>
                        <w:t>la</w:t>
                      </w:r>
                      <w:r>
                        <w:rPr>
                          <w:color w:val="231F1F"/>
                          <w:spacing w:val="-11"/>
                          <w:w w:val="110"/>
                        </w:rPr>
                        <w:t> </w:t>
                      </w:r>
                      <w:r>
                        <w:rPr>
                          <w:color w:val="231F1F"/>
                          <w:w w:val="110"/>
                        </w:rPr>
                        <w:t>efectividad</w:t>
                      </w:r>
                      <w:r>
                        <w:rPr>
                          <w:color w:val="231F1F"/>
                          <w:spacing w:val="-12"/>
                          <w:w w:val="110"/>
                        </w:rPr>
                        <w:t> </w:t>
                      </w:r>
                      <w:r>
                        <w:rPr>
                          <w:color w:val="231F1F"/>
                          <w:w w:val="110"/>
                        </w:rPr>
                        <w:t>del</w:t>
                      </w:r>
                      <w:r>
                        <w:rPr>
                          <w:color w:val="231F1F"/>
                          <w:spacing w:val="-14"/>
                          <w:w w:val="110"/>
                        </w:rPr>
                        <w:t> </w:t>
                      </w:r>
                      <w:r>
                        <w:rPr>
                          <w:color w:val="231F1F"/>
                          <w:w w:val="110"/>
                        </w:rPr>
                        <w:t>uso</w:t>
                      </w:r>
                      <w:r>
                        <w:rPr>
                          <w:color w:val="231F1F"/>
                          <w:spacing w:val="-11"/>
                          <w:w w:val="110"/>
                        </w:rPr>
                        <w:t> </w:t>
                      </w:r>
                      <w:r>
                        <w:rPr>
                          <w:color w:val="231F1F"/>
                          <w:w w:val="110"/>
                        </w:rPr>
                        <w:t>de</w:t>
                      </w:r>
                      <w:r>
                        <w:rPr>
                          <w:color w:val="231F1F"/>
                          <w:spacing w:val="-12"/>
                          <w:w w:val="110"/>
                        </w:rPr>
                        <w:t> </w:t>
                      </w:r>
                      <w:r>
                        <w:rPr>
                          <w:color w:val="231F1F"/>
                          <w:w w:val="110"/>
                        </w:rPr>
                        <w:t>pelotas</w:t>
                      </w:r>
                      <w:r>
                        <w:rPr>
                          <w:color w:val="231F1F"/>
                          <w:spacing w:val="-12"/>
                          <w:w w:val="110"/>
                        </w:rPr>
                        <w:t> </w:t>
                      </w:r>
                      <w:r>
                        <w:rPr>
                          <w:color w:val="231F1F"/>
                          <w:w w:val="110"/>
                        </w:rPr>
                        <w:t>de</w:t>
                      </w:r>
                      <w:r>
                        <w:rPr>
                          <w:color w:val="231F1F"/>
                          <w:spacing w:val="-11"/>
                          <w:w w:val="110"/>
                        </w:rPr>
                        <w:t> </w:t>
                      </w:r>
                      <w:r>
                        <w:rPr>
                          <w:color w:val="231F1F"/>
                          <w:w w:val="110"/>
                        </w:rPr>
                        <w:t>parto</w:t>
                      </w:r>
                      <w:r>
                        <w:rPr>
                          <w:color w:val="231F1F"/>
                          <w:spacing w:val="-12"/>
                          <w:w w:val="110"/>
                        </w:rPr>
                        <w:t> </w:t>
                      </w:r>
                      <w:r>
                        <w:rPr>
                          <w:color w:val="231F1F"/>
                          <w:w w:val="110"/>
                        </w:rPr>
                        <w:t>para</w:t>
                      </w:r>
                      <w:r>
                        <w:rPr>
                          <w:color w:val="231F1F"/>
                          <w:spacing w:val="-12"/>
                          <w:w w:val="110"/>
                        </w:rPr>
                        <w:t> </w:t>
                      </w:r>
                      <w:r>
                        <w:rPr>
                          <w:color w:val="231F1F"/>
                          <w:w w:val="110"/>
                        </w:rPr>
                        <w:t>el</w:t>
                      </w:r>
                      <w:r>
                        <w:rPr>
                          <w:color w:val="231F1F"/>
                          <w:spacing w:val="-11"/>
                          <w:w w:val="110"/>
                        </w:rPr>
                        <w:t> </w:t>
                      </w:r>
                      <w:r>
                        <w:rPr>
                          <w:color w:val="231F1F"/>
                          <w:w w:val="110"/>
                        </w:rPr>
                        <w:t>alivio</w:t>
                      </w:r>
                      <w:r>
                        <w:rPr>
                          <w:color w:val="231F1F"/>
                          <w:spacing w:val="-12"/>
                          <w:w w:val="110"/>
                        </w:rPr>
                        <w:t> </w:t>
                      </w:r>
                      <w:r>
                        <w:rPr>
                          <w:color w:val="231F1F"/>
                          <w:w w:val="110"/>
                        </w:rPr>
                        <w:t>del</w:t>
                      </w:r>
                      <w:r>
                        <w:rPr>
                          <w:color w:val="231F1F"/>
                          <w:spacing w:val="-13"/>
                          <w:w w:val="110"/>
                        </w:rPr>
                        <w:t> </w:t>
                      </w:r>
                      <w:r>
                        <w:rPr>
                          <w:color w:val="231F1F"/>
                          <w:w w:val="110"/>
                        </w:rPr>
                        <w:t>dolor</w:t>
                      </w:r>
                      <w:r>
                        <w:rPr>
                          <w:color w:val="231F1F"/>
                          <w:spacing w:val="-12"/>
                          <w:w w:val="110"/>
                        </w:rPr>
                        <w:t> </w:t>
                      </w:r>
                      <w:r>
                        <w:rPr>
                          <w:color w:val="231F1F"/>
                          <w:w w:val="110"/>
                        </w:rPr>
                        <w:t>durante</w:t>
                      </w:r>
                      <w:r>
                        <w:rPr>
                          <w:color w:val="231F1F"/>
                          <w:spacing w:val="-12"/>
                          <w:w w:val="110"/>
                        </w:rPr>
                        <w:t> </w:t>
                      </w:r>
                      <w:r>
                        <w:rPr>
                          <w:color w:val="231F1F"/>
                          <w:w w:val="110"/>
                        </w:rPr>
                        <w:t>el </w:t>
                      </w:r>
                      <w:r>
                        <w:rPr>
                          <w:color w:val="231F1F"/>
                          <w:spacing w:val="-2"/>
                          <w:w w:val="110"/>
                        </w:rPr>
                        <w:t>parto?</w:t>
                      </w:r>
                    </w:p>
                  </w:txbxContent>
                </v:textbox>
                <v:stroke dashstyle="solid"/>
                <w10:wrap type="topAndBottom"/>
              </v:shape>
            </w:pict>
          </mc:Fallback>
        </mc:AlternateContent>
      </w:r>
    </w:p>
    <w:p>
      <w:pPr>
        <w:pStyle w:val="BodyText"/>
        <w:spacing w:line="247" w:lineRule="auto" w:before="323"/>
        <w:ind w:left="281" w:right="124"/>
        <w:jc w:val="both"/>
      </w:pPr>
      <w:r>
        <w:rPr>
          <w:color w:val="231F1F"/>
          <w:w w:val="110"/>
        </w:rPr>
        <w:t>El</w:t>
      </w:r>
      <w:r>
        <w:rPr>
          <w:color w:val="231F1F"/>
          <w:spacing w:val="-15"/>
          <w:w w:val="110"/>
        </w:rPr>
        <w:t> </w:t>
      </w:r>
      <w:r>
        <w:rPr>
          <w:color w:val="231F1F"/>
          <w:w w:val="110"/>
        </w:rPr>
        <w:t>uso</w:t>
      </w:r>
      <w:r>
        <w:rPr>
          <w:color w:val="231F1F"/>
          <w:spacing w:val="-14"/>
          <w:w w:val="110"/>
        </w:rPr>
        <w:t> </w:t>
      </w:r>
      <w:r>
        <w:rPr>
          <w:color w:val="231F1F"/>
          <w:w w:val="110"/>
        </w:rPr>
        <w:t>de</w:t>
      </w:r>
      <w:r>
        <w:rPr>
          <w:color w:val="231F1F"/>
          <w:spacing w:val="-15"/>
          <w:w w:val="110"/>
        </w:rPr>
        <w:t> </w:t>
      </w:r>
      <w:r>
        <w:rPr>
          <w:color w:val="231F1F"/>
          <w:w w:val="110"/>
        </w:rPr>
        <w:t>grandes</w:t>
      </w:r>
      <w:r>
        <w:rPr>
          <w:color w:val="231F1F"/>
          <w:spacing w:val="-15"/>
          <w:w w:val="110"/>
        </w:rPr>
        <w:t> </w:t>
      </w:r>
      <w:r>
        <w:rPr>
          <w:color w:val="231F1F"/>
          <w:w w:val="110"/>
        </w:rPr>
        <w:t>pelotas</w:t>
      </w:r>
      <w:r>
        <w:rPr>
          <w:color w:val="231F1F"/>
          <w:spacing w:val="-15"/>
          <w:w w:val="110"/>
        </w:rPr>
        <w:t> </w:t>
      </w:r>
      <w:r>
        <w:rPr>
          <w:color w:val="231F1F"/>
          <w:w w:val="110"/>
        </w:rPr>
        <w:t>de</w:t>
      </w:r>
      <w:r>
        <w:rPr>
          <w:color w:val="231F1F"/>
          <w:spacing w:val="-15"/>
          <w:w w:val="110"/>
        </w:rPr>
        <w:t> </w:t>
      </w:r>
      <w:r>
        <w:rPr>
          <w:color w:val="231F1F"/>
          <w:w w:val="110"/>
        </w:rPr>
        <w:t>goma</w:t>
      </w:r>
      <w:r>
        <w:rPr>
          <w:color w:val="231F1F"/>
          <w:spacing w:val="-15"/>
          <w:w w:val="110"/>
        </w:rPr>
        <w:t> </w:t>
      </w:r>
      <w:r>
        <w:rPr>
          <w:color w:val="231F1F"/>
          <w:w w:val="110"/>
        </w:rPr>
        <w:t>se</w:t>
      </w:r>
      <w:r>
        <w:rPr>
          <w:color w:val="231F1F"/>
          <w:spacing w:val="-15"/>
          <w:w w:val="110"/>
        </w:rPr>
        <w:t> </w:t>
      </w:r>
      <w:r>
        <w:rPr>
          <w:color w:val="231F1F"/>
          <w:w w:val="110"/>
        </w:rPr>
        <w:t>ha</w:t>
      </w:r>
      <w:r>
        <w:rPr>
          <w:color w:val="231F1F"/>
          <w:spacing w:val="-15"/>
          <w:w w:val="110"/>
        </w:rPr>
        <w:t> </w:t>
      </w:r>
      <w:r>
        <w:rPr>
          <w:color w:val="231F1F"/>
          <w:w w:val="110"/>
        </w:rPr>
        <w:t>popularizado</w:t>
      </w:r>
      <w:r>
        <w:rPr>
          <w:color w:val="231F1F"/>
          <w:spacing w:val="-15"/>
          <w:w w:val="110"/>
        </w:rPr>
        <w:t> </w:t>
      </w:r>
      <w:r>
        <w:rPr>
          <w:color w:val="231F1F"/>
          <w:w w:val="110"/>
        </w:rPr>
        <w:t>en</w:t>
      </w:r>
      <w:r>
        <w:rPr>
          <w:color w:val="231F1F"/>
          <w:spacing w:val="-14"/>
          <w:w w:val="110"/>
        </w:rPr>
        <w:t> </w:t>
      </w:r>
      <w:r>
        <w:rPr>
          <w:color w:val="231F1F"/>
          <w:w w:val="110"/>
        </w:rPr>
        <w:t>gimnasios</w:t>
      </w:r>
      <w:r>
        <w:rPr>
          <w:color w:val="231F1F"/>
          <w:spacing w:val="-15"/>
          <w:w w:val="110"/>
        </w:rPr>
        <w:t> </w:t>
      </w:r>
      <w:r>
        <w:rPr>
          <w:color w:val="231F1F"/>
          <w:w w:val="110"/>
        </w:rPr>
        <w:t>y</w:t>
      </w:r>
      <w:r>
        <w:rPr>
          <w:color w:val="231F1F"/>
          <w:spacing w:val="-14"/>
          <w:w w:val="110"/>
        </w:rPr>
        <w:t> </w:t>
      </w:r>
      <w:r>
        <w:rPr>
          <w:color w:val="231F1F"/>
          <w:w w:val="110"/>
        </w:rPr>
        <w:t>servicios</w:t>
      </w:r>
      <w:r>
        <w:rPr>
          <w:color w:val="231F1F"/>
          <w:spacing w:val="-15"/>
          <w:w w:val="110"/>
        </w:rPr>
        <w:t> </w:t>
      </w:r>
      <w:r>
        <w:rPr>
          <w:color w:val="231F1F"/>
          <w:w w:val="110"/>
        </w:rPr>
        <w:t>de</w:t>
      </w:r>
      <w:r>
        <w:rPr>
          <w:color w:val="231F1F"/>
          <w:spacing w:val="-15"/>
          <w:w w:val="110"/>
        </w:rPr>
        <w:t> </w:t>
      </w:r>
      <w:r>
        <w:rPr>
          <w:color w:val="231F1F"/>
          <w:w w:val="110"/>
        </w:rPr>
        <w:t>rehabi- litación</w:t>
      </w:r>
      <w:r>
        <w:rPr>
          <w:color w:val="231F1F"/>
          <w:spacing w:val="-1"/>
          <w:w w:val="110"/>
        </w:rPr>
        <w:t> </w:t>
      </w:r>
      <w:r>
        <w:rPr>
          <w:color w:val="231F1F"/>
          <w:w w:val="110"/>
        </w:rPr>
        <w:t>para</w:t>
      </w:r>
      <w:r>
        <w:rPr>
          <w:color w:val="231F1F"/>
          <w:spacing w:val="-2"/>
          <w:w w:val="110"/>
        </w:rPr>
        <w:t> </w:t>
      </w:r>
      <w:r>
        <w:rPr>
          <w:color w:val="231F1F"/>
          <w:w w:val="110"/>
        </w:rPr>
        <w:t>entre</w:t>
      </w:r>
      <w:r>
        <w:rPr>
          <w:color w:val="231F1F"/>
          <w:spacing w:val="-2"/>
          <w:w w:val="110"/>
        </w:rPr>
        <w:t> </w:t>
      </w:r>
      <w:r>
        <w:rPr>
          <w:color w:val="231F1F"/>
          <w:w w:val="110"/>
        </w:rPr>
        <w:t>otros</w:t>
      </w:r>
      <w:r>
        <w:rPr>
          <w:color w:val="231F1F"/>
          <w:spacing w:val="-2"/>
          <w:w w:val="110"/>
        </w:rPr>
        <w:t> </w:t>
      </w:r>
      <w:r>
        <w:rPr>
          <w:color w:val="231F1F"/>
          <w:w w:val="110"/>
        </w:rPr>
        <w:t>usos,</w:t>
      </w:r>
      <w:r>
        <w:rPr>
          <w:color w:val="231F1F"/>
          <w:spacing w:val="-2"/>
          <w:w w:val="110"/>
        </w:rPr>
        <w:t> </w:t>
      </w:r>
      <w:r>
        <w:rPr>
          <w:color w:val="231F1F"/>
          <w:w w:val="110"/>
        </w:rPr>
        <w:t>mejorar</w:t>
      </w:r>
      <w:r>
        <w:rPr>
          <w:color w:val="231F1F"/>
          <w:spacing w:val="-1"/>
          <w:w w:val="110"/>
        </w:rPr>
        <w:t> </w:t>
      </w:r>
      <w:r>
        <w:rPr>
          <w:color w:val="231F1F"/>
          <w:w w:val="110"/>
        </w:rPr>
        <w:t>la</w:t>
      </w:r>
      <w:r>
        <w:rPr>
          <w:color w:val="231F1F"/>
          <w:spacing w:val="-1"/>
          <w:w w:val="110"/>
        </w:rPr>
        <w:t> </w:t>
      </w:r>
      <w:r>
        <w:rPr>
          <w:color w:val="231F1F"/>
          <w:w w:val="110"/>
        </w:rPr>
        <w:t>movilidad</w:t>
      </w:r>
      <w:r>
        <w:rPr>
          <w:color w:val="231F1F"/>
          <w:spacing w:val="-1"/>
          <w:w w:val="110"/>
        </w:rPr>
        <w:t> </w:t>
      </w:r>
      <w:r>
        <w:rPr>
          <w:color w:val="231F1F"/>
          <w:w w:val="110"/>
        </w:rPr>
        <w:t>de</w:t>
      </w:r>
      <w:r>
        <w:rPr>
          <w:color w:val="231F1F"/>
          <w:spacing w:val="-2"/>
          <w:w w:val="110"/>
        </w:rPr>
        <w:t> </w:t>
      </w:r>
      <w:r>
        <w:rPr>
          <w:color w:val="231F1F"/>
          <w:w w:val="110"/>
        </w:rPr>
        <w:t>la</w:t>
      </w:r>
      <w:r>
        <w:rPr>
          <w:color w:val="231F1F"/>
          <w:spacing w:val="-1"/>
          <w:w w:val="110"/>
        </w:rPr>
        <w:t> </w:t>
      </w:r>
      <w:r>
        <w:rPr>
          <w:color w:val="231F1F"/>
          <w:w w:val="110"/>
        </w:rPr>
        <w:t>pelvis</w:t>
      </w:r>
      <w:r>
        <w:rPr>
          <w:color w:val="231F1F"/>
          <w:spacing w:val="-2"/>
          <w:w w:val="110"/>
        </w:rPr>
        <w:t> </w:t>
      </w:r>
      <w:r>
        <w:rPr>
          <w:color w:val="231F1F"/>
          <w:w w:val="110"/>
        </w:rPr>
        <w:t>y</w:t>
      </w:r>
      <w:r>
        <w:rPr>
          <w:color w:val="231F1F"/>
          <w:spacing w:val="-1"/>
          <w:w w:val="110"/>
        </w:rPr>
        <w:t> </w:t>
      </w:r>
      <w:r>
        <w:rPr>
          <w:color w:val="231F1F"/>
          <w:w w:val="110"/>
        </w:rPr>
        <w:t>relajar</w:t>
      </w:r>
      <w:r>
        <w:rPr>
          <w:color w:val="231F1F"/>
          <w:spacing w:val="-2"/>
          <w:w w:val="110"/>
        </w:rPr>
        <w:t> </w:t>
      </w:r>
      <w:r>
        <w:rPr>
          <w:color w:val="231F1F"/>
          <w:w w:val="110"/>
        </w:rPr>
        <w:t>la</w:t>
      </w:r>
      <w:r>
        <w:rPr>
          <w:color w:val="231F1F"/>
          <w:spacing w:val="-1"/>
          <w:w w:val="110"/>
        </w:rPr>
        <w:t> </w:t>
      </w:r>
      <w:r>
        <w:rPr>
          <w:color w:val="231F1F"/>
          <w:w w:val="110"/>
        </w:rPr>
        <w:t>musculatura. En</w:t>
      </w:r>
      <w:r>
        <w:rPr>
          <w:color w:val="231F1F"/>
          <w:spacing w:val="-10"/>
          <w:w w:val="110"/>
        </w:rPr>
        <w:t> </w:t>
      </w:r>
      <w:r>
        <w:rPr>
          <w:color w:val="231F1F"/>
          <w:w w:val="110"/>
        </w:rPr>
        <w:t>los</w:t>
      </w:r>
      <w:r>
        <w:rPr>
          <w:color w:val="231F1F"/>
          <w:spacing w:val="-10"/>
          <w:w w:val="110"/>
        </w:rPr>
        <w:t> </w:t>
      </w:r>
      <w:r>
        <w:rPr>
          <w:color w:val="231F1F"/>
          <w:w w:val="110"/>
        </w:rPr>
        <w:t>últimos</w:t>
      </w:r>
      <w:r>
        <w:rPr>
          <w:color w:val="231F1F"/>
          <w:spacing w:val="-10"/>
          <w:w w:val="110"/>
        </w:rPr>
        <w:t> </w:t>
      </w:r>
      <w:r>
        <w:rPr>
          <w:color w:val="231F1F"/>
          <w:w w:val="110"/>
        </w:rPr>
        <w:t>años,</w:t>
      </w:r>
      <w:r>
        <w:rPr>
          <w:color w:val="231F1F"/>
          <w:spacing w:val="-10"/>
          <w:w w:val="110"/>
        </w:rPr>
        <w:t> </w:t>
      </w:r>
      <w:r>
        <w:rPr>
          <w:color w:val="231F1F"/>
          <w:w w:val="110"/>
        </w:rPr>
        <w:t>se</w:t>
      </w:r>
      <w:r>
        <w:rPr>
          <w:color w:val="231F1F"/>
          <w:spacing w:val="-10"/>
          <w:w w:val="110"/>
        </w:rPr>
        <w:t> </w:t>
      </w:r>
      <w:r>
        <w:rPr>
          <w:color w:val="231F1F"/>
          <w:w w:val="110"/>
        </w:rPr>
        <w:t>han</w:t>
      </w:r>
      <w:r>
        <w:rPr>
          <w:color w:val="231F1F"/>
          <w:spacing w:val="-10"/>
          <w:w w:val="110"/>
        </w:rPr>
        <w:t> </w:t>
      </w:r>
      <w:r>
        <w:rPr>
          <w:color w:val="231F1F"/>
          <w:w w:val="110"/>
        </w:rPr>
        <w:t>comenzado</w:t>
      </w:r>
      <w:r>
        <w:rPr>
          <w:color w:val="231F1F"/>
          <w:spacing w:val="-10"/>
          <w:w w:val="110"/>
        </w:rPr>
        <w:t> </w:t>
      </w:r>
      <w:r>
        <w:rPr>
          <w:color w:val="231F1F"/>
          <w:w w:val="110"/>
        </w:rPr>
        <w:t>a</w:t>
      </w:r>
      <w:r>
        <w:rPr>
          <w:color w:val="231F1F"/>
          <w:spacing w:val="-10"/>
          <w:w w:val="110"/>
        </w:rPr>
        <w:t> </w:t>
      </w:r>
      <w:r>
        <w:rPr>
          <w:color w:val="231F1F"/>
          <w:w w:val="110"/>
        </w:rPr>
        <w:t>utilizar</w:t>
      </w:r>
      <w:r>
        <w:rPr>
          <w:color w:val="231F1F"/>
          <w:spacing w:val="-10"/>
          <w:w w:val="110"/>
        </w:rPr>
        <w:t> </w:t>
      </w:r>
      <w:r>
        <w:rPr>
          <w:color w:val="231F1F"/>
          <w:w w:val="110"/>
        </w:rPr>
        <w:t>en</w:t>
      </w:r>
      <w:r>
        <w:rPr>
          <w:color w:val="231F1F"/>
          <w:spacing w:val="-10"/>
          <w:w w:val="110"/>
        </w:rPr>
        <w:t> </w:t>
      </w:r>
      <w:r>
        <w:rPr>
          <w:color w:val="231F1F"/>
          <w:w w:val="110"/>
        </w:rPr>
        <w:t>las</w:t>
      </w:r>
      <w:r>
        <w:rPr>
          <w:color w:val="231F1F"/>
          <w:spacing w:val="-10"/>
          <w:w w:val="110"/>
        </w:rPr>
        <w:t> </w:t>
      </w:r>
      <w:r>
        <w:rPr>
          <w:color w:val="231F1F"/>
          <w:w w:val="110"/>
        </w:rPr>
        <w:t>áreas</w:t>
      </w:r>
      <w:r>
        <w:rPr>
          <w:color w:val="231F1F"/>
          <w:spacing w:val="-10"/>
          <w:w w:val="110"/>
        </w:rPr>
        <w:t> </w:t>
      </w:r>
      <w:r>
        <w:rPr>
          <w:color w:val="231F1F"/>
          <w:w w:val="110"/>
        </w:rPr>
        <w:t>de</w:t>
      </w:r>
      <w:r>
        <w:rPr>
          <w:color w:val="231F1F"/>
          <w:spacing w:val="-10"/>
          <w:w w:val="110"/>
        </w:rPr>
        <w:t> </w:t>
      </w:r>
      <w:r>
        <w:rPr>
          <w:color w:val="231F1F"/>
          <w:w w:val="110"/>
        </w:rPr>
        <w:t>parto,</w:t>
      </w:r>
      <w:r>
        <w:rPr>
          <w:color w:val="231F1F"/>
          <w:spacing w:val="-11"/>
          <w:w w:val="110"/>
        </w:rPr>
        <w:t> </w:t>
      </w:r>
      <w:r>
        <w:rPr>
          <w:color w:val="231F1F"/>
          <w:w w:val="110"/>
        </w:rPr>
        <w:t>tratando</w:t>
      </w:r>
      <w:r>
        <w:rPr>
          <w:color w:val="231F1F"/>
          <w:spacing w:val="-10"/>
          <w:w w:val="110"/>
        </w:rPr>
        <w:t> </w:t>
      </w:r>
      <w:r>
        <w:rPr>
          <w:color w:val="231F1F"/>
          <w:w w:val="110"/>
        </w:rPr>
        <w:t>de</w:t>
      </w:r>
      <w:r>
        <w:rPr>
          <w:color w:val="231F1F"/>
          <w:spacing w:val="-10"/>
          <w:w w:val="110"/>
        </w:rPr>
        <w:t> </w:t>
      </w:r>
      <w:r>
        <w:rPr>
          <w:color w:val="231F1F"/>
          <w:w w:val="110"/>
        </w:rPr>
        <w:t>buscar el bienestar de las mujeres al proporcionarles un tipo de asiento cómodo que permite la movilización de la pelvis y el alivio consiguiente.</w:t>
      </w:r>
    </w:p>
    <w:p>
      <w:pPr>
        <w:pStyle w:val="BodyText"/>
        <w:spacing w:before="157"/>
      </w:pPr>
    </w:p>
    <w:p>
      <w:pPr>
        <w:spacing w:before="0"/>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7" w:lineRule="auto" w:before="204"/>
        <w:ind w:left="283" w:right="1369"/>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aborda</w:t>
      </w:r>
      <w:r>
        <w:rPr>
          <w:color w:val="231F1F"/>
          <w:w w:val="105"/>
        </w:rPr>
        <w:t> la</w:t>
      </w:r>
      <w:r>
        <w:rPr>
          <w:color w:val="231F1F"/>
          <w:w w:val="105"/>
        </w:rPr>
        <w:t> utilización</w:t>
      </w:r>
      <w:r>
        <w:rPr>
          <w:color w:val="231F1F"/>
          <w:w w:val="105"/>
        </w:rPr>
        <w:t> de</w:t>
      </w:r>
      <w:r>
        <w:rPr>
          <w:color w:val="231F1F"/>
          <w:w w:val="105"/>
        </w:rPr>
        <w:t> pelotas</w:t>
      </w:r>
      <w:r>
        <w:rPr>
          <w:color w:val="231F1F"/>
          <w:w w:val="105"/>
        </w:rPr>
        <w:t> de</w:t>
      </w:r>
      <w:r>
        <w:rPr>
          <w:color w:val="231F1F"/>
          <w:w w:val="105"/>
        </w:rPr>
        <w:t> parto</w:t>
      </w:r>
      <w:r>
        <w:rPr>
          <w:color w:val="231F1F"/>
          <w:w w:val="105"/>
        </w:rPr>
        <w:t> junto</w:t>
      </w:r>
      <w:r>
        <w:rPr>
          <w:color w:val="231F1F"/>
          <w:w w:val="105"/>
        </w:rPr>
        <w:t> con</w:t>
      </w:r>
      <w:r>
        <w:rPr>
          <w:color w:val="231F1F"/>
          <w:w w:val="105"/>
        </w:rPr>
        <w:t> un amplio rango de estrategias utilizadas por las mujeres para ayudarles a sobre- llevar</w:t>
      </w:r>
      <w:r>
        <w:rPr>
          <w:color w:val="231F1F"/>
          <w:spacing w:val="40"/>
          <w:w w:val="105"/>
        </w:rPr>
        <w:t> </w:t>
      </w:r>
      <w:r>
        <w:rPr>
          <w:color w:val="231F1F"/>
          <w:w w:val="105"/>
        </w:rPr>
        <w:t>el</w:t>
      </w:r>
      <w:r>
        <w:rPr>
          <w:color w:val="231F1F"/>
          <w:spacing w:val="40"/>
          <w:w w:val="105"/>
        </w:rPr>
        <w:t> </w:t>
      </w:r>
      <w:r>
        <w:rPr>
          <w:color w:val="231F1F"/>
          <w:w w:val="105"/>
        </w:rPr>
        <w:t>parto,</w:t>
      </w:r>
      <w:r>
        <w:rPr>
          <w:color w:val="231F1F"/>
          <w:spacing w:val="40"/>
          <w:w w:val="105"/>
        </w:rPr>
        <w:t> </w:t>
      </w:r>
      <w:r>
        <w:rPr>
          <w:color w:val="231F1F"/>
          <w:w w:val="105"/>
        </w:rPr>
        <w:t>que</w:t>
      </w:r>
      <w:r>
        <w:rPr>
          <w:color w:val="231F1F"/>
          <w:spacing w:val="40"/>
          <w:w w:val="105"/>
        </w:rPr>
        <w:t> </w:t>
      </w:r>
      <w:r>
        <w:rPr>
          <w:color w:val="231F1F"/>
          <w:w w:val="105"/>
        </w:rPr>
        <w:t>no</w:t>
      </w:r>
      <w:r>
        <w:rPr>
          <w:color w:val="231F1F"/>
          <w:spacing w:val="40"/>
          <w:w w:val="105"/>
        </w:rPr>
        <w:t> </w:t>
      </w:r>
      <w:r>
        <w:rPr>
          <w:color w:val="231F1F"/>
          <w:w w:val="105"/>
        </w:rPr>
        <w:t>requieren</w:t>
      </w:r>
      <w:r>
        <w:rPr>
          <w:color w:val="231F1F"/>
          <w:spacing w:val="40"/>
          <w:w w:val="105"/>
        </w:rPr>
        <w:t> </w:t>
      </w:r>
      <w:r>
        <w:rPr>
          <w:color w:val="231F1F"/>
          <w:w w:val="105"/>
        </w:rPr>
        <w:t>supervisión</w:t>
      </w:r>
      <w:r>
        <w:rPr>
          <w:color w:val="231F1F"/>
          <w:spacing w:val="40"/>
          <w:w w:val="105"/>
        </w:rPr>
        <w:t> </w:t>
      </w:r>
      <w:r>
        <w:rPr>
          <w:color w:val="231F1F"/>
          <w:w w:val="105"/>
        </w:rPr>
        <w:t>profesional.</w:t>
      </w:r>
    </w:p>
    <w:p>
      <w:pPr>
        <w:pStyle w:val="BodyText"/>
        <w:spacing w:line="244" w:lineRule="auto" w:before="140"/>
        <w:ind w:left="283" w:right="1369" w:firstLine="453"/>
        <w:jc w:val="both"/>
      </w:pPr>
      <w:r>
        <w:rPr>
          <w:color w:val="231F1F"/>
          <w:spacing w:val="-2"/>
          <w:w w:val="110"/>
        </w:rPr>
        <w:t>Sin</w:t>
      </w:r>
      <w:r>
        <w:rPr>
          <w:color w:val="231F1F"/>
          <w:spacing w:val="-9"/>
          <w:w w:val="110"/>
        </w:rPr>
        <w:t> </w:t>
      </w:r>
      <w:r>
        <w:rPr>
          <w:color w:val="231F1F"/>
          <w:spacing w:val="-2"/>
          <w:w w:val="110"/>
        </w:rPr>
        <w:t>embargo</w:t>
      </w:r>
      <w:r>
        <w:rPr>
          <w:color w:val="231F1F"/>
          <w:spacing w:val="-8"/>
          <w:w w:val="110"/>
        </w:rPr>
        <w:t> </w:t>
      </w:r>
      <w:r>
        <w:rPr>
          <w:color w:val="231F1F"/>
          <w:spacing w:val="-2"/>
          <w:w w:val="110"/>
        </w:rPr>
        <w:t>no</w:t>
      </w:r>
      <w:r>
        <w:rPr>
          <w:color w:val="231F1F"/>
          <w:spacing w:val="-8"/>
          <w:w w:val="110"/>
        </w:rPr>
        <w:t> </w:t>
      </w:r>
      <w:r>
        <w:rPr>
          <w:color w:val="231F1F"/>
          <w:spacing w:val="-2"/>
          <w:w w:val="110"/>
        </w:rPr>
        <w:t>identificó</w:t>
      </w:r>
      <w:r>
        <w:rPr>
          <w:color w:val="231F1F"/>
          <w:spacing w:val="-8"/>
          <w:w w:val="110"/>
        </w:rPr>
        <w:t> </w:t>
      </w:r>
      <w:r>
        <w:rPr>
          <w:color w:val="231F1F"/>
          <w:spacing w:val="-2"/>
          <w:w w:val="110"/>
        </w:rPr>
        <w:t>ningún</w:t>
      </w:r>
      <w:r>
        <w:rPr>
          <w:color w:val="231F1F"/>
          <w:spacing w:val="-8"/>
          <w:w w:val="110"/>
        </w:rPr>
        <w:t> </w:t>
      </w:r>
      <w:r>
        <w:rPr>
          <w:color w:val="231F1F"/>
          <w:spacing w:val="-2"/>
          <w:w w:val="110"/>
        </w:rPr>
        <w:t>estudio</w:t>
      </w:r>
      <w:r>
        <w:rPr>
          <w:color w:val="231F1F"/>
          <w:spacing w:val="-8"/>
          <w:w w:val="110"/>
        </w:rPr>
        <w:t> </w:t>
      </w:r>
      <w:r>
        <w:rPr>
          <w:color w:val="231F1F"/>
          <w:spacing w:val="-2"/>
          <w:w w:val="110"/>
        </w:rPr>
        <w:t>que</w:t>
      </w:r>
      <w:r>
        <w:rPr>
          <w:color w:val="231F1F"/>
          <w:spacing w:val="-9"/>
          <w:w w:val="110"/>
        </w:rPr>
        <w:t> </w:t>
      </w:r>
      <w:r>
        <w:rPr>
          <w:color w:val="231F1F"/>
          <w:spacing w:val="-2"/>
          <w:w w:val="110"/>
        </w:rPr>
        <w:t>examinase</w:t>
      </w:r>
      <w:r>
        <w:rPr>
          <w:color w:val="231F1F"/>
          <w:spacing w:val="-8"/>
          <w:w w:val="110"/>
        </w:rPr>
        <w:t> </w:t>
      </w:r>
      <w:r>
        <w:rPr>
          <w:color w:val="231F1F"/>
          <w:spacing w:val="-2"/>
          <w:w w:val="110"/>
        </w:rPr>
        <w:t>el</w:t>
      </w:r>
      <w:r>
        <w:rPr>
          <w:color w:val="231F1F"/>
          <w:spacing w:val="-9"/>
          <w:w w:val="110"/>
        </w:rPr>
        <w:t> </w:t>
      </w:r>
      <w:r>
        <w:rPr>
          <w:color w:val="231F1F"/>
          <w:spacing w:val="-2"/>
          <w:w w:val="110"/>
        </w:rPr>
        <w:t>uso</w:t>
      </w:r>
      <w:r>
        <w:rPr>
          <w:color w:val="231F1F"/>
          <w:spacing w:val="-8"/>
          <w:w w:val="110"/>
        </w:rPr>
        <w:t> </w:t>
      </w:r>
      <w:r>
        <w:rPr>
          <w:color w:val="231F1F"/>
          <w:spacing w:val="-2"/>
          <w:w w:val="110"/>
        </w:rPr>
        <w:t>de</w:t>
      </w:r>
      <w:r>
        <w:rPr>
          <w:color w:val="231F1F"/>
          <w:spacing w:val="-8"/>
          <w:w w:val="110"/>
        </w:rPr>
        <w:t> </w:t>
      </w:r>
      <w:r>
        <w:rPr>
          <w:color w:val="231F1F"/>
          <w:spacing w:val="-2"/>
          <w:w w:val="110"/>
        </w:rPr>
        <w:t>pelo- </w:t>
      </w:r>
      <w:r>
        <w:rPr>
          <w:color w:val="231F1F"/>
          <w:w w:val="110"/>
        </w:rPr>
        <w:t>tas de parto, por lo que no se realiza ninguna recomendación al respecto.</w:t>
      </w:r>
    </w:p>
    <w:p>
      <w:pPr>
        <w:pStyle w:val="BodyText"/>
        <w:spacing w:before="171"/>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20"/>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21"/>
          <w:sz w:val="24"/>
        </w:rPr>
        <w:t> </w:t>
      </w:r>
      <w:r>
        <w:rPr>
          <w:rFonts w:ascii="Arial MT" w:hAnsi="Arial MT"/>
          <w:color w:val="231F1F"/>
          <w:sz w:val="24"/>
        </w:rPr>
        <w:t>octubre</w:t>
      </w:r>
      <w:r>
        <w:rPr>
          <w:rFonts w:ascii="Arial MT" w:hAnsi="Arial MT"/>
          <w:color w:val="231F1F"/>
          <w:spacing w:val="18"/>
          <w:sz w:val="24"/>
        </w:rPr>
        <w:t> </w:t>
      </w:r>
      <w:r>
        <w:rPr>
          <w:rFonts w:ascii="Arial MT" w:hAnsi="Arial MT"/>
          <w:color w:val="231F1F"/>
          <w:sz w:val="24"/>
        </w:rPr>
        <w:t>de</w:t>
      </w:r>
      <w:r>
        <w:rPr>
          <w:rFonts w:ascii="Arial MT" w:hAnsi="Arial MT"/>
          <w:color w:val="231F1F"/>
          <w:spacing w:val="21"/>
          <w:sz w:val="24"/>
        </w:rPr>
        <w:t> </w:t>
      </w:r>
      <w:r>
        <w:rPr>
          <w:rFonts w:ascii="Arial MT" w:hAnsi="Arial MT"/>
          <w:color w:val="231F1F"/>
          <w:spacing w:val="-2"/>
          <w:sz w:val="24"/>
        </w:rPr>
        <w:t>2008)</w:t>
      </w:r>
    </w:p>
    <w:p>
      <w:pPr>
        <w:pStyle w:val="BodyText"/>
        <w:spacing w:line="252" w:lineRule="auto" w:before="205"/>
        <w:ind w:left="283" w:right="1370"/>
        <w:jc w:val="both"/>
      </w:pPr>
      <w:r>
        <w:rPr>
          <w:color w:val="231F1F"/>
          <w:w w:val="110"/>
        </w:rPr>
        <w:t>En la búsqueda realizada solo se encontró un estudio descriptivo sobre la intervención que no cumplía los criterios de inclusión. Por tanto, no existe evidencia</w:t>
      </w:r>
      <w:r>
        <w:rPr>
          <w:color w:val="231F1F"/>
          <w:spacing w:val="-14"/>
          <w:w w:val="110"/>
        </w:rPr>
        <w:t> </w:t>
      </w:r>
      <w:r>
        <w:rPr>
          <w:color w:val="231F1F"/>
          <w:w w:val="110"/>
        </w:rPr>
        <w:t>que</w:t>
      </w:r>
      <w:r>
        <w:rPr>
          <w:color w:val="231F1F"/>
          <w:spacing w:val="-14"/>
          <w:w w:val="110"/>
        </w:rPr>
        <w:t> </w:t>
      </w:r>
      <w:r>
        <w:rPr>
          <w:color w:val="231F1F"/>
          <w:w w:val="110"/>
        </w:rPr>
        <w:t>apoye</w:t>
      </w:r>
      <w:r>
        <w:rPr>
          <w:color w:val="231F1F"/>
          <w:spacing w:val="-14"/>
          <w:w w:val="110"/>
        </w:rPr>
        <w:t> </w:t>
      </w:r>
      <w:r>
        <w:rPr>
          <w:color w:val="231F1F"/>
          <w:w w:val="110"/>
        </w:rPr>
        <w:t>una</w:t>
      </w:r>
      <w:r>
        <w:rPr>
          <w:color w:val="231F1F"/>
          <w:spacing w:val="-14"/>
          <w:w w:val="110"/>
        </w:rPr>
        <w:t> </w:t>
      </w:r>
      <w:r>
        <w:rPr>
          <w:color w:val="231F1F"/>
          <w:w w:val="110"/>
        </w:rPr>
        <w:t>recomendación</w:t>
      </w:r>
      <w:r>
        <w:rPr>
          <w:color w:val="231F1F"/>
          <w:spacing w:val="-14"/>
          <w:w w:val="110"/>
        </w:rPr>
        <w:t> </w:t>
      </w:r>
      <w:r>
        <w:rPr>
          <w:color w:val="231F1F"/>
          <w:w w:val="110"/>
        </w:rPr>
        <w:t>sobre</w:t>
      </w:r>
      <w:r>
        <w:rPr>
          <w:color w:val="231F1F"/>
          <w:spacing w:val="-14"/>
          <w:w w:val="110"/>
        </w:rPr>
        <w:t> </w:t>
      </w:r>
      <w:r>
        <w:rPr>
          <w:color w:val="231F1F"/>
          <w:w w:val="110"/>
        </w:rPr>
        <w:t>el</w:t>
      </w:r>
      <w:r>
        <w:rPr>
          <w:color w:val="231F1F"/>
          <w:spacing w:val="-14"/>
          <w:w w:val="110"/>
        </w:rPr>
        <w:t> </w:t>
      </w:r>
      <w:r>
        <w:rPr>
          <w:color w:val="231F1F"/>
          <w:w w:val="110"/>
        </w:rPr>
        <w:t>uso</w:t>
      </w:r>
      <w:r>
        <w:rPr>
          <w:color w:val="231F1F"/>
          <w:spacing w:val="-14"/>
          <w:w w:val="110"/>
        </w:rPr>
        <w:t> </w:t>
      </w:r>
      <w:r>
        <w:rPr>
          <w:color w:val="231F1F"/>
          <w:w w:val="110"/>
        </w:rPr>
        <w:t>de</w:t>
      </w:r>
      <w:r>
        <w:rPr>
          <w:color w:val="231F1F"/>
          <w:spacing w:val="-14"/>
          <w:w w:val="110"/>
        </w:rPr>
        <w:t> </w:t>
      </w:r>
      <w:r>
        <w:rPr>
          <w:color w:val="231F1F"/>
          <w:w w:val="110"/>
        </w:rPr>
        <w:t>las</w:t>
      </w:r>
      <w:r>
        <w:rPr>
          <w:color w:val="231F1F"/>
          <w:spacing w:val="-14"/>
          <w:w w:val="110"/>
        </w:rPr>
        <w:t> </w:t>
      </w:r>
      <w:r>
        <w:rPr>
          <w:color w:val="231F1F"/>
          <w:w w:val="110"/>
        </w:rPr>
        <w:t>pelotas</w:t>
      </w:r>
      <w:r>
        <w:rPr>
          <w:color w:val="231F1F"/>
          <w:spacing w:val="-14"/>
          <w:w w:val="110"/>
        </w:rPr>
        <w:t> </w:t>
      </w:r>
      <w:r>
        <w:rPr>
          <w:color w:val="231F1F"/>
          <w:w w:val="110"/>
        </w:rPr>
        <w:t>de</w:t>
      </w:r>
      <w:r>
        <w:rPr>
          <w:color w:val="231F1F"/>
          <w:spacing w:val="-14"/>
          <w:w w:val="110"/>
        </w:rPr>
        <w:t> </w:t>
      </w:r>
      <w:r>
        <w:rPr>
          <w:color w:val="231F1F"/>
          <w:w w:val="110"/>
        </w:rPr>
        <w:t>goma </w:t>
      </w:r>
      <w:r>
        <w:rPr>
          <w:color w:val="231F1F"/>
        </w:rPr>
        <w:t>para</w:t>
      </w:r>
      <w:r>
        <w:rPr>
          <w:color w:val="231F1F"/>
          <w:spacing w:val="30"/>
        </w:rPr>
        <w:t> </w:t>
      </w:r>
      <w:r>
        <w:rPr>
          <w:color w:val="231F1F"/>
        </w:rPr>
        <w:t>el</w:t>
      </w:r>
      <w:r>
        <w:rPr>
          <w:color w:val="231F1F"/>
          <w:spacing w:val="31"/>
        </w:rPr>
        <w:t> </w:t>
      </w:r>
      <w:r>
        <w:rPr>
          <w:color w:val="231F1F"/>
        </w:rPr>
        <w:t>alivio</w:t>
      </w:r>
      <w:r>
        <w:rPr>
          <w:color w:val="231F1F"/>
          <w:spacing w:val="31"/>
        </w:rPr>
        <w:t> </w:t>
      </w:r>
      <w:r>
        <w:rPr>
          <w:color w:val="231F1F"/>
        </w:rPr>
        <w:t>del</w:t>
      </w:r>
      <w:r>
        <w:rPr>
          <w:color w:val="231F1F"/>
          <w:spacing w:val="30"/>
        </w:rPr>
        <w:t> </w:t>
      </w:r>
      <w:r>
        <w:rPr>
          <w:color w:val="231F1F"/>
        </w:rPr>
        <w:t>dolor,</w:t>
      </w:r>
      <w:r>
        <w:rPr>
          <w:color w:val="231F1F"/>
          <w:spacing w:val="31"/>
        </w:rPr>
        <w:t> </w:t>
      </w:r>
      <w:r>
        <w:rPr>
          <w:color w:val="231F1F"/>
        </w:rPr>
        <w:t>la</w:t>
      </w:r>
      <w:r>
        <w:rPr>
          <w:color w:val="231F1F"/>
          <w:spacing w:val="31"/>
        </w:rPr>
        <w:t> </w:t>
      </w:r>
      <w:r>
        <w:rPr>
          <w:color w:val="231F1F"/>
        </w:rPr>
        <w:t>experiencia</w:t>
      </w:r>
      <w:r>
        <w:rPr>
          <w:color w:val="231F1F"/>
          <w:spacing w:val="30"/>
        </w:rPr>
        <w:t> </w:t>
      </w:r>
      <w:r>
        <w:rPr>
          <w:color w:val="231F1F"/>
        </w:rPr>
        <w:t>del</w:t>
      </w:r>
      <w:r>
        <w:rPr>
          <w:color w:val="231F1F"/>
          <w:spacing w:val="31"/>
        </w:rPr>
        <w:t> </w:t>
      </w:r>
      <w:r>
        <w:rPr>
          <w:color w:val="231F1F"/>
        </w:rPr>
        <w:t>parto</w:t>
      </w:r>
      <w:r>
        <w:rPr>
          <w:color w:val="231F1F"/>
          <w:spacing w:val="31"/>
        </w:rPr>
        <w:t> </w:t>
      </w:r>
      <w:r>
        <w:rPr>
          <w:color w:val="231F1F"/>
        </w:rPr>
        <w:t>o</w:t>
      </w:r>
      <w:r>
        <w:rPr>
          <w:color w:val="231F1F"/>
          <w:spacing w:val="31"/>
        </w:rPr>
        <w:t> </w:t>
      </w:r>
      <w:r>
        <w:rPr>
          <w:color w:val="231F1F"/>
        </w:rPr>
        <w:t>en</w:t>
      </w:r>
      <w:r>
        <w:rPr>
          <w:color w:val="231F1F"/>
          <w:spacing w:val="30"/>
        </w:rPr>
        <w:t> </w:t>
      </w:r>
      <w:r>
        <w:rPr>
          <w:color w:val="231F1F"/>
        </w:rPr>
        <w:t>otros</w:t>
      </w:r>
      <w:r>
        <w:rPr>
          <w:color w:val="231F1F"/>
          <w:spacing w:val="31"/>
        </w:rPr>
        <w:t> </w:t>
      </w:r>
      <w:r>
        <w:rPr>
          <w:color w:val="231F1F"/>
        </w:rPr>
        <w:t>resultados</w:t>
      </w:r>
      <w:r>
        <w:rPr>
          <w:color w:val="231F1F"/>
          <w:spacing w:val="33"/>
        </w:rPr>
        <w:t> </w:t>
      </w:r>
      <w:r>
        <w:rPr>
          <w:color w:val="231F1F"/>
        </w:rPr>
        <w:t>clínicos.</w:t>
      </w:r>
    </w:p>
    <w:p>
      <w:pPr>
        <w:pStyle w:val="BodyText"/>
        <w:spacing w:line="244" w:lineRule="auto" w:before="133"/>
        <w:ind w:left="283" w:right="1375" w:firstLine="453"/>
        <w:jc w:val="both"/>
      </w:pPr>
      <w:r>
        <w:rPr>
          <w:color w:val="231F1F"/>
          <w:w w:val="110"/>
        </w:rPr>
        <w:t>De todos modos, el grupo elaborador considera que pueden ser útiles ayudando a encontrar posturas confortables a las mujeres si se les instruye sobre su uso.</w:t>
      </w:r>
    </w:p>
    <w:p>
      <w:pPr>
        <w:pStyle w:val="BodyText"/>
        <w:spacing w:before="167"/>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10"/>
        <w:rPr>
          <w:rFonts w:ascii="Arial MT"/>
          <w:sz w:val="17"/>
        </w:rPr>
      </w:pPr>
      <w:r>
        <w:rPr>
          <w:rFonts w:ascii="Arial MT"/>
          <w:sz w:val="17"/>
        </w:rPr>
        <mc:AlternateContent>
          <mc:Choice Requires="wps">
            <w:drawing>
              <wp:anchor distT="0" distB="0" distL="0" distR="0" allowOverlap="1" layoutInCell="1" locked="0" behindDoc="1" simplePos="0" relativeHeight="487622144">
                <wp:simplePos x="0" y="0"/>
                <wp:positionH relativeFrom="page">
                  <wp:posOffset>1082675</wp:posOffset>
                </wp:positionH>
                <wp:positionV relativeFrom="paragraph">
                  <wp:posOffset>149155</wp:posOffset>
                </wp:positionV>
                <wp:extent cx="5400040" cy="440055"/>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5400040" cy="440055"/>
                        </a:xfrm>
                        <a:prstGeom prst="rect">
                          <a:avLst/>
                        </a:prstGeom>
                        <a:ln w="6350">
                          <a:solidFill>
                            <a:srgbClr val="A30046"/>
                          </a:solidFill>
                          <a:prstDash val="solid"/>
                        </a:ln>
                      </wps:spPr>
                      <wps:txbx>
                        <w:txbxContent>
                          <w:p>
                            <w:pPr>
                              <w:pStyle w:val="BodyText"/>
                              <w:spacing w:line="244" w:lineRule="auto" w:before="42"/>
                              <w:ind w:left="104"/>
                            </w:pPr>
                            <w:r>
                              <w:rPr>
                                <w:color w:val="231F1F"/>
                                <w:w w:val="110"/>
                              </w:rPr>
                              <w:t>No</w:t>
                            </w:r>
                            <w:r>
                              <w:rPr>
                                <w:color w:val="231F1F"/>
                                <w:spacing w:val="-6"/>
                                <w:w w:val="110"/>
                              </w:rPr>
                              <w:t> </w:t>
                            </w:r>
                            <w:r>
                              <w:rPr>
                                <w:color w:val="231F1F"/>
                                <w:w w:val="110"/>
                              </w:rPr>
                              <w:t>se</w:t>
                            </w:r>
                            <w:r>
                              <w:rPr>
                                <w:color w:val="231F1F"/>
                                <w:spacing w:val="-6"/>
                                <w:w w:val="110"/>
                              </w:rPr>
                              <w:t> </w:t>
                            </w:r>
                            <w:r>
                              <w:rPr>
                                <w:color w:val="231F1F"/>
                                <w:w w:val="110"/>
                              </w:rPr>
                              <w:t>han</w:t>
                            </w:r>
                            <w:r>
                              <w:rPr>
                                <w:color w:val="231F1F"/>
                                <w:spacing w:val="-6"/>
                                <w:w w:val="110"/>
                              </w:rPr>
                              <w:t> </w:t>
                            </w:r>
                            <w:r>
                              <w:rPr>
                                <w:color w:val="231F1F"/>
                                <w:w w:val="110"/>
                              </w:rPr>
                              <w:t>identificado</w:t>
                            </w:r>
                            <w:r>
                              <w:rPr>
                                <w:color w:val="231F1F"/>
                                <w:spacing w:val="-6"/>
                                <w:w w:val="110"/>
                              </w:rPr>
                              <w:t> </w:t>
                            </w:r>
                            <w:r>
                              <w:rPr>
                                <w:color w:val="231F1F"/>
                                <w:w w:val="110"/>
                              </w:rPr>
                              <w:t>estudios</w:t>
                            </w:r>
                            <w:r>
                              <w:rPr>
                                <w:color w:val="231F1F"/>
                                <w:spacing w:val="-6"/>
                                <w:w w:val="110"/>
                              </w:rPr>
                              <w:t> </w:t>
                            </w:r>
                            <w:r>
                              <w:rPr>
                                <w:color w:val="231F1F"/>
                                <w:w w:val="110"/>
                              </w:rPr>
                              <w:t>en</w:t>
                            </w:r>
                            <w:r>
                              <w:rPr>
                                <w:color w:val="231F1F"/>
                                <w:spacing w:val="-6"/>
                                <w:w w:val="110"/>
                              </w:rPr>
                              <w:t> </w:t>
                            </w:r>
                            <w:r>
                              <w:rPr>
                                <w:color w:val="231F1F"/>
                                <w:w w:val="110"/>
                              </w:rPr>
                              <w:t>relación</w:t>
                            </w:r>
                            <w:r>
                              <w:rPr>
                                <w:color w:val="231F1F"/>
                                <w:spacing w:val="-6"/>
                                <w:w w:val="110"/>
                              </w:rPr>
                              <w:t> </w:t>
                            </w:r>
                            <w:r>
                              <w:rPr>
                                <w:color w:val="231F1F"/>
                                <w:w w:val="110"/>
                              </w:rPr>
                              <w:t>a</w:t>
                            </w:r>
                            <w:r>
                              <w:rPr>
                                <w:color w:val="231F1F"/>
                                <w:spacing w:val="-6"/>
                                <w:w w:val="110"/>
                              </w:rPr>
                              <w:t> </w:t>
                            </w:r>
                            <w:r>
                              <w:rPr>
                                <w:color w:val="231F1F"/>
                                <w:w w:val="110"/>
                              </w:rPr>
                              <w:t>la</w:t>
                            </w:r>
                            <w:r>
                              <w:rPr>
                                <w:color w:val="231F1F"/>
                                <w:spacing w:val="-6"/>
                                <w:w w:val="110"/>
                              </w:rPr>
                              <w:t> </w:t>
                            </w:r>
                            <w:r>
                              <w:rPr>
                                <w:color w:val="231F1F"/>
                                <w:w w:val="110"/>
                              </w:rPr>
                              <w:t>utilización</w:t>
                            </w:r>
                            <w:r>
                              <w:rPr>
                                <w:color w:val="231F1F"/>
                                <w:spacing w:val="-6"/>
                                <w:w w:val="110"/>
                              </w:rPr>
                              <w:t> </w:t>
                            </w:r>
                            <w:r>
                              <w:rPr>
                                <w:color w:val="231F1F"/>
                                <w:w w:val="110"/>
                              </w:rPr>
                              <w:t>de</w:t>
                            </w:r>
                            <w:r>
                              <w:rPr>
                                <w:color w:val="231F1F"/>
                                <w:spacing w:val="-6"/>
                                <w:w w:val="110"/>
                              </w:rPr>
                              <w:t> </w:t>
                            </w:r>
                            <w:r>
                              <w:rPr>
                                <w:color w:val="231F1F"/>
                                <w:w w:val="110"/>
                              </w:rPr>
                              <w:t>pelotas</w:t>
                            </w:r>
                            <w:r>
                              <w:rPr>
                                <w:color w:val="231F1F"/>
                                <w:spacing w:val="-6"/>
                                <w:w w:val="110"/>
                              </w:rPr>
                              <w:t> </w:t>
                            </w:r>
                            <w:r>
                              <w:rPr>
                                <w:color w:val="231F1F"/>
                                <w:w w:val="110"/>
                              </w:rPr>
                              <w:t>de</w:t>
                            </w:r>
                            <w:r>
                              <w:rPr>
                                <w:color w:val="231F1F"/>
                                <w:spacing w:val="-6"/>
                                <w:w w:val="110"/>
                              </w:rPr>
                              <w:t> </w:t>
                            </w:r>
                            <w:r>
                              <w:rPr>
                                <w:color w:val="231F1F"/>
                                <w:w w:val="110"/>
                              </w:rPr>
                              <w:t>parto</w:t>
                            </w:r>
                            <w:r>
                              <w:rPr>
                                <w:color w:val="231F1F"/>
                                <w:spacing w:val="-6"/>
                                <w:w w:val="110"/>
                              </w:rPr>
                              <w:t> </w:t>
                            </w:r>
                            <w:r>
                              <w:rPr>
                                <w:color w:val="231F1F"/>
                                <w:w w:val="110"/>
                              </w:rPr>
                              <w:t>como método del alivio del dolor.</w:t>
                            </w:r>
                          </w:p>
                        </w:txbxContent>
                      </wps:txbx>
                      <wps:bodyPr wrap="square" lIns="0" tIns="0" rIns="0" bIns="0" rtlCol="0">
                        <a:noAutofit/>
                      </wps:bodyPr>
                    </wps:wsp>
                  </a:graphicData>
                </a:graphic>
              </wp:anchor>
            </w:drawing>
          </mc:Choice>
          <mc:Fallback>
            <w:pict>
              <v:shape style="position:absolute;margin-left:85.25pt;margin-top:11.74456pt;width:425.2pt;height:34.65pt;mso-position-horizontal-relative:page;mso-position-vertical-relative:paragraph;z-index:-15694336;mso-wrap-distance-left:0;mso-wrap-distance-right:0" type="#_x0000_t202" id="docshape118" filled="false" stroked="true" strokeweight=".5pt" strokecolor="#a30046">
                <v:textbox inset="0,0,0,0">
                  <w:txbxContent>
                    <w:p>
                      <w:pPr>
                        <w:pStyle w:val="BodyText"/>
                        <w:spacing w:line="244" w:lineRule="auto" w:before="42"/>
                        <w:ind w:left="104"/>
                      </w:pPr>
                      <w:r>
                        <w:rPr>
                          <w:color w:val="231F1F"/>
                          <w:w w:val="110"/>
                        </w:rPr>
                        <w:t>No</w:t>
                      </w:r>
                      <w:r>
                        <w:rPr>
                          <w:color w:val="231F1F"/>
                          <w:spacing w:val="-6"/>
                          <w:w w:val="110"/>
                        </w:rPr>
                        <w:t> </w:t>
                      </w:r>
                      <w:r>
                        <w:rPr>
                          <w:color w:val="231F1F"/>
                          <w:w w:val="110"/>
                        </w:rPr>
                        <w:t>se</w:t>
                      </w:r>
                      <w:r>
                        <w:rPr>
                          <w:color w:val="231F1F"/>
                          <w:spacing w:val="-6"/>
                          <w:w w:val="110"/>
                        </w:rPr>
                        <w:t> </w:t>
                      </w:r>
                      <w:r>
                        <w:rPr>
                          <w:color w:val="231F1F"/>
                          <w:w w:val="110"/>
                        </w:rPr>
                        <w:t>han</w:t>
                      </w:r>
                      <w:r>
                        <w:rPr>
                          <w:color w:val="231F1F"/>
                          <w:spacing w:val="-6"/>
                          <w:w w:val="110"/>
                        </w:rPr>
                        <w:t> </w:t>
                      </w:r>
                      <w:r>
                        <w:rPr>
                          <w:color w:val="231F1F"/>
                          <w:w w:val="110"/>
                        </w:rPr>
                        <w:t>identificado</w:t>
                      </w:r>
                      <w:r>
                        <w:rPr>
                          <w:color w:val="231F1F"/>
                          <w:spacing w:val="-6"/>
                          <w:w w:val="110"/>
                        </w:rPr>
                        <w:t> </w:t>
                      </w:r>
                      <w:r>
                        <w:rPr>
                          <w:color w:val="231F1F"/>
                          <w:w w:val="110"/>
                        </w:rPr>
                        <w:t>estudios</w:t>
                      </w:r>
                      <w:r>
                        <w:rPr>
                          <w:color w:val="231F1F"/>
                          <w:spacing w:val="-6"/>
                          <w:w w:val="110"/>
                        </w:rPr>
                        <w:t> </w:t>
                      </w:r>
                      <w:r>
                        <w:rPr>
                          <w:color w:val="231F1F"/>
                          <w:w w:val="110"/>
                        </w:rPr>
                        <w:t>en</w:t>
                      </w:r>
                      <w:r>
                        <w:rPr>
                          <w:color w:val="231F1F"/>
                          <w:spacing w:val="-6"/>
                          <w:w w:val="110"/>
                        </w:rPr>
                        <w:t> </w:t>
                      </w:r>
                      <w:r>
                        <w:rPr>
                          <w:color w:val="231F1F"/>
                          <w:w w:val="110"/>
                        </w:rPr>
                        <w:t>relación</w:t>
                      </w:r>
                      <w:r>
                        <w:rPr>
                          <w:color w:val="231F1F"/>
                          <w:spacing w:val="-6"/>
                          <w:w w:val="110"/>
                        </w:rPr>
                        <w:t> </w:t>
                      </w:r>
                      <w:r>
                        <w:rPr>
                          <w:color w:val="231F1F"/>
                          <w:w w:val="110"/>
                        </w:rPr>
                        <w:t>a</w:t>
                      </w:r>
                      <w:r>
                        <w:rPr>
                          <w:color w:val="231F1F"/>
                          <w:spacing w:val="-6"/>
                          <w:w w:val="110"/>
                        </w:rPr>
                        <w:t> </w:t>
                      </w:r>
                      <w:r>
                        <w:rPr>
                          <w:color w:val="231F1F"/>
                          <w:w w:val="110"/>
                        </w:rPr>
                        <w:t>la</w:t>
                      </w:r>
                      <w:r>
                        <w:rPr>
                          <w:color w:val="231F1F"/>
                          <w:spacing w:val="-6"/>
                          <w:w w:val="110"/>
                        </w:rPr>
                        <w:t> </w:t>
                      </w:r>
                      <w:r>
                        <w:rPr>
                          <w:color w:val="231F1F"/>
                          <w:w w:val="110"/>
                        </w:rPr>
                        <w:t>utilización</w:t>
                      </w:r>
                      <w:r>
                        <w:rPr>
                          <w:color w:val="231F1F"/>
                          <w:spacing w:val="-6"/>
                          <w:w w:val="110"/>
                        </w:rPr>
                        <w:t> </w:t>
                      </w:r>
                      <w:r>
                        <w:rPr>
                          <w:color w:val="231F1F"/>
                          <w:w w:val="110"/>
                        </w:rPr>
                        <w:t>de</w:t>
                      </w:r>
                      <w:r>
                        <w:rPr>
                          <w:color w:val="231F1F"/>
                          <w:spacing w:val="-6"/>
                          <w:w w:val="110"/>
                        </w:rPr>
                        <w:t> </w:t>
                      </w:r>
                      <w:r>
                        <w:rPr>
                          <w:color w:val="231F1F"/>
                          <w:w w:val="110"/>
                        </w:rPr>
                        <w:t>pelotas</w:t>
                      </w:r>
                      <w:r>
                        <w:rPr>
                          <w:color w:val="231F1F"/>
                          <w:spacing w:val="-6"/>
                          <w:w w:val="110"/>
                        </w:rPr>
                        <w:t> </w:t>
                      </w:r>
                      <w:r>
                        <w:rPr>
                          <w:color w:val="231F1F"/>
                          <w:w w:val="110"/>
                        </w:rPr>
                        <w:t>de</w:t>
                      </w:r>
                      <w:r>
                        <w:rPr>
                          <w:color w:val="231F1F"/>
                          <w:spacing w:val="-6"/>
                          <w:w w:val="110"/>
                        </w:rPr>
                        <w:t> </w:t>
                      </w:r>
                      <w:r>
                        <w:rPr>
                          <w:color w:val="231F1F"/>
                          <w:w w:val="110"/>
                        </w:rPr>
                        <w:t>parto</w:t>
                      </w:r>
                      <w:r>
                        <w:rPr>
                          <w:color w:val="231F1F"/>
                          <w:spacing w:val="-6"/>
                          <w:w w:val="110"/>
                        </w:rPr>
                        <w:t> </w:t>
                      </w:r>
                      <w:r>
                        <w:rPr>
                          <w:color w:val="231F1F"/>
                          <w:w w:val="110"/>
                        </w:rPr>
                        <w:t>como método del alivio del dolor.</w:t>
                      </w:r>
                    </w:p>
                  </w:txbxContent>
                </v:textbox>
                <v:stroke dashstyle="solid"/>
                <w10:wrap type="topAndBottom"/>
              </v:shape>
            </w:pict>
          </mc:Fallback>
        </mc:AlternateContent>
      </w:r>
    </w:p>
    <w:p>
      <w:pPr>
        <w:pStyle w:val="BodyText"/>
        <w:spacing w:before="123"/>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w:t>
            </w:r>
          </w:p>
        </w:tc>
        <w:tc>
          <w:tcPr>
            <w:tcW w:w="8050" w:type="dxa"/>
          </w:tcPr>
          <w:p>
            <w:pPr>
              <w:pStyle w:val="TableParagraph"/>
              <w:spacing w:line="244" w:lineRule="auto" w:before="53"/>
              <w:ind w:right="155"/>
              <w:rPr>
                <w:sz w:val="22"/>
              </w:rPr>
            </w:pPr>
            <w:r>
              <w:rPr>
                <w:color w:val="231F1F"/>
                <w:w w:val="105"/>
                <w:sz w:val="22"/>
              </w:rPr>
              <w:t>Las</w:t>
            </w:r>
            <w:r>
              <w:rPr>
                <w:color w:val="231F1F"/>
                <w:w w:val="105"/>
                <w:sz w:val="22"/>
              </w:rPr>
              <w:t> mujeres</w:t>
            </w:r>
            <w:r>
              <w:rPr>
                <w:color w:val="231F1F"/>
                <w:w w:val="105"/>
                <w:sz w:val="22"/>
              </w:rPr>
              <w:t> que</w:t>
            </w:r>
            <w:r>
              <w:rPr>
                <w:color w:val="231F1F"/>
                <w:w w:val="105"/>
                <w:sz w:val="22"/>
              </w:rPr>
              <w:t> elijan</w:t>
            </w:r>
            <w:r>
              <w:rPr>
                <w:color w:val="231F1F"/>
                <w:w w:val="105"/>
                <w:sz w:val="22"/>
              </w:rPr>
              <w:t> usar</w:t>
            </w:r>
            <w:r>
              <w:rPr>
                <w:color w:val="231F1F"/>
                <w:w w:val="105"/>
                <w:sz w:val="22"/>
              </w:rPr>
              <w:t> las</w:t>
            </w:r>
            <w:r>
              <w:rPr>
                <w:color w:val="231F1F"/>
                <w:w w:val="105"/>
                <w:sz w:val="22"/>
              </w:rPr>
              <w:t> pelotas</w:t>
            </w:r>
            <w:r>
              <w:rPr>
                <w:color w:val="231F1F"/>
                <w:w w:val="105"/>
                <w:sz w:val="22"/>
              </w:rPr>
              <w:t> de</w:t>
            </w:r>
            <w:r>
              <w:rPr>
                <w:color w:val="231F1F"/>
                <w:w w:val="105"/>
                <w:sz w:val="22"/>
              </w:rPr>
              <w:t> goma</w:t>
            </w:r>
            <w:r>
              <w:rPr>
                <w:color w:val="231F1F"/>
                <w:w w:val="105"/>
                <w:sz w:val="22"/>
              </w:rPr>
              <w:t> deben</w:t>
            </w:r>
            <w:r>
              <w:rPr>
                <w:color w:val="231F1F"/>
                <w:w w:val="105"/>
                <w:sz w:val="22"/>
              </w:rPr>
              <w:t> ser</w:t>
            </w:r>
            <w:r>
              <w:rPr>
                <w:color w:val="231F1F"/>
                <w:w w:val="105"/>
                <w:sz w:val="22"/>
              </w:rPr>
              <w:t> animadas</w:t>
            </w:r>
            <w:r>
              <w:rPr>
                <w:color w:val="231F1F"/>
                <w:w w:val="105"/>
                <w:sz w:val="22"/>
              </w:rPr>
              <w:t> a</w:t>
            </w:r>
            <w:r>
              <w:rPr>
                <w:color w:val="231F1F"/>
                <w:w w:val="105"/>
                <w:sz w:val="22"/>
              </w:rPr>
              <w:t> hacerlo</w:t>
            </w:r>
            <w:r>
              <w:rPr>
                <w:color w:val="231F1F"/>
                <w:w w:val="105"/>
                <w:sz w:val="22"/>
              </w:rPr>
              <w:t> para buscar posturas más confortables.</w:t>
            </w:r>
          </w:p>
        </w:tc>
      </w:tr>
    </w:tbl>
    <w:p>
      <w:pPr>
        <w:pStyle w:val="TableParagraph"/>
        <w:spacing w:after="0" w:line="24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Técnicas</w:t>
      </w:r>
      <w:r>
        <w:rPr>
          <w:color w:val="231F1F"/>
          <w:spacing w:val="39"/>
        </w:rPr>
        <w:t> </w:t>
      </w:r>
      <w:r>
        <w:rPr>
          <w:color w:val="231F1F"/>
        </w:rPr>
        <w:t>de</w:t>
      </w:r>
      <w:r>
        <w:rPr>
          <w:color w:val="231F1F"/>
          <w:spacing w:val="42"/>
        </w:rPr>
        <w:t> </w:t>
      </w:r>
      <w:r>
        <w:rPr>
          <w:color w:val="231F1F"/>
          <w:spacing w:val="-2"/>
        </w:rPr>
        <w:t>relajación</w:t>
      </w:r>
    </w:p>
    <w:p>
      <w:pPr>
        <w:pStyle w:val="BodyText"/>
        <w:spacing w:before="20"/>
        <w:rPr>
          <w:sz w:val="20"/>
        </w:rPr>
      </w:pPr>
      <w:r>
        <w:rPr>
          <w:sz w:val="20"/>
        </w:rPr>
        <mc:AlternateContent>
          <mc:Choice Requires="wps">
            <w:drawing>
              <wp:anchor distT="0" distB="0" distL="0" distR="0" allowOverlap="1" layoutInCell="1" locked="0" behindDoc="1" simplePos="0" relativeHeight="487622656">
                <wp:simplePos x="0" y="0"/>
                <wp:positionH relativeFrom="page">
                  <wp:posOffset>1082675</wp:posOffset>
                </wp:positionH>
                <wp:positionV relativeFrom="paragraph">
                  <wp:posOffset>177184</wp:posOffset>
                </wp:positionV>
                <wp:extent cx="5400040" cy="262255"/>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5400040" cy="262255"/>
                        </a:xfrm>
                        <a:prstGeom prst="rect">
                          <a:avLst/>
                        </a:prstGeom>
                        <a:ln w="6350">
                          <a:solidFill>
                            <a:srgbClr val="A30046"/>
                          </a:solidFill>
                          <a:prstDash val="solid"/>
                        </a:ln>
                      </wps:spPr>
                      <wps:txbx>
                        <w:txbxContent>
                          <w:p>
                            <w:pPr>
                              <w:pStyle w:val="BodyText"/>
                              <w:numPr>
                                <w:ilvl w:val="0"/>
                                <w:numId w:val="69"/>
                              </w:numPr>
                              <w:tabs>
                                <w:tab w:pos="312" w:val="left" w:leader="none"/>
                              </w:tabs>
                              <w:spacing w:line="240" w:lineRule="auto" w:before="70" w:after="0"/>
                              <w:ind w:left="312" w:right="0" w:hanging="208"/>
                              <w:jc w:val="left"/>
                            </w:pPr>
                            <w:r>
                              <w:rPr>
                                <w:color w:val="231F1F"/>
                                <w:spacing w:val="-2"/>
                              </w:rPr>
                              <w:t>¿Cuál</w:t>
                            </w:r>
                            <w:r>
                              <w:rPr>
                                <w:color w:val="231F1F"/>
                                <w:spacing w:val="-11"/>
                              </w:rPr>
                              <w:t> </w:t>
                            </w:r>
                            <w:r>
                              <w:rPr>
                                <w:color w:val="231F1F"/>
                                <w:spacing w:val="-2"/>
                              </w:rPr>
                              <w:t>es</w:t>
                            </w:r>
                            <w:r>
                              <w:rPr>
                                <w:color w:val="231F1F"/>
                                <w:spacing w:val="-9"/>
                              </w:rPr>
                              <w:t> </w:t>
                            </w:r>
                            <w:r>
                              <w:rPr>
                                <w:color w:val="231F1F"/>
                                <w:spacing w:val="-2"/>
                              </w:rPr>
                              <w:t>la</w:t>
                            </w:r>
                            <w:r>
                              <w:rPr>
                                <w:color w:val="231F1F"/>
                                <w:spacing w:val="-9"/>
                              </w:rPr>
                              <w:t> </w:t>
                            </w:r>
                            <w:r>
                              <w:rPr>
                                <w:color w:val="231F1F"/>
                                <w:spacing w:val="-2"/>
                              </w:rPr>
                              <w:t>efectividad</w:t>
                            </w:r>
                            <w:r>
                              <w:rPr>
                                <w:color w:val="231F1F"/>
                                <w:spacing w:val="-10"/>
                              </w:rPr>
                              <w:t> </w:t>
                            </w:r>
                            <w:r>
                              <w:rPr>
                                <w:color w:val="231F1F"/>
                                <w:spacing w:val="-2"/>
                              </w:rPr>
                              <w:t>de</w:t>
                            </w:r>
                            <w:r>
                              <w:rPr>
                                <w:color w:val="231F1F"/>
                                <w:spacing w:val="-9"/>
                              </w:rPr>
                              <w:t> </w:t>
                            </w:r>
                            <w:r>
                              <w:rPr>
                                <w:color w:val="231F1F"/>
                                <w:spacing w:val="-2"/>
                              </w:rPr>
                              <w:t>las</w:t>
                            </w:r>
                            <w:r>
                              <w:rPr>
                                <w:color w:val="231F1F"/>
                                <w:spacing w:val="-9"/>
                              </w:rPr>
                              <w:t> </w:t>
                            </w:r>
                            <w:r>
                              <w:rPr>
                                <w:color w:val="231F1F"/>
                                <w:spacing w:val="-2"/>
                              </w:rPr>
                              <w:t>técnicas</w:t>
                            </w:r>
                            <w:r>
                              <w:rPr>
                                <w:color w:val="231F1F"/>
                                <w:spacing w:val="-7"/>
                              </w:rPr>
                              <w:t> </w:t>
                            </w:r>
                            <w:r>
                              <w:rPr>
                                <w:color w:val="231F1F"/>
                                <w:spacing w:val="-2"/>
                              </w:rPr>
                              <w:t>de</w:t>
                            </w:r>
                            <w:r>
                              <w:rPr>
                                <w:color w:val="231F1F"/>
                                <w:spacing w:val="-10"/>
                              </w:rPr>
                              <w:t> </w:t>
                            </w:r>
                            <w:r>
                              <w:rPr>
                                <w:color w:val="231F1F"/>
                                <w:spacing w:val="-2"/>
                              </w:rPr>
                              <w:t>relajación</w:t>
                            </w:r>
                            <w:r>
                              <w:rPr>
                                <w:color w:val="231F1F"/>
                                <w:spacing w:val="-7"/>
                              </w:rPr>
                              <w:t> </w:t>
                            </w:r>
                            <w:r>
                              <w:rPr>
                                <w:color w:val="231F1F"/>
                                <w:spacing w:val="-2"/>
                              </w:rPr>
                              <w:t>para</w:t>
                            </w:r>
                            <w:r>
                              <w:rPr>
                                <w:color w:val="231F1F"/>
                                <w:spacing w:val="-9"/>
                              </w:rPr>
                              <w:t> </w:t>
                            </w:r>
                            <w:r>
                              <w:rPr>
                                <w:color w:val="231F1F"/>
                                <w:spacing w:val="-2"/>
                              </w:rPr>
                              <w:t>el</w:t>
                            </w:r>
                            <w:r>
                              <w:rPr>
                                <w:color w:val="231F1F"/>
                                <w:spacing w:val="-8"/>
                              </w:rPr>
                              <w:t> </w:t>
                            </w:r>
                            <w:r>
                              <w:rPr>
                                <w:color w:val="231F1F"/>
                                <w:spacing w:val="-2"/>
                              </w:rPr>
                              <w:t>alivio</w:t>
                            </w:r>
                            <w:r>
                              <w:rPr>
                                <w:color w:val="231F1F"/>
                                <w:spacing w:val="-11"/>
                              </w:rPr>
                              <w:t> </w:t>
                            </w:r>
                            <w:r>
                              <w:rPr>
                                <w:color w:val="231F1F"/>
                                <w:spacing w:val="-2"/>
                              </w:rPr>
                              <w:t>del</w:t>
                            </w:r>
                            <w:r>
                              <w:rPr>
                                <w:color w:val="231F1F"/>
                                <w:spacing w:val="-9"/>
                              </w:rPr>
                              <w:t> </w:t>
                            </w:r>
                            <w:r>
                              <w:rPr>
                                <w:color w:val="231F1F"/>
                                <w:spacing w:val="-2"/>
                              </w:rPr>
                              <w:t>dolor</w:t>
                            </w:r>
                            <w:r>
                              <w:rPr>
                                <w:color w:val="231F1F"/>
                                <w:spacing w:val="-9"/>
                              </w:rPr>
                              <w:t> </w:t>
                            </w:r>
                            <w:r>
                              <w:rPr>
                                <w:color w:val="231F1F"/>
                                <w:spacing w:val="-2"/>
                              </w:rPr>
                              <w:t>durante</w:t>
                            </w:r>
                            <w:r>
                              <w:rPr>
                                <w:color w:val="231F1F"/>
                                <w:spacing w:val="-9"/>
                              </w:rPr>
                              <w:t> </w:t>
                            </w:r>
                            <w:r>
                              <w:rPr>
                                <w:color w:val="231F1F"/>
                                <w:spacing w:val="-2"/>
                              </w:rPr>
                              <w:t>el</w:t>
                            </w:r>
                            <w:r>
                              <w:rPr>
                                <w:color w:val="231F1F"/>
                                <w:spacing w:val="-9"/>
                              </w:rPr>
                              <w:t> </w:t>
                            </w:r>
                            <w:r>
                              <w:rPr>
                                <w:color w:val="231F1F"/>
                                <w:spacing w:val="-2"/>
                              </w:rPr>
                              <w:t>parto?</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3824;mso-wrap-distance-left:0;mso-wrap-distance-right:0" type="#_x0000_t202" id="docshape119" filled="false" stroked="true" strokeweight=".5pt" strokecolor="#a30046">
                <v:textbox inset="0,0,0,0">
                  <w:txbxContent>
                    <w:p>
                      <w:pPr>
                        <w:pStyle w:val="BodyText"/>
                        <w:numPr>
                          <w:ilvl w:val="0"/>
                          <w:numId w:val="69"/>
                        </w:numPr>
                        <w:tabs>
                          <w:tab w:pos="312" w:val="left" w:leader="none"/>
                        </w:tabs>
                        <w:spacing w:line="240" w:lineRule="auto" w:before="70" w:after="0"/>
                        <w:ind w:left="312" w:right="0" w:hanging="208"/>
                        <w:jc w:val="left"/>
                      </w:pPr>
                      <w:r>
                        <w:rPr>
                          <w:color w:val="231F1F"/>
                          <w:spacing w:val="-2"/>
                        </w:rPr>
                        <w:t>¿Cuál</w:t>
                      </w:r>
                      <w:r>
                        <w:rPr>
                          <w:color w:val="231F1F"/>
                          <w:spacing w:val="-11"/>
                        </w:rPr>
                        <w:t> </w:t>
                      </w:r>
                      <w:r>
                        <w:rPr>
                          <w:color w:val="231F1F"/>
                          <w:spacing w:val="-2"/>
                        </w:rPr>
                        <w:t>es</w:t>
                      </w:r>
                      <w:r>
                        <w:rPr>
                          <w:color w:val="231F1F"/>
                          <w:spacing w:val="-9"/>
                        </w:rPr>
                        <w:t> </w:t>
                      </w:r>
                      <w:r>
                        <w:rPr>
                          <w:color w:val="231F1F"/>
                          <w:spacing w:val="-2"/>
                        </w:rPr>
                        <w:t>la</w:t>
                      </w:r>
                      <w:r>
                        <w:rPr>
                          <w:color w:val="231F1F"/>
                          <w:spacing w:val="-9"/>
                        </w:rPr>
                        <w:t> </w:t>
                      </w:r>
                      <w:r>
                        <w:rPr>
                          <w:color w:val="231F1F"/>
                          <w:spacing w:val="-2"/>
                        </w:rPr>
                        <w:t>efectividad</w:t>
                      </w:r>
                      <w:r>
                        <w:rPr>
                          <w:color w:val="231F1F"/>
                          <w:spacing w:val="-10"/>
                        </w:rPr>
                        <w:t> </w:t>
                      </w:r>
                      <w:r>
                        <w:rPr>
                          <w:color w:val="231F1F"/>
                          <w:spacing w:val="-2"/>
                        </w:rPr>
                        <w:t>de</w:t>
                      </w:r>
                      <w:r>
                        <w:rPr>
                          <w:color w:val="231F1F"/>
                          <w:spacing w:val="-9"/>
                        </w:rPr>
                        <w:t> </w:t>
                      </w:r>
                      <w:r>
                        <w:rPr>
                          <w:color w:val="231F1F"/>
                          <w:spacing w:val="-2"/>
                        </w:rPr>
                        <w:t>las</w:t>
                      </w:r>
                      <w:r>
                        <w:rPr>
                          <w:color w:val="231F1F"/>
                          <w:spacing w:val="-9"/>
                        </w:rPr>
                        <w:t> </w:t>
                      </w:r>
                      <w:r>
                        <w:rPr>
                          <w:color w:val="231F1F"/>
                          <w:spacing w:val="-2"/>
                        </w:rPr>
                        <w:t>técnicas</w:t>
                      </w:r>
                      <w:r>
                        <w:rPr>
                          <w:color w:val="231F1F"/>
                          <w:spacing w:val="-7"/>
                        </w:rPr>
                        <w:t> </w:t>
                      </w:r>
                      <w:r>
                        <w:rPr>
                          <w:color w:val="231F1F"/>
                          <w:spacing w:val="-2"/>
                        </w:rPr>
                        <w:t>de</w:t>
                      </w:r>
                      <w:r>
                        <w:rPr>
                          <w:color w:val="231F1F"/>
                          <w:spacing w:val="-10"/>
                        </w:rPr>
                        <w:t> </w:t>
                      </w:r>
                      <w:r>
                        <w:rPr>
                          <w:color w:val="231F1F"/>
                          <w:spacing w:val="-2"/>
                        </w:rPr>
                        <w:t>relajación</w:t>
                      </w:r>
                      <w:r>
                        <w:rPr>
                          <w:color w:val="231F1F"/>
                          <w:spacing w:val="-7"/>
                        </w:rPr>
                        <w:t> </w:t>
                      </w:r>
                      <w:r>
                        <w:rPr>
                          <w:color w:val="231F1F"/>
                          <w:spacing w:val="-2"/>
                        </w:rPr>
                        <w:t>para</w:t>
                      </w:r>
                      <w:r>
                        <w:rPr>
                          <w:color w:val="231F1F"/>
                          <w:spacing w:val="-9"/>
                        </w:rPr>
                        <w:t> </w:t>
                      </w:r>
                      <w:r>
                        <w:rPr>
                          <w:color w:val="231F1F"/>
                          <w:spacing w:val="-2"/>
                        </w:rPr>
                        <w:t>el</w:t>
                      </w:r>
                      <w:r>
                        <w:rPr>
                          <w:color w:val="231F1F"/>
                          <w:spacing w:val="-8"/>
                        </w:rPr>
                        <w:t> </w:t>
                      </w:r>
                      <w:r>
                        <w:rPr>
                          <w:color w:val="231F1F"/>
                          <w:spacing w:val="-2"/>
                        </w:rPr>
                        <w:t>alivio</w:t>
                      </w:r>
                      <w:r>
                        <w:rPr>
                          <w:color w:val="231F1F"/>
                          <w:spacing w:val="-11"/>
                        </w:rPr>
                        <w:t> </w:t>
                      </w:r>
                      <w:r>
                        <w:rPr>
                          <w:color w:val="231F1F"/>
                          <w:spacing w:val="-2"/>
                        </w:rPr>
                        <w:t>del</w:t>
                      </w:r>
                      <w:r>
                        <w:rPr>
                          <w:color w:val="231F1F"/>
                          <w:spacing w:val="-9"/>
                        </w:rPr>
                        <w:t> </w:t>
                      </w:r>
                      <w:r>
                        <w:rPr>
                          <w:color w:val="231F1F"/>
                          <w:spacing w:val="-2"/>
                        </w:rPr>
                        <w:t>dolor</w:t>
                      </w:r>
                      <w:r>
                        <w:rPr>
                          <w:color w:val="231F1F"/>
                          <w:spacing w:val="-9"/>
                        </w:rPr>
                        <w:t> </w:t>
                      </w:r>
                      <w:r>
                        <w:rPr>
                          <w:color w:val="231F1F"/>
                          <w:spacing w:val="-2"/>
                        </w:rPr>
                        <w:t>durante</w:t>
                      </w:r>
                      <w:r>
                        <w:rPr>
                          <w:color w:val="231F1F"/>
                          <w:spacing w:val="-9"/>
                        </w:rPr>
                        <w:t> </w:t>
                      </w:r>
                      <w:r>
                        <w:rPr>
                          <w:color w:val="231F1F"/>
                          <w:spacing w:val="-2"/>
                        </w:rPr>
                        <w:t>el</w:t>
                      </w:r>
                      <w:r>
                        <w:rPr>
                          <w:color w:val="231F1F"/>
                          <w:spacing w:val="-9"/>
                        </w:rPr>
                        <w:t> </w:t>
                      </w:r>
                      <w:r>
                        <w:rPr>
                          <w:color w:val="231F1F"/>
                          <w:spacing w:val="-2"/>
                        </w:rPr>
                        <w:t>parto?</w:t>
                      </w:r>
                    </w:p>
                  </w:txbxContent>
                </v:textbox>
                <v:stroke dashstyle="solid"/>
                <w10:wrap type="topAndBottom"/>
              </v:shape>
            </w:pict>
          </mc:Fallback>
        </mc:AlternateContent>
      </w:r>
    </w:p>
    <w:p>
      <w:pPr>
        <w:pStyle w:val="BodyText"/>
        <w:spacing w:line="247" w:lineRule="auto" w:before="271"/>
        <w:ind w:left="284" w:right="115"/>
        <w:jc w:val="both"/>
      </w:pPr>
      <w:r>
        <w:rPr>
          <w:color w:val="231F1F"/>
          <w:w w:val="110"/>
        </w:rPr>
        <w:t>Habitualmente, en la preparación a la maternidad de las embarazadas se enseña, entre </w:t>
      </w:r>
      <w:r>
        <w:rPr>
          <w:color w:val="231F1F"/>
        </w:rPr>
        <w:t>otras muchas cuestiones, a realizar técnicas artificiales de respiración, en la creencia de que </w:t>
      </w:r>
      <w:r>
        <w:rPr>
          <w:color w:val="231F1F"/>
          <w:w w:val="110"/>
        </w:rPr>
        <w:t>contribuirán al alivio del dolor. Sin embargo, no se considera que existe una regulación involuntaria</w:t>
      </w:r>
      <w:r>
        <w:rPr>
          <w:color w:val="231F1F"/>
          <w:spacing w:val="-11"/>
          <w:w w:val="110"/>
        </w:rPr>
        <w:t> </w:t>
      </w:r>
      <w:r>
        <w:rPr>
          <w:color w:val="231F1F"/>
          <w:w w:val="110"/>
        </w:rPr>
        <w:t>de</w:t>
      </w:r>
      <w:r>
        <w:rPr>
          <w:color w:val="231F1F"/>
          <w:spacing w:val="-11"/>
          <w:w w:val="110"/>
        </w:rPr>
        <w:t> </w:t>
      </w:r>
      <w:r>
        <w:rPr>
          <w:color w:val="231F1F"/>
          <w:w w:val="110"/>
        </w:rPr>
        <w:t>la</w:t>
      </w:r>
      <w:r>
        <w:rPr>
          <w:color w:val="231F1F"/>
          <w:spacing w:val="-11"/>
          <w:w w:val="110"/>
        </w:rPr>
        <w:t> </w:t>
      </w:r>
      <w:r>
        <w:rPr>
          <w:color w:val="231F1F"/>
          <w:w w:val="110"/>
        </w:rPr>
        <w:t>respiración</w:t>
      </w:r>
      <w:r>
        <w:rPr>
          <w:color w:val="231F1F"/>
          <w:spacing w:val="-10"/>
          <w:w w:val="110"/>
        </w:rPr>
        <w:t> </w:t>
      </w:r>
      <w:r>
        <w:rPr>
          <w:color w:val="231F1F"/>
          <w:w w:val="110"/>
        </w:rPr>
        <w:t>que</w:t>
      </w:r>
      <w:r>
        <w:rPr>
          <w:color w:val="231F1F"/>
          <w:spacing w:val="-11"/>
          <w:w w:val="110"/>
        </w:rPr>
        <w:t> </w:t>
      </w:r>
      <w:r>
        <w:rPr>
          <w:color w:val="231F1F"/>
          <w:w w:val="110"/>
        </w:rPr>
        <w:t>permite</w:t>
      </w:r>
      <w:r>
        <w:rPr>
          <w:color w:val="231F1F"/>
          <w:spacing w:val="-11"/>
          <w:w w:val="110"/>
        </w:rPr>
        <w:t> </w:t>
      </w:r>
      <w:r>
        <w:rPr>
          <w:color w:val="231F1F"/>
          <w:w w:val="110"/>
        </w:rPr>
        <w:t>su</w:t>
      </w:r>
      <w:r>
        <w:rPr>
          <w:color w:val="231F1F"/>
          <w:spacing w:val="-11"/>
          <w:w w:val="110"/>
        </w:rPr>
        <w:t> </w:t>
      </w:r>
      <w:r>
        <w:rPr>
          <w:color w:val="231F1F"/>
          <w:w w:val="110"/>
        </w:rPr>
        <w:t>adaptación</w:t>
      </w:r>
      <w:r>
        <w:rPr>
          <w:color w:val="231F1F"/>
          <w:spacing w:val="-11"/>
          <w:w w:val="110"/>
        </w:rPr>
        <w:t> </w:t>
      </w:r>
      <w:r>
        <w:rPr>
          <w:color w:val="231F1F"/>
          <w:w w:val="110"/>
        </w:rPr>
        <w:t>a</w:t>
      </w:r>
      <w:r>
        <w:rPr>
          <w:color w:val="231F1F"/>
          <w:spacing w:val="-11"/>
          <w:w w:val="110"/>
        </w:rPr>
        <w:t> </w:t>
      </w:r>
      <w:r>
        <w:rPr>
          <w:color w:val="231F1F"/>
          <w:w w:val="110"/>
        </w:rPr>
        <w:t>las</w:t>
      </w:r>
      <w:r>
        <w:rPr>
          <w:color w:val="231F1F"/>
          <w:spacing w:val="-11"/>
          <w:w w:val="110"/>
        </w:rPr>
        <w:t> </w:t>
      </w:r>
      <w:r>
        <w:rPr>
          <w:color w:val="231F1F"/>
          <w:w w:val="110"/>
        </w:rPr>
        <w:t>diferentes</w:t>
      </w:r>
      <w:r>
        <w:rPr>
          <w:color w:val="231F1F"/>
          <w:spacing w:val="-11"/>
          <w:w w:val="110"/>
        </w:rPr>
        <w:t> </w:t>
      </w:r>
      <w:r>
        <w:rPr>
          <w:color w:val="231F1F"/>
          <w:w w:val="110"/>
        </w:rPr>
        <w:t>situaciones</w:t>
      </w:r>
      <w:r>
        <w:rPr>
          <w:color w:val="231F1F"/>
          <w:spacing w:val="-12"/>
          <w:w w:val="110"/>
        </w:rPr>
        <w:t> </w:t>
      </w:r>
      <w:r>
        <w:rPr>
          <w:color w:val="231F1F"/>
          <w:w w:val="110"/>
        </w:rPr>
        <w:t>y</w:t>
      </w:r>
      <w:r>
        <w:rPr>
          <w:color w:val="231F1F"/>
          <w:spacing w:val="-11"/>
          <w:w w:val="110"/>
        </w:rPr>
        <w:t> </w:t>
      </w:r>
      <w:r>
        <w:rPr>
          <w:color w:val="231F1F"/>
          <w:w w:val="110"/>
        </w:rPr>
        <w:t>ne- cesidades,</w:t>
      </w:r>
      <w:r>
        <w:rPr>
          <w:color w:val="231F1F"/>
          <w:spacing w:val="-16"/>
          <w:w w:val="110"/>
        </w:rPr>
        <w:t> </w:t>
      </w:r>
      <w:r>
        <w:rPr>
          <w:color w:val="231F1F"/>
          <w:w w:val="110"/>
        </w:rPr>
        <w:t>incluyendo</w:t>
      </w:r>
      <w:r>
        <w:rPr>
          <w:color w:val="231F1F"/>
          <w:spacing w:val="-15"/>
          <w:w w:val="110"/>
        </w:rPr>
        <w:t> </w:t>
      </w:r>
      <w:r>
        <w:rPr>
          <w:color w:val="231F1F"/>
          <w:w w:val="110"/>
        </w:rPr>
        <w:t>el</w:t>
      </w:r>
      <w:r>
        <w:rPr>
          <w:color w:val="231F1F"/>
          <w:spacing w:val="-15"/>
          <w:w w:val="110"/>
        </w:rPr>
        <w:t> </w:t>
      </w:r>
      <w:r>
        <w:rPr>
          <w:color w:val="231F1F"/>
          <w:w w:val="110"/>
        </w:rPr>
        <w:t>trabajo</w:t>
      </w:r>
      <w:r>
        <w:rPr>
          <w:color w:val="231F1F"/>
          <w:spacing w:val="-15"/>
          <w:w w:val="110"/>
        </w:rPr>
        <w:t> </w:t>
      </w:r>
      <w:r>
        <w:rPr>
          <w:color w:val="231F1F"/>
          <w:w w:val="110"/>
        </w:rPr>
        <w:t>de</w:t>
      </w:r>
      <w:r>
        <w:rPr>
          <w:color w:val="231F1F"/>
          <w:spacing w:val="-15"/>
          <w:w w:val="110"/>
        </w:rPr>
        <w:t> </w:t>
      </w:r>
      <w:r>
        <w:rPr>
          <w:color w:val="231F1F"/>
          <w:w w:val="110"/>
        </w:rPr>
        <w:t>parto.</w:t>
      </w:r>
      <w:r>
        <w:rPr>
          <w:color w:val="231F1F"/>
          <w:spacing w:val="-15"/>
          <w:w w:val="110"/>
        </w:rPr>
        <w:t> </w:t>
      </w:r>
      <w:r>
        <w:rPr>
          <w:color w:val="231F1F"/>
          <w:w w:val="110"/>
        </w:rPr>
        <w:t>Por</w:t>
      </w:r>
      <w:r>
        <w:rPr>
          <w:color w:val="231F1F"/>
          <w:spacing w:val="-15"/>
          <w:w w:val="110"/>
        </w:rPr>
        <w:t> </w:t>
      </w:r>
      <w:r>
        <w:rPr>
          <w:color w:val="231F1F"/>
          <w:w w:val="110"/>
        </w:rPr>
        <w:t>otra</w:t>
      </w:r>
      <w:r>
        <w:rPr>
          <w:color w:val="231F1F"/>
          <w:spacing w:val="-15"/>
          <w:w w:val="110"/>
        </w:rPr>
        <w:t> </w:t>
      </w:r>
      <w:r>
        <w:rPr>
          <w:color w:val="231F1F"/>
          <w:w w:val="110"/>
        </w:rPr>
        <w:t>parte,</w:t>
      </w:r>
      <w:r>
        <w:rPr>
          <w:color w:val="231F1F"/>
          <w:spacing w:val="-16"/>
          <w:w w:val="110"/>
        </w:rPr>
        <w:t> </w:t>
      </w:r>
      <w:r>
        <w:rPr>
          <w:color w:val="231F1F"/>
          <w:w w:val="110"/>
        </w:rPr>
        <w:t>este</w:t>
      </w:r>
      <w:r>
        <w:rPr>
          <w:color w:val="231F1F"/>
          <w:spacing w:val="-15"/>
          <w:w w:val="110"/>
        </w:rPr>
        <w:t> </w:t>
      </w:r>
      <w:r>
        <w:rPr>
          <w:color w:val="231F1F"/>
          <w:w w:val="110"/>
        </w:rPr>
        <w:t>tipo</w:t>
      </w:r>
      <w:r>
        <w:rPr>
          <w:color w:val="231F1F"/>
          <w:spacing w:val="-15"/>
          <w:w w:val="110"/>
        </w:rPr>
        <w:t> </w:t>
      </w:r>
      <w:r>
        <w:rPr>
          <w:color w:val="231F1F"/>
          <w:w w:val="110"/>
        </w:rPr>
        <w:t>de</w:t>
      </w:r>
      <w:r>
        <w:rPr>
          <w:color w:val="231F1F"/>
          <w:spacing w:val="-15"/>
          <w:w w:val="110"/>
        </w:rPr>
        <w:t> </w:t>
      </w:r>
      <w:r>
        <w:rPr>
          <w:color w:val="231F1F"/>
          <w:w w:val="110"/>
        </w:rPr>
        <w:t>técnicas</w:t>
      </w:r>
      <w:r>
        <w:rPr>
          <w:color w:val="231F1F"/>
          <w:spacing w:val="-15"/>
          <w:w w:val="110"/>
        </w:rPr>
        <w:t> </w:t>
      </w:r>
      <w:r>
        <w:rPr>
          <w:color w:val="231F1F"/>
          <w:w w:val="110"/>
        </w:rPr>
        <w:t>podría</w:t>
      </w:r>
      <w:r>
        <w:rPr>
          <w:color w:val="231F1F"/>
          <w:spacing w:val="-15"/>
          <w:w w:val="110"/>
        </w:rPr>
        <w:t> </w:t>
      </w:r>
      <w:r>
        <w:rPr>
          <w:color w:val="231F1F"/>
          <w:w w:val="110"/>
        </w:rPr>
        <w:t>inter- ferir</w:t>
      </w:r>
      <w:r>
        <w:rPr>
          <w:color w:val="231F1F"/>
          <w:spacing w:val="-6"/>
          <w:w w:val="110"/>
        </w:rPr>
        <w:t> </w:t>
      </w:r>
      <w:r>
        <w:rPr>
          <w:color w:val="231F1F"/>
          <w:w w:val="110"/>
        </w:rPr>
        <w:t>con</w:t>
      </w:r>
      <w:r>
        <w:rPr>
          <w:color w:val="231F1F"/>
          <w:spacing w:val="-5"/>
          <w:w w:val="110"/>
        </w:rPr>
        <w:t> </w:t>
      </w:r>
      <w:r>
        <w:rPr>
          <w:color w:val="231F1F"/>
          <w:w w:val="110"/>
        </w:rPr>
        <w:t>la</w:t>
      </w:r>
      <w:r>
        <w:rPr>
          <w:color w:val="231F1F"/>
          <w:spacing w:val="-6"/>
          <w:w w:val="110"/>
        </w:rPr>
        <w:t> </w:t>
      </w:r>
      <w:r>
        <w:rPr>
          <w:color w:val="231F1F"/>
          <w:w w:val="110"/>
        </w:rPr>
        <w:t>necesidad</w:t>
      </w:r>
      <w:r>
        <w:rPr>
          <w:color w:val="231F1F"/>
          <w:spacing w:val="-6"/>
          <w:w w:val="110"/>
        </w:rPr>
        <w:t> </w:t>
      </w:r>
      <w:r>
        <w:rPr>
          <w:color w:val="231F1F"/>
          <w:w w:val="110"/>
        </w:rPr>
        <w:t>de</w:t>
      </w:r>
      <w:r>
        <w:rPr>
          <w:color w:val="231F1F"/>
          <w:spacing w:val="-6"/>
          <w:w w:val="110"/>
        </w:rPr>
        <w:t> </w:t>
      </w:r>
      <w:r>
        <w:rPr>
          <w:color w:val="231F1F"/>
          <w:w w:val="110"/>
        </w:rPr>
        <w:t>estar</w:t>
      </w:r>
      <w:r>
        <w:rPr>
          <w:color w:val="231F1F"/>
          <w:spacing w:val="-6"/>
          <w:w w:val="110"/>
        </w:rPr>
        <w:t> </w:t>
      </w:r>
      <w:r>
        <w:rPr>
          <w:color w:val="231F1F"/>
          <w:w w:val="110"/>
        </w:rPr>
        <w:t>tranquila</w:t>
      </w:r>
      <w:r>
        <w:rPr>
          <w:color w:val="231F1F"/>
          <w:spacing w:val="-6"/>
          <w:w w:val="110"/>
        </w:rPr>
        <w:t> </w:t>
      </w:r>
      <w:r>
        <w:rPr>
          <w:color w:val="231F1F"/>
          <w:w w:val="110"/>
        </w:rPr>
        <w:t>y</w:t>
      </w:r>
      <w:r>
        <w:rPr>
          <w:color w:val="231F1F"/>
          <w:spacing w:val="-6"/>
          <w:w w:val="110"/>
        </w:rPr>
        <w:t> </w:t>
      </w:r>
      <w:r>
        <w:rPr>
          <w:color w:val="231F1F"/>
          <w:w w:val="110"/>
        </w:rPr>
        <w:t>relajada,</w:t>
      </w:r>
      <w:r>
        <w:rPr>
          <w:color w:val="231F1F"/>
          <w:spacing w:val="-6"/>
          <w:w w:val="110"/>
        </w:rPr>
        <w:t> </w:t>
      </w:r>
      <w:r>
        <w:rPr>
          <w:color w:val="231F1F"/>
          <w:w w:val="110"/>
        </w:rPr>
        <w:t>ocasionar</w:t>
      </w:r>
      <w:r>
        <w:rPr>
          <w:color w:val="231F1F"/>
          <w:spacing w:val="-6"/>
          <w:w w:val="110"/>
        </w:rPr>
        <w:t> </w:t>
      </w:r>
      <w:r>
        <w:rPr>
          <w:color w:val="231F1F"/>
          <w:w w:val="110"/>
        </w:rPr>
        <w:t>estados</w:t>
      </w:r>
      <w:r>
        <w:rPr>
          <w:color w:val="231F1F"/>
          <w:spacing w:val="-5"/>
          <w:w w:val="110"/>
        </w:rPr>
        <w:t> </w:t>
      </w:r>
      <w:r>
        <w:rPr>
          <w:color w:val="231F1F"/>
          <w:w w:val="110"/>
        </w:rPr>
        <w:t>de</w:t>
      </w:r>
      <w:r>
        <w:rPr>
          <w:color w:val="231F1F"/>
          <w:spacing w:val="-6"/>
          <w:w w:val="110"/>
        </w:rPr>
        <w:t> </w:t>
      </w:r>
      <w:r>
        <w:rPr>
          <w:color w:val="231F1F"/>
          <w:w w:val="110"/>
        </w:rPr>
        <w:t>hiperventilación y producir agotamiento.</w:t>
      </w:r>
    </w:p>
    <w:p>
      <w:pPr>
        <w:pStyle w:val="BodyText"/>
        <w:spacing w:before="90"/>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23"/>
        <w:ind w:left="287" w:right="42"/>
        <w:jc w:val="both"/>
      </w:pPr>
      <w:r>
        <w:rPr>
          <w:color w:val="231F1F"/>
          <w:w w:val="105"/>
        </w:rPr>
        <w:t>Para abordar las técnicas de relajación la guía NICE (10) identificó un ensayo controlado (285) de baja calidad, que aleatorizaba a las mujeres al grupo que recibía</w:t>
      </w:r>
      <w:r>
        <w:rPr>
          <w:color w:val="231F1F"/>
          <w:w w:val="105"/>
        </w:rPr>
        <w:t> entrenamiento</w:t>
      </w:r>
      <w:r>
        <w:rPr>
          <w:color w:val="231F1F"/>
          <w:w w:val="105"/>
        </w:rPr>
        <w:t> respiratorio</w:t>
      </w:r>
      <w:r>
        <w:rPr>
          <w:color w:val="231F1F"/>
          <w:w w:val="105"/>
        </w:rPr>
        <w:t> autógeno</w:t>
      </w:r>
      <w:r>
        <w:rPr>
          <w:color w:val="231F1F"/>
          <w:w w:val="105"/>
        </w:rPr>
        <w:t> mientras</w:t>
      </w:r>
      <w:r>
        <w:rPr>
          <w:color w:val="231F1F"/>
          <w:w w:val="105"/>
        </w:rPr>
        <w:t> que</w:t>
      </w:r>
      <w:r>
        <w:rPr>
          <w:color w:val="231F1F"/>
          <w:w w:val="105"/>
        </w:rPr>
        <w:t> el</w:t>
      </w:r>
      <w:r>
        <w:rPr>
          <w:color w:val="231F1F"/>
          <w:w w:val="105"/>
        </w:rPr>
        <w:t> grupo</w:t>
      </w:r>
      <w:r>
        <w:rPr>
          <w:color w:val="231F1F"/>
          <w:w w:val="105"/>
        </w:rPr>
        <w:t> control recibía el curso psicoprofiláctico habitual.</w:t>
      </w:r>
    </w:p>
    <w:p>
      <w:pPr>
        <w:pStyle w:val="BodyText"/>
        <w:spacing w:line="254" w:lineRule="auto" w:before="139"/>
        <w:ind w:left="287" w:right="38" w:firstLine="453"/>
        <w:jc w:val="both"/>
      </w:pPr>
      <w:r>
        <w:rPr>
          <w:color w:val="231F1F"/>
          <w:w w:val="105"/>
        </w:rPr>
        <w:t>A</w:t>
      </w:r>
      <w:r>
        <w:rPr>
          <w:color w:val="231F1F"/>
          <w:w w:val="105"/>
        </w:rPr>
        <w:t> pesar</w:t>
      </w:r>
      <w:r>
        <w:rPr>
          <w:color w:val="231F1F"/>
          <w:w w:val="105"/>
        </w:rPr>
        <w:t> de</w:t>
      </w:r>
      <w:r>
        <w:rPr>
          <w:color w:val="231F1F"/>
          <w:w w:val="105"/>
        </w:rPr>
        <w:t> la</w:t>
      </w:r>
      <w:r>
        <w:rPr>
          <w:color w:val="231F1F"/>
          <w:w w:val="105"/>
        </w:rPr>
        <w:t> reducción</w:t>
      </w:r>
      <w:r>
        <w:rPr>
          <w:color w:val="231F1F"/>
          <w:w w:val="105"/>
        </w:rPr>
        <w:t> significativa</w:t>
      </w:r>
      <w:r>
        <w:rPr>
          <w:color w:val="231F1F"/>
          <w:w w:val="105"/>
        </w:rPr>
        <w:t> del</w:t>
      </w:r>
      <w:r>
        <w:rPr>
          <w:color w:val="231F1F"/>
          <w:w w:val="105"/>
        </w:rPr>
        <w:t> dolor</w:t>
      </w:r>
      <w:r>
        <w:rPr>
          <w:color w:val="231F1F"/>
          <w:w w:val="105"/>
        </w:rPr>
        <w:t> durante</w:t>
      </w:r>
      <w:r>
        <w:rPr>
          <w:color w:val="231F1F"/>
          <w:w w:val="105"/>
        </w:rPr>
        <w:t> el</w:t>
      </w:r>
      <w:r>
        <w:rPr>
          <w:color w:val="231F1F"/>
          <w:w w:val="105"/>
        </w:rPr>
        <w:t> parto</w:t>
      </w:r>
      <w:r>
        <w:rPr>
          <w:color w:val="231F1F"/>
          <w:w w:val="105"/>
        </w:rPr>
        <w:t> de</w:t>
      </w:r>
      <w:r>
        <w:rPr>
          <w:color w:val="231F1F"/>
          <w:w w:val="105"/>
        </w:rPr>
        <w:t> las mujeres</w:t>
      </w:r>
      <w:r>
        <w:rPr>
          <w:color w:val="231F1F"/>
          <w:w w:val="105"/>
        </w:rPr>
        <w:t> del</w:t>
      </w:r>
      <w:r>
        <w:rPr>
          <w:color w:val="231F1F"/>
          <w:w w:val="105"/>
        </w:rPr>
        <w:t> grupo</w:t>
      </w:r>
      <w:r>
        <w:rPr>
          <w:color w:val="231F1F"/>
          <w:w w:val="105"/>
        </w:rPr>
        <w:t> experimental,</w:t>
      </w:r>
      <w:r>
        <w:rPr>
          <w:color w:val="231F1F"/>
          <w:w w:val="105"/>
        </w:rPr>
        <w:t> esta</w:t>
      </w:r>
      <w:r>
        <w:rPr>
          <w:color w:val="231F1F"/>
          <w:w w:val="105"/>
        </w:rPr>
        <w:t> diferencia</w:t>
      </w:r>
      <w:r>
        <w:rPr>
          <w:color w:val="231F1F"/>
          <w:w w:val="105"/>
        </w:rPr>
        <w:t> sólo</w:t>
      </w:r>
      <w:r>
        <w:rPr>
          <w:color w:val="231F1F"/>
          <w:w w:val="105"/>
        </w:rPr>
        <w:t> se</w:t>
      </w:r>
      <w:r>
        <w:rPr>
          <w:color w:val="231F1F"/>
          <w:w w:val="105"/>
        </w:rPr>
        <w:t> encontró</w:t>
      </w:r>
      <w:r>
        <w:rPr>
          <w:color w:val="231F1F"/>
          <w:w w:val="105"/>
        </w:rPr>
        <w:t> tras</w:t>
      </w:r>
      <w:r>
        <w:rPr>
          <w:color w:val="231F1F"/>
          <w:w w:val="105"/>
        </w:rPr>
        <w:t> ajustar por</w:t>
      </w:r>
      <w:r>
        <w:rPr>
          <w:color w:val="231F1F"/>
          <w:spacing w:val="-3"/>
          <w:w w:val="105"/>
        </w:rPr>
        <w:t> </w:t>
      </w:r>
      <w:r>
        <w:rPr>
          <w:color w:val="231F1F"/>
          <w:w w:val="105"/>
        </w:rPr>
        <w:t>mujeres</w:t>
      </w:r>
      <w:r>
        <w:rPr>
          <w:color w:val="231F1F"/>
          <w:spacing w:val="-3"/>
          <w:w w:val="105"/>
        </w:rPr>
        <w:t> </w:t>
      </w:r>
      <w:r>
        <w:rPr>
          <w:color w:val="231F1F"/>
          <w:w w:val="105"/>
        </w:rPr>
        <w:t>que</w:t>
      </w:r>
      <w:r>
        <w:rPr>
          <w:color w:val="231F1F"/>
          <w:spacing w:val="-3"/>
          <w:w w:val="105"/>
        </w:rPr>
        <w:t> </w:t>
      </w:r>
      <w:r>
        <w:rPr>
          <w:color w:val="231F1F"/>
          <w:w w:val="105"/>
        </w:rPr>
        <w:t>estuvieron</w:t>
      </w:r>
      <w:r>
        <w:rPr>
          <w:color w:val="231F1F"/>
          <w:spacing w:val="-2"/>
          <w:w w:val="105"/>
        </w:rPr>
        <w:t> </w:t>
      </w:r>
      <w:r>
        <w:rPr>
          <w:color w:val="231F1F"/>
          <w:w w:val="105"/>
        </w:rPr>
        <w:t>muy</w:t>
      </w:r>
      <w:r>
        <w:rPr>
          <w:color w:val="231F1F"/>
          <w:spacing w:val="-3"/>
          <w:w w:val="105"/>
        </w:rPr>
        <w:t> </w:t>
      </w:r>
      <w:r>
        <w:rPr>
          <w:color w:val="231F1F"/>
          <w:w w:val="105"/>
        </w:rPr>
        <w:t>ansiosas</w:t>
      </w:r>
      <w:r>
        <w:rPr>
          <w:color w:val="231F1F"/>
          <w:spacing w:val="-2"/>
          <w:w w:val="105"/>
        </w:rPr>
        <w:t> </w:t>
      </w:r>
      <w:r>
        <w:rPr>
          <w:color w:val="231F1F"/>
          <w:w w:val="105"/>
        </w:rPr>
        <w:t>durante</w:t>
      </w:r>
      <w:r>
        <w:rPr>
          <w:color w:val="231F1F"/>
          <w:spacing w:val="-3"/>
          <w:w w:val="105"/>
        </w:rPr>
        <w:t> </w:t>
      </w:r>
      <w:r>
        <w:rPr>
          <w:color w:val="231F1F"/>
          <w:w w:val="105"/>
        </w:rPr>
        <w:t>el</w:t>
      </w:r>
      <w:r>
        <w:rPr>
          <w:color w:val="231F1F"/>
          <w:spacing w:val="-3"/>
          <w:w w:val="105"/>
        </w:rPr>
        <w:t> </w:t>
      </w:r>
      <w:r>
        <w:rPr>
          <w:color w:val="231F1F"/>
          <w:w w:val="105"/>
        </w:rPr>
        <w:t>embarazo.</w:t>
      </w:r>
      <w:r>
        <w:rPr>
          <w:color w:val="231F1F"/>
          <w:spacing w:val="-2"/>
          <w:w w:val="105"/>
        </w:rPr>
        <w:t> </w:t>
      </w:r>
      <w:r>
        <w:rPr>
          <w:color w:val="231F1F"/>
          <w:w w:val="105"/>
        </w:rPr>
        <w:t>La</w:t>
      </w:r>
      <w:r>
        <w:rPr>
          <w:color w:val="231F1F"/>
          <w:spacing w:val="-3"/>
          <w:w w:val="105"/>
        </w:rPr>
        <w:t> </w:t>
      </w:r>
      <w:r>
        <w:rPr>
          <w:color w:val="231F1F"/>
          <w:w w:val="105"/>
        </w:rPr>
        <w:t>notificación postnatal</w:t>
      </w:r>
      <w:r>
        <w:rPr>
          <w:color w:val="231F1F"/>
          <w:w w:val="105"/>
        </w:rPr>
        <w:t> del</w:t>
      </w:r>
      <w:r>
        <w:rPr>
          <w:color w:val="231F1F"/>
          <w:w w:val="105"/>
        </w:rPr>
        <w:t> dolor</w:t>
      </w:r>
      <w:r>
        <w:rPr>
          <w:color w:val="231F1F"/>
          <w:w w:val="105"/>
        </w:rPr>
        <w:t> durante</w:t>
      </w:r>
      <w:r>
        <w:rPr>
          <w:color w:val="231F1F"/>
          <w:w w:val="105"/>
        </w:rPr>
        <w:t> el</w:t>
      </w:r>
      <w:r>
        <w:rPr>
          <w:color w:val="231F1F"/>
          <w:w w:val="105"/>
        </w:rPr>
        <w:t> parto</w:t>
      </w:r>
      <w:r>
        <w:rPr>
          <w:color w:val="231F1F"/>
          <w:w w:val="105"/>
        </w:rPr>
        <w:t> y</w:t>
      </w:r>
      <w:r>
        <w:rPr>
          <w:color w:val="231F1F"/>
          <w:w w:val="105"/>
        </w:rPr>
        <w:t> la</w:t>
      </w:r>
      <w:r>
        <w:rPr>
          <w:color w:val="231F1F"/>
          <w:w w:val="105"/>
        </w:rPr>
        <w:t> experiencia</w:t>
      </w:r>
      <w:r>
        <w:rPr>
          <w:color w:val="231F1F"/>
          <w:w w:val="105"/>
        </w:rPr>
        <w:t> del</w:t>
      </w:r>
      <w:r>
        <w:rPr>
          <w:color w:val="231F1F"/>
          <w:w w:val="105"/>
        </w:rPr>
        <w:t> parto</w:t>
      </w:r>
      <w:r>
        <w:rPr>
          <w:color w:val="231F1F"/>
          <w:w w:val="105"/>
        </w:rPr>
        <w:t> no</w:t>
      </w:r>
      <w:r>
        <w:rPr>
          <w:color w:val="231F1F"/>
          <w:w w:val="105"/>
        </w:rPr>
        <w:t> diferían significativamente entre los dos grupos.</w:t>
      </w:r>
    </w:p>
    <w:p>
      <w:pPr>
        <w:pStyle w:val="BodyText"/>
        <w:spacing w:line="259" w:lineRule="auto" w:before="52"/>
        <w:ind w:left="287" w:right="41" w:firstLine="453"/>
        <w:jc w:val="both"/>
      </w:pPr>
      <w:r>
        <w:rPr>
          <w:color w:val="231F1F"/>
          <w:w w:val="110"/>
        </w:rPr>
        <w:t>NICE</w:t>
      </w:r>
      <w:r>
        <w:rPr>
          <w:color w:val="231F1F"/>
          <w:spacing w:val="-16"/>
          <w:w w:val="110"/>
        </w:rPr>
        <w:t> </w:t>
      </w:r>
      <w:r>
        <w:rPr>
          <w:color w:val="231F1F"/>
          <w:w w:val="110"/>
        </w:rPr>
        <w:t>(10)</w:t>
      </w:r>
      <w:r>
        <w:rPr>
          <w:color w:val="231F1F"/>
          <w:spacing w:val="-15"/>
          <w:w w:val="110"/>
        </w:rPr>
        <w:t> </w:t>
      </w:r>
      <w:r>
        <w:rPr>
          <w:color w:val="231F1F"/>
          <w:w w:val="110"/>
        </w:rPr>
        <w:t>concluye</w:t>
      </w:r>
      <w:r>
        <w:rPr>
          <w:color w:val="231F1F"/>
          <w:spacing w:val="-15"/>
          <w:w w:val="110"/>
        </w:rPr>
        <w:t> </w:t>
      </w:r>
      <w:r>
        <w:rPr>
          <w:color w:val="231F1F"/>
          <w:w w:val="110"/>
        </w:rPr>
        <w:t>que</w:t>
      </w:r>
      <w:r>
        <w:rPr>
          <w:color w:val="231F1F"/>
          <w:spacing w:val="-15"/>
          <w:w w:val="110"/>
        </w:rPr>
        <w:t> </w:t>
      </w:r>
      <w:r>
        <w:rPr>
          <w:color w:val="231F1F"/>
          <w:w w:val="110"/>
        </w:rPr>
        <w:t>existe</w:t>
      </w:r>
      <w:r>
        <w:rPr>
          <w:color w:val="231F1F"/>
          <w:spacing w:val="-15"/>
          <w:w w:val="110"/>
        </w:rPr>
        <w:t> </w:t>
      </w:r>
      <w:r>
        <w:rPr>
          <w:color w:val="231F1F"/>
          <w:w w:val="110"/>
        </w:rPr>
        <w:t>una</w:t>
      </w:r>
      <w:r>
        <w:rPr>
          <w:color w:val="231F1F"/>
          <w:spacing w:val="-15"/>
          <w:w w:val="110"/>
        </w:rPr>
        <w:t> </w:t>
      </w:r>
      <w:r>
        <w:rPr>
          <w:color w:val="231F1F"/>
          <w:w w:val="110"/>
        </w:rPr>
        <w:t>falta</w:t>
      </w:r>
      <w:r>
        <w:rPr>
          <w:color w:val="231F1F"/>
          <w:spacing w:val="-15"/>
          <w:w w:val="110"/>
        </w:rPr>
        <w:t> </w:t>
      </w:r>
      <w:r>
        <w:rPr>
          <w:color w:val="231F1F"/>
          <w:w w:val="110"/>
        </w:rPr>
        <w:t>de</w:t>
      </w:r>
      <w:r>
        <w:rPr>
          <w:color w:val="231F1F"/>
          <w:spacing w:val="-15"/>
          <w:w w:val="110"/>
        </w:rPr>
        <w:t> </w:t>
      </w:r>
      <w:r>
        <w:rPr>
          <w:color w:val="231F1F"/>
          <w:w w:val="110"/>
        </w:rPr>
        <w:t>evidencia</w:t>
      </w:r>
      <w:r>
        <w:rPr>
          <w:color w:val="231F1F"/>
          <w:spacing w:val="-16"/>
          <w:w w:val="110"/>
        </w:rPr>
        <w:t> </w:t>
      </w:r>
      <w:r>
        <w:rPr>
          <w:color w:val="231F1F"/>
          <w:w w:val="110"/>
        </w:rPr>
        <w:t>científica</w:t>
      </w:r>
      <w:r>
        <w:rPr>
          <w:color w:val="231F1F"/>
          <w:spacing w:val="-15"/>
          <w:w w:val="110"/>
        </w:rPr>
        <w:t> </w:t>
      </w:r>
      <w:r>
        <w:rPr>
          <w:color w:val="231F1F"/>
          <w:w w:val="110"/>
        </w:rPr>
        <w:t>sobre</w:t>
      </w:r>
      <w:r>
        <w:rPr>
          <w:color w:val="231F1F"/>
          <w:spacing w:val="-15"/>
          <w:w w:val="110"/>
        </w:rPr>
        <w:t> </w:t>
      </w:r>
      <w:r>
        <w:rPr>
          <w:color w:val="231F1F"/>
          <w:w w:val="110"/>
        </w:rPr>
        <w:t>la </w:t>
      </w:r>
      <w:r>
        <w:rPr>
          <w:color w:val="231F1F"/>
        </w:rPr>
        <w:t>efectividad de las técnicas de respiración y relajación en la reducción del dolor </w:t>
      </w:r>
      <w:r>
        <w:rPr>
          <w:color w:val="231F1F"/>
          <w:w w:val="110"/>
        </w:rPr>
        <w:t>medido</w:t>
      </w:r>
      <w:r>
        <w:rPr>
          <w:color w:val="231F1F"/>
          <w:spacing w:val="-11"/>
          <w:w w:val="110"/>
        </w:rPr>
        <w:t> </w:t>
      </w:r>
      <w:r>
        <w:rPr>
          <w:color w:val="231F1F"/>
          <w:w w:val="110"/>
        </w:rPr>
        <w:t>durante</w:t>
      </w:r>
      <w:r>
        <w:rPr>
          <w:color w:val="231F1F"/>
          <w:spacing w:val="-11"/>
          <w:w w:val="110"/>
        </w:rPr>
        <w:t> </w:t>
      </w:r>
      <w:r>
        <w:rPr>
          <w:color w:val="231F1F"/>
          <w:w w:val="110"/>
        </w:rPr>
        <w:t>el</w:t>
      </w:r>
      <w:r>
        <w:rPr>
          <w:color w:val="231F1F"/>
          <w:spacing w:val="-11"/>
          <w:w w:val="110"/>
        </w:rPr>
        <w:t> </w:t>
      </w:r>
      <w:r>
        <w:rPr>
          <w:color w:val="231F1F"/>
          <w:w w:val="110"/>
        </w:rPr>
        <w:t>parto</w:t>
      </w:r>
      <w:r>
        <w:rPr>
          <w:color w:val="231F1F"/>
          <w:spacing w:val="-11"/>
          <w:w w:val="110"/>
        </w:rPr>
        <w:t> </w:t>
      </w:r>
      <w:r>
        <w:rPr>
          <w:color w:val="231F1F"/>
          <w:w w:val="110"/>
        </w:rPr>
        <w:t>o</w:t>
      </w:r>
      <w:r>
        <w:rPr>
          <w:color w:val="231F1F"/>
          <w:spacing w:val="-11"/>
          <w:w w:val="110"/>
        </w:rPr>
        <w:t> </w:t>
      </w:r>
      <w:r>
        <w:rPr>
          <w:color w:val="231F1F"/>
          <w:w w:val="110"/>
        </w:rPr>
        <w:t>en</w:t>
      </w:r>
      <w:r>
        <w:rPr>
          <w:color w:val="231F1F"/>
          <w:spacing w:val="-11"/>
          <w:w w:val="110"/>
        </w:rPr>
        <w:t> </w:t>
      </w:r>
      <w:r>
        <w:rPr>
          <w:color w:val="231F1F"/>
          <w:w w:val="110"/>
        </w:rPr>
        <w:t>otros</w:t>
      </w:r>
      <w:r>
        <w:rPr>
          <w:color w:val="231F1F"/>
          <w:spacing w:val="-11"/>
          <w:w w:val="110"/>
        </w:rPr>
        <w:t> </w:t>
      </w:r>
      <w:r>
        <w:rPr>
          <w:color w:val="231F1F"/>
          <w:w w:val="110"/>
        </w:rPr>
        <w:t>resultados</w:t>
      </w:r>
      <w:r>
        <w:rPr>
          <w:color w:val="231F1F"/>
          <w:spacing w:val="-11"/>
          <w:w w:val="110"/>
        </w:rPr>
        <w:t> </w:t>
      </w:r>
      <w:r>
        <w:rPr>
          <w:color w:val="231F1F"/>
          <w:w w:val="110"/>
        </w:rPr>
        <w:t>clínicos</w:t>
      </w:r>
      <w:r>
        <w:rPr>
          <w:color w:val="231F1F"/>
          <w:spacing w:val="-11"/>
          <w:w w:val="110"/>
        </w:rPr>
        <w:t> </w:t>
      </w:r>
      <w:r>
        <w:rPr>
          <w:color w:val="231F1F"/>
          <w:w w:val="110"/>
        </w:rPr>
        <w:t>pero</w:t>
      </w:r>
      <w:r>
        <w:rPr>
          <w:color w:val="231F1F"/>
          <w:spacing w:val="-11"/>
          <w:w w:val="110"/>
        </w:rPr>
        <w:t> </w:t>
      </w:r>
      <w:r>
        <w:rPr>
          <w:color w:val="231F1F"/>
          <w:w w:val="110"/>
        </w:rPr>
        <w:t>recomienda</w:t>
      </w:r>
      <w:r>
        <w:rPr>
          <w:color w:val="231F1F"/>
          <w:spacing w:val="-11"/>
          <w:w w:val="110"/>
        </w:rPr>
        <w:t> </w:t>
      </w:r>
      <w:r>
        <w:rPr>
          <w:color w:val="231F1F"/>
          <w:w w:val="110"/>
        </w:rPr>
        <w:t>apo- yar a las mujeres que elijan usar técnicas de relajación y respiración.</w:t>
      </w:r>
    </w:p>
    <w:p>
      <w:pPr>
        <w:pStyle w:val="BodyText"/>
        <w:spacing w:before="136"/>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1"/>
          <w:sz w:val="24"/>
        </w:rPr>
        <w:t> </w:t>
      </w:r>
      <w:r>
        <w:rPr>
          <w:rFonts w:ascii="Arial MT" w:hAnsi="Arial MT"/>
          <w:color w:val="231F1F"/>
          <w:sz w:val="24"/>
        </w:rPr>
        <w:t>(2006</w:t>
      </w:r>
      <w:r>
        <w:rPr>
          <w:rFonts w:ascii="Arial MT" w:hAnsi="Arial MT"/>
          <w:color w:val="231F1F"/>
          <w:spacing w:val="14"/>
          <w:sz w:val="24"/>
        </w:rPr>
        <w:t> </w:t>
      </w:r>
      <w:r>
        <w:rPr>
          <w:rFonts w:ascii="Arial MT" w:hAnsi="Arial MT"/>
          <w:color w:val="231F1F"/>
          <w:sz w:val="24"/>
        </w:rPr>
        <w:t>a</w:t>
      </w:r>
      <w:r>
        <w:rPr>
          <w:rFonts w:ascii="Arial MT" w:hAnsi="Arial MT"/>
          <w:color w:val="231F1F"/>
          <w:spacing w:val="14"/>
          <w:sz w:val="24"/>
        </w:rPr>
        <w:t> </w:t>
      </w:r>
      <w:r>
        <w:rPr>
          <w:rFonts w:ascii="Arial MT" w:hAnsi="Arial MT"/>
          <w:color w:val="231F1F"/>
          <w:sz w:val="24"/>
        </w:rPr>
        <w:t>enero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3"/>
          <w:sz w:val="24"/>
        </w:rPr>
        <w:t> </w:t>
      </w:r>
      <w:r>
        <w:rPr>
          <w:rFonts w:ascii="Arial MT" w:hAnsi="Arial MT"/>
          <w:color w:val="231F1F"/>
          <w:spacing w:val="-2"/>
          <w:sz w:val="24"/>
        </w:rPr>
        <w:t>2009)</w:t>
      </w:r>
    </w:p>
    <w:p>
      <w:pPr>
        <w:pStyle w:val="BodyText"/>
        <w:spacing w:line="244" w:lineRule="auto" w:before="215"/>
        <w:ind w:left="283" w:right="45"/>
        <w:jc w:val="both"/>
      </w:pPr>
      <w:r>
        <w:rPr>
          <w:color w:val="231F1F"/>
          <w:w w:val="110"/>
        </w:rPr>
        <w:t>Se</w:t>
      </w:r>
      <w:r>
        <w:rPr>
          <w:color w:val="231F1F"/>
          <w:spacing w:val="-13"/>
          <w:w w:val="110"/>
        </w:rPr>
        <w:t> </w:t>
      </w:r>
      <w:r>
        <w:rPr>
          <w:color w:val="231F1F"/>
          <w:w w:val="110"/>
        </w:rPr>
        <w:t>han</w:t>
      </w:r>
      <w:r>
        <w:rPr>
          <w:color w:val="231F1F"/>
          <w:spacing w:val="-12"/>
          <w:w w:val="110"/>
        </w:rPr>
        <w:t> </w:t>
      </w:r>
      <w:r>
        <w:rPr>
          <w:color w:val="231F1F"/>
          <w:w w:val="110"/>
        </w:rPr>
        <w:t>encontrado</w:t>
      </w:r>
      <w:r>
        <w:rPr>
          <w:color w:val="231F1F"/>
          <w:spacing w:val="-12"/>
          <w:w w:val="110"/>
        </w:rPr>
        <w:t> </w:t>
      </w:r>
      <w:r>
        <w:rPr>
          <w:color w:val="231F1F"/>
          <w:w w:val="110"/>
        </w:rPr>
        <w:t>9</w:t>
      </w:r>
      <w:r>
        <w:rPr>
          <w:color w:val="231F1F"/>
          <w:spacing w:val="-12"/>
          <w:w w:val="110"/>
        </w:rPr>
        <w:t> </w:t>
      </w:r>
      <w:r>
        <w:rPr>
          <w:color w:val="231F1F"/>
          <w:w w:val="110"/>
        </w:rPr>
        <w:t>referencias</w:t>
      </w:r>
      <w:r>
        <w:rPr>
          <w:color w:val="231F1F"/>
          <w:spacing w:val="-13"/>
          <w:w w:val="110"/>
        </w:rPr>
        <w:t> </w:t>
      </w: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actualización,</w:t>
      </w:r>
      <w:r>
        <w:rPr>
          <w:color w:val="231F1F"/>
          <w:spacing w:val="-13"/>
          <w:w w:val="110"/>
        </w:rPr>
        <w:t> </w:t>
      </w:r>
      <w:r>
        <w:rPr>
          <w:color w:val="231F1F"/>
          <w:w w:val="110"/>
        </w:rPr>
        <w:t>de</w:t>
      </w:r>
      <w:r>
        <w:rPr>
          <w:color w:val="231F1F"/>
          <w:spacing w:val="-12"/>
          <w:w w:val="110"/>
        </w:rPr>
        <w:t> </w:t>
      </w:r>
      <w:r>
        <w:rPr>
          <w:color w:val="231F1F"/>
          <w:w w:val="110"/>
        </w:rPr>
        <w:t>las</w:t>
      </w:r>
      <w:r>
        <w:rPr>
          <w:color w:val="231F1F"/>
          <w:spacing w:val="-13"/>
          <w:w w:val="110"/>
        </w:rPr>
        <w:t> </w:t>
      </w:r>
      <w:r>
        <w:rPr>
          <w:color w:val="231F1F"/>
          <w:w w:val="110"/>
        </w:rPr>
        <w:t>que</w:t>
      </w:r>
      <w:r>
        <w:rPr>
          <w:color w:val="231F1F"/>
          <w:spacing w:val="-13"/>
          <w:w w:val="110"/>
        </w:rPr>
        <w:t> </w:t>
      </w:r>
      <w:r>
        <w:rPr>
          <w:color w:val="231F1F"/>
          <w:w w:val="110"/>
        </w:rPr>
        <w:t>sólo</w:t>
      </w:r>
      <w:r>
        <w:rPr>
          <w:color w:val="231F1F"/>
          <w:spacing w:val="-12"/>
          <w:w w:val="110"/>
        </w:rPr>
        <w:t> </w:t>
      </w:r>
      <w:r>
        <w:rPr>
          <w:color w:val="231F1F"/>
          <w:w w:val="110"/>
        </w:rPr>
        <w:t>se</w:t>
      </w:r>
      <w:r>
        <w:rPr>
          <w:color w:val="231F1F"/>
          <w:spacing w:val="-12"/>
          <w:w w:val="110"/>
        </w:rPr>
        <w:t> </w:t>
      </w:r>
      <w:r>
        <w:rPr>
          <w:color w:val="231F1F"/>
          <w:w w:val="110"/>
        </w:rPr>
        <w:t>selec- cionó una para su lectura a texto completo aunque finalmente fue excluida por no cumplir criterios de calidad.</w:t>
      </w:r>
    </w:p>
    <w:p>
      <w:pPr>
        <w:pStyle w:val="BodyText"/>
        <w:spacing w:before="133"/>
      </w:pPr>
    </w:p>
    <w:p>
      <w:pPr>
        <w:spacing w:before="1"/>
        <w:ind w:left="283" w:right="0" w:firstLine="0"/>
        <w:jc w:val="left"/>
        <w:rPr>
          <w:rFonts w:ascii="Arial MT"/>
          <w:sz w:val="24"/>
        </w:rPr>
      </w:pPr>
      <w:r>
        <w:rPr>
          <w:rFonts w:ascii="Arial MT"/>
          <w:sz w:val="24"/>
        </w:rPr>
        <mc:AlternateContent>
          <mc:Choice Requires="wps">
            <w:drawing>
              <wp:anchor distT="0" distB="0" distL="0" distR="0" allowOverlap="1" layoutInCell="1" locked="0" behindDoc="0" simplePos="0" relativeHeight="15763968">
                <wp:simplePos x="0" y="0"/>
                <wp:positionH relativeFrom="page">
                  <wp:posOffset>1082675</wp:posOffset>
                </wp:positionH>
                <wp:positionV relativeFrom="paragraph">
                  <wp:posOffset>326906</wp:posOffset>
                </wp:positionV>
                <wp:extent cx="5400040" cy="44005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5400040" cy="440055"/>
                        </a:xfrm>
                        <a:prstGeom prst="rect">
                          <a:avLst/>
                        </a:prstGeom>
                        <a:ln w="6350">
                          <a:solidFill>
                            <a:srgbClr val="A30046"/>
                          </a:solidFill>
                          <a:prstDash val="solid"/>
                        </a:ln>
                      </wps:spPr>
                      <wps:txbx>
                        <w:txbxContent>
                          <w:p>
                            <w:pPr>
                              <w:pStyle w:val="BodyText"/>
                              <w:spacing w:line="259" w:lineRule="auto" w:before="67"/>
                              <w:ind w:left="104"/>
                            </w:pPr>
                            <w:r>
                              <w:rPr>
                                <w:color w:val="231F1F"/>
                              </w:rPr>
                              <w:t>Existe</w:t>
                            </w:r>
                            <w:r>
                              <w:rPr>
                                <w:color w:val="231F1F"/>
                                <w:spacing w:val="-3"/>
                              </w:rPr>
                              <w:t> </w:t>
                            </w:r>
                            <w:r>
                              <w:rPr>
                                <w:color w:val="231F1F"/>
                              </w:rPr>
                              <w:t>una</w:t>
                            </w:r>
                            <w:r>
                              <w:rPr>
                                <w:color w:val="231F1F"/>
                                <w:spacing w:val="-3"/>
                              </w:rPr>
                              <w:t> </w:t>
                            </w:r>
                            <w:r>
                              <w:rPr>
                                <w:color w:val="231F1F"/>
                              </w:rPr>
                              <w:t>falta</w:t>
                            </w:r>
                            <w:r>
                              <w:rPr>
                                <w:color w:val="231F1F"/>
                                <w:spacing w:val="-3"/>
                              </w:rPr>
                              <w:t> </w:t>
                            </w:r>
                            <w:r>
                              <w:rPr>
                                <w:color w:val="231F1F"/>
                              </w:rPr>
                              <w:t>de</w:t>
                            </w:r>
                            <w:r>
                              <w:rPr>
                                <w:color w:val="231F1F"/>
                                <w:spacing w:val="-3"/>
                              </w:rPr>
                              <w:t> </w:t>
                            </w:r>
                            <w:r>
                              <w:rPr>
                                <w:color w:val="231F1F"/>
                              </w:rPr>
                              <w:t>evidencia</w:t>
                            </w:r>
                            <w:r>
                              <w:rPr>
                                <w:color w:val="231F1F"/>
                                <w:spacing w:val="-3"/>
                              </w:rPr>
                              <w:t> </w:t>
                            </w:r>
                            <w:r>
                              <w:rPr>
                                <w:color w:val="231F1F"/>
                              </w:rPr>
                              <w:t>científica</w:t>
                            </w:r>
                            <w:r>
                              <w:rPr>
                                <w:color w:val="231F1F"/>
                                <w:spacing w:val="-3"/>
                              </w:rPr>
                              <w:t> </w:t>
                            </w:r>
                            <w:r>
                              <w:rPr>
                                <w:color w:val="231F1F"/>
                              </w:rPr>
                              <w:t>sobre</w:t>
                            </w:r>
                            <w:r>
                              <w:rPr>
                                <w:color w:val="231F1F"/>
                                <w:spacing w:val="-3"/>
                              </w:rPr>
                              <w:t> </w:t>
                            </w:r>
                            <w:r>
                              <w:rPr>
                                <w:color w:val="231F1F"/>
                              </w:rPr>
                              <w:t>la</w:t>
                            </w:r>
                            <w:r>
                              <w:rPr>
                                <w:color w:val="231F1F"/>
                                <w:spacing w:val="-3"/>
                              </w:rPr>
                              <w:t> </w:t>
                            </w:r>
                            <w:r>
                              <w:rPr>
                                <w:color w:val="231F1F"/>
                              </w:rPr>
                              <w:t>efectividad</w:t>
                            </w:r>
                            <w:r>
                              <w:rPr>
                                <w:color w:val="231F1F"/>
                                <w:spacing w:val="-3"/>
                              </w:rPr>
                              <w:t> </w:t>
                            </w:r>
                            <w:r>
                              <w:rPr>
                                <w:color w:val="231F1F"/>
                              </w:rPr>
                              <w:t>de</w:t>
                            </w:r>
                            <w:r>
                              <w:rPr>
                                <w:color w:val="231F1F"/>
                                <w:spacing w:val="-3"/>
                              </w:rPr>
                              <w:t> </w:t>
                            </w:r>
                            <w:r>
                              <w:rPr>
                                <w:color w:val="231F1F"/>
                              </w:rPr>
                              <w:t>las</w:t>
                            </w:r>
                            <w:r>
                              <w:rPr>
                                <w:color w:val="231F1F"/>
                                <w:spacing w:val="-3"/>
                              </w:rPr>
                              <w:t> </w:t>
                            </w:r>
                            <w:r>
                              <w:rPr>
                                <w:color w:val="231F1F"/>
                              </w:rPr>
                              <w:t>técnicas</w:t>
                            </w:r>
                            <w:r>
                              <w:rPr>
                                <w:color w:val="231F1F"/>
                                <w:spacing w:val="-3"/>
                              </w:rPr>
                              <w:t> </w:t>
                            </w:r>
                            <w:r>
                              <w:rPr>
                                <w:color w:val="231F1F"/>
                              </w:rPr>
                              <w:t>de</w:t>
                            </w:r>
                            <w:r>
                              <w:rPr>
                                <w:color w:val="231F1F"/>
                                <w:spacing w:val="-3"/>
                              </w:rPr>
                              <w:t> </w:t>
                            </w:r>
                            <w:r>
                              <w:rPr>
                                <w:color w:val="231F1F"/>
                              </w:rPr>
                              <w:t>respiración</w:t>
                            </w:r>
                            <w:r>
                              <w:rPr>
                                <w:color w:val="231F1F"/>
                                <w:spacing w:val="-3"/>
                              </w:rPr>
                              <w:t> </w:t>
                            </w:r>
                            <w:r>
                              <w:rPr>
                                <w:color w:val="231F1F"/>
                              </w:rPr>
                              <w:t>y relajación</w:t>
                            </w:r>
                            <w:r>
                              <w:rPr>
                                <w:color w:val="231F1F"/>
                                <w:spacing w:val="-7"/>
                              </w:rPr>
                              <w:t> </w:t>
                            </w:r>
                            <w:r>
                              <w:rPr>
                                <w:color w:val="231F1F"/>
                              </w:rPr>
                              <w:t>en</w:t>
                            </w:r>
                            <w:r>
                              <w:rPr>
                                <w:color w:val="231F1F"/>
                                <w:spacing w:val="-5"/>
                              </w:rPr>
                              <w:t> </w:t>
                            </w:r>
                            <w:r>
                              <w:rPr>
                                <w:color w:val="231F1F"/>
                              </w:rPr>
                              <w:t>la</w:t>
                            </w:r>
                            <w:r>
                              <w:rPr>
                                <w:color w:val="231F1F"/>
                                <w:spacing w:val="-5"/>
                              </w:rPr>
                              <w:t> </w:t>
                            </w:r>
                            <w:r>
                              <w:rPr>
                                <w:color w:val="231F1F"/>
                              </w:rPr>
                              <w:t>reducción</w:t>
                            </w:r>
                            <w:r>
                              <w:rPr>
                                <w:color w:val="231F1F"/>
                                <w:spacing w:val="11"/>
                              </w:rPr>
                              <w:t> </w:t>
                            </w:r>
                            <w:r>
                              <w:rPr>
                                <w:color w:val="231F1F"/>
                              </w:rPr>
                              <w:t>del</w:t>
                            </w:r>
                            <w:r>
                              <w:rPr>
                                <w:color w:val="231F1F"/>
                                <w:spacing w:val="-5"/>
                              </w:rPr>
                              <w:t> </w:t>
                            </w:r>
                            <w:r>
                              <w:rPr>
                                <w:color w:val="231F1F"/>
                              </w:rPr>
                              <w:t>dolor</w:t>
                            </w:r>
                            <w:r>
                              <w:rPr>
                                <w:color w:val="231F1F"/>
                                <w:spacing w:val="-4"/>
                              </w:rPr>
                              <w:t> </w:t>
                            </w:r>
                            <w:r>
                              <w:rPr>
                                <w:color w:val="231F1F"/>
                              </w:rPr>
                              <w:t>medido</w:t>
                            </w:r>
                            <w:r>
                              <w:rPr>
                                <w:color w:val="231F1F"/>
                                <w:spacing w:val="-5"/>
                              </w:rPr>
                              <w:t> </w:t>
                            </w:r>
                            <w:r>
                              <w:rPr>
                                <w:color w:val="231F1F"/>
                              </w:rPr>
                              <w:t>durante</w:t>
                            </w:r>
                            <w:r>
                              <w:rPr>
                                <w:color w:val="231F1F"/>
                                <w:spacing w:val="-5"/>
                              </w:rPr>
                              <w:t> </w:t>
                            </w:r>
                            <w:r>
                              <w:rPr>
                                <w:color w:val="231F1F"/>
                              </w:rPr>
                              <w:t>el</w:t>
                            </w:r>
                            <w:r>
                              <w:rPr>
                                <w:color w:val="231F1F"/>
                                <w:spacing w:val="-5"/>
                              </w:rPr>
                              <w:t> </w:t>
                            </w:r>
                            <w:r>
                              <w:rPr>
                                <w:color w:val="231F1F"/>
                              </w:rPr>
                              <w:t>parto</w:t>
                            </w:r>
                            <w:r>
                              <w:rPr>
                                <w:color w:val="231F1F"/>
                                <w:spacing w:val="-4"/>
                              </w:rPr>
                              <w:t> </w:t>
                            </w:r>
                            <w:r>
                              <w:rPr>
                                <w:color w:val="231F1F"/>
                              </w:rPr>
                              <w:t>o</w:t>
                            </w:r>
                            <w:r>
                              <w:rPr>
                                <w:color w:val="231F1F"/>
                                <w:spacing w:val="-5"/>
                              </w:rPr>
                              <w:t> </w:t>
                            </w:r>
                            <w:r>
                              <w:rPr>
                                <w:color w:val="231F1F"/>
                              </w:rPr>
                              <w:t>en</w:t>
                            </w:r>
                            <w:r>
                              <w:rPr>
                                <w:color w:val="231F1F"/>
                                <w:spacing w:val="-5"/>
                              </w:rPr>
                              <w:t> </w:t>
                            </w:r>
                            <w:r>
                              <w:rPr>
                                <w:color w:val="231F1F"/>
                              </w:rPr>
                              <w:t>otros</w:t>
                            </w:r>
                            <w:r>
                              <w:rPr>
                                <w:color w:val="231F1F"/>
                                <w:spacing w:val="-5"/>
                              </w:rPr>
                              <w:t> </w:t>
                            </w:r>
                            <w:r>
                              <w:rPr>
                                <w:color w:val="231F1F"/>
                              </w:rPr>
                              <w:t>resultados</w:t>
                            </w:r>
                            <w:r>
                              <w:rPr>
                                <w:color w:val="231F1F"/>
                                <w:spacing w:val="9"/>
                              </w:rPr>
                              <w:t> </w:t>
                            </w:r>
                            <w:r>
                              <w:rPr>
                                <w:color w:val="231F1F"/>
                                <w:spacing w:val="-2"/>
                              </w:rPr>
                              <w:t>clínicos.</w:t>
                            </w:r>
                          </w:p>
                        </w:txbxContent>
                      </wps:txbx>
                      <wps:bodyPr wrap="square" lIns="0" tIns="0" rIns="0" bIns="0" rtlCol="0">
                        <a:noAutofit/>
                      </wps:bodyPr>
                    </wps:wsp>
                  </a:graphicData>
                </a:graphic>
              </wp:anchor>
            </w:drawing>
          </mc:Choice>
          <mc:Fallback>
            <w:pict>
              <v:shape style="position:absolute;margin-left:85.25pt;margin-top:25.740705pt;width:425.2pt;height:34.65pt;mso-position-horizontal-relative:page;mso-position-vertical-relative:paragraph;z-index:15763968" type="#_x0000_t202" id="docshape120" filled="false" stroked="true" strokeweight=".5pt" strokecolor="#a30046">
                <v:textbox inset="0,0,0,0">
                  <w:txbxContent>
                    <w:p>
                      <w:pPr>
                        <w:pStyle w:val="BodyText"/>
                        <w:spacing w:line="259" w:lineRule="auto" w:before="67"/>
                        <w:ind w:left="104"/>
                      </w:pPr>
                      <w:r>
                        <w:rPr>
                          <w:color w:val="231F1F"/>
                        </w:rPr>
                        <w:t>Existe</w:t>
                      </w:r>
                      <w:r>
                        <w:rPr>
                          <w:color w:val="231F1F"/>
                          <w:spacing w:val="-3"/>
                        </w:rPr>
                        <w:t> </w:t>
                      </w:r>
                      <w:r>
                        <w:rPr>
                          <w:color w:val="231F1F"/>
                        </w:rPr>
                        <w:t>una</w:t>
                      </w:r>
                      <w:r>
                        <w:rPr>
                          <w:color w:val="231F1F"/>
                          <w:spacing w:val="-3"/>
                        </w:rPr>
                        <w:t> </w:t>
                      </w:r>
                      <w:r>
                        <w:rPr>
                          <w:color w:val="231F1F"/>
                        </w:rPr>
                        <w:t>falta</w:t>
                      </w:r>
                      <w:r>
                        <w:rPr>
                          <w:color w:val="231F1F"/>
                          <w:spacing w:val="-3"/>
                        </w:rPr>
                        <w:t> </w:t>
                      </w:r>
                      <w:r>
                        <w:rPr>
                          <w:color w:val="231F1F"/>
                        </w:rPr>
                        <w:t>de</w:t>
                      </w:r>
                      <w:r>
                        <w:rPr>
                          <w:color w:val="231F1F"/>
                          <w:spacing w:val="-3"/>
                        </w:rPr>
                        <w:t> </w:t>
                      </w:r>
                      <w:r>
                        <w:rPr>
                          <w:color w:val="231F1F"/>
                        </w:rPr>
                        <w:t>evidencia</w:t>
                      </w:r>
                      <w:r>
                        <w:rPr>
                          <w:color w:val="231F1F"/>
                          <w:spacing w:val="-3"/>
                        </w:rPr>
                        <w:t> </w:t>
                      </w:r>
                      <w:r>
                        <w:rPr>
                          <w:color w:val="231F1F"/>
                        </w:rPr>
                        <w:t>científica</w:t>
                      </w:r>
                      <w:r>
                        <w:rPr>
                          <w:color w:val="231F1F"/>
                          <w:spacing w:val="-3"/>
                        </w:rPr>
                        <w:t> </w:t>
                      </w:r>
                      <w:r>
                        <w:rPr>
                          <w:color w:val="231F1F"/>
                        </w:rPr>
                        <w:t>sobre</w:t>
                      </w:r>
                      <w:r>
                        <w:rPr>
                          <w:color w:val="231F1F"/>
                          <w:spacing w:val="-3"/>
                        </w:rPr>
                        <w:t> </w:t>
                      </w:r>
                      <w:r>
                        <w:rPr>
                          <w:color w:val="231F1F"/>
                        </w:rPr>
                        <w:t>la</w:t>
                      </w:r>
                      <w:r>
                        <w:rPr>
                          <w:color w:val="231F1F"/>
                          <w:spacing w:val="-3"/>
                        </w:rPr>
                        <w:t> </w:t>
                      </w:r>
                      <w:r>
                        <w:rPr>
                          <w:color w:val="231F1F"/>
                        </w:rPr>
                        <w:t>efectividad</w:t>
                      </w:r>
                      <w:r>
                        <w:rPr>
                          <w:color w:val="231F1F"/>
                          <w:spacing w:val="-3"/>
                        </w:rPr>
                        <w:t> </w:t>
                      </w:r>
                      <w:r>
                        <w:rPr>
                          <w:color w:val="231F1F"/>
                        </w:rPr>
                        <w:t>de</w:t>
                      </w:r>
                      <w:r>
                        <w:rPr>
                          <w:color w:val="231F1F"/>
                          <w:spacing w:val="-3"/>
                        </w:rPr>
                        <w:t> </w:t>
                      </w:r>
                      <w:r>
                        <w:rPr>
                          <w:color w:val="231F1F"/>
                        </w:rPr>
                        <w:t>las</w:t>
                      </w:r>
                      <w:r>
                        <w:rPr>
                          <w:color w:val="231F1F"/>
                          <w:spacing w:val="-3"/>
                        </w:rPr>
                        <w:t> </w:t>
                      </w:r>
                      <w:r>
                        <w:rPr>
                          <w:color w:val="231F1F"/>
                        </w:rPr>
                        <w:t>técnicas</w:t>
                      </w:r>
                      <w:r>
                        <w:rPr>
                          <w:color w:val="231F1F"/>
                          <w:spacing w:val="-3"/>
                        </w:rPr>
                        <w:t> </w:t>
                      </w:r>
                      <w:r>
                        <w:rPr>
                          <w:color w:val="231F1F"/>
                        </w:rPr>
                        <w:t>de</w:t>
                      </w:r>
                      <w:r>
                        <w:rPr>
                          <w:color w:val="231F1F"/>
                          <w:spacing w:val="-3"/>
                        </w:rPr>
                        <w:t> </w:t>
                      </w:r>
                      <w:r>
                        <w:rPr>
                          <w:color w:val="231F1F"/>
                        </w:rPr>
                        <w:t>respiración</w:t>
                      </w:r>
                      <w:r>
                        <w:rPr>
                          <w:color w:val="231F1F"/>
                          <w:spacing w:val="-3"/>
                        </w:rPr>
                        <w:t> </w:t>
                      </w:r>
                      <w:r>
                        <w:rPr>
                          <w:color w:val="231F1F"/>
                        </w:rPr>
                        <w:t>y relajación</w:t>
                      </w:r>
                      <w:r>
                        <w:rPr>
                          <w:color w:val="231F1F"/>
                          <w:spacing w:val="-7"/>
                        </w:rPr>
                        <w:t> </w:t>
                      </w:r>
                      <w:r>
                        <w:rPr>
                          <w:color w:val="231F1F"/>
                        </w:rPr>
                        <w:t>en</w:t>
                      </w:r>
                      <w:r>
                        <w:rPr>
                          <w:color w:val="231F1F"/>
                          <w:spacing w:val="-5"/>
                        </w:rPr>
                        <w:t> </w:t>
                      </w:r>
                      <w:r>
                        <w:rPr>
                          <w:color w:val="231F1F"/>
                        </w:rPr>
                        <w:t>la</w:t>
                      </w:r>
                      <w:r>
                        <w:rPr>
                          <w:color w:val="231F1F"/>
                          <w:spacing w:val="-5"/>
                        </w:rPr>
                        <w:t> </w:t>
                      </w:r>
                      <w:r>
                        <w:rPr>
                          <w:color w:val="231F1F"/>
                        </w:rPr>
                        <w:t>reducción</w:t>
                      </w:r>
                      <w:r>
                        <w:rPr>
                          <w:color w:val="231F1F"/>
                          <w:spacing w:val="11"/>
                        </w:rPr>
                        <w:t> </w:t>
                      </w:r>
                      <w:r>
                        <w:rPr>
                          <w:color w:val="231F1F"/>
                        </w:rPr>
                        <w:t>del</w:t>
                      </w:r>
                      <w:r>
                        <w:rPr>
                          <w:color w:val="231F1F"/>
                          <w:spacing w:val="-5"/>
                        </w:rPr>
                        <w:t> </w:t>
                      </w:r>
                      <w:r>
                        <w:rPr>
                          <w:color w:val="231F1F"/>
                        </w:rPr>
                        <w:t>dolor</w:t>
                      </w:r>
                      <w:r>
                        <w:rPr>
                          <w:color w:val="231F1F"/>
                          <w:spacing w:val="-4"/>
                        </w:rPr>
                        <w:t> </w:t>
                      </w:r>
                      <w:r>
                        <w:rPr>
                          <w:color w:val="231F1F"/>
                        </w:rPr>
                        <w:t>medido</w:t>
                      </w:r>
                      <w:r>
                        <w:rPr>
                          <w:color w:val="231F1F"/>
                          <w:spacing w:val="-5"/>
                        </w:rPr>
                        <w:t> </w:t>
                      </w:r>
                      <w:r>
                        <w:rPr>
                          <w:color w:val="231F1F"/>
                        </w:rPr>
                        <w:t>durante</w:t>
                      </w:r>
                      <w:r>
                        <w:rPr>
                          <w:color w:val="231F1F"/>
                          <w:spacing w:val="-5"/>
                        </w:rPr>
                        <w:t> </w:t>
                      </w:r>
                      <w:r>
                        <w:rPr>
                          <w:color w:val="231F1F"/>
                        </w:rPr>
                        <w:t>el</w:t>
                      </w:r>
                      <w:r>
                        <w:rPr>
                          <w:color w:val="231F1F"/>
                          <w:spacing w:val="-5"/>
                        </w:rPr>
                        <w:t> </w:t>
                      </w:r>
                      <w:r>
                        <w:rPr>
                          <w:color w:val="231F1F"/>
                        </w:rPr>
                        <w:t>parto</w:t>
                      </w:r>
                      <w:r>
                        <w:rPr>
                          <w:color w:val="231F1F"/>
                          <w:spacing w:val="-4"/>
                        </w:rPr>
                        <w:t> </w:t>
                      </w:r>
                      <w:r>
                        <w:rPr>
                          <w:color w:val="231F1F"/>
                        </w:rPr>
                        <w:t>o</w:t>
                      </w:r>
                      <w:r>
                        <w:rPr>
                          <w:color w:val="231F1F"/>
                          <w:spacing w:val="-5"/>
                        </w:rPr>
                        <w:t> </w:t>
                      </w:r>
                      <w:r>
                        <w:rPr>
                          <w:color w:val="231F1F"/>
                        </w:rPr>
                        <w:t>en</w:t>
                      </w:r>
                      <w:r>
                        <w:rPr>
                          <w:color w:val="231F1F"/>
                          <w:spacing w:val="-5"/>
                        </w:rPr>
                        <w:t> </w:t>
                      </w:r>
                      <w:r>
                        <w:rPr>
                          <w:color w:val="231F1F"/>
                        </w:rPr>
                        <w:t>otros</w:t>
                      </w:r>
                      <w:r>
                        <w:rPr>
                          <w:color w:val="231F1F"/>
                          <w:spacing w:val="-5"/>
                        </w:rPr>
                        <w:t> </w:t>
                      </w:r>
                      <w:r>
                        <w:rPr>
                          <w:color w:val="231F1F"/>
                        </w:rPr>
                        <w:t>resultados</w:t>
                      </w:r>
                      <w:r>
                        <w:rPr>
                          <w:color w:val="231F1F"/>
                          <w:spacing w:val="9"/>
                        </w:rPr>
                        <w:t> </w:t>
                      </w:r>
                      <w:r>
                        <w:rPr>
                          <w:color w:val="231F1F"/>
                          <w:spacing w:val="-2"/>
                        </w:rPr>
                        <w:t>clínicos.</w:t>
                      </w:r>
                    </w:p>
                  </w:txbxContent>
                </v:textbox>
                <v:stroke dashstyle="solid"/>
                <w10:wrap type="none"/>
              </v:shape>
            </w:pict>
          </mc:Fallback>
        </mc:AlternateContent>
      </w: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rPr>
          <w:rFonts w:ascii="Arial MT"/>
          <w:sz w:val="24"/>
        </w:rPr>
      </w:pPr>
    </w:p>
    <w:p>
      <w:pPr>
        <w:pStyle w:val="BodyText"/>
        <w:rPr>
          <w:rFonts w:ascii="Arial MT"/>
          <w:sz w:val="24"/>
        </w:rPr>
      </w:pPr>
    </w:p>
    <w:p>
      <w:pPr>
        <w:pStyle w:val="BodyText"/>
        <w:rPr>
          <w:rFonts w:ascii="Arial MT"/>
          <w:sz w:val="24"/>
        </w:rPr>
      </w:pPr>
    </w:p>
    <w:p>
      <w:pPr>
        <w:pStyle w:val="BodyText"/>
        <w:spacing w:before="204"/>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2"/>
        <w:rPr>
          <w:rFonts w:ascii="Arial MT"/>
          <w:sz w:val="18"/>
        </w:rPr>
      </w:pPr>
    </w:p>
    <w:p>
      <w:pPr>
        <w:spacing w:line="278" w:lineRule="auto" w:before="0"/>
        <w:ind w:left="380" w:right="521" w:hanging="97"/>
        <w:jc w:val="left"/>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600" w:space="162"/>
            <w:col w:w="1162"/>
          </w:cols>
        </w:sectPr>
      </w:pP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0"/>
                <w:sz w:val="22"/>
              </w:rPr>
              <w:t>√</w:t>
            </w:r>
          </w:p>
        </w:tc>
        <w:tc>
          <w:tcPr>
            <w:tcW w:w="8050" w:type="dxa"/>
          </w:tcPr>
          <w:p>
            <w:pPr>
              <w:pStyle w:val="TableParagraph"/>
              <w:spacing w:line="237" w:lineRule="auto" w:before="46"/>
              <w:ind w:right="155"/>
              <w:rPr>
                <w:sz w:val="22"/>
              </w:rPr>
            </w:pPr>
            <w:r>
              <w:rPr>
                <w:color w:val="231F1F"/>
                <w:w w:val="110"/>
                <w:sz w:val="22"/>
              </w:rPr>
              <w:t>Las</w:t>
            </w:r>
            <w:r>
              <w:rPr>
                <w:color w:val="231F1F"/>
                <w:spacing w:val="-8"/>
                <w:w w:val="110"/>
                <w:sz w:val="22"/>
              </w:rPr>
              <w:t> </w:t>
            </w:r>
            <w:r>
              <w:rPr>
                <w:color w:val="231F1F"/>
                <w:w w:val="110"/>
                <w:sz w:val="22"/>
              </w:rPr>
              <w:t>mujeres</w:t>
            </w:r>
            <w:r>
              <w:rPr>
                <w:color w:val="231F1F"/>
                <w:spacing w:val="-8"/>
                <w:w w:val="110"/>
                <w:sz w:val="22"/>
              </w:rPr>
              <w:t> </w:t>
            </w:r>
            <w:r>
              <w:rPr>
                <w:color w:val="231F1F"/>
                <w:w w:val="110"/>
                <w:sz w:val="22"/>
              </w:rPr>
              <w:t>que</w:t>
            </w:r>
            <w:r>
              <w:rPr>
                <w:color w:val="231F1F"/>
                <w:spacing w:val="-8"/>
                <w:w w:val="110"/>
                <w:sz w:val="22"/>
              </w:rPr>
              <w:t> </w:t>
            </w:r>
            <w:r>
              <w:rPr>
                <w:color w:val="231F1F"/>
                <w:w w:val="110"/>
                <w:sz w:val="22"/>
              </w:rPr>
              <w:t>elijan</w:t>
            </w:r>
            <w:r>
              <w:rPr>
                <w:color w:val="231F1F"/>
                <w:spacing w:val="-8"/>
                <w:w w:val="110"/>
                <w:sz w:val="22"/>
              </w:rPr>
              <w:t> </w:t>
            </w:r>
            <w:r>
              <w:rPr>
                <w:color w:val="231F1F"/>
                <w:w w:val="110"/>
                <w:sz w:val="22"/>
              </w:rPr>
              <w:t>utilizar</w:t>
            </w:r>
            <w:r>
              <w:rPr>
                <w:color w:val="231F1F"/>
                <w:spacing w:val="-8"/>
                <w:w w:val="110"/>
                <w:sz w:val="22"/>
              </w:rPr>
              <w:t> </w:t>
            </w:r>
            <w:r>
              <w:rPr>
                <w:color w:val="231F1F"/>
                <w:w w:val="110"/>
                <w:sz w:val="22"/>
              </w:rPr>
              <w:t>técnicas</w:t>
            </w:r>
            <w:r>
              <w:rPr>
                <w:color w:val="231F1F"/>
                <w:spacing w:val="-8"/>
                <w:w w:val="110"/>
                <w:sz w:val="22"/>
              </w:rPr>
              <w:t> </w:t>
            </w:r>
            <w:r>
              <w:rPr>
                <w:color w:val="231F1F"/>
                <w:w w:val="110"/>
                <w:sz w:val="22"/>
              </w:rPr>
              <w:t>de</w:t>
            </w:r>
            <w:r>
              <w:rPr>
                <w:color w:val="231F1F"/>
                <w:spacing w:val="-8"/>
                <w:w w:val="110"/>
                <w:sz w:val="22"/>
              </w:rPr>
              <w:t> </w:t>
            </w:r>
            <w:r>
              <w:rPr>
                <w:color w:val="231F1F"/>
                <w:w w:val="110"/>
                <w:sz w:val="22"/>
              </w:rPr>
              <w:t>respiración</w:t>
            </w:r>
            <w:r>
              <w:rPr>
                <w:color w:val="231F1F"/>
                <w:spacing w:val="-8"/>
                <w:w w:val="110"/>
                <w:sz w:val="22"/>
              </w:rPr>
              <w:t> </w:t>
            </w:r>
            <w:r>
              <w:rPr>
                <w:color w:val="231F1F"/>
                <w:w w:val="110"/>
                <w:sz w:val="22"/>
              </w:rPr>
              <w:t>o</w:t>
            </w:r>
            <w:r>
              <w:rPr>
                <w:color w:val="231F1F"/>
                <w:spacing w:val="-8"/>
                <w:w w:val="110"/>
                <w:sz w:val="22"/>
              </w:rPr>
              <w:t> </w:t>
            </w:r>
            <w:r>
              <w:rPr>
                <w:color w:val="231F1F"/>
                <w:w w:val="110"/>
                <w:sz w:val="22"/>
              </w:rPr>
              <w:t>relajación</w:t>
            </w:r>
            <w:r>
              <w:rPr>
                <w:color w:val="231F1F"/>
                <w:spacing w:val="-8"/>
                <w:w w:val="110"/>
                <w:sz w:val="22"/>
              </w:rPr>
              <w:t> </w:t>
            </w:r>
            <w:r>
              <w:rPr>
                <w:color w:val="231F1F"/>
                <w:w w:val="110"/>
                <w:sz w:val="22"/>
              </w:rPr>
              <w:t>debieran</w:t>
            </w:r>
            <w:r>
              <w:rPr>
                <w:color w:val="231F1F"/>
                <w:spacing w:val="-8"/>
                <w:w w:val="110"/>
                <w:sz w:val="22"/>
              </w:rPr>
              <w:t> </w:t>
            </w:r>
            <w:r>
              <w:rPr>
                <w:color w:val="231F1F"/>
                <w:w w:val="110"/>
                <w:sz w:val="22"/>
              </w:rPr>
              <w:t>ser apoyadas en su elección.</w:t>
            </w:r>
          </w:p>
        </w:tc>
      </w:tr>
    </w:tbl>
    <w:p>
      <w:pPr>
        <w:pStyle w:val="TableParagraph"/>
        <w:spacing w:after="0" w:line="237" w:lineRule="auto"/>
        <w:rPr>
          <w:sz w:val="22"/>
        </w:rPr>
        <w:sectPr>
          <w:type w:val="continuous"/>
          <w:pgSz w:w="11900" w:h="16840"/>
          <w:pgMar w:header="0" w:footer="622" w:top="560" w:bottom="28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Inyección</w:t>
      </w:r>
      <w:r>
        <w:rPr>
          <w:color w:val="231F1F"/>
          <w:spacing w:val="47"/>
        </w:rPr>
        <w:t> </w:t>
      </w:r>
      <w:r>
        <w:rPr>
          <w:color w:val="231F1F"/>
        </w:rPr>
        <w:t>de</w:t>
      </w:r>
      <w:r>
        <w:rPr>
          <w:color w:val="231F1F"/>
          <w:spacing w:val="47"/>
        </w:rPr>
        <w:t> </w:t>
      </w:r>
      <w:r>
        <w:rPr>
          <w:color w:val="231F1F"/>
        </w:rPr>
        <w:t>agua</w:t>
      </w:r>
      <w:r>
        <w:rPr>
          <w:color w:val="231F1F"/>
          <w:spacing w:val="48"/>
        </w:rPr>
        <w:t> </w:t>
      </w:r>
      <w:r>
        <w:rPr>
          <w:color w:val="231F1F"/>
          <w:spacing w:val="-2"/>
        </w:rPr>
        <w:t>estéril</w:t>
      </w:r>
    </w:p>
    <w:p>
      <w:pPr>
        <w:pStyle w:val="BodyText"/>
        <w:spacing w:before="20"/>
        <w:rPr>
          <w:sz w:val="20"/>
        </w:rPr>
      </w:pPr>
      <w:r>
        <w:rPr>
          <w:sz w:val="20"/>
        </w:rPr>
        <mc:AlternateContent>
          <mc:Choice Requires="wps">
            <w:drawing>
              <wp:anchor distT="0" distB="0" distL="0" distR="0" allowOverlap="1" layoutInCell="1" locked="0" behindDoc="1" simplePos="0" relativeHeight="487623680">
                <wp:simplePos x="0" y="0"/>
                <wp:positionH relativeFrom="page">
                  <wp:posOffset>1082675</wp:posOffset>
                </wp:positionH>
                <wp:positionV relativeFrom="paragraph">
                  <wp:posOffset>177184</wp:posOffset>
                </wp:positionV>
                <wp:extent cx="5400040" cy="440055"/>
                <wp:effectExtent l="0" t="0" r="0" b="0"/>
                <wp:wrapTopAndBottom/>
                <wp:docPr id="132" name="Textbox 132"/>
                <wp:cNvGraphicFramePr>
                  <a:graphicFrameLocks/>
                </wp:cNvGraphicFramePr>
                <a:graphic>
                  <a:graphicData uri="http://schemas.microsoft.com/office/word/2010/wordprocessingShape">
                    <wps:wsp>
                      <wps:cNvPr id="132" name="Textbox 132"/>
                      <wps:cNvSpPr txBox="1"/>
                      <wps:spPr>
                        <a:xfrm>
                          <a:off x="0" y="0"/>
                          <a:ext cx="5400040" cy="440055"/>
                        </a:xfrm>
                        <a:prstGeom prst="rect">
                          <a:avLst/>
                        </a:prstGeom>
                        <a:ln w="6350">
                          <a:solidFill>
                            <a:srgbClr val="A30046"/>
                          </a:solidFill>
                          <a:prstDash val="solid"/>
                        </a:ln>
                      </wps:spPr>
                      <wps:txbx>
                        <w:txbxContent>
                          <w:p>
                            <w:pPr>
                              <w:pStyle w:val="BodyText"/>
                              <w:numPr>
                                <w:ilvl w:val="0"/>
                                <w:numId w:val="70"/>
                              </w:numPr>
                              <w:tabs>
                                <w:tab w:pos="323" w:val="left" w:leader="none"/>
                              </w:tabs>
                              <w:spacing w:line="254" w:lineRule="auto" w:before="65" w:after="0"/>
                              <w:ind w:left="323" w:right="353" w:hanging="219"/>
                              <w:jc w:val="left"/>
                            </w:pPr>
                            <w:r>
                              <w:rPr>
                                <w:color w:val="231F1F"/>
                              </w:rPr>
                              <w:t>¿Cuál</w:t>
                            </w:r>
                            <w:r>
                              <w:rPr>
                                <w:color w:val="231F1F"/>
                                <w:spacing w:val="19"/>
                              </w:rPr>
                              <w:t> </w:t>
                            </w:r>
                            <w:r>
                              <w:rPr>
                                <w:color w:val="231F1F"/>
                              </w:rPr>
                              <w:t>es</w:t>
                            </w:r>
                            <w:r>
                              <w:rPr>
                                <w:color w:val="231F1F"/>
                                <w:spacing w:val="20"/>
                              </w:rPr>
                              <w:t> </w:t>
                            </w:r>
                            <w:r>
                              <w:rPr>
                                <w:color w:val="231F1F"/>
                              </w:rPr>
                              <w:t>la</w:t>
                            </w:r>
                            <w:r>
                              <w:rPr>
                                <w:color w:val="231F1F"/>
                                <w:spacing w:val="20"/>
                              </w:rPr>
                              <w:t> </w:t>
                            </w:r>
                            <w:r>
                              <w:rPr>
                                <w:color w:val="231F1F"/>
                              </w:rPr>
                              <w:t>efectividad</w:t>
                            </w:r>
                            <w:r>
                              <w:rPr>
                                <w:color w:val="231F1F"/>
                                <w:spacing w:val="20"/>
                              </w:rPr>
                              <w:t> </w:t>
                            </w:r>
                            <w:r>
                              <w:rPr>
                                <w:color w:val="231F1F"/>
                              </w:rPr>
                              <w:t>de</w:t>
                            </w:r>
                            <w:r>
                              <w:rPr>
                                <w:color w:val="231F1F"/>
                                <w:spacing w:val="20"/>
                              </w:rPr>
                              <w:t> </w:t>
                            </w:r>
                            <w:r>
                              <w:rPr>
                                <w:color w:val="231F1F"/>
                              </w:rPr>
                              <w:t>la</w:t>
                            </w:r>
                            <w:r>
                              <w:rPr>
                                <w:color w:val="231F1F"/>
                                <w:spacing w:val="20"/>
                              </w:rPr>
                              <w:t> </w:t>
                            </w:r>
                            <w:r>
                              <w:rPr>
                                <w:color w:val="231F1F"/>
                              </w:rPr>
                              <w:t>inyección</w:t>
                            </w:r>
                            <w:r>
                              <w:rPr>
                                <w:color w:val="231F1F"/>
                                <w:spacing w:val="22"/>
                              </w:rPr>
                              <w:t> </w:t>
                            </w:r>
                            <w:r>
                              <w:rPr>
                                <w:color w:val="231F1F"/>
                              </w:rPr>
                              <w:t>de</w:t>
                            </w:r>
                            <w:r>
                              <w:rPr>
                                <w:color w:val="231F1F"/>
                                <w:spacing w:val="19"/>
                              </w:rPr>
                              <w:t> </w:t>
                            </w:r>
                            <w:r>
                              <w:rPr>
                                <w:color w:val="231F1F"/>
                              </w:rPr>
                              <w:t>agua</w:t>
                            </w:r>
                            <w:r>
                              <w:rPr>
                                <w:color w:val="231F1F"/>
                                <w:spacing w:val="20"/>
                              </w:rPr>
                              <w:t> </w:t>
                            </w:r>
                            <w:r>
                              <w:rPr>
                                <w:color w:val="231F1F"/>
                              </w:rPr>
                              <w:t>estéril</w:t>
                            </w:r>
                            <w:r>
                              <w:rPr>
                                <w:color w:val="231F1F"/>
                                <w:spacing w:val="20"/>
                              </w:rPr>
                              <w:t> </w:t>
                            </w:r>
                            <w:r>
                              <w:rPr>
                                <w:color w:val="231F1F"/>
                              </w:rPr>
                              <w:t>para</w:t>
                            </w:r>
                            <w:r>
                              <w:rPr>
                                <w:color w:val="231F1F"/>
                                <w:spacing w:val="20"/>
                              </w:rPr>
                              <w:t> </w:t>
                            </w:r>
                            <w:r>
                              <w:rPr>
                                <w:color w:val="231F1F"/>
                              </w:rPr>
                              <w:t>el</w:t>
                            </w:r>
                            <w:r>
                              <w:rPr>
                                <w:color w:val="231F1F"/>
                                <w:spacing w:val="20"/>
                              </w:rPr>
                              <w:t> </w:t>
                            </w:r>
                            <w:r>
                              <w:rPr>
                                <w:color w:val="231F1F"/>
                              </w:rPr>
                              <w:t>alivio</w:t>
                            </w:r>
                            <w:r>
                              <w:rPr>
                                <w:color w:val="231F1F"/>
                                <w:spacing w:val="20"/>
                              </w:rPr>
                              <w:t> </w:t>
                            </w:r>
                            <w:r>
                              <w:rPr>
                                <w:color w:val="231F1F"/>
                              </w:rPr>
                              <w:t>del</w:t>
                            </w:r>
                            <w:r>
                              <w:rPr>
                                <w:color w:val="231F1F"/>
                                <w:spacing w:val="20"/>
                              </w:rPr>
                              <w:t> </w:t>
                            </w:r>
                            <w:r>
                              <w:rPr>
                                <w:color w:val="231F1F"/>
                              </w:rPr>
                              <w:t>dolor</w:t>
                            </w:r>
                            <w:r>
                              <w:rPr>
                                <w:color w:val="231F1F"/>
                                <w:spacing w:val="19"/>
                              </w:rPr>
                              <w:t> </w:t>
                            </w:r>
                            <w:r>
                              <w:rPr>
                                <w:color w:val="231F1F"/>
                              </w:rPr>
                              <w:t>durante el parto?</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92800;mso-wrap-distance-left:0;mso-wrap-distance-right:0" type="#_x0000_t202" id="docshape121" filled="false" stroked="true" strokeweight=".5pt" strokecolor="#a30046">
                <v:textbox inset="0,0,0,0">
                  <w:txbxContent>
                    <w:p>
                      <w:pPr>
                        <w:pStyle w:val="BodyText"/>
                        <w:numPr>
                          <w:ilvl w:val="0"/>
                          <w:numId w:val="70"/>
                        </w:numPr>
                        <w:tabs>
                          <w:tab w:pos="323" w:val="left" w:leader="none"/>
                        </w:tabs>
                        <w:spacing w:line="254" w:lineRule="auto" w:before="65" w:after="0"/>
                        <w:ind w:left="323" w:right="353" w:hanging="219"/>
                        <w:jc w:val="left"/>
                      </w:pPr>
                      <w:r>
                        <w:rPr>
                          <w:color w:val="231F1F"/>
                        </w:rPr>
                        <w:t>¿Cuál</w:t>
                      </w:r>
                      <w:r>
                        <w:rPr>
                          <w:color w:val="231F1F"/>
                          <w:spacing w:val="19"/>
                        </w:rPr>
                        <w:t> </w:t>
                      </w:r>
                      <w:r>
                        <w:rPr>
                          <w:color w:val="231F1F"/>
                        </w:rPr>
                        <w:t>es</w:t>
                      </w:r>
                      <w:r>
                        <w:rPr>
                          <w:color w:val="231F1F"/>
                          <w:spacing w:val="20"/>
                        </w:rPr>
                        <w:t> </w:t>
                      </w:r>
                      <w:r>
                        <w:rPr>
                          <w:color w:val="231F1F"/>
                        </w:rPr>
                        <w:t>la</w:t>
                      </w:r>
                      <w:r>
                        <w:rPr>
                          <w:color w:val="231F1F"/>
                          <w:spacing w:val="20"/>
                        </w:rPr>
                        <w:t> </w:t>
                      </w:r>
                      <w:r>
                        <w:rPr>
                          <w:color w:val="231F1F"/>
                        </w:rPr>
                        <w:t>efectividad</w:t>
                      </w:r>
                      <w:r>
                        <w:rPr>
                          <w:color w:val="231F1F"/>
                          <w:spacing w:val="20"/>
                        </w:rPr>
                        <w:t> </w:t>
                      </w:r>
                      <w:r>
                        <w:rPr>
                          <w:color w:val="231F1F"/>
                        </w:rPr>
                        <w:t>de</w:t>
                      </w:r>
                      <w:r>
                        <w:rPr>
                          <w:color w:val="231F1F"/>
                          <w:spacing w:val="20"/>
                        </w:rPr>
                        <w:t> </w:t>
                      </w:r>
                      <w:r>
                        <w:rPr>
                          <w:color w:val="231F1F"/>
                        </w:rPr>
                        <w:t>la</w:t>
                      </w:r>
                      <w:r>
                        <w:rPr>
                          <w:color w:val="231F1F"/>
                          <w:spacing w:val="20"/>
                        </w:rPr>
                        <w:t> </w:t>
                      </w:r>
                      <w:r>
                        <w:rPr>
                          <w:color w:val="231F1F"/>
                        </w:rPr>
                        <w:t>inyección</w:t>
                      </w:r>
                      <w:r>
                        <w:rPr>
                          <w:color w:val="231F1F"/>
                          <w:spacing w:val="22"/>
                        </w:rPr>
                        <w:t> </w:t>
                      </w:r>
                      <w:r>
                        <w:rPr>
                          <w:color w:val="231F1F"/>
                        </w:rPr>
                        <w:t>de</w:t>
                      </w:r>
                      <w:r>
                        <w:rPr>
                          <w:color w:val="231F1F"/>
                          <w:spacing w:val="19"/>
                        </w:rPr>
                        <w:t> </w:t>
                      </w:r>
                      <w:r>
                        <w:rPr>
                          <w:color w:val="231F1F"/>
                        </w:rPr>
                        <w:t>agua</w:t>
                      </w:r>
                      <w:r>
                        <w:rPr>
                          <w:color w:val="231F1F"/>
                          <w:spacing w:val="20"/>
                        </w:rPr>
                        <w:t> </w:t>
                      </w:r>
                      <w:r>
                        <w:rPr>
                          <w:color w:val="231F1F"/>
                        </w:rPr>
                        <w:t>estéril</w:t>
                      </w:r>
                      <w:r>
                        <w:rPr>
                          <w:color w:val="231F1F"/>
                          <w:spacing w:val="20"/>
                        </w:rPr>
                        <w:t> </w:t>
                      </w:r>
                      <w:r>
                        <w:rPr>
                          <w:color w:val="231F1F"/>
                        </w:rPr>
                        <w:t>para</w:t>
                      </w:r>
                      <w:r>
                        <w:rPr>
                          <w:color w:val="231F1F"/>
                          <w:spacing w:val="20"/>
                        </w:rPr>
                        <w:t> </w:t>
                      </w:r>
                      <w:r>
                        <w:rPr>
                          <w:color w:val="231F1F"/>
                        </w:rPr>
                        <w:t>el</w:t>
                      </w:r>
                      <w:r>
                        <w:rPr>
                          <w:color w:val="231F1F"/>
                          <w:spacing w:val="20"/>
                        </w:rPr>
                        <w:t> </w:t>
                      </w:r>
                      <w:r>
                        <w:rPr>
                          <w:color w:val="231F1F"/>
                        </w:rPr>
                        <w:t>alivio</w:t>
                      </w:r>
                      <w:r>
                        <w:rPr>
                          <w:color w:val="231F1F"/>
                          <w:spacing w:val="20"/>
                        </w:rPr>
                        <w:t> </w:t>
                      </w:r>
                      <w:r>
                        <w:rPr>
                          <w:color w:val="231F1F"/>
                        </w:rPr>
                        <w:t>del</w:t>
                      </w:r>
                      <w:r>
                        <w:rPr>
                          <w:color w:val="231F1F"/>
                          <w:spacing w:val="20"/>
                        </w:rPr>
                        <w:t> </w:t>
                      </w:r>
                      <w:r>
                        <w:rPr>
                          <w:color w:val="231F1F"/>
                        </w:rPr>
                        <w:t>dolor</w:t>
                      </w:r>
                      <w:r>
                        <w:rPr>
                          <w:color w:val="231F1F"/>
                          <w:spacing w:val="19"/>
                        </w:rPr>
                        <w:t> </w:t>
                      </w:r>
                      <w:r>
                        <w:rPr>
                          <w:color w:val="231F1F"/>
                        </w:rPr>
                        <w:t>durante el parto?</w:t>
                      </w:r>
                    </w:p>
                  </w:txbxContent>
                </v:textbox>
                <v:stroke dashstyle="solid"/>
                <w10:wrap type="topAndBottom"/>
              </v:shape>
            </w:pict>
          </mc:Fallback>
        </mc:AlternateContent>
      </w:r>
    </w:p>
    <w:p>
      <w:pPr>
        <w:pStyle w:val="BodyText"/>
        <w:spacing w:line="244" w:lineRule="auto" w:before="323"/>
        <w:ind w:left="282" w:right="125"/>
        <w:jc w:val="both"/>
      </w:pPr>
      <w:r>
        <w:rPr>
          <w:color w:val="231F1F"/>
          <w:w w:val="110"/>
        </w:rPr>
        <w:t>El</w:t>
      </w:r>
      <w:r>
        <w:rPr>
          <w:color w:val="231F1F"/>
          <w:spacing w:val="-1"/>
          <w:w w:val="110"/>
        </w:rPr>
        <w:t> </w:t>
      </w:r>
      <w:r>
        <w:rPr>
          <w:color w:val="231F1F"/>
          <w:w w:val="110"/>
        </w:rPr>
        <w:t>método de la inyección de agua estéril</w:t>
      </w:r>
      <w:r>
        <w:rPr>
          <w:color w:val="231F1F"/>
          <w:spacing w:val="-1"/>
          <w:w w:val="110"/>
        </w:rPr>
        <w:t> </w:t>
      </w:r>
      <w:r>
        <w:rPr>
          <w:color w:val="231F1F"/>
          <w:w w:val="110"/>
        </w:rPr>
        <w:t>fue utilizado como anestésico local</w:t>
      </w:r>
      <w:r>
        <w:rPr>
          <w:color w:val="231F1F"/>
          <w:spacing w:val="-1"/>
          <w:w w:val="110"/>
        </w:rPr>
        <w:t> </w:t>
      </w:r>
      <w:r>
        <w:rPr>
          <w:color w:val="231F1F"/>
          <w:w w:val="110"/>
        </w:rPr>
        <w:t>en cirugía menor</w:t>
      </w:r>
      <w:r>
        <w:rPr>
          <w:color w:val="231F1F"/>
          <w:spacing w:val="-7"/>
          <w:w w:val="110"/>
        </w:rPr>
        <w:t> </w:t>
      </w:r>
      <w:r>
        <w:rPr>
          <w:color w:val="231F1F"/>
          <w:w w:val="110"/>
        </w:rPr>
        <w:t>a</w:t>
      </w:r>
      <w:r>
        <w:rPr>
          <w:color w:val="231F1F"/>
          <w:spacing w:val="-7"/>
          <w:w w:val="110"/>
        </w:rPr>
        <w:t> </w:t>
      </w:r>
      <w:r>
        <w:rPr>
          <w:color w:val="231F1F"/>
          <w:w w:val="110"/>
        </w:rPr>
        <w:t>finales</w:t>
      </w:r>
      <w:r>
        <w:rPr>
          <w:color w:val="231F1F"/>
          <w:spacing w:val="-7"/>
          <w:w w:val="110"/>
        </w:rPr>
        <w:t> </w:t>
      </w:r>
      <w:r>
        <w:rPr>
          <w:color w:val="231F1F"/>
          <w:w w:val="110"/>
        </w:rPr>
        <w:t>del</w:t>
      </w:r>
      <w:r>
        <w:rPr>
          <w:color w:val="231F1F"/>
          <w:spacing w:val="-8"/>
          <w:w w:val="110"/>
        </w:rPr>
        <w:t> </w:t>
      </w:r>
      <w:r>
        <w:rPr>
          <w:color w:val="231F1F"/>
          <w:w w:val="110"/>
        </w:rPr>
        <w:t>siglo</w:t>
      </w:r>
      <w:r>
        <w:rPr>
          <w:color w:val="231F1F"/>
          <w:spacing w:val="-7"/>
          <w:w w:val="110"/>
        </w:rPr>
        <w:t> </w:t>
      </w:r>
      <w:r>
        <w:rPr>
          <w:color w:val="231F1F"/>
          <w:w w:val="110"/>
        </w:rPr>
        <w:t>XIX,</w:t>
      </w:r>
      <w:r>
        <w:rPr>
          <w:color w:val="231F1F"/>
          <w:spacing w:val="-8"/>
          <w:w w:val="110"/>
        </w:rPr>
        <w:t> </w:t>
      </w:r>
      <w:r>
        <w:rPr>
          <w:color w:val="231F1F"/>
          <w:w w:val="110"/>
        </w:rPr>
        <w:t>empezándose</w:t>
      </w:r>
      <w:r>
        <w:rPr>
          <w:color w:val="231F1F"/>
          <w:spacing w:val="-6"/>
          <w:w w:val="110"/>
        </w:rPr>
        <w:t> </w:t>
      </w:r>
      <w:r>
        <w:rPr>
          <w:color w:val="231F1F"/>
          <w:w w:val="110"/>
        </w:rPr>
        <w:t>a</w:t>
      </w:r>
      <w:r>
        <w:rPr>
          <w:color w:val="231F1F"/>
          <w:spacing w:val="-7"/>
          <w:w w:val="110"/>
        </w:rPr>
        <w:t> </w:t>
      </w:r>
      <w:r>
        <w:rPr>
          <w:color w:val="231F1F"/>
          <w:w w:val="110"/>
        </w:rPr>
        <w:t>utilizar</w:t>
      </w:r>
      <w:r>
        <w:rPr>
          <w:color w:val="231F1F"/>
          <w:spacing w:val="-7"/>
          <w:w w:val="110"/>
        </w:rPr>
        <w:t> </w:t>
      </w:r>
      <w:r>
        <w:rPr>
          <w:color w:val="231F1F"/>
          <w:w w:val="110"/>
        </w:rPr>
        <w:t>en</w:t>
      </w:r>
      <w:r>
        <w:rPr>
          <w:color w:val="231F1F"/>
          <w:spacing w:val="-7"/>
          <w:w w:val="110"/>
        </w:rPr>
        <w:t> </w:t>
      </w:r>
      <w:r>
        <w:rPr>
          <w:color w:val="231F1F"/>
          <w:w w:val="110"/>
        </w:rPr>
        <w:t>obstetricia</w:t>
      </w:r>
      <w:r>
        <w:rPr>
          <w:color w:val="231F1F"/>
          <w:spacing w:val="-7"/>
          <w:w w:val="110"/>
        </w:rPr>
        <w:t> </w:t>
      </w:r>
      <w:r>
        <w:rPr>
          <w:color w:val="231F1F"/>
          <w:w w:val="110"/>
        </w:rPr>
        <w:t>a</w:t>
      </w:r>
      <w:r>
        <w:rPr>
          <w:color w:val="231F1F"/>
          <w:spacing w:val="-7"/>
          <w:w w:val="110"/>
        </w:rPr>
        <w:t> </w:t>
      </w:r>
      <w:r>
        <w:rPr>
          <w:color w:val="231F1F"/>
          <w:w w:val="110"/>
        </w:rPr>
        <w:t>finales</w:t>
      </w:r>
      <w:r>
        <w:rPr>
          <w:color w:val="231F1F"/>
          <w:spacing w:val="-7"/>
          <w:w w:val="110"/>
        </w:rPr>
        <w:t> </w:t>
      </w:r>
      <w:r>
        <w:rPr>
          <w:color w:val="231F1F"/>
          <w:w w:val="110"/>
        </w:rPr>
        <w:t>de</w:t>
      </w:r>
      <w:r>
        <w:rPr>
          <w:color w:val="231F1F"/>
          <w:spacing w:val="-7"/>
          <w:w w:val="110"/>
        </w:rPr>
        <w:t> </w:t>
      </w:r>
      <w:r>
        <w:rPr>
          <w:color w:val="231F1F"/>
          <w:w w:val="110"/>
        </w:rPr>
        <w:t>los</w:t>
      </w:r>
      <w:r>
        <w:rPr>
          <w:color w:val="231F1F"/>
          <w:spacing w:val="-7"/>
          <w:w w:val="110"/>
        </w:rPr>
        <w:t> </w:t>
      </w:r>
      <w:r>
        <w:rPr>
          <w:color w:val="231F1F"/>
          <w:w w:val="110"/>
        </w:rPr>
        <w:t>años veinte (289).</w:t>
      </w:r>
    </w:p>
    <w:p>
      <w:pPr>
        <w:pStyle w:val="BodyText"/>
        <w:spacing w:line="244" w:lineRule="auto" w:before="142"/>
        <w:ind w:left="282" w:right="125" w:firstLine="453"/>
        <w:jc w:val="both"/>
      </w:pPr>
      <w:r>
        <w:rPr>
          <w:color w:val="231F1F"/>
          <w:w w:val="110"/>
        </w:rPr>
        <w:t>Aproximadamente</w:t>
      </w:r>
      <w:r>
        <w:rPr>
          <w:color w:val="231F1F"/>
          <w:spacing w:val="-8"/>
          <w:w w:val="110"/>
        </w:rPr>
        <w:t> </w:t>
      </w:r>
      <w:r>
        <w:rPr>
          <w:color w:val="231F1F"/>
          <w:w w:val="110"/>
        </w:rPr>
        <w:t>un</w:t>
      </w:r>
      <w:r>
        <w:rPr>
          <w:color w:val="231F1F"/>
          <w:spacing w:val="-8"/>
          <w:w w:val="110"/>
        </w:rPr>
        <w:t> </w:t>
      </w:r>
      <w:r>
        <w:rPr>
          <w:color w:val="231F1F"/>
          <w:w w:val="110"/>
        </w:rPr>
        <w:t>30%</w:t>
      </w:r>
      <w:r>
        <w:rPr>
          <w:color w:val="231F1F"/>
          <w:spacing w:val="-8"/>
          <w:w w:val="110"/>
        </w:rPr>
        <w:t> </w:t>
      </w:r>
      <w:r>
        <w:rPr>
          <w:color w:val="231F1F"/>
          <w:w w:val="110"/>
        </w:rPr>
        <w:t>de</w:t>
      </w:r>
      <w:r>
        <w:rPr>
          <w:color w:val="231F1F"/>
          <w:spacing w:val="-8"/>
          <w:w w:val="110"/>
        </w:rPr>
        <w:t> </w:t>
      </w:r>
      <w:r>
        <w:rPr>
          <w:color w:val="231F1F"/>
          <w:w w:val="110"/>
        </w:rPr>
        <w:t>las</w:t>
      </w:r>
      <w:r>
        <w:rPr>
          <w:color w:val="231F1F"/>
          <w:spacing w:val="-9"/>
          <w:w w:val="110"/>
        </w:rPr>
        <w:t> </w:t>
      </w:r>
      <w:r>
        <w:rPr>
          <w:color w:val="231F1F"/>
          <w:w w:val="110"/>
        </w:rPr>
        <w:t>mujeres</w:t>
      </w:r>
      <w:r>
        <w:rPr>
          <w:color w:val="231F1F"/>
          <w:spacing w:val="-8"/>
          <w:w w:val="110"/>
        </w:rPr>
        <w:t> </w:t>
      </w:r>
      <w:r>
        <w:rPr>
          <w:color w:val="231F1F"/>
          <w:w w:val="110"/>
        </w:rPr>
        <w:t>sufre</w:t>
      </w:r>
      <w:r>
        <w:rPr>
          <w:color w:val="231F1F"/>
          <w:spacing w:val="-9"/>
          <w:w w:val="110"/>
        </w:rPr>
        <w:t> </w:t>
      </w:r>
      <w:r>
        <w:rPr>
          <w:color w:val="231F1F"/>
          <w:w w:val="110"/>
        </w:rPr>
        <w:t>dolor</w:t>
      </w:r>
      <w:r>
        <w:rPr>
          <w:color w:val="231F1F"/>
          <w:spacing w:val="-8"/>
          <w:w w:val="110"/>
        </w:rPr>
        <w:t> </w:t>
      </w:r>
      <w:r>
        <w:rPr>
          <w:color w:val="231F1F"/>
          <w:w w:val="110"/>
        </w:rPr>
        <w:t>lumbar</w:t>
      </w:r>
      <w:r>
        <w:rPr>
          <w:color w:val="231F1F"/>
          <w:spacing w:val="-9"/>
          <w:w w:val="110"/>
        </w:rPr>
        <w:t> </w:t>
      </w:r>
      <w:r>
        <w:rPr>
          <w:color w:val="231F1F"/>
          <w:w w:val="110"/>
        </w:rPr>
        <w:t>de</w:t>
      </w:r>
      <w:r>
        <w:rPr>
          <w:color w:val="231F1F"/>
          <w:spacing w:val="-8"/>
          <w:w w:val="110"/>
        </w:rPr>
        <w:t> </w:t>
      </w:r>
      <w:r>
        <w:rPr>
          <w:color w:val="231F1F"/>
          <w:w w:val="110"/>
        </w:rPr>
        <w:t>forma</w:t>
      </w:r>
      <w:r>
        <w:rPr>
          <w:color w:val="231F1F"/>
          <w:spacing w:val="-9"/>
          <w:w w:val="110"/>
        </w:rPr>
        <w:t> </w:t>
      </w:r>
      <w:r>
        <w:rPr>
          <w:color w:val="231F1F"/>
          <w:w w:val="110"/>
        </w:rPr>
        <w:t>continua</w:t>
      </w:r>
      <w:r>
        <w:rPr>
          <w:color w:val="231F1F"/>
          <w:spacing w:val="-8"/>
          <w:w w:val="110"/>
        </w:rPr>
        <w:t> </w:t>
      </w:r>
      <w:r>
        <w:rPr>
          <w:color w:val="231F1F"/>
          <w:w w:val="110"/>
        </w:rPr>
        <w:t>du- rante</w:t>
      </w:r>
      <w:r>
        <w:rPr>
          <w:color w:val="231F1F"/>
          <w:spacing w:val="-13"/>
          <w:w w:val="110"/>
        </w:rPr>
        <w:t> </w:t>
      </w:r>
      <w:r>
        <w:rPr>
          <w:color w:val="231F1F"/>
          <w:w w:val="110"/>
        </w:rPr>
        <w:t>el</w:t>
      </w:r>
      <w:r>
        <w:rPr>
          <w:color w:val="231F1F"/>
          <w:spacing w:val="-14"/>
          <w:w w:val="110"/>
        </w:rPr>
        <w:t> </w:t>
      </w:r>
      <w:r>
        <w:rPr>
          <w:color w:val="231F1F"/>
          <w:w w:val="110"/>
        </w:rPr>
        <w:t>parto.</w:t>
      </w:r>
      <w:r>
        <w:rPr>
          <w:color w:val="231F1F"/>
          <w:spacing w:val="-14"/>
          <w:w w:val="110"/>
        </w:rPr>
        <w:t> </w:t>
      </w:r>
      <w:r>
        <w:rPr>
          <w:color w:val="231F1F"/>
          <w:w w:val="110"/>
        </w:rPr>
        <w:t>Este</w:t>
      </w:r>
      <w:r>
        <w:rPr>
          <w:color w:val="231F1F"/>
          <w:spacing w:val="-13"/>
          <w:w w:val="110"/>
        </w:rPr>
        <w:t> </w:t>
      </w:r>
      <w:r>
        <w:rPr>
          <w:color w:val="231F1F"/>
          <w:w w:val="110"/>
        </w:rPr>
        <w:t>dolor</w:t>
      </w:r>
      <w:r>
        <w:rPr>
          <w:color w:val="231F1F"/>
          <w:spacing w:val="-14"/>
          <w:w w:val="110"/>
        </w:rPr>
        <w:t> </w:t>
      </w:r>
      <w:r>
        <w:rPr>
          <w:color w:val="231F1F"/>
          <w:w w:val="110"/>
        </w:rPr>
        <w:t>probablemente</w:t>
      </w:r>
      <w:r>
        <w:rPr>
          <w:color w:val="231F1F"/>
          <w:spacing w:val="-14"/>
          <w:w w:val="110"/>
        </w:rPr>
        <w:t> </w:t>
      </w:r>
      <w:r>
        <w:rPr>
          <w:color w:val="231F1F"/>
          <w:w w:val="110"/>
        </w:rPr>
        <w:t>sea</w:t>
      </w:r>
      <w:r>
        <w:rPr>
          <w:color w:val="231F1F"/>
          <w:spacing w:val="-14"/>
          <w:w w:val="110"/>
        </w:rPr>
        <w:t> </w:t>
      </w:r>
      <w:r>
        <w:rPr>
          <w:color w:val="231F1F"/>
          <w:w w:val="110"/>
        </w:rPr>
        <w:t>debido</w:t>
      </w:r>
      <w:r>
        <w:rPr>
          <w:color w:val="231F1F"/>
          <w:spacing w:val="-13"/>
          <w:w w:val="110"/>
        </w:rPr>
        <w:t> </w:t>
      </w:r>
      <w:r>
        <w:rPr>
          <w:color w:val="231F1F"/>
          <w:w w:val="110"/>
        </w:rPr>
        <w:t>a</w:t>
      </w:r>
      <w:r>
        <w:rPr>
          <w:color w:val="231F1F"/>
          <w:spacing w:val="-13"/>
          <w:w w:val="110"/>
        </w:rPr>
        <w:t> </w:t>
      </w:r>
      <w:r>
        <w:rPr>
          <w:color w:val="231F1F"/>
          <w:w w:val="110"/>
        </w:rPr>
        <w:t>la</w:t>
      </w:r>
      <w:r>
        <w:rPr>
          <w:color w:val="231F1F"/>
          <w:spacing w:val="-13"/>
          <w:w w:val="110"/>
        </w:rPr>
        <w:t> </w:t>
      </w:r>
      <w:r>
        <w:rPr>
          <w:color w:val="231F1F"/>
          <w:w w:val="110"/>
        </w:rPr>
        <w:t>presión</w:t>
      </w:r>
      <w:r>
        <w:rPr>
          <w:color w:val="231F1F"/>
          <w:spacing w:val="-13"/>
          <w:w w:val="110"/>
        </w:rPr>
        <w:t> </w:t>
      </w:r>
      <w:r>
        <w:rPr>
          <w:color w:val="231F1F"/>
          <w:w w:val="110"/>
        </w:rPr>
        <w:t>del</w:t>
      </w:r>
      <w:r>
        <w:rPr>
          <w:color w:val="231F1F"/>
          <w:spacing w:val="-14"/>
          <w:w w:val="110"/>
        </w:rPr>
        <w:t> </w:t>
      </w:r>
      <w:r>
        <w:rPr>
          <w:color w:val="231F1F"/>
          <w:w w:val="110"/>
        </w:rPr>
        <w:t>feto</w:t>
      </w:r>
      <w:r>
        <w:rPr>
          <w:color w:val="231F1F"/>
          <w:spacing w:val="-13"/>
          <w:w w:val="110"/>
        </w:rPr>
        <w:t> </w:t>
      </w:r>
      <w:r>
        <w:rPr>
          <w:color w:val="231F1F"/>
          <w:w w:val="110"/>
        </w:rPr>
        <w:t>en</w:t>
      </w:r>
      <w:r>
        <w:rPr>
          <w:color w:val="231F1F"/>
          <w:spacing w:val="-13"/>
          <w:w w:val="110"/>
        </w:rPr>
        <w:t> </w:t>
      </w:r>
      <w:r>
        <w:rPr>
          <w:color w:val="231F1F"/>
          <w:w w:val="110"/>
        </w:rPr>
        <w:t>las</w:t>
      </w:r>
      <w:r>
        <w:rPr>
          <w:color w:val="231F1F"/>
          <w:spacing w:val="-14"/>
          <w:w w:val="110"/>
        </w:rPr>
        <w:t> </w:t>
      </w:r>
      <w:r>
        <w:rPr>
          <w:color w:val="231F1F"/>
          <w:w w:val="110"/>
        </w:rPr>
        <w:t>estructuras pélvicas sensibles al dolor (290).</w:t>
      </w:r>
    </w:p>
    <w:p>
      <w:pPr>
        <w:pStyle w:val="BodyText"/>
        <w:spacing w:line="249" w:lineRule="auto" w:before="152"/>
        <w:ind w:left="281" w:right="122" w:firstLine="453"/>
        <w:jc w:val="both"/>
      </w:pPr>
      <w:r>
        <w:rPr>
          <w:color w:val="231F1F"/>
          <w:w w:val="105"/>
        </w:rPr>
        <w:t>La inyección de agua estéril se ha descrito como un método muy sencillo y barato para aliviar</w:t>
      </w:r>
      <w:r>
        <w:rPr>
          <w:color w:val="231F1F"/>
          <w:w w:val="105"/>
        </w:rPr>
        <w:t> este</w:t>
      </w:r>
      <w:r>
        <w:rPr>
          <w:color w:val="231F1F"/>
          <w:w w:val="105"/>
        </w:rPr>
        <w:t> tipo</w:t>
      </w:r>
      <w:r>
        <w:rPr>
          <w:color w:val="231F1F"/>
          <w:w w:val="105"/>
        </w:rPr>
        <w:t> de</w:t>
      </w:r>
      <w:r>
        <w:rPr>
          <w:color w:val="231F1F"/>
          <w:w w:val="105"/>
        </w:rPr>
        <w:t> dolor</w:t>
      </w:r>
      <w:r>
        <w:rPr>
          <w:color w:val="231F1F"/>
          <w:w w:val="105"/>
        </w:rPr>
        <w:t> lumbar.</w:t>
      </w:r>
      <w:r>
        <w:rPr>
          <w:color w:val="231F1F"/>
          <w:w w:val="105"/>
        </w:rPr>
        <w:t> La</w:t>
      </w:r>
      <w:r>
        <w:rPr>
          <w:color w:val="231F1F"/>
          <w:w w:val="105"/>
        </w:rPr>
        <w:t> utilización</w:t>
      </w:r>
      <w:r>
        <w:rPr>
          <w:color w:val="231F1F"/>
          <w:w w:val="105"/>
        </w:rPr>
        <w:t> de</w:t>
      </w:r>
      <w:r>
        <w:rPr>
          <w:color w:val="231F1F"/>
          <w:w w:val="105"/>
        </w:rPr>
        <w:t> este</w:t>
      </w:r>
      <w:r>
        <w:rPr>
          <w:color w:val="231F1F"/>
          <w:w w:val="105"/>
        </w:rPr>
        <w:t> método</w:t>
      </w:r>
      <w:r>
        <w:rPr>
          <w:color w:val="231F1F"/>
          <w:w w:val="105"/>
        </w:rPr>
        <w:t> analgésico</w:t>
      </w:r>
      <w:r>
        <w:rPr>
          <w:color w:val="231F1F"/>
          <w:w w:val="105"/>
        </w:rPr>
        <w:t> no</w:t>
      </w:r>
      <w:r>
        <w:rPr>
          <w:color w:val="231F1F"/>
          <w:w w:val="105"/>
        </w:rPr>
        <w:t> está</w:t>
      </w:r>
      <w:r>
        <w:rPr>
          <w:color w:val="231F1F"/>
          <w:w w:val="105"/>
        </w:rPr>
        <w:t> exten- dida</w:t>
      </w:r>
      <w:r>
        <w:rPr>
          <w:color w:val="231F1F"/>
          <w:spacing w:val="-2"/>
          <w:w w:val="105"/>
        </w:rPr>
        <w:t> </w:t>
      </w:r>
      <w:r>
        <w:rPr>
          <w:color w:val="231F1F"/>
          <w:w w:val="105"/>
        </w:rPr>
        <w:t>en</w:t>
      </w:r>
      <w:r>
        <w:rPr>
          <w:color w:val="231F1F"/>
          <w:spacing w:val="-2"/>
          <w:w w:val="105"/>
        </w:rPr>
        <w:t> </w:t>
      </w:r>
      <w:r>
        <w:rPr>
          <w:color w:val="231F1F"/>
          <w:w w:val="105"/>
        </w:rPr>
        <w:t>nuestro</w:t>
      </w:r>
      <w:r>
        <w:rPr>
          <w:color w:val="231F1F"/>
          <w:spacing w:val="-2"/>
          <w:w w:val="105"/>
        </w:rPr>
        <w:t> </w:t>
      </w:r>
      <w:r>
        <w:rPr>
          <w:color w:val="231F1F"/>
          <w:w w:val="105"/>
        </w:rPr>
        <w:t>ámbito</w:t>
      </w:r>
      <w:r>
        <w:rPr>
          <w:color w:val="231F1F"/>
          <w:spacing w:val="-2"/>
          <w:w w:val="105"/>
        </w:rPr>
        <w:t> </w:t>
      </w:r>
      <w:r>
        <w:rPr>
          <w:color w:val="231F1F"/>
          <w:w w:val="105"/>
        </w:rPr>
        <w:t>y</w:t>
      </w:r>
      <w:r>
        <w:rPr>
          <w:color w:val="231F1F"/>
          <w:spacing w:val="-2"/>
          <w:w w:val="105"/>
        </w:rPr>
        <w:t> </w:t>
      </w:r>
      <w:r>
        <w:rPr>
          <w:color w:val="231F1F"/>
          <w:w w:val="105"/>
        </w:rPr>
        <w:t>una</w:t>
      </w:r>
      <w:r>
        <w:rPr>
          <w:color w:val="231F1F"/>
          <w:spacing w:val="-2"/>
          <w:w w:val="105"/>
        </w:rPr>
        <w:t> </w:t>
      </w:r>
      <w:r>
        <w:rPr>
          <w:color w:val="231F1F"/>
          <w:w w:val="105"/>
        </w:rPr>
        <w:t>de</w:t>
      </w:r>
      <w:r>
        <w:rPr>
          <w:color w:val="231F1F"/>
          <w:spacing w:val="-2"/>
          <w:w w:val="105"/>
        </w:rPr>
        <w:t> </w:t>
      </w:r>
      <w:r>
        <w:rPr>
          <w:color w:val="231F1F"/>
          <w:w w:val="105"/>
        </w:rPr>
        <w:t>sus</w:t>
      </w:r>
      <w:r>
        <w:rPr>
          <w:color w:val="231F1F"/>
          <w:spacing w:val="-2"/>
          <w:w w:val="105"/>
        </w:rPr>
        <w:t> </w:t>
      </w:r>
      <w:r>
        <w:rPr>
          <w:color w:val="231F1F"/>
          <w:w w:val="105"/>
        </w:rPr>
        <w:t>mayores</w:t>
      </w:r>
      <w:r>
        <w:rPr>
          <w:color w:val="231F1F"/>
          <w:spacing w:val="-2"/>
          <w:w w:val="105"/>
        </w:rPr>
        <w:t> </w:t>
      </w:r>
      <w:r>
        <w:rPr>
          <w:color w:val="231F1F"/>
          <w:w w:val="105"/>
        </w:rPr>
        <w:t>desventajas</w:t>
      </w:r>
      <w:r>
        <w:rPr>
          <w:color w:val="231F1F"/>
          <w:spacing w:val="-3"/>
          <w:w w:val="105"/>
        </w:rPr>
        <w:t> </w:t>
      </w:r>
      <w:r>
        <w:rPr>
          <w:color w:val="231F1F"/>
          <w:w w:val="105"/>
        </w:rPr>
        <w:t>es</w:t>
      </w:r>
      <w:r>
        <w:rPr>
          <w:color w:val="231F1F"/>
          <w:spacing w:val="-2"/>
          <w:w w:val="105"/>
        </w:rPr>
        <w:t> </w:t>
      </w:r>
      <w:r>
        <w:rPr>
          <w:color w:val="231F1F"/>
          <w:w w:val="105"/>
        </w:rPr>
        <w:t>el</w:t>
      </w:r>
      <w:r>
        <w:rPr>
          <w:color w:val="231F1F"/>
          <w:spacing w:val="-2"/>
          <w:w w:val="105"/>
        </w:rPr>
        <w:t> </w:t>
      </w:r>
      <w:r>
        <w:rPr>
          <w:color w:val="231F1F"/>
          <w:w w:val="105"/>
        </w:rPr>
        <w:t>intenso</w:t>
      </w:r>
      <w:r>
        <w:rPr>
          <w:color w:val="231F1F"/>
          <w:spacing w:val="-2"/>
          <w:w w:val="105"/>
        </w:rPr>
        <w:t> </w:t>
      </w:r>
      <w:r>
        <w:rPr>
          <w:color w:val="231F1F"/>
          <w:w w:val="105"/>
        </w:rPr>
        <w:t>escozor</w:t>
      </w:r>
      <w:r>
        <w:rPr>
          <w:color w:val="231F1F"/>
          <w:spacing w:val="-2"/>
          <w:w w:val="105"/>
        </w:rPr>
        <w:t> </w:t>
      </w:r>
      <w:r>
        <w:rPr>
          <w:color w:val="231F1F"/>
          <w:w w:val="105"/>
        </w:rPr>
        <w:t>que</w:t>
      </w:r>
      <w:r>
        <w:rPr>
          <w:color w:val="231F1F"/>
          <w:spacing w:val="-2"/>
          <w:w w:val="105"/>
        </w:rPr>
        <w:t> </w:t>
      </w:r>
      <w:r>
        <w:rPr>
          <w:color w:val="231F1F"/>
          <w:w w:val="105"/>
        </w:rPr>
        <w:t>notifican las</w:t>
      </w:r>
      <w:r>
        <w:rPr>
          <w:color w:val="231F1F"/>
          <w:spacing w:val="40"/>
          <w:w w:val="105"/>
        </w:rPr>
        <w:t> </w:t>
      </w:r>
      <w:r>
        <w:rPr>
          <w:color w:val="231F1F"/>
          <w:w w:val="105"/>
        </w:rPr>
        <w:t>mujeres</w:t>
      </w:r>
      <w:r>
        <w:rPr>
          <w:color w:val="231F1F"/>
          <w:spacing w:val="40"/>
          <w:w w:val="105"/>
        </w:rPr>
        <w:t> </w:t>
      </w:r>
      <w:r>
        <w:rPr>
          <w:color w:val="231F1F"/>
          <w:w w:val="105"/>
        </w:rPr>
        <w:t>durante</w:t>
      </w:r>
      <w:r>
        <w:rPr>
          <w:color w:val="231F1F"/>
          <w:spacing w:val="40"/>
          <w:w w:val="105"/>
        </w:rPr>
        <w:t> </w:t>
      </w:r>
      <w:r>
        <w:rPr>
          <w:color w:val="231F1F"/>
          <w:w w:val="105"/>
        </w:rPr>
        <w:t>la</w:t>
      </w:r>
      <w:r>
        <w:rPr>
          <w:color w:val="231F1F"/>
          <w:spacing w:val="40"/>
          <w:w w:val="105"/>
        </w:rPr>
        <w:t> </w:t>
      </w:r>
      <w:r>
        <w:rPr>
          <w:color w:val="231F1F"/>
          <w:w w:val="105"/>
        </w:rPr>
        <w:t>administración</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inyección</w:t>
      </w:r>
      <w:r>
        <w:rPr>
          <w:color w:val="231F1F"/>
          <w:spacing w:val="40"/>
          <w:w w:val="105"/>
        </w:rPr>
        <w:t> </w:t>
      </w:r>
      <w:r>
        <w:rPr>
          <w:color w:val="231F1F"/>
          <w:w w:val="105"/>
        </w:rPr>
        <w:t>intradérmica.</w:t>
      </w:r>
    </w:p>
    <w:p>
      <w:pPr>
        <w:pStyle w:val="BodyText"/>
        <w:spacing w:before="84"/>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209"/>
        <w:ind w:left="287"/>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identificó</w:t>
      </w:r>
      <w:r>
        <w:rPr>
          <w:color w:val="231F1F"/>
          <w:w w:val="105"/>
        </w:rPr>
        <w:t> dos</w:t>
      </w:r>
      <w:r>
        <w:rPr>
          <w:color w:val="231F1F"/>
          <w:w w:val="105"/>
        </w:rPr>
        <w:t> RS</w:t>
      </w:r>
      <w:r>
        <w:rPr>
          <w:color w:val="231F1F"/>
          <w:w w:val="105"/>
        </w:rPr>
        <w:t> (47;285)</w:t>
      </w:r>
      <w:r>
        <w:rPr>
          <w:color w:val="231F1F"/>
          <w:w w:val="105"/>
        </w:rPr>
        <w:t> con</w:t>
      </w:r>
      <w:r>
        <w:rPr>
          <w:color w:val="231F1F"/>
          <w:w w:val="105"/>
        </w:rPr>
        <w:t> NE=1+,</w:t>
      </w:r>
      <w:r>
        <w:rPr>
          <w:color w:val="231F1F"/>
          <w:w w:val="105"/>
        </w:rPr>
        <w:t> que</w:t>
      </w:r>
      <w:r>
        <w:rPr>
          <w:color w:val="231F1F"/>
          <w:w w:val="105"/>
        </w:rPr>
        <w:t> incluían</w:t>
      </w:r>
      <w:r>
        <w:rPr>
          <w:color w:val="231F1F"/>
          <w:w w:val="105"/>
        </w:rPr>
        <w:t> los mismos cuatro ECAs, que examinaban la efectividad de la inyección cutánea de agua destilada en el dolor lumbar.</w:t>
      </w:r>
    </w:p>
    <w:p>
      <w:pPr>
        <w:pStyle w:val="BodyText"/>
        <w:spacing w:line="244" w:lineRule="auto" w:before="161"/>
        <w:ind w:left="288" w:firstLine="453"/>
        <w:jc w:val="both"/>
      </w:pPr>
      <w:r>
        <w:rPr>
          <w:color w:val="231F1F"/>
          <w:w w:val="110"/>
        </w:rPr>
        <w:t>Los cuatro ensayos fueron de buena calidad. Incluyeron a mujeres en trabajo</w:t>
      </w:r>
      <w:r>
        <w:rPr>
          <w:color w:val="231F1F"/>
          <w:w w:val="110"/>
        </w:rPr>
        <w:t> de</w:t>
      </w:r>
      <w:r>
        <w:rPr>
          <w:color w:val="231F1F"/>
          <w:w w:val="110"/>
        </w:rPr>
        <w:t> parto</w:t>
      </w:r>
      <w:r>
        <w:rPr>
          <w:color w:val="231F1F"/>
          <w:w w:val="110"/>
        </w:rPr>
        <w:t> que</w:t>
      </w:r>
      <w:r>
        <w:rPr>
          <w:color w:val="231F1F"/>
          <w:w w:val="110"/>
        </w:rPr>
        <w:t> notificaban</w:t>
      </w:r>
      <w:r>
        <w:rPr>
          <w:color w:val="231F1F"/>
          <w:w w:val="110"/>
        </w:rPr>
        <w:t> dolor</w:t>
      </w:r>
      <w:r>
        <w:rPr>
          <w:color w:val="231F1F"/>
          <w:w w:val="110"/>
        </w:rPr>
        <w:t> lumbar</w:t>
      </w:r>
      <w:r>
        <w:rPr>
          <w:color w:val="231F1F"/>
          <w:w w:val="110"/>
        </w:rPr>
        <w:t> o</w:t>
      </w:r>
      <w:r>
        <w:rPr>
          <w:color w:val="231F1F"/>
          <w:w w:val="110"/>
        </w:rPr>
        <w:t> dolor</w:t>
      </w:r>
      <w:r>
        <w:rPr>
          <w:color w:val="231F1F"/>
          <w:w w:val="110"/>
        </w:rPr>
        <w:t> lumbar</w:t>
      </w:r>
      <w:r>
        <w:rPr>
          <w:color w:val="231F1F"/>
          <w:w w:val="110"/>
        </w:rPr>
        <w:t> severo.</w:t>
      </w:r>
      <w:r>
        <w:rPr>
          <w:color w:val="231F1F"/>
          <w:w w:val="110"/>
        </w:rPr>
        <w:t> La heterogeneidad entre los ensayos no permitió la síntesis de los datos.</w:t>
      </w:r>
    </w:p>
    <w:p>
      <w:pPr>
        <w:pStyle w:val="BodyText"/>
        <w:spacing w:line="254" w:lineRule="auto" w:before="138"/>
        <w:ind w:left="287" w:firstLine="453"/>
        <w:jc w:val="both"/>
      </w:pPr>
      <w:r>
        <w:rPr>
          <w:color w:val="231F1F"/>
          <w:w w:val="105"/>
        </w:rPr>
        <w:t>En</w:t>
      </w:r>
      <w:r>
        <w:rPr>
          <w:color w:val="231F1F"/>
          <w:spacing w:val="-4"/>
          <w:w w:val="105"/>
        </w:rPr>
        <w:t> </w:t>
      </w:r>
      <w:r>
        <w:rPr>
          <w:color w:val="231F1F"/>
          <w:w w:val="105"/>
        </w:rPr>
        <w:t>los</w:t>
      </w:r>
      <w:r>
        <w:rPr>
          <w:color w:val="231F1F"/>
          <w:spacing w:val="-4"/>
          <w:w w:val="105"/>
        </w:rPr>
        <w:t> </w:t>
      </w:r>
      <w:r>
        <w:rPr>
          <w:color w:val="231F1F"/>
          <w:w w:val="105"/>
        </w:rPr>
        <w:t>cuatro</w:t>
      </w:r>
      <w:r>
        <w:rPr>
          <w:color w:val="231F1F"/>
          <w:spacing w:val="-4"/>
          <w:w w:val="105"/>
        </w:rPr>
        <w:t> </w:t>
      </w:r>
      <w:r>
        <w:rPr>
          <w:color w:val="231F1F"/>
          <w:w w:val="105"/>
        </w:rPr>
        <w:t>ensayos,</w:t>
      </w:r>
      <w:r>
        <w:rPr>
          <w:color w:val="231F1F"/>
          <w:spacing w:val="-4"/>
          <w:w w:val="105"/>
        </w:rPr>
        <w:t> </w:t>
      </w:r>
      <w:r>
        <w:rPr>
          <w:color w:val="231F1F"/>
          <w:w w:val="105"/>
        </w:rPr>
        <w:t>el</w:t>
      </w:r>
      <w:r>
        <w:rPr>
          <w:color w:val="231F1F"/>
          <w:spacing w:val="-4"/>
          <w:w w:val="105"/>
        </w:rPr>
        <w:t> </w:t>
      </w:r>
      <w:r>
        <w:rPr>
          <w:color w:val="231F1F"/>
          <w:w w:val="105"/>
        </w:rPr>
        <w:t>dolor</w:t>
      </w:r>
      <w:r>
        <w:rPr>
          <w:color w:val="231F1F"/>
          <w:spacing w:val="-4"/>
          <w:w w:val="105"/>
        </w:rPr>
        <w:t> </w:t>
      </w:r>
      <w:r>
        <w:rPr>
          <w:color w:val="231F1F"/>
          <w:w w:val="105"/>
        </w:rPr>
        <w:t>lumbar,</w:t>
      </w:r>
      <w:r>
        <w:rPr>
          <w:color w:val="231F1F"/>
          <w:spacing w:val="-4"/>
          <w:w w:val="105"/>
        </w:rPr>
        <w:t> </w:t>
      </w:r>
      <w:r>
        <w:rPr>
          <w:color w:val="231F1F"/>
          <w:w w:val="105"/>
        </w:rPr>
        <w:t>medido</w:t>
      </w:r>
      <w:r>
        <w:rPr>
          <w:color w:val="231F1F"/>
          <w:spacing w:val="-4"/>
          <w:w w:val="105"/>
        </w:rPr>
        <w:t> </w:t>
      </w:r>
      <w:r>
        <w:rPr>
          <w:color w:val="231F1F"/>
          <w:w w:val="105"/>
        </w:rPr>
        <w:t>mediante</w:t>
      </w:r>
      <w:r>
        <w:rPr>
          <w:color w:val="231F1F"/>
          <w:spacing w:val="-4"/>
          <w:w w:val="105"/>
        </w:rPr>
        <w:t> </w:t>
      </w:r>
      <w:r>
        <w:rPr>
          <w:color w:val="231F1F"/>
          <w:w w:val="105"/>
        </w:rPr>
        <w:t>la</w:t>
      </w:r>
      <w:r>
        <w:rPr>
          <w:color w:val="231F1F"/>
          <w:spacing w:val="-4"/>
          <w:w w:val="105"/>
        </w:rPr>
        <w:t> </w:t>
      </w:r>
      <w:r>
        <w:rPr>
          <w:color w:val="231F1F"/>
          <w:w w:val="105"/>
        </w:rPr>
        <w:t>Escala</w:t>
      </w:r>
      <w:r>
        <w:rPr>
          <w:color w:val="231F1F"/>
          <w:spacing w:val="-4"/>
          <w:w w:val="105"/>
        </w:rPr>
        <w:t> </w:t>
      </w:r>
      <w:r>
        <w:rPr>
          <w:color w:val="231F1F"/>
          <w:w w:val="105"/>
        </w:rPr>
        <w:t>Visual Analógica (VAS), se redujo significativamente durante 45 a 90 minutos tras</w:t>
      </w:r>
      <w:r>
        <w:rPr>
          <w:color w:val="231F1F"/>
          <w:spacing w:val="80"/>
          <w:w w:val="105"/>
        </w:rPr>
        <w:t> </w:t>
      </w:r>
      <w:r>
        <w:rPr>
          <w:color w:val="231F1F"/>
          <w:w w:val="105"/>
        </w:rPr>
        <w:t>la</w:t>
      </w:r>
      <w:r>
        <w:rPr>
          <w:color w:val="231F1F"/>
          <w:spacing w:val="-5"/>
          <w:w w:val="105"/>
        </w:rPr>
        <w:t> </w:t>
      </w:r>
      <w:r>
        <w:rPr>
          <w:color w:val="231F1F"/>
          <w:w w:val="105"/>
        </w:rPr>
        <w:t>inyección</w:t>
      </w:r>
      <w:r>
        <w:rPr>
          <w:color w:val="231F1F"/>
          <w:spacing w:val="-5"/>
          <w:w w:val="105"/>
        </w:rPr>
        <w:t> </w:t>
      </w:r>
      <w:r>
        <w:rPr>
          <w:color w:val="231F1F"/>
          <w:w w:val="105"/>
        </w:rPr>
        <w:t>intradérmica</w:t>
      </w:r>
      <w:r>
        <w:rPr>
          <w:color w:val="231F1F"/>
          <w:spacing w:val="-5"/>
          <w:w w:val="105"/>
        </w:rPr>
        <w:t> </w:t>
      </w:r>
      <w:r>
        <w:rPr>
          <w:color w:val="231F1F"/>
          <w:w w:val="105"/>
        </w:rPr>
        <w:t>de</w:t>
      </w:r>
      <w:r>
        <w:rPr>
          <w:color w:val="231F1F"/>
          <w:spacing w:val="-5"/>
          <w:w w:val="105"/>
        </w:rPr>
        <w:t> </w:t>
      </w:r>
      <w:r>
        <w:rPr>
          <w:color w:val="231F1F"/>
          <w:w w:val="105"/>
        </w:rPr>
        <w:t>agua</w:t>
      </w:r>
      <w:r>
        <w:rPr>
          <w:color w:val="231F1F"/>
          <w:spacing w:val="-5"/>
          <w:w w:val="105"/>
        </w:rPr>
        <w:t> </w:t>
      </w:r>
      <w:r>
        <w:rPr>
          <w:color w:val="231F1F"/>
          <w:w w:val="105"/>
        </w:rPr>
        <w:t>estéril,</w:t>
      </w:r>
      <w:r>
        <w:rPr>
          <w:color w:val="231F1F"/>
          <w:spacing w:val="-4"/>
          <w:w w:val="105"/>
        </w:rPr>
        <w:t> </w:t>
      </w:r>
      <w:r>
        <w:rPr>
          <w:color w:val="231F1F"/>
          <w:w w:val="105"/>
        </w:rPr>
        <w:t>y</w:t>
      </w:r>
      <w:r>
        <w:rPr>
          <w:color w:val="231F1F"/>
          <w:spacing w:val="-5"/>
          <w:w w:val="105"/>
        </w:rPr>
        <w:t> </w:t>
      </w:r>
      <w:r>
        <w:rPr>
          <w:color w:val="231F1F"/>
          <w:w w:val="105"/>
        </w:rPr>
        <w:t>sin</w:t>
      </w:r>
      <w:r>
        <w:rPr>
          <w:color w:val="231F1F"/>
          <w:spacing w:val="-5"/>
          <w:w w:val="105"/>
        </w:rPr>
        <w:t> </w:t>
      </w:r>
      <w:r>
        <w:rPr>
          <w:color w:val="231F1F"/>
          <w:w w:val="105"/>
        </w:rPr>
        <w:t>embargo,</w:t>
      </w:r>
      <w:r>
        <w:rPr>
          <w:color w:val="231F1F"/>
          <w:spacing w:val="-5"/>
          <w:w w:val="105"/>
        </w:rPr>
        <w:t> </w:t>
      </w:r>
      <w:r>
        <w:rPr>
          <w:color w:val="231F1F"/>
          <w:w w:val="105"/>
        </w:rPr>
        <w:t>en</w:t>
      </w:r>
      <w:r>
        <w:rPr>
          <w:color w:val="231F1F"/>
          <w:spacing w:val="-5"/>
          <w:w w:val="105"/>
        </w:rPr>
        <w:t> </w:t>
      </w:r>
      <w:r>
        <w:rPr>
          <w:color w:val="231F1F"/>
          <w:w w:val="105"/>
        </w:rPr>
        <w:t>tres</w:t>
      </w:r>
      <w:r>
        <w:rPr>
          <w:color w:val="231F1F"/>
          <w:spacing w:val="-5"/>
          <w:w w:val="105"/>
        </w:rPr>
        <w:t> </w:t>
      </w:r>
      <w:r>
        <w:rPr>
          <w:color w:val="231F1F"/>
          <w:w w:val="105"/>
        </w:rPr>
        <w:t>de</w:t>
      </w:r>
      <w:r>
        <w:rPr>
          <w:color w:val="231F1F"/>
          <w:spacing w:val="-5"/>
          <w:w w:val="105"/>
        </w:rPr>
        <w:t> </w:t>
      </w:r>
      <w:r>
        <w:rPr>
          <w:color w:val="231F1F"/>
          <w:w w:val="105"/>
        </w:rPr>
        <w:t>los</w:t>
      </w:r>
      <w:r>
        <w:rPr>
          <w:color w:val="231F1F"/>
          <w:spacing w:val="-5"/>
          <w:w w:val="105"/>
        </w:rPr>
        <w:t> </w:t>
      </w:r>
      <w:r>
        <w:rPr>
          <w:color w:val="231F1F"/>
          <w:w w:val="105"/>
        </w:rPr>
        <w:t>ensayos no hubo diferencias significativas en el uso posterior de analgesia y en que las mujeres</w:t>
      </w:r>
      <w:r>
        <w:rPr>
          <w:color w:val="231F1F"/>
          <w:w w:val="105"/>
        </w:rPr>
        <w:t> que</w:t>
      </w:r>
      <w:r>
        <w:rPr>
          <w:color w:val="231F1F"/>
          <w:w w:val="105"/>
        </w:rPr>
        <w:t> recibieron</w:t>
      </w:r>
      <w:r>
        <w:rPr>
          <w:color w:val="231F1F"/>
          <w:w w:val="105"/>
        </w:rPr>
        <w:t> inyección</w:t>
      </w:r>
      <w:r>
        <w:rPr>
          <w:color w:val="231F1F"/>
          <w:w w:val="105"/>
        </w:rPr>
        <w:t> cutánea</w:t>
      </w:r>
      <w:r>
        <w:rPr>
          <w:color w:val="231F1F"/>
          <w:w w:val="105"/>
        </w:rPr>
        <w:t> de</w:t>
      </w:r>
      <w:r>
        <w:rPr>
          <w:color w:val="231F1F"/>
          <w:w w:val="105"/>
        </w:rPr>
        <w:t> agua</w:t>
      </w:r>
      <w:r>
        <w:rPr>
          <w:color w:val="231F1F"/>
          <w:w w:val="105"/>
        </w:rPr>
        <w:t> dijeran</w:t>
      </w:r>
      <w:r>
        <w:rPr>
          <w:color w:val="231F1F"/>
          <w:w w:val="105"/>
        </w:rPr>
        <w:t> que</w:t>
      </w:r>
      <w:r>
        <w:rPr>
          <w:color w:val="231F1F"/>
          <w:w w:val="105"/>
        </w:rPr>
        <w:t> volverían</w:t>
      </w:r>
      <w:r>
        <w:rPr>
          <w:color w:val="231F1F"/>
          <w:w w:val="105"/>
        </w:rPr>
        <w:t> a elegir la misma opción en un futuro parto.</w:t>
      </w:r>
    </w:p>
    <w:p>
      <w:pPr>
        <w:pStyle w:val="BodyText"/>
        <w:spacing w:line="244" w:lineRule="auto" w:before="62"/>
        <w:ind w:left="288" w:right="1" w:firstLine="453"/>
        <w:jc w:val="both"/>
      </w:pPr>
      <w:r>
        <w:rPr>
          <w:color w:val="231F1F"/>
          <w:w w:val="110"/>
        </w:rPr>
        <w:t>En el cuarto estudio, el uso posterior de la analgesia fue mayor en el grupo</w:t>
      </w:r>
      <w:r>
        <w:rPr>
          <w:color w:val="231F1F"/>
          <w:spacing w:val="-16"/>
          <w:w w:val="110"/>
        </w:rPr>
        <w:t> </w:t>
      </w:r>
      <w:r>
        <w:rPr>
          <w:color w:val="231F1F"/>
          <w:w w:val="110"/>
        </w:rPr>
        <w:t>experimental</w:t>
      </w:r>
      <w:r>
        <w:rPr>
          <w:color w:val="231F1F"/>
          <w:spacing w:val="-15"/>
          <w:w w:val="110"/>
        </w:rPr>
        <w:t> </w:t>
      </w:r>
      <w:r>
        <w:rPr>
          <w:color w:val="231F1F"/>
          <w:w w:val="110"/>
        </w:rPr>
        <w:t>que</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5"/>
          <w:w w:val="110"/>
        </w:rPr>
        <w:t> </w:t>
      </w:r>
      <w:r>
        <w:rPr>
          <w:color w:val="231F1F"/>
          <w:w w:val="110"/>
        </w:rPr>
        <w:t>control</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6"/>
          <w:w w:val="110"/>
        </w:rPr>
        <w:t> </w:t>
      </w:r>
      <w:r>
        <w:rPr>
          <w:color w:val="231F1F"/>
          <w:w w:val="110"/>
        </w:rPr>
        <w:t>que</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recibieron masaje,</w:t>
      </w:r>
      <w:r>
        <w:rPr>
          <w:color w:val="231F1F"/>
          <w:spacing w:val="-13"/>
          <w:w w:val="110"/>
        </w:rPr>
        <w:t> </w:t>
      </w:r>
      <w:r>
        <w:rPr>
          <w:color w:val="231F1F"/>
          <w:w w:val="110"/>
        </w:rPr>
        <w:t>baño</w:t>
      </w:r>
      <w:r>
        <w:rPr>
          <w:color w:val="231F1F"/>
          <w:spacing w:val="-13"/>
          <w:w w:val="110"/>
        </w:rPr>
        <w:t> </w:t>
      </w:r>
      <w:r>
        <w:rPr>
          <w:color w:val="231F1F"/>
          <w:w w:val="110"/>
        </w:rPr>
        <w:t>y</w:t>
      </w:r>
      <w:r>
        <w:rPr>
          <w:color w:val="231F1F"/>
          <w:spacing w:val="-13"/>
          <w:w w:val="110"/>
        </w:rPr>
        <w:t> </w:t>
      </w:r>
      <w:r>
        <w:rPr>
          <w:color w:val="231F1F"/>
          <w:w w:val="110"/>
        </w:rPr>
        <w:t>fueron</w:t>
      </w:r>
      <w:r>
        <w:rPr>
          <w:color w:val="231F1F"/>
          <w:spacing w:val="-13"/>
          <w:w w:val="110"/>
        </w:rPr>
        <w:t> </w:t>
      </w:r>
      <w:r>
        <w:rPr>
          <w:color w:val="231F1F"/>
          <w:w w:val="110"/>
        </w:rPr>
        <w:t>alentadas</w:t>
      </w:r>
      <w:r>
        <w:rPr>
          <w:color w:val="231F1F"/>
          <w:spacing w:val="-13"/>
          <w:w w:val="110"/>
        </w:rPr>
        <w:t> </w:t>
      </w:r>
      <w:r>
        <w:rPr>
          <w:color w:val="231F1F"/>
          <w:w w:val="110"/>
        </w:rPr>
        <w:t>a</w:t>
      </w:r>
      <w:r>
        <w:rPr>
          <w:color w:val="231F1F"/>
          <w:spacing w:val="-13"/>
          <w:w w:val="110"/>
        </w:rPr>
        <w:t> </w:t>
      </w:r>
      <w:r>
        <w:rPr>
          <w:color w:val="231F1F"/>
          <w:w w:val="110"/>
        </w:rPr>
        <w:t>movilizarse).</w:t>
      </w:r>
      <w:r>
        <w:rPr>
          <w:color w:val="231F1F"/>
          <w:spacing w:val="-13"/>
          <w:w w:val="110"/>
        </w:rPr>
        <w:t> </w:t>
      </w:r>
      <w:r>
        <w:rPr>
          <w:color w:val="231F1F"/>
          <w:w w:val="110"/>
        </w:rPr>
        <w:t>En</w:t>
      </w:r>
      <w:r>
        <w:rPr>
          <w:color w:val="231F1F"/>
          <w:spacing w:val="-13"/>
          <w:w w:val="110"/>
        </w:rPr>
        <w:t> </w:t>
      </w:r>
      <w:r>
        <w:rPr>
          <w:color w:val="231F1F"/>
          <w:w w:val="110"/>
        </w:rPr>
        <w:t>este</w:t>
      </w:r>
      <w:r>
        <w:rPr>
          <w:color w:val="231F1F"/>
          <w:spacing w:val="-13"/>
          <w:w w:val="110"/>
        </w:rPr>
        <w:t> </w:t>
      </w:r>
      <w:r>
        <w:rPr>
          <w:color w:val="231F1F"/>
          <w:w w:val="110"/>
        </w:rPr>
        <w:t>ensayo</w:t>
      </w:r>
      <w:r>
        <w:rPr>
          <w:color w:val="231F1F"/>
          <w:spacing w:val="-12"/>
          <w:w w:val="110"/>
        </w:rPr>
        <w:t> </w:t>
      </w:r>
      <w:r>
        <w:rPr>
          <w:color w:val="231F1F"/>
          <w:w w:val="110"/>
        </w:rPr>
        <w:t>fue</w:t>
      </w:r>
      <w:r>
        <w:rPr>
          <w:color w:val="231F1F"/>
          <w:spacing w:val="-13"/>
          <w:w w:val="110"/>
        </w:rPr>
        <w:t> </w:t>
      </w:r>
      <w:r>
        <w:rPr>
          <w:color w:val="231F1F"/>
          <w:w w:val="110"/>
        </w:rPr>
        <w:t>más</w:t>
      </w:r>
      <w:r>
        <w:rPr>
          <w:color w:val="231F1F"/>
          <w:spacing w:val="-13"/>
          <w:w w:val="110"/>
        </w:rPr>
        <w:t> </w:t>
      </w:r>
      <w:r>
        <w:rPr>
          <w:color w:val="231F1F"/>
          <w:w w:val="110"/>
        </w:rPr>
        <w:t>pro- bable que las mujeres del grupo control, en comparación con las del grupo experimental,</w:t>
      </w:r>
      <w:r>
        <w:rPr>
          <w:color w:val="231F1F"/>
          <w:spacing w:val="-16"/>
          <w:w w:val="110"/>
        </w:rPr>
        <w:t> </w:t>
      </w:r>
      <w:r>
        <w:rPr>
          <w:color w:val="231F1F"/>
          <w:w w:val="110"/>
        </w:rPr>
        <w:t>dijeran</w:t>
      </w:r>
      <w:r>
        <w:rPr>
          <w:color w:val="231F1F"/>
          <w:spacing w:val="-15"/>
          <w:w w:val="110"/>
        </w:rPr>
        <w:t> </w:t>
      </w:r>
      <w:r>
        <w:rPr>
          <w:color w:val="231F1F"/>
          <w:w w:val="110"/>
        </w:rPr>
        <w:t>que</w:t>
      </w:r>
      <w:r>
        <w:rPr>
          <w:color w:val="231F1F"/>
          <w:spacing w:val="-15"/>
          <w:w w:val="110"/>
        </w:rPr>
        <w:t> </w:t>
      </w:r>
      <w:r>
        <w:rPr>
          <w:color w:val="231F1F"/>
          <w:w w:val="110"/>
        </w:rPr>
        <w:t>utilizarían</w:t>
      </w:r>
      <w:r>
        <w:rPr>
          <w:color w:val="231F1F"/>
          <w:spacing w:val="-15"/>
          <w:w w:val="110"/>
        </w:rPr>
        <w:t> </w:t>
      </w:r>
      <w:r>
        <w:rPr>
          <w:color w:val="231F1F"/>
          <w:w w:val="110"/>
        </w:rPr>
        <w:t>la</w:t>
      </w:r>
      <w:r>
        <w:rPr>
          <w:color w:val="231F1F"/>
          <w:spacing w:val="-15"/>
          <w:w w:val="110"/>
        </w:rPr>
        <w:t> </w:t>
      </w:r>
      <w:r>
        <w:rPr>
          <w:color w:val="231F1F"/>
          <w:w w:val="110"/>
        </w:rPr>
        <w:t>misma</w:t>
      </w:r>
      <w:r>
        <w:rPr>
          <w:color w:val="231F1F"/>
          <w:spacing w:val="-15"/>
          <w:w w:val="110"/>
        </w:rPr>
        <w:t> </w:t>
      </w:r>
      <w:r>
        <w:rPr>
          <w:color w:val="231F1F"/>
          <w:w w:val="110"/>
        </w:rPr>
        <w:t>opción</w:t>
      </w:r>
      <w:r>
        <w:rPr>
          <w:color w:val="231F1F"/>
          <w:spacing w:val="-15"/>
          <w:w w:val="110"/>
        </w:rPr>
        <w:t> </w:t>
      </w:r>
      <w:r>
        <w:rPr>
          <w:color w:val="231F1F"/>
          <w:w w:val="110"/>
        </w:rPr>
        <w:t>para</w:t>
      </w:r>
      <w:r>
        <w:rPr>
          <w:color w:val="231F1F"/>
          <w:spacing w:val="-15"/>
          <w:w w:val="110"/>
        </w:rPr>
        <w:t> </w:t>
      </w:r>
      <w:r>
        <w:rPr>
          <w:color w:val="231F1F"/>
          <w:w w:val="110"/>
        </w:rPr>
        <w:t>el</w:t>
      </w:r>
      <w:r>
        <w:rPr>
          <w:color w:val="231F1F"/>
          <w:spacing w:val="-16"/>
          <w:w w:val="110"/>
        </w:rPr>
        <w:t> </w:t>
      </w:r>
      <w:r>
        <w:rPr>
          <w:color w:val="231F1F"/>
          <w:w w:val="110"/>
        </w:rPr>
        <w:t>alivio</w:t>
      </w:r>
      <w:r>
        <w:rPr>
          <w:color w:val="231F1F"/>
          <w:spacing w:val="-15"/>
          <w:w w:val="110"/>
        </w:rPr>
        <w:t> </w:t>
      </w:r>
      <w:r>
        <w:rPr>
          <w:color w:val="231F1F"/>
          <w:w w:val="110"/>
        </w:rPr>
        <w:t>del</w:t>
      </w:r>
      <w:r>
        <w:rPr>
          <w:color w:val="231F1F"/>
          <w:spacing w:val="-15"/>
          <w:w w:val="110"/>
        </w:rPr>
        <w:t> </w:t>
      </w:r>
      <w:r>
        <w:rPr>
          <w:color w:val="231F1F"/>
          <w:w w:val="110"/>
        </w:rPr>
        <w:t>dolor en un parto posterior.</w:t>
      </w:r>
    </w:p>
    <w:p>
      <w:pPr>
        <w:pStyle w:val="BodyText"/>
        <w:spacing w:line="254" w:lineRule="auto" w:before="199"/>
        <w:ind w:left="288" w:firstLine="453"/>
        <w:jc w:val="both"/>
      </w:pPr>
      <w:r>
        <w:rPr>
          <w:color w:val="231F1F"/>
          <w:w w:val="110"/>
        </w:rPr>
        <w:t>Una</w:t>
      </w:r>
      <w:r>
        <w:rPr>
          <w:color w:val="231F1F"/>
          <w:spacing w:val="-16"/>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mayores</w:t>
      </w:r>
      <w:r>
        <w:rPr>
          <w:color w:val="231F1F"/>
          <w:spacing w:val="-15"/>
          <w:w w:val="110"/>
        </w:rPr>
        <w:t> </w:t>
      </w:r>
      <w:r>
        <w:rPr>
          <w:color w:val="231F1F"/>
          <w:w w:val="110"/>
        </w:rPr>
        <w:t>desventajas</w:t>
      </w:r>
      <w:r>
        <w:rPr>
          <w:color w:val="231F1F"/>
          <w:spacing w:val="-15"/>
          <w:w w:val="110"/>
        </w:rPr>
        <w:t> </w:t>
      </w:r>
      <w:r>
        <w:rPr>
          <w:color w:val="231F1F"/>
          <w:w w:val="110"/>
        </w:rPr>
        <w:t>de</w:t>
      </w:r>
      <w:r>
        <w:rPr>
          <w:color w:val="231F1F"/>
          <w:spacing w:val="-15"/>
          <w:w w:val="110"/>
        </w:rPr>
        <w:t> </w:t>
      </w:r>
      <w:r>
        <w:rPr>
          <w:color w:val="231F1F"/>
          <w:w w:val="110"/>
        </w:rPr>
        <w:t>este</w:t>
      </w:r>
      <w:r>
        <w:rPr>
          <w:color w:val="231F1F"/>
          <w:spacing w:val="-15"/>
          <w:w w:val="110"/>
        </w:rPr>
        <w:t> </w:t>
      </w:r>
      <w:r>
        <w:rPr>
          <w:color w:val="231F1F"/>
          <w:w w:val="110"/>
        </w:rPr>
        <w:t>método</w:t>
      </w:r>
      <w:r>
        <w:rPr>
          <w:color w:val="231F1F"/>
          <w:spacing w:val="-15"/>
          <w:w w:val="110"/>
        </w:rPr>
        <w:t> </w:t>
      </w:r>
      <w:r>
        <w:rPr>
          <w:color w:val="231F1F"/>
          <w:w w:val="110"/>
        </w:rPr>
        <w:t>del</w:t>
      </w:r>
      <w:r>
        <w:rPr>
          <w:color w:val="231F1F"/>
          <w:spacing w:val="-16"/>
          <w:w w:val="110"/>
        </w:rPr>
        <w:t> </w:t>
      </w:r>
      <w:r>
        <w:rPr>
          <w:color w:val="231F1F"/>
          <w:w w:val="110"/>
        </w:rPr>
        <w:t>alivio</w:t>
      </w:r>
      <w:r>
        <w:rPr>
          <w:color w:val="231F1F"/>
          <w:spacing w:val="-15"/>
          <w:w w:val="110"/>
        </w:rPr>
        <w:t> </w:t>
      </w:r>
      <w:r>
        <w:rPr>
          <w:color w:val="231F1F"/>
          <w:w w:val="110"/>
        </w:rPr>
        <w:t>del</w:t>
      </w:r>
      <w:r>
        <w:rPr>
          <w:color w:val="231F1F"/>
          <w:spacing w:val="-15"/>
          <w:w w:val="110"/>
        </w:rPr>
        <w:t> </w:t>
      </w:r>
      <w:r>
        <w:rPr>
          <w:color w:val="231F1F"/>
          <w:w w:val="110"/>
        </w:rPr>
        <w:t>dolor</w:t>
      </w:r>
      <w:r>
        <w:rPr>
          <w:color w:val="231F1F"/>
          <w:spacing w:val="-15"/>
          <w:w w:val="110"/>
        </w:rPr>
        <w:t> </w:t>
      </w:r>
      <w:r>
        <w:rPr>
          <w:color w:val="231F1F"/>
          <w:w w:val="110"/>
        </w:rPr>
        <w:t>es</w:t>
      </w:r>
      <w:r>
        <w:rPr>
          <w:color w:val="231F1F"/>
          <w:spacing w:val="-15"/>
          <w:w w:val="110"/>
        </w:rPr>
        <w:t> </w:t>
      </w:r>
      <w:r>
        <w:rPr>
          <w:color w:val="231F1F"/>
          <w:w w:val="110"/>
        </w:rPr>
        <w:t>el intenso</w:t>
      </w:r>
      <w:r>
        <w:rPr>
          <w:color w:val="231F1F"/>
          <w:spacing w:val="-13"/>
          <w:w w:val="110"/>
        </w:rPr>
        <w:t> </w:t>
      </w:r>
      <w:r>
        <w:rPr>
          <w:color w:val="231F1F"/>
          <w:w w:val="110"/>
        </w:rPr>
        <w:t>escozor</w:t>
      </w:r>
      <w:r>
        <w:rPr>
          <w:color w:val="231F1F"/>
          <w:spacing w:val="-13"/>
          <w:w w:val="110"/>
        </w:rPr>
        <w:t> </w:t>
      </w:r>
      <w:r>
        <w:rPr>
          <w:color w:val="231F1F"/>
          <w:w w:val="110"/>
        </w:rPr>
        <w:t>que</w:t>
      </w:r>
      <w:r>
        <w:rPr>
          <w:color w:val="231F1F"/>
          <w:spacing w:val="-13"/>
          <w:w w:val="110"/>
        </w:rPr>
        <w:t> </w:t>
      </w:r>
      <w:r>
        <w:rPr>
          <w:color w:val="231F1F"/>
          <w:w w:val="110"/>
        </w:rPr>
        <w:t>notifican</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3"/>
          <w:w w:val="110"/>
        </w:rPr>
        <w:t> </w:t>
      </w:r>
      <w:r>
        <w:rPr>
          <w:color w:val="231F1F"/>
          <w:w w:val="110"/>
        </w:rPr>
        <w:t>durante</w:t>
      </w:r>
      <w:r>
        <w:rPr>
          <w:color w:val="231F1F"/>
          <w:spacing w:val="-13"/>
          <w:w w:val="110"/>
        </w:rPr>
        <w:t> </w:t>
      </w:r>
      <w:r>
        <w:rPr>
          <w:color w:val="231F1F"/>
          <w:w w:val="110"/>
        </w:rPr>
        <w:t>la</w:t>
      </w:r>
      <w:r>
        <w:rPr>
          <w:color w:val="231F1F"/>
          <w:spacing w:val="-13"/>
          <w:w w:val="110"/>
        </w:rPr>
        <w:t> </w:t>
      </w:r>
      <w:r>
        <w:rPr>
          <w:color w:val="231F1F"/>
          <w:w w:val="110"/>
        </w:rPr>
        <w:t>administración</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in- yección intradérmica.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0"/>
        <w:rPr>
          <w:sz w:val="18"/>
        </w:rPr>
      </w:pPr>
    </w:p>
    <w:p>
      <w:pPr>
        <w:spacing w:line="278" w:lineRule="auto" w:before="0"/>
        <w:ind w:left="532" w:right="90" w:hanging="402"/>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spacing w:after="0" w:line="278" w:lineRule="auto"/>
        <w:jc w:val="left"/>
        <w:rPr>
          <w:rFonts w:ascii="Arial MT"/>
          <w:sz w:val="18"/>
        </w:rPr>
        <w:sectPr>
          <w:type w:val="continuous"/>
          <w:pgSz w:w="11900" w:h="16840"/>
          <w:pgMar w:header="0" w:footer="622" w:top="560" w:bottom="280" w:left="1417" w:right="1559"/>
          <w:cols w:num="2" w:equalWidth="0">
            <w:col w:w="7553" w:space="40"/>
            <w:col w:w="1331"/>
          </w:cols>
        </w:sectPr>
      </w:pPr>
    </w:p>
    <w:p>
      <w:pPr>
        <w:pStyle w:val="BodyText"/>
        <w:spacing w:before="73"/>
        <w:ind w:left="736"/>
        <w:jc w:val="both"/>
      </w:pPr>
      <w:r>
        <w:rPr>
          <w:color w:val="231F1F"/>
          <w:w w:val="110"/>
        </w:rPr>
        <w:t>Para</w:t>
      </w:r>
      <w:r>
        <w:rPr>
          <w:color w:val="231F1F"/>
          <w:spacing w:val="2"/>
          <w:w w:val="110"/>
        </w:rPr>
        <w:t> </w:t>
      </w:r>
      <w:r>
        <w:rPr>
          <w:color w:val="231F1F"/>
          <w:w w:val="110"/>
        </w:rPr>
        <w:t>estudiar</w:t>
      </w:r>
      <w:r>
        <w:rPr>
          <w:color w:val="231F1F"/>
          <w:spacing w:val="4"/>
          <w:w w:val="110"/>
        </w:rPr>
        <w:t> </w:t>
      </w:r>
      <w:r>
        <w:rPr>
          <w:color w:val="231F1F"/>
          <w:w w:val="110"/>
        </w:rPr>
        <w:t>las</w:t>
      </w:r>
      <w:r>
        <w:rPr>
          <w:color w:val="231F1F"/>
          <w:spacing w:val="5"/>
          <w:w w:val="110"/>
        </w:rPr>
        <w:t> </w:t>
      </w:r>
      <w:r>
        <w:rPr>
          <w:color w:val="231F1F"/>
          <w:w w:val="110"/>
        </w:rPr>
        <w:t>desventajas</w:t>
      </w:r>
      <w:r>
        <w:rPr>
          <w:color w:val="231F1F"/>
          <w:spacing w:val="4"/>
          <w:w w:val="110"/>
        </w:rPr>
        <w:t> </w:t>
      </w:r>
      <w:r>
        <w:rPr>
          <w:color w:val="231F1F"/>
          <w:w w:val="110"/>
        </w:rPr>
        <w:t>del</w:t>
      </w:r>
      <w:r>
        <w:rPr>
          <w:color w:val="231F1F"/>
          <w:spacing w:val="3"/>
          <w:w w:val="110"/>
        </w:rPr>
        <w:t> </w:t>
      </w:r>
      <w:r>
        <w:rPr>
          <w:color w:val="231F1F"/>
          <w:w w:val="110"/>
        </w:rPr>
        <w:t>método,</w:t>
      </w:r>
      <w:r>
        <w:rPr>
          <w:color w:val="231F1F"/>
          <w:spacing w:val="2"/>
          <w:w w:val="110"/>
        </w:rPr>
        <w:t> </w:t>
      </w:r>
      <w:r>
        <w:rPr>
          <w:color w:val="231F1F"/>
          <w:w w:val="110"/>
        </w:rPr>
        <w:t>el</w:t>
      </w:r>
      <w:r>
        <w:rPr>
          <w:color w:val="231F1F"/>
          <w:spacing w:val="5"/>
          <w:w w:val="110"/>
        </w:rPr>
        <w:t> </w:t>
      </w:r>
      <w:r>
        <w:rPr>
          <w:color w:val="231F1F"/>
          <w:w w:val="110"/>
        </w:rPr>
        <w:t>ECA</w:t>
      </w:r>
      <w:r>
        <w:rPr>
          <w:color w:val="231F1F"/>
          <w:spacing w:val="4"/>
          <w:w w:val="110"/>
        </w:rPr>
        <w:t> </w:t>
      </w:r>
      <w:r>
        <w:rPr>
          <w:color w:val="231F1F"/>
          <w:w w:val="110"/>
        </w:rPr>
        <w:t>realizado</w:t>
      </w:r>
      <w:r>
        <w:rPr>
          <w:color w:val="231F1F"/>
          <w:spacing w:val="5"/>
          <w:w w:val="110"/>
        </w:rPr>
        <w:t> </w:t>
      </w:r>
      <w:r>
        <w:rPr>
          <w:color w:val="231F1F"/>
          <w:w w:val="110"/>
        </w:rPr>
        <w:t>en</w:t>
      </w:r>
      <w:r>
        <w:rPr>
          <w:color w:val="231F1F"/>
          <w:spacing w:val="4"/>
          <w:w w:val="110"/>
        </w:rPr>
        <w:t> </w:t>
      </w:r>
      <w:r>
        <w:rPr>
          <w:color w:val="231F1F"/>
          <w:spacing w:val="-2"/>
          <w:w w:val="110"/>
        </w:rPr>
        <w:t>Suecia</w:t>
      </w:r>
    </w:p>
    <w:p>
      <w:pPr>
        <w:pStyle w:val="BodyText"/>
        <w:spacing w:line="252" w:lineRule="auto" w:before="11"/>
        <w:ind w:left="283"/>
        <w:jc w:val="both"/>
      </w:pPr>
      <w:r>
        <w:rPr>
          <w:color w:val="231F1F"/>
          <w:w w:val="110"/>
        </w:rPr>
        <w:t>(291) en el año 2000 comparó el dolor percibido durante la administración intradérmica</w:t>
      </w:r>
      <w:r>
        <w:rPr>
          <w:color w:val="231F1F"/>
          <w:w w:val="110"/>
        </w:rPr>
        <w:t> de</w:t>
      </w:r>
      <w:r>
        <w:rPr>
          <w:color w:val="231F1F"/>
          <w:w w:val="110"/>
        </w:rPr>
        <w:t> agua</w:t>
      </w:r>
      <w:r>
        <w:rPr>
          <w:color w:val="231F1F"/>
          <w:w w:val="110"/>
        </w:rPr>
        <w:t> estéril</w:t>
      </w:r>
      <w:r>
        <w:rPr>
          <w:color w:val="231F1F"/>
          <w:w w:val="110"/>
        </w:rPr>
        <w:t> con</w:t>
      </w:r>
      <w:r>
        <w:rPr>
          <w:color w:val="231F1F"/>
          <w:w w:val="110"/>
        </w:rPr>
        <w:t> la</w:t>
      </w:r>
      <w:r>
        <w:rPr>
          <w:color w:val="231F1F"/>
          <w:w w:val="110"/>
        </w:rPr>
        <w:t> administración</w:t>
      </w:r>
      <w:r>
        <w:rPr>
          <w:color w:val="231F1F"/>
          <w:w w:val="110"/>
        </w:rPr>
        <w:t> subcutánea.</w:t>
      </w:r>
      <w:r>
        <w:rPr>
          <w:color w:val="231F1F"/>
          <w:w w:val="110"/>
        </w:rPr>
        <w:t> El</w:t>
      </w:r>
      <w:r>
        <w:rPr>
          <w:color w:val="231F1F"/>
          <w:w w:val="110"/>
        </w:rPr>
        <w:t> estudio </w:t>
      </w:r>
      <w:r>
        <w:rPr>
          <w:color w:val="231F1F"/>
          <w:spacing w:val="-2"/>
          <w:w w:val="110"/>
        </w:rPr>
        <w:t>incluyó</w:t>
      </w:r>
      <w:r>
        <w:rPr>
          <w:color w:val="231F1F"/>
          <w:spacing w:val="-10"/>
          <w:w w:val="110"/>
        </w:rPr>
        <w:t> </w:t>
      </w:r>
      <w:r>
        <w:rPr>
          <w:color w:val="231F1F"/>
          <w:spacing w:val="-2"/>
          <w:w w:val="110"/>
        </w:rPr>
        <w:t>a</w:t>
      </w:r>
      <w:r>
        <w:rPr>
          <w:color w:val="231F1F"/>
          <w:spacing w:val="-10"/>
          <w:w w:val="110"/>
        </w:rPr>
        <w:t> </w:t>
      </w:r>
      <w:r>
        <w:rPr>
          <w:color w:val="231F1F"/>
          <w:spacing w:val="-2"/>
          <w:w w:val="110"/>
        </w:rPr>
        <w:t>100</w:t>
      </w:r>
      <w:r>
        <w:rPr>
          <w:color w:val="231F1F"/>
          <w:spacing w:val="-10"/>
          <w:w w:val="110"/>
        </w:rPr>
        <w:t> </w:t>
      </w:r>
      <w:r>
        <w:rPr>
          <w:color w:val="231F1F"/>
          <w:spacing w:val="-2"/>
          <w:w w:val="110"/>
        </w:rPr>
        <w:t>mujeres</w:t>
      </w:r>
      <w:r>
        <w:rPr>
          <w:color w:val="231F1F"/>
          <w:spacing w:val="-10"/>
          <w:w w:val="110"/>
        </w:rPr>
        <w:t> </w:t>
      </w:r>
      <w:r>
        <w:rPr>
          <w:color w:val="231F1F"/>
          <w:spacing w:val="-2"/>
          <w:w w:val="110"/>
        </w:rPr>
        <w:t>sanas</w:t>
      </w:r>
      <w:r>
        <w:rPr>
          <w:color w:val="231F1F"/>
          <w:spacing w:val="-10"/>
          <w:w w:val="110"/>
        </w:rPr>
        <w:t> </w:t>
      </w:r>
      <w:r>
        <w:rPr>
          <w:color w:val="231F1F"/>
          <w:spacing w:val="-2"/>
          <w:w w:val="110"/>
        </w:rPr>
        <w:t>no</w:t>
      </w:r>
      <w:r>
        <w:rPr>
          <w:color w:val="231F1F"/>
          <w:spacing w:val="-10"/>
          <w:w w:val="110"/>
        </w:rPr>
        <w:t> </w:t>
      </w:r>
      <w:r>
        <w:rPr>
          <w:color w:val="231F1F"/>
          <w:spacing w:val="-2"/>
          <w:w w:val="110"/>
        </w:rPr>
        <w:t>embarazadas</w:t>
      </w:r>
      <w:r>
        <w:rPr>
          <w:color w:val="231F1F"/>
          <w:spacing w:val="-10"/>
          <w:w w:val="110"/>
        </w:rPr>
        <w:t> </w:t>
      </w:r>
      <w:r>
        <w:rPr>
          <w:color w:val="231F1F"/>
          <w:spacing w:val="-2"/>
          <w:w w:val="110"/>
        </w:rPr>
        <w:t>en</w:t>
      </w:r>
      <w:r>
        <w:rPr>
          <w:color w:val="231F1F"/>
          <w:spacing w:val="-10"/>
          <w:w w:val="110"/>
        </w:rPr>
        <w:t> </w:t>
      </w:r>
      <w:r>
        <w:rPr>
          <w:color w:val="231F1F"/>
          <w:spacing w:val="-2"/>
          <w:w w:val="110"/>
        </w:rPr>
        <w:t>un</w:t>
      </w:r>
      <w:r>
        <w:rPr>
          <w:color w:val="231F1F"/>
          <w:spacing w:val="-10"/>
          <w:w w:val="110"/>
        </w:rPr>
        <w:t> </w:t>
      </w:r>
      <w:r>
        <w:rPr>
          <w:color w:val="231F1F"/>
          <w:spacing w:val="-2"/>
          <w:w w:val="110"/>
        </w:rPr>
        <w:t>ensayo</w:t>
      </w:r>
      <w:r>
        <w:rPr>
          <w:color w:val="231F1F"/>
          <w:spacing w:val="-9"/>
          <w:w w:val="110"/>
        </w:rPr>
        <w:t> </w:t>
      </w:r>
      <w:r>
        <w:rPr>
          <w:color w:val="231F1F"/>
          <w:spacing w:val="-2"/>
          <w:w w:val="110"/>
        </w:rPr>
        <w:t>clínico</w:t>
      </w:r>
      <w:r>
        <w:rPr>
          <w:color w:val="231F1F"/>
          <w:spacing w:val="-10"/>
          <w:w w:val="110"/>
        </w:rPr>
        <w:t> </w:t>
      </w:r>
      <w:r>
        <w:rPr>
          <w:color w:val="231F1F"/>
          <w:spacing w:val="-2"/>
          <w:w w:val="110"/>
        </w:rPr>
        <w:t>ciego</w:t>
      </w:r>
      <w:r>
        <w:rPr>
          <w:color w:val="231F1F"/>
          <w:spacing w:val="-10"/>
          <w:w w:val="110"/>
        </w:rPr>
        <w:t> </w:t>
      </w:r>
      <w:r>
        <w:rPr>
          <w:color w:val="231F1F"/>
          <w:spacing w:val="-2"/>
          <w:w w:val="110"/>
        </w:rPr>
        <w:t>con- </w:t>
      </w:r>
      <w:r>
        <w:rPr>
          <w:color w:val="231F1F"/>
          <w:w w:val="110"/>
        </w:rPr>
        <w:t>trolado</w:t>
      </w:r>
      <w:r>
        <w:rPr>
          <w:color w:val="231F1F"/>
          <w:spacing w:val="-16"/>
          <w:w w:val="110"/>
        </w:rPr>
        <w:t> </w:t>
      </w:r>
      <w:r>
        <w:rPr>
          <w:color w:val="231F1F"/>
          <w:w w:val="110"/>
        </w:rPr>
        <w:t>con</w:t>
      </w:r>
      <w:r>
        <w:rPr>
          <w:color w:val="231F1F"/>
          <w:spacing w:val="-15"/>
          <w:w w:val="110"/>
        </w:rPr>
        <w:t> </w:t>
      </w:r>
      <w:r>
        <w:rPr>
          <w:color w:val="231F1F"/>
          <w:w w:val="110"/>
        </w:rPr>
        <w:t>un</w:t>
      </w:r>
      <w:r>
        <w:rPr>
          <w:color w:val="231F1F"/>
          <w:spacing w:val="-15"/>
          <w:w w:val="110"/>
        </w:rPr>
        <w:t> </w:t>
      </w:r>
      <w:r>
        <w:rPr>
          <w:color w:val="231F1F"/>
          <w:w w:val="110"/>
        </w:rPr>
        <w:t>diseño</w:t>
      </w:r>
      <w:r>
        <w:rPr>
          <w:color w:val="231F1F"/>
          <w:spacing w:val="-15"/>
          <w:w w:val="110"/>
        </w:rPr>
        <w:t> </w:t>
      </w:r>
      <w:r>
        <w:rPr>
          <w:color w:val="231F1F"/>
          <w:w w:val="110"/>
        </w:rPr>
        <w:t>cruzado.</w:t>
      </w:r>
      <w:r>
        <w:rPr>
          <w:color w:val="231F1F"/>
          <w:spacing w:val="-15"/>
          <w:w w:val="110"/>
        </w:rPr>
        <w:t> </w:t>
      </w:r>
      <w:r>
        <w:rPr>
          <w:color w:val="231F1F"/>
          <w:w w:val="110"/>
        </w:rPr>
        <w:t>El</w:t>
      </w:r>
      <w:r>
        <w:rPr>
          <w:color w:val="231F1F"/>
          <w:spacing w:val="-15"/>
          <w:w w:val="110"/>
        </w:rPr>
        <w:t> </w:t>
      </w:r>
      <w:r>
        <w:rPr>
          <w:color w:val="231F1F"/>
          <w:w w:val="110"/>
        </w:rPr>
        <w:t>dolor</w:t>
      </w:r>
      <w:r>
        <w:rPr>
          <w:color w:val="231F1F"/>
          <w:spacing w:val="-15"/>
          <w:w w:val="110"/>
        </w:rPr>
        <w:t> </w:t>
      </w:r>
      <w:r>
        <w:rPr>
          <w:color w:val="231F1F"/>
          <w:w w:val="110"/>
        </w:rPr>
        <w:t>percibido</w:t>
      </w:r>
      <w:r>
        <w:rPr>
          <w:color w:val="231F1F"/>
          <w:spacing w:val="-15"/>
          <w:w w:val="110"/>
        </w:rPr>
        <w:t> </w:t>
      </w:r>
      <w:r>
        <w:rPr>
          <w:color w:val="231F1F"/>
          <w:w w:val="110"/>
        </w:rPr>
        <w:t>se</w:t>
      </w:r>
      <w:r>
        <w:rPr>
          <w:color w:val="231F1F"/>
          <w:spacing w:val="-16"/>
          <w:w w:val="110"/>
        </w:rPr>
        <w:t> </w:t>
      </w:r>
      <w:r>
        <w:rPr>
          <w:color w:val="231F1F"/>
          <w:w w:val="110"/>
        </w:rPr>
        <w:t>midió</w:t>
      </w:r>
      <w:r>
        <w:rPr>
          <w:color w:val="231F1F"/>
          <w:spacing w:val="-15"/>
          <w:w w:val="110"/>
        </w:rPr>
        <w:t> </w:t>
      </w:r>
      <w:r>
        <w:rPr>
          <w:color w:val="231F1F"/>
          <w:w w:val="110"/>
        </w:rPr>
        <w:t>mediante</w:t>
      </w:r>
      <w:r>
        <w:rPr>
          <w:color w:val="231F1F"/>
          <w:spacing w:val="-15"/>
          <w:w w:val="110"/>
        </w:rPr>
        <w:t> </w:t>
      </w:r>
      <w:r>
        <w:rPr>
          <w:color w:val="231F1F"/>
          <w:w w:val="110"/>
        </w:rPr>
        <w:t>la</w:t>
      </w:r>
      <w:r>
        <w:rPr>
          <w:color w:val="231F1F"/>
          <w:spacing w:val="-15"/>
          <w:w w:val="110"/>
        </w:rPr>
        <w:t> </w:t>
      </w:r>
      <w:r>
        <w:rPr>
          <w:color w:val="231F1F"/>
          <w:w w:val="110"/>
        </w:rPr>
        <w:t>esca- la</w:t>
      </w:r>
      <w:r>
        <w:rPr>
          <w:color w:val="231F1F"/>
          <w:spacing w:val="-11"/>
          <w:w w:val="110"/>
        </w:rPr>
        <w:t> </w:t>
      </w:r>
      <w:r>
        <w:rPr>
          <w:color w:val="231F1F"/>
          <w:w w:val="110"/>
        </w:rPr>
        <w:t>VAS.</w:t>
      </w:r>
      <w:r>
        <w:rPr>
          <w:color w:val="231F1F"/>
          <w:spacing w:val="-12"/>
          <w:w w:val="110"/>
        </w:rPr>
        <w:t> </w:t>
      </w:r>
      <w:r>
        <w:rPr>
          <w:color w:val="231F1F"/>
          <w:w w:val="110"/>
        </w:rPr>
        <w:t>Los</w:t>
      </w:r>
      <w:r>
        <w:rPr>
          <w:color w:val="231F1F"/>
          <w:spacing w:val="-11"/>
          <w:w w:val="110"/>
        </w:rPr>
        <w:t> </w:t>
      </w:r>
      <w:r>
        <w:rPr>
          <w:color w:val="231F1F"/>
          <w:w w:val="110"/>
        </w:rPr>
        <w:t>hallazgos</w:t>
      </w:r>
      <w:r>
        <w:rPr>
          <w:color w:val="231F1F"/>
          <w:spacing w:val="-11"/>
          <w:w w:val="110"/>
        </w:rPr>
        <w:t> </w:t>
      </w:r>
      <w:r>
        <w:rPr>
          <w:color w:val="231F1F"/>
          <w:w w:val="110"/>
        </w:rPr>
        <w:t>mostraron</w:t>
      </w:r>
      <w:r>
        <w:rPr>
          <w:color w:val="231F1F"/>
          <w:spacing w:val="-10"/>
          <w:w w:val="110"/>
        </w:rPr>
        <w:t> </w:t>
      </w:r>
      <w:r>
        <w:rPr>
          <w:color w:val="231F1F"/>
          <w:w w:val="110"/>
        </w:rPr>
        <w:t>que</w:t>
      </w:r>
      <w:r>
        <w:rPr>
          <w:color w:val="231F1F"/>
          <w:spacing w:val="-11"/>
          <w:w w:val="110"/>
        </w:rPr>
        <w:t> </w:t>
      </w:r>
      <w:r>
        <w:rPr>
          <w:color w:val="231F1F"/>
          <w:w w:val="110"/>
        </w:rPr>
        <w:t>la</w:t>
      </w:r>
      <w:r>
        <w:rPr>
          <w:color w:val="231F1F"/>
          <w:spacing w:val="-11"/>
          <w:w w:val="110"/>
        </w:rPr>
        <w:t> </w:t>
      </w:r>
      <w:r>
        <w:rPr>
          <w:color w:val="231F1F"/>
          <w:w w:val="110"/>
        </w:rPr>
        <w:t>inyección</w:t>
      </w:r>
      <w:r>
        <w:rPr>
          <w:color w:val="231F1F"/>
          <w:spacing w:val="-10"/>
          <w:w w:val="110"/>
        </w:rPr>
        <w:t> </w:t>
      </w:r>
      <w:r>
        <w:rPr>
          <w:color w:val="231F1F"/>
          <w:w w:val="110"/>
        </w:rPr>
        <w:t>intradérmica</w:t>
      </w:r>
      <w:r>
        <w:rPr>
          <w:color w:val="231F1F"/>
          <w:spacing w:val="-11"/>
          <w:w w:val="110"/>
        </w:rPr>
        <w:t> </w:t>
      </w:r>
      <w:r>
        <w:rPr>
          <w:color w:val="231F1F"/>
          <w:w w:val="110"/>
        </w:rPr>
        <w:t>era</w:t>
      </w:r>
      <w:r>
        <w:rPr>
          <w:color w:val="231F1F"/>
          <w:spacing w:val="-11"/>
          <w:w w:val="110"/>
        </w:rPr>
        <w:t> </w:t>
      </w:r>
      <w:r>
        <w:rPr>
          <w:color w:val="231F1F"/>
          <w:w w:val="110"/>
        </w:rPr>
        <w:t>más</w:t>
      </w:r>
      <w:r>
        <w:rPr>
          <w:color w:val="231F1F"/>
          <w:spacing w:val="-11"/>
          <w:w w:val="110"/>
        </w:rPr>
        <w:t> </w:t>
      </w:r>
      <w:r>
        <w:rPr>
          <w:color w:val="231F1F"/>
          <w:w w:val="110"/>
        </w:rPr>
        <w:t>do- </w:t>
      </w:r>
      <w:r>
        <w:rPr>
          <w:color w:val="231F1F"/>
        </w:rPr>
        <w:t>lorosa que la inyección subcutánea (media 60,8 mm versus 41,3 mm, p&lt;0.001). </w:t>
      </w:r>
      <w:r>
        <w:rPr>
          <w:color w:val="231F1F"/>
          <w:w w:val="110"/>
        </w:rPr>
        <w:t>No se sabe, sin embargo, si este hallazgo podría aplicarse a las mujeres en trabajo de parto.</w:t>
      </w:r>
    </w:p>
    <w:p>
      <w:pPr>
        <w:pStyle w:val="BodyText"/>
        <w:spacing w:before="59"/>
      </w:pPr>
    </w:p>
    <w:p>
      <w:pPr>
        <w:spacing w:before="1"/>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3"/>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pacing w:val="-2"/>
          <w:sz w:val="24"/>
        </w:rPr>
        <w:t>2008)</w:t>
      </w:r>
    </w:p>
    <w:p>
      <w:pPr>
        <w:pStyle w:val="BodyText"/>
        <w:spacing w:line="244" w:lineRule="auto" w:before="219"/>
        <w:ind w:left="283"/>
        <w:jc w:val="both"/>
      </w:pPr>
      <w:r>
        <w:rPr>
          <w:color w:val="231F1F"/>
          <w:w w:val="105"/>
        </w:rPr>
        <w:t>Se</w:t>
      </w:r>
      <w:r>
        <w:rPr>
          <w:color w:val="231F1F"/>
          <w:spacing w:val="-2"/>
          <w:w w:val="105"/>
        </w:rPr>
        <w:t> </w:t>
      </w:r>
      <w:r>
        <w:rPr>
          <w:color w:val="231F1F"/>
          <w:w w:val="105"/>
        </w:rPr>
        <w:t>identificaron</w:t>
      </w:r>
      <w:r>
        <w:rPr>
          <w:color w:val="231F1F"/>
          <w:spacing w:val="-3"/>
          <w:w w:val="105"/>
        </w:rPr>
        <w:t> </w:t>
      </w:r>
      <w:r>
        <w:rPr>
          <w:color w:val="231F1F"/>
          <w:w w:val="105"/>
        </w:rPr>
        <w:t>8</w:t>
      </w:r>
      <w:r>
        <w:rPr>
          <w:color w:val="231F1F"/>
          <w:spacing w:val="-2"/>
          <w:w w:val="105"/>
        </w:rPr>
        <w:t> </w:t>
      </w:r>
      <w:r>
        <w:rPr>
          <w:color w:val="231F1F"/>
          <w:w w:val="105"/>
        </w:rPr>
        <w:t>estudios</w:t>
      </w:r>
      <w:r>
        <w:rPr>
          <w:color w:val="231F1F"/>
          <w:spacing w:val="-2"/>
          <w:w w:val="105"/>
        </w:rPr>
        <w:t> </w:t>
      </w:r>
      <w:r>
        <w:rPr>
          <w:color w:val="231F1F"/>
          <w:w w:val="105"/>
        </w:rPr>
        <w:t>de</w:t>
      </w:r>
      <w:r>
        <w:rPr>
          <w:color w:val="231F1F"/>
          <w:spacing w:val="-2"/>
          <w:w w:val="105"/>
        </w:rPr>
        <w:t> </w:t>
      </w:r>
      <w:r>
        <w:rPr>
          <w:color w:val="231F1F"/>
          <w:w w:val="105"/>
        </w:rPr>
        <w:t>los</w:t>
      </w:r>
      <w:r>
        <w:rPr>
          <w:color w:val="231F1F"/>
          <w:spacing w:val="-2"/>
          <w:w w:val="105"/>
        </w:rPr>
        <w:t> </w:t>
      </w:r>
      <w:r>
        <w:rPr>
          <w:color w:val="231F1F"/>
          <w:w w:val="105"/>
        </w:rPr>
        <w:t>cuales</w:t>
      </w:r>
      <w:r>
        <w:rPr>
          <w:color w:val="231F1F"/>
          <w:spacing w:val="-2"/>
          <w:w w:val="105"/>
        </w:rPr>
        <w:t> </w:t>
      </w:r>
      <w:r>
        <w:rPr>
          <w:color w:val="231F1F"/>
          <w:w w:val="105"/>
        </w:rPr>
        <w:t>fueron</w:t>
      </w:r>
      <w:r>
        <w:rPr>
          <w:color w:val="231F1F"/>
          <w:spacing w:val="-2"/>
          <w:w w:val="105"/>
        </w:rPr>
        <w:t> </w:t>
      </w:r>
      <w:r>
        <w:rPr>
          <w:color w:val="231F1F"/>
          <w:w w:val="105"/>
        </w:rPr>
        <w:t>seleccionados</w:t>
      </w:r>
      <w:r>
        <w:rPr>
          <w:color w:val="231F1F"/>
          <w:spacing w:val="-2"/>
          <w:w w:val="105"/>
        </w:rPr>
        <w:t> </w:t>
      </w:r>
      <w:r>
        <w:rPr>
          <w:color w:val="231F1F"/>
          <w:w w:val="105"/>
        </w:rPr>
        <w:t>dos</w:t>
      </w:r>
      <w:r>
        <w:rPr>
          <w:color w:val="231F1F"/>
          <w:spacing w:val="-2"/>
          <w:w w:val="105"/>
        </w:rPr>
        <w:t> </w:t>
      </w:r>
      <w:r>
        <w:rPr>
          <w:color w:val="231F1F"/>
          <w:w w:val="105"/>
        </w:rPr>
        <w:t>de</w:t>
      </w:r>
      <w:r>
        <w:rPr>
          <w:color w:val="231F1F"/>
          <w:spacing w:val="-2"/>
          <w:w w:val="105"/>
        </w:rPr>
        <w:t> </w:t>
      </w:r>
      <w:r>
        <w:rPr>
          <w:color w:val="231F1F"/>
          <w:w w:val="105"/>
        </w:rPr>
        <w:t>la</w:t>
      </w:r>
      <w:r>
        <w:rPr>
          <w:color w:val="231F1F"/>
          <w:spacing w:val="-2"/>
          <w:w w:val="105"/>
        </w:rPr>
        <w:t> </w:t>
      </w:r>
      <w:r>
        <w:rPr>
          <w:color w:val="231F1F"/>
          <w:w w:val="105"/>
        </w:rPr>
        <w:t>misma autora: Una RS que engloba seis ECAs (292) de baja calidad que compara la inyección</w:t>
      </w:r>
      <w:r>
        <w:rPr>
          <w:color w:val="231F1F"/>
          <w:w w:val="105"/>
        </w:rPr>
        <w:t> de</w:t>
      </w:r>
      <w:r>
        <w:rPr>
          <w:color w:val="231F1F"/>
          <w:w w:val="105"/>
        </w:rPr>
        <w:t> agua</w:t>
      </w:r>
      <w:r>
        <w:rPr>
          <w:color w:val="231F1F"/>
          <w:w w:val="105"/>
        </w:rPr>
        <w:t> estéril</w:t>
      </w:r>
      <w:r>
        <w:rPr>
          <w:color w:val="231F1F"/>
          <w:w w:val="105"/>
        </w:rPr>
        <w:t> frente</w:t>
      </w:r>
      <w:r>
        <w:rPr>
          <w:color w:val="231F1F"/>
          <w:w w:val="105"/>
        </w:rPr>
        <w:t> a</w:t>
      </w:r>
      <w:r>
        <w:rPr>
          <w:color w:val="231F1F"/>
          <w:w w:val="105"/>
        </w:rPr>
        <w:t> placebo</w:t>
      </w:r>
      <w:r>
        <w:rPr>
          <w:color w:val="231F1F"/>
          <w:w w:val="105"/>
        </w:rPr>
        <w:t> y</w:t>
      </w:r>
      <w:r>
        <w:rPr>
          <w:color w:val="231F1F"/>
          <w:w w:val="105"/>
        </w:rPr>
        <w:t> un</w:t>
      </w:r>
      <w:r>
        <w:rPr>
          <w:color w:val="231F1F"/>
          <w:w w:val="105"/>
        </w:rPr>
        <w:t> ECA</w:t>
      </w:r>
      <w:r>
        <w:rPr>
          <w:color w:val="231F1F"/>
          <w:w w:val="105"/>
        </w:rPr>
        <w:t> (293),</w:t>
      </w:r>
      <w:r>
        <w:rPr>
          <w:color w:val="231F1F"/>
          <w:w w:val="105"/>
        </w:rPr>
        <w:t> que</w:t>
      </w:r>
      <w:r>
        <w:rPr>
          <w:color w:val="231F1F"/>
          <w:w w:val="105"/>
        </w:rPr>
        <w:t> comparó</w:t>
      </w:r>
      <w:r>
        <w:rPr>
          <w:color w:val="231F1F"/>
          <w:w w:val="105"/>
        </w:rPr>
        <w:t> la inyección</w:t>
      </w:r>
      <w:r>
        <w:rPr>
          <w:color w:val="231F1F"/>
          <w:w w:val="105"/>
        </w:rPr>
        <w:t> de</w:t>
      </w:r>
      <w:r>
        <w:rPr>
          <w:color w:val="231F1F"/>
          <w:w w:val="105"/>
        </w:rPr>
        <w:t> agua</w:t>
      </w:r>
      <w:r>
        <w:rPr>
          <w:color w:val="231F1F"/>
          <w:w w:val="105"/>
        </w:rPr>
        <w:t> estéril</w:t>
      </w:r>
      <w:r>
        <w:rPr>
          <w:color w:val="231F1F"/>
          <w:w w:val="105"/>
        </w:rPr>
        <w:t> frente</w:t>
      </w:r>
      <w:r>
        <w:rPr>
          <w:color w:val="231F1F"/>
          <w:w w:val="105"/>
        </w:rPr>
        <w:t> a</w:t>
      </w:r>
      <w:r>
        <w:rPr>
          <w:color w:val="231F1F"/>
          <w:w w:val="105"/>
        </w:rPr>
        <w:t> acupuntura.</w:t>
      </w:r>
      <w:r>
        <w:rPr>
          <w:color w:val="231F1F"/>
          <w:w w:val="105"/>
        </w:rPr>
        <w:t> Ambos</w:t>
      </w:r>
      <w:r>
        <w:rPr>
          <w:color w:val="231F1F"/>
          <w:w w:val="105"/>
        </w:rPr>
        <w:t> estudios</w:t>
      </w:r>
      <w:r>
        <w:rPr>
          <w:color w:val="231F1F"/>
          <w:w w:val="105"/>
        </w:rPr>
        <w:t> son</w:t>
      </w:r>
      <w:r>
        <w:rPr>
          <w:color w:val="231F1F"/>
          <w:w w:val="105"/>
        </w:rPr>
        <w:t> del</w:t>
      </w:r>
      <w:r>
        <w:rPr>
          <w:color w:val="231F1F"/>
          <w:w w:val="105"/>
        </w:rPr>
        <w:t> año </w:t>
      </w:r>
      <w:r>
        <w:rPr>
          <w:color w:val="231F1F"/>
          <w:spacing w:val="-4"/>
          <w:w w:val="105"/>
        </w:rPr>
        <w:t>2008.</w:t>
      </w:r>
    </w:p>
    <w:p>
      <w:pPr>
        <w:pStyle w:val="BodyText"/>
        <w:spacing w:line="249" w:lineRule="auto" w:before="111"/>
        <w:ind w:left="283" w:firstLine="453"/>
        <w:jc w:val="both"/>
      </w:pPr>
      <w:r>
        <w:rPr>
          <w:color w:val="231F1F"/>
          <w:w w:val="105"/>
        </w:rPr>
        <w:t>La</w:t>
      </w:r>
      <w:r>
        <w:rPr>
          <w:color w:val="231F1F"/>
          <w:spacing w:val="-7"/>
          <w:w w:val="105"/>
        </w:rPr>
        <w:t> </w:t>
      </w:r>
      <w:r>
        <w:rPr>
          <w:color w:val="231F1F"/>
          <w:w w:val="105"/>
        </w:rPr>
        <w:t>RS</w:t>
      </w:r>
      <w:r>
        <w:rPr>
          <w:color w:val="231F1F"/>
          <w:spacing w:val="-7"/>
          <w:w w:val="105"/>
        </w:rPr>
        <w:t> </w:t>
      </w:r>
      <w:r>
        <w:rPr>
          <w:color w:val="231F1F"/>
          <w:w w:val="105"/>
        </w:rPr>
        <w:t>(292)</w:t>
      </w:r>
      <w:r>
        <w:rPr>
          <w:color w:val="231F1F"/>
          <w:spacing w:val="-6"/>
          <w:w w:val="105"/>
        </w:rPr>
        <w:t> </w:t>
      </w:r>
      <w:r>
        <w:rPr>
          <w:color w:val="231F1F"/>
          <w:w w:val="105"/>
        </w:rPr>
        <w:t>encuentra</w:t>
      </w:r>
      <w:r>
        <w:rPr>
          <w:color w:val="231F1F"/>
          <w:spacing w:val="-6"/>
          <w:w w:val="105"/>
        </w:rPr>
        <w:t> </w:t>
      </w:r>
      <w:r>
        <w:rPr>
          <w:color w:val="231F1F"/>
          <w:w w:val="105"/>
        </w:rPr>
        <w:t>que</w:t>
      </w:r>
      <w:r>
        <w:rPr>
          <w:color w:val="231F1F"/>
          <w:spacing w:val="-7"/>
          <w:w w:val="105"/>
        </w:rPr>
        <w:t> </w:t>
      </w:r>
      <w:r>
        <w:rPr>
          <w:color w:val="231F1F"/>
          <w:w w:val="105"/>
        </w:rPr>
        <w:t>la</w:t>
      </w:r>
      <w:r>
        <w:rPr>
          <w:color w:val="231F1F"/>
          <w:spacing w:val="-7"/>
          <w:w w:val="105"/>
        </w:rPr>
        <w:t> </w:t>
      </w:r>
      <w:r>
        <w:rPr>
          <w:color w:val="231F1F"/>
          <w:w w:val="105"/>
        </w:rPr>
        <w:t>inyección</w:t>
      </w:r>
      <w:r>
        <w:rPr>
          <w:color w:val="231F1F"/>
          <w:spacing w:val="-7"/>
          <w:w w:val="105"/>
        </w:rPr>
        <w:t> </w:t>
      </w:r>
      <w:r>
        <w:rPr>
          <w:color w:val="231F1F"/>
          <w:w w:val="105"/>
        </w:rPr>
        <w:t>de</w:t>
      </w:r>
      <w:r>
        <w:rPr>
          <w:color w:val="231F1F"/>
          <w:spacing w:val="-7"/>
          <w:w w:val="105"/>
        </w:rPr>
        <w:t> </w:t>
      </w:r>
      <w:r>
        <w:rPr>
          <w:color w:val="231F1F"/>
          <w:w w:val="105"/>
        </w:rPr>
        <w:t>agua</w:t>
      </w:r>
      <w:r>
        <w:rPr>
          <w:color w:val="231F1F"/>
          <w:spacing w:val="-7"/>
          <w:w w:val="105"/>
        </w:rPr>
        <w:t> </w:t>
      </w:r>
      <w:r>
        <w:rPr>
          <w:color w:val="231F1F"/>
          <w:w w:val="105"/>
        </w:rPr>
        <w:t>estéril</w:t>
      </w:r>
      <w:r>
        <w:rPr>
          <w:color w:val="231F1F"/>
          <w:spacing w:val="-7"/>
          <w:w w:val="105"/>
        </w:rPr>
        <w:t> </w:t>
      </w:r>
      <w:r>
        <w:rPr>
          <w:color w:val="231F1F"/>
          <w:w w:val="105"/>
        </w:rPr>
        <w:t>disminuye</w:t>
      </w:r>
      <w:r>
        <w:rPr>
          <w:color w:val="231F1F"/>
          <w:spacing w:val="-7"/>
          <w:w w:val="105"/>
        </w:rPr>
        <w:t> </w:t>
      </w:r>
      <w:r>
        <w:rPr>
          <w:color w:val="231F1F"/>
          <w:w w:val="105"/>
        </w:rPr>
        <w:t>el</w:t>
      </w:r>
      <w:r>
        <w:rPr>
          <w:color w:val="231F1F"/>
          <w:spacing w:val="-7"/>
          <w:w w:val="105"/>
        </w:rPr>
        <w:t> </w:t>
      </w:r>
      <w:r>
        <w:rPr>
          <w:color w:val="231F1F"/>
          <w:w w:val="105"/>
        </w:rPr>
        <w:t>dolor lumbar</w:t>
      </w:r>
      <w:r>
        <w:rPr>
          <w:color w:val="231F1F"/>
          <w:w w:val="105"/>
        </w:rPr>
        <w:t> durante</w:t>
      </w:r>
      <w:r>
        <w:rPr>
          <w:color w:val="231F1F"/>
          <w:w w:val="105"/>
        </w:rPr>
        <w:t> el</w:t>
      </w:r>
      <w:r>
        <w:rPr>
          <w:color w:val="231F1F"/>
          <w:w w:val="105"/>
        </w:rPr>
        <w:t> parto,</w:t>
      </w:r>
      <w:r>
        <w:rPr>
          <w:color w:val="231F1F"/>
          <w:w w:val="105"/>
        </w:rPr>
        <w:t> aproximadamente</w:t>
      </w:r>
      <w:r>
        <w:rPr>
          <w:color w:val="231F1F"/>
          <w:w w:val="105"/>
        </w:rPr>
        <w:t> en</w:t>
      </w:r>
      <w:r>
        <w:rPr>
          <w:color w:val="231F1F"/>
          <w:w w:val="105"/>
        </w:rPr>
        <w:t> un</w:t>
      </w:r>
      <w:r>
        <w:rPr>
          <w:color w:val="231F1F"/>
          <w:w w:val="105"/>
        </w:rPr>
        <w:t> 60%,</w:t>
      </w:r>
      <w:r>
        <w:rPr>
          <w:color w:val="231F1F"/>
          <w:w w:val="105"/>
        </w:rPr>
        <w:t> manteniéndose</w:t>
      </w:r>
      <w:r>
        <w:rPr>
          <w:color w:val="231F1F"/>
          <w:w w:val="105"/>
        </w:rPr>
        <w:t> el efecto hasta dos horas después. La revisión concluye que la inyección de agua estéril</w:t>
      </w:r>
      <w:r>
        <w:rPr>
          <w:color w:val="231F1F"/>
          <w:w w:val="105"/>
        </w:rPr>
        <w:t> parece</w:t>
      </w:r>
      <w:r>
        <w:rPr>
          <w:color w:val="231F1F"/>
          <w:w w:val="105"/>
        </w:rPr>
        <w:t> ser</w:t>
      </w:r>
      <w:r>
        <w:rPr>
          <w:color w:val="231F1F"/>
          <w:w w:val="105"/>
        </w:rPr>
        <w:t> una</w:t>
      </w:r>
      <w:r>
        <w:rPr>
          <w:color w:val="231F1F"/>
          <w:w w:val="105"/>
        </w:rPr>
        <w:t> buena</w:t>
      </w:r>
      <w:r>
        <w:rPr>
          <w:color w:val="231F1F"/>
          <w:w w:val="105"/>
        </w:rPr>
        <w:t> alternativa</w:t>
      </w:r>
      <w:r>
        <w:rPr>
          <w:color w:val="231F1F"/>
          <w:w w:val="105"/>
        </w:rPr>
        <w:t> en</w:t>
      </w:r>
      <w:r>
        <w:rPr>
          <w:color w:val="231F1F"/>
          <w:w w:val="105"/>
        </w:rPr>
        <w:t> el</w:t>
      </w:r>
      <w:r>
        <w:rPr>
          <w:color w:val="231F1F"/>
          <w:w w:val="105"/>
        </w:rPr>
        <w:t> tratamiento</w:t>
      </w:r>
      <w:r>
        <w:rPr>
          <w:color w:val="231F1F"/>
          <w:w w:val="105"/>
        </w:rPr>
        <w:t> del</w:t>
      </w:r>
      <w:r>
        <w:rPr>
          <w:color w:val="231F1F"/>
          <w:w w:val="105"/>
        </w:rPr>
        <w:t> dolor</w:t>
      </w:r>
      <w:r>
        <w:rPr>
          <w:color w:val="231F1F"/>
          <w:w w:val="105"/>
        </w:rPr>
        <w:t> lumbar durante el parto.</w:t>
      </w:r>
    </w:p>
    <w:p>
      <w:pPr>
        <w:pStyle w:val="BodyText"/>
        <w:spacing w:line="249" w:lineRule="auto" w:before="86"/>
        <w:ind w:left="283" w:firstLine="453"/>
        <w:jc w:val="both"/>
      </w:pPr>
      <w:r>
        <w:rPr>
          <w:color w:val="231F1F"/>
          <w:w w:val="105"/>
        </w:rPr>
        <w:t>El ECA (293) ,que compara inyecciones de agua estéril con acupuntura, cuando</w:t>
      </w:r>
      <w:r>
        <w:rPr>
          <w:color w:val="231F1F"/>
          <w:w w:val="105"/>
        </w:rPr>
        <w:t> analiza</w:t>
      </w:r>
      <w:r>
        <w:rPr>
          <w:color w:val="231F1F"/>
          <w:w w:val="105"/>
        </w:rPr>
        <w:t> el</w:t>
      </w:r>
      <w:r>
        <w:rPr>
          <w:color w:val="231F1F"/>
          <w:w w:val="105"/>
        </w:rPr>
        <w:t> resultado</w:t>
      </w:r>
      <w:r>
        <w:rPr>
          <w:color w:val="231F1F"/>
          <w:w w:val="105"/>
        </w:rPr>
        <w:t> principal</w:t>
      </w:r>
      <w:r>
        <w:rPr>
          <w:color w:val="231F1F"/>
          <w:w w:val="105"/>
        </w:rPr>
        <w:t> que</w:t>
      </w:r>
      <w:r>
        <w:rPr>
          <w:color w:val="231F1F"/>
          <w:w w:val="105"/>
        </w:rPr>
        <w:t> es</w:t>
      </w:r>
      <w:r>
        <w:rPr>
          <w:color w:val="231F1F"/>
          <w:w w:val="105"/>
        </w:rPr>
        <w:t> la</w:t>
      </w:r>
      <w:r>
        <w:rPr>
          <w:color w:val="231F1F"/>
          <w:w w:val="105"/>
        </w:rPr>
        <w:t> diferencia</w:t>
      </w:r>
      <w:r>
        <w:rPr>
          <w:color w:val="231F1F"/>
          <w:w w:val="105"/>
        </w:rPr>
        <w:t> entre</w:t>
      </w:r>
      <w:r>
        <w:rPr>
          <w:color w:val="231F1F"/>
          <w:w w:val="105"/>
        </w:rPr>
        <w:t> el</w:t>
      </w:r>
      <w:r>
        <w:rPr>
          <w:color w:val="231F1F"/>
          <w:w w:val="105"/>
        </w:rPr>
        <w:t> nivel</w:t>
      </w:r>
      <w:r>
        <w:rPr>
          <w:color w:val="231F1F"/>
          <w:w w:val="105"/>
        </w:rPr>
        <w:t> de dolor</w:t>
      </w:r>
      <w:r>
        <w:rPr>
          <w:color w:val="231F1F"/>
          <w:w w:val="105"/>
        </w:rPr>
        <w:t> antes</w:t>
      </w:r>
      <w:r>
        <w:rPr>
          <w:color w:val="231F1F"/>
          <w:w w:val="105"/>
        </w:rPr>
        <w:t> del</w:t>
      </w:r>
      <w:r>
        <w:rPr>
          <w:color w:val="231F1F"/>
          <w:w w:val="105"/>
        </w:rPr>
        <w:t> tratamiento</w:t>
      </w:r>
      <w:r>
        <w:rPr>
          <w:color w:val="231F1F"/>
          <w:w w:val="105"/>
        </w:rPr>
        <w:t> y</w:t>
      </w:r>
      <w:r>
        <w:rPr>
          <w:color w:val="231F1F"/>
          <w:w w:val="105"/>
        </w:rPr>
        <w:t> el</w:t>
      </w:r>
      <w:r>
        <w:rPr>
          <w:color w:val="231F1F"/>
          <w:w w:val="105"/>
        </w:rPr>
        <w:t> máximo</w:t>
      </w:r>
      <w:r>
        <w:rPr>
          <w:color w:val="231F1F"/>
          <w:w w:val="105"/>
        </w:rPr>
        <w:t> dolor</w:t>
      </w:r>
      <w:r>
        <w:rPr>
          <w:color w:val="231F1F"/>
          <w:w w:val="105"/>
        </w:rPr>
        <w:t> alcanzado</w:t>
      </w:r>
      <w:r>
        <w:rPr>
          <w:color w:val="231F1F"/>
          <w:w w:val="105"/>
        </w:rPr>
        <w:t> en</w:t>
      </w:r>
      <w:r>
        <w:rPr>
          <w:color w:val="231F1F"/>
          <w:w w:val="105"/>
        </w:rPr>
        <w:t> los</w:t>
      </w:r>
      <w:r>
        <w:rPr>
          <w:color w:val="231F1F"/>
          <w:w w:val="105"/>
        </w:rPr>
        <w:t> dos</w:t>
      </w:r>
      <w:r>
        <w:rPr>
          <w:color w:val="231F1F"/>
          <w:w w:val="105"/>
        </w:rPr>
        <w:t> grupos, encuentra que las mujeres tratadas con inyecciones de agua estéril consiguen mayor alivio del dolor durante el parto que las tratadas con acupuntura: agua</w:t>
      </w:r>
    </w:p>
    <w:p>
      <w:pPr>
        <w:pStyle w:val="BodyText"/>
        <w:spacing w:line="249" w:lineRule="auto" w:before="14"/>
        <w:ind w:left="283"/>
        <w:jc w:val="both"/>
      </w:pPr>
      <w:r>
        <w:rPr>
          <w:color w:val="231F1F"/>
          <w:w w:val="105"/>
        </w:rPr>
        <w:t>-4,7±24,9</w:t>
      </w:r>
      <w:r>
        <w:rPr>
          <w:color w:val="231F1F"/>
          <w:spacing w:val="-7"/>
          <w:w w:val="105"/>
        </w:rPr>
        <w:t> </w:t>
      </w:r>
      <w:r>
        <w:rPr>
          <w:color w:val="231F1F"/>
          <w:w w:val="105"/>
        </w:rPr>
        <w:t>vs</w:t>
      </w:r>
      <w:r>
        <w:rPr>
          <w:color w:val="231F1F"/>
          <w:spacing w:val="-7"/>
          <w:w w:val="105"/>
        </w:rPr>
        <w:t> </w:t>
      </w:r>
      <w:r>
        <w:rPr>
          <w:color w:val="231F1F"/>
          <w:w w:val="105"/>
        </w:rPr>
        <w:t>acupuntura:</w:t>
      </w:r>
      <w:r>
        <w:rPr>
          <w:color w:val="231F1F"/>
          <w:spacing w:val="-6"/>
          <w:w w:val="105"/>
        </w:rPr>
        <w:t> </w:t>
      </w:r>
      <w:r>
        <w:rPr>
          <w:color w:val="231F1F"/>
          <w:w w:val="105"/>
        </w:rPr>
        <w:t>12±14,1</w:t>
      </w:r>
      <w:r>
        <w:rPr>
          <w:color w:val="231F1F"/>
          <w:spacing w:val="-7"/>
          <w:w w:val="105"/>
        </w:rPr>
        <w:t> </w:t>
      </w:r>
      <w:r>
        <w:rPr>
          <w:color w:val="231F1F"/>
          <w:w w:val="105"/>
        </w:rPr>
        <w:t>p&lt;0.001.</w:t>
      </w:r>
      <w:r>
        <w:rPr>
          <w:color w:val="231F1F"/>
          <w:spacing w:val="-7"/>
          <w:w w:val="105"/>
        </w:rPr>
        <w:t> </w:t>
      </w:r>
      <w:r>
        <w:rPr>
          <w:color w:val="231F1F"/>
          <w:w w:val="105"/>
        </w:rPr>
        <w:t>Y</w:t>
      </w:r>
      <w:r>
        <w:rPr>
          <w:color w:val="231F1F"/>
          <w:spacing w:val="-6"/>
          <w:w w:val="105"/>
        </w:rPr>
        <w:t> </w:t>
      </w:r>
      <w:r>
        <w:rPr>
          <w:color w:val="231F1F"/>
          <w:w w:val="105"/>
        </w:rPr>
        <w:t>lo</w:t>
      </w:r>
      <w:r>
        <w:rPr>
          <w:color w:val="231F1F"/>
          <w:spacing w:val="-7"/>
          <w:w w:val="105"/>
        </w:rPr>
        <w:t> </w:t>
      </w:r>
      <w:r>
        <w:rPr>
          <w:color w:val="231F1F"/>
          <w:w w:val="105"/>
        </w:rPr>
        <w:t>mismo</w:t>
      </w:r>
      <w:r>
        <w:rPr>
          <w:color w:val="231F1F"/>
          <w:spacing w:val="-7"/>
          <w:w w:val="105"/>
        </w:rPr>
        <w:t> </w:t>
      </w:r>
      <w:r>
        <w:rPr>
          <w:color w:val="231F1F"/>
          <w:w w:val="105"/>
        </w:rPr>
        <w:t>ocurre</w:t>
      </w:r>
      <w:r>
        <w:rPr>
          <w:color w:val="231F1F"/>
          <w:spacing w:val="-7"/>
          <w:w w:val="105"/>
        </w:rPr>
        <w:t> </w:t>
      </w:r>
      <w:r>
        <w:rPr>
          <w:color w:val="231F1F"/>
          <w:w w:val="105"/>
        </w:rPr>
        <w:t>cuando</w:t>
      </w:r>
      <w:r>
        <w:rPr>
          <w:color w:val="231F1F"/>
          <w:spacing w:val="-6"/>
          <w:w w:val="105"/>
        </w:rPr>
        <w:t> </w:t>
      </w:r>
      <w:r>
        <w:rPr>
          <w:color w:val="231F1F"/>
          <w:w w:val="105"/>
        </w:rPr>
        <w:t>se</w:t>
      </w:r>
      <w:r>
        <w:rPr>
          <w:color w:val="231F1F"/>
          <w:spacing w:val="-7"/>
          <w:w w:val="105"/>
        </w:rPr>
        <w:t> </w:t>
      </w:r>
      <w:r>
        <w:rPr>
          <w:color w:val="231F1F"/>
          <w:w w:val="105"/>
        </w:rPr>
        <w:t>mide la diferencia en la media de dolor: agua: 57,0±22,7 vs acupuntura: 75,6±18,7 p&lt;0.001, aunque no se observaron diferencias en los requerimientos de anal- gesia neuroaxial.</w:t>
      </w:r>
    </w:p>
    <w:p>
      <w:pPr>
        <w:pStyle w:val="BodyText"/>
        <w:spacing w:line="244" w:lineRule="auto" w:before="85"/>
        <w:ind w:left="283" w:firstLine="453"/>
        <w:jc w:val="both"/>
      </w:pPr>
      <w:r>
        <w:rPr>
          <w:color w:val="231F1F"/>
          <w:w w:val="105"/>
        </w:rPr>
        <w:t>Un resultado secundario mide la relajación y muestra que las mujeres del grupo</w:t>
      </w:r>
      <w:r>
        <w:rPr>
          <w:color w:val="231F1F"/>
          <w:w w:val="105"/>
        </w:rPr>
        <w:t> de</w:t>
      </w:r>
      <w:r>
        <w:rPr>
          <w:color w:val="231F1F"/>
          <w:w w:val="105"/>
        </w:rPr>
        <w:t> agua</w:t>
      </w:r>
      <w:r>
        <w:rPr>
          <w:color w:val="231F1F"/>
          <w:w w:val="105"/>
        </w:rPr>
        <w:t> estéril</w:t>
      </w:r>
      <w:r>
        <w:rPr>
          <w:color w:val="231F1F"/>
          <w:w w:val="105"/>
        </w:rPr>
        <w:t> alcanzan</w:t>
      </w:r>
      <w:r>
        <w:rPr>
          <w:color w:val="231F1F"/>
          <w:w w:val="105"/>
        </w:rPr>
        <w:t> un</w:t>
      </w:r>
      <w:r>
        <w:rPr>
          <w:color w:val="231F1F"/>
          <w:w w:val="105"/>
        </w:rPr>
        <w:t> mayor</w:t>
      </w:r>
      <w:r>
        <w:rPr>
          <w:color w:val="231F1F"/>
          <w:w w:val="105"/>
        </w:rPr>
        <w:t> grado</w:t>
      </w:r>
      <w:r>
        <w:rPr>
          <w:color w:val="231F1F"/>
          <w:w w:val="105"/>
        </w:rPr>
        <w:t> de</w:t>
      </w:r>
      <w:r>
        <w:rPr>
          <w:color w:val="231F1F"/>
          <w:w w:val="105"/>
        </w:rPr>
        <w:t> relajación:</w:t>
      </w:r>
      <w:r>
        <w:rPr>
          <w:color w:val="231F1F"/>
          <w:w w:val="105"/>
        </w:rPr>
        <w:t> Relajación </w:t>
      </w:r>
      <w:r>
        <w:rPr>
          <w:color w:val="231F1F"/>
          <w:spacing w:val="-2"/>
          <w:w w:val="105"/>
        </w:rPr>
        <w:t>máxima:</w:t>
      </w:r>
      <w:r>
        <w:rPr>
          <w:color w:val="231F1F"/>
          <w:spacing w:val="-9"/>
          <w:w w:val="105"/>
        </w:rPr>
        <w:t> </w:t>
      </w:r>
      <w:r>
        <w:rPr>
          <w:color w:val="231F1F"/>
          <w:spacing w:val="-2"/>
          <w:w w:val="105"/>
        </w:rPr>
        <w:t>agua:</w:t>
      </w:r>
      <w:r>
        <w:rPr>
          <w:color w:val="231F1F"/>
          <w:spacing w:val="-9"/>
          <w:w w:val="105"/>
        </w:rPr>
        <w:t> </w:t>
      </w:r>
      <w:r>
        <w:rPr>
          <w:color w:val="231F1F"/>
          <w:spacing w:val="-2"/>
          <w:w w:val="105"/>
        </w:rPr>
        <w:t>-4,4±23,9</w:t>
      </w:r>
      <w:r>
        <w:rPr>
          <w:color w:val="231F1F"/>
          <w:spacing w:val="-9"/>
          <w:w w:val="105"/>
        </w:rPr>
        <w:t> </w:t>
      </w:r>
      <w:r>
        <w:rPr>
          <w:color w:val="231F1F"/>
          <w:spacing w:val="-2"/>
          <w:w w:val="105"/>
        </w:rPr>
        <w:t>vs</w:t>
      </w:r>
      <w:r>
        <w:rPr>
          <w:color w:val="231F1F"/>
          <w:spacing w:val="-9"/>
          <w:w w:val="105"/>
        </w:rPr>
        <w:t> </w:t>
      </w:r>
      <w:r>
        <w:rPr>
          <w:color w:val="231F1F"/>
          <w:spacing w:val="-2"/>
          <w:w w:val="105"/>
        </w:rPr>
        <w:t>acupuntura:</w:t>
      </w:r>
      <w:r>
        <w:rPr>
          <w:color w:val="231F1F"/>
          <w:spacing w:val="-9"/>
          <w:w w:val="105"/>
        </w:rPr>
        <w:t> </w:t>
      </w:r>
      <w:r>
        <w:rPr>
          <w:color w:val="231F1F"/>
          <w:spacing w:val="-2"/>
          <w:w w:val="105"/>
        </w:rPr>
        <w:t>11,4±21,2;</w:t>
      </w:r>
      <w:r>
        <w:rPr>
          <w:color w:val="231F1F"/>
          <w:spacing w:val="-10"/>
          <w:w w:val="105"/>
        </w:rPr>
        <w:t> </w:t>
      </w:r>
      <w:r>
        <w:rPr>
          <w:color w:val="231F1F"/>
          <w:spacing w:val="-2"/>
          <w:w w:val="105"/>
        </w:rPr>
        <w:t>p&lt;0,001</w:t>
      </w:r>
      <w:r>
        <w:rPr>
          <w:color w:val="231F1F"/>
          <w:spacing w:val="-9"/>
          <w:w w:val="105"/>
        </w:rPr>
        <w:t> </w:t>
      </w:r>
      <w:r>
        <w:rPr>
          <w:color w:val="231F1F"/>
          <w:spacing w:val="-2"/>
          <w:w w:val="105"/>
        </w:rPr>
        <w:t>y</w:t>
      </w:r>
      <w:r>
        <w:rPr>
          <w:color w:val="231F1F"/>
          <w:spacing w:val="-9"/>
          <w:w w:val="105"/>
        </w:rPr>
        <w:t> </w:t>
      </w:r>
      <w:r>
        <w:rPr>
          <w:color w:val="231F1F"/>
          <w:spacing w:val="-2"/>
          <w:w w:val="105"/>
        </w:rPr>
        <w:t>relajación</w:t>
      </w:r>
      <w:r>
        <w:rPr>
          <w:color w:val="231F1F"/>
          <w:spacing w:val="-9"/>
          <w:w w:val="105"/>
        </w:rPr>
        <w:t> </w:t>
      </w:r>
      <w:r>
        <w:rPr>
          <w:color w:val="231F1F"/>
          <w:spacing w:val="-2"/>
          <w:w w:val="105"/>
        </w:rPr>
        <w:t>media: </w:t>
      </w:r>
      <w:r>
        <w:rPr>
          <w:color w:val="231F1F"/>
          <w:w w:val="105"/>
        </w:rPr>
        <w:t>agua: 56,6±22,2 vs acupuntura: 68,6±22,7; p&lt;0,003.</w:t>
      </w:r>
    </w:p>
    <w:p>
      <w:pPr>
        <w:pStyle w:val="BodyText"/>
        <w:spacing w:before="67"/>
        <w:ind w:left="283" w:right="1" w:firstLine="453"/>
        <w:jc w:val="both"/>
      </w:pPr>
      <w:r>
        <w:rPr>
          <w:color w:val="231F1F"/>
          <w:spacing w:val="-2"/>
          <w:w w:val="110"/>
        </w:rPr>
        <w:t>Concluye</w:t>
      </w:r>
      <w:r>
        <w:rPr>
          <w:color w:val="231F1F"/>
          <w:spacing w:val="-6"/>
          <w:w w:val="110"/>
        </w:rPr>
        <w:t> </w:t>
      </w:r>
      <w:r>
        <w:rPr>
          <w:color w:val="231F1F"/>
          <w:spacing w:val="-2"/>
          <w:w w:val="110"/>
        </w:rPr>
        <w:t>que</w:t>
      </w:r>
      <w:r>
        <w:rPr>
          <w:color w:val="231F1F"/>
          <w:spacing w:val="-6"/>
          <w:w w:val="110"/>
        </w:rPr>
        <w:t> </w:t>
      </w:r>
      <w:r>
        <w:rPr>
          <w:color w:val="231F1F"/>
          <w:spacing w:val="-2"/>
          <w:w w:val="110"/>
        </w:rPr>
        <w:t>las</w:t>
      </w:r>
      <w:r>
        <w:rPr>
          <w:color w:val="231F1F"/>
          <w:spacing w:val="-6"/>
          <w:w w:val="110"/>
        </w:rPr>
        <w:t> </w:t>
      </w:r>
      <w:r>
        <w:rPr>
          <w:color w:val="231F1F"/>
          <w:spacing w:val="-2"/>
          <w:w w:val="110"/>
        </w:rPr>
        <w:t>mujeres</w:t>
      </w:r>
      <w:r>
        <w:rPr>
          <w:color w:val="231F1F"/>
          <w:spacing w:val="-6"/>
          <w:w w:val="110"/>
        </w:rPr>
        <w:t> </w:t>
      </w:r>
      <w:r>
        <w:rPr>
          <w:color w:val="231F1F"/>
          <w:spacing w:val="-2"/>
          <w:w w:val="110"/>
        </w:rPr>
        <w:t>tratadas</w:t>
      </w:r>
      <w:r>
        <w:rPr>
          <w:color w:val="231F1F"/>
          <w:spacing w:val="-6"/>
          <w:w w:val="110"/>
        </w:rPr>
        <w:t> </w:t>
      </w:r>
      <w:r>
        <w:rPr>
          <w:color w:val="231F1F"/>
          <w:spacing w:val="-2"/>
          <w:w w:val="110"/>
        </w:rPr>
        <w:t>con</w:t>
      </w:r>
      <w:r>
        <w:rPr>
          <w:color w:val="231F1F"/>
          <w:spacing w:val="-5"/>
          <w:w w:val="110"/>
        </w:rPr>
        <w:t> </w:t>
      </w:r>
      <w:r>
        <w:rPr>
          <w:color w:val="231F1F"/>
          <w:spacing w:val="-2"/>
          <w:w w:val="110"/>
        </w:rPr>
        <w:t>agua</w:t>
      </w:r>
      <w:r>
        <w:rPr>
          <w:color w:val="231F1F"/>
          <w:spacing w:val="-5"/>
          <w:w w:val="110"/>
        </w:rPr>
        <w:t> </w:t>
      </w:r>
      <w:r>
        <w:rPr>
          <w:color w:val="231F1F"/>
          <w:spacing w:val="-2"/>
          <w:w w:val="110"/>
        </w:rPr>
        <w:t>estéril</w:t>
      </w:r>
      <w:r>
        <w:rPr>
          <w:color w:val="231F1F"/>
          <w:spacing w:val="-6"/>
          <w:w w:val="110"/>
        </w:rPr>
        <w:t> </w:t>
      </w:r>
      <w:r>
        <w:rPr>
          <w:color w:val="231F1F"/>
          <w:spacing w:val="-2"/>
          <w:w w:val="110"/>
        </w:rPr>
        <w:t>experimentan</w:t>
      </w:r>
      <w:r>
        <w:rPr>
          <w:color w:val="231F1F"/>
          <w:spacing w:val="-5"/>
          <w:w w:val="110"/>
        </w:rPr>
        <w:t> </w:t>
      </w:r>
      <w:r>
        <w:rPr>
          <w:color w:val="231F1F"/>
          <w:spacing w:val="-2"/>
          <w:w w:val="110"/>
        </w:rPr>
        <w:t>mayor </w:t>
      </w:r>
      <w:r>
        <w:rPr>
          <w:color w:val="231F1F"/>
          <w:w w:val="110"/>
        </w:rPr>
        <w:t>alivio del dolor lumbar que las tratadas con acupuntura.</w:t>
      </w:r>
    </w:p>
    <w:p>
      <w:pPr>
        <w:pStyle w:val="BodyText"/>
        <w:spacing w:line="249" w:lineRule="auto" w:before="157"/>
        <w:ind w:left="283" w:right="1" w:firstLine="453"/>
        <w:jc w:val="both"/>
      </w:pPr>
      <w:r>
        <w:rPr>
          <w:color w:val="231F1F"/>
          <w:spacing w:val="-2"/>
          <w:w w:val="110"/>
        </w:rPr>
        <w:t>En</w:t>
      </w:r>
      <w:r>
        <w:rPr>
          <w:color w:val="231F1F"/>
          <w:spacing w:val="-9"/>
          <w:w w:val="110"/>
        </w:rPr>
        <w:t> </w:t>
      </w:r>
      <w:r>
        <w:rPr>
          <w:color w:val="231F1F"/>
          <w:spacing w:val="-2"/>
          <w:w w:val="110"/>
        </w:rPr>
        <w:t>la</w:t>
      </w:r>
      <w:r>
        <w:rPr>
          <w:color w:val="231F1F"/>
          <w:spacing w:val="-9"/>
          <w:w w:val="110"/>
        </w:rPr>
        <w:t> </w:t>
      </w:r>
      <w:r>
        <w:rPr>
          <w:color w:val="231F1F"/>
          <w:spacing w:val="-2"/>
          <w:w w:val="110"/>
        </w:rPr>
        <w:t>nueva</w:t>
      </w:r>
      <w:r>
        <w:rPr>
          <w:color w:val="231F1F"/>
          <w:spacing w:val="-9"/>
          <w:w w:val="110"/>
        </w:rPr>
        <w:t> </w:t>
      </w:r>
      <w:r>
        <w:rPr>
          <w:color w:val="231F1F"/>
          <w:spacing w:val="-2"/>
          <w:w w:val="110"/>
        </w:rPr>
        <w:t>evidencia</w:t>
      </w:r>
      <w:r>
        <w:rPr>
          <w:color w:val="231F1F"/>
          <w:spacing w:val="-9"/>
          <w:w w:val="110"/>
        </w:rPr>
        <w:t> </w:t>
      </w:r>
      <w:r>
        <w:rPr>
          <w:color w:val="231F1F"/>
          <w:spacing w:val="-2"/>
          <w:w w:val="110"/>
        </w:rPr>
        <w:t>encontrada</w:t>
      </w:r>
      <w:r>
        <w:rPr>
          <w:color w:val="231F1F"/>
          <w:spacing w:val="-9"/>
          <w:w w:val="110"/>
        </w:rPr>
        <w:t> </w:t>
      </w:r>
      <w:r>
        <w:rPr>
          <w:color w:val="231F1F"/>
          <w:spacing w:val="-2"/>
          <w:w w:val="110"/>
        </w:rPr>
        <w:t>se</w:t>
      </w:r>
      <w:r>
        <w:rPr>
          <w:color w:val="231F1F"/>
          <w:spacing w:val="-9"/>
          <w:w w:val="110"/>
        </w:rPr>
        <w:t> </w:t>
      </w:r>
      <w:r>
        <w:rPr>
          <w:color w:val="231F1F"/>
          <w:spacing w:val="-2"/>
          <w:w w:val="110"/>
        </w:rPr>
        <w:t>observa</w:t>
      </w:r>
      <w:r>
        <w:rPr>
          <w:color w:val="231F1F"/>
          <w:spacing w:val="-9"/>
          <w:w w:val="110"/>
        </w:rPr>
        <w:t> </w:t>
      </w:r>
      <w:r>
        <w:rPr>
          <w:color w:val="231F1F"/>
          <w:spacing w:val="-2"/>
          <w:w w:val="110"/>
        </w:rPr>
        <w:t>una</w:t>
      </w:r>
      <w:r>
        <w:rPr>
          <w:color w:val="231F1F"/>
          <w:spacing w:val="-9"/>
          <w:w w:val="110"/>
        </w:rPr>
        <w:t> </w:t>
      </w:r>
      <w:r>
        <w:rPr>
          <w:color w:val="231F1F"/>
          <w:spacing w:val="-2"/>
          <w:w w:val="110"/>
        </w:rPr>
        <w:t>disminución</w:t>
      </w:r>
      <w:r>
        <w:rPr>
          <w:color w:val="231F1F"/>
          <w:spacing w:val="-9"/>
          <w:w w:val="110"/>
        </w:rPr>
        <w:t> </w:t>
      </w:r>
      <w:r>
        <w:rPr>
          <w:color w:val="231F1F"/>
          <w:spacing w:val="-2"/>
          <w:w w:val="110"/>
        </w:rPr>
        <w:t>significa- </w:t>
      </w:r>
      <w:r>
        <w:rPr>
          <w:color w:val="231F1F"/>
          <w:w w:val="110"/>
        </w:rPr>
        <w:t>tiva</w:t>
      </w:r>
      <w:r>
        <w:rPr>
          <w:color w:val="231F1F"/>
          <w:spacing w:val="-2"/>
          <w:w w:val="110"/>
        </w:rPr>
        <w:t> </w:t>
      </w:r>
      <w:r>
        <w:rPr>
          <w:color w:val="231F1F"/>
          <w:w w:val="110"/>
        </w:rPr>
        <w:t>del</w:t>
      </w:r>
      <w:r>
        <w:rPr>
          <w:color w:val="231F1F"/>
          <w:spacing w:val="-3"/>
          <w:w w:val="110"/>
        </w:rPr>
        <w:t> </w:t>
      </w:r>
      <w:r>
        <w:rPr>
          <w:color w:val="231F1F"/>
          <w:w w:val="110"/>
        </w:rPr>
        <w:t>dolor</w:t>
      </w:r>
      <w:r>
        <w:rPr>
          <w:color w:val="231F1F"/>
          <w:spacing w:val="-2"/>
          <w:w w:val="110"/>
        </w:rPr>
        <w:t> </w:t>
      </w:r>
      <w:r>
        <w:rPr>
          <w:color w:val="231F1F"/>
          <w:w w:val="110"/>
        </w:rPr>
        <w:t>con</w:t>
      </w:r>
      <w:r>
        <w:rPr>
          <w:color w:val="231F1F"/>
          <w:spacing w:val="-2"/>
          <w:w w:val="110"/>
        </w:rPr>
        <w:t> </w:t>
      </w:r>
      <w:r>
        <w:rPr>
          <w:color w:val="231F1F"/>
          <w:w w:val="110"/>
        </w:rPr>
        <w:t>la</w:t>
      </w:r>
      <w:r>
        <w:rPr>
          <w:color w:val="231F1F"/>
          <w:spacing w:val="-2"/>
          <w:w w:val="110"/>
        </w:rPr>
        <w:t> </w:t>
      </w:r>
      <w:r>
        <w:rPr>
          <w:color w:val="231F1F"/>
          <w:w w:val="110"/>
        </w:rPr>
        <w:t>utilización</w:t>
      </w:r>
      <w:r>
        <w:rPr>
          <w:color w:val="231F1F"/>
          <w:spacing w:val="-2"/>
          <w:w w:val="110"/>
        </w:rPr>
        <w:t> </w:t>
      </w:r>
      <w:r>
        <w:rPr>
          <w:color w:val="231F1F"/>
          <w:w w:val="110"/>
        </w:rPr>
        <w:t>de</w:t>
      </w:r>
      <w:r>
        <w:rPr>
          <w:color w:val="231F1F"/>
          <w:spacing w:val="-2"/>
          <w:w w:val="110"/>
        </w:rPr>
        <w:t> </w:t>
      </w:r>
      <w:r>
        <w:rPr>
          <w:color w:val="231F1F"/>
          <w:w w:val="110"/>
        </w:rPr>
        <w:t>agua</w:t>
      </w:r>
      <w:r>
        <w:rPr>
          <w:color w:val="231F1F"/>
          <w:spacing w:val="-2"/>
          <w:w w:val="110"/>
        </w:rPr>
        <w:t> </w:t>
      </w:r>
      <w:r>
        <w:rPr>
          <w:color w:val="231F1F"/>
          <w:w w:val="110"/>
        </w:rPr>
        <w:t>estéril</w:t>
      </w:r>
      <w:r>
        <w:rPr>
          <w:color w:val="231F1F"/>
          <w:spacing w:val="-2"/>
          <w:w w:val="110"/>
        </w:rPr>
        <w:t> </w:t>
      </w:r>
      <w:r>
        <w:rPr>
          <w:color w:val="231F1F"/>
          <w:w w:val="110"/>
        </w:rPr>
        <w:t>frente</w:t>
      </w:r>
      <w:r>
        <w:rPr>
          <w:color w:val="231F1F"/>
          <w:spacing w:val="-2"/>
          <w:w w:val="110"/>
        </w:rPr>
        <w:t> </w:t>
      </w:r>
      <w:r>
        <w:rPr>
          <w:color w:val="231F1F"/>
          <w:w w:val="110"/>
        </w:rPr>
        <w:t>a</w:t>
      </w:r>
      <w:r>
        <w:rPr>
          <w:color w:val="231F1F"/>
          <w:spacing w:val="-2"/>
          <w:w w:val="110"/>
        </w:rPr>
        <w:t> </w:t>
      </w:r>
      <w:r>
        <w:rPr>
          <w:color w:val="231F1F"/>
          <w:w w:val="110"/>
        </w:rPr>
        <w:t>acupuntura,</w:t>
      </w:r>
      <w:r>
        <w:rPr>
          <w:color w:val="231F1F"/>
          <w:spacing w:val="-2"/>
          <w:w w:val="110"/>
        </w:rPr>
        <w:t> </w:t>
      </w:r>
      <w:r>
        <w:rPr>
          <w:color w:val="231F1F"/>
          <w:w w:val="110"/>
        </w:rPr>
        <w:t>además de</w:t>
      </w:r>
      <w:r>
        <w:rPr>
          <w:color w:val="231F1F"/>
          <w:spacing w:val="-12"/>
          <w:w w:val="110"/>
        </w:rPr>
        <w:t> </w:t>
      </w:r>
      <w:r>
        <w:rPr>
          <w:color w:val="231F1F"/>
          <w:w w:val="110"/>
        </w:rPr>
        <w:t>conseguir</w:t>
      </w:r>
      <w:r>
        <w:rPr>
          <w:color w:val="231F1F"/>
          <w:spacing w:val="-12"/>
          <w:w w:val="110"/>
        </w:rPr>
        <w:t> </w:t>
      </w:r>
      <w:r>
        <w:rPr>
          <w:color w:val="231F1F"/>
          <w:w w:val="110"/>
        </w:rPr>
        <w:t>una</w:t>
      </w:r>
      <w:r>
        <w:rPr>
          <w:color w:val="231F1F"/>
          <w:spacing w:val="-12"/>
          <w:w w:val="110"/>
        </w:rPr>
        <w:t> </w:t>
      </w:r>
      <w:r>
        <w:rPr>
          <w:color w:val="231F1F"/>
          <w:w w:val="110"/>
        </w:rPr>
        <w:t>mayor</w:t>
      </w:r>
      <w:r>
        <w:rPr>
          <w:color w:val="231F1F"/>
          <w:spacing w:val="-13"/>
          <w:w w:val="110"/>
        </w:rPr>
        <w:t> </w:t>
      </w:r>
      <w:r>
        <w:rPr>
          <w:color w:val="231F1F"/>
          <w:w w:val="110"/>
        </w:rPr>
        <w:t>relajación.</w:t>
      </w:r>
      <w:r>
        <w:rPr>
          <w:color w:val="231F1F"/>
          <w:spacing w:val="-12"/>
          <w:w w:val="110"/>
        </w:rPr>
        <w:t> </w:t>
      </w:r>
      <w:r>
        <w:rPr>
          <w:color w:val="231F1F"/>
          <w:w w:val="110"/>
        </w:rPr>
        <w:t>Aunque</w:t>
      </w:r>
      <w:r>
        <w:rPr>
          <w:color w:val="231F1F"/>
          <w:spacing w:val="-12"/>
          <w:w w:val="110"/>
        </w:rPr>
        <w:t> </w:t>
      </w:r>
      <w:r>
        <w:rPr>
          <w:color w:val="231F1F"/>
          <w:w w:val="110"/>
        </w:rPr>
        <w:t>los</w:t>
      </w:r>
      <w:r>
        <w:rPr>
          <w:color w:val="231F1F"/>
          <w:spacing w:val="-13"/>
          <w:w w:val="110"/>
        </w:rPr>
        <w:t> </w:t>
      </w:r>
      <w:r>
        <w:rPr>
          <w:color w:val="231F1F"/>
          <w:w w:val="110"/>
        </w:rPr>
        <w:t>estudios</w:t>
      </w:r>
      <w:r>
        <w:rPr>
          <w:color w:val="231F1F"/>
          <w:spacing w:val="-12"/>
          <w:w w:val="110"/>
        </w:rPr>
        <w:t> </w:t>
      </w:r>
      <w:r>
        <w:rPr>
          <w:color w:val="231F1F"/>
          <w:w w:val="110"/>
        </w:rPr>
        <w:t>seleccionados</w:t>
      </w:r>
      <w:r>
        <w:rPr>
          <w:color w:val="231F1F"/>
          <w:spacing w:val="-13"/>
          <w:w w:val="110"/>
        </w:rPr>
        <w:t> </w:t>
      </w:r>
      <w:r>
        <w:rPr>
          <w:color w:val="231F1F"/>
          <w:w w:val="110"/>
        </w:rPr>
        <w:t>en</w:t>
      </w:r>
      <w:r>
        <w:rPr>
          <w:color w:val="231F1F"/>
          <w:spacing w:val="-12"/>
          <w:w w:val="110"/>
        </w:rPr>
        <w:t> </w:t>
      </w:r>
      <w:r>
        <w:rPr>
          <w:color w:val="231F1F"/>
          <w:w w:val="110"/>
        </w:rPr>
        <w:t>la </w:t>
      </w:r>
      <w:r>
        <w:rPr>
          <w:color w:val="231F1F"/>
          <w:spacing w:val="-2"/>
          <w:w w:val="110"/>
        </w:rPr>
        <w:t>actualización</w:t>
      </w:r>
      <w:r>
        <w:rPr>
          <w:color w:val="231F1F"/>
          <w:spacing w:val="-11"/>
          <w:w w:val="110"/>
        </w:rPr>
        <w:t> </w:t>
      </w:r>
      <w:r>
        <w:rPr>
          <w:color w:val="231F1F"/>
          <w:spacing w:val="-2"/>
          <w:w w:val="110"/>
        </w:rPr>
        <w:t>podrían</w:t>
      </w:r>
      <w:r>
        <w:rPr>
          <w:color w:val="231F1F"/>
          <w:spacing w:val="-11"/>
          <w:w w:val="110"/>
        </w:rPr>
        <w:t> </w:t>
      </w:r>
      <w:r>
        <w:rPr>
          <w:color w:val="231F1F"/>
          <w:spacing w:val="-2"/>
          <w:w w:val="110"/>
        </w:rPr>
        <w:t>tener</w:t>
      </w:r>
      <w:r>
        <w:rPr>
          <w:color w:val="231F1F"/>
          <w:spacing w:val="-11"/>
          <w:w w:val="110"/>
        </w:rPr>
        <w:t> </w:t>
      </w:r>
      <w:r>
        <w:rPr>
          <w:color w:val="231F1F"/>
          <w:spacing w:val="-2"/>
          <w:w w:val="110"/>
        </w:rPr>
        <w:t>algún</w:t>
      </w:r>
      <w:r>
        <w:rPr>
          <w:color w:val="231F1F"/>
          <w:spacing w:val="-11"/>
          <w:w w:val="110"/>
        </w:rPr>
        <w:t> </w:t>
      </w:r>
      <w:r>
        <w:rPr>
          <w:color w:val="231F1F"/>
          <w:spacing w:val="-2"/>
          <w:w w:val="110"/>
        </w:rPr>
        <w:t>riesgo</w:t>
      </w:r>
      <w:r>
        <w:rPr>
          <w:color w:val="231F1F"/>
          <w:spacing w:val="-11"/>
          <w:w w:val="110"/>
        </w:rPr>
        <w:t> </w:t>
      </w:r>
      <w:r>
        <w:rPr>
          <w:color w:val="231F1F"/>
          <w:spacing w:val="-2"/>
          <w:w w:val="110"/>
        </w:rPr>
        <w:t>de</w:t>
      </w:r>
      <w:r>
        <w:rPr>
          <w:color w:val="231F1F"/>
          <w:spacing w:val="-11"/>
          <w:w w:val="110"/>
        </w:rPr>
        <w:t> </w:t>
      </w:r>
      <w:r>
        <w:rPr>
          <w:color w:val="231F1F"/>
          <w:spacing w:val="-2"/>
          <w:w w:val="110"/>
        </w:rPr>
        <w:t>sesgo,</w:t>
      </w:r>
      <w:r>
        <w:rPr>
          <w:color w:val="231F1F"/>
          <w:spacing w:val="-11"/>
          <w:w w:val="110"/>
        </w:rPr>
        <w:t> </w:t>
      </w:r>
      <w:r>
        <w:rPr>
          <w:color w:val="231F1F"/>
          <w:spacing w:val="-2"/>
          <w:w w:val="110"/>
        </w:rPr>
        <w:t>parece</w:t>
      </w:r>
      <w:r>
        <w:rPr>
          <w:color w:val="231F1F"/>
          <w:spacing w:val="-11"/>
          <w:w w:val="110"/>
        </w:rPr>
        <w:t> </w:t>
      </w:r>
      <w:r>
        <w:rPr>
          <w:color w:val="231F1F"/>
          <w:spacing w:val="-2"/>
          <w:w w:val="110"/>
        </w:rPr>
        <w:t>que</w:t>
      </w:r>
      <w:r>
        <w:rPr>
          <w:color w:val="231F1F"/>
          <w:spacing w:val="-11"/>
          <w:w w:val="110"/>
        </w:rPr>
        <w:t> </w:t>
      </w:r>
      <w:r>
        <w:rPr>
          <w:color w:val="231F1F"/>
          <w:spacing w:val="-2"/>
          <w:w w:val="110"/>
        </w:rPr>
        <w:t>la</w:t>
      </w:r>
      <w:r>
        <w:rPr>
          <w:color w:val="231F1F"/>
          <w:spacing w:val="-11"/>
          <w:w w:val="110"/>
        </w:rPr>
        <w:t> </w:t>
      </w:r>
      <w:r>
        <w:rPr>
          <w:color w:val="231F1F"/>
          <w:spacing w:val="-2"/>
          <w:w w:val="110"/>
        </w:rPr>
        <w:t>dirección</w:t>
      </w:r>
      <w:r>
        <w:rPr>
          <w:color w:val="231F1F"/>
          <w:spacing w:val="-11"/>
          <w:w w:val="110"/>
        </w:rPr>
        <w:t> </w:t>
      </w:r>
      <w:r>
        <w:rPr>
          <w:color w:val="231F1F"/>
          <w:spacing w:val="-2"/>
          <w:w w:val="110"/>
        </w:rPr>
        <w:t>del </w:t>
      </w:r>
      <w:r>
        <w:rPr>
          <w:color w:val="231F1F"/>
          <w:w w:val="110"/>
        </w:rPr>
        <w:t>efecto del tratamiento siempre es la misma. Sin embargo, hay que tener en cuenta</w:t>
      </w:r>
      <w:r>
        <w:rPr>
          <w:color w:val="231F1F"/>
          <w:spacing w:val="-11"/>
          <w:w w:val="110"/>
        </w:rPr>
        <w:t> </w:t>
      </w:r>
      <w:r>
        <w:rPr>
          <w:color w:val="231F1F"/>
          <w:w w:val="110"/>
        </w:rPr>
        <w:t>que</w:t>
      </w:r>
      <w:r>
        <w:rPr>
          <w:color w:val="231F1F"/>
          <w:spacing w:val="-11"/>
          <w:w w:val="110"/>
        </w:rPr>
        <w:t> </w:t>
      </w:r>
      <w:r>
        <w:rPr>
          <w:color w:val="231F1F"/>
          <w:w w:val="110"/>
        </w:rPr>
        <w:t>la</w:t>
      </w:r>
      <w:r>
        <w:rPr>
          <w:color w:val="231F1F"/>
          <w:spacing w:val="-11"/>
          <w:w w:val="110"/>
        </w:rPr>
        <w:t> </w:t>
      </w:r>
      <w:r>
        <w:rPr>
          <w:color w:val="231F1F"/>
          <w:w w:val="110"/>
        </w:rPr>
        <w:t>evidencia</w:t>
      </w:r>
      <w:r>
        <w:rPr>
          <w:color w:val="231F1F"/>
          <w:spacing w:val="-11"/>
          <w:w w:val="110"/>
        </w:rPr>
        <w:t> </w:t>
      </w:r>
      <w:r>
        <w:rPr>
          <w:color w:val="231F1F"/>
          <w:w w:val="110"/>
        </w:rPr>
        <w:t>es</w:t>
      </w:r>
      <w:r>
        <w:rPr>
          <w:color w:val="231F1F"/>
          <w:spacing w:val="-11"/>
          <w:w w:val="110"/>
        </w:rPr>
        <w:t> </w:t>
      </w:r>
      <w:r>
        <w:rPr>
          <w:color w:val="231F1F"/>
          <w:w w:val="110"/>
        </w:rPr>
        <w:t>indirecta</w:t>
      </w:r>
      <w:r>
        <w:rPr>
          <w:color w:val="231F1F"/>
          <w:spacing w:val="-11"/>
          <w:w w:val="110"/>
        </w:rPr>
        <w:t> </w:t>
      </w:r>
      <w:r>
        <w:rPr>
          <w:color w:val="231F1F"/>
          <w:w w:val="110"/>
        </w:rPr>
        <w:t>debido</w:t>
      </w:r>
      <w:r>
        <w:rPr>
          <w:color w:val="231F1F"/>
          <w:spacing w:val="-11"/>
          <w:w w:val="110"/>
        </w:rPr>
        <w:t> </w:t>
      </w:r>
      <w:r>
        <w:rPr>
          <w:color w:val="231F1F"/>
          <w:w w:val="110"/>
        </w:rPr>
        <w:t>a</w:t>
      </w:r>
      <w:r>
        <w:rPr>
          <w:color w:val="231F1F"/>
          <w:spacing w:val="-11"/>
          <w:w w:val="110"/>
        </w:rPr>
        <w:t> </w:t>
      </w:r>
      <w:r>
        <w:rPr>
          <w:color w:val="231F1F"/>
          <w:w w:val="110"/>
        </w:rPr>
        <w:t>la</w:t>
      </w:r>
      <w:r>
        <w:rPr>
          <w:color w:val="231F1F"/>
          <w:spacing w:val="-11"/>
          <w:w w:val="110"/>
        </w:rPr>
        <w:t> </w:t>
      </w:r>
      <w:r>
        <w:rPr>
          <w:color w:val="231F1F"/>
          <w:w w:val="110"/>
        </w:rPr>
        <w:t>comparación</w:t>
      </w:r>
      <w:r>
        <w:rPr>
          <w:color w:val="231F1F"/>
          <w:spacing w:val="-11"/>
          <w:w w:val="110"/>
        </w:rPr>
        <w:t> </w:t>
      </w:r>
      <w:r>
        <w:rPr>
          <w:color w:val="231F1F"/>
          <w:w w:val="110"/>
        </w:rPr>
        <w:t>con</w:t>
      </w:r>
      <w:r>
        <w:rPr>
          <w:color w:val="231F1F"/>
          <w:spacing w:val="-11"/>
          <w:w w:val="110"/>
        </w:rPr>
        <w:t> </w:t>
      </w:r>
      <w:r>
        <w:rPr>
          <w:color w:val="231F1F"/>
          <w:w w:val="110"/>
        </w:rPr>
        <w:t>la</w:t>
      </w:r>
      <w:r>
        <w:rPr>
          <w:color w:val="231F1F"/>
          <w:spacing w:val="-11"/>
          <w:w w:val="110"/>
        </w:rPr>
        <w:t> </w:t>
      </w:r>
      <w:r>
        <w:rPr>
          <w:color w:val="231F1F"/>
          <w:w w:val="110"/>
        </w:rPr>
        <w:t>acupun- tura, técnica no habitual en nuestro entorno.</w:t>
      </w:r>
    </w:p>
    <w:p>
      <w:pPr>
        <w:spacing w:line="278" w:lineRule="auto" w:before="124"/>
        <w:ind w:left="461" w:right="510" w:firstLine="0"/>
        <w:jc w:val="center"/>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1"/>
        <w:rPr>
          <w:rFonts w:ascii="Arial MT"/>
          <w:sz w:val="18"/>
        </w:rPr>
      </w:pPr>
    </w:p>
    <w:p>
      <w:pPr>
        <w:spacing w:line="278" w:lineRule="auto" w:before="0"/>
        <w:ind w:left="153" w:right="217" w:firstLine="0"/>
        <w:jc w:val="center"/>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0"/>
        <w:rPr>
          <w:rFonts w:ascii="Arial MT"/>
          <w:sz w:val="18"/>
        </w:rPr>
      </w:pPr>
    </w:p>
    <w:p>
      <w:pPr>
        <w:spacing w:line="273" w:lineRule="auto" w:before="0"/>
        <w:ind w:left="461" w:right="510"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9"/>
        <w:rPr>
          <w:rFonts w:ascii="Arial MT"/>
          <w:sz w:val="18"/>
        </w:rPr>
      </w:pPr>
    </w:p>
    <w:p>
      <w:pPr>
        <w:spacing w:line="278" w:lineRule="auto" w:before="0"/>
        <w:ind w:left="461" w:right="510" w:firstLine="0"/>
        <w:jc w:val="center"/>
        <w:rPr>
          <w:rFonts w:ascii="Arial MT"/>
          <w:sz w:val="18"/>
        </w:rPr>
      </w:pPr>
      <w:r>
        <w:rPr>
          <w:rFonts w:ascii="Arial MT"/>
          <w:color w:val="231F1F"/>
          <w:spacing w:val="-6"/>
          <w:sz w:val="18"/>
        </w:rPr>
        <w:t>ECA 1+</w:t>
      </w:r>
    </w:p>
    <w:p>
      <w:pPr>
        <w:spacing w:after="0" w:line="278" w:lineRule="auto"/>
        <w:jc w:val="center"/>
        <w:rPr>
          <w:rFonts w:ascii="Arial MT"/>
          <w:sz w:val="18"/>
        </w:rPr>
        <w:sectPr>
          <w:pgSz w:w="11900" w:h="16840"/>
          <w:pgMar w:header="0" w:footer="622" w:top="1560" w:bottom="820" w:left="1417" w:right="1559"/>
          <w:cols w:num="2" w:equalWidth="0">
            <w:col w:w="7550" w:space="40"/>
            <w:col w:w="1334"/>
          </w:cols>
        </w:sectPr>
      </w:pPr>
    </w:p>
    <w:p>
      <w:pPr>
        <w:pStyle w:val="BodyText"/>
        <w:spacing w:line="244" w:lineRule="auto" w:before="73"/>
        <w:ind w:left="283" w:right="1386" w:firstLine="453"/>
      </w:pPr>
      <w:r>
        <w:rPr>
          <w:color w:val="231F1F"/>
        </w:rPr>
        <w:t>El</w:t>
      </w:r>
      <w:r>
        <w:rPr>
          <w:color w:val="231F1F"/>
          <w:spacing w:val="31"/>
        </w:rPr>
        <w:t> </w:t>
      </w:r>
      <w:r>
        <w:rPr>
          <w:color w:val="231F1F"/>
        </w:rPr>
        <w:t>GEG</w:t>
      </w:r>
      <w:r>
        <w:rPr>
          <w:color w:val="231F1F"/>
          <w:spacing w:val="33"/>
        </w:rPr>
        <w:t> </w:t>
      </w:r>
      <w:r>
        <w:rPr>
          <w:color w:val="231F1F"/>
        </w:rPr>
        <w:t>considera</w:t>
      </w:r>
      <w:r>
        <w:rPr>
          <w:color w:val="231F1F"/>
          <w:spacing w:val="33"/>
        </w:rPr>
        <w:t> </w:t>
      </w:r>
      <w:r>
        <w:rPr>
          <w:color w:val="231F1F"/>
        </w:rPr>
        <w:t>que</w:t>
      </w:r>
      <w:r>
        <w:rPr>
          <w:color w:val="231F1F"/>
          <w:spacing w:val="33"/>
        </w:rPr>
        <w:t> </w:t>
      </w:r>
      <w:r>
        <w:rPr>
          <w:color w:val="231F1F"/>
        </w:rPr>
        <w:t>la</w:t>
      </w:r>
      <w:r>
        <w:rPr>
          <w:color w:val="231F1F"/>
          <w:spacing w:val="33"/>
        </w:rPr>
        <w:t> </w:t>
      </w:r>
      <w:r>
        <w:rPr>
          <w:color w:val="231F1F"/>
        </w:rPr>
        <w:t>evidencia,</w:t>
      </w:r>
      <w:r>
        <w:rPr>
          <w:color w:val="231F1F"/>
          <w:spacing w:val="31"/>
        </w:rPr>
        <w:t> </w:t>
      </w:r>
      <w:r>
        <w:rPr>
          <w:color w:val="231F1F"/>
        </w:rPr>
        <w:t>aunque</w:t>
      </w:r>
      <w:r>
        <w:rPr>
          <w:color w:val="231F1F"/>
          <w:spacing w:val="33"/>
        </w:rPr>
        <w:t> </w:t>
      </w:r>
      <w:r>
        <w:rPr>
          <w:color w:val="231F1F"/>
        </w:rPr>
        <w:t>limitada,</w:t>
      </w:r>
      <w:r>
        <w:rPr>
          <w:color w:val="231F1F"/>
          <w:spacing w:val="33"/>
        </w:rPr>
        <w:t> </w:t>
      </w:r>
      <w:r>
        <w:rPr>
          <w:color w:val="231F1F"/>
        </w:rPr>
        <w:t>apoya</w:t>
      </w:r>
      <w:r>
        <w:rPr>
          <w:color w:val="231F1F"/>
          <w:spacing w:val="31"/>
        </w:rPr>
        <w:t> </w:t>
      </w:r>
      <w:r>
        <w:rPr>
          <w:color w:val="231F1F"/>
        </w:rPr>
        <w:t>el</w:t>
      </w:r>
      <w:r>
        <w:rPr>
          <w:color w:val="231F1F"/>
          <w:spacing w:val="33"/>
        </w:rPr>
        <w:t> </w:t>
      </w:r>
      <w:r>
        <w:rPr>
          <w:color w:val="231F1F"/>
        </w:rPr>
        <w:t>uso</w:t>
      </w:r>
      <w:r>
        <w:rPr>
          <w:color w:val="231F1F"/>
          <w:spacing w:val="33"/>
        </w:rPr>
        <w:t> </w:t>
      </w:r>
      <w:r>
        <w:rPr>
          <w:color w:val="231F1F"/>
        </w:rPr>
        <w:t>de</w:t>
      </w:r>
      <w:r>
        <w:rPr>
          <w:color w:val="231F1F"/>
          <w:spacing w:val="33"/>
        </w:rPr>
        <w:t> </w:t>
      </w:r>
      <w:r>
        <w:rPr>
          <w:color w:val="231F1F"/>
        </w:rPr>
        <w:t>la </w:t>
      </w:r>
      <w:r>
        <w:rPr>
          <w:color w:val="231F1F"/>
          <w:w w:val="110"/>
        </w:rPr>
        <w:t>inyección de agua estéril para el alivio del dolor lumbar durante el parto.</w:t>
      </w:r>
    </w:p>
    <w:p>
      <w:pPr>
        <w:pStyle w:val="BodyText"/>
        <w:spacing w:before="17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7" w:lineRule="auto" w:before="44"/>
              <w:ind w:right="89"/>
              <w:jc w:val="both"/>
              <w:rPr>
                <w:sz w:val="22"/>
              </w:rPr>
            </w:pPr>
            <w:r>
              <w:rPr>
                <w:color w:val="231F1F"/>
                <w:w w:val="105"/>
                <w:sz w:val="22"/>
              </w:rPr>
              <w:t>No hay consistencia en las preferencias de las mujeres sobre la elección de</w:t>
            </w:r>
            <w:r>
              <w:rPr>
                <w:color w:val="231F1F"/>
                <w:spacing w:val="80"/>
                <w:w w:val="105"/>
                <w:sz w:val="22"/>
              </w:rPr>
              <w:t> </w:t>
            </w:r>
            <w:r>
              <w:rPr>
                <w:color w:val="231F1F"/>
                <w:w w:val="105"/>
                <w:sz w:val="22"/>
              </w:rPr>
              <w:t>la</w:t>
            </w:r>
            <w:r>
              <w:rPr>
                <w:color w:val="231F1F"/>
                <w:spacing w:val="-3"/>
                <w:w w:val="105"/>
                <w:sz w:val="22"/>
              </w:rPr>
              <w:t> </w:t>
            </w:r>
            <w:r>
              <w:rPr>
                <w:color w:val="231F1F"/>
                <w:w w:val="105"/>
                <w:sz w:val="22"/>
              </w:rPr>
              <w:t>inyección</w:t>
            </w:r>
            <w:r>
              <w:rPr>
                <w:color w:val="231F1F"/>
                <w:spacing w:val="-3"/>
                <w:w w:val="105"/>
                <w:sz w:val="22"/>
              </w:rPr>
              <w:t> </w:t>
            </w:r>
            <w:r>
              <w:rPr>
                <w:color w:val="231F1F"/>
                <w:w w:val="105"/>
                <w:sz w:val="22"/>
              </w:rPr>
              <w:t>de</w:t>
            </w:r>
            <w:r>
              <w:rPr>
                <w:color w:val="231F1F"/>
                <w:spacing w:val="-3"/>
                <w:w w:val="105"/>
                <w:sz w:val="22"/>
              </w:rPr>
              <w:t> </w:t>
            </w:r>
            <w:r>
              <w:rPr>
                <w:color w:val="231F1F"/>
                <w:w w:val="105"/>
                <w:sz w:val="22"/>
              </w:rPr>
              <w:t>agua</w:t>
            </w:r>
            <w:r>
              <w:rPr>
                <w:color w:val="231F1F"/>
                <w:spacing w:val="-3"/>
                <w:w w:val="105"/>
                <w:sz w:val="22"/>
              </w:rPr>
              <w:t> </w:t>
            </w:r>
            <w:r>
              <w:rPr>
                <w:color w:val="231F1F"/>
                <w:w w:val="105"/>
                <w:sz w:val="22"/>
              </w:rPr>
              <w:t>estéril</w:t>
            </w:r>
            <w:r>
              <w:rPr>
                <w:color w:val="231F1F"/>
                <w:spacing w:val="-4"/>
                <w:w w:val="105"/>
                <w:sz w:val="22"/>
              </w:rPr>
              <w:t> </w:t>
            </w:r>
            <w:r>
              <w:rPr>
                <w:color w:val="231F1F"/>
                <w:w w:val="105"/>
                <w:sz w:val="22"/>
              </w:rPr>
              <w:t>para</w:t>
            </w:r>
            <w:r>
              <w:rPr>
                <w:color w:val="231F1F"/>
                <w:spacing w:val="-3"/>
                <w:w w:val="105"/>
                <w:sz w:val="22"/>
              </w:rPr>
              <w:t> </w:t>
            </w:r>
            <w:r>
              <w:rPr>
                <w:color w:val="231F1F"/>
                <w:w w:val="105"/>
                <w:sz w:val="22"/>
              </w:rPr>
              <w:t>el</w:t>
            </w:r>
            <w:r>
              <w:rPr>
                <w:color w:val="231F1F"/>
                <w:spacing w:val="-3"/>
                <w:w w:val="105"/>
                <w:sz w:val="22"/>
              </w:rPr>
              <w:t> </w:t>
            </w:r>
            <w:r>
              <w:rPr>
                <w:color w:val="231F1F"/>
                <w:w w:val="105"/>
                <w:sz w:val="22"/>
              </w:rPr>
              <w:t>alivio</w:t>
            </w:r>
            <w:r>
              <w:rPr>
                <w:color w:val="231F1F"/>
                <w:spacing w:val="-3"/>
                <w:w w:val="105"/>
                <w:sz w:val="22"/>
              </w:rPr>
              <w:t> </w:t>
            </w:r>
            <w:r>
              <w:rPr>
                <w:color w:val="231F1F"/>
                <w:w w:val="105"/>
                <w:sz w:val="22"/>
              </w:rPr>
              <w:t>del</w:t>
            </w:r>
            <w:r>
              <w:rPr>
                <w:color w:val="231F1F"/>
                <w:spacing w:val="-3"/>
                <w:w w:val="105"/>
                <w:sz w:val="22"/>
              </w:rPr>
              <w:t> </w:t>
            </w:r>
            <w:r>
              <w:rPr>
                <w:color w:val="231F1F"/>
                <w:w w:val="105"/>
                <w:sz w:val="22"/>
              </w:rPr>
              <w:t>dolor</w:t>
            </w:r>
            <w:r>
              <w:rPr>
                <w:color w:val="231F1F"/>
                <w:spacing w:val="-3"/>
                <w:w w:val="105"/>
                <w:sz w:val="22"/>
              </w:rPr>
              <w:t> </w:t>
            </w:r>
            <w:r>
              <w:rPr>
                <w:color w:val="231F1F"/>
                <w:w w:val="105"/>
                <w:sz w:val="22"/>
              </w:rPr>
              <w:t>lumbar</w:t>
            </w:r>
            <w:r>
              <w:rPr>
                <w:color w:val="231F1F"/>
                <w:spacing w:val="-4"/>
                <w:w w:val="105"/>
                <w:sz w:val="22"/>
              </w:rPr>
              <w:t> </w:t>
            </w:r>
            <w:r>
              <w:rPr>
                <w:color w:val="231F1F"/>
                <w:w w:val="105"/>
                <w:sz w:val="22"/>
              </w:rPr>
              <w:t>en</w:t>
            </w:r>
            <w:r>
              <w:rPr>
                <w:color w:val="231F1F"/>
                <w:spacing w:val="-3"/>
                <w:w w:val="105"/>
                <w:sz w:val="22"/>
              </w:rPr>
              <w:t> </w:t>
            </w:r>
            <w:r>
              <w:rPr>
                <w:color w:val="231F1F"/>
                <w:w w:val="105"/>
                <w:sz w:val="22"/>
              </w:rPr>
              <w:t>un</w:t>
            </w:r>
            <w:r>
              <w:rPr>
                <w:color w:val="231F1F"/>
                <w:spacing w:val="-3"/>
                <w:w w:val="105"/>
                <w:sz w:val="22"/>
              </w:rPr>
              <w:t> </w:t>
            </w:r>
            <w:r>
              <w:rPr>
                <w:color w:val="231F1F"/>
                <w:w w:val="105"/>
                <w:sz w:val="22"/>
              </w:rPr>
              <w:t>futuro</w:t>
            </w:r>
            <w:r>
              <w:rPr>
                <w:color w:val="231F1F"/>
                <w:spacing w:val="-3"/>
                <w:w w:val="105"/>
                <w:sz w:val="22"/>
              </w:rPr>
              <w:t> </w:t>
            </w:r>
            <w:r>
              <w:rPr>
                <w:color w:val="231F1F"/>
                <w:w w:val="105"/>
                <w:sz w:val="22"/>
              </w:rPr>
              <w:t>parto, ni en la necesidad de analgesia posterior (285) (47).</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r>
        <w:trPr>
          <w:trHeight w:val="676" w:hRule="atLeast"/>
        </w:trPr>
        <w:tc>
          <w:tcPr>
            <w:tcW w:w="7373" w:type="dxa"/>
          </w:tcPr>
          <w:p>
            <w:pPr>
              <w:pStyle w:val="TableParagraph"/>
              <w:spacing w:before="53"/>
              <w:ind w:right="156"/>
              <w:rPr>
                <w:sz w:val="22"/>
              </w:rPr>
            </w:pPr>
            <w:r>
              <w:rPr>
                <w:color w:val="231F1F"/>
                <w:w w:val="105"/>
                <w:sz w:val="22"/>
              </w:rPr>
              <w:t>En</w:t>
            </w:r>
            <w:r>
              <w:rPr>
                <w:color w:val="231F1F"/>
                <w:spacing w:val="-10"/>
                <w:w w:val="105"/>
                <w:sz w:val="22"/>
              </w:rPr>
              <w:t> </w:t>
            </w:r>
            <w:r>
              <w:rPr>
                <w:color w:val="231F1F"/>
                <w:w w:val="105"/>
                <w:sz w:val="22"/>
              </w:rPr>
              <w:t>población</w:t>
            </w:r>
            <w:r>
              <w:rPr>
                <w:color w:val="231F1F"/>
                <w:spacing w:val="-10"/>
                <w:w w:val="105"/>
                <w:sz w:val="22"/>
              </w:rPr>
              <w:t> </w:t>
            </w:r>
            <w:r>
              <w:rPr>
                <w:color w:val="231F1F"/>
                <w:w w:val="105"/>
                <w:sz w:val="22"/>
              </w:rPr>
              <w:t>sana</w:t>
            </w:r>
            <w:r>
              <w:rPr>
                <w:color w:val="231F1F"/>
                <w:spacing w:val="-10"/>
                <w:w w:val="105"/>
                <w:sz w:val="22"/>
              </w:rPr>
              <w:t> </w:t>
            </w:r>
            <w:r>
              <w:rPr>
                <w:color w:val="231F1F"/>
                <w:w w:val="105"/>
                <w:sz w:val="22"/>
              </w:rPr>
              <w:t>la</w:t>
            </w:r>
            <w:r>
              <w:rPr>
                <w:color w:val="231F1F"/>
                <w:spacing w:val="-9"/>
                <w:w w:val="105"/>
                <w:sz w:val="22"/>
              </w:rPr>
              <w:t> </w:t>
            </w:r>
            <w:r>
              <w:rPr>
                <w:color w:val="231F1F"/>
                <w:w w:val="105"/>
                <w:sz w:val="22"/>
              </w:rPr>
              <w:t>inyección</w:t>
            </w:r>
            <w:r>
              <w:rPr>
                <w:color w:val="231F1F"/>
                <w:spacing w:val="-9"/>
                <w:w w:val="105"/>
                <w:sz w:val="22"/>
              </w:rPr>
              <w:t> </w:t>
            </w:r>
            <w:r>
              <w:rPr>
                <w:color w:val="231F1F"/>
                <w:w w:val="105"/>
                <w:sz w:val="22"/>
              </w:rPr>
              <w:t>intradérmica</w:t>
            </w:r>
            <w:r>
              <w:rPr>
                <w:color w:val="231F1F"/>
                <w:spacing w:val="-10"/>
                <w:w w:val="105"/>
                <w:sz w:val="22"/>
              </w:rPr>
              <w:t> </w:t>
            </w:r>
            <w:r>
              <w:rPr>
                <w:color w:val="231F1F"/>
                <w:w w:val="105"/>
                <w:sz w:val="22"/>
              </w:rPr>
              <w:t>de</w:t>
            </w:r>
            <w:r>
              <w:rPr>
                <w:color w:val="231F1F"/>
                <w:spacing w:val="-9"/>
                <w:w w:val="105"/>
                <w:sz w:val="22"/>
              </w:rPr>
              <w:t> </w:t>
            </w:r>
            <w:r>
              <w:rPr>
                <w:color w:val="231F1F"/>
                <w:w w:val="105"/>
                <w:sz w:val="22"/>
              </w:rPr>
              <w:t>agua</w:t>
            </w:r>
            <w:r>
              <w:rPr>
                <w:color w:val="231F1F"/>
                <w:spacing w:val="-9"/>
                <w:w w:val="105"/>
                <w:sz w:val="22"/>
              </w:rPr>
              <w:t> </w:t>
            </w:r>
            <w:r>
              <w:rPr>
                <w:color w:val="231F1F"/>
                <w:w w:val="105"/>
                <w:sz w:val="22"/>
              </w:rPr>
              <w:t>estéril</w:t>
            </w:r>
            <w:r>
              <w:rPr>
                <w:color w:val="231F1F"/>
                <w:spacing w:val="-9"/>
                <w:w w:val="105"/>
                <w:sz w:val="22"/>
              </w:rPr>
              <w:t> </w:t>
            </w:r>
            <w:r>
              <w:rPr>
                <w:color w:val="231F1F"/>
                <w:w w:val="105"/>
                <w:sz w:val="22"/>
              </w:rPr>
              <w:t>es</w:t>
            </w:r>
            <w:r>
              <w:rPr>
                <w:color w:val="231F1F"/>
                <w:spacing w:val="-9"/>
                <w:w w:val="105"/>
                <w:sz w:val="22"/>
              </w:rPr>
              <w:t> </w:t>
            </w:r>
            <w:r>
              <w:rPr>
                <w:color w:val="231F1F"/>
                <w:w w:val="105"/>
                <w:sz w:val="22"/>
              </w:rPr>
              <w:t>más</w:t>
            </w:r>
            <w:r>
              <w:rPr>
                <w:color w:val="231F1F"/>
                <w:spacing w:val="-9"/>
                <w:w w:val="105"/>
                <w:sz w:val="22"/>
              </w:rPr>
              <w:t> </w:t>
            </w:r>
            <w:r>
              <w:rPr>
                <w:color w:val="231F1F"/>
                <w:w w:val="105"/>
                <w:sz w:val="22"/>
              </w:rPr>
              <w:t>dolorosa, produciendo</w:t>
            </w:r>
            <w:r>
              <w:rPr>
                <w:color w:val="231F1F"/>
                <w:spacing w:val="40"/>
                <w:w w:val="105"/>
                <w:sz w:val="22"/>
              </w:rPr>
              <w:t> </w:t>
            </w:r>
            <w:r>
              <w:rPr>
                <w:color w:val="231F1F"/>
                <w:w w:val="105"/>
                <w:sz w:val="22"/>
              </w:rPr>
              <w:t>mayor</w:t>
            </w:r>
            <w:r>
              <w:rPr>
                <w:color w:val="231F1F"/>
                <w:spacing w:val="40"/>
                <w:w w:val="105"/>
                <w:sz w:val="22"/>
              </w:rPr>
              <w:t> </w:t>
            </w:r>
            <w:r>
              <w:rPr>
                <w:color w:val="231F1F"/>
                <w:w w:val="105"/>
                <w:sz w:val="22"/>
              </w:rPr>
              <w:t>escozor,</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inyección</w:t>
            </w:r>
            <w:r>
              <w:rPr>
                <w:color w:val="231F1F"/>
                <w:spacing w:val="40"/>
                <w:w w:val="105"/>
                <w:sz w:val="22"/>
              </w:rPr>
              <w:t> </w:t>
            </w:r>
            <w:r>
              <w:rPr>
                <w:color w:val="231F1F"/>
                <w:w w:val="105"/>
                <w:sz w:val="22"/>
              </w:rPr>
              <w:t>subcutánea</w:t>
            </w:r>
            <w:r>
              <w:rPr>
                <w:color w:val="231F1F"/>
                <w:spacing w:val="40"/>
                <w:w w:val="105"/>
                <w:sz w:val="22"/>
              </w:rPr>
              <w:t> </w:t>
            </w:r>
            <w:r>
              <w:rPr>
                <w:color w:val="231F1F"/>
                <w:w w:val="105"/>
                <w:sz w:val="22"/>
              </w:rPr>
              <w:t>(291).</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686" w:hRule="atLeast"/>
        </w:trPr>
        <w:tc>
          <w:tcPr>
            <w:tcW w:w="7373" w:type="dxa"/>
          </w:tcPr>
          <w:p>
            <w:pPr>
              <w:pStyle w:val="TableParagraph"/>
              <w:spacing w:before="49"/>
              <w:ind w:right="156"/>
              <w:rPr>
                <w:sz w:val="22"/>
              </w:rPr>
            </w:pPr>
            <w:r>
              <w:rPr>
                <w:color w:val="231F1F"/>
                <w:w w:val="110"/>
                <w:sz w:val="22"/>
              </w:rPr>
              <w:t>La</w:t>
            </w:r>
            <w:r>
              <w:rPr>
                <w:color w:val="231F1F"/>
                <w:spacing w:val="-14"/>
                <w:w w:val="110"/>
                <w:sz w:val="22"/>
              </w:rPr>
              <w:t> </w:t>
            </w:r>
            <w:r>
              <w:rPr>
                <w:color w:val="231F1F"/>
                <w:w w:val="110"/>
                <w:sz w:val="22"/>
              </w:rPr>
              <w:t>utilización</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inyecciones</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agua</w:t>
            </w:r>
            <w:r>
              <w:rPr>
                <w:color w:val="231F1F"/>
                <w:spacing w:val="-14"/>
                <w:w w:val="110"/>
                <w:sz w:val="22"/>
              </w:rPr>
              <w:t> </w:t>
            </w:r>
            <w:r>
              <w:rPr>
                <w:color w:val="231F1F"/>
                <w:w w:val="110"/>
                <w:sz w:val="22"/>
              </w:rPr>
              <w:t>estéril</w:t>
            </w:r>
            <w:r>
              <w:rPr>
                <w:color w:val="231F1F"/>
                <w:spacing w:val="-14"/>
                <w:w w:val="110"/>
                <w:sz w:val="22"/>
              </w:rPr>
              <w:t> </w:t>
            </w:r>
            <w:r>
              <w:rPr>
                <w:color w:val="231F1F"/>
                <w:w w:val="110"/>
                <w:sz w:val="22"/>
              </w:rPr>
              <w:t>disminuye</w:t>
            </w:r>
            <w:r>
              <w:rPr>
                <w:color w:val="231F1F"/>
                <w:spacing w:val="-14"/>
                <w:w w:val="110"/>
                <w:sz w:val="22"/>
              </w:rPr>
              <w:t> </w:t>
            </w:r>
            <w:r>
              <w:rPr>
                <w:color w:val="231F1F"/>
                <w:w w:val="110"/>
                <w:sz w:val="22"/>
              </w:rPr>
              <w:t>en</w:t>
            </w:r>
            <w:r>
              <w:rPr>
                <w:color w:val="231F1F"/>
                <w:spacing w:val="-14"/>
                <w:w w:val="110"/>
                <w:sz w:val="22"/>
              </w:rPr>
              <w:t> </w:t>
            </w:r>
            <w:r>
              <w:rPr>
                <w:color w:val="231F1F"/>
                <w:w w:val="110"/>
                <w:sz w:val="22"/>
              </w:rPr>
              <w:t>mayor</w:t>
            </w:r>
            <w:r>
              <w:rPr>
                <w:color w:val="231F1F"/>
                <w:spacing w:val="-14"/>
                <w:w w:val="110"/>
                <w:sz w:val="22"/>
              </w:rPr>
              <w:t> </w:t>
            </w:r>
            <w:r>
              <w:rPr>
                <w:color w:val="231F1F"/>
                <w:w w:val="110"/>
                <w:sz w:val="22"/>
              </w:rPr>
              <w:t>grado</w:t>
            </w:r>
            <w:r>
              <w:rPr>
                <w:color w:val="231F1F"/>
                <w:spacing w:val="-14"/>
                <w:w w:val="110"/>
                <w:sz w:val="22"/>
              </w:rPr>
              <w:t> </w:t>
            </w:r>
            <w:r>
              <w:rPr>
                <w:color w:val="231F1F"/>
                <w:w w:val="110"/>
                <w:sz w:val="22"/>
              </w:rPr>
              <w:t>el dolor lumbar y consigue mayor relajación que la acupuntura (293).</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64" w:hRule="atLeast"/>
        </w:trPr>
        <w:tc>
          <w:tcPr>
            <w:tcW w:w="456" w:type="dxa"/>
          </w:tcPr>
          <w:p>
            <w:pPr>
              <w:pStyle w:val="TableParagraph"/>
              <w:spacing w:before="69"/>
              <w:ind w:left="0"/>
              <w:rPr>
                <w:rFonts w:ascii="Arial MT"/>
                <w:sz w:val="22"/>
              </w:rPr>
            </w:pPr>
          </w:p>
          <w:p>
            <w:pPr>
              <w:pStyle w:val="TableParagraph"/>
              <w:rPr>
                <w:sz w:val="22"/>
              </w:rPr>
            </w:pPr>
            <w:r>
              <w:rPr>
                <w:color w:val="231F1F"/>
                <w:spacing w:val="-10"/>
                <w:w w:val="110"/>
                <w:sz w:val="22"/>
              </w:rPr>
              <w:t>B</w:t>
            </w:r>
          </w:p>
        </w:tc>
        <w:tc>
          <w:tcPr>
            <w:tcW w:w="8050" w:type="dxa"/>
          </w:tcPr>
          <w:p>
            <w:pPr>
              <w:pStyle w:val="TableParagraph"/>
              <w:spacing w:line="244" w:lineRule="auto" w:before="53"/>
              <w:ind w:right="84"/>
              <w:jc w:val="both"/>
              <w:rPr>
                <w:sz w:val="22"/>
              </w:rPr>
            </w:pPr>
            <w:r>
              <w:rPr>
                <w:color w:val="231F1F"/>
                <w:w w:val="105"/>
                <w:sz w:val="22"/>
              </w:rPr>
              <w:t>Se recomienda la inyección de agua estéril durante el parto como un método eficaz de</w:t>
            </w:r>
            <w:r>
              <w:rPr>
                <w:color w:val="231F1F"/>
                <w:w w:val="105"/>
                <w:sz w:val="22"/>
              </w:rPr>
              <w:t> alivio</w:t>
            </w:r>
            <w:r>
              <w:rPr>
                <w:color w:val="231F1F"/>
                <w:w w:val="105"/>
                <w:sz w:val="22"/>
              </w:rPr>
              <w:t> del</w:t>
            </w:r>
            <w:r>
              <w:rPr>
                <w:color w:val="231F1F"/>
                <w:w w:val="105"/>
                <w:sz w:val="22"/>
              </w:rPr>
              <w:t> dolor</w:t>
            </w:r>
            <w:r>
              <w:rPr>
                <w:color w:val="231F1F"/>
                <w:w w:val="105"/>
                <w:sz w:val="22"/>
              </w:rPr>
              <w:t> lumbar,</w:t>
            </w:r>
            <w:r>
              <w:rPr>
                <w:color w:val="231F1F"/>
                <w:w w:val="105"/>
                <w:sz w:val="22"/>
              </w:rPr>
              <w:t> informando</w:t>
            </w:r>
            <w:r>
              <w:rPr>
                <w:color w:val="231F1F"/>
                <w:w w:val="105"/>
                <w:sz w:val="22"/>
              </w:rPr>
              <w:t> que</w:t>
            </w:r>
            <w:r>
              <w:rPr>
                <w:color w:val="231F1F"/>
                <w:w w:val="105"/>
                <w:sz w:val="22"/>
              </w:rPr>
              <w:t> la</w:t>
            </w:r>
            <w:r>
              <w:rPr>
                <w:color w:val="231F1F"/>
                <w:w w:val="105"/>
                <w:sz w:val="22"/>
              </w:rPr>
              <w:t> inyección</w:t>
            </w:r>
            <w:r>
              <w:rPr>
                <w:color w:val="231F1F"/>
                <w:w w:val="105"/>
                <w:sz w:val="22"/>
              </w:rPr>
              <w:t> intradérmica</w:t>
            </w:r>
            <w:r>
              <w:rPr>
                <w:color w:val="231F1F"/>
                <w:w w:val="105"/>
                <w:sz w:val="22"/>
              </w:rPr>
              <w:t> produce</w:t>
            </w:r>
            <w:r>
              <w:rPr>
                <w:color w:val="231F1F"/>
                <w:w w:val="105"/>
                <w:sz w:val="22"/>
              </w:rPr>
              <w:t> es- cozor y dolor intenso momentáneos.</w:t>
            </w:r>
          </w:p>
        </w:tc>
      </w:tr>
    </w:tbl>
    <w:p>
      <w:pPr>
        <w:pStyle w:val="TableParagraph"/>
        <w:spacing w:after="0" w:line="244" w:lineRule="auto"/>
        <w:jc w:val="both"/>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Estimulación</w:t>
      </w:r>
      <w:r>
        <w:rPr>
          <w:color w:val="231F1F"/>
          <w:spacing w:val="64"/>
          <w:w w:val="150"/>
        </w:rPr>
        <w:t> </w:t>
      </w:r>
      <w:r>
        <w:rPr>
          <w:color w:val="231F1F"/>
        </w:rPr>
        <w:t>nerviosa</w:t>
      </w:r>
      <w:r>
        <w:rPr>
          <w:color w:val="231F1F"/>
          <w:spacing w:val="69"/>
          <w:w w:val="150"/>
        </w:rPr>
        <w:t> </w:t>
      </w:r>
      <w:r>
        <w:rPr>
          <w:color w:val="231F1F"/>
        </w:rPr>
        <w:t>transcutánea</w:t>
      </w:r>
      <w:r>
        <w:rPr>
          <w:color w:val="231F1F"/>
          <w:spacing w:val="70"/>
          <w:w w:val="150"/>
        </w:rPr>
        <w:t> </w:t>
      </w:r>
      <w:r>
        <w:rPr>
          <w:color w:val="231F1F"/>
          <w:spacing w:val="-2"/>
        </w:rPr>
        <w:t>(TENS)</w:t>
      </w:r>
    </w:p>
    <w:p>
      <w:pPr>
        <w:pStyle w:val="BodyText"/>
        <w:spacing w:before="20"/>
        <w:rPr>
          <w:sz w:val="20"/>
        </w:rPr>
      </w:pPr>
      <w:r>
        <w:rPr>
          <w:sz w:val="20"/>
        </w:rPr>
        <mc:AlternateContent>
          <mc:Choice Requires="wps">
            <w:drawing>
              <wp:anchor distT="0" distB="0" distL="0" distR="0" allowOverlap="1" layoutInCell="1" locked="0" behindDoc="1" simplePos="0" relativeHeight="487624192">
                <wp:simplePos x="0" y="0"/>
                <wp:positionH relativeFrom="page">
                  <wp:posOffset>1082675</wp:posOffset>
                </wp:positionH>
                <wp:positionV relativeFrom="paragraph">
                  <wp:posOffset>177184</wp:posOffset>
                </wp:positionV>
                <wp:extent cx="5400040" cy="440055"/>
                <wp:effectExtent l="0" t="0" r="0" b="0"/>
                <wp:wrapTopAndBottom/>
                <wp:docPr id="133" name="Textbox 133"/>
                <wp:cNvGraphicFramePr>
                  <a:graphicFrameLocks/>
                </wp:cNvGraphicFramePr>
                <a:graphic>
                  <a:graphicData uri="http://schemas.microsoft.com/office/word/2010/wordprocessingShape">
                    <wps:wsp>
                      <wps:cNvPr id="133" name="Textbox 133"/>
                      <wps:cNvSpPr txBox="1"/>
                      <wps:spPr>
                        <a:xfrm>
                          <a:off x="0" y="0"/>
                          <a:ext cx="5400040" cy="440055"/>
                        </a:xfrm>
                        <a:prstGeom prst="rect">
                          <a:avLst/>
                        </a:prstGeom>
                        <a:ln w="6350">
                          <a:solidFill>
                            <a:srgbClr val="A30046"/>
                          </a:solidFill>
                          <a:prstDash val="solid"/>
                        </a:ln>
                      </wps:spPr>
                      <wps:txbx>
                        <w:txbxContent>
                          <w:p>
                            <w:pPr>
                              <w:pStyle w:val="BodyText"/>
                              <w:numPr>
                                <w:ilvl w:val="0"/>
                                <w:numId w:val="71"/>
                              </w:numPr>
                              <w:tabs>
                                <w:tab w:pos="321" w:val="left" w:leader="none"/>
                                <w:tab w:pos="324" w:val="left" w:leader="none"/>
                              </w:tabs>
                              <w:spacing w:line="254" w:lineRule="auto" w:before="65" w:after="0"/>
                              <w:ind w:left="324" w:right="277" w:hanging="220"/>
                              <w:jc w:val="left"/>
                            </w:pPr>
                            <w:r>
                              <w:rPr>
                                <w:color w:val="231F1F"/>
                              </w:rPr>
                              <w:t>¿Cuál</w:t>
                            </w:r>
                            <w:r>
                              <w:rPr>
                                <w:color w:val="231F1F"/>
                                <w:spacing w:val="23"/>
                              </w:rPr>
                              <w:t> </w:t>
                            </w:r>
                            <w:r>
                              <w:rPr>
                                <w:color w:val="231F1F"/>
                              </w:rPr>
                              <w:t>es</w:t>
                            </w:r>
                            <w:r>
                              <w:rPr>
                                <w:color w:val="231F1F"/>
                                <w:spacing w:val="23"/>
                              </w:rPr>
                              <w:t> </w:t>
                            </w:r>
                            <w:r>
                              <w:rPr>
                                <w:color w:val="231F1F"/>
                              </w:rPr>
                              <w:t>la</w:t>
                            </w:r>
                            <w:r>
                              <w:rPr>
                                <w:color w:val="231F1F"/>
                                <w:spacing w:val="23"/>
                              </w:rPr>
                              <w:t> </w:t>
                            </w:r>
                            <w:r>
                              <w:rPr>
                                <w:color w:val="231F1F"/>
                              </w:rPr>
                              <w:t>efectividad</w:t>
                            </w:r>
                            <w:r>
                              <w:rPr>
                                <w:color w:val="231F1F"/>
                                <w:spacing w:val="23"/>
                              </w:rPr>
                              <w:t> </w:t>
                            </w:r>
                            <w:r>
                              <w:rPr>
                                <w:color w:val="231F1F"/>
                              </w:rPr>
                              <w:t>de</w:t>
                            </w:r>
                            <w:r>
                              <w:rPr>
                                <w:color w:val="231F1F"/>
                                <w:spacing w:val="23"/>
                              </w:rPr>
                              <w:t> </w:t>
                            </w:r>
                            <w:r>
                              <w:rPr>
                                <w:color w:val="231F1F"/>
                              </w:rPr>
                              <w:t>la</w:t>
                            </w:r>
                            <w:r>
                              <w:rPr>
                                <w:color w:val="231F1F"/>
                                <w:spacing w:val="23"/>
                              </w:rPr>
                              <w:t> </w:t>
                            </w:r>
                            <w:r>
                              <w:rPr>
                                <w:color w:val="231F1F"/>
                              </w:rPr>
                              <w:t>estimulación</w:t>
                            </w:r>
                            <w:r>
                              <w:rPr>
                                <w:color w:val="231F1F"/>
                                <w:spacing w:val="24"/>
                              </w:rPr>
                              <w:t> </w:t>
                            </w:r>
                            <w:r>
                              <w:rPr>
                                <w:color w:val="231F1F"/>
                              </w:rPr>
                              <w:t>eléctrica</w:t>
                            </w:r>
                            <w:r>
                              <w:rPr>
                                <w:color w:val="231F1F"/>
                                <w:spacing w:val="23"/>
                              </w:rPr>
                              <w:t> </w:t>
                            </w:r>
                            <w:r>
                              <w:rPr>
                                <w:color w:val="231F1F"/>
                              </w:rPr>
                              <w:t>nerviosa</w:t>
                            </w:r>
                            <w:r>
                              <w:rPr>
                                <w:color w:val="231F1F"/>
                                <w:spacing w:val="23"/>
                              </w:rPr>
                              <w:t> </w:t>
                            </w:r>
                            <w:r>
                              <w:rPr>
                                <w:color w:val="231F1F"/>
                              </w:rPr>
                              <w:t>transcutánea</w:t>
                            </w:r>
                            <w:r>
                              <w:rPr>
                                <w:color w:val="231F1F"/>
                                <w:spacing w:val="25"/>
                              </w:rPr>
                              <w:t> </w:t>
                            </w:r>
                            <w:r>
                              <w:rPr>
                                <w:color w:val="231F1F"/>
                              </w:rPr>
                              <w:t>(TENS)</w:t>
                            </w:r>
                            <w:r>
                              <w:rPr>
                                <w:color w:val="231F1F"/>
                                <w:spacing w:val="23"/>
                              </w:rPr>
                              <w:t> </w:t>
                            </w:r>
                            <w:r>
                              <w:rPr>
                                <w:color w:val="231F1F"/>
                              </w:rPr>
                              <w:t>para el</w:t>
                            </w:r>
                            <w:r>
                              <w:rPr>
                                <w:color w:val="231F1F"/>
                                <w:spacing w:val="40"/>
                              </w:rPr>
                              <w:t> </w:t>
                            </w:r>
                            <w:r>
                              <w:rPr>
                                <w:color w:val="231F1F"/>
                              </w:rPr>
                              <w:t>alivio</w:t>
                            </w:r>
                            <w:r>
                              <w:rPr>
                                <w:color w:val="231F1F"/>
                                <w:spacing w:val="40"/>
                              </w:rPr>
                              <w:t> </w:t>
                            </w:r>
                            <w:r>
                              <w:rPr>
                                <w:color w:val="231F1F"/>
                              </w:rPr>
                              <w:t>del</w:t>
                            </w:r>
                            <w:r>
                              <w:rPr>
                                <w:color w:val="231F1F"/>
                                <w:spacing w:val="40"/>
                              </w:rPr>
                              <w:t> </w:t>
                            </w:r>
                            <w:r>
                              <w:rPr>
                                <w:color w:val="231F1F"/>
                              </w:rPr>
                              <w:t>dolor</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parto?</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92288;mso-wrap-distance-left:0;mso-wrap-distance-right:0" type="#_x0000_t202" id="docshape122" filled="false" stroked="true" strokeweight=".5pt" strokecolor="#a30046">
                <v:textbox inset="0,0,0,0">
                  <w:txbxContent>
                    <w:p>
                      <w:pPr>
                        <w:pStyle w:val="BodyText"/>
                        <w:numPr>
                          <w:ilvl w:val="0"/>
                          <w:numId w:val="71"/>
                        </w:numPr>
                        <w:tabs>
                          <w:tab w:pos="321" w:val="left" w:leader="none"/>
                          <w:tab w:pos="324" w:val="left" w:leader="none"/>
                        </w:tabs>
                        <w:spacing w:line="254" w:lineRule="auto" w:before="65" w:after="0"/>
                        <w:ind w:left="324" w:right="277" w:hanging="220"/>
                        <w:jc w:val="left"/>
                      </w:pPr>
                      <w:r>
                        <w:rPr>
                          <w:color w:val="231F1F"/>
                        </w:rPr>
                        <w:t>¿Cuál</w:t>
                      </w:r>
                      <w:r>
                        <w:rPr>
                          <w:color w:val="231F1F"/>
                          <w:spacing w:val="23"/>
                        </w:rPr>
                        <w:t> </w:t>
                      </w:r>
                      <w:r>
                        <w:rPr>
                          <w:color w:val="231F1F"/>
                        </w:rPr>
                        <w:t>es</w:t>
                      </w:r>
                      <w:r>
                        <w:rPr>
                          <w:color w:val="231F1F"/>
                          <w:spacing w:val="23"/>
                        </w:rPr>
                        <w:t> </w:t>
                      </w:r>
                      <w:r>
                        <w:rPr>
                          <w:color w:val="231F1F"/>
                        </w:rPr>
                        <w:t>la</w:t>
                      </w:r>
                      <w:r>
                        <w:rPr>
                          <w:color w:val="231F1F"/>
                          <w:spacing w:val="23"/>
                        </w:rPr>
                        <w:t> </w:t>
                      </w:r>
                      <w:r>
                        <w:rPr>
                          <w:color w:val="231F1F"/>
                        </w:rPr>
                        <w:t>efectividad</w:t>
                      </w:r>
                      <w:r>
                        <w:rPr>
                          <w:color w:val="231F1F"/>
                          <w:spacing w:val="23"/>
                        </w:rPr>
                        <w:t> </w:t>
                      </w:r>
                      <w:r>
                        <w:rPr>
                          <w:color w:val="231F1F"/>
                        </w:rPr>
                        <w:t>de</w:t>
                      </w:r>
                      <w:r>
                        <w:rPr>
                          <w:color w:val="231F1F"/>
                          <w:spacing w:val="23"/>
                        </w:rPr>
                        <w:t> </w:t>
                      </w:r>
                      <w:r>
                        <w:rPr>
                          <w:color w:val="231F1F"/>
                        </w:rPr>
                        <w:t>la</w:t>
                      </w:r>
                      <w:r>
                        <w:rPr>
                          <w:color w:val="231F1F"/>
                          <w:spacing w:val="23"/>
                        </w:rPr>
                        <w:t> </w:t>
                      </w:r>
                      <w:r>
                        <w:rPr>
                          <w:color w:val="231F1F"/>
                        </w:rPr>
                        <w:t>estimulación</w:t>
                      </w:r>
                      <w:r>
                        <w:rPr>
                          <w:color w:val="231F1F"/>
                          <w:spacing w:val="24"/>
                        </w:rPr>
                        <w:t> </w:t>
                      </w:r>
                      <w:r>
                        <w:rPr>
                          <w:color w:val="231F1F"/>
                        </w:rPr>
                        <w:t>eléctrica</w:t>
                      </w:r>
                      <w:r>
                        <w:rPr>
                          <w:color w:val="231F1F"/>
                          <w:spacing w:val="23"/>
                        </w:rPr>
                        <w:t> </w:t>
                      </w:r>
                      <w:r>
                        <w:rPr>
                          <w:color w:val="231F1F"/>
                        </w:rPr>
                        <w:t>nerviosa</w:t>
                      </w:r>
                      <w:r>
                        <w:rPr>
                          <w:color w:val="231F1F"/>
                          <w:spacing w:val="23"/>
                        </w:rPr>
                        <w:t> </w:t>
                      </w:r>
                      <w:r>
                        <w:rPr>
                          <w:color w:val="231F1F"/>
                        </w:rPr>
                        <w:t>transcutánea</w:t>
                      </w:r>
                      <w:r>
                        <w:rPr>
                          <w:color w:val="231F1F"/>
                          <w:spacing w:val="25"/>
                        </w:rPr>
                        <w:t> </w:t>
                      </w:r>
                      <w:r>
                        <w:rPr>
                          <w:color w:val="231F1F"/>
                        </w:rPr>
                        <w:t>(TENS)</w:t>
                      </w:r>
                      <w:r>
                        <w:rPr>
                          <w:color w:val="231F1F"/>
                          <w:spacing w:val="23"/>
                        </w:rPr>
                        <w:t> </w:t>
                      </w:r>
                      <w:r>
                        <w:rPr>
                          <w:color w:val="231F1F"/>
                        </w:rPr>
                        <w:t>para el</w:t>
                      </w:r>
                      <w:r>
                        <w:rPr>
                          <w:color w:val="231F1F"/>
                          <w:spacing w:val="40"/>
                        </w:rPr>
                        <w:t> </w:t>
                      </w:r>
                      <w:r>
                        <w:rPr>
                          <w:color w:val="231F1F"/>
                        </w:rPr>
                        <w:t>alivio</w:t>
                      </w:r>
                      <w:r>
                        <w:rPr>
                          <w:color w:val="231F1F"/>
                          <w:spacing w:val="40"/>
                        </w:rPr>
                        <w:t> </w:t>
                      </w:r>
                      <w:r>
                        <w:rPr>
                          <w:color w:val="231F1F"/>
                        </w:rPr>
                        <w:t>del</w:t>
                      </w:r>
                      <w:r>
                        <w:rPr>
                          <w:color w:val="231F1F"/>
                          <w:spacing w:val="40"/>
                        </w:rPr>
                        <w:t> </w:t>
                      </w:r>
                      <w:r>
                        <w:rPr>
                          <w:color w:val="231F1F"/>
                        </w:rPr>
                        <w:t>dolor</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parto?</w:t>
                      </w:r>
                    </w:p>
                  </w:txbxContent>
                </v:textbox>
                <v:stroke dashstyle="solid"/>
                <w10:wrap type="topAndBottom"/>
              </v:shape>
            </w:pict>
          </mc:Fallback>
        </mc:AlternateContent>
      </w:r>
    </w:p>
    <w:p>
      <w:pPr>
        <w:pStyle w:val="BodyText"/>
        <w:spacing w:before="7"/>
        <w:rPr>
          <w:sz w:val="32"/>
        </w:rPr>
      </w:pPr>
    </w:p>
    <w:p>
      <w:pPr>
        <w:pStyle w:val="BodyText"/>
        <w:spacing w:line="252" w:lineRule="auto"/>
        <w:ind w:left="283" w:right="120"/>
        <w:jc w:val="both"/>
      </w:pPr>
      <w:r>
        <w:rPr>
          <w:color w:val="231F1F"/>
          <w:w w:val="105"/>
        </w:rPr>
        <w:t>El</w:t>
      </w:r>
      <w:r>
        <w:rPr>
          <w:color w:val="231F1F"/>
          <w:w w:val="105"/>
        </w:rPr>
        <w:t> método</w:t>
      </w:r>
      <w:r>
        <w:rPr>
          <w:color w:val="231F1F"/>
          <w:w w:val="105"/>
        </w:rPr>
        <w:t> TENS</w:t>
      </w:r>
      <w:r>
        <w:rPr>
          <w:color w:val="231F1F"/>
          <w:w w:val="105"/>
        </w:rPr>
        <w:t> es</w:t>
      </w:r>
      <w:r>
        <w:rPr>
          <w:color w:val="231F1F"/>
          <w:w w:val="105"/>
        </w:rPr>
        <w:t> una</w:t>
      </w:r>
      <w:r>
        <w:rPr>
          <w:color w:val="231F1F"/>
          <w:w w:val="105"/>
        </w:rPr>
        <w:t> técnica</w:t>
      </w:r>
      <w:r>
        <w:rPr>
          <w:color w:val="231F1F"/>
          <w:w w:val="105"/>
        </w:rPr>
        <w:t> analgésica</w:t>
      </w:r>
      <w:r>
        <w:rPr>
          <w:color w:val="231F1F"/>
          <w:w w:val="105"/>
        </w:rPr>
        <w:t> utilizada</w:t>
      </w:r>
      <w:r>
        <w:rPr>
          <w:color w:val="231F1F"/>
          <w:w w:val="105"/>
        </w:rPr>
        <w:t> en</w:t>
      </w:r>
      <w:r>
        <w:rPr>
          <w:color w:val="231F1F"/>
          <w:w w:val="105"/>
        </w:rPr>
        <w:t> varias</w:t>
      </w:r>
      <w:r>
        <w:rPr>
          <w:color w:val="231F1F"/>
          <w:w w:val="105"/>
        </w:rPr>
        <w:t> patologías</w:t>
      </w:r>
      <w:r>
        <w:rPr>
          <w:color w:val="231F1F"/>
          <w:w w:val="105"/>
        </w:rPr>
        <w:t> que</w:t>
      </w:r>
      <w:r>
        <w:rPr>
          <w:color w:val="231F1F"/>
          <w:w w:val="105"/>
        </w:rPr>
        <w:t> se</w:t>
      </w:r>
      <w:r>
        <w:rPr>
          <w:color w:val="231F1F"/>
          <w:w w:val="105"/>
        </w:rPr>
        <w:t> basa</w:t>
      </w:r>
      <w:r>
        <w:rPr>
          <w:color w:val="231F1F"/>
          <w:w w:val="105"/>
        </w:rPr>
        <w:t> en enviar desde la piel una estimulación nerviosa repetida para inhibir la transmisión de im- pulsos nociceptivos a nivel medular, es decir para inhibir la información dolorosa. La esti- mulación con TENS es percibida por el paciente a nivel del área subyacente, a la ubicación de</w:t>
      </w:r>
      <w:r>
        <w:rPr>
          <w:color w:val="231F1F"/>
          <w:spacing w:val="40"/>
          <w:w w:val="105"/>
        </w:rPr>
        <w:t> </w:t>
      </w:r>
      <w:r>
        <w:rPr>
          <w:color w:val="231F1F"/>
          <w:w w:val="105"/>
        </w:rPr>
        <w:t>los</w:t>
      </w:r>
      <w:r>
        <w:rPr>
          <w:color w:val="231F1F"/>
          <w:spacing w:val="40"/>
          <w:w w:val="105"/>
        </w:rPr>
        <w:t> </w:t>
      </w:r>
      <w:r>
        <w:rPr>
          <w:color w:val="231F1F"/>
          <w:w w:val="105"/>
        </w:rPr>
        <w:t>electrodos,</w:t>
      </w:r>
      <w:r>
        <w:rPr>
          <w:color w:val="231F1F"/>
          <w:spacing w:val="40"/>
          <w:w w:val="105"/>
        </w:rPr>
        <w:t> </w:t>
      </w:r>
      <w:r>
        <w:rPr>
          <w:color w:val="231F1F"/>
          <w:w w:val="105"/>
        </w:rPr>
        <w:t>como</w:t>
      </w:r>
      <w:r>
        <w:rPr>
          <w:color w:val="231F1F"/>
          <w:spacing w:val="40"/>
          <w:w w:val="105"/>
        </w:rPr>
        <w:t> </w:t>
      </w:r>
      <w:r>
        <w:rPr>
          <w:color w:val="231F1F"/>
          <w:w w:val="105"/>
        </w:rPr>
        <w:t>sensación</w:t>
      </w:r>
      <w:r>
        <w:rPr>
          <w:color w:val="231F1F"/>
          <w:spacing w:val="40"/>
          <w:w w:val="105"/>
        </w:rPr>
        <w:t> </w:t>
      </w:r>
      <w:r>
        <w:rPr>
          <w:color w:val="231F1F"/>
          <w:w w:val="105"/>
        </w:rPr>
        <w:t>de</w:t>
      </w:r>
      <w:r>
        <w:rPr>
          <w:color w:val="231F1F"/>
          <w:spacing w:val="40"/>
          <w:w w:val="105"/>
        </w:rPr>
        <w:t> </w:t>
      </w:r>
      <w:r>
        <w:rPr>
          <w:color w:val="231F1F"/>
          <w:w w:val="105"/>
        </w:rPr>
        <w:t>burbujeo</w:t>
      </w:r>
      <w:r>
        <w:rPr>
          <w:color w:val="231F1F"/>
          <w:spacing w:val="40"/>
          <w:w w:val="105"/>
        </w:rPr>
        <w:t> </w:t>
      </w:r>
      <w:r>
        <w:rPr>
          <w:color w:val="231F1F"/>
          <w:w w:val="105"/>
        </w:rPr>
        <w:t>o</w:t>
      </w:r>
      <w:r>
        <w:rPr>
          <w:color w:val="231F1F"/>
          <w:spacing w:val="40"/>
          <w:w w:val="105"/>
        </w:rPr>
        <w:t> </w:t>
      </w:r>
      <w:r>
        <w:rPr>
          <w:color w:val="231F1F"/>
          <w:w w:val="105"/>
        </w:rPr>
        <w:t>de</w:t>
      </w:r>
      <w:r>
        <w:rPr>
          <w:color w:val="231F1F"/>
          <w:spacing w:val="40"/>
          <w:w w:val="105"/>
        </w:rPr>
        <w:t> </w:t>
      </w:r>
      <w:r>
        <w:rPr>
          <w:color w:val="231F1F"/>
          <w:w w:val="105"/>
        </w:rPr>
        <w:t>contracciones</w:t>
      </w:r>
      <w:r>
        <w:rPr>
          <w:color w:val="231F1F"/>
          <w:spacing w:val="40"/>
          <w:w w:val="105"/>
        </w:rPr>
        <w:t> </w:t>
      </w:r>
      <w:r>
        <w:rPr>
          <w:color w:val="231F1F"/>
          <w:w w:val="105"/>
        </w:rPr>
        <w:t>fibrilares.</w:t>
      </w:r>
    </w:p>
    <w:p>
      <w:pPr>
        <w:pStyle w:val="BodyText"/>
        <w:spacing w:line="244" w:lineRule="auto" w:before="136"/>
        <w:ind w:left="283" w:right="124" w:firstLine="453"/>
        <w:jc w:val="both"/>
      </w:pPr>
      <w:r>
        <w:rPr>
          <w:color w:val="231F1F"/>
          <w:w w:val="105"/>
        </w:rPr>
        <w:t>Si bien se cree que el efecto analgésico del método TENS es muy limitado, permite el control</w:t>
      </w:r>
      <w:r>
        <w:rPr>
          <w:color w:val="231F1F"/>
          <w:spacing w:val="21"/>
          <w:w w:val="105"/>
        </w:rPr>
        <w:t> </w:t>
      </w:r>
      <w:r>
        <w:rPr>
          <w:color w:val="231F1F"/>
          <w:w w:val="105"/>
        </w:rPr>
        <w:t>por</w:t>
      </w:r>
      <w:r>
        <w:rPr>
          <w:color w:val="231F1F"/>
          <w:spacing w:val="21"/>
          <w:w w:val="105"/>
        </w:rPr>
        <w:t> </w:t>
      </w:r>
      <w:r>
        <w:rPr>
          <w:color w:val="231F1F"/>
          <w:w w:val="105"/>
        </w:rPr>
        <w:t>la</w:t>
      </w:r>
      <w:r>
        <w:rPr>
          <w:color w:val="231F1F"/>
          <w:spacing w:val="22"/>
          <w:w w:val="105"/>
        </w:rPr>
        <w:t> </w:t>
      </w:r>
      <w:r>
        <w:rPr>
          <w:color w:val="231F1F"/>
          <w:w w:val="105"/>
        </w:rPr>
        <w:t>propia</w:t>
      </w:r>
      <w:r>
        <w:rPr>
          <w:color w:val="231F1F"/>
          <w:spacing w:val="22"/>
          <w:w w:val="105"/>
        </w:rPr>
        <w:t> </w:t>
      </w:r>
      <w:r>
        <w:rPr>
          <w:color w:val="231F1F"/>
          <w:w w:val="105"/>
        </w:rPr>
        <w:t>mujer,</w:t>
      </w:r>
      <w:r>
        <w:rPr>
          <w:color w:val="231F1F"/>
          <w:spacing w:val="21"/>
          <w:w w:val="105"/>
        </w:rPr>
        <w:t> </w:t>
      </w:r>
      <w:r>
        <w:rPr>
          <w:color w:val="231F1F"/>
          <w:w w:val="105"/>
        </w:rPr>
        <w:t>mantener</w:t>
      </w:r>
      <w:r>
        <w:rPr>
          <w:color w:val="231F1F"/>
          <w:spacing w:val="22"/>
          <w:w w:val="105"/>
        </w:rPr>
        <w:t> </w:t>
      </w:r>
      <w:r>
        <w:rPr>
          <w:color w:val="231F1F"/>
          <w:w w:val="105"/>
        </w:rPr>
        <w:t>la</w:t>
      </w:r>
      <w:r>
        <w:rPr>
          <w:color w:val="231F1F"/>
          <w:spacing w:val="22"/>
          <w:w w:val="105"/>
        </w:rPr>
        <w:t> </w:t>
      </w:r>
      <w:r>
        <w:rPr>
          <w:color w:val="231F1F"/>
          <w:w w:val="105"/>
        </w:rPr>
        <w:t>deambulación,</w:t>
      </w:r>
      <w:r>
        <w:rPr>
          <w:color w:val="231F1F"/>
          <w:spacing w:val="21"/>
          <w:w w:val="105"/>
        </w:rPr>
        <w:t> </w:t>
      </w:r>
      <w:r>
        <w:rPr>
          <w:color w:val="231F1F"/>
          <w:w w:val="105"/>
        </w:rPr>
        <w:t>no</w:t>
      </w:r>
      <w:r>
        <w:rPr>
          <w:color w:val="231F1F"/>
          <w:spacing w:val="22"/>
          <w:w w:val="105"/>
        </w:rPr>
        <w:t> </w:t>
      </w:r>
      <w:r>
        <w:rPr>
          <w:color w:val="231F1F"/>
          <w:w w:val="105"/>
        </w:rPr>
        <w:t>afecta</w:t>
      </w:r>
      <w:r>
        <w:rPr>
          <w:color w:val="231F1F"/>
          <w:spacing w:val="22"/>
          <w:w w:val="105"/>
        </w:rPr>
        <w:t> </w:t>
      </w:r>
      <w:r>
        <w:rPr>
          <w:color w:val="231F1F"/>
          <w:w w:val="105"/>
        </w:rPr>
        <w:t>al</w:t>
      </w:r>
      <w:r>
        <w:rPr>
          <w:color w:val="231F1F"/>
          <w:spacing w:val="21"/>
          <w:w w:val="105"/>
        </w:rPr>
        <w:t> </w:t>
      </w:r>
      <w:r>
        <w:rPr>
          <w:color w:val="231F1F"/>
          <w:w w:val="105"/>
        </w:rPr>
        <w:t>estado</w:t>
      </w:r>
      <w:r>
        <w:rPr>
          <w:color w:val="231F1F"/>
          <w:spacing w:val="22"/>
          <w:w w:val="105"/>
        </w:rPr>
        <w:t> </w:t>
      </w:r>
      <w:r>
        <w:rPr>
          <w:color w:val="231F1F"/>
          <w:w w:val="105"/>
        </w:rPr>
        <w:t>de</w:t>
      </w:r>
      <w:r>
        <w:rPr>
          <w:color w:val="231F1F"/>
          <w:spacing w:val="22"/>
          <w:w w:val="105"/>
        </w:rPr>
        <w:t> </w:t>
      </w:r>
      <w:r>
        <w:rPr>
          <w:color w:val="231F1F"/>
          <w:w w:val="105"/>
        </w:rPr>
        <w:t>conciencia y</w:t>
      </w:r>
      <w:r>
        <w:rPr>
          <w:color w:val="231F1F"/>
          <w:spacing w:val="40"/>
          <w:w w:val="105"/>
        </w:rPr>
        <w:t> </w:t>
      </w:r>
      <w:r>
        <w:rPr>
          <w:color w:val="231F1F"/>
          <w:w w:val="105"/>
        </w:rPr>
        <w:t>supone</w:t>
      </w:r>
      <w:r>
        <w:rPr>
          <w:color w:val="231F1F"/>
          <w:spacing w:val="40"/>
          <w:w w:val="105"/>
        </w:rPr>
        <w:t> </w:t>
      </w:r>
      <w:r>
        <w:rPr>
          <w:color w:val="231F1F"/>
          <w:w w:val="105"/>
        </w:rPr>
        <w:t>una</w:t>
      </w:r>
      <w:r>
        <w:rPr>
          <w:color w:val="231F1F"/>
          <w:spacing w:val="40"/>
          <w:w w:val="105"/>
        </w:rPr>
        <w:t> </w:t>
      </w:r>
      <w:r>
        <w:rPr>
          <w:color w:val="231F1F"/>
          <w:w w:val="105"/>
        </w:rPr>
        <w:t>opción</w:t>
      </w:r>
      <w:r>
        <w:rPr>
          <w:color w:val="231F1F"/>
          <w:spacing w:val="40"/>
          <w:w w:val="105"/>
        </w:rPr>
        <w:t> </w:t>
      </w:r>
      <w:r>
        <w:rPr>
          <w:color w:val="231F1F"/>
          <w:w w:val="105"/>
        </w:rPr>
        <w:t>para</w:t>
      </w:r>
      <w:r>
        <w:rPr>
          <w:color w:val="231F1F"/>
          <w:spacing w:val="40"/>
          <w:w w:val="105"/>
        </w:rPr>
        <w:t> </w:t>
      </w:r>
      <w:r>
        <w:rPr>
          <w:color w:val="231F1F"/>
          <w:w w:val="105"/>
        </w:rPr>
        <w:t>las</w:t>
      </w:r>
      <w:r>
        <w:rPr>
          <w:color w:val="231F1F"/>
          <w:spacing w:val="40"/>
          <w:w w:val="105"/>
        </w:rPr>
        <w:t> </w:t>
      </w:r>
      <w:r>
        <w:rPr>
          <w:color w:val="231F1F"/>
          <w:w w:val="105"/>
        </w:rPr>
        <w:t>que</w:t>
      </w:r>
      <w:r>
        <w:rPr>
          <w:color w:val="231F1F"/>
          <w:spacing w:val="40"/>
          <w:w w:val="105"/>
        </w:rPr>
        <w:t> </w:t>
      </w:r>
      <w:r>
        <w:rPr>
          <w:color w:val="231F1F"/>
          <w:w w:val="105"/>
        </w:rPr>
        <w:t>no</w:t>
      </w:r>
      <w:r>
        <w:rPr>
          <w:color w:val="231F1F"/>
          <w:spacing w:val="40"/>
          <w:w w:val="105"/>
        </w:rPr>
        <w:t> </w:t>
      </w:r>
      <w:r>
        <w:rPr>
          <w:color w:val="231F1F"/>
          <w:w w:val="105"/>
        </w:rPr>
        <w:t>desean</w:t>
      </w:r>
      <w:r>
        <w:rPr>
          <w:color w:val="231F1F"/>
          <w:spacing w:val="40"/>
          <w:w w:val="105"/>
        </w:rPr>
        <w:t> </w:t>
      </w:r>
      <w:r>
        <w:rPr>
          <w:color w:val="231F1F"/>
          <w:w w:val="105"/>
        </w:rPr>
        <w:t>medicación.</w:t>
      </w:r>
    </w:p>
    <w:p>
      <w:pPr>
        <w:pStyle w:val="BodyText"/>
        <w:spacing w:before="168"/>
      </w:pPr>
    </w:p>
    <w:p>
      <w:pPr>
        <w:spacing w:before="0"/>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4" w:lineRule="auto" w:before="214"/>
        <w:ind w:left="287" w:right="1433"/>
        <w:jc w:val="both"/>
      </w:pPr>
      <w:r>
        <w:rPr>
          <w:color w:val="231F1F"/>
          <w:w w:val="105"/>
        </w:rPr>
        <w:t>La evidencia aportada por NICE (10) se basa en una RS (294) llevada a cabo en 1997 que incluía diez ECAs en los que se comparaban diferentes tipos de TENS.</w:t>
      </w:r>
      <w:r>
        <w:rPr>
          <w:color w:val="231F1F"/>
          <w:w w:val="105"/>
        </w:rPr>
        <w:t> Solo</w:t>
      </w:r>
      <w:r>
        <w:rPr>
          <w:color w:val="231F1F"/>
          <w:w w:val="105"/>
        </w:rPr>
        <w:t> uno</w:t>
      </w:r>
      <w:r>
        <w:rPr>
          <w:color w:val="231F1F"/>
          <w:w w:val="105"/>
        </w:rPr>
        <w:t> de</w:t>
      </w:r>
      <w:r>
        <w:rPr>
          <w:color w:val="231F1F"/>
          <w:w w:val="105"/>
        </w:rPr>
        <w:t> los</w:t>
      </w:r>
      <w:r>
        <w:rPr>
          <w:color w:val="231F1F"/>
          <w:w w:val="105"/>
        </w:rPr>
        <w:t> ECAs</w:t>
      </w:r>
      <w:r>
        <w:rPr>
          <w:color w:val="231F1F"/>
          <w:w w:val="105"/>
        </w:rPr>
        <w:t> alcanzaba</w:t>
      </w:r>
      <w:r>
        <w:rPr>
          <w:color w:val="231F1F"/>
          <w:w w:val="105"/>
        </w:rPr>
        <w:t> un</w:t>
      </w:r>
      <w:r>
        <w:rPr>
          <w:color w:val="231F1F"/>
          <w:w w:val="105"/>
        </w:rPr>
        <w:t> nivel</w:t>
      </w:r>
      <w:r>
        <w:rPr>
          <w:color w:val="231F1F"/>
          <w:w w:val="105"/>
        </w:rPr>
        <w:t> adecuado</w:t>
      </w:r>
      <w:r>
        <w:rPr>
          <w:color w:val="231F1F"/>
          <w:w w:val="105"/>
        </w:rPr>
        <w:t> de</w:t>
      </w:r>
      <w:r>
        <w:rPr>
          <w:color w:val="231F1F"/>
          <w:w w:val="105"/>
        </w:rPr>
        <w:t> enmascara- miento con un NE=1+.</w:t>
      </w:r>
    </w:p>
    <w:p>
      <w:pPr>
        <w:pStyle w:val="BodyText"/>
        <w:tabs>
          <w:tab w:pos="8125" w:val="left" w:leader="none"/>
        </w:tabs>
        <w:spacing w:line="256" w:lineRule="auto" w:before="103"/>
        <w:ind w:left="287" w:right="294" w:firstLine="543"/>
      </w:pPr>
      <w:r>
        <w:rPr>
          <w:color w:val="231F1F"/>
          <w:w w:val="105"/>
        </w:rPr>
        <w:t>El resultado de dolor se midió en los diez ECAs. No hubo consisten-</w:t>
      </w:r>
      <w:r>
        <w:rPr>
          <w:color w:val="231F1F"/>
          <w:spacing w:val="80"/>
          <w:w w:val="105"/>
        </w:rPr>
        <w:t> </w:t>
      </w:r>
      <w:r>
        <w:rPr>
          <w:rFonts w:ascii="Arial MT" w:hAnsi="Arial MT"/>
          <w:color w:val="231F1F"/>
          <w:w w:val="105"/>
          <w:sz w:val="18"/>
        </w:rPr>
        <w:t>RS de ECAs</w:t>
      </w:r>
      <w:r>
        <w:rPr>
          <w:rFonts w:ascii="Arial MT" w:hAnsi="Arial MT"/>
          <w:color w:val="231F1F"/>
          <w:spacing w:val="40"/>
          <w:w w:val="105"/>
          <w:sz w:val="18"/>
        </w:rPr>
        <w:t> </w:t>
      </w:r>
      <w:r>
        <w:rPr>
          <w:color w:val="231F1F"/>
          <w:w w:val="105"/>
        </w:rPr>
        <w:t>cia</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método</w:t>
      </w:r>
      <w:r>
        <w:rPr>
          <w:color w:val="231F1F"/>
          <w:spacing w:val="40"/>
          <w:w w:val="105"/>
        </w:rPr>
        <w:t> </w:t>
      </w:r>
      <w:r>
        <w:rPr>
          <w:color w:val="231F1F"/>
          <w:w w:val="105"/>
        </w:rPr>
        <w:t>de</w:t>
      </w:r>
      <w:r>
        <w:rPr>
          <w:color w:val="231F1F"/>
          <w:spacing w:val="40"/>
          <w:w w:val="105"/>
        </w:rPr>
        <w:t> </w:t>
      </w:r>
      <w:r>
        <w:rPr>
          <w:color w:val="231F1F"/>
          <w:w w:val="105"/>
        </w:rPr>
        <w:t>medición,</w:t>
      </w:r>
      <w:r>
        <w:rPr>
          <w:color w:val="231F1F"/>
          <w:spacing w:val="40"/>
          <w:w w:val="105"/>
        </w:rPr>
        <w:t> </w:t>
      </w:r>
      <w:r>
        <w:rPr>
          <w:color w:val="231F1F"/>
          <w:w w:val="105"/>
        </w:rPr>
        <w:t>y</w:t>
      </w:r>
      <w:r>
        <w:rPr>
          <w:color w:val="231F1F"/>
          <w:spacing w:val="40"/>
          <w:w w:val="105"/>
        </w:rPr>
        <w:t> </w:t>
      </w:r>
      <w:r>
        <w:rPr>
          <w:color w:val="231F1F"/>
          <w:w w:val="105"/>
        </w:rPr>
        <w:t>ningún</w:t>
      </w:r>
      <w:r>
        <w:rPr>
          <w:color w:val="231F1F"/>
          <w:spacing w:val="40"/>
          <w:w w:val="105"/>
        </w:rPr>
        <w:t> </w:t>
      </w:r>
      <w:r>
        <w:rPr>
          <w:color w:val="231F1F"/>
          <w:w w:val="105"/>
        </w:rPr>
        <w:t>estudio</w:t>
      </w:r>
      <w:r>
        <w:rPr>
          <w:color w:val="231F1F"/>
          <w:spacing w:val="40"/>
          <w:w w:val="105"/>
        </w:rPr>
        <w:t> </w:t>
      </w:r>
      <w:r>
        <w:rPr>
          <w:color w:val="231F1F"/>
          <w:w w:val="105"/>
        </w:rPr>
        <w:t>registró</w:t>
      </w:r>
      <w:r>
        <w:rPr>
          <w:color w:val="231F1F"/>
          <w:spacing w:val="40"/>
          <w:w w:val="105"/>
        </w:rPr>
        <w:t> </w:t>
      </w:r>
      <w:r>
        <w:rPr>
          <w:color w:val="231F1F"/>
          <w:w w:val="105"/>
        </w:rPr>
        <w:t>diferencias</w:t>
      </w:r>
      <w:r>
        <w:rPr>
          <w:color w:val="231F1F"/>
          <w:spacing w:val="40"/>
          <w:w w:val="105"/>
        </w:rPr>
        <w:t> </w:t>
      </w:r>
      <w:r>
        <w:rPr>
          <w:color w:val="231F1F"/>
          <w:w w:val="105"/>
        </w:rPr>
        <w:t>en</w:t>
      </w:r>
      <w:r>
        <w:rPr>
          <w:color w:val="231F1F"/>
          <w:spacing w:val="40"/>
          <w:w w:val="105"/>
        </w:rPr>
        <w:t> </w:t>
      </w:r>
      <w:r>
        <w:rPr>
          <w:color w:val="231F1F"/>
          <w:w w:val="105"/>
        </w:rPr>
        <w:t>la</w:t>
      </w:r>
      <w:r>
        <w:rPr>
          <w:color w:val="231F1F"/>
        </w:rPr>
        <w:tab/>
      </w:r>
      <w:r>
        <w:rPr>
          <w:rFonts w:ascii="Arial MT" w:hAnsi="Arial MT"/>
          <w:color w:val="231F1F"/>
          <w:spacing w:val="-6"/>
          <w:w w:val="105"/>
          <w:position w:val="4"/>
          <w:sz w:val="18"/>
        </w:rPr>
        <w:t>1+ </w:t>
      </w:r>
      <w:r>
        <w:rPr>
          <w:color w:val="231F1F"/>
          <w:w w:val="105"/>
        </w:rPr>
        <w:t>intensidad</w:t>
      </w:r>
      <w:r>
        <w:rPr>
          <w:color w:val="231F1F"/>
          <w:spacing w:val="40"/>
          <w:w w:val="105"/>
        </w:rPr>
        <w:t> </w:t>
      </w:r>
      <w:r>
        <w:rPr>
          <w:color w:val="231F1F"/>
          <w:w w:val="105"/>
        </w:rPr>
        <w:t>de</w:t>
      </w:r>
      <w:r>
        <w:rPr>
          <w:color w:val="231F1F"/>
          <w:spacing w:val="40"/>
          <w:w w:val="105"/>
        </w:rPr>
        <w:t> </w:t>
      </w:r>
      <w:r>
        <w:rPr>
          <w:color w:val="231F1F"/>
          <w:w w:val="105"/>
        </w:rPr>
        <w:t>dolor</w:t>
      </w:r>
      <w:r>
        <w:rPr>
          <w:color w:val="231F1F"/>
          <w:spacing w:val="40"/>
          <w:w w:val="105"/>
        </w:rPr>
        <w:t> </w:t>
      </w:r>
      <w:r>
        <w:rPr>
          <w:color w:val="231F1F"/>
          <w:w w:val="105"/>
        </w:rPr>
        <w:t>o</w:t>
      </w:r>
      <w:r>
        <w:rPr>
          <w:color w:val="231F1F"/>
          <w:spacing w:val="40"/>
          <w:w w:val="105"/>
        </w:rPr>
        <w:t> </w:t>
      </w:r>
      <w:r>
        <w:rPr>
          <w:color w:val="231F1F"/>
          <w:w w:val="105"/>
        </w:rPr>
        <w:t>escalas</w:t>
      </w:r>
      <w:r>
        <w:rPr>
          <w:color w:val="231F1F"/>
          <w:spacing w:val="40"/>
          <w:w w:val="105"/>
        </w:rPr>
        <w:t> </w:t>
      </w:r>
      <w:r>
        <w:rPr>
          <w:color w:val="231F1F"/>
          <w:w w:val="105"/>
        </w:rPr>
        <w:t>de</w:t>
      </w:r>
      <w:r>
        <w:rPr>
          <w:color w:val="231F1F"/>
          <w:spacing w:val="40"/>
          <w:w w:val="105"/>
        </w:rPr>
        <w:t> </w:t>
      </w:r>
      <w:r>
        <w:rPr>
          <w:color w:val="231F1F"/>
          <w:w w:val="105"/>
        </w:rPr>
        <w:t>alivio</w:t>
      </w:r>
      <w:r>
        <w:rPr>
          <w:color w:val="231F1F"/>
          <w:spacing w:val="40"/>
          <w:w w:val="105"/>
        </w:rPr>
        <w:t> </w:t>
      </w:r>
      <w:r>
        <w:rPr>
          <w:color w:val="231F1F"/>
          <w:w w:val="105"/>
        </w:rPr>
        <w:t>del</w:t>
      </w:r>
      <w:r>
        <w:rPr>
          <w:color w:val="231F1F"/>
          <w:spacing w:val="40"/>
          <w:w w:val="105"/>
        </w:rPr>
        <w:t> </w:t>
      </w:r>
      <w:r>
        <w:rPr>
          <w:color w:val="231F1F"/>
          <w:w w:val="105"/>
        </w:rPr>
        <w:t>dolor</w:t>
      </w:r>
      <w:r>
        <w:rPr>
          <w:color w:val="231F1F"/>
          <w:spacing w:val="40"/>
          <w:w w:val="105"/>
        </w:rPr>
        <w:t> </w:t>
      </w:r>
      <w:r>
        <w:rPr>
          <w:color w:val="231F1F"/>
          <w:w w:val="105"/>
        </w:rPr>
        <w:t>entre</w:t>
      </w:r>
      <w:r>
        <w:rPr>
          <w:color w:val="231F1F"/>
          <w:spacing w:val="40"/>
          <w:w w:val="105"/>
        </w:rPr>
        <w:t> </w:t>
      </w:r>
      <w:r>
        <w:rPr>
          <w:color w:val="231F1F"/>
          <w:w w:val="105"/>
        </w:rPr>
        <w:t>TENS</w:t>
      </w:r>
      <w:r>
        <w:rPr>
          <w:color w:val="231F1F"/>
          <w:spacing w:val="40"/>
          <w:w w:val="105"/>
        </w:rPr>
        <w:t> </w:t>
      </w:r>
      <w:r>
        <w:rPr>
          <w:color w:val="231F1F"/>
          <w:w w:val="105"/>
        </w:rPr>
        <w:t>y</w:t>
      </w:r>
      <w:r>
        <w:rPr>
          <w:color w:val="231F1F"/>
          <w:spacing w:val="40"/>
          <w:w w:val="105"/>
        </w:rPr>
        <w:t> </w:t>
      </w:r>
      <w:r>
        <w:rPr>
          <w:color w:val="231F1F"/>
          <w:w w:val="105"/>
        </w:rPr>
        <w:t>control.</w:t>
      </w:r>
      <w:r>
        <w:rPr>
          <w:color w:val="231F1F"/>
          <w:spacing w:val="40"/>
          <w:w w:val="105"/>
        </w:rPr>
        <w:t> </w:t>
      </w:r>
      <w:r>
        <w:rPr>
          <w:color w:val="231F1F"/>
          <w:w w:val="105"/>
        </w:rPr>
        <w:t>La</w:t>
      </w:r>
    </w:p>
    <w:p>
      <w:pPr>
        <w:pStyle w:val="BodyText"/>
        <w:spacing w:line="254" w:lineRule="auto"/>
        <w:ind w:left="288" w:right="1424"/>
        <w:jc w:val="both"/>
      </w:pPr>
      <w:r>
        <w:rPr>
          <w:color w:val="231F1F"/>
          <w:w w:val="110"/>
        </w:rPr>
        <w:t>necesidad de una intervención adicional de analgesia fue descrita en ocho ECAs no encontrándose diferencias entre los grupos: RR combinado 0,88 [IC 95% 0,72 a 1,07] y no se notificaron efectos adversos en ninguno de los diez ECAs.</w:t>
      </w:r>
    </w:p>
    <w:p>
      <w:pPr>
        <w:pStyle w:val="BodyText"/>
        <w:spacing w:line="252" w:lineRule="auto" w:before="61"/>
        <w:ind w:left="287" w:right="1366" w:firstLine="544"/>
      </w:pPr>
      <w:r>
        <w:rPr>
          <w:color w:val="231F1F"/>
          <w:w w:val="105"/>
        </w:rPr>
        <w:t>A</w:t>
      </w:r>
      <w:r>
        <w:rPr>
          <w:color w:val="231F1F"/>
          <w:spacing w:val="-4"/>
          <w:w w:val="105"/>
        </w:rPr>
        <w:t> </w:t>
      </w:r>
      <w:r>
        <w:rPr>
          <w:color w:val="231F1F"/>
          <w:w w:val="105"/>
        </w:rPr>
        <w:t>partir</w:t>
      </w:r>
      <w:r>
        <w:rPr>
          <w:color w:val="231F1F"/>
          <w:spacing w:val="-4"/>
          <w:w w:val="105"/>
        </w:rPr>
        <w:t> </w:t>
      </w:r>
      <w:r>
        <w:rPr>
          <w:color w:val="231F1F"/>
          <w:w w:val="105"/>
        </w:rPr>
        <w:t>de</w:t>
      </w:r>
      <w:r>
        <w:rPr>
          <w:color w:val="231F1F"/>
          <w:spacing w:val="-4"/>
          <w:w w:val="105"/>
        </w:rPr>
        <w:t> </w:t>
      </w:r>
      <w:r>
        <w:rPr>
          <w:color w:val="231F1F"/>
          <w:w w:val="105"/>
        </w:rPr>
        <w:t>estos</w:t>
      </w:r>
      <w:r>
        <w:rPr>
          <w:color w:val="231F1F"/>
          <w:spacing w:val="-4"/>
          <w:w w:val="105"/>
        </w:rPr>
        <w:t> </w:t>
      </w:r>
      <w:r>
        <w:rPr>
          <w:color w:val="231F1F"/>
          <w:w w:val="105"/>
        </w:rPr>
        <w:t>resultados</w:t>
      </w:r>
      <w:r>
        <w:rPr>
          <w:color w:val="231F1F"/>
          <w:spacing w:val="-4"/>
          <w:w w:val="105"/>
        </w:rPr>
        <w:t> </w:t>
      </w:r>
      <w:r>
        <w:rPr>
          <w:color w:val="231F1F"/>
          <w:w w:val="105"/>
        </w:rPr>
        <w:t>NICE</w:t>
      </w:r>
      <w:r>
        <w:rPr>
          <w:color w:val="231F1F"/>
          <w:spacing w:val="-4"/>
          <w:w w:val="105"/>
        </w:rPr>
        <w:t> </w:t>
      </w:r>
      <w:r>
        <w:rPr>
          <w:color w:val="231F1F"/>
          <w:w w:val="105"/>
        </w:rPr>
        <w:t>(10)</w:t>
      </w:r>
      <w:r>
        <w:rPr>
          <w:color w:val="231F1F"/>
          <w:spacing w:val="-1"/>
          <w:w w:val="105"/>
        </w:rPr>
        <w:t> </w:t>
      </w:r>
      <w:r>
        <w:rPr>
          <w:color w:val="231F1F"/>
          <w:w w:val="105"/>
        </w:rPr>
        <w:t>concluye</w:t>
      </w:r>
      <w:r>
        <w:rPr>
          <w:color w:val="231F1F"/>
          <w:spacing w:val="-4"/>
          <w:w w:val="105"/>
        </w:rPr>
        <w:t> </w:t>
      </w:r>
      <w:r>
        <w:rPr>
          <w:color w:val="231F1F"/>
          <w:w w:val="105"/>
        </w:rPr>
        <w:t>que</w:t>
      </w:r>
      <w:r>
        <w:rPr>
          <w:color w:val="231F1F"/>
          <w:spacing w:val="-4"/>
          <w:w w:val="105"/>
        </w:rPr>
        <w:t> </w:t>
      </w:r>
      <w:r>
        <w:rPr>
          <w:color w:val="231F1F"/>
          <w:w w:val="105"/>
        </w:rPr>
        <w:t>existe</w:t>
      </w:r>
      <w:r>
        <w:rPr>
          <w:color w:val="231F1F"/>
          <w:spacing w:val="-4"/>
          <w:w w:val="105"/>
        </w:rPr>
        <w:t> </w:t>
      </w:r>
      <w:r>
        <w:rPr>
          <w:color w:val="231F1F"/>
          <w:w w:val="105"/>
        </w:rPr>
        <w:t>un</w:t>
      </w:r>
      <w:r>
        <w:rPr>
          <w:color w:val="231F1F"/>
          <w:spacing w:val="-5"/>
          <w:w w:val="105"/>
        </w:rPr>
        <w:t> </w:t>
      </w:r>
      <w:r>
        <w:rPr>
          <w:color w:val="231F1F"/>
          <w:w w:val="105"/>
        </w:rPr>
        <w:t>nivel</w:t>
      </w:r>
      <w:r>
        <w:rPr>
          <w:color w:val="231F1F"/>
          <w:spacing w:val="-5"/>
          <w:w w:val="105"/>
        </w:rPr>
        <w:t> </w:t>
      </w:r>
      <w:r>
        <w:rPr>
          <w:color w:val="231F1F"/>
          <w:w w:val="105"/>
        </w:rPr>
        <w:t>alto de evidencia de que el método TENS no es una analgesia efectiva en el parto establecido y que no existe un nivel alto de evidencia sobre el efecto analgé- sico del método TENS en la fase latente del parto.</w:t>
      </w:r>
    </w:p>
    <w:p>
      <w:pPr>
        <w:pStyle w:val="BodyText"/>
        <w:spacing w:before="177"/>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1"/>
          <w:sz w:val="24"/>
        </w:rPr>
        <w:t> </w:t>
      </w:r>
      <w:r>
        <w:rPr>
          <w:rFonts w:ascii="Arial MT" w:hAnsi="Arial MT"/>
          <w:color w:val="231F1F"/>
          <w:sz w:val="24"/>
        </w:rPr>
        <w:t>(2006</w:t>
      </w:r>
      <w:r>
        <w:rPr>
          <w:rFonts w:ascii="Arial MT" w:hAnsi="Arial MT"/>
          <w:color w:val="231F1F"/>
          <w:spacing w:val="14"/>
          <w:sz w:val="24"/>
        </w:rPr>
        <w:t> </w:t>
      </w:r>
      <w:r>
        <w:rPr>
          <w:rFonts w:ascii="Arial MT" w:hAnsi="Arial MT"/>
          <w:color w:val="231F1F"/>
          <w:sz w:val="24"/>
        </w:rPr>
        <w:t>a</w:t>
      </w:r>
      <w:r>
        <w:rPr>
          <w:rFonts w:ascii="Arial MT" w:hAnsi="Arial MT"/>
          <w:color w:val="231F1F"/>
          <w:spacing w:val="14"/>
          <w:sz w:val="24"/>
        </w:rPr>
        <w:t> </w:t>
      </w:r>
      <w:r>
        <w:rPr>
          <w:rFonts w:ascii="Arial MT" w:hAnsi="Arial MT"/>
          <w:color w:val="231F1F"/>
          <w:sz w:val="24"/>
        </w:rPr>
        <w:t>enero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3"/>
          <w:sz w:val="24"/>
        </w:rPr>
        <w:t> </w:t>
      </w:r>
      <w:r>
        <w:rPr>
          <w:rFonts w:ascii="Arial MT" w:hAnsi="Arial MT"/>
          <w:color w:val="231F1F"/>
          <w:spacing w:val="-2"/>
          <w:sz w:val="24"/>
        </w:rPr>
        <w:t>2009)</w:t>
      </w:r>
    </w:p>
    <w:p>
      <w:pPr>
        <w:pStyle w:val="BodyText"/>
        <w:spacing w:before="214"/>
        <w:ind w:left="283" w:right="1374"/>
        <w:jc w:val="both"/>
      </w:pPr>
      <w:r>
        <w:rPr>
          <w:color w:val="231F1F"/>
          <w:w w:val="110"/>
        </w:rPr>
        <w:t>En la nueva búsqueda se han identificado dos ECAs de los cuales uno fue seleccionado (295).</w:t>
      </w:r>
    </w:p>
    <w:p>
      <w:pPr>
        <w:pStyle w:val="BodyText"/>
        <w:spacing w:line="244" w:lineRule="auto" w:before="166"/>
        <w:ind w:left="283" w:right="1363" w:firstLine="453"/>
        <w:jc w:val="both"/>
      </w:pPr>
      <w:r>
        <w:rPr>
          <w:color w:val="231F1F"/>
        </w:rPr>
        <w:t>Este ensayo incluyó a 52 mujeres sanas en la fase activa de la 1ª etapa del </w:t>
      </w:r>
      <w:r>
        <w:rPr>
          <w:color w:val="231F1F"/>
          <w:w w:val="110"/>
        </w:rPr>
        <w:t>parto que querían parto sin epidural a las que se le aplicó el método TENS en</w:t>
      </w:r>
      <w:r>
        <w:rPr>
          <w:color w:val="231F1F"/>
          <w:spacing w:val="-4"/>
          <w:w w:val="110"/>
        </w:rPr>
        <w:t> </w:t>
      </w:r>
      <w:r>
        <w:rPr>
          <w:color w:val="231F1F"/>
          <w:w w:val="110"/>
        </w:rPr>
        <w:t>4</w:t>
      </w:r>
      <w:r>
        <w:rPr>
          <w:color w:val="231F1F"/>
          <w:spacing w:val="-4"/>
          <w:w w:val="110"/>
        </w:rPr>
        <w:t> </w:t>
      </w:r>
      <w:r>
        <w:rPr>
          <w:color w:val="231F1F"/>
          <w:w w:val="110"/>
        </w:rPr>
        <w:t>puntos</w:t>
      </w:r>
      <w:r>
        <w:rPr>
          <w:color w:val="231F1F"/>
          <w:spacing w:val="-4"/>
          <w:w w:val="110"/>
        </w:rPr>
        <w:t> </w:t>
      </w:r>
      <w:r>
        <w:rPr>
          <w:color w:val="231F1F"/>
          <w:w w:val="110"/>
        </w:rPr>
        <w:t>de</w:t>
      </w:r>
      <w:r>
        <w:rPr>
          <w:color w:val="231F1F"/>
          <w:spacing w:val="-4"/>
          <w:w w:val="110"/>
        </w:rPr>
        <w:t> </w:t>
      </w:r>
      <w:r>
        <w:rPr>
          <w:color w:val="231F1F"/>
          <w:w w:val="110"/>
        </w:rPr>
        <w:t>acupuntura</w:t>
      </w:r>
      <w:r>
        <w:rPr>
          <w:color w:val="231F1F"/>
          <w:spacing w:val="-3"/>
          <w:w w:val="110"/>
        </w:rPr>
        <w:t> </w:t>
      </w:r>
      <w:r>
        <w:rPr>
          <w:color w:val="231F1F"/>
          <w:w w:val="110"/>
        </w:rPr>
        <w:t>y</w:t>
      </w:r>
      <w:r>
        <w:rPr>
          <w:color w:val="231F1F"/>
          <w:spacing w:val="-4"/>
          <w:w w:val="110"/>
        </w:rPr>
        <w:t> </w:t>
      </w:r>
      <w:r>
        <w:rPr>
          <w:color w:val="231F1F"/>
          <w:w w:val="110"/>
        </w:rPr>
        <w:t>se</w:t>
      </w:r>
      <w:r>
        <w:rPr>
          <w:color w:val="231F1F"/>
          <w:spacing w:val="-4"/>
          <w:w w:val="110"/>
        </w:rPr>
        <w:t> </w:t>
      </w:r>
      <w:r>
        <w:rPr>
          <w:color w:val="231F1F"/>
          <w:w w:val="110"/>
        </w:rPr>
        <w:t>compararon</w:t>
      </w:r>
      <w:r>
        <w:rPr>
          <w:color w:val="231F1F"/>
          <w:spacing w:val="-3"/>
          <w:w w:val="110"/>
        </w:rPr>
        <w:t> </w:t>
      </w:r>
      <w:r>
        <w:rPr>
          <w:color w:val="231F1F"/>
          <w:w w:val="110"/>
        </w:rPr>
        <w:t>con</w:t>
      </w:r>
      <w:r>
        <w:rPr>
          <w:color w:val="231F1F"/>
          <w:spacing w:val="-3"/>
          <w:w w:val="110"/>
        </w:rPr>
        <w:t> </w:t>
      </w:r>
      <w:r>
        <w:rPr>
          <w:color w:val="231F1F"/>
          <w:w w:val="110"/>
        </w:rPr>
        <w:t>un</w:t>
      </w:r>
      <w:r>
        <w:rPr>
          <w:color w:val="231F1F"/>
          <w:spacing w:val="-4"/>
          <w:w w:val="110"/>
        </w:rPr>
        <w:t> </w:t>
      </w:r>
      <w:r>
        <w:rPr>
          <w:color w:val="231F1F"/>
          <w:w w:val="110"/>
        </w:rPr>
        <w:t>grupo</w:t>
      </w:r>
      <w:r>
        <w:rPr>
          <w:color w:val="231F1F"/>
          <w:spacing w:val="-4"/>
          <w:w w:val="110"/>
        </w:rPr>
        <w:t> </w:t>
      </w:r>
      <w:r>
        <w:rPr>
          <w:color w:val="231F1F"/>
          <w:w w:val="110"/>
        </w:rPr>
        <w:t>de</w:t>
      </w:r>
      <w:r>
        <w:rPr>
          <w:color w:val="231F1F"/>
          <w:spacing w:val="-4"/>
          <w:w w:val="110"/>
        </w:rPr>
        <w:t> </w:t>
      </w:r>
      <w:r>
        <w:rPr>
          <w:color w:val="231F1F"/>
          <w:w w:val="110"/>
        </w:rPr>
        <w:t>53</w:t>
      </w:r>
      <w:r>
        <w:rPr>
          <w:color w:val="231F1F"/>
          <w:spacing w:val="-4"/>
          <w:w w:val="110"/>
        </w:rPr>
        <w:t> </w:t>
      </w:r>
      <w:r>
        <w:rPr>
          <w:color w:val="231F1F"/>
          <w:w w:val="110"/>
        </w:rPr>
        <w:t>a</w:t>
      </w:r>
      <w:r>
        <w:rPr>
          <w:color w:val="231F1F"/>
          <w:spacing w:val="-4"/>
          <w:w w:val="110"/>
        </w:rPr>
        <w:t> </w:t>
      </w:r>
      <w:r>
        <w:rPr>
          <w:color w:val="231F1F"/>
          <w:w w:val="110"/>
        </w:rPr>
        <w:t>las</w:t>
      </w:r>
      <w:r>
        <w:rPr>
          <w:color w:val="231F1F"/>
          <w:spacing w:val="-4"/>
          <w:w w:val="110"/>
        </w:rPr>
        <w:t> </w:t>
      </w:r>
      <w:r>
        <w:rPr>
          <w:color w:val="231F1F"/>
          <w:w w:val="110"/>
        </w:rPr>
        <w:t>que</w:t>
      </w:r>
      <w:r>
        <w:rPr>
          <w:color w:val="231F1F"/>
          <w:spacing w:val="-4"/>
          <w:w w:val="110"/>
        </w:rPr>
        <w:t> </w:t>
      </w:r>
      <w:r>
        <w:rPr>
          <w:color w:val="231F1F"/>
          <w:w w:val="110"/>
        </w:rPr>
        <w:t>se les aplicó placebo TENS.</w:t>
      </w:r>
    </w:p>
    <w:p>
      <w:pPr>
        <w:pStyle w:val="BodyText"/>
        <w:spacing w:after="0" w:line="244" w:lineRule="auto"/>
        <w:jc w:val="both"/>
        <w:sectPr>
          <w:pgSz w:w="11900" w:h="16840"/>
          <w:pgMar w:header="0" w:footer="622" w:top="1560" w:bottom="820" w:left="1417" w:right="1559"/>
        </w:sectPr>
      </w:pPr>
    </w:p>
    <w:p>
      <w:pPr>
        <w:pStyle w:val="BodyText"/>
        <w:spacing w:line="247" w:lineRule="auto" w:before="68"/>
        <w:ind w:left="294" w:right="100" w:firstLine="453"/>
      </w:pPr>
      <w:r>
        <w:rPr>
          <w:color w:val="231F1F"/>
          <w:w w:val="105"/>
        </w:rPr>
        <w:t>La</w:t>
      </w:r>
      <w:r>
        <w:rPr>
          <w:color w:val="231F1F"/>
          <w:spacing w:val="-9"/>
          <w:w w:val="105"/>
        </w:rPr>
        <w:t> </w:t>
      </w:r>
      <w:r>
        <w:rPr>
          <w:color w:val="231F1F"/>
          <w:w w:val="105"/>
        </w:rPr>
        <w:t>disminución</w:t>
      </w:r>
      <w:r>
        <w:rPr>
          <w:color w:val="231F1F"/>
          <w:spacing w:val="-9"/>
          <w:w w:val="105"/>
        </w:rPr>
        <w:t> </w:t>
      </w:r>
      <w:r>
        <w:rPr>
          <w:color w:val="231F1F"/>
          <w:w w:val="105"/>
        </w:rPr>
        <w:t>de</w:t>
      </w:r>
      <w:r>
        <w:rPr>
          <w:color w:val="231F1F"/>
          <w:spacing w:val="-9"/>
          <w:w w:val="105"/>
        </w:rPr>
        <w:t> </w:t>
      </w:r>
      <w:r>
        <w:rPr>
          <w:color w:val="231F1F"/>
          <w:w w:val="105"/>
        </w:rPr>
        <w:t>3</w:t>
      </w:r>
      <w:r>
        <w:rPr>
          <w:color w:val="231F1F"/>
          <w:spacing w:val="-9"/>
          <w:w w:val="105"/>
        </w:rPr>
        <w:t> </w:t>
      </w:r>
      <w:r>
        <w:rPr>
          <w:color w:val="231F1F"/>
          <w:w w:val="105"/>
        </w:rPr>
        <w:t>o</w:t>
      </w:r>
      <w:r>
        <w:rPr>
          <w:color w:val="231F1F"/>
          <w:spacing w:val="-9"/>
          <w:w w:val="105"/>
        </w:rPr>
        <w:t> </w:t>
      </w:r>
      <w:r>
        <w:rPr>
          <w:color w:val="231F1F"/>
          <w:w w:val="105"/>
        </w:rPr>
        <w:t>más</w:t>
      </w:r>
      <w:r>
        <w:rPr>
          <w:color w:val="231F1F"/>
          <w:spacing w:val="-9"/>
          <w:w w:val="105"/>
        </w:rPr>
        <w:t> </w:t>
      </w:r>
      <w:r>
        <w:rPr>
          <w:color w:val="231F1F"/>
          <w:w w:val="105"/>
        </w:rPr>
        <w:t>puntos</w:t>
      </w:r>
      <w:r>
        <w:rPr>
          <w:color w:val="231F1F"/>
          <w:spacing w:val="-9"/>
          <w:w w:val="105"/>
        </w:rPr>
        <w:t> </w:t>
      </w:r>
      <w:r>
        <w:rPr>
          <w:color w:val="231F1F"/>
          <w:w w:val="105"/>
        </w:rPr>
        <w:t>en</w:t>
      </w:r>
      <w:r>
        <w:rPr>
          <w:color w:val="231F1F"/>
          <w:spacing w:val="-9"/>
          <w:w w:val="105"/>
        </w:rPr>
        <w:t> </w:t>
      </w:r>
      <w:r>
        <w:rPr>
          <w:color w:val="231F1F"/>
          <w:w w:val="105"/>
        </w:rPr>
        <w:t>la</w:t>
      </w:r>
      <w:r>
        <w:rPr>
          <w:color w:val="231F1F"/>
          <w:spacing w:val="-9"/>
          <w:w w:val="105"/>
        </w:rPr>
        <w:t> </w:t>
      </w:r>
      <w:r>
        <w:rPr>
          <w:color w:val="231F1F"/>
          <w:w w:val="105"/>
        </w:rPr>
        <w:t>escala</w:t>
      </w:r>
      <w:r>
        <w:rPr>
          <w:color w:val="231F1F"/>
          <w:spacing w:val="-9"/>
          <w:w w:val="105"/>
        </w:rPr>
        <w:t> </w:t>
      </w:r>
      <w:r>
        <w:rPr>
          <w:color w:val="231F1F"/>
          <w:w w:val="105"/>
        </w:rPr>
        <w:t>VAS</w:t>
      </w:r>
      <w:r>
        <w:rPr>
          <w:color w:val="231F1F"/>
          <w:spacing w:val="-9"/>
          <w:w w:val="105"/>
        </w:rPr>
        <w:t> </w:t>
      </w:r>
      <w:r>
        <w:rPr>
          <w:color w:val="231F1F"/>
          <w:w w:val="105"/>
        </w:rPr>
        <w:t>fue</w:t>
      </w:r>
      <w:r>
        <w:rPr>
          <w:color w:val="231F1F"/>
          <w:spacing w:val="-9"/>
          <w:w w:val="105"/>
        </w:rPr>
        <w:t> </w:t>
      </w:r>
      <w:r>
        <w:rPr>
          <w:color w:val="231F1F"/>
          <w:w w:val="105"/>
        </w:rPr>
        <w:t>significativamen- te</w:t>
      </w:r>
      <w:r>
        <w:rPr>
          <w:color w:val="231F1F"/>
          <w:spacing w:val="-6"/>
          <w:w w:val="105"/>
        </w:rPr>
        <w:t> </w:t>
      </w:r>
      <w:r>
        <w:rPr>
          <w:color w:val="231F1F"/>
          <w:w w:val="105"/>
        </w:rPr>
        <w:t>más</w:t>
      </w:r>
      <w:r>
        <w:rPr>
          <w:color w:val="231F1F"/>
          <w:spacing w:val="-6"/>
          <w:w w:val="105"/>
        </w:rPr>
        <w:t> </w:t>
      </w:r>
      <w:r>
        <w:rPr>
          <w:color w:val="231F1F"/>
          <w:w w:val="105"/>
        </w:rPr>
        <w:t>frecuente</w:t>
      </w:r>
      <w:r>
        <w:rPr>
          <w:color w:val="231F1F"/>
          <w:spacing w:val="-6"/>
          <w:w w:val="105"/>
        </w:rPr>
        <w:t> </w:t>
      </w:r>
      <w:r>
        <w:rPr>
          <w:color w:val="231F1F"/>
          <w:w w:val="105"/>
        </w:rPr>
        <w:t>en</w:t>
      </w:r>
      <w:r>
        <w:rPr>
          <w:color w:val="231F1F"/>
          <w:spacing w:val="-6"/>
          <w:w w:val="105"/>
        </w:rPr>
        <w:t> </w:t>
      </w:r>
      <w:r>
        <w:rPr>
          <w:color w:val="231F1F"/>
          <w:w w:val="105"/>
        </w:rPr>
        <w:t>el</w:t>
      </w:r>
      <w:r>
        <w:rPr>
          <w:color w:val="231F1F"/>
          <w:spacing w:val="-7"/>
          <w:w w:val="105"/>
        </w:rPr>
        <w:t> </w:t>
      </w:r>
      <w:r>
        <w:rPr>
          <w:color w:val="231F1F"/>
          <w:w w:val="105"/>
        </w:rPr>
        <w:t>grupo</w:t>
      </w:r>
      <w:r>
        <w:rPr>
          <w:color w:val="231F1F"/>
          <w:spacing w:val="-7"/>
          <w:w w:val="105"/>
        </w:rPr>
        <w:t> </w:t>
      </w:r>
      <w:r>
        <w:rPr>
          <w:color w:val="231F1F"/>
          <w:w w:val="105"/>
        </w:rPr>
        <w:t>con</w:t>
      </w:r>
      <w:r>
        <w:rPr>
          <w:color w:val="231F1F"/>
          <w:spacing w:val="-6"/>
          <w:w w:val="105"/>
        </w:rPr>
        <w:t> </w:t>
      </w:r>
      <w:r>
        <w:rPr>
          <w:color w:val="231F1F"/>
          <w:w w:val="105"/>
        </w:rPr>
        <w:t>tratamiento:</w:t>
      </w:r>
      <w:r>
        <w:rPr>
          <w:color w:val="231F1F"/>
          <w:spacing w:val="-7"/>
          <w:w w:val="105"/>
        </w:rPr>
        <w:t> </w:t>
      </w:r>
      <w:r>
        <w:rPr>
          <w:color w:val="231F1F"/>
          <w:w w:val="105"/>
        </w:rPr>
        <w:t>31/50</w:t>
      </w:r>
      <w:r>
        <w:rPr>
          <w:color w:val="231F1F"/>
          <w:spacing w:val="-6"/>
          <w:w w:val="105"/>
        </w:rPr>
        <w:t> </w:t>
      </w:r>
      <w:r>
        <w:rPr>
          <w:color w:val="231F1F"/>
          <w:w w:val="105"/>
        </w:rPr>
        <w:t>vs</w:t>
      </w:r>
      <w:r>
        <w:rPr>
          <w:color w:val="231F1F"/>
          <w:spacing w:val="-6"/>
          <w:w w:val="105"/>
        </w:rPr>
        <w:t> </w:t>
      </w:r>
      <w:r>
        <w:rPr>
          <w:color w:val="231F1F"/>
          <w:w w:val="105"/>
        </w:rPr>
        <w:t>7/50</w:t>
      </w:r>
      <w:r>
        <w:rPr>
          <w:color w:val="231F1F"/>
          <w:spacing w:val="-6"/>
          <w:w w:val="105"/>
        </w:rPr>
        <w:t> </w:t>
      </w:r>
      <w:r>
        <w:rPr>
          <w:color w:val="231F1F"/>
          <w:w w:val="105"/>
        </w:rPr>
        <w:t>p&lt;0.001;</w:t>
      </w:r>
      <w:r>
        <w:rPr>
          <w:color w:val="231F1F"/>
          <w:spacing w:val="-7"/>
          <w:w w:val="105"/>
        </w:rPr>
        <w:t> </w:t>
      </w:r>
      <w:r>
        <w:rPr>
          <w:color w:val="231F1F"/>
          <w:w w:val="105"/>
        </w:rPr>
        <w:t>así</w:t>
      </w:r>
      <w:r>
        <w:rPr>
          <w:color w:val="231F1F"/>
          <w:spacing w:val="-7"/>
          <w:w w:val="105"/>
        </w:rPr>
        <w:t> </w:t>
      </w:r>
      <w:r>
        <w:rPr>
          <w:color w:val="231F1F"/>
          <w:w w:val="105"/>
        </w:rPr>
        <w:t>como el</w:t>
      </w:r>
      <w:r>
        <w:rPr>
          <w:color w:val="231F1F"/>
          <w:spacing w:val="37"/>
          <w:w w:val="105"/>
        </w:rPr>
        <w:t> </w:t>
      </w:r>
      <w:r>
        <w:rPr>
          <w:color w:val="231F1F"/>
          <w:w w:val="105"/>
        </w:rPr>
        <w:t>deseo</w:t>
      </w:r>
      <w:r>
        <w:rPr>
          <w:color w:val="231F1F"/>
          <w:spacing w:val="37"/>
          <w:w w:val="105"/>
        </w:rPr>
        <w:t> </w:t>
      </w:r>
      <w:r>
        <w:rPr>
          <w:color w:val="231F1F"/>
          <w:w w:val="105"/>
        </w:rPr>
        <w:t>de</w:t>
      </w:r>
      <w:r>
        <w:rPr>
          <w:color w:val="231F1F"/>
          <w:spacing w:val="37"/>
          <w:w w:val="105"/>
        </w:rPr>
        <w:t> </w:t>
      </w:r>
      <w:r>
        <w:rPr>
          <w:color w:val="231F1F"/>
          <w:w w:val="105"/>
        </w:rPr>
        <w:t>volver</w:t>
      </w:r>
      <w:r>
        <w:rPr>
          <w:color w:val="231F1F"/>
          <w:spacing w:val="37"/>
          <w:w w:val="105"/>
        </w:rPr>
        <w:t> </w:t>
      </w:r>
      <w:r>
        <w:rPr>
          <w:color w:val="231F1F"/>
          <w:w w:val="105"/>
        </w:rPr>
        <w:t>a</w:t>
      </w:r>
      <w:r>
        <w:rPr>
          <w:color w:val="231F1F"/>
          <w:spacing w:val="38"/>
          <w:w w:val="105"/>
        </w:rPr>
        <w:t> </w:t>
      </w:r>
      <w:r>
        <w:rPr>
          <w:color w:val="231F1F"/>
          <w:w w:val="105"/>
        </w:rPr>
        <w:t>utilizar</w:t>
      </w:r>
      <w:r>
        <w:rPr>
          <w:color w:val="231F1F"/>
          <w:spacing w:val="37"/>
          <w:w w:val="105"/>
        </w:rPr>
        <w:t> </w:t>
      </w:r>
      <w:r>
        <w:rPr>
          <w:color w:val="231F1F"/>
          <w:w w:val="105"/>
        </w:rPr>
        <w:t>el</w:t>
      </w:r>
      <w:r>
        <w:rPr>
          <w:color w:val="231F1F"/>
          <w:spacing w:val="37"/>
          <w:w w:val="105"/>
        </w:rPr>
        <w:t> </w:t>
      </w:r>
      <w:r>
        <w:rPr>
          <w:color w:val="231F1F"/>
          <w:w w:val="105"/>
        </w:rPr>
        <w:t>mismo</w:t>
      </w:r>
      <w:r>
        <w:rPr>
          <w:color w:val="231F1F"/>
          <w:spacing w:val="37"/>
          <w:w w:val="105"/>
        </w:rPr>
        <w:t> </w:t>
      </w:r>
      <w:r>
        <w:rPr>
          <w:color w:val="231F1F"/>
          <w:w w:val="105"/>
        </w:rPr>
        <w:t>método</w:t>
      </w:r>
      <w:r>
        <w:rPr>
          <w:color w:val="231F1F"/>
          <w:spacing w:val="37"/>
          <w:w w:val="105"/>
        </w:rPr>
        <w:t> </w:t>
      </w:r>
      <w:r>
        <w:rPr>
          <w:color w:val="231F1F"/>
          <w:w w:val="105"/>
        </w:rPr>
        <w:t>analgésico:</w:t>
      </w:r>
      <w:r>
        <w:rPr>
          <w:color w:val="231F1F"/>
          <w:spacing w:val="38"/>
          <w:w w:val="105"/>
        </w:rPr>
        <w:t> </w:t>
      </w:r>
      <w:r>
        <w:rPr>
          <w:color w:val="231F1F"/>
          <w:w w:val="105"/>
        </w:rPr>
        <w:t>48/51</w:t>
      </w:r>
      <w:r>
        <w:rPr>
          <w:color w:val="231F1F"/>
          <w:spacing w:val="38"/>
          <w:w w:val="105"/>
        </w:rPr>
        <w:t> </w:t>
      </w:r>
      <w:r>
        <w:rPr>
          <w:color w:val="231F1F"/>
          <w:w w:val="105"/>
        </w:rPr>
        <w:t>vs</w:t>
      </w:r>
      <w:r>
        <w:rPr>
          <w:color w:val="231F1F"/>
          <w:spacing w:val="38"/>
          <w:w w:val="105"/>
        </w:rPr>
        <w:t> </w:t>
      </w:r>
      <w:r>
        <w:rPr>
          <w:color w:val="231F1F"/>
          <w:w w:val="105"/>
        </w:rPr>
        <w:t>33/50 p&lt;0.001.</w:t>
      </w:r>
      <w:r>
        <w:rPr>
          <w:color w:val="231F1F"/>
          <w:spacing w:val="-1"/>
          <w:w w:val="105"/>
        </w:rPr>
        <w:t> </w:t>
      </w:r>
      <w:r>
        <w:rPr>
          <w:color w:val="231F1F"/>
          <w:w w:val="105"/>
        </w:rPr>
        <w:t>también</w:t>
      </w:r>
      <w:r>
        <w:rPr>
          <w:color w:val="231F1F"/>
          <w:spacing w:val="-1"/>
          <w:w w:val="105"/>
        </w:rPr>
        <w:t> </w:t>
      </w:r>
      <w:r>
        <w:rPr>
          <w:color w:val="231F1F"/>
          <w:w w:val="105"/>
        </w:rPr>
        <w:t>se</w:t>
      </w:r>
      <w:r>
        <w:rPr>
          <w:color w:val="231F1F"/>
          <w:spacing w:val="-1"/>
          <w:w w:val="105"/>
        </w:rPr>
        <w:t> </w:t>
      </w:r>
      <w:r>
        <w:rPr>
          <w:color w:val="231F1F"/>
          <w:w w:val="105"/>
        </w:rPr>
        <w:t>observo</w:t>
      </w:r>
      <w:r>
        <w:rPr>
          <w:color w:val="231F1F"/>
          <w:spacing w:val="-1"/>
          <w:w w:val="105"/>
        </w:rPr>
        <w:t> </w:t>
      </w:r>
      <w:r>
        <w:rPr>
          <w:color w:val="231F1F"/>
          <w:w w:val="105"/>
        </w:rPr>
        <w:t>una</w:t>
      </w:r>
      <w:r>
        <w:rPr>
          <w:color w:val="231F1F"/>
          <w:spacing w:val="-1"/>
          <w:w w:val="105"/>
        </w:rPr>
        <w:t> </w:t>
      </w:r>
      <w:r>
        <w:rPr>
          <w:color w:val="231F1F"/>
          <w:w w:val="105"/>
        </w:rPr>
        <w:t>tendencia</w:t>
      </w:r>
      <w:r>
        <w:rPr>
          <w:color w:val="231F1F"/>
          <w:spacing w:val="-1"/>
          <w:w w:val="105"/>
        </w:rPr>
        <w:t> </w:t>
      </w:r>
      <w:r>
        <w:rPr>
          <w:color w:val="231F1F"/>
          <w:w w:val="105"/>
        </w:rPr>
        <w:t>de</w:t>
      </w:r>
      <w:r>
        <w:rPr>
          <w:color w:val="231F1F"/>
          <w:spacing w:val="-1"/>
          <w:w w:val="105"/>
        </w:rPr>
        <w:t> </w:t>
      </w:r>
      <w:r>
        <w:rPr>
          <w:color w:val="231F1F"/>
          <w:w w:val="105"/>
        </w:rPr>
        <w:t>mayor</w:t>
      </w:r>
      <w:r>
        <w:rPr>
          <w:color w:val="231F1F"/>
          <w:spacing w:val="-1"/>
          <w:w w:val="105"/>
        </w:rPr>
        <w:t> </w:t>
      </w:r>
      <w:r>
        <w:rPr>
          <w:color w:val="231F1F"/>
          <w:w w:val="105"/>
        </w:rPr>
        <w:t>tasa</w:t>
      </w:r>
      <w:r>
        <w:rPr>
          <w:color w:val="231F1F"/>
          <w:spacing w:val="-1"/>
          <w:w w:val="105"/>
        </w:rPr>
        <w:t> </w:t>
      </w:r>
      <w:r>
        <w:rPr>
          <w:color w:val="231F1F"/>
          <w:w w:val="105"/>
        </w:rPr>
        <w:t>de</w:t>
      </w:r>
      <w:r>
        <w:rPr>
          <w:color w:val="231F1F"/>
          <w:spacing w:val="-1"/>
          <w:w w:val="105"/>
        </w:rPr>
        <w:t> </w:t>
      </w:r>
      <w:r>
        <w:rPr>
          <w:color w:val="231F1F"/>
          <w:w w:val="105"/>
        </w:rPr>
        <w:t>partos</w:t>
      </w:r>
      <w:r>
        <w:rPr>
          <w:color w:val="231F1F"/>
          <w:spacing w:val="-1"/>
          <w:w w:val="105"/>
        </w:rPr>
        <w:t> </w:t>
      </w:r>
      <w:r>
        <w:rPr>
          <w:color w:val="231F1F"/>
          <w:w w:val="105"/>
        </w:rPr>
        <w:t>no</w:t>
      </w:r>
      <w:r>
        <w:rPr>
          <w:color w:val="231F1F"/>
          <w:spacing w:val="-1"/>
          <w:w w:val="105"/>
        </w:rPr>
        <w:t> </w:t>
      </w:r>
      <w:r>
        <w:rPr>
          <w:color w:val="231F1F"/>
          <w:w w:val="105"/>
        </w:rPr>
        <w:t>espon- táneos en el mismo mgrupo: TENS 12/50 (24%) vs 4/50 (8%) p=0,05. El es- tudio concluye que la aplicación del el método TENS en puntos específicos</w:t>
      </w:r>
      <w:r>
        <w:rPr>
          <w:color w:val="231F1F"/>
          <w:spacing w:val="40"/>
          <w:w w:val="105"/>
        </w:rPr>
        <w:t> </w:t>
      </w:r>
      <w:r>
        <w:rPr>
          <w:color w:val="231F1F"/>
          <w:w w:val="105"/>
        </w:rPr>
        <w:t>de acupuntura pudiera ser un</w:t>
      </w:r>
      <w:r>
        <w:rPr>
          <w:color w:val="231F1F"/>
          <w:spacing w:val="-1"/>
          <w:w w:val="105"/>
        </w:rPr>
        <w:t> </w:t>
      </w:r>
      <w:r>
        <w:rPr>
          <w:color w:val="231F1F"/>
          <w:w w:val="105"/>
        </w:rPr>
        <w:t>tratamiento adyuvante no invasivo para el alivio del</w:t>
      </w:r>
      <w:r>
        <w:rPr>
          <w:color w:val="231F1F"/>
          <w:spacing w:val="-6"/>
          <w:w w:val="105"/>
        </w:rPr>
        <w:t> </w:t>
      </w:r>
      <w:r>
        <w:rPr>
          <w:color w:val="231F1F"/>
          <w:w w:val="105"/>
        </w:rPr>
        <w:t>dolor</w:t>
      </w:r>
      <w:r>
        <w:rPr>
          <w:color w:val="231F1F"/>
          <w:spacing w:val="-6"/>
          <w:w w:val="105"/>
        </w:rPr>
        <w:t> </w:t>
      </w:r>
      <w:r>
        <w:rPr>
          <w:color w:val="231F1F"/>
          <w:w w:val="105"/>
        </w:rPr>
        <w:t>durante</w:t>
      </w:r>
      <w:r>
        <w:rPr>
          <w:color w:val="231F1F"/>
          <w:spacing w:val="-6"/>
          <w:w w:val="105"/>
        </w:rPr>
        <w:t> </w:t>
      </w:r>
      <w:r>
        <w:rPr>
          <w:color w:val="231F1F"/>
          <w:w w:val="105"/>
        </w:rPr>
        <w:t>la</w:t>
      </w:r>
      <w:r>
        <w:rPr>
          <w:color w:val="231F1F"/>
          <w:spacing w:val="-4"/>
          <w:w w:val="105"/>
        </w:rPr>
        <w:t> </w:t>
      </w:r>
      <w:r>
        <w:rPr>
          <w:color w:val="231F1F"/>
          <w:w w:val="105"/>
        </w:rPr>
        <w:t>primera</w:t>
      </w:r>
      <w:r>
        <w:rPr>
          <w:color w:val="231F1F"/>
          <w:spacing w:val="-6"/>
          <w:w w:val="105"/>
        </w:rPr>
        <w:t> </w:t>
      </w:r>
      <w:r>
        <w:rPr>
          <w:color w:val="231F1F"/>
          <w:w w:val="105"/>
        </w:rPr>
        <w:t>fase</w:t>
      </w:r>
      <w:r>
        <w:rPr>
          <w:color w:val="231F1F"/>
          <w:spacing w:val="-4"/>
          <w:w w:val="105"/>
        </w:rPr>
        <w:t> </w:t>
      </w:r>
      <w:r>
        <w:rPr>
          <w:color w:val="231F1F"/>
          <w:w w:val="105"/>
        </w:rPr>
        <w:t>del</w:t>
      </w:r>
      <w:r>
        <w:rPr>
          <w:color w:val="231F1F"/>
          <w:spacing w:val="-6"/>
          <w:w w:val="105"/>
        </w:rPr>
        <w:t> </w:t>
      </w:r>
      <w:r>
        <w:rPr>
          <w:color w:val="231F1F"/>
          <w:w w:val="105"/>
        </w:rPr>
        <w:t>parto</w:t>
      </w:r>
      <w:r>
        <w:rPr>
          <w:color w:val="231F1F"/>
          <w:spacing w:val="-3"/>
          <w:w w:val="105"/>
        </w:rPr>
        <w:t> </w:t>
      </w:r>
      <w:r>
        <w:rPr>
          <w:color w:val="231F1F"/>
          <w:w w:val="105"/>
        </w:rPr>
        <w:t>ya</w:t>
      </w:r>
      <w:r>
        <w:rPr>
          <w:color w:val="231F1F"/>
          <w:spacing w:val="-6"/>
          <w:w w:val="105"/>
        </w:rPr>
        <w:t> </w:t>
      </w:r>
      <w:r>
        <w:rPr>
          <w:color w:val="231F1F"/>
          <w:w w:val="105"/>
        </w:rPr>
        <w:t>que</w:t>
      </w:r>
      <w:r>
        <w:rPr>
          <w:color w:val="231F1F"/>
          <w:spacing w:val="-6"/>
          <w:w w:val="105"/>
        </w:rPr>
        <w:t> </w:t>
      </w:r>
      <w:r>
        <w:rPr>
          <w:color w:val="231F1F"/>
          <w:w w:val="105"/>
        </w:rPr>
        <w:t>disminuye</w:t>
      </w:r>
      <w:r>
        <w:rPr>
          <w:color w:val="231F1F"/>
          <w:spacing w:val="-6"/>
          <w:w w:val="105"/>
        </w:rPr>
        <w:t> </w:t>
      </w:r>
      <w:r>
        <w:rPr>
          <w:color w:val="231F1F"/>
          <w:w w:val="105"/>
        </w:rPr>
        <w:t>significativamen- te el dolor en relación con el placebo.</w:t>
      </w:r>
    </w:p>
    <w:p>
      <w:pPr>
        <w:pStyle w:val="BodyText"/>
        <w:spacing w:line="244" w:lineRule="auto" w:before="141"/>
        <w:ind w:left="294" w:right="43" w:firstLine="453"/>
        <w:jc w:val="both"/>
      </w:pPr>
      <w:r>
        <w:rPr>
          <w:color w:val="231F1F"/>
          <w:w w:val="110"/>
        </w:rPr>
        <w:t>Se</w:t>
      </w:r>
      <w:r>
        <w:rPr>
          <w:color w:val="231F1F"/>
          <w:spacing w:val="-5"/>
          <w:w w:val="110"/>
        </w:rPr>
        <w:t> </w:t>
      </w:r>
      <w:r>
        <w:rPr>
          <w:color w:val="231F1F"/>
          <w:w w:val="110"/>
        </w:rPr>
        <w:t>trata</w:t>
      </w:r>
      <w:r>
        <w:rPr>
          <w:color w:val="231F1F"/>
          <w:spacing w:val="-4"/>
          <w:w w:val="110"/>
        </w:rPr>
        <w:t> </w:t>
      </w:r>
      <w:r>
        <w:rPr>
          <w:color w:val="231F1F"/>
          <w:w w:val="110"/>
        </w:rPr>
        <w:t>de</w:t>
      </w:r>
      <w:r>
        <w:rPr>
          <w:color w:val="231F1F"/>
          <w:spacing w:val="-4"/>
          <w:w w:val="110"/>
        </w:rPr>
        <w:t> </w:t>
      </w:r>
      <w:r>
        <w:rPr>
          <w:color w:val="231F1F"/>
          <w:w w:val="110"/>
        </w:rPr>
        <w:t>un</w:t>
      </w:r>
      <w:r>
        <w:rPr>
          <w:color w:val="231F1F"/>
          <w:spacing w:val="-4"/>
          <w:w w:val="110"/>
        </w:rPr>
        <w:t> </w:t>
      </w:r>
      <w:r>
        <w:rPr>
          <w:color w:val="231F1F"/>
          <w:w w:val="110"/>
        </w:rPr>
        <w:t>ensayo</w:t>
      </w:r>
      <w:r>
        <w:rPr>
          <w:color w:val="231F1F"/>
          <w:spacing w:val="-3"/>
          <w:w w:val="110"/>
        </w:rPr>
        <w:t> </w:t>
      </w:r>
      <w:r>
        <w:rPr>
          <w:color w:val="231F1F"/>
          <w:w w:val="110"/>
        </w:rPr>
        <w:t>llevado</w:t>
      </w:r>
      <w:r>
        <w:rPr>
          <w:color w:val="231F1F"/>
          <w:spacing w:val="-4"/>
          <w:w w:val="110"/>
        </w:rPr>
        <w:t> </w:t>
      </w:r>
      <w:r>
        <w:rPr>
          <w:color w:val="231F1F"/>
          <w:w w:val="110"/>
        </w:rPr>
        <w:t>a</w:t>
      </w:r>
      <w:r>
        <w:rPr>
          <w:color w:val="231F1F"/>
          <w:spacing w:val="-4"/>
          <w:w w:val="110"/>
        </w:rPr>
        <w:t> </w:t>
      </w:r>
      <w:r>
        <w:rPr>
          <w:color w:val="231F1F"/>
          <w:w w:val="110"/>
        </w:rPr>
        <w:t>cabo</w:t>
      </w:r>
      <w:r>
        <w:rPr>
          <w:color w:val="231F1F"/>
          <w:spacing w:val="-4"/>
          <w:w w:val="110"/>
        </w:rPr>
        <w:t> </w:t>
      </w:r>
      <w:r>
        <w:rPr>
          <w:color w:val="231F1F"/>
          <w:w w:val="110"/>
        </w:rPr>
        <w:t>en</w:t>
      </w:r>
      <w:r>
        <w:rPr>
          <w:color w:val="231F1F"/>
          <w:spacing w:val="-4"/>
          <w:w w:val="110"/>
        </w:rPr>
        <w:t> </w:t>
      </w:r>
      <w:r>
        <w:rPr>
          <w:color w:val="231F1F"/>
          <w:w w:val="110"/>
        </w:rPr>
        <w:t>Taiwán,</w:t>
      </w:r>
      <w:r>
        <w:rPr>
          <w:color w:val="231F1F"/>
          <w:spacing w:val="-5"/>
          <w:w w:val="110"/>
        </w:rPr>
        <w:t> </w:t>
      </w:r>
      <w:r>
        <w:rPr>
          <w:color w:val="231F1F"/>
          <w:w w:val="110"/>
        </w:rPr>
        <w:t>donde</w:t>
      </w:r>
      <w:r>
        <w:rPr>
          <w:color w:val="231F1F"/>
          <w:spacing w:val="-5"/>
          <w:w w:val="110"/>
        </w:rPr>
        <w:t> </w:t>
      </w:r>
      <w:r>
        <w:rPr>
          <w:color w:val="231F1F"/>
          <w:w w:val="110"/>
        </w:rPr>
        <w:t>existe</w:t>
      </w:r>
      <w:r>
        <w:rPr>
          <w:color w:val="231F1F"/>
          <w:spacing w:val="-4"/>
          <w:w w:val="110"/>
        </w:rPr>
        <w:t> </w:t>
      </w:r>
      <w:r>
        <w:rPr>
          <w:color w:val="231F1F"/>
          <w:w w:val="110"/>
        </w:rPr>
        <w:t>una</w:t>
      </w:r>
      <w:r>
        <w:rPr>
          <w:color w:val="231F1F"/>
          <w:spacing w:val="-5"/>
          <w:w w:val="110"/>
        </w:rPr>
        <w:t> </w:t>
      </w:r>
      <w:r>
        <w:rPr>
          <w:color w:val="231F1F"/>
          <w:w w:val="110"/>
        </w:rPr>
        <w:t>gran tradición</w:t>
      </w:r>
      <w:r>
        <w:rPr>
          <w:color w:val="231F1F"/>
          <w:spacing w:val="-9"/>
          <w:w w:val="110"/>
        </w:rPr>
        <w:t> </w:t>
      </w:r>
      <w:r>
        <w:rPr>
          <w:color w:val="231F1F"/>
          <w:w w:val="110"/>
        </w:rPr>
        <w:t>en</w:t>
      </w:r>
      <w:r>
        <w:rPr>
          <w:color w:val="231F1F"/>
          <w:spacing w:val="-9"/>
          <w:w w:val="110"/>
        </w:rPr>
        <w:t> </w:t>
      </w:r>
      <w:r>
        <w:rPr>
          <w:color w:val="231F1F"/>
          <w:w w:val="110"/>
        </w:rPr>
        <w:t>la</w:t>
      </w:r>
      <w:r>
        <w:rPr>
          <w:color w:val="231F1F"/>
          <w:spacing w:val="-9"/>
          <w:w w:val="110"/>
        </w:rPr>
        <w:t> </w:t>
      </w:r>
      <w:r>
        <w:rPr>
          <w:color w:val="231F1F"/>
          <w:w w:val="110"/>
        </w:rPr>
        <w:t>práctica</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acupuntura,</w:t>
      </w:r>
      <w:r>
        <w:rPr>
          <w:color w:val="231F1F"/>
          <w:spacing w:val="-9"/>
          <w:w w:val="110"/>
        </w:rPr>
        <w:t> </w:t>
      </w:r>
      <w:r>
        <w:rPr>
          <w:color w:val="231F1F"/>
          <w:w w:val="110"/>
        </w:rPr>
        <w:t>al</w:t>
      </w:r>
      <w:r>
        <w:rPr>
          <w:color w:val="231F1F"/>
          <w:spacing w:val="-9"/>
          <w:w w:val="110"/>
        </w:rPr>
        <w:t> </w:t>
      </w:r>
      <w:r>
        <w:rPr>
          <w:color w:val="231F1F"/>
          <w:w w:val="110"/>
        </w:rPr>
        <w:t>cual</w:t>
      </w:r>
      <w:r>
        <w:rPr>
          <w:color w:val="231F1F"/>
          <w:spacing w:val="-9"/>
          <w:w w:val="110"/>
        </w:rPr>
        <w:t> </w:t>
      </w:r>
      <w:r>
        <w:rPr>
          <w:color w:val="231F1F"/>
          <w:w w:val="110"/>
        </w:rPr>
        <w:t>la</w:t>
      </w:r>
      <w:r>
        <w:rPr>
          <w:color w:val="231F1F"/>
          <w:spacing w:val="-9"/>
          <w:w w:val="110"/>
        </w:rPr>
        <w:t> </w:t>
      </w:r>
      <w:r>
        <w:rPr>
          <w:color w:val="231F1F"/>
          <w:w w:val="110"/>
        </w:rPr>
        <w:t>sociedad</w:t>
      </w:r>
      <w:r>
        <w:rPr>
          <w:color w:val="231F1F"/>
          <w:spacing w:val="-9"/>
          <w:w w:val="110"/>
        </w:rPr>
        <w:t> </w:t>
      </w:r>
      <w:r>
        <w:rPr>
          <w:color w:val="231F1F"/>
          <w:w w:val="110"/>
        </w:rPr>
        <w:t>en</w:t>
      </w:r>
      <w:r>
        <w:rPr>
          <w:color w:val="231F1F"/>
          <w:spacing w:val="-9"/>
          <w:w w:val="110"/>
        </w:rPr>
        <w:t> </w:t>
      </w:r>
      <w:r>
        <w:rPr>
          <w:color w:val="231F1F"/>
          <w:w w:val="110"/>
        </w:rPr>
        <w:t>general</w:t>
      </w:r>
      <w:r>
        <w:rPr>
          <w:color w:val="231F1F"/>
          <w:spacing w:val="-10"/>
          <w:w w:val="110"/>
        </w:rPr>
        <w:t> </w:t>
      </w:r>
      <w:r>
        <w:rPr>
          <w:color w:val="231F1F"/>
          <w:w w:val="110"/>
        </w:rPr>
        <w:t>y</w:t>
      </w:r>
      <w:r>
        <w:rPr>
          <w:color w:val="231F1F"/>
          <w:spacing w:val="-9"/>
          <w:w w:val="110"/>
        </w:rPr>
        <w:t> </w:t>
      </w:r>
      <w:r>
        <w:rPr>
          <w:color w:val="231F1F"/>
          <w:w w:val="110"/>
        </w:rPr>
        <w:t>las parturientas en este particular, le confieren gran valor terapéutico.</w:t>
      </w:r>
    </w:p>
    <w:p>
      <w:pPr>
        <w:pStyle w:val="BodyText"/>
        <w:spacing w:line="244" w:lineRule="auto" w:before="172"/>
        <w:ind w:left="294" w:right="38" w:firstLine="453"/>
        <w:jc w:val="both"/>
      </w:pPr>
      <w:r>
        <w:rPr>
          <w:color w:val="231F1F"/>
          <w:w w:val="105"/>
        </w:rPr>
        <w:t>El</w:t>
      </w:r>
      <w:r>
        <w:rPr>
          <w:color w:val="231F1F"/>
          <w:w w:val="105"/>
        </w:rPr>
        <w:t> grupo</w:t>
      </w:r>
      <w:r>
        <w:rPr>
          <w:color w:val="231F1F"/>
          <w:w w:val="105"/>
        </w:rPr>
        <w:t> elaborador</w:t>
      </w:r>
      <w:r>
        <w:rPr>
          <w:color w:val="231F1F"/>
          <w:w w:val="105"/>
        </w:rPr>
        <w:t> considera</w:t>
      </w:r>
      <w:r>
        <w:rPr>
          <w:color w:val="231F1F"/>
          <w:w w:val="105"/>
        </w:rPr>
        <w:t> que</w:t>
      </w:r>
      <w:r>
        <w:rPr>
          <w:color w:val="231F1F"/>
          <w:w w:val="105"/>
        </w:rPr>
        <w:t> existe</w:t>
      </w:r>
      <w:r>
        <w:rPr>
          <w:color w:val="231F1F"/>
          <w:w w:val="105"/>
        </w:rPr>
        <w:t> inconsistencia</w:t>
      </w:r>
      <w:r>
        <w:rPr>
          <w:color w:val="231F1F"/>
          <w:w w:val="105"/>
        </w:rPr>
        <w:t> entre</w:t>
      </w:r>
      <w:r>
        <w:rPr>
          <w:color w:val="231F1F"/>
          <w:w w:val="105"/>
        </w:rPr>
        <w:t> los</w:t>
      </w:r>
      <w:r>
        <w:rPr>
          <w:color w:val="231F1F"/>
          <w:w w:val="105"/>
        </w:rPr>
        <w:t> resul- tados obtenidos por NICE (10) y este nuevo ensayo clínico publicado en 2007 y que la evidencia que aporta es muy indirecta por lo que no sería aplicable</w:t>
      </w:r>
      <w:r>
        <w:rPr>
          <w:color w:val="231F1F"/>
          <w:spacing w:val="80"/>
          <w:w w:val="150"/>
        </w:rPr>
        <w:t> </w:t>
      </w:r>
      <w:r>
        <w:rPr>
          <w:color w:val="231F1F"/>
          <w:w w:val="105"/>
        </w:rPr>
        <w:t>en nuestro contexto.</w:t>
      </w:r>
    </w:p>
    <w:p>
      <w:pPr>
        <w:pStyle w:val="BodyText"/>
        <w:spacing w:before="211"/>
      </w:pPr>
    </w:p>
    <w:p>
      <w:pPr>
        <w:spacing w:before="1"/>
        <w:ind w:left="294"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73" w:lineRule="auto" w:before="124"/>
        <w:ind w:left="373" w:right="506" w:hanging="80"/>
        <w:jc w:val="left"/>
        <w:rPr>
          <w:rFonts w:ascii="Arial MT"/>
          <w:sz w:val="18"/>
        </w:rPr>
      </w:pPr>
      <w:r>
        <w:rPr/>
        <w:br w:type="column"/>
      </w:r>
      <w:r>
        <w:rPr>
          <w:rFonts w:ascii="Arial MT"/>
          <w:color w:val="231F1F"/>
          <w:spacing w:val="-6"/>
          <w:sz w:val="18"/>
        </w:rPr>
        <w:t>ECA 1+</w:t>
      </w:r>
    </w:p>
    <w:p>
      <w:pPr>
        <w:spacing w:after="0" w:line="273" w:lineRule="auto"/>
        <w:jc w:val="left"/>
        <w:rPr>
          <w:rFonts w:ascii="Arial MT"/>
          <w:sz w:val="18"/>
        </w:rPr>
        <w:sectPr>
          <w:pgSz w:w="11900" w:h="16840"/>
          <w:pgMar w:header="0" w:footer="622" w:top="1560" w:bottom="820" w:left="1417" w:right="1559"/>
          <w:cols w:num="2" w:equalWidth="0">
            <w:col w:w="7605" w:space="156"/>
            <w:col w:w="1163"/>
          </w:cols>
        </w:sectPr>
      </w:pPr>
    </w:p>
    <w:p>
      <w:pPr>
        <w:pStyle w:val="BodyText"/>
        <w:spacing w:before="8" w:after="1"/>
        <w:rPr>
          <w:rFonts w:ascii="Arial MT"/>
          <w:sz w:val="19"/>
        </w:rPr>
      </w:pPr>
    </w:p>
    <w:tbl>
      <w:tblPr>
        <w:tblW w:w="0" w:type="auto"/>
        <w:jc w:val="left"/>
        <w:tblInd w:w="301"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68"/>
        <w:gridCol w:w="1138"/>
      </w:tblGrid>
      <w:tr>
        <w:trPr>
          <w:trHeight w:val="964" w:hRule="atLeast"/>
        </w:trPr>
        <w:tc>
          <w:tcPr>
            <w:tcW w:w="7368" w:type="dxa"/>
          </w:tcPr>
          <w:p>
            <w:pPr>
              <w:pStyle w:val="TableParagraph"/>
              <w:spacing w:line="244" w:lineRule="auto" w:before="44"/>
              <w:ind w:right="78"/>
              <w:jc w:val="both"/>
              <w:rPr>
                <w:sz w:val="22"/>
              </w:rPr>
            </w:pPr>
            <w:r>
              <w:rPr>
                <w:color w:val="231F1F"/>
                <w:w w:val="105"/>
                <w:sz w:val="22"/>
              </w:rPr>
              <w:t>Existe inconsistencia entre los resultados de los diferentes estudios y la evi- dencia que aporta el estudio que encuentra eficacia en el alivio del dolor es muy indirecta por lo que no sería aplicable en nuestro contexto (294;295).</w:t>
            </w:r>
          </w:p>
        </w:tc>
        <w:tc>
          <w:tcPr>
            <w:tcW w:w="1138" w:type="dxa"/>
          </w:tcPr>
          <w:p>
            <w:pPr>
              <w:pStyle w:val="TableParagraph"/>
              <w:spacing w:before="69"/>
              <w:ind w:left="0"/>
              <w:rPr>
                <w:rFonts w:ascii="Arial MT"/>
                <w:sz w:val="22"/>
              </w:rPr>
            </w:pPr>
          </w:p>
          <w:p>
            <w:pPr>
              <w:pStyle w:val="TableParagraph"/>
              <w:ind w:left="24"/>
              <w:jc w:val="center"/>
              <w:rPr>
                <w:sz w:val="22"/>
              </w:rPr>
            </w:pPr>
            <w:r>
              <w:rPr>
                <w:color w:val="231F1F"/>
                <w:spacing w:val="-5"/>
                <w:w w:val="105"/>
                <w:sz w:val="22"/>
              </w:rPr>
              <w:t>1+</w:t>
            </w:r>
          </w:p>
        </w:tc>
      </w:tr>
    </w:tbl>
    <w:p>
      <w:pPr>
        <w:pStyle w:val="BodyText"/>
        <w:spacing w:before="12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397" w:hRule="atLeast"/>
        </w:trPr>
        <w:tc>
          <w:tcPr>
            <w:tcW w:w="456" w:type="dxa"/>
          </w:tcPr>
          <w:p>
            <w:pPr>
              <w:pStyle w:val="TableParagraph"/>
              <w:spacing w:before="39"/>
              <w:rPr>
                <w:sz w:val="22"/>
              </w:rPr>
            </w:pPr>
            <w:r>
              <w:rPr>
                <w:color w:val="231F1F"/>
                <w:spacing w:val="-10"/>
                <w:w w:val="115"/>
                <w:sz w:val="22"/>
              </w:rPr>
              <w:t>A</w:t>
            </w:r>
          </w:p>
        </w:tc>
        <w:tc>
          <w:tcPr>
            <w:tcW w:w="8050" w:type="dxa"/>
          </w:tcPr>
          <w:p>
            <w:pPr>
              <w:pStyle w:val="TableParagraph"/>
              <w:spacing w:before="39"/>
              <w:rPr>
                <w:sz w:val="22"/>
              </w:rPr>
            </w:pPr>
            <w:r>
              <w:rPr>
                <w:color w:val="231F1F"/>
                <w:w w:val="110"/>
                <w:sz w:val="22"/>
              </w:rPr>
              <w:t>El</w:t>
            </w:r>
            <w:r>
              <w:rPr>
                <w:color w:val="231F1F"/>
                <w:spacing w:val="-14"/>
                <w:w w:val="110"/>
                <w:sz w:val="22"/>
              </w:rPr>
              <w:t> </w:t>
            </w:r>
            <w:r>
              <w:rPr>
                <w:color w:val="231F1F"/>
                <w:w w:val="110"/>
                <w:sz w:val="22"/>
              </w:rPr>
              <w:t>método</w:t>
            </w:r>
            <w:r>
              <w:rPr>
                <w:color w:val="231F1F"/>
                <w:spacing w:val="-12"/>
                <w:w w:val="110"/>
                <w:sz w:val="22"/>
              </w:rPr>
              <w:t> </w:t>
            </w:r>
            <w:r>
              <w:rPr>
                <w:color w:val="231F1F"/>
                <w:w w:val="110"/>
                <w:sz w:val="22"/>
              </w:rPr>
              <w:t>TENS</w:t>
            </w:r>
            <w:r>
              <w:rPr>
                <w:color w:val="231F1F"/>
                <w:spacing w:val="-14"/>
                <w:w w:val="110"/>
                <w:sz w:val="22"/>
              </w:rPr>
              <w:t> </w:t>
            </w:r>
            <w:r>
              <w:rPr>
                <w:color w:val="231F1F"/>
                <w:w w:val="110"/>
                <w:sz w:val="22"/>
              </w:rPr>
              <w:t>no</w:t>
            </w:r>
            <w:r>
              <w:rPr>
                <w:color w:val="231F1F"/>
                <w:spacing w:val="-12"/>
                <w:w w:val="110"/>
                <w:sz w:val="22"/>
              </w:rPr>
              <w:t> </w:t>
            </w:r>
            <w:r>
              <w:rPr>
                <w:color w:val="231F1F"/>
                <w:w w:val="110"/>
                <w:sz w:val="22"/>
              </w:rPr>
              <w:t>debiera</w:t>
            </w:r>
            <w:r>
              <w:rPr>
                <w:color w:val="231F1F"/>
                <w:spacing w:val="-13"/>
                <w:w w:val="110"/>
                <w:sz w:val="22"/>
              </w:rPr>
              <w:t> </w:t>
            </w:r>
            <w:r>
              <w:rPr>
                <w:color w:val="231F1F"/>
                <w:w w:val="110"/>
                <w:sz w:val="22"/>
              </w:rPr>
              <w:t>ser</w:t>
            </w:r>
            <w:r>
              <w:rPr>
                <w:color w:val="231F1F"/>
                <w:spacing w:val="-15"/>
                <w:w w:val="110"/>
                <w:sz w:val="22"/>
              </w:rPr>
              <w:t> </w:t>
            </w:r>
            <w:r>
              <w:rPr>
                <w:color w:val="231F1F"/>
                <w:w w:val="110"/>
                <w:sz w:val="22"/>
              </w:rPr>
              <w:t>ofrecida</w:t>
            </w:r>
            <w:r>
              <w:rPr>
                <w:color w:val="231F1F"/>
                <w:spacing w:val="-12"/>
                <w:w w:val="110"/>
                <w:sz w:val="22"/>
              </w:rPr>
              <w:t> </w:t>
            </w:r>
            <w:r>
              <w:rPr>
                <w:color w:val="231F1F"/>
                <w:w w:val="110"/>
                <w:sz w:val="22"/>
              </w:rPr>
              <w:t>a</w:t>
            </w:r>
            <w:r>
              <w:rPr>
                <w:color w:val="231F1F"/>
                <w:spacing w:val="-12"/>
                <w:w w:val="110"/>
                <w:sz w:val="22"/>
              </w:rPr>
              <w:t> </w:t>
            </w:r>
            <w:r>
              <w:rPr>
                <w:color w:val="231F1F"/>
                <w:w w:val="110"/>
                <w:sz w:val="22"/>
              </w:rPr>
              <w:t>las</w:t>
            </w:r>
            <w:r>
              <w:rPr>
                <w:color w:val="231F1F"/>
                <w:spacing w:val="-14"/>
                <w:w w:val="110"/>
                <w:sz w:val="22"/>
              </w:rPr>
              <w:t> </w:t>
            </w:r>
            <w:r>
              <w:rPr>
                <w:color w:val="231F1F"/>
                <w:w w:val="110"/>
                <w:sz w:val="22"/>
              </w:rPr>
              <w:t>mujeres</w:t>
            </w:r>
            <w:r>
              <w:rPr>
                <w:color w:val="231F1F"/>
                <w:spacing w:val="-12"/>
                <w:w w:val="110"/>
                <w:sz w:val="22"/>
              </w:rPr>
              <w:t> </w:t>
            </w:r>
            <w:r>
              <w:rPr>
                <w:color w:val="231F1F"/>
                <w:w w:val="110"/>
                <w:sz w:val="22"/>
              </w:rPr>
              <w:t>con</w:t>
            </w:r>
            <w:r>
              <w:rPr>
                <w:color w:val="231F1F"/>
                <w:spacing w:val="-14"/>
                <w:w w:val="110"/>
                <w:sz w:val="22"/>
              </w:rPr>
              <w:t> </w:t>
            </w:r>
            <w:r>
              <w:rPr>
                <w:color w:val="231F1F"/>
                <w:w w:val="110"/>
                <w:sz w:val="22"/>
              </w:rPr>
              <w:t>parto</w:t>
            </w:r>
            <w:r>
              <w:rPr>
                <w:color w:val="231F1F"/>
                <w:spacing w:val="-11"/>
                <w:w w:val="110"/>
                <w:sz w:val="22"/>
              </w:rPr>
              <w:t> </w:t>
            </w:r>
            <w:r>
              <w:rPr>
                <w:color w:val="231F1F"/>
                <w:spacing w:val="-2"/>
                <w:w w:val="110"/>
                <w:sz w:val="22"/>
              </w:rPr>
              <w:t>establecido.</w:t>
            </w:r>
          </w:p>
        </w:tc>
      </w:tr>
    </w:tbl>
    <w:p>
      <w:pPr>
        <w:pStyle w:val="TableParagraph"/>
        <w:spacing w:after="0"/>
        <w:rPr>
          <w:sz w:val="22"/>
        </w:rPr>
        <w:sectPr>
          <w:type w:val="continuous"/>
          <w:pgSz w:w="11900" w:h="16840"/>
          <w:pgMar w:header="0" w:footer="622" w:top="560" w:bottom="28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16" w:id="40"/>
      <w:r>
        <w:rPr>
          <w:color w:val="231F1F"/>
        </w:rPr>
        <w:t>Métodos</w:t>
      </w:r>
      <w:r>
        <w:rPr>
          <w:color w:val="231F1F"/>
          <w:spacing w:val="62"/>
        </w:rPr>
        <w:t> </w:t>
      </w:r>
      <w:r>
        <w:rPr>
          <w:color w:val="231F1F"/>
        </w:rPr>
        <w:t>farmacológicos</w:t>
      </w:r>
      <w:r>
        <w:rPr>
          <w:color w:val="231F1F"/>
          <w:spacing w:val="62"/>
        </w:rPr>
        <w:t> </w:t>
      </w:r>
      <w:r>
        <w:rPr>
          <w:color w:val="231F1F"/>
        </w:rPr>
        <w:t>de</w:t>
      </w:r>
      <w:r>
        <w:rPr>
          <w:color w:val="231F1F"/>
          <w:spacing w:val="64"/>
        </w:rPr>
        <w:t> </w:t>
      </w:r>
      <w:r>
        <w:rPr>
          <w:color w:val="231F1F"/>
        </w:rPr>
        <w:t>alivio</w:t>
      </w:r>
      <w:r>
        <w:rPr>
          <w:color w:val="231F1F"/>
          <w:spacing w:val="65"/>
        </w:rPr>
        <w:t> </w:t>
      </w:r>
      <w:r>
        <w:rPr>
          <w:color w:val="231F1F"/>
        </w:rPr>
        <w:t>del</w:t>
      </w:r>
      <w:r>
        <w:rPr>
          <w:color w:val="231F1F"/>
          <w:spacing w:val="64"/>
        </w:rPr>
        <w:t> </w:t>
      </w:r>
      <w:bookmarkEnd w:id="40"/>
      <w:r>
        <w:rPr>
          <w:color w:val="231F1F"/>
          <w:spacing w:val="-2"/>
        </w:rPr>
        <w:t>dolor</w:t>
      </w:r>
    </w:p>
    <w:p>
      <w:pPr>
        <w:pStyle w:val="BodyText"/>
        <w:spacing w:before="26"/>
        <w:rPr>
          <w:sz w:val="20"/>
        </w:rPr>
      </w:pPr>
      <w:r>
        <w:rPr>
          <w:sz w:val="20"/>
        </w:rPr>
        <mc:AlternateContent>
          <mc:Choice Requires="wps">
            <w:drawing>
              <wp:anchor distT="0" distB="0" distL="0" distR="0" allowOverlap="1" layoutInCell="1" locked="0" behindDoc="1" simplePos="0" relativeHeight="487624704">
                <wp:simplePos x="0" y="0"/>
                <wp:positionH relativeFrom="page">
                  <wp:posOffset>1082675</wp:posOffset>
                </wp:positionH>
                <wp:positionV relativeFrom="paragraph">
                  <wp:posOffset>180997</wp:posOffset>
                </wp:positionV>
                <wp:extent cx="5400040" cy="440055"/>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5400040" cy="440055"/>
                        </a:xfrm>
                        <a:prstGeom prst="rect">
                          <a:avLst/>
                        </a:prstGeom>
                        <a:ln w="6350">
                          <a:solidFill>
                            <a:srgbClr val="A30046"/>
                          </a:solidFill>
                          <a:prstDash val="solid"/>
                        </a:ln>
                      </wps:spPr>
                      <wps:txbx>
                        <w:txbxContent>
                          <w:p>
                            <w:pPr>
                              <w:pStyle w:val="BodyText"/>
                              <w:numPr>
                                <w:ilvl w:val="0"/>
                                <w:numId w:val="72"/>
                              </w:numPr>
                              <w:tabs>
                                <w:tab w:pos="322" w:val="left" w:leader="none"/>
                                <w:tab w:pos="325" w:val="left" w:leader="none"/>
                              </w:tabs>
                              <w:spacing w:line="244" w:lineRule="auto" w:before="46" w:after="0"/>
                              <w:ind w:left="325" w:right="205" w:hanging="221"/>
                              <w:jc w:val="left"/>
                            </w:pPr>
                            <w:r>
                              <w:rPr>
                                <w:color w:val="231F1F"/>
                                <w:w w:val="110"/>
                              </w:rPr>
                              <w:t>¿Cuál</w:t>
                            </w:r>
                            <w:r>
                              <w:rPr>
                                <w:color w:val="231F1F"/>
                                <w:spacing w:val="-7"/>
                                <w:w w:val="110"/>
                              </w:rPr>
                              <w:t> </w:t>
                            </w:r>
                            <w:r>
                              <w:rPr>
                                <w:color w:val="231F1F"/>
                                <w:w w:val="110"/>
                              </w:rPr>
                              <w:t>es</w:t>
                            </w:r>
                            <w:r>
                              <w:rPr>
                                <w:color w:val="231F1F"/>
                                <w:spacing w:val="-6"/>
                                <w:w w:val="110"/>
                              </w:rPr>
                              <w:t> </w:t>
                            </w:r>
                            <w:r>
                              <w:rPr>
                                <w:color w:val="231F1F"/>
                                <w:w w:val="110"/>
                              </w:rPr>
                              <w:t>la</w:t>
                            </w:r>
                            <w:r>
                              <w:rPr>
                                <w:color w:val="231F1F"/>
                                <w:spacing w:val="-6"/>
                                <w:w w:val="110"/>
                              </w:rPr>
                              <w:t> </w:t>
                            </w:r>
                            <w:r>
                              <w:rPr>
                                <w:color w:val="231F1F"/>
                                <w:w w:val="110"/>
                              </w:rPr>
                              <w:t>efectividad</w:t>
                            </w:r>
                            <w:r>
                              <w:rPr>
                                <w:color w:val="231F1F"/>
                                <w:spacing w:val="-7"/>
                                <w:w w:val="110"/>
                              </w:rPr>
                              <w:t> </w:t>
                            </w:r>
                            <w:r>
                              <w:rPr>
                                <w:color w:val="231F1F"/>
                                <w:w w:val="110"/>
                              </w:rPr>
                              <w:t>de</w:t>
                            </w:r>
                            <w:r>
                              <w:rPr>
                                <w:color w:val="231F1F"/>
                                <w:spacing w:val="-6"/>
                                <w:w w:val="110"/>
                              </w:rPr>
                              <w:t> </w:t>
                            </w:r>
                            <w:r>
                              <w:rPr>
                                <w:color w:val="231F1F"/>
                                <w:w w:val="110"/>
                              </w:rPr>
                              <w:t>los</w:t>
                            </w:r>
                            <w:r>
                              <w:rPr>
                                <w:color w:val="231F1F"/>
                                <w:spacing w:val="-6"/>
                                <w:w w:val="110"/>
                              </w:rPr>
                              <w:t> </w:t>
                            </w:r>
                            <w:r>
                              <w:rPr>
                                <w:color w:val="231F1F"/>
                                <w:w w:val="110"/>
                              </w:rPr>
                              <w:t>siguientes</w:t>
                            </w:r>
                            <w:r>
                              <w:rPr>
                                <w:color w:val="231F1F"/>
                                <w:spacing w:val="-8"/>
                                <w:w w:val="110"/>
                              </w:rPr>
                              <w:t> </w:t>
                            </w:r>
                            <w:r>
                              <w:rPr>
                                <w:color w:val="231F1F"/>
                                <w:w w:val="110"/>
                              </w:rPr>
                              <w:t>métodos</w:t>
                            </w:r>
                            <w:r>
                              <w:rPr>
                                <w:color w:val="231F1F"/>
                                <w:spacing w:val="-7"/>
                                <w:w w:val="110"/>
                              </w:rPr>
                              <w:t> </w:t>
                            </w:r>
                            <w:r>
                              <w:rPr>
                                <w:color w:val="231F1F"/>
                                <w:w w:val="110"/>
                              </w:rPr>
                              <w:t>para</w:t>
                            </w:r>
                            <w:r>
                              <w:rPr>
                                <w:color w:val="231F1F"/>
                                <w:spacing w:val="-6"/>
                                <w:w w:val="110"/>
                              </w:rPr>
                              <w:t> </w:t>
                            </w:r>
                            <w:r>
                              <w:rPr>
                                <w:color w:val="231F1F"/>
                                <w:w w:val="110"/>
                              </w:rPr>
                              <w:t>el</w:t>
                            </w:r>
                            <w:r>
                              <w:rPr>
                                <w:color w:val="231F1F"/>
                                <w:spacing w:val="-6"/>
                                <w:w w:val="110"/>
                              </w:rPr>
                              <w:t> </w:t>
                            </w:r>
                            <w:r>
                              <w:rPr>
                                <w:color w:val="231F1F"/>
                                <w:w w:val="110"/>
                              </w:rPr>
                              <w:t>alivio</w:t>
                            </w:r>
                            <w:r>
                              <w:rPr>
                                <w:color w:val="231F1F"/>
                                <w:spacing w:val="-7"/>
                                <w:w w:val="110"/>
                              </w:rPr>
                              <w:t> </w:t>
                            </w:r>
                            <w:r>
                              <w:rPr>
                                <w:color w:val="231F1F"/>
                                <w:w w:val="110"/>
                              </w:rPr>
                              <w:t>del</w:t>
                            </w:r>
                            <w:r>
                              <w:rPr>
                                <w:color w:val="231F1F"/>
                                <w:spacing w:val="-7"/>
                                <w:w w:val="110"/>
                              </w:rPr>
                              <w:t> </w:t>
                            </w:r>
                            <w:r>
                              <w:rPr>
                                <w:color w:val="231F1F"/>
                                <w:w w:val="110"/>
                              </w:rPr>
                              <w:t>dolor</w:t>
                            </w:r>
                            <w:r>
                              <w:rPr>
                                <w:color w:val="231F1F"/>
                                <w:spacing w:val="-6"/>
                                <w:w w:val="110"/>
                              </w:rPr>
                              <w:t> </w:t>
                            </w:r>
                            <w:r>
                              <w:rPr>
                                <w:color w:val="231F1F"/>
                                <w:w w:val="110"/>
                              </w:rPr>
                              <w:t>durante</w:t>
                            </w:r>
                            <w:r>
                              <w:rPr>
                                <w:color w:val="231F1F"/>
                                <w:spacing w:val="-6"/>
                                <w:w w:val="110"/>
                              </w:rPr>
                              <w:t> </w:t>
                            </w:r>
                            <w:r>
                              <w:rPr>
                                <w:color w:val="231F1F"/>
                                <w:w w:val="110"/>
                              </w:rPr>
                              <w:t>el parto: óxido nitroso y los opioides petidina, pentazocina y remifentanilo?</w:t>
                            </w:r>
                          </w:p>
                        </w:txbxContent>
                      </wps:txbx>
                      <wps:bodyPr wrap="square" lIns="0" tIns="0" rIns="0" bIns="0" rtlCol="0">
                        <a:noAutofit/>
                      </wps:bodyPr>
                    </wps:wsp>
                  </a:graphicData>
                </a:graphic>
              </wp:anchor>
            </w:drawing>
          </mc:Choice>
          <mc:Fallback>
            <w:pict>
              <v:shape style="position:absolute;margin-left:85.25pt;margin-top:14.251758pt;width:425.2pt;height:34.65pt;mso-position-horizontal-relative:page;mso-position-vertical-relative:paragraph;z-index:-15691776;mso-wrap-distance-left:0;mso-wrap-distance-right:0" type="#_x0000_t202" id="docshape123" filled="false" stroked="true" strokeweight=".5pt" strokecolor="#a30046">
                <v:textbox inset="0,0,0,0">
                  <w:txbxContent>
                    <w:p>
                      <w:pPr>
                        <w:pStyle w:val="BodyText"/>
                        <w:numPr>
                          <w:ilvl w:val="0"/>
                          <w:numId w:val="72"/>
                        </w:numPr>
                        <w:tabs>
                          <w:tab w:pos="322" w:val="left" w:leader="none"/>
                          <w:tab w:pos="325" w:val="left" w:leader="none"/>
                        </w:tabs>
                        <w:spacing w:line="244" w:lineRule="auto" w:before="46" w:after="0"/>
                        <w:ind w:left="325" w:right="205" w:hanging="221"/>
                        <w:jc w:val="left"/>
                      </w:pPr>
                      <w:r>
                        <w:rPr>
                          <w:color w:val="231F1F"/>
                          <w:w w:val="110"/>
                        </w:rPr>
                        <w:t>¿Cuál</w:t>
                      </w:r>
                      <w:r>
                        <w:rPr>
                          <w:color w:val="231F1F"/>
                          <w:spacing w:val="-7"/>
                          <w:w w:val="110"/>
                        </w:rPr>
                        <w:t> </w:t>
                      </w:r>
                      <w:r>
                        <w:rPr>
                          <w:color w:val="231F1F"/>
                          <w:w w:val="110"/>
                        </w:rPr>
                        <w:t>es</w:t>
                      </w:r>
                      <w:r>
                        <w:rPr>
                          <w:color w:val="231F1F"/>
                          <w:spacing w:val="-6"/>
                          <w:w w:val="110"/>
                        </w:rPr>
                        <w:t> </w:t>
                      </w:r>
                      <w:r>
                        <w:rPr>
                          <w:color w:val="231F1F"/>
                          <w:w w:val="110"/>
                        </w:rPr>
                        <w:t>la</w:t>
                      </w:r>
                      <w:r>
                        <w:rPr>
                          <w:color w:val="231F1F"/>
                          <w:spacing w:val="-6"/>
                          <w:w w:val="110"/>
                        </w:rPr>
                        <w:t> </w:t>
                      </w:r>
                      <w:r>
                        <w:rPr>
                          <w:color w:val="231F1F"/>
                          <w:w w:val="110"/>
                        </w:rPr>
                        <w:t>efectividad</w:t>
                      </w:r>
                      <w:r>
                        <w:rPr>
                          <w:color w:val="231F1F"/>
                          <w:spacing w:val="-7"/>
                          <w:w w:val="110"/>
                        </w:rPr>
                        <w:t> </w:t>
                      </w:r>
                      <w:r>
                        <w:rPr>
                          <w:color w:val="231F1F"/>
                          <w:w w:val="110"/>
                        </w:rPr>
                        <w:t>de</w:t>
                      </w:r>
                      <w:r>
                        <w:rPr>
                          <w:color w:val="231F1F"/>
                          <w:spacing w:val="-6"/>
                          <w:w w:val="110"/>
                        </w:rPr>
                        <w:t> </w:t>
                      </w:r>
                      <w:r>
                        <w:rPr>
                          <w:color w:val="231F1F"/>
                          <w:w w:val="110"/>
                        </w:rPr>
                        <w:t>los</w:t>
                      </w:r>
                      <w:r>
                        <w:rPr>
                          <w:color w:val="231F1F"/>
                          <w:spacing w:val="-6"/>
                          <w:w w:val="110"/>
                        </w:rPr>
                        <w:t> </w:t>
                      </w:r>
                      <w:r>
                        <w:rPr>
                          <w:color w:val="231F1F"/>
                          <w:w w:val="110"/>
                        </w:rPr>
                        <w:t>siguientes</w:t>
                      </w:r>
                      <w:r>
                        <w:rPr>
                          <w:color w:val="231F1F"/>
                          <w:spacing w:val="-8"/>
                          <w:w w:val="110"/>
                        </w:rPr>
                        <w:t> </w:t>
                      </w:r>
                      <w:r>
                        <w:rPr>
                          <w:color w:val="231F1F"/>
                          <w:w w:val="110"/>
                        </w:rPr>
                        <w:t>métodos</w:t>
                      </w:r>
                      <w:r>
                        <w:rPr>
                          <w:color w:val="231F1F"/>
                          <w:spacing w:val="-7"/>
                          <w:w w:val="110"/>
                        </w:rPr>
                        <w:t> </w:t>
                      </w:r>
                      <w:r>
                        <w:rPr>
                          <w:color w:val="231F1F"/>
                          <w:w w:val="110"/>
                        </w:rPr>
                        <w:t>para</w:t>
                      </w:r>
                      <w:r>
                        <w:rPr>
                          <w:color w:val="231F1F"/>
                          <w:spacing w:val="-6"/>
                          <w:w w:val="110"/>
                        </w:rPr>
                        <w:t> </w:t>
                      </w:r>
                      <w:r>
                        <w:rPr>
                          <w:color w:val="231F1F"/>
                          <w:w w:val="110"/>
                        </w:rPr>
                        <w:t>el</w:t>
                      </w:r>
                      <w:r>
                        <w:rPr>
                          <w:color w:val="231F1F"/>
                          <w:spacing w:val="-6"/>
                          <w:w w:val="110"/>
                        </w:rPr>
                        <w:t> </w:t>
                      </w:r>
                      <w:r>
                        <w:rPr>
                          <w:color w:val="231F1F"/>
                          <w:w w:val="110"/>
                        </w:rPr>
                        <w:t>alivio</w:t>
                      </w:r>
                      <w:r>
                        <w:rPr>
                          <w:color w:val="231F1F"/>
                          <w:spacing w:val="-7"/>
                          <w:w w:val="110"/>
                        </w:rPr>
                        <w:t> </w:t>
                      </w:r>
                      <w:r>
                        <w:rPr>
                          <w:color w:val="231F1F"/>
                          <w:w w:val="110"/>
                        </w:rPr>
                        <w:t>del</w:t>
                      </w:r>
                      <w:r>
                        <w:rPr>
                          <w:color w:val="231F1F"/>
                          <w:spacing w:val="-7"/>
                          <w:w w:val="110"/>
                        </w:rPr>
                        <w:t> </w:t>
                      </w:r>
                      <w:r>
                        <w:rPr>
                          <w:color w:val="231F1F"/>
                          <w:w w:val="110"/>
                        </w:rPr>
                        <w:t>dolor</w:t>
                      </w:r>
                      <w:r>
                        <w:rPr>
                          <w:color w:val="231F1F"/>
                          <w:spacing w:val="-6"/>
                          <w:w w:val="110"/>
                        </w:rPr>
                        <w:t> </w:t>
                      </w:r>
                      <w:r>
                        <w:rPr>
                          <w:color w:val="231F1F"/>
                          <w:w w:val="110"/>
                        </w:rPr>
                        <w:t>durante</w:t>
                      </w:r>
                      <w:r>
                        <w:rPr>
                          <w:color w:val="231F1F"/>
                          <w:spacing w:val="-6"/>
                          <w:w w:val="110"/>
                        </w:rPr>
                        <w:t> </w:t>
                      </w:r>
                      <w:r>
                        <w:rPr>
                          <w:color w:val="231F1F"/>
                          <w:w w:val="110"/>
                        </w:rPr>
                        <w:t>el parto: óxido nitroso y los opioides petidina, pentazocina y remifentanilo?</w:t>
                      </w:r>
                    </w:p>
                  </w:txbxContent>
                </v:textbox>
                <v:stroke dashstyle="solid"/>
                <w10:wrap type="topAndBottom"/>
              </v:shape>
            </w:pict>
          </mc:Fallback>
        </mc:AlternateContent>
      </w:r>
    </w:p>
    <w:p>
      <w:pPr>
        <w:pStyle w:val="BodyText"/>
        <w:spacing w:before="113"/>
        <w:rPr>
          <w:sz w:val="36"/>
        </w:rPr>
      </w:pPr>
    </w:p>
    <w:p>
      <w:pPr>
        <w:pStyle w:val="Heading3"/>
        <w:numPr>
          <w:ilvl w:val="3"/>
          <w:numId w:val="2"/>
        </w:numPr>
        <w:tabs>
          <w:tab w:pos="1158" w:val="left" w:leader="none"/>
        </w:tabs>
        <w:spacing w:line="240" w:lineRule="auto" w:before="0" w:after="0"/>
        <w:ind w:left="1158" w:right="0" w:hanging="875"/>
        <w:jc w:val="left"/>
      </w:pPr>
      <w:r>
        <w:rPr>
          <w:color w:val="231F1F"/>
          <w:w w:val="105"/>
        </w:rPr>
        <w:t>Óxido</w:t>
      </w:r>
      <w:r>
        <w:rPr>
          <w:color w:val="231F1F"/>
          <w:spacing w:val="5"/>
          <w:w w:val="105"/>
        </w:rPr>
        <w:t> </w:t>
      </w:r>
      <w:r>
        <w:rPr>
          <w:color w:val="231F1F"/>
          <w:spacing w:val="-2"/>
          <w:w w:val="105"/>
        </w:rPr>
        <w:t>Nitroso</w:t>
      </w:r>
    </w:p>
    <w:p>
      <w:pPr>
        <w:pStyle w:val="BodyText"/>
        <w:spacing w:line="252" w:lineRule="auto" w:before="258"/>
        <w:ind w:left="283" w:right="122"/>
        <w:jc w:val="both"/>
      </w:pPr>
      <w:r>
        <w:rPr>
          <w:color w:val="231F1F"/>
          <w:spacing w:val="-2"/>
          <w:w w:val="110"/>
        </w:rPr>
        <w:t>La</w:t>
      </w:r>
      <w:r>
        <w:rPr>
          <w:color w:val="231F1F"/>
          <w:spacing w:val="-11"/>
          <w:w w:val="110"/>
        </w:rPr>
        <w:t> </w:t>
      </w:r>
      <w:r>
        <w:rPr>
          <w:color w:val="231F1F"/>
          <w:spacing w:val="-2"/>
          <w:w w:val="110"/>
        </w:rPr>
        <w:t>utilización</w:t>
      </w:r>
      <w:r>
        <w:rPr>
          <w:color w:val="231F1F"/>
          <w:spacing w:val="-11"/>
          <w:w w:val="110"/>
        </w:rPr>
        <w:t> </w:t>
      </w:r>
      <w:r>
        <w:rPr>
          <w:color w:val="231F1F"/>
          <w:spacing w:val="-2"/>
          <w:w w:val="110"/>
        </w:rPr>
        <w:t>de</w:t>
      </w:r>
      <w:r>
        <w:rPr>
          <w:color w:val="231F1F"/>
          <w:spacing w:val="-11"/>
          <w:w w:val="110"/>
        </w:rPr>
        <w:t> </w:t>
      </w:r>
      <w:r>
        <w:rPr>
          <w:color w:val="231F1F"/>
          <w:spacing w:val="-2"/>
          <w:w w:val="110"/>
        </w:rPr>
        <w:t>óxido</w:t>
      </w:r>
      <w:r>
        <w:rPr>
          <w:color w:val="231F1F"/>
          <w:spacing w:val="-11"/>
          <w:w w:val="110"/>
        </w:rPr>
        <w:t> </w:t>
      </w:r>
      <w:r>
        <w:rPr>
          <w:color w:val="231F1F"/>
          <w:spacing w:val="-2"/>
          <w:w w:val="110"/>
        </w:rPr>
        <w:t>nitroso</w:t>
      </w:r>
      <w:r>
        <w:rPr>
          <w:color w:val="231F1F"/>
          <w:spacing w:val="-11"/>
          <w:w w:val="110"/>
        </w:rPr>
        <w:t> </w:t>
      </w:r>
      <w:r>
        <w:rPr>
          <w:color w:val="231F1F"/>
          <w:spacing w:val="-2"/>
          <w:w w:val="110"/>
        </w:rPr>
        <w:t>(N2O)</w:t>
      </w:r>
      <w:r>
        <w:rPr>
          <w:color w:val="231F1F"/>
          <w:spacing w:val="-11"/>
          <w:w w:val="110"/>
        </w:rPr>
        <w:t> </w:t>
      </w:r>
      <w:r>
        <w:rPr>
          <w:color w:val="231F1F"/>
          <w:spacing w:val="-2"/>
          <w:w w:val="110"/>
        </w:rPr>
        <w:t>en</w:t>
      </w:r>
      <w:r>
        <w:rPr>
          <w:color w:val="231F1F"/>
          <w:spacing w:val="-11"/>
          <w:w w:val="110"/>
        </w:rPr>
        <w:t> </w:t>
      </w:r>
      <w:r>
        <w:rPr>
          <w:color w:val="231F1F"/>
          <w:spacing w:val="-2"/>
          <w:w w:val="110"/>
        </w:rPr>
        <w:t>mezcla</w:t>
      </w:r>
      <w:r>
        <w:rPr>
          <w:color w:val="231F1F"/>
          <w:spacing w:val="-11"/>
          <w:w w:val="110"/>
        </w:rPr>
        <w:t> </w:t>
      </w:r>
      <w:r>
        <w:rPr>
          <w:color w:val="231F1F"/>
          <w:spacing w:val="-2"/>
          <w:w w:val="110"/>
        </w:rPr>
        <w:t>al</w:t>
      </w:r>
      <w:r>
        <w:rPr>
          <w:color w:val="231F1F"/>
          <w:spacing w:val="-11"/>
          <w:w w:val="110"/>
        </w:rPr>
        <w:t> </w:t>
      </w:r>
      <w:r>
        <w:rPr>
          <w:color w:val="231F1F"/>
          <w:spacing w:val="-2"/>
          <w:w w:val="110"/>
        </w:rPr>
        <w:t>50%</w:t>
      </w:r>
      <w:r>
        <w:rPr>
          <w:color w:val="231F1F"/>
          <w:spacing w:val="-10"/>
          <w:w w:val="110"/>
        </w:rPr>
        <w:t> </w:t>
      </w:r>
      <w:r>
        <w:rPr>
          <w:color w:val="231F1F"/>
          <w:spacing w:val="-2"/>
          <w:w w:val="110"/>
        </w:rPr>
        <w:t>con</w:t>
      </w:r>
      <w:r>
        <w:rPr>
          <w:color w:val="231F1F"/>
          <w:spacing w:val="-11"/>
          <w:w w:val="110"/>
        </w:rPr>
        <w:t> </w:t>
      </w:r>
      <w:r>
        <w:rPr>
          <w:color w:val="231F1F"/>
          <w:spacing w:val="-2"/>
          <w:w w:val="110"/>
        </w:rPr>
        <w:t>Oxígeno</w:t>
      </w:r>
      <w:r>
        <w:rPr>
          <w:color w:val="231F1F"/>
          <w:spacing w:val="-11"/>
          <w:w w:val="110"/>
        </w:rPr>
        <w:t> </w:t>
      </w:r>
      <w:r>
        <w:rPr>
          <w:color w:val="231F1F"/>
          <w:spacing w:val="-2"/>
          <w:w w:val="110"/>
        </w:rPr>
        <w:t>es</w:t>
      </w:r>
      <w:r>
        <w:rPr>
          <w:color w:val="231F1F"/>
          <w:spacing w:val="-11"/>
          <w:w w:val="110"/>
        </w:rPr>
        <w:t> </w:t>
      </w:r>
      <w:r>
        <w:rPr>
          <w:color w:val="231F1F"/>
          <w:spacing w:val="-2"/>
          <w:w w:val="110"/>
        </w:rPr>
        <w:t>una</w:t>
      </w:r>
      <w:r>
        <w:rPr>
          <w:color w:val="231F1F"/>
          <w:spacing w:val="-11"/>
          <w:w w:val="110"/>
        </w:rPr>
        <w:t> </w:t>
      </w:r>
      <w:r>
        <w:rPr>
          <w:color w:val="231F1F"/>
          <w:spacing w:val="-2"/>
          <w:w w:val="110"/>
        </w:rPr>
        <w:t>alternativa</w:t>
      </w:r>
      <w:r>
        <w:rPr>
          <w:color w:val="231F1F"/>
          <w:spacing w:val="-11"/>
          <w:w w:val="110"/>
        </w:rPr>
        <w:t> </w:t>
      </w:r>
      <w:r>
        <w:rPr>
          <w:color w:val="231F1F"/>
          <w:spacing w:val="-2"/>
          <w:w w:val="110"/>
        </w:rPr>
        <w:t>en </w:t>
      </w:r>
      <w:r>
        <w:rPr>
          <w:color w:val="231F1F"/>
          <w:w w:val="110"/>
        </w:rPr>
        <w:t>la</w:t>
      </w:r>
      <w:r>
        <w:rPr>
          <w:color w:val="231F1F"/>
          <w:spacing w:val="-5"/>
          <w:w w:val="110"/>
        </w:rPr>
        <w:t> </w:t>
      </w:r>
      <w:r>
        <w:rPr>
          <w:color w:val="231F1F"/>
          <w:w w:val="110"/>
        </w:rPr>
        <w:t>analgesia</w:t>
      </w:r>
      <w:r>
        <w:rPr>
          <w:color w:val="231F1F"/>
          <w:spacing w:val="-5"/>
          <w:w w:val="110"/>
        </w:rPr>
        <w:t> </w:t>
      </w:r>
      <w:r>
        <w:rPr>
          <w:color w:val="231F1F"/>
          <w:w w:val="110"/>
        </w:rPr>
        <w:t>del</w:t>
      </w:r>
      <w:r>
        <w:rPr>
          <w:color w:val="231F1F"/>
          <w:spacing w:val="-5"/>
          <w:w w:val="110"/>
        </w:rPr>
        <w:t> </w:t>
      </w:r>
      <w:r>
        <w:rPr>
          <w:color w:val="231F1F"/>
          <w:w w:val="110"/>
        </w:rPr>
        <w:t>trabajo</w:t>
      </w:r>
      <w:r>
        <w:rPr>
          <w:color w:val="231F1F"/>
          <w:spacing w:val="-5"/>
          <w:w w:val="110"/>
        </w:rPr>
        <w:t> </w:t>
      </w:r>
      <w:r>
        <w:rPr>
          <w:color w:val="231F1F"/>
          <w:w w:val="110"/>
        </w:rPr>
        <w:t>de</w:t>
      </w:r>
      <w:r>
        <w:rPr>
          <w:color w:val="231F1F"/>
          <w:spacing w:val="-5"/>
          <w:w w:val="110"/>
        </w:rPr>
        <w:t> </w:t>
      </w:r>
      <w:r>
        <w:rPr>
          <w:color w:val="231F1F"/>
          <w:w w:val="110"/>
        </w:rPr>
        <w:t>parto.</w:t>
      </w:r>
      <w:r>
        <w:rPr>
          <w:color w:val="231F1F"/>
          <w:spacing w:val="-5"/>
          <w:w w:val="110"/>
        </w:rPr>
        <w:t> </w:t>
      </w:r>
      <w:r>
        <w:rPr>
          <w:color w:val="231F1F"/>
          <w:w w:val="110"/>
        </w:rPr>
        <w:t>En</w:t>
      </w:r>
      <w:r>
        <w:rPr>
          <w:color w:val="231F1F"/>
          <w:spacing w:val="-5"/>
          <w:w w:val="110"/>
        </w:rPr>
        <w:t> </w:t>
      </w:r>
      <w:r>
        <w:rPr>
          <w:color w:val="231F1F"/>
          <w:w w:val="110"/>
        </w:rPr>
        <w:t>países</w:t>
      </w:r>
      <w:r>
        <w:rPr>
          <w:color w:val="231F1F"/>
          <w:spacing w:val="-5"/>
          <w:w w:val="110"/>
        </w:rPr>
        <w:t> </w:t>
      </w:r>
      <w:r>
        <w:rPr>
          <w:color w:val="231F1F"/>
          <w:w w:val="110"/>
        </w:rPr>
        <w:t>como</w:t>
      </w:r>
      <w:r>
        <w:rPr>
          <w:color w:val="231F1F"/>
          <w:spacing w:val="-5"/>
          <w:w w:val="110"/>
        </w:rPr>
        <w:t> </w:t>
      </w:r>
      <w:r>
        <w:rPr>
          <w:color w:val="231F1F"/>
          <w:w w:val="110"/>
        </w:rPr>
        <w:t>Canadá,</w:t>
      </w:r>
      <w:r>
        <w:rPr>
          <w:color w:val="231F1F"/>
          <w:spacing w:val="-5"/>
          <w:w w:val="110"/>
        </w:rPr>
        <w:t> </w:t>
      </w:r>
      <w:r>
        <w:rPr>
          <w:color w:val="231F1F"/>
          <w:w w:val="110"/>
        </w:rPr>
        <w:t>Inglaterra,</w:t>
      </w:r>
      <w:r>
        <w:rPr>
          <w:color w:val="231F1F"/>
          <w:spacing w:val="-5"/>
          <w:w w:val="110"/>
        </w:rPr>
        <w:t> </w:t>
      </w:r>
      <w:r>
        <w:rPr>
          <w:color w:val="231F1F"/>
          <w:w w:val="110"/>
        </w:rPr>
        <w:t>Finlandia,</w:t>
      </w:r>
      <w:r>
        <w:rPr>
          <w:color w:val="231F1F"/>
          <w:spacing w:val="-6"/>
          <w:w w:val="110"/>
        </w:rPr>
        <w:t> </w:t>
      </w:r>
      <w:r>
        <w:rPr>
          <w:color w:val="231F1F"/>
          <w:w w:val="110"/>
        </w:rPr>
        <w:t>Suecia</w:t>
      </w:r>
      <w:r>
        <w:rPr>
          <w:color w:val="231F1F"/>
          <w:spacing w:val="-5"/>
          <w:w w:val="110"/>
        </w:rPr>
        <w:t> </w:t>
      </w:r>
      <w:r>
        <w:rPr>
          <w:color w:val="231F1F"/>
          <w:w w:val="110"/>
        </w:rPr>
        <w:t>y Australia,</w:t>
      </w:r>
      <w:r>
        <w:rPr>
          <w:color w:val="231F1F"/>
          <w:spacing w:val="-10"/>
          <w:w w:val="110"/>
        </w:rPr>
        <w:t> </w:t>
      </w:r>
      <w:r>
        <w:rPr>
          <w:color w:val="231F1F"/>
          <w:w w:val="110"/>
        </w:rPr>
        <w:t>se</w:t>
      </w:r>
      <w:r>
        <w:rPr>
          <w:color w:val="231F1F"/>
          <w:spacing w:val="-10"/>
          <w:w w:val="110"/>
        </w:rPr>
        <w:t> </w:t>
      </w:r>
      <w:r>
        <w:rPr>
          <w:color w:val="231F1F"/>
          <w:w w:val="110"/>
        </w:rPr>
        <w:t>utiliza</w:t>
      </w:r>
      <w:r>
        <w:rPr>
          <w:color w:val="231F1F"/>
          <w:spacing w:val="-10"/>
          <w:w w:val="110"/>
        </w:rPr>
        <w:t> </w:t>
      </w:r>
      <w:r>
        <w:rPr>
          <w:color w:val="231F1F"/>
          <w:w w:val="110"/>
        </w:rPr>
        <w:t>esta</w:t>
      </w:r>
      <w:r>
        <w:rPr>
          <w:color w:val="231F1F"/>
          <w:spacing w:val="-10"/>
          <w:w w:val="110"/>
        </w:rPr>
        <w:t> </w:t>
      </w:r>
      <w:r>
        <w:rPr>
          <w:color w:val="231F1F"/>
          <w:w w:val="110"/>
        </w:rPr>
        <w:t>técnica</w:t>
      </w:r>
      <w:r>
        <w:rPr>
          <w:color w:val="231F1F"/>
          <w:spacing w:val="-10"/>
          <w:w w:val="110"/>
        </w:rPr>
        <w:t> </w:t>
      </w:r>
      <w:r>
        <w:rPr>
          <w:color w:val="231F1F"/>
          <w:w w:val="110"/>
        </w:rPr>
        <w:t>analgésica</w:t>
      </w:r>
      <w:r>
        <w:rPr>
          <w:color w:val="231F1F"/>
          <w:spacing w:val="-10"/>
          <w:w w:val="110"/>
        </w:rPr>
        <w:t> </w:t>
      </w:r>
      <w:r>
        <w:rPr>
          <w:color w:val="231F1F"/>
          <w:w w:val="110"/>
        </w:rPr>
        <w:t>en</w:t>
      </w:r>
      <w:r>
        <w:rPr>
          <w:color w:val="231F1F"/>
          <w:spacing w:val="-10"/>
          <w:w w:val="110"/>
        </w:rPr>
        <w:t> </w:t>
      </w:r>
      <w:r>
        <w:rPr>
          <w:color w:val="231F1F"/>
          <w:w w:val="110"/>
        </w:rPr>
        <w:t>el</w:t>
      </w:r>
      <w:r>
        <w:rPr>
          <w:color w:val="231F1F"/>
          <w:spacing w:val="-10"/>
          <w:w w:val="110"/>
        </w:rPr>
        <w:t> </w:t>
      </w:r>
      <w:r>
        <w:rPr>
          <w:color w:val="231F1F"/>
          <w:w w:val="110"/>
        </w:rPr>
        <w:t>40</w:t>
      </w:r>
      <w:r>
        <w:rPr>
          <w:color w:val="231F1F"/>
          <w:spacing w:val="-10"/>
          <w:w w:val="110"/>
        </w:rPr>
        <w:t> </w:t>
      </w:r>
      <w:r>
        <w:rPr>
          <w:color w:val="231F1F"/>
          <w:w w:val="110"/>
        </w:rPr>
        <w:t>al</w:t>
      </w:r>
      <w:r>
        <w:rPr>
          <w:color w:val="231F1F"/>
          <w:spacing w:val="-10"/>
          <w:w w:val="110"/>
        </w:rPr>
        <w:t> </w:t>
      </w:r>
      <w:r>
        <w:rPr>
          <w:color w:val="231F1F"/>
          <w:w w:val="110"/>
        </w:rPr>
        <w:t>60%</w:t>
      </w:r>
      <w:r>
        <w:rPr>
          <w:color w:val="231F1F"/>
          <w:spacing w:val="-9"/>
          <w:w w:val="110"/>
        </w:rPr>
        <w:t> </w:t>
      </w:r>
      <w:r>
        <w:rPr>
          <w:color w:val="231F1F"/>
          <w:w w:val="110"/>
        </w:rPr>
        <w:t>de</w:t>
      </w:r>
      <w:r>
        <w:rPr>
          <w:color w:val="231F1F"/>
          <w:spacing w:val="-10"/>
          <w:w w:val="110"/>
        </w:rPr>
        <w:t> </w:t>
      </w:r>
      <w:r>
        <w:rPr>
          <w:color w:val="231F1F"/>
          <w:w w:val="110"/>
        </w:rPr>
        <w:t>los</w:t>
      </w:r>
      <w:r>
        <w:rPr>
          <w:color w:val="231F1F"/>
          <w:spacing w:val="-10"/>
          <w:w w:val="110"/>
        </w:rPr>
        <w:t> </w:t>
      </w:r>
      <w:r>
        <w:rPr>
          <w:color w:val="231F1F"/>
          <w:w w:val="110"/>
        </w:rPr>
        <w:t>nacimientos.</w:t>
      </w:r>
      <w:r>
        <w:rPr>
          <w:color w:val="231F1F"/>
          <w:spacing w:val="-11"/>
          <w:w w:val="110"/>
        </w:rPr>
        <w:t> </w:t>
      </w:r>
      <w:r>
        <w:rPr>
          <w:color w:val="231F1F"/>
          <w:w w:val="110"/>
        </w:rPr>
        <w:t>El</w:t>
      </w:r>
      <w:r>
        <w:rPr>
          <w:color w:val="231F1F"/>
          <w:spacing w:val="-10"/>
          <w:w w:val="110"/>
        </w:rPr>
        <w:t> </w:t>
      </w:r>
      <w:r>
        <w:rPr>
          <w:color w:val="231F1F"/>
          <w:w w:val="110"/>
        </w:rPr>
        <w:t>N</w:t>
      </w:r>
      <w:r>
        <w:rPr>
          <w:color w:val="231F1F"/>
          <w:w w:val="110"/>
          <w:position w:val="-4"/>
          <w:sz w:val="12"/>
        </w:rPr>
        <w:t>2</w:t>
      </w:r>
      <w:r>
        <w:rPr>
          <w:color w:val="231F1F"/>
          <w:w w:val="110"/>
        </w:rPr>
        <w:t>O</w:t>
      </w:r>
      <w:r>
        <w:rPr>
          <w:color w:val="231F1F"/>
          <w:spacing w:val="-9"/>
          <w:w w:val="110"/>
        </w:rPr>
        <w:t> </w:t>
      </w:r>
      <w:r>
        <w:rPr>
          <w:color w:val="231F1F"/>
          <w:w w:val="110"/>
        </w:rPr>
        <w:t>se inhala</w:t>
      </w:r>
      <w:r>
        <w:rPr>
          <w:color w:val="231F1F"/>
          <w:spacing w:val="-14"/>
          <w:w w:val="110"/>
        </w:rPr>
        <w:t> </w:t>
      </w:r>
      <w:r>
        <w:rPr>
          <w:color w:val="231F1F"/>
          <w:w w:val="110"/>
        </w:rPr>
        <w:t>por</w:t>
      </w:r>
      <w:r>
        <w:rPr>
          <w:color w:val="231F1F"/>
          <w:spacing w:val="-13"/>
          <w:w w:val="110"/>
        </w:rPr>
        <w:t> </w:t>
      </w:r>
      <w:r>
        <w:rPr>
          <w:color w:val="231F1F"/>
          <w:w w:val="110"/>
        </w:rPr>
        <w:t>la</w:t>
      </w:r>
      <w:r>
        <w:rPr>
          <w:color w:val="231F1F"/>
          <w:spacing w:val="-13"/>
          <w:w w:val="110"/>
        </w:rPr>
        <w:t> </w:t>
      </w:r>
      <w:r>
        <w:rPr>
          <w:color w:val="231F1F"/>
          <w:w w:val="110"/>
        </w:rPr>
        <w:t>propia</w:t>
      </w:r>
      <w:r>
        <w:rPr>
          <w:color w:val="231F1F"/>
          <w:spacing w:val="-13"/>
          <w:w w:val="110"/>
        </w:rPr>
        <w:t> </w:t>
      </w:r>
      <w:r>
        <w:rPr>
          <w:color w:val="231F1F"/>
          <w:w w:val="110"/>
        </w:rPr>
        <w:t>mujer</w:t>
      </w:r>
      <w:r>
        <w:rPr>
          <w:color w:val="231F1F"/>
          <w:spacing w:val="-13"/>
          <w:w w:val="110"/>
        </w:rPr>
        <w:t> </w:t>
      </w:r>
      <w:r>
        <w:rPr>
          <w:color w:val="231F1F"/>
          <w:w w:val="110"/>
        </w:rPr>
        <w:t>a</w:t>
      </w:r>
      <w:r>
        <w:rPr>
          <w:color w:val="231F1F"/>
          <w:spacing w:val="-14"/>
          <w:w w:val="110"/>
        </w:rPr>
        <w:t> </w:t>
      </w:r>
      <w:r>
        <w:rPr>
          <w:color w:val="231F1F"/>
          <w:w w:val="110"/>
        </w:rPr>
        <w:t>través</w:t>
      </w:r>
      <w:r>
        <w:rPr>
          <w:color w:val="231F1F"/>
          <w:spacing w:val="-13"/>
          <w:w w:val="110"/>
        </w:rPr>
        <w:t> </w:t>
      </w:r>
      <w:r>
        <w:rPr>
          <w:color w:val="231F1F"/>
          <w:w w:val="110"/>
        </w:rPr>
        <w:t>de</w:t>
      </w:r>
      <w:r>
        <w:rPr>
          <w:color w:val="231F1F"/>
          <w:spacing w:val="-13"/>
          <w:w w:val="110"/>
        </w:rPr>
        <w:t> </w:t>
      </w:r>
      <w:r>
        <w:rPr>
          <w:color w:val="231F1F"/>
          <w:w w:val="110"/>
        </w:rPr>
        <w:t>una</w:t>
      </w:r>
      <w:r>
        <w:rPr>
          <w:color w:val="231F1F"/>
          <w:spacing w:val="-13"/>
          <w:w w:val="110"/>
        </w:rPr>
        <w:t> </w:t>
      </w:r>
      <w:r>
        <w:rPr>
          <w:color w:val="231F1F"/>
          <w:w w:val="110"/>
        </w:rPr>
        <w:t>mascarilla</w:t>
      </w:r>
      <w:r>
        <w:rPr>
          <w:color w:val="231F1F"/>
          <w:spacing w:val="-12"/>
          <w:w w:val="110"/>
        </w:rPr>
        <w:t> </w:t>
      </w:r>
      <w:r>
        <w:rPr>
          <w:color w:val="231F1F"/>
          <w:w w:val="110"/>
        </w:rPr>
        <w:t>o</w:t>
      </w:r>
      <w:r>
        <w:rPr>
          <w:color w:val="231F1F"/>
          <w:spacing w:val="-14"/>
          <w:w w:val="110"/>
        </w:rPr>
        <w:t> </w:t>
      </w:r>
      <w:r>
        <w:rPr>
          <w:color w:val="231F1F"/>
          <w:w w:val="110"/>
        </w:rPr>
        <w:t>boquilla.</w:t>
      </w:r>
      <w:r>
        <w:rPr>
          <w:color w:val="231F1F"/>
          <w:spacing w:val="-14"/>
          <w:w w:val="110"/>
        </w:rPr>
        <w:t> </w:t>
      </w:r>
      <w:r>
        <w:rPr>
          <w:color w:val="231F1F"/>
          <w:w w:val="110"/>
        </w:rPr>
        <w:t>Tiene</w:t>
      </w:r>
      <w:r>
        <w:rPr>
          <w:color w:val="231F1F"/>
          <w:spacing w:val="-13"/>
          <w:w w:val="110"/>
        </w:rPr>
        <w:t> </w:t>
      </w:r>
      <w:r>
        <w:rPr>
          <w:color w:val="231F1F"/>
          <w:w w:val="110"/>
        </w:rPr>
        <w:t>la</w:t>
      </w:r>
      <w:r>
        <w:rPr>
          <w:color w:val="231F1F"/>
          <w:spacing w:val="-13"/>
          <w:w w:val="110"/>
        </w:rPr>
        <w:t> </w:t>
      </w:r>
      <w:r>
        <w:rPr>
          <w:color w:val="231F1F"/>
          <w:w w:val="110"/>
        </w:rPr>
        <w:t>ventaja</w:t>
      </w:r>
      <w:r>
        <w:rPr>
          <w:color w:val="231F1F"/>
          <w:spacing w:val="-13"/>
          <w:w w:val="110"/>
        </w:rPr>
        <w:t> </w:t>
      </w:r>
      <w:r>
        <w:rPr>
          <w:color w:val="231F1F"/>
          <w:w w:val="110"/>
        </w:rPr>
        <w:t>de</w:t>
      </w:r>
      <w:r>
        <w:rPr>
          <w:color w:val="231F1F"/>
          <w:spacing w:val="-13"/>
          <w:w w:val="110"/>
        </w:rPr>
        <w:t> </w:t>
      </w:r>
      <w:r>
        <w:rPr>
          <w:color w:val="231F1F"/>
          <w:w w:val="110"/>
        </w:rPr>
        <w:t>ser</w:t>
      </w:r>
      <w:r>
        <w:rPr>
          <w:color w:val="231F1F"/>
          <w:spacing w:val="-15"/>
          <w:w w:val="110"/>
        </w:rPr>
        <w:t> </w:t>
      </w:r>
      <w:r>
        <w:rPr>
          <w:color w:val="231F1F"/>
          <w:w w:val="110"/>
        </w:rPr>
        <w:t>de acción</w:t>
      </w:r>
      <w:r>
        <w:rPr>
          <w:color w:val="231F1F"/>
          <w:spacing w:val="-12"/>
          <w:w w:val="110"/>
        </w:rPr>
        <w:t> </w:t>
      </w:r>
      <w:r>
        <w:rPr>
          <w:color w:val="231F1F"/>
          <w:w w:val="110"/>
        </w:rPr>
        <w:t>rápida</w:t>
      </w:r>
      <w:r>
        <w:rPr>
          <w:color w:val="231F1F"/>
          <w:spacing w:val="-11"/>
          <w:w w:val="110"/>
        </w:rPr>
        <w:t> </w:t>
      </w:r>
      <w:r>
        <w:rPr>
          <w:color w:val="231F1F"/>
          <w:w w:val="110"/>
        </w:rPr>
        <w:t>(rápido</w:t>
      </w:r>
      <w:r>
        <w:rPr>
          <w:color w:val="231F1F"/>
          <w:spacing w:val="-11"/>
          <w:w w:val="110"/>
        </w:rPr>
        <w:t> </w:t>
      </w:r>
      <w:r>
        <w:rPr>
          <w:color w:val="231F1F"/>
          <w:w w:val="110"/>
        </w:rPr>
        <w:t>inicio</w:t>
      </w:r>
      <w:r>
        <w:rPr>
          <w:color w:val="231F1F"/>
          <w:spacing w:val="-11"/>
          <w:w w:val="110"/>
        </w:rPr>
        <w:t> </w:t>
      </w:r>
      <w:r>
        <w:rPr>
          <w:color w:val="231F1F"/>
          <w:w w:val="110"/>
        </w:rPr>
        <w:t>y</w:t>
      </w:r>
      <w:r>
        <w:rPr>
          <w:color w:val="231F1F"/>
          <w:spacing w:val="-11"/>
          <w:w w:val="110"/>
        </w:rPr>
        <w:t> </w:t>
      </w:r>
      <w:r>
        <w:rPr>
          <w:color w:val="231F1F"/>
          <w:w w:val="110"/>
        </w:rPr>
        <w:t>rápido</w:t>
      </w:r>
      <w:r>
        <w:rPr>
          <w:color w:val="231F1F"/>
          <w:spacing w:val="-11"/>
          <w:w w:val="110"/>
        </w:rPr>
        <w:t> </w:t>
      </w:r>
      <w:r>
        <w:rPr>
          <w:color w:val="231F1F"/>
          <w:w w:val="110"/>
        </w:rPr>
        <w:t>cese</w:t>
      </w:r>
      <w:r>
        <w:rPr>
          <w:color w:val="231F1F"/>
          <w:spacing w:val="-11"/>
          <w:w w:val="110"/>
        </w:rPr>
        <w:t> </w:t>
      </w:r>
      <w:r>
        <w:rPr>
          <w:color w:val="231F1F"/>
          <w:w w:val="110"/>
        </w:rPr>
        <w:t>de</w:t>
      </w:r>
      <w:r>
        <w:rPr>
          <w:color w:val="231F1F"/>
          <w:spacing w:val="-12"/>
          <w:w w:val="110"/>
        </w:rPr>
        <w:t> </w:t>
      </w:r>
      <w:r>
        <w:rPr>
          <w:color w:val="231F1F"/>
          <w:w w:val="110"/>
        </w:rPr>
        <w:t>acción),no</w:t>
      </w:r>
      <w:r>
        <w:rPr>
          <w:color w:val="231F1F"/>
          <w:spacing w:val="-11"/>
          <w:w w:val="110"/>
        </w:rPr>
        <w:t> </w:t>
      </w:r>
      <w:r>
        <w:rPr>
          <w:color w:val="231F1F"/>
          <w:w w:val="110"/>
        </w:rPr>
        <w:t>acumularse</w:t>
      </w:r>
      <w:r>
        <w:rPr>
          <w:color w:val="231F1F"/>
          <w:spacing w:val="-11"/>
          <w:w w:val="110"/>
        </w:rPr>
        <w:t> </w:t>
      </w:r>
      <w:r>
        <w:rPr>
          <w:color w:val="231F1F"/>
          <w:w w:val="110"/>
        </w:rPr>
        <w:t>y</w:t>
      </w:r>
      <w:r>
        <w:rPr>
          <w:color w:val="231F1F"/>
          <w:spacing w:val="-12"/>
          <w:w w:val="110"/>
        </w:rPr>
        <w:t> </w:t>
      </w:r>
      <w:r>
        <w:rPr>
          <w:color w:val="231F1F"/>
          <w:w w:val="110"/>
        </w:rPr>
        <w:t>no</w:t>
      </w:r>
      <w:r>
        <w:rPr>
          <w:color w:val="231F1F"/>
          <w:spacing w:val="-11"/>
          <w:w w:val="110"/>
        </w:rPr>
        <w:t> </w:t>
      </w:r>
      <w:r>
        <w:rPr>
          <w:color w:val="231F1F"/>
          <w:w w:val="110"/>
        </w:rPr>
        <w:t>deprimir</w:t>
      </w:r>
      <w:r>
        <w:rPr>
          <w:color w:val="231F1F"/>
          <w:spacing w:val="-12"/>
          <w:w w:val="110"/>
        </w:rPr>
        <w:t> </w:t>
      </w:r>
      <w:r>
        <w:rPr>
          <w:color w:val="231F1F"/>
          <w:w w:val="110"/>
        </w:rPr>
        <w:t>la</w:t>
      </w:r>
      <w:r>
        <w:rPr>
          <w:color w:val="231F1F"/>
          <w:spacing w:val="-12"/>
          <w:w w:val="110"/>
        </w:rPr>
        <w:t> </w:t>
      </w:r>
      <w:r>
        <w:rPr>
          <w:color w:val="231F1F"/>
          <w:w w:val="110"/>
        </w:rPr>
        <w:t>con- tractilidad</w:t>
      </w:r>
      <w:r>
        <w:rPr>
          <w:color w:val="231F1F"/>
          <w:spacing w:val="-3"/>
          <w:w w:val="110"/>
        </w:rPr>
        <w:t> </w:t>
      </w:r>
      <w:r>
        <w:rPr>
          <w:color w:val="231F1F"/>
          <w:w w:val="110"/>
        </w:rPr>
        <w:t>uterina.</w:t>
      </w:r>
      <w:r>
        <w:rPr>
          <w:color w:val="231F1F"/>
          <w:spacing w:val="-4"/>
          <w:w w:val="110"/>
        </w:rPr>
        <w:t> </w:t>
      </w:r>
      <w:r>
        <w:rPr>
          <w:color w:val="231F1F"/>
          <w:w w:val="110"/>
        </w:rPr>
        <w:t>En</w:t>
      </w:r>
      <w:r>
        <w:rPr>
          <w:color w:val="231F1F"/>
          <w:spacing w:val="-3"/>
          <w:w w:val="110"/>
        </w:rPr>
        <w:t> </w:t>
      </w:r>
      <w:r>
        <w:rPr>
          <w:color w:val="231F1F"/>
          <w:w w:val="110"/>
        </w:rPr>
        <w:t>concentraciones</w:t>
      </w:r>
      <w:r>
        <w:rPr>
          <w:color w:val="231F1F"/>
          <w:spacing w:val="-3"/>
          <w:w w:val="110"/>
        </w:rPr>
        <w:t> </w:t>
      </w:r>
      <w:r>
        <w:rPr>
          <w:color w:val="231F1F"/>
          <w:w w:val="110"/>
        </w:rPr>
        <w:t>de</w:t>
      </w:r>
      <w:r>
        <w:rPr>
          <w:color w:val="231F1F"/>
          <w:spacing w:val="-3"/>
          <w:w w:val="110"/>
        </w:rPr>
        <w:t> </w:t>
      </w:r>
      <w:r>
        <w:rPr>
          <w:color w:val="231F1F"/>
          <w:w w:val="110"/>
        </w:rPr>
        <w:t>hasta</w:t>
      </w:r>
      <w:r>
        <w:rPr>
          <w:color w:val="231F1F"/>
          <w:spacing w:val="-3"/>
          <w:w w:val="110"/>
        </w:rPr>
        <w:t> </w:t>
      </w:r>
      <w:r>
        <w:rPr>
          <w:color w:val="231F1F"/>
          <w:w w:val="110"/>
        </w:rPr>
        <w:t>un</w:t>
      </w:r>
      <w:r>
        <w:rPr>
          <w:color w:val="231F1F"/>
          <w:spacing w:val="-3"/>
          <w:w w:val="110"/>
        </w:rPr>
        <w:t> </w:t>
      </w:r>
      <w:r>
        <w:rPr>
          <w:color w:val="231F1F"/>
          <w:w w:val="110"/>
        </w:rPr>
        <w:t>50%,</w:t>
      </w:r>
      <w:r>
        <w:rPr>
          <w:color w:val="231F1F"/>
          <w:spacing w:val="-4"/>
          <w:w w:val="110"/>
        </w:rPr>
        <w:t> </w:t>
      </w:r>
      <w:r>
        <w:rPr>
          <w:color w:val="231F1F"/>
          <w:w w:val="110"/>
        </w:rPr>
        <w:t>la</w:t>
      </w:r>
      <w:r>
        <w:rPr>
          <w:color w:val="231F1F"/>
          <w:spacing w:val="-3"/>
          <w:w w:val="110"/>
        </w:rPr>
        <w:t> </w:t>
      </w:r>
      <w:r>
        <w:rPr>
          <w:color w:val="231F1F"/>
          <w:w w:val="110"/>
        </w:rPr>
        <w:t>auto-administración</w:t>
      </w:r>
      <w:r>
        <w:rPr>
          <w:color w:val="231F1F"/>
          <w:spacing w:val="-3"/>
          <w:w w:val="110"/>
        </w:rPr>
        <w:t> </w:t>
      </w:r>
      <w:r>
        <w:rPr>
          <w:color w:val="231F1F"/>
          <w:w w:val="110"/>
        </w:rPr>
        <w:t>materna se</w:t>
      </w:r>
      <w:r>
        <w:rPr>
          <w:color w:val="231F1F"/>
          <w:spacing w:val="-1"/>
          <w:w w:val="110"/>
        </w:rPr>
        <w:t> </w:t>
      </w:r>
      <w:r>
        <w:rPr>
          <w:color w:val="231F1F"/>
          <w:w w:val="110"/>
        </w:rPr>
        <w:t>considera segura</w:t>
      </w:r>
      <w:r>
        <w:rPr>
          <w:color w:val="231F1F"/>
          <w:spacing w:val="-1"/>
          <w:w w:val="110"/>
        </w:rPr>
        <w:t> </w:t>
      </w:r>
      <w:r>
        <w:rPr>
          <w:color w:val="231F1F"/>
          <w:w w:val="110"/>
        </w:rPr>
        <w:t>bajo</w:t>
      </w:r>
      <w:r>
        <w:rPr>
          <w:color w:val="231F1F"/>
          <w:spacing w:val="-1"/>
          <w:w w:val="110"/>
        </w:rPr>
        <w:t> </w:t>
      </w:r>
      <w:r>
        <w:rPr>
          <w:color w:val="231F1F"/>
          <w:w w:val="110"/>
        </w:rPr>
        <w:t>vigilancia,</w:t>
      </w:r>
      <w:r>
        <w:rPr>
          <w:color w:val="231F1F"/>
          <w:spacing w:val="-2"/>
          <w:w w:val="110"/>
        </w:rPr>
        <w:t> </w:t>
      </w:r>
      <w:r>
        <w:rPr>
          <w:color w:val="231F1F"/>
          <w:w w:val="110"/>
        </w:rPr>
        <w:t>y</w:t>
      </w:r>
      <w:r>
        <w:rPr>
          <w:color w:val="231F1F"/>
          <w:spacing w:val="-1"/>
          <w:w w:val="110"/>
        </w:rPr>
        <w:t> </w:t>
      </w:r>
      <w:r>
        <w:rPr>
          <w:color w:val="231F1F"/>
          <w:w w:val="110"/>
        </w:rPr>
        <w:t>habitualmente</w:t>
      </w:r>
      <w:r>
        <w:rPr>
          <w:color w:val="231F1F"/>
          <w:spacing w:val="-1"/>
          <w:w w:val="110"/>
        </w:rPr>
        <w:t> </w:t>
      </w:r>
      <w:r>
        <w:rPr>
          <w:color w:val="231F1F"/>
          <w:w w:val="110"/>
        </w:rPr>
        <w:t>no</w:t>
      </w:r>
      <w:r>
        <w:rPr>
          <w:color w:val="231F1F"/>
          <w:spacing w:val="-1"/>
          <w:w w:val="110"/>
        </w:rPr>
        <w:t> </w:t>
      </w:r>
      <w:r>
        <w:rPr>
          <w:color w:val="231F1F"/>
          <w:w w:val="110"/>
        </w:rPr>
        <w:t>se</w:t>
      </w:r>
      <w:r>
        <w:rPr>
          <w:color w:val="231F1F"/>
          <w:spacing w:val="-1"/>
          <w:w w:val="110"/>
        </w:rPr>
        <w:t> </w:t>
      </w:r>
      <w:r>
        <w:rPr>
          <w:color w:val="231F1F"/>
          <w:w w:val="110"/>
        </w:rPr>
        <w:t>asocia</w:t>
      </w:r>
      <w:r>
        <w:rPr>
          <w:color w:val="231F1F"/>
          <w:spacing w:val="-1"/>
          <w:w w:val="110"/>
        </w:rPr>
        <w:t> </w:t>
      </w:r>
      <w:r>
        <w:rPr>
          <w:color w:val="231F1F"/>
          <w:w w:val="110"/>
        </w:rPr>
        <w:t>a</w:t>
      </w:r>
      <w:r>
        <w:rPr>
          <w:color w:val="231F1F"/>
          <w:spacing w:val="-1"/>
          <w:w w:val="110"/>
        </w:rPr>
        <w:t> </w:t>
      </w:r>
      <w:r>
        <w:rPr>
          <w:color w:val="231F1F"/>
          <w:w w:val="110"/>
        </w:rPr>
        <w:t>inconsciencia,</w:t>
      </w:r>
      <w:r>
        <w:rPr>
          <w:color w:val="231F1F"/>
          <w:spacing w:val="-1"/>
          <w:w w:val="110"/>
        </w:rPr>
        <w:t> </w:t>
      </w:r>
      <w:r>
        <w:rPr>
          <w:color w:val="231F1F"/>
          <w:w w:val="110"/>
        </w:rPr>
        <w:t>como ocurre con concentraciones mayores. El uso asociado de opioides parenterales para au- mentar la eficacia analgésica aumenta este riesgo.</w:t>
      </w:r>
    </w:p>
    <w:p>
      <w:pPr>
        <w:pStyle w:val="BodyText"/>
        <w:spacing w:line="249" w:lineRule="auto" w:before="130"/>
        <w:ind w:left="283" w:right="120" w:firstLine="453"/>
        <w:jc w:val="both"/>
      </w:pPr>
      <w:r>
        <w:rPr>
          <w:color w:val="231F1F"/>
          <w:w w:val="105"/>
        </w:rPr>
        <w:t>La</w:t>
      </w:r>
      <w:r>
        <w:rPr>
          <w:color w:val="231F1F"/>
          <w:w w:val="105"/>
        </w:rPr>
        <w:t> administración</w:t>
      </w:r>
      <w:r>
        <w:rPr>
          <w:color w:val="231F1F"/>
          <w:w w:val="105"/>
        </w:rPr>
        <w:t> de</w:t>
      </w:r>
      <w:r>
        <w:rPr>
          <w:color w:val="231F1F"/>
          <w:w w:val="105"/>
        </w:rPr>
        <w:t> óxido</w:t>
      </w:r>
      <w:r>
        <w:rPr>
          <w:color w:val="231F1F"/>
          <w:w w:val="105"/>
        </w:rPr>
        <w:t> nitroso</w:t>
      </w:r>
      <w:r>
        <w:rPr>
          <w:color w:val="231F1F"/>
          <w:w w:val="105"/>
        </w:rPr>
        <w:t> para</w:t>
      </w:r>
      <w:r>
        <w:rPr>
          <w:color w:val="231F1F"/>
          <w:w w:val="105"/>
        </w:rPr>
        <w:t> el</w:t>
      </w:r>
      <w:r>
        <w:rPr>
          <w:color w:val="231F1F"/>
          <w:w w:val="105"/>
        </w:rPr>
        <w:t> dolor</w:t>
      </w:r>
      <w:r>
        <w:rPr>
          <w:color w:val="231F1F"/>
          <w:w w:val="105"/>
        </w:rPr>
        <w:t> del</w:t>
      </w:r>
      <w:r>
        <w:rPr>
          <w:color w:val="231F1F"/>
          <w:w w:val="105"/>
        </w:rPr>
        <w:t> trabajo</w:t>
      </w:r>
      <w:r>
        <w:rPr>
          <w:color w:val="231F1F"/>
          <w:w w:val="105"/>
        </w:rPr>
        <w:t> de</w:t>
      </w:r>
      <w:r>
        <w:rPr>
          <w:color w:val="231F1F"/>
          <w:w w:val="105"/>
        </w:rPr>
        <w:t> parto</w:t>
      </w:r>
      <w:r>
        <w:rPr>
          <w:color w:val="231F1F"/>
          <w:w w:val="105"/>
        </w:rPr>
        <w:t> puede</w:t>
      </w:r>
      <w:r>
        <w:rPr>
          <w:color w:val="231F1F"/>
          <w:w w:val="105"/>
        </w:rPr>
        <w:t> hacerse mediante inhalación de forma continua o de manera intermitente sólo durante las contrac- ciones.</w:t>
      </w:r>
      <w:r>
        <w:rPr>
          <w:color w:val="231F1F"/>
          <w:spacing w:val="-1"/>
          <w:w w:val="105"/>
        </w:rPr>
        <w:t> </w:t>
      </w:r>
      <w:r>
        <w:rPr>
          <w:color w:val="231F1F"/>
          <w:w w:val="105"/>
        </w:rPr>
        <w:t>La</w:t>
      </w:r>
      <w:r>
        <w:rPr>
          <w:color w:val="231F1F"/>
          <w:spacing w:val="-1"/>
          <w:w w:val="105"/>
        </w:rPr>
        <w:t> </w:t>
      </w:r>
      <w:r>
        <w:rPr>
          <w:color w:val="231F1F"/>
          <w:w w:val="105"/>
        </w:rPr>
        <w:t>administración continua proporciona</w:t>
      </w:r>
      <w:r>
        <w:rPr>
          <w:color w:val="231F1F"/>
          <w:spacing w:val="-1"/>
          <w:w w:val="105"/>
        </w:rPr>
        <w:t> </w:t>
      </w:r>
      <w:r>
        <w:rPr>
          <w:color w:val="231F1F"/>
          <w:w w:val="105"/>
        </w:rPr>
        <w:t>mejor</w:t>
      </w:r>
      <w:r>
        <w:rPr>
          <w:color w:val="231F1F"/>
          <w:spacing w:val="-1"/>
          <w:w w:val="105"/>
        </w:rPr>
        <w:t> </w:t>
      </w:r>
      <w:r>
        <w:rPr>
          <w:color w:val="231F1F"/>
          <w:w w:val="105"/>
        </w:rPr>
        <w:t>analgesia</w:t>
      </w:r>
      <w:r>
        <w:rPr>
          <w:color w:val="231F1F"/>
          <w:spacing w:val="-1"/>
          <w:w w:val="105"/>
        </w:rPr>
        <w:t> </w:t>
      </w:r>
      <w:r>
        <w:rPr>
          <w:color w:val="231F1F"/>
          <w:w w:val="105"/>
        </w:rPr>
        <w:t>pero</w:t>
      </w:r>
      <w:r>
        <w:rPr>
          <w:color w:val="231F1F"/>
          <w:spacing w:val="-1"/>
          <w:w w:val="105"/>
        </w:rPr>
        <w:t> </w:t>
      </w:r>
      <w:r>
        <w:rPr>
          <w:color w:val="231F1F"/>
          <w:w w:val="105"/>
        </w:rPr>
        <w:t>más</w:t>
      </w:r>
      <w:r>
        <w:rPr>
          <w:color w:val="231F1F"/>
          <w:spacing w:val="-1"/>
          <w:w w:val="105"/>
        </w:rPr>
        <w:t> </w:t>
      </w:r>
      <w:r>
        <w:rPr>
          <w:color w:val="231F1F"/>
          <w:w w:val="105"/>
        </w:rPr>
        <w:t>disforia</w:t>
      </w:r>
      <w:r>
        <w:rPr>
          <w:color w:val="231F1F"/>
          <w:spacing w:val="-1"/>
          <w:w w:val="105"/>
        </w:rPr>
        <w:t> </w:t>
      </w:r>
      <w:r>
        <w:rPr>
          <w:color w:val="231F1F"/>
          <w:w w:val="105"/>
        </w:rPr>
        <w:t>e</w:t>
      </w:r>
      <w:r>
        <w:rPr>
          <w:color w:val="231F1F"/>
          <w:spacing w:val="-1"/>
          <w:w w:val="105"/>
        </w:rPr>
        <w:t> </w:t>
      </w:r>
      <w:r>
        <w:rPr>
          <w:color w:val="231F1F"/>
          <w:w w:val="105"/>
        </w:rPr>
        <w:t>incons- ciencia. Al contrario, la intermitente disminuye el riesgo de sobredosificación pero a costa de un retraso en el inicio de acción por lo que para aumentar su eficacia la inhalación debe efectuarse</w:t>
      </w:r>
      <w:r>
        <w:rPr>
          <w:color w:val="231F1F"/>
          <w:spacing w:val="40"/>
          <w:w w:val="105"/>
        </w:rPr>
        <w:t> </w:t>
      </w:r>
      <w:r>
        <w:rPr>
          <w:color w:val="231F1F"/>
          <w:w w:val="105"/>
        </w:rPr>
        <w:t>antes de</w:t>
      </w:r>
      <w:r>
        <w:rPr>
          <w:color w:val="231F1F"/>
          <w:spacing w:val="40"/>
          <w:w w:val="105"/>
        </w:rPr>
        <w:t> </w:t>
      </w:r>
      <w:r>
        <w:rPr>
          <w:color w:val="231F1F"/>
          <w:w w:val="105"/>
        </w:rPr>
        <w:t>aparecer</w:t>
      </w:r>
      <w:r>
        <w:rPr>
          <w:color w:val="231F1F"/>
          <w:spacing w:val="40"/>
          <w:w w:val="105"/>
        </w:rPr>
        <w:t> </w:t>
      </w:r>
      <w:r>
        <w:rPr>
          <w:color w:val="231F1F"/>
          <w:w w:val="105"/>
        </w:rPr>
        <w:t>el</w:t>
      </w:r>
      <w:r>
        <w:rPr>
          <w:color w:val="231F1F"/>
          <w:spacing w:val="40"/>
          <w:w w:val="105"/>
        </w:rPr>
        <w:t> </w:t>
      </w:r>
      <w:r>
        <w:rPr>
          <w:color w:val="231F1F"/>
          <w:w w:val="105"/>
        </w:rPr>
        <w:t>dolor</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contracción.</w:t>
      </w:r>
    </w:p>
    <w:p>
      <w:pPr>
        <w:pStyle w:val="BodyText"/>
        <w:spacing w:line="244" w:lineRule="auto" w:before="145"/>
        <w:ind w:left="283" w:right="130" w:firstLine="453"/>
        <w:jc w:val="both"/>
      </w:pPr>
      <w:r>
        <w:rPr>
          <w:color w:val="231F1F"/>
          <w:w w:val="105"/>
        </w:rPr>
        <w:t>Para</w:t>
      </w:r>
      <w:r>
        <w:rPr>
          <w:color w:val="231F1F"/>
          <w:spacing w:val="-7"/>
          <w:w w:val="105"/>
        </w:rPr>
        <w:t> </w:t>
      </w:r>
      <w:r>
        <w:rPr>
          <w:color w:val="231F1F"/>
          <w:w w:val="105"/>
        </w:rPr>
        <w:t>su</w:t>
      </w:r>
      <w:r>
        <w:rPr>
          <w:color w:val="231F1F"/>
          <w:spacing w:val="-7"/>
          <w:w w:val="105"/>
        </w:rPr>
        <w:t> </w:t>
      </w:r>
      <w:r>
        <w:rPr>
          <w:color w:val="231F1F"/>
          <w:w w:val="105"/>
        </w:rPr>
        <w:t>uso</w:t>
      </w:r>
      <w:r>
        <w:rPr>
          <w:color w:val="231F1F"/>
          <w:spacing w:val="-7"/>
          <w:w w:val="105"/>
        </w:rPr>
        <w:t> </w:t>
      </w:r>
      <w:r>
        <w:rPr>
          <w:color w:val="231F1F"/>
          <w:w w:val="105"/>
        </w:rPr>
        <w:t>adecuado</w:t>
      </w:r>
      <w:r>
        <w:rPr>
          <w:color w:val="231F1F"/>
          <w:spacing w:val="-6"/>
          <w:w w:val="105"/>
        </w:rPr>
        <w:t> </w:t>
      </w:r>
      <w:r>
        <w:rPr>
          <w:color w:val="231F1F"/>
          <w:w w:val="105"/>
        </w:rPr>
        <w:t>se</w:t>
      </w:r>
      <w:r>
        <w:rPr>
          <w:color w:val="231F1F"/>
          <w:spacing w:val="-7"/>
          <w:w w:val="105"/>
        </w:rPr>
        <w:t> </w:t>
      </w:r>
      <w:r>
        <w:rPr>
          <w:color w:val="231F1F"/>
          <w:w w:val="105"/>
        </w:rPr>
        <w:t>debe</w:t>
      </w:r>
      <w:r>
        <w:rPr>
          <w:color w:val="231F1F"/>
          <w:spacing w:val="-7"/>
          <w:w w:val="105"/>
        </w:rPr>
        <w:t> </w:t>
      </w:r>
      <w:r>
        <w:rPr>
          <w:color w:val="231F1F"/>
          <w:w w:val="105"/>
        </w:rPr>
        <w:t>informar</w:t>
      </w:r>
      <w:r>
        <w:rPr>
          <w:color w:val="231F1F"/>
          <w:spacing w:val="-6"/>
          <w:w w:val="105"/>
        </w:rPr>
        <w:t> </w:t>
      </w:r>
      <w:r>
        <w:rPr>
          <w:color w:val="231F1F"/>
          <w:w w:val="105"/>
        </w:rPr>
        <w:t>sobre</w:t>
      </w:r>
      <w:r>
        <w:rPr>
          <w:color w:val="231F1F"/>
          <w:spacing w:val="-7"/>
          <w:w w:val="105"/>
        </w:rPr>
        <w:t> </w:t>
      </w:r>
      <w:r>
        <w:rPr>
          <w:color w:val="231F1F"/>
          <w:w w:val="105"/>
        </w:rPr>
        <w:t>la</w:t>
      </w:r>
      <w:r>
        <w:rPr>
          <w:color w:val="231F1F"/>
          <w:spacing w:val="-7"/>
          <w:w w:val="105"/>
        </w:rPr>
        <w:t> </w:t>
      </w:r>
      <w:r>
        <w:rPr>
          <w:color w:val="231F1F"/>
          <w:w w:val="105"/>
        </w:rPr>
        <w:t>capacidad</w:t>
      </w:r>
      <w:r>
        <w:rPr>
          <w:color w:val="231F1F"/>
          <w:spacing w:val="-6"/>
          <w:w w:val="105"/>
        </w:rPr>
        <w:t> </w:t>
      </w:r>
      <w:r>
        <w:rPr>
          <w:color w:val="231F1F"/>
          <w:w w:val="105"/>
        </w:rPr>
        <w:t>analgésica,</w:t>
      </w:r>
      <w:r>
        <w:rPr>
          <w:color w:val="231F1F"/>
          <w:spacing w:val="-6"/>
          <w:w w:val="105"/>
        </w:rPr>
        <w:t> </w:t>
      </w:r>
      <w:r>
        <w:rPr>
          <w:color w:val="231F1F"/>
          <w:w w:val="105"/>
        </w:rPr>
        <w:t>la</w:t>
      </w:r>
      <w:r>
        <w:rPr>
          <w:color w:val="231F1F"/>
          <w:spacing w:val="-7"/>
          <w:w w:val="105"/>
        </w:rPr>
        <w:t> </w:t>
      </w:r>
      <w:r>
        <w:rPr>
          <w:color w:val="231F1F"/>
          <w:w w:val="105"/>
        </w:rPr>
        <w:t>técnica</w:t>
      </w:r>
      <w:r>
        <w:rPr>
          <w:color w:val="231F1F"/>
          <w:spacing w:val="-7"/>
          <w:w w:val="105"/>
        </w:rPr>
        <w:t> </w:t>
      </w:r>
      <w:r>
        <w:rPr>
          <w:color w:val="231F1F"/>
          <w:w w:val="105"/>
        </w:rPr>
        <w:t>y</w:t>
      </w:r>
      <w:r>
        <w:rPr>
          <w:color w:val="231F1F"/>
          <w:spacing w:val="-7"/>
          <w:w w:val="105"/>
        </w:rPr>
        <w:t> </w:t>
      </w:r>
      <w:r>
        <w:rPr>
          <w:color w:val="231F1F"/>
          <w:w w:val="105"/>
        </w:rPr>
        <w:t>sobre la</w:t>
      </w:r>
      <w:r>
        <w:rPr>
          <w:color w:val="231F1F"/>
          <w:spacing w:val="40"/>
          <w:w w:val="105"/>
        </w:rPr>
        <w:t> </w:t>
      </w:r>
      <w:r>
        <w:rPr>
          <w:color w:val="231F1F"/>
          <w:w w:val="105"/>
        </w:rPr>
        <w:t>posibilidad</w:t>
      </w:r>
      <w:r>
        <w:rPr>
          <w:color w:val="231F1F"/>
          <w:spacing w:val="40"/>
          <w:w w:val="105"/>
        </w:rPr>
        <w:t> </w:t>
      </w:r>
      <w:r>
        <w:rPr>
          <w:color w:val="231F1F"/>
          <w:w w:val="105"/>
        </w:rPr>
        <w:t>de</w:t>
      </w:r>
      <w:r>
        <w:rPr>
          <w:color w:val="231F1F"/>
          <w:spacing w:val="40"/>
          <w:w w:val="105"/>
        </w:rPr>
        <w:t> </w:t>
      </w:r>
      <w:r>
        <w:rPr>
          <w:color w:val="231F1F"/>
          <w:w w:val="105"/>
        </w:rPr>
        <w:t>efectos</w:t>
      </w:r>
      <w:r>
        <w:rPr>
          <w:color w:val="231F1F"/>
          <w:spacing w:val="40"/>
          <w:w w:val="105"/>
        </w:rPr>
        <w:t> </w:t>
      </w:r>
      <w:r>
        <w:rPr>
          <w:color w:val="231F1F"/>
          <w:w w:val="105"/>
        </w:rPr>
        <w:t>secundarios</w:t>
      </w:r>
      <w:r>
        <w:rPr>
          <w:color w:val="231F1F"/>
          <w:spacing w:val="40"/>
          <w:w w:val="105"/>
        </w:rPr>
        <w:t> </w:t>
      </w:r>
      <w:r>
        <w:rPr>
          <w:color w:val="231F1F"/>
          <w:w w:val="105"/>
        </w:rPr>
        <w:t>como</w:t>
      </w:r>
      <w:r>
        <w:rPr>
          <w:color w:val="231F1F"/>
          <w:spacing w:val="40"/>
          <w:w w:val="105"/>
        </w:rPr>
        <w:t> </w:t>
      </w:r>
      <w:r>
        <w:rPr>
          <w:color w:val="231F1F"/>
          <w:w w:val="105"/>
        </w:rPr>
        <w:t>mareos</w:t>
      </w:r>
      <w:r>
        <w:rPr>
          <w:color w:val="231F1F"/>
          <w:spacing w:val="40"/>
          <w:w w:val="105"/>
        </w:rPr>
        <w:t> </w:t>
      </w:r>
      <w:r>
        <w:rPr>
          <w:color w:val="231F1F"/>
          <w:w w:val="105"/>
        </w:rPr>
        <w:t>y/o</w:t>
      </w:r>
      <w:r>
        <w:rPr>
          <w:color w:val="231F1F"/>
          <w:spacing w:val="40"/>
          <w:w w:val="105"/>
        </w:rPr>
        <w:t> </w:t>
      </w:r>
      <w:r>
        <w:rPr>
          <w:color w:val="231F1F"/>
          <w:w w:val="105"/>
        </w:rPr>
        <w:t>náuseas.</w:t>
      </w:r>
    </w:p>
    <w:p>
      <w:pPr>
        <w:pStyle w:val="BodyText"/>
        <w:spacing w:before="166"/>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219"/>
        <w:ind w:left="283" w:right="1368"/>
        <w:jc w:val="both"/>
      </w:pPr>
      <w:r>
        <w:rPr>
          <w:color w:val="231F1F"/>
          <w:w w:val="105"/>
        </w:rPr>
        <w:t>La guía NICE (10) aborda este punto dentro de la sección analgesia inhalada. La evidencia proviene de una RS (296) americana publicada en el año 2002, que incluía once ECAs para valorar la efectividad, mientras que para valorar los</w:t>
      </w:r>
      <w:r>
        <w:rPr>
          <w:color w:val="231F1F"/>
          <w:spacing w:val="-6"/>
          <w:w w:val="105"/>
        </w:rPr>
        <w:t> </w:t>
      </w:r>
      <w:r>
        <w:rPr>
          <w:color w:val="231F1F"/>
          <w:w w:val="105"/>
        </w:rPr>
        <w:t>efectos</w:t>
      </w:r>
      <w:r>
        <w:rPr>
          <w:color w:val="231F1F"/>
          <w:spacing w:val="-6"/>
          <w:w w:val="105"/>
        </w:rPr>
        <w:t> </w:t>
      </w:r>
      <w:r>
        <w:rPr>
          <w:color w:val="231F1F"/>
          <w:w w:val="105"/>
        </w:rPr>
        <w:t>adversos</w:t>
      </w:r>
      <w:r>
        <w:rPr>
          <w:color w:val="231F1F"/>
          <w:spacing w:val="-5"/>
          <w:w w:val="105"/>
        </w:rPr>
        <w:t> </w:t>
      </w:r>
      <w:r>
        <w:rPr>
          <w:color w:val="231F1F"/>
          <w:w w:val="105"/>
        </w:rPr>
        <w:t>se</w:t>
      </w:r>
      <w:r>
        <w:rPr>
          <w:color w:val="231F1F"/>
          <w:spacing w:val="-6"/>
          <w:w w:val="105"/>
        </w:rPr>
        <w:t> </w:t>
      </w:r>
      <w:r>
        <w:rPr>
          <w:color w:val="231F1F"/>
          <w:w w:val="105"/>
        </w:rPr>
        <w:t>evaluaron</w:t>
      </w:r>
      <w:r>
        <w:rPr>
          <w:color w:val="231F1F"/>
          <w:spacing w:val="-6"/>
          <w:w w:val="105"/>
        </w:rPr>
        <w:t> </w:t>
      </w:r>
      <w:r>
        <w:rPr>
          <w:color w:val="231F1F"/>
          <w:w w:val="105"/>
        </w:rPr>
        <w:t>19</w:t>
      </w:r>
      <w:r>
        <w:rPr>
          <w:color w:val="231F1F"/>
          <w:spacing w:val="-6"/>
          <w:w w:val="105"/>
        </w:rPr>
        <w:t> </w:t>
      </w:r>
      <w:r>
        <w:rPr>
          <w:color w:val="231F1F"/>
          <w:w w:val="105"/>
        </w:rPr>
        <w:t>estudios,</w:t>
      </w:r>
      <w:r>
        <w:rPr>
          <w:color w:val="231F1F"/>
          <w:spacing w:val="-6"/>
          <w:w w:val="105"/>
        </w:rPr>
        <w:t> </w:t>
      </w:r>
      <w:r>
        <w:rPr>
          <w:color w:val="231F1F"/>
          <w:w w:val="105"/>
        </w:rPr>
        <w:t>de</w:t>
      </w:r>
      <w:r>
        <w:rPr>
          <w:color w:val="231F1F"/>
          <w:spacing w:val="-6"/>
          <w:w w:val="105"/>
        </w:rPr>
        <w:t> </w:t>
      </w:r>
      <w:r>
        <w:rPr>
          <w:color w:val="231F1F"/>
          <w:w w:val="105"/>
        </w:rPr>
        <w:t>los</w:t>
      </w:r>
      <w:r>
        <w:rPr>
          <w:color w:val="231F1F"/>
          <w:spacing w:val="-6"/>
          <w:w w:val="105"/>
        </w:rPr>
        <w:t> </w:t>
      </w:r>
      <w:r>
        <w:rPr>
          <w:color w:val="231F1F"/>
          <w:w w:val="105"/>
        </w:rPr>
        <w:t>cuales</w:t>
      </w:r>
      <w:r>
        <w:rPr>
          <w:color w:val="231F1F"/>
          <w:spacing w:val="-6"/>
          <w:w w:val="105"/>
        </w:rPr>
        <w:t> </w:t>
      </w:r>
      <w:r>
        <w:rPr>
          <w:color w:val="231F1F"/>
          <w:w w:val="105"/>
        </w:rPr>
        <w:t>ocho</w:t>
      </w:r>
      <w:r>
        <w:rPr>
          <w:color w:val="231F1F"/>
          <w:spacing w:val="-6"/>
          <w:w w:val="105"/>
        </w:rPr>
        <w:t> </w:t>
      </w:r>
      <w:r>
        <w:rPr>
          <w:color w:val="231F1F"/>
          <w:w w:val="105"/>
        </w:rPr>
        <w:t>fueron</w:t>
      </w:r>
      <w:r>
        <w:rPr>
          <w:color w:val="231F1F"/>
          <w:spacing w:val="-6"/>
          <w:w w:val="105"/>
        </w:rPr>
        <w:t> </w:t>
      </w:r>
      <w:r>
        <w:rPr>
          <w:color w:val="231F1F"/>
          <w:w w:val="105"/>
        </w:rPr>
        <w:t>ECAs, ya incluidos en la evaluación de la efectividad, y once, estudios observaciona- les.</w:t>
      </w:r>
      <w:r>
        <w:rPr>
          <w:color w:val="231F1F"/>
          <w:w w:val="105"/>
        </w:rPr>
        <w:t> La</w:t>
      </w:r>
      <w:r>
        <w:rPr>
          <w:color w:val="231F1F"/>
          <w:w w:val="105"/>
        </w:rPr>
        <w:t> mayoría</w:t>
      </w:r>
      <w:r>
        <w:rPr>
          <w:color w:val="231F1F"/>
          <w:w w:val="105"/>
        </w:rPr>
        <w:t> de</w:t>
      </w:r>
      <w:r>
        <w:rPr>
          <w:color w:val="231F1F"/>
          <w:w w:val="105"/>
        </w:rPr>
        <w:t> los</w:t>
      </w:r>
      <w:r>
        <w:rPr>
          <w:color w:val="231F1F"/>
          <w:w w:val="105"/>
        </w:rPr>
        <w:t> estudios</w:t>
      </w:r>
      <w:r>
        <w:rPr>
          <w:color w:val="231F1F"/>
          <w:w w:val="105"/>
        </w:rPr>
        <w:t> incluidos</w:t>
      </w:r>
      <w:r>
        <w:rPr>
          <w:color w:val="231F1F"/>
          <w:w w:val="105"/>
        </w:rPr>
        <w:t> utilizaba</w:t>
      </w:r>
      <w:r>
        <w:rPr>
          <w:color w:val="231F1F"/>
          <w:w w:val="105"/>
        </w:rPr>
        <w:t> concentraciones</w:t>
      </w:r>
      <w:r>
        <w:rPr>
          <w:color w:val="231F1F"/>
          <w:w w:val="105"/>
        </w:rPr>
        <w:t> del</w:t>
      </w:r>
      <w:r>
        <w:rPr>
          <w:color w:val="231F1F"/>
          <w:w w:val="105"/>
        </w:rPr>
        <w:t> 50%</w:t>
      </w:r>
      <w:r>
        <w:rPr>
          <w:color w:val="231F1F"/>
          <w:spacing w:val="80"/>
          <w:w w:val="105"/>
        </w:rPr>
        <w:t> </w:t>
      </w:r>
      <w:r>
        <w:rPr>
          <w:color w:val="231F1F"/>
          <w:w w:val="105"/>
        </w:rPr>
        <w:t>de óxido nitroso, nueve estudios hacían comparaciones entre concentraciones del rango de 30% a 80%. Debido a la inconsistencia en la metodología de los estudios</w:t>
      </w:r>
      <w:r>
        <w:rPr>
          <w:color w:val="231F1F"/>
          <w:spacing w:val="40"/>
          <w:w w:val="105"/>
        </w:rPr>
        <w:t> </w:t>
      </w:r>
      <w:r>
        <w:rPr>
          <w:color w:val="231F1F"/>
          <w:w w:val="105"/>
        </w:rPr>
        <w:t>incluidos</w:t>
      </w:r>
      <w:r>
        <w:rPr>
          <w:color w:val="231F1F"/>
          <w:spacing w:val="40"/>
          <w:w w:val="105"/>
        </w:rPr>
        <w:t> </w:t>
      </w:r>
      <w:r>
        <w:rPr>
          <w:color w:val="231F1F"/>
          <w:w w:val="105"/>
        </w:rPr>
        <w:t>los</w:t>
      </w:r>
      <w:r>
        <w:rPr>
          <w:color w:val="231F1F"/>
          <w:spacing w:val="40"/>
          <w:w w:val="105"/>
        </w:rPr>
        <w:t> </w:t>
      </w:r>
      <w:r>
        <w:rPr>
          <w:color w:val="231F1F"/>
          <w:w w:val="105"/>
        </w:rPr>
        <w:t>resultados</w:t>
      </w:r>
      <w:r>
        <w:rPr>
          <w:color w:val="231F1F"/>
          <w:spacing w:val="40"/>
          <w:w w:val="105"/>
        </w:rPr>
        <w:t> </w:t>
      </w:r>
      <w:r>
        <w:rPr>
          <w:color w:val="231F1F"/>
          <w:w w:val="105"/>
        </w:rPr>
        <w:t>se</w:t>
      </w:r>
      <w:r>
        <w:rPr>
          <w:color w:val="231F1F"/>
          <w:spacing w:val="40"/>
          <w:w w:val="105"/>
        </w:rPr>
        <w:t> </w:t>
      </w:r>
      <w:r>
        <w:rPr>
          <w:color w:val="231F1F"/>
          <w:w w:val="105"/>
        </w:rPr>
        <w:t>resumieron</w:t>
      </w:r>
      <w:r>
        <w:rPr>
          <w:color w:val="231F1F"/>
          <w:spacing w:val="40"/>
          <w:w w:val="105"/>
        </w:rPr>
        <w:t> </w:t>
      </w:r>
      <w:r>
        <w:rPr>
          <w:color w:val="231F1F"/>
          <w:w w:val="105"/>
        </w:rPr>
        <w:t>narrativamente:</w:t>
      </w:r>
    </w:p>
    <w:p>
      <w:pPr>
        <w:pStyle w:val="BodyText"/>
        <w:spacing w:after="0" w:line="249" w:lineRule="auto"/>
        <w:jc w:val="both"/>
        <w:sectPr>
          <w:pgSz w:w="11900" w:h="16840"/>
          <w:pgMar w:header="0" w:footer="622" w:top="1560" w:bottom="820" w:left="1417" w:right="1559"/>
        </w:sectPr>
      </w:pPr>
    </w:p>
    <w:p>
      <w:pPr>
        <w:pStyle w:val="BodyText"/>
        <w:spacing w:line="264" w:lineRule="auto" w:before="78"/>
        <w:ind w:left="294" w:right="42" w:firstLine="453"/>
      </w:pPr>
      <w:r>
        <w:rPr>
          <w:color w:val="231F1F"/>
        </w:rPr>
        <w:t>La</w:t>
      </w:r>
      <w:r>
        <w:rPr>
          <w:color w:val="231F1F"/>
          <w:spacing w:val="40"/>
        </w:rPr>
        <w:t> </w:t>
      </w:r>
      <w:r>
        <w:rPr>
          <w:color w:val="231F1F"/>
        </w:rPr>
        <w:t>eficacia</w:t>
      </w:r>
      <w:r>
        <w:rPr>
          <w:color w:val="231F1F"/>
          <w:spacing w:val="40"/>
        </w:rPr>
        <w:t> </w:t>
      </w:r>
      <w:r>
        <w:rPr>
          <w:color w:val="231F1F"/>
        </w:rPr>
        <w:t>analgésica</w:t>
      </w:r>
      <w:r>
        <w:rPr>
          <w:color w:val="231F1F"/>
          <w:spacing w:val="40"/>
        </w:rPr>
        <w:t> </w:t>
      </w:r>
      <w:r>
        <w:rPr>
          <w:color w:val="231F1F"/>
        </w:rPr>
        <w:t>se</w:t>
      </w:r>
      <w:r>
        <w:rPr>
          <w:color w:val="231F1F"/>
          <w:spacing w:val="40"/>
        </w:rPr>
        <w:t> </w:t>
      </w:r>
      <w:r>
        <w:rPr>
          <w:color w:val="231F1F"/>
        </w:rPr>
        <w:t>notificó</w:t>
      </w:r>
      <w:r>
        <w:rPr>
          <w:color w:val="231F1F"/>
          <w:spacing w:val="40"/>
        </w:rPr>
        <w:t> </w:t>
      </w:r>
      <w:r>
        <w:rPr>
          <w:color w:val="231F1F"/>
        </w:rPr>
        <w:t>debidamente</w:t>
      </w:r>
      <w:r>
        <w:rPr>
          <w:color w:val="231F1F"/>
          <w:spacing w:val="40"/>
        </w:rPr>
        <w:t> </w:t>
      </w:r>
      <w:r>
        <w:rPr>
          <w:color w:val="231F1F"/>
        </w:rPr>
        <w:t>en</w:t>
      </w:r>
      <w:r>
        <w:rPr>
          <w:color w:val="231F1F"/>
          <w:spacing w:val="40"/>
        </w:rPr>
        <w:t> </w:t>
      </w:r>
      <w:r>
        <w:rPr>
          <w:color w:val="231F1F"/>
        </w:rPr>
        <w:t>once</w:t>
      </w:r>
      <w:r>
        <w:rPr>
          <w:color w:val="231F1F"/>
          <w:spacing w:val="40"/>
        </w:rPr>
        <w:t> </w:t>
      </w:r>
      <w:r>
        <w:rPr>
          <w:color w:val="231F1F"/>
        </w:rPr>
        <w:t>estudios.</w:t>
      </w:r>
      <w:r>
        <w:rPr>
          <w:color w:val="231F1F"/>
          <w:spacing w:val="40"/>
        </w:rPr>
        <w:t> </w:t>
      </w:r>
      <w:r>
        <w:rPr>
          <w:color w:val="231F1F"/>
        </w:rPr>
        <w:t>Éstos no</w:t>
      </w:r>
      <w:r>
        <w:rPr>
          <w:color w:val="231F1F"/>
          <w:spacing w:val="40"/>
        </w:rPr>
        <w:t> </w:t>
      </w:r>
      <w:r>
        <w:rPr>
          <w:color w:val="231F1F"/>
        </w:rPr>
        <w:t>proporcionaron</w:t>
      </w:r>
      <w:r>
        <w:rPr>
          <w:color w:val="231F1F"/>
          <w:spacing w:val="40"/>
        </w:rPr>
        <w:t> </w:t>
      </w:r>
      <w:r>
        <w:rPr>
          <w:color w:val="231F1F"/>
        </w:rPr>
        <w:t>pruebas</w:t>
      </w:r>
      <w:r>
        <w:rPr>
          <w:color w:val="231F1F"/>
          <w:spacing w:val="40"/>
        </w:rPr>
        <w:t> </w:t>
      </w:r>
      <w:r>
        <w:rPr>
          <w:color w:val="231F1F"/>
        </w:rPr>
        <w:t>claras,</w:t>
      </w:r>
      <w:r>
        <w:rPr>
          <w:color w:val="231F1F"/>
          <w:spacing w:val="40"/>
        </w:rPr>
        <w:t> </w:t>
      </w:r>
      <w:r>
        <w:rPr>
          <w:color w:val="231F1F"/>
        </w:rPr>
        <w:t>cuantitativas</w:t>
      </w:r>
      <w:r>
        <w:rPr>
          <w:color w:val="231F1F"/>
          <w:spacing w:val="40"/>
        </w:rPr>
        <w:t> </w:t>
      </w:r>
      <w:r>
        <w:rPr>
          <w:color w:val="231F1F"/>
        </w:rPr>
        <w:t>y</w:t>
      </w:r>
      <w:r>
        <w:rPr>
          <w:color w:val="231F1F"/>
          <w:spacing w:val="40"/>
        </w:rPr>
        <w:t> </w:t>
      </w:r>
      <w:r>
        <w:rPr>
          <w:color w:val="231F1F"/>
        </w:rPr>
        <w:t>objetivas</w:t>
      </w:r>
      <w:r>
        <w:rPr>
          <w:color w:val="231F1F"/>
          <w:spacing w:val="40"/>
        </w:rPr>
        <w:t> </w:t>
      </w:r>
      <w:r>
        <w:rPr>
          <w:color w:val="231F1F"/>
        </w:rPr>
        <w:t>de</w:t>
      </w:r>
      <w:r>
        <w:rPr>
          <w:color w:val="231F1F"/>
          <w:spacing w:val="40"/>
        </w:rPr>
        <w:t> </w:t>
      </w:r>
      <w:r>
        <w:rPr>
          <w:color w:val="231F1F"/>
        </w:rPr>
        <w:t>dicha</w:t>
      </w:r>
      <w:r>
        <w:rPr>
          <w:color w:val="231F1F"/>
          <w:spacing w:val="40"/>
        </w:rPr>
        <w:t> </w:t>
      </w:r>
      <w:r>
        <w:rPr>
          <w:color w:val="231F1F"/>
        </w:rPr>
        <w:t>eficacia, pero en siete de los estudios se observó una analgesia significativa con el óxido nitroso,</w:t>
      </w:r>
      <w:r>
        <w:rPr>
          <w:color w:val="231F1F"/>
          <w:spacing w:val="34"/>
        </w:rPr>
        <w:t> </w:t>
      </w:r>
      <w:r>
        <w:rPr>
          <w:color w:val="231F1F"/>
        </w:rPr>
        <w:t>aunque</w:t>
      </w:r>
      <w:r>
        <w:rPr>
          <w:color w:val="231F1F"/>
          <w:spacing w:val="33"/>
        </w:rPr>
        <w:t> </w:t>
      </w:r>
      <w:r>
        <w:rPr>
          <w:color w:val="231F1F"/>
        </w:rPr>
        <w:t>en</w:t>
      </w:r>
      <w:r>
        <w:rPr>
          <w:color w:val="231F1F"/>
          <w:spacing w:val="33"/>
        </w:rPr>
        <w:t> </w:t>
      </w:r>
      <w:r>
        <w:rPr>
          <w:color w:val="231F1F"/>
        </w:rPr>
        <w:t>5</w:t>
      </w:r>
      <w:r>
        <w:rPr>
          <w:color w:val="231F1F"/>
          <w:spacing w:val="33"/>
        </w:rPr>
        <w:t> </w:t>
      </w:r>
      <w:r>
        <w:rPr>
          <w:color w:val="231F1F"/>
        </w:rPr>
        <w:t>de</w:t>
      </w:r>
      <w:r>
        <w:rPr>
          <w:color w:val="231F1F"/>
          <w:spacing w:val="33"/>
        </w:rPr>
        <w:t> </w:t>
      </w:r>
      <w:r>
        <w:rPr>
          <w:color w:val="231F1F"/>
        </w:rPr>
        <w:t>ellos</w:t>
      </w:r>
      <w:r>
        <w:rPr>
          <w:color w:val="231F1F"/>
          <w:spacing w:val="34"/>
        </w:rPr>
        <w:t> </w:t>
      </w:r>
      <w:r>
        <w:rPr>
          <w:color w:val="231F1F"/>
        </w:rPr>
        <w:t>se</w:t>
      </w:r>
      <w:r>
        <w:rPr>
          <w:color w:val="231F1F"/>
          <w:spacing w:val="33"/>
        </w:rPr>
        <w:t> </w:t>
      </w:r>
      <w:r>
        <w:rPr>
          <w:color w:val="231F1F"/>
        </w:rPr>
        <w:t>había</w:t>
      </w:r>
      <w:r>
        <w:rPr>
          <w:color w:val="231F1F"/>
          <w:spacing w:val="33"/>
        </w:rPr>
        <w:t> </w:t>
      </w:r>
      <w:r>
        <w:rPr>
          <w:color w:val="231F1F"/>
        </w:rPr>
        <w:t>administrado</w:t>
      </w:r>
      <w:r>
        <w:rPr>
          <w:color w:val="231F1F"/>
          <w:spacing w:val="33"/>
        </w:rPr>
        <w:t> </w:t>
      </w:r>
      <w:r>
        <w:rPr>
          <w:color w:val="231F1F"/>
        </w:rPr>
        <w:t>concomitantemente</w:t>
      </w:r>
      <w:r>
        <w:rPr>
          <w:color w:val="231F1F"/>
          <w:spacing w:val="33"/>
        </w:rPr>
        <w:t> </w:t>
      </w:r>
      <w:r>
        <w:rPr>
          <w:color w:val="231F1F"/>
        </w:rPr>
        <w:t>opioi- des</w:t>
      </w:r>
      <w:r>
        <w:rPr>
          <w:color w:val="231F1F"/>
          <w:spacing w:val="40"/>
        </w:rPr>
        <w:t> </w:t>
      </w:r>
      <w:r>
        <w:rPr>
          <w:color w:val="231F1F"/>
        </w:rPr>
        <w:t>y</w:t>
      </w:r>
      <w:r>
        <w:rPr>
          <w:color w:val="231F1F"/>
          <w:spacing w:val="40"/>
        </w:rPr>
        <w:t> </w:t>
      </w:r>
      <w:r>
        <w:rPr>
          <w:color w:val="231F1F"/>
        </w:rPr>
        <w:t>en</w:t>
      </w:r>
      <w:r>
        <w:rPr>
          <w:color w:val="231F1F"/>
          <w:spacing w:val="40"/>
        </w:rPr>
        <w:t> </w:t>
      </w:r>
      <w:r>
        <w:rPr>
          <w:color w:val="231F1F"/>
        </w:rPr>
        <w:t>otro</w:t>
      </w:r>
      <w:r>
        <w:rPr>
          <w:color w:val="231F1F"/>
          <w:spacing w:val="40"/>
        </w:rPr>
        <w:t> </w:t>
      </w:r>
      <w:r>
        <w:rPr>
          <w:color w:val="231F1F"/>
        </w:rPr>
        <w:t>no</w:t>
      </w:r>
      <w:r>
        <w:rPr>
          <w:color w:val="231F1F"/>
          <w:spacing w:val="40"/>
        </w:rPr>
        <w:t> </w:t>
      </w:r>
      <w:r>
        <w:rPr>
          <w:color w:val="231F1F"/>
        </w:rPr>
        <w:t>queda</w:t>
      </w:r>
      <w:r>
        <w:rPr>
          <w:color w:val="231F1F"/>
          <w:spacing w:val="40"/>
        </w:rPr>
        <w:t> </w:t>
      </w:r>
      <w:r>
        <w:rPr>
          <w:color w:val="231F1F"/>
        </w:rPr>
        <w:t>aclarado</w:t>
      </w:r>
      <w:r>
        <w:rPr>
          <w:color w:val="231F1F"/>
          <w:spacing w:val="40"/>
        </w:rPr>
        <w:t> </w:t>
      </w:r>
      <w:r>
        <w:rPr>
          <w:color w:val="231F1F"/>
        </w:rPr>
        <w:t>este</w:t>
      </w:r>
      <w:r>
        <w:rPr>
          <w:color w:val="231F1F"/>
          <w:spacing w:val="40"/>
        </w:rPr>
        <w:t> </w:t>
      </w:r>
      <w:r>
        <w:rPr>
          <w:color w:val="231F1F"/>
        </w:rPr>
        <w:t>punto.</w:t>
      </w:r>
      <w:r>
        <w:rPr>
          <w:color w:val="231F1F"/>
          <w:spacing w:val="40"/>
        </w:rPr>
        <w:t> </w:t>
      </w:r>
      <w:r>
        <w:rPr>
          <w:color w:val="231F1F"/>
        </w:rPr>
        <w:t>Otros</w:t>
      </w:r>
      <w:r>
        <w:rPr>
          <w:color w:val="231F1F"/>
          <w:spacing w:val="40"/>
        </w:rPr>
        <w:t> </w:t>
      </w:r>
      <w:r>
        <w:rPr>
          <w:color w:val="231F1F"/>
        </w:rPr>
        <w:t>dos</w:t>
      </w:r>
      <w:r>
        <w:rPr>
          <w:color w:val="231F1F"/>
          <w:spacing w:val="40"/>
        </w:rPr>
        <w:t> </w:t>
      </w:r>
      <w:r>
        <w:rPr>
          <w:color w:val="231F1F"/>
        </w:rPr>
        <w:t>estudios</w:t>
      </w:r>
      <w:r>
        <w:rPr>
          <w:color w:val="231F1F"/>
          <w:spacing w:val="40"/>
        </w:rPr>
        <w:t> </w:t>
      </w:r>
      <w:r>
        <w:rPr>
          <w:color w:val="231F1F"/>
        </w:rPr>
        <w:t>notificaron que</w:t>
      </w:r>
      <w:r>
        <w:rPr>
          <w:color w:val="231F1F"/>
          <w:spacing w:val="40"/>
        </w:rPr>
        <w:t> </w:t>
      </w:r>
      <w:r>
        <w:rPr>
          <w:color w:val="231F1F"/>
        </w:rPr>
        <w:t>las</w:t>
      </w:r>
      <w:r>
        <w:rPr>
          <w:color w:val="231F1F"/>
          <w:spacing w:val="40"/>
        </w:rPr>
        <w:t> </w:t>
      </w:r>
      <w:r>
        <w:rPr>
          <w:color w:val="231F1F"/>
        </w:rPr>
        <w:t>mujeres</w:t>
      </w:r>
      <w:r>
        <w:rPr>
          <w:color w:val="231F1F"/>
          <w:spacing w:val="40"/>
        </w:rPr>
        <w:t> </w:t>
      </w:r>
      <w:r>
        <w:rPr>
          <w:color w:val="231F1F"/>
        </w:rPr>
        <w:t>eligieron</w:t>
      </w:r>
      <w:r>
        <w:rPr>
          <w:color w:val="231F1F"/>
          <w:spacing w:val="40"/>
        </w:rPr>
        <w:t> </w:t>
      </w:r>
      <w:r>
        <w:rPr>
          <w:color w:val="231F1F"/>
        </w:rPr>
        <w:t>seguir</w:t>
      </w:r>
      <w:r>
        <w:rPr>
          <w:color w:val="231F1F"/>
          <w:spacing w:val="40"/>
        </w:rPr>
        <w:t> </w:t>
      </w:r>
      <w:r>
        <w:rPr>
          <w:color w:val="231F1F"/>
        </w:rPr>
        <w:t>utilizando</w:t>
      </w:r>
      <w:r>
        <w:rPr>
          <w:color w:val="231F1F"/>
          <w:spacing w:val="40"/>
        </w:rPr>
        <w:t> </w:t>
      </w:r>
      <w:r>
        <w:rPr>
          <w:color w:val="231F1F"/>
        </w:rPr>
        <w:t>óxido</w:t>
      </w:r>
      <w:r>
        <w:rPr>
          <w:color w:val="231F1F"/>
          <w:spacing w:val="40"/>
        </w:rPr>
        <w:t> </w:t>
      </w:r>
      <w:r>
        <w:rPr>
          <w:color w:val="231F1F"/>
        </w:rPr>
        <w:t>nitroso,</w:t>
      </w:r>
      <w:r>
        <w:rPr>
          <w:color w:val="231F1F"/>
          <w:spacing w:val="40"/>
        </w:rPr>
        <w:t> </w:t>
      </w:r>
      <w:r>
        <w:rPr>
          <w:color w:val="231F1F"/>
        </w:rPr>
        <w:t>incluso</w:t>
      </w:r>
      <w:r>
        <w:rPr>
          <w:color w:val="231F1F"/>
          <w:spacing w:val="40"/>
        </w:rPr>
        <w:t> </w:t>
      </w:r>
      <w:r>
        <w:rPr>
          <w:color w:val="231F1F"/>
        </w:rPr>
        <w:t>después</w:t>
      </w:r>
      <w:r>
        <w:rPr>
          <w:color w:val="231F1F"/>
          <w:spacing w:val="40"/>
        </w:rPr>
        <w:t> </w:t>
      </w:r>
      <w:r>
        <w:rPr>
          <w:color w:val="231F1F"/>
        </w:rPr>
        <w:t>de que</w:t>
      </w:r>
      <w:r>
        <w:rPr>
          <w:color w:val="231F1F"/>
          <w:spacing w:val="40"/>
        </w:rPr>
        <w:t> </w:t>
      </w:r>
      <w:r>
        <w:rPr>
          <w:color w:val="231F1F"/>
        </w:rPr>
        <w:t>terminase</w:t>
      </w:r>
      <w:r>
        <w:rPr>
          <w:color w:val="231F1F"/>
          <w:spacing w:val="40"/>
        </w:rPr>
        <w:t> </w:t>
      </w:r>
      <w:r>
        <w:rPr>
          <w:color w:val="231F1F"/>
        </w:rPr>
        <w:t>el</w:t>
      </w:r>
      <w:r>
        <w:rPr>
          <w:color w:val="231F1F"/>
          <w:spacing w:val="40"/>
        </w:rPr>
        <w:t> </w:t>
      </w:r>
      <w:r>
        <w:rPr>
          <w:color w:val="231F1F"/>
        </w:rPr>
        <w:t>periodo</w:t>
      </w:r>
      <w:r>
        <w:rPr>
          <w:color w:val="231F1F"/>
          <w:spacing w:val="40"/>
        </w:rPr>
        <w:t> </w:t>
      </w:r>
      <w:r>
        <w:rPr>
          <w:color w:val="231F1F"/>
        </w:rPr>
        <w:t>de</w:t>
      </w:r>
      <w:r>
        <w:rPr>
          <w:color w:val="231F1F"/>
          <w:spacing w:val="40"/>
        </w:rPr>
        <w:t> </w:t>
      </w:r>
      <w:r>
        <w:rPr>
          <w:color w:val="231F1F"/>
        </w:rPr>
        <w:t>estudio.</w:t>
      </w:r>
    </w:p>
    <w:p>
      <w:pPr>
        <w:pStyle w:val="BodyText"/>
        <w:spacing w:line="244" w:lineRule="auto" w:before="63"/>
        <w:ind w:left="294" w:firstLine="453"/>
        <w:jc w:val="both"/>
      </w:pPr>
      <w:r>
        <w:rPr>
          <w:color w:val="231F1F"/>
          <w:w w:val="110"/>
        </w:rPr>
        <w:t>En</w:t>
      </w:r>
      <w:r>
        <w:rPr>
          <w:color w:val="231F1F"/>
          <w:spacing w:val="-16"/>
          <w:w w:val="110"/>
        </w:rPr>
        <w:t> </w:t>
      </w:r>
      <w:r>
        <w:rPr>
          <w:color w:val="231F1F"/>
          <w:w w:val="110"/>
        </w:rPr>
        <w:t>relación</w:t>
      </w:r>
      <w:r>
        <w:rPr>
          <w:color w:val="231F1F"/>
          <w:spacing w:val="-15"/>
          <w:w w:val="110"/>
        </w:rPr>
        <w:t> </w:t>
      </w:r>
      <w:r>
        <w:rPr>
          <w:color w:val="231F1F"/>
          <w:w w:val="110"/>
        </w:rPr>
        <w:t>a</w:t>
      </w:r>
      <w:r>
        <w:rPr>
          <w:color w:val="231F1F"/>
          <w:spacing w:val="-15"/>
          <w:w w:val="110"/>
        </w:rPr>
        <w:t> </w:t>
      </w:r>
      <w:r>
        <w:rPr>
          <w:color w:val="231F1F"/>
          <w:w w:val="110"/>
        </w:rPr>
        <w:t>otros</w:t>
      </w:r>
      <w:r>
        <w:rPr>
          <w:color w:val="231F1F"/>
          <w:spacing w:val="-15"/>
          <w:w w:val="110"/>
        </w:rPr>
        <w:t> </w:t>
      </w:r>
      <w:r>
        <w:rPr>
          <w:color w:val="231F1F"/>
          <w:w w:val="110"/>
        </w:rPr>
        <w:t>resultados</w:t>
      </w:r>
      <w:r>
        <w:rPr>
          <w:color w:val="231F1F"/>
          <w:spacing w:val="-15"/>
          <w:w w:val="110"/>
        </w:rPr>
        <w:t> </w:t>
      </w:r>
      <w:r>
        <w:rPr>
          <w:color w:val="231F1F"/>
          <w:w w:val="110"/>
        </w:rPr>
        <w:t>obstétricos,</w:t>
      </w:r>
      <w:r>
        <w:rPr>
          <w:color w:val="231F1F"/>
          <w:spacing w:val="-15"/>
          <w:w w:val="110"/>
        </w:rPr>
        <w:t> </w:t>
      </w:r>
      <w:r>
        <w:rPr>
          <w:color w:val="231F1F"/>
          <w:w w:val="110"/>
        </w:rPr>
        <w:t>no</w:t>
      </w:r>
      <w:r>
        <w:rPr>
          <w:color w:val="231F1F"/>
          <w:spacing w:val="-15"/>
          <w:w w:val="110"/>
        </w:rPr>
        <w:t> </w:t>
      </w:r>
      <w:r>
        <w:rPr>
          <w:color w:val="231F1F"/>
          <w:w w:val="110"/>
        </w:rPr>
        <w:t>se</w:t>
      </w:r>
      <w:r>
        <w:rPr>
          <w:color w:val="231F1F"/>
          <w:spacing w:val="-15"/>
          <w:w w:val="110"/>
        </w:rPr>
        <w:t> </w:t>
      </w:r>
      <w:r>
        <w:rPr>
          <w:color w:val="231F1F"/>
          <w:w w:val="110"/>
        </w:rPr>
        <w:t>encontraron</w:t>
      </w:r>
      <w:r>
        <w:rPr>
          <w:color w:val="231F1F"/>
          <w:spacing w:val="-16"/>
          <w:w w:val="110"/>
        </w:rPr>
        <w:t> </w:t>
      </w:r>
      <w:r>
        <w:rPr>
          <w:color w:val="231F1F"/>
          <w:w w:val="110"/>
        </w:rPr>
        <w:t>diferencias en</w:t>
      </w:r>
      <w:r>
        <w:rPr>
          <w:color w:val="231F1F"/>
          <w:spacing w:val="-13"/>
          <w:w w:val="110"/>
        </w:rPr>
        <w:t> </w:t>
      </w:r>
      <w:r>
        <w:rPr>
          <w:color w:val="231F1F"/>
          <w:w w:val="110"/>
        </w:rPr>
        <w:t>la</w:t>
      </w:r>
      <w:r>
        <w:rPr>
          <w:color w:val="231F1F"/>
          <w:spacing w:val="-13"/>
          <w:w w:val="110"/>
        </w:rPr>
        <w:t> </w:t>
      </w:r>
      <w:r>
        <w:rPr>
          <w:color w:val="231F1F"/>
          <w:w w:val="110"/>
        </w:rPr>
        <w:t>dinámica</w:t>
      </w:r>
      <w:r>
        <w:rPr>
          <w:color w:val="231F1F"/>
          <w:spacing w:val="-14"/>
          <w:w w:val="110"/>
        </w:rPr>
        <w:t> </w:t>
      </w:r>
      <w:r>
        <w:rPr>
          <w:color w:val="231F1F"/>
          <w:w w:val="110"/>
        </w:rPr>
        <w:t>uterina,</w:t>
      </w:r>
      <w:r>
        <w:rPr>
          <w:color w:val="231F1F"/>
          <w:spacing w:val="-14"/>
          <w:w w:val="110"/>
        </w:rPr>
        <w:t> </w:t>
      </w:r>
      <w:r>
        <w:rPr>
          <w:color w:val="231F1F"/>
          <w:w w:val="110"/>
        </w:rPr>
        <w:t>ni</w:t>
      </w:r>
      <w:r>
        <w:rPr>
          <w:color w:val="231F1F"/>
          <w:spacing w:val="-14"/>
          <w:w w:val="110"/>
        </w:rPr>
        <w:t> </w:t>
      </w:r>
      <w:r>
        <w:rPr>
          <w:color w:val="231F1F"/>
          <w:w w:val="110"/>
        </w:rPr>
        <w:t>alteraciones</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misma,</w:t>
      </w:r>
      <w:r>
        <w:rPr>
          <w:color w:val="231F1F"/>
          <w:spacing w:val="-14"/>
          <w:w w:val="110"/>
        </w:rPr>
        <w:t> </w:t>
      </w:r>
      <w:r>
        <w:rPr>
          <w:color w:val="231F1F"/>
          <w:w w:val="110"/>
        </w:rPr>
        <w:t>ni</w:t>
      </w:r>
      <w:r>
        <w:rPr>
          <w:color w:val="231F1F"/>
          <w:spacing w:val="-14"/>
          <w:w w:val="110"/>
        </w:rPr>
        <w:t> </w:t>
      </w:r>
      <w:r>
        <w:rPr>
          <w:color w:val="231F1F"/>
          <w:w w:val="110"/>
        </w:rPr>
        <w:t>tampoco</w:t>
      </w:r>
      <w:r>
        <w:rPr>
          <w:color w:val="231F1F"/>
          <w:spacing w:val="-13"/>
          <w:w w:val="110"/>
        </w:rPr>
        <w:t> </w:t>
      </w:r>
      <w:r>
        <w:rPr>
          <w:color w:val="231F1F"/>
          <w:w w:val="110"/>
        </w:rPr>
        <w:t>en</w:t>
      </w:r>
      <w:r>
        <w:rPr>
          <w:color w:val="231F1F"/>
          <w:spacing w:val="-13"/>
          <w:w w:val="110"/>
        </w:rPr>
        <w:t> </w:t>
      </w:r>
      <w:r>
        <w:rPr>
          <w:color w:val="231F1F"/>
          <w:w w:val="110"/>
        </w:rPr>
        <w:t>el</w:t>
      </w:r>
      <w:r>
        <w:rPr>
          <w:color w:val="231F1F"/>
          <w:spacing w:val="-14"/>
          <w:w w:val="110"/>
        </w:rPr>
        <w:t> </w:t>
      </w:r>
      <w:r>
        <w:rPr>
          <w:color w:val="231F1F"/>
          <w:w w:val="110"/>
        </w:rPr>
        <w:t>progre- so del parto.</w:t>
      </w:r>
    </w:p>
    <w:p>
      <w:pPr>
        <w:pStyle w:val="BodyText"/>
        <w:spacing w:line="252" w:lineRule="auto" w:before="152"/>
        <w:ind w:left="294" w:firstLine="453"/>
        <w:jc w:val="both"/>
      </w:pPr>
      <w:r>
        <w:rPr>
          <w:color w:val="231F1F"/>
        </w:rPr>
        <w:t>En relación con los efectos adversos, siete ensayos con controles no ade- </w:t>
      </w:r>
      <w:r>
        <w:rPr>
          <w:color w:val="231F1F"/>
          <w:w w:val="110"/>
        </w:rPr>
        <w:t>cuados</w:t>
      </w:r>
      <w:r>
        <w:rPr>
          <w:color w:val="231F1F"/>
          <w:w w:val="110"/>
        </w:rPr>
        <w:t> notificaron</w:t>
      </w:r>
      <w:r>
        <w:rPr>
          <w:color w:val="231F1F"/>
          <w:w w:val="110"/>
        </w:rPr>
        <w:t> náuseas</w:t>
      </w:r>
      <w:r>
        <w:rPr>
          <w:color w:val="231F1F"/>
          <w:w w:val="110"/>
        </w:rPr>
        <w:t> y</w:t>
      </w:r>
      <w:r>
        <w:rPr>
          <w:color w:val="231F1F"/>
          <w:w w:val="110"/>
        </w:rPr>
        <w:t> vómitos</w:t>
      </w:r>
      <w:r>
        <w:rPr>
          <w:color w:val="231F1F"/>
          <w:w w:val="110"/>
        </w:rPr>
        <w:t> en</w:t>
      </w:r>
      <w:r>
        <w:rPr>
          <w:color w:val="231F1F"/>
          <w:w w:val="110"/>
        </w:rPr>
        <w:t> un</w:t>
      </w:r>
      <w:r>
        <w:rPr>
          <w:color w:val="231F1F"/>
          <w:w w:val="110"/>
        </w:rPr>
        <w:t> rango</w:t>
      </w:r>
      <w:r>
        <w:rPr>
          <w:color w:val="231F1F"/>
          <w:w w:val="110"/>
        </w:rPr>
        <w:t> del</w:t>
      </w:r>
      <w:r>
        <w:rPr>
          <w:color w:val="231F1F"/>
          <w:w w:val="110"/>
        </w:rPr>
        <w:t> 5%</w:t>
      </w:r>
      <w:r>
        <w:rPr>
          <w:color w:val="231F1F"/>
          <w:w w:val="110"/>
        </w:rPr>
        <w:t> al</w:t>
      </w:r>
      <w:r>
        <w:rPr>
          <w:color w:val="231F1F"/>
          <w:w w:val="110"/>
        </w:rPr>
        <w:t> 36%.</w:t>
      </w:r>
      <w:r>
        <w:rPr>
          <w:color w:val="231F1F"/>
          <w:w w:val="110"/>
        </w:rPr>
        <w:t> Otros </w:t>
      </w:r>
      <w:r>
        <w:rPr>
          <w:color w:val="231F1F"/>
        </w:rPr>
        <w:t>efectos</w:t>
      </w:r>
      <w:r>
        <w:rPr>
          <w:color w:val="231F1F"/>
          <w:spacing w:val="40"/>
        </w:rPr>
        <w:t> </w:t>
      </w:r>
      <w:r>
        <w:rPr>
          <w:color w:val="231F1F"/>
        </w:rPr>
        <w:t>descritos</w:t>
      </w:r>
      <w:r>
        <w:rPr>
          <w:color w:val="231F1F"/>
          <w:spacing w:val="40"/>
        </w:rPr>
        <w:t> </w:t>
      </w:r>
      <w:r>
        <w:rPr>
          <w:color w:val="231F1F"/>
        </w:rPr>
        <w:t>fueron</w:t>
      </w:r>
      <w:r>
        <w:rPr>
          <w:color w:val="231F1F"/>
          <w:spacing w:val="40"/>
        </w:rPr>
        <w:t> </w:t>
      </w:r>
      <w:r>
        <w:rPr>
          <w:color w:val="231F1F"/>
        </w:rPr>
        <w:t>somnolencia,</w:t>
      </w:r>
      <w:r>
        <w:rPr>
          <w:color w:val="231F1F"/>
          <w:spacing w:val="40"/>
        </w:rPr>
        <w:t> </w:t>
      </w:r>
      <w:r>
        <w:rPr>
          <w:color w:val="231F1F"/>
        </w:rPr>
        <w:t>mareo,</w:t>
      </w:r>
      <w:r>
        <w:rPr>
          <w:color w:val="231F1F"/>
          <w:spacing w:val="40"/>
        </w:rPr>
        <w:t> </w:t>
      </w:r>
      <w:r>
        <w:rPr>
          <w:color w:val="231F1F"/>
        </w:rPr>
        <w:t>boca</w:t>
      </w:r>
      <w:r>
        <w:rPr>
          <w:color w:val="231F1F"/>
          <w:spacing w:val="40"/>
        </w:rPr>
        <w:t> </w:t>
      </w:r>
      <w:r>
        <w:rPr>
          <w:color w:val="231F1F"/>
        </w:rPr>
        <w:t>seca,</w:t>
      </w:r>
      <w:r>
        <w:rPr>
          <w:color w:val="231F1F"/>
          <w:spacing w:val="40"/>
        </w:rPr>
        <w:t> </w:t>
      </w:r>
      <w:r>
        <w:rPr>
          <w:color w:val="231F1F"/>
        </w:rPr>
        <w:t>zumbidos,</w:t>
      </w:r>
      <w:r>
        <w:rPr>
          <w:color w:val="231F1F"/>
          <w:spacing w:val="40"/>
        </w:rPr>
        <w:t> </w:t>
      </w:r>
      <w:r>
        <w:rPr>
          <w:color w:val="231F1F"/>
        </w:rPr>
        <w:t>alteracio- </w:t>
      </w:r>
      <w:r>
        <w:rPr>
          <w:color w:val="231F1F"/>
          <w:w w:val="110"/>
        </w:rPr>
        <w:t>nes</w:t>
      </w:r>
      <w:r>
        <w:rPr>
          <w:color w:val="231F1F"/>
          <w:spacing w:val="-16"/>
          <w:w w:val="110"/>
        </w:rPr>
        <w:t> </w:t>
      </w:r>
      <w:r>
        <w:rPr>
          <w:color w:val="231F1F"/>
          <w:w w:val="110"/>
        </w:rPr>
        <w:t>del</w:t>
      </w:r>
      <w:r>
        <w:rPr>
          <w:color w:val="231F1F"/>
          <w:spacing w:val="-15"/>
          <w:w w:val="110"/>
        </w:rPr>
        <w:t> </w:t>
      </w:r>
      <w:r>
        <w:rPr>
          <w:color w:val="231F1F"/>
          <w:w w:val="110"/>
        </w:rPr>
        <w:t>recuerdo</w:t>
      </w:r>
      <w:r>
        <w:rPr>
          <w:color w:val="231F1F"/>
          <w:spacing w:val="-15"/>
          <w:w w:val="110"/>
        </w:rPr>
        <w:t> </w:t>
      </w:r>
      <w:r>
        <w:rPr>
          <w:color w:val="231F1F"/>
          <w:w w:val="110"/>
        </w:rPr>
        <w:t>y</w:t>
      </w:r>
      <w:r>
        <w:rPr>
          <w:color w:val="231F1F"/>
          <w:spacing w:val="-15"/>
          <w:w w:val="110"/>
        </w:rPr>
        <w:t> </w:t>
      </w:r>
      <w:r>
        <w:rPr>
          <w:color w:val="231F1F"/>
          <w:w w:val="110"/>
        </w:rPr>
        <w:t>parestesias.</w:t>
      </w:r>
      <w:r>
        <w:rPr>
          <w:color w:val="231F1F"/>
          <w:spacing w:val="-15"/>
          <w:w w:val="110"/>
        </w:rPr>
        <w:t> </w:t>
      </w:r>
      <w:r>
        <w:rPr>
          <w:color w:val="231F1F"/>
          <w:w w:val="110"/>
        </w:rPr>
        <w:t>Dos</w:t>
      </w:r>
      <w:r>
        <w:rPr>
          <w:color w:val="231F1F"/>
          <w:spacing w:val="-15"/>
          <w:w w:val="110"/>
        </w:rPr>
        <w:t> </w:t>
      </w:r>
      <w:r>
        <w:rPr>
          <w:color w:val="231F1F"/>
          <w:w w:val="110"/>
        </w:rPr>
        <w:t>ECAs</w:t>
      </w:r>
      <w:r>
        <w:rPr>
          <w:color w:val="231F1F"/>
          <w:spacing w:val="-15"/>
          <w:w w:val="110"/>
        </w:rPr>
        <w:t> </w:t>
      </w:r>
      <w:r>
        <w:rPr>
          <w:color w:val="231F1F"/>
          <w:w w:val="110"/>
        </w:rPr>
        <w:t>notificaron</w:t>
      </w:r>
      <w:r>
        <w:rPr>
          <w:color w:val="231F1F"/>
          <w:spacing w:val="-15"/>
          <w:w w:val="110"/>
        </w:rPr>
        <w:t> </w:t>
      </w:r>
      <w:r>
        <w:rPr>
          <w:color w:val="231F1F"/>
          <w:w w:val="110"/>
        </w:rPr>
        <w:t>pérdida</w:t>
      </w:r>
      <w:r>
        <w:rPr>
          <w:color w:val="231F1F"/>
          <w:spacing w:val="-16"/>
          <w:w w:val="110"/>
        </w:rPr>
        <w:t> </w:t>
      </w:r>
      <w:r>
        <w:rPr>
          <w:color w:val="231F1F"/>
          <w:w w:val="110"/>
        </w:rPr>
        <w:t>de</w:t>
      </w:r>
      <w:r>
        <w:rPr>
          <w:color w:val="231F1F"/>
          <w:spacing w:val="-15"/>
          <w:w w:val="110"/>
        </w:rPr>
        <w:t> </w:t>
      </w:r>
      <w:r>
        <w:rPr>
          <w:color w:val="231F1F"/>
          <w:w w:val="110"/>
        </w:rPr>
        <w:t>conciencia, pero</w:t>
      </w:r>
      <w:r>
        <w:rPr>
          <w:color w:val="231F1F"/>
          <w:w w:val="110"/>
        </w:rPr>
        <w:t> sin</w:t>
      </w:r>
      <w:r>
        <w:rPr>
          <w:color w:val="231F1F"/>
          <w:w w:val="110"/>
        </w:rPr>
        <w:t> diferencias</w:t>
      </w:r>
      <w:r>
        <w:rPr>
          <w:color w:val="231F1F"/>
          <w:w w:val="110"/>
        </w:rPr>
        <w:t> estadísticamente</w:t>
      </w:r>
      <w:r>
        <w:rPr>
          <w:color w:val="231F1F"/>
          <w:w w:val="110"/>
        </w:rPr>
        <w:t> significativas</w:t>
      </w:r>
      <w:r>
        <w:rPr>
          <w:color w:val="231F1F"/>
          <w:w w:val="110"/>
        </w:rPr>
        <w:t> entre</w:t>
      </w:r>
      <w:r>
        <w:rPr>
          <w:color w:val="231F1F"/>
          <w:w w:val="110"/>
        </w:rPr>
        <w:t> diferentes</w:t>
      </w:r>
      <w:r>
        <w:rPr>
          <w:color w:val="231F1F"/>
          <w:w w:val="110"/>
        </w:rPr>
        <w:t> dosis. Tampoco se encontraron diferencias en el test de Apgar y en la evaluación neuroconductal del (RN).</w:t>
      </w:r>
    </w:p>
    <w:p>
      <w:pPr>
        <w:spacing w:line="273" w:lineRule="auto" w:before="124"/>
        <w:ind w:left="529" w:right="223" w:hanging="402"/>
        <w:jc w:val="left"/>
        <w:rPr>
          <w:rFonts w:ascii="Arial MT"/>
          <w:sz w:val="18"/>
        </w:rPr>
      </w:pPr>
      <w:r>
        <w:rPr/>
        <w:br w:type="column"/>
      </w: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2+</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
        <w:rPr>
          <w:rFonts w:ascii="Arial MT"/>
          <w:sz w:val="18"/>
        </w:rPr>
      </w:pPr>
    </w:p>
    <w:p>
      <w:pPr>
        <w:spacing w:line="273" w:lineRule="auto" w:before="0"/>
        <w:ind w:left="529" w:right="223" w:hanging="402"/>
        <w:jc w:val="left"/>
        <w:rPr>
          <w:rFonts w:ascii="Arial MT"/>
          <w:sz w:val="18"/>
        </w:rPr>
      </w:pPr>
      <w:r>
        <w:rPr>
          <w:rFonts w:ascii="Arial MT"/>
          <w:color w:val="231F1F"/>
          <w:spacing w:val="-2"/>
          <w:sz w:val="18"/>
        </w:rPr>
        <w:t>RS</w:t>
      </w:r>
      <w:r>
        <w:rPr>
          <w:rFonts w:ascii="Arial MT"/>
          <w:color w:val="231F1F"/>
          <w:spacing w:val="-23"/>
          <w:sz w:val="18"/>
        </w:rPr>
        <w:t> </w:t>
      </w:r>
      <w:r>
        <w:rPr>
          <w:rFonts w:ascii="Arial MT"/>
          <w:color w:val="231F1F"/>
          <w:spacing w:val="-2"/>
          <w:sz w:val="18"/>
        </w:rPr>
        <w:t>de</w:t>
      </w:r>
      <w:r>
        <w:rPr>
          <w:rFonts w:ascii="Arial MT"/>
          <w:color w:val="231F1F"/>
          <w:spacing w:val="-18"/>
          <w:sz w:val="18"/>
        </w:rPr>
        <w:t> </w:t>
      </w:r>
      <w:r>
        <w:rPr>
          <w:rFonts w:ascii="Arial MT"/>
          <w:color w:val="231F1F"/>
          <w:spacing w:val="-2"/>
          <w:sz w:val="18"/>
        </w:rPr>
        <w:t>ECAs </w:t>
      </w:r>
      <w:r>
        <w:rPr>
          <w:rFonts w:ascii="Arial MT"/>
          <w:color w:val="231F1F"/>
          <w:spacing w:val="-6"/>
          <w:sz w:val="18"/>
        </w:rPr>
        <w:t>2+</w:t>
      </w:r>
    </w:p>
    <w:p>
      <w:pPr>
        <w:spacing w:after="0" w:line="273" w:lineRule="auto"/>
        <w:jc w:val="left"/>
        <w:rPr>
          <w:rFonts w:ascii="Arial MT"/>
          <w:sz w:val="18"/>
        </w:rPr>
        <w:sectPr>
          <w:pgSz w:w="11900" w:h="16840"/>
          <w:pgMar w:header="0" w:footer="622" w:top="1560" w:bottom="820" w:left="1417" w:right="1559"/>
          <w:cols w:num="2" w:equalWidth="0">
            <w:col w:w="7560" w:space="40"/>
            <w:col w:w="1324"/>
          </w:cols>
        </w:sectPr>
      </w:pPr>
    </w:p>
    <w:p>
      <w:pPr>
        <w:pStyle w:val="BodyText"/>
        <w:spacing w:before="82"/>
        <w:rPr>
          <w:rFonts w:ascii="Arial MT"/>
          <w:sz w:val="24"/>
        </w:rPr>
      </w:pPr>
    </w:p>
    <w:p>
      <w:pPr>
        <w:spacing w:before="0"/>
        <w:ind w:left="294" w:right="0" w:firstLine="0"/>
        <w:jc w:val="left"/>
        <w:rPr>
          <w:rFonts w:ascii="Arial MT" w:hAnsi="Arial MT"/>
          <w:sz w:val="24"/>
        </w:rPr>
      </w:pPr>
      <w:r>
        <w:rPr>
          <w:rFonts w:ascii="Arial MT" w:hAnsi="Arial MT"/>
          <w:color w:val="231F1F"/>
          <w:sz w:val="24"/>
        </w:rPr>
        <w:t>Actualización</w:t>
      </w:r>
      <w:r>
        <w:rPr>
          <w:rFonts w:ascii="Arial MT" w:hAnsi="Arial MT"/>
          <w:color w:val="231F1F"/>
          <w:spacing w:val="12"/>
          <w:sz w:val="24"/>
        </w:rPr>
        <w:t> </w:t>
      </w:r>
      <w:r>
        <w:rPr>
          <w:rFonts w:ascii="Arial MT" w:hAnsi="Arial MT"/>
          <w:color w:val="231F1F"/>
          <w:sz w:val="24"/>
        </w:rPr>
        <w:t>(2006</w:t>
      </w:r>
      <w:r>
        <w:rPr>
          <w:rFonts w:ascii="Arial MT" w:hAnsi="Arial MT"/>
          <w:color w:val="231F1F"/>
          <w:spacing w:val="20"/>
          <w:sz w:val="24"/>
        </w:rPr>
        <w:t> </w:t>
      </w:r>
      <w:r>
        <w:rPr>
          <w:rFonts w:ascii="Arial MT" w:hAnsi="Arial MT"/>
          <w:color w:val="231F1F"/>
          <w:sz w:val="24"/>
        </w:rPr>
        <w:t>a</w:t>
      </w:r>
      <w:r>
        <w:rPr>
          <w:rFonts w:ascii="Arial MT" w:hAnsi="Arial MT"/>
          <w:color w:val="231F1F"/>
          <w:spacing w:val="20"/>
          <w:sz w:val="24"/>
        </w:rPr>
        <w:t> </w:t>
      </w:r>
      <w:r>
        <w:rPr>
          <w:rFonts w:ascii="Arial MT" w:hAnsi="Arial MT"/>
          <w:color w:val="231F1F"/>
          <w:sz w:val="24"/>
        </w:rPr>
        <w:t>noviembre</w:t>
      </w:r>
      <w:r>
        <w:rPr>
          <w:rFonts w:ascii="Arial MT" w:hAnsi="Arial MT"/>
          <w:color w:val="231F1F"/>
          <w:spacing w:val="21"/>
          <w:sz w:val="24"/>
        </w:rPr>
        <w:t> </w:t>
      </w:r>
      <w:r>
        <w:rPr>
          <w:rFonts w:ascii="Arial MT" w:hAnsi="Arial MT"/>
          <w:color w:val="231F1F"/>
          <w:sz w:val="24"/>
        </w:rPr>
        <w:t>de</w:t>
      </w:r>
      <w:r>
        <w:rPr>
          <w:rFonts w:ascii="Arial MT" w:hAnsi="Arial MT"/>
          <w:color w:val="231F1F"/>
          <w:spacing w:val="19"/>
          <w:sz w:val="24"/>
        </w:rPr>
        <w:t> </w:t>
      </w:r>
      <w:r>
        <w:rPr>
          <w:rFonts w:ascii="Arial MT" w:hAnsi="Arial MT"/>
          <w:color w:val="231F1F"/>
          <w:spacing w:val="-2"/>
          <w:sz w:val="24"/>
        </w:rPr>
        <w:t>2008)</w:t>
      </w:r>
    </w:p>
    <w:p>
      <w:pPr>
        <w:pStyle w:val="BodyText"/>
        <w:spacing w:line="261" w:lineRule="auto" w:before="228"/>
        <w:ind w:left="294" w:right="1362"/>
        <w:jc w:val="both"/>
      </w:pPr>
      <w:r>
        <w:rPr>
          <w:color w:val="231F1F"/>
        </w:rPr>
        <w:t>Se</w:t>
      </w:r>
      <w:r>
        <w:rPr>
          <w:color w:val="231F1F"/>
          <w:spacing w:val="32"/>
        </w:rPr>
        <w:t> </w:t>
      </w:r>
      <w:r>
        <w:rPr>
          <w:color w:val="231F1F"/>
        </w:rPr>
        <w:t>han</w:t>
      </w:r>
      <w:r>
        <w:rPr>
          <w:color w:val="231F1F"/>
          <w:spacing w:val="32"/>
        </w:rPr>
        <w:t> </w:t>
      </w:r>
      <w:r>
        <w:rPr>
          <w:color w:val="231F1F"/>
        </w:rPr>
        <w:t>encontrado</w:t>
      </w:r>
      <w:r>
        <w:rPr>
          <w:color w:val="231F1F"/>
          <w:spacing w:val="32"/>
        </w:rPr>
        <w:t> </w:t>
      </w:r>
      <w:r>
        <w:rPr>
          <w:color w:val="231F1F"/>
        </w:rPr>
        <w:t>9</w:t>
      </w:r>
      <w:r>
        <w:rPr>
          <w:color w:val="231F1F"/>
          <w:spacing w:val="32"/>
        </w:rPr>
        <w:t> </w:t>
      </w:r>
      <w:r>
        <w:rPr>
          <w:color w:val="231F1F"/>
        </w:rPr>
        <w:t>referencias</w:t>
      </w:r>
      <w:r>
        <w:rPr>
          <w:color w:val="231F1F"/>
          <w:spacing w:val="34"/>
        </w:rPr>
        <w:t> </w:t>
      </w:r>
      <w:r>
        <w:rPr>
          <w:color w:val="231F1F"/>
        </w:rPr>
        <w:t>en</w:t>
      </w:r>
      <w:r>
        <w:rPr>
          <w:color w:val="231F1F"/>
          <w:spacing w:val="32"/>
        </w:rPr>
        <w:t> </w:t>
      </w:r>
      <w:r>
        <w:rPr>
          <w:color w:val="231F1F"/>
        </w:rPr>
        <w:t>la</w:t>
      </w:r>
      <w:r>
        <w:rPr>
          <w:color w:val="231F1F"/>
          <w:spacing w:val="33"/>
        </w:rPr>
        <w:t> </w:t>
      </w:r>
      <w:r>
        <w:rPr>
          <w:color w:val="231F1F"/>
        </w:rPr>
        <w:t>búsqueda,</w:t>
      </w:r>
      <w:r>
        <w:rPr>
          <w:color w:val="231F1F"/>
          <w:spacing w:val="33"/>
        </w:rPr>
        <w:t> </w:t>
      </w:r>
      <w:r>
        <w:rPr>
          <w:color w:val="231F1F"/>
        </w:rPr>
        <w:t>de</w:t>
      </w:r>
      <w:r>
        <w:rPr>
          <w:color w:val="231F1F"/>
          <w:spacing w:val="32"/>
        </w:rPr>
        <w:t> </w:t>
      </w:r>
      <w:r>
        <w:rPr>
          <w:color w:val="231F1F"/>
        </w:rPr>
        <w:t>las</w:t>
      </w:r>
      <w:r>
        <w:rPr>
          <w:color w:val="231F1F"/>
          <w:spacing w:val="33"/>
        </w:rPr>
        <w:t> </w:t>
      </w:r>
      <w:r>
        <w:rPr>
          <w:color w:val="231F1F"/>
        </w:rPr>
        <w:t>que</w:t>
      </w:r>
      <w:r>
        <w:rPr>
          <w:color w:val="231F1F"/>
          <w:spacing w:val="32"/>
        </w:rPr>
        <w:t> </w:t>
      </w:r>
      <w:r>
        <w:rPr>
          <w:color w:val="231F1F"/>
        </w:rPr>
        <w:t>solo</w:t>
      </w:r>
      <w:r>
        <w:rPr>
          <w:color w:val="231F1F"/>
          <w:spacing w:val="33"/>
        </w:rPr>
        <w:t> </w:t>
      </w:r>
      <w:r>
        <w:rPr>
          <w:color w:val="231F1F"/>
        </w:rPr>
        <w:t>se</w:t>
      </w:r>
      <w:r>
        <w:rPr>
          <w:color w:val="231F1F"/>
          <w:spacing w:val="32"/>
        </w:rPr>
        <w:t> </w:t>
      </w:r>
      <w:r>
        <w:rPr>
          <w:color w:val="231F1F"/>
        </w:rPr>
        <w:t>seleccionó una</w:t>
      </w:r>
      <w:r>
        <w:rPr>
          <w:color w:val="231F1F"/>
          <w:spacing w:val="38"/>
        </w:rPr>
        <w:t> </w:t>
      </w:r>
      <w:r>
        <w:rPr>
          <w:color w:val="231F1F"/>
        </w:rPr>
        <w:t>RS</w:t>
      </w:r>
      <w:r>
        <w:rPr>
          <w:color w:val="231F1F"/>
          <w:spacing w:val="38"/>
        </w:rPr>
        <w:t> </w:t>
      </w:r>
      <w:r>
        <w:rPr>
          <w:color w:val="231F1F"/>
        </w:rPr>
        <w:t>para</w:t>
      </w:r>
      <w:r>
        <w:rPr>
          <w:color w:val="231F1F"/>
          <w:spacing w:val="38"/>
        </w:rPr>
        <w:t> </w:t>
      </w:r>
      <w:r>
        <w:rPr>
          <w:color w:val="231F1F"/>
        </w:rPr>
        <w:t>una</w:t>
      </w:r>
      <w:r>
        <w:rPr>
          <w:color w:val="231F1F"/>
          <w:spacing w:val="38"/>
        </w:rPr>
        <w:t> </w:t>
      </w:r>
      <w:r>
        <w:rPr>
          <w:color w:val="231F1F"/>
        </w:rPr>
        <w:t>lectura</w:t>
      </w:r>
      <w:r>
        <w:rPr>
          <w:color w:val="231F1F"/>
          <w:spacing w:val="38"/>
        </w:rPr>
        <w:t> </w:t>
      </w:r>
      <w:r>
        <w:rPr>
          <w:color w:val="231F1F"/>
        </w:rPr>
        <w:t>más</w:t>
      </w:r>
      <w:r>
        <w:rPr>
          <w:color w:val="231F1F"/>
          <w:spacing w:val="38"/>
        </w:rPr>
        <w:t> </w:t>
      </w:r>
      <w:r>
        <w:rPr>
          <w:color w:val="231F1F"/>
        </w:rPr>
        <w:t>amplia,</w:t>
      </w:r>
      <w:r>
        <w:rPr>
          <w:color w:val="231F1F"/>
          <w:spacing w:val="38"/>
        </w:rPr>
        <w:t> </w:t>
      </w:r>
      <w:r>
        <w:rPr>
          <w:color w:val="231F1F"/>
        </w:rPr>
        <w:t>aunque</w:t>
      </w:r>
      <w:r>
        <w:rPr>
          <w:color w:val="231F1F"/>
          <w:spacing w:val="38"/>
        </w:rPr>
        <w:t> </w:t>
      </w:r>
      <w:r>
        <w:rPr>
          <w:color w:val="231F1F"/>
        </w:rPr>
        <w:t>finalmente</w:t>
      </w:r>
      <w:r>
        <w:rPr>
          <w:color w:val="231F1F"/>
          <w:spacing w:val="38"/>
        </w:rPr>
        <w:t> </w:t>
      </w:r>
      <w:r>
        <w:rPr>
          <w:color w:val="231F1F"/>
        </w:rPr>
        <w:t>también</w:t>
      </w:r>
      <w:r>
        <w:rPr>
          <w:color w:val="231F1F"/>
          <w:spacing w:val="38"/>
        </w:rPr>
        <w:t> </w:t>
      </w:r>
      <w:r>
        <w:rPr>
          <w:color w:val="231F1F"/>
        </w:rPr>
        <w:t>fue</w:t>
      </w:r>
      <w:r>
        <w:rPr>
          <w:color w:val="231F1F"/>
          <w:spacing w:val="38"/>
        </w:rPr>
        <w:t> </w:t>
      </w:r>
      <w:r>
        <w:rPr>
          <w:color w:val="231F1F"/>
        </w:rPr>
        <w:t>excluida por</w:t>
      </w:r>
      <w:r>
        <w:rPr>
          <w:color w:val="231F1F"/>
          <w:spacing w:val="40"/>
        </w:rPr>
        <w:t> </w:t>
      </w:r>
      <w:r>
        <w:rPr>
          <w:color w:val="231F1F"/>
        </w:rPr>
        <w:t>no</w:t>
      </w:r>
      <w:r>
        <w:rPr>
          <w:color w:val="231F1F"/>
          <w:spacing w:val="40"/>
        </w:rPr>
        <w:t> </w:t>
      </w:r>
      <w:r>
        <w:rPr>
          <w:color w:val="231F1F"/>
        </w:rPr>
        <w:t>cumplir</w:t>
      </w:r>
      <w:r>
        <w:rPr>
          <w:color w:val="231F1F"/>
          <w:spacing w:val="40"/>
        </w:rPr>
        <w:t> </w:t>
      </w:r>
      <w:r>
        <w:rPr>
          <w:color w:val="231F1F"/>
        </w:rPr>
        <w:t>los</w:t>
      </w:r>
      <w:r>
        <w:rPr>
          <w:color w:val="231F1F"/>
          <w:spacing w:val="40"/>
        </w:rPr>
        <w:t> </w:t>
      </w:r>
      <w:r>
        <w:rPr>
          <w:color w:val="231F1F"/>
        </w:rPr>
        <w:t>criterios</w:t>
      </w:r>
      <w:r>
        <w:rPr>
          <w:color w:val="231F1F"/>
          <w:spacing w:val="40"/>
        </w:rPr>
        <w:t> </w:t>
      </w:r>
      <w:r>
        <w:rPr>
          <w:color w:val="231F1F"/>
        </w:rPr>
        <w:t>de</w:t>
      </w:r>
      <w:r>
        <w:rPr>
          <w:color w:val="231F1F"/>
          <w:spacing w:val="40"/>
        </w:rPr>
        <w:t> </w:t>
      </w:r>
      <w:r>
        <w:rPr>
          <w:color w:val="231F1F"/>
        </w:rPr>
        <w:t>inclusión.</w:t>
      </w:r>
    </w:p>
    <w:p>
      <w:pPr>
        <w:pStyle w:val="BodyText"/>
        <w:spacing w:before="128"/>
        <w:ind w:left="748"/>
        <w:jc w:val="both"/>
      </w:pPr>
      <w:r>
        <w:rPr>
          <w:color w:val="231F1F"/>
          <w:w w:val="110"/>
        </w:rPr>
        <w:t>Ver</w:t>
      </w:r>
      <w:r>
        <w:rPr>
          <w:color w:val="231F1F"/>
          <w:spacing w:val="-13"/>
          <w:w w:val="110"/>
        </w:rPr>
        <w:t> </w:t>
      </w:r>
      <w:r>
        <w:rPr>
          <w:color w:val="231F1F"/>
          <w:w w:val="110"/>
        </w:rPr>
        <w:t>Anexo</w:t>
      </w:r>
      <w:r>
        <w:rPr>
          <w:color w:val="231F1F"/>
          <w:spacing w:val="-10"/>
          <w:w w:val="110"/>
        </w:rPr>
        <w:t> </w:t>
      </w:r>
      <w:r>
        <w:rPr>
          <w:color w:val="231F1F"/>
          <w:spacing w:val="-2"/>
          <w:w w:val="110"/>
        </w:rPr>
        <w:t>2.3.1.</w:t>
      </w:r>
    </w:p>
    <w:p>
      <w:pPr>
        <w:pStyle w:val="BodyText"/>
        <w:spacing w:before="185"/>
      </w:pPr>
    </w:p>
    <w:p>
      <w:pPr>
        <w:spacing w:before="0"/>
        <w:ind w:left="294"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6"/>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301"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68"/>
        <w:gridCol w:w="1138"/>
      </w:tblGrid>
      <w:tr>
        <w:trPr>
          <w:trHeight w:val="959" w:hRule="atLeast"/>
        </w:trPr>
        <w:tc>
          <w:tcPr>
            <w:tcW w:w="7368" w:type="dxa"/>
          </w:tcPr>
          <w:p>
            <w:pPr>
              <w:pStyle w:val="TableParagraph"/>
              <w:spacing w:line="249" w:lineRule="auto" w:before="44"/>
              <w:ind w:right="80"/>
              <w:jc w:val="both"/>
              <w:rPr>
                <w:sz w:val="22"/>
              </w:rPr>
            </w:pPr>
            <w:r>
              <w:rPr>
                <w:color w:val="231F1F"/>
                <w:w w:val="105"/>
                <w:sz w:val="22"/>
              </w:rPr>
              <w:t>El</w:t>
            </w:r>
            <w:r>
              <w:rPr>
                <w:color w:val="231F1F"/>
                <w:w w:val="105"/>
                <w:sz w:val="22"/>
              </w:rPr>
              <w:t> óxido</w:t>
            </w:r>
            <w:r>
              <w:rPr>
                <w:color w:val="231F1F"/>
                <w:w w:val="105"/>
                <w:sz w:val="22"/>
              </w:rPr>
              <w:t> nitroso</w:t>
            </w:r>
            <w:r>
              <w:rPr>
                <w:color w:val="231F1F"/>
                <w:w w:val="105"/>
                <w:sz w:val="22"/>
              </w:rPr>
              <w:t> muestra</w:t>
            </w:r>
            <w:r>
              <w:rPr>
                <w:color w:val="231F1F"/>
                <w:w w:val="105"/>
                <w:sz w:val="22"/>
              </w:rPr>
              <w:t> un</w:t>
            </w:r>
            <w:r>
              <w:rPr>
                <w:color w:val="231F1F"/>
                <w:w w:val="105"/>
                <w:sz w:val="22"/>
              </w:rPr>
              <w:t> moderado</w:t>
            </w:r>
            <w:r>
              <w:rPr>
                <w:color w:val="231F1F"/>
                <w:w w:val="105"/>
                <w:sz w:val="22"/>
              </w:rPr>
              <w:t> alivio</w:t>
            </w:r>
            <w:r>
              <w:rPr>
                <w:color w:val="231F1F"/>
                <w:w w:val="105"/>
                <w:sz w:val="22"/>
              </w:rPr>
              <w:t> del</w:t>
            </w:r>
            <w:r>
              <w:rPr>
                <w:color w:val="231F1F"/>
                <w:w w:val="105"/>
                <w:sz w:val="22"/>
              </w:rPr>
              <w:t> dolor</w:t>
            </w:r>
            <w:r>
              <w:rPr>
                <w:color w:val="231F1F"/>
                <w:w w:val="105"/>
                <w:sz w:val="22"/>
              </w:rPr>
              <w:t> del</w:t>
            </w:r>
            <w:r>
              <w:rPr>
                <w:color w:val="231F1F"/>
                <w:w w:val="105"/>
                <w:sz w:val="22"/>
              </w:rPr>
              <w:t> parto,</w:t>
            </w:r>
            <w:r>
              <w:rPr>
                <w:color w:val="231F1F"/>
                <w:w w:val="105"/>
                <w:sz w:val="22"/>
              </w:rPr>
              <w:t> y</w:t>
            </w:r>
            <w:r>
              <w:rPr>
                <w:color w:val="231F1F"/>
                <w:w w:val="105"/>
                <w:sz w:val="22"/>
              </w:rPr>
              <w:t> puede provocar náuseas, vómitos, ligero aturdimiento y alteración del recuerdo del parto. No</w:t>
            </w:r>
            <w:r>
              <w:rPr>
                <w:color w:val="231F1F"/>
                <w:spacing w:val="40"/>
                <w:w w:val="105"/>
                <w:sz w:val="22"/>
              </w:rPr>
              <w:t> </w:t>
            </w:r>
            <w:r>
              <w:rPr>
                <w:color w:val="231F1F"/>
                <w:w w:val="105"/>
                <w:sz w:val="22"/>
              </w:rPr>
              <w:t>existe</w:t>
            </w:r>
            <w:r>
              <w:rPr>
                <w:color w:val="231F1F"/>
                <w:spacing w:val="40"/>
                <w:w w:val="105"/>
                <w:sz w:val="22"/>
              </w:rPr>
              <w:t> </w:t>
            </w:r>
            <w:r>
              <w:rPr>
                <w:color w:val="231F1F"/>
                <w:w w:val="105"/>
                <w:sz w:val="22"/>
              </w:rPr>
              <w:t>evidencia</w:t>
            </w:r>
            <w:r>
              <w:rPr>
                <w:color w:val="231F1F"/>
                <w:spacing w:val="40"/>
                <w:w w:val="105"/>
                <w:sz w:val="22"/>
              </w:rPr>
              <w:t> </w:t>
            </w:r>
            <w:r>
              <w:rPr>
                <w:color w:val="231F1F"/>
                <w:w w:val="105"/>
                <w:sz w:val="22"/>
              </w:rPr>
              <w:t>sobre</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daño</w:t>
            </w:r>
            <w:r>
              <w:rPr>
                <w:color w:val="231F1F"/>
                <w:spacing w:val="40"/>
                <w:w w:val="105"/>
                <w:sz w:val="22"/>
              </w:rPr>
              <w:t> </w:t>
            </w:r>
            <w:r>
              <w:rPr>
                <w:color w:val="231F1F"/>
                <w:w w:val="105"/>
                <w:sz w:val="22"/>
              </w:rPr>
              <w:t>fetal</w:t>
            </w:r>
            <w:r>
              <w:rPr>
                <w:color w:val="231F1F"/>
                <w:spacing w:val="40"/>
                <w:w w:val="105"/>
                <w:sz w:val="22"/>
              </w:rPr>
              <w:t> </w:t>
            </w:r>
            <w:r>
              <w:rPr>
                <w:color w:val="231F1F"/>
                <w:w w:val="105"/>
                <w:sz w:val="22"/>
              </w:rPr>
              <w:t>(296).</w:t>
            </w:r>
          </w:p>
        </w:tc>
        <w:tc>
          <w:tcPr>
            <w:tcW w:w="1138" w:type="dxa"/>
          </w:tcPr>
          <w:p>
            <w:pPr>
              <w:pStyle w:val="TableParagraph"/>
              <w:spacing w:before="64"/>
              <w:ind w:left="0"/>
              <w:rPr>
                <w:rFonts w:ascii="Arial MT"/>
                <w:sz w:val="22"/>
              </w:rPr>
            </w:pPr>
          </w:p>
          <w:p>
            <w:pPr>
              <w:pStyle w:val="TableParagraph"/>
              <w:ind w:left="24"/>
              <w:jc w:val="center"/>
              <w:rPr>
                <w:sz w:val="22"/>
              </w:rPr>
            </w:pPr>
            <w:r>
              <w:rPr>
                <w:color w:val="231F1F"/>
                <w:spacing w:val="-5"/>
                <w:w w:val="105"/>
                <w:sz w:val="22"/>
              </w:rPr>
              <w:t>2+</w:t>
            </w:r>
          </w:p>
        </w:tc>
      </w:tr>
    </w:tbl>
    <w:p>
      <w:pPr>
        <w:pStyle w:val="BodyText"/>
        <w:spacing w:before="127"/>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59" w:hRule="atLeast"/>
        </w:trPr>
        <w:tc>
          <w:tcPr>
            <w:tcW w:w="456" w:type="dxa"/>
          </w:tcPr>
          <w:p>
            <w:pPr>
              <w:pStyle w:val="TableParagraph"/>
              <w:spacing w:before="64"/>
              <w:ind w:left="0"/>
              <w:rPr>
                <w:rFonts w:ascii="Arial MT"/>
                <w:sz w:val="22"/>
              </w:rPr>
            </w:pPr>
          </w:p>
          <w:p>
            <w:pPr>
              <w:pStyle w:val="TableParagraph"/>
              <w:rPr>
                <w:sz w:val="22"/>
              </w:rPr>
            </w:pPr>
            <w:r>
              <w:rPr>
                <w:color w:val="231F1F"/>
                <w:spacing w:val="-10"/>
                <w:w w:val="110"/>
                <w:sz w:val="22"/>
              </w:rPr>
              <w:t>B</w:t>
            </w:r>
          </w:p>
        </w:tc>
        <w:tc>
          <w:tcPr>
            <w:tcW w:w="8050" w:type="dxa"/>
          </w:tcPr>
          <w:p>
            <w:pPr>
              <w:pStyle w:val="TableParagraph"/>
              <w:spacing w:line="244" w:lineRule="auto" w:before="44"/>
              <w:ind w:right="86"/>
              <w:jc w:val="both"/>
              <w:rPr>
                <w:sz w:val="22"/>
              </w:rPr>
            </w:pPr>
            <w:r>
              <w:rPr>
                <w:color w:val="231F1F"/>
                <w:w w:val="105"/>
                <w:sz w:val="22"/>
              </w:rPr>
              <w:t>Se recomienda la inhalación de oxido nitroso durante el parto como un método de alivio</w:t>
            </w:r>
            <w:r>
              <w:rPr>
                <w:color w:val="231F1F"/>
                <w:w w:val="105"/>
                <w:sz w:val="22"/>
              </w:rPr>
              <w:t> del</w:t>
            </w:r>
            <w:r>
              <w:rPr>
                <w:color w:val="231F1F"/>
                <w:w w:val="105"/>
                <w:sz w:val="22"/>
              </w:rPr>
              <w:t> dolor,</w:t>
            </w:r>
            <w:r>
              <w:rPr>
                <w:color w:val="231F1F"/>
                <w:w w:val="105"/>
                <w:sz w:val="22"/>
              </w:rPr>
              <w:t> informando</w:t>
            </w:r>
            <w:r>
              <w:rPr>
                <w:color w:val="231F1F"/>
                <w:w w:val="105"/>
                <w:sz w:val="22"/>
              </w:rPr>
              <w:t> que</w:t>
            </w:r>
            <w:r>
              <w:rPr>
                <w:color w:val="231F1F"/>
                <w:w w:val="105"/>
                <w:sz w:val="22"/>
              </w:rPr>
              <w:t> su</w:t>
            </w:r>
            <w:r>
              <w:rPr>
                <w:color w:val="231F1F"/>
                <w:w w:val="105"/>
                <w:sz w:val="22"/>
              </w:rPr>
              <w:t> efecto</w:t>
            </w:r>
            <w:r>
              <w:rPr>
                <w:color w:val="231F1F"/>
                <w:w w:val="105"/>
                <w:sz w:val="22"/>
              </w:rPr>
              <w:t> analgésico</w:t>
            </w:r>
            <w:r>
              <w:rPr>
                <w:color w:val="231F1F"/>
                <w:w w:val="105"/>
                <w:sz w:val="22"/>
              </w:rPr>
              <w:t> es</w:t>
            </w:r>
            <w:r>
              <w:rPr>
                <w:color w:val="231F1F"/>
                <w:w w:val="105"/>
                <w:sz w:val="22"/>
              </w:rPr>
              <w:t> moderado</w:t>
            </w:r>
            <w:r>
              <w:rPr>
                <w:color w:val="231F1F"/>
                <w:w w:val="105"/>
                <w:sz w:val="22"/>
              </w:rPr>
              <w:t> y</w:t>
            </w:r>
            <w:r>
              <w:rPr>
                <w:color w:val="231F1F"/>
                <w:w w:val="105"/>
                <w:sz w:val="22"/>
              </w:rPr>
              <w:t> que</w:t>
            </w:r>
            <w:r>
              <w:rPr>
                <w:color w:val="231F1F"/>
                <w:w w:val="105"/>
                <w:sz w:val="22"/>
              </w:rPr>
              <w:t> puede provocar náuseas y vómitos, somnolencia y alteración del recuerdo.</w:t>
            </w:r>
          </w:p>
        </w:tc>
      </w:tr>
    </w:tbl>
    <w:p>
      <w:pPr>
        <w:pStyle w:val="TableParagraph"/>
        <w:spacing w:after="0" w:line="244" w:lineRule="auto"/>
        <w:jc w:val="both"/>
        <w:rPr>
          <w:sz w:val="22"/>
        </w:rPr>
        <w:sectPr>
          <w:type w:val="continuous"/>
          <w:pgSz w:w="11900" w:h="16840"/>
          <w:pgMar w:header="0" w:footer="622" w:top="560" w:bottom="28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Opioides:</w:t>
      </w:r>
      <w:r>
        <w:rPr>
          <w:color w:val="231F1F"/>
          <w:spacing w:val="71"/>
        </w:rPr>
        <w:t> </w:t>
      </w:r>
      <w:r>
        <w:rPr>
          <w:color w:val="231F1F"/>
        </w:rPr>
        <w:t>Petidina,</w:t>
      </w:r>
      <w:r>
        <w:rPr>
          <w:color w:val="231F1F"/>
          <w:spacing w:val="73"/>
        </w:rPr>
        <w:t> </w:t>
      </w:r>
      <w:r>
        <w:rPr>
          <w:color w:val="231F1F"/>
        </w:rPr>
        <w:t>Pentazocina</w:t>
      </w:r>
      <w:r>
        <w:rPr>
          <w:color w:val="231F1F"/>
          <w:spacing w:val="73"/>
        </w:rPr>
        <w:t> </w:t>
      </w:r>
      <w:r>
        <w:rPr>
          <w:color w:val="231F1F"/>
        </w:rPr>
        <w:t>y</w:t>
      </w:r>
      <w:r>
        <w:rPr>
          <w:color w:val="231F1F"/>
          <w:spacing w:val="76"/>
        </w:rPr>
        <w:t> </w:t>
      </w:r>
      <w:r>
        <w:rPr>
          <w:color w:val="231F1F"/>
          <w:spacing w:val="-2"/>
        </w:rPr>
        <w:t>Remifentanilo</w:t>
      </w:r>
    </w:p>
    <w:p>
      <w:pPr>
        <w:pStyle w:val="BodyText"/>
        <w:spacing w:line="244" w:lineRule="auto" w:before="258"/>
        <w:ind w:left="283" w:right="119"/>
        <w:jc w:val="both"/>
      </w:pPr>
      <w:r>
        <w:rPr>
          <w:color w:val="231F1F"/>
          <w:w w:val="105"/>
        </w:rPr>
        <w:t>La </w:t>
      </w:r>
      <w:r>
        <w:rPr>
          <w:b/>
          <w:color w:val="231F1F"/>
          <w:w w:val="105"/>
        </w:rPr>
        <w:t>meperidina </w:t>
      </w:r>
      <w:r>
        <w:rPr>
          <w:color w:val="231F1F"/>
          <w:w w:val="105"/>
        </w:rPr>
        <w:t>o </w:t>
      </w:r>
      <w:r>
        <w:rPr>
          <w:b/>
          <w:color w:val="231F1F"/>
          <w:w w:val="105"/>
        </w:rPr>
        <w:t>petidina </w:t>
      </w:r>
      <w:r>
        <w:rPr>
          <w:color w:val="231F1F"/>
          <w:w w:val="105"/>
        </w:rPr>
        <w:t>es un derivado sintético de la fenilpiperidina. A pesar de su am- plio</w:t>
      </w:r>
      <w:r>
        <w:rPr>
          <w:color w:val="231F1F"/>
          <w:w w:val="105"/>
        </w:rPr>
        <w:t> uso,</w:t>
      </w:r>
      <w:r>
        <w:rPr>
          <w:color w:val="231F1F"/>
          <w:w w:val="105"/>
        </w:rPr>
        <w:t> se</w:t>
      </w:r>
      <w:r>
        <w:rPr>
          <w:color w:val="231F1F"/>
          <w:w w:val="105"/>
        </w:rPr>
        <w:t> ha</w:t>
      </w:r>
      <w:r>
        <w:rPr>
          <w:color w:val="231F1F"/>
          <w:w w:val="105"/>
        </w:rPr>
        <w:t> cuestionado</w:t>
      </w:r>
      <w:r>
        <w:rPr>
          <w:color w:val="231F1F"/>
          <w:w w:val="105"/>
        </w:rPr>
        <w:t> su</w:t>
      </w:r>
      <w:r>
        <w:rPr>
          <w:color w:val="231F1F"/>
          <w:w w:val="105"/>
        </w:rPr>
        <w:t> eficacia</w:t>
      </w:r>
      <w:r>
        <w:rPr>
          <w:color w:val="231F1F"/>
          <w:w w:val="105"/>
        </w:rPr>
        <w:t> y</w:t>
      </w:r>
      <w:r>
        <w:rPr>
          <w:color w:val="231F1F"/>
          <w:w w:val="105"/>
        </w:rPr>
        <w:t> se</w:t>
      </w:r>
      <w:r>
        <w:rPr>
          <w:color w:val="231F1F"/>
          <w:w w:val="105"/>
        </w:rPr>
        <w:t> ha</w:t>
      </w:r>
      <w:r>
        <w:rPr>
          <w:color w:val="231F1F"/>
          <w:w w:val="105"/>
        </w:rPr>
        <w:t> sugerido</w:t>
      </w:r>
      <w:r>
        <w:rPr>
          <w:color w:val="231F1F"/>
          <w:w w:val="105"/>
        </w:rPr>
        <w:t> que</w:t>
      </w:r>
      <w:r>
        <w:rPr>
          <w:color w:val="231F1F"/>
          <w:w w:val="105"/>
        </w:rPr>
        <w:t> su</w:t>
      </w:r>
      <w:r>
        <w:rPr>
          <w:color w:val="231F1F"/>
          <w:w w:val="105"/>
        </w:rPr>
        <w:t> efecto</w:t>
      </w:r>
      <w:r>
        <w:rPr>
          <w:color w:val="231F1F"/>
          <w:w w:val="105"/>
        </w:rPr>
        <w:t> es</w:t>
      </w:r>
      <w:r>
        <w:rPr>
          <w:color w:val="231F1F"/>
          <w:w w:val="105"/>
        </w:rPr>
        <w:t> principalmente sedativo más que analgésico.</w:t>
      </w:r>
    </w:p>
    <w:p>
      <w:pPr>
        <w:pStyle w:val="BodyText"/>
        <w:spacing w:line="261" w:lineRule="auto" w:before="162"/>
        <w:ind w:left="283" w:right="122" w:firstLine="453"/>
        <w:jc w:val="both"/>
      </w:pPr>
      <w:r>
        <w:rPr>
          <w:color w:val="231F1F"/>
        </w:rPr>
        <w:t>La meperidina, como otros opioides, retrasa el vaciamiento gástrico, por lo que incre- menta</w:t>
      </w:r>
      <w:r>
        <w:rPr>
          <w:color w:val="231F1F"/>
          <w:spacing w:val="40"/>
        </w:rPr>
        <w:t> </w:t>
      </w:r>
      <w:r>
        <w:rPr>
          <w:color w:val="231F1F"/>
        </w:rPr>
        <w:t>el</w:t>
      </w:r>
      <w:r>
        <w:rPr>
          <w:color w:val="231F1F"/>
          <w:spacing w:val="40"/>
        </w:rPr>
        <w:t> </w:t>
      </w:r>
      <w:r>
        <w:rPr>
          <w:color w:val="231F1F"/>
        </w:rPr>
        <w:t>volumen</w:t>
      </w:r>
      <w:r>
        <w:rPr>
          <w:color w:val="231F1F"/>
          <w:spacing w:val="40"/>
        </w:rPr>
        <w:t> </w:t>
      </w:r>
      <w:r>
        <w:rPr>
          <w:color w:val="231F1F"/>
        </w:rPr>
        <w:t>gástrico</w:t>
      </w:r>
      <w:r>
        <w:rPr>
          <w:color w:val="231F1F"/>
          <w:spacing w:val="40"/>
        </w:rPr>
        <w:t> </w:t>
      </w:r>
      <w:r>
        <w:rPr>
          <w:color w:val="231F1F"/>
        </w:rPr>
        <w:t>durante</w:t>
      </w:r>
      <w:r>
        <w:rPr>
          <w:color w:val="231F1F"/>
          <w:spacing w:val="40"/>
        </w:rPr>
        <w:t> </w:t>
      </w:r>
      <w:r>
        <w:rPr>
          <w:color w:val="231F1F"/>
        </w:rPr>
        <w:t>el</w:t>
      </w:r>
      <w:r>
        <w:rPr>
          <w:color w:val="231F1F"/>
          <w:spacing w:val="40"/>
        </w:rPr>
        <w:t> </w:t>
      </w:r>
      <w:r>
        <w:rPr>
          <w:color w:val="231F1F"/>
        </w:rPr>
        <w:t>parto.</w:t>
      </w:r>
      <w:r>
        <w:rPr>
          <w:color w:val="231F1F"/>
          <w:spacing w:val="40"/>
        </w:rPr>
        <w:t> </w:t>
      </w:r>
      <w:r>
        <w:rPr>
          <w:color w:val="231F1F"/>
        </w:rPr>
        <w:t>También</w:t>
      </w:r>
      <w:r>
        <w:rPr>
          <w:color w:val="231F1F"/>
          <w:spacing w:val="40"/>
        </w:rPr>
        <w:t> </w:t>
      </w:r>
      <w:r>
        <w:rPr>
          <w:color w:val="231F1F"/>
        </w:rPr>
        <w:t>produce</w:t>
      </w:r>
      <w:r>
        <w:rPr>
          <w:color w:val="231F1F"/>
          <w:spacing w:val="40"/>
        </w:rPr>
        <w:t> </w:t>
      </w:r>
      <w:r>
        <w:rPr>
          <w:color w:val="231F1F"/>
        </w:rPr>
        <w:t>sedación,</w:t>
      </w:r>
      <w:r>
        <w:rPr>
          <w:color w:val="231F1F"/>
          <w:spacing w:val="40"/>
        </w:rPr>
        <w:t> </w:t>
      </w:r>
      <w:r>
        <w:rPr>
          <w:color w:val="231F1F"/>
        </w:rPr>
        <w:t>depresión</w:t>
      </w:r>
      <w:r>
        <w:rPr>
          <w:color w:val="231F1F"/>
          <w:spacing w:val="40"/>
        </w:rPr>
        <w:t> </w:t>
      </w:r>
      <w:r>
        <w:rPr>
          <w:color w:val="231F1F"/>
        </w:rPr>
        <w:t>respi- ratoria</w:t>
      </w:r>
      <w:r>
        <w:rPr>
          <w:color w:val="231F1F"/>
          <w:spacing w:val="40"/>
        </w:rPr>
        <w:t> </w:t>
      </w:r>
      <w:r>
        <w:rPr>
          <w:color w:val="231F1F"/>
        </w:rPr>
        <w:t>dosis-dependiente</w:t>
      </w:r>
      <w:r>
        <w:rPr>
          <w:color w:val="231F1F"/>
          <w:spacing w:val="40"/>
        </w:rPr>
        <w:t> </w:t>
      </w:r>
      <w:r>
        <w:rPr>
          <w:color w:val="231F1F"/>
        </w:rPr>
        <w:t>y</w:t>
      </w:r>
      <w:r>
        <w:rPr>
          <w:color w:val="231F1F"/>
          <w:spacing w:val="40"/>
        </w:rPr>
        <w:t> </w:t>
      </w:r>
      <w:r>
        <w:rPr>
          <w:color w:val="231F1F"/>
        </w:rPr>
        <w:t>su</w:t>
      </w:r>
      <w:r>
        <w:rPr>
          <w:color w:val="231F1F"/>
          <w:spacing w:val="40"/>
        </w:rPr>
        <w:t> </w:t>
      </w:r>
      <w:r>
        <w:rPr>
          <w:color w:val="231F1F"/>
        </w:rPr>
        <w:t>metabolito,</w:t>
      </w:r>
      <w:r>
        <w:rPr>
          <w:color w:val="231F1F"/>
          <w:spacing w:val="40"/>
        </w:rPr>
        <w:t> </w:t>
      </w:r>
      <w:r>
        <w:rPr>
          <w:color w:val="231F1F"/>
        </w:rPr>
        <w:t>la</w:t>
      </w:r>
      <w:r>
        <w:rPr>
          <w:color w:val="231F1F"/>
          <w:spacing w:val="40"/>
        </w:rPr>
        <w:t> </w:t>
      </w:r>
      <w:r>
        <w:rPr>
          <w:color w:val="231F1F"/>
        </w:rPr>
        <w:t>normeperidina,</w:t>
      </w:r>
      <w:r>
        <w:rPr>
          <w:color w:val="231F1F"/>
          <w:spacing w:val="40"/>
        </w:rPr>
        <w:t> </w:t>
      </w:r>
      <w:r>
        <w:rPr>
          <w:color w:val="231F1F"/>
        </w:rPr>
        <w:t>tiene</w:t>
      </w:r>
      <w:r>
        <w:rPr>
          <w:color w:val="231F1F"/>
          <w:spacing w:val="40"/>
        </w:rPr>
        <w:t> </w:t>
      </w:r>
      <w:r>
        <w:rPr>
          <w:color w:val="231F1F"/>
        </w:rPr>
        <w:t>efectos</w:t>
      </w:r>
      <w:r>
        <w:rPr>
          <w:color w:val="231F1F"/>
          <w:spacing w:val="40"/>
        </w:rPr>
        <w:t> </w:t>
      </w:r>
      <w:r>
        <w:rPr>
          <w:color w:val="231F1F"/>
        </w:rPr>
        <w:t>convulsivantes.</w:t>
      </w:r>
    </w:p>
    <w:p>
      <w:pPr>
        <w:pStyle w:val="BodyText"/>
        <w:spacing w:line="249" w:lineRule="auto" w:before="123"/>
        <w:ind w:left="283" w:right="119" w:firstLine="453"/>
        <w:jc w:val="both"/>
      </w:pPr>
      <w:r>
        <w:rPr>
          <w:color w:val="231F1F"/>
          <w:spacing w:val="-2"/>
          <w:w w:val="110"/>
        </w:rPr>
        <w:t>La</w:t>
      </w:r>
      <w:r>
        <w:rPr>
          <w:color w:val="231F1F"/>
          <w:spacing w:val="-6"/>
          <w:w w:val="110"/>
        </w:rPr>
        <w:t> </w:t>
      </w:r>
      <w:r>
        <w:rPr>
          <w:color w:val="231F1F"/>
          <w:spacing w:val="-2"/>
          <w:w w:val="110"/>
        </w:rPr>
        <w:t>meperidina</w:t>
      </w:r>
      <w:r>
        <w:rPr>
          <w:color w:val="231F1F"/>
          <w:spacing w:val="-6"/>
          <w:w w:val="110"/>
        </w:rPr>
        <w:t> </w:t>
      </w:r>
      <w:r>
        <w:rPr>
          <w:color w:val="231F1F"/>
          <w:spacing w:val="-2"/>
          <w:w w:val="110"/>
        </w:rPr>
        <w:t>atraviesa</w:t>
      </w:r>
      <w:r>
        <w:rPr>
          <w:color w:val="231F1F"/>
          <w:spacing w:val="-7"/>
          <w:w w:val="110"/>
        </w:rPr>
        <w:t> </w:t>
      </w:r>
      <w:r>
        <w:rPr>
          <w:color w:val="231F1F"/>
          <w:spacing w:val="-2"/>
          <w:w w:val="110"/>
        </w:rPr>
        <w:t>la</w:t>
      </w:r>
      <w:r>
        <w:rPr>
          <w:color w:val="231F1F"/>
          <w:spacing w:val="-7"/>
          <w:w w:val="110"/>
        </w:rPr>
        <w:t> </w:t>
      </w:r>
      <w:r>
        <w:rPr>
          <w:color w:val="231F1F"/>
          <w:spacing w:val="-2"/>
          <w:w w:val="110"/>
        </w:rPr>
        <w:t>barrera</w:t>
      </w:r>
      <w:r>
        <w:rPr>
          <w:color w:val="231F1F"/>
          <w:spacing w:val="-7"/>
          <w:w w:val="110"/>
        </w:rPr>
        <w:t> </w:t>
      </w:r>
      <w:r>
        <w:rPr>
          <w:color w:val="231F1F"/>
          <w:spacing w:val="-2"/>
          <w:w w:val="110"/>
        </w:rPr>
        <w:t>placentaria</w:t>
      </w:r>
      <w:r>
        <w:rPr>
          <w:color w:val="231F1F"/>
          <w:spacing w:val="-7"/>
          <w:w w:val="110"/>
        </w:rPr>
        <w:t> </w:t>
      </w:r>
      <w:r>
        <w:rPr>
          <w:color w:val="231F1F"/>
          <w:spacing w:val="-2"/>
          <w:w w:val="110"/>
        </w:rPr>
        <w:t>y</w:t>
      </w:r>
      <w:r>
        <w:rPr>
          <w:color w:val="231F1F"/>
          <w:spacing w:val="-6"/>
          <w:w w:val="110"/>
        </w:rPr>
        <w:t> </w:t>
      </w:r>
      <w:r>
        <w:rPr>
          <w:color w:val="231F1F"/>
          <w:spacing w:val="-2"/>
          <w:w w:val="110"/>
        </w:rPr>
        <w:t>sus</w:t>
      </w:r>
      <w:r>
        <w:rPr>
          <w:color w:val="231F1F"/>
          <w:spacing w:val="-7"/>
          <w:w w:val="110"/>
        </w:rPr>
        <w:t> </w:t>
      </w:r>
      <w:r>
        <w:rPr>
          <w:color w:val="231F1F"/>
          <w:spacing w:val="-2"/>
          <w:w w:val="110"/>
        </w:rPr>
        <w:t>efectos</w:t>
      </w:r>
      <w:r>
        <w:rPr>
          <w:color w:val="231F1F"/>
          <w:spacing w:val="-7"/>
          <w:w w:val="110"/>
        </w:rPr>
        <w:t> </w:t>
      </w:r>
      <w:r>
        <w:rPr>
          <w:color w:val="231F1F"/>
          <w:spacing w:val="-2"/>
          <w:w w:val="110"/>
        </w:rPr>
        <w:t>sobre</w:t>
      </w:r>
      <w:r>
        <w:rPr>
          <w:color w:val="231F1F"/>
          <w:spacing w:val="-7"/>
          <w:w w:val="110"/>
        </w:rPr>
        <w:t> </w:t>
      </w:r>
      <w:r>
        <w:rPr>
          <w:color w:val="231F1F"/>
          <w:spacing w:val="-2"/>
          <w:w w:val="110"/>
        </w:rPr>
        <w:t>el</w:t>
      </w:r>
      <w:r>
        <w:rPr>
          <w:color w:val="231F1F"/>
          <w:spacing w:val="-7"/>
          <w:w w:val="110"/>
        </w:rPr>
        <w:t> </w:t>
      </w:r>
      <w:r>
        <w:rPr>
          <w:color w:val="231F1F"/>
          <w:spacing w:val="-2"/>
          <w:w w:val="110"/>
        </w:rPr>
        <w:t>feto</w:t>
      </w:r>
      <w:r>
        <w:rPr>
          <w:color w:val="231F1F"/>
          <w:spacing w:val="-6"/>
          <w:w w:val="110"/>
        </w:rPr>
        <w:t> </w:t>
      </w:r>
      <w:r>
        <w:rPr>
          <w:color w:val="231F1F"/>
          <w:spacing w:val="-2"/>
          <w:w w:val="110"/>
        </w:rPr>
        <w:t>dependen</w:t>
      </w:r>
      <w:r>
        <w:rPr>
          <w:color w:val="231F1F"/>
          <w:spacing w:val="-7"/>
          <w:w w:val="110"/>
        </w:rPr>
        <w:t> </w:t>
      </w:r>
      <w:r>
        <w:rPr>
          <w:color w:val="231F1F"/>
          <w:spacing w:val="-2"/>
          <w:w w:val="110"/>
        </w:rPr>
        <w:t>de </w:t>
      </w:r>
      <w:r>
        <w:rPr>
          <w:color w:val="231F1F"/>
          <w:w w:val="110"/>
        </w:rPr>
        <w:t>la</w:t>
      </w:r>
      <w:r>
        <w:rPr>
          <w:color w:val="231F1F"/>
          <w:spacing w:val="-7"/>
          <w:w w:val="110"/>
        </w:rPr>
        <w:t> </w:t>
      </w:r>
      <w:r>
        <w:rPr>
          <w:color w:val="231F1F"/>
          <w:w w:val="110"/>
        </w:rPr>
        <w:t>dosis</w:t>
      </w:r>
      <w:r>
        <w:rPr>
          <w:color w:val="231F1F"/>
          <w:spacing w:val="-8"/>
          <w:w w:val="110"/>
        </w:rPr>
        <w:t> </w:t>
      </w:r>
      <w:r>
        <w:rPr>
          <w:color w:val="231F1F"/>
          <w:w w:val="110"/>
        </w:rPr>
        <w:t>y</w:t>
      </w:r>
      <w:r>
        <w:rPr>
          <w:color w:val="231F1F"/>
          <w:spacing w:val="-7"/>
          <w:w w:val="110"/>
        </w:rPr>
        <w:t> </w:t>
      </w:r>
      <w:r>
        <w:rPr>
          <w:color w:val="231F1F"/>
          <w:w w:val="110"/>
        </w:rPr>
        <w:t>del</w:t>
      </w:r>
      <w:r>
        <w:rPr>
          <w:color w:val="231F1F"/>
          <w:spacing w:val="-8"/>
          <w:w w:val="110"/>
        </w:rPr>
        <w:t> </w:t>
      </w:r>
      <w:r>
        <w:rPr>
          <w:color w:val="231F1F"/>
          <w:w w:val="110"/>
        </w:rPr>
        <w:t>momento</w:t>
      </w:r>
      <w:r>
        <w:rPr>
          <w:color w:val="231F1F"/>
          <w:spacing w:val="-7"/>
          <w:w w:val="110"/>
        </w:rPr>
        <w:t> </w:t>
      </w:r>
      <w:r>
        <w:rPr>
          <w:color w:val="231F1F"/>
          <w:w w:val="110"/>
        </w:rPr>
        <w:t>de</w:t>
      </w:r>
      <w:r>
        <w:rPr>
          <w:color w:val="231F1F"/>
          <w:spacing w:val="-8"/>
          <w:w w:val="110"/>
        </w:rPr>
        <w:t> </w:t>
      </w:r>
      <w:r>
        <w:rPr>
          <w:color w:val="231F1F"/>
          <w:w w:val="110"/>
        </w:rPr>
        <w:t>la</w:t>
      </w:r>
      <w:r>
        <w:rPr>
          <w:color w:val="231F1F"/>
          <w:spacing w:val="-7"/>
          <w:w w:val="110"/>
        </w:rPr>
        <w:t> </w:t>
      </w:r>
      <w:r>
        <w:rPr>
          <w:color w:val="231F1F"/>
          <w:w w:val="110"/>
        </w:rPr>
        <w:t>administración.</w:t>
      </w:r>
      <w:r>
        <w:rPr>
          <w:color w:val="231F1F"/>
          <w:spacing w:val="-8"/>
          <w:w w:val="110"/>
        </w:rPr>
        <w:t> </w:t>
      </w:r>
      <w:r>
        <w:rPr>
          <w:color w:val="231F1F"/>
          <w:w w:val="110"/>
        </w:rPr>
        <w:t>Las</w:t>
      </w:r>
      <w:r>
        <w:rPr>
          <w:color w:val="231F1F"/>
          <w:spacing w:val="-8"/>
          <w:w w:val="110"/>
        </w:rPr>
        <w:t> </w:t>
      </w:r>
      <w:r>
        <w:rPr>
          <w:color w:val="231F1F"/>
          <w:w w:val="110"/>
        </w:rPr>
        <w:t>concentraciones</w:t>
      </w:r>
      <w:r>
        <w:rPr>
          <w:color w:val="231F1F"/>
          <w:spacing w:val="-7"/>
          <w:w w:val="110"/>
        </w:rPr>
        <w:t> </w:t>
      </w:r>
      <w:r>
        <w:rPr>
          <w:color w:val="231F1F"/>
          <w:w w:val="110"/>
        </w:rPr>
        <w:t>más</w:t>
      </w:r>
      <w:r>
        <w:rPr>
          <w:color w:val="231F1F"/>
          <w:spacing w:val="-8"/>
          <w:w w:val="110"/>
        </w:rPr>
        <w:t> </w:t>
      </w:r>
      <w:r>
        <w:rPr>
          <w:color w:val="231F1F"/>
          <w:w w:val="110"/>
        </w:rPr>
        <w:t>altas</w:t>
      </w:r>
      <w:r>
        <w:rPr>
          <w:color w:val="231F1F"/>
          <w:spacing w:val="-8"/>
          <w:w w:val="110"/>
        </w:rPr>
        <w:t> </w:t>
      </w:r>
      <w:r>
        <w:rPr>
          <w:color w:val="231F1F"/>
          <w:w w:val="110"/>
        </w:rPr>
        <w:t>en</w:t>
      </w:r>
      <w:r>
        <w:rPr>
          <w:color w:val="231F1F"/>
          <w:spacing w:val="-7"/>
          <w:w w:val="110"/>
        </w:rPr>
        <w:t> </w:t>
      </w:r>
      <w:r>
        <w:rPr>
          <w:color w:val="231F1F"/>
          <w:w w:val="110"/>
        </w:rPr>
        <w:t>el</w:t>
      </w:r>
      <w:r>
        <w:rPr>
          <w:color w:val="231F1F"/>
          <w:spacing w:val="-8"/>
          <w:w w:val="110"/>
        </w:rPr>
        <w:t> </w:t>
      </w:r>
      <w:r>
        <w:rPr>
          <w:color w:val="231F1F"/>
          <w:w w:val="110"/>
        </w:rPr>
        <w:t>plasma </w:t>
      </w:r>
      <w:r>
        <w:rPr>
          <w:color w:val="231F1F"/>
          <w:spacing w:val="-2"/>
          <w:w w:val="110"/>
        </w:rPr>
        <w:t>fetal</w:t>
      </w:r>
      <w:r>
        <w:rPr>
          <w:color w:val="231F1F"/>
          <w:spacing w:val="-8"/>
          <w:w w:val="110"/>
        </w:rPr>
        <w:t> </w:t>
      </w:r>
      <w:r>
        <w:rPr>
          <w:color w:val="231F1F"/>
          <w:spacing w:val="-2"/>
          <w:w w:val="110"/>
        </w:rPr>
        <w:t>ocurren</w:t>
      </w:r>
      <w:r>
        <w:rPr>
          <w:color w:val="231F1F"/>
          <w:spacing w:val="-8"/>
          <w:w w:val="110"/>
        </w:rPr>
        <w:t> </w:t>
      </w:r>
      <w:r>
        <w:rPr>
          <w:color w:val="231F1F"/>
          <w:spacing w:val="-2"/>
          <w:w w:val="110"/>
        </w:rPr>
        <w:t>2-3</w:t>
      </w:r>
      <w:r>
        <w:rPr>
          <w:color w:val="231F1F"/>
          <w:spacing w:val="-8"/>
          <w:w w:val="110"/>
        </w:rPr>
        <w:t> </w:t>
      </w:r>
      <w:r>
        <w:rPr>
          <w:color w:val="231F1F"/>
          <w:spacing w:val="-2"/>
          <w:w w:val="110"/>
        </w:rPr>
        <w:t>horas</w:t>
      </w:r>
      <w:r>
        <w:rPr>
          <w:color w:val="231F1F"/>
          <w:spacing w:val="-8"/>
          <w:w w:val="110"/>
        </w:rPr>
        <w:t> </w:t>
      </w:r>
      <w:r>
        <w:rPr>
          <w:color w:val="231F1F"/>
          <w:spacing w:val="-2"/>
          <w:w w:val="110"/>
        </w:rPr>
        <w:t>después</w:t>
      </w:r>
      <w:r>
        <w:rPr>
          <w:color w:val="231F1F"/>
          <w:spacing w:val="-8"/>
          <w:w w:val="110"/>
        </w:rPr>
        <w:t> </w:t>
      </w:r>
      <w:r>
        <w:rPr>
          <w:color w:val="231F1F"/>
          <w:spacing w:val="-2"/>
          <w:w w:val="110"/>
        </w:rPr>
        <w:t>de</w:t>
      </w:r>
      <w:r>
        <w:rPr>
          <w:color w:val="231F1F"/>
          <w:spacing w:val="-8"/>
          <w:w w:val="110"/>
        </w:rPr>
        <w:t> </w:t>
      </w:r>
      <w:r>
        <w:rPr>
          <w:color w:val="231F1F"/>
          <w:spacing w:val="-2"/>
          <w:w w:val="110"/>
        </w:rPr>
        <w:t>la</w:t>
      </w:r>
      <w:r>
        <w:rPr>
          <w:color w:val="231F1F"/>
          <w:spacing w:val="-8"/>
          <w:w w:val="110"/>
        </w:rPr>
        <w:t> </w:t>
      </w:r>
      <w:r>
        <w:rPr>
          <w:color w:val="231F1F"/>
          <w:spacing w:val="-2"/>
          <w:w w:val="110"/>
        </w:rPr>
        <w:t>administración</w:t>
      </w:r>
      <w:r>
        <w:rPr>
          <w:color w:val="231F1F"/>
          <w:spacing w:val="-8"/>
          <w:w w:val="110"/>
        </w:rPr>
        <w:t> </w:t>
      </w:r>
      <w:r>
        <w:rPr>
          <w:color w:val="231F1F"/>
          <w:spacing w:val="-2"/>
          <w:w w:val="110"/>
        </w:rPr>
        <w:t>intramuscular</w:t>
      </w:r>
      <w:r>
        <w:rPr>
          <w:color w:val="231F1F"/>
          <w:spacing w:val="-8"/>
          <w:w w:val="110"/>
        </w:rPr>
        <w:t> </w:t>
      </w:r>
      <w:r>
        <w:rPr>
          <w:color w:val="231F1F"/>
          <w:spacing w:val="-2"/>
          <w:w w:val="110"/>
        </w:rPr>
        <w:t>a</w:t>
      </w:r>
      <w:r>
        <w:rPr>
          <w:color w:val="231F1F"/>
          <w:spacing w:val="-8"/>
          <w:w w:val="110"/>
        </w:rPr>
        <w:t> </w:t>
      </w:r>
      <w:r>
        <w:rPr>
          <w:color w:val="231F1F"/>
          <w:spacing w:val="-2"/>
          <w:w w:val="110"/>
        </w:rPr>
        <w:t>la</w:t>
      </w:r>
      <w:r>
        <w:rPr>
          <w:color w:val="231F1F"/>
          <w:spacing w:val="-8"/>
          <w:w w:val="110"/>
        </w:rPr>
        <w:t> </w:t>
      </w:r>
      <w:r>
        <w:rPr>
          <w:color w:val="231F1F"/>
          <w:spacing w:val="-2"/>
          <w:w w:val="110"/>
        </w:rPr>
        <w:t>madre.</w:t>
      </w:r>
      <w:r>
        <w:rPr>
          <w:color w:val="231F1F"/>
          <w:spacing w:val="-8"/>
          <w:w w:val="110"/>
        </w:rPr>
        <w:t> </w:t>
      </w:r>
      <w:r>
        <w:rPr>
          <w:color w:val="231F1F"/>
          <w:spacing w:val="-2"/>
          <w:w w:val="110"/>
        </w:rPr>
        <w:t>Los</w:t>
      </w:r>
      <w:r>
        <w:rPr>
          <w:color w:val="231F1F"/>
          <w:spacing w:val="-8"/>
          <w:w w:val="110"/>
        </w:rPr>
        <w:t> </w:t>
      </w:r>
      <w:r>
        <w:rPr>
          <w:color w:val="231F1F"/>
          <w:spacing w:val="-2"/>
          <w:w w:val="110"/>
        </w:rPr>
        <w:t>efectos </w:t>
      </w:r>
      <w:r>
        <w:rPr>
          <w:color w:val="231F1F"/>
          <w:w w:val="110"/>
        </w:rPr>
        <w:t>neonatales se ven agravados por la normeperidina que causa más sedación y depresión </w:t>
      </w:r>
      <w:r>
        <w:rPr>
          <w:color w:val="231F1F"/>
          <w:spacing w:val="-2"/>
          <w:w w:val="110"/>
        </w:rPr>
        <w:t>respiratoria.</w:t>
      </w:r>
    </w:p>
    <w:p>
      <w:pPr>
        <w:pStyle w:val="BodyText"/>
        <w:spacing w:line="244" w:lineRule="auto" w:before="134"/>
        <w:ind w:left="283" w:right="123" w:firstLine="453"/>
        <w:jc w:val="both"/>
      </w:pPr>
      <w:r>
        <w:rPr>
          <w:color w:val="231F1F"/>
        </w:rPr>
        <w:t>A pesar de tales desventajas, la meperidina sigue siendo popular en muchas unidades </w:t>
      </w:r>
      <w:r>
        <w:rPr>
          <w:color w:val="231F1F"/>
          <w:w w:val="110"/>
        </w:rPr>
        <w:t>obstétricas</w:t>
      </w:r>
      <w:r>
        <w:rPr>
          <w:color w:val="231F1F"/>
          <w:spacing w:val="-11"/>
          <w:w w:val="110"/>
        </w:rPr>
        <w:t> </w:t>
      </w:r>
      <w:r>
        <w:rPr>
          <w:color w:val="231F1F"/>
          <w:w w:val="110"/>
        </w:rPr>
        <w:t>ya</w:t>
      </w:r>
      <w:r>
        <w:rPr>
          <w:color w:val="231F1F"/>
          <w:spacing w:val="-11"/>
          <w:w w:val="110"/>
        </w:rPr>
        <w:t> </w:t>
      </w:r>
      <w:r>
        <w:rPr>
          <w:color w:val="231F1F"/>
          <w:w w:val="110"/>
        </w:rPr>
        <w:t>que</w:t>
      </w:r>
      <w:r>
        <w:rPr>
          <w:color w:val="231F1F"/>
          <w:spacing w:val="-11"/>
          <w:w w:val="110"/>
        </w:rPr>
        <w:t> </w:t>
      </w:r>
      <w:r>
        <w:rPr>
          <w:color w:val="231F1F"/>
          <w:w w:val="110"/>
        </w:rPr>
        <w:t>es</w:t>
      </w:r>
      <w:r>
        <w:rPr>
          <w:color w:val="231F1F"/>
          <w:spacing w:val="-11"/>
          <w:w w:val="110"/>
        </w:rPr>
        <w:t> </w:t>
      </w:r>
      <w:r>
        <w:rPr>
          <w:color w:val="231F1F"/>
          <w:w w:val="110"/>
        </w:rPr>
        <w:t>fácil</w:t>
      </w:r>
      <w:r>
        <w:rPr>
          <w:color w:val="231F1F"/>
          <w:spacing w:val="-12"/>
          <w:w w:val="110"/>
        </w:rPr>
        <w:t> </w:t>
      </w:r>
      <w:r>
        <w:rPr>
          <w:color w:val="231F1F"/>
          <w:w w:val="110"/>
        </w:rPr>
        <w:t>de</w:t>
      </w:r>
      <w:r>
        <w:rPr>
          <w:color w:val="231F1F"/>
          <w:spacing w:val="-11"/>
          <w:w w:val="110"/>
        </w:rPr>
        <w:t> </w:t>
      </w:r>
      <w:r>
        <w:rPr>
          <w:color w:val="231F1F"/>
          <w:w w:val="110"/>
        </w:rPr>
        <w:t>administrar</w:t>
      </w:r>
      <w:r>
        <w:rPr>
          <w:color w:val="231F1F"/>
          <w:spacing w:val="-12"/>
          <w:w w:val="110"/>
        </w:rPr>
        <w:t> </w:t>
      </w:r>
      <w:r>
        <w:rPr>
          <w:color w:val="231F1F"/>
          <w:w w:val="110"/>
        </w:rPr>
        <w:t>y,</w:t>
      </w:r>
      <w:r>
        <w:rPr>
          <w:color w:val="231F1F"/>
          <w:spacing w:val="-12"/>
          <w:w w:val="110"/>
        </w:rPr>
        <w:t> </w:t>
      </w:r>
      <w:r>
        <w:rPr>
          <w:color w:val="231F1F"/>
          <w:w w:val="110"/>
        </w:rPr>
        <w:t>por</w:t>
      </w:r>
      <w:r>
        <w:rPr>
          <w:color w:val="231F1F"/>
          <w:spacing w:val="-11"/>
          <w:w w:val="110"/>
        </w:rPr>
        <w:t> </w:t>
      </w:r>
      <w:r>
        <w:rPr>
          <w:color w:val="231F1F"/>
          <w:w w:val="110"/>
        </w:rPr>
        <w:t>lo</w:t>
      </w:r>
      <w:r>
        <w:rPr>
          <w:color w:val="231F1F"/>
          <w:spacing w:val="-11"/>
          <w:w w:val="110"/>
        </w:rPr>
        <w:t> </w:t>
      </w:r>
      <w:r>
        <w:rPr>
          <w:color w:val="231F1F"/>
          <w:w w:val="110"/>
        </w:rPr>
        <w:t>tanto,</w:t>
      </w:r>
      <w:r>
        <w:rPr>
          <w:color w:val="231F1F"/>
          <w:spacing w:val="-12"/>
          <w:w w:val="110"/>
        </w:rPr>
        <w:t> </w:t>
      </w:r>
      <w:r>
        <w:rPr>
          <w:color w:val="231F1F"/>
          <w:w w:val="110"/>
        </w:rPr>
        <w:t>constituye</w:t>
      </w:r>
      <w:r>
        <w:rPr>
          <w:color w:val="231F1F"/>
          <w:spacing w:val="-11"/>
          <w:w w:val="110"/>
        </w:rPr>
        <w:t> </w:t>
      </w:r>
      <w:r>
        <w:rPr>
          <w:color w:val="231F1F"/>
          <w:w w:val="110"/>
        </w:rPr>
        <w:t>una</w:t>
      </w:r>
      <w:r>
        <w:rPr>
          <w:color w:val="231F1F"/>
          <w:spacing w:val="-11"/>
          <w:w w:val="110"/>
        </w:rPr>
        <w:t> </w:t>
      </w:r>
      <w:r>
        <w:rPr>
          <w:color w:val="231F1F"/>
          <w:w w:val="110"/>
        </w:rPr>
        <w:t>modalidad</w:t>
      </w:r>
      <w:r>
        <w:rPr>
          <w:color w:val="231F1F"/>
          <w:spacing w:val="-11"/>
          <w:w w:val="110"/>
        </w:rPr>
        <w:t> </w:t>
      </w:r>
      <w:r>
        <w:rPr>
          <w:color w:val="231F1F"/>
          <w:w w:val="110"/>
        </w:rPr>
        <w:t>útil</w:t>
      </w:r>
      <w:r>
        <w:rPr>
          <w:color w:val="231F1F"/>
          <w:spacing w:val="-12"/>
          <w:w w:val="110"/>
        </w:rPr>
        <w:t> </w:t>
      </w:r>
      <w:r>
        <w:rPr>
          <w:color w:val="231F1F"/>
          <w:w w:val="110"/>
        </w:rPr>
        <w:t>de analgesia cuando otros métodos están contraindicados o no disponibles.</w:t>
      </w:r>
    </w:p>
    <w:p>
      <w:pPr>
        <w:pStyle w:val="BodyText"/>
        <w:spacing w:line="252" w:lineRule="auto" w:before="138"/>
        <w:ind w:left="283" w:right="114" w:firstLine="453"/>
        <w:jc w:val="both"/>
      </w:pPr>
      <w:r>
        <w:rPr>
          <w:color w:val="231F1F"/>
          <w:w w:val="110"/>
        </w:rPr>
        <w:t>Cuando</w:t>
      </w:r>
      <w:r>
        <w:rPr>
          <w:color w:val="231F1F"/>
          <w:spacing w:val="-4"/>
          <w:w w:val="110"/>
        </w:rPr>
        <w:t> </w:t>
      </w:r>
      <w:r>
        <w:rPr>
          <w:color w:val="231F1F"/>
          <w:w w:val="110"/>
        </w:rPr>
        <w:t>la</w:t>
      </w:r>
      <w:r>
        <w:rPr>
          <w:color w:val="231F1F"/>
          <w:spacing w:val="-4"/>
          <w:w w:val="110"/>
        </w:rPr>
        <w:t> </w:t>
      </w:r>
      <w:r>
        <w:rPr>
          <w:color w:val="231F1F"/>
          <w:w w:val="110"/>
        </w:rPr>
        <w:t>analgesia</w:t>
      </w:r>
      <w:r>
        <w:rPr>
          <w:color w:val="231F1F"/>
          <w:spacing w:val="-4"/>
          <w:w w:val="110"/>
        </w:rPr>
        <w:t> </w:t>
      </w:r>
      <w:r>
        <w:rPr>
          <w:color w:val="231F1F"/>
          <w:w w:val="110"/>
        </w:rPr>
        <w:t>regional</w:t>
      </w:r>
      <w:r>
        <w:rPr>
          <w:color w:val="231F1F"/>
          <w:spacing w:val="-4"/>
          <w:w w:val="110"/>
        </w:rPr>
        <w:t> </w:t>
      </w:r>
      <w:r>
        <w:rPr>
          <w:color w:val="231F1F"/>
          <w:w w:val="110"/>
        </w:rPr>
        <w:t>está</w:t>
      </w:r>
      <w:r>
        <w:rPr>
          <w:color w:val="231F1F"/>
          <w:spacing w:val="-4"/>
          <w:w w:val="110"/>
        </w:rPr>
        <w:t> </w:t>
      </w:r>
      <w:r>
        <w:rPr>
          <w:color w:val="231F1F"/>
          <w:w w:val="110"/>
        </w:rPr>
        <w:t>contraindicada</w:t>
      </w:r>
      <w:r>
        <w:rPr>
          <w:color w:val="231F1F"/>
          <w:spacing w:val="-4"/>
          <w:w w:val="110"/>
        </w:rPr>
        <w:t> </w:t>
      </w:r>
      <w:r>
        <w:rPr>
          <w:color w:val="231F1F"/>
          <w:w w:val="110"/>
        </w:rPr>
        <w:t>o</w:t>
      </w:r>
      <w:r>
        <w:rPr>
          <w:color w:val="231F1F"/>
          <w:spacing w:val="-4"/>
          <w:w w:val="110"/>
        </w:rPr>
        <w:t> </w:t>
      </w:r>
      <w:r>
        <w:rPr>
          <w:color w:val="231F1F"/>
          <w:w w:val="110"/>
        </w:rPr>
        <w:t>no</w:t>
      </w:r>
      <w:r>
        <w:rPr>
          <w:color w:val="231F1F"/>
          <w:spacing w:val="-4"/>
          <w:w w:val="110"/>
        </w:rPr>
        <w:t> </w:t>
      </w:r>
      <w:r>
        <w:rPr>
          <w:color w:val="231F1F"/>
          <w:w w:val="110"/>
        </w:rPr>
        <w:t>disponible,</w:t>
      </w:r>
      <w:r>
        <w:rPr>
          <w:color w:val="231F1F"/>
          <w:spacing w:val="-5"/>
          <w:w w:val="110"/>
        </w:rPr>
        <w:t> </w:t>
      </w:r>
      <w:r>
        <w:rPr>
          <w:color w:val="231F1F"/>
          <w:w w:val="110"/>
        </w:rPr>
        <w:t>la</w:t>
      </w:r>
      <w:r>
        <w:rPr>
          <w:color w:val="231F1F"/>
          <w:spacing w:val="-4"/>
          <w:w w:val="110"/>
        </w:rPr>
        <w:t> </w:t>
      </w:r>
      <w:r>
        <w:rPr>
          <w:color w:val="231F1F"/>
          <w:w w:val="110"/>
        </w:rPr>
        <w:t>administración controlada</w:t>
      </w:r>
      <w:r>
        <w:rPr>
          <w:color w:val="231F1F"/>
          <w:spacing w:val="-16"/>
          <w:w w:val="110"/>
        </w:rPr>
        <w:t> </w:t>
      </w:r>
      <w:r>
        <w:rPr>
          <w:color w:val="231F1F"/>
          <w:w w:val="110"/>
        </w:rPr>
        <w:t>por</w:t>
      </w:r>
      <w:r>
        <w:rPr>
          <w:color w:val="231F1F"/>
          <w:spacing w:val="-15"/>
          <w:w w:val="110"/>
        </w:rPr>
        <w:t> </w:t>
      </w:r>
      <w:r>
        <w:rPr>
          <w:color w:val="231F1F"/>
          <w:w w:val="110"/>
        </w:rPr>
        <w:t>la</w:t>
      </w:r>
      <w:r>
        <w:rPr>
          <w:color w:val="231F1F"/>
          <w:spacing w:val="-15"/>
          <w:w w:val="110"/>
        </w:rPr>
        <w:t> </w:t>
      </w:r>
      <w:r>
        <w:rPr>
          <w:color w:val="231F1F"/>
          <w:w w:val="110"/>
        </w:rPr>
        <w:t>paciente</w:t>
      </w:r>
      <w:r>
        <w:rPr>
          <w:color w:val="231F1F"/>
          <w:spacing w:val="-15"/>
          <w:w w:val="110"/>
        </w:rPr>
        <w:t> </w:t>
      </w:r>
      <w:r>
        <w:rPr>
          <w:color w:val="231F1F"/>
          <w:w w:val="110"/>
        </w:rPr>
        <w:t>(PCA)</w:t>
      </w:r>
      <w:r>
        <w:rPr>
          <w:color w:val="231F1F"/>
          <w:spacing w:val="-15"/>
          <w:w w:val="110"/>
        </w:rPr>
        <w:t> </w:t>
      </w:r>
      <w:r>
        <w:rPr>
          <w:color w:val="231F1F"/>
          <w:w w:val="110"/>
        </w:rPr>
        <w:t>de</w:t>
      </w:r>
      <w:r>
        <w:rPr>
          <w:color w:val="231F1F"/>
          <w:spacing w:val="-15"/>
          <w:w w:val="110"/>
        </w:rPr>
        <w:t> </w:t>
      </w:r>
      <w:r>
        <w:rPr>
          <w:color w:val="231F1F"/>
          <w:w w:val="110"/>
        </w:rPr>
        <w:t>opioides</w:t>
      </w:r>
      <w:r>
        <w:rPr>
          <w:color w:val="231F1F"/>
          <w:spacing w:val="-15"/>
          <w:w w:val="110"/>
        </w:rPr>
        <w:t> </w:t>
      </w:r>
      <w:r>
        <w:rPr>
          <w:color w:val="231F1F"/>
          <w:w w:val="110"/>
        </w:rPr>
        <w:t>es</w:t>
      </w:r>
      <w:r>
        <w:rPr>
          <w:color w:val="231F1F"/>
          <w:spacing w:val="-15"/>
          <w:w w:val="110"/>
        </w:rPr>
        <w:t> </w:t>
      </w:r>
      <w:r>
        <w:rPr>
          <w:color w:val="231F1F"/>
          <w:w w:val="110"/>
        </w:rPr>
        <w:t>un</w:t>
      </w:r>
      <w:r>
        <w:rPr>
          <w:color w:val="231F1F"/>
          <w:spacing w:val="-16"/>
          <w:w w:val="110"/>
        </w:rPr>
        <w:t> </w:t>
      </w:r>
      <w:r>
        <w:rPr>
          <w:color w:val="231F1F"/>
          <w:w w:val="110"/>
        </w:rPr>
        <w:t>método</w:t>
      </w:r>
      <w:r>
        <w:rPr>
          <w:color w:val="231F1F"/>
          <w:spacing w:val="-15"/>
          <w:w w:val="110"/>
        </w:rPr>
        <w:t> </w:t>
      </w:r>
      <w:r>
        <w:rPr>
          <w:color w:val="231F1F"/>
          <w:w w:val="110"/>
        </w:rPr>
        <w:t>útil</w:t>
      </w:r>
      <w:r>
        <w:rPr>
          <w:color w:val="231F1F"/>
          <w:spacing w:val="-15"/>
          <w:w w:val="110"/>
        </w:rPr>
        <w:t> </w:t>
      </w:r>
      <w:r>
        <w:rPr>
          <w:color w:val="231F1F"/>
          <w:w w:val="110"/>
        </w:rPr>
        <w:t>de</w:t>
      </w:r>
      <w:r>
        <w:rPr>
          <w:color w:val="231F1F"/>
          <w:spacing w:val="-15"/>
          <w:w w:val="110"/>
        </w:rPr>
        <w:t> </w:t>
      </w:r>
      <w:r>
        <w:rPr>
          <w:color w:val="231F1F"/>
          <w:w w:val="110"/>
        </w:rPr>
        <w:t>control</w:t>
      </w:r>
      <w:r>
        <w:rPr>
          <w:color w:val="231F1F"/>
          <w:spacing w:val="-15"/>
          <w:w w:val="110"/>
        </w:rPr>
        <w:t> </w:t>
      </w:r>
      <w:r>
        <w:rPr>
          <w:color w:val="231F1F"/>
          <w:w w:val="110"/>
        </w:rPr>
        <w:t>del</w:t>
      </w:r>
      <w:r>
        <w:rPr>
          <w:color w:val="231F1F"/>
          <w:spacing w:val="-15"/>
          <w:w w:val="110"/>
        </w:rPr>
        <w:t> </w:t>
      </w:r>
      <w:r>
        <w:rPr>
          <w:color w:val="231F1F"/>
          <w:w w:val="110"/>
        </w:rPr>
        <w:t>dolor,</w:t>
      </w:r>
      <w:r>
        <w:rPr>
          <w:color w:val="231F1F"/>
          <w:spacing w:val="-15"/>
          <w:w w:val="110"/>
        </w:rPr>
        <w:t> </w:t>
      </w:r>
      <w:r>
        <w:rPr>
          <w:color w:val="231F1F"/>
          <w:w w:val="110"/>
        </w:rPr>
        <w:t>siem- pre y cuando haya disponibilidad de equipo y personal. La PCA proporciona un cierto </w:t>
      </w:r>
      <w:r>
        <w:rPr>
          <w:color w:val="231F1F"/>
        </w:rPr>
        <w:t>control</w:t>
      </w:r>
      <w:r>
        <w:rPr>
          <w:color w:val="231F1F"/>
          <w:spacing w:val="27"/>
        </w:rPr>
        <w:t> </w:t>
      </w:r>
      <w:r>
        <w:rPr>
          <w:color w:val="231F1F"/>
        </w:rPr>
        <w:t>a</w:t>
      </w:r>
      <w:r>
        <w:rPr>
          <w:color w:val="231F1F"/>
          <w:spacing w:val="28"/>
        </w:rPr>
        <w:t> </w:t>
      </w:r>
      <w:r>
        <w:rPr>
          <w:color w:val="231F1F"/>
        </w:rPr>
        <w:t>la</w:t>
      </w:r>
      <w:r>
        <w:rPr>
          <w:color w:val="231F1F"/>
          <w:spacing w:val="28"/>
        </w:rPr>
        <w:t> </w:t>
      </w:r>
      <w:r>
        <w:rPr>
          <w:color w:val="231F1F"/>
        </w:rPr>
        <w:t>mujer,</w:t>
      </w:r>
      <w:r>
        <w:rPr>
          <w:color w:val="231F1F"/>
          <w:spacing w:val="28"/>
        </w:rPr>
        <w:t> </w:t>
      </w:r>
      <w:r>
        <w:rPr>
          <w:color w:val="231F1F"/>
        </w:rPr>
        <w:t>y</w:t>
      </w:r>
      <w:r>
        <w:rPr>
          <w:color w:val="231F1F"/>
          <w:spacing w:val="28"/>
        </w:rPr>
        <w:t> </w:t>
      </w:r>
      <w:r>
        <w:rPr>
          <w:color w:val="231F1F"/>
        </w:rPr>
        <w:t>esto</w:t>
      </w:r>
      <w:r>
        <w:rPr>
          <w:color w:val="231F1F"/>
          <w:spacing w:val="27"/>
        </w:rPr>
        <w:t> </w:t>
      </w:r>
      <w:r>
        <w:rPr>
          <w:color w:val="231F1F"/>
        </w:rPr>
        <w:t>en</w:t>
      </w:r>
      <w:r>
        <w:rPr>
          <w:color w:val="231F1F"/>
          <w:spacing w:val="28"/>
        </w:rPr>
        <w:t> </w:t>
      </w:r>
      <w:r>
        <w:rPr>
          <w:color w:val="231F1F"/>
        </w:rPr>
        <w:t>sí</w:t>
      </w:r>
      <w:r>
        <w:rPr>
          <w:color w:val="231F1F"/>
          <w:spacing w:val="28"/>
        </w:rPr>
        <w:t> </w:t>
      </w:r>
      <w:r>
        <w:rPr>
          <w:color w:val="231F1F"/>
        </w:rPr>
        <w:t>mismo</w:t>
      </w:r>
      <w:r>
        <w:rPr>
          <w:color w:val="231F1F"/>
          <w:spacing w:val="28"/>
        </w:rPr>
        <w:t> </w:t>
      </w:r>
      <w:r>
        <w:rPr>
          <w:color w:val="231F1F"/>
        </w:rPr>
        <w:t>está</w:t>
      </w:r>
      <w:r>
        <w:rPr>
          <w:color w:val="231F1F"/>
          <w:spacing w:val="28"/>
        </w:rPr>
        <w:t> </w:t>
      </w:r>
      <w:r>
        <w:rPr>
          <w:color w:val="231F1F"/>
        </w:rPr>
        <w:t>asociado</w:t>
      </w:r>
      <w:r>
        <w:rPr>
          <w:color w:val="231F1F"/>
          <w:spacing w:val="27"/>
        </w:rPr>
        <w:t> </w:t>
      </w:r>
      <w:r>
        <w:rPr>
          <w:color w:val="231F1F"/>
        </w:rPr>
        <w:t>con</w:t>
      </w:r>
      <w:r>
        <w:rPr>
          <w:color w:val="231F1F"/>
          <w:spacing w:val="28"/>
        </w:rPr>
        <w:t> </w:t>
      </w:r>
      <w:r>
        <w:rPr>
          <w:color w:val="231F1F"/>
        </w:rPr>
        <w:t>una</w:t>
      </w:r>
      <w:r>
        <w:rPr>
          <w:color w:val="231F1F"/>
          <w:spacing w:val="28"/>
        </w:rPr>
        <w:t> </w:t>
      </w:r>
      <w:r>
        <w:rPr>
          <w:color w:val="231F1F"/>
        </w:rPr>
        <w:t>mayor</w:t>
      </w:r>
      <w:r>
        <w:rPr>
          <w:color w:val="231F1F"/>
          <w:spacing w:val="28"/>
        </w:rPr>
        <w:t> </w:t>
      </w:r>
      <w:r>
        <w:rPr>
          <w:color w:val="231F1F"/>
        </w:rPr>
        <w:t>satisfacción;</w:t>
      </w:r>
      <w:r>
        <w:rPr>
          <w:color w:val="231F1F"/>
          <w:spacing w:val="29"/>
        </w:rPr>
        <w:t> </w:t>
      </w:r>
      <w:r>
        <w:rPr>
          <w:color w:val="231F1F"/>
        </w:rPr>
        <w:t>sin</w:t>
      </w:r>
      <w:r>
        <w:rPr>
          <w:color w:val="231F1F"/>
          <w:spacing w:val="28"/>
        </w:rPr>
        <w:t> </w:t>
      </w:r>
      <w:r>
        <w:rPr>
          <w:color w:val="231F1F"/>
        </w:rPr>
        <w:t>embar- </w:t>
      </w:r>
      <w:r>
        <w:rPr>
          <w:color w:val="231F1F"/>
          <w:w w:val="110"/>
        </w:rPr>
        <w:t>go, es importante que las mujeres sean instruidas sobre cómo utilizar el dispositivo de manera eficaz.</w:t>
      </w:r>
    </w:p>
    <w:p>
      <w:pPr>
        <w:pStyle w:val="BodyText"/>
        <w:spacing w:line="244" w:lineRule="auto" w:before="120"/>
        <w:ind w:left="283" w:right="123" w:firstLine="453"/>
        <w:jc w:val="both"/>
      </w:pPr>
      <w:r>
        <w:rPr>
          <w:color w:val="231F1F"/>
          <w:w w:val="110"/>
        </w:rPr>
        <w:t>Se han usado muchos opioides en los dispositivos de PCA y más recientemente el </w:t>
      </w:r>
      <w:r>
        <w:rPr>
          <w:color w:val="231F1F"/>
          <w:spacing w:val="-2"/>
          <w:w w:val="110"/>
        </w:rPr>
        <w:t>remifentanilo.</w:t>
      </w:r>
    </w:p>
    <w:p>
      <w:pPr>
        <w:pStyle w:val="BodyText"/>
        <w:spacing w:line="244" w:lineRule="auto" w:before="141"/>
        <w:ind w:left="283" w:right="117" w:firstLine="453"/>
        <w:jc w:val="both"/>
      </w:pPr>
      <w:r>
        <w:rPr>
          <w:color w:val="231F1F"/>
          <w:w w:val="105"/>
        </w:rPr>
        <w:t>La </w:t>
      </w:r>
      <w:r>
        <w:rPr>
          <w:b/>
          <w:color w:val="231F1F"/>
          <w:w w:val="105"/>
        </w:rPr>
        <w:t>pentazocina </w:t>
      </w:r>
      <w:r>
        <w:rPr>
          <w:color w:val="231F1F"/>
          <w:w w:val="105"/>
        </w:rPr>
        <w:t>es un agente analgésico con propiedades sedativas. Este fármaco in- hibe</w:t>
      </w:r>
      <w:r>
        <w:rPr>
          <w:color w:val="231F1F"/>
          <w:spacing w:val="26"/>
          <w:w w:val="105"/>
        </w:rPr>
        <w:t> </w:t>
      </w:r>
      <w:r>
        <w:rPr>
          <w:color w:val="231F1F"/>
          <w:w w:val="105"/>
        </w:rPr>
        <w:t>ligeramente</w:t>
      </w:r>
      <w:r>
        <w:rPr>
          <w:color w:val="231F1F"/>
          <w:spacing w:val="25"/>
          <w:w w:val="105"/>
        </w:rPr>
        <w:t> </w:t>
      </w:r>
      <w:r>
        <w:rPr>
          <w:color w:val="231F1F"/>
          <w:w w:val="105"/>
        </w:rPr>
        <w:t>el</w:t>
      </w:r>
      <w:r>
        <w:rPr>
          <w:color w:val="231F1F"/>
          <w:spacing w:val="26"/>
          <w:w w:val="105"/>
        </w:rPr>
        <w:t> </w:t>
      </w:r>
      <w:r>
        <w:rPr>
          <w:color w:val="231F1F"/>
          <w:w w:val="105"/>
        </w:rPr>
        <w:t>efecto</w:t>
      </w:r>
      <w:r>
        <w:rPr>
          <w:color w:val="231F1F"/>
          <w:spacing w:val="26"/>
          <w:w w:val="105"/>
        </w:rPr>
        <w:t> </w:t>
      </w:r>
      <w:r>
        <w:rPr>
          <w:color w:val="231F1F"/>
          <w:w w:val="105"/>
        </w:rPr>
        <w:t>analgésico</w:t>
      </w:r>
      <w:r>
        <w:rPr>
          <w:color w:val="231F1F"/>
          <w:spacing w:val="27"/>
          <w:w w:val="105"/>
        </w:rPr>
        <w:t> </w:t>
      </w:r>
      <w:r>
        <w:rPr>
          <w:color w:val="231F1F"/>
          <w:w w:val="105"/>
        </w:rPr>
        <w:t>de</w:t>
      </w:r>
      <w:r>
        <w:rPr>
          <w:color w:val="231F1F"/>
          <w:spacing w:val="26"/>
          <w:w w:val="105"/>
        </w:rPr>
        <w:t> </w:t>
      </w:r>
      <w:r>
        <w:rPr>
          <w:color w:val="231F1F"/>
          <w:w w:val="105"/>
        </w:rPr>
        <w:t>la</w:t>
      </w:r>
      <w:r>
        <w:rPr>
          <w:color w:val="231F1F"/>
          <w:spacing w:val="26"/>
          <w:w w:val="105"/>
        </w:rPr>
        <w:t> </w:t>
      </w:r>
      <w:r>
        <w:rPr>
          <w:color w:val="231F1F"/>
          <w:w w:val="105"/>
        </w:rPr>
        <w:t>morfina</w:t>
      </w:r>
      <w:r>
        <w:rPr>
          <w:color w:val="231F1F"/>
          <w:spacing w:val="26"/>
          <w:w w:val="105"/>
        </w:rPr>
        <w:t> </w:t>
      </w:r>
      <w:r>
        <w:rPr>
          <w:color w:val="231F1F"/>
          <w:w w:val="105"/>
        </w:rPr>
        <w:t>y</w:t>
      </w:r>
      <w:r>
        <w:rPr>
          <w:color w:val="231F1F"/>
          <w:spacing w:val="26"/>
          <w:w w:val="105"/>
        </w:rPr>
        <w:t> </w:t>
      </w:r>
      <w:r>
        <w:rPr>
          <w:color w:val="231F1F"/>
          <w:w w:val="105"/>
        </w:rPr>
        <w:t>meperidina</w:t>
      </w:r>
      <w:r>
        <w:rPr>
          <w:color w:val="231F1F"/>
          <w:spacing w:val="25"/>
          <w:w w:val="105"/>
        </w:rPr>
        <w:t> </w:t>
      </w:r>
      <w:r>
        <w:rPr>
          <w:color w:val="231F1F"/>
          <w:w w:val="105"/>
        </w:rPr>
        <w:t>y</w:t>
      </w:r>
      <w:r>
        <w:rPr>
          <w:color w:val="231F1F"/>
          <w:spacing w:val="26"/>
          <w:w w:val="105"/>
        </w:rPr>
        <w:t> </w:t>
      </w:r>
      <w:r>
        <w:rPr>
          <w:color w:val="231F1F"/>
          <w:w w:val="105"/>
        </w:rPr>
        <w:t>revierte</w:t>
      </w:r>
      <w:r>
        <w:rPr>
          <w:color w:val="231F1F"/>
          <w:spacing w:val="26"/>
          <w:w w:val="105"/>
        </w:rPr>
        <w:t> </w:t>
      </w:r>
      <w:r>
        <w:rPr>
          <w:color w:val="231F1F"/>
          <w:w w:val="105"/>
        </w:rPr>
        <w:t>parcialmente la depresión cardiovascular, respiratoria y conductual causada por la morfina y meperidina. También</w:t>
      </w:r>
      <w:r>
        <w:rPr>
          <w:color w:val="231F1F"/>
          <w:spacing w:val="40"/>
          <w:w w:val="105"/>
        </w:rPr>
        <w:t> </w:t>
      </w:r>
      <w:r>
        <w:rPr>
          <w:color w:val="231F1F"/>
          <w:w w:val="105"/>
        </w:rPr>
        <w:t>posee</w:t>
      </w:r>
      <w:r>
        <w:rPr>
          <w:color w:val="231F1F"/>
          <w:spacing w:val="40"/>
          <w:w w:val="105"/>
        </w:rPr>
        <w:t> </w:t>
      </w:r>
      <w:r>
        <w:rPr>
          <w:color w:val="231F1F"/>
          <w:w w:val="105"/>
        </w:rPr>
        <w:t>un</w:t>
      </w:r>
      <w:r>
        <w:rPr>
          <w:color w:val="231F1F"/>
          <w:spacing w:val="40"/>
          <w:w w:val="105"/>
        </w:rPr>
        <w:t> </w:t>
      </w:r>
      <w:r>
        <w:rPr>
          <w:color w:val="231F1F"/>
          <w:w w:val="105"/>
        </w:rPr>
        <w:t>muy</w:t>
      </w:r>
      <w:r>
        <w:rPr>
          <w:color w:val="231F1F"/>
          <w:spacing w:val="40"/>
          <w:w w:val="105"/>
        </w:rPr>
        <w:t> </w:t>
      </w:r>
      <w:r>
        <w:rPr>
          <w:color w:val="231F1F"/>
          <w:w w:val="105"/>
        </w:rPr>
        <w:t>pequeño</w:t>
      </w:r>
      <w:r>
        <w:rPr>
          <w:color w:val="231F1F"/>
          <w:spacing w:val="40"/>
          <w:w w:val="105"/>
        </w:rPr>
        <w:t> </w:t>
      </w:r>
      <w:r>
        <w:rPr>
          <w:color w:val="231F1F"/>
          <w:w w:val="105"/>
        </w:rPr>
        <w:t>efecto</w:t>
      </w:r>
      <w:r>
        <w:rPr>
          <w:color w:val="231F1F"/>
          <w:spacing w:val="40"/>
          <w:w w:val="105"/>
        </w:rPr>
        <w:t> </w:t>
      </w:r>
      <w:r>
        <w:rPr>
          <w:color w:val="231F1F"/>
          <w:w w:val="105"/>
        </w:rPr>
        <w:t>como</w:t>
      </w:r>
      <w:r>
        <w:rPr>
          <w:color w:val="231F1F"/>
          <w:spacing w:val="40"/>
          <w:w w:val="105"/>
        </w:rPr>
        <w:t> </w:t>
      </w:r>
      <w:r>
        <w:rPr>
          <w:color w:val="231F1F"/>
          <w:w w:val="105"/>
        </w:rPr>
        <w:t>antagonista</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nalorfina.</w:t>
      </w:r>
    </w:p>
    <w:p>
      <w:pPr>
        <w:pStyle w:val="BodyText"/>
        <w:spacing w:line="244" w:lineRule="auto" w:before="144"/>
        <w:ind w:left="283" w:right="120" w:firstLine="453"/>
        <w:jc w:val="both"/>
      </w:pPr>
      <w:r>
        <w:rPr>
          <w:color w:val="231F1F"/>
          <w:w w:val="105"/>
        </w:rPr>
        <w:t>El </w:t>
      </w:r>
      <w:r>
        <w:rPr>
          <w:b/>
          <w:color w:val="231F1F"/>
          <w:w w:val="105"/>
        </w:rPr>
        <w:t>remifentanilo</w:t>
      </w:r>
      <w:r>
        <w:rPr>
          <w:color w:val="231F1F"/>
          <w:w w:val="105"/>
        </w:rPr>
        <w:t>, un opiáceo de acción ultracorta, es rápidamente hidrolizado por las esterasas de la sangre y los tejidos y no se acumula, incluso después de infusiones prolon- gadas. Cada vez hay más informes de su uso mediante PCA, aunque, como con el fentani- lo, el régimen de dosificación ideal esta poco claro. La dosis más utilizada con éxito es de 0,2 – 0,8 μg/Kg con un tiempo de cierre de dos minutos. Sin embargo, se precisa una vigi-</w:t>
      </w:r>
    </w:p>
    <w:p>
      <w:pPr>
        <w:pStyle w:val="BodyText"/>
        <w:spacing w:line="208" w:lineRule="auto" w:before="24"/>
        <w:ind w:left="283" w:right="121"/>
        <w:jc w:val="both"/>
      </w:pPr>
      <w:r>
        <w:rPr>
          <w:color w:val="231F1F"/>
          <w:w w:val="110"/>
        </w:rPr>
        <w:t>lancia estrecha, monitorización de la SaO</w:t>
      </w:r>
      <w:r>
        <w:rPr>
          <w:color w:val="231F1F"/>
          <w:w w:val="110"/>
          <w:position w:val="-4"/>
          <w:sz w:val="12"/>
        </w:rPr>
        <w:t>2</w:t>
      </w:r>
      <w:r>
        <w:rPr>
          <w:color w:val="231F1F"/>
          <w:spacing w:val="27"/>
          <w:w w:val="110"/>
          <w:position w:val="-4"/>
          <w:sz w:val="12"/>
        </w:rPr>
        <w:t> </w:t>
      </w:r>
      <w:r>
        <w:rPr>
          <w:color w:val="231F1F"/>
          <w:w w:val="110"/>
        </w:rPr>
        <w:t>y puede que sea necesario también oxígeno </w:t>
      </w:r>
      <w:r>
        <w:rPr>
          <w:color w:val="231F1F"/>
          <w:spacing w:val="-2"/>
          <w:w w:val="110"/>
        </w:rPr>
        <w:t>suplementario.</w:t>
      </w:r>
    </w:p>
    <w:p>
      <w:pPr>
        <w:pStyle w:val="BodyText"/>
        <w:spacing w:before="176"/>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7" w:lineRule="auto" w:before="209"/>
        <w:ind w:left="283" w:right="1367"/>
        <w:jc w:val="both"/>
      </w:pPr>
      <w:r>
        <w:rPr>
          <w:color w:val="231F1F"/>
          <w:w w:val="105"/>
        </w:rPr>
        <w:t>La guía NICE (10) clasifica la evidencia encontrada sobre el uso de opioides en la analgesia, según la modo de administración: intravenoso (IV), intramus- cular</w:t>
      </w:r>
      <w:r>
        <w:rPr>
          <w:color w:val="231F1F"/>
          <w:spacing w:val="40"/>
          <w:w w:val="105"/>
        </w:rPr>
        <w:t> </w:t>
      </w:r>
      <w:r>
        <w:rPr>
          <w:color w:val="231F1F"/>
          <w:w w:val="105"/>
        </w:rPr>
        <w:t>(IM)</w:t>
      </w:r>
      <w:r>
        <w:rPr>
          <w:color w:val="231F1F"/>
          <w:spacing w:val="40"/>
          <w:w w:val="105"/>
        </w:rPr>
        <w:t> </w:t>
      </w:r>
      <w:r>
        <w:rPr>
          <w:color w:val="231F1F"/>
          <w:w w:val="105"/>
        </w:rPr>
        <w:t>y</w:t>
      </w:r>
      <w:r>
        <w:rPr>
          <w:color w:val="231F1F"/>
          <w:spacing w:val="40"/>
          <w:w w:val="105"/>
        </w:rPr>
        <w:t> </w:t>
      </w:r>
      <w:r>
        <w:rPr>
          <w:color w:val="231F1F"/>
          <w:w w:val="105"/>
        </w:rPr>
        <w:t>administración</w:t>
      </w:r>
      <w:r>
        <w:rPr>
          <w:color w:val="231F1F"/>
          <w:spacing w:val="40"/>
          <w:w w:val="105"/>
        </w:rPr>
        <w:t> </w:t>
      </w:r>
      <w:r>
        <w:rPr>
          <w:color w:val="231F1F"/>
          <w:w w:val="105"/>
        </w:rPr>
        <w:t>controlada</w:t>
      </w:r>
      <w:r>
        <w:rPr>
          <w:color w:val="231F1F"/>
          <w:spacing w:val="40"/>
          <w:w w:val="105"/>
        </w:rPr>
        <w:t> </w:t>
      </w:r>
      <w:r>
        <w:rPr>
          <w:color w:val="231F1F"/>
          <w:w w:val="105"/>
        </w:rPr>
        <w:t>por</w:t>
      </w:r>
      <w:r>
        <w:rPr>
          <w:color w:val="231F1F"/>
          <w:spacing w:val="40"/>
          <w:w w:val="105"/>
        </w:rPr>
        <w:t> </w:t>
      </w:r>
      <w:r>
        <w:rPr>
          <w:color w:val="231F1F"/>
          <w:w w:val="105"/>
        </w:rPr>
        <w:t>la</w:t>
      </w:r>
      <w:r>
        <w:rPr>
          <w:color w:val="231F1F"/>
          <w:spacing w:val="40"/>
          <w:w w:val="105"/>
        </w:rPr>
        <w:t> </w:t>
      </w:r>
      <w:r>
        <w:rPr>
          <w:color w:val="231F1F"/>
          <w:w w:val="105"/>
        </w:rPr>
        <w:t>paciente</w:t>
      </w:r>
      <w:r>
        <w:rPr>
          <w:color w:val="231F1F"/>
          <w:spacing w:val="40"/>
          <w:w w:val="105"/>
        </w:rPr>
        <w:t> </w:t>
      </w:r>
      <w:r>
        <w:rPr>
          <w:color w:val="231F1F"/>
          <w:w w:val="105"/>
        </w:rPr>
        <w:t>(PCA).</w:t>
      </w:r>
    </w:p>
    <w:p>
      <w:pPr>
        <w:pStyle w:val="BodyText"/>
        <w:spacing w:after="0" w:line="247" w:lineRule="auto"/>
        <w:jc w:val="both"/>
        <w:sectPr>
          <w:pgSz w:w="11900" w:h="16840"/>
          <w:pgMar w:header="0" w:footer="622" w:top="1560" w:bottom="820" w:left="1417" w:right="1559"/>
        </w:sectPr>
      </w:pPr>
    </w:p>
    <w:p>
      <w:pPr>
        <w:pStyle w:val="Heading5"/>
        <w:spacing w:before="82"/>
      </w:pPr>
      <w:r>
        <w:rPr>
          <w:color w:val="231F1F"/>
        </w:rPr>
        <w:t>Administración</w:t>
      </w:r>
      <w:r>
        <w:rPr>
          <w:color w:val="231F1F"/>
          <w:spacing w:val="4"/>
        </w:rPr>
        <w:t> </w:t>
      </w:r>
      <w:r>
        <w:rPr>
          <w:color w:val="231F1F"/>
        </w:rPr>
        <w:t>IM</w:t>
      </w:r>
      <w:r>
        <w:rPr>
          <w:color w:val="231F1F"/>
          <w:spacing w:val="4"/>
        </w:rPr>
        <w:t> </w:t>
      </w:r>
      <w:r>
        <w:rPr>
          <w:color w:val="231F1F"/>
        </w:rPr>
        <w:t>de</w:t>
      </w:r>
      <w:r>
        <w:rPr>
          <w:color w:val="231F1F"/>
          <w:spacing w:val="4"/>
        </w:rPr>
        <w:t> </w:t>
      </w:r>
      <w:r>
        <w:rPr>
          <w:color w:val="231F1F"/>
          <w:spacing w:val="-2"/>
        </w:rPr>
        <w:t>opioides</w:t>
      </w:r>
    </w:p>
    <w:p>
      <w:pPr>
        <w:pStyle w:val="BodyText"/>
        <w:spacing w:line="249" w:lineRule="auto" w:before="214"/>
        <w:ind w:left="283" w:right="1444"/>
      </w:pPr>
      <w:r>
        <w:rPr>
          <w:color w:val="231F1F"/>
          <w:w w:val="105"/>
        </w:rPr>
        <w:t>La guía NICE (10) basa sus recomendaciones sobre la administración IM en la</w:t>
      </w:r>
      <w:r>
        <w:rPr>
          <w:color w:val="231F1F"/>
          <w:spacing w:val="-15"/>
          <w:w w:val="105"/>
        </w:rPr>
        <w:t> </w:t>
      </w:r>
      <w:r>
        <w:rPr>
          <w:color w:val="231F1F"/>
          <w:w w:val="105"/>
        </w:rPr>
        <w:t>evidencia</w:t>
      </w:r>
      <w:r>
        <w:rPr>
          <w:color w:val="231F1F"/>
          <w:spacing w:val="-14"/>
          <w:w w:val="105"/>
        </w:rPr>
        <w:t> </w:t>
      </w:r>
      <w:r>
        <w:rPr>
          <w:color w:val="231F1F"/>
          <w:w w:val="105"/>
        </w:rPr>
        <w:t>procedente</w:t>
      </w:r>
      <w:r>
        <w:rPr>
          <w:color w:val="231F1F"/>
          <w:spacing w:val="-15"/>
          <w:w w:val="105"/>
        </w:rPr>
        <w:t> </w:t>
      </w:r>
      <w:r>
        <w:rPr>
          <w:color w:val="231F1F"/>
          <w:w w:val="105"/>
        </w:rPr>
        <w:t>de</w:t>
      </w:r>
      <w:r>
        <w:rPr>
          <w:color w:val="231F1F"/>
          <w:spacing w:val="-14"/>
          <w:w w:val="105"/>
        </w:rPr>
        <w:t> </w:t>
      </w:r>
      <w:r>
        <w:rPr>
          <w:color w:val="231F1F"/>
          <w:w w:val="105"/>
        </w:rPr>
        <w:t>dos</w:t>
      </w:r>
      <w:r>
        <w:rPr>
          <w:color w:val="231F1F"/>
          <w:spacing w:val="-15"/>
          <w:w w:val="105"/>
        </w:rPr>
        <w:t> </w:t>
      </w:r>
      <w:r>
        <w:rPr>
          <w:color w:val="231F1F"/>
          <w:w w:val="105"/>
        </w:rPr>
        <w:t>RS</w:t>
      </w:r>
      <w:r>
        <w:rPr>
          <w:color w:val="231F1F"/>
          <w:spacing w:val="-14"/>
          <w:w w:val="105"/>
        </w:rPr>
        <w:t> </w:t>
      </w:r>
      <w:r>
        <w:rPr>
          <w:color w:val="231F1F"/>
          <w:w w:val="105"/>
        </w:rPr>
        <w:t>con</w:t>
      </w:r>
      <w:r>
        <w:rPr>
          <w:color w:val="231F1F"/>
          <w:spacing w:val="-15"/>
          <w:w w:val="105"/>
        </w:rPr>
        <w:t> </w:t>
      </w:r>
      <w:r>
        <w:rPr>
          <w:color w:val="231F1F"/>
          <w:w w:val="105"/>
        </w:rPr>
        <w:t>metaanálisis</w:t>
      </w:r>
      <w:r>
        <w:rPr>
          <w:color w:val="231F1F"/>
          <w:spacing w:val="-14"/>
          <w:w w:val="105"/>
        </w:rPr>
        <w:t> </w:t>
      </w:r>
      <w:r>
        <w:rPr>
          <w:color w:val="231F1F"/>
          <w:w w:val="105"/>
        </w:rPr>
        <w:t>(297;298)</w:t>
      </w:r>
      <w:r>
        <w:rPr>
          <w:color w:val="231F1F"/>
          <w:spacing w:val="-14"/>
          <w:w w:val="105"/>
        </w:rPr>
        <w:t> </w:t>
      </w:r>
      <w:r>
        <w:rPr>
          <w:color w:val="231F1F"/>
          <w:w w:val="105"/>
        </w:rPr>
        <w:t>y</w:t>
      </w:r>
      <w:r>
        <w:rPr>
          <w:color w:val="231F1F"/>
          <w:spacing w:val="-15"/>
          <w:w w:val="105"/>
        </w:rPr>
        <w:t> </w:t>
      </w:r>
      <w:r>
        <w:rPr>
          <w:color w:val="231F1F"/>
          <w:w w:val="105"/>
        </w:rPr>
        <w:t>un</w:t>
      </w:r>
      <w:r>
        <w:rPr>
          <w:color w:val="231F1F"/>
          <w:spacing w:val="-14"/>
          <w:w w:val="105"/>
        </w:rPr>
        <w:t> </w:t>
      </w:r>
      <w:r>
        <w:rPr>
          <w:color w:val="231F1F"/>
          <w:w w:val="105"/>
        </w:rPr>
        <w:t>ECA</w:t>
      </w:r>
      <w:r>
        <w:rPr>
          <w:color w:val="231F1F"/>
          <w:spacing w:val="-15"/>
          <w:w w:val="105"/>
        </w:rPr>
        <w:t> </w:t>
      </w:r>
      <w:r>
        <w:rPr>
          <w:color w:val="231F1F"/>
          <w:w w:val="105"/>
        </w:rPr>
        <w:t>(299).</w:t>
      </w:r>
    </w:p>
    <w:p>
      <w:pPr>
        <w:pStyle w:val="BodyText"/>
        <w:spacing w:line="256" w:lineRule="auto" w:before="103"/>
        <w:ind w:left="283" w:firstLine="453"/>
      </w:pPr>
      <w:r>
        <w:rPr>
          <w:color w:val="231F1F"/>
          <w:w w:val="110"/>
        </w:rPr>
        <w:t>En</w:t>
      </w:r>
      <w:r>
        <w:rPr>
          <w:color w:val="231F1F"/>
          <w:spacing w:val="-16"/>
          <w:w w:val="110"/>
        </w:rPr>
        <w:t> </w:t>
      </w:r>
      <w:r>
        <w:rPr>
          <w:color w:val="231F1F"/>
          <w:w w:val="110"/>
        </w:rPr>
        <w:t>una</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RS</w:t>
      </w:r>
      <w:r>
        <w:rPr>
          <w:color w:val="231F1F"/>
          <w:spacing w:val="-15"/>
          <w:w w:val="110"/>
        </w:rPr>
        <w:t> </w:t>
      </w:r>
      <w:r>
        <w:rPr>
          <w:color w:val="231F1F"/>
          <w:w w:val="110"/>
        </w:rPr>
        <w:t>(297)</w:t>
      </w:r>
      <w:r>
        <w:rPr>
          <w:color w:val="231F1F"/>
          <w:spacing w:val="-16"/>
          <w:w w:val="110"/>
        </w:rPr>
        <w:t> </w:t>
      </w:r>
      <w:r>
        <w:rPr>
          <w:color w:val="231F1F"/>
          <w:w w:val="110"/>
        </w:rPr>
        <w:t>se</w:t>
      </w:r>
      <w:r>
        <w:rPr>
          <w:color w:val="231F1F"/>
          <w:spacing w:val="-15"/>
          <w:w w:val="110"/>
        </w:rPr>
        <w:t> </w:t>
      </w:r>
      <w:r>
        <w:rPr>
          <w:color w:val="231F1F"/>
          <w:w w:val="110"/>
        </w:rPr>
        <w:t>comparó</w:t>
      </w:r>
      <w:r>
        <w:rPr>
          <w:color w:val="231F1F"/>
          <w:spacing w:val="-15"/>
          <w:w w:val="110"/>
        </w:rPr>
        <w:t> </w:t>
      </w:r>
      <w:r>
        <w:rPr>
          <w:color w:val="231F1F"/>
          <w:w w:val="110"/>
        </w:rPr>
        <w:t>la</w:t>
      </w:r>
      <w:r>
        <w:rPr>
          <w:color w:val="231F1F"/>
          <w:spacing w:val="-15"/>
          <w:w w:val="110"/>
        </w:rPr>
        <w:t> </w:t>
      </w:r>
      <w:r>
        <w:rPr>
          <w:color w:val="231F1F"/>
          <w:w w:val="110"/>
        </w:rPr>
        <w:t>administración</w:t>
      </w:r>
      <w:r>
        <w:rPr>
          <w:color w:val="231F1F"/>
          <w:spacing w:val="-15"/>
          <w:w w:val="110"/>
        </w:rPr>
        <w:t> </w:t>
      </w:r>
      <w:r>
        <w:rPr>
          <w:color w:val="231F1F"/>
          <w:w w:val="110"/>
        </w:rPr>
        <w:t>de</w:t>
      </w:r>
      <w:r>
        <w:rPr>
          <w:color w:val="231F1F"/>
          <w:spacing w:val="-15"/>
          <w:w w:val="110"/>
        </w:rPr>
        <w:t> </w:t>
      </w:r>
      <w:r>
        <w:rPr>
          <w:i/>
          <w:color w:val="231F1F"/>
          <w:w w:val="110"/>
        </w:rPr>
        <w:t>petidina</w:t>
      </w:r>
      <w:r>
        <w:rPr>
          <w:i/>
          <w:color w:val="231F1F"/>
          <w:spacing w:val="-16"/>
          <w:w w:val="110"/>
        </w:rPr>
        <w:t> </w:t>
      </w:r>
      <w:r>
        <w:rPr>
          <w:i/>
          <w:color w:val="231F1F"/>
          <w:w w:val="110"/>
        </w:rPr>
        <w:t>frente</w:t>
      </w:r>
      <w:r>
        <w:rPr>
          <w:i/>
          <w:color w:val="231F1F"/>
          <w:spacing w:val="-15"/>
          <w:w w:val="110"/>
        </w:rPr>
        <w:t> </w:t>
      </w:r>
      <w:r>
        <w:rPr>
          <w:i/>
          <w:color w:val="231F1F"/>
          <w:w w:val="110"/>
        </w:rPr>
        <w:t>a</w:t>
      </w:r>
      <w:r>
        <w:rPr>
          <w:i/>
          <w:color w:val="231F1F"/>
          <w:spacing w:val="-17"/>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i/>
          <w:color w:val="231F1F"/>
          <w:w w:val="110"/>
        </w:rPr>
        <w:t>placebo</w:t>
      </w:r>
      <w:r>
        <w:rPr>
          <w:color w:val="231F1F"/>
          <w:w w:val="110"/>
        </w:rPr>
        <w:t>, recogiendo los resultados del ECA (299) incluido también en la guía</w:t>
      </w:r>
      <w:r>
        <w:rPr>
          <w:color w:val="231F1F"/>
          <w:spacing w:val="80"/>
          <w:w w:val="110"/>
        </w:rPr>
        <w:t> </w:t>
      </w:r>
      <w:r>
        <w:rPr>
          <w:rFonts w:ascii="Arial MT" w:hAnsi="Arial MT"/>
          <w:color w:val="231F1F"/>
          <w:w w:val="110"/>
          <w:position w:val="4"/>
          <w:sz w:val="18"/>
        </w:rPr>
        <w:t>ECAs </w:t>
      </w:r>
      <w:r>
        <w:rPr>
          <w:color w:val="231F1F"/>
          <w:w w:val="110"/>
        </w:rPr>
        <w:t>NICE (10) y que evaluó dichas intervenciones en 244 mujeres. Éstos encontraron</w:t>
      </w:r>
    </w:p>
    <w:p>
      <w:pPr>
        <w:spacing w:line="263" w:lineRule="exact" w:before="0"/>
        <w:ind w:left="7793" w:right="0" w:firstLine="0"/>
        <w:jc w:val="left"/>
        <w:rPr>
          <w:sz w:val="22"/>
        </w:rPr>
      </w:pPr>
      <w:r>
        <w:rPr>
          <w:rFonts w:ascii="Arial MT"/>
          <w:color w:val="231F1F"/>
          <w:position w:val="8"/>
          <w:sz w:val="18"/>
        </w:rPr>
        <w:t>1+</w:t>
      </w:r>
      <w:r>
        <w:rPr>
          <w:rFonts w:ascii="Arial MT"/>
          <w:color w:val="231F1F"/>
          <w:spacing w:val="8"/>
          <w:position w:val="8"/>
          <w:sz w:val="18"/>
        </w:rPr>
        <w:t> </w:t>
      </w:r>
      <w:r>
        <w:rPr>
          <w:color w:val="231F1F"/>
          <w:sz w:val="22"/>
        </w:rPr>
        <w:t>que</w:t>
      </w:r>
      <w:r>
        <w:rPr>
          <w:color w:val="231F1F"/>
          <w:spacing w:val="-7"/>
          <w:sz w:val="22"/>
        </w:rPr>
        <w:t> </w:t>
      </w:r>
      <w:r>
        <w:rPr>
          <w:color w:val="231F1F"/>
          <w:spacing w:val="-5"/>
          <w:sz w:val="22"/>
        </w:rPr>
        <w:t>en</w:t>
      </w:r>
    </w:p>
    <w:p>
      <w:pPr>
        <w:pStyle w:val="BodyText"/>
        <w:spacing w:before="30"/>
        <w:ind w:left="283"/>
      </w:pPr>
      <w:r>
        <w:rPr>
          <w:color w:val="231F1F"/>
        </w:rPr>
        <w:t>el</w:t>
      </w:r>
      <w:r>
        <w:rPr>
          <w:color w:val="231F1F"/>
          <w:spacing w:val="1"/>
        </w:rPr>
        <w:t> </w:t>
      </w:r>
      <w:r>
        <w:rPr>
          <w:color w:val="231F1F"/>
        </w:rPr>
        <w:t>grupo</w:t>
      </w:r>
      <w:r>
        <w:rPr>
          <w:color w:val="231F1F"/>
          <w:spacing w:val="5"/>
        </w:rPr>
        <w:t> </w:t>
      </w:r>
      <w:r>
        <w:rPr>
          <w:color w:val="231F1F"/>
        </w:rPr>
        <w:t>petidina</w:t>
      </w:r>
      <w:r>
        <w:rPr>
          <w:color w:val="231F1F"/>
          <w:spacing w:val="4"/>
        </w:rPr>
        <w:t> </w:t>
      </w:r>
      <w:r>
        <w:rPr>
          <w:color w:val="231F1F"/>
        </w:rPr>
        <w:t>había</w:t>
      </w:r>
      <w:r>
        <w:rPr>
          <w:color w:val="231F1F"/>
          <w:spacing w:val="5"/>
        </w:rPr>
        <w:t> </w:t>
      </w:r>
      <w:r>
        <w:rPr>
          <w:color w:val="231F1F"/>
        </w:rPr>
        <w:t>menos</w:t>
      </w:r>
      <w:r>
        <w:rPr>
          <w:color w:val="231F1F"/>
          <w:spacing w:val="5"/>
        </w:rPr>
        <w:t> </w:t>
      </w:r>
      <w:r>
        <w:rPr>
          <w:color w:val="231F1F"/>
        </w:rPr>
        <w:t>mujeres</w:t>
      </w:r>
      <w:r>
        <w:rPr>
          <w:color w:val="231F1F"/>
          <w:spacing w:val="4"/>
        </w:rPr>
        <w:t> </w:t>
      </w:r>
      <w:r>
        <w:rPr>
          <w:color w:val="231F1F"/>
        </w:rPr>
        <w:t>insatisfechas</w:t>
      </w:r>
      <w:r>
        <w:rPr>
          <w:color w:val="231F1F"/>
          <w:spacing w:val="6"/>
        </w:rPr>
        <w:t> </w:t>
      </w:r>
      <w:r>
        <w:rPr>
          <w:color w:val="231F1F"/>
        </w:rPr>
        <w:t>con</w:t>
      </w:r>
      <w:r>
        <w:rPr>
          <w:color w:val="231F1F"/>
          <w:spacing w:val="5"/>
        </w:rPr>
        <w:t> </w:t>
      </w:r>
      <w:r>
        <w:rPr>
          <w:color w:val="231F1F"/>
        </w:rPr>
        <w:t>el</w:t>
      </w:r>
      <w:r>
        <w:rPr>
          <w:color w:val="231F1F"/>
          <w:spacing w:val="4"/>
        </w:rPr>
        <w:t> </w:t>
      </w:r>
      <w:r>
        <w:rPr>
          <w:color w:val="231F1F"/>
        </w:rPr>
        <w:t>alivio</w:t>
      </w:r>
      <w:r>
        <w:rPr>
          <w:color w:val="231F1F"/>
          <w:spacing w:val="5"/>
        </w:rPr>
        <w:t> </w:t>
      </w:r>
      <w:r>
        <w:rPr>
          <w:color w:val="231F1F"/>
        </w:rPr>
        <w:t>del</w:t>
      </w:r>
      <w:r>
        <w:rPr>
          <w:color w:val="231F1F"/>
          <w:spacing w:val="3"/>
        </w:rPr>
        <w:t> </w:t>
      </w:r>
      <w:r>
        <w:rPr>
          <w:color w:val="231F1F"/>
          <w:spacing w:val="-2"/>
        </w:rPr>
        <w:t>dolor</w:t>
      </w:r>
    </w:p>
    <w:p>
      <w:pPr>
        <w:pStyle w:val="BodyText"/>
        <w:spacing w:line="268" w:lineRule="auto" w:before="25"/>
        <w:ind w:left="283" w:right="1444"/>
      </w:pPr>
      <w:r>
        <w:rPr>
          <w:color w:val="231F1F"/>
        </w:rPr>
        <w:t>una</w:t>
      </w:r>
      <w:r>
        <w:rPr>
          <w:color w:val="231F1F"/>
          <w:spacing w:val="-1"/>
        </w:rPr>
        <w:t> </w:t>
      </w:r>
      <w:r>
        <w:rPr>
          <w:color w:val="231F1F"/>
        </w:rPr>
        <w:t>hora</w:t>
      </w:r>
      <w:r>
        <w:rPr>
          <w:color w:val="231F1F"/>
          <w:spacing w:val="-1"/>
        </w:rPr>
        <w:t> </w:t>
      </w:r>
      <w:r>
        <w:rPr>
          <w:color w:val="231F1F"/>
        </w:rPr>
        <w:t>después</w:t>
      </w:r>
      <w:r>
        <w:rPr>
          <w:color w:val="231F1F"/>
          <w:spacing w:val="-1"/>
        </w:rPr>
        <w:t> </w:t>
      </w:r>
      <w:r>
        <w:rPr>
          <w:color w:val="231F1F"/>
        </w:rPr>
        <w:t>del</w:t>
      </w:r>
      <w:r>
        <w:rPr>
          <w:color w:val="231F1F"/>
          <w:spacing w:val="-1"/>
        </w:rPr>
        <w:t> </w:t>
      </w:r>
      <w:r>
        <w:rPr>
          <w:color w:val="231F1F"/>
        </w:rPr>
        <w:t>tratamiento</w:t>
      </w:r>
      <w:r>
        <w:rPr>
          <w:color w:val="231F1F"/>
          <w:spacing w:val="-1"/>
        </w:rPr>
        <w:t> </w:t>
      </w:r>
      <w:r>
        <w:rPr>
          <w:color w:val="231F1F"/>
        </w:rPr>
        <w:t>que</w:t>
      </w:r>
      <w:r>
        <w:rPr>
          <w:color w:val="231F1F"/>
          <w:spacing w:val="-1"/>
        </w:rPr>
        <w:t> </w:t>
      </w:r>
      <w:r>
        <w:rPr>
          <w:color w:val="231F1F"/>
        </w:rPr>
        <w:t>en</w:t>
      </w:r>
      <w:r>
        <w:rPr>
          <w:color w:val="231F1F"/>
          <w:spacing w:val="-1"/>
        </w:rPr>
        <w:t> </w:t>
      </w:r>
      <w:r>
        <w:rPr>
          <w:color w:val="231F1F"/>
        </w:rPr>
        <w:t>el</w:t>
      </w:r>
      <w:r>
        <w:rPr>
          <w:color w:val="231F1F"/>
          <w:spacing w:val="-1"/>
        </w:rPr>
        <w:t> </w:t>
      </w:r>
      <w:r>
        <w:rPr>
          <w:color w:val="231F1F"/>
        </w:rPr>
        <w:t>grupo</w:t>
      </w:r>
      <w:r>
        <w:rPr>
          <w:color w:val="231F1F"/>
          <w:spacing w:val="-1"/>
        </w:rPr>
        <w:t> </w:t>
      </w:r>
      <w:r>
        <w:rPr>
          <w:color w:val="231F1F"/>
        </w:rPr>
        <w:t>placebo:</w:t>
      </w:r>
      <w:r>
        <w:rPr>
          <w:color w:val="231F1F"/>
          <w:spacing w:val="-1"/>
        </w:rPr>
        <w:t> </w:t>
      </w:r>
      <w:r>
        <w:rPr>
          <w:color w:val="231F1F"/>
        </w:rPr>
        <w:t>RR</w:t>
      </w:r>
      <w:r>
        <w:rPr>
          <w:color w:val="231F1F"/>
          <w:spacing w:val="-1"/>
        </w:rPr>
        <w:t> </w:t>
      </w:r>
      <w:r>
        <w:rPr>
          <w:color w:val="231F1F"/>
        </w:rPr>
        <w:t>0,86</w:t>
      </w:r>
      <w:r>
        <w:rPr>
          <w:color w:val="231F1F"/>
          <w:spacing w:val="-1"/>
        </w:rPr>
        <w:t> </w:t>
      </w:r>
      <w:r>
        <w:rPr>
          <w:color w:val="231F1F"/>
        </w:rPr>
        <w:t>[IC</w:t>
      </w:r>
      <w:r>
        <w:rPr>
          <w:color w:val="231F1F"/>
          <w:spacing w:val="-1"/>
        </w:rPr>
        <w:t> </w:t>
      </w:r>
      <w:r>
        <w:rPr>
          <w:color w:val="231F1F"/>
        </w:rPr>
        <w:t>95%</w:t>
      </w:r>
      <w:r>
        <w:rPr>
          <w:color w:val="231F1F"/>
          <w:spacing w:val="-1"/>
        </w:rPr>
        <w:t> </w:t>
      </w:r>
      <w:r>
        <w:rPr>
          <w:color w:val="231F1F"/>
        </w:rPr>
        <w:t>0,74 a</w:t>
      </w:r>
      <w:r>
        <w:rPr>
          <w:color w:val="231F1F"/>
          <w:spacing w:val="-12"/>
        </w:rPr>
        <w:t> </w:t>
      </w:r>
      <w:r>
        <w:rPr>
          <w:color w:val="231F1F"/>
        </w:rPr>
        <w:t>0,99],</w:t>
      </w:r>
      <w:r>
        <w:rPr>
          <w:color w:val="231F1F"/>
          <w:spacing w:val="-12"/>
        </w:rPr>
        <w:t> </w:t>
      </w:r>
      <w:r>
        <w:rPr>
          <w:color w:val="231F1F"/>
        </w:rPr>
        <w:t>así</w:t>
      </w:r>
      <w:r>
        <w:rPr>
          <w:color w:val="231F1F"/>
          <w:spacing w:val="-11"/>
        </w:rPr>
        <w:t> </w:t>
      </w:r>
      <w:r>
        <w:rPr>
          <w:color w:val="231F1F"/>
        </w:rPr>
        <w:t>como</w:t>
      </w:r>
      <w:r>
        <w:rPr>
          <w:color w:val="231F1F"/>
          <w:spacing w:val="-12"/>
        </w:rPr>
        <w:t> </w:t>
      </w:r>
      <w:r>
        <w:rPr>
          <w:color w:val="231F1F"/>
        </w:rPr>
        <w:t>a</w:t>
      </w:r>
      <w:r>
        <w:rPr>
          <w:color w:val="231F1F"/>
          <w:spacing w:val="-11"/>
        </w:rPr>
        <w:t> </w:t>
      </w:r>
      <w:r>
        <w:rPr>
          <w:color w:val="231F1F"/>
        </w:rPr>
        <w:t>las</w:t>
      </w:r>
      <w:r>
        <w:rPr>
          <w:color w:val="231F1F"/>
          <w:spacing w:val="-12"/>
        </w:rPr>
        <w:t> </w:t>
      </w:r>
      <w:r>
        <w:rPr>
          <w:color w:val="231F1F"/>
        </w:rPr>
        <w:t>dos</w:t>
      </w:r>
      <w:r>
        <w:rPr>
          <w:color w:val="231F1F"/>
          <w:spacing w:val="-12"/>
        </w:rPr>
        <w:t> </w:t>
      </w:r>
      <w:r>
        <w:rPr>
          <w:color w:val="231F1F"/>
        </w:rPr>
        <w:t>horas</w:t>
      </w:r>
      <w:r>
        <w:rPr>
          <w:color w:val="231F1F"/>
          <w:spacing w:val="-11"/>
        </w:rPr>
        <w:t> </w:t>
      </w:r>
      <w:r>
        <w:rPr>
          <w:color w:val="231F1F"/>
        </w:rPr>
        <w:t>tras</w:t>
      </w:r>
      <w:r>
        <w:rPr>
          <w:color w:val="231F1F"/>
          <w:spacing w:val="-12"/>
        </w:rPr>
        <w:t> </w:t>
      </w:r>
      <w:r>
        <w:rPr>
          <w:color w:val="231F1F"/>
        </w:rPr>
        <w:t>el</w:t>
      </w:r>
      <w:r>
        <w:rPr>
          <w:color w:val="231F1F"/>
          <w:spacing w:val="-11"/>
        </w:rPr>
        <w:t> </w:t>
      </w:r>
      <w:r>
        <w:rPr>
          <w:color w:val="231F1F"/>
        </w:rPr>
        <w:t>tratamiento:</w:t>
      </w:r>
      <w:r>
        <w:rPr>
          <w:color w:val="231F1F"/>
          <w:spacing w:val="-10"/>
        </w:rPr>
        <w:t> </w:t>
      </w:r>
      <w:r>
        <w:rPr>
          <w:color w:val="231F1F"/>
        </w:rPr>
        <w:t>RR</w:t>
      </w:r>
      <w:r>
        <w:rPr>
          <w:color w:val="231F1F"/>
          <w:spacing w:val="-12"/>
        </w:rPr>
        <w:t> </w:t>
      </w:r>
      <w:r>
        <w:rPr>
          <w:color w:val="231F1F"/>
        </w:rPr>
        <w:t>0,47</w:t>
      </w:r>
      <w:r>
        <w:rPr>
          <w:color w:val="231F1F"/>
          <w:spacing w:val="-11"/>
        </w:rPr>
        <w:t> </w:t>
      </w:r>
      <w:r>
        <w:rPr>
          <w:color w:val="231F1F"/>
        </w:rPr>
        <w:t>[IC</w:t>
      </w:r>
      <w:r>
        <w:rPr>
          <w:color w:val="231F1F"/>
          <w:spacing w:val="-12"/>
        </w:rPr>
        <w:t> </w:t>
      </w:r>
      <w:r>
        <w:rPr>
          <w:color w:val="231F1F"/>
        </w:rPr>
        <w:t>95%</w:t>
      </w:r>
      <w:r>
        <w:rPr>
          <w:color w:val="231F1F"/>
          <w:spacing w:val="-11"/>
        </w:rPr>
        <w:t> </w:t>
      </w:r>
      <w:r>
        <w:rPr>
          <w:color w:val="231F1F"/>
        </w:rPr>
        <w:t>0,32</w:t>
      </w:r>
      <w:r>
        <w:rPr>
          <w:color w:val="231F1F"/>
          <w:spacing w:val="-12"/>
        </w:rPr>
        <w:t> </w:t>
      </w:r>
      <w:r>
        <w:rPr>
          <w:color w:val="231F1F"/>
        </w:rPr>
        <w:t>a</w:t>
      </w:r>
      <w:r>
        <w:rPr>
          <w:color w:val="231F1F"/>
          <w:spacing w:val="-11"/>
        </w:rPr>
        <w:t> </w:t>
      </w:r>
      <w:r>
        <w:rPr>
          <w:color w:val="231F1F"/>
          <w:spacing w:val="-2"/>
        </w:rPr>
        <w:t>0,67].</w:t>
      </w:r>
    </w:p>
    <w:p>
      <w:pPr>
        <w:pStyle w:val="BodyText"/>
        <w:tabs>
          <w:tab w:pos="7791" w:val="left" w:leader="none"/>
        </w:tabs>
        <w:spacing w:before="82"/>
        <w:ind w:left="736"/>
        <w:rPr>
          <w:rFonts w:ascii="Arial MT" w:hAnsi="Arial MT"/>
          <w:sz w:val="18"/>
        </w:rPr>
      </w:pPr>
      <w:r>
        <w:rPr>
          <w:color w:val="231F1F"/>
        </w:rPr>
        <w:t>También</w:t>
      </w:r>
      <w:r>
        <w:rPr>
          <w:color w:val="231F1F"/>
          <w:spacing w:val="20"/>
        </w:rPr>
        <w:t> </w:t>
      </w:r>
      <w:r>
        <w:rPr>
          <w:color w:val="231F1F"/>
        </w:rPr>
        <w:t>se</w:t>
      </w:r>
      <w:r>
        <w:rPr>
          <w:color w:val="231F1F"/>
          <w:spacing w:val="25"/>
        </w:rPr>
        <w:t> </w:t>
      </w:r>
      <w:r>
        <w:rPr>
          <w:color w:val="231F1F"/>
        </w:rPr>
        <w:t>observó</w:t>
      </w:r>
      <w:r>
        <w:rPr>
          <w:color w:val="231F1F"/>
          <w:spacing w:val="25"/>
        </w:rPr>
        <w:t> </w:t>
      </w:r>
      <w:r>
        <w:rPr>
          <w:color w:val="231F1F"/>
        </w:rPr>
        <w:t>menor</w:t>
      </w:r>
      <w:r>
        <w:rPr>
          <w:color w:val="231F1F"/>
          <w:spacing w:val="24"/>
        </w:rPr>
        <w:t> </w:t>
      </w:r>
      <w:r>
        <w:rPr>
          <w:color w:val="231F1F"/>
        </w:rPr>
        <w:t>grado</w:t>
      </w:r>
      <w:r>
        <w:rPr>
          <w:color w:val="231F1F"/>
          <w:spacing w:val="25"/>
        </w:rPr>
        <w:t> </w:t>
      </w:r>
      <w:r>
        <w:rPr>
          <w:color w:val="231F1F"/>
        </w:rPr>
        <w:t>de</w:t>
      </w:r>
      <w:r>
        <w:rPr>
          <w:color w:val="231F1F"/>
          <w:spacing w:val="24"/>
        </w:rPr>
        <w:t> </w:t>
      </w:r>
      <w:r>
        <w:rPr>
          <w:color w:val="231F1F"/>
        </w:rPr>
        <w:t>dolor</w:t>
      </w:r>
      <w:r>
        <w:rPr>
          <w:color w:val="231F1F"/>
          <w:spacing w:val="25"/>
        </w:rPr>
        <w:t> </w:t>
      </w:r>
      <w:r>
        <w:rPr>
          <w:color w:val="231F1F"/>
        </w:rPr>
        <w:t>a</w:t>
      </w:r>
      <w:r>
        <w:rPr>
          <w:color w:val="231F1F"/>
          <w:spacing w:val="25"/>
        </w:rPr>
        <w:t> </w:t>
      </w:r>
      <w:r>
        <w:rPr>
          <w:color w:val="231F1F"/>
        </w:rPr>
        <w:t>la</w:t>
      </w:r>
      <w:r>
        <w:rPr>
          <w:color w:val="231F1F"/>
          <w:spacing w:val="24"/>
        </w:rPr>
        <w:t> </w:t>
      </w:r>
      <w:r>
        <w:rPr>
          <w:color w:val="231F1F"/>
        </w:rPr>
        <w:t>media</w:t>
      </w:r>
      <w:r>
        <w:rPr>
          <w:color w:val="231F1F"/>
          <w:spacing w:val="25"/>
        </w:rPr>
        <w:t> </w:t>
      </w:r>
      <w:r>
        <w:rPr>
          <w:color w:val="231F1F"/>
        </w:rPr>
        <w:t>hora:</w:t>
      </w:r>
      <w:r>
        <w:rPr>
          <w:color w:val="231F1F"/>
          <w:spacing w:val="23"/>
        </w:rPr>
        <w:t> </w:t>
      </w:r>
      <w:r>
        <w:rPr>
          <w:color w:val="231F1F"/>
        </w:rPr>
        <w:t>DM</w:t>
      </w:r>
      <w:r>
        <w:rPr>
          <w:color w:val="231F1F"/>
          <w:spacing w:val="26"/>
        </w:rPr>
        <w:t> </w:t>
      </w:r>
      <w:r>
        <w:rPr>
          <w:color w:val="231F1F"/>
        </w:rPr>
        <w:t>-17</w:t>
      </w:r>
      <w:r>
        <w:rPr>
          <w:color w:val="231F1F"/>
          <w:spacing w:val="26"/>
        </w:rPr>
        <w:t> </w:t>
      </w:r>
      <w:r>
        <w:rPr>
          <w:color w:val="231F1F"/>
          <w:spacing w:val="-5"/>
        </w:rPr>
        <w:t>[IC</w:t>
      </w:r>
      <w:r>
        <w:rPr>
          <w:color w:val="231F1F"/>
        </w:rPr>
        <w:tab/>
      </w:r>
      <w:r>
        <w:rPr>
          <w:rFonts w:ascii="Arial MT" w:hAnsi="Arial MT"/>
          <w:color w:val="231F1F"/>
          <w:sz w:val="18"/>
        </w:rPr>
        <w:t>RS-MA</w:t>
      </w:r>
      <w:r>
        <w:rPr>
          <w:rFonts w:ascii="Arial MT" w:hAnsi="Arial MT"/>
          <w:color w:val="231F1F"/>
          <w:spacing w:val="3"/>
          <w:sz w:val="18"/>
        </w:rPr>
        <w:t> </w:t>
      </w:r>
      <w:r>
        <w:rPr>
          <w:rFonts w:ascii="Arial MT" w:hAnsi="Arial MT"/>
          <w:color w:val="231F1F"/>
          <w:spacing w:val="-5"/>
          <w:sz w:val="18"/>
        </w:rPr>
        <w:t>de</w:t>
      </w:r>
    </w:p>
    <w:p>
      <w:pPr>
        <w:pStyle w:val="BodyText"/>
        <w:tabs>
          <w:tab w:pos="7989" w:val="left" w:leader="none"/>
        </w:tabs>
        <w:spacing w:line="247" w:lineRule="exact" w:before="2"/>
        <w:ind w:left="283"/>
        <w:rPr>
          <w:rFonts w:ascii="Arial MT" w:hAnsi="Arial MT"/>
          <w:position w:val="4"/>
          <w:sz w:val="18"/>
        </w:rPr>
      </w:pPr>
      <w:r>
        <w:rPr>
          <w:color w:val="231F1F"/>
        </w:rPr>
        <w:t>95%</w:t>
      </w:r>
      <w:r>
        <w:rPr>
          <w:color w:val="231F1F"/>
          <w:spacing w:val="-3"/>
        </w:rPr>
        <w:t> </w:t>
      </w:r>
      <w:r>
        <w:rPr>
          <w:color w:val="231F1F"/>
        </w:rPr>
        <w:t>-30</w:t>
      </w:r>
      <w:r>
        <w:rPr>
          <w:color w:val="231F1F"/>
          <w:spacing w:val="2"/>
        </w:rPr>
        <w:t> </w:t>
      </w:r>
      <w:r>
        <w:rPr>
          <w:color w:val="231F1F"/>
        </w:rPr>
        <w:t>a</w:t>
      </w:r>
      <w:r>
        <w:rPr>
          <w:color w:val="231F1F"/>
          <w:spacing w:val="1"/>
        </w:rPr>
        <w:t> </w:t>
      </w:r>
      <w:r>
        <w:rPr>
          <w:color w:val="231F1F"/>
        </w:rPr>
        <w:t>-4],</w:t>
      </w:r>
      <w:r>
        <w:rPr>
          <w:color w:val="231F1F"/>
          <w:spacing w:val="1"/>
        </w:rPr>
        <w:t> </w:t>
      </w:r>
      <w:r>
        <w:rPr>
          <w:color w:val="231F1F"/>
        </w:rPr>
        <w:t>p&lt;0,05</w:t>
      </w:r>
      <w:r>
        <w:rPr>
          <w:color w:val="231F1F"/>
          <w:spacing w:val="2"/>
        </w:rPr>
        <w:t> </w:t>
      </w:r>
      <w:r>
        <w:rPr>
          <w:color w:val="231F1F"/>
        </w:rPr>
        <w:t>y</w:t>
      </w:r>
      <w:r>
        <w:rPr>
          <w:color w:val="231F1F"/>
          <w:spacing w:val="1"/>
        </w:rPr>
        <w:t> </w:t>
      </w:r>
      <w:r>
        <w:rPr>
          <w:color w:val="231F1F"/>
        </w:rPr>
        <w:t>mayor</w:t>
      </w:r>
      <w:r>
        <w:rPr>
          <w:color w:val="231F1F"/>
          <w:spacing w:val="1"/>
        </w:rPr>
        <w:t> </w:t>
      </w:r>
      <w:r>
        <w:rPr>
          <w:color w:val="231F1F"/>
        </w:rPr>
        <w:t>grado</w:t>
      </w:r>
      <w:r>
        <w:rPr>
          <w:color w:val="231F1F"/>
          <w:spacing w:val="1"/>
        </w:rPr>
        <w:t> </w:t>
      </w:r>
      <w:r>
        <w:rPr>
          <w:color w:val="231F1F"/>
        </w:rPr>
        <w:t>de</w:t>
      </w:r>
      <w:r>
        <w:rPr>
          <w:color w:val="231F1F"/>
          <w:spacing w:val="-1"/>
        </w:rPr>
        <w:t> </w:t>
      </w:r>
      <w:r>
        <w:rPr>
          <w:color w:val="231F1F"/>
        </w:rPr>
        <w:t>sedación</w:t>
      </w:r>
      <w:r>
        <w:rPr>
          <w:color w:val="231F1F"/>
          <w:spacing w:val="2"/>
        </w:rPr>
        <w:t> </w:t>
      </w:r>
      <w:r>
        <w:rPr>
          <w:color w:val="231F1F"/>
        </w:rPr>
        <w:t>a</w:t>
      </w:r>
      <w:r>
        <w:rPr>
          <w:color w:val="231F1F"/>
          <w:spacing w:val="1"/>
        </w:rPr>
        <w:t> </w:t>
      </w:r>
      <w:r>
        <w:rPr>
          <w:color w:val="231F1F"/>
        </w:rPr>
        <w:t>los</w:t>
      </w:r>
      <w:r>
        <w:rPr>
          <w:color w:val="231F1F"/>
          <w:spacing w:val="1"/>
        </w:rPr>
        <w:t> </w:t>
      </w:r>
      <w:r>
        <w:rPr>
          <w:color w:val="231F1F"/>
        </w:rPr>
        <w:t>15</w:t>
      </w:r>
      <w:r>
        <w:rPr>
          <w:color w:val="231F1F"/>
          <w:spacing w:val="2"/>
        </w:rPr>
        <w:t> </w:t>
      </w:r>
      <w:r>
        <w:rPr>
          <w:color w:val="231F1F"/>
        </w:rPr>
        <w:t>y</w:t>
      </w:r>
      <w:r>
        <w:rPr>
          <w:color w:val="231F1F"/>
          <w:spacing w:val="2"/>
        </w:rPr>
        <w:t> </w:t>
      </w:r>
      <w:r>
        <w:rPr>
          <w:color w:val="231F1F"/>
        </w:rPr>
        <w:t>30</w:t>
      </w:r>
      <w:r>
        <w:rPr>
          <w:color w:val="231F1F"/>
          <w:spacing w:val="1"/>
        </w:rPr>
        <w:t> </w:t>
      </w:r>
      <w:r>
        <w:rPr>
          <w:color w:val="231F1F"/>
        </w:rPr>
        <w:t>minutos:</w:t>
      </w:r>
      <w:r>
        <w:rPr>
          <w:color w:val="231F1F"/>
          <w:spacing w:val="1"/>
        </w:rPr>
        <w:t> </w:t>
      </w:r>
      <w:r>
        <w:rPr>
          <w:color w:val="231F1F"/>
        </w:rPr>
        <w:t>DM</w:t>
      </w:r>
      <w:r>
        <w:rPr>
          <w:color w:val="231F1F"/>
          <w:spacing w:val="2"/>
        </w:rPr>
        <w:t> </w:t>
      </w:r>
      <w:r>
        <w:rPr>
          <w:color w:val="231F1F"/>
          <w:spacing w:val="-5"/>
        </w:rPr>
        <w:t>24</w:t>
      </w:r>
      <w:r>
        <w:rPr>
          <w:color w:val="231F1F"/>
        </w:rPr>
        <w:tab/>
      </w:r>
      <w:r>
        <w:rPr>
          <w:rFonts w:ascii="Arial MT" w:hAnsi="Arial MT"/>
          <w:color w:val="231F1F"/>
          <w:spacing w:val="-4"/>
          <w:position w:val="4"/>
          <w:sz w:val="18"/>
        </w:rPr>
        <w:t>ECAs</w:t>
      </w:r>
    </w:p>
    <w:p>
      <w:pPr>
        <w:pStyle w:val="BodyText"/>
        <w:tabs>
          <w:tab w:pos="8114" w:val="left" w:leader="none"/>
        </w:tabs>
        <w:spacing w:line="287" w:lineRule="exact"/>
        <w:ind w:left="283"/>
        <w:rPr>
          <w:rFonts w:ascii="Arial MT"/>
          <w:position w:val="8"/>
          <w:sz w:val="18"/>
        </w:rPr>
      </w:pPr>
      <w:r>
        <w:rPr>
          <w:color w:val="231F1F"/>
        </w:rPr>
        <w:t>[IC</w:t>
      </w:r>
      <w:r>
        <w:rPr>
          <w:color w:val="231F1F"/>
          <w:spacing w:val="1"/>
        </w:rPr>
        <w:t> </w:t>
      </w:r>
      <w:r>
        <w:rPr>
          <w:color w:val="231F1F"/>
        </w:rPr>
        <w:t>95%</w:t>
      </w:r>
      <w:r>
        <w:rPr>
          <w:color w:val="231F1F"/>
          <w:spacing w:val="2"/>
        </w:rPr>
        <w:t> </w:t>
      </w:r>
      <w:r>
        <w:rPr>
          <w:color w:val="231F1F"/>
        </w:rPr>
        <w:t>8</w:t>
      </w:r>
      <w:r>
        <w:rPr>
          <w:color w:val="231F1F"/>
          <w:spacing w:val="3"/>
        </w:rPr>
        <w:t> </w:t>
      </w:r>
      <w:r>
        <w:rPr>
          <w:color w:val="231F1F"/>
        </w:rPr>
        <w:t>a</w:t>
      </w:r>
      <w:r>
        <w:rPr>
          <w:color w:val="231F1F"/>
          <w:spacing w:val="3"/>
        </w:rPr>
        <w:t> </w:t>
      </w:r>
      <w:r>
        <w:rPr>
          <w:color w:val="231F1F"/>
        </w:rPr>
        <w:t>43],</w:t>
      </w:r>
      <w:r>
        <w:rPr>
          <w:color w:val="231F1F"/>
          <w:spacing w:val="-1"/>
        </w:rPr>
        <w:t> </w:t>
      </w:r>
      <w:r>
        <w:rPr>
          <w:color w:val="231F1F"/>
        </w:rPr>
        <w:t>p&lt;0,05</w:t>
      </w:r>
      <w:r>
        <w:rPr>
          <w:color w:val="231F1F"/>
          <w:spacing w:val="3"/>
        </w:rPr>
        <w:t> </w:t>
      </w:r>
      <w:r>
        <w:rPr>
          <w:color w:val="231F1F"/>
        </w:rPr>
        <w:t>y</w:t>
      </w:r>
      <w:r>
        <w:rPr>
          <w:color w:val="231F1F"/>
          <w:spacing w:val="3"/>
        </w:rPr>
        <w:t> </w:t>
      </w:r>
      <w:r>
        <w:rPr>
          <w:color w:val="231F1F"/>
        </w:rPr>
        <w:t>DM</w:t>
      </w:r>
      <w:r>
        <w:rPr>
          <w:color w:val="231F1F"/>
          <w:spacing w:val="3"/>
        </w:rPr>
        <w:t> </w:t>
      </w:r>
      <w:r>
        <w:rPr>
          <w:color w:val="231F1F"/>
        </w:rPr>
        <w:t>26</w:t>
      </w:r>
      <w:r>
        <w:rPr>
          <w:color w:val="231F1F"/>
          <w:spacing w:val="2"/>
        </w:rPr>
        <w:t> </w:t>
      </w:r>
      <w:r>
        <w:rPr>
          <w:color w:val="231F1F"/>
        </w:rPr>
        <w:t>[IC</w:t>
      </w:r>
      <w:r>
        <w:rPr>
          <w:color w:val="231F1F"/>
          <w:spacing w:val="1"/>
        </w:rPr>
        <w:t> </w:t>
      </w:r>
      <w:r>
        <w:rPr>
          <w:color w:val="231F1F"/>
        </w:rPr>
        <w:t>95%</w:t>
      </w:r>
      <w:r>
        <w:rPr>
          <w:color w:val="231F1F"/>
          <w:spacing w:val="5"/>
        </w:rPr>
        <w:t> </w:t>
      </w:r>
      <w:r>
        <w:rPr>
          <w:color w:val="231F1F"/>
        </w:rPr>
        <w:t>8</w:t>
      </w:r>
      <w:r>
        <w:rPr>
          <w:color w:val="231F1F"/>
          <w:spacing w:val="1"/>
        </w:rPr>
        <w:t> </w:t>
      </w:r>
      <w:r>
        <w:rPr>
          <w:color w:val="231F1F"/>
        </w:rPr>
        <w:t>a</w:t>
      </w:r>
      <w:r>
        <w:rPr>
          <w:color w:val="231F1F"/>
          <w:spacing w:val="3"/>
        </w:rPr>
        <w:t> </w:t>
      </w:r>
      <w:r>
        <w:rPr>
          <w:color w:val="231F1F"/>
        </w:rPr>
        <w:t>41],</w:t>
      </w:r>
      <w:r>
        <w:rPr>
          <w:color w:val="231F1F"/>
          <w:spacing w:val="1"/>
        </w:rPr>
        <w:t> </w:t>
      </w:r>
      <w:r>
        <w:rPr>
          <w:color w:val="231F1F"/>
        </w:rPr>
        <w:t>p&lt;0,05</w:t>
      </w:r>
      <w:r>
        <w:rPr>
          <w:color w:val="231F1F"/>
          <w:spacing w:val="2"/>
        </w:rPr>
        <w:t> </w:t>
      </w:r>
      <w:r>
        <w:rPr>
          <w:color w:val="231F1F"/>
          <w:spacing w:val="-2"/>
        </w:rPr>
        <w:t>respectivamente.</w:t>
      </w:r>
      <w:r>
        <w:rPr>
          <w:color w:val="231F1F"/>
        </w:rPr>
        <w:tab/>
      </w:r>
      <w:r>
        <w:rPr>
          <w:rFonts w:ascii="Arial MT"/>
          <w:color w:val="231F1F"/>
          <w:spacing w:val="-5"/>
          <w:position w:val="8"/>
          <w:sz w:val="18"/>
        </w:rPr>
        <w:t>1+</w:t>
      </w:r>
    </w:p>
    <w:p>
      <w:pPr>
        <w:pStyle w:val="BodyText"/>
        <w:spacing w:line="259" w:lineRule="auto" w:before="107"/>
        <w:ind w:left="283" w:right="1489" w:firstLine="453"/>
      </w:pPr>
      <w:r>
        <w:rPr>
          <w:color w:val="231F1F"/>
        </w:rPr>
        <w:t>En</w:t>
      </w:r>
      <w:r>
        <w:rPr>
          <w:color w:val="231F1F"/>
          <w:spacing w:val="-4"/>
        </w:rPr>
        <w:t> </w:t>
      </w:r>
      <w:r>
        <w:rPr>
          <w:color w:val="231F1F"/>
        </w:rPr>
        <w:t>esta</w:t>
      </w:r>
      <w:r>
        <w:rPr>
          <w:color w:val="231F1F"/>
          <w:spacing w:val="-4"/>
        </w:rPr>
        <w:t> </w:t>
      </w:r>
      <w:r>
        <w:rPr>
          <w:color w:val="231F1F"/>
        </w:rPr>
        <w:t>comparación</w:t>
      </w:r>
      <w:r>
        <w:rPr>
          <w:color w:val="231F1F"/>
          <w:spacing w:val="-4"/>
        </w:rPr>
        <w:t> </w:t>
      </w:r>
      <w:r>
        <w:rPr>
          <w:color w:val="231F1F"/>
        </w:rPr>
        <w:t>no</w:t>
      </w:r>
      <w:r>
        <w:rPr>
          <w:color w:val="231F1F"/>
          <w:spacing w:val="-4"/>
        </w:rPr>
        <w:t> </w:t>
      </w:r>
      <w:r>
        <w:rPr>
          <w:color w:val="231F1F"/>
        </w:rPr>
        <w:t>se</w:t>
      </w:r>
      <w:r>
        <w:rPr>
          <w:color w:val="231F1F"/>
          <w:spacing w:val="-4"/>
        </w:rPr>
        <w:t> </w:t>
      </w:r>
      <w:r>
        <w:rPr>
          <w:color w:val="231F1F"/>
        </w:rPr>
        <w:t>evaluó</w:t>
      </w:r>
      <w:r>
        <w:rPr>
          <w:color w:val="231F1F"/>
          <w:spacing w:val="-4"/>
        </w:rPr>
        <w:t> </w:t>
      </w:r>
      <w:r>
        <w:rPr>
          <w:color w:val="231F1F"/>
        </w:rPr>
        <w:t>el</w:t>
      </w:r>
      <w:r>
        <w:rPr>
          <w:color w:val="231F1F"/>
          <w:spacing w:val="-4"/>
        </w:rPr>
        <w:t> </w:t>
      </w:r>
      <w:r>
        <w:rPr>
          <w:color w:val="231F1F"/>
        </w:rPr>
        <w:t>efecto</w:t>
      </w:r>
      <w:r>
        <w:rPr>
          <w:color w:val="231F1F"/>
          <w:spacing w:val="-4"/>
        </w:rPr>
        <w:t> </w:t>
      </w:r>
      <w:r>
        <w:rPr>
          <w:color w:val="231F1F"/>
        </w:rPr>
        <w:t>de</w:t>
      </w:r>
      <w:r>
        <w:rPr>
          <w:color w:val="231F1F"/>
          <w:spacing w:val="-4"/>
        </w:rPr>
        <w:t> </w:t>
      </w:r>
      <w:r>
        <w:rPr>
          <w:color w:val="231F1F"/>
        </w:rPr>
        <w:t>la</w:t>
      </w:r>
      <w:r>
        <w:rPr>
          <w:color w:val="231F1F"/>
          <w:spacing w:val="-4"/>
        </w:rPr>
        <w:t> </w:t>
      </w:r>
      <w:r>
        <w:rPr>
          <w:color w:val="231F1F"/>
        </w:rPr>
        <w:t>administración</w:t>
      </w:r>
      <w:r>
        <w:rPr>
          <w:color w:val="231F1F"/>
          <w:spacing w:val="-4"/>
        </w:rPr>
        <w:t> </w:t>
      </w:r>
      <w:r>
        <w:rPr>
          <w:color w:val="231F1F"/>
        </w:rPr>
        <w:t>de</w:t>
      </w:r>
      <w:r>
        <w:rPr>
          <w:color w:val="231F1F"/>
          <w:spacing w:val="-4"/>
        </w:rPr>
        <w:t> </w:t>
      </w:r>
      <w:r>
        <w:rPr>
          <w:color w:val="231F1F"/>
        </w:rPr>
        <w:t>opioi- des</w:t>
      </w:r>
      <w:r>
        <w:rPr>
          <w:color w:val="231F1F"/>
          <w:spacing w:val="40"/>
        </w:rPr>
        <w:t> </w:t>
      </w:r>
      <w:r>
        <w:rPr>
          <w:color w:val="231F1F"/>
        </w:rPr>
        <w:t>IM</w:t>
      </w:r>
      <w:r>
        <w:rPr>
          <w:color w:val="231F1F"/>
          <w:spacing w:val="40"/>
        </w:rPr>
        <w:t> </w:t>
      </w:r>
      <w:r>
        <w:rPr>
          <w:color w:val="231F1F"/>
        </w:rPr>
        <w:t>sobre</w:t>
      </w:r>
      <w:r>
        <w:rPr>
          <w:color w:val="231F1F"/>
          <w:spacing w:val="40"/>
        </w:rPr>
        <w:t> </w:t>
      </w:r>
      <w:r>
        <w:rPr>
          <w:color w:val="231F1F"/>
        </w:rPr>
        <w:t>resultados</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RN.</w:t>
      </w:r>
    </w:p>
    <w:p>
      <w:pPr>
        <w:tabs>
          <w:tab w:pos="7989" w:val="left" w:leader="none"/>
          <w:tab w:pos="8114" w:val="left" w:leader="none"/>
        </w:tabs>
        <w:spacing w:line="242" w:lineRule="auto" w:before="92"/>
        <w:ind w:left="283" w:right="335" w:firstLine="453"/>
        <w:jc w:val="left"/>
        <w:rPr>
          <w:rFonts w:ascii="Arial MT" w:hAnsi="Arial MT"/>
          <w:position w:val="8"/>
          <w:sz w:val="18"/>
        </w:rPr>
      </w:pPr>
      <w:r>
        <w:rPr>
          <w:color w:val="231F1F"/>
          <w:w w:val="105"/>
          <w:sz w:val="22"/>
        </w:rPr>
        <w:t>En</w:t>
      </w:r>
      <w:r>
        <w:rPr>
          <w:color w:val="231F1F"/>
          <w:spacing w:val="5"/>
          <w:w w:val="105"/>
          <w:sz w:val="22"/>
        </w:rPr>
        <w:t> </w:t>
      </w:r>
      <w:r>
        <w:rPr>
          <w:color w:val="231F1F"/>
          <w:w w:val="105"/>
          <w:sz w:val="22"/>
        </w:rPr>
        <w:t>relación</w:t>
      </w:r>
      <w:r>
        <w:rPr>
          <w:color w:val="231F1F"/>
          <w:spacing w:val="5"/>
          <w:w w:val="105"/>
          <w:sz w:val="22"/>
        </w:rPr>
        <w:t> </w:t>
      </w:r>
      <w:r>
        <w:rPr>
          <w:color w:val="231F1F"/>
          <w:w w:val="105"/>
          <w:sz w:val="22"/>
        </w:rPr>
        <w:t>a</w:t>
      </w:r>
      <w:r>
        <w:rPr>
          <w:color w:val="231F1F"/>
          <w:spacing w:val="5"/>
          <w:w w:val="105"/>
          <w:sz w:val="22"/>
        </w:rPr>
        <w:t> </w:t>
      </w:r>
      <w:r>
        <w:rPr>
          <w:color w:val="231F1F"/>
          <w:w w:val="105"/>
          <w:sz w:val="22"/>
        </w:rPr>
        <w:t>los</w:t>
      </w:r>
      <w:r>
        <w:rPr>
          <w:color w:val="231F1F"/>
          <w:spacing w:val="5"/>
          <w:w w:val="105"/>
          <w:sz w:val="22"/>
        </w:rPr>
        <w:t> </w:t>
      </w:r>
      <w:r>
        <w:rPr>
          <w:color w:val="231F1F"/>
          <w:w w:val="105"/>
          <w:sz w:val="22"/>
        </w:rPr>
        <w:t>estudios</w:t>
      </w:r>
      <w:r>
        <w:rPr>
          <w:color w:val="231F1F"/>
          <w:spacing w:val="5"/>
          <w:w w:val="105"/>
          <w:sz w:val="22"/>
        </w:rPr>
        <w:t> </w:t>
      </w:r>
      <w:r>
        <w:rPr>
          <w:color w:val="231F1F"/>
          <w:w w:val="105"/>
          <w:sz w:val="22"/>
        </w:rPr>
        <w:t>que</w:t>
      </w:r>
      <w:r>
        <w:rPr>
          <w:color w:val="231F1F"/>
          <w:spacing w:val="5"/>
          <w:w w:val="105"/>
          <w:sz w:val="22"/>
        </w:rPr>
        <w:t> </w:t>
      </w:r>
      <w:r>
        <w:rPr>
          <w:color w:val="231F1F"/>
          <w:w w:val="105"/>
          <w:sz w:val="22"/>
        </w:rPr>
        <w:t>compararon</w:t>
      </w:r>
      <w:r>
        <w:rPr>
          <w:color w:val="231F1F"/>
          <w:spacing w:val="5"/>
          <w:w w:val="105"/>
          <w:sz w:val="22"/>
        </w:rPr>
        <w:t> </w:t>
      </w:r>
      <w:r>
        <w:rPr>
          <w:color w:val="231F1F"/>
          <w:w w:val="105"/>
          <w:sz w:val="22"/>
        </w:rPr>
        <w:t>la</w:t>
      </w:r>
      <w:r>
        <w:rPr>
          <w:color w:val="231F1F"/>
          <w:spacing w:val="5"/>
          <w:w w:val="105"/>
          <w:sz w:val="22"/>
        </w:rPr>
        <w:t> </w:t>
      </w:r>
      <w:r>
        <w:rPr>
          <w:color w:val="231F1F"/>
          <w:w w:val="105"/>
          <w:sz w:val="22"/>
        </w:rPr>
        <w:t>administración</w:t>
      </w:r>
      <w:r>
        <w:rPr>
          <w:color w:val="231F1F"/>
          <w:spacing w:val="6"/>
          <w:w w:val="105"/>
          <w:sz w:val="22"/>
        </w:rPr>
        <w:t> </w:t>
      </w:r>
      <w:r>
        <w:rPr>
          <w:i/>
          <w:color w:val="231F1F"/>
          <w:w w:val="105"/>
          <w:sz w:val="22"/>
        </w:rPr>
        <w:t>IM</w:t>
      </w:r>
      <w:r>
        <w:rPr>
          <w:i/>
          <w:color w:val="231F1F"/>
          <w:w w:val="105"/>
          <w:sz w:val="22"/>
        </w:rPr>
        <w:t> de</w:t>
      </w:r>
      <w:r>
        <w:rPr>
          <w:i/>
          <w:color w:val="231F1F"/>
          <w:w w:val="105"/>
          <w:sz w:val="22"/>
        </w:rPr>
        <w:t> petidi-</w:t>
      </w:r>
      <w:r>
        <w:rPr>
          <w:i/>
          <w:color w:val="231F1F"/>
          <w:w w:val="105"/>
          <w:sz w:val="22"/>
        </w:rPr>
        <w:t> </w:t>
      </w:r>
      <w:r>
        <w:rPr>
          <w:rFonts w:ascii="Arial MT" w:hAnsi="Arial MT"/>
          <w:color w:val="231F1F"/>
          <w:w w:val="105"/>
          <w:sz w:val="18"/>
        </w:rPr>
        <w:t>RS-MA</w:t>
      </w:r>
      <w:r>
        <w:rPr>
          <w:rFonts w:ascii="Arial MT" w:hAnsi="Arial MT"/>
          <w:color w:val="231F1F"/>
          <w:w w:val="105"/>
          <w:sz w:val="18"/>
        </w:rPr>
        <w:t> de </w:t>
      </w:r>
      <w:r>
        <w:rPr>
          <w:i/>
          <w:color w:val="231F1F"/>
          <w:w w:val="105"/>
          <w:sz w:val="22"/>
        </w:rPr>
        <w:t>na frente a otros opioides </w:t>
      </w:r>
      <w:r>
        <w:rPr>
          <w:color w:val="231F1F"/>
          <w:w w:val="105"/>
          <w:sz w:val="22"/>
        </w:rPr>
        <w:t>incluidos en nuestra pregunta, cabe mencionar que</w:t>
      </w:r>
      <w:r>
        <w:rPr>
          <w:color w:val="231F1F"/>
          <w:sz w:val="22"/>
        </w:rPr>
        <w:tab/>
      </w:r>
      <w:r>
        <w:rPr>
          <w:rFonts w:ascii="Arial MT" w:hAnsi="Arial MT"/>
          <w:color w:val="231F1F"/>
          <w:spacing w:val="-4"/>
          <w:w w:val="105"/>
          <w:position w:val="4"/>
          <w:sz w:val="18"/>
        </w:rPr>
        <w:t>ECAs </w:t>
      </w:r>
      <w:r>
        <w:rPr>
          <w:color w:val="231F1F"/>
          <w:w w:val="105"/>
          <w:sz w:val="22"/>
        </w:rPr>
        <w:t>entre los resultados evaluados tan solo se observaron pequeñas diferencias en</w:t>
      </w:r>
      <w:r>
        <w:rPr>
          <w:color w:val="231F1F"/>
          <w:sz w:val="22"/>
        </w:rPr>
        <w:tab/>
        <w:tab/>
      </w:r>
      <w:r>
        <w:rPr>
          <w:rFonts w:ascii="Arial MT" w:hAnsi="Arial MT"/>
          <w:color w:val="231F1F"/>
          <w:spacing w:val="-6"/>
          <w:w w:val="105"/>
          <w:position w:val="8"/>
          <w:sz w:val="18"/>
        </w:rPr>
        <w:t>1+</w:t>
      </w:r>
    </w:p>
    <w:p>
      <w:pPr>
        <w:pStyle w:val="BodyText"/>
        <w:spacing w:line="247" w:lineRule="auto" w:before="8"/>
        <w:ind w:left="283" w:right="1366"/>
        <w:jc w:val="both"/>
      </w:pPr>
      <w:r>
        <w:rPr>
          <w:color w:val="231F1F"/>
          <w:w w:val="105"/>
        </w:rPr>
        <w:t>la</w:t>
      </w:r>
      <w:r>
        <w:rPr>
          <w:color w:val="231F1F"/>
          <w:spacing w:val="-11"/>
          <w:w w:val="105"/>
        </w:rPr>
        <w:t> </w:t>
      </w:r>
      <w:r>
        <w:rPr>
          <w:color w:val="231F1F"/>
          <w:w w:val="105"/>
        </w:rPr>
        <w:t>incidencia</w:t>
      </w:r>
      <w:r>
        <w:rPr>
          <w:color w:val="231F1F"/>
          <w:spacing w:val="-11"/>
          <w:w w:val="105"/>
        </w:rPr>
        <w:t> </w:t>
      </w:r>
      <w:r>
        <w:rPr>
          <w:color w:val="231F1F"/>
          <w:w w:val="105"/>
        </w:rPr>
        <w:t>de</w:t>
      </w:r>
      <w:r>
        <w:rPr>
          <w:color w:val="231F1F"/>
          <w:spacing w:val="-11"/>
          <w:w w:val="105"/>
        </w:rPr>
        <w:t> </w:t>
      </w:r>
      <w:r>
        <w:rPr>
          <w:color w:val="231F1F"/>
          <w:w w:val="105"/>
        </w:rPr>
        <w:t>náuseas</w:t>
      </w:r>
      <w:r>
        <w:rPr>
          <w:color w:val="231F1F"/>
          <w:spacing w:val="-11"/>
          <w:w w:val="105"/>
        </w:rPr>
        <w:t> </w:t>
      </w:r>
      <w:r>
        <w:rPr>
          <w:color w:val="231F1F"/>
          <w:w w:val="105"/>
        </w:rPr>
        <w:t>de</w:t>
      </w:r>
      <w:r>
        <w:rPr>
          <w:color w:val="231F1F"/>
          <w:spacing w:val="-11"/>
          <w:w w:val="105"/>
        </w:rPr>
        <w:t> </w:t>
      </w:r>
      <w:r>
        <w:rPr>
          <w:color w:val="231F1F"/>
          <w:w w:val="105"/>
        </w:rPr>
        <w:t>petidina</w:t>
      </w:r>
      <w:r>
        <w:rPr>
          <w:color w:val="231F1F"/>
          <w:spacing w:val="-11"/>
          <w:w w:val="105"/>
        </w:rPr>
        <w:t> </w:t>
      </w:r>
      <w:r>
        <w:rPr>
          <w:color w:val="231F1F"/>
          <w:w w:val="105"/>
        </w:rPr>
        <w:t>frente</w:t>
      </w:r>
      <w:r>
        <w:rPr>
          <w:color w:val="231F1F"/>
          <w:spacing w:val="-11"/>
          <w:w w:val="105"/>
        </w:rPr>
        <w:t> </w:t>
      </w:r>
      <w:r>
        <w:rPr>
          <w:color w:val="231F1F"/>
          <w:w w:val="105"/>
        </w:rPr>
        <w:t>a</w:t>
      </w:r>
      <w:r>
        <w:rPr>
          <w:color w:val="231F1F"/>
          <w:spacing w:val="-11"/>
          <w:w w:val="105"/>
        </w:rPr>
        <w:t> </w:t>
      </w:r>
      <w:r>
        <w:rPr>
          <w:color w:val="231F1F"/>
          <w:w w:val="105"/>
        </w:rPr>
        <w:t>pentazocina</w:t>
      </w:r>
      <w:r>
        <w:rPr>
          <w:color w:val="231F1F"/>
          <w:spacing w:val="-11"/>
          <w:w w:val="105"/>
        </w:rPr>
        <w:t> </w:t>
      </w:r>
      <w:r>
        <w:rPr>
          <w:color w:val="231F1F"/>
          <w:w w:val="105"/>
        </w:rPr>
        <w:t>(10%</w:t>
      </w:r>
      <w:r>
        <w:rPr>
          <w:color w:val="231F1F"/>
          <w:spacing w:val="-10"/>
          <w:w w:val="105"/>
        </w:rPr>
        <w:t> </w:t>
      </w:r>
      <w:r>
        <w:rPr>
          <w:color w:val="231F1F"/>
          <w:w w:val="105"/>
        </w:rPr>
        <w:t>vs</w:t>
      </w:r>
      <w:r>
        <w:rPr>
          <w:color w:val="231F1F"/>
          <w:spacing w:val="-11"/>
          <w:w w:val="105"/>
        </w:rPr>
        <w:t> </w:t>
      </w:r>
      <w:r>
        <w:rPr>
          <w:color w:val="231F1F"/>
          <w:w w:val="105"/>
        </w:rPr>
        <w:t>4%,</w:t>
      </w:r>
      <w:r>
        <w:rPr>
          <w:color w:val="231F1F"/>
          <w:spacing w:val="-11"/>
          <w:w w:val="105"/>
        </w:rPr>
        <w:t> </w:t>
      </w:r>
      <w:r>
        <w:rPr>
          <w:color w:val="231F1F"/>
          <w:w w:val="105"/>
        </w:rPr>
        <w:t>p=</w:t>
      </w:r>
      <w:r>
        <w:rPr>
          <w:color w:val="231F1F"/>
          <w:spacing w:val="-11"/>
          <w:w w:val="105"/>
        </w:rPr>
        <w:t> </w:t>
      </w:r>
      <w:r>
        <w:rPr>
          <w:color w:val="231F1F"/>
          <w:w w:val="105"/>
        </w:rPr>
        <w:t>0,01). Los dos metaanálisis incluidos (297;298), en la guía NICE (10) fueron consis- tentes</w:t>
      </w:r>
      <w:r>
        <w:rPr>
          <w:color w:val="231F1F"/>
          <w:spacing w:val="-2"/>
          <w:w w:val="105"/>
        </w:rPr>
        <w:t> </w:t>
      </w:r>
      <w:r>
        <w:rPr>
          <w:color w:val="231F1F"/>
          <w:w w:val="105"/>
        </w:rPr>
        <w:t>en</w:t>
      </w:r>
      <w:r>
        <w:rPr>
          <w:color w:val="231F1F"/>
          <w:spacing w:val="-2"/>
          <w:w w:val="105"/>
        </w:rPr>
        <w:t> </w:t>
      </w:r>
      <w:r>
        <w:rPr>
          <w:color w:val="231F1F"/>
          <w:w w:val="105"/>
        </w:rPr>
        <w:t>que</w:t>
      </w:r>
      <w:r>
        <w:rPr>
          <w:color w:val="231F1F"/>
          <w:spacing w:val="-2"/>
          <w:w w:val="105"/>
        </w:rPr>
        <w:t> </w:t>
      </w:r>
      <w:r>
        <w:rPr>
          <w:color w:val="231F1F"/>
          <w:w w:val="105"/>
        </w:rPr>
        <w:t>la</w:t>
      </w:r>
      <w:r>
        <w:rPr>
          <w:color w:val="231F1F"/>
          <w:spacing w:val="-2"/>
          <w:w w:val="105"/>
        </w:rPr>
        <w:t> </w:t>
      </w:r>
      <w:r>
        <w:rPr>
          <w:color w:val="231F1F"/>
          <w:w w:val="105"/>
        </w:rPr>
        <w:t>administración</w:t>
      </w:r>
      <w:r>
        <w:rPr>
          <w:color w:val="231F1F"/>
          <w:spacing w:val="-1"/>
          <w:w w:val="105"/>
        </w:rPr>
        <w:t> </w:t>
      </w:r>
      <w:r>
        <w:rPr>
          <w:color w:val="231F1F"/>
          <w:w w:val="105"/>
        </w:rPr>
        <w:t>de</w:t>
      </w:r>
      <w:r>
        <w:rPr>
          <w:color w:val="231F1F"/>
          <w:spacing w:val="-2"/>
          <w:w w:val="105"/>
        </w:rPr>
        <w:t> </w:t>
      </w:r>
      <w:r>
        <w:rPr>
          <w:color w:val="231F1F"/>
          <w:w w:val="105"/>
        </w:rPr>
        <w:t>pentazocina</w:t>
      </w:r>
      <w:r>
        <w:rPr>
          <w:color w:val="231F1F"/>
          <w:spacing w:val="-3"/>
          <w:w w:val="105"/>
        </w:rPr>
        <w:t> </w:t>
      </w:r>
      <w:r>
        <w:rPr>
          <w:color w:val="231F1F"/>
          <w:w w:val="105"/>
        </w:rPr>
        <w:t>mostraba</w:t>
      </w:r>
      <w:r>
        <w:rPr>
          <w:color w:val="231F1F"/>
          <w:spacing w:val="-2"/>
          <w:w w:val="105"/>
        </w:rPr>
        <w:t> </w:t>
      </w:r>
      <w:r>
        <w:rPr>
          <w:color w:val="231F1F"/>
          <w:w w:val="105"/>
        </w:rPr>
        <w:t>una</w:t>
      </w:r>
      <w:r>
        <w:rPr>
          <w:color w:val="231F1F"/>
          <w:spacing w:val="-3"/>
          <w:w w:val="105"/>
        </w:rPr>
        <w:t> </w:t>
      </w:r>
      <w:r>
        <w:rPr>
          <w:color w:val="231F1F"/>
          <w:w w:val="105"/>
        </w:rPr>
        <w:t>menor</w:t>
      </w:r>
      <w:r>
        <w:rPr>
          <w:color w:val="231F1F"/>
          <w:spacing w:val="-2"/>
          <w:w w:val="105"/>
        </w:rPr>
        <w:t> </w:t>
      </w:r>
      <w:r>
        <w:rPr>
          <w:color w:val="231F1F"/>
          <w:w w:val="105"/>
        </w:rPr>
        <w:t>incidencia de</w:t>
      </w:r>
      <w:r>
        <w:rPr>
          <w:color w:val="231F1F"/>
          <w:spacing w:val="-2"/>
          <w:w w:val="105"/>
        </w:rPr>
        <w:t> </w:t>
      </w:r>
      <w:r>
        <w:rPr>
          <w:color w:val="231F1F"/>
          <w:w w:val="105"/>
        </w:rPr>
        <w:t>vómitos</w:t>
      </w:r>
      <w:r>
        <w:rPr>
          <w:color w:val="231F1F"/>
          <w:spacing w:val="-2"/>
          <w:w w:val="105"/>
        </w:rPr>
        <w:t> </w:t>
      </w:r>
      <w:r>
        <w:rPr>
          <w:color w:val="231F1F"/>
          <w:w w:val="105"/>
        </w:rPr>
        <w:t>y</w:t>
      </w:r>
      <w:r>
        <w:rPr>
          <w:color w:val="231F1F"/>
          <w:spacing w:val="-2"/>
          <w:w w:val="105"/>
        </w:rPr>
        <w:t> </w:t>
      </w:r>
      <w:r>
        <w:rPr>
          <w:color w:val="231F1F"/>
          <w:w w:val="105"/>
        </w:rPr>
        <w:t>somnolencia,</w:t>
      </w:r>
      <w:r>
        <w:rPr>
          <w:color w:val="231F1F"/>
          <w:spacing w:val="-2"/>
          <w:w w:val="105"/>
        </w:rPr>
        <w:t> </w:t>
      </w:r>
      <w:r>
        <w:rPr>
          <w:color w:val="231F1F"/>
          <w:w w:val="105"/>
        </w:rPr>
        <w:t>aunque</w:t>
      </w:r>
      <w:r>
        <w:rPr>
          <w:color w:val="231F1F"/>
          <w:spacing w:val="-2"/>
          <w:w w:val="105"/>
        </w:rPr>
        <w:t> </w:t>
      </w:r>
      <w:r>
        <w:rPr>
          <w:color w:val="231F1F"/>
          <w:w w:val="105"/>
        </w:rPr>
        <w:t>las</w:t>
      </w:r>
      <w:r>
        <w:rPr>
          <w:color w:val="231F1F"/>
          <w:spacing w:val="-2"/>
          <w:w w:val="105"/>
        </w:rPr>
        <w:t> </w:t>
      </w:r>
      <w:r>
        <w:rPr>
          <w:color w:val="231F1F"/>
          <w:w w:val="105"/>
        </w:rPr>
        <w:t>diferencias</w:t>
      </w:r>
      <w:r>
        <w:rPr>
          <w:color w:val="231F1F"/>
          <w:spacing w:val="-3"/>
          <w:w w:val="105"/>
        </w:rPr>
        <w:t> </w:t>
      </w:r>
      <w:r>
        <w:rPr>
          <w:color w:val="231F1F"/>
          <w:w w:val="105"/>
        </w:rPr>
        <w:t>no</w:t>
      </w:r>
      <w:r>
        <w:rPr>
          <w:color w:val="231F1F"/>
          <w:spacing w:val="-2"/>
          <w:w w:val="105"/>
        </w:rPr>
        <w:t> </w:t>
      </w:r>
      <w:r>
        <w:rPr>
          <w:color w:val="231F1F"/>
          <w:w w:val="105"/>
        </w:rPr>
        <w:t>fueron</w:t>
      </w:r>
      <w:r>
        <w:rPr>
          <w:color w:val="231F1F"/>
          <w:spacing w:val="-1"/>
          <w:w w:val="105"/>
        </w:rPr>
        <w:t> </w:t>
      </w:r>
      <w:r>
        <w:rPr>
          <w:color w:val="231F1F"/>
          <w:w w:val="105"/>
        </w:rPr>
        <w:t>significativas.</w:t>
      </w:r>
      <w:r>
        <w:rPr>
          <w:color w:val="231F1F"/>
          <w:spacing w:val="-3"/>
          <w:w w:val="105"/>
        </w:rPr>
        <w:t> </w:t>
      </w:r>
      <w:r>
        <w:rPr>
          <w:color w:val="231F1F"/>
          <w:w w:val="105"/>
        </w:rPr>
        <w:t>Sin embargo,</w:t>
      </w:r>
      <w:r>
        <w:rPr>
          <w:color w:val="231F1F"/>
          <w:spacing w:val="-4"/>
          <w:w w:val="105"/>
        </w:rPr>
        <w:t> </w:t>
      </w:r>
      <w:r>
        <w:rPr>
          <w:color w:val="231F1F"/>
          <w:w w:val="105"/>
        </w:rPr>
        <w:t>la</w:t>
      </w:r>
      <w:r>
        <w:rPr>
          <w:color w:val="231F1F"/>
          <w:spacing w:val="-4"/>
          <w:w w:val="105"/>
        </w:rPr>
        <w:t> </w:t>
      </w:r>
      <w:r>
        <w:rPr>
          <w:color w:val="231F1F"/>
          <w:w w:val="105"/>
        </w:rPr>
        <w:t>efectividad</w:t>
      </w:r>
      <w:r>
        <w:rPr>
          <w:color w:val="231F1F"/>
          <w:spacing w:val="-4"/>
          <w:w w:val="105"/>
        </w:rPr>
        <w:t> </w:t>
      </w:r>
      <w:r>
        <w:rPr>
          <w:color w:val="231F1F"/>
          <w:w w:val="105"/>
        </w:rPr>
        <w:t>también</w:t>
      </w:r>
      <w:r>
        <w:rPr>
          <w:color w:val="231F1F"/>
          <w:spacing w:val="-4"/>
          <w:w w:val="105"/>
        </w:rPr>
        <w:t> </w:t>
      </w:r>
      <w:r>
        <w:rPr>
          <w:color w:val="231F1F"/>
          <w:w w:val="105"/>
        </w:rPr>
        <w:t>parecía</w:t>
      </w:r>
      <w:r>
        <w:rPr>
          <w:color w:val="231F1F"/>
          <w:spacing w:val="-5"/>
          <w:w w:val="105"/>
        </w:rPr>
        <w:t> </w:t>
      </w:r>
      <w:r>
        <w:rPr>
          <w:color w:val="231F1F"/>
          <w:w w:val="105"/>
        </w:rPr>
        <w:t>menor,</w:t>
      </w:r>
      <w:r>
        <w:rPr>
          <w:color w:val="231F1F"/>
          <w:spacing w:val="-4"/>
          <w:w w:val="105"/>
        </w:rPr>
        <w:t> </w:t>
      </w:r>
      <w:r>
        <w:rPr>
          <w:color w:val="231F1F"/>
          <w:w w:val="105"/>
        </w:rPr>
        <w:t>ya</w:t>
      </w:r>
      <w:r>
        <w:rPr>
          <w:color w:val="231F1F"/>
          <w:spacing w:val="-4"/>
          <w:w w:val="105"/>
        </w:rPr>
        <w:t> </w:t>
      </w:r>
      <w:r>
        <w:rPr>
          <w:color w:val="231F1F"/>
          <w:w w:val="105"/>
        </w:rPr>
        <w:t>que</w:t>
      </w:r>
      <w:r>
        <w:rPr>
          <w:color w:val="231F1F"/>
          <w:spacing w:val="-4"/>
          <w:w w:val="105"/>
        </w:rPr>
        <w:t> </w:t>
      </w:r>
      <w:r>
        <w:rPr>
          <w:color w:val="231F1F"/>
          <w:w w:val="105"/>
        </w:rPr>
        <w:t>la</w:t>
      </w:r>
      <w:r>
        <w:rPr>
          <w:color w:val="231F1F"/>
          <w:spacing w:val="-4"/>
          <w:w w:val="105"/>
        </w:rPr>
        <w:t> </w:t>
      </w:r>
      <w:r>
        <w:rPr>
          <w:color w:val="231F1F"/>
          <w:w w:val="105"/>
        </w:rPr>
        <w:t>necesidad</w:t>
      </w:r>
      <w:r>
        <w:rPr>
          <w:color w:val="231F1F"/>
          <w:spacing w:val="-5"/>
          <w:w w:val="105"/>
        </w:rPr>
        <w:t> </w:t>
      </w:r>
      <w:r>
        <w:rPr>
          <w:color w:val="231F1F"/>
          <w:w w:val="105"/>
        </w:rPr>
        <w:t>de</w:t>
      </w:r>
      <w:r>
        <w:rPr>
          <w:color w:val="231F1F"/>
          <w:spacing w:val="-4"/>
          <w:w w:val="105"/>
        </w:rPr>
        <w:t> </w:t>
      </w:r>
      <w:r>
        <w:rPr>
          <w:color w:val="231F1F"/>
          <w:w w:val="105"/>
        </w:rPr>
        <w:t>analge- sia adicional fue significativamente mayor en el grupo de pentazocina frente a petidina:</w:t>
      </w:r>
      <w:r>
        <w:rPr>
          <w:color w:val="231F1F"/>
          <w:spacing w:val="-10"/>
          <w:w w:val="105"/>
        </w:rPr>
        <w:t> </w:t>
      </w:r>
      <w:r>
        <w:rPr>
          <w:color w:val="231F1F"/>
          <w:w w:val="105"/>
        </w:rPr>
        <w:t>OR</w:t>
      </w:r>
      <w:r>
        <w:rPr>
          <w:color w:val="231F1F"/>
          <w:spacing w:val="-9"/>
          <w:w w:val="105"/>
        </w:rPr>
        <w:t> </w:t>
      </w:r>
      <w:r>
        <w:rPr>
          <w:color w:val="231F1F"/>
          <w:w w:val="105"/>
        </w:rPr>
        <w:t>1,95</w:t>
      </w:r>
      <w:r>
        <w:rPr>
          <w:color w:val="231F1F"/>
          <w:spacing w:val="-9"/>
          <w:w w:val="105"/>
        </w:rPr>
        <w:t> </w:t>
      </w:r>
      <w:r>
        <w:rPr>
          <w:color w:val="231F1F"/>
          <w:w w:val="105"/>
        </w:rPr>
        <w:t>[IC</w:t>
      </w:r>
      <w:r>
        <w:rPr>
          <w:color w:val="231F1F"/>
          <w:spacing w:val="-9"/>
          <w:w w:val="105"/>
        </w:rPr>
        <w:t> </w:t>
      </w:r>
      <w:r>
        <w:rPr>
          <w:color w:val="231F1F"/>
          <w:w w:val="105"/>
        </w:rPr>
        <w:t>95%</w:t>
      </w:r>
      <w:r>
        <w:rPr>
          <w:color w:val="231F1F"/>
          <w:spacing w:val="-9"/>
          <w:w w:val="105"/>
        </w:rPr>
        <w:t> </w:t>
      </w:r>
      <w:r>
        <w:rPr>
          <w:color w:val="231F1F"/>
          <w:w w:val="105"/>
        </w:rPr>
        <w:t>1,31</w:t>
      </w:r>
      <w:r>
        <w:rPr>
          <w:color w:val="231F1F"/>
          <w:spacing w:val="-9"/>
          <w:w w:val="105"/>
        </w:rPr>
        <w:t> </w:t>
      </w:r>
      <w:r>
        <w:rPr>
          <w:color w:val="231F1F"/>
          <w:w w:val="105"/>
        </w:rPr>
        <w:t>a</w:t>
      </w:r>
      <w:r>
        <w:rPr>
          <w:color w:val="231F1F"/>
          <w:spacing w:val="-9"/>
          <w:w w:val="105"/>
        </w:rPr>
        <w:t> </w:t>
      </w:r>
      <w:r>
        <w:rPr>
          <w:color w:val="231F1F"/>
          <w:w w:val="105"/>
        </w:rPr>
        <w:t>2,8].</w:t>
      </w:r>
      <w:r>
        <w:rPr>
          <w:color w:val="231F1F"/>
          <w:spacing w:val="-10"/>
          <w:w w:val="105"/>
        </w:rPr>
        <w:t> </w:t>
      </w:r>
      <w:r>
        <w:rPr>
          <w:color w:val="231F1F"/>
          <w:w w:val="105"/>
        </w:rPr>
        <w:t>Los</w:t>
      </w:r>
      <w:r>
        <w:rPr>
          <w:color w:val="231F1F"/>
          <w:spacing w:val="-9"/>
          <w:w w:val="105"/>
        </w:rPr>
        <w:t> </w:t>
      </w:r>
      <w:r>
        <w:rPr>
          <w:color w:val="231F1F"/>
          <w:w w:val="105"/>
        </w:rPr>
        <w:t>estudios</w:t>
      </w:r>
      <w:r>
        <w:rPr>
          <w:color w:val="231F1F"/>
          <w:spacing w:val="-8"/>
          <w:w w:val="105"/>
        </w:rPr>
        <w:t> </w:t>
      </w:r>
      <w:r>
        <w:rPr>
          <w:color w:val="231F1F"/>
          <w:w w:val="105"/>
        </w:rPr>
        <w:t>que</w:t>
      </w:r>
      <w:r>
        <w:rPr>
          <w:color w:val="231F1F"/>
          <w:spacing w:val="-9"/>
          <w:w w:val="105"/>
        </w:rPr>
        <w:t> </w:t>
      </w:r>
      <w:r>
        <w:rPr>
          <w:color w:val="231F1F"/>
          <w:w w:val="105"/>
        </w:rPr>
        <w:t>realizaron</w:t>
      </w:r>
      <w:r>
        <w:rPr>
          <w:color w:val="231F1F"/>
          <w:spacing w:val="-8"/>
          <w:w w:val="105"/>
        </w:rPr>
        <w:t> </w:t>
      </w:r>
      <w:r>
        <w:rPr>
          <w:color w:val="231F1F"/>
          <w:w w:val="105"/>
        </w:rPr>
        <w:t>la</w:t>
      </w:r>
      <w:r>
        <w:rPr>
          <w:color w:val="231F1F"/>
          <w:spacing w:val="-9"/>
          <w:w w:val="105"/>
        </w:rPr>
        <w:t> </w:t>
      </w:r>
      <w:r>
        <w:rPr>
          <w:color w:val="231F1F"/>
          <w:w w:val="105"/>
        </w:rPr>
        <w:t>compara- ción entre diferentes opioides IM tampoco notificaron resultados neonatales.</w:t>
      </w:r>
    </w:p>
    <w:p>
      <w:pPr>
        <w:tabs>
          <w:tab w:pos="7791" w:val="left" w:leader="none"/>
          <w:tab w:pos="7989" w:val="left" w:leader="none"/>
          <w:tab w:pos="8114" w:val="left" w:leader="none"/>
        </w:tabs>
        <w:spacing w:line="249" w:lineRule="auto" w:before="94"/>
        <w:ind w:left="283" w:right="312" w:firstLine="453"/>
        <w:jc w:val="left"/>
        <w:rPr>
          <w:sz w:val="22"/>
        </w:rPr>
      </w:pPr>
      <w:r>
        <w:rPr>
          <w:color w:val="231F1F"/>
          <w:sz w:val="22"/>
        </w:rPr>
        <w:t>Otros dos ensayos realizados en 1970 e incluidos en las revisiones men-</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sz w:val="22"/>
        </w:rPr>
        <w:t>cionadas anteriormente, compararon la administración de </w:t>
      </w:r>
      <w:r>
        <w:rPr>
          <w:i/>
          <w:color w:val="231F1F"/>
          <w:w w:val="105"/>
          <w:sz w:val="22"/>
        </w:rPr>
        <w:t>dosis altas de peti-</w:t>
      </w:r>
      <w:r>
        <w:rPr>
          <w:i/>
          <w:color w:val="231F1F"/>
          <w:sz w:val="22"/>
        </w:rPr>
        <w:tab/>
        <w:tab/>
      </w:r>
      <w:r>
        <w:rPr>
          <w:rFonts w:ascii="Arial MT" w:hAnsi="Arial MT"/>
          <w:color w:val="231F1F"/>
          <w:spacing w:val="-4"/>
          <w:w w:val="105"/>
          <w:position w:val="4"/>
          <w:sz w:val="18"/>
        </w:rPr>
        <w:t>ECAs </w:t>
      </w:r>
      <w:r>
        <w:rPr>
          <w:i/>
          <w:color w:val="231F1F"/>
          <w:w w:val="105"/>
          <w:sz w:val="22"/>
        </w:rPr>
        <w:t>dina IM </w:t>
      </w:r>
      <w:r>
        <w:rPr>
          <w:color w:val="231F1F"/>
          <w:w w:val="105"/>
          <w:sz w:val="22"/>
        </w:rPr>
        <w:t>(80-100 mg) </w:t>
      </w:r>
      <w:r>
        <w:rPr>
          <w:i/>
          <w:color w:val="231F1F"/>
          <w:w w:val="105"/>
          <w:sz w:val="22"/>
        </w:rPr>
        <w:t>frente a dosis bajas </w:t>
      </w:r>
      <w:r>
        <w:rPr>
          <w:color w:val="231F1F"/>
          <w:w w:val="105"/>
          <w:sz w:val="22"/>
        </w:rPr>
        <w:t>(40-50 mg) en un total de 173 mujeres</w:t>
      </w:r>
      <w:r>
        <w:rPr>
          <w:color w:val="231F1F"/>
          <w:sz w:val="22"/>
        </w:rPr>
        <w:tab/>
        <w:tab/>
        <w:tab/>
      </w:r>
      <w:r>
        <w:rPr>
          <w:rFonts w:ascii="Arial MT" w:hAnsi="Arial MT"/>
          <w:color w:val="231F1F"/>
          <w:spacing w:val="-6"/>
          <w:w w:val="105"/>
          <w:position w:val="8"/>
          <w:sz w:val="18"/>
        </w:rPr>
        <w:t>1+ </w:t>
      </w:r>
      <w:r>
        <w:rPr>
          <w:color w:val="231F1F"/>
          <w:w w:val="105"/>
          <w:sz w:val="22"/>
        </w:rPr>
        <w:t>entre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dos</w:t>
      </w:r>
      <w:r>
        <w:rPr>
          <w:color w:val="231F1F"/>
          <w:spacing w:val="40"/>
          <w:w w:val="105"/>
          <w:sz w:val="22"/>
        </w:rPr>
        <w:t> </w:t>
      </w:r>
      <w:r>
        <w:rPr>
          <w:color w:val="231F1F"/>
          <w:w w:val="105"/>
          <w:sz w:val="22"/>
        </w:rPr>
        <w:t>estudios.</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ellas</w:t>
      </w:r>
      <w:r>
        <w:rPr>
          <w:color w:val="231F1F"/>
          <w:spacing w:val="40"/>
          <w:w w:val="105"/>
          <w:sz w:val="22"/>
        </w:rPr>
        <w:t> </w:t>
      </w:r>
      <w:r>
        <w:rPr>
          <w:color w:val="231F1F"/>
          <w:w w:val="105"/>
          <w:sz w:val="22"/>
        </w:rPr>
        <w:t>se</w:t>
      </w:r>
      <w:r>
        <w:rPr>
          <w:color w:val="231F1F"/>
          <w:spacing w:val="40"/>
          <w:w w:val="105"/>
          <w:sz w:val="22"/>
        </w:rPr>
        <w:t> </w:t>
      </w:r>
      <w:r>
        <w:rPr>
          <w:color w:val="231F1F"/>
          <w:w w:val="105"/>
          <w:sz w:val="22"/>
        </w:rPr>
        <w:t>encontró</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necesidad</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analgesia</w:t>
      </w:r>
    </w:p>
    <w:p>
      <w:pPr>
        <w:pStyle w:val="BodyText"/>
        <w:spacing w:line="244" w:lineRule="auto"/>
        <w:ind w:left="283" w:right="1367"/>
        <w:jc w:val="both"/>
      </w:pPr>
      <w:r>
        <w:rPr>
          <w:color w:val="231F1F"/>
          <w:w w:val="105"/>
        </w:rPr>
        <w:t>adicional fue significativamente mayor en el grupo con bajas dosis: OR 3,74 [IC 95% 1,75 a 8,00]. El grupo con dosis altas presentó una mayor tendencia de vómitos y grado de somnolencia, a pesar de que las diferencias no fueron estadísticamente significativas. Tampoco se encontraron diferencia en cuanto a: insatisfacción con el alivio del dolor, puntuaciones de la escala de dolor y náuseas.</w:t>
      </w:r>
      <w:r>
        <w:rPr>
          <w:color w:val="231F1F"/>
          <w:spacing w:val="40"/>
          <w:w w:val="105"/>
        </w:rPr>
        <w:t> </w:t>
      </w:r>
      <w:r>
        <w:rPr>
          <w:color w:val="231F1F"/>
          <w:w w:val="105"/>
        </w:rPr>
        <w:t>Hubo</w:t>
      </w:r>
      <w:r>
        <w:rPr>
          <w:color w:val="231F1F"/>
          <w:spacing w:val="40"/>
          <w:w w:val="105"/>
        </w:rPr>
        <w:t> </w:t>
      </w:r>
      <w:r>
        <w:rPr>
          <w:color w:val="231F1F"/>
          <w:w w:val="105"/>
        </w:rPr>
        <w:t>ausencia</w:t>
      </w:r>
      <w:r>
        <w:rPr>
          <w:color w:val="231F1F"/>
          <w:spacing w:val="40"/>
          <w:w w:val="105"/>
        </w:rPr>
        <w:t> </w:t>
      </w:r>
      <w:r>
        <w:rPr>
          <w:color w:val="231F1F"/>
          <w:w w:val="105"/>
        </w:rPr>
        <w:t>de</w:t>
      </w:r>
      <w:r>
        <w:rPr>
          <w:color w:val="231F1F"/>
          <w:spacing w:val="40"/>
          <w:w w:val="105"/>
        </w:rPr>
        <w:t> </w:t>
      </w:r>
      <w:r>
        <w:rPr>
          <w:color w:val="231F1F"/>
          <w:w w:val="105"/>
        </w:rPr>
        <w:t>datos</w:t>
      </w:r>
      <w:r>
        <w:rPr>
          <w:color w:val="231F1F"/>
          <w:spacing w:val="40"/>
          <w:w w:val="105"/>
        </w:rPr>
        <w:t> </w:t>
      </w:r>
      <w:r>
        <w:rPr>
          <w:color w:val="231F1F"/>
          <w:w w:val="105"/>
        </w:rPr>
        <w:t>sobre</w:t>
      </w:r>
      <w:r>
        <w:rPr>
          <w:color w:val="231F1F"/>
          <w:spacing w:val="40"/>
          <w:w w:val="105"/>
        </w:rPr>
        <w:t> </w:t>
      </w:r>
      <w:r>
        <w:rPr>
          <w:color w:val="231F1F"/>
          <w:w w:val="105"/>
        </w:rPr>
        <w:t>resultados</w:t>
      </w:r>
      <w:r>
        <w:rPr>
          <w:color w:val="231F1F"/>
          <w:spacing w:val="40"/>
          <w:w w:val="105"/>
        </w:rPr>
        <w:t> </w:t>
      </w:r>
      <w:r>
        <w:rPr>
          <w:color w:val="231F1F"/>
          <w:w w:val="105"/>
        </w:rPr>
        <w:t>neonatales.</w:t>
      </w:r>
    </w:p>
    <w:p>
      <w:pPr>
        <w:pStyle w:val="BodyText"/>
        <w:spacing w:before="75"/>
      </w:pPr>
    </w:p>
    <w:p>
      <w:pPr>
        <w:pStyle w:val="Heading5"/>
        <w:jc w:val="both"/>
      </w:pPr>
      <w:r>
        <w:rPr>
          <w:color w:val="231F1F"/>
        </w:rPr>
        <w:t>Administración</w:t>
      </w:r>
      <w:r>
        <w:rPr>
          <w:color w:val="231F1F"/>
          <w:spacing w:val="-3"/>
        </w:rPr>
        <w:t> </w:t>
      </w:r>
      <w:r>
        <w:rPr>
          <w:color w:val="231F1F"/>
        </w:rPr>
        <w:t>IV</w:t>
      </w:r>
      <w:r>
        <w:rPr>
          <w:color w:val="231F1F"/>
          <w:spacing w:val="-3"/>
        </w:rPr>
        <w:t> </w:t>
      </w:r>
      <w:r>
        <w:rPr>
          <w:color w:val="231F1F"/>
        </w:rPr>
        <w:t>de</w:t>
      </w:r>
      <w:r>
        <w:rPr>
          <w:color w:val="231F1F"/>
          <w:spacing w:val="-2"/>
        </w:rPr>
        <w:t> opioides</w:t>
      </w:r>
    </w:p>
    <w:p>
      <w:pPr>
        <w:tabs>
          <w:tab w:pos="8036" w:val="left" w:leader="none"/>
          <w:tab w:pos="8114" w:val="left" w:leader="none"/>
        </w:tabs>
        <w:spacing w:line="252" w:lineRule="auto" w:before="171"/>
        <w:ind w:left="283" w:right="524" w:firstLine="0"/>
        <w:jc w:val="left"/>
        <w:rPr>
          <w:sz w:val="22"/>
        </w:rPr>
      </w:pPr>
      <w:r>
        <w:rPr>
          <w:color w:val="231F1F"/>
          <w:w w:val="105"/>
          <w:sz w:val="22"/>
        </w:rPr>
        <w:t>Un ECA tailandés (300) evaluó la eficacia y los efectos adversos de </w:t>
      </w:r>
      <w:r>
        <w:rPr>
          <w:i/>
          <w:color w:val="231F1F"/>
          <w:w w:val="105"/>
          <w:sz w:val="22"/>
        </w:rPr>
        <w:t>la admi-</w:t>
      </w:r>
      <w:r>
        <w:rPr>
          <w:i/>
          <w:color w:val="231F1F"/>
          <w:sz w:val="22"/>
        </w:rPr>
        <w:tab/>
      </w:r>
      <w:r>
        <w:rPr>
          <w:rFonts w:ascii="Arial MT" w:hAnsi="Arial MT"/>
          <w:color w:val="231F1F"/>
          <w:spacing w:val="-12"/>
          <w:w w:val="105"/>
          <w:sz w:val="18"/>
        </w:rPr>
        <w:t>ECA </w:t>
      </w:r>
      <w:r>
        <w:rPr>
          <w:i/>
          <w:color w:val="231F1F"/>
          <w:w w:val="105"/>
          <w:sz w:val="22"/>
        </w:rPr>
        <w:t>nistración IV de petidina frente a placebo </w:t>
      </w:r>
      <w:r>
        <w:rPr>
          <w:color w:val="231F1F"/>
          <w:w w:val="105"/>
          <w:sz w:val="22"/>
        </w:rPr>
        <w:t>en 84 mujeres. En él se observó una</w:t>
      </w:r>
      <w:r>
        <w:rPr>
          <w:color w:val="231F1F"/>
          <w:sz w:val="22"/>
        </w:rPr>
        <w:tab/>
        <w:tab/>
      </w:r>
      <w:r>
        <w:rPr>
          <w:rFonts w:ascii="Arial MT" w:hAnsi="Arial MT"/>
          <w:color w:val="231F1F"/>
          <w:spacing w:val="-6"/>
          <w:w w:val="105"/>
          <w:position w:val="4"/>
          <w:sz w:val="18"/>
        </w:rPr>
        <w:t>1+ </w:t>
      </w:r>
      <w:r>
        <w:rPr>
          <w:color w:val="231F1F"/>
          <w:w w:val="105"/>
          <w:sz w:val="22"/>
        </w:rPr>
        <w:t>mayor</w:t>
      </w:r>
      <w:r>
        <w:rPr>
          <w:color w:val="231F1F"/>
          <w:spacing w:val="40"/>
          <w:w w:val="105"/>
          <w:sz w:val="22"/>
        </w:rPr>
        <w:t> </w:t>
      </w:r>
      <w:r>
        <w:rPr>
          <w:color w:val="231F1F"/>
          <w:w w:val="105"/>
          <w:sz w:val="22"/>
        </w:rPr>
        <w:t>satisfacción</w:t>
      </w:r>
      <w:r>
        <w:rPr>
          <w:color w:val="231F1F"/>
          <w:spacing w:val="40"/>
          <w:w w:val="105"/>
          <w:sz w:val="22"/>
        </w:rPr>
        <w:t> </w:t>
      </w:r>
      <w:r>
        <w:rPr>
          <w:color w:val="231F1F"/>
          <w:w w:val="105"/>
          <w:sz w:val="22"/>
        </w:rPr>
        <w:t>materna</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alivio</w:t>
      </w:r>
      <w:r>
        <w:rPr>
          <w:color w:val="231F1F"/>
          <w:spacing w:val="40"/>
          <w:w w:val="105"/>
          <w:sz w:val="22"/>
        </w:rPr>
        <w:t> </w:t>
      </w:r>
      <w:r>
        <w:rPr>
          <w:color w:val="231F1F"/>
          <w:w w:val="105"/>
          <w:sz w:val="22"/>
        </w:rPr>
        <w:t>del</w:t>
      </w:r>
      <w:r>
        <w:rPr>
          <w:color w:val="231F1F"/>
          <w:spacing w:val="40"/>
          <w:w w:val="105"/>
          <w:sz w:val="22"/>
        </w:rPr>
        <w:t> </w:t>
      </w:r>
      <w:r>
        <w:rPr>
          <w:color w:val="231F1F"/>
          <w:w w:val="105"/>
          <w:sz w:val="22"/>
        </w:rPr>
        <w:t>dolor</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grupo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petidina</w:t>
      </w:r>
    </w:p>
    <w:p>
      <w:pPr>
        <w:pStyle w:val="BodyText"/>
        <w:spacing w:line="247" w:lineRule="auto"/>
        <w:ind w:left="283" w:right="1368"/>
        <w:jc w:val="both"/>
      </w:pPr>
      <w:r>
        <w:rPr>
          <w:color w:val="231F1F"/>
          <w:w w:val="105"/>
        </w:rPr>
        <w:t>frente al grupo placebo: 23,8% frente a 7,10%, p=0,0347, así como mayores tasas de efectos adversos, náuseas y vómitos: 36% frente a 4,8%, p=0,001 y mareos 26,4% frente a 0%, p&lt;0,001. No se informó de resultados neonatales.</w:t>
      </w:r>
    </w:p>
    <w:p>
      <w:pPr>
        <w:pStyle w:val="BodyText"/>
        <w:spacing w:after="0" w:line="247" w:lineRule="auto"/>
        <w:jc w:val="both"/>
        <w:sectPr>
          <w:pgSz w:w="11900" w:h="16840"/>
          <w:pgMar w:header="0" w:footer="622" w:top="1560" w:bottom="820" w:left="1417" w:right="1559"/>
        </w:sectPr>
      </w:pPr>
    </w:p>
    <w:p>
      <w:pPr>
        <w:pStyle w:val="BodyText"/>
        <w:spacing w:line="249" w:lineRule="auto" w:before="73"/>
        <w:ind w:left="283" w:right="40"/>
        <w:jc w:val="both"/>
      </w:pPr>
      <w:r>
        <w:rPr>
          <w:color w:val="231F1F"/>
          <w:w w:val="110"/>
        </w:rPr>
        <w:t>Un</w:t>
      </w:r>
      <w:r>
        <w:rPr>
          <w:color w:val="231F1F"/>
          <w:spacing w:val="-10"/>
          <w:w w:val="110"/>
        </w:rPr>
        <w:t> </w:t>
      </w:r>
      <w:r>
        <w:rPr>
          <w:color w:val="231F1F"/>
          <w:w w:val="110"/>
        </w:rPr>
        <w:t>ECA</w:t>
      </w:r>
      <w:r>
        <w:rPr>
          <w:color w:val="231F1F"/>
          <w:spacing w:val="-9"/>
          <w:w w:val="110"/>
        </w:rPr>
        <w:t> </w:t>
      </w:r>
      <w:r>
        <w:rPr>
          <w:color w:val="231F1F"/>
          <w:w w:val="110"/>
        </w:rPr>
        <w:t>canadiense</w:t>
      </w:r>
      <w:r>
        <w:rPr>
          <w:color w:val="231F1F"/>
          <w:spacing w:val="-10"/>
          <w:w w:val="110"/>
        </w:rPr>
        <w:t> </w:t>
      </w:r>
      <w:r>
        <w:rPr>
          <w:color w:val="231F1F"/>
          <w:w w:val="110"/>
        </w:rPr>
        <w:t>(301)</w:t>
      </w:r>
      <w:r>
        <w:rPr>
          <w:color w:val="231F1F"/>
          <w:spacing w:val="-10"/>
          <w:w w:val="110"/>
        </w:rPr>
        <w:t> </w:t>
      </w:r>
      <w:r>
        <w:rPr>
          <w:color w:val="231F1F"/>
          <w:w w:val="110"/>
        </w:rPr>
        <w:t>comparó</w:t>
      </w:r>
      <w:r>
        <w:rPr>
          <w:color w:val="231F1F"/>
          <w:spacing w:val="-10"/>
          <w:w w:val="110"/>
        </w:rPr>
        <w:t> </w:t>
      </w:r>
      <w:r>
        <w:rPr>
          <w:color w:val="231F1F"/>
          <w:w w:val="110"/>
        </w:rPr>
        <w:t>en</w:t>
      </w:r>
      <w:r>
        <w:rPr>
          <w:color w:val="231F1F"/>
          <w:spacing w:val="-10"/>
          <w:w w:val="110"/>
        </w:rPr>
        <w:t> </w:t>
      </w:r>
      <w:r>
        <w:rPr>
          <w:color w:val="231F1F"/>
          <w:w w:val="110"/>
        </w:rPr>
        <w:t>39</w:t>
      </w:r>
      <w:r>
        <w:rPr>
          <w:color w:val="231F1F"/>
          <w:spacing w:val="-10"/>
          <w:w w:val="110"/>
        </w:rPr>
        <w:t> </w:t>
      </w:r>
      <w:r>
        <w:rPr>
          <w:color w:val="231F1F"/>
          <w:w w:val="110"/>
        </w:rPr>
        <w:t>mujeres</w:t>
      </w:r>
      <w:r>
        <w:rPr>
          <w:color w:val="231F1F"/>
          <w:spacing w:val="-10"/>
          <w:w w:val="110"/>
        </w:rPr>
        <w:t> </w:t>
      </w:r>
      <w:r>
        <w:rPr>
          <w:color w:val="231F1F"/>
          <w:w w:val="110"/>
        </w:rPr>
        <w:t>la</w:t>
      </w:r>
      <w:r>
        <w:rPr>
          <w:color w:val="231F1F"/>
          <w:spacing w:val="-10"/>
          <w:w w:val="110"/>
        </w:rPr>
        <w:t> </w:t>
      </w:r>
      <w:r>
        <w:rPr>
          <w:color w:val="231F1F"/>
          <w:w w:val="110"/>
        </w:rPr>
        <w:t>utilización</w:t>
      </w:r>
      <w:r>
        <w:rPr>
          <w:color w:val="231F1F"/>
          <w:spacing w:val="-10"/>
          <w:w w:val="110"/>
        </w:rPr>
        <w:t> </w:t>
      </w:r>
      <w:r>
        <w:rPr>
          <w:color w:val="231F1F"/>
          <w:w w:val="110"/>
        </w:rPr>
        <w:t>de</w:t>
      </w:r>
      <w:r>
        <w:rPr>
          <w:color w:val="231F1F"/>
          <w:spacing w:val="-10"/>
          <w:w w:val="110"/>
        </w:rPr>
        <w:t> </w:t>
      </w:r>
      <w:r>
        <w:rPr>
          <w:i/>
          <w:color w:val="231F1F"/>
          <w:w w:val="110"/>
        </w:rPr>
        <w:t>petidina </w:t>
      </w:r>
      <w:r>
        <w:rPr>
          <w:i/>
          <w:color w:val="231F1F"/>
          <w:spacing w:val="-2"/>
          <w:w w:val="110"/>
        </w:rPr>
        <w:t>IM</w:t>
      </w:r>
      <w:r>
        <w:rPr>
          <w:i/>
          <w:color w:val="231F1F"/>
          <w:spacing w:val="-14"/>
          <w:w w:val="110"/>
        </w:rPr>
        <w:t> </w:t>
      </w:r>
      <w:r>
        <w:rPr>
          <w:color w:val="231F1F"/>
          <w:spacing w:val="-2"/>
          <w:w w:val="110"/>
        </w:rPr>
        <w:t>(50-100</w:t>
      </w:r>
      <w:r>
        <w:rPr>
          <w:color w:val="231F1F"/>
          <w:spacing w:val="-13"/>
          <w:w w:val="110"/>
        </w:rPr>
        <w:t> </w:t>
      </w:r>
      <w:r>
        <w:rPr>
          <w:color w:val="231F1F"/>
          <w:spacing w:val="-2"/>
          <w:w w:val="110"/>
        </w:rPr>
        <w:t>mg/2h</w:t>
      </w:r>
      <w:r>
        <w:rPr>
          <w:color w:val="231F1F"/>
          <w:spacing w:val="-13"/>
          <w:w w:val="110"/>
        </w:rPr>
        <w:t> </w:t>
      </w:r>
      <w:r>
        <w:rPr>
          <w:color w:val="231F1F"/>
          <w:spacing w:val="-2"/>
          <w:w w:val="110"/>
        </w:rPr>
        <w:t>hasta</w:t>
      </w:r>
      <w:r>
        <w:rPr>
          <w:color w:val="231F1F"/>
          <w:spacing w:val="-13"/>
          <w:w w:val="110"/>
        </w:rPr>
        <w:t> </w:t>
      </w:r>
      <w:r>
        <w:rPr>
          <w:color w:val="231F1F"/>
          <w:spacing w:val="-2"/>
          <w:w w:val="110"/>
        </w:rPr>
        <w:t>un</w:t>
      </w:r>
      <w:r>
        <w:rPr>
          <w:color w:val="231F1F"/>
          <w:spacing w:val="-3"/>
          <w:w w:val="110"/>
        </w:rPr>
        <w:t> </w:t>
      </w:r>
      <w:r>
        <w:rPr>
          <w:color w:val="231F1F"/>
          <w:spacing w:val="-2"/>
          <w:w w:val="110"/>
        </w:rPr>
        <w:t>máximo</w:t>
      </w:r>
      <w:r>
        <w:rPr>
          <w:color w:val="231F1F"/>
          <w:spacing w:val="-4"/>
          <w:w w:val="110"/>
        </w:rPr>
        <w:t> </w:t>
      </w:r>
      <w:r>
        <w:rPr>
          <w:color w:val="231F1F"/>
          <w:spacing w:val="-2"/>
          <w:w w:val="110"/>
        </w:rPr>
        <w:t>de</w:t>
      </w:r>
      <w:r>
        <w:rPr>
          <w:color w:val="231F1F"/>
          <w:spacing w:val="-5"/>
          <w:w w:val="110"/>
        </w:rPr>
        <w:t> </w:t>
      </w:r>
      <w:r>
        <w:rPr>
          <w:color w:val="231F1F"/>
          <w:spacing w:val="-2"/>
          <w:w w:val="110"/>
        </w:rPr>
        <w:t>200</w:t>
      </w:r>
      <w:r>
        <w:rPr>
          <w:color w:val="231F1F"/>
          <w:spacing w:val="-4"/>
          <w:w w:val="110"/>
        </w:rPr>
        <w:t> </w:t>
      </w:r>
      <w:r>
        <w:rPr>
          <w:color w:val="231F1F"/>
          <w:spacing w:val="-2"/>
          <w:w w:val="110"/>
        </w:rPr>
        <w:t>mg)</w:t>
      </w:r>
      <w:r>
        <w:rPr>
          <w:color w:val="231F1F"/>
          <w:spacing w:val="-4"/>
          <w:w w:val="110"/>
        </w:rPr>
        <w:t> </w:t>
      </w:r>
      <w:r>
        <w:rPr>
          <w:i/>
          <w:color w:val="231F1F"/>
          <w:spacing w:val="-2"/>
          <w:w w:val="110"/>
        </w:rPr>
        <w:t>frente</w:t>
      </w:r>
      <w:r>
        <w:rPr>
          <w:i/>
          <w:color w:val="231F1F"/>
          <w:spacing w:val="-14"/>
          <w:w w:val="110"/>
        </w:rPr>
        <w:t> </w:t>
      </w:r>
      <w:r>
        <w:rPr>
          <w:i/>
          <w:color w:val="231F1F"/>
          <w:spacing w:val="-2"/>
          <w:w w:val="110"/>
        </w:rPr>
        <w:t>a</w:t>
      </w:r>
      <w:r>
        <w:rPr>
          <w:i/>
          <w:color w:val="231F1F"/>
          <w:spacing w:val="-13"/>
          <w:w w:val="110"/>
        </w:rPr>
        <w:t> </w:t>
      </w:r>
      <w:r>
        <w:rPr>
          <w:i/>
          <w:color w:val="231F1F"/>
          <w:spacing w:val="-2"/>
          <w:w w:val="110"/>
        </w:rPr>
        <w:t>petidina</w:t>
      </w:r>
      <w:r>
        <w:rPr>
          <w:i/>
          <w:color w:val="231F1F"/>
          <w:spacing w:val="-13"/>
          <w:w w:val="110"/>
        </w:rPr>
        <w:t> </w:t>
      </w:r>
      <w:r>
        <w:rPr>
          <w:i/>
          <w:color w:val="231F1F"/>
          <w:spacing w:val="-2"/>
          <w:w w:val="110"/>
        </w:rPr>
        <w:t>IV</w:t>
      </w:r>
      <w:r>
        <w:rPr>
          <w:i/>
          <w:color w:val="231F1F"/>
          <w:spacing w:val="-13"/>
          <w:w w:val="110"/>
        </w:rPr>
        <w:t> </w:t>
      </w:r>
      <w:r>
        <w:rPr>
          <w:color w:val="231F1F"/>
          <w:spacing w:val="-2"/>
          <w:w w:val="110"/>
        </w:rPr>
        <w:t>(bolo</w:t>
      </w:r>
      <w:r>
        <w:rPr>
          <w:color w:val="231F1F"/>
          <w:spacing w:val="-3"/>
          <w:w w:val="110"/>
        </w:rPr>
        <w:t> </w:t>
      </w:r>
      <w:r>
        <w:rPr>
          <w:color w:val="231F1F"/>
          <w:spacing w:val="-2"/>
          <w:w w:val="110"/>
        </w:rPr>
        <w:t>de 25</w:t>
      </w:r>
      <w:r>
        <w:rPr>
          <w:color w:val="231F1F"/>
          <w:spacing w:val="-11"/>
          <w:w w:val="110"/>
        </w:rPr>
        <w:t> </w:t>
      </w:r>
      <w:r>
        <w:rPr>
          <w:color w:val="231F1F"/>
          <w:spacing w:val="-2"/>
          <w:w w:val="110"/>
        </w:rPr>
        <w:t>mg</w:t>
      </w:r>
      <w:r>
        <w:rPr>
          <w:color w:val="231F1F"/>
          <w:spacing w:val="-11"/>
          <w:w w:val="110"/>
        </w:rPr>
        <w:t> </w:t>
      </w:r>
      <w:r>
        <w:rPr>
          <w:color w:val="231F1F"/>
          <w:spacing w:val="-2"/>
          <w:w w:val="110"/>
        </w:rPr>
        <w:t>más</w:t>
      </w:r>
      <w:r>
        <w:rPr>
          <w:color w:val="231F1F"/>
          <w:spacing w:val="-11"/>
          <w:w w:val="110"/>
        </w:rPr>
        <w:t> </w:t>
      </w:r>
      <w:r>
        <w:rPr>
          <w:color w:val="231F1F"/>
          <w:spacing w:val="-2"/>
          <w:w w:val="110"/>
        </w:rPr>
        <w:t>infusión</w:t>
      </w:r>
      <w:r>
        <w:rPr>
          <w:color w:val="231F1F"/>
          <w:spacing w:val="-11"/>
          <w:w w:val="110"/>
        </w:rPr>
        <w:t> </w:t>
      </w:r>
      <w:r>
        <w:rPr>
          <w:color w:val="231F1F"/>
          <w:spacing w:val="-2"/>
          <w:w w:val="110"/>
        </w:rPr>
        <w:t>de</w:t>
      </w:r>
      <w:r>
        <w:rPr>
          <w:color w:val="231F1F"/>
          <w:spacing w:val="-11"/>
          <w:w w:val="110"/>
        </w:rPr>
        <w:t> </w:t>
      </w:r>
      <w:r>
        <w:rPr>
          <w:color w:val="231F1F"/>
          <w:spacing w:val="-2"/>
          <w:w w:val="110"/>
        </w:rPr>
        <w:t>60</w:t>
      </w:r>
      <w:r>
        <w:rPr>
          <w:color w:val="231F1F"/>
          <w:spacing w:val="-11"/>
          <w:w w:val="110"/>
        </w:rPr>
        <w:t> </w:t>
      </w:r>
      <w:r>
        <w:rPr>
          <w:color w:val="231F1F"/>
          <w:spacing w:val="-2"/>
          <w:w w:val="110"/>
        </w:rPr>
        <w:t>mg/h</w:t>
      </w:r>
      <w:r>
        <w:rPr>
          <w:color w:val="231F1F"/>
          <w:spacing w:val="-11"/>
          <w:w w:val="110"/>
        </w:rPr>
        <w:t> </w:t>
      </w:r>
      <w:r>
        <w:rPr>
          <w:color w:val="231F1F"/>
          <w:spacing w:val="-2"/>
          <w:w w:val="110"/>
        </w:rPr>
        <w:t>y</w:t>
      </w:r>
      <w:r>
        <w:rPr>
          <w:color w:val="231F1F"/>
          <w:spacing w:val="-11"/>
          <w:w w:val="110"/>
        </w:rPr>
        <w:t> </w:t>
      </w:r>
      <w:r>
        <w:rPr>
          <w:color w:val="231F1F"/>
          <w:spacing w:val="-2"/>
          <w:w w:val="110"/>
        </w:rPr>
        <w:t>bolo</w:t>
      </w:r>
      <w:r>
        <w:rPr>
          <w:color w:val="231F1F"/>
          <w:spacing w:val="-11"/>
          <w:w w:val="110"/>
        </w:rPr>
        <w:t> </w:t>
      </w:r>
      <w:r>
        <w:rPr>
          <w:color w:val="231F1F"/>
          <w:spacing w:val="-2"/>
          <w:w w:val="110"/>
        </w:rPr>
        <w:t>adicional</w:t>
      </w:r>
      <w:r>
        <w:rPr>
          <w:color w:val="231F1F"/>
          <w:spacing w:val="-11"/>
          <w:w w:val="110"/>
        </w:rPr>
        <w:t> </w:t>
      </w:r>
      <w:r>
        <w:rPr>
          <w:color w:val="231F1F"/>
          <w:spacing w:val="-2"/>
          <w:w w:val="110"/>
        </w:rPr>
        <w:t>de</w:t>
      </w:r>
      <w:r>
        <w:rPr>
          <w:color w:val="231F1F"/>
          <w:spacing w:val="-11"/>
          <w:w w:val="110"/>
        </w:rPr>
        <w:t> </w:t>
      </w:r>
      <w:r>
        <w:rPr>
          <w:color w:val="231F1F"/>
          <w:spacing w:val="-2"/>
          <w:w w:val="110"/>
        </w:rPr>
        <w:t>25</w:t>
      </w:r>
      <w:r>
        <w:rPr>
          <w:color w:val="231F1F"/>
          <w:spacing w:val="-11"/>
          <w:w w:val="110"/>
        </w:rPr>
        <w:t> </w:t>
      </w:r>
      <w:r>
        <w:rPr>
          <w:color w:val="231F1F"/>
          <w:spacing w:val="-2"/>
          <w:w w:val="110"/>
        </w:rPr>
        <w:t>mg/h,</w:t>
      </w:r>
      <w:r>
        <w:rPr>
          <w:color w:val="231F1F"/>
          <w:spacing w:val="-11"/>
          <w:w w:val="110"/>
        </w:rPr>
        <w:t> </w:t>
      </w:r>
      <w:r>
        <w:rPr>
          <w:color w:val="231F1F"/>
          <w:spacing w:val="-2"/>
          <w:w w:val="110"/>
        </w:rPr>
        <w:t>si</w:t>
      </w:r>
      <w:r>
        <w:rPr>
          <w:color w:val="231F1F"/>
          <w:spacing w:val="-11"/>
          <w:w w:val="110"/>
        </w:rPr>
        <w:t> </w:t>
      </w:r>
      <w:r>
        <w:rPr>
          <w:color w:val="231F1F"/>
          <w:spacing w:val="-2"/>
          <w:w w:val="110"/>
        </w:rPr>
        <w:t>era</w:t>
      </w:r>
      <w:r>
        <w:rPr>
          <w:color w:val="231F1F"/>
          <w:spacing w:val="-11"/>
          <w:w w:val="110"/>
        </w:rPr>
        <w:t> </w:t>
      </w:r>
      <w:r>
        <w:rPr>
          <w:color w:val="231F1F"/>
          <w:spacing w:val="-2"/>
          <w:w w:val="110"/>
        </w:rPr>
        <w:t>necesario, </w:t>
      </w:r>
      <w:r>
        <w:rPr>
          <w:color w:val="231F1F"/>
          <w:w w:val="110"/>
        </w:rPr>
        <w:t>hasta</w:t>
      </w:r>
      <w:r>
        <w:rPr>
          <w:color w:val="231F1F"/>
          <w:spacing w:val="-14"/>
          <w:w w:val="110"/>
        </w:rPr>
        <w:t> </w:t>
      </w:r>
      <w:r>
        <w:rPr>
          <w:color w:val="231F1F"/>
          <w:w w:val="110"/>
        </w:rPr>
        <w:t>un</w:t>
      </w:r>
      <w:r>
        <w:rPr>
          <w:color w:val="231F1F"/>
          <w:spacing w:val="-14"/>
          <w:w w:val="110"/>
        </w:rPr>
        <w:t> </w:t>
      </w:r>
      <w:r>
        <w:rPr>
          <w:color w:val="231F1F"/>
          <w:w w:val="110"/>
        </w:rPr>
        <w:t>máximo</w:t>
      </w:r>
      <w:r>
        <w:rPr>
          <w:color w:val="231F1F"/>
          <w:spacing w:val="-14"/>
          <w:w w:val="110"/>
        </w:rPr>
        <w:t> </w:t>
      </w:r>
      <w:r>
        <w:rPr>
          <w:color w:val="231F1F"/>
          <w:w w:val="110"/>
        </w:rPr>
        <w:t>de</w:t>
      </w:r>
      <w:r>
        <w:rPr>
          <w:color w:val="231F1F"/>
          <w:spacing w:val="-14"/>
          <w:w w:val="110"/>
        </w:rPr>
        <w:t> </w:t>
      </w:r>
      <w:r>
        <w:rPr>
          <w:color w:val="231F1F"/>
          <w:w w:val="110"/>
        </w:rPr>
        <w:t>200</w:t>
      </w:r>
      <w:r>
        <w:rPr>
          <w:color w:val="231F1F"/>
          <w:spacing w:val="-14"/>
          <w:w w:val="110"/>
        </w:rPr>
        <w:t> </w:t>
      </w:r>
      <w:r>
        <w:rPr>
          <w:color w:val="231F1F"/>
          <w:w w:val="110"/>
        </w:rPr>
        <w:t>mg).</w:t>
      </w:r>
      <w:r>
        <w:rPr>
          <w:color w:val="231F1F"/>
          <w:spacing w:val="-14"/>
          <w:w w:val="110"/>
        </w:rPr>
        <w:t> </w:t>
      </w:r>
      <w:r>
        <w:rPr>
          <w:color w:val="231F1F"/>
          <w:w w:val="110"/>
        </w:rPr>
        <w:t>En</w:t>
      </w:r>
      <w:r>
        <w:rPr>
          <w:color w:val="231F1F"/>
          <w:spacing w:val="-14"/>
          <w:w w:val="110"/>
        </w:rPr>
        <w:t> </w:t>
      </w:r>
      <w:r>
        <w:rPr>
          <w:color w:val="231F1F"/>
          <w:w w:val="110"/>
        </w:rPr>
        <w:t>el</w:t>
      </w:r>
      <w:r>
        <w:rPr>
          <w:color w:val="231F1F"/>
          <w:spacing w:val="-14"/>
          <w:w w:val="110"/>
        </w:rPr>
        <w:t> </w:t>
      </w:r>
      <w:r>
        <w:rPr>
          <w:color w:val="231F1F"/>
          <w:w w:val="110"/>
        </w:rPr>
        <w:t>ensayo</w:t>
      </w:r>
      <w:r>
        <w:rPr>
          <w:color w:val="231F1F"/>
          <w:spacing w:val="-13"/>
          <w:w w:val="110"/>
        </w:rPr>
        <w:t> </w:t>
      </w:r>
      <w:r>
        <w:rPr>
          <w:color w:val="231F1F"/>
          <w:w w:val="110"/>
        </w:rPr>
        <w:t>se</w:t>
      </w:r>
      <w:r>
        <w:rPr>
          <w:color w:val="231F1F"/>
          <w:spacing w:val="-14"/>
          <w:w w:val="110"/>
        </w:rPr>
        <w:t> </w:t>
      </w:r>
      <w:r>
        <w:rPr>
          <w:color w:val="231F1F"/>
          <w:w w:val="110"/>
        </w:rPr>
        <w:t>observó</w:t>
      </w:r>
      <w:r>
        <w:rPr>
          <w:color w:val="231F1F"/>
          <w:spacing w:val="-14"/>
          <w:w w:val="110"/>
        </w:rPr>
        <w:t> </w:t>
      </w:r>
      <w:r>
        <w:rPr>
          <w:color w:val="231F1F"/>
          <w:w w:val="110"/>
        </w:rPr>
        <w:t>una</w:t>
      </w:r>
      <w:r>
        <w:rPr>
          <w:color w:val="231F1F"/>
          <w:spacing w:val="-14"/>
          <w:w w:val="110"/>
        </w:rPr>
        <w:t> </w:t>
      </w:r>
      <w:r>
        <w:rPr>
          <w:color w:val="231F1F"/>
          <w:w w:val="110"/>
        </w:rPr>
        <w:t>menor</w:t>
      </w:r>
      <w:r>
        <w:rPr>
          <w:color w:val="231F1F"/>
          <w:spacing w:val="-14"/>
          <w:w w:val="110"/>
        </w:rPr>
        <w:t> </w:t>
      </w:r>
      <w:r>
        <w:rPr>
          <w:color w:val="231F1F"/>
          <w:w w:val="110"/>
        </w:rPr>
        <w:t>intensidad de</w:t>
      </w:r>
      <w:r>
        <w:rPr>
          <w:color w:val="231F1F"/>
          <w:spacing w:val="-16"/>
          <w:w w:val="110"/>
        </w:rPr>
        <w:t> </w:t>
      </w:r>
      <w:r>
        <w:rPr>
          <w:color w:val="231F1F"/>
          <w:w w:val="110"/>
        </w:rPr>
        <w:t>dolor</w:t>
      </w:r>
      <w:r>
        <w:rPr>
          <w:color w:val="231F1F"/>
          <w:spacing w:val="-15"/>
          <w:w w:val="110"/>
        </w:rPr>
        <w:t> </w:t>
      </w:r>
      <w:r>
        <w:rPr>
          <w:color w:val="231F1F"/>
          <w:w w:val="110"/>
        </w:rPr>
        <w:t>desde</w:t>
      </w:r>
      <w:r>
        <w:rPr>
          <w:color w:val="231F1F"/>
          <w:spacing w:val="-15"/>
          <w:w w:val="110"/>
        </w:rPr>
        <w:t> </w:t>
      </w:r>
      <w:r>
        <w:rPr>
          <w:color w:val="231F1F"/>
          <w:w w:val="110"/>
        </w:rPr>
        <w:t>la</w:t>
      </w:r>
      <w:r>
        <w:rPr>
          <w:color w:val="231F1F"/>
          <w:spacing w:val="-15"/>
          <w:w w:val="110"/>
        </w:rPr>
        <w:t> </w:t>
      </w:r>
      <w:r>
        <w:rPr>
          <w:color w:val="231F1F"/>
          <w:w w:val="110"/>
        </w:rPr>
        <w:t>hora</w:t>
      </w:r>
      <w:r>
        <w:rPr>
          <w:color w:val="231F1F"/>
          <w:spacing w:val="-15"/>
          <w:w w:val="110"/>
        </w:rPr>
        <w:t> </w:t>
      </w:r>
      <w:r>
        <w:rPr>
          <w:color w:val="231F1F"/>
          <w:w w:val="110"/>
        </w:rPr>
        <w:t>y</w:t>
      </w:r>
      <w:r>
        <w:rPr>
          <w:color w:val="231F1F"/>
          <w:spacing w:val="-15"/>
          <w:w w:val="110"/>
        </w:rPr>
        <w:t> </w:t>
      </w:r>
      <w:r>
        <w:rPr>
          <w:color w:val="231F1F"/>
          <w:w w:val="110"/>
        </w:rPr>
        <w:t>media</w:t>
      </w:r>
      <w:r>
        <w:rPr>
          <w:color w:val="231F1F"/>
          <w:spacing w:val="-15"/>
          <w:w w:val="110"/>
        </w:rPr>
        <w:t> </w:t>
      </w:r>
      <w:r>
        <w:rPr>
          <w:color w:val="231F1F"/>
          <w:w w:val="110"/>
        </w:rPr>
        <w:t>tras</w:t>
      </w:r>
      <w:r>
        <w:rPr>
          <w:color w:val="231F1F"/>
          <w:spacing w:val="-15"/>
          <w:w w:val="110"/>
        </w:rPr>
        <w:t> </w:t>
      </w:r>
      <w:r>
        <w:rPr>
          <w:color w:val="231F1F"/>
          <w:w w:val="110"/>
        </w:rPr>
        <w:t>la</w:t>
      </w:r>
      <w:r>
        <w:rPr>
          <w:color w:val="231F1F"/>
          <w:spacing w:val="-15"/>
          <w:w w:val="110"/>
        </w:rPr>
        <w:t> </w:t>
      </w:r>
      <w:r>
        <w:rPr>
          <w:color w:val="231F1F"/>
          <w:w w:val="110"/>
        </w:rPr>
        <w:t>administración</w:t>
      </w:r>
      <w:r>
        <w:rPr>
          <w:color w:val="231F1F"/>
          <w:spacing w:val="-15"/>
          <w:w w:val="110"/>
        </w:rPr>
        <w:t> </w:t>
      </w:r>
      <w:r>
        <w:rPr>
          <w:color w:val="231F1F"/>
          <w:w w:val="110"/>
        </w:rPr>
        <w:t>del</w:t>
      </w:r>
      <w:r>
        <w:rPr>
          <w:color w:val="231F1F"/>
          <w:spacing w:val="-15"/>
          <w:w w:val="110"/>
        </w:rPr>
        <w:t> </w:t>
      </w:r>
      <w:r>
        <w:rPr>
          <w:color w:val="231F1F"/>
          <w:w w:val="110"/>
        </w:rPr>
        <w:t>tratamiento</w:t>
      </w:r>
      <w:r>
        <w:rPr>
          <w:color w:val="231F1F"/>
          <w:spacing w:val="-15"/>
          <w:w w:val="110"/>
        </w:rPr>
        <w:t> </w:t>
      </w:r>
      <w:r>
        <w:rPr>
          <w:color w:val="231F1F"/>
          <w:w w:val="110"/>
        </w:rPr>
        <w:t>hasta</w:t>
      </w:r>
      <w:r>
        <w:rPr>
          <w:color w:val="231F1F"/>
          <w:spacing w:val="-15"/>
          <w:w w:val="110"/>
        </w:rPr>
        <w:t> </w:t>
      </w:r>
      <w:r>
        <w:rPr>
          <w:color w:val="231F1F"/>
          <w:w w:val="110"/>
        </w:rPr>
        <w:t>la cuarta</w:t>
      </w:r>
      <w:r>
        <w:rPr>
          <w:color w:val="231F1F"/>
          <w:spacing w:val="-10"/>
          <w:w w:val="110"/>
        </w:rPr>
        <w:t> </w:t>
      </w:r>
      <w:r>
        <w:rPr>
          <w:color w:val="231F1F"/>
          <w:w w:val="110"/>
        </w:rPr>
        <w:t>hora,</w:t>
      </w:r>
      <w:r>
        <w:rPr>
          <w:color w:val="231F1F"/>
          <w:spacing w:val="-11"/>
          <w:w w:val="110"/>
        </w:rPr>
        <w:t> </w:t>
      </w:r>
      <w:r>
        <w:rPr>
          <w:color w:val="231F1F"/>
          <w:w w:val="110"/>
        </w:rPr>
        <w:t>en</w:t>
      </w:r>
      <w:r>
        <w:rPr>
          <w:color w:val="231F1F"/>
          <w:spacing w:val="-10"/>
          <w:w w:val="110"/>
        </w:rPr>
        <w:t> </w:t>
      </w:r>
      <w:r>
        <w:rPr>
          <w:color w:val="231F1F"/>
          <w:w w:val="110"/>
        </w:rPr>
        <w:t>el</w:t>
      </w:r>
      <w:r>
        <w:rPr>
          <w:color w:val="231F1F"/>
          <w:spacing w:val="-11"/>
          <w:w w:val="110"/>
        </w:rPr>
        <w:t> </w:t>
      </w:r>
      <w:r>
        <w:rPr>
          <w:color w:val="231F1F"/>
          <w:w w:val="110"/>
        </w:rPr>
        <w:t>grupo</w:t>
      </w:r>
      <w:r>
        <w:rPr>
          <w:color w:val="231F1F"/>
          <w:spacing w:val="-10"/>
          <w:w w:val="110"/>
        </w:rPr>
        <w:t> </w:t>
      </w:r>
      <w:r>
        <w:rPr>
          <w:color w:val="231F1F"/>
          <w:w w:val="110"/>
        </w:rPr>
        <w:t>que</w:t>
      </w:r>
      <w:r>
        <w:rPr>
          <w:color w:val="231F1F"/>
          <w:spacing w:val="-10"/>
          <w:w w:val="110"/>
        </w:rPr>
        <w:t> </w:t>
      </w:r>
      <w:r>
        <w:rPr>
          <w:color w:val="231F1F"/>
          <w:w w:val="110"/>
        </w:rPr>
        <w:t>recibió</w:t>
      </w:r>
      <w:r>
        <w:rPr>
          <w:color w:val="231F1F"/>
          <w:spacing w:val="-9"/>
          <w:w w:val="110"/>
        </w:rPr>
        <w:t> </w:t>
      </w:r>
      <w:r>
        <w:rPr>
          <w:color w:val="231F1F"/>
          <w:w w:val="110"/>
        </w:rPr>
        <w:t>petidina</w:t>
      </w:r>
      <w:r>
        <w:rPr>
          <w:color w:val="231F1F"/>
          <w:spacing w:val="-10"/>
          <w:w w:val="110"/>
        </w:rPr>
        <w:t> </w:t>
      </w:r>
      <w:r>
        <w:rPr>
          <w:color w:val="231F1F"/>
          <w:w w:val="110"/>
        </w:rPr>
        <w:t>IV,</w:t>
      </w:r>
      <w:r>
        <w:rPr>
          <w:color w:val="231F1F"/>
          <w:spacing w:val="-11"/>
          <w:w w:val="110"/>
        </w:rPr>
        <w:t> </w:t>
      </w:r>
      <w:r>
        <w:rPr>
          <w:color w:val="231F1F"/>
          <w:w w:val="110"/>
        </w:rPr>
        <w:t>aunque</w:t>
      </w:r>
      <w:r>
        <w:rPr>
          <w:color w:val="231F1F"/>
          <w:spacing w:val="-9"/>
          <w:w w:val="110"/>
        </w:rPr>
        <w:t> </w:t>
      </w:r>
      <w:r>
        <w:rPr>
          <w:color w:val="231F1F"/>
          <w:w w:val="110"/>
        </w:rPr>
        <w:t>el</w:t>
      </w:r>
      <w:r>
        <w:rPr>
          <w:color w:val="231F1F"/>
          <w:spacing w:val="-11"/>
          <w:w w:val="110"/>
        </w:rPr>
        <w:t> </w:t>
      </w:r>
      <w:r>
        <w:rPr>
          <w:color w:val="231F1F"/>
          <w:w w:val="110"/>
        </w:rPr>
        <w:t>grupo</w:t>
      </w:r>
      <w:r>
        <w:rPr>
          <w:color w:val="231F1F"/>
          <w:spacing w:val="-10"/>
          <w:w w:val="110"/>
        </w:rPr>
        <w:t> </w:t>
      </w:r>
      <w:r>
        <w:rPr>
          <w:color w:val="231F1F"/>
          <w:w w:val="110"/>
        </w:rPr>
        <w:t>aleatoriza- </w:t>
      </w:r>
      <w:r>
        <w:rPr>
          <w:color w:val="231F1F"/>
        </w:rPr>
        <w:t>do a petidina IM recibió una dosis menor: media 121 mg vs 82 mg, p=0,0007. </w:t>
      </w:r>
      <w:r>
        <w:rPr>
          <w:color w:val="231F1F"/>
          <w:w w:val="110"/>
        </w:rPr>
        <w:t>Cuando</w:t>
      </w:r>
      <w:r>
        <w:rPr>
          <w:color w:val="231F1F"/>
          <w:spacing w:val="-8"/>
          <w:w w:val="110"/>
        </w:rPr>
        <w:t> </w:t>
      </w:r>
      <w:r>
        <w:rPr>
          <w:color w:val="231F1F"/>
          <w:w w:val="110"/>
        </w:rPr>
        <w:t>se</w:t>
      </w:r>
      <w:r>
        <w:rPr>
          <w:color w:val="231F1F"/>
          <w:spacing w:val="-7"/>
          <w:w w:val="110"/>
        </w:rPr>
        <w:t> </w:t>
      </w:r>
      <w:r>
        <w:rPr>
          <w:color w:val="231F1F"/>
          <w:w w:val="110"/>
        </w:rPr>
        <w:t>compararon</w:t>
      </w:r>
      <w:r>
        <w:rPr>
          <w:color w:val="231F1F"/>
          <w:spacing w:val="-7"/>
          <w:w w:val="110"/>
        </w:rPr>
        <w:t> </w:t>
      </w:r>
      <w:r>
        <w:rPr>
          <w:color w:val="231F1F"/>
          <w:w w:val="110"/>
        </w:rPr>
        <w:t>las</w:t>
      </w:r>
      <w:r>
        <w:rPr>
          <w:color w:val="231F1F"/>
          <w:spacing w:val="-8"/>
          <w:w w:val="110"/>
        </w:rPr>
        <w:t> </w:t>
      </w:r>
      <w:r>
        <w:rPr>
          <w:color w:val="231F1F"/>
          <w:w w:val="110"/>
        </w:rPr>
        <w:t>puntuaciones</w:t>
      </w:r>
      <w:r>
        <w:rPr>
          <w:color w:val="231F1F"/>
          <w:spacing w:val="-8"/>
          <w:w w:val="110"/>
        </w:rPr>
        <w:t> </w:t>
      </w:r>
      <w:r>
        <w:rPr>
          <w:color w:val="231F1F"/>
          <w:w w:val="110"/>
        </w:rPr>
        <w:t>de</w:t>
      </w:r>
      <w:r>
        <w:rPr>
          <w:color w:val="231F1F"/>
          <w:spacing w:val="-7"/>
          <w:w w:val="110"/>
        </w:rPr>
        <w:t> </w:t>
      </w:r>
      <w:r>
        <w:rPr>
          <w:color w:val="231F1F"/>
          <w:w w:val="110"/>
        </w:rPr>
        <w:t>dolor</w:t>
      </w:r>
      <w:r>
        <w:rPr>
          <w:color w:val="231F1F"/>
          <w:spacing w:val="-8"/>
          <w:w w:val="110"/>
        </w:rPr>
        <w:t> </w:t>
      </w:r>
      <w:r>
        <w:rPr>
          <w:color w:val="231F1F"/>
          <w:w w:val="110"/>
        </w:rPr>
        <w:t>en</w:t>
      </w:r>
      <w:r>
        <w:rPr>
          <w:color w:val="231F1F"/>
          <w:spacing w:val="-7"/>
          <w:w w:val="110"/>
        </w:rPr>
        <w:t> </w:t>
      </w:r>
      <w:r>
        <w:rPr>
          <w:color w:val="231F1F"/>
          <w:w w:val="110"/>
        </w:rPr>
        <w:t>un</w:t>
      </w:r>
      <w:r>
        <w:rPr>
          <w:color w:val="231F1F"/>
          <w:spacing w:val="-7"/>
          <w:w w:val="110"/>
        </w:rPr>
        <w:t> </w:t>
      </w:r>
      <w:r>
        <w:rPr>
          <w:color w:val="231F1F"/>
          <w:w w:val="110"/>
        </w:rPr>
        <w:t>grupo</w:t>
      </w:r>
      <w:r>
        <w:rPr>
          <w:color w:val="231F1F"/>
          <w:spacing w:val="-7"/>
          <w:w w:val="110"/>
        </w:rPr>
        <w:t> </w:t>
      </w:r>
      <w:r>
        <w:rPr>
          <w:color w:val="231F1F"/>
          <w:w w:val="110"/>
        </w:rPr>
        <w:t>más</w:t>
      </w:r>
      <w:r>
        <w:rPr>
          <w:color w:val="231F1F"/>
          <w:spacing w:val="-7"/>
          <w:w w:val="110"/>
        </w:rPr>
        <w:t> </w:t>
      </w:r>
      <w:r>
        <w:rPr>
          <w:color w:val="231F1F"/>
          <w:w w:val="110"/>
        </w:rPr>
        <w:t>pequeño </w:t>
      </w:r>
      <w:r>
        <w:rPr>
          <w:color w:val="231F1F"/>
          <w:spacing w:val="-2"/>
          <w:w w:val="110"/>
        </w:rPr>
        <w:t>de</w:t>
      </w:r>
      <w:r>
        <w:rPr>
          <w:color w:val="231F1F"/>
          <w:spacing w:val="-9"/>
          <w:w w:val="110"/>
        </w:rPr>
        <w:t> </w:t>
      </w:r>
      <w:r>
        <w:rPr>
          <w:color w:val="231F1F"/>
          <w:spacing w:val="-2"/>
          <w:w w:val="110"/>
        </w:rPr>
        <w:t>participantes</w:t>
      </w:r>
      <w:r>
        <w:rPr>
          <w:color w:val="231F1F"/>
          <w:spacing w:val="-9"/>
          <w:w w:val="110"/>
        </w:rPr>
        <w:t> </w:t>
      </w:r>
      <w:r>
        <w:rPr>
          <w:color w:val="231F1F"/>
          <w:spacing w:val="-2"/>
          <w:w w:val="110"/>
        </w:rPr>
        <w:t>(n=18)</w:t>
      </w:r>
      <w:r>
        <w:rPr>
          <w:color w:val="231F1F"/>
          <w:spacing w:val="-9"/>
          <w:w w:val="110"/>
        </w:rPr>
        <w:t> </w:t>
      </w:r>
      <w:r>
        <w:rPr>
          <w:color w:val="231F1F"/>
          <w:spacing w:val="-2"/>
          <w:w w:val="110"/>
        </w:rPr>
        <w:t>que</w:t>
      </w:r>
      <w:r>
        <w:rPr>
          <w:color w:val="231F1F"/>
          <w:spacing w:val="-9"/>
          <w:w w:val="110"/>
        </w:rPr>
        <w:t> </w:t>
      </w:r>
      <w:r>
        <w:rPr>
          <w:color w:val="231F1F"/>
          <w:spacing w:val="-2"/>
          <w:w w:val="110"/>
        </w:rPr>
        <w:t>recibieron</w:t>
      </w:r>
      <w:r>
        <w:rPr>
          <w:color w:val="231F1F"/>
          <w:spacing w:val="-8"/>
          <w:w w:val="110"/>
        </w:rPr>
        <w:t> </w:t>
      </w:r>
      <w:r>
        <w:rPr>
          <w:color w:val="231F1F"/>
          <w:spacing w:val="-2"/>
          <w:w w:val="110"/>
        </w:rPr>
        <w:t>dosis</w:t>
      </w:r>
      <w:r>
        <w:rPr>
          <w:color w:val="231F1F"/>
          <w:spacing w:val="-9"/>
          <w:w w:val="110"/>
        </w:rPr>
        <w:t> </w:t>
      </w:r>
      <w:r>
        <w:rPr>
          <w:color w:val="231F1F"/>
          <w:spacing w:val="-2"/>
          <w:w w:val="110"/>
        </w:rPr>
        <w:t>similares</w:t>
      </w:r>
      <w:r>
        <w:rPr>
          <w:color w:val="231F1F"/>
          <w:spacing w:val="-9"/>
          <w:w w:val="110"/>
        </w:rPr>
        <w:t> </w:t>
      </w:r>
      <w:r>
        <w:rPr>
          <w:color w:val="231F1F"/>
          <w:spacing w:val="-2"/>
          <w:w w:val="110"/>
        </w:rPr>
        <w:t>de</w:t>
      </w:r>
      <w:r>
        <w:rPr>
          <w:color w:val="231F1F"/>
          <w:spacing w:val="-9"/>
          <w:w w:val="110"/>
        </w:rPr>
        <w:t> </w:t>
      </w:r>
      <w:r>
        <w:rPr>
          <w:color w:val="231F1F"/>
          <w:spacing w:val="-2"/>
          <w:w w:val="110"/>
        </w:rPr>
        <w:t>la</w:t>
      </w:r>
      <w:r>
        <w:rPr>
          <w:color w:val="231F1F"/>
          <w:spacing w:val="-9"/>
          <w:w w:val="110"/>
        </w:rPr>
        <w:t> </w:t>
      </w:r>
      <w:r>
        <w:rPr>
          <w:color w:val="231F1F"/>
          <w:spacing w:val="-2"/>
          <w:w w:val="110"/>
        </w:rPr>
        <w:t>meperidina</w:t>
      </w:r>
      <w:r>
        <w:rPr>
          <w:color w:val="231F1F"/>
          <w:spacing w:val="-9"/>
          <w:w w:val="110"/>
        </w:rPr>
        <w:t> </w:t>
      </w:r>
      <w:r>
        <w:rPr>
          <w:color w:val="231F1F"/>
          <w:spacing w:val="-2"/>
          <w:w w:val="110"/>
        </w:rPr>
        <w:t>(100- </w:t>
      </w:r>
      <w:r>
        <w:rPr>
          <w:color w:val="231F1F"/>
          <w:w w:val="110"/>
        </w:rPr>
        <w:t>150</w:t>
      </w:r>
      <w:r>
        <w:rPr>
          <w:color w:val="231F1F"/>
          <w:spacing w:val="-10"/>
          <w:w w:val="110"/>
        </w:rPr>
        <w:t> </w:t>
      </w:r>
      <w:r>
        <w:rPr>
          <w:color w:val="231F1F"/>
          <w:w w:val="110"/>
        </w:rPr>
        <w:t>mg),</w:t>
      </w:r>
      <w:r>
        <w:rPr>
          <w:color w:val="231F1F"/>
          <w:spacing w:val="-10"/>
          <w:w w:val="110"/>
        </w:rPr>
        <w:t> </w:t>
      </w:r>
      <w:r>
        <w:rPr>
          <w:color w:val="231F1F"/>
          <w:w w:val="110"/>
        </w:rPr>
        <w:t>las</w:t>
      </w:r>
      <w:r>
        <w:rPr>
          <w:color w:val="231F1F"/>
          <w:spacing w:val="-10"/>
          <w:w w:val="110"/>
        </w:rPr>
        <w:t> </w:t>
      </w:r>
      <w:r>
        <w:rPr>
          <w:color w:val="231F1F"/>
          <w:w w:val="110"/>
        </w:rPr>
        <w:t>mujeres</w:t>
      </w:r>
      <w:r>
        <w:rPr>
          <w:color w:val="231F1F"/>
          <w:spacing w:val="-9"/>
          <w:w w:val="110"/>
        </w:rPr>
        <w:t> </w:t>
      </w:r>
      <w:r>
        <w:rPr>
          <w:color w:val="231F1F"/>
          <w:w w:val="110"/>
        </w:rPr>
        <w:t>en</w:t>
      </w:r>
      <w:r>
        <w:rPr>
          <w:color w:val="231F1F"/>
          <w:spacing w:val="-9"/>
          <w:w w:val="110"/>
        </w:rPr>
        <w:t> </w:t>
      </w:r>
      <w:r>
        <w:rPr>
          <w:color w:val="231F1F"/>
          <w:w w:val="110"/>
        </w:rPr>
        <w:t>el</w:t>
      </w:r>
      <w:r>
        <w:rPr>
          <w:color w:val="231F1F"/>
          <w:spacing w:val="-10"/>
          <w:w w:val="110"/>
        </w:rPr>
        <w:t> </w:t>
      </w:r>
      <w:r>
        <w:rPr>
          <w:color w:val="231F1F"/>
          <w:w w:val="110"/>
        </w:rPr>
        <w:t>grupo</w:t>
      </w:r>
      <w:r>
        <w:rPr>
          <w:color w:val="231F1F"/>
          <w:spacing w:val="-10"/>
          <w:w w:val="110"/>
        </w:rPr>
        <w:t> </w:t>
      </w:r>
      <w:r>
        <w:rPr>
          <w:color w:val="231F1F"/>
          <w:w w:val="110"/>
        </w:rPr>
        <w:t>IV</w:t>
      </w:r>
      <w:r>
        <w:rPr>
          <w:color w:val="231F1F"/>
          <w:spacing w:val="-9"/>
          <w:w w:val="110"/>
        </w:rPr>
        <w:t> </w:t>
      </w:r>
      <w:r>
        <w:rPr>
          <w:color w:val="231F1F"/>
          <w:w w:val="110"/>
        </w:rPr>
        <w:t>seguían</w:t>
      </w:r>
      <w:r>
        <w:rPr>
          <w:color w:val="231F1F"/>
          <w:spacing w:val="-10"/>
          <w:w w:val="110"/>
        </w:rPr>
        <w:t> </w:t>
      </w:r>
      <w:r>
        <w:rPr>
          <w:color w:val="231F1F"/>
          <w:w w:val="110"/>
        </w:rPr>
        <w:t>con</w:t>
      </w:r>
      <w:r>
        <w:rPr>
          <w:color w:val="231F1F"/>
          <w:spacing w:val="-9"/>
          <w:w w:val="110"/>
        </w:rPr>
        <w:t> </w:t>
      </w:r>
      <w:r>
        <w:rPr>
          <w:color w:val="231F1F"/>
          <w:w w:val="110"/>
        </w:rPr>
        <w:t>puntuaciones</w:t>
      </w:r>
      <w:r>
        <w:rPr>
          <w:color w:val="231F1F"/>
          <w:spacing w:val="-10"/>
          <w:w w:val="110"/>
        </w:rPr>
        <w:t> </w:t>
      </w:r>
      <w:r>
        <w:rPr>
          <w:color w:val="231F1F"/>
          <w:w w:val="110"/>
        </w:rPr>
        <w:t>de</w:t>
      </w:r>
      <w:r>
        <w:rPr>
          <w:color w:val="231F1F"/>
          <w:spacing w:val="-10"/>
          <w:w w:val="110"/>
        </w:rPr>
        <w:t> </w:t>
      </w:r>
      <w:r>
        <w:rPr>
          <w:color w:val="231F1F"/>
          <w:w w:val="110"/>
        </w:rPr>
        <w:t>dolor</w:t>
      </w:r>
      <w:r>
        <w:rPr>
          <w:color w:val="231F1F"/>
          <w:spacing w:val="-10"/>
          <w:w w:val="110"/>
        </w:rPr>
        <w:t> </w:t>
      </w:r>
      <w:r>
        <w:rPr>
          <w:color w:val="231F1F"/>
          <w:w w:val="110"/>
        </w:rPr>
        <w:t>más bajas: p=0,0092.</w:t>
      </w:r>
    </w:p>
    <w:p>
      <w:pPr>
        <w:pStyle w:val="BodyText"/>
        <w:spacing w:line="244" w:lineRule="auto" w:before="67"/>
        <w:ind w:left="283" w:right="42" w:firstLine="453"/>
        <w:jc w:val="both"/>
      </w:pPr>
      <w:r>
        <w:rPr>
          <w:color w:val="231F1F"/>
          <w:w w:val="105"/>
        </w:rPr>
        <w:t>No</w:t>
      </w:r>
      <w:r>
        <w:rPr>
          <w:color w:val="231F1F"/>
          <w:spacing w:val="-13"/>
          <w:w w:val="105"/>
        </w:rPr>
        <w:t> </w:t>
      </w:r>
      <w:r>
        <w:rPr>
          <w:color w:val="231F1F"/>
          <w:w w:val="105"/>
        </w:rPr>
        <w:t>se</w:t>
      </w:r>
      <w:r>
        <w:rPr>
          <w:color w:val="231F1F"/>
          <w:spacing w:val="-13"/>
          <w:w w:val="105"/>
        </w:rPr>
        <w:t> </w:t>
      </w:r>
      <w:r>
        <w:rPr>
          <w:color w:val="231F1F"/>
          <w:w w:val="105"/>
        </w:rPr>
        <w:t>encontraron</w:t>
      </w:r>
      <w:r>
        <w:rPr>
          <w:color w:val="231F1F"/>
          <w:spacing w:val="-13"/>
          <w:w w:val="105"/>
        </w:rPr>
        <w:t> </w:t>
      </w:r>
      <w:r>
        <w:rPr>
          <w:color w:val="231F1F"/>
          <w:w w:val="105"/>
        </w:rPr>
        <w:t>diferencias</w:t>
      </w:r>
      <w:r>
        <w:rPr>
          <w:color w:val="231F1F"/>
          <w:spacing w:val="-14"/>
          <w:w w:val="105"/>
        </w:rPr>
        <w:t> </w:t>
      </w:r>
      <w:r>
        <w:rPr>
          <w:color w:val="231F1F"/>
          <w:w w:val="105"/>
        </w:rPr>
        <w:t>significativas</w:t>
      </w:r>
      <w:r>
        <w:rPr>
          <w:color w:val="231F1F"/>
          <w:spacing w:val="-13"/>
          <w:w w:val="105"/>
        </w:rPr>
        <w:t> </w:t>
      </w:r>
      <w:r>
        <w:rPr>
          <w:color w:val="231F1F"/>
          <w:w w:val="105"/>
        </w:rPr>
        <w:t>en</w:t>
      </w:r>
      <w:r>
        <w:rPr>
          <w:color w:val="231F1F"/>
          <w:spacing w:val="-13"/>
          <w:w w:val="105"/>
        </w:rPr>
        <w:t> </w:t>
      </w:r>
      <w:r>
        <w:rPr>
          <w:color w:val="231F1F"/>
          <w:w w:val="105"/>
        </w:rPr>
        <w:t>el</w:t>
      </w:r>
      <w:r>
        <w:rPr>
          <w:color w:val="231F1F"/>
          <w:spacing w:val="-13"/>
          <w:w w:val="105"/>
        </w:rPr>
        <w:t> </w:t>
      </w:r>
      <w:r>
        <w:rPr>
          <w:color w:val="231F1F"/>
          <w:w w:val="105"/>
        </w:rPr>
        <w:t>resto</w:t>
      </w:r>
      <w:r>
        <w:rPr>
          <w:color w:val="231F1F"/>
          <w:spacing w:val="-13"/>
          <w:w w:val="105"/>
        </w:rPr>
        <w:t> </w:t>
      </w:r>
      <w:r>
        <w:rPr>
          <w:color w:val="231F1F"/>
          <w:w w:val="105"/>
        </w:rPr>
        <w:t>de</w:t>
      </w:r>
      <w:r>
        <w:rPr>
          <w:color w:val="231F1F"/>
          <w:spacing w:val="-13"/>
          <w:w w:val="105"/>
        </w:rPr>
        <w:t> </w:t>
      </w:r>
      <w:r>
        <w:rPr>
          <w:color w:val="231F1F"/>
          <w:w w:val="105"/>
        </w:rPr>
        <w:t>resultados</w:t>
      </w:r>
      <w:r>
        <w:rPr>
          <w:color w:val="231F1F"/>
          <w:spacing w:val="-12"/>
          <w:w w:val="105"/>
        </w:rPr>
        <w:t> </w:t>
      </w:r>
      <w:r>
        <w:rPr>
          <w:color w:val="231F1F"/>
          <w:w w:val="105"/>
        </w:rPr>
        <w:t>como en</w:t>
      </w:r>
      <w:r>
        <w:rPr>
          <w:color w:val="231F1F"/>
          <w:w w:val="105"/>
        </w:rPr>
        <w:t> la</w:t>
      </w:r>
      <w:r>
        <w:rPr>
          <w:color w:val="231F1F"/>
          <w:w w:val="105"/>
        </w:rPr>
        <w:t> duración</w:t>
      </w:r>
      <w:r>
        <w:rPr>
          <w:color w:val="231F1F"/>
          <w:w w:val="105"/>
        </w:rPr>
        <w:t> del</w:t>
      </w:r>
      <w:r>
        <w:rPr>
          <w:color w:val="231F1F"/>
          <w:w w:val="105"/>
        </w:rPr>
        <w:t> parto,</w:t>
      </w:r>
      <w:r>
        <w:rPr>
          <w:color w:val="231F1F"/>
          <w:w w:val="105"/>
        </w:rPr>
        <w:t> en</w:t>
      </w:r>
      <w:r>
        <w:rPr>
          <w:color w:val="231F1F"/>
          <w:w w:val="105"/>
        </w:rPr>
        <w:t> los</w:t>
      </w:r>
      <w:r>
        <w:rPr>
          <w:color w:val="231F1F"/>
          <w:w w:val="105"/>
        </w:rPr>
        <w:t> signos</w:t>
      </w:r>
      <w:r>
        <w:rPr>
          <w:color w:val="231F1F"/>
          <w:w w:val="105"/>
        </w:rPr>
        <w:t> vitales</w:t>
      </w:r>
      <w:r>
        <w:rPr>
          <w:color w:val="231F1F"/>
          <w:w w:val="105"/>
        </w:rPr>
        <w:t> de</w:t>
      </w:r>
      <w:r>
        <w:rPr>
          <w:color w:val="231F1F"/>
          <w:w w:val="105"/>
        </w:rPr>
        <w:t> la</w:t>
      </w:r>
      <w:r>
        <w:rPr>
          <w:color w:val="231F1F"/>
          <w:w w:val="105"/>
        </w:rPr>
        <w:t> madre,</w:t>
      </w:r>
      <w:r>
        <w:rPr>
          <w:color w:val="231F1F"/>
          <w:w w:val="105"/>
        </w:rPr>
        <w:t> en</w:t>
      </w:r>
      <w:r>
        <w:rPr>
          <w:color w:val="231F1F"/>
          <w:w w:val="105"/>
        </w:rPr>
        <w:t> la</w:t>
      </w:r>
      <w:r>
        <w:rPr>
          <w:color w:val="231F1F"/>
          <w:w w:val="105"/>
        </w:rPr>
        <w:t> frecuencia cardíaca fetal, las puntuaciones de Apgar, el nivel de sedación materna, o en efectos secundarios informados por el paciente.</w:t>
      </w:r>
    </w:p>
    <w:p>
      <w:pPr>
        <w:pStyle w:val="BodyText"/>
        <w:spacing w:line="249" w:lineRule="auto" w:before="106"/>
        <w:ind w:left="283" w:right="41"/>
        <w:jc w:val="both"/>
      </w:pPr>
      <w:r>
        <w:rPr>
          <w:color w:val="231F1F"/>
          <w:w w:val="105"/>
        </w:rPr>
        <w:t>Dos pequeños ECAs (302;303) llevados a cabo en el Reino Unido analizaron la</w:t>
      </w:r>
      <w:r>
        <w:rPr>
          <w:color w:val="231F1F"/>
          <w:w w:val="105"/>
        </w:rPr>
        <w:t> eficacia</w:t>
      </w:r>
      <w:r>
        <w:rPr>
          <w:color w:val="231F1F"/>
          <w:w w:val="105"/>
        </w:rPr>
        <w:t> analgésica</w:t>
      </w:r>
      <w:r>
        <w:rPr>
          <w:color w:val="231F1F"/>
          <w:w w:val="105"/>
        </w:rPr>
        <w:t> de</w:t>
      </w:r>
      <w:r>
        <w:rPr>
          <w:color w:val="231F1F"/>
          <w:w w:val="105"/>
        </w:rPr>
        <w:t> </w:t>
      </w:r>
      <w:r>
        <w:rPr>
          <w:i/>
          <w:color w:val="231F1F"/>
          <w:w w:val="105"/>
        </w:rPr>
        <w:t>la PCA IV de remifentanilo </w:t>
      </w:r>
      <w:r>
        <w:rPr>
          <w:color w:val="231F1F"/>
          <w:w w:val="105"/>
        </w:rPr>
        <w:t>comparado</w:t>
      </w:r>
      <w:r>
        <w:rPr>
          <w:color w:val="231F1F"/>
          <w:w w:val="105"/>
        </w:rPr>
        <w:t> con</w:t>
      </w:r>
      <w:r>
        <w:rPr>
          <w:color w:val="231F1F"/>
          <w:w w:val="105"/>
        </w:rPr>
        <w:t> la</w:t>
      </w:r>
      <w:r>
        <w:rPr>
          <w:color w:val="231F1F"/>
          <w:w w:val="105"/>
        </w:rPr>
        <w:t> </w:t>
      </w:r>
      <w:r>
        <w:rPr>
          <w:i/>
          <w:color w:val="231F1F"/>
          <w:w w:val="105"/>
        </w:rPr>
        <w:t>PCA</w:t>
      </w:r>
      <w:r>
        <w:rPr>
          <w:i/>
          <w:color w:val="231F1F"/>
          <w:spacing w:val="40"/>
          <w:w w:val="105"/>
        </w:rPr>
        <w:t> </w:t>
      </w:r>
      <w:r>
        <w:rPr>
          <w:i/>
          <w:color w:val="231F1F"/>
          <w:w w:val="105"/>
        </w:rPr>
        <w:t>de</w:t>
      </w:r>
      <w:r>
        <w:rPr>
          <w:i/>
          <w:color w:val="231F1F"/>
          <w:spacing w:val="-14"/>
          <w:w w:val="105"/>
        </w:rPr>
        <w:t> </w:t>
      </w:r>
      <w:r>
        <w:rPr>
          <w:i/>
          <w:color w:val="231F1F"/>
          <w:w w:val="105"/>
        </w:rPr>
        <w:t>petidina</w:t>
      </w:r>
      <w:r>
        <w:rPr>
          <w:color w:val="231F1F"/>
          <w:w w:val="105"/>
        </w:rPr>
        <w:t>.</w:t>
      </w:r>
      <w:r>
        <w:rPr>
          <w:color w:val="231F1F"/>
          <w:spacing w:val="-2"/>
          <w:w w:val="105"/>
        </w:rPr>
        <w:t> </w:t>
      </w:r>
      <w:r>
        <w:rPr>
          <w:color w:val="231F1F"/>
          <w:w w:val="105"/>
        </w:rPr>
        <w:t>El</w:t>
      </w:r>
      <w:r>
        <w:rPr>
          <w:color w:val="231F1F"/>
          <w:spacing w:val="-2"/>
          <w:w w:val="105"/>
        </w:rPr>
        <w:t> </w:t>
      </w:r>
      <w:r>
        <w:rPr>
          <w:color w:val="231F1F"/>
          <w:w w:val="105"/>
        </w:rPr>
        <w:t>primero</w:t>
      </w:r>
      <w:r>
        <w:rPr>
          <w:color w:val="231F1F"/>
          <w:spacing w:val="-2"/>
          <w:w w:val="105"/>
        </w:rPr>
        <w:t> </w:t>
      </w:r>
      <w:r>
        <w:rPr>
          <w:color w:val="231F1F"/>
          <w:w w:val="105"/>
        </w:rPr>
        <w:t>de</w:t>
      </w:r>
      <w:r>
        <w:rPr>
          <w:color w:val="231F1F"/>
          <w:spacing w:val="-2"/>
          <w:w w:val="105"/>
        </w:rPr>
        <w:t> </w:t>
      </w:r>
      <w:r>
        <w:rPr>
          <w:color w:val="231F1F"/>
          <w:w w:val="105"/>
        </w:rPr>
        <w:t>los</w:t>
      </w:r>
      <w:r>
        <w:rPr>
          <w:color w:val="231F1F"/>
          <w:spacing w:val="-2"/>
          <w:w w:val="105"/>
        </w:rPr>
        <w:t> </w:t>
      </w:r>
      <w:r>
        <w:rPr>
          <w:color w:val="231F1F"/>
          <w:w w:val="105"/>
        </w:rPr>
        <w:t>estudios</w:t>
      </w:r>
      <w:r>
        <w:rPr>
          <w:color w:val="231F1F"/>
          <w:spacing w:val="-1"/>
          <w:w w:val="105"/>
        </w:rPr>
        <w:t> </w:t>
      </w:r>
      <w:r>
        <w:rPr>
          <w:color w:val="231F1F"/>
          <w:w w:val="105"/>
        </w:rPr>
        <w:t>(302),</w:t>
      </w:r>
      <w:r>
        <w:rPr>
          <w:color w:val="231F1F"/>
          <w:spacing w:val="-2"/>
          <w:w w:val="105"/>
        </w:rPr>
        <w:t> </w:t>
      </w:r>
      <w:r>
        <w:rPr>
          <w:color w:val="231F1F"/>
          <w:w w:val="105"/>
        </w:rPr>
        <w:t>con</w:t>
      </w:r>
      <w:r>
        <w:rPr>
          <w:color w:val="231F1F"/>
          <w:spacing w:val="-2"/>
          <w:w w:val="105"/>
        </w:rPr>
        <w:t> </w:t>
      </w:r>
      <w:r>
        <w:rPr>
          <w:color w:val="231F1F"/>
          <w:w w:val="105"/>
        </w:rPr>
        <w:t>tan</w:t>
      </w:r>
      <w:r>
        <w:rPr>
          <w:color w:val="231F1F"/>
          <w:spacing w:val="-2"/>
          <w:w w:val="105"/>
        </w:rPr>
        <w:t> </w:t>
      </w:r>
      <w:r>
        <w:rPr>
          <w:color w:val="231F1F"/>
          <w:w w:val="105"/>
        </w:rPr>
        <w:t>sólo</w:t>
      </w:r>
      <w:r>
        <w:rPr>
          <w:color w:val="231F1F"/>
          <w:spacing w:val="-2"/>
          <w:w w:val="105"/>
        </w:rPr>
        <w:t> </w:t>
      </w:r>
      <w:r>
        <w:rPr>
          <w:color w:val="231F1F"/>
          <w:w w:val="105"/>
        </w:rPr>
        <w:t>9</w:t>
      </w:r>
      <w:r>
        <w:rPr>
          <w:color w:val="231F1F"/>
          <w:spacing w:val="-2"/>
          <w:w w:val="105"/>
        </w:rPr>
        <w:t> </w:t>
      </w:r>
      <w:r>
        <w:rPr>
          <w:color w:val="231F1F"/>
          <w:w w:val="105"/>
        </w:rPr>
        <w:t>mujeres</w:t>
      </w:r>
      <w:r>
        <w:rPr>
          <w:color w:val="231F1F"/>
          <w:spacing w:val="-2"/>
          <w:w w:val="105"/>
        </w:rPr>
        <w:t> </w:t>
      </w:r>
      <w:r>
        <w:rPr>
          <w:color w:val="231F1F"/>
          <w:w w:val="105"/>
        </w:rPr>
        <w:t>incluidas, fue</w:t>
      </w:r>
      <w:r>
        <w:rPr>
          <w:color w:val="231F1F"/>
          <w:w w:val="105"/>
        </w:rPr>
        <w:t> suspendido</w:t>
      </w:r>
      <w:r>
        <w:rPr>
          <w:color w:val="231F1F"/>
          <w:w w:val="105"/>
        </w:rPr>
        <w:t> precozmente</w:t>
      </w:r>
      <w:r>
        <w:rPr>
          <w:color w:val="231F1F"/>
          <w:w w:val="105"/>
        </w:rPr>
        <w:t> debido</w:t>
      </w:r>
      <w:r>
        <w:rPr>
          <w:color w:val="231F1F"/>
          <w:w w:val="105"/>
        </w:rPr>
        <w:t> a</w:t>
      </w:r>
      <w:r>
        <w:rPr>
          <w:color w:val="231F1F"/>
          <w:w w:val="105"/>
        </w:rPr>
        <w:t> la</w:t>
      </w:r>
      <w:r>
        <w:rPr>
          <w:color w:val="231F1F"/>
          <w:w w:val="105"/>
        </w:rPr>
        <w:t> preocupación</w:t>
      </w:r>
      <w:r>
        <w:rPr>
          <w:color w:val="231F1F"/>
          <w:w w:val="105"/>
        </w:rPr>
        <w:t> por</w:t>
      </w:r>
      <w:r>
        <w:rPr>
          <w:color w:val="231F1F"/>
          <w:w w:val="105"/>
        </w:rPr>
        <w:t> los</w:t>
      </w:r>
      <w:r>
        <w:rPr>
          <w:color w:val="231F1F"/>
          <w:w w:val="105"/>
        </w:rPr>
        <w:t> resultados preliminares neonatales del grupo de petidina.</w:t>
      </w:r>
    </w:p>
    <w:p>
      <w:pPr>
        <w:pStyle w:val="BodyText"/>
        <w:spacing w:line="247" w:lineRule="auto" w:before="86"/>
        <w:ind w:left="283" w:right="38" w:firstLine="453"/>
        <w:jc w:val="both"/>
      </w:pPr>
      <w:r>
        <w:rPr>
          <w:color w:val="231F1F"/>
          <w:w w:val="110"/>
        </w:rPr>
        <w:t>El</w:t>
      </w:r>
      <w:r>
        <w:rPr>
          <w:color w:val="231F1F"/>
          <w:spacing w:val="-8"/>
          <w:w w:val="110"/>
        </w:rPr>
        <w:t> </w:t>
      </w:r>
      <w:r>
        <w:rPr>
          <w:color w:val="231F1F"/>
          <w:w w:val="110"/>
        </w:rPr>
        <w:t>más</w:t>
      </w:r>
      <w:r>
        <w:rPr>
          <w:color w:val="231F1F"/>
          <w:spacing w:val="-8"/>
          <w:w w:val="110"/>
        </w:rPr>
        <w:t> </w:t>
      </w:r>
      <w:r>
        <w:rPr>
          <w:color w:val="231F1F"/>
          <w:w w:val="110"/>
        </w:rPr>
        <w:t>reciente</w:t>
      </w:r>
      <w:r>
        <w:rPr>
          <w:color w:val="231F1F"/>
          <w:spacing w:val="-7"/>
          <w:w w:val="110"/>
        </w:rPr>
        <w:t> </w:t>
      </w:r>
      <w:r>
        <w:rPr>
          <w:color w:val="231F1F"/>
          <w:w w:val="110"/>
        </w:rPr>
        <w:t>de</w:t>
      </w:r>
      <w:r>
        <w:rPr>
          <w:color w:val="231F1F"/>
          <w:spacing w:val="-8"/>
          <w:w w:val="110"/>
        </w:rPr>
        <w:t> </w:t>
      </w:r>
      <w:r>
        <w:rPr>
          <w:color w:val="231F1F"/>
          <w:w w:val="110"/>
        </w:rPr>
        <w:t>los</w:t>
      </w:r>
      <w:r>
        <w:rPr>
          <w:color w:val="231F1F"/>
          <w:spacing w:val="-8"/>
          <w:w w:val="110"/>
        </w:rPr>
        <w:t> </w:t>
      </w:r>
      <w:r>
        <w:rPr>
          <w:color w:val="231F1F"/>
          <w:w w:val="110"/>
        </w:rPr>
        <w:t>ensayos</w:t>
      </w:r>
      <w:r>
        <w:rPr>
          <w:color w:val="231F1F"/>
          <w:spacing w:val="-7"/>
          <w:w w:val="110"/>
        </w:rPr>
        <w:t> </w:t>
      </w:r>
      <w:r>
        <w:rPr>
          <w:color w:val="231F1F"/>
          <w:w w:val="110"/>
        </w:rPr>
        <w:t>(303)</w:t>
      </w:r>
      <w:r>
        <w:rPr>
          <w:color w:val="231F1F"/>
          <w:spacing w:val="-8"/>
          <w:w w:val="110"/>
        </w:rPr>
        <w:t> </w:t>
      </w:r>
      <w:r>
        <w:rPr>
          <w:color w:val="231F1F"/>
          <w:w w:val="110"/>
        </w:rPr>
        <w:t>incluyó</w:t>
      </w:r>
      <w:r>
        <w:rPr>
          <w:color w:val="231F1F"/>
          <w:spacing w:val="-7"/>
          <w:w w:val="110"/>
        </w:rPr>
        <w:t> </w:t>
      </w:r>
      <w:r>
        <w:rPr>
          <w:color w:val="231F1F"/>
          <w:w w:val="110"/>
        </w:rPr>
        <w:t>a</w:t>
      </w:r>
      <w:r>
        <w:rPr>
          <w:color w:val="231F1F"/>
          <w:spacing w:val="-8"/>
          <w:w w:val="110"/>
        </w:rPr>
        <w:t> </w:t>
      </w:r>
      <w:r>
        <w:rPr>
          <w:color w:val="231F1F"/>
          <w:w w:val="110"/>
        </w:rPr>
        <w:t>40</w:t>
      </w:r>
      <w:r>
        <w:rPr>
          <w:color w:val="231F1F"/>
          <w:spacing w:val="-7"/>
          <w:w w:val="110"/>
        </w:rPr>
        <w:t> </w:t>
      </w:r>
      <w:r>
        <w:rPr>
          <w:color w:val="231F1F"/>
          <w:w w:val="110"/>
        </w:rPr>
        <w:t>mujeres</w:t>
      </w:r>
      <w:r>
        <w:rPr>
          <w:color w:val="231F1F"/>
          <w:spacing w:val="-7"/>
          <w:w w:val="110"/>
        </w:rPr>
        <w:t> </w:t>
      </w:r>
      <w:r>
        <w:rPr>
          <w:color w:val="231F1F"/>
          <w:w w:val="110"/>
        </w:rPr>
        <w:t>con</w:t>
      </w:r>
      <w:r>
        <w:rPr>
          <w:color w:val="231F1F"/>
          <w:spacing w:val="-7"/>
          <w:w w:val="110"/>
        </w:rPr>
        <w:t> </w:t>
      </w:r>
      <w:r>
        <w:rPr>
          <w:color w:val="231F1F"/>
          <w:w w:val="110"/>
        </w:rPr>
        <w:t>PCA</w:t>
      </w:r>
      <w:r>
        <w:rPr>
          <w:color w:val="231F1F"/>
          <w:spacing w:val="-7"/>
          <w:w w:val="110"/>
        </w:rPr>
        <w:t> </w:t>
      </w:r>
      <w:r>
        <w:rPr>
          <w:color w:val="231F1F"/>
          <w:w w:val="110"/>
        </w:rPr>
        <w:t>IV de remifentanilo (40 μg con cierre de 2 min) comparado con la PCA IV de </w:t>
      </w:r>
      <w:r>
        <w:rPr>
          <w:color w:val="231F1F"/>
          <w:spacing w:val="-2"/>
          <w:w w:val="110"/>
        </w:rPr>
        <w:t>petidina</w:t>
      </w:r>
      <w:r>
        <w:rPr>
          <w:color w:val="231F1F"/>
          <w:spacing w:val="-10"/>
          <w:w w:val="110"/>
        </w:rPr>
        <w:t> </w:t>
      </w:r>
      <w:r>
        <w:rPr>
          <w:color w:val="231F1F"/>
          <w:spacing w:val="-2"/>
          <w:w w:val="110"/>
        </w:rPr>
        <w:t>(15</w:t>
      </w:r>
      <w:r>
        <w:rPr>
          <w:color w:val="231F1F"/>
          <w:spacing w:val="-10"/>
          <w:w w:val="110"/>
        </w:rPr>
        <w:t> </w:t>
      </w:r>
      <w:r>
        <w:rPr>
          <w:color w:val="231F1F"/>
          <w:spacing w:val="-2"/>
          <w:w w:val="110"/>
        </w:rPr>
        <w:t>mg</w:t>
      </w:r>
      <w:r>
        <w:rPr>
          <w:color w:val="231F1F"/>
          <w:spacing w:val="-10"/>
          <w:w w:val="110"/>
        </w:rPr>
        <w:t> </w:t>
      </w:r>
      <w:r>
        <w:rPr>
          <w:color w:val="231F1F"/>
          <w:spacing w:val="-2"/>
          <w:w w:val="110"/>
        </w:rPr>
        <w:t>con</w:t>
      </w:r>
      <w:r>
        <w:rPr>
          <w:color w:val="231F1F"/>
          <w:spacing w:val="-10"/>
          <w:w w:val="110"/>
        </w:rPr>
        <w:t> </w:t>
      </w:r>
      <w:r>
        <w:rPr>
          <w:color w:val="231F1F"/>
          <w:spacing w:val="-2"/>
          <w:w w:val="110"/>
        </w:rPr>
        <w:t>cierre</w:t>
      </w:r>
      <w:r>
        <w:rPr>
          <w:color w:val="231F1F"/>
          <w:spacing w:val="-10"/>
          <w:w w:val="110"/>
        </w:rPr>
        <w:t> </w:t>
      </w:r>
      <w:r>
        <w:rPr>
          <w:color w:val="231F1F"/>
          <w:spacing w:val="-2"/>
          <w:w w:val="110"/>
        </w:rPr>
        <w:t>de</w:t>
      </w:r>
      <w:r>
        <w:rPr>
          <w:color w:val="231F1F"/>
          <w:spacing w:val="-10"/>
          <w:w w:val="110"/>
        </w:rPr>
        <w:t> </w:t>
      </w:r>
      <w:r>
        <w:rPr>
          <w:color w:val="231F1F"/>
          <w:spacing w:val="-2"/>
          <w:w w:val="110"/>
        </w:rPr>
        <w:t>10</w:t>
      </w:r>
      <w:r>
        <w:rPr>
          <w:color w:val="231F1F"/>
          <w:spacing w:val="-10"/>
          <w:w w:val="110"/>
        </w:rPr>
        <w:t> </w:t>
      </w:r>
      <w:r>
        <w:rPr>
          <w:color w:val="231F1F"/>
          <w:spacing w:val="-2"/>
          <w:w w:val="110"/>
        </w:rPr>
        <w:t>min)</w:t>
      </w:r>
      <w:r>
        <w:rPr>
          <w:color w:val="231F1F"/>
          <w:spacing w:val="-10"/>
          <w:w w:val="110"/>
        </w:rPr>
        <w:t> </w:t>
      </w:r>
      <w:r>
        <w:rPr>
          <w:color w:val="231F1F"/>
          <w:spacing w:val="-2"/>
          <w:w w:val="110"/>
        </w:rPr>
        <w:t>ambos</w:t>
      </w:r>
      <w:r>
        <w:rPr>
          <w:color w:val="231F1F"/>
          <w:spacing w:val="-10"/>
          <w:w w:val="110"/>
        </w:rPr>
        <w:t> </w:t>
      </w:r>
      <w:r>
        <w:rPr>
          <w:color w:val="231F1F"/>
          <w:spacing w:val="-2"/>
          <w:w w:val="110"/>
        </w:rPr>
        <w:t>grupos</w:t>
      </w:r>
      <w:r>
        <w:rPr>
          <w:color w:val="231F1F"/>
          <w:spacing w:val="-10"/>
          <w:w w:val="110"/>
        </w:rPr>
        <w:t> </w:t>
      </w:r>
      <w:r>
        <w:rPr>
          <w:color w:val="231F1F"/>
          <w:spacing w:val="-2"/>
          <w:w w:val="110"/>
        </w:rPr>
        <w:t>con</w:t>
      </w:r>
      <w:r>
        <w:rPr>
          <w:color w:val="231F1F"/>
          <w:spacing w:val="-10"/>
          <w:w w:val="110"/>
        </w:rPr>
        <w:t> </w:t>
      </w:r>
      <w:r>
        <w:rPr>
          <w:color w:val="231F1F"/>
          <w:spacing w:val="-2"/>
          <w:w w:val="110"/>
        </w:rPr>
        <w:t>acceso</w:t>
      </w:r>
      <w:r>
        <w:rPr>
          <w:color w:val="231F1F"/>
          <w:spacing w:val="-10"/>
          <w:w w:val="110"/>
        </w:rPr>
        <w:t> </w:t>
      </w:r>
      <w:r>
        <w:rPr>
          <w:color w:val="231F1F"/>
          <w:spacing w:val="-2"/>
          <w:w w:val="110"/>
        </w:rPr>
        <w:t>a</w:t>
      </w:r>
      <w:r>
        <w:rPr>
          <w:color w:val="231F1F"/>
          <w:spacing w:val="-10"/>
          <w:w w:val="110"/>
        </w:rPr>
        <w:t> </w:t>
      </w:r>
      <w:r>
        <w:rPr>
          <w:color w:val="231F1F"/>
          <w:spacing w:val="-2"/>
          <w:w w:val="110"/>
        </w:rPr>
        <w:t>Entonox®. </w:t>
      </w:r>
      <w:r>
        <w:rPr>
          <w:color w:val="231F1F"/>
          <w:w w:val="110"/>
        </w:rPr>
        <w:t>En</w:t>
      </w:r>
      <w:r>
        <w:rPr>
          <w:color w:val="231F1F"/>
          <w:spacing w:val="-4"/>
          <w:w w:val="110"/>
        </w:rPr>
        <w:t> </w:t>
      </w:r>
      <w:r>
        <w:rPr>
          <w:color w:val="231F1F"/>
          <w:w w:val="110"/>
        </w:rPr>
        <w:t>ella</w:t>
      </w:r>
      <w:r>
        <w:rPr>
          <w:color w:val="231F1F"/>
          <w:spacing w:val="-4"/>
          <w:w w:val="110"/>
        </w:rPr>
        <w:t> </w:t>
      </w:r>
      <w:r>
        <w:rPr>
          <w:color w:val="231F1F"/>
          <w:w w:val="110"/>
        </w:rPr>
        <w:t>se</w:t>
      </w:r>
      <w:r>
        <w:rPr>
          <w:color w:val="231F1F"/>
          <w:spacing w:val="-4"/>
          <w:w w:val="110"/>
        </w:rPr>
        <w:t> </w:t>
      </w:r>
      <w:r>
        <w:rPr>
          <w:color w:val="231F1F"/>
          <w:w w:val="110"/>
        </w:rPr>
        <w:t>informó</w:t>
      </w:r>
      <w:r>
        <w:rPr>
          <w:color w:val="231F1F"/>
          <w:spacing w:val="-4"/>
          <w:w w:val="110"/>
        </w:rPr>
        <w:t> </w:t>
      </w:r>
      <w:r>
        <w:rPr>
          <w:color w:val="231F1F"/>
          <w:w w:val="110"/>
        </w:rPr>
        <w:t>que</w:t>
      </w:r>
      <w:r>
        <w:rPr>
          <w:color w:val="231F1F"/>
          <w:spacing w:val="-4"/>
          <w:w w:val="110"/>
        </w:rPr>
        <w:t> </w:t>
      </w:r>
      <w:r>
        <w:rPr>
          <w:color w:val="231F1F"/>
          <w:w w:val="110"/>
        </w:rPr>
        <w:t>las</w:t>
      </w:r>
      <w:r>
        <w:rPr>
          <w:color w:val="231F1F"/>
          <w:spacing w:val="-4"/>
          <w:w w:val="110"/>
        </w:rPr>
        <w:t> </w:t>
      </w:r>
      <w:r>
        <w:rPr>
          <w:color w:val="231F1F"/>
          <w:w w:val="110"/>
        </w:rPr>
        <w:t>mujeres</w:t>
      </w:r>
      <w:r>
        <w:rPr>
          <w:color w:val="231F1F"/>
          <w:spacing w:val="-4"/>
          <w:w w:val="110"/>
        </w:rPr>
        <w:t> </w:t>
      </w:r>
      <w:r>
        <w:rPr>
          <w:color w:val="231F1F"/>
          <w:w w:val="110"/>
        </w:rPr>
        <w:t>que</w:t>
      </w:r>
      <w:r>
        <w:rPr>
          <w:color w:val="231F1F"/>
          <w:spacing w:val="-4"/>
          <w:w w:val="110"/>
        </w:rPr>
        <w:t> </w:t>
      </w:r>
      <w:r>
        <w:rPr>
          <w:color w:val="231F1F"/>
          <w:w w:val="110"/>
        </w:rPr>
        <w:t>recibieron</w:t>
      </w:r>
      <w:r>
        <w:rPr>
          <w:color w:val="231F1F"/>
          <w:spacing w:val="-4"/>
          <w:w w:val="110"/>
        </w:rPr>
        <w:t> </w:t>
      </w:r>
      <w:r>
        <w:rPr>
          <w:color w:val="231F1F"/>
          <w:w w:val="110"/>
        </w:rPr>
        <w:t>remifentanilo</w:t>
      </w:r>
      <w:r>
        <w:rPr>
          <w:color w:val="231F1F"/>
          <w:spacing w:val="-4"/>
          <w:w w:val="110"/>
        </w:rPr>
        <w:t> </w:t>
      </w:r>
      <w:r>
        <w:rPr>
          <w:color w:val="231F1F"/>
          <w:w w:val="110"/>
        </w:rPr>
        <w:t>alcanzaron un</w:t>
      </w:r>
      <w:r>
        <w:rPr>
          <w:color w:val="231F1F"/>
          <w:spacing w:val="-12"/>
          <w:w w:val="110"/>
        </w:rPr>
        <w:t> </w:t>
      </w:r>
      <w:r>
        <w:rPr>
          <w:color w:val="231F1F"/>
          <w:w w:val="110"/>
        </w:rPr>
        <w:t>grado</w:t>
      </w:r>
      <w:r>
        <w:rPr>
          <w:color w:val="231F1F"/>
          <w:spacing w:val="-12"/>
          <w:w w:val="110"/>
        </w:rPr>
        <w:t> </w:t>
      </w:r>
      <w:r>
        <w:rPr>
          <w:color w:val="231F1F"/>
          <w:w w:val="110"/>
        </w:rPr>
        <w:t>mayor</w:t>
      </w:r>
      <w:r>
        <w:rPr>
          <w:color w:val="231F1F"/>
          <w:spacing w:val="-13"/>
          <w:w w:val="110"/>
        </w:rPr>
        <w:t> </w:t>
      </w:r>
      <w:r>
        <w:rPr>
          <w:color w:val="231F1F"/>
          <w:w w:val="110"/>
        </w:rPr>
        <w:t>de</w:t>
      </w:r>
      <w:r>
        <w:rPr>
          <w:color w:val="231F1F"/>
          <w:spacing w:val="-12"/>
          <w:w w:val="110"/>
        </w:rPr>
        <w:t> </w:t>
      </w:r>
      <w:r>
        <w:rPr>
          <w:color w:val="231F1F"/>
          <w:w w:val="110"/>
        </w:rPr>
        <w:t>satisfacción</w:t>
      </w:r>
      <w:r>
        <w:rPr>
          <w:color w:val="231F1F"/>
          <w:spacing w:val="-13"/>
          <w:w w:val="110"/>
        </w:rPr>
        <w:t> </w:t>
      </w:r>
      <w:r>
        <w:rPr>
          <w:color w:val="231F1F"/>
          <w:w w:val="110"/>
        </w:rPr>
        <w:t>frente</w:t>
      </w:r>
      <w:r>
        <w:rPr>
          <w:color w:val="231F1F"/>
          <w:spacing w:val="-12"/>
          <w:w w:val="110"/>
        </w:rPr>
        <w:t> </w:t>
      </w:r>
      <w:r>
        <w:rPr>
          <w:color w:val="231F1F"/>
          <w:w w:val="110"/>
        </w:rPr>
        <w:t>a</w:t>
      </w:r>
      <w:r>
        <w:rPr>
          <w:color w:val="231F1F"/>
          <w:spacing w:val="-12"/>
          <w:w w:val="110"/>
        </w:rPr>
        <w:t> </w:t>
      </w:r>
      <w:r>
        <w:rPr>
          <w:color w:val="231F1F"/>
          <w:w w:val="110"/>
        </w:rPr>
        <w:t>las</w:t>
      </w:r>
      <w:r>
        <w:rPr>
          <w:color w:val="231F1F"/>
          <w:spacing w:val="-12"/>
          <w:w w:val="110"/>
        </w:rPr>
        <w:t> </w:t>
      </w:r>
      <w:r>
        <w:rPr>
          <w:color w:val="231F1F"/>
          <w:w w:val="110"/>
        </w:rPr>
        <w:t>que</w:t>
      </w:r>
      <w:r>
        <w:rPr>
          <w:color w:val="231F1F"/>
          <w:spacing w:val="-12"/>
          <w:w w:val="110"/>
        </w:rPr>
        <w:t> </w:t>
      </w:r>
      <w:r>
        <w:rPr>
          <w:color w:val="231F1F"/>
          <w:w w:val="110"/>
        </w:rPr>
        <w:t>recibieron</w:t>
      </w:r>
      <w:r>
        <w:rPr>
          <w:color w:val="231F1F"/>
          <w:spacing w:val="-12"/>
          <w:w w:val="110"/>
        </w:rPr>
        <w:t> </w:t>
      </w:r>
      <w:r>
        <w:rPr>
          <w:color w:val="231F1F"/>
          <w:w w:val="110"/>
        </w:rPr>
        <w:t>petidina</w:t>
      </w:r>
      <w:r>
        <w:rPr>
          <w:color w:val="231F1F"/>
          <w:spacing w:val="-12"/>
          <w:w w:val="110"/>
        </w:rPr>
        <w:t> </w:t>
      </w:r>
      <w:r>
        <w:rPr>
          <w:color w:val="231F1F"/>
          <w:w w:val="110"/>
        </w:rPr>
        <w:t>y</w:t>
      </w:r>
      <w:r>
        <w:rPr>
          <w:color w:val="231F1F"/>
          <w:spacing w:val="-12"/>
          <w:w w:val="110"/>
        </w:rPr>
        <w:t> </w:t>
      </w:r>
      <w:r>
        <w:rPr>
          <w:color w:val="231F1F"/>
          <w:w w:val="110"/>
        </w:rPr>
        <w:t>una</w:t>
      </w:r>
      <w:r>
        <w:rPr>
          <w:color w:val="231F1F"/>
          <w:spacing w:val="-12"/>
          <w:w w:val="110"/>
        </w:rPr>
        <w:t> </w:t>
      </w:r>
      <w:r>
        <w:rPr>
          <w:color w:val="231F1F"/>
          <w:w w:val="110"/>
        </w:rPr>
        <w:t>ca- pacidad</w:t>
      </w:r>
      <w:r>
        <w:rPr>
          <w:color w:val="231F1F"/>
          <w:spacing w:val="-3"/>
          <w:w w:val="110"/>
        </w:rPr>
        <w:t> </w:t>
      </w:r>
      <w:r>
        <w:rPr>
          <w:color w:val="231F1F"/>
          <w:w w:val="110"/>
        </w:rPr>
        <w:t>neurológica</w:t>
      </w:r>
      <w:r>
        <w:rPr>
          <w:color w:val="231F1F"/>
          <w:spacing w:val="-3"/>
          <w:w w:val="110"/>
        </w:rPr>
        <w:t> </w:t>
      </w:r>
      <w:r>
        <w:rPr>
          <w:color w:val="231F1F"/>
          <w:w w:val="110"/>
        </w:rPr>
        <w:t>adaptativa</w:t>
      </w:r>
      <w:r>
        <w:rPr>
          <w:color w:val="231F1F"/>
          <w:spacing w:val="-3"/>
          <w:w w:val="110"/>
        </w:rPr>
        <w:t> </w:t>
      </w:r>
      <w:r>
        <w:rPr>
          <w:color w:val="231F1F"/>
          <w:w w:val="110"/>
        </w:rPr>
        <w:t>(NACS)</w:t>
      </w:r>
      <w:r>
        <w:rPr>
          <w:color w:val="231F1F"/>
          <w:spacing w:val="-3"/>
          <w:w w:val="110"/>
        </w:rPr>
        <w:t> </w:t>
      </w:r>
      <w:r>
        <w:rPr>
          <w:color w:val="231F1F"/>
          <w:w w:val="110"/>
        </w:rPr>
        <w:t>del</w:t>
      </w:r>
      <w:r>
        <w:rPr>
          <w:color w:val="231F1F"/>
          <w:spacing w:val="-3"/>
          <w:w w:val="110"/>
        </w:rPr>
        <w:t> </w:t>
      </w:r>
      <w:r>
        <w:rPr>
          <w:color w:val="231F1F"/>
          <w:w w:val="110"/>
        </w:rPr>
        <w:t>RN</w:t>
      </w:r>
      <w:r>
        <w:rPr>
          <w:color w:val="231F1F"/>
          <w:spacing w:val="-1"/>
          <w:w w:val="110"/>
        </w:rPr>
        <w:t> </w:t>
      </w:r>
      <w:r>
        <w:rPr>
          <w:color w:val="231F1F"/>
          <w:w w:val="110"/>
        </w:rPr>
        <w:t>a</w:t>
      </w:r>
      <w:r>
        <w:rPr>
          <w:color w:val="231F1F"/>
          <w:spacing w:val="-2"/>
          <w:w w:val="110"/>
        </w:rPr>
        <w:t> </w:t>
      </w:r>
      <w:r>
        <w:rPr>
          <w:color w:val="231F1F"/>
          <w:w w:val="110"/>
        </w:rPr>
        <w:t>los</w:t>
      </w:r>
      <w:r>
        <w:rPr>
          <w:color w:val="231F1F"/>
          <w:spacing w:val="-3"/>
          <w:w w:val="110"/>
        </w:rPr>
        <w:t> </w:t>
      </w:r>
      <w:r>
        <w:rPr>
          <w:color w:val="231F1F"/>
          <w:w w:val="110"/>
        </w:rPr>
        <w:t>30</w:t>
      </w:r>
      <w:r>
        <w:rPr>
          <w:color w:val="231F1F"/>
          <w:spacing w:val="-2"/>
          <w:w w:val="110"/>
        </w:rPr>
        <w:t> </w:t>
      </w:r>
      <w:r>
        <w:rPr>
          <w:color w:val="231F1F"/>
          <w:w w:val="110"/>
        </w:rPr>
        <w:t>minutos</w:t>
      </w:r>
      <w:r>
        <w:rPr>
          <w:color w:val="231F1F"/>
          <w:spacing w:val="-3"/>
          <w:w w:val="110"/>
        </w:rPr>
        <w:t> </w:t>
      </w:r>
      <w:r>
        <w:rPr>
          <w:color w:val="231F1F"/>
          <w:w w:val="110"/>
        </w:rPr>
        <w:t>menor</w:t>
      </w:r>
      <w:r>
        <w:rPr>
          <w:color w:val="231F1F"/>
          <w:spacing w:val="-3"/>
          <w:w w:val="110"/>
        </w:rPr>
        <w:t> </w:t>
      </w:r>
      <w:r>
        <w:rPr>
          <w:color w:val="231F1F"/>
          <w:w w:val="110"/>
        </w:rPr>
        <w:t>en aquellas</w:t>
      </w:r>
      <w:r>
        <w:rPr>
          <w:color w:val="231F1F"/>
          <w:spacing w:val="-5"/>
          <w:w w:val="110"/>
        </w:rPr>
        <w:t> </w:t>
      </w:r>
      <w:r>
        <w:rPr>
          <w:color w:val="231F1F"/>
          <w:w w:val="110"/>
        </w:rPr>
        <w:t>que</w:t>
      </w:r>
      <w:r>
        <w:rPr>
          <w:color w:val="231F1F"/>
          <w:spacing w:val="-5"/>
          <w:w w:val="110"/>
        </w:rPr>
        <w:t> </w:t>
      </w:r>
      <w:r>
        <w:rPr>
          <w:color w:val="231F1F"/>
          <w:w w:val="110"/>
        </w:rPr>
        <w:t>recibieron</w:t>
      </w:r>
      <w:r>
        <w:rPr>
          <w:color w:val="231F1F"/>
          <w:spacing w:val="-4"/>
          <w:w w:val="110"/>
        </w:rPr>
        <w:t> </w:t>
      </w:r>
      <w:r>
        <w:rPr>
          <w:color w:val="231F1F"/>
          <w:w w:val="110"/>
        </w:rPr>
        <w:t>petidina.</w:t>
      </w:r>
      <w:r>
        <w:rPr>
          <w:color w:val="231F1F"/>
          <w:spacing w:val="-6"/>
          <w:w w:val="110"/>
        </w:rPr>
        <w:t> </w:t>
      </w:r>
      <w:r>
        <w:rPr>
          <w:color w:val="231F1F"/>
          <w:w w:val="110"/>
        </w:rPr>
        <w:t>Sin</w:t>
      </w:r>
      <w:r>
        <w:rPr>
          <w:color w:val="231F1F"/>
          <w:spacing w:val="-5"/>
          <w:w w:val="110"/>
        </w:rPr>
        <w:t> </w:t>
      </w:r>
      <w:r>
        <w:rPr>
          <w:color w:val="231F1F"/>
          <w:w w:val="110"/>
        </w:rPr>
        <w:t>embargo</w:t>
      </w:r>
      <w:r>
        <w:rPr>
          <w:color w:val="231F1F"/>
          <w:spacing w:val="-4"/>
          <w:w w:val="110"/>
        </w:rPr>
        <w:t> </w:t>
      </w:r>
      <w:r>
        <w:rPr>
          <w:color w:val="231F1F"/>
          <w:w w:val="110"/>
        </w:rPr>
        <w:t>la</w:t>
      </w:r>
      <w:r>
        <w:rPr>
          <w:color w:val="231F1F"/>
          <w:spacing w:val="-5"/>
          <w:w w:val="110"/>
        </w:rPr>
        <w:t> </w:t>
      </w:r>
      <w:r>
        <w:rPr>
          <w:color w:val="231F1F"/>
          <w:w w:val="110"/>
        </w:rPr>
        <w:t>intensidad</w:t>
      </w:r>
      <w:r>
        <w:rPr>
          <w:color w:val="231F1F"/>
          <w:spacing w:val="-4"/>
          <w:w w:val="110"/>
        </w:rPr>
        <w:t> </w:t>
      </w:r>
      <w:r>
        <w:rPr>
          <w:color w:val="231F1F"/>
          <w:w w:val="110"/>
        </w:rPr>
        <w:t>del</w:t>
      </w:r>
      <w:r>
        <w:rPr>
          <w:color w:val="231F1F"/>
          <w:spacing w:val="-6"/>
          <w:w w:val="110"/>
        </w:rPr>
        <w:t> </w:t>
      </w:r>
      <w:r>
        <w:rPr>
          <w:color w:val="231F1F"/>
          <w:w w:val="110"/>
        </w:rPr>
        <w:t>dolor</w:t>
      </w:r>
      <w:r>
        <w:rPr>
          <w:color w:val="231F1F"/>
          <w:spacing w:val="-5"/>
          <w:w w:val="110"/>
        </w:rPr>
        <w:t> </w:t>
      </w:r>
      <w:r>
        <w:rPr>
          <w:color w:val="231F1F"/>
          <w:w w:val="110"/>
        </w:rPr>
        <w:t>perci- bido, las náuseas, la sedación, la frecuencia cardiaca fetal (FCF), el test de Apgar</w:t>
      </w:r>
      <w:r>
        <w:rPr>
          <w:color w:val="231F1F"/>
          <w:w w:val="110"/>
        </w:rPr>
        <w:t> y</w:t>
      </w:r>
      <w:r>
        <w:rPr>
          <w:color w:val="231F1F"/>
          <w:w w:val="110"/>
        </w:rPr>
        <w:t> otros</w:t>
      </w:r>
      <w:r>
        <w:rPr>
          <w:color w:val="231F1F"/>
          <w:w w:val="110"/>
        </w:rPr>
        <w:t> resultados</w:t>
      </w:r>
      <w:r>
        <w:rPr>
          <w:color w:val="231F1F"/>
          <w:w w:val="110"/>
        </w:rPr>
        <w:t> maternos</w:t>
      </w:r>
      <w:r>
        <w:rPr>
          <w:color w:val="231F1F"/>
          <w:w w:val="110"/>
        </w:rPr>
        <w:t> y</w:t>
      </w:r>
      <w:r>
        <w:rPr>
          <w:color w:val="231F1F"/>
          <w:w w:val="110"/>
        </w:rPr>
        <w:t> neonatales</w:t>
      </w:r>
      <w:r>
        <w:rPr>
          <w:color w:val="231F1F"/>
          <w:w w:val="110"/>
        </w:rPr>
        <w:t> no</w:t>
      </w:r>
      <w:r>
        <w:rPr>
          <w:color w:val="231F1F"/>
          <w:w w:val="110"/>
        </w:rPr>
        <w:t> mostraron</w:t>
      </w:r>
      <w:r>
        <w:rPr>
          <w:color w:val="231F1F"/>
          <w:w w:val="110"/>
        </w:rPr>
        <w:t> diferencias entre los dos grupos.</w:t>
      </w:r>
    </w:p>
    <w:p>
      <w:pPr>
        <w:pStyle w:val="BodyText"/>
        <w:spacing w:line="244" w:lineRule="auto" w:before="92"/>
        <w:ind w:left="283" w:right="42"/>
        <w:jc w:val="both"/>
      </w:pPr>
      <w:r>
        <w:rPr>
          <w:color w:val="231F1F"/>
          <w:w w:val="110"/>
        </w:rPr>
        <w:t>Un</w:t>
      </w:r>
      <w:r>
        <w:rPr>
          <w:color w:val="231F1F"/>
          <w:spacing w:val="-13"/>
          <w:w w:val="110"/>
        </w:rPr>
        <w:t> </w:t>
      </w:r>
      <w:r>
        <w:rPr>
          <w:color w:val="231F1F"/>
          <w:w w:val="110"/>
        </w:rPr>
        <w:t>pequeño</w:t>
      </w:r>
      <w:r>
        <w:rPr>
          <w:color w:val="231F1F"/>
          <w:spacing w:val="-13"/>
          <w:w w:val="110"/>
        </w:rPr>
        <w:t> </w:t>
      </w:r>
      <w:r>
        <w:rPr>
          <w:color w:val="231F1F"/>
          <w:w w:val="110"/>
        </w:rPr>
        <w:t>ECA</w:t>
      </w:r>
      <w:r>
        <w:rPr>
          <w:color w:val="231F1F"/>
          <w:spacing w:val="-12"/>
          <w:w w:val="110"/>
        </w:rPr>
        <w:t> </w:t>
      </w:r>
      <w:r>
        <w:rPr>
          <w:color w:val="231F1F"/>
          <w:w w:val="110"/>
        </w:rPr>
        <w:t>(n=36)</w:t>
      </w:r>
      <w:r>
        <w:rPr>
          <w:color w:val="231F1F"/>
          <w:spacing w:val="-13"/>
          <w:w w:val="110"/>
        </w:rPr>
        <w:t> </w:t>
      </w:r>
      <w:r>
        <w:rPr>
          <w:color w:val="231F1F"/>
          <w:w w:val="110"/>
        </w:rPr>
        <w:t>abierto</w:t>
      </w:r>
      <w:r>
        <w:rPr>
          <w:color w:val="231F1F"/>
          <w:spacing w:val="-13"/>
          <w:w w:val="110"/>
        </w:rPr>
        <w:t> </w:t>
      </w:r>
      <w:r>
        <w:rPr>
          <w:color w:val="231F1F"/>
          <w:w w:val="110"/>
        </w:rPr>
        <w:t>y</w:t>
      </w:r>
      <w:r>
        <w:rPr>
          <w:color w:val="231F1F"/>
          <w:spacing w:val="-13"/>
          <w:w w:val="110"/>
        </w:rPr>
        <w:t> </w:t>
      </w:r>
      <w:r>
        <w:rPr>
          <w:color w:val="231F1F"/>
          <w:w w:val="110"/>
        </w:rPr>
        <w:t>con</w:t>
      </w:r>
      <w:r>
        <w:rPr>
          <w:color w:val="231F1F"/>
          <w:spacing w:val="-13"/>
          <w:w w:val="110"/>
        </w:rPr>
        <w:t> </w:t>
      </w:r>
      <w:r>
        <w:rPr>
          <w:color w:val="231F1F"/>
          <w:w w:val="110"/>
        </w:rPr>
        <w:t>alto</w:t>
      </w:r>
      <w:r>
        <w:rPr>
          <w:color w:val="231F1F"/>
          <w:spacing w:val="-13"/>
          <w:w w:val="110"/>
        </w:rPr>
        <w:t> </w:t>
      </w:r>
      <w:r>
        <w:rPr>
          <w:color w:val="231F1F"/>
          <w:w w:val="110"/>
        </w:rPr>
        <w:t>riesgo</w:t>
      </w:r>
      <w:r>
        <w:rPr>
          <w:color w:val="231F1F"/>
          <w:spacing w:val="-13"/>
          <w:w w:val="110"/>
        </w:rPr>
        <w:t> </w:t>
      </w:r>
      <w:r>
        <w:rPr>
          <w:color w:val="231F1F"/>
          <w:w w:val="110"/>
        </w:rPr>
        <w:t>de</w:t>
      </w:r>
      <w:r>
        <w:rPr>
          <w:color w:val="231F1F"/>
          <w:spacing w:val="-13"/>
          <w:w w:val="110"/>
        </w:rPr>
        <w:t> </w:t>
      </w:r>
      <w:r>
        <w:rPr>
          <w:color w:val="231F1F"/>
          <w:w w:val="110"/>
        </w:rPr>
        <w:t>sesgos</w:t>
      </w:r>
      <w:r>
        <w:rPr>
          <w:color w:val="231F1F"/>
          <w:spacing w:val="-14"/>
          <w:w w:val="110"/>
        </w:rPr>
        <w:t> </w:t>
      </w:r>
      <w:r>
        <w:rPr>
          <w:color w:val="231F1F"/>
          <w:w w:val="110"/>
        </w:rPr>
        <w:t>(304),</w:t>
      </w:r>
      <w:r>
        <w:rPr>
          <w:color w:val="231F1F"/>
          <w:spacing w:val="-13"/>
          <w:w w:val="110"/>
        </w:rPr>
        <w:t> </w:t>
      </w:r>
      <w:r>
        <w:rPr>
          <w:color w:val="231F1F"/>
          <w:w w:val="110"/>
        </w:rPr>
        <w:t>comparó en mujeres nulíparas en trabajo de parto la </w:t>
      </w:r>
      <w:r>
        <w:rPr>
          <w:i/>
          <w:color w:val="231F1F"/>
          <w:w w:val="110"/>
        </w:rPr>
        <w:t>PCA</w:t>
      </w:r>
      <w:r>
        <w:rPr>
          <w:i/>
          <w:color w:val="231F1F"/>
          <w:spacing w:val="-14"/>
          <w:w w:val="110"/>
        </w:rPr>
        <w:t> </w:t>
      </w:r>
      <w:r>
        <w:rPr>
          <w:i/>
          <w:color w:val="231F1F"/>
          <w:w w:val="110"/>
        </w:rPr>
        <w:t>IV</w:t>
      </w:r>
      <w:r>
        <w:rPr>
          <w:i/>
          <w:color w:val="231F1F"/>
          <w:spacing w:val="-14"/>
          <w:w w:val="110"/>
        </w:rPr>
        <w:t> </w:t>
      </w:r>
      <w:r>
        <w:rPr>
          <w:i/>
          <w:color w:val="231F1F"/>
          <w:w w:val="110"/>
        </w:rPr>
        <w:t>de</w:t>
      </w:r>
      <w:r>
        <w:rPr>
          <w:i/>
          <w:color w:val="231F1F"/>
          <w:spacing w:val="-14"/>
          <w:w w:val="110"/>
        </w:rPr>
        <w:t> </w:t>
      </w:r>
      <w:r>
        <w:rPr>
          <w:i/>
          <w:color w:val="231F1F"/>
          <w:w w:val="110"/>
        </w:rPr>
        <w:t>remifentanilo</w:t>
      </w:r>
      <w:r>
        <w:rPr>
          <w:i/>
          <w:color w:val="231F1F"/>
          <w:spacing w:val="-13"/>
          <w:w w:val="110"/>
        </w:rPr>
        <w:t> </w:t>
      </w:r>
      <w:r>
        <w:rPr>
          <w:color w:val="231F1F"/>
          <w:w w:val="110"/>
        </w:rPr>
        <w:t>(20 μg con cierre de 3 min) frente a </w:t>
      </w:r>
      <w:r>
        <w:rPr>
          <w:i/>
          <w:color w:val="231F1F"/>
          <w:w w:val="110"/>
        </w:rPr>
        <w:t>administración</w:t>
      </w:r>
      <w:r>
        <w:rPr>
          <w:i/>
          <w:color w:val="231F1F"/>
          <w:spacing w:val="-15"/>
          <w:w w:val="110"/>
        </w:rPr>
        <w:t> </w:t>
      </w:r>
      <w:r>
        <w:rPr>
          <w:i/>
          <w:color w:val="231F1F"/>
          <w:w w:val="110"/>
        </w:rPr>
        <w:t>IM</w:t>
      </w:r>
      <w:r>
        <w:rPr>
          <w:i/>
          <w:color w:val="231F1F"/>
          <w:spacing w:val="-15"/>
          <w:w w:val="110"/>
        </w:rPr>
        <w:t> </w:t>
      </w:r>
      <w:r>
        <w:rPr>
          <w:i/>
          <w:color w:val="231F1F"/>
          <w:w w:val="110"/>
        </w:rPr>
        <w:t>de</w:t>
      </w:r>
      <w:r>
        <w:rPr>
          <w:i/>
          <w:color w:val="231F1F"/>
          <w:spacing w:val="-15"/>
          <w:w w:val="110"/>
        </w:rPr>
        <w:t> </w:t>
      </w:r>
      <w:r>
        <w:rPr>
          <w:i/>
          <w:color w:val="231F1F"/>
          <w:w w:val="110"/>
        </w:rPr>
        <w:t>petidina</w:t>
      </w:r>
      <w:r>
        <w:rPr>
          <w:i/>
          <w:color w:val="231F1F"/>
          <w:spacing w:val="-15"/>
          <w:w w:val="110"/>
        </w:rPr>
        <w:t> </w:t>
      </w:r>
      <w:r>
        <w:rPr>
          <w:color w:val="231F1F"/>
          <w:w w:val="110"/>
        </w:rPr>
        <w:t>(100 mg) junto con un antiemético. Se observó una menor intensidad de dolor en las dos primeras</w:t>
      </w:r>
      <w:r>
        <w:rPr>
          <w:color w:val="231F1F"/>
          <w:spacing w:val="-11"/>
          <w:w w:val="110"/>
        </w:rPr>
        <w:t> </w:t>
      </w:r>
      <w:r>
        <w:rPr>
          <w:color w:val="231F1F"/>
          <w:w w:val="110"/>
        </w:rPr>
        <w:t>horas</w:t>
      </w:r>
      <w:r>
        <w:rPr>
          <w:color w:val="231F1F"/>
          <w:spacing w:val="-11"/>
          <w:w w:val="110"/>
        </w:rPr>
        <w:t> </w:t>
      </w:r>
      <w:r>
        <w:rPr>
          <w:color w:val="231F1F"/>
          <w:w w:val="110"/>
        </w:rPr>
        <w:t>en</w:t>
      </w:r>
      <w:r>
        <w:rPr>
          <w:color w:val="231F1F"/>
          <w:spacing w:val="-11"/>
          <w:w w:val="110"/>
        </w:rPr>
        <w:t> </w:t>
      </w:r>
      <w:r>
        <w:rPr>
          <w:color w:val="231F1F"/>
          <w:w w:val="110"/>
        </w:rPr>
        <w:t>el</w:t>
      </w:r>
      <w:r>
        <w:rPr>
          <w:color w:val="231F1F"/>
          <w:spacing w:val="-11"/>
          <w:w w:val="110"/>
        </w:rPr>
        <w:t> </w:t>
      </w:r>
      <w:r>
        <w:rPr>
          <w:color w:val="231F1F"/>
          <w:w w:val="110"/>
        </w:rPr>
        <w:t>grupo</w:t>
      </w:r>
      <w:r>
        <w:rPr>
          <w:color w:val="231F1F"/>
          <w:spacing w:val="-11"/>
          <w:w w:val="110"/>
        </w:rPr>
        <w:t> </w:t>
      </w:r>
      <w:r>
        <w:rPr>
          <w:color w:val="231F1F"/>
          <w:w w:val="110"/>
        </w:rPr>
        <w:t>que</w:t>
      </w:r>
      <w:r>
        <w:rPr>
          <w:color w:val="231F1F"/>
          <w:spacing w:val="-11"/>
          <w:w w:val="110"/>
        </w:rPr>
        <w:t> </w:t>
      </w:r>
      <w:r>
        <w:rPr>
          <w:color w:val="231F1F"/>
          <w:w w:val="110"/>
        </w:rPr>
        <w:t>recibió</w:t>
      </w:r>
      <w:r>
        <w:rPr>
          <w:color w:val="231F1F"/>
          <w:spacing w:val="-11"/>
          <w:w w:val="110"/>
        </w:rPr>
        <w:t> </w:t>
      </w:r>
      <w:r>
        <w:rPr>
          <w:color w:val="231F1F"/>
          <w:w w:val="110"/>
        </w:rPr>
        <w:t>remifentanilo</w:t>
      </w:r>
      <w:r>
        <w:rPr>
          <w:color w:val="231F1F"/>
          <w:spacing w:val="-11"/>
          <w:w w:val="110"/>
        </w:rPr>
        <w:t> </w:t>
      </w:r>
      <w:r>
        <w:rPr>
          <w:color w:val="231F1F"/>
          <w:w w:val="110"/>
        </w:rPr>
        <w:t>y</w:t>
      </w:r>
      <w:r>
        <w:rPr>
          <w:color w:val="231F1F"/>
          <w:spacing w:val="-11"/>
          <w:w w:val="110"/>
        </w:rPr>
        <w:t> </w:t>
      </w:r>
      <w:r>
        <w:rPr>
          <w:color w:val="231F1F"/>
          <w:w w:val="110"/>
        </w:rPr>
        <w:t>se</w:t>
      </w:r>
      <w:r>
        <w:rPr>
          <w:color w:val="231F1F"/>
          <w:spacing w:val="-11"/>
          <w:w w:val="110"/>
        </w:rPr>
        <w:t> </w:t>
      </w:r>
      <w:r>
        <w:rPr>
          <w:color w:val="231F1F"/>
          <w:w w:val="110"/>
        </w:rPr>
        <w:t>sugirió</w:t>
      </w:r>
      <w:r>
        <w:rPr>
          <w:color w:val="231F1F"/>
          <w:spacing w:val="-11"/>
          <w:w w:val="110"/>
        </w:rPr>
        <w:t> </w:t>
      </w:r>
      <w:r>
        <w:rPr>
          <w:color w:val="231F1F"/>
          <w:w w:val="110"/>
        </w:rPr>
        <w:t>una</w:t>
      </w:r>
      <w:r>
        <w:rPr>
          <w:color w:val="231F1F"/>
          <w:spacing w:val="-11"/>
          <w:w w:val="110"/>
        </w:rPr>
        <w:t> </w:t>
      </w:r>
      <w:r>
        <w:rPr>
          <w:color w:val="231F1F"/>
          <w:w w:val="110"/>
        </w:rPr>
        <w:t>menor tasa de partos espontáneos en las mujeres de este grupo.</w:t>
      </w:r>
    </w:p>
    <w:p>
      <w:pPr>
        <w:pStyle w:val="BodyText"/>
        <w:spacing w:before="84"/>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1"/>
          <w:sz w:val="24"/>
        </w:rPr>
        <w:t> </w:t>
      </w:r>
      <w:r>
        <w:rPr>
          <w:rFonts w:ascii="Arial MT" w:hAnsi="Arial MT"/>
          <w:color w:val="231F1F"/>
          <w:sz w:val="24"/>
        </w:rPr>
        <w:t>(hasta</w:t>
      </w:r>
      <w:r>
        <w:rPr>
          <w:rFonts w:ascii="Arial MT" w:hAnsi="Arial MT"/>
          <w:color w:val="231F1F"/>
          <w:spacing w:val="22"/>
          <w:sz w:val="24"/>
        </w:rPr>
        <w:t> </w:t>
      </w:r>
      <w:r>
        <w:rPr>
          <w:rFonts w:ascii="Arial MT" w:hAnsi="Arial MT"/>
          <w:color w:val="231F1F"/>
          <w:sz w:val="24"/>
        </w:rPr>
        <w:t>enero</w:t>
      </w:r>
      <w:r>
        <w:rPr>
          <w:rFonts w:ascii="Arial MT" w:hAnsi="Arial MT"/>
          <w:color w:val="231F1F"/>
          <w:spacing w:val="21"/>
          <w:sz w:val="24"/>
        </w:rPr>
        <w:t> </w:t>
      </w:r>
      <w:r>
        <w:rPr>
          <w:rFonts w:ascii="Arial MT" w:hAnsi="Arial MT"/>
          <w:color w:val="231F1F"/>
          <w:sz w:val="24"/>
        </w:rPr>
        <w:t>de</w:t>
      </w:r>
      <w:r>
        <w:rPr>
          <w:rFonts w:ascii="Arial MT" w:hAnsi="Arial MT"/>
          <w:color w:val="231F1F"/>
          <w:spacing w:val="21"/>
          <w:sz w:val="24"/>
        </w:rPr>
        <w:t> </w:t>
      </w:r>
      <w:r>
        <w:rPr>
          <w:rFonts w:ascii="Arial MT" w:hAnsi="Arial MT"/>
          <w:color w:val="231F1F"/>
          <w:spacing w:val="-2"/>
          <w:sz w:val="24"/>
        </w:rPr>
        <w:t>2008)</w:t>
      </w:r>
    </w:p>
    <w:p>
      <w:pPr>
        <w:pStyle w:val="BodyText"/>
        <w:spacing w:line="249" w:lineRule="auto" w:before="219"/>
        <w:ind w:left="283" w:right="41"/>
        <w:jc w:val="both"/>
      </w:pPr>
      <w:r>
        <w:rPr>
          <w:color w:val="231F1F"/>
          <w:w w:val="105"/>
        </w:rPr>
        <w:t>La guía NICE (10) no evalúa los mismos opioides que los utilizados en nues- tro ámbito. En sus estrategias de búsqueda bibliográfica, aun habiendo inclui- do petidina y pentazocina, no incluyeron remifentanilo. Esto ha hecho que el intervalo de fechas utilizado en la actualización para remifentanilo haya sido más amplio (1985 – enero 2009).</w:t>
      </w:r>
    </w:p>
    <w:p>
      <w:pPr>
        <w:spacing w:line="278" w:lineRule="auto" w:before="124"/>
        <w:ind w:left="333" w:right="437" w:firstLine="0"/>
        <w:jc w:val="center"/>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3"/>
        <w:rPr>
          <w:rFonts w:ascii="Arial MT"/>
          <w:sz w:val="18"/>
        </w:rPr>
      </w:pPr>
    </w:p>
    <w:p>
      <w:pPr>
        <w:spacing w:before="0"/>
        <w:ind w:left="186" w:right="304" w:firstLine="0"/>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4"/>
          <w:sz w:val="18"/>
        </w:rPr>
        <w:t>ECAs</w:t>
      </w:r>
    </w:p>
    <w:p>
      <w:pPr>
        <w:spacing w:before="33"/>
        <w:ind w:left="333" w:right="44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
        <w:rPr>
          <w:rFonts w:ascii="Arial MT"/>
          <w:sz w:val="18"/>
        </w:rPr>
      </w:pPr>
    </w:p>
    <w:p>
      <w:pPr>
        <w:spacing w:line="278" w:lineRule="auto" w:before="0"/>
        <w:ind w:left="333" w:right="437" w:firstLine="0"/>
        <w:jc w:val="center"/>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1"/>
        <w:rPr>
          <w:rFonts w:ascii="Arial MT"/>
          <w:sz w:val="18"/>
        </w:rPr>
      </w:pPr>
    </w:p>
    <w:p>
      <w:pPr>
        <w:spacing w:before="0"/>
        <w:ind w:left="200" w:right="304" w:firstLine="0"/>
        <w:jc w:val="center"/>
        <w:rPr>
          <w:rFonts w:ascii="Arial MT"/>
          <w:sz w:val="18"/>
        </w:rPr>
      </w:pPr>
      <w:r>
        <w:rPr>
          <w:rFonts w:ascii="Arial MT"/>
          <w:color w:val="231F1F"/>
          <w:sz w:val="18"/>
        </w:rPr>
        <w:t>1</w:t>
      </w:r>
      <w:r>
        <w:rPr>
          <w:rFonts w:ascii="Arial MT"/>
          <w:color w:val="231F1F"/>
          <w:spacing w:val="-5"/>
          <w:sz w:val="18"/>
        </w:rPr>
        <w:t> ECA</w:t>
      </w:r>
    </w:p>
    <w:p>
      <w:pPr>
        <w:spacing w:before="43"/>
        <w:ind w:left="333" w:right="443" w:firstLine="0"/>
        <w:jc w:val="center"/>
        <w:rPr>
          <w:rFonts w:ascii="Arial MT"/>
          <w:sz w:val="18"/>
        </w:rPr>
      </w:pPr>
      <w:r>
        <w:rPr>
          <w:rFonts w:ascii="Arial MT"/>
          <w:color w:val="231F1F"/>
          <w:spacing w:val="-5"/>
          <w:sz w:val="18"/>
        </w:rPr>
        <w:t>1-</w:t>
      </w:r>
    </w:p>
    <w:p>
      <w:pPr>
        <w:spacing w:after="0"/>
        <w:jc w:val="center"/>
        <w:rPr>
          <w:rFonts w:ascii="Arial MT"/>
          <w:sz w:val="18"/>
        </w:rPr>
        <w:sectPr>
          <w:pgSz w:w="11900" w:h="16840"/>
          <w:pgMar w:header="0" w:footer="622" w:top="1560" w:bottom="820" w:left="1417" w:right="1559"/>
          <w:cols w:num="2" w:equalWidth="0">
            <w:col w:w="7594" w:space="53"/>
            <w:col w:w="1277"/>
          </w:cols>
        </w:sectPr>
      </w:pPr>
    </w:p>
    <w:p>
      <w:pPr>
        <w:pStyle w:val="BodyText"/>
        <w:spacing w:line="249" w:lineRule="auto" w:before="62"/>
        <w:ind w:left="283" w:right="41" w:firstLine="453"/>
        <w:jc w:val="both"/>
      </w:pPr>
      <w:r>
        <w:rPr>
          <w:color w:val="231F1F"/>
          <w:w w:val="105"/>
        </w:rPr>
        <w:t>Tras</w:t>
      </w:r>
      <w:r>
        <w:rPr>
          <w:color w:val="231F1F"/>
          <w:spacing w:val="-1"/>
          <w:w w:val="105"/>
        </w:rPr>
        <w:t> </w:t>
      </w:r>
      <w:r>
        <w:rPr>
          <w:color w:val="231F1F"/>
          <w:w w:val="105"/>
        </w:rPr>
        <w:t>excluir estudios</w:t>
      </w:r>
      <w:r>
        <w:rPr>
          <w:color w:val="231F1F"/>
          <w:spacing w:val="-1"/>
          <w:w w:val="105"/>
        </w:rPr>
        <w:t> </w:t>
      </w:r>
      <w:r>
        <w:rPr>
          <w:color w:val="231F1F"/>
          <w:w w:val="105"/>
        </w:rPr>
        <w:t>que</w:t>
      </w:r>
      <w:r>
        <w:rPr>
          <w:color w:val="231F1F"/>
          <w:spacing w:val="-1"/>
          <w:w w:val="105"/>
        </w:rPr>
        <w:t> </w:t>
      </w:r>
      <w:r>
        <w:rPr>
          <w:color w:val="231F1F"/>
          <w:w w:val="105"/>
        </w:rPr>
        <w:t>no</w:t>
      </w:r>
      <w:r>
        <w:rPr>
          <w:color w:val="231F1F"/>
          <w:spacing w:val="-1"/>
          <w:w w:val="105"/>
        </w:rPr>
        <w:t> </w:t>
      </w:r>
      <w:r>
        <w:rPr>
          <w:color w:val="231F1F"/>
          <w:w w:val="105"/>
        </w:rPr>
        <w:t>cumplían</w:t>
      </w:r>
      <w:r>
        <w:rPr>
          <w:color w:val="231F1F"/>
          <w:spacing w:val="-1"/>
          <w:w w:val="105"/>
        </w:rPr>
        <w:t> </w:t>
      </w:r>
      <w:r>
        <w:rPr>
          <w:color w:val="231F1F"/>
          <w:w w:val="105"/>
        </w:rPr>
        <w:t>los</w:t>
      </w:r>
      <w:r>
        <w:rPr>
          <w:color w:val="231F1F"/>
          <w:spacing w:val="-1"/>
          <w:w w:val="105"/>
        </w:rPr>
        <w:t> </w:t>
      </w:r>
      <w:r>
        <w:rPr>
          <w:color w:val="231F1F"/>
          <w:w w:val="105"/>
        </w:rPr>
        <w:t>criterios</w:t>
      </w:r>
      <w:r>
        <w:rPr>
          <w:color w:val="231F1F"/>
          <w:spacing w:val="-1"/>
          <w:w w:val="105"/>
        </w:rPr>
        <w:t> </w:t>
      </w:r>
      <w:r>
        <w:rPr>
          <w:color w:val="231F1F"/>
          <w:w w:val="105"/>
        </w:rPr>
        <w:t>de</w:t>
      </w:r>
      <w:r>
        <w:rPr>
          <w:color w:val="231F1F"/>
          <w:spacing w:val="-1"/>
          <w:w w:val="105"/>
        </w:rPr>
        <w:t> </w:t>
      </w:r>
      <w:r>
        <w:rPr>
          <w:color w:val="231F1F"/>
          <w:w w:val="105"/>
        </w:rPr>
        <w:t>inclusión,</w:t>
      </w:r>
      <w:r>
        <w:rPr>
          <w:color w:val="231F1F"/>
          <w:spacing w:val="-1"/>
          <w:w w:val="105"/>
        </w:rPr>
        <w:t> </w:t>
      </w:r>
      <w:r>
        <w:rPr>
          <w:color w:val="231F1F"/>
          <w:w w:val="105"/>
        </w:rPr>
        <w:t>así</w:t>
      </w:r>
      <w:r>
        <w:rPr>
          <w:color w:val="231F1F"/>
          <w:spacing w:val="-1"/>
          <w:w w:val="105"/>
        </w:rPr>
        <w:t> </w:t>
      </w:r>
      <w:r>
        <w:rPr>
          <w:color w:val="231F1F"/>
          <w:w w:val="105"/>
        </w:rPr>
        <w:t>como 5 ensayos pilotos realizados para la generación de hipótesis a investigar sobre efectividad</w:t>
      </w:r>
      <w:r>
        <w:rPr>
          <w:color w:val="231F1F"/>
          <w:w w:val="105"/>
        </w:rPr>
        <w:t> de</w:t>
      </w:r>
      <w:r>
        <w:rPr>
          <w:color w:val="231F1F"/>
          <w:w w:val="105"/>
        </w:rPr>
        <w:t> remifentanilo,</w:t>
      </w:r>
      <w:r>
        <w:rPr>
          <w:color w:val="231F1F"/>
          <w:w w:val="105"/>
        </w:rPr>
        <w:t> se</w:t>
      </w:r>
      <w:r>
        <w:rPr>
          <w:color w:val="231F1F"/>
          <w:w w:val="105"/>
        </w:rPr>
        <w:t> han</w:t>
      </w:r>
      <w:r>
        <w:rPr>
          <w:color w:val="231F1F"/>
          <w:w w:val="105"/>
        </w:rPr>
        <w:t> seleccionado</w:t>
      </w:r>
      <w:r>
        <w:rPr>
          <w:color w:val="231F1F"/>
          <w:w w:val="105"/>
        </w:rPr>
        <w:t> cuatro</w:t>
      </w:r>
      <w:r>
        <w:rPr>
          <w:color w:val="231F1F"/>
          <w:w w:val="105"/>
        </w:rPr>
        <w:t> pequeños</w:t>
      </w:r>
      <w:r>
        <w:rPr>
          <w:color w:val="231F1F"/>
          <w:w w:val="105"/>
        </w:rPr>
        <w:t> ECAs</w:t>
      </w:r>
      <w:r>
        <w:rPr>
          <w:color w:val="231F1F"/>
          <w:spacing w:val="40"/>
          <w:w w:val="105"/>
        </w:rPr>
        <w:t> </w:t>
      </w:r>
      <w:r>
        <w:rPr>
          <w:color w:val="231F1F"/>
          <w:w w:val="105"/>
        </w:rPr>
        <w:t>(305-308)</w:t>
      </w:r>
      <w:r>
        <w:rPr>
          <w:color w:val="231F1F"/>
          <w:spacing w:val="40"/>
          <w:w w:val="105"/>
        </w:rPr>
        <w:t> </w:t>
      </w:r>
      <w:r>
        <w:rPr>
          <w:color w:val="231F1F"/>
          <w:w w:val="105"/>
        </w:rPr>
        <w:t>sobre</w:t>
      </w:r>
      <w:r>
        <w:rPr>
          <w:color w:val="231F1F"/>
          <w:spacing w:val="40"/>
          <w:w w:val="105"/>
        </w:rPr>
        <w:t> </w:t>
      </w:r>
      <w:r>
        <w:rPr>
          <w:color w:val="231F1F"/>
          <w:w w:val="105"/>
        </w:rPr>
        <w:t>efectividad</w:t>
      </w:r>
      <w:r>
        <w:rPr>
          <w:color w:val="231F1F"/>
          <w:spacing w:val="40"/>
          <w:w w:val="105"/>
        </w:rPr>
        <w:t> </w:t>
      </w:r>
      <w:r>
        <w:rPr>
          <w:color w:val="231F1F"/>
          <w:w w:val="105"/>
        </w:rPr>
        <w:t>de</w:t>
      </w:r>
      <w:r>
        <w:rPr>
          <w:color w:val="231F1F"/>
          <w:spacing w:val="40"/>
          <w:w w:val="105"/>
        </w:rPr>
        <w:t> </w:t>
      </w:r>
      <w:r>
        <w:rPr>
          <w:color w:val="231F1F"/>
          <w:w w:val="105"/>
        </w:rPr>
        <w:t>remifentanilo</w:t>
      </w:r>
      <w:r>
        <w:rPr>
          <w:color w:val="231F1F"/>
          <w:spacing w:val="40"/>
          <w:w w:val="105"/>
        </w:rPr>
        <w:t> </w:t>
      </w:r>
      <w:r>
        <w:rPr>
          <w:color w:val="231F1F"/>
          <w:w w:val="105"/>
        </w:rPr>
        <w:t>durante</w:t>
      </w:r>
      <w:r>
        <w:rPr>
          <w:color w:val="231F1F"/>
          <w:spacing w:val="40"/>
          <w:w w:val="105"/>
        </w:rPr>
        <w:t> </w:t>
      </w:r>
      <w:r>
        <w:rPr>
          <w:color w:val="231F1F"/>
          <w:w w:val="105"/>
        </w:rPr>
        <w:t>el</w:t>
      </w:r>
      <w:r>
        <w:rPr>
          <w:color w:val="231F1F"/>
          <w:spacing w:val="40"/>
          <w:w w:val="105"/>
        </w:rPr>
        <w:t> </w:t>
      </w:r>
      <w:r>
        <w:rPr>
          <w:color w:val="231F1F"/>
          <w:w w:val="105"/>
        </w:rPr>
        <w:t>parto.</w:t>
      </w:r>
    </w:p>
    <w:p>
      <w:pPr>
        <w:pStyle w:val="BodyText"/>
        <w:spacing w:line="249" w:lineRule="auto" w:before="90"/>
        <w:ind w:left="283" w:right="40" w:firstLine="453"/>
        <w:jc w:val="both"/>
      </w:pPr>
      <w:r>
        <w:rPr>
          <w:color w:val="231F1F"/>
          <w:w w:val="110"/>
        </w:rPr>
        <w:t>Evron</w:t>
      </w:r>
      <w:r>
        <w:rPr>
          <w:color w:val="231F1F"/>
          <w:w w:val="110"/>
        </w:rPr>
        <w:t> el</w:t>
      </w:r>
      <w:r>
        <w:rPr>
          <w:color w:val="231F1F"/>
          <w:w w:val="110"/>
        </w:rPr>
        <w:t> at,</w:t>
      </w:r>
      <w:r>
        <w:rPr>
          <w:color w:val="231F1F"/>
          <w:w w:val="110"/>
        </w:rPr>
        <w:t> en</w:t>
      </w:r>
      <w:r>
        <w:rPr>
          <w:color w:val="231F1F"/>
          <w:w w:val="110"/>
        </w:rPr>
        <w:t> su</w:t>
      </w:r>
      <w:r>
        <w:rPr>
          <w:color w:val="231F1F"/>
          <w:w w:val="110"/>
        </w:rPr>
        <w:t> estudio</w:t>
      </w:r>
      <w:r>
        <w:rPr>
          <w:color w:val="231F1F"/>
          <w:w w:val="110"/>
        </w:rPr>
        <w:t> del</w:t>
      </w:r>
      <w:r>
        <w:rPr>
          <w:color w:val="231F1F"/>
          <w:w w:val="110"/>
        </w:rPr>
        <w:t> año</w:t>
      </w:r>
      <w:r>
        <w:rPr>
          <w:color w:val="231F1F"/>
          <w:w w:val="110"/>
        </w:rPr>
        <w:t> 2005</w:t>
      </w:r>
      <w:r>
        <w:rPr>
          <w:color w:val="231F1F"/>
          <w:w w:val="110"/>
        </w:rPr>
        <w:t> (305),</w:t>
      </w:r>
      <w:r>
        <w:rPr>
          <w:color w:val="231F1F"/>
          <w:w w:val="110"/>
        </w:rPr>
        <w:t> </w:t>
      </w:r>
      <w:r>
        <w:rPr>
          <w:i/>
          <w:color w:val="231F1F"/>
          <w:w w:val="110"/>
        </w:rPr>
        <w:t>compararon </w:t>
      </w:r>
      <w:r>
        <w:rPr>
          <w:color w:val="231F1F"/>
          <w:w w:val="110"/>
        </w:rPr>
        <w:t>el</w:t>
      </w:r>
      <w:r>
        <w:rPr>
          <w:color w:val="231F1F"/>
          <w:w w:val="110"/>
        </w:rPr>
        <w:t> efecto analgésico de la administración de dosis crecientes de </w:t>
      </w:r>
      <w:r>
        <w:rPr>
          <w:i/>
          <w:color w:val="231F1F"/>
          <w:w w:val="110"/>
        </w:rPr>
        <w:t>remifentanilo</w:t>
      </w:r>
      <w:r>
        <w:rPr>
          <w:i/>
          <w:color w:val="231F1F"/>
          <w:spacing w:val="-11"/>
          <w:w w:val="110"/>
        </w:rPr>
        <w:t> </w:t>
      </w:r>
      <w:r>
        <w:rPr>
          <w:color w:val="231F1F"/>
          <w:w w:val="110"/>
        </w:rPr>
        <w:t>(bolos de</w:t>
      </w:r>
      <w:r>
        <w:rPr>
          <w:color w:val="231F1F"/>
          <w:spacing w:val="-3"/>
          <w:w w:val="110"/>
        </w:rPr>
        <w:t> </w:t>
      </w:r>
      <w:r>
        <w:rPr>
          <w:color w:val="231F1F"/>
          <w:w w:val="110"/>
        </w:rPr>
        <w:t>0.27-0.93</w:t>
      </w:r>
      <w:r>
        <w:rPr>
          <w:color w:val="231F1F"/>
          <w:spacing w:val="-3"/>
          <w:w w:val="110"/>
        </w:rPr>
        <w:t> </w:t>
      </w:r>
      <w:r>
        <w:rPr>
          <w:color w:val="231F1F"/>
          <w:w w:val="110"/>
        </w:rPr>
        <w:t>mcg/kg)</w:t>
      </w:r>
      <w:r>
        <w:rPr>
          <w:color w:val="231F1F"/>
          <w:spacing w:val="-3"/>
          <w:w w:val="110"/>
        </w:rPr>
        <w:t> </w:t>
      </w:r>
      <w:r>
        <w:rPr>
          <w:color w:val="231F1F"/>
          <w:w w:val="110"/>
        </w:rPr>
        <w:t>en</w:t>
      </w:r>
      <w:r>
        <w:rPr>
          <w:color w:val="231F1F"/>
          <w:spacing w:val="-3"/>
          <w:w w:val="110"/>
        </w:rPr>
        <w:t> </w:t>
      </w:r>
      <w:r>
        <w:rPr>
          <w:color w:val="231F1F"/>
          <w:w w:val="110"/>
        </w:rPr>
        <w:t>la</w:t>
      </w:r>
      <w:r>
        <w:rPr>
          <w:color w:val="231F1F"/>
          <w:spacing w:val="-3"/>
          <w:w w:val="110"/>
        </w:rPr>
        <w:t> </w:t>
      </w:r>
      <w:r>
        <w:rPr>
          <w:color w:val="231F1F"/>
          <w:w w:val="110"/>
        </w:rPr>
        <w:t>analgesia</w:t>
      </w:r>
      <w:r>
        <w:rPr>
          <w:color w:val="231F1F"/>
          <w:spacing w:val="-3"/>
          <w:w w:val="110"/>
        </w:rPr>
        <w:t> </w:t>
      </w:r>
      <w:r>
        <w:rPr>
          <w:color w:val="231F1F"/>
          <w:w w:val="110"/>
        </w:rPr>
        <w:t>controlada</w:t>
      </w:r>
      <w:r>
        <w:rPr>
          <w:color w:val="231F1F"/>
          <w:spacing w:val="-3"/>
          <w:w w:val="110"/>
        </w:rPr>
        <w:t> </w:t>
      </w:r>
      <w:r>
        <w:rPr>
          <w:color w:val="231F1F"/>
          <w:w w:val="110"/>
        </w:rPr>
        <w:t>por</w:t>
      </w:r>
      <w:r>
        <w:rPr>
          <w:color w:val="231F1F"/>
          <w:spacing w:val="-4"/>
          <w:w w:val="110"/>
        </w:rPr>
        <w:t> </w:t>
      </w:r>
      <w:r>
        <w:rPr>
          <w:color w:val="231F1F"/>
          <w:w w:val="110"/>
        </w:rPr>
        <w:t>la</w:t>
      </w:r>
      <w:r>
        <w:rPr>
          <w:color w:val="231F1F"/>
          <w:spacing w:val="-3"/>
          <w:w w:val="110"/>
        </w:rPr>
        <w:t> </w:t>
      </w:r>
      <w:r>
        <w:rPr>
          <w:color w:val="231F1F"/>
          <w:w w:val="110"/>
        </w:rPr>
        <w:t>mujer</w:t>
      </w:r>
      <w:r>
        <w:rPr>
          <w:color w:val="231F1F"/>
          <w:spacing w:val="-3"/>
          <w:w w:val="110"/>
        </w:rPr>
        <w:t> </w:t>
      </w:r>
      <w:r>
        <w:rPr>
          <w:color w:val="231F1F"/>
          <w:w w:val="110"/>
        </w:rPr>
        <w:t>(</w:t>
      </w:r>
      <w:r>
        <w:rPr>
          <w:i/>
          <w:color w:val="231F1F"/>
          <w:w w:val="110"/>
        </w:rPr>
        <w:t>PCA</w:t>
      </w:r>
      <w:r>
        <w:rPr>
          <w:color w:val="231F1F"/>
          <w:w w:val="110"/>
        </w:rPr>
        <w:t>)</w:t>
      </w:r>
      <w:r>
        <w:rPr>
          <w:color w:val="231F1F"/>
          <w:spacing w:val="-4"/>
          <w:w w:val="110"/>
        </w:rPr>
        <w:t> </w:t>
      </w:r>
      <w:r>
        <w:rPr>
          <w:color w:val="231F1F"/>
          <w:w w:val="110"/>
        </w:rPr>
        <w:t>duran- te el parto, con el efecto de una </w:t>
      </w:r>
      <w:r>
        <w:rPr>
          <w:i/>
          <w:color w:val="231F1F"/>
          <w:w w:val="110"/>
        </w:rPr>
        <w:t>infusión</w:t>
      </w:r>
      <w:r>
        <w:rPr>
          <w:i/>
          <w:color w:val="231F1F"/>
          <w:spacing w:val="-6"/>
          <w:w w:val="110"/>
        </w:rPr>
        <w:t> </w:t>
      </w:r>
      <w:r>
        <w:rPr>
          <w:color w:val="231F1F"/>
          <w:w w:val="110"/>
        </w:rPr>
        <w:t>de 150 mg (rango 75-200 mg) de </w:t>
      </w:r>
      <w:r>
        <w:rPr>
          <w:i/>
          <w:color w:val="231F1F"/>
          <w:w w:val="110"/>
        </w:rPr>
        <w:t>meperidina</w:t>
      </w:r>
      <w:r>
        <w:rPr>
          <w:i/>
          <w:color w:val="231F1F"/>
          <w:spacing w:val="-10"/>
          <w:w w:val="110"/>
        </w:rPr>
        <w:t> </w:t>
      </w:r>
      <w:r>
        <w:rPr>
          <w:i/>
          <w:color w:val="231F1F"/>
          <w:w w:val="110"/>
        </w:rPr>
        <w:t>IV</w:t>
      </w:r>
      <w:r>
        <w:rPr>
          <w:color w:val="231F1F"/>
          <w:w w:val="110"/>
        </w:rPr>
        <w:t>. El estudio incluyó 88 mujeres de las cuales 43 fueron alea- torizadas al grupo de remifentanilo y 45 a meperidina. La administración de remifentanilo IV en PCA fue más eficaz y seguro para la analgesia que la infusión IV de meperidina, ya que la puntuación en la escala analógica </w:t>
      </w:r>
      <w:r>
        <w:rPr>
          <w:color w:val="231F1F"/>
          <w:spacing w:val="-2"/>
          <w:w w:val="110"/>
        </w:rPr>
        <w:t>visual</w:t>
      </w:r>
      <w:r>
        <w:rPr>
          <w:color w:val="231F1F"/>
          <w:spacing w:val="-11"/>
          <w:w w:val="110"/>
        </w:rPr>
        <w:t> </w:t>
      </w:r>
      <w:r>
        <w:rPr>
          <w:color w:val="231F1F"/>
          <w:spacing w:val="-2"/>
          <w:w w:val="110"/>
        </w:rPr>
        <w:t>de</w:t>
      </w:r>
      <w:r>
        <w:rPr>
          <w:color w:val="231F1F"/>
          <w:spacing w:val="-11"/>
          <w:w w:val="110"/>
        </w:rPr>
        <w:t> </w:t>
      </w:r>
      <w:r>
        <w:rPr>
          <w:color w:val="231F1F"/>
          <w:spacing w:val="-2"/>
          <w:w w:val="110"/>
        </w:rPr>
        <w:t>dolor</w:t>
      </w:r>
      <w:r>
        <w:rPr>
          <w:color w:val="231F1F"/>
          <w:spacing w:val="-11"/>
          <w:w w:val="110"/>
        </w:rPr>
        <w:t> </w:t>
      </w:r>
      <w:r>
        <w:rPr>
          <w:color w:val="231F1F"/>
          <w:spacing w:val="-2"/>
          <w:w w:val="110"/>
        </w:rPr>
        <w:t>fue</w:t>
      </w:r>
      <w:r>
        <w:rPr>
          <w:color w:val="231F1F"/>
          <w:spacing w:val="-11"/>
          <w:w w:val="110"/>
        </w:rPr>
        <w:t> </w:t>
      </w:r>
      <w:r>
        <w:rPr>
          <w:color w:val="231F1F"/>
          <w:spacing w:val="-2"/>
          <w:w w:val="110"/>
        </w:rPr>
        <w:t>inferior:</w:t>
      </w:r>
      <w:r>
        <w:rPr>
          <w:color w:val="231F1F"/>
          <w:spacing w:val="-11"/>
          <w:w w:val="110"/>
        </w:rPr>
        <w:t> </w:t>
      </w:r>
      <w:r>
        <w:rPr>
          <w:color w:val="231F1F"/>
          <w:spacing w:val="-2"/>
          <w:w w:val="110"/>
        </w:rPr>
        <w:t>35,8±10,2</w:t>
      </w:r>
      <w:r>
        <w:rPr>
          <w:color w:val="231F1F"/>
          <w:spacing w:val="-10"/>
          <w:w w:val="110"/>
        </w:rPr>
        <w:t> </w:t>
      </w:r>
      <w:r>
        <w:rPr>
          <w:color w:val="231F1F"/>
          <w:spacing w:val="-2"/>
          <w:w w:val="110"/>
        </w:rPr>
        <w:t>frente</w:t>
      </w:r>
      <w:r>
        <w:rPr>
          <w:color w:val="231F1F"/>
          <w:spacing w:val="-11"/>
          <w:w w:val="110"/>
        </w:rPr>
        <w:t> </w:t>
      </w:r>
      <w:r>
        <w:rPr>
          <w:color w:val="231F1F"/>
          <w:spacing w:val="-2"/>
          <w:w w:val="110"/>
        </w:rPr>
        <w:t>a</w:t>
      </w:r>
      <w:r>
        <w:rPr>
          <w:color w:val="231F1F"/>
          <w:spacing w:val="-11"/>
          <w:w w:val="110"/>
        </w:rPr>
        <w:t> </w:t>
      </w:r>
      <w:r>
        <w:rPr>
          <w:color w:val="231F1F"/>
          <w:spacing w:val="-2"/>
          <w:w w:val="110"/>
        </w:rPr>
        <w:t>58,8±12,8;</w:t>
      </w:r>
      <w:r>
        <w:rPr>
          <w:color w:val="231F1F"/>
          <w:spacing w:val="-11"/>
          <w:w w:val="110"/>
        </w:rPr>
        <w:t> </w:t>
      </w:r>
      <w:r>
        <w:rPr>
          <w:color w:val="231F1F"/>
          <w:spacing w:val="-2"/>
          <w:w w:val="110"/>
        </w:rPr>
        <w:t>p&lt;0,001</w:t>
      </w:r>
      <w:r>
        <w:rPr>
          <w:color w:val="231F1F"/>
          <w:spacing w:val="-11"/>
          <w:w w:val="110"/>
        </w:rPr>
        <w:t> </w:t>
      </w:r>
      <w:r>
        <w:rPr>
          <w:color w:val="231F1F"/>
          <w:spacing w:val="-2"/>
          <w:w w:val="110"/>
        </w:rPr>
        <w:t>y</w:t>
      </w:r>
      <w:r>
        <w:rPr>
          <w:color w:val="231F1F"/>
          <w:spacing w:val="-11"/>
          <w:w w:val="110"/>
        </w:rPr>
        <w:t> </w:t>
      </w:r>
      <w:r>
        <w:rPr>
          <w:color w:val="231F1F"/>
          <w:spacing w:val="-2"/>
          <w:w w:val="110"/>
        </w:rPr>
        <w:t>el</w:t>
      </w:r>
      <w:r>
        <w:rPr>
          <w:color w:val="231F1F"/>
          <w:spacing w:val="-11"/>
          <w:w w:val="110"/>
        </w:rPr>
        <w:t> </w:t>
      </w:r>
      <w:r>
        <w:rPr>
          <w:color w:val="231F1F"/>
          <w:spacing w:val="-2"/>
          <w:w w:val="110"/>
        </w:rPr>
        <w:t>grado </w:t>
      </w:r>
      <w:r>
        <w:rPr>
          <w:color w:val="231F1F"/>
          <w:w w:val="110"/>
        </w:rPr>
        <w:t>de satisfacción materna fue mayor: 3,9±0,6 frente a 1,9±0,4; p&lt;0,001, con menor</w:t>
      </w:r>
      <w:r>
        <w:rPr>
          <w:color w:val="231F1F"/>
          <w:spacing w:val="-2"/>
          <w:w w:val="110"/>
        </w:rPr>
        <w:t> </w:t>
      </w:r>
      <w:r>
        <w:rPr>
          <w:color w:val="231F1F"/>
          <w:w w:val="110"/>
        </w:rPr>
        <w:t>efecto</w:t>
      </w:r>
      <w:r>
        <w:rPr>
          <w:color w:val="231F1F"/>
          <w:spacing w:val="-2"/>
          <w:w w:val="110"/>
        </w:rPr>
        <w:t> </w:t>
      </w:r>
      <w:r>
        <w:rPr>
          <w:color w:val="231F1F"/>
          <w:w w:val="110"/>
        </w:rPr>
        <w:t>sedante:</w:t>
      </w:r>
      <w:r>
        <w:rPr>
          <w:color w:val="231F1F"/>
          <w:spacing w:val="-3"/>
          <w:w w:val="110"/>
        </w:rPr>
        <w:t> </w:t>
      </w:r>
      <w:r>
        <w:rPr>
          <w:color w:val="231F1F"/>
          <w:w w:val="110"/>
        </w:rPr>
        <w:t>1,2±0,1</w:t>
      </w:r>
      <w:r>
        <w:rPr>
          <w:color w:val="231F1F"/>
          <w:spacing w:val="-2"/>
          <w:w w:val="110"/>
        </w:rPr>
        <w:t> </w:t>
      </w:r>
      <w:r>
        <w:rPr>
          <w:color w:val="231F1F"/>
          <w:w w:val="110"/>
        </w:rPr>
        <w:t>frente</w:t>
      </w:r>
      <w:r>
        <w:rPr>
          <w:color w:val="231F1F"/>
          <w:spacing w:val="-2"/>
          <w:w w:val="110"/>
        </w:rPr>
        <w:t> </w:t>
      </w:r>
      <w:r>
        <w:rPr>
          <w:color w:val="231F1F"/>
          <w:w w:val="110"/>
        </w:rPr>
        <w:t>a</w:t>
      </w:r>
      <w:r>
        <w:rPr>
          <w:color w:val="231F1F"/>
          <w:spacing w:val="-2"/>
          <w:w w:val="110"/>
        </w:rPr>
        <w:t> </w:t>
      </w:r>
      <w:r>
        <w:rPr>
          <w:color w:val="231F1F"/>
          <w:w w:val="110"/>
        </w:rPr>
        <w:t>2,9±0,1;</w:t>
      </w:r>
      <w:r>
        <w:rPr>
          <w:color w:val="231F1F"/>
          <w:spacing w:val="-3"/>
          <w:w w:val="110"/>
        </w:rPr>
        <w:t> </w:t>
      </w:r>
      <w:r>
        <w:rPr>
          <w:color w:val="231F1F"/>
          <w:w w:val="110"/>
        </w:rPr>
        <w:t>p&lt;0,001</w:t>
      </w:r>
      <w:r>
        <w:rPr>
          <w:color w:val="231F1F"/>
          <w:spacing w:val="-2"/>
          <w:w w:val="110"/>
        </w:rPr>
        <w:t> </w:t>
      </w:r>
      <w:r>
        <w:rPr>
          <w:color w:val="231F1F"/>
          <w:w w:val="110"/>
        </w:rPr>
        <w:t>y</w:t>
      </w:r>
      <w:r>
        <w:rPr>
          <w:color w:val="231F1F"/>
          <w:spacing w:val="-2"/>
          <w:w w:val="110"/>
        </w:rPr>
        <w:t> </w:t>
      </w:r>
      <w:r>
        <w:rPr>
          <w:color w:val="231F1F"/>
          <w:w w:val="110"/>
        </w:rPr>
        <w:t>menor</w:t>
      </w:r>
      <w:r>
        <w:rPr>
          <w:color w:val="231F1F"/>
          <w:spacing w:val="-2"/>
          <w:w w:val="110"/>
        </w:rPr>
        <w:t> </w:t>
      </w:r>
      <w:r>
        <w:rPr>
          <w:color w:val="231F1F"/>
          <w:w w:val="110"/>
        </w:rPr>
        <w:t>desatura- </w:t>
      </w:r>
      <w:r>
        <w:rPr>
          <w:color w:val="231F1F"/>
          <w:spacing w:val="-2"/>
          <w:w w:val="110"/>
        </w:rPr>
        <w:t>ción</w:t>
      </w:r>
      <w:r>
        <w:rPr>
          <w:color w:val="231F1F"/>
          <w:spacing w:val="-7"/>
          <w:w w:val="110"/>
        </w:rPr>
        <w:t> </w:t>
      </w:r>
      <w:r>
        <w:rPr>
          <w:color w:val="231F1F"/>
          <w:spacing w:val="-2"/>
          <w:w w:val="110"/>
        </w:rPr>
        <w:t>de</w:t>
      </w:r>
      <w:r>
        <w:rPr>
          <w:color w:val="231F1F"/>
          <w:spacing w:val="-7"/>
          <w:w w:val="110"/>
        </w:rPr>
        <w:t> </w:t>
      </w:r>
      <w:r>
        <w:rPr>
          <w:color w:val="231F1F"/>
          <w:spacing w:val="-2"/>
          <w:w w:val="110"/>
        </w:rPr>
        <w:t>la</w:t>
      </w:r>
      <w:r>
        <w:rPr>
          <w:color w:val="231F1F"/>
          <w:spacing w:val="-7"/>
          <w:w w:val="110"/>
        </w:rPr>
        <w:t> </w:t>
      </w:r>
      <w:r>
        <w:rPr>
          <w:color w:val="231F1F"/>
          <w:spacing w:val="-2"/>
          <w:w w:val="110"/>
        </w:rPr>
        <w:t>hemoglobina:</w:t>
      </w:r>
      <w:r>
        <w:rPr>
          <w:color w:val="231F1F"/>
          <w:spacing w:val="-8"/>
          <w:w w:val="110"/>
        </w:rPr>
        <w:t> </w:t>
      </w:r>
      <w:r>
        <w:rPr>
          <w:color w:val="231F1F"/>
          <w:spacing w:val="-2"/>
          <w:w w:val="110"/>
        </w:rPr>
        <w:t>97,5%±1,0</w:t>
      </w:r>
      <w:r>
        <w:rPr>
          <w:color w:val="231F1F"/>
          <w:spacing w:val="-7"/>
          <w:w w:val="110"/>
        </w:rPr>
        <w:t> </w:t>
      </w:r>
      <w:r>
        <w:rPr>
          <w:color w:val="231F1F"/>
          <w:spacing w:val="-2"/>
          <w:w w:val="110"/>
        </w:rPr>
        <w:t>frente</w:t>
      </w:r>
      <w:r>
        <w:rPr>
          <w:color w:val="231F1F"/>
          <w:spacing w:val="-7"/>
          <w:w w:val="110"/>
        </w:rPr>
        <w:t> </w:t>
      </w:r>
      <w:r>
        <w:rPr>
          <w:color w:val="231F1F"/>
          <w:spacing w:val="-2"/>
          <w:w w:val="110"/>
        </w:rPr>
        <w:t>a</w:t>
      </w:r>
      <w:r>
        <w:rPr>
          <w:color w:val="231F1F"/>
          <w:spacing w:val="-7"/>
          <w:w w:val="110"/>
        </w:rPr>
        <w:t> </w:t>
      </w:r>
      <w:r>
        <w:rPr>
          <w:color w:val="231F1F"/>
          <w:spacing w:val="-2"/>
          <w:w w:val="110"/>
        </w:rPr>
        <w:t>94,2%±1,5,</w:t>
      </w:r>
      <w:r>
        <w:rPr>
          <w:color w:val="231F1F"/>
          <w:spacing w:val="-7"/>
          <w:w w:val="110"/>
        </w:rPr>
        <w:t> </w:t>
      </w:r>
      <w:r>
        <w:rPr>
          <w:color w:val="231F1F"/>
          <w:spacing w:val="-2"/>
          <w:w w:val="110"/>
        </w:rPr>
        <w:t>p&lt;0,007.</w:t>
      </w:r>
      <w:r>
        <w:rPr>
          <w:color w:val="231F1F"/>
          <w:spacing w:val="-7"/>
          <w:w w:val="110"/>
        </w:rPr>
        <w:t> </w:t>
      </w:r>
      <w:r>
        <w:rPr>
          <w:color w:val="231F1F"/>
          <w:spacing w:val="-2"/>
          <w:w w:val="110"/>
        </w:rPr>
        <w:t>El</w:t>
      </w:r>
      <w:r>
        <w:rPr>
          <w:color w:val="231F1F"/>
          <w:spacing w:val="-7"/>
          <w:w w:val="110"/>
        </w:rPr>
        <w:t> </w:t>
      </w:r>
      <w:r>
        <w:rPr>
          <w:color w:val="231F1F"/>
          <w:spacing w:val="-2"/>
          <w:w w:val="110"/>
        </w:rPr>
        <w:t>porcen- </w:t>
      </w:r>
      <w:r>
        <w:rPr>
          <w:color w:val="231F1F"/>
          <w:w w:val="110"/>
        </w:rPr>
        <w:t>taje de fracaso de la analgesia (o tasa de cruce a tratamiento con epidural) también fue menor para el remifentanilo en comparación con la meperidi- na:</w:t>
      </w:r>
      <w:r>
        <w:rPr>
          <w:color w:val="231F1F"/>
          <w:spacing w:val="-3"/>
          <w:w w:val="110"/>
        </w:rPr>
        <w:t> </w:t>
      </w:r>
      <w:r>
        <w:rPr>
          <w:color w:val="231F1F"/>
          <w:w w:val="110"/>
        </w:rPr>
        <w:t>10,8%</w:t>
      </w:r>
      <w:r>
        <w:rPr>
          <w:color w:val="231F1F"/>
          <w:spacing w:val="-2"/>
          <w:w w:val="110"/>
        </w:rPr>
        <w:t> </w:t>
      </w:r>
      <w:r>
        <w:rPr>
          <w:color w:val="231F1F"/>
          <w:w w:val="110"/>
        </w:rPr>
        <w:t>versus</w:t>
      </w:r>
      <w:r>
        <w:rPr>
          <w:color w:val="231F1F"/>
          <w:spacing w:val="-2"/>
          <w:w w:val="110"/>
        </w:rPr>
        <w:t> </w:t>
      </w:r>
      <w:r>
        <w:rPr>
          <w:color w:val="231F1F"/>
          <w:w w:val="110"/>
        </w:rPr>
        <w:t>38,8%;</w:t>
      </w:r>
      <w:r>
        <w:rPr>
          <w:color w:val="231F1F"/>
          <w:spacing w:val="-2"/>
          <w:w w:val="110"/>
        </w:rPr>
        <w:t> </w:t>
      </w:r>
      <w:r>
        <w:rPr>
          <w:color w:val="231F1F"/>
          <w:w w:val="110"/>
        </w:rPr>
        <w:t>p&lt;0,007.</w:t>
      </w:r>
      <w:r>
        <w:rPr>
          <w:color w:val="231F1F"/>
          <w:spacing w:val="-2"/>
          <w:w w:val="110"/>
        </w:rPr>
        <w:t> </w:t>
      </w:r>
      <w:r>
        <w:rPr>
          <w:color w:val="231F1F"/>
          <w:w w:val="110"/>
        </w:rPr>
        <w:t>No</w:t>
      </w:r>
      <w:r>
        <w:rPr>
          <w:color w:val="231F1F"/>
          <w:spacing w:val="-3"/>
          <w:w w:val="110"/>
        </w:rPr>
        <w:t> </w:t>
      </w:r>
      <w:r>
        <w:rPr>
          <w:color w:val="231F1F"/>
          <w:w w:val="110"/>
        </w:rPr>
        <w:t>hubo</w:t>
      </w:r>
      <w:r>
        <w:rPr>
          <w:color w:val="231F1F"/>
          <w:spacing w:val="-2"/>
          <w:w w:val="110"/>
        </w:rPr>
        <w:t> </w:t>
      </w:r>
      <w:r>
        <w:rPr>
          <w:color w:val="231F1F"/>
          <w:w w:val="110"/>
        </w:rPr>
        <w:t>diferencias</w:t>
      </w:r>
      <w:r>
        <w:rPr>
          <w:color w:val="231F1F"/>
          <w:spacing w:val="-3"/>
          <w:w w:val="110"/>
        </w:rPr>
        <w:t> </w:t>
      </w:r>
      <w:r>
        <w:rPr>
          <w:color w:val="231F1F"/>
          <w:w w:val="110"/>
        </w:rPr>
        <w:t>significativas</w:t>
      </w:r>
      <w:r>
        <w:rPr>
          <w:color w:val="231F1F"/>
          <w:spacing w:val="-3"/>
          <w:w w:val="110"/>
        </w:rPr>
        <w:t> </w:t>
      </w:r>
      <w:r>
        <w:rPr>
          <w:color w:val="231F1F"/>
          <w:w w:val="110"/>
        </w:rPr>
        <w:t>entre los grupos en el tipo de parto ni en resultados neonatales. En el grupo de remifentanilo</w:t>
      </w:r>
      <w:r>
        <w:rPr>
          <w:color w:val="231F1F"/>
          <w:w w:val="110"/>
        </w:rPr>
        <w:t> hubo</w:t>
      </w:r>
      <w:r>
        <w:rPr>
          <w:color w:val="231F1F"/>
          <w:w w:val="110"/>
        </w:rPr>
        <w:t> menos</w:t>
      </w:r>
      <w:r>
        <w:rPr>
          <w:color w:val="231F1F"/>
          <w:w w:val="110"/>
        </w:rPr>
        <w:t> patrones</w:t>
      </w:r>
      <w:r>
        <w:rPr>
          <w:color w:val="231F1F"/>
          <w:w w:val="110"/>
        </w:rPr>
        <w:t> anormales</w:t>
      </w:r>
      <w:r>
        <w:rPr>
          <w:color w:val="231F1F"/>
          <w:w w:val="110"/>
        </w:rPr>
        <w:t> alarmantes</w:t>
      </w:r>
      <w:r>
        <w:rPr>
          <w:color w:val="231F1F"/>
          <w:w w:val="110"/>
        </w:rPr>
        <w:t> de</w:t>
      </w:r>
      <w:r>
        <w:rPr>
          <w:color w:val="231F1F"/>
          <w:w w:val="110"/>
        </w:rPr>
        <w:t> la</w:t>
      </w:r>
      <w:r>
        <w:rPr>
          <w:color w:val="231F1F"/>
          <w:w w:val="110"/>
        </w:rPr>
        <w:t> FCF,</w:t>
      </w:r>
      <w:r>
        <w:rPr>
          <w:color w:val="231F1F"/>
          <w:w w:val="110"/>
        </w:rPr>
        <w:t> es decir, mayor variabilidad y reactividad con menor deceleración, p&lt;0,001.</w:t>
      </w:r>
    </w:p>
    <w:p>
      <w:pPr>
        <w:pStyle w:val="BodyText"/>
        <w:spacing w:line="247" w:lineRule="auto" w:before="74"/>
        <w:ind w:left="283" w:right="38" w:firstLine="453"/>
        <w:jc w:val="both"/>
      </w:pPr>
      <w:r>
        <w:rPr>
          <w:color w:val="231F1F"/>
          <w:w w:val="110"/>
        </w:rPr>
        <w:t>Dos años después, se publicó otro ECA (306)</w:t>
      </w:r>
      <w:r>
        <w:rPr>
          <w:color w:val="231F1F"/>
          <w:spacing w:val="-1"/>
          <w:w w:val="110"/>
        </w:rPr>
        <w:t> </w:t>
      </w:r>
      <w:r>
        <w:rPr>
          <w:color w:val="231F1F"/>
          <w:w w:val="110"/>
        </w:rPr>
        <w:t>que comparó la eficacia analgésica</w:t>
      </w:r>
      <w:r>
        <w:rPr>
          <w:color w:val="231F1F"/>
          <w:spacing w:val="-1"/>
          <w:w w:val="110"/>
        </w:rPr>
        <w:t> </w:t>
      </w:r>
      <w:r>
        <w:rPr>
          <w:color w:val="231F1F"/>
          <w:w w:val="110"/>
        </w:rPr>
        <w:t>y</w:t>
      </w:r>
      <w:r>
        <w:rPr>
          <w:color w:val="231F1F"/>
          <w:spacing w:val="-1"/>
          <w:w w:val="110"/>
        </w:rPr>
        <w:t> </w:t>
      </w:r>
      <w:r>
        <w:rPr>
          <w:color w:val="231F1F"/>
          <w:w w:val="110"/>
        </w:rPr>
        <w:t>la</w:t>
      </w:r>
      <w:r>
        <w:rPr>
          <w:color w:val="231F1F"/>
          <w:spacing w:val="-1"/>
          <w:w w:val="110"/>
        </w:rPr>
        <w:t> </w:t>
      </w:r>
      <w:r>
        <w:rPr>
          <w:color w:val="231F1F"/>
          <w:w w:val="110"/>
        </w:rPr>
        <w:t>seguridad</w:t>
      </w:r>
      <w:r>
        <w:rPr>
          <w:color w:val="231F1F"/>
          <w:spacing w:val="-1"/>
          <w:w w:val="110"/>
        </w:rPr>
        <w:t> </w:t>
      </w:r>
      <w:r>
        <w:rPr>
          <w:color w:val="231F1F"/>
          <w:w w:val="110"/>
        </w:rPr>
        <w:t>de</w:t>
      </w:r>
      <w:r>
        <w:rPr>
          <w:color w:val="231F1F"/>
          <w:spacing w:val="-1"/>
          <w:w w:val="110"/>
        </w:rPr>
        <w:t> </w:t>
      </w:r>
      <w:r>
        <w:rPr>
          <w:i/>
          <w:color w:val="231F1F"/>
          <w:w w:val="110"/>
        </w:rPr>
        <w:t>remifentanilo</w:t>
      </w:r>
      <w:r>
        <w:rPr>
          <w:i/>
          <w:color w:val="231F1F"/>
          <w:spacing w:val="-16"/>
          <w:w w:val="110"/>
        </w:rPr>
        <w:t> </w:t>
      </w:r>
      <w:r>
        <w:rPr>
          <w:i/>
          <w:color w:val="231F1F"/>
          <w:w w:val="110"/>
        </w:rPr>
        <w:t>IV</w:t>
      </w:r>
      <w:r>
        <w:rPr>
          <w:i/>
          <w:color w:val="231F1F"/>
          <w:spacing w:val="-15"/>
          <w:w w:val="110"/>
        </w:rPr>
        <w:t> </w:t>
      </w:r>
      <w:r>
        <w:rPr>
          <w:i/>
          <w:color w:val="231F1F"/>
          <w:w w:val="110"/>
        </w:rPr>
        <w:t>PCA</w:t>
      </w:r>
      <w:r>
        <w:rPr>
          <w:i/>
          <w:color w:val="231F1F"/>
          <w:spacing w:val="-15"/>
          <w:w w:val="110"/>
        </w:rPr>
        <w:t> </w:t>
      </w:r>
      <w:r>
        <w:rPr>
          <w:color w:val="231F1F"/>
          <w:w w:val="110"/>
        </w:rPr>
        <w:t>(25-50 mg cada</w:t>
      </w:r>
      <w:r>
        <w:rPr>
          <w:color w:val="231F1F"/>
          <w:spacing w:val="-1"/>
          <w:w w:val="110"/>
        </w:rPr>
        <w:t> </w:t>
      </w:r>
      <w:r>
        <w:rPr>
          <w:color w:val="231F1F"/>
          <w:w w:val="110"/>
        </w:rPr>
        <w:t>4</w:t>
      </w:r>
      <w:r>
        <w:rPr>
          <w:color w:val="231F1F"/>
          <w:spacing w:val="-1"/>
          <w:w w:val="110"/>
        </w:rPr>
        <w:t> </w:t>
      </w:r>
      <w:r>
        <w:rPr>
          <w:color w:val="231F1F"/>
          <w:w w:val="110"/>
        </w:rPr>
        <w:t>minu- tos, IV) durante el parto </w:t>
      </w:r>
      <w:r>
        <w:rPr>
          <w:i/>
          <w:color w:val="231F1F"/>
          <w:w w:val="110"/>
        </w:rPr>
        <w:t>frente</w:t>
      </w:r>
      <w:r>
        <w:rPr>
          <w:i/>
          <w:color w:val="231F1F"/>
          <w:spacing w:val="-7"/>
          <w:w w:val="110"/>
        </w:rPr>
        <w:t> </w:t>
      </w:r>
      <w:r>
        <w:rPr>
          <w:i/>
          <w:color w:val="231F1F"/>
          <w:w w:val="110"/>
        </w:rPr>
        <w:t>a</w:t>
      </w:r>
      <w:r>
        <w:rPr>
          <w:i/>
          <w:color w:val="231F1F"/>
          <w:spacing w:val="-7"/>
          <w:w w:val="110"/>
        </w:rPr>
        <w:t> </w:t>
      </w:r>
      <w:r>
        <w:rPr>
          <w:i/>
          <w:color w:val="231F1F"/>
          <w:w w:val="110"/>
        </w:rPr>
        <w:t>meperidina</w:t>
      </w:r>
      <w:r>
        <w:rPr>
          <w:i/>
          <w:color w:val="231F1F"/>
          <w:spacing w:val="-7"/>
          <w:w w:val="110"/>
        </w:rPr>
        <w:t> </w:t>
      </w:r>
      <w:r>
        <w:rPr>
          <w:i/>
          <w:color w:val="231F1F"/>
          <w:w w:val="110"/>
        </w:rPr>
        <w:t>IM</w:t>
      </w:r>
      <w:r>
        <w:rPr>
          <w:i/>
          <w:color w:val="231F1F"/>
          <w:spacing w:val="-8"/>
          <w:w w:val="110"/>
        </w:rPr>
        <w:t> </w:t>
      </w:r>
      <w:r>
        <w:rPr>
          <w:color w:val="231F1F"/>
          <w:w w:val="110"/>
        </w:rPr>
        <w:t>(1 mg/kg) en mujeres con partos</w:t>
      </w:r>
      <w:r>
        <w:rPr>
          <w:color w:val="231F1F"/>
          <w:spacing w:val="-6"/>
          <w:w w:val="110"/>
        </w:rPr>
        <w:t> </w:t>
      </w:r>
      <w:r>
        <w:rPr>
          <w:color w:val="231F1F"/>
          <w:w w:val="110"/>
        </w:rPr>
        <w:t>sin</w:t>
      </w:r>
      <w:r>
        <w:rPr>
          <w:color w:val="231F1F"/>
          <w:spacing w:val="-6"/>
          <w:w w:val="110"/>
        </w:rPr>
        <w:t> </w:t>
      </w:r>
      <w:r>
        <w:rPr>
          <w:color w:val="231F1F"/>
          <w:w w:val="110"/>
        </w:rPr>
        <w:t>complicaciones,</w:t>
      </w:r>
      <w:r>
        <w:rPr>
          <w:color w:val="231F1F"/>
          <w:spacing w:val="-6"/>
          <w:w w:val="110"/>
        </w:rPr>
        <w:t> </w:t>
      </w:r>
      <w:r>
        <w:rPr>
          <w:color w:val="231F1F"/>
          <w:w w:val="110"/>
        </w:rPr>
        <w:t>embarazo</w:t>
      </w:r>
      <w:r>
        <w:rPr>
          <w:color w:val="231F1F"/>
          <w:spacing w:val="-6"/>
          <w:w w:val="110"/>
        </w:rPr>
        <w:t> </w:t>
      </w:r>
      <w:r>
        <w:rPr>
          <w:color w:val="231F1F"/>
          <w:w w:val="110"/>
        </w:rPr>
        <w:t>único</w:t>
      </w:r>
      <w:r>
        <w:rPr>
          <w:color w:val="231F1F"/>
          <w:spacing w:val="-6"/>
          <w:w w:val="110"/>
        </w:rPr>
        <w:t> </w:t>
      </w:r>
      <w:r>
        <w:rPr>
          <w:color w:val="231F1F"/>
          <w:w w:val="110"/>
        </w:rPr>
        <w:t>y</w:t>
      </w:r>
      <w:r>
        <w:rPr>
          <w:color w:val="231F1F"/>
          <w:spacing w:val="-6"/>
          <w:w w:val="110"/>
        </w:rPr>
        <w:t> </w:t>
      </w:r>
      <w:r>
        <w:rPr>
          <w:color w:val="231F1F"/>
          <w:w w:val="110"/>
        </w:rPr>
        <w:t>presentación</w:t>
      </w:r>
      <w:r>
        <w:rPr>
          <w:color w:val="231F1F"/>
          <w:spacing w:val="-6"/>
          <w:w w:val="110"/>
        </w:rPr>
        <w:t> </w:t>
      </w:r>
      <w:r>
        <w:rPr>
          <w:color w:val="231F1F"/>
          <w:w w:val="110"/>
        </w:rPr>
        <w:t>cefálica.</w:t>
      </w:r>
      <w:r>
        <w:rPr>
          <w:color w:val="231F1F"/>
          <w:spacing w:val="-6"/>
          <w:w w:val="110"/>
        </w:rPr>
        <w:t> </w:t>
      </w:r>
      <w:r>
        <w:rPr>
          <w:color w:val="231F1F"/>
          <w:w w:val="110"/>
        </w:rPr>
        <w:t>Se</w:t>
      </w:r>
      <w:r>
        <w:rPr>
          <w:color w:val="231F1F"/>
          <w:spacing w:val="-6"/>
          <w:w w:val="110"/>
        </w:rPr>
        <w:t> </w:t>
      </w:r>
      <w:r>
        <w:rPr>
          <w:color w:val="231F1F"/>
          <w:w w:val="110"/>
        </w:rPr>
        <w:t>trata de</w:t>
      </w:r>
      <w:r>
        <w:rPr>
          <w:color w:val="231F1F"/>
          <w:spacing w:val="-2"/>
          <w:w w:val="110"/>
        </w:rPr>
        <w:t> </w:t>
      </w:r>
      <w:r>
        <w:rPr>
          <w:color w:val="231F1F"/>
          <w:w w:val="110"/>
        </w:rPr>
        <w:t>un</w:t>
      </w:r>
      <w:r>
        <w:rPr>
          <w:color w:val="231F1F"/>
          <w:spacing w:val="-2"/>
          <w:w w:val="110"/>
        </w:rPr>
        <w:t> </w:t>
      </w:r>
      <w:r>
        <w:rPr>
          <w:color w:val="231F1F"/>
          <w:w w:val="110"/>
        </w:rPr>
        <w:t>estudio</w:t>
      </w:r>
      <w:r>
        <w:rPr>
          <w:color w:val="231F1F"/>
          <w:spacing w:val="-2"/>
          <w:w w:val="110"/>
        </w:rPr>
        <w:t> </w:t>
      </w:r>
      <w:r>
        <w:rPr>
          <w:color w:val="231F1F"/>
          <w:w w:val="110"/>
        </w:rPr>
        <w:t>que</w:t>
      </w:r>
      <w:r>
        <w:rPr>
          <w:color w:val="231F1F"/>
          <w:spacing w:val="-2"/>
          <w:w w:val="110"/>
        </w:rPr>
        <w:t> </w:t>
      </w:r>
      <w:r>
        <w:rPr>
          <w:color w:val="231F1F"/>
          <w:w w:val="110"/>
        </w:rPr>
        <w:t>incluyó</w:t>
      </w:r>
      <w:r>
        <w:rPr>
          <w:color w:val="231F1F"/>
          <w:spacing w:val="-2"/>
          <w:w w:val="110"/>
        </w:rPr>
        <w:t> </w:t>
      </w:r>
      <w:r>
        <w:rPr>
          <w:color w:val="231F1F"/>
          <w:w w:val="110"/>
        </w:rPr>
        <w:t>a</w:t>
      </w:r>
      <w:r>
        <w:rPr>
          <w:color w:val="231F1F"/>
          <w:spacing w:val="-2"/>
          <w:w w:val="110"/>
        </w:rPr>
        <w:t> </w:t>
      </w:r>
      <w:r>
        <w:rPr>
          <w:color w:val="231F1F"/>
          <w:w w:val="110"/>
        </w:rPr>
        <w:t>40</w:t>
      </w:r>
      <w:r>
        <w:rPr>
          <w:color w:val="231F1F"/>
          <w:spacing w:val="-2"/>
          <w:w w:val="110"/>
        </w:rPr>
        <w:t> </w:t>
      </w:r>
      <w:r>
        <w:rPr>
          <w:color w:val="231F1F"/>
          <w:w w:val="110"/>
        </w:rPr>
        <w:t>mujeres</w:t>
      </w:r>
      <w:r>
        <w:rPr>
          <w:color w:val="231F1F"/>
          <w:spacing w:val="-2"/>
          <w:w w:val="110"/>
        </w:rPr>
        <w:t> </w:t>
      </w:r>
      <w:r>
        <w:rPr>
          <w:color w:val="231F1F"/>
          <w:w w:val="110"/>
        </w:rPr>
        <w:t>y</w:t>
      </w:r>
      <w:r>
        <w:rPr>
          <w:color w:val="231F1F"/>
          <w:spacing w:val="-2"/>
          <w:w w:val="110"/>
        </w:rPr>
        <w:t> </w:t>
      </w:r>
      <w:r>
        <w:rPr>
          <w:color w:val="231F1F"/>
          <w:w w:val="110"/>
        </w:rPr>
        <w:t>con</w:t>
      </w:r>
      <w:r>
        <w:rPr>
          <w:color w:val="231F1F"/>
          <w:spacing w:val="-2"/>
          <w:w w:val="110"/>
        </w:rPr>
        <w:t> </w:t>
      </w:r>
      <w:r>
        <w:rPr>
          <w:color w:val="231F1F"/>
          <w:w w:val="110"/>
        </w:rPr>
        <w:t>apreciables</w:t>
      </w:r>
      <w:r>
        <w:rPr>
          <w:color w:val="231F1F"/>
          <w:spacing w:val="-2"/>
          <w:w w:val="110"/>
        </w:rPr>
        <w:t> </w:t>
      </w:r>
      <w:r>
        <w:rPr>
          <w:color w:val="231F1F"/>
          <w:w w:val="110"/>
        </w:rPr>
        <w:t>riesgos</w:t>
      </w:r>
      <w:r>
        <w:rPr>
          <w:color w:val="231F1F"/>
          <w:spacing w:val="-2"/>
          <w:w w:val="110"/>
        </w:rPr>
        <w:t> </w:t>
      </w:r>
      <w:r>
        <w:rPr>
          <w:color w:val="231F1F"/>
          <w:w w:val="110"/>
        </w:rPr>
        <w:t>de</w:t>
      </w:r>
      <w:r>
        <w:rPr>
          <w:color w:val="231F1F"/>
          <w:spacing w:val="-2"/>
          <w:w w:val="110"/>
        </w:rPr>
        <w:t> </w:t>
      </w:r>
      <w:r>
        <w:rPr>
          <w:color w:val="231F1F"/>
          <w:w w:val="110"/>
        </w:rPr>
        <w:t>sesgos por</w:t>
      </w:r>
      <w:r>
        <w:rPr>
          <w:color w:val="231F1F"/>
          <w:w w:val="110"/>
        </w:rPr>
        <w:t> dudosa</w:t>
      </w:r>
      <w:r>
        <w:rPr>
          <w:color w:val="231F1F"/>
          <w:w w:val="110"/>
        </w:rPr>
        <w:t> aleatorización</w:t>
      </w:r>
      <w:r>
        <w:rPr>
          <w:color w:val="231F1F"/>
          <w:w w:val="110"/>
        </w:rPr>
        <w:t> y</w:t>
      </w:r>
      <w:r>
        <w:rPr>
          <w:color w:val="231F1F"/>
          <w:w w:val="110"/>
        </w:rPr>
        <w:t> falta</w:t>
      </w:r>
      <w:r>
        <w:rPr>
          <w:color w:val="231F1F"/>
          <w:w w:val="110"/>
        </w:rPr>
        <w:t> de</w:t>
      </w:r>
      <w:r>
        <w:rPr>
          <w:color w:val="231F1F"/>
          <w:w w:val="110"/>
        </w:rPr>
        <w:t> enmascaramiento.</w:t>
      </w:r>
      <w:r>
        <w:rPr>
          <w:color w:val="231F1F"/>
          <w:w w:val="110"/>
        </w:rPr>
        <w:t> Las</w:t>
      </w:r>
      <w:r>
        <w:rPr>
          <w:color w:val="231F1F"/>
          <w:w w:val="110"/>
        </w:rPr>
        <w:t> puntuaciones</w:t>
      </w:r>
      <w:r>
        <w:rPr>
          <w:color w:val="231F1F"/>
          <w:spacing w:val="40"/>
          <w:w w:val="110"/>
        </w:rPr>
        <w:t> </w:t>
      </w:r>
      <w:r>
        <w:rPr>
          <w:color w:val="231F1F"/>
          <w:w w:val="110"/>
        </w:rPr>
        <w:t>de</w:t>
      </w:r>
      <w:r>
        <w:rPr>
          <w:color w:val="231F1F"/>
          <w:w w:val="110"/>
        </w:rPr>
        <w:t> dolor</w:t>
      </w:r>
      <w:r>
        <w:rPr>
          <w:color w:val="231F1F"/>
          <w:w w:val="110"/>
        </w:rPr>
        <w:t> medidos</w:t>
      </w:r>
      <w:r>
        <w:rPr>
          <w:color w:val="231F1F"/>
          <w:w w:val="110"/>
        </w:rPr>
        <w:t> con</w:t>
      </w:r>
      <w:r>
        <w:rPr>
          <w:color w:val="231F1F"/>
          <w:w w:val="110"/>
        </w:rPr>
        <w:t> la</w:t>
      </w:r>
      <w:r>
        <w:rPr>
          <w:color w:val="231F1F"/>
          <w:w w:val="110"/>
        </w:rPr>
        <w:t> VAS</w:t>
      </w:r>
      <w:r>
        <w:rPr>
          <w:color w:val="231F1F"/>
          <w:w w:val="110"/>
        </w:rPr>
        <w:t> a</w:t>
      </w:r>
      <w:r>
        <w:rPr>
          <w:color w:val="231F1F"/>
          <w:w w:val="110"/>
        </w:rPr>
        <w:t> los</w:t>
      </w:r>
      <w:r>
        <w:rPr>
          <w:color w:val="231F1F"/>
          <w:w w:val="110"/>
        </w:rPr>
        <w:t> 60</w:t>
      </w:r>
      <w:r>
        <w:rPr>
          <w:color w:val="231F1F"/>
          <w:w w:val="110"/>
        </w:rPr>
        <w:t> minutos</w:t>
      </w:r>
      <w:r>
        <w:rPr>
          <w:color w:val="231F1F"/>
          <w:w w:val="110"/>
        </w:rPr>
        <w:t> tras</w:t>
      </w:r>
      <w:r>
        <w:rPr>
          <w:color w:val="231F1F"/>
          <w:w w:val="110"/>
        </w:rPr>
        <w:t> la</w:t>
      </w:r>
      <w:r>
        <w:rPr>
          <w:color w:val="231F1F"/>
          <w:w w:val="110"/>
        </w:rPr>
        <w:t> administración</w:t>
      </w:r>
      <w:r>
        <w:rPr>
          <w:color w:val="231F1F"/>
          <w:w w:val="110"/>
        </w:rPr>
        <w:t> de analgesia fueron más bajos en el grupo remifentanilo que el grupo mepe- ridina</w:t>
      </w:r>
      <w:r>
        <w:rPr>
          <w:color w:val="231F1F"/>
          <w:w w:val="110"/>
        </w:rPr>
        <w:t> (p&lt;0,0001),</w:t>
      </w:r>
      <w:r>
        <w:rPr>
          <w:color w:val="231F1F"/>
          <w:w w:val="110"/>
        </w:rPr>
        <w:t> durante</w:t>
      </w:r>
      <w:r>
        <w:rPr>
          <w:color w:val="231F1F"/>
          <w:w w:val="110"/>
        </w:rPr>
        <w:t> la</w:t>
      </w:r>
      <w:r>
        <w:rPr>
          <w:color w:val="231F1F"/>
          <w:w w:val="110"/>
        </w:rPr>
        <w:t> primera</w:t>
      </w:r>
      <w:r>
        <w:rPr>
          <w:color w:val="231F1F"/>
          <w:w w:val="110"/>
        </w:rPr>
        <w:t> etapa</w:t>
      </w:r>
      <w:r>
        <w:rPr>
          <w:color w:val="231F1F"/>
          <w:w w:val="110"/>
        </w:rPr>
        <w:t> del</w:t>
      </w:r>
      <w:r>
        <w:rPr>
          <w:color w:val="231F1F"/>
          <w:w w:val="110"/>
        </w:rPr>
        <w:t> parto</w:t>
      </w:r>
      <w:r>
        <w:rPr>
          <w:color w:val="231F1F"/>
          <w:w w:val="110"/>
        </w:rPr>
        <w:t> (p&lt;0,0001)</w:t>
      </w:r>
      <w:r>
        <w:rPr>
          <w:color w:val="231F1F"/>
          <w:w w:val="110"/>
        </w:rPr>
        <w:t> y</w:t>
      </w:r>
      <w:r>
        <w:rPr>
          <w:color w:val="231F1F"/>
          <w:w w:val="110"/>
        </w:rPr>
        <w:t> la</w:t>
      </w:r>
      <w:r>
        <w:rPr>
          <w:color w:val="231F1F"/>
          <w:w w:val="110"/>
        </w:rPr>
        <w:t> se- gunda etapa de parto (p=0,013). Noventa y cinco por ciento de las mujeres calificaron la analgesia como buena a excelente en el grupo remifentanilo en</w:t>
      </w:r>
      <w:r>
        <w:rPr>
          <w:color w:val="231F1F"/>
          <w:spacing w:val="-12"/>
          <w:w w:val="110"/>
        </w:rPr>
        <w:t> </w:t>
      </w:r>
      <w:r>
        <w:rPr>
          <w:color w:val="231F1F"/>
          <w:w w:val="110"/>
        </w:rPr>
        <w:t>comparación</w:t>
      </w:r>
      <w:r>
        <w:rPr>
          <w:color w:val="231F1F"/>
          <w:spacing w:val="-12"/>
          <w:w w:val="110"/>
        </w:rPr>
        <w:t> </w:t>
      </w:r>
      <w:r>
        <w:rPr>
          <w:color w:val="231F1F"/>
          <w:w w:val="110"/>
        </w:rPr>
        <w:t>con</w:t>
      </w:r>
      <w:r>
        <w:rPr>
          <w:color w:val="231F1F"/>
          <w:spacing w:val="-12"/>
          <w:w w:val="110"/>
        </w:rPr>
        <w:t> </w:t>
      </w:r>
      <w:r>
        <w:rPr>
          <w:color w:val="231F1F"/>
          <w:w w:val="110"/>
        </w:rPr>
        <w:t>el</w:t>
      </w:r>
      <w:r>
        <w:rPr>
          <w:color w:val="231F1F"/>
          <w:spacing w:val="-12"/>
          <w:w w:val="110"/>
        </w:rPr>
        <w:t> </w:t>
      </w:r>
      <w:r>
        <w:rPr>
          <w:color w:val="231F1F"/>
          <w:w w:val="110"/>
        </w:rPr>
        <w:t>35%</w:t>
      </w:r>
      <w:r>
        <w:rPr>
          <w:color w:val="231F1F"/>
          <w:spacing w:val="-11"/>
          <w:w w:val="110"/>
        </w:rPr>
        <w:t> </w:t>
      </w:r>
      <w:r>
        <w:rPr>
          <w:color w:val="231F1F"/>
          <w:w w:val="110"/>
        </w:rPr>
        <w:t>en</w:t>
      </w:r>
      <w:r>
        <w:rPr>
          <w:color w:val="231F1F"/>
          <w:spacing w:val="-12"/>
          <w:w w:val="110"/>
        </w:rPr>
        <w:t> </w:t>
      </w:r>
      <w:r>
        <w:rPr>
          <w:color w:val="231F1F"/>
          <w:w w:val="110"/>
        </w:rPr>
        <w:t>el</w:t>
      </w:r>
      <w:r>
        <w:rPr>
          <w:color w:val="231F1F"/>
          <w:spacing w:val="-12"/>
          <w:w w:val="110"/>
        </w:rPr>
        <w:t> </w:t>
      </w:r>
      <w:r>
        <w:rPr>
          <w:color w:val="231F1F"/>
          <w:w w:val="110"/>
        </w:rPr>
        <w:t>grupo</w:t>
      </w:r>
      <w:r>
        <w:rPr>
          <w:color w:val="231F1F"/>
          <w:spacing w:val="-12"/>
          <w:w w:val="110"/>
        </w:rPr>
        <w:t> </w:t>
      </w:r>
      <w:r>
        <w:rPr>
          <w:color w:val="231F1F"/>
          <w:w w:val="110"/>
        </w:rPr>
        <w:t>meperidina</w:t>
      </w:r>
      <w:r>
        <w:rPr>
          <w:color w:val="231F1F"/>
          <w:spacing w:val="-12"/>
          <w:w w:val="110"/>
        </w:rPr>
        <w:t> </w:t>
      </w:r>
      <w:r>
        <w:rPr>
          <w:color w:val="231F1F"/>
          <w:w w:val="110"/>
        </w:rPr>
        <w:t>(p&lt;0,0001).</w:t>
      </w:r>
      <w:r>
        <w:rPr>
          <w:color w:val="231F1F"/>
          <w:spacing w:val="-12"/>
          <w:w w:val="110"/>
        </w:rPr>
        <w:t> </w:t>
      </w:r>
      <w:r>
        <w:rPr>
          <w:color w:val="231F1F"/>
          <w:w w:val="110"/>
        </w:rPr>
        <w:t>Los</w:t>
      </w:r>
      <w:r>
        <w:rPr>
          <w:color w:val="231F1F"/>
          <w:spacing w:val="-12"/>
          <w:w w:val="110"/>
        </w:rPr>
        <w:t> </w:t>
      </w:r>
      <w:r>
        <w:rPr>
          <w:color w:val="231F1F"/>
          <w:w w:val="110"/>
        </w:rPr>
        <w:t>efectos secundarios como la sedación, naúseas y vómitos, depresión respiratoria y desaturación</w:t>
      </w:r>
      <w:r>
        <w:rPr>
          <w:color w:val="231F1F"/>
          <w:w w:val="110"/>
        </w:rPr>
        <w:t> de</w:t>
      </w:r>
      <w:r>
        <w:rPr>
          <w:color w:val="231F1F"/>
          <w:w w:val="110"/>
        </w:rPr>
        <w:t> oxígeno</w:t>
      </w:r>
      <w:r>
        <w:rPr>
          <w:color w:val="231F1F"/>
          <w:w w:val="110"/>
        </w:rPr>
        <w:t> de</w:t>
      </w:r>
      <w:r>
        <w:rPr>
          <w:color w:val="231F1F"/>
          <w:w w:val="110"/>
        </w:rPr>
        <w:t> la</w:t>
      </w:r>
      <w:r>
        <w:rPr>
          <w:color w:val="231F1F"/>
          <w:w w:val="110"/>
        </w:rPr>
        <w:t> Hb</w:t>
      </w:r>
      <w:r>
        <w:rPr>
          <w:color w:val="231F1F"/>
          <w:w w:val="110"/>
        </w:rPr>
        <w:t> fueron</w:t>
      </w:r>
      <w:r>
        <w:rPr>
          <w:color w:val="231F1F"/>
          <w:w w:val="110"/>
        </w:rPr>
        <w:t> infrecuentes.</w:t>
      </w:r>
      <w:r>
        <w:rPr>
          <w:color w:val="231F1F"/>
          <w:w w:val="110"/>
        </w:rPr>
        <w:t> Además</w:t>
      </w:r>
      <w:r>
        <w:rPr>
          <w:color w:val="231F1F"/>
          <w:w w:val="110"/>
        </w:rPr>
        <w:t> no</w:t>
      </w:r>
      <w:r>
        <w:rPr>
          <w:color w:val="231F1F"/>
          <w:w w:val="110"/>
        </w:rPr>
        <w:t> se</w:t>
      </w:r>
      <w:r>
        <w:rPr>
          <w:color w:val="231F1F"/>
          <w:w w:val="110"/>
        </w:rPr>
        <w:t> ob- servaron</w:t>
      </w:r>
      <w:r>
        <w:rPr>
          <w:color w:val="231F1F"/>
          <w:w w:val="110"/>
        </w:rPr>
        <w:t> diferencias</w:t>
      </w:r>
      <w:r>
        <w:rPr>
          <w:color w:val="231F1F"/>
          <w:w w:val="110"/>
        </w:rPr>
        <w:t> significativas</w:t>
      </w:r>
      <w:r>
        <w:rPr>
          <w:color w:val="231F1F"/>
          <w:w w:val="110"/>
        </w:rPr>
        <w:t> entre</w:t>
      </w:r>
      <w:r>
        <w:rPr>
          <w:color w:val="231F1F"/>
          <w:w w:val="110"/>
        </w:rPr>
        <w:t> los</w:t>
      </w:r>
      <w:r>
        <w:rPr>
          <w:color w:val="231F1F"/>
          <w:w w:val="110"/>
        </w:rPr>
        <w:t> grupos</w:t>
      </w:r>
      <w:r>
        <w:rPr>
          <w:color w:val="231F1F"/>
          <w:w w:val="110"/>
        </w:rPr>
        <w:t> en</w:t>
      </w:r>
      <w:r>
        <w:rPr>
          <w:color w:val="231F1F"/>
          <w:w w:val="110"/>
        </w:rPr>
        <w:t> el</w:t>
      </w:r>
      <w:r>
        <w:rPr>
          <w:color w:val="231F1F"/>
          <w:w w:val="110"/>
        </w:rPr>
        <w:t> tipo</w:t>
      </w:r>
      <w:r>
        <w:rPr>
          <w:color w:val="231F1F"/>
          <w:w w:val="110"/>
        </w:rPr>
        <w:t> de</w:t>
      </w:r>
      <w:r>
        <w:rPr>
          <w:color w:val="231F1F"/>
          <w:w w:val="110"/>
        </w:rPr>
        <w:t> parto</w:t>
      </w:r>
      <w:r>
        <w:rPr>
          <w:color w:val="231F1F"/>
          <w:w w:val="110"/>
        </w:rPr>
        <w:t> o resultados neonatales.</w:t>
      </w:r>
    </w:p>
    <w:p>
      <w:pPr>
        <w:pStyle w:val="BodyText"/>
        <w:spacing w:line="244" w:lineRule="auto" w:before="41"/>
        <w:ind w:left="283" w:right="45" w:firstLine="453"/>
        <w:jc w:val="both"/>
      </w:pPr>
      <w:r>
        <w:rPr>
          <w:color w:val="231F1F"/>
          <w:w w:val="105"/>
        </w:rPr>
        <w:t>El tercer estudio seleccionado es del año 2008, un ECA finlandés (307) que incluye a un total de 52 mujeres sanas a término con embarazo simple no complicado</w:t>
      </w:r>
      <w:r>
        <w:rPr>
          <w:color w:val="231F1F"/>
          <w:spacing w:val="-2"/>
          <w:w w:val="105"/>
        </w:rPr>
        <w:t> </w:t>
      </w:r>
      <w:r>
        <w:rPr>
          <w:color w:val="231F1F"/>
          <w:w w:val="105"/>
        </w:rPr>
        <w:t>y compara la utilización de </w:t>
      </w:r>
      <w:r>
        <w:rPr>
          <w:i/>
          <w:color w:val="231F1F"/>
          <w:w w:val="105"/>
        </w:rPr>
        <w:t>remifentanilo</w:t>
      </w:r>
      <w:r>
        <w:rPr>
          <w:i/>
          <w:color w:val="231F1F"/>
          <w:spacing w:val="-15"/>
          <w:w w:val="105"/>
        </w:rPr>
        <w:t> </w:t>
      </w:r>
      <w:r>
        <w:rPr>
          <w:i/>
          <w:color w:val="231F1F"/>
          <w:w w:val="105"/>
        </w:rPr>
        <w:t>PCA</w:t>
      </w:r>
      <w:r>
        <w:rPr>
          <w:i/>
          <w:color w:val="231F1F"/>
          <w:spacing w:val="-14"/>
          <w:w w:val="105"/>
        </w:rPr>
        <w:t> </w:t>
      </w:r>
      <w:r>
        <w:rPr>
          <w:i/>
          <w:color w:val="231F1F"/>
          <w:w w:val="105"/>
        </w:rPr>
        <w:t>IV</w:t>
      </w:r>
      <w:r>
        <w:rPr>
          <w:i/>
          <w:color w:val="231F1F"/>
          <w:spacing w:val="-15"/>
          <w:w w:val="105"/>
        </w:rPr>
        <w:t> </w:t>
      </w:r>
      <w:r>
        <w:rPr>
          <w:i/>
          <w:color w:val="231F1F"/>
          <w:w w:val="105"/>
        </w:rPr>
        <w:t>con</w:t>
      </w:r>
      <w:r>
        <w:rPr>
          <w:i/>
          <w:color w:val="231F1F"/>
          <w:spacing w:val="-14"/>
          <w:w w:val="105"/>
        </w:rPr>
        <w:t> </w:t>
      </w:r>
      <w:r>
        <w:rPr>
          <w:i/>
          <w:color w:val="231F1F"/>
          <w:w w:val="105"/>
        </w:rPr>
        <w:t>la</w:t>
      </w:r>
      <w:r>
        <w:rPr>
          <w:i/>
          <w:color w:val="231F1F"/>
          <w:spacing w:val="-15"/>
          <w:w w:val="105"/>
        </w:rPr>
        <w:t> </w:t>
      </w:r>
      <w:r>
        <w:rPr>
          <w:i/>
          <w:color w:val="231F1F"/>
          <w:w w:val="105"/>
        </w:rPr>
        <w:t>analgesia epidural </w:t>
      </w:r>
      <w:r>
        <w:rPr>
          <w:color w:val="231F1F"/>
          <w:w w:val="105"/>
        </w:rPr>
        <w:t>(20</w:t>
      </w:r>
      <w:r>
        <w:rPr>
          <w:color w:val="231F1F"/>
          <w:w w:val="105"/>
        </w:rPr>
        <w:t> ml</w:t>
      </w:r>
      <w:r>
        <w:rPr>
          <w:color w:val="231F1F"/>
          <w:w w:val="105"/>
        </w:rPr>
        <w:t> levobupivacaina</w:t>
      </w:r>
      <w:r>
        <w:rPr>
          <w:color w:val="231F1F"/>
          <w:w w:val="105"/>
        </w:rPr>
        <w:t> 0,625</w:t>
      </w:r>
      <w:r>
        <w:rPr>
          <w:color w:val="231F1F"/>
          <w:w w:val="105"/>
        </w:rPr>
        <w:t> mg/ml</w:t>
      </w:r>
      <w:r>
        <w:rPr>
          <w:color w:val="231F1F"/>
          <w:w w:val="105"/>
        </w:rPr>
        <w:t> +</w:t>
      </w:r>
      <w:r>
        <w:rPr>
          <w:color w:val="231F1F"/>
          <w:w w:val="105"/>
        </w:rPr>
        <w:t> fentanilo</w:t>
      </w:r>
      <w:r>
        <w:rPr>
          <w:color w:val="231F1F"/>
          <w:w w:val="105"/>
        </w:rPr>
        <w:t> 2</w:t>
      </w:r>
      <w:r>
        <w:rPr>
          <w:color w:val="231F1F"/>
          <w:w w:val="105"/>
        </w:rPr>
        <w:t> mg/ml</w:t>
      </w:r>
      <w:r>
        <w:rPr>
          <w:color w:val="231F1F"/>
          <w:w w:val="105"/>
        </w:rPr>
        <w:t> en</w:t>
      </w:r>
      <w:r>
        <w:rPr>
          <w:color w:val="231F1F"/>
          <w:w w:val="105"/>
        </w:rPr>
        <w:t> suero </w:t>
      </w:r>
      <w:r>
        <w:rPr>
          <w:color w:val="231F1F"/>
          <w:spacing w:val="-2"/>
          <w:w w:val="105"/>
        </w:rPr>
        <w:t>salino).</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1"/>
        <w:rPr>
          <w:sz w:val="18"/>
        </w:rPr>
      </w:pPr>
    </w:p>
    <w:p>
      <w:pPr>
        <w:spacing w:line="278" w:lineRule="auto" w:before="0"/>
        <w:ind w:left="361" w:right="522" w:hanging="78"/>
        <w:jc w:val="left"/>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2"/>
        <w:rPr>
          <w:rFonts w:ascii="Arial MT"/>
          <w:sz w:val="18"/>
        </w:rPr>
      </w:pPr>
    </w:p>
    <w:p>
      <w:pPr>
        <w:spacing w:line="278" w:lineRule="auto" w:before="0"/>
        <w:ind w:left="379" w:right="527" w:hanging="97"/>
        <w:jc w:val="left"/>
        <w:rPr>
          <w:rFonts w:ascii="Arial MT"/>
          <w:sz w:val="18"/>
        </w:rPr>
      </w:pPr>
      <w:r>
        <w:rPr>
          <w:rFonts w:ascii="Arial MT"/>
          <w:color w:val="231F1F"/>
          <w:spacing w:val="-6"/>
          <w:sz w:val="18"/>
        </w:rPr>
        <w:t>ECA 1-</w:t>
      </w:r>
    </w:p>
    <w:p>
      <w:pPr>
        <w:spacing w:after="0" w:line="278" w:lineRule="auto"/>
        <w:jc w:val="left"/>
        <w:rPr>
          <w:rFonts w:ascii="Arial MT"/>
          <w:sz w:val="18"/>
        </w:rPr>
        <w:sectPr>
          <w:pgSz w:w="11900" w:h="16840"/>
          <w:pgMar w:header="0" w:footer="622" w:top="1580" w:bottom="820" w:left="1417" w:right="1559"/>
          <w:cols w:num="2" w:equalWidth="0">
            <w:col w:w="7598" w:space="154"/>
            <w:col w:w="1172"/>
          </w:cols>
        </w:sectPr>
      </w:pPr>
    </w:p>
    <w:p>
      <w:pPr>
        <w:pStyle w:val="BodyText"/>
        <w:spacing w:line="252" w:lineRule="auto" w:before="73"/>
        <w:ind w:left="283" w:right="47" w:firstLine="453"/>
        <w:jc w:val="both"/>
      </w:pPr>
      <w:r>
        <w:rPr>
          <w:color w:val="231F1F"/>
          <w:w w:val="110"/>
        </w:rPr>
        <w:t>El</w:t>
      </w:r>
      <w:r>
        <w:rPr>
          <w:color w:val="231F1F"/>
          <w:spacing w:val="-14"/>
          <w:w w:val="110"/>
        </w:rPr>
        <w:t> </w:t>
      </w:r>
      <w:r>
        <w:rPr>
          <w:color w:val="231F1F"/>
          <w:w w:val="110"/>
        </w:rPr>
        <w:t>ECA</w:t>
      </w:r>
      <w:r>
        <w:rPr>
          <w:color w:val="231F1F"/>
          <w:spacing w:val="-13"/>
          <w:w w:val="110"/>
        </w:rPr>
        <w:t> </w:t>
      </w:r>
      <w:r>
        <w:rPr>
          <w:color w:val="231F1F"/>
          <w:w w:val="110"/>
        </w:rPr>
        <w:t>que</w:t>
      </w:r>
      <w:r>
        <w:rPr>
          <w:color w:val="231F1F"/>
          <w:spacing w:val="-14"/>
          <w:w w:val="110"/>
        </w:rPr>
        <w:t> </w:t>
      </w:r>
      <w:r>
        <w:rPr>
          <w:color w:val="231F1F"/>
          <w:w w:val="110"/>
        </w:rPr>
        <w:t>incluye</w:t>
      </w:r>
      <w:r>
        <w:rPr>
          <w:color w:val="231F1F"/>
          <w:spacing w:val="-14"/>
          <w:w w:val="110"/>
        </w:rPr>
        <w:t> </w:t>
      </w:r>
      <w:r>
        <w:rPr>
          <w:color w:val="231F1F"/>
          <w:w w:val="110"/>
        </w:rPr>
        <w:t>a</w:t>
      </w:r>
      <w:r>
        <w:rPr>
          <w:color w:val="231F1F"/>
          <w:spacing w:val="-14"/>
          <w:w w:val="110"/>
        </w:rPr>
        <w:t> </w:t>
      </w:r>
      <w:r>
        <w:rPr>
          <w:color w:val="231F1F"/>
          <w:w w:val="110"/>
        </w:rPr>
        <w:t>un</w:t>
      </w:r>
      <w:r>
        <w:rPr>
          <w:color w:val="231F1F"/>
          <w:spacing w:val="-14"/>
          <w:w w:val="110"/>
        </w:rPr>
        <w:t> </w:t>
      </w:r>
      <w:r>
        <w:rPr>
          <w:color w:val="231F1F"/>
          <w:w w:val="110"/>
        </w:rPr>
        <w:t>total</w:t>
      </w:r>
      <w:r>
        <w:rPr>
          <w:color w:val="231F1F"/>
          <w:spacing w:val="-14"/>
          <w:w w:val="110"/>
        </w:rPr>
        <w:t> </w:t>
      </w:r>
      <w:r>
        <w:rPr>
          <w:color w:val="231F1F"/>
          <w:w w:val="110"/>
        </w:rPr>
        <w:t>de</w:t>
      </w:r>
      <w:r>
        <w:rPr>
          <w:color w:val="231F1F"/>
          <w:spacing w:val="-14"/>
          <w:w w:val="110"/>
        </w:rPr>
        <w:t> </w:t>
      </w:r>
      <w:r>
        <w:rPr>
          <w:color w:val="231F1F"/>
          <w:w w:val="110"/>
        </w:rPr>
        <w:t>52</w:t>
      </w:r>
      <w:r>
        <w:rPr>
          <w:color w:val="231F1F"/>
          <w:spacing w:val="-14"/>
          <w:w w:val="110"/>
        </w:rPr>
        <w:t> </w:t>
      </w:r>
      <w:r>
        <w:rPr>
          <w:color w:val="231F1F"/>
          <w:w w:val="110"/>
        </w:rPr>
        <w:t>mujeres</w:t>
      </w:r>
      <w:r>
        <w:rPr>
          <w:color w:val="231F1F"/>
          <w:spacing w:val="-14"/>
          <w:w w:val="110"/>
        </w:rPr>
        <w:t> </w:t>
      </w:r>
      <w:r>
        <w:rPr>
          <w:color w:val="231F1F"/>
          <w:w w:val="110"/>
        </w:rPr>
        <w:t>sanas</w:t>
      </w:r>
      <w:r>
        <w:rPr>
          <w:color w:val="231F1F"/>
          <w:spacing w:val="-15"/>
          <w:w w:val="110"/>
        </w:rPr>
        <w:t> </w:t>
      </w:r>
      <w:r>
        <w:rPr>
          <w:color w:val="231F1F"/>
          <w:w w:val="110"/>
        </w:rPr>
        <w:t>a</w:t>
      </w:r>
      <w:r>
        <w:rPr>
          <w:color w:val="231F1F"/>
          <w:spacing w:val="-14"/>
          <w:w w:val="110"/>
        </w:rPr>
        <w:t> </w:t>
      </w:r>
      <w:r>
        <w:rPr>
          <w:color w:val="231F1F"/>
          <w:w w:val="110"/>
        </w:rPr>
        <w:t>término</w:t>
      </w:r>
      <w:r>
        <w:rPr>
          <w:color w:val="231F1F"/>
          <w:spacing w:val="-14"/>
          <w:w w:val="110"/>
        </w:rPr>
        <w:t> </w:t>
      </w:r>
      <w:r>
        <w:rPr>
          <w:color w:val="231F1F"/>
          <w:w w:val="110"/>
        </w:rPr>
        <w:t>con</w:t>
      </w:r>
      <w:r>
        <w:rPr>
          <w:color w:val="231F1F"/>
          <w:spacing w:val="-14"/>
          <w:w w:val="110"/>
        </w:rPr>
        <w:t> </w:t>
      </w:r>
      <w:r>
        <w:rPr>
          <w:color w:val="231F1F"/>
          <w:w w:val="110"/>
        </w:rPr>
        <w:t>emba- </w:t>
      </w:r>
      <w:r>
        <w:rPr>
          <w:color w:val="231F1F"/>
        </w:rPr>
        <w:t>razo</w:t>
      </w:r>
      <w:r>
        <w:rPr>
          <w:color w:val="231F1F"/>
          <w:spacing w:val="26"/>
        </w:rPr>
        <w:t> </w:t>
      </w:r>
      <w:r>
        <w:rPr>
          <w:color w:val="231F1F"/>
        </w:rPr>
        <w:t>simple</w:t>
      </w:r>
      <w:r>
        <w:rPr>
          <w:color w:val="231F1F"/>
          <w:spacing w:val="26"/>
        </w:rPr>
        <w:t> </w:t>
      </w:r>
      <w:r>
        <w:rPr>
          <w:color w:val="231F1F"/>
        </w:rPr>
        <w:t>no</w:t>
      </w:r>
      <w:r>
        <w:rPr>
          <w:color w:val="231F1F"/>
          <w:spacing w:val="26"/>
        </w:rPr>
        <w:t> </w:t>
      </w:r>
      <w:r>
        <w:rPr>
          <w:color w:val="231F1F"/>
        </w:rPr>
        <w:t>complicado</w:t>
      </w:r>
      <w:r>
        <w:rPr>
          <w:color w:val="231F1F"/>
          <w:spacing w:val="26"/>
        </w:rPr>
        <w:t> </w:t>
      </w:r>
      <w:r>
        <w:rPr>
          <w:color w:val="231F1F"/>
        </w:rPr>
        <w:t>,</w:t>
      </w:r>
      <w:r>
        <w:rPr>
          <w:color w:val="231F1F"/>
          <w:spacing w:val="26"/>
        </w:rPr>
        <w:t> </w:t>
      </w:r>
      <w:r>
        <w:rPr>
          <w:color w:val="231F1F"/>
        </w:rPr>
        <w:t>analiza</w:t>
      </w:r>
      <w:r>
        <w:rPr>
          <w:color w:val="231F1F"/>
          <w:spacing w:val="26"/>
        </w:rPr>
        <w:t> </w:t>
      </w:r>
      <w:r>
        <w:rPr>
          <w:color w:val="231F1F"/>
        </w:rPr>
        <w:t>los</w:t>
      </w:r>
      <w:r>
        <w:rPr>
          <w:color w:val="231F1F"/>
          <w:spacing w:val="26"/>
        </w:rPr>
        <w:t> </w:t>
      </w:r>
      <w:r>
        <w:rPr>
          <w:color w:val="231F1F"/>
        </w:rPr>
        <w:t>resultados</w:t>
      </w:r>
      <w:r>
        <w:rPr>
          <w:color w:val="231F1F"/>
          <w:spacing w:val="26"/>
        </w:rPr>
        <w:t> </w:t>
      </w:r>
      <w:r>
        <w:rPr>
          <w:color w:val="231F1F"/>
        </w:rPr>
        <w:t>de</w:t>
      </w:r>
      <w:r>
        <w:rPr>
          <w:color w:val="231F1F"/>
          <w:spacing w:val="26"/>
        </w:rPr>
        <w:t> </w:t>
      </w:r>
      <w:r>
        <w:rPr>
          <w:color w:val="231F1F"/>
        </w:rPr>
        <w:t>45</w:t>
      </w:r>
      <w:r>
        <w:rPr>
          <w:color w:val="231F1F"/>
          <w:spacing w:val="26"/>
        </w:rPr>
        <w:t> </w:t>
      </w:r>
      <w:r>
        <w:rPr>
          <w:color w:val="231F1F"/>
        </w:rPr>
        <w:t>de</w:t>
      </w:r>
      <w:r>
        <w:rPr>
          <w:color w:val="231F1F"/>
          <w:spacing w:val="26"/>
        </w:rPr>
        <w:t> </w:t>
      </w:r>
      <w:r>
        <w:rPr>
          <w:color w:val="231F1F"/>
        </w:rPr>
        <w:t>ellas</w:t>
      </w:r>
      <w:r>
        <w:rPr>
          <w:color w:val="231F1F"/>
          <w:spacing w:val="26"/>
        </w:rPr>
        <w:t> </w:t>
      </w:r>
      <w:r>
        <w:rPr>
          <w:color w:val="231F1F"/>
        </w:rPr>
        <w:t>debido</w:t>
      </w:r>
      <w:r>
        <w:rPr>
          <w:color w:val="231F1F"/>
          <w:spacing w:val="26"/>
        </w:rPr>
        <w:t> </w:t>
      </w:r>
      <w:r>
        <w:rPr>
          <w:color w:val="231F1F"/>
        </w:rPr>
        <w:t>a</w:t>
      </w:r>
      <w:r>
        <w:rPr>
          <w:color w:val="231F1F"/>
          <w:spacing w:val="26"/>
        </w:rPr>
        <w:t> </w:t>
      </w:r>
      <w:r>
        <w:rPr>
          <w:color w:val="231F1F"/>
        </w:rPr>
        <w:t>que </w:t>
      </w:r>
      <w:r>
        <w:rPr>
          <w:color w:val="231F1F"/>
          <w:w w:val="110"/>
        </w:rPr>
        <w:t>3</w:t>
      </w:r>
      <w:r>
        <w:rPr>
          <w:color w:val="231F1F"/>
          <w:spacing w:val="-8"/>
          <w:w w:val="110"/>
        </w:rPr>
        <w:t> </w:t>
      </w:r>
      <w:r>
        <w:rPr>
          <w:color w:val="231F1F"/>
          <w:w w:val="110"/>
        </w:rPr>
        <w:t>en</w:t>
      </w:r>
      <w:r>
        <w:rPr>
          <w:color w:val="231F1F"/>
          <w:spacing w:val="-8"/>
          <w:w w:val="110"/>
        </w:rPr>
        <w:t> </w:t>
      </w:r>
      <w:r>
        <w:rPr>
          <w:color w:val="231F1F"/>
          <w:w w:val="110"/>
        </w:rPr>
        <w:t>cada</w:t>
      </w:r>
      <w:r>
        <w:rPr>
          <w:color w:val="231F1F"/>
          <w:spacing w:val="-8"/>
          <w:w w:val="110"/>
        </w:rPr>
        <w:t> </w:t>
      </w:r>
      <w:r>
        <w:rPr>
          <w:color w:val="231F1F"/>
          <w:w w:val="110"/>
        </w:rPr>
        <w:t>grupo</w:t>
      </w:r>
      <w:r>
        <w:rPr>
          <w:color w:val="231F1F"/>
          <w:spacing w:val="-8"/>
          <w:w w:val="110"/>
        </w:rPr>
        <w:t> </w:t>
      </w:r>
      <w:r>
        <w:rPr>
          <w:color w:val="231F1F"/>
          <w:w w:val="110"/>
        </w:rPr>
        <w:t>de</w:t>
      </w:r>
      <w:r>
        <w:rPr>
          <w:color w:val="231F1F"/>
          <w:spacing w:val="-9"/>
          <w:w w:val="110"/>
        </w:rPr>
        <w:t> </w:t>
      </w:r>
      <w:r>
        <w:rPr>
          <w:color w:val="231F1F"/>
          <w:w w:val="110"/>
        </w:rPr>
        <w:t>comparación</w:t>
      </w:r>
      <w:r>
        <w:rPr>
          <w:color w:val="231F1F"/>
          <w:spacing w:val="-8"/>
          <w:w w:val="110"/>
        </w:rPr>
        <w:t> </w:t>
      </w:r>
      <w:r>
        <w:rPr>
          <w:color w:val="231F1F"/>
          <w:w w:val="110"/>
        </w:rPr>
        <w:t>pasan</w:t>
      </w:r>
      <w:r>
        <w:rPr>
          <w:color w:val="231F1F"/>
          <w:spacing w:val="-8"/>
          <w:w w:val="110"/>
        </w:rPr>
        <w:t> </w:t>
      </w:r>
      <w:r>
        <w:rPr>
          <w:color w:val="231F1F"/>
          <w:w w:val="110"/>
        </w:rPr>
        <w:t>a</w:t>
      </w:r>
      <w:r>
        <w:rPr>
          <w:color w:val="231F1F"/>
          <w:spacing w:val="-8"/>
          <w:w w:val="110"/>
        </w:rPr>
        <w:t> </w:t>
      </w:r>
      <w:r>
        <w:rPr>
          <w:color w:val="231F1F"/>
          <w:w w:val="110"/>
        </w:rPr>
        <w:t>la</w:t>
      </w:r>
      <w:r>
        <w:rPr>
          <w:color w:val="231F1F"/>
          <w:spacing w:val="-8"/>
          <w:w w:val="110"/>
        </w:rPr>
        <w:t> </w:t>
      </w:r>
      <w:r>
        <w:rPr>
          <w:color w:val="231F1F"/>
          <w:w w:val="110"/>
        </w:rPr>
        <w:t>segunda</w:t>
      </w:r>
      <w:r>
        <w:rPr>
          <w:color w:val="231F1F"/>
          <w:spacing w:val="-9"/>
          <w:w w:val="110"/>
        </w:rPr>
        <w:t> </w:t>
      </w:r>
      <w:r>
        <w:rPr>
          <w:color w:val="231F1F"/>
          <w:w w:val="110"/>
        </w:rPr>
        <w:t>etapa</w:t>
      </w:r>
      <w:r>
        <w:rPr>
          <w:color w:val="231F1F"/>
          <w:spacing w:val="-9"/>
          <w:w w:val="110"/>
        </w:rPr>
        <w:t> </w:t>
      </w:r>
      <w:r>
        <w:rPr>
          <w:color w:val="231F1F"/>
          <w:w w:val="110"/>
        </w:rPr>
        <w:t>del</w:t>
      </w:r>
      <w:r>
        <w:rPr>
          <w:color w:val="231F1F"/>
          <w:spacing w:val="-9"/>
          <w:w w:val="110"/>
        </w:rPr>
        <w:t> </w:t>
      </w:r>
      <w:r>
        <w:rPr>
          <w:color w:val="231F1F"/>
          <w:w w:val="110"/>
        </w:rPr>
        <w:t>parto</w:t>
      </w:r>
      <w:r>
        <w:rPr>
          <w:color w:val="231F1F"/>
          <w:spacing w:val="-8"/>
          <w:w w:val="110"/>
        </w:rPr>
        <w:t> </w:t>
      </w:r>
      <w:r>
        <w:rPr>
          <w:color w:val="231F1F"/>
          <w:w w:val="110"/>
        </w:rPr>
        <w:t>antes</w:t>
      </w:r>
      <w:r>
        <w:rPr>
          <w:color w:val="231F1F"/>
          <w:spacing w:val="-9"/>
          <w:w w:val="110"/>
        </w:rPr>
        <w:t> </w:t>
      </w:r>
      <w:r>
        <w:rPr>
          <w:color w:val="231F1F"/>
          <w:w w:val="110"/>
        </w:rPr>
        <w:t>de concluir</w:t>
      </w:r>
      <w:r>
        <w:rPr>
          <w:color w:val="231F1F"/>
          <w:spacing w:val="-5"/>
          <w:w w:val="110"/>
        </w:rPr>
        <w:t> </w:t>
      </w:r>
      <w:r>
        <w:rPr>
          <w:color w:val="231F1F"/>
          <w:w w:val="110"/>
        </w:rPr>
        <w:t>el</w:t>
      </w:r>
      <w:r>
        <w:rPr>
          <w:color w:val="231F1F"/>
          <w:spacing w:val="-5"/>
          <w:w w:val="110"/>
        </w:rPr>
        <w:t> </w:t>
      </w:r>
      <w:r>
        <w:rPr>
          <w:color w:val="231F1F"/>
          <w:w w:val="110"/>
        </w:rPr>
        <w:t>estudio,</w:t>
      </w:r>
      <w:r>
        <w:rPr>
          <w:color w:val="231F1F"/>
          <w:spacing w:val="-5"/>
          <w:w w:val="110"/>
        </w:rPr>
        <w:t> </w:t>
      </w:r>
      <w:r>
        <w:rPr>
          <w:color w:val="231F1F"/>
          <w:w w:val="110"/>
        </w:rPr>
        <w:t>y</w:t>
      </w:r>
      <w:r>
        <w:rPr>
          <w:color w:val="231F1F"/>
          <w:spacing w:val="-5"/>
          <w:w w:val="110"/>
        </w:rPr>
        <w:t> </w:t>
      </w:r>
      <w:r>
        <w:rPr>
          <w:color w:val="231F1F"/>
          <w:w w:val="110"/>
        </w:rPr>
        <w:t>una</w:t>
      </w:r>
      <w:r>
        <w:rPr>
          <w:color w:val="231F1F"/>
          <w:spacing w:val="-5"/>
          <w:w w:val="110"/>
        </w:rPr>
        <w:t> </w:t>
      </w:r>
      <w:r>
        <w:rPr>
          <w:color w:val="231F1F"/>
          <w:w w:val="110"/>
        </w:rPr>
        <w:t>más</w:t>
      </w:r>
      <w:r>
        <w:rPr>
          <w:color w:val="231F1F"/>
          <w:spacing w:val="-5"/>
          <w:w w:val="110"/>
        </w:rPr>
        <w:t> </w:t>
      </w:r>
      <w:r>
        <w:rPr>
          <w:color w:val="231F1F"/>
          <w:w w:val="110"/>
        </w:rPr>
        <w:t>en</w:t>
      </w:r>
      <w:r>
        <w:rPr>
          <w:color w:val="231F1F"/>
          <w:spacing w:val="-5"/>
          <w:w w:val="110"/>
        </w:rPr>
        <w:t> </w:t>
      </w:r>
      <w:r>
        <w:rPr>
          <w:color w:val="231F1F"/>
          <w:w w:val="110"/>
        </w:rPr>
        <w:t>el</w:t>
      </w:r>
      <w:r>
        <w:rPr>
          <w:color w:val="231F1F"/>
          <w:spacing w:val="-5"/>
          <w:w w:val="110"/>
        </w:rPr>
        <w:t> </w:t>
      </w:r>
      <w:r>
        <w:rPr>
          <w:color w:val="231F1F"/>
          <w:w w:val="110"/>
        </w:rPr>
        <w:t>grupo</w:t>
      </w:r>
      <w:r>
        <w:rPr>
          <w:color w:val="231F1F"/>
          <w:spacing w:val="-5"/>
          <w:w w:val="110"/>
        </w:rPr>
        <w:t> </w:t>
      </w:r>
      <w:r>
        <w:rPr>
          <w:color w:val="231F1F"/>
          <w:w w:val="110"/>
        </w:rPr>
        <w:t>de</w:t>
      </w:r>
      <w:r>
        <w:rPr>
          <w:color w:val="231F1F"/>
          <w:spacing w:val="-5"/>
          <w:w w:val="110"/>
        </w:rPr>
        <w:t> </w:t>
      </w:r>
      <w:r>
        <w:rPr>
          <w:color w:val="231F1F"/>
          <w:w w:val="110"/>
        </w:rPr>
        <w:t>analgesia</w:t>
      </w:r>
      <w:r>
        <w:rPr>
          <w:color w:val="231F1F"/>
          <w:spacing w:val="-5"/>
          <w:w w:val="110"/>
        </w:rPr>
        <w:t> </w:t>
      </w:r>
      <w:r>
        <w:rPr>
          <w:color w:val="231F1F"/>
          <w:w w:val="110"/>
        </w:rPr>
        <w:t>epidural</w:t>
      </w:r>
      <w:r>
        <w:rPr>
          <w:color w:val="231F1F"/>
          <w:spacing w:val="-5"/>
          <w:w w:val="110"/>
        </w:rPr>
        <w:t> </w:t>
      </w:r>
      <w:r>
        <w:rPr>
          <w:color w:val="231F1F"/>
          <w:w w:val="110"/>
        </w:rPr>
        <w:t>que</w:t>
      </w:r>
      <w:r>
        <w:rPr>
          <w:color w:val="231F1F"/>
          <w:spacing w:val="-5"/>
          <w:w w:val="110"/>
        </w:rPr>
        <w:t> </w:t>
      </w:r>
      <w:r>
        <w:rPr>
          <w:color w:val="231F1F"/>
          <w:w w:val="110"/>
        </w:rPr>
        <w:t>fue</w:t>
      </w:r>
      <w:r>
        <w:rPr>
          <w:color w:val="231F1F"/>
          <w:spacing w:val="-5"/>
          <w:w w:val="110"/>
        </w:rPr>
        <w:t> </w:t>
      </w:r>
      <w:r>
        <w:rPr>
          <w:color w:val="231F1F"/>
          <w:w w:val="110"/>
        </w:rPr>
        <w:t>ex- cluida</w:t>
      </w:r>
      <w:r>
        <w:rPr>
          <w:color w:val="231F1F"/>
          <w:spacing w:val="-7"/>
          <w:w w:val="110"/>
        </w:rPr>
        <w:t> </w:t>
      </w:r>
      <w:r>
        <w:rPr>
          <w:color w:val="231F1F"/>
          <w:w w:val="110"/>
        </w:rPr>
        <w:t>por</w:t>
      </w:r>
      <w:r>
        <w:rPr>
          <w:color w:val="231F1F"/>
          <w:spacing w:val="-8"/>
          <w:w w:val="110"/>
        </w:rPr>
        <w:t> </w:t>
      </w:r>
      <w:r>
        <w:rPr>
          <w:color w:val="231F1F"/>
          <w:w w:val="110"/>
        </w:rPr>
        <w:t>punción</w:t>
      </w:r>
      <w:r>
        <w:rPr>
          <w:color w:val="231F1F"/>
          <w:spacing w:val="-7"/>
          <w:w w:val="110"/>
        </w:rPr>
        <w:t> </w:t>
      </w:r>
      <w:r>
        <w:rPr>
          <w:color w:val="231F1F"/>
          <w:w w:val="110"/>
        </w:rPr>
        <w:t>dural</w:t>
      </w:r>
      <w:r>
        <w:rPr>
          <w:color w:val="231F1F"/>
          <w:spacing w:val="-8"/>
          <w:w w:val="110"/>
        </w:rPr>
        <w:t> </w:t>
      </w:r>
      <w:r>
        <w:rPr>
          <w:color w:val="231F1F"/>
          <w:w w:val="110"/>
        </w:rPr>
        <w:t>(no</w:t>
      </w:r>
      <w:r>
        <w:rPr>
          <w:color w:val="231F1F"/>
          <w:spacing w:val="-7"/>
          <w:w w:val="110"/>
        </w:rPr>
        <w:t> </w:t>
      </w:r>
      <w:r>
        <w:rPr>
          <w:color w:val="231F1F"/>
          <w:w w:val="110"/>
        </w:rPr>
        <w:t>intencionada).</w:t>
      </w:r>
      <w:r>
        <w:rPr>
          <w:color w:val="231F1F"/>
          <w:spacing w:val="-8"/>
          <w:w w:val="110"/>
        </w:rPr>
        <w:t> </w:t>
      </w:r>
      <w:r>
        <w:rPr>
          <w:color w:val="231F1F"/>
          <w:w w:val="110"/>
        </w:rPr>
        <w:t>En</w:t>
      </w:r>
      <w:r>
        <w:rPr>
          <w:color w:val="231F1F"/>
          <w:spacing w:val="-7"/>
          <w:w w:val="110"/>
        </w:rPr>
        <w:t> </w:t>
      </w:r>
      <w:r>
        <w:rPr>
          <w:color w:val="231F1F"/>
          <w:w w:val="110"/>
        </w:rPr>
        <w:t>el</w:t>
      </w:r>
      <w:r>
        <w:rPr>
          <w:color w:val="231F1F"/>
          <w:spacing w:val="-8"/>
          <w:w w:val="110"/>
        </w:rPr>
        <w:t> </w:t>
      </w:r>
      <w:r>
        <w:rPr>
          <w:color w:val="231F1F"/>
          <w:w w:val="110"/>
        </w:rPr>
        <w:t>grupo</w:t>
      </w:r>
      <w:r>
        <w:rPr>
          <w:color w:val="231F1F"/>
          <w:spacing w:val="-7"/>
          <w:w w:val="110"/>
        </w:rPr>
        <w:t> </w:t>
      </w:r>
      <w:r>
        <w:rPr>
          <w:color w:val="231F1F"/>
          <w:w w:val="110"/>
        </w:rPr>
        <w:t>de</w:t>
      </w:r>
      <w:r>
        <w:rPr>
          <w:color w:val="231F1F"/>
          <w:spacing w:val="-7"/>
          <w:w w:val="110"/>
        </w:rPr>
        <w:t> </w:t>
      </w:r>
      <w:r>
        <w:rPr>
          <w:color w:val="231F1F"/>
          <w:w w:val="110"/>
        </w:rPr>
        <w:t>remifentanilo</w:t>
      </w:r>
      <w:r>
        <w:rPr>
          <w:color w:val="231F1F"/>
          <w:spacing w:val="-6"/>
          <w:w w:val="110"/>
        </w:rPr>
        <w:t> </w:t>
      </w:r>
      <w:r>
        <w:rPr>
          <w:color w:val="231F1F"/>
          <w:w w:val="110"/>
        </w:rPr>
        <w:t>se observan</w:t>
      </w:r>
      <w:r>
        <w:rPr>
          <w:color w:val="231F1F"/>
          <w:spacing w:val="-6"/>
          <w:w w:val="110"/>
        </w:rPr>
        <w:t> </w:t>
      </w:r>
      <w:r>
        <w:rPr>
          <w:color w:val="231F1F"/>
          <w:w w:val="110"/>
        </w:rPr>
        <w:t>resultados</w:t>
      </w:r>
      <w:r>
        <w:rPr>
          <w:color w:val="231F1F"/>
          <w:spacing w:val="-5"/>
          <w:w w:val="110"/>
        </w:rPr>
        <w:t> </w:t>
      </w:r>
      <w:r>
        <w:rPr>
          <w:color w:val="231F1F"/>
          <w:w w:val="110"/>
        </w:rPr>
        <w:t>estadísticamente</w:t>
      </w:r>
      <w:r>
        <w:rPr>
          <w:color w:val="231F1F"/>
          <w:spacing w:val="-6"/>
          <w:w w:val="110"/>
        </w:rPr>
        <w:t> </w:t>
      </w:r>
      <w:r>
        <w:rPr>
          <w:color w:val="231F1F"/>
          <w:w w:val="110"/>
        </w:rPr>
        <w:t>significativos</w:t>
      </w:r>
      <w:r>
        <w:rPr>
          <w:color w:val="231F1F"/>
          <w:spacing w:val="-7"/>
          <w:w w:val="110"/>
        </w:rPr>
        <w:t> </w:t>
      </w:r>
      <w:r>
        <w:rPr>
          <w:color w:val="231F1F"/>
          <w:w w:val="110"/>
        </w:rPr>
        <w:t>de</w:t>
      </w:r>
      <w:r>
        <w:rPr>
          <w:color w:val="231F1F"/>
          <w:spacing w:val="-6"/>
          <w:w w:val="110"/>
        </w:rPr>
        <w:t> </w:t>
      </w:r>
      <w:r>
        <w:rPr>
          <w:color w:val="231F1F"/>
          <w:w w:val="110"/>
        </w:rPr>
        <w:t>mayor</w:t>
      </w:r>
      <w:r>
        <w:rPr>
          <w:color w:val="231F1F"/>
          <w:spacing w:val="-6"/>
          <w:w w:val="110"/>
        </w:rPr>
        <w:t> </w:t>
      </w:r>
      <w:r>
        <w:rPr>
          <w:color w:val="231F1F"/>
          <w:w w:val="110"/>
        </w:rPr>
        <w:t>dolor</w:t>
      </w:r>
      <w:r>
        <w:rPr>
          <w:color w:val="231F1F"/>
          <w:spacing w:val="-6"/>
          <w:w w:val="110"/>
        </w:rPr>
        <w:t> </w:t>
      </w:r>
      <w:r>
        <w:rPr>
          <w:color w:val="231F1F"/>
          <w:w w:val="110"/>
        </w:rPr>
        <w:t>durante las contracciones (medido en escala de dolor de 0 a 10, de menor a mayor </w:t>
      </w:r>
      <w:r>
        <w:rPr>
          <w:color w:val="231F1F"/>
        </w:rPr>
        <w:t>dolor): 7,3 (5,6 a 8,2) vs 5,2 (2,2 a 6,7) p=0,004, mayor sedación: 2,3 (1,3 a 2,6) </w:t>
      </w:r>
      <w:r>
        <w:rPr>
          <w:color w:val="231F1F"/>
          <w:w w:val="110"/>
        </w:rPr>
        <w:t>vs 0 (0 a 0,8) p=0,001 y más mujeres con náuseas: 9/24 vs 2/21 p=0,04.</w:t>
      </w:r>
    </w:p>
    <w:p>
      <w:pPr>
        <w:pStyle w:val="BodyText"/>
        <w:spacing w:line="244" w:lineRule="auto" w:before="81"/>
        <w:ind w:left="281" w:right="87" w:firstLine="454"/>
      </w:pPr>
      <w:r>
        <w:rPr>
          <w:color w:val="231F1F"/>
          <w:w w:val="105"/>
        </w:rPr>
        <w:t>Por otro lado, no se encontraron diferencias estadísticamente significa- tivas en resultados que medían el grado del alivio del dolor (escala de 0 a 4,</w:t>
      </w:r>
      <w:r>
        <w:rPr>
          <w:color w:val="231F1F"/>
          <w:spacing w:val="40"/>
          <w:w w:val="105"/>
        </w:rPr>
        <w:t> </w:t>
      </w:r>
      <w:r>
        <w:rPr>
          <w:color w:val="231F1F"/>
          <w:w w:val="105"/>
        </w:rPr>
        <w:t>de</w:t>
      </w:r>
      <w:r>
        <w:rPr>
          <w:color w:val="231F1F"/>
          <w:spacing w:val="-4"/>
          <w:w w:val="105"/>
        </w:rPr>
        <w:t> </w:t>
      </w:r>
      <w:r>
        <w:rPr>
          <w:color w:val="231F1F"/>
          <w:w w:val="105"/>
        </w:rPr>
        <w:t>menor</w:t>
      </w:r>
      <w:r>
        <w:rPr>
          <w:color w:val="231F1F"/>
          <w:spacing w:val="-4"/>
          <w:w w:val="105"/>
        </w:rPr>
        <w:t> </w:t>
      </w:r>
      <w:r>
        <w:rPr>
          <w:color w:val="231F1F"/>
          <w:w w:val="105"/>
        </w:rPr>
        <w:t>a</w:t>
      </w:r>
      <w:r>
        <w:rPr>
          <w:color w:val="231F1F"/>
          <w:spacing w:val="-3"/>
          <w:w w:val="105"/>
        </w:rPr>
        <w:t> </w:t>
      </w:r>
      <w:r>
        <w:rPr>
          <w:color w:val="231F1F"/>
          <w:w w:val="105"/>
        </w:rPr>
        <w:t>mayor</w:t>
      </w:r>
      <w:r>
        <w:rPr>
          <w:color w:val="231F1F"/>
          <w:spacing w:val="-4"/>
          <w:w w:val="105"/>
        </w:rPr>
        <w:t> </w:t>
      </w:r>
      <w:r>
        <w:rPr>
          <w:color w:val="231F1F"/>
          <w:w w:val="105"/>
        </w:rPr>
        <w:t>alivio</w:t>
      </w:r>
      <w:r>
        <w:rPr>
          <w:color w:val="231F1F"/>
          <w:spacing w:val="-4"/>
          <w:w w:val="105"/>
        </w:rPr>
        <w:t> </w:t>
      </w:r>
      <w:r>
        <w:rPr>
          <w:color w:val="231F1F"/>
          <w:w w:val="105"/>
        </w:rPr>
        <w:t>de</w:t>
      </w:r>
      <w:r>
        <w:rPr>
          <w:color w:val="231F1F"/>
          <w:spacing w:val="-4"/>
          <w:w w:val="105"/>
        </w:rPr>
        <w:t> </w:t>
      </w:r>
      <w:r>
        <w:rPr>
          <w:color w:val="231F1F"/>
          <w:w w:val="105"/>
        </w:rPr>
        <w:t>dolor):</w:t>
      </w:r>
      <w:r>
        <w:rPr>
          <w:color w:val="231F1F"/>
          <w:spacing w:val="-4"/>
          <w:w w:val="105"/>
        </w:rPr>
        <w:t> </w:t>
      </w:r>
      <w:r>
        <w:rPr>
          <w:color w:val="231F1F"/>
          <w:w w:val="105"/>
        </w:rPr>
        <w:t>2,5</w:t>
      </w:r>
      <w:r>
        <w:rPr>
          <w:color w:val="231F1F"/>
          <w:spacing w:val="-3"/>
          <w:w w:val="105"/>
        </w:rPr>
        <w:t> </w:t>
      </w:r>
      <w:r>
        <w:rPr>
          <w:color w:val="231F1F"/>
          <w:w w:val="105"/>
        </w:rPr>
        <w:t>(2,2</w:t>
      </w:r>
      <w:r>
        <w:rPr>
          <w:color w:val="231F1F"/>
          <w:spacing w:val="-3"/>
          <w:w w:val="105"/>
        </w:rPr>
        <w:t> </w:t>
      </w:r>
      <w:r>
        <w:rPr>
          <w:color w:val="231F1F"/>
          <w:w w:val="105"/>
        </w:rPr>
        <w:t>a</w:t>
      </w:r>
      <w:r>
        <w:rPr>
          <w:color w:val="231F1F"/>
          <w:spacing w:val="-3"/>
          <w:w w:val="105"/>
        </w:rPr>
        <w:t> </w:t>
      </w:r>
      <w:r>
        <w:rPr>
          <w:color w:val="231F1F"/>
          <w:w w:val="105"/>
        </w:rPr>
        <w:t>2,9)</w:t>
      </w:r>
      <w:r>
        <w:rPr>
          <w:color w:val="231F1F"/>
          <w:spacing w:val="-4"/>
          <w:w w:val="105"/>
        </w:rPr>
        <w:t> </w:t>
      </w:r>
      <w:r>
        <w:rPr>
          <w:color w:val="231F1F"/>
          <w:w w:val="105"/>
        </w:rPr>
        <w:t>vs</w:t>
      </w:r>
      <w:r>
        <w:rPr>
          <w:color w:val="231F1F"/>
          <w:spacing w:val="-3"/>
          <w:w w:val="105"/>
        </w:rPr>
        <w:t> </w:t>
      </w:r>
      <w:r>
        <w:rPr>
          <w:color w:val="231F1F"/>
          <w:w w:val="105"/>
        </w:rPr>
        <w:t>2,8</w:t>
      </w:r>
      <w:r>
        <w:rPr>
          <w:color w:val="231F1F"/>
          <w:spacing w:val="-3"/>
          <w:w w:val="105"/>
        </w:rPr>
        <w:t> </w:t>
      </w:r>
      <w:r>
        <w:rPr>
          <w:color w:val="231F1F"/>
          <w:w w:val="105"/>
        </w:rPr>
        <w:t>(2,3</w:t>
      </w:r>
      <w:r>
        <w:rPr>
          <w:color w:val="231F1F"/>
          <w:spacing w:val="-3"/>
          <w:w w:val="105"/>
        </w:rPr>
        <w:t> </w:t>
      </w:r>
      <w:r>
        <w:rPr>
          <w:color w:val="231F1F"/>
          <w:w w:val="105"/>
        </w:rPr>
        <w:t>a</w:t>
      </w:r>
      <w:r>
        <w:rPr>
          <w:color w:val="231F1F"/>
          <w:spacing w:val="-3"/>
          <w:w w:val="105"/>
        </w:rPr>
        <w:t> </w:t>
      </w:r>
      <w:r>
        <w:rPr>
          <w:color w:val="231F1F"/>
          <w:w w:val="105"/>
        </w:rPr>
        <w:t>3,5);</w:t>
      </w:r>
      <w:r>
        <w:rPr>
          <w:color w:val="231F1F"/>
          <w:spacing w:val="-4"/>
          <w:w w:val="105"/>
        </w:rPr>
        <w:t> </w:t>
      </w:r>
      <w:r>
        <w:rPr>
          <w:color w:val="231F1F"/>
          <w:w w:val="105"/>
        </w:rPr>
        <w:t>p=0,11,</w:t>
      </w:r>
      <w:r>
        <w:rPr>
          <w:color w:val="231F1F"/>
          <w:spacing w:val="-4"/>
          <w:w w:val="105"/>
        </w:rPr>
        <w:t> </w:t>
      </w:r>
      <w:r>
        <w:rPr>
          <w:color w:val="231F1F"/>
          <w:w w:val="105"/>
        </w:rPr>
        <w:t>ni en resultados secundarios tales como: futuro uso de la misma opción analgé- sica,</w:t>
      </w:r>
      <w:r>
        <w:rPr>
          <w:color w:val="231F1F"/>
          <w:spacing w:val="-5"/>
          <w:w w:val="105"/>
        </w:rPr>
        <w:t> </w:t>
      </w:r>
      <w:r>
        <w:rPr>
          <w:color w:val="231F1F"/>
          <w:w w:val="105"/>
        </w:rPr>
        <w:t>TA</w:t>
      </w:r>
      <w:r>
        <w:rPr>
          <w:color w:val="231F1F"/>
          <w:spacing w:val="-4"/>
          <w:w w:val="105"/>
        </w:rPr>
        <w:t> </w:t>
      </w:r>
      <w:r>
        <w:rPr>
          <w:color w:val="231F1F"/>
          <w:w w:val="105"/>
        </w:rPr>
        <w:t>(mmHg),</w:t>
      </w:r>
      <w:r>
        <w:rPr>
          <w:color w:val="231F1F"/>
          <w:spacing w:val="-3"/>
          <w:w w:val="105"/>
        </w:rPr>
        <w:t> </w:t>
      </w:r>
      <w:r>
        <w:rPr>
          <w:color w:val="231F1F"/>
          <w:w w:val="105"/>
        </w:rPr>
        <w:t>FC</w:t>
      </w:r>
      <w:r>
        <w:rPr>
          <w:color w:val="231F1F"/>
          <w:spacing w:val="-4"/>
          <w:w w:val="105"/>
        </w:rPr>
        <w:t> </w:t>
      </w:r>
      <w:r>
        <w:rPr>
          <w:color w:val="231F1F"/>
          <w:w w:val="105"/>
        </w:rPr>
        <w:t>(pul/min),</w:t>
      </w:r>
      <w:r>
        <w:rPr>
          <w:color w:val="231F1F"/>
          <w:spacing w:val="-3"/>
          <w:w w:val="105"/>
        </w:rPr>
        <w:t> </w:t>
      </w:r>
      <w:r>
        <w:rPr>
          <w:color w:val="231F1F"/>
          <w:w w:val="105"/>
        </w:rPr>
        <w:t>SaO</w:t>
      </w:r>
      <w:r>
        <w:rPr>
          <w:color w:val="231F1F"/>
          <w:w w:val="105"/>
          <w:position w:val="-4"/>
          <w:sz w:val="12"/>
        </w:rPr>
        <w:t>2</w:t>
      </w:r>
      <w:r>
        <w:rPr>
          <w:color w:val="231F1F"/>
          <w:spacing w:val="12"/>
          <w:w w:val="105"/>
          <w:position w:val="-4"/>
          <w:sz w:val="12"/>
        </w:rPr>
        <w:t> </w:t>
      </w:r>
      <w:r>
        <w:rPr>
          <w:color w:val="231F1F"/>
          <w:w w:val="105"/>
        </w:rPr>
        <w:t>antes</w:t>
      </w:r>
      <w:r>
        <w:rPr>
          <w:color w:val="231F1F"/>
          <w:spacing w:val="-3"/>
          <w:w w:val="105"/>
        </w:rPr>
        <w:t> </w:t>
      </w:r>
      <w:r>
        <w:rPr>
          <w:color w:val="231F1F"/>
          <w:w w:val="105"/>
        </w:rPr>
        <w:t>y</w:t>
      </w:r>
      <w:r>
        <w:rPr>
          <w:color w:val="231F1F"/>
          <w:spacing w:val="-4"/>
          <w:w w:val="105"/>
        </w:rPr>
        <w:t> </w:t>
      </w:r>
      <w:r>
        <w:rPr>
          <w:color w:val="231F1F"/>
          <w:w w:val="105"/>
        </w:rPr>
        <w:t>durante</w:t>
      </w:r>
      <w:r>
        <w:rPr>
          <w:color w:val="231F1F"/>
          <w:spacing w:val="-4"/>
          <w:w w:val="105"/>
        </w:rPr>
        <w:t> </w:t>
      </w:r>
      <w:r>
        <w:rPr>
          <w:color w:val="231F1F"/>
          <w:w w:val="105"/>
        </w:rPr>
        <w:t>suplemento</w:t>
      </w:r>
      <w:r>
        <w:rPr>
          <w:color w:val="231F1F"/>
          <w:spacing w:val="-5"/>
          <w:w w:val="105"/>
        </w:rPr>
        <w:t> </w:t>
      </w:r>
      <w:r>
        <w:rPr>
          <w:color w:val="231F1F"/>
          <w:w w:val="105"/>
        </w:rPr>
        <w:t>de</w:t>
      </w:r>
      <w:r>
        <w:rPr>
          <w:color w:val="231F1F"/>
          <w:spacing w:val="-4"/>
          <w:w w:val="105"/>
        </w:rPr>
        <w:t> </w:t>
      </w:r>
      <w:r>
        <w:rPr>
          <w:color w:val="231F1F"/>
          <w:w w:val="105"/>
        </w:rPr>
        <w:t>oxígeno, FCF</w:t>
      </w:r>
      <w:r>
        <w:rPr>
          <w:color w:val="231F1F"/>
          <w:spacing w:val="36"/>
          <w:w w:val="105"/>
        </w:rPr>
        <w:t> </w:t>
      </w:r>
      <w:r>
        <w:rPr>
          <w:color w:val="231F1F"/>
          <w:w w:val="105"/>
        </w:rPr>
        <w:t>anormal</w:t>
      </w:r>
      <w:r>
        <w:rPr>
          <w:color w:val="231F1F"/>
          <w:spacing w:val="36"/>
          <w:w w:val="105"/>
        </w:rPr>
        <w:t> </w:t>
      </w:r>
      <w:r>
        <w:rPr>
          <w:color w:val="231F1F"/>
          <w:w w:val="105"/>
        </w:rPr>
        <w:t>durante</w:t>
      </w:r>
      <w:r>
        <w:rPr>
          <w:color w:val="231F1F"/>
          <w:spacing w:val="36"/>
          <w:w w:val="105"/>
        </w:rPr>
        <w:t> </w:t>
      </w:r>
      <w:r>
        <w:rPr>
          <w:color w:val="231F1F"/>
          <w:w w:val="105"/>
        </w:rPr>
        <w:t>el</w:t>
      </w:r>
      <w:r>
        <w:rPr>
          <w:color w:val="231F1F"/>
          <w:spacing w:val="34"/>
          <w:w w:val="105"/>
        </w:rPr>
        <w:t> </w:t>
      </w:r>
      <w:r>
        <w:rPr>
          <w:color w:val="231F1F"/>
          <w:w w:val="105"/>
        </w:rPr>
        <w:t>periodo</w:t>
      </w:r>
      <w:r>
        <w:rPr>
          <w:color w:val="231F1F"/>
          <w:spacing w:val="37"/>
          <w:w w:val="105"/>
        </w:rPr>
        <w:t> </w:t>
      </w:r>
      <w:r>
        <w:rPr>
          <w:color w:val="231F1F"/>
          <w:w w:val="105"/>
        </w:rPr>
        <w:t>de</w:t>
      </w:r>
      <w:r>
        <w:rPr>
          <w:color w:val="231F1F"/>
          <w:spacing w:val="36"/>
          <w:w w:val="105"/>
        </w:rPr>
        <w:t> </w:t>
      </w:r>
      <w:r>
        <w:rPr>
          <w:color w:val="231F1F"/>
          <w:w w:val="105"/>
        </w:rPr>
        <w:t>estudio</w:t>
      </w:r>
      <w:r>
        <w:rPr>
          <w:color w:val="231F1F"/>
          <w:spacing w:val="36"/>
          <w:w w:val="105"/>
        </w:rPr>
        <w:t> </w:t>
      </w:r>
      <w:r>
        <w:rPr>
          <w:color w:val="231F1F"/>
          <w:w w:val="105"/>
        </w:rPr>
        <w:t>y</w:t>
      </w:r>
      <w:r>
        <w:rPr>
          <w:color w:val="231F1F"/>
          <w:spacing w:val="37"/>
          <w:w w:val="105"/>
        </w:rPr>
        <w:t> </w:t>
      </w:r>
      <w:r>
        <w:rPr>
          <w:color w:val="231F1F"/>
          <w:w w:val="105"/>
        </w:rPr>
        <w:t>30</w:t>
      </w:r>
      <w:r>
        <w:rPr>
          <w:color w:val="231F1F"/>
          <w:spacing w:val="37"/>
          <w:w w:val="105"/>
        </w:rPr>
        <w:t> </w:t>
      </w:r>
      <w:r>
        <w:rPr>
          <w:color w:val="231F1F"/>
          <w:w w:val="105"/>
        </w:rPr>
        <w:t>minutos</w:t>
      </w:r>
      <w:r>
        <w:rPr>
          <w:color w:val="231F1F"/>
          <w:spacing w:val="34"/>
          <w:w w:val="105"/>
        </w:rPr>
        <w:t> </w:t>
      </w:r>
      <w:r>
        <w:rPr>
          <w:color w:val="231F1F"/>
          <w:w w:val="105"/>
        </w:rPr>
        <w:t>después,</w:t>
      </w:r>
      <w:r>
        <w:rPr>
          <w:color w:val="231F1F"/>
          <w:spacing w:val="36"/>
          <w:w w:val="105"/>
        </w:rPr>
        <w:t> </w:t>
      </w:r>
      <w:r>
        <w:rPr>
          <w:color w:val="231F1F"/>
          <w:w w:val="105"/>
        </w:rPr>
        <w:t>tasa</w:t>
      </w:r>
      <w:r>
        <w:rPr>
          <w:color w:val="231F1F"/>
          <w:spacing w:val="36"/>
          <w:w w:val="105"/>
        </w:rPr>
        <w:t> </w:t>
      </w:r>
      <w:r>
        <w:rPr>
          <w:color w:val="231F1F"/>
          <w:w w:val="105"/>
        </w:rPr>
        <w:t>de cesáreas, pH de cordón y puntuaciones Apgar.</w:t>
      </w:r>
    </w:p>
    <w:p>
      <w:pPr>
        <w:pStyle w:val="BodyText"/>
        <w:spacing w:line="247" w:lineRule="auto" w:before="105"/>
        <w:ind w:left="281" w:right="42" w:firstLine="454"/>
        <w:jc w:val="both"/>
      </w:pPr>
      <w:r>
        <w:rPr>
          <w:color w:val="231F1F"/>
          <w:w w:val="105"/>
        </w:rPr>
        <w:t>Entre las mujeres del grupo de remifentanilo fué significativamente mas frecuente</w:t>
      </w:r>
      <w:r>
        <w:rPr>
          <w:color w:val="231F1F"/>
          <w:w w:val="105"/>
        </w:rPr>
        <w:t> la</w:t>
      </w:r>
      <w:r>
        <w:rPr>
          <w:color w:val="231F1F"/>
          <w:w w:val="105"/>
        </w:rPr>
        <w:t> necesidad</w:t>
      </w:r>
      <w:r>
        <w:rPr>
          <w:color w:val="231F1F"/>
          <w:w w:val="105"/>
        </w:rPr>
        <w:t> de</w:t>
      </w:r>
      <w:r>
        <w:rPr>
          <w:color w:val="231F1F"/>
          <w:w w:val="105"/>
        </w:rPr>
        <w:t> administrar</w:t>
      </w:r>
      <w:r>
        <w:rPr>
          <w:color w:val="231F1F"/>
          <w:w w:val="105"/>
        </w:rPr>
        <w:t> oxigeno</w:t>
      </w:r>
      <w:r>
        <w:rPr>
          <w:color w:val="231F1F"/>
          <w:w w:val="105"/>
        </w:rPr>
        <w:t> suplementario</w:t>
      </w:r>
      <w:r>
        <w:rPr>
          <w:color w:val="231F1F"/>
          <w:w w:val="105"/>
        </w:rPr>
        <w:t> en</w:t>
      </w:r>
      <w:r>
        <w:rPr>
          <w:color w:val="231F1F"/>
          <w:w w:val="105"/>
        </w:rPr>
        <w:t> respuesta</w:t>
      </w:r>
      <w:r>
        <w:rPr>
          <w:color w:val="231F1F"/>
          <w:w w:val="105"/>
        </w:rPr>
        <w:t> a una depresión respiratoria. Incluso en algunos casos donde solo se han utili- zado</w:t>
      </w:r>
      <w:r>
        <w:rPr>
          <w:color w:val="231F1F"/>
          <w:w w:val="105"/>
        </w:rPr>
        <w:t> dosis</w:t>
      </w:r>
      <w:r>
        <w:rPr>
          <w:color w:val="231F1F"/>
          <w:w w:val="105"/>
        </w:rPr>
        <w:t> media</w:t>
      </w:r>
      <w:r>
        <w:rPr>
          <w:color w:val="231F1F"/>
          <w:w w:val="105"/>
        </w:rPr>
        <w:t> baja</w:t>
      </w:r>
      <w:r>
        <w:rPr>
          <w:color w:val="231F1F"/>
          <w:w w:val="105"/>
        </w:rPr>
        <w:t> de</w:t>
      </w:r>
      <w:r>
        <w:rPr>
          <w:color w:val="231F1F"/>
          <w:w w:val="105"/>
        </w:rPr>
        <w:t> 0,15</w:t>
      </w:r>
      <w:r>
        <w:rPr>
          <w:color w:val="231F1F"/>
          <w:w w:val="105"/>
        </w:rPr>
        <w:t> μg/kg/min</w:t>
      </w:r>
      <w:r>
        <w:rPr>
          <w:color w:val="231F1F"/>
          <w:w w:val="105"/>
        </w:rPr>
        <w:t> remifentanilo,</w:t>
      </w:r>
      <w:r>
        <w:rPr>
          <w:color w:val="231F1F"/>
          <w:w w:val="105"/>
        </w:rPr>
        <w:t> similares</w:t>
      </w:r>
      <w:r>
        <w:rPr>
          <w:color w:val="231F1F"/>
          <w:w w:val="105"/>
        </w:rPr>
        <w:t> a</w:t>
      </w:r>
      <w:r>
        <w:rPr>
          <w:color w:val="231F1F"/>
          <w:w w:val="105"/>
        </w:rPr>
        <w:t> la</w:t>
      </w:r>
      <w:r>
        <w:rPr>
          <w:color w:val="231F1F"/>
          <w:w w:val="105"/>
        </w:rPr>
        <w:t> dosis media efectiva observada en dicho estudio (0,03 a 0,32 μg/min). Esto sugiere que no es posible determinar una dosis segura en términos de prevención de hipoxemia durante la administración de remifentanilo, por lo que siempre ha</w:t>
      </w:r>
    </w:p>
    <w:p>
      <w:pPr>
        <w:pStyle w:val="BodyText"/>
        <w:spacing w:line="213" w:lineRule="auto"/>
        <w:ind w:left="283" w:right="50" w:hanging="1"/>
        <w:jc w:val="both"/>
      </w:pPr>
      <w:r>
        <w:rPr>
          <w:color w:val="231F1F"/>
          <w:w w:val="110"/>
        </w:rPr>
        <w:t>de utilizarse oxigeno suplementario, así como la monitorización de SaO</w:t>
      </w:r>
      <w:r>
        <w:rPr>
          <w:color w:val="231F1F"/>
          <w:w w:val="110"/>
          <w:position w:val="-4"/>
          <w:sz w:val="12"/>
        </w:rPr>
        <w:t>2</w:t>
      </w:r>
      <w:r>
        <w:rPr>
          <w:color w:val="231F1F"/>
          <w:w w:val="110"/>
        </w:rPr>
        <w:t>, debido al riesgo de hipoxia existente.</w:t>
      </w:r>
    </w:p>
    <w:p>
      <w:pPr>
        <w:pStyle w:val="BodyText"/>
        <w:spacing w:line="252" w:lineRule="auto" w:before="111"/>
        <w:ind w:left="283" w:right="38" w:firstLine="453"/>
        <w:jc w:val="both"/>
      </w:pPr>
      <w:r>
        <w:rPr>
          <w:color w:val="231F1F"/>
          <w:w w:val="110"/>
        </w:rPr>
        <w:t>En</w:t>
      </w:r>
      <w:r>
        <w:rPr>
          <w:color w:val="231F1F"/>
          <w:spacing w:val="-6"/>
          <w:w w:val="110"/>
        </w:rPr>
        <w:t> </w:t>
      </w:r>
      <w:r>
        <w:rPr>
          <w:color w:val="231F1F"/>
          <w:w w:val="110"/>
        </w:rPr>
        <w:t>este</w:t>
      </w:r>
      <w:r>
        <w:rPr>
          <w:color w:val="231F1F"/>
          <w:spacing w:val="-6"/>
          <w:w w:val="110"/>
        </w:rPr>
        <w:t> </w:t>
      </w:r>
      <w:r>
        <w:rPr>
          <w:color w:val="231F1F"/>
          <w:w w:val="110"/>
        </w:rPr>
        <w:t>mismo</w:t>
      </w:r>
      <w:r>
        <w:rPr>
          <w:color w:val="231F1F"/>
          <w:spacing w:val="-6"/>
          <w:w w:val="110"/>
        </w:rPr>
        <w:t> </w:t>
      </w:r>
      <w:r>
        <w:rPr>
          <w:color w:val="231F1F"/>
          <w:w w:val="110"/>
        </w:rPr>
        <w:t>año</w:t>
      </w:r>
      <w:r>
        <w:rPr>
          <w:color w:val="231F1F"/>
          <w:spacing w:val="-6"/>
          <w:w w:val="110"/>
        </w:rPr>
        <w:t> </w:t>
      </w:r>
      <w:r>
        <w:rPr>
          <w:color w:val="231F1F"/>
          <w:w w:val="110"/>
        </w:rPr>
        <w:t>Evron</w:t>
      </w:r>
      <w:r>
        <w:rPr>
          <w:color w:val="231F1F"/>
          <w:spacing w:val="-6"/>
          <w:w w:val="110"/>
        </w:rPr>
        <w:t> </w:t>
      </w:r>
      <w:r>
        <w:rPr>
          <w:color w:val="231F1F"/>
          <w:w w:val="110"/>
        </w:rPr>
        <w:t>et</w:t>
      </w:r>
      <w:r>
        <w:rPr>
          <w:color w:val="231F1F"/>
          <w:spacing w:val="-7"/>
          <w:w w:val="110"/>
        </w:rPr>
        <w:t> </w:t>
      </w:r>
      <w:r>
        <w:rPr>
          <w:color w:val="231F1F"/>
          <w:w w:val="110"/>
        </w:rPr>
        <w:t>al.</w:t>
      </w:r>
      <w:r>
        <w:rPr>
          <w:color w:val="231F1F"/>
          <w:spacing w:val="-7"/>
          <w:w w:val="110"/>
        </w:rPr>
        <w:t> </w:t>
      </w:r>
      <w:r>
        <w:rPr>
          <w:color w:val="231F1F"/>
          <w:w w:val="110"/>
        </w:rPr>
        <w:t>vuelven</w:t>
      </w:r>
      <w:r>
        <w:rPr>
          <w:color w:val="231F1F"/>
          <w:spacing w:val="-6"/>
          <w:w w:val="110"/>
        </w:rPr>
        <w:t> </w:t>
      </w:r>
      <w:r>
        <w:rPr>
          <w:color w:val="231F1F"/>
          <w:w w:val="110"/>
        </w:rPr>
        <w:t>a</w:t>
      </w:r>
      <w:r>
        <w:rPr>
          <w:color w:val="231F1F"/>
          <w:spacing w:val="-6"/>
          <w:w w:val="110"/>
        </w:rPr>
        <w:t> </w:t>
      </w:r>
      <w:r>
        <w:rPr>
          <w:color w:val="231F1F"/>
          <w:w w:val="110"/>
        </w:rPr>
        <w:t>publicar</w:t>
      </w:r>
      <w:r>
        <w:rPr>
          <w:color w:val="231F1F"/>
          <w:spacing w:val="-7"/>
          <w:w w:val="110"/>
        </w:rPr>
        <w:t> </w:t>
      </w:r>
      <w:r>
        <w:rPr>
          <w:color w:val="231F1F"/>
          <w:w w:val="110"/>
        </w:rPr>
        <w:t>otro</w:t>
      </w:r>
      <w:r>
        <w:rPr>
          <w:color w:val="231F1F"/>
          <w:spacing w:val="-6"/>
          <w:w w:val="110"/>
        </w:rPr>
        <w:t> </w:t>
      </w:r>
      <w:r>
        <w:rPr>
          <w:color w:val="231F1F"/>
          <w:w w:val="110"/>
        </w:rPr>
        <w:t>ECA</w:t>
      </w:r>
      <w:r>
        <w:rPr>
          <w:color w:val="231F1F"/>
          <w:spacing w:val="-5"/>
          <w:w w:val="110"/>
        </w:rPr>
        <w:t> </w:t>
      </w:r>
      <w:r>
        <w:rPr>
          <w:color w:val="231F1F"/>
          <w:w w:val="110"/>
        </w:rPr>
        <w:t>(308)</w:t>
      </w:r>
      <w:r>
        <w:rPr>
          <w:color w:val="231F1F"/>
          <w:spacing w:val="-6"/>
          <w:w w:val="110"/>
        </w:rPr>
        <w:t> </w:t>
      </w:r>
      <w:r>
        <w:rPr>
          <w:color w:val="231F1F"/>
          <w:w w:val="110"/>
        </w:rPr>
        <w:t>con el propósito de investigar si es cierta la hipótesis que propone que la fiebre asociada</w:t>
      </w:r>
      <w:r>
        <w:rPr>
          <w:color w:val="231F1F"/>
          <w:spacing w:val="-14"/>
          <w:w w:val="110"/>
        </w:rPr>
        <w:t> </w:t>
      </w:r>
      <w:r>
        <w:rPr>
          <w:color w:val="231F1F"/>
          <w:w w:val="110"/>
        </w:rPr>
        <w:t>al</w:t>
      </w:r>
      <w:r>
        <w:rPr>
          <w:color w:val="231F1F"/>
          <w:spacing w:val="-15"/>
          <w:w w:val="110"/>
        </w:rPr>
        <w:t> </w:t>
      </w:r>
      <w:r>
        <w:rPr>
          <w:color w:val="231F1F"/>
          <w:w w:val="110"/>
        </w:rPr>
        <w:t>parto</w:t>
      </w:r>
      <w:r>
        <w:rPr>
          <w:color w:val="231F1F"/>
          <w:spacing w:val="-14"/>
          <w:w w:val="110"/>
        </w:rPr>
        <w:t> </w:t>
      </w:r>
      <w:r>
        <w:rPr>
          <w:color w:val="231F1F"/>
          <w:w w:val="110"/>
        </w:rPr>
        <w:t>(debido</w:t>
      </w:r>
      <w:r>
        <w:rPr>
          <w:color w:val="231F1F"/>
          <w:spacing w:val="-14"/>
          <w:w w:val="110"/>
        </w:rPr>
        <w:t> </w:t>
      </w:r>
      <w:r>
        <w:rPr>
          <w:color w:val="231F1F"/>
          <w:w w:val="110"/>
        </w:rPr>
        <w:t>a</w:t>
      </w:r>
      <w:r>
        <w:rPr>
          <w:color w:val="231F1F"/>
          <w:spacing w:val="-14"/>
          <w:w w:val="110"/>
        </w:rPr>
        <w:t> </w:t>
      </w:r>
      <w:r>
        <w:rPr>
          <w:color w:val="231F1F"/>
          <w:w w:val="110"/>
        </w:rPr>
        <w:t>la</w:t>
      </w:r>
      <w:r>
        <w:rPr>
          <w:color w:val="231F1F"/>
          <w:spacing w:val="-14"/>
          <w:w w:val="110"/>
        </w:rPr>
        <w:t> </w:t>
      </w:r>
      <w:r>
        <w:rPr>
          <w:color w:val="231F1F"/>
          <w:w w:val="110"/>
        </w:rPr>
        <w:t>utilización</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epidural,</w:t>
      </w:r>
      <w:r>
        <w:rPr>
          <w:color w:val="231F1F"/>
          <w:spacing w:val="-15"/>
          <w:w w:val="110"/>
        </w:rPr>
        <w:t> </w:t>
      </w:r>
      <w:r>
        <w:rPr>
          <w:color w:val="231F1F"/>
          <w:w w:val="110"/>
        </w:rPr>
        <w:t>o</w:t>
      </w:r>
      <w:r>
        <w:rPr>
          <w:color w:val="231F1F"/>
          <w:spacing w:val="-14"/>
          <w:w w:val="110"/>
        </w:rPr>
        <w:t> </w:t>
      </w:r>
      <w:r>
        <w:rPr>
          <w:color w:val="231F1F"/>
          <w:w w:val="110"/>
        </w:rPr>
        <w:t>debido</w:t>
      </w:r>
      <w:r>
        <w:rPr>
          <w:color w:val="231F1F"/>
          <w:spacing w:val="-14"/>
          <w:w w:val="110"/>
        </w:rPr>
        <w:t> </w:t>
      </w:r>
      <w:r>
        <w:rPr>
          <w:color w:val="231F1F"/>
          <w:w w:val="110"/>
        </w:rPr>
        <w:t>a</w:t>
      </w:r>
      <w:r>
        <w:rPr>
          <w:color w:val="231F1F"/>
          <w:spacing w:val="-14"/>
          <w:w w:val="110"/>
        </w:rPr>
        <w:t> </w:t>
      </w:r>
      <w:r>
        <w:rPr>
          <w:color w:val="231F1F"/>
          <w:w w:val="110"/>
        </w:rPr>
        <w:t>otras</w:t>
      </w:r>
      <w:r>
        <w:rPr>
          <w:color w:val="231F1F"/>
          <w:spacing w:val="-15"/>
          <w:w w:val="110"/>
        </w:rPr>
        <w:t> </w:t>
      </w:r>
      <w:r>
        <w:rPr>
          <w:color w:val="231F1F"/>
          <w:w w:val="110"/>
        </w:rPr>
        <w:t>cau- sas) puede ser suprimida mediante administración de opioides. El estudio incluyó a 201 mujeres durante un parto espontáneo y sin fiebre (tº&lt;38° C) para</w:t>
      </w:r>
      <w:r>
        <w:rPr>
          <w:color w:val="231F1F"/>
          <w:w w:val="110"/>
        </w:rPr>
        <w:t> ser</w:t>
      </w:r>
      <w:r>
        <w:rPr>
          <w:color w:val="231F1F"/>
          <w:w w:val="110"/>
        </w:rPr>
        <w:t> aleatorizadas</w:t>
      </w:r>
      <w:r>
        <w:rPr>
          <w:color w:val="231F1F"/>
          <w:w w:val="110"/>
        </w:rPr>
        <w:t> a</w:t>
      </w:r>
      <w:r>
        <w:rPr>
          <w:color w:val="231F1F"/>
          <w:w w:val="110"/>
        </w:rPr>
        <w:t> uno</w:t>
      </w:r>
      <w:r>
        <w:rPr>
          <w:color w:val="231F1F"/>
          <w:w w:val="110"/>
        </w:rPr>
        <w:t> de</w:t>
      </w:r>
      <w:r>
        <w:rPr>
          <w:color w:val="231F1F"/>
          <w:w w:val="110"/>
        </w:rPr>
        <w:t> los</w:t>
      </w:r>
      <w:r>
        <w:rPr>
          <w:color w:val="231F1F"/>
          <w:w w:val="110"/>
        </w:rPr>
        <w:t> cuatro</w:t>
      </w:r>
      <w:r>
        <w:rPr>
          <w:color w:val="231F1F"/>
          <w:w w:val="110"/>
        </w:rPr>
        <w:t> grupos</w:t>
      </w:r>
      <w:r>
        <w:rPr>
          <w:color w:val="231F1F"/>
          <w:w w:val="110"/>
        </w:rPr>
        <w:t> de</w:t>
      </w:r>
      <w:r>
        <w:rPr>
          <w:color w:val="231F1F"/>
          <w:w w:val="110"/>
        </w:rPr>
        <w:t> tratamiento: (1) </w:t>
      </w:r>
      <w:r>
        <w:rPr>
          <w:i/>
          <w:color w:val="231F1F"/>
          <w:w w:val="110"/>
        </w:rPr>
        <w:t>solo </w:t>
      </w:r>
      <w:r>
        <w:rPr>
          <w:i/>
          <w:color w:val="231F1F"/>
        </w:rPr>
        <w:t>ropivacaína epidural</w:t>
      </w:r>
      <w:r>
        <w:rPr>
          <w:color w:val="231F1F"/>
        </w:rPr>
        <w:t>, (2) </w:t>
      </w:r>
      <w:r>
        <w:rPr>
          <w:i/>
          <w:color w:val="231F1F"/>
        </w:rPr>
        <w:t>solo remifentanilo IV</w:t>
      </w:r>
      <w:r>
        <w:rPr>
          <w:color w:val="231F1F"/>
        </w:rPr>
        <w:t>, (3) </w:t>
      </w:r>
      <w:r>
        <w:rPr>
          <w:i/>
          <w:color w:val="231F1F"/>
        </w:rPr>
        <w:t>ropivacaína epidural más remifentanilo</w:t>
      </w:r>
      <w:r>
        <w:rPr>
          <w:i/>
          <w:color w:val="231F1F"/>
          <w:spacing w:val="30"/>
        </w:rPr>
        <w:t> </w:t>
      </w:r>
      <w:r>
        <w:rPr>
          <w:i/>
          <w:color w:val="231F1F"/>
        </w:rPr>
        <w:t>IV</w:t>
      </w:r>
      <w:r>
        <w:rPr>
          <w:i/>
          <w:color w:val="231F1F"/>
          <w:spacing w:val="30"/>
        </w:rPr>
        <w:t> </w:t>
      </w:r>
      <w:r>
        <w:rPr>
          <w:color w:val="231F1F"/>
        </w:rPr>
        <w:t>y</w:t>
      </w:r>
      <w:r>
        <w:rPr>
          <w:color w:val="231F1F"/>
          <w:spacing w:val="40"/>
        </w:rPr>
        <w:t> </w:t>
      </w:r>
      <w:r>
        <w:rPr>
          <w:color w:val="231F1F"/>
        </w:rPr>
        <w:t>(4)</w:t>
      </w:r>
      <w:r>
        <w:rPr>
          <w:color w:val="231F1F"/>
          <w:spacing w:val="40"/>
        </w:rPr>
        <w:t> </w:t>
      </w:r>
      <w:r>
        <w:rPr>
          <w:i/>
          <w:color w:val="231F1F"/>
        </w:rPr>
        <w:t>ropivacaína</w:t>
      </w:r>
      <w:r>
        <w:rPr>
          <w:i/>
          <w:color w:val="231F1F"/>
          <w:spacing w:val="31"/>
        </w:rPr>
        <w:t> </w:t>
      </w:r>
      <w:r>
        <w:rPr>
          <w:i/>
          <w:color w:val="231F1F"/>
        </w:rPr>
        <w:t>epidural</w:t>
      </w:r>
      <w:r>
        <w:rPr>
          <w:i/>
          <w:color w:val="231F1F"/>
          <w:spacing w:val="29"/>
        </w:rPr>
        <w:t> </w:t>
      </w:r>
      <w:r>
        <w:rPr>
          <w:i/>
          <w:color w:val="231F1F"/>
        </w:rPr>
        <w:t>más</w:t>
      </w:r>
      <w:r>
        <w:rPr>
          <w:i/>
          <w:color w:val="231F1F"/>
          <w:spacing w:val="30"/>
        </w:rPr>
        <w:t> </w:t>
      </w:r>
      <w:r>
        <w:rPr>
          <w:i/>
          <w:color w:val="231F1F"/>
        </w:rPr>
        <w:t>paracetamol</w:t>
      </w:r>
      <w:r>
        <w:rPr>
          <w:i/>
          <w:color w:val="231F1F"/>
          <w:spacing w:val="30"/>
        </w:rPr>
        <w:t> </w:t>
      </w:r>
      <w:r>
        <w:rPr>
          <w:i/>
          <w:color w:val="231F1F"/>
        </w:rPr>
        <w:t>IV</w:t>
      </w:r>
      <w:r>
        <w:rPr>
          <w:color w:val="231F1F"/>
        </w:rPr>
        <w:t>.</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grupo </w:t>
      </w:r>
      <w:r>
        <w:rPr>
          <w:color w:val="231F1F"/>
          <w:w w:val="110"/>
        </w:rPr>
        <w:t>de ropivacaína epidural sola, el incremento máximo de la temperatura oral fue</w:t>
      </w:r>
      <w:r>
        <w:rPr>
          <w:color w:val="231F1F"/>
          <w:spacing w:val="-16"/>
          <w:w w:val="110"/>
        </w:rPr>
        <w:t> </w:t>
      </w:r>
      <w:r>
        <w:rPr>
          <w:color w:val="231F1F"/>
          <w:w w:val="110"/>
        </w:rPr>
        <w:t>mayor:</w:t>
      </w:r>
      <w:r>
        <w:rPr>
          <w:color w:val="231F1F"/>
          <w:spacing w:val="-15"/>
          <w:w w:val="110"/>
        </w:rPr>
        <w:t> </w:t>
      </w:r>
      <w:r>
        <w:rPr>
          <w:color w:val="231F1F"/>
          <w:w w:val="110"/>
        </w:rPr>
        <w:t>0,7±0,6</w:t>
      </w:r>
      <w:r>
        <w:rPr>
          <w:color w:val="231F1F"/>
          <w:spacing w:val="-15"/>
          <w:w w:val="110"/>
        </w:rPr>
        <w:t> </w:t>
      </w:r>
      <w:r>
        <w:rPr>
          <w:color w:val="231F1F"/>
          <w:w w:val="110"/>
        </w:rPr>
        <w:t>°</w:t>
      </w:r>
      <w:r>
        <w:rPr>
          <w:color w:val="231F1F"/>
          <w:spacing w:val="-15"/>
          <w:w w:val="110"/>
        </w:rPr>
        <w:t> </w:t>
      </w:r>
      <w:r>
        <w:rPr>
          <w:color w:val="231F1F"/>
          <w:w w:val="110"/>
        </w:rPr>
        <w:t>C</w:t>
      </w:r>
      <w:r>
        <w:rPr>
          <w:color w:val="231F1F"/>
          <w:spacing w:val="-15"/>
          <w:w w:val="110"/>
        </w:rPr>
        <w:t> </w:t>
      </w:r>
      <w:r>
        <w:rPr>
          <w:color w:val="231F1F"/>
          <w:w w:val="110"/>
        </w:rPr>
        <w:t>en</w:t>
      </w:r>
      <w:r>
        <w:rPr>
          <w:color w:val="231F1F"/>
          <w:spacing w:val="-15"/>
          <w:w w:val="110"/>
        </w:rPr>
        <w:t> </w:t>
      </w:r>
      <w:r>
        <w:rPr>
          <w:color w:val="231F1F"/>
          <w:w w:val="110"/>
        </w:rPr>
        <w:t>comparación</w:t>
      </w:r>
      <w:r>
        <w:rPr>
          <w:color w:val="231F1F"/>
          <w:spacing w:val="-15"/>
          <w:w w:val="110"/>
        </w:rPr>
        <w:t> </w:t>
      </w:r>
      <w:r>
        <w:rPr>
          <w:color w:val="231F1F"/>
          <w:w w:val="110"/>
        </w:rPr>
        <w:t>con</w:t>
      </w:r>
      <w:r>
        <w:rPr>
          <w:color w:val="231F1F"/>
          <w:spacing w:val="-15"/>
          <w:w w:val="110"/>
        </w:rPr>
        <w:t> </w:t>
      </w:r>
      <w:r>
        <w:rPr>
          <w:color w:val="231F1F"/>
          <w:w w:val="110"/>
        </w:rPr>
        <w:t>el</w:t>
      </w:r>
      <w:r>
        <w:rPr>
          <w:color w:val="231F1F"/>
          <w:spacing w:val="-16"/>
          <w:w w:val="110"/>
        </w:rPr>
        <w:t> </w:t>
      </w:r>
      <w:r>
        <w:rPr>
          <w:color w:val="231F1F"/>
          <w:w w:val="110"/>
        </w:rPr>
        <w:t>menor</w:t>
      </w:r>
      <w:r>
        <w:rPr>
          <w:color w:val="231F1F"/>
          <w:spacing w:val="-15"/>
          <w:w w:val="110"/>
        </w:rPr>
        <w:t> </w:t>
      </w:r>
      <w:r>
        <w:rPr>
          <w:color w:val="231F1F"/>
          <w:w w:val="110"/>
        </w:rPr>
        <w:t>del</w:t>
      </w:r>
      <w:r>
        <w:rPr>
          <w:color w:val="231F1F"/>
          <w:spacing w:val="-15"/>
          <w:w w:val="110"/>
        </w:rPr>
        <w:t> </w:t>
      </w:r>
      <w:r>
        <w:rPr>
          <w:color w:val="231F1F"/>
          <w:w w:val="110"/>
        </w:rPr>
        <w:t>grupo</w:t>
      </w:r>
      <w:r>
        <w:rPr>
          <w:color w:val="231F1F"/>
          <w:spacing w:val="-15"/>
          <w:w w:val="110"/>
        </w:rPr>
        <w:t> </w:t>
      </w:r>
      <w:r>
        <w:rPr>
          <w:color w:val="231F1F"/>
          <w:w w:val="110"/>
        </w:rPr>
        <w:t>de</w:t>
      </w:r>
      <w:r>
        <w:rPr>
          <w:color w:val="231F1F"/>
          <w:spacing w:val="-15"/>
          <w:w w:val="110"/>
        </w:rPr>
        <w:t> </w:t>
      </w:r>
      <w:r>
        <w:rPr>
          <w:color w:val="231F1F"/>
          <w:w w:val="110"/>
        </w:rPr>
        <w:t>solo</w:t>
      </w:r>
      <w:r>
        <w:rPr>
          <w:color w:val="231F1F"/>
          <w:spacing w:val="-15"/>
          <w:w w:val="110"/>
        </w:rPr>
        <w:t> </w:t>
      </w:r>
      <w:r>
        <w:rPr>
          <w:color w:val="231F1F"/>
          <w:w w:val="110"/>
        </w:rPr>
        <w:t>remi- </w:t>
      </w:r>
      <w:r>
        <w:rPr>
          <w:color w:val="231F1F"/>
        </w:rPr>
        <w:t>fentanilo: 0,3±0,4 ° C; p= 0,013. Además, también fue mayor el porcentaje de </w:t>
      </w:r>
      <w:r>
        <w:rPr>
          <w:color w:val="231F1F"/>
          <w:w w:val="110"/>
        </w:rPr>
        <w:t>mujeres</w:t>
      </w:r>
      <w:r>
        <w:rPr>
          <w:color w:val="231F1F"/>
          <w:spacing w:val="-7"/>
          <w:w w:val="110"/>
        </w:rPr>
        <w:t> </w:t>
      </w:r>
      <w:r>
        <w:rPr>
          <w:color w:val="231F1F"/>
          <w:w w:val="110"/>
        </w:rPr>
        <w:t>con</w:t>
      </w:r>
      <w:r>
        <w:rPr>
          <w:color w:val="231F1F"/>
          <w:spacing w:val="-7"/>
          <w:w w:val="110"/>
        </w:rPr>
        <w:t> </w:t>
      </w:r>
      <w:r>
        <w:rPr>
          <w:color w:val="231F1F"/>
          <w:w w:val="110"/>
        </w:rPr>
        <w:t>fiebre</w:t>
      </w:r>
      <w:r>
        <w:rPr>
          <w:color w:val="231F1F"/>
          <w:spacing w:val="-7"/>
          <w:w w:val="110"/>
        </w:rPr>
        <w:t> </w:t>
      </w:r>
      <w:r>
        <w:rPr>
          <w:color w:val="231F1F"/>
          <w:w w:val="110"/>
        </w:rPr>
        <w:t>(≥38</w:t>
      </w:r>
      <w:r>
        <w:rPr>
          <w:color w:val="231F1F"/>
          <w:spacing w:val="-7"/>
          <w:w w:val="110"/>
        </w:rPr>
        <w:t> </w:t>
      </w:r>
      <w:r>
        <w:rPr>
          <w:color w:val="231F1F"/>
          <w:w w:val="110"/>
        </w:rPr>
        <w:t>°</w:t>
      </w:r>
      <w:r>
        <w:rPr>
          <w:color w:val="231F1F"/>
          <w:spacing w:val="-7"/>
          <w:w w:val="110"/>
        </w:rPr>
        <w:t> </w:t>
      </w:r>
      <w:r>
        <w:rPr>
          <w:color w:val="231F1F"/>
          <w:w w:val="110"/>
        </w:rPr>
        <w:t>C)</w:t>
      </w:r>
      <w:r>
        <w:rPr>
          <w:color w:val="231F1F"/>
          <w:spacing w:val="-8"/>
          <w:w w:val="110"/>
        </w:rPr>
        <w:t> </w:t>
      </w:r>
      <w:r>
        <w:rPr>
          <w:color w:val="231F1F"/>
          <w:w w:val="110"/>
        </w:rPr>
        <w:t>durante</w:t>
      </w:r>
      <w:r>
        <w:rPr>
          <w:color w:val="231F1F"/>
          <w:spacing w:val="-7"/>
          <w:w w:val="110"/>
        </w:rPr>
        <w:t> </w:t>
      </w:r>
      <w:r>
        <w:rPr>
          <w:color w:val="231F1F"/>
          <w:w w:val="110"/>
        </w:rPr>
        <w:t>las</w:t>
      </w:r>
      <w:r>
        <w:rPr>
          <w:color w:val="231F1F"/>
          <w:spacing w:val="-7"/>
          <w:w w:val="110"/>
        </w:rPr>
        <w:t> </w:t>
      </w:r>
      <w:r>
        <w:rPr>
          <w:color w:val="231F1F"/>
          <w:w w:val="110"/>
        </w:rPr>
        <w:t>primeras</w:t>
      </w:r>
      <w:r>
        <w:rPr>
          <w:color w:val="231F1F"/>
          <w:spacing w:val="-8"/>
          <w:w w:val="110"/>
        </w:rPr>
        <w:t> </w:t>
      </w:r>
      <w:r>
        <w:rPr>
          <w:color w:val="231F1F"/>
          <w:w w:val="110"/>
        </w:rPr>
        <w:t>6</w:t>
      </w:r>
      <w:r>
        <w:rPr>
          <w:color w:val="231F1F"/>
          <w:spacing w:val="-7"/>
          <w:w w:val="110"/>
        </w:rPr>
        <w:t> </w:t>
      </w:r>
      <w:r>
        <w:rPr>
          <w:color w:val="231F1F"/>
          <w:w w:val="110"/>
        </w:rPr>
        <w:t>horas</w:t>
      </w:r>
      <w:r>
        <w:rPr>
          <w:color w:val="231F1F"/>
          <w:spacing w:val="-8"/>
          <w:w w:val="110"/>
        </w:rPr>
        <w:t> </w:t>
      </w:r>
      <w:r>
        <w:rPr>
          <w:color w:val="231F1F"/>
          <w:w w:val="110"/>
        </w:rPr>
        <w:t>del</w:t>
      </w:r>
      <w:r>
        <w:rPr>
          <w:color w:val="231F1F"/>
          <w:spacing w:val="-8"/>
          <w:w w:val="110"/>
        </w:rPr>
        <w:t> </w:t>
      </w:r>
      <w:r>
        <w:rPr>
          <w:color w:val="231F1F"/>
          <w:w w:val="110"/>
        </w:rPr>
        <w:t>parto:</w:t>
      </w:r>
      <w:r>
        <w:rPr>
          <w:color w:val="231F1F"/>
          <w:spacing w:val="-8"/>
          <w:w w:val="110"/>
        </w:rPr>
        <w:t> </w:t>
      </w:r>
      <w:r>
        <w:rPr>
          <w:color w:val="231F1F"/>
          <w:w w:val="110"/>
        </w:rPr>
        <w:t>14%</w:t>
      </w:r>
      <w:r>
        <w:rPr>
          <w:color w:val="231F1F"/>
          <w:spacing w:val="-6"/>
          <w:w w:val="110"/>
        </w:rPr>
        <w:t> </w:t>
      </w:r>
      <w:r>
        <w:rPr>
          <w:color w:val="231F1F"/>
          <w:w w:val="110"/>
        </w:rPr>
        <w:t>vs 2%,</w:t>
      </w:r>
      <w:r>
        <w:rPr>
          <w:color w:val="231F1F"/>
          <w:spacing w:val="-16"/>
          <w:w w:val="110"/>
        </w:rPr>
        <w:t> </w:t>
      </w:r>
      <w:r>
        <w:rPr>
          <w:color w:val="231F1F"/>
          <w:w w:val="110"/>
        </w:rPr>
        <w:t>aunque</w:t>
      </w:r>
      <w:r>
        <w:rPr>
          <w:color w:val="231F1F"/>
          <w:spacing w:val="-15"/>
          <w:w w:val="110"/>
        </w:rPr>
        <w:t> </w:t>
      </w:r>
      <w:r>
        <w:rPr>
          <w:color w:val="231F1F"/>
          <w:w w:val="110"/>
        </w:rPr>
        <w:t>la</w:t>
      </w:r>
      <w:r>
        <w:rPr>
          <w:color w:val="231F1F"/>
          <w:spacing w:val="-15"/>
          <w:w w:val="110"/>
        </w:rPr>
        <w:t> </w:t>
      </w:r>
      <w:r>
        <w:rPr>
          <w:color w:val="231F1F"/>
          <w:w w:val="110"/>
        </w:rPr>
        <w:t>diferencia</w:t>
      </w:r>
      <w:r>
        <w:rPr>
          <w:color w:val="231F1F"/>
          <w:spacing w:val="-15"/>
          <w:w w:val="110"/>
        </w:rPr>
        <w:t> </w:t>
      </w:r>
      <w:r>
        <w:rPr>
          <w:color w:val="231F1F"/>
          <w:w w:val="110"/>
        </w:rPr>
        <w:t>no</w:t>
      </w:r>
      <w:r>
        <w:rPr>
          <w:color w:val="231F1F"/>
          <w:spacing w:val="-15"/>
          <w:w w:val="110"/>
        </w:rPr>
        <w:t> </w:t>
      </w:r>
      <w:r>
        <w:rPr>
          <w:color w:val="231F1F"/>
          <w:w w:val="110"/>
        </w:rPr>
        <w:t>fue</w:t>
      </w:r>
      <w:r>
        <w:rPr>
          <w:color w:val="231F1F"/>
          <w:spacing w:val="-15"/>
          <w:w w:val="110"/>
        </w:rPr>
        <w:t> </w:t>
      </w:r>
      <w:r>
        <w:rPr>
          <w:color w:val="231F1F"/>
          <w:w w:val="110"/>
        </w:rPr>
        <w:t>estadísticamente</w:t>
      </w:r>
      <w:r>
        <w:rPr>
          <w:color w:val="231F1F"/>
          <w:spacing w:val="-15"/>
          <w:w w:val="110"/>
        </w:rPr>
        <w:t> </w:t>
      </w:r>
      <w:r>
        <w:rPr>
          <w:color w:val="231F1F"/>
          <w:w w:val="110"/>
        </w:rPr>
        <w:t>significativa.</w:t>
      </w:r>
      <w:r>
        <w:rPr>
          <w:color w:val="231F1F"/>
          <w:spacing w:val="-15"/>
          <w:w w:val="110"/>
        </w:rPr>
        <w:t> </w:t>
      </w:r>
      <w:r>
        <w:rPr>
          <w:color w:val="231F1F"/>
          <w:w w:val="110"/>
        </w:rPr>
        <w:t>La</w:t>
      </w:r>
      <w:r>
        <w:rPr>
          <w:color w:val="231F1F"/>
          <w:spacing w:val="-16"/>
          <w:w w:val="110"/>
        </w:rPr>
        <w:t> </w:t>
      </w:r>
      <w:r>
        <w:rPr>
          <w:color w:val="231F1F"/>
          <w:w w:val="110"/>
        </w:rPr>
        <w:t>vasocons- tricción</w:t>
      </w:r>
      <w:r>
        <w:rPr>
          <w:color w:val="231F1F"/>
          <w:spacing w:val="-4"/>
          <w:w w:val="110"/>
        </w:rPr>
        <w:t> </w:t>
      </w:r>
      <w:r>
        <w:rPr>
          <w:color w:val="231F1F"/>
          <w:w w:val="110"/>
        </w:rPr>
        <w:t>fue</w:t>
      </w:r>
      <w:r>
        <w:rPr>
          <w:color w:val="231F1F"/>
          <w:spacing w:val="-4"/>
          <w:w w:val="110"/>
        </w:rPr>
        <w:t> </w:t>
      </w:r>
      <w:r>
        <w:rPr>
          <w:color w:val="231F1F"/>
          <w:w w:val="110"/>
        </w:rPr>
        <w:t>menor</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grupo</w:t>
      </w:r>
      <w:r>
        <w:rPr>
          <w:color w:val="231F1F"/>
          <w:spacing w:val="-4"/>
          <w:w w:val="110"/>
        </w:rPr>
        <w:t> </w:t>
      </w:r>
      <w:r>
        <w:rPr>
          <w:color w:val="231F1F"/>
          <w:w w:val="110"/>
        </w:rPr>
        <w:t>remifentanilo</w:t>
      </w:r>
      <w:r>
        <w:rPr>
          <w:color w:val="231F1F"/>
          <w:spacing w:val="-3"/>
          <w:w w:val="110"/>
        </w:rPr>
        <w:t> </w:t>
      </w:r>
      <w:r>
        <w:rPr>
          <w:color w:val="231F1F"/>
          <w:w w:val="110"/>
        </w:rPr>
        <w:t>en</w:t>
      </w:r>
      <w:r>
        <w:rPr>
          <w:color w:val="231F1F"/>
          <w:spacing w:val="-4"/>
          <w:w w:val="110"/>
        </w:rPr>
        <w:t> </w:t>
      </w:r>
      <w:r>
        <w:rPr>
          <w:color w:val="231F1F"/>
          <w:w w:val="110"/>
        </w:rPr>
        <w:t>comparación</w:t>
      </w:r>
      <w:r>
        <w:rPr>
          <w:color w:val="231F1F"/>
          <w:spacing w:val="-4"/>
          <w:w w:val="110"/>
        </w:rPr>
        <w:t> </w:t>
      </w:r>
      <w:r>
        <w:rPr>
          <w:color w:val="231F1F"/>
          <w:w w:val="110"/>
        </w:rPr>
        <w:t>con</w:t>
      </w:r>
      <w:r>
        <w:rPr>
          <w:color w:val="231F1F"/>
          <w:spacing w:val="-4"/>
          <w:w w:val="110"/>
        </w:rPr>
        <w:t> </w:t>
      </w:r>
      <w:r>
        <w:rPr>
          <w:color w:val="231F1F"/>
          <w:w w:val="110"/>
        </w:rPr>
        <w:t>analgesia epidural:</w:t>
      </w:r>
      <w:r>
        <w:rPr>
          <w:color w:val="231F1F"/>
          <w:spacing w:val="-3"/>
          <w:w w:val="110"/>
        </w:rPr>
        <w:t> </w:t>
      </w:r>
      <w:r>
        <w:rPr>
          <w:color w:val="231F1F"/>
          <w:w w:val="110"/>
        </w:rPr>
        <w:t>1,4±1,8</w:t>
      </w:r>
      <w:r>
        <w:rPr>
          <w:color w:val="231F1F"/>
          <w:spacing w:val="-3"/>
          <w:w w:val="110"/>
        </w:rPr>
        <w:t> </w:t>
      </w:r>
      <w:r>
        <w:rPr>
          <w:color w:val="231F1F"/>
          <w:w w:val="110"/>
        </w:rPr>
        <w:t>vs</w:t>
      </w:r>
      <w:r>
        <w:rPr>
          <w:color w:val="231F1F"/>
          <w:spacing w:val="-3"/>
          <w:w w:val="110"/>
        </w:rPr>
        <w:t> </w:t>
      </w:r>
      <w:r>
        <w:rPr>
          <w:color w:val="231F1F"/>
          <w:w w:val="110"/>
        </w:rPr>
        <w:t>3,0±1,7,</w:t>
      </w:r>
      <w:r>
        <w:rPr>
          <w:color w:val="231F1F"/>
          <w:spacing w:val="-4"/>
          <w:w w:val="110"/>
        </w:rPr>
        <w:t> </w:t>
      </w:r>
      <w:r>
        <w:rPr>
          <w:color w:val="231F1F"/>
          <w:w w:val="110"/>
        </w:rPr>
        <w:t>respectivamente;</w:t>
      </w:r>
      <w:r>
        <w:rPr>
          <w:color w:val="231F1F"/>
          <w:spacing w:val="-3"/>
          <w:w w:val="110"/>
        </w:rPr>
        <w:t> </w:t>
      </w:r>
      <w:r>
        <w:rPr>
          <w:color w:val="231F1F"/>
          <w:w w:val="110"/>
        </w:rPr>
        <w:t>p&lt;0,001.</w:t>
      </w:r>
      <w:r>
        <w:rPr>
          <w:color w:val="231F1F"/>
          <w:spacing w:val="-4"/>
          <w:w w:val="110"/>
        </w:rPr>
        <w:t> </w:t>
      </w:r>
      <w:r>
        <w:rPr>
          <w:color w:val="231F1F"/>
          <w:w w:val="110"/>
        </w:rPr>
        <w:t>Estos</w:t>
      </w:r>
      <w:r>
        <w:rPr>
          <w:color w:val="231F1F"/>
          <w:spacing w:val="-3"/>
          <w:w w:val="110"/>
        </w:rPr>
        <w:t> </w:t>
      </w:r>
      <w:r>
        <w:rPr>
          <w:color w:val="231F1F"/>
          <w:w w:val="110"/>
        </w:rPr>
        <w:t>hechos,</w:t>
      </w:r>
      <w:r>
        <w:rPr>
          <w:color w:val="231F1F"/>
          <w:spacing w:val="-4"/>
          <w:w w:val="110"/>
        </w:rPr>
        <w:t> </w:t>
      </w:r>
      <w:r>
        <w:rPr>
          <w:color w:val="231F1F"/>
          <w:w w:val="110"/>
        </w:rPr>
        <w:t>solo </w:t>
      </w:r>
      <w:r>
        <w:rPr>
          <w:color w:val="231F1F"/>
          <w:spacing w:val="-2"/>
          <w:w w:val="110"/>
        </w:rPr>
        <w:t>confirman</w:t>
      </w:r>
      <w:r>
        <w:rPr>
          <w:color w:val="231F1F"/>
          <w:spacing w:val="-12"/>
          <w:w w:val="110"/>
        </w:rPr>
        <w:t> </w:t>
      </w:r>
      <w:r>
        <w:rPr>
          <w:color w:val="231F1F"/>
          <w:spacing w:val="-2"/>
          <w:w w:val="110"/>
        </w:rPr>
        <w:t>la</w:t>
      </w:r>
      <w:r>
        <w:rPr>
          <w:color w:val="231F1F"/>
          <w:spacing w:val="-11"/>
          <w:w w:val="110"/>
        </w:rPr>
        <w:t> </w:t>
      </w:r>
      <w:r>
        <w:rPr>
          <w:color w:val="231F1F"/>
          <w:spacing w:val="-2"/>
          <w:w w:val="110"/>
        </w:rPr>
        <w:t>teoría</w:t>
      </w:r>
      <w:r>
        <w:rPr>
          <w:color w:val="231F1F"/>
          <w:spacing w:val="-11"/>
          <w:w w:val="110"/>
        </w:rPr>
        <w:t> </w:t>
      </w:r>
      <w:r>
        <w:rPr>
          <w:color w:val="231F1F"/>
          <w:spacing w:val="-2"/>
          <w:w w:val="110"/>
        </w:rPr>
        <w:t>de</w:t>
      </w:r>
      <w:r>
        <w:rPr>
          <w:color w:val="231F1F"/>
          <w:spacing w:val="-11"/>
          <w:w w:val="110"/>
        </w:rPr>
        <w:t> </w:t>
      </w:r>
      <w:r>
        <w:rPr>
          <w:color w:val="231F1F"/>
          <w:spacing w:val="-2"/>
          <w:w w:val="110"/>
        </w:rPr>
        <w:t>que</w:t>
      </w:r>
      <w:r>
        <w:rPr>
          <w:color w:val="231F1F"/>
          <w:spacing w:val="-11"/>
          <w:w w:val="110"/>
        </w:rPr>
        <w:t> </w:t>
      </w:r>
      <w:r>
        <w:rPr>
          <w:color w:val="231F1F"/>
          <w:spacing w:val="-2"/>
          <w:w w:val="110"/>
        </w:rPr>
        <w:t>las</w:t>
      </w:r>
      <w:r>
        <w:rPr>
          <w:color w:val="231F1F"/>
          <w:spacing w:val="-11"/>
          <w:w w:val="110"/>
        </w:rPr>
        <w:t> </w:t>
      </w:r>
      <w:r>
        <w:rPr>
          <w:color w:val="231F1F"/>
          <w:spacing w:val="-2"/>
          <w:w w:val="110"/>
        </w:rPr>
        <w:t>dosis</w:t>
      </w:r>
      <w:r>
        <w:rPr>
          <w:color w:val="231F1F"/>
          <w:spacing w:val="-11"/>
          <w:w w:val="110"/>
        </w:rPr>
        <w:t> </w:t>
      </w:r>
      <w:r>
        <w:rPr>
          <w:color w:val="231F1F"/>
          <w:spacing w:val="-2"/>
          <w:w w:val="110"/>
        </w:rPr>
        <w:t>bajas</w:t>
      </w:r>
      <w:r>
        <w:rPr>
          <w:color w:val="231F1F"/>
          <w:spacing w:val="-11"/>
          <w:w w:val="110"/>
        </w:rPr>
        <w:t> </w:t>
      </w:r>
      <w:r>
        <w:rPr>
          <w:color w:val="231F1F"/>
          <w:spacing w:val="-2"/>
          <w:w w:val="110"/>
        </w:rPr>
        <w:t>de</w:t>
      </w:r>
      <w:r>
        <w:rPr>
          <w:color w:val="231F1F"/>
          <w:spacing w:val="-11"/>
          <w:w w:val="110"/>
        </w:rPr>
        <w:t> </w:t>
      </w:r>
      <w:r>
        <w:rPr>
          <w:color w:val="231F1F"/>
          <w:spacing w:val="-2"/>
          <w:w w:val="110"/>
        </w:rPr>
        <w:t>opioides,</w:t>
      </w:r>
      <w:r>
        <w:rPr>
          <w:color w:val="231F1F"/>
          <w:spacing w:val="-11"/>
          <w:w w:val="110"/>
        </w:rPr>
        <w:t> </w:t>
      </w:r>
      <w:r>
        <w:rPr>
          <w:color w:val="231F1F"/>
          <w:spacing w:val="-2"/>
          <w:w w:val="110"/>
        </w:rPr>
        <w:t>utilizados</w:t>
      </w:r>
      <w:r>
        <w:rPr>
          <w:color w:val="231F1F"/>
          <w:spacing w:val="-11"/>
          <w:w w:val="110"/>
        </w:rPr>
        <w:t> </w:t>
      </w:r>
      <w:r>
        <w:rPr>
          <w:color w:val="231F1F"/>
          <w:spacing w:val="-2"/>
          <w:w w:val="110"/>
        </w:rPr>
        <w:t>en</w:t>
      </w:r>
      <w:r>
        <w:rPr>
          <w:color w:val="231F1F"/>
          <w:spacing w:val="-11"/>
          <w:w w:val="110"/>
        </w:rPr>
        <w:t> </w:t>
      </w:r>
      <w:r>
        <w:rPr>
          <w:color w:val="231F1F"/>
          <w:spacing w:val="-2"/>
          <w:w w:val="110"/>
        </w:rPr>
        <w:t>la</w:t>
      </w:r>
      <w:r>
        <w:rPr>
          <w:color w:val="231F1F"/>
          <w:spacing w:val="-11"/>
          <w:w w:val="110"/>
        </w:rPr>
        <w:t> </w:t>
      </w:r>
      <w:r>
        <w:rPr>
          <w:color w:val="231F1F"/>
          <w:spacing w:val="-2"/>
          <w:w w:val="110"/>
        </w:rPr>
        <w:t>analge- </w:t>
      </w:r>
      <w:r>
        <w:rPr>
          <w:color w:val="231F1F"/>
          <w:w w:val="110"/>
        </w:rPr>
        <w:t>sia de mujeres de parto sin analgesia epidural, inhiben la fiebre.</w:t>
      </w:r>
    </w:p>
    <w:p>
      <w:pPr>
        <w:pStyle w:val="BodyText"/>
        <w:spacing w:line="244" w:lineRule="auto" w:before="26"/>
        <w:ind w:left="283" w:right="50" w:firstLine="453"/>
        <w:jc w:val="both"/>
      </w:pPr>
      <w:r>
        <w:rPr>
          <w:color w:val="231F1F"/>
          <w:w w:val="110"/>
        </w:rPr>
        <w:t>De</w:t>
      </w:r>
      <w:r>
        <w:rPr>
          <w:color w:val="231F1F"/>
          <w:spacing w:val="-16"/>
          <w:w w:val="110"/>
        </w:rPr>
        <w:t> </w:t>
      </w:r>
      <w:r>
        <w:rPr>
          <w:color w:val="231F1F"/>
          <w:w w:val="110"/>
        </w:rPr>
        <w:t>esta</w:t>
      </w:r>
      <w:r>
        <w:rPr>
          <w:color w:val="231F1F"/>
          <w:spacing w:val="-15"/>
          <w:w w:val="110"/>
        </w:rPr>
        <w:t> </w:t>
      </w:r>
      <w:r>
        <w:rPr>
          <w:color w:val="231F1F"/>
          <w:w w:val="110"/>
        </w:rPr>
        <w:t>nueva</w:t>
      </w:r>
      <w:r>
        <w:rPr>
          <w:color w:val="231F1F"/>
          <w:spacing w:val="-15"/>
          <w:w w:val="110"/>
        </w:rPr>
        <w:t> </w:t>
      </w:r>
      <w:r>
        <w:rPr>
          <w:color w:val="231F1F"/>
          <w:w w:val="110"/>
        </w:rPr>
        <w:t>evidencia</w:t>
      </w:r>
      <w:r>
        <w:rPr>
          <w:color w:val="231F1F"/>
          <w:spacing w:val="-15"/>
          <w:w w:val="110"/>
        </w:rPr>
        <w:t> </w:t>
      </w:r>
      <w:r>
        <w:rPr>
          <w:color w:val="231F1F"/>
          <w:w w:val="110"/>
        </w:rPr>
        <w:t>se</w:t>
      </w:r>
      <w:r>
        <w:rPr>
          <w:color w:val="231F1F"/>
          <w:spacing w:val="-15"/>
          <w:w w:val="110"/>
        </w:rPr>
        <w:t> </w:t>
      </w:r>
      <w:r>
        <w:rPr>
          <w:color w:val="231F1F"/>
          <w:w w:val="110"/>
        </w:rPr>
        <w:t>concluye</w:t>
      </w:r>
      <w:r>
        <w:rPr>
          <w:color w:val="231F1F"/>
          <w:spacing w:val="-15"/>
          <w:w w:val="110"/>
        </w:rPr>
        <w:t> </w:t>
      </w:r>
      <w:r>
        <w:rPr>
          <w:color w:val="231F1F"/>
          <w:w w:val="110"/>
        </w:rPr>
        <w:t>que</w:t>
      </w:r>
      <w:r>
        <w:rPr>
          <w:color w:val="231F1F"/>
          <w:spacing w:val="-15"/>
          <w:w w:val="110"/>
        </w:rPr>
        <w:t> </w:t>
      </w:r>
      <w:r>
        <w:rPr>
          <w:color w:val="231F1F"/>
          <w:w w:val="110"/>
        </w:rPr>
        <w:t>la</w:t>
      </w:r>
      <w:r>
        <w:rPr>
          <w:color w:val="231F1F"/>
          <w:spacing w:val="-15"/>
          <w:w w:val="110"/>
        </w:rPr>
        <w:t> </w:t>
      </w:r>
      <w:r>
        <w:rPr>
          <w:color w:val="231F1F"/>
          <w:w w:val="110"/>
        </w:rPr>
        <w:t>analgesia</w:t>
      </w:r>
      <w:r>
        <w:rPr>
          <w:color w:val="231F1F"/>
          <w:spacing w:val="-16"/>
          <w:w w:val="110"/>
        </w:rPr>
        <w:t> </w:t>
      </w:r>
      <w:r>
        <w:rPr>
          <w:color w:val="231F1F"/>
          <w:w w:val="110"/>
        </w:rPr>
        <w:t>neuroaxial</w:t>
      </w:r>
      <w:r>
        <w:rPr>
          <w:color w:val="231F1F"/>
          <w:spacing w:val="-15"/>
          <w:w w:val="110"/>
        </w:rPr>
        <w:t> </w:t>
      </w:r>
      <w:r>
        <w:rPr>
          <w:color w:val="231F1F"/>
          <w:w w:val="110"/>
        </w:rPr>
        <w:t>es</w:t>
      </w:r>
      <w:r>
        <w:rPr>
          <w:color w:val="231F1F"/>
          <w:spacing w:val="-15"/>
          <w:w w:val="110"/>
        </w:rPr>
        <w:t> </w:t>
      </w:r>
      <w:r>
        <w:rPr>
          <w:color w:val="231F1F"/>
          <w:w w:val="110"/>
        </w:rPr>
        <w:t>más efectiva</w:t>
      </w:r>
      <w:r>
        <w:rPr>
          <w:color w:val="231F1F"/>
          <w:spacing w:val="-13"/>
          <w:w w:val="110"/>
        </w:rPr>
        <w:t> </w:t>
      </w:r>
      <w:r>
        <w:rPr>
          <w:color w:val="231F1F"/>
          <w:w w:val="110"/>
        </w:rPr>
        <w:t>en</w:t>
      </w:r>
      <w:r>
        <w:rPr>
          <w:color w:val="231F1F"/>
          <w:spacing w:val="-12"/>
          <w:w w:val="110"/>
        </w:rPr>
        <w:t> </w:t>
      </w:r>
      <w:r>
        <w:rPr>
          <w:color w:val="231F1F"/>
          <w:w w:val="110"/>
        </w:rPr>
        <w:t>términos</w:t>
      </w:r>
      <w:r>
        <w:rPr>
          <w:color w:val="231F1F"/>
          <w:spacing w:val="-13"/>
          <w:w w:val="110"/>
        </w:rPr>
        <w:t> </w:t>
      </w:r>
      <w:r>
        <w:rPr>
          <w:color w:val="231F1F"/>
          <w:w w:val="110"/>
        </w:rPr>
        <w:t>de</w:t>
      </w:r>
      <w:r>
        <w:rPr>
          <w:color w:val="231F1F"/>
          <w:spacing w:val="-13"/>
          <w:w w:val="110"/>
        </w:rPr>
        <w:t> </w:t>
      </w:r>
      <w:r>
        <w:rPr>
          <w:color w:val="231F1F"/>
          <w:w w:val="110"/>
        </w:rPr>
        <w:t>disminución</w:t>
      </w:r>
      <w:r>
        <w:rPr>
          <w:color w:val="231F1F"/>
          <w:spacing w:val="-12"/>
          <w:w w:val="110"/>
        </w:rPr>
        <w:t> </w:t>
      </w:r>
      <w:r>
        <w:rPr>
          <w:color w:val="231F1F"/>
          <w:w w:val="110"/>
        </w:rPr>
        <w:t>de</w:t>
      </w:r>
      <w:r>
        <w:rPr>
          <w:color w:val="231F1F"/>
          <w:spacing w:val="-13"/>
          <w:w w:val="110"/>
        </w:rPr>
        <w:t> </w:t>
      </w:r>
      <w:r>
        <w:rPr>
          <w:color w:val="231F1F"/>
          <w:w w:val="110"/>
        </w:rPr>
        <w:t>dolor</w:t>
      </w:r>
      <w:r>
        <w:rPr>
          <w:color w:val="231F1F"/>
          <w:spacing w:val="-13"/>
          <w:w w:val="110"/>
        </w:rPr>
        <w:t> </w:t>
      </w:r>
      <w:r>
        <w:rPr>
          <w:color w:val="231F1F"/>
          <w:w w:val="110"/>
        </w:rPr>
        <w:t>y</w:t>
      </w:r>
      <w:r>
        <w:rPr>
          <w:color w:val="231F1F"/>
          <w:spacing w:val="-12"/>
          <w:w w:val="110"/>
        </w:rPr>
        <w:t> </w:t>
      </w:r>
      <w:r>
        <w:rPr>
          <w:color w:val="231F1F"/>
          <w:w w:val="110"/>
        </w:rPr>
        <w:t>que</w:t>
      </w:r>
      <w:r>
        <w:rPr>
          <w:color w:val="231F1F"/>
          <w:spacing w:val="-13"/>
          <w:w w:val="110"/>
        </w:rPr>
        <w:t> </w:t>
      </w:r>
      <w:r>
        <w:rPr>
          <w:color w:val="231F1F"/>
          <w:w w:val="110"/>
        </w:rPr>
        <w:t>todavía</w:t>
      </w:r>
      <w:r>
        <w:rPr>
          <w:color w:val="231F1F"/>
          <w:spacing w:val="-12"/>
          <w:w w:val="110"/>
        </w:rPr>
        <w:t> </w:t>
      </w:r>
      <w:r>
        <w:rPr>
          <w:color w:val="231F1F"/>
          <w:w w:val="110"/>
        </w:rPr>
        <w:t>está</w:t>
      </w:r>
      <w:r>
        <w:rPr>
          <w:color w:val="231F1F"/>
          <w:spacing w:val="-12"/>
          <w:w w:val="110"/>
        </w:rPr>
        <w:t> </w:t>
      </w:r>
      <w:r>
        <w:rPr>
          <w:color w:val="231F1F"/>
          <w:w w:val="110"/>
        </w:rPr>
        <w:t>por</w:t>
      </w:r>
      <w:r>
        <w:rPr>
          <w:color w:val="231F1F"/>
          <w:spacing w:val="-13"/>
          <w:w w:val="110"/>
        </w:rPr>
        <w:t> </w:t>
      </w:r>
      <w:r>
        <w:rPr>
          <w:color w:val="231F1F"/>
          <w:w w:val="110"/>
        </w:rPr>
        <w:t>esclare- cerse la seguridad de la PCA IV de remifentanilo. Además, el riesgo de la</w:t>
      </w:r>
    </w:p>
    <w:p>
      <w:pPr>
        <w:spacing w:line="278" w:lineRule="auto" w:before="124"/>
        <w:ind w:left="359" w:right="513" w:hanging="78"/>
        <w:jc w:val="left"/>
        <w:rPr>
          <w:rFonts w:ascii="Arial MT"/>
          <w:sz w:val="18"/>
        </w:rPr>
      </w:pPr>
      <w:r>
        <w:rPr/>
        <w:br w:type="column"/>
      </w: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0"/>
        <w:rPr>
          <w:rFonts w:ascii="Arial MT"/>
          <w:sz w:val="18"/>
        </w:rPr>
      </w:pPr>
    </w:p>
    <w:p>
      <w:pPr>
        <w:spacing w:line="273" w:lineRule="auto" w:before="0"/>
        <w:ind w:left="359" w:right="513"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34"/>
        <w:rPr>
          <w:rFonts w:ascii="Arial MT"/>
          <w:sz w:val="18"/>
        </w:rPr>
      </w:pPr>
    </w:p>
    <w:p>
      <w:pPr>
        <w:spacing w:line="273" w:lineRule="auto" w:before="0"/>
        <w:ind w:left="359" w:right="513"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9"/>
        <w:rPr>
          <w:rFonts w:ascii="Arial MT"/>
          <w:sz w:val="18"/>
        </w:rPr>
      </w:pPr>
    </w:p>
    <w:p>
      <w:pPr>
        <w:spacing w:line="278" w:lineRule="auto" w:before="0"/>
        <w:ind w:left="359" w:right="513" w:hanging="78"/>
        <w:jc w:val="left"/>
        <w:rPr>
          <w:rFonts w:ascii="Arial MT"/>
          <w:sz w:val="18"/>
        </w:rPr>
      </w:pPr>
      <w:r>
        <w:rPr>
          <w:rFonts w:ascii="Arial MT"/>
          <w:color w:val="231F1F"/>
          <w:spacing w:val="-6"/>
          <w:sz w:val="18"/>
        </w:rPr>
        <w:t>ECA 1+</w:t>
      </w:r>
    </w:p>
    <w:p>
      <w:pPr>
        <w:spacing w:after="0" w:line="278" w:lineRule="auto"/>
        <w:jc w:val="left"/>
        <w:rPr>
          <w:rFonts w:ascii="Arial MT"/>
          <w:sz w:val="18"/>
        </w:rPr>
        <w:sectPr>
          <w:pgSz w:w="11900" w:h="16840"/>
          <w:pgMar w:header="0" w:footer="622" w:top="1560" w:bottom="820" w:left="1417" w:right="1559"/>
          <w:cols w:num="2" w:equalWidth="0">
            <w:col w:w="7598" w:space="159"/>
            <w:col w:w="1167"/>
          </w:cols>
        </w:sectPr>
      </w:pPr>
    </w:p>
    <w:p>
      <w:pPr>
        <w:pStyle w:val="BodyText"/>
        <w:spacing w:line="249" w:lineRule="auto" w:before="73"/>
        <w:ind w:left="283" w:right="1372"/>
        <w:jc w:val="both"/>
      </w:pPr>
      <w:r>
        <w:rPr>
          <w:color w:val="231F1F"/>
          <w:w w:val="105"/>
        </w:rPr>
        <w:t>depresión</w:t>
      </w:r>
      <w:r>
        <w:rPr>
          <w:color w:val="231F1F"/>
          <w:w w:val="105"/>
        </w:rPr>
        <w:t> respiratoria</w:t>
      </w:r>
      <w:r>
        <w:rPr>
          <w:color w:val="231F1F"/>
          <w:w w:val="105"/>
        </w:rPr>
        <w:t> justifica</w:t>
      </w:r>
      <w:r>
        <w:rPr>
          <w:color w:val="231F1F"/>
          <w:w w:val="105"/>
        </w:rPr>
        <w:t> una</w:t>
      </w:r>
      <w:r>
        <w:rPr>
          <w:color w:val="231F1F"/>
          <w:w w:val="105"/>
        </w:rPr>
        <w:t> estrecha</w:t>
      </w:r>
      <w:r>
        <w:rPr>
          <w:color w:val="231F1F"/>
          <w:w w:val="105"/>
        </w:rPr>
        <w:t> supervisión</w:t>
      </w:r>
      <w:r>
        <w:rPr>
          <w:color w:val="231F1F"/>
          <w:w w:val="105"/>
        </w:rPr>
        <w:t> del</w:t>
      </w:r>
      <w:r>
        <w:rPr>
          <w:color w:val="231F1F"/>
          <w:w w:val="105"/>
        </w:rPr>
        <w:t> anestesista</w:t>
      </w:r>
      <w:r>
        <w:rPr>
          <w:color w:val="231F1F"/>
          <w:w w:val="105"/>
        </w:rPr>
        <w:t> du- rante</w:t>
      </w:r>
      <w:r>
        <w:rPr>
          <w:color w:val="231F1F"/>
          <w:spacing w:val="-6"/>
          <w:w w:val="105"/>
        </w:rPr>
        <w:t> </w:t>
      </w:r>
      <w:r>
        <w:rPr>
          <w:color w:val="231F1F"/>
          <w:w w:val="105"/>
        </w:rPr>
        <w:t>la</w:t>
      </w:r>
      <w:r>
        <w:rPr>
          <w:color w:val="231F1F"/>
          <w:spacing w:val="-6"/>
          <w:w w:val="105"/>
        </w:rPr>
        <w:t> </w:t>
      </w:r>
      <w:r>
        <w:rPr>
          <w:color w:val="231F1F"/>
          <w:w w:val="105"/>
        </w:rPr>
        <w:t>utilización</w:t>
      </w:r>
      <w:r>
        <w:rPr>
          <w:color w:val="231F1F"/>
          <w:spacing w:val="-6"/>
          <w:w w:val="105"/>
        </w:rPr>
        <w:t> </w:t>
      </w:r>
      <w:r>
        <w:rPr>
          <w:color w:val="231F1F"/>
          <w:w w:val="105"/>
        </w:rPr>
        <w:t>de</w:t>
      </w:r>
      <w:r>
        <w:rPr>
          <w:color w:val="231F1F"/>
          <w:spacing w:val="-6"/>
          <w:w w:val="105"/>
        </w:rPr>
        <w:t> </w:t>
      </w:r>
      <w:r>
        <w:rPr>
          <w:color w:val="231F1F"/>
          <w:w w:val="105"/>
        </w:rPr>
        <w:t>remifentanilo.</w:t>
      </w:r>
      <w:r>
        <w:rPr>
          <w:color w:val="231F1F"/>
          <w:spacing w:val="-6"/>
          <w:w w:val="105"/>
        </w:rPr>
        <w:t> </w:t>
      </w:r>
      <w:r>
        <w:rPr>
          <w:color w:val="231F1F"/>
          <w:w w:val="105"/>
        </w:rPr>
        <w:t>No</w:t>
      </w:r>
      <w:r>
        <w:rPr>
          <w:color w:val="231F1F"/>
          <w:spacing w:val="-6"/>
          <w:w w:val="105"/>
        </w:rPr>
        <w:t> </w:t>
      </w:r>
      <w:r>
        <w:rPr>
          <w:color w:val="231F1F"/>
          <w:w w:val="105"/>
        </w:rPr>
        <w:t>existe</w:t>
      </w:r>
      <w:r>
        <w:rPr>
          <w:color w:val="231F1F"/>
          <w:spacing w:val="-6"/>
          <w:w w:val="105"/>
        </w:rPr>
        <w:t> </w:t>
      </w:r>
      <w:r>
        <w:rPr>
          <w:color w:val="231F1F"/>
          <w:w w:val="105"/>
        </w:rPr>
        <w:t>evidencia</w:t>
      </w:r>
      <w:r>
        <w:rPr>
          <w:color w:val="231F1F"/>
          <w:spacing w:val="-6"/>
          <w:w w:val="105"/>
        </w:rPr>
        <w:t> </w:t>
      </w:r>
      <w:r>
        <w:rPr>
          <w:color w:val="231F1F"/>
          <w:w w:val="105"/>
        </w:rPr>
        <w:t>sobre</w:t>
      </w:r>
      <w:r>
        <w:rPr>
          <w:color w:val="231F1F"/>
          <w:spacing w:val="-6"/>
          <w:w w:val="105"/>
        </w:rPr>
        <w:t> </w:t>
      </w:r>
      <w:r>
        <w:rPr>
          <w:color w:val="231F1F"/>
          <w:w w:val="105"/>
        </w:rPr>
        <w:t>cuál</w:t>
      </w:r>
      <w:r>
        <w:rPr>
          <w:color w:val="231F1F"/>
          <w:spacing w:val="-6"/>
          <w:w w:val="105"/>
        </w:rPr>
        <w:t> </w:t>
      </w:r>
      <w:r>
        <w:rPr>
          <w:color w:val="231F1F"/>
          <w:w w:val="105"/>
        </w:rPr>
        <w:t>es</w:t>
      </w:r>
      <w:r>
        <w:rPr>
          <w:color w:val="231F1F"/>
          <w:spacing w:val="-6"/>
          <w:w w:val="105"/>
        </w:rPr>
        <w:t> </w:t>
      </w:r>
      <w:r>
        <w:rPr>
          <w:color w:val="231F1F"/>
          <w:w w:val="105"/>
        </w:rPr>
        <w:t>la</w:t>
      </w:r>
      <w:r>
        <w:rPr>
          <w:color w:val="231F1F"/>
          <w:spacing w:val="-6"/>
          <w:w w:val="105"/>
        </w:rPr>
        <w:t> </w:t>
      </w:r>
      <w:r>
        <w:rPr>
          <w:color w:val="231F1F"/>
          <w:w w:val="105"/>
        </w:rPr>
        <w:t>dosis, tipo</w:t>
      </w:r>
      <w:r>
        <w:rPr>
          <w:color w:val="231F1F"/>
          <w:spacing w:val="34"/>
          <w:w w:val="105"/>
        </w:rPr>
        <w:t> </w:t>
      </w:r>
      <w:r>
        <w:rPr>
          <w:color w:val="231F1F"/>
          <w:w w:val="105"/>
        </w:rPr>
        <w:t>o</w:t>
      </w:r>
      <w:r>
        <w:rPr>
          <w:color w:val="231F1F"/>
          <w:spacing w:val="34"/>
          <w:w w:val="105"/>
        </w:rPr>
        <w:t> </w:t>
      </w:r>
      <w:r>
        <w:rPr>
          <w:color w:val="231F1F"/>
          <w:w w:val="105"/>
        </w:rPr>
        <w:t>vía</w:t>
      </w:r>
      <w:r>
        <w:rPr>
          <w:color w:val="231F1F"/>
          <w:spacing w:val="34"/>
          <w:w w:val="105"/>
        </w:rPr>
        <w:t> </w:t>
      </w:r>
      <w:r>
        <w:rPr>
          <w:color w:val="231F1F"/>
          <w:w w:val="105"/>
        </w:rPr>
        <w:t>de</w:t>
      </w:r>
      <w:r>
        <w:rPr>
          <w:color w:val="231F1F"/>
          <w:spacing w:val="33"/>
          <w:w w:val="105"/>
        </w:rPr>
        <w:t> </w:t>
      </w:r>
      <w:r>
        <w:rPr>
          <w:color w:val="231F1F"/>
          <w:w w:val="105"/>
        </w:rPr>
        <w:t>administración</w:t>
      </w:r>
      <w:r>
        <w:rPr>
          <w:color w:val="231F1F"/>
          <w:spacing w:val="34"/>
          <w:w w:val="105"/>
        </w:rPr>
        <w:t> </w:t>
      </w:r>
      <w:r>
        <w:rPr>
          <w:color w:val="231F1F"/>
          <w:w w:val="105"/>
        </w:rPr>
        <w:t>óptima</w:t>
      </w:r>
      <w:r>
        <w:rPr>
          <w:color w:val="231F1F"/>
          <w:spacing w:val="34"/>
          <w:w w:val="105"/>
        </w:rPr>
        <w:t> </w:t>
      </w:r>
      <w:r>
        <w:rPr>
          <w:color w:val="231F1F"/>
          <w:w w:val="105"/>
        </w:rPr>
        <w:t>de</w:t>
      </w:r>
      <w:r>
        <w:rPr>
          <w:color w:val="231F1F"/>
          <w:spacing w:val="34"/>
          <w:w w:val="105"/>
        </w:rPr>
        <w:t> </w:t>
      </w:r>
      <w:r>
        <w:rPr>
          <w:color w:val="231F1F"/>
          <w:w w:val="105"/>
        </w:rPr>
        <w:t>los</w:t>
      </w:r>
      <w:r>
        <w:rPr>
          <w:color w:val="231F1F"/>
          <w:spacing w:val="34"/>
          <w:w w:val="105"/>
        </w:rPr>
        <w:t> </w:t>
      </w:r>
      <w:r>
        <w:rPr>
          <w:color w:val="231F1F"/>
          <w:w w:val="105"/>
        </w:rPr>
        <w:t>opiodes</w:t>
      </w:r>
      <w:r>
        <w:rPr>
          <w:color w:val="231F1F"/>
          <w:spacing w:val="34"/>
          <w:w w:val="105"/>
        </w:rPr>
        <w:t> </w:t>
      </w:r>
      <w:r>
        <w:rPr>
          <w:color w:val="231F1F"/>
          <w:w w:val="105"/>
        </w:rPr>
        <w:t>a</w:t>
      </w:r>
      <w:r>
        <w:rPr>
          <w:color w:val="231F1F"/>
          <w:spacing w:val="33"/>
          <w:w w:val="105"/>
        </w:rPr>
        <w:t> </w:t>
      </w:r>
      <w:r>
        <w:rPr>
          <w:color w:val="231F1F"/>
          <w:w w:val="105"/>
        </w:rPr>
        <w:t>las</w:t>
      </w:r>
      <w:r>
        <w:rPr>
          <w:color w:val="231F1F"/>
          <w:spacing w:val="33"/>
          <w:w w:val="105"/>
        </w:rPr>
        <w:t> </w:t>
      </w:r>
      <w:r>
        <w:rPr>
          <w:color w:val="231F1F"/>
          <w:w w:val="105"/>
        </w:rPr>
        <w:t>mujeres</w:t>
      </w:r>
      <w:r>
        <w:rPr>
          <w:color w:val="231F1F"/>
          <w:spacing w:val="34"/>
          <w:w w:val="105"/>
        </w:rPr>
        <w:t> </w:t>
      </w:r>
      <w:r>
        <w:rPr>
          <w:color w:val="231F1F"/>
          <w:w w:val="105"/>
        </w:rPr>
        <w:t>de</w:t>
      </w:r>
      <w:r>
        <w:rPr>
          <w:color w:val="231F1F"/>
          <w:spacing w:val="33"/>
          <w:w w:val="105"/>
        </w:rPr>
        <w:t> </w:t>
      </w:r>
      <w:r>
        <w:rPr>
          <w:color w:val="231F1F"/>
          <w:w w:val="105"/>
        </w:rPr>
        <w:t>parto.</w:t>
      </w:r>
    </w:p>
    <w:p>
      <w:pPr>
        <w:pStyle w:val="BodyText"/>
        <w:spacing w:before="162"/>
      </w:pPr>
    </w:p>
    <w:p>
      <w:pPr>
        <w:spacing w:before="0"/>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9" w:lineRule="auto" w:before="44"/>
              <w:ind w:right="86"/>
              <w:jc w:val="both"/>
              <w:rPr>
                <w:sz w:val="22"/>
              </w:rPr>
            </w:pPr>
            <w:r>
              <w:rPr>
                <w:color w:val="231F1F"/>
                <w:w w:val="105"/>
                <w:sz w:val="22"/>
              </w:rPr>
              <w:t>Los</w:t>
            </w:r>
            <w:r>
              <w:rPr>
                <w:color w:val="231F1F"/>
                <w:w w:val="105"/>
                <w:sz w:val="22"/>
              </w:rPr>
              <w:t> </w:t>
            </w:r>
            <w:r>
              <w:rPr>
                <w:i/>
                <w:color w:val="231F1F"/>
                <w:w w:val="105"/>
                <w:sz w:val="22"/>
              </w:rPr>
              <w:t>opioides </w:t>
            </w:r>
            <w:r>
              <w:rPr>
                <w:color w:val="231F1F"/>
                <w:w w:val="105"/>
                <w:sz w:val="22"/>
              </w:rPr>
              <w:t>parenterales</w:t>
            </w:r>
            <w:r>
              <w:rPr>
                <w:color w:val="231F1F"/>
                <w:w w:val="105"/>
                <w:sz w:val="22"/>
              </w:rPr>
              <w:t> tienen</w:t>
            </w:r>
            <w:r>
              <w:rPr>
                <w:color w:val="231F1F"/>
                <w:w w:val="105"/>
                <w:sz w:val="22"/>
              </w:rPr>
              <w:t> un</w:t>
            </w:r>
            <w:r>
              <w:rPr>
                <w:color w:val="231F1F"/>
                <w:w w:val="105"/>
                <w:sz w:val="22"/>
              </w:rPr>
              <w:t> efecto</w:t>
            </w:r>
            <w:r>
              <w:rPr>
                <w:color w:val="231F1F"/>
                <w:w w:val="105"/>
                <w:sz w:val="22"/>
              </w:rPr>
              <w:t> moderado</w:t>
            </w:r>
            <w:r>
              <w:rPr>
                <w:color w:val="231F1F"/>
                <w:w w:val="105"/>
                <w:sz w:val="22"/>
              </w:rPr>
              <w:t> en</w:t>
            </w:r>
            <w:r>
              <w:rPr>
                <w:color w:val="231F1F"/>
                <w:w w:val="105"/>
                <w:sz w:val="22"/>
              </w:rPr>
              <w:t> el</w:t>
            </w:r>
            <w:r>
              <w:rPr>
                <w:color w:val="231F1F"/>
                <w:w w:val="105"/>
                <w:sz w:val="22"/>
              </w:rPr>
              <w:t> alivio</w:t>
            </w:r>
            <w:r>
              <w:rPr>
                <w:color w:val="231F1F"/>
                <w:w w:val="105"/>
                <w:sz w:val="22"/>
              </w:rPr>
              <w:t> del</w:t>
            </w:r>
            <w:r>
              <w:rPr>
                <w:color w:val="231F1F"/>
                <w:w w:val="105"/>
                <w:sz w:val="22"/>
              </w:rPr>
              <w:t> dolor</w:t>
            </w:r>
            <w:r>
              <w:rPr>
                <w:color w:val="231F1F"/>
                <w:spacing w:val="40"/>
                <w:w w:val="105"/>
                <w:sz w:val="22"/>
              </w:rPr>
              <w:t> </w:t>
            </w:r>
            <w:r>
              <w:rPr>
                <w:color w:val="231F1F"/>
                <w:w w:val="105"/>
                <w:sz w:val="22"/>
              </w:rPr>
              <w:t>del parto, independientemente del fármaco o vía de administración y pueden provocar náuseas y vómitos(297-299).</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1799" w:hRule="atLeast"/>
        </w:trPr>
        <w:tc>
          <w:tcPr>
            <w:tcW w:w="7373" w:type="dxa"/>
          </w:tcPr>
          <w:p>
            <w:pPr>
              <w:pStyle w:val="TableParagraph"/>
              <w:spacing w:line="249" w:lineRule="auto" w:before="44"/>
              <w:ind w:right="84"/>
              <w:jc w:val="both"/>
              <w:rPr>
                <w:sz w:val="22"/>
              </w:rPr>
            </w:pPr>
            <w:r>
              <w:rPr>
                <w:i/>
                <w:color w:val="231F1F"/>
                <w:w w:val="105"/>
                <w:sz w:val="22"/>
              </w:rPr>
              <w:t>Remifentanilo IV PCA </w:t>
            </w:r>
            <w:r>
              <w:rPr>
                <w:color w:val="231F1F"/>
                <w:w w:val="105"/>
                <w:sz w:val="22"/>
              </w:rPr>
              <w:t>en</w:t>
            </w:r>
            <w:r>
              <w:rPr>
                <w:color w:val="231F1F"/>
                <w:w w:val="105"/>
                <w:sz w:val="22"/>
              </w:rPr>
              <w:t> comparación</w:t>
            </w:r>
            <w:r>
              <w:rPr>
                <w:color w:val="231F1F"/>
                <w:w w:val="105"/>
                <w:sz w:val="22"/>
              </w:rPr>
              <w:t> con</w:t>
            </w:r>
            <w:r>
              <w:rPr>
                <w:color w:val="231F1F"/>
                <w:w w:val="105"/>
                <w:sz w:val="22"/>
              </w:rPr>
              <w:t> la</w:t>
            </w:r>
            <w:r>
              <w:rPr>
                <w:color w:val="231F1F"/>
                <w:w w:val="105"/>
                <w:sz w:val="22"/>
              </w:rPr>
              <w:t> analgesia</w:t>
            </w:r>
            <w:r>
              <w:rPr>
                <w:color w:val="231F1F"/>
                <w:w w:val="105"/>
                <w:sz w:val="22"/>
              </w:rPr>
              <w:t> de</w:t>
            </w:r>
            <w:r>
              <w:rPr>
                <w:color w:val="231F1F"/>
                <w:w w:val="105"/>
                <w:sz w:val="22"/>
              </w:rPr>
              <w:t> infusión</w:t>
            </w:r>
            <w:r>
              <w:rPr>
                <w:color w:val="231F1F"/>
                <w:w w:val="105"/>
                <w:sz w:val="22"/>
              </w:rPr>
              <w:t> de</w:t>
            </w:r>
            <w:r>
              <w:rPr>
                <w:color w:val="231F1F"/>
                <w:w w:val="105"/>
                <w:sz w:val="22"/>
              </w:rPr>
              <w:t> </w:t>
            </w:r>
            <w:r>
              <w:rPr>
                <w:i/>
                <w:color w:val="231F1F"/>
                <w:w w:val="105"/>
                <w:sz w:val="22"/>
              </w:rPr>
              <w:t>me- peridina</w:t>
            </w:r>
            <w:r>
              <w:rPr>
                <w:i/>
                <w:color w:val="231F1F"/>
                <w:spacing w:val="-6"/>
                <w:w w:val="105"/>
                <w:sz w:val="22"/>
              </w:rPr>
              <w:t> </w:t>
            </w:r>
            <w:r>
              <w:rPr>
                <w:i/>
                <w:color w:val="231F1F"/>
                <w:w w:val="105"/>
                <w:sz w:val="22"/>
              </w:rPr>
              <w:t>IV</w:t>
            </w:r>
            <w:r>
              <w:rPr>
                <w:color w:val="231F1F"/>
                <w:w w:val="105"/>
                <w:sz w:val="22"/>
              </w:rPr>
              <w:t>, presenta una mayor eficacia y menor fracaso analgésico, menor efecto</w:t>
            </w:r>
            <w:r>
              <w:rPr>
                <w:color w:val="231F1F"/>
                <w:w w:val="105"/>
                <w:sz w:val="22"/>
              </w:rPr>
              <w:t> sedante,</w:t>
            </w:r>
            <w:r>
              <w:rPr>
                <w:color w:val="231F1F"/>
                <w:w w:val="105"/>
                <w:sz w:val="22"/>
              </w:rPr>
              <w:t> menor</w:t>
            </w:r>
            <w:r>
              <w:rPr>
                <w:color w:val="231F1F"/>
                <w:w w:val="105"/>
                <w:sz w:val="22"/>
              </w:rPr>
              <w:t> aparición</w:t>
            </w:r>
            <w:r>
              <w:rPr>
                <w:color w:val="231F1F"/>
                <w:w w:val="105"/>
                <w:sz w:val="22"/>
              </w:rPr>
              <w:t> de</w:t>
            </w:r>
            <w:r>
              <w:rPr>
                <w:color w:val="231F1F"/>
                <w:w w:val="105"/>
                <w:sz w:val="22"/>
              </w:rPr>
              <w:t> patrones</w:t>
            </w:r>
            <w:r>
              <w:rPr>
                <w:color w:val="231F1F"/>
                <w:w w:val="105"/>
                <w:sz w:val="22"/>
              </w:rPr>
              <w:t> de</w:t>
            </w:r>
            <w:r>
              <w:rPr>
                <w:color w:val="231F1F"/>
                <w:w w:val="105"/>
                <w:sz w:val="22"/>
              </w:rPr>
              <w:t> FCF</w:t>
            </w:r>
            <w:r>
              <w:rPr>
                <w:color w:val="231F1F"/>
                <w:w w:val="105"/>
                <w:sz w:val="22"/>
              </w:rPr>
              <w:t> anómalos</w:t>
            </w:r>
            <w:r>
              <w:rPr>
                <w:color w:val="231F1F"/>
                <w:w w:val="105"/>
                <w:sz w:val="22"/>
              </w:rPr>
              <w:t> y</w:t>
            </w:r>
            <w:r>
              <w:rPr>
                <w:color w:val="231F1F"/>
                <w:w w:val="105"/>
                <w:sz w:val="22"/>
              </w:rPr>
              <w:t> menor desaturación</w:t>
            </w:r>
            <w:r>
              <w:rPr>
                <w:color w:val="231F1F"/>
                <w:w w:val="105"/>
                <w:sz w:val="22"/>
              </w:rPr>
              <w:t> de</w:t>
            </w:r>
            <w:r>
              <w:rPr>
                <w:color w:val="231F1F"/>
                <w:w w:val="105"/>
                <w:sz w:val="22"/>
              </w:rPr>
              <w:t> la</w:t>
            </w:r>
            <w:r>
              <w:rPr>
                <w:color w:val="231F1F"/>
                <w:w w:val="105"/>
                <w:sz w:val="22"/>
              </w:rPr>
              <w:t> hemoglobina,</w:t>
            </w:r>
            <w:r>
              <w:rPr>
                <w:color w:val="231F1F"/>
                <w:w w:val="105"/>
                <w:sz w:val="22"/>
              </w:rPr>
              <w:t> así</w:t>
            </w:r>
            <w:r>
              <w:rPr>
                <w:color w:val="231F1F"/>
                <w:w w:val="105"/>
                <w:sz w:val="22"/>
              </w:rPr>
              <w:t> como</w:t>
            </w:r>
            <w:r>
              <w:rPr>
                <w:color w:val="231F1F"/>
                <w:w w:val="105"/>
                <w:sz w:val="22"/>
              </w:rPr>
              <w:t> una</w:t>
            </w:r>
            <w:r>
              <w:rPr>
                <w:color w:val="231F1F"/>
                <w:w w:val="105"/>
                <w:sz w:val="22"/>
              </w:rPr>
              <w:t> mayor</w:t>
            </w:r>
            <w:r>
              <w:rPr>
                <w:color w:val="231F1F"/>
                <w:w w:val="105"/>
                <w:sz w:val="22"/>
              </w:rPr>
              <w:t> satisfacción</w:t>
            </w:r>
            <w:r>
              <w:rPr>
                <w:color w:val="231F1F"/>
                <w:w w:val="105"/>
                <w:sz w:val="22"/>
              </w:rPr>
              <w:t> materna. No</w:t>
            </w:r>
            <w:r>
              <w:rPr>
                <w:color w:val="231F1F"/>
                <w:spacing w:val="-1"/>
                <w:w w:val="105"/>
                <w:sz w:val="22"/>
              </w:rPr>
              <w:t> </w:t>
            </w:r>
            <w:r>
              <w:rPr>
                <w:color w:val="231F1F"/>
                <w:w w:val="105"/>
                <w:sz w:val="22"/>
              </w:rPr>
              <w:t>se</w:t>
            </w:r>
            <w:r>
              <w:rPr>
                <w:color w:val="231F1F"/>
                <w:spacing w:val="-1"/>
                <w:w w:val="105"/>
                <w:sz w:val="22"/>
              </w:rPr>
              <w:t> </w:t>
            </w:r>
            <w:r>
              <w:rPr>
                <w:color w:val="231F1F"/>
                <w:w w:val="105"/>
                <w:sz w:val="22"/>
              </w:rPr>
              <w:t>observan</w:t>
            </w:r>
            <w:r>
              <w:rPr>
                <w:color w:val="231F1F"/>
                <w:spacing w:val="-1"/>
                <w:w w:val="105"/>
                <w:sz w:val="22"/>
              </w:rPr>
              <w:t> </w:t>
            </w:r>
            <w:r>
              <w:rPr>
                <w:color w:val="231F1F"/>
                <w:w w:val="105"/>
                <w:sz w:val="22"/>
              </w:rPr>
              <w:t>diferencias</w:t>
            </w:r>
            <w:r>
              <w:rPr>
                <w:color w:val="231F1F"/>
                <w:spacing w:val="-2"/>
                <w:w w:val="105"/>
                <w:sz w:val="22"/>
              </w:rPr>
              <w:t> </w:t>
            </w:r>
            <w:r>
              <w:rPr>
                <w:color w:val="231F1F"/>
                <w:w w:val="105"/>
                <w:sz w:val="22"/>
              </w:rPr>
              <w:t>significativas</w:t>
            </w:r>
            <w:r>
              <w:rPr>
                <w:color w:val="231F1F"/>
                <w:spacing w:val="-1"/>
                <w:w w:val="105"/>
                <w:sz w:val="22"/>
              </w:rPr>
              <w:t> </w:t>
            </w:r>
            <w:r>
              <w:rPr>
                <w:color w:val="231F1F"/>
                <w:w w:val="105"/>
                <w:sz w:val="22"/>
              </w:rPr>
              <w:t>entre</w:t>
            </w:r>
            <w:r>
              <w:rPr>
                <w:color w:val="231F1F"/>
                <w:spacing w:val="-1"/>
                <w:w w:val="105"/>
                <w:sz w:val="22"/>
              </w:rPr>
              <w:t> </w:t>
            </w:r>
            <w:r>
              <w:rPr>
                <w:color w:val="231F1F"/>
                <w:w w:val="105"/>
                <w:sz w:val="22"/>
              </w:rPr>
              <w:t>los</w:t>
            </w:r>
            <w:r>
              <w:rPr>
                <w:color w:val="231F1F"/>
                <w:spacing w:val="-1"/>
                <w:w w:val="105"/>
                <w:sz w:val="22"/>
              </w:rPr>
              <w:t> </w:t>
            </w:r>
            <w:r>
              <w:rPr>
                <w:color w:val="231F1F"/>
                <w:w w:val="105"/>
                <w:sz w:val="22"/>
              </w:rPr>
              <w:t>dos</w:t>
            </w:r>
            <w:r>
              <w:rPr>
                <w:color w:val="231F1F"/>
                <w:spacing w:val="-1"/>
                <w:w w:val="105"/>
                <w:sz w:val="22"/>
              </w:rPr>
              <w:t> </w:t>
            </w:r>
            <w:r>
              <w:rPr>
                <w:color w:val="231F1F"/>
                <w:w w:val="105"/>
                <w:sz w:val="22"/>
              </w:rPr>
              <w:t>tratamientos</w:t>
            </w:r>
            <w:r>
              <w:rPr>
                <w:color w:val="231F1F"/>
                <w:spacing w:val="-1"/>
                <w:w w:val="105"/>
                <w:sz w:val="22"/>
              </w:rPr>
              <w:t> </w:t>
            </w:r>
            <w:r>
              <w:rPr>
                <w:color w:val="231F1F"/>
                <w:w w:val="105"/>
                <w:sz w:val="22"/>
              </w:rPr>
              <w:t>en</w:t>
            </w:r>
            <w:r>
              <w:rPr>
                <w:color w:val="231F1F"/>
                <w:spacing w:val="-1"/>
                <w:w w:val="105"/>
                <w:sz w:val="22"/>
              </w:rPr>
              <w:t> </w:t>
            </w:r>
            <w:r>
              <w:rPr>
                <w:color w:val="231F1F"/>
                <w:w w:val="105"/>
                <w:sz w:val="22"/>
              </w:rPr>
              <w:t>el</w:t>
            </w:r>
            <w:r>
              <w:rPr>
                <w:color w:val="231F1F"/>
                <w:spacing w:val="-1"/>
                <w:w w:val="105"/>
                <w:sz w:val="22"/>
              </w:rPr>
              <w:t> </w:t>
            </w:r>
            <w:r>
              <w:rPr>
                <w:color w:val="231F1F"/>
                <w:w w:val="105"/>
                <w:sz w:val="22"/>
              </w:rPr>
              <w:t>tipo de parto ni en los resultados neonatales (305).</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311"/>
              <w:rPr>
                <w:sz w:val="22"/>
              </w:rPr>
            </w:pPr>
            <w:r>
              <w:rPr>
                <w:color w:val="231F1F"/>
                <w:w w:val="105"/>
                <w:sz w:val="22"/>
              </w:rPr>
              <w:t>La</w:t>
            </w:r>
            <w:r>
              <w:rPr>
                <w:color w:val="231F1F"/>
                <w:spacing w:val="-8"/>
                <w:w w:val="105"/>
                <w:sz w:val="22"/>
              </w:rPr>
              <w:t> </w:t>
            </w:r>
            <w:r>
              <w:rPr>
                <w:color w:val="231F1F"/>
                <w:w w:val="105"/>
                <w:sz w:val="22"/>
              </w:rPr>
              <w:t>analgesia</w:t>
            </w:r>
            <w:r>
              <w:rPr>
                <w:color w:val="231F1F"/>
                <w:spacing w:val="-8"/>
                <w:w w:val="105"/>
                <w:sz w:val="22"/>
              </w:rPr>
              <w:t> </w:t>
            </w:r>
            <w:r>
              <w:rPr>
                <w:color w:val="231F1F"/>
                <w:w w:val="105"/>
                <w:sz w:val="22"/>
              </w:rPr>
              <w:t>con</w:t>
            </w:r>
            <w:r>
              <w:rPr>
                <w:color w:val="231F1F"/>
                <w:spacing w:val="-9"/>
                <w:w w:val="105"/>
                <w:sz w:val="22"/>
              </w:rPr>
              <w:t> </w:t>
            </w:r>
            <w:r>
              <w:rPr>
                <w:i/>
                <w:color w:val="231F1F"/>
                <w:w w:val="105"/>
                <w:sz w:val="22"/>
              </w:rPr>
              <w:t>remifentanilo</w:t>
            </w:r>
            <w:r>
              <w:rPr>
                <w:i/>
                <w:color w:val="231F1F"/>
                <w:spacing w:val="-10"/>
                <w:w w:val="105"/>
                <w:sz w:val="22"/>
              </w:rPr>
              <w:t> </w:t>
            </w:r>
            <w:r>
              <w:rPr>
                <w:i/>
                <w:color w:val="231F1F"/>
                <w:w w:val="105"/>
                <w:sz w:val="22"/>
              </w:rPr>
              <w:t>IV</w:t>
            </w:r>
            <w:r>
              <w:rPr>
                <w:i/>
                <w:color w:val="231F1F"/>
                <w:spacing w:val="-10"/>
                <w:w w:val="105"/>
                <w:sz w:val="22"/>
              </w:rPr>
              <w:t> </w:t>
            </w:r>
            <w:r>
              <w:rPr>
                <w:i/>
                <w:color w:val="231F1F"/>
                <w:w w:val="105"/>
                <w:sz w:val="22"/>
              </w:rPr>
              <w:t>PCA</w:t>
            </w:r>
            <w:r>
              <w:rPr>
                <w:i/>
                <w:color w:val="231F1F"/>
                <w:spacing w:val="-10"/>
                <w:w w:val="105"/>
                <w:sz w:val="22"/>
              </w:rPr>
              <w:t> </w:t>
            </w:r>
            <w:r>
              <w:rPr>
                <w:color w:val="231F1F"/>
                <w:w w:val="105"/>
                <w:sz w:val="22"/>
              </w:rPr>
              <w:t>es</w:t>
            </w:r>
            <w:r>
              <w:rPr>
                <w:color w:val="231F1F"/>
                <w:spacing w:val="-9"/>
                <w:w w:val="105"/>
                <w:sz w:val="22"/>
              </w:rPr>
              <w:t> </w:t>
            </w:r>
            <w:r>
              <w:rPr>
                <w:color w:val="231F1F"/>
                <w:w w:val="105"/>
                <w:sz w:val="22"/>
              </w:rPr>
              <w:t>menos</w:t>
            </w:r>
            <w:r>
              <w:rPr>
                <w:color w:val="231F1F"/>
                <w:spacing w:val="-9"/>
                <w:w w:val="105"/>
                <w:sz w:val="22"/>
              </w:rPr>
              <w:t> </w:t>
            </w:r>
            <w:r>
              <w:rPr>
                <w:color w:val="231F1F"/>
                <w:w w:val="105"/>
                <w:sz w:val="22"/>
              </w:rPr>
              <w:t>eficaz</w:t>
            </w:r>
            <w:r>
              <w:rPr>
                <w:color w:val="231F1F"/>
                <w:spacing w:val="-8"/>
                <w:w w:val="105"/>
                <w:sz w:val="22"/>
              </w:rPr>
              <w:t> </w:t>
            </w:r>
            <w:r>
              <w:rPr>
                <w:color w:val="231F1F"/>
                <w:w w:val="105"/>
                <w:sz w:val="22"/>
              </w:rPr>
              <w:t>en</w:t>
            </w:r>
            <w:r>
              <w:rPr>
                <w:color w:val="231F1F"/>
                <w:spacing w:val="-9"/>
                <w:w w:val="105"/>
                <w:sz w:val="22"/>
              </w:rPr>
              <w:t> </w:t>
            </w:r>
            <w:r>
              <w:rPr>
                <w:color w:val="231F1F"/>
                <w:w w:val="105"/>
                <w:sz w:val="22"/>
              </w:rPr>
              <w:t>la</w:t>
            </w:r>
            <w:r>
              <w:rPr>
                <w:color w:val="231F1F"/>
                <w:spacing w:val="-8"/>
                <w:w w:val="105"/>
                <w:sz w:val="22"/>
              </w:rPr>
              <w:t> </w:t>
            </w:r>
            <w:r>
              <w:rPr>
                <w:color w:val="231F1F"/>
                <w:w w:val="105"/>
                <w:sz w:val="22"/>
              </w:rPr>
              <w:t>disminución del dolor que la </w:t>
            </w:r>
            <w:r>
              <w:rPr>
                <w:i/>
                <w:color w:val="231F1F"/>
                <w:w w:val="105"/>
                <w:sz w:val="22"/>
              </w:rPr>
              <w:t>analgesia neuroaxial </w:t>
            </w:r>
            <w:r>
              <w:rPr>
                <w:color w:val="231F1F"/>
                <w:w w:val="105"/>
                <w:sz w:val="22"/>
              </w:rPr>
              <w:t>(307).</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964" w:hRule="atLeast"/>
        </w:trPr>
        <w:tc>
          <w:tcPr>
            <w:tcW w:w="7373" w:type="dxa"/>
          </w:tcPr>
          <w:p>
            <w:pPr>
              <w:pStyle w:val="TableParagraph"/>
              <w:spacing w:line="261" w:lineRule="auto" w:before="63"/>
              <w:ind w:right="91"/>
              <w:jc w:val="both"/>
              <w:rPr>
                <w:i/>
                <w:sz w:val="22"/>
              </w:rPr>
            </w:pPr>
            <w:r>
              <w:rPr>
                <w:color w:val="231F1F"/>
                <w:sz w:val="22"/>
              </w:rPr>
              <w:t>La analgesia mediante administración de </w:t>
            </w:r>
            <w:r>
              <w:rPr>
                <w:i/>
                <w:color w:val="231F1F"/>
                <w:sz w:val="22"/>
              </w:rPr>
              <w:t>remifentanilo IV </w:t>
            </w:r>
            <w:r>
              <w:rPr>
                <w:color w:val="231F1F"/>
                <w:sz w:val="22"/>
              </w:rPr>
              <w:t>produce menores</w:t>
            </w:r>
            <w:r>
              <w:rPr>
                <w:color w:val="231F1F"/>
                <w:spacing w:val="80"/>
                <w:sz w:val="22"/>
              </w:rPr>
              <w:t> </w:t>
            </w:r>
            <w:r>
              <w:rPr>
                <w:color w:val="231F1F"/>
                <w:sz w:val="22"/>
              </w:rPr>
              <w:t>tasas</w:t>
            </w:r>
            <w:r>
              <w:rPr>
                <w:color w:val="231F1F"/>
                <w:spacing w:val="40"/>
                <w:sz w:val="22"/>
              </w:rPr>
              <w:t> </w:t>
            </w:r>
            <w:r>
              <w:rPr>
                <w:color w:val="231F1F"/>
                <w:sz w:val="22"/>
              </w:rPr>
              <w:t>de</w:t>
            </w:r>
            <w:r>
              <w:rPr>
                <w:color w:val="231F1F"/>
                <w:spacing w:val="40"/>
                <w:sz w:val="22"/>
              </w:rPr>
              <w:t> </w:t>
            </w:r>
            <w:r>
              <w:rPr>
                <w:color w:val="231F1F"/>
                <w:sz w:val="22"/>
              </w:rPr>
              <w:t>fiebre</w:t>
            </w:r>
            <w:r>
              <w:rPr>
                <w:color w:val="231F1F"/>
                <w:spacing w:val="40"/>
                <w:sz w:val="22"/>
              </w:rPr>
              <w:t> </w:t>
            </w:r>
            <w:r>
              <w:rPr>
                <w:color w:val="231F1F"/>
                <w:sz w:val="22"/>
              </w:rPr>
              <w:t>materna</w:t>
            </w:r>
            <w:r>
              <w:rPr>
                <w:color w:val="231F1F"/>
                <w:spacing w:val="40"/>
                <w:sz w:val="22"/>
              </w:rPr>
              <w:t> </w:t>
            </w:r>
            <w:r>
              <w:rPr>
                <w:color w:val="231F1F"/>
                <w:sz w:val="22"/>
              </w:rPr>
              <w:t>intraparto,</w:t>
            </w:r>
            <w:r>
              <w:rPr>
                <w:color w:val="231F1F"/>
                <w:spacing w:val="40"/>
                <w:sz w:val="22"/>
              </w:rPr>
              <w:t> </w:t>
            </w:r>
            <w:r>
              <w:rPr>
                <w:color w:val="231F1F"/>
                <w:sz w:val="22"/>
              </w:rPr>
              <w:t>en</w:t>
            </w:r>
            <w:r>
              <w:rPr>
                <w:color w:val="231F1F"/>
                <w:spacing w:val="40"/>
                <w:sz w:val="22"/>
              </w:rPr>
              <w:t> </w:t>
            </w:r>
            <w:r>
              <w:rPr>
                <w:color w:val="231F1F"/>
                <w:sz w:val="22"/>
              </w:rPr>
              <w:t>comparación</w:t>
            </w:r>
            <w:r>
              <w:rPr>
                <w:color w:val="231F1F"/>
                <w:spacing w:val="40"/>
                <w:sz w:val="22"/>
              </w:rPr>
              <w:t> </w:t>
            </w:r>
            <w:r>
              <w:rPr>
                <w:color w:val="231F1F"/>
                <w:sz w:val="22"/>
              </w:rPr>
              <w:t>con</w:t>
            </w:r>
            <w:r>
              <w:rPr>
                <w:color w:val="231F1F"/>
                <w:spacing w:val="40"/>
                <w:sz w:val="22"/>
              </w:rPr>
              <w:t> </w:t>
            </w:r>
            <w:r>
              <w:rPr>
                <w:color w:val="231F1F"/>
                <w:sz w:val="22"/>
              </w:rPr>
              <w:t>la</w:t>
            </w:r>
            <w:r>
              <w:rPr>
                <w:color w:val="231F1F"/>
                <w:spacing w:val="40"/>
                <w:sz w:val="22"/>
              </w:rPr>
              <w:t> </w:t>
            </w:r>
            <w:r>
              <w:rPr>
                <w:color w:val="231F1F"/>
                <w:sz w:val="22"/>
              </w:rPr>
              <w:t>analgesia</w:t>
            </w:r>
            <w:r>
              <w:rPr>
                <w:color w:val="231F1F"/>
                <w:spacing w:val="40"/>
                <w:sz w:val="22"/>
              </w:rPr>
              <w:t> </w:t>
            </w:r>
            <w:r>
              <w:rPr>
                <w:i/>
                <w:color w:val="231F1F"/>
                <w:sz w:val="22"/>
              </w:rPr>
              <w:t>epidural con ropivacaína (308).</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54" w:lineRule="auto" w:before="49"/>
              <w:ind w:right="87"/>
              <w:jc w:val="both"/>
              <w:rPr>
                <w:sz w:val="22"/>
              </w:rPr>
            </w:pPr>
            <w:r>
              <w:rPr>
                <w:color w:val="231F1F"/>
                <w:w w:val="105"/>
                <w:sz w:val="22"/>
              </w:rPr>
              <w:t>La analgesia con </w:t>
            </w:r>
            <w:r>
              <w:rPr>
                <w:i/>
                <w:color w:val="231F1F"/>
                <w:w w:val="105"/>
                <w:sz w:val="22"/>
              </w:rPr>
              <w:t>remifentanilo IV PCA </w:t>
            </w:r>
            <w:r>
              <w:rPr>
                <w:color w:val="231F1F"/>
                <w:w w:val="105"/>
                <w:sz w:val="22"/>
              </w:rPr>
              <w:t>hace necesaria la administración de oxígeno suplementario debido al efecto depresor de la respiración, así como la monitorización de la SaO</w:t>
            </w:r>
            <w:r>
              <w:rPr>
                <w:color w:val="231F1F"/>
                <w:w w:val="105"/>
                <w:position w:val="-4"/>
                <w:sz w:val="12"/>
              </w:rPr>
              <w:t>2</w:t>
            </w:r>
            <w:r>
              <w:rPr>
                <w:color w:val="231F1F"/>
                <w:spacing w:val="36"/>
                <w:w w:val="105"/>
                <w:position w:val="-4"/>
                <w:sz w:val="12"/>
              </w:rPr>
              <w:t> </w:t>
            </w:r>
            <w:r>
              <w:rPr>
                <w:color w:val="231F1F"/>
                <w:w w:val="105"/>
                <w:sz w:val="22"/>
              </w:rPr>
              <w:t>debido al riesgo de hipoxemia existente (307).</w:t>
            </w:r>
          </w:p>
        </w:tc>
        <w:tc>
          <w:tcPr>
            <w:tcW w:w="1133" w:type="dxa"/>
          </w:tcPr>
          <w:p>
            <w:pPr>
              <w:pStyle w:val="TableParagraph"/>
              <w:spacing w:before="64"/>
              <w:ind w:left="0"/>
              <w:rPr>
                <w:rFonts w:ascii="Arial MT"/>
                <w:sz w:val="22"/>
              </w:rPr>
            </w:pPr>
          </w:p>
          <w:p>
            <w:pPr>
              <w:pStyle w:val="TableParagraph"/>
              <w:ind w:left="49" w:right="23"/>
              <w:jc w:val="center"/>
              <w:rPr>
                <w:sz w:val="22"/>
              </w:rPr>
            </w:pPr>
            <w:r>
              <w:rPr>
                <w:color w:val="231F1F"/>
                <w:spacing w:val="-5"/>
                <w:w w:val="105"/>
                <w:sz w:val="22"/>
              </w:rPr>
              <w:t>1+</w:t>
            </w:r>
          </w:p>
        </w:tc>
      </w:tr>
      <w:tr>
        <w:trPr>
          <w:trHeight w:val="685" w:hRule="atLeast"/>
        </w:trPr>
        <w:tc>
          <w:tcPr>
            <w:tcW w:w="7373" w:type="dxa"/>
          </w:tcPr>
          <w:p>
            <w:pPr>
              <w:pStyle w:val="TableParagraph"/>
              <w:spacing w:line="244" w:lineRule="auto" w:before="53"/>
              <w:ind w:right="156"/>
              <w:rPr>
                <w:sz w:val="22"/>
              </w:rPr>
            </w:pPr>
            <w:r>
              <w:rPr>
                <w:color w:val="231F1F"/>
                <w:w w:val="105"/>
                <w:sz w:val="22"/>
              </w:rPr>
              <w:t>Existe</w:t>
            </w:r>
            <w:r>
              <w:rPr>
                <w:color w:val="231F1F"/>
                <w:spacing w:val="-8"/>
                <w:w w:val="105"/>
                <w:sz w:val="22"/>
              </w:rPr>
              <w:t> </w:t>
            </w:r>
            <w:r>
              <w:rPr>
                <w:color w:val="231F1F"/>
                <w:w w:val="105"/>
                <w:sz w:val="22"/>
              </w:rPr>
              <w:t>falta</w:t>
            </w:r>
            <w:r>
              <w:rPr>
                <w:color w:val="231F1F"/>
                <w:spacing w:val="-7"/>
                <w:w w:val="105"/>
                <w:sz w:val="22"/>
              </w:rPr>
              <w:t> </w:t>
            </w:r>
            <w:r>
              <w:rPr>
                <w:color w:val="231F1F"/>
                <w:w w:val="105"/>
                <w:sz w:val="22"/>
              </w:rPr>
              <w:t>de</w:t>
            </w:r>
            <w:r>
              <w:rPr>
                <w:color w:val="231F1F"/>
                <w:spacing w:val="-8"/>
                <w:w w:val="105"/>
                <w:sz w:val="22"/>
              </w:rPr>
              <w:t> </w:t>
            </w:r>
            <w:r>
              <w:rPr>
                <w:color w:val="231F1F"/>
                <w:w w:val="105"/>
                <w:sz w:val="22"/>
              </w:rPr>
              <w:t>evidencia</w:t>
            </w:r>
            <w:r>
              <w:rPr>
                <w:color w:val="231F1F"/>
                <w:spacing w:val="-7"/>
                <w:w w:val="105"/>
                <w:sz w:val="22"/>
              </w:rPr>
              <w:t> </w:t>
            </w:r>
            <w:r>
              <w:rPr>
                <w:color w:val="231F1F"/>
                <w:w w:val="105"/>
                <w:sz w:val="22"/>
              </w:rPr>
              <w:t>de</w:t>
            </w:r>
            <w:r>
              <w:rPr>
                <w:color w:val="231F1F"/>
                <w:spacing w:val="-8"/>
                <w:w w:val="105"/>
                <w:sz w:val="22"/>
              </w:rPr>
              <w:t> </w:t>
            </w:r>
            <w:r>
              <w:rPr>
                <w:color w:val="231F1F"/>
                <w:w w:val="105"/>
                <w:sz w:val="22"/>
              </w:rPr>
              <w:t>la</w:t>
            </w:r>
            <w:r>
              <w:rPr>
                <w:color w:val="231F1F"/>
                <w:spacing w:val="-7"/>
                <w:w w:val="105"/>
                <w:sz w:val="22"/>
              </w:rPr>
              <w:t> </w:t>
            </w:r>
            <w:r>
              <w:rPr>
                <w:color w:val="231F1F"/>
                <w:w w:val="105"/>
                <w:sz w:val="22"/>
              </w:rPr>
              <w:t>dosis</w:t>
            </w:r>
            <w:r>
              <w:rPr>
                <w:color w:val="231F1F"/>
                <w:spacing w:val="-8"/>
                <w:w w:val="105"/>
                <w:sz w:val="22"/>
              </w:rPr>
              <w:t> </w:t>
            </w:r>
            <w:r>
              <w:rPr>
                <w:color w:val="231F1F"/>
                <w:w w:val="105"/>
                <w:sz w:val="22"/>
              </w:rPr>
              <w:t>óptima,</w:t>
            </w:r>
            <w:r>
              <w:rPr>
                <w:color w:val="231F1F"/>
                <w:spacing w:val="-7"/>
                <w:w w:val="105"/>
                <w:sz w:val="22"/>
              </w:rPr>
              <w:t> </w:t>
            </w:r>
            <w:r>
              <w:rPr>
                <w:color w:val="231F1F"/>
                <w:w w:val="105"/>
                <w:sz w:val="22"/>
              </w:rPr>
              <w:t>así</w:t>
            </w:r>
            <w:r>
              <w:rPr>
                <w:color w:val="231F1F"/>
                <w:spacing w:val="-8"/>
                <w:w w:val="105"/>
                <w:sz w:val="22"/>
              </w:rPr>
              <w:t> </w:t>
            </w:r>
            <w:r>
              <w:rPr>
                <w:color w:val="231F1F"/>
                <w:w w:val="105"/>
                <w:sz w:val="22"/>
              </w:rPr>
              <w:t>como</w:t>
            </w:r>
            <w:r>
              <w:rPr>
                <w:color w:val="231F1F"/>
                <w:spacing w:val="-7"/>
                <w:w w:val="105"/>
                <w:sz w:val="22"/>
              </w:rPr>
              <w:t> </w:t>
            </w:r>
            <w:r>
              <w:rPr>
                <w:color w:val="231F1F"/>
                <w:w w:val="105"/>
                <w:sz w:val="22"/>
              </w:rPr>
              <w:t>del</w:t>
            </w:r>
            <w:r>
              <w:rPr>
                <w:color w:val="231F1F"/>
                <w:spacing w:val="-8"/>
                <w:w w:val="105"/>
                <w:sz w:val="22"/>
              </w:rPr>
              <w:t> </w:t>
            </w:r>
            <w:r>
              <w:rPr>
                <w:color w:val="231F1F"/>
                <w:w w:val="105"/>
                <w:sz w:val="22"/>
              </w:rPr>
              <w:t>efecto</w:t>
            </w:r>
            <w:r>
              <w:rPr>
                <w:color w:val="231F1F"/>
                <w:spacing w:val="-7"/>
                <w:w w:val="105"/>
                <w:sz w:val="22"/>
              </w:rPr>
              <w:t> </w:t>
            </w:r>
            <w:r>
              <w:rPr>
                <w:color w:val="231F1F"/>
                <w:w w:val="105"/>
                <w:sz w:val="22"/>
              </w:rPr>
              <w:t>de</w:t>
            </w:r>
            <w:r>
              <w:rPr>
                <w:color w:val="231F1F"/>
                <w:spacing w:val="-8"/>
                <w:w w:val="105"/>
                <w:sz w:val="22"/>
              </w:rPr>
              <w:t> </w:t>
            </w:r>
            <w:r>
              <w:rPr>
                <w:color w:val="231F1F"/>
                <w:w w:val="105"/>
                <w:sz w:val="22"/>
              </w:rPr>
              <w:t>los</w:t>
            </w:r>
            <w:r>
              <w:rPr>
                <w:color w:val="231F1F"/>
                <w:spacing w:val="-7"/>
                <w:w w:val="105"/>
                <w:sz w:val="22"/>
              </w:rPr>
              <w:t> </w:t>
            </w:r>
            <w:r>
              <w:rPr>
                <w:color w:val="231F1F"/>
                <w:w w:val="105"/>
                <w:sz w:val="22"/>
              </w:rPr>
              <w:t>opioi- des sobre el RN, particularmente en la lactancia.</w:t>
            </w:r>
          </w:p>
        </w:tc>
        <w:tc>
          <w:tcPr>
            <w:tcW w:w="1133" w:type="dxa"/>
          </w:tcPr>
          <w:p>
            <w:pPr>
              <w:pStyle w:val="TableParagraph"/>
              <w:ind w:left="0"/>
              <w:rPr>
                <w:sz w:val="22"/>
              </w:rPr>
            </w:pPr>
          </w:p>
        </w:tc>
      </w:tr>
    </w:tbl>
    <w:p>
      <w:pPr>
        <w:pStyle w:val="BodyText"/>
        <w:spacing w:before="120"/>
        <w:rPr>
          <w:rFonts w:ascii="Arial MT"/>
          <w:sz w:val="24"/>
        </w:rPr>
      </w:pPr>
    </w:p>
    <w:p>
      <w:pPr>
        <w:spacing w:before="1"/>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959" w:hRule="atLeast"/>
        </w:trPr>
        <w:tc>
          <w:tcPr>
            <w:tcW w:w="456" w:type="dxa"/>
          </w:tcPr>
          <w:p>
            <w:pPr>
              <w:pStyle w:val="TableParagraph"/>
              <w:spacing w:before="64"/>
              <w:ind w:left="0"/>
              <w:rPr>
                <w:rFonts w:ascii="Arial MT"/>
                <w:sz w:val="22"/>
              </w:rPr>
            </w:pPr>
          </w:p>
          <w:p>
            <w:pPr>
              <w:pStyle w:val="TableParagraph"/>
              <w:ind w:left="46" w:right="43"/>
              <w:jc w:val="center"/>
              <w:rPr>
                <w:sz w:val="22"/>
              </w:rPr>
            </w:pPr>
            <w:r>
              <w:rPr>
                <w:color w:val="231F1F"/>
                <w:spacing w:val="-10"/>
                <w:w w:val="115"/>
                <w:sz w:val="22"/>
              </w:rPr>
              <w:t>A</w:t>
            </w:r>
          </w:p>
        </w:tc>
        <w:tc>
          <w:tcPr>
            <w:tcW w:w="8050" w:type="dxa"/>
          </w:tcPr>
          <w:p>
            <w:pPr>
              <w:pStyle w:val="TableParagraph"/>
              <w:spacing w:line="244" w:lineRule="auto" w:before="44"/>
              <w:ind w:right="87"/>
              <w:jc w:val="both"/>
              <w:rPr>
                <w:sz w:val="22"/>
              </w:rPr>
            </w:pPr>
            <w:r>
              <w:rPr>
                <w:color w:val="231F1F"/>
                <w:w w:val="110"/>
                <w:sz w:val="22"/>
              </w:rPr>
              <w:t>Si</w:t>
            </w:r>
            <w:r>
              <w:rPr>
                <w:color w:val="231F1F"/>
                <w:spacing w:val="-10"/>
                <w:w w:val="110"/>
                <w:sz w:val="22"/>
              </w:rPr>
              <w:t> </w:t>
            </w:r>
            <w:r>
              <w:rPr>
                <w:color w:val="231F1F"/>
                <w:w w:val="110"/>
                <w:sz w:val="22"/>
              </w:rPr>
              <w:t>se</w:t>
            </w:r>
            <w:r>
              <w:rPr>
                <w:color w:val="231F1F"/>
                <w:spacing w:val="-10"/>
                <w:w w:val="110"/>
                <w:sz w:val="22"/>
              </w:rPr>
              <w:t> </w:t>
            </w:r>
            <w:r>
              <w:rPr>
                <w:color w:val="231F1F"/>
                <w:w w:val="110"/>
                <w:sz w:val="22"/>
              </w:rPr>
              <w:t>elije</w:t>
            </w:r>
            <w:r>
              <w:rPr>
                <w:color w:val="231F1F"/>
                <w:spacing w:val="-10"/>
                <w:w w:val="110"/>
                <w:sz w:val="22"/>
              </w:rPr>
              <w:t> </w:t>
            </w:r>
            <w:r>
              <w:rPr>
                <w:color w:val="231F1F"/>
                <w:w w:val="110"/>
                <w:sz w:val="22"/>
              </w:rPr>
              <w:t>la</w:t>
            </w:r>
            <w:r>
              <w:rPr>
                <w:color w:val="231F1F"/>
                <w:spacing w:val="-9"/>
                <w:w w:val="110"/>
                <w:sz w:val="22"/>
              </w:rPr>
              <w:t> </w:t>
            </w:r>
            <w:r>
              <w:rPr>
                <w:color w:val="231F1F"/>
                <w:w w:val="110"/>
                <w:sz w:val="22"/>
              </w:rPr>
              <w:t>administración</w:t>
            </w:r>
            <w:r>
              <w:rPr>
                <w:color w:val="231F1F"/>
                <w:spacing w:val="-10"/>
                <w:w w:val="110"/>
                <w:sz w:val="22"/>
              </w:rPr>
              <w:t> </w:t>
            </w:r>
            <w:r>
              <w:rPr>
                <w:color w:val="231F1F"/>
                <w:w w:val="110"/>
                <w:sz w:val="22"/>
              </w:rPr>
              <w:t>de</w:t>
            </w:r>
            <w:r>
              <w:rPr>
                <w:color w:val="231F1F"/>
                <w:spacing w:val="-10"/>
                <w:w w:val="110"/>
                <w:sz w:val="22"/>
              </w:rPr>
              <w:t> </w:t>
            </w:r>
            <w:r>
              <w:rPr>
                <w:b/>
                <w:color w:val="231F1F"/>
                <w:w w:val="110"/>
                <w:sz w:val="22"/>
              </w:rPr>
              <w:t>opioides</w:t>
            </w:r>
            <w:r>
              <w:rPr>
                <w:b/>
                <w:color w:val="231F1F"/>
                <w:spacing w:val="-10"/>
                <w:w w:val="110"/>
                <w:sz w:val="22"/>
              </w:rPr>
              <w:t> </w:t>
            </w:r>
            <w:r>
              <w:rPr>
                <w:color w:val="231F1F"/>
                <w:w w:val="110"/>
                <w:sz w:val="22"/>
              </w:rPr>
              <w:t>parenterales</w:t>
            </w:r>
            <w:r>
              <w:rPr>
                <w:color w:val="231F1F"/>
                <w:spacing w:val="-10"/>
                <w:w w:val="110"/>
                <w:sz w:val="22"/>
              </w:rPr>
              <w:t> </w:t>
            </w:r>
            <w:r>
              <w:rPr>
                <w:color w:val="231F1F"/>
                <w:w w:val="110"/>
                <w:sz w:val="22"/>
              </w:rPr>
              <w:t>como</w:t>
            </w:r>
            <w:r>
              <w:rPr>
                <w:color w:val="231F1F"/>
                <w:spacing w:val="-9"/>
                <w:w w:val="110"/>
                <w:sz w:val="22"/>
              </w:rPr>
              <w:t> </w:t>
            </w:r>
            <w:r>
              <w:rPr>
                <w:color w:val="231F1F"/>
                <w:w w:val="110"/>
                <w:sz w:val="22"/>
              </w:rPr>
              <w:t>método</w:t>
            </w:r>
            <w:r>
              <w:rPr>
                <w:color w:val="231F1F"/>
                <w:spacing w:val="-9"/>
                <w:w w:val="110"/>
                <w:sz w:val="22"/>
              </w:rPr>
              <w:t> </w:t>
            </w:r>
            <w:r>
              <w:rPr>
                <w:color w:val="231F1F"/>
                <w:w w:val="110"/>
                <w:sz w:val="22"/>
              </w:rPr>
              <w:t>analgésico,</w:t>
            </w:r>
            <w:r>
              <w:rPr>
                <w:color w:val="231F1F"/>
                <w:spacing w:val="-10"/>
                <w:w w:val="110"/>
                <w:sz w:val="22"/>
              </w:rPr>
              <w:t> </w:t>
            </w:r>
            <w:r>
              <w:rPr>
                <w:color w:val="231F1F"/>
                <w:w w:val="110"/>
                <w:sz w:val="22"/>
              </w:rPr>
              <w:t>se recomienda</w:t>
            </w:r>
            <w:r>
              <w:rPr>
                <w:color w:val="231F1F"/>
                <w:spacing w:val="-10"/>
                <w:w w:val="110"/>
                <w:sz w:val="22"/>
              </w:rPr>
              <w:t> </w:t>
            </w:r>
            <w:r>
              <w:rPr>
                <w:color w:val="231F1F"/>
                <w:w w:val="110"/>
                <w:sz w:val="22"/>
              </w:rPr>
              <w:t>informar</w:t>
            </w:r>
            <w:r>
              <w:rPr>
                <w:color w:val="231F1F"/>
                <w:spacing w:val="-11"/>
                <w:w w:val="110"/>
                <w:sz w:val="22"/>
              </w:rPr>
              <w:t> </w:t>
            </w:r>
            <w:r>
              <w:rPr>
                <w:color w:val="231F1F"/>
                <w:w w:val="110"/>
                <w:sz w:val="22"/>
              </w:rPr>
              <w:t>que</w:t>
            </w:r>
            <w:r>
              <w:rPr>
                <w:color w:val="231F1F"/>
                <w:spacing w:val="-10"/>
                <w:w w:val="110"/>
                <w:sz w:val="22"/>
              </w:rPr>
              <w:t> </w:t>
            </w:r>
            <w:r>
              <w:rPr>
                <w:color w:val="231F1F"/>
                <w:w w:val="110"/>
                <w:sz w:val="22"/>
              </w:rPr>
              <w:t>éstos</w:t>
            </w:r>
            <w:r>
              <w:rPr>
                <w:color w:val="231F1F"/>
                <w:spacing w:val="-10"/>
                <w:w w:val="110"/>
                <w:sz w:val="22"/>
              </w:rPr>
              <w:t> </w:t>
            </w:r>
            <w:r>
              <w:rPr>
                <w:color w:val="231F1F"/>
                <w:w w:val="110"/>
                <w:sz w:val="22"/>
              </w:rPr>
              <w:t>tienen</w:t>
            </w:r>
            <w:r>
              <w:rPr>
                <w:color w:val="231F1F"/>
                <w:spacing w:val="-10"/>
                <w:w w:val="110"/>
                <w:sz w:val="22"/>
              </w:rPr>
              <w:t> </w:t>
            </w:r>
            <w:r>
              <w:rPr>
                <w:color w:val="231F1F"/>
                <w:w w:val="110"/>
                <w:sz w:val="22"/>
              </w:rPr>
              <w:t>un</w:t>
            </w:r>
            <w:r>
              <w:rPr>
                <w:color w:val="231F1F"/>
                <w:spacing w:val="-10"/>
                <w:w w:val="110"/>
                <w:sz w:val="22"/>
              </w:rPr>
              <w:t> </w:t>
            </w:r>
            <w:r>
              <w:rPr>
                <w:color w:val="231F1F"/>
                <w:w w:val="110"/>
                <w:sz w:val="22"/>
              </w:rPr>
              <w:t>efecto</w:t>
            </w:r>
            <w:r>
              <w:rPr>
                <w:color w:val="231F1F"/>
                <w:spacing w:val="-10"/>
                <w:w w:val="110"/>
                <w:sz w:val="22"/>
              </w:rPr>
              <w:t> </w:t>
            </w:r>
            <w:r>
              <w:rPr>
                <w:color w:val="231F1F"/>
                <w:w w:val="110"/>
                <w:sz w:val="22"/>
              </w:rPr>
              <w:t>analgésico</w:t>
            </w:r>
            <w:r>
              <w:rPr>
                <w:color w:val="231F1F"/>
                <w:spacing w:val="-10"/>
                <w:w w:val="110"/>
                <w:sz w:val="22"/>
              </w:rPr>
              <w:t> </w:t>
            </w:r>
            <w:r>
              <w:rPr>
                <w:color w:val="231F1F"/>
                <w:w w:val="110"/>
                <w:sz w:val="22"/>
              </w:rPr>
              <w:t>limitado</w:t>
            </w:r>
            <w:r>
              <w:rPr>
                <w:color w:val="231F1F"/>
                <w:spacing w:val="-10"/>
                <w:w w:val="110"/>
                <w:sz w:val="22"/>
              </w:rPr>
              <w:t> </w:t>
            </w:r>
            <w:r>
              <w:rPr>
                <w:color w:val="231F1F"/>
                <w:w w:val="110"/>
                <w:sz w:val="22"/>
              </w:rPr>
              <w:t>y</w:t>
            </w:r>
            <w:r>
              <w:rPr>
                <w:color w:val="231F1F"/>
                <w:spacing w:val="-10"/>
                <w:w w:val="110"/>
                <w:sz w:val="22"/>
              </w:rPr>
              <w:t> </w:t>
            </w:r>
            <w:r>
              <w:rPr>
                <w:color w:val="231F1F"/>
                <w:w w:val="110"/>
                <w:sz w:val="22"/>
              </w:rPr>
              <w:t>que</w:t>
            </w:r>
            <w:r>
              <w:rPr>
                <w:color w:val="231F1F"/>
                <w:spacing w:val="-10"/>
                <w:w w:val="110"/>
                <w:sz w:val="22"/>
              </w:rPr>
              <w:t> </w:t>
            </w:r>
            <w:r>
              <w:rPr>
                <w:color w:val="231F1F"/>
                <w:w w:val="110"/>
                <w:sz w:val="22"/>
              </w:rPr>
              <w:t>pueden provocar náuseas y vómitos.</w:t>
            </w:r>
          </w:p>
        </w:tc>
      </w:tr>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53"/>
              <w:ind w:right="155"/>
              <w:rPr>
                <w:sz w:val="22"/>
              </w:rPr>
            </w:pPr>
            <w:r>
              <w:rPr>
                <w:color w:val="231F1F"/>
                <w:sz w:val="22"/>
              </w:rPr>
              <w:t>Se</w:t>
            </w:r>
            <w:r>
              <w:rPr>
                <w:color w:val="231F1F"/>
                <w:spacing w:val="27"/>
                <w:sz w:val="22"/>
              </w:rPr>
              <w:t> </w:t>
            </w:r>
            <w:r>
              <w:rPr>
                <w:color w:val="231F1F"/>
                <w:sz w:val="22"/>
              </w:rPr>
              <w:t>recomienda</w:t>
            </w:r>
            <w:r>
              <w:rPr>
                <w:color w:val="231F1F"/>
                <w:spacing w:val="29"/>
                <w:sz w:val="22"/>
              </w:rPr>
              <w:t> </w:t>
            </w:r>
            <w:r>
              <w:rPr>
                <w:color w:val="231F1F"/>
                <w:sz w:val="22"/>
              </w:rPr>
              <w:t>la</w:t>
            </w:r>
            <w:r>
              <w:rPr>
                <w:color w:val="231F1F"/>
                <w:spacing w:val="28"/>
                <w:sz w:val="22"/>
              </w:rPr>
              <w:t> </w:t>
            </w:r>
            <w:r>
              <w:rPr>
                <w:color w:val="231F1F"/>
                <w:sz w:val="22"/>
              </w:rPr>
              <w:t>administración</w:t>
            </w:r>
            <w:r>
              <w:rPr>
                <w:color w:val="231F1F"/>
                <w:spacing w:val="27"/>
                <w:sz w:val="22"/>
              </w:rPr>
              <w:t> </w:t>
            </w:r>
            <w:r>
              <w:rPr>
                <w:color w:val="231F1F"/>
                <w:sz w:val="22"/>
              </w:rPr>
              <w:t>de</w:t>
            </w:r>
            <w:r>
              <w:rPr>
                <w:color w:val="231F1F"/>
                <w:spacing w:val="28"/>
                <w:sz w:val="22"/>
              </w:rPr>
              <w:t> </w:t>
            </w:r>
            <w:r>
              <w:rPr>
                <w:color w:val="231F1F"/>
                <w:sz w:val="22"/>
              </w:rPr>
              <w:t>antieméticos</w:t>
            </w:r>
            <w:r>
              <w:rPr>
                <w:color w:val="231F1F"/>
                <w:spacing w:val="27"/>
                <w:sz w:val="22"/>
              </w:rPr>
              <w:t> </w:t>
            </w:r>
            <w:r>
              <w:rPr>
                <w:color w:val="231F1F"/>
                <w:sz w:val="22"/>
              </w:rPr>
              <w:t>cuando</w:t>
            </w:r>
            <w:r>
              <w:rPr>
                <w:color w:val="231F1F"/>
                <w:spacing w:val="28"/>
                <w:sz w:val="22"/>
              </w:rPr>
              <w:t> </w:t>
            </w:r>
            <w:r>
              <w:rPr>
                <w:color w:val="231F1F"/>
                <w:sz w:val="22"/>
              </w:rPr>
              <w:t>se</w:t>
            </w:r>
            <w:r>
              <w:rPr>
                <w:color w:val="231F1F"/>
                <w:spacing w:val="28"/>
                <w:sz w:val="22"/>
              </w:rPr>
              <w:t> </w:t>
            </w:r>
            <w:r>
              <w:rPr>
                <w:color w:val="231F1F"/>
                <w:sz w:val="22"/>
              </w:rPr>
              <w:t>utilizan</w:t>
            </w:r>
            <w:r>
              <w:rPr>
                <w:color w:val="231F1F"/>
                <w:spacing w:val="27"/>
                <w:sz w:val="22"/>
              </w:rPr>
              <w:t> </w:t>
            </w:r>
            <w:r>
              <w:rPr>
                <w:color w:val="231F1F"/>
                <w:sz w:val="22"/>
              </w:rPr>
              <w:t>opiodes</w:t>
            </w:r>
            <w:r>
              <w:rPr>
                <w:color w:val="231F1F"/>
                <w:spacing w:val="28"/>
                <w:sz w:val="22"/>
              </w:rPr>
              <w:t> </w:t>
            </w:r>
            <w:r>
              <w:rPr>
                <w:color w:val="231F1F"/>
                <w:sz w:val="22"/>
              </w:rPr>
              <w:t>intra- venosos</w:t>
            </w:r>
            <w:r>
              <w:rPr>
                <w:color w:val="231F1F"/>
                <w:spacing w:val="40"/>
                <w:sz w:val="22"/>
              </w:rPr>
              <w:t> </w:t>
            </w:r>
            <w:r>
              <w:rPr>
                <w:color w:val="231F1F"/>
                <w:sz w:val="22"/>
              </w:rPr>
              <w:t>o</w:t>
            </w:r>
            <w:r>
              <w:rPr>
                <w:color w:val="231F1F"/>
                <w:spacing w:val="40"/>
                <w:sz w:val="22"/>
              </w:rPr>
              <w:t> </w:t>
            </w:r>
            <w:r>
              <w:rPr>
                <w:color w:val="231F1F"/>
                <w:sz w:val="22"/>
              </w:rPr>
              <w:t>intramusculares.</w:t>
            </w:r>
          </w:p>
        </w:tc>
      </w:tr>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08" w:lineRule="auto" w:before="62"/>
              <w:ind w:left="120" w:right="155"/>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monitorizar</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SaO</w:t>
            </w:r>
            <w:r>
              <w:rPr>
                <w:color w:val="231F1F"/>
                <w:w w:val="110"/>
                <w:position w:val="-4"/>
                <w:sz w:val="12"/>
              </w:rPr>
              <w:t>2</w:t>
            </w:r>
            <w:r>
              <w:rPr>
                <w:color w:val="231F1F"/>
                <w:spacing w:val="-1"/>
                <w:w w:val="110"/>
                <w:position w:val="-4"/>
                <w:sz w:val="12"/>
              </w:rPr>
              <w:t> </w:t>
            </w:r>
            <w:r>
              <w:rPr>
                <w:color w:val="231F1F"/>
                <w:w w:val="110"/>
                <w:sz w:val="22"/>
              </w:rPr>
              <w:t>materna</w:t>
            </w:r>
            <w:r>
              <w:rPr>
                <w:color w:val="231F1F"/>
                <w:spacing w:val="-15"/>
                <w:w w:val="110"/>
                <w:sz w:val="22"/>
              </w:rPr>
              <w:t> </w:t>
            </w:r>
            <w:r>
              <w:rPr>
                <w:color w:val="231F1F"/>
                <w:w w:val="110"/>
                <w:sz w:val="22"/>
              </w:rPr>
              <w:t>y</w:t>
            </w:r>
            <w:r>
              <w:rPr>
                <w:color w:val="231F1F"/>
                <w:spacing w:val="-15"/>
                <w:w w:val="110"/>
                <w:sz w:val="22"/>
              </w:rPr>
              <w:t> </w:t>
            </w:r>
            <w:r>
              <w:rPr>
                <w:color w:val="231F1F"/>
                <w:w w:val="110"/>
                <w:sz w:val="22"/>
              </w:rPr>
              <w:t>administrar</w:t>
            </w:r>
            <w:r>
              <w:rPr>
                <w:color w:val="231F1F"/>
                <w:spacing w:val="-16"/>
                <w:w w:val="110"/>
                <w:sz w:val="22"/>
              </w:rPr>
              <w:t> </w:t>
            </w:r>
            <w:r>
              <w:rPr>
                <w:color w:val="231F1F"/>
                <w:w w:val="110"/>
                <w:sz w:val="22"/>
              </w:rPr>
              <w:t>oxígeno</w:t>
            </w:r>
            <w:r>
              <w:rPr>
                <w:color w:val="231F1F"/>
                <w:spacing w:val="-15"/>
                <w:w w:val="110"/>
                <w:sz w:val="22"/>
              </w:rPr>
              <w:t> </w:t>
            </w:r>
            <w:r>
              <w:rPr>
                <w:color w:val="231F1F"/>
                <w:w w:val="110"/>
                <w:sz w:val="22"/>
              </w:rPr>
              <w:t>suplementario a las mujeres que reciban </w:t>
            </w:r>
            <w:r>
              <w:rPr>
                <w:b/>
                <w:color w:val="231F1F"/>
                <w:w w:val="110"/>
                <w:sz w:val="22"/>
              </w:rPr>
              <w:t>remifentanilo</w:t>
            </w:r>
            <w:r>
              <w:rPr>
                <w:color w:val="231F1F"/>
                <w:w w:val="110"/>
                <w:sz w:val="22"/>
              </w:rPr>
              <w:t>.</w:t>
            </w:r>
          </w:p>
        </w:tc>
      </w:tr>
    </w:tbl>
    <w:p>
      <w:pPr>
        <w:pStyle w:val="TableParagraph"/>
        <w:spacing w:after="0" w:line="208" w:lineRule="auto"/>
        <w:rPr>
          <w:sz w:val="22"/>
        </w:rPr>
        <w:sectPr>
          <w:pgSz w:w="11900" w:h="16840"/>
          <w:pgMar w:header="0" w:footer="622" w:top="1560" w:bottom="820" w:left="1417" w:right="1559"/>
        </w:sectPr>
      </w:pPr>
    </w:p>
    <w:p>
      <w:pPr>
        <w:pStyle w:val="Heading2"/>
        <w:numPr>
          <w:ilvl w:val="2"/>
          <w:numId w:val="2"/>
        </w:numPr>
        <w:tabs>
          <w:tab w:pos="1004" w:val="left" w:leader="none"/>
        </w:tabs>
        <w:spacing w:line="240" w:lineRule="auto" w:before="62" w:after="0"/>
        <w:ind w:left="1004" w:right="0" w:hanging="721"/>
        <w:jc w:val="left"/>
      </w:pPr>
      <w:bookmarkStart w:name="_TOC_250015" w:id="41"/>
      <w:r>
        <w:rPr>
          <w:color w:val="231F1F"/>
        </w:rPr>
        <w:t>Analgesia</w:t>
      </w:r>
      <w:r>
        <w:rPr>
          <w:color w:val="231F1F"/>
          <w:spacing w:val="44"/>
          <w:w w:val="150"/>
        </w:rPr>
        <w:t> </w:t>
      </w:r>
      <w:bookmarkEnd w:id="41"/>
      <w:r>
        <w:rPr>
          <w:color w:val="231F1F"/>
          <w:spacing w:val="-2"/>
        </w:rPr>
        <w:t>neuroaxial</w:t>
      </w:r>
    </w:p>
    <w:p>
      <w:pPr>
        <w:pStyle w:val="BodyText"/>
        <w:spacing w:before="26"/>
        <w:rPr>
          <w:sz w:val="20"/>
        </w:rPr>
      </w:pPr>
      <w:r>
        <w:rPr>
          <w:sz w:val="20"/>
        </w:rPr>
        <mc:AlternateContent>
          <mc:Choice Requires="wps">
            <w:drawing>
              <wp:anchor distT="0" distB="0" distL="0" distR="0" allowOverlap="1" layoutInCell="1" locked="0" behindDoc="1" simplePos="0" relativeHeight="487625216">
                <wp:simplePos x="0" y="0"/>
                <wp:positionH relativeFrom="page">
                  <wp:posOffset>1082675</wp:posOffset>
                </wp:positionH>
                <wp:positionV relativeFrom="paragraph">
                  <wp:posOffset>180997</wp:posOffset>
                </wp:positionV>
                <wp:extent cx="5400040" cy="3906520"/>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5400040" cy="3906520"/>
                        </a:xfrm>
                        <a:prstGeom prst="rect">
                          <a:avLst/>
                        </a:prstGeom>
                        <a:ln w="6350">
                          <a:solidFill>
                            <a:srgbClr val="A30046"/>
                          </a:solidFill>
                          <a:prstDash val="solid"/>
                        </a:ln>
                      </wps:spPr>
                      <wps:txbx>
                        <w:txbxContent>
                          <w:p>
                            <w:pPr>
                              <w:pStyle w:val="BodyText"/>
                              <w:numPr>
                                <w:ilvl w:val="0"/>
                                <w:numId w:val="73"/>
                              </w:numPr>
                              <w:tabs>
                                <w:tab w:pos="322" w:val="left" w:leader="none"/>
                              </w:tabs>
                              <w:spacing w:line="240" w:lineRule="auto" w:before="60" w:after="0"/>
                              <w:ind w:left="322" w:right="0" w:hanging="218"/>
                              <w:jc w:val="left"/>
                            </w:pPr>
                            <w:r>
                              <w:rPr>
                                <w:color w:val="231F1F"/>
                              </w:rPr>
                              <w:t>¿Cuál</w:t>
                            </w:r>
                            <w:r>
                              <w:rPr>
                                <w:color w:val="231F1F"/>
                                <w:spacing w:val="22"/>
                              </w:rPr>
                              <w:t> </w:t>
                            </w:r>
                            <w:r>
                              <w:rPr>
                                <w:color w:val="231F1F"/>
                              </w:rPr>
                              <w:t>es</w:t>
                            </w:r>
                            <w:r>
                              <w:rPr>
                                <w:color w:val="231F1F"/>
                                <w:spacing w:val="23"/>
                              </w:rPr>
                              <w:t> </w:t>
                            </w:r>
                            <w:r>
                              <w:rPr>
                                <w:color w:val="231F1F"/>
                              </w:rPr>
                              <w:t>la</w:t>
                            </w:r>
                            <w:r>
                              <w:rPr>
                                <w:color w:val="231F1F"/>
                                <w:spacing w:val="22"/>
                              </w:rPr>
                              <w:t> </w:t>
                            </w:r>
                            <w:r>
                              <w:rPr>
                                <w:color w:val="231F1F"/>
                              </w:rPr>
                              <w:t>efectividad</w:t>
                            </w:r>
                            <w:r>
                              <w:rPr>
                                <w:color w:val="231F1F"/>
                                <w:spacing w:val="25"/>
                              </w:rPr>
                              <w:t> </w:t>
                            </w:r>
                            <w:r>
                              <w:rPr>
                                <w:color w:val="231F1F"/>
                              </w:rPr>
                              <w:t>de</w:t>
                            </w:r>
                            <w:r>
                              <w:rPr>
                                <w:color w:val="231F1F"/>
                                <w:spacing w:val="22"/>
                              </w:rPr>
                              <w:t> </w:t>
                            </w:r>
                            <w:r>
                              <w:rPr>
                                <w:color w:val="231F1F"/>
                              </w:rPr>
                              <w:t>la</w:t>
                            </w:r>
                            <w:r>
                              <w:rPr>
                                <w:color w:val="231F1F"/>
                                <w:spacing w:val="23"/>
                              </w:rPr>
                              <w:t> </w:t>
                            </w:r>
                            <w:r>
                              <w:rPr>
                                <w:color w:val="231F1F"/>
                              </w:rPr>
                              <w:t>analgesia</w:t>
                            </w:r>
                            <w:r>
                              <w:rPr>
                                <w:color w:val="231F1F"/>
                                <w:spacing w:val="24"/>
                              </w:rPr>
                              <w:t> </w:t>
                            </w:r>
                            <w:r>
                              <w:rPr>
                                <w:color w:val="231F1F"/>
                                <w:spacing w:val="-2"/>
                              </w:rPr>
                              <w:t>neuroaxial?</w:t>
                            </w:r>
                          </w:p>
                          <w:p>
                            <w:pPr>
                              <w:pStyle w:val="BodyText"/>
                              <w:numPr>
                                <w:ilvl w:val="0"/>
                                <w:numId w:val="73"/>
                              </w:numPr>
                              <w:tabs>
                                <w:tab w:pos="351" w:val="left" w:leader="none"/>
                              </w:tabs>
                              <w:spacing w:line="244" w:lineRule="auto" w:before="146" w:after="0"/>
                              <w:ind w:left="351" w:right="183" w:hanging="218"/>
                              <w:jc w:val="left"/>
                            </w:pPr>
                            <w:r>
                              <w:rPr>
                                <w:color w:val="231F1F"/>
                                <w:w w:val="110"/>
                              </w:rPr>
                              <w:t>¿Cuál</w:t>
                            </w:r>
                            <w:r>
                              <w:rPr>
                                <w:color w:val="231F1F"/>
                                <w:spacing w:val="-16"/>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efectividad</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4"/>
                                <w:w w:val="110"/>
                              </w:rPr>
                              <w:t> </w:t>
                            </w:r>
                            <w:r>
                              <w:rPr>
                                <w:color w:val="231F1F"/>
                                <w:w w:val="110"/>
                              </w:rPr>
                              <w:t>siguientes</w:t>
                            </w:r>
                            <w:r>
                              <w:rPr>
                                <w:color w:val="231F1F"/>
                                <w:spacing w:val="-16"/>
                                <w:w w:val="110"/>
                              </w:rPr>
                              <w:t> </w:t>
                            </w:r>
                            <w:r>
                              <w:rPr>
                                <w:color w:val="231F1F"/>
                                <w:w w:val="110"/>
                              </w:rPr>
                              <w:t>técnicas</w:t>
                            </w:r>
                            <w:r>
                              <w:rPr>
                                <w:color w:val="231F1F"/>
                                <w:spacing w:val="-14"/>
                                <w:w w:val="110"/>
                              </w:rPr>
                              <w:t> </w:t>
                            </w:r>
                            <w:r>
                              <w:rPr>
                                <w:color w:val="231F1F"/>
                                <w:w w:val="110"/>
                              </w:rPr>
                              <w:t>de</w:t>
                            </w:r>
                            <w:r>
                              <w:rPr>
                                <w:color w:val="231F1F"/>
                                <w:spacing w:val="-14"/>
                                <w:w w:val="110"/>
                              </w:rPr>
                              <w:t> </w:t>
                            </w:r>
                            <w:r>
                              <w:rPr>
                                <w:color w:val="231F1F"/>
                                <w:w w:val="110"/>
                              </w:rPr>
                              <w:t>analgesia</w:t>
                            </w:r>
                            <w:r>
                              <w:rPr>
                                <w:color w:val="231F1F"/>
                                <w:spacing w:val="-16"/>
                                <w:w w:val="110"/>
                              </w:rPr>
                              <w:t> </w:t>
                            </w:r>
                            <w:r>
                              <w:rPr>
                                <w:color w:val="231F1F"/>
                                <w:w w:val="110"/>
                              </w:rPr>
                              <w:t>neuroaxial</w:t>
                            </w:r>
                            <w:r>
                              <w:rPr>
                                <w:color w:val="231F1F"/>
                                <w:spacing w:val="-15"/>
                                <w:w w:val="110"/>
                              </w:rPr>
                              <w:t> </w:t>
                            </w:r>
                            <w:r>
                              <w:rPr>
                                <w:color w:val="231F1F"/>
                                <w:w w:val="110"/>
                              </w:rPr>
                              <w:t>obstétrica: Epidural</w:t>
                            </w:r>
                            <w:r>
                              <w:rPr>
                                <w:color w:val="231F1F"/>
                                <w:spacing w:val="-7"/>
                                <w:w w:val="110"/>
                              </w:rPr>
                              <w:t> </w:t>
                            </w:r>
                            <w:r>
                              <w:rPr>
                                <w:color w:val="231F1F"/>
                                <w:w w:val="110"/>
                              </w:rPr>
                              <w:t>tradicional</w:t>
                            </w:r>
                            <w:r>
                              <w:rPr>
                                <w:color w:val="231F1F"/>
                                <w:spacing w:val="-7"/>
                                <w:w w:val="110"/>
                              </w:rPr>
                              <w:t> </w:t>
                            </w:r>
                            <w:r>
                              <w:rPr>
                                <w:color w:val="231F1F"/>
                                <w:w w:val="110"/>
                              </w:rPr>
                              <w:t>vs</w:t>
                            </w:r>
                            <w:r>
                              <w:rPr>
                                <w:color w:val="231F1F"/>
                                <w:spacing w:val="-7"/>
                                <w:w w:val="110"/>
                              </w:rPr>
                              <w:t> </w:t>
                            </w:r>
                            <w:r>
                              <w:rPr>
                                <w:color w:val="231F1F"/>
                                <w:w w:val="110"/>
                              </w:rPr>
                              <w:t>Epidural</w:t>
                            </w:r>
                            <w:r>
                              <w:rPr>
                                <w:color w:val="231F1F"/>
                                <w:spacing w:val="-7"/>
                                <w:w w:val="110"/>
                              </w:rPr>
                              <w:t> </w:t>
                            </w:r>
                            <w:r>
                              <w:rPr>
                                <w:color w:val="231F1F"/>
                                <w:w w:val="110"/>
                              </w:rPr>
                              <w:t>a</w:t>
                            </w:r>
                            <w:r>
                              <w:rPr>
                                <w:color w:val="231F1F"/>
                                <w:spacing w:val="-7"/>
                                <w:w w:val="110"/>
                              </w:rPr>
                              <w:t> </w:t>
                            </w:r>
                            <w:r>
                              <w:rPr>
                                <w:color w:val="231F1F"/>
                                <w:w w:val="110"/>
                              </w:rPr>
                              <w:t>bajas</w:t>
                            </w:r>
                            <w:r>
                              <w:rPr>
                                <w:color w:val="231F1F"/>
                                <w:spacing w:val="-7"/>
                                <w:w w:val="110"/>
                              </w:rPr>
                              <w:t> </w:t>
                            </w:r>
                            <w:r>
                              <w:rPr>
                                <w:color w:val="231F1F"/>
                                <w:w w:val="110"/>
                              </w:rPr>
                              <w:t>dosis</w:t>
                            </w:r>
                            <w:r>
                              <w:rPr>
                                <w:color w:val="231F1F"/>
                                <w:spacing w:val="-7"/>
                                <w:w w:val="110"/>
                              </w:rPr>
                              <w:t> </w:t>
                            </w:r>
                            <w:r>
                              <w:rPr>
                                <w:color w:val="231F1F"/>
                                <w:w w:val="110"/>
                              </w:rPr>
                              <w:t>vs</w:t>
                            </w:r>
                            <w:r>
                              <w:rPr>
                                <w:color w:val="231F1F"/>
                                <w:spacing w:val="-7"/>
                                <w:w w:val="110"/>
                              </w:rPr>
                              <w:t> </w:t>
                            </w:r>
                            <w:r>
                              <w:rPr>
                                <w:color w:val="231F1F"/>
                                <w:w w:val="110"/>
                              </w:rPr>
                              <w:t>Combinada</w:t>
                            </w:r>
                            <w:r>
                              <w:rPr>
                                <w:color w:val="231F1F"/>
                                <w:spacing w:val="-7"/>
                                <w:w w:val="110"/>
                              </w:rPr>
                              <w:t> </w:t>
                            </w:r>
                            <w:r>
                              <w:rPr>
                                <w:color w:val="231F1F"/>
                                <w:w w:val="110"/>
                              </w:rPr>
                              <w:t>(intradural-epidural)?</w:t>
                            </w:r>
                          </w:p>
                          <w:p>
                            <w:pPr>
                              <w:pStyle w:val="BodyText"/>
                              <w:numPr>
                                <w:ilvl w:val="0"/>
                                <w:numId w:val="73"/>
                              </w:numPr>
                              <w:tabs>
                                <w:tab w:pos="323" w:val="left" w:leader="none"/>
                              </w:tabs>
                              <w:spacing w:line="240" w:lineRule="auto" w:before="151" w:after="0"/>
                              <w:ind w:left="323" w:right="202" w:hanging="220"/>
                              <w:jc w:val="left"/>
                            </w:pPr>
                            <w:r>
                              <w:rPr>
                                <w:color w:val="231F1F"/>
                                <w:w w:val="110"/>
                              </w:rPr>
                              <w:t>¿Es</w:t>
                            </w:r>
                            <w:r>
                              <w:rPr>
                                <w:color w:val="231F1F"/>
                                <w:spacing w:val="-16"/>
                                <w:w w:val="110"/>
                              </w:rPr>
                              <w:t> </w:t>
                            </w:r>
                            <w:r>
                              <w:rPr>
                                <w:color w:val="231F1F"/>
                                <w:w w:val="110"/>
                              </w:rPr>
                              <w:t>útil</w:t>
                            </w:r>
                            <w:r>
                              <w:rPr>
                                <w:color w:val="231F1F"/>
                                <w:spacing w:val="-15"/>
                                <w:w w:val="110"/>
                              </w:rPr>
                              <w:t> </w:t>
                            </w:r>
                            <w:r>
                              <w:rPr>
                                <w:color w:val="231F1F"/>
                                <w:w w:val="110"/>
                              </w:rPr>
                              <w:t>realizar</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6"/>
                                <w:w w:val="110"/>
                              </w:rPr>
                              <w:t> </w:t>
                            </w:r>
                            <w:r>
                              <w:rPr>
                                <w:color w:val="231F1F"/>
                                <w:w w:val="110"/>
                              </w:rPr>
                              <w:t>sistemática</w:t>
                            </w:r>
                            <w:r>
                              <w:rPr>
                                <w:color w:val="231F1F"/>
                                <w:spacing w:val="-15"/>
                                <w:w w:val="110"/>
                              </w:rPr>
                              <w:t> </w:t>
                            </w:r>
                            <w:r>
                              <w:rPr>
                                <w:color w:val="231F1F"/>
                                <w:w w:val="110"/>
                              </w:rPr>
                              <w:t>previo</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adminis- tración de una analgesia neuroaxial?</w:t>
                            </w:r>
                          </w:p>
                          <w:p>
                            <w:pPr>
                              <w:pStyle w:val="BodyText"/>
                              <w:numPr>
                                <w:ilvl w:val="0"/>
                                <w:numId w:val="73"/>
                              </w:numPr>
                              <w:tabs>
                                <w:tab w:pos="323" w:val="left" w:leader="none"/>
                              </w:tabs>
                              <w:spacing w:line="244" w:lineRule="auto" w:before="147" w:after="0"/>
                              <w:ind w:left="323" w:right="199" w:hanging="220"/>
                              <w:jc w:val="left"/>
                            </w:pPr>
                            <w:r>
                              <w:rPr>
                                <w:color w:val="231F1F"/>
                              </w:rPr>
                              <w:t>¿Cuál</w:t>
                            </w:r>
                            <w:r>
                              <w:rPr>
                                <w:color w:val="231F1F"/>
                                <w:spacing w:val="33"/>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5"/>
                              </w:rPr>
                              <w:t> </w:t>
                            </w:r>
                            <w:r>
                              <w:rPr>
                                <w:color w:val="231F1F"/>
                              </w:rPr>
                              <w:t>perfusión</w:t>
                            </w:r>
                            <w:r>
                              <w:rPr>
                                <w:color w:val="231F1F"/>
                                <w:spacing w:val="31"/>
                              </w:rPr>
                              <w:t> </w:t>
                            </w:r>
                            <w:r>
                              <w:rPr>
                                <w:color w:val="231F1F"/>
                              </w:rPr>
                              <w:t>de</w:t>
                            </w:r>
                            <w:r>
                              <w:rPr>
                                <w:color w:val="231F1F"/>
                                <w:spacing w:val="35"/>
                              </w:rPr>
                              <w:t> </w:t>
                            </w:r>
                            <w:r>
                              <w:rPr>
                                <w:color w:val="231F1F"/>
                              </w:rPr>
                              <w:t>soluciones</w:t>
                            </w:r>
                            <w:r>
                              <w:rPr>
                                <w:color w:val="231F1F"/>
                                <w:spacing w:val="29"/>
                              </w:rPr>
                              <w:t> </w:t>
                            </w:r>
                            <w:r>
                              <w:rPr>
                                <w:color w:val="231F1F"/>
                              </w:rPr>
                              <w:t>intravenosas</w:t>
                            </w:r>
                            <w:r>
                              <w:rPr>
                                <w:color w:val="231F1F"/>
                                <w:spacing w:val="35"/>
                              </w:rPr>
                              <w:t> </w:t>
                            </w:r>
                            <w:r>
                              <w:rPr>
                                <w:color w:val="231F1F"/>
                              </w:rPr>
                              <w:t>(cristaloides,</w:t>
                            </w:r>
                            <w:r>
                              <w:rPr>
                                <w:color w:val="231F1F"/>
                                <w:spacing w:val="33"/>
                              </w:rPr>
                              <w:t> </w:t>
                            </w:r>
                            <w:r>
                              <w:rPr>
                                <w:color w:val="231F1F"/>
                              </w:rPr>
                              <w:t>coloi- </w:t>
                            </w:r>
                            <w:r>
                              <w:rPr>
                                <w:color w:val="231F1F"/>
                                <w:w w:val="110"/>
                              </w:rPr>
                              <w:t>des) previa a la realización de una técnica de analgesia neuroaxial obstétrica?</w:t>
                            </w:r>
                          </w:p>
                          <w:p>
                            <w:pPr>
                              <w:pStyle w:val="BodyText"/>
                              <w:numPr>
                                <w:ilvl w:val="0"/>
                                <w:numId w:val="73"/>
                              </w:numPr>
                              <w:tabs>
                                <w:tab w:pos="322" w:val="left" w:leader="none"/>
                              </w:tabs>
                              <w:spacing w:line="244" w:lineRule="auto" w:before="141" w:after="0"/>
                              <w:ind w:left="322" w:right="212" w:hanging="219"/>
                              <w:jc w:val="left"/>
                            </w:pPr>
                            <w:r>
                              <w:rPr>
                                <w:color w:val="231F1F"/>
                                <w:w w:val="110"/>
                              </w:rPr>
                              <w:t>¿Se</w:t>
                            </w:r>
                            <w:r>
                              <w:rPr>
                                <w:color w:val="231F1F"/>
                                <w:spacing w:val="-8"/>
                                <w:w w:val="110"/>
                              </w:rPr>
                              <w:t> </w:t>
                            </w:r>
                            <w:r>
                              <w:rPr>
                                <w:color w:val="231F1F"/>
                                <w:w w:val="110"/>
                              </w:rPr>
                              <w:t>debe</w:t>
                            </w:r>
                            <w:r>
                              <w:rPr>
                                <w:color w:val="231F1F"/>
                                <w:spacing w:val="-8"/>
                                <w:w w:val="110"/>
                              </w:rPr>
                              <w:t> </w:t>
                            </w:r>
                            <w:r>
                              <w:rPr>
                                <w:color w:val="231F1F"/>
                                <w:w w:val="110"/>
                              </w:rPr>
                              <w:t>posponer</w:t>
                            </w:r>
                            <w:r>
                              <w:rPr>
                                <w:color w:val="231F1F"/>
                                <w:spacing w:val="-8"/>
                                <w:w w:val="110"/>
                              </w:rPr>
                              <w:t> </w:t>
                            </w:r>
                            <w:r>
                              <w:rPr>
                                <w:color w:val="231F1F"/>
                                <w:w w:val="110"/>
                              </w:rPr>
                              <w:t>la</w:t>
                            </w:r>
                            <w:r>
                              <w:rPr>
                                <w:color w:val="231F1F"/>
                                <w:spacing w:val="-8"/>
                                <w:w w:val="110"/>
                              </w:rPr>
                              <w:t> </w:t>
                            </w:r>
                            <w:r>
                              <w:rPr>
                                <w:color w:val="231F1F"/>
                                <w:w w:val="110"/>
                              </w:rPr>
                              <w:t>instauración</w:t>
                            </w:r>
                            <w:r>
                              <w:rPr>
                                <w:color w:val="231F1F"/>
                                <w:spacing w:val="-8"/>
                                <w:w w:val="110"/>
                              </w:rPr>
                              <w:t> </w:t>
                            </w:r>
                            <w:r>
                              <w:rPr>
                                <w:color w:val="231F1F"/>
                                <w:w w:val="110"/>
                              </w:rPr>
                              <w:t>de</w:t>
                            </w:r>
                            <w:r>
                              <w:rPr>
                                <w:color w:val="231F1F"/>
                                <w:spacing w:val="-8"/>
                                <w:w w:val="110"/>
                              </w:rPr>
                              <w:t> </w:t>
                            </w:r>
                            <w:r>
                              <w:rPr>
                                <w:color w:val="231F1F"/>
                                <w:w w:val="110"/>
                              </w:rPr>
                              <w:t>una</w:t>
                            </w:r>
                            <w:r>
                              <w:rPr>
                                <w:color w:val="231F1F"/>
                                <w:spacing w:val="-8"/>
                                <w:w w:val="110"/>
                              </w:rPr>
                              <w:t> </w:t>
                            </w:r>
                            <w:r>
                              <w:rPr>
                                <w:color w:val="231F1F"/>
                                <w:w w:val="110"/>
                              </w:rPr>
                              <w:t>analgesia</w:t>
                            </w:r>
                            <w:r>
                              <w:rPr>
                                <w:color w:val="231F1F"/>
                                <w:spacing w:val="-8"/>
                                <w:w w:val="110"/>
                              </w:rPr>
                              <w:t> </w:t>
                            </w:r>
                            <w:r>
                              <w:rPr>
                                <w:color w:val="231F1F"/>
                                <w:w w:val="110"/>
                              </w:rPr>
                              <w:t>obstétrica</w:t>
                            </w:r>
                            <w:r>
                              <w:rPr>
                                <w:color w:val="231F1F"/>
                                <w:spacing w:val="-8"/>
                                <w:w w:val="110"/>
                              </w:rPr>
                              <w:t> </w:t>
                            </w:r>
                            <w:r>
                              <w:rPr>
                                <w:color w:val="231F1F"/>
                                <w:w w:val="110"/>
                              </w:rPr>
                              <w:t>neuroaxial</w:t>
                            </w:r>
                            <w:r>
                              <w:rPr>
                                <w:color w:val="231F1F"/>
                                <w:spacing w:val="-10"/>
                                <w:w w:val="110"/>
                              </w:rPr>
                              <w:t> </w:t>
                            </w:r>
                            <w:r>
                              <w:rPr>
                                <w:color w:val="231F1F"/>
                                <w:w w:val="110"/>
                              </w:rPr>
                              <w:t>hasta</w:t>
                            </w:r>
                            <w:r>
                              <w:rPr>
                                <w:color w:val="231F1F"/>
                                <w:spacing w:val="-8"/>
                                <w:w w:val="110"/>
                              </w:rPr>
                              <w:t> </w:t>
                            </w:r>
                            <w:r>
                              <w:rPr>
                                <w:color w:val="231F1F"/>
                                <w:w w:val="110"/>
                              </w:rPr>
                              <w:t>una fase avanzada del parto?</w:t>
                            </w:r>
                          </w:p>
                          <w:p>
                            <w:pPr>
                              <w:pStyle w:val="BodyText"/>
                              <w:numPr>
                                <w:ilvl w:val="0"/>
                                <w:numId w:val="73"/>
                              </w:numPr>
                              <w:tabs>
                                <w:tab w:pos="321" w:val="left" w:leader="none"/>
                              </w:tabs>
                              <w:spacing w:line="259" w:lineRule="auto" w:before="166" w:after="0"/>
                              <w:ind w:left="321" w:right="196" w:hanging="219"/>
                              <w:jc w:val="left"/>
                            </w:pPr>
                            <w:r>
                              <w:rPr>
                                <w:color w:val="231F1F"/>
                              </w:rPr>
                              <w:t>¿Cómo</w:t>
                            </w:r>
                            <w:r>
                              <w:rPr>
                                <w:color w:val="231F1F"/>
                                <w:spacing w:val="29"/>
                              </w:rPr>
                              <w:t> </w:t>
                            </w:r>
                            <w:r>
                              <w:rPr>
                                <w:color w:val="231F1F"/>
                              </w:rPr>
                              <w:t>influye</w:t>
                            </w:r>
                            <w:r>
                              <w:rPr>
                                <w:color w:val="231F1F"/>
                                <w:spacing w:val="29"/>
                              </w:rPr>
                              <w:t> </w:t>
                            </w:r>
                            <w:r>
                              <w:rPr>
                                <w:color w:val="231F1F"/>
                              </w:rPr>
                              <w:t>el</w:t>
                            </w:r>
                            <w:r>
                              <w:rPr>
                                <w:color w:val="231F1F"/>
                                <w:spacing w:val="29"/>
                              </w:rPr>
                              <w:t> </w:t>
                            </w:r>
                            <w:r>
                              <w:rPr>
                                <w:color w:val="231F1F"/>
                              </w:rPr>
                              <w:t>modo</w:t>
                            </w:r>
                            <w:r>
                              <w:rPr>
                                <w:color w:val="231F1F"/>
                                <w:spacing w:val="29"/>
                              </w:rPr>
                              <w:t> </w:t>
                            </w:r>
                            <w:r>
                              <w:rPr>
                                <w:color w:val="231F1F"/>
                              </w:rPr>
                              <w:t>de</w:t>
                            </w:r>
                            <w:r>
                              <w:rPr>
                                <w:color w:val="231F1F"/>
                                <w:spacing w:val="29"/>
                              </w:rPr>
                              <w:t> </w:t>
                            </w:r>
                            <w:r>
                              <w:rPr>
                                <w:color w:val="231F1F"/>
                              </w:rPr>
                              <w:t>administración</w:t>
                            </w:r>
                            <w:r>
                              <w:rPr>
                                <w:color w:val="231F1F"/>
                                <w:spacing w:val="27"/>
                              </w:rPr>
                              <w:t> </w:t>
                            </w:r>
                            <w:r>
                              <w:rPr>
                                <w:color w:val="231F1F"/>
                              </w:rPr>
                              <w:t>de</w:t>
                            </w:r>
                            <w:r>
                              <w:rPr>
                                <w:color w:val="231F1F"/>
                                <w:spacing w:val="29"/>
                              </w:rPr>
                              <w:t> </w:t>
                            </w:r>
                            <w:r>
                              <w:rPr>
                                <w:color w:val="231F1F"/>
                              </w:rPr>
                              <w:t>la</w:t>
                            </w:r>
                            <w:r>
                              <w:rPr>
                                <w:color w:val="231F1F"/>
                                <w:spacing w:val="29"/>
                              </w:rPr>
                              <w:t> </w:t>
                            </w:r>
                            <w:r>
                              <w:rPr>
                                <w:color w:val="231F1F"/>
                              </w:rPr>
                              <w:t>analgesia</w:t>
                            </w:r>
                            <w:r>
                              <w:rPr>
                                <w:color w:val="231F1F"/>
                                <w:spacing w:val="29"/>
                              </w:rPr>
                              <w:t> </w:t>
                            </w:r>
                            <w:r>
                              <w:rPr>
                                <w:color w:val="231F1F"/>
                              </w:rPr>
                              <w:t>sobre</w:t>
                            </w:r>
                            <w:r>
                              <w:rPr>
                                <w:color w:val="231F1F"/>
                                <w:spacing w:val="29"/>
                              </w:rPr>
                              <w:t> </w:t>
                            </w:r>
                            <w:r>
                              <w:rPr>
                                <w:color w:val="231F1F"/>
                              </w:rPr>
                              <w:t>el</w:t>
                            </w:r>
                            <w:r>
                              <w:rPr>
                                <w:color w:val="231F1F"/>
                                <w:spacing w:val="29"/>
                              </w:rPr>
                              <w:t> </w:t>
                            </w:r>
                            <w:r>
                              <w:rPr>
                                <w:color w:val="231F1F"/>
                              </w:rPr>
                              <w:t>parto</w:t>
                            </w:r>
                            <w:r>
                              <w:rPr>
                                <w:color w:val="231F1F"/>
                                <w:spacing w:val="29"/>
                              </w:rPr>
                              <w:t> </w:t>
                            </w:r>
                            <w:r>
                              <w:rPr>
                                <w:color w:val="231F1F"/>
                              </w:rPr>
                              <w:t>y</w:t>
                            </w:r>
                            <w:r>
                              <w:rPr>
                                <w:color w:val="231F1F"/>
                                <w:spacing w:val="29"/>
                              </w:rPr>
                              <w:t> </w:t>
                            </w:r>
                            <w:r>
                              <w:rPr>
                                <w:color w:val="231F1F"/>
                              </w:rPr>
                              <w:t>sus</w:t>
                            </w:r>
                            <w:r>
                              <w:rPr>
                                <w:color w:val="231F1F"/>
                                <w:spacing w:val="29"/>
                              </w:rPr>
                              <w:t> </w:t>
                            </w:r>
                            <w:r>
                              <w:rPr>
                                <w:color w:val="231F1F"/>
                              </w:rPr>
                              <w:t>resulta- </w:t>
                            </w:r>
                            <w:r>
                              <w:rPr>
                                <w:color w:val="231F1F"/>
                                <w:spacing w:val="-4"/>
                              </w:rPr>
                              <w:t>dos?</w:t>
                            </w:r>
                          </w:p>
                          <w:p>
                            <w:pPr>
                              <w:pStyle w:val="BodyText"/>
                              <w:numPr>
                                <w:ilvl w:val="0"/>
                                <w:numId w:val="73"/>
                              </w:numPr>
                              <w:tabs>
                                <w:tab w:pos="321" w:val="left" w:leader="none"/>
                              </w:tabs>
                              <w:spacing w:line="254" w:lineRule="auto" w:before="145" w:after="0"/>
                              <w:ind w:left="321" w:right="224" w:hanging="221"/>
                              <w:jc w:val="left"/>
                            </w:pPr>
                            <w:r>
                              <w:rPr>
                                <w:color w:val="231F1F"/>
                              </w:rPr>
                              <w:t>¿Cuál</w:t>
                            </w:r>
                            <w:r>
                              <w:rPr>
                                <w:color w:val="231F1F"/>
                                <w:spacing w:val="31"/>
                              </w:rPr>
                              <w:t> </w:t>
                            </w:r>
                            <w:r>
                              <w:rPr>
                                <w:color w:val="231F1F"/>
                              </w:rPr>
                              <w:t>es</w:t>
                            </w:r>
                            <w:r>
                              <w:rPr>
                                <w:color w:val="231F1F"/>
                                <w:spacing w:val="31"/>
                              </w:rPr>
                              <w:t> </w:t>
                            </w:r>
                            <w:r>
                              <w:rPr>
                                <w:color w:val="231F1F"/>
                              </w:rPr>
                              <w:t>la</w:t>
                            </w:r>
                            <w:r>
                              <w:rPr>
                                <w:color w:val="231F1F"/>
                                <w:spacing w:val="31"/>
                              </w:rPr>
                              <w:t> </w:t>
                            </w:r>
                            <w:r>
                              <w:rPr>
                                <w:color w:val="231F1F"/>
                              </w:rPr>
                              <w:t>efectividad</w:t>
                            </w:r>
                            <w:r>
                              <w:rPr>
                                <w:color w:val="231F1F"/>
                                <w:spacing w:val="31"/>
                              </w:rPr>
                              <w:t> </w:t>
                            </w:r>
                            <w:r>
                              <w:rPr>
                                <w:color w:val="231F1F"/>
                              </w:rPr>
                              <w:t>de</w:t>
                            </w:r>
                            <w:r>
                              <w:rPr>
                                <w:color w:val="231F1F"/>
                                <w:spacing w:val="31"/>
                              </w:rPr>
                              <w:t> </w:t>
                            </w:r>
                            <w:r>
                              <w:rPr>
                                <w:color w:val="231F1F"/>
                              </w:rPr>
                              <w:t>la</w:t>
                            </w:r>
                            <w:r>
                              <w:rPr>
                                <w:color w:val="231F1F"/>
                                <w:spacing w:val="31"/>
                              </w:rPr>
                              <w:t> </w:t>
                            </w:r>
                            <w:r>
                              <w:rPr>
                                <w:color w:val="231F1F"/>
                              </w:rPr>
                              <w:t>vigilancia</w:t>
                            </w:r>
                            <w:r>
                              <w:rPr>
                                <w:color w:val="231F1F"/>
                                <w:spacing w:val="31"/>
                              </w:rPr>
                              <w:t> </w:t>
                            </w:r>
                            <w:r>
                              <w:rPr>
                                <w:color w:val="231F1F"/>
                              </w:rPr>
                              <w:t>materna</w:t>
                            </w:r>
                            <w:r>
                              <w:rPr>
                                <w:color w:val="231F1F"/>
                                <w:spacing w:val="31"/>
                              </w:rPr>
                              <w:t> </w:t>
                            </w:r>
                            <w:r>
                              <w:rPr>
                                <w:color w:val="231F1F"/>
                              </w:rPr>
                              <w:t>durante</w:t>
                            </w:r>
                            <w:r>
                              <w:rPr>
                                <w:color w:val="231F1F"/>
                                <w:spacing w:val="31"/>
                              </w:rPr>
                              <w:t> </w:t>
                            </w:r>
                            <w:r>
                              <w:rPr>
                                <w:color w:val="231F1F"/>
                              </w:rPr>
                              <w:t>el</w:t>
                            </w:r>
                            <w:r>
                              <w:rPr>
                                <w:color w:val="231F1F"/>
                                <w:spacing w:val="31"/>
                              </w:rPr>
                              <w:t> </w:t>
                            </w:r>
                            <w:r>
                              <w:rPr>
                                <w:color w:val="231F1F"/>
                              </w:rPr>
                              <w:t>establecimiento</w:t>
                            </w:r>
                            <w:r>
                              <w:rPr>
                                <w:color w:val="231F1F"/>
                                <w:spacing w:val="31"/>
                              </w:rPr>
                              <w:t> </w:t>
                            </w:r>
                            <w:r>
                              <w:rPr>
                                <w:color w:val="231F1F"/>
                              </w:rPr>
                              <w:t>y</w:t>
                            </w:r>
                            <w:r>
                              <w:rPr>
                                <w:color w:val="231F1F"/>
                                <w:spacing w:val="31"/>
                              </w:rPr>
                              <w:t> </w:t>
                            </w:r>
                            <w:r>
                              <w:rPr>
                                <w:color w:val="231F1F"/>
                              </w:rPr>
                              <w:t>manteni- miento</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analgesia</w:t>
                            </w:r>
                            <w:r>
                              <w:rPr>
                                <w:color w:val="231F1F"/>
                                <w:spacing w:val="40"/>
                              </w:rPr>
                              <w:t> </w:t>
                            </w:r>
                            <w:r>
                              <w:rPr>
                                <w:color w:val="231F1F"/>
                              </w:rPr>
                              <w:t>neuroaxial?</w:t>
                            </w:r>
                          </w:p>
                          <w:p>
                            <w:pPr>
                              <w:pStyle w:val="BodyText"/>
                              <w:numPr>
                                <w:ilvl w:val="0"/>
                                <w:numId w:val="73"/>
                              </w:numPr>
                              <w:tabs>
                                <w:tab w:pos="319" w:val="left" w:leader="none"/>
                              </w:tabs>
                              <w:spacing w:line="240" w:lineRule="auto" w:before="145" w:after="0"/>
                              <w:ind w:left="319" w:right="0" w:hanging="218"/>
                              <w:jc w:val="left"/>
                            </w:pPr>
                            <w:r>
                              <w:rPr>
                                <w:color w:val="231F1F"/>
                              </w:rPr>
                              <w:t>¿Cómo</w:t>
                            </w:r>
                            <w:r>
                              <w:rPr>
                                <w:color w:val="231F1F"/>
                                <w:spacing w:val="33"/>
                              </w:rPr>
                              <w:t> </w:t>
                            </w:r>
                            <w:r>
                              <w:rPr>
                                <w:color w:val="231F1F"/>
                              </w:rPr>
                              <w:t>influye</w:t>
                            </w:r>
                            <w:r>
                              <w:rPr>
                                <w:color w:val="231F1F"/>
                                <w:spacing w:val="34"/>
                              </w:rPr>
                              <w:t> </w:t>
                            </w:r>
                            <w:r>
                              <w:rPr>
                                <w:color w:val="231F1F"/>
                              </w:rPr>
                              <w:t>el</w:t>
                            </w:r>
                            <w:r>
                              <w:rPr>
                                <w:color w:val="231F1F"/>
                                <w:spacing w:val="33"/>
                              </w:rPr>
                              <w:t> </w:t>
                            </w:r>
                            <w:r>
                              <w:rPr>
                                <w:color w:val="231F1F"/>
                              </w:rPr>
                              <w:t>anestésico</w:t>
                            </w:r>
                            <w:r>
                              <w:rPr>
                                <w:color w:val="231F1F"/>
                                <w:spacing w:val="34"/>
                              </w:rPr>
                              <w:t> </w:t>
                            </w:r>
                            <w:r>
                              <w:rPr>
                                <w:color w:val="231F1F"/>
                              </w:rPr>
                              <w:t>local</w:t>
                            </w:r>
                            <w:r>
                              <w:rPr>
                                <w:color w:val="231F1F"/>
                                <w:spacing w:val="34"/>
                              </w:rPr>
                              <w:t> </w:t>
                            </w:r>
                            <w:r>
                              <w:rPr>
                                <w:color w:val="231F1F"/>
                              </w:rPr>
                              <w:t>empleado</w:t>
                            </w:r>
                            <w:r>
                              <w:rPr>
                                <w:color w:val="231F1F"/>
                                <w:spacing w:val="34"/>
                              </w:rPr>
                              <w:t> </w:t>
                            </w:r>
                            <w:r>
                              <w:rPr>
                                <w:color w:val="231F1F"/>
                              </w:rPr>
                              <w:t>en</w:t>
                            </w:r>
                            <w:r>
                              <w:rPr>
                                <w:color w:val="231F1F"/>
                                <w:spacing w:val="34"/>
                              </w:rPr>
                              <w:t> </w:t>
                            </w:r>
                            <w:r>
                              <w:rPr>
                                <w:color w:val="231F1F"/>
                              </w:rPr>
                              <w:t>la</w:t>
                            </w:r>
                            <w:r>
                              <w:rPr>
                                <w:color w:val="231F1F"/>
                                <w:spacing w:val="33"/>
                              </w:rPr>
                              <w:t> </w:t>
                            </w:r>
                            <w:r>
                              <w:rPr>
                                <w:color w:val="231F1F"/>
                              </w:rPr>
                              <w:t>analgesia</w:t>
                            </w:r>
                            <w:r>
                              <w:rPr>
                                <w:color w:val="231F1F"/>
                                <w:spacing w:val="34"/>
                              </w:rPr>
                              <w:t> </w:t>
                            </w:r>
                            <w:r>
                              <w:rPr>
                                <w:color w:val="231F1F"/>
                              </w:rPr>
                              <w:t>neuroaxial</w:t>
                            </w:r>
                            <w:r>
                              <w:rPr>
                                <w:color w:val="231F1F"/>
                                <w:spacing w:val="34"/>
                              </w:rPr>
                              <w:t> </w:t>
                            </w:r>
                            <w:r>
                              <w:rPr>
                                <w:color w:val="231F1F"/>
                                <w:spacing w:val="-2"/>
                              </w:rPr>
                              <w:t>obstétrica?</w:t>
                            </w:r>
                          </w:p>
                          <w:p>
                            <w:pPr>
                              <w:pStyle w:val="BodyText"/>
                              <w:numPr>
                                <w:ilvl w:val="0"/>
                                <w:numId w:val="73"/>
                              </w:numPr>
                              <w:tabs>
                                <w:tab w:pos="322" w:val="left" w:leader="none"/>
                              </w:tabs>
                              <w:spacing w:line="244" w:lineRule="auto" w:before="145" w:after="0"/>
                              <w:ind w:left="322" w:right="189" w:hanging="198"/>
                              <w:jc w:val="left"/>
                            </w:pPr>
                            <w:r>
                              <w:rPr>
                                <w:color w:val="231F1F"/>
                                <w:w w:val="110"/>
                              </w:rPr>
                              <w:t>¿Cómo</w:t>
                            </w:r>
                            <w:r>
                              <w:rPr>
                                <w:color w:val="231F1F"/>
                                <w:spacing w:val="-4"/>
                                <w:w w:val="110"/>
                              </w:rPr>
                              <w:t> </w:t>
                            </w:r>
                            <w:r>
                              <w:rPr>
                                <w:color w:val="231F1F"/>
                                <w:w w:val="110"/>
                              </w:rPr>
                              <w:t>influye</w:t>
                            </w:r>
                            <w:r>
                              <w:rPr>
                                <w:color w:val="231F1F"/>
                                <w:spacing w:val="-6"/>
                                <w:w w:val="110"/>
                              </w:rPr>
                              <w:t> </w:t>
                            </w:r>
                            <w:r>
                              <w:rPr>
                                <w:color w:val="231F1F"/>
                                <w:w w:val="110"/>
                              </w:rPr>
                              <w:t>el</w:t>
                            </w:r>
                            <w:r>
                              <w:rPr>
                                <w:color w:val="231F1F"/>
                                <w:spacing w:val="-6"/>
                                <w:w w:val="110"/>
                              </w:rPr>
                              <w:t> </w:t>
                            </w:r>
                            <w:r>
                              <w:rPr>
                                <w:color w:val="231F1F"/>
                                <w:w w:val="110"/>
                              </w:rPr>
                              <w:t>uso</w:t>
                            </w:r>
                            <w:r>
                              <w:rPr>
                                <w:color w:val="231F1F"/>
                                <w:spacing w:val="-6"/>
                                <w:w w:val="110"/>
                              </w:rPr>
                              <w:t> </w:t>
                            </w:r>
                            <w:r>
                              <w:rPr>
                                <w:color w:val="231F1F"/>
                                <w:w w:val="110"/>
                              </w:rPr>
                              <w:t>de</w:t>
                            </w:r>
                            <w:r>
                              <w:rPr>
                                <w:color w:val="231F1F"/>
                                <w:spacing w:val="-6"/>
                                <w:w w:val="110"/>
                              </w:rPr>
                              <w:t> </w:t>
                            </w:r>
                            <w:r>
                              <w:rPr>
                                <w:color w:val="231F1F"/>
                                <w:w w:val="110"/>
                              </w:rPr>
                              <w:t>opioides</w:t>
                            </w:r>
                            <w:r>
                              <w:rPr>
                                <w:color w:val="231F1F"/>
                                <w:spacing w:val="-6"/>
                                <w:w w:val="110"/>
                              </w:rPr>
                              <w:t> </w:t>
                            </w:r>
                            <w:r>
                              <w:rPr>
                                <w:color w:val="231F1F"/>
                                <w:w w:val="110"/>
                              </w:rPr>
                              <w:t>y</w:t>
                            </w:r>
                            <w:r>
                              <w:rPr>
                                <w:color w:val="231F1F"/>
                                <w:spacing w:val="-6"/>
                                <w:w w:val="110"/>
                              </w:rPr>
                              <w:t> </w:t>
                            </w:r>
                            <w:r>
                              <w:rPr>
                                <w:color w:val="231F1F"/>
                                <w:w w:val="110"/>
                              </w:rPr>
                              <w:t>coadyuvantes</w:t>
                            </w:r>
                            <w:r>
                              <w:rPr>
                                <w:color w:val="231F1F"/>
                                <w:spacing w:val="-6"/>
                                <w:w w:val="110"/>
                              </w:rPr>
                              <w:t> </w:t>
                            </w:r>
                            <w:r>
                              <w:rPr>
                                <w:color w:val="231F1F"/>
                                <w:w w:val="110"/>
                              </w:rPr>
                              <w:t>neuroaxiales</w:t>
                            </w:r>
                            <w:r>
                              <w:rPr>
                                <w:color w:val="231F1F"/>
                                <w:spacing w:val="-7"/>
                                <w:w w:val="110"/>
                              </w:rPr>
                              <w:t> </w:t>
                            </w:r>
                            <w:r>
                              <w:rPr>
                                <w:color w:val="231F1F"/>
                                <w:w w:val="110"/>
                              </w:rPr>
                              <w:t>sobre</w:t>
                            </w:r>
                            <w:r>
                              <w:rPr>
                                <w:color w:val="231F1F"/>
                                <w:spacing w:val="-6"/>
                                <w:w w:val="110"/>
                              </w:rPr>
                              <w:t> </w:t>
                            </w:r>
                            <w:r>
                              <w:rPr>
                                <w:color w:val="231F1F"/>
                                <w:w w:val="110"/>
                              </w:rPr>
                              <w:t>el</w:t>
                            </w:r>
                            <w:r>
                              <w:rPr>
                                <w:color w:val="231F1F"/>
                                <w:spacing w:val="-6"/>
                                <w:w w:val="110"/>
                              </w:rPr>
                              <w:t> </w:t>
                            </w:r>
                            <w:r>
                              <w:rPr>
                                <w:color w:val="231F1F"/>
                                <w:w w:val="110"/>
                              </w:rPr>
                              <w:t>parto</w:t>
                            </w:r>
                            <w:r>
                              <w:rPr>
                                <w:color w:val="231F1F"/>
                                <w:spacing w:val="-6"/>
                                <w:w w:val="110"/>
                              </w:rPr>
                              <w:t> </w:t>
                            </w:r>
                            <w:r>
                              <w:rPr>
                                <w:color w:val="231F1F"/>
                                <w:w w:val="110"/>
                              </w:rPr>
                              <w:t>y</w:t>
                            </w:r>
                            <w:r>
                              <w:rPr>
                                <w:color w:val="231F1F"/>
                                <w:spacing w:val="-6"/>
                                <w:w w:val="110"/>
                              </w:rPr>
                              <w:t> </w:t>
                            </w:r>
                            <w:r>
                              <w:rPr>
                                <w:color w:val="231F1F"/>
                                <w:w w:val="110"/>
                              </w:rPr>
                              <w:t>sus </w:t>
                            </w:r>
                            <w:r>
                              <w:rPr>
                                <w:color w:val="231F1F"/>
                                <w:spacing w:val="-2"/>
                                <w:w w:val="110"/>
                              </w:rPr>
                              <w:t>resultados?</w:t>
                            </w:r>
                          </w:p>
                          <w:p>
                            <w:pPr>
                              <w:pStyle w:val="BodyText"/>
                              <w:numPr>
                                <w:ilvl w:val="0"/>
                                <w:numId w:val="73"/>
                              </w:numPr>
                              <w:tabs>
                                <w:tab w:pos="320" w:val="left" w:leader="none"/>
                              </w:tabs>
                              <w:spacing w:line="240" w:lineRule="auto" w:before="151" w:after="0"/>
                              <w:ind w:left="320" w:right="0" w:hanging="218"/>
                              <w:jc w:val="left"/>
                            </w:pPr>
                            <w:r>
                              <w:rPr>
                                <w:color w:val="231F1F"/>
                                <w:w w:val="110"/>
                              </w:rPr>
                              <w:t>¿Se</w:t>
                            </w:r>
                            <w:r>
                              <w:rPr>
                                <w:color w:val="231F1F"/>
                                <w:spacing w:val="-13"/>
                                <w:w w:val="110"/>
                              </w:rPr>
                              <w:t> </w:t>
                            </w:r>
                            <w:r>
                              <w:rPr>
                                <w:color w:val="231F1F"/>
                                <w:w w:val="110"/>
                              </w:rPr>
                              <w:t>debe</w:t>
                            </w:r>
                            <w:r>
                              <w:rPr>
                                <w:color w:val="231F1F"/>
                                <w:spacing w:val="-13"/>
                                <w:w w:val="110"/>
                              </w:rPr>
                              <w:t> </w:t>
                            </w:r>
                            <w:r>
                              <w:rPr>
                                <w:color w:val="231F1F"/>
                                <w:w w:val="110"/>
                              </w:rPr>
                              <w:t>mantener</w:t>
                            </w:r>
                            <w:r>
                              <w:rPr>
                                <w:color w:val="231F1F"/>
                                <w:spacing w:val="-12"/>
                                <w:w w:val="110"/>
                              </w:rPr>
                              <w:t> </w:t>
                            </w:r>
                            <w:r>
                              <w:rPr>
                                <w:color w:val="231F1F"/>
                                <w:w w:val="110"/>
                              </w:rPr>
                              <w:t>la</w:t>
                            </w:r>
                            <w:r>
                              <w:rPr>
                                <w:color w:val="231F1F"/>
                                <w:spacing w:val="-12"/>
                                <w:w w:val="110"/>
                              </w:rPr>
                              <w:t> </w:t>
                            </w:r>
                            <w:r>
                              <w:rPr>
                                <w:color w:val="231F1F"/>
                                <w:w w:val="110"/>
                              </w:rPr>
                              <w:t>analgesia</w:t>
                            </w:r>
                            <w:r>
                              <w:rPr>
                                <w:color w:val="231F1F"/>
                                <w:spacing w:val="-12"/>
                                <w:w w:val="110"/>
                              </w:rPr>
                              <w:t> </w:t>
                            </w:r>
                            <w:r>
                              <w:rPr>
                                <w:color w:val="231F1F"/>
                                <w:w w:val="110"/>
                              </w:rPr>
                              <w:t>epidural</w:t>
                            </w:r>
                            <w:r>
                              <w:rPr>
                                <w:color w:val="231F1F"/>
                                <w:spacing w:val="-12"/>
                                <w:w w:val="110"/>
                              </w:rPr>
                              <w:t> </w:t>
                            </w:r>
                            <w:r>
                              <w:rPr>
                                <w:color w:val="231F1F"/>
                                <w:w w:val="110"/>
                              </w:rPr>
                              <w:t>durante</w:t>
                            </w:r>
                            <w:r>
                              <w:rPr>
                                <w:color w:val="231F1F"/>
                                <w:spacing w:val="-12"/>
                                <w:w w:val="110"/>
                              </w:rPr>
                              <w:t> </w:t>
                            </w:r>
                            <w:r>
                              <w:rPr>
                                <w:color w:val="231F1F"/>
                                <w:w w:val="110"/>
                              </w:rPr>
                              <w:t>la</w:t>
                            </w:r>
                            <w:r>
                              <w:rPr>
                                <w:color w:val="231F1F"/>
                                <w:spacing w:val="-11"/>
                                <w:w w:val="110"/>
                              </w:rPr>
                              <w:t> </w:t>
                            </w:r>
                            <w:r>
                              <w:rPr>
                                <w:color w:val="231F1F"/>
                                <w:w w:val="110"/>
                              </w:rPr>
                              <w:t>2ª</w:t>
                            </w:r>
                            <w:r>
                              <w:rPr>
                                <w:color w:val="231F1F"/>
                                <w:spacing w:val="-14"/>
                                <w:w w:val="110"/>
                              </w:rPr>
                              <w:t> </w:t>
                            </w:r>
                            <w:r>
                              <w:rPr>
                                <w:color w:val="231F1F"/>
                                <w:w w:val="110"/>
                              </w:rPr>
                              <w:t>etapa</w:t>
                            </w:r>
                            <w:r>
                              <w:rPr>
                                <w:color w:val="231F1F"/>
                                <w:spacing w:val="-12"/>
                                <w:w w:val="110"/>
                              </w:rPr>
                              <w:t> </w:t>
                            </w:r>
                            <w:r>
                              <w:rPr>
                                <w:color w:val="231F1F"/>
                                <w:w w:val="110"/>
                              </w:rPr>
                              <w:t>del</w:t>
                            </w:r>
                            <w:r>
                              <w:rPr>
                                <w:color w:val="231F1F"/>
                                <w:spacing w:val="-14"/>
                                <w:w w:val="110"/>
                              </w:rPr>
                              <w:t> </w:t>
                            </w:r>
                            <w:r>
                              <w:rPr>
                                <w:color w:val="231F1F"/>
                                <w:spacing w:val="-2"/>
                                <w:w w:val="110"/>
                              </w:rPr>
                              <w:t>parto?</w:t>
                            </w:r>
                          </w:p>
                        </w:txbxContent>
                      </wps:txbx>
                      <wps:bodyPr wrap="square" lIns="0" tIns="0" rIns="0" bIns="0" rtlCol="0">
                        <a:noAutofit/>
                      </wps:bodyPr>
                    </wps:wsp>
                  </a:graphicData>
                </a:graphic>
              </wp:anchor>
            </w:drawing>
          </mc:Choice>
          <mc:Fallback>
            <w:pict>
              <v:shape style="position:absolute;margin-left:85.25pt;margin-top:14.251758pt;width:425.2pt;height:307.6pt;mso-position-horizontal-relative:page;mso-position-vertical-relative:paragraph;z-index:-15691264;mso-wrap-distance-left:0;mso-wrap-distance-right:0" type="#_x0000_t202" id="docshape124" filled="false" stroked="true" strokeweight=".5pt" strokecolor="#a30046">
                <v:textbox inset="0,0,0,0">
                  <w:txbxContent>
                    <w:p>
                      <w:pPr>
                        <w:pStyle w:val="BodyText"/>
                        <w:numPr>
                          <w:ilvl w:val="0"/>
                          <w:numId w:val="73"/>
                        </w:numPr>
                        <w:tabs>
                          <w:tab w:pos="322" w:val="left" w:leader="none"/>
                        </w:tabs>
                        <w:spacing w:line="240" w:lineRule="auto" w:before="60" w:after="0"/>
                        <w:ind w:left="322" w:right="0" w:hanging="218"/>
                        <w:jc w:val="left"/>
                      </w:pPr>
                      <w:r>
                        <w:rPr>
                          <w:color w:val="231F1F"/>
                        </w:rPr>
                        <w:t>¿Cuál</w:t>
                      </w:r>
                      <w:r>
                        <w:rPr>
                          <w:color w:val="231F1F"/>
                          <w:spacing w:val="22"/>
                        </w:rPr>
                        <w:t> </w:t>
                      </w:r>
                      <w:r>
                        <w:rPr>
                          <w:color w:val="231F1F"/>
                        </w:rPr>
                        <w:t>es</w:t>
                      </w:r>
                      <w:r>
                        <w:rPr>
                          <w:color w:val="231F1F"/>
                          <w:spacing w:val="23"/>
                        </w:rPr>
                        <w:t> </w:t>
                      </w:r>
                      <w:r>
                        <w:rPr>
                          <w:color w:val="231F1F"/>
                        </w:rPr>
                        <w:t>la</w:t>
                      </w:r>
                      <w:r>
                        <w:rPr>
                          <w:color w:val="231F1F"/>
                          <w:spacing w:val="22"/>
                        </w:rPr>
                        <w:t> </w:t>
                      </w:r>
                      <w:r>
                        <w:rPr>
                          <w:color w:val="231F1F"/>
                        </w:rPr>
                        <w:t>efectividad</w:t>
                      </w:r>
                      <w:r>
                        <w:rPr>
                          <w:color w:val="231F1F"/>
                          <w:spacing w:val="25"/>
                        </w:rPr>
                        <w:t> </w:t>
                      </w:r>
                      <w:r>
                        <w:rPr>
                          <w:color w:val="231F1F"/>
                        </w:rPr>
                        <w:t>de</w:t>
                      </w:r>
                      <w:r>
                        <w:rPr>
                          <w:color w:val="231F1F"/>
                          <w:spacing w:val="22"/>
                        </w:rPr>
                        <w:t> </w:t>
                      </w:r>
                      <w:r>
                        <w:rPr>
                          <w:color w:val="231F1F"/>
                        </w:rPr>
                        <w:t>la</w:t>
                      </w:r>
                      <w:r>
                        <w:rPr>
                          <w:color w:val="231F1F"/>
                          <w:spacing w:val="23"/>
                        </w:rPr>
                        <w:t> </w:t>
                      </w:r>
                      <w:r>
                        <w:rPr>
                          <w:color w:val="231F1F"/>
                        </w:rPr>
                        <w:t>analgesia</w:t>
                      </w:r>
                      <w:r>
                        <w:rPr>
                          <w:color w:val="231F1F"/>
                          <w:spacing w:val="24"/>
                        </w:rPr>
                        <w:t> </w:t>
                      </w:r>
                      <w:r>
                        <w:rPr>
                          <w:color w:val="231F1F"/>
                          <w:spacing w:val="-2"/>
                        </w:rPr>
                        <w:t>neuroaxial?</w:t>
                      </w:r>
                    </w:p>
                    <w:p>
                      <w:pPr>
                        <w:pStyle w:val="BodyText"/>
                        <w:numPr>
                          <w:ilvl w:val="0"/>
                          <w:numId w:val="73"/>
                        </w:numPr>
                        <w:tabs>
                          <w:tab w:pos="351" w:val="left" w:leader="none"/>
                        </w:tabs>
                        <w:spacing w:line="244" w:lineRule="auto" w:before="146" w:after="0"/>
                        <w:ind w:left="351" w:right="183" w:hanging="218"/>
                        <w:jc w:val="left"/>
                      </w:pPr>
                      <w:r>
                        <w:rPr>
                          <w:color w:val="231F1F"/>
                          <w:w w:val="110"/>
                        </w:rPr>
                        <w:t>¿Cuál</w:t>
                      </w:r>
                      <w:r>
                        <w:rPr>
                          <w:color w:val="231F1F"/>
                          <w:spacing w:val="-16"/>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efectividad</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4"/>
                          <w:w w:val="110"/>
                        </w:rPr>
                        <w:t> </w:t>
                      </w:r>
                      <w:r>
                        <w:rPr>
                          <w:color w:val="231F1F"/>
                          <w:w w:val="110"/>
                        </w:rPr>
                        <w:t>siguientes</w:t>
                      </w:r>
                      <w:r>
                        <w:rPr>
                          <w:color w:val="231F1F"/>
                          <w:spacing w:val="-16"/>
                          <w:w w:val="110"/>
                        </w:rPr>
                        <w:t> </w:t>
                      </w:r>
                      <w:r>
                        <w:rPr>
                          <w:color w:val="231F1F"/>
                          <w:w w:val="110"/>
                        </w:rPr>
                        <w:t>técnicas</w:t>
                      </w:r>
                      <w:r>
                        <w:rPr>
                          <w:color w:val="231F1F"/>
                          <w:spacing w:val="-14"/>
                          <w:w w:val="110"/>
                        </w:rPr>
                        <w:t> </w:t>
                      </w:r>
                      <w:r>
                        <w:rPr>
                          <w:color w:val="231F1F"/>
                          <w:w w:val="110"/>
                        </w:rPr>
                        <w:t>de</w:t>
                      </w:r>
                      <w:r>
                        <w:rPr>
                          <w:color w:val="231F1F"/>
                          <w:spacing w:val="-14"/>
                          <w:w w:val="110"/>
                        </w:rPr>
                        <w:t> </w:t>
                      </w:r>
                      <w:r>
                        <w:rPr>
                          <w:color w:val="231F1F"/>
                          <w:w w:val="110"/>
                        </w:rPr>
                        <w:t>analgesia</w:t>
                      </w:r>
                      <w:r>
                        <w:rPr>
                          <w:color w:val="231F1F"/>
                          <w:spacing w:val="-16"/>
                          <w:w w:val="110"/>
                        </w:rPr>
                        <w:t> </w:t>
                      </w:r>
                      <w:r>
                        <w:rPr>
                          <w:color w:val="231F1F"/>
                          <w:w w:val="110"/>
                        </w:rPr>
                        <w:t>neuroaxial</w:t>
                      </w:r>
                      <w:r>
                        <w:rPr>
                          <w:color w:val="231F1F"/>
                          <w:spacing w:val="-15"/>
                          <w:w w:val="110"/>
                        </w:rPr>
                        <w:t> </w:t>
                      </w:r>
                      <w:r>
                        <w:rPr>
                          <w:color w:val="231F1F"/>
                          <w:w w:val="110"/>
                        </w:rPr>
                        <w:t>obstétrica: Epidural</w:t>
                      </w:r>
                      <w:r>
                        <w:rPr>
                          <w:color w:val="231F1F"/>
                          <w:spacing w:val="-7"/>
                          <w:w w:val="110"/>
                        </w:rPr>
                        <w:t> </w:t>
                      </w:r>
                      <w:r>
                        <w:rPr>
                          <w:color w:val="231F1F"/>
                          <w:w w:val="110"/>
                        </w:rPr>
                        <w:t>tradicional</w:t>
                      </w:r>
                      <w:r>
                        <w:rPr>
                          <w:color w:val="231F1F"/>
                          <w:spacing w:val="-7"/>
                          <w:w w:val="110"/>
                        </w:rPr>
                        <w:t> </w:t>
                      </w:r>
                      <w:r>
                        <w:rPr>
                          <w:color w:val="231F1F"/>
                          <w:w w:val="110"/>
                        </w:rPr>
                        <w:t>vs</w:t>
                      </w:r>
                      <w:r>
                        <w:rPr>
                          <w:color w:val="231F1F"/>
                          <w:spacing w:val="-7"/>
                          <w:w w:val="110"/>
                        </w:rPr>
                        <w:t> </w:t>
                      </w:r>
                      <w:r>
                        <w:rPr>
                          <w:color w:val="231F1F"/>
                          <w:w w:val="110"/>
                        </w:rPr>
                        <w:t>Epidural</w:t>
                      </w:r>
                      <w:r>
                        <w:rPr>
                          <w:color w:val="231F1F"/>
                          <w:spacing w:val="-7"/>
                          <w:w w:val="110"/>
                        </w:rPr>
                        <w:t> </w:t>
                      </w:r>
                      <w:r>
                        <w:rPr>
                          <w:color w:val="231F1F"/>
                          <w:w w:val="110"/>
                        </w:rPr>
                        <w:t>a</w:t>
                      </w:r>
                      <w:r>
                        <w:rPr>
                          <w:color w:val="231F1F"/>
                          <w:spacing w:val="-7"/>
                          <w:w w:val="110"/>
                        </w:rPr>
                        <w:t> </w:t>
                      </w:r>
                      <w:r>
                        <w:rPr>
                          <w:color w:val="231F1F"/>
                          <w:w w:val="110"/>
                        </w:rPr>
                        <w:t>bajas</w:t>
                      </w:r>
                      <w:r>
                        <w:rPr>
                          <w:color w:val="231F1F"/>
                          <w:spacing w:val="-7"/>
                          <w:w w:val="110"/>
                        </w:rPr>
                        <w:t> </w:t>
                      </w:r>
                      <w:r>
                        <w:rPr>
                          <w:color w:val="231F1F"/>
                          <w:w w:val="110"/>
                        </w:rPr>
                        <w:t>dosis</w:t>
                      </w:r>
                      <w:r>
                        <w:rPr>
                          <w:color w:val="231F1F"/>
                          <w:spacing w:val="-7"/>
                          <w:w w:val="110"/>
                        </w:rPr>
                        <w:t> </w:t>
                      </w:r>
                      <w:r>
                        <w:rPr>
                          <w:color w:val="231F1F"/>
                          <w:w w:val="110"/>
                        </w:rPr>
                        <w:t>vs</w:t>
                      </w:r>
                      <w:r>
                        <w:rPr>
                          <w:color w:val="231F1F"/>
                          <w:spacing w:val="-7"/>
                          <w:w w:val="110"/>
                        </w:rPr>
                        <w:t> </w:t>
                      </w:r>
                      <w:r>
                        <w:rPr>
                          <w:color w:val="231F1F"/>
                          <w:w w:val="110"/>
                        </w:rPr>
                        <w:t>Combinada</w:t>
                      </w:r>
                      <w:r>
                        <w:rPr>
                          <w:color w:val="231F1F"/>
                          <w:spacing w:val="-7"/>
                          <w:w w:val="110"/>
                        </w:rPr>
                        <w:t> </w:t>
                      </w:r>
                      <w:r>
                        <w:rPr>
                          <w:color w:val="231F1F"/>
                          <w:w w:val="110"/>
                        </w:rPr>
                        <w:t>(intradural-epidural)?</w:t>
                      </w:r>
                    </w:p>
                    <w:p>
                      <w:pPr>
                        <w:pStyle w:val="BodyText"/>
                        <w:numPr>
                          <w:ilvl w:val="0"/>
                          <w:numId w:val="73"/>
                        </w:numPr>
                        <w:tabs>
                          <w:tab w:pos="323" w:val="left" w:leader="none"/>
                        </w:tabs>
                        <w:spacing w:line="240" w:lineRule="auto" w:before="151" w:after="0"/>
                        <w:ind w:left="323" w:right="202" w:hanging="220"/>
                        <w:jc w:val="left"/>
                      </w:pPr>
                      <w:r>
                        <w:rPr>
                          <w:color w:val="231F1F"/>
                          <w:w w:val="110"/>
                        </w:rPr>
                        <w:t>¿Es</w:t>
                      </w:r>
                      <w:r>
                        <w:rPr>
                          <w:color w:val="231F1F"/>
                          <w:spacing w:val="-16"/>
                          <w:w w:val="110"/>
                        </w:rPr>
                        <w:t> </w:t>
                      </w:r>
                      <w:r>
                        <w:rPr>
                          <w:color w:val="231F1F"/>
                          <w:w w:val="110"/>
                        </w:rPr>
                        <w:t>útil</w:t>
                      </w:r>
                      <w:r>
                        <w:rPr>
                          <w:color w:val="231F1F"/>
                          <w:spacing w:val="-15"/>
                          <w:w w:val="110"/>
                        </w:rPr>
                        <w:t> </w:t>
                      </w:r>
                      <w:r>
                        <w:rPr>
                          <w:color w:val="231F1F"/>
                          <w:w w:val="110"/>
                        </w:rPr>
                        <w:t>realizar</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6"/>
                          <w:w w:val="110"/>
                        </w:rPr>
                        <w:t> </w:t>
                      </w:r>
                      <w:r>
                        <w:rPr>
                          <w:color w:val="231F1F"/>
                          <w:w w:val="110"/>
                        </w:rPr>
                        <w:t>sistemática</w:t>
                      </w:r>
                      <w:r>
                        <w:rPr>
                          <w:color w:val="231F1F"/>
                          <w:spacing w:val="-15"/>
                          <w:w w:val="110"/>
                        </w:rPr>
                        <w:t> </w:t>
                      </w:r>
                      <w:r>
                        <w:rPr>
                          <w:color w:val="231F1F"/>
                          <w:w w:val="110"/>
                        </w:rPr>
                        <w:t>previo</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adminis- tración de una analgesia neuroaxial?</w:t>
                      </w:r>
                    </w:p>
                    <w:p>
                      <w:pPr>
                        <w:pStyle w:val="BodyText"/>
                        <w:numPr>
                          <w:ilvl w:val="0"/>
                          <w:numId w:val="73"/>
                        </w:numPr>
                        <w:tabs>
                          <w:tab w:pos="323" w:val="left" w:leader="none"/>
                        </w:tabs>
                        <w:spacing w:line="244" w:lineRule="auto" w:before="147" w:after="0"/>
                        <w:ind w:left="323" w:right="199" w:hanging="220"/>
                        <w:jc w:val="left"/>
                      </w:pPr>
                      <w:r>
                        <w:rPr>
                          <w:color w:val="231F1F"/>
                        </w:rPr>
                        <w:t>¿Cuál</w:t>
                      </w:r>
                      <w:r>
                        <w:rPr>
                          <w:color w:val="231F1F"/>
                          <w:spacing w:val="33"/>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5"/>
                        </w:rPr>
                        <w:t> </w:t>
                      </w:r>
                      <w:r>
                        <w:rPr>
                          <w:color w:val="231F1F"/>
                        </w:rPr>
                        <w:t>perfusión</w:t>
                      </w:r>
                      <w:r>
                        <w:rPr>
                          <w:color w:val="231F1F"/>
                          <w:spacing w:val="31"/>
                        </w:rPr>
                        <w:t> </w:t>
                      </w:r>
                      <w:r>
                        <w:rPr>
                          <w:color w:val="231F1F"/>
                        </w:rPr>
                        <w:t>de</w:t>
                      </w:r>
                      <w:r>
                        <w:rPr>
                          <w:color w:val="231F1F"/>
                          <w:spacing w:val="35"/>
                        </w:rPr>
                        <w:t> </w:t>
                      </w:r>
                      <w:r>
                        <w:rPr>
                          <w:color w:val="231F1F"/>
                        </w:rPr>
                        <w:t>soluciones</w:t>
                      </w:r>
                      <w:r>
                        <w:rPr>
                          <w:color w:val="231F1F"/>
                          <w:spacing w:val="29"/>
                        </w:rPr>
                        <w:t> </w:t>
                      </w:r>
                      <w:r>
                        <w:rPr>
                          <w:color w:val="231F1F"/>
                        </w:rPr>
                        <w:t>intravenosas</w:t>
                      </w:r>
                      <w:r>
                        <w:rPr>
                          <w:color w:val="231F1F"/>
                          <w:spacing w:val="35"/>
                        </w:rPr>
                        <w:t> </w:t>
                      </w:r>
                      <w:r>
                        <w:rPr>
                          <w:color w:val="231F1F"/>
                        </w:rPr>
                        <w:t>(cristaloides,</w:t>
                      </w:r>
                      <w:r>
                        <w:rPr>
                          <w:color w:val="231F1F"/>
                          <w:spacing w:val="33"/>
                        </w:rPr>
                        <w:t> </w:t>
                      </w:r>
                      <w:r>
                        <w:rPr>
                          <w:color w:val="231F1F"/>
                        </w:rPr>
                        <w:t>coloi- </w:t>
                      </w:r>
                      <w:r>
                        <w:rPr>
                          <w:color w:val="231F1F"/>
                          <w:w w:val="110"/>
                        </w:rPr>
                        <w:t>des) previa a la realización de una técnica de analgesia neuroaxial obstétrica?</w:t>
                      </w:r>
                    </w:p>
                    <w:p>
                      <w:pPr>
                        <w:pStyle w:val="BodyText"/>
                        <w:numPr>
                          <w:ilvl w:val="0"/>
                          <w:numId w:val="73"/>
                        </w:numPr>
                        <w:tabs>
                          <w:tab w:pos="322" w:val="left" w:leader="none"/>
                        </w:tabs>
                        <w:spacing w:line="244" w:lineRule="auto" w:before="141" w:after="0"/>
                        <w:ind w:left="322" w:right="212" w:hanging="219"/>
                        <w:jc w:val="left"/>
                      </w:pPr>
                      <w:r>
                        <w:rPr>
                          <w:color w:val="231F1F"/>
                          <w:w w:val="110"/>
                        </w:rPr>
                        <w:t>¿Se</w:t>
                      </w:r>
                      <w:r>
                        <w:rPr>
                          <w:color w:val="231F1F"/>
                          <w:spacing w:val="-8"/>
                          <w:w w:val="110"/>
                        </w:rPr>
                        <w:t> </w:t>
                      </w:r>
                      <w:r>
                        <w:rPr>
                          <w:color w:val="231F1F"/>
                          <w:w w:val="110"/>
                        </w:rPr>
                        <w:t>debe</w:t>
                      </w:r>
                      <w:r>
                        <w:rPr>
                          <w:color w:val="231F1F"/>
                          <w:spacing w:val="-8"/>
                          <w:w w:val="110"/>
                        </w:rPr>
                        <w:t> </w:t>
                      </w:r>
                      <w:r>
                        <w:rPr>
                          <w:color w:val="231F1F"/>
                          <w:w w:val="110"/>
                        </w:rPr>
                        <w:t>posponer</w:t>
                      </w:r>
                      <w:r>
                        <w:rPr>
                          <w:color w:val="231F1F"/>
                          <w:spacing w:val="-8"/>
                          <w:w w:val="110"/>
                        </w:rPr>
                        <w:t> </w:t>
                      </w:r>
                      <w:r>
                        <w:rPr>
                          <w:color w:val="231F1F"/>
                          <w:w w:val="110"/>
                        </w:rPr>
                        <w:t>la</w:t>
                      </w:r>
                      <w:r>
                        <w:rPr>
                          <w:color w:val="231F1F"/>
                          <w:spacing w:val="-8"/>
                          <w:w w:val="110"/>
                        </w:rPr>
                        <w:t> </w:t>
                      </w:r>
                      <w:r>
                        <w:rPr>
                          <w:color w:val="231F1F"/>
                          <w:w w:val="110"/>
                        </w:rPr>
                        <w:t>instauración</w:t>
                      </w:r>
                      <w:r>
                        <w:rPr>
                          <w:color w:val="231F1F"/>
                          <w:spacing w:val="-8"/>
                          <w:w w:val="110"/>
                        </w:rPr>
                        <w:t> </w:t>
                      </w:r>
                      <w:r>
                        <w:rPr>
                          <w:color w:val="231F1F"/>
                          <w:w w:val="110"/>
                        </w:rPr>
                        <w:t>de</w:t>
                      </w:r>
                      <w:r>
                        <w:rPr>
                          <w:color w:val="231F1F"/>
                          <w:spacing w:val="-8"/>
                          <w:w w:val="110"/>
                        </w:rPr>
                        <w:t> </w:t>
                      </w:r>
                      <w:r>
                        <w:rPr>
                          <w:color w:val="231F1F"/>
                          <w:w w:val="110"/>
                        </w:rPr>
                        <w:t>una</w:t>
                      </w:r>
                      <w:r>
                        <w:rPr>
                          <w:color w:val="231F1F"/>
                          <w:spacing w:val="-8"/>
                          <w:w w:val="110"/>
                        </w:rPr>
                        <w:t> </w:t>
                      </w:r>
                      <w:r>
                        <w:rPr>
                          <w:color w:val="231F1F"/>
                          <w:w w:val="110"/>
                        </w:rPr>
                        <w:t>analgesia</w:t>
                      </w:r>
                      <w:r>
                        <w:rPr>
                          <w:color w:val="231F1F"/>
                          <w:spacing w:val="-8"/>
                          <w:w w:val="110"/>
                        </w:rPr>
                        <w:t> </w:t>
                      </w:r>
                      <w:r>
                        <w:rPr>
                          <w:color w:val="231F1F"/>
                          <w:w w:val="110"/>
                        </w:rPr>
                        <w:t>obstétrica</w:t>
                      </w:r>
                      <w:r>
                        <w:rPr>
                          <w:color w:val="231F1F"/>
                          <w:spacing w:val="-8"/>
                          <w:w w:val="110"/>
                        </w:rPr>
                        <w:t> </w:t>
                      </w:r>
                      <w:r>
                        <w:rPr>
                          <w:color w:val="231F1F"/>
                          <w:w w:val="110"/>
                        </w:rPr>
                        <w:t>neuroaxial</w:t>
                      </w:r>
                      <w:r>
                        <w:rPr>
                          <w:color w:val="231F1F"/>
                          <w:spacing w:val="-10"/>
                          <w:w w:val="110"/>
                        </w:rPr>
                        <w:t> </w:t>
                      </w:r>
                      <w:r>
                        <w:rPr>
                          <w:color w:val="231F1F"/>
                          <w:w w:val="110"/>
                        </w:rPr>
                        <w:t>hasta</w:t>
                      </w:r>
                      <w:r>
                        <w:rPr>
                          <w:color w:val="231F1F"/>
                          <w:spacing w:val="-8"/>
                          <w:w w:val="110"/>
                        </w:rPr>
                        <w:t> </w:t>
                      </w:r>
                      <w:r>
                        <w:rPr>
                          <w:color w:val="231F1F"/>
                          <w:w w:val="110"/>
                        </w:rPr>
                        <w:t>una fase avanzada del parto?</w:t>
                      </w:r>
                    </w:p>
                    <w:p>
                      <w:pPr>
                        <w:pStyle w:val="BodyText"/>
                        <w:numPr>
                          <w:ilvl w:val="0"/>
                          <w:numId w:val="73"/>
                        </w:numPr>
                        <w:tabs>
                          <w:tab w:pos="321" w:val="left" w:leader="none"/>
                        </w:tabs>
                        <w:spacing w:line="259" w:lineRule="auto" w:before="166" w:after="0"/>
                        <w:ind w:left="321" w:right="196" w:hanging="219"/>
                        <w:jc w:val="left"/>
                      </w:pPr>
                      <w:r>
                        <w:rPr>
                          <w:color w:val="231F1F"/>
                        </w:rPr>
                        <w:t>¿Cómo</w:t>
                      </w:r>
                      <w:r>
                        <w:rPr>
                          <w:color w:val="231F1F"/>
                          <w:spacing w:val="29"/>
                        </w:rPr>
                        <w:t> </w:t>
                      </w:r>
                      <w:r>
                        <w:rPr>
                          <w:color w:val="231F1F"/>
                        </w:rPr>
                        <w:t>influye</w:t>
                      </w:r>
                      <w:r>
                        <w:rPr>
                          <w:color w:val="231F1F"/>
                          <w:spacing w:val="29"/>
                        </w:rPr>
                        <w:t> </w:t>
                      </w:r>
                      <w:r>
                        <w:rPr>
                          <w:color w:val="231F1F"/>
                        </w:rPr>
                        <w:t>el</w:t>
                      </w:r>
                      <w:r>
                        <w:rPr>
                          <w:color w:val="231F1F"/>
                          <w:spacing w:val="29"/>
                        </w:rPr>
                        <w:t> </w:t>
                      </w:r>
                      <w:r>
                        <w:rPr>
                          <w:color w:val="231F1F"/>
                        </w:rPr>
                        <w:t>modo</w:t>
                      </w:r>
                      <w:r>
                        <w:rPr>
                          <w:color w:val="231F1F"/>
                          <w:spacing w:val="29"/>
                        </w:rPr>
                        <w:t> </w:t>
                      </w:r>
                      <w:r>
                        <w:rPr>
                          <w:color w:val="231F1F"/>
                        </w:rPr>
                        <w:t>de</w:t>
                      </w:r>
                      <w:r>
                        <w:rPr>
                          <w:color w:val="231F1F"/>
                          <w:spacing w:val="29"/>
                        </w:rPr>
                        <w:t> </w:t>
                      </w:r>
                      <w:r>
                        <w:rPr>
                          <w:color w:val="231F1F"/>
                        </w:rPr>
                        <w:t>administración</w:t>
                      </w:r>
                      <w:r>
                        <w:rPr>
                          <w:color w:val="231F1F"/>
                          <w:spacing w:val="27"/>
                        </w:rPr>
                        <w:t> </w:t>
                      </w:r>
                      <w:r>
                        <w:rPr>
                          <w:color w:val="231F1F"/>
                        </w:rPr>
                        <w:t>de</w:t>
                      </w:r>
                      <w:r>
                        <w:rPr>
                          <w:color w:val="231F1F"/>
                          <w:spacing w:val="29"/>
                        </w:rPr>
                        <w:t> </w:t>
                      </w:r>
                      <w:r>
                        <w:rPr>
                          <w:color w:val="231F1F"/>
                        </w:rPr>
                        <w:t>la</w:t>
                      </w:r>
                      <w:r>
                        <w:rPr>
                          <w:color w:val="231F1F"/>
                          <w:spacing w:val="29"/>
                        </w:rPr>
                        <w:t> </w:t>
                      </w:r>
                      <w:r>
                        <w:rPr>
                          <w:color w:val="231F1F"/>
                        </w:rPr>
                        <w:t>analgesia</w:t>
                      </w:r>
                      <w:r>
                        <w:rPr>
                          <w:color w:val="231F1F"/>
                          <w:spacing w:val="29"/>
                        </w:rPr>
                        <w:t> </w:t>
                      </w:r>
                      <w:r>
                        <w:rPr>
                          <w:color w:val="231F1F"/>
                        </w:rPr>
                        <w:t>sobre</w:t>
                      </w:r>
                      <w:r>
                        <w:rPr>
                          <w:color w:val="231F1F"/>
                          <w:spacing w:val="29"/>
                        </w:rPr>
                        <w:t> </w:t>
                      </w:r>
                      <w:r>
                        <w:rPr>
                          <w:color w:val="231F1F"/>
                        </w:rPr>
                        <w:t>el</w:t>
                      </w:r>
                      <w:r>
                        <w:rPr>
                          <w:color w:val="231F1F"/>
                          <w:spacing w:val="29"/>
                        </w:rPr>
                        <w:t> </w:t>
                      </w:r>
                      <w:r>
                        <w:rPr>
                          <w:color w:val="231F1F"/>
                        </w:rPr>
                        <w:t>parto</w:t>
                      </w:r>
                      <w:r>
                        <w:rPr>
                          <w:color w:val="231F1F"/>
                          <w:spacing w:val="29"/>
                        </w:rPr>
                        <w:t> </w:t>
                      </w:r>
                      <w:r>
                        <w:rPr>
                          <w:color w:val="231F1F"/>
                        </w:rPr>
                        <w:t>y</w:t>
                      </w:r>
                      <w:r>
                        <w:rPr>
                          <w:color w:val="231F1F"/>
                          <w:spacing w:val="29"/>
                        </w:rPr>
                        <w:t> </w:t>
                      </w:r>
                      <w:r>
                        <w:rPr>
                          <w:color w:val="231F1F"/>
                        </w:rPr>
                        <w:t>sus</w:t>
                      </w:r>
                      <w:r>
                        <w:rPr>
                          <w:color w:val="231F1F"/>
                          <w:spacing w:val="29"/>
                        </w:rPr>
                        <w:t> </w:t>
                      </w:r>
                      <w:r>
                        <w:rPr>
                          <w:color w:val="231F1F"/>
                        </w:rPr>
                        <w:t>resulta- </w:t>
                      </w:r>
                      <w:r>
                        <w:rPr>
                          <w:color w:val="231F1F"/>
                          <w:spacing w:val="-4"/>
                        </w:rPr>
                        <w:t>dos?</w:t>
                      </w:r>
                    </w:p>
                    <w:p>
                      <w:pPr>
                        <w:pStyle w:val="BodyText"/>
                        <w:numPr>
                          <w:ilvl w:val="0"/>
                          <w:numId w:val="73"/>
                        </w:numPr>
                        <w:tabs>
                          <w:tab w:pos="321" w:val="left" w:leader="none"/>
                        </w:tabs>
                        <w:spacing w:line="254" w:lineRule="auto" w:before="145" w:after="0"/>
                        <w:ind w:left="321" w:right="224" w:hanging="221"/>
                        <w:jc w:val="left"/>
                      </w:pPr>
                      <w:r>
                        <w:rPr>
                          <w:color w:val="231F1F"/>
                        </w:rPr>
                        <w:t>¿Cuál</w:t>
                      </w:r>
                      <w:r>
                        <w:rPr>
                          <w:color w:val="231F1F"/>
                          <w:spacing w:val="31"/>
                        </w:rPr>
                        <w:t> </w:t>
                      </w:r>
                      <w:r>
                        <w:rPr>
                          <w:color w:val="231F1F"/>
                        </w:rPr>
                        <w:t>es</w:t>
                      </w:r>
                      <w:r>
                        <w:rPr>
                          <w:color w:val="231F1F"/>
                          <w:spacing w:val="31"/>
                        </w:rPr>
                        <w:t> </w:t>
                      </w:r>
                      <w:r>
                        <w:rPr>
                          <w:color w:val="231F1F"/>
                        </w:rPr>
                        <w:t>la</w:t>
                      </w:r>
                      <w:r>
                        <w:rPr>
                          <w:color w:val="231F1F"/>
                          <w:spacing w:val="31"/>
                        </w:rPr>
                        <w:t> </w:t>
                      </w:r>
                      <w:r>
                        <w:rPr>
                          <w:color w:val="231F1F"/>
                        </w:rPr>
                        <w:t>efectividad</w:t>
                      </w:r>
                      <w:r>
                        <w:rPr>
                          <w:color w:val="231F1F"/>
                          <w:spacing w:val="31"/>
                        </w:rPr>
                        <w:t> </w:t>
                      </w:r>
                      <w:r>
                        <w:rPr>
                          <w:color w:val="231F1F"/>
                        </w:rPr>
                        <w:t>de</w:t>
                      </w:r>
                      <w:r>
                        <w:rPr>
                          <w:color w:val="231F1F"/>
                          <w:spacing w:val="31"/>
                        </w:rPr>
                        <w:t> </w:t>
                      </w:r>
                      <w:r>
                        <w:rPr>
                          <w:color w:val="231F1F"/>
                        </w:rPr>
                        <w:t>la</w:t>
                      </w:r>
                      <w:r>
                        <w:rPr>
                          <w:color w:val="231F1F"/>
                          <w:spacing w:val="31"/>
                        </w:rPr>
                        <w:t> </w:t>
                      </w:r>
                      <w:r>
                        <w:rPr>
                          <w:color w:val="231F1F"/>
                        </w:rPr>
                        <w:t>vigilancia</w:t>
                      </w:r>
                      <w:r>
                        <w:rPr>
                          <w:color w:val="231F1F"/>
                          <w:spacing w:val="31"/>
                        </w:rPr>
                        <w:t> </w:t>
                      </w:r>
                      <w:r>
                        <w:rPr>
                          <w:color w:val="231F1F"/>
                        </w:rPr>
                        <w:t>materna</w:t>
                      </w:r>
                      <w:r>
                        <w:rPr>
                          <w:color w:val="231F1F"/>
                          <w:spacing w:val="31"/>
                        </w:rPr>
                        <w:t> </w:t>
                      </w:r>
                      <w:r>
                        <w:rPr>
                          <w:color w:val="231F1F"/>
                        </w:rPr>
                        <w:t>durante</w:t>
                      </w:r>
                      <w:r>
                        <w:rPr>
                          <w:color w:val="231F1F"/>
                          <w:spacing w:val="31"/>
                        </w:rPr>
                        <w:t> </w:t>
                      </w:r>
                      <w:r>
                        <w:rPr>
                          <w:color w:val="231F1F"/>
                        </w:rPr>
                        <w:t>el</w:t>
                      </w:r>
                      <w:r>
                        <w:rPr>
                          <w:color w:val="231F1F"/>
                          <w:spacing w:val="31"/>
                        </w:rPr>
                        <w:t> </w:t>
                      </w:r>
                      <w:r>
                        <w:rPr>
                          <w:color w:val="231F1F"/>
                        </w:rPr>
                        <w:t>establecimiento</w:t>
                      </w:r>
                      <w:r>
                        <w:rPr>
                          <w:color w:val="231F1F"/>
                          <w:spacing w:val="31"/>
                        </w:rPr>
                        <w:t> </w:t>
                      </w:r>
                      <w:r>
                        <w:rPr>
                          <w:color w:val="231F1F"/>
                        </w:rPr>
                        <w:t>y</w:t>
                      </w:r>
                      <w:r>
                        <w:rPr>
                          <w:color w:val="231F1F"/>
                          <w:spacing w:val="31"/>
                        </w:rPr>
                        <w:t> </w:t>
                      </w:r>
                      <w:r>
                        <w:rPr>
                          <w:color w:val="231F1F"/>
                        </w:rPr>
                        <w:t>manteni- miento</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analgesia</w:t>
                      </w:r>
                      <w:r>
                        <w:rPr>
                          <w:color w:val="231F1F"/>
                          <w:spacing w:val="40"/>
                        </w:rPr>
                        <w:t> </w:t>
                      </w:r>
                      <w:r>
                        <w:rPr>
                          <w:color w:val="231F1F"/>
                        </w:rPr>
                        <w:t>neuroaxial?</w:t>
                      </w:r>
                    </w:p>
                    <w:p>
                      <w:pPr>
                        <w:pStyle w:val="BodyText"/>
                        <w:numPr>
                          <w:ilvl w:val="0"/>
                          <w:numId w:val="73"/>
                        </w:numPr>
                        <w:tabs>
                          <w:tab w:pos="319" w:val="left" w:leader="none"/>
                        </w:tabs>
                        <w:spacing w:line="240" w:lineRule="auto" w:before="145" w:after="0"/>
                        <w:ind w:left="319" w:right="0" w:hanging="218"/>
                        <w:jc w:val="left"/>
                      </w:pPr>
                      <w:r>
                        <w:rPr>
                          <w:color w:val="231F1F"/>
                        </w:rPr>
                        <w:t>¿Cómo</w:t>
                      </w:r>
                      <w:r>
                        <w:rPr>
                          <w:color w:val="231F1F"/>
                          <w:spacing w:val="33"/>
                        </w:rPr>
                        <w:t> </w:t>
                      </w:r>
                      <w:r>
                        <w:rPr>
                          <w:color w:val="231F1F"/>
                        </w:rPr>
                        <w:t>influye</w:t>
                      </w:r>
                      <w:r>
                        <w:rPr>
                          <w:color w:val="231F1F"/>
                          <w:spacing w:val="34"/>
                        </w:rPr>
                        <w:t> </w:t>
                      </w:r>
                      <w:r>
                        <w:rPr>
                          <w:color w:val="231F1F"/>
                        </w:rPr>
                        <w:t>el</w:t>
                      </w:r>
                      <w:r>
                        <w:rPr>
                          <w:color w:val="231F1F"/>
                          <w:spacing w:val="33"/>
                        </w:rPr>
                        <w:t> </w:t>
                      </w:r>
                      <w:r>
                        <w:rPr>
                          <w:color w:val="231F1F"/>
                        </w:rPr>
                        <w:t>anestésico</w:t>
                      </w:r>
                      <w:r>
                        <w:rPr>
                          <w:color w:val="231F1F"/>
                          <w:spacing w:val="34"/>
                        </w:rPr>
                        <w:t> </w:t>
                      </w:r>
                      <w:r>
                        <w:rPr>
                          <w:color w:val="231F1F"/>
                        </w:rPr>
                        <w:t>local</w:t>
                      </w:r>
                      <w:r>
                        <w:rPr>
                          <w:color w:val="231F1F"/>
                          <w:spacing w:val="34"/>
                        </w:rPr>
                        <w:t> </w:t>
                      </w:r>
                      <w:r>
                        <w:rPr>
                          <w:color w:val="231F1F"/>
                        </w:rPr>
                        <w:t>empleado</w:t>
                      </w:r>
                      <w:r>
                        <w:rPr>
                          <w:color w:val="231F1F"/>
                          <w:spacing w:val="34"/>
                        </w:rPr>
                        <w:t> </w:t>
                      </w:r>
                      <w:r>
                        <w:rPr>
                          <w:color w:val="231F1F"/>
                        </w:rPr>
                        <w:t>en</w:t>
                      </w:r>
                      <w:r>
                        <w:rPr>
                          <w:color w:val="231F1F"/>
                          <w:spacing w:val="34"/>
                        </w:rPr>
                        <w:t> </w:t>
                      </w:r>
                      <w:r>
                        <w:rPr>
                          <w:color w:val="231F1F"/>
                        </w:rPr>
                        <w:t>la</w:t>
                      </w:r>
                      <w:r>
                        <w:rPr>
                          <w:color w:val="231F1F"/>
                          <w:spacing w:val="33"/>
                        </w:rPr>
                        <w:t> </w:t>
                      </w:r>
                      <w:r>
                        <w:rPr>
                          <w:color w:val="231F1F"/>
                        </w:rPr>
                        <w:t>analgesia</w:t>
                      </w:r>
                      <w:r>
                        <w:rPr>
                          <w:color w:val="231F1F"/>
                          <w:spacing w:val="34"/>
                        </w:rPr>
                        <w:t> </w:t>
                      </w:r>
                      <w:r>
                        <w:rPr>
                          <w:color w:val="231F1F"/>
                        </w:rPr>
                        <w:t>neuroaxial</w:t>
                      </w:r>
                      <w:r>
                        <w:rPr>
                          <w:color w:val="231F1F"/>
                          <w:spacing w:val="34"/>
                        </w:rPr>
                        <w:t> </w:t>
                      </w:r>
                      <w:r>
                        <w:rPr>
                          <w:color w:val="231F1F"/>
                          <w:spacing w:val="-2"/>
                        </w:rPr>
                        <w:t>obstétrica?</w:t>
                      </w:r>
                    </w:p>
                    <w:p>
                      <w:pPr>
                        <w:pStyle w:val="BodyText"/>
                        <w:numPr>
                          <w:ilvl w:val="0"/>
                          <w:numId w:val="73"/>
                        </w:numPr>
                        <w:tabs>
                          <w:tab w:pos="322" w:val="left" w:leader="none"/>
                        </w:tabs>
                        <w:spacing w:line="244" w:lineRule="auto" w:before="145" w:after="0"/>
                        <w:ind w:left="322" w:right="189" w:hanging="198"/>
                        <w:jc w:val="left"/>
                      </w:pPr>
                      <w:r>
                        <w:rPr>
                          <w:color w:val="231F1F"/>
                          <w:w w:val="110"/>
                        </w:rPr>
                        <w:t>¿Cómo</w:t>
                      </w:r>
                      <w:r>
                        <w:rPr>
                          <w:color w:val="231F1F"/>
                          <w:spacing w:val="-4"/>
                          <w:w w:val="110"/>
                        </w:rPr>
                        <w:t> </w:t>
                      </w:r>
                      <w:r>
                        <w:rPr>
                          <w:color w:val="231F1F"/>
                          <w:w w:val="110"/>
                        </w:rPr>
                        <w:t>influye</w:t>
                      </w:r>
                      <w:r>
                        <w:rPr>
                          <w:color w:val="231F1F"/>
                          <w:spacing w:val="-6"/>
                          <w:w w:val="110"/>
                        </w:rPr>
                        <w:t> </w:t>
                      </w:r>
                      <w:r>
                        <w:rPr>
                          <w:color w:val="231F1F"/>
                          <w:w w:val="110"/>
                        </w:rPr>
                        <w:t>el</w:t>
                      </w:r>
                      <w:r>
                        <w:rPr>
                          <w:color w:val="231F1F"/>
                          <w:spacing w:val="-6"/>
                          <w:w w:val="110"/>
                        </w:rPr>
                        <w:t> </w:t>
                      </w:r>
                      <w:r>
                        <w:rPr>
                          <w:color w:val="231F1F"/>
                          <w:w w:val="110"/>
                        </w:rPr>
                        <w:t>uso</w:t>
                      </w:r>
                      <w:r>
                        <w:rPr>
                          <w:color w:val="231F1F"/>
                          <w:spacing w:val="-6"/>
                          <w:w w:val="110"/>
                        </w:rPr>
                        <w:t> </w:t>
                      </w:r>
                      <w:r>
                        <w:rPr>
                          <w:color w:val="231F1F"/>
                          <w:w w:val="110"/>
                        </w:rPr>
                        <w:t>de</w:t>
                      </w:r>
                      <w:r>
                        <w:rPr>
                          <w:color w:val="231F1F"/>
                          <w:spacing w:val="-6"/>
                          <w:w w:val="110"/>
                        </w:rPr>
                        <w:t> </w:t>
                      </w:r>
                      <w:r>
                        <w:rPr>
                          <w:color w:val="231F1F"/>
                          <w:w w:val="110"/>
                        </w:rPr>
                        <w:t>opioides</w:t>
                      </w:r>
                      <w:r>
                        <w:rPr>
                          <w:color w:val="231F1F"/>
                          <w:spacing w:val="-6"/>
                          <w:w w:val="110"/>
                        </w:rPr>
                        <w:t> </w:t>
                      </w:r>
                      <w:r>
                        <w:rPr>
                          <w:color w:val="231F1F"/>
                          <w:w w:val="110"/>
                        </w:rPr>
                        <w:t>y</w:t>
                      </w:r>
                      <w:r>
                        <w:rPr>
                          <w:color w:val="231F1F"/>
                          <w:spacing w:val="-6"/>
                          <w:w w:val="110"/>
                        </w:rPr>
                        <w:t> </w:t>
                      </w:r>
                      <w:r>
                        <w:rPr>
                          <w:color w:val="231F1F"/>
                          <w:w w:val="110"/>
                        </w:rPr>
                        <w:t>coadyuvantes</w:t>
                      </w:r>
                      <w:r>
                        <w:rPr>
                          <w:color w:val="231F1F"/>
                          <w:spacing w:val="-6"/>
                          <w:w w:val="110"/>
                        </w:rPr>
                        <w:t> </w:t>
                      </w:r>
                      <w:r>
                        <w:rPr>
                          <w:color w:val="231F1F"/>
                          <w:w w:val="110"/>
                        </w:rPr>
                        <w:t>neuroaxiales</w:t>
                      </w:r>
                      <w:r>
                        <w:rPr>
                          <w:color w:val="231F1F"/>
                          <w:spacing w:val="-7"/>
                          <w:w w:val="110"/>
                        </w:rPr>
                        <w:t> </w:t>
                      </w:r>
                      <w:r>
                        <w:rPr>
                          <w:color w:val="231F1F"/>
                          <w:w w:val="110"/>
                        </w:rPr>
                        <w:t>sobre</w:t>
                      </w:r>
                      <w:r>
                        <w:rPr>
                          <w:color w:val="231F1F"/>
                          <w:spacing w:val="-6"/>
                          <w:w w:val="110"/>
                        </w:rPr>
                        <w:t> </w:t>
                      </w:r>
                      <w:r>
                        <w:rPr>
                          <w:color w:val="231F1F"/>
                          <w:w w:val="110"/>
                        </w:rPr>
                        <w:t>el</w:t>
                      </w:r>
                      <w:r>
                        <w:rPr>
                          <w:color w:val="231F1F"/>
                          <w:spacing w:val="-6"/>
                          <w:w w:val="110"/>
                        </w:rPr>
                        <w:t> </w:t>
                      </w:r>
                      <w:r>
                        <w:rPr>
                          <w:color w:val="231F1F"/>
                          <w:w w:val="110"/>
                        </w:rPr>
                        <w:t>parto</w:t>
                      </w:r>
                      <w:r>
                        <w:rPr>
                          <w:color w:val="231F1F"/>
                          <w:spacing w:val="-6"/>
                          <w:w w:val="110"/>
                        </w:rPr>
                        <w:t> </w:t>
                      </w:r>
                      <w:r>
                        <w:rPr>
                          <w:color w:val="231F1F"/>
                          <w:w w:val="110"/>
                        </w:rPr>
                        <w:t>y</w:t>
                      </w:r>
                      <w:r>
                        <w:rPr>
                          <w:color w:val="231F1F"/>
                          <w:spacing w:val="-6"/>
                          <w:w w:val="110"/>
                        </w:rPr>
                        <w:t> </w:t>
                      </w:r>
                      <w:r>
                        <w:rPr>
                          <w:color w:val="231F1F"/>
                          <w:w w:val="110"/>
                        </w:rPr>
                        <w:t>sus </w:t>
                      </w:r>
                      <w:r>
                        <w:rPr>
                          <w:color w:val="231F1F"/>
                          <w:spacing w:val="-2"/>
                          <w:w w:val="110"/>
                        </w:rPr>
                        <w:t>resultados?</w:t>
                      </w:r>
                    </w:p>
                    <w:p>
                      <w:pPr>
                        <w:pStyle w:val="BodyText"/>
                        <w:numPr>
                          <w:ilvl w:val="0"/>
                          <w:numId w:val="73"/>
                        </w:numPr>
                        <w:tabs>
                          <w:tab w:pos="320" w:val="left" w:leader="none"/>
                        </w:tabs>
                        <w:spacing w:line="240" w:lineRule="auto" w:before="151" w:after="0"/>
                        <w:ind w:left="320" w:right="0" w:hanging="218"/>
                        <w:jc w:val="left"/>
                      </w:pPr>
                      <w:r>
                        <w:rPr>
                          <w:color w:val="231F1F"/>
                          <w:w w:val="110"/>
                        </w:rPr>
                        <w:t>¿Se</w:t>
                      </w:r>
                      <w:r>
                        <w:rPr>
                          <w:color w:val="231F1F"/>
                          <w:spacing w:val="-13"/>
                          <w:w w:val="110"/>
                        </w:rPr>
                        <w:t> </w:t>
                      </w:r>
                      <w:r>
                        <w:rPr>
                          <w:color w:val="231F1F"/>
                          <w:w w:val="110"/>
                        </w:rPr>
                        <w:t>debe</w:t>
                      </w:r>
                      <w:r>
                        <w:rPr>
                          <w:color w:val="231F1F"/>
                          <w:spacing w:val="-13"/>
                          <w:w w:val="110"/>
                        </w:rPr>
                        <w:t> </w:t>
                      </w:r>
                      <w:r>
                        <w:rPr>
                          <w:color w:val="231F1F"/>
                          <w:w w:val="110"/>
                        </w:rPr>
                        <w:t>mantener</w:t>
                      </w:r>
                      <w:r>
                        <w:rPr>
                          <w:color w:val="231F1F"/>
                          <w:spacing w:val="-12"/>
                          <w:w w:val="110"/>
                        </w:rPr>
                        <w:t> </w:t>
                      </w:r>
                      <w:r>
                        <w:rPr>
                          <w:color w:val="231F1F"/>
                          <w:w w:val="110"/>
                        </w:rPr>
                        <w:t>la</w:t>
                      </w:r>
                      <w:r>
                        <w:rPr>
                          <w:color w:val="231F1F"/>
                          <w:spacing w:val="-12"/>
                          <w:w w:val="110"/>
                        </w:rPr>
                        <w:t> </w:t>
                      </w:r>
                      <w:r>
                        <w:rPr>
                          <w:color w:val="231F1F"/>
                          <w:w w:val="110"/>
                        </w:rPr>
                        <w:t>analgesia</w:t>
                      </w:r>
                      <w:r>
                        <w:rPr>
                          <w:color w:val="231F1F"/>
                          <w:spacing w:val="-12"/>
                          <w:w w:val="110"/>
                        </w:rPr>
                        <w:t> </w:t>
                      </w:r>
                      <w:r>
                        <w:rPr>
                          <w:color w:val="231F1F"/>
                          <w:w w:val="110"/>
                        </w:rPr>
                        <w:t>epidural</w:t>
                      </w:r>
                      <w:r>
                        <w:rPr>
                          <w:color w:val="231F1F"/>
                          <w:spacing w:val="-12"/>
                          <w:w w:val="110"/>
                        </w:rPr>
                        <w:t> </w:t>
                      </w:r>
                      <w:r>
                        <w:rPr>
                          <w:color w:val="231F1F"/>
                          <w:w w:val="110"/>
                        </w:rPr>
                        <w:t>durante</w:t>
                      </w:r>
                      <w:r>
                        <w:rPr>
                          <w:color w:val="231F1F"/>
                          <w:spacing w:val="-12"/>
                          <w:w w:val="110"/>
                        </w:rPr>
                        <w:t> </w:t>
                      </w:r>
                      <w:r>
                        <w:rPr>
                          <w:color w:val="231F1F"/>
                          <w:w w:val="110"/>
                        </w:rPr>
                        <w:t>la</w:t>
                      </w:r>
                      <w:r>
                        <w:rPr>
                          <w:color w:val="231F1F"/>
                          <w:spacing w:val="-11"/>
                          <w:w w:val="110"/>
                        </w:rPr>
                        <w:t> </w:t>
                      </w:r>
                      <w:r>
                        <w:rPr>
                          <w:color w:val="231F1F"/>
                          <w:w w:val="110"/>
                        </w:rPr>
                        <w:t>2ª</w:t>
                      </w:r>
                      <w:r>
                        <w:rPr>
                          <w:color w:val="231F1F"/>
                          <w:spacing w:val="-14"/>
                          <w:w w:val="110"/>
                        </w:rPr>
                        <w:t> </w:t>
                      </w:r>
                      <w:r>
                        <w:rPr>
                          <w:color w:val="231F1F"/>
                          <w:w w:val="110"/>
                        </w:rPr>
                        <w:t>etapa</w:t>
                      </w:r>
                      <w:r>
                        <w:rPr>
                          <w:color w:val="231F1F"/>
                          <w:spacing w:val="-12"/>
                          <w:w w:val="110"/>
                        </w:rPr>
                        <w:t> </w:t>
                      </w:r>
                      <w:r>
                        <w:rPr>
                          <w:color w:val="231F1F"/>
                          <w:w w:val="110"/>
                        </w:rPr>
                        <w:t>del</w:t>
                      </w:r>
                      <w:r>
                        <w:rPr>
                          <w:color w:val="231F1F"/>
                          <w:spacing w:val="-14"/>
                          <w:w w:val="110"/>
                        </w:rPr>
                        <w:t> </w:t>
                      </w:r>
                      <w:r>
                        <w:rPr>
                          <w:color w:val="231F1F"/>
                          <w:spacing w:val="-2"/>
                          <w:w w:val="110"/>
                        </w:rPr>
                        <w:t>parto?</w:t>
                      </w:r>
                    </w:p>
                  </w:txbxContent>
                </v:textbox>
                <v:stroke dashstyle="solid"/>
                <w10:wrap type="topAndBottom"/>
              </v:shape>
            </w:pict>
          </mc:Fallback>
        </mc:AlternateContent>
      </w:r>
    </w:p>
    <w:p>
      <w:pPr>
        <w:pStyle w:val="BodyText"/>
        <w:spacing w:after="0"/>
        <w:rPr>
          <w:sz w:val="20"/>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spacing w:val="2"/>
        </w:rPr>
        <w:t>Analgesia</w:t>
      </w:r>
      <w:r>
        <w:rPr>
          <w:color w:val="231F1F"/>
          <w:spacing w:val="48"/>
        </w:rPr>
        <w:t> </w:t>
      </w:r>
      <w:r>
        <w:rPr>
          <w:color w:val="231F1F"/>
          <w:spacing w:val="2"/>
        </w:rPr>
        <w:t>neuroaxial</w:t>
      </w:r>
      <w:r>
        <w:rPr>
          <w:color w:val="231F1F"/>
          <w:spacing w:val="49"/>
        </w:rPr>
        <w:t> </w:t>
      </w:r>
      <w:r>
        <w:rPr>
          <w:color w:val="231F1F"/>
          <w:spacing w:val="2"/>
        </w:rPr>
        <w:t>frente</w:t>
      </w:r>
      <w:r>
        <w:rPr>
          <w:color w:val="231F1F"/>
          <w:spacing w:val="52"/>
        </w:rPr>
        <w:t> </w:t>
      </w:r>
      <w:r>
        <w:rPr>
          <w:color w:val="231F1F"/>
          <w:spacing w:val="2"/>
        </w:rPr>
        <w:t>a</w:t>
      </w:r>
      <w:r>
        <w:rPr>
          <w:color w:val="231F1F"/>
          <w:spacing w:val="50"/>
        </w:rPr>
        <w:t> </w:t>
      </w:r>
      <w:r>
        <w:rPr>
          <w:color w:val="231F1F"/>
          <w:spacing w:val="2"/>
        </w:rPr>
        <w:t>no</w:t>
      </w:r>
      <w:r>
        <w:rPr>
          <w:color w:val="231F1F"/>
          <w:spacing w:val="50"/>
        </w:rPr>
        <w:t> </w:t>
      </w:r>
      <w:r>
        <w:rPr>
          <w:color w:val="231F1F"/>
          <w:spacing w:val="-2"/>
        </w:rPr>
        <w:t>analgesia</w:t>
      </w:r>
    </w:p>
    <w:p>
      <w:pPr>
        <w:pStyle w:val="BodyText"/>
        <w:spacing w:before="20"/>
        <w:rPr>
          <w:sz w:val="20"/>
        </w:rPr>
      </w:pPr>
      <w:r>
        <w:rPr>
          <w:sz w:val="20"/>
        </w:rPr>
        <mc:AlternateContent>
          <mc:Choice Requires="wps">
            <w:drawing>
              <wp:anchor distT="0" distB="0" distL="0" distR="0" allowOverlap="1" layoutInCell="1" locked="0" behindDoc="1" simplePos="0" relativeHeight="487625728">
                <wp:simplePos x="0" y="0"/>
                <wp:positionH relativeFrom="page">
                  <wp:posOffset>1082675</wp:posOffset>
                </wp:positionH>
                <wp:positionV relativeFrom="paragraph">
                  <wp:posOffset>177184</wp:posOffset>
                </wp:positionV>
                <wp:extent cx="5400040" cy="262255"/>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5400040" cy="262255"/>
                        </a:xfrm>
                        <a:prstGeom prst="rect">
                          <a:avLst/>
                        </a:prstGeom>
                        <a:ln w="6350">
                          <a:solidFill>
                            <a:srgbClr val="A30046"/>
                          </a:solidFill>
                          <a:prstDash val="solid"/>
                        </a:ln>
                      </wps:spPr>
                      <wps:txbx>
                        <w:txbxContent>
                          <w:p>
                            <w:pPr>
                              <w:pStyle w:val="BodyText"/>
                              <w:numPr>
                                <w:ilvl w:val="0"/>
                                <w:numId w:val="74"/>
                              </w:numPr>
                              <w:tabs>
                                <w:tab w:pos="322" w:val="left" w:leader="none"/>
                              </w:tabs>
                              <w:spacing w:line="240" w:lineRule="auto" w:before="70" w:after="0"/>
                              <w:ind w:left="322" w:right="0" w:hanging="218"/>
                              <w:jc w:val="left"/>
                            </w:pPr>
                            <w:r>
                              <w:rPr>
                                <w:color w:val="231F1F"/>
                              </w:rPr>
                              <w:t>¿Cuál</w:t>
                            </w:r>
                            <w:r>
                              <w:rPr>
                                <w:color w:val="231F1F"/>
                                <w:spacing w:val="22"/>
                              </w:rPr>
                              <w:t> </w:t>
                            </w:r>
                            <w:r>
                              <w:rPr>
                                <w:color w:val="231F1F"/>
                              </w:rPr>
                              <w:t>es</w:t>
                            </w:r>
                            <w:r>
                              <w:rPr>
                                <w:color w:val="231F1F"/>
                                <w:spacing w:val="23"/>
                              </w:rPr>
                              <w:t> </w:t>
                            </w:r>
                            <w:r>
                              <w:rPr>
                                <w:color w:val="231F1F"/>
                              </w:rPr>
                              <w:t>la</w:t>
                            </w:r>
                            <w:r>
                              <w:rPr>
                                <w:color w:val="231F1F"/>
                                <w:spacing w:val="22"/>
                              </w:rPr>
                              <w:t> </w:t>
                            </w:r>
                            <w:r>
                              <w:rPr>
                                <w:color w:val="231F1F"/>
                              </w:rPr>
                              <w:t>efectividad</w:t>
                            </w:r>
                            <w:r>
                              <w:rPr>
                                <w:color w:val="231F1F"/>
                                <w:spacing w:val="25"/>
                              </w:rPr>
                              <w:t> </w:t>
                            </w:r>
                            <w:r>
                              <w:rPr>
                                <w:color w:val="231F1F"/>
                              </w:rPr>
                              <w:t>de</w:t>
                            </w:r>
                            <w:r>
                              <w:rPr>
                                <w:color w:val="231F1F"/>
                                <w:spacing w:val="22"/>
                              </w:rPr>
                              <w:t> </w:t>
                            </w:r>
                            <w:r>
                              <w:rPr>
                                <w:color w:val="231F1F"/>
                              </w:rPr>
                              <w:t>la</w:t>
                            </w:r>
                            <w:r>
                              <w:rPr>
                                <w:color w:val="231F1F"/>
                                <w:spacing w:val="23"/>
                              </w:rPr>
                              <w:t> </w:t>
                            </w:r>
                            <w:r>
                              <w:rPr>
                                <w:color w:val="231F1F"/>
                              </w:rPr>
                              <w:t>analgesia</w:t>
                            </w:r>
                            <w:r>
                              <w:rPr>
                                <w:color w:val="231F1F"/>
                                <w:spacing w:val="24"/>
                              </w:rPr>
                              <w:t> </w:t>
                            </w:r>
                            <w:r>
                              <w:rPr>
                                <w:color w:val="231F1F"/>
                                <w:spacing w:val="-2"/>
                              </w:rPr>
                              <w:t>neuroaxial?</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90752;mso-wrap-distance-left:0;mso-wrap-distance-right:0" type="#_x0000_t202" id="docshape125" filled="false" stroked="true" strokeweight=".5pt" strokecolor="#a30046">
                <v:textbox inset="0,0,0,0">
                  <w:txbxContent>
                    <w:p>
                      <w:pPr>
                        <w:pStyle w:val="BodyText"/>
                        <w:numPr>
                          <w:ilvl w:val="0"/>
                          <w:numId w:val="74"/>
                        </w:numPr>
                        <w:tabs>
                          <w:tab w:pos="322" w:val="left" w:leader="none"/>
                        </w:tabs>
                        <w:spacing w:line="240" w:lineRule="auto" w:before="70" w:after="0"/>
                        <w:ind w:left="322" w:right="0" w:hanging="218"/>
                        <w:jc w:val="left"/>
                      </w:pPr>
                      <w:r>
                        <w:rPr>
                          <w:color w:val="231F1F"/>
                        </w:rPr>
                        <w:t>¿Cuál</w:t>
                      </w:r>
                      <w:r>
                        <w:rPr>
                          <w:color w:val="231F1F"/>
                          <w:spacing w:val="22"/>
                        </w:rPr>
                        <w:t> </w:t>
                      </w:r>
                      <w:r>
                        <w:rPr>
                          <w:color w:val="231F1F"/>
                        </w:rPr>
                        <w:t>es</w:t>
                      </w:r>
                      <w:r>
                        <w:rPr>
                          <w:color w:val="231F1F"/>
                          <w:spacing w:val="23"/>
                        </w:rPr>
                        <w:t> </w:t>
                      </w:r>
                      <w:r>
                        <w:rPr>
                          <w:color w:val="231F1F"/>
                        </w:rPr>
                        <w:t>la</w:t>
                      </w:r>
                      <w:r>
                        <w:rPr>
                          <w:color w:val="231F1F"/>
                          <w:spacing w:val="22"/>
                        </w:rPr>
                        <w:t> </w:t>
                      </w:r>
                      <w:r>
                        <w:rPr>
                          <w:color w:val="231F1F"/>
                        </w:rPr>
                        <w:t>efectividad</w:t>
                      </w:r>
                      <w:r>
                        <w:rPr>
                          <w:color w:val="231F1F"/>
                          <w:spacing w:val="25"/>
                        </w:rPr>
                        <w:t> </w:t>
                      </w:r>
                      <w:r>
                        <w:rPr>
                          <w:color w:val="231F1F"/>
                        </w:rPr>
                        <w:t>de</w:t>
                      </w:r>
                      <w:r>
                        <w:rPr>
                          <w:color w:val="231F1F"/>
                          <w:spacing w:val="22"/>
                        </w:rPr>
                        <w:t> </w:t>
                      </w:r>
                      <w:r>
                        <w:rPr>
                          <w:color w:val="231F1F"/>
                        </w:rPr>
                        <w:t>la</w:t>
                      </w:r>
                      <w:r>
                        <w:rPr>
                          <w:color w:val="231F1F"/>
                          <w:spacing w:val="23"/>
                        </w:rPr>
                        <w:t> </w:t>
                      </w:r>
                      <w:r>
                        <w:rPr>
                          <w:color w:val="231F1F"/>
                        </w:rPr>
                        <w:t>analgesia</w:t>
                      </w:r>
                      <w:r>
                        <w:rPr>
                          <w:color w:val="231F1F"/>
                          <w:spacing w:val="24"/>
                        </w:rPr>
                        <w:t> </w:t>
                      </w:r>
                      <w:r>
                        <w:rPr>
                          <w:color w:val="231F1F"/>
                          <w:spacing w:val="-2"/>
                        </w:rPr>
                        <w:t>neuroaxial?</w:t>
                      </w:r>
                    </w:p>
                  </w:txbxContent>
                </v:textbox>
                <v:stroke dashstyle="solid"/>
                <w10:wrap type="topAndBottom"/>
              </v:shape>
            </w:pict>
          </mc:Fallback>
        </mc:AlternateContent>
      </w:r>
    </w:p>
    <w:p>
      <w:pPr>
        <w:pStyle w:val="BodyText"/>
        <w:spacing w:line="249" w:lineRule="auto" w:before="324"/>
        <w:ind w:left="283" w:right="116"/>
        <w:jc w:val="both"/>
      </w:pPr>
      <w:r>
        <w:rPr>
          <w:color w:val="231F1F"/>
          <w:w w:val="110"/>
        </w:rPr>
        <w:t>El parto es descrito por muchas mujeres como uno de los momentos más dolorosos que experimentan</w:t>
      </w:r>
      <w:r>
        <w:rPr>
          <w:color w:val="231F1F"/>
          <w:spacing w:val="-4"/>
          <w:w w:val="110"/>
        </w:rPr>
        <w:t> </w:t>
      </w:r>
      <w:r>
        <w:rPr>
          <w:color w:val="231F1F"/>
          <w:w w:val="110"/>
        </w:rPr>
        <w:t>en</w:t>
      </w:r>
      <w:r>
        <w:rPr>
          <w:color w:val="231F1F"/>
          <w:spacing w:val="-4"/>
          <w:w w:val="110"/>
        </w:rPr>
        <w:t> </w:t>
      </w:r>
      <w:r>
        <w:rPr>
          <w:color w:val="231F1F"/>
          <w:w w:val="110"/>
        </w:rPr>
        <w:t>sus</w:t>
      </w:r>
      <w:r>
        <w:rPr>
          <w:color w:val="231F1F"/>
          <w:spacing w:val="-5"/>
          <w:w w:val="110"/>
        </w:rPr>
        <w:t> </w:t>
      </w:r>
      <w:r>
        <w:rPr>
          <w:color w:val="231F1F"/>
          <w:w w:val="110"/>
        </w:rPr>
        <w:t>vidas.</w:t>
      </w:r>
      <w:r>
        <w:rPr>
          <w:color w:val="231F1F"/>
          <w:spacing w:val="-5"/>
          <w:w w:val="110"/>
        </w:rPr>
        <w:t> </w:t>
      </w:r>
      <w:r>
        <w:rPr>
          <w:color w:val="231F1F"/>
          <w:w w:val="110"/>
        </w:rPr>
        <w:t>Ello</w:t>
      </w:r>
      <w:r>
        <w:rPr>
          <w:color w:val="231F1F"/>
          <w:spacing w:val="-4"/>
          <w:w w:val="110"/>
        </w:rPr>
        <w:t> </w:t>
      </w:r>
      <w:r>
        <w:rPr>
          <w:color w:val="231F1F"/>
          <w:w w:val="110"/>
        </w:rPr>
        <w:t>ha</w:t>
      </w:r>
      <w:r>
        <w:rPr>
          <w:color w:val="231F1F"/>
          <w:spacing w:val="-4"/>
          <w:w w:val="110"/>
        </w:rPr>
        <w:t> </w:t>
      </w:r>
      <w:r>
        <w:rPr>
          <w:color w:val="231F1F"/>
          <w:w w:val="110"/>
        </w:rPr>
        <w:t>motivado</w:t>
      </w:r>
      <w:r>
        <w:rPr>
          <w:color w:val="231F1F"/>
          <w:spacing w:val="-4"/>
          <w:w w:val="110"/>
        </w:rPr>
        <w:t> </w:t>
      </w:r>
      <w:r>
        <w:rPr>
          <w:color w:val="231F1F"/>
          <w:w w:val="110"/>
        </w:rPr>
        <w:t>durante</w:t>
      </w:r>
      <w:r>
        <w:rPr>
          <w:color w:val="231F1F"/>
          <w:spacing w:val="-5"/>
          <w:w w:val="110"/>
        </w:rPr>
        <w:t> </w:t>
      </w:r>
      <w:r>
        <w:rPr>
          <w:color w:val="231F1F"/>
          <w:w w:val="110"/>
        </w:rPr>
        <w:t>décadas</w:t>
      </w:r>
      <w:r>
        <w:rPr>
          <w:color w:val="231F1F"/>
          <w:spacing w:val="-5"/>
          <w:w w:val="110"/>
        </w:rPr>
        <w:t> </w:t>
      </w:r>
      <w:r>
        <w:rPr>
          <w:color w:val="231F1F"/>
          <w:w w:val="110"/>
        </w:rPr>
        <w:t>la</w:t>
      </w:r>
      <w:r>
        <w:rPr>
          <w:color w:val="231F1F"/>
          <w:spacing w:val="-4"/>
          <w:w w:val="110"/>
        </w:rPr>
        <w:t> </w:t>
      </w:r>
      <w:r>
        <w:rPr>
          <w:color w:val="231F1F"/>
          <w:w w:val="110"/>
        </w:rPr>
        <w:t>búsqueda</w:t>
      </w:r>
      <w:r>
        <w:rPr>
          <w:color w:val="231F1F"/>
          <w:spacing w:val="-5"/>
          <w:w w:val="110"/>
        </w:rPr>
        <w:t> </w:t>
      </w:r>
      <w:r>
        <w:rPr>
          <w:color w:val="231F1F"/>
          <w:w w:val="110"/>
        </w:rPr>
        <w:t>de</w:t>
      </w:r>
      <w:r>
        <w:rPr>
          <w:color w:val="231F1F"/>
          <w:spacing w:val="-4"/>
          <w:w w:val="110"/>
        </w:rPr>
        <w:t> </w:t>
      </w:r>
      <w:r>
        <w:rPr>
          <w:color w:val="231F1F"/>
          <w:w w:val="110"/>
        </w:rPr>
        <w:t>estrategias analgésicas.</w:t>
      </w:r>
      <w:r>
        <w:rPr>
          <w:color w:val="231F1F"/>
          <w:spacing w:val="-7"/>
          <w:w w:val="110"/>
        </w:rPr>
        <w:t> </w:t>
      </w:r>
      <w:r>
        <w:rPr>
          <w:color w:val="231F1F"/>
          <w:w w:val="110"/>
        </w:rPr>
        <w:t>En</w:t>
      </w:r>
      <w:r>
        <w:rPr>
          <w:color w:val="231F1F"/>
          <w:spacing w:val="-7"/>
          <w:w w:val="110"/>
        </w:rPr>
        <w:t> </w:t>
      </w:r>
      <w:r>
        <w:rPr>
          <w:color w:val="231F1F"/>
          <w:w w:val="110"/>
        </w:rPr>
        <w:t>España,</w:t>
      </w:r>
      <w:r>
        <w:rPr>
          <w:color w:val="231F1F"/>
          <w:spacing w:val="-7"/>
          <w:w w:val="110"/>
        </w:rPr>
        <w:t> </w:t>
      </w:r>
      <w:r>
        <w:rPr>
          <w:color w:val="231F1F"/>
          <w:w w:val="110"/>
        </w:rPr>
        <w:t>en</w:t>
      </w:r>
      <w:r>
        <w:rPr>
          <w:color w:val="231F1F"/>
          <w:spacing w:val="-7"/>
          <w:w w:val="110"/>
        </w:rPr>
        <w:t> </w:t>
      </w:r>
      <w:r>
        <w:rPr>
          <w:color w:val="231F1F"/>
          <w:w w:val="110"/>
        </w:rPr>
        <w:t>los</w:t>
      </w:r>
      <w:r>
        <w:rPr>
          <w:color w:val="231F1F"/>
          <w:spacing w:val="-7"/>
          <w:w w:val="110"/>
        </w:rPr>
        <w:t> </w:t>
      </w:r>
      <w:r>
        <w:rPr>
          <w:color w:val="231F1F"/>
          <w:w w:val="110"/>
        </w:rPr>
        <w:t>años</w:t>
      </w:r>
      <w:r>
        <w:rPr>
          <w:color w:val="231F1F"/>
          <w:spacing w:val="-7"/>
          <w:w w:val="110"/>
        </w:rPr>
        <w:t> </w:t>
      </w:r>
      <w:r>
        <w:rPr>
          <w:color w:val="231F1F"/>
          <w:w w:val="110"/>
        </w:rPr>
        <w:t>70</w:t>
      </w:r>
      <w:r>
        <w:rPr>
          <w:color w:val="231F1F"/>
          <w:spacing w:val="-7"/>
          <w:w w:val="110"/>
        </w:rPr>
        <w:t> </w:t>
      </w:r>
      <w:r>
        <w:rPr>
          <w:color w:val="231F1F"/>
          <w:w w:val="110"/>
        </w:rPr>
        <w:t>irrumpen</w:t>
      </w:r>
      <w:r>
        <w:rPr>
          <w:color w:val="231F1F"/>
          <w:spacing w:val="-7"/>
          <w:w w:val="110"/>
        </w:rPr>
        <w:t> </w:t>
      </w:r>
      <w:r>
        <w:rPr>
          <w:color w:val="231F1F"/>
          <w:w w:val="110"/>
        </w:rPr>
        <w:t>las</w:t>
      </w:r>
      <w:r>
        <w:rPr>
          <w:color w:val="231F1F"/>
          <w:spacing w:val="-7"/>
          <w:w w:val="110"/>
        </w:rPr>
        <w:t> </w:t>
      </w:r>
      <w:r>
        <w:rPr>
          <w:color w:val="231F1F"/>
          <w:w w:val="110"/>
        </w:rPr>
        <w:t>técnicas</w:t>
      </w:r>
      <w:r>
        <w:rPr>
          <w:color w:val="231F1F"/>
          <w:spacing w:val="-7"/>
          <w:w w:val="110"/>
        </w:rPr>
        <w:t> </w:t>
      </w:r>
      <w:r>
        <w:rPr>
          <w:color w:val="231F1F"/>
          <w:w w:val="110"/>
        </w:rPr>
        <w:t>neuroaxiales</w:t>
      </w:r>
      <w:r>
        <w:rPr>
          <w:color w:val="231F1F"/>
          <w:spacing w:val="-8"/>
          <w:w w:val="110"/>
        </w:rPr>
        <w:t> </w:t>
      </w:r>
      <w:r>
        <w:rPr>
          <w:color w:val="231F1F"/>
          <w:w w:val="110"/>
        </w:rPr>
        <w:t>en</w:t>
      </w:r>
      <w:r>
        <w:rPr>
          <w:color w:val="231F1F"/>
          <w:spacing w:val="-7"/>
          <w:w w:val="110"/>
        </w:rPr>
        <w:t> </w:t>
      </w:r>
      <w:r>
        <w:rPr>
          <w:color w:val="231F1F"/>
          <w:w w:val="110"/>
        </w:rPr>
        <w:t>obstetricia, consiguiendo un intenso alivio del dolor, al interrumpir la transmisión de los impulsos </w:t>
      </w:r>
      <w:r>
        <w:rPr>
          <w:color w:val="231F1F"/>
        </w:rPr>
        <w:t>nociceptivos</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medula</w:t>
      </w:r>
      <w:r>
        <w:rPr>
          <w:color w:val="231F1F"/>
          <w:spacing w:val="40"/>
        </w:rPr>
        <w:t> </w:t>
      </w:r>
      <w:r>
        <w:rPr>
          <w:color w:val="231F1F"/>
        </w:rPr>
        <w:t>espinal</w:t>
      </w:r>
      <w:r>
        <w:rPr>
          <w:color w:val="231F1F"/>
          <w:spacing w:val="40"/>
        </w:rPr>
        <w:t> </w:t>
      </w:r>
      <w:r>
        <w:rPr>
          <w:color w:val="231F1F"/>
        </w:rPr>
        <w:t>mediante</w:t>
      </w:r>
      <w:r>
        <w:rPr>
          <w:color w:val="231F1F"/>
          <w:spacing w:val="40"/>
        </w:rPr>
        <w:t> </w:t>
      </w:r>
      <w:r>
        <w:rPr>
          <w:color w:val="231F1F"/>
        </w:rPr>
        <w:t>la</w:t>
      </w:r>
      <w:r>
        <w:rPr>
          <w:color w:val="231F1F"/>
          <w:spacing w:val="40"/>
        </w:rPr>
        <w:t> </w:t>
      </w:r>
      <w:r>
        <w:rPr>
          <w:color w:val="231F1F"/>
        </w:rPr>
        <w:t>utilización</w:t>
      </w:r>
      <w:r>
        <w:rPr>
          <w:color w:val="231F1F"/>
          <w:spacing w:val="40"/>
        </w:rPr>
        <w:t> </w:t>
      </w:r>
      <w:r>
        <w:rPr>
          <w:color w:val="231F1F"/>
        </w:rPr>
        <w:t>de</w:t>
      </w:r>
      <w:r>
        <w:rPr>
          <w:color w:val="231F1F"/>
          <w:spacing w:val="40"/>
        </w:rPr>
        <w:t> </w:t>
      </w:r>
      <w:r>
        <w:rPr>
          <w:color w:val="231F1F"/>
        </w:rPr>
        <w:t>fármacos</w:t>
      </w:r>
      <w:r>
        <w:rPr>
          <w:color w:val="231F1F"/>
          <w:spacing w:val="40"/>
        </w:rPr>
        <w:t> </w:t>
      </w:r>
      <w:r>
        <w:rPr>
          <w:color w:val="231F1F"/>
        </w:rPr>
        <w:t>(anestésicos</w:t>
      </w:r>
      <w:r>
        <w:rPr>
          <w:color w:val="231F1F"/>
          <w:spacing w:val="40"/>
        </w:rPr>
        <w:t> </w:t>
      </w:r>
      <w:r>
        <w:rPr>
          <w:color w:val="231F1F"/>
        </w:rPr>
        <w:t>locales</w:t>
      </w:r>
    </w:p>
    <w:p>
      <w:pPr>
        <w:pStyle w:val="BodyText"/>
        <w:spacing w:line="261" w:lineRule="auto" w:before="19"/>
        <w:ind w:left="283" w:right="119"/>
        <w:jc w:val="both"/>
      </w:pPr>
      <w:r>
        <w:rPr>
          <w:color w:val="231F1F"/>
        </w:rPr>
        <w:t>+/- opiodes) en su proximidad y consiguiendo, por ello, minimizar al máximo la exposición</w:t>
      </w:r>
      <w:r>
        <w:rPr>
          <w:color w:val="231F1F"/>
          <w:spacing w:val="80"/>
        </w:rPr>
        <w:t> </w:t>
      </w:r>
      <w:r>
        <w:rPr>
          <w:color w:val="231F1F"/>
        </w:rPr>
        <w:t>fetal</w:t>
      </w:r>
      <w:r>
        <w:rPr>
          <w:color w:val="231F1F"/>
          <w:spacing w:val="35"/>
        </w:rPr>
        <w:t> </w:t>
      </w:r>
      <w:r>
        <w:rPr>
          <w:color w:val="231F1F"/>
        </w:rPr>
        <w:t>a</w:t>
      </w:r>
      <w:r>
        <w:rPr>
          <w:color w:val="231F1F"/>
          <w:spacing w:val="35"/>
        </w:rPr>
        <w:t> </w:t>
      </w:r>
      <w:r>
        <w:rPr>
          <w:color w:val="231F1F"/>
        </w:rPr>
        <w:t>los</w:t>
      </w:r>
      <w:r>
        <w:rPr>
          <w:color w:val="231F1F"/>
          <w:spacing w:val="35"/>
        </w:rPr>
        <w:t> </w:t>
      </w:r>
      <w:r>
        <w:rPr>
          <w:color w:val="231F1F"/>
        </w:rPr>
        <w:t>mismos.</w:t>
      </w:r>
      <w:r>
        <w:rPr>
          <w:color w:val="231F1F"/>
          <w:spacing w:val="35"/>
        </w:rPr>
        <w:t> </w:t>
      </w:r>
      <w:r>
        <w:rPr>
          <w:color w:val="231F1F"/>
        </w:rPr>
        <w:t>Su</w:t>
      </w:r>
      <w:r>
        <w:rPr>
          <w:color w:val="231F1F"/>
          <w:spacing w:val="35"/>
        </w:rPr>
        <w:t> </w:t>
      </w:r>
      <w:r>
        <w:rPr>
          <w:color w:val="231F1F"/>
        </w:rPr>
        <w:t>alta</w:t>
      </w:r>
      <w:r>
        <w:rPr>
          <w:color w:val="231F1F"/>
          <w:spacing w:val="35"/>
        </w:rPr>
        <w:t> </w:t>
      </w:r>
      <w:r>
        <w:rPr>
          <w:color w:val="231F1F"/>
        </w:rPr>
        <w:t>eficacia</w:t>
      </w:r>
      <w:r>
        <w:rPr>
          <w:color w:val="231F1F"/>
          <w:spacing w:val="35"/>
        </w:rPr>
        <w:t> </w:t>
      </w:r>
      <w:r>
        <w:rPr>
          <w:color w:val="231F1F"/>
        </w:rPr>
        <w:t>promueve</w:t>
      </w:r>
      <w:r>
        <w:rPr>
          <w:color w:val="231F1F"/>
          <w:spacing w:val="35"/>
        </w:rPr>
        <w:t> </w:t>
      </w:r>
      <w:r>
        <w:rPr>
          <w:color w:val="231F1F"/>
        </w:rPr>
        <w:t>una</w:t>
      </w:r>
      <w:r>
        <w:rPr>
          <w:color w:val="231F1F"/>
          <w:spacing w:val="35"/>
        </w:rPr>
        <w:t> </w:t>
      </w:r>
      <w:r>
        <w:rPr>
          <w:color w:val="231F1F"/>
        </w:rPr>
        <w:t>rápida</w:t>
      </w:r>
      <w:r>
        <w:rPr>
          <w:color w:val="231F1F"/>
          <w:spacing w:val="35"/>
        </w:rPr>
        <w:t> </w:t>
      </w:r>
      <w:r>
        <w:rPr>
          <w:color w:val="231F1F"/>
        </w:rPr>
        <w:t>expansión</w:t>
      </w:r>
      <w:r>
        <w:rPr>
          <w:color w:val="231F1F"/>
          <w:spacing w:val="35"/>
        </w:rPr>
        <w:t> </w:t>
      </w:r>
      <w:r>
        <w:rPr>
          <w:color w:val="231F1F"/>
        </w:rPr>
        <w:t>en</w:t>
      </w:r>
      <w:r>
        <w:rPr>
          <w:color w:val="231F1F"/>
          <w:spacing w:val="35"/>
        </w:rPr>
        <w:t> </w:t>
      </w:r>
      <w:r>
        <w:rPr>
          <w:color w:val="231F1F"/>
        </w:rPr>
        <w:t>las</w:t>
      </w:r>
      <w:r>
        <w:rPr>
          <w:color w:val="231F1F"/>
          <w:spacing w:val="35"/>
        </w:rPr>
        <w:t> </w:t>
      </w:r>
      <w:r>
        <w:rPr>
          <w:color w:val="231F1F"/>
        </w:rPr>
        <w:t>décadas</w:t>
      </w:r>
      <w:r>
        <w:rPr>
          <w:color w:val="231F1F"/>
          <w:spacing w:val="36"/>
        </w:rPr>
        <w:t> </w:t>
      </w:r>
      <w:r>
        <w:rPr>
          <w:color w:val="231F1F"/>
        </w:rPr>
        <w:t>siguien- tes</w:t>
      </w:r>
      <w:r>
        <w:rPr>
          <w:color w:val="231F1F"/>
          <w:spacing w:val="40"/>
        </w:rPr>
        <w:t> </w:t>
      </w:r>
      <w:r>
        <w:rPr>
          <w:color w:val="231F1F"/>
        </w:rPr>
        <w:t>convirtiéndose</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técnica</w:t>
      </w:r>
      <w:r>
        <w:rPr>
          <w:color w:val="231F1F"/>
          <w:spacing w:val="40"/>
        </w:rPr>
        <w:t> </w:t>
      </w:r>
      <w:r>
        <w:rPr>
          <w:color w:val="231F1F"/>
        </w:rPr>
        <w:t>de</w:t>
      </w:r>
      <w:r>
        <w:rPr>
          <w:color w:val="231F1F"/>
          <w:spacing w:val="40"/>
        </w:rPr>
        <w:t> </w:t>
      </w:r>
      <w:r>
        <w:rPr>
          <w:color w:val="231F1F"/>
        </w:rPr>
        <w:t>referencia</w:t>
      </w:r>
      <w:r>
        <w:rPr>
          <w:color w:val="231F1F"/>
          <w:spacing w:val="40"/>
        </w:rPr>
        <w:t> </w:t>
      </w:r>
      <w:r>
        <w:rPr>
          <w:color w:val="231F1F"/>
        </w:rPr>
        <w:t>de</w:t>
      </w:r>
      <w:r>
        <w:rPr>
          <w:color w:val="231F1F"/>
          <w:spacing w:val="40"/>
        </w:rPr>
        <w:t> </w:t>
      </w:r>
      <w:r>
        <w:rPr>
          <w:color w:val="231F1F"/>
        </w:rPr>
        <w:t>la</w:t>
      </w:r>
      <w:r>
        <w:rPr>
          <w:color w:val="231F1F"/>
          <w:spacing w:val="40"/>
        </w:rPr>
        <w:t> </w:t>
      </w:r>
      <w:r>
        <w:rPr>
          <w:color w:val="231F1F"/>
        </w:rPr>
        <w:t>analgesia</w:t>
      </w:r>
      <w:r>
        <w:rPr>
          <w:color w:val="231F1F"/>
          <w:spacing w:val="40"/>
        </w:rPr>
        <w:t> </w:t>
      </w:r>
      <w:r>
        <w:rPr>
          <w:color w:val="231F1F"/>
        </w:rPr>
        <w:t>en</w:t>
      </w:r>
      <w:r>
        <w:rPr>
          <w:color w:val="231F1F"/>
          <w:spacing w:val="40"/>
        </w:rPr>
        <w:t> </w:t>
      </w:r>
      <w:r>
        <w:rPr>
          <w:color w:val="231F1F"/>
        </w:rPr>
        <w:t>el</w:t>
      </w:r>
      <w:r>
        <w:rPr>
          <w:color w:val="231F1F"/>
          <w:spacing w:val="40"/>
        </w:rPr>
        <w:t> </w:t>
      </w:r>
      <w:r>
        <w:rPr>
          <w:color w:val="231F1F"/>
        </w:rPr>
        <w:t>parto.</w:t>
      </w:r>
    </w:p>
    <w:p>
      <w:pPr>
        <w:pStyle w:val="BodyText"/>
        <w:spacing w:line="242" w:lineRule="auto" w:before="123"/>
        <w:ind w:left="283" w:right="122" w:firstLine="453"/>
        <w:jc w:val="both"/>
      </w:pPr>
      <w:r>
        <w:rPr>
          <w:color w:val="231F1F"/>
          <w:w w:val="110"/>
        </w:rPr>
        <w:t>En esta pregunta pretendemos evaluar, por tanto, la eficacia del método analgésico obstétrico</w:t>
      </w:r>
      <w:r>
        <w:rPr>
          <w:color w:val="231F1F"/>
          <w:spacing w:val="-1"/>
          <w:w w:val="110"/>
        </w:rPr>
        <w:t> </w:t>
      </w:r>
      <w:r>
        <w:rPr>
          <w:color w:val="231F1F"/>
          <w:w w:val="110"/>
        </w:rPr>
        <w:t>más</w:t>
      </w:r>
      <w:r>
        <w:rPr>
          <w:color w:val="231F1F"/>
          <w:spacing w:val="-1"/>
          <w:w w:val="110"/>
        </w:rPr>
        <w:t> </w:t>
      </w:r>
      <w:r>
        <w:rPr>
          <w:color w:val="231F1F"/>
          <w:w w:val="110"/>
        </w:rPr>
        <w:t>empleado</w:t>
      </w:r>
      <w:r>
        <w:rPr>
          <w:color w:val="231F1F"/>
          <w:spacing w:val="-1"/>
          <w:w w:val="110"/>
        </w:rPr>
        <w:t> </w:t>
      </w:r>
      <w:r>
        <w:rPr>
          <w:color w:val="231F1F"/>
          <w:w w:val="110"/>
        </w:rPr>
        <w:t>en</w:t>
      </w:r>
      <w:r>
        <w:rPr>
          <w:color w:val="231F1F"/>
          <w:spacing w:val="-1"/>
          <w:w w:val="110"/>
        </w:rPr>
        <w:t> </w:t>
      </w:r>
      <w:r>
        <w:rPr>
          <w:color w:val="231F1F"/>
          <w:w w:val="110"/>
        </w:rPr>
        <w:t>nuestro</w:t>
      </w:r>
      <w:r>
        <w:rPr>
          <w:color w:val="231F1F"/>
          <w:spacing w:val="-1"/>
          <w:w w:val="110"/>
        </w:rPr>
        <w:t> </w:t>
      </w:r>
      <w:r>
        <w:rPr>
          <w:color w:val="231F1F"/>
          <w:w w:val="110"/>
        </w:rPr>
        <w:t>entorno</w:t>
      </w:r>
      <w:r>
        <w:rPr>
          <w:color w:val="231F1F"/>
          <w:spacing w:val="-1"/>
          <w:w w:val="110"/>
        </w:rPr>
        <w:t> </w:t>
      </w:r>
      <w:r>
        <w:rPr>
          <w:color w:val="231F1F"/>
          <w:w w:val="110"/>
        </w:rPr>
        <w:t>y</w:t>
      </w:r>
      <w:r>
        <w:rPr>
          <w:color w:val="231F1F"/>
          <w:spacing w:val="-1"/>
          <w:w w:val="110"/>
        </w:rPr>
        <w:t> </w:t>
      </w:r>
      <w:r>
        <w:rPr>
          <w:color w:val="231F1F"/>
          <w:w w:val="110"/>
        </w:rPr>
        <w:t>aclarar</w:t>
      </w:r>
      <w:r>
        <w:rPr>
          <w:color w:val="231F1F"/>
          <w:spacing w:val="-1"/>
          <w:w w:val="110"/>
        </w:rPr>
        <w:t> </w:t>
      </w:r>
      <w:r>
        <w:rPr>
          <w:color w:val="231F1F"/>
          <w:w w:val="110"/>
        </w:rPr>
        <w:t>en</w:t>
      </w:r>
      <w:r>
        <w:rPr>
          <w:color w:val="231F1F"/>
          <w:spacing w:val="-1"/>
          <w:w w:val="110"/>
        </w:rPr>
        <w:t> </w:t>
      </w:r>
      <w:r>
        <w:rPr>
          <w:color w:val="231F1F"/>
          <w:w w:val="110"/>
        </w:rPr>
        <w:t>qué</w:t>
      </w:r>
      <w:r>
        <w:rPr>
          <w:color w:val="231F1F"/>
          <w:spacing w:val="-1"/>
          <w:w w:val="110"/>
        </w:rPr>
        <w:t> </w:t>
      </w:r>
      <w:r>
        <w:rPr>
          <w:color w:val="231F1F"/>
          <w:w w:val="110"/>
        </w:rPr>
        <w:t>medida</w:t>
      </w:r>
      <w:r>
        <w:rPr>
          <w:color w:val="231F1F"/>
          <w:spacing w:val="-1"/>
          <w:w w:val="110"/>
        </w:rPr>
        <w:t> </w:t>
      </w:r>
      <w:r>
        <w:rPr>
          <w:color w:val="231F1F"/>
          <w:w w:val="110"/>
        </w:rPr>
        <w:t>puede</w:t>
      </w:r>
      <w:r>
        <w:rPr>
          <w:color w:val="231F1F"/>
          <w:spacing w:val="-1"/>
          <w:w w:val="110"/>
        </w:rPr>
        <w:t> </w:t>
      </w:r>
      <w:r>
        <w:rPr>
          <w:color w:val="231F1F"/>
          <w:w w:val="110"/>
        </w:rPr>
        <w:t>interferir</w:t>
      </w:r>
      <w:r>
        <w:rPr>
          <w:color w:val="231F1F"/>
          <w:spacing w:val="-1"/>
          <w:w w:val="110"/>
        </w:rPr>
        <w:t> </w:t>
      </w:r>
      <w:r>
        <w:rPr>
          <w:color w:val="231F1F"/>
          <w:w w:val="110"/>
        </w:rPr>
        <w:t>en el</w:t>
      </w:r>
      <w:r>
        <w:rPr>
          <w:color w:val="231F1F"/>
          <w:spacing w:val="-11"/>
          <w:w w:val="110"/>
        </w:rPr>
        <w:t> </w:t>
      </w:r>
      <w:r>
        <w:rPr>
          <w:color w:val="231F1F"/>
          <w:w w:val="110"/>
        </w:rPr>
        <w:t>desarrollo</w:t>
      </w:r>
      <w:r>
        <w:rPr>
          <w:color w:val="231F1F"/>
          <w:spacing w:val="-10"/>
          <w:w w:val="110"/>
        </w:rPr>
        <w:t> </w:t>
      </w:r>
      <w:r>
        <w:rPr>
          <w:color w:val="231F1F"/>
          <w:w w:val="110"/>
        </w:rPr>
        <w:t>del</w:t>
      </w:r>
      <w:r>
        <w:rPr>
          <w:color w:val="231F1F"/>
          <w:spacing w:val="-11"/>
          <w:w w:val="110"/>
        </w:rPr>
        <w:t> </w:t>
      </w:r>
      <w:r>
        <w:rPr>
          <w:color w:val="231F1F"/>
          <w:w w:val="110"/>
        </w:rPr>
        <w:t>parto</w:t>
      </w:r>
      <w:r>
        <w:rPr>
          <w:color w:val="231F1F"/>
          <w:spacing w:val="-10"/>
          <w:w w:val="110"/>
        </w:rPr>
        <w:t> </w:t>
      </w:r>
      <w:r>
        <w:rPr>
          <w:color w:val="231F1F"/>
          <w:w w:val="110"/>
        </w:rPr>
        <w:t>o</w:t>
      </w:r>
      <w:r>
        <w:rPr>
          <w:color w:val="231F1F"/>
          <w:spacing w:val="-10"/>
          <w:w w:val="110"/>
        </w:rPr>
        <w:t> </w:t>
      </w:r>
      <w:r>
        <w:rPr>
          <w:color w:val="231F1F"/>
          <w:w w:val="110"/>
        </w:rPr>
        <w:t>qué</w:t>
      </w:r>
      <w:r>
        <w:rPr>
          <w:color w:val="231F1F"/>
          <w:spacing w:val="-10"/>
          <w:w w:val="110"/>
        </w:rPr>
        <w:t> </w:t>
      </w:r>
      <w:r>
        <w:rPr>
          <w:color w:val="231F1F"/>
          <w:w w:val="110"/>
        </w:rPr>
        <w:t>efectos</w:t>
      </w:r>
      <w:r>
        <w:rPr>
          <w:color w:val="231F1F"/>
          <w:spacing w:val="-10"/>
          <w:w w:val="110"/>
        </w:rPr>
        <w:t> </w:t>
      </w:r>
      <w:r>
        <w:rPr>
          <w:color w:val="231F1F"/>
          <w:w w:val="110"/>
        </w:rPr>
        <w:t>maternos</w:t>
      </w:r>
      <w:r>
        <w:rPr>
          <w:color w:val="231F1F"/>
          <w:spacing w:val="-10"/>
          <w:w w:val="110"/>
        </w:rPr>
        <w:t> </w:t>
      </w:r>
      <w:r>
        <w:rPr>
          <w:color w:val="231F1F"/>
          <w:w w:val="110"/>
        </w:rPr>
        <w:t>y</w:t>
      </w:r>
      <w:r>
        <w:rPr>
          <w:color w:val="231F1F"/>
          <w:spacing w:val="-10"/>
          <w:w w:val="110"/>
        </w:rPr>
        <w:t> </w:t>
      </w:r>
      <w:r>
        <w:rPr>
          <w:color w:val="231F1F"/>
          <w:w w:val="110"/>
        </w:rPr>
        <w:t>fetales</w:t>
      </w:r>
      <w:r>
        <w:rPr>
          <w:color w:val="231F1F"/>
          <w:spacing w:val="-10"/>
          <w:w w:val="110"/>
        </w:rPr>
        <w:t> </w:t>
      </w:r>
      <w:r>
        <w:rPr>
          <w:color w:val="231F1F"/>
          <w:w w:val="110"/>
        </w:rPr>
        <w:t>son</w:t>
      </w:r>
      <w:r>
        <w:rPr>
          <w:color w:val="231F1F"/>
          <w:spacing w:val="-10"/>
          <w:w w:val="110"/>
        </w:rPr>
        <w:t> </w:t>
      </w:r>
      <w:r>
        <w:rPr>
          <w:color w:val="231F1F"/>
          <w:w w:val="110"/>
        </w:rPr>
        <w:t>atribuibles</w:t>
      </w:r>
      <w:r>
        <w:rPr>
          <w:color w:val="231F1F"/>
          <w:spacing w:val="-11"/>
          <w:w w:val="110"/>
        </w:rPr>
        <w:t> </w:t>
      </w:r>
      <w:r>
        <w:rPr>
          <w:color w:val="231F1F"/>
          <w:w w:val="110"/>
        </w:rPr>
        <w:t>realmente</w:t>
      </w:r>
      <w:r>
        <w:rPr>
          <w:color w:val="231F1F"/>
          <w:spacing w:val="-10"/>
          <w:w w:val="110"/>
        </w:rPr>
        <w:t> </w:t>
      </w:r>
      <w:r>
        <w:rPr>
          <w:color w:val="231F1F"/>
          <w:w w:val="110"/>
        </w:rPr>
        <w:t>a</w:t>
      </w:r>
      <w:r>
        <w:rPr>
          <w:color w:val="231F1F"/>
          <w:spacing w:val="-10"/>
          <w:w w:val="110"/>
        </w:rPr>
        <w:t> </w:t>
      </w:r>
      <w:r>
        <w:rPr>
          <w:color w:val="231F1F"/>
          <w:w w:val="110"/>
        </w:rPr>
        <w:t>dichas técnicas, para informar adecuadamente a las mujeres y facilitar así su decisión.</w:t>
      </w:r>
    </w:p>
    <w:p>
      <w:pPr>
        <w:pStyle w:val="BodyText"/>
        <w:spacing w:before="169"/>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5"/>
        <w:ind w:left="283" w:right="1364"/>
        <w:jc w:val="both"/>
      </w:pPr>
      <w:r>
        <w:rPr>
          <w:color w:val="231F1F"/>
          <w:w w:val="105"/>
        </w:rPr>
        <w:t>En este apartado se estudia la efectividad de la analgesia neuroaxial en todas sus variantes: analgesia neuroaxial vs no analgesia vs analgesia farmacológica no epidural (opioides parenterales u otros).</w:t>
      </w:r>
    </w:p>
    <w:p>
      <w:pPr>
        <w:pStyle w:val="BodyText"/>
        <w:spacing w:line="264" w:lineRule="auto" w:before="137"/>
        <w:ind w:left="283" w:right="1386" w:firstLine="453"/>
      </w:pPr>
      <w:r>
        <w:rPr>
          <w:color w:val="231F1F"/>
        </w:rPr>
        <w:t>La</w:t>
      </w:r>
      <w:r>
        <w:rPr>
          <w:color w:val="231F1F"/>
          <w:spacing w:val="35"/>
        </w:rPr>
        <w:t> </w:t>
      </w:r>
      <w:r>
        <w:rPr>
          <w:color w:val="231F1F"/>
        </w:rPr>
        <w:t>guía</w:t>
      </w:r>
      <w:r>
        <w:rPr>
          <w:color w:val="231F1F"/>
          <w:spacing w:val="35"/>
        </w:rPr>
        <w:t> </w:t>
      </w:r>
      <w:r>
        <w:rPr>
          <w:color w:val="231F1F"/>
        </w:rPr>
        <w:t>NICE</w:t>
      </w:r>
      <w:r>
        <w:rPr>
          <w:color w:val="231F1F"/>
          <w:spacing w:val="35"/>
        </w:rPr>
        <w:t> </w:t>
      </w:r>
      <w:r>
        <w:rPr>
          <w:color w:val="231F1F"/>
        </w:rPr>
        <w:t>(10)</w:t>
      </w:r>
      <w:r>
        <w:rPr>
          <w:color w:val="231F1F"/>
          <w:spacing w:val="35"/>
        </w:rPr>
        <w:t> </w:t>
      </w:r>
      <w:r>
        <w:rPr>
          <w:color w:val="231F1F"/>
        </w:rPr>
        <w:t>aporta</w:t>
      </w:r>
      <w:r>
        <w:rPr>
          <w:color w:val="231F1F"/>
          <w:spacing w:val="35"/>
        </w:rPr>
        <w:t> </w:t>
      </w:r>
      <w:r>
        <w:rPr>
          <w:color w:val="231F1F"/>
        </w:rPr>
        <w:t>un</w:t>
      </w:r>
      <w:r>
        <w:rPr>
          <w:color w:val="231F1F"/>
          <w:spacing w:val="35"/>
        </w:rPr>
        <w:t> </w:t>
      </w:r>
      <w:r>
        <w:rPr>
          <w:color w:val="231F1F"/>
        </w:rPr>
        <w:t>volumen</w:t>
      </w:r>
      <w:r>
        <w:rPr>
          <w:color w:val="231F1F"/>
          <w:spacing w:val="35"/>
        </w:rPr>
        <w:t> </w:t>
      </w:r>
      <w:r>
        <w:rPr>
          <w:color w:val="231F1F"/>
        </w:rPr>
        <w:t>importante</w:t>
      </w:r>
      <w:r>
        <w:rPr>
          <w:color w:val="231F1F"/>
          <w:spacing w:val="35"/>
        </w:rPr>
        <w:t> </w:t>
      </w:r>
      <w:r>
        <w:rPr>
          <w:color w:val="231F1F"/>
        </w:rPr>
        <w:t>de</w:t>
      </w:r>
      <w:r>
        <w:rPr>
          <w:color w:val="231F1F"/>
          <w:spacing w:val="35"/>
        </w:rPr>
        <w:t> </w:t>
      </w:r>
      <w:r>
        <w:rPr>
          <w:color w:val="231F1F"/>
        </w:rPr>
        <w:t>evidencia,</w:t>
      </w:r>
      <w:r>
        <w:rPr>
          <w:color w:val="231F1F"/>
          <w:spacing w:val="35"/>
        </w:rPr>
        <w:t> </w:t>
      </w:r>
      <w:r>
        <w:rPr>
          <w:color w:val="231F1F"/>
        </w:rPr>
        <w:t>con</w:t>
      </w:r>
      <w:r>
        <w:rPr>
          <w:color w:val="231F1F"/>
          <w:spacing w:val="35"/>
        </w:rPr>
        <w:t> </w:t>
      </w:r>
      <w:r>
        <w:rPr>
          <w:color w:val="231F1F"/>
        </w:rPr>
        <w:t>dos RS</w:t>
      </w:r>
      <w:r>
        <w:rPr>
          <w:color w:val="231F1F"/>
          <w:spacing w:val="-4"/>
        </w:rPr>
        <w:t> </w:t>
      </w:r>
      <w:r>
        <w:rPr>
          <w:color w:val="231F1F"/>
        </w:rPr>
        <w:t>y</w:t>
      </w:r>
      <w:r>
        <w:rPr>
          <w:color w:val="231F1F"/>
          <w:spacing w:val="-3"/>
        </w:rPr>
        <w:t> </w:t>
      </w:r>
      <w:r>
        <w:rPr>
          <w:color w:val="231F1F"/>
        </w:rPr>
        <w:t>nueve</w:t>
      </w:r>
      <w:r>
        <w:rPr>
          <w:color w:val="231F1F"/>
          <w:spacing w:val="-3"/>
        </w:rPr>
        <w:t> </w:t>
      </w:r>
      <w:r>
        <w:rPr>
          <w:color w:val="231F1F"/>
        </w:rPr>
        <w:t>ECAs.</w:t>
      </w:r>
      <w:r>
        <w:rPr>
          <w:color w:val="231F1F"/>
          <w:spacing w:val="-3"/>
        </w:rPr>
        <w:t> </w:t>
      </w:r>
      <w:r>
        <w:rPr>
          <w:color w:val="231F1F"/>
        </w:rPr>
        <w:t>Las</w:t>
      </w:r>
      <w:r>
        <w:rPr>
          <w:color w:val="231F1F"/>
          <w:spacing w:val="-3"/>
        </w:rPr>
        <w:t> </w:t>
      </w:r>
      <w:r>
        <w:rPr>
          <w:color w:val="231F1F"/>
        </w:rPr>
        <w:t>RS</w:t>
      </w:r>
      <w:r>
        <w:rPr>
          <w:color w:val="231F1F"/>
          <w:spacing w:val="-4"/>
        </w:rPr>
        <w:t> </w:t>
      </w:r>
      <w:r>
        <w:rPr>
          <w:color w:val="231F1F"/>
        </w:rPr>
        <w:t>y</w:t>
      </w:r>
      <w:r>
        <w:rPr>
          <w:color w:val="231F1F"/>
          <w:spacing w:val="-3"/>
        </w:rPr>
        <w:t> </w:t>
      </w:r>
      <w:r>
        <w:rPr>
          <w:color w:val="231F1F"/>
        </w:rPr>
        <w:t>siete</w:t>
      </w:r>
      <w:r>
        <w:rPr>
          <w:color w:val="231F1F"/>
          <w:spacing w:val="-3"/>
        </w:rPr>
        <w:t> </w:t>
      </w:r>
      <w:r>
        <w:rPr>
          <w:color w:val="231F1F"/>
        </w:rPr>
        <w:t>de</w:t>
      </w:r>
      <w:r>
        <w:rPr>
          <w:color w:val="231F1F"/>
          <w:spacing w:val="-3"/>
        </w:rPr>
        <w:t> </w:t>
      </w:r>
      <w:r>
        <w:rPr>
          <w:color w:val="231F1F"/>
        </w:rPr>
        <w:t>los</w:t>
      </w:r>
      <w:r>
        <w:rPr>
          <w:color w:val="231F1F"/>
          <w:spacing w:val="-3"/>
        </w:rPr>
        <w:t> </w:t>
      </w:r>
      <w:r>
        <w:rPr>
          <w:color w:val="231F1F"/>
        </w:rPr>
        <w:t>nueve</w:t>
      </w:r>
      <w:r>
        <w:rPr>
          <w:color w:val="231F1F"/>
          <w:spacing w:val="-4"/>
        </w:rPr>
        <w:t> </w:t>
      </w:r>
      <w:r>
        <w:rPr>
          <w:color w:val="231F1F"/>
        </w:rPr>
        <w:t>ECAs</w:t>
      </w:r>
      <w:r>
        <w:rPr>
          <w:color w:val="231F1F"/>
          <w:spacing w:val="-3"/>
        </w:rPr>
        <w:t> </w:t>
      </w:r>
      <w:r>
        <w:rPr>
          <w:color w:val="231F1F"/>
        </w:rPr>
        <w:t>incluidos</w:t>
      </w:r>
      <w:r>
        <w:rPr>
          <w:color w:val="231F1F"/>
          <w:spacing w:val="-3"/>
        </w:rPr>
        <w:t> </w:t>
      </w:r>
      <w:r>
        <w:rPr>
          <w:color w:val="231F1F"/>
        </w:rPr>
        <w:t>tenían</w:t>
      </w:r>
      <w:r>
        <w:rPr>
          <w:color w:val="231F1F"/>
          <w:spacing w:val="-3"/>
        </w:rPr>
        <w:t> </w:t>
      </w:r>
      <w:r>
        <w:rPr>
          <w:color w:val="231F1F"/>
        </w:rPr>
        <w:t>un</w:t>
      </w:r>
      <w:r>
        <w:rPr>
          <w:color w:val="231F1F"/>
          <w:spacing w:val="-3"/>
        </w:rPr>
        <w:t> </w:t>
      </w:r>
      <w:r>
        <w:rPr>
          <w:color w:val="231F1F"/>
        </w:rPr>
        <w:t>NE=1+.</w:t>
      </w:r>
    </w:p>
    <w:p>
      <w:pPr>
        <w:pStyle w:val="BodyText"/>
        <w:tabs>
          <w:tab w:pos="8036" w:val="left" w:leader="none"/>
          <w:tab w:pos="8114" w:val="left" w:leader="none"/>
        </w:tabs>
        <w:spacing w:line="252" w:lineRule="auto" w:before="82"/>
        <w:ind w:left="283" w:right="524" w:firstLine="453"/>
      </w:pPr>
      <w:r>
        <w:rPr>
          <w:color w:val="231F1F"/>
          <w:w w:val="105"/>
        </w:rPr>
        <w:t>Un ECA con un NE =1+ (309) incluido en una RS de Cochrane (310)</w:t>
      </w:r>
      <w:r>
        <w:rPr>
          <w:color w:val="231F1F"/>
        </w:rPr>
        <w:tab/>
      </w:r>
      <w:r>
        <w:rPr>
          <w:rFonts w:ascii="Arial MT" w:hAnsi="Arial MT"/>
          <w:color w:val="231F1F"/>
          <w:spacing w:val="-12"/>
          <w:w w:val="105"/>
          <w:sz w:val="18"/>
        </w:rPr>
        <w:t>ECA </w:t>
      </w:r>
      <w:r>
        <w:rPr>
          <w:color w:val="231F1F"/>
          <w:w w:val="105"/>
        </w:rPr>
        <w:t>estudia la eficacia de la </w:t>
      </w:r>
      <w:r>
        <w:rPr>
          <w:i/>
          <w:color w:val="231F1F"/>
          <w:w w:val="105"/>
        </w:rPr>
        <w:t>analgesia neuroaxial frente a la no analgesia</w:t>
      </w:r>
      <w:r>
        <w:rPr>
          <w:color w:val="231F1F"/>
          <w:w w:val="105"/>
        </w:rPr>
        <w:t>. Este es-</w:t>
      </w:r>
      <w:r>
        <w:rPr>
          <w:color w:val="231F1F"/>
        </w:rPr>
        <w:tab/>
        <w:tab/>
      </w:r>
      <w:r>
        <w:rPr>
          <w:rFonts w:ascii="Arial MT" w:hAnsi="Arial MT"/>
          <w:color w:val="231F1F"/>
          <w:spacing w:val="-6"/>
          <w:w w:val="105"/>
          <w:position w:val="4"/>
          <w:sz w:val="18"/>
        </w:rPr>
        <w:t>1+ </w:t>
      </w:r>
      <w:r>
        <w:rPr>
          <w:color w:val="231F1F"/>
          <w:w w:val="105"/>
        </w:rPr>
        <w:t>tudio</w:t>
      </w:r>
      <w:r>
        <w:rPr>
          <w:color w:val="231F1F"/>
          <w:spacing w:val="40"/>
          <w:w w:val="105"/>
        </w:rPr>
        <w:t> </w:t>
      </w:r>
      <w:r>
        <w:rPr>
          <w:color w:val="231F1F"/>
          <w:w w:val="105"/>
        </w:rPr>
        <w:t>halló</w:t>
      </w:r>
      <w:r>
        <w:rPr>
          <w:color w:val="231F1F"/>
          <w:spacing w:val="40"/>
          <w:w w:val="105"/>
        </w:rPr>
        <w:t> </w:t>
      </w:r>
      <w:r>
        <w:rPr>
          <w:color w:val="231F1F"/>
          <w:w w:val="105"/>
        </w:rPr>
        <w:t>que</w:t>
      </w:r>
      <w:r>
        <w:rPr>
          <w:color w:val="231F1F"/>
          <w:spacing w:val="40"/>
          <w:w w:val="105"/>
        </w:rPr>
        <w:t> </w:t>
      </w:r>
      <w:r>
        <w:rPr>
          <w:color w:val="231F1F"/>
          <w:w w:val="105"/>
        </w:rPr>
        <w:t>la</w:t>
      </w:r>
      <w:r>
        <w:rPr>
          <w:color w:val="231F1F"/>
          <w:spacing w:val="40"/>
          <w:w w:val="105"/>
        </w:rPr>
        <w:t> </w:t>
      </w:r>
      <w:r>
        <w:rPr>
          <w:color w:val="231F1F"/>
          <w:w w:val="105"/>
        </w:rPr>
        <w:t>primera</w:t>
      </w:r>
      <w:r>
        <w:rPr>
          <w:color w:val="231F1F"/>
          <w:spacing w:val="40"/>
          <w:w w:val="105"/>
        </w:rPr>
        <w:t> </w:t>
      </w:r>
      <w:r>
        <w:rPr>
          <w:color w:val="231F1F"/>
          <w:w w:val="105"/>
        </w:rPr>
        <w:t>etapa</w:t>
      </w:r>
      <w:r>
        <w:rPr>
          <w:color w:val="231F1F"/>
          <w:spacing w:val="40"/>
          <w:w w:val="105"/>
        </w:rPr>
        <w:t> </w:t>
      </w:r>
      <w:r>
        <w:rPr>
          <w:color w:val="231F1F"/>
          <w:w w:val="105"/>
        </w:rPr>
        <w:t>del</w:t>
      </w:r>
      <w:r>
        <w:rPr>
          <w:color w:val="231F1F"/>
          <w:spacing w:val="40"/>
          <w:w w:val="105"/>
        </w:rPr>
        <w:t> </w:t>
      </w:r>
      <w:r>
        <w:rPr>
          <w:color w:val="231F1F"/>
          <w:w w:val="105"/>
        </w:rPr>
        <w:t>parto</w:t>
      </w:r>
      <w:r>
        <w:rPr>
          <w:color w:val="231F1F"/>
          <w:spacing w:val="40"/>
          <w:w w:val="105"/>
        </w:rPr>
        <w:t> </w:t>
      </w:r>
      <w:r>
        <w:rPr>
          <w:color w:val="231F1F"/>
          <w:w w:val="105"/>
        </w:rPr>
        <w:t>es</w:t>
      </w:r>
      <w:r>
        <w:rPr>
          <w:color w:val="231F1F"/>
          <w:spacing w:val="40"/>
          <w:w w:val="105"/>
        </w:rPr>
        <w:t> </w:t>
      </w:r>
      <w:r>
        <w:rPr>
          <w:color w:val="231F1F"/>
          <w:w w:val="105"/>
        </w:rPr>
        <w:t>significativamente</w:t>
      </w:r>
      <w:r>
        <w:rPr>
          <w:color w:val="231F1F"/>
          <w:spacing w:val="40"/>
          <w:w w:val="105"/>
        </w:rPr>
        <w:t> </w:t>
      </w:r>
      <w:r>
        <w:rPr>
          <w:color w:val="231F1F"/>
          <w:w w:val="105"/>
        </w:rPr>
        <w:t>más</w:t>
      </w:r>
      <w:r>
        <w:rPr>
          <w:color w:val="231F1F"/>
          <w:spacing w:val="40"/>
          <w:w w:val="105"/>
        </w:rPr>
        <w:t> </w:t>
      </w:r>
      <w:r>
        <w:rPr>
          <w:color w:val="231F1F"/>
          <w:w w:val="105"/>
        </w:rPr>
        <w:t>corta</w:t>
      </w:r>
      <w:r>
        <w:rPr>
          <w:color w:val="231F1F"/>
          <w:spacing w:val="40"/>
          <w:w w:val="105"/>
        </w:rPr>
        <w:t> </w:t>
      </w:r>
      <w:r>
        <w:rPr>
          <w:color w:val="231F1F"/>
          <w:w w:val="105"/>
        </w:rPr>
        <w:t>en mujeres que reciben analgesia que en las que no se administró analgesia, (DMP</w:t>
      </w:r>
    </w:p>
    <w:p>
      <w:pPr>
        <w:pStyle w:val="BodyText"/>
        <w:spacing w:line="244" w:lineRule="auto" w:before="5"/>
        <w:ind w:left="283" w:right="1362"/>
        <w:jc w:val="both"/>
      </w:pPr>
      <w:r>
        <w:rPr>
          <w:color w:val="231F1F"/>
          <w:w w:val="105"/>
        </w:rPr>
        <w:t>−119,00</w:t>
      </w:r>
      <w:r>
        <w:rPr>
          <w:color w:val="231F1F"/>
          <w:spacing w:val="-15"/>
          <w:w w:val="105"/>
        </w:rPr>
        <w:t> </w:t>
      </w:r>
      <w:r>
        <w:rPr>
          <w:color w:val="231F1F"/>
          <w:w w:val="105"/>
        </w:rPr>
        <w:t>minutos</w:t>
      </w:r>
      <w:r>
        <w:rPr>
          <w:color w:val="231F1F"/>
          <w:spacing w:val="-14"/>
          <w:w w:val="105"/>
        </w:rPr>
        <w:t> </w:t>
      </w:r>
      <w:r>
        <w:rPr>
          <w:color w:val="231F1F"/>
          <w:w w:val="105"/>
        </w:rPr>
        <w:t>[IC</w:t>
      </w:r>
      <w:r>
        <w:rPr>
          <w:color w:val="231F1F"/>
          <w:spacing w:val="-15"/>
          <w:w w:val="105"/>
        </w:rPr>
        <w:t> </w:t>
      </w:r>
      <w:r>
        <w:rPr>
          <w:color w:val="231F1F"/>
          <w:w w:val="105"/>
        </w:rPr>
        <w:t>95%</w:t>
      </w:r>
      <w:r>
        <w:rPr>
          <w:color w:val="231F1F"/>
          <w:spacing w:val="-14"/>
          <w:w w:val="105"/>
        </w:rPr>
        <w:t> </w:t>
      </w:r>
      <w:r>
        <w:rPr>
          <w:color w:val="231F1F"/>
          <w:w w:val="105"/>
        </w:rPr>
        <w:t>−154,50</w:t>
      </w:r>
      <w:r>
        <w:rPr>
          <w:color w:val="231F1F"/>
          <w:spacing w:val="-15"/>
          <w:w w:val="105"/>
        </w:rPr>
        <w:t> </w:t>
      </w:r>
      <w:r>
        <w:rPr>
          <w:color w:val="231F1F"/>
          <w:w w:val="105"/>
        </w:rPr>
        <w:t>a</w:t>
      </w:r>
      <w:r>
        <w:rPr>
          <w:color w:val="231F1F"/>
          <w:spacing w:val="-14"/>
          <w:w w:val="105"/>
        </w:rPr>
        <w:t> </w:t>
      </w:r>
      <w:r>
        <w:rPr>
          <w:color w:val="231F1F"/>
          <w:w w:val="105"/>
        </w:rPr>
        <w:t>−83,50</w:t>
      </w:r>
      <w:r>
        <w:rPr>
          <w:color w:val="231F1F"/>
          <w:spacing w:val="-15"/>
          <w:w w:val="105"/>
        </w:rPr>
        <w:t> </w:t>
      </w:r>
      <w:r>
        <w:rPr>
          <w:color w:val="231F1F"/>
          <w:w w:val="105"/>
        </w:rPr>
        <w:t>minutos]),</w:t>
      </w:r>
      <w:r>
        <w:rPr>
          <w:color w:val="231F1F"/>
          <w:spacing w:val="-14"/>
          <w:w w:val="105"/>
        </w:rPr>
        <w:t> </w:t>
      </w:r>
      <w:r>
        <w:rPr>
          <w:color w:val="231F1F"/>
          <w:w w:val="105"/>
        </w:rPr>
        <w:t>no</w:t>
      </w:r>
      <w:r>
        <w:rPr>
          <w:color w:val="231F1F"/>
          <w:spacing w:val="-14"/>
          <w:w w:val="105"/>
        </w:rPr>
        <w:t> </w:t>
      </w:r>
      <w:r>
        <w:rPr>
          <w:color w:val="231F1F"/>
          <w:w w:val="105"/>
        </w:rPr>
        <w:t>habiendo</w:t>
      </w:r>
      <w:r>
        <w:rPr>
          <w:color w:val="231F1F"/>
          <w:spacing w:val="-15"/>
          <w:w w:val="105"/>
        </w:rPr>
        <w:t> </w:t>
      </w:r>
      <w:r>
        <w:rPr>
          <w:color w:val="231F1F"/>
          <w:w w:val="105"/>
        </w:rPr>
        <w:t>diferencias significativas en la duración de la segunda etapa del parto (DMP −6,03 minu- tos [IC 95% −12,61 a 0,55 minutos] ni en el tipo de parto. El parto fue descri- to como muy doloroso por el 9% de las mujeres con analgesia epidural frente al 100% en las mujeres sin analgesia.</w:t>
      </w:r>
    </w:p>
    <w:p>
      <w:pPr>
        <w:spacing w:line="244" w:lineRule="auto" w:before="63"/>
        <w:ind w:left="283" w:right="1367" w:firstLine="453"/>
        <w:jc w:val="both"/>
        <w:rPr>
          <w:i/>
          <w:sz w:val="22"/>
        </w:rPr>
      </w:pPr>
      <w:r>
        <w:rPr>
          <w:color w:val="231F1F"/>
          <w:spacing w:val="-2"/>
          <w:w w:val="105"/>
          <w:sz w:val="22"/>
        </w:rPr>
        <w:t>La</w:t>
      </w:r>
      <w:r>
        <w:rPr>
          <w:color w:val="231F1F"/>
          <w:spacing w:val="-10"/>
          <w:w w:val="105"/>
          <w:sz w:val="22"/>
        </w:rPr>
        <w:t> </w:t>
      </w:r>
      <w:r>
        <w:rPr>
          <w:color w:val="231F1F"/>
          <w:spacing w:val="-2"/>
          <w:w w:val="105"/>
          <w:sz w:val="22"/>
        </w:rPr>
        <w:t>RS</w:t>
      </w:r>
      <w:r>
        <w:rPr>
          <w:color w:val="231F1F"/>
          <w:spacing w:val="-10"/>
          <w:w w:val="105"/>
          <w:sz w:val="22"/>
        </w:rPr>
        <w:t> </w:t>
      </w:r>
      <w:r>
        <w:rPr>
          <w:color w:val="231F1F"/>
          <w:spacing w:val="-2"/>
          <w:w w:val="105"/>
          <w:sz w:val="22"/>
        </w:rPr>
        <w:t>de</w:t>
      </w:r>
      <w:r>
        <w:rPr>
          <w:color w:val="231F1F"/>
          <w:spacing w:val="-10"/>
          <w:w w:val="105"/>
          <w:sz w:val="22"/>
        </w:rPr>
        <w:t> </w:t>
      </w:r>
      <w:r>
        <w:rPr>
          <w:color w:val="231F1F"/>
          <w:spacing w:val="-2"/>
          <w:w w:val="105"/>
          <w:sz w:val="22"/>
        </w:rPr>
        <w:t>Cochrane</w:t>
      </w:r>
      <w:r>
        <w:rPr>
          <w:color w:val="231F1F"/>
          <w:spacing w:val="-11"/>
          <w:w w:val="105"/>
          <w:sz w:val="22"/>
        </w:rPr>
        <w:t> </w:t>
      </w:r>
      <w:r>
        <w:rPr>
          <w:color w:val="231F1F"/>
          <w:spacing w:val="-2"/>
          <w:w w:val="105"/>
          <w:sz w:val="22"/>
        </w:rPr>
        <w:t>de</w:t>
      </w:r>
      <w:r>
        <w:rPr>
          <w:color w:val="231F1F"/>
          <w:spacing w:val="-10"/>
          <w:w w:val="105"/>
          <w:sz w:val="22"/>
        </w:rPr>
        <w:t> </w:t>
      </w:r>
      <w:r>
        <w:rPr>
          <w:color w:val="231F1F"/>
          <w:spacing w:val="-2"/>
          <w:w w:val="105"/>
          <w:sz w:val="22"/>
        </w:rPr>
        <w:t>2005</w:t>
      </w:r>
      <w:r>
        <w:rPr>
          <w:color w:val="231F1F"/>
          <w:spacing w:val="-10"/>
          <w:w w:val="105"/>
          <w:sz w:val="22"/>
        </w:rPr>
        <w:t> </w:t>
      </w:r>
      <w:r>
        <w:rPr>
          <w:color w:val="231F1F"/>
          <w:spacing w:val="-2"/>
          <w:w w:val="105"/>
          <w:sz w:val="22"/>
        </w:rPr>
        <w:t>(310),</w:t>
      </w:r>
      <w:r>
        <w:rPr>
          <w:color w:val="231F1F"/>
          <w:spacing w:val="-10"/>
          <w:w w:val="105"/>
          <w:sz w:val="22"/>
        </w:rPr>
        <w:t> </w:t>
      </w:r>
      <w:r>
        <w:rPr>
          <w:color w:val="231F1F"/>
          <w:spacing w:val="-2"/>
          <w:w w:val="105"/>
          <w:sz w:val="22"/>
        </w:rPr>
        <w:t>que</w:t>
      </w:r>
      <w:r>
        <w:rPr>
          <w:color w:val="231F1F"/>
          <w:spacing w:val="-10"/>
          <w:w w:val="105"/>
          <w:sz w:val="22"/>
        </w:rPr>
        <w:t> </w:t>
      </w:r>
      <w:r>
        <w:rPr>
          <w:color w:val="231F1F"/>
          <w:spacing w:val="-2"/>
          <w:w w:val="105"/>
          <w:sz w:val="22"/>
        </w:rPr>
        <w:t>incluía</w:t>
      </w:r>
      <w:r>
        <w:rPr>
          <w:color w:val="231F1F"/>
          <w:spacing w:val="-10"/>
          <w:w w:val="105"/>
          <w:sz w:val="22"/>
        </w:rPr>
        <w:t> </w:t>
      </w:r>
      <w:r>
        <w:rPr>
          <w:color w:val="231F1F"/>
          <w:spacing w:val="-2"/>
          <w:w w:val="105"/>
          <w:sz w:val="22"/>
        </w:rPr>
        <w:t>21</w:t>
      </w:r>
      <w:r>
        <w:rPr>
          <w:color w:val="231F1F"/>
          <w:spacing w:val="-10"/>
          <w:w w:val="105"/>
          <w:sz w:val="22"/>
        </w:rPr>
        <w:t> </w:t>
      </w:r>
      <w:r>
        <w:rPr>
          <w:color w:val="231F1F"/>
          <w:spacing w:val="-2"/>
          <w:w w:val="105"/>
          <w:sz w:val="22"/>
        </w:rPr>
        <w:t>ECAs</w:t>
      </w:r>
      <w:r>
        <w:rPr>
          <w:color w:val="231F1F"/>
          <w:spacing w:val="-10"/>
          <w:w w:val="105"/>
          <w:sz w:val="22"/>
        </w:rPr>
        <w:t> </w:t>
      </w:r>
      <w:r>
        <w:rPr>
          <w:color w:val="231F1F"/>
          <w:spacing w:val="-2"/>
          <w:w w:val="105"/>
          <w:sz w:val="22"/>
        </w:rPr>
        <w:t>(n=6.664</w:t>
      </w:r>
      <w:r>
        <w:rPr>
          <w:color w:val="231F1F"/>
          <w:spacing w:val="-10"/>
          <w:w w:val="105"/>
          <w:sz w:val="22"/>
        </w:rPr>
        <w:t> </w:t>
      </w:r>
      <w:r>
        <w:rPr>
          <w:color w:val="231F1F"/>
          <w:spacing w:val="-2"/>
          <w:w w:val="105"/>
          <w:sz w:val="22"/>
        </w:rPr>
        <w:t>mujeres), </w:t>
      </w:r>
      <w:r>
        <w:rPr>
          <w:color w:val="231F1F"/>
          <w:w w:val="105"/>
          <w:sz w:val="22"/>
        </w:rPr>
        <w:t>realizó</w:t>
      </w:r>
      <w:r>
        <w:rPr>
          <w:color w:val="231F1F"/>
          <w:spacing w:val="-5"/>
          <w:w w:val="105"/>
          <w:sz w:val="22"/>
        </w:rPr>
        <w:t> </w:t>
      </w:r>
      <w:r>
        <w:rPr>
          <w:color w:val="231F1F"/>
          <w:w w:val="105"/>
          <w:sz w:val="22"/>
        </w:rPr>
        <w:t>un</w:t>
      </w:r>
      <w:r>
        <w:rPr>
          <w:color w:val="231F1F"/>
          <w:spacing w:val="-5"/>
          <w:w w:val="105"/>
          <w:sz w:val="22"/>
        </w:rPr>
        <w:t> </w:t>
      </w:r>
      <w:r>
        <w:rPr>
          <w:color w:val="231F1F"/>
          <w:w w:val="105"/>
          <w:sz w:val="22"/>
        </w:rPr>
        <w:t>metaanálisis</w:t>
      </w:r>
      <w:r>
        <w:rPr>
          <w:color w:val="231F1F"/>
          <w:spacing w:val="-6"/>
          <w:w w:val="105"/>
          <w:sz w:val="22"/>
        </w:rPr>
        <w:t> </w:t>
      </w:r>
      <w:r>
        <w:rPr>
          <w:color w:val="231F1F"/>
          <w:w w:val="105"/>
          <w:sz w:val="22"/>
        </w:rPr>
        <w:t>con</w:t>
      </w:r>
      <w:r>
        <w:rPr>
          <w:color w:val="231F1F"/>
          <w:spacing w:val="-5"/>
          <w:w w:val="105"/>
          <w:sz w:val="22"/>
        </w:rPr>
        <w:t> </w:t>
      </w:r>
      <w:r>
        <w:rPr>
          <w:color w:val="231F1F"/>
          <w:w w:val="105"/>
          <w:sz w:val="22"/>
        </w:rPr>
        <w:t>17</w:t>
      </w:r>
      <w:r>
        <w:rPr>
          <w:color w:val="231F1F"/>
          <w:spacing w:val="-5"/>
          <w:w w:val="105"/>
          <w:sz w:val="22"/>
        </w:rPr>
        <w:t> </w:t>
      </w:r>
      <w:r>
        <w:rPr>
          <w:color w:val="231F1F"/>
          <w:w w:val="105"/>
          <w:sz w:val="22"/>
        </w:rPr>
        <w:t>de</w:t>
      </w:r>
      <w:r>
        <w:rPr>
          <w:color w:val="231F1F"/>
          <w:spacing w:val="-5"/>
          <w:w w:val="105"/>
          <w:sz w:val="22"/>
        </w:rPr>
        <w:t> </w:t>
      </w:r>
      <w:r>
        <w:rPr>
          <w:color w:val="231F1F"/>
          <w:w w:val="105"/>
          <w:sz w:val="22"/>
        </w:rPr>
        <w:t>los</w:t>
      </w:r>
      <w:r>
        <w:rPr>
          <w:color w:val="231F1F"/>
          <w:spacing w:val="-5"/>
          <w:w w:val="105"/>
          <w:sz w:val="22"/>
        </w:rPr>
        <w:t> </w:t>
      </w:r>
      <w:r>
        <w:rPr>
          <w:color w:val="231F1F"/>
          <w:w w:val="105"/>
          <w:sz w:val="22"/>
        </w:rPr>
        <w:t>estudios,</w:t>
      </w:r>
      <w:r>
        <w:rPr>
          <w:color w:val="231F1F"/>
          <w:spacing w:val="-4"/>
          <w:w w:val="105"/>
          <w:sz w:val="22"/>
        </w:rPr>
        <w:t> </w:t>
      </w:r>
      <w:r>
        <w:rPr>
          <w:color w:val="231F1F"/>
          <w:w w:val="105"/>
          <w:sz w:val="22"/>
        </w:rPr>
        <w:t>incluyendo</w:t>
      </w:r>
      <w:r>
        <w:rPr>
          <w:color w:val="231F1F"/>
          <w:spacing w:val="-6"/>
          <w:w w:val="105"/>
          <w:sz w:val="22"/>
        </w:rPr>
        <w:t> </w:t>
      </w:r>
      <w:r>
        <w:rPr>
          <w:color w:val="231F1F"/>
          <w:w w:val="105"/>
          <w:sz w:val="22"/>
        </w:rPr>
        <w:t>5.576</w:t>
      </w:r>
      <w:r>
        <w:rPr>
          <w:color w:val="231F1F"/>
          <w:spacing w:val="-5"/>
          <w:w w:val="105"/>
          <w:sz w:val="22"/>
        </w:rPr>
        <w:t> </w:t>
      </w:r>
      <w:r>
        <w:rPr>
          <w:color w:val="231F1F"/>
          <w:w w:val="105"/>
          <w:sz w:val="22"/>
        </w:rPr>
        <w:t>mujeres</w:t>
      </w:r>
      <w:r>
        <w:rPr>
          <w:color w:val="231F1F"/>
          <w:spacing w:val="-5"/>
          <w:w w:val="105"/>
          <w:sz w:val="22"/>
        </w:rPr>
        <w:t> </w:t>
      </w:r>
      <w:r>
        <w:rPr>
          <w:color w:val="231F1F"/>
          <w:w w:val="105"/>
          <w:sz w:val="22"/>
        </w:rPr>
        <w:t>sanas que cumplían con los criterios de inclusión de la guía NICE (10). Todos los ensayos</w:t>
      </w:r>
      <w:r>
        <w:rPr>
          <w:color w:val="231F1F"/>
          <w:w w:val="105"/>
          <w:sz w:val="22"/>
        </w:rPr>
        <w:t> compararon</w:t>
      </w:r>
      <w:r>
        <w:rPr>
          <w:color w:val="231F1F"/>
          <w:w w:val="105"/>
          <w:sz w:val="22"/>
        </w:rPr>
        <w:t> la</w:t>
      </w:r>
      <w:r>
        <w:rPr>
          <w:color w:val="231F1F"/>
          <w:w w:val="105"/>
          <w:sz w:val="22"/>
        </w:rPr>
        <w:t> </w:t>
      </w:r>
      <w:r>
        <w:rPr>
          <w:i/>
          <w:color w:val="231F1F"/>
          <w:w w:val="105"/>
          <w:sz w:val="22"/>
        </w:rPr>
        <w:t>analgesia</w:t>
      </w:r>
      <w:r>
        <w:rPr>
          <w:i/>
          <w:color w:val="231F1F"/>
          <w:w w:val="105"/>
          <w:sz w:val="22"/>
        </w:rPr>
        <w:t> neuroaxial</w:t>
      </w:r>
      <w:r>
        <w:rPr>
          <w:i/>
          <w:color w:val="231F1F"/>
          <w:w w:val="105"/>
          <w:sz w:val="22"/>
        </w:rPr>
        <w:t> (en</w:t>
      </w:r>
      <w:r>
        <w:rPr>
          <w:i/>
          <w:color w:val="231F1F"/>
          <w:w w:val="105"/>
          <w:sz w:val="22"/>
        </w:rPr>
        <w:t> todas</w:t>
      </w:r>
      <w:r>
        <w:rPr>
          <w:i/>
          <w:color w:val="231F1F"/>
          <w:w w:val="105"/>
          <w:sz w:val="22"/>
        </w:rPr>
        <w:t> las</w:t>
      </w:r>
      <w:r>
        <w:rPr>
          <w:i/>
          <w:color w:val="231F1F"/>
          <w:w w:val="105"/>
          <w:sz w:val="22"/>
        </w:rPr>
        <w:t> formas)</w:t>
      </w:r>
      <w:r>
        <w:rPr>
          <w:i/>
          <w:color w:val="231F1F"/>
          <w:w w:val="105"/>
          <w:sz w:val="22"/>
        </w:rPr>
        <w:t> frente</w:t>
      </w:r>
      <w:r>
        <w:rPr>
          <w:i/>
          <w:color w:val="231F1F"/>
          <w:w w:val="105"/>
          <w:sz w:val="22"/>
        </w:rPr>
        <w:t> a analgesia farmacológica con opioides.</w:t>
      </w:r>
    </w:p>
    <w:p>
      <w:pPr>
        <w:pStyle w:val="BodyText"/>
        <w:tabs>
          <w:tab w:pos="7898" w:val="left" w:leader="none"/>
          <w:tab w:pos="8114" w:val="left" w:leader="none"/>
        </w:tabs>
        <w:spacing w:line="242" w:lineRule="auto" w:before="97"/>
        <w:ind w:left="283" w:right="355" w:firstLine="453"/>
        <w:rPr>
          <w:rFonts w:ascii="Arial MT" w:hAnsi="Arial MT"/>
          <w:position w:val="8"/>
          <w:sz w:val="18"/>
        </w:rPr>
      </w:pPr>
      <w:r>
        <w:rPr>
          <w:color w:val="231F1F"/>
          <w:w w:val="110"/>
        </w:rPr>
        <w:t>Dos</w:t>
      </w:r>
      <w:r>
        <w:rPr>
          <w:color w:val="231F1F"/>
          <w:spacing w:val="-13"/>
          <w:w w:val="110"/>
        </w:rPr>
        <w:t> </w:t>
      </w:r>
      <w:r>
        <w:rPr>
          <w:color w:val="231F1F"/>
          <w:w w:val="110"/>
        </w:rPr>
        <w:t>de</w:t>
      </w:r>
      <w:r>
        <w:rPr>
          <w:color w:val="231F1F"/>
          <w:spacing w:val="-8"/>
          <w:w w:val="110"/>
        </w:rPr>
        <w:t> </w:t>
      </w:r>
      <w:r>
        <w:rPr>
          <w:color w:val="231F1F"/>
          <w:w w:val="110"/>
        </w:rPr>
        <w:t>los</w:t>
      </w:r>
      <w:r>
        <w:rPr>
          <w:color w:val="231F1F"/>
          <w:spacing w:val="-8"/>
          <w:w w:val="110"/>
        </w:rPr>
        <w:t> </w:t>
      </w:r>
      <w:r>
        <w:rPr>
          <w:color w:val="231F1F"/>
          <w:w w:val="110"/>
        </w:rPr>
        <w:t>ensayos</w:t>
      </w:r>
      <w:r>
        <w:rPr>
          <w:color w:val="231F1F"/>
          <w:spacing w:val="-8"/>
          <w:w w:val="110"/>
        </w:rPr>
        <w:t> </w:t>
      </w:r>
      <w:r>
        <w:rPr>
          <w:color w:val="231F1F"/>
          <w:w w:val="110"/>
        </w:rPr>
        <w:t>(n=164)</w:t>
      </w:r>
      <w:r>
        <w:rPr>
          <w:color w:val="231F1F"/>
          <w:spacing w:val="-8"/>
          <w:w w:val="110"/>
        </w:rPr>
        <w:t> </w:t>
      </w:r>
      <w:r>
        <w:rPr>
          <w:color w:val="231F1F"/>
          <w:w w:val="110"/>
        </w:rPr>
        <w:t>estudiaron</w:t>
      </w:r>
      <w:r>
        <w:rPr>
          <w:color w:val="231F1F"/>
          <w:spacing w:val="-8"/>
          <w:w w:val="110"/>
        </w:rPr>
        <w:t> </w:t>
      </w:r>
      <w:r>
        <w:rPr>
          <w:color w:val="231F1F"/>
          <w:w w:val="110"/>
        </w:rPr>
        <w:t>la</w:t>
      </w:r>
      <w:r>
        <w:rPr>
          <w:color w:val="231F1F"/>
          <w:spacing w:val="-8"/>
          <w:w w:val="110"/>
        </w:rPr>
        <w:t> </w:t>
      </w:r>
      <w:r>
        <w:rPr>
          <w:color w:val="231F1F"/>
          <w:w w:val="110"/>
        </w:rPr>
        <w:t>percepción</w:t>
      </w:r>
      <w:r>
        <w:rPr>
          <w:color w:val="231F1F"/>
          <w:spacing w:val="-10"/>
          <w:w w:val="110"/>
        </w:rPr>
        <w:t> </w:t>
      </w:r>
      <w:r>
        <w:rPr>
          <w:color w:val="231F1F"/>
          <w:w w:val="110"/>
        </w:rPr>
        <w:t>de</w:t>
      </w:r>
      <w:r>
        <w:rPr>
          <w:color w:val="231F1F"/>
          <w:spacing w:val="-9"/>
          <w:w w:val="110"/>
        </w:rPr>
        <w:t> </w:t>
      </w:r>
      <w:r>
        <w:rPr>
          <w:color w:val="231F1F"/>
          <w:w w:val="110"/>
        </w:rPr>
        <w:t>alivio</w:t>
      </w:r>
      <w:r>
        <w:rPr>
          <w:color w:val="231F1F"/>
          <w:spacing w:val="-8"/>
          <w:w w:val="110"/>
        </w:rPr>
        <w:t> </w:t>
      </w:r>
      <w:r>
        <w:rPr>
          <w:color w:val="231F1F"/>
          <w:w w:val="110"/>
        </w:rPr>
        <w:t>del</w:t>
      </w:r>
      <w:r>
        <w:rPr>
          <w:color w:val="231F1F"/>
          <w:spacing w:val="-10"/>
          <w:w w:val="110"/>
        </w:rPr>
        <w:t> </w:t>
      </w:r>
      <w:r>
        <w:rPr>
          <w:color w:val="231F1F"/>
          <w:w w:val="110"/>
        </w:rPr>
        <w:t>dolor</w:t>
      </w:r>
      <w:r>
        <w:rPr>
          <w:color w:val="231F1F"/>
          <w:spacing w:val="-16"/>
          <w:w w:val="110"/>
        </w:rPr>
        <w:t> </w:t>
      </w:r>
      <w:r>
        <w:rPr>
          <w:rFonts w:ascii="Arial MT" w:hAnsi="Arial MT"/>
          <w:color w:val="231F1F"/>
          <w:w w:val="110"/>
          <w:sz w:val="18"/>
        </w:rPr>
        <w:t>RS-MA</w:t>
      </w:r>
      <w:r>
        <w:rPr>
          <w:rFonts w:ascii="Arial MT" w:hAnsi="Arial MT"/>
          <w:color w:val="231F1F"/>
          <w:spacing w:val="-13"/>
          <w:w w:val="110"/>
          <w:sz w:val="18"/>
        </w:rPr>
        <w:t> </w:t>
      </w:r>
      <w:r>
        <w:rPr>
          <w:rFonts w:ascii="Arial MT" w:hAnsi="Arial MT"/>
          <w:color w:val="231F1F"/>
          <w:w w:val="110"/>
          <w:sz w:val="18"/>
        </w:rPr>
        <w:t>de </w:t>
      </w:r>
      <w:r>
        <w:rPr>
          <w:color w:val="231F1F"/>
          <w:w w:val="110"/>
        </w:rPr>
        <w:t>encontrándose resultados significativos que mostraban un mejor alivio del</w:t>
      </w:r>
      <w:r>
        <w:rPr>
          <w:color w:val="231F1F"/>
        </w:rPr>
        <w:tab/>
      </w:r>
      <w:r>
        <w:rPr>
          <w:rFonts w:ascii="Arial MT" w:hAnsi="Arial MT"/>
          <w:color w:val="231F1F"/>
          <w:spacing w:val="-4"/>
          <w:w w:val="110"/>
          <w:position w:val="4"/>
          <w:sz w:val="18"/>
        </w:rPr>
        <w:t>ECAs </w:t>
      </w:r>
      <w:r>
        <w:rPr>
          <w:color w:val="231F1F"/>
          <w:w w:val="110"/>
        </w:rPr>
        <w:t>dolor el grupo de anestesia neuroaxial tanto en la 1ª etapa del parto: DMP</w:t>
      </w:r>
      <w:r>
        <w:rPr>
          <w:color w:val="231F1F"/>
        </w:rPr>
        <w:tab/>
        <w:tab/>
      </w:r>
      <w:r>
        <w:rPr>
          <w:rFonts w:ascii="Arial MT" w:hAnsi="Arial MT"/>
          <w:color w:val="231F1F"/>
          <w:spacing w:val="-6"/>
          <w:w w:val="110"/>
          <w:position w:val="8"/>
          <w:sz w:val="18"/>
        </w:rPr>
        <w:t>1+</w:t>
      </w:r>
    </w:p>
    <w:p>
      <w:pPr>
        <w:pStyle w:val="BodyText"/>
        <w:spacing w:before="3"/>
        <w:ind w:left="283"/>
      </w:pPr>
      <w:r>
        <w:rPr>
          <w:color w:val="231F1F"/>
          <w:w w:val="105"/>
        </w:rPr>
        <w:t>−15,67</w:t>
      </w:r>
      <w:r>
        <w:rPr>
          <w:color w:val="231F1F"/>
          <w:spacing w:val="-12"/>
          <w:w w:val="105"/>
        </w:rPr>
        <w:t> </w:t>
      </w:r>
      <w:r>
        <w:rPr>
          <w:color w:val="231F1F"/>
          <w:w w:val="105"/>
        </w:rPr>
        <w:t>[IC</w:t>
      </w:r>
      <w:r>
        <w:rPr>
          <w:color w:val="231F1F"/>
          <w:spacing w:val="-9"/>
          <w:w w:val="105"/>
        </w:rPr>
        <w:t> </w:t>
      </w:r>
      <w:r>
        <w:rPr>
          <w:color w:val="231F1F"/>
          <w:w w:val="105"/>
        </w:rPr>
        <w:t>95%</w:t>
      </w:r>
      <w:r>
        <w:rPr>
          <w:color w:val="231F1F"/>
          <w:spacing w:val="-9"/>
          <w:w w:val="105"/>
        </w:rPr>
        <w:t> </w:t>
      </w:r>
      <w:r>
        <w:rPr>
          <w:color w:val="231F1F"/>
          <w:w w:val="105"/>
        </w:rPr>
        <w:t>−16,98</w:t>
      </w:r>
      <w:r>
        <w:rPr>
          <w:color w:val="231F1F"/>
          <w:spacing w:val="-11"/>
          <w:w w:val="105"/>
        </w:rPr>
        <w:t> </w:t>
      </w:r>
      <w:r>
        <w:rPr>
          <w:color w:val="231F1F"/>
          <w:w w:val="105"/>
        </w:rPr>
        <w:t>a</w:t>
      </w:r>
      <w:r>
        <w:rPr>
          <w:color w:val="231F1F"/>
          <w:spacing w:val="-9"/>
          <w:w w:val="105"/>
        </w:rPr>
        <w:t> </w:t>
      </w:r>
      <w:r>
        <w:rPr>
          <w:color w:val="231F1F"/>
          <w:w w:val="105"/>
        </w:rPr>
        <w:t>−14,35],</w:t>
      </w:r>
      <w:r>
        <w:rPr>
          <w:color w:val="231F1F"/>
          <w:spacing w:val="-9"/>
          <w:w w:val="105"/>
        </w:rPr>
        <w:t> </w:t>
      </w:r>
      <w:r>
        <w:rPr>
          <w:color w:val="231F1F"/>
          <w:w w:val="105"/>
        </w:rPr>
        <w:t>como</w:t>
      </w:r>
      <w:r>
        <w:rPr>
          <w:color w:val="231F1F"/>
          <w:spacing w:val="-10"/>
          <w:w w:val="105"/>
        </w:rPr>
        <w:t> </w:t>
      </w:r>
      <w:r>
        <w:rPr>
          <w:color w:val="231F1F"/>
          <w:w w:val="105"/>
        </w:rPr>
        <w:t>en</w:t>
      </w:r>
      <w:r>
        <w:rPr>
          <w:color w:val="231F1F"/>
          <w:spacing w:val="-9"/>
          <w:w w:val="105"/>
        </w:rPr>
        <w:t> </w:t>
      </w:r>
      <w:r>
        <w:rPr>
          <w:color w:val="231F1F"/>
          <w:w w:val="105"/>
        </w:rPr>
        <w:t>la</w:t>
      </w:r>
      <w:r>
        <w:rPr>
          <w:color w:val="231F1F"/>
          <w:spacing w:val="-9"/>
          <w:w w:val="105"/>
        </w:rPr>
        <w:t> </w:t>
      </w:r>
      <w:r>
        <w:rPr>
          <w:color w:val="231F1F"/>
          <w:w w:val="105"/>
        </w:rPr>
        <w:t>2ª</w:t>
      </w:r>
      <w:r>
        <w:rPr>
          <w:color w:val="231F1F"/>
          <w:spacing w:val="-11"/>
          <w:w w:val="105"/>
        </w:rPr>
        <w:t> </w:t>
      </w:r>
      <w:r>
        <w:rPr>
          <w:color w:val="231F1F"/>
          <w:w w:val="105"/>
        </w:rPr>
        <w:t>etapa:</w:t>
      </w:r>
      <w:r>
        <w:rPr>
          <w:color w:val="231F1F"/>
          <w:spacing w:val="-9"/>
          <w:w w:val="105"/>
        </w:rPr>
        <w:t> </w:t>
      </w:r>
      <w:r>
        <w:rPr>
          <w:color w:val="231F1F"/>
          <w:w w:val="105"/>
        </w:rPr>
        <w:t>DMP</w:t>
      </w:r>
      <w:r>
        <w:rPr>
          <w:color w:val="231F1F"/>
          <w:spacing w:val="-9"/>
          <w:w w:val="105"/>
        </w:rPr>
        <w:t> </w:t>
      </w:r>
      <w:r>
        <w:rPr>
          <w:color w:val="231F1F"/>
          <w:w w:val="105"/>
        </w:rPr>
        <w:t>−20,75</w:t>
      </w:r>
      <w:r>
        <w:rPr>
          <w:color w:val="231F1F"/>
          <w:spacing w:val="-9"/>
          <w:w w:val="105"/>
        </w:rPr>
        <w:t> </w:t>
      </w:r>
      <w:r>
        <w:rPr>
          <w:color w:val="231F1F"/>
          <w:w w:val="105"/>
        </w:rPr>
        <w:t>[IC</w:t>
      </w:r>
      <w:r>
        <w:rPr>
          <w:color w:val="231F1F"/>
          <w:spacing w:val="-10"/>
          <w:w w:val="105"/>
        </w:rPr>
        <w:t> </w:t>
      </w:r>
      <w:r>
        <w:rPr>
          <w:color w:val="231F1F"/>
          <w:spacing w:val="-5"/>
          <w:w w:val="105"/>
        </w:rPr>
        <w:t>95%</w:t>
      </w:r>
    </w:p>
    <w:p>
      <w:pPr>
        <w:pStyle w:val="BodyText"/>
        <w:spacing w:before="20"/>
        <w:ind w:left="283"/>
      </w:pPr>
      <w:r>
        <w:rPr>
          <w:color w:val="231F1F"/>
        </w:rPr>
        <w:t>−22,50 a</w:t>
      </w:r>
      <w:r>
        <w:rPr>
          <w:color w:val="231F1F"/>
          <w:spacing w:val="2"/>
        </w:rPr>
        <w:t> </w:t>
      </w:r>
      <w:r>
        <w:rPr>
          <w:color w:val="231F1F"/>
          <w:spacing w:val="-2"/>
        </w:rPr>
        <w:t>−19,01].</w:t>
      </w:r>
    </w:p>
    <w:p>
      <w:pPr>
        <w:pStyle w:val="BodyText"/>
        <w:spacing w:after="0"/>
        <w:sectPr>
          <w:pgSz w:w="11900" w:h="16840"/>
          <w:pgMar w:header="0" w:footer="622" w:top="1560" w:bottom="820" w:left="1417" w:right="1559"/>
        </w:sectPr>
      </w:pPr>
    </w:p>
    <w:p>
      <w:pPr>
        <w:pStyle w:val="BodyText"/>
        <w:tabs>
          <w:tab w:pos="7791" w:val="left" w:leader="none"/>
          <w:tab w:pos="7989" w:val="left" w:leader="none"/>
          <w:tab w:pos="8114" w:val="left" w:leader="none"/>
        </w:tabs>
        <w:spacing w:line="242" w:lineRule="auto" w:before="62"/>
        <w:ind w:left="283" w:right="312" w:firstLine="453"/>
        <w:rPr>
          <w:rFonts w:ascii="Arial MT" w:hAnsi="Arial MT"/>
          <w:position w:val="8"/>
          <w:sz w:val="18"/>
        </w:rPr>
      </w:pPr>
      <w:r>
        <w:rPr>
          <w:color w:val="231F1F"/>
        </w:rPr>
        <w:t>El metaanálisis de trece ECAs encontró que la necesidad de analgesia</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adicional era menor en el grupo con analgesia neuroaxial: RR 0,05 [IC 95%</w:t>
      </w:r>
      <w:r>
        <w:rPr>
          <w:color w:val="231F1F"/>
        </w:rPr>
        <w:tab/>
        <w:tab/>
      </w:r>
      <w:r>
        <w:rPr>
          <w:rFonts w:ascii="Arial MT" w:hAnsi="Arial MT"/>
          <w:color w:val="231F1F"/>
          <w:spacing w:val="-4"/>
          <w:w w:val="105"/>
          <w:position w:val="4"/>
          <w:sz w:val="18"/>
        </w:rPr>
        <w:t>ECAs </w:t>
      </w:r>
      <w:r>
        <w:rPr>
          <w:color w:val="231F1F"/>
          <w:w w:val="105"/>
        </w:rPr>
        <w:t>0,02 a 0,17], siendo también menor en este grupo el tiempo de inicio del efec-</w:t>
      </w:r>
      <w:r>
        <w:rPr>
          <w:color w:val="231F1F"/>
        </w:rPr>
        <w:tab/>
        <w:tab/>
        <w:tab/>
      </w:r>
      <w:r>
        <w:rPr>
          <w:rFonts w:ascii="Arial MT" w:hAnsi="Arial MT"/>
          <w:color w:val="231F1F"/>
          <w:spacing w:val="-6"/>
          <w:w w:val="105"/>
          <w:position w:val="8"/>
          <w:sz w:val="18"/>
        </w:rPr>
        <w:t>1+</w:t>
      </w:r>
    </w:p>
    <w:p>
      <w:pPr>
        <w:pStyle w:val="BodyText"/>
        <w:spacing w:line="244" w:lineRule="auto" w:before="8"/>
        <w:ind w:left="283" w:right="1444"/>
      </w:pPr>
      <w:r>
        <w:rPr>
          <w:color w:val="231F1F"/>
          <w:w w:val="105"/>
        </w:rPr>
        <w:t>to</w:t>
      </w:r>
      <w:r>
        <w:rPr>
          <w:color w:val="231F1F"/>
          <w:spacing w:val="-10"/>
          <w:w w:val="105"/>
        </w:rPr>
        <w:t> </w:t>
      </w:r>
      <w:r>
        <w:rPr>
          <w:color w:val="231F1F"/>
          <w:w w:val="105"/>
        </w:rPr>
        <w:t>analgésico</w:t>
      </w:r>
      <w:r>
        <w:rPr>
          <w:color w:val="231F1F"/>
          <w:spacing w:val="-10"/>
          <w:w w:val="105"/>
        </w:rPr>
        <w:t> </w:t>
      </w:r>
      <w:r>
        <w:rPr>
          <w:color w:val="231F1F"/>
          <w:w w:val="105"/>
        </w:rPr>
        <w:t>de</w:t>
      </w:r>
      <w:r>
        <w:rPr>
          <w:color w:val="231F1F"/>
          <w:spacing w:val="-12"/>
          <w:w w:val="105"/>
        </w:rPr>
        <w:t> </w:t>
      </w:r>
      <w:r>
        <w:rPr>
          <w:color w:val="231F1F"/>
          <w:w w:val="105"/>
        </w:rPr>
        <w:t>la</w:t>
      </w:r>
      <w:r>
        <w:rPr>
          <w:color w:val="231F1F"/>
          <w:spacing w:val="-10"/>
          <w:w w:val="105"/>
        </w:rPr>
        <w:t> </w:t>
      </w:r>
      <w:r>
        <w:rPr>
          <w:color w:val="231F1F"/>
          <w:w w:val="105"/>
        </w:rPr>
        <w:t>medicación</w:t>
      </w:r>
      <w:r>
        <w:rPr>
          <w:color w:val="231F1F"/>
          <w:spacing w:val="-12"/>
          <w:w w:val="105"/>
        </w:rPr>
        <w:t> </w:t>
      </w:r>
      <w:r>
        <w:rPr>
          <w:color w:val="231F1F"/>
          <w:w w:val="105"/>
        </w:rPr>
        <w:t>de</w:t>
      </w:r>
      <w:r>
        <w:rPr>
          <w:color w:val="231F1F"/>
          <w:spacing w:val="-12"/>
          <w:w w:val="105"/>
        </w:rPr>
        <w:t> </w:t>
      </w:r>
      <w:r>
        <w:rPr>
          <w:color w:val="231F1F"/>
          <w:w w:val="105"/>
        </w:rPr>
        <w:t>rescate:</w:t>
      </w:r>
      <w:r>
        <w:rPr>
          <w:color w:val="231F1F"/>
          <w:spacing w:val="-10"/>
          <w:w w:val="105"/>
        </w:rPr>
        <w:t> </w:t>
      </w:r>
      <w:r>
        <w:rPr>
          <w:color w:val="231F1F"/>
          <w:w w:val="105"/>
        </w:rPr>
        <w:t>DMP</w:t>
      </w:r>
      <w:r>
        <w:rPr>
          <w:color w:val="231F1F"/>
          <w:spacing w:val="-10"/>
          <w:w w:val="105"/>
        </w:rPr>
        <w:t> </w:t>
      </w:r>
      <w:r>
        <w:rPr>
          <w:color w:val="231F1F"/>
          <w:w w:val="105"/>
        </w:rPr>
        <w:t>−6,70</w:t>
      </w:r>
      <w:r>
        <w:rPr>
          <w:color w:val="231F1F"/>
          <w:spacing w:val="-10"/>
          <w:w w:val="105"/>
        </w:rPr>
        <w:t> </w:t>
      </w:r>
      <w:r>
        <w:rPr>
          <w:color w:val="231F1F"/>
          <w:w w:val="105"/>
        </w:rPr>
        <w:t>minutos</w:t>
      </w:r>
      <w:r>
        <w:rPr>
          <w:color w:val="231F1F"/>
          <w:spacing w:val="-12"/>
          <w:w w:val="105"/>
        </w:rPr>
        <w:t> </w:t>
      </w:r>
      <w:r>
        <w:rPr>
          <w:color w:val="231F1F"/>
          <w:w w:val="105"/>
        </w:rPr>
        <w:t>[IC</w:t>
      </w:r>
      <w:r>
        <w:rPr>
          <w:color w:val="231F1F"/>
          <w:spacing w:val="-10"/>
          <w:w w:val="105"/>
        </w:rPr>
        <w:t> </w:t>
      </w:r>
      <w:r>
        <w:rPr>
          <w:color w:val="231F1F"/>
          <w:w w:val="105"/>
        </w:rPr>
        <w:t>95%</w:t>
      </w:r>
      <w:r>
        <w:rPr>
          <w:color w:val="231F1F"/>
          <w:spacing w:val="-10"/>
          <w:w w:val="105"/>
        </w:rPr>
        <w:t> </w:t>
      </w:r>
      <w:r>
        <w:rPr>
          <w:color w:val="231F1F"/>
          <w:w w:val="105"/>
        </w:rPr>
        <w:t>−8,02 a −5,38 minutos].</w:t>
      </w:r>
    </w:p>
    <w:p>
      <w:pPr>
        <w:pStyle w:val="BodyText"/>
        <w:tabs>
          <w:tab w:pos="7791" w:val="left" w:leader="none"/>
          <w:tab w:pos="7989" w:val="left" w:leader="none"/>
          <w:tab w:pos="8114" w:val="left" w:leader="none"/>
        </w:tabs>
        <w:spacing w:line="242" w:lineRule="auto" w:before="108"/>
        <w:ind w:left="283" w:right="312" w:firstLine="453"/>
        <w:rPr>
          <w:rFonts w:ascii="Arial MT" w:hAnsi="Arial MT"/>
          <w:position w:val="8"/>
          <w:sz w:val="18"/>
        </w:rPr>
      </w:pPr>
      <w:r>
        <w:rPr>
          <w:color w:val="231F1F"/>
        </w:rPr>
        <w:t>La duración de la 2ª etapa del parto, estudiado en diez ECAs, es mayor</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rPr>
        <w:t>en el grupo de neuroaxial: DMP 18,96 min [IC 95% 10,87 a 27,06 min], así</w:t>
        <w:tab/>
        <w:tab/>
      </w:r>
      <w:r>
        <w:rPr>
          <w:rFonts w:ascii="Arial MT" w:hAnsi="Arial MT"/>
          <w:color w:val="231F1F"/>
          <w:spacing w:val="-4"/>
          <w:position w:val="4"/>
          <w:sz w:val="18"/>
        </w:rPr>
        <w:t>ECAs </w:t>
      </w:r>
      <w:r>
        <w:rPr>
          <w:color w:val="231F1F"/>
        </w:rPr>
        <w:t>como el riesgo de parto instrumental (quince ECAs): RR 1,34 [IC 95% 1,20</w:t>
        <w:tab/>
        <w:tab/>
        <w:tab/>
      </w:r>
      <w:r>
        <w:rPr>
          <w:rFonts w:ascii="Arial MT" w:hAnsi="Arial MT"/>
          <w:color w:val="231F1F"/>
          <w:spacing w:val="-6"/>
          <w:position w:val="8"/>
          <w:sz w:val="18"/>
        </w:rPr>
        <w:t>1+</w:t>
      </w:r>
    </w:p>
    <w:p>
      <w:pPr>
        <w:pStyle w:val="BodyText"/>
        <w:spacing w:before="7"/>
        <w:ind w:left="283"/>
      </w:pPr>
      <w:r>
        <w:rPr>
          <w:color w:val="231F1F"/>
        </w:rPr>
        <w:t>a</w:t>
      </w:r>
      <w:r>
        <w:rPr>
          <w:color w:val="231F1F"/>
          <w:spacing w:val="-1"/>
        </w:rPr>
        <w:t> </w:t>
      </w:r>
      <w:r>
        <w:rPr>
          <w:color w:val="231F1F"/>
        </w:rPr>
        <w:t>1,50] y</w:t>
      </w:r>
      <w:r>
        <w:rPr>
          <w:color w:val="231F1F"/>
          <w:spacing w:val="2"/>
        </w:rPr>
        <w:t> </w:t>
      </w:r>
      <w:r>
        <w:rPr>
          <w:color w:val="231F1F"/>
        </w:rPr>
        <w:t>la</w:t>
      </w:r>
      <w:r>
        <w:rPr>
          <w:color w:val="231F1F"/>
          <w:spacing w:val="2"/>
        </w:rPr>
        <w:t> </w:t>
      </w:r>
      <w:r>
        <w:rPr>
          <w:color w:val="231F1F"/>
        </w:rPr>
        <w:t>utilización</w:t>
      </w:r>
      <w:r>
        <w:rPr>
          <w:color w:val="231F1F"/>
          <w:spacing w:val="2"/>
        </w:rPr>
        <w:t> </w:t>
      </w:r>
      <w:r>
        <w:rPr>
          <w:color w:val="231F1F"/>
        </w:rPr>
        <w:t>de oxitocina (diez</w:t>
      </w:r>
      <w:r>
        <w:rPr>
          <w:color w:val="231F1F"/>
          <w:spacing w:val="3"/>
        </w:rPr>
        <w:t> </w:t>
      </w:r>
      <w:r>
        <w:rPr>
          <w:color w:val="231F1F"/>
        </w:rPr>
        <w:t>ECAs):</w:t>
      </w:r>
      <w:r>
        <w:rPr>
          <w:color w:val="231F1F"/>
          <w:spacing w:val="1"/>
        </w:rPr>
        <w:t> </w:t>
      </w:r>
      <w:r>
        <w:rPr>
          <w:color w:val="231F1F"/>
        </w:rPr>
        <w:t>RR</w:t>
      </w:r>
      <w:r>
        <w:rPr>
          <w:color w:val="231F1F"/>
          <w:spacing w:val="2"/>
        </w:rPr>
        <w:t> </w:t>
      </w:r>
      <w:r>
        <w:rPr>
          <w:color w:val="231F1F"/>
        </w:rPr>
        <w:t>1,19</w:t>
      </w:r>
      <w:r>
        <w:rPr>
          <w:color w:val="231F1F"/>
          <w:spacing w:val="2"/>
        </w:rPr>
        <w:t> </w:t>
      </w:r>
      <w:r>
        <w:rPr>
          <w:color w:val="231F1F"/>
        </w:rPr>
        <w:t>[IC</w:t>
      </w:r>
      <w:r>
        <w:rPr>
          <w:color w:val="231F1F"/>
          <w:spacing w:val="1"/>
        </w:rPr>
        <w:t> </w:t>
      </w:r>
      <w:r>
        <w:rPr>
          <w:color w:val="231F1F"/>
        </w:rPr>
        <w:t>95%</w:t>
      </w:r>
      <w:r>
        <w:rPr>
          <w:color w:val="231F1F"/>
          <w:spacing w:val="2"/>
        </w:rPr>
        <w:t> </w:t>
      </w:r>
      <w:r>
        <w:rPr>
          <w:color w:val="231F1F"/>
        </w:rPr>
        <w:t>1,02</w:t>
      </w:r>
      <w:r>
        <w:rPr>
          <w:color w:val="231F1F"/>
          <w:spacing w:val="1"/>
        </w:rPr>
        <w:t> </w:t>
      </w:r>
      <w:r>
        <w:rPr>
          <w:color w:val="231F1F"/>
        </w:rPr>
        <w:t>a</w:t>
      </w:r>
      <w:r>
        <w:rPr>
          <w:color w:val="231F1F"/>
          <w:spacing w:val="3"/>
        </w:rPr>
        <w:t> </w:t>
      </w:r>
      <w:r>
        <w:rPr>
          <w:color w:val="231F1F"/>
          <w:spacing w:val="-2"/>
        </w:rPr>
        <w:t>1,38].</w:t>
      </w:r>
    </w:p>
    <w:p>
      <w:pPr>
        <w:pStyle w:val="BodyText"/>
        <w:tabs>
          <w:tab w:pos="7791" w:val="left" w:leader="none"/>
        </w:tabs>
        <w:spacing w:line="259" w:lineRule="auto" w:before="117"/>
        <w:ind w:left="283" w:right="312" w:firstLine="453"/>
      </w:pPr>
      <w:r>
        <w:rPr>
          <w:color w:val="231F1F"/>
          <w:w w:val="110"/>
        </w:rPr>
        <w:t>En cuanto a resultados maternos, el riesgo de hipotensión es mayor en</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el grupo neuroaxial (seis ECAs): RR 58,49 [IC 95% 21,29 a 160,66] así como</w:t>
      </w:r>
      <w:r>
        <w:rPr>
          <w:color w:val="231F1F"/>
          <w:spacing w:val="80"/>
          <w:w w:val="110"/>
        </w:rPr>
        <w:t> </w:t>
      </w:r>
      <w:r>
        <w:rPr>
          <w:rFonts w:ascii="Arial MT" w:hAnsi="Arial MT"/>
          <w:color w:val="231F1F"/>
          <w:w w:val="110"/>
          <w:position w:val="4"/>
          <w:sz w:val="18"/>
        </w:rPr>
        <w:t>ECAs </w:t>
      </w:r>
      <w:r>
        <w:rPr>
          <w:color w:val="231F1F"/>
          <w:w w:val="110"/>
        </w:rPr>
        <w:t>la fiebre materna &gt;38º (dos ECAs): RR 4,37 [IC 95% 2,99 a 6,38] y la retención</w:t>
      </w:r>
    </w:p>
    <w:p>
      <w:pPr>
        <w:spacing w:line="174" w:lineRule="exact" w:before="0"/>
        <w:ind w:left="0" w:right="913" w:firstLine="0"/>
        <w:jc w:val="right"/>
        <w:rPr>
          <w:rFonts w:ascii="Arial MT"/>
          <w:sz w:val="18"/>
        </w:rPr>
      </w:pPr>
      <w:r>
        <w:rPr>
          <w:rFonts w:ascii="Arial MT"/>
          <w:color w:val="231F1F"/>
          <w:spacing w:val="-5"/>
          <w:sz w:val="18"/>
        </w:rPr>
        <w:t>1+</w:t>
      </w:r>
    </w:p>
    <w:p>
      <w:pPr>
        <w:pStyle w:val="BodyText"/>
        <w:spacing w:before="102"/>
        <w:ind w:left="283"/>
      </w:pPr>
      <w:r>
        <w:rPr>
          <w:color w:val="231F1F"/>
          <w:w w:val="110"/>
        </w:rPr>
        <w:t>urinaria</w:t>
      </w:r>
      <w:r>
        <w:rPr>
          <w:color w:val="231F1F"/>
          <w:spacing w:val="-9"/>
          <w:w w:val="110"/>
        </w:rPr>
        <w:t> </w:t>
      </w:r>
      <w:r>
        <w:rPr>
          <w:color w:val="231F1F"/>
          <w:w w:val="110"/>
        </w:rPr>
        <w:t>(tres</w:t>
      </w:r>
      <w:r>
        <w:rPr>
          <w:color w:val="231F1F"/>
          <w:spacing w:val="-7"/>
          <w:w w:val="110"/>
        </w:rPr>
        <w:t> </w:t>
      </w:r>
      <w:r>
        <w:rPr>
          <w:color w:val="231F1F"/>
          <w:w w:val="110"/>
        </w:rPr>
        <w:t>ECAs):</w:t>
      </w:r>
      <w:r>
        <w:rPr>
          <w:color w:val="231F1F"/>
          <w:spacing w:val="-7"/>
          <w:w w:val="110"/>
        </w:rPr>
        <w:t> </w:t>
      </w:r>
      <w:r>
        <w:rPr>
          <w:color w:val="231F1F"/>
          <w:w w:val="110"/>
        </w:rPr>
        <w:t>RR</w:t>
      </w:r>
      <w:r>
        <w:rPr>
          <w:color w:val="231F1F"/>
          <w:spacing w:val="-7"/>
          <w:w w:val="110"/>
        </w:rPr>
        <w:t> </w:t>
      </w:r>
      <w:r>
        <w:rPr>
          <w:color w:val="231F1F"/>
          <w:w w:val="110"/>
        </w:rPr>
        <w:t>17,05</w:t>
      </w:r>
      <w:r>
        <w:rPr>
          <w:color w:val="231F1F"/>
          <w:spacing w:val="-7"/>
          <w:w w:val="110"/>
        </w:rPr>
        <w:t> </w:t>
      </w:r>
      <w:r>
        <w:rPr>
          <w:color w:val="231F1F"/>
          <w:w w:val="110"/>
        </w:rPr>
        <w:t>[IC</w:t>
      </w:r>
      <w:r>
        <w:rPr>
          <w:color w:val="231F1F"/>
          <w:spacing w:val="-7"/>
          <w:w w:val="110"/>
        </w:rPr>
        <w:t> </w:t>
      </w:r>
      <w:r>
        <w:rPr>
          <w:color w:val="231F1F"/>
          <w:w w:val="110"/>
        </w:rPr>
        <w:t>95%</w:t>
      </w:r>
      <w:r>
        <w:rPr>
          <w:color w:val="231F1F"/>
          <w:spacing w:val="-7"/>
          <w:w w:val="110"/>
        </w:rPr>
        <w:t> </w:t>
      </w:r>
      <w:r>
        <w:rPr>
          <w:color w:val="231F1F"/>
          <w:w w:val="110"/>
        </w:rPr>
        <w:t>4,82</w:t>
      </w:r>
      <w:r>
        <w:rPr>
          <w:color w:val="231F1F"/>
          <w:spacing w:val="-7"/>
          <w:w w:val="110"/>
        </w:rPr>
        <w:t> </w:t>
      </w:r>
      <w:r>
        <w:rPr>
          <w:color w:val="231F1F"/>
          <w:w w:val="110"/>
        </w:rPr>
        <w:t>a</w:t>
      </w:r>
      <w:r>
        <w:rPr>
          <w:color w:val="231F1F"/>
          <w:spacing w:val="-7"/>
          <w:w w:val="110"/>
        </w:rPr>
        <w:t> </w:t>
      </w:r>
      <w:r>
        <w:rPr>
          <w:color w:val="231F1F"/>
          <w:spacing w:val="-2"/>
          <w:w w:val="110"/>
        </w:rPr>
        <w:t>60,39].</w:t>
      </w:r>
    </w:p>
    <w:p>
      <w:pPr>
        <w:pStyle w:val="BodyText"/>
        <w:spacing w:before="83"/>
        <w:ind w:left="736"/>
      </w:pPr>
      <w:r>
        <w:rPr>
          <w:color w:val="231F1F"/>
        </w:rPr>
        <w:t>No</w:t>
      </w:r>
      <w:r>
        <w:rPr>
          <w:color w:val="231F1F"/>
          <w:spacing w:val="-8"/>
        </w:rPr>
        <w:t> </w:t>
      </w:r>
      <w:r>
        <w:rPr>
          <w:color w:val="231F1F"/>
        </w:rPr>
        <w:t>se</w:t>
      </w:r>
      <w:r>
        <w:rPr>
          <w:color w:val="231F1F"/>
          <w:spacing w:val="-6"/>
        </w:rPr>
        <w:t> </w:t>
      </w:r>
      <w:r>
        <w:rPr>
          <w:color w:val="231F1F"/>
        </w:rPr>
        <w:t>encontraron</w:t>
      </w:r>
      <w:r>
        <w:rPr>
          <w:color w:val="231F1F"/>
          <w:spacing w:val="-6"/>
        </w:rPr>
        <w:t> </w:t>
      </w:r>
      <w:r>
        <w:rPr>
          <w:color w:val="231F1F"/>
        </w:rPr>
        <w:t>diferencias</w:t>
      </w:r>
      <w:r>
        <w:rPr>
          <w:color w:val="231F1F"/>
          <w:spacing w:val="-6"/>
        </w:rPr>
        <w:t> </w:t>
      </w:r>
      <w:r>
        <w:rPr>
          <w:color w:val="231F1F"/>
        </w:rPr>
        <w:t>significativas</w:t>
      </w:r>
      <w:r>
        <w:rPr>
          <w:color w:val="231F1F"/>
          <w:spacing w:val="-5"/>
        </w:rPr>
        <w:t> </w:t>
      </w:r>
      <w:r>
        <w:rPr>
          <w:color w:val="231F1F"/>
        </w:rPr>
        <w:t>en</w:t>
      </w:r>
      <w:r>
        <w:rPr>
          <w:color w:val="231F1F"/>
          <w:spacing w:val="-7"/>
        </w:rPr>
        <w:t> </w:t>
      </w:r>
      <w:r>
        <w:rPr>
          <w:color w:val="231F1F"/>
        </w:rPr>
        <w:t>cuanto</w:t>
      </w:r>
      <w:r>
        <w:rPr>
          <w:color w:val="231F1F"/>
          <w:spacing w:val="-6"/>
        </w:rPr>
        <w:t> </w:t>
      </w:r>
      <w:r>
        <w:rPr>
          <w:color w:val="231F1F"/>
        </w:rPr>
        <w:t>a</w:t>
      </w:r>
      <w:r>
        <w:rPr>
          <w:color w:val="231F1F"/>
          <w:spacing w:val="-6"/>
        </w:rPr>
        <w:t> </w:t>
      </w:r>
      <w:r>
        <w:rPr>
          <w:color w:val="231F1F"/>
        </w:rPr>
        <w:t>la</w:t>
      </w:r>
      <w:r>
        <w:rPr>
          <w:color w:val="231F1F"/>
          <w:spacing w:val="-6"/>
        </w:rPr>
        <w:t> </w:t>
      </w:r>
      <w:r>
        <w:rPr>
          <w:color w:val="231F1F"/>
        </w:rPr>
        <w:t>tasa</w:t>
      </w:r>
      <w:r>
        <w:rPr>
          <w:color w:val="231F1F"/>
          <w:spacing w:val="-6"/>
        </w:rPr>
        <w:t> </w:t>
      </w:r>
      <w:r>
        <w:rPr>
          <w:color w:val="231F1F"/>
        </w:rPr>
        <w:t>de</w:t>
      </w:r>
      <w:r>
        <w:rPr>
          <w:color w:val="231F1F"/>
          <w:spacing w:val="-6"/>
        </w:rPr>
        <w:t> </w:t>
      </w:r>
      <w:r>
        <w:rPr>
          <w:color w:val="231F1F"/>
          <w:spacing w:val="-2"/>
        </w:rPr>
        <w:t>cesáreas.</w:t>
      </w:r>
    </w:p>
    <w:p>
      <w:pPr>
        <w:pStyle w:val="BodyText"/>
        <w:tabs>
          <w:tab w:pos="7791" w:val="left" w:leader="none"/>
        </w:tabs>
        <w:spacing w:before="107"/>
        <w:ind w:left="736"/>
        <w:rPr>
          <w:rFonts w:ascii="Arial MT" w:hAnsi="Arial MT"/>
          <w:sz w:val="18"/>
        </w:rPr>
      </w:pPr>
      <w:r>
        <w:rPr>
          <w:color w:val="231F1F"/>
          <w:w w:val="110"/>
        </w:rPr>
        <w:t>La</w:t>
      </w:r>
      <w:r>
        <w:rPr>
          <w:color w:val="231F1F"/>
          <w:spacing w:val="-3"/>
          <w:w w:val="110"/>
        </w:rPr>
        <w:t> </w:t>
      </w:r>
      <w:r>
        <w:rPr>
          <w:color w:val="231F1F"/>
          <w:w w:val="110"/>
        </w:rPr>
        <w:t>administración de</w:t>
      </w:r>
      <w:r>
        <w:rPr>
          <w:color w:val="231F1F"/>
          <w:spacing w:val="-1"/>
          <w:w w:val="110"/>
        </w:rPr>
        <w:t> </w:t>
      </w:r>
      <w:r>
        <w:rPr>
          <w:color w:val="231F1F"/>
          <w:w w:val="110"/>
        </w:rPr>
        <w:t>naloxona</w:t>
      </w:r>
      <w:r>
        <w:rPr>
          <w:color w:val="231F1F"/>
          <w:spacing w:val="-1"/>
          <w:w w:val="110"/>
        </w:rPr>
        <w:t> </w:t>
      </w:r>
      <w:r>
        <w:rPr>
          <w:color w:val="231F1F"/>
          <w:w w:val="110"/>
        </w:rPr>
        <w:t>al bebé</w:t>
      </w:r>
      <w:r>
        <w:rPr>
          <w:color w:val="231F1F"/>
          <w:spacing w:val="-2"/>
          <w:w w:val="110"/>
        </w:rPr>
        <w:t> </w:t>
      </w:r>
      <w:r>
        <w:rPr>
          <w:color w:val="231F1F"/>
          <w:w w:val="110"/>
        </w:rPr>
        <w:t>fue</w:t>
      </w:r>
      <w:r>
        <w:rPr>
          <w:color w:val="231F1F"/>
          <w:spacing w:val="-1"/>
          <w:w w:val="110"/>
        </w:rPr>
        <w:t> </w:t>
      </w:r>
      <w:r>
        <w:rPr>
          <w:color w:val="231F1F"/>
          <w:w w:val="110"/>
        </w:rPr>
        <w:t>menor</w:t>
      </w:r>
      <w:r>
        <w:rPr>
          <w:color w:val="231F1F"/>
          <w:spacing w:val="-1"/>
          <w:w w:val="110"/>
        </w:rPr>
        <w:t> </w:t>
      </w:r>
      <w:r>
        <w:rPr>
          <w:color w:val="231F1F"/>
          <w:w w:val="110"/>
        </w:rPr>
        <w:t>en el</w:t>
      </w:r>
      <w:r>
        <w:rPr>
          <w:color w:val="231F1F"/>
          <w:spacing w:val="-1"/>
          <w:w w:val="110"/>
        </w:rPr>
        <w:t> </w:t>
      </w:r>
      <w:r>
        <w:rPr>
          <w:color w:val="231F1F"/>
          <w:w w:val="110"/>
        </w:rPr>
        <w:t>grupo</w:t>
      </w:r>
      <w:r>
        <w:rPr>
          <w:color w:val="231F1F"/>
          <w:spacing w:val="-1"/>
          <w:w w:val="110"/>
        </w:rPr>
        <w:t> </w:t>
      </w:r>
      <w:r>
        <w:rPr>
          <w:color w:val="231F1F"/>
          <w:w w:val="110"/>
        </w:rPr>
        <w:t>de</w:t>
      </w:r>
      <w:r>
        <w:rPr>
          <w:color w:val="231F1F"/>
          <w:spacing w:val="-1"/>
          <w:w w:val="110"/>
        </w:rPr>
        <w:t> </w:t>
      </w:r>
      <w:r>
        <w:rPr>
          <w:color w:val="231F1F"/>
          <w:spacing w:val="-4"/>
          <w:w w:val="110"/>
        </w:rPr>
        <w:t>neu-</w:t>
      </w:r>
      <w:r>
        <w:rPr>
          <w:color w:val="231F1F"/>
        </w:rPr>
        <w:tab/>
      </w:r>
      <w:r>
        <w:rPr>
          <w:rFonts w:ascii="Arial MT" w:hAnsi="Arial MT"/>
          <w:color w:val="231F1F"/>
          <w:sz w:val="18"/>
        </w:rPr>
        <w:t>RS-MA</w:t>
      </w:r>
      <w:r>
        <w:rPr>
          <w:rFonts w:ascii="Arial MT" w:hAnsi="Arial MT"/>
          <w:color w:val="231F1F"/>
          <w:spacing w:val="3"/>
          <w:sz w:val="18"/>
        </w:rPr>
        <w:t> </w:t>
      </w:r>
      <w:r>
        <w:rPr>
          <w:rFonts w:ascii="Arial MT" w:hAnsi="Arial MT"/>
          <w:color w:val="231F1F"/>
          <w:spacing w:val="-5"/>
          <w:sz w:val="18"/>
        </w:rPr>
        <w:t>de</w:t>
      </w:r>
    </w:p>
    <w:p>
      <w:pPr>
        <w:pStyle w:val="BodyText"/>
        <w:tabs>
          <w:tab w:pos="7577" w:val="left" w:leader="none"/>
        </w:tabs>
        <w:spacing w:before="22"/>
        <w:ind w:right="334"/>
        <w:jc w:val="right"/>
        <w:rPr>
          <w:rFonts w:ascii="Arial MT"/>
          <w:position w:val="4"/>
          <w:sz w:val="18"/>
        </w:rPr>
      </w:pPr>
      <w:r>
        <w:rPr>
          <w:color w:val="231F1F"/>
        </w:rPr>
        <w:t>roaxial</w:t>
      </w:r>
      <w:r>
        <w:rPr>
          <w:color w:val="231F1F"/>
          <w:spacing w:val="25"/>
        </w:rPr>
        <w:t> </w:t>
      </w:r>
      <w:r>
        <w:rPr>
          <w:color w:val="231F1F"/>
        </w:rPr>
        <w:t>(cuatro</w:t>
      </w:r>
      <w:r>
        <w:rPr>
          <w:color w:val="231F1F"/>
          <w:spacing w:val="26"/>
        </w:rPr>
        <w:t> </w:t>
      </w:r>
      <w:r>
        <w:rPr>
          <w:color w:val="231F1F"/>
        </w:rPr>
        <w:t>ECAs):</w:t>
      </w:r>
      <w:r>
        <w:rPr>
          <w:color w:val="231F1F"/>
          <w:spacing w:val="25"/>
        </w:rPr>
        <w:t> </w:t>
      </w:r>
      <w:r>
        <w:rPr>
          <w:color w:val="231F1F"/>
        </w:rPr>
        <w:t>RR</w:t>
      </w:r>
      <w:r>
        <w:rPr>
          <w:color w:val="231F1F"/>
          <w:spacing w:val="27"/>
        </w:rPr>
        <w:t> </w:t>
      </w:r>
      <w:r>
        <w:rPr>
          <w:color w:val="231F1F"/>
        </w:rPr>
        <w:t>0,15</w:t>
      </w:r>
      <w:r>
        <w:rPr>
          <w:color w:val="231F1F"/>
          <w:spacing w:val="25"/>
        </w:rPr>
        <w:t> </w:t>
      </w:r>
      <w:r>
        <w:rPr>
          <w:color w:val="231F1F"/>
        </w:rPr>
        <w:t>[IC</w:t>
      </w:r>
      <w:r>
        <w:rPr>
          <w:color w:val="231F1F"/>
          <w:spacing w:val="27"/>
        </w:rPr>
        <w:t> </w:t>
      </w:r>
      <w:r>
        <w:rPr>
          <w:color w:val="231F1F"/>
        </w:rPr>
        <w:t>95%</w:t>
      </w:r>
      <w:r>
        <w:rPr>
          <w:color w:val="231F1F"/>
          <w:spacing w:val="28"/>
        </w:rPr>
        <w:t> </w:t>
      </w:r>
      <w:r>
        <w:rPr>
          <w:color w:val="231F1F"/>
        </w:rPr>
        <w:t>0,06</w:t>
      </w:r>
      <w:r>
        <w:rPr>
          <w:color w:val="231F1F"/>
          <w:spacing w:val="26"/>
        </w:rPr>
        <w:t> </w:t>
      </w:r>
      <w:r>
        <w:rPr>
          <w:color w:val="231F1F"/>
        </w:rPr>
        <w:t>a</w:t>
      </w:r>
      <w:r>
        <w:rPr>
          <w:color w:val="231F1F"/>
          <w:spacing w:val="27"/>
        </w:rPr>
        <w:t> </w:t>
      </w:r>
      <w:r>
        <w:rPr>
          <w:color w:val="231F1F"/>
          <w:spacing w:val="-2"/>
        </w:rPr>
        <w:t>0,40].</w:t>
      </w:r>
      <w:r>
        <w:rPr>
          <w:color w:val="231F1F"/>
        </w:rPr>
        <w:tab/>
      </w:r>
      <w:r>
        <w:rPr>
          <w:rFonts w:ascii="Arial MT"/>
          <w:color w:val="231F1F"/>
          <w:position w:val="4"/>
          <w:sz w:val="18"/>
        </w:rPr>
        <w:t>ECAs</w:t>
      </w:r>
      <w:r>
        <w:rPr>
          <w:rFonts w:ascii="Arial MT"/>
          <w:color w:val="231F1F"/>
          <w:spacing w:val="-13"/>
          <w:position w:val="4"/>
          <w:sz w:val="18"/>
        </w:rPr>
        <w:t> </w:t>
      </w:r>
      <w:r>
        <w:rPr>
          <w:rFonts w:ascii="Arial MT"/>
          <w:color w:val="231F1F"/>
          <w:spacing w:val="-5"/>
          <w:position w:val="4"/>
          <w:sz w:val="18"/>
        </w:rPr>
        <w:t>1+</w:t>
      </w:r>
    </w:p>
    <w:p>
      <w:pPr>
        <w:pStyle w:val="BodyText"/>
        <w:tabs>
          <w:tab w:pos="7054" w:val="left" w:leader="none"/>
        </w:tabs>
        <w:spacing w:before="126"/>
        <w:ind w:right="265"/>
        <w:jc w:val="right"/>
        <w:rPr>
          <w:rFonts w:ascii="Arial MT" w:hAnsi="Arial MT"/>
          <w:sz w:val="18"/>
        </w:rPr>
      </w:pPr>
      <w:r>
        <w:rPr>
          <w:color w:val="231F1F"/>
        </w:rPr>
        <w:t>A</w:t>
      </w:r>
      <w:r>
        <w:rPr>
          <w:color w:val="231F1F"/>
          <w:spacing w:val="2"/>
        </w:rPr>
        <w:t> </w:t>
      </w:r>
      <w:r>
        <w:rPr>
          <w:color w:val="231F1F"/>
        </w:rPr>
        <w:t>partir</w:t>
      </w:r>
      <w:r>
        <w:rPr>
          <w:color w:val="231F1F"/>
          <w:spacing w:val="5"/>
        </w:rPr>
        <w:t> </w:t>
      </w:r>
      <w:r>
        <w:rPr>
          <w:color w:val="231F1F"/>
        </w:rPr>
        <w:t>de</w:t>
      </w:r>
      <w:r>
        <w:rPr>
          <w:color w:val="231F1F"/>
          <w:spacing w:val="7"/>
        </w:rPr>
        <w:t> </w:t>
      </w:r>
      <w:r>
        <w:rPr>
          <w:color w:val="231F1F"/>
        </w:rPr>
        <w:t>estudios</w:t>
      </w:r>
      <w:r>
        <w:rPr>
          <w:color w:val="231F1F"/>
          <w:spacing w:val="5"/>
        </w:rPr>
        <w:t> </w:t>
      </w:r>
      <w:r>
        <w:rPr>
          <w:color w:val="231F1F"/>
        </w:rPr>
        <w:t>incluidos</w:t>
      </w:r>
      <w:r>
        <w:rPr>
          <w:color w:val="231F1F"/>
          <w:spacing w:val="7"/>
        </w:rPr>
        <w:t> </w:t>
      </w:r>
      <w:r>
        <w:rPr>
          <w:color w:val="231F1F"/>
        </w:rPr>
        <w:t>en</w:t>
      </w:r>
      <w:r>
        <w:rPr>
          <w:color w:val="231F1F"/>
          <w:spacing w:val="6"/>
        </w:rPr>
        <w:t> </w:t>
      </w:r>
      <w:r>
        <w:rPr>
          <w:color w:val="231F1F"/>
        </w:rPr>
        <w:t>la</w:t>
      </w:r>
      <w:r>
        <w:rPr>
          <w:color w:val="231F1F"/>
          <w:spacing w:val="5"/>
        </w:rPr>
        <w:t> </w:t>
      </w:r>
      <w:r>
        <w:rPr>
          <w:color w:val="231F1F"/>
        </w:rPr>
        <w:t>RS</w:t>
      </w:r>
      <w:r>
        <w:rPr>
          <w:color w:val="231F1F"/>
          <w:spacing w:val="5"/>
        </w:rPr>
        <w:t> </w:t>
      </w:r>
      <w:r>
        <w:rPr>
          <w:color w:val="231F1F"/>
        </w:rPr>
        <w:t>de</w:t>
      </w:r>
      <w:r>
        <w:rPr>
          <w:color w:val="231F1F"/>
          <w:spacing w:val="7"/>
        </w:rPr>
        <w:t> </w:t>
      </w:r>
      <w:r>
        <w:rPr>
          <w:color w:val="231F1F"/>
        </w:rPr>
        <w:t>Anim</w:t>
      </w:r>
      <w:r>
        <w:rPr>
          <w:color w:val="231F1F"/>
          <w:spacing w:val="5"/>
        </w:rPr>
        <w:t> </w:t>
      </w:r>
      <w:r>
        <w:rPr>
          <w:color w:val="231F1F"/>
        </w:rPr>
        <w:t>et</w:t>
      </w:r>
      <w:r>
        <w:rPr>
          <w:color w:val="231F1F"/>
          <w:spacing w:val="4"/>
        </w:rPr>
        <w:t> </w:t>
      </w:r>
      <w:r>
        <w:rPr>
          <w:color w:val="231F1F"/>
        </w:rPr>
        <w:t>al.</w:t>
      </w:r>
      <w:r>
        <w:rPr>
          <w:color w:val="231F1F"/>
          <w:spacing w:val="7"/>
        </w:rPr>
        <w:t> </w:t>
      </w:r>
      <w:r>
        <w:rPr>
          <w:color w:val="231F1F"/>
        </w:rPr>
        <w:t>(310),</w:t>
      </w:r>
      <w:r>
        <w:rPr>
          <w:color w:val="231F1F"/>
          <w:spacing w:val="7"/>
        </w:rPr>
        <w:t> </w:t>
      </w:r>
      <w:r>
        <w:rPr>
          <w:color w:val="231F1F"/>
        </w:rPr>
        <w:t>la</w:t>
      </w:r>
      <w:r>
        <w:rPr>
          <w:color w:val="231F1F"/>
          <w:spacing w:val="5"/>
        </w:rPr>
        <w:t> </w:t>
      </w:r>
      <w:r>
        <w:rPr>
          <w:color w:val="231F1F"/>
        </w:rPr>
        <w:t>guía</w:t>
      </w:r>
      <w:r>
        <w:rPr>
          <w:color w:val="231F1F"/>
          <w:spacing w:val="7"/>
        </w:rPr>
        <w:t> </w:t>
      </w:r>
      <w:r>
        <w:rPr>
          <w:color w:val="231F1F"/>
          <w:spacing w:val="-4"/>
        </w:rPr>
        <w:t>NICE</w:t>
      </w:r>
      <w:r>
        <w:rPr>
          <w:color w:val="231F1F"/>
        </w:rPr>
        <w:tab/>
      </w:r>
      <w:r>
        <w:rPr>
          <w:rFonts w:ascii="Arial MT" w:hAnsi="Arial MT"/>
          <w:color w:val="231F1F"/>
          <w:sz w:val="18"/>
        </w:rPr>
        <w:t>RS-MA</w:t>
      </w:r>
      <w:r>
        <w:rPr>
          <w:rFonts w:ascii="Arial MT" w:hAnsi="Arial MT"/>
          <w:color w:val="231F1F"/>
          <w:spacing w:val="3"/>
          <w:sz w:val="18"/>
        </w:rPr>
        <w:t> </w:t>
      </w:r>
      <w:r>
        <w:rPr>
          <w:rFonts w:ascii="Arial MT" w:hAnsi="Arial MT"/>
          <w:color w:val="231F1F"/>
          <w:spacing w:val="-5"/>
          <w:sz w:val="18"/>
        </w:rPr>
        <w:t>de</w:t>
      </w:r>
    </w:p>
    <w:p>
      <w:pPr>
        <w:tabs>
          <w:tab w:pos="7989" w:val="left" w:leader="none"/>
          <w:tab w:pos="8114" w:val="left" w:leader="none"/>
        </w:tabs>
        <w:spacing w:line="237" w:lineRule="auto" w:before="29"/>
        <w:ind w:left="283" w:right="487" w:firstLine="0"/>
        <w:jc w:val="left"/>
        <w:rPr>
          <w:sz w:val="22"/>
        </w:rPr>
      </w:pPr>
      <w:r>
        <w:rPr>
          <w:color w:val="231F1F"/>
          <w:w w:val="105"/>
          <w:sz w:val="22"/>
        </w:rPr>
        <w:t>(10) realizó un nuevo metaanálisis que incluyó solo ensayos que utilizaban</w:t>
      </w:r>
      <w:r>
        <w:rPr>
          <w:color w:val="231F1F"/>
          <w:sz w:val="22"/>
        </w:rPr>
        <w:tab/>
      </w:r>
      <w:r>
        <w:rPr>
          <w:rFonts w:ascii="Arial MT" w:hAnsi="Arial MT"/>
          <w:color w:val="231F1F"/>
          <w:spacing w:val="-12"/>
          <w:w w:val="105"/>
          <w:position w:val="4"/>
          <w:sz w:val="18"/>
        </w:rPr>
        <w:t>ECA</w:t>
      </w:r>
      <w:r>
        <w:rPr>
          <w:rFonts w:ascii="Arial MT" w:hAnsi="Arial MT"/>
          <w:color w:val="231F1F"/>
          <w:spacing w:val="-12"/>
          <w:w w:val="105"/>
          <w:position w:val="4"/>
          <w:sz w:val="18"/>
        </w:rPr>
        <w:t>s</w:t>
      </w:r>
      <w:r>
        <w:rPr>
          <w:rFonts w:ascii="Arial MT" w:hAnsi="Arial MT"/>
          <w:color w:val="231F1F"/>
          <w:spacing w:val="-12"/>
          <w:w w:val="105"/>
          <w:position w:val="4"/>
          <w:sz w:val="18"/>
        </w:rPr>
        <w:t> </w:t>
      </w:r>
      <w:r>
        <w:rPr>
          <w:i/>
          <w:color w:val="231F1F"/>
          <w:w w:val="105"/>
          <w:sz w:val="22"/>
        </w:rPr>
        <w:t>analgesia neuroaxial a bajas dosis </w:t>
      </w:r>
      <w:r>
        <w:rPr>
          <w:color w:val="231F1F"/>
          <w:w w:val="105"/>
          <w:sz w:val="22"/>
        </w:rPr>
        <w:t>(&lt;0,25% bupivacaína o equivalente) </w:t>
      </w:r>
      <w:r>
        <w:rPr>
          <w:i/>
          <w:color w:val="231F1F"/>
          <w:w w:val="105"/>
          <w:sz w:val="22"/>
        </w:rPr>
        <w:t>frente</w:t>
      </w:r>
      <w:r>
        <w:rPr>
          <w:i/>
          <w:color w:val="231F1F"/>
          <w:sz w:val="22"/>
        </w:rPr>
        <w:tab/>
        <w:tab/>
      </w:r>
      <w:r>
        <w:rPr>
          <w:rFonts w:ascii="Arial MT" w:hAnsi="Arial MT"/>
          <w:color w:val="231F1F"/>
          <w:spacing w:val="-6"/>
          <w:w w:val="105"/>
          <w:position w:val="8"/>
          <w:sz w:val="18"/>
        </w:rPr>
        <w:t>1+ </w:t>
      </w:r>
      <w:r>
        <w:rPr>
          <w:i/>
          <w:color w:val="231F1F"/>
          <w:w w:val="105"/>
          <w:sz w:val="22"/>
        </w:rPr>
        <w:t>a analgesia farmacológica con opioides</w:t>
      </w:r>
      <w:r>
        <w:rPr>
          <w:color w:val="231F1F"/>
          <w:w w:val="105"/>
          <w:sz w:val="22"/>
        </w:rPr>
        <w:t>. La analgesia neuroaxial a bajas dosis</w:t>
      </w:r>
    </w:p>
    <w:p>
      <w:pPr>
        <w:pStyle w:val="BodyText"/>
        <w:spacing w:line="252" w:lineRule="auto" w:before="4"/>
        <w:ind w:left="283" w:right="1367"/>
        <w:jc w:val="both"/>
      </w:pPr>
      <w:r>
        <w:rPr>
          <w:color w:val="231F1F"/>
          <w:w w:val="110"/>
        </w:rPr>
        <w:t>también</w:t>
      </w:r>
      <w:r>
        <w:rPr>
          <w:color w:val="231F1F"/>
          <w:w w:val="110"/>
        </w:rPr>
        <w:t> está</w:t>
      </w:r>
      <w:r>
        <w:rPr>
          <w:color w:val="231F1F"/>
          <w:w w:val="110"/>
        </w:rPr>
        <w:t> relacionada</w:t>
      </w:r>
      <w:r>
        <w:rPr>
          <w:color w:val="231F1F"/>
          <w:w w:val="110"/>
        </w:rPr>
        <w:t> con</w:t>
      </w:r>
      <w:r>
        <w:rPr>
          <w:color w:val="231F1F"/>
          <w:w w:val="110"/>
        </w:rPr>
        <w:t> un</w:t>
      </w:r>
      <w:r>
        <w:rPr>
          <w:color w:val="231F1F"/>
          <w:w w:val="110"/>
        </w:rPr>
        <w:t> aumento</w:t>
      </w:r>
      <w:r>
        <w:rPr>
          <w:color w:val="231F1F"/>
          <w:w w:val="110"/>
        </w:rPr>
        <w:t> de</w:t>
      </w:r>
      <w:r>
        <w:rPr>
          <w:color w:val="231F1F"/>
          <w:w w:val="110"/>
        </w:rPr>
        <w:t> riesgo</w:t>
      </w:r>
      <w:r>
        <w:rPr>
          <w:color w:val="231F1F"/>
          <w:w w:val="110"/>
        </w:rPr>
        <w:t> de</w:t>
      </w:r>
      <w:r>
        <w:rPr>
          <w:color w:val="231F1F"/>
          <w:w w:val="110"/>
        </w:rPr>
        <w:t> parto</w:t>
      </w:r>
      <w:r>
        <w:rPr>
          <w:color w:val="231F1F"/>
          <w:w w:val="110"/>
        </w:rPr>
        <w:t> instrumental </w:t>
      </w:r>
      <w:r>
        <w:rPr>
          <w:color w:val="231F1F"/>
        </w:rPr>
        <w:t>(siete ECAs): RR 1,31 [IC 95% 1,14 a 1,49], mayor duración de la 2ª etapa del </w:t>
      </w:r>
      <w:r>
        <w:rPr>
          <w:color w:val="231F1F"/>
          <w:w w:val="110"/>
        </w:rPr>
        <w:t>parto</w:t>
      </w:r>
      <w:r>
        <w:rPr>
          <w:color w:val="231F1F"/>
          <w:spacing w:val="-16"/>
          <w:w w:val="110"/>
        </w:rPr>
        <w:t> </w:t>
      </w:r>
      <w:r>
        <w:rPr>
          <w:color w:val="231F1F"/>
          <w:w w:val="110"/>
        </w:rPr>
        <w:t>(cuatro</w:t>
      </w:r>
      <w:r>
        <w:rPr>
          <w:color w:val="231F1F"/>
          <w:spacing w:val="-15"/>
          <w:w w:val="110"/>
        </w:rPr>
        <w:t> </w:t>
      </w:r>
      <w:r>
        <w:rPr>
          <w:color w:val="231F1F"/>
          <w:w w:val="110"/>
        </w:rPr>
        <w:t>ECAs):</w:t>
      </w:r>
      <w:r>
        <w:rPr>
          <w:color w:val="231F1F"/>
          <w:spacing w:val="-15"/>
          <w:w w:val="110"/>
        </w:rPr>
        <w:t> </w:t>
      </w:r>
      <w:r>
        <w:rPr>
          <w:color w:val="231F1F"/>
          <w:w w:val="110"/>
        </w:rPr>
        <w:t>DMP</w:t>
      </w:r>
      <w:r>
        <w:rPr>
          <w:color w:val="231F1F"/>
          <w:spacing w:val="-15"/>
          <w:w w:val="110"/>
        </w:rPr>
        <w:t> </w:t>
      </w:r>
      <w:r>
        <w:rPr>
          <w:color w:val="231F1F"/>
          <w:w w:val="110"/>
        </w:rPr>
        <w:t>20,89</w:t>
      </w:r>
      <w:r>
        <w:rPr>
          <w:color w:val="231F1F"/>
          <w:spacing w:val="-15"/>
          <w:w w:val="110"/>
        </w:rPr>
        <w:t> </w:t>
      </w:r>
      <w:r>
        <w:rPr>
          <w:color w:val="231F1F"/>
          <w:w w:val="110"/>
        </w:rPr>
        <w:t>minutos</w:t>
      </w:r>
      <w:r>
        <w:rPr>
          <w:color w:val="231F1F"/>
          <w:spacing w:val="-15"/>
          <w:w w:val="110"/>
        </w:rPr>
        <w:t> </w:t>
      </w:r>
      <w:r>
        <w:rPr>
          <w:color w:val="231F1F"/>
          <w:w w:val="110"/>
        </w:rPr>
        <w:t>[IC</w:t>
      </w:r>
      <w:r>
        <w:rPr>
          <w:color w:val="231F1F"/>
          <w:spacing w:val="-15"/>
          <w:w w:val="110"/>
        </w:rPr>
        <w:t> </w:t>
      </w:r>
      <w:r>
        <w:rPr>
          <w:color w:val="231F1F"/>
          <w:w w:val="110"/>
        </w:rPr>
        <w:t>95%</w:t>
      </w:r>
      <w:r>
        <w:rPr>
          <w:color w:val="231F1F"/>
          <w:spacing w:val="-15"/>
          <w:w w:val="110"/>
        </w:rPr>
        <w:t> </w:t>
      </w:r>
      <w:r>
        <w:rPr>
          <w:color w:val="231F1F"/>
          <w:w w:val="110"/>
        </w:rPr>
        <w:t>10,82</w:t>
      </w:r>
      <w:r>
        <w:rPr>
          <w:color w:val="231F1F"/>
          <w:spacing w:val="-16"/>
          <w:w w:val="110"/>
        </w:rPr>
        <w:t> </w:t>
      </w:r>
      <w:r>
        <w:rPr>
          <w:color w:val="231F1F"/>
          <w:w w:val="110"/>
        </w:rPr>
        <w:t>a</w:t>
      </w:r>
      <w:r>
        <w:rPr>
          <w:color w:val="231F1F"/>
          <w:spacing w:val="-15"/>
          <w:w w:val="110"/>
        </w:rPr>
        <w:t> </w:t>
      </w:r>
      <w:r>
        <w:rPr>
          <w:color w:val="231F1F"/>
          <w:w w:val="110"/>
        </w:rPr>
        <w:t>29,57</w:t>
      </w:r>
      <w:r>
        <w:rPr>
          <w:color w:val="231F1F"/>
          <w:spacing w:val="-15"/>
          <w:w w:val="110"/>
        </w:rPr>
        <w:t> </w:t>
      </w:r>
      <w:r>
        <w:rPr>
          <w:color w:val="231F1F"/>
          <w:w w:val="110"/>
        </w:rPr>
        <w:t>minutos]</w:t>
      </w:r>
      <w:r>
        <w:rPr>
          <w:color w:val="231F1F"/>
          <w:spacing w:val="-15"/>
          <w:w w:val="110"/>
        </w:rPr>
        <w:t> </w:t>
      </w:r>
      <w:r>
        <w:rPr>
          <w:color w:val="231F1F"/>
          <w:w w:val="110"/>
        </w:rPr>
        <w:t>y un aumento de riesgo de utilización oxitocina (cuatro ECAs): RR 1,31 [IC 95% 1,03 a 1,67].</w:t>
      </w:r>
    </w:p>
    <w:p>
      <w:pPr>
        <w:pStyle w:val="BodyText"/>
        <w:spacing w:line="249" w:lineRule="auto" w:before="50"/>
        <w:ind w:left="283" w:right="1367" w:firstLine="453"/>
        <w:jc w:val="both"/>
      </w:pPr>
      <w:r>
        <w:rPr>
          <w:color w:val="231F1F"/>
          <w:w w:val="105"/>
        </w:rPr>
        <w:t>Otra</w:t>
      </w:r>
      <w:r>
        <w:rPr>
          <w:color w:val="231F1F"/>
          <w:w w:val="105"/>
        </w:rPr>
        <w:t> RS</w:t>
      </w:r>
      <w:r>
        <w:rPr>
          <w:color w:val="231F1F"/>
          <w:w w:val="105"/>
        </w:rPr>
        <w:t> anterior</w:t>
      </w:r>
      <w:r>
        <w:rPr>
          <w:color w:val="231F1F"/>
          <w:w w:val="105"/>
        </w:rPr>
        <w:t> (311)</w:t>
      </w:r>
      <w:r>
        <w:rPr>
          <w:color w:val="231F1F"/>
          <w:w w:val="105"/>
        </w:rPr>
        <w:t> que</w:t>
      </w:r>
      <w:r>
        <w:rPr>
          <w:color w:val="231F1F"/>
          <w:w w:val="105"/>
        </w:rPr>
        <w:t> comparaba</w:t>
      </w:r>
      <w:r>
        <w:rPr>
          <w:color w:val="231F1F"/>
          <w:w w:val="105"/>
        </w:rPr>
        <w:t> </w:t>
      </w:r>
      <w:r>
        <w:rPr>
          <w:i/>
          <w:color w:val="231F1F"/>
          <w:w w:val="105"/>
        </w:rPr>
        <w:t>analgesia</w:t>
      </w:r>
      <w:r>
        <w:rPr>
          <w:i/>
          <w:color w:val="231F1F"/>
          <w:w w:val="105"/>
        </w:rPr>
        <w:t> neuroaxial</w:t>
      </w:r>
      <w:r>
        <w:rPr>
          <w:i/>
          <w:color w:val="231F1F"/>
          <w:w w:val="105"/>
        </w:rPr>
        <w:t> frente</w:t>
      </w:r>
      <w:r>
        <w:rPr>
          <w:i/>
          <w:color w:val="231F1F"/>
          <w:w w:val="105"/>
        </w:rPr>
        <w:t> a opioides</w:t>
      </w:r>
      <w:r>
        <w:rPr>
          <w:color w:val="231F1F"/>
          <w:w w:val="105"/>
        </w:rPr>
        <w:t>, apoyaba los hallazgos de la revisión Cochrane. Esta revisión incluía catorce ECAs con 4.324 mujeres y dos estudios prospectivos con 397 mujeres que</w:t>
      </w:r>
      <w:r>
        <w:rPr>
          <w:color w:val="231F1F"/>
          <w:w w:val="105"/>
        </w:rPr>
        <w:t> permitían</w:t>
      </w:r>
      <w:r>
        <w:rPr>
          <w:color w:val="231F1F"/>
          <w:w w:val="105"/>
        </w:rPr>
        <w:t> evaluar</w:t>
      </w:r>
      <w:r>
        <w:rPr>
          <w:color w:val="231F1F"/>
          <w:w w:val="105"/>
        </w:rPr>
        <w:t> datos</w:t>
      </w:r>
      <w:r>
        <w:rPr>
          <w:color w:val="231F1F"/>
          <w:w w:val="105"/>
        </w:rPr>
        <w:t> sobre</w:t>
      </w:r>
      <w:r>
        <w:rPr>
          <w:color w:val="231F1F"/>
          <w:w w:val="105"/>
        </w:rPr>
        <w:t> lactancia</w:t>
      </w:r>
      <w:r>
        <w:rPr>
          <w:color w:val="231F1F"/>
          <w:w w:val="105"/>
        </w:rPr>
        <w:t> e</w:t>
      </w:r>
      <w:r>
        <w:rPr>
          <w:color w:val="231F1F"/>
          <w:w w:val="105"/>
        </w:rPr>
        <w:t> incontinencia</w:t>
      </w:r>
      <w:r>
        <w:rPr>
          <w:color w:val="231F1F"/>
          <w:w w:val="105"/>
        </w:rPr>
        <w:t> urinaria</w:t>
      </w:r>
      <w:r>
        <w:rPr>
          <w:color w:val="231F1F"/>
          <w:w w:val="105"/>
        </w:rPr>
        <w:t> a</w:t>
      </w:r>
      <w:r>
        <w:rPr>
          <w:color w:val="231F1F"/>
          <w:w w:val="105"/>
        </w:rPr>
        <w:t> largo plazo,</w:t>
      </w:r>
      <w:r>
        <w:rPr>
          <w:color w:val="231F1F"/>
          <w:spacing w:val="40"/>
          <w:w w:val="105"/>
        </w:rPr>
        <w:t> </w:t>
      </w:r>
      <w:r>
        <w:rPr>
          <w:color w:val="231F1F"/>
          <w:w w:val="105"/>
        </w:rPr>
        <w:t>que</w:t>
      </w:r>
      <w:r>
        <w:rPr>
          <w:color w:val="231F1F"/>
          <w:spacing w:val="40"/>
          <w:w w:val="105"/>
        </w:rPr>
        <w:t> </w:t>
      </w:r>
      <w:r>
        <w:rPr>
          <w:color w:val="231F1F"/>
          <w:w w:val="105"/>
        </w:rPr>
        <w:t>no</w:t>
      </w:r>
      <w:r>
        <w:rPr>
          <w:color w:val="231F1F"/>
          <w:spacing w:val="40"/>
          <w:w w:val="105"/>
        </w:rPr>
        <w:t> </w:t>
      </w:r>
      <w:r>
        <w:rPr>
          <w:color w:val="231F1F"/>
          <w:w w:val="105"/>
        </w:rPr>
        <w:t>se</w:t>
      </w:r>
      <w:r>
        <w:rPr>
          <w:color w:val="231F1F"/>
          <w:spacing w:val="40"/>
          <w:w w:val="105"/>
        </w:rPr>
        <w:t> </w:t>
      </w:r>
      <w:r>
        <w:rPr>
          <w:color w:val="231F1F"/>
          <w:w w:val="105"/>
        </w:rPr>
        <w:t>habían</w:t>
      </w:r>
      <w:r>
        <w:rPr>
          <w:color w:val="231F1F"/>
          <w:spacing w:val="40"/>
          <w:w w:val="105"/>
        </w:rPr>
        <w:t> </w:t>
      </w:r>
      <w:r>
        <w:rPr>
          <w:color w:val="231F1F"/>
          <w:w w:val="105"/>
        </w:rPr>
        <w:t>estudiado</w:t>
      </w:r>
      <w:r>
        <w:rPr>
          <w:color w:val="231F1F"/>
          <w:spacing w:val="40"/>
          <w:w w:val="105"/>
        </w:rPr>
        <w:t> </w:t>
      </w:r>
      <w:r>
        <w:rPr>
          <w:color w:val="231F1F"/>
          <w:w w:val="105"/>
        </w:rPr>
        <w:t>previamente</w:t>
      </w:r>
      <w:r>
        <w:rPr>
          <w:color w:val="231F1F"/>
          <w:spacing w:val="40"/>
          <w:w w:val="105"/>
        </w:rPr>
        <w:t> </w:t>
      </w:r>
      <w:r>
        <w:rPr>
          <w:color w:val="231F1F"/>
          <w:w w:val="105"/>
        </w:rPr>
        <w:t>en</w:t>
      </w:r>
      <w:r>
        <w:rPr>
          <w:color w:val="231F1F"/>
          <w:spacing w:val="40"/>
          <w:w w:val="105"/>
        </w:rPr>
        <w:t> </w:t>
      </w:r>
      <w:r>
        <w:rPr>
          <w:color w:val="231F1F"/>
          <w:w w:val="105"/>
        </w:rPr>
        <w:t>los</w:t>
      </w:r>
      <w:r>
        <w:rPr>
          <w:color w:val="231F1F"/>
          <w:spacing w:val="40"/>
          <w:w w:val="105"/>
        </w:rPr>
        <w:t> </w:t>
      </w:r>
      <w:r>
        <w:rPr>
          <w:color w:val="231F1F"/>
          <w:w w:val="105"/>
        </w:rPr>
        <w:t>ECAs.</w:t>
      </w:r>
    </w:p>
    <w:p>
      <w:pPr>
        <w:pStyle w:val="BodyText"/>
        <w:tabs>
          <w:tab w:pos="7791" w:val="left" w:leader="none"/>
          <w:tab w:pos="7989" w:val="left" w:leader="none"/>
          <w:tab w:pos="8114" w:val="left" w:leader="none"/>
        </w:tabs>
        <w:spacing w:line="242" w:lineRule="auto" w:before="105"/>
        <w:ind w:left="283" w:right="312" w:firstLine="453"/>
        <w:rPr>
          <w:rFonts w:ascii="Arial MT" w:hAnsi="Arial MT"/>
          <w:position w:val="8"/>
          <w:sz w:val="18"/>
        </w:rPr>
      </w:pPr>
      <w:r>
        <w:rPr>
          <w:color w:val="231F1F"/>
        </w:rPr>
        <w:t>No se encontraron diferencias significativas en relación con el éxito en</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rPr>
        <w:t>la lactancia a las 6 semanas. Siendo significativa la retención urinaria a corto</w:t>
        <w:tab/>
        <w:tab/>
      </w:r>
      <w:r>
        <w:rPr>
          <w:rFonts w:ascii="Arial MT" w:hAnsi="Arial MT"/>
          <w:color w:val="231F1F"/>
          <w:spacing w:val="-4"/>
          <w:position w:val="4"/>
          <w:sz w:val="18"/>
        </w:rPr>
        <w:t>ECAs </w:t>
      </w:r>
      <w:r>
        <w:rPr>
          <w:color w:val="231F1F"/>
        </w:rPr>
        <w:t>plazo, que fue mayor con analgesia neuroaxial.</w:t>
        <w:tab/>
        <w:tab/>
        <w:tab/>
      </w:r>
      <w:r>
        <w:rPr>
          <w:rFonts w:ascii="Arial MT" w:hAnsi="Arial MT"/>
          <w:color w:val="231F1F"/>
          <w:spacing w:val="-6"/>
          <w:position w:val="8"/>
          <w:sz w:val="18"/>
        </w:rPr>
        <w:t>1+</w:t>
      </w:r>
    </w:p>
    <w:p>
      <w:pPr>
        <w:pStyle w:val="BodyText"/>
        <w:tabs>
          <w:tab w:pos="7791" w:val="left" w:leader="none"/>
          <w:tab w:pos="7989" w:val="left" w:leader="none"/>
          <w:tab w:pos="8114" w:val="left" w:leader="none"/>
        </w:tabs>
        <w:spacing w:line="242" w:lineRule="auto" w:before="99"/>
        <w:ind w:left="283" w:right="312" w:firstLine="453"/>
        <w:rPr>
          <w:rFonts w:ascii="Arial MT" w:hAnsi="Arial MT"/>
          <w:position w:val="8"/>
          <w:sz w:val="18"/>
        </w:rPr>
      </w:pPr>
      <w:r>
        <w:rPr>
          <w:color w:val="231F1F"/>
          <w:w w:val="110"/>
        </w:rPr>
        <w:t>En cuanto al grado de dolor, las mujeres del grupo con analgesia neu-</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roaxial, notificaron menor dolor en la 1ª etapa del parto: DMP −40mm [IC</w:t>
      </w:r>
      <w:r>
        <w:rPr>
          <w:color w:val="231F1F"/>
        </w:rPr>
        <w:tab/>
        <w:tab/>
      </w:r>
      <w:r>
        <w:rPr>
          <w:rFonts w:ascii="Arial MT" w:hAnsi="Arial MT"/>
          <w:color w:val="231F1F"/>
          <w:spacing w:val="-4"/>
          <w:w w:val="110"/>
          <w:position w:val="4"/>
          <w:sz w:val="18"/>
        </w:rPr>
        <w:t>ECAs </w:t>
      </w:r>
      <w:r>
        <w:rPr>
          <w:color w:val="231F1F"/>
          <w:w w:val="110"/>
        </w:rPr>
        <w:t>95% −42 a −38] p&lt;0,0001 y en la 2ªetapa: DMP −29 [IC 95% −38 a −21]</w:t>
      </w:r>
      <w:r>
        <w:rPr>
          <w:color w:val="231F1F"/>
        </w:rPr>
        <w:tab/>
        <w:tab/>
        <w:tab/>
      </w:r>
      <w:r>
        <w:rPr>
          <w:rFonts w:ascii="Arial MT" w:hAnsi="Arial MT"/>
          <w:color w:val="231F1F"/>
          <w:spacing w:val="-6"/>
          <w:w w:val="110"/>
          <w:position w:val="8"/>
          <w:sz w:val="18"/>
        </w:rPr>
        <w:t>1+</w:t>
      </w:r>
    </w:p>
    <w:p>
      <w:pPr>
        <w:pStyle w:val="BodyText"/>
        <w:spacing w:line="244" w:lineRule="auto" w:before="26"/>
        <w:ind w:left="283" w:right="1489"/>
      </w:pPr>
      <w:r>
        <w:rPr>
          <w:color w:val="231F1F"/>
        </w:rPr>
        <w:t>p&lt;0,0001.</w:t>
      </w:r>
      <w:r>
        <w:rPr>
          <w:color w:val="231F1F"/>
          <w:spacing w:val="-6"/>
        </w:rPr>
        <w:t> </w:t>
      </w:r>
      <w:r>
        <w:rPr>
          <w:color w:val="231F1F"/>
        </w:rPr>
        <w:t>La</w:t>
      </w:r>
      <w:r>
        <w:rPr>
          <w:color w:val="231F1F"/>
          <w:spacing w:val="-6"/>
        </w:rPr>
        <w:t> </w:t>
      </w:r>
      <w:r>
        <w:rPr>
          <w:color w:val="231F1F"/>
        </w:rPr>
        <w:t>satisfacción</w:t>
      </w:r>
      <w:r>
        <w:rPr>
          <w:color w:val="231F1F"/>
          <w:spacing w:val="-5"/>
        </w:rPr>
        <w:t> </w:t>
      </w:r>
      <w:r>
        <w:rPr>
          <w:color w:val="231F1F"/>
        </w:rPr>
        <w:t>materna</w:t>
      </w:r>
      <w:r>
        <w:rPr>
          <w:color w:val="231F1F"/>
          <w:spacing w:val="-6"/>
        </w:rPr>
        <w:t> </w:t>
      </w:r>
      <w:r>
        <w:rPr>
          <w:color w:val="231F1F"/>
        </w:rPr>
        <w:t>con</w:t>
      </w:r>
      <w:r>
        <w:rPr>
          <w:color w:val="231F1F"/>
          <w:spacing w:val="-6"/>
        </w:rPr>
        <w:t> </w:t>
      </w:r>
      <w:r>
        <w:rPr>
          <w:color w:val="231F1F"/>
        </w:rPr>
        <w:t>el</w:t>
      </w:r>
      <w:r>
        <w:rPr>
          <w:color w:val="231F1F"/>
          <w:spacing w:val="-6"/>
        </w:rPr>
        <w:t> </w:t>
      </w:r>
      <w:r>
        <w:rPr>
          <w:color w:val="231F1F"/>
        </w:rPr>
        <w:t>alivio</w:t>
      </w:r>
      <w:r>
        <w:rPr>
          <w:color w:val="231F1F"/>
          <w:spacing w:val="-6"/>
        </w:rPr>
        <w:t> </w:t>
      </w:r>
      <w:r>
        <w:rPr>
          <w:color w:val="231F1F"/>
        </w:rPr>
        <w:t>del</w:t>
      </w:r>
      <w:r>
        <w:rPr>
          <w:color w:val="231F1F"/>
          <w:spacing w:val="-6"/>
        </w:rPr>
        <w:t> </w:t>
      </w:r>
      <w:r>
        <w:rPr>
          <w:color w:val="231F1F"/>
        </w:rPr>
        <w:t>dolor</w:t>
      </w:r>
      <w:r>
        <w:rPr>
          <w:color w:val="231F1F"/>
          <w:spacing w:val="-6"/>
        </w:rPr>
        <w:t> </w:t>
      </w:r>
      <w:r>
        <w:rPr>
          <w:color w:val="231F1F"/>
        </w:rPr>
        <w:t>fue</w:t>
      </w:r>
      <w:r>
        <w:rPr>
          <w:color w:val="231F1F"/>
          <w:spacing w:val="-6"/>
        </w:rPr>
        <w:t> </w:t>
      </w:r>
      <w:r>
        <w:rPr>
          <w:color w:val="231F1F"/>
        </w:rPr>
        <w:t>mayor</w:t>
      </w:r>
      <w:r>
        <w:rPr>
          <w:color w:val="231F1F"/>
          <w:spacing w:val="-6"/>
        </w:rPr>
        <w:t> </w:t>
      </w:r>
      <w:r>
        <w:rPr>
          <w:color w:val="231F1F"/>
        </w:rPr>
        <w:t>en</w:t>
      </w:r>
      <w:r>
        <w:rPr>
          <w:color w:val="231F1F"/>
          <w:spacing w:val="-6"/>
        </w:rPr>
        <w:t> </w:t>
      </w:r>
      <w:r>
        <w:rPr>
          <w:color w:val="231F1F"/>
        </w:rPr>
        <w:t>el</w:t>
      </w:r>
      <w:r>
        <w:rPr>
          <w:color w:val="231F1F"/>
          <w:spacing w:val="-6"/>
        </w:rPr>
        <w:t> </w:t>
      </w:r>
      <w:r>
        <w:rPr>
          <w:color w:val="231F1F"/>
        </w:rPr>
        <w:t>grupo con</w:t>
      </w:r>
      <w:r>
        <w:rPr>
          <w:color w:val="231F1F"/>
          <w:spacing w:val="40"/>
        </w:rPr>
        <w:t> </w:t>
      </w:r>
      <w:r>
        <w:rPr>
          <w:color w:val="231F1F"/>
        </w:rPr>
        <w:t>neuroaxial:</w:t>
      </w:r>
      <w:r>
        <w:rPr>
          <w:color w:val="231F1F"/>
          <w:spacing w:val="40"/>
        </w:rPr>
        <w:t> </w:t>
      </w:r>
      <w:r>
        <w:rPr>
          <w:color w:val="231F1F"/>
        </w:rPr>
        <w:t>OR</w:t>
      </w:r>
      <w:r>
        <w:rPr>
          <w:color w:val="231F1F"/>
          <w:spacing w:val="40"/>
        </w:rPr>
        <w:t> </w:t>
      </w:r>
      <w:r>
        <w:rPr>
          <w:color w:val="231F1F"/>
        </w:rPr>
        <w:t>0,27</w:t>
      </w:r>
      <w:r>
        <w:rPr>
          <w:color w:val="231F1F"/>
          <w:spacing w:val="40"/>
        </w:rPr>
        <w:t> </w:t>
      </w:r>
      <w:r>
        <w:rPr>
          <w:color w:val="231F1F"/>
        </w:rPr>
        <w:t>[IC</w:t>
      </w:r>
      <w:r>
        <w:rPr>
          <w:color w:val="231F1F"/>
          <w:spacing w:val="40"/>
        </w:rPr>
        <w:t> </w:t>
      </w:r>
      <w:r>
        <w:rPr>
          <w:color w:val="231F1F"/>
        </w:rPr>
        <w:t>95%</w:t>
      </w:r>
      <w:r>
        <w:rPr>
          <w:color w:val="231F1F"/>
          <w:spacing w:val="40"/>
        </w:rPr>
        <w:t> </w:t>
      </w:r>
      <w:r>
        <w:rPr>
          <w:color w:val="231F1F"/>
        </w:rPr>
        <w:t>0,19</w:t>
      </w:r>
      <w:r>
        <w:rPr>
          <w:color w:val="231F1F"/>
          <w:spacing w:val="40"/>
        </w:rPr>
        <w:t> </w:t>
      </w:r>
      <w:r>
        <w:rPr>
          <w:color w:val="231F1F"/>
        </w:rPr>
        <w:t>a</w:t>
      </w:r>
      <w:r>
        <w:rPr>
          <w:color w:val="231F1F"/>
          <w:spacing w:val="40"/>
        </w:rPr>
        <w:t> </w:t>
      </w:r>
      <w:r>
        <w:rPr>
          <w:color w:val="231F1F"/>
        </w:rPr>
        <w:t>0,38],</w:t>
      </w:r>
      <w:r>
        <w:rPr>
          <w:color w:val="231F1F"/>
          <w:spacing w:val="40"/>
        </w:rPr>
        <w:t> </w:t>
      </w:r>
      <w:r>
        <w:rPr>
          <w:color w:val="231F1F"/>
        </w:rPr>
        <w:t>p&lt;0,001.</w:t>
      </w:r>
    </w:p>
    <w:p>
      <w:pPr>
        <w:pStyle w:val="BodyText"/>
        <w:tabs>
          <w:tab w:pos="7791" w:val="left" w:leader="none"/>
          <w:tab w:pos="7989" w:val="left" w:leader="none"/>
          <w:tab w:pos="8114" w:val="left" w:leader="none"/>
        </w:tabs>
        <w:spacing w:line="249" w:lineRule="auto" w:before="113"/>
        <w:ind w:left="283" w:right="312" w:firstLine="453"/>
      </w:pPr>
      <w:r>
        <w:rPr>
          <w:color w:val="231F1F"/>
        </w:rPr>
        <w:t>También fueron mayores en el grupo neuroaxial la duración de la 2ª etapa</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del parto: 15 min [IC 95% 9 a 22]; p&lt;0,05, el uso oxitocina: OR=2,80 [IC 95%</w:t>
      </w:r>
      <w:r>
        <w:rPr>
          <w:color w:val="231F1F"/>
        </w:rPr>
        <w:tab/>
        <w:tab/>
      </w:r>
      <w:r>
        <w:rPr>
          <w:rFonts w:ascii="Arial MT" w:hAnsi="Arial MT"/>
          <w:color w:val="231F1F"/>
          <w:spacing w:val="-4"/>
          <w:w w:val="105"/>
          <w:position w:val="4"/>
          <w:sz w:val="18"/>
        </w:rPr>
        <w:t>ECAs </w:t>
      </w:r>
      <w:r>
        <w:rPr>
          <w:color w:val="231F1F"/>
          <w:w w:val="105"/>
        </w:rPr>
        <w:t>1,89 a 4,16]; p&lt;0,05, el parto instrumental: OR=2,08 [IC 95% 1,48 a 2,93];</w:t>
      </w:r>
      <w:r>
        <w:rPr>
          <w:color w:val="231F1F"/>
        </w:rPr>
        <w:tab/>
        <w:tab/>
        <w:tab/>
      </w:r>
      <w:r>
        <w:rPr>
          <w:rFonts w:ascii="Arial MT" w:hAnsi="Arial MT"/>
          <w:color w:val="231F1F"/>
          <w:spacing w:val="-6"/>
          <w:w w:val="105"/>
          <w:position w:val="8"/>
          <w:sz w:val="18"/>
        </w:rPr>
        <w:t>1+ </w:t>
      </w:r>
      <w:r>
        <w:rPr>
          <w:color w:val="231F1F"/>
          <w:w w:val="105"/>
        </w:rPr>
        <w:t>p&lt;0,05, la fiebre materna &gt;38º: OR=5,6 [IC 95% 4,0 a 7,8]; p&lt;0,001 y la hipo-</w:t>
      </w:r>
    </w:p>
    <w:p>
      <w:pPr>
        <w:pStyle w:val="BodyText"/>
        <w:spacing w:line="248" w:lineRule="exact"/>
        <w:ind w:left="283"/>
      </w:pPr>
      <w:r>
        <w:rPr>
          <w:color w:val="231F1F"/>
          <w:w w:val="105"/>
        </w:rPr>
        <w:t>tensión:</w:t>
      </w:r>
      <w:r>
        <w:rPr>
          <w:color w:val="231F1F"/>
          <w:spacing w:val="-5"/>
          <w:w w:val="105"/>
        </w:rPr>
        <w:t> </w:t>
      </w:r>
      <w:r>
        <w:rPr>
          <w:color w:val="231F1F"/>
          <w:w w:val="105"/>
        </w:rPr>
        <w:t>74,2</w:t>
      </w:r>
      <w:r>
        <w:rPr>
          <w:color w:val="231F1F"/>
          <w:spacing w:val="-4"/>
          <w:w w:val="105"/>
        </w:rPr>
        <w:t> </w:t>
      </w:r>
      <w:r>
        <w:rPr>
          <w:color w:val="231F1F"/>
          <w:w w:val="105"/>
        </w:rPr>
        <w:t>(4,0</w:t>
      </w:r>
      <w:r>
        <w:rPr>
          <w:color w:val="231F1F"/>
          <w:spacing w:val="-4"/>
          <w:w w:val="105"/>
        </w:rPr>
        <w:t> </w:t>
      </w:r>
      <w:r>
        <w:rPr>
          <w:color w:val="231F1F"/>
          <w:w w:val="105"/>
        </w:rPr>
        <w:t>a</w:t>
      </w:r>
      <w:r>
        <w:rPr>
          <w:color w:val="231F1F"/>
          <w:spacing w:val="-4"/>
          <w:w w:val="105"/>
        </w:rPr>
        <w:t> </w:t>
      </w:r>
      <w:r>
        <w:rPr>
          <w:color w:val="231F1F"/>
          <w:w w:val="105"/>
        </w:rPr>
        <w:t>137,5);</w:t>
      </w:r>
      <w:r>
        <w:rPr>
          <w:color w:val="231F1F"/>
          <w:spacing w:val="-4"/>
          <w:w w:val="105"/>
        </w:rPr>
        <w:t> </w:t>
      </w:r>
      <w:r>
        <w:rPr>
          <w:color w:val="231F1F"/>
          <w:spacing w:val="-2"/>
          <w:w w:val="105"/>
        </w:rPr>
        <w:t>p&lt;0,001.</w:t>
      </w:r>
    </w:p>
    <w:p>
      <w:pPr>
        <w:pStyle w:val="BodyText"/>
        <w:spacing w:after="0" w:line="248" w:lineRule="exact"/>
        <w:sectPr>
          <w:pgSz w:w="11900" w:h="16840"/>
          <w:pgMar w:header="0" w:footer="622" w:top="1580" w:bottom="820" w:left="1417" w:right="1559"/>
        </w:sectPr>
      </w:pPr>
    </w:p>
    <w:p>
      <w:pPr>
        <w:pStyle w:val="BodyText"/>
        <w:spacing w:line="249" w:lineRule="auto" w:before="73"/>
        <w:ind w:left="283" w:firstLine="453"/>
        <w:jc w:val="both"/>
      </w:pPr>
      <w:r>
        <w:rPr>
          <w:color w:val="231F1F"/>
          <w:w w:val="105"/>
        </w:rPr>
        <w:t>Otra RS de 2002 (312), se llevó a cabo para evaluar el efecto de la </w:t>
      </w:r>
      <w:r>
        <w:rPr>
          <w:i/>
          <w:color w:val="231F1F"/>
          <w:w w:val="105"/>
        </w:rPr>
        <w:t>anal- gesia</w:t>
      </w:r>
      <w:r>
        <w:rPr>
          <w:i/>
          <w:color w:val="231F1F"/>
          <w:w w:val="105"/>
        </w:rPr>
        <w:t> neuroaxial</w:t>
      </w:r>
      <w:r>
        <w:rPr>
          <w:i/>
          <w:color w:val="231F1F"/>
          <w:w w:val="105"/>
        </w:rPr>
        <w:t> comparada</w:t>
      </w:r>
      <w:r>
        <w:rPr>
          <w:i/>
          <w:color w:val="231F1F"/>
          <w:w w:val="105"/>
        </w:rPr>
        <w:t> con</w:t>
      </w:r>
      <w:r>
        <w:rPr>
          <w:i/>
          <w:color w:val="231F1F"/>
          <w:w w:val="105"/>
        </w:rPr>
        <w:t> opioides</w:t>
      </w:r>
      <w:r>
        <w:rPr>
          <w:i/>
          <w:color w:val="231F1F"/>
          <w:w w:val="105"/>
        </w:rPr>
        <w:t> </w:t>
      </w:r>
      <w:r>
        <w:rPr>
          <w:color w:val="231F1F"/>
          <w:w w:val="105"/>
        </w:rPr>
        <w:t>durante</w:t>
      </w:r>
      <w:r>
        <w:rPr>
          <w:color w:val="231F1F"/>
          <w:w w:val="105"/>
        </w:rPr>
        <w:t> el</w:t>
      </w:r>
      <w:r>
        <w:rPr>
          <w:color w:val="231F1F"/>
          <w:w w:val="105"/>
        </w:rPr>
        <w:t> parto</w:t>
      </w:r>
      <w:r>
        <w:rPr>
          <w:color w:val="231F1F"/>
          <w:w w:val="105"/>
        </w:rPr>
        <w:t> sobre</w:t>
      </w:r>
      <w:r>
        <w:rPr>
          <w:color w:val="231F1F"/>
          <w:w w:val="105"/>
        </w:rPr>
        <w:t> el</w:t>
      </w:r>
      <w:r>
        <w:rPr>
          <w:color w:val="231F1F"/>
          <w:w w:val="105"/>
        </w:rPr>
        <w:t> estatus ácido-base</w:t>
      </w:r>
      <w:r>
        <w:rPr>
          <w:color w:val="231F1F"/>
          <w:w w:val="105"/>
        </w:rPr>
        <w:t> del</w:t>
      </w:r>
      <w:r>
        <w:rPr>
          <w:color w:val="231F1F"/>
          <w:w w:val="105"/>
        </w:rPr>
        <w:t> RN.</w:t>
      </w:r>
      <w:r>
        <w:rPr>
          <w:color w:val="231F1F"/>
          <w:w w:val="105"/>
        </w:rPr>
        <w:t> Los</w:t>
      </w:r>
      <w:r>
        <w:rPr>
          <w:color w:val="231F1F"/>
          <w:w w:val="105"/>
        </w:rPr>
        <w:t> resultados</w:t>
      </w:r>
      <w:r>
        <w:rPr>
          <w:color w:val="231F1F"/>
          <w:w w:val="105"/>
        </w:rPr>
        <w:t> proporcionados</w:t>
      </w:r>
      <w:r>
        <w:rPr>
          <w:color w:val="231F1F"/>
          <w:w w:val="105"/>
        </w:rPr>
        <w:t> por</w:t>
      </w:r>
      <w:r>
        <w:rPr>
          <w:color w:val="231F1F"/>
          <w:w w:val="105"/>
        </w:rPr>
        <w:t> seis</w:t>
      </w:r>
      <w:r>
        <w:rPr>
          <w:color w:val="231F1F"/>
          <w:w w:val="105"/>
        </w:rPr>
        <w:t> ECAs,</w:t>
      </w:r>
      <w:r>
        <w:rPr>
          <w:color w:val="231F1F"/>
          <w:w w:val="105"/>
        </w:rPr>
        <w:t> incluidos también</w:t>
      </w:r>
      <w:r>
        <w:rPr>
          <w:color w:val="231F1F"/>
          <w:w w:val="105"/>
        </w:rPr>
        <w:t> en</w:t>
      </w:r>
      <w:r>
        <w:rPr>
          <w:color w:val="231F1F"/>
          <w:w w:val="105"/>
        </w:rPr>
        <w:t> la</w:t>
      </w:r>
      <w:r>
        <w:rPr>
          <w:color w:val="231F1F"/>
          <w:w w:val="105"/>
        </w:rPr>
        <w:t> revisión</w:t>
      </w:r>
      <w:r>
        <w:rPr>
          <w:color w:val="231F1F"/>
          <w:w w:val="105"/>
        </w:rPr>
        <w:t> Cochrane</w:t>
      </w:r>
      <w:r>
        <w:rPr>
          <w:color w:val="231F1F"/>
          <w:w w:val="105"/>
        </w:rPr>
        <w:t> mencionada</w:t>
      </w:r>
      <w:r>
        <w:rPr>
          <w:color w:val="231F1F"/>
          <w:w w:val="105"/>
        </w:rPr>
        <w:t> anteriormente</w:t>
      </w:r>
      <w:r>
        <w:rPr>
          <w:color w:val="231F1F"/>
          <w:w w:val="105"/>
        </w:rPr>
        <w:t> (310),</w:t>
      </w:r>
      <w:r>
        <w:rPr>
          <w:color w:val="231F1F"/>
          <w:w w:val="105"/>
        </w:rPr>
        <w:t> hallaron que</w:t>
      </w:r>
      <w:r>
        <w:rPr>
          <w:color w:val="231F1F"/>
          <w:w w:val="105"/>
        </w:rPr>
        <w:t> el</w:t>
      </w:r>
      <w:r>
        <w:rPr>
          <w:color w:val="231F1F"/>
          <w:w w:val="105"/>
        </w:rPr>
        <w:t> pH</w:t>
      </w:r>
      <w:r>
        <w:rPr>
          <w:color w:val="231F1F"/>
          <w:w w:val="105"/>
        </w:rPr>
        <w:t> umbilical</w:t>
      </w:r>
      <w:r>
        <w:rPr>
          <w:color w:val="231F1F"/>
          <w:w w:val="105"/>
        </w:rPr>
        <w:t> era</w:t>
      </w:r>
      <w:r>
        <w:rPr>
          <w:color w:val="231F1F"/>
          <w:w w:val="105"/>
        </w:rPr>
        <w:t> mejor</w:t>
      </w:r>
      <w:r>
        <w:rPr>
          <w:color w:val="231F1F"/>
          <w:w w:val="105"/>
        </w:rPr>
        <w:t> en</w:t>
      </w:r>
      <w:r>
        <w:rPr>
          <w:color w:val="231F1F"/>
          <w:w w:val="105"/>
        </w:rPr>
        <w:t> el</w:t>
      </w:r>
      <w:r>
        <w:rPr>
          <w:color w:val="231F1F"/>
          <w:w w:val="105"/>
        </w:rPr>
        <w:t> grupo</w:t>
      </w:r>
      <w:r>
        <w:rPr>
          <w:color w:val="231F1F"/>
          <w:w w:val="105"/>
        </w:rPr>
        <w:t> neuroaxial:</w:t>
      </w:r>
      <w:r>
        <w:rPr>
          <w:color w:val="231F1F"/>
          <w:w w:val="105"/>
        </w:rPr>
        <w:t> DMP</w:t>
      </w:r>
      <w:r>
        <w:rPr>
          <w:color w:val="231F1F"/>
          <w:w w:val="105"/>
        </w:rPr>
        <w:t> 0,009</w:t>
      </w:r>
      <w:r>
        <w:rPr>
          <w:color w:val="231F1F"/>
          <w:w w:val="105"/>
        </w:rPr>
        <w:t> [IC</w:t>
      </w:r>
      <w:r>
        <w:rPr>
          <w:color w:val="231F1F"/>
          <w:w w:val="105"/>
        </w:rPr>
        <w:t> 95% </w:t>
      </w:r>
      <w:r>
        <w:rPr>
          <w:color w:val="231F1F"/>
        </w:rPr>
        <w:t>0,002 a 0,015]; p&lt;0,007, así como el exceso de bases DMP 0,779 mEq/l [IC 95% </w:t>
      </w:r>
      <w:r>
        <w:rPr>
          <w:color w:val="231F1F"/>
          <w:w w:val="105"/>
        </w:rPr>
        <w:t>0,056</w:t>
      </w:r>
      <w:r>
        <w:rPr>
          <w:color w:val="231F1F"/>
          <w:spacing w:val="-13"/>
          <w:w w:val="105"/>
        </w:rPr>
        <w:t> </w:t>
      </w:r>
      <w:r>
        <w:rPr>
          <w:color w:val="231F1F"/>
          <w:w w:val="105"/>
        </w:rPr>
        <w:t>a</w:t>
      </w:r>
      <w:r>
        <w:rPr>
          <w:color w:val="231F1F"/>
          <w:spacing w:val="-13"/>
          <w:w w:val="105"/>
        </w:rPr>
        <w:t> </w:t>
      </w:r>
      <w:r>
        <w:rPr>
          <w:color w:val="231F1F"/>
          <w:w w:val="105"/>
        </w:rPr>
        <w:t>1,502</w:t>
      </w:r>
      <w:r>
        <w:rPr>
          <w:color w:val="231F1F"/>
          <w:spacing w:val="-13"/>
          <w:w w:val="105"/>
        </w:rPr>
        <w:t> </w:t>
      </w:r>
      <w:r>
        <w:rPr>
          <w:color w:val="231F1F"/>
          <w:w w:val="105"/>
        </w:rPr>
        <w:t>mEq/l];</w:t>
      </w:r>
      <w:r>
        <w:rPr>
          <w:color w:val="231F1F"/>
          <w:spacing w:val="-13"/>
          <w:w w:val="105"/>
        </w:rPr>
        <w:t> </w:t>
      </w:r>
      <w:r>
        <w:rPr>
          <w:color w:val="231F1F"/>
          <w:w w:val="105"/>
        </w:rPr>
        <w:t>p&lt;0,035.</w:t>
      </w:r>
      <w:r>
        <w:rPr>
          <w:color w:val="231F1F"/>
          <w:spacing w:val="-13"/>
          <w:w w:val="105"/>
        </w:rPr>
        <w:t> </w:t>
      </w:r>
      <w:r>
        <w:rPr>
          <w:color w:val="231F1F"/>
          <w:w w:val="105"/>
        </w:rPr>
        <w:t>El</w:t>
      </w:r>
      <w:r>
        <w:rPr>
          <w:color w:val="231F1F"/>
          <w:spacing w:val="-13"/>
          <w:w w:val="105"/>
        </w:rPr>
        <w:t> </w:t>
      </w:r>
      <w:r>
        <w:rPr>
          <w:color w:val="231F1F"/>
          <w:w w:val="105"/>
        </w:rPr>
        <w:t>estudio</w:t>
      </w:r>
      <w:r>
        <w:rPr>
          <w:color w:val="231F1F"/>
          <w:spacing w:val="-12"/>
          <w:w w:val="105"/>
        </w:rPr>
        <w:t> </w:t>
      </w:r>
      <w:r>
        <w:rPr>
          <w:color w:val="231F1F"/>
          <w:w w:val="105"/>
        </w:rPr>
        <w:t>concluyó</w:t>
      </w:r>
      <w:r>
        <w:rPr>
          <w:color w:val="231F1F"/>
          <w:spacing w:val="-12"/>
          <w:w w:val="105"/>
        </w:rPr>
        <w:t> </w:t>
      </w:r>
      <w:r>
        <w:rPr>
          <w:color w:val="231F1F"/>
          <w:w w:val="105"/>
        </w:rPr>
        <w:t>que</w:t>
      </w:r>
      <w:r>
        <w:rPr>
          <w:color w:val="231F1F"/>
          <w:spacing w:val="-13"/>
          <w:w w:val="105"/>
        </w:rPr>
        <w:t> </w:t>
      </w:r>
      <w:r>
        <w:rPr>
          <w:color w:val="231F1F"/>
          <w:w w:val="105"/>
        </w:rPr>
        <w:t>la</w:t>
      </w:r>
      <w:r>
        <w:rPr>
          <w:color w:val="231F1F"/>
          <w:spacing w:val="-13"/>
          <w:w w:val="105"/>
        </w:rPr>
        <w:t> </w:t>
      </w:r>
      <w:r>
        <w:rPr>
          <w:color w:val="231F1F"/>
          <w:w w:val="105"/>
        </w:rPr>
        <w:t>analgesia</w:t>
      </w:r>
      <w:r>
        <w:rPr>
          <w:color w:val="231F1F"/>
          <w:spacing w:val="-13"/>
          <w:w w:val="105"/>
        </w:rPr>
        <w:t> </w:t>
      </w:r>
      <w:r>
        <w:rPr>
          <w:color w:val="231F1F"/>
          <w:w w:val="105"/>
        </w:rPr>
        <w:t>neuroaxial está asociada a un mejor estatus ácido-base neonatal comparado con opioides, sugiriendo</w:t>
      </w:r>
      <w:r>
        <w:rPr>
          <w:color w:val="231F1F"/>
          <w:w w:val="105"/>
        </w:rPr>
        <w:t> que</w:t>
      </w:r>
      <w:r>
        <w:rPr>
          <w:color w:val="231F1F"/>
          <w:w w:val="105"/>
        </w:rPr>
        <w:t> el</w:t>
      </w:r>
      <w:r>
        <w:rPr>
          <w:color w:val="231F1F"/>
          <w:w w:val="105"/>
        </w:rPr>
        <w:t> intercambio</w:t>
      </w:r>
      <w:r>
        <w:rPr>
          <w:color w:val="231F1F"/>
          <w:w w:val="105"/>
        </w:rPr>
        <w:t> placentario</w:t>
      </w:r>
      <w:r>
        <w:rPr>
          <w:color w:val="231F1F"/>
          <w:w w:val="105"/>
        </w:rPr>
        <w:t> se</w:t>
      </w:r>
      <w:r>
        <w:rPr>
          <w:color w:val="231F1F"/>
          <w:w w:val="105"/>
        </w:rPr>
        <w:t> mantiene</w:t>
      </w:r>
      <w:r>
        <w:rPr>
          <w:color w:val="231F1F"/>
          <w:w w:val="105"/>
        </w:rPr>
        <w:t> adecuadamente</w:t>
      </w:r>
      <w:r>
        <w:rPr>
          <w:color w:val="231F1F"/>
          <w:w w:val="105"/>
        </w:rPr>
        <w:t> du- rante la analgesia neuroaxial.</w:t>
      </w:r>
    </w:p>
    <w:p>
      <w:pPr>
        <w:pStyle w:val="BodyText"/>
        <w:spacing w:line="249" w:lineRule="auto" w:before="62"/>
        <w:ind w:left="283" w:firstLine="453"/>
        <w:jc w:val="both"/>
      </w:pPr>
      <w:r>
        <w:rPr>
          <w:color w:val="231F1F"/>
          <w:w w:val="105"/>
        </w:rPr>
        <w:t>Un ECA hospitalario (313) llevado a cabo en EEUU, que incluyó a 715 mujeres, comparaba la </w:t>
      </w:r>
      <w:r>
        <w:rPr>
          <w:i/>
          <w:color w:val="231F1F"/>
          <w:w w:val="105"/>
        </w:rPr>
        <w:t>analgesia epidural frente a PCA petidina </w:t>
      </w:r>
      <w:r>
        <w:rPr>
          <w:color w:val="231F1F"/>
          <w:w w:val="105"/>
        </w:rPr>
        <w:t>y estudió su efecto sobre la fiebre materna &gt;38ºC mediante un análisis secundario de datos obtenidos en dicho ensayo.</w:t>
      </w:r>
    </w:p>
    <w:p>
      <w:pPr>
        <w:pStyle w:val="BodyText"/>
        <w:spacing w:line="244" w:lineRule="auto" w:before="99"/>
        <w:ind w:left="283" w:right="2" w:firstLine="453"/>
        <w:jc w:val="both"/>
      </w:pPr>
      <w:r>
        <w:rPr>
          <w:color w:val="231F1F"/>
          <w:w w:val="110"/>
        </w:rPr>
        <w:t>El</w:t>
      </w:r>
      <w:r>
        <w:rPr>
          <w:color w:val="231F1F"/>
          <w:spacing w:val="-16"/>
          <w:w w:val="110"/>
        </w:rPr>
        <w:t> </w:t>
      </w:r>
      <w:r>
        <w:rPr>
          <w:color w:val="231F1F"/>
          <w:w w:val="110"/>
        </w:rPr>
        <w:t>32%</w:t>
      </w:r>
      <w:r>
        <w:rPr>
          <w:color w:val="231F1F"/>
          <w:spacing w:val="-15"/>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del</w:t>
      </w:r>
      <w:r>
        <w:rPr>
          <w:color w:val="231F1F"/>
          <w:spacing w:val="-15"/>
          <w:w w:val="110"/>
        </w:rPr>
        <w:t> </w:t>
      </w:r>
      <w:r>
        <w:rPr>
          <w:color w:val="231F1F"/>
          <w:w w:val="110"/>
        </w:rPr>
        <w:t>grupo</w:t>
      </w:r>
      <w:r>
        <w:rPr>
          <w:color w:val="231F1F"/>
          <w:spacing w:val="-15"/>
          <w:w w:val="110"/>
        </w:rPr>
        <w:t> </w:t>
      </w:r>
      <w:r>
        <w:rPr>
          <w:color w:val="231F1F"/>
          <w:w w:val="110"/>
        </w:rPr>
        <w:t>epidural</w:t>
      </w:r>
      <w:r>
        <w:rPr>
          <w:color w:val="231F1F"/>
          <w:spacing w:val="-15"/>
          <w:w w:val="110"/>
        </w:rPr>
        <w:t> </w:t>
      </w:r>
      <w:r>
        <w:rPr>
          <w:color w:val="231F1F"/>
          <w:w w:val="110"/>
        </w:rPr>
        <w:t>y</w:t>
      </w:r>
      <w:r>
        <w:rPr>
          <w:color w:val="231F1F"/>
          <w:spacing w:val="-16"/>
          <w:w w:val="110"/>
        </w:rPr>
        <w:t> </w:t>
      </w:r>
      <w:r>
        <w:rPr>
          <w:color w:val="231F1F"/>
          <w:w w:val="110"/>
        </w:rPr>
        <w:t>el</w:t>
      </w:r>
      <w:r>
        <w:rPr>
          <w:color w:val="231F1F"/>
          <w:spacing w:val="-15"/>
          <w:w w:val="110"/>
        </w:rPr>
        <w:t> </w:t>
      </w:r>
      <w:r>
        <w:rPr>
          <w:color w:val="231F1F"/>
          <w:w w:val="110"/>
        </w:rPr>
        <w:t>28%</w:t>
      </w:r>
      <w:r>
        <w:rPr>
          <w:color w:val="231F1F"/>
          <w:spacing w:val="-15"/>
          <w:w w:val="110"/>
        </w:rPr>
        <w:t> </w:t>
      </w:r>
      <w:r>
        <w:rPr>
          <w:color w:val="231F1F"/>
          <w:w w:val="110"/>
        </w:rPr>
        <w:t>del</w:t>
      </w:r>
      <w:r>
        <w:rPr>
          <w:color w:val="231F1F"/>
          <w:spacing w:val="-15"/>
          <w:w w:val="110"/>
        </w:rPr>
        <w:t> </w:t>
      </w:r>
      <w:r>
        <w:rPr>
          <w:color w:val="231F1F"/>
          <w:w w:val="110"/>
        </w:rPr>
        <w:t>grupo</w:t>
      </w:r>
      <w:r>
        <w:rPr>
          <w:color w:val="231F1F"/>
          <w:spacing w:val="-15"/>
          <w:w w:val="110"/>
        </w:rPr>
        <w:t> </w:t>
      </w:r>
      <w:r>
        <w:rPr>
          <w:color w:val="231F1F"/>
          <w:w w:val="110"/>
        </w:rPr>
        <w:t>control,</w:t>
      </w:r>
      <w:r>
        <w:rPr>
          <w:color w:val="231F1F"/>
          <w:spacing w:val="-15"/>
          <w:w w:val="110"/>
        </w:rPr>
        <w:t> </w:t>
      </w:r>
      <w:r>
        <w:rPr>
          <w:color w:val="231F1F"/>
          <w:w w:val="110"/>
        </w:rPr>
        <w:t>no llegaron</w:t>
      </w:r>
      <w:r>
        <w:rPr>
          <w:color w:val="231F1F"/>
          <w:spacing w:val="-1"/>
          <w:w w:val="110"/>
        </w:rPr>
        <w:t> </w:t>
      </w:r>
      <w:r>
        <w:rPr>
          <w:color w:val="231F1F"/>
          <w:w w:val="110"/>
        </w:rPr>
        <w:t>a</w:t>
      </w:r>
      <w:r>
        <w:rPr>
          <w:color w:val="231F1F"/>
          <w:spacing w:val="-1"/>
          <w:w w:val="110"/>
        </w:rPr>
        <w:t> </w:t>
      </w:r>
      <w:r>
        <w:rPr>
          <w:color w:val="231F1F"/>
          <w:w w:val="110"/>
        </w:rPr>
        <w:t>recibir</w:t>
      </w:r>
      <w:r>
        <w:rPr>
          <w:color w:val="231F1F"/>
          <w:spacing w:val="-1"/>
          <w:w w:val="110"/>
        </w:rPr>
        <w:t> </w:t>
      </w:r>
      <w:r>
        <w:rPr>
          <w:color w:val="231F1F"/>
          <w:w w:val="110"/>
        </w:rPr>
        <w:t>el</w:t>
      </w:r>
      <w:r>
        <w:rPr>
          <w:color w:val="231F1F"/>
          <w:spacing w:val="-1"/>
          <w:w w:val="110"/>
        </w:rPr>
        <w:t> </w:t>
      </w:r>
      <w:r>
        <w:rPr>
          <w:color w:val="231F1F"/>
          <w:w w:val="110"/>
        </w:rPr>
        <w:t>tratamiento</w:t>
      </w:r>
      <w:r>
        <w:rPr>
          <w:color w:val="231F1F"/>
          <w:spacing w:val="-1"/>
          <w:w w:val="110"/>
        </w:rPr>
        <w:t> </w:t>
      </w:r>
      <w:r>
        <w:rPr>
          <w:color w:val="231F1F"/>
          <w:w w:val="110"/>
        </w:rPr>
        <w:t>debido</w:t>
      </w:r>
      <w:r>
        <w:rPr>
          <w:color w:val="231F1F"/>
          <w:spacing w:val="-1"/>
          <w:w w:val="110"/>
        </w:rPr>
        <w:t> </w:t>
      </w:r>
      <w:r>
        <w:rPr>
          <w:color w:val="231F1F"/>
          <w:w w:val="110"/>
        </w:rPr>
        <w:t>al</w:t>
      </w:r>
      <w:r>
        <w:rPr>
          <w:color w:val="231F1F"/>
          <w:spacing w:val="-1"/>
          <w:w w:val="110"/>
        </w:rPr>
        <w:t> </w:t>
      </w:r>
      <w:r>
        <w:rPr>
          <w:color w:val="231F1F"/>
          <w:w w:val="110"/>
        </w:rPr>
        <w:t>rápido</w:t>
      </w:r>
      <w:r>
        <w:rPr>
          <w:color w:val="231F1F"/>
          <w:spacing w:val="-1"/>
          <w:w w:val="110"/>
        </w:rPr>
        <w:t> </w:t>
      </w:r>
      <w:r>
        <w:rPr>
          <w:color w:val="231F1F"/>
          <w:w w:val="110"/>
        </w:rPr>
        <w:t>progreso</w:t>
      </w:r>
      <w:r>
        <w:rPr>
          <w:color w:val="231F1F"/>
          <w:spacing w:val="-1"/>
          <w:w w:val="110"/>
        </w:rPr>
        <w:t> </w:t>
      </w:r>
      <w:r>
        <w:rPr>
          <w:color w:val="231F1F"/>
          <w:w w:val="110"/>
        </w:rPr>
        <w:t>del</w:t>
      </w:r>
      <w:r>
        <w:rPr>
          <w:color w:val="231F1F"/>
          <w:spacing w:val="-1"/>
          <w:w w:val="110"/>
        </w:rPr>
        <w:t> </w:t>
      </w:r>
      <w:r>
        <w:rPr>
          <w:color w:val="231F1F"/>
          <w:w w:val="110"/>
        </w:rPr>
        <w:t>parto</w:t>
      </w:r>
      <w:r>
        <w:rPr>
          <w:color w:val="231F1F"/>
          <w:spacing w:val="-1"/>
          <w:w w:val="110"/>
        </w:rPr>
        <w:t> </w:t>
      </w:r>
      <w:r>
        <w:rPr>
          <w:color w:val="231F1F"/>
          <w:w w:val="110"/>
        </w:rPr>
        <w:t>y</w:t>
      </w:r>
      <w:r>
        <w:rPr>
          <w:color w:val="231F1F"/>
          <w:spacing w:val="-1"/>
          <w:w w:val="110"/>
        </w:rPr>
        <w:t> </w:t>
      </w:r>
      <w:r>
        <w:rPr>
          <w:color w:val="231F1F"/>
          <w:w w:val="110"/>
        </w:rPr>
        <w:t>naci- miento.</w:t>
      </w:r>
      <w:r>
        <w:rPr>
          <w:color w:val="231F1F"/>
          <w:w w:val="110"/>
        </w:rPr>
        <w:t> Cinco</w:t>
      </w:r>
      <w:r>
        <w:rPr>
          <w:color w:val="231F1F"/>
          <w:w w:val="110"/>
        </w:rPr>
        <w:t> mujeres</w:t>
      </w:r>
      <w:r>
        <w:rPr>
          <w:color w:val="231F1F"/>
          <w:w w:val="110"/>
        </w:rPr>
        <w:t> que</w:t>
      </w:r>
      <w:r>
        <w:rPr>
          <w:color w:val="231F1F"/>
          <w:w w:val="110"/>
        </w:rPr>
        <w:t> fueron</w:t>
      </w:r>
      <w:r>
        <w:rPr>
          <w:color w:val="231F1F"/>
          <w:w w:val="110"/>
        </w:rPr>
        <w:t> asignadas</w:t>
      </w:r>
      <w:r>
        <w:rPr>
          <w:color w:val="231F1F"/>
          <w:w w:val="110"/>
        </w:rPr>
        <w:t> al</w:t>
      </w:r>
      <w:r>
        <w:rPr>
          <w:color w:val="231F1F"/>
          <w:w w:val="110"/>
        </w:rPr>
        <w:t> tratamiento</w:t>
      </w:r>
      <w:r>
        <w:rPr>
          <w:color w:val="231F1F"/>
          <w:w w:val="110"/>
        </w:rPr>
        <w:t> PCA</w:t>
      </w:r>
      <w:r>
        <w:rPr>
          <w:color w:val="231F1F"/>
          <w:w w:val="110"/>
        </w:rPr>
        <w:t> petidina finalmente</w:t>
      </w:r>
      <w:r>
        <w:rPr>
          <w:color w:val="231F1F"/>
          <w:spacing w:val="-3"/>
          <w:w w:val="110"/>
        </w:rPr>
        <w:t> </w:t>
      </w:r>
      <w:r>
        <w:rPr>
          <w:color w:val="231F1F"/>
          <w:w w:val="110"/>
        </w:rPr>
        <w:t>recibieron</w:t>
      </w:r>
      <w:r>
        <w:rPr>
          <w:color w:val="231F1F"/>
          <w:spacing w:val="-3"/>
          <w:w w:val="110"/>
        </w:rPr>
        <w:t> </w:t>
      </w:r>
      <w:r>
        <w:rPr>
          <w:color w:val="231F1F"/>
          <w:w w:val="110"/>
        </w:rPr>
        <w:t>epidural.</w:t>
      </w:r>
      <w:r>
        <w:rPr>
          <w:color w:val="231F1F"/>
          <w:spacing w:val="-4"/>
          <w:w w:val="110"/>
        </w:rPr>
        <w:t> </w:t>
      </w:r>
      <w:r>
        <w:rPr>
          <w:color w:val="231F1F"/>
          <w:w w:val="110"/>
        </w:rPr>
        <w:t>Debido</w:t>
      </w:r>
      <w:r>
        <w:rPr>
          <w:color w:val="231F1F"/>
          <w:spacing w:val="-3"/>
          <w:w w:val="110"/>
        </w:rPr>
        <w:t> </w:t>
      </w:r>
      <w:r>
        <w:rPr>
          <w:color w:val="231F1F"/>
          <w:w w:val="110"/>
        </w:rPr>
        <w:t>a</w:t>
      </w:r>
      <w:r>
        <w:rPr>
          <w:color w:val="231F1F"/>
          <w:spacing w:val="-3"/>
          <w:w w:val="110"/>
        </w:rPr>
        <w:t> </w:t>
      </w:r>
      <w:r>
        <w:rPr>
          <w:color w:val="231F1F"/>
          <w:w w:val="110"/>
        </w:rPr>
        <w:t>las</w:t>
      </w:r>
      <w:r>
        <w:rPr>
          <w:color w:val="231F1F"/>
          <w:spacing w:val="-3"/>
          <w:w w:val="110"/>
        </w:rPr>
        <w:t> </w:t>
      </w:r>
      <w:r>
        <w:rPr>
          <w:color w:val="231F1F"/>
          <w:w w:val="110"/>
        </w:rPr>
        <w:t>debilidades</w:t>
      </w:r>
      <w:r>
        <w:rPr>
          <w:color w:val="231F1F"/>
          <w:spacing w:val="-4"/>
          <w:w w:val="110"/>
        </w:rPr>
        <w:t> </w:t>
      </w:r>
      <w:r>
        <w:rPr>
          <w:color w:val="231F1F"/>
          <w:w w:val="110"/>
        </w:rPr>
        <w:t>metodológicas</w:t>
      </w:r>
      <w:r>
        <w:rPr>
          <w:color w:val="231F1F"/>
          <w:spacing w:val="-4"/>
          <w:w w:val="110"/>
        </w:rPr>
        <w:t> </w:t>
      </w:r>
      <w:r>
        <w:rPr>
          <w:color w:val="231F1F"/>
          <w:w w:val="110"/>
        </w:rPr>
        <w:t>del estudio se le asigna un NE=2+.</w:t>
      </w:r>
    </w:p>
    <w:p>
      <w:pPr>
        <w:pStyle w:val="BodyText"/>
        <w:spacing w:line="252" w:lineRule="auto" w:before="97"/>
        <w:ind w:left="283" w:right="2" w:firstLine="453"/>
        <w:jc w:val="both"/>
      </w:pPr>
      <w:r>
        <w:rPr>
          <w:color w:val="231F1F"/>
          <w:w w:val="110"/>
        </w:rPr>
        <w:t>El</w:t>
      </w:r>
      <w:r>
        <w:rPr>
          <w:color w:val="231F1F"/>
          <w:spacing w:val="-12"/>
          <w:w w:val="110"/>
        </w:rPr>
        <w:t> </w:t>
      </w:r>
      <w:r>
        <w:rPr>
          <w:color w:val="231F1F"/>
          <w:w w:val="110"/>
        </w:rPr>
        <w:t>15%</w:t>
      </w:r>
      <w:r>
        <w:rPr>
          <w:color w:val="231F1F"/>
          <w:spacing w:val="-11"/>
          <w:w w:val="110"/>
        </w:rPr>
        <w:t> </w:t>
      </w:r>
      <w:r>
        <w:rPr>
          <w:color w:val="231F1F"/>
          <w:w w:val="110"/>
        </w:rPr>
        <w:t>de</w:t>
      </w:r>
      <w:r>
        <w:rPr>
          <w:color w:val="231F1F"/>
          <w:spacing w:val="-12"/>
          <w:w w:val="110"/>
        </w:rPr>
        <w:t> </w:t>
      </w:r>
      <w:r>
        <w:rPr>
          <w:color w:val="231F1F"/>
          <w:w w:val="110"/>
        </w:rPr>
        <w:t>las</w:t>
      </w:r>
      <w:r>
        <w:rPr>
          <w:color w:val="231F1F"/>
          <w:spacing w:val="-12"/>
          <w:w w:val="110"/>
        </w:rPr>
        <w:t> </w:t>
      </w:r>
      <w:r>
        <w:rPr>
          <w:color w:val="231F1F"/>
          <w:w w:val="110"/>
        </w:rPr>
        <w:t>mujeres</w:t>
      </w:r>
      <w:r>
        <w:rPr>
          <w:color w:val="231F1F"/>
          <w:spacing w:val="-12"/>
          <w:w w:val="110"/>
        </w:rPr>
        <w:t> </w:t>
      </w:r>
      <w:r>
        <w:rPr>
          <w:color w:val="231F1F"/>
          <w:w w:val="110"/>
        </w:rPr>
        <w:t>del</w:t>
      </w:r>
      <w:r>
        <w:rPr>
          <w:color w:val="231F1F"/>
          <w:spacing w:val="-13"/>
          <w:w w:val="110"/>
        </w:rPr>
        <w:t> </w:t>
      </w:r>
      <w:r>
        <w:rPr>
          <w:color w:val="231F1F"/>
          <w:w w:val="110"/>
        </w:rPr>
        <w:t>grupo</w:t>
      </w:r>
      <w:r>
        <w:rPr>
          <w:color w:val="231F1F"/>
          <w:spacing w:val="-12"/>
          <w:w w:val="110"/>
        </w:rPr>
        <w:t> </w:t>
      </w:r>
      <w:r>
        <w:rPr>
          <w:color w:val="231F1F"/>
          <w:w w:val="110"/>
        </w:rPr>
        <w:t>epidural</w:t>
      </w:r>
      <w:r>
        <w:rPr>
          <w:color w:val="231F1F"/>
          <w:spacing w:val="-12"/>
          <w:w w:val="110"/>
        </w:rPr>
        <w:t> </w:t>
      </w:r>
      <w:r>
        <w:rPr>
          <w:color w:val="231F1F"/>
          <w:w w:val="110"/>
        </w:rPr>
        <w:t>y</w:t>
      </w:r>
      <w:r>
        <w:rPr>
          <w:color w:val="231F1F"/>
          <w:spacing w:val="-12"/>
          <w:w w:val="110"/>
        </w:rPr>
        <w:t> </w:t>
      </w:r>
      <w:r>
        <w:rPr>
          <w:color w:val="231F1F"/>
          <w:w w:val="110"/>
        </w:rPr>
        <w:t>el</w:t>
      </w:r>
      <w:r>
        <w:rPr>
          <w:color w:val="231F1F"/>
          <w:spacing w:val="-12"/>
          <w:w w:val="110"/>
        </w:rPr>
        <w:t> </w:t>
      </w:r>
      <w:r>
        <w:rPr>
          <w:color w:val="231F1F"/>
          <w:w w:val="110"/>
        </w:rPr>
        <w:t>5%</w:t>
      </w:r>
      <w:r>
        <w:rPr>
          <w:color w:val="231F1F"/>
          <w:spacing w:val="-11"/>
          <w:w w:val="110"/>
        </w:rPr>
        <w:t> </w:t>
      </w:r>
      <w:r>
        <w:rPr>
          <w:color w:val="231F1F"/>
          <w:w w:val="110"/>
        </w:rPr>
        <w:t>del</w:t>
      </w:r>
      <w:r>
        <w:rPr>
          <w:color w:val="231F1F"/>
          <w:spacing w:val="-13"/>
          <w:w w:val="110"/>
        </w:rPr>
        <w:t> </w:t>
      </w:r>
      <w:r>
        <w:rPr>
          <w:color w:val="231F1F"/>
          <w:w w:val="110"/>
        </w:rPr>
        <w:t>grupo</w:t>
      </w:r>
      <w:r>
        <w:rPr>
          <w:color w:val="231F1F"/>
          <w:spacing w:val="-12"/>
          <w:w w:val="110"/>
        </w:rPr>
        <w:t> </w:t>
      </w:r>
      <w:r>
        <w:rPr>
          <w:color w:val="231F1F"/>
          <w:w w:val="110"/>
        </w:rPr>
        <w:t>PCA</w:t>
      </w:r>
      <w:r>
        <w:rPr>
          <w:color w:val="231F1F"/>
          <w:spacing w:val="-12"/>
          <w:w w:val="110"/>
        </w:rPr>
        <w:t> </w:t>
      </w:r>
      <w:r>
        <w:rPr>
          <w:color w:val="231F1F"/>
          <w:w w:val="110"/>
        </w:rPr>
        <w:t>tuvie- </w:t>
      </w:r>
      <w:r>
        <w:rPr>
          <w:color w:val="231F1F"/>
        </w:rPr>
        <w:t>ron</w:t>
      </w:r>
      <w:r>
        <w:rPr>
          <w:color w:val="231F1F"/>
          <w:spacing w:val="33"/>
        </w:rPr>
        <w:t> </w:t>
      </w:r>
      <w:r>
        <w:rPr>
          <w:color w:val="231F1F"/>
        </w:rPr>
        <w:t>fiebre&gt;38º,</w:t>
      </w:r>
      <w:r>
        <w:rPr>
          <w:color w:val="231F1F"/>
          <w:spacing w:val="35"/>
        </w:rPr>
        <w:t> </w:t>
      </w:r>
      <w:r>
        <w:rPr>
          <w:color w:val="231F1F"/>
        </w:rPr>
        <w:t>p&lt;0,001,</w:t>
      </w:r>
      <w:r>
        <w:rPr>
          <w:color w:val="231F1F"/>
          <w:spacing w:val="34"/>
        </w:rPr>
        <w:t> </w:t>
      </w:r>
      <w:r>
        <w:rPr>
          <w:color w:val="231F1F"/>
        </w:rPr>
        <w:t>(aunque</w:t>
      </w:r>
      <w:r>
        <w:rPr>
          <w:color w:val="231F1F"/>
          <w:spacing w:val="34"/>
        </w:rPr>
        <w:t> </w:t>
      </w:r>
      <w:r>
        <w:rPr>
          <w:color w:val="231F1F"/>
        </w:rPr>
        <w:t>este</w:t>
      </w:r>
      <w:r>
        <w:rPr>
          <w:color w:val="231F1F"/>
          <w:spacing w:val="33"/>
        </w:rPr>
        <w:t> </w:t>
      </w:r>
      <w:r>
        <w:rPr>
          <w:color w:val="231F1F"/>
        </w:rPr>
        <w:t>efecto</w:t>
      </w:r>
      <w:r>
        <w:rPr>
          <w:color w:val="231F1F"/>
          <w:spacing w:val="33"/>
        </w:rPr>
        <w:t> </w:t>
      </w:r>
      <w:r>
        <w:rPr>
          <w:color w:val="231F1F"/>
        </w:rPr>
        <w:t>no</w:t>
      </w:r>
      <w:r>
        <w:rPr>
          <w:color w:val="231F1F"/>
          <w:spacing w:val="33"/>
        </w:rPr>
        <w:t> </w:t>
      </w:r>
      <w:r>
        <w:rPr>
          <w:color w:val="231F1F"/>
        </w:rPr>
        <w:t>resultó</w:t>
      </w:r>
      <w:r>
        <w:rPr>
          <w:color w:val="231F1F"/>
          <w:spacing w:val="34"/>
        </w:rPr>
        <w:t> </w:t>
      </w:r>
      <w:r>
        <w:rPr>
          <w:color w:val="231F1F"/>
        </w:rPr>
        <w:t>aparente</w:t>
      </w:r>
      <w:r>
        <w:rPr>
          <w:color w:val="231F1F"/>
          <w:spacing w:val="33"/>
        </w:rPr>
        <w:t> </w:t>
      </w:r>
      <w:r>
        <w:rPr>
          <w:color w:val="231F1F"/>
        </w:rPr>
        <w:t>en</w:t>
      </w:r>
      <w:r>
        <w:rPr>
          <w:color w:val="231F1F"/>
          <w:spacing w:val="33"/>
        </w:rPr>
        <w:t> </w:t>
      </w:r>
      <w:r>
        <w:rPr>
          <w:color w:val="231F1F"/>
        </w:rPr>
        <w:t>el</w:t>
      </w:r>
      <w:r>
        <w:rPr>
          <w:color w:val="231F1F"/>
          <w:spacing w:val="34"/>
        </w:rPr>
        <w:t> </w:t>
      </w:r>
      <w:r>
        <w:rPr>
          <w:color w:val="231F1F"/>
        </w:rPr>
        <w:t>subgru- </w:t>
      </w:r>
      <w:r>
        <w:rPr>
          <w:color w:val="231F1F"/>
          <w:w w:val="110"/>
        </w:rPr>
        <w:t>po</w:t>
      </w:r>
      <w:r>
        <w:rPr>
          <w:color w:val="231F1F"/>
          <w:spacing w:val="-14"/>
          <w:w w:val="110"/>
        </w:rPr>
        <w:t> </w:t>
      </w:r>
      <w:r>
        <w:rPr>
          <w:color w:val="231F1F"/>
          <w:w w:val="110"/>
        </w:rPr>
        <w:t>de</w:t>
      </w:r>
      <w:r>
        <w:rPr>
          <w:color w:val="231F1F"/>
          <w:spacing w:val="-14"/>
          <w:w w:val="110"/>
        </w:rPr>
        <w:t> </w:t>
      </w:r>
      <w:r>
        <w:rPr>
          <w:color w:val="231F1F"/>
          <w:w w:val="110"/>
        </w:rPr>
        <w:t>mujeres</w:t>
      </w:r>
      <w:r>
        <w:rPr>
          <w:color w:val="231F1F"/>
          <w:spacing w:val="-14"/>
          <w:w w:val="110"/>
        </w:rPr>
        <w:t> </w:t>
      </w:r>
      <w:r>
        <w:rPr>
          <w:color w:val="231F1F"/>
          <w:w w:val="110"/>
        </w:rPr>
        <w:t>multíparas)</w:t>
      </w:r>
      <w:r>
        <w:rPr>
          <w:color w:val="231F1F"/>
          <w:spacing w:val="-14"/>
          <w:w w:val="110"/>
        </w:rPr>
        <w:t> </w:t>
      </w:r>
      <w:r>
        <w:rPr>
          <w:color w:val="231F1F"/>
          <w:w w:val="110"/>
        </w:rPr>
        <w:t>mientras</w:t>
      </w:r>
      <w:r>
        <w:rPr>
          <w:color w:val="231F1F"/>
          <w:spacing w:val="-14"/>
          <w:w w:val="110"/>
        </w:rPr>
        <w:t> </w:t>
      </w:r>
      <w:r>
        <w:rPr>
          <w:color w:val="231F1F"/>
          <w:w w:val="110"/>
        </w:rPr>
        <w:t>que</w:t>
      </w:r>
      <w:r>
        <w:rPr>
          <w:color w:val="231F1F"/>
          <w:spacing w:val="-14"/>
          <w:w w:val="110"/>
        </w:rPr>
        <w:t> </w:t>
      </w:r>
      <w:r>
        <w:rPr>
          <w:color w:val="231F1F"/>
          <w:w w:val="110"/>
        </w:rPr>
        <w:t>en</w:t>
      </w:r>
      <w:r>
        <w:rPr>
          <w:color w:val="231F1F"/>
          <w:spacing w:val="-14"/>
          <w:w w:val="110"/>
        </w:rPr>
        <w:t> </w:t>
      </w:r>
      <w:r>
        <w:rPr>
          <w:color w:val="231F1F"/>
          <w:w w:val="110"/>
        </w:rPr>
        <w:t>el</w:t>
      </w:r>
      <w:r>
        <w:rPr>
          <w:color w:val="231F1F"/>
          <w:spacing w:val="-14"/>
          <w:w w:val="110"/>
        </w:rPr>
        <w:t> </w:t>
      </w:r>
      <w:r>
        <w:rPr>
          <w:color w:val="231F1F"/>
          <w:w w:val="110"/>
        </w:rPr>
        <w:t>subgrupo</w:t>
      </w:r>
      <w:r>
        <w:rPr>
          <w:color w:val="231F1F"/>
          <w:spacing w:val="-14"/>
          <w:w w:val="110"/>
        </w:rPr>
        <w:t> </w:t>
      </w:r>
      <w:r>
        <w:rPr>
          <w:color w:val="231F1F"/>
          <w:w w:val="110"/>
        </w:rPr>
        <w:t>de</w:t>
      </w:r>
      <w:r>
        <w:rPr>
          <w:color w:val="231F1F"/>
          <w:spacing w:val="-14"/>
          <w:w w:val="110"/>
        </w:rPr>
        <w:t> </w:t>
      </w:r>
      <w:r>
        <w:rPr>
          <w:color w:val="231F1F"/>
          <w:w w:val="110"/>
        </w:rPr>
        <w:t>nulíparas</w:t>
      </w:r>
      <w:r>
        <w:rPr>
          <w:color w:val="231F1F"/>
          <w:spacing w:val="-14"/>
          <w:w w:val="110"/>
        </w:rPr>
        <w:t> </w:t>
      </w:r>
      <w:r>
        <w:rPr>
          <w:color w:val="231F1F"/>
          <w:w w:val="110"/>
        </w:rPr>
        <w:t>hubo</w:t>
      </w:r>
      <w:r>
        <w:rPr>
          <w:color w:val="231F1F"/>
          <w:spacing w:val="-14"/>
          <w:w w:val="110"/>
        </w:rPr>
        <w:t> </w:t>
      </w:r>
      <w:r>
        <w:rPr>
          <w:color w:val="231F1F"/>
          <w:w w:val="110"/>
        </w:rPr>
        <w:t>un 24%</w:t>
      </w:r>
      <w:r>
        <w:rPr>
          <w:color w:val="231F1F"/>
          <w:w w:val="110"/>
        </w:rPr>
        <w:t> de</w:t>
      </w:r>
      <w:r>
        <w:rPr>
          <w:color w:val="231F1F"/>
          <w:w w:val="110"/>
        </w:rPr>
        <w:t> mujeres</w:t>
      </w:r>
      <w:r>
        <w:rPr>
          <w:color w:val="231F1F"/>
          <w:w w:val="110"/>
        </w:rPr>
        <w:t> con</w:t>
      </w:r>
      <w:r>
        <w:rPr>
          <w:color w:val="231F1F"/>
          <w:w w:val="110"/>
        </w:rPr>
        <w:t> fiebre</w:t>
      </w:r>
      <w:r>
        <w:rPr>
          <w:color w:val="231F1F"/>
          <w:w w:val="110"/>
        </w:rPr>
        <w:t> en</w:t>
      </w:r>
      <w:r>
        <w:rPr>
          <w:color w:val="231F1F"/>
          <w:w w:val="110"/>
        </w:rPr>
        <w:t> el</w:t>
      </w:r>
      <w:r>
        <w:rPr>
          <w:color w:val="231F1F"/>
          <w:w w:val="110"/>
        </w:rPr>
        <w:t> grupo</w:t>
      </w:r>
      <w:r>
        <w:rPr>
          <w:color w:val="231F1F"/>
          <w:w w:val="110"/>
        </w:rPr>
        <w:t> epidural</w:t>
      </w:r>
      <w:r>
        <w:rPr>
          <w:color w:val="231F1F"/>
          <w:w w:val="110"/>
        </w:rPr>
        <w:t> y</w:t>
      </w:r>
      <w:r>
        <w:rPr>
          <w:color w:val="231F1F"/>
          <w:w w:val="110"/>
        </w:rPr>
        <w:t> el</w:t>
      </w:r>
      <w:r>
        <w:rPr>
          <w:color w:val="231F1F"/>
          <w:w w:val="110"/>
        </w:rPr>
        <w:t> 5%</w:t>
      </w:r>
      <w:r>
        <w:rPr>
          <w:color w:val="231F1F"/>
          <w:w w:val="110"/>
        </w:rPr>
        <w:t> del</w:t>
      </w:r>
      <w:r>
        <w:rPr>
          <w:color w:val="231F1F"/>
          <w:w w:val="110"/>
        </w:rPr>
        <w:t> grupo</w:t>
      </w:r>
      <w:r>
        <w:rPr>
          <w:color w:val="231F1F"/>
          <w:w w:val="110"/>
        </w:rPr>
        <w:t> PCA </w:t>
      </w:r>
      <w:r>
        <w:rPr>
          <w:color w:val="231F1F"/>
          <w:spacing w:val="-2"/>
          <w:w w:val="110"/>
        </w:rPr>
        <w:t>p&lt;0,001.</w:t>
      </w:r>
    </w:p>
    <w:p>
      <w:pPr>
        <w:pStyle w:val="BodyText"/>
        <w:spacing w:line="249" w:lineRule="auto" w:before="88"/>
        <w:ind w:left="283" w:firstLine="453"/>
        <w:jc w:val="both"/>
      </w:pPr>
      <w:r>
        <w:rPr>
          <w:color w:val="231F1F"/>
          <w:w w:val="105"/>
        </w:rPr>
        <w:t>Mediante</w:t>
      </w:r>
      <w:r>
        <w:rPr>
          <w:color w:val="231F1F"/>
          <w:w w:val="105"/>
        </w:rPr>
        <w:t> un</w:t>
      </w:r>
      <w:r>
        <w:rPr>
          <w:color w:val="231F1F"/>
          <w:w w:val="105"/>
        </w:rPr>
        <w:t> análisis</w:t>
      </w:r>
      <w:r>
        <w:rPr>
          <w:color w:val="231F1F"/>
          <w:w w:val="105"/>
        </w:rPr>
        <w:t> de</w:t>
      </w:r>
      <w:r>
        <w:rPr>
          <w:color w:val="231F1F"/>
          <w:w w:val="105"/>
        </w:rPr>
        <w:t> regresión</w:t>
      </w:r>
      <w:r>
        <w:rPr>
          <w:color w:val="231F1F"/>
          <w:w w:val="105"/>
        </w:rPr>
        <w:t> logística</w:t>
      </w:r>
      <w:r>
        <w:rPr>
          <w:color w:val="231F1F"/>
          <w:w w:val="105"/>
        </w:rPr>
        <w:t> por</w:t>
      </w:r>
      <w:r>
        <w:rPr>
          <w:color w:val="231F1F"/>
          <w:w w:val="105"/>
        </w:rPr>
        <w:t> pasos</w:t>
      </w:r>
      <w:r>
        <w:rPr>
          <w:color w:val="231F1F"/>
          <w:w w:val="105"/>
        </w:rPr>
        <w:t> se</w:t>
      </w:r>
      <w:r>
        <w:rPr>
          <w:color w:val="231F1F"/>
          <w:w w:val="105"/>
        </w:rPr>
        <w:t> encontró</w:t>
      </w:r>
      <w:r>
        <w:rPr>
          <w:color w:val="231F1F"/>
          <w:w w:val="105"/>
        </w:rPr>
        <w:t> que existía una asociación significativa e independiente entre la fiebre &gt;38ºC y los siguientes factores: el parto prolongado &gt;12h, la monitorización fetal interna</w:t>
      </w:r>
      <w:r>
        <w:rPr>
          <w:color w:val="231F1F"/>
          <w:spacing w:val="80"/>
          <w:w w:val="105"/>
        </w:rPr>
        <w:t> </w:t>
      </w:r>
      <w:r>
        <w:rPr>
          <w:color w:val="231F1F"/>
          <w:w w:val="105"/>
        </w:rPr>
        <w:t>y</w:t>
      </w:r>
      <w:r>
        <w:rPr>
          <w:color w:val="231F1F"/>
          <w:w w:val="105"/>
        </w:rPr>
        <w:t> la</w:t>
      </w:r>
      <w:r>
        <w:rPr>
          <w:color w:val="231F1F"/>
          <w:w w:val="105"/>
        </w:rPr>
        <w:t> utilización</w:t>
      </w:r>
      <w:r>
        <w:rPr>
          <w:color w:val="231F1F"/>
          <w:w w:val="105"/>
        </w:rPr>
        <w:t> de</w:t>
      </w:r>
      <w:r>
        <w:rPr>
          <w:color w:val="231F1F"/>
          <w:w w:val="105"/>
        </w:rPr>
        <w:t> oxitocina.</w:t>
      </w:r>
      <w:r>
        <w:rPr>
          <w:color w:val="231F1F"/>
          <w:w w:val="105"/>
        </w:rPr>
        <w:t> Los</w:t>
      </w:r>
      <w:r>
        <w:rPr>
          <w:color w:val="231F1F"/>
          <w:w w:val="105"/>
        </w:rPr>
        <w:t> autores</w:t>
      </w:r>
      <w:r>
        <w:rPr>
          <w:color w:val="231F1F"/>
          <w:w w:val="105"/>
        </w:rPr>
        <w:t> concluyen</w:t>
      </w:r>
      <w:r>
        <w:rPr>
          <w:color w:val="231F1F"/>
          <w:w w:val="105"/>
        </w:rPr>
        <w:t> que</w:t>
      </w:r>
      <w:r>
        <w:rPr>
          <w:color w:val="231F1F"/>
          <w:w w:val="105"/>
        </w:rPr>
        <w:t> la</w:t>
      </w:r>
      <w:r>
        <w:rPr>
          <w:color w:val="231F1F"/>
          <w:w w:val="105"/>
        </w:rPr>
        <w:t> nuliparidad</w:t>
      </w:r>
      <w:r>
        <w:rPr>
          <w:color w:val="231F1F"/>
          <w:w w:val="105"/>
        </w:rPr>
        <w:t> y</w:t>
      </w:r>
      <w:r>
        <w:rPr>
          <w:color w:val="231F1F"/>
          <w:w w:val="105"/>
        </w:rPr>
        <w:t> el parto</w:t>
      </w:r>
      <w:r>
        <w:rPr>
          <w:color w:val="231F1F"/>
          <w:w w:val="105"/>
        </w:rPr>
        <w:t> disfuncional</w:t>
      </w:r>
      <w:r>
        <w:rPr>
          <w:color w:val="231F1F"/>
          <w:w w:val="105"/>
        </w:rPr>
        <w:t> son</w:t>
      </w:r>
      <w:r>
        <w:rPr>
          <w:color w:val="231F1F"/>
          <w:w w:val="105"/>
        </w:rPr>
        <w:t> co-factores</w:t>
      </w:r>
      <w:r>
        <w:rPr>
          <w:color w:val="231F1F"/>
          <w:w w:val="105"/>
        </w:rPr>
        <w:t> significantes</w:t>
      </w:r>
      <w:r>
        <w:rPr>
          <w:color w:val="231F1F"/>
          <w:w w:val="105"/>
        </w:rPr>
        <w:t> en</w:t>
      </w:r>
      <w:r>
        <w:rPr>
          <w:color w:val="231F1F"/>
          <w:w w:val="105"/>
        </w:rPr>
        <w:t> la</w:t>
      </w:r>
      <w:r>
        <w:rPr>
          <w:color w:val="231F1F"/>
          <w:w w:val="105"/>
        </w:rPr>
        <w:t> fiebre</w:t>
      </w:r>
      <w:r>
        <w:rPr>
          <w:color w:val="231F1F"/>
          <w:w w:val="105"/>
        </w:rPr>
        <w:t> atribuida</w:t>
      </w:r>
      <w:r>
        <w:rPr>
          <w:color w:val="231F1F"/>
          <w:w w:val="105"/>
        </w:rPr>
        <w:t> a</w:t>
      </w:r>
      <w:r>
        <w:rPr>
          <w:color w:val="231F1F"/>
          <w:w w:val="105"/>
        </w:rPr>
        <w:t> la analgesia epidural.</w:t>
      </w:r>
    </w:p>
    <w:p>
      <w:pPr>
        <w:pStyle w:val="BodyText"/>
        <w:spacing w:before="49"/>
        <w:ind w:left="736"/>
        <w:jc w:val="both"/>
      </w:pPr>
      <w:r>
        <w:rPr>
          <w:color w:val="231F1F"/>
          <w:w w:val="110"/>
        </w:rPr>
        <w:t>Un</w:t>
      </w:r>
      <w:r>
        <w:rPr>
          <w:color w:val="231F1F"/>
          <w:spacing w:val="-4"/>
          <w:w w:val="110"/>
        </w:rPr>
        <w:t> </w:t>
      </w:r>
      <w:r>
        <w:rPr>
          <w:color w:val="231F1F"/>
          <w:w w:val="110"/>
        </w:rPr>
        <w:t>estudio</w:t>
      </w:r>
      <w:r>
        <w:rPr>
          <w:color w:val="231F1F"/>
          <w:spacing w:val="-4"/>
          <w:w w:val="110"/>
        </w:rPr>
        <w:t> </w:t>
      </w:r>
      <w:r>
        <w:rPr>
          <w:color w:val="231F1F"/>
          <w:w w:val="110"/>
        </w:rPr>
        <w:t>de</w:t>
      </w:r>
      <w:r>
        <w:rPr>
          <w:color w:val="231F1F"/>
          <w:spacing w:val="-3"/>
          <w:w w:val="110"/>
        </w:rPr>
        <w:t> </w:t>
      </w:r>
      <w:r>
        <w:rPr>
          <w:color w:val="231F1F"/>
          <w:w w:val="110"/>
        </w:rPr>
        <w:t>cohortes</w:t>
      </w:r>
      <w:r>
        <w:rPr>
          <w:color w:val="231F1F"/>
          <w:spacing w:val="-5"/>
          <w:w w:val="110"/>
        </w:rPr>
        <w:t> </w:t>
      </w:r>
      <w:r>
        <w:rPr>
          <w:color w:val="231F1F"/>
          <w:w w:val="110"/>
        </w:rPr>
        <w:t>poblacional</w:t>
      </w:r>
      <w:r>
        <w:rPr>
          <w:color w:val="231F1F"/>
          <w:spacing w:val="-4"/>
          <w:w w:val="110"/>
        </w:rPr>
        <w:t> </w:t>
      </w:r>
      <w:r>
        <w:rPr>
          <w:color w:val="231F1F"/>
          <w:w w:val="110"/>
        </w:rPr>
        <w:t>realizado</w:t>
      </w:r>
      <w:r>
        <w:rPr>
          <w:color w:val="231F1F"/>
          <w:spacing w:val="-2"/>
          <w:w w:val="110"/>
        </w:rPr>
        <w:t> </w:t>
      </w:r>
      <w:r>
        <w:rPr>
          <w:color w:val="231F1F"/>
          <w:w w:val="110"/>
        </w:rPr>
        <w:t>en</w:t>
      </w:r>
      <w:r>
        <w:rPr>
          <w:color w:val="231F1F"/>
          <w:spacing w:val="-2"/>
          <w:w w:val="110"/>
        </w:rPr>
        <w:t> </w:t>
      </w:r>
      <w:r>
        <w:rPr>
          <w:color w:val="231F1F"/>
          <w:w w:val="110"/>
        </w:rPr>
        <w:t>Suecia</w:t>
      </w:r>
      <w:r>
        <w:rPr>
          <w:color w:val="231F1F"/>
          <w:spacing w:val="-4"/>
          <w:w w:val="110"/>
        </w:rPr>
        <w:t> </w:t>
      </w:r>
      <w:r>
        <w:rPr>
          <w:color w:val="231F1F"/>
          <w:w w:val="110"/>
        </w:rPr>
        <w:t>que</w:t>
      </w:r>
      <w:r>
        <w:rPr>
          <w:color w:val="231F1F"/>
          <w:spacing w:val="-3"/>
          <w:w w:val="110"/>
        </w:rPr>
        <w:t> </w:t>
      </w:r>
      <w:r>
        <w:rPr>
          <w:color w:val="231F1F"/>
          <w:w w:val="110"/>
        </w:rPr>
        <w:t>incluyó</w:t>
      </w:r>
      <w:r>
        <w:rPr>
          <w:color w:val="231F1F"/>
          <w:spacing w:val="-3"/>
          <w:w w:val="110"/>
        </w:rPr>
        <w:t> </w:t>
      </w:r>
      <w:r>
        <w:rPr>
          <w:color w:val="231F1F"/>
          <w:spacing w:val="-10"/>
          <w:w w:val="110"/>
        </w:rPr>
        <w:t>a</w:t>
      </w:r>
    </w:p>
    <w:p>
      <w:pPr>
        <w:spacing w:line="244" w:lineRule="auto" w:before="15"/>
        <w:ind w:left="283" w:right="0" w:firstLine="0"/>
        <w:jc w:val="both"/>
        <w:rPr>
          <w:sz w:val="22"/>
        </w:rPr>
      </w:pPr>
      <w:r>
        <w:rPr>
          <w:color w:val="231F1F"/>
          <w:w w:val="105"/>
          <w:sz w:val="22"/>
        </w:rPr>
        <w:t>94.217 mujeres (314), examinó la </w:t>
      </w:r>
      <w:r>
        <w:rPr>
          <w:i/>
          <w:color w:val="231F1F"/>
          <w:w w:val="105"/>
          <w:sz w:val="22"/>
        </w:rPr>
        <w:t>asociación entre la analgesia epidural y el tipo</w:t>
      </w:r>
      <w:r>
        <w:rPr>
          <w:i/>
          <w:color w:val="231F1F"/>
          <w:spacing w:val="-13"/>
          <w:w w:val="105"/>
          <w:sz w:val="22"/>
        </w:rPr>
        <w:t> </w:t>
      </w:r>
      <w:r>
        <w:rPr>
          <w:i/>
          <w:color w:val="231F1F"/>
          <w:w w:val="105"/>
          <w:sz w:val="22"/>
        </w:rPr>
        <w:t>de</w:t>
      </w:r>
      <w:r>
        <w:rPr>
          <w:i/>
          <w:color w:val="231F1F"/>
          <w:spacing w:val="-13"/>
          <w:w w:val="105"/>
          <w:sz w:val="22"/>
        </w:rPr>
        <w:t> </w:t>
      </w:r>
      <w:r>
        <w:rPr>
          <w:i/>
          <w:color w:val="231F1F"/>
          <w:w w:val="105"/>
          <w:sz w:val="22"/>
        </w:rPr>
        <w:t>parto</w:t>
      </w:r>
      <w:r>
        <w:rPr>
          <w:color w:val="231F1F"/>
          <w:w w:val="105"/>
          <w:sz w:val="22"/>
        </w:rPr>
        <w:t>.</w:t>
      </w:r>
      <w:r>
        <w:rPr>
          <w:color w:val="231F1F"/>
          <w:spacing w:val="-1"/>
          <w:w w:val="105"/>
          <w:sz w:val="22"/>
        </w:rPr>
        <w:t> </w:t>
      </w:r>
      <w:r>
        <w:rPr>
          <w:color w:val="231F1F"/>
          <w:w w:val="105"/>
          <w:sz w:val="22"/>
        </w:rPr>
        <w:t>Se</w:t>
      </w:r>
      <w:r>
        <w:rPr>
          <w:color w:val="231F1F"/>
          <w:spacing w:val="-1"/>
          <w:w w:val="105"/>
          <w:sz w:val="22"/>
        </w:rPr>
        <w:t> </w:t>
      </w:r>
      <w:r>
        <w:rPr>
          <w:color w:val="231F1F"/>
          <w:w w:val="105"/>
          <w:sz w:val="22"/>
        </w:rPr>
        <w:t>incluyeron 52</w:t>
      </w:r>
      <w:r>
        <w:rPr>
          <w:color w:val="231F1F"/>
          <w:spacing w:val="-1"/>
          <w:w w:val="105"/>
          <w:sz w:val="22"/>
        </w:rPr>
        <w:t> </w:t>
      </w:r>
      <w:r>
        <w:rPr>
          <w:color w:val="231F1F"/>
          <w:w w:val="105"/>
          <w:sz w:val="22"/>
        </w:rPr>
        <w:t>centros</w:t>
      </w:r>
      <w:r>
        <w:rPr>
          <w:color w:val="231F1F"/>
          <w:spacing w:val="-1"/>
          <w:w w:val="105"/>
          <w:sz w:val="22"/>
        </w:rPr>
        <w:t> </w:t>
      </w:r>
      <w:r>
        <w:rPr>
          <w:color w:val="231F1F"/>
          <w:w w:val="105"/>
          <w:sz w:val="22"/>
        </w:rPr>
        <w:t>entre</w:t>
      </w:r>
      <w:r>
        <w:rPr>
          <w:color w:val="231F1F"/>
          <w:spacing w:val="-1"/>
          <w:w w:val="105"/>
          <w:sz w:val="22"/>
        </w:rPr>
        <w:t> </w:t>
      </w:r>
      <w:r>
        <w:rPr>
          <w:color w:val="231F1F"/>
          <w:w w:val="105"/>
          <w:sz w:val="22"/>
        </w:rPr>
        <w:t>1998-2000,</w:t>
      </w:r>
      <w:r>
        <w:rPr>
          <w:color w:val="231F1F"/>
          <w:spacing w:val="-1"/>
          <w:w w:val="105"/>
          <w:sz w:val="22"/>
        </w:rPr>
        <w:t> </w:t>
      </w:r>
      <w:r>
        <w:rPr>
          <w:color w:val="231F1F"/>
          <w:w w:val="105"/>
          <w:sz w:val="22"/>
        </w:rPr>
        <w:t>comparando las</w:t>
      </w:r>
      <w:r>
        <w:rPr>
          <w:color w:val="231F1F"/>
          <w:spacing w:val="-1"/>
          <w:w w:val="105"/>
          <w:sz w:val="22"/>
        </w:rPr>
        <w:t> </w:t>
      </w:r>
      <w:r>
        <w:rPr>
          <w:color w:val="231F1F"/>
          <w:w w:val="105"/>
          <w:sz w:val="22"/>
        </w:rPr>
        <w:t>tasas de</w:t>
      </w:r>
      <w:r>
        <w:rPr>
          <w:color w:val="231F1F"/>
          <w:spacing w:val="-3"/>
          <w:w w:val="105"/>
          <w:sz w:val="22"/>
        </w:rPr>
        <w:t> </w:t>
      </w:r>
      <w:r>
        <w:rPr>
          <w:color w:val="231F1F"/>
          <w:w w:val="105"/>
          <w:sz w:val="22"/>
        </w:rPr>
        <w:t>cesáreas</w:t>
      </w:r>
      <w:r>
        <w:rPr>
          <w:color w:val="231F1F"/>
          <w:spacing w:val="-1"/>
          <w:w w:val="105"/>
          <w:sz w:val="22"/>
        </w:rPr>
        <w:t> </w:t>
      </w:r>
      <w:r>
        <w:rPr>
          <w:color w:val="231F1F"/>
          <w:w w:val="105"/>
          <w:sz w:val="22"/>
        </w:rPr>
        <w:t>y</w:t>
      </w:r>
      <w:r>
        <w:rPr>
          <w:color w:val="231F1F"/>
          <w:spacing w:val="-2"/>
          <w:w w:val="105"/>
          <w:sz w:val="22"/>
        </w:rPr>
        <w:t> </w:t>
      </w:r>
      <w:r>
        <w:rPr>
          <w:color w:val="231F1F"/>
          <w:w w:val="105"/>
          <w:sz w:val="22"/>
        </w:rPr>
        <w:t>parto</w:t>
      </w:r>
      <w:r>
        <w:rPr>
          <w:color w:val="231F1F"/>
          <w:spacing w:val="-3"/>
          <w:w w:val="105"/>
          <w:sz w:val="22"/>
        </w:rPr>
        <w:t> </w:t>
      </w:r>
      <w:r>
        <w:rPr>
          <w:color w:val="231F1F"/>
          <w:w w:val="105"/>
          <w:sz w:val="22"/>
        </w:rPr>
        <w:t>instrumental</w:t>
      </w:r>
      <w:r>
        <w:rPr>
          <w:color w:val="231F1F"/>
          <w:spacing w:val="-3"/>
          <w:w w:val="105"/>
          <w:sz w:val="22"/>
        </w:rPr>
        <w:t> </w:t>
      </w:r>
      <w:r>
        <w:rPr>
          <w:color w:val="231F1F"/>
          <w:w w:val="105"/>
          <w:sz w:val="22"/>
        </w:rPr>
        <w:t>dentro</w:t>
      </w:r>
      <w:r>
        <w:rPr>
          <w:color w:val="231F1F"/>
          <w:spacing w:val="-3"/>
          <w:w w:val="105"/>
          <w:sz w:val="22"/>
        </w:rPr>
        <w:t> </w:t>
      </w:r>
      <w:r>
        <w:rPr>
          <w:color w:val="231F1F"/>
          <w:w w:val="105"/>
          <w:sz w:val="22"/>
        </w:rPr>
        <w:t>de</w:t>
      </w:r>
      <w:r>
        <w:rPr>
          <w:color w:val="231F1F"/>
          <w:spacing w:val="-2"/>
          <w:w w:val="105"/>
          <w:sz w:val="22"/>
        </w:rPr>
        <w:t> </w:t>
      </w:r>
      <w:r>
        <w:rPr>
          <w:color w:val="231F1F"/>
          <w:w w:val="105"/>
          <w:sz w:val="22"/>
        </w:rPr>
        <w:t>cada</w:t>
      </w:r>
      <w:r>
        <w:rPr>
          <w:color w:val="231F1F"/>
          <w:spacing w:val="-2"/>
          <w:w w:val="105"/>
          <w:sz w:val="22"/>
        </w:rPr>
        <w:t> </w:t>
      </w:r>
      <w:r>
        <w:rPr>
          <w:color w:val="231F1F"/>
          <w:w w:val="105"/>
          <w:sz w:val="22"/>
        </w:rPr>
        <w:t>categoría</w:t>
      </w:r>
      <w:r>
        <w:rPr>
          <w:color w:val="231F1F"/>
          <w:spacing w:val="-2"/>
          <w:w w:val="105"/>
          <w:sz w:val="22"/>
        </w:rPr>
        <w:t> </w:t>
      </w:r>
      <w:r>
        <w:rPr>
          <w:color w:val="231F1F"/>
          <w:w w:val="105"/>
          <w:sz w:val="22"/>
        </w:rPr>
        <w:t>de</w:t>
      </w:r>
      <w:r>
        <w:rPr>
          <w:color w:val="231F1F"/>
          <w:spacing w:val="-3"/>
          <w:w w:val="105"/>
          <w:sz w:val="22"/>
        </w:rPr>
        <w:t> </w:t>
      </w:r>
      <w:r>
        <w:rPr>
          <w:color w:val="231F1F"/>
          <w:w w:val="105"/>
          <w:sz w:val="22"/>
        </w:rPr>
        <w:t>los</w:t>
      </w:r>
      <w:r>
        <w:rPr>
          <w:color w:val="231F1F"/>
          <w:spacing w:val="-2"/>
          <w:w w:val="105"/>
          <w:sz w:val="22"/>
        </w:rPr>
        <w:t> </w:t>
      </w:r>
      <w:r>
        <w:rPr>
          <w:color w:val="231F1F"/>
          <w:w w:val="105"/>
          <w:sz w:val="22"/>
        </w:rPr>
        <w:t>centros,</w:t>
      </w:r>
      <w:r>
        <w:rPr>
          <w:color w:val="231F1F"/>
          <w:spacing w:val="-2"/>
          <w:w w:val="105"/>
          <w:sz w:val="22"/>
        </w:rPr>
        <w:t> </w:t>
      </w:r>
      <w:r>
        <w:rPr>
          <w:color w:val="231F1F"/>
          <w:w w:val="105"/>
          <w:sz w:val="22"/>
        </w:rPr>
        <w:t>según la tasa de utilización de anestesia epidural.</w:t>
      </w:r>
    </w:p>
    <w:p>
      <w:pPr>
        <w:pStyle w:val="BodyText"/>
        <w:spacing w:line="244" w:lineRule="auto" w:before="106"/>
        <w:ind w:left="283" w:right="2" w:firstLine="453"/>
        <w:jc w:val="both"/>
      </w:pPr>
      <w:r>
        <w:rPr>
          <w:color w:val="231F1F"/>
          <w:w w:val="105"/>
        </w:rPr>
        <w:t>No se encontró asociación entre la tasa de utilización de anestesia epidu- ral</w:t>
      </w:r>
      <w:r>
        <w:rPr>
          <w:color w:val="231F1F"/>
          <w:spacing w:val="40"/>
          <w:w w:val="105"/>
        </w:rPr>
        <w:t> </w:t>
      </w:r>
      <w:r>
        <w:rPr>
          <w:color w:val="231F1F"/>
          <w:w w:val="105"/>
        </w:rPr>
        <w:t>y</w:t>
      </w:r>
      <w:r>
        <w:rPr>
          <w:color w:val="231F1F"/>
          <w:spacing w:val="40"/>
          <w:w w:val="105"/>
        </w:rPr>
        <w:t> </w:t>
      </w:r>
      <w:r>
        <w:rPr>
          <w:color w:val="231F1F"/>
          <w:w w:val="105"/>
        </w:rPr>
        <w:t>la</w:t>
      </w:r>
      <w:r>
        <w:rPr>
          <w:color w:val="231F1F"/>
          <w:spacing w:val="40"/>
          <w:w w:val="105"/>
        </w:rPr>
        <w:t> </w:t>
      </w:r>
      <w:r>
        <w:rPr>
          <w:color w:val="231F1F"/>
          <w:w w:val="105"/>
        </w:rPr>
        <w:t>tasa</w:t>
      </w:r>
      <w:r>
        <w:rPr>
          <w:color w:val="231F1F"/>
          <w:spacing w:val="40"/>
          <w:w w:val="105"/>
        </w:rPr>
        <w:t> </w:t>
      </w:r>
      <w:r>
        <w:rPr>
          <w:color w:val="231F1F"/>
          <w:w w:val="105"/>
        </w:rPr>
        <w:t>de</w:t>
      </w:r>
      <w:r>
        <w:rPr>
          <w:color w:val="231F1F"/>
          <w:spacing w:val="40"/>
          <w:w w:val="105"/>
        </w:rPr>
        <w:t> </w:t>
      </w:r>
      <w:r>
        <w:rPr>
          <w:color w:val="231F1F"/>
          <w:w w:val="105"/>
        </w:rPr>
        <w:t>cesáreas</w:t>
      </w:r>
      <w:r>
        <w:rPr>
          <w:color w:val="231F1F"/>
          <w:spacing w:val="40"/>
          <w:w w:val="105"/>
        </w:rPr>
        <w:t> </w:t>
      </w:r>
      <w:r>
        <w:rPr>
          <w:color w:val="231F1F"/>
          <w:w w:val="105"/>
        </w:rPr>
        <w:t>no</w:t>
      </w:r>
      <w:r>
        <w:rPr>
          <w:color w:val="231F1F"/>
          <w:spacing w:val="40"/>
          <w:w w:val="105"/>
        </w:rPr>
        <w:t> </w:t>
      </w:r>
      <w:r>
        <w:rPr>
          <w:color w:val="231F1F"/>
          <w:w w:val="105"/>
        </w:rPr>
        <w:t>programadas</w:t>
      </w:r>
      <w:r>
        <w:rPr>
          <w:color w:val="231F1F"/>
          <w:spacing w:val="40"/>
          <w:w w:val="105"/>
        </w:rPr>
        <w:t> </w:t>
      </w:r>
      <w:r>
        <w:rPr>
          <w:color w:val="231F1F"/>
          <w:w w:val="105"/>
        </w:rPr>
        <w:t>y</w:t>
      </w:r>
      <w:r>
        <w:rPr>
          <w:color w:val="231F1F"/>
          <w:spacing w:val="40"/>
          <w:w w:val="105"/>
        </w:rPr>
        <w:t> </w:t>
      </w:r>
      <w:r>
        <w:rPr>
          <w:color w:val="231F1F"/>
          <w:w w:val="105"/>
        </w:rPr>
        <w:t>de</w:t>
      </w:r>
      <w:r>
        <w:rPr>
          <w:color w:val="231F1F"/>
          <w:spacing w:val="40"/>
          <w:w w:val="105"/>
        </w:rPr>
        <w:t> </w:t>
      </w:r>
      <w:r>
        <w:rPr>
          <w:color w:val="231F1F"/>
          <w:w w:val="105"/>
        </w:rPr>
        <w:t>parto</w:t>
      </w:r>
      <w:r>
        <w:rPr>
          <w:color w:val="231F1F"/>
          <w:spacing w:val="40"/>
          <w:w w:val="105"/>
        </w:rPr>
        <w:t> </w:t>
      </w:r>
      <w:r>
        <w:rPr>
          <w:color w:val="231F1F"/>
          <w:w w:val="105"/>
        </w:rPr>
        <w:t>instrumental.</w:t>
      </w:r>
    </w:p>
    <w:p>
      <w:pPr>
        <w:pStyle w:val="BodyText"/>
        <w:spacing w:line="244" w:lineRule="auto" w:before="60"/>
        <w:ind w:left="283" w:right="2" w:firstLine="453"/>
        <w:jc w:val="both"/>
      </w:pPr>
      <w:r>
        <w:rPr>
          <w:color w:val="231F1F"/>
          <w:w w:val="105"/>
        </w:rPr>
        <w:t>En resumen, la guía NICE (10) concluye que existe un alto nivel de evi- dencia</w:t>
      </w:r>
      <w:r>
        <w:rPr>
          <w:color w:val="231F1F"/>
          <w:w w:val="105"/>
        </w:rPr>
        <w:t> de</w:t>
      </w:r>
      <w:r>
        <w:rPr>
          <w:color w:val="231F1F"/>
          <w:w w:val="105"/>
        </w:rPr>
        <w:t> que,</w:t>
      </w:r>
      <w:r>
        <w:rPr>
          <w:color w:val="231F1F"/>
          <w:w w:val="105"/>
        </w:rPr>
        <w:t> comparado</w:t>
      </w:r>
      <w:r>
        <w:rPr>
          <w:color w:val="231F1F"/>
          <w:w w:val="105"/>
        </w:rPr>
        <w:t> con</w:t>
      </w:r>
      <w:r>
        <w:rPr>
          <w:color w:val="231F1F"/>
          <w:w w:val="105"/>
        </w:rPr>
        <w:t> la</w:t>
      </w:r>
      <w:r>
        <w:rPr>
          <w:color w:val="231F1F"/>
          <w:w w:val="105"/>
        </w:rPr>
        <w:t> analgesia</w:t>
      </w:r>
      <w:r>
        <w:rPr>
          <w:color w:val="231F1F"/>
          <w:w w:val="105"/>
        </w:rPr>
        <w:t> farmacológica,</w:t>
      </w:r>
      <w:r>
        <w:rPr>
          <w:color w:val="231F1F"/>
          <w:w w:val="105"/>
        </w:rPr>
        <w:t> la</w:t>
      </w:r>
      <w:r>
        <w:rPr>
          <w:color w:val="231F1F"/>
          <w:w w:val="105"/>
        </w:rPr>
        <w:t> analgesia</w:t>
      </w:r>
      <w:r>
        <w:rPr>
          <w:color w:val="231F1F"/>
          <w:w w:val="105"/>
        </w:rPr>
        <w:t> neu- </w:t>
      </w:r>
      <w:r>
        <w:rPr>
          <w:color w:val="231F1F"/>
          <w:spacing w:val="-2"/>
          <w:w w:val="105"/>
        </w:rPr>
        <w:t>roaxial:</w:t>
      </w:r>
    </w:p>
    <w:p>
      <w:pPr>
        <w:pStyle w:val="ListParagraph"/>
        <w:numPr>
          <w:ilvl w:val="0"/>
          <w:numId w:val="75"/>
        </w:numPr>
        <w:tabs>
          <w:tab w:pos="861" w:val="left" w:leader="none"/>
        </w:tabs>
        <w:spacing w:line="240" w:lineRule="auto" w:before="152" w:after="0"/>
        <w:ind w:left="861" w:right="0" w:hanging="126"/>
        <w:jc w:val="both"/>
        <w:rPr>
          <w:sz w:val="22"/>
        </w:rPr>
      </w:pPr>
      <w:r>
        <w:rPr>
          <w:color w:val="231F1F"/>
          <w:sz w:val="22"/>
        </w:rPr>
        <w:t>Provee</w:t>
      </w:r>
      <w:r>
        <w:rPr>
          <w:color w:val="231F1F"/>
          <w:spacing w:val="20"/>
          <w:sz w:val="22"/>
        </w:rPr>
        <w:t> </w:t>
      </w:r>
      <w:r>
        <w:rPr>
          <w:color w:val="231F1F"/>
          <w:sz w:val="22"/>
        </w:rPr>
        <w:t>un</w:t>
      </w:r>
      <w:r>
        <w:rPr>
          <w:color w:val="231F1F"/>
          <w:spacing w:val="22"/>
          <w:sz w:val="22"/>
        </w:rPr>
        <w:t> </w:t>
      </w:r>
      <w:r>
        <w:rPr>
          <w:color w:val="231F1F"/>
          <w:sz w:val="22"/>
        </w:rPr>
        <w:t>alivio</w:t>
      </w:r>
      <w:r>
        <w:rPr>
          <w:color w:val="231F1F"/>
          <w:spacing w:val="24"/>
          <w:sz w:val="22"/>
        </w:rPr>
        <w:t> </w:t>
      </w:r>
      <w:r>
        <w:rPr>
          <w:color w:val="231F1F"/>
          <w:sz w:val="22"/>
        </w:rPr>
        <w:t>más</w:t>
      </w:r>
      <w:r>
        <w:rPr>
          <w:color w:val="231F1F"/>
          <w:spacing w:val="22"/>
          <w:sz w:val="22"/>
        </w:rPr>
        <w:t> </w:t>
      </w:r>
      <w:r>
        <w:rPr>
          <w:color w:val="231F1F"/>
          <w:sz w:val="22"/>
        </w:rPr>
        <w:t>efectivo</w:t>
      </w:r>
      <w:r>
        <w:rPr>
          <w:color w:val="231F1F"/>
          <w:spacing w:val="23"/>
          <w:sz w:val="22"/>
        </w:rPr>
        <w:t> </w:t>
      </w:r>
      <w:r>
        <w:rPr>
          <w:color w:val="231F1F"/>
          <w:sz w:val="22"/>
        </w:rPr>
        <w:t>del</w:t>
      </w:r>
      <w:r>
        <w:rPr>
          <w:color w:val="231F1F"/>
          <w:spacing w:val="24"/>
          <w:sz w:val="22"/>
        </w:rPr>
        <w:t> </w:t>
      </w:r>
      <w:r>
        <w:rPr>
          <w:color w:val="231F1F"/>
          <w:spacing w:val="-2"/>
          <w:sz w:val="22"/>
        </w:rPr>
        <w:t>dolor.</w:t>
      </w:r>
    </w:p>
    <w:p>
      <w:pPr>
        <w:pStyle w:val="ListParagraph"/>
        <w:numPr>
          <w:ilvl w:val="0"/>
          <w:numId w:val="75"/>
        </w:numPr>
        <w:tabs>
          <w:tab w:pos="862" w:val="left" w:leader="none"/>
          <w:tab w:pos="920" w:val="left" w:leader="none"/>
        </w:tabs>
        <w:spacing w:line="244" w:lineRule="auto" w:before="155" w:after="0"/>
        <w:ind w:left="920" w:right="95" w:hanging="184"/>
        <w:jc w:val="left"/>
        <w:rPr>
          <w:sz w:val="22"/>
        </w:rPr>
      </w:pPr>
      <w:r>
        <w:rPr>
          <w:color w:val="231F1F"/>
          <w:w w:val="110"/>
          <w:sz w:val="22"/>
        </w:rPr>
        <w:t>Está</w:t>
      </w:r>
      <w:r>
        <w:rPr>
          <w:color w:val="231F1F"/>
          <w:spacing w:val="-10"/>
          <w:w w:val="110"/>
          <w:sz w:val="22"/>
        </w:rPr>
        <w:t> </w:t>
      </w:r>
      <w:r>
        <w:rPr>
          <w:color w:val="231F1F"/>
          <w:w w:val="110"/>
          <w:sz w:val="22"/>
        </w:rPr>
        <w:t>asociada</w:t>
      </w:r>
      <w:r>
        <w:rPr>
          <w:color w:val="231F1F"/>
          <w:spacing w:val="-10"/>
          <w:w w:val="110"/>
          <w:sz w:val="22"/>
        </w:rPr>
        <w:t> </w:t>
      </w:r>
      <w:r>
        <w:rPr>
          <w:color w:val="231F1F"/>
          <w:w w:val="110"/>
          <w:sz w:val="22"/>
        </w:rPr>
        <w:t>con</w:t>
      </w:r>
      <w:r>
        <w:rPr>
          <w:color w:val="231F1F"/>
          <w:spacing w:val="-10"/>
          <w:w w:val="110"/>
          <w:sz w:val="22"/>
        </w:rPr>
        <w:t> </w:t>
      </w:r>
      <w:r>
        <w:rPr>
          <w:color w:val="231F1F"/>
          <w:w w:val="110"/>
          <w:sz w:val="22"/>
        </w:rPr>
        <w:t>una</w:t>
      </w:r>
      <w:r>
        <w:rPr>
          <w:color w:val="231F1F"/>
          <w:spacing w:val="-10"/>
          <w:w w:val="110"/>
          <w:sz w:val="22"/>
        </w:rPr>
        <w:t> </w:t>
      </w:r>
      <w:r>
        <w:rPr>
          <w:color w:val="231F1F"/>
          <w:w w:val="110"/>
          <w:sz w:val="22"/>
        </w:rPr>
        <w:t>segunda</w:t>
      </w:r>
      <w:r>
        <w:rPr>
          <w:color w:val="231F1F"/>
          <w:spacing w:val="-10"/>
          <w:w w:val="110"/>
          <w:sz w:val="22"/>
        </w:rPr>
        <w:t> </w:t>
      </w:r>
      <w:r>
        <w:rPr>
          <w:color w:val="231F1F"/>
          <w:w w:val="110"/>
          <w:sz w:val="22"/>
        </w:rPr>
        <w:t>etapa</w:t>
      </w:r>
      <w:r>
        <w:rPr>
          <w:color w:val="231F1F"/>
          <w:spacing w:val="-10"/>
          <w:w w:val="110"/>
          <w:sz w:val="22"/>
        </w:rPr>
        <w:t> </w:t>
      </w:r>
      <w:r>
        <w:rPr>
          <w:color w:val="231F1F"/>
          <w:w w:val="110"/>
          <w:sz w:val="22"/>
        </w:rPr>
        <w:t>del</w:t>
      </w:r>
      <w:r>
        <w:rPr>
          <w:color w:val="231F1F"/>
          <w:spacing w:val="-12"/>
          <w:w w:val="110"/>
          <w:sz w:val="22"/>
        </w:rPr>
        <w:t> </w:t>
      </w:r>
      <w:r>
        <w:rPr>
          <w:color w:val="231F1F"/>
          <w:w w:val="110"/>
          <w:sz w:val="22"/>
        </w:rPr>
        <w:t>parto</w:t>
      </w:r>
      <w:r>
        <w:rPr>
          <w:color w:val="231F1F"/>
          <w:spacing w:val="-10"/>
          <w:w w:val="110"/>
          <w:sz w:val="22"/>
        </w:rPr>
        <w:t> </w:t>
      </w:r>
      <w:r>
        <w:rPr>
          <w:color w:val="231F1F"/>
          <w:w w:val="110"/>
          <w:sz w:val="22"/>
        </w:rPr>
        <w:t>más</w:t>
      </w:r>
      <w:r>
        <w:rPr>
          <w:color w:val="231F1F"/>
          <w:spacing w:val="-10"/>
          <w:w w:val="110"/>
          <w:sz w:val="22"/>
        </w:rPr>
        <w:t> </w:t>
      </w:r>
      <w:r>
        <w:rPr>
          <w:color w:val="231F1F"/>
          <w:w w:val="110"/>
          <w:sz w:val="22"/>
        </w:rPr>
        <w:t>prolongada</w:t>
      </w:r>
      <w:r>
        <w:rPr>
          <w:color w:val="231F1F"/>
          <w:spacing w:val="-10"/>
          <w:w w:val="110"/>
          <w:sz w:val="22"/>
        </w:rPr>
        <w:t> </w:t>
      </w:r>
      <w:r>
        <w:rPr>
          <w:color w:val="231F1F"/>
          <w:w w:val="110"/>
          <w:sz w:val="22"/>
        </w:rPr>
        <w:t>y</w:t>
      </w:r>
      <w:r>
        <w:rPr>
          <w:color w:val="231F1F"/>
          <w:spacing w:val="-10"/>
          <w:w w:val="110"/>
          <w:sz w:val="22"/>
        </w:rPr>
        <w:t> </w:t>
      </w:r>
      <w:r>
        <w:rPr>
          <w:color w:val="231F1F"/>
          <w:w w:val="110"/>
          <w:sz w:val="22"/>
        </w:rPr>
        <w:t>con el</w:t>
      </w:r>
      <w:r>
        <w:rPr>
          <w:color w:val="231F1F"/>
          <w:spacing w:val="-4"/>
          <w:w w:val="110"/>
          <w:sz w:val="22"/>
        </w:rPr>
        <w:t> </w:t>
      </w:r>
      <w:r>
        <w:rPr>
          <w:color w:val="231F1F"/>
          <w:w w:val="110"/>
          <w:sz w:val="22"/>
        </w:rPr>
        <w:t>aumento</w:t>
      </w:r>
      <w:r>
        <w:rPr>
          <w:color w:val="231F1F"/>
          <w:spacing w:val="-4"/>
          <w:w w:val="110"/>
          <w:sz w:val="22"/>
        </w:rPr>
        <w:t> </w:t>
      </w:r>
      <w:r>
        <w:rPr>
          <w:color w:val="231F1F"/>
          <w:w w:val="110"/>
          <w:sz w:val="22"/>
        </w:rPr>
        <w:t>de</w:t>
      </w:r>
      <w:r>
        <w:rPr>
          <w:color w:val="231F1F"/>
          <w:spacing w:val="-4"/>
          <w:w w:val="110"/>
          <w:sz w:val="22"/>
        </w:rPr>
        <w:t> </w:t>
      </w:r>
      <w:r>
        <w:rPr>
          <w:color w:val="231F1F"/>
          <w:w w:val="110"/>
          <w:sz w:val="22"/>
        </w:rPr>
        <w:t>partos</w:t>
      </w:r>
      <w:r>
        <w:rPr>
          <w:color w:val="231F1F"/>
          <w:spacing w:val="-5"/>
          <w:w w:val="110"/>
          <w:sz w:val="22"/>
        </w:rPr>
        <w:t> </w:t>
      </w:r>
      <w:r>
        <w:rPr>
          <w:color w:val="231F1F"/>
          <w:w w:val="110"/>
          <w:sz w:val="22"/>
        </w:rPr>
        <w:t>instrumentales,</w:t>
      </w:r>
      <w:r>
        <w:rPr>
          <w:color w:val="231F1F"/>
          <w:spacing w:val="-5"/>
          <w:w w:val="110"/>
          <w:sz w:val="22"/>
        </w:rPr>
        <w:t> </w:t>
      </w:r>
      <w:r>
        <w:rPr>
          <w:color w:val="231F1F"/>
          <w:w w:val="110"/>
          <w:sz w:val="22"/>
        </w:rPr>
        <w:t>aunque</w:t>
      </w:r>
      <w:r>
        <w:rPr>
          <w:color w:val="231F1F"/>
          <w:spacing w:val="-4"/>
          <w:w w:val="110"/>
          <w:sz w:val="22"/>
        </w:rPr>
        <w:t> </w:t>
      </w:r>
      <w:r>
        <w:rPr>
          <w:color w:val="231F1F"/>
          <w:w w:val="110"/>
          <w:sz w:val="22"/>
        </w:rPr>
        <w:t>dicho</w:t>
      </w:r>
      <w:r>
        <w:rPr>
          <w:color w:val="231F1F"/>
          <w:spacing w:val="-4"/>
          <w:w w:val="110"/>
          <w:sz w:val="22"/>
        </w:rPr>
        <w:t> </w:t>
      </w:r>
      <w:r>
        <w:rPr>
          <w:color w:val="231F1F"/>
          <w:w w:val="110"/>
          <w:sz w:val="22"/>
        </w:rPr>
        <w:t>efecto</w:t>
      </w:r>
      <w:r>
        <w:rPr>
          <w:color w:val="231F1F"/>
          <w:spacing w:val="-4"/>
          <w:w w:val="110"/>
          <w:sz w:val="22"/>
        </w:rPr>
        <w:t> </w:t>
      </w:r>
      <w:r>
        <w:rPr>
          <w:color w:val="231F1F"/>
          <w:w w:val="110"/>
          <w:sz w:val="22"/>
        </w:rPr>
        <w:t>puede</w:t>
      </w:r>
      <w:r>
        <w:rPr>
          <w:color w:val="231F1F"/>
          <w:spacing w:val="-4"/>
          <w:w w:val="110"/>
          <w:sz w:val="22"/>
        </w:rPr>
        <w:t> </w:t>
      </w:r>
      <w:r>
        <w:rPr>
          <w:color w:val="231F1F"/>
          <w:w w:val="110"/>
          <w:sz w:val="22"/>
        </w:rPr>
        <w:t>ser</w:t>
      </w:r>
    </w:p>
    <w:p>
      <w:pPr>
        <w:spacing w:line="278" w:lineRule="auto" w:before="124"/>
        <w:ind w:left="88" w:right="153" w:firstLine="0"/>
        <w:jc w:val="center"/>
        <w:rPr>
          <w:rFonts w:ascii="Arial MT"/>
          <w:sz w:val="18"/>
        </w:rPr>
      </w:pPr>
      <w:r>
        <w:rPr/>
        <w:br w:type="column"/>
      </w: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1"/>
        <w:rPr>
          <w:rFonts w:ascii="Arial MT"/>
          <w:sz w:val="18"/>
        </w:rPr>
      </w:pPr>
    </w:p>
    <w:p>
      <w:pPr>
        <w:spacing w:line="278" w:lineRule="auto" w:before="0"/>
        <w:ind w:left="391" w:right="441"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84"/>
        <w:rPr>
          <w:rFonts w:ascii="Arial MT"/>
          <w:sz w:val="18"/>
        </w:rPr>
      </w:pPr>
    </w:p>
    <w:p>
      <w:pPr>
        <w:spacing w:line="278" w:lineRule="auto" w:before="0"/>
        <w:ind w:left="391" w:right="441" w:firstLine="0"/>
        <w:jc w:val="center"/>
        <w:rPr>
          <w:rFonts w:ascii="Arial MT"/>
          <w:sz w:val="18"/>
        </w:rPr>
      </w:pPr>
      <w:r>
        <w:rPr>
          <w:rFonts w:ascii="Arial MT"/>
          <w:color w:val="231F1F"/>
          <w:spacing w:val="-8"/>
          <w:sz w:val="18"/>
        </w:rPr>
        <w:t>ECA </w:t>
      </w:r>
      <w:r>
        <w:rPr>
          <w:rFonts w:ascii="Arial MT"/>
          <w:color w:val="231F1F"/>
          <w:spacing w:val="-6"/>
          <w:sz w:val="18"/>
        </w:rPr>
        <w:t>2+</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85"/>
        <w:rPr>
          <w:rFonts w:ascii="Arial MT"/>
          <w:sz w:val="18"/>
        </w:rPr>
      </w:pPr>
    </w:p>
    <w:p>
      <w:pPr>
        <w:spacing w:line="278" w:lineRule="auto" w:before="0"/>
        <w:ind w:left="391" w:right="441" w:firstLine="0"/>
        <w:jc w:val="center"/>
        <w:rPr>
          <w:rFonts w:ascii="Arial MT"/>
          <w:sz w:val="18"/>
        </w:rPr>
      </w:pPr>
      <w:r>
        <w:rPr>
          <w:rFonts w:ascii="Arial MT"/>
          <w:color w:val="231F1F"/>
          <w:spacing w:val="-8"/>
          <w:sz w:val="18"/>
        </w:rPr>
        <w:t>ECA </w:t>
      </w:r>
      <w:r>
        <w:rPr>
          <w:rFonts w:ascii="Arial MT"/>
          <w:color w:val="231F1F"/>
          <w:spacing w:val="-6"/>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9"/>
        <w:rPr>
          <w:rFonts w:ascii="Arial MT"/>
          <w:sz w:val="18"/>
        </w:rPr>
      </w:pPr>
    </w:p>
    <w:p>
      <w:pPr>
        <w:spacing w:line="278" w:lineRule="auto" w:before="0"/>
        <w:ind w:left="218" w:right="198" w:firstLine="198"/>
        <w:jc w:val="left"/>
        <w:rPr>
          <w:rFonts w:ascii="Arial MT"/>
          <w:sz w:val="18"/>
        </w:rPr>
      </w:pPr>
      <w:r>
        <w:rPr>
          <w:rFonts w:ascii="Arial MT"/>
          <w:color w:val="231F1F"/>
          <w:sz w:val="18"/>
        </w:rPr>
        <w:t>E. de </w:t>
      </w:r>
      <w:r>
        <w:rPr>
          <w:rFonts w:ascii="Arial MT"/>
          <w:color w:val="231F1F"/>
          <w:spacing w:val="-2"/>
          <w:sz w:val="18"/>
        </w:rPr>
        <w:t>Cohorte</w:t>
      </w:r>
      <w:r>
        <w:rPr>
          <w:rFonts w:ascii="Arial MT"/>
          <w:color w:val="231F1F"/>
          <w:spacing w:val="-15"/>
          <w:sz w:val="18"/>
        </w:rPr>
        <w:t> </w:t>
      </w:r>
      <w:r>
        <w:rPr>
          <w:rFonts w:ascii="Arial MT"/>
          <w:color w:val="231F1F"/>
          <w:spacing w:val="-2"/>
          <w:sz w:val="18"/>
        </w:rPr>
        <w:t>3</w:t>
      </w:r>
    </w:p>
    <w:p>
      <w:pPr>
        <w:spacing w:after="0" w:line="278" w:lineRule="auto"/>
        <w:jc w:val="left"/>
        <w:rPr>
          <w:rFonts w:ascii="Arial MT"/>
          <w:sz w:val="18"/>
        </w:rPr>
        <w:sectPr>
          <w:pgSz w:w="11900" w:h="16840"/>
          <w:pgMar w:header="0" w:footer="622" w:top="1560" w:bottom="820" w:left="1417" w:right="1559"/>
          <w:cols w:num="2" w:equalWidth="0">
            <w:col w:w="7552" w:space="40"/>
            <w:col w:w="1332"/>
          </w:cols>
        </w:sectPr>
      </w:pPr>
    </w:p>
    <w:p>
      <w:pPr>
        <w:pStyle w:val="BodyText"/>
        <w:spacing w:line="244" w:lineRule="auto" w:before="73"/>
        <w:ind w:left="920" w:right="1386"/>
      </w:pPr>
      <w:r>
        <w:rPr>
          <w:color w:val="231F1F"/>
          <w:w w:val="110"/>
        </w:rPr>
        <w:t>debido</w:t>
      </w:r>
      <w:r>
        <w:rPr>
          <w:color w:val="231F1F"/>
          <w:spacing w:val="-8"/>
          <w:w w:val="110"/>
        </w:rPr>
        <w:t> </w:t>
      </w:r>
      <w:r>
        <w:rPr>
          <w:color w:val="231F1F"/>
          <w:w w:val="110"/>
        </w:rPr>
        <w:t>al</w:t>
      </w:r>
      <w:r>
        <w:rPr>
          <w:color w:val="231F1F"/>
          <w:spacing w:val="-8"/>
          <w:w w:val="110"/>
        </w:rPr>
        <w:t> </w:t>
      </w:r>
      <w:r>
        <w:rPr>
          <w:color w:val="231F1F"/>
          <w:w w:val="110"/>
        </w:rPr>
        <w:t>tipo</w:t>
      </w:r>
      <w:r>
        <w:rPr>
          <w:color w:val="231F1F"/>
          <w:spacing w:val="-8"/>
          <w:w w:val="110"/>
        </w:rPr>
        <w:t> </w:t>
      </w:r>
      <w:r>
        <w:rPr>
          <w:color w:val="231F1F"/>
          <w:w w:val="110"/>
        </w:rPr>
        <w:t>de</w:t>
      </w:r>
      <w:r>
        <w:rPr>
          <w:color w:val="231F1F"/>
          <w:spacing w:val="-8"/>
          <w:w w:val="110"/>
        </w:rPr>
        <w:t> </w:t>
      </w:r>
      <w:r>
        <w:rPr>
          <w:color w:val="231F1F"/>
          <w:w w:val="110"/>
        </w:rPr>
        <w:t>atención</w:t>
      </w:r>
      <w:r>
        <w:rPr>
          <w:color w:val="231F1F"/>
          <w:spacing w:val="-8"/>
          <w:w w:val="110"/>
        </w:rPr>
        <w:t> </w:t>
      </w:r>
      <w:r>
        <w:rPr>
          <w:color w:val="231F1F"/>
          <w:w w:val="110"/>
        </w:rPr>
        <w:t>que</w:t>
      </w:r>
      <w:r>
        <w:rPr>
          <w:color w:val="231F1F"/>
          <w:spacing w:val="-8"/>
          <w:w w:val="110"/>
        </w:rPr>
        <w:t> </w:t>
      </w:r>
      <w:r>
        <w:rPr>
          <w:color w:val="231F1F"/>
          <w:w w:val="110"/>
        </w:rPr>
        <w:t>se</w:t>
      </w:r>
      <w:r>
        <w:rPr>
          <w:color w:val="231F1F"/>
          <w:spacing w:val="-8"/>
          <w:w w:val="110"/>
        </w:rPr>
        <w:t> </w:t>
      </w:r>
      <w:r>
        <w:rPr>
          <w:color w:val="231F1F"/>
          <w:w w:val="110"/>
        </w:rPr>
        <w:t>practicaba</w:t>
      </w:r>
      <w:r>
        <w:rPr>
          <w:color w:val="231F1F"/>
          <w:spacing w:val="-9"/>
          <w:w w:val="110"/>
        </w:rPr>
        <w:t> </w:t>
      </w:r>
      <w:r>
        <w:rPr>
          <w:color w:val="231F1F"/>
          <w:w w:val="110"/>
        </w:rPr>
        <w:t>en</w:t>
      </w:r>
      <w:r>
        <w:rPr>
          <w:color w:val="231F1F"/>
          <w:spacing w:val="-8"/>
          <w:w w:val="110"/>
        </w:rPr>
        <w:t> </w:t>
      </w:r>
      <w:r>
        <w:rPr>
          <w:color w:val="231F1F"/>
          <w:w w:val="110"/>
        </w:rPr>
        <w:t>ese</w:t>
      </w:r>
      <w:r>
        <w:rPr>
          <w:color w:val="231F1F"/>
          <w:spacing w:val="-8"/>
          <w:w w:val="110"/>
        </w:rPr>
        <w:t> </w:t>
      </w:r>
      <w:r>
        <w:rPr>
          <w:color w:val="231F1F"/>
          <w:w w:val="110"/>
        </w:rPr>
        <w:t>momento</w:t>
      </w:r>
      <w:r>
        <w:rPr>
          <w:color w:val="231F1F"/>
          <w:spacing w:val="-8"/>
          <w:w w:val="110"/>
        </w:rPr>
        <w:t> </w:t>
      </w:r>
      <w:r>
        <w:rPr>
          <w:color w:val="231F1F"/>
          <w:w w:val="110"/>
        </w:rPr>
        <w:t>en</w:t>
      </w:r>
      <w:r>
        <w:rPr>
          <w:color w:val="231F1F"/>
          <w:spacing w:val="-8"/>
          <w:w w:val="110"/>
        </w:rPr>
        <w:t> </w:t>
      </w:r>
      <w:r>
        <w:rPr>
          <w:color w:val="231F1F"/>
          <w:w w:val="110"/>
        </w:rPr>
        <w:t>el Reino Unido.</w:t>
      </w:r>
    </w:p>
    <w:p>
      <w:pPr>
        <w:pStyle w:val="ListParagraph"/>
        <w:numPr>
          <w:ilvl w:val="0"/>
          <w:numId w:val="76"/>
        </w:numPr>
        <w:tabs>
          <w:tab w:pos="915" w:val="left" w:leader="none"/>
        </w:tabs>
        <w:spacing w:line="240" w:lineRule="auto" w:before="151" w:after="0"/>
        <w:ind w:left="915" w:right="0" w:hanging="180"/>
        <w:jc w:val="left"/>
        <w:rPr>
          <w:sz w:val="22"/>
        </w:rPr>
      </w:pPr>
      <w:r>
        <w:rPr>
          <w:color w:val="231F1F"/>
          <w:sz w:val="22"/>
        </w:rPr>
        <w:t>No</w:t>
      </w:r>
      <w:r>
        <w:rPr>
          <w:color w:val="231F1F"/>
          <w:spacing w:val="16"/>
          <w:sz w:val="22"/>
        </w:rPr>
        <w:t> </w:t>
      </w:r>
      <w:r>
        <w:rPr>
          <w:color w:val="231F1F"/>
          <w:sz w:val="22"/>
        </w:rPr>
        <w:t>prolonga</w:t>
      </w:r>
      <w:r>
        <w:rPr>
          <w:color w:val="231F1F"/>
          <w:spacing w:val="18"/>
          <w:sz w:val="22"/>
        </w:rPr>
        <w:t> </w:t>
      </w:r>
      <w:r>
        <w:rPr>
          <w:color w:val="231F1F"/>
          <w:sz w:val="22"/>
        </w:rPr>
        <w:t>la</w:t>
      </w:r>
      <w:r>
        <w:rPr>
          <w:color w:val="231F1F"/>
          <w:spacing w:val="17"/>
          <w:sz w:val="22"/>
        </w:rPr>
        <w:t> </w:t>
      </w:r>
      <w:r>
        <w:rPr>
          <w:color w:val="231F1F"/>
          <w:sz w:val="22"/>
        </w:rPr>
        <w:t>primera</w:t>
      </w:r>
      <w:r>
        <w:rPr>
          <w:color w:val="231F1F"/>
          <w:spacing w:val="18"/>
          <w:sz w:val="22"/>
        </w:rPr>
        <w:t> </w:t>
      </w:r>
      <w:r>
        <w:rPr>
          <w:color w:val="231F1F"/>
          <w:sz w:val="22"/>
        </w:rPr>
        <w:t>etapa</w:t>
      </w:r>
      <w:r>
        <w:rPr>
          <w:color w:val="231F1F"/>
          <w:spacing w:val="18"/>
          <w:sz w:val="22"/>
        </w:rPr>
        <w:t> </w:t>
      </w:r>
      <w:r>
        <w:rPr>
          <w:color w:val="231F1F"/>
          <w:sz w:val="22"/>
        </w:rPr>
        <w:t>del</w:t>
      </w:r>
      <w:r>
        <w:rPr>
          <w:color w:val="231F1F"/>
          <w:spacing w:val="16"/>
          <w:sz w:val="22"/>
        </w:rPr>
        <w:t> </w:t>
      </w:r>
      <w:r>
        <w:rPr>
          <w:color w:val="231F1F"/>
          <w:sz w:val="22"/>
        </w:rPr>
        <w:t>parto,</w:t>
      </w:r>
      <w:r>
        <w:rPr>
          <w:color w:val="231F1F"/>
          <w:spacing w:val="16"/>
          <w:sz w:val="22"/>
        </w:rPr>
        <w:t> </w:t>
      </w:r>
      <w:r>
        <w:rPr>
          <w:color w:val="231F1F"/>
          <w:sz w:val="22"/>
        </w:rPr>
        <w:t>ni</w:t>
      </w:r>
      <w:r>
        <w:rPr>
          <w:color w:val="231F1F"/>
          <w:spacing w:val="18"/>
          <w:sz w:val="22"/>
        </w:rPr>
        <w:t> </w:t>
      </w:r>
      <w:r>
        <w:rPr>
          <w:color w:val="231F1F"/>
          <w:sz w:val="22"/>
        </w:rPr>
        <w:t>aumenta</w:t>
      </w:r>
      <w:r>
        <w:rPr>
          <w:color w:val="231F1F"/>
          <w:spacing w:val="18"/>
          <w:sz w:val="22"/>
        </w:rPr>
        <w:t> </w:t>
      </w:r>
      <w:r>
        <w:rPr>
          <w:color w:val="231F1F"/>
          <w:sz w:val="22"/>
        </w:rPr>
        <w:t>la</w:t>
      </w:r>
      <w:r>
        <w:rPr>
          <w:color w:val="231F1F"/>
          <w:spacing w:val="17"/>
          <w:sz w:val="22"/>
        </w:rPr>
        <w:t> </w:t>
      </w:r>
      <w:r>
        <w:rPr>
          <w:color w:val="231F1F"/>
          <w:sz w:val="22"/>
        </w:rPr>
        <w:t>tasa</w:t>
      </w:r>
      <w:r>
        <w:rPr>
          <w:color w:val="231F1F"/>
          <w:spacing w:val="18"/>
          <w:sz w:val="22"/>
        </w:rPr>
        <w:t> </w:t>
      </w:r>
      <w:r>
        <w:rPr>
          <w:color w:val="231F1F"/>
          <w:sz w:val="22"/>
        </w:rPr>
        <w:t>de</w:t>
      </w:r>
      <w:r>
        <w:rPr>
          <w:color w:val="231F1F"/>
          <w:spacing w:val="18"/>
          <w:sz w:val="22"/>
        </w:rPr>
        <w:t> </w:t>
      </w:r>
      <w:r>
        <w:rPr>
          <w:color w:val="231F1F"/>
          <w:spacing w:val="-2"/>
          <w:sz w:val="22"/>
        </w:rPr>
        <w:t>cesáreas.</w:t>
      </w:r>
    </w:p>
    <w:p>
      <w:pPr>
        <w:pStyle w:val="ListParagraph"/>
        <w:numPr>
          <w:ilvl w:val="0"/>
          <w:numId w:val="76"/>
        </w:numPr>
        <w:tabs>
          <w:tab w:pos="915" w:val="left" w:leader="none"/>
          <w:tab w:pos="920" w:val="left" w:leader="none"/>
        </w:tabs>
        <w:spacing w:line="254" w:lineRule="auto" w:before="169" w:after="0"/>
        <w:ind w:left="920" w:right="1712" w:hanging="184"/>
        <w:jc w:val="left"/>
        <w:rPr>
          <w:sz w:val="22"/>
        </w:rPr>
      </w:pPr>
      <w:r>
        <w:rPr>
          <w:color w:val="231F1F"/>
          <w:sz w:val="22"/>
        </w:rPr>
        <w:t>Se</w:t>
      </w:r>
      <w:r>
        <w:rPr>
          <w:color w:val="231F1F"/>
          <w:spacing w:val="-8"/>
          <w:sz w:val="22"/>
        </w:rPr>
        <w:t> </w:t>
      </w:r>
      <w:r>
        <w:rPr>
          <w:color w:val="231F1F"/>
          <w:sz w:val="22"/>
        </w:rPr>
        <w:t>asocia</w:t>
      </w:r>
      <w:r>
        <w:rPr>
          <w:color w:val="231F1F"/>
          <w:spacing w:val="-8"/>
          <w:sz w:val="22"/>
        </w:rPr>
        <w:t> </w:t>
      </w:r>
      <w:r>
        <w:rPr>
          <w:color w:val="231F1F"/>
          <w:sz w:val="22"/>
        </w:rPr>
        <w:t>a</w:t>
      </w:r>
      <w:r>
        <w:rPr>
          <w:color w:val="231F1F"/>
          <w:spacing w:val="-8"/>
          <w:sz w:val="22"/>
        </w:rPr>
        <w:t> </w:t>
      </w:r>
      <w:r>
        <w:rPr>
          <w:color w:val="231F1F"/>
          <w:sz w:val="22"/>
        </w:rPr>
        <w:t>un</w:t>
      </w:r>
      <w:r>
        <w:rPr>
          <w:color w:val="231F1F"/>
          <w:spacing w:val="-8"/>
          <w:sz w:val="22"/>
        </w:rPr>
        <w:t> </w:t>
      </w:r>
      <w:r>
        <w:rPr>
          <w:color w:val="231F1F"/>
          <w:sz w:val="22"/>
        </w:rPr>
        <w:t>mejor</w:t>
      </w:r>
      <w:r>
        <w:rPr>
          <w:color w:val="231F1F"/>
          <w:spacing w:val="-8"/>
          <w:sz w:val="22"/>
        </w:rPr>
        <w:t> </w:t>
      </w:r>
      <w:r>
        <w:rPr>
          <w:color w:val="231F1F"/>
          <w:sz w:val="22"/>
        </w:rPr>
        <w:t>estatus</w:t>
      </w:r>
      <w:r>
        <w:rPr>
          <w:color w:val="231F1F"/>
          <w:spacing w:val="-8"/>
          <w:sz w:val="22"/>
        </w:rPr>
        <w:t> </w:t>
      </w:r>
      <w:r>
        <w:rPr>
          <w:color w:val="231F1F"/>
          <w:sz w:val="22"/>
        </w:rPr>
        <w:t>acido-básico</w:t>
      </w:r>
      <w:r>
        <w:rPr>
          <w:color w:val="231F1F"/>
          <w:spacing w:val="-8"/>
          <w:sz w:val="22"/>
        </w:rPr>
        <w:t> </w:t>
      </w:r>
      <w:r>
        <w:rPr>
          <w:color w:val="231F1F"/>
          <w:sz w:val="22"/>
        </w:rPr>
        <w:t>del</w:t>
      </w:r>
      <w:r>
        <w:rPr>
          <w:color w:val="231F1F"/>
          <w:spacing w:val="-8"/>
          <w:sz w:val="22"/>
        </w:rPr>
        <w:t> </w:t>
      </w:r>
      <w:r>
        <w:rPr>
          <w:color w:val="231F1F"/>
          <w:sz w:val="22"/>
        </w:rPr>
        <w:t>RN</w:t>
      </w:r>
      <w:r>
        <w:rPr>
          <w:color w:val="231F1F"/>
          <w:spacing w:val="-8"/>
          <w:sz w:val="22"/>
        </w:rPr>
        <w:t> </w:t>
      </w:r>
      <w:r>
        <w:rPr>
          <w:color w:val="231F1F"/>
          <w:sz w:val="22"/>
        </w:rPr>
        <w:t>que</w:t>
      </w:r>
      <w:r>
        <w:rPr>
          <w:color w:val="231F1F"/>
          <w:spacing w:val="-8"/>
          <w:sz w:val="22"/>
        </w:rPr>
        <w:t> </w:t>
      </w:r>
      <w:r>
        <w:rPr>
          <w:color w:val="231F1F"/>
          <w:sz w:val="22"/>
        </w:rPr>
        <w:t>cuando</w:t>
      </w:r>
      <w:r>
        <w:rPr>
          <w:color w:val="231F1F"/>
          <w:spacing w:val="-8"/>
          <w:sz w:val="22"/>
        </w:rPr>
        <w:t> </w:t>
      </w:r>
      <w:r>
        <w:rPr>
          <w:color w:val="231F1F"/>
          <w:sz w:val="22"/>
        </w:rPr>
        <w:t>se</w:t>
      </w:r>
      <w:r>
        <w:rPr>
          <w:color w:val="231F1F"/>
          <w:spacing w:val="-8"/>
          <w:sz w:val="22"/>
        </w:rPr>
        <w:t> </w:t>
      </w:r>
      <w:r>
        <w:rPr>
          <w:color w:val="231F1F"/>
          <w:sz w:val="22"/>
        </w:rPr>
        <w:t>utilizan los opioides</w:t>
      </w:r>
    </w:p>
    <w:p>
      <w:pPr>
        <w:pStyle w:val="BodyText"/>
        <w:spacing w:before="161"/>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1"/>
          <w:sz w:val="24"/>
        </w:rPr>
        <w:t> </w:t>
      </w:r>
      <w:r>
        <w:rPr>
          <w:rFonts w:ascii="Arial MT" w:hAnsi="Arial MT"/>
          <w:color w:val="231F1F"/>
          <w:sz w:val="24"/>
        </w:rPr>
        <w:t>noviembre</w:t>
      </w:r>
      <w:r>
        <w:rPr>
          <w:rFonts w:ascii="Arial MT" w:hAnsi="Arial MT"/>
          <w:color w:val="231F1F"/>
          <w:spacing w:val="23"/>
          <w:sz w:val="24"/>
        </w:rPr>
        <w:t> </w:t>
      </w:r>
      <w:r>
        <w:rPr>
          <w:rFonts w:ascii="Arial MT" w:hAnsi="Arial MT"/>
          <w:color w:val="231F1F"/>
          <w:spacing w:val="-2"/>
          <w:sz w:val="24"/>
        </w:rPr>
        <w:t>2008)</w:t>
      </w:r>
    </w:p>
    <w:p>
      <w:pPr>
        <w:pStyle w:val="BodyText"/>
        <w:spacing w:line="244" w:lineRule="auto" w:before="204"/>
        <w:ind w:left="283" w:right="1367"/>
        <w:jc w:val="both"/>
      </w:pPr>
      <w:r>
        <w:rPr>
          <w:color w:val="231F1F"/>
          <w:w w:val="105"/>
        </w:rPr>
        <w:t>Se ha seleccionado un ECA del año 2008 (307) con un </w:t>
      </w:r>
      <w:r>
        <w:rPr>
          <w:b/>
          <w:color w:val="231F1F"/>
          <w:w w:val="105"/>
        </w:rPr>
        <w:t>NE=1+ </w:t>
      </w:r>
      <w:r>
        <w:rPr>
          <w:color w:val="231F1F"/>
          <w:w w:val="105"/>
        </w:rPr>
        <w:t>en el que par- ticiparon 52 mujeres sanas a término con embarazo simple no complicado y que</w:t>
      </w:r>
      <w:r>
        <w:rPr>
          <w:color w:val="231F1F"/>
          <w:w w:val="105"/>
        </w:rPr>
        <w:t> compara</w:t>
      </w:r>
      <w:r>
        <w:rPr>
          <w:color w:val="231F1F"/>
          <w:w w:val="105"/>
        </w:rPr>
        <w:t> la</w:t>
      </w:r>
      <w:r>
        <w:rPr>
          <w:color w:val="231F1F"/>
          <w:w w:val="105"/>
        </w:rPr>
        <w:t> utilización</w:t>
      </w:r>
      <w:r>
        <w:rPr>
          <w:color w:val="231F1F"/>
          <w:w w:val="105"/>
        </w:rPr>
        <w:t> de</w:t>
      </w:r>
      <w:r>
        <w:rPr>
          <w:color w:val="231F1F"/>
          <w:w w:val="105"/>
        </w:rPr>
        <w:t> remifentanilo</w:t>
      </w:r>
      <w:r>
        <w:rPr>
          <w:color w:val="231F1F"/>
          <w:w w:val="105"/>
        </w:rPr>
        <w:t> PCA</w:t>
      </w:r>
      <w:r>
        <w:rPr>
          <w:color w:val="231F1F"/>
          <w:w w:val="105"/>
        </w:rPr>
        <w:t> IV</w:t>
      </w:r>
      <w:r>
        <w:rPr>
          <w:color w:val="231F1F"/>
          <w:w w:val="105"/>
        </w:rPr>
        <w:t> con</w:t>
      </w:r>
      <w:r>
        <w:rPr>
          <w:color w:val="231F1F"/>
          <w:w w:val="105"/>
        </w:rPr>
        <w:t> la</w:t>
      </w:r>
      <w:r>
        <w:rPr>
          <w:color w:val="231F1F"/>
          <w:w w:val="105"/>
        </w:rPr>
        <w:t> analgesia</w:t>
      </w:r>
      <w:r>
        <w:rPr>
          <w:color w:val="231F1F"/>
          <w:w w:val="105"/>
        </w:rPr>
        <w:t> neu- roaxial (20 ml levobupivacaína 0,625 mg/ml y fentanilo 2 μg/ml en salino).</w:t>
      </w:r>
    </w:p>
    <w:p>
      <w:pPr>
        <w:pStyle w:val="BodyText"/>
        <w:tabs>
          <w:tab w:pos="8036" w:val="left" w:leader="none"/>
          <w:tab w:pos="8114" w:val="left" w:leader="none"/>
        </w:tabs>
        <w:spacing w:line="247" w:lineRule="auto" w:before="106"/>
        <w:ind w:left="283" w:right="524" w:firstLine="453"/>
      </w:pPr>
      <w:r>
        <w:rPr>
          <w:color w:val="231F1F"/>
          <w:w w:val="105"/>
        </w:rPr>
        <w:t>Este ECA aporta resultados significativos en relación con mayor dolor</w:t>
      </w:r>
      <w:r>
        <w:rPr>
          <w:color w:val="231F1F"/>
        </w:rPr>
        <w:tab/>
      </w:r>
      <w:r>
        <w:rPr>
          <w:rFonts w:ascii="Arial MT" w:hAnsi="Arial MT"/>
          <w:color w:val="231F1F"/>
          <w:spacing w:val="-12"/>
          <w:w w:val="105"/>
          <w:sz w:val="18"/>
        </w:rPr>
        <w:t>ECA </w:t>
      </w:r>
      <w:r>
        <w:rPr>
          <w:color w:val="231F1F"/>
          <w:w w:val="105"/>
        </w:rPr>
        <w:t>(0–10) en el grupo de remifentanilo: 7,3 (5,6–8,2) vs 5,2 (2,2–6,7) p=0,004,</w:t>
      </w:r>
      <w:r>
        <w:rPr>
          <w:color w:val="231F1F"/>
        </w:rPr>
        <w:tab/>
        <w:tab/>
      </w:r>
      <w:r>
        <w:rPr>
          <w:rFonts w:ascii="Arial MT" w:hAnsi="Arial MT"/>
          <w:color w:val="231F1F"/>
          <w:spacing w:val="-6"/>
          <w:w w:val="105"/>
          <w:position w:val="4"/>
          <w:sz w:val="18"/>
        </w:rPr>
        <w:t>1+ </w:t>
      </w:r>
      <w:r>
        <w:rPr>
          <w:color w:val="231F1F"/>
          <w:w w:val="105"/>
        </w:rPr>
        <w:t>mayor sedación: 2,3 (1,3–2,6) vs 0 (0–0,8) p=0,001 y más náuseas: 9/24 vs 2/21 p=0,04. Sin embargo, al evaluar el alivio del dolor conseguido mediante una</w:t>
      </w:r>
    </w:p>
    <w:p>
      <w:pPr>
        <w:pStyle w:val="BodyText"/>
        <w:spacing w:before="5"/>
        <w:ind w:left="283"/>
      </w:pPr>
      <w:r>
        <w:rPr>
          <w:color w:val="231F1F"/>
          <w:w w:val="105"/>
        </w:rPr>
        <w:t>escala</w:t>
      </w:r>
      <w:r>
        <w:rPr>
          <w:color w:val="231F1F"/>
          <w:spacing w:val="-5"/>
          <w:w w:val="105"/>
        </w:rPr>
        <w:t> </w:t>
      </w:r>
      <w:r>
        <w:rPr>
          <w:color w:val="231F1F"/>
          <w:w w:val="105"/>
        </w:rPr>
        <w:t>del</w:t>
      </w:r>
      <w:r>
        <w:rPr>
          <w:color w:val="231F1F"/>
          <w:spacing w:val="-6"/>
          <w:w w:val="105"/>
        </w:rPr>
        <w:t> </w:t>
      </w:r>
      <w:r>
        <w:rPr>
          <w:color w:val="231F1F"/>
          <w:w w:val="105"/>
        </w:rPr>
        <w:t>0</w:t>
      </w:r>
      <w:r>
        <w:rPr>
          <w:color w:val="231F1F"/>
          <w:spacing w:val="-5"/>
          <w:w w:val="105"/>
        </w:rPr>
        <w:t> </w:t>
      </w:r>
      <w:r>
        <w:rPr>
          <w:color w:val="231F1F"/>
          <w:w w:val="105"/>
        </w:rPr>
        <w:t>al</w:t>
      </w:r>
      <w:r>
        <w:rPr>
          <w:color w:val="231F1F"/>
          <w:spacing w:val="-5"/>
          <w:w w:val="105"/>
        </w:rPr>
        <w:t> </w:t>
      </w:r>
      <w:r>
        <w:rPr>
          <w:color w:val="231F1F"/>
          <w:w w:val="105"/>
        </w:rPr>
        <w:t>4,</w:t>
      </w:r>
      <w:r>
        <w:rPr>
          <w:color w:val="231F1F"/>
          <w:spacing w:val="-7"/>
          <w:w w:val="105"/>
        </w:rPr>
        <w:t> </w:t>
      </w:r>
      <w:r>
        <w:rPr>
          <w:color w:val="231F1F"/>
          <w:w w:val="105"/>
        </w:rPr>
        <w:t>no</w:t>
      </w:r>
      <w:r>
        <w:rPr>
          <w:color w:val="231F1F"/>
          <w:spacing w:val="-4"/>
          <w:w w:val="105"/>
        </w:rPr>
        <w:t> </w:t>
      </w:r>
      <w:r>
        <w:rPr>
          <w:color w:val="231F1F"/>
          <w:w w:val="105"/>
        </w:rPr>
        <w:t>se</w:t>
      </w:r>
      <w:r>
        <w:rPr>
          <w:color w:val="231F1F"/>
          <w:spacing w:val="-7"/>
          <w:w w:val="105"/>
        </w:rPr>
        <w:t> </w:t>
      </w:r>
      <w:r>
        <w:rPr>
          <w:color w:val="231F1F"/>
          <w:w w:val="105"/>
        </w:rPr>
        <w:t>encontraron</w:t>
      </w:r>
      <w:r>
        <w:rPr>
          <w:color w:val="231F1F"/>
          <w:spacing w:val="-3"/>
          <w:w w:val="105"/>
        </w:rPr>
        <w:t> </w:t>
      </w:r>
      <w:r>
        <w:rPr>
          <w:color w:val="231F1F"/>
          <w:w w:val="105"/>
        </w:rPr>
        <w:t>diferencias</w:t>
      </w:r>
      <w:r>
        <w:rPr>
          <w:color w:val="231F1F"/>
          <w:spacing w:val="-7"/>
          <w:w w:val="105"/>
        </w:rPr>
        <w:t> </w:t>
      </w:r>
      <w:r>
        <w:rPr>
          <w:color w:val="231F1F"/>
          <w:w w:val="105"/>
        </w:rPr>
        <w:t>significativas:</w:t>
      </w:r>
      <w:r>
        <w:rPr>
          <w:color w:val="231F1F"/>
          <w:spacing w:val="-7"/>
          <w:w w:val="105"/>
        </w:rPr>
        <w:t> </w:t>
      </w:r>
      <w:r>
        <w:rPr>
          <w:color w:val="231F1F"/>
          <w:w w:val="105"/>
        </w:rPr>
        <w:t>2,5</w:t>
      </w:r>
      <w:r>
        <w:rPr>
          <w:color w:val="231F1F"/>
          <w:spacing w:val="-4"/>
          <w:w w:val="105"/>
        </w:rPr>
        <w:t> </w:t>
      </w:r>
      <w:r>
        <w:rPr>
          <w:color w:val="231F1F"/>
          <w:w w:val="105"/>
        </w:rPr>
        <w:t>(2,2–2,9)</w:t>
      </w:r>
      <w:r>
        <w:rPr>
          <w:color w:val="231F1F"/>
          <w:spacing w:val="-6"/>
          <w:w w:val="105"/>
        </w:rPr>
        <w:t> </w:t>
      </w:r>
      <w:r>
        <w:rPr>
          <w:color w:val="231F1F"/>
          <w:spacing w:val="-5"/>
          <w:w w:val="105"/>
        </w:rPr>
        <w:t>vs</w:t>
      </w:r>
    </w:p>
    <w:p>
      <w:pPr>
        <w:pStyle w:val="BodyText"/>
        <w:spacing w:before="26"/>
        <w:ind w:left="283"/>
      </w:pPr>
      <w:r>
        <w:rPr>
          <w:color w:val="231F1F"/>
        </w:rPr>
        <w:t>2,8 (2,3–3,5) </w:t>
      </w:r>
      <w:r>
        <w:rPr>
          <w:color w:val="231F1F"/>
          <w:spacing w:val="-2"/>
        </w:rPr>
        <w:t>p=0,11.</w:t>
      </w:r>
    </w:p>
    <w:p>
      <w:pPr>
        <w:pStyle w:val="BodyText"/>
        <w:spacing w:line="244" w:lineRule="auto" w:before="83"/>
        <w:ind w:left="283" w:right="1386" w:firstLine="453"/>
      </w:pPr>
      <w:r>
        <w:rPr>
          <w:color w:val="231F1F"/>
          <w:w w:val="105"/>
        </w:rPr>
        <w:t>De</w:t>
      </w:r>
      <w:r>
        <w:rPr>
          <w:color w:val="231F1F"/>
          <w:spacing w:val="-1"/>
          <w:w w:val="105"/>
        </w:rPr>
        <w:t> </w:t>
      </w:r>
      <w:r>
        <w:rPr>
          <w:color w:val="231F1F"/>
          <w:w w:val="105"/>
        </w:rPr>
        <w:t>esta</w:t>
      </w:r>
      <w:r>
        <w:rPr>
          <w:color w:val="231F1F"/>
          <w:w w:val="105"/>
        </w:rPr>
        <w:t> nueva</w:t>
      </w:r>
      <w:r>
        <w:rPr>
          <w:color w:val="231F1F"/>
          <w:w w:val="105"/>
        </w:rPr>
        <w:t> evidencia</w:t>
      </w:r>
      <w:r>
        <w:rPr>
          <w:color w:val="231F1F"/>
          <w:w w:val="105"/>
        </w:rPr>
        <w:t> se</w:t>
      </w:r>
      <w:r>
        <w:rPr>
          <w:color w:val="231F1F"/>
          <w:w w:val="105"/>
        </w:rPr>
        <w:t> concluye</w:t>
      </w:r>
      <w:r>
        <w:rPr>
          <w:color w:val="231F1F"/>
          <w:w w:val="105"/>
        </w:rPr>
        <w:t> que</w:t>
      </w:r>
      <w:r>
        <w:rPr>
          <w:color w:val="231F1F"/>
          <w:w w:val="105"/>
        </w:rPr>
        <w:t> la</w:t>
      </w:r>
      <w:r>
        <w:rPr>
          <w:color w:val="231F1F"/>
          <w:w w:val="105"/>
        </w:rPr>
        <w:t> analgesia</w:t>
      </w:r>
      <w:r>
        <w:rPr>
          <w:color w:val="231F1F"/>
          <w:spacing w:val="-1"/>
          <w:w w:val="105"/>
        </w:rPr>
        <w:t> </w:t>
      </w:r>
      <w:r>
        <w:rPr>
          <w:color w:val="231F1F"/>
          <w:w w:val="105"/>
        </w:rPr>
        <w:t>neuroaxial</w:t>
      </w:r>
      <w:r>
        <w:rPr>
          <w:color w:val="231F1F"/>
          <w:spacing w:val="-1"/>
          <w:w w:val="105"/>
        </w:rPr>
        <w:t> </w:t>
      </w:r>
      <w:r>
        <w:rPr>
          <w:color w:val="231F1F"/>
          <w:w w:val="105"/>
        </w:rPr>
        <w:t>es</w:t>
      </w:r>
      <w:r>
        <w:rPr>
          <w:color w:val="231F1F"/>
          <w:w w:val="105"/>
        </w:rPr>
        <w:t> más efectiva en términos de disminución de dolor.</w:t>
      </w:r>
    </w:p>
    <w:p>
      <w:pPr>
        <w:pStyle w:val="BodyText"/>
        <w:spacing w:before="141"/>
        <w:ind w:left="736"/>
      </w:pPr>
      <w:r>
        <w:rPr>
          <w:color w:val="231F1F"/>
          <w:w w:val="110"/>
        </w:rPr>
        <w:t>Ver</w:t>
      </w:r>
      <w:r>
        <w:rPr>
          <w:color w:val="231F1F"/>
          <w:spacing w:val="-12"/>
          <w:w w:val="110"/>
        </w:rPr>
        <w:t> </w:t>
      </w:r>
      <w:r>
        <w:rPr>
          <w:color w:val="231F1F"/>
          <w:w w:val="110"/>
        </w:rPr>
        <w:t>Anexo</w:t>
      </w:r>
      <w:r>
        <w:rPr>
          <w:color w:val="231F1F"/>
          <w:spacing w:val="-10"/>
          <w:w w:val="110"/>
        </w:rPr>
        <w:t> </w:t>
      </w:r>
      <w:r>
        <w:rPr>
          <w:color w:val="231F1F"/>
          <w:spacing w:val="-4"/>
          <w:w w:val="110"/>
        </w:rPr>
        <w:t>2.4.1</w:t>
      </w:r>
    </w:p>
    <w:p>
      <w:pPr>
        <w:pStyle w:val="BodyText"/>
        <w:spacing w:before="170"/>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402" w:hRule="atLeast"/>
        </w:trPr>
        <w:tc>
          <w:tcPr>
            <w:tcW w:w="7373" w:type="dxa"/>
          </w:tcPr>
          <w:p>
            <w:pPr>
              <w:pStyle w:val="TableParagraph"/>
              <w:spacing w:before="58"/>
              <w:rPr>
                <w:sz w:val="22"/>
              </w:rPr>
            </w:pPr>
            <w:r>
              <w:rPr>
                <w:color w:val="231F1F"/>
                <w:sz w:val="22"/>
              </w:rPr>
              <w:t>La</w:t>
            </w:r>
            <w:r>
              <w:rPr>
                <w:color w:val="231F1F"/>
                <w:spacing w:val="18"/>
                <w:sz w:val="22"/>
              </w:rPr>
              <w:t> </w:t>
            </w:r>
            <w:r>
              <w:rPr>
                <w:color w:val="231F1F"/>
                <w:sz w:val="22"/>
              </w:rPr>
              <w:t>analgesia</w:t>
            </w:r>
            <w:r>
              <w:rPr>
                <w:color w:val="231F1F"/>
                <w:spacing w:val="19"/>
                <w:sz w:val="22"/>
              </w:rPr>
              <w:t> </w:t>
            </w:r>
            <w:r>
              <w:rPr>
                <w:color w:val="231F1F"/>
                <w:sz w:val="22"/>
              </w:rPr>
              <w:t>neuroaxial</w:t>
            </w:r>
            <w:r>
              <w:rPr>
                <w:color w:val="231F1F"/>
                <w:spacing w:val="18"/>
                <w:sz w:val="22"/>
              </w:rPr>
              <w:t> </w:t>
            </w:r>
            <w:r>
              <w:rPr>
                <w:color w:val="231F1F"/>
                <w:sz w:val="22"/>
              </w:rPr>
              <w:t>provee</w:t>
            </w:r>
            <w:r>
              <w:rPr>
                <w:color w:val="231F1F"/>
                <w:spacing w:val="19"/>
                <w:sz w:val="22"/>
              </w:rPr>
              <w:t> </w:t>
            </w:r>
            <w:r>
              <w:rPr>
                <w:color w:val="231F1F"/>
                <w:sz w:val="22"/>
              </w:rPr>
              <w:t>un</w:t>
            </w:r>
            <w:r>
              <w:rPr>
                <w:color w:val="231F1F"/>
                <w:spacing w:val="18"/>
                <w:sz w:val="22"/>
              </w:rPr>
              <w:t> </w:t>
            </w:r>
            <w:r>
              <w:rPr>
                <w:color w:val="231F1F"/>
                <w:sz w:val="22"/>
              </w:rPr>
              <w:t>alivio</w:t>
            </w:r>
            <w:r>
              <w:rPr>
                <w:color w:val="231F1F"/>
                <w:spacing w:val="19"/>
                <w:sz w:val="22"/>
              </w:rPr>
              <w:t> </w:t>
            </w:r>
            <w:r>
              <w:rPr>
                <w:color w:val="231F1F"/>
                <w:sz w:val="22"/>
              </w:rPr>
              <w:t>efectivo</w:t>
            </w:r>
            <w:r>
              <w:rPr>
                <w:color w:val="231F1F"/>
                <w:spacing w:val="18"/>
                <w:sz w:val="22"/>
              </w:rPr>
              <w:t> </w:t>
            </w:r>
            <w:r>
              <w:rPr>
                <w:color w:val="231F1F"/>
                <w:sz w:val="22"/>
              </w:rPr>
              <w:t>del</w:t>
            </w:r>
            <w:r>
              <w:rPr>
                <w:color w:val="231F1F"/>
                <w:spacing w:val="19"/>
                <w:sz w:val="22"/>
              </w:rPr>
              <w:t> </w:t>
            </w:r>
            <w:r>
              <w:rPr>
                <w:color w:val="231F1F"/>
                <w:sz w:val="22"/>
              </w:rPr>
              <w:t>dolor</w:t>
            </w:r>
            <w:r>
              <w:rPr>
                <w:color w:val="231F1F"/>
                <w:spacing w:val="18"/>
                <w:sz w:val="22"/>
              </w:rPr>
              <w:t> </w:t>
            </w:r>
            <w:r>
              <w:rPr>
                <w:color w:val="231F1F"/>
                <w:sz w:val="22"/>
              </w:rPr>
              <w:t>en</w:t>
            </w:r>
            <w:r>
              <w:rPr>
                <w:color w:val="231F1F"/>
                <w:spacing w:val="19"/>
                <w:sz w:val="22"/>
              </w:rPr>
              <w:t> </w:t>
            </w:r>
            <w:r>
              <w:rPr>
                <w:color w:val="231F1F"/>
                <w:sz w:val="22"/>
              </w:rPr>
              <w:t>el</w:t>
            </w:r>
            <w:r>
              <w:rPr>
                <w:color w:val="231F1F"/>
                <w:spacing w:val="18"/>
                <w:sz w:val="22"/>
              </w:rPr>
              <w:t> </w:t>
            </w:r>
            <w:r>
              <w:rPr>
                <w:color w:val="231F1F"/>
                <w:sz w:val="22"/>
              </w:rPr>
              <w:t>parto</w:t>
            </w:r>
            <w:r>
              <w:rPr>
                <w:color w:val="231F1F"/>
                <w:spacing w:val="19"/>
                <w:sz w:val="22"/>
              </w:rPr>
              <w:t> </w:t>
            </w:r>
            <w:r>
              <w:rPr>
                <w:color w:val="231F1F"/>
                <w:spacing w:val="-2"/>
                <w:sz w:val="22"/>
              </w:rPr>
              <w:t>(309).</w:t>
            </w:r>
          </w:p>
        </w:tc>
        <w:tc>
          <w:tcPr>
            <w:tcW w:w="1133" w:type="dxa"/>
          </w:tcPr>
          <w:p>
            <w:pPr>
              <w:pStyle w:val="TableParagraph"/>
              <w:spacing w:before="39"/>
              <w:ind w:left="49" w:right="22"/>
              <w:jc w:val="center"/>
              <w:rPr>
                <w:sz w:val="22"/>
              </w:rPr>
            </w:pPr>
            <w:r>
              <w:rPr>
                <w:color w:val="231F1F"/>
                <w:spacing w:val="-5"/>
                <w:w w:val="105"/>
                <w:sz w:val="22"/>
              </w:rPr>
              <w:t>1+</w:t>
            </w:r>
          </w:p>
        </w:tc>
      </w:tr>
      <w:tr>
        <w:trPr>
          <w:trHeight w:val="954" w:hRule="atLeast"/>
        </w:trPr>
        <w:tc>
          <w:tcPr>
            <w:tcW w:w="7373" w:type="dxa"/>
          </w:tcPr>
          <w:p>
            <w:pPr>
              <w:pStyle w:val="TableParagraph"/>
              <w:spacing w:line="247" w:lineRule="auto" w:before="44"/>
              <w:ind w:right="87"/>
              <w:jc w:val="both"/>
              <w:rPr>
                <w:sz w:val="22"/>
              </w:rPr>
            </w:pPr>
            <w:r>
              <w:rPr>
                <w:color w:val="231F1F"/>
                <w:w w:val="105"/>
                <w:sz w:val="22"/>
              </w:rPr>
              <w:t>La</w:t>
            </w:r>
            <w:r>
              <w:rPr>
                <w:color w:val="231F1F"/>
                <w:w w:val="105"/>
                <w:sz w:val="22"/>
              </w:rPr>
              <w:t> primera</w:t>
            </w:r>
            <w:r>
              <w:rPr>
                <w:color w:val="231F1F"/>
                <w:w w:val="105"/>
                <w:sz w:val="22"/>
              </w:rPr>
              <w:t> etapa</w:t>
            </w:r>
            <w:r>
              <w:rPr>
                <w:color w:val="231F1F"/>
                <w:w w:val="105"/>
                <w:sz w:val="22"/>
              </w:rPr>
              <w:t> del</w:t>
            </w:r>
            <w:r>
              <w:rPr>
                <w:color w:val="231F1F"/>
                <w:w w:val="105"/>
                <w:sz w:val="22"/>
              </w:rPr>
              <w:t> parto</w:t>
            </w:r>
            <w:r>
              <w:rPr>
                <w:color w:val="231F1F"/>
                <w:w w:val="105"/>
                <w:sz w:val="22"/>
              </w:rPr>
              <w:t> es</w:t>
            </w:r>
            <w:r>
              <w:rPr>
                <w:color w:val="231F1F"/>
                <w:w w:val="105"/>
                <w:sz w:val="22"/>
              </w:rPr>
              <w:t> significativamente</w:t>
            </w:r>
            <w:r>
              <w:rPr>
                <w:color w:val="231F1F"/>
                <w:w w:val="105"/>
                <w:sz w:val="22"/>
              </w:rPr>
              <w:t> más</w:t>
            </w:r>
            <w:r>
              <w:rPr>
                <w:color w:val="231F1F"/>
                <w:w w:val="105"/>
                <w:sz w:val="22"/>
              </w:rPr>
              <w:t> corta</w:t>
            </w:r>
            <w:r>
              <w:rPr>
                <w:color w:val="231F1F"/>
                <w:w w:val="105"/>
                <w:sz w:val="22"/>
              </w:rPr>
              <w:t> en</w:t>
            </w:r>
            <w:r>
              <w:rPr>
                <w:color w:val="231F1F"/>
                <w:w w:val="105"/>
                <w:sz w:val="22"/>
              </w:rPr>
              <w:t> mujeres</w:t>
            </w:r>
            <w:r>
              <w:rPr>
                <w:color w:val="231F1F"/>
                <w:w w:val="105"/>
                <w:sz w:val="22"/>
              </w:rPr>
              <w:t> que reciben analgesia neuroaxial que en las que no se les administró ningún tipo de analgesia (309).</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402" w:hRule="atLeast"/>
        </w:trPr>
        <w:tc>
          <w:tcPr>
            <w:tcW w:w="8506" w:type="dxa"/>
            <w:gridSpan w:val="2"/>
          </w:tcPr>
          <w:p>
            <w:pPr>
              <w:pStyle w:val="TableParagraph"/>
              <w:spacing w:before="63"/>
              <w:rPr>
                <w:b/>
                <w:sz w:val="22"/>
              </w:rPr>
            </w:pPr>
            <w:r>
              <w:rPr>
                <w:b/>
                <w:color w:val="231F1F"/>
                <w:sz w:val="22"/>
              </w:rPr>
              <w:t>Analgesia</w:t>
            </w:r>
            <w:r>
              <w:rPr>
                <w:b/>
                <w:color w:val="231F1F"/>
                <w:spacing w:val="1"/>
                <w:sz w:val="22"/>
              </w:rPr>
              <w:t> </w:t>
            </w:r>
            <w:r>
              <w:rPr>
                <w:b/>
                <w:color w:val="231F1F"/>
                <w:sz w:val="22"/>
              </w:rPr>
              <w:t>neuroaxial</w:t>
            </w:r>
            <w:r>
              <w:rPr>
                <w:b/>
                <w:color w:val="231F1F"/>
                <w:spacing w:val="1"/>
                <w:sz w:val="22"/>
              </w:rPr>
              <w:t> </w:t>
            </w:r>
            <w:r>
              <w:rPr>
                <w:b/>
                <w:color w:val="231F1F"/>
                <w:sz w:val="22"/>
              </w:rPr>
              <w:t>frente</w:t>
            </w:r>
            <w:r>
              <w:rPr>
                <w:b/>
                <w:color w:val="231F1F"/>
                <w:spacing w:val="4"/>
                <w:sz w:val="22"/>
              </w:rPr>
              <w:t> </w:t>
            </w:r>
            <w:r>
              <w:rPr>
                <w:b/>
                <w:color w:val="231F1F"/>
                <w:sz w:val="22"/>
              </w:rPr>
              <w:t>a</w:t>
            </w:r>
            <w:r>
              <w:rPr>
                <w:b/>
                <w:color w:val="231F1F"/>
                <w:spacing w:val="1"/>
                <w:sz w:val="22"/>
              </w:rPr>
              <w:t> </w:t>
            </w:r>
            <w:r>
              <w:rPr>
                <w:b/>
                <w:color w:val="231F1F"/>
                <w:sz w:val="22"/>
              </w:rPr>
              <w:t>analgesia</w:t>
            </w:r>
            <w:r>
              <w:rPr>
                <w:b/>
                <w:color w:val="231F1F"/>
                <w:spacing w:val="3"/>
                <w:sz w:val="22"/>
              </w:rPr>
              <w:t> </w:t>
            </w:r>
            <w:r>
              <w:rPr>
                <w:b/>
                <w:color w:val="231F1F"/>
                <w:sz w:val="22"/>
              </w:rPr>
              <w:t>con</w:t>
            </w:r>
            <w:r>
              <w:rPr>
                <w:b/>
                <w:color w:val="231F1F"/>
                <w:spacing w:val="1"/>
                <w:sz w:val="22"/>
              </w:rPr>
              <w:t> </w:t>
            </w:r>
            <w:r>
              <w:rPr>
                <w:b/>
                <w:color w:val="231F1F"/>
                <w:sz w:val="22"/>
              </w:rPr>
              <w:t>opioides</w:t>
            </w:r>
            <w:r>
              <w:rPr>
                <w:b/>
                <w:color w:val="231F1F"/>
                <w:spacing w:val="4"/>
                <w:sz w:val="22"/>
              </w:rPr>
              <w:t> </w:t>
            </w:r>
            <w:r>
              <w:rPr>
                <w:b/>
                <w:color w:val="231F1F"/>
                <w:spacing w:val="-2"/>
                <w:sz w:val="22"/>
              </w:rPr>
              <w:t>parenterales</w:t>
            </w:r>
          </w:p>
        </w:tc>
      </w:tr>
      <w:tr>
        <w:trPr>
          <w:trHeight w:val="964" w:hRule="atLeast"/>
        </w:trPr>
        <w:tc>
          <w:tcPr>
            <w:tcW w:w="7373" w:type="dxa"/>
          </w:tcPr>
          <w:p>
            <w:pPr>
              <w:pStyle w:val="TableParagraph"/>
              <w:spacing w:line="247" w:lineRule="auto" w:before="53"/>
              <w:ind w:right="85"/>
              <w:jc w:val="both"/>
              <w:rPr>
                <w:sz w:val="22"/>
              </w:rPr>
            </w:pPr>
            <w:r>
              <w:rPr>
                <w:color w:val="231F1F"/>
                <w:w w:val="105"/>
                <w:sz w:val="22"/>
              </w:rPr>
              <w:t>La analgesia neuroaxial frente al uso de opioides provee una mayor satisfac- ción, un mayor alivio del dolor en la primera y en la segunda etapa del parto y</w:t>
            </w:r>
            <w:r>
              <w:rPr>
                <w:color w:val="231F1F"/>
                <w:spacing w:val="40"/>
                <w:w w:val="105"/>
                <w:sz w:val="22"/>
              </w:rPr>
              <w:t> </w:t>
            </w:r>
            <w:r>
              <w:rPr>
                <w:color w:val="231F1F"/>
                <w:w w:val="105"/>
                <w:sz w:val="22"/>
              </w:rPr>
              <w:t>una</w:t>
            </w:r>
            <w:r>
              <w:rPr>
                <w:color w:val="231F1F"/>
                <w:spacing w:val="40"/>
                <w:w w:val="105"/>
                <w:sz w:val="22"/>
              </w:rPr>
              <w:t> </w:t>
            </w:r>
            <w:r>
              <w:rPr>
                <w:color w:val="231F1F"/>
                <w:w w:val="105"/>
                <w:sz w:val="22"/>
              </w:rPr>
              <w:t>menor</w:t>
            </w:r>
            <w:r>
              <w:rPr>
                <w:color w:val="231F1F"/>
                <w:spacing w:val="40"/>
                <w:w w:val="105"/>
                <w:sz w:val="22"/>
              </w:rPr>
              <w:t> </w:t>
            </w:r>
            <w:r>
              <w:rPr>
                <w:color w:val="231F1F"/>
                <w:w w:val="105"/>
                <w:sz w:val="22"/>
              </w:rPr>
              <w:t>necesidad</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analgesia</w:t>
            </w:r>
            <w:r>
              <w:rPr>
                <w:color w:val="231F1F"/>
                <w:spacing w:val="40"/>
                <w:w w:val="105"/>
                <w:sz w:val="22"/>
              </w:rPr>
              <w:t> </w:t>
            </w:r>
            <w:r>
              <w:rPr>
                <w:color w:val="231F1F"/>
                <w:w w:val="105"/>
                <w:sz w:val="22"/>
              </w:rPr>
              <w:t>adicional</w:t>
            </w:r>
            <w:r>
              <w:rPr>
                <w:color w:val="231F1F"/>
                <w:spacing w:val="40"/>
                <w:w w:val="105"/>
                <w:sz w:val="22"/>
              </w:rPr>
              <w:t> </w:t>
            </w:r>
            <w:r>
              <w:rPr>
                <w:color w:val="231F1F"/>
                <w:w w:val="105"/>
                <w:sz w:val="22"/>
              </w:rPr>
              <w:t>(310).</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44" w:lineRule="auto" w:before="44"/>
              <w:ind w:right="87"/>
              <w:jc w:val="both"/>
              <w:rPr>
                <w:sz w:val="22"/>
              </w:rPr>
            </w:pPr>
            <w:r>
              <w:rPr>
                <w:color w:val="231F1F"/>
                <w:w w:val="110"/>
                <w:sz w:val="22"/>
              </w:rPr>
              <w:t>La</w:t>
            </w:r>
            <w:r>
              <w:rPr>
                <w:color w:val="231F1F"/>
                <w:spacing w:val="-12"/>
                <w:w w:val="110"/>
                <w:sz w:val="22"/>
              </w:rPr>
              <w:t> </w:t>
            </w:r>
            <w:r>
              <w:rPr>
                <w:color w:val="231F1F"/>
                <w:w w:val="110"/>
                <w:sz w:val="22"/>
              </w:rPr>
              <w:t>duración</w:t>
            </w:r>
            <w:r>
              <w:rPr>
                <w:color w:val="231F1F"/>
                <w:spacing w:val="-13"/>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segunda</w:t>
            </w:r>
            <w:r>
              <w:rPr>
                <w:color w:val="231F1F"/>
                <w:spacing w:val="-13"/>
                <w:w w:val="110"/>
                <w:sz w:val="22"/>
              </w:rPr>
              <w:t> </w:t>
            </w:r>
            <w:r>
              <w:rPr>
                <w:color w:val="231F1F"/>
                <w:w w:val="110"/>
                <w:sz w:val="22"/>
              </w:rPr>
              <w:t>etapa</w:t>
            </w:r>
            <w:r>
              <w:rPr>
                <w:color w:val="231F1F"/>
                <w:spacing w:val="-12"/>
                <w:w w:val="110"/>
                <w:sz w:val="22"/>
              </w:rPr>
              <w:t> </w:t>
            </w:r>
            <w:r>
              <w:rPr>
                <w:color w:val="231F1F"/>
                <w:w w:val="110"/>
                <w:sz w:val="22"/>
              </w:rPr>
              <w:t>del</w:t>
            </w:r>
            <w:r>
              <w:rPr>
                <w:color w:val="231F1F"/>
                <w:spacing w:val="-13"/>
                <w:w w:val="110"/>
                <w:sz w:val="22"/>
              </w:rPr>
              <w:t> </w:t>
            </w:r>
            <w:r>
              <w:rPr>
                <w:color w:val="231F1F"/>
                <w:w w:val="110"/>
                <w:sz w:val="22"/>
              </w:rPr>
              <w:t>parto,</w:t>
            </w:r>
            <w:r>
              <w:rPr>
                <w:color w:val="231F1F"/>
                <w:spacing w:val="-13"/>
                <w:w w:val="110"/>
                <w:sz w:val="22"/>
              </w:rPr>
              <w:t> </w:t>
            </w:r>
            <w:r>
              <w:rPr>
                <w:color w:val="231F1F"/>
                <w:w w:val="110"/>
                <w:sz w:val="22"/>
              </w:rPr>
              <w:t>el</w:t>
            </w:r>
            <w:r>
              <w:rPr>
                <w:color w:val="231F1F"/>
                <w:spacing w:val="-13"/>
                <w:w w:val="110"/>
                <w:sz w:val="22"/>
              </w:rPr>
              <w:t> </w:t>
            </w:r>
            <w:r>
              <w:rPr>
                <w:color w:val="231F1F"/>
                <w:w w:val="110"/>
                <w:sz w:val="22"/>
              </w:rPr>
              <w:t>riesgo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parto</w:t>
            </w:r>
            <w:r>
              <w:rPr>
                <w:color w:val="231F1F"/>
                <w:spacing w:val="-12"/>
                <w:w w:val="110"/>
                <w:sz w:val="22"/>
              </w:rPr>
              <w:t> </w:t>
            </w:r>
            <w:r>
              <w:rPr>
                <w:color w:val="231F1F"/>
                <w:w w:val="110"/>
                <w:sz w:val="22"/>
              </w:rPr>
              <w:t>instrumental</w:t>
            </w:r>
            <w:r>
              <w:rPr>
                <w:color w:val="231F1F"/>
                <w:spacing w:val="-13"/>
                <w:w w:val="110"/>
                <w:sz w:val="22"/>
              </w:rPr>
              <w:t> </w:t>
            </w:r>
            <w:r>
              <w:rPr>
                <w:color w:val="231F1F"/>
                <w:w w:val="110"/>
                <w:sz w:val="22"/>
              </w:rPr>
              <w:t>y </w:t>
            </w:r>
            <w:r>
              <w:rPr>
                <w:color w:val="231F1F"/>
                <w:spacing w:val="-2"/>
                <w:w w:val="110"/>
                <w:sz w:val="22"/>
              </w:rPr>
              <w:t>el</w:t>
            </w:r>
            <w:r>
              <w:rPr>
                <w:color w:val="231F1F"/>
                <w:spacing w:val="-7"/>
                <w:w w:val="110"/>
                <w:sz w:val="22"/>
              </w:rPr>
              <w:t> </w:t>
            </w:r>
            <w:r>
              <w:rPr>
                <w:color w:val="231F1F"/>
                <w:spacing w:val="-2"/>
                <w:w w:val="110"/>
                <w:sz w:val="22"/>
              </w:rPr>
              <w:t>uso</w:t>
            </w:r>
            <w:r>
              <w:rPr>
                <w:color w:val="231F1F"/>
                <w:spacing w:val="-6"/>
                <w:w w:val="110"/>
                <w:sz w:val="22"/>
              </w:rPr>
              <w:t> </w:t>
            </w:r>
            <w:r>
              <w:rPr>
                <w:color w:val="231F1F"/>
                <w:spacing w:val="-2"/>
                <w:w w:val="110"/>
                <w:sz w:val="22"/>
              </w:rPr>
              <w:t>de</w:t>
            </w:r>
            <w:r>
              <w:rPr>
                <w:color w:val="231F1F"/>
                <w:spacing w:val="-7"/>
                <w:w w:val="110"/>
                <w:sz w:val="22"/>
              </w:rPr>
              <w:t> </w:t>
            </w:r>
            <w:r>
              <w:rPr>
                <w:color w:val="231F1F"/>
                <w:spacing w:val="-2"/>
                <w:w w:val="110"/>
                <w:sz w:val="22"/>
              </w:rPr>
              <w:t>oxitocina</w:t>
            </w:r>
            <w:r>
              <w:rPr>
                <w:color w:val="231F1F"/>
                <w:spacing w:val="-7"/>
                <w:w w:val="110"/>
                <w:sz w:val="22"/>
              </w:rPr>
              <w:t> </w:t>
            </w:r>
            <w:r>
              <w:rPr>
                <w:color w:val="231F1F"/>
                <w:spacing w:val="-2"/>
                <w:w w:val="110"/>
                <w:sz w:val="22"/>
              </w:rPr>
              <w:t>son</w:t>
            </w:r>
            <w:r>
              <w:rPr>
                <w:color w:val="231F1F"/>
                <w:spacing w:val="-7"/>
                <w:w w:val="110"/>
                <w:sz w:val="22"/>
              </w:rPr>
              <w:t> </w:t>
            </w:r>
            <w:r>
              <w:rPr>
                <w:color w:val="231F1F"/>
                <w:spacing w:val="-2"/>
                <w:w w:val="110"/>
                <w:sz w:val="22"/>
              </w:rPr>
              <w:t>mayores</w:t>
            </w:r>
            <w:r>
              <w:rPr>
                <w:color w:val="231F1F"/>
                <w:spacing w:val="-7"/>
                <w:w w:val="110"/>
                <w:sz w:val="22"/>
              </w:rPr>
              <w:t> </w:t>
            </w:r>
            <w:r>
              <w:rPr>
                <w:color w:val="231F1F"/>
                <w:spacing w:val="-2"/>
                <w:w w:val="110"/>
                <w:sz w:val="22"/>
              </w:rPr>
              <w:t>cuando</w:t>
            </w:r>
            <w:r>
              <w:rPr>
                <w:color w:val="231F1F"/>
                <w:spacing w:val="-6"/>
                <w:w w:val="110"/>
                <w:sz w:val="22"/>
              </w:rPr>
              <w:t> </w:t>
            </w:r>
            <w:r>
              <w:rPr>
                <w:color w:val="231F1F"/>
                <w:spacing w:val="-2"/>
                <w:w w:val="110"/>
                <w:sz w:val="22"/>
              </w:rPr>
              <w:t>se</w:t>
            </w:r>
            <w:r>
              <w:rPr>
                <w:color w:val="231F1F"/>
                <w:spacing w:val="-7"/>
                <w:w w:val="110"/>
                <w:sz w:val="22"/>
              </w:rPr>
              <w:t> </w:t>
            </w:r>
            <w:r>
              <w:rPr>
                <w:color w:val="231F1F"/>
                <w:spacing w:val="-2"/>
                <w:w w:val="110"/>
                <w:sz w:val="22"/>
              </w:rPr>
              <w:t>administra</w:t>
            </w:r>
            <w:r>
              <w:rPr>
                <w:color w:val="231F1F"/>
                <w:spacing w:val="-7"/>
                <w:w w:val="110"/>
                <w:sz w:val="22"/>
              </w:rPr>
              <w:t> </w:t>
            </w:r>
            <w:r>
              <w:rPr>
                <w:color w:val="231F1F"/>
                <w:spacing w:val="-2"/>
                <w:w w:val="110"/>
                <w:sz w:val="22"/>
              </w:rPr>
              <w:t>analgesia</w:t>
            </w:r>
            <w:r>
              <w:rPr>
                <w:color w:val="231F1F"/>
                <w:spacing w:val="-6"/>
                <w:w w:val="110"/>
                <w:sz w:val="22"/>
              </w:rPr>
              <w:t> </w:t>
            </w:r>
            <w:r>
              <w:rPr>
                <w:color w:val="231F1F"/>
                <w:spacing w:val="-2"/>
                <w:w w:val="110"/>
                <w:sz w:val="22"/>
              </w:rPr>
              <w:t>neuroaxial, </w:t>
            </w:r>
            <w:r>
              <w:rPr>
                <w:color w:val="231F1F"/>
                <w:w w:val="110"/>
                <w:sz w:val="22"/>
              </w:rPr>
              <w:t>tanto en dosis convencionales como en bajas dosis (310).</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53"/>
              <w:ind w:right="156"/>
              <w:rPr>
                <w:sz w:val="22"/>
              </w:rPr>
            </w:pPr>
            <w:r>
              <w:rPr>
                <w:color w:val="231F1F"/>
                <w:w w:val="105"/>
                <w:sz w:val="22"/>
              </w:rPr>
              <w:t>Las</w:t>
            </w:r>
            <w:r>
              <w:rPr>
                <w:color w:val="231F1F"/>
                <w:w w:val="105"/>
                <w:sz w:val="22"/>
              </w:rPr>
              <w:t> mujeres</w:t>
            </w:r>
            <w:r>
              <w:rPr>
                <w:color w:val="231F1F"/>
                <w:w w:val="105"/>
                <w:sz w:val="22"/>
              </w:rPr>
              <w:t> tienen</w:t>
            </w:r>
            <w:r>
              <w:rPr>
                <w:color w:val="231F1F"/>
                <w:w w:val="105"/>
                <w:sz w:val="22"/>
              </w:rPr>
              <w:t> mayor</w:t>
            </w:r>
            <w:r>
              <w:rPr>
                <w:color w:val="231F1F"/>
                <w:w w:val="105"/>
                <w:sz w:val="22"/>
              </w:rPr>
              <w:t> riesgo</w:t>
            </w:r>
            <w:r>
              <w:rPr>
                <w:color w:val="231F1F"/>
                <w:w w:val="105"/>
                <w:sz w:val="22"/>
              </w:rPr>
              <w:t> de</w:t>
            </w:r>
            <w:r>
              <w:rPr>
                <w:color w:val="231F1F"/>
                <w:w w:val="105"/>
                <w:sz w:val="22"/>
              </w:rPr>
              <w:t> hipotensión,</w:t>
            </w:r>
            <w:r>
              <w:rPr>
                <w:color w:val="231F1F"/>
                <w:w w:val="105"/>
                <w:sz w:val="22"/>
              </w:rPr>
              <w:t> de</w:t>
            </w:r>
            <w:r>
              <w:rPr>
                <w:color w:val="231F1F"/>
                <w:w w:val="105"/>
                <w:sz w:val="22"/>
              </w:rPr>
              <w:t> tener</w:t>
            </w:r>
            <w:r>
              <w:rPr>
                <w:color w:val="231F1F"/>
                <w:w w:val="105"/>
                <w:sz w:val="22"/>
              </w:rPr>
              <w:t> fiebre</w:t>
            </w:r>
            <w:r>
              <w:rPr>
                <w:color w:val="231F1F"/>
                <w:w w:val="105"/>
                <w:sz w:val="22"/>
              </w:rPr>
              <w:t> &gt;38ºC</w:t>
            </w:r>
            <w:r>
              <w:rPr>
                <w:color w:val="231F1F"/>
                <w:w w:val="105"/>
                <w:sz w:val="22"/>
              </w:rPr>
              <w:t> y</w:t>
            </w:r>
            <w:r>
              <w:rPr>
                <w:color w:val="231F1F"/>
                <w:w w:val="105"/>
                <w:sz w:val="22"/>
              </w:rPr>
              <w:t> de retención</w:t>
            </w:r>
            <w:r>
              <w:rPr>
                <w:color w:val="231F1F"/>
                <w:spacing w:val="40"/>
                <w:w w:val="105"/>
                <w:sz w:val="22"/>
              </w:rPr>
              <w:t> </w:t>
            </w:r>
            <w:r>
              <w:rPr>
                <w:color w:val="231F1F"/>
                <w:w w:val="105"/>
                <w:sz w:val="22"/>
              </w:rPr>
              <w:t>urinaria</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administración</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analgesia</w:t>
            </w:r>
            <w:r>
              <w:rPr>
                <w:color w:val="231F1F"/>
                <w:spacing w:val="40"/>
                <w:w w:val="105"/>
                <w:sz w:val="22"/>
              </w:rPr>
              <w:t> </w:t>
            </w:r>
            <w:r>
              <w:rPr>
                <w:color w:val="231F1F"/>
                <w:w w:val="105"/>
                <w:sz w:val="22"/>
              </w:rPr>
              <w:t>neuroaxial</w:t>
            </w:r>
            <w:r>
              <w:rPr>
                <w:color w:val="231F1F"/>
                <w:spacing w:val="40"/>
                <w:w w:val="105"/>
                <w:sz w:val="22"/>
              </w:rPr>
              <w:t> </w:t>
            </w:r>
            <w:r>
              <w:rPr>
                <w:color w:val="231F1F"/>
                <w:w w:val="105"/>
                <w:sz w:val="22"/>
              </w:rPr>
              <w:t>(310).</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964" w:hRule="atLeast"/>
        </w:trPr>
        <w:tc>
          <w:tcPr>
            <w:tcW w:w="7373" w:type="dxa"/>
          </w:tcPr>
          <w:p>
            <w:pPr>
              <w:pStyle w:val="TableParagraph"/>
              <w:spacing w:line="244" w:lineRule="auto" w:before="49"/>
              <w:ind w:right="91"/>
              <w:jc w:val="both"/>
              <w:rPr>
                <w:sz w:val="22"/>
              </w:rPr>
            </w:pPr>
            <w:r>
              <w:rPr>
                <w:color w:val="231F1F"/>
                <w:w w:val="110"/>
                <w:sz w:val="22"/>
              </w:rPr>
              <w:t>La</w:t>
            </w:r>
            <w:r>
              <w:rPr>
                <w:color w:val="231F1F"/>
                <w:spacing w:val="-16"/>
                <w:w w:val="110"/>
                <w:sz w:val="22"/>
              </w:rPr>
              <w:t> </w:t>
            </w:r>
            <w:r>
              <w:rPr>
                <w:color w:val="231F1F"/>
                <w:w w:val="110"/>
                <w:sz w:val="22"/>
              </w:rPr>
              <w:t>analgesia</w:t>
            </w:r>
            <w:r>
              <w:rPr>
                <w:color w:val="231F1F"/>
                <w:spacing w:val="-14"/>
                <w:w w:val="110"/>
                <w:sz w:val="22"/>
              </w:rPr>
              <w:t> </w:t>
            </w:r>
            <w:r>
              <w:rPr>
                <w:color w:val="231F1F"/>
                <w:w w:val="110"/>
                <w:sz w:val="22"/>
              </w:rPr>
              <w:t>neuroaxial</w:t>
            </w:r>
            <w:r>
              <w:rPr>
                <w:color w:val="231F1F"/>
                <w:spacing w:val="-16"/>
                <w:w w:val="110"/>
                <w:sz w:val="22"/>
              </w:rPr>
              <w:t> </w:t>
            </w:r>
            <w:r>
              <w:rPr>
                <w:color w:val="231F1F"/>
                <w:w w:val="110"/>
                <w:sz w:val="22"/>
              </w:rPr>
              <w:t>está</w:t>
            </w:r>
            <w:r>
              <w:rPr>
                <w:color w:val="231F1F"/>
                <w:spacing w:val="-14"/>
                <w:w w:val="110"/>
                <w:sz w:val="22"/>
              </w:rPr>
              <w:t> </w:t>
            </w:r>
            <w:r>
              <w:rPr>
                <w:color w:val="231F1F"/>
                <w:w w:val="110"/>
                <w:sz w:val="22"/>
              </w:rPr>
              <w:t>asociada</w:t>
            </w:r>
            <w:r>
              <w:rPr>
                <w:color w:val="231F1F"/>
                <w:spacing w:val="-15"/>
                <w:w w:val="110"/>
                <w:sz w:val="22"/>
              </w:rPr>
              <w:t> </w:t>
            </w:r>
            <w:r>
              <w:rPr>
                <w:color w:val="231F1F"/>
                <w:w w:val="110"/>
                <w:sz w:val="22"/>
              </w:rPr>
              <w:t>a</w:t>
            </w:r>
            <w:r>
              <w:rPr>
                <w:color w:val="231F1F"/>
                <w:spacing w:val="-14"/>
                <w:w w:val="110"/>
                <w:sz w:val="22"/>
              </w:rPr>
              <w:t> </w:t>
            </w:r>
            <w:r>
              <w:rPr>
                <w:color w:val="231F1F"/>
                <w:w w:val="110"/>
                <w:sz w:val="22"/>
              </w:rPr>
              <w:t>un</w:t>
            </w:r>
            <w:r>
              <w:rPr>
                <w:color w:val="231F1F"/>
                <w:spacing w:val="-15"/>
                <w:w w:val="110"/>
                <w:sz w:val="22"/>
              </w:rPr>
              <w:t> </w:t>
            </w:r>
            <w:r>
              <w:rPr>
                <w:color w:val="231F1F"/>
                <w:w w:val="110"/>
                <w:sz w:val="22"/>
              </w:rPr>
              <w:t>mejor</w:t>
            </w:r>
            <w:r>
              <w:rPr>
                <w:color w:val="231F1F"/>
                <w:spacing w:val="-15"/>
                <w:w w:val="110"/>
                <w:sz w:val="22"/>
              </w:rPr>
              <w:t> </w:t>
            </w:r>
            <w:r>
              <w:rPr>
                <w:color w:val="231F1F"/>
                <w:w w:val="110"/>
                <w:sz w:val="22"/>
              </w:rPr>
              <w:t>estatus</w:t>
            </w:r>
            <w:r>
              <w:rPr>
                <w:color w:val="231F1F"/>
                <w:spacing w:val="-15"/>
                <w:w w:val="110"/>
                <w:sz w:val="22"/>
              </w:rPr>
              <w:t> </w:t>
            </w:r>
            <w:r>
              <w:rPr>
                <w:color w:val="231F1F"/>
                <w:w w:val="110"/>
                <w:sz w:val="22"/>
              </w:rPr>
              <w:t>ácido-base</w:t>
            </w:r>
            <w:r>
              <w:rPr>
                <w:color w:val="231F1F"/>
                <w:spacing w:val="-14"/>
                <w:w w:val="110"/>
                <w:sz w:val="22"/>
              </w:rPr>
              <w:t> </w:t>
            </w:r>
            <w:r>
              <w:rPr>
                <w:color w:val="231F1F"/>
                <w:w w:val="110"/>
                <w:sz w:val="22"/>
              </w:rPr>
              <w:t>neona- tal que los opioides. Además, los RN tienen menor riesgo de necesitar la administración de naloxona (310;312).</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2153"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9" w:lineRule="auto" w:before="44"/>
              <w:ind w:right="83"/>
              <w:jc w:val="both"/>
              <w:rPr>
                <w:sz w:val="22"/>
              </w:rPr>
            </w:pPr>
            <w:r>
              <w:rPr>
                <w:color w:val="231F1F"/>
                <w:w w:val="105"/>
                <w:sz w:val="22"/>
              </w:rPr>
              <w:t>En</w:t>
            </w:r>
            <w:r>
              <w:rPr>
                <w:color w:val="231F1F"/>
                <w:w w:val="105"/>
                <w:sz w:val="22"/>
              </w:rPr>
              <w:t> relación</w:t>
            </w:r>
            <w:r>
              <w:rPr>
                <w:color w:val="231F1F"/>
                <w:w w:val="105"/>
                <w:sz w:val="22"/>
              </w:rPr>
              <w:t> a</w:t>
            </w:r>
            <w:r>
              <w:rPr>
                <w:color w:val="231F1F"/>
                <w:w w:val="105"/>
                <w:sz w:val="22"/>
              </w:rPr>
              <w:t> la</w:t>
            </w:r>
            <w:r>
              <w:rPr>
                <w:color w:val="231F1F"/>
                <w:w w:val="105"/>
                <w:sz w:val="22"/>
              </w:rPr>
              <w:t> lactancia</w:t>
            </w:r>
            <w:r>
              <w:rPr>
                <w:color w:val="231F1F"/>
                <w:w w:val="105"/>
                <w:sz w:val="22"/>
              </w:rPr>
              <w:t> materna</w:t>
            </w:r>
            <w:r>
              <w:rPr>
                <w:color w:val="231F1F"/>
                <w:w w:val="105"/>
                <w:sz w:val="22"/>
              </w:rPr>
              <w:t> a</w:t>
            </w:r>
            <w:r>
              <w:rPr>
                <w:color w:val="231F1F"/>
                <w:w w:val="105"/>
                <w:sz w:val="22"/>
              </w:rPr>
              <w:t> las</w:t>
            </w:r>
            <w:r>
              <w:rPr>
                <w:color w:val="231F1F"/>
                <w:w w:val="105"/>
                <w:sz w:val="22"/>
              </w:rPr>
              <w:t> 6</w:t>
            </w:r>
            <w:r>
              <w:rPr>
                <w:color w:val="231F1F"/>
                <w:w w:val="105"/>
                <w:sz w:val="22"/>
              </w:rPr>
              <w:t> semanas,</w:t>
            </w:r>
            <w:r>
              <w:rPr>
                <w:color w:val="231F1F"/>
                <w:w w:val="105"/>
                <w:sz w:val="22"/>
              </w:rPr>
              <w:t> no</w:t>
            </w:r>
            <w:r>
              <w:rPr>
                <w:color w:val="231F1F"/>
                <w:w w:val="105"/>
                <w:sz w:val="22"/>
              </w:rPr>
              <w:t> se</w:t>
            </w:r>
            <w:r>
              <w:rPr>
                <w:color w:val="231F1F"/>
                <w:w w:val="105"/>
                <w:sz w:val="22"/>
              </w:rPr>
              <w:t> han</w:t>
            </w:r>
            <w:r>
              <w:rPr>
                <w:color w:val="231F1F"/>
                <w:w w:val="105"/>
                <w:sz w:val="22"/>
              </w:rPr>
              <w:t> demostrado diferencias</w:t>
            </w:r>
            <w:r>
              <w:rPr>
                <w:color w:val="231F1F"/>
                <w:spacing w:val="-15"/>
                <w:w w:val="105"/>
                <w:sz w:val="22"/>
              </w:rPr>
              <w:t> </w:t>
            </w:r>
            <w:r>
              <w:rPr>
                <w:color w:val="231F1F"/>
                <w:w w:val="105"/>
                <w:sz w:val="22"/>
              </w:rPr>
              <w:t>entre</w:t>
            </w:r>
            <w:r>
              <w:rPr>
                <w:color w:val="231F1F"/>
                <w:spacing w:val="-14"/>
                <w:w w:val="105"/>
                <w:sz w:val="22"/>
              </w:rPr>
              <w:t> </w:t>
            </w:r>
            <w:r>
              <w:rPr>
                <w:color w:val="231F1F"/>
                <w:w w:val="105"/>
                <w:sz w:val="22"/>
              </w:rPr>
              <w:t>la</w:t>
            </w:r>
            <w:r>
              <w:rPr>
                <w:color w:val="231F1F"/>
                <w:spacing w:val="-14"/>
                <w:w w:val="105"/>
                <w:sz w:val="22"/>
              </w:rPr>
              <w:t> </w:t>
            </w:r>
            <w:r>
              <w:rPr>
                <w:color w:val="231F1F"/>
                <w:w w:val="105"/>
                <w:sz w:val="22"/>
              </w:rPr>
              <w:t>administración</w:t>
            </w:r>
            <w:r>
              <w:rPr>
                <w:color w:val="231F1F"/>
                <w:spacing w:val="-13"/>
                <w:w w:val="105"/>
                <w:sz w:val="22"/>
              </w:rPr>
              <w:t> </w:t>
            </w:r>
            <w:r>
              <w:rPr>
                <w:color w:val="231F1F"/>
                <w:w w:val="105"/>
                <w:sz w:val="22"/>
              </w:rPr>
              <w:t>de</w:t>
            </w:r>
            <w:r>
              <w:rPr>
                <w:color w:val="231F1F"/>
                <w:spacing w:val="-14"/>
                <w:w w:val="105"/>
                <w:sz w:val="22"/>
              </w:rPr>
              <w:t> </w:t>
            </w:r>
            <w:r>
              <w:rPr>
                <w:color w:val="231F1F"/>
                <w:w w:val="105"/>
                <w:sz w:val="22"/>
              </w:rPr>
              <w:t>analgesia</w:t>
            </w:r>
            <w:r>
              <w:rPr>
                <w:color w:val="231F1F"/>
                <w:spacing w:val="-13"/>
                <w:w w:val="105"/>
                <w:sz w:val="22"/>
              </w:rPr>
              <w:t> </w:t>
            </w:r>
            <w:r>
              <w:rPr>
                <w:color w:val="231F1F"/>
                <w:w w:val="105"/>
                <w:sz w:val="22"/>
              </w:rPr>
              <w:t>neuroaxial</w:t>
            </w:r>
            <w:r>
              <w:rPr>
                <w:color w:val="231F1F"/>
                <w:spacing w:val="-15"/>
                <w:w w:val="105"/>
                <w:sz w:val="22"/>
              </w:rPr>
              <w:t> </w:t>
            </w:r>
            <w:r>
              <w:rPr>
                <w:color w:val="231F1F"/>
                <w:w w:val="105"/>
                <w:sz w:val="22"/>
              </w:rPr>
              <w:t>y</w:t>
            </w:r>
            <w:r>
              <w:rPr>
                <w:color w:val="231F1F"/>
                <w:spacing w:val="-14"/>
                <w:w w:val="105"/>
                <w:sz w:val="22"/>
              </w:rPr>
              <w:t> </w:t>
            </w:r>
            <w:r>
              <w:rPr>
                <w:color w:val="231F1F"/>
                <w:w w:val="105"/>
                <w:sz w:val="22"/>
              </w:rPr>
              <w:t>la</w:t>
            </w:r>
            <w:r>
              <w:rPr>
                <w:color w:val="231F1F"/>
                <w:spacing w:val="-14"/>
                <w:w w:val="105"/>
                <w:sz w:val="22"/>
              </w:rPr>
              <w:t> </w:t>
            </w:r>
            <w:r>
              <w:rPr>
                <w:color w:val="231F1F"/>
                <w:w w:val="105"/>
                <w:sz w:val="22"/>
              </w:rPr>
              <w:t>administración de opioides parenterales (311).</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47" w:lineRule="auto" w:before="44"/>
              <w:ind w:right="87"/>
              <w:jc w:val="both"/>
              <w:rPr>
                <w:sz w:val="22"/>
              </w:rPr>
            </w:pPr>
            <w:r>
              <w:rPr>
                <w:color w:val="231F1F"/>
                <w:w w:val="105"/>
                <w:sz w:val="22"/>
              </w:rPr>
              <w:t>Las</w:t>
            </w:r>
            <w:r>
              <w:rPr>
                <w:color w:val="231F1F"/>
                <w:w w:val="105"/>
                <w:sz w:val="22"/>
              </w:rPr>
              <w:t> mujeres</w:t>
            </w:r>
            <w:r>
              <w:rPr>
                <w:color w:val="231F1F"/>
                <w:w w:val="105"/>
                <w:sz w:val="22"/>
              </w:rPr>
              <w:t> manifiestan</w:t>
            </w:r>
            <w:r>
              <w:rPr>
                <w:color w:val="231F1F"/>
                <w:w w:val="105"/>
                <w:sz w:val="22"/>
              </w:rPr>
              <w:t> mayor</w:t>
            </w:r>
            <w:r>
              <w:rPr>
                <w:color w:val="231F1F"/>
                <w:w w:val="105"/>
                <w:sz w:val="22"/>
              </w:rPr>
              <w:t> dolor,</w:t>
            </w:r>
            <w:r>
              <w:rPr>
                <w:color w:val="231F1F"/>
                <w:w w:val="105"/>
                <w:sz w:val="22"/>
              </w:rPr>
              <w:t> sufren</w:t>
            </w:r>
            <w:r>
              <w:rPr>
                <w:color w:val="231F1F"/>
                <w:w w:val="105"/>
                <w:sz w:val="22"/>
              </w:rPr>
              <w:t> una</w:t>
            </w:r>
            <w:r>
              <w:rPr>
                <w:color w:val="231F1F"/>
                <w:w w:val="105"/>
                <w:sz w:val="22"/>
              </w:rPr>
              <w:t> mayor</w:t>
            </w:r>
            <w:r>
              <w:rPr>
                <w:color w:val="231F1F"/>
                <w:w w:val="105"/>
                <w:sz w:val="22"/>
              </w:rPr>
              <w:t> sedación</w:t>
            </w:r>
            <w:r>
              <w:rPr>
                <w:color w:val="231F1F"/>
                <w:w w:val="105"/>
                <w:sz w:val="22"/>
              </w:rPr>
              <w:t> y</w:t>
            </w:r>
            <w:r>
              <w:rPr>
                <w:color w:val="231F1F"/>
                <w:w w:val="105"/>
                <w:sz w:val="22"/>
              </w:rPr>
              <w:t> tienen más náuseas con la utilización intravenosa de remifentanilo que con la anal- gesia epidural (307).</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82"/>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1242" w:hRule="atLeast"/>
        </w:trPr>
        <w:tc>
          <w:tcPr>
            <w:tcW w:w="456" w:type="dxa"/>
          </w:tcPr>
          <w:p>
            <w:pPr>
              <w:pStyle w:val="TableParagraph"/>
              <w:spacing w:before="208"/>
              <w:ind w:left="0"/>
              <w:rPr>
                <w:rFonts w:ascii="Arial MT"/>
                <w:sz w:val="22"/>
              </w:rPr>
            </w:pPr>
          </w:p>
          <w:p>
            <w:pPr>
              <w:pStyle w:val="TableParagraph"/>
              <w:ind w:left="46" w:right="43"/>
              <w:jc w:val="center"/>
              <w:rPr>
                <w:sz w:val="22"/>
              </w:rPr>
            </w:pPr>
            <w:r>
              <w:rPr>
                <w:color w:val="231F1F"/>
                <w:spacing w:val="-10"/>
                <w:w w:val="115"/>
                <w:sz w:val="22"/>
              </w:rPr>
              <w:t>A</w:t>
            </w:r>
          </w:p>
        </w:tc>
        <w:tc>
          <w:tcPr>
            <w:tcW w:w="8050" w:type="dxa"/>
          </w:tcPr>
          <w:p>
            <w:pPr>
              <w:pStyle w:val="TableParagraph"/>
              <w:spacing w:line="249" w:lineRule="auto" w:before="44"/>
              <w:ind w:right="79"/>
              <w:jc w:val="both"/>
              <w:rPr>
                <w:sz w:val="22"/>
              </w:rPr>
            </w:pPr>
            <w:r>
              <w:rPr>
                <w:color w:val="231F1F"/>
                <w:w w:val="105"/>
                <w:sz w:val="22"/>
              </w:rPr>
              <w:t>Se recomienda informar a las mujeres de que la analgesia neuroaxial es el método más eficaz para el alivio del dolor, pero que puede producir hipotensión, retención urinaria, fiebre y alarga la segunda etapa del parto, incrementando el</w:t>
            </w:r>
            <w:r>
              <w:rPr>
                <w:color w:val="231F1F"/>
                <w:spacing w:val="-2"/>
                <w:w w:val="105"/>
                <w:sz w:val="22"/>
              </w:rPr>
              <w:t> </w:t>
            </w:r>
            <w:r>
              <w:rPr>
                <w:color w:val="231F1F"/>
                <w:w w:val="105"/>
                <w:sz w:val="22"/>
              </w:rPr>
              <w:t>riesgo de parto </w:t>
            </w:r>
            <w:r>
              <w:rPr>
                <w:color w:val="231F1F"/>
                <w:spacing w:val="-2"/>
                <w:w w:val="105"/>
                <w:sz w:val="22"/>
              </w:rPr>
              <w:t>instrumental.</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sz w:val="22"/>
              </w:rPr>
              <w:t>Se</w:t>
            </w:r>
            <w:r>
              <w:rPr>
                <w:color w:val="231F1F"/>
                <w:spacing w:val="34"/>
                <w:sz w:val="22"/>
              </w:rPr>
              <w:t> </w:t>
            </w:r>
            <w:r>
              <w:rPr>
                <w:color w:val="231F1F"/>
                <w:sz w:val="22"/>
              </w:rPr>
              <w:t>recomienda</w:t>
            </w:r>
            <w:r>
              <w:rPr>
                <w:color w:val="231F1F"/>
                <w:spacing w:val="34"/>
                <w:sz w:val="22"/>
              </w:rPr>
              <w:t> </w:t>
            </w:r>
            <w:r>
              <w:rPr>
                <w:color w:val="231F1F"/>
                <w:sz w:val="22"/>
              </w:rPr>
              <w:t>informar</w:t>
            </w:r>
            <w:r>
              <w:rPr>
                <w:color w:val="231F1F"/>
                <w:spacing w:val="30"/>
                <w:sz w:val="22"/>
              </w:rPr>
              <w:t> </w:t>
            </w:r>
            <w:r>
              <w:rPr>
                <w:color w:val="231F1F"/>
                <w:sz w:val="22"/>
              </w:rPr>
              <w:t>a</w:t>
            </w:r>
            <w:r>
              <w:rPr>
                <w:color w:val="231F1F"/>
                <w:spacing w:val="34"/>
                <w:sz w:val="22"/>
              </w:rPr>
              <w:t> </w:t>
            </w:r>
            <w:r>
              <w:rPr>
                <w:color w:val="231F1F"/>
                <w:sz w:val="22"/>
              </w:rPr>
              <w:t>la</w:t>
            </w:r>
            <w:r>
              <w:rPr>
                <w:color w:val="231F1F"/>
                <w:spacing w:val="34"/>
                <w:sz w:val="22"/>
              </w:rPr>
              <w:t> </w:t>
            </w:r>
            <w:r>
              <w:rPr>
                <w:color w:val="231F1F"/>
                <w:sz w:val="22"/>
              </w:rPr>
              <w:t>mujer</w:t>
            </w:r>
            <w:r>
              <w:rPr>
                <w:color w:val="231F1F"/>
                <w:spacing w:val="34"/>
                <w:sz w:val="22"/>
              </w:rPr>
              <w:t> </w:t>
            </w:r>
            <w:r>
              <w:rPr>
                <w:color w:val="231F1F"/>
                <w:sz w:val="22"/>
              </w:rPr>
              <w:t>de</w:t>
            </w:r>
            <w:r>
              <w:rPr>
                <w:color w:val="231F1F"/>
                <w:spacing w:val="34"/>
                <w:sz w:val="22"/>
              </w:rPr>
              <w:t> </w:t>
            </w:r>
            <w:r>
              <w:rPr>
                <w:color w:val="231F1F"/>
                <w:sz w:val="22"/>
              </w:rPr>
              <w:t>los</w:t>
            </w:r>
            <w:r>
              <w:rPr>
                <w:color w:val="231F1F"/>
                <w:spacing w:val="34"/>
                <w:sz w:val="22"/>
              </w:rPr>
              <w:t> </w:t>
            </w:r>
            <w:r>
              <w:rPr>
                <w:color w:val="231F1F"/>
                <w:sz w:val="22"/>
              </w:rPr>
              <w:t>riesgos,</w:t>
            </w:r>
            <w:r>
              <w:rPr>
                <w:color w:val="231F1F"/>
                <w:spacing w:val="34"/>
                <w:sz w:val="22"/>
              </w:rPr>
              <w:t> </w:t>
            </w:r>
            <w:r>
              <w:rPr>
                <w:color w:val="231F1F"/>
                <w:sz w:val="22"/>
              </w:rPr>
              <w:t>beneficios</w:t>
            </w:r>
            <w:r>
              <w:rPr>
                <w:color w:val="231F1F"/>
                <w:spacing w:val="34"/>
                <w:sz w:val="22"/>
              </w:rPr>
              <w:t> </w:t>
            </w:r>
            <w:r>
              <w:rPr>
                <w:color w:val="231F1F"/>
                <w:sz w:val="22"/>
              </w:rPr>
              <w:t>e</w:t>
            </w:r>
            <w:r>
              <w:rPr>
                <w:color w:val="231F1F"/>
                <w:spacing w:val="34"/>
                <w:sz w:val="22"/>
              </w:rPr>
              <w:t> </w:t>
            </w:r>
            <w:r>
              <w:rPr>
                <w:color w:val="231F1F"/>
                <w:sz w:val="22"/>
              </w:rPr>
              <w:t>implicaciones</w:t>
            </w:r>
            <w:r>
              <w:rPr>
                <w:color w:val="231F1F"/>
                <w:spacing w:val="34"/>
                <w:sz w:val="22"/>
              </w:rPr>
              <w:t> </w:t>
            </w:r>
            <w:r>
              <w:rPr>
                <w:color w:val="231F1F"/>
                <w:sz w:val="22"/>
              </w:rPr>
              <w:t>sobre </w:t>
            </w:r>
            <w:r>
              <w:rPr>
                <w:color w:val="231F1F"/>
                <w:w w:val="110"/>
                <w:sz w:val="22"/>
              </w:rPr>
              <w:t>el parto de la analgesia neuroaxial.</w:t>
            </w:r>
          </w:p>
        </w:tc>
      </w:tr>
    </w:tbl>
    <w:p>
      <w:pPr>
        <w:pStyle w:val="TableParagraph"/>
        <w:spacing w:after="0" w:line="244" w:lineRule="auto"/>
        <w:rPr>
          <w:sz w:val="22"/>
        </w:rPr>
        <w:sectPr>
          <w:type w:val="continuous"/>
          <w:pgSz w:w="11900" w:h="16840"/>
          <w:pgMar w:header="0" w:footer="622" w:top="1640" w:bottom="820" w:left="1417" w:right="1559"/>
        </w:sectPr>
      </w:pPr>
    </w:p>
    <w:p>
      <w:pPr>
        <w:pStyle w:val="Heading3"/>
        <w:numPr>
          <w:ilvl w:val="3"/>
          <w:numId w:val="2"/>
        </w:numPr>
        <w:tabs>
          <w:tab w:pos="1156" w:val="left" w:leader="none"/>
          <w:tab w:pos="1166" w:val="left" w:leader="none"/>
        </w:tabs>
        <w:spacing w:line="237" w:lineRule="auto" w:before="78" w:after="0"/>
        <w:ind w:left="1166" w:right="956" w:hanging="885"/>
        <w:jc w:val="left"/>
      </w:pPr>
      <w:r>
        <w:rPr>
          <w:color w:val="231F1F"/>
        </w:rPr>
        <w:t>Analgesia</w:t>
      </w:r>
      <w:r>
        <w:rPr>
          <w:color w:val="231F1F"/>
          <w:spacing w:val="40"/>
        </w:rPr>
        <w:t> </w:t>
      </w:r>
      <w:r>
        <w:rPr>
          <w:color w:val="231F1F"/>
        </w:rPr>
        <w:t>epidural</w:t>
      </w:r>
      <w:r>
        <w:rPr>
          <w:color w:val="231F1F"/>
          <w:spacing w:val="40"/>
        </w:rPr>
        <w:t> </w:t>
      </w:r>
      <w:r>
        <w:rPr>
          <w:color w:val="231F1F"/>
        </w:rPr>
        <w:t>tradicional</w:t>
      </w:r>
      <w:r>
        <w:rPr>
          <w:color w:val="231F1F"/>
          <w:spacing w:val="40"/>
        </w:rPr>
        <w:t> </w:t>
      </w:r>
      <w:r>
        <w:rPr>
          <w:color w:val="231F1F"/>
        </w:rPr>
        <w:t>vs</w:t>
      </w:r>
      <w:r>
        <w:rPr>
          <w:color w:val="231F1F"/>
          <w:spacing w:val="40"/>
        </w:rPr>
        <w:t> </w:t>
      </w:r>
      <w:r>
        <w:rPr>
          <w:color w:val="231F1F"/>
        </w:rPr>
        <w:t>epidural</w:t>
      </w:r>
      <w:r>
        <w:rPr>
          <w:color w:val="231F1F"/>
          <w:spacing w:val="40"/>
        </w:rPr>
        <w:t> </w:t>
      </w:r>
      <w:r>
        <w:rPr>
          <w:color w:val="231F1F"/>
        </w:rPr>
        <w:t>a</w:t>
      </w:r>
      <w:r>
        <w:rPr>
          <w:color w:val="231F1F"/>
          <w:spacing w:val="40"/>
        </w:rPr>
        <w:t> </w:t>
      </w:r>
      <w:r>
        <w:rPr>
          <w:color w:val="231F1F"/>
        </w:rPr>
        <w:t>bajas </w:t>
      </w:r>
      <w:r>
        <w:rPr>
          <w:color w:val="231F1F"/>
          <w:w w:val="110"/>
        </w:rPr>
        <w:t>dosis vs combinada</w:t>
      </w:r>
    </w:p>
    <w:p>
      <w:pPr>
        <w:pStyle w:val="BodyText"/>
        <w:spacing w:before="18"/>
        <w:rPr>
          <w:sz w:val="20"/>
        </w:rPr>
      </w:pPr>
      <w:r>
        <w:rPr>
          <w:sz w:val="20"/>
        </w:rPr>
        <mc:AlternateContent>
          <mc:Choice Requires="wps">
            <w:drawing>
              <wp:anchor distT="0" distB="0" distL="0" distR="0" allowOverlap="1" layoutInCell="1" locked="0" behindDoc="1" simplePos="0" relativeHeight="487626240">
                <wp:simplePos x="0" y="0"/>
                <wp:positionH relativeFrom="page">
                  <wp:posOffset>1082675</wp:posOffset>
                </wp:positionH>
                <wp:positionV relativeFrom="paragraph">
                  <wp:posOffset>176162</wp:posOffset>
                </wp:positionV>
                <wp:extent cx="5400040" cy="440055"/>
                <wp:effectExtent l="0" t="0" r="0" b="0"/>
                <wp:wrapTopAndBottom/>
                <wp:docPr id="137" name="Textbox 137"/>
                <wp:cNvGraphicFramePr>
                  <a:graphicFrameLocks/>
                </wp:cNvGraphicFramePr>
                <a:graphic>
                  <a:graphicData uri="http://schemas.microsoft.com/office/word/2010/wordprocessingShape">
                    <wps:wsp>
                      <wps:cNvPr id="137" name="Textbox 137"/>
                      <wps:cNvSpPr txBox="1"/>
                      <wps:spPr>
                        <a:xfrm>
                          <a:off x="0" y="0"/>
                          <a:ext cx="5400040" cy="440055"/>
                        </a:xfrm>
                        <a:prstGeom prst="rect">
                          <a:avLst/>
                        </a:prstGeom>
                        <a:ln w="6350">
                          <a:solidFill>
                            <a:srgbClr val="A30046"/>
                          </a:solidFill>
                          <a:prstDash val="solid"/>
                        </a:ln>
                      </wps:spPr>
                      <wps:txbx>
                        <w:txbxContent>
                          <w:p>
                            <w:pPr>
                              <w:pStyle w:val="BodyText"/>
                              <w:numPr>
                                <w:ilvl w:val="0"/>
                                <w:numId w:val="77"/>
                              </w:numPr>
                              <w:tabs>
                                <w:tab w:pos="323" w:val="left" w:leader="none"/>
                              </w:tabs>
                              <w:spacing w:line="259" w:lineRule="auto" w:before="40" w:after="0"/>
                              <w:ind w:left="323" w:right="458" w:hanging="219"/>
                              <w:jc w:val="left"/>
                            </w:pPr>
                            <w:r>
                              <w:rPr>
                                <w:color w:val="231F1F"/>
                                <w:w w:val="105"/>
                              </w:rPr>
                              <w:t>¿Cuál</w:t>
                            </w:r>
                            <w:r>
                              <w:rPr>
                                <w:color w:val="231F1F"/>
                                <w:spacing w:val="-5"/>
                                <w:w w:val="105"/>
                              </w:rPr>
                              <w:t> </w:t>
                            </w:r>
                            <w:r>
                              <w:rPr>
                                <w:color w:val="231F1F"/>
                                <w:w w:val="105"/>
                              </w:rPr>
                              <w:t>es</w:t>
                            </w:r>
                            <w:r>
                              <w:rPr>
                                <w:color w:val="231F1F"/>
                                <w:spacing w:val="-5"/>
                                <w:w w:val="105"/>
                              </w:rPr>
                              <w:t> </w:t>
                            </w:r>
                            <w:r>
                              <w:rPr>
                                <w:color w:val="231F1F"/>
                                <w:w w:val="105"/>
                              </w:rPr>
                              <w:t>la</w:t>
                            </w:r>
                            <w:r>
                              <w:rPr>
                                <w:color w:val="231F1F"/>
                                <w:spacing w:val="-4"/>
                                <w:w w:val="105"/>
                              </w:rPr>
                              <w:t> </w:t>
                            </w:r>
                            <w:r>
                              <w:rPr>
                                <w:color w:val="231F1F"/>
                                <w:w w:val="105"/>
                              </w:rPr>
                              <w:t>efectividad</w:t>
                            </w:r>
                            <w:r>
                              <w:rPr>
                                <w:color w:val="231F1F"/>
                                <w:spacing w:val="-5"/>
                                <w:w w:val="105"/>
                              </w:rPr>
                              <w:t> </w:t>
                            </w:r>
                            <w:r>
                              <w:rPr>
                                <w:color w:val="231F1F"/>
                                <w:w w:val="105"/>
                              </w:rPr>
                              <w:t>de</w:t>
                            </w:r>
                            <w:r>
                              <w:rPr>
                                <w:color w:val="231F1F"/>
                                <w:spacing w:val="-4"/>
                                <w:w w:val="105"/>
                              </w:rPr>
                              <w:t> </w:t>
                            </w:r>
                            <w:r>
                              <w:rPr>
                                <w:color w:val="231F1F"/>
                                <w:w w:val="105"/>
                              </w:rPr>
                              <w:t>las</w:t>
                            </w:r>
                            <w:r>
                              <w:rPr>
                                <w:color w:val="231F1F"/>
                                <w:spacing w:val="-5"/>
                                <w:w w:val="105"/>
                              </w:rPr>
                              <w:t> </w:t>
                            </w:r>
                            <w:r>
                              <w:rPr>
                                <w:color w:val="231F1F"/>
                                <w:w w:val="105"/>
                              </w:rPr>
                              <w:t>siguientes</w:t>
                            </w:r>
                            <w:r>
                              <w:rPr>
                                <w:color w:val="231F1F"/>
                                <w:spacing w:val="-5"/>
                                <w:w w:val="105"/>
                              </w:rPr>
                              <w:t> </w:t>
                            </w:r>
                            <w:r>
                              <w:rPr>
                                <w:color w:val="231F1F"/>
                                <w:w w:val="105"/>
                              </w:rPr>
                              <w:t>técnicas</w:t>
                            </w:r>
                            <w:r>
                              <w:rPr>
                                <w:color w:val="231F1F"/>
                                <w:spacing w:val="-5"/>
                                <w:w w:val="105"/>
                              </w:rPr>
                              <w:t> </w:t>
                            </w:r>
                            <w:r>
                              <w:rPr>
                                <w:color w:val="231F1F"/>
                                <w:w w:val="105"/>
                              </w:rPr>
                              <w:t>de</w:t>
                            </w:r>
                            <w:r>
                              <w:rPr>
                                <w:color w:val="231F1F"/>
                                <w:spacing w:val="-4"/>
                                <w:w w:val="105"/>
                              </w:rPr>
                              <w:t> </w:t>
                            </w:r>
                            <w:r>
                              <w:rPr>
                                <w:color w:val="231F1F"/>
                                <w:w w:val="105"/>
                              </w:rPr>
                              <w:t>analgesia</w:t>
                            </w:r>
                            <w:r>
                              <w:rPr>
                                <w:color w:val="231F1F"/>
                                <w:spacing w:val="-4"/>
                                <w:w w:val="105"/>
                              </w:rPr>
                              <w:t> </w:t>
                            </w:r>
                            <w:r>
                              <w:rPr>
                                <w:color w:val="231F1F"/>
                                <w:w w:val="105"/>
                              </w:rPr>
                              <w:t>neuroaxial</w:t>
                            </w:r>
                            <w:r>
                              <w:rPr>
                                <w:color w:val="231F1F"/>
                                <w:spacing w:val="-5"/>
                                <w:w w:val="105"/>
                              </w:rPr>
                              <w:t> </w:t>
                            </w:r>
                            <w:r>
                              <w:rPr>
                                <w:color w:val="231F1F"/>
                                <w:w w:val="105"/>
                              </w:rPr>
                              <w:t>obstétrica: epidural tradicional</w:t>
                            </w:r>
                            <w:r>
                              <w:rPr>
                                <w:color w:val="231F1F"/>
                                <w:w w:val="105"/>
                              </w:rPr>
                              <w:t> vs epidural a bajas dosis vs combinada (intradural-epidural)?</w:t>
                            </w:r>
                          </w:p>
                        </w:txbxContent>
                      </wps:txbx>
                      <wps:bodyPr wrap="square" lIns="0" tIns="0" rIns="0" bIns="0" rtlCol="0">
                        <a:noAutofit/>
                      </wps:bodyPr>
                    </wps:wsp>
                  </a:graphicData>
                </a:graphic>
              </wp:anchor>
            </w:drawing>
          </mc:Choice>
          <mc:Fallback>
            <w:pict>
              <v:shape style="position:absolute;margin-left:85.25pt;margin-top:13.871094pt;width:425.2pt;height:34.65pt;mso-position-horizontal-relative:page;mso-position-vertical-relative:paragraph;z-index:-15690240;mso-wrap-distance-left:0;mso-wrap-distance-right:0" type="#_x0000_t202" id="docshape126" filled="false" stroked="true" strokeweight=".5pt" strokecolor="#a30046">
                <v:textbox inset="0,0,0,0">
                  <w:txbxContent>
                    <w:p>
                      <w:pPr>
                        <w:pStyle w:val="BodyText"/>
                        <w:numPr>
                          <w:ilvl w:val="0"/>
                          <w:numId w:val="77"/>
                        </w:numPr>
                        <w:tabs>
                          <w:tab w:pos="323" w:val="left" w:leader="none"/>
                        </w:tabs>
                        <w:spacing w:line="259" w:lineRule="auto" w:before="40" w:after="0"/>
                        <w:ind w:left="323" w:right="458" w:hanging="219"/>
                        <w:jc w:val="left"/>
                      </w:pPr>
                      <w:r>
                        <w:rPr>
                          <w:color w:val="231F1F"/>
                          <w:w w:val="105"/>
                        </w:rPr>
                        <w:t>¿Cuál</w:t>
                      </w:r>
                      <w:r>
                        <w:rPr>
                          <w:color w:val="231F1F"/>
                          <w:spacing w:val="-5"/>
                          <w:w w:val="105"/>
                        </w:rPr>
                        <w:t> </w:t>
                      </w:r>
                      <w:r>
                        <w:rPr>
                          <w:color w:val="231F1F"/>
                          <w:w w:val="105"/>
                        </w:rPr>
                        <w:t>es</w:t>
                      </w:r>
                      <w:r>
                        <w:rPr>
                          <w:color w:val="231F1F"/>
                          <w:spacing w:val="-5"/>
                          <w:w w:val="105"/>
                        </w:rPr>
                        <w:t> </w:t>
                      </w:r>
                      <w:r>
                        <w:rPr>
                          <w:color w:val="231F1F"/>
                          <w:w w:val="105"/>
                        </w:rPr>
                        <w:t>la</w:t>
                      </w:r>
                      <w:r>
                        <w:rPr>
                          <w:color w:val="231F1F"/>
                          <w:spacing w:val="-4"/>
                          <w:w w:val="105"/>
                        </w:rPr>
                        <w:t> </w:t>
                      </w:r>
                      <w:r>
                        <w:rPr>
                          <w:color w:val="231F1F"/>
                          <w:w w:val="105"/>
                        </w:rPr>
                        <w:t>efectividad</w:t>
                      </w:r>
                      <w:r>
                        <w:rPr>
                          <w:color w:val="231F1F"/>
                          <w:spacing w:val="-5"/>
                          <w:w w:val="105"/>
                        </w:rPr>
                        <w:t> </w:t>
                      </w:r>
                      <w:r>
                        <w:rPr>
                          <w:color w:val="231F1F"/>
                          <w:w w:val="105"/>
                        </w:rPr>
                        <w:t>de</w:t>
                      </w:r>
                      <w:r>
                        <w:rPr>
                          <w:color w:val="231F1F"/>
                          <w:spacing w:val="-4"/>
                          <w:w w:val="105"/>
                        </w:rPr>
                        <w:t> </w:t>
                      </w:r>
                      <w:r>
                        <w:rPr>
                          <w:color w:val="231F1F"/>
                          <w:w w:val="105"/>
                        </w:rPr>
                        <w:t>las</w:t>
                      </w:r>
                      <w:r>
                        <w:rPr>
                          <w:color w:val="231F1F"/>
                          <w:spacing w:val="-5"/>
                          <w:w w:val="105"/>
                        </w:rPr>
                        <w:t> </w:t>
                      </w:r>
                      <w:r>
                        <w:rPr>
                          <w:color w:val="231F1F"/>
                          <w:w w:val="105"/>
                        </w:rPr>
                        <w:t>siguientes</w:t>
                      </w:r>
                      <w:r>
                        <w:rPr>
                          <w:color w:val="231F1F"/>
                          <w:spacing w:val="-5"/>
                          <w:w w:val="105"/>
                        </w:rPr>
                        <w:t> </w:t>
                      </w:r>
                      <w:r>
                        <w:rPr>
                          <w:color w:val="231F1F"/>
                          <w:w w:val="105"/>
                        </w:rPr>
                        <w:t>técnicas</w:t>
                      </w:r>
                      <w:r>
                        <w:rPr>
                          <w:color w:val="231F1F"/>
                          <w:spacing w:val="-5"/>
                          <w:w w:val="105"/>
                        </w:rPr>
                        <w:t> </w:t>
                      </w:r>
                      <w:r>
                        <w:rPr>
                          <w:color w:val="231F1F"/>
                          <w:w w:val="105"/>
                        </w:rPr>
                        <w:t>de</w:t>
                      </w:r>
                      <w:r>
                        <w:rPr>
                          <w:color w:val="231F1F"/>
                          <w:spacing w:val="-4"/>
                          <w:w w:val="105"/>
                        </w:rPr>
                        <w:t> </w:t>
                      </w:r>
                      <w:r>
                        <w:rPr>
                          <w:color w:val="231F1F"/>
                          <w:w w:val="105"/>
                        </w:rPr>
                        <w:t>analgesia</w:t>
                      </w:r>
                      <w:r>
                        <w:rPr>
                          <w:color w:val="231F1F"/>
                          <w:spacing w:val="-4"/>
                          <w:w w:val="105"/>
                        </w:rPr>
                        <w:t> </w:t>
                      </w:r>
                      <w:r>
                        <w:rPr>
                          <w:color w:val="231F1F"/>
                          <w:w w:val="105"/>
                        </w:rPr>
                        <w:t>neuroaxial</w:t>
                      </w:r>
                      <w:r>
                        <w:rPr>
                          <w:color w:val="231F1F"/>
                          <w:spacing w:val="-5"/>
                          <w:w w:val="105"/>
                        </w:rPr>
                        <w:t> </w:t>
                      </w:r>
                      <w:r>
                        <w:rPr>
                          <w:color w:val="231F1F"/>
                          <w:w w:val="105"/>
                        </w:rPr>
                        <w:t>obstétrica: epidural tradicional</w:t>
                      </w:r>
                      <w:r>
                        <w:rPr>
                          <w:color w:val="231F1F"/>
                          <w:w w:val="105"/>
                        </w:rPr>
                        <w:t> vs epidural a bajas dosis vs combinada (intradural-epidural)?</w:t>
                      </w:r>
                    </w:p>
                  </w:txbxContent>
                </v:textbox>
                <v:stroke dashstyle="solid"/>
                <w10:wrap type="topAndBottom"/>
              </v:shape>
            </w:pict>
          </mc:Fallback>
        </mc:AlternateContent>
      </w:r>
    </w:p>
    <w:p>
      <w:pPr>
        <w:pStyle w:val="BodyText"/>
        <w:spacing w:line="244" w:lineRule="auto" w:before="321"/>
        <w:ind w:left="282" w:right="126"/>
        <w:jc w:val="both"/>
      </w:pPr>
      <w:r>
        <w:rPr>
          <w:color w:val="231F1F"/>
          <w:w w:val="110"/>
        </w:rPr>
        <w:t>La analgesia neuroaxial (regional) puede ser epidural, intradural o una combinación de ambas.</w:t>
      </w:r>
      <w:r>
        <w:rPr>
          <w:color w:val="231F1F"/>
          <w:spacing w:val="-11"/>
          <w:w w:val="110"/>
        </w:rPr>
        <w:t> </w:t>
      </w:r>
      <w:r>
        <w:rPr>
          <w:color w:val="231F1F"/>
          <w:w w:val="110"/>
        </w:rPr>
        <w:t>La</w:t>
      </w:r>
      <w:r>
        <w:rPr>
          <w:color w:val="231F1F"/>
          <w:spacing w:val="-11"/>
          <w:w w:val="110"/>
        </w:rPr>
        <w:t> </w:t>
      </w:r>
      <w:r>
        <w:rPr>
          <w:color w:val="231F1F"/>
          <w:w w:val="110"/>
        </w:rPr>
        <w:t>analgesia</w:t>
      </w:r>
      <w:r>
        <w:rPr>
          <w:color w:val="231F1F"/>
          <w:spacing w:val="-11"/>
          <w:w w:val="110"/>
        </w:rPr>
        <w:t> </w:t>
      </w:r>
      <w:r>
        <w:rPr>
          <w:color w:val="231F1F"/>
          <w:w w:val="110"/>
        </w:rPr>
        <w:t>intradural</w:t>
      </w:r>
      <w:r>
        <w:rPr>
          <w:color w:val="231F1F"/>
          <w:spacing w:val="-11"/>
          <w:w w:val="110"/>
        </w:rPr>
        <w:t> </w:t>
      </w:r>
      <w:r>
        <w:rPr>
          <w:color w:val="231F1F"/>
          <w:w w:val="110"/>
        </w:rPr>
        <w:t>no</w:t>
      </w:r>
      <w:r>
        <w:rPr>
          <w:color w:val="231F1F"/>
          <w:spacing w:val="-11"/>
          <w:w w:val="110"/>
        </w:rPr>
        <w:t> </w:t>
      </w:r>
      <w:r>
        <w:rPr>
          <w:color w:val="231F1F"/>
          <w:w w:val="110"/>
        </w:rPr>
        <w:t>suele</w:t>
      </w:r>
      <w:r>
        <w:rPr>
          <w:color w:val="231F1F"/>
          <w:spacing w:val="-11"/>
          <w:w w:val="110"/>
        </w:rPr>
        <w:t> </w:t>
      </w:r>
      <w:r>
        <w:rPr>
          <w:color w:val="231F1F"/>
          <w:w w:val="110"/>
        </w:rPr>
        <w:t>utilizarse</w:t>
      </w:r>
      <w:r>
        <w:rPr>
          <w:color w:val="231F1F"/>
          <w:spacing w:val="-11"/>
          <w:w w:val="110"/>
        </w:rPr>
        <w:t> </w:t>
      </w:r>
      <w:r>
        <w:rPr>
          <w:color w:val="231F1F"/>
          <w:w w:val="110"/>
        </w:rPr>
        <w:t>como</w:t>
      </w:r>
      <w:r>
        <w:rPr>
          <w:color w:val="231F1F"/>
          <w:spacing w:val="-11"/>
          <w:w w:val="110"/>
        </w:rPr>
        <w:t> </w:t>
      </w:r>
      <w:r>
        <w:rPr>
          <w:color w:val="231F1F"/>
          <w:w w:val="110"/>
        </w:rPr>
        <w:t>método</w:t>
      </w:r>
      <w:r>
        <w:rPr>
          <w:color w:val="231F1F"/>
          <w:spacing w:val="-11"/>
          <w:w w:val="110"/>
        </w:rPr>
        <w:t> </w:t>
      </w:r>
      <w:r>
        <w:rPr>
          <w:color w:val="231F1F"/>
          <w:w w:val="110"/>
        </w:rPr>
        <w:t>analgésico</w:t>
      </w:r>
      <w:r>
        <w:rPr>
          <w:color w:val="231F1F"/>
          <w:spacing w:val="-10"/>
          <w:w w:val="110"/>
        </w:rPr>
        <w:t> </w:t>
      </w:r>
      <w:r>
        <w:rPr>
          <w:color w:val="231F1F"/>
          <w:w w:val="110"/>
        </w:rPr>
        <w:t>en</w:t>
      </w:r>
      <w:r>
        <w:rPr>
          <w:color w:val="231F1F"/>
          <w:spacing w:val="-11"/>
          <w:w w:val="110"/>
        </w:rPr>
        <w:t> </w:t>
      </w:r>
      <w:r>
        <w:rPr>
          <w:color w:val="231F1F"/>
          <w:w w:val="110"/>
        </w:rPr>
        <w:t>obstetricia por su escasa duración.</w:t>
      </w:r>
    </w:p>
    <w:p>
      <w:pPr>
        <w:pStyle w:val="BodyText"/>
        <w:spacing w:line="247" w:lineRule="auto" w:before="143"/>
        <w:ind w:left="281" w:right="117" w:firstLine="453"/>
        <w:jc w:val="both"/>
      </w:pPr>
      <w:r>
        <w:rPr>
          <w:color w:val="231F1F"/>
          <w:w w:val="110"/>
        </w:rPr>
        <w:t>La</w:t>
      </w:r>
      <w:r>
        <w:rPr>
          <w:color w:val="231F1F"/>
          <w:spacing w:val="-12"/>
          <w:w w:val="110"/>
        </w:rPr>
        <w:t> </w:t>
      </w:r>
      <w:r>
        <w:rPr>
          <w:color w:val="231F1F"/>
          <w:w w:val="110"/>
        </w:rPr>
        <w:t>analgesia</w:t>
      </w:r>
      <w:r>
        <w:rPr>
          <w:color w:val="231F1F"/>
          <w:spacing w:val="-11"/>
          <w:w w:val="110"/>
        </w:rPr>
        <w:t> </w:t>
      </w:r>
      <w:r>
        <w:rPr>
          <w:color w:val="231F1F"/>
          <w:w w:val="110"/>
        </w:rPr>
        <w:t>neuroaxial</w:t>
      </w:r>
      <w:r>
        <w:rPr>
          <w:color w:val="231F1F"/>
          <w:spacing w:val="-13"/>
          <w:w w:val="110"/>
        </w:rPr>
        <w:t> </w:t>
      </w:r>
      <w:r>
        <w:rPr>
          <w:color w:val="231F1F"/>
          <w:w w:val="110"/>
        </w:rPr>
        <w:t>comienza</w:t>
      </w:r>
      <w:r>
        <w:rPr>
          <w:color w:val="231F1F"/>
          <w:spacing w:val="-12"/>
          <w:w w:val="110"/>
        </w:rPr>
        <w:t> </w:t>
      </w:r>
      <w:r>
        <w:rPr>
          <w:color w:val="231F1F"/>
          <w:w w:val="110"/>
        </w:rPr>
        <w:t>en</w:t>
      </w:r>
      <w:r>
        <w:rPr>
          <w:color w:val="231F1F"/>
          <w:spacing w:val="-12"/>
          <w:w w:val="110"/>
        </w:rPr>
        <w:t> </w:t>
      </w:r>
      <w:r>
        <w:rPr>
          <w:color w:val="231F1F"/>
          <w:w w:val="110"/>
        </w:rPr>
        <w:t>el</w:t>
      </w:r>
      <w:r>
        <w:rPr>
          <w:color w:val="231F1F"/>
          <w:spacing w:val="-13"/>
          <w:w w:val="110"/>
        </w:rPr>
        <w:t> </w:t>
      </w:r>
      <w:r>
        <w:rPr>
          <w:color w:val="231F1F"/>
          <w:w w:val="110"/>
        </w:rPr>
        <w:t>ámbito</w:t>
      </w:r>
      <w:r>
        <w:rPr>
          <w:color w:val="231F1F"/>
          <w:spacing w:val="-12"/>
          <w:w w:val="110"/>
        </w:rPr>
        <w:t> </w:t>
      </w:r>
      <w:r>
        <w:rPr>
          <w:color w:val="231F1F"/>
          <w:w w:val="110"/>
        </w:rPr>
        <w:t>obstétrico</w:t>
      </w:r>
      <w:r>
        <w:rPr>
          <w:color w:val="231F1F"/>
          <w:spacing w:val="-12"/>
          <w:w w:val="110"/>
        </w:rPr>
        <w:t> </w:t>
      </w:r>
      <w:r>
        <w:rPr>
          <w:color w:val="231F1F"/>
          <w:w w:val="110"/>
        </w:rPr>
        <w:t>como</w:t>
      </w:r>
      <w:r>
        <w:rPr>
          <w:color w:val="231F1F"/>
          <w:spacing w:val="-12"/>
          <w:w w:val="110"/>
        </w:rPr>
        <w:t> </w:t>
      </w:r>
      <w:r>
        <w:rPr>
          <w:color w:val="231F1F"/>
          <w:w w:val="110"/>
        </w:rPr>
        <w:t>una</w:t>
      </w:r>
      <w:r>
        <w:rPr>
          <w:color w:val="231F1F"/>
          <w:spacing w:val="-12"/>
          <w:w w:val="110"/>
        </w:rPr>
        <w:t> </w:t>
      </w:r>
      <w:r>
        <w:rPr>
          <w:color w:val="231F1F"/>
          <w:w w:val="110"/>
        </w:rPr>
        <w:t>técnica</w:t>
      </w:r>
      <w:r>
        <w:rPr>
          <w:color w:val="231F1F"/>
          <w:spacing w:val="-11"/>
          <w:w w:val="110"/>
        </w:rPr>
        <w:t> </w:t>
      </w:r>
      <w:r>
        <w:rPr>
          <w:color w:val="231F1F"/>
          <w:w w:val="110"/>
        </w:rPr>
        <w:t>epidural en la que habitualmente se coloca un catéter en el espacio epidural a través del cual se </w:t>
      </w:r>
      <w:r>
        <w:rPr>
          <w:color w:val="231F1F"/>
          <w:spacing w:val="-2"/>
          <w:w w:val="110"/>
        </w:rPr>
        <w:t>inyectan</w:t>
      </w:r>
      <w:r>
        <w:rPr>
          <w:color w:val="231F1F"/>
          <w:spacing w:val="-14"/>
          <w:w w:val="110"/>
        </w:rPr>
        <w:t> </w:t>
      </w:r>
      <w:r>
        <w:rPr>
          <w:color w:val="231F1F"/>
          <w:spacing w:val="-2"/>
          <w:w w:val="110"/>
        </w:rPr>
        <w:t>los</w:t>
      </w:r>
      <w:r>
        <w:rPr>
          <w:color w:val="231F1F"/>
          <w:spacing w:val="-13"/>
          <w:w w:val="110"/>
        </w:rPr>
        <w:t> </w:t>
      </w:r>
      <w:r>
        <w:rPr>
          <w:color w:val="231F1F"/>
          <w:spacing w:val="-2"/>
          <w:w w:val="110"/>
        </w:rPr>
        <w:t>fármacos.</w:t>
      </w:r>
      <w:r>
        <w:rPr>
          <w:color w:val="231F1F"/>
          <w:spacing w:val="-7"/>
          <w:w w:val="110"/>
        </w:rPr>
        <w:t> </w:t>
      </w:r>
      <w:r>
        <w:rPr>
          <w:color w:val="231F1F"/>
          <w:spacing w:val="-2"/>
          <w:w w:val="110"/>
        </w:rPr>
        <w:t>Los </w:t>
      </w:r>
      <w:r>
        <w:rPr>
          <w:i/>
          <w:color w:val="231F1F"/>
          <w:spacing w:val="-2"/>
          <w:w w:val="110"/>
        </w:rPr>
        <w:t>regímenes</w:t>
      </w:r>
      <w:r>
        <w:rPr>
          <w:i/>
          <w:color w:val="231F1F"/>
          <w:spacing w:val="-14"/>
          <w:w w:val="110"/>
        </w:rPr>
        <w:t> </w:t>
      </w:r>
      <w:r>
        <w:rPr>
          <w:i/>
          <w:color w:val="231F1F"/>
          <w:spacing w:val="-2"/>
          <w:w w:val="110"/>
        </w:rPr>
        <w:t>tradicionales</w:t>
      </w:r>
      <w:r>
        <w:rPr>
          <w:i/>
          <w:color w:val="231F1F"/>
          <w:spacing w:val="-13"/>
          <w:w w:val="110"/>
        </w:rPr>
        <w:t> </w:t>
      </w:r>
      <w:r>
        <w:rPr>
          <w:i/>
          <w:color w:val="231F1F"/>
          <w:spacing w:val="-2"/>
          <w:w w:val="110"/>
        </w:rPr>
        <w:t>o</w:t>
      </w:r>
      <w:r>
        <w:rPr>
          <w:i/>
          <w:color w:val="231F1F"/>
          <w:spacing w:val="-13"/>
          <w:w w:val="110"/>
        </w:rPr>
        <w:t> </w:t>
      </w:r>
      <w:r>
        <w:rPr>
          <w:i/>
          <w:color w:val="231F1F"/>
          <w:spacing w:val="-2"/>
          <w:w w:val="110"/>
        </w:rPr>
        <w:t>a</w:t>
      </w:r>
      <w:r>
        <w:rPr>
          <w:i/>
          <w:color w:val="231F1F"/>
          <w:spacing w:val="-13"/>
          <w:w w:val="110"/>
        </w:rPr>
        <w:t> </w:t>
      </w:r>
      <w:r>
        <w:rPr>
          <w:i/>
          <w:color w:val="231F1F"/>
          <w:spacing w:val="-2"/>
          <w:w w:val="110"/>
        </w:rPr>
        <w:t>altas</w:t>
      </w:r>
      <w:r>
        <w:rPr>
          <w:i/>
          <w:color w:val="231F1F"/>
          <w:spacing w:val="-13"/>
          <w:w w:val="110"/>
        </w:rPr>
        <w:t> </w:t>
      </w:r>
      <w:r>
        <w:rPr>
          <w:i/>
          <w:color w:val="231F1F"/>
          <w:spacing w:val="-2"/>
          <w:w w:val="110"/>
        </w:rPr>
        <w:t>dosis</w:t>
      </w:r>
      <w:r>
        <w:rPr>
          <w:i/>
          <w:color w:val="231F1F"/>
          <w:spacing w:val="-13"/>
          <w:w w:val="110"/>
        </w:rPr>
        <w:t> </w:t>
      </w:r>
      <w:r>
        <w:rPr>
          <w:color w:val="231F1F"/>
          <w:spacing w:val="-2"/>
          <w:w w:val="110"/>
        </w:rPr>
        <w:t>empleaban sólo</w:t>
      </w:r>
      <w:r>
        <w:rPr>
          <w:color w:val="231F1F"/>
          <w:spacing w:val="-3"/>
          <w:w w:val="110"/>
        </w:rPr>
        <w:t> </w:t>
      </w:r>
      <w:r>
        <w:rPr>
          <w:color w:val="231F1F"/>
          <w:spacing w:val="-2"/>
          <w:w w:val="110"/>
        </w:rPr>
        <w:t>anesté- </w:t>
      </w:r>
      <w:r>
        <w:rPr>
          <w:color w:val="231F1F"/>
          <w:w w:val="110"/>
        </w:rPr>
        <w:t>sicos</w:t>
      </w:r>
      <w:r>
        <w:rPr>
          <w:color w:val="231F1F"/>
          <w:spacing w:val="-6"/>
          <w:w w:val="110"/>
        </w:rPr>
        <w:t> </w:t>
      </w:r>
      <w:r>
        <w:rPr>
          <w:color w:val="231F1F"/>
          <w:w w:val="110"/>
        </w:rPr>
        <w:t>locales</w:t>
      </w:r>
      <w:r>
        <w:rPr>
          <w:color w:val="231F1F"/>
          <w:spacing w:val="-5"/>
          <w:w w:val="110"/>
        </w:rPr>
        <w:t> </w:t>
      </w:r>
      <w:r>
        <w:rPr>
          <w:color w:val="231F1F"/>
          <w:w w:val="110"/>
        </w:rPr>
        <w:t>en</w:t>
      </w:r>
      <w:r>
        <w:rPr>
          <w:color w:val="231F1F"/>
          <w:spacing w:val="-5"/>
          <w:w w:val="110"/>
        </w:rPr>
        <w:t> </w:t>
      </w:r>
      <w:r>
        <w:rPr>
          <w:color w:val="231F1F"/>
          <w:w w:val="110"/>
        </w:rPr>
        <w:t>concentraciones</w:t>
      </w:r>
      <w:r>
        <w:rPr>
          <w:color w:val="231F1F"/>
          <w:spacing w:val="-5"/>
          <w:w w:val="110"/>
        </w:rPr>
        <w:t> </w:t>
      </w:r>
      <w:r>
        <w:rPr>
          <w:color w:val="231F1F"/>
          <w:w w:val="110"/>
        </w:rPr>
        <w:t>iguales</w:t>
      </w:r>
      <w:r>
        <w:rPr>
          <w:color w:val="231F1F"/>
          <w:spacing w:val="-5"/>
          <w:w w:val="110"/>
        </w:rPr>
        <w:t> </w:t>
      </w:r>
      <w:r>
        <w:rPr>
          <w:color w:val="231F1F"/>
          <w:w w:val="110"/>
        </w:rPr>
        <w:t>o</w:t>
      </w:r>
      <w:r>
        <w:rPr>
          <w:color w:val="231F1F"/>
          <w:spacing w:val="-5"/>
          <w:w w:val="110"/>
        </w:rPr>
        <w:t> </w:t>
      </w:r>
      <w:r>
        <w:rPr>
          <w:color w:val="231F1F"/>
          <w:w w:val="110"/>
        </w:rPr>
        <w:t>superiores</w:t>
      </w:r>
      <w:r>
        <w:rPr>
          <w:color w:val="231F1F"/>
          <w:spacing w:val="-6"/>
          <w:w w:val="110"/>
        </w:rPr>
        <w:t> </w:t>
      </w:r>
      <w:r>
        <w:rPr>
          <w:color w:val="231F1F"/>
          <w:w w:val="110"/>
        </w:rPr>
        <w:t>a</w:t>
      </w:r>
      <w:r>
        <w:rPr>
          <w:color w:val="231F1F"/>
          <w:spacing w:val="-5"/>
          <w:w w:val="110"/>
        </w:rPr>
        <w:t> </w:t>
      </w:r>
      <w:r>
        <w:rPr>
          <w:color w:val="231F1F"/>
          <w:w w:val="110"/>
        </w:rPr>
        <w:t>0,25%;</w:t>
      </w:r>
      <w:r>
        <w:rPr>
          <w:color w:val="231F1F"/>
          <w:spacing w:val="-6"/>
          <w:w w:val="110"/>
        </w:rPr>
        <w:t> </w:t>
      </w:r>
      <w:r>
        <w:rPr>
          <w:color w:val="231F1F"/>
          <w:w w:val="110"/>
        </w:rPr>
        <w:t>con</w:t>
      </w:r>
      <w:r>
        <w:rPr>
          <w:color w:val="231F1F"/>
          <w:spacing w:val="-5"/>
          <w:w w:val="110"/>
        </w:rPr>
        <w:t> </w:t>
      </w:r>
      <w:r>
        <w:rPr>
          <w:color w:val="231F1F"/>
          <w:w w:val="110"/>
        </w:rPr>
        <w:t>ellos</w:t>
      </w:r>
      <w:r>
        <w:rPr>
          <w:color w:val="231F1F"/>
          <w:spacing w:val="-6"/>
          <w:w w:val="110"/>
        </w:rPr>
        <w:t> </w:t>
      </w:r>
      <w:r>
        <w:rPr>
          <w:color w:val="231F1F"/>
          <w:w w:val="110"/>
        </w:rPr>
        <w:t>se</w:t>
      </w:r>
      <w:r>
        <w:rPr>
          <w:color w:val="231F1F"/>
          <w:spacing w:val="-5"/>
          <w:w w:val="110"/>
        </w:rPr>
        <w:t> </w:t>
      </w:r>
      <w:r>
        <w:rPr>
          <w:color w:val="231F1F"/>
          <w:w w:val="110"/>
        </w:rPr>
        <w:t>conseguía</w:t>
      </w:r>
      <w:r>
        <w:rPr>
          <w:color w:val="231F1F"/>
          <w:spacing w:val="-4"/>
          <w:w w:val="110"/>
        </w:rPr>
        <w:t> </w:t>
      </w:r>
      <w:r>
        <w:rPr>
          <w:color w:val="231F1F"/>
          <w:w w:val="110"/>
        </w:rPr>
        <w:t>un </w:t>
      </w:r>
      <w:r>
        <w:rPr>
          <w:color w:val="231F1F"/>
          <w:spacing w:val="-2"/>
          <w:w w:val="110"/>
        </w:rPr>
        <w:t>buen</w:t>
      </w:r>
      <w:r>
        <w:rPr>
          <w:color w:val="231F1F"/>
          <w:spacing w:val="-5"/>
          <w:w w:val="110"/>
        </w:rPr>
        <w:t> </w:t>
      </w:r>
      <w:r>
        <w:rPr>
          <w:color w:val="231F1F"/>
          <w:spacing w:val="-2"/>
          <w:w w:val="110"/>
        </w:rPr>
        <w:t>control</w:t>
      </w:r>
      <w:r>
        <w:rPr>
          <w:color w:val="231F1F"/>
          <w:spacing w:val="-5"/>
          <w:w w:val="110"/>
        </w:rPr>
        <w:t> </w:t>
      </w:r>
      <w:r>
        <w:rPr>
          <w:color w:val="231F1F"/>
          <w:spacing w:val="-2"/>
          <w:w w:val="110"/>
        </w:rPr>
        <w:t>del</w:t>
      </w:r>
      <w:r>
        <w:rPr>
          <w:color w:val="231F1F"/>
          <w:spacing w:val="-5"/>
          <w:w w:val="110"/>
        </w:rPr>
        <w:t> </w:t>
      </w:r>
      <w:r>
        <w:rPr>
          <w:color w:val="231F1F"/>
          <w:spacing w:val="-2"/>
          <w:w w:val="110"/>
        </w:rPr>
        <w:t>dolor</w:t>
      </w:r>
      <w:r>
        <w:rPr>
          <w:color w:val="231F1F"/>
          <w:spacing w:val="-5"/>
          <w:w w:val="110"/>
        </w:rPr>
        <w:t> </w:t>
      </w:r>
      <w:r>
        <w:rPr>
          <w:color w:val="231F1F"/>
          <w:spacing w:val="-2"/>
          <w:w w:val="110"/>
        </w:rPr>
        <w:t>pero</w:t>
      </w:r>
      <w:r>
        <w:rPr>
          <w:color w:val="231F1F"/>
          <w:spacing w:val="-5"/>
          <w:w w:val="110"/>
        </w:rPr>
        <w:t> </w:t>
      </w:r>
      <w:r>
        <w:rPr>
          <w:color w:val="231F1F"/>
          <w:spacing w:val="-2"/>
          <w:w w:val="110"/>
        </w:rPr>
        <w:t>con</w:t>
      </w:r>
      <w:r>
        <w:rPr>
          <w:color w:val="231F1F"/>
          <w:spacing w:val="-5"/>
          <w:w w:val="110"/>
        </w:rPr>
        <w:t> </w:t>
      </w:r>
      <w:r>
        <w:rPr>
          <w:color w:val="231F1F"/>
          <w:spacing w:val="-2"/>
          <w:w w:val="110"/>
        </w:rPr>
        <w:t>un</w:t>
      </w:r>
      <w:r>
        <w:rPr>
          <w:color w:val="231F1F"/>
          <w:spacing w:val="-5"/>
          <w:w w:val="110"/>
        </w:rPr>
        <w:t> </w:t>
      </w:r>
      <w:r>
        <w:rPr>
          <w:color w:val="231F1F"/>
          <w:spacing w:val="-2"/>
          <w:w w:val="110"/>
        </w:rPr>
        <w:t>significativo</w:t>
      </w:r>
      <w:r>
        <w:rPr>
          <w:color w:val="231F1F"/>
          <w:spacing w:val="-5"/>
          <w:w w:val="110"/>
        </w:rPr>
        <w:t> </w:t>
      </w:r>
      <w:r>
        <w:rPr>
          <w:color w:val="231F1F"/>
          <w:spacing w:val="-2"/>
          <w:w w:val="110"/>
        </w:rPr>
        <w:t>bloqueo</w:t>
      </w:r>
      <w:r>
        <w:rPr>
          <w:color w:val="231F1F"/>
          <w:spacing w:val="-5"/>
          <w:w w:val="110"/>
        </w:rPr>
        <w:t> </w:t>
      </w:r>
      <w:r>
        <w:rPr>
          <w:color w:val="231F1F"/>
          <w:spacing w:val="-2"/>
          <w:w w:val="110"/>
        </w:rPr>
        <w:t>motor,</w:t>
      </w:r>
      <w:r>
        <w:rPr>
          <w:color w:val="231F1F"/>
          <w:spacing w:val="-5"/>
          <w:w w:val="110"/>
        </w:rPr>
        <w:t> </w:t>
      </w:r>
      <w:r>
        <w:rPr>
          <w:color w:val="231F1F"/>
          <w:spacing w:val="-2"/>
          <w:w w:val="110"/>
        </w:rPr>
        <w:t>probablemente</w:t>
      </w:r>
      <w:r>
        <w:rPr>
          <w:color w:val="231F1F"/>
          <w:spacing w:val="-5"/>
          <w:w w:val="110"/>
        </w:rPr>
        <w:t> </w:t>
      </w:r>
      <w:r>
        <w:rPr>
          <w:color w:val="231F1F"/>
          <w:spacing w:val="-2"/>
          <w:w w:val="110"/>
        </w:rPr>
        <w:t>implicado </w:t>
      </w:r>
      <w:r>
        <w:rPr>
          <w:color w:val="231F1F"/>
          <w:w w:val="110"/>
        </w:rPr>
        <w:t>en su asociación a parto prolongado o parto instrumental. Ello motiva, en un intento de preservar</w:t>
      </w:r>
      <w:r>
        <w:rPr>
          <w:color w:val="231F1F"/>
          <w:spacing w:val="-4"/>
          <w:w w:val="110"/>
        </w:rPr>
        <w:t> </w:t>
      </w:r>
      <w:r>
        <w:rPr>
          <w:color w:val="231F1F"/>
          <w:w w:val="110"/>
        </w:rPr>
        <w:t>la</w:t>
      </w:r>
      <w:r>
        <w:rPr>
          <w:color w:val="231F1F"/>
          <w:spacing w:val="-4"/>
          <w:w w:val="110"/>
        </w:rPr>
        <w:t> </w:t>
      </w:r>
      <w:r>
        <w:rPr>
          <w:color w:val="231F1F"/>
          <w:w w:val="110"/>
        </w:rPr>
        <w:t>función</w:t>
      </w:r>
      <w:r>
        <w:rPr>
          <w:color w:val="231F1F"/>
          <w:spacing w:val="-3"/>
          <w:w w:val="110"/>
        </w:rPr>
        <w:t> </w:t>
      </w:r>
      <w:r>
        <w:rPr>
          <w:color w:val="231F1F"/>
          <w:w w:val="110"/>
        </w:rPr>
        <w:t>motora</w:t>
      </w:r>
      <w:r>
        <w:rPr>
          <w:color w:val="231F1F"/>
          <w:spacing w:val="-3"/>
          <w:w w:val="110"/>
        </w:rPr>
        <w:t> </w:t>
      </w:r>
      <w:r>
        <w:rPr>
          <w:color w:val="231F1F"/>
          <w:w w:val="110"/>
        </w:rPr>
        <w:t>de</w:t>
      </w:r>
      <w:r>
        <w:rPr>
          <w:color w:val="231F1F"/>
          <w:spacing w:val="-4"/>
          <w:w w:val="110"/>
        </w:rPr>
        <w:t> </w:t>
      </w:r>
      <w:r>
        <w:rPr>
          <w:color w:val="231F1F"/>
          <w:w w:val="110"/>
        </w:rPr>
        <w:t>las</w:t>
      </w:r>
      <w:r>
        <w:rPr>
          <w:color w:val="231F1F"/>
          <w:spacing w:val="-4"/>
          <w:w w:val="110"/>
        </w:rPr>
        <w:t> </w:t>
      </w:r>
      <w:r>
        <w:rPr>
          <w:color w:val="231F1F"/>
          <w:w w:val="110"/>
        </w:rPr>
        <w:t>mujeres</w:t>
      </w:r>
      <w:r>
        <w:rPr>
          <w:color w:val="231F1F"/>
          <w:spacing w:val="-3"/>
          <w:w w:val="110"/>
        </w:rPr>
        <w:t> </w:t>
      </w:r>
      <w:r>
        <w:rPr>
          <w:color w:val="231F1F"/>
          <w:w w:val="110"/>
        </w:rPr>
        <w:t>y</w:t>
      </w:r>
      <w:r>
        <w:rPr>
          <w:color w:val="231F1F"/>
          <w:spacing w:val="-3"/>
          <w:w w:val="110"/>
        </w:rPr>
        <w:t> </w:t>
      </w:r>
      <w:r>
        <w:rPr>
          <w:color w:val="231F1F"/>
          <w:w w:val="110"/>
        </w:rPr>
        <w:t>facilitar</w:t>
      </w:r>
      <w:r>
        <w:rPr>
          <w:color w:val="231F1F"/>
          <w:spacing w:val="-3"/>
          <w:w w:val="110"/>
        </w:rPr>
        <w:t> </w:t>
      </w:r>
      <w:r>
        <w:rPr>
          <w:color w:val="231F1F"/>
          <w:w w:val="110"/>
        </w:rPr>
        <w:t>así</w:t>
      </w:r>
      <w:r>
        <w:rPr>
          <w:color w:val="231F1F"/>
          <w:spacing w:val="-4"/>
          <w:w w:val="110"/>
        </w:rPr>
        <w:t> </w:t>
      </w:r>
      <w:r>
        <w:rPr>
          <w:color w:val="231F1F"/>
          <w:w w:val="110"/>
        </w:rPr>
        <w:t>su</w:t>
      </w:r>
      <w:r>
        <w:rPr>
          <w:color w:val="231F1F"/>
          <w:spacing w:val="-3"/>
          <w:w w:val="110"/>
        </w:rPr>
        <w:t> </w:t>
      </w:r>
      <w:r>
        <w:rPr>
          <w:color w:val="231F1F"/>
          <w:w w:val="110"/>
        </w:rPr>
        <w:t>parto</w:t>
      </w:r>
      <w:r>
        <w:rPr>
          <w:color w:val="231F1F"/>
          <w:spacing w:val="-4"/>
          <w:w w:val="110"/>
        </w:rPr>
        <w:t> </w:t>
      </w:r>
      <w:r>
        <w:rPr>
          <w:color w:val="231F1F"/>
          <w:w w:val="110"/>
        </w:rPr>
        <w:t>espontáneo</w:t>
      </w:r>
      <w:r>
        <w:rPr>
          <w:color w:val="231F1F"/>
          <w:spacing w:val="-3"/>
          <w:w w:val="110"/>
        </w:rPr>
        <w:t> </w:t>
      </w:r>
      <w:r>
        <w:rPr>
          <w:color w:val="231F1F"/>
          <w:w w:val="110"/>
        </w:rPr>
        <w:t>y</w:t>
      </w:r>
      <w:r>
        <w:rPr>
          <w:color w:val="231F1F"/>
          <w:spacing w:val="-3"/>
          <w:w w:val="110"/>
        </w:rPr>
        <w:t> </w:t>
      </w:r>
      <w:r>
        <w:rPr>
          <w:color w:val="231F1F"/>
          <w:w w:val="110"/>
        </w:rPr>
        <w:t>su</w:t>
      </w:r>
      <w:r>
        <w:rPr>
          <w:color w:val="231F1F"/>
          <w:spacing w:val="-3"/>
          <w:w w:val="110"/>
        </w:rPr>
        <w:t> </w:t>
      </w:r>
      <w:r>
        <w:rPr>
          <w:color w:val="231F1F"/>
          <w:w w:val="110"/>
        </w:rPr>
        <w:t>movi- lización</w:t>
      </w:r>
      <w:r>
        <w:rPr>
          <w:color w:val="231F1F"/>
          <w:spacing w:val="-4"/>
          <w:w w:val="110"/>
        </w:rPr>
        <w:t> </w:t>
      </w:r>
      <w:r>
        <w:rPr>
          <w:color w:val="231F1F"/>
          <w:w w:val="110"/>
        </w:rPr>
        <w:t>(walking),</w:t>
      </w:r>
      <w:r>
        <w:rPr>
          <w:color w:val="231F1F"/>
          <w:spacing w:val="-5"/>
          <w:w w:val="110"/>
        </w:rPr>
        <w:t> </w:t>
      </w:r>
      <w:r>
        <w:rPr>
          <w:color w:val="231F1F"/>
          <w:w w:val="110"/>
        </w:rPr>
        <w:t>la</w:t>
      </w:r>
      <w:r>
        <w:rPr>
          <w:color w:val="231F1F"/>
          <w:spacing w:val="-5"/>
          <w:w w:val="110"/>
        </w:rPr>
        <w:t> </w:t>
      </w:r>
      <w:r>
        <w:rPr>
          <w:color w:val="231F1F"/>
          <w:w w:val="110"/>
        </w:rPr>
        <w:t>reducción</w:t>
      </w:r>
      <w:r>
        <w:rPr>
          <w:color w:val="231F1F"/>
          <w:spacing w:val="-4"/>
          <w:w w:val="110"/>
        </w:rPr>
        <w:t> </w:t>
      </w:r>
      <w:r>
        <w:rPr>
          <w:color w:val="231F1F"/>
          <w:w w:val="110"/>
        </w:rPr>
        <w:t>de</w:t>
      </w:r>
      <w:r>
        <w:rPr>
          <w:color w:val="231F1F"/>
          <w:spacing w:val="-5"/>
          <w:w w:val="110"/>
        </w:rPr>
        <w:t> </w:t>
      </w:r>
      <w:r>
        <w:rPr>
          <w:color w:val="231F1F"/>
          <w:w w:val="110"/>
        </w:rPr>
        <w:t>las</w:t>
      </w:r>
      <w:r>
        <w:rPr>
          <w:color w:val="231F1F"/>
          <w:spacing w:val="-5"/>
          <w:w w:val="110"/>
        </w:rPr>
        <w:t> </w:t>
      </w:r>
      <w:r>
        <w:rPr>
          <w:color w:val="231F1F"/>
          <w:w w:val="110"/>
        </w:rPr>
        <w:t>dosis</w:t>
      </w:r>
      <w:r>
        <w:rPr>
          <w:color w:val="231F1F"/>
          <w:spacing w:val="-5"/>
          <w:w w:val="110"/>
        </w:rPr>
        <w:t> </w:t>
      </w:r>
      <w:r>
        <w:rPr>
          <w:color w:val="231F1F"/>
          <w:w w:val="110"/>
        </w:rPr>
        <w:t>de</w:t>
      </w:r>
      <w:r>
        <w:rPr>
          <w:color w:val="231F1F"/>
          <w:spacing w:val="-5"/>
          <w:w w:val="110"/>
        </w:rPr>
        <w:t> </w:t>
      </w:r>
      <w:r>
        <w:rPr>
          <w:color w:val="231F1F"/>
          <w:w w:val="110"/>
        </w:rPr>
        <w:t>anestésicos</w:t>
      </w:r>
      <w:r>
        <w:rPr>
          <w:color w:val="231F1F"/>
          <w:spacing w:val="-4"/>
          <w:w w:val="110"/>
        </w:rPr>
        <w:t> </w:t>
      </w:r>
      <w:r>
        <w:rPr>
          <w:color w:val="231F1F"/>
          <w:w w:val="110"/>
        </w:rPr>
        <w:t>locales</w:t>
      </w:r>
      <w:r>
        <w:rPr>
          <w:color w:val="231F1F"/>
          <w:spacing w:val="-5"/>
          <w:w w:val="110"/>
        </w:rPr>
        <w:t> </w:t>
      </w:r>
      <w:r>
        <w:rPr>
          <w:color w:val="231F1F"/>
          <w:w w:val="110"/>
        </w:rPr>
        <w:t>en</w:t>
      </w:r>
      <w:r>
        <w:rPr>
          <w:color w:val="231F1F"/>
          <w:spacing w:val="-5"/>
          <w:w w:val="110"/>
        </w:rPr>
        <w:t> </w:t>
      </w:r>
      <w:r>
        <w:rPr>
          <w:color w:val="231F1F"/>
          <w:w w:val="110"/>
        </w:rPr>
        <w:t>los</w:t>
      </w:r>
      <w:r>
        <w:rPr>
          <w:color w:val="231F1F"/>
          <w:spacing w:val="-5"/>
          <w:w w:val="110"/>
        </w:rPr>
        <w:t> </w:t>
      </w:r>
      <w:r>
        <w:rPr>
          <w:i/>
          <w:color w:val="231F1F"/>
          <w:w w:val="110"/>
        </w:rPr>
        <w:t>regímenes</w:t>
      </w:r>
      <w:r>
        <w:rPr>
          <w:i/>
          <w:color w:val="231F1F"/>
          <w:spacing w:val="-14"/>
          <w:w w:val="110"/>
        </w:rPr>
        <w:t> </w:t>
      </w:r>
      <w:r>
        <w:rPr>
          <w:i/>
          <w:color w:val="231F1F"/>
          <w:w w:val="110"/>
        </w:rPr>
        <w:t>mo- dernos</w:t>
      </w:r>
      <w:r>
        <w:rPr>
          <w:i/>
          <w:color w:val="231F1F"/>
          <w:spacing w:val="-11"/>
          <w:w w:val="110"/>
        </w:rPr>
        <w:t> </w:t>
      </w:r>
      <w:r>
        <w:rPr>
          <w:i/>
          <w:color w:val="231F1F"/>
          <w:w w:val="110"/>
        </w:rPr>
        <w:t>o</w:t>
      </w:r>
      <w:r>
        <w:rPr>
          <w:i/>
          <w:color w:val="231F1F"/>
          <w:spacing w:val="-12"/>
          <w:w w:val="110"/>
        </w:rPr>
        <w:t> </w:t>
      </w:r>
      <w:r>
        <w:rPr>
          <w:i/>
          <w:color w:val="231F1F"/>
          <w:w w:val="110"/>
        </w:rPr>
        <w:t>de</w:t>
      </w:r>
      <w:r>
        <w:rPr>
          <w:i/>
          <w:color w:val="231F1F"/>
          <w:spacing w:val="-12"/>
          <w:w w:val="110"/>
        </w:rPr>
        <w:t> </w:t>
      </w:r>
      <w:r>
        <w:rPr>
          <w:i/>
          <w:color w:val="231F1F"/>
          <w:w w:val="110"/>
        </w:rPr>
        <w:t>bajas</w:t>
      </w:r>
      <w:r>
        <w:rPr>
          <w:i/>
          <w:color w:val="231F1F"/>
          <w:spacing w:val="-12"/>
          <w:w w:val="110"/>
        </w:rPr>
        <w:t> </w:t>
      </w:r>
      <w:r>
        <w:rPr>
          <w:i/>
          <w:color w:val="231F1F"/>
          <w:w w:val="110"/>
        </w:rPr>
        <w:t>dosis</w:t>
      </w:r>
      <w:r>
        <w:rPr>
          <w:i/>
          <w:color w:val="231F1F"/>
          <w:spacing w:val="-12"/>
          <w:w w:val="110"/>
        </w:rPr>
        <w:t> </w:t>
      </w:r>
      <w:r>
        <w:rPr>
          <w:color w:val="231F1F"/>
          <w:w w:val="110"/>
        </w:rPr>
        <w:t>mediante el uso de concentraciones inferiores a 0,25% a las que se</w:t>
      </w:r>
      <w:r>
        <w:rPr>
          <w:color w:val="231F1F"/>
          <w:spacing w:val="-11"/>
          <w:w w:val="110"/>
        </w:rPr>
        <w:t> </w:t>
      </w:r>
      <w:r>
        <w:rPr>
          <w:color w:val="231F1F"/>
          <w:w w:val="110"/>
        </w:rPr>
        <w:t>le</w:t>
      </w:r>
      <w:r>
        <w:rPr>
          <w:color w:val="231F1F"/>
          <w:spacing w:val="-11"/>
          <w:w w:val="110"/>
        </w:rPr>
        <w:t> </w:t>
      </w:r>
      <w:r>
        <w:rPr>
          <w:color w:val="231F1F"/>
          <w:w w:val="110"/>
        </w:rPr>
        <w:t>asocian</w:t>
      </w:r>
      <w:r>
        <w:rPr>
          <w:color w:val="231F1F"/>
          <w:spacing w:val="-11"/>
          <w:w w:val="110"/>
        </w:rPr>
        <w:t> </w:t>
      </w:r>
      <w:r>
        <w:rPr>
          <w:color w:val="231F1F"/>
          <w:w w:val="110"/>
        </w:rPr>
        <w:t>habitualmente</w:t>
      </w:r>
      <w:r>
        <w:rPr>
          <w:color w:val="231F1F"/>
          <w:spacing w:val="-12"/>
          <w:w w:val="110"/>
        </w:rPr>
        <w:t> </w:t>
      </w:r>
      <w:r>
        <w:rPr>
          <w:color w:val="231F1F"/>
          <w:w w:val="110"/>
        </w:rPr>
        <w:t>opiodes</w:t>
      </w:r>
      <w:r>
        <w:rPr>
          <w:color w:val="231F1F"/>
          <w:spacing w:val="-12"/>
          <w:w w:val="110"/>
        </w:rPr>
        <w:t> </w:t>
      </w:r>
      <w:r>
        <w:rPr>
          <w:color w:val="231F1F"/>
          <w:w w:val="110"/>
        </w:rPr>
        <w:t>para</w:t>
      </w:r>
      <w:r>
        <w:rPr>
          <w:color w:val="231F1F"/>
          <w:spacing w:val="-12"/>
          <w:w w:val="110"/>
        </w:rPr>
        <w:t> </w:t>
      </w:r>
      <w:r>
        <w:rPr>
          <w:color w:val="231F1F"/>
          <w:w w:val="110"/>
        </w:rPr>
        <w:t>mantener</w:t>
      </w:r>
      <w:r>
        <w:rPr>
          <w:color w:val="231F1F"/>
          <w:spacing w:val="-11"/>
          <w:w w:val="110"/>
        </w:rPr>
        <w:t> </w:t>
      </w:r>
      <w:r>
        <w:rPr>
          <w:color w:val="231F1F"/>
          <w:w w:val="110"/>
        </w:rPr>
        <w:t>su</w:t>
      </w:r>
      <w:r>
        <w:rPr>
          <w:color w:val="231F1F"/>
          <w:spacing w:val="-11"/>
          <w:w w:val="110"/>
        </w:rPr>
        <w:t> </w:t>
      </w:r>
      <w:r>
        <w:rPr>
          <w:color w:val="231F1F"/>
          <w:w w:val="110"/>
        </w:rPr>
        <w:t>alta</w:t>
      </w:r>
      <w:r>
        <w:rPr>
          <w:color w:val="231F1F"/>
          <w:spacing w:val="-12"/>
          <w:w w:val="110"/>
        </w:rPr>
        <w:t> </w:t>
      </w:r>
      <w:r>
        <w:rPr>
          <w:color w:val="231F1F"/>
          <w:w w:val="110"/>
        </w:rPr>
        <w:t>eficacia</w:t>
      </w:r>
      <w:r>
        <w:rPr>
          <w:color w:val="231F1F"/>
          <w:spacing w:val="-12"/>
          <w:w w:val="110"/>
        </w:rPr>
        <w:t> </w:t>
      </w:r>
      <w:r>
        <w:rPr>
          <w:color w:val="231F1F"/>
          <w:w w:val="110"/>
        </w:rPr>
        <w:t>analgésica.</w:t>
      </w:r>
      <w:r>
        <w:rPr>
          <w:color w:val="231F1F"/>
          <w:spacing w:val="-12"/>
          <w:w w:val="110"/>
        </w:rPr>
        <w:t> </w:t>
      </w:r>
      <w:r>
        <w:rPr>
          <w:color w:val="231F1F"/>
          <w:w w:val="110"/>
        </w:rPr>
        <w:t>A</w:t>
      </w:r>
      <w:r>
        <w:rPr>
          <w:color w:val="231F1F"/>
          <w:spacing w:val="-10"/>
          <w:w w:val="110"/>
        </w:rPr>
        <w:t> </w:t>
      </w:r>
      <w:r>
        <w:rPr>
          <w:color w:val="231F1F"/>
          <w:w w:val="110"/>
        </w:rPr>
        <w:t>comien- zos</w:t>
      </w:r>
      <w:r>
        <w:rPr>
          <w:color w:val="231F1F"/>
          <w:spacing w:val="-10"/>
          <w:w w:val="110"/>
        </w:rPr>
        <w:t> </w:t>
      </w:r>
      <w:r>
        <w:rPr>
          <w:color w:val="231F1F"/>
          <w:w w:val="110"/>
        </w:rPr>
        <w:t>de</w:t>
      </w:r>
      <w:r>
        <w:rPr>
          <w:color w:val="231F1F"/>
          <w:spacing w:val="-10"/>
          <w:w w:val="110"/>
        </w:rPr>
        <w:t> </w:t>
      </w:r>
      <w:r>
        <w:rPr>
          <w:color w:val="231F1F"/>
          <w:w w:val="110"/>
        </w:rPr>
        <w:t>este</w:t>
      </w:r>
      <w:r>
        <w:rPr>
          <w:color w:val="231F1F"/>
          <w:spacing w:val="-10"/>
          <w:w w:val="110"/>
        </w:rPr>
        <w:t> </w:t>
      </w:r>
      <w:r>
        <w:rPr>
          <w:color w:val="231F1F"/>
          <w:w w:val="110"/>
        </w:rPr>
        <w:t>siglo</w:t>
      </w:r>
      <w:r>
        <w:rPr>
          <w:color w:val="231F1F"/>
          <w:spacing w:val="-10"/>
          <w:w w:val="110"/>
        </w:rPr>
        <w:t> </w:t>
      </w:r>
      <w:r>
        <w:rPr>
          <w:color w:val="231F1F"/>
          <w:w w:val="110"/>
        </w:rPr>
        <w:t>ha</w:t>
      </w:r>
      <w:r>
        <w:rPr>
          <w:color w:val="231F1F"/>
          <w:spacing w:val="-10"/>
          <w:w w:val="110"/>
        </w:rPr>
        <w:t> </w:t>
      </w:r>
      <w:r>
        <w:rPr>
          <w:color w:val="231F1F"/>
          <w:w w:val="110"/>
        </w:rPr>
        <w:t>ido</w:t>
      </w:r>
      <w:r>
        <w:rPr>
          <w:color w:val="231F1F"/>
          <w:spacing w:val="-10"/>
          <w:w w:val="110"/>
        </w:rPr>
        <w:t> </w:t>
      </w:r>
      <w:r>
        <w:rPr>
          <w:color w:val="231F1F"/>
          <w:w w:val="110"/>
        </w:rPr>
        <w:t>ganando</w:t>
      </w:r>
      <w:r>
        <w:rPr>
          <w:color w:val="231F1F"/>
          <w:spacing w:val="-10"/>
          <w:w w:val="110"/>
        </w:rPr>
        <w:t> </w:t>
      </w:r>
      <w:r>
        <w:rPr>
          <w:color w:val="231F1F"/>
          <w:w w:val="110"/>
        </w:rPr>
        <w:t>popularidad</w:t>
      </w:r>
      <w:r>
        <w:rPr>
          <w:color w:val="231F1F"/>
          <w:spacing w:val="-10"/>
          <w:w w:val="110"/>
        </w:rPr>
        <w:t> </w:t>
      </w:r>
      <w:r>
        <w:rPr>
          <w:color w:val="231F1F"/>
          <w:w w:val="110"/>
        </w:rPr>
        <w:t>la</w:t>
      </w:r>
      <w:r>
        <w:rPr>
          <w:color w:val="231F1F"/>
          <w:spacing w:val="-10"/>
          <w:w w:val="110"/>
        </w:rPr>
        <w:t> </w:t>
      </w:r>
      <w:r>
        <w:rPr>
          <w:color w:val="231F1F"/>
          <w:w w:val="110"/>
        </w:rPr>
        <w:t>analgesia</w:t>
      </w:r>
      <w:r>
        <w:rPr>
          <w:color w:val="231F1F"/>
          <w:spacing w:val="-10"/>
          <w:w w:val="110"/>
        </w:rPr>
        <w:t> </w:t>
      </w:r>
      <w:r>
        <w:rPr>
          <w:color w:val="231F1F"/>
          <w:w w:val="110"/>
        </w:rPr>
        <w:t>intradural-epidural</w:t>
      </w:r>
      <w:r>
        <w:rPr>
          <w:color w:val="231F1F"/>
          <w:spacing w:val="-10"/>
          <w:w w:val="110"/>
        </w:rPr>
        <w:t> </w:t>
      </w:r>
      <w:r>
        <w:rPr>
          <w:color w:val="231F1F"/>
          <w:w w:val="110"/>
        </w:rPr>
        <w:t>combinada, que</w:t>
      </w:r>
      <w:r>
        <w:rPr>
          <w:color w:val="231F1F"/>
          <w:spacing w:val="-5"/>
          <w:w w:val="110"/>
        </w:rPr>
        <w:t> </w:t>
      </w:r>
      <w:r>
        <w:rPr>
          <w:color w:val="231F1F"/>
          <w:w w:val="110"/>
        </w:rPr>
        <w:t>consiste</w:t>
      </w:r>
      <w:r>
        <w:rPr>
          <w:color w:val="231F1F"/>
          <w:spacing w:val="-4"/>
          <w:w w:val="110"/>
        </w:rPr>
        <w:t> </w:t>
      </w: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inyección</w:t>
      </w:r>
      <w:r>
        <w:rPr>
          <w:color w:val="231F1F"/>
          <w:spacing w:val="-4"/>
          <w:w w:val="110"/>
        </w:rPr>
        <w:t> </w:t>
      </w:r>
      <w:r>
        <w:rPr>
          <w:color w:val="231F1F"/>
          <w:w w:val="110"/>
        </w:rPr>
        <w:t>de</w:t>
      </w:r>
      <w:r>
        <w:rPr>
          <w:color w:val="231F1F"/>
          <w:spacing w:val="-5"/>
          <w:w w:val="110"/>
        </w:rPr>
        <w:t> </w:t>
      </w:r>
      <w:r>
        <w:rPr>
          <w:color w:val="231F1F"/>
          <w:w w:val="110"/>
        </w:rPr>
        <w:t>un</w:t>
      </w:r>
      <w:r>
        <w:rPr>
          <w:color w:val="231F1F"/>
          <w:spacing w:val="-4"/>
          <w:w w:val="110"/>
        </w:rPr>
        <w:t> </w:t>
      </w:r>
      <w:r>
        <w:rPr>
          <w:color w:val="231F1F"/>
          <w:w w:val="110"/>
        </w:rPr>
        <w:t>fármaco</w:t>
      </w:r>
      <w:r>
        <w:rPr>
          <w:color w:val="231F1F"/>
          <w:spacing w:val="-5"/>
          <w:w w:val="110"/>
        </w:rPr>
        <w:t> </w:t>
      </w:r>
      <w:r>
        <w:rPr>
          <w:color w:val="231F1F"/>
          <w:w w:val="110"/>
        </w:rPr>
        <w:t>opioide</w:t>
      </w:r>
      <w:r>
        <w:rPr>
          <w:color w:val="231F1F"/>
          <w:spacing w:val="-5"/>
          <w:w w:val="110"/>
        </w:rPr>
        <w:t> </w:t>
      </w:r>
      <w:r>
        <w:rPr>
          <w:color w:val="231F1F"/>
          <w:w w:val="110"/>
        </w:rPr>
        <w:t>y/o</w:t>
      </w:r>
      <w:r>
        <w:rPr>
          <w:color w:val="231F1F"/>
          <w:spacing w:val="-4"/>
          <w:w w:val="110"/>
        </w:rPr>
        <w:t> </w:t>
      </w:r>
      <w:r>
        <w:rPr>
          <w:color w:val="231F1F"/>
          <w:w w:val="110"/>
        </w:rPr>
        <w:t>anestésico</w:t>
      </w:r>
      <w:r>
        <w:rPr>
          <w:color w:val="231F1F"/>
          <w:spacing w:val="-3"/>
          <w:w w:val="110"/>
        </w:rPr>
        <w:t> </w:t>
      </w:r>
      <w:r>
        <w:rPr>
          <w:color w:val="231F1F"/>
          <w:w w:val="110"/>
        </w:rPr>
        <w:t>local</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espacio</w:t>
      </w:r>
      <w:r>
        <w:rPr>
          <w:color w:val="231F1F"/>
          <w:spacing w:val="-4"/>
          <w:w w:val="110"/>
        </w:rPr>
        <w:t> </w:t>
      </w:r>
      <w:r>
        <w:rPr>
          <w:color w:val="231F1F"/>
          <w:w w:val="110"/>
        </w:rPr>
        <w:t>in- tratecal y la colocación de un catéter epidural inmediatamente antes o después, para el mantenimiento posterior de la analgesia que se efectúa habitualmente como epidural a bajas dosis. Se perseguía unir las ventajas de las dos técnicas, intradural y epidural, con un comienzo de acción muy rápido, un bloqueo sensitivo potente y menores cantidades de fármaco. Sin embargo, las ventajas reales quedan poco claras y aparecen con mayor incidencia</w:t>
      </w:r>
      <w:r>
        <w:rPr>
          <w:color w:val="231F1F"/>
          <w:spacing w:val="-7"/>
          <w:w w:val="110"/>
        </w:rPr>
        <w:t> </w:t>
      </w:r>
      <w:r>
        <w:rPr>
          <w:color w:val="231F1F"/>
          <w:w w:val="110"/>
        </w:rPr>
        <w:t>otros</w:t>
      </w:r>
      <w:r>
        <w:rPr>
          <w:color w:val="231F1F"/>
          <w:spacing w:val="-8"/>
          <w:w w:val="110"/>
        </w:rPr>
        <w:t> </w:t>
      </w:r>
      <w:r>
        <w:rPr>
          <w:color w:val="231F1F"/>
          <w:w w:val="110"/>
        </w:rPr>
        <w:t>efectos</w:t>
      </w:r>
      <w:r>
        <w:rPr>
          <w:color w:val="231F1F"/>
          <w:spacing w:val="-8"/>
          <w:w w:val="110"/>
        </w:rPr>
        <w:t> </w:t>
      </w:r>
      <w:r>
        <w:rPr>
          <w:color w:val="231F1F"/>
          <w:w w:val="110"/>
        </w:rPr>
        <w:t>adversos</w:t>
      </w:r>
      <w:r>
        <w:rPr>
          <w:color w:val="231F1F"/>
          <w:spacing w:val="-7"/>
          <w:w w:val="110"/>
        </w:rPr>
        <w:t> </w:t>
      </w:r>
      <w:r>
        <w:rPr>
          <w:color w:val="231F1F"/>
          <w:w w:val="110"/>
        </w:rPr>
        <w:t>como</w:t>
      </w:r>
      <w:r>
        <w:rPr>
          <w:color w:val="231F1F"/>
          <w:spacing w:val="-8"/>
          <w:w w:val="110"/>
        </w:rPr>
        <w:t> </w:t>
      </w:r>
      <w:r>
        <w:rPr>
          <w:color w:val="231F1F"/>
          <w:w w:val="110"/>
        </w:rPr>
        <w:t>prurito</w:t>
      </w:r>
      <w:r>
        <w:rPr>
          <w:color w:val="231F1F"/>
          <w:spacing w:val="-8"/>
          <w:w w:val="110"/>
        </w:rPr>
        <w:t> </w:t>
      </w:r>
      <w:r>
        <w:rPr>
          <w:color w:val="231F1F"/>
          <w:w w:val="110"/>
        </w:rPr>
        <w:t>lo</w:t>
      </w:r>
      <w:r>
        <w:rPr>
          <w:color w:val="231F1F"/>
          <w:spacing w:val="-8"/>
          <w:w w:val="110"/>
        </w:rPr>
        <w:t> </w:t>
      </w:r>
      <w:r>
        <w:rPr>
          <w:color w:val="231F1F"/>
          <w:w w:val="110"/>
        </w:rPr>
        <w:t>que</w:t>
      </w:r>
      <w:r>
        <w:rPr>
          <w:color w:val="231F1F"/>
          <w:spacing w:val="-8"/>
          <w:w w:val="110"/>
        </w:rPr>
        <w:t> </w:t>
      </w:r>
      <w:r>
        <w:rPr>
          <w:color w:val="231F1F"/>
          <w:w w:val="110"/>
        </w:rPr>
        <w:t>cuestiona</w:t>
      </w:r>
      <w:r>
        <w:rPr>
          <w:color w:val="231F1F"/>
          <w:spacing w:val="-7"/>
          <w:w w:val="110"/>
        </w:rPr>
        <w:t> </w:t>
      </w:r>
      <w:r>
        <w:rPr>
          <w:color w:val="231F1F"/>
          <w:w w:val="110"/>
        </w:rPr>
        <w:t>la</w:t>
      </w:r>
      <w:r>
        <w:rPr>
          <w:color w:val="231F1F"/>
          <w:spacing w:val="-8"/>
          <w:w w:val="110"/>
        </w:rPr>
        <w:t> </w:t>
      </w:r>
      <w:r>
        <w:rPr>
          <w:color w:val="231F1F"/>
          <w:w w:val="110"/>
        </w:rPr>
        <w:t>utilización</w:t>
      </w:r>
      <w:r>
        <w:rPr>
          <w:color w:val="231F1F"/>
          <w:spacing w:val="-8"/>
          <w:w w:val="110"/>
        </w:rPr>
        <w:t> </w:t>
      </w:r>
      <w:r>
        <w:rPr>
          <w:color w:val="231F1F"/>
          <w:w w:val="110"/>
        </w:rPr>
        <w:t>de</w:t>
      </w:r>
      <w:r>
        <w:rPr>
          <w:color w:val="231F1F"/>
          <w:spacing w:val="-8"/>
          <w:w w:val="110"/>
        </w:rPr>
        <w:t> </w:t>
      </w:r>
      <w:r>
        <w:rPr>
          <w:color w:val="231F1F"/>
          <w:w w:val="110"/>
        </w:rPr>
        <w:t>una</w:t>
      </w:r>
      <w:r>
        <w:rPr>
          <w:color w:val="231F1F"/>
          <w:spacing w:val="-8"/>
          <w:w w:val="110"/>
        </w:rPr>
        <w:t> </w:t>
      </w:r>
      <w:r>
        <w:rPr>
          <w:color w:val="231F1F"/>
          <w:w w:val="110"/>
        </w:rPr>
        <w:t>téc- nica más invasiva.</w:t>
      </w:r>
    </w:p>
    <w:p>
      <w:pPr>
        <w:pStyle w:val="BodyText"/>
        <w:spacing w:line="237" w:lineRule="auto" w:before="130"/>
        <w:ind w:left="282" w:right="126" w:firstLine="453"/>
        <w:jc w:val="both"/>
      </w:pPr>
      <w:r>
        <w:rPr>
          <w:color w:val="231F1F"/>
          <w:w w:val="110"/>
        </w:rPr>
        <w:t>En esta pregunta pretendemos esclarecer cuáles son los posibles beneficios de una técnica sobre otra, de existir estos.</w:t>
      </w:r>
    </w:p>
    <w:p>
      <w:pPr>
        <w:pStyle w:val="BodyText"/>
        <w:spacing w:before="169"/>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86"/>
      </w:pPr>
      <w:r>
        <w:rPr>
          <w:color w:val="231F1F"/>
        </w:rPr>
        <w:t>La</w:t>
      </w:r>
      <w:r>
        <w:rPr>
          <w:color w:val="231F1F"/>
          <w:spacing w:val="33"/>
        </w:rPr>
        <w:t> </w:t>
      </w:r>
      <w:r>
        <w:rPr>
          <w:color w:val="231F1F"/>
        </w:rPr>
        <w:t>guía</w:t>
      </w:r>
      <w:r>
        <w:rPr>
          <w:color w:val="231F1F"/>
          <w:spacing w:val="33"/>
        </w:rPr>
        <w:t> </w:t>
      </w:r>
      <w:r>
        <w:rPr>
          <w:color w:val="231F1F"/>
        </w:rPr>
        <w:t>NICE</w:t>
      </w:r>
      <w:r>
        <w:rPr>
          <w:color w:val="231F1F"/>
          <w:spacing w:val="33"/>
        </w:rPr>
        <w:t> </w:t>
      </w:r>
      <w:r>
        <w:rPr>
          <w:color w:val="231F1F"/>
        </w:rPr>
        <w:t>(10)</w:t>
      </w:r>
      <w:r>
        <w:rPr>
          <w:color w:val="231F1F"/>
          <w:spacing w:val="33"/>
        </w:rPr>
        <w:t> </w:t>
      </w:r>
      <w:r>
        <w:rPr>
          <w:color w:val="231F1F"/>
        </w:rPr>
        <w:t>empleó</w:t>
      </w:r>
      <w:r>
        <w:rPr>
          <w:color w:val="231F1F"/>
          <w:spacing w:val="33"/>
        </w:rPr>
        <w:t> </w:t>
      </w:r>
      <w:r>
        <w:rPr>
          <w:color w:val="231F1F"/>
        </w:rPr>
        <w:t>una</w:t>
      </w:r>
      <w:r>
        <w:rPr>
          <w:color w:val="231F1F"/>
          <w:spacing w:val="33"/>
        </w:rPr>
        <w:t> </w:t>
      </w:r>
      <w:r>
        <w:rPr>
          <w:color w:val="231F1F"/>
        </w:rPr>
        <w:t>RS</w:t>
      </w:r>
      <w:r>
        <w:rPr>
          <w:color w:val="231F1F"/>
          <w:spacing w:val="33"/>
        </w:rPr>
        <w:t> </w:t>
      </w:r>
      <w:r>
        <w:rPr>
          <w:color w:val="231F1F"/>
        </w:rPr>
        <w:t>(315),</w:t>
      </w:r>
      <w:r>
        <w:rPr>
          <w:color w:val="231F1F"/>
          <w:spacing w:val="33"/>
        </w:rPr>
        <w:t> </w:t>
      </w:r>
      <w:r>
        <w:rPr>
          <w:color w:val="231F1F"/>
        </w:rPr>
        <w:t>dos</w:t>
      </w:r>
      <w:r>
        <w:rPr>
          <w:color w:val="231F1F"/>
          <w:spacing w:val="33"/>
        </w:rPr>
        <w:t> </w:t>
      </w:r>
      <w:r>
        <w:rPr>
          <w:color w:val="231F1F"/>
        </w:rPr>
        <w:t>ECAs</w:t>
      </w:r>
      <w:r>
        <w:rPr>
          <w:color w:val="231F1F"/>
          <w:spacing w:val="33"/>
        </w:rPr>
        <w:t> </w:t>
      </w:r>
      <w:r>
        <w:rPr>
          <w:color w:val="231F1F"/>
        </w:rPr>
        <w:t>(316;317),</w:t>
      </w:r>
      <w:r>
        <w:rPr>
          <w:color w:val="231F1F"/>
          <w:spacing w:val="33"/>
        </w:rPr>
        <w:t> </w:t>
      </w:r>
      <w:r>
        <w:rPr>
          <w:color w:val="231F1F"/>
        </w:rPr>
        <w:t>y</w:t>
      </w:r>
      <w:r>
        <w:rPr>
          <w:color w:val="231F1F"/>
          <w:spacing w:val="33"/>
        </w:rPr>
        <w:t> </w:t>
      </w:r>
      <w:r>
        <w:rPr>
          <w:color w:val="231F1F"/>
        </w:rPr>
        <w:t>un</w:t>
      </w:r>
      <w:r>
        <w:rPr>
          <w:color w:val="231F1F"/>
          <w:spacing w:val="33"/>
        </w:rPr>
        <w:t> </w:t>
      </w:r>
      <w:r>
        <w:rPr>
          <w:color w:val="231F1F"/>
        </w:rPr>
        <w:t>estudio </w:t>
      </w:r>
      <w:r>
        <w:rPr>
          <w:color w:val="231F1F"/>
          <w:w w:val="110"/>
        </w:rPr>
        <w:t>de cohortes (318) para responder esta pregunta.</w:t>
      </w:r>
    </w:p>
    <w:p>
      <w:pPr>
        <w:pStyle w:val="BodyText"/>
        <w:tabs>
          <w:tab w:pos="7989" w:val="left" w:leader="none"/>
          <w:tab w:pos="8114" w:val="left" w:leader="none"/>
        </w:tabs>
        <w:spacing w:line="244" w:lineRule="auto" w:before="93"/>
        <w:ind w:left="283" w:right="313" w:firstLine="453"/>
      </w:pPr>
      <w:r>
        <w:rPr>
          <w:color w:val="231F1F"/>
          <w:w w:val="110"/>
        </w:rPr>
        <w:t>La</w:t>
      </w:r>
      <w:r>
        <w:rPr>
          <w:color w:val="231F1F"/>
          <w:spacing w:val="-16"/>
          <w:w w:val="110"/>
        </w:rPr>
        <w:t> </w:t>
      </w:r>
      <w:r>
        <w:rPr>
          <w:color w:val="231F1F"/>
          <w:w w:val="110"/>
        </w:rPr>
        <w:t>RS</w:t>
      </w:r>
      <w:r>
        <w:rPr>
          <w:color w:val="231F1F"/>
          <w:spacing w:val="-11"/>
          <w:w w:val="110"/>
        </w:rPr>
        <w:t> </w:t>
      </w:r>
      <w:r>
        <w:rPr>
          <w:color w:val="231F1F"/>
          <w:w w:val="110"/>
        </w:rPr>
        <w:t>(315)</w:t>
      </w:r>
      <w:r>
        <w:rPr>
          <w:color w:val="231F1F"/>
          <w:spacing w:val="-10"/>
          <w:w w:val="110"/>
        </w:rPr>
        <w:t> </w:t>
      </w:r>
      <w:r>
        <w:rPr>
          <w:color w:val="231F1F"/>
          <w:w w:val="110"/>
        </w:rPr>
        <w:t>encontró</w:t>
      </w:r>
      <w:r>
        <w:rPr>
          <w:color w:val="231F1F"/>
          <w:spacing w:val="-10"/>
          <w:w w:val="110"/>
        </w:rPr>
        <w:t> </w:t>
      </w:r>
      <w:r>
        <w:rPr>
          <w:color w:val="231F1F"/>
          <w:w w:val="110"/>
        </w:rPr>
        <w:t>que</w:t>
      </w:r>
      <w:r>
        <w:rPr>
          <w:color w:val="231F1F"/>
          <w:spacing w:val="-10"/>
          <w:w w:val="110"/>
        </w:rPr>
        <w:t> </w:t>
      </w:r>
      <w:r>
        <w:rPr>
          <w:color w:val="231F1F"/>
          <w:w w:val="110"/>
        </w:rPr>
        <w:t>la</w:t>
      </w:r>
      <w:r>
        <w:rPr>
          <w:color w:val="231F1F"/>
          <w:spacing w:val="-10"/>
          <w:w w:val="110"/>
        </w:rPr>
        <w:t> </w:t>
      </w:r>
      <w:r>
        <w:rPr>
          <w:color w:val="231F1F"/>
          <w:w w:val="110"/>
        </w:rPr>
        <w:t>analgesia</w:t>
      </w:r>
      <w:r>
        <w:rPr>
          <w:color w:val="231F1F"/>
          <w:spacing w:val="-10"/>
          <w:w w:val="110"/>
        </w:rPr>
        <w:t> </w:t>
      </w:r>
      <w:r>
        <w:rPr>
          <w:color w:val="231F1F"/>
          <w:w w:val="110"/>
        </w:rPr>
        <w:t>combinada</w:t>
      </w:r>
      <w:r>
        <w:rPr>
          <w:color w:val="231F1F"/>
          <w:spacing w:val="-10"/>
          <w:w w:val="110"/>
        </w:rPr>
        <w:t> </w:t>
      </w:r>
      <w:r>
        <w:rPr>
          <w:color w:val="231F1F"/>
          <w:w w:val="110"/>
        </w:rPr>
        <w:t>(intradural-epidural)</w:t>
      </w:r>
      <w:r>
        <w:rPr>
          <w:color w:val="231F1F"/>
          <w:spacing w:val="80"/>
          <w:w w:val="110"/>
        </w:rPr>
        <w:t> </w:t>
      </w:r>
      <w:r>
        <w:rPr>
          <w:rFonts w:ascii="Arial MT" w:hAnsi="Arial MT"/>
          <w:color w:val="231F1F"/>
          <w:w w:val="110"/>
          <w:sz w:val="18"/>
        </w:rPr>
        <w:t>RS-MA</w:t>
      </w:r>
      <w:r>
        <w:rPr>
          <w:rFonts w:ascii="Arial MT" w:hAnsi="Arial MT"/>
          <w:color w:val="231F1F"/>
          <w:spacing w:val="-14"/>
          <w:w w:val="110"/>
          <w:sz w:val="18"/>
        </w:rPr>
        <w:t> </w:t>
      </w:r>
      <w:r>
        <w:rPr>
          <w:rFonts w:ascii="Arial MT" w:hAnsi="Arial MT"/>
          <w:color w:val="231F1F"/>
          <w:w w:val="110"/>
          <w:sz w:val="18"/>
        </w:rPr>
        <w:t>de </w:t>
      </w:r>
      <w:r>
        <w:rPr>
          <w:color w:val="231F1F"/>
          <w:w w:val="110"/>
        </w:rPr>
        <w:t>provee un comienzo más rápido de la analgesia que la epidural sola: (cuatro</w:t>
      </w:r>
      <w:r>
        <w:rPr>
          <w:color w:val="231F1F"/>
        </w:rPr>
        <w:tab/>
      </w:r>
      <w:r>
        <w:rPr>
          <w:rFonts w:ascii="Arial MT" w:hAnsi="Arial MT"/>
          <w:color w:val="231F1F"/>
          <w:spacing w:val="-4"/>
          <w:w w:val="110"/>
          <w:position w:val="4"/>
          <w:sz w:val="18"/>
        </w:rPr>
        <w:t>ECAs </w:t>
      </w:r>
      <w:r>
        <w:rPr>
          <w:color w:val="231F1F"/>
          <w:w w:val="110"/>
        </w:rPr>
        <w:t>ECAs) DMP −5,50 min. (95% CI −6,47 a −4,52 min.). Aunque una vez esta-</w:t>
      </w:r>
      <w:r>
        <w:rPr>
          <w:color w:val="231F1F"/>
        </w:rPr>
        <w:tab/>
        <w:tab/>
      </w:r>
      <w:r>
        <w:rPr>
          <w:rFonts w:ascii="Arial MT" w:hAnsi="Arial MT"/>
          <w:color w:val="231F1F"/>
          <w:spacing w:val="-6"/>
          <w:w w:val="110"/>
          <w:position w:val="8"/>
          <w:sz w:val="18"/>
        </w:rPr>
        <w:t>1+ </w:t>
      </w:r>
      <w:r>
        <w:rPr>
          <w:color w:val="231F1F"/>
          <w:w w:val="110"/>
        </w:rPr>
        <w:t>blecida la analgesia, las dos técnicas son igualmente efectivas. En la revisión</w:t>
      </w:r>
    </w:p>
    <w:p>
      <w:pPr>
        <w:pStyle w:val="BodyText"/>
        <w:spacing w:line="247" w:lineRule="auto" w:before="11"/>
        <w:ind w:left="283" w:right="1245"/>
      </w:pPr>
      <w:r>
        <w:rPr>
          <w:color w:val="231F1F"/>
          <w:w w:val="105"/>
        </w:rPr>
        <w:t>también</w:t>
      </w:r>
      <w:r>
        <w:rPr>
          <w:color w:val="231F1F"/>
          <w:w w:val="105"/>
        </w:rPr>
        <w:t> se</w:t>
      </w:r>
      <w:r>
        <w:rPr>
          <w:color w:val="231F1F"/>
          <w:w w:val="105"/>
        </w:rPr>
        <w:t> halló</w:t>
      </w:r>
      <w:r>
        <w:rPr>
          <w:color w:val="231F1F"/>
          <w:w w:val="105"/>
        </w:rPr>
        <w:t> que</w:t>
      </w:r>
      <w:r>
        <w:rPr>
          <w:color w:val="231F1F"/>
          <w:w w:val="105"/>
        </w:rPr>
        <w:t> las</w:t>
      </w:r>
      <w:r>
        <w:rPr>
          <w:color w:val="231F1F"/>
          <w:w w:val="105"/>
        </w:rPr>
        <w:t> mujeres</w:t>
      </w:r>
      <w:r>
        <w:rPr>
          <w:color w:val="231F1F"/>
          <w:w w:val="105"/>
        </w:rPr>
        <w:t> estaban</w:t>
      </w:r>
      <w:r>
        <w:rPr>
          <w:color w:val="231F1F"/>
          <w:w w:val="105"/>
        </w:rPr>
        <w:t> más</w:t>
      </w:r>
      <w:r>
        <w:rPr>
          <w:color w:val="231F1F"/>
          <w:w w:val="105"/>
        </w:rPr>
        <w:t> satisfechas</w:t>
      </w:r>
      <w:r>
        <w:rPr>
          <w:color w:val="231F1F"/>
          <w:spacing w:val="-1"/>
          <w:w w:val="105"/>
        </w:rPr>
        <w:t> </w:t>
      </w:r>
      <w:r>
        <w:rPr>
          <w:color w:val="231F1F"/>
          <w:w w:val="105"/>
        </w:rPr>
        <w:t>con</w:t>
      </w:r>
      <w:r>
        <w:rPr>
          <w:color w:val="231F1F"/>
          <w:w w:val="105"/>
        </w:rPr>
        <w:t> la</w:t>
      </w:r>
      <w:r>
        <w:rPr>
          <w:color w:val="231F1F"/>
          <w:w w:val="105"/>
        </w:rPr>
        <w:t> administración de la analgesia combinada (tres ECAs): OR 4,69 [IC 95% 1,27 a 17,29] pero con una mayor incidencia de prurito OR 2,79 [IC 95% 1,87 a 4,18]. No se</w:t>
      </w:r>
      <w:r>
        <w:rPr>
          <w:color w:val="231F1F"/>
          <w:spacing w:val="80"/>
          <w:w w:val="105"/>
        </w:rPr>
        <w:t> </w:t>
      </w:r>
      <w:r>
        <w:rPr>
          <w:color w:val="231F1F"/>
          <w:w w:val="105"/>
        </w:rPr>
        <w:t>observaron</w:t>
      </w:r>
      <w:r>
        <w:rPr>
          <w:color w:val="231F1F"/>
          <w:spacing w:val="40"/>
          <w:w w:val="105"/>
        </w:rPr>
        <w:t> </w:t>
      </w:r>
      <w:r>
        <w:rPr>
          <w:color w:val="231F1F"/>
          <w:w w:val="105"/>
        </w:rPr>
        <w:t>diferencias</w:t>
      </w:r>
      <w:r>
        <w:rPr>
          <w:color w:val="231F1F"/>
          <w:spacing w:val="40"/>
          <w:w w:val="105"/>
        </w:rPr>
        <w:t> </w:t>
      </w:r>
      <w:r>
        <w:rPr>
          <w:color w:val="231F1F"/>
          <w:w w:val="105"/>
        </w:rPr>
        <w:t>en</w:t>
      </w:r>
      <w:r>
        <w:rPr>
          <w:color w:val="231F1F"/>
          <w:spacing w:val="40"/>
          <w:w w:val="105"/>
        </w:rPr>
        <w:t> </w:t>
      </w:r>
      <w:r>
        <w:rPr>
          <w:color w:val="231F1F"/>
          <w:w w:val="105"/>
        </w:rPr>
        <w:t>cuanto</w:t>
      </w:r>
      <w:r>
        <w:rPr>
          <w:color w:val="231F1F"/>
          <w:spacing w:val="40"/>
          <w:w w:val="105"/>
        </w:rPr>
        <w:t> </w:t>
      </w:r>
      <w:r>
        <w:rPr>
          <w:color w:val="231F1F"/>
          <w:w w:val="105"/>
        </w:rPr>
        <w:t>a</w:t>
      </w:r>
      <w:r>
        <w:rPr>
          <w:color w:val="231F1F"/>
          <w:spacing w:val="40"/>
          <w:w w:val="105"/>
        </w:rPr>
        <w:t> </w:t>
      </w:r>
      <w:r>
        <w:rPr>
          <w:color w:val="231F1F"/>
          <w:w w:val="105"/>
        </w:rPr>
        <w:t>resultados</w:t>
      </w:r>
      <w:r>
        <w:rPr>
          <w:color w:val="231F1F"/>
          <w:spacing w:val="40"/>
          <w:w w:val="105"/>
        </w:rPr>
        <w:t> </w:t>
      </w:r>
      <w:r>
        <w:rPr>
          <w:color w:val="231F1F"/>
          <w:w w:val="105"/>
        </w:rPr>
        <w:t>neonatales</w:t>
      </w:r>
      <w:r>
        <w:rPr>
          <w:color w:val="231F1F"/>
          <w:spacing w:val="40"/>
          <w:w w:val="105"/>
        </w:rPr>
        <w:t> </w:t>
      </w:r>
      <w:r>
        <w:rPr>
          <w:color w:val="231F1F"/>
          <w:w w:val="105"/>
        </w:rPr>
        <w:t>o</w:t>
      </w:r>
      <w:r>
        <w:rPr>
          <w:color w:val="231F1F"/>
          <w:spacing w:val="40"/>
          <w:w w:val="105"/>
        </w:rPr>
        <w:t> </w:t>
      </w:r>
      <w:r>
        <w:rPr>
          <w:color w:val="231F1F"/>
          <w:w w:val="105"/>
        </w:rPr>
        <w:t>tipo</w:t>
      </w:r>
      <w:r>
        <w:rPr>
          <w:color w:val="231F1F"/>
          <w:spacing w:val="40"/>
          <w:w w:val="105"/>
        </w:rPr>
        <w:t> </w:t>
      </w:r>
      <w:r>
        <w:rPr>
          <w:color w:val="231F1F"/>
          <w:w w:val="105"/>
        </w:rPr>
        <w:t>de</w:t>
      </w:r>
      <w:r>
        <w:rPr>
          <w:color w:val="231F1F"/>
          <w:spacing w:val="40"/>
          <w:w w:val="105"/>
        </w:rPr>
        <w:t> </w:t>
      </w:r>
      <w:r>
        <w:rPr>
          <w:color w:val="231F1F"/>
          <w:w w:val="105"/>
        </w:rPr>
        <w:t>parto.</w:t>
      </w:r>
    </w:p>
    <w:p>
      <w:pPr>
        <w:pStyle w:val="BodyText"/>
        <w:spacing w:after="0" w:line="247" w:lineRule="auto"/>
        <w:sectPr>
          <w:pgSz w:w="11900" w:h="16840"/>
          <w:pgMar w:header="0" w:footer="622" w:top="1560" w:bottom="820" w:left="1417" w:right="1559"/>
        </w:sectPr>
      </w:pPr>
    </w:p>
    <w:p>
      <w:pPr>
        <w:pStyle w:val="BodyText"/>
        <w:spacing w:line="261" w:lineRule="auto" w:before="72"/>
        <w:ind w:left="283" w:right="3" w:firstLine="453"/>
        <w:jc w:val="both"/>
      </w:pPr>
      <w:r>
        <w:rPr>
          <w:color w:val="231F1F"/>
        </w:rPr>
        <w:t>El ECA llevado a cabo en Arabia Saudita en 2004 (316), también obtuvo similares resultados en relación con la instauración del efecto analgésico y la aparición</w:t>
      </w:r>
      <w:r>
        <w:rPr>
          <w:color w:val="231F1F"/>
          <w:spacing w:val="40"/>
        </w:rPr>
        <w:t> </w:t>
      </w:r>
      <w:r>
        <w:rPr>
          <w:color w:val="231F1F"/>
        </w:rPr>
        <w:t>de</w:t>
      </w:r>
      <w:r>
        <w:rPr>
          <w:color w:val="231F1F"/>
          <w:spacing w:val="40"/>
        </w:rPr>
        <w:t> </w:t>
      </w:r>
      <w:r>
        <w:rPr>
          <w:color w:val="231F1F"/>
        </w:rPr>
        <w:t>prurito</w:t>
      </w:r>
      <w:r>
        <w:rPr>
          <w:color w:val="231F1F"/>
          <w:spacing w:val="40"/>
        </w:rPr>
        <w:t> </w:t>
      </w:r>
      <w:r>
        <w:rPr>
          <w:color w:val="231F1F"/>
        </w:rPr>
        <w:t>pero</w:t>
      </w:r>
      <w:r>
        <w:rPr>
          <w:color w:val="231F1F"/>
          <w:spacing w:val="40"/>
        </w:rPr>
        <w:t> </w:t>
      </w:r>
      <w:r>
        <w:rPr>
          <w:color w:val="231F1F"/>
        </w:rPr>
        <w:t>no</w:t>
      </w:r>
      <w:r>
        <w:rPr>
          <w:color w:val="231F1F"/>
          <w:spacing w:val="40"/>
        </w:rPr>
        <w:t> </w:t>
      </w:r>
      <w:r>
        <w:rPr>
          <w:color w:val="231F1F"/>
        </w:rPr>
        <w:t>en</w:t>
      </w:r>
      <w:r>
        <w:rPr>
          <w:color w:val="231F1F"/>
          <w:spacing w:val="40"/>
        </w:rPr>
        <w:t> </w:t>
      </w:r>
      <w:r>
        <w:rPr>
          <w:color w:val="231F1F"/>
        </w:rPr>
        <w:t>la</w:t>
      </w:r>
      <w:r>
        <w:rPr>
          <w:color w:val="231F1F"/>
          <w:spacing w:val="40"/>
        </w:rPr>
        <w:t> </w:t>
      </w:r>
      <w:r>
        <w:rPr>
          <w:color w:val="231F1F"/>
        </w:rPr>
        <w:t>satisfacción</w:t>
      </w:r>
      <w:r>
        <w:rPr>
          <w:color w:val="231F1F"/>
          <w:spacing w:val="40"/>
        </w:rPr>
        <w:t> </w:t>
      </w:r>
      <w:r>
        <w:rPr>
          <w:color w:val="231F1F"/>
        </w:rPr>
        <w:t>materna.</w:t>
      </w:r>
    </w:p>
    <w:p>
      <w:pPr>
        <w:pStyle w:val="BodyText"/>
        <w:spacing w:line="247" w:lineRule="auto" w:before="17"/>
        <w:ind w:left="283" w:right="4" w:firstLine="453"/>
        <w:jc w:val="both"/>
      </w:pPr>
      <w:r>
        <w:rPr>
          <w:color w:val="231F1F"/>
          <w:w w:val="105"/>
        </w:rPr>
        <w:t>El</w:t>
      </w:r>
      <w:r>
        <w:rPr>
          <w:color w:val="231F1F"/>
          <w:w w:val="105"/>
        </w:rPr>
        <w:t> segundo</w:t>
      </w:r>
      <w:r>
        <w:rPr>
          <w:color w:val="231F1F"/>
          <w:w w:val="105"/>
        </w:rPr>
        <w:t> de</w:t>
      </w:r>
      <w:r>
        <w:rPr>
          <w:color w:val="231F1F"/>
          <w:w w:val="105"/>
        </w:rPr>
        <w:t> los</w:t>
      </w:r>
      <w:r>
        <w:rPr>
          <w:color w:val="231F1F"/>
          <w:w w:val="105"/>
        </w:rPr>
        <w:t> ECAs</w:t>
      </w:r>
      <w:r>
        <w:rPr>
          <w:color w:val="231F1F"/>
          <w:w w:val="105"/>
        </w:rPr>
        <w:t> (317),</w:t>
      </w:r>
      <w:r>
        <w:rPr>
          <w:color w:val="231F1F"/>
          <w:w w:val="105"/>
        </w:rPr>
        <w:t> estudio</w:t>
      </w:r>
      <w:r>
        <w:rPr>
          <w:color w:val="231F1F"/>
          <w:w w:val="105"/>
        </w:rPr>
        <w:t> COMET,</w:t>
      </w:r>
      <w:r>
        <w:rPr>
          <w:color w:val="231F1F"/>
          <w:w w:val="105"/>
        </w:rPr>
        <w:t> llevado</w:t>
      </w:r>
      <w:r>
        <w:rPr>
          <w:color w:val="231F1F"/>
          <w:w w:val="105"/>
        </w:rPr>
        <w:t> a</w:t>
      </w:r>
      <w:r>
        <w:rPr>
          <w:color w:val="231F1F"/>
          <w:w w:val="105"/>
        </w:rPr>
        <w:t> cabo</w:t>
      </w:r>
      <w:r>
        <w:rPr>
          <w:color w:val="231F1F"/>
          <w:w w:val="105"/>
        </w:rPr>
        <w:t> en</w:t>
      </w:r>
      <w:r>
        <w:rPr>
          <w:color w:val="231F1F"/>
          <w:w w:val="105"/>
        </w:rPr>
        <w:t> el Reino</w:t>
      </w:r>
      <w:r>
        <w:rPr>
          <w:color w:val="231F1F"/>
          <w:w w:val="105"/>
        </w:rPr>
        <w:t> Unido</w:t>
      </w:r>
      <w:r>
        <w:rPr>
          <w:color w:val="231F1F"/>
          <w:w w:val="105"/>
        </w:rPr>
        <w:t> y</w:t>
      </w:r>
      <w:r>
        <w:rPr>
          <w:color w:val="231F1F"/>
          <w:w w:val="105"/>
        </w:rPr>
        <w:t> publicado</w:t>
      </w:r>
      <w:r>
        <w:rPr>
          <w:color w:val="231F1F"/>
          <w:w w:val="105"/>
        </w:rPr>
        <w:t> en</w:t>
      </w:r>
      <w:r>
        <w:rPr>
          <w:color w:val="231F1F"/>
          <w:w w:val="105"/>
        </w:rPr>
        <w:t> 2001</w:t>
      </w:r>
      <w:r>
        <w:rPr>
          <w:color w:val="231F1F"/>
          <w:w w:val="105"/>
        </w:rPr>
        <w:t> comparó</w:t>
      </w:r>
      <w:r>
        <w:rPr>
          <w:color w:val="231F1F"/>
          <w:w w:val="105"/>
        </w:rPr>
        <w:t> tres</w:t>
      </w:r>
      <w:r>
        <w:rPr>
          <w:color w:val="231F1F"/>
          <w:w w:val="105"/>
        </w:rPr>
        <w:t> regímenes</w:t>
      </w:r>
      <w:r>
        <w:rPr>
          <w:color w:val="231F1F"/>
          <w:w w:val="105"/>
        </w:rPr>
        <w:t> de</w:t>
      </w:r>
      <w:r>
        <w:rPr>
          <w:color w:val="231F1F"/>
          <w:w w:val="105"/>
        </w:rPr>
        <w:t> epidural</w:t>
      </w:r>
      <w:r>
        <w:rPr>
          <w:color w:val="231F1F"/>
          <w:w w:val="105"/>
        </w:rPr>
        <w:t> dife- rentes, uno tradicional y dos regimenes modernos en 1.054 mujeres nuliparas.</w:t>
      </w:r>
    </w:p>
    <w:p>
      <w:pPr>
        <w:pStyle w:val="ListParagraph"/>
        <w:numPr>
          <w:ilvl w:val="0"/>
          <w:numId w:val="78"/>
        </w:numPr>
        <w:tabs>
          <w:tab w:pos="954" w:val="left" w:leader="none"/>
          <w:tab w:pos="956" w:val="left" w:leader="none"/>
        </w:tabs>
        <w:spacing w:line="249" w:lineRule="auto" w:before="112" w:after="0"/>
        <w:ind w:left="956" w:right="4" w:hanging="221"/>
        <w:jc w:val="both"/>
        <w:rPr>
          <w:sz w:val="22"/>
        </w:rPr>
      </w:pPr>
      <w:r>
        <w:rPr>
          <w:color w:val="231F1F"/>
          <w:w w:val="110"/>
          <w:sz w:val="22"/>
        </w:rPr>
        <w:t>Administración epidural de </w:t>
      </w:r>
      <w:r>
        <w:rPr>
          <w:i/>
          <w:color w:val="231F1F"/>
          <w:w w:val="110"/>
          <w:sz w:val="22"/>
        </w:rPr>
        <w:t>régimen</w:t>
      </w:r>
      <w:r>
        <w:rPr>
          <w:i/>
          <w:color w:val="231F1F"/>
          <w:spacing w:val="-8"/>
          <w:w w:val="110"/>
          <w:sz w:val="22"/>
        </w:rPr>
        <w:t> </w:t>
      </w:r>
      <w:r>
        <w:rPr>
          <w:i/>
          <w:color w:val="231F1F"/>
          <w:w w:val="110"/>
          <w:sz w:val="22"/>
        </w:rPr>
        <w:t>tradicional</w:t>
      </w:r>
      <w:r>
        <w:rPr>
          <w:color w:val="231F1F"/>
          <w:w w:val="110"/>
          <w:sz w:val="22"/>
        </w:rPr>
        <w:t>: bolos de 10 ml de bupivacaína al 0,25%.</w:t>
      </w:r>
    </w:p>
    <w:p>
      <w:pPr>
        <w:pStyle w:val="ListParagraph"/>
        <w:numPr>
          <w:ilvl w:val="0"/>
          <w:numId w:val="78"/>
        </w:numPr>
        <w:tabs>
          <w:tab w:pos="944" w:val="left" w:leader="none"/>
        </w:tabs>
        <w:spacing w:line="244" w:lineRule="auto" w:before="112" w:after="0"/>
        <w:ind w:left="944" w:right="6" w:hanging="209"/>
        <w:jc w:val="both"/>
        <w:rPr>
          <w:sz w:val="22"/>
        </w:rPr>
      </w:pPr>
      <w:r>
        <w:rPr>
          <w:i/>
          <w:color w:val="231F1F"/>
          <w:spacing w:val="-6"/>
          <w:w w:val="105"/>
          <w:sz w:val="22"/>
        </w:rPr>
        <w:t>Régimen</w:t>
      </w:r>
      <w:r>
        <w:rPr>
          <w:i/>
          <w:color w:val="231F1F"/>
          <w:spacing w:val="-9"/>
          <w:w w:val="105"/>
          <w:sz w:val="22"/>
        </w:rPr>
        <w:t> </w:t>
      </w:r>
      <w:r>
        <w:rPr>
          <w:i/>
          <w:color w:val="231F1F"/>
          <w:spacing w:val="-6"/>
          <w:w w:val="105"/>
          <w:sz w:val="22"/>
        </w:rPr>
        <w:t>moderno</w:t>
      </w:r>
      <w:r>
        <w:rPr>
          <w:color w:val="231F1F"/>
          <w:spacing w:val="-6"/>
          <w:w w:val="105"/>
          <w:sz w:val="22"/>
        </w:rPr>
        <w:t>:</w:t>
      </w:r>
      <w:r>
        <w:rPr>
          <w:color w:val="231F1F"/>
          <w:spacing w:val="-1"/>
          <w:w w:val="105"/>
          <w:sz w:val="22"/>
        </w:rPr>
        <w:t> </w:t>
      </w:r>
      <w:r>
        <w:rPr>
          <w:color w:val="231F1F"/>
          <w:spacing w:val="-6"/>
          <w:w w:val="105"/>
          <w:sz w:val="22"/>
        </w:rPr>
        <w:t>Infusión</w:t>
      </w:r>
      <w:r>
        <w:rPr>
          <w:color w:val="231F1F"/>
          <w:spacing w:val="11"/>
          <w:w w:val="105"/>
          <w:sz w:val="22"/>
        </w:rPr>
        <w:t> </w:t>
      </w:r>
      <w:r>
        <w:rPr>
          <w:i/>
          <w:color w:val="231F1F"/>
          <w:spacing w:val="-6"/>
          <w:w w:val="105"/>
          <w:sz w:val="22"/>
        </w:rPr>
        <w:t>epidural</w:t>
      </w:r>
      <w:r>
        <w:rPr>
          <w:i/>
          <w:color w:val="231F1F"/>
          <w:spacing w:val="-9"/>
          <w:w w:val="105"/>
          <w:sz w:val="22"/>
        </w:rPr>
        <w:t> </w:t>
      </w:r>
      <w:r>
        <w:rPr>
          <w:i/>
          <w:color w:val="231F1F"/>
          <w:spacing w:val="-6"/>
          <w:w w:val="105"/>
          <w:sz w:val="22"/>
        </w:rPr>
        <w:t>a</w:t>
      </w:r>
      <w:r>
        <w:rPr>
          <w:i/>
          <w:color w:val="231F1F"/>
          <w:spacing w:val="-8"/>
          <w:w w:val="105"/>
          <w:sz w:val="22"/>
        </w:rPr>
        <w:t> </w:t>
      </w:r>
      <w:r>
        <w:rPr>
          <w:i/>
          <w:color w:val="231F1F"/>
          <w:spacing w:val="-6"/>
          <w:w w:val="105"/>
          <w:sz w:val="22"/>
        </w:rPr>
        <w:t>bajas</w:t>
      </w:r>
      <w:r>
        <w:rPr>
          <w:i/>
          <w:color w:val="231F1F"/>
          <w:spacing w:val="-9"/>
          <w:w w:val="105"/>
          <w:sz w:val="22"/>
        </w:rPr>
        <w:t> </w:t>
      </w:r>
      <w:r>
        <w:rPr>
          <w:i/>
          <w:color w:val="231F1F"/>
          <w:spacing w:val="-6"/>
          <w:w w:val="105"/>
          <w:sz w:val="22"/>
        </w:rPr>
        <w:t>dosis:</w:t>
      </w:r>
      <w:r>
        <w:rPr>
          <w:i/>
          <w:color w:val="231F1F"/>
          <w:spacing w:val="-8"/>
          <w:w w:val="105"/>
          <w:sz w:val="22"/>
        </w:rPr>
        <w:t> </w:t>
      </w:r>
      <w:r>
        <w:rPr>
          <w:color w:val="231F1F"/>
          <w:spacing w:val="-6"/>
          <w:w w:val="105"/>
          <w:sz w:val="22"/>
        </w:rPr>
        <w:t>Mezcla</w:t>
      </w:r>
      <w:r>
        <w:rPr>
          <w:color w:val="231F1F"/>
          <w:spacing w:val="11"/>
          <w:w w:val="105"/>
          <w:sz w:val="22"/>
        </w:rPr>
        <w:t> </w:t>
      </w:r>
      <w:r>
        <w:rPr>
          <w:color w:val="231F1F"/>
          <w:spacing w:val="-6"/>
          <w:w w:val="105"/>
          <w:sz w:val="22"/>
        </w:rPr>
        <w:t>de</w:t>
      </w:r>
      <w:r>
        <w:rPr>
          <w:color w:val="231F1F"/>
          <w:spacing w:val="11"/>
          <w:w w:val="105"/>
          <w:sz w:val="22"/>
        </w:rPr>
        <w:t> </w:t>
      </w:r>
      <w:r>
        <w:rPr>
          <w:color w:val="231F1F"/>
          <w:spacing w:val="-6"/>
          <w:w w:val="105"/>
          <w:sz w:val="22"/>
        </w:rPr>
        <w:t>bupivacaína </w:t>
      </w:r>
      <w:r>
        <w:rPr>
          <w:color w:val="231F1F"/>
          <w:w w:val="105"/>
          <w:sz w:val="22"/>
        </w:rPr>
        <w:t>0,1%+</w:t>
      </w:r>
      <w:r>
        <w:rPr>
          <w:color w:val="231F1F"/>
          <w:spacing w:val="-15"/>
          <w:w w:val="105"/>
          <w:sz w:val="22"/>
        </w:rPr>
        <w:t> </w:t>
      </w:r>
      <w:r>
        <w:rPr>
          <w:color w:val="231F1F"/>
          <w:w w:val="105"/>
          <w:sz w:val="22"/>
        </w:rPr>
        <w:t>fentanilo</w:t>
      </w:r>
      <w:r>
        <w:rPr>
          <w:color w:val="231F1F"/>
          <w:spacing w:val="-15"/>
          <w:w w:val="105"/>
          <w:sz w:val="22"/>
        </w:rPr>
        <w:t> </w:t>
      </w:r>
      <w:r>
        <w:rPr>
          <w:color w:val="231F1F"/>
          <w:w w:val="105"/>
          <w:sz w:val="22"/>
        </w:rPr>
        <w:t>2</w:t>
      </w:r>
      <w:r>
        <w:rPr>
          <w:color w:val="231F1F"/>
          <w:spacing w:val="-14"/>
          <w:w w:val="105"/>
          <w:sz w:val="22"/>
        </w:rPr>
        <w:t> </w:t>
      </w:r>
      <w:r>
        <w:rPr>
          <w:color w:val="231F1F"/>
          <w:w w:val="105"/>
          <w:sz w:val="22"/>
        </w:rPr>
        <w:t>μg/ml</w:t>
      </w:r>
      <w:r>
        <w:rPr>
          <w:color w:val="231F1F"/>
          <w:spacing w:val="-16"/>
          <w:w w:val="105"/>
          <w:sz w:val="22"/>
        </w:rPr>
        <w:t> </w:t>
      </w:r>
      <w:r>
        <w:rPr>
          <w:color w:val="231F1F"/>
          <w:w w:val="105"/>
          <w:sz w:val="22"/>
        </w:rPr>
        <w:t>a</w:t>
      </w:r>
      <w:r>
        <w:rPr>
          <w:color w:val="231F1F"/>
          <w:spacing w:val="-15"/>
          <w:w w:val="105"/>
          <w:sz w:val="22"/>
        </w:rPr>
        <w:t> </w:t>
      </w:r>
      <w:r>
        <w:rPr>
          <w:color w:val="231F1F"/>
          <w:w w:val="105"/>
          <w:sz w:val="22"/>
        </w:rPr>
        <w:t>10</w:t>
      </w:r>
      <w:r>
        <w:rPr>
          <w:color w:val="231F1F"/>
          <w:spacing w:val="-14"/>
          <w:w w:val="105"/>
          <w:sz w:val="22"/>
        </w:rPr>
        <w:t> </w:t>
      </w:r>
      <w:r>
        <w:rPr>
          <w:color w:val="231F1F"/>
          <w:w w:val="105"/>
          <w:sz w:val="22"/>
        </w:rPr>
        <w:t>ml/h,</w:t>
      </w:r>
      <w:r>
        <w:rPr>
          <w:color w:val="231F1F"/>
          <w:spacing w:val="-17"/>
          <w:w w:val="105"/>
          <w:sz w:val="22"/>
        </w:rPr>
        <w:t> </w:t>
      </w:r>
      <w:r>
        <w:rPr>
          <w:color w:val="231F1F"/>
          <w:w w:val="105"/>
          <w:sz w:val="22"/>
        </w:rPr>
        <w:t>tras</w:t>
      </w:r>
      <w:r>
        <w:rPr>
          <w:color w:val="231F1F"/>
          <w:spacing w:val="-16"/>
          <w:w w:val="105"/>
          <w:sz w:val="22"/>
        </w:rPr>
        <w:t> </w:t>
      </w:r>
      <w:r>
        <w:rPr>
          <w:color w:val="231F1F"/>
          <w:w w:val="105"/>
          <w:sz w:val="22"/>
        </w:rPr>
        <w:t>un</w:t>
      </w:r>
      <w:r>
        <w:rPr>
          <w:color w:val="231F1F"/>
          <w:spacing w:val="-14"/>
          <w:w w:val="105"/>
          <w:sz w:val="22"/>
        </w:rPr>
        <w:t> </w:t>
      </w:r>
      <w:r>
        <w:rPr>
          <w:color w:val="231F1F"/>
          <w:w w:val="105"/>
          <w:sz w:val="22"/>
        </w:rPr>
        <w:t>bolo</w:t>
      </w:r>
      <w:r>
        <w:rPr>
          <w:color w:val="231F1F"/>
          <w:spacing w:val="-15"/>
          <w:w w:val="105"/>
          <w:sz w:val="22"/>
        </w:rPr>
        <w:t> </w:t>
      </w:r>
      <w:r>
        <w:rPr>
          <w:color w:val="231F1F"/>
          <w:w w:val="105"/>
          <w:sz w:val="22"/>
        </w:rPr>
        <w:t>inicial</w:t>
      </w:r>
      <w:r>
        <w:rPr>
          <w:color w:val="231F1F"/>
          <w:spacing w:val="-16"/>
          <w:w w:val="105"/>
          <w:sz w:val="22"/>
        </w:rPr>
        <w:t> </w:t>
      </w:r>
      <w:r>
        <w:rPr>
          <w:color w:val="231F1F"/>
          <w:w w:val="105"/>
          <w:sz w:val="22"/>
        </w:rPr>
        <w:t>epidural</w:t>
      </w:r>
      <w:r>
        <w:rPr>
          <w:color w:val="231F1F"/>
          <w:spacing w:val="-15"/>
          <w:w w:val="105"/>
          <w:sz w:val="22"/>
        </w:rPr>
        <w:t> </w:t>
      </w:r>
      <w:r>
        <w:rPr>
          <w:color w:val="231F1F"/>
          <w:w w:val="105"/>
          <w:sz w:val="22"/>
        </w:rPr>
        <w:t>de</w:t>
      </w:r>
      <w:r>
        <w:rPr>
          <w:color w:val="231F1F"/>
          <w:spacing w:val="-14"/>
          <w:w w:val="105"/>
          <w:sz w:val="22"/>
        </w:rPr>
        <w:t> </w:t>
      </w:r>
      <w:r>
        <w:rPr>
          <w:color w:val="231F1F"/>
          <w:w w:val="105"/>
          <w:sz w:val="22"/>
        </w:rPr>
        <w:t>15</w:t>
      </w:r>
      <w:r>
        <w:rPr>
          <w:color w:val="231F1F"/>
          <w:spacing w:val="-15"/>
          <w:w w:val="105"/>
          <w:sz w:val="22"/>
        </w:rPr>
        <w:t> </w:t>
      </w:r>
      <w:r>
        <w:rPr>
          <w:color w:val="231F1F"/>
          <w:w w:val="105"/>
          <w:sz w:val="22"/>
        </w:rPr>
        <w:t>ml.</w:t>
      </w:r>
    </w:p>
    <w:p>
      <w:pPr>
        <w:pStyle w:val="ListParagraph"/>
        <w:numPr>
          <w:ilvl w:val="0"/>
          <w:numId w:val="78"/>
        </w:numPr>
        <w:tabs>
          <w:tab w:pos="951" w:val="left" w:leader="none"/>
        </w:tabs>
        <w:spacing w:line="266" w:lineRule="auto" w:before="127" w:after="0"/>
        <w:ind w:left="951" w:right="3" w:hanging="216"/>
        <w:jc w:val="both"/>
        <w:rPr>
          <w:sz w:val="22"/>
        </w:rPr>
      </w:pPr>
      <w:r>
        <w:rPr>
          <w:i/>
          <w:color w:val="231F1F"/>
          <w:sz w:val="22"/>
        </w:rPr>
        <w:t>Régimen</w:t>
      </w:r>
      <w:r>
        <w:rPr>
          <w:i/>
          <w:color w:val="231F1F"/>
          <w:spacing w:val="30"/>
          <w:sz w:val="22"/>
        </w:rPr>
        <w:t> </w:t>
      </w:r>
      <w:r>
        <w:rPr>
          <w:i/>
          <w:color w:val="231F1F"/>
          <w:sz w:val="22"/>
        </w:rPr>
        <w:t>moderno</w:t>
      </w:r>
      <w:r>
        <w:rPr>
          <w:color w:val="231F1F"/>
          <w:sz w:val="22"/>
        </w:rPr>
        <w:t>:</w:t>
      </w:r>
      <w:r>
        <w:rPr>
          <w:color w:val="231F1F"/>
          <w:spacing w:val="40"/>
          <w:sz w:val="22"/>
        </w:rPr>
        <w:t> </w:t>
      </w:r>
      <w:r>
        <w:rPr>
          <w:color w:val="231F1F"/>
          <w:sz w:val="22"/>
        </w:rPr>
        <w:t>Administración</w:t>
      </w:r>
      <w:r>
        <w:rPr>
          <w:color w:val="231F1F"/>
          <w:spacing w:val="40"/>
          <w:sz w:val="22"/>
        </w:rPr>
        <w:t> </w:t>
      </w:r>
      <w:r>
        <w:rPr>
          <w:color w:val="231F1F"/>
          <w:sz w:val="22"/>
        </w:rPr>
        <w:t>de</w:t>
      </w:r>
      <w:r>
        <w:rPr>
          <w:color w:val="231F1F"/>
          <w:spacing w:val="40"/>
          <w:sz w:val="22"/>
        </w:rPr>
        <w:t> </w:t>
      </w:r>
      <w:r>
        <w:rPr>
          <w:color w:val="231F1F"/>
          <w:sz w:val="22"/>
        </w:rPr>
        <w:t>analgesia</w:t>
      </w:r>
      <w:r>
        <w:rPr>
          <w:color w:val="231F1F"/>
          <w:spacing w:val="40"/>
          <w:sz w:val="22"/>
        </w:rPr>
        <w:t> </w:t>
      </w:r>
      <w:r>
        <w:rPr>
          <w:i/>
          <w:color w:val="231F1F"/>
          <w:sz w:val="22"/>
        </w:rPr>
        <w:t>combinada</w:t>
      </w:r>
      <w:r>
        <w:rPr>
          <w:color w:val="231F1F"/>
          <w:sz w:val="22"/>
        </w:rPr>
        <w:t>:</w:t>
      </w:r>
      <w:r>
        <w:rPr>
          <w:color w:val="231F1F"/>
          <w:spacing w:val="40"/>
          <w:sz w:val="22"/>
        </w:rPr>
        <w:t> </w:t>
      </w:r>
      <w:r>
        <w:rPr>
          <w:color w:val="231F1F"/>
          <w:sz w:val="22"/>
        </w:rPr>
        <w:t>Inicio</w:t>
      </w:r>
      <w:r>
        <w:rPr>
          <w:color w:val="231F1F"/>
          <w:spacing w:val="40"/>
          <w:sz w:val="22"/>
        </w:rPr>
        <w:t> </w:t>
      </w:r>
      <w:r>
        <w:rPr>
          <w:color w:val="231F1F"/>
          <w:sz w:val="22"/>
        </w:rPr>
        <w:t>con la administración de intradural de 1 ml bupivacaína 0,25% + 25 μg fen- tanilo y posterior mantenimiento con epidural a bajas dosis: bupivacaína 0,1% + fentanilo 2 μg/ml (bolo inicial 15 ml + bolos posteriores 10 ml).</w:t>
      </w:r>
    </w:p>
    <w:p>
      <w:pPr>
        <w:pStyle w:val="BodyText"/>
        <w:spacing w:line="247" w:lineRule="auto" w:before="48"/>
        <w:ind w:left="283" w:firstLine="453"/>
        <w:jc w:val="both"/>
      </w:pPr>
      <w:r>
        <w:rPr>
          <w:color w:val="231F1F"/>
          <w:w w:val="105"/>
        </w:rPr>
        <w:t>En cuanto a los resultados sobre la analgesia, no hubo evidencia de dife- rencias</w:t>
      </w:r>
      <w:r>
        <w:rPr>
          <w:color w:val="231F1F"/>
          <w:w w:val="105"/>
        </w:rPr>
        <w:t> en</w:t>
      </w:r>
      <w:r>
        <w:rPr>
          <w:color w:val="231F1F"/>
          <w:w w:val="105"/>
        </w:rPr>
        <w:t> la</w:t>
      </w:r>
      <w:r>
        <w:rPr>
          <w:color w:val="231F1F"/>
          <w:w w:val="105"/>
        </w:rPr>
        <w:t> severidad</w:t>
      </w:r>
      <w:r>
        <w:rPr>
          <w:color w:val="231F1F"/>
          <w:w w:val="105"/>
        </w:rPr>
        <w:t> del</w:t>
      </w:r>
      <w:r>
        <w:rPr>
          <w:color w:val="231F1F"/>
          <w:w w:val="105"/>
        </w:rPr>
        <w:t> dolor</w:t>
      </w:r>
      <w:r>
        <w:rPr>
          <w:color w:val="231F1F"/>
          <w:w w:val="105"/>
        </w:rPr>
        <w:t> tras</w:t>
      </w:r>
      <w:r>
        <w:rPr>
          <w:color w:val="231F1F"/>
          <w:w w:val="105"/>
        </w:rPr>
        <w:t> la</w:t>
      </w:r>
      <w:r>
        <w:rPr>
          <w:color w:val="231F1F"/>
          <w:w w:val="105"/>
        </w:rPr>
        <w:t> administración</w:t>
      </w:r>
      <w:r>
        <w:rPr>
          <w:color w:val="231F1F"/>
          <w:w w:val="105"/>
        </w:rPr>
        <w:t> de</w:t>
      </w:r>
      <w:r>
        <w:rPr>
          <w:color w:val="231F1F"/>
          <w:w w:val="105"/>
        </w:rPr>
        <w:t> la</w:t>
      </w:r>
      <w:r>
        <w:rPr>
          <w:color w:val="231F1F"/>
          <w:w w:val="105"/>
        </w:rPr>
        <w:t> epidural.</w:t>
      </w:r>
      <w:r>
        <w:rPr>
          <w:color w:val="231F1F"/>
          <w:w w:val="105"/>
        </w:rPr>
        <w:t> La proporción</w:t>
      </w:r>
      <w:r>
        <w:rPr>
          <w:color w:val="231F1F"/>
          <w:w w:val="105"/>
        </w:rPr>
        <w:t> de</w:t>
      </w:r>
      <w:r>
        <w:rPr>
          <w:color w:val="231F1F"/>
          <w:w w:val="105"/>
        </w:rPr>
        <w:t> mujeres</w:t>
      </w:r>
      <w:r>
        <w:rPr>
          <w:color w:val="231F1F"/>
          <w:w w:val="105"/>
        </w:rPr>
        <w:t> con</w:t>
      </w:r>
      <w:r>
        <w:rPr>
          <w:color w:val="231F1F"/>
          <w:w w:val="105"/>
        </w:rPr>
        <w:t> capacidad</w:t>
      </w:r>
      <w:r>
        <w:rPr>
          <w:color w:val="231F1F"/>
          <w:w w:val="105"/>
        </w:rPr>
        <w:t> para</w:t>
      </w:r>
      <w:r>
        <w:rPr>
          <w:color w:val="231F1F"/>
          <w:w w:val="105"/>
        </w:rPr>
        <w:t> pujar</w:t>
      </w:r>
      <w:r>
        <w:rPr>
          <w:color w:val="231F1F"/>
          <w:w w:val="105"/>
        </w:rPr>
        <w:t> durante</w:t>
      </w:r>
      <w:r>
        <w:rPr>
          <w:color w:val="231F1F"/>
          <w:w w:val="105"/>
        </w:rPr>
        <w:t> el</w:t>
      </w:r>
      <w:r>
        <w:rPr>
          <w:color w:val="231F1F"/>
          <w:w w:val="105"/>
        </w:rPr>
        <w:t> parto</w:t>
      </w:r>
      <w:r>
        <w:rPr>
          <w:color w:val="231F1F"/>
          <w:w w:val="105"/>
        </w:rPr>
        <w:t> fue</w:t>
      </w:r>
      <w:r>
        <w:rPr>
          <w:color w:val="231F1F"/>
          <w:w w:val="105"/>
        </w:rPr>
        <w:t> similar entre</w:t>
      </w:r>
      <w:r>
        <w:rPr>
          <w:color w:val="231F1F"/>
          <w:w w:val="105"/>
        </w:rPr>
        <w:t> el grupo</w:t>
      </w:r>
      <w:r>
        <w:rPr>
          <w:color w:val="231F1F"/>
          <w:w w:val="105"/>
        </w:rPr>
        <w:t> con</w:t>
      </w:r>
      <w:r>
        <w:rPr>
          <w:color w:val="231F1F"/>
          <w:w w:val="105"/>
        </w:rPr>
        <w:t> analgesia</w:t>
      </w:r>
      <w:r>
        <w:rPr>
          <w:color w:val="231F1F"/>
          <w:w w:val="105"/>
        </w:rPr>
        <w:t> combinada</w:t>
      </w:r>
      <w:r>
        <w:rPr>
          <w:color w:val="231F1F"/>
          <w:w w:val="105"/>
        </w:rPr>
        <w:t> (29%)</w:t>
      </w:r>
      <w:r>
        <w:rPr>
          <w:color w:val="231F1F"/>
          <w:w w:val="105"/>
        </w:rPr>
        <w:t> y</w:t>
      </w:r>
      <w:r>
        <w:rPr>
          <w:color w:val="231F1F"/>
          <w:w w:val="105"/>
        </w:rPr>
        <w:t> régimen</w:t>
      </w:r>
      <w:r>
        <w:rPr>
          <w:color w:val="231F1F"/>
          <w:w w:val="105"/>
        </w:rPr>
        <w:t> tradicional</w:t>
      </w:r>
      <w:r>
        <w:rPr>
          <w:color w:val="231F1F"/>
          <w:w w:val="105"/>
        </w:rPr>
        <w:t> (28%). Sin embargo, la proporción de las mujeres con pujos en el grupo de infusión de epidural a bajas dosis (38%) fue significativamente mayor que en el grupo de administración tradicional p=0,01.</w:t>
      </w:r>
    </w:p>
    <w:p>
      <w:pPr>
        <w:pStyle w:val="BodyText"/>
        <w:spacing w:line="244" w:lineRule="auto" w:before="77"/>
        <w:ind w:left="283" w:right="1" w:firstLine="453"/>
        <w:jc w:val="both"/>
      </w:pPr>
      <w:r>
        <w:rPr>
          <w:color w:val="231F1F"/>
        </w:rPr>
        <w:t>En cuanto a resultados obstétricos, las mujeres asignadas a los régimenes </w:t>
      </w:r>
      <w:r>
        <w:rPr>
          <w:color w:val="231F1F"/>
          <w:w w:val="110"/>
        </w:rPr>
        <w:t>posológicos modernos tuvieron más partos espontáneos: RR 1,39 [IC 95% 1,02</w:t>
      </w:r>
      <w:r>
        <w:rPr>
          <w:color w:val="231F1F"/>
          <w:spacing w:val="-5"/>
          <w:w w:val="110"/>
        </w:rPr>
        <w:t> </w:t>
      </w:r>
      <w:r>
        <w:rPr>
          <w:color w:val="231F1F"/>
          <w:w w:val="110"/>
        </w:rPr>
        <w:t>a</w:t>
      </w:r>
      <w:r>
        <w:rPr>
          <w:color w:val="231F1F"/>
          <w:spacing w:val="-5"/>
          <w:w w:val="110"/>
        </w:rPr>
        <w:t> </w:t>
      </w:r>
      <w:r>
        <w:rPr>
          <w:color w:val="231F1F"/>
          <w:w w:val="110"/>
        </w:rPr>
        <w:t>1,88],</w:t>
      </w:r>
      <w:r>
        <w:rPr>
          <w:color w:val="231F1F"/>
          <w:spacing w:val="-6"/>
          <w:w w:val="110"/>
        </w:rPr>
        <w:t> </w:t>
      </w:r>
      <w:r>
        <w:rPr>
          <w:color w:val="231F1F"/>
          <w:w w:val="110"/>
        </w:rPr>
        <w:t>y</w:t>
      </w:r>
      <w:r>
        <w:rPr>
          <w:color w:val="231F1F"/>
          <w:spacing w:val="-5"/>
          <w:w w:val="110"/>
        </w:rPr>
        <w:t> </w:t>
      </w:r>
      <w:r>
        <w:rPr>
          <w:color w:val="231F1F"/>
          <w:w w:val="110"/>
        </w:rPr>
        <w:t>una</w:t>
      </w:r>
      <w:r>
        <w:rPr>
          <w:color w:val="231F1F"/>
          <w:spacing w:val="-6"/>
          <w:w w:val="110"/>
        </w:rPr>
        <w:t> </w:t>
      </w:r>
      <w:r>
        <w:rPr>
          <w:color w:val="231F1F"/>
          <w:w w:val="110"/>
        </w:rPr>
        <w:t>duración</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5"/>
          <w:w w:val="110"/>
        </w:rPr>
        <w:t> </w:t>
      </w:r>
      <w:r>
        <w:rPr>
          <w:color w:val="231F1F"/>
          <w:w w:val="110"/>
        </w:rPr>
        <w:t>segunda</w:t>
      </w:r>
      <w:r>
        <w:rPr>
          <w:color w:val="231F1F"/>
          <w:spacing w:val="-6"/>
          <w:w w:val="110"/>
        </w:rPr>
        <w:t> </w:t>
      </w:r>
      <w:r>
        <w:rPr>
          <w:color w:val="231F1F"/>
          <w:w w:val="110"/>
        </w:rPr>
        <w:t>etapa</w:t>
      </w:r>
      <w:r>
        <w:rPr>
          <w:color w:val="231F1F"/>
          <w:spacing w:val="-6"/>
          <w:w w:val="110"/>
        </w:rPr>
        <w:t> </w:t>
      </w:r>
      <w:r>
        <w:rPr>
          <w:color w:val="231F1F"/>
          <w:w w:val="110"/>
        </w:rPr>
        <w:t>del</w:t>
      </w:r>
      <w:r>
        <w:rPr>
          <w:color w:val="231F1F"/>
          <w:spacing w:val="-6"/>
          <w:w w:val="110"/>
        </w:rPr>
        <w:t> </w:t>
      </w:r>
      <w:r>
        <w:rPr>
          <w:color w:val="231F1F"/>
          <w:w w:val="110"/>
        </w:rPr>
        <w:t>parto</w:t>
      </w:r>
      <w:r>
        <w:rPr>
          <w:color w:val="231F1F"/>
          <w:spacing w:val="-6"/>
          <w:w w:val="110"/>
        </w:rPr>
        <w:t> </w:t>
      </w:r>
      <w:r>
        <w:rPr>
          <w:color w:val="231F1F"/>
          <w:w w:val="110"/>
        </w:rPr>
        <w:t>≤60</w:t>
      </w:r>
      <w:r>
        <w:rPr>
          <w:color w:val="231F1F"/>
          <w:spacing w:val="-5"/>
          <w:w w:val="110"/>
        </w:rPr>
        <w:t> </w:t>
      </w:r>
      <w:r>
        <w:rPr>
          <w:color w:val="231F1F"/>
          <w:w w:val="110"/>
        </w:rPr>
        <w:t>minutos:</w:t>
      </w:r>
      <w:r>
        <w:rPr>
          <w:color w:val="231F1F"/>
          <w:spacing w:val="-6"/>
          <w:w w:val="110"/>
        </w:rPr>
        <w:t> </w:t>
      </w:r>
      <w:r>
        <w:rPr>
          <w:color w:val="231F1F"/>
          <w:w w:val="110"/>
        </w:rPr>
        <w:t>RR 1,36 [IC 95% 1,01 a 1,84], que el grupo con régimen tradicional. No hubo evidencia de diferencias en la tasa de cesáreas entre los diferentes grupos.</w:t>
      </w:r>
    </w:p>
    <w:p>
      <w:pPr>
        <w:pStyle w:val="BodyText"/>
        <w:spacing w:line="247" w:lineRule="auto" w:before="78"/>
        <w:ind w:left="283" w:right="1" w:firstLine="453"/>
        <w:jc w:val="both"/>
      </w:pPr>
      <w:r>
        <w:rPr>
          <w:color w:val="231F1F"/>
          <w:w w:val="105"/>
        </w:rPr>
        <w:t>Hubo evidencia de que los RN del grupo de infusión de epidural a bajas dosis</w:t>
      </w:r>
      <w:r>
        <w:rPr>
          <w:color w:val="231F1F"/>
          <w:w w:val="105"/>
        </w:rPr>
        <w:t> comparado</w:t>
      </w:r>
      <w:r>
        <w:rPr>
          <w:color w:val="231F1F"/>
          <w:w w:val="105"/>
        </w:rPr>
        <w:t> con</w:t>
      </w:r>
      <w:r>
        <w:rPr>
          <w:color w:val="231F1F"/>
          <w:w w:val="105"/>
        </w:rPr>
        <w:t> régimen</w:t>
      </w:r>
      <w:r>
        <w:rPr>
          <w:color w:val="231F1F"/>
          <w:w w:val="105"/>
        </w:rPr>
        <w:t> tradicional,</w:t>
      </w:r>
      <w:r>
        <w:rPr>
          <w:color w:val="231F1F"/>
          <w:w w:val="105"/>
        </w:rPr>
        <w:t> tenían</w:t>
      </w:r>
      <w:r>
        <w:rPr>
          <w:color w:val="231F1F"/>
          <w:w w:val="105"/>
        </w:rPr>
        <w:t> más</w:t>
      </w:r>
      <w:r>
        <w:rPr>
          <w:color w:val="231F1F"/>
          <w:w w:val="105"/>
        </w:rPr>
        <w:t> posibilidades</w:t>
      </w:r>
      <w:r>
        <w:rPr>
          <w:color w:val="231F1F"/>
          <w:w w:val="105"/>
        </w:rPr>
        <w:t> de</w:t>
      </w:r>
      <w:r>
        <w:rPr>
          <w:color w:val="231F1F"/>
          <w:w w:val="105"/>
        </w:rPr>
        <w:t> tener una</w:t>
      </w:r>
      <w:r>
        <w:rPr>
          <w:color w:val="231F1F"/>
          <w:w w:val="105"/>
        </w:rPr>
        <w:t> baja</w:t>
      </w:r>
      <w:r>
        <w:rPr>
          <w:color w:val="231F1F"/>
          <w:w w:val="105"/>
        </w:rPr>
        <w:t> puntuación</w:t>
      </w:r>
      <w:r>
        <w:rPr>
          <w:color w:val="231F1F"/>
          <w:w w:val="105"/>
        </w:rPr>
        <w:t> en</w:t>
      </w:r>
      <w:r>
        <w:rPr>
          <w:color w:val="231F1F"/>
          <w:w w:val="105"/>
        </w:rPr>
        <w:t> el test de</w:t>
      </w:r>
      <w:r>
        <w:rPr>
          <w:color w:val="231F1F"/>
          <w:w w:val="105"/>
        </w:rPr>
        <w:t> Apgar≤7</w:t>
      </w:r>
      <w:r>
        <w:rPr>
          <w:color w:val="231F1F"/>
          <w:w w:val="105"/>
        </w:rPr>
        <w:t> al minuto: 18%</w:t>
      </w:r>
      <w:r>
        <w:rPr>
          <w:color w:val="231F1F"/>
          <w:w w:val="105"/>
        </w:rPr>
        <w:t> vs</w:t>
      </w:r>
      <w:r>
        <w:rPr>
          <w:color w:val="231F1F"/>
          <w:w w:val="105"/>
        </w:rPr>
        <w:t> 11%; p=0,01, aunque no hubo diferencias del test de Apgar al 5º minuto ni en la admisión</w:t>
      </w:r>
      <w:r>
        <w:rPr>
          <w:color w:val="231F1F"/>
          <w:spacing w:val="40"/>
          <w:w w:val="105"/>
        </w:rPr>
        <w:t> </w:t>
      </w:r>
      <w:r>
        <w:rPr>
          <w:color w:val="231F1F"/>
          <w:w w:val="105"/>
        </w:rPr>
        <w:t>en unidad neonatal. En la comparación entre estos dos grupos se requirió un nivel alto de resucitación (ambú y/o intubación y/o naloxona): en 16 de 350 mujeres con epidural a bajas dosis y en 5 de 353 mujeres con régimen tradi- cional; p=0,02. Los resultados neonatales no variaron significativamente en el grupo</w:t>
      </w:r>
      <w:r>
        <w:rPr>
          <w:color w:val="231F1F"/>
          <w:w w:val="105"/>
        </w:rPr>
        <w:t> de</w:t>
      </w:r>
      <w:r>
        <w:rPr>
          <w:color w:val="231F1F"/>
          <w:w w:val="105"/>
        </w:rPr>
        <w:t> combinada</w:t>
      </w:r>
      <w:r>
        <w:rPr>
          <w:color w:val="231F1F"/>
          <w:w w:val="105"/>
        </w:rPr>
        <w:t> respecto</w:t>
      </w:r>
      <w:r>
        <w:rPr>
          <w:color w:val="231F1F"/>
          <w:w w:val="105"/>
        </w:rPr>
        <w:t> al</w:t>
      </w:r>
      <w:r>
        <w:rPr>
          <w:color w:val="231F1F"/>
          <w:w w:val="105"/>
        </w:rPr>
        <w:t> tradicional.</w:t>
      </w:r>
      <w:r>
        <w:rPr>
          <w:color w:val="231F1F"/>
          <w:w w:val="105"/>
        </w:rPr>
        <w:t> La</w:t>
      </w:r>
      <w:r>
        <w:rPr>
          <w:color w:val="231F1F"/>
          <w:w w:val="105"/>
        </w:rPr>
        <w:t> cantidad</w:t>
      </w:r>
      <w:r>
        <w:rPr>
          <w:color w:val="231F1F"/>
          <w:w w:val="105"/>
        </w:rPr>
        <w:t> de</w:t>
      </w:r>
      <w:r>
        <w:rPr>
          <w:color w:val="231F1F"/>
          <w:w w:val="105"/>
        </w:rPr>
        <w:t> fentanilo</w:t>
      </w:r>
      <w:r>
        <w:rPr>
          <w:color w:val="231F1F"/>
          <w:w w:val="105"/>
        </w:rPr>
        <w:t> usado</w:t>
      </w:r>
      <w:r>
        <w:rPr>
          <w:color w:val="231F1F"/>
          <w:spacing w:val="40"/>
          <w:w w:val="105"/>
        </w:rPr>
        <w:t> </w:t>
      </w:r>
      <w:r>
        <w:rPr>
          <w:color w:val="231F1F"/>
          <w:w w:val="105"/>
        </w:rPr>
        <w:t>fue</w:t>
      </w:r>
      <w:r>
        <w:rPr>
          <w:color w:val="231F1F"/>
          <w:spacing w:val="40"/>
          <w:w w:val="105"/>
        </w:rPr>
        <w:t> </w:t>
      </w:r>
      <w:r>
        <w:rPr>
          <w:color w:val="231F1F"/>
          <w:w w:val="105"/>
        </w:rPr>
        <w:t>menor</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grupo</w:t>
      </w:r>
      <w:r>
        <w:rPr>
          <w:color w:val="231F1F"/>
          <w:spacing w:val="40"/>
          <w:w w:val="105"/>
        </w:rPr>
        <w:t> </w:t>
      </w:r>
      <w:r>
        <w:rPr>
          <w:color w:val="231F1F"/>
          <w:w w:val="105"/>
        </w:rPr>
        <w:t>combinada</w:t>
      </w:r>
      <w:r>
        <w:rPr>
          <w:color w:val="231F1F"/>
          <w:spacing w:val="40"/>
          <w:w w:val="105"/>
        </w:rPr>
        <w:t> </w:t>
      </w:r>
      <w:r>
        <w:rPr>
          <w:color w:val="231F1F"/>
          <w:w w:val="105"/>
        </w:rPr>
        <w:t>que</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de</w:t>
      </w:r>
      <w:r>
        <w:rPr>
          <w:color w:val="231F1F"/>
          <w:spacing w:val="40"/>
          <w:w w:val="105"/>
        </w:rPr>
        <w:t> </w:t>
      </w:r>
      <w:r>
        <w:rPr>
          <w:color w:val="231F1F"/>
          <w:w w:val="105"/>
        </w:rPr>
        <w:t>epidural</w:t>
      </w:r>
      <w:r>
        <w:rPr>
          <w:color w:val="231F1F"/>
          <w:spacing w:val="40"/>
          <w:w w:val="105"/>
        </w:rPr>
        <w:t> </w:t>
      </w:r>
      <w:r>
        <w:rPr>
          <w:color w:val="231F1F"/>
          <w:w w:val="105"/>
        </w:rPr>
        <w:t>a</w:t>
      </w:r>
      <w:r>
        <w:rPr>
          <w:color w:val="231F1F"/>
          <w:spacing w:val="40"/>
          <w:w w:val="105"/>
        </w:rPr>
        <w:t> </w:t>
      </w:r>
      <w:r>
        <w:rPr>
          <w:color w:val="231F1F"/>
          <w:w w:val="105"/>
        </w:rPr>
        <w:t>bajas</w:t>
      </w:r>
      <w:r>
        <w:rPr>
          <w:color w:val="231F1F"/>
          <w:spacing w:val="40"/>
          <w:w w:val="105"/>
        </w:rPr>
        <w:t> </w:t>
      </w:r>
      <w:r>
        <w:rPr>
          <w:color w:val="231F1F"/>
          <w:w w:val="105"/>
        </w:rPr>
        <w:t>dosis.</w:t>
      </w:r>
    </w:p>
    <w:p>
      <w:pPr>
        <w:pStyle w:val="BodyText"/>
        <w:spacing w:line="252" w:lineRule="auto" w:before="43"/>
        <w:ind w:left="283" w:right="1" w:firstLine="453"/>
        <w:jc w:val="both"/>
      </w:pPr>
      <w:r>
        <w:rPr>
          <w:color w:val="231F1F"/>
          <w:w w:val="105"/>
        </w:rPr>
        <w:t>Las mujeres que participaron en el ensayo COMET fueron incluidas en un estudio prospectivo de cohortes emparejadas (318) para analizar resultados a largo plazo. No se encontraron diferencias entre los tres grupos de interven- ción en la satisfacción materna con la experiencia del parto a largo plazo, ni</w:t>
      </w:r>
      <w:r>
        <w:rPr>
          <w:color w:val="231F1F"/>
          <w:spacing w:val="40"/>
          <w:w w:val="105"/>
        </w:rPr>
        <w:t> </w:t>
      </w:r>
      <w:r>
        <w:rPr>
          <w:color w:val="231F1F"/>
          <w:w w:val="105"/>
        </w:rPr>
        <w:t>en dolor de espalda a largo plazo, dolor de cabeza o de cuello ni parestesias, aunque</w:t>
      </w:r>
      <w:r>
        <w:rPr>
          <w:color w:val="231F1F"/>
          <w:w w:val="105"/>
        </w:rPr>
        <w:t> las</w:t>
      </w:r>
      <w:r>
        <w:rPr>
          <w:color w:val="231F1F"/>
          <w:w w:val="105"/>
        </w:rPr>
        <w:t> mujeres</w:t>
      </w:r>
      <w:r>
        <w:rPr>
          <w:color w:val="231F1F"/>
          <w:w w:val="105"/>
        </w:rPr>
        <w:t> asignadas</w:t>
      </w:r>
      <w:r>
        <w:rPr>
          <w:color w:val="231F1F"/>
          <w:w w:val="105"/>
        </w:rPr>
        <w:t> a</w:t>
      </w:r>
      <w:r>
        <w:rPr>
          <w:color w:val="231F1F"/>
          <w:w w:val="105"/>
        </w:rPr>
        <w:t> régimenes</w:t>
      </w:r>
      <w:r>
        <w:rPr>
          <w:color w:val="231F1F"/>
          <w:w w:val="105"/>
        </w:rPr>
        <w:t> modernos</w:t>
      </w:r>
      <w:r>
        <w:rPr>
          <w:color w:val="231F1F"/>
          <w:w w:val="105"/>
        </w:rPr>
        <w:t> tuvieron</w:t>
      </w:r>
      <w:r>
        <w:rPr>
          <w:color w:val="231F1F"/>
          <w:w w:val="105"/>
        </w:rPr>
        <w:t> menores</w:t>
      </w:r>
      <w:r>
        <w:rPr>
          <w:color w:val="231F1F"/>
          <w:w w:val="105"/>
        </w:rPr>
        <w:t> tasas de incontinencia urinaria de esfuerzo y menos problemas de control intestinal, comparando con las mujeres del grupo tradicional.</w:t>
      </w:r>
    </w:p>
    <w:p>
      <w:pPr>
        <w:spacing w:line="278" w:lineRule="auto" w:before="104"/>
        <w:ind w:left="512" w:right="494" w:hanging="125"/>
        <w:jc w:val="left"/>
        <w:rPr>
          <w:rFonts w:ascii="Arial MT"/>
          <w:sz w:val="18"/>
        </w:rPr>
      </w:pPr>
      <w:r>
        <w:rPr/>
        <w:br w:type="column"/>
      </w:r>
      <w:r>
        <w:rPr>
          <w:rFonts w:ascii="Arial MT"/>
          <w:color w:val="231F1F"/>
          <w:spacing w:val="-10"/>
          <w:sz w:val="18"/>
        </w:rPr>
        <w:t>ECAs</w:t>
      </w:r>
      <w:r>
        <w:rPr>
          <w:rFonts w:ascii="Arial MT"/>
          <w:color w:val="231F1F"/>
          <w:spacing w:val="-6"/>
          <w:sz w:val="18"/>
        </w:rPr>
        <w:t>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57"/>
        <w:rPr>
          <w:rFonts w:ascii="Arial MT"/>
          <w:sz w:val="18"/>
        </w:rPr>
      </w:pPr>
    </w:p>
    <w:p>
      <w:pPr>
        <w:spacing w:line="278" w:lineRule="auto" w:before="0"/>
        <w:ind w:left="458" w:right="515" w:hanging="24"/>
        <w:jc w:val="left"/>
        <w:rPr>
          <w:rFonts w:ascii="Arial MT"/>
          <w:sz w:val="18"/>
        </w:rPr>
      </w:pPr>
      <w:r>
        <w:rPr>
          <w:rFonts w:ascii="Arial MT"/>
          <w:color w:val="231F1F"/>
          <w:spacing w:val="-6"/>
          <w:sz w:val="18"/>
        </w:rPr>
        <w:t>ECA </w:t>
      </w: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01"/>
        <w:rPr>
          <w:rFonts w:ascii="Arial MT"/>
          <w:sz w:val="18"/>
        </w:rPr>
      </w:pPr>
    </w:p>
    <w:p>
      <w:pPr>
        <w:spacing w:line="273" w:lineRule="auto" w:before="0"/>
        <w:ind w:left="458" w:right="515" w:hanging="24"/>
        <w:jc w:val="left"/>
        <w:rPr>
          <w:rFonts w:ascii="Arial MT"/>
          <w:sz w:val="18"/>
        </w:rPr>
      </w:pPr>
      <w:r>
        <w:rPr>
          <w:rFonts w:ascii="Arial MT"/>
          <w:color w:val="231F1F"/>
          <w:spacing w:val="-6"/>
          <w:sz w:val="18"/>
        </w:rPr>
        <w:t>ECA </w:t>
      </w: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69"/>
        <w:rPr>
          <w:rFonts w:ascii="Arial MT"/>
          <w:sz w:val="18"/>
        </w:rPr>
      </w:pPr>
    </w:p>
    <w:p>
      <w:pPr>
        <w:spacing w:line="278" w:lineRule="auto" w:before="0"/>
        <w:ind w:left="458" w:right="515" w:hanging="24"/>
        <w:jc w:val="left"/>
        <w:rPr>
          <w:rFonts w:ascii="Arial MT"/>
          <w:sz w:val="18"/>
        </w:rPr>
      </w:pPr>
      <w:r>
        <w:rPr>
          <w:rFonts w:ascii="Arial MT"/>
          <w:color w:val="231F1F"/>
          <w:spacing w:val="-6"/>
          <w:sz w:val="18"/>
        </w:rPr>
        <w:t>ECA </w:t>
      </w: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13"/>
        <w:rPr>
          <w:rFonts w:ascii="Arial MT"/>
          <w:sz w:val="18"/>
        </w:rPr>
      </w:pPr>
    </w:p>
    <w:p>
      <w:pPr>
        <w:spacing w:line="278" w:lineRule="auto" w:before="1"/>
        <w:ind w:left="283" w:right="0" w:firstLine="121"/>
        <w:jc w:val="left"/>
        <w:rPr>
          <w:rFonts w:ascii="Arial MT"/>
          <w:sz w:val="18"/>
        </w:rPr>
      </w:pPr>
      <w:r>
        <w:rPr>
          <w:rFonts w:ascii="Arial MT"/>
          <w:color w:val="231F1F"/>
          <w:sz w:val="18"/>
        </w:rPr>
        <w:t>E. de </w:t>
      </w:r>
      <w:r>
        <w:rPr>
          <w:rFonts w:ascii="Arial MT"/>
          <w:color w:val="231F1F"/>
          <w:spacing w:val="-6"/>
          <w:sz w:val="18"/>
        </w:rPr>
        <w:t>Cohorte</w:t>
      </w:r>
    </w:p>
    <w:p>
      <w:pPr>
        <w:spacing w:line="197" w:lineRule="exact" w:before="0"/>
        <w:ind w:left="512" w:right="0" w:firstLine="0"/>
        <w:jc w:val="left"/>
        <w:rPr>
          <w:rFonts w:ascii="Arial MT"/>
          <w:sz w:val="18"/>
        </w:rPr>
      </w:pPr>
      <w:r>
        <w:rPr>
          <w:rFonts w:ascii="Arial MT"/>
          <w:color w:val="231F1F"/>
          <w:spacing w:val="-5"/>
          <w:sz w:val="18"/>
        </w:rPr>
        <w:t>2+</w:t>
      </w:r>
    </w:p>
    <w:p>
      <w:pPr>
        <w:spacing w:after="0" w:line="197" w:lineRule="exact"/>
        <w:jc w:val="left"/>
        <w:rPr>
          <w:rFonts w:ascii="Arial MT"/>
          <w:sz w:val="18"/>
        </w:rPr>
        <w:sectPr>
          <w:pgSz w:w="11900" w:h="16840"/>
          <w:pgMar w:header="0" w:footer="622" w:top="1580" w:bottom="820" w:left="1417" w:right="1559"/>
          <w:cols w:num="2" w:equalWidth="0">
            <w:col w:w="7556" w:space="46"/>
            <w:col w:w="1322"/>
          </w:cols>
        </w:sectPr>
      </w:pPr>
    </w:p>
    <w:p>
      <w:pPr>
        <w:spacing w:before="82"/>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1"/>
          <w:sz w:val="24"/>
        </w:rPr>
        <w:t> </w:t>
      </w:r>
      <w:r>
        <w:rPr>
          <w:rFonts w:ascii="Arial MT" w:hAnsi="Arial MT"/>
          <w:color w:val="231F1F"/>
          <w:sz w:val="24"/>
        </w:rPr>
        <w:t>noviembre</w:t>
      </w:r>
      <w:r>
        <w:rPr>
          <w:rFonts w:ascii="Arial MT" w:hAnsi="Arial MT"/>
          <w:color w:val="231F1F"/>
          <w:spacing w:val="23"/>
          <w:sz w:val="24"/>
        </w:rPr>
        <w:t> </w:t>
      </w:r>
      <w:r>
        <w:rPr>
          <w:rFonts w:ascii="Arial MT" w:hAnsi="Arial MT"/>
          <w:color w:val="231F1F"/>
          <w:spacing w:val="-2"/>
          <w:sz w:val="24"/>
        </w:rPr>
        <w:t>2008)</w:t>
      </w:r>
    </w:p>
    <w:p>
      <w:pPr>
        <w:pStyle w:val="BodyText"/>
        <w:spacing w:line="244" w:lineRule="auto" w:before="214"/>
        <w:ind w:left="283" w:right="1369"/>
        <w:jc w:val="both"/>
      </w:pPr>
      <w:r>
        <w:rPr>
          <w:color w:val="231F1F"/>
          <w:w w:val="105"/>
        </w:rPr>
        <w:t>Se ha seleccionado la RS de Simmons et al.(319), que es la actualización de</w:t>
      </w:r>
      <w:r>
        <w:rPr>
          <w:color w:val="231F1F"/>
          <w:spacing w:val="80"/>
          <w:w w:val="105"/>
        </w:rPr>
        <w:t> </w:t>
      </w:r>
      <w:r>
        <w:rPr>
          <w:color w:val="231F1F"/>
          <w:w w:val="105"/>
        </w:rPr>
        <w:t>la RS (315) ya citada en la Guía NICE (10) y que incluye los otros dos ECAs recogidos</w:t>
      </w:r>
      <w:r>
        <w:rPr>
          <w:color w:val="231F1F"/>
          <w:spacing w:val="-2"/>
          <w:w w:val="105"/>
        </w:rPr>
        <w:t> </w:t>
      </w:r>
      <w:r>
        <w:rPr>
          <w:color w:val="231F1F"/>
          <w:w w:val="105"/>
        </w:rPr>
        <w:t>en</w:t>
      </w:r>
      <w:r>
        <w:rPr>
          <w:color w:val="231F1F"/>
          <w:spacing w:val="-2"/>
          <w:w w:val="105"/>
        </w:rPr>
        <w:t> </w:t>
      </w:r>
      <w:r>
        <w:rPr>
          <w:color w:val="231F1F"/>
          <w:w w:val="105"/>
        </w:rPr>
        <w:t>la</w:t>
      </w:r>
      <w:r>
        <w:rPr>
          <w:color w:val="231F1F"/>
          <w:spacing w:val="-3"/>
          <w:w w:val="105"/>
        </w:rPr>
        <w:t> </w:t>
      </w:r>
      <w:r>
        <w:rPr>
          <w:color w:val="231F1F"/>
          <w:w w:val="105"/>
        </w:rPr>
        <w:t>guía</w:t>
      </w:r>
      <w:r>
        <w:rPr>
          <w:color w:val="231F1F"/>
          <w:spacing w:val="-3"/>
          <w:w w:val="105"/>
        </w:rPr>
        <w:t> </w:t>
      </w:r>
      <w:r>
        <w:rPr>
          <w:color w:val="231F1F"/>
          <w:w w:val="105"/>
        </w:rPr>
        <w:t>(316;317).</w:t>
      </w:r>
      <w:r>
        <w:rPr>
          <w:color w:val="231F1F"/>
          <w:spacing w:val="-1"/>
          <w:w w:val="105"/>
        </w:rPr>
        <w:t> </w:t>
      </w:r>
      <w:r>
        <w:rPr>
          <w:color w:val="231F1F"/>
          <w:w w:val="105"/>
        </w:rPr>
        <w:t>Esta</w:t>
      </w:r>
      <w:r>
        <w:rPr>
          <w:color w:val="231F1F"/>
          <w:spacing w:val="-3"/>
          <w:w w:val="105"/>
        </w:rPr>
        <w:t> </w:t>
      </w:r>
      <w:r>
        <w:rPr>
          <w:color w:val="231F1F"/>
          <w:w w:val="105"/>
        </w:rPr>
        <w:t>nueva</w:t>
      </w:r>
      <w:r>
        <w:rPr>
          <w:color w:val="231F1F"/>
          <w:spacing w:val="-3"/>
          <w:w w:val="105"/>
        </w:rPr>
        <w:t> </w:t>
      </w:r>
      <w:r>
        <w:rPr>
          <w:color w:val="231F1F"/>
          <w:w w:val="105"/>
        </w:rPr>
        <w:t>revisión,</w:t>
      </w:r>
      <w:r>
        <w:rPr>
          <w:color w:val="231F1F"/>
          <w:spacing w:val="-2"/>
          <w:w w:val="105"/>
        </w:rPr>
        <w:t> </w:t>
      </w:r>
      <w:r>
        <w:rPr>
          <w:color w:val="231F1F"/>
          <w:w w:val="105"/>
        </w:rPr>
        <w:t>incluye</w:t>
      </w:r>
      <w:r>
        <w:rPr>
          <w:color w:val="231F1F"/>
          <w:spacing w:val="-3"/>
          <w:w w:val="105"/>
        </w:rPr>
        <w:t> </w:t>
      </w:r>
      <w:r>
        <w:rPr>
          <w:color w:val="231F1F"/>
          <w:w w:val="105"/>
        </w:rPr>
        <w:t>un</w:t>
      </w:r>
      <w:r>
        <w:rPr>
          <w:color w:val="231F1F"/>
          <w:spacing w:val="-2"/>
          <w:w w:val="105"/>
        </w:rPr>
        <w:t> </w:t>
      </w:r>
      <w:r>
        <w:rPr>
          <w:color w:val="231F1F"/>
          <w:w w:val="105"/>
        </w:rPr>
        <w:t>total</w:t>
      </w:r>
      <w:r>
        <w:rPr>
          <w:color w:val="231F1F"/>
          <w:spacing w:val="-3"/>
          <w:w w:val="105"/>
        </w:rPr>
        <w:t> </w:t>
      </w:r>
      <w:r>
        <w:rPr>
          <w:color w:val="231F1F"/>
          <w:w w:val="105"/>
        </w:rPr>
        <w:t>de</w:t>
      </w:r>
      <w:r>
        <w:rPr>
          <w:color w:val="231F1F"/>
          <w:spacing w:val="-3"/>
          <w:w w:val="105"/>
        </w:rPr>
        <w:t> </w:t>
      </w:r>
      <w:r>
        <w:rPr>
          <w:color w:val="231F1F"/>
          <w:w w:val="105"/>
        </w:rPr>
        <w:t>19</w:t>
      </w:r>
      <w:r>
        <w:rPr>
          <w:color w:val="231F1F"/>
          <w:spacing w:val="-2"/>
          <w:w w:val="105"/>
        </w:rPr>
        <w:t> </w:t>
      </w:r>
      <w:r>
        <w:rPr>
          <w:color w:val="231F1F"/>
          <w:w w:val="105"/>
        </w:rPr>
        <w:t>con 2.658 mujeres.</w:t>
      </w:r>
    </w:p>
    <w:p>
      <w:pPr>
        <w:tabs>
          <w:tab w:pos="7725" w:val="left" w:leader="none"/>
          <w:tab w:pos="7948" w:val="left" w:leader="none"/>
          <w:tab w:pos="8069" w:val="left" w:leader="none"/>
        </w:tabs>
        <w:spacing w:line="249" w:lineRule="auto" w:before="91"/>
        <w:ind w:left="283" w:right="350" w:firstLine="453"/>
        <w:jc w:val="left"/>
        <w:rPr>
          <w:sz w:val="22"/>
        </w:rPr>
      </w:pPr>
      <w:r>
        <w:rPr>
          <w:color w:val="231F1F"/>
          <w:sz w:val="22"/>
        </w:rPr>
        <w:t>Cuando se compara la </w:t>
      </w:r>
      <w:r>
        <w:rPr>
          <w:i/>
          <w:color w:val="231F1F"/>
          <w:sz w:val="22"/>
        </w:rPr>
        <w:t>analgesia combinada con la epidural tradicional</w:t>
      </w:r>
      <w:r>
        <w:rPr>
          <w:color w:val="231F1F"/>
          <w:sz w:val="22"/>
        </w:rPr>
        <w:t>,</w:t>
        <w:tab/>
      </w:r>
      <w:r>
        <w:rPr>
          <w:rFonts w:ascii="Arial MT" w:hAnsi="Arial MT"/>
          <w:color w:val="231F1F"/>
          <w:sz w:val="18"/>
        </w:rPr>
        <w:t>RS-MA</w:t>
      </w:r>
      <w:r>
        <w:rPr>
          <w:rFonts w:ascii="Arial MT" w:hAnsi="Arial MT"/>
          <w:color w:val="231F1F"/>
          <w:spacing w:val="-13"/>
          <w:sz w:val="18"/>
        </w:rPr>
        <w:t> </w:t>
      </w:r>
      <w:r>
        <w:rPr>
          <w:rFonts w:ascii="Arial MT" w:hAnsi="Arial MT"/>
          <w:color w:val="231F1F"/>
          <w:sz w:val="18"/>
        </w:rPr>
        <w:t>de </w:t>
      </w:r>
      <w:r>
        <w:rPr>
          <w:color w:val="231F1F"/>
          <w:w w:val="105"/>
          <w:sz w:val="22"/>
        </w:rPr>
        <w:t>la técnica combinada necesitó menos analgesia de rescate: RR 0,31 [IC 95%</w:t>
      </w:r>
      <w:r>
        <w:rPr>
          <w:color w:val="231F1F"/>
          <w:sz w:val="22"/>
        </w:rPr>
        <w:tab/>
        <w:tab/>
      </w:r>
      <w:r>
        <w:rPr>
          <w:rFonts w:ascii="Arial MT" w:hAnsi="Arial MT"/>
          <w:color w:val="231F1F"/>
          <w:spacing w:val="-4"/>
          <w:w w:val="105"/>
          <w:position w:val="4"/>
          <w:sz w:val="18"/>
        </w:rPr>
        <w:t>ECAs </w:t>
      </w:r>
      <w:r>
        <w:rPr>
          <w:color w:val="231F1F"/>
          <w:w w:val="105"/>
          <w:sz w:val="22"/>
        </w:rPr>
        <w:t>0,14 a 0,70], se produjeron menores tasas de retención urinaria RR 0,87 [IC</w:t>
      </w:r>
      <w:r>
        <w:rPr>
          <w:color w:val="231F1F"/>
          <w:sz w:val="22"/>
        </w:rPr>
        <w:tab/>
        <w:tab/>
        <w:tab/>
      </w:r>
      <w:r>
        <w:rPr>
          <w:rFonts w:ascii="Arial MT" w:hAnsi="Arial MT"/>
          <w:color w:val="231F1F"/>
          <w:spacing w:val="-6"/>
          <w:w w:val="105"/>
          <w:position w:val="8"/>
          <w:sz w:val="18"/>
        </w:rPr>
        <w:t>1+ </w:t>
      </w:r>
      <w:r>
        <w:rPr>
          <w:color w:val="231F1F"/>
          <w:w w:val="105"/>
          <w:sz w:val="22"/>
        </w:rPr>
        <w:t>95% 0,80 a 0,95] y se sugería una menor incidencia de parto instrumental: RR</w:t>
      </w:r>
    </w:p>
    <w:p>
      <w:pPr>
        <w:pStyle w:val="BodyText"/>
        <w:spacing w:line="259" w:lineRule="auto" w:before="14"/>
        <w:ind w:left="283" w:right="1489"/>
      </w:pPr>
      <w:r>
        <w:rPr>
          <w:color w:val="231F1F"/>
        </w:rPr>
        <w:t>0,82</w:t>
      </w:r>
      <w:r>
        <w:rPr>
          <w:color w:val="231F1F"/>
          <w:spacing w:val="-3"/>
        </w:rPr>
        <w:t> </w:t>
      </w:r>
      <w:r>
        <w:rPr>
          <w:color w:val="231F1F"/>
        </w:rPr>
        <w:t>[IC</w:t>
      </w:r>
      <w:r>
        <w:rPr>
          <w:color w:val="231F1F"/>
          <w:spacing w:val="-3"/>
        </w:rPr>
        <w:t> </w:t>
      </w:r>
      <w:r>
        <w:rPr>
          <w:color w:val="231F1F"/>
        </w:rPr>
        <w:t>95%</w:t>
      </w:r>
      <w:r>
        <w:rPr>
          <w:color w:val="231F1F"/>
          <w:spacing w:val="-3"/>
        </w:rPr>
        <w:t> </w:t>
      </w:r>
      <w:r>
        <w:rPr>
          <w:color w:val="231F1F"/>
        </w:rPr>
        <w:t>0,67</w:t>
      </w:r>
      <w:r>
        <w:rPr>
          <w:color w:val="231F1F"/>
          <w:spacing w:val="-3"/>
        </w:rPr>
        <w:t> </w:t>
      </w:r>
      <w:r>
        <w:rPr>
          <w:color w:val="231F1F"/>
        </w:rPr>
        <w:t>a</w:t>
      </w:r>
      <w:r>
        <w:rPr>
          <w:color w:val="231F1F"/>
          <w:spacing w:val="-3"/>
        </w:rPr>
        <w:t> </w:t>
      </w:r>
      <w:r>
        <w:rPr>
          <w:color w:val="231F1F"/>
        </w:rPr>
        <w:t>1].</w:t>
      </w:r>
      <w:r>
        <w:rPr>
          <w:color w:val="231F1F"/>
          <w:spacing w:val="-3"/>
        </w:rPr>
        <w:t> </w:t>
      </w:r>
      <w:r>
        <w:rPr>
          <w:color w:val="231F1F"/>
        </w:rPr>
        <w:t>En</w:t>
      </w:r>
      <w:r>
        <w:rPr>
          <w:color w:val="231F1F"/>
          <w:spacing w:val="-3"/>
        </w:rPr>
        <w:t> </w:t>
      </w:r>
      <w:r>
        <w:rPr>
          <w:color w:val="231F1F"/>
        </w:rPr>
        <w:t>cambio</w:t>
      </w:r>
      <w:r>
        <w:rPr>
          <w:color w:val="231F1F"/>
          <w:spacing w:val="-3"/>
        </w:rPr>
        <w:t> </w:t>
      </w:r>
      <w:r>
        <w:rPr>
          <w:color w:val="231F1F"/>
        </w:rPr>
        <w:t>se</w:t>
      </w:r>
      <w:r>
        <w:rPr>
          <w:color w:val="231F1F"/>
          <w:spacing w:val="-3"/>
        </w:rPr>
        <w:t> </w:t>
      </w:r>
      <w:r>
        <w:rPr>
          <w:color w:val="231F1F"/>
        </w:rPr>
        <w:t>asoció</w:t>
      </w:r>
      <w:r>
        <w:rPr>
          <w:color w:val="231F1F"/>
          <w:spacing w:val="-3"/>
        </w:rPr>
        <w:t> </w:t>
      </w:r>
      <w:r>
        <w:rPr>
          <w:color w:val="231F1F"/>
        </w:rPr>
        <w:t>a</w:t>
      </w:r>
      <w:r>
        <w:rPr>
          <w:color w:val="231F1F"/>
          <w:spacing w:val="-3"/>
        </w:rPr>
        <w:t> </w:t>
      </w:r>
      <w:r>
        <w:rPr>
          <w:color w:val="231F1F"/>
        </w:rPr>
        <w:t>mayor</w:t>
      </w:r>
      <w:r>
        <w:rPr>
          <w:color w:val="231F1F"/>
          <w:spacing w:val="-3"/>
        </w:rPr>
        <w:t> </w:t>
      </w:r>
      <w:r>
        <w:rPr>
          <w:color w:val="231F1F"/>
        </w:rPr>
        <w:t>incidencia</w:t>
      </w:r>
      <w:r>
        <w:rPr>
          <w:color w:val="231F1F"/>
          <w:spacing w:val="-3"/>
        </w:rPr>
        <w:t> </w:t>
      </w:r>
      <w:r>
        <w:rPr>
          <w:color w:val="231F1F"/>
        </w:rPr>
        <w:t>de</w:t>
      </w:r>
      <w:r>
        <w:rPr>
          <w:color w:val="231F1F"/>
          <w:spacing w:val="-3"/>
        </w:rPr>
        <w:t> </w:t>
      </w:r>
      <w:r>
        <w:rPr>
          <w:color w:val="231F1F"/>
        </w:rPr>
        <w:t>prurito</w:t>
      </w:r>
      <w:r>
        <w:rPr>
          <w:color w:val="231F1F"/>
          <w:spacing w:val="-3"/>
        </w:rPr>
        <w:t> </w:t>
      </w:r>
      <w:r>
        <w:rPr>
          <w:color w:val="231F1F"/>
        </w:rPr>
        <w:t>RR 1,73</w:t>
      </w:r>
      <w:r>
        <w:rPr>
          <w:color w:val="231F1F"/>
          <w:spacing w:val="40"/>
        </w:rPr>
        <w:t> </w:t>
      </w:r>
      <w:r>
        <w:rPr>
          <w:color w:val="231F1F"/>
        </w:rPr>
        <w:t>[IC</w:t>
      </w:r>
      <w:r>
        <w:rPr>
          <w:color w:val="231F1F"/>
          <w:spacing w:val="40"/>
        </w:rPr>
        <w:t> </w:t>
      </w:r>
      <w:r>
        <w:rPr>
          <w:color w:val="231F1F"/>
        </w:rPr>
        <w:t>95%</w:t>
      </w:r>
      <w:r>
        <w:rPr>
          <w:color w:val="231F1F"/>
          <w:spacing w:val="40"/>
        </w:rPr>
        <w:t> </w:t>
      </w:r>
      <w:r>
        <w:rPr>
          <w:color w:val="231F1F"/>
        </w:rPr>
        <w:t>1,39</w:t>
      </w:r>
      <w:r>
        <w:rPr>
          <w:color w:val="231F1F"/>
          <w:spacing w:val="40"/>
        </w:rPr>
        <w:t> </w:t>
      </w:r>
      <w:r>
        <w:rPr>
          <w:color w:val="231F1F"/>
        </w:rPr>
        <w:t>a</w:t>
      </w:r>
      <w:r>
        <w:rPr>
          <w:color w:val="231F1F"/>
          <w:spacing w:val="40"/>
        </w:rPr>
        <w:t> </w:t>
      </w:r>
      <w:r>
        <w:rPr>
          <w:color w:val="231F1F"/>
        </w:rPr>
        <w:t>2,14].</w:t>
      </w:r>
    </w:p>
    <w:p>
      <w:pPr>
        <w:tabs>
          <w:tab w:pos="7791" w:val="left" w:leader="none"/>
        </w:tabs>
        <w:spacing w:before="97"/>
        <w:ind w:left="736" w:right="0" w:firstLine="0"/>
        <w:jc w:val="left"/>
        <w:rPr>
          <w:rFonts w:ascii="Arial MT"/>
          <w:sz w:val="18"/>
        </w:rPr>
      </w:pPr>
      <w:r>
        <w:rPr>
          <w:color w:val="231F1F"/>
          <w:sz w:val="22"/>
        </w:rPr>
        <w:t>Cuando</w:t>
      </w:r>
      <w:r>
        <w:rPr>
          <w:color w:val="231F1F"/>
          <w:spacing w:val="7"/>
          <w:sz w:val="22"/>
        </w:rPr>
        <w:t> </w:t>
      </w:r>
      <w:r>
        <w:rPr>
          <w:color w:val="231F1F"/>
          <w:sz w:val="22"/>
        </w:rPr>
        <w:t>se</w:t>
      </w:r>
      <w:r>
        <w:rPr>
          <w:color w:val="231F1F"/>
          <w:spacing w:val="9"/>
          <w:sz w:val="22"/>
        </w:rPr>
        <w:t> </w:t>
      </w:r>
      <w:r>
        <w:rPr>
          <w:color w:val="231F1F"/>
          <w:sz w:val="22"/>
        </w:rPr>
        <w:t>compara</w:t>
      </w:r>
      <w:r>
        <w:rPr>
          <w:color w:val="231F1F"/>
          <w:spacing w:val="9"/>
          <w:sz w:val="22"/>
        </w:rPr>
        <w:t> </w:t>
      </w:r>
      <w:r>
        <w:rPr>
          <w:color w:val="231F1F"/>
          <w:sz w:val="22"/>
        </w:rPr>
        <w:t>la</w:t>
      </w:r>
      <w:r>
        <w:rPr>
          <w:color w:val="231F1F"/>
          <w:spacing w:val="7"/>
          <w:sz w:val="22"/>
        </w:rPr>
        <w:t> </w:t>
      </w:r>
      <w:r>
        <w:rPr>
          <w:i/>
          <w:color w:val="231F1F"/>
          <w:sz w:val="22"/>
        </w:rPr>
        <w:t>analgesia</w:t>
      </w:r>
      <w:r>
        <w:rPr>
          <w:i/>
          <w:color w:val="231F1F"/>
          <w:spacing w:val="9"/>
          <w:sz w:val="22"/>
        </w:rPr>
        <w:t> </w:t>
      </w:r>
      <w:r>
        <w:rPr>
          <w:i/>
          <w:color w:val="231F1F"/>
          <w:sz w:val="22"/>
        </w:rPr>
        <w:t>combinada</w:t>
      </w:r>
      <w:r>
        <w:rPr>
          <w:i/>
          <w:color w:val="231F1F"/>
          <w:spacing w:val="9"/>
          <w:sz w:val="22"/>
        </w:rPr>
        <w:t> </w:t>
      </w:r>
      <w:r>
        <w:rPr>
          <w:i/>
          <w:color w:val="231F1F"/>
          <w:sz w:val="22"/>
        </w:rPr>
        <w:t>con</w:t>
      </w:r>
      <w:r>
        <w:rPr>
          <w:i/>
          <w:color w:val="231F1F"/>
          <w:spacing w:val="9"/>
          <w:sz w:val="22"/>
        </w:rPr>
        <w:t> </w:t>
      </w:r>
      <w:r>
        <w:rPr>
          <w:i/>
          <w:color w:val="231F1F"/>
          <w:sz w:val="22"/>
        </w:rPr>
        <w:t>epidural</w:t>
      </w:r>
      <w:r>
        <w:rPr>
          <w:i/>
          <w:color w:val="231F1F"/>
          <w:spacing w:val="7"/>
          <w:sz w:val="22"/>
        </w:rPr>
        <w:t> </w:t>
      </w:r>
      <w:r>
        <w:rPr>
          <w:i/>
          <w:color w:val="231F1F"/>
          <w:sz w:val="22"/>
        </w:rPr>
        <w:t>a</w:t>
      </w:r>
      <w:r>
        <w:rPr>
          <w:i/>
          <w:color w:val="231F1F"/>
          <w:spacing w:val="9"/>
          <w:sz w:val="22"/>
        </w:rPr>
        <w:t> </w:t>
      </w:r>
      <w:r>
        <w:rPr>
          <w:i/>
          <w:color w:val="231F1F"/>
          <w:sz w:val="22"/>
        </w:rPr>
        <w:t>dosis</w:t>
      </w:r>
      <w:r>
        <w:rPr>
          <w:i/>
          <w:color w:val="231F1F"/>
          <w:spacing w:val="9"/>
          <w:sz w:val="22"/>
        </w:rPr>
        <w:t> </w:t>
      </w:r>
      <w:r>
        <w:rPr>
          <w:i/>
          <w:color w:val="231F1F"/>
          <w:sz w:val="22"/>
        </w:rPr>
        <w:t>bajas</w:t>
      </w:r>
      <w:r>
        <w:rPr>
          <w:color w:val="231F1F"/>
          <w:sz w:val="22"/>
        </w:rPr>
        <w:t>,</w:t>
      </w:r>
      <w:r>
        <w:rPr>
          <w:color w:val="231F1F"/>
          <w:spacing w:val="9"/>
          <w:sz w:val="22"/>
        </w:rPr>
        <w:t> </w:t>
      </w:r>
      <w:r>
        <w:rPr>
          <w:color w:val="231F1F"/>
          <w:spacing w:val="-5"/>
          <w:sz w:val="22"/>
        </w:rPr>
        <w:t>la</w:t>
      </w:r>
      <w:r>
        <w:rPr>
          <w:color w:val="231F1F"/>
          <w:sz w:val="22"/>
        </w:rPr>
        <w:tab/>
      </w:r>
      <w:r>
        <w:rPr>
          <w:rFonts w:ascii="Arial MT"/>
          <w:color w:val="231F1F"/>
          <w:sz w:val="18"/>
        </w:rPr>
        <w:t>RS-MA</w:t>
      </w:r>
      <w:r>
        <w:rPr>
          <w:rFonts w:ascii="Arial MT"/>
          <w:color w:val="231F1F"/>
          <w:spacing w:val="3"/>
          <w:sz w:val="18"/>
        </w:rPr>
        <w:t> </w:t>
      </w:r>
      <w:r>
        <w:rPr>
          <w:rFonts w:ascii="Arial MT"/>
          <w:color w:val="231F1F"/>
          <w:spacing w:val="-5"/>
          <w:sz w:val="18"/>
        </w:rPr>
        <w:t>de</w:t>
      </w:r>
    </w:p>
    <w:p>
      <w:pPr>
        <w:pStyle w:val="BodyText"/>
        <w:tabs>
          <w:tab w:pos="7989" w:val="left" w:leader="none"/>
        </w:tabs>
        <w:spacing w:before="3"/>
        <w:ind w:left="283"/>
        <w:rPr>
          <w:rFonts w:ascii="Arial MT" w:hAnsi="Arial MT"/>
          <w:position w:val="4"/>
          <w:sz w:val="18"/>
        </w:rPr>
      </w:pPr>
      <w:r>
        <w:rPr>
          <w:color w:val="231F1F"/>
          <w:w w:val="105"/>
        </w:rPr>
        <w:t>combinada</w:t>
      </w:r>
      <w:r>
        <w:rPr>
          <w:color w:val="231F1F"/>
          <w:spacing w:val="-13"/>
          <w:w w:val="105"/>
        </w:rPr>
        <w:t> </w:t>
      </w:r>
      <w:r>
        <w:rPr>
          <w:color w:val="231F1F"/>
          <w:w w:val="105"/>
        </w:rPr>
        <w:t>muestra</w:t>
      </w:r>
      <w:r>
        <w:rPr>
          <w:color w:val="231F1F"/>
          <w:spacing w:val="-13"/>
          <w:w w:val="105"/>
        </w:rPr>
        <w:t> </w:t>
      </w:r>
      <w:r>
        <w:rPr>
          <w:color w:val="231F1F"/>
          <w:w w:val="105"/>
        </w:rPr>
        <w:t>un</w:t>
      </w:r>
      <w:r>
        <w:rPr>
          <w:color w:val="231F1F"/>
          <w:spacing w:val="-11"/>
          <w:w w:val="105"/>
        </w:rPr>
        <w:t> </w:t>
      </w:r>
      <w:r>
        <w:rPr>
          <w:color w:val="231F1F"/>
          <w:w w:val="105"/>
        </w:rPr>
        <w:t>inicio</w:t>
      </w:r>
      <w:r>
        <w:rPr>
          <w:color w:val="231F1F"/>
          <w:spacing w:val="-12"/>
          <w:w w:val="105"/>
        </w:rPr>
        <w:t> </w:t>
      </w:r>
      <w:r>
        <w:rPr>
          <w:color w:val="231F1F"/>
          <w:w w:val="105"/>
        </w:rPr>
        <w:t>de</w:t>
      </w:r>
      <w:r>
        <w:rPr>
          <w:color w:val="231F1F"/>
          <w:spacing w:val="-12"/>
          <w:w w:val="105"/>
        </w:rPr>
        <w:t> </w:t>
      </w:r>
      <w:r>
        <w:rPr>
          <w:color w:val="231F1F"/>
          <w:w w:val="105"/>
        </w:rPr>
        <w:t>analgesia</w:t>
      </w:r>
      <w:r>
        <w:rPr>
          <w:color w:val="231F1F"/>
          <w:spacing w:val="-12"/>
          <w:w w:val="105"/>
        </w:rPr>
        <w:t> </w:t>
      </w:r>
      <w:r>
        <w:rPr>
          <w:color w:val="231F1F"/>
          <w:w w:val="105"/>
        </w:rPr>
        <w:t>algo</w:t>
      </w:r>
      <w:r>
        <w:rPr>
          <w:color w:val="231F1F"/>
          <w:spacing w:val="-11"/>
          <w:w w:val="105"/>
        </w:rPr>
        <w:t> </w:t>
      </w:r>
      <w:r>
        <w:rPr>
          <w:color w:val="231F1F"/>
          <w:w w:val="105"/>
        </w:rPr>
        <w:t>más</w:t>
      </w:r>
      <w:r>
        <w:rPr>
          <w:color w:val="231F1F"/>
          <w:spacing w:val="-11"/>
          <w:w w:val="105"/>
        </w:rPr>
        <w:t> </w:t>
      </w:r>
      <w:r>
        <w:rPr>
          <w:color w:val="231F1F"/>
          <w:w w:val="105"/>
        </w:rPr>
        <w:t>rápido</w:t>
      </w:r>
      <w:r>
        <w:rPr>
          <w:color w:val="231F1F"/>
          <w:spacing w:val="-12"/>
          <w:w w:val="105"/>
        </w:rPr>
        <w:t> </w:t>
      </w:r>
      <w:r>
        <w:rPr>
          <w:color w:val="231F1F"/>
          <w:w w:val="105"/>
        </w:rPr>
        <w:t>DM</w:t>
      </w:r>
      <w:r>
        <w:rPr>
          <w:color w:val="231F1F"/>
          <w:spacing w:val="-10"/>
          <w:w w:val="105"/>
        </w:rPr>
        <w:t> </w:t>
      </w:r>
      <w:r>
        <w:rPr>
          <w:color w:val="231F1F"/>
          <w:w w:val="105"/>
        </w:rPr>
        <w:t>-5,59</w:t>
      </w:r>
      <w:r>
        <w:rPr>
          <w:color w:val="231F1F"/>
          <w:spacing w:val="-13"/>
          <w:w w:val="105"/>
        </w:rPr>
        <w:t> </w:t>
      </w:r>
      <w:r>
        <w:rPr>
          <w:color w:val="231F1F"/>
          <w:w w:val="105"/>
        </w:rPr>
        <w:t>[IC</w:t>
      </w:r>
      <w:r>
        <w:rPr>
          <w:color w:val="231F1F"/>
          <w:spacing w:val="-12"/>
          <w:w w:val="105"/>
        </w:rPr>
        <w:t> </w:t>
      </w:r>
      <w:r>
        <w:rPr>
          <w:color w:val="231F1F"/>
          <w:spacing w:val="-5"/>
          <w:w w:val="105"/>
        </w:rPr>
        <w:t>95%</w:t>
      </w:r>
      <w:r>
        <w:rPr>
          <w:color w:val="231F1F"/>
        </w:rPr>
        <w:tab/>
      </w:r>
      <w:r>
        <w:rPr>
          <w:rFonts w:ascii="Arial MT" w:hAnsi="Arial MT"/>
          <w:color w:val="231F1F"/>
          <w:spacing w:val="-4"/>
          <w:w w:val="105"/>
          <w:position w:val="4"/>
          <w:sz w:val="18"/>
        </w:rPr>
        <w:t>ECAs</w:t>
      </w:r>
    </w:p>
    <w:p>
      <w:pPr>
        <w:pStyle w:val="BodyText"/>
        <w:tabs>
          <w:tab w:pos="8114" w:val="left" w:leader="none"/>
        </w:tabs>
        <w:spacing w:line="244" w:lineRule="auto" w:before="11"/>
        <w:ind w:left="283" w:right="611"/>
      </w:pPr>
      <w:r>
        <w:rPr>
          <w:color w:val="231F1F"/>
          <w:w w:val="105"/>
        </w:rPr>
        <w:t>-6,59 a -4,58] con mayor número de mujeres con una analgesia efectiva a los</w:t>
      </w:r>
      <w:r>
        <w:rPr>
          <w:color w:val="231F1F"/>
        </w:rPr>
        <w:tab/>
      </w:r>
      <w:r>
        <w:rPr>
          <w:rFonts w:ascii="Arial MT" w:hAnsi="Arial MT"/>
          <w:color w:val="231F1F"/>
          <w:spacing w:val="-14"/>
          <w:w w:val="105"/>
          <w:position w:val="8"/>
          <w:sz w:val="18"/>
        </w:rPr>
        <w:t>1+</w:t>
      </w:r>
      <w:r>
        <w:rPr>
          <w:rFonts w:ascii="Arial MT" w:hAnsi="Arial MT"/>
          <w:color w:val="231F1F"/>
          <w:w w:val="105"/>
          <w:position w:val="8"/>
          <w:sz w:val="18"/>
        </w:rPr>
        <w:t> </w:t>
      </w:r>
      <w:r>
        <w:rPr>
          <w:color w:val="231F1F"/>
          <w:w w:val="105"/>
        </w:rPr>
        <w:t>diez</w:t>
      </w:r>
      <w:r>
        <w:rPr>
          <w:color w:val="231F1F"/>
          <w:spacing w:val="34"/>
          <w:w w:val="105"/>
        </w:rPr>
        <w:t> </w:t>
      </w:r>
      <w:r>
        <w:rPr>
          <w:color w:val="231F1F"/>
          <w:w w:val="105"/>
        </w:rPr>
        <w:t>minutos</w:t>
      </w:r>
      <w:r>
        <w:rPr>
          <w:color w:val="231F1F"/>
          <w:spacing w:val="34"/>
          <w:w w:val="105"/>
        </w:rPr>
        <w:t> </w:t>
      </w:r>
      <w:r>
        <w:rPr>
          <w:color w:val="231F1F"/>
          <w:w w:val="105"/>
        </w:rPr>
        <w:t>tras</w:t>
      </w:r>
      <w:r>
        <w:rPr>
          <w:color w:val="231F1F"/>
          <w:spacing w:val="34"/>
          <w:w w:val="105"/>
        </w:rPr>
        <w:t> </w:t>
      </w:r>
      <w:r>
        <w:rPr>
          <w:color w:val="231F1F"/>
          <w:w w:val="105"/>
        </w:rPr>
        <w:t>la</w:t>
      </w:r>
      <w:r>
        <w:rPr>
          <w:color w:val="231F1F"/>
          <w:spacing w:val="36"/>
          <w:w w:val="105"/>
        </w:rPr>
        <w:t> </w:t>
      </w:r>
      <w:r>
        <w:rPr>
          <w:color w:val="231F1F"/>
          <w:w w:val="105"/>
        </w:rPr>
        <w:t>primera</w:t>
      </w:r>
      <w:r>
        <w:rPr>
          <w:color w:val="231F1F"/>
          <w:spacing w:val="34"/>
          <w:w w:val="105"/>
        </w:rPr>
        <w:t> </w:t>
      </w:r>
      <w:r>
        <w:rPr>
          <w:color w:val="231F1F"/>
          <w:w w:val="105"/>
        </w:rPr>
        <w:t>dosis</w:t>
      </w:r>
      <w:r>
        <w:rPr>
          <w:color w:val="231F1F"/>
          <w:spacing w:val="34"/>
          <w:w w:val="105"/>
        </w:rPr>
        <w:t> </w:t>
      </w:r>
      <w:r>
        <w:rPr>
          <w:color w:val="231F1F"/>
          <w:w w:val="105"/>
        </w:rPr>
        <w:t>RR</w:t>
      </w:r>
      <w:r>
        <w:rPr>
          <w:color w:val="231F1F"/>
          <w:spacing w:val="36"/>
          <w:w w:val="105"/>
        </w:rPr>
        <w:t> </w:t>
      </w:r>
      <w:r>
        <w:rPr>
          <w:color w:val="231F1F"/>
          <w:w w:val="105"/>
        </w:rPr>
        <w:t>1,94</w:t>
      </w:r>
      <w:r>
        <w:rPr>
          <w:color w:val="231F1F"/>
          <w:spacing w:val="35"/>
          <w:w w:val="105"/>
        </w:rPr>
        <w:t> </w:t>
      </w:r>
      <w:r>
        <w:rPr>
          <w:color w:val="231F1F"/>
          <w:w w:val="105"/>
        </w:rPr>
        <w:t>[IC</w:t>
      </w:r>
      <w:r>
        <w:rPr>
          <w:color w:val="231F1F"/>
          <w:spacing w:val="36"/>
          <w:w w:val="105"/>
        </w:rPr>
        <w:t> </w:t>
      </w:r>
      <w:r>
        <w:rPr>
          <w:color w:val="231F1F"/>
          <w:w w:val="105"/>
        </w:rPr>
        <w:t>95%</w:t>
      </w:r>
      <w:r>
        <w:rPr>
          <w:color w:val="231F1F"/>
          <w:spacing w:val="36"/>
          <w:w w:val="105"/>
        </w:rPr>
        <w:t> </w:t>
      </w:r>
      <w:r>
        <w:rPr>
          <w:color w:val="231F1F"/>
          <w:w w:val="105"/>
        </w:rPr>
        <w:t>1,49</w:t>
      </w:r>
      <w:r>
        <w:rPr>
          <w:color w:val="231F1F"/>
          <w:spacing w:val="35"/>
          <w:w w:val="105"/>
        </w:rPr>
        <w:t> </w:t>
      </w:r>
      <w:r>
        <w:rPr>
          <w:color w:val="231F1F"/>
          <w:w w:val="105"/>
        </w:rPr>
        <w:t>a</w:t>
      </w:r>
      <w:r>
        <w:rPr>
          <w:color w:val="231F1F"/>
          <w:spacing w:val="35"/>
          <w:w w:val="105"/>
        </w:rPr>
        <w:t> </w:t>
      </w:r>
      <w:r>
        <w:rPr>
          <w:color w:val="231F1F"/>
          <w:w w:val="105"/>
        </w:rPr>
        <w:t>2,54]</w:t>
      </w:r>
      <w:r>
        <w:rPr>
          <w:color w:val="231F1F"/>
          <w:spacing w:val="34"/>
          <w:w w:val="105"/>
        </w:rPr>
        <w:t> </w:t>
      </w:r>
      <w:r>
        <w:rPr>
          <w:color w:val="231F1F"/>
          <w:w w:val="105"/>
        </w:rPr>
        <w:t>y</w:t>
      </w:r>
      <w:r>
        <w:rPr>
          <w:color w:val="231F1F"/>
          <w:spacing w:val="36"/>
          <w:w w:val="105"/>
        </w:rPr>
        <w:t> </w:t>
      </w:r>
      <w:r>
        <w:rPr>
          <w:color w:val="231F1F"/>
          <w:w w:val="105"/>
        </w:rPr>
        <w:t>tiene</w:t>
      </w:r>
      <w:r>
        <w:rPr>
          <w:color w:val="231F1F"/>
          <w:spacing w:val="34"/>
          <w:w w:val="105"/>
        </w:rPr>
        <w:t> </w:t>
      </w:r>
      <w:r>
        <w:rPr>
          <w:color w:val="231F1F"/>
          <w:w w:val="105"/>
        </w:rPr>
        <w:t>tasas mayores de prurito RR 1,62 [IC 95% 1,34 a 1,97], no habiendo diferencias en</w:t>
      </w:r>
    </w:p>
    <w:p>
      <w:pPr>
        <w:pStyle w:val="BodyText"/>
        <w:spacing w:line="244" w:lineRule="auto"/>
        <w:ind w:left="283" w:right="1489"/>
      </w:pPr>
      <w:r>
        <w:rPr>
          <w:color w:val="231F1F"/>
        </w:rPr>
        <w:t>la</w:t>
      </w:r>
      <w:r>
        <w:rPr>
          <w:color w:val="231F1F"/>
          <w:spacing w:val="36"/>
        </w:rPr>
        <w:t> </w:t>
      </w:r>
      <w:r>
        <w:rPr>
          <w:color w:val="231F1F"/>
        </w:rPr>
        <w:t>capacidad</w:t>
      </w:r>
      <w:r>
        <w:rPr>
          <w:color w:val="231F1F"/>
          <w:spacing w:val="36"/>
        </w:rPr>
        <w:t> </w:t>
      </w:r>
      <w:r>
        <w:rPr>
          <w:color w:val="231F1F"/>
        </w:rPr>
        <w:t>de</w:t>
      </w:r>
      <w:r>
        <w:rPr>
          <w:color w:val="231F1F"/>
          <w:spacing w:val="36"/>
        </w:rPr>
        <w:t> </w:t>
      </w:r>
      <w:r>
        <w:rPr>
          <w:color w:val="231F1F"/>
        </w:rPr>
        <w:t>movilización,</w:t>
      </w:r>
      <w:r>
        <w:rPr>
          <w:color w:val="231F1F"/>
          <w:spacing w:val="36"/>
        </w:rPr>
        <w:t> </w:t>
      </w:r>
      <w:r>
        <w:rPr>
          <w:color w:val="231F1F"/>
        </w:rPr>
        <w:t>la</w:t>
      </w:r>
      <w:r>
        <w:rPr>
          <w:color w:val="231F1F"/>
          <w:spacing w:val="36"/>
        </w:rPr>
        <w:t> </w:t>
      </w:r>
      <w:r>
        <w:rPr>
          <w:color w:val="231F1F"/>
        </w:rPr>
        <w:t>satisfacción</w:t>
      </w:r>
      <w:r>
        <w:rPr>
          <w:color w:val="231F1F"/>
          <w:spacing w:val="32"/>
        </w:rPr>
        <w:t> </w:t>
      </w:r>
      <w:r>
        <w:rPr>
          <w:color w:val="231F1F"/>
        </w:rPr>
        <w:t>materna,</w:t>
      </w:r>
      <w:r>
        <w:rPr>
          <w:color w:val="231F1F"/>
          <w:spacing w:val="36"/>
        </w:rPr>
        <w:t> </w:t>
      </w:r>
      <w:r>
        <w:rPr>
          <w:color w:val="231F1F"/>
        </w:rPr>
        <w:t>el</w:t>
      </w:r>
      <w:r>
        <w:rPr>
          <w:color w:val="231F1F"/>
          <w:spacing w:val="36"/>
        </w:rPr>
        <w:t> </w:t>
      </w:r>
      <w:r>
        <w:rPr>
          <w:color w:val="231F1F"/>
        </w:rPr>
        <w:t>resultado</w:t>
      </w:r>
      <w:r>
        <w:rPr>
          <w:color w:val="231F1F"/>
          <w:spacing w:val="36"/>
        </w:rPr>
        <w:t> </w:t>
      </w:r>
      <w:r>
        <w:rPr>
          <w:color w:val="231F1F"/>
        </w:rPr>
        <w:t>obstétrico </w:t>
      </w:r>
      <w:r>
        <w:rPr>
          <w:color w:val="231F1F"/>
          <w:w w:val="110"/>
        </w:rPr>
        <w:t>o los resultados neonatales.</w:t>
      </w:r>
    </w:p>
    <w:p>
      <w:pPr>
        <w:pStyle w:val="BodyText"/>
        <w:spacing w:line="244" w:lineRule="auto" w:before="73"/>
        <w:ind w:left="283" w:right="1369" w:firstLine="453"/>
        <w:jc w:val="both"/>
      </w:pPr>
      <w:r>
        <w:rPr>
          <w:color w:val="231F1F"/>
          <w:w w:val="105"/>
        </w:rPr>
        <w:t>Concluye que las técnicas de analgesia combinada y epidural tradicional y a dosis bajas han demostrado producir un alivio efectivo del dolor durante</w:t>
      </w:r>
      <w:r>
        <w:rPr>
          <w:color w:val="231F1F"/>
          <w:spacing w:val="80"/>
          <w:w w:val="105"/>
        </w:rPr>
        <w:t> </w:t>
      </w:r>
      <w:r>
        <w:rPr>
          <w:color w:val="231F1F"/>
          <w:w w:val="105"/>
        </w:rPr>
        <w:t>el trabajo de parto.</w:t>
      </w:r>
    </w:p>
    <w:p>
      <w:pPr>
        <w:pStyle w:val="BodyText"/>
        <w:spacing w:before="157"/>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804" w:hRule="atLeast"/>
        </w:trPr>
        <w:tc>
          <w:tcPr>
            <w:tcW w:w="7373" w:type="dxa"/>
          </w:tcPr>
          <w:p>
            <w:pPr>
              <w:pStyle w:val="TableParagraph"/>
              <w:spacing w:line="252" w:lineRule="auto" w:before="44"/>
              <w:ind w:right="82"/>
              <w:jc w:val="both"/>
              <w:rPr>
                <w:sz w:val="22"/>
              </w:rPr>
            </w:pPr>
            <w:r>
              <w:rPr>
                <w:color w:val="231F1F"/>
                <w:w w:val="105"/>
                <w:sz w:val="22"/>
              </w:rPr>
              <w:t>La</w:t>
            </w:r>
            <w:r>
              <w:rPr>
                <w:color w:val="231F1F"/>
                <w:w w:val="105"/>
                <w:sz w:val="22"/>
              </w:rPr>
              <w:t> analgesia</w:t>
            </w:r>
            <w:r>
              <w:rPr>
                <w:color w:val="231F1F"/>
                <w:w w:val="105"/>
                <w:sz w:val="22"/>
              </w:rPr>
              <w:t> combinada</w:t>
            </w:r>
            <w:r>
              <w:rPr>
                <w:color w:val="231F1F"/>
                <w:w w:val="105"/>
                <w:sz w:val="22"/>
              </w:rPr>
              <w:t> (intradural-epidural)</w:t>
            </w:r>
            <w:r>
              <w:rPr>
                <w:color w:val="231F1F"/>
                <w:w w:val="105"/>
                <w:sz w:val="22"/>
              </w:rPr>
              <w:t> provee</w:t>
            </w:r>
            <w:r>
              <w:rPr>
                <w:color w:val="231F1F"/>
                <w:w w:val="105"/>
                <w:sz w:val="22"/>
              </w:rPr>
              <w:t> un</w:t>
            </w:r>
            <w:r>
              <w:rPr>
                <w:color w:val="231F1F"/>
                <w:w w:val="105"/>
                <w:sz w:val="22"/>
              </w:rPr>
              <w:t> comienzo</w:t>
            </w:r>
            <w:r>
              <w:rPr>
                <w:color w:val="231F1F"/>
                <w:w w:val="105"/>
                <w:sz w:val="22"/>
              </w:rPr>
              <w:t> más</w:t>
            </w:r>
            <w:r>
              <w:rPr>
                <w:color w:val="231F1F"/>
                <w:w w:val="105"/>
                <w:sz w:val="22"/>
              </w:rPr>
              <w:t> rá- pido</w:t>
            </w:r>
            <w:r>
              <w:rPr>
                <w:color w:val="231F1F"/>
                <w:w w:val="105"/>
                <w:sz w:val="22"/>
              </w:rPr>
              <w:t> de</w:t>
            </w:r>
            <w:r>
              <w:rPr>
                <w:color w:val="231F1F"/>
                <w:w w:val="105"/>
                <w:sz w:val="22"/>
              </w:rPr>
              <w:t> la</w:t>
            </w:r>
            <w:r>
              <w:rPr>
                <w:color w:val="231F1F"/>
                <w:w w:val="105"/>
                <w:sz w:val="22"/>
              </w:rPr>
              <w:t> analgesia</w:t>
            </w:r>
            <w:r>
              <w:rPr>
                <w:color w:val="231F1F"/>
                <w:w w:val="105"/>
                <w:sz w:val="22"/>
              </w:rPr>
              <w:t> que</w:t>
            </w:r>
            <w:r>
              <w:rPr>
                <w:color w:val="231F1F"/>
                <w:w w:val="105"/>
                <w:sz w:val="22"/>
              </w:rPr>
              <w:t> la</w:t>
            </w:r>
            <w:r>
              <w:rPr>
                <w:color w:val="231F1F"/>
                <w:w w:val="105"/>
                <w:sz w:val="22"/>
              </w:rPr>
              <w:t> epidural</w:t>
            </w:r>
            <w:r>
              <w:rPr>
                <w:color w:val="231F1F"/>
                <w:w w:val="105"/>
                <w:sz w:val="22"/>
              </w:rPr>
              <w:t> sola.</w:t>
            </w:r>
            <w:r>
              <w:rPr>
                <w:color w:val="231F1F"/>
                <w:w w:val="105"/>
                <w:sz w:val="22"/>
              </w:rPr>
              <w:t> Aunque</w:t>
            </w:r>
            <w:r>
              <w:rPr>
                <w:color w:val="231F1F"/>
                <w:w w:val="105"/>
                <w:sz w:val="22"/>
              </w:rPr>
              <w:t> una</w:t>
            </w:r>
            <w:r>
              <w:rPr>
                <w:color w:val="231F1F"/>
                <w:w w:val="105"/>
                <w:sz w:val="22"/>
              </w:rPr>
              <w:t> vez</w:t>
            </w:r>
            <w:r>
              <w:rPr>
                <w:color w:val="231F1F"/>
                <w:w w:val="105"/>
                <w:sz w:val="22"/>
              </w:rPr>
              <w:t> establecida</w:t>
            </w:r>
            <w:r>
              <w:rPr>
                <w:color w:val="231F1F"/>
                <w:w w:val="105"/>
                <w:sz w:val="22"/>
              </w:rPr>
              <w:t> la analgesia,</w:t>
            </w:r>
            <w:r>
              <w:rPr>
                <w:color w:val="231F1F"/>
                <w:spacing w:val="-6"/>
                <w:w w:val="105"/>
                <w:sz w:val="22"/>
              </w:rPr>
              <w:t> </w:t>
            </w:r>
            <w:r>
              <w:rPr>
                <w:color w:val="231F1F"/>
                <w:w w:val="105"/>
                <w:sz w:val="22"/>
              </w:rPr>
              <w:t>las</w:t>
            </w:r>
            <w:r>
              <w:rPr>
                <w:color w:val="231F1F"/>
                <w:spacing w:val="-6"/>
                <w:w w:val="105"/>
                <w:sz w:val="22"/>
              </w:rPr>
              <w:t> </w:t>
            </w:r>
            <w:r>
              <w:rPr>
                <w:color w:val="231F1F"/>
                <w:w w:val="105"/>
                <w:sz w:val="22"/>
              </w:rPr>
              <w:t>dos</w:t>
            </w:r>
            <w:r>
              <w:rPr>
                <w:color w:val="231F1F"/>
                <w:spacing w:val="-6"/>
                <w:w w:val="105"/>
                <w:sz w:val="22"/>
              </w:rPr>
              <w:t> </w:t>
            </w:r>
            <w:r>
              <w:rPr>
                <w:color w:val="231F1F"/>
                <w:w w:val="105"/>
                <w:sz w:val="22"/>
              </w:rPr>
              <w:t>técnicas</w:t>
            </w:r>
            <w:r>
              <w:rPr>
                <w:color w:val="231F1F"/>
                <w:spacing w:val="-6"/>
                <w:w w:val="105"/>
                <w:sz w:val="22"/>
              </w:rPr>
              <w:t> </w:t>
            </w:r>
            <w:r>
              <w:rPr>
                <w:color w:val="231F1F"/>
                <w:w w:val="105"/>
                <w:sz w:val="22"/>
              </w:rPr>
              <w:t>son</w:t>
            </w:r>
            <w:r>
              <w:rPr>
                <w:color w:val="231F1F"/>
                <w:spacing w:val="-6"/>
                <w:w w:val="105"/>
                <w:sz w:val="22"/>
              </w:rPr>
              <w:t> </w:t>
            </w:r>
            <w:r>
              <w:rPr>
                <w:color w:val="231F1F"/>
                <w:w w:val="105"/>
                <w:sz w:val="22"/>
              </w:rPr>
              <w:t>igualmente</w:t>
            </w:r>
            <w:r>
              <w:rPr>
                <w:color w:val="231F1F"/>
                <w:spacing w:val="-6"/>
                <w:w w:val="105"/>
                <w:sz w:val="22"/>
              </w:rPr>
              <w:t> </w:t>
            </w:r>
            <w:r>
              <w:rPr>
                <w:color w:val="231F1F"/>
                <w:w w:val="105"/>
                <w:sz w:val="22"/>
              </w:rPr>
              <w:t>efectivas.</w:t>
            </w:r>
            <w:r>
              <w:rPr>
                <w:color w:val="231F1F"/>
                <w:spacing w:val="-6"/>
                <w:w w:val="105"/>
                <w:sz w:val="22"/>
              </w:rPr>
              <w:t> </w:t>
            </w:r>
            <w:r>
              <w:rPr>
                <w:color w:val="231F1F"/>
                <w:w w:val="105"/>
                <w:sz w:val="22"/>
              </w:rPr>
              <w:t>Las</w:t>
            </w:r>
            <w:r>
              <w:rPr>
                <w:color w:val="231F1F"/>
                <w:spacing w:val="-6"/>
                <w:w w:val="105"/>
                <w:sz w:val="22"/>
              </w:rPr>
              <w:t> </w:t>
            </w:r>
            <w:r>
              <w:rPr>
                <w:color w:val="231F1F"/>
                <w:w w:val="105"/>
                <w:sz w:val="22"/>
              </w:rPr>
              <w:t>mujeres</w:t>
            </w:r>
            <w:r>
              <w:rPr>
                <w:color w:val="231F1F"/>
                <w:spacing w:val="-6"/>
                <w:w w:val="105"/>
                <w:sz w:val="22"/>
              </w:rPr>
              <w:t> </w:t>
            </w:r>
            <w:r>
              <w:rPr>
                <w:color w:val="231F1F"/>
                <w:w w:val="105"/>
                <w:sz w:val="22"/>
              </w:rPr>
              <w:t>estaban</w:t>
            </w:r>
            <w:r>
              <w:rPr>
                <w:color w:val="231F1F"/>
                <w:spacing w:val="-6"/>
                <w:w w:val="105"/>
                <w:sz w:val="22"/>
              </w:rPr>
              <w:t> </w:t>
            </w:r>
            <w:r>
              <w:rPr>
                <w:color w:val="231F1F"/>
                <w:w w:val="105"/>
                <w:sz w:val="22"/>
              </w:rPr>
              <w:t>más satisfechas con la administración de la analgesia combinada pero se observó una mayor incidencia de prurito. No se observaron diferencias en relación a resultados neonatales o tipo de parto (315;316).</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r>
        <w:trPr>
          <w:trHeight w:val="1237" w:hRule="atLeast"/>
        </w:trPr>
        <w:tc>
          <w:tcPr>
            <w:tcW w:w="7373" w:type="dxa"/>
          </w:tcPr>
          <w:p>
            <w:pPr>
              <w:pStyle w:val="TableParagraph"/>
              <w:spacing w:line="244" w:lineRule="auto" w:before="63"/>
              <w:ind w:right="87"/>
              <w:jc w:val="both"/>
              <w:rPr>
                <w:sz w:val="22"/>
              </w:rPr>
            </w:pPr>
            <w:r>
              <w:rPr>
                <w:color w:val="231F1F"/>
                <w:sz w:val="22"/>
              </w:rPr>
              <w:t>La comparación de los </w:t>
            </w:r>
            <w:r>
              <w:rPr>
                <w:i/>
                <w:color w:val="231F1F"/>
                <w:sz w:val="22"/>
              </w:rPr>
              <w:t>regímenes tradicionales con modernos a bajas dosis y </w:t>
            </w:r>
            <w:r>
              <w:rPr>
                <w:i/>
                <w:color w:val="231F1F"/>
                <w:w w:val="110"/>
                <w:sz w:val="22"/>
              </w:rPr>
              <w:t>combinada (intraddural-epidural) </w:t>
            </w:r>
            <w:r>
              <w:rPr>
                <w:color w:val="231F1F"/>
                <w:w w:val="110"/>
                <w:sz w:val="22"/>
              </w:rPr>
              <w:t>no</w:t>
            </w:r>
            <w:r>
              <w:rPr>
                <w:color w:val="231F1F"/>
                <w:w w:val="110"/>
                <w:sz w:val="22"/>
              </w:rPr>
              <w:t> mostro</w:t>
            </w:r>
            <w:r>
              <w:rPr>
                <w:color w:val="231F1F"/>
                <w:w w:val="110"/>
                <w:sz w:val="22"/>
              </w:rPr>
              <w:t> diferencias</w:t>
            </w:r>
            <w:r>
              <w:rPr>
                <w:color w:val="231F1F"/>
                <w:w w:val="110"/>
                <w:sz w:val="22"/>
              </w:rPr>
              <w:t> en</w:t>
            </w:r>
            <w:r>
              <w:rPr>
                <w:color w:val="231F1F"/>
                <w:w w:val="110"/>
                <w:sz w:val="22"/>
              </w:rPr>
              <w:t> relación</w:t>
            </w:r>
            <w:r>
              <w:rPr>
                <w:color w:val="231F1F"/>
                <w:w w:val="110"/>
                <w:sz w:val="22"/>
              </w:rPr>
              <w:t> a</w:t>
            </w:r>
            <w:r>
              <w:rPr>
                <w:color w:val="231F1F"/>
                <w:w w:val="110"/>
                <w:sz w:val="22"/>
              </w:rPr>
              <w:t> la severidad del dolor tras la administración de la epidural y en número de mujeres con capacidad para pujar (317).</w:t>
            </w:r>
          </w:p>
        </w:tc>
        <w:tc>
          <w:tcPr>
            <w:tcW w:w="1133" w:type="dxa"/>
          </w:tcPr>
          <w:p>
            <w:pPr>
              <w:pStyle w:val="TableParagraph"/>
              <w:spacing w:before="203"/>
              <w:ind w:left="0"/>
              <w:rPr>
                <w:rFonts w:ascii="Arial MT"/>
                <w:sz w:val="22"/>
              </w:rPr>
            </w:pPr>
          </w:p>
          <w:p>
            <w:pPr>
              <w:pStyle w:val="TableParagraph"/>
              <w:spacing w:before="1"/>
              <w:ind w:left="49" w:right="22"/>
              <w:jc w:val="center"/>
              <w:rPr>
                <w:sz w:val="22"/>
              </w:rPr>
            </w:pPr>
            <w:r>
              <w:rPr>
                <w:color w:val="231F1F"/>
                <w:spacing w:val="-5"/>
                <w:w w:val="105"/>
                <w:sz w:val="22"/>
              </w:rPr>
              <w:t>1++</w:t>
            </w:r>
          </w:p>
        </w:tc>
      </w:tr>
      <w:tr>
        <w:trPr>
          <w:trHeight w:val="2082" w:hRule="atLeast"/>
        </w:trPr>
        <w:tc>
          <w:tcPr>
            <w:tcW w:w="7373" w:type="dxa"/>
          </w:tcPr>
          <w:p>
            <w:pPr>
              <w:pStyle w:val="TableParagraph"/>
              <w:spacing w:line="261" w:lineRule="auto" w:before="63"/>
              <w:ind w:right="84"/>
              <w:jc w:val="both"/>
              <w:rPr>
                <w:sz w:val="22"/>
              </w:rPr>
            </w:pPr>
            <w:r>
              <w:rPr>
                <w:color w:val="231F1F"/>
                <w:sz w:val="22"/>
              </w:rPr>
              <w:t>Entre los </w:t>
            </w:r>
            <w:r>
              <w:rPr>
                <w:i/>
                <w:color w:val="231F1F"/>
                <w:sz w:val="22"/>
              </w:rPr>
              <w:t>regímenes tradicionales y los modernos a bajas dosis </w:t>
            </w:r>
            <w:r>
              <w:rPr>
                <w:color w:val="231F1F"/>
                <w:sz w:val="22"/>
              </w:rPr>
              <w:t>se observaron diferencias tales como: más mujeres con partos espontáneos, con una duración</w:t>
            </w:r>
            <w:r>
              <w:rPr>
                <w:color w:val="231F1F"/>
                <w:spacing w:val="40"/>
                <w:sz w:val="22"/>
              </w:rPr>
              <w:t> </w:t>
            </w:r>
            <w:r>
              <w:rPr>
                <w:color w:val="231F1F"/>
                <w:sz w:val="22"/>
              </w:rPr>
              <w:t>de la segunda etapa del parto ≤60 minutos y más mujeres con capacidad para pujar</w:t>
            </w:r>
            <w:r>
              <w:rPr>
                <w:color w:val="231F1F"/>
                <w:spacing w:val="40"/>
                <w:sz w:val="22"/>
              </w:rPr>
              <w:t> </w:t>
            </w:r>
            <w:r>
              <w:rPr>
                <w:color w:val="231F1F"/>
                <w:sz w:val="22"/>
              </w:rPr>
              <w:t>en</w:t>
            </w:r>
            <w:r>
              <w:rPr>
                <w:color w:val="231F1F"/>
                <w:spacing w:val="40"/>
                <w:sz w:val="22"/>
              </w:rPr>
              <w:t> </w:t>
            </w:r>
            <w:r>
              <w:rPr>
                <w:color w:val="231F1F"/>
                <w:sz w:val="22"/>
              </w:rPr>
              <w:t>el</w:t>
            </w:r>
            <w:r>
              <w:rPr>
                <w:color w:val="231F1F"/>
                <w:spacing w:val="40"/>
                <w:sz w:val="22"/>
              </w:rPr>
              <w:t> </w:t>
            </w:r>
            <w:r>
              <w:rPr>
                <w:color w:val="231F1F"/>
                <w:sz w:val="22"/>
              </w:rPr>
              <w:t>grupo</w:t>
            </w:r>
            <w:r>
              <w:rPr>
                <w:color w:val="231F1F"/>
                <w:spacing w:val="40"/>
                <w:sz w:val="22"/>
              </w:rPr>
              <w:t> </w:t>
            </w:r>
            <w:r>
              <w:rPr>
                <w:color w:val="231F1F"/>
                <w:sz w:val="22"/>
              </w:rPr>
              <w:t>de</w:t>
            </w:r>
            <w:r>
              <w:rPr>
                <w:color w:val="231F1F"/>
                <w:spacing w:val="40"/>
                <w:sz w:val="22"/>
              </w:rPr>
              <w:t> </w:t>
            </w:r>
            <w:r>
              <w:rPr>
                <w:color w:val="231F1F"/>
                <w:sz w:val="22"/>
              </w:rPr>
              <w:t>infusión</w:t>
            </w:r>
            <w:r>
              <w:rPr>
                <w:color w:val="231F1F"/>
                <w:spacing w:val="40"/>
                <w:sz w:val="22"/>
              </w:rPr>
              <w:t> </w:t>
            </w:r>
            <w:r>
              <w:rPr>
                <w:color w:val="231F1F"/>
                <w:sz w:val="22"/>
              </w:rPr>
              <w:t>de</w:t>
            </w:r>
            <w:r>
              <w:rPr>
                <w:color w:val="231F1F"/>
                <w:spacing w:val="40"/>
                <w:sz w:val="22"/>
              </w:rPr>
              <w:t> </w:t>
            </w:r>
            <w:r>
              <w:rPr>
                <w:color w:val="231F1F"/>
                <w:sz w:val="22"/>
              </w:rPr>
              <w:t>epidural</w:t>
            </w:r>
            <w:r>
              <w:rPr>
                <w:color w:val="231F1F"/>
                <w:spacing w:val="40"/>
                <w:sz w:val="22"/>
              </w:rPr>
              <w:t> </w:t>
            </w:r>
            <w:r>
              <w:rPr>
                <w:color w:val="231F1F"/>
                <w:sz w:val="22"/>
              </w:rPr>
              <w:t>a</w:t>
            </w:r>
            <w:r>
              <w:rPr>
                <w:color w:val="231F1F"/>
                <w:spacing w:val="40"/>
                <w:sz w:val="22"/>
              </w:rPr>
              <w:t> </w:t>
            </w:r>
            <w:r>
              <w:rPr>
                <w:color w:val="231F1F"/>
                <w:sz w:val="22"/>
              </w:rPr>
              <w:t>bajas</w:t>
            </w:r>
            <w:r>
              <w:rPr>
                <w:color w:val="231F1F"/>
                <w:spacing w:val="40"/>
                <w:sz w:val="22"/>
              </w:rPr>
              <w:t> </w:t>
            </w:r>
            <w:r>
              <w:rPr>
                <w:color w:val="231F1F"/>
                <w:sz w:val="22"/>
              </w:rPr>
              <w:t>dosis.</w:t>
            </w:r>
            <w:r>
              <w:rPr>
                <w:color w:val="231F1F"/>
                <w:spacing w:val="40"/>
                <w:sz w:val="22"/>
              </w:rPr>
              <w:t> </w:t>
            </w:r>
            <w:r>
              <w:rPr>
                <w:color w:val="231F1F"/>
                <w:sz w:val="22"/>
              </w:rPr>
              <w:t>La</w:t>
            </w:r>
            <w:r>
              <w:rPr>
                <w:color w:val="231F1F"/>
                <w:spacing w:val="40"/>
                <w:sz w:val="22"/>
              </w:rPr>
              <w:t> </w:t>
            </w:r>
            <w:r>
              <w:rPr>
                <w:color w:val="231F1F"/>
                <w:sz w:val="22"/>
              </w:rPr>
              <w:t>tasa</w:t>
            </w:r>
            <w:r>
              <w:rPr>
                <w:color w:val="231F1F"/>
                <w:spacing w:val="40"/>
                <w:sz w:val="22"/>
              </w:rPr>
              <w:t> </w:t>
            </w:r>
            <w:r>
              <w:rPr>
                <w:color w:val="231F1F"/>
                <w:sz w:val="22"/>
              </w:rPr>
              <w:t>de</w:t>
            </w:r>
            <w:r>
              <w:rPr>
                <w:color w:val="231F1F"/>
                <w:spacing w:val="40"/>
                <w:sz w:val="22"/>
              </w:rPr>
              <w:t> </w:t>
            </w:r>
            <w:r>
              <w:rPr>
                <w:color w:val="231F1F"/>
                <w:sz w:val="22"/>
              </w:rPr>
              <w:t>cesáreas fue similar. Los RN de este grupo tenían más posibilidades de tener una baja puntuación en el test de Apgar≤7 al minuto, aunque a los 5 minutos ni en la admisión</w:t>
            </w:r>
            <w:r>
              <w:rPr>
                <w:color w:val="231F1F"/>
                <w:spacing w:val="40"/>
                <w:sz w:val="22"/>
              </w:rPr>
              <w:t> </w:t>
            </w:r>
            <w:r>
              <w:rPr>
                <w:color w:val="231F1F"/>
                <w:sz w:val="22"/>
              </w:rPr>
              <w:t>en</w:t>
            </w:r>
            <w:r>
              <w:rPr>
                <w:color w:val="231F1F"/>
                <w:spacing w:val="40"/>
                <w:sz w:val="22"/>
              </w:rPr>
              <w:t> </w:t>
            </w:r>
            <w:r>
              <w:rPr>
                <w:color w:val="231F1F"/>
                <w:sz w:val="22"/>
              </w:rPr>
              <w:t>unidad</w:t>
            </w:r>
            <w:r>
              <w:rPr>
                <w:color w:val="231F1F"/>
                <w:spacing w:val="40"/>
                <w:sz w:val="22"/>
              </w:rPr>
              <w:t> </w:t>
            </w:r>
            <w:r>
              <w:rPr>
                <w:color w:val="231F1F"/>
                <w:sz w:val="22"/>
              </w:rPr>
              <w:t>neonatal</w:t>
            </w:r>
            <w:r>
              <w:rPr>
                <w:color w:val="231F1F"/>
                <w:spacing w:val="40"/>
                <w:sz w:val="22"/>
              </w:rPr>
              <w:t> </w:t>
            </w:r>
            <w:r>
              <w:rPr>
                <w:color w:val="231F1F"/>
                <w:sz w:val="22"/>
              </w:rPr>
              <w:t>(317).</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spacing w:before="125"/>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804" w:hRule="atLeast"/>
        </w:trPr>
        <w:tc>
          <w:tcPr>
            <w:tcW w:w="7373" w:type="dxa"/>
          </w:tcPr>
          <w:p>
            <w:pPr>
              <w:pStyle w:val="TableParagraph"/>
              <w:spacing w:line="247" w:lineRule="auto" w:before="63"/>
              <w:ind w:right="87"/>
              <w:jc w:val="both"/>
              <w:rPr>
                <w:sz w:val="22"/>
              </w:rPr>
            </w:pPr>
            <w:r>
              <w:rPr>
                <w:color w:val="231F1F"/>
                <w:spacing w:val="-2"/>
                <w:w w:val="110"/>
                <w:sz w:val="22"/>
              </w:rPr>
              <w:t>Los</w:t>
            </w:r>
            <w:r>
              <w:rPr>
                <w:color w:val="231F1F"/>
                <w:spacing w:val="-11"/>
                <w:w w:val="110"/>
                <w:sz w:val="22"/>
              </w:rPr>
              <w:t> </w:t>
            </w:r>
            <w:r>
              <w:rPr>
                <w:color w:val="231F1F"/>
                <w:spacing w:val="-2"/>
                <w:w w:val="110"/>
                <w:sz w:val="22"/>
              </w:rPr>
              <w:t>resultados</w:t>
            </w:r>
            <w:r>
              <w:rPr>
                <w:color w:val="231F1F"/>
                <w:spacing w:val="-11"/>
                <w:w w:val="110"/>
                <w:sz w:val="22"/>
              </w:rPr>
              <w:t> </w:t>
            </w:r>
            <w:r>
              <w:rPr>
                <w:color w:val="231F1F"/>
                <w:spacing w:val="-2"/>
                <w:w w:val="110"/>
                <w:sz w:val="22"/>
              </w:rPr>
              <w:t>a</w:t>
            </w:r>
            <w:r>
              <w:rPr>
                <w:color w:val="231F1F"/>
                <w:spacing w:val="-11"/>
                <w:w w:val="110"/>
                <w:sz w:val="22"/>
              </w:rPr>
              <w:t> </w:t>
            </w:r>
            <w:r>
              <w:rPr>
                <w:color w:val="231F1F"/>
                <w:spacing w:val="-2"/>
                <w:w w:val="110"/>
                <w:sz w:val="22"/>
              </w:rPr>
              <w:t>largo</w:t>
            </w:r>
            <w:r>
              <w:rPr>
                <w:color w:val="231F1F"/>
                <w:spacing w:val="-11"/>
                <w:w w:val="110"/>
                <w:sz w:val="22"/>
              </w:rPr>
              <w:t> </w:t>
            </w:r>
            <w:r>
              <w:rPr>
                <w:color w:val="231F1F"/>
                <w:spacing w:val="-2"/>
                <w:w w:val="110"/>
                <w:sz w:val="22"/>
              </w:rPr>
              <w:t>plazo</w:t>
            </w:r>
            <w:r>
              <w:rPr>
                <w:color w:val="231F1F"/>
                <w:spacing w:val="-11"/>
                <w:w w:val="110"/>
                <w:sz w:val="22"/>
              </w:rPr>
              <w:t> </w:t>
            </w:r>
            <w:r>
              <w:rPr>
                <w:color w:val="231F1F"/>
                <w:spacing w:val="-2"/>
                <w:w w:val="110"/>
                <w:sz w:val="22"/>
              </w:rPr>
              <w:t>no</w:t>
            </w:r>
            <w:r>
              <w:rPr>
                <w:color w:val="231F1F"/>
                <w:spacing w:val="-11"/>
                <w:w w:val="110"/>
                <w:sz w:val="22"/>
              </w:rPr>
              <w:t> </w:t>
            </w:r>
            <w:r>
              <w:rPr>
                <w:color w:val="231F1F"/>
                <w:spacing w:val="-2"/>
                <w:w w:val="110"/>
                <w:sz w:val="22"/>
              </w:rPr>
              <w:t>mostran</w:t>
            </w:r>
            <w:r>
              <w:rPr>
                <w:color w:val="231F1F"/>
                <w:spacing w:val="-11"/>
                <w:w w:val="110"/>
                <w:sz w:val="22"/>
              </w:rPr>
              <w:t> </w:t>
            </w:r>
            <w:r>
              <w:rPr>
                <w:color w:val="231F1F"/>
                <w:spacing w:val="-2"/>
                <w:w w:val="110"/>
                <w:sz w:val="22"/>
              </w:rPr>
              <w:t>diferencias</w:t>
            </w:r>
            <w:r>
              <w:rPr>
                <w:color w:val="231F1F"/>
                <w:spacing w:val="-11"/>
                <w:w w:val="110"/>
                <w:sz w:val="22"/>
              </w:rPr>
              <w:t> </w:t>
            </w:r>
            <w:r>
              <w:rPr>
                <w:color w:val="231F1F"/>
                <w:spacing w:val="-2"/>
                <w:w w:val="110"/>
                <w:sz w:val="22"/>
              </w:rPr>
              <w:t>entre</w:t>
            </w:r>
            <w:r>
              <w:rPr>
                <w:color w:val="231F1F"/>
                <w:spacing w:val="-11"/>
                <w:w w:val="110"/>
                <w:sz w:val="22"/>
              </w:rPr>
              <w:t> </w:t>
            </w:r>
            <w:r>
              <w:rPr>
                <w:color w:val="231F1F"/>
                <w:spacing w:val="-2"/>
                <w:w w:val="110"/>
                <w:sz w:val="22"/>
              </w:rPr>
              <w:t>diferentes</w:t>
            </w:r>
            <w:r>
              <w:rPr>
                <w:color w:val="231F1F"/>
                <w:spacing w:val="-11"/>
                <w:w w:val="110"/>
                <w:sz w:val="22"/>
              </w:rPr>
              <w:t> </w:t>
            </w:r>
            <w:r>
              <w:rPr>
                <w:color w:val="231F1F"/>
                <w:spacing w:val="-2"/>
                <w:w w:val="110"/>
                <w:sz w:val="22"/>
              </w:rPr>
              <w:t>regime- </w:t>
            </w:r>
            <w:r>
              <w:rPr>
                <w:color w:val="231F1F"/>
                <w:w w:val="110"/>
                <w:sz w:val="22"/>
              </w:rPr>
              <w:t>nes en la satisfacción materna con la experiencia del parto, ni en dolor de espalda, dolor de cabeza o de cuello. ni parestesias. Aunque las mujeres asignadas a régimenes modernos tuvieron menores tasas de incontinencia urinaria</w:t>
            </w:r>
            <w:r>
              <w:rPr>
                <w:color w:val="231F1F"/>
                <w:spacing w:val="-5"/>
                <w:w w:val="110"/>
                <w:sz w:val="22"/>
              </w:rPr>
              <w:t> </w:t>
            </w:r>
            <w:r>
              <w:rPr>
                <w:color w:val="231F1F"/>
                <w:w w:val="110"/>
                <w:sz w:val="22"/>
              </w:rPr>
              <w:t>de</w:t>
            </w:r>
            <w:r>
              <w:rPr>
                <w:color w:val="231F1F"/>
                <w:spacing w:val="-5"/>
                <w:w w:val="110"/>
                <w:sz w:val="22"/>
              </w:rPr>
              <w:t> </w:t>
            </w:r>
            <w:r>
              <w:rPr>
                <w:color w:val="231F1F"/>
                <w:w w:val="110"/>
                <w:sz w:val="22"/>
              </w:rPr>
              <w:t>esfuerzo</w:t>
            </w:r>
            <w:r>
              <w:rPr>
                <w:color w:val="231F1F"/>
                <w:spacing w:val="-5"/>
                <w:w w:val="110"/>
                <w:sz w:val="22"/>
              </w:rPr>
              <w:t> </w:t>
            </w:r>
            <w:r>
              <w:rPr>
                <w:color w:val="231F1F"/>
                <w:w w:val="110"/>
                <w:sz w:val="22"/>
              </w:rPr>
              <w:t>y</w:t>
            </w:r>
            <w:r>
              <w:rPr>
                <w:color w:val="231F1F"/>
                <w:spacing w:val="-5"/>
                <w:w w:val="110"/>
                <w:sz w:val="22"/>
              </w:rPr>
              <w:t> </w:t>
            </w:r>
            <w:r>
              <w:rPr>
                <w:color w:val="231F1F"/>
                <w:w w:val="110"/>
                <w:sz w:val="22"/>
              </w:rPr>
              <w:t>menos</w:t>
            </w:r>
            <w:r>
              <w:rPr>
                <w:color w:val="231F1F"/>
                <w:spacing w:val="-6"/>
                <w:w w:val="110"/>
                <w:sz w:val="22"/>
              </w:rPr>
              <w:t> </w:t>
            </w:r>
            <w:r>
              <w:rPr>
                <w:color w:val="231F1F"/>
                <w:w w:val="110"/>
                <w:sz w:val="22"/>
              </w:rPr>
              <w:t>problemas</w:t>
            </w:r>
            <w:r>
              <w:rPr>
                <w:color w:val="231F1F"/>
                <w:spacing w:val="-6"/>
                <w:w w:val="110"/>
                <w:sz w:val="22"/>
              </w:rPr>
              <w:t> </w:t>
            </w:r>
            <w:r>
              <w:rPr>
                <w:color w:val="231F1F"/>
                <w:w w:val="110"/>
                <w:sz w:val="22"/>
              </w:rPr>
              <w:t>de</w:t>
            </w:r>
            <w:r>
              <w:rPr>
                <w:color w:val="231F1F"/>
                <w:spacing w:val="-5"/>
                <w:w w:val="110"/>
                <w:sz w:val="22"/>
              </w:rPr>
              <w:t> </w:t>
            </w:r>
            <w:r>
              <w:rPr>
                <w:color w:val="231F1F"/>
                <w:w w:val="110"/>
                <w:sz w:val="22"/>
              </w:rPr>
              <w:t>control</w:t>
            </w:r>
            <w:r>
              <w:rPr>
                <w:color w:val="231F1F"/>
                <w:spacing w:val="-6"/>
                <w:w w:val="110"/>
                <w:sz w:val="22"/>
              </w:rPr>
              <w:t> </w:t>
            </w:r>
            <w:r>
              <w:rPr>
                <w:color w:val="231F1F"/>
                <w:w w:val="110"/>
                <w:sz w:val="22"/>
              </w:rPr>
              <w:t>intestinal,</w:t>
            </w:r>
            <w:r>
              <w:rPr>
                <w:color w:val="231F1F"/>
                <w:spacing w:val="-6"/>
                <w:w w:val="110"/>
                <w:sz w:val="22"/>
              </w:rPr>
              <w:t> </w:t>
            </w:r>
            <w:r>
              <w:rPr>
                <w:color w:val="231F1F"/>
                <w:w w:val="110"/>
                <w:sz w:val="22"/>
              </w:rPr>
              <w:t>comparando con las mujeres del grupo tradicional (317).</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r>
        <w:trPr>
          <w:trHeight w:val="1799" w:hRule="atLeast"/>
        </w:trPr>
        <w:tc>
          <w:tcPr>
            <w:tcW w:w="7373" w:type="dxa"/>
          </w:tcPr>
          <w:p>
            <w:pPr>
              <w:pStyle w:val="TableParagraph"/>
              <w:spacing w:line="244" w:lineRule="auto" w:before="44"/>
              <w:ind w:right="84"/>
              <w:jc w:val="both"/>
              <w:rPr>
                <w:sz w:val="22"/>
              </w:rPr>
            </w:pPr>
            <w:r>
              <w:rPr>
                <w:color w:val="231F1F"/>
                <w:w w:val="110"/>
                <w:sz w:val="22"/>
              </w:rPr>
              <w:t>El</w:t>
            </w:r>
            <w:r>
              <w:rPr>
                <w:color w:val="231F1F"/>
                <w:spacing w:val="-6"/>
                <w:w w:val="110"/>
                <w:sz w:val="22"/>
              </w:rPr>
              <w:t> </w:t>
            </w:r>
            <w:r>
              <w:rPr>
                <w:color w:val="231F1F"/>
                <w:w w:val="110"/>
                <w:sz w:val="22"/>
              </w:rPr>
              <w:t>beneficio</w:t>
            </w:r>
            <w:r>
              <w:rPr>
                <w:color w:val="231F1F"/>
                <w:spacing w:val="-5"/>
                <w:w w:val="110"/>
                <w:sz w:val="22"/>
              </w:rPr>
              <w:t> </w:t>
            </w:r>
            <w:r>
              <w:rPr>
                <w:color w:val="231F1F"/>
                <w:w w:val="110"/>
                <w:sz w:val="22"/>
              </w:rPr>
              <w:t>de</w:t>
            </w:r>
            <w:r>
              <w:rPr>
                <w:color w:val="231F1F"/>
                <w:spacing w:val="-5"/>
                <w:w w:val="110"/>
                <w:sz w:val="22"/>
              </w:rPr>
              <w:t> </w:t>
            </w:r>
            <w:r>
              <w:rPr>
                <w:color w:val="231F1F"/>
                <w:w w:val="110"/>
                <w:sz w:val="22"/>
              </w:rPr>
              <w:t>la</w:t>
            </w:r>
            <w:r>
              <w:rPr>
                <w:color w:val="231F1F"/>
                <w:spacing w:val="-5"/>
                <w:w w:val="110"/>
                <w:sz w:val="22"/>
              </w:rPr>
              <w:t> </w:t>
            </w:r>
            <w:r>
              <w:rPr>
                <w:color w:val="231F1F"/>
                <w:w w:val="110"/>
                <w:sz w:val="22"/>
              </w:rPr>
              <w:t>analgesia</w:t>
            </w:r>
            <w:r>
              <w:rPr>
                <w:color w:val="231F1F"/>
                <w:spacing w:val="-5"/>
                <w:w w:val="110"/>
                <w:sz w:val="22"/>
              </w:rPr>
              <w:t> </w:t>
            </w:r>
            <w:r>
              <w:rPr>
                <w:color w:val="231F1F"/>
                <w:w w:val="110"/>
                <w:sz w:val="22"/>
              </w:rPr>
              <w:t>combinada</w:t>
            </w:r>
            <w:r>
              <w:rPr>
                <w:color w:val="231F1F"/>
                <w:spacing w:val="-5"/>
                <w:w w:val="110"/>
                <w:sz w:val="22"/>
              </w:rPr>
              <w:t> </w:t>
            </w:r>
            <w:r>
              <w:rPr>
                <w:color w:val="231F1F"/>
                <w:w w:val="110"/>
                <w:sz w:val="22"/>
              </w:rPr>
              <w:t>es</w:t>
            </w:r>
            <w:r>
              <w:rPr>
                <w:color w:val="231F1F"/>
                <w:spacing w:val="-5"/>
                <w:w w:val="110"/>
                <w:sz w:val="22"/>
              </w:rPr>
              <w:t> </w:t>
            </w:r>
            <w:r>
              <w:rPr>
                <w:color w:val="231F1F"/>
                <w:w w:val="110"/>
                <w:sz w:val="22"/>
              </w:rPr>
              <w:t>la</w:t>
            </w:r>
            <w:r>
              <w:rPr>
                <w:color w:val="231F1F"/>
                <w:spacing w:val="-5"/>
                <w:w w:val="110"/>
                <w:sz w:val="22"/>
              </w:rPr>
              <w:t> </w:t>
            </w:r>
            <w:r>
              <w:rPr>
                <w:color w:val="231F1F"/>
                <w:w w:val="110"/>
                <w:sz w:val="22"/>
              </w:rPr>
              <w:t>rapidez</w:t>
            </w:r>
            <w:r>
              <w:rPr>
                <w:color w:val="231F1F"/>
                <w:spacing w:val="-5"/>
                <w:w w:val="110"/>
                <w:sz w:val="22"/>
              </w:rPr>
              <w:t> </w:t>
            </w:r>
            <w:r>
              <w:rPr>
                <w:color w:val="231F1F"/>
                <w:w w:val="110"/>
                <w:sz w:val="22"/>
              </w:rPr>
              <w:t>de</w:t>
            </w:r>
            <w:r>
              <w:rPr>
                <w:color w:val="231F1F"/>
                <w:spacing w:val="-5"/>
                <w:w w:val="110"/>
                <w:sz w:val="22"/>
              </w:rPr>
              <w:t> </w:t>
            </w:r>
            <w:r>
              <w:rPr>
                <w:color w:val="231F1F"/>
                <w:w w:val="110"/>
                <w:sz w:val="22"/>
              </w:rPr>
              <w:t>la</w:t>
            </w:r>
            <w:r>
              <w:rPr>
                <w:color w:val="231F1F"/>
                <w:spacing w:val="-5"/>
                <w:w w:val="110"/>
                <w:sz w:val="22"/>
              </w:rPr>
              <w:t> </w:t>
            </w:r>
            <w:r>
              <w:rPr>
                <w:color w:val="231F1F"/>
                <w:w w:val="110"/>
                <w:sz w:val="22"/>
              </w:rPr>
              <w:t>instauración</w:t>
            </w:r>
            <w:r>
              <w:rPr>
                <w:color w:val="231F1F"/>
                <w:spacing w:val="-5"/>
                <w:w w:val="110"/>
                <w:sz w:val="22"/>
              </w:rPr>
              <w:t> </w:t>
            </w:r>
            <w:r>
              <w:rPr>
                <w:color w:val="231F1F"/>
                <w:w w:val="110"/>
                <w:sz w:val="22"/>
              </w:rPr>
              <w:t>del efecto</w:t>
            </w:r>
            <w:r>
              <w:rPr>
                <w:color w:val="231F1F"/>
                <w:spacing w:val="-12"/>
                <w:w w:val="110"/>
                <w:sz w:val="22"/>
              </w:rPr>
              <w:t> </w:t>
            </w:r>
            <w:r>
              <w:rPr>
                <w:color w:val="231F1F"/>
                <w:w w:val="110"/>
                <w:sz w:val="22"/>
              </w:rPr>
              <w:t>analgésico,</w:t>
            </w:r>
            <w:r>
              <w:rPr>
                <w:color w:val="231F1F"/>
                <w:spacing w:val="-13"/>
                <w:w w:val="110"/>
                <w:sz w:val="22"/>
              </w:rPr>
              <w:t> </w:t>
            </w:r>
            <w:r>
              <w:rPr>
                <w:color w:val="231F1F"/>
                <w:w w:val="110"/>
                <w:sz w:val="22"/>
              </w:rPr>
              <w:t>con</w:t>
            </w:r>
            <w:r>
              <w:rPr>
                <w:color w:val="231F1F"/>
                <w:spacing w:val="-12"/>
                <w:w w:val="110"/>
                <w:sz w:val="22"/>
              </w:rPr>
              <w:t> </w:t>
            </w:r>
            <w:r>
              <w:rPr>
                <w:color w:val="231F1F"/>
                <w:w w:val="110"/>
                <w:sz w:val="22"/>
              </w:rPr>
              <w:t>el</w:t>
            </w:r>
            <w:r>
              <w:rPr>
                <w:color w:val="231F1F"/>
                <w:spacing w:val="-13"/>
                <w:w w:val="110"/>
                <w:sz w:val="22"/>
              </w:rPr>
              <w:t> </w:t>
            </w:r>
            <w:r>
              <w:rPr>
                <w:color w:val="231F1F"/>
                <w:w w:val="110"/>
                <w:sz w:val="22"/>
              </w:rPr>
              <w:t>inconveniente</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una</w:t>
            </w:r>
            <w:r>
              <w:rPr>
                <w:color w:val="231F1F"/>
                <w:spacing w:val="-12"/>
                <w:w w:val="110"/>
                <w:sz w:val="22"/>
              </w:rPr>
              <w:t> </w:t>
            </w:r>
            <w:r>
              <w:rPr>
                <w:color w:val="231F1F"/>
                <w:w w:val="110"/>
                <w:sz w:val="22"/>
              </w:rPr>
              <w:t>mayor</w:t>
            </w:r>
            <w:r>
              <w:rPr>
                <w:color w:val="231F1F"/>
                <w:spacing w:val="-13"/>
                <w:w w:val="110"/>
                <w:sz w:val="22"/>
              </w:rPr>
              <w:t> </w:t>
            </w:r>
            <w:r>
              <w:rPr>
                <w:color w:val="231F1F"/>
                <w:w w:val="110"/>
                <w:sz w:val="22"/>
              </w:rPr>
              <w:t>incidencia</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prurito y</w:t>
            </w:r>
            <w:r>
              <w:rPr>
                <w:color w:val="231F1F"/>
                <w:spacing w:val="-4"/>
                <w:w w:val="110"/>
                <w:sz w:val="22"/>
              </w:rPr>
              <w:t> </w:t>
            </w:r>
            <w:r>
              <w:rPr>
                <w:color w:val="231F1F"/>
                <w:w w:val="110"/>
                <w:sz w:val="22"/>
              </w:rPr>
              <w:t>el</w:t>
            </w:r>
            <w:r>
              <w:rPr>
                <w:color w:val="231F1F"/>
                <w:spacing w:val="-4"/>
                <w:w w:val="110"/>
                <w:sz w:val="22"/>
              </w:rPr>
              <w:t> </w:t>
            </w:r>
            <w:r>
              <w:rPr>
                <w:color w:val="231F1F"/>
                <w:w w:val="110"/>
                <w:sz w:val="22"/>
              </w:rPr>
              <w:t>hecho</w:t>
            </w:r>
            <w:r>
              <w:rPr>
                <w:color w:val="231F1F"/>
                <w:spacing w:val="-4"/>
                <w:w w:val="110"/>
                <w:sz w:val="22"/>
              </w:rPr>
              <w:t> </w:t>
            </w:r>
            <w:r>
              <w:rPr>
                <w:color w:val="231F1F"/>
                <w:w w:val="110"/>
                <w:sz w:val="22"/>
              </w:rPr>
              <w:t>de</w:t>
            </w:r>
            <w:r>
              <w:rPr>
                <w:color w:val="231F1F"/>
                <w:spacing w:val="-4"/>
                <w:w w:val="110"/>
                <w:sz w:val="22"/>
              </w:rPr>
              <w:t> </w:t>
            </w:r>
            <w:r>
              <w:rPr>
                <w:color w:val="231F1F"/>
                <w:w w:val="110"/>
                <w:sz w:val="22"/>
              </w:rPr>
              <w:t>que</w:t>
            </w:r>
            <w:r>
              <w:rPr>
                <w:color w:val="231F1F"/>
                <w:spacing w:val="-4"/>
                <w:w w:val="110"/>
                <w:sz w:val="22"/>
              </w:rPr>
              <w:t> </w:t>
            </w:r>
            <w:r>
              <w:rPr>
                <w:color w:val="231F1F"/>
                <w:w w:val="110"/>
                <w:sz w:val="22"/>
              </w:rPr>
              <w:t>es</w:t>
            </w:r>
            <w:r>
              <w:rPr>
                <w:color w:val="231F1F"/>
                <w:spacing w:val="-4"/>
                <w:w w:val="110"/>
                <w:sz w:val="22"/>
              </w:rPr>
              <w:t> </w:t>
            </w:r>
            <w:r>
              <w:rPr>
                <w:color w:val="231F1F"/>
                <w:w w:val="110"/>
                <w:sz w:val="22"/>
              </w:rPr>
              <w:t>una</w:t>
            </w:r>
            <w:r>
              <w:rPr>
                <w:color w:val="231F1F"/>
                <w:spacing w:val="-4"/>
                <w:w w:val="110"/>
                <w:sz w:val="22"/>
              </w:rPr>
              <w:t> </w:t>
            </w:r>
            <w:r>
              <w:rPr>
                <w:color w:val="231F1F"/>
                <w:w w:val="110"/>
                <w:sz w:val="22"/>
              </w:rPr>
              <w:t>técnica</w:t>
            </w:r>
            <w:r>
              <w:rPr>
                <w:color w:val="231F1F"/>
                <w:spacing w:val="-3"/>
                <w:w w:val="110"/>
                <w:sz w:val="22"/>
              </w:rPr>
              <w:t> </w:t>
            </w:r>
            <w:r>
              <w:rPr>
                <w:color w:val="231F1F"/>
                <w:w w:val="110"/>
                <w:sz w:val="22"/>
              </w:rPr>
              <w:t>más</w:t>
            </w:r>
            <w:r>
              <w:rPr>
                <w:color w:val="231F1F"/>
                <w:spacing w:val="-4"/>
                <w:w w:val="110"/>
                <w:sz w:val="22"/>
              </w:rPr>
              <w:t> </w:t>
            </w:r>
            <w:r>
              <w:rPr>
                <w:color w:val="231F1F"/>
                <w:w w:val="110"/>
                <w:sz w:val="22"/>
              </w:rPr>
              <w:t>invasiva.</w:t>
            </w:r>
            <w:r>
              <w:rPr>
                <w:color w:val="231F1F"/>
                <w:spacing w:val="-4"/>
                <w:w w:val="110"/>
                <w:sz w:val="22"/>
              </w:rPr>
              <w:t> </w:t>
            </w:r>
            <w:r>
              <w:rPr>
                <w:color w:val="231F1F"/>
                <w:w w:val="110"/>
                <w:sz w:val="22"/>
              </w:rPr>
              <w:t>Comparada</w:t>
            </w:r>
            <w:r>
              <w:rPr>
                <w:color w:val="231F1F"/>
                <w:spacing w:val="-4"/>
                <w:w w:val="110"/>
                <w:sz w:val="22"/>
              </w:rPr>
              <w:t> </w:t>
            </w:r>
            <w:r>
              <w:rPr>
                <w:color w:val="231F1F"/>
                <w:w w:val="110"/>
                <w:sz w:val="22"/>
              </w:rPr>
              <w:t>con</w:t>
            </w:r>
            <w:r>
              <w:rPr>
                <w:color w:val="231F1F"/>
                <w:spacing w:val="-3"/>
                <w:w w:val="110"/>
                <w:sz w:val="22"/>
              </w:rPr>
              <w:t> </w:t>
            </w:r>
            <w:r>
              <w:rPr>
                <w:color w:val="231F1F"/>
                <w:w w:val="110"/>
                <w:sz w:val="22"/>
              </w:rPr>
              <w:t>la</w:t>
            </w:r>
            <w:r>
              <w:rPr>
                <w:color w:val="231F1F"/>
                <w:spacing w:val="-4"/>
                <w:w w:val="110"/>
                <w:sz w:val="22"/>
              </w:rPr>
              <w:t> </w:t>
            </w:r>
            <w:r>
              <w:rPr>
                <w:color w:val="231F1F"/>
                <w:w w:val="110"/>
                <w:sz w:val="22"/>
              </w:rPr>
              <w:t>epidural tradicional produce además mejor analgesia (precisa menos rescate) con menor</w:t>
            </w:r>
            <w:r>
              <w:rPr>
                <w:color w:val="231F1F"/>
                <w:spacing w:val="-14"/>
                <w:w w:val="110"/>
                <w:sz w:val="22"/>
              </w:rPr>
              <w:t> </w:t>
            </w:r>
            <w:r>
              <w:rPr>
                <w:color w:val="231F1F"/>
                <w:w w:val="110"/>
                <w:sz w:val="22"/>
              </w:rPr>
              <w:t>retención</w:t>
            </w:r>
            <w:r>
              <w:rPr>
                <w:color w:val="231F1F"/>
                <w:spacing w:val="-14"/>
                <w:w w:val="110"/>
                <w:sz w:val="22"/>
              </w:rPr>
              <w:t> </w:t>
            </w:r>
            <w:r>
              <w:rPr>
                <w:color w:val="231F1F"/>
                <w:w w:val="110"/>
                <w:sz w:val="22"/>
              </w:rPr>
              <w:t>urinaria.</w:t>
            </w:r>
            <w:r>
              <w:rPr>
                <w:color w:val="231F1F"/>
                <w:spacing w:val="-14"/>
                <w:w w:val="110"/>
                <w:sz w:val="22"/>
              </w:rPr>
              <w:t> </w:t>
            </w:r>
            <w:r>
              <w:rPr>
                <w:color w:val="231F1F"/>
                <w:w w:val="110"/>
                <w:sz w:val="22"/>
              </w:rPr>
              <w:t>Cuando</w:t>
            </w:r>
            <w:r>
              <w:rPr>
                <w:color w:val="231F1F"/>
                <w:spacing w:val="-14"/>
                <w:w w:val="110"/>
                <w:sz w:val="22"/>
              </w:rPr>
              <w:t> </w:t>
            </w:r>
            <w:r>
              <w:rPr>
                <w:color w:val="231F1F"/>
                <w:w w:val="110"/>
                <w:sz w:val="22"/>
              </w:rPr>
              <w:t>se</w:t>
            </w:r>
            <w:r>
              <w:rPr>
                <w:color w:val="231F1F"/>
                <w:spacing w:val="-14"/>
                <w:w w:val="110"/>
                <w:sz w:val="22"/>
              </w:rPr>
              <w:t> </w:t>
            </w:r>
            <w:r>
              <w:rPr>
                <w:color w:val="231F1F"/>
                <w:w w:val="110"/>
                <w:sz w:val="22"/>
              </w:rPr>
              <w:t>compara</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epidural</w:t>
            </w:r>
            <w:r>
              <w:rPr>
                <w:color w:val="231F1F"/>
                <w:spacing w:val="-14"/>
                <w:w w:val="110"/>
                <w:sz w:val="22"/>
              </w:rPr>
              <w:t> </w:t>
            </w:r>
            <w:r>
              <w:rPr>
                <w:color w:val="231F1F"/>
                <w:w w:val="110"/>
                <w:sz w:val="22"/>
              </w:rPr>
              <w:t>a</w:t>
            </w:r>
            <w:r>
              <w:rPr>
                <w:color w:val="231F1F"/>
                <w:spacing w:val="-14"/>
                <w:w w:val="110"/>
                <w:sz w:val="22"/>
              </w:rPr>
              <w:t> </w:t>
            </w:r>
            <w:r>
              <w:rPr>
                <w:color w:val="231F1F"/>
                <w:w w:val="110"/>
                <w:sz w:val="22"/>
              </w:rPr>
              <w:t>bajas</w:t>
            </w:r>
            <w:r>
              <w:rPr>
                <w:color w:val="231F1F"/>
                <w:spacing w:val="-14"/>
                <w:w w:val="110"/>
                <w:sz w:val="22"/>
              </w:rPr>
              <w:t> </w:t>
            </w:r>
            <w:r>
              <w:rPr>
                <w:color w:val="231F1F"/>
                <w:w w:val="110"/>
                <w:sz w:val="22"/>
              </w:rPr>
              <w:t>dosis, no hay diferencias en la satisfacción materna (319).</w:t>
            </w:r>
          </w:p>
        </w:tc>
        <w:tc>
          <w:tcPr>
            <w:tcW w:w="1133" w:type="dxa"/>
          </w:tcPr>
          <w:p>
            <w:pPr>
              <w:pStyle w:val="TableParagraph"/>
              <w:ind w:left="0"/>
              <w:rPr>
                <w:rFonts w:ascii="Arial MT"/>
                <w:sz w:val="22"/>
              </w:rPr>
            </w:pPr>
          </w:p>
          <w:p>
            <w:pPr>
              <w:pStyle w:val="TableParagraph"/>
              <w:spacing w:before="234"/>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82"/>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cualquiera</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las</w:t>
            </w:r>
            <w:r>
              <w:rPr>
                <w:color w:val="231F1F"/>
                <w:spacing w:val="-8"/>
                <w:w w:val="110"/>
                <w:sz w:val="22"/>
              </w:rPr>
              <w:t> </w:t>
            </w:r>
            <w:r>
              <w:rPr>
                <w:color w:val="231F1F"/>
                <w:w w:val="110"/>
                <w:sz w:val="22"/>
              </w:rPr>
              <w:t>técnicas</w:t>
            </w:r>
            <w:r>
              <w:rPr>
                <w:color w:val="231F1F"/>
                <w:spacing w:val="-8"/>
                <w:w w:val="110"/>
                <w:sz w:val="22"/>
              </w:rPr>
              <w:t> </w:t>
            </w:r>
            <w:r>
              <w:rPr>
                <w:color w:val="231F1F"/>
                <w:w w:val="110"/>
                <w:sz w:val="22"/>
              </w:rPr>
              <w:t>neuroaxiales</w:t>
            </w:r>
            <w:r>
              <w:rPr>
                <w:color w:val="231F1F"/>
                <w:spacing w:val="-9"/>
                <w:w w:val="110"/>
                <w:sz w:val="22"/>
              </w:rPr>
              <w:t> </w:t>
            </w:r>
            <w:r>
              <w:rPr>
                <w:color w:val="231F1F"/>
                <w:w w:val="110"/>
                <w:sz w:val="22"/>
              </w:rPr>
              <w:t>a</w:t>
            </w:r>
            <w:r>
              <w:rPr>
                <w:color w:val="231F1F"/>
                <w:spacing w:val="-8"/>
                <w:w w:val="110"/>
                <w:sz w:val="22"/>
              </w:rPr>
              <w:t> </w:t>
            </w:r>
            <w:r>
              <w:rPr>
                <w:color w:val="231F1F"/>
                <w:w w:val="110"/>
                <w:sz w:val="22"/>
              </w:rPr>
              <w:t>bajas</w:t>
            </w:r>
            <w:r>
              <w:rPr>
                <w:color w:val="231F1F"/>
                <w:spacing w:val="-8"/>
                <w:w w:val="110"/>
                <w:sz w:val="22"/>
              </w:rPr>
              <w:t> </w:t>
            </w:r>
            <w:r>
              <w:rPr>
                <w:color w:val="231F1F"/>
                <w:w w:val="110"/>
                <w:sz w:val="22"/>
              </w:rPr>
              <w:t>dosis:</w:t>
            </w:r>
            <w:r>
              <w:rPr>
                <w:color w:val="231F1F"/>
                <w:spacing w:val="-8"/>
                <w:w w:val="110"/>
                <w:sz w:val="22"/>
              </w:rPr>
              <w:t> </w:t>
            </w:r>
            <w:r>
              <w:rPr>
                <w:color w:val="231F1F"/>
                <w:w w:val="110"/>
                <w:sz w:val="22"/>
              </w:rPr>
              <w:t>epidural</w:t>
            </w:r>
            <w:r>
              <w:rPr>
                <w:color w:val="231F1F"/>
                <w:spacing w:val="-8"/>
                <w:w w:val="110"/>
                <w:sz w:val="22"/>
              </w:rPr>
              <w:t> </w:t>
            </w:r>
            <w:r>
              <w:rPr>
                <w:color w:val="231F1F"/>
                <w:w w:val="110"/>
                <w:sz w:val="22"/>
              </w:rPr>
              <w:t>o </w:t>
            </w:r>
            <w:r>
              <w:rPr>
                <w:color w:val="231F1F"/>
                <w:spacing w:val="-2"/>
                <w:w w:val="110"/>
                <w:sz w:val="22"/>
              </w:rPr>
              <w:t>combinada.</w:t>
            </w:r>
          </w:p>
        </w:tc>
      </w:tr>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sz w:val="22"/>
              </w:rPr>
              <w:t>Si</w:t>
            </w:r>
            <w:r>
              <w:rPr>
                <w:color w:val="231F1F"/>
                <w:spacing w:val="32"/>
                <w:sz w:val="22"/>
              </w:rPr>
              <w:t> </w:t>
            </w:r>
            <w:r>
              <w:rPr>
                <w:color w:val="231F1F"/>
                <w:sz w:val="22"/>
              </w:rPr>
              <w:t>se</w:t>
            </w:r>
            <w:r>
              <w:rPr>
                <w:color w:val="231F1F"/>
                <w:spacing w:val="33"/>
                <w:sz w:val="22"/>
              </w:rPr>
              <w:t> </w:t>
            </w:r>
            <w:r>
              <w:rPr>
                <w:color w:val="231F1F"/>
                <w:sz w:val="22"/>
              </w:rPr>
              <w:t>precisa</w:t>
            </w:r>
            <w:r>
              <w:rPr>
                <w:color w:val="231F1F"/>
                <w:spacing w:val="33"/>
                <w:sz w:val="22"/>
              </w:rPr>
              <w:t> </w:t>
            </w:r>
            <w:r>
              <w:rPr>
                <w:color w:val="231F1F"/>
                <w:sz w:val="22"/>
              </w:rPr>
              <w:t>un</w:t>
            </w:r>
            <w:r>
              <w:rPr>
                <w:color w:val="231F1F"/>
                <w:spacing w:val="33"/>
                <w:sz w:val="22"/>
              </w:rPr>
              <w:t> </w:t>
            </w:r>
            <w:r>
              <w:rPr>
                <w:color w:val="231F1F"/>
                <w:sz w:val="22"/>
              </w:rPr>
              <w:t>rápido</w:t>
            </w:r>
            <w:r>
              <w:rPr>
                <w:color w:val="231F1F"/>
                <w:spacing w:val="33"/>
                <w:sz w:val="22"/>
              </w:rPr>
              <w:t> </w:t>
            </w:r>
            <w:r>
              <w:rPr>
                <w:color w:val="231F1F"/>
                <w:sz w:val="22"/>
              </w:rPr>
              <w:t>establecimiento</w:t>
            </w:r>
            <w:r>
              <w:rPr>
                <w:color w:val="231F1F"/>
                <w:spacing w:val="32"/>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analgesia</w:t>
            </w:r>
            <w:r>
              <w:rPr>
                <w:color w:val="231F1F"/>
                <w:spacing w:val="33"/>
                <w:sz w:val="22"/>
              </w:rPr>
              <w:t> </w:t>
            </w:r>
            <w:r>
              <w:rPr>
                <w:color w:val="231F1F"/>
                <w:sz w:val="22"/>
              </w:rPr>
              <w:t>se</w:t>
            </w:r>
            <w:r>
              <w:rPr>
                <w:color w:val="231F1F"/>
                <w:spacing w:val="33"/>
                <w:sz w:val="22"/>
              </w:rPr>
              <w:t> </w:t>
            </w:r>
            <w:r>
              <w:rPr>
                <w:color w:val="231F1F"/>
                <w:sz w:val="22"/>
              </w:rPr>
              <w:t>recomienda</w:t>
            </w:r>
            <w:r>
              <w:rPr>
                <w:color w:val="231F1F"/>
                <w:spacing w:val="33"/>
                <w:sz w:val="22"/>
              </w:rPr>
              <w:t> </w:t>
            </w:r>
            <w:r>
              <w:rPr>
                <w:color w:val="231F1F"/>
                <w:sz w:val="22"/>
              </w:rPr>
              <w:t>la</w:t>
            </w:r>
            <w:r>
              <w:rPr>
                <w:color w:val="231F1F"/>
                <w:spacing w:val="33"/>
                <w:sz w:val="22"/>
              </w:rPr>
              <w:t> </w:t>
            </w:r>
            <w:r>
              <w:rPr>
                <w:color w:val="231F1F"/>
                <w:sz w:val="22"/>
              </w:rPr>
              <w:t>utilización </w:t>
            </w:r>
            <w:r>
              <w:rPr>
                <w:color w:val="231F1F"/>
                <w:w w:val="110"/>
                <w:sz w:val="22"/>
              </w:rPr>
              <w:t>de técnica combinada (epidural-intradural).</w:t>
            </w:r>
          </w:p>
        </w:tc>
      </w:tr>
    </w:tbl>
    <w:p>
      <w:pPr>
        <w:pStyle w:val="TableParagraph"/>
        <w:spacing w:after="0" w:line="244" w:lineRule="auto"/>
        <w:rPr>
          <w:sz w:val="22"/>
        </w:rPr>
        <w:sectPr>
          <w:pgSz w:w="11900" w:h="16840"/>
          <w:pgMar w:header="0" w:footer="622" w:top="164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10"/>
        </w:rPr>
        <w:t>Estudio</w:t>
      </w:r>
      <w:r>
        <w:rPr>
          <w:color w:val="231F1F"/>
          <w:spacing w:val="-16"/>
          <w:w w:val="110"/>
        </w:rPr>
        <w:t> </w:t>
      </w:r>
      <w:r>
        <w:rPr>
          <w:color w:val="231F1F"/>
          <w:w w:val="110"/>
        </w:rPr>
        <w:t>de</w:t>
      </w:r>
      <w:r>
        <w:rPr>
          <w:color w:val="231F1F"/>
          <w:spacing w:val="-15"/>
          <w:w w:val="110"/>
        </w:rPr>
        <w:t> </w:t>
      </w:r>
      <w:r>
        <w:rPr>
          <w:color w:val="231F1F"/>
          <w:spacing w:val="-2"/>
          <w:w w:val="110"/>
        </w:rPr>
        <w:t>coagulación</w:t>
      </w:r>
    </w:p>
    <w:p>
      <w:pPr>
        <w:pStyle w:val="BodyText"/>
        <w:spacing w:before="20"/>
        <w:rPr>
          <w:sz w:val="20"/>
        </w:rPr>
      </w:pPr>
      <w:r>
        <w:rPr>
          <w:sz w:val="20"/>
        </w:rPr>
        <mc:AlternateContent>
          <mc:Choice Requires="wps">
            <w:drawing>
              <wp:anchor distT="0" distB="0" distL="0" distR="0" allowOverlap="1" layoutInCell="1" locked="0" behindDoc="1" simplePos="0" relativeHeight="487626752">
                <wp:simplePos x="0" y="0"/>
                <wp:positionH relativeFrom="page">
                  <wp:posOffset>1082675</wp:posOffset>
                </wp:positionH>
                <wp:positionV relativeFrom="paragraph">
                  <wp:posOffset>177184</wp:posOffset>
                </wp:positionV>
                <wp:extent cx="5400040" cy="440055"/>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5400040" cy="440055"/>
                        </a:xfrm>
                        <a:prstGeom prst="rect">
                          <a:avLst/>
                        </a:prstGeom>
                        <a:ln w="6350">
                          <a:solidFill>
                            <a:srgbClr val="A30046"/>
                          </a:solidFill>
                          <a:prstDash val="solid"/>
                        </a:ln>
                      </wps:spPr>
                      <wps:txbx>
                        <w:txbxContent>
                          <w:p>
                            <w:pPr>
                              <w:pStyle w:val="BodyText"/>
                              <w:numPr>
                                <w:ilvl w:val="0"/>
                                <w:numId w:val="79"/>
                              </w:numPr>
                              <w:tabs>
                                <w:tab w:pos="324" w:val="left" w:leader="none"/>
                              </w:tabs>
                              <w:spacing w:line="240" w:lineRule="auto" w:before="46" w:after="0"/>
                              <w:ind w:left="324" w:right="201" w:hanging="220"/>
                              <w:jc w:val="left"/>
                            </w:pPr>
                            <w:r>
                              <w:rPr>
                                <w:color w:val="231F1F"/>
                                <w:w w:val="110"/>
                              </w:rPr>
                              <w:t>¿Es</w:t>
                            </w:r>
                            <w:r>
                              <w:rPr>
                                <w:color w:val="231F1F"/>
                                <w:spacing w:val="-16"/>
                                <w:w w:val="110"/>
                              </w:rPr>
                              <w:t> </w:t>
                            </w:r>
                            <w:r>
                              <w:rPr>
                                <w:color w:val="231F1F"/>
                                <w:w w:val="110"/>
                              </w:rPr>
                              <w:t>útil</w:t>
                            </w:r>
                            <w:r>
                              <w:rPr>
                                <w:color w:val="231F1F"/>
                                <w:spacing w:val="-15"/>
                                <w:w w:val="110"/>
                              </w:rPr>
                              <w:t> </w:t>
                            </w:r>
                            <w:r>
                              <w:rPr>
                                <w:color w:val="231F1F"/>
                                <w:w w:val="110"/>
                              </w:rPr>
                              <w:t>realizar</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6"/>
                                <w:w w:val="110"/>
                              </w:rPr>
                              <w:t> </w:t>
                            </w:r>
                            <w:r>
                              <w:rPr>
                                <w:color w:val="231F1F"/>
                                <w:w w:val="110"/>
                              </w:rPr>
                              <w:t>sistemática</w:t>
                            </w:r>
                            <w:r>
                              <w:rPr>
                                <w:color w:val="231F1F"/>
                                <w:spacing w:val="-15"/>
                                <w:w w:val="110"/>
                              </w:rPr>
                              <w:t> </w:t>
                            </w:r>
                            <w:r>
                              <w:rPr>
                                <w:color w:val="231F1F"/>
                                <w:w w:val="110"/>
                              </w:rPr>
                              <w:t>previo</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adminis- tración de una analgesia neuroaxial?</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89728;mso-wrap-distance-left:0;mso-wrap-distance-right:0" type="#_x0000_t202" id="docshape127" filled="false" stroked="true" strokeweight=".5pt" strokecolor="#a30046">
                <v:textbox inset="0,0,0,0">
                  <w:txbxContent>
                    <w:p>
                      <w:pPr>
                        <w:pStyle w:val="BodyText"/>
                        <w:numPr>
                          <w:ilvl w:val="0"/>
                          <w:numId w:val="79"/>
                        </w:numPr>
                        <w:tabs>
                          <w:tab w:pos="324" w:val="left" w:leader="none"/>
                        </w:tabs>
                        <w:spacing w:line="240" w:lineRule="auto" w:before="46" w:after="0"/>
                        <w:ind w:left="324" w:right="201" w:hanging="220"/>
                        <w:jc w:val="left"/>
                      </w:pPr>
                      <w:r>
                        <w:rPr>
                          <w:color w:val="231F1F"/>
                          <w:w w:val="110"/>
                        </w:rPr>
                        <w:t>¿Es</w:t>
                      </w:r>
                      <w:r>
                        <w:rPr>
                          <w:color w:val="231F1F"/>
                          <w:spacing w:val="-16"/>
                          <w:w w:val="110"/>
                        </w:rPr>
                        <w:t> </w:t>
                      </w:r>
                      <w:r>
                        <w:rPr>
                          <w:color w:val="231F1F"/>
                          <w:w w:val="110"/>
                        </w:rPr>
                        <w:t>útil</w:t>
                      </w:r>
                      <w:r>
                        <w:rPr>
                          <w:color w:val="231F1F"/>
                          <w:spacing w:val="-15"/>
                          <w:w w:val="110"/>
                        </w:rPr>
                        <w:t> </w:t>
                      </w:r>
                      <w:r>
                        <w:rPr>
                          <w:color w:val="231F1F"/>
                          <w:w w:val="110"/>
                        </w:rPr>
                        <w:t>realizar</w:t>
                      </w:r>
                      <w:r>
                        <w:rPr>
                          <w:color w:val="231F1F"/>
                          <w:spacing w:val="-15"/>
                          <w:w w:val="110"/>
                        </w:rPr>
                        <w:t> </w:t>
                      </w:r>
                      <w:r>
                        <w:rPr>
                          <w:color w:val="231F1F"/>
                          <w:w w:val="110"/>
                        </w:rPr>
                        <w:t>un</w:t>
                      </w:r>
                      <w:r>
                        <w:rPr>
                          <w:color w:val="231F1F"/>
                          <w:spacing w:val="-15"/>
                          <w:w w:val="110"/>
                        </w:rPr>
                        <w:t> </w:t>
                      </w:r>
                      <w:r>
                        <w:rPr>
                          <w:color w:val="231F1F"/>
                          <w:w w:val="110"/>
                        </w:rPr>
                        <w:t>estudio</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5"/>
                          <w:w w:val="110"/>
                        </w:rPr>
                        <w:t> </w:t>
                      </w:r>
                      <w:r>
                        <w:rPr>
                          <w:color w:val="231F1F"/>
                          <w:w w:val="110"/>
                        </w:rPr>
                        <w:t>de</w:t>
                      </w:r>
                      <w:r>
                        <w:rPr>
                          <w:color w:val="231F1F"/>
                          <w:spacing w:val="-15"/>
                          <w:w w:val="110"/>
                        </w:rPr>
                        <w:t> </w:t>
                      </w:r>
                      <w:r>
                        <w:rPr>
                          <w:color w:val="231F1F"/>
                          <w:w w:val="110"/>
                        </w:rPr>
                        <w:t>forma</w:t>
                      </w:r>
                      <w:r>
                        <w:rPr>
                          <w:color w:val="231F1F"/>
                          <w:spacing w:val="-16"/>
                          <w:w w:val="110"/>
                        </w:rPr>
                        <w:t> </w:t>
                      </w:r>
                      <w:r>
                        <w:rPr>
                          <w:color w:val="231F1F"/>
                          <w:w w:val="110"/>
                        </w:rPr>
                        <w:t>sistemática</w:t>
                      </w:r>
                      <w:r>
                        <w:rPr>
                          <w:color w:val="231F1F"/>
                          <w:spacing w:val="-15"/>
                          <w:w w:val="110"/>
                        </w:rPr>
                        <w:t> </w:t>
                      </w:r>
                      <w:r>
                        <w:rPr>
                          <w:color w:val="231F1F"/>
                          <w:w w:val="110"/>
                        </w:rPr>
                        <w:t>previo</w:t>
                      </w:r>
                      <w:r>
                        <w:rPr>
                          <w:color w:val="231F1F"/>
                          <w:spacing w:val="-15"/>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adminis- tración de una analgesia neuroaxial?</w:t>
                      </w:r>
                    </w:p>
                  </w:txbxContent>
                </v:textbox>
                <v:stroke dashstyle="solid"/>
                <w10:wrap type="topAndBottom"/>
              </v:shape>
            </w:pict>
          </mc:Fallback>
        </mc:AlternateContent>
      </w:r>
    </w:p>
    <w:p>
      <w:pPr>
        <w:pStyle w:val="BodyText"/>
        <w:spacing w:line="249" w:lineRule="auto" w:before="332"/>
        <w:ind w:left="283" w:right="110"/>
        <w:jc w:val="both"/>
      </w:pPr>
      <w:r>
        <w:rPr>
          <w:color w:val="231F1F"/>
          <w:w w:val="105"/>
        </w:rPr>
        <w:t>La</w:t>
      </w:r>
      <w:r>
        <w:rPr>
          <w:color w:val="231F1F"/>
          <w:spacing w:val="-1"/>
          <w:w w:val="105"/>
        </w:rPr>
        <w:t> </w:t>
      </w:r>
      <w:r>
        <w:rPr>
          <w:color w:val="231F1F"/>
          <w:w w:val="105"/>
        </w:rPr>
        <w:t>realización</w:t>
      </w:r>
      <w:r>
        <w:rPr>
          <w:color w:val="231F1F"/>
          <w:spacing w:val="-1"/>
          <w:w w:val="105"/>
        </w:rPr>
        <w:t> </w:t>
      </w:r>
      <w:r>
        <w:rPr>
          <w:color w:val="231F1F"/>
          <w:w w:val="105"/>
        </w:rPr>
        <w:t>de un</w:t>
      </w:r>
      <w:r>
        <w:rPr>
          <w:color w:val="231F1F"/>
          <w:spacing w:val="-1"/>
          <w:w w:val="105"/>
        </w:rPr>
        <w:t> </w:t>
      </w:r>
      <w:r>
        <w:rPr>
          <w:color w:val="231F1F"/>
          <w:w w:val="105"/>
        </w:rPr>
        <w:t>estudio de</w:t>
      </w:r>
      <w:r>
        <w:rPr>
          <w:color w:val="231F1F"/>
          <w:spacing w:val="-1"/>
          <w:w w:val="105"/>
        </w:rPr>
        <w:t> </w:t>
      </w:r>
      <w:r>
        <w:rPr>
          <w:color w:val="231F1F"/>
          <w:w w:val="105"/>
        </w:rPr>
        <w:t>coagulación previo</w:t>
      </w:r>
      <w:r>
        <w:rPr>
          <w:color w:val="231F1F"/>
          <w:spacing w:val="-1"/>
          <w:w w:val="105"/>
        </w:rPr>
        <w:t> </w:t>
      </w:r>
      <w:r>
        <w:rPr>
          <w:color w:val="231F1F"/>
          <w:w w:val="105"/>
        </w:rPr>
        <w:t>a</w:t>
      </w:r>
      <w:r>
        <w:rPr>
          <w:color w:val="231F1F"/>
          <w:spacing w:val="-1"/>
          <w:w w:val="105"/>
        </w:rPr>
        <w:t> </w:t>
      </w:r>
      <w:r>
        <w:rPr>
          <w:color w:val="231F1F"/>
          <w:w w:val="105"/>
        </w:rPr>
        <w:t>la</w:t>
      </w:r>
      <w:r>
        <w:rPr>
          <w:color w:val="231F1F"/>
          <w:spacing w:val="-1"/>
          <w:w w:val="105"/>
        </w:rPr>
        <w:t> </w:t>
      </w:r>
      <w:r>
        <w:rPr>
          <w:color w:val="231F1F"/>
          <w:w w:val="105"/>
        </w:rPr>
        <w:t>práctica</w:t>
      </w:r>
      <w:r>
        <w:rPr>
          <w:color w:val="231F1F"/>
          <w:spacing w:val="-1"/>
          <w:w w:val="105"/>
        </w:rPr>
        <w:t> </w:t>
      </w:r>
      <w:r>
        <w:rPr>
          <w:color w:val="231F1F"/>
          <w:w w:val="105"/>
        </w:rPr>
        <w:t>de</w:t>
      </w:r>
      <w:r>
        <w:rPr>
          <w:color w:val="231F1F"/>
          <w:spacing w:val="-1"/>
          <w:w w:val="105"/>
        </w:rPr>
        <w:t> </w:t>
      </w:r>
      <w:r>
        <w:rPr>
          <w:color w:val="231F1F"/>
          <w:w w:val="105"/>
        </w:rPr>
        <w:t>una</w:t>
      </w:r>
      <w:r>
        <w:rPr>
          <w:color w:val="231F1F"/>
          <w:spacing w:val="-1"/>
          <w:w w:val="105"/>
        </w:rPr>
        <w:t> </w:t>
      </w:r>
      <w:r>
        <w:rPr>
          <w:color w:val="231F1F"/>
          <w:w w:val="105"/>
        </w:rPr>
        <w:t>analgesia</w:t>
      </w:r>
      <w:r>
        <w:rPr>
          <w:color w:val="231F1F"/>
          <w:spacing w:val="-1"/>
          <w:w w:val="105"/>
        </w:rPr>
        <w:t> </w:t>
      </w:r>
      <w:r>
        <w:rPr>
          <w:color w:val="231F1F"/>
          <w:w w:val="105"/>
        </w:rPr>
        <w:t>neuroaxial se ha convertido en un requisito imprescindible en muchas maternidades hospitalarias. De hecho,</w:t>
      </w:r>
      <w:r>
        <w:rPr>
          <w:color w:val="231F1F"/>
          <w:w w:val="105"/>
        </w:rPr>
        <w:t> esta</w:t>
      </w:r>
      <w:r>
        <w:rPr>
          <w:color w:val="231F1F"/>
          <w:w w:val="105"/>
        </w:rPr>
        <w:t> analítica</w:t>
      </w:r>
      <w:r>
        <w:rPr>
          <w:color w:val="231F1F"/>
          <w:w w:val="105"/>
        </w:rPr>
        <w:t> ha</w:t>
      </w:r>
      <w:r>
        <w:rPr>
          <w:color w:val="231F1F"/>
          <w:w w:val="105"/>
        </w:rPr>
        <w:t> pasado</w:t>
      </w:r>
      <w:r>
        <w:rPr>
          <w:color w:val="231F1F"/>
          <w:w w:val="105"/>
        </w:rPr>
        <w:t> a</w:t>
      </w:r>
      <w:r>
        <w:rPr>
          <w:color w:val="231F1F"/>
          <w:w w:val="105"/>
        </w:rPr>
        <w:t> formar</w:t>
      </w:r>
      <w:r>
        <w:rPr>
          <w:color w:val="231F1F"/>
          <w:w w:val="105"/>
        </w:rPr>
        <w:t> parte</w:t>
      </w:r>
      <w:r>
        <w:rPr>
          <w:color w:val="231F1F"/>
          <w:w w:val="105"/>
        </w:rPr>
        <w:t> de</w:t>
      </w:r>
      <w:r>
        <w:rPr>
          <w:color w:val="231F1F"/>
          <w:w w:val="105"/>
        </w:rPr>
        <w:t> las</w:t>
      </w:r>
      <w:r>
        <w:rPr>
          <w:color w:val="231F1F"/>
          <w:w w:val="105"/>
        </w:rPr>
        <w:t> determinaciones</w:t>
      </w:r>
      <w:r>
        <w:rPr>
          <w:color w:val="231F1F"/>
          <w:w w:val="105"/>
        </w:rPr>
        <w:t> que</w:t>
      </w:r>
      <w:r>
        <w:rPr>
          <w:color w:val="231F1F"/>
          <w:w w:val="105"/>
        </w:rPr>
        <w:t> se</w:t>
      </w:r>
      <w:r>
        <w:rPr>
          <w:color w:val="231F1F"/>
          <w:w w:val="105"/>
        </w:rPr>
        <w:t> realizan</w:t>
      </w:r>
      <w:r>
        <w:rPr>
          <w:color w:val="231F1F"/>
          <w:w w:val="105"/>
        </w:rPr>
        <w:t> de forma sistemática en las últimas semanas de embarazo. Sin embargo, actualmente se cues- tiona</w:t>
      </w:r>
      <w:r>
        <w:rPr>
          <w:color w:val="231F1F"/>
          <w:w w:val="105"/>
        </w:rPr>
        <w:t> su</w:t>
      </w:r>
      <w:r>
        <w:rPr>
          <w:color w:val="231F1F"/>
          <w:w w:val="105"/>
        </w:rPr>
        <w:t> utilidad</w:t>
      </w:r>
      <w:r>
        <w:rPr>
          <w:color w:val="231F1F"/>
          <w:w w:val="105"/>
        </w:rPr>
        <w:t> clínica</w:t>
      </w:r>
      <w:r>
        <w:rPr>
          <w:color w:val="231F1F"/>
          <w:w w:val="105"/>
        </w:rPr>
        <w:t> en</w:t>
      </w:r>
      <w:r>
        <w:rPr>
          <w:color w:val="231F1F"/>
          <w:w w:val="105"/>
        </w:rPr>
        <w:t> las</w:t>
      </w:r>
      <w:r>
        <w:rPr>
          <w:color w:val="231F1F"/>
          <w:w w:val="105"/>
        </w:rPr>
        <w:t> mujeres</w:t>
      </w:r>
      <w:r>
        <w:rPr>
          <w:color w:val="231F1F"/>
          <w:w w:val="105"/>
        </w:rPr>
        <w:t> sanas</w:t>
      </w:r>
      <w:r>
        <w:rPr>
          <w:color w:val="231F1F"/>
          <w:w w:val="105"/>
        </w:rPr>
        <w:t> y</w:t>
      </w:r>
      <w:r>
        <w:rPr>
          <w:color w:val="231F1F"/>
          <w:w w:val="105"/>
        </w:rPr>
        <w:t> su</w:t>
      </w:r>
      <w:r>
        <w:rPr>
          <w:color w:val="231F1F"/>
          <w:w w:val="105"/>
        </w:rPr>
        <w:t> uso</w:t>
      </w:r>
      <w:r>
        <w:rPr>
          <w:color w:val="231F1F"/>
          <w:w w:val="105"/>
        </w:rPr>
        <w:t> como</w:t>
      </w:r>
      <w:r>
        <w:rPr>
          <w:color w:val="231F1F"/>
          <w:w w:val="105"/>
        </w:rPr>
        <w:t> procedimiento</w:t>
      </w:r>
      <w:r>
        <w:rPr>
          <w:color w:val="231F1F"/>
          <w:w w:val="105"/>
        </w:rPr>
        <w:t> de</w:t>
      </w:r>
      <w:r>
        <w:rPr>
          <w:color w:val="231F1F"/>
          <w:w w:val="105"/>
        </w:rPr>
        <w:t> rutina</w:t>
      </w:r>
      <w:r>
        <w:rPr>
          <w:color w:val="231F1F"/>
          <w:w w:val="105"/>
        </w:rPr>
        <w:t> o</w:t>
      </w:r>
      <w:r>
        <w:rPr>
          <w:color w:val="231F1F"/>
          <w:w w:val="105"/>
        </w:rPr>
        <w:t> si debe</w:t>
      </w:r>
      <w:r>
        <w:rPr>
          <w:color w:val="231F1F"/>
          <w:w w:val="105"/>
        </w:rPr>
        <w:t> reservarse</w:t>
      </w:r>
      <w:r>
        <w:rPr>
          <w:color w:val="231F1F"/>
          <w:w w:val="105"/>
        </w:rPr>
        <w:t> para</w:t>
      </w:r>
      <w:r>
        <w:rPr>
          <w:color w:val="231F1F"/>
          <w:w w:val="105"/>
        </w:rPr>
        <w:t> mujeres</w:t>
      </w:r>
      <w:r>
        <w:rPr>
          <w:color w:val="231F1F"/>
          <w:w w:val="105"/>
        </w:rPr>
        <w:t> con</w:t>
      </w:r>
      <w:r>
        <w:rPr>
          <w:color w:val="231F1F"/>
          <w:w w:val="105"/>
        </w:rPr>
        <w:t> trastornos</w:t>
      </w:r>
      <w:r>
        <w:rPr>
          <w:color w:val="231F1F"/>
          <w:w w:val="105"/>
        </w:rPr>
        <w:t> hipertensivos</w:t>
      </w:r>
      <w:r>
        <w:rPr>
          <w:color w:val="231F1F"/>
          <w:w w:val="105"/>
        </w:rPr>
        <w:t> del</w:t>
      </w:r>
      <w:r>
        <w:rPr>
          <w:color w:val="231F1F"/>
          <w:w w:val="105"/>
        </w:rPr>
        <w:t> embarazo,</w:t>
      </w:r>
      <w:r>
        <w:rPr>
          <w:color w:val="231F1F"/>
          <w:w w:val="105"/>
        </w:rPr>
        <w:t> pre-eclampsia</w:t>
      </w:r>
      <w:r>
        <w:rPr>
          <w:color w:val="231F1F"/>
          <w:w w:val="105"/>
        </w:rPr>
        <w:t> o síndrome</w:t>
      </w:r>
      <w:r>
        <w:rPr>
          <w:color w:val="231F1F"/>
          <w:w w:val="105"/>
        </w:rPr>
        <w:t> HELLP,</w:t>
      </w:r>
      <w:r>
        <w:rPr>
          <w:color w:val="231F1F"/>
          <w:w w:val="105"/>
        </w:rPr>
        <w:t> con</w:t>
      </w:r>
      <w:r>
        <w:rPr>
          <w:color w:val="231F1F"/>
          <w:w w:val="105"/>
        </w:rPr>
        <w:t> coagulopatías</w:t>
      </w:r>
      <w:r>
        <w:rPr>
          <w:color w:val="231F1F"/>
          <w:w w:val="105"/>
        </w:rPr>
        <w:t> o</w:t>
      </w:r>
      <w:r>
        <w:rPr>
          <w:color w:val="231F1F"/>
          <w:w w:val="105"/>
        </w:rPr>
        <w:t> cuando,</w:t>
      </w:r>
      <w:r>
        <w:rPr>
          <w:color w:val="231F1F"/>
          <w:w w:val="105"/>
        </w:rPr>
        <w:t> de</w:t>
      </w:r>
      <w:r>
        <w:rPr>
          <w:color w:val="231F1F"/>
          <w:w w:val="105"/>
        </w:rPr>
        <w:t> forma</w:t>
      </w:r>
      <w:r>
        <w:rPr>
          <w:color w:val="231F1F"/>
          <w:w w:val="105"/>
        </w:rPr>
        <w:t> individualizada,</w:t>
      </w:r>
      <w:r>
        <w:rPr>
          <w:color w:val="231F1F"/>
          <w:w w:val="105"/>
        </w:rPr>
        <w:t> tras</w:t>
      </w:r>
      <w:r>
        <w:rPr>
          <w:color w:val="231F1F"/>
          <w:w w:val="105"/>
        </w:rPr>
        <w:t> historia clínica y exploración, se considere necesario.</w:t>
      </w:r>
    </w:p>
    <w:p>
      <w:pPr>
        <w:pStyle w:val="BodyText"/>
        <w:spacing w:line="244" w:lineRule="auto" w:before="127"/>
        <w:ind w:left="283" w:right="122" w:firstLine="453"/>
        <w:jc w:val="both"/>
      </w:pPr>
      <w:r>
        <w:rPr>
          <w:color w:val="231F1F"/>
          <w:w w:val="110"/>
        </w:rPr>
        <w:t>Por ello, parece adecuado evaluar la efectividad, seguridad y utilidad de la práctica rutinaria de este procedimiento en la atención al parto de mujeres sanas.</w:t>
      </w:r>
    </w:p>
    <w:p>
      <w:pPr>
        <w:pStyle w:val="BodyText"/>
        <w:spacing w:before="171"/>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4"/>
        <w:ind w:left="283" w:right="1372"/>
        <w:jc w:val="both"/>
      </w:pP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4"/>
          <w:w w:val="110"/>
        </w:rPr>
        <w:t> </w:t>
      </w:r>
      <w:r>
        <w:rPr>
          <w:color w:val="231F1F"/>
          <w:w w:val="110"/>
        </w:rPr>
        <w:t>(10)</w:t>
      </w:r>
      <w:r>
        <w:rPr>
          <w:color w:val="231F1F"/>
          <w:spacing w:val="-15"/>
          <w:w w:val="110"/>
        </w:rPr>
        <w:t> </w:t>
      </w:r>
      <w:r>
        <w:rPr>
          <w:color w:val="231F1F"/>
          <w:w w:val="110"/>
        </w:rPr>
        <w:t>no</w:t>
      </w:r>
      <w:r>
        <w:rPr>
          <w:color w:val="231F1F"/>
          <w:spacing w:val="-14"/>
          <w:w w:val="110"/>
        </w:rPr>
        <w:t> </w:t>
      </w:r>
      <w:r>
        <w:rPr>
          <w:color w:val="231F1F"/>
          <w:w w:val="110"/>
        </w:rPr>
        <w:t>responde</w:t>
      </w:r>
      <w:r>
        <w:rPr>
          <w:color w:val="231F1F"/>
          <w:spacing w:val="-14"/>
          <w:w w:val="110"/>
        </w:rPr>
        <w:t> </w:t>
      </w:r>
      <w:r>
        <w:rPr>
          <w:color w:val="231F1F"/>
          <w:w w:val="110"/>
        </w:rPr>
        <w:t>a</w:t>
      </w:r>
      <w:r>
        <w:rPr>
          <w:color w:val="231F1F"/>
          <w:spacing w:val="-15"/>
          <w:w w:val="110"/>
        </w:rPr>
        <w:t> </w:t>
      </w:r>
      <w:r>
        <w:rPr>
          <w:color w:val="231F1F"/>
          <w:w w:val="110"/>
        </w:rPr>
        <w:t>la</w:t>
      </w:r>
      <w:r>
        <w:rPr>
          <w:color w:val="231F1F"/>
          <w:spacing w:val="-15"/>
          <w:w w:val="110"/>
        </w:rPr>
        <w:t> </w:t>
      </w:r>
      <w:r>
        <w:rPr>
          <w:color w:val="231F1F"/>
          <w:w w:val="110"/>
        </w:rPr>
        <w:t>pregunta</w:t>
      </w:r>
      <w:r>
        <w:rPr>
          <w:color w:val="231F1F"/>
          <w:spacing w:val="-15"/>
          <w:w w:val="110"/>
        </w:rPr>
        <w:t> </w:t>
      </w:r>
      <w:r>
        <w:rPr>
          <w:color w:val="231F1F"/>
          <w:w w:val="110"/>
        </w:rPr>
        <w:t>sobre</w:t>
      </w:r>
      <w:r>
        <w:rPr>
          <w:color w:val="231F1F"/>
          <w:spacing w:val="-15"/>
          <w:w w:val="110"/>
        </w:rPr>
        <w:t> </w:t>
      </w:r>
      <w:r>
        <w:rPr>
          <w:color w:val="231F1F"/>
          <w:w w:val="110"/>
        </w:rPr>
        <w:t>si</w:t>
      </w:r>
      <w:r>
        <w:rPr>
          <w:color w:val="231F1F"/>
          <w:spacing w:val="-15"/>
          <w:w w:val="110"/>
        </w:rPr>
        <w:t> </w:t>
      </w:r>
      <w:r>
        <w:rPr>
          <w:color w:val="231F1F"/>
          <w:w w:val="110"/>
        </w:rPr>
        <w:t>es</w:t>
      </w:r>
      <w:r>
        <w:rPr>
          <w:color w:val="231F1F"/>
          <w:spacing w:val="-15"/>
          <w:w w:val="110"/>
        </w:rPr>
        <w:t> </w:t>
      </w:r>
      <w:r>
        <w:rPr>
          <w:color w:val="231F1F"/>
          <w:w w:val="110"/>
        </w:rPr>
        <w:t>útil</w:t>
      </w:r>
      <w:r>
        <w:rPr>
          <w:color w:val="231F1F"/>
          <w:spacing w:val="-15"/>
          <w:w w:val="110"/>
        </w:rPr>
        <w:t> </w:t>
      </w:r>
      <w:r>
        <w:rPr>
          <w:color w:val="231F1F"/>
          <w:w w:val="110"/>
        </w:rPr>
        <w:t>realizar</w:t>
      </w:r>
      <w:r>
        <w:rPr>
          <w:color w:val="231F1F"/>
          <w:spacing w:val="-15"/>
          <w:w w:val="110"/>
        </w:rPr>
        <w:t> </w:t>
      </w:r>
      <w:r>
        <w:rPr>
          <w:color w:val="231F1F"/>
          <w:w w:val="110"/>
        </w:rPr>
        <w:t>un</w:t>
      </w:r>
      <w:r>
        <w:rPr>
          <w:color w:val="231F1F"/>
          <w:spacing w:val="-14"/>
          <w:w w:val="110"/>
        </w:rPr>
        <w:t> </w:t>
      </w:r>
      <w:r>
        <w:rPr>
          <w:color w:val="231F1F"/>
          <w:w w:val="110"/>
        </w:rPr>
        <w:t>estu- dio</w:t>
      </w:r>
      <w:r>
        <w:rPr>
          <w:color w:val="231F1F"/>
          <w:spacing w:val="-10"/>
          <w:w w:val="110"/>
        </w:rPr>
        <w:t> </w:t>
      </w:r>
      <w:r>
        <w:rPr>
          <w:color w:val="231F1F"/>
          <w:w w:val="110"/>
        </w:rPr>
        <w:t>de</w:t>
      </w:r>
      <w:r>
        <w:rPr>
          <w:color w:val="231F1F"/>
          <w:spacing w:val="-10"/>
          <w:w w:val="110"/>
        </w:rPr>
        <w:t> </w:t>
      </w:r>
      <w:r>
        <w:rPr>
          <w:color w:val="231F1F"/>
          <w:w w:val="110"/>
        </w:rPr>
        <w:t>coagulación</w:t>
      </w:r>
      <w:r>
        <w:rPr>
          <w:color w:val="231F1F"/>
          <w:spacing w:val="-10"/>
          <w:w w:val="110"/>
        </w:rPr>
        <w:t> </w:t>
      </w:r>
      <w:r>
        <w:rPr>
          <w:color w:val="231F1F"/>
          <w:w w:val="110"/>
        </w:rPr>
        <w:t>de</w:t>
      </w:r>
      <w:r>
        <w:rPr>
          <w:color w:val="231F1F"/>
          <w:spacing w:val="-10"/>
          <w:w w:val="110"/>
        </w:rPr>
        <w:t> </w:t>
      </w:r>
      <w:r>
        <w:rPr>
          <w:color w:val="231F1F"/>
          <w:w w:val="110"/>
        </w:rPr>
        <w:t>forma</w:t>
      </w:r>
      <w:r>
        <w:rPr>
          <w:color w:val="231F1F"/>
          <w:spacing w:val="-10"/>
          <w:w w:val="110"/>
        </w:rPr>
        <w:t> </w:t>
      </w:r>
      <w:r>
        <w:rPr>
          <w:color w:val="231F1F"/>
          <w:w w:val="110"/>
        </w:rPr>
        <w:t>sistemática</w:t>
      </w:r>
      <w:r>
        <w:rPr>
          <w:color w:val="231F1F"/>
          <w:spacing w:val="-10"/>
          <w:w w:val="110"/>
        </w:rPr>
        <w:t> </w:t>
      </w:r>
      <w:r>
        <w:rPr>
          <w:color w:val="231F1F"/>
          <w:w w:val="110"/>
        </w:rPr>
        <w:t>previo</w:t>
      </w:r>
      <w:r>
        <w:rPr>
          <w:color w:val="231F1F"/>
          <w:spacing w:val="-10"/>
          <w:w w:val="110"/>
        </w:rPr>
        <w:t> </w:t>
      </w:r>
      <w:r>
        <w:rPr>
          <w:color w:val="231F1F"/>
          <w:w w:val="110"/>
        </w:rPr>
        <w:t>a</w:t>
      </w:r>
      <w:r>
        <w:rPr>
          <w:color w:val="231F1F"/>
          <w:spacing w:val="-10"/>
          <w:w w:val="110"/>
        </w:rPr>
        <w:t> </w:t>
      </w:r>
      <w:r>
        <w:rPr>
          <w:color w:val="231F1F"/>
          <w:w w:val="110"/>
        </w:rPr>
        <w:t>la</w:t>
      </w:r>
      <w:r>
        <w:rPr>
          <w:color w:val="231F1F"/>
          <w:spacing w:val="-10"/>
          <w:w w:val="110"/>
        </w:rPr>
        <w:t> </w:t>
      </w:r>
      <w:r>
        <w:rPr>
          <w:color w:val="231F1F"/>
          <w:w w:val="110"/>
        </w:rPr>
        <w:t>realización</w:t>
      </w:r>
      <w:r>
        <w:rPr>
          <w:color w:val="231F1F"/>
          <w:spacing w:val="-10"/>
          <w:w w:val="110"/>
        </w:rPr>
        <w:t> </w:t>
      </w:r>
      <w:r>
        <w:rPr>
          <w:color w:val="231F1F"/>
          <w:w w:val="110"/>
        </w:rPr>
        <w:t>de</w:t>
      </w:r>
      <w:r>
        <w:rPr>
          <w:color w:val="231F1F"/>
          <w:spacing w:val="-10"/>
          <w:w w:val="110"/>
        </w:rPr>
        <w:t> </w:t>
      </w:r>
      <w:r>
        <w:rPr>
          <w:color w:val="231F1F"/>
          <w:w w:val="110"/>
        </w:rPr>
        <w:t>una</w:t>
      </w:r>
      <w:r>
        <w:rPr>
          <w:color w:val="231F1F"/>
          <w:spacing w:val="-10"/>
          <w:w w:val="110"/>
        </w:rPr>
        <w:t> </w:t>
      </w:r>
      <w:r>
        <w:rPr>
          <w:color w:val="231F1F"/>
          <w:w w:val="110"/>
        </w:rPr>
        <w:t>anal- gesia neuroaxial.</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3"/>
          <w:sz w:val="24"/>
        </w:rPr>
        <w:t> </w:t>
      </w:r>
      <w:r>
        <w:rPr>
          <w:rFonts w:ascii="Arial MT" w:hAnsi="Arial MT"/>
          <w:color w:val="231F1F"/>
          <w:sz w:val="24"/>
        </w:rPr>
        <w:t>julio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3"/>
          <w:sz w:val="24"/>
        </w:rPr>
        <w:t> </w:t>
      </w:r>
      <w:r>
        <w:rPr>
          <w:rFonts w:ascii="Arial MT" w:hAnsi="Arial MT"/>
          <w:color w:val="231F1F"/>
          <w:spacing w:val="-2"/>
          <w:sz w:val="24"/>
        </w:rPr>
        <w:t>2008)</w:t>
      </w:r>
    </w:p>
    <w:p>
      <w:pPr>
        <w:pStyle w:val="BodyText"/>
        <w:spacing w:line="242" w:lineRule="auto" w:before="214"/>
        <w:ind w:left="283" w:right="1368"/>
        <w:jc w:val="both"/>
      </w:pPr>
      <w:r>
        <w:rPr>
          <w:color w:val="231F1F"/>
          <w:w w:val="105"/>
        </w:rPr>
        <w:t>En la actualización se ha seleccionado tres documentos (16;320-322) . El pri- mero</w:t>
      </w:r>
      <w:r>
        <w:rPr>
          <w:color w:val="231F1F"/>
          <w:w w:val="105"/>
        </w:rPr>
        <w:t> es</w:t>
      </w:r>
      <w:r>
        <w:rPr>
          <w:color w:val="231F1F"/>
          <w:w w:val="105"/>
        </w:rPr>
        <w:t> una</w:t>
      </w:r>
      <w:r>
        <w:rPr>
          <w:color w:val="231F1F"/>
          <w:w w:val="105"/>
        </w:rPr>
        <w:t> GPC</w:t>
      </w:r>
      <w:r>
        <w:rPr>
          <w:color w:val="231F1F"/>
          <w:w w:val="105"/>
        </w:rPr>
        <w:t> para</w:t>
      </w:r>
      <w:r>
        <w:rPr>
          <w:color w:val="231F1F"/>
          <w:w w:val="105"/>
        </w:rPr>
        <w:t> sobre</w:t>
      </w:r>
      <w:r>
        <w:rPr>
          <w:color w:val="231F1F"/>
          <w:w w:val="105"/>
        </w:rPr>
        <w:t> anestesia</w:t>
      </w:r>
      <w:r>
        <w:rPr>
          <w:color w:val="231F1F"/>
          <w:w w:val="105"/>
        </w:rPr>
        <w:t> obstétrica</w:t>
      </w:r>
      <w:r>
        <w:rPr>
          <w:color w:val="231F1F"/>
          <w:w w:val="105"/>
        </w:rPr>
        <w:t> realizado</w:t>
      </w:r>
      <w:r>
        <w:rPr>
          <w:color w:val="231F1F"/>
          <w:w w:val="105"/>
        </w:rPr>
        <w:t> para</w:t>
      </w:r>
      <w:r>
        <w:rPr>
          <w:color w:val="231F1F"/>
          <w:w w:val="105"/>
        </w:rPr>
        <w:t> la</w:t>
      </w:r>
      <w:r>
        <w:rPr>
          <w:color w:val="231F1F"/>
          <w:w w:val="105"/>
        </w:rPr>
        <w:t> Sociedad Americana</w:t>
      </w:r>
      <w:r>
        <w:rPr>
          <w:color w:val="231F1F"/>
          <w:w w:val="105"/>
        </w:rPr>
        <w:t> de</w:t>
      </w:r>
      <w:r>
        <w:rPr>
          <w:color w:val="231F1F"/>
          <w:w w:val="105"/>
        </w:rPr>
        <w:t> anestesiología</w:t>
      </w:r>
      <w:r>
        <w:rPr>
          <w:color w:val="231F1F"/>
          <w:w w:val="105"/>
        </w:rPr>
        <w:t> Task</w:t>
      </w:r>
      <w:r>
        <w:rPr>
          <w:color w:val="231F1F"/>
          <w:w w:val="105"/>
        </w:rPr>
        <w:t> Force</w:t>
      </w:r>
      <w:r>
        <w:rPr>
          <w:color w:val="231F1F"/>
          <w:w w:val="105"/>
        </w:rPr>
        <w:t> de</w:t>
      </w:r>
      <w:r>
        <w:rPr>
          <w:color w:val="231F1F"/>
          <w:w w:val="105"/>
        </w:rPr>
        <w:t> 2007</w:t>
      </w:r>
      <w:r>
        <w:rPr>
          <w:color w:val="231F1F"/>
          <w:w w:val="105"/>
        </w:rPr>
        <w:t> con</w:t>
      </w:r>
      <w:r>
        <w:rPr>
          <w:color w:val="231F1F"/>
          <w:w w:val="105"/>
        </w:rPr>
        <w:t> un</w:t>
      </w:r>
      <w:r>
        <w:rPr>
          <w:color w:val="231F1F"/>
          <w:w w:val="105"/>
        </w:rPr>
        <w:t> </w:t>
      </w:r>
      <w:r>
        <w:rPr>
          <w:i/>
          <w:color w:val="231F1F"/>
          <w:w w:val="105"/>
        </w:rPr>
        <w:t>NE=IV</w:t>
      </w:r>
      <w:r>
        <w:rPr>
          <w:i/>
          <w:color w:val="231F1F"/>
          <w:w w:val="105"/>
        </w:rPr>
        <w:t> </w:t>
      </w:r>
      <w:r>
        <w:rPr>
          <w:color w:val="231F1F"/>
          <w:w w:val="105"/>
        </w:rPr>
        <w:t>(16)</w:t>
      </w:r>
      <w:r>
        <w:rPr>
          <w:color w:val="231F1F"/>
          <w:w w:val="105"/>
        </w:rPr>
        <w:t> que incluye 473 estudios.</w:t>
      </w:r>
    </w:p>
    <w:p>
      <w:pPr>
        <w:pStyle w:val="BodyText"/>
        <w:tabs>
          <w:tab w:pos="7904" w:val="left" w:leader="none"/>
          <w:tab w:pos="8250" w:val="right" w:leader="none"/>
        </w:tabs>
        <w:spacing w:line="244" w:lineRule="auto" w:before="96"/>
        <w:ind w:left="266" w:right="329" w:firstLine="478"/>
        <w:jc w:val="both"/>
        <w:rPr>
          <w:rFonts w:ascii="Arial MT" w:hAnsi="Arial MT"/>
          <w:position w:val="8"/>
          <w:sz w:val="18"/>
        </w:rPr>
      </w:pPr>
      <w:r>
        <w:rPr>
          <w:color w:val="231F1F"/>
          <w:w w:val="105"/>
        </w:rPr>
        <w:t>El grupo elaborador de la guía americana de anestesia obstétrica cons-</w:t>
      </w:r>
      <w:r>
        <w:rPr>
          <w:color w:val="231F1F"/>
        </w:rPr>
        <w:tab/>
      </w:r>
      <w:r>
        <w:rPr>
          <w:rFonts w:ascii="Arial MT" w:hAnsi="Arial MT"/>
          <w:color w:val="231F1F"/>
          <w:w w:val="105"/>
          <w:sz w:val="18"/>
        </w:rPr>
        <w:t>GPC</w:t>
      </w:r>
      <w:r>
        <w:rPr>
          <w:rFonts w:ascii="Arial MT" w:hAnsi="Arial MT"/>
          <w:color w:val="231F1F"/>
          <w:spacing w:val="-14"/>
          <w:w w:val="105"/>
          <w:sz w:val="18"/>
        </w:rPr>
        <w:t> </w:t>
      </w:r>
      <w:r>
        <w:rPr>
          <w:rFonts w:ascii="Arial MT" w:hAnsi="Arial MT"/>
          <w:color w:val="231F1F"/>
          <w:w w:val="105"/>
          <w:sz w:val="18"/>
        </w:rPr>
        <w:t>de </w:t>
      </w:r>
      <w:r>
        <w:rPr>
          <w:color w:val="231F1F"/>
          <w:w w:val="105"/>
        </w:rPr>
        <w:t>tatá</w:t>
      </w:r>
      <w:r>
        <w:rPr>
          <w:color w:val="231F1F"/>
          <w:spacing w:val="-3"/>
          <w:w w:val="105"/>
        </w:rPr>
        <w:t> </w:t>
      </w:r>
      <w:r>
        <w:rPr>
          <w:color w:val="231F1F"/>
          <w:w w:val="105"/>
        </w:rPr>
        <w:t>que</w:t>
      </w:r>
      <w:r>
        <w:rPr>
          <w:color w:val="231F1F"/>
          <w:spacing w:val="-3"/>
          <w:w w:val="105"/>
        </w:rPr>
        <w:t> </w:t>
      </w:r>
      <w:r>
        <w:rPr>
          <w:color w:val="231F1F"/>
          <w:w w:val="105"/>
        </w:rPr>
        <w:t>no</w:t>
      </w:r>
      <w:r>
        <w:rPr>
          <w:color w:val="231F1F"/>
          <w:spacing w:val="-3"/>
          <w:w w:val="105"/>
        </w:rPr>
        <w:t> </w:t>
      </w:r>
      <w:r>
        <w:rPr>
          <w:color w:val="231F1F"/>
          <w:w w:val="105"/>
        </w:rPr>
        <w:t>se</w:t>
      </w:r>
      <w:r>
        <w:rPr>
          <w:color w:val="231F1F"/>
          <w:spacing w:val="-3"/>
          <w:w w:val="105"/>
        </w:rPr>
        <w:t> </w:t>
      </w:r>
      <w:r>
        <w:rPr>
          <w:color w:val="231F1F"/>
          <w:w w:val="105"/>
        </w:rPr>
        <w:t>puede</w:t>
      </w:r>
      <w:r>
        <w:rPr>
          <w:color w:val="231F1F"/>
          <w:spacing w:val="-3"/>
          <w:w w:val="105"/>
        </w:rPr>
        <w:t> </w:t>
      </w:r>
      <w:r>
        <w:rPr>
          <w:color w:val="231F1F"/>
          <w:w w:val="105"/>
        </w:rPr>
        <w:t>determinar</w:t>
      </w:r>
      <w:r>
        <w:rPr>
          <w:color w:val="231F1F"/>
          <w:spacing w:val="-3"/>
          <w:w w:val="105"/>
        </w:rPr>
        <w:t> </w:t>
      </w:r>
      <w:r>
        <w:rPr>
          <w:color w:val="231F1F"/>
          <w:w w:val="105"/>
        </w:rPr>
        <w:t>si</w:t>
      </w:r>
      <w:r>
        <w:rPr>
          <w:color w:val="231F1F"/>
          <w:spacing w:val="-3"/>
          <w:w w:val="105"/>
        </w:rPr>
        <w:t> </w:t>
      </w:r>
      <w:r>
        <w:rPr>
          <w:color w:val="231F1F"/>
          <w:w w:val="105"/>
        </w:rPr>
        <w:t>el</w:t>
      </w:r>
      <w:r>
        <w:rPr>
          <w:color w:val="231F1F"/>
          <w:spacing w:val="-5"/>
          <w:w w:val="105"/>
        </w:rPr>
        <w:t> </w:t>
      </w:r>
      <w:r>
        <w:rPr>
          <w:b/>
          <w:color w:val="231F1F"/>
          <w:w w:val="105"/>
        </w:rPr>
        <w:t>recuento</w:t>
      </w:r>
      <w:r>
        <w:rPr>
          <w:b/>
          <w:color w:val="231F1F"/>
          <w:spacing w:val="-4"/>
          <w:w w:val="105"/>
        </w:rPr>
        <w:t> </w:t>
      </w:r>
      <w:r>
        <w:rPr>
          <w:b/>
          <w:color w:val="231F1F"/>
          <w:w w:val="105"/>
        </w:rPr>
        <w:t>de</w:t>
      </w:r>
      <w:r>
        <w:rPr>
          <w:b/>
          <w:color w:val="231F1F"/>
          <w:spacing w:val="-3"/>
          <w:w w:val="105"/>
        </w:rPr>
        <w:t> </w:t>
      </w:r>
      <w:r>
        <w:rPr>
          <w:b/>
          <w:color w:val="231F1F"/>
          <w:w w:val="105"/>
        </w:rPr>
        <w:t>plaquetas</w:t>
      </w:r>
      <w:r>
        <w:rPr>
          <w:b/>
          <w:color w:val="231F1F"/>
          <w:spacing w:val="-3"/>
          <w:w w:val="105"/>
        </w:rPr>
        <w:t> </w:t>
      </w:r>
      <w:r>
        <w:rPr>
          <w:color w:val="231F1F"/>
          <w:w w:val="105"/>
        </w:rPr>
        <w:t>es</w:t>
      </w:r>
      <w:r>
        <w:rPr>
          <w:color w:val="231F1F"/>
          <w:spacing w:val="-4"/>
          <w:w w:val="105"/>
        </w:rPr>
        <w:t> </w:t>
      </w:r>
      <w:r>
        <w:rPr>
          <w:color w:val="231F1F"/>
          <w:w w:val="105"/>
        </w:rPr>
        <w:t>un</w:t>
      </w:r>
      <w:r>
        <w:rPr>
          <w:color w:val="231F1F"/>
          <w:spacing w:val="-4"/>
          <w:w w:val="105"/>
        </w:rPr>
        <w:t> </w:t>
      </w:r>
      <w:r>
        <w:rPr>
          <w:color w:val="231F1F"/>
          <w:w w:val="105"/>
        </w:rPr>
        <w:t>predictor</w:t>
      </w:r>
      <w:r>
        <w:rPr>
          <w:color w:val="231F1F"/>
          <w:spacing w:val="80"/>
          <w:w w:val="105"/>
        </w:rPr>
        <w:t>   </w:t>
      </w:r>
      <w:r>
        <w:rPr>
          <w:rFonts w:ascii="Arial MT" w:hAnsi="Arial MT"/>
          <w:color w:val="231F1F"/>
          <w:w w:val="105"/>
          <w:position w:val="4"/>
          <w:sz w:val="18"/>
        </w:rPr>
        <w:t>consenso </w:t>
      </w:r>
      <w:r>
        <w:rPr>
          <w:color w:val="231F1F"/>
        </w:rPr>
        <w:t>de complicaciones relacionadas con la anestesia neuroaxial por falta de evi-</w:t>
      </w:r>
      <w:r>
        <w:rPr>
          <w:color w:val="231F1F"/>
        </w:rPr>
        <w:tab/>
        <w:tab/>
      </w:r>
      <w:r>
        <w:rPr>
          <w:rFonts w:ascii="Arial MT" w:hAnsi="Arial MT"/>
          <w:color w:val="231F1F"/>
          <w:spacing w:val="-6"/>
          <w:position w:val="8"/>
          <w:sz w:val="18"/>
        </w:rPr>
        <w:t>IV</w:t>
      </w:r>
    </w:p>
    <w:p>
      <w:pPr>
        <w:pStyle w:val="BodyText"/>
        <w:spacing w:line="247" w:lineRule="auto" w:before="10"/>
        <w:ind w:left="283" w:right="1366"/>
        <w:jc w:val="both"/>
      </w:pPr>
      <w:r>
        <w:rPr>
          <w:color w:val="231F1F"/>
          <w:w w:val="110"/>
        </w:rPr>
        <w:t>dencia</w:t>
      </w:r>
      <w:r>
        <w:rPr>
          <w:color w:val="231F1F"/>
          <w:spacing w:val="-15"/>
          <w:w w:val="110"/>
        </w:rPr>
        <w:t> </w:t>
      </w:r>
      <w:r>
        <w:rPr>
          <w:color w:val="231F1F"/>
          <w:w w:val="110"/>
        </w:rPr>
        <w:t>al</w:t>
      </w:r>
      <w:r>
        <w:rPr>
          <w:color w:val="231F1F"/>
          <w:spacing w:val="-15"/>
          <w:w w:val="110"/>
        </w:rPr>
        <w:t> </w:t>
      </w:r>
      <w:r>
        <w:rPr>
          <w:color w:val="231F1F"/>
          <w:w w:val="110"/>
        </w:rPr>
        <w:t>respecto</w:t>
      </w:r>
      <w:r>
        <w:rPr>
          <w:color w:val="231F1F"/>
          <w:spacing w:val="-14"/>
          <w:w w:val="110"/>
        </w:rPr>
        <w:t> </w:t>
      </w:r>
      <w:r>
        <w:rPr>
          <w:color w:val="231F1F"/>
          <w:w w:val="110"/>
        </w:rPr>
        <w:t>y</w:t>
      </w:r>
      <w:r>
        <w:rPr>
          <w:color w:val="231F1F"/>
          <w:spacing w:val="-14"/>
          <w:w w:val="110"/>
        </w:rPr>
        <w:t> </w:t>
      </w:r>
      <w:r>
        <w:rPr>
          <w:color w:val="231F1F"/>
          <w:w w:val="110"/>
        </w:rPr>
        <w:t>recomienda</w:t>
      </w:r>
      <w:r>
        <w:rPr>
          <w:color w:val="231F1F"/>
          <w:spacing w:val="-14"/>
          <w:w w:val="110"/>
        </w:rPr>
        <w:t> </w:t>
      </w:r>
      <w:r>
        <w:rPr>
          <w:color w:val="231F1F"/>
          <w:w w:val="110"/>
        </w:rPr>
        <w:t>que</w:t>
      </w:r>
      <w:r>
        <w:rPr>
          <w:color w:val="231F1F"/>
          <w:spacing w:val="-15"/>
          <w:w w:val="110"/>
        </w:rPr>
        <w:t> </w:t>
      </w:r>
      <w:r>
        <w:rPr>
          <w:color w:val="231F1F"/>
          <w:w w:val="110"/>
        </w:rPr>
        <w:t>el</w:t>
      </w:r>
      <w:r>
        <w:rPr>
          <w:color w:val="231F1F"/>
          <w:spacing w:val="-15"/>
          <w:w w:val="110"/>
        </w:rPr>
        <w:t> </w:t>
      </w:r>
      <w:r>
        <w:rPr>
          <w:color w:val="231F1F"/>
          <w:w w:val="110"/>
        </w:rPr>
        <w:t>recuento</w:t>
      </w:r>
      <w:r>
        <w:rPr>
          <w:color w:val="231F1F"/>
          <w:spacing w:val="-14"/>
          <w:w w:val="110"/>
        </w:rPr>
        <w:t> </w:t>
      </w:r>
      <w:r>
        <w:rPr>
          <w:color w:val="231F1F"/>
          <w:w w:val="110"/>
        </w:rPr>
        <w:t>rutinario</w:t>
      </w:r>
      <w:r>
        <w:rPr>
          <w:color w:val="231F1F"/>
          <w:spacing w:val="-14"/>
          <w:w w:val="110"/>
        </w:rPr>
        <w:t> </w:t>
      </w:r>
      <w:r>
        <w:rPr>
          <w:color w:val="231F1F"/>
          <w:w w:val="110"/>
        </w:rPr>
        <w:t>de</w:t>
      </w:r>
      <w:r>
        <w:rPr>
          <w:color w:val="231F1F"/>
          <w:spacing w:val="-15"/>
          <w:w w:val="110"/>
        </w:rPr>
        <w:t> </w:t>
      </w:r>
      <w:r>
        <w:rPr>
          <w:color w:val="231F1F"/>
          <w:w w:val="110"/>
        </w:rPr>
        <w:t>plaquetas</w:t>
      </w:r>
      <w:r>
        <w:rPr>
          <w:color w:val="231F1F"/>
          <w:spacing w:val="-15"/>
          <w:w w:val="110"/>
        </w:rPr>
        <w:t> </w:t>
      </w:r>
      <w:r>
        <w:rPr>
          <w:color w:val="231F1F"/>
          <w:w w:val="110"/>
        </w:rPr>
        <w:t>intra- parto no es</w:t>
      </w:r>
      <w:r>
        <w:rPr>
          <w:color w:val="231F1F"/>
          <w:spacing w:val="-1"/>
          <w:w w:val="110"/>
        </w:rPr>
        <w:t> </w:t>
      </w:r>
      <w:r>
        <w:rPr>
          <w:color w:val="231F1F"/>
          <w:w w:val="110"/>
        </w:rPr>
        <w:t>necesario en parturientas sanas,</w:t>
      </w:r>
      <w:r>
        <w:rPr>
          <w:color w:val="231F1F"/>
          <w:spacing w:val="-1"/>
          <w:w w:val="110"/>
        </w:rPr>
        <w:t> </w:t>
      </w:r>
      <w:r>
        <w:rPr>
          <w:color w:val="231F1F"/>
          <w:w w:val="110"/>
        </w:rPr>
        <w:t>ya que no reduce las</w:t>
      </w:r>
      <w:r>
        <w:rPr>
          <w:color w:val="231F1F"/>
          <w:spacing w:val="-1"/>
          <w:w w:val="110"/>
        </w:rPr>
        <w:t> </w:t>
      </w:r>
      <w:r>
        <w:rPr>
          <w:color w:val="231F1F"/>
          <w:w w:val="110"/>
        </w:rPr>
        <w:t>complica- ciones</w:t>
      </w:r>
      <w:r>
        <w:rPr>
          <w:color w:val="231F1F"/>
          <w:w w:val="110"/>
        </w:rPr>
        <w:t> maternas</w:t>
      </w:r>
      <w:r>
        <w:rPr>
          <w:color w:val="231F1F"/>
          <w:w w:val="110"/>
        </w:rPr>
        <w:t> relacionadas</w:t>
      </w:r>
      <w:r>
        <w:rPr>
          <w:color w:val="231F1F"/>
          <w:w w:val="110"/>
        </w:rPr>
        <w:t> con</w:t>
      </w:r>
      <w:r>
        <w:rPr>
          <w:color w:val="231F1F"/>
          <w:w w:val="110"/>
        </w:rPr>
        <w:t> la</w:t>
      </w:r>
      <w:r>
        <w:rPr>
          <w:color w:val="231F1F"/>
          <w:w w:val="110"/>
        </w:rPr>
        <w:t> anestesia.</w:t>
      </w:r>
      <w:r>
        <w:rPr>
          <w:color w:val="231F1F"/>
          <w:w w:val="110"/>
        </w:rPr>
        <w:t> Por</w:t>
      </w:r>
      <w:r>
        <w:rPr>
          <w:color w:val="231F1F"/>
          <w:w w:val="110"/>
        </w:rPr>
        <w:t> otro</w:t>
      </w:r>
      <w:r>
        <w:rPr>
          <w:color w:val="231F1F"/>
          <w:w w:val="110"/>
        </w:rPr>
        <w:t> lado,</w:t>
      </w:r>
      <w:r>
        <w:rPr>
          <w:color w:val="231F1F"/>
          <w:w w:val="110"/>
        </w:rPr>
        <w:t> los</w:t>
      </w:r>
      <w:r>
        <w:rPr>
          <w:color w:val="231F1F"/>
          <w:w w:val="110"/>
        </w:rPr>
        <w:t> estudios observacionales</w:t>
      </w:r>
      <w:r>
        <w:rPr>
          <w:color w:val="231F1F"/>
          <w:spacing w:val="-14"/>
          <w:w w:val="110"/>
        </w:rPr>
        <w:t> </w:t>
      </w:r>
      <w:r>
        <w:rPr>
          <w:color w:val="231F1F"/>
          <w:w w:val="110"/>
        </w:rPr>
        <w:t>y</w:t>
      </w:r>
      <w:r>
        <w:rPr>
          <w:color w:val="231F1F"/>
          <w:spacing w:val="-14"/>
          <w:w w:val="110"/>
        </w:rPr>
        <w:t> </w:t>
      </w:r>
      <w:r>
        <w:rPr>
          <w:color w:val="231F1F"/>
          <w:w w:val="110"/>
        </w:rPr>
        <w:t>series</w:t>
      </w:r>
      <w:r>
        <w:rPr>
          <w:color w:val="231F1F"/>
          <w:spacing w:val="-14"/>
          <w:w w:val="110"/>
        </w:rPr>
        <w:t> </w:t>
      </w:r>
      <w:r>
        <w:rPr>
          <w:color w:val="231F1F"/>
          <w:w w:val="110"/>
        </w:rPr>
        <w:t>de</w:t>
      </w:r>
      <w:r>
        <w:rPr>
          <w:color w:val="231F1F"/>
          <w:spacing w:val="-14"/>
          <w:w w:val="110"/>
        </w:rPr>
        <w:t> </w:t>
      </w:r>
      <w:r>
        <w:rPr>
          <w:color w:val="231F1F"/>
          <w:w w:val="110"/>
        </w:rPr>
        <w:t>casos</w:t>
      </w:r>
      <w:r>
        <w:rPr>
          <w:color w:val="231F1F"/>
          <w:spacing w:val="-14"/>
          <w:w w:val="110"/>
        </w:rPr>
        <w:t> </w:t>
      </w:r>
      <w:r>
        <w:rPr>
          <w:color w:val="231F1F"/>
          <w:w w:val="110"/>
        </w:rPr>
        <w:t>evaluados</w:t>
      </w:r>
      <w:r>
        <w:rPr>
          <w:color w:val="231F1F"/>
          <w:spacing w:val="-14"/>
          <w:w w:val="110"/>
        </w:rPr>
        <w:t> </w:t>
      </w:r>
      <w:r>
        <w:rPr>
          <w:color w:val="231F1F"/>
          <w:w w:val="110"/>
        </w:rPr>
        <w:t>sugieren</w:t>
      </w:r>
      <w:r>
        <w:rPr>
          <w:color w:val="231F1F"/>
          <w:spacing w:val="-14"/>
          <w:w w:val="110"/>
        </w:rPr>
        <w:t> </w:t>
      </w:r>
      <w:r>
        <w:rPr>
          <w:color w:val="231F1F"/>
          <w:w w:val="110"/>
        </w:rPr>
        <w:t>que</w:t>
      </w:r>
      <w:r>
        <w:rPr>
          <w:color w:val="231F1F"/>
          <w:spacing w:val="-14"/>
          <w:w w:val="110"/>
        </w:rPr>
        <w:t> </w:t>
      </w:r>
      <w:r>
        <w:rPr>
          <w:color w:val="231F1F"/>
          <w:w w:val="110"/>
        </w:rPr>
        <w:t>el</w:t>
      </w:r>
      <w:r>
        <w:rPr>
          <w:color w:val="231F1F"/>
          <w:spacing w:val="-14"/>
          <w:w w:val="110"/>
        </w:rPr>
        <w:t> </w:t>
      </w:r>
      <w:r>
        <w:rPr>
          <w:color w:val="231F1F"/>
          <w:w w:val="110"/>
        </w:rPr>
        <w:t>recuento</w:t>
      </w:r>
      <w:r>
        <w:rPr>
          <w:color w:val="231F1F"/>
          <w:spacing w:val="-14"/>
          <w:w w:val="110"/>
        </w:rPr>
        <w:t> </w:t>
      </w:r>
      <w:r>
        <w:rPr>
          <w:color w:val="231F1F"/>
          <w:w w:val="110"/>
        </w:rPr>
        <w:t>de</w:t>
      </w:r>
      <w:r>
        <w:rPr>
          <w:color w:val="231F1F"/>
          <w:spacing w:val="-14"/>
          <w:w w:val="110"/>
        </w:rPr>
        <w:t> </w:t>
      </w:r>
      <w:r>
        <w:rPr>
          <w:color w:val="231F1F"/>
          <w:w w:val="110"/>
        </w:rPr>
        <w:t>pla- quetas</w:t>
      </w:r>
      <w:r>
        <w:rPr>
          <w:color w:val="231F1F"/>
          <w:spacing w:val="-14"/>
          <w:w w:val="110"/>
        </w:rPr>
        <w:t> </w:t>
      </w:r>
      <w:r>
        <w:rPr>
          <w:color w:val="231F1F"/>
          <w:w w:val="110"/>
        </w:rPr>
        <w:t>es</w:t>
      </w:r>
      <w:r>
        <w:rPr>
          <w:color w:val="231F1F"/>
          <w:spacing w:val="-14"/>
          <w:w w:val="110"/>
        </w:rPr>
        <w:t> </w:t>
      </w:r>
      <w:r>
        <w:rPr>
          <w:color w:val="231F1F"/>
          <w:w w:val="110"/>
        </w:rPr>
        <w:t>clínicamente</w:t>
      </w:r>
      <w:r>
        <w:rPr>
          <w:color w:val="231F1F"/>
          <w:spacing w:val="-14"/>
          <w:w w:val="110"/>
        </w:rPr>
        <w:t> </w:t>
      </w:r>
      <w:r>
        <w:rPr>
          <w:color w:val="231F1F"/>
          <w:w w:val="110"/>
        </w:rPr>
        <w:t>útil</w:t>
      </w:r>
      <w:r>
        <w:rPr>
          <w:color w:val="231F1F"/>
          <w:spacing w:val="-14"/>
          <w:w w:val="110"/>
        </w:rPr>
        <w:t> </w:t>
      </w:r>
      <w:r>
        <w:rPr>
          <w:color w:val="231F1F"/>
          <w:w w:val="110"/>
        </w:rPr>
        <w:t>en</w:t>
      </w:r>
      <w:r>
        <w:rPr>
          <w:color w:val="231F1F"/>
          <w:spacing w:val="-13"/>
          <w:w w:val="110"/>
        </w:rPr>
        <w:t> </w:t>
      </w:r>
      <w:r>
        <w:rPr>
          <w:color w:val="231F1F"/>
          <w:w w:val="110"/>
        </w:rPr>
        <w:t>mujeres</w:t>
      </w:r>
      <w:r>
        <w:rPr>
          <w:color w:val="231F1F"/>
          <w:spacing w:val="-13"/>
          <w:w w:val="110"/>
        </w:rPr>
        <w:t> </w:t>
      </w:r>
      <w:r>
        <w:rPr>
          <w:color w:val="231F1F"/>
          <w:w w:val="110"/>
        </w:rPr>
        <w:t>con</w:t>
      </w:r>
      <w:r>
        <w:rPr>
          <w:color w:val="231F1F"/>
          <w:spacing w:val="-13"/>
          <w:w w:val="110"/>
        </w:rPr>
        <w:t> </w:t>
      </w:r>
      <w:r>
        <w:rPr>
          <w:color w:val="231F1F"/>
          <w:w w:val="110"/>
        </w:rPr>
        <w:t>sospecha</w:t>
      </w:r>
      <w:r>
        <w:rPr>
          <w:color w:val="231F1F"/>
          <w:spacing w:val="-14"/>
          <w:w w:val="110"/>
        </w:rPr>
        <w:t> </w:t>
      </w:r>
      <w:r>
        <w:rPr>
          <w:color w:val="231F1F"/>
          <w:w w:val="110"/>
        </w:rPr>
        <w:t>de</w:t>
      </w:r>
      <w:r>
        <w:rPr>
          <w:color w:val="231F1F"/>
          <w:spacing w:val="-14"/>
          <w:w w:val="110"/>
        </w:rPr>
        <w:t> </w:t>
      </w:r>
      <w:r>
        <w:rPr>
          <w:color w:val="231F1F"/>
          <w:w w:val="110"/>
        </w:rPr>
        <w:t>hipertensión</w:t>
      </w:r>
      <w:r>
        <w:rPr>
          <w:color w:val="231F1F"/>
          <w:spacing w:val="-13"/>
          <w:w w:val="110"/>
        </w:rPr>
        <w:t> </w:t>
      </w:r>
      <w:r>
        <w:rPr>
          <w:color w:val="231F1F"/>
          <w:w w:val="110"/>
        </w:rPr>
        <w:t>relacio- nada</w:t>
      </w:r>
      <w:r>
        <w:rPr>
          <w:color w:val="231F1F"/>
          <w:spacing w:val="-10"/>
          <w:w w:val="110"/>
        </w:rPr>
        <w:t> </w:t>
      </w:r>
      <w:r>
        <w:rPr>
          <w:color w:val="231F1F"/>
          <w:w w:val="110"/>
        </w:rPr>
        <w:t>con</w:t>
      </w:r>
      <w:r>
        <w:rPr>
          <w:color w:val="231F1F"/>
          <w:spacing w:val="-9"/>
          <w:w w:val="110"/>
        </w:rPr>
        <w:t> </w:t>
      </w:r>
      <w:r>
        <w:rPr>
          <w:color w:val="231F1F"/>
          <w:w w:val="110"/>
        </w:rPr>
        <w:t>el</w:t>
      </w:r>
      <w:r>
        <w:rPr>
          <w:color w:val="231F1F"/>
          <w:spacing w:val="-10"/>
          <w:w w:val="110"/>
        </w:rPr>
        <w:t> </w:t>
      </w:r>
      <w:r>
        <w:rPr>
          <w:color w:val="231F1F"/>
          <w:w w:val="110"/>
        </w:rPr>
        <w:t>embarazo,</w:t>
      </w:r>
      <w:r>
        <w:rPr>
          <w:color w:val="231F1F"/>
          <w:spacing w:val="-10"/>
          <w:w w:val="110"/>
        </w:rPr>
        <w:t> </w:t>
      </w:r>
      <w:r>
        <w:rPr>
          <w:color w:val="231F1F"/>
          <w:w w:val="110"/>
        </w:rPr>
        <w:t>pre-eclampsia</w:t>
      </w:r>
      <w:r>
        <w:rPr>
          <w:color w:val="231F1F"/>
          <w:spacing w:val="-9"/>
          <w:w w:val="110"/>
        </w:rPr>
        <w:t> </w:t>
      </w:r>
      <w:r>
        <w:rPr>
          <w:color w:val="231F1F"/>
          <w:w w:val="110"/>
        </w:rPr>
        <w:t>o</w:t>
      </w:r>
      <w:r>
        <w:rPr>
          <w:color w:val="231F1F"/>
          <w:spacing w:val="-9"/>
          <w:w w:val="110"/>
        </w:rPr>
        <w:t> </w:t>
      </w:r>
      <w:r>
        <w:rPr>
          <w:color w:val="231F1F"/>
          <w:w w:val="110"/>
        </w:rPr>
        <w:t>síndrome</w:t>
      </w:r>
      <w:r>
        <w:rPr>
          <w:color w:val="231F1F"/>
          <w:spacing w:val="-10"/>
          <w:w w:val="110"/>
        </w:rPr>
        <w:t> </w:t>
      </w:r>
      <w:r>
        <w:rPr>
          <w:color w:val="231F1F"/>
          <w:w w:val="110"/>
        </w:rPr>
        <w:t>HELLP</w:t>
      </w:r>
      <w:r>
        <w:rPr>
          <w:color w:val="231F1F"/>
          <w:spacing w:val="-9"/>
          <w:w w:val="110"/>
        </w:rPr>
        <w:t> </w:t>
      </w:r>
      <w:r>
        <w:rPr>
          <w:color w:val="231F1F"/>
          <w:w w:val="110"/>
        </w:rPr>
        <w:t>y</w:t>
      </w:r>
      <w:r>
        <w:rPr>
          <w:color w:val="231F1F"/>
          <w:spacing w:val="-9"/>
          <w:w w:val="110"/>
        </w:rPr>
        <w:t> </w:t>
      </w:r>
      <w:r>
        <w:rPr>
          <w:color w:val="231F1F"/>
          <w:w w:val="110"/>
        </w:rPr>
        <w:t>con</w:t>
      </w:r>
      <w:r>
        <w:rPr>
          <w:color w:val="231F1F"/>
          <w:spacing w:val="-9"/>
          <w:w w:val="110"/>
        </w:rPr>
        <w:t> </w:t>
      </w:r>
      <w:r>
        <w:rPr>
          <w:color w:val="231F1F"/>
          <w:w w:val="110"/>
        </w:rPr>
        <w:t>otros</w:t>
      </w:r>
      <w:r>
        <w:rPr>
          <w:color w:val="231F1F"/>
          <w:spacing w:val="-10"/>
          <w:w w:val="110"/>
        </w:rPr>
        <w:t> </w:t>
      </w:r>
      <w:r>
        <w:rPr>
          <w:color w:val="231F1F"/>
          <w:w w:val="110"/>
        </w:rPr>
        <w:t>desór- </w:t>
      </w:r>
      <w:r>
        <w:rPr>
          <w:color w:val="231F1F"/>
        </w:rPr>
        <w:t>denes asociados con las coagulopatías y concluye no es necesario un recuento </w:t>
      </w:r>
      <w:r>
        <w:rPr>
          <w:color w:val="231F1F"/>
          <w:w w:val="110"/>
        </w:rPr>
        <w:t>rutinario de plaquetas en un mujer sana de parto.</w:t>
      </w:r>
    </w:p>
    <w:p>
      <w:pPr>
        <w:pStyle w:val="BodyText"/>
        <w:spacing w:line="252" w:lineRule="auto" w:before="61"/>
        <w:ind w:left="283" w:right="1369" w:firstLine="453"/>
        <w:jc w:val="both"/>
      </w:pPr>
      <w:r>
        <w:rPr>
          <w:color w:val="231F1F"/>
          <w:w w:val="110"/>
        </w:rPr>
        <w:t>El segundo estudio seleccionado en la actualización (320), es una RS, publicada</w:t>
      </w:r>
      <w:r>
        <w:rPr>
          <w:color w:val="231F1F"/>
          <w:spacing w:val="-9"/>
          <w:w w:val="110"/>
        </w:rPr>
        <w:t> </w:t>
      </w:r>
      <w:r>
        <w:rPr>
          <w:color w:val="231F1F"/>
          <w:w w:val="110"/>
        </w:rPr>
        <w:t>en</w:t>
      </w:r>
      <w:r>
        <w:rPr>
          <w:color w:val="231F1F"/>
          <w:spacing w:val="-8"/>
          <w:w w:val="110"/>
        </w:rPr>
        <w:t> </w:t>
      </w:r>
      <w:r>
        <w:rPr>
          <w:color w:val="231F1F"/>
          <w:w w:val="110"/>
        </w:rPr>
        <w:t>el</w:t>
      </w:r>
      <w:r>
        <w:rPr>
          <w:color w:val="231F1F"/>
          <w:spacing w:val="-9"/>
          <w:w w:val="110"/>
        </w:rPr>
        <w:t> </w:t>
      </w:r>
      <w:r>
        <w:rPr>
          <w:color w:val="231F1F"/>
          <w:w w:val="110"/>
        </w:rPr>
        <w:t>año</w:t>
      </w:r>
      <w:r>
        <w:rPr>
          <w:color w:val="231F1F"/>
          <w:spacing w:val="-8"/>
          <w:w w:val="110"/>
        </w:rPr>
        <w:t> </w:t>
      </w:r>
      <w:r>
        <w:rPr>
          <w:color w:val="231F1F"/>
          <w:w w:val="110"/>
        </w:rPr>
        <w:t>2005,</w:t>
      </w:r>
      <w:r>
        <w:rPr>
          <w:color w:val="231F1F"/>
          <w:spacing w:val="-9"/>
          <w:w w:val="110"/>
        </w:rPr>
        <w:t> </w:t>
      </w:r>
      <w:r>
        <w:rPr>
          <w:color w:val="231F1F"/>
          <w:w w:val="110"/>
        </w:rPr>
        <w:t>que</w:t>
      </w:r>
      <w:r>
        <w:rPr>
          <w:color w:val="231F1F"/>
          <w:spacing w:val="-8"/>
          <w:w w:val="110"/>
        </w:rPr>
        <w:t> </w:t>
      </w:r>
      <w:r>
        <w:rPr>
          <w:color w:val="231F1F"/>
          <w:w w:val="110"/>
        </w:rPr>
        <w:t>pretendía</w:t>
      </w:r>
      <w:r>
        <w:rPr>
          <w:color w:val="231F1F"/>
          <w:spacing w:val="-9"/>
          <w:w w:val="110"/>
        </w:rPr>
        <w:t> </w:t>
      </w:r>
      <w:r>
        <w:rPr>
          <w:color w:val="231F1F"/>
          <w:w w:val="110"/>
        </w:rPr>
        <w:t>determinar</w:t>
      </w:r>
      <w:r>
        <w:rPr>
          <w:color w:val="231F1F"/>
          <w:spacing w:val="-9"/>
          <w:w w:val="110"/>
        </w:rPr>
        <w:t> </w:t>
      </w:r>
      <w:r>
        <w:rPr>
          <w:color w:val="231F1F"/>
          <w:w w:val="110"/>
        </w:rPr>
        <w:t>si</w:t>
      </w:r>
      <w:r>
        <w:rPr>
          <w:color w:val="231F1F"/>
          <w:spacing w:val="-9"/>
          <w:w w:val="110"/>
        </w:rPr>
        <w:t> </w:t>
      </w:r>
      <w:r>
        <w:rPr>
          <w:color w:val="231F1F"/>
          <w:w w:val="110"/>
        </w:rPr>
        <w:t>las</w:t>
      </w:r>
      <w:r>
        <w:rPr>
          <w:color w:val="231F1F"/>
          <w:spacing w:val="-8"/>
          <w:w w:val="110"/>
        </w:rPr>
        <w:t> </w:t>
      </w:r>
      <w:r>
        <w:rPr>
          <w:color w:val="231F1F"/>
          <w:w w:val="110"/>
        </w:rPr>
        <w:t>pruebas</w:t>
      </w:r>
      <w:r>
        <w:rPr>
          <w:color w:val="231F1F"/>
          <w:spacing w:val="-8"/>
          <w:w w:val="110"/>
        </w:rPr>
        <w:t> </w:t>
      </w:r>
      <w:r>
        <w:rPr>
          <w:color w:val="231F1F"/>
          <w:w w:val="110"/>
        </w:rPr>
        <w:t>de</w:t>
      </w:r>
      <w:r>
        <w:rPr>
          <w:color w:val="231F1F"/>
          <w:spacing w:val="-8"/>
          <w:w w:val="110"/>
        </w:rPr>
        <w:t> </w:t>
      </w:r>
      <w:r>
        <w:rPr>
          <w:color w:val="231F1F"/>
          <w:w w:val="110"/>
        </w:rPr>
        <w:t>coagu- </w:t>
      </w:r>
      <w:r>
        <w:rPr>
          <w:color w:val="231F1F"/>
        </w:rPr>
        <w:t>lación anormal pueden predecir el sangrado durante procedimientos invasivos </w:t>
      </w:r>
      <w:r>
        <w:rPr>
          <w:color w:val="231F1F"/>
          <w:w w:val="110"/>
        </w:rPr>
        <w:t>(tales</w:t>
      </w:r>
      <w:r>
        <w:rPr>
          <w:color w:val="231F1F"/>
          <w:spacing w:val="-7"/>
          <w:w w:val="110"/>
        </w:rPr>
        <w:t> </w:t>
      </w:r>
      <w:r>
        <w:rPr>
          <w:color w:val="231F1F"/>
          <w:w w:val="110"/>
        </w:rPr>
        <w:t>como</w:t>
      </w:r>
      <w:r>
        <w:rPr>
          <w:color w:val="231F1F"/>
          <w:spacing w:val="-6"/>
          <w:w w:val="110"/>
        </w:rPr>
        <w:t> </w:t>
      </w:r>
      <w:r>
        <w:rPr>
          <w:color w:val="231F1F"/>
          <w:w w:val="110"/>
        </w:rPr>
        <w:t>biopsia</w:t>
      </w:r>
      <w:r>
        <w:rPr>
          <w:color w:val="231F1F"/>
          <w:spacing w:val="-6"/>
          <w:w w:val="110"/>
        </w:rPr>
        <w:t> </w:t>
      </w:r>
      <w:r>
        <w:rPr>
          <w:color w:val="231F1F"/>
          <w:w w:val="110"/>
        </w:rPr>
        <w:t>hepática</w:t>
      </w:r>
      <w:r>
        <w:rPr>
          <w:color w:val="231F1F"/>
          <w:spacing w:val="-6"/>
          <w:w w:val="110"/>
        </w:rPr>
        <w:t> </w:t>
      </w:r>
      <w:r>
        <w:rPr>
          <w:color w:val="231F1F"/>
          <w:w w:val="110"/>
        </w:rPr>
        <w:t>o</w:t>
      </w:r>
      <w:r>
        <w:rPr>
          <w:color w:val="231F1F"/>
          <w:spacing w:val="-6"/>
          <w:w w:val="110"/>
        </w:rPr>
        <w:t> </w:t>
      </w:r>
      <w:r>
        <w:rPr>
          <w:color w:val="231F1F"/>
          <w:w w:val="110"/>
        </w:rPr>
        <w:t>renal,</w:t>
      </w:r>
      <w:r>
        <w:rPr>
          <w:color w:val="231F1F"/>
          <w:spacing w:val="-6"/>
          <w:w w:val="110"/>
        </w:rPr>
        <w:t> </w:t>
      </w:r>
      <w:r>
        <w:rPr>
          <w:color w:val="231F1F"/>
          <w:w w:val="110"/>
        </w:rPr>
        <w:t>la</w:t>
      </w:r>
      <w:r>
        <w:rPr>
          <w:color w:val="231F1F"/>
          <w:spacing w:val="-7"/>
          <w:w w:val="110"/>
        </w:rPr>
        <w:t> </w:t>
      </w:r>
      <w:r>
        <w:rPr>
          <w:color w:val="231F1F"/>
          <w:w w:val="110"/>
        </w:rPr>
        <w:t>colocación</w:t>
      </w:r>
      <w:r>
        <w:rPr>
          <w:color w:val="231F1F"/>
          <w:spacing w:val="-6"/>
          <w:w w:val="110"/>
        </w:rPr>
        <w:t> </w:t>
      </w:r>
      <w:r>
        <w:rPr>
          <w:color w:val="231F1F"/>
          <w:w w:val="110"/>
        </w:rPr>
        <w:t>del</w:t>
      </w:r>
      <w:r>
        <w:rPr>
          <w:color w:val="231F1F"/>
          <w:spacing w:val="-8"/>
          <w:w w:val="110"/>
        </w:rPr>
        <w:t> </w:t>
      </w:r>
      <w:r>
        <w:rPr>
          <w:color w:val="231F1F"/>
          <w:w w:val="110"/>
        </w:rPr>
        <w:t>tubo</w:t>
      </w:r>
      <w:r>
        <w:rPr>
          <w:color w:val="231F1F"/>
          <w:spacing w:val="-6"/>
          <w:w w:val="110"/>
        </w:rPr>
        <w:t> </w:t>
      </w:r>
      <w:r>
        <w:rPr>
          <w:color w:val="231F1F"/>
          <w:w w:val="110"/>
        </w:rPr>
        <w:t>de</w:t>
      </w:r>
      <w:r>
        <w:rPr>
          <w:color w:val="231F1F"/>
          <w:spacing w:val="-6"/>
          <w:w w:val="110"/>
        </w:rPr>
        <w:t> </w:t>
      </w:r>
      <w:r>
        <w:rPr>
          <w:color w:val="231F1F"/>
          <w:w w:val="110"/>
        </w:rPr>
        <w:t>nefrostomía,</w:t>
      </w:r>
    </w:p>
    <w:p>
      <w:pPr>
        <w:pStyle w:val="BodyText"/>
        <w:spacing w:after="0" w:line="252" w:lineRule="auto"/>
        <w:jc w:val="both"/>
        <w:sectPr>
          <w:pgSz w:w="11900" w:h="16840"/>
          <w:pgMar w:header="0" w:footer="622" w:top="1560" w:bottom="820" w:left="1417" w:right="1559"/>
        </w:sectPr>
      </w:pPr>
    </w:p>
    <w:p>
      <w:pPr>
        <w:pStyle w:val="BodyText"/>
        <w:spacing w:line="254" w:lineRule="auto" w:before="73"/>
        <w:ind w:left="283" w:right="2"/>
        <w:jc w:val="both"/>
      </w:pPr>
      <w:r>
        <w:rPr>
          <w:color w:val="231F1F"/>
          <w:w w:val="110"/>
        </w:rPr>
        <w:t>la colocación del tubo transhepático biliar,</w:t>
      </w:r>
      <w:r>
        <w:rPr>
          <w:color w:val="231F1F"/>
          <w:spacing w:val="-1"/>
          <w:w w:val="110"/>
        </w:rPr>
        <w:t> </w:t>
      </w:r>
      <w:r>
        <w:rPr>
          <w:color w:val="231F1F"/>
          <w:w w:val="110"/>
        </w:rPr>
        <w:t>la inyección epidural o punción lumbar, canulación de la vena central o la implantación del dispositivo de </w:t>
      </w:r>
      <w:r>
        <w:rPr>
          <w:color w:val="231F1F"/>
        </w:rPr>
        <w:t>acceso</w:t>
      </w:r>
      <w:r>
        <w:rPr>
          <w:color w:val="231F1F"/>
          <w:spacing w:val="40"/>
        </w:rPr>
        <w:t> </w:t>
      </w:r>
      <w:r>
        <w:rPr>
          <w:color w:val="231F1F"/>
        </w:rPr>
        <w:t>venoso,</w:t>
      </w:r>
      <w:r>
        <w:rPr>
          <w:color w:val="231F1F"/>
          <w:spacing w:val="40"/>
        </w:rPr>
        <w:t> </w:t>
      </w:r>
      <w:r>
        <w:rPr>
          <w:color w:val="231F1F"/>
        </w:rPr>
        <w:t>angiografía</w:t>
      </w:r>
      <w:r>
        <w:rPr>
          <w:color w:val="231F1F"/>
          <w:spacing w:val="40"/>
        </w:rPr>
        <w:t> </w:t>
      </w:r>
      <w:r>
        <w:rPr>
          <w:color w:val="231F1F"/>
        </w:rPr>
        <w:t>o</w:t>
      </w:r>
      <w:r>
        <w:rPr>
          <w:color w:val="231F1F"/>
          <w:spacing w:val="40"/>
        </w:rPr>
        <w:t> </w:t>
      </w:r>
      <w:r>
        <w:rPr>
          <w:color w:val="231F1F"/>
        </w:rPr>
        <w:t>venografía</w:t>
      </w:r>
      <w:r>
        <w:rPr>
          <w:color w:val="231F1F"/>
          <w:spacing w:val="40"/>
        </w:rPr>
        <w:t> </w:t>
      </w:r>
      <w:r>
        <w:rPr>
          <w:color w:val="231F1F"/>
        </w:rPr>
        <w:t>o</w:t>
      </w:r>
      <w:r>
        <w:rPr>
          <w:color w:val="231F1F"/>
          <w:spacing w:val="40"/>
        </w:rPr>
        <w:t> </w:t>
      </w:r>
      <w:r>
        <w:rPr>
          <w:color w:val="231F1F"/>
        </w:rPr>
        <w:t>cateterismo</w:t>
      </w:r>
      <w:r>
        <w:rPr>
          <w:color w:val="231F1F"/>
          <w:spacing w:val="40"/>
        </w:rPr>
        <w:t> </w:t>
      </w:r>
      <w:r>
        <w:rPr>
          <w:color w:val="231F1F"/>
        </w:rPr>
        <w:t>cardíaco,</w:t>
      </w:r>
      <w:r>
        <w:rPr>
          <w:color w:val="231F1F"/>
          <w:spacing w:val="40"/>
        </w:rPr>
        <w:t> </w:t>
      </w:r>
      <w:r>
        <w:rPr>
          <w:color w:val="231F1F"/>
        </w:rPr>
        <w:t>toracocente- </w:t>
      </w:r>
      <w:r>
        <w:rPr>
          <w:color w:val="231F1F"/>
          <w:w w:val="110"/>
        </w:rPr>
        <w:t>sis o paracentesis o endoscopia).</w:t>
      </w:r>
    </w:p>
    <w:p>
      <w:pPr>
        <w:pStyle w:val="BodyText"/>
        <w:spacing w:line="247" w:lineRule="auto" w:before="84"/>
        <w:ind w:left="283" w:firstLine="453"/>
        <w:jc w:val="both"/>
      </w:pPr>
      <w:r>
        <w:rPr>
          <w:color w:val="231F1F"/>
          <w:w w:val="110"/>
        </w:rPr>
        <w:t>De</w:t>
      </w:r>
      <w:r>
        <w:rPr>
          <w:color w:val="231F1F"/>
          <w:spacing w:val="-14"/>
          <w:w w:val="110"/>
        </w:rPr>
        <w:t> </w:t>
      </w:r>
      <w:r>
        <w:rPr>
          <w:color w:val="231F1F"/>
          <w:w w:val="110"/>
        </w:rPr>
        <w:t>los</w:t>
      </w:r>
      <w:r>
        <w:rPr>
          <w:color w:val="231F1F"/>
          <w:spacing w:val="-14"/>
          <w:w w:val="110"/>
        </w:rPr>
        <w:t> </w:t>
      </w:r>
      <w:r>
        <w:rPr>
          <w:color w:val="231F1F"/>
          <w:w w:val="110"/>
        </w:rPr>
        <w:t>estudios</w:t>
      </w:r>
      <w:r>
        <w:rPr>
          <w:color w:val="231F1F"/>
          <w:spacing w:val="-14"/>
          <w:w w:val="110"/>
        </w:rPr>
        <w:t> </w:t>
      </w:r>
      <w:r>
        <w:rPr>
          <w:color w:val="231F1F"/>
          <w:w w:val="110"/>
        </w:rPr>
        <w:t>incluidos</w:t>
      </w:r>
      <w:r>
        <w:rPr>
          <w:color w:val="231F1F"/>
          <w:spacing w:val="-14"/>
          <w:w w:val="110"/>
        </w:rPr>
        <w:t> </w:t>
      </w:r>
      <w:r>
        <w:rPr>
          <w:color w:val="231F1F"/>
          <w:w w:val="110"/>
        </w:rPr>
        <w:t>24</w:t>
      </w:r>
      <w:r>
        <w:rPr>
          <w:color w:val="231F1F"/>
          <w:spacing w:val="-13"/>
          <w:w w:val="110"/>
        </w:rPr>
        <w:t> </w:t>
      </w:r>
      <w:r>
        <w:rPr>
          <w:color w:val="231F1F"/>
          <w:w w:val="110"/>
        </w:rPr>
        <w:t>fueron</w:t>
      </w:r>
      <w:r>
        <w:rPr>
          <w:color w:val="231F1F"/>
          <w:spacing w:val="-14"/>
          <w:w w:val="110"/>
        </w:rPr>
        <w:t> </w:t>
      </w:r>
      <w:r>
        <w:rPr>
          <w:color w:val="231F1F"/>
          <w:w w:val="110"/>
        </w:rPr>
        <w:t>observacionales</w:t>
      </w:r>
      <w:r>
        <w:rPr>
          <w:color w:val="231F1F"/>
          <w:spacing w:val="-15"/>
          <w:w w:val="110"/>
        </w:rPr>
        <w:t> </w:t>
      </w:r>
      <w:r>
        <w:rPr>
          <w:color w:val="231F1F"/>
          <w:w w:val="110"/>
        </w:rPr>
        <w:t>(prospectivos</w:t>
      </w:r>
      <w:r>
        <w:rPr>
          <w:color w:val="231F1F"/>
          <w:spacing w:val="-14"/>
          <w:w w:val="110"/>
        </w:rPr>
        <w:t> </w:t>
      </w:r>
      <w:r>
        <w:rPr>
          <w:color w:val="231F1F"/>
          <w:w w:val="110"/>
        </w:rPr>
        <w:t>o</w:t>
      </w:r>
      <w:r>
        <w:rPr>
          <w:color w:val="231F1F"/>
          <w:spacing w:val="-13"/>
          <w:w w:val="110"/>
        </w:rPr>
        <w:t> </w:t>
      </w:r>
      <w:r>
        <w:rPr>
          <w:color w:val="231F1F"/>
          <w:w w:val="110"/>
        </w:rPr>
        <w:t>re- trospectivos</w:t>
      </w:r>
      <w:r>
        <w:rPr>
          <w:color w:val="231F1F"/>
          <w:spacing w:val="-11"/>
          <w:w w:val="110"/>
        </w:rPr>
        <w:t> </w:t>
      </w:r>
      <w:r>
        <w:rPr>
          <w:color w:val="231F1F"/>
          <w:w w:val="110"/>
        </w:rPr>
        <w:t>de</w:t>
      </w:r>
      <w:r>
        <w:rPr>
          <w:color w:val="231F1F"/>
          <w:spacing w:val="-11"/>
          <w:w w:val="110"/>
        </w:rPr>
        <w:t> </w:t>
      </w:r>
      <w:r>
        <w:rPr>
          <w:color w:val="231F1F"/>
          <w:w w:val="110"/>
        </w:rPr>
        <w:t>serie</w:t>
      </w:r>
      <w:r>
        <w:rPr>
          <w:color w:val="231F1F"/>
          <w:spacing w:val="-11"/>
          <w:w w:val="110"/>
        </w:rPr>
        <w:t> </w:t>
      </w:r>
      <w:r>
        <w:rPr>
          <w:color w:val="231F1F"/>
          <w:w w:val="110"/>
        </w:rPr>
        <w:t>de</w:t>
      </w:r>
      <w:r>
        <w:rPr>
          <w:color w:val="231F1F"/>
          <w:spacing w:val="-11"/>
          <w:w w:val="110"/>
        </w:rPr>
        <w:t> </w:t>
      </w:r>
      <w:r>
        <w:rPr>
          <w:color w:val="231F1F"/>
          <w:w w:val="110"/>
        </w:rPr>
        <w:t>casos)</w:t>
      </w:r>
      <w:r>
        <w:rPr>
          <w:color w:val="231F1F"/>
          <w:spacing w:val="-10"/>
          <w:w w:val="110"/>
        </w:rPr>
        <w:t> </w:t>
      </w:r>
      <w:r>
        <w:rPr>
          <w:color w:val="231F1F"/>
          <w:w w:val="110"/>
        </w:rPr>
        <w:t>y</w:t>
      </w:r>
      <w:r>
        <w:rPr>
          <w:color w:val="231F1F"/>
          <w:spacing w:val="-11"/>
          <w:w w:val="110"/>
        </w:rPr>
        <w:t> </w:t>
      </w:r>
      <w:r>
        <w:rPr>
          <w:color w:val="231F1F"/>
          <w:w w:val="110"/>
        </w:rPr>
        <w:t>uno</w:t>
      </w:r>
      <w:r>
        <w:rPr>
          <w:color w:val="231F1F"/>
          <w:spacing w:val="-11"/>
          <w:w w:val="110"/>
        </w:rPr>
        <w:t> </w:t>
      </w:r>
      <w:r>
        <w:rPr>
          <w:color w:val="231F1F"/>
          <w:w w:val="110"/>
        </w:rPr>
        <w:t>fue</w:t>
      </w:r>
      <w:r>
        <w:rPr>
          <w:color w:val="231F1F"/>
          <w:spacing w:val="-11"/>
          <w:w w:val="110"/>
        </w:rPr>
        <w:t> </w:t>
      </w:r>
      <w:r>
        <w:rPr>
          <w:color w:val="231F1F"/>
          <w:w w:val="110"/>
        </w:rPr>
        <w:t>un</w:t>
      </w:r>
      <w:r>
        <w:rPr>
          <w:color w:val="231F1F"/>
          <w:spacing w:val="-11"/>
          <w:w w:val="110"/>
        </w:rPr>
        <w:t> </w:t>
      </w:r>
      <w:r>
        <w:rPr>
          <w:color w:val="231F1F"/>
          <w:w w:val="110"/>
        </w:rPr>
        <w:t>ECA.</w:t>
      </w:r>
      <w:r>
        <w:rPr>
          <w:color w:val="231F1F"/>
          <w:spacing w:val="-11"/>
          <w:w w:val="110"/>
        </w:rPr>
        <w:t> </w:t>
      </w:r>
      <w:r>
        <w:rPr>
          <w:color w:val="231F1F"/>
          <w:w w:val="110"/>
        </w:rPr>
        <w:t>Los</w:t>
      </w:r>
      <w:r>
        <w:rPr>
          <w:color w:val="231F1F"/>
          <w:spacing w:val="-11"/>
          <w:w w:val="110"/>
        </w:rPr>
        <w:t> </w:t>
      </w:r>
      <w:r>
        <w:rPr>
          <w:color w:val="231F1F"/>
          <w:w w:val="110"/>
        </w:rPr>
        <w:t>estudios</w:t>
      </w:r>
      <w:r>
        <w:rPr>
          <w:color w:val="231F1F"/>
          <w:spacing w:val="-11"/>
          <w:w w:val="110"/>
        </w:rPr>
        <w:t> </w:t>
      </w:r>
      <w:r>
        <w:rPr>
          <w:color w:val="231F1F"/>
          <w:w w:val="110"/>
        </w:rPr>
        <w:t>midieron</w:t>
      </w:r>
      <w:r>
        <w:rPr>
          <w:color w:val="231F1F"/>
          <w:spacing w:val="-11"/>
          <w:w w:val="110"/>
        </w:rPr>
        <w:t> </w:t>
      </w:r>
      <w:r>
        <w:rPr>
          <w:color w:val="231F1F"/>
          <w:w w:val="110"/>
        </w:rPr>
        <w:t>los test</w:t>
      </w:r>
      <w:r>
        <w:rPr>
          <w:color w:val="231F1F"/>
          <w:spacing w:val="-15"/>
          <w:w w:val="110"/>
        </w:rPr>
        <w:t> </w:t>
      </w:r>
      <w:r>
        <w:rPr>
          <w:color w:val="231F1F"/>
          <w:w w:val="110"/>
        </w:rPr>
        <w:t>de</w:t>
      </w:r>
      <w:r>
        <w:rPr>
          <w:color w:val="231F1F"/>
          <w:spacing w:val="-15"/>
          <w:w w:val="110"/>
        </w:rPr>
        <w:t> </w:t>
      </w:r>
      <w:r>
        <w:rPr>
          <w:color w:val="231F1F"/>
          <w:w w:val="110"/>
        </w:rPr>
        <w:t>coagulación</w:t>
      </w:r>
      <w:r>
        <w:rPr>
          <w:color w:val="231F1F"/>
          <w:spacing w:val="-14"/>
          <w:w w:val="110"/>
        </w:rPr>
        <w:t> </w:t>
      </w:r>
      <w:r>
        <w:rPr>
          <w:color w:val="231F1F"/>
          <w:w w:val="110"/>
        </w:rPr>
        <w:t>del</w:t>
      </w:r>
      <w:r>
        <w:rPr>
          <w:color w:val="231F1F"/>
          <w:spacing w:val="-15"/>
          <w:w w:val="110"/>
        </w:rPr>
        <w:t> </w:t>
      </w:r>
      <w:r>
        <w:rPr>
          <w:color w:val="231F1F"/>
          <w:w w:val="110"/>
        </w:rPr>
        <w:t>tiempo</w:t>
      </w:r>
      <w:r>
        <w:rPr>
          <w:color w:val="231F1F"/>
          <w:spacing w:val="-14"/>
          <w:w w:val="110"/>
        </w:rPr>
        <w:t> </w:t>
      </w:r>
      <w:r>
        <w:rPr>
          <w:color w:val="231F1F"/>
          <w:w w:val="110"/>
        </w:rPr>
        <w:t>de</w:t>
      </w:r>
      <w:r>
        <w:rPr>
          <w:color w:val="231F1F"/>
          <w:spacing w:val="-15"/>
          <w:w w:val="110"/>
        </w:rPr>
        <w:t> </w:t>
      </w:r>
      <w:r>
        <w:rPr>
          <w:color w:val="231F1F"/>
          <w:w w:val="110"/>
        </w:rPr>
        <w:t>protrombina</w:t>
      </w:r>
      <w:r>
        <w:rPr>
          <w:color w:val="231F1F"/>
          <w:spacing w:val="-15"/>
          <w:w w:val="110"/>
        </w:rPr>
        <w:t> </w:t>
      </w:r>
      <w:r>
        <w:rPr>
          <w:color w:val="231F1F"/>
          <w:w w:val="110"/>
        </w:rPr>
        <w:t>(TP)</w:t>
      </w:r>
      <w:r>
        <w:rPr>
          <w:color w:val="231F1F"/>
          <w:spacing w:val="-15"/>
          <w:w w:val="110"/>
        </w:rPr>
        <w:t> </w:t>
      </w:r>
      <w:r>
        <w:rPr>
          <w:color w:val="231F1F"/>
          <w:w w:val="110"/>
        </w:rPr>
        <w:t>o</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razón</w:t>
      </w:r>
      <w:r>
        <w:rPr>
          <w:color w:val="231F1F"/>
          <w:spacing w:val="-15"/>
          <w:w w:val="110"/>
        </w:rPr>
        <w:t> </w:t>
      </w:r>
      <w:r>
        <w:rPr>
          <w:color w:val="231F1F"/>
          <w:w w:val="110"/>
        </w:rPr>
        <w:t>normaliza- da</w:t>
      </w:r>
      <w:r>
        <w:rPr>
          <w:color w:val="231F1F"/>
          <w:spacing w:val="-16"/>
          <w:w w:val="110"/>
        </w:rPr>
        <w:t> </w:t>
      </w:r>
      <w:r>
        <w:rPr>
          <w:color w:val="231F1F"/>
          <w:w w:val="110"/>
        </w:rPr>
        <w:t>internacional</w:t>
      </w:r>
      <w:r>
        <w:rPr>
          <w:color w:val="231F1F"/>
          <w:spacing w:val="-15"/>
          <w:w w:val="110"/>
        </w:rPr>
        <w:t> </w:t>
      </w:r>
      <w:r>
        <w:rPr>
          <w:color w:val="231F1F"/>
          <w:w w:val="110"/>
        </w:rPr>
        <w:t>(INR),</w:t>
      </w:r>
      <w:r>
        <w:rPr>
          <w:color w:val="231F1F"/>
          <w:spacing w:val="-15"/>
          <w:w w:val="110"/>
        </w:rPr>
        <w:t> </w:t>
      </w:r>
      <w:r>
        <w:rPr>
          <w:color w:val="231F1F"/>
          <w:w w:val="110"/>
        </w:rPr>
        <w:t>realizadas</w:t>
      </w:r>
      <w:r>
        <w:rPr>
          <w:color w:val="231F1F"/>
          <w:spacing w:val="-15"/>
          <w:w w:val="110"/>
        </w:rPr>
        <w:t> </w:t>
      </w:r>
      <w:r>
        <w:rPr>
          <w:color w:val="231F1F"/>
          <w:w w:val="110"/>
        </w:rPr>
        <w:t>antes</w:t>
      </w:r>
      <w:r>
        <w:rPr>
          <w:color w:val="231F1F"/>
          <w:spacing w:val="-15"/>
          <w:w w:val="110"/>
        </w:rPr>
        <w:t> </w:t>
      </w:r>
      <w:r>
        <w:rPr>
          <w:color w:val="231F1F"/>
          <w:w w:val="110"/>
        </w:rPr>
        <w:t>de</w:t>
      </w:r>
      <w:r>
        <w:rPr>
          <w:color w:val="231F1F"/>
          <w:spacing w:val="-15"/>
          <w:w w:val="110"/>
        </w:rPr>
        <w:t> </w:t>
      </w:r>
      <w:r>
        <w:rPr>
          <w:color w:val="231F1F"/>
          <w:w w:val="110"/>
        </w:rPr>
        <w:t>un</w:t>
      </w:r>
      <w:r>
        <w:rPr>
          <w:color w:val="231F1F"/>
          <w:spacing w:val="-15"/>
          <w:w w:val="110"/>
        </w:rPr>
        <w:t> </w:t>
      </w:r>
      <w:r>
        <w:rPr>
          <w:color w:val="231F1F"/>
          <w:w w:val="110"/>
        </w:rPr>
        <w:t>procedimiento</w:t>
      </w:r>
      <w:r>
        <w:rPr>
          <w:color w:val="231F1F"/>
          <w:spacing w:val="-15"/>
          <w:w w:val="110"/>
        </w:rPr>
        <w:t> </w:t>
      </w:r>
      <w:r>
        <w:rPr>
          <w:color w:val="231F1F"/>
          <w:w w:val="110"/>
        </w:rPr>
        <w:t>invasivo.</w:t>
      </w:r>
      <w:r>
        <w:rPr>
          <w:color w:val="231F1F"/>
          <w:spacing w:val="-16"/>
          <w:w w:val="110"/>
        </w:rPr>
        <w:t> </w:t>
      </w:r>
      <w:r>
        <w:rPr>
          <w:color w:val="231F1F"/>
          <w:w w:val="110"/>
        </w:rPr>
        <w:t>Con- siderando un resultado anormal</w:t>
      </w:r>
      <w:r>
        <w:rPr>
          <w:color w:val="231F1F"/>
          <w:spacing w:val="-2"/>
          <w:w w:val="110"/>
        </w:rPr>
        <w:t> </w:t>
      </w:r>
      <w:r>
        <w:rPr>
          <w:color w:val="231F1F"/>
          <w:w w:val="110"/>
        </w:rPr>
        <w:t>como una elevación de INR&gt; 1,2 o &gt; 1,5 y </w:t>
      </w:r>
      <w:r>
        <w:rPr>
          <w:color w:val="231F1F"/>
        </w:rPr>
        <w:t>una elevación del TP entre &gt; 11,5 segundos hasta &gt; 16 segundos. Se incluyeron </w:t>
      </w:r>
      <w:r>
        <w:rPr>
          <w:color w:val="231F1F"/>
          <w:w w:val="110"/>
        </w:rPr>
        <w:t>los</w:t>
      </w:r>
      <w:r>
        <w:rPr>
          <w:color w:val="231F1F"/>
          <w:spacing w:val="-13"/>
          <w:w w:val="110"/>
        </w:rPr>
        <w:t> </w:t>
      </w:r>
      <w:r>
        <w:rPr>
          <w:color w:val="231F1F"/>
          <w:w w:val="110"/>
        </w:rPr>
        <w:t>estudios</w:t>
      </w:r>
      <w:r>
        <w:rPr>
          <w:color w:val="231F1F"/>
          <w:spacing w:val="-13"/>
          <w:w w:val="110"/>
        </w:rPr>
        <w:t> </w:t>
      </w:r>
      <w:r>
        <w:rPr>
          <w:color w:val="231F1F"/>
          <w:w w:val="110"/>
        </w:rPr>
        <w:t>que</w:t>
      </w:r>
      <w:r>
        <w:rPr>
          <w:color w:val="231F1F"/>
          <w:spacing w:val="-13"/>
          <w:w w:val="110"/>
        </w:rPr>
        <w:t> </w:t>
      </w:r>
      <w:r>
        <w:rPr>
          <w:color w:val="231F1F"/>
          <w:w w:val="110"/>
        </w:rPr>
        <w:t>presentaban</w:t>
      </w:r>
      <w:r>
        <w:rPr>
          <w:color w:val="231F1F"/>
          <w:spacing w:val="-13"/>
          <w:w w:val="110"/>
        </w:rPr>
        <w:t> </w:t>
      </w:r>
      <w:r>
        <w:rPr>
          <w:color w:val="231F1F"/>
          <w:w w:val="110"/>
        </w:rPr>
        <w:t>información</w:t>
      </w:r>
      <w:r>
        <w:rPr>
          <w:color w:val="231F1F"/>
          <w:spacing w:val="-13"/>
          <w:w w:val="110"/>
        </w:rPr>
        <w:t> </w:t>
      </w:r>
      <w:r>
        <w:rPr>
          <w:color w:val="231F1F"/>
          <w:w w:val="110"/>
        </w:rPr>
        <w:t>sobre</w:t>
      </w:r>
      <w:r>
        <w:rPr>
          <w:color w:val="231F1F"/>
          <w:spacing w:val="-13"/>
          <w:w w:val="110"/>
        </w:rPr>
        <w:t> </w:t>
      </w:r>
      <w:r>
        <w:rPr>
          <w:color w:val="231F1F"/>
          <w:w w:val="110"/>
        </w:rPr>
        <w:t>el</w:t>
      </w:r>
      <w:r>
        <w:rPr>
          <w:color w:val="231F1F"/>
          <w:spacing w:val="-14"/>
          <w:w w:val="110"/>
        </w:rPr>
        <w:t> </w:t>
      </w:r>
      <w:r>
        <w:rPr>
          <w:color w:val="231F1F"/>
          <w:w w:val="110"/>
        </w:rPr>
        <w:t>sangrado.</w:t>
      </w:r>
      <w:r>
        <w:rPr>
          <w:color w:val="231F1F"/>
          <w:spacing w:val="-15"/>
          <w:w w:val="110"/>
        </w:rPr>
        <w:t> </w:t>
      </w:r>
      <w:r>
        <w:rPr>
          <w:color w:val="231F1F"/>
          <w:w w:val="110"/>
        </w:rPr>
        <w:t>Los</w:t>
      </w:r>
      <w:r>
        <w:rPr>
          <w:color w:val="231F1F"/>
          <w:spacing w:val="-13"/>
          <w:w w:val="110"/>
        </w:rPr>
        <w:t> </w:t>
      </w:r>
      <w:r>
        <w:rPr>
          <w:color w:val="231F1F"/>
          <w:w w:val="110"/>
        </w:rPr>
        <w:t>estudios</w:t>
      </w:r>
      <w:r>
        <w:rPr>
          <w:color w:val="231F1F"/>
          <w:spacing w:val="-13"/>
          <w:w w:val="110"/>
        </w:rPr>
        <w:t> </w:t>
      </w:r>
      <w:r>
        <w:rPr>
          <w:color w:val="231F1F"/>
          <w:w w:val="110"/>
        </w:rPr>
        <w:t>se </w:t>
      </w:r>
      <w:r>
        <w:rPr>
          <w:color w:val="231F1F"/>
          <w:spacing w:val="-2"/>
          <w:w w:val="110"/>
        </w:rPr>
        <w:t>agruparon</w:t>
      </w:r>
      <w:r>
        <w:rPr>
          <w:color w:val="231F1F"/>
          <w:spacing w:val="-8"/>
          <w:w w:val="110"/>
        </w:rPr>
        <w:t> </w:t>
      </w:r>
      <w:r>
        <w:rPr>
          <w:color w:val="231F1F"/>
          <w:spacing w:val="-2"/>
          <w:w w:val="110"/>
        </w:rPr>
        <w:t>en</w:t>
      </w:r>
      <w:r>
        <w:rPr>
          <w:color w:val="231F1F"/>
          <w:spacing w:val="-9"/>
          <w:w w:val="110"/>
        </w:rPr>
        <w:t> </w:t>
      </w:r>
      <w:r>
        <w:rPr>
          <w:color w:val="231F1F"/>
          <w:spacing w:val="-2"/>
          <w:w w:val="110"/>
        </w:rPr>
        <w:t>base</w:t>
      </w:r>
      <w:r>
        <w:rPr>
          <w:color w:val="231F1F"/>
          <w:spacing w:val="-9"/>
          <w:w w:val="110"/>
        </w:rPr>
        <w:t> </w:t>
      </w:r>
      <w:r>
        <w:rPr>
          <w:color w:val="231F1F"/>
          <w:spacing w:val="-2"/>
          <w:w w:val="110"/>
        </w:rPr>
        <w:t>a</w:t>
      </w:r>
      <w:r>
        <w:rPr>
          <w:color w:val="231F1F"/>
          <w:spacing w:val="-9"/>
          <w:w w:val="110"/>
        </w:rPr>
        <w:t> </w:t>
      </w:r>
      <w:r>
        <w:rPr>
          <w:color w:val="231F1F"/>
          <w:spacing w:val="-2"/>
          <w:w w:val="110"/>
        </w:rPr>
        <w:t>los</w:t>
      </w:r>
      <w:r>
        <w:rPr>
          <w:color w:val="231F1F"/>
          <w:spacing w:val="-9"/>
          <w:w w:val="110"/>
        </w:rPr>
        <w:t> </w:t>
      </w:r>
      <w:r>
        <w:rPr>
          <w:color w:val="231F1F"/>
          <w:spacing w:val="-2"/>
          <w:w w:val="110"/>
        </w:rPr>
        <w:t>diferentes</w:t>
      </w:r>
      <w:r>
        <w:rPr>
          <w:color w:val="231F1F"/>
          <w:spacing w:val="-9"/>
          <w:w w:val="110"/>
        </w:rPr>
        <w:t> </w:t>
      </w:r>
      <w:r>
        <w:rPr>
          <w:color w:val="231F1F"/>
          <w:spacing w:val="-2"/>
          <w:w w:val="110"/>
        </w:rPr>
        <w:t>procedimientos</w:t>
      </w:r>
      <w:r>
        <w:rPr>
          <w:color w:val="231F1F"/>
          <w:spacing w:val="-9"/>
          <w:w w:val="110"/>
        </w:rPr>
        <w:t> </w:t>
      </w:r>
      <w:r>
        <w:rPr>
          <w:color w:val="231F1F"/>
          <w:spacing w:val="-2"/>
          <w:w w:val="110"/>
        </w:rPr>
        <w:t>realizados</w:t>
      </w:r>
      <w:r>
        <w:rPr>
          <w:color w:val="231F1F"/>
          <w:spacing w:val="-9"/>
          <w:w w:val="110"/>
        </w:rPr>
        <w:t> </w:t>
      </w:r>
      <w:r>
        <w:rPr>
          <w:color w:val="231F1F"/>
          <w:spacing w:val="-2"/>
          <w:w w:val="110"/>
        </w:rPr>
        <w:t>y</w:t>
      </w:r>
      <w:r>
        <w:rPr>
          <w:color w:val="231F1F"/>
          <w:spacing w:val="-9"/>
          <w:w w:val="110"/>
        </w:rPr>
        <w:t> </w:t>
      </w:r>
      <w:r>
        <w:rPr>
          <w:color w:val="231F1F"/>
          <w:spacing w:val="-2"/>
          <w:w w:val="110"/>
        </w:rPr>
        <w:t>se</w:t>
      </w:r>
      <w:r>
        <w:rPr>
          <w:color w:val="231F1F"/>
          <w:spacing w:val="-9"/>
          <w:w w:val="110"/>
        </w:rPr>
        <w:t> </w:t>
      </w:r>
      <w:r>
        <w:rPr>
          <w:color w:val="231F1F"/>
          <w:spacing w:val="-2"/>
          <w:w w:val="110"/>
        </w:rPr>
        <w:t>realizó</w:t>
      </w:r>
      <w:r>
        <w:rPr>
          <w:color w:val="231F1F"/>
          <w:spacing w:val="-9"/>
          <w:w w:val="110"/>
        </w:rPr>
        <w:t> </w:t>
      </w:r>
      <w:r>
        <w:rPr>
          <w:color w:val="231F1F"/>
          <w:spacing w:val="-2"/>
          <w:w w:val="110"/>
        </w:rPr>
        <w:t>una </w:t>
      </w:r>
      <w:r>
        <w:rPr>
          <w:color w:val="231F1F"/>
          <w:w w:val="110"/>
        </w:rPr>
        <w:t>síntesis</w:t>
      </w:r>
      <w:r>
        <w:rPr>
          <w:color w:val="231F1F"/>
          <w:spacing w:val="-15"/>
          <w:w w:val="110"/>
        </w:rPr>
        <w:t> </w:t>
      </w:r>
      <w:r>
        <w:rPr>
          <w:color w:val="231F1F"/>
          <w:w w:val="110"/>
        </w:rPr>
        <w:t>narrativa,</w:t>
      </w:r>
      <w:r>
        <w:rPr>
          <w:color w:val="231F1F"/>
          <w:spacing w:val="-15"/>
          <w:w w:val="110"/>
        </w:rPr>
        <w:t> </w:t>
      </w:r>
      <w:r>
        <w:rPr>
          <w:color w:val="231F1F"/>
          <w:w w:val="110"/>
        </w:rPr>
        <w:t>ya</w:t>
      </w:r>
      <w:r>
        <w:rPr>
          <w:color w:val="231F1F"/>
          <w:spacing w:val="-15"/>
          <w:w w:val="110"/>
        </w:rPr>
        <w:t> </w:t>
      </w:r>
      <w:r>
        <w:rPr>
          <w:color w:val="231F1F"/>
          <w:w w:val="110"/>
        </w:rPr>
        <w:t>que</w:t>
      </w:r>
      <w:r>
        <w:rPr>
          <w:color w:val="231F1F"/>
          <w:spacing w:val="-14"/>
          <w:w w:val="110"/>
        </w:rPr>
        <w:t> </w:t>
      </w:r>
      <w:r>
        <w:rPr>
          <w:color w:val="231F1F"/>
          <w:w w:val="110"/>
        </w:rPr>
        <w:t>entre</w:t>
      </w:r>
      <w:r>
        <w:rPr>
          <w:color w:val="231F1F"/>
          <w:spacing w:val="-15"/>
          <w:w w:val="110"/>
        </w:rPr>
        <w:t> </w:t>
      </w:r>
      <w:r>
        <w:rPr>
          <w:color w:val="231F1F"/>
          <w:w w:val="110"/>
        </w:rPr>
        <w:t>los</w:t>
      </w:r>
      <w:r>
        <w:rPr>
          <w:color w:val="231F1F"/>
          <w:spacing w:val="-15"/>
          <w:w w:val="110"/>
        </w:rPr>
        <w:t> </w:t>
      </w:r>
      <w:r>
        <w:rPr>
          <w:color w:val="231F1F"/>
          <w:w w:val="110"/>
        </w:rPr>
        <w:t>diferentes</w:t>
      </w:r>
      <w:r>
        <w:rPr>
          <w:color w:val="231F1F"/>
          <w:spacing w:val="-15"/>
          <w:w w:val="110"/>
        </w:rPr>
        <w:t> </w:t>
      </w:r>
      <w:r>
        <w:rPr>
          <w:color w:val="231F1F"/>
          <w:w w:val="110"/>
        </w:rPr>
        <w:t>estudios</w:t>
      </w:r>
      <w:r>
        <w:rPr>
          <w:color w:val="231F1F"/>
          <w:spacing w:val="-15"/>
          <w:w w:val="110"/>
        </w:rPr>
        <w:t> </w:t>
      </w:r>
      <w:r>
        <w:rPr>
          <w:color w:val="231F1F"/>
          <w:w w:val="110"/>
        </w:rPr>
        <w:t>hubo</w:t>
      </w:r>
      <w:r>
        <w:rPr>
          <w:color w:val="231F1F"/>
          <w:spacing w:val="-14"/>
          <w:w w:val="110"/>
        </w:rPr>
        <w:t> </w:t>
      </w:r>
      <w:r>
        <w:rPr>
          <w:color w:val="231F1F"/>
          <w:w w:val="110"/>
        </w:rPr>
        <w:t>una</w:t>
      </w:r>
      <w:r>
        <w:rPr>
          <w:color w:val="231F1F"/>
          <w:spacing w:val="-15"/>
          <w:w w:val="110"/>
        </w:rPr>
        <w:t> </w:t>
      </w:r>
      <w:r>
        <w:rPr>
          <w:color w:val="231F1F"/>
          <w:w w:val="110"/>
        </w:rPr>
        <w:t>heterogenei- dad</w:t>
      </w:r>
      <w:r>
        <w:rPr>
          <w:color w:val="231F1F"/>
          <w:spacing w:val="-16"/>
          <w:w w:val="110"/>
        </w:rPr>
        <w:t> </w:t>
      </w:r>
      <w:r>
        <w:rPr>
          <w:color w:val="231F1F"/>
          <w:w w:val="110"/>
        </w:rPr>
        <w:t>cualitativa</w:t>
      </w:r>
      <w:r>
        <w:rPr>
          <w:color w:val="231F1F"/>
          <w:spacing w:val="-15"/>
          <w:w w:val="110"/>
        </w:rPr>
        <w:t> </w:t>
      </w:r>
      <w:r>
        <w:rPr>
          <w:color w:val="231F1F"/>
          <w:w w:val="110"/>
        </w:rPr>
        <w:t>evidente</w:t>
      </w:r>
      <w:r>
        <w:rPr>
          <w:color w:val="231F1F"/>
          <w:spacing w:val="-15"/>
          <w:w w:val="110"/>
        </w:rPr>
        <w:t> </w:t>
      </w:r>
      <w:r>
        <w:rPr>
          <w:color w:val="231F1F"/>
          <w:w w:val="110"/>
        </w:rPr>
        <w:t>y</w:t>
      </w:r>
      <w:r>
        <w:rPr>
          <w:color w:val="231F1F"/>
          <w:spacing w:val="-15"/>
          <w:w w:val="110"/>
        </w:rPr>
        <w:t> </w:t>
      </w:r>
      <w:r>
        <w:rPr>
          <w:color w:val="231F1F"/>
          <w:w w:val="110"/>
        </w:rPr>
        <w:t>mostraban</w:t>
      </w:r>
      <w:r>
        <w:rPr>
          <w:color w:val="231F1F"/>
          <w:spacing w:val="-15"/>
          <w:w w:val="110"/>
        </w:rPr>
        <w:t> </w:t>
      </w:r>
      <w:r>
        <w:rPr>
          <w:color w:val="231F1F"/>
          <w:w w:val="110"/>
        </w:rPr>
        <w:t>limitaciones</w:t>
      </w:r>
      <w:r>
        <w:rPr>
          <w:color w:val="231F1F"/>
          <w:spacing w:val="-15"/>
          <w:w w:val="110"/>
        </w:rPr>
        <w:t> </w:t>
      </w:r>
      <w:r>
        <w:rPr>
          <w:color w:val="231F1F"/>
          <w:w w:val="110"/>
        </w:rPr>
        <w:t>metodológicas.</w:t>
      </w:r>
      <w:r>
        <w:rPr>
          <w:color w:val="231F1F"/>
          <w:spacing w:val="-15"/>
          <w:w w:val="110"/>
        </w:rPr>
        <w:t> </w:t>
      </w:r>
      <w:r>
        <w:rPr>
          <w:color w:val="231F1F"/>
          <w:w w:val="110"/>
        </w:rPr>
        <w:t>Los</w:t>
      </w:r>
      <w:r>
        <w:rPr>
          <w:color w:val="231F1F"/>
          <w:spacing w:val="-15"/>
          <w:w w:val="110"/>
        </w:rPr>
        <w:t> </w:t>
      </w:r>
      <w:r>
        <w:rPr>
          <w:color w:val="231F1F"/>
          <w:w w:val="110"/>
        </w:rPr>
        <w:t>resul- tados</w:t>
      </w:r>
      <w:r>
        <w:rPr>
          <w:color w:val="231F1F"/>
          <w:spacing w:val="-16"/>
          <w:w w:val="110"/>
        </w:rPr>
        <w:t> </w:t>
      </w:r>
      <w:r>
        <w:rPr>
          <w:color w:val="231F1F"/>
          <w:w w:val="110"/>
        </w:rPr>
        <w:t>mostraron</w:t>
      </w:r>
      <w:r>
        <w:rPr>
          <w:color w:val="231F1F"/>
          <w:spacing w:val="-15"/>
          <w:w w:val="110"/>
        </w:rPr>
        <w:t> </w:t>
      </w:r>
      <w:r>
        <w:rPr>
          <w:color w:val="231F1F"/>
          <w:w w:val="110"/>
        </w:rPr>
        <w:t>similares</w:t>
      </w:r>
      <w:r>
        <w:rPr>
          <w:color w:val="231F1F"/>
          <w:spacing w:val="-15"/>
          <w:w w:val="110"/>
        </w:rPr>
        <w:t> </w:t>
      </w:r>
      <w:r>
        <w:rPr>
          <w:color w:val="231F1F"/>
          <w:w w:val="110"/>
        </w:rPr>
        <w:t>tasas</w:t>
      </w:r>
      <w:r>
        <w:rPr>
          <w:color w:val="231F1F"/>
          <w:spacing w:val="-14"/>
          <w:w w:val="110"/>
        </w:rPr>
        <w:t> </w:t>
      </w:r>
      <w:r>
        <w:rPr>
          <w:color w:val="231F1F"/>
          <w:w w:val="110"/>
        </w:rPr>
        <w:t>de</w:t>
      </w:r>
      <w:r>
        <w:rPr>
          <w:color w:val="231F1F"/>
          <w:spacing w:val="-15"/>
          <w:w w:val="110"/>
        </w:rPr>
        <w:t> </w:t>
      </w:r>
      <w:r>
        <w:rPr>
          <w:color w:val="231F1F"/>
          <w:w w:val="110"/>
        </w:rPr>
        <w:t>sangrados</w:t>
      </w:r>
      <w:r>
        <w:rPr>
          <w:color w:val="231F1F"/>
          <w:spacing w:val="-15"/>
          <w:w w:val="110"/>
        </w:rPr>
        <w:t> </w:t>
      </w:r>
      <w:r>
        <w:rPr>
          <w:color w:val="231F1F"/>
          <w:w w:val="110"/>
        </w:rPr>
        <w:t>entre</w:t>
      </w:r>
      <w:r>
        <w:rPr>
          <w:color w:val="231F1F"/>
          <w:spacing w:val="-15"/>
          <w:w w:val="110"/>
        </w:rPr>
        <w:t> </w:t>
      </w:r>
      <w:r>
        <w:rPr>
          <w:color w:val="231F1F"/>
          <w:w w:val="110"/>
        </w:rPr>
        <w:t>los</w:t>
      </w:r>
      <w:r>
        <w:rPr>
          <w:color w:val="231F1F"/>
          <w:spacing w:val="-15"/>
          <w:w w:val="110"/>
        </w:rPr>
        <w:t> </w:t>
      </w:r>
      <w:r>
        <w:rPr>
          <w:color w:val="231F1F"/>
          <w:w w:val="110"/>
        </w:rPr>
        <w:t>pacientes</w:t>
      </w:r>
      <w:r>
        <w:rPr>
          <w:color w:val="231F1F"/>
          <w:spacing w:val="-15"/>
          <w:w w:val="110"/>
        </w:rPr>
        <w:t> </w:t>
      </w:r>
      <w:r>
        <w:rPr>
          <w:color w:val="231F1F"/>
          <w:w w:val="110"/>
        </w:rPr>
        <w:t>con</w:t>
      </w:r>
      <w:r>
        <w:rPr>
          <w:color w:val="231F1F"/>
          <w:spacing w:val="-14"/>
          <w:w w:val="110"/>
        </w:rPr>
        <w:t> </w:t>
      </w:r>
      <w:r>
        <w:rPr>
          <w:color w:val="231F1F"/>
          <w:w w:val="110"/>
        </w:rPr>
        <w:t>resulta- do</w:t>
      </w:r>
      <w:r>
        <w:rPr>
          <w:color w:val="231F1F"/>
          <w:spacing w:val="-4"/>
          <w:w w:val="110"/>
        </w:rPr>
        <w:t> </w:t>
      </w:r>
      <w:r>
        <w:rPr>
          <w:color w:val="231F1F"/>
          <w:w w:val="110"/>
        </w:rPr>
        <w:t>del</w:t>
      </w:r>
      <w:r>
        <w:rPr>
          <w:color w:val="231F1F"/>
          <w:spacing w:val="-5"/>
          <w:w w:val="110"/>
        </w:rPr>
        <w:t> </w:t>
      </w:r>
      <w:r>
        <w:rPr>
          <w:color w:val="231F1F"/>
          <w:w w:val="110"/>
        </w:rPr>
        <w:t>test</w:t>
      </w:r>
      <w:r>
        <w:rPr>
          <w:color w:val="231F1F"/>
          <w:spacing w:val="-5"/>
          <w:w w:val="110"/>
        </w:rPr>
        <w:t> </w:t>
      </w:r>
      <w:r>
        <w:rPr>
          <w:color w:val="231F1F"/>
          <w:w w:val="110"/>
        </w:rPr>
        <w:t>de</w:t>
      </w:r>
      <w:r>
        <w:rPr>
          <w:color w:val="231F1F"/>
          <w:spacing w:val="-4"/>
          <w:w w:val="110"/>
        </w:rPr>
        <w:t> </w:t>
      </w:r>
      <w:r>
        <w:rPr>
          <w:color w:val="231F1F"/>
          <w:w w:val="110"/>
        </w:rPr>
        <w:t>coagulación</w:t>
      </w:r>
      <w:r>
        <w:rPr>
          <w:color w:val="231F1F"/>
          <w:spacing w:val="-4"/>
          <w:w w:val="110"/>
        </w:rPr>
        <w:t> </w:t>
      </w:r>
      <w:r>
        <w:rPr>
          <w:color w:val="231F1F"/>
          <w:w w:val="110"/>
        </w:rPr>
        <w:t>anormal</w:t>
      </w:r>
      <w:r>
        <w:rPr>
          <w:color w:val="231F1F"/>
          <w:spacing w:val="-5"/>
          <w:w w:val="110"/>
        </w:rPr>
        <w:t> </w:t>
      </w:r>
      <w:r>
        <w:rPr>
          <w:color w:val="231F1F"/>
          <w:w w:val="110"/>
        </w:rPr>
        <w:t>y</w:t>
      </w:r>
      <w:r>
        <w:rPr>
          <w:color w:val="231F1F"/>
          <w:spacing w:val="-4"/>
          <w:w w:val="110"/>
        </w:rPr>
        <w:t> </w:t>
      </w:r>
      <w:r>
        <w:rPr>
          <w:color w:val="231F1F"/>
          <w:w w:val="110"/>
        </w:rPr>
        <w:t>normal.</w:t>
      </w:r>
      <w:r>
        <w:rPr>
          <w:color w:val="231F1F"/>
          <w:spacing w:val="-5"/>
          <w:w w:val="110"/>
        </w:rPr>
        <w:t> </w:t>
      </w:r>
      <w:r>
        <w:rPr>
          <w:color w:val="231F1F"/>
          <w:w w:val="110"/>
        </w:rPr>
        <w:t>En</w:t>
      </w:r>
      <w:r>
        <w:rPr>
          <w:color w:val="231F1F"/>
          <w:spacing w:val="-4"/>
          <w:w w:val="110"/>
        </w:rPr>
        <w:t> </w:t>
      </w:r>
      <w:r>
        <w:rPr>
          <w:color w:val="231F1F"/>
          <w:w w:val="110"/>
        </w:rPr>
        <w:t>el</w:t>
      </w:r>
      <w:r>
        <w:rPr>
          <w:color w:val="231F1F"/>
          <w:spacing w:val="-5"/>
          <w:w w:val="110"/>
        </w:rPr>
        <w:t> </w:t>
      </w:r>
      <w:r>
        <w:rPr>
          <w:color w:val="231F1F"/>
          <w:w w:val="110"/>
        </w:rPr>
        <w:t>estudio</w:t>
      </w:r>
      <w:r>
        <w:rPr>
          <w:color w:val="231F1F"/>
          <w:spacing w:val="-4"/>
          <w:w w:val="110"/>
        </w:rPr>
        <w:t> </w:t>
      </w:r>
      <w:r>
        <w:rPr>
          <w:color w:val="231F1F"/>
          <w:w w:val="110"/>
        </w:rPr>
        <w:t>se</w:t>
      </w:r>
      <w:r>
        <w:rPr>
          <w:color w:val="231F1F"/>
          <w:spacing w:val="-5"/>
          <w:w w:val="110"/>
        </w:rPr>
        <w:t> </w:t>
      </w:r>
      <w:r>
        <w:rPr>
          <w:color w:val="231F1F"/>
          <w:w w:val="110"/>
        </w:rPr>
        <w:t>concluye</w:t>
      </w:r>
      <w:r>
        <w:rPr>
          <w:color w:val="231F1F"/>
          <w:spacing w:val="-4"/>
          <w:w w:val="110"/>
        </w:rPr>
        <w:t> </w:t>
      </w:r>
      <w:r>
        <w:rPr>
          <w:color w:val="231F1F"/>
          <w:w w:val="110"/>
        </w:rPr>
        <w:t>que no</w:t>
      </w:r>
      <w:r>
        <w:rPr>
          <w:color w:val="231F1F"/>
          <w:w w:val="110"/>
        </w:rPr>
        <w:t> existe</w:t>
      </w:r>
      <w:r>
        <w:rPr>
          <w:color w:val="231F1F"/>
          <w:w w:val="110"/>
        </w:rPr>
        <w:t> suficiente</w:t>
      </w:r>
      <w:r>
        <w:rPr>
          <w:color w:val="231F1F"/>
          <w:w w:val="110"/>
        </w:rPr>
        <w:t> evidencia</w:t>
      </w:r>
      <w:r>
        <w:rPr>
          <w:color w:val="231F1F"/>
          <w:w w:val="110"/>
        </w:rPr>
        <w:t> para</w:t>
      </w:r>
      <w:r>
        <w:rPr>
          <w:color w:val="231F1F"/>
          <w:w w:val="110"/>
        </w:rPr>
        <w:t> concluir que</w:t>
      </w:r>
      <w:r>
        <w:rPr>
          <w:color w:val="231F1F"/>
          <w:w w:val="110"/>
        </w:rPr>
        <w:t> un</w:t>
      </w:r>
      <w:r>
        <w:rPr>
          <w:color w:val="231F1F"/>
          <w:w w:val="110"/>
        </w:rPr>
        <w:t> resultado</w:t>
      </w:r>
      <w:r>
        <w:rPr>
          <w:color w:val="231F1F"/>
          <w:w w:val="110"/>
        </w:rPr>
        <w:t> anormal del estudio de coagulación predice el sangrado.</w:t>
      </w:r>
    </w:p>
    <w:p>
      <w:pPr>
        <w:pStyle w:val="BodyText"/>
        <w:spacing w:line="247" w:lineRule="auto" w:before="62"/>
        <w:ind w:left="283" w:firstLine="453"/>
        <w:jc w:val="both"/>
      </w:pPr>
      <w:r>
        <w:rPr>
          <w:color w:val="231F1F"/>
          <w:w w:val="105"/>
        </w:rPr>
        <w:t>El</w:t>
      </w:r>
      <w:r>
        <w:rPr>
          <w:color w:val="231F1F"/>
          <w:w w:val="105"/>
        </w:rPr>
        <w:t> ultimo</w:t>
      </w:r>
      <w:r>
        <w:rPr>
          <w:color w:val="231F1F"/>
          <w:w w:val="105"/>
        </w:rPr>
        <w:t> documento</w:t>
      </w:r>
      <w:r>
        <w:rPr>
          <w:color w:val="231F1F"/>
          <w:w w:val="105"/>
        </w:rPr>
        <w:t> seleccionado</w:t>
      </w:r>
      <w:r>
        <w:rPr>
          <w:color w:val="231F1F"/>
          <w:w w:val="105"/>
        </w:rPr>
        <w:t> es</w:t>
      </w:r>
      <w:r>
        <w:rPr>
          <w:color w:val="231F1F"/>
          <w:w w:val="105"/>
        </w:rPr>
        <w:t> otra</w:t>
      </w:r>
      <w:r>
        <w:rPr>
          <w:color w:val="231F1F"/>
          <w:w w:val="105"/>
        </w:rPr>
        <w:t> RS</w:t>
      </w:r>
      <w:r>
        <w:rPr>
          <w:color w:val="231F1F"/>
          <w:w w:val="105"/>
        </w:rPr>
        <w:t> de</w:t>
      </w:r>
      <w:r>
        <w:rPr>
          <w:color w:val="231F1F"/>
          <w:w w:val="105"/>
        </w:rPr>
        <w:t> la</w:t>
      </w:r>
      <w:r>
        <w:rPr>
          <w:color w:val="231F1F"/>
          <w:w w:val="105"/>
        </w:rPr>
        <w:t> Sociedad</w:t>
      </w:r>
      <w:r>
        <w:rPr>
          <w:color w:val="231F1F"/>
          <w:w w:val="105"/>
        </w:rPr>
        <w:t> Británica</w:t>
      </w:r>
      <w:r>
        <w:rPr>
          <w:color w:val="231F1F"/>
          <w:spacing w:val="80"/>
          <w:w w:val="105"/>
        </w:rPr>
        <w:t> </w:t>
      </w:r>
      <w:r>
        <w:rPr>
          <w:color w:val="231F1F"/>
          <w:w w:val="105"/>
        </w:rPr>
        <w:t>de hematología, publicado en el 2008 (321), y que incluye resultados de la RS mencionada antes (320).</w:t>
      </w:r>
    </w:p>
    <w:p>
      <w:pPr>
        <w:pStyle w:val="BodyText"/>
        <w:spacing w:line="247" w:lineRule="auto" w:before="145"/>
        <w:ind w:left="283" w:firstLine="453"/>
        <w:jc w:val="both"/>
      </w:pPr>
      <w:r>
        <w:rPr>
          <w:color w:val="231F1F"/>
          <w:w w:val="110"/>
        </w:rPr>
        <w:t>La</w:t>
      </w:r>
      <w:r>
        <w:rPr>
          <w:color w:val="231F1F"/>
          <w:spacing w:val="-5"/>
          <w:w w:val="110"/>
        </w:rPr>
        <w:t> </w:t>
      </w:r>
      <w:r>
        <w:rPr>
          <w:color w:val="231F1F"/>
          <w:w w:val="110"/>
        </w:rPr>
        <w:t>RS</w:t>
      </w:r>
      <w:r>
        <w:rPr>
          <w:color w:val="231F1F"/>
          <w:spacing w:val="-5"/>
          <w:w w:val="110"/>
        </w:rPr>
        <w:t> </w:t>
      </w:r>
      <w:r>
        <w:rPr>
          <w:color w:val="231F1F"/>
          <w:w w:val="110"/>
        </w:rPr>
        <w:t>pretende</w:t>
      </w:r>
      <w:r>
        <w:rPr>
          <w:color w:val="231F1F"/>
          <w:spacing w:val="-6"/>
          <w:w w:val="110"/>
        </w:rPr>
        <w:t> </w:t>
      </w:r>
      <w:r>
        <w:rPr>
          <w:color w:val="231F1F"/>
          <w:w w:val="110"/>
        </w:rPr>
        <w:t>determinar</w:t>
      </w:r>
      <w:r>
        <w:rPr>
          <w:color w:val="231F1F"/>
          <w:spacing w:val="-6"/>
          <w:w w:val="110"/>
        </w:rPr>
        <w:t> </w:t>
      </w:r>
      <w:r>
        <w:rPr>
          <w:color w:val="231F1F"/>
          <w:w w:val="110"/>
        </w:rPr>
        <w:t>si</w:t>
      </w:r>
      <w:r>
        <w:rPr>
          <w:color w:val="231F1F"/>
          <w:spacing w:val="-6"/>
          <w:w w:val="110"/>
        </w:rPr>
        <w:t> </w:t>
      </w:r>
      <w:r>
        <w:rPr>
          <w:color w:val="231F1F"/>
          <w:w w:val="110"/>
        </w:rPr>
        <w:t>la</w:t>
      </w:r>
      <w:r>
        <w:rPr>
          <w:color w:val="231F1F"/>
          <w:spacing w:val="-5"/>
          <w:w w:val="110"/>
        </w:rPr>
        <w:t> </w:t>
      </w:r>
      <w:r>
        <w:rPr>
          <w:color w:val="231F1F"/>
          <w:w w:val="110"/>
        </w:rPr>
        <w:t>historia</w:t>
      </w:r>
      <w:r>
        <w:rPr>
          <w:color w:val="231F1F"/>
          <w:spacing w:val="-5"/>
          <w:w w:val="110"/>
        </w:rPr>
        <w:t> </w:t>
      </w:r>
      <w:r>
        <w:rPr>
          <w:color w:val="231F1F"/>
          <w:w w:val="110"/>
        </w:rPr>
        <w:t>de</w:t>
      </w:r>
      <w:r>
        <w:rPr>
          <w:color w:val="231F1F"/>
          <w:spacing w:val="-5"/>
          <w:w w:val="110"/>
        </w:rPr>
        <w:t> </w:t>
      </w:r>
      <w:r>
        <w:rPr>
          <w:color w:val="231F1F"/>
          <w:w w:val="110"/>
        </w:rPr>
        <w:t>sangrado</w:t>
      </w:r>
      <w:r>
        <w:rPr>
          <w:color w:val="231F1F"/>
          <w:spacing w:val="-6"/>
          <w:w w:val="110"/>
        </w:rPr>
        <w:t> </w:t>
      </w:r>
      <w:r>
        <w:rPr>
          <w:color w:val="231F1F"/>
          <w:w w:val="110"/>
        </w:rPr>
        <w:t>de</w:t>
      </w:r>
      <w:r>
        <w:rPr>
          <w:color w:val="231F1F"/>
          <w:spacing w:val="-5"/>
          <w:w w:val="110"/>
        </w:rPr>
        <w:t> </w:t>
      </w:r>
      <w:r>
        <w:rPr>
          <w:color w:val="231F1F"/>
          <w:w w:val="110"/>
        </w:rPr>
        <w:t>pacientes</w:t>
      </w:r>
      <w:r>
        <w:rPr>
          <w:color w:val="231F1F"/>
          <w:spacing w:val="-6"/>
          <w:w w:val="110"/>
        </w:rPr>
        <w:t> </w:t>
      </w:r>
      <w:r>
        <w:rPr>
          <w:color w:val="231F1F"/>
          <w:w w:val="110"/>
        </w:rPr>
        <w:t>y</w:t>
      </w:r>
      <w:r>
        <w:rPr>
          <w:color w:val="231F1F"/>
          <w:spacing w:val="-5"/>
          <w:w w:val="110"/>
        </w:rPr>
        <w:t> </w:t>
      </w:r>
      <w:r>
        <w:rPr>
          <w:color w:val="231F1F"/>
          <w:w w:val="110"/>
        </w:rPr>
        <w:t>las </w:t>
      </w:r>
      <w:r>
        <w:rPr>
          <w:color w:val="231F1F"/>
        </w:rPr>
        <w:t>pruebas de coagulación rutinarias antes de la cirugía predicen las hemorragias anormales perioperatorias. Tras la búsqueda realizada en Medline, la revisión </w:t>
      </w:r>
      <w:r>
        <w:rPr>
          <w:color w:val="231F1F"/>
          <w:w w:val="110"/>
        </w:rPr>
        <w:t>incluyó</w:t>
      </w:r>
      <w:r>
        <w:rPr>
          <w:color w:val="231F1F"/>
          <w:spacing w:val="-1"/>
          <w:w w:val="110"/>
        </w:rPr>
        <w:t> </w:t>
      </w:r>
      <w:r>
        <w:rPr>
          <w:color w:val="231F1F"/>
          <w:w w:val="110"/>
        </w:rPr>
        <w:t>nueve</w:t>
      </w:r>
      <w:r>
        <w:rPr>
          <w:color w:val="231F1F"/>
          <w:spacing w:val="-1"/>
          <w:w w:val="110"/>
        </w:rPr>
        <w:t> </w:t>
      </w:r>
      <w:r>
        <w:rPr>
          <w:color w:val="231F1F"/>
          <w:w w:val="110"/>
        </w:rPr>
        <w:t>estudios</w:t>
      </w:r>
      <w:r>
        <w:rPr>
          <w:color w:val="231F1F"/>
          <w:spacing w:val="-1"/>
          <w:w w:val="110"/>
        </w:rPr>
        <w:t> </w:t>
      </w:r>
      <w:r>
        <w:rPr>
          <w:color w:val="231F1F"/>
          <w:w w:val="110"/>
        </w:rPr>
        <w:t>observacionales</w:t>
      </w:r>
      <w:r>
        <w:rPr>
          <w:color w:val="231F1F"/>
          <w:spacing w:val="-1"/>
          <w:w w:val="110"/>
        </w:rPr>
        <w:t> </w:t>
      </w:r>
      <w:r>
        <w:rPr>
          <w:color w:val="231F1F"/>
          <w:w w:val="110"/>
        </w:rPr>
        <w:t>(3</w:t>
      </w:r>
      <w:r>
        <w:rPr>
          <w:color w:val="231F1F"/>
          <w:spacing w:val="-1"/>
          <w:w w:val="110"/>
        </w:rPr>
        <w:t> </w:t>
      </w:r>
      <w:r>
        <w:rPr>
          <w:color w:val="231F1F"/>
          <w:w w:val="110"/>
        </w:rPr>
        <w:t>de</w:t>
      </w:r>
      <w:r>
        <w:rPr>
          <w:color w:val="231F1F"/>
          <w:spacing w:val="-1"/>
          <w:w w:val="110"/>
        </w:rPr>
        <w:t> </w:t>
      </w:r>
      <w:r>
        <w:rPr>
          <w:color w:val="231F1F"/>
          <w:w w:val="110"/>
        </w:rPr>
        <w:t>ellos</w:t>
      </w:r>
      <w:r>
        <w:rPr>
          <w:color w:val="231F1F"/>
          <w:spacing w:val="-1"/>
          <w:w w:val="110"/>
        </w:rPr>
        <w:t> </w:t>
      </w:r>
      <w:r>
        <w:rPr>
          <w:color w:val="231F1F"/>
          <w:w w:val="110"/>
        </w:rPr>
        <w:t>prospectivos)</w:t>
      </w:r>
      <w:r>
        <w:rPr>
          <w:color w:val="231F1F"/>
          <w:spacing w:val="-1"/>
          <w:w w:val="110"/>
        </w:rPr>
        <w:t> </w:t>
      </w:r>
      <w:r>
        <w:rPr>
          <w:color w:val="231F1F"/>
          <w:w w:val="110"/>
        </w:rPr>
        <w:t>con datos suficientes</w:t>
      </w:r>
      <w:r>
        <w:rPr>
          <w:color w:val="231F1F"/>
          <w:spacing w:val="-4"/>
          <w:w w:val="110"/>
        </w:rPr>
        <w:t> </w:t>
      </w:r>
      <w:r>
        <w:rPr>
          <w:color w:val="231F1F"/>
          <w:w w:val="110"/>
        </w:rPr>
        <w:t>para</w:t>
      </w:r>
      <w:r>
        <w:rPr>
          <w:color w:val="231F1F"/>
          <w:spacing w:val="-3"/>
          <w:w w:val="110"/>
        </w:rPr>
        <w:t> </w:t>
      </w:r>
      <w:r>
        <w:rPr>
          <w:color w:val="231F1F"/>
          <w:w w:val="110"/>
        </w:rPr>
        <w:t>permitir</w:t>
      </w:r>
      <w:r>
        <w:rPr>
          <w:color w:val="231F1F"/>
          <w:spacing w:val="-3"/>
          <w:w w:val="110"/>
        </w:rPr>
        <w:t> </w:t>
      </w:r>
      <w:r>
        <w:rPr>
          <w:color w:val="231F1F"/>
          <w:w w:val="110"/>
        </w:rPr>
        <w:t>el</w:t>
      </w:r>
      <w:r>
        <w:rPr>
          <w:color w:val="231F1F"/>
          <w:spacing w:val="-3"/>
          <w:w w:val="110"/>
        </w:rPr>
        <w:t> </w:t>
      </w:r>
      <w:r>
        <w:rPr>
          <w:color w:val="231F1F"/>
          <w:w w:val="110"/>
        </w:rPr>
        <w:t>cálculo</w:t>
      </w:r>
      <w:r>
        <w:rPr>
          <w:color w:val="231F1F"/>
          <w:spacing w:val="-3"/>
          <w:w w:val="110"/>
        </w:rPr>
        <w:t> </w:t>
      </w:r>
      <w:r>
        <w:rPr>
          <w:color w:val="231F1F"/>
          <w:w w:val="110"/>
        </w:rPr>
        <w:t>del</w:t>
      </w:r>
      <w:r>
        <w:rPr>
          <w:color w:val="231F1F"/>
          <w:spacing w:val="-3"/>
          <w:w w:val="110"/>
        </w:rPr>
        <w:t> </w:t>
      </w:r>
      <w:r>
        <w:rPr>
          <w:color w:val="231F1F"/>
          <w:w w:val="110"/>
        </w:rPr>
        <w:t>valor</w:t>
      </w:r>
      <w:r>
        <w:rPr>
          <w:color w:val="231F1F"/>
          <w:spacing w:val="-3"/>
          <w:w w:val="110"/>
        </w:rPr>
        <w:t> </w:t>
      </w:r>
      <w:r>
        <w:rPr>
          <w:color w:val="231F1F"/>
          <w:w w:val="110"/>
        </w:rPr>
        <w:t>predictivo</w:t>
      </w:r>
      <w:r>
        <w:rPr>
          <w:color w:val="231F1F"/>
          <w:spacing w:val="-3"/>
          <w:w w:val="110"/>
        </w:rPr>
        <w:t> </w:t>
      </w:r>
      <w:r>
        <w:rPr>
          <w:color w:val="231F1F"/>
          <w:w w:val="110"/>
        </w:rPr>
        <w:t>(VP)</w:t>
      </w:r>
      <w:r>
        <w:rPr>
          <w:color w:val="231F1F"/>
          <w:spacing w:val="-3"/>
          <w:w w:val="110"/>
        </w:rPr>
        <w:t> </w:t>
      </w:r>
      <w:r>
        <w:rPr>
          <w:color w:val="231F1F"/>
          <w:w w:val="110"/>
        </w:rPr>
        <w:t>y</w:t>
      </w:r>
      <w:r>
        <w:rPr>
          <w:color w:val="231F1F"/>
          <w:spacing w:val="-3"/>
          <w:w w:val="110"/>
        </w:rPr>
        <w:t> </w:t>
      </w:r>
      <w:r>
        <w:rPr>
          <w:color w:val="231F1F"/>
          <w:w w:val="110"/>
        </w:rPr>
        <w:t>cocientes</w:t>
      </w:r>
      <w:r>
        <w:rPr>
          <w:color w:val="231F1F"/>
          <w:spacing w:val="-3"/>
          <w:w w:val="110"/>
        </w:rPr>
        <w:t> </w:t>
      </w:r>
      <w:r>
        <w:rPr>
          <w:color w:val="231F1F"/>
          <w:w w:val="110"/>
        </w:rPr>
        <w:t>de probabilidad</w:t>
      </w:r>
      <w:r>
        <w:rPr>
          <w:color w:val="231F1F"/>
          <w:spacing w:val="-13"/>
          <w:w w:val="110"/>
        </w:rPr>
        <w:t> </w:t>
      </w:r>
      <w:r>
        <w:rPr>
          <w:color w:val="231F1F"/>
          <w:w w:val="110"/>
        </w:rPr>
        <w:t>(Cp)</w:t>
      </w:r>
      <w:r>
        <w:rPr>
          <w:color w:val="231F1F"/>
          <w:spacing w:val="-14"/>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prueba.</w:t>
      </w:r>
      <w:r>
        <w:rPr>
          <w:color w:val="231F1F"/>
          <w:spacing w:val="-14"/>
          <w:w w:val="110"/>
        </w:rPr>
        <w:t> </w:t>
      </w:r>
      <w:r>
        <w:rPr>
          <w:color w:val="231F1F"/>
          <w:w w:val="110"/>
        </w:rPr>
        <w:t>Los</w:t>
      </w:r>
      <w:r>
        <w:rPr>
          <w:color w:val="231F1F"/>
          <w:spacing w:val="-13"/>
          <w:w w:val="110"/>
        </w:rPr>
        <w:t> </w:t>
      </w:r>
      <w:r>
        <w:rPr>
          <w:color w:val="231F1F"/>
          <w:w w:val="110"/>
        </w:rPr>
        <w:t>estudios</w:t>
      </w:r>
      <w:r>
        <w:rPr>
          <w:color w:val="231F1F"/>
          <w:spacing w:val="-13"/>
          <w:w w:val="110"/>
        </w:rPr>
        <w:t> </w:t>
      </w:r>
      <w:r>
        <w:rPr>
          <w:color w:val="231F1F"/>
          <w:w w:val="110"/>
        </w:rPr>
        <w:t>incluidos</w:t>
      </w:r>
      <w:r>
        <w:rPr>
          <w:color w:val="231F1F"/>
          <w:spacing w:val="-13"/>
          <w:w w:val="110"/>
        </w:rPr>
        <w:t> </w:t>
      </w:r>
      <w:r>
        <w:rPr>
          <w:color w:val="231F1F"/>
          <w:w w:val="110"/>
        </w:rPr>
        <w:t>eran</w:t>
      </w:r>
      <w:r>
        <w:rPr>
          <w:color w:val="231F1F"/>
          <w:spacing w:val="-13"/>
          <w:w w:val="110"/>
        </w:rPr>
        <w:t> </w:t>
      </w:r>
      <w:r>
        <w:rPr>
          <w:color w:val="231F1F"/>
          <w:w w:val="110"/>
        </w:rPr>
        <w:t>heterogéneos</w:t>
      </w:r>
      <w:r>
        <w:rPr>
          <w:color w:val="231F1F"/>
          <w:spacing w:val="-14"/>
          <w:w w:val="110"/>
        </w:rPr>
        <w:t> </w:t>
      </w:r>
      <w:r>
        <w:rPr>
          <w:color w:val="231F1F"/>
          <w:w w:val="110"/>
        </w:rPr>
        <w:t>en términos</w:t>
      </w:r>
      <w:r>
        <w:rPr>
          <w:color w:val="231F1F"/>
          <w:w w:val="110"/>
        </w:rPr>
        <w:t> de</w:t>
      </w:r>
      <w:r>
        <w:rPr>
          <w:color w:val="231F1F"/>
          <w:w w:val="110"/>
        </w:rPr>
        <w:t> criterios</w:t>
      </w:r>
      <w:r>
        <w:rPr>
          <w:color w:val="231F1F"/>
          <w:w w:val="110"/>
        </w:rPr>
        <w:t> de</w:t>
      </w:r>
      <w:r>
        <w:rPr>
          <w:color w:val="231F1F"/>
          <w:w w:val="110"/>
        </w:rPr>
        <w:t> inclusión,</w:t>
      </w:r>
      <w:r>
        <w:rPr>
          <w:color w:val="231F1F"/>
          <w:w w:val="110"/>
        </w:rPr>
        <w:t> factores</w:t>
      </w:r>
      <w:r>
        <w:rPr>
          <w:color w:val="231F1F"/>
          <w:w w:val="110"/>
        </w:rPr>
        <w:t> de</w:t>
      </w:r>
      <w:r>
        <w:rPr>
          <w:color w:val="231F1F"/>
          <w:w w:val="110"/>
        </w:rPr>
        <w:t> confusión,</w:t>
      </w:r>
      <w:r>
        <w:rPr>
          <w:color w:val="231F1F"/>
          <w:w w:val="110"/>
        </w:rPr>
        <w:t> definición</w:t>
      </w:r>
      <w:r>
        <w:rPr>
          <w:color w:val="231F1F"/>
          <w:w w:val="110"/>
        </w:rPr>
        <w:t> de</w:t>
      </w:r>
      <w:r>
        <w:rPr>
          <w:color w:val="231F1F"/>
          <w:w w:val="110"/>
        </w:rPr>
        <w:t> la prueba</w:t>
      </w:r>
      <w:r>
        <w:rPr>
          <w:color w:val="231F1F"/>
          <w:spacing w:val="-11"/>
          <w:w w:val="110"/>
        </w:rPr>
        <w:t> </w:t>
      </w:r>
      <w:r>
        <w:rPr>
          <w:color w:val="231F1F"/>
          <w:w w:val="110"/>
        </w:rPr>
        <w:t>de</w:t>
      </w:r>
      <w:r>
        <w:rPr>
          <w:color w:val="231F1F"/>
          <w:spacing w:val="-10"/>
          <w:w w:val="110"/>
        </w:rPr>
        <w:t> </w:t>
      </w:r>
      <w:r>
        <w:rPr>
          <w:color w:val="231F1F"/>
          <w:w w:val="110"/>
        </w:rPr>
        <w:t>coagulación</w:t>
      </w:r>
      <w:r>
        <w:rPr>
          <w:color w:val="231F1F"/>
          <w:spacing w:val="-10"/>
          <w:w w:val="110"/>
        </w:rPr>
        <w:t> </w:t>
      </w:r>
      <w:r>
        <w:rPr>
          <w:color w:val="231F1F"/>
          <w:w w:val="110"/>
        </w:rPr>
        <w:t>anormal,</w:t>
      </w:r>
      <w:r>
        <w:rPr>
          <w:color w:val="231F1F"/>
          <w:spacing w:val="-11"/>
          <w:w w:val="110"/>
        </w:rPr>
        <w:t> </w:t>
      </w:r>
      <w:r>
        <w:rPr>
          <w:color w:val="231F1F"/>
          <w:w w:val="110"/>
        </w:rPr>
        <w:t>métodos</w:t>
      </w:r>
      <w:r>
        <w:rPr>
          <w:color w:val="231F1F"/>
          <w:spacing w:val="-11"/>
          <w:w w:val="110"/>
        </w:rPr>
        <w:t> </w:t>
      </w:r>
      <w:r>
        <w:rPr>
          <w:color w:val="231F1F"/>
          <w:w w:val="110"/>
        </w:rPr>
        <w:t>de</w:t>
      </w:r>
      <w:r>
        <w:rPr>
          <w:color w:val="231F1F"/>
          <w:spacing w:val="-10"/>
          <w:w w:val="110"/>
        </w:rPr>
        <w:t> </w:t>
      </w:r>
      <w:r>
        <w:rPr>
          <w:color w:val="231F1F"/>
          <w:w w:val="110"/>
        </w:rPr>
        <w:t>registro</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historia</w:t>
      </w:r>
      <w:r>
        <w:rPr>
          <w:color w:val="231F1F"/>
          <w:spacing w:val="-10"/>
          <w:w w:val="110"/>
        </w:rPr>
        <w:t> </w:t>
      </w:r>
      <w:r>
        <w:rPr>
          <w:color w:val="231F1F"/>
          <w:w w:val="110"/>
        </w:rPr>
        <w:t>de</w:t>
      </w:r>
      <w:r>
        <w:rPr>
          <w:color w:val="231F1F"/>
          <w:spacing w:val="-10"/>
          <w:w w:val="110"/>
        </w:rPr>
        <w:t> </w:t>
      </w:r>
      <w:r>
        <w:rPr>
          <w:color w:val="231F1F"/>
          <w:w w:val="110"/>
        </w:rPr>
        <w:t>hemo- rragia,</w:t>
      </w:r>
      <w:r>
        <w:rPr>
          <w:color w:val="231F1F"/>
          <w:spacing w:val="-16"/>
          <w:w w:val="110"/>
        </w:rPr>
        <w:t> </w:t>
      </w:r>
      <w:r>
        <w:rPr>
          <w:color w:val="231F1F"/>
          <w:w w:val="110"/>
        </w:rPr>
        <w:t>la</w:t>
      </w:r>
      <w:r>
        <w:rPr>
          <w:color w:val="231F1F"/>
          <w:spacing w:val="-15"/>
          <w:w w:val="110"/>
        </w:rPr>
        <w:t> </w:t>
      </w:r>
      <w:r>
        <w:rPr>
          <w:color w:val="231F1F"/>
          <w:w w:val="110"/>
        </w:rPr>
        <w:t>definición</w:t>
      </w:r>
      <w:r>
        <w:rPr>
          <w:color w:val="231F1F"/>
          <w:spacing w:val="-14"/>
          <w:w w:val="110"/>
        </w:rPr>
        <w:t> </w:t>
      </w:r>
      <w:r>
        <w:rPr>
          <w:color w:val="231F1F"/>
          <w:w w:val="110"/>
        </w:rPr>
        <w:t>de</w:t>
      </w:r>
      <w:r>
        <w:rPr>
          <w:color w:val="231F1F"/>
          <w:spacing w:val="-15"/>
          <w:w w:val="110"/>
        </w:rPr>
        <w:t> </w:t>
      </w:r>
      <w:r>
        <w:rPr>
          <w:color w:val="231F1F"/>
          <w:w w:val="110"/>
        </w:rPr>
        <w:t>hemorragia</w:t>
      </w:r>
      <w:r>
        <w:rPr>
          <w:color w:val="231F1F"/>
          <w:spacing w:val="-15"/>
          <w:w w:val="110"/>
        </w:rPr>
        <w:t> </w:t>
      </w:r>
      <w:r>
        <w:rPr>
          <w:color w:val="231F1F"/>
          <w:w w:val="110"/>
        </w:rPr>
        <w:t>postoperatoria,</w:t>
      </w:r>
      <w:r>
        <w:rPr>
          <w:color w:val="231F1F"/>
          <w:spacing w:val="-16"/>
          <w:w w:val="110"/>
        </w:rPr>
        <w:t> </w:t>
      </w:r>
      <w:r>
        <w:rPr>
          <w:color w:val="231F1F"/>
          <w:w w:val="110"/>
        </w:rPr>
        <w:t>así</w:t>
      </w:r>
      <w:r>
        <w:rPr>
          <w:color w:val="231F1F"/>
          <w:spacing w:val="-14"/>
          <w:w w:val="110"/>
        </w:rPr>
        <w:t> </w:t>
      </w:r>
      <w:r>
        <w:rPr>
          <w:color w:val="231F1F"/>
          <w:w w:val="110"/>
        </w:rPr>
        <w:t>como</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pacientes incluidos, por lo que no se realizó un metaanálisis. Sin embargo, todos los estudios</w:t>
      </w:r>
      <w:r>
        <w:rPr>
          <w:color w:val="231F1F"/>
          <w:spacing w:val="-11"/>
          <w:w w:val="110"/>
        </w:rPr>
        <w:t> </w:t>
      </w:r>
      <w:r>
        <w:rPr>
          <w:color w:val="231F1F"/>
          <w:w w:val="110"/>
        </w:rPr>
        <w:t>coinciden</w:t>
      </w:r>
      <w:r>
        <w:rPr>
          <w:color w:val="231F1F"/>
          <w:spacing w:val="-10"/>
          <w:w w:val="110"/>
        </w:rPr>
        <w:t> </w:t>
      </w:r>
      <w:r>
        <w:rPr>
          <w:color w:val="231F1F"/>
          <w:w w:val="110"/>
        </w:rPr>
        <w:t>en</w:t>
      </w:r>
      <w:r>
        <w:rPr>
          <w:color w:val="231F1F"/>
          <w:spacing w:val="-10"/>
          <w:w w:val="110"/>
        </w:rPr>
        <w:t> </w:t>
      </w:r>
      <w:r>
        <w:rPr>
          <w:color w:val="231F1F"/>
          <w:w w:val="110"/>
        </w:rPr>
        <w:t>mostrar</w:t>
      </w:r>
      <w:r>
        <w:rPr>
          <w:color w:val="231F1F"/>
          <w:spacing w:val="-11"/>
          <w:w w:val="110"/>
        </w:rPr>
        <w:t> </w:t>
      </w:r>
      <w:r>
        <w:rPr>
          <w:color w:val="231F1F"/>
          <w:w w:val="110"/>
        </w:rPr>
        <w:t>resultados</w:t>
      </w:r>
      <w:r>
        <w:rPr>
          <w:color w:val="231F1F"/>
          <w:spacing w:val="-10"/>
          <w:w w:val="110"/>
        </w:rPr>
        <w:t> </w:t>
      </w:r>
      <w:r>
        <w:rPr>
          <w:color w:val="231F1F"/>
          <w:w w:val="110"/>
        </w:rPr>
        <w:t>desfavorables</w:t>
      </w:r>
      <w:r>
        <w:rPr>
          <w:color w:val="231F1F"/>
          <w:spacing w:val="-11"/>
          <w:w w:val="110"/>
        </w:rPr>
        <w:t> </w:t>
      </w:r>
      <w:r>
        <w:rPr>
          <w:color w:val="231F1F"/>
          <w:w w:val="110"/>
        </w:rPr>
        <w:t>sobre</w:t>
      </w:r>
      <w:r>
        <w:rPr>
          <w:color w:val="231F1F"/>
          <w:spacing w:val="-11"/>
          <w:w w:val="110"/>
        </w:rPr>
        <w:t> </w:t>
      </w:r>
      <w:r>
        <w:rPr>
          <w:color w:val="231F1F"/>
          <w:w w:val="110"/>
        </w:rPr>
        <w:t>la</w:t>
      </w:r>
      <w:r>
        <w:rPr>
          <w:color w:val="231F1F"/>
          <w:spacing w:val="-11"/>
          <w:w w:val="110"/>
        </w:rPr>
        <w:t> </w:t>
      </w:r>
      <w:r>
        <w:rPr>
          <w:color w:val="231F1F"/>
          <w:w w:val="110"/>
        </w:rPr>
        <w:t>utilidad</w:t>
      </w:r>
      <w:r>
        <w:rPr>
          <w:color w:val="231F1F"/>
          <w:spacing w:val="-10"/>
          <w:w w:val="110"/>
        </w:rPr>
        <w:t> </w:t>
      </w:r>
      <w:r>
        <w:rPr>
          <w:color w:val="231F1F"/>
          <w:w w:val="110"/>
        </w:rPr>
        <w:t>clí- nica</w:t>
      </w:r>
      <w:r>
        <w:rPr>
          <w:color w:val="231F1F"/>
          <w:w w:val="110"/>
        </w:rPr>
        <w:t> de</w:t>
      </w:r>
      <w:r>
        <w:rPr>
          <w:color w:val="231F1F"/>
          <w:w w:val="110"/>
        </w:rPr>
        <w:t> las</w:t>
      </w:r>
      <w:r>
        <w:rPr>
          <w:color w:val="231F1F"/>
          <w:w w:val="110"/>
        </w:rPr>
        <w:t> pruebas</w:t>
      </w:r>
      <w:r>
        <w:rPr>
          <w:color w:val="231F1F"/>
          <w:w w:val="110"/>
        </w:rPr>
        <w:t> de</w:t>
      </w:r>
      <w:r>
        <w:rPr>
          <w:color w:val="231F1F"/>
          <w:w w:val="110"/>
        </w:rPr>
        <w:t> coagulación</w:t>
      </w:r>
      <w:r>
        <w:rPr>
          <w:color w:val="231F1F"/>
          <w:w w:val="110"/>
        </w:rPr>
        <w:t> evaluadas:</w:t>
      </w:r>
      <w:r>
        <w:rPr>
          <w:color w:val="231F1F"/>
          <w:w w:val="110"/>
        </w:rPr>
        <w:t> Tiempo</w:t>
      </w:r>
      <w:r>
        <w:rPr>
          <w:color w:val="231F1F"/>
          <w:w w:val="110"/>
        </w:rPr>
        <w:t> de</w:t>
      </w:r>
      <w:r>
        <w:rPr>
          <w:color w:val="231F1F"/>
          <w:w w:val="110"/>
        </w:rPr>
        <w:t> tromboblastina activada (APTT) y tiempo de protombina (PT).</w:t>
      </w:r>
    </w:p>
    <w:p>
      <w:pPr>
        <w:pStyle w:val="BodyText"/>
        <w:spacing w:line="244" w:lineRule="auto" w:before="107"/>
        <w:ind w:left="283" w:firstLine="453"/>
        <w:jc w:val="both"/>
      </w:pPr>
      <w:r>
        <w:rPr>
          <w:color w:val="231F1F"/>
          <w:w w:val="105"/>
        </w:rPr>
        <w:t>La</w:t>
      </w:r>
      <w:r>
        <w:rPr>
          <w:color w:val="231F1F"/>
          <w:spacing w:val="-14"/>
          <w:w w:val="105"/>
        </w:rPr>
        <w:t> </w:t>
      </w:r>
      <w:r>
        <w:rPr>
          <w:b/>
          <w:color w:val="231F1F"/>
          <w:w w:val="105"/>
        </w:rPr>
        <w:t>prueba</w:t>
      </w:r>
      <w:r>
        <w:rPr>
          <w:b/>
          <w:color w:val="231F1F"/>
          <w:spacing w:val="-14"/>
          <w:w w:val="105"/>
        </w:rPr>
        <w:t> </w:t>
      </w:r>
      <w:r>
        <w:rPr>
          <w:b/>
          <w:color w:val="231F1F"/>
          <w:w w:val="105"/>
        </w:rPr>
        <w:t>de</w:t>
      </w:r>
      <w:r>
        <w:rPr>
          <w:b/>
          <w:color w:val="231F1F"/>
          <w:spacing w:val="-14"/>
          <w:w w:val="105"/>
        </w:rPr>
        <w:t> </w:t>
      </w:r>
      <w:r>
        <w:rPr>
          <w:b/>
          <w:color w:val="231F1F"/>
          <w:w w:val="105"/>
        </w:rPr>
        <w:t>coagulación</w:t>
      </w:r>
      <w:r>
        <w:rPr>
          <w:b/>
          <w:color w:val="231F1F"/>
          <w:spacing w:val="-12"/>
          <w:w w:val="105"/>
        </w:rPr>
        <w:t> </w:t>
      </w:r>
      <w:r>
        <w:rPr>
          <w:color w:val="231F1F"/>
          <w:w w:val="105"/>
        </w:rPr>
        <w:t>mostró</w:t>
      </w:r>
      <w:r>
        <w:rPr>
          <w:color w:val="231F1F"/>
          <w:spacing w:val="-13"/>
          <w:w w:val="105"/>
        </w:rPr>
        <w:t> </w:t>
      </w:r>
      <w:r>
        <w:rPr>
          <w:color w:val="231F1F"/>
          <w:w w:val="105"/>
        </w:rPr>
        <w:t>un</w:t>
      </w:r>
      <w:r>
        <w:rPr>
          <w:color w:val="231F1F"/>
          <w:spacing w:val="-14"/>
          <w:w w:val="105"/>
        </w:rPr>
        <w:t> </w:t>
      </w:r>
      <w:r>
        <w:rPr>
          <w:color w:val="231F1F"/>
          <w:w w:val="105"/>
        </w:rPr>
        <w:t>VP</w:t>
      </w:r>
      <w:r>
        <w:rPr>
          <w:color w:val="231F1F"/>
          <w:spacing w:val="-14"/>
          <w:w w:val="105"/>
        </w:rPr>
        <w:t> </w:t>
      </w:r>
      <w:r>
        <w:rPr>
          <w:color w:val="231F1F"/>
          <w:w w:val="105"/>
        </w:rPr>
        <w:t>positivo</w:t>
      </w:r>
      <w:r>
        <w:rPr>
          <w:color w:val="231F1F"/>
          <w:spacing w:val="-14"/>
          <w:w w:val="105"/>
        </w:rPr>
        <w:t> </w:t>
      </w:r>
      <w:r>
        <w:rPr>
          <w:color w:val="231F1F"/>
          <w:w w:val="105"/>
        </w:rPr>
        <w:t>del</w:t>
      </w:r>
      <w:r>
        <w:rPr>
          <w:color w:val="231F1F"/>
          <w:spacing w:val="-14"/>
          <w:w w:val="105"/>
        </w:rPr>
        <w:t> </w:t>
      </w:r>
      <w:r>
        <w:rPr>
          <w:color w:val="231F1F"/>
          <w:w w:val="105"/>
        </w:rPr>
        <w:t>rango</w:t>
      </w:r>
      <w:r>
        <w:rPr>
          <w:color w:val="231F1F"/>
          <w:spacing w:val="-13"/>
          <w:w w:val="105"/>
        </w:rPr>
        <w:t> </w:t>
      </w:r>
      <w:r>
        <w:rPr>
          <w:color w:val="231F1F"/>
          <w:w w:val="105"/>
        </w:rPr>
        <w:t>entre</w:t>
      </w:r>
      <w:r>
        <w:rPr>
          <w:color w:val="231F1F"/>
          <w:spacing w:val="-13"/>
          <w:w w:val="105"/>
        </w:rPr>
        <w:t> </w:t>
      </w:r>
      <w:r>
        <w:rPr>
          <w:color w:val="231F1F"/>
          <w:w w:val="105"/>
        </w:rPr>
        <w:t>0,03</w:t>
      </w:r>
      <w:r>
        <w:rPr>
          <w:color w:val="231F1F"/>
          <w:spacing w:val="-14"/>
          <w:w w:val="105"/>
        </w:rPr>
        <w:t> </w:t>
      </w:r>
      <w:r>
        <w:rPr>
          <w:color w:val="231F1F"/>
          <w:w w:val="105"/>
        </w:rPr>
        <w:t>[IC 95%</w:t>
      </w:r>
      <w:r>
        <w:rPr>
          <w:color w:val="231F1F"/>
          <w:spacing w:val="-10"/>
          <w:w w:val="105"/>
        </w:rPr>
        <w:t> </w:t>
      </w:r>
      <w:r>
        <w:rPr>
          <w:color w:val="231F1F"/>
          <w:w w:val="105"/>
        </w:rPr>
        <w:t>0,00</w:t>
      </w:r>
      <w:r>
        <w:rPr>
          <w:color w:val="231F1F"/>
          <w:spacing w:val="-10"/>
          <w:w w:val="105"/>
        </w:rPr>
        <w:t> </w:t>
      </w:r>
      <w:r>
        <w:rPr>
          <w:color w:val="231F1F"/>
          <w:w w:val="105"/>
        </w:rPr>
        <w:t>a</w:t>
      </w:r>
      <w:r>
        <w:rPr>
          <w:color w:val="231F1F"/>
          <w:spacing w:val="-10"/>
          <w:w w:val="105"/>
        </w:rPr>
        <w:t> </w:t>
      </w:r>
      <w:r>
        <w:rPr>
          <w:color w:val="231F1F"/>
          <w:w w:val="105"/>
        </w:rPr>
        <w:t>0,15]</w:t>
      </w:r>
      <w:r>
        <w:rPr>
          <w:color w:val="231F1F"/>
          <w:spacing w:val="-12"/>
          <w:w w:val="105"/>
        </w:rPr>
        <w:t> </w:t>
      </w:r>
      <w:r>
        <w:rPr>
          <w:color w:val="231F1F"/>
          <w:w w:val="105"/>
        </w:rPr>
        <w:t>a</w:t>
      </w:r>
      <w:r>
        <w:rPr>
          <w:color w:val="231F1F"/>
          <w:spacing w:val="-10"/>
          <w:w w:val="105"/>
        </w:rPr>
        <w:t> </w:t>
      </w:r>
      <w:r>
        <w:rPr>
          <w:color w:val="231F1F"/>
          <w:w w:val="105"/>
        </w:rPr>
        <w:t>0,22</w:t>
      </w:r>
      <w:r>
        <w:rPr>
          <w:color w:val="231F1F"/>
          <w:spacing w:val="-10"/>
          <w:w w:val="105"/>
        </w:rPr>
        <w:t> </w:t>
      </w:r>
      <w:r>
        <w:rPr>
          <w:color w:val="231F1F"/>
          <w:w w:val="105"/>
        </w:rPr>
        <w:t>[IC</w:t>
      </w:r>
      <w:r>
        <w:rPr>
          <w:color w:val="231F1F"/>
          <w:spacing w:val="-10"/>
          <w:w w:val="105"/>
        </w:rPr>
        <w:t> </w:t>
      </w:r>
      <w:r>
        <w:rPr>
          <w:color w:val="231F1F"/>
          <w:w w:val="105"/>
        </w:rPr>
        <w:t>95%</w:t>
      </w:r>
      <w:r>
        <w:rPr>
          <w:color w:val="231F1F"/>
          <w:spacing w:val="-9"/>
          <w:w w:val="105"/>
        </w:rPr>
        <w:t> </w:t>
      </w:r>
      <w:r>
        <w:rPr>
          <w:color w:val="231F1F"/>
          <w:w w:val="105"/>
        </w:rPr>
        <w:t>0,09</w:t>
      </w:r>
      <w:r>
        <w:rPr>
          <w:color w:val="231F1F"/>
          <w:spacing w:val="-11"/>
          <w:w w:val="105"/>
        </w:rPr>
        <w:t> </w:t>
      </w:r>
      <w:r>
        <w:rPr>
          <w:color w:val="231F1F"/>
          <w:w w:val="105"/>
        </w:rPr>
        <w:t>a</w:t>
      </w:r>
      <w:r>
        <w:rPr>
          <w:color w:val="231F1F"/>
          <w:spacing w:val="-11"/>
          <w:w w:val="105"/>
        </w:rPr>
        <w:t> </w:t>
      </w:r>
      <w:r>
        <w:rPr>
          <w:color w:val="231F1F"/>
          <w:w w:val="105"/>
        </w:rPr>
        <w:t>0,43]</w:t>
      </w:r>
      <w:r>
        <w:rPr>
          <w:color w:val="231F1F"/>
          <w:spacing w:val="-12"/>
          <w:w w:val="105"/>
        </w:rPr>
        <w:t> </w:t>
      </w:r>
      <w:r>
        <w:rPr>
          <w:color w:val="231F1F"/>
          <w:w w:val="105"/>
        </w:rPr>
        <w:t>en</w:t>
      </w:r>
      <w:r>
        <w:rPr>
          <w:color w:val="231F1F"/>
          <w:spacing w:val="-10"/>
          <w:w w:val="105"/>
        </w:rPr>
        <w:t> </w:t>
      </w:r>
      <w:r>
        <w:rPr>
          <w:color w:val="231F1F"/>
          <w:w w:val="105"/>
        </w:rPr>
        <w:t>los</w:t>
      </w:r>
      <w:r>
        <w:rPr>
          <w:color w:val="231F1F"/>
          <w:spacing w:val="-10"/>
          <w:w w:val="105"/>
        </w:rPr>
        <w:t> </w:t>
      </w:r>
      <w:r>
        <w:rPr>
          <w:color w:val="231F1F"/>
          <w:w w:val="105"/>
        </w:rPr>
        <w:t>diferentes</w:t>
      </w:r>
      <w:r>
        <w:rPr>
          <w:color w:val="231F1F"/>
          <w:spacing w:val="-12"/>
          <w:w w:val="105"/>
        </w:rPr>
        <w:t> </w:t>
      </w:r>
      <w:r>
        <w:rPr>
          <w:color w:val="231F1F"/>
          <w:w w:val="105"/>
        </w:rPr>
        <w:t>estudios</w:t>
      </w:r>
      <w:r>
        <w:rPr>
          <w:color w:val="231F1F"/>
          <w:spacing w:val="-10"/>
          <w:w w:val="105"/>
        </w:rPr>
        <w:t> </w:t>
      </w:r>
      <w:r>
        <w:rPr>
          <w:color w:val="231F1F"/>
          <w:w w:val="105"/>
        </w:rPr>
        <w:t>y</w:t>
      </w:r>
      <w:r>
        <w:rPr>
          <w:color w:val="231F1F"/>
          <w:spacing w:val="-9"/>
          <w:w w:val="105"/>
        </w:rPr>
        <w:t> </w:t>
      </w:r>
      <w:r>
        <w:rPr>
          <w:color w:val="231F1F"/>
          <w:w w:val="105"/>
        </w:rPr>
        <w:t>un</w:t>
      </w:r>
      <w:r>
        <w:rPr>
          <w:color w:val="231F1F"/>
          <w:spacing w:val="-10"/>
          <w:w w:val="105"/>
        </w:rPr>
        <w:t> </w:t>
      </w:r>
      <w:r>
        <w:rPr>
          <w:color w:val="231F1F"/>
          <w:w w:val="105"/>
        </w:rPr>
        <w:t>Cp</w:t>
      </w:r>
    </w:p>
    <w:p>
      <w:pPr>
        <w:pStyle w:val="BodyText"/>
        <w:spacing w:line="249" w:lineRule="auto" w:before="12"/>
        <w:ind w:left="283" w:right="1"/>
        <w:jc w:val="both"/>
      </w:pPr>
      <w:r>
        <w:rPr>
          <w:color w:val="231F1F"/>
          <w:w w:val="105"/>
        </w:rPr>
        <w:t>positivo</w:t>
      </w:r>
      <w:r>
        <w:rPr>
          <w:color w:val="231F1F"/>
          <w:spacing w:val="-6"/>
          <w:w w:val="105"/>
        </w:rPr>
        <w:t> </w:t>
      </w:r>
      <w:r>
        <w:rPr>
          <w:color w:val="231F1F"/>
          <w:w w:val="105"/>
        </w:rPr>
        <w:t>de</w:t>
      </w:r>
      <w:r>
        <w:rPr>
          <w:color w:val="231F1F"/>
          <w:spacing w:val="-6"/>
          <w:w w:val="105"/>
        </w:rPr>
        <w:t> </w:t>
      </w:r>
      <w:r>
        <w:rPr>
          <w:color w:val="231F1F"/>
          <w:w w:val="105"/>
        </w:rPr>
        <w:t>entre</w:t>
      </w:r>
      <w:r>
        <w:rPr>
          <w:color w:val="231F1F"/>
          <w:spacing w:val="-5"/>
          <w:w w:val="105"/>
        </w:rPr>
        <w:t> </w:t>
      </w:r>
      <w:r>
        <w:rPr>
          <w:color w:val="231F1F"/>
          <w:w w:val="105"/>
        </w:rPr>
        <w:t>0,94</w:t>
      </w:r>
      <w:r>
        <w:rPr>
          <w:color w:val="231F1F"/>
          <w:spacing w:val="-6"/>
          <w:w w:val="105"/>
        </w:rPr>
        <w:t> </w:t>
      </w:r>
      <w:r>
        <w:rPr>
          <w:color w:val="231F1F"/>
          <w:w w:val="105"/>
        </w:rPr>
        <w:t>[IC</w:t>
      </w:r>
      <w:r>
        <w:rPr>
          <w:color w:val="231F1F"/>
          <w:spacing w:val="-5"/>
          <w:w w:val="105"/>
        </w:rPr>
        <w:t> </w:t>
      </w:r>
      <w:r>
        <w:rPr>
          <w:color w:val="231F1F"/>
          <w:w w:val="105"/>
        </w:rPr>
        <w:t>95%</w:t>
      </w:r>
      <w:r>
        <w:rPr>
          <w:color w:val="231F1F"/>
          <w:spacing w:val="-5"/>
          <w:w w:val="105"/>
        </w:rPr>
        <w:t> </w:t>
      </w:r>
      <w:r>
        <w:rPr>
          <w:color w:val="231F1F"/>
          <w:w w:val="105"/>
        </w:rPr>
        <w:t>0,56</w:t>
      </w:r>
      <w:r>
        <w:rPr>
          <w:color w:val="231F1F"/>
          <w:spacing w:val="-6"/>
          <w:w w:val="105"/>
        </w:rPr>
        <w:t> </w:t>
      </w:r>
      <w:r>
        <w:rPr>
          <w:color w:val="231F1F"/>
          <w:w w:val="105"/>
        </w:rPr>
        <w:t>a</w:t>
      </w:r>
      <w:r>
        <w:rPr>
          <w:color w:val="231F1F"/>
          <w:spacing w:val="-6"/>
          <w:w w:val="105"/>
        </w:rPr>
        <w:t> </w:t>
      </w:r>
      <w:r>
        <w:rPr>
          <w:color w:val="231F1F"/>
          <w:w w:val="105"/>
        </w:rPr>
        <w:t>1,57]</w:t>
      </w:r>
      <w:r>
        <w:rPr>
          <w:color w:val="231F1F"/>
          <w:spacing w:val="-6"/>
          <w:w w:val="105"/>
        </w:rPr>
        <w:t> </w:t>
      </w:r>
      <w:r>
        <w:rPr>
          <w:color w:val="231F1F"/>
          <w:w w:val="105"/>
        </w:rPr>
        <w:t>a</w:t>
      </w:r>
      <w:r>
        <w:rPr>
          <w:color w:val="231F1F"/>
          <w:spacing w:val="-6"/>
          <w:w w:val="105"/>
        </w:rPr>
        <w:t> </w:t>
      </w:r>
      <w:r>
        <w:rPr>
          <w:color w:val="231F1F"/>
          <w:w w:val="105"/>
        </w:rPr>
        <w:t>5,1</w:t>
      </w:r>
      <w:r>
        <w:rPr>
          <w:color w:val="231F1F"/>
          <w:spacing w:val="-6"/>
          <w:w w:val="105"/>
        </w:rPr>
        <w:t> </w:t>
      </w:r>
      <w:r>
        <w:rPr>
          <w:color w:val="231F1F"/>
          <w:w w:val="105"/>
        </w:rPr>
        <w:t>[IC</w:t>
      </w:r>
      <w:r>
        <w:rPr>
          <w:color w:val="231F1F"/>
          <w:spacing w:val="-5"/>
          <w:w w:val="105"/>
        </w:rPr>
        <w:t> </w:t>
      </w:r>
      <w:r>
        <w:rPr>
          <w:color w:val="231F1F"/>
          <w:w w:val="105"/>
        </w:rPr>
        <w:t>95%</w:t>
      </w:r>
      <w:r>
        <w:rPr>
          <w:color w:val="231F1F"/>
          <w:spacing w:val="-5"/>
          <w:w w:val="105"/>
        </w:rPr>
        <w:t> </w:t>
      </w:r>
      <w:r>
        <w:rPr>
          <w:color w:val="231F1F"/>
          <w:w w:val="105"/>
        </w:rPr>
        <w:t>1,18</w:t>
      </w:r>
      <w:r>
        <w:rPr>
          <w:color w:val="231F1F"/>
          <w:spacing w:val="-6"/>
          <w:w w:val="105"/>
        </w:rPr>
        <w:t> </w:t>
      </w:r>
      <w:r>
        <w:rPr>
          <w:color w:val="231F1F"/>
          <w:w w:val="105"/>
        </w:rPr>
        <w:t>a</w:t>
      </w:r>
      <w:r>
        <w:rPr>
          <w:color w:val="231F1F"/>
          <w:spacing w:val="-6"/>
          <w:w w:val="105"/>
        </w:rPr>
        <w:t> </w:t>
      </w:r>
      <w:r>
        <w:rPr>
          <w:color w:val="231F1F"/>
          <w:w w:val="105"/>
        </w:rPr>
        <w:t>21,96]</w:t>
      </w:r>
      <w:r>
        <w:rPr>
          <w:color w:val="231F1F"/>
          <w:spacing w:val="-6"/>
          <w:w w:val="105"/>
        </w:rPr>
        <w:t> </w:t>
      </w:r>
      <w:r>
        <w:rPr>
          <w:color w:val="231F1F"/>
          <w:w w:val="105"/>
        </w:rPr>
        <w:t>y</w:t>
      </w:r>
      <w:r>
        <w:rPr>
          <w:color w:val="231F1F"/>
          <w:spacing w:val="-6"/>
          <w:w w:val="105"/>
        </w:rPr>
        <w:t> </w:t>
      </w:r>
      <w:r>
        <w:rPr>
          <w:color w:val="231F1F"/>
          <w:w w:val="105"/>
        </w:rPr>
        <w:t>sola- mente</w:t>
      </w:r>
      <w:r>
        <w:rPr>
          <w:color w:val="231F1F"/>
          <w:w w:val="105"/>
        </w:rPr>
        <w:t> tres</w:t>
      </w:r>
      <w:r>
        <w:rPr>
          <w:color w:val="231F1F"/>
          <w:w w:val="105"/>
        </w:rPr>
        <w:t> de</w:t>
      </w:r>
      <w:r>
        <w:rPr>
          <w:color w:val="231F1F"/>
          <w:w w:val="105"/>
        </w:rPr>
        <w:t> los</w:t>
      </w:r>
      <w:r>
        <w:rPr>
          <w:color w:val="231F1F"/>
          <w:w w:val="105"/>
        </w:rPr>
        <w:t> estudios</w:t>
      </w:r>
      <w:r>
        <w:rPr>
          <w:color w:val="231F1F"/>
          <w:w w:val="105"/>
        </w:rPr>
        <w:t> mostraron</w:t>
      </w:r>
      <w:r>
        <w:rPr>
          <w:color w:val="231F1F"/>
          <w:w w:val="105"/>
        </w:rPr>
        <w:t> valores</w:t>
      </w:r>
      <w:r>
        <w:rPr>
          <w:color w:val="231F1F"/>
          <w:w w:val="105"/>
        </w:rPr>
        <w:t> estadísticamente</w:t>
      </w:r>
      <w:r>
        <w:rPr>
          <w:color w:val="231F1F"/>
          <w:w w:val="105"/>
        </w:rPr>
        <w:t> significativos. La diferencia absoluta de riesgo de sangrado entre pacientes con test de coa- gulación anormal y normal, tampoco mostró ser estadísticamente significativa en</w:t>
      </w:r>
      <w:r>
        <w:rPr>
          <w:color w:val="231F1F"/>
          <w:w w:val="105"/>
        </w:rPr>
        <w:t> ocho</w:t>
      </w:r>
      <w:r>
        <w:rPr>
          <w:color w:val="231F1F"/>
          <w:w w:val="105"/>
        </w:rPr>
        <w:t> de</w:t>
      </w:r>
      <w:r>
        <w:rPr>
          <w:color w:val="231F1F"/>
          <w:w w:val="105"/>
        </w:rPr>
        <w:t> los</w:t>
      </w:r>
      <w:r>
        <w:rPr>
          <w:color w:val="231F1F"/>
          <w:w w:val="105"/>
        </w:rPr>
        <w:t> nueve</w:t>
      </w:r>
      <w:r>
        <w:rPr>
          <w:color w:val="231F1F"/>
          <w:w w:val="105"/>
        </w:rPr>
        <w:t> estudios.</w:t>
      </w:r>
      <w:r>
        <w:rPr>
          <w:color w:val="231F1F"/>
          <w:w w:val="105"/>
        </w:rPr>
        <w:t> Mostrando</w:t>
      </w:r>
      <w:r>
        <w:rPr>
          <w:color w:val="231F1F"/>
          <w:w w:val="105"/>
        </w:rPr>
        <w:t> una</w:t>
      </w:r>
      <w:r>
        <w:rPr>
          <w:color w:val="231F1F"/>
          <w:w w:val="105"/>
        </w:rPr>
        <w:t> diferencia</w:t>
      </w:r>
      <w:r>
        <w:rPr>
          <w:color w:val="231F1F"/>
          <w:w w:val="105"/>
        </w:rPr>
        <w:t> absoluta</w:t>
      </w:r>
      <w:r>
        <w:rPr>
          <w:color w:val="231F1F"/>
          <w:w w:val="105"/>
        </w:rPr>
        <w:t> del</w:t>
      </w:r>
      <w:r>
        <w:rPr>
          <w:color w:val="231F1F"/>
          <w:w w:val="105"/>
        </w:rPr>
        <w:t> rango</w:t>
      </w:r>
      <w:r>
        <w:rPr>
          <w:color w:val="231F1F"/>
          <w:spacing w:val="80"/>
          <w:w w:val="105"/>
        </w:rPr>
        <w:t> </w:t>
      </w:r>
      <w:r>
        <w:rPr>
          <w:color w:val="231F1F"/>
          <w:w w:val="105"/>
        </w:rPr>
        <w:t>de</w:t>
      </w:r>
      <w:r>
        <w:rPr>
          <w:color w:val="231F1F"/>
          <w:spacing w:val="-3"/>
          <w:w w:val="105"/>
        </w:rPr>
        <w:t> </w:t>
      </w:r>
      <w:r>
        <w:rPr>
          <w:color w:val="231F1F"/>
          <w:w w:val="105"/>
        </w:rPr>
        <w:t>-0,008</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-0,07</w:t>
      </w:r>
      <w:r>
        <w:rPr>
          <w:color w:val="231F1F"/>
          <w:spacing w:val="-2"/>
          <w:w w:val="105"/>
        </w:rPr>
        <w:t> </w:t>
      </w:r>
      <w:r>
        <w:rPr>
          <w:color w:val="231F1F"/>
          <w:w w:val="105"/>
        </w:rPr>
        <w:t>a</w:t>
      </w:r>
      <w:r>
        <w:rPr>
          <w:color w:val="231F1F"/>
          <w:spacing w:val="-2"/>
          <w:w w:val="105"/>
        </w:rPr>
        <w:t> </w:t>
      </w:r>
      <w:r>
        <w:rPr>
          <w:color w:val="231F1F"/>
          <w:w w:val="105"/>
        </w:rPr>
        <w:t>0,069]</w:t>
      </w:r>
      <w:r>
        <w:rPr>
          <w:color w:val="231F1F"/>
          <w:spacing w:val="-3"/>
          <w:w w:val="105"/>
        </w:rPr>
        <w:t> </w:t>
      </w:r>
      <w:r>
        <w:rPr>
          <w:color w:val="231F1F"/>
          <w:w w:val="105"/>
        </w:rPr>
        <w:t>a</w:t>
      </w:r>
      <w:r>
        <w:rPr>
          <w:color w:val="231F1F"/>
          <w:spacing w:val="-2"/>
          <w:w w:val="105"/>
        </w:rPr>
        <w:t> </w:t>
      </w:r>
      <w:r>
        <w:rPr>
          <w:color w:val="231F1F"/>
          <w:w w:val="105"/>
        </w:rPr>
        <w:t>0,166</w:t>
      </w:r>
      <w:r>
        <w:rPr>
          <w:color w:val="231F1F"/>
          <w:spacing w:val="-2"/>
          <w:w w:val="105"/>
        </w:rPr>
        <w:t> </w:t>
      </w:r>
      <w:r>
        <w:rPr>
          <w:color w:val="231F1F"/>
          <w:w w:val="105"/>
        </w:rPr>
        <w:t>[IC</w:t>
      </w:r>
      <w:r>
        <w:rPr>
          <w:color w:val="231F1F"/>
          <w:spacing w:val="-2"/>
          <w:w w:val="105"/>
        </w:rPr>
        <w:t> </w:t>
      </w:r>
      <w:r>
        <w:rPr>
          <w:color w:val="231F1F"/>
          <w:w w:val="105"/>
        </w:rPr>
        <w:t>95%</w:t>
      </w:r>
      <w:r>
        <w:rPr>
          <w:color w:val="231F1F"/>
          <w:spacing w:val="-2"/>
          <w:w w:val="105"/>
        </w:rPr>
        <w:t> </w:t>
      </w:r>
      <w:r>
        <w:rPr>
          <w:color w:val="231F1F"/>
          <w:w w:val="105"/>
        </w:rPr>
        <w:t>0,037</w:t>
      </w:r>
      <w:r>
        <w:rPr>
          <w:color w:val="231F1F"/>
          <w:spacing w:val="-3"/>
          <w:w w:val="105"/>
        </w:rPr>
        <w:t> </w:t>
      </w:r>
      <w:r>
        <w:rPr>
          <w:color w:val="231F1F"/>
          <w:w w:val="105"/>
        </w:rPr>
        <w:t>a</w:t>
      </w:r>
      <w:r>
        <w:rPr>
          <w:color w:val="231F1F"/>
          <w:spacing w:val="-2"/>
          <w:w w:val="105"/>
        </w:rPr>
        <w:t> </w:t>
      </w:r>
      <w:r>
        <w:rPr>
          <w:color w:val="231F1F"/>
          <w:w w:val="105"/>
        </w:rPr>
        <w:t>0,372].</w:t>
      </w:r>
    </w:p>
    <w:p>
      <w:pPr>
        <w:pStyle w:val="BodyText"/>
        <w:spacing w:before="58"/>
        <w:ind w:left="283" w:right="4" w:firstLine="453"/>
        <w:jc w:val="both"/>
      </w:pPr>
      <w:r>
        <w:rPr>
          <w:color w:val="231F1F"/>
          <w:spacing w:val="-2"/>
          <w:w w:val="110"/>
        </w:rPr>
        <w:t>Estos</w:t>
      </w:r>
      <w:r>
        <w:rPr>
          <w:color w:val="231F1F"/>
          <w:spacing w:val="-8"/>
          <w:w w:val="110"/>
        </w:rPr>
        <w:t> </w:t>
      </w:r>
      <w:r>
        <w:rPr>
          <w:color w:val="231F1F"/>
          <w:spacing w:val="-2"/>
          <w:w w:val="110"/>
        </w:rPr>
        <w:t>datos</w:t>
      </w:r>
      <w:r>
        <w:rPr>
          <w:color w:val="231F1F"/>
          <w:spacing w:val="-9"/>
          <w:w w:val="110"/>
        </w:rPr>
        <w:t> </w:t>
      </w:r>
      <w:r>
        <w:rPr>
          <w:color w:val="231F1F"/>
          <w:spacing w:val="-2"/>
          <w:w w:val="110"/>
        </w:rPr>
        <w:t>indican</w:t>
      </w:r>
      <w:r>
        <w:rPr>
          <w:color w:val="231F1F"/>
          <w:spacing w:val="-8"/>
          <w:w w:val="110"/>
        </w:rPr>
        <w:t> </w:t>
      </w:r>
      <w:r>
        <w:rPr>
          <w:color w:val="231F1F"/>
          <w:spacing w:val="-2"/>
          <w:w w:val="110"/>
        </w:rPr>
        <w:t>que</w:t>
      </w:r>
      <w:r>
        <w:rPr>
          <w:color w:val="231F1F"/>
          <w:spacing w:val="-8"/>
          <w:w w:val="110"/>
        </w:rPr>
        <w:t> </w:t>
      </w:r>
      <w:r>
        <w:rPr>
          <w:color w:val="231F1F"/>
          <w:spacing w:val="-2"/>
          <w:w w:val="110"/>
        </w:rPr>
        <w:t>las</w:t>
      </w:r>
      <w:r>
        <w:rPr>
          <w:color w:val="231F1F"/>
          <w:spacing w:val="-9"/>
          <w:w w:val="110"/>
        </w:rPr>
        <w:t> </w:t>
      </w:r>
      <w:r>
        <w:rPr>
          <w:color w:val="231F1F"/>
          <w:spacing w:val="-2"/>
          <w:w w:val="110"/>
        </w:rPr>
        <w:t>pruebas</w:t>
      </w:r>
      <w:r>
        <w:rPr>
          <w:color w:val="231F1F"/>
          <w:spacing w:val="-9"/>
          <w:w w:val="110"/>
        </w:rPr>
        <w:t> </w:t>
      </w:r>
      <w:r>
        <w:rPr>
          <w:color w:val="231F1F"/>
          <w:spacing w:val="-2"/>
          <w:w w:val="110"/>
        </w:rPr>
        <w:t>de</w:t>
      </w:r>
      <w:r>
        <w:rPr>
          <w:color w:val="231F1F"/>
          <w:spacing w:val="-8"/>
          <w:w w:val="110"/>
        </w:rPr>
        <w:t> </w:t>
      </w:r>
      <w:r>
        <w:rPr>
          <w:color w:val="231F1F"/>
          <w:spacing w:val="-2"/>
          <w:w w:val="110"/>
        </w:rPr>
        <w:t>coagulación</w:t>
      </w:r>
      <w:r>
        <w:rPr>
          <w:color w:val="231F1F"/>
          <w:spacing w:val="-8"/>
          <w:w w:val="110"/>
        </w:rPr>
        <w:t> </w:t>
      </w:r>
      <w:r>
        <w:rPr>
          <w:color w:val="231F1F"/>
          <w:spacing w:val="-2"/>
          <w:w w:val="110"/>
        </w:rPr>
        <w:t>son</w:t>
      </w:r>
      <w:r>
        <w:rPr>
          <w:color w:val="231F1F"/>
          <w:spacing w:val="-8"/>
          <w:w w:val="110"/>
        </w:rPr>
        <w:t> </w:t>
      </w:r>
      <w:r>
        <w:rPr>
          <w:color w:val="231F1F"/>
          <w:spacing w:val="-2"/>
          <w:w w:val="110"/>
        </w:rPr>
        <w:t>pobres</w:t>
      </w:r>
      <w:r>
        <w:rPr>
          <w:color w:val="231F1F"/>
          <w:spacing w:val="-9"/>
          <w:w w:val="110"/>
        </w:rPr>
        <w:t> </w:t>
      </w:r>
      <w:r>
        <w:rPr>
          <w:color w:val="231F1F"/>
          <w:spacing w:val="-2"/>
          <w:w w:val="110"/>
        </w:rPr>
        <w:t>predicto- </w:t>
      </w:r>
      <w:r>
        <w:rPr>
          <w:color w:val="231F1F"/>
          <w:w w:val="110"/>
        </w:rPr>
        <w:t>res de hemorragia perioperatoria. Así, se concluye que debe registrarse la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before="0"/>
        <w:ind w:left="60" w:right="123" w:firstLine="0"/>
        <w:jc w:val="center"/>
        <w:rPr>
          <w:rFonts w:ascii="Arial MT"/>
          <w:sz w:val="18"/>
        </w:rPr>
      </w:pPr>
      <w:r>
        <w:rPr>
          <w:rFonts w:ascii="Arial MT"/>
          <w:color w:val="231F1F"/>
          <w:spacing w:val="-2"/>
          <w:sz w:val="18"/>
        </w:rPr>
        <w:t>RS.</w:t>
      </w:r>
      <w:r>
        <w:rPr>
          <w:rFonts w:ascii="Arial MT"/>
          <w:color w:val="231F1F"/>
          <w:spacing w:val="-9"/>
          <w:sz w:val="18"/>
        </w:rPr>
        <w:t> </w:t>
      </w:r>
      <w:r>
        <w:rPr>
          <w:rFonts w:ascii="Arial MT"/>
          <w:color w:val="231F1F"/>
          <w:spacing w:val="-5"/>
          <w:sz w:val="18"/>
        </w:rPr>
        <w:t>E.</w:t>
      </w:r>
    </w:p>
    <w:p>
      <w:pPr>
        <w:spacing w:line="278" w:lineRule="auto" w:before="33"/>
        <w:ind w:left="47" w:right="105" w:firstLine="0"/>
        <w:jc w:val="center"/>
        <w:rPr>
          <w:rFonts w:ascii="Arial MT"/>
          <w:sz w:val="18"/>
        </w:rPr>
      </w:pPr>
      <w:r>
        <w:rPr>
          <w:rFonts w:ascii="Arial MT"/>
          <w:color w:val="231F1F"/>
          <w:spacing w:val="-4"/>
          <w:sz w:val="18"/>
        </w:rPr>
        <w:t>observacio- </w:t>
      </w:r>
      <w:r>
        <w:rPr>
          <w:rFonts w:ascii="Arial MT"/>
          <w:color w:val="231F1F"/>
          <w:sz w:val="18"/>
        </w:rPr>
        <w:t>nales III</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12"/>
        <w:rPr>
          <w:rFonts w:ascii="Arial MT"/>
          <w:sz w:val="18"/>
        </w:rPr>
      </w:pPr>
    </w:p>
    <w:p>
      <w:pPr>
        <w:spacing w:before="0"/>
        <w:ind w:left="60" w:right="123" w:firstLine="0"/>
        <w:jc w:val="center"/>
        <w:rPr>
          <w:rFonts w:ascii="Arial MT"/>
          <w:sz w:val="18"/>
        </w:rPr>
      </w:pPr>
      <w:r>
        <w:rPr>
          <w:rFonts w:ascii="Arial MT"/>
          <w:color w:val="231F1F"/>
          <w:spacing w:val="-2"/>
          <w:sz w:val="18"/>
        </w:rPr>
        <w:t>RS.</w:t>
      </w:r>
      <w:r>
        <w:rPr>
          <w:rFonts w:ascii="Arial MT"/>
          <w:color w:val="231F1F"/>
          <w:spacing w:val="-9"/>
          <w:sz w:val="18"/>
        </w:rPr>
        <w:t> </w:t>
      </w:r>
      <w:r>
        <w:rPr>
          <w:rFonts w:ascii="Arial MT"/>
          <w:color w:val="231F1F"/>
          <w:spacing w:val="-5"/>
          <w:sz w:val="18"/>
        </w:rPr>
        <w:t>E.</w:t>
      </w:r>
    </w:p>
    <w:p>
      <w:pPr>
        <w:spacing w:line="278" w:lineRule="auto" w:before="33"/>
        <w:ind w:left="47" w:right="105" w:firstLine="0"/>
        <w:jc w:val="center"/>
        <w:rPr>
          <w:rFonts w:ascii="Arial MT"/>
          <w:sz w:val="18"/>
        </w:rPr>
      </w:pPr>
      <w:r>
        <w:rPr>
          <w:rFonts w:ascii="Arial MT"/>
          <w:color w:val="231F1F"/>
          <w:spacing w:val="-4"/>
          <w:sz w:val="18"/>
        </w:rPr>
        <w:t>observacio- </w:t>
      </w:r>
      <w:r>
        <w:rPr>
          <w:rFonts w:ascii="Arial MT"/>
          <w:color w:val="231F1F"/>
          <w:sz w:val="18"/>
        </w:rPr>
        <w:t>nales III</w:t>
      </w:r>
    </w:p>
    <w:p>
      <w:pPr>
        <w:spacing w:after="0" w:line="278" w:lineRule="auto"/>
        <w:jc w:val="center"/>
        <w:rPr>
          <w:rFonts w:ascii="Arial MT"/>
          <w:sz w:val="18"/>
        </w:rPr>
        <w:sectPr>
          <w:pgSz w:w="11900" w:h="16840"/>
          <w:pgMar w:header="0" w:footer="622" w:top="1560" w:bottom="820" w:left="1417" w:right="1559"/>
          <w:cols w:num="2" w:equalWidth="0">
            <w:col w:w="7554" w:space="40"/>
            <w:col w:w="1330"/>
          </w:cols>
        </w:sectPr>
      </w:pPr>
    </w:p>
    <w:p>
      <w:pPr>
        <w:pStyle w:val="BodyText"/>
        <w:spacing w:line="249" w:lineRule="auto" w:before="62"/>
        <w:ind w:left="283" w:right="1370"/>
        <w:jc w:val="both"/>
      </w:pPr>
      <w:r>
        <w:rPr>
          <w:color w:val="231F1F"/>
          <w:w w:val="105"/>
        </w:rPr>
        <w:t>historia de sangrado de los pacientes sometidos a cirugía, incluyendo detalles de</w:t>
      </w:r>
      <w:r>
        <w:rPr>
          <w:color w:val="231F1F"/>
          <w:w w:val="105"/>
        </w:rPr>
        <w:t> cirugías</w:t>
      </w:r>
      <w:r>
        <w:rPr>
          <w:color w:val="231F1F"/>
          <w:w w:val="105"/>
        </w:rPr>
        <w:t> y</w:t>
      </w:r>
      <w:r>
        <w:rPr>
          <w:color w:val="231F1F"/>
          <w:w w:val="105"/>
        </w:rPr>
        <w:t> traumas</w:t>
      </w:r>
      <w:r>
        <w:rPr>
          <w:color w:val="231F1F"/>
          <w:w w:val="105"/>
        </w:rPr>
        <w:t> anteriores,</w:t>
      </w:r>
      <w:r>
        <w:rPr>
          <w:color w:val="231F1F"/>
          <w:w w:val="105"/>
        </w:rPr>
        <w:t> antecedentes</w:t>
      </w:r>
      <w:r>
        <w:rPr>
          <w:color w:val="231F1F"/>
          <w:w w:val="105"/>
        </w:rPr>
        <w:t> familiares</w:t>
      </w:r>
      <w:r>
        <w:rPr>
          <w:color w:val="231F1F"/>
          <w:w w:val="105"/>
        </w:rPr>
        <w:t> y</w:t>
      </w:r>
      <w:r>
        <w:rPr>
          <w:color w:val="231F1F"/>
          <w:w w:val="105"/>
        </w:rPr>
        <w:t> detalles</w:t>
      </w:r>
      <w:r>
        <w:rPr>
          <w:color w:val="231F1F"/>
          <w:w w:val="105"/>
        </w:rPr>
        <w:t> del</w:t>
      </w:r>
      <w:r>
        <w:rPr>
          <w:color w:val="231F1F"/>
          <w:w w:val="105"/>
        </w:rPr>
        <w:t> con- sumo de medicamentos antitrombóticos. Los pacientes con un historial nega- tivo</w:t>
      </w:r>
      <w:r>
        <w:rPr>
          <w:color w:val="231F1F"/>
          <w:w w:val="105"/>
        </w:rPr>
        <w:t> de</w:t>
      </w:r>
      <w:r>
        <w:rPr>
          <w:color w:val="231F1F"/>
          <w:w w:val="105"/>
        </w:rPr>
        <w:t> sangrado</w:t>
      </w:r>
      <w:r>
        <w:rPr>
          <w:color w:val="231F1F"/>
          <w:w w:val="105"/>
        </w:rPr>
        <w:t> no</w:t>
      </w:r>
      <w:r>
        <w:rPr>
          <w:color w:val="231F1F"/>
          <w:w w:val="105"/>
        </w:rPr>
        <w:t> requieren</w:t>
      </w:r>
      <w:r>
        <w:rPr>
          <w:color w:val="231F1F"/>
          <w:w w:val="105"/>
        </w:rPr>
        <w:t> la</w:t>
      </w:r>
      <w:r>
        <w:rPr>
          <w:color w:val="231F1F"/>
          <w:w w:val="105"/>
        </w:rPr>
        <w:t> detección</w:t>
      </w:r>
      <w:r>
        <w:rPr>
          <w:color w:val="231F1F"/>
          <w:w w:val="105"/>
        </w:rPr>
        <w:t> rutinaria</w:t>
      </w:r>
      <w:r>
        <w:rPr>
          <w:color w:val="231F1F"/>
          <w:w w:val="105"/>
        </w:rPr>
        <w:t> de</w:t>
      </w:r>
      <w:r>
        <w:rPr>
          <w:color w:val="231F1F"/>
          <w:w w:val="105"/>
        </w:rPr>
        <w:t> la</w:t>
      </w:r>
      <w:r>
        <w:rPr>
          <w:color w:val="231F1F"/>
          <w:w w:val="105"/>
        </w:rPr>
        <w:t> coagulación</w:t>
      </w:r>
      <w:r>
        <w:rPr>
          <w:color w:val="231F1F"/>
          <w:w w:val="105"/>
        </w:rPr>
        <w:t> antes</w:t>
      </w:r>
      <w:r>
        <w:rPr>
          <w:color w:val="231F1F"/>
          <w:spacing w:val="80"/>
          <w:w w:val="105"/>
        </w:rPr>
        <w:t> </w:t>
      </w:r>
      <w:r>
        <w:rPr>
          <w:color w:val="231F1F"/>
          <w:w w:val="105"/>
        </w:rPr>
        <w:t>de la cirugía.</w:t>
      </w:r>
    </w:p>
    <w:p>
      <w:pPr>
        <w:pStyle w:val="BodyText"/>
        <w:tabs>
          <w:tab w:pos="8143" w:val="left" w:leader="none"/>
        </w:tabs>
        <w:spacing w:line="235" w:lineRule="auto" w:before="91"/>
        <w:ind w:left="283" w:right="442" w:firstLine="453"/>
        <w:jc w:val="both"/>
        <w:rPr>
          <w:rFonts w:ascii="Arial MT" w:hAnsi="Arial MT"/>
          <w:position w:val="12"/>
          <w:sz w:val="18"/>
        </w:rPr>
      </w:pPr>
      <w:r>
        <w:rPr>
          <w:color w:val="231F1F"/>
          <w:w w:val="105"/>
        </w:rPr>
        <w:t>Por otro lado, la recogida de historia de sangrado mostró un VP positivo</w:t>
      </w:r>
      <w:r>
        <w:rPr>
          <w:color w:val="231F1F"/>
          <w:spacing w:val="80"/>
          <w:w w:val="105"/>
        </w:rPr>
        <w:t>   </w:t>
      </w:r>
      <w:r>
        <w:rPr>
          <w:rFonts w:ascii="Arial MT" w:hAnsi="Arial MT"/>
          <w:color w:val="231F1F"/>
          <w:w w:val="105"/>
          <w:sz w:val="18"/>
        </w:rPr>
        <w:t>RS de </w:t>
      </w:r>
      <w:r>
        <w:rPr>
          <w:color w:val="231F1F"/>
          <w:w w:val="105"/>
        </w:rPr>
        <w:t>del</w:t>
      </w:r>
      <w:r>
        <w:rPr>
          <w:color w:val="231F1F"/>
          <w:spacing w:val="-3"/>
          <w:w w:val="105"/>
        </w:rPr>
        <w:t> </w:t>
      </w:r>
      <w:r>
        <w:rPr>
          <w:color w:val="231F1F"/>
          <w:w w:val="105"/>
        </w:rPr>
        <w:t>rango</w:t>
      </w:r>
      <w:r>
        <w:rPr>
          <w:color w:val="231F1F"/>
          <w:spacing w:val="-3"/>
          <w:w w:val="105"/>
        </w:rPr>
        <w:t> </w:t>
      </w:r>
      <w:r>
        <w:rPr>
          <w:color w:val="231F1F"/>
          <w:w w:val="105"/>
        </w:rPr>
        <w:t>entre</w:t>
      </w:r>
      <w:r>
        <w:rPr>
          <w:color w:val="231F1F"/>
          <w:spacing w:val="-3"/>
          <w:w w:val="105"/>
        </w:rPr>
        <w:t> </w:t>
      </w:r>
      <w:r>
        <w:rPr>
          <w:color w:val="231F1F"/>
          <w:w w:val="105"/>
        </w:rPr>
        <w:t>0,02</w:t>
      </w:r>
      <w:r>
        <w:rPr>
          <w:color w:val="231F1F"/>
          <w:spacing w:val="-3"/>
          <w:w w:val="105"/>
        </w:rPr>
        <w:t> </w:t>
      </w:r>
      <w:r>
        <w:rPr>
          <w:color w:val="231F1F"/>
          <w:w w:val="105"/>
        </w:rPr>
        <w:t>a</w:t>
      </w:r>
      <w:r>
        <w:rPr>
          <w:color w:val="231F1F"/>
          <w:spacing w:val="-3"/>
          <w:w w:val="105"/>
        </w:rPr>
        <w:t> </w:t>
      </w:r>
      <w:r>
        <w:rPr>
          <w:color w:val="231F1F"/>
          <w:w w:val="105"/>
        </w:rPr>
        <w:t>0,23</w:t>
      </w:r>
      <w:r>
        <w:rPr>
          <w:color w:val="231F1F"/>
          <w:spacing w:val="-3"/>
          <w:w w:val="105"/>
        </w:rPr>
        <w:t> </w:t>
      </w:r>
      <w:r>
        <w:rPr>
          <w:color w:val="231F1F"/>
          <w:w w:val="105"/>
        </w:rPr>
        <w:t>en</w:t>
      </w:r>
      <w:r>
        <w:rPr>
          <w:color w:val="231F1F"/>
          <w:spacing w:val="-3"/>
          <w:w w:val="105"/>
        </w:rPr>
        <w:t> </w:t>
      </w:r>
      <w:r>
        <w:rPr>
          <w:color w:val="231F1F"/>
          <w:w w:val="105"/>
        </w:rPr>
        <w:t>los</w:t>
      </w:r>
      <w:r>
        <w:rPr>
          <w:color w:val="231F1F"/>
          <w:spacing w:val="-3"/>
          <w:w w:val="105"/>
        </w:rPr>
        <w:t> </w:t>
      </w:r>
      <w:r>
        <w:rPr>
          <w:color w:val="231F1F"/>
          <w:w w:val="105"/>
        </w:rPr>
        <w:t>cuatro</w:t>
      </w:r>
      <w:r>
        <w:rPr>
          <w:color w:val="231F1F"/>
          <w:spacing w:val="-3"/>
          <w:w w:val="105"/>
        </w:rPr>
        <w:t> </w:t>
      </w:r>
      <w:r>
        <w:rPr>
          <w:color w:val="231F1F"/>
          <w:w w:val="105"/>
        </w:rPr>
        <w:t>estudios</w:t>
      </w:r>
      <w:r>
        <w:rPr>
          <w:color w:val="231F1F"/>
          <w:spacing w:val="-3"/>
          <w:w w:val="105"/>
        </w:rPr>
        <w:t> </w:t>
      </w:r>
      <w:r>
        <w:rPr>
          <w:color w:val="231F1F"/>
          <w:w w:val="105"/>
        </w:rPr>
        <w:t>que</w:t>
      </w:r>
      <w:r>
        <w:rPr>
          <w:color w:val="231F1F"/>
          <w:spacing w:val="-3"/>
          <w:w w:val="105"/>
        </w:rPr>
        <w:t> </w:t>
      </w:r>
      <w:r>
        <w:rPr>
          <w:color w:val="231F1F"/>
          <w:w w:val="105"/>
        </w:rPr>
        <w:t>lo</w:t>
      </w:r>
      <w:r>
        <w:rPr>
          <w:color w:val="231F1F"/>
          <w:spacing w:val="-3"/>
          <w:w w:val="105"/>
        </w:rPr>
        <w:t> </w:t>
      </w:r>
      <w:r>
        <w:rPr>
          <w:color w:val="231F1F"/>
          <w:w w:val="105"/>
        </w:rPr>
        <w:t>estudiaron,</w:t>
      </w:r>
      <w:r>
        <w:rPr>
          <w:color w:val="231F1F"/>
          <w:spacing w:val="-3"/>
          <w:w w:val="105"/>
        </w:rPr>
        <w:t> </w:t>
      </w:r>
      <w:r>
        <w:rPr>
          <w:color w:val="231F1F"/>
          <w:w w:val="105"/>
        </w:rPr>
        <w:t>y</w:t>
      </w:r>
      <w:r>
        <w:rPr>
          <w:color w:val="231F1F"/>
          <w:spacing w:val="-3"/>
          <w:w w:val="105"/>
        </w:rPr>
        <w:t> </w:t>
      </w:r>
      <w:r>
        <w:rPr>
          <w:color w:val="231F1F"/>
          <w:w w:val="105"/>
        </w:rPr>
        <w:t>un</w:t>
      </w:r>
      <w:r>
        <w:rPr>
          <w:color w:val="231F1F"/>
          <w:spacing w:val="-3"/>
          <w:w w:val="105"/>
        </w:rPr>
        <w:t> </w:t>
      </w:r>
      <w:r>
        <w:rPr>
          <w:color w:val="231F1F"/>
          <w:w w:val="105"/>
        </w:rPr>
        <w:t>Cp</w:t>
      </w:r>
      <w:r>
        <w:rPr>
          <w:color w:val="231F1F"/>
          <w:spacing w:val="80"/>
          <w:w w:val="105"/>
        </w:rPr>
        <w:t> </w:t>
      </w:r>
      <w:r>
        <w:rPr>
          <w:rFonts w:ascii="Arial MT" w:hAnsi="Arial MT"/>
          <w:color w:val="231F1F"/>
          <w:w w:val="105"/>
          <w:position w:val="4"/>
          <w:sz w:val="18"/>
        </w:rPr>
        <w:t>Observacio- </w:t>
      </w:r>
      <w:r>
        <w:rPr>
          <w:color w:val="231F1F"/>
          <w:w w:val="105"/>
        </w:rPr>
        <w:t>positivo</w:t>
      </w:r>
      <w:r>
        <w:rPr>
          <w:color w:val="231F1F"/>
          <w:spacing w:val="-1"/>
          <w:w w:val="105"/>
        </w:rPr>
        <w:t> </w:t>
      </w:r>
      <w:r>
        <w:rPr>
          <w:color w:val="231F1F"/>
          <w:w w:val="105"/>
        </w:rPr>
        <w:t>de</w:t>
      </w:r>
      <w:r>
        <w:rPr>
          <w:color w:val="231F1F"/>
          <w:spacing w:val="-1"/>
          <w:w w:val="105"/>
        </w:rPr>
        <w:t> </w:t>
      </w:r>
      <w:r>
        <w:rPr>
          <w:color w:val="231F1F"/>
          <w:w w:val="105"/>
        </w:rPr>
        <w:t>entre</w:t>
      </w:r>
      <w:r>
        <w:rPr>
          <w:color w:val="231F1F"/>
          <w:spacing w:val="-1"/>
          <w:w w:val="105"/>
        </w:rPr>
        <w:t> </w:t>
      </w:r>
      <w:r>
        <w:rPr>
          <w:color w:val="231F1F"/>
          <w:w w:val="105"/>
        </w:rPr>
        <w:t>1,27</w:t>
      </w:r>
      <w:r>
        <w:rPr>
          <w:color w:val="231F1F"/>
          <w:spacing w:val="-1"/>
          <w:w w:val="105"/>
        </w:rPr>
        <w:t> </w:t>
      </w:r>
      <w:r>
        <w:rPr>
          <w:color w:val="231F1F"/>
          <w:w w:val="105"/>
        </w:rPr>
        <w:t>[IC</w:t>
      </w:r>
      <w:r>
        <w:rPr>
          <w:color w:val="231F1F"/>
          <w:spacing w:val="-1"/>
          <w:w w:val="105"/>
        </w:rPr>
        <w:t> </w:t>
      </w:r>
      <w:r>
        <w:rPr>
          <w:color w:val="231F1F"/>
          <w:w w:val="105"/>
        </w:rPr>
        <w:t>95%</w:t>
      </w:r>
      <w:r>
        <w:rPr>
          <w:color w:val="231F1F"/>
          <w:spacing w:val="-1"/>
          <w:w w:val="105"/>
        </w:rPr>
        <w:t> </w:t>
      </w:r>
      <w:r>
        <w:rPr>
          <w:color w:val="231F1F"/>
          <w:w w:val="105"/>
        </w:rPr>
        <w:t>0,99</w:t>
      </w:r>
      <w:r>
        <w:rPr>
          <w:color w:val="231F1F"/>
          <w:spacing w:val="-1"/>
          <w:w w:val="105"/>
        </w:rPr>
        <w:t> </w:t>
      </w:r>
      <w:r>
        <w:rPr>
          <w:color w:val="231F1F"/>
          <w:w w:val="105"/>
        </w:rPr>
        <w:t>a</w:t>
      </w:r>
      <w:r>
        <w:rPr>
          <w:color w:val="231F1F"/>
          <w:spacing w:val="-1"/>
          <w:w w:val="105"/>
        </w:rPr>
        <w:t> </w:t>
      </w:r>
      <w:r>
        <w:rPr>
          <w:color w:val="231F1F"/>
          <w:w w:val="105"/>
        </w:rPr>
        <w:t>1,64]</w:t>
      </w:r>
      <w:r>
        <w:rPr>
          <w:color w:val="231F1F"/>
          <w:spacing w:val="-1"/>
          <w:w w:val="105"/>
        </w:rPr>
        <w:t> </w:t>
      </w:r>
      <w:r>
        <w:rPr>
          <w:color w:val="231F1F"/>
          <w:w w:val="105"/>
        </w:rPr>
        <w:t>a</w:t>
      </w:r>
      <w:r>
        <w:rPr>
          <w:color w:val="231F1F"/>
          <w:spacing w:val="-1"/>
          <w:w w:val="105"/>
        </w:rPr>
        <w:t> </w:t>
      </w:r>
      <w:r>
        <w:rPr>
          <w:color w:val="231F1F"/>
          <w:w w:val="105"/>
        </w:rPr>
        <w:t>5,04</w:t>
      </w:r>
      <w:r>
        <w:rPr>
          <w:color w:val="231F1F"/>
          <w:spacing w:val="-1"/>
          <w:w w:val="105"/>
        </w:rPr>
        <w:t> </w:t>
      </w:r>
      <w:r>
        <w:rPr>
          <w:color w:val="231F1F"/>
          <w:w w:val="105"/>
        </w:rPr>
        <w:t>[IC</w:t>
      </w:r>
      <w:r>
        <w:rPr>
          <w:color w:val="231F1F"/>
          <w:spacing w:val="-1"/>
          <w:w w:val="105"/>
        </w:rPr>
        <w:t> </w:t>
      </w:r>
      <w:r>
        <w:rPr>
          <w:color w:val="231F1F"/>
          <w:w w:val="105"/>
        </w:rPr>
        <w:t>95%</w:t>
      </w:r>
      <w:r>
        <w:rPr>
          <w:color w:val="231F1F"/>
          <w:spacing w:val="-1"/>
          <w:w w:val="105"/>
        </w:rPr>
        <w:t> </w:t>
      </w:r>
      <w:r>
        <w:rPr>
          <w:color w:val="231F1F"/>
          <w:w w:val="105"/>
        </w:rPr>
        <w:t>3,48</w:t>
      </w:r>
      <w:r>
        <w:rPr>
          <w:color w:val="231F1F"/>
          <w:spacing w:val="-1"/>
          <w:w w:val="105"/>
        </w:rPr>
        <w:t> </w:t>
      </w:r>
      <w:r>
        <w:rPr>
          <w:color w:val="231F1F"/>
          <w:w w:val="105"/>
        </w:rPr>
        <w:t>a</w:t>
      </w:r>
      <w:r>
        <w:rPr>
          <w:color w:val="231F1F"/>
          <w:spacing w:val="-1"/>
          <w:w w:val="105"/>
        </w:rPr>
        <w:t> </w:t>
      </w:r>
      <w:r>
        <w:rPr>
          <w:color w:val="231F1F"/>
          <w:w w:val="105"/>
        </w:rPr>
        <w:t>7,31],</w:t>
      </w:r>
      <w:r>
        <w:rPr>
          <w:color w:val="231F1F"/>
          <w:spacing w:val="-1"/>
          <w:w w:val="105"/>
        </w:rPr>
        <w:t> </w:t>
      </w:r>
      <w:r>
        <w:rPr>
          <w:color w:val="231F1F"/>
          <w:w w:val="105"/>
        </w:rPr>
        <w:t>siendo</w:t>
      </w:r>
      <w:r>
        <w:rPr>
          <w:color w:val="231F1F"/>
          <w:spacing w:val="80"/>
          <w:w w:val="105"/>
        </w:rPr>
        <w:t>  </w:t>
      </w:r>
      <w:r>
        <w:rPr>
          <w:rFonts w:ascii="Arial MT" w:hAnsi="Arial MT"/>
          <w:color w:val="231F1F"/>
          <w:w w:val="105"/>
          <w:position w:val="3"/>
          <w:sz w:val="18"/>
        </w:rPr>
        <w:t>nales </w:t>
      </w:r>
      <w:r>
        <w:rPr>
          <w:color w:val="231F1F"/>
          <w:w w:val="105"/>
        </w:rPr>
        <w:t>estadísticamente significativo solamente en uno de los cuatro estudios.</w:t>
      </w:r>
      <w:r>
        <w:rPr>
          <w:color w:val="231F1F"/>
        </w:rPr>
        <w:tab/>
      </w:r>
      <w:r>
        <w:rPr>
          <w:rFonts w:ascii="Arial MT" w:hAnsi="Arial MT"/>
          <w:color w:val="231F1F"/>
          <w:spacing w:val="-4"/>
          <w:w w:val="105"/>
          <w:position w:val="12"/>
          <w:sz w:val="18"/>
        </w:rPr>
        <w:t>III</w:t>
      </w:r>
    </w:p>
    <w:p>
      <w:pPr>
        <w:pStyle w:val="BodyText"/>
        <w:spacing w:line="249" w:lineRule="auto" w:before="74"/>
        <w:ind w:left="283" w:right="1369" w:firstLine="453"/>
        <w:jc w:val="both"/>
      </w:pPr>
      <w:r>
        <w:rPr>
          <w:color w:val="231F1F"/>
          <w:w w:val="110"/>
        </w:rPr>
        <w:t>La</w:t>
      </w:r>
      <w:r>
        <w:rPr>
          <w:color w:val="231F1F"/>
          <w:w w:val="110"/>
        </w:rPr>
        <w:t> evidencia</w:t>
      </w:r>
      <w:r>
        <w:rPr>
          <w:color w:val="231F1F"/>
          <w:w w:val="110"/>
        </w:rPr>
        <w:t> de</w:t>
      </w:r>
      <w:r>
        <w:rPr>
          <w:color w:val="231F1F"/>
          <w:w w:val="110"/>
        </w:rPr>
        <w:t> los</w:t>
      </w:r>
      <w:r>
        <w:rPr>
          <w:color w:val="231F1F"/>
          <w:w w:val="110"/>
        </w:rPr>
        <w:t> estudios</w:t>
      </w:r>
      <w:r>
        <w:rPr>
          <w:color w:val="231F1F"/>
          <w:w w:val="110"/>
        </w:rPr>
        <w:t> incluidos</w:t>
      </w:r>
      <w:r>
        <w:rPr>
          <w:color w:val="231F1F"/>
          <w:w w:val="110"/>
        </w:rPr>
        <w:t> muestra</w:t>
      </w:r>
      <w:r>
        <w:rPr>
          <w:color w:val="231F1F"/>
          <w:w w:val="110"/>
        </w:rPr>
        <w:t> que</w:t>
      </w:r>
      <w:r>
        <w:rPr>
          <w:color w:val="231F1F"/>
          <w:w w:val="110"/>
        </w:rPr>
        <w:t> la</w:t>
      </w:r>
      <w:r>
        <w:rPr>
          <w:color w:val="231F1F"/>
          <w:w w:val="110"/>
        </w:rPr>
        <w:t> predicción</w:t>
      </w:r>
      <w:r>
        <w:rPr>
          <w:color w:val="231F1F"/>
          <w:w w:val="110"/>
        </w:rPr>
        <w:t> del riesgo</w:t>
      </w:r>
      <w:r>
        <w:rPr>
          <w:color w:val="231F1F"/>
          <w:spacing w:val="-16"/>
          <w:w w:val="110"/>
        </w:rPr>
        <w:t> </w:t>
      </w:r>
      <w:r>
        <w:rPr>
          <w:color w:val="231F1F"/>
          <w:w w:val="110"/>
        </w:rPr>
        <w:t>de</w:t>
      </w:r>
      <w:r>
        <w:rPr>
          <w:color w:val="231F1F"/>
          <w:spacing w:val="-15"/>
          <w:w w:val="110"/>
        </w:rPr>
        <w:t> </w:t>
      </w:r>
      <w:r>
        <w:rPr>
          <w:color w:val="231F1F"/>
          <w:w w:val="110"/>
        </w:rPr>
        <w:t>sangrado</w:t>
      </w:r>
      <w:r>
        <w:rPr>
          <w:color w:val="231F1F"/>
          <w:spacing w:val="-15"/>
          <w:w w:val="110"/>
        </w:rPr>
        <w:t> </w:t>
      </w:r>
      <w:r>
        <w:rPr>
          <w:color w:val="231F1F"/>
          <w:w w:val="110"/>
        </w:rPr>
        <w:t>en</w:t>
      </w:r>
      <w:r>
        <w:rPr>
          <w:color w:val="231F1F"/>
          <w:spacing w:val="-15"/>
          <w:w w:val="110"/>
        </w:rPr>
        <w:t> </w:t>
      </w:r>
      <w:r>
        <w:rPr>
          <w:color w:val="231F1F"/>
          <w:w w:val="110"/>
        </w:rPr>
        <w:t>base</w:t>
      </w:r>
      <w:r>
        <w:rPr>
          <w:color w:val="231F1F"/>
          <w:spacing w:val="-15"/>
          <w:w w:val="110"/>
        </w:rPr>
        <w:t> </w:t>
      </w:r>
      <w:r>
        <w:rPr>
          <w:color w:val="231F1F"/>
          <w:w w:val="110"/>
        </w:rPr>
        <w:t>a</w:t>
      </w:r>
      <w:r>
        <w:rPr>
          <w:color w:val="231F1F"/>
          <w:spacing w:val="-15"/>
          <w:w w:val="110"/>
        </w:rPr>
        <w:t> </w:t>
      </w:r>
      <w:r>
        <w:rPr>
          <w:color w:val="231F1F"/>
          <w:w w:val="110"/>
        </w:rPr>
        <w:t>las</w:t>
      </w:r>
      <w:r>
        <w:rPr>
          <w:color w:val="231F1F"/>
          <w:spacing w:val="-15"/>
          <w:w w:val="110"/>
        </w:rPr>
        <w:t> </w:t>
      </w:r>
      <w:r>
        <w:rPr>
          <w:color w:val="231F1F"/>
          <w:w w:val="110"/>
        </w:rPr>
        <w:t>historias</w:t>
      </w:r>
      <w:r>
        <w:rPr>
          <w:color w:val="231F1F"/>
          <w:spacing w:val="-15"/>
          <w:w w:val="110"/>
        </w:rPr>
        <w:t> </w:t>
      </w:r>
      <w:r>
        <w:rPr>
          <w:color w:val="231F1F"/>
          <w:w w:val="110"/>
        </w:rPr>
        <w:t>depende</w:t>
      </w:r>
      <w:r>
        <w:rPr>
          <w:color w:val="231F1F"/>
          <w:spacing w:val="-16"/>
          <w:w w:val="110"/>
        </w:rPr>
        <w:t> </w:t>
      </w:r>
      <w:r>
        <w:rPr>
          <w:color w:val="231F1F"/>
          <w:w w:val="110"/>
        </w:rPr>
        <w:t>de</w:t>
      </w:r>
      <w:r>
        <w:rPr>
          <w:color w:val="231F1F"/>
          <w:spacing w:val="-15"/>
          <w:w w:val="110"/>
        </w:rPr>
        <w:t> </w:t>
      </w:r>
      <w:r>
        <w:rPr>
          <w:color w:val="231F1F"/>
          <w:w w:val="110"/>
        </w:rPr>
        <w:t>lo</w:t>
      </w:r>
      <w:r>
        <w:rPr>
          <w:color w:val="231F1F"/>
          <w:spacing w:val="-15"/>
          <w:w w:val="110"/>
        </w:rPr>
        <w:t> </w:t>
      </w:r>
      <w:r>
        <w:rPr>
          <w:color w:val="231F1F"/>
          <w:w w:val="110"/>
        </w:rPr>
        <w:t>específicas</w:t>
      </w:r>
      <w:r>
        <w:rPr>
          <w:color w:val="231F1F"/>
          <w:spacing w:val="-15"/>
          <w:w w:val="110"/>
        </w:rPr>
        <w:t> </w:t>
      </w:r>
      <w:r>
        <w:rPr>
          <w:color w:val="231F1F"/>
          <w:w w:val="110"/>
        </w:rPr>
        <w:t>que</w:t>
      </w:r>
      <w:r>
        <w:rPr>
          <w:color w:val="231F1F"/>
          <w:spacing w:val="-15"/>
          <w:w w:val="110"/>
        </w:rPr>
        <w:t> </w:t>
      </w:r>
      <w:r>
        <w:rPr>
          <w:color w:val="231F1F"/>
          <w:w w:val="110"/>
        </w:rPr>
        <w:t>éstas sean</w:t>
      </w:r>
      <w:r>
        <w:rPr>
          <w:color w:val="231F1F"/>
          <w:spacing w:val="-14"/>
          <w:w w:val="110"/>
        </w:rPr>
        <w:t> </w:t>
      </w:r>
      <w:r>
        <w:rPr>
          <w:color w:val="231F1F"/>
          <w:w w:val="110"/>
        </w:rPr>
        <w:t>y</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presencia</w:t>
      </w:r>
      <w:r>
        <w:rPr>
          <w:color w:val="231F1F"/>
          <w:spacing w:val="-14"/>
          <w:w w:val="110"/>
        </w:rPr>
        <w:t> </w:t>
      </w:r>
      <w:r>
        <w:rPr>
          <w:color w:val="231F1F"/>
          <w:w w:val="110"/>
        </w:rPr>
        <w:t>de</w:t>
      </w:r>
      <w:r>
        <w:rPr>
          <w:color w:val="231F1F"/>
          <w:spacing w:val="-14"/>
          <w:w w:val="110"/>
        </w:rPr>
        <w:t> </w:t>
      </w:r>
      <w:r>
        <w:rPr>
          <w:color w:val="231F1F"/>
          <w:w w:val="110"/>
        </w:rPr>
        <w:t>historia</w:t>
      </w:r>
      <w:r>
        <w:rPr>
          <w:color w:val="231F1F"/>
          <w:spacing w:val="-14"/>
          <w:w w:val="110"/>
        </w:rPr>
        <w:t> </w:t>
      </w:r>
      <w:r>
        <w:rPr>
          <w:color w:val="231F1F"/>
          <w:w w:val="110"/>
        </w:rPr>
        <w:t>familiar</w:t>
      </w:r>
      <w:r>
        <w:rPr>
          <w:color w:val="231F1F"/>
          <w:spacing w:val="-14"/>
          <w:w w:val="110"/>
        </w:rPr>
        <w:t> </w:t>
      </w:r>
      <w:r>
        <w:rPr>
          <w:color w:val="231F1F"/>
          <w:w w:val="110"/>
        </w:rPr>
        <w:t>de</w:t>
      </w:r>
      <w:r>
        <w:rPr>
          <w:color w:val="231F1F"/>
          <w:spacing w:val="-14"/>
          <w:w w:val="110"/>
        </w:rPr>
        <w:t> </w:t>
      </w:r>
      <w:r>
        <w:rPr>
          <w:color w:val="231F1F"/>
          <w:w w:val="110"/>
        </w:rPr>
        <w:t>sangrado</w:t>
      </w:r>
      <w:r>
        <w:rPr>
          <w:color w:val="231F1F"/>
          <w:spacing w:val="-14"/>
          <w:w w:val="110"/>
        </w:rPr>
        <w:t> </w:t>
      </w:r>
      <w:r>
        <w:rPr>
          <w:color w:val="231F1F"/>
          <w:w w:val="110"/>
        </w:rPr>
        <w:t>positiva</w:t>
      </w:r>
      <w:r>
        <w:rPr>
          <w:color w:val="231F1F"/>
          <w:spacing w:val="-14"/>
          <w:w w:val="110"/>
        </w:rPr>
        <w:t> </w:t>
      </w:r>
      <w:r>
        <w:rPr>
          <w:color w:val="231F1F"/>
          <w:w w:val="110"/>
        </w:rPr>
        <w:t>y</w:t>
      </w:r>
      <w:r>
        <w:rPr>
          <w:color w:val="231F1F"/>
          <w:spacing w:val="-14"/>
          <w:w w:val="110"/>
        </w:rPr>
        <w:t> </w:t>
      </w:r>
      <w:r>
        <w:rPr>
          <w:color w:val="231F1F"/>
          <w:w w:val="110"/>
        </w:rPr>
        <w:t>el</w:t>
      </w:r>
      <w:r>
        <w:rPr>
          <w:color w:val="231F1F"/>
          <w:spacing w:val="-14"/>
          <w:w w:val="110"/>
        </w:rPr>
        <w:t> </w:t>
      </w:r>
      <w:r>
        <w:rPr>
          <w:color w:val="231F1F"/>
          <w:w w:val="110"/>
        </w:rPr>
        <w:t>sangrado </w:t>
      </w:r>
      <w:r>
        <w:rPr>
          <w:color w:val="231F1F"/>
          <w:spacing w:val="-2"/>
          <w:w w:val="110"/>
        </w:rPr>
        <w:t>después</w:t>
      </w:r>
      <w:r>
        <w:rPr>
          <w:color w:val="231F1F"/>
          <w:spacing w:val="-11"/>
          <w:w w:val="110"/>
        </w:rPr>
        <w:t> </w:t>
      </w:r>
      <w:r>
        <w:rPr>
          <w:color w:val="231F1F"/>
          <w:spacing w:val="-2"/>
          <w:w w:val="110"/>
        </w:rPr>
        <w:t>de</w:t>
      </w:r>
      <w:r>
        <w:rPr>
          <w:color w:val="231F1F"/>
          <w:spacing w:val="-11"/>
          <w:w w:val="110"/>
        </w:rPr>
        <w:t> </w:t>
      </w:r>
      <w:r>
        <w:rPr>
          <w:color w:val="231F1F"/>
          <w:spacing w:val="-2"/>
          <w:w w:val="110"/>
        </w:rPr>
        <w:t>sucesos</w:t>
      </w:r>
      <w:r>
        <w:rPr>
          <w:color w:val="231F1F"/>
          <w:spacing w:val="-11"/>
          <w:w w:val="110"/>
        </w:rPr>
        <w:t> </w:t>
      </w:r>
      <w:r>
        <w:rPr>
          <w:color w:val="231F1F"/>
          <w:spacing w:val="-2"/>
          <w:w w:val="110"/>
        </w:rPr>
        <w:t>traumáticos</w:t>
      </w:r>
      <w:r>
        <w:rPr>
          <w:color w:val="231F1F"/>
          <w:spacing w:val="-11"/>
          <w:w w:val="110"/>
        </w:rPr>
        <w:t> </w:t>
      </w:r>
      <w:r>
        <w:rPr>
          <w:color w:val="231F1F"/>
          <w:spacing w:val="-2"/>
          <w:w w:val="110"/>
        </w:rPr>
        <w:t>(salvo</w:t>
      </w:r>
      <w:r>
        <w:rPr>
          <w:color w:val="231F1F"/>
          <w:spacing w:val="-11"/>
          <w:w w:val="110"/>
        </w:rPr>
        <w:t> </w:t>
      </w:r>
      <w:r>
        <w:rPr>
          <w:color w:val="231F1F"/>
          <w:spacing w:val="-2"/>
          <w:w w:val="110"/>
        </w:rPr>
        <w:t>parto)</w:t>
      </w:r>
      <w:r>
        <w:rPr>
          <w:color w:val="231F1F"/>
          <w:spacing w:val="-11"/>
          <w:w w:val="110"/>
        </w:rPr>
        <w:t> </w:t>
      </w:r>
      <w:r>
        <w:rPr>
          <w:color w:val="231F1F"/>
          <w:spacing w:val="-2"/>
          <w:w w:val="110"/>
        </w:rPr>
        <w:t>para</w:t>
      </w:r>
      <w:r>
        <w:rPr>
          <w:color w:val="231F1F"/>
          <w:spacing w:val="-11"/>
          <w:w w:val="110"/>
        </w:rPr>
        <w:t> </w:t>
      </w:r>
      <w:r>
        <w:rPr>
          <w:color w:val="231F1F"/>
          <w:spacing w:val="-2"/>
          <w:w w:val="110"/>
        </w:rPr>
        <w:t>identificar</w:t>
      </w:r>
      <w:r>
        <w:rPr>
          <w:color w:val="231F1F"/>
          <w:spacing w:val="-11"/>
          <w:w w:val="110"/>
        </w:rPr>
        <w:t> </w:t>
      </w:r>
      <w:r>
        <w:rPr>
          <w:color w:val="231F1F"/>
          <w:spacing w:val="-2"/>
          <w:w w:val="110"/>
        </w:rPr>
        <w:t>a</w:t>
      </w:r>
      <w:r>
        <w:rPr>
          <w:color w:val="231F1F"/>
          <w:spacing w:val="-11"/>
          <w:w w:val="110"/>
        </w:rPr>
        <w:t> </w:t>
      </w:r>
      <w:r>
        <w:rPr>
          <w:color w:val="231F1F"/>
          <w:spacing w:val="-2"/>
          <w:w w:val="110"/>
        </w:rPr>
        <w:t>sujetos</w:t>
      </w:r>
      <w:r>
        <w:rPr>
          <w:color w:val="231F1F"/>
          <w:spacing w:val="-11"/>
          <w:w w:val="110"/>
        </w:rPr>
        <w:t> </w:t>
      </w:r>
      <w:r>
        <w:rPr>
          <w:color w:val="231F1F"/>
          <w:spacing w:val="-2"/>
          <w:w w:val="110"/>
        </w:rPr>
        <w:t>con</w:t>
      </w:r>
      <w:r>
        <w:rPr>
          <w:color w:val="231F1F"/>
          <w:spacing w:val="-11"/>
          <w:w w:val="110"/>
        </w:rPr>
        <w:t> </w:t>
      </w:r>
      <w:r>
        <w:rPr>
          <w:color w:val="231F1F"/>
          <w:spacing w:val="-2"/>
          <w:w w:val="110"/>
        </w:rPr>
        <w:t>un </w:t>
      </w:r>
      <w:r>
        <w:rPr>
          <w:color w:val="231F1F"/>
          <w:w w:val="110"/>
        </w:rPr>
        <w:t>trastorno de la coagulación.</w:t>
      </w:r>
    </w:p>
    <w:p>
      <w:pPr>
        <w:pStyle w:val="BodyText"/>
        <w:spacing w:line="247" w:lineRule="auto" w:before="148"/>
        <w:ind w:left="283" w:right="1365" w:firstLine="453"/>
        <w:jc w:val="both"/>
      </w:pPr>
      <w:r>
        <w:rPr>
          <w:color w:val="231F1F"/>
        </w:rPr>
        <w:t>El grupo elaborador recomienda que una historia de sangrado debe incluir </w:t>
      </w:r>
      <w:r>
        <w:rPr>
          <w:color w:val="231F1F"/>
          <w:w w:val="110"/>
        </w:rPr>
        <w:t>breves</w:t>
      </w:r>
      <w:r>
        <w:rPr>
          <w:color w:val="231F1F"/>
          <w:spacing w:val="-10"/>
          <w:w w:val="110"/>
        </w:rPr>
        <w:t> </w:t>
      </w:r>
      <w:r>
        <w:rPr>
          <w:color w:val="231F1F"/>
          <w:w w:val="110"/>
        </w:rPr>
        <w:t>sobre</w:t>
      </w:r>
      <w:r>
        <w:rPr>
          <w:color w:val="231F1F"/>
          <w:spacing w:val="-10"/>
          <w:w w:val="110"/>
        </w:rPr>
        <w:t> </w:t>
      </w:r>
      <w:r>
        <w:rPr>
          <w:color w:val="231F1F"/>
          <w:w w:val="110"/>
        </w:rPr>
        <w:t>síntomas</w:t>
      </w:r>
      <w:r>
        <w:rPr>
          <w:color w:val="231F1F"/>
          <w:spacing w:val="-10"/>
          <w:w w:val="110"/>
        </w:rPr>
        <w:t> </w:t>
      </w:r>
      <w:r>
        <w:rPr>
          <w:color w:val="231F1F"/>
          <w:w w:val="110"/>
        </w:rPr>
        <w:t>de</w:t>
      </w:r>
      <w:r>
        <w:rPr>
          <w:color w:val="231F1F"/>
          <w:spacing w:val="-10"/>
          <w:w w:val="110"/>
        </w:rPr>
        <w:t> </w:t>
      </w:r>
      <w:r>
        <w:rPr>
          <w:color w:val="231F1F"/>
          <w:w w:val="110"/>
        </w:rPr>
        <w:t>sangrado,</w:t>
      </w:r>
      <w:r>
        <w:rPr>
          <w:color w:val="231F1F"/>
          <w:spacing w:val="-11"/>
          <w:w w:val="110"/>
        </w:rPr>
        <w:t> </w:t>
      </w:r>
      <w:r>
        <w:rPr>
          <w:color w:val="231F1F"/>
          <w:w w:val="110"/>
        </w:rPr>
        <w:t>previas</w:t>
      </w:r>
      <w:r>
        <w:rPr>
          <w:color w:val="231F1F"/>
          <w:spacing w:val="-10"/>
          <w:w w:val="110"/>
        </w:rPr>
        <w:t> </w:t>
      </w:r>
      <w:r>
        <w:rPr>
          <w:color w:val="231F1F"/>
          <w:w w:val="110"/>
        </w:rPr>
        <w:t>alteraciones</w:t>
      </w:r>
      <w:r>
        <w:rPr>
          <w:color w:val="231F1F"/>
          <w:spacing w:val="-10"/>
          <w:w w:val="110"/>
        </w:rPr>
        <w:t> </w:t>
      </w:r>
      <w:r>
        <w:rPr>
          <w:color w:val="231F1F"/>
          <w:w w:val="110"/>
        </w:rPr>
        <w:t>hemostáticas,</w:t>
      </w:r>
      <w:r>
        <w:rPr>
          <w:color w:val="231F1F"/>
          <w:spacing w:val="-11"/>
          <w:w w:val="110"/>
        </w:rPr>
        <w:t> </w:t>
      </w:r>
      <w:r>
        <w:rPr>
          <w:color w:val="231F1F"/>
          <w:w w:val="110"/>
        </w:rPr>
        <w:t>ante- cedentes familiares y de historia farmacológica. Si esto diera positivo para síntomas</w:t>
      </w:r>
      <w:r>
        <w:rPr>
          <w:color w:val="231F1F"/>
          <w:spacing w:val="-10"/>
          <w:w w:val="110"/>
        </w:rPr>
        <w:t> </w:t>
      </w:r>
      <w:r>
        <w:rPr>
          <w:color w:val="231F1F"/>
          <w:w w:val="110"/>
        </w:rPr>
        <w:t>de</w:t>
      </w:r>
      <w:r>
        <w:rPr>
          <w:color w:val="231F1F"/>
          <w:spacing w:val="-10"/>
          <w:w w:val="110"/>
        </w:rPr>
        <w:t> </w:t>
      </w:r>
      <w:r>
        <w:rPr>
          <w:color w:val="231F1F"/>
          <w:w w:val="110"/>
        </w:rPr>
        <w:t>sangrado,</w:t>
      </w:r>
      <w:r>
        <w:rPr>
          <w:color w:val="231F1F"/>
          <w:spacing w:val="-11"/>
          <w:w w:val="110"/>
        </w:rPr>
        <w:t> </w:t>
      </w:r>
      <w:r>
        <w:rPr>
          <w:color w:val="231F1F"/>
          <w:w w:val="110"/>
        </w:rPr>
        <w:t>se</w:t>
      </w:r>
      <w:r>
        <w:rPr>
          <w:color w:val="231F1F"/>
          <w:spacing w:val="-10"/>
          <w:w w:val="110"/>
        </w:rPr>
        <w:t> </w:t>
      </w:r>
      <w:r>
        <w:rPr>
          <w:color w:val="231F1F"/>
          <w:w w:val="110"/>
        </w:rPr>
        <w:t>debería</w:t>
      </w:r>
      <w:r>
        <w:rPr>
          <w:color w:val="231F1F"/>
          <w:spacing w:val="-10"/>
          <w:w w:val="110"/>
        </w:rPr>
        <w:t> </w:t>
      </w:r>
      <w:r>
        <w:rPr>
          <w:color w:val="231F1F"/>
          <w:w w:val="110"/>
        </w:rPr>
        <w:t>realizar</w:t>
      </w:r>
      <w:r>
        <w:rPr>
          <w:color w:val="231F1F"/>
          <w:spacing w:val="-10"/>
          <w:w w:val="110"/>
        </w:rPr>
        <w:t> </w:t>
      </w:r>
      <w:r>
        <w:rPr>
          <w:color w:val="231F1F"/>
          <w:w w:val="110"/>
        </w:rPr>
        <w:t>un</w:t>
      </w:r>
      <w:r>
        <w:rPr>
          <w:color w:val="231F1F"/>
          <w:spacing w:val="-10"/>
          <w:w w:val="110"/>
        </w:rPr>
        <w:t> </w:t>
      </w:r>
      <w:r>
        <w:rPr>
          <w:color w:val="231F1F"/>
          <w:w w:val="110"/>
        </w:rPr>
        <w:t>examen</w:t>
      </w:r>
      <w:r>
        <w:rPr>
          <w:color w:val="231F1F"/>
          <w:spacing w:val="-10"/>
          <w:w w:val="110"/>
        </w:rPr>
        <w:t> </w:t>
      </w:r>
      <w:r>
        <w:rPr>
          <w:color w:val="231F1F"/>
          <w:w w:val="110"/>
        </w:rPr>
        <w:t>cuantitativo</w:t>
      </w:r>
      <w:r>
        <w:rPr>
          <w:color w:val="231F1F"/>
          <w:spacing w:val="-10"/>
          <w:w w:val="110"/>
        </w:rPr>
        <w:t> </w:t>
      </w:r>
      <w:r>
        <w:rPr>
          <w:color w:val="231F1F"/>
          <w:w w:val="110"/>
        </w:rPr>
        <w:t>de</w:t>
      </w:r>
      <w:r>
        <w:rPr>
          <w:color w:val="231F1F"/>
          <w:spacing w:val="-10"/>
          <w:w w:val="110"/>
        </w:rPr>
        <w:t> </w:t>
      </w:r>
      <w:r>
        <w:rPr>
          <w:color w:val="231F1F"/>
          <w:w w:val="110"/>
        </w:rPr>
        <w:t>los</w:t>
      </w:r>
      <w:r>
        <w:rPr>
          <w:color w:val="231F1F"/>
          <w:spacing w:val="-10"/>
          <w:w w:val="110"/>
        </w:rPr>
        <w:t> </w:t>
      </w:r>
      <w:r>
        <w:rPr>
          <w:color w:val="231F1F"/>
          <w:w w:val="110"/>
        </w:rPr>
        <w:t>sín- </w:t>
      </w:r>
      <w:r>
        <w:rPr>
          <w:color w:val="231F1F"/>
          <w:spacing w:val="-2"/>
          <w:w w:val="110"/>
        </w:rPr>
        <w:t>tomas.</w:t>
      </w:r>
    </w:p>
    <w:p>
      <w:pPr>
        <w:pStyle w:val="BodyText"/>
        <w:spacing w:before="152"/>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7" w:lineRule="auto" w:before="49"/>
              <w:ind w:right="90"/>
              <w:jc w:val="both"/>
              <w:rPr>
                <w:sz w:val="22"/>
              </w:rPr>
            </w:pPr>
            <w:r>
              <w:rPr>
                <w:color w:val="231F1F"/>
                <w:w w:val="105"/>
                <w:sz w:val="22"/>
              </w:rPr>
              <w:t>Las</w:t>
            </w:r>
            <w:r>
              <w:rPr>
                <w:color w:val="231F1F"/>
                <w:w w:val="105"/>
                <w:sz w:val="22"/>
              </w:rPr>
              <w:t> pruebas</w:t>
            </w:r>
            <w:r>
              <w:rPr>
                <w:color w:val="231F1F"/>
                <w:w w:val="105"/>
                <w:sz w:val="22"/>
              </w:rPr>
              <w:t> de</w:t>
            </w:r>
            <w:r>
              <w:rPr>
                <w:color w:val="231F1F"/>
                <w:w w:val="105"/>
                <w:sz w:val="22"/>
              </w:rPr>
              <w:t> coagulación</w:t>
            </w:r>
            <w:r>
              <w:rPr>
                <w:color w:val="231F1F"/>
                <w:w w:val="105"/>
                <w:sz w:val="22"/>
              </w:rPr>
              <w:t> son</w:t>
            </w:r>
            <w:r>
              <w:rPr>
                <w:color w:val="231F1F"/>
                <w:w w:val="105"/>
                <w:sz w:val="22"/>
              </w:rPr>
              <w:t> pobres</w:t>
            </w:r>
            <w:r>
              <w:rPr>
                <w:color w:val="231F1F"/>
                <w:w w:val="105"/>
                <w:sz w:val="22"/>
              </w:rPr>
              <w:t> predictores</w:t>
            </w:r>
            <w:r>
              <w:rPr>
                <w:color w:val="231F1F"/>
                <w:w w:val="105"/>
                <w:sz w:val="22"/>
              </w:rPr>
              <w:t> de</w:t>
            </w:r>
            <w:r>
              <w:rPr>
                <w:color w:val="231F1F"/>
                <w:w w:val="105"/>
                <w:sz w:val="22"/>
              </w:rPr>
              <w:t> hemorragia</w:t>
            </w:r>
            <w:r>
              <w:rPr>
                <w:color w:val="231F1F"/>
                <w:w w:val="105"/>
                <w:sz w:val="22"/>
              </w:rPr>
              <w:t> periope- ratoria, ya que el riesgo de sangrado entre pacientes con test de coagulación anormal y normal es similar (321).</w:t>
            </w:r>
          </w:p>
        </w:tc>
        <w:tc>
          <w:tcPr>
            <w:tcW w:w="1133" w:type="dxa"/>
          </w:tcPr>
          <w:p>
            <w:pPr>
              <w:pStyle w:val="TableParagraph"/>
              <w:spacing w:before="74"/>
              <w:ind w:left="0"/>
              <w:rPr>
                <w:rFonts w:ascii="Arial MT"/>
                <w:sz w:val="22"/>
              </w:rPr>
            </w:pPr>
          </w:p>
          <w:p>
            <w:pPr>
              <w:pStyle w:val="TableParagraph"/>
              <w:ind w:left="49" w:right="23"/>
              <w:jc w:val="center"/>
              <w:rPr>
                <w:sz w:val="22"/>
              </w:rPr>
            </w:pPr>
            <w:r>
              <w:rPr>
                <w:color w:val="231F1F"/>
                <w:spacing w:val="-5"/>
                <w:w w:val="115"/>
                <w:sz w:val="22"/>
              </w:rPr>
              <w:t>III</w:t>
            </w:r>
          </w:p>
        </w:tc>
      </w:tr>
      <w:tr>
        <w:trPr>
          <w:trHeight w:val="686" w:hRule="atLeast"/>
        </w:trPr>
        <w:tc>
          <w:tcPr>
            <w:tcW w:w="7373" w:type="dxa"/>
          </w:tcPr>
          <w:p>
            <w:pPr>
              <w:pStyle w:val="TableParagraph"/>
              <w:spacing w:line="244" w:lineRule="auto" w:before="44"/>
              <w:ind w:right="156"/>
              <w:rPr>
                <w:sz w:val="22"/>
              </w:rPr>
            </w:pPr>
            <w:r>
              <w:rPr>
                <w:color w:val="231F1F"/>
                <w:w w:val="105"/>
                <w:sz w:val="22"/>
              </w:rPr>
              <w:t>No</w:t>
            </w:r>
            <w:r>
              <w:rPr>
                <w:color w:val="231F1F"/>
                <w:spacing w:val="-4"/>
                <w:w w:val="105"/>
                <w:sz w:val="22"/>
              </w:rPr>
              <w:t> </w:t>
            </w:r>
            <w:r>
              <w:rPr>
                <w:color w:val="231F1F"/>
                <w:w w:val="105"/>
                <w:sz w:val="22"/>
              </w:rPr>
              <w:t>existe</w:t>
            </w:r>
            <w:r>
              <w:rPr>
                <w:color w:val="231F1F"/>
                <w:spacing w:val="-4"/>
                <w:w w:val="105"/>
                <w:sz w:val="22"/>
              </w:rPr>
              <w:t> </w:t>
            </w:r>
            <w:r>
              <w:rPr>
                <w:color w:val="231F1F"/>
                <w:w w:val="105"/>
                <w:sz w:val="22"/>
              </w:rPr>
              <w:t>evidencia</w:t>
            </w:r>
            <w:r>
              <w:rPr>
                <w:color w:val="231F1F"/>
                <w:spacing w:val="-4"/>
                <w:w w:val="105"/>
                <w:sz w:val="22"/>
              </w:rPr>
              <w:t> </w:t>
            </w:r>
            <w:r>
              <w:rPr>
                <w:color w:val="231F1F"/>
                <w:w w:val="105"/>
                <w:sz w:val="22"/>
              </w:rPr>
              <w:t>suficiente</w:t>
            </w:r>
            <w:r>
              <w:rPr>
                <w:color w:val="231F1F"/>
                <w:spacing w:val="-5"/>
                <w:w w:val="105"/>
                <w:sz w:val="22"/>
              </w:rPr>
              <w:t> </w:t>
            </w:r>
            <w:r>
              <w:rPr>
                <w:color w:val="231F1F"/>
                <w:w w:val="105"/>
                <w:sz w:val="22"/>
              </w:rPr>
              <w:t>para</w:t>
            </w:r>
            <w:r>
              <w:rPr>
                <w:color w:val="231F1F"/>
                <w:spacing w:val="-5"/>
                <w:w w:val="105"/>
                <w:sz w:val="22"/>
              </w:rPr>
              <w:t> </w:t>
            </w:r>
            <w:r>
              <w:rPr>
                <w:color w:val="231F1F"/>
                <w:w w:val="105"/>
                <w:sz w:val="22"/>
              </w:rPr>
              <w:t>determinar</w:t>
            </w:r>
            <w:r>
              <w:rPr>
                <w:color w:val="231F1F"/>
                <w:spacing w:val="-5"/>
                <w:w w:val="105"/>
                <w:sz w:val="22"/>
              </w:rPr>
              <w:t> </w:t>
            </w:r>
            <w:r>
              <w:rPr>
                <w:color w:val="231F1F"/>
                <w:w w:val="105"/>
                <w:sz w:val="22"/>
              </w:rPr>
              <w:t>si</w:t>
            </w:r>
            <w:r>
              <w:rPr>
                <w:color w:val="231F1F"/>
                <w:spacing w:val="-6"/>
                <w:w w:val="105"/>
                <w:sz w:val="22"/>
              </w:rPr>
              <w:t> </w:t>
            </w:r>
            <w:r>
              <w:rPr>
                <w:color w:val="231F1F"/>
                <w:w w:val="105"/>
                <w:sz w:val="22"/>
              </w:rPr>
              <w:t>el</w:t>
            </w:r>
            <w:r>
              <w:rPr>
                <w:color w:val="231F1F"/>
                <w:spacing w:val="-6"/>
                <w:w w:val="105"/>
                <w:sz w:val="22"/>
              </w:rPr>
              <w:t> </w:t>
            </w:r>
            <w:r>
              <w:rPr>
                <w:color w:val="231F1F"/>
                <w:w w:val="105"/>
                <w:sz w:val="22"/>
              </w:rPr>
              <w:t>recuento</w:t>
            </w:r>
            <w:r>
              <w:rPr>
                <w:color w:val="231F1F"/>
                <w:spacing w:val="-4"/>
                <w:w w:val="105"/>
                <w:sz w:val="22"/>
              </w:rPr>
              <w:t> </w:t>
            </w:r>
            <w:r>
              <w:rPr>
                <w:color w:val="231F1F"/>
                <w:w w:val="105"/>
                <w:sz w:val="22"/>
              </w:rPr>
              <w:t>de</w:t>
            </w:r>
            <w:r>
              <w:rPr>
                <w:color w:val="231F1F"/>
                <w:spacing w:val="-5"/>
                <w:w w:val="105"/>
                <w:sz w:val="22"/>
              </w:rPr>
              <w:t> </w:t>
            </w:r>
            <w:r>
              <w:rPr>
                <w:color w:val="231F1F"/>
                <w:w w:val="105"/>
                <w:sz w:val="22"/>
              </w:rPr>
              <w:t>plaquetas</w:t>
            </w:r>
            <w:r>
              <w:rPr>
                <w:color w:val="231F1F"/>
                <w:spacing w:val="-5"/>
                <w:w w:val="105"/>
                <w:sz w:val="22"/>
              </w:rPr>
              <w:t> </w:t>
            </w:r>
            <w:r>
              <w:rPr>
                <w:color w:val="231F1F"/>
                <w:w w:val="105"/>
                <w:sz w:val="22"/>
              </w:rPr>
              <w:t>es </w:t>
            </w:r>
            <w:r>
              <w:rPr>
                <w:color w:val="231F1F"/>
                <w:sz w:val="22"/>
              </w:rPr>
              <w:t>un</w:t>
            </w:r>
            <w:r>
              <w:rPr>
                <w:color w:val="231F1F"/>
                <w:spacing w:val="13"/>
                <w:sz w:val="22"/>
              </w:rPr>
              <w:t> </w:t>
            </w:r>
            <w:r>
              <w:rPr>
                <w:color w:val="231F1F"/>
                <w:sz w:val="22"/>
              </w:rPr>
              <w:t>predictor</w:t>
            </w:r>
            <w:r>
              <w:rPr>
                <w:color w:val="231F1F"/>
                <w:spacing w:val="14"/>
                <w:sz w:val="22"/>
              </w:rPr>
              <w:t> </w:t>
            </w:r>
            <w:r>
              <w:rPr>
                <w:color w:val="231F1F"/>
                <w:sz w:val="22"/>
              </w:rPr>
              <w:t>de</w:t>
            </w:r>
            <w:r>
              <w:rPr>
                <w:color w:val="231F1F"/>
                <w:spacing w:val="13"/>
                <w:sz w:val="22"/>
              </w:rPr>
              <w:t> </w:t>
            </w:r>
            <w:r>
              <w:rPr>
                <w:color w:val="231F1F"/>
                <w:sz w:val="22"/>
              </w:rPr>
              <w:t>complicaciones</w:t>
            </w:r>
            <w:r>
              <w:rPr>
                <w:color w:val="231F1F"/>
                <w:spacing w:val="15"/>
                <w:sz w:val="22"/>
              </w:rPr>
              <w:t> </w:t>
            </w:r>
            <w:r>
              <w:rPr>
                <w:color w:val="231F1F"/>
                <w:sz w:val="22"/>
              </w:rPr>
              <w:t>relacionadas</w:t>
            </w:r>
            <w:r>
              <w:rPr>
                <w:color w:val="231F1F"/>
                <w:spacing w:val="14"/>
                <w:sz w:val="22"/>
              </w:rPr>
              <w:t> </w:t>
            </w:r>
            <w:r>
              <w:rPr>
                <w:color w:val="231F1F"/>
                <w:sz w:val="22"/>
              </w:rPr>
              <w:t>con</w:t>
            </w:r>
            <w:r>
              <w:rPr>
                <w:color w:val="231F1F"/>
                <w:spacing w:val="16"/>
                <w:sz w:val="22"/>
              </w:rPr>
              <w:t> </w:t>
            </w:r>
            <w:r>
              <w:rPr>
                <w:color w:val="231F1F"/>
                <w:sz w:val="22"/>
              </w:rPr>
              <w:t>la</w:t>
            </w:r>
            <w:r>
              <w:rPr>
                <w:color w:val="231F1F"/>
                <w:spacing w:val="16"/>
                <w:sz w:val="22"/>
              </w:rPr>
              <w:t> </w:t>
            </w:r>
            <w:r>
              <w:rPr>
                <w:color w:val="231F1F"/>
                <w:sz w:val="22"/>
              </w:rPr>
              <w:t>anestesia</w:t>
            </w:r>
            <w:r>
              <w:rPr>
                <w:color w:val="231F1F"/>
                <w:spacing w:val="15"/>
                <w:sz w:val="22"/>
              </w:rPr>
              <w:t> </w:t>
            </w:r>
            <w:r>
              <w:rPr>
                <w:color w:val="231F1F"/>
                <w:sz w:val="22"/>
              </w:rPr>
              <w:t>neuroaxial</w:t>
            </w:r>
            <w:r>
              <w:rPr>
                <w:color w:val="231F1F"/>
                <w:spacing w:val="14"/>
                <w:sz w:val="22"/>
              </w:rPr>
              <w:t> </w:t>
            </w:r>
            <w:r>
              <w:rPr>
                <w:color w:val="231F1F"/>
                <w:spacing w:val="-2"/>
                <w:sz w:val="22"/>
              </w:rPr>
              <w:t>(16).</w:t>
            </w:r>
          </w:p>
        </w:tc>
        <w:tc>
          <w:tcPr>
            <w:tcW w:w="1133" w:type="dxa"/>
          </w:tcPr>
          <w:p>
            <w:pPr>
              <w:pStyle w:val="TableParagraph"/>
              <w:spacing w:before="178"/>
              <w:ind w:left="49" w:right="23"/>
              <w:jc w:val="center"/>
              <w:rPr>
                <w:sz w:val="22"/>
              </w:rPr>
            </w:pPr>
            <w:r>
              <w:rPr>
                <w:color w:val="231F1F"/>
                <w:spacing w:val="-5"/>
                <w:w w:val="110"/>
                <w:sz w:val="22"/>
              </w:rPr>
              <w:t>IV</w:t>
            </w:r>
          </w:p>
        </w:tc>
      </w:tr>
      <w:tr>
        <w:trPr>
          <w:trHeight w:val="959" w:hRule="atLeast"/>
        </w:trPr>
        <w:tc>
          <w:tcPr>
            <w:tcW w:w="7373" w:type="dxa"/>
          </w:tcPr>
          <w:p>
            <w:pPr>
              <w:pStyle w:val="TableParagraph"/>
              <w:spacing w:line="244" w:lineRule="auto" w:before="53"/>
              <w:ind w:right="89"/>
              <w:jc w:val="both"/>
              <w:rPr>
                <w:sz w:val="22"/>
              </w:rPr>
            </w:pPr>
            <w:r>
              <w:rPr>
                <w:color w:val="231F1F"/>
                <w:w w:val="105"/>
                <w:sz w:val="22"/>
              </w:rPr>
              <w:t>La capacidad de predicción de sangrado de las historias depende de lo espe- cíficas que estas sean y de la presencia de historia familiar de sangrado po- sitiva</w:t>
            </w:r>
            <w:r>
              <w:rPr>
                <w:color w:val="231F1F"/>
                <w:spacing w:val="40"/>
                <w:w w:val="105"/>
                <w:sz w:val="22"/>
              </w:rPr>
              <w:t> </w:t>
            </w:r>
            <w:r>
              <w:rPr>
                <w:color w:val="231F1F"/>
                <w:w w:val="105"/>
                <w:sz w:val="22"/>
              </w:rPr>
              <w:t>y</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sangrado</w:t>
            </w:r>
            <w:r>
              <w:rPr>
                <w:color w:val="231F1F"/>
                <w:spacing w:val="40"/>
                <w:w w:val="105"/>
                <w:sz w:val="22"/>
              </w:rPr>
              <w:t> </w:t>
            </w:r>
            <w:r>
              <w:rPr>
                <w:color w:val="231F1F"/>
                <w:w w:val="105"/>
                <w:sz w:val="22"/>
              </w:rPr>
              <w:t>después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sucesos</w:t>
            </w:r>
            <w:r>
              <w:rPr>
                <w:color w:val="231F1F"/>
                <w:spacing w:val="40"/>
                <w:w w:val="105"/>
                <w:sz w:val="22"/>
              </w:rPr>
              <w:t> </w:t>
            </w:r>
            <w:r>
              <w:rPr>
                <w:color w:val="231F1F"/>
                <w:w w:val="105"/>
                <w:sz w:val="22"/>
              </w:rPr>
              <w:t>traumáticos</w:t>
            </w:r>
            <w:r>
              <w:rPr>
                <w:color w:val="231F1F"/>
                <w:spacing w:val="40"/>
                <w:w w:val="105"/>
                <w:sz w:val="22"/>
              </w:rPr>
              <w:t> </w:t>
            </w:r>
            <w:r>
              <w:rPr>
                <w:color w:val="231F1F"/>
                <w:w w:val="105"/>
                <w:sz w:val="22"/>
              </w:rPr>
              <w:t>(salvo</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(321).</w:t>
            </w:r>
          </w:p>
        </w:tc>
        <w:tc>
          <w:tcPr>
            <w:tcW w:w="1133" w:type="dxa"/>
          </w:tcPr>
          <w:p>
            <w:pPr>
              <w:pStyle w:val="TableParagraph"/>
              <w:spacing w:before="64"/>
              <w:ind w:left="0"/>
              <w:rPr>
                <w:rFonts w:ascii="Arial MT"/>
                <w:sz w:val="22"/>
              </w:rPr>
            </w:pPr>
          </w:p>
          <w:p>
            <w:pPr>
              <w:pStyle w:val="TableParagraph"/>
              <w:ind w:left="49" w:right="23"/>
              <w:jc w:val="center"/>
              <w:rPr>
                <w:sz w:val="22"/>
              </w:rPr>
            </w:pPr>
            <w:r>
              <w:rPr>
                <w:color w:val="231F1F"/>
                <w:spacing w:val="-5"/>
                <w:w w:val="115"/>
                <w:sz w:val="22"/>
              </w:rPr>
              <w:t>III</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3" w:right="61"/>
              <w:jc w:val="center"/>
              <w:rPr>
                <w:sz w:val="22"/>
              </w:rPr>
            </w:pPr>
            <w:r>
              <w:rPr>
                <w:color w:val="231F1F"/>
                <w:spacing w:val="-10"/>
                <w:w w:val="110"/>
                <w:sz w:val="22"/>
              </w:rPr>
              <w:t>C</w:t>
            </w:r>
          </w:p>
        </w:tc>
        <w:tc>
          <w:tcPr>
            <w:tcW w:w="8050" w:type="dxa"/>
          </w:tcPr>
          <w:p>
            <w:pPr>
              <w:pStyle w:val="TableParagraph"/>
              <w:spacing w:line="254" w:lineRule="auto" w:before="63"/>
              <w:ind w:right="155"/>
              <w:rPr>
                <w:sz w:val="22"/>
              </w:rPr>
            </w:pPr>
            <w:r>
              <w:rPr>
                <w:color w:val="231F1F"/>
                <w:sz w:val="22"/>
              </w:rPr>
              <w:t>No se recomienda</w:t>
            </w:r>
            <w:r>
              <w:rPr>
                <w:color w:val="231F1F"/>
                <w:spacing w:val="27"/>
                <w:sz w:val="22"/>
              </w:rPr>
              <w:t> </w:t>
            </w:r>
            <w:r>
              <w:rPr>
                <w:color w:val="231F1F"/>
                <w:sz w:val="22"/>
              </w:rPr>
              <w:t>realizar</w:t>
            </w:r>
            <w:r>
              <w:rPr>
                <w:color w:val="231F1F"/>
                <w:spacing w:val="27"/>
                <w:sz w:val="22"/>
              </w:rPr>
              <w:t> </w:t>
            </w:r>
            <w:r>
              <w:rPr>
                <w:color w:val="231F1F"/>
                <w:sz w:val="22"/>
              </w:rPr>
              <w:t>un estudio de coagulación rutinario</w:t>
            </w:r>
            <w:r>
              <w:rPr>
                <w:color w:val="231F1F"/>
                <w:spacing w:val="26"/>
                <w:sz w:val="22"/>
              </w:rPr>
              <w:t> </w:t>
            </w:r>
            <w:r>
              <w:rPr>
                <w:color w:val="231F1F"/>
                <w:sz w:val="22"/>
              </w:rPr>
              <w:t>previo a la analgesia</w:t>
            </w:r>
            <w:r>
              <w:rPr>
                <w:color w:val="231F1F"/>
                <w:spacing w:val="40"/>
                <w:sz w:val="22"/>
              </w:rPr>
              <w:t> </w:t>
            </w:r>
            <w:r>
              <w:rPr>
                <w:color w:val="231F1F"/>
                <w:sz w:val="22"/>
              </w:rPr>
              <w:t>neuroaxial</w:t>
            </w:r>
            <w:r>
              <w:rPr>
                <w:color w:val="231F1F"/>
                <w:spacing w:val="40"/>
                <w:sz w:val="22"/>
              </w:rPr>
              <w:t> </w:t>
            </w:r>
            <w:r>
              <w:rPr>
                <w:color w:val="231F1F"/>
                <w:sz w:val="22"/>
              </w:rPr>
              <w:t>en</w:t>
            </w:r>
            <w:r>
              <w:rPr>
                <w:color w:val="231F1F"/>
                <w:spacing w:val="40"/>
                <w:sz w:val="22"/>
              </w:rPr>
              <w:t> </w:t>
            </w:r>
            <w:r>
              <w:rPr>
                <w:color w:val="231F1F"/>
                <w:sz w:val="22"/>
              </w:rPr>
              <w:t>mujeres</w:t>
            </w:r>
            <w:r>
              <w:rPr>
                <w:color w:val="231F1F"/>
                <w:spacing w:val="40"/>
                <w:sz w:val="22"/>
              </w:rPr>
              <w:t> </w:t>
            </w:r>
            <w:r>
              <w:rPr>
                <w:color w:val="231F1F"/>
                <w:sz w:val="22"/>
              </w:rPr>
              <w:t>sanas</w:t>
            </w:r>
            <w:r>
              <w:rPr>
                <w:color w:val="231F1F"/>
                <w:spacing w:val="40"/>
                <w:sz w:val="22"/>
              </w:rPr>
              <w:t> </w:t>
            </w:r>
            <w:r>
              <w:rPr>
                <w:color w:val="231F1F"/>
                <w:sz w:val="22"/>
              </w:rPr>
              <w:t>de</w:t>
            </w:r>
            <w:r>
              <w:rPr>
                <w:color w:val="231F1F"/>
                <w:spacing w:val="40"/>
                <w:sz w:val="22"/>
              </w:rPr>
              <w:t> </w:t>
            </w:r>
            <w:r>
              <w:rPr>
                <w:color w:val="231F1F"/>
                <w:sz w:val="22"/>
              </w:rPr>
              <w:t>parto.</w:t>
            </w:r>
          </w:p>
        </w:tc>
      </w:tr>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53"/>
              <w:ind w:right="155"/>
              <w:rPr>
                <w:sz w:val="22"/>
              </w:rPr>
            </w:pPr>
            <w:r>
              <w:rPr>
                <w:color w:val="231F1F"/>
                <w:sz w:val="22"/>
              </w:rPr>
              <w:t>No</w:t>
            </w:r>
            <w:r>
              <w:rPr>
                <w:color w:val="231F1F"/>
                <w:spacing w:val="27"/>
                <w:sz w:val="22"/>
              </w:rPr>
              <w:t> </w:t>
            </w:r>
            <w:r>
              <w:rPr>
                <w:color w:val="231F1F"/>
                <w:sz w:val="22"/>
              </w:rPr>
              <w:t>se</w:t>
            </w:r>
            <w:r>
              <w:rPr>
                <w:color w:val="231F1F"/>
                <w:spacing w:val="29"/>
                <w:sz w:val="22"/>
              </w:rPr>
              <w:t> </w:t>
            </w:r>
            <w:r>
              <w:rPr>
                <w:color w:val="231F1F"/>
                <w:sz w:val="22"/>
              </w:rPr>
              <w:t>recomienda</w:t>
            </w:r>
            <w:r>
              <w:rPr>
                <w:color w:val="231F1F"/>
                <w:spacing w:val="28"/>
                <w:sz w:val="22"/>
              </w:rPr>
              <w:t> </w:t>
            </w:r>
            <w:r>
              <w:rPr>
                <w:color w:val="231F1F"/>
                <w:sz w:val="22"/>
              </w:rPr>
              <w:t>realizar</w:t>
            </w:r>
            <w:r>
              <w:rPr>
                <w:color w:val="231F1F"/>
                <w:spacing w:val="30"/>
                <w:sz w:val="22"/>
              </w:rPr>
              <w:t> </w:t>
            </w:r>
            <w:r>
              <w:rPr>
                <w:color w:val="231F1F"/>
                <w:sz w:val="22"/>
              </w:rPr>
              <w:t>un</w:t>
            </w:r>
            <w:r>
              <w:rPr>
                <w:color w:val="231F1F"/>
                <w:spacing w:val="27"/>
                <w:sz w:val="22"/>
              </w:rPr>
              <w:t> </w:t>
            </w:r>
            <w:r>
              <w:rPr>
                <w:color w:val="231F1F"/>
                <w:sz w:val="22"/>
              </w:rPr>
              <w:t>recuento</w:t>
            </w:r>
            <w:r>
              <w:rPr>
                <w:color w:val="231F1F"/>
                <w:spacing w:val="30"/>
                <w:sz w:val="22"/>
              </w:rPr>
              <w:t> </w:t>
            </w:r>
            <w:r>
              <w:rPr>
                <w:color w:val="231F1F"/>
                <w:sz w:val="22"/>
              </w:rPr>
              <w:t>intraparto</w:t>
            </w:r>
            <w:r>
              <w:rPr>
                <w:color w:val="231F1F"/>
                <w:spacing w:val="27"/>
                <w:sz w:val="22"/>
              </w:rPr>
              <w:t> </w:t>
            </w:r>
            <w:r>
              <w:rPr>
                <w:color w:val="231F1F"/>
                <w:sz w:val="22"/>
              </w:rPr>
              <w:t>de</w:t>
            </w:r>
            <w:r>
              <w:rPr>
                <w:color w:val="231F1F"/>
                <w:spacing w:val="29"/>
                <w:sz w:val="22"/>
              </w:rPr>
              <w:t> </w:t>
            </w:r>
            <w:r>
              <w:rPr>
                <w:color w:val="231F1F"/>
                <w:sz w:val="22"/>
              </w:rPr>
              <w:t>plaquetas</w:t>
            </w:r>
            <w:r>
              <w:rPr>
                <w:color w:val="231F1F"/>
                <w:spacing w:val="25"/>
                <w:sz w:val="22"/>
              </w:rPr>
              <w:t> </w:t>
            </w:r>
            <w:r>
              <w:rPr>
                <w:color w:val="231F1F"/>
                <w:sz w:val="22"/>
              </w:rPr>
              <w:t>rutinario</w:t>
            </w:r>
            <w:r>
              <w:rPr>
                <w:color w:val="231F1F"/>
                <w:spacing w:val="30"/>
                <w:sz w:val="22"/>
              </w:rPr>
              <w:t> </w:t>
            </w:r>
            <w:r>
              <w:rPr>
                <w:color w:val="231F1F"/>
                <w:sz w:val="22"/>
              </w:rPr>
              <w:t>previo</w:t>
            </w:r>
            <w:r>
              <w:rPr>
                <w:color w:val="231F1F"/>
                <w:spacing w:val="27"/>
                <w:sz w:val="22"/>
              </w:rPr>
              <w:t> </w:t>
            </w:r>
            <w:r>
              <w:rPr>
                <w:color w:val="231F1F"/>
                <w:sz w:val="22"/>
              </w:rPr>
              <w:t>a</w:t>
            </w:r>
            <w:r>
              <w:rPr>
                <w:color w:val="231F1F"/>
                <w:spacing w:val="29"/>
                <w:sz w:val="22"/>
              </w:rPr>
              <w:t> </w:t>
            </w:r>
            <w:r>
              <w:rPr>
                <w:color w:val="231F1F"/>
                <w:sz w:val="22"/>
              </w:rPr>
              <w:t>la analgesia</w:t>
            </w:r>
            <w:r>
              <w:rPr>
                <w:color w:val="231F1F"/>
                <w:spacing w:val="40"/>
                <w:sz w:val="22"/>
              </w:rPr>
              <w:t> </w:t>
            </w:r>
            <w:r>
              <w:rPr>
                <w:color w:val="231F1F"/>
                <w:sz w:val="22"/>
              </w:rPr>
              <w:t>neuroaxial</w:t>
            </w:r>
            <w:r>
              <w:rPr>
                <w:color w:val="231F1F"/>
                <w:spacing w:val="40"/>
                <w:sz w:val="22"/>
              </w:rPr>
              <w:t> </w:t>
            </w:r>
            <w:r>
              <w:rPr>
                <w:color w:val="231F1F"/>
                <w:sz w:val="22"/>
              </w:rPr>
              <w:t>en</w:t>
            </w:r>
            <w:r>
              <w:rPr>
                <w:color w:val="231F1F"/>
                <w:spacing w:val="40"/>
                <w:sz w:val="22"/>
              </w:rPr>
              <w:t> </w:t>
            </w:r>
            <w:r>
              <w:rPr>
                <w:color w:val="231F1F"/>
                <w:sz w:val="22"/>
              </w:rPr>
              <w:t>mujeres</w:t>
            </w:r>
            <w:r>
              <w:rPr>
                <w:color w:val="231F1F"/>
                <w:spacing w:val="40"/>
                <w:sz w:val="22"/>
              </w:rPr>
              <w:t> </w:t>
            </w:r>
            <w:r>
              <w:rPr>
                <w:color w:val="231F1F"/>
                <w:sz w:val="22"/>
              </w:rPr>
              <w:t>sanas</w:t>
            </w:r>
            <w:r>
              <w:rPr>
                <w:color w:val="231F1F"/>
                <w:spacing w:val="40"/>
                <w:sz w:val="22"/>
              </w:rPr>
              <w:t> </w:t>
            </w:r>
            <w:r>
              <w:rPr>
                <w:color w:val="231F1F"/>
                <w:sz w:val="22"/>
              </w:rPr>
              <w:t>de</w:t>
            </w:r>
            <w:r>
              <w:rPr>
                <w:color w:val="231F1F"/>
                <w:spacing w:val="40"/>
                <w:sz w:val="22"/>
              </w:rPr>
              <w:t> </w:t>
            </w:r>
            <w:r>
              <w:rPr>
                <w:color w:val="231F1F"/>
                <w:sz w:val="22"/>
              </w:rPr>
              <w:t>parto.</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4"/>
              <w:ind w:right="77"/>
              <w:jc w:val="both"/>
              <w:rPr>
                <w:sz w:val="22"/>
              </w:rPr>
            </w:pPr>
            <w:r>
              <w:rPr>
                <w:color w:val="231F1F"/>
                <w:w w:val="105"/>
                <w:sz w:val="22"/>
              </w:rPr>
              <w:t>La decisión de realizar un recuento de plaquetas y un test de coagulación debe ser individualizada</w:t>
            </w:r>
            <w:r>
              <w:rPr>
                <w:color w:val="231F1F"/>
                <w:w w:val="105"/>
                <w:sz w:val="22"/>
              </w:rPr>
              <w:t> y</w:t>
            </w:r>
            <w:r>
              <w:rPr>
                <w:color w:val="231F1F"/>
                <w:w w:val="105"/>
                <w:sz w:val="22"/>
              </w:rPr>
              <w:t> basada</w:t>
            </w:r>
            <w:r>
              <w:rPr>
                <w:color w:val="231F1F"/>
                <w:w w:val="105"/>
                <w:sz w:val="22"/>
              </w:rPr>
              <w:t> en</w:t>
            </w:r>
            <w:r>
              <w:rPr>
                <w:color w:val="231F1F"/>
                <w:w w:val="105"/>
                <w:sz w:val="22"/>
              </w:rPr>
              <w:t> la</w:t>
            </w:r>
            <w:r>
              <w:rPr>
                <w:color w:val="231F1F"/>
                <w:w w:val="105"/>
                <w:sz w:val="22"/>
              </w:rPr>
              <w:t> historia</w:t>
            </w:r>
            <w:r>
              <w:rPr>
                <w:color w:val="231F1F"/>
                <w:w w:val="105"/>
                <w:sz w:val="22"/>
              </w:rPr>
              <w:t> de</w:t>
            </w:r>
            <w:r>
              <w:rPr>
                <w:color w:val="231F1F"/>
                <w:w w:val="105"/>
                <w:sz w:val="22"/>
              </w:rPr>
              <w:t> la</w:t>
            </w:r>
            <w:r>
              <w:rPr>
                <w:color w:val="231F1F"/>
                <w:w w:val="105"/>
                <w:sz w:val="22"/>
              </w:rPr>
              <w:t> mujer,</w:t>
            </w:r>
            <w:r>
              <w:rPr>
                <w:color w:val="231F1F"/>
                <w:w w:val="105"/>
                <w:sz w:val="22"/>
              </w:rPr>
              <w:t> el</w:t>
            </w:r>
            <w:r>
              <w:rPr>
                <w:color w:val="231F1F"/>
                <w:w w:val="105"/>
                <w:sz w:val="22"/>
              </w:rPr>
              <w:t> examen</w:t>
            </w:r>
            <w:r>
              <w:rPr>
                <w:color w:val="231F1F"/>
                <w:w w:val="105"/>
                <w:sz w:val="22"/>
              </w:rPr>
              <w:t> físico</w:t>
            </w:r>
            <w:r>
              <w:rPr>
                <w:color w:val="231F1F"/>
                <w:w w:val="105"/>
                <w:sz w:val="22"/>
              </w:rPr>
              <w:t> y</w:t>
            </w:r>
            <w:r>
              <w:rPr>
                <w:color w:val="231F1F"/>
                <w:w w:val="105"/>
                <w:sz w:val="22"/>
              </w:rPr>
              <w:t> los</w:t>
            </w:r>
            <w:r>
              <w:rPr>
                <w:color w:val="231F1F"/>
                <w:w w:val="105"/>
                <w:sz w:val="22"/>
              </w:rPr>
              <w:t> signos </w:t>
            </w:r>
            <w:r>
              <w:rPr>
                <w:color w:val="231F1F"/>
                <w:spacing w:val="-2"/>
                <w:w w:val="105"/>
                <w:sz w:val="22"/>
              </w:rPr>
              <w:t>clínicos.</w:t>
            </w:r>
          </w:p>
        </w:tc>
      </w:tr>
    </w:tbl>
    <w:p>
      <w:pPr>
        <w:pStyle w:val="TableParagraph"/>
        <w:spacing w:after="0" w:line="244" w:lineRule="auto"/>
        <w:jc w:val="both"/>
        <w:rPr>
          <w:sz w:val="22"/>
        </w:rPr>
        <w:sectPr>
          <w:pgSz w:w="11900" w:h="16840"/>
          <w:pgMar w:header="0" w:footer="622" w:top="158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Precarga</w:t>
      </w:r>
      <w:r>
        <w:rPr>
          <w:color w:val="231F1F"/>
          <w:spacing w:val="58"/>
        </w:rPr>
        <w:t> </w:t>
      </w:r>
      <w:r>
        <w:rPr>
          <w:color w:val="231F1F"/>
        </w:rPr>
        <w:t>de</w:t>
      </w:r>
      <w:r>
        <w:rPr>
          <w:color w:val="231F1F"/>
          <w:spacing w:val="59"/>
        </w:rPr>
        <w:t> </w:t>
      </w:r>
      <w:r>
        <w:rPr>
          <w:color w:val="231F1F"/>
        </w:rPr>
        <w:t>soluciones</w:t>
      </w:r>
      <w:r>
        <w:rPr>
          <w:color w:val="231F1F"/>
          <w:spacing w:val="63"/>
        </w:rPr>
        <w:t> </w:t>
      </w:r>
      <w:r>
        <w:rPr>
          <w:color w:val="231F1F"/>
          <w:spacing w:val="-2"/>
        </w:rPr>
        <w:t>intravenosas</w:t>
      </w:r>
    </w:p>
    <w:p>
      <w:pPr>
        <w:pStyle w:val="BodyText"/>
        <w:spacing w:before="9"/>
        <w:rPr>
          <w:sz w:val="15"/>
        </w:rPr>
      </w:pPr>
      <w:r>
        <w:rPr>
          <w:sz w:val="15"/>
        </w:rPr>
        <mc:AlternateContent>
          <mc:Choice Requires="wps">
            <w:drawing>
              <wp:anchor distT="0" distB="0" distL="0" distR="0" allowOverlap="1" layoutInCell="1" locked="0" behindDoc="1" simplePos="0" relativeHeight="487627264">
                <wp:simplePos x="0" y="0"/>
                <wp:positionH relativeFrom="page">
                  <wp:posOffset>1082675</wp:posOffset>
                </wp:positionH>
                <wp:positionV relativeFrom="paragraph">
                  <wp:posOffset>134004</wp:posOffset>
                </wp:positionV>
                <wp:extent cx="5400040" cy="440055"/>
                <wp:effectExtent l="0" t="0" r="0" b="0"/>
                <wp:wrapTopAndBottom/>
                <wp:docPr id="139" name="Textbox 139"/>
                <wp:cNvGraphicFramePr>
                  <a:graphicFrameLocks/>
                </wp:cNvGraphicFramePr>
                <a:graphic>
                  <a:graphicData uri="http://schemas.microsoft.com/office/word/2010/wordprocessingShape">
                    <wps:wsp>
                      <wps:cNvPr id="139" name="Textbox 139"/>
                      <wps:cNvSpPr txBox="1"/>
                      <wps:spPr>
                        <a:xfrm>
                          <a:off x="0" y="0"/>
                          <a:ext cx="5400040" cy="440055"/>
                        </a:xfrm>
                        <a:prstGeom prst="rect">
                          <a:avLst/>
                        </a:prstGeom>
                        <a:ln w="6350">
                          <a:solidFill>
                            <a:srgbClr val="A30046"/>
                          </a:solidFill>
                          <a:prstDash val="solid"/>
                        </a:ln>
                      </wps:spPr>
                      <wps:txbx>
                        <w:txbxContent>
                          <w:p>
                            <w:pPr>
                              <w:pStyle w:val="BodyText"/>
                              <w:numPr>
                                <w:ilvl w:val="0"/>
                                <w:numId w:val="80"/>
                              </w:numPr>
                              <w:tabs>
                                <w:tab w:pos="323" w:val="left" w:leader="none"/>
                              </w:tabs>
                              <w:spacing w:line="244" w:lineRule="auto" w:before="42" w:after="0"/>
                              <w:ind w:left="323" w:right="199" w:hanging="220"/>
                              <w:jc w:val="left"/>
                            </w:pPr>
                            <w:r>
                              <w:rPr>
                                <w:color w:val="231F1F"/>
                              </w:rPr>
                              <w:t>¿Cuál</w:t>
                            </w:r>
                            <w:r>
                              <w:rPr>
                                <w:color w:val="231F1F"/>
                                <w:spacing w:val="33"/>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5"/>
                              </w:rPr>
                              <w:t> </w:t>
                            </w:r>
                            <w:r>
                              <w:rPr>
                                <w:color w:val="231F1F"/>
                              </w:rPr>
                              <w:t>perfusión</w:t>
                            </w:r>
                            <w:r>
                              <w:rPr>
                                <w:color w:val="231F1F"/>
                                <w:spacing w:val="31"/>
                              </w:rPr>
                              <w:t> </w:t>
                            </w:r>
                            <w:r>
                              <w:rPr>
                                <w:color w:val="231F1F"/>
                              </w:rPr>
                              <w:t>de</w:t>
                            </w:r>
                            <w:r>
                              <w:rPr>
                                <w:color w:val="231F1F"/>
                                <w:spacing w:val="35"/>
                              </w:rPr>
                              <w:t> </w:t>
                            </w:r>
                            <w:r>
                              <w:rPr>
                                <w:color w:val="231F1F"/>
                              </w:rPr>
                              <w:t>soluciones</w:t>
                            </w:r>
                            <w:r>
                              <w:rPr>
                                <w:color w:val="231F1F"/>
                                <w:spacing w:val="29"/>
                              </w:rPr>
                              <w:t> </w:t>
                            </w:r>
                            <w:r>
                              <w:rPr>
                                <w:color w:val="231F1F"/>
                              </w:rPr>
                              <w:t>intravenosas</w:t>
                            </w:r>
                            <w:r>
                              <w:rPr>
                                <w:color w:val="231F1F"/>
                                <w:spacing w:val="35"/>
                              </w:rPr>
                              <w:t> </w:t>
                            </w:r>
                            <w:r>
                              <w:rPr>
                                <w:color w:val="231F1F"/>
                              </w:rPr>
                              <w:t>(cristaloides,</w:t>
                            </w:r>
                            <w:r>
                              <w:rPr>
                                <w:color w:val="231F1F"/>
                                <w:spacing w:val="33"/>
                              </w:rPr>
                              <w:t> </w:t>
                            </w:r>
                            <w:r>
                              <w:rPr>
                                <w:color w:val="231F1F"/>
                              </w:rPr>
                              <w:t>coloi- </w:t>
                            </w:r>
                            <w:r>
                              <w:rPr>
                                <w:color w:val="231F1F"/>
                                <w:w w:val="110"/>
                              </w:rPr>
                              <w:t>des) previa a la realización de una técnica de analgesia neuroaxial obstétrica?</w:t>
                            </w:r>
                          </w:p>
                        </w:txbxContent>
                      </wps:txbx>
                      <wps:bodyPr wrap="square" lIns="0" tIns="0" rIns="0" bIns="0" rtlCol="0">
                        <a:noAutofit/>
                      </wps:bodyPr>
                    </wps:wsp>
                  </a:graphicData>
                </a:graphic>
              </wp:anchor>
            </w:drawing>
          </mc:Choice>
          <mc:Fallback>
            <w:pict>
              <v:shape style="position:absolute;margin-left:85.25pt;margin-top:10.551562pt;width:425.2pt;height:34.65pt;mso-position-horizontal-relative:page;mso-position-vertical-relative:paragraph;z-index:-15689216;mso-wrap-distance-left:0;mso-wrap-distance-right:0" type="#_x0000_t202" id="docshape128" filled="false" stroked="true" strokeweight=".5pt" strokecolor="#a30046">
                <v:textbox inset="0,0,0,0">
                  <w:txbxContent>
                    <w:p>
                      <w:pPr>
                        <w:pStyle w:val="BodyText"/>
                        <w:numPr>
                          <w:ilvl w:val="0"/>
                          <w:numId w:val="80"/>
                        </w:numPr>
                        <w:tabs>
                          <w:tab w:pos="323" w:val="left" w:leader="none"/>
                        </w:tabs>
                        <w:spacing w:line="244" w:lineRule="auto" w:before="42" w:after="0"/>
                        <w:ind w:left="323" w:right="199" w:hanging="220"/>
                        <w:jc w:val="left"/>
                      </w:pPr>
                      <w:r>
                        <w:rPr>
                          <w:color w:val="231F1F"/>
                        </w:rPr>
                        <w:t>¿Cuál</w:t>
                      </w:r>
                      <w:r>
                        <w:rPr>
                          <w:color w:val="231F1F"/>
                          <w:spacing w:val="33"/>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5"/>
                        </w:rPr>
                        <w:t> </w:t>
                      </w:r>
                      <w:r>
                        <w:rPr>
                          <w:color w:val="231F1F"/>
                        </w:rPr>
                        <w:t>perfusión</w:t>
                      </w:r>
                      <w:r>
                        <w:rPr>
                          <w:color w:val="231F1F"/>
                          <w:spacing w:val="31"/>
                        </w:rPr>
                        <w:t> </w:t>
                      </w:r>
                      <w:r>
                        <w:rPr>
                          <w:color w:val="231F1F"/>
                        </w:rPr>
                        <w:t>de</w:t>
                      </w:r>
                      <w:r>
                        <w:rPr>
                          <w:color w:val="231F1F"/>
                          <w:spacing w:val="35"/>
                        </w:rPr>
                        <w:t> </w:t>
                      </w:r>
                      <w:r>
                        <w:rPr>
                          <w:color w:val="231F1F"/>
                        </w:rPr>
                        <w:t>soluciones</w:t>
                      </w:r>
                      <w:r>
                        <w:rPr>
                          <w:color w:val="231F1F"/>
                          <w:spacing w:val="29"/>
                        </w:rPr>
                        <w:t> </w:t>
                      </w:r>
                      <w:r>
                        <w:rPr>
                          <w:color w:val="231F1F"/>
                        </w:rPr>
                        <w:t>intravenosas</w:t>
                      </w:r>
                      <w:r>
                        <w:rPr>
                          <w:color w:val="231F1F"/>
                          <w:spacing w:val="35"/>
                        </w:rPr>
                        <w:t> </w:t>
                      </w:r>
                      <w:r>
                        <w:rPr>
                          <w:color w:val="231F1F"/>
                        </w:rPr>
                        <w:t>(cristaloides,</w:t>
                      </w:r>
                      <w:r>
                        <w:rPr>
                          <w:color w:val="231F1F"/>
                          <w:spacing w:val="33"/>
                        </w:rPr>
                        <w:t> </w:t>
                      </w:r>
                      <w:r>
                        <w:rPr>
                          <w:color w:val="231F1F"/>
                        </w:rPr>
                        <w:t>coloi- </w:t>
                      </w:r>
                      <w:r>
                        <w:rPr>
                          <w:color w:val="231F1F"/>
                          <w:w w:val="110"/>
                        </w:rPr>
                        <w:t>des) previa a la realización de una técnica de analgesia neuroaxial obstétrica?</w:t>
                      </w:r>
                    </w:p>
                  </w:txbxContent>
                </v:textbox>
                <v:stroke dashstyle="solid"/>
                <w10:wrap type="topAndBottom"/>
              </v:shape>
            </w:pict>
          </mc:Fallback>
        </mc:AlternateContent>
      </w:r>
    </w:p>
    <w:p>
      <w:pPr>
        <w:pStyle w:val="BodyText"/>
        <w:spacing w:line="244" w:lineRule="auto" w:before="213"/>
        <w:ind w:left="282" w:right="124"/>
        <w:jc w:val="both"/>
      </w:pPr>
      <w:r>
        <w:rPr>
          <w:color w:val="231F1F"/>
          <w:w w:val="110"/>
        </w:rPr>
        <w:t>Cuando</w:t>
      </w:r>
      <w:r>
        <w:rPr>
          <w:color w:val="231F1F"/>
          <w:spacing w:val="-13"/>
          <w:w w:val="110"/>
        </w:rPr>
        <w:t> </w:t>
      </w:r>
      <w:r>
        <w:rPr>
          <w:color w:val="231F1F"/>
          <w:w w:val="110"/>
        </w:rPr>
        <w:t>en</w:t>
      </w:r>
      <w:r>
        <w:rPr>
          <w:color w:val="231F1F"/>
          <w:spacing w:val="-12"/>
          <w:w w:val="110"/>
        </w:rPr>
        <w:t> </w:t>
      </w:r>
      <w:r>
        <w:rPr>
          <w:color w:val="231F1F"/>
          <w:w w:val="110"/>
        </w:rPr>
        <w:t>los</w:t>
      </w:r>
      <w:r>
        <w:rPr>
          <w:color w:val="231F1F"/>
          <w:spacing w:val="-13"/>
          <w:w w:val="110"/>
        </w:rPr>
        <w:t> </w:t>
      </w:r>
      <w:r>
        <w:rPr>
          <w:color w:val="231F1F"/>
          <w:w w:val="110"/>
        </w:rPr>
        <w:t>años</w:t>
      </w:r>
      <w:r>
        <w:rPr>
          <w:color w:val="231F1F"/>
          <w:spacing w:val="-12"/>
          <w:w w:val="110"/>
        </w:rPr>
        <w:t> </w:t>
      </w:r>
      <w:r>
        <w:rPr>
          <w:color w:val="231F1F"/>
          <w:w w:val="110"/>
        </w:rPr>
        <w:t>70</w:t>
      </w:r>
      <w:r>
        <w:rPr>
          <w:color w:val="231F1F"/>
          <w:spacing w:val="-12"/>
          <w:w w:val="110"/>
        </w:rPr>
        <w:t> </w:t>
      </w:r>
      <w:r>
        <w:rPr>
          <w:color w:val="231F1F"/>
          <w:w w:val="110"/>
        </w:rPr>
        <w:t>se</w:t>
      </w:r>
      <w:r>
        <w:rPr>
          <w:color w:val="231F1F"/>
          <w:spacing w:val="-13"/>
          <w:w w:val="110"/>
        </w:rPr>
        <w:t> </w:t>
      </w:r>
      <w:r>
        <w:rPr>
          <w:color w:val="231F1F"/>
          <w:w w:val="110"/>
        </w:rPr>
        <w:t>introdujo</w:t>
      </w:r>
      <w:r>
        <w:rPr>
          <w:color w:val="231F1F"/>
          <w:spacing w:val="-13"/>
          <w:w w:val="110"/>
        </w:rPr>
        <w:t> </w:t>
      </w:r>
      <w:r>
        <w:rPr>
          <w:color w:val="231F1F"/>
          <w:w w:val="110"/>
        </w:rPr>
        <w:t>la</w:t>
      </w:r>
      <w:r>
        <w:rPr>
          <w:color w:val="231F1F"/>
          <w:spacing w:val="-12"/>
          <w:w w:val="110"/>
        </w:rPr>
        <w:t> </w:t>
      </w:r>
      <w:r>
        <w:rPr>
          <w:color w:val="231F1F"/>
          <w:w w:val="110"/>
        </w:rPr>
        <w:t>analgesia</w:t>
      </w:r>
      <w:r>
        <w:rPr>
          <w:color w:val="231F1F"/>
          <w:spacing w:val="-12"/>
          <w:w w:val="110"/>
        </w:rPr>
        <w:t> </w:t>
      </w:r>
      <w:r>
        <w:rPr>
          <w:color w:val="231F1F"/>
          <w:w w:val="110"/>
        </w:rPr>
        <w:t>neuroaxial</w:t>
      </w:r>
      <w:r>
        <w:rPr>
          <w:color w:val="231F1F"/>
          <w:spacing w:val="-13"/>
          <w:w w:val="110"/>
        </w:rPr>
        <w:t> </w:t>
      </w:r>
      <w:r>
        <w:rPr>
          <w:color w:val="231F1F"/>
          <w:w w:val="110"/>
        </w:rPr>
        <w:t>en</w:t>
      </w:r>
      <w:r>
        <w:rPr>
          <w:color w:val="231F1F"/>
          <w:spacing w:val="-12"/>
          <w:w w:val="110"/>
        </w:rPr>
        <w:t> </w:t>
      </w:r>
      <w:r>
        <w:rPr>
          <w:color w:val="231F1F"/>
          <w:w w:val="110"/>
        </w:rPr>
        <w:t>el</w:t>
      </w:r>
      <w:r>
        <w:rPr>
          <w:color w:val="231F1F"/>
          <w:spacing w:val="-13"/>
          <w:w w:val="110"/>
        </w:rPr>
        <w:t> </w:t>
      </w:r>
      <w:r>
        <w:rPr>
          <w:color w:val="231F1F"/>
          <w:w w:val="110"/>
        </w:rPr>
        <w:t>parto,</w:t>
      </w:r>
      <w:r>
        <w:rPr>
          <w:color w:val="231F1F"/>
          <w:spacing w:val="-13"/>
          <w:w w:val="110"/>
        </w:rPr>
        <w:t> </w:t>
      </w:r>
      <w:r>
        <w:rPr>
          <w:color w:val="231F1F"/>
          <w:w w:val="110"/>
        </w:rPr>
        <w:t>se</w:t>
      </w:r>
      <w:r>
        <w:rPr>
          <w:color w:val="231F1F"/>
          <w:spacing w:val="-13"/>
          <w:w w:val="110"/>
        </w:rPr>
        <w:t> </w:t>
      </w:r>
      <w:r>
        <w:rPr>
          <w:color w:val="231F1F"/>
          <w:w w:val="110"/>
        </w:rPr>
        <w:t>utilizaban</w:t>
      </w:r>
      <w:r>
        <w:rPr>
          <w:color w:val="231F1F"/>
          <w:spacing w:val="-12"/>
          <w:w w:val="110"/>
        </w:rPr>
        <w:t> </w:t>
      </w:r>
      <w:r>
        <w:rPr>
          <w:color w:val="231F1F"/>
          <w:w w:val="110"/>
        </w:rPr>
        <w:t>dosis elevadas</w:t>
      </w:r>
      <w:r>
        <w:rPr>
          <w:color w:val="231F1F"/>
          <w:spacing w:val="-2"/>
          <w:w w:val="110"/>
        </w:rPr>
        <w:t> </w:t>
      </w:r>
      <w:r>
        <w:rPr>
          <w:color w:val="231F1F"/>
          <w:w w:val="110"/>
        </w:rPr>
        <w:t>que</w:t>
      </w:r>
      <w:r>
        <w:rPr>
          <w:color w:val="231F1F"/>
          <w:spacing w:val="-3"/>
          <w:w w:val="110"/>
        </w:rPr>
        <w:t> </w:t>
      </w:r>
      <w:r>
        <w:rPr>
          <w:color w:val="231F1F"/>
          <w:w w:val="110"/>
        </w:rPr>
        <w:t>podían</w:t>
      </w:r>
      <w:r>
        <w:rPr>
          <w:color w:val="231F1F"/>
          <w:spacing w:val="-3"/>
          <w:w w:val="110"/>
        </w:rPr>
        <w:t> </w:t>
      </w:r>
      <w:r>
        <w:rPr>
          <w:color w:val="231F1F"/>
          <w:w w:val="110"/>
        </w:rPr>
        <w:t>producir</w:t>
      </w:r>
      <w:r>
        <w:rPr>
          <w:color w:val="231F1F"/>
          <w:spacing w:val="-3"/>
          <w:w w:val="110"/>
        </w:rPr>
        <w:t> </w:t>
      </w:r>
      <w:r>
        <w:rPr>
          <w:color w:val="231F1F"/>
          <w:w w:val="110"/>
        </w:rPr>
        <w:t>hipotensión</w:t>
      </w:r>
      <w:r>
        <w:rPr>
          <w:color w:val="231F1F"/>
          <w:spacing w:val="-2"/>
          <w:w w:val="110"/>
        </w:rPr>
        <w:t> </w:t>
      </w:r>
      <w:r>
        <w:rPr>
          <w:color w:val="231F1F"/>
          <w:w w:val="110"/>
        </w:rPr>
        <w:t>materna</w:t>
      </w:r>
      <w:r>
        <w:rPr>
          <w:color w:val="231F1F"/>
          <w:spacing w:val="-2"/>
          <w:w w:val="110"/>
        </w:rPr>
        <w:t> </w:t>
      </w:r>
      <w:r>
        <w:rPr>
          <w:color w:val="231F1F"/>
          <w:w w:val="110"/>
        </w:rPr>
        <w:t>y</w:t>
      </w:r>
      <w:r>
        <w:rPr>
          <w:color w:val="231F1F"/>
          <w:spacing w:val="-3"/>
          <w:w w:val="110"/>
        </w:rPr>
        <w:t> </w:t>
      </w:r>
      <w:r>
        <w:rPr>
          <w:color w:val="231F1F"/>
          <w:w w:val="110"/>
        </w:rPr>
        <w:t>las</w:t>
      </w:r>
      <w:r>
        <w:rPr>
          <w:color w:val="231F1F"/>
          <w:spacing w:val="-3"/>
          <w:w w:val="110"/>
        </w:rPr>
        <w:t> </w:t>
      </w:r>
      <w:r>
        <w:rPr>
          <w:color w:val="231F1F"/>
          <w:w w:val="110"/>
        </w:rPr>
        <w:t>consiguientes</w:t>
      </w:r>
      <w:r>
        <w:rPr>
          <w:color w:val="231F1F"/>
          <w:spacing w:val="-2"/>
          <w:w w:val="110"/>
        </w:rPr>
        <w:t> </w:t>
      </w:r>
      <w:r>
        <w:rPr>
          <w:color w:val="231F1F"/>
          <w:w w:val="110"/>
        </w:rPr>
        <w:t>alteraciones</w:t>
      </w:r>
      <w:r>
        <w:rPr>
          <w:color w:val="231F1F"/>
          <w:spacing w:val="-3"/>
          <w:w w:val="110"/>
        </w:rPr>
        <w:t> </w:t>
      </w:r>
      <w:r>
        <w:rPr>
          <w:color w:val="231F1F"/>
          <w:w w:val="110"/>
        </w:rPr>
        <w:t>en</w:t>
      </w:r>
      <w:r>
        <w:rPr>
          <w:color w:val="231F1F"/>
          <w:spacing w:val="-2"/>
          <w:w w:val="110"/>
        </w:rPr>
        <w:t> </w:t>
      </w:r>
      <w:r>
        <w:rPr>
          <w:color w:val="231F1F"/>
          <w:w w:val="110"/>
        </w:rPr>
        <w:t>la frecuencia</w:t>
      </w:r>
      <w:r>
        <w:rPr>
          <w:color w:val="231F1F"/>
          <w:w w:val="110"/>
        </w:rPr>
        <w:t> cardiaca</w:t>
      </w:r>
      <w:r>
        <w:rPr>
          <w:color w:val="231F1F"/>
          <w:w w:val="110"/>
        </w:rPr>
        <w:t> fetal.</w:t>
      </w:r>
      <w:r>
        <w:rPr>
          <w:color w:val="231F1F"/>
          <w:w w:val="110"/>
        </w:rPr>
        <w:t> Para</w:t>
      </w:r>
      <w:r>
        <w:rPr>
          <w:color w:val="231F1F"/>
          <w:w w:val="110"/>
        </w:rPr>
        <w:t> evitar</w:t>
      </w:r>
      <w:r>
        <w:rPr>
          <w:color w:val="231F1F"/>
          <w:w w:val="110"/>
        </w:rPr>
        <w:t> este</w:t>
      </w:r>
      <w:r>
        <w:rPr>
          <w:color w:val="231F1F"/>
          <w:w w:val="110"/>
        </w:rPr>
        <w:t> frecuente</w:t>
      </w:r>
      <w:r>
        <w:rPr>
          <w:color w:val="231F1F"/>
          <w:w w:val="110"/>
        </w:rPr>
        <w:t> efecto</w:t>
      </w:r>
      <w:r>
        <w:rPr>
          <w:color w:val="231F1F"/>
          <w:w w:val="110"/>
        </w:rPr>
        <w:t> secundario</w:t>
      </w:r>
      <w:r>
        <w:rPr>
          <w:color w:val="231F1F"/>
          <w:w w:val="110"/>
        </w:rPr>
        <w:t> que</w:t>
      </w:r>
      <w:r>
        <w:rPr>
          <w:color w:val="231F1F"/>
          <w:w w:val="110"/>
        </w:rPr>
        <w:t> podía</w:t>
      </w:r>
      <w:r>
        <w:rPr>
          <w:color w:val="231F1F"/>
          <w:w w:val="110"/>
        </w:rPr>
        <w:t> tener graves consecuencias se realizaba una perfusión previa de líquidos intravenosos.</w:t>
      </w:r>
    </w:p>
    <w:p>
      <w:pPr>
        <w:pStyle w:val="BodyText"/>
        <w:spacing w:line="244" w:lineRule="auto" w:before="139"/>
        <w:ind w:left="282" w:right="126" w:firstLine="453"/>
        <w:jc w:val="both"/>
      </w:pPr>
      <w:r>
        <w:rPr>
          <w:color w:val="231F1F"/>
          <w:w w:val="110"/>
        </w:rPr>
        <w:t>Debido a la actual utilización de regímenes modernos de analgesia neuroaxial con dosis</w:t>
      </w:r>
      <w:r>
        <w:rPr>
          <w:color w:val="231F1F"/>
          <w:spacing w:val="-1"/>
          <w:w w:val="110"/>
        </w:rPr>
        <w:t> </w:t>
      </w:r>
      <w:r>
        <w:rPr>
          <w:color w:val="231F1F"/>
          <w:w w:val="110"/>
        </w:rPr>
        <w:t>bajas,</w:t>
      </w:r>
      <w:r>
        <w:rPr>
          <w:color w:val="231F1F"/>
          <w:spacing w:val="-1"/>
          <w:w w:val="110"/>
        </w:rPr>
        <w:t> </w:t>
      </w:r>
      <w:r>
        <w:rPr>
          <w:color w:val="231F1F"/>
          <w:w w:val="110"/>
        </w:rPr>
        <w:t>se</w:t>
      </w:r>
      <w:r>
        <w:rPr>
          <w:color w:val="231F1F"/>
          <w:spacing w:val="-1"/>
          <w:w w:val="110"/>
        </w:rPr>
        <w:t> </w:t>
      </w:r>
      <w:r>
        <w:rPr>
          <w:color w:val="231F1F"/>
          <w:w w:val="110"/>
        </w:rPr>
        <w:t>ha</w:t>
      </w:r>
      <w:r>
        <w:rPr>
          <w:color w:val="231F1F"/>
          <w:spacing w:val="-1"/>
          <w:w w:val="110"/>
        </w:rPr>
        <w:t> </w:t>
      </w:r>
      <w:r>
        <w:rPr>
          <w:color w:val="231F1F"/>
          <w:w w:val="110"/>
        </w:rPr>
        <w:t>considerado</w:t>
      </w:r>
      <w:r>
        <w:rPr>
          <w:color w:val="231F1F"/>
          <w:spacing w:val="-1"/>
          <w:w w:val="110"/>
        </w:rPr>
        <w:t> </w:t>
      </w:r>
      <w:r>
        <w:rPr>
          <w:color w:val="231F1F"/>
          <w:w w:val="110"/>
        </w:rPr>
        <w:t>conveniente</w:t>
      </w:r>
      <w:r>
        <w:rPr>
          <w:color w:val="231F1F"/>
          <w:spacing w:val="-1"/>
          <w:w w:val="110"/>
        </w:rPr>
        <w:t> </w:t>
      </w:r>
      <w:r>
        <w:rPr>
          <w:color w:val="231F1F"/>
          <w:w w:val="110"/>
        </w:rPr>
        <w:t>revisar</w:t>
      </w:r>
      <w:r>
        <w:rPr>
          <w:color w:val="231F1F"/>
          <w:spacing w:val="-1"/>
          <w:w w:val="110"/>
        </w:rPr>
        <w:t> </w:t>
      </w:r>
      <w:r>
        <w:rPr>
          <w:color w:val="231F1F"/>
          <w:w w:val="110"/>
        </w:rPr>
        <w:t>la</w:t>
      </w:r>
      <w:r>
        <w:rPr>
          <w:color w:val="231F1F"/>
          <w:spacing w:val="-1"/>
          <w:w w:val="110"/>
        </w:rPr>
        <w:t> </w:t>
      </w:r>
      <w:r>
        <w:rPr>
          <w:color w:val="231F1F"/>
          <w:w w:val="110"/>
        </w:rPr>
        <w:t>necesidad</w:t>
      </w:r>
      <w:r>
        <w:rPr>
          <w:color w:val="231F1F"/>
          <w:spacing w:val="-1"/>
          <w:w w:val="110"/>
        </w:rPr>
        <w:t> </w:t>
      </w:r>
      <w:r>
        <w:rPr>
          <w:color w:val="231F1F"/>
          <w:w w:val="110"/>
        </w:rPr>
        <w:t>de</w:t>
      </w:r>
      <w:r>
        <w:rPr>
          <w:color w:val="231F1F"/>
          <w:spacing w:val="-1"/>
          <w:w w:val="110"/>
        </w:rPr>
        <w:t> </w:t>
      </w:r>
      <w:r>
        <w:rPr>
          <w:color w:val="231F1F"/>
          <w:w w:val="110"/>
        </w:rPr>
        <w:t>mantener</w:t>
      </w:r>
      <w:r>
        <w:rPr>
          <w:color w:val="231F1F"/>
          <w:spacing w:val="-1"/>
          <w:w w:val="110"/>
        </w:rPr>
        <w:t> </w:t>
      </w:r>
      <w:r>
        <w:rPr>
          <w:color w:val="231F1F"/>
          <w:w w:val="110"/>
        </w:rPr>
        <w:t>dicha</w:t>
      </w:r>
      <w:r>
        <w:rPr>
          <w:color w:val="231F1F"/>
          <w:spacing w:val="-1"/>
          <w:w w:val="110"/>
        </w:rPr>
        <w:t> </w:t>
      </w:r>
      <w:r>
        <w:rPr>
          <w:color w:val="231F1F"/>
          <w:w w:val="110"/>
        </w:rPr>
        <w:t>prác- </w:t>
      </w:r>
      <w:r>
        <w:rPr>
          <w:color w:val="231F1F"/>
          <w:spacing w:val="-4"/>
          <w:w w:val="110"/>
        </w:rPr>
        <w:t>tica.</w:t>
      </w:r>
    </w:p>
    <w:p>
      <w:pPr>
        <w:pStyle w:val="BodyText"/>
        <w:spacing w:before="86"/>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9"/>
        <w:ind w:left="283" w:right="1386"/>
      </w:pPr>
      <w:r>
        <w:rPr>
          <w:color w:val="231F1F"/>
          <w:w w:val="105"/>
        </w:rPr>
        <w:t>La</w:t>
      </w:r>
      <w:r>
        <w:rPr>
          <w:color w:val="231F1F"/>
          <w:spacing w:val="-3"/>
          <w:w w:val="105"/>
        </w:rPr>
        <w:t> </w:t>
      </w:r>
      <w:r>
        <w:rPr>
          <w:color w:val="231F1F"/>
          <w:w w:val="105"/>
        </w:rPr>
        <w:t>evidencia</w:t>
      </w:r>
      <w:r>
        <w:rPr>
          <w:color w:val="231F1F"/>
          <w:spacing w:val="-3"/>
          <w:w w:val="105"/>
        </w:rPr>
        <w:t> </w:t>
      </w:r>
      <w:r>
        <w:rPr>
          <w:color w:val="231F1F"/>
          <w:w w:val="105"/>
        </w:rPr>
        <w:t>aportada</w:t>
      </w:r>
      <w:r>
        <w:rPr>
          <w:color w:val="231F1F"/>
          <w:spacing w:val="-3"/>
          <w:w w:val="105"/>
        </w:rPr>
        <w:t> </w:t>
      </w:r>
      <w:r>
        <w:rPr>
          <w:color w:val="231F1F"/>
          <w:w w:val="105"/>
        </w:rPr>
        <w:t>por</w:t>
      </w:r>
      <w:r>
        <w:rPr>
          <w:color w:val="231F1F"/>
          <w:spacing w:val="-3"/>
          <w:w w:val="105"/>
        </w:rPr>
        <w:t> </w:t>
      </w:r>
      <w:r>
        <w:rPr>
          <w:color w:val="231F1F"/>
          <w:w w:val="105"/>
        </w:rPr>
        <w:t>la</w:t>
      </w:r>
      <w:r>
        <w:rPr>
          <w:color w:val="231F1F"/>
          <w:spacing w:val="-3"/>
          <w:w w:val="105"/>
        </w:rPr>
        <w:t> </w:t>
      </w:r>
      <w:r>
        <w:rPr>
          <w:color w:val="231F1F"/>
          <w:w w:val="105"/>
        </w:rPr>
        <w:t>guía</w:t>
      </w:r>
      <w:r>
        <w:rPr>
          <w:color w:val="231F1F"/>
          <w:spacing w:val="-3"/>
          <w:w w:val="105"/>
        </w:rPr>
        <w:t> </w:t>
      </w:r>
      <w:r>
        <w:rPr>
          <w:color w:val="231F1F"/>
          <w:w w:val="105"/>
        </w:rPr>
        <w:t>NICE</w:t>
      </w:r>
      <w:r>
        <w:rPr>
          <w:color w:val="231F1F"/>
          <w:spacing w:val="-3"/>
          <w:w w:val="105"/>
        </w:rPr>
        <w:t> </w:t>
      </w:r>
      <w:r>
        <w:rPr>
          <w:color w:val="231F1F"/>
          <w:w w:val="105"/>
        </w:rPr>
        <w:t>(10)</w:t>
      </w:r>
      <w:r>
        <w:rPr>
          <w:color w:val="231F1F"/>
          <w:spacing w:val="-3"/>
          <w:w w:val="105"/>
        </w:rPr>
        <w:t> </w:t>
      </w:r>
      <w:r>
        <w:rPr>
          <w:color w:val="231F1F"/>
          <w:w w:val="105"/>
        </w:rPr>
        <w:t>está</w:t>
      </w:r>
      <w:r>
        <w:rPr>
          <w:color w:val="231F1F"/>
          <w:spacing w:val="-6"/>
          <w:w w:val="105"/>
        </w:rPr>
        <w:t> </w:t>
      </w:r>
      <w:r>
        <w:rPr>
          <w:color w:val="231F1F"/>
          <w:w w:val="105"/>
        </w:rPr>
        <w:t>basada</w:t>
      </w:r>
      <w:r>
        <w:rPr>
          <w:color w:val="231F1F"/>
          <w:spacing w:val="-3"/>
          <w:w w:val="105"/>
        </w:rPr>
        <w:t> </w:t>
      </w:r>
      <w:r>
        <w:rPr>
          <w:color w:val="231F1F"/>
          <w:w w:val="105"/>
        </w:rPr>
        <w:t>en</w:t>
      </w:r>
      <w:r>
        <w:rPr>
          <w:color w:val="231F1F"/>
          <w:spacing w:val="-3"/>
          <w:w w:val="105"/>
        </w:rPr>
        <w:t> </w:t>
      </w:r>
      <w:r>
        <w:rPr>
          <w:color w:val="231F1F"/>
          <w:w w:val="105"/>
        </w:rPr>
        <w:t>seis</w:t>
      </w:r>
      <w:r>
        <w:rPr>
          <w:color w:val="231F1F"/>
          <w:spacing w:val="-3"/>
          <w:w w:val="105"/>
        </w:rPr>
        <w:t> </w:t>
      </w:r>
      <w:r>
        <w:rPr>
          <w:color w:val="231F1F"/>
          <w:w w:val="105"/>
        </w:rPr>
        <w:t>ECAs</w:t>
      </w:r>
      <w:r>
        <w:rPr>
          <w:color w:val="231F1F"/>
          <w:spacing w:val="-3"/>
          <w:w w:val="105"/>
        </w:rPr>
        <w:t> </w:t>
      </w:r>
      <w:r>
        <w:rPr>
          <w:color w:val="231F1F"/>
          <w:w w:val="105"/>
        </w:rPr>
        <w:t>inclui- dos</w:t>
      </w:r>
      <w:r>
        <w:rPr>
          <w:color w:val="231F1F"/>
          <w:spacing w:val="40"/>
          <w:w w:val="105"/>
        </w:rPr>
        <w:t> </w:t>
      </w:r>
      <w:r>
        <w:rPr>
          <w:color w:val="231F1F"/>
          <w:w w:val="105"/>
        </w:rPr>
        <w:t>en</w:t>
      </w:r>
      <w:r>
        <w:rPr>
          <w:color w:val="231F1F"/>
          <w:spacing w:val="40"/>
          <w:w w:val="105"/>
        </w:rPr>
        <w:t> </w:t>
      </w:r>
      <w:r>
        <w:rPr>
          <w:color w:val="231F1F"/>
          <w:w w:val="105"/>
        </w:rPr>
        <w:t>RS</w:t>
      </w:r>
      <w:r>
        <w:rPr>
          <w:color w:val="231F1F"/>
          <w:spacing w:val="40"/>
          <w:w w:val="105"/>
        </w:rPr>
        <w:t> </w:t>
      </w:r>
      <w:r>
        <w:rPr>
          <w:color w:val="231F1F"/>
          <w:w w:val="105"/>
        </w:rPr>
        <w:t>(323)</w:t>
      </w:r>
      <w:r>
        <w:rPr>
          <w:color w:val="231F1F"/>
          <w:spacing w:val="40"/>
          <w:w w:val="105"/>
        </w:rPr>
        <w:t> </w:t>
      </w:r>
      <w:r>
        <w:rPr>
          <w:color w:val="231F1F"/>
          <w:w w:val="105"/>
        </w:rPr>
        <w:t>de</w:t>
      </w:r>
      <w:r>
        <w:rPr>
          <w:color w:val="231F1F"/>
          <w:spacing w:val="40"/>
          <w:w w:val="105"/>
        </w:rPr>
        <w:t> </w:t>
      </w:r>
      <w:r>
        <w:rPr>
          <w:color w:val="231F1F"/>
          <w:w w:val="105"/>
        </w:rPr>
        <w:t>buena</w:t>
      </w:r>
      <w:r>
        <w:rPr>
          <w:color w:val="231F1F"/>
          <w:spacing w:val="40"/>
          <w:w w:val="105"/>
        </w:rPr>
        <w:t> </w:t>
      </w:r>
      <w:r>
        <w:rPr>
          <w:color w:val="231F1F"/>
          <w:w w:val="105"/>
        </w:rPr>
        <w:t>calidad,</w:t>
      </w:r>
      <w:r>
        <w:rPr>
          <w:color w:val="231F1F"/>
          <w:spacing w:val="40"/>
          <w:w w:val="105"/>
        </w:rPr>
        <w:t> </w:t>
      </w:r>
      <w:r>
        <w:rPr>
          <w:color w:val="231F1F"/>
          <w:w w:val="105"/>
        </w:rPr>
        <w:t>que</w:t>
      </w:r>
      <w:r>
        <w:rPr>
          <w:color w:val="231F1F"/>
          <w:spacing w:val="40"/>
          <w:w w:val="105"/>
        </w:rPr>
        <w:t> </w:t>
      </w:r>
      <w:r>
        <w:rPr>
          <w:color w:val="231F1F"/>
          <w:w w:val="105"/>
        </w:rPr>
        <w:t>incluían</w:t>
      </w:r>
      <w:r>
        <w:rPr>
          <w:color w:val="231F1F"/>
          <w:spacing w:val="40"/>
          <w:w w:val="105"/>
        </w:rPr>
        <w:t> </w:t>
      </w:r>
      <w:r>
        <w:rPr>
          <w:color w:val="231F1F"/>
          <w:w w:val="105"/>
        </w:rPr>
        <w:t>a</w:t>
      </w:r>
      <w:r>
        <w:rPr>
          <w:color w:val="231F1F"/>
          <w:spacing w:val="40"/>
          <w:w w:val="105"/>
        </w:rPr>
        <w:t> </w:t>
      </w:r>
      <w:r>
        <w:rPr>
          <w:color w:val="231F1F"/>
          <w:w w:val="105"/>
        </w:rPr>
        <w:t>473</w:t>
      </w:r>
      <w:r>
        <w:rPr>
          <w:color w:val="231F1F"/>
          <w:spacing w:val="40"/>
          <w:w w:val="105"/>
        </w:rPr>
        <w:t> </w:t>
      </w:r>
      <w:r>
        <w:rPr>
          <w:color w:val="231F1F"/>
          <w:w w:val="105"/>
        </w:rPr>
        <w:t>mujeres.</w:t>
      </w:r>
    </w:p>
    <w:p>
      <w:pPr>
        <w:pStyle w:val="BodyText"/>
        <w:spacing w:line="247" w:lineRule="auto" w:before="146"/>
        <w:ind w:left="283" w:right="1368" w:firstLine="453"/>
        <w:jc w:val="both"/>
      </w:pPr>
      <w:r>
        <w:rPr>
          <w:color w:val="231F1F"/>
          <w:spacing w:val="-2"/>
          <w:w w:val="110"/>
        </w:rPr>
        <w:t>Dos</w:t>
      </w:r>
      <w:r>
        <w:rPr>
          <w:color w:val="231F1F"/>
          <w:spacing w:val="-7"/>
          <w:w w:val="110"/>
        </w:rPr>
        <w:t> </w:t>
      </w:r>
      <w:r>
        <w:rPr>
          <w:color w:val="231F1F"/>
          <w:spacing w:val="-2"/>
          <w:w w:val="110"/>
        </w:rPr>
        <w:t>ensayos</w:t>
      </w:r>
      <w:r>
        <w:rPr>
          <w:color w:val="231F1F"/>
          <w:spacing w:val="-6"/>
          <w:w w:val="110"/>
        </w:rPr>
        <w:t> </w:t>
      </w:r>
      <w:r>
        <w:rPr>
          <w:color w:val="231F1F"/>
          <w:spacing w:val="-2"/>
          <w:w w:val="110"/>
        </w:rPr>
        <w:t>utilizan</w:t>
      </w:r>
      <w:r>
        <w:rPr>
          <w:color w:val="231F1F"/>
          <w:spacing w:val="-6"/>
          <w:w w:val="110"/>
        </w:rPr>
        <w:t> </w:t>
      </w:r>
      <w:r>
        <w:rPr>
          <w:color w:val="231F1F"/>
          <w:spacing w:val="-2"/>
          <w:w w:val="110"/>
        </w:rPr>
        <w:t>altas</w:t>
      </w:r>
      <w:r>
        <w:rPr>
          <w:color w:val="231F1F"/>
          <w:spacing w:val="-7"/>
          <w:w w:val="110"/>
        </w:rPr>
        <w:t> </w:t>
      </w:r>
      <w:r>
        <w:rPr>
          <w:color w:val="231F1F"/>
          <w:spacing w:val="-2"/>
          <w:w w:val="110"/>
        </w:rPr>
        <w:t>dosis</w:t>
      </w:r>
      <w:r>
        <w:rPr>
          <w:color w:val="231F1F"/>
          <w:spacing w:val="-6"/>
          <w:w w:val="110"/>
        </w:rPr>
        <w:t> </w:t>
      </w:r>
      <w:r>
        <w:rPr>
          <w:color w:val="231F1F"/>
          <w:spacing w:val="-2"/>
          <w:w w:val="110"/>
        </w:rPr>
        <w:t>de</w:t>
      </w:r>
      <w:r>
        <w:rPr>
          <w:color w:val="231F1F"/>
          <w:spacing w:val="-7"/>
          <w:w w:val="110"/>
        </w:rPr>
        <w:t> </w:t>
      </w:r>
      <w:r>
        <w:rPr>
          <w:color w:val="231F1F"/>
          <w:spacing w:val="-2"/>
          <w:w w:val="110"/>
        </w:rPr>
        <w:t>anestésico</w:t>
      </w:r>
      <w:r>
        <w:rPr>
          <w:color w:val="231F1F"/>
          <w:spacing w:val="-6"/>
          <w:w w:val="110"/>
        </w:rPr>
        <w:t> </w:t>
      </w:r>
      <w:r>
        <w:rPr>
          <w:color w:val="231F1F"/>
          <w:spacing w:val="-2"/>
          <w:w w:val="110"/>
        </w:rPr>
        <w:t>local,</w:t>
      </w:r>
      <w:r>
        <w:rPr>
          <w:color w:val="231F1F"/>
          <w:spacing w:val="-7"/>
          <w:w w:val="110"/>
        </w:rPr>
        <w:t> </w:t>
      </w:r>
      <w:r>
        <w:rPr>
          <w:color w:val="231F1F"/>
          <w:spacing w:val="-2"/>
          <w:w w:val="110"/>
        </w:rPr>
        <w:t>dos</w:t>
      </w:r>
      <w:r>
        <w:rPr>
          <w:color w:val="231F1F"/>
          <w:spacing w:val="-7"/>
          <w:w w:val="110"/>
        </w:rPr>
        <w:t> </w:t>
      </w:r>
      <w:r>
        <w:rPr>
          <w:color w:val="231F1F"/>
          <w:spacing w:val="-2"/>
          <w:w w:val="110"/>
        </w:rPr>
        <w:t>ensayos</w:t>
      </w:r>
      <w:r>
        <w:rPr>
          <w:color w:val="231F1F"/>
          <w:spacing w:val="-6"/>
          <w:w w:val="110"/>
        </w:rPr>
        <w:t> </w:t>
      </w:r>
      <w:r>
        <w:rPr>
          <w:color w:val="231F1F"/>
          <w:spacing w:val="-2"/>
          <w:w w:val="110"/>
        </w:rPr>
        <w:t>utiliza- </w:t>
      </w:r>
      <w:r>
        <w:rPr>
          <w:color w:val="231F1F"/>
          <w:w w:val="110"/>
        </w:rPr>
        <w:t>ron</w:t>
      </w:r>
      <w:r>
        <w:rPr>
          <w:color w:val="231F1F"/>
          <w:spacing w:val="-3"/>
          <w:w w:val="110"/>
        </w:rPr>
        <w:t> </w:t>
      </w:r>
      <w:r>
        <w:rPr>
          <w:color w:val="231F1F"/>
          <w:w w:val="110"/>
        </w:rPr>
        <w:t>anestesia</w:t>
      </w:r>
      <w:r>
        <w:rPr>
          <w:color w:val="231F1F"/>
          <w:spacing w:val="-3"/>
          <w:w w:val="110"/>
        </w:rPr>
        <w:t> </w:t>
      </w:r>
      <w:r>
        <w:rPr>
          <w:color w:val="231F1F"/>
          <w:w w:val="110"/>
        </w:rPr>
        <w:t>a</w:t>
      </w:r>
      <w:r>
        <w:rPr>
          <w:color w:val="231F1F"/>
          <w:spacing w:val="-3"/>
          <w:w w:val="110"/>
        </w:rPr>
        <w:t> </w:t>
      </w:r>
      <w:r>
        <w:rPr>
          <w:color w:val="231F1F"/>
          <w:w w:val="110"/>
        </w:rPr>
        <w:t>dosis</w:t>
      </w:r>
      <w:r>
        <w:rPr>
          <w:color w:val="231F1F"/>
          <w:spacing w:val="-3"/>
          <w:w w:val="110"/>
        </w:rPr>
        <w:t> </w:t>
      </w:r>
      <w:r>
        <w:rPr>
          <w:color w:val="231F1F"/>
          <w:w w:val="110"/>
        </w:rPr>
        <w:t>bajas</w:t>
      </w:r>
      <w:r>
        <w:rPr>
          <w:color w:val="231F1F"/>
          <w:spacing w:val="-3"/>
          <w:w w:val="110"/>
        </w:rPr>
        <w:t> </w:t>
      </w:r>
      <w:r>
        <w:rPr>
          <w:color w:val="231F1F"/>
          <w:w w:val="110"/>
        </w:rPr>
        <w:t>con</w:t>
      </w:r>
      <w:r>
        <w:rPr>
          <w:color w:val="231F1F"/>
          <w:spacing w:val="-3"/>
          <w:w w:val="110"/>
        </w:rPr>
        <w:t> </w:t>
      </w:r>
      <w:r>
        <w:rPr>
          <w:color w:val="231F1F"/>
          <w:w w:val="110"/>
        </w:rPr>
        <w:t>fentanilo</w:t>
      </w:r>
      <w:r>
        <w:rPr>
          <w:color w:val="231F1F"/>
          <w:spacing w:val="-2"/>
          <w:w w:val="110"/>
        </w:rPr>
        <w:t> </w:t>
      </w:r>
      <w:r>
        <w:rPr>
          <w:color w:val="231F1F"/>
          <w:w w:val="110"/>
        </w:rPr>
        <w:t>y</w:t>
      </w:r>
      <w:r>
        <w:rPr>
          <w:color w:val="231F1F"/>
          <w:spacing w:val="-3"/>
          <w:w w:val="110"/>
        </w:rPr>
        <w:t> </w:t>
      </w:r>
      <w:r>
        <w:rPr>
          <w:color w:val="231F1F"/>
          <w:w w:val="110"/>
        </w:rPr>
        <w:t>las</w:t>
      </w:r>
      <w:r>
        <w:rPr>
          <w:color w:val="231F1F"/>
          <w:spacing w:val="-3"/>
          <w:w w:val="110"/>
        </w:rPr>
        <w:t> </w:t>
      </w:r>
      <w:r>
        <w:rPr>
          <w:color w:val="231F1F"/>
          <w:w w:val="110"/>
        </w:rPr>
        <w:t>otras</w:t>
      </w:r>
      <w:r>
        <w:rPr>
          <w:color w:val="231F1F"/>
          <w:spacing w:val="-3"/>
          <w:w w:val="110"/>
        </w:rPr>
        <w:t> </w:t>
      </w:r>
      <w:r>
        <w:rPr>
          <w:color w:val="231F1F"/>
          <w:w w:val="110"/>
        </w:rPr>
        <w:t>dos</w:t>
      </w:r>
      <w:r>
        <w:rPr>
          <w:color w:val="231F1F"/>
          <w:spacing w:val="-3"/>
          <w:w w:val="110"/>
        </w:rPr>
        <w:t> </w:t>
      </w:r>
      <w:r>
        <w:rPr>
          <w:color w:val="231F1F"/>
          <w:w w:val="110"/>
        </w:rPr>
        <w:t>utilizaron</w:t>
      </w:r>
      <w:r>
        <w:rPr>
          <w:color w:val="231F1F"/>
          <w:spacing w:val="-3"/>
          <w:w w:val="110"/>
        </w:rPr>
        <w:t> </w:t>
      </w:r>
      <w:r>
        <w:rPr>
          <w:color w:val="231F1F"/>
          <w:w w:val="110"/>
        </w:rPr>
        <w:t>analgesia intradural-epidural</w:t>
      </w:r>
      <w:r>
        <w:rPr>
          <w:color w:val="231F1F"/>
          <w:w w:val="110"/>
        </w:rPr>
        <w:t> combinada.</w:t>
      </w:r>
      <w:r>
        <w:rPr>
          <w:color w:val="231F1F"/>
          <w:w w:val="110"/>
        </w:rPr>
        <w:t> Los</w:t>
      </w:r>
      <w:r>
        <w:rPr>
          <w:color w:val="231F1F"/>
          <w:w w:val="110"/>
        </w:rPr>
        <w:t> controles</w:t>
      </w:r>
      <w:r>
        <w:rPr>
          <w:color w:val="231F1F"/>
          <w:w w:val="110"/>
        </w:rPr>
        <w:t> utilizados</w:t>
      </w:r>
      <w:r>
        <w:rPr>
          <w:color w:val="231F1F"/>
          <w:w w:val="110"/>
        </w:rPr>
        <w:t> fueron</w:t>
      </w:r>
      <w:r>
        <w:rPr>
          <w:color w:val="231F1F"/>
          <w:w w:val="110"/>
        </w:rPr>
        <w:t> el</w:t>
      </w:r>
      <w:r>
        <w:rPr>
          <w:color w:val="231F1F"/>
          <w:w w:val="110"/>
        </w:rPr>
        <w:t> uso</w:t>
      </w:r>
      <w:r>
        <w:rPr>
          <w:color w:val="231F1F"/>
          <w:w w:val="110"/>
        </w:rPr>
        <w:t> de infusión de simulación como placebo o la no utilización de ningún tipo de </w:t>
      </w:r>
      <w:r>
        <w:rPr>
          <w:color w:val="231F1F"/>
          <w:spacing w:val="-2"/>
          <w:w w:val="110"/>
        </w:rPr>
        <w:t>precarga.</w:t>
      </w:r>
    </w:p>
    <w:p>
      <w:pPr>
        <w:pStyle w:val="BodyText"/>
        <w:tabs>
          <w:tab w:pos="7733" w:val="left" w:leader="none"/>
          <w:tab w:pos="7932" w:val="left" w:leader="none"/>
          <w:tab w:pos="8114" w:val="left" w:leader="none"/>
        </w:tabs>
        <w:spacing w:line="244" w:lineRule="auto" w:before="85"/>
        <w:ind w:left="283" w:right="342" w:firstLine="453"/>
      </w:pPr>
      <w:r>
        <w:rPr>
          <w:color w:val="231F1F"/>
        </w:rPr>
        <w:t>En los estudios que se utilizó </w:t>
      </w:r>
      <w:r>
        <w:rPr>
          <w:i/>
          <w:color w:val="231F1F"/>
        </w:rPr>
        <w:t>altas dosis de anestésicos</w:t>
      </w:r>
      <w:r>
        <w:rPr>
          <w:color w:val="231F1F"/>
        </w:rPr>
        <w:t>, la precarga de</w:t>
        <w:tab/>
      </w:r>
      <w:r>
        <w:rPr>
          <w:rFonts w:ascii="Arial MT" w:hAnsi="Arial MT"/>
          <w:color w:val="231F1F"/>
          <w:sz w:val="18"/>
        </w:rPr>
        <w:t>RS-MA</w:t>
      </w:r>
      <w:r>
        <w:rPr>
          <w:rFonts w:ascii="Arial MT" w:hAnsi="Arial MT"/>
          <w:color w:val="231F1F"/>
          <w:spacing w:val="-13"/>
          <w:sz w:val="18"/>
        </w:rPr>
        <w:t> </w:t>
      </w:r>
      <w:r>
        <w:rPr>
          <w:rFonts w:ascii="Arial MT" w:hAnsi="Arial MT"/>
          <w:color w:val="231F1F"/>
          <w:sz w:val="18"/>
        </w:rPr>
        <w:t>de </w:t>
      </w:r>
      <w:r>
        <w:rPr>
          <w:color w:val="231F1F"/>
          <w:w w:val="105"/>
        </w:rPr>
        <w:t>fluidos intravenosos, redujo la incidencia de hipotensión materna (2 ECAs</w:t>
      </w:r>
      <w:r>
        <w:rPr>
          <w:color w:val="231F1F"/>
        </w:rPr>
        <w:tab/>
        <w:tab/>
      </w:r>
      <w:r>
        <w:rPr>
          <w:rFonts w:ascii="Arial MT" w:hAnsi="Arial MT"/>
          <w:color w:val="231F1F"/>
          <w:spacing w:val="-4"/>
          <w:w w:val="105"/>
          <w:position w:val="4"/>
          <w:sz w:val="18"/>
        </w:rPr>
        <w:t>ECAS </w:t>
      </w:r>
      <w:r>
        <w:rPr>
          <w:color w:val="231F1F"/>
          <w:w w:val="105"/>
        </w:rPr>
        <w:t>con 102 mujeres): RR 0,070 [IC 95% 0,01 a 0,53] y de las anomalías de la FCF:</w:t>
      </w:r>
      <w:r>
        <w:rPr>
          <w:color w:val="231F1F"/>
        </w:rPr>
        <w:tab/>
        <w:tab/>
        <w:tab/>
      </w:r>
      <w:r>
        <w:rPr>
          <w:rFonts w:ascii="Arial MT" w:hAnsi="Arial MT"/>
          <w:color w:val="231F1F"/>
          <w:spacing w:val="-6"/>
          <w:w w:val="105"/>
          <w:position w:val="8"/>
          <w:sz w:val="18"/>
        </w:rPr>
        <w:t>1+ </w:t>
      </w:r>
      <w:r>
        <w:rPr>
          <w:color w:val="231F1F"/>
          <w:w w:val="105"/>
        </w:rPr>
        <w:t>RR</w:t>
      </w:r>
      <w:r>
        <w:rPr>
          <w:color w:val="231F1F"/>
          <w:spacing w:val="40"/>
          <w:w w:val="105"/>
        </w:rPr>
        <w:t> </w:t>
      </w:r>
      <w:r>
        <w:rPr>
          <w:color w:val="231F1F"/>
          <w:w w:val="105"/>
        </w:rPr>
        <w:t>0,36</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0,16</w:t>
      </w:r>
      <w:r>
        <w:rPr>
          <w:color w:val="231F1F"/>
          <w:spacing w:val="40"/>
          <w:w w:val="105"/>
        </w:rPr>
        <w:t> </w:t>
      </w:r>
      <w:r>
        <w:rPr>
          <w:color w:val="231F1F"/>
          <w:w w:val="105"/>
        </w:rPr>
        <w:t>a</w:t>
      </w:r>
      <w:r>
        <w:rPr>
          <w:color w:val="231F1F"/>
          <w:spacing w:val="40"/>
          <w:w w:val="105"/>
        </w:rPr>
        <w:t> </w:t>
      </w:r>
      <w:r>
        <w:rPr>
          <w:color w:val="231F1F"/>
          <w:w w:val="105"/>
        </w:rPr>
        <w:t>0,83].</w:t>
      </w:r>
      <w:r>
        <w:rPr>
          <w:color w:val="231F1F"/>
          <w:spacing w:val="40"/>
          <w:w w:val="105"/>
        </w:rPr>
        <w:t> </w:t>
      </w:r>
      <w:r>
        <w:rPr>
          <w:color w:val="231F1F"/>
          <w:w w:val="105"/>
        </w:rPr>
        <w:t>No</w:t>
      </w:r>
      <w:r>
        <w:rPr>
          <w:color w:val="231F1F"/>
          <w:spacing w:val="40"/>
          <w:w w:val="105"/>
        </w:rPr>
        <w:t> </w:t>
      </w:r>
      <w:r>
        <w:rPr>
          <w:color w:val="231F1F"/>
          <w:w w:val="105"/>
        </w:rPr>
        <w:t>hubo</w:t>
      </w:r>
      <w:r>
        <w:rPr>
          <w:color w:val="231F1F"/>
          <w:spacing w:val="40"/>
          <w:w w:val="105"/>
        </w:rPr>
        <w:t> </w:t>
      </w:r>
      <w:r>
        <w:rPr>
          <w:color w:val="231F1F"/>
          <w:w w:val="105"/>
        </w:rPr>
        <w:t>evidencia</w:t>
      </w:r>
      <w:r>
        <w:rPr>
          <w:color w:val="231F1F"/>
          <w:spacing w:val="40"/>
          <w:w w:val="105"/>
        </w:rPr>
        <w:t> </w:t>
      </w:r>
      <w:r>
        <w:rPr>
          <w:color w:val="231F1F"/>
          <w:w w:val="105"/>
        </w:rPr>
        <w:t>de</w:t>
      </w:r>
      <w:r>
        <w:rPr>
          <w:color w:val="231F1F"/>
          <w:spacing w:val="40"/>
          <w:w w:val="105"/>
        </w:rPr>
        <w:t> </w:t>
      </w:r>
      <w:r>
        <w:rPr>
          <w:color w:val="231F1F"/>
          <w:w w:val="105"/>
        </w:rPr>
        <w:t>diferencias</w:t>
      </w:r>
      <w:r>
        <w:rPr>
          <w:color w:val="231F1F"/>
          <w:spacing w:val="40"/>
          <w:w w:val="105"/>
        </w:rPr>
        <w:t> </w:t>
      </w:r>
      <w:r>
        <w:rPr>
          <w:color w:val="231F1F"/>
          <w:w w:val="105"/>
        </w:rPr>
        <w:t>en</w:t>
      </w:r>
      <w:r>
        <w:rPr>
          <w:color w:val="231F1F"/>
          <w:spacing w:val="40"/>
          <w:w w:val="105"/>
        </w:rPr>
        <w:t> </w:t>
      </w:r>
      <w:r>
        <w:rPr>
          <w:color w:val="231F1F"/>
          <w:w w:val="105"/>
        </w:rPr>
        <w:t>otros</w:t>
      </w:r>
      <w:r>
        <w:rPr>
          <w:color w:val="231F1F"/>
          <w:spacing w:val="40"/>
          <w:w w:val="105"/>
        </w:rPr>
        <w:t> </w:t>
      </w:r>
      <w:r>
        <w:rPr>
          <w:color w:val="231F1F"/>
          <w:w w:val="105"/>
        </w:rPr>
        <w:t>re- sultados maternos y perinatales.</w:t>
      </w:r>
    </w:p>
    <w:p>
      <w:pPr>
        <w:pStyle w:val="BodyText"/>
        <w:spacing w:line="247" w:lineRule="auto" w:before="64"/>
        <w:ind w:left="283" w:right="1371" w:firstLine="453"/>
        <w:jc w:val="both"/>
      </w:pPr>
      <w:r>
        <w:rPr>
          <w:color w:val="231F1F"/>
          <w:w w:val="105"/>
        </w:rPr>
        <w:t>En los estudios que se utilizaron </w:t>
      </w:r>
      <w:r>
        <w:rPr>
          <w:i/>
          <w:color w:val="231F1F"/>
          <w:w w:val="105"/>
        </w:rPr>
        <w:t>anestésicos a bajas dosis </w:t>
      </w:r>
      <w:r>
        <w:rPr>
          <w:color w:val="231F1F"/>
          <w:w w:val="105"/>
        </w:rPr>
        <w:t>no hubo evi- dencia de diferencias significativas en la hipotensión (2 ECAs con 260 muje- res):</w:t>
      </w:r>
      <w:r>
        <w:rPr>
          <w:color w:val="231F1F"/>
          <w:spacing w:val="-4"/>
          <w:w w:val="105"/>
        </w:rPr>
        <w:t> </w:t>
      </w:r>
      <w:r>
        <w:rPr>
          <w:color w:val="231F1F"/>
          <w:w w:val="105"/>
        </w:rPr>
        <w:t>RR</w:t>
      </w:r>
      <w:r>
        <w:rPr>
          <w:color w:val="231F1F"/>
          <w:spacing w:val="-4"/>
          <w:w w:val="105"/>
        </w:rPr>
        <w:t> </w:t>
      </w:r>
      <w:r>
        <w:rPr>
          <w:color w:val="231F1F"/>
          <w:w w:val="105"/>
        </w:rPr>
        <w:t>0,73</w:t>
      </w:r>
      <w:r>
        <w:rPr>
          <w:color w:val="231F1F"/>
          <w:spacing w:val="-4"/>
          <w:w w:val="105"/>
        </w:rPr>
        <w:t> </w:t>
      </w:r>
      <w:r>
        <w:rPr>
          <w:color w:val="231F1F"/>
          <w:w w:val="105"/>
        </w:rPr>
        <w:t>[IC</w:t>
      </w:r>
      <w:r>
        <w:rPr>
          <w:color w:val="231F1F"/>
          <w:spacing w:val="-3"/>
          <w:w w:val="105"/>
        </w:rPr>
        <w:t> </w:t>
      </w:r>
      <w:r>
        <w:rPr>
          <w:color w:val="231F1F"/>
          <w:w w:val="105"/>
        </w:rPr>
        <w:t>95%</w:t>
      </w:r>
      <w:r>
        <w:rPr>
          <w:color w:val="231F1F"/>
          <w:spacing w:val="-3"/>
          <w:w w:val="105"/>
        </w:rPr>
        <w:t> </w:t>
      </w:r>
      <w:r>
        <w:rPr>
          <w:color w:val="231F1F"/>
          <w:w w:val="105"/>
        </w:rPr>
        <w:t>0,36</w:t>
      </w:r>
      <w:r>
        <w:rPr>
          <w:color w:val="231F1F"/>
          <w:spacing w:val="-4"/>
          <w:w w:val="105"/>
        </w:rPr>
        <w:t> </w:t>
      </w:r>
      <w:r>
        <w:rPr>
          <w:color w:val="231F1F"/>
          <w:w w:val="105"/>
        </w:rPr>
        <w:t>a</w:t>
      </w:r>
      <w:r>
        <w:rPr>
          <w:color w:val="231F1F"/>
          <w:spacing w:val="-4"/>
          <w:w w:val="105"/>
        </w:rPr>
        <w:t> </w:t>
      </w:r>
      <w:r>
        <w:rPr>
          <w:color w:val="231F1F"/>
          <w:w w:val="105"/>
        </w:rPr>
        <w:t>1,48]</w:t>
      </w:r>
      <w:r>
        <w:rPr>
          <w:color w:val="231F1F"/>
          <w:spacing w:val="-4"/>
          <w:w w:val="105"/>
        </w:rPr>
        <w:t> </w:t>
      </w:r>
      <w:r>
        <w:rPr>
          <w:color w:val="231F1F"/>
          <w:w w:val="105"/>
        </w:rPr>
        <w:t>y</w:t>
      </w:r>
      <w:r>
        <w:rPr>
          <w:color w:val="231F1F"/>
          <w:spacing w:val="-4"/>
          <w:w w:val="105"/>
        </w:rPr>
        <w:t> </w:t>
      </w:r>
      <w:r>
        <w:rPr>
          <w:color w:val="231F1F"/>
          <w:w w:val="105"/>
        </w:rPr>
        <w:t>en</w:t>
      </w:r>
      <w:r>
        <w:rPr>
          <w:color w:val="231F1F"/>
          <w:spacing w:val="-4"/>
          <w:w w:val="105"/>
        </w:rPr>
        <w:t> </w:t>
      </w:r>
      <w:r>
        <w:rPr>
          <w:color w:val="231F1F"/>
          <w:w w:val="105"/>
        </w:rPr>
        <w:t>las</w:t>
      </w:r>
      <w:r>
        <w:rPr>
          <w:color w:val="231F1F"/>
          <w:spacing w:val="-4"/>
          <w:w w:val="105"/>
        </w:rPr>
        <w:t> </w:t>
      </w:r>
      <w:r>
        <w:rPr>
          <w:color w:val="231F1F"/>
          <w:w w:val="105"/>
        </w:rPr>
        <w:t>anomalías</w:t>
      </w:r>
      <w:r>
        <w:rPr>
          <w:color w:val="231F1F"/>
          <w:spacing w:val="-3"/>
          <w:w w:val="105"/>
        </w:rPr>
        <w:t> </w:t>
      </w:r>
      <w:r>
        <w:rPr>
          <w:color w:val="231F1F"/>
          <w:w w:val="105"/>
        </w:rPr>
        <w:t>de</w:t>
      </w:r>
      <w:r>
        <w:rPr>
          <w:color w:val="231F1F"/>
          <w:spacing w:val="-4"/>
          <w:w w:val="105"/>
        </w:rPr>
        <w:t> </w:t>
      </w:r>
      <w:r>
        <w:rPr>
          <w:color w:val="231F1F"/>
          <w:w w:val="105"/>
        </w:rPr>
        <w:t>la</w:t>
      </w:r>
      <w:r>
        <w:rPr>
          <w:color w:val="231F1F"/>
          <w:spacing w:val="-4"/>
          <w:w w:val="105"/>
        </w:rPr>
        <w:t> </w:t>
      </w:r>
      <w:r>
        <w:rPr>
          <w:color w:val="231F1F"/>
          <w:w w:val="105"/>
        </w:rPr>
        <w:t>FCF:</w:t>
      </w:r>
      <w:r>
        <w:rPr>
          <w:color w:val="231F1F"/>
          <w:spacing w:val="-4"/>
          <w:w w:val="105"/>
        </w:rPr>
        <w:t> </w:t>
      </w:r>
      <w:r>
        <w:rPr>
          <w:color w:val="231F1F"/>
          <w:w w:val="105"/>
        </w:rPr>
        <w:t>RR</w:t>
      </w:r>
      <w:r>
        <w:rPr>
          <w:color w:val="231F1F"/>
          <w:spacing w:val="-3"/>
          <w:w w:val="105"/>
        </w:rPr>
        <w:t> </w:t>
      </w:r>
      <w:r>
        <w:rPr>
          <w:color w:val="231F1F"/>
          <w:w w:val="105"/>
        </w:rPr>
        <w:t>0,</w:t>
      </w:r>
      <w:r>
        <w:rPr>
          <w:color w:val="231F1F"/>
          <w:spacing w:val="-4"/>
          <w:w w:val="105"/>
        </w:rPr>
        <w:t> </w:t>
      </w:r>
      <w:r>
        <w:rPr>
          <w:color w:val="231F1F"/>
          <w:w w:val="105"/>
        </w:rPr>
        <w:t>46</w:t>
      </w:r>
      <w:r>
        <w:rPr>
          <w:color w:val="231F1F"/>
          <w:spacing w:val="-4"/>
          <w:w w:val="105"/>
        </w:rPr>
        <w:t> </w:t>
      </w:r>
      <w:r>
        <w:rPr>
          <w:color w:val="231F1F"/>
          <w:w w:val="105"/>
        </w:rPr>
        <w:t>[IC 95% 0,39 a 1,05], aunque en el grupo con precarga se muestra una ligera ten- dencia de menores anomalías de FCF. No se obsaervaron otro tipo de resul- </w:t>
      </w:r>
      <w:r>
        <w:rPr>
          <w:color w:val="231F1F"/>
          <w:spacing w:val="-2"/>
          <w:w w:val="105"/>
        </w:rPr>
        <w:t>tados.</w:t>
      </w:r>
    </w:p>
    <w:p>
      <w:pPr>
        <w:pStyle w:val="BodyText"/>
        <w:spacing w:line="249" w:lineRule="auto" w:before="126"/>
        <w:ind w:left="283" w:right="1369" w:firstLine="453"/>
        <w:jc w:val="both"/>
      </w:pPr>
      <w:r>
        <w:rPr>
          <w:color w:val="231F1F"/>
          <w:w w:val="110"/>
        </w:rPr>
        <w:t>Por</w:t>
      </w:r>
      <w:r>
        <w:rPr>
          <w:color w:val="231F1F"/>
          <w:spacing w:val="-16"/>
          <w:w w:val="110"/>
        </w:rPr>
        <w:t> </w:t>
      </w:r>
      <w:r>
        <w:rPr>
          <w:color w:val="231F1F"/>
          <w:w w:val="110"/>
        </w:rPr>
        <w:t>otro</w:t>
      </w:r>
      <w:r>
        <w:rPr>
          <w:color w:val="231F1F"/>
          <w:spacing w:val="-15"/>
          <w:w w:val="110"/>
        </w:rPr>
        <w:t> </w:t>
      </w:r>
      <w:r>
        <w:rPr>
          <w:color w:val="231F1F"/>
          <w:w w:val="110"/>
        </w:rPr>
        <w:t>lado,</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estudios</w:t>
      </w:r>
      <w:r>
        <w:rPr>
          <w:color w:val="231F1F"/>
          <w:spacing w:val="-15"/>
          <w:w w:val="110"/>
        </w:rPr>
        <w:t> </w:t>
      </w:r>
      <w:r>
        <w:rPr>
          <w:color w:val="231F1F"/>
          <w:w w:val="110"/>
        </w:rPr>
        <w:t>que</w:t>
      </w:r>
      <w:r>
        <w:rPr>
          <w:color w:val="231F1F"/>
          <w:spacing w:val="-15"/>
          <w:w w:val="110"/>
        </w:rPr>
        <w:t> </w:t>
      </w:r>
      <w:r>
        <w:rPr>
          <w:color w:val="231F1F"/>
          <w:w w:val="110"/>
        </w:rPr>
        <w:t>se</w:t>
      </w:r>
      <w:r>
        <w:rPr>
          <w:color w:val="231F1F"/>
          <w:spacing w:val="-15"/>
          <w:w w:val="110"/>
        </w:rPr>
        <w:t> </w:t>
      </w:r>
      <w:r>
        <w:rPr>
          <w:color w:val="231F1F"/>
          <w:w w:val="110"/>
        </w:rPr>
        <w:t>utilizaron</w:t>
      </w:r>
      <w:r>
        <w:rPr>
          <w:color w:val="231F1F"/>
          <w:spacing w:val="-16"/>
          <w:w w:val="110"/>
        </w:rPr>
        <w:t> </w:t>
      </w:r>
      <w:r>
        <w:rPr>
          <w:color w:val="231F1F"/>
          <w:w w:val="110"/>
        </w:rPr>
        <w:t>analgesia</w:t>
      </w:r>
      <w:r>
        <w:rPr>
          <w:color w:val="231F1F"/>
          <w:spacing w:val="-15"/>
          <w:w w:val="110"/>
        </w:rPr>
        <w:t> </w:t>
      </w:r>
      <w:r>
        <w:rPr>
          <w:i/>
          <w:color w:val="231F1F"/>
          <w:w w:val="110"/>
        </w:rPr>
        <w:t>intradural-epi- </w:t>
      </w:r>
      <w:r>
        <w:rPr>
          <w:i/>
          <w:color w:val="231F1F"/>
          <w:spacing w:val="-2"/>
          <w:w w:val="110"/>
        </w:rPr>
        <w:t>dural</w:t>
      </w:r>
      <w:r>
        <w:rPr>
          <w:i/>
          <w:color w:val="231F1F"/>
          <w:spacing w:val="-14"/>
          <w:w w:val="110"/>
        </w:rPr>
        <w:t> </w:t>
      </w:r>
      <w:r>
        <w:rPr>
          <w:i/>
          <w:color w:val="231F1F"/>
          <w:spacing w:val="-2"/>
          <w:w w:val="110"/>
        </w:rPr>
        <w:t>combinada</w:t>
      </w:r>
      <w:r>
        <w:rPr>
          <w:i/>
          <w:color w:val="231F1F"/>
          <w:spacing w:val="-13"/>
          <w:w w:val="110"/>
        </w:rPr>
        <w:t> </w:t>
      </w:r>
      <w:r>
        <w:rPr>
          <w:color w:val="231F1F"/>
          <w:spacing w:val="-2"/>
          <w:w w:val="110"/>
        </w:rPr>
        <w:t>no</w:t>
      </w:r>
      <w:r>
        <w:rPr>
          <w:color w:val="231F1F"/>
          <w:spacing w:val="-13"/>
          <w:w w:val="110"/>
        </w:rPr>
        <w:t> </w:t>
      </w:r>
      <w:r>
        <w:rPr>
          <w:color w:val="231F1F"/>
          <w:spacing w:val="-2"/>
          <w:w w:val="110"/>
        </w:rPr>
        <w:t>se</w:t>
      </w:r>
      <w:r>
        <w:rPr>
          <w:color w:val="231F1F"/>
          <w:spacing w:val="-13"/>
          <w:w w:val="110"/>
        </w:rPr>
        <w:t> </w:t>
      </w:r>
      <w:r>
        <w:rPr>
          <w:color w:val="231F1F"/>
          <w:spacing w:val="-2"/>
          <w:w w:val="110"/>
        </w:rPr>
        <w:t>observaron</w:t>
      </w:r>
      <w:r>
        <w:rPr>
          <w:color w:val="231F1F"/>
          <w:spacing w:val="-8"/>
          <w:w w:val="110"/>
        </w:rPr>
        <w:t> </w:t>
      </w:r>
      <w:r>
        <w:rPr>
          <w:color w:val="231F1F"/>
          <w:spacing w:val="-2"/>
          <w:w w:val="110"/>
        </w:rPr>
        <w:t>diferencias</w:t>
      </w:r>
      <w:r>
        <w:rPr>
          <w:color w:val="231F1F"/>
          <w:spacing w:val="-8"/>
          <w:w w:val="110"/>
        </w:rPr>
        <w:t> </w:t>
      </w:r>
      <w:r>
        <w:rPr>
          <w:color w:val="231F1F"/>
          <w:spacing w:val="-2"/>
          <w:w w:val="110"/>
        </w:rPr>
        <w:t>ni</w:t>
      </w:r>
      <w:r>
        <w:rPr>
          <w:color w:val="231F1F"/>
          <w:spacing w:val="-8"/>
          <w:w w:val="110"/>
        </w:rPr>
        <w:t> </w:t>
      </w:r>
      <w:r>
        <w:rPr>
          <w:color w:val="231F1F"/>
          <w:spacing w:val="-2"/>
          <w:w w:val="110"/>
        </w:rPr>
        <w:t>en</w:t>
      </w:r>
      <w:r>
        <w:rPr>
          <w:color w:val="231F1F"/>
          <w:spacing w:val="-7"/>
          <w:w w:val="110"/>
        </w:rPr>
        <w:t> </w:t>
      </w:r>
      <w:r>
        <w:rPr>
          <w:color w:val="231F1F"/>
          <w:spacing w:val="-2"/>
          <w:w w:val="110"/>
        </w:rPr>
        <w:t>la</w:t>
      </w:r>
      <w:r>
        <w:rPr>
          <w:color w:val="231F1F"/>
          <w:spacing w:val="-7"/>
          <w:w w:val="110"/>
        </w:rPr>
        <w:t> </w:t>
      </w:r>
      <w:r>
        <w:rPr>
          <w:color w:val="231F1F"/>
          <w:spacing w:val="-2"/>
          <w:w w:val="110"/>
        </w:rPr>
        <w:t>incidencia</w:t>
      </w:r>
      <w:r>
        <w:rPr>
          <w:color w:val="231F1F"/>
          <w:spacing w:val="-7"/>
          <w:w w:val="110"/>
        </w:rPr>
        <w:t> </w:t>
      </w:r>
      <w:r>
        <w:rPr>
          <w:color w:val="231F1F"/>
          <w:spacing w:val="-2"/>
          <w:w w:val="110"/>
        </w:rPr>
        <w:t>de</w:t>
      </w:r>
      <w:r>
        <w:rPr>
          <w:color w:val="231F1F"/>
          <w:spacing w:val="-7"/>
          <w:w w:val="110"/>
        </w:rPr>
        <w:t> </w:t>
      </w:r>
      <w:r>
        <w:rPr>
          <w:color w:val="231F1F"/>
          <w:spacing w:val="-2"/>
          <w:w w:val="110"/>
        </w:rPr>
        <w:t>hipoten- </w:t>
      </w:r>
      <w:r>
        <w:rPr>
          <w:color w:val="231F1F"/>
          <w:w w:val="110"/>
        </w:rPr>
        <w:t>sión materna, ni en las anomalías de la FCF.</w:t>
      </w:r>
    </w:p>
    <w:p>
      <w:pPr>
        <w:pStyle w:val="BodyText"/>
        <w:spacing w:before="142"/>
        <w:ind w:left="283" w:right="1386" w:firstLine="453"/>
      </w:pPr>
      <w:r>
        <w:rPr>
          <w:color w:val="231F1F"/>
          <w:w w:val="110"/>
        </w:rPr>
        <w:t>No se observaron diferencias en el tipo de parto entre los grupos con precarga y sin precarga.</w:t>
      </w:r>
    </w:p>
    <w:p>
      <w:pPr>
        <w:pStyle w:val="BodyText"/>
        <w:spacing w:before="95"/>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line="259" w:lineRule="auto" w:before="219"/>
        <w:ind w:left="283" w:right="1386"/>
      </w:pPr>
      <w:r>
        <w:rPr>
          <w:color w:val="231F1F"/>
        </w:rPr>
        <w:t>No</w:t>
      </w:r>
      <w:r>
        <w:rPr>
          <w:color w:val="231F1F"/>
          <w:spacing w:val="27"/>
        </w:rPr>
        <w:t> </w:t>
      </w:r>
      <w:r>
        <w:rPr>
          <w:color w:val="231F1F"/>
        </w:rPr>
        <w:t>se</w:t>
      </w:r>
      <w:r>
        <w:rPr>
          <w:color w:val="231F1F"/>
          <w:spacing w:val="27"/>
        </w:rPr>
        <w:t> </w:t>
      </w:r>
      <w:r>
        <w:rPr>
          <w:color w:val="231F1F"/>
        </w:rPr>
        <w:t>han</w:t>
      </w:r>
      <w:r>
        <w:rPr>
          <w:color w:val="231F1F"/>
          <w:spacing w:val="27"/>
        </w:rPr>
        <w:t> </w:t>
      </w:r>
      <w:r>
        <w:rPr>
          <w:color w:val="231F1F"/>
        </w:rPr>
        <w:t>encontrado</w:t>
      </w:r>
      <w:r>
        <w:rPr>
          <w:color w:val="231F1F"/>
          <w:spacing w:val="27"/>
        </w:rPr>
        <w:t> </w:t>
      </w:r>
      <w:r>
        <w:rPr>
          <w:color w:val="231F1F"/>
        </w:rPr>
        <w:t>nuevos</w:t>
      </w:r>
      <w:r>
        <w:rPr>
          <w:color w:val="231F1F"/>
          <w:spacing w:val="27"/>
        </w:rPr>
        <w:t> </w:t>
      </w:r>
      <w:r>
        <w:rPr>
          <w:color w:val="231F1F"/>
        </w:rPr>
        <w:t>estudios</w:t>
      </w:r>
      <w:r>
        <w:rPr>
          <w:color w:val="231F1F"/>
          <w:spacing w:val="27"/>
        </w:rPr>
        <w:t> </w:t>
      </w:r>
      <w:r>
        <w:rPr>
          <w:color w:val="231F1F"/>
        </w:rPr>
        <w:t>sobre</w:t>
      </w:r>
      <w:r>
        <w:rPr>
          <w:color w:val="231F1F"/>
          <w:spacing w:val="27"/>
        </w:rPr>
        <w:t> </w:t>
      </w:r>
      <w:r>
        <w:rPr>
          <w:color w:val="231F1F"/>
        </w:rPr>
        <w:t>la</w:t>
      </w:r>
      <w:r>
        <w:rPr>
          <w:color w:val="231F1F"/>
          <w:spacing w:val="27"/>
        </w:rPr>
        <w:t> </w:t>
      </w:r>
      <w:r>
        <w:rPr>
          <w:color w:val="231F1F"/>
        </w:rPr>
        <w:t>perfusión</w:t>
      </w:r>
      <w:r>
        <w:rPr>
          <w:color w:val="231F1F"/>
          <w:spacing w:val="27"/>
        </w:rPr>
        <w:t> </w:t>
      </w:r>
      <w:r>
        <w:rPr>
          <w:color w:val="231F1F"/>
        </w:rPr>
        <w:t>de</w:t>
      </w:r>
      <w:r>
        <w:rPr>
          <w:color w:val="231F1F"/>
          <w:spacing w:val="27"/>
        </w:rPr>
        <w:t> </w:t>
      </w:r>
      <w:r>
        <w:rPr>
          <w:color w:val="231F1F"/>
        </w:rPr>
        <w:t>soluciones</w:t>
      </w:r>
      <w:r>
        <w:rPr>
          <w:color w:val="231F1F"/>
          <w:spacing w:val="29"/>
        </w:rPr>
        <w:t> </w:t>
      </w:r>
      <w:r>
        <w:rPr>
          <w:color w:val="231F1F"/>
        </w:rPr>
        <w:t>intra- venosas</w:t>
      </w:r>
      <w:r>
        <w:rPr>
          <w:color w:val="231F1F"/>
          <w:spacing w:val="40"/>
        </w:rPr>
        <w:t> </w:t>
      </w:r>
      <w:r>
        <w:rPr>
          <w:color w:val="231F1F"/>
        </w:rPr>
        <w:t>previa</w:t>
      </w:r>
      <w:r>
        <w:rPr>
          <w:color w:val="231F1F"/>
          <w:spacing w:val="40"/>
        </w:rPr>
        <w:t> </w:t>
      </w:r>
      <w:r>
        <w:rPr>
          <w:color w:val="231F1F"/>
        </w:rPr>
        <w:t>a</w:t>
      </w:r>
      <w:r>
        <w:rPr>
          <w:color w:val="231F1F"/>
          <w:spacing w:val="40"/>
        </w:rPr>
        <w:t> </w:t>
      </w:r>
      <w:r>
        <w:rPr>
          <w:color w:val="231F1F"/>
        </w:rPr>
        <w:t>la</w:t>
      </w:r>
      <w:r>
        <w:rPr>
          <w:color w:val="231F1F"/>
          <w:spacing w:val="40"/>
        </w:rPr>
        <w:t> </w:t>
      </w:r>
      <w:r>
        <w:rPr>
          <w:color w:val="231F1F"/>
        </w:rPr>
        <w:t>analgesia</w:t>
      </w:r>
      <w:r>
        <w:rPr>
          <w:color w:val="231F1F"/>
          <w:spacing w:val="40"/>
        </w:rPr>
        <w:t> </w:t>
      </w:r>
      <w:r>
        <w:rPr>
          <w:color w:val="231F1F"/>
        </w:rPr>
        <w:t>neuroaxial.</w:t>
      </w:r>
    </w:p>
    <w:p>
      <w:pPr>
        <w:pStyle w:val="BodyText"/>
        <w:spacing w:after="0" w:line="259" w:lineRule="auto"/>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9" w:lineRule="auto" w:before="44"/>
              <w:ind w:right="156"/>
              <w:rPr>
                <w:sz w:val="22"/>
              </w:rPr>
            </w:pPr>
            <w:r>
              <w:rPr>
                <w:color w:val="231F1F"/>
                <w:w w:val="110"/>
                <w:sz w:val="22"/>
              </w:rPr>
              <w:t>Existe</w:t>
            </w:r>
            <w:r>
              <w:rPr>
                <w:color w:val="231F1F"/>
                <w:spacing w:val="-12"/>
                <w:w w:val="110"/>
                <w:sz w:val="22"/>
              </w:rPr>
              <w:t> </w:t>
            </w:r>
            <w:r>
              <w:rPr>
                <w:color w:val="231F1F"/>
                <w:w w:val="110"/>
                <w:sz w:val="22"/>
              </w:rPr>
              <w:t>evidencia</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que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precarga</w:t>
            </w:r>
            <w:r>
              <w:rPr>
                <w:color w:val="231F1F"/>
                <w:spacing w:val="-11"/>
                <w:w w:val="110"/>
                <w:sz w:val="22"/>
              </w:rPr>
              <w:t> </w:t>
            </w:r>
            <w:r>
              <w:rPr>
                <w:color w:val="231F1F"/>
                <w:w w:val="110"/>
                <w:sz w:val="22"/>
              </w:rPr>
              <w:t>por</w:t>
            </w:r>
            <w:r>
              <w:rPr>
                <w:color w:val="231F1F"/>
                <w:spacing w:val="-11"/>
                <w:w w:val="110"/>
                <w:sz w:val="22"/>
              </w:rPr>
              <w:t> </w:t>
            </w:r>
            <w:r>
              <w:rPr>
                <w:color w:val="231F1F"/>
                <w:w w:val="110"/>
                <w:sz w:val="22"/>
              </w:rPr>
              <w:t>vía</w:t>
            </w:r>
            <w:r>
              <w:rPr>
                <w:color w:val="231F1F"/>
                <w:spacing w:val="-11"/>
                <w:w w:val="110"/>
                <w:sz w:val="22"/>
              </w:rPr>
              <w:t> </w:t>
            </w:r>
            <w:r>
              <w:rPr>
                <w:color w:val="231F1F"/>
                <w:w w:val="110"/>
                <w:sz w:val="22"/>
              </w:rPr>
              <w:t>intravenosa</w:t>
            </w:r>
            <w:r>
              <w:rPr>
                <w:color w:val="231F1F"/>
                <w:spacing w:val="-11"/>
                <w:w w:val="110"/>
                <w:sz w:val="22"/>
              </w:rPr>
              <w:t> </w:t>
            </w:r>
            <w:r>
              <w:rPr>
                <w:color w:val="231F1F"/>
                <w:w w:val="110"/>
                <w:sz w:val="22"/>
              </w:rPr>
              <w:t>antes</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técnica </w:t>
            </w:r>
            <w:r>
              <w:rPr>
                <w:color w:val="231F1F"/>
                <w:sz w:val="22"/>
              </w:rPr>
              <w:t>neuroaxial reduce las tasas de hipotensión materna y las anomalías de la FCF </w:t>
            </w:r>
            <w:r>
              <w:rPr>
                <w:color w:val="231F1F"/>
                <w:w w:val="110"/>
                <w:sz w:val="22"/>
              </w:rPr>
              <w:t>cuando</w:t>
            </w:r>
            <w:r>
              <w:rPr>
                <w:color w:val="231F1F"/>
                <w:spacing w:val="-13"/>
                <w:w w:val="110"/>
                <w:sz w:val="22"/>
              </w:rPr>
              <w:t> </w:t>
            </w:r>
            <w:r>
              <w:rPr>
                <w:color w:val="231F1F"/>
                <w:w w:val="110"/>
                <w:sz w:val="22"/>
              </w:rPr>
              <w:t>se</w:t>
            </w:r>
            <w:r>
              <w:rPr>
                <w:color w:val="231F1F"/>
                <w:spacing w:val="-12"/>
                <w:w w:val="110"/>
                <w:sz w:val="22"/>
              </w:rPr>
              <w:t> </w:t>
            </w:r>
            <w:r>
              <w:rPr>
                <w:color w:val="231F1F"/>
                <w:w w:val="110"/>
                <w:sz w:val="22"/>
              </w:rPr>
              <w:t>administra</w:t>
            </w:r>
            <w:r>
              <w:rPr>
                <w:color w:val="231F1F"/>
                <w:spacing w:val="-12"/>
                <w:w w:val="110"/>
                <w:sz w:val="22"/>
              </w:rPr>
              <w:t> </w:t>
            </w:r>
            <w:r>
              <w:rPr>
                <w:color w:val="231F1F"/>
                <w:w w:val="110"/>
                <w:sz w:val="22"/>
              </w:rPr>
              <w:t>analgesia</w:t>
            </w:r>
            <w:r>
              <w:rPr>
                <w:color w:val="231F1F"/>
                <w:spacing w:val="-13"/>
                <w:w w:val="110"/>
                <w:sz w:val="22"/>
              </w:rPr>
              <w:t> </w:t>
            </w:r>
            <w:r>
              <w:rPr>
                <w:color w:val="231F1F"/>
                <w:w w:val="110"/>
                <w:sz w:val="22"/>
              </w:rPr>
              <w:t>epidural</w:t>
            </w:r>
            <w:r>
              <w:rPr>
                <w:color w:val="231F1F"/>
                <w:spacing w:val="-12"/>
                <w:w w:val="110"/>
                <w:sz w:val="22"/>
              </w:rPr>
              <w:t> </w:t>
            </w:r>
            <w:r>
              <w:rPr>
                <w:color w:val="231F1F"/>
                <w:w w:val="110"/>
                <w:sz w:val="22"/>
              </w:rPr>
              <w:t>a</w:t>
            </w:r>
            <w:r>
              <w:rPr>
                <w:color w:val="231F1F"/>
                <w:spacing w:val="-12"/>
                <w:w w:val="110"/>
                <w:sz w:val="22"/>
              </w:rPr>
              <w:t> </w:t>
            </w:r>
            <w:r>
              <w:rPr>
                <w:color w:val="231F1F"/>
                <w:w w:val="110"/>
                <w:sz w:val="22"/>
              </w:rPr>
              <w:t>altas</w:t>
            </w:r>
            <w:r>
              <w:rPr>
                <w:color w:val="231F1F"/>
                <w:spacing w:val="-13"/>
                <w:w w:val="110"/>
                <w:sz w:val="22"/>
              </w:rPr>
              <w:t> </w:t>
            </w:r>
            <w:r>
              <w:rPr>
                <w:color w:val="231F1F"/>
                <w:w w:val="110"/>
                <w:sz w:val="22"/>
              </w:rPr>
              <w:t>dosis.</w:t>
            </w:r>
            <w:r>
              <w:rPr>
                <w:color w:val="231F1F"/>
                <w:spacing w:val="-12"/>
                <w:w w:val="110"/>
                <w:sz w:val="22"/>
              </w:rPr>
              <w:t> </w:t>
            </w:r>
            <w:r>
              <w:rPr>
                <w:color w:val="231F1F"/>
                <w:w w:val="110"/>
                <w:sz w:val="22"/>
              </w:rPr>
              <w:t>Sin</w:t>
            </w:r>
            <w:r>
              <w:rPr>
                <w:color w:val="231F1F"/>
                <w:spacing w:val="-12"/>
                <w:w w:val="110"/>
                <w:sz w:val="22"/>
              </w:rPr>
              <w:t> </w:t>
            </w:r>
            <w:r>
              <w:rPr>
                <w:color w:val="231F1F"/>
                <w:w w:val="110"/>
                <w:sz w:val="22"/>
              </w:rPr>
              <w:t>embargo,</w:t>
            </w:r>
            <w:r>
              <w:rPr>
                <w:color w:val="231F1F"/>
                <w:spacing w:val="-13"/>
                <w:w w:val="110"/>
                <w:sz w:val="22"/>
              </w:rPr>
              <w:t> </w:t>
            </w:r>
            <w:r>
              <w:rPr>
                <w:color w:val="231F1F"/>
                <w:w w:val="110"/>
                <w:sz w:val="22"/>
              </w:rPr>
              <w:t>la</w:t>
            </w:r>
            <w:r>
              <w:rPr>
                <w:color w:val="231F1F"/>
                <w:spacing w:val="-12"/>
                <w:w w:val="110"/>
                <w:sz w:val="22"/>
              </w:rPr>
              <w:t> </w:t>
            </w:r>
            <w:r>
              <w:rPr>
                <w:color w:val="231F1F"/>
                <w:w w:val="110"/>
                <w:sz w:val="22"/>
              </w:rPr>
              <w:t>evi- dencia existente no permite confirmar si es útil en bajas dosis (323).</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41"/>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w w:val="110"/>
                <w:sz w:val="22"/>
              </w:rPr>
              <w:t>Se</w:t>
            </w:r>
            <w:r>
              <w:rPr>
                <w:color w:val="231F1F"/>
                <w:spacing w:val="-15"/>
                <w:w w:val="110"/>
                <w:sz w:val="22"/>
              </w:rPr>
              <w:t> </w:t>
            </w:r>
            <w:r>
              <w:rPr>
                <w:color w:val="231F1F"/>
                <w:w w:val="110"/>
                <w:sz w:val="22"/>
              </w:rPr>
              <w:t>recomienda</w:t>
            </w:r>
            <w:r>
              <w:rPr>
                <w:color w:val="231F1F"/>
                <w:spacing w:val="-15"/>
                <w:w w:val="110"/>
                <w:sz w:val="22"/>
              </w:rPr>
              <w:t> </w:t>
            </w:r>
            <w:r>
              <w:rPr>
                <w:color w:val="231F1F"/>
                <w:w w:val="110"/>
                <w:sz w:val="22"/>
              </w:rPr>
              <w:t>asegurar</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acceso</w:t>
            </w:r>
            <w:r>
              <w:rPr>
                <w:color w:val="231F1F"/>
                <w:spacing w:val="-15"/>
                <w:w w:val="110"/>
                <w:sz w:val="22"/>
              </w:rPr>
              <w:t> </w:t>
            </w:r>
            <w:r>
              <w:rPr>
                <w:color w:val="231F1F"/>
                <w:w w:val="110"/>
                <w:sz w:val="22"/>
              </w:rPr>
              <w:t>por</w:t>
            </w:r>
            <w:r>
              <w:rPr>
                <w:color w:val="231F1F"/>
                <w:spacing w:val="-15"/>
                <w:w w:val="110"/>
                <w:sz w:val="22"/>
              </w:rPr>
              <w:t> </w:t>
            </w:r>
            <w:r>
              <w:rPr>
                <w:color w:val="231F1F"/>
                <w:w w:val="110"/>
                <w:sz w:val="22"/>
              </w:rPr>
              <w:t>vía</w:t>
            </w:r>
            <w:r>
              <w:rPr>
                <w:color w:val="231F1F"/>
                <w:spacing w:val="-15"/>
                <w:w w:val="110"/>
                <w:sz w:val="22"/>
              </w:rPr>
              <w:t> </w:t>
            </w:r>
            <w:r>
              <w:rPr>
                <w:color w:val="231F1F"/>
                <w:w w:val="110"/>
                <w:sz w:val="22"/>
              </w:rPr>
              <w:t>intravenosa</w:t>
            </w:r>
            <w:r>
              <w:rPr>
                <w:color w:val="231F1F"/>
                <w:spacing w:val="-15"/>
                <w:w w:val="110"/>
                <w:sz w:val="22"/>
              </w:rPr>
              <w:t> </w:t>
            </w:r>
            <w:r>
              <w:rPr>
                <w:color w:val="231F1F"/>
                <w:w w:val="110"/>
                <w:sz w:val="22"/>
              </w:rPr>
              <w:t>antes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comenzar</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anal- gesia neuroxial.</w:t>
            </w:r>
          </w:p>
        </w:tc>
      </w:tr>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54" w:lineRule="auto" w:before="44"/>
              <w:ind w:right="155"/>
              <w:rPr>
                <w:sz w:val="22"/>
              </w:rPr>
            </w:pPr>
            <w:r>
              <w:rPr>
                <w:color w:val="231F1F"/>
                <w:w w:val="105"/>
                <w:sz w:val="22"/>
              </w:rPr>
              <w:t>La</w:t>
            </w:r>
            <w:r>
              <w:rPr>
                <w:color w:val="231F1F"/>
                <w:spacing w:val="-9"/>
                <w:w w:val="105"/>
                <w:sz w:val="22"/>
              </w:rPr>
              <w:t> </w:t>
            </w:r>
            <w:r>
              <w:rPr>
                <w:color w:val="231F1F"/>
                <w:w w:val="105"/>
                <w:sz w:val="22"/>
              </w:rPr>
              <w:t>precarga</w:t>
            </w:r>
            <w:r>
              <w:rPr>
                <w:color w:val="231F1F"/>
                <w:spacing w:val="-8"/>
                <w:w w:val="105"/>
                <w:sz w:val="22"/>
              </w:rPr>
              <w:t> </w:t>
            </w:r>
            <w:r>
              <w:rPr>
                <w:color w:val="231F1F"/>
                <w:w w:val="105"/>
                <w:sz w:val="22"/>
              </w:rPr>
              <w:t>por</w:t>
            </w:r>
            <w:r>
              <w:rPr>
                <w:color w:val="231F1F"/>
                <w:spacing w:val="-9"/>
                <w:w w:val="105"/>
                <w:sz w:val="22"/>
              </w:rPr>
              <w:t> </w:t>
            </w:r>
            <w:r>
              <w:rPr>
                <w:color w:val="231F1F"/>
                <w:w w:val="105"/>
                <w:sz w:val="22"/>
              </w:rPr>
              <w:t>vía</w:t>
            </w:r>
            <w:r>
              <w:rPr>
                <w:color w:val="231F1F"/>
                <w:spacing w:val="-7"/>
                <w:w w:val="105"/>
                <w:sz w:val="22"/>
              </w:rPr>
              <w:t> </w:t>
            </w:r>
            <w:r>
              <w:rPr>
                <w:color w:val="231F1F"/>
                <w:w w:val="105"/>
                <w:sz w:val="22"/>
              </w:rPr>
              <w:t>intravenosa</w:t>
            </w:r>
            <w:r>
              <w:rPr>
                <w:color w:val="231F1F"/>
                <w:spacing w:val="-9"/>
                <w:w w:val="105"/>
                <w:sz w:val="22"/>
              </w:rPr>
              <w:t> </w:t>
            </w:r>
            <w:r>
              <w:rPr>
                <w:color w:val="231F1F"/>
                <w:w w:val="105"/>
                <w:sz w:val="22"/>
              </w:rPr>
              <w:t>no</w:t>
            </w:r>
            <w:r>
              <w:rPr>
                <w:color w:val="231F1F"/>
                <w:spacing w:val="-7"/>
                <w:w w:val="105"/>
                <w:sz w:val="22"/>
              </w:rPr>
              <w:t> </w:t>
            </w:r>
            <w:r>
              <w:rPr>
                <w:color w:val="231F1F"/>
                <w:w w:val="105"/>
                <w:sz w:val="22"/>
              </w:rPr>
              <w:t>necesita</w:t>
            </w:r>
            <w:r>
              <w:rPr>
                <w:color w:val="231F1F"/>
                <w:spacing w:val="-9"/>
                <w:w w:val="105"/>
                <w:sz w:val="22"/>
              </w:rPr>
              <w:t> </w:t>
            </w:r>
            <w:r>
              <w:rPr>
                <w:color w:val="231F1F"/>
                <w:w w:val="105"/>
                <w:sz w:val="22"/>
              </w:rPr>
              <w:t>ser</w:t>
            </w:r>
            <w:r>
              <w:rPr>
                <w:color w:val="231F1F"/>
                <w:spacing w:val="-9"/>
                <w:w w:val="105"/>
                <w:sz w:val="22"/>
              </w:rPr>
              <w:t> </w:t>
            </w:r>
            <w:r>
              <w:rPr>
                <w:color w:val="231F1F"/>
                <w:w w:val="105"/>
                <w:sz w:val="22"/>
              </w:rPr>
              <w:t>administrada</w:t>
            </w:r>
            <w:r>
              <w:rPr>
                <w:color w:val="231F1F"/>
                <w:spacing w:val="-9"/>
                <w:w w:val="105"/>
                <w:sz w:val="22"/>
              </w:rPr>
              <w:t> </w:t>
            </w:r>
            <w:r>
              <w:rPr>
                <w:color w:val="231F1F"/>
                <w:w w:val="105"/>
                <w:sz w:val="22"/>
              </w:rPr>
              <w:t>rutinariamente</w:t>
            </w:r>
            <w:r>
              <w:rPr>
                <w:color w:val="231F1F"/>
                <w:spacing w:val="-7"/>
                <w:w w:val="105"/>
                <w:sz w:val="22"/>
              </w:rPr>
              <w:t> </w:t>
            </w:r>
            <w:r>
              <w:rPr>
                <w:color w:val="231F1F"/>
                <w:w w:val="105"/>
                <w:sz w:val="22"/>
              </w:rPr>
              <w:t>antes</w:t>
            </w:r>
            <w:r>
              <w:rPr>
                <w:color w:val="231F1F"/>
                <w:spacing w:val="-9"/>
                <w:w w:val="105"/>
                <w:sz w:val="22"/>
              </w:rPr>
              <w:t> </w:t>
            </w:r>
            <w:r>
              <w:rPr>
                <w:color w:val="231F1F"/>
                <w:w w:val="105"/>
                <w:sz w:val="22"/>
              </w:rPr>
              <w:t>de la</w:t>
            </w:r>
            <w:r>
              <w:rPr>
                <w:color w:val="231F1F"/>
                <w:spacing w:val="-15"/>
                <w:w w:val="105"/>
                <w:sz w:val="22"/>
              </w:rPr>
              <w:t> </w:t>
            </w:r>
            <w:r>
              <w:rPr>
                <w:color w:val="231F1F"/>
                <w:w w:val="105"/>
                <w:sz w:val="22"/>
              </w:rPr>
              <w:t>analgesia</w:t>
            </w:r>
            <w:r>
              <w:rPr>
                <w:color w:val="231F1F"/>
                <w:spacing w:val="-14"/>
                <w:w w:val="105"/>
                <w:sz w:val="22"/>
              </w:rPr>
              <w:t> </w:t>
            </w:r>
            <w:r>
              <w:rPr>
                <w:color w:val="231F1F"/>
                <w:w w:val="105"/>
                <w:sz w:val="22"/>
              </w:rPr>
              <w:t>epidural</w:t>
            </w:r>
            <w:r>
              <w:rPr>
                <w:color w:val="231F1F"/>
                <w:spacing w:val="-15"/>
                <w:w w:val="105"/>
                <w:sz w:val="22"/>
              </w:rPr>
              <w:t> </w:t>
            </w:r>
            <w:r>
              <w:rPr>
                <w:color w:val="231F1F"/>
                <w:w w:val="105"/>
                <w:sz w:val="22"/>
              </w:rPr>
              <w:t>con</w:t>
            </w:r>
            <w:r>
              <w:rPr>
                <w:color w:val="231F1F"/>
                <w:spacing w:val="-14"/>
                <w:w w:val="105"/>
                <w:sz w:val="22"/>
              </w:rPr>
              <w:t> </w:t>
            </w:r>
            <w:r>
              <w:rPr>
                <w:color w:val="231F1F"/>
                <w:w w:val="105"/>
                <w:sz w:val="22"/>
              </w:rPr>
              <w:t>dosis</w:t>
            </w:r>
            <w:r>
              <w:rPr>
                <w:color w:val="231F1F"/>
                <w:spacing w:val="-15"/>
                <w:w w:val="105"/>
                <w:sz w:val="22"/>
              </w:rPr>
              <w:t> </w:t>
            </w:r>
            <w:r>
              <w:rPr>
                <w:color w:val="231F1F"/>
                <w:w w:val="105"/>
                <w:sz w:val="22"/>
              </w:rPr>
              <w:t>bajas</w:t>
            </w:r>
            <w:r>
              <w:rPr>
                <w:color w:val="231F1F"/>
                <w:spacing w:val="-14"/>
                <w:w w:val="105"/>
                <w:sz w:val="22"/>
              </w:rPr>
              <w:t> </w:t>
            </w:r>
            <w:r>
              <w:rPr>
                <w:color w:val="231F1F"/>
                <w:w w:val="105"/>
                <w:sz w:val="22"/>
              </w:rPr>
              <w:t>o</w:t>
            </w:r>
            <w:r>
              <w:rPr>
                <w:color w:val="231F1F"/>
                <w:spacing w:val="-14"/>
                <w:w w:val="105"/>
                <w:sz w:val="22"/>
              </w:rPr>
              <w:t> </w:t>
            </w:r>
            <w:r>
              <w:rPr>
                <w:color w:val="231F1F"/>
                <w:w w:val="105"/>
                <w:sz w:val="22"/>
              </w:rPr>
              <w:t>con</w:t>
            </w:r>
            <w:r>
              <w:rPr>
                <w:color w:val="231F1F"/>
                <w:spacing w:val="-15"/>
                <w:w w:val="105"/>
                <w:sz w:val="22"/>
              </w:rPr>
              <w:t> </w:t>
            </w:r>
            <w:r>
              <w:rPr>
                <w:color w:val="231F1F"/>
                <w:w w:val="105"/>
                <w:sz w:val="22"/>
              </w:rPr>
              <w:t>analgesia</w:t>
            </w:r>
            <w:r>
              <w:rPr>
                <w:color w:val="231F1F"/>
                <w:spacing w:val="-13"/>
                <w:w w:val="105"/>
                <w:sz w:val="22"/>
              </w:rPr>
              <w:t> </w:t>
            </w:r>
            <w:r>
              <w:rPr>
                <w:color w:val="231F1F"/>
                <w:w w:val="105"/>
                <w:sz w:val="22"/>
              </w:rPr>
              <w:t>intradural-epidural</w:t>
            </w:r>
            <w:r>
              <w:rPr>
                <w:color w:val="231F1F"/>
                <w:spacing w:val="-14"/>
                <w:w w:val="105"/>
                <w:sz w:val="22"/>
              </w:rPr>
              <w:t> </w:t>
            </w:r>
            <w:r>
              <w:rPr>
                <w:color w:val="231F1F"/>
                <w:spacing w:val="-2"/>
                <w:w w:val="105"/>
                <w:sz w:val="22"/>
              </w:rPr>
              <w:t>combinadas.</w:t>
            </w:r>
          </w:p>
        </w:tc>
      </w:tr>
    </w:tbl>
    <w:p>
      <w:pPr>
        <w:pStyle w:val="TableParagraph"/>
        <w:spacing w:after="0" w:line="25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w w:val="110"/>
        </w:rPr>
        <w:t>Instauración</w:t>
      </w:r>
      <w:r>
        <w:rPr>
          <w:color w:val="231F1F"/>
          <w:spacing w:val="-21"/>
          <w:w w:val="110"/>
        </w:rPr>
        <w:t> </w:t>
      </w:r>
      <w:r>
        <w:rPr>
          <w:color w:val="231F1F"/>
          <w:w w:val="110"/>
        </w:rPr>
        <w:t>de</w:t>
      </w:r>
      <w:r>
        <w:rPr>
          <w:color w:val="231F1F"/>
          <w:spacing w:val="-20"/>
          <w:w w:val="110"/>
        </w:rPr>
        <w:t> </w:t>
      </w:r>
      <w:r>
        <w:rPr>
          <w:color w:val="231F1F"/>
          <w:w w:val="110"/>
        </w:rPr>
        <w:t>la</w:t>
      </w:r>
      <w:r>
        <w:rPr>
          <w:color w:val="231F1F"/>
          <w:spacing w:val="-20"/>
          <w:w w:val="110"/>
        </w:rPr>
        <w:t> </w:t>
      </w:r>
      <w:r>
        <w:rPr>
          <w:color w:val="231F1F"/>
          <w:spacing w:val="-2"/>
          <w:w w:val="110"/>
        </w:rPr>
        <w:t>analgesia</w:t>
      </w:r>
    </w:p>
    <w:p>
      <w:pPr>
        <w:pStyle w:val="BodyText"/>
        <w:spacing w:before="20"/>
        <w:rPr>
          <w:sz w:val="20"/>
        </w:rPr>
      </w:pPr>
      <w:r>
        <w:rPr>
          <w:sz w:val="20"/>
        </w:rPr>
        <mc:AlternateContent>
          <mc:Choice Requires="wps">
            <w:drawing>
              <wp:anchor distT="0" distB="0" distL="0" distR="0" allowOverlap="1" layoutInCell="1" locked="0" behindDoc="1" simplePos="0" relativeHeight="487627776">
                <wp:simplePos x="0" y="0"/>
                <wp:positionH relativeFrom="page">
                  <wp:posOffset>1082675</wp:posOffset>
                </wp:positionH>
                <wp:positionV relativeFrom="paragraph">
                  <wp:posOffset>177184</wp:posOffset>
                </wp:positionV>
                <wp:extent cx="5400040" cy="440055"/>
                <wp:effectExtent l="0" t="0" r="0" b="0"/>
                <wp:wrapTopAndBottom/>
                <wp:docPr id="140" name="Textbox 140"/>
                <wp:cNvGraphicFramePr>
                  <a:graphicFrameLocks/>
                </wp:cNvGraphicFramePr>
                <a:graphic>
                  <a:graphicData uri="http://schemas.microsoft.com/office/word/2010/wordprocessingShape">
                    <wps:wsp>
                      <wps:cNvPr id="140" name="Textbox 140"/>
                      <wps:cNvSpPr txBox="1"/>
                      <wps:spPr>
                        <a:xfrm>
                          <a:off x="0" y="0"/>
                          <a:ext cx="5400040" cy="440055"/>
                        </a:xfrm>
                        <a:prstGeom prst="rect">
                          <a:avLst/>
                        </a:prstGeom>
                        <a:ln w="6350">
                          <a:solidFill>
                            <a:srgbClr val="A30046"/>
                          </a:solidFill>
                          <a:prstDash val="solid"/>
                        </a:ln>
                      </wps:spPr>
                      <wps:txbx>
                        <w:txbxContent>
                          <w:p>
                            <w:pPr>
                              <w:pStyle w:val="BodyText"/>
                              <w:numPr>
                                <w:ilvl w:val="0"/>
                                <w:numId w:val="81"/>
                              </w:numPr>
                              <w:tabs>
                                <w:tab w:pos="324" w:val="left" w:leader="none"/>
                              </w:tabs>
                              <w:spacing w:line="244" w:lineRule="auto" w:before="46" w:after="0"/>
                              <w:ind w:left="324" w:right="210" w:hanging="220"/>
                              <w:jc w:val="left"/>
                            </w:pPr>
                            <w:r>
                              <w:rPr>
                                <w:color w:val="231F1F"/>
                                <w:w w:val="110"/>
                              </w:rPr>
                              <w:t>¿Se</w:t>
                            </w:r>
                            <w:r>
                              <w:rPr>
                                <w:color w:val="231F1F"/>
                                <w:spacing w:val="-8"/>
                                <w:w w:val="110"/>
                              </w:rPr>
                              <w:t> </w:t>
                            </w:r>
                            <w:r>
                              <w:rPr>
                                <w:color w:val="231F1F"/>
                                <w:w w:val="110"/>
                              </w:rPr>
                              <w:t>debe</w:t>
                            </w:r>
                            <w:r>
                              <w:rPr>
                                <w:color w:val="231F1F"/>
                                <w:spacing w:val="-8"/>
                                <w:w w:val="110"/>
                              </w:rPr>
                              <w:t> </w:t>
                            </w:r>
                            <w:r>
                              <w:rPr>
                                <w:color w:val="231F1F"/>
                                <w:w w:val="110"/>
                              </w:rPr>
                              <w:t>posponer</w:t>
                            </w:r>
                            <w:r>
                              <w:rPr>
                                <w:color w:val="231F1F"/>
                                <w:spacing w:val="-8"/>
                                <w:w w:val="110"/>
                              </w:rPr>
                              <w:t> </w:t>
                            </w:r>
                            <w:r>
                              <w:rPr>
                                <w:color w:val="231F1F"/>
                                <w:w w:val="110"/>
                              </w:rPr>
                              <w:t>la</w:t>
                            </w:r>
                            <w:r>
                              <w:rPr>
                                <w:color w:val="231F1F"/>
                                <w:spacing w:val="-8"/>
                                <w:w w:val="110"/>
                              </w:rPr>
                              <w:t> </w:t>
                            </w:r>
                            <w:r>
                              <w:rPr>
                                <w:color w:val="231F1F"/>
                                <w:w w:val="110"/>
                              </w:rPr>
                              <w:t>instauración</w:t>
                            </w:r>
                            <w:r>
                              <w:rPr>
                                <w:color w:val="231F1F"/>
                                <w:spacing w:val="-8"/>
                                <w:w w:val="110"/>
                              </w:rPr>
                              <w:t> </w:t>
                            </w:r>
                            <w:r>
                              <w:rPr>
                                <w:color w:val="231F1F"/>
                                <w:w w:val="110"/>
                              </w:rPr>
                              <w:t>de</w:t>
                            </w:r>
                            <w:r>
                              <w:rPr>
                                <w:color w:val="231F1F"/>
                                <w:spacing w:val="-8"/>
                                <w:w w:val="110"/>
                              </w:rPr>
                              <w:t> </w:t>
                            </w:r>
                            <w:r>
                              <w:rPr>
                                <w:color w:val="231F1F"/>
                                <w:w w:val="110"/>
                              </w:rPr>
                              <w:t>una</w:t>
                            </w:r>
                            <w:r>
                              <w:rPr>
                                <w:color w:val="231F1F"/>
                                <w:spacing w:val="-8"/>
                                <w:w w:val="110"/>
                              </w:rPr>
                              <w:t> </w:t>
                            </w:r>
                            <w:r>
                              <w:rPr>
                                <w:color w:val="231F1F"/>
                                <w:w w:val="110"/>
                              </w:rPr>
                              <w:t>analgesia</w:t>
                            </w:r>
                            <w:r>
                              <w:rPr>
                                <w:color w:val="231F1F"/>
                                <w:spacing w:val="-8"/>
                                <w:w w:val="110"/>
                              </w:rPr>
                              <w:t> </w:t>
                            </w:r>
                            <w:r>
                              <w:rPr>
                                <w:color w:val="231F1F"/>
                                <w:w w:val="110"/>
                              </w:rPr>
                              <w:t>obstétrica</w:t>
                            </w:r>
                            <w:r>
                              <w:rPr>
                                <w:color w:val="231F1F"/>
                                <w:spacing w:val="-8"/>
                                <w:w w:val="110"/>
                              </w:rPr>
                              <w:t> </w:t>
                            </w:r>
                            <w:r>
                              <w:rPr>
                                <w:color w:val="231F1F"/>
                                <w:w w:val="110"/>
                              </w:rPr>
                              <w:t>neuroaxial</w:t>
                            </w:r>
                            <w:r>
                              <w:rPr>
                                <w:color w:val="231F1F"/>
                                <w:spacing w:val="-10"/>
                                <w:w w:val="110"/>
                              </w:rPr>
                              <w:t> </w:t>
                            </w:r>
                            <w:r>
                              <w:rPr>
                                <w:color w:val="231F1F"/>
                                <w:w w:val="110"/>
                              </w:rPr>
                              <w:t>hasta</w:t>
                            </w:r>
                            <w:r>
                              <w:rPr>
                                <w:color w:val="231F1F"/>
                                <w:spacing w:val="-8"/>
                                <w:w w:val="110"/>
                              </w:rPr>
                              <w:t> </w:t>
                            </w:r>
                            <w:r>
                              <w:rPr>
                                <w:color w:val="231F1F"/>
                                <w:w w:val="110"/>
                              </w:rPr>
                              <w:t>una fase avanzada del parto?</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88704;mso-wrap-distance-left:0;mso-wrap-distance-right:0" type="#_x0000_t202" id="docshape129" filled="false" stroked="true" strokeweight=".5pt" strokecolor="#a30046">
                <v:textbox inset="0,0,0,0">
                  <w:txbxContent>
                    <w:p>
                      <w:pPr>
                        <w:pStyle w:val="BodyText"/>
                        <w:numPr>
                          <w:ilvl w:val="0"/>
                          <w:numId w:val="81"/>
                        </w:numPr>
                        <w:tabs>
                          <w:tab w:pos="324" w:val="left" w:leader="none"/>
                        </w:tabs>
                        <w:spacing w:line="244" w:lineRule="auto" w:before="46" w:after="0"/>
                        <w:ind w:left="324" w:right="210" w:hanging="220"/>
                        <w:jc w:val="left"/>
                      </w:pPr>
                      <w:r>
                        <w:rPr>
                          <w:color w:val="231F1F"/>
                          <w:w w:val="110"/>
                        </w:rPr>
                        <w:t>¿Se</w:t>
                      </w:r>
                      <w:r>
                        <w:rPr>
                          <w:color w:val="231F1F"/>
                          <w:spacing w:val="-8"/>
                          <w:w w:val="110"/>
                        </w:rPr>
                        <w:t> </w:t>
                      </w:r>
                      <w:r>
                        <w:rPr>
                          <w:color w:val="231F1F"/>
                          <w:w w:val="110"/>
                        </w:rPr>
                        <w:t>debe</w:t>
                      </w:r>
                      <w:r>
                        <w:rPr>
                          <w:color w:val="231F1F"/>
                          <w:spacing w:val="-8"/>
                          <w:w w:val="110"/>
                        </w:rPr>
                        <w:t> </w:t>
                      </w:r>
                      <w:r>
                        <w:rPr>
                          <w:color w:val="231F1F"/>
                          <w:w w:val="110"/>
                        </w:rPr>
                        <w:t>posponer</w:t>
                      </w:r>
                      <w:r>
                        <w:rPr>
                          <w:color w:val="231F1F"/>
                          <w:spacing w:val="-8"/>
                          <w:w w:val="110"/>
                        </w:rPr>
                        <w:t> </w:t>
                      </w:r>
                      <w:r>
                        <w:rPr>
                          <w:color w:val="231F1F"/>
                          <w:w w:val="110"/>
                        </w:rPr>
                        <w:t>la</w:t>
                      </w:r>
                      <w:r>
                        <w:rPr>
                          <w:color w:val="231F1F"/>
                          <w:spacing w:val="-8"/>
                          <w:w w:val="110"/>
                        </w:rPr>
                        <w:t> </w:t>
                      </w:r>
                      <w:r>
                        <w:rPr>
                          <w:color w:val="231F1F"/>
                          <w:w w:val="110"/>
                        </w:rPr>
                        <w:t>instauración</w:t>
                      </w:r>
                      <w:r>
                        <w:rPr>
                          <w:color w:val="231F1F"/>
                          <w:spacing w:val="-8"/>
                          <w:w w:val="110"/>
                        </w:rPr>
                        <w:t> </w:t>
                      </w:r>
                      <w:r>
                        <w:rPr>
                          <w:color w:val="231F1F"/>
                          <w:w w:val="110"/>
                        </w:rPr>
                        <w:t>de</w:t>
                      </w:r>
                      <w:r>
                        <w:rPr>
                          <w:color w:val="231F1F"/>
                          <w:spacing w:val="-8"/>
                          <w:w w:val="110"/>
                        </w:rPr>
                        <w:t> </w:t>
                      </w:r>
                      <w:r>
                        <w:rPr>
                          <w:color w:val="231F1F"/>
                          <w:w w:val="110"/>
                        </w:rPr>
                        <w:t>una</w:t>
                      </w:r>
                      <w:r>
                        <w:rPr>
                          <w:color w:val="231F1F"/>
                          <w:spacing w:val="-8"/>
                          <w:w w:val="110"/>
                        </w:rPr>
                        <w:t> </w:t>
                      </w:r>
                      <w:r>
                        <w:rPr>
                          <w:color w:val="231F1F"/>
                          <w:w w:val="110"/>
                        </w:rPr>
                        <w:t>analgesia</w:t>
                      </w:r>
                      <w:r>
                        <w:rPr>
                          <w:color w:val="231F1F"/>
                          <w:spacing w:val="-8"/>
                          <w:w w:val="110"/>
                        </w:rPr>
                        <w:t> </w:t>
                      </w:r>
                      <w:r>
                        <w:rPr>
                          <w:color w:val="231F1F"/>
                          <w:w w:val="110"/>
                        </w:rPr>
                        <w:t>obstétrica</w:t>
                      </w:r>
                      <w:r>
                        <w:rPr>
                          <w:color w:val="231F1F"/>
                          <w:spacing w:val="-8"/>
                          <w:w w:val="110"/>
                        </w:rPr>
                        <w:t> </w:t>
                      </w:r>
                      <w:r>
                        <w:rPr>
                          <w:color w:val="231F1F"/>
                          <w:w w:val="110"/>
                        </w:rPr>
                        <w:t>neuroaxial</w:t>
                      </w:r>
                      <w:r>
                        <w:rPr>
                          <w:color w:val="231F1F"/>
                          <w:spacing w:val="-10"/>
                          <w:w w:val="110"/>
                        </w:rPr>
                        <w:t> </w:t>
                      </w:r>
                      <w:r>
                        <w:rPr>
                          <w:color w:val="231F1F"/>
                          <w:w w:val="110"/>
                        </w:rPr>
                        <w:t>hasta</w:t>
                      </w:r>
                      <w:r>
                        <w:rPr>
                          <w:color w:val="231F1F"/>
                          <w:spacing w:val="-8"/>
                          <w:w w:val="110"/>
                        </w:rPr>
                        <w:t> </w:t>
                      </w:r>
                      <w:r>
                        <w:rPr>
                          <w:color w:val="231F1F"/>
                          <w:w w:val="110"/>
                        </w:rPr>
                        <w:t>una fase avanzada del parto?</w:t>
                      </w:r>
                    </w:p>
                  </w:txbxContent>
                </v:textbox>
                <v:stroke dashstyle="solid"/>
                <w10:wrap type="topAndBottom"/>
              </v:shape>
            </w:pict>
          </mc:Fallback>
        </mc:AlternateContent>
      </w:r>
    </w:p>
    <w:p>
      <w:pPr>
        <w:pStyle w:val="BodyText"/>
        <w:spacing w:line="247" w:lineRule="auto" w:before="265"/>
        <w:ind w:left="283" w:right="115"/>
        <w:jc w:val="both"/>
      </w:pPr>
      <w:r>
        <w:rPr>
          <w:color w:val="231F1F"/>
          <w:w w:val="110"/>
        </w:rPr>
        <w:t>El</w:t>
      </w:r>
      <w:r>
        <w:rPr>
          <w:color w:val="231F1F"/>
          <w:w w:val="110"/>
        </w:rPr>
        <w:t> momento</w:t>
      </w:r>
      <w:r>
        <w:rPr>
          <w:color w:val="231F1F"/>
          <w:w w:val="110"/>
        </w:rPr>
        <w:t> adecuado</w:t>
      </w:r>
      <w:r>
        <w:rPr>
          <w:color w:val="231F1F"/>
          <w:w w:val="110"/>
        </w:rPr>
        <w:t> de</w:t>
      </w:r>
      <w:r>
        <w:rPr>
          <w:color w:val="231F1F"/>
          <w:w w:val="110"/>
        </w:rPr>
        <w:t> instauración</w:t>
      </w:r>
      <w:r>
        <w:rPr>
          <w:color w:val="231F1F"/>
          <w:w w:val="110"/>
        </w:rPr>
        <w:t> de</w:t>
      </w:r>
      <w:r>
        <w:rPr>
          <w:color w:val="231F1F"/>
          <w:w w:val="110"/>
        </w:rPr>
        <w:t> la</w:t>
      </w:r>
      <w:r>
        <w:rPr>
          <w:color w:val="231F1F"/>
          <w:w w:val="110"/>
        </w:rPr>
        <w:t> analgesia</w:t>
      </w:r>
      <w:r>
        <w:rPr>
          <w:color w:val="231F1F"/>
          <w:w w:val="110"/>
        </w:rPr>
        <w:t> neuroaxial</w:t>
      </w:r>
      <w:r>
        <w:rPr>
          <w:color w:val="231F1F"/>
          <w:w w:val="110"/>
        </w:rPr>
        <w:t> ha</w:t>
      </w:r>
      <w:r>
        <w:rPr>
          <w:color w:val="231F1F"/>
          <w:w w:val="110"/>
        </w:rPr>
        <w:t> sido</w:t>
      </w:r>
      <w:r>
        <w:rPr>
          <w:color w:val="231F1F"/>
          <w:w w:val="110"/>
        </w:rPr>
        <w:t> motivo</w:t>
      </w:r>
      <w:r>
        <w:rPr>
          <w:color w:val="231F1F"/>
          <w:w w:val="110"/>
        </w:rPr>
        <w:t> de controversia. Durante mucho tiempo se pensó que su administración precoz tenía efec- tos</w:t>
      </w:r>
      <w:r>
        <w:rPr>
          <w:color w:val="231F1F"/>
          <w:spacing w:val="-11"/>
          <w:w w:val="110"/>
        </w:rPr>
        <w:t> </w:t>
      </w:r>
      <w:r>
        <w:rPr>
          <w:color w:val="231F1F"/>
          <w:w w:val="110"/>
        </w:rPr>
        <w:t>perjudiciales</w:t>
      </w:r>
      <w:r>
        <w:rPr>
          <w:color w:val="231F1F"/>
          <w:spacing w:val="-12"/>
          <w:w w:val="110"/>
        </w:rPr>
        <w:t> </w:t>
      </w:r>
      <w:r>
        <w:rPr>
          <w:color w:val="231F1F"/>
          <w:w w:val="110"/>
        </w:rPr>
        <w:t>sobre</w:t>
      </w:r>
      <w:r>
        <w:rPr>
          <w:color w:val="231F1F"/>
          <w:spacing w:val="-11"/>
          <w:w w:val="110"/>
        </w:rPr>
        <w:t> </w:t>
      </w:r>
      <w:r>
        <w:rPr>
          <w:color w:val="231F1F"/>
          <w:w w:val="110"/>
        </w:rPr>
        <w:t>el</w:t>
      </w:r>
      <w:r>
        <w:rPr>
          <w:color w:val="231F1F"/>
          <w:spacing w:val="-12"/>
          <w:w w:val="110"/>
        </w:rPr>
        <w:t> </w:t>
      </w:r>
      <w:r>
        <w:rPr>
          <w:color w:val="231F1F"/>
          <w:w w:val="110"/>
        </w:rPr>
        <w:t>progreso</w:t>
      </w:r>
      <w:r>
        <w:rPr>
          <w:color w:val="231F1F"/>
          <w:spacing w:val="-11"/>
          <w:w w:val="110"/>
        </w:rPr>
        <w:t> </w:t>
      </w:r>
      <w:r>
        <w:rPr>
          <w:color w:val="231F1F"/>
          <w:w w:val="110"/>
        </w:rPr>
        <w:t>del</w:t>
      </w:r>
      <w:r>
        <w:rPr>
          <w:color w:val="231F1F"/>
          <w:spacing w:val="-12"/>
          <w:w w:val="110"/>
        </w:rPr>
        <w:t> </w:t>
      </w:r>
      <w:r>
        <w:rPr>
          <w:color w:val="231F1F"/>
          <w:w w:val="110"/>
        </w:rPr>
        <w:t>parto.</w:t>
      </w:r>
      <w:r>
        <w:rPr>
          <w:color w:val="231F1F"/>
          <w:spacing w:val="-12"/>
          <w:w w:val="110"/>
        </w:rPr>
        <w:t> </w:t>
      </w:r>
      <w:r>
        <w:rPr>
          <w:color w:val="231F1F"/>
          <w:w w:val="110"/>
        </w:rPr>
        <w:t>Por</w:t>
      </w:r>
      <w:r>
        <w:rPr>
          <w:color w:val="231F1F"/>
          <w:spacing w:val="-12"/>
          <w:w w:val="110"/>
        </w:rPr>
        <w:t> </w:t>
      </w:r>
      <w:r>
        <w:rPr>
          <w:color w:val="231F1F"/>
          <w:w w:val="110"/>
        </w:rPr>
        <w:t>ello</w:t>
      </w:r>
      <w:r>
        <w:rPr>
          <w:color w:val="231F1F"/>
          <w:spacing w:val="-11"/>
          <w:w w:val="110"/>
        </w:rPr>
        <w:t> </w:t>
      </w:r>
      <w:r>
        <w:rPr>
          <w:color w:val="231F1F"/>
          <w:w w:val="110"/>
        </w:rPr>
        <w:t>se</w:t>
      </w:r>
      <w:r>
        <w:rPr>
          <w:color w:val="231F1F"/>
          <w:spacing w:val="-11"/>
          <w:w w:val="110"/>
        </w:rPr>
        <w:t> </w:t>
      </w:r>
      <w:r>
        <w:rPr>
          <w:color w:val="231F1F"/>
          <w:w w:val="110"/>
        </w:rPr>
        <w:t>desaconsejaba</w:t>
      </w:r>
      <w:r>
        <w:rPr>
          <w:color w:val="231F1F"/>
          <w:spacing w:val="-11"/>
          <w:w w:val="110"/>
        </w:rPr>
        <w:t> </w:t>
      </w:r>
      <w:r>
        <w:rPr>
          <w:color w:val="231F1F"/>
          <w:w w:val="110"/>
        </w:rPr>
        <w:t>hasta</w:t>
      </w:r>
      <w:r>
        <w:rPr>
          <w:color w:val="231F1F"/>
          <w:spacing w:val="-11"/>
          <w:w w:val="110"/>
        </w:rPr>
        <w:t> </w:t>
      </w:r>
      <w:r>
        <w:rPr>
          <w:color w:val="231F1F"/>
          <w:w w:val="110"/>
        </w:rPr>
        <w:t>que</w:t>
      </w:r>
      <w:r>
        <w:rPr>
          <w:color w:val="231F1F"/>
          <w:spacing w:val="-11"/>
          <w:w w:val="110"/>
        </w:rPr>
        <w:t> </w:t>
      </w:r>
      <w:r>
        <w:rPr>
          <w:color w:val="231F1F"/>
          <w:w w:val="110"/>
        </w:rPr>
        <w:t>la</w:t>
      </w:r>
      <w:r>
        <w:rPr>
          <w:color w:val="231F1F"/>
          <w:spacing w:val="-11"/>
          <w:w w:val="110"/>
        </w:rPr>
        <w:t> </w:t>
      </w:r>
      <w:r>
        <w:rPr>
          <w:color w:val="231F1F"/>
          <w:w w:val="110"/>
        </w:rPr>
        <w:t>mujer se</w:t>
      </w:r>
      <w:r>
        <w:rPr>
          <w:color w:val="231F1F"/>
          <w:w w:val="110"/>
        </w:rPr>
        <w:t> encontraba</w:t>
      </w:r>
      <w:r>
        <w:rPr>
          <w:color w:val="231F1F"/>
          <w:w w:val="110"/>
        </w:rPr>
        <w:t> en</w:t>
      </w:r>
      <w:r>
        <w:rPr>
          <w:color w:val="231F1F"/>
          <w:w w:val="110"/>
        </w:rPr>
        <w:t> fase</w:t>
      </w:r>
      <w:r>
        <w:rPr>
          <w:color w:val="231F1F"/>
          <w:w w:val="110"/>
        </w:rPr>
        <w:t> activa</w:t>
      </w:r>
      <w:r>
        <w:rPr>
          <w:color w:val="231F1F"/>
          <w:w w:val="110"/>
        </w:rPr>
        <w:t> de</w:t>
      </w:r>
      <w:r>
        <w:rPr>
          <w:color w:val="231F1F"/>
          <w:w w:val="110"/>
        </w:rPr>
        <w:t> parto. Sin</w:t>
      </w:r>
      <w:r>
        <w:rPr>
          <w:color w:val="231F1F"/>
          <w:w w:val="110"/>
        </w:rPr>
        <w:t> embargo, estudios</w:t>
      </w:r>
      <w:r>
        <w:rPr>
          <w:color w:val="231F1F"/>
          <w:w w:val="110"/>
        </w:rPr>
        <w:t> recientes</w:t>
      </w:r>
      <w:r>
        <w:rPr>
          <w:color w:val="231F1F"/>
          <w:w w:val="110"/>
        </w:rPr>
        <w:t> cuestionan</w:t>
      </w:r>
      <w:r>
        <w:rPr>
          <w:color w:val="231F1F"/>
          <w:w w:val="110"/>
        </w:rPr>
        <w:t> este </w:t>
      </w:r>
      <w:r>
        <w:rPr>
          <w:color w:val="231F1F"/>
          <w:spacing w:val="-2"/>
          <w:w w:val="110"/>
        </w:rPr>
        <w:t>efecto.</w:t>
      </w:r>
    </w:p>
    <w:p>
      <w:pPr>
        <w:pStyle w:val="BodyText"/>
        <w:spacing w:before="54"/>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61" w:lineRule="auto" w:before="228"/>
        <w:ind w:left="287" w:right="45"/>
        <w:jc w:val="both"/>
      </w:pPr>
      <w:r>
        <w:rPr>
          <w:color w:val="231F1F"/>
        </w:rPr>
        <w:t>La</w:t>
      </w:r>
      <w:r>
        <w:rPr>
          <w:color w:val="231F1F"/>
          <w:spacing w:val="35"/>
        </w:rPr>
        <w:t> </w:t>
      </w:r>
      <w:r>
        <w:rPr>
          <w:color w:val="231F1F"/>
        </w:rPr>
        <w:t>guía</w:t>
      </w:r>
      <w:r>
        <w:rPr>
          <w:color w:val="231F1F"/>
          <w:spacing w:val="35"/>
        </w:rPr>
        <w:t> </w:t>
      </w:r>
      <w:r>
        <w:rPr>
          <w:color w:val="231F1F"/>
        </w:rPr>
        <w:t>NICE</w:t>
      </w:r>
      <w:r>
        <w:rPr>
          <w:color w:val="231F1F"/>
          <w:spacing w:val="35"/>
        </w:rPr>
        <w:t> </w:t>
      </w:r>
      <w:r>
        <w:rPr>
          <w:color w:val="231F1F"/>
        </w:rPr>
        <w:t>(10)</w:t>
      </w:r>
      <w:r>
        <w:rPr>
          <w:color w:val="231F1F"/>
          <w:spacing w:val="36"/>
        </w:rPr>
        <w:t> </w:t>
      </w:r>
      <w:r>
        <w:rPr>
          <w:color w:val="231F1F"/>
        </w:rPr>
        <w:t>incluye</w:t>
      </w:r>
      <w:r>
        <w:rPr>
          <w:color w:val="231F1F"/>
          <w:spacing w:val="36"/>
        </w:rPr>
        <w:t> </w:t>
      </w:r>
      <w:r>
        <w:rPr>
          <w:color w:val="231F1F"/>
        </w:rPr>
        <w:t>un</w:t>
      </w:r>
      <w:r>
        <w:rPr>
          <w:color w:val="231F1F"/>
          <w:spacing w:val="35"/>
        </w:rPr>
        <w:t> </w:t>
      </w:r>
      <w:r>
        <w:rPr>
          <w:color w:val="231F1F"/>
        </w:rPr>
        <w:t>total</w:t>
      </w:r>
      <w:r>
        <w:rPr>
          <w:color w:val="231F1F"/>
          <w:spacing w:val="36"/>
        </w:rPr>
        <w:t> </w:t>
      </w:r>
      <w:r>
        <w:rPr>
          <w:color w:val="231F1F"/>
        </w:rPr>
        <w:t>de</w:t>
      </w:r>
      <w:r>
        <w:rPr>
          <w:color w:val="231F1F"/>
          <w:spacing w:val="35"/>
        </w:rPr>
        <w:t> </w:t>
      </w:r>
      <w:r>
        <w:rPr>
          <w:color w:val="231F1F"/>
        </w:rPr>
        <w:t>6</w:t>
      </w:r>
      <w:r>
        <w:rPr>
          <w:color w:val="231F1F"/>
          <w:spacing w:val="35"/>
        </w:rPr>
        <w:t> </w:t>
      </w:r>
      <w:r>
        <w:rPr>
          <w:color w:val="231F1F"/>
        </w:rPr>
        <w:t>estudios</w:t>
      </w:r>
      <w:r>
        <w:rPr>
          <w:color w:val="231F1F"/>
          <w:spacing w:val="35"/>
        </w:rPr>
        <w:t> </w:t>
      </w:r>
      <w:r>
        <w:rPr>
          <w:color w:val="231F1F"/>
        </w:rPr>
        <w:t>para</w:t>
      </w:r>
      <w:r>
        <w:rPr>
          <w:color w:val="231F1F"/>
          <w:spacing w:val="35"/>
        </w:rPr>
        <w:t> </w:t>
      </w:r>
      <w:r>
        <w:rPr>
          <w:color w:val="231F1F"/>
        </w:rPr>
        <w:t>realizar</w:t>
      </w:r>
      <w:r>
        <w:rPr>
          <w:color w:val="231F1F"/>
          <w:spacing w:val="36"/>
        </w:rPr>
        <w:t> </w:t>
      </w:r>
      <w:r>
        <w:rPr>
          <w:color w:val="231F1F"/>
        </w:rPr>
        <w:t>recomendacio- nes. Entre estos, dos ECAs realizados en Israel (324;325), comparan la admi- nistración</w:t>
      </w:r>
      <w:r>
        <w:rPr>
          <w:color w:val="231F1F"/>
          <w:spacing w:val="40"/>
        </w:rPr>
        <w:t> </w:t>
      </w:r>
      <w:r>
        <w:rPr>
          <w:color w:val="231F1F"/>
        </w:rPr>
        <w:t>de</w:t>
      </w:r>
      <w:r>
        <w:rPr>
          <w:color w:val="231F1F"/>
          <w:spacing w:val="40"/>
        </w:rPr>
        <w:t> </w:t>
      </w:r>
      <w:r>
        <w:rPr>
          <w:color w:val="231F1F"/>
        </w:rPr>
        <w:t>analgesia</w:t>
      </w:r>
      <w:r>
        <w:rPr>
          <w:color w:val="231F1F"/>
          <w:spacing w:val="40"/>
        </w:rPr>
        <w:t> </w:t>
      </w:r>
      <w:r>
        <w:rPr>
          <w:color w:val="231F1F"/>
        </w:rPr>
        <w:t>neuroaxial</w:t>
      </w:r>
      <w:r>
        <w:rPr>
          <w:color w:val="231F1F"/>
          <w:spacing w:val="40"/>
        </w:rPr>
        <w:t> </w:t>
      </w:r>
      <w:r>
        <w:rPr>
          <w:color w:val="231F1F"/>
        </w:rPr>
        <w:t>temprana</w:t>
      </w:r>
      <w:r>
        <w:rPr>
          <w:color w:val="231F1F"/>
          <w:spacing w:val="40"/>
        </w:rPr>
        <w:t> </w:t>
      </w:r>
      <w:r>
        <w:rPr>
          <w:color w:val="231F1F"/>
        </w:rPr>
        <w:t>con</w:t>
      </w:r>
      <w:r>
        <w:rPr>
          <w:color w:val="231F1F"/>
          <w:spacing w:val="40"/>
        </w:rPr>
        <w:t> </w:t>
      </w:r>
      <w:r>
        <w:rPr>
          <w:color w:val="231F1F"/>
        </w:rPr>
        <w:t>la</w:t>
      </w:r>
      <w:r>
        <w:rPr>
          <w:color w:val="231F1F"/>
          <w:spacing w:val="40"/>
        </w:rPr>
        <w:t> </w:t>
      </w:r>
      <w:r>
        <w:rPr>
          <w:color w:val="231F1F"/>
        </w:rPr>
        <w:t>administración</w:t>
      </w:r>
      <w:r>
        <w:rPr>
          <w:color w:val="231F1F"/>
          <w:spacing w:val="40"/>
        </w:rPr>
        <w:t> </w:t>
      </w:r>
      <w:r>
        <w:rPr>
          <w:color w:val="231F1F"/>
        </w:rPr>
        <w:t>tardía.</w:t>
      </w:r>
    </w:p>
    <w:p>
      <w:pPr>
        <w:pStyle w:val="BodyText"/>
        <w:spacing w:line="252" w:lineRule="auto" w:before="99"/>
        <w:ind w:left="287" w:right="43" w:firstLine="453"/>
        <w:jc w:val="both"/>
      </w:pPr>
      <w:r>
        <w:rPr>
          <w:color w:val="231F1F"/>
          <w:w w:val="105"/>
        </w:rPr>
        <w:t>El primero de los ECAs que incluyó a 449 nulíparas con menos de 3 cm de dilatación cervical, comparó el inicio inmediato de la analgesia la primera vez</w:t>
      </w:r>
      <w:r>
        <w:rPr>
          <w:color w:val="231F1F"/>
          <w:spacing w:val="22"/>
          <w:w w:val="105"/>
        </w:rPr>
        <w:t> </w:t>
      </w:r>
      <w:r>
        <w:rPr>
          <w:color w:val="231F1F"/>
          <w:w w:val="105"/>
        </w:rPr>
        <w:t>que</w:t>
      </w:r>
      <w:r>
        <w:rPr>
          <w:color w:val="231F1F"/>
          <w:spacing w:val="22"/>
          <w:w w:val="105"/>
        </w:rPr>
        <w:t> </w:t>
      </w:r>
      <w:r>
        <w:rPr>
          <w:color w:val="231F1F"/>
          <w:w w:val="105"/>
        </w:rPr>
        <w:t>la</w:t>
      </w:r>
      <w:r>
        <w:rPr>
          <w:color w:val="231F1F"/>
          <w:spacing w:val="22"/>
          <w:w w:val="105"/>
        </w:rPr>
        <w:t> </w:t>
      </w:r>
      <w:r>
        <w:rPr>
          <w:color w:val="231F1F"/>
          <w:w w:val="105"/>
        </w:rPr>
        <w:t>mujer</w:t>
      </w:r>
      <w:r>
        <w:rPr>
          <w:color w:val="231F1F"/>
          <w:spacing w:val="22"/>
          <w:w w:val="105"/>
        </w:rPr>
        <w:t> </w:t>
      </w:r>
      <w:r>
        <w:rPr>
          <w:color w:val="231F1F"/>
          <w:w w:val="105"/>
        </w:rPr>
        <w:t>lo</w:t>
      </w:r>
      <w:r>
        <w:rPr>
          <w:color w:val="231F1F"/>
          <w:spacing w:val="22"/>
          <w:w w:val="105"/>
        </w:rPr>
        <w:t> </w:t>
      </w:r>
      <w:r>
        <w:rPr>
          <w:color w:val="231F1F"/>
          <w:w w:val="105"/>
        </w:rPr>
        <w:t>requiere</w:t>
      </w:r>
      <w:r>
        <w:rPr>
          <w:color w:val="231F1F"/>
          <w:spacing w:val="22"/>
          <w:w w:val="105"/>
        </w:rPr>
        <w:t> </w:t>
      </w:r>
      <w:r>
        <w:rPr>
          <w:color w:val="231F1F"/>
          <w:w w:val="105"/>
        </w:rPr>
        <w:t>con</w:t>
      </w:r>
      <w:r>
        <w:rPr>
          <w:color w:val="231F1F"/>
          <w:spacing w:val="22"/>
          <w:w w:val="105"/>
        </w:rPr>
        <w:t> </w:t>
      </w:r>
      <w:r>
        <w:rPr>
          <w:color w:val="231F1F"/>
          <w:w w:val="105"/>
        </w:rPr>
        <w:t>el</w:t>
      </w:r>
      <w:r>
        <w:rPr>
          <w:color w:val="231F1F"/>
          <w:spacing w:val="21"/>
          <w:w w:val="105"/>
        </w:rPr>
        <w:t> </w:t>
      </w:r>
      <w:r>
        <w:rPr>
          <w:color w:val="231F1F"/>
          <w:w w:val="105"/>
        </w:rPr>
        <w:t>retraso</w:t>
      </w:r>
      <w:r>
        <w:rPr>
          <w:color w:val="231F1F"/>
          <w:spacing w:val="22"/>
          <w:w w:val="105"/>
        </w:rPr>
        <w:t> </w:t>
      </w:r>
      <w:r>
        <w:rPr>
          <w:color w:val="231F1F"/>
          <w:w w:val="105"/>
        </w:rPr>
        <w:t>de</w:t>
      </w:r>
      <w:r>
        <w:rPr>
          <w:color w:val="231F1F"/>
          <w:spacing w:val="22"/>
          <w:w w:val="105"/>
        </w:rPr>
        <w:t> </w:t>
      </w:r>
      <w:r>
        <w:rPr>
          <w:color w:val="231F1F"/>
          <w:w w:val="105"/>
        </w:rPr>
        <w:t>la</w:t>
      </w:r>
      <w:r>
        <w:rPr>
          <w:color w:val="231F1F"/>
          <w:spacing w:val="22"/>
          <w:w w:val="105"/>
        </w:rPr>
        <w:t> </w:t>
      </w:r>
      <w:r>
        <w:rPr>
          <w:color w:val="231F1F"/>
          <w:w w:val="105"/>
        </w:rPr>
        <w:t>administración</w:t>
      </w:r>
      <w:r>
        <w:rPr>
          <w:color w:val="231F1F"/>
          <w:spacing w:val="23"/>
          <w:w w:val="105"/>
        </w:rPr>
        <w:t> </w:t>
      </w:r>
      <w:r>
        <w:rPr>
          <w:color w:val="231F1F"/>
          <w:w w:val="105"/>
        </w:rPr>
        <w:t>hasta</w:t>
      </w:r>
      <w:r>
        <w:rPr>
          <w:color w:val="231F1F"/>
          <w:spacing w:val="22"/>
          <w:w w:val="105"/>
        </w:rPr>
        <w:t> </w:t>
      </w:r>
      <w:r>
        <w:rPr>
          <w:color w:val="231F1F"/>
          <w:w w:val="105"/>
        </w:rPr>
        <w:t>llegar al menos a los 4 cm. No encuentra evidencia de diferencias en la tasa de ce- sáreas:</w:t>
      </w:r>
      <w:r>
        <w:rPr>
          <w:color w:val="231F1F"/>
          <w:spacing w:val="-14"/>
          <w:w w:val="105"/>
        </w:rPr>
        <w:t> </w:t>
      </w:r>
      <w:r>
        <w:rPr>
          <w:color w:val="231F1F"/>
          <w:w w:val="105"/>
        </w:rPr>
        <w:t>RR</w:t>
      </w:r>
      <w:r>
        <w:rPr>
          <w:color w:val="231F1F"/>
          <w:spacing w:val="-13"/>
          <w:w w:val="105"/>
        </w:rPr>
        <w:t> </w:t>
      </w:r>
      <w:r>
        <w:rPr>
          <w:color w:val="231F1F"/>
          <w:w w:val="105"/>
        </w:rPr>
        <w:t>1,18;</w:t>
      </w:r>
      <w:r>
        <w:rPr>
          <w:color w:val="231F1F"/>
          <w:spacing w:val="-14"/>
          <w:w w:val="105"/>
        </w:rPr>
        <w:t> </w:t>
      </w:r>
      <w:r>
        <w:rPr>
          <w:color w:val="231F1F"/>
          <w:w w:val="105"/>
        </w:rPr>
        <w:t>p=0,779,</w:t>
      </w:r>
      <w:r>
        <w:rPr>
          <w:color w:val="231F1F"/>
          <w:spacing w:val="-13"/>
          <w:w w:val="105"/>
        </w:rPr>
        <w:t> </w:t>
      </w:r>
      <w:r>
        <w:rPr>
          <w:color w:val="231F1F"/>
          <w:w w:val="105"/>
        </w:rPr>
        <w:t>uso</w:t>
      </w:r>
      <w:r>
        <w:rPr>
          <w:color w:val="231F1F"/>
          <w:spacing w:val="-13"/>
          <w:w w:val="105"/>
        </w:rPr>
        <w:t> </w:t>
      </w:r>
      <w:r>
        <w:rPr>
          <w:color w:val="231F1F"/>
          <w:w w:val="105"/>
        </w:rPr>
        <w:t>de</w:t>
      </w:r>
      <w:r>
        <w:rPr>
          <w:color w:val="231F1F"/>
          <w:spacing w:val="-13"/>
          <w:w w:val="105"/>
        </w:rPr>
        <w:t> </w:t>
      </w:r>
      <w:r>
        <w:rPr>
          <w:color w:val="231F1F"/>
          <w:w w:val="105"/>
        </w:rPr>
        <w:t>oxitocina</w:t>
      </w:r>
      <w:r>
        <w:rPr>
          <w:color w:val="231F1F"/>
          <w:spacing w:val="-13"/>
          <w:w w:val="105"/>
        </w:rPr>
        <w:t> </w:t>
      </w:r>
      <w:r>
        <w:rPr>
          <w:color w:val="231F1F"/>
          <w:w w:val="105"/>
        </w:rPr>
        <w:t>en</w:t>
      </w:r>
      <w:r>
        <w:rPr>
          <w:color w:val="231F1F"/>
          <w:spacing w:val="-13"/>
          <w:w w:val="105"/>
        </w:rPr>
        <w:t> </w:t>
      </w:r>
      <w:r>
        <w:rPr>
          <w:color w:val="231F1F"/>
          <w:w w:val="105"/>
        </w:rPr>
        <w:t>1ª</w:t>
      </w:r>
      <w:r>
        <w:rPr>
          <w:color w:val="231F1F"/>
          <w:spacing w:val="-13"/>
          <w:w w:val="105"/>
        </w:rPr>
        <w:t> </w:t>
      </w:r>
      <w:r>
        <w:rPr>
          <w:color w:val="231F1F"/>
          <w:w w:val="105"/>
        </w:rPr>
        <w:t>etapa:</w:t>
      </w:r>
      <w:r>
        <w:rPr>
          <w:color w:val="231F1F"/>
          <w:spacing w:val="-13"/>
          <w:w w:val="105"/>
        </w:rPr>
        <w:t> </w:t>
      </w:r>
      <w:r>
        <w:rPr>
          <w:color w:val="231F1F"/>
          <w:w w:val="105"/>
        </w:rPr>
        <w:t>RR</w:t>
      </w:r>
      <w:r>
        <w:rPr>
          <w:color w:val="231F1F"/>
          <w:spacing w:val="-13"/>
          <w:w w:val="105"/>
        </w:rPr>
        <w:t> </w:t>
      </w:r>
      <w:r>
        <w:rPr>
          <w:color w:val="231F1F"/>
          <w:w w:val="105"/>
        </w:rPr>
        <w:t>1,07;</w:t>
      </w:r>
      <w:r>
        <w:rPr>
          <w:color w:val="231F1F"/>
          <w:spacing w:val="-14"/>
          <w:w w:val="105"/>
        </w:rPr>
        <w:t> </w:t>
      </w:r>
      <w:r>
        <w:rPr>
          <w:color w:val="231F1F"/>
          <w:w w:val="105"/>
        </w:rPr>
        <w:t>p=0,57</w:t>
      </w:r>
      <w:r>
        <w:rPr>
          <w:color w:val="231F1F"/>
          <w:spacing w:val="-13"/>
          <w:w w:val="105"/>
        </w:rPr>
        <w:t> </w:t>
      </w:r>
      <w:r>
        <w:rPr>
          <w:color w:val="231F1F"/>
          <w:w w:val="105"/>
        </w:rPr>
        <w:t>y</w:t>
      </w:r>
      <w:r>
        <w:rPr>
          <w:color w:val="231F1F"/>
          <w:spacing w:val="-13"/>
          <w:w w:val="105"/>
        </w:rPr>
        <w:t> </w:t>
      </w:r>
      <w:r>
        <w:rPr>
          <w:color w:val="231F1F"/>
          <w:w w:val="105"/>
        </w:rPr>
        <w:t>parto vaginal</w:t>
      </w:r>
      <w:r>
        <w:rPr>
          <w:color w:val="231F1F"/>
          <w:spacing w:val="-1"/>
          <w:w w:val="105"/>
        </w:rPr>
        <w:t> </w:t>
      </w:r>
      <w:r>
        <w:rPr>
          <w:color w:val="231F1F"/>
          <w:w w:val="105"/>
        </w:rPr>
        <w:t>espontáneo:</w:t>
      </w:r>
      <w:r>
        <w:rPr>
          <w:color w:val="231F1F"/>
          <w:spacing w:val="-1"/>
          <w:w w:val="105"/>
        </w:rPr>
        <w:t> </w:t>
      </w:r>
      <w:r>
        <w:rPr>
          <w:color w:val="231F1F"/>
          <w:w w:val="105"/>
        </w:rPr>
        <w:t>RR</w:t>
      </w:r>
      <w:r>
        <w:rPr>
          <w:color w:val="231F1F"/>
          <w:spacing w:val="-1"/>
          <w:w w:val="105"/>
        </w:rPr>
        <w:t> </w:t>
      </w:r>
      <w:r>
        <w:rPr>
          <w:color w:val="231F1F"/>
          <w:w w:val="105"/>
        </w:rPr>
        <w:t>0,91;</w:t>
      </w:r>
      <w:r>
        <w:rPr>
          <w:color w:val="231F1F"/>
          <w:spacing w:val="-1"/>
          <w:w w:val="105"/>
        </w:rPr>
        <w:t> </w:t>
      </w:r>
      <w:r>
        <w:rPr>
          <w:color w:val="231F1F"/>
          <w:w w:val="105"/>
        </w:rPr>
        <w:t>p=0,85.</w:t>
      </w:r>
      <w:r>
        <w:rPr>
          <w:color w:val="231F1F"/>
          <w:spacing w:val="-1"/>
          <w:w w:val="105"/>
        </w:rPr>
        <w:t> </w:t>
      </w:r>
      <w:r>
        <w:rPr>
          <w:color w:val="231F1F"/>
          <w:w w:val="105"/>
        </w:rPr>
        <w:t>Además</w:t>
      </w:r>
      <w:r>
        <w:rPr>
          <w:color w:val="231F1F"/>
          <w:spacing w:val="-1"/>
          <w:w w:val="105"/>
        </w:rPr>
        <w:t> </w:t>
      </w:r>
      <w:r>
        <w:rPr>
          <w:color w:val="231F1F"/>
          <w:w w:val="105"/>
        </w:rPr>
        <w:t>el</w:t>
      </w:r>
      <w:r>
        <w:rPr>
          <w:color w:val="231F1F"/>
          <w:spacing w:val="-1"/>
          <w:w w:val="105"/>
        </w:rPr>
        <w:t> </w:t>
      </w:r>
      <w:r>
        <w:rPr>
          <w:color w:val="231F1F"/>
          <w:w w:val="105"/>
        </w:rPr>
        <w:t>78%</w:t>
      </w:r>
      <w:r>
        <w:rPr>
          <w:color w:val="231F1F"/>
          <w:spacing w:val="-1"/>
          <w:w w:val="105"/>
        </w:rPr>
        <w:t> </w:t>
      </w:r>
      <w:r>
        <w:rPr>
          <w:color w:val="231F1F"/>
          <w:w w:val="105"/>
        </w:rPr>
        <w:t>de</w:t>
      </w:r>
      <w:r>
        <w:rPr>
          <w:color w:val="231F1F"/>
          <w:spacing w:val="-1"/>
          <w:w w:val="105"/>
        </w:rPr>
        <w:t> </w:t>
      </w:r>
      <w:r>
        <w:rPr>
          <w:color w:val="231F1F"/>
          <w:w w:val="105"/>
        </w:rPr>
        <w:t>mujeres</w:t>
      </w:r>
      <w:r>
        <w:rPr>
          <w:color w:val="231F1F"/>
          <w:spacing w:val="-1"/>
          <w:w w:val="105"/>
        </w:rPr>
        <w:t> </w:t>
      </w:r>
      <w:r>
        <w:rPr>
          <w:color w:val="231F1F"/>
          <w:w w:val="105"/>
        </w:rPr>
        <w:t>que</w:t>
      </w:r>
      <w:r>
        <w:rPr>
          <w:color w:val="231F1F"/>
          <w:spacing w:val="-1"/>
          <w:w w:val="105"/>
        </w:rPr>
        <w:t> </w:t>
      </w:r>
      <w:r>
        <w:rPr>
          <w:color w:val="231F1F"/>
          <w:w w:val="105"/>
        </w:rPr>
        <w:t>recibie- ron la analgesia epidural en la segunda etapa del parto, manifestaron preferir en un sucesivo parto estar en el otro grupo. Las diferencias son significativas; </w:t>
      </w:r>
      <w:r>
        <w:rPr>
          <w:color w:val="231F1F"/>
          <w:spacing w:val="-2"/>
          <w:w w:val="105"/>
        </w:rPr>
        <w:t>p&lt;0,001.</w:t>
      </w:r>
    </w:p>
    <w:p>
      <w:pPr>
        <w:pStyle w:val="BodyText"/>
        <w:spacing w:line="254" w:lineRule="auto" w:before="130"/>
        <w:ind w:left="287" w:right="43" w:firstLine="453"/>
        <w:jc w:val="both"/>
      </w:pPr>
      <w:r>
        <w:rPr>
          <w:color w:val="231F1F"/>
          <w:w w:val="105"/>
        </w:rPr>
        <w:t>El segundo ECA israelí no encontró diferencias entre los dos grupos en relación con la duración de la 2ª etapa, tipo de nacimiento y Apgar al 1 minu- to y 5 minutos.</w:t>
      </w:r>
    </w:p>
    <w:p>
      <w:pPr>
        <w:pStyle w:val="BodyText"/>
        <w:spacing w:line="254" w:lineRule="auto" w:before="50"/>
        <w:ind w:left="288" w:right="46" w:firstLine="453"/>
        <w:jc w:val="both"/>
      </w:pPr>
      <w:r>
        <w:rPr>
          <w:color w:val="231F1F"/>
          <w:w w:val="110"/>
        </w:rPr>
        <w:t>NICE (10)</w:t>
      </w:r>
      <w:r>
        <w:rPr>
          <w:color w:val="231F1F"/>
          <w:spacing w:val="-1"/>
          <w:w w:val="110"/>
        </w:rPr>
        <w:t> </w:t>
      </w:r>
      <w:r>
        <w:rPr>
          <w:color w:val="231F1F"/>
          <w:w w:val="110"/>
        </w:rPr>
        <w:t>concluye que la administración temprana en la 1ª etapa del parto</w:t>
      </w:r>
      <w:r>
        <w:rPr>
          <w:color w:val="231F1F"/>
          <w:spacing w:val="-13"/>
          <w:w w:val="110"/>
        </w:rPr>
        <w:t> </w:t>
      </w:r>
      <w:r>
        <w:rPr>
          <w:color w:val="231F1F"/>
          <w:w w:val="110"/>
        </w:rPr>
        <w:t>de</w:t>
      </w:r>
      <w:r>
        <w:rPr>
          <w:color w:val="231F1F"/>
          <w:spacing w:val="-13"/>
          <w:w w:val="110"/>
        </w:rPr>
        <w:t> </w:t>
      </w:r>
      <w:r>
        <w:rPr>
          <w:color w:val="231F1F"/>
          <w:w w:val="110"/>
        </w:rPr>
        <w:t>analgesia</w:t>
      </w:r>
      <w:r>
        <w:rPr>
          <w:color w:val="231F1F"/>
          <w:spacing w:val="-13"/>
          <w:w w:val="110"/>
        </w:rPr>
        <w:t> </w:t>
      </w:r>
      <w:r>
        <w:rPr>
          <w:color w:val="231F1F"/>
          <w:w w:val="110"/>
        </w:rPr>
        <w:t>neuroaxial</w:t>
      </w:r>
      <w:r>
        <w:rPr>
          <w:color w:val="231F1F"/>
          <w:spacing w:val="-14"/>
          <w:w w:val="110"/>
        </w:rPr>
        <w:t> </w:t>
      </w:r>
      <w:r>
        <w:rPr>
          <w:color w:val="231F1F"/>
          <w:w w:val="110"/>
        </w:rPr>
        <w:t>no</w:t>
      </w:r>
      <w:r>
        <w:rPr>
          <w:color w:val="231F1F"/>
          <w:spacing w:val="-13"/>
          <w:w w:val="110"/>
        </w:rPr>
        <w:t> </w:t>
      </w:r>
      <w:r>
        <w:rPr>
          <w:color w:val="231F1F"/>
          <w:w w:val="110"/>
        </w:rPr>
        <w:t>afecta</w:t>
      </w:r>
      <w:r>
        <w:rPr>
          <w:color w:val="231F1F"/>
          <w:spacing w:val="-13"/>
          <w:w w:val="110"/>
        </w:rPr>
        <w:t> </w:t>
      </w:r>
      <w:r>
        <w:rPr>
          <w:color w:val="231F1F"/>
          <w:w w:val="110"/>
        </w:rPr>
        <w:t>al</w:t>
      </w:r>
      <w:r>
        <w:rPr>
          <w:color w:val="231F1F"/>
          <w:spacing w:val="-13"/>
          <w:w w:val="110"/>
        </w:rPr>
        <w:t> </w:t>
      </w:r>
      <w:r>
        <w:rPr>
          <w:color w:val="231F1F"/>
          <w:w w:val="110"/>
        </w:rPr>
        <w:t>progreso</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4"/>
          <w:w w:val="110"/>
        </w:rPr>
        <w:t> </w:t>
      </w:r>
      <w:r>
        <w:rPr>
          <w:color w:val="231F1F"/>
          <w:w w:val="110"/>
        </w:rPr>
        <w:t>al</w:t>
      </w:r>
      <w:r>
        <w:rPr>
          <w:color w:val="231F1F"/>
          <w:spacing w:val="-13"/>
          <w:w w:val="110"/>
        </w:rPr>
        <w:t> </w:t>
      </w:r>
      <w:r>
        <w:rPr>
          <w:color w:val="231F1F"/>
          <w:w w:val="110"/>
        </w:rPr>
        <w:t>tipo</w:t>
      </w:r>
      <w:r>
        <w:rPr>
          <w:color w:val="231F1F"/>
          <w:spacing w:val="-13"/>
          <w:w w:val="110"/>
        </w:rPr>
        <w:t> </w:t>
      </w:r>
      <w:r>
        <w:rPr>
          <w:color w:val="231F1F"/>
          <w:w w:val="110"/>
        </w:rPr>
        <w:t>de</w:t>
      </w:r>
      <w:r>
        <w:rPr>
          <w:color w:val="231F1F"/>
          <w:spacing w:val="-13"/>
          <w:w w:val="110"/>
        </w:rPr>
        <w:t> </w:t>
      </w:r>
      <w:r>
        <w:rPr>
          <w:color w:val="231F1F"/>
          <w:w w:val="110"/>
        </w:rPr>
        <w:t>naci- miento o a la condición del neonato.</w:t>
      </w:r>
    </w:p>
    <w:p>
      <w:pPr>
        <w:pStyle w:val="BodyText"/>
        <w:spacing w:before="151"/>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5"/>
          <w:sz w:val="24"/>
        </w:rPr>
        <w:t> </w:t>
      </w:r>
      <w:r>
        <w:rPr>
          <w:rFonts w:ascii="Arial MT" w:hAnsi="Arial MT"/>
          <w:color w:val="231F1F"/>
          <w:sz w:val="24"/>
        </w:rPr>
        <w:t>(2006</w:t>
      </w:r>
      <w:r>
        <w:rPr>
          <w:rFonts w:ascii="Arial MT" w:hAnsi="Arial MT"/>
          <w:color w:val="231F1F"/>
          <w:spacing w:val="23"/>
          <w:sz w:val="24"/>
        </w:rPr>
        <w:t> </w:t>
      </w:r>
      <w:r>
        <w:rPr>
          <w:rFonts w:ascii="Arial MT" w:hAnsi="Arial MT"/>
          <w:color w:val="231F1F"/>
          <w:sz w:val="24"/>
        </w:rPr>
        <w:t>a</w:t>
      </w:r>
      <w:r>
        <w:rPr>
          <w:rFonts w:ascii="Arial MT" w:hAnsi="Arial MT"/>
          <w:color w:val="231F1F"/>
          <w:spacing w:val="23"/>
          <w:sz w:val="24"/>
        </w:rPr>
        <w:t> </w:t>
      </w:r>
      <w:r>
        <w:rPr>
          <w:rFonts w:ascii="Arial MT" w:hAnsi="Arial MT"/>
          <w:color w:val="231F1F"/>
          <w:sz w:val="24"/>
        </w:rPr>
        <w:t>septiembre</w:t>
      </w:r>
      <w:r>
        <w:rPr>
          <w:rFonts w:ascii="Arial MT" w:hAnsi="Arial MT"/>
          <w:color w:val="231F1F"/>
          <w:spacing w:val="23"/>
          <w:sz w:val="24"/>
        </w:rPr>
        <w:t> </w:t>
      </w:r>
      <w:r>
        <w:rPr>
          <w:rFonts w:ascii="Arial MT" w:hAnsi="Arial MT"/>
          <w:color w:val="231F1F"/>
          <w:sz w:val="24"/>
        </w:rPr>
        <w:t>de</w:t>
      </w:r>
      <w:r>
        <w:rPr>
          <w:rFonts w:ascii="Arial MT" w:hAnsi="Arial MT"/>
          <w:color w:val="231F1F"/>
          <w:spacing w:val="23"/>
          <w:sz w:val="24"/>
        </w:rPr>
        <w:t> </w:t>
      </w:r>
      <w:r>
        <w:rPr>
          <w:rFonts w:ascii="Arial MT" w:hAnsi="Arial MT"/>
          <w:color w:val="231F1F"/>
          <w:spacing w:val="-4"/>
          <w:sz w:val="24"/>
        </w:rPr>
        <w:t>2008)</w:t>
      </w:r>
    </w:p>
    <w:p>
      <w:pPr>
        <w:pStyle w:val="BodyText"/>
        <w:spacing w:line="249" w:lineRule="auto" w:before="210"/>
        <w:ind w:left="283" w:right="38"/>
        <w:jc w:val="both"/>
      </w:pPr>
      <w:r>
        <w:rPr>
          <w:color w:val="231F1F"/>
          <w:w w:val="110"/>
        </w:rPr>
        <w:t>En</w:t>
      </w:r>
      <w:r>
        <w:rPr>
          <w:color w:val="231F1F"/>
          <w:spacing w:val="-3"/>
          <w:w w:val="110"/>
        </w:rPr>
        <w:t> </w:t>
      </w:r>
      <w:r>
        <w:rPr>
          <w:color w:val="231F1F"/>
          <w:w w:val="110"/>
        </w:rPr>
        <w:t>la</w:t>
      </w:r>
      <w:r>
        <w:rPr>
          <w:color w:val="231F1F"/>
          <w:spacing w:val="-3"/>
          <w:w w:val="110"/>
        </w:rPr>
        <w:t> </w:t>
      </w:r>
      <w:r>
        <w:rPr>
          <w:color w:val="231F1F"/>
          <w:w w:val="110"/>
        </w:rPr>
        <w:t>búsqueda</w:t>
      </w:r>
      <w:r>
        <w:rPr>
          <w:color w:val="231F1F"/>
          <w:spacing w:val="-4"/>
          <w:w w:val="110"/>
        </w:rPr>
        <w:t> </w:t>
      </w:r>
      <w:r>
        <w:rPr>
          <w:color w:val="231F1F"/>
          <w:w w:val="110"/>
        </w:rPr>
        <w:t>se</w:t>
      </w:r>
      <w:r>
        <w:rPr>
          <w:color w:val="231F1F"/>
          <w:spacing w:val="-3"/>
          <w:w w:val="110"/>
        </w:rPr>
        <w:t> </w:t>
      </w:r>
      <w:r>
        <w:rPr>
          <w:color w:val="231F1F"/>
          <w:w w:val="110"/>
        </w:rPr>
        <w:t>encontraron</w:t>
      </w:r>
      <w:r>
        <w:rPr>
          <w:color w:val="231F1F"/>
          <w:spacing w:val="-3"/>
          <w:w w:val="110"/>
        </w:rPr>
        <w:t> </w:t>
      </w:r>
      <w:r>
        <w:rPr>
          <w:color w:val="231F1F"/>
          <w:w w:val="110"/>
        </w:rPr>
        <w:t>7</w:t>
      </w:r>
      <w:r>
        <w:rPr>
          <w:color w:val="231F1F"/>
          <w:spacing w:val="-3"/>
          <w:w w:val="110"/>
        </w:rPr>
        <w:t> </w:t>
      </w:r>
      <w:r>
        <w:rPr>
          <w:color w:val="231F1F"/>
          <w:w w:val="110"/>
        </w:rPr>
        <w:t>estudios</w:t>
      </w:r>
      <w:r>
        <w:rPr>
          <w:color w:val="231F1F"/>
          <w:spacing w:val="-3"/>
          <w:w w:val="110"/>
        </w:rPr>
        <w:t> </w:t>
      </w:r>
      <w:r>
        <w:rPr>
          <w:color w:val="231F1F"/>
          <w:w w:val="110"/>
        </w:rPr>
        <w:t>de</w:t>
      </w:r>
      <w:r>
        <w:rPr>
          <w:color w:val="231F1F"/>
          <w:spacing w:val="-3"/>
          <w:w w:val="110"/>
        </w:rPr>
        <w:t> </w:t>
      </w:r>
      <w:r>
        <w:rPr>
          <w:color w:val="231F1F"/>
          <w:w w:val="110"/>
        </w:rPr>
        <w:t>los</w:t>
      </w:r>
      <w:r>
        <w:rPr>
          <w:color w:val="231F1F"/>
          <w:spacing w:val="-4"/>
          <w:w w:val="110"/>
        </w:rPr>
        <w:t> </w:t>
      </w:r>
      <w:r>
        <w:rPr>
          <w:color w:val="231F1F"/>
          <w:w w:val="110"/>
        </w:rPr>
        <w:t>que</w:t>
      </w:r>
      <w:r>
        <w:rPr>
          <w:color w:val="231F1F"/>
          <w:spacing w:val="-3"/>
          <w:w w:val="110"/>
        </w:rPr>
        <w:t> </w:t>
      </w:r>
      <w:r>
        <w:rPr>
          <w:color w:val="231F1F"/>
          <w:w w:val="110"/>
        </w:rPr>
        <w:t>6</w:t>
      </w:r>
      <w:r>
        <w:rPr>
          <w:color w:val="231F1F"/>
          <w:spacing w:val="-3"/>
          <w:w w:val="110"/>
        </w:rPr>
        <w:t> </w:t>
      </w:r>
      <w:r>
        <w:rPr>
          <w:color w:val="231F1F"/>
          <w:w w:val="110"/>
        </w:rPr>
        <w:t>fueron</w:t>
      </w:r>
      <w:r>
        <w:rPr>
          <w:color w:val="231F1F"/>
          <w:spacing w:val="-3"/>
          <w:w w:val="110"/>
        </w:rPr>
        <w:t> </w:t>
      </w:r>
      <w:r>
        <w:rPr>
          <w:color w:val="231F1F"/>
          <w:w w:val="110"/>
        </w:rPr>
        <w:t>excluidos</w:t>
      </w:r>
      <w:r>
        <w:rPr>
          <w:color w:val="231F1F"/>
          <w:spacing w:val="-3"/>
          <w:w w:val="110"/>
        </w:rPr>
        <w:t> </w:t>
      </w:r>
      <w:r>
        <w:rPr>
          <w:color w:val="231F1F"/>
          <w:w w:val="110"/>
        </w:rPr>
        <w:t>por no cumplir los criterios de inclusión, seleccionando una RS realizada en el año</w:t>
      </w:r>
      <w:r>
        <w:rPr>
          <w:color w:val="231F1F"/>
          <w:spacing w:val="-13"/>
          <w:w w:val="110"/>
        </w:rPr>
        <w:t> </w:t>
      </w:r>
      <w:r>
        <w:rPr>
          <w:color w:val="231F1F"/>
          <w:w w:val="110"/>
        </w:rPr>
        <w:t>2007</w:t>
      </w:r>
      <w:r>
        <w:rPr>
          <w:color w:val="231F1F"/>
          <w:spacing w:val="-13"/>
          <w:w w:val="110"/>
        </w:rPr>
        <w:t> </w:t>
      </w:r>
      <w:r>
        <w:rPr>
          <w:color w:val="231F1F"/>
          <w:w w:val="110"/>
        </w:rPr>
        <w:t>(326).</w:t>
      </w:r>
      <w:r>
        <w:rPr>
          <w:color w:val="231F1F"/>
          <w:spacing w:val="-13"/>
          <w:w w:val="110"/>
        </w:rPr>
        <w:t> </w:t>
      </w:r>
      <w:r>
        <w:rPr>
          <w:color w:val="231F1F"/>
          <w:w w:val="110"/>
        </w:rPr>
        <w:t>Además,</w:t>
      </w:r>
      <w:r>
        <w:rPr>
          <w:color w:val="231F1F"/>
          <w:spacing w:val="-13"/>
          <w:w w:val="110"/>
        </w:rPr>
        <w:t> </w:t>
      </w:r>
      <w:r>
        <w:rPr>
          <w:color w:val="231F1F"/>
          <w:w w:val="110"/>
        </w:rPr>
        <w:t>también</w:t>
      </w:r>
      <w:r>
        <w:rPr>
          <w:color w:val="231F1F"/>
          <w:spacing w:val="-13"/>
          <w:w w:val="110"/>
        </w:rPr>
        <w:t> </w:t>
      </w:r>
      <w:r>
        <w:rPr>
          <w:color w:val="231F1F"/>
          <w:w w:val="110"/>
        </w:rPr>
        <w:t>se</w:t>
      </w:r>
      <w:r>
        <w:rPr>
          <w:color w:val="231F1F"/>
          <w:spacing w:val="-13"/>
          <w:w w:val="110"/>
        </w:rPr>
        <w:t> </w:t>
      </w:r>
      <w:r>
        <w:rPr>
          <w:color w:val="231F1F"/>
          <w:w w:val="110"/>
        </w:rPr>
        <w:t>ha</w:t>
      </w:r>
      <w:r>
        <w:rPr>
          <w:color w:val="231F1F"/>
          <w:spacing w:val="-13"/>
          <w:w w:val="110"/>
        </w:rPr>
        <w:t> </w:t>
      </w:r>
      <w:r>
        <w:rPr>
          <w:color w:val="231F1F"/>
          <w:w w:val="110"/>
        </w:rPr>
        <w:t>seleccionado</w:t>
      </w:r>
      <w:r>
        <w:rPr>
          <w:color w:val="231F1F"/>
          <w:spacing w:val="-14"/>
          <w:w w:val="110"/>
        </w:rPr>
        <w:t> </w:t>
      </w:r>
      <w:r>
        <w:rPr>
          <w:color w:val="231F1F"/>
          <w:w w:val="110"/>
        </w:rPr>
        <w:t>un</w:t>
      </w:r>
      <w:r>
        <w:rPr>
          <w:color w:val="231F1F"/>
          <w:spacing w:val="-13"/>
          <w:w w:val="110"/>
        </w:rPr>
        <w:t> </w:t>
      </w:r>
      <w:r>
        <w:rPr>
          <w:color w:val="231F1F"/>
          <w:w w:val="110"/>
        </w:rPr>
        <w:t>ECA</w:t>
      </w:r>
      <w:r>
        <w:rPr>
          <w:color w:val="231F1F"/>
          <w:spacing w:val="-12"/>
          <w:w w:val="110"/>
        </w:rPr>
        <w:t> </w:t>
      </w:r>
      <w:r>
        <w:rPr>
          <w:color w:val="231F1F"/>
          <w:w w:val="110"/>
        </w:rPr>
        <w:t>(327)</w:t>
      </w:r>
      <w:r>
        <w:rPr>
          <w:color w:val="231F1F"/>
          <w:spacing w:val="-13"/>
          <w:w w:val="110"/>
        </w:rPr>
        <w:t> </w:t>
      </w:r>
      <w:r>
        <w:rPr>
          <w:color w:val="231F1F"/>
          <w:w w:val="110"/>
        </w:rPr>
        <w:t>realiza- do en China, detectado gracias a las alertas incluidas en las estrategias de </w:t>
      </w:r>
      <w:r>
        <w:rPr>
          <w:color w:val="231F1F"/>
          <w:spacing w:val="-2"/>
          <w:w w:val="110"/>
        </w:rPr>
        <w:t>búsqueda.</w:t>
      </w:r>
    </w:p>
    <w:p>
      <w:pPr>
        <w:pStyle w:val="BodyText"/>
        <w:spacing w:before="134"/>
        <w:ind w:left="283" w:right="45" w:firstLine="453"/>
        <w:jc w:val="both"/>
      </w:pPr>
      <w:r>
        <w:rPr>
          <w:color w:val="231F1F"/>
          <w:w w:val="110"/>
        </w:rPr>
        <w:t>Esta</w:t>
      </w:r>
      <w:r>
        <w:rPr>
          <w:color w:val="231F1F"/>
          <w:spacing w:val="-14"/>
          <w:w w:val="110"/>
        </w:rPr>
        <w:t> </w:t>
      </w:r>
      <w:r>
        <w:rPr>
          <w:color w:val="231F1F"/>
          <w:w w:val="110"/>
        </w:rPr>
        <w:t>RS</w:t>
      </w:r>
      <w:r>
        <w:rPr>
          <w:color w:val="231F1F"/>
          <w:spacing w:val="-14"/>
          <w:w w:val="110"/>
        </w:rPr>
        <w:t> </w:t>
      </w:r>
      <w:r>
        <w:rPr>
          <w:color w:val="231F1F"/>
          <w:w w:val="110"/>
        </w:rPr>
        <w:t>(326)</w:t>
      </w:r>
      <w:r>
        <w:rPr>
          <w:color w:val="231F1F"/>
          <w:spacing w:val="-15"/>
          <w:w w:val="110"/>
        </w:rPr>
        <w:t> </w:t>
      </w:r>
      <w:r>
        <w:rPr>
          <w:color w:val="231F1F"/>
          <w:w w:val="110"/>
        </w:rPr>
        <w:t>de</w:t>
      </w:r>
      <w:r>
        <w:rPr>
          <w:color w:val="231F1F"/>
          <w:spacing w:val="-14"/>
          <w:w w:val="110"/>
        </w:rPr>
        <w:t> </w:t>
      </w:r>
      <w:r>
        <w:rPr>
          <w:color w:val="231F1F"/>
          <w:w w:val="110"/>
        </w:rPr>
        <w:t>moderada</w:t>
      </w:r>
      <w:r>
        <w:rPr>
          <w:color w:val="231F1F"/>
          <w:spacing w:val="-14"/>
          <w:w w:val="110"/>
        </w:rPr>
        <w:t> </w:t>
      </w:r>
      <w:r>
        <w:rPr>
          <w:color w:val="231F1F"/>
          <w:w w:val="110"/>
        </w:rPr>
        <w:t>calidad,</w:t>
      </w:r>
      <w:r>
        <w:rPr>
          <w:color w:val="231F1F"/>
          <w:spacing w:val="-15"/>
          <w:w w:val="110"/>
        </w:rPr>
        <w:t> </w:t>
      </w:r>
      <w:r>
        <w:rPr>
          <w:color w:val="231F1F"/>
          <w:w w:val="110"/>
        </w:rPr>
        <w:t>incluye</w:t>
      </w:r>
      <w:r>
        <w:rPr>
          <w:color w:val="231F1F"/>
          <w:spacing w:val="-14"/>
          <w:w w:val="110"/>
        </w:rPr>
        <w:t> </w:t>
      </w:r>
      <w:r>
        <w:rPr>
          <w:color w:val="231F1F"/>
          <w:w w:val="110"/>
        </w:rPr>
        <w:t>9</w:t>
      </w:r>
      <w:r>
        <w:rPr>
          <w:color w:val="231F1F"/>
          <w:spacing w:val="-14"/>
          <w:w w:val="110"/>
        </w:rPr>
        <w:t> </w:t>
      </w:r>
      <w:r>
        <w:rPr>
          <w:color w:val="231F1F"/>
          <w:w w:val="110"/>
        </w:rPr>
        <w:t>estudios:</w:t>
      </w:r>
      <w:r>
        <w:rPr>
          <w:color w:val="231F1F"/>
          <w:spacing w:val="-14"/>
          <w:w w:val="110"/>
        </w:rPr>
        <w:t> </w:t>
      </w:r>
      <w:r>
        <w:rPr>
          <w:color w:val="231F1F"/>
          <w:w w:val="110"/>
        </w:rPr>
        <w:t>cinco</w:t>
      </w:r>
      <w:r>
        <w:rPr>
          <w:color w:val="231F1F"/>
          <w:spacing w:val="-14"/>
          <w:w w:val="110"/>
        </w:rPr>
        <w:t> </w:t>
      </w:r>
      <w:r>
        <w:rPr>
          <w:color w:val="231F1F"/>
          <w:w w:val="110"/>
        </w:rPr>
        <w:t>ECAs,</w:t>
      </w:r>
      <w:r>
        <w:rPr>
          <w:color w:val="231F1F"/>
          <w:spacing w:val="-15"/>
          <w:w w:val="110"/>
        </w:rPr>
        <w:t> </w:t>
      </w:r>
      <w:r>
        <w:rPr>
          <w:color w:val="231F1F"/>
          <w:w w:val="110"/>
        </w:rPr>
        <w:t>ya incluidos</w:t>
      </w:r>
      <w:r>
        <w:rPr>
          <w:color w:val="231F1F"/>
          <w:spacing w:val="-4"/>
          <w:w w:val="110"/>
        </w:rPr>
        <w:t> </w:t>
      </w:r>
      <w:r>
        <w:rPr>
          <w:color w:val="231F1F"/>
          <w:w w:val="110"/>
        </w:rPr>
        <w:t>en</w:t>
      </w:r>
      <w:r>
        <w:rPr>
          <w:color w:val="231F1F"/>
          <w:spacing w:val="-4"/>
          <w:w w:val="110"/>
        </w:rPr>
        <w:t> </w:t>
      </w:r>
      <w:r>
        <w:rPr>
          <w:color w:val="231F1F"/>
          <w:w w:val="110"/>
        </w:rPr>
        <w:t>la</w:t>
      </w:r>
      <w:r>
        <w:rPr>
          <w:color w:val="231F1F"/>
          <w:spacing w:val="-4"/>
          <w:w w:val="110"/>
        </w:rPr>
        <w:t> </w:t>
      </w:r>
      <w:r>
        <w:rPr>
          <w:color w:val="231F1F"/>
          <w:w w:val="110"/>
        </w:rPr>
        <w:t>guía</w:t>
      </w:r>
      <w:r>
        <w:rPr>
          <w:color w:val="231F1F"/>
          <w:spacing w:val="-4"/>
          <w:w w:val="110"/>
        </w:rPr>
        <w:t> </w:t>
      </w:r>
      <w:r>
        <w:rPr>
          <w:color w:val="231F1F"/>
          <w:w w:val="110"/>
        </w:rPr>
        <w:t>NICE</w:t>
      </w:r>
      <w:r>
        <w:rPr>
          <w:color w:val="231F1F"/>
          <w:spacing w:val="-4"/>
          <w:w w:val="110"/>
        </w:rPr>
        <w:t> </w:t>
      </w:r>
      <w:r>
        <w:rPr>
          <w:color w:val="231F1F"/>
          <w:w w:val="110"/>
        </w:rPr>
        <w:t>(10),</w:t>
      </w:r>
      <w:r>
        <w:rPr>
          <w:color w:val="231F1F"/>
          <w:spacing w:val="-3"/>
          <w:w w:val="110"/>
        </w:rPr>
        <w:t> </w:t>
      </w:r>
      <w:r>
        <w:rPr>
          <w:color w:val="231F1F"/>
          <w:w w:val="110"/>
        </w:rPr>
        <w:t>1</w:t>
      </w:r>
      <w:r>
        <w:rPr>
          <w:color w:val="231F1F"/>
          <w:spacing w:val="-4"/>
          <w:w w:val="110"/>
        </w:rPr>
        <w:t> </w:t>
      </w:r>
      <w:r>
        <w:rPr>
          <w:color w:val="231F1F"/>
          <w:w w:val="110"/>
        </w:rPr>
        <w:t>cohorte</w:t>
      </w:r>
      <w:r>
        <w:rPr>
          <w:color w:val="231F1F"/>
          <w:spacing w:val="-4"/>
          <w:w w:val="110"/>
        </w:rPr>
        <w:t> </w:t>
      </w:r>
      <w:r>
        <w:rPr>
          <w:color w:val="231F1F"/>
          <w:w w:val="110"/>
        </w:rPr>
        <w:t>y</w:t>
      </w:r>
      <w:r>
        <w:rPr>
          <w:color w:val="231F1F"/>
          <w:spacing w:val="-4"/>
          <w:w w:val="110"/>
        </w:rPr>
        <w:t> </w:t>
      </w:r>
      <w:r>
        <w:rPr>
          <w:color w:val="231F1F"/>
          <w:w w:val="110"/>
        </w:rPr>
        <w:t>3</w:t>
      </w:r>
      <w:r>
        <w:rPr>
          <w:color w:val="231F1F"/>
          <w:spacing w:val="-4"/>
          <w:w w:val="110"/>
        </w:rPr>
        <w:t> </w:t>
      </w:r>
      <w:r>
        <w:rPr>
          <w:color w:val="231F1F"/>
          <w:w w:val="110"/>
        </w:rPr>
        <w:t>retrospectivos</w:t>
      </w:r>
      <w:r>
        <w:rPr>
          <w:color w:val="231F1F"/>
          <w:spacing w:val="-4"/>
          <w:w w:val="110"/>
        </w:rPr>
        <w:t> </w:t>
      </w:r>
      <w:r>
        <w:rPr>
          <w:color w:val="231F1F"/>
          <w:w w:val="110"/>
        </w:rPr>
        <w:t>con</w:t>
      </w:r>
      <w:r>
        <w:rPr>
          <w:color w:val="231F1F"/>
          <w:spacing w:val="-3"/>
          <w:w w:val="110"/>
        </w:rPr>
        <w:t> </w:t>
      </w:r>
      <w:r>
        <w:rPr>
          <w:color w:val="231F1F"/>
          <w:w w:val="110"/>
        </w:rPr>
        <w:t>un</w:t>
      </w:r>
      <w:r>
        <w:rPr>
          <w:color w:val="231F1F"/>
          <w:spacing w:val="-4"/>
          <w:w w:val="110"/>
        </w:rPr>
        <w:t> </w:t>
      </w:r>
      <w:r>
        <w:rPr>
          <w:color w:val="231F1F"/>
          <w:w w:val="110"/>
        </w:rPr>
        <w:t>total</w:t>
      </w:r>
      <w:r>
        <w:rPr>
          <w:color w:val="231F1F"/>
          <w:spacing w:val="-4"/>
          <w:w w:val="110"/>
        </w:rPr>
        <w:t> </w:t>
      </w:r>
      <w:r>
        <w:rPr>
          <w:color w:val="231F1F"/>
          <w:w w:val="110"/>
        </w:rPr>
        <w:t>de</w:t>
      </w:r>
    </w:p>
    <w:p>
      <w:pPr>
        <w:pStyle w:val="BodyText"/>
        <w:spacing w:line="244" w:lineRule="auto" w:before="7"/>
        <w:ind w:left="283" w:right="45"/>
        <w:jc w:val="both"/>
      </w:pPr>
      <w:r>
        <w:rPr>
          <w:color w:val="231F1F"/>
          <w:w w:val="110"/>
        </w:rPr>
        <w:t>3.320</w:t>
      </w:r>
      <w:r>
        <w:rPr>
          <w:color w:val="231F1F"/>
          <w:spacing w:val="-8"/>
          <w:w w:val="110"/>
        </w:rPr>
        <w:t> </w:t>
      </w:r>
      <w:r>
        <w:rPr>
          <w:color w:val="231F1F"/>
          <w:w w:val="110"/>
        </w:rPr>
        <w:t>mujeres.</w:t>
      </w:r>
      <w:r>
        <w:rPr>
          <w:color w:val="231F1F"/>
          <w:spacing w:val="-9"/>
          <w:w w:val="110"/>
        </w:rPr>
        <w:t> </w:t>
      </w:r>
      <w:r>
        <w:rPr>
          <w:color w:val="231F1F"/>
          <w:w w:val="110"/>
        </w:rPr>
        <w:t>Su</w:t>
      </w:r>
      <w:r>
        <w:rPr>
          <w:color w:val="231F1F"/>
          <w:spacing w:val="-9"/>
          <w:w w:val="110"/>
        </w:rPr>
        <w:t> </w:t>
      </w:r>
      <w:r>
        <w:rPr>
          <w:color w:val="231F1F"/>
          <w:w w:val="110"/>
        </w:rPr>
        <w:t>objetivo</w:t>
      </w:r>
      <w:r>
        <w:rPr>
          <w:color w:val="231F1F"/>
          <w:spacing w:val="-9"/>
          <w:w w:val="110"/>
        </w:rPr>
        <w:t> </w:t>
      </w:r>
      <w:r>
        <w:rPr>
          <w:color w:val="231F1F"/>
          <w:w w:val="110"/>
        </w:rPr>
        <w:t>fue</w:t>
      </w:r>
      <w:r>
        <w:rPr>
          <w:color w:val="231F1F"/>
          <w:spacing w:val="-8"/>
          <w:w w:val="110"/>
        </w:rPr>
        <w:t> </w:t>
      </w:r>
      <w:r>
        <w:rPr>
          <w:color w:val="231F1F"/>
          <w:w w:val="110"/>
        </w:rPr>
        <w:t>determinar</w:t>
      </w:r>
      <w:r>
        <w:rPr>
          <w:color w:val="231F1F"/>
          <w:spacing w:val="-9"/>
          <w:w w:val="110"/>
        </w:rPr>
        <w:t> </w:t>
      </w:r>
      <w:r>
        <w:rPr>
          <w:color w:val="231F1F"/>
          <w:w w:val="110"/>
        </w:rPr>
        <w:t>en</w:t>
      </w:r>
      <w:r>
        <w:rPr>
          <w:color w:val="231F1F"/>
          <w:spacing w:val="-8"/>
          <w:w w:val="110"/>
        </w:rPr>
        <w:t> </w:t>
      </w:r>
      <w:r>
        <w:rPr>
          <w:color w:val="231F1F"/>
          <w:w w:val="110"/>
        </w:rPr>
        <w:t>mujeres</w:t>
      </w:r>
      <w:r>
        <w:rPr>
          <w:color w:val="231F1F"/>
          <w:spacing w:val="-8"/>
          <w:w w:val="110"/>
        </w:rPr>
        <w:t> </w:t>
      </w:r>
      <w:r>
        <w:rPr>
          <w:color w:val="231F1F"/>
          <w:w w:val="110"/>
        </w:rPr>
        <w:t>nulíparas</w:t>
      </w:r>
      <w:r>
        <w:rPr>
          <w:color w:val="231F1F"/>
          <w:spacing w:val="-9"/>
          <w:w w:val="110"/>
        </w:rPr>
        <w:t> </w:t>
      </w:r>
      <w:r>
        <w:rPr>
          <w:color w:val="231F1F"/>
          <w:w w:val="110"/>
        </w:rPr>
        <w:t>el</w:t>
      </w:r>
      <w:r>
        <w:rPr>
          <w:color w:val="231F1F"/>
          <w:spacing w:val="-9"/>
          <w:w w:val="110"/>
        </w:rPr>
        <w:t> </w:t>
      </w:r>
      <w:r>
        <w:rPr>
          <w:color w:val="231F1F"/>
          <w:w w:val="110"/>
        </w:rPr>
        <w:t>efecto</w:t>
      </w:r>
      <w:r>
        <w:rPr>
          <w:color w:val="231F1F"/>
          <w:spacing w:val="-8"/>
          <w:w w:val="110"/>
        </w:rPr>
        <w:t> </w:t>
      </w:r>
      <w:r>
        <w:rPr>
          <w:color w:val="231F1F"/>
          <w:w w:val="110"/>
        </w:rPr>
        <w:t>de la</w:t>
      </w:r>
      <w:r>
        <w:rPr>
          <w:color w:val="231F1F"/>
          <w:spacing w:val="-7"/>
          <w:w w:val="110"/>
        </w:rPr>
        <w:t> </w:t>
      </w:r>
      <w:r>
        <w:rPr>
          <w:color w:val="231F1F"/>
          <w:w w:val="110"/>
        </w:rPr>
        <w:t>administración</w:t>
      </w:r>
      <w:r>
        <w:rPr>
          <w:color w:val="231F1F"/>
          <w:spacing w:val="-7"/>
          <w:w w:val="110"/>
        </w:rPr>
        <w:t> </w:t>
      </w:r>
      <w:r>
        <w:rPr>
          <w:color w:val="231F1F"/>
          <w:w w:val="110"/>
        </w:rPr>
        <w:t>precoz</w:t>
      </w:r>
      <w:r>
        <w:rPr>
          <w:color w:val="231F1F"/>
          <w:spacing w:val="-8"/>
          <w:w w:val="110"/>
        </w:rPr>
        <w:t> </w:t>
      </w:r>
      <w:r>
        <w:rPr>
          <w:color w:val="231F1F"/>
          <w:w w:val="110"/>
        </w:rPr>
        <w:t>de</w:t>
      </w:r>
      <w:r>
        <w:rPr>
          <w:color w:val="231F1F"/>
          <w:spacing w:val="-7"/>
          <w:w w:val="110"/>
        </w:rPr>
        <w:t> </w:t>
      </w:r>
      <w:r>
        <w:rPr>
          <w:color w:val="231F1F"/>
          <w:w w:val="110"/>
        </w:rPr>
        <w:t>analgesia</w:t>
      </w:r>
      <w:r>
        <w:rPr>
          <w:color w:val="231F1F"/>
          <w:spacing w:val="-7"/>
          <w:w w:val="110"/>
        </w:rPr>
        <w:t> </w:t>
      </w:r>
      <w:r>
        <w:rPr>
          <w:color w:val="231F1F"/>
          <w:w w:val="110"/>
        </w:rPr>
        <w:t>neuroaxial</w:t>
      </w:r>
      <w:r>
        <w:rPr>
          <w:color w:val="231F1F"/>
          <w:spacing w:val="-8"/>
          <w:w w:val="110"/>
        </w:rPr>
        <w:t> </w:t>
      </w:r>
      <w:r>
        <w:rPr>
          <w:color w:val="231F1F"/>
          <w:w w:val="110"/>
        </w:rPr>
        <w:t>sobre</w:t>
      </w:r>
      <w:r>
        <w:rPr>
          <w:color w:val="231F1F"/>
          <w:spacing w:val="-8"/>
          <w:w w:val="110"/>
        </w:rPr>
        <w:t> </w:t>
      </w:r>
      <w:r>
        <w:rPr>
          <w:color w:val="231F1F"/>
          <w:w w:val="110"/>
        </w:rPr>
        <w:t>cesáreas,</w:t>
      </w:r>
      <w:r>
        <w:rPr>
          <w:color w:val="231F1F"/>
          <w:spacing w:val="-7"/>
          <w:w w:val="110"/>
        </w:rPr>
        <w:t> </w:t>
      </w:r>
      <w:r>
        <w:rPr>
          <w:color w:val="231F1F"/>
          <w:w w:val="110"/>
        </w:rPr>
        <w:t>partos</w:t>
      </w:r>
      <w:r>
        <w:rPr>
          <w:color w:val="231F1F"/>
          <w:spacing w:val="-8"/>
          <w:w w:val="110"/>
        </w:rPr>
        <w:t> </w:t>
      </w:r>
      <w:r>
        <w:rPr>
          <w:color w:val="231F1F"/>
          <w:w w:val="110"/>
        </w:rPr>
        <w:t>ins- trumentales</w:t>
      </w:r>
      <w:r>
        <w:rPr>
          <w:color w:val="231F1F"/>
          <w:spacing w:val="-16"/>
          <w:w w:val="110"/>
        </w:rPr>
        <w:t> </w:t>
      </w:r>
      <w:r>
        <w:rPr>
          <w:color w:val="231F1F"/>
          <w:w w:val="110"/>
        </w:rPr>
        <w:t>y</w:t>
      </w:r>
      <w:r>
        <w:rPr>
          <w:color w:val="231F1F"/>
          <w:spacing w:val="-14"/>
          <w:w w:val="110"/>
        </w:rPr>
        <w:t> </w:t>
      </w:r>
      <w:r>
        <w:rPr>
          <w:color w:val="231F1F"/>
          <w:w w:val="110"/>
        </w:rPr>
        <w:t>bienestar</w:t>
      </w:r>
      <w:r>
        <w:rPr>
          <w:color w:val="231F1F"/>
          <w:spacing w:val="-15"/>
          <w:w w:val="110"/>
        </w:rPr>
        <w:t> </w:t>
      </w:r>
      <w:r>
        <w:rPr>
          <w:color w:val="231F1F"/>
          <w:w w:val="110"/>
        </w:rPr>
        <w:t>del</w:t>
      </w:r>
      <w:r>
        <w:rPr>
          <w:color w:val="231F1F"/>
          <w:spacing w:val="-16"/>
          <w:w w:val="110"/>
        </w:rPr>
        <w:t> </w:t>
      </w:r>
      <w:r>
        <w:rPr>
          <w:color w:val="231F1F"/>
          <w:w w:val="110"/>
        </w:rPr>
        <w:t>RN,</w:t>
      </w:r>
      <w:r>
        <w:rPr>
          <w:color w:val="231F1F"/>
          <w:spacing w:val="-15"/>
          <w:w w:val="110"/>
        </w:rPr>
        <w:t> </w:t>
      </w:r>
      <w:r>
        <w:rPr>
          <w:color w:val="231F1F"/>
          <w:w w:val="110"/>
        </w:rPr>
        <w:t>midiéndose</w:t>
      </w:r>
      <w:r>
        <w:rPr>
          <w:color w:val="231F1F"/>
          <w:spacing w:val="-15"/>
          <w:w w:val="110"/>
        </w:rPr>
        <w:t> </w:t>
      </w:r>
      <w:r>
        <w:rPr>
          <w:color w:val="231F1F"/>
          <w:w w:val="110"/>
        </w:rPr>
        <w:t>también</w:t>
      </w:r>
      <w:r>
        <w:rPr>
          <w:color w:val="231F1F"/>
          <w:spacing w:val="-15"/>
          <w:w w:val="110"/>
        </w:rPr>
        <w:t> </w:t>
      </w:r>
      <w:r>
        <w:rPr>
          <w:color w:val="231F1F"/>
          <w:w w:val="110"/>
        </w:rPr>
        <w:t>el</w:t>
      </w:r>
      <w:r>
        <w:rPr>
          <w:color w:val="231F1F"/>
          <w:spacing w:val="-15"/>
          <w:w w:val="110"/>
        </w:rPr>
        <w:t> </w:t>
      </w:r>
      <w:r>
        <w:rPr>
          <w:color w:val="231F1F"/>
          <w:w w:val="110"/>
        </w:rPr>
        <w:t>efecto</w:t>
      </w:r>
      <w:r>
        <w:rPr>
          <w:color w:val="231F1F"/>
          <w:spacing w:val="-14"/>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duración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5"/>
        <w:rPr>
          <w:sz w:val="18"/>
        </w:rPr>
      </w:pPr>
    </w:p>
    <w:p>
      <w:pPr>
        <w:spacing w:line="273" w:lineRule="auto" w:before="1"/>
        <w:ind w:left="361" w:right="508" w:hanging="78"/>
        <w:jc w:val="left"/>
        <w:rPr>
          <w:rFonts w:ascii="Arial MT"/>
          <w:sz w:val="18"/>
        </w:rPr>
      </w:pPr>
      <w:r>
        <w:rPr>
          <w:rFonts w:ascii="Arial MT"/>
          <w:color w:val="231F1F"/>
          <w:spacing w:val="-6"/>
          <w:sz w:val="18"/>
        </w:rPr>
        <w:t>ECA 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9"/>
        <w:rPr>
          <w:rFonts w:ascii="Arial MT"/>
          <w:sz w:val="18"/>
        </w:rPr>
      </w:pPr>
    </w:p>
    <w:p>
      <w:pPr>
        <w:spacing w:line="278" w:lineRule="auto" w:before="0"/>
        <w:ind w:left="361" w:right="508" w:hanging="78"/>
        <w:jc w:val="left"/>
        <w:rPr>
          <w:rFonts w:ascii="Arial MT"/>
          <w:sz w:val="18"/>
        </w:rPr>
      </w:pPr>
      <w:r>
        <w:rPr>
          <w:rFonts w:ascii="Arial MT"/>
          <w:color w:val="231F1F"/>
          <w:spacing w:val="-6"/>
          <w:sz w:val="18"/>
        </w:rPr>
        <w:t>ECA 1+</w:t>
      </w:r>
    </w:p>
    <w:p>
      <w:pPr>
        <w:spacing w:after="0" w:line="278" w:lineRule="auto"/>
        <w:jc w:val="left"/>
        <w:rPr>
          <w:rFonts w:ascii="Arial MT"/>
          <w:sz w:val="18"/>
        </w:rPr>
        <w:sectPr>
          <w:type w:val="continuous"/>
          <w:pgSz w:w="11900" w:h="16840"/>
          <w:pgMar w:header="0" w:footer="622" w:top="560" w:bottom="280" w:left="1417" w:right="1559"/>
          <w:cols w:num="2" w:equalWidth="0">
            <w:col w:w="7599" w:space="161"/>
            <w:col w:w="1164"/>
          </w:cols>
        </w:sectPr>
      </w:pPr>
    </w:p>
    <w:p>
      <w:pPr>
        <w:pStyle w:val="BodyText"/>
        <w:spacing w:line="261" w:lineRule="auto" w:before="72"/>
        <w:ind w:left="283" w:right="9"/>
        <w:jc w:val="both"/>
      </w:pPr>
      <w:r>
        <w:rPr>
          <w:color w:val="231F1F"/>
        </w:rPr>
        <w:t>del</w:t>
      </w:r>
      <w:r>
        <w:rPr>
          <w:color w:val="231F1F"/>
          <w:spacing w:val="40"/>
        </w:rPr>
        <w:t> </w:t>
      </w:r>
      <w:r>
        <w:rPr>
          <w:color w:val="231F1F"/>
        </w:rPr>
        <w:t>parto.</w:t>
      </w:r>
      <w:r>
        <w:rPr>
          <w:color w:val="231F1F"/>
          <w:spacing w:val="40"/>
        </w:rPr>
        <w:t> </w:t>
      </w:r>
      <w:r>
        <w:rPr>
          <w:color w:val="231F1F"/>
        </w:rPr>
        <w:t>En</w:t>
      </w:r>
      <w:r>
        <w:rPr>
          <w:color w:val="231F1F"/>
          <w:spacing w:val="40"/>
        </w:rPr>
        <w:t> </w:t>
      </w:r>
      <w:r>
        <w:rPr>
          <w:color w:val="231F1F"/>
        </w:rPr>
        <w:t>los</w:t>
      </w:r>
      <w:r>
        <w:rPr>
          <w:color w:val="231F1F"/>
          <w:spacing w:val="40"/>
        </w:rPr>
        <w:t> </w:t>
      </w:r>
      <w:r>
        <w:rPr>
          <w:color w:val="231F1F"/>
        </w:rPr>
        <w:t>estudios</w:t>
      </w:r>
      <w:r>
        <w:rPr>
          <w:color w:val="231F1F"/>
          <w:spacing w:val="40"/>
        </w:rPr>
        <w:t> </w:t>
      </w:r>
      <w:r>
        <w:rPr>
          <w:color w:val="231F1F"/>
        </w:rPr>
        <w:t>del</w:t>
      </w:r>
      <w:r>
        <w:rPr>
          <w:color w:val="231F1F"/>
          <w:spacing w:val="40"/>
        </w:rPr>
        <w:t> </w:t>
      </w:r>
      <w:r>
        <w:rPr>
          <w:color w:val="231F1F"/>
        </w:rPr>
        <w:t>metaanálisis</w:t>
      </w:r>
      <w:r>
        <w:rPr>
          <w:color w:val="231F1F"/>
          <w:spacing w:val="40"/>
        </w:rPr>
        <w:t> </w:t>
      </w:r>
      <w:r>
        <w:rPr>
          <w:color w:val="231F1F"/>
        </w:rPr>
        <w:t>se</w:t>
      </w:r>
      <w:r>
        <w:rPr>
          <w:color w:val="231F1F"/>
          <w:spacing w:val="40"/>
        </w:rPr>
        <w:t> </w:t>
      </w:r>
      <w:r>
        <w:rPr>
          <w:color w:val="231F1F"/>
        </w:rPr>
        <w:t>realizaron</w:t>
      </w:r>
      <w:r>
        <w:rPr>
          <w:color w:val="231F1F"/>
          <w:spacing w:val="40"/>
        </w:rPr>
        <w:t> </w:t>
      </w:r>
      <w:r>
        <w:rPr>
          <w:color w:val="231F1F"/>
        </w:rPr>
        <w:t>distintas</w:t>
      </w:r>
      <w:r>
        <w:rPr>
          <w:color w:val="231F1F"/>
          <w:spacing w:val="40"/>
        </w:rPr>
        <w:t> </w:t>
      </w:r>
      <w:r>
        <w:rPr>
          <w:color w:val="231F1F"/>
        </w:rPr>
        <w:t>intervencio- nes en el grupo control incluyendo la administración de opioides con anterio- ridad</w:t>
      </w:r>
      <w:r>
        <w:rPr>
          <w:color w:val="231F1F"/>
          <w:spacing w:val="40"/>
        </w:rPr>
        <w:t> </w:t>
      </w:r>
      <w:r>
        <w:rPr>
          <w:color w:val="231F1F"/>
        </w:rPr>
        <w:t>a</w:t>
      </w:r>
      <w:r>
        <w:rPr>
          <w:color w:val="231F1F"/>
          <w:spacing w:val="40"/>
        </w:rPr>
        <w:t> </w:t>
      </w:r>
      <w:r>
        <w:rPr>
          <w:color w:val="231F1F"/>
        </w:rPr>
        <w:t>la</w:t>
      </w:r>
      <w:r>
        <w:rPr>
          <w:color w:val="231F1F"/>
          <w:spacing w:val="40"/>
        </w:rPr>
        <w:t> </w:t>
      </w:r>
      <w:r>
        <w:rPr>
          <w:color w:val="231F1F"/>
        </w:rPr>
        <w:t>administración</w:t>
      </w:r>
      <w:r>
        <w:rPr>
          <w:color w:val="231F1F"/>
          <w:spacing w:val="40"/>
        </w:rPr>
        <w:t> </w:t>
      </w:r>
      <w:r>
        <w:rPr>
          <w:color w:val="231F1F"/>
        </w:rPr>
        <w:t>de</w:t>
      </w:r>
      <w:r>
        <w:rPr>
          <w:color w:val="231F1F"/>
          <w:spacing w:val="40"/>
        </w:rPr>
        <w:t> </w:t>
      </w:r>
      <w:r>
        <w:rPr>
          <w:color w:val="231F1F"/>
        </w:rPr>
        <w:t>una</w:t>
      </w:r>
      <w:r>
        <w:rPr>
          <w:color w:val="231F1F"/>
          <w:spacing w:val="40"/>
        </w:rPr>
        <w:t> </w:t>
      </w:r>
      <w:r>
        <w:rPr>
          <w:color w:val="231F1F"/>
        </w:rPr>
        <w:t>analgesia</w:t>
      </w:r>
      <w:r>
        <w:rPr>
          <w:color w:val="231F1F"/>
          <w:spacing w:val="40"/>
        </w:rPr>
        <w:t> </w:t>
      </w:r>
      <w:r>
        <w:rPr>
          <w:color w:val="231F1F"/>
        </w:rPr>
        <w:t>epidural</w:t>
      </w:r>
      <w:r>
        <w:rPr>
          <w:color w:val="231F1F"/>
          <w:spacing w:val="40"/>
        </w:rPr>
        <w:t> </w:t>
      </w:r>
      <w:r>
        <w:rPr>
          <w:color w:val="231F1F"/>
        </w:rPr>
        <w:t>tardía.</w:t>
      </w:r>
    </w:p>
    <w:p>
      <w:pPr>
        <w:pStyle w:val="BodyText"/>
        <w:spacing w:line="247" w:lineRule="auto" w:before="89"/>
        <w:ind w:left="283" w:right="4" w:firstLine="453"/>
        <w:jc w:val="both"/>
      </w:pPr>
      <w:r>
        <w:rPr>
          <w:color w:val="231F1F"/>
          <w:spacing w:val="-2"/>
          <w:w w:val="110"/>
        </w:rPr>
        <w:t>Entre</w:t>
      </w:r>
      <w:r>
        <w:rPr>
          <w:color w:val="231F1F"/>
          <w:spacing w:val="-6"/>
          <w:w w:val="110"/>
        </w:rPr>
        <w:t> </w:t>
      </w:r>
      <w:r>
        <w:rPr>
          <w:color w:val="231F1F"/>
          <w:spacing w:val="-2"/>
          <w:w w:val="110"/>
        </w:rPr>
        <w:t>los</w:t>
      </w:r>
      <w:r>
        <w:rPr>
          <w:color w:val="231F1F"/>
          <w:spacing w:val="-7"/>
          <w:w w:val="110"/>
        </w:rPr>
        <w:t> </w:t>
      </w:r>
      <w:r>
        <w:rPr>
          <w:color w:val="231F1F"/>
          <w:spacing w:val="-2"/>
          <w:w w:val="110"/>
        </w:rPr>
        <w:t>resultados</w:t>
      </w:r>
      <w:r>
        <w:rPr>
          <w:color w:val="231F1F"/>
          <w:spacing w:val="-6"/>
          <w:w w:val="110"/>
        </w:rPr>
        <w:t> </w:t>
      </w:r>
      <w:r>
        <w:rPr>
          <w:color w:val="231F1F"/>
          <w:spacing w:val="-2"/>
          <w:w w:val="110"/>
        </w:rPr>
        <w:t>obtenidos</w:t>
      </w:r>
      <w:r>
        <w:rPr>
          <w:color w:val="231F1F"/>
          <w:spacing w:val="-6"/>
          <w:w w:val="110"/>
        </w:rPr>
        <w:t> </w:t>
      </w:r>
      <w:r>
        <w:rPr>
          <w:color w:val="231F1F"/>
          <w:spacing w:val="-2"/>
          <w:w w:val="110"/>
        </w:rPr>
        <w:t>no</w:t>
      </w:r>
      <w:r>
        <w:rPr>
          <w:color w:val="231F1F"/>
          <w:spacing w:val="-6"/>
          <w:w w:val="110"/>
        </w:rPr>
        <w:t> </w:t>
      </w:r>
      <w:r>
        <w:rPr>
          <w:color w:val="231F1F"/>
          <w:spacing w:val="-2"/>
          <w:w w:val="110"/>
        </w:rPr>
        <w:t>se</w:t>
      </w:r>
      <w:r>
        <w:rPr>
          <w:color w:val="231F1F"/>
          <w:spacing w:val="-6"/>
          <w:w w:val="110"/>
        </w:rPr>
        <w:t> </w:t>
      </w:r>
      <w:r>
        <w:rPr>
          <w:color w:val="231F1F"/>
          <w:spacing w:val="-2"/>
          <w:w w:val="110"/>
        </w:rPr>
        <w:t>encontraron</w:t>
      </w:r>
      <w:r>
        <w:rPr>
          <w:color w:val="231F1F"/>
          <w:spacing w:val="-6"/>
          <w:w w:val="110"/>
        </w:rPr>
        <w:t> </w:t>
      </w:r>
      <w:r>
        <w:rPr>
          <w:color w:val="231F1F"/>
          <w:spacing w:val="-2"/>
          <w:w w:val="110"/>
        </w:rPr>
        <w:t>diferencias</w:t>
      </w:r>
      <w:r>
        <w:rPr>
          <w:color w:val="231F1F"/>
          <w:spacing w:val="-7"/>
          <w:w w:val="110"/>
        </w:rPr>
        <w:t> </w:t>
      </w:r>
      <w:r>
        <w:rPr>
          <w:color w:val="231F1F"/>
          <w:spacing w:val="-2"/>
          <w:w w:val="110"/>
        </w:rPr>
        <w:t>en</w:t>
      </w:r>
      <w:r>
        <w:rPr>
          <w:color w:val="231F1F"/>
          <w:spacing w:val="-6"/>
          <w:w w:val="110"/>
        </w:rPr>
        <w:t> </w:t>
      </w:r>
      <w:r>
        <w:rPr>
          <w:color w:val="231F1F"/>
          <w:spacing w:val="-2"/>
          <w:w w:val="110"/>
        </w:rPr>
        <w:t>las</w:t>
      </w:r>
      <w:r>
        <w:rPr>
          <w:color w:val="231F1F"/>
          <w:spacing w:val="-6"/>
          <w:w w:val="110"/>
        </w:rPr>
        <w:t> </w:t>
      </w:r>
      <w:r>
        <w:rPr>
          <w:color w:val="231F1F"/>
          <w:spacing w:val="-2"/>
          <w:w w:val="110"/>
        </w:rPr>
        <w:t>tasas </w:t>
      </w:r>
      <w:r>
        <w:rPr>
          <w:color w:val="231F1F"/>
          <w:w w:val="110"/>
        </w:rPr>
        <w:t>de cesáreas:</w:t>
      </w:r>
      <w:r>
        <w:rPr>
          <w:color w:val="231F1F"/>
          <w:spacing w:val="-1"/>
          <w:w w:val="110"/>
        </w:rPr>
        <w:t> </w:t>
      </w:r>
      <w:r>
        <w:rPr>
          <w:color w:val="231F1F"/>
          <w:w w:val="110"/>
        </w:rPr>
        <w:t>OR 1,00 [IC 95% 0,82 a 1,23],</w:t>
      </w:r>
      <w:r>
        <w:rPr>
          <w:color w:val="231F1F"/>
          <w:spacing w:val="-1"/>
          <w:w w:val="110"/>
        </w:rPr>
        <w:t> </w:t>
      </w:r>
      <w:r>
        <w:rPr>
          <w:color w:val="231F1F"/>
          <w:w w:val="110"/>
        </w:rPr>
        <w:t>ni</w:t>
      </w:r>
      <w:r>
        <w:rPr>
          <w:color w:val="231F1F"/>
          <w:spacing w:val="-1"/>
          <w:w w:val="110"/>
        </w:rPr>
        <w:t> </w:t>
      </w:r>
      <w:r>
        <w:rPr>
          <w:color w:val="231F1F"/>
          <w:w w:val="110"/>
        </w:rPr>
        <w:t>en las tasas de parto vaginal instrumentado: OR 1,00 [IC 95% 0,83 a 1,21]. Sin embargo, mujeres que recibieron opioides en una primera fase junto a la analgesia epidural tardía tuvieron</w:t>
      </w:r>
      <w:r>
        <w:rPr>
          <w:color w:val="231F1F"/>
          <w:w w:val="110"/>
        </w:rPr>
        <w:t> una</w:t>
      </w:r>
      <w:r>
        <w:rPr>
          <w:color w:val="231F1F"/>
          <w:w w:val="110"/>
        </w:rPr>
        <w:t> mayor</w:t>
      </w:r>
      <w:r>
        <w:rPr>
          <w:color w:val="231F1F"/>
          <w:w w:val="110"/>
        </w:rPr>
        <w:t> incidencia</w:t>
      </w:r>
      <w:r>
        <w:rPr>
          <w:color w:val="231F1F"/>
          <w:w w:val="110"/>
        </w:rPr>
        <w:t> de</w:t>
      </w:r>
      <w:r>
        <w:rPr>
          <w:color w:val="231F1F"/>
          <w:w w:val="110"/>
        </w:rPr>
        <w:t> partos</w:t>
      </w:r>
      <w:r>
        <w:rPr>
          <w:color w:val="231F1F"/>
          <w:w w:val="110"/>
        </w:rPr>
        <w:t> instrumentados,</w:t>
      </w:r>
      <w:r>
        <w:rPr>
          <w:color w:val="231F1F"/>
          <w:w w:val="110"/>
        </w:rPr>
        <w:t> indicados</w:t>
      </w:r>
      <w:r>
        <w:rPr>
          <w:color w:val="231F1F"/>
          <w:w w:val="110"/>
        </w:rPr>
        <w:t> por compromiso fetal, comparados con el grupo que recibió analgesia epidural </w:t>
      </w:r>
      <w:r>
        <w:rPr>
          <w:color w:val="231F1F"/>
          <w:spacing w:val="-2"/>
          <w:w w:val="110"/>
        </w:rPr>
        <w:t>precoz.</w:t>
      </w:r>
    </w:p>
    <w:p>
      <w:pPr>
        <w:pStyle w:val="BodyText"/>
        <w:spacing w:before="48"/>
        <w:ind w:left="283" w:right="7" w:firstLine="453"/>
        <w:jc w:val="both"/>
      </w:pPr>
      <w:r>
        <w:rPr>
          <w:color w:val="231F1F"/>
          <w:w w:val="110"/>
        </w:rPr>
        <w:t>No</w:t>
      </w:r>
      <w:r>
        <w:rPr>
          <w:color w:val="231F1F"/>
          <w:spacing w:val="-16"/>
          <w:w w:val="110"/>
        </w:rPr>
        <w:t> </w:t>
      </w:r>
      <w:r>
        <w:rPr>
          <w:color w:val="231F1F"/>
          <w:w w:val="110"/>
        </w:rPr>
        <w:t>se</w:t>
      </w:r>
      <w:r>
        <w:rPr>
          <w:color w:val="231F1F"/>
          <w:spacing w:val="-15"/>
          <w:w w:val="110"/>
        </w:rPr>
        <w:t> </w:t>
      </w:r>
      <w:r>
        <w:rPr>
          <w:color w:val="231F1F"/>
          <w:w w:val="110"/>
        </w:rPr>
        <w:t>encontraron</w:t>
      </w:r>
      <w:r>
        <w:rPr>
          <w:color w:val="231F1F"/>
          <w:spacing w:val="-15"/>
          <w:w w:val="110"/>
        </w:rPr>
        <w:t> </w:t>
      </w:r>
      <w:r>
        <w:rPr>
          <w:color w:val="231F1F"/>
          <w:w w:val="110"/>
        </w:rPr>
        <w:t>diferencias</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duración</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6"/>
          <w:w w:val="110"/>
        </w:rPr>
        <w:t> </w:t>
      </w:r>
      <w:r>
        <w:rPr>
          <w:color w:val="231F1F"/>
          <w:w w:val="110"/>
        </w:rPr>
        <w:t>1ª</w:t>
      </w:r>
      <w:r>
        <w:rPr>
          <w:color w:val="231F1F"/>
          <w:spacing w:val="-15"/>
          <w:w w:val="110"/>
        </w:rPr>
        <w:t> </w:t>
      </w:r>
      <w:r>
        <w:rPr>
          <w:color w:val="231F1F"/>
          <w:w w:val="110"/>
        </w:rPr>
        <w:t>y</w:t>
      </w:r>
      <w:r>
        <w:rPr>
          <w:color w:val="231F1F"/>
          <w:spacing w:val="-15"/>
          <w:w w:val="110"/>
        </w:rPr>
        <w:t> </w:t>
      </w:r>
      <w:r>
        <w:rPr>
          <w:color w:val="231F1F"/>
          <w:w w:val="110"/>
        </w:rPr>
        <w:t>2ª</w:t>
      </w:r>
      <w:r>
        <w:rPr>
          <w:color w:val="231F1F"/>
          <w:spacing w:val="-15"/>
          <w:w w:val="110"/>
        </w:rPr>
        <w:t> </w:t>
      </w:r>
      <w:r>
        <w:rPr>
          <w:color w:val="231F1F"/>
          <w:w w:val="110"/>
        </w:rPr>
        <w:t>etapa</w:t>
      </w:r>
      <w:r>
        <w:rPr>
          <w:color w:val="231F1F"/>
          <w:spacing w:val="-15"/>
          <w:w w:val="110"/>
        </w:rPr>
        <w:t> </w:t>
      </w:r>
      <w:r>
        <w:rPr>
          <w:color w:val="231F1F"/>
          <w:w w:val="110"/>
        </w:rPr>
        <w:t>del</w:t>
      </w:r>
      <w:r>
        <w:rPr>
          <w:color w:val="231F1F"/>
          <w:spacing w:val="-15"/>
          <w:w w:val="110"/>
        </w:rPr>
        <w:t> </w:t>
      </w:r>
      <w:r>
        <w:rPr>
          <w:color w:val="231F1F"/>
          <w:w w:val="110"/>
        </w:rPr>
        <w:t>parto ni en el uso de oxitocina entre la administración precoz y el grupo control.</w:t>
      </w:r>
    </w:p>
    <w:p>
      <w:pPr>
        <w:pStyle w:val="BodyText"/>
        <w:spacing w:line="247" w:lineRule="auto" w:before="104"/>
        <w:ind w:left="283" w:firstLine="453"/>
        <w:jc w:val="both"/>
      </w:pPr>
      <w:r>
        <w:rPr>
          <w:color w:val="231F1F"/>
          <w:w w:val="105"/>
        </w:rPr>
        <w:t>El</w:t>
      </w:r>
      <w:r>
        <w:rPr>
          <w:color w:val="231F1F"/>
          <w:w w:val="105"/>
        </w:rPr>
        <w:t> ECA</w:t>
      </w:r>
      <w:r>
        <w:rPr>
          <w:color w:val="231F1F"/>
          <w:w w:val="105"/>
        </w:rPr>
        <w:t> (327)</w:t>
      </w:r>
      <w:r>
        <w:rPr>
          <w:color w:val="231F1F"/>
          <w:w w:val="105"/>
        </w:rPr>
        <w:t> de</w:t>
      </w:r>
      <w:r>
        <w:rPr>
          <w:color w:val="231F1F"/>
          <w:w w:val="105"/>
        </w:rPr>
        <w:t> muy</w:t>
      </w:r>
      <w:r>
        <w:rPr>
          <w:color w:val="231F1F"/>
          <w:w w:val="105"/>
        </w:rPr>
        <w:t> buena</w:t>
      </w:r>
      <w:r>
        <w:rPr>
          <w:color w:val="231F1F"/>
          <w:w w:val="105"/>
        </w:rPr>
        <w:t> calidad</w:t>
      </w:r>
      <w:r>
        <w:rPr>
          <w:color w:val="231F1F"/>
          <w:w w:val="105"/>
        </w:rPr>
        <w:t> realizado</w:t>
      </w:r>
      <w:r>
        <w:rPr>
          <w:color w:val="231F1F"/>
          <w:w w:val="105"/>
        </w:rPr>
        <w:t> en</w:t>
      </w:r>
      <w:r>
        <w:rPr>
          <w:color w:val="231F1F"/>
          <w:w w:val="105"/>
        </w:rPr>
        <w:t> China,</w:t>
      </w:r>
      <w:r>
        <w:rPr>
          <w:color w:val="231F1F"/>
          <w:w w:val="105"/>
        </w:rPr>
        <w:t> tenía</w:t>
      </w:r>
      <w:r>
        <w:rPr>
          <w:color w:val="231F1F"/>
          <w:w w:val="105"/>
        </w:rPr>
        <w:t> el</w:t>
      </w:r>
      <w:r>
        <w:rPr>
          <w:color w:val="231F1F"/>
          <w:w w:val="105"/>
        </w:rPr>
        <w:t> obje- tivo</w:t>
      </w:r>
      <w:r>
        <w:rPr>
          <w:color w:val="231F1F"/>
          <w:spacing w:val="33"/>
          <w:w w:val="105"/>
        </w:rPr>
        <w:t> </w:t>
      </w:r>
      <w:r>
        <w:rPr>
          <w:color w:val="231F1F"/>
          <w:w w:val="105"/>
        </w:rPr>
        <w:t>de</w:t>
      </w:r>
      <w:r>
        <w:rPr>
          <w:color w:val="231F1F"/>
          <w:spacing w:val="33"/>
          <w:w w:val="105"/>
        </w:rPr>
        <w:t> </w:t>
      </w:r>
      <w:r>
        <w:rPr>
          <w:color w:val="231F1F"/>
          <w:w w:val="105"/>
        </w:rPr>
        <w:t>evaluar</w:t>
      </w:r>
      <w:r>
        <w:rPr>
          <w:color w:val="231F1F"/>
          <w:spacing w:val="33"/>
          <w:w w:val="105"/>
        </w:rPr>
        <w:t> </w:t>
      </w:r>
      <w:r>
        <w:rPr>
          <w:color w:val="231F1F"/>
          <w:w w:val="105"/>
        </w:rPr>
        <w:t>si</w:t>
      </w:r>
      <w:r>
        <w:rPr>
          <w:color w:val="231F1F"/>
          <w:spacing w:val="33"/>
          <w:w w:val="105"/>
        </w:rPr>
        <w:t> </w:t>
      </w:r>
      <w:r>
        <w:rPr>
          <w:color w:val="231F1F"/>
          <w:w w:val="105"/>
        </w:rPr>
        <w:t>la</w:t>
      </w:r>
      <w:r>
        <w:rPr>
          <w:color w:val="231F1F"/>
          <w:spacing w:val="33"/>
          <w:w w:val="105"/>
        </w:rPr>
        <w:t> </w:t>
      </w:r>
      <w:r>
        <w:rPr>
          <w:color w:val="231F1F"/>
          <w:w w:val="105"/>
        </w:rPr>
        <w:t>analgesia</w:t>
      </w:r>
      <w:r>
        <w:rPr>
          <w:color w:val="231F1F"/>
          <w:spacing w:val="33"/>
          <w:w w:val="105"/>
        </w:rPr>
        <w:t> </w:t>
      </w:r>
      <w:r>
        <w:rPr>
          <w:color w:val="231F1F"/>
          <w:w w:val="105"/>
        </w:rPr>
        <w:t>epidural</w:t>
      </w:r>
      <w:r>
        <w:rPr>
          <w:color w:val="231F1F"/>
          <w:spacing w:val="33"/>
          <w:w w:val="105"/>
        </w:rPr>
        <w:t> </w:t>
      </w:r>
      <w:r>
        <w:rPr>
          <w:color w:val="231F1F"/>
          <w:w w:val="105"/>
        </w:rPr>
        <w:t>controlada</w:t>
      </w:r>
      <w:r>
        <w:rPr>
          <w:color w:val="231F1F"/>
          <w:spacing w:val="33"/>
          <w:w w:val="105"/>
        </w:rPr>
        <w:t> </w:t>
      </w:r>
      <w:r>
        <w:rPr>
          <w:color w:val="231F1F"/>
          <w:w w:val="105"/>
        </w:rPr>
        <w:t>por</w:t>
      </w:r>
      <w:r>
        <w:rPr>
          <w:color w:val="231F1F"/>
          <w:spacing w:val="33"/>
          <w:w w:val="105"/>
        </w:rPr>
        <w:t> </w:t>
      </w:r>
      <w:r>
        <w:rPr>
          <w:color w:val="231F1F"/>
          <w:w w:val="105"/>
        </w:rPr>
        <w:t>la</w:t>
      </w:r>
      <w:r>
        <w:rPr>
          <w:color w:val="231F1F"/>
          <w:spacing w:val="33"/>
          <w:w w:val="105"/>
        </w:rPr>
        <w:t> </w:t>
      </w:r>
      <w:r>
        <w:rPr>
          <w:color w:val="231F1F"/>
          <w:w w:val="105"/>
        </w:rPr>
        <w:t>mujer</w:t>
      </w:r>
      <w:r>
        <w:rPr>
          <w:color w:val="231F1F"/>
          <w:spacing w:val="33"/>
          <w:w w:val="105"/>
        </w:rPr>
        <w:t> </w:t>
      </w:r>
      <w:r>
        <w:rPr>
          <w:color w:val="231F1F"/>
          <w:w w:val="105"/>
        </w:rPr>
        <w:t>administra- da</w:t>
      </w:r>
      <w:r>
        <w:rPr>
          <w:color w:val="231F1F"/>
          <w:w w:val="105"/>
        </w:rPr>
        <w:t> en</w:t>
      </w:r>
      <w:r>
        <w:rPr>
          <w:color w:val="231F1F"/>
          <w:w w:val="105"/>
        </w:rPr>
        <w:t> la</w:t>
      </w:r>
      <w:r>
        <w:rPr>
          <w:color w:val="231F1F"/>
          <w:w w:val="105"/>
        </w:rPr>
        <w:t> dilatación</w:t>
      </w:r>
      <w:r>
        <w:rPr>
          <w:color w:val="231F1F"/>
          <w:w w:val="105"/>
        </w:rPr>
        <w:t> cervical</w:t>
      </w:r>
      <w:r>
        <w:rPr>
          <w:color w:val="231F1F"/>
          <w:w w:val="105"/>
        </w:rPr>
        <w:t> de</w:t>
      </w:r>
      <w:r>
        <w:rPr>
          <w:color w:val="231F1F"/>
          <w:w w:val="105"/>
        </w:rPr>
        <w:t> 1</w:t>
      </w:r>
      <w:r>
        <w:rPr>
          <w:color w:val="231F1F"/>
          <w:w w:val="105"/>
        </w:rPr>
        <w:t> cm</w:t>
      </w:r>
      <w:r>
        <w:rPr>
          <w:color w:val="231F1F"/>
          <w:w w:val="105"/>
        </w:rPr>
        <w:t> o</w:t>
      </w:r>
      <w:r>
        <w:rPr>
          <w:color w:val="231F1F"/>
          <w:w w:val="105"/>
        </w:rPr>
        <w:t> más</w:t>
      </w:r>
      <w:r>
        <w:rPr>
          <w:color w:val="231F1F"/>
          <w:w w:val="105"/>
        </w:rPr>
        <w:t> aumenta</w:t>
      </w:r>
      <w:r>
        <w:rPr>
          <w:color w:val="231F1F"/>
          <w:w w:val="105"/>
        </w:rPr>
        <w:t> el</w:t>
      </w:r>
      <w:r>
        <w:rPr>
          <w:color w:val="231F1F"/>
          <w:w w:val="105"/>
        </w:rPr>
        <w:t> riesgo</w:t>
      </w:r>
      <w:r>
        <w:rPr>
          <w:color w:val="231F1F"/>
          <w:w w:val="105"/>
        </w:rPr>
        <w:t> de</w:t>
      </w:r>
      <w:r>
        <w:rPr>
          <w:color w:val="231F1F"/>
          <w:w w:val="105"/>
        </w:rPr>
        <w:t> parto</w:t>
      </w:r>
      <w:r>
        <w:rPr>
          <w:color w:val="231F1F"/>
          <w:w w:val="105"/>
        </w:rPr>
        <w:t> pro- longado</w:t>
      </w:r>
      <w:r>
        <w:rPr>
          <w:color w:val="231F1F"/>
          <w:w w:val="105"/>
        </w:rPr>
        <w:t> o</w:t>
      </w:r>
      <w:r>
        <w:rPr>
          <w:color w:val="231F1F"/>
          <w:w w:val="105"/>
        </w:rPr>
        <w:t> parto</w:t>
      </w:r>
      <w:r>
        <w:rPr>
          <w:color w:val="231F1F"/>
          <w:w w:val="105"/>
        </w:rPr>
        <w:t> por</w:t>
      </w:r>
      <w:r>
        <w:rPr>
          <w:color w:val="231F1F"/>
          <w:w w:val="105"/>
        </w:rPr>
        <w:t> cesárea.</w:t>
      </w:r>
      <w:r>
        <w:rPr>
          <w:color w:val="231F1F"/>
          <w:w w:val="105"/>
        </w:rPr>
        <w:t> Las</w:t>
      </w:r>
      <w:r>
        <w:rPr>
          <w:color w:val="231F1F"/>
          <w:w w:val="105"/>
        </w:rPr>
        <w:t> 12.793</w:t>
      </w:r>
      <w:r>
        <w:rPr>
          <w:color w:val="231F1F"/>
          <w:w w:val="105"/>
        </w:rPr>
        <w:t> mujeres</w:t>
      </w:r>
      <w:r>
        <w:rPr>
          <w:color w:val="231F1F"/>
          <w:w w:val="105"/>
        </w:rPr>
        <w:t> incluidas</w:t>
      </w:r>
      <w:r>
        <w:rPr>
          <w:color w:val="231F1F"/>
          <w:w w:val="105"/>
        </w:rPr>
        <w:t> en</w:t>
      </w:r>
      <w:r>
        <w:rPr>
          <w:color w:val="231F1F"/>
          <w:w w:val="105"/>
        </w:rPr>
        <w:t> el</w:t>
      </w:r>
      <w:r>
        <w:rPr>
          <w:color w:val="231F1F"/>
          <w:w w:val="105"/>
        </w:rPr>
        <w:t> estudio</w:t>
      </w:r>
      <w:r>
        <w:rPr>
          <w:color w:val="231F1F"/>
          <w:spacing w:val="80"/>
          <w:w w:val="105"/>
        </w:rPr>
        <w:t> </w:t>
      </w:r>
      <w:r>
        <w:rPr>
          <w:color w:val="231F1F"/>
          <w:w w:val="105"/>
        </w:rPr>
        <w:t>fueron</w:t>
      </w:r>
      <w:r>
        <w:rPr>
          <w:color w:val="231F1F"/>
          <w:w w:val="105"/>
        </w:rPr>
        <w:t> aleatorizadas</w:t>
      </w:r>
      <w:r>
        <w:rPr>
          <w:color w:val="231F1F"/>
          <w:w w:val="105"/>
        </w:rPr>
        <w:t> a</w:t>
      </w:r>
      <w:r>
        <w:rPr>
          <w:color w:val="231F1F"/>
          <w:w w:val="105"/>
        </w:rPr>
        <w:t> un</w:t>
      </w:r>
      <w:r>
        <w:rPr>
          <w:color w:val="231F1F"/>
          <w:w w:val="105"/>
        </w:rPr>
        <w:t> grupo</w:t>
      </w:r>
      <w:r>
        <w:rPr>
          <w:color w:val="231F1F"/>
          <w:w w:val="105"/>
        </w:rPr>
        <w:t> de</w:t>
      </w:r>
      <w:r>
        <w:rPr>
          <w:color w:val="231F1F"/>
          <w:w w:val="105"/>
        </w:rPr>
        <w:t> administración</w:t>
      </w:r>
      <w:r>
        <w:rPr>
          <w:color w:val="231F1F"/>
          <w:w w:val="105"/>
        </w:rPr>
        <w:t> precoz</w:t>
      </w:r>
      <w:r>
        <w:rPr>
          <w:color w:val="231F1F"/>
          <w:w w:val="105"/>
        </w:rPr>
        <w:t> de</w:t>
      </w:r>
      <w:r>
        <w:rPr>
          <w:color w:val="231F1F"/>
          <w:w w:val="105"/>
        </w:rPr>
        <w:t> epidural</w:t>
      </w:r>
      <w:r>
        <w:rPr>
          <w:color w:val="231F1F"/>
          <w:w w:val="105"/>
        </w:rPr>
        <w:t> (di- latación</w:t>
      </w:r>
      <w:r>
        <w:rPr>
          <w:color w:val="231F1F"/>
          <w:spacing w:val="40"/>
          <w:w w:val="105"/>
        </w:rPr>
        <w:t> </w:t>
      </w:r>
      <w:r>
        <w:rPr>
          <w:color w:val="231F1F"/>
          <w:w w:val="105"/>
        </w:rPr>
        <w:t>cervical</w:t>
      </w:r>
      <w:r>
        <w:rPr>
          <w:color w:val="231F1F"/>
          <w:spacing w:val="40"/>
          <w:w w:val="105"/>
        </w:rPr>
        <w:t> </w:t>
      </w:r>
      <w:r>
        <w:rPr>
          <w:color w:val="231F1F"/>
          <w:w w:val="105"/>
        </w:rPr>
        <w:t>de</w:t>
      </w:r>
      <w:r>
        <w:rPr>
          <w:color w:val="231F1F"/>
          <w:spacing w:val="40"/>
          <w:w w:val="105"/>
        </w:rPr>
        <w:t> </w:t>
      </w:r>
      <w:r>
        <w:rPr>
          <w:color w:val="231F1F"/>
          <w:w w:val="105"/>
        </w:rPr>
        <w:t>al</w:t>
      </w:r>
      <w:r>
        <w:rPr>
          <w:color w:val="231F1F"/>
          <w:spacing w:val="40"/>
          <w:w w:val="105"/>
        </w:rPr>
        <w:t> </w:t>
      </w:r>
      <w:r>
        <w:rPr>
          <w:color w:val="231F1F"/>
          <w:w w:val="105"/>
        </w:rPr>
        <w:t>menos</w:t>
      </w:r>
      <w:r>
        <w:rPr>
          <w:color w:val="231F1F"/>
          <w:spacing w:val="40"/>
          <w:w w:val="105"/>
        </w:rPr>
        <w:t> </w:t>
      </w:r>
      <w:r>
        <w:rPr>
          <w:color w:val="231F1F"/>
          <w:w w:val="105"/>
        </w:rPr>
        <w:t>1,0</w:t>
      </w:r>
      <w:r>
        <w:rPr>
          <w:color w:val="231F1F"/>
          <w:spacing w:val="40"/>
          <w:w w:val="105"/>
        </w:rPr>
        <w:t> </w:t>
      </w:r>
      <w:r>
        <w:rPr>
          <w:color w:val="231F1F"/>
          <w:w w:val="105"/>
        </w:rPr>
        <w:t>cm)</w:t>
      </w:r>
      <w:r>
        <w:rPr>
          <w:color w:val="231F1F"/>
          <w:spacing w:val="40"/>
          <w:w w:val="105"/>
        </w:rPr>
        <w:t> </w:t>
      </w:r>
      <w:r>
        <w:rPr>
          <w:color w:val="231F1F"/>
          <w:w w:val="105"/>
        </w:rPr>
        <w:t>o</w:t>
      </w:r>
      <w:r>
        <w:rPr>
          <w:color w:val="231F1F"/>
          <w:spacing w:val="40"/>
          <w:w w:val="105"/>
        </w:rPr>
        <w:t> </w:t>
      </w:r>
      <w:r>
        <w:rPr>
          <w:color w:val="231F1F"/>
          <w:w w:val="105"/>
        </w:rPr>
        <w:t>a</w:t>
      </w:r>
      <w:r>
        <w:rPr>
          <w:color w:val="231F1F"/>
          <w:spacing w:val="40"/>
          <w:w w:val="105"/>
        </w:rPr>
        <w:t> </w:t>
      </w:r>
      <w:r>
        <w:rPr>
          <w:color w:val="231F1F"/>
          <w:w w:val="105"/>
        </w:rPr>
        <w:t>otro</w:t>
      </w:r>
      <w:r>
        <w:rPr>
          <w:color w:val="231F1F"/>
          <w:spacing w:val="40"/>
          <w:w w:val="105"/>
        </w:rPr>
        <w:t> </w:t>
      </w:r>
      <w:r>
        <w:rPr>
          <w:color w:val="231F1F"/>
          <w:w w:val="105"/>
        </w:rPr>
        <w:t>grupo</w:t>
      </w:r>
      <w:r>
        <w:rPr>
          <w:color w:val="231F1F"/>
          <w:spacing w:val="40"/>
          <w:w w:val="105"/>
        </w:rPr>
        <w:t> </w:t>
      </w:r>
      <w:r>
        <w:rPr>
          <w:color w:val="231F1F"/>
          <w:w w:val="105"/>
        </w:rPr>
        <w:t>de</w:t>
      </w:r>
      <w:r>
        <w:rPr>
          <w:color w:val="231F1F"/>
          <w:spacing w:val="40"/>
          <w:w w:val="105"/>
        </w:rPr>
        <w:t> </w:t>
      </w:r>
      <w:r>
        <w:rPr>
          <w:color w:val="231F1F"/>
          <w:w w:val="105"/>
        </w:rPr>
        <w:t>administración tardía</w:t>
      </w:r>
      <w:r>
        <w:rPr>
          <w:color w:val="231F1F"/>
          <w:w w:val="105"/>
        </w:rPr>
        <w:t> (dilatación</w:t>
      </w:r>
      <w:r>
        <w:rPr>
          <w:color w:val="231F1F"/>
          <w:w w:val="105"/>
        </w:rPr>
        <w:t> cervical</w:t>
      </w:r>
      <w:r>
        <w:rPr>
          <w:color w:val="231F1F"/>
          <w:w w:val="105"/>
        </w:rPr>
        <w:t> de</w:t>
      </w:r>
      <w:r>
        <w:rPr>
          <w:color w:val="231F1F"/>
          <w:w w:val="105"/>
        </w:rPr>
        <w:t> al</w:t>
      </w:r>
      <w:r>
        <w:rPr>
          <w:color w:val="231F1F"/>
          <w:w w:val="105"/>
        </w:rPr>
        <w:t> menos</w:t>
      </w:r>
      <w:r>
        <w:rPr>
          <w:color w:val="231F1F"/>
          <w:w w:val="105"/>
        </w:rPr>
        <w:t> 4,0</w:t>
      </w:r>
      <w:r>
        <w:rPr>
          <w:color w:val="231F1F"/>
          <w:w w:val="105"/>
        </w:rPr>
        <w:t> cm)</w:t>
      </w:r>
      <w:r>
        <w:rPr>
          <w:color w:val="231F1F"/>
          <w:w w:val="105"/>
        </w:rPr>
        <w:t> bolo</w:t>
      </w:r>
      <w:r>
        <w:rPr>
          <w:color w:val="231F1F"/>
          <w:w w:val="105"/>
        </w:rPr>
        <w:t> de</w:t>
      </w:r>
      <w:r>
        <w:rPr>
          <w:color w:val="231F1F"/>
          <w:w w:val="105"/>
        </w:rPr>
        <w:t> 0,125%</w:t>
      </w:r>
      <w:r>
        <w:rPr>
          <w:color w:val="231F1F"/>
          <w:w w:val="105"/>
        </w:rPr>
        <w:t> ropivacaína más</w:t>
      </w:r>
      <w:r>
        <w:rPr>
          <w:color w:val="231F1F"/>
          <w:w w:val="105"/>
        </w:rPr>
        <w:t> sulfentanilo</w:t>
      </w:r>
      <w:r>
        <w:rPr>
          <w:color w:val="231F1F"/>
          <w:w w:val="105"/>
        </w:rPr>
        <w:t> 0,3</w:t>
      </w:r>
      <w:r>
        <w:rPr>
          <w:color w:val="231F1F"/>
          <w:w w:val="105"/>
        </w:rPr>
        <w:t> μg/ml</w:t>
      </w:r>
      <w:r>
        <w:rPr>
          <w:color w:val="231F1F"/>
          <w:w w:val="105"/>
        </w:rPr>
        <w:t> iniciada</w:t>
      </w:r>
      <w:r>
        <w:rPr>
          <w:color w:val="231F1F"/>
          <w:w w:val="105"/>
        </w:rPr>
        <w:t> (tras</w:t>
      </w:r>
      <w:r>
        <w:rPr>
          <w:color w:val="231F1F"/>
          <w:w w:val="105"/>
        </w:rPr>
        <w:t> dosis</w:t>
      </w:r>
      <w:r>
        <w:rPr>
          <w:color w:val="231F1F"/>
          <w:w w:val="105"/>
        </w:rPr>
        <w:t> test)</w:t>
      </w:r>
      <w:r>
        <w:rPr>
          <w:color w:val="231F1F"/>
          <w:w w:val="105"/>
        </w:rPr>
        <w:t> con</w:t>
      </w:r>
      <w:r>
        <w:rPr>
          <w:color w:val="231F1F"/>
          <w:w w:val="105"/>
        </w:rPr>
        <w:t> un</w:t>
      </w:r>
      <w:r>
        <w:rPr>
          <w:color w:val="231F1F"/>
          <w:w w:val="105"/>
        </w:rPr>
        <w:t> bolo</w:t>
      </w:r>
      <w:r>
        <w:rPr>
          <w:color w:val="231F1F"/>
          <w:w w:val="105"/>
        </w:rPr>
        <w:t> de</w:t>
      </w:r>
      <w:r>
        <w:rPr>
          <w:color w:val="231F1F"/>
          <w:w w:val="105"/>
        </w:rPr>
        <w:t> 15</w:t>
      </w:r>
      <w:r>
        <w:rPr>
          <w:color w:val="231F1F"/>
          <w:w w:val="105"/>
        </w:rPr>
        <w:t> ml</w:t>
      </w:r>
      <w:r>
        <w:rPr>
          <w:color w:val="231F1F"/>
          <w:w w:val="105"/>
        </w:rPr>
        <w:t> y mantenida</w:t>
      </w:r>
      <w:r>
        <w:rPr>
          <w:color w:val="231F1F"/>
          <w:w w:val="105"/>
        </w:rPr>
        <w:t> mediante</w:t>
      </w:r>
      <w:r>
        <w:rPr>
          <w:color w:val="231F1F"/>
          <w:w w:val="105"/>
        </w:rPr>
        <w:t> bomba</w:t>
      </w:r>
      <w:r>
        <w:rPr>
          <w:color w:val="231F1F"/>
          <w:w w:val="105"/>
        </w:rPr>
        <w:t> PCEA</w:t>
      </w:r>
      <w:r>
        <w:rPr>
          <w:color w:val="231F1F"/>
          <w:w w:val="105"/>
        </w:rPr>
        <w:t> (analgesia</w:t>
      </w:r>
      <w:r>
        <w:rPr>
          <w:color w:val="231F1F"/>
          <w:w w:val="105"/>
        </w:rPr>
        <w:t> epidural</w:t>
      </w:r>
      <w:r>
        <w:rPr>
          <w:color w:val="231F1F"/>
          <w:w w:val="105"/>
        </w:rPr>
        <w:t> controlada</w:t>
      </w:r>
      <w:r>
        <w:rPr>
          <w:color w:val="231F1F"/>
          <w:w w:val="105"/>
        </w:rPr>
        <w:t> por</w:t>
      </w:r>
      <w:r>
        <w:rPr>
          <w:color w:val="231F1F"/>
          <w:w w:val="105"/>
        </w:rPr>
        <w:t> la</w:t>
      </w:r>
      <w:r>
        <w:rPr>
          <w:color w:val="231F1F"/>
          <w:spacing w:val="40"/>
          <w:w w:val="105"/>
        </w:rPr>
        <w:t> </w:t>
      </w:r>
      <w:r>
        <w:rPr>
          <w:color w:val="231F1F"/>
          <w:w w:val="105"/>
        </w:rPr>
        <w:t>mujer)</w:t>
      </w:r>
      <w:r>
        <w:rPr>
          <w:color w:val="231F1F"/>
          <w:spacing w:val="40"/>
          <w:w w:val="105"/>
        </w:rPr>
        <w:t> </w:t>
      </w:r>
      <w:r>
        <w:rPr>
          <w:color w:val="231F1F"/>
          <w:w w:val="105"/>
        </w:rPr>
        <w:t>con</w:t>
      </w:r>
      <w:r>
        <w:rPr>
          <w:color w:val="231F1F"/>
          <w:spacing w:val="40"/>
          <w:w w:val="105"/>
        </w:rPr>
        <w:t> </w:t>
      </w:r>
      <w:r>
        <w:rPr>
          <w:color w:val="231F1F"/>
          <w:w w:val="105"/>
        </w:rPr>
        <w:t>bolos</w:t>
      </w:r>
      <w:r>
        <w:rPr>
          <w:color w:val="231F1F"/>
          <w:spacing w:val="40"/>
          <w:w w:val="105"/>
        </w:rPr>
        <w:t> </w:t>
      </w:r>
      <w:r>
        <w:rPr>
          <w:color w:val="231F1F"/>
          <w:w w:val="105"/>
        </w:rPr>
        <w:t>de</w:t>
      </w:r>
      <w:r>
        <w:rPr>
          <w:color w:val="231F1F"/>
          <w:spacing w:val="40"/>
          <w:w w:val="105"/>
        </w:rPr>
        <w:t> </w:t>
      </w:r>
      <w:r>
        <w:rPr>
          <w:color w:val="231F1F"/>
          <w:w w:val="105"/>
        </w:rPr>
        <w:t>10ml</w:t>
      </w:r>
      <w:r>
        <w:rPr>
          <w:color w:val="231F1F"/>
          <w:spacing w:val="40"/>
          <w:w w:val="105"/>
        </w:rPr>
        <w:t> </w:t>
      </w:r>
      <w:r>
        <w:rPr>
          <w:color w:val="231F1F"/>
          <w:w w:val="105"/>
        </w:rPr>
        <w:t>infusión</w:t>
      </w:r>
      <w:r>
        <w:rPr>
          <w:color w:val="231F1F"/>
          <w:spacing w:val="40"/>
          <w:w w:val="105"/>
        </w:rPr>
        <w:t> </w:t>
      </w:r>
      <w:r>
        <w:rPr>
          <w:color w:val="231F1F"/>
          <w:w w:val="105"/>
        </w:rPr>
        <w:t>continua.</w:t>
      </w:r>
      <w:r>
        <w:rPr>
          <w:color w:val="231F1F"/>
          <w:spacing w:val="40"/>
          <w:w w:val="105"/>
        </w:rPr>
        <w:t> </w:t>
      </w:r>
      <w:r>
        <w:rPr>
          <w:color w:val="231F1F"/>
          <w:w w:val="105"/>
        </w:rPr>
        <w:t>El</w:t>
      </w:r>
      <w:r>
        <w:rPr>
          <w:color w:val="231F1F"/>
          <w:spacing w:val="40"/>
          <w:w w:val="105"/>
        </w:rPr>
        <w:t> </w:t>
      </w:r>
      <w:r>
        <w:rPr>
          <w:color w:val="231F1F"/>
          <w:w w:val="105"/>
        </w:rPr>
        <w:t>resultado</w:t>
      </w:r>
      <w:r>
        <w:rPr>
          <w:color w:val="231F1F"/>
          <w:spacing w:val="40"/>
          <w:w w:val="105"/>
        </w:rPr>
        <w:t> </w:t>
      </w:r>
      <w:r>
        <w:rPr>
          <w:color w:val="231F1F"/>
          <w:w w:val="105"/>
        </w:rPr>
        <w:t>primario</w:t>
      </w:r>
      <w:r>
        <w:rPr>
          <w:color w:val="231F1F"/>
          <w:spacing w:val="40"/>
          <w:w w:val="105"/>
        </w:rPr>
        <w:t> </w:t>
      </w:r>
      <w:r>
        <w:rPr>
          <w:color w:val="231F1F"/>
          <w:w w:val="105"/>
        </w:rPr>
        <w:t>fue</w:t>
      </w:r>
      <w:r>
        <w:rPr>
          <w:color w:val="231F1F"/>
          <w:spacing w:val="40"/>
          <w:w w:val="105"/>
        </w:rPr>
        <w:t> </w:t>
      </w:r>
      <w:r>
        <w:rPr>
          <w:color w:val="231F1F"/>
          <w:w w:val="105"/>
        </w:rPr>
        <w:t>la tasa</w:t>
      </w:r>
      <w:r>
        <w:rPr>
          <w:color w:val="231F1F"/>
          <w:w w:val="105"/>
        </w:rPr>
        <w:t> de</w:t>
      </w:r>
      <w:r>
        <w:rPr>
          <w:color w:val="231F1F"/>
          <w:w w:val="105"/>
        </w:rPr>
        <w:t> cesárea</w:t>
      </w:r>
      <w:r>
        <w:rPr>
          <w:color w:val="231F1F"/>
          <w:w w:val="105"/>
        </w:rPr>
        <w:t> y</w:t>
      </w:r>
      <w:r>
        <w:rPr>
          <w:color w:val="231F1F"/>
          <w:w w:val="105"/>
        </w:rPr>
        <w:t> el</w:t>
      </w:r>
      <w:r>
        <w:rPr>
          <w:color w:val="231F1F"/>
          <w:w w:val="105"/>
        </w:rPr>
        <w:t> análisis</w:t>
      </w:r>
      <w:r>
        <w:rPr>
          <w:color w:val="231F1F"/>
          <w:w w:val="105"/>
        </w:rPr>
        <w:t> por</w:t>
      </w:r>
      <w:r>
        <w:rPr>
          <w:color w:val="231F1F"/>
          <w:w w:val="105"/>
        </w:rPr>
        <w:t> intención</w:t>
      </w:r>
      <w:r>
        <w:rPr>
          <w:color w:val="231F1F"/>
          <w:w w:val="105"/>
        </w:rPr>
        <w:t> de</w:t>
      </w:r>
      <w:r>
        <w:rPr>
          <w:color w:val="231F1F"/>
          <w:w w:val="105"/>
        </w:rPr>
        <w:t> tratar</w:t>
      </w:r>
      <w:r>
        <w:rPr>
          <w:color w:val="231F1F"/>
          <w:w w:val="105"/>
        </w:rPr>
        <w:t> no</w:t>
      </w:r>
      <w:r>
        <w:rPr>
          <w:color w:val="231F1F"/>
          <w:w w:val="105"/>
        </w:rPr>
        <w:t> mostró</w:t>
      </w:r>
      <w:r>
        <w:rPr>
          <w:color w:val="231F1F"/>
          <w:w w:val="105"/>
        </w:rPr>
        <w:t> diferencias estadísticamente</w:t>
      </w:r>
      <w:r>
        <w:rPr>
          <w:color w:val="231F1F"/>
          <w:w w:val="105"/>
        </w:rPr>
        <w:t> significativas</w:t>
      </w:r>
      <w:r>
        <w:rPr>
          <w:color w:val="231F1F"/>
          <w:w w:val="105"/>
        </w:rPr>
        <w:t> entre</w:t>
      </w:r>
      <w:r>
        <w:rPr>
          <w:color w:val="231F1F"/>
          <w:w w:val="105"/>
        </w:rPr>
        <w:t> los</w:t>
      </w:r>
      <w:r>
        <w:rPr>
          <w:color w:val="231F1F"/>
          <w:w w:val="105"/>
        </w:rPr>
        <w:t> dos</w:t>
      </w:r>
      <w:r>
        <w:rPr>
          <w:color w:val="231F1F"/>
          <w:w w:val="105"/>
        </w:rPr>
        <w:t> grupos:</w:t>
      </w:r>
      <w:r>
        <w:rPr>
          <w:color w:val="231F1F"/>
          <w:w w:val="105"/>
        </w:rPr>
        <w:t> 23,2%</w:t>
      </w:r>
      <w:r>
        <w:rPr>
          <w:color w:val="231F1F"/>
          <w:w w:val="105"/>
        </w:rPr>
        <w:t> [IC</w:t>
      </w:r>
      <w:r>
        <w:rPr>
          <w:color w:val="231F1F"/>
          <w:w w:val="105"/>
        </w:rPr>
        <w:t> 95%</w:t>
      </w:r>
      <w:r>
        <w:rPr>
          <w:color w:val="231F1F"/>
          <w:w w:val="105"/>
        </w:rPr>
        <w:t> 18,7</w:t>
      </w:r>
      <w:r>
        <w:rPr>
          <w:color w:val="231F1F"/>
          <w:w w:val="105"/>
        </w:rPr>
        <w:t> a 24,5]</w:t>
      </w:r>
      <w:r>
        <w:rPr>
          <w:color w:val="231F1F"/>
          <w:spacing w:val="24"/>
          <w:w w:val="105"/>
        </w:rPr>
        <w:t> </w:t>
      </w:r>
      <w:r>
        <w:rPr>
          <w:color w:val="231F1F"/>
          <w:w w:val="105"/>
        </w:rPr>
        <w:t>en</w:t>
      </w:r>
      <w:r>
        <w:rPr>
          <w:color w:val="231F1F"/>
          <w:spacing w:val="24"/>
          <w:w w:val="105"/>
        </w:rPr>
        <w:t> </w:t>
      </w:r>
      <w:r>
        <w:rPr>
          <w:color w:val="231F1F"/>
          <w:w w:val="105"/>
        </w:rPr>
        <w:t>el</w:t>
      </w:r>
      <w:r>
        <w:rPr>
          <w:color w:val="231F1F"/>
          <w:spacing w:val="24"/>
          <w:w w:val="105"/>
        </w:rPr>
        <w:t> </w:t>
      </w:r>
      <w:r>
        <w:rPr>
          <w:color w:val="231F1F"/>
          <w:w w:val="105"/>
        </w:rPr>
        <w:t>grupo</w:t>
      </w:r>
      <w:r>
        <w:rPr>
          <w:color w:val="231F1F"/>
          <w:spacing w:val="24"/>
          <w:w w:val="105"/>
        </w:rPr>
        <w:t> </w:t>
      </w:r>
      <w:r>
        <w:rPr>
          <w:color w:val="231F1F"/>
          <w:w w:val="105"/>
        </w:rPr>
        <w:t>de</w:t>
      </w:r>
      <w:r>
        <w:rPr>
          <w:color w:val="231F1F"/>
          <w:spacing w:val="24"/>
          <w:w w:val="105"/>
        </w:rPr>
        <w:t> </w:t>
      </w:r>
      <w:r>
        <w:rPr>
          <w:color w:val="231F1F"/>
          <w:w w:val="105"/>
        </w:rPr>
        <w:t>analgesia</w:t>
      </w:r>
      <w:r>
        <w:rPr>
          <w:color w:val="231F1F"/>
          <w:spacing w:val="24"/>
          <w:w w:val="105"/>
        </w:rPr>
        <w:t> </w:t>
      </w:r>
      <w:r>
        <w:rPr>
          <w:color w:val="231F1F"/>
          <w:w w:val="105"/>
        </w:rPr>
        <w:t>temprana</w:t>
      </w:r>
      <w:r>
        <w:rPr>
          <w:color w:val="231F1F"/>
          <w:spacing w:val="23"/>
          <w:w w:val="105"/>
        </w:rPr>
        <w:t> </w:t>
      </w:r>
      <w:r>
        <w:rPr>
          <w:color w:val="231F1F"/>
          <w:w w:val="105"/>
        </w:rPr>
        <w:t>vs</w:t>
      </w:r>
      <w:r>
        <w:rPr>
          <w:color w:val="231F1F"/>
          <w:spacing w:val="24"/>
          <w:w w:val="105"/>
        </w:rPr>
        <w:t> </w:t>
      </w:r>
      <w:r>
        <w:rPr>
          <w:color w:val="231F1F"/>
          <w:w w:val="105"/>
        </w:rPr>
        <w:t>22,8%</w:t>
      </w:r>
      <w:r>
        <w:rPr>
          <w:color w:val="231F1F"/>
          <w:spacing w:val="24"/>
          <w:w w:val="105"/>
        </w:rPr>
        <w:t> </w:t>
      </w:r>
      <w:r>
        <w:rPr>
          <w:color w:val="231F1F"/>
          <w:w w:val="105"/>
        </w:rPr>
        <w:t>[IC</w:t>
      </w:r>
      <w:r>
        <w:rPr>
          <w:color w:val="231F1F"/>
          <w:spacing w:val="24"/>
          <w:w w:val="105"/>
        </w:rPr>
        <w:t> </w:t>
      </w:r>
      <w:r>
        <w:rPr>
          <w:color w:val="231F1F"/>
          <w:w w:val="105"/>
        </w:rPr>
        <w:t>95%</w:t>
      </w:r>
      <w:r>
        <w:rPr>
          <w:color w:val="231F1F"/>
          <w:spacing w:val="24"/>
          <w:w w:val="105"/>
        </w:rPr>
        <w:t> </w:t>
      </w:r>
      <w:r>
        <w:rPr>
          <w:color w:val="231F1F"/>
          <w:w w:val="105"/>
        </w:rPr>
        <w:t>18,7</w:t>
      </w:r>
      <w:r>
        <w:rPr>
          <w:color w:val="231F1F"/>
          <w:spacing w:val="24"/>
          <w:w w:val="105"/>
        </w:rPr>
        <w:t> </w:t>
      </w:r>
      <w:r>
        <w:rPr>
          <w:color w:val="231F1F"/>
          <w:w w:val="105"/>
        </w:rPr>
        <w:t>a</w:t>
      </w:r>
      <w:r>
        <w:rPr>
          <w:color w:val="231F1F"/>
          <w:spacing w:val="24"/>
          <w:w w:val="105"/>
        </w:rPr>
        <w:t> </w:t>
      </w:r>
      <w:r>
        <w:rPr>
          <w:color w:val="231F1F"/>
          <w:w w:val="105"/>
        </w:rPr>
        <w:t>24,9]</w:t>
      </w:r>
      <w:r>
        <w:rPr>
          <w:color w:val="231F1F"/>
          <w:spacing w:val="24"/>
          <w:w w:val="105"/>
        </w:rPr>
        <w:t> </w:t>
      </w:r>
      <w:r>
        <w:rPr>
          <w:color w:val="231F1F"/>
          <w:w w:val="105"/>
        </w:rPr>
        <w:t>en el grupo de analgesia tardía. La duración del parto vaginal desde la petición</w:t>
      </w:r>
      <w:r>
        <w:rPr>
          <w:color w:val="231F1F"/>
          <w:spacing w:val="80"/>
          <w:w w:val="105"/>
        </w:rPr>
        <w:t> </w:t>
      </w:r>
      <w:r>
        <w:rPr>
          <w:color w:val="231F1F"/>
          <w:w w:val="105"/>
        </w:rPr>
        <w:t>de</w:t>
      </w:r>
      <w:r>
        <w:rPr>
          <w:color w:val="231F1F"/>
          <w:w w:val="105"/>
        </w:rPr>
        <w:t> analgesia</w:t>
      </w:r>
      <w:r>
        <w:rPr>
          <w:color w:val="231F1F"/>
          <w:w w:val="105"/>
        </w:rPr>
        <w:t> es</w:t>
      </w:r>
      <w:r>
        <w:rPr>
          <w:color w:val="231F1F"/>
          <w:w w:val="105"/>
        </w:rPr>
        <w:t> igual</w:t>
      </w:r>
      <w:r>
        <w:rPr>
          <w:color w:val="231F1F"/>
          <w:w w:val="105"/>
        </w:rPr>
        <w:t> en</w:t>
      </w:r>
      <w:r>
        <w:rPr>
          <w:color w:val="231F1F"/>
          <w:w w:val="105"/>
        </w:rPr>
        <w:t> ambos</w:t>
      </w:r>
      <w:r>
        <w:rPr>
          <w:color w:val="231F1F"/>
          <w:w w:val="105"/>
        </w:rPr>
        <w:t> grupos:</w:t>
      </w:r>
      <w:r>
        <w:rPr>
          <w:color w:val="231F1F"/>
          <w:w w:val="105"/>
        </w:rPr>
        <w:t> 11,3±4,5</w:t>
      </w:r>
      <w:r>
        <w:rPr>
          <w:color w:val="231F1F"/>
          <w:w w:val="105"/>
        </w:rPr>
        <w:t> h</w:t>
      </w:r>
      <w:r>
        <w:rPr>
          <w:color w:val="231F1F"/>
          <w:w w:val="105"/>
        </w:rPr>
        <w:t> para</w:t>
      </w:r>
      <w:r>
        <w:rPr>
          <w:color w:val="231F1F"/>
          <w:w w:val="105"/>
        </w:rPr>
        <w:t> epidural</w:t>
      </w:r>
      <w:r>
        <w:rPr>
          <w:color w:val="231F1F"/>
          <w:w w:val="105"/>
        </w:rPr>
        <w:t> precoz</w:t>
      </w:r>
      <w:r>
        <w:rPr>
          <w:color w:val="231F1F"/>
          <w:w w:val="105"/>
        </w:rPr>
        <w:t> vs 11,8±4,9</w:t>
      </w:r>
      <w:r>
        <w:rPr>
          <w:color w:val="231F1F"/>
          <w:w w:val="105"/>
        </w:rPr>
        <w:t> h</w:t>
      </w:r>
      <w:r>
        <w:rPr>
          <w:color w:val="231F1F"/>
          <w:w w:val="105"/>
        </w:rPr>
        <w:t> para</w:t>
      </w:r>
      <w:r>
        <w:rPr>
          <w:color w:val="231F1F"/>
          <w:w w:val="105"/>
        </w:rPr>
        <w:t> las</w:t>
      </w:r>
      <w:r>
        <w:rPr>
          <w:color w:val="231F1F"/>
          <w:w w:val="105"/>
        </w:rPr>
        <w:t> mujeres</w:t>
      </w:r>
      <w:r>
        <w:rPr>
          <w:color w:val="231F1F"/>
          <w:w w:val="105"/>
        </w:rPr>
        <w:t> del</w:t>
      </w:r>
      <w:r>
        <w:rPr>
          <w:color w:val="231F1F"/>
          <w:w w:val="105"/>
        </w:rPr>
        <w:t> grupo</w:t>
      </w:r>
      <w:r>
        <w:rPr>
          <w:color w:val="231F1F"/>
          <w:w w:val="105"/>
        </w:rPr>
        <w:t> epidural</w:t>
      </w:r>
      <w:r>
        <w:rPr>
          <w:color w:val="231F1F"/>
          <w:w w:val="105"/>
        </w:rPr>
        <w:t> tardía;</w:t>
      </w:r>
      <w:r>
        <w:rPr>
          <w:color w:val="231F1F"/>
          <w:w w:val="105"/>
        </w:rPr>
        <w:t> p=0,90).</w:t>
      </w:r>
      <w:r>
        <w:rPr>
          <w:color w:val="231F1F"/>
          <w:w w:val="105"/>
        </w:rPr>
        <w:t> No</w:t>
      </w:r>
      <w:r>
        <w:rPr>
          <w:color w:val="231F1F"/>
          <w:w w:val="105"/>
        </w:rPr>
        <w:t> hubo diferencias</w:t>
      </w:r>
      <w:r>
        <w:rPr>
          <w:color w:val="231F1F"/>
          <w:spacing w:val="37"/>
          <w:w w:val="105"/>
        </w:rPr>
        <w:t> </w:t>
      </w:r>
      <w:r>
        <w:rPr>
          <w:color w:val="231F1F"/>
          <w:w w:val="105"/>
        </w:rPr>
        <w:t>estadísticamente</w:t>
      </w:r>
      <w:r>
        <w:rPr>
          <w:color w:val="231F1F"/>
          <w:spacing w:val="40"/>
          <w:w w:val="105"/>
        </w:rPr>
        <w:t> </w:t>
      </w:r>
      <w:r>
        <w:rPr>
          <w:color w:val="231F1F"/>
          <w:w w:val="105"/>
        </w:rPr>
        <w:t>significativas</w:t>
      </w:r>
      <w:r>
        <w:rPr>
          <w:color w:val="231F1F"/>
          <w:spacing w:val="38"/>
          <w:w w:val="105"/>
        </w:rPr>
        <w:t> </w:t>
      </w:r>
      <w:r>
        <w:rPr>
          <w:color w:val="231F1F"/>
          <w:w w:val="105"/>
        </w:rPr>
        <w:t>en</w:t>
      </w:r>
      <w:r>
        <w:rPr>
          <w:color w:val="231F1F"/>
          <w:spacing w:val="39"/>
          <w:w w:val="105"/>
        </w:rPr>
        <w:t> </w:t>
      </w:r>
      <w:r>
        <w:rPr>
          <w:color w:val="231F1F"/>
          <w:w w:val="105"/>
        </w:rPr>
        <w:t>la</w:t>
      </w:r>
      <w:r>
        <w:rPr>
          <w:color w:val="231F1F"/>
          <w:spacing w:val="39"/>
          <w:w w:val="105"/>
        </w:rPr>
        <w:t> </w:t>
      </w:r>
      <w:r>
        <w:rPr>
          <w:color w:val="231F1F"/>
          <w:w w:val="105"/>
        </w:rPr>
        <w:t>duración</w:t>
      </w:r>
      <w:r>
        <w:rPr>
          <w:color w:val="231F1F"/>
          <w:spacing w:val="38"/>
          <w:w w:val="105"/>
        </w:rPr>
        <w:t> </w:t>
      </w:r>
      <w:r>
        <w:rPr>
          <w:color w:val="231F1F"/>
          <w:w w:val="105"/>
        </w:rPr>
        <w:t>del</w:t>
      </w:r>
      <w:r>
        <w:rPr>
          <w:color w:val="231F1F"/>
          <w:spacing w:val="38"/>
          <w:w w:val="105"/>
        </w:rPr>
        <w:t> </w:t>
      </w:r>
      <w:r>
        <w:rPr>
          <w:color w:val="231F1F"/>
          <w:w w:val="105"/>
        </w:rPr>
        <w:t>parto</w:t>
      </w:r>
      <w:r>
        <w:rPr>
          <w:color w:val="231F1F"/>
          <w:spacing w:val="38"/>
          <w:w w:val="105"/>
        </w:rPr>
        <w:t> </w:t>
      </w:r>
      <w:r>
        <w:rPr>
          <w:color w:val="231F1F"/>
          <w:w w:val="105"/>
        </w:rPr>
        <w:t>vaginal, en</w:t>
      </w:r>
      <w:r>
        <w:rPr>
          <w:color w:val="231F1F"/>
          <w:spacing w:val="36"/>
          <w:w w:val="105"/>
        </w:rPr>
        <w:t> </w:t>
      </w:r>
      <w:r>
        <w:rPr>
          <w:color w:val="231F1F"/>
          <w:w w:val="105"/>
        </w:rPr>
        <w:t>la</w:t>
      </w:r>
      <w:r>
        <w:rPr>
          <w:color w:val="231F1F"/>
          <w:spacing w:val="36"/>
          <w:w w:val="105"/>
        </w:rPr>
        <w:t> </w:t>
      </w:r>
      <w:r>
        <w:rPr>
          <w:color w:val="231F1F"/>
          <w:w w:val="105"/>
        </w:rPr>
        <w:t>fase</w:t>
      </w:r>
      <w:r>
        <w:rPr>
          <w:color w:val="231F1F"/>
          <w:spacing w:val="36"/>
          <w:w w:val="105"/>
        </w:rPr>
        <w:t> </w:t>
      </w:r>
      <w:r>
        <w:rPr>
          <w:color w:val="231F1F"/>
          <w:w w:val="105"/>
        </w:rPr>
        <w:t>latente</w:t>
      </w:r>
      <w:r>
        <w:rPr>
          <w:color w:val="231F1F"/>
          <w:spacing w:val="36"/>
          <w:w w:val="105"/>
        </w:rPr>
        <w:t> </w:t>
      </w:r>
      <w:r>
        <w:rPr>
          <w:color w:val="231F1F"/>
          <w:w w:val="105"/>
        </w:rPr>
        <w:t>y</w:t>
      </w:r>
      <w:r>
        <w:rPr>
          <w:color w:val="231F1F"/>
          <w:spacing w:val="36"/>
          <w:w w:val="105"/>
        </w:rPr>
        <w:t> </w:t>
      </w:r>
      <w:r>
        <w:rPr>
          <w:color w:val="231F1F"/>
          <w:w w:val="105"/>
        </w:rPr>
        <w:t>activa</w:t>
      </w:r>
      <w:r>
        <w:rPr>
          <w:color w:val="231F1F"/>
          <w:spacing w:val="36"/>
          <w:w w:val="105"/>
        </w:rPr>
        <w:t> </w:t>
      </w:r>
      <w:r>
        <w:rPr>
          <w:color w:val="231F1F"/>
          <w:w w:val="105"/>
        </w:rPr>
        <w:t>de</w:t>
      </w:r>
      <w:r>
        <w:rPr>
          <w:color w:val="231F1F"/>
          <w:spacing w:val="36"/>
          <w:w w:val="105"/>
        </w:rPr>
        <w:t> </w:t>
      </w:r>
      <w:r>
        <w:rPr>
          <w:color w:val="231F1F"/>
          <w:w w:val="105"/>
        </w:rPr>
        <w:t>la</w:t>
      </w:r>
      <w:r>
        <w:rPr>
          <w:color w:val="231F1F"/>
          <w:spacing w:val="36"/>
          <w:w w:val="105"/>
        </w:rPr>
        <w:t> </w:t>
      </w:r>
      <w:r>
        <w:rPr>
          <w:color w:val="231F1F"/>
          <w:w w:val="105"/>
        </w:rPr>
        <w:t>primera</w:t>
      </w:r>
      <w:r>
        <w:rPr>
          <w:color w:val="231F1F"/>
          <w:spacing w:val="36"/>
          <w:w w:val="105"/>
        </w:rPr>
        <w:t> </w:t>
      </w:r>
      <w:r>
        <w:rPr>
          <w:color w:val="231F1F"/>
          <w:w w:val="105"/>
        </w:rPr>
        <w:t>etapa</w:t>
      </w:r>
      <w:r>
        <w:rPr>
          <w:color w:val="231F1F"/>
          <w:spacing w:val="36"/>
          <w:w w:val="105"/>
        </w:rPr>
        <w:t> </w:t>
      </w:r>
      <w:r>
        <w:rPr>
          <w:color w:val="231F1F"/>
          <w:w w:val="105"/>
        </w:rPr>
        <w:t>del</w:t>
      </w:r>
      <w:r>
        <w:rPr>
          <w:color w:val="231F1F"/>
          <w:spacing w:val="36"/>
          <w:w w:val="105"/>
        </w:rPr>
        <w:t> </w:t>
      </w:r>
      <w:r>
        <w:rPr>
          <w:color w:val="231F1F"/>
          <w:w w:val="105"/>
        </w:rPr>
        <w:t>parto,</w:t>
      </w:r>
      <w:r>
        <w:rPr>
          <w:color w:val="231F1F"/>
          <w:spacing w:val="36"/>
          <w:w w:val="105"/>
        </w:rPr>
        <w:t> </w:t>
      </w:r>
      <w:r>
        <w:rPr>
          <w:color w:val="231F1F"/>
          <w:w w:val="105"/>
        </w:rPr>
        <w:t>ni</w:t>
      </w:r>
      <w:r>
        <w:rPr>
          <w:color w:val="231F1F"/>
          <w:spacing w:val="36"/>
          <w:w w:val="105"/>
        </w:rPr>
        <w:t> </w:t>
      </w:r>
      <w:r>
        <w:rPr>
          <w:color w:val="231F1F"/>
          <w:w w:val="105"/>
        </w:rPr>
        <w:t>en</w:t>
      </w:r>
      <w:r>
        <w:rPr>
          <w:color w:val="231F1F"/>
          <w:spacing w:val="36"/>
          <w:w w:val="105"/>
        </w:rPr>
        <w:t> </w:t>
      </w:r>
      <w:r>
        <w:rPr>
          <w:color w:val="231F1F"/>
          <w:w w:val="105"/>
        </w:rPr>
        <w:t>la</w:t>
      </w:r>
      <w:r>
        <w:rPr>
          <w:color w:val="231F1F"/>
          <w:spacing w:val="36"/>
          <w:w w:val="105"/>
        </w:rPr>
        <w:t> </w:t>
      </w:r>
      <w:r>
        <w:rPr>
          <w:color w:val="231F1F"/>
          <w:w w:val="105"/>
        </w:rPr>
        <w:t>duración de la segunda etapa del parto. La incidencia de vómitos durante el parto fue significativamente</w:t>
      </w:r>
      <w:r>
        <w:rPr>
          <w:color w:val="231F1F"/>
          <w:w w:val="105"/>
        </w:rPr>
        <w:t> menor</w:t>
      </w:r>
      <w:r>
        <w:rPr>
          <w:color w:val="231F1F"/>
          <w:w w:val="105"/>
        </w:rPr>
        <w:t> en</w:t>
      </w:r>
      <w:r>
        <w:rPr>
          <w:color w:val="231F1F"/>
          <w:w w:val="105"/>
        </w:rPr>
        <w:t> el</w:t>
      </w:r>
      <w:r>
        <w:rPr>
          <w:color w:val="231F1F"/>
          <w:w w:val="105"/>
        </w:rPr>
        <w:t> grupo</w:t>
      </w:r>
      <w:r>
        <w:rPr>
          <w:color w:val="231F1F"/>
          <w:w w:val="105"/>
        </w:rPr>
        <w:t> de</w:t>
      </w:r>
      <w:r>
        <w:rPr>
          <w:color w:val="231F1F"/>
          <w:w w:val="105"/>
        </w:rPr>
        <w:t> administración</w:t>
      </w:r>
      <w:r>
        <w:rPr>
          <w:color w:val="231F1F"/>
          <w:w w:val="105"/>
        </w:rPr>
        <w:t> temprana</w:t>
      </w:r>
      <w:r>
        <w:rPr>
          <w:color w:val="231F1F"/>
          <w:w w:val="105"/>
        </w:rPr>
        <w:t> de</w:t>
      </w:r>
      <w:r>
        <w:rPr>
          <w:color w:val="231F1F"/>
          <w:w w:val="105"/>
        </w:rPr>
        <w:t> epi- dural: 535 (8,4%) mujeres con náuseas vs. 659 (10,3%) mujeres con náuseas en</w:t>
      </w:r>
      <w:r>
        <w:rPr>
          <w:color w:val="231F1F"/>
          <w:w w:val="105"/>
        </w:rPr>
        <w:t> el</w:t>
      </w:r>
      <w:r>
        <w:rPr>
          <w:color w:val="231F1F"/>
          <w:w w:val="105"/>
        </w:rPr>
        <w:t> grupo</w:t>
      </w:r>
      <w:r>
        <w:rPr>
          <w:color w:val="231F1F"/>
          <w:w w:val="105"/>
        </w:rPr>
        <w:t> de</w:t>
      </w:r>
      <w:r>
        <w:rPr>
          <w:color w:val="231F1F"/>
          <w:w w:val="105"/>
        </w:rPr>
        <w:t> epidural</w:t>
      </w:r>
      <w:r>
        <w:rPr>
          <w:color w:val="231F1F"/>
          <w:w w:val="105"/>
        </w:rPr>
        <w:t> tardía;</w:t>
      </w:r>
      <w:r>
        <w:rPr>
          <w:color w:val="231F1F"/>
          <w:w w:val="105"/>
        </w:rPr>
        <w:t> p=0,002,</w:t>
      </w:r>
      <w:r>
        <w:rPr>
          <w:color w:val="231F1F"/>
          <w:w w:val="105"/>
        </w:rPr>
        <w:t> aunque</w:t>
      </w:r>
      <w:r>
        <w:rPr>
          <w:color w:val="231F1F"/>
          <w:w w:val="105"/>
        </w:rPr>
        <w:t> esto</w:t>
      </w:r>
      <w:r>
        <w:rPr>
          <w:color w:val="231F1F"/>
          <w:w w:val="105"/>
        </w:rPr>
        <w:t> último</w:t>
      </w:r>
      <w:r>
        <w:rPr>
          <w:color w:val="231F1F"/>
          <w:w w:val="105"/>
        </w:rPr>
        <w:t> puede</w:t>
      </w:r>
      <w:r>
        <w:rPr>
          <w:color w:val="231F1F"/>
          <w:w w:val="105"/>
        </w:rPr>
        <w:t> estar relacionadao</w:t>
      </w:r>
      <w:r>
        <w:rPr>
          <w:color w:val="231F1F"/>
          <w:w w:val="105"/>
        </w:rPr>
        <w:t> porque</w:t>
      </w:r>
      <w:r>
        <w:rPr>
          <w:color w:val="231F1F"/>
          <w:w w:val="105"/>
        </w:rPr>
        <w:t> la</w:t>
      </w:r>
      <w:r>
        <w:rPr>
          <w:color w:val="231F1F"/>
          <w:w w:val="105"/>
        </w:rPr>
        <w:t> administración</w:t>
      </w:r>
      <w:r>
        <w:rPr>
          <w:color w:val="231F1F"/>
          <w:w w:val="105"/>
        </w:rPr>
        <w:t> tardía</w:t>
      </w:r>
      <w:r>
        <w:rPr>
          <w:color w:val="231F1F"/>
          <w:w w:val="105"/>
        </w:rPr>
        <w:t> se</w:t>
      </w:r>
      <w:r>
        <w:rPr>
          <w:color w:val="231F1F"/>
          <w:w w:val="105"/>
        </w:rPr>
        <w:t> realizaba</w:t>
      </w:r>
      <w:r>
        <w:rPr>
          <w:color w:val="231F1F"/>
          <w:w w:val="105"/>
        </w:rPr>
        <w:t> junto</w:t>
      </w:r>
      <w:r>
        <w:rPr>
          <w:color w:val="231F1F"/>
          <w:w w:val="105"/>
        </w:rPr>
        <w:t> a</w:t>
      </w:r>
      <w:r>
        <w:rPr>
          <w:color w:val="231F1F"/>
          <w:w w:val="105"/>
        </w:rPr>
        <w:t> la</w:t>
      </w:r>
      <w:r>
        <w:rPr>
          <w:color w:val="231F1F"/>
          <w:w w:val="105"/>
        </w:rPr>
        <w:t> admi- nistración</w:t>
      </w:r>
      <w:r>
        <w:rPr>
          <w:color w:val="231F1F"/>
          <w:w w:val="105"/>
        </w:rPr>
        <w:t> de</w:t>
      </w:r>
      <w:r>
        <w:rPr>
          <w:color w:val="231F1F"/>
          <w:w w:val="105"/>
        </w:rPr>
        <w:t> meperidina.</w:t>
      </w:r>
      <w:r>
        <w:rPr>
          <w:color w:val="231F1F"/>
          <w:w w:val="105"/>
        </w:rPr>
        <w:t> No</w:t>
      </w:r>
      <w:r>
        <w:rPr>
          <w:color w:val="231F1F"/>
          <w:w w:val="105"/>
        </w:rPr>
        <w:t> se</w:t>
      </w:r>
      <w:r>
        <w:rPr>
          <w:color w:val="231F1F"/>
          <w:w w:val="105"/>
        </w:rPr>
        <w:t> observaron</w:t>
      </w:r>
      <w:r>
        <w:rPr>
          <w:color w:val="231F1F"/>
          <w:w w:val="105"/>
        </w:rPr>
        <w:t> diferencias</w:t>
      </w:r>
      <w:r>
        <w:rPr>
          <w:color w:val="231F1F"/>
          <w:w w:val="105"/>
        </w:rPr>
        <w:t> significativas</w:t>
      </w:r>
      <w:r>
        <w:rPr>
          <w:color w:val="231F1F"/>
          <w:w w:val="105"/>
        </w:rPr>
        <w:t> en</w:t>
      </w:r>
      <w:r>
        <w:rPr>
          <w:color w:val="231F1F"/>
          <w:w w:val="105"/>
        </w:rPr>
        <w:t> el resto</w:t>
      </w:r>
      <w:r>
        <w:rPr>
          <w:color w:val="231F1F"/>
          <w:w w:val="105"/>
        </w:rPr>
        <w:t> de</w:t>
      </w:r>
      <w:r>
        <w:rPr>
          <w:color w:val="231F1F"/>
          <w:w w:val="105"/>
        </w:rPr>
        <w:t> efectos</w:t>
      </w:r>
      <w:r>
        <w:rPr>
          <w:color w:val="231F1F"/>
          <w:w w:val="105"/>
        </w:rPr>
        <w:t> adversos</w:t>
      </w:r>
      <w:r>
        <w:rPr>
          <w:color w:val="231F1F"/>
          <w:w w:val="105"/>
        </w:rPr>
        <w:t> de</w:t>
      </w:r>
      <w:r>
        <w:rPr>
          <w:color w:val="231F1F"/>
          <w:w w:val="105"/>
        </w:rPr>
        <w:t> la</w:t>
      </w:r>
      <w:r>
        <w:rPr>
          <w:color w:val="231F1F"/>
          <w:w w:val="105"/>
        </w:rPr>
        <w:t> epidural</w:t>
      </w:r>
      <w:r>
        <w:rPr>
          <w:color w:val="231F1F"/>
          <w:w w:val="105"/>
        </w:rPr>
        <w:t> (fiebre</w:t>
      </w:r>
      <w:r>
        <w:rPr>
          <w:color w:val="231F1F"/>
          <w:w w:val="105"/>
        </w:rPr>
        <w:t> materna,</w:t>
      </w:r>
      <w:r>
        <w:rPr>
          <w:color w:val="231F1F"/>
          <w:w w:val="105"/>
        </w:rPr>
        <w:t> retención</w:t>
      </w:r>
      <w:r>
        <w:rPr>
          <w:color w:val="231F1F"/>
          <w:w w:val="105"/>
        </w:rPr>
        <w:t> e</w:t>
      </w:r>
      <w:r>
        <w:rPr>
          <w:color w:val="231F1F"/>
          <w:w w:val="105"/>
        </w:rPr>
        <w:t> incon- tinencia</w:t>
      </w:r>
      <w:r>
        <w:rPr>
          <w:color w:val="231F1F"/>
          <w:w w:val="105"/>
        </w:rPr>
        <w:t> urinaria,</w:t>
      </w:r>
      <w:r>
        <w:rPr>
          <w:color w:val="231F1F"/>
          <w:w w:val="105"/>
        </w:rPr>
        <w:t> escalofríos</w:t>
      </w:r>
      <w:r>
        <w:rPr>
          <w:color w:val="231F1F"/>
          <w:w w:val="105"/>
        </w:rPr>
        <w:t> e</w:t>
      </w:r>
      <w:r>
        <w:rPr>
          <w:color w:val="231F1F"/>
          <w:w w:val="105"/>
        </w:rPr>
        <w:t> hipotensión).</w:t>
      </w:r>
      <w:r>
        <w:rPr>
          <w:color w:val="231F1F"/>
          <w:w w:val="105"/>
        </w:rPr>
        <w:t> Los</w:t>
      </w:r>
      <w:r>
        <w:rPr>
          <w:color w:val="231F1F"/>
          <w:w w:val="105"/>
        </w:rPr>
        <w:t> resultados</w:t>
      </w:r>
      <w:r>
        <w:rPr>
          <w:color w:val="231F1F"/>
          <w:w w:val="105"/>
        </w:rPr>
        <w:t> neonatales, también</w:t>
      </w:r>
      <w:r>
        <w:rPr>
          <w:color w:val="231F1F"/>
          <w:w w:val="105"/>
        </w:rPr>
        <w:t> fueron</w:t>
      </w:r>
      <w:r>
        <w:rPr>
          <w:color w:val="231F1F"/>
          <w:w w:val="105"/>
        </w:rPr>
        <w:t> similares</w:t>
      </w:r>
      <w:r>
        <w:rPr>
          <w:color w:val="231F1F"/>
          <w:w w:val="105"/>
        </w:rPr>
        <w:t> en</w:t>
      </w:r>
      <w:r>
        <w:rPr>
          <w:color w:val="231F1F"/>
          <w:w w:val="105"/>
        </w:rPr>
        <w:t> ambos</w:t>
      </w:r>
      <w:r>
        <w:rPr>
          <w:color w:val="231F1F"/>
          <w:w w:val="105"/>
        </w:rPr>
        <w:t> grupos.</w:t>
      </w:r>
      <w:r>
        <w:rPr>
          <w:color w:val="231F1F"/>
          <w:w w:val="105"/>
        </w:rPr>
        <w:t> Sin</w:t>
      </w:r>
      <w:r>
        <w:rPr>
          <w:color w:val="231F1F"/>
          <w:w w:val="105"/>
        </w:rPr>
        <w:t> embargo,</w:t>
      </w:r>
      <w:r>
        <w:rPr>
          <w:color w:val="231F1F"/>
          <w:w w:val="105"/>
        </w:rPr>
        <w:t> hubo</w:t>
      </w:r>
      <w:r>
        <w:rPr>
          <w:color w:val="231F1F"/>
          <w:w w:val="105"/>
        </w:rPr>
        <w:t> una</w:t>
      </w:r>
      <w:r>
        <w:rPr>
          <w:color w:val="231F1F"/>
          <w:w w:val="105"/>
        </w:rPr>
        <w:t> mayor</w:t>
      </w:r>
      <w:r>
        <w:rPr>
          <w:color w:val="231F1F"/>
          <w:spacing w:val="80"/>
          <w:w w:val="105"/>
        </w:rPr>
        <w:t> </w:t>
      </w:r>
      <w:r>
        <w:rPr>
          <w:color w:val="231F1F"/>
          <w:w w:val="105"/>
        </w:rPr>
        <w:t>tasa de éxito en la lactancia a las 6 semanas en el grupo de analgesia epidu-</w:t>
      </w:r>
      <w:r>
        <w:rPr>
          <w:color w:val="231F1F"/>
          <w:spacing w:val="80"/>
          <w:w w:val="105"/>
        </w:rPr>
        <w:t> </w:t>
      </w:r>
      <w:r>
        <w:rPr>
          <w:color w:val="231F1F"/>
          <w:w w:val="105"/>
        </w:rPr>
        <w:t>ral tardía; p&lt;0,0001.</w:t>
      </w:r>
    </w:p>
    <w:p>
      <w:pPr>
        <w:pStyle w:val="BodyText"/>
        <w:spacing w:line="244" w:lineRule="auto" w:before="13"/>
        <w:ind w:left="283" w:right="3" w:firstLine="453"/>
        <w:jc w:val="both"/>
      </w:pPr>
      <w:r>
        <w:rPr>
          <w:color w:val="231F1F"/>
          <w:w w:val="105"/>
        </w:rPr>
        <w:t>Los resultados apoyan la administración de analgesia neuroaxial en fases tempanas</w:t>
      </w:r>
      <w:r>
        <w:rPr>
          <w:color w:val="231F1F"/>
          <w:w w:val="105"/>
        </w:rPr>
        <w:t> de</w:t>
      </w:r>
      <w:r>
        <w:rPr>
          <w:color w:val="231F1F"/>
          <w:w w:val="105"/>
        </w:rPr>
        <w:t> la</w:t>
      </w:r>
      <w:r>
        <w:rPr>
          <w:color w:val="231F1F"/>
          <w:w w:val="105"/>
        </w:rPr>
        <w:t> primera</w:t>
      </w:r>
      <w:r>
        <w:rPr>
          <w:color w:val="231F1F"/>
          <w:w w:val="105"/>
        </w:rPr>
        <w:t> etapa</w:t>
      </w:r>
      <w:r>
        <w:rPr>
          <w:color w:val="231F1F"/>
          <w:w w:val="105"/>
        </w:rPr>
        <w:t> del</w:t>
      </w:r>
      <w:r>
        <w:rPr>
          <w:color w:val="231F1F"/>
          <w:w w:val="105"/>
        </w:rPr>
        <w:t> parto</w:t>
      </w:r>
      <w:r>
        <w:rPr>
          <w:color w:val="231F1F"/>
          <w:w w:val="105"/>
        </w:rPr>
        <w:t> y</w:t>
      </w:r>
      <w:r>
        <w:rPr>
          <w:color w:val="231F1F"/>
          <w:w w:val="105"/>
        </w:rPr>
        <w:t> la</w:t>
      </w:r>
      <w:r>
        <w:rPr>
          <w:color w:val="231F1F"/>
          <w:w w:val="105"/>
        </w:rPr>
        <w:t> RS</w:t>
      </w:r>
      <w:r>
        <w:rPr>
          <w:color w:val="231F1F"/>
          <w:w w:val="105"/>
        </w:rPr>
        <w:t> concluye</w:t>
      </w:r>
      <w:r>
        <w:rPr>
          <w:color w:val="231F1F"/>
          <w:w w:val="105"/>
        </w:rPr>
        <w:t> que</w:t>
      </w:r>
      <w:r>
        <w:rPr>
          <w:color w:val="231F1F"/>
          <w:w w:val="105"/>
        </w:rPr>
        <w:t> retrasar</w:t>
      </w:r>
      <w:r>
        <w:rPr>
          <w:color w:val="231F1F"/>
          <w:w w:val="105"/>
        </w:rPr>
        <w:t> la</w:t>
      </w:r>
      <w:r>
        <w:rPr>
          <w:color w:val="231F1F"/>
          <w:w w:val="105"/>
        </w:rPr>
        <w:t> ad- ministración de la analgesia neuroaxial cuando es solicitada no está conside- rada una buena práctica sanitaria.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9"/>
        <w:rPr>
          <w:sz w:val="18"/>
        </w:rPr>
      </w:pPr>
    </w:p>
    <w:p>
      <w:pPr>
        <w:spacing w:line="278" w:lineRule="auto" w:before="1"/>
        <w:ind w:left="92" w:right="158" w:firstLine="1"/>
        <w:jc w:val="center"/>
        <w:rPr>
          <w:rFonts w:ascii="Arial MT"/>
          <w:sz w:val="18"/>
        </w:rPr>
      </w:pPr>
      <w:r>
        <w:rPr>
          <w:rFonts w:ascii="Arial MT"/>
          <w:color w:val="231F1F"/>
          <w:sz w:val="18"/>
        </w:rPr>
        <w:t>RS de ECAs </w:t>
      </w:r>
      <w:r>
        <w:rPr>
          <w:rFonts w:ascii="Arial MT"/>
          <w:color w:val="231F1F"/>
          <w:spacing w:val="-2"/>
          <w:sz w:val="18"/>
        </w:rPr>
        <w:t>y</w:t>
      </w:r>
      <w:r>
        <w:rPr>
          <w:rFonts w:ascii="Arial MT"/>
          <w:color w:val="231F1F"/>
          <w:spacing w:val="-17"/>
          <w:sz w:val="18"/>
        </w:rPr>
        <w:t> </w:t>
      </w:r>
      <w:r>
        <w:rPr>
          <w:rFonts w:ascii="Arial MT"/>
          <w:color w:val="231F1F"/>
          <w:spacing w:val="-2"/>
          <w:sz w:val="18"/>
        </w:rPr>
        <w:t>E.</w:t>
      </w:r>
      <w:r>
        <w:rPr>
          <w:rFonts w:ascii="Arial MT"/>
          <w:color w:val="231F1F"/>
          <w:spacing w:val="-13"/>
          <w:sz w:val="18"/>
        </w:rPr>
        <w:t> </w:t>
      </w:r>
      <w:r>
        <w:rPr>
          <w:rFonts w:ascii="Arial MT"/>
          <w:color w:val="231F1F"/>
          <w:spacing w:val="-2"/>
          <w:sz w:val="18"/>
        </w:rPr>
        <w:t>Observa- cionales</w:t>
      </w:r>
    </w:p>
    <w:p>
      <w:pPr>
        <w:spacing w:line="202" w:lineRule="exact" w:before="0"/>
        <w:ind w:left="386" w:right="444"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95"/>
        <w:rPr>
          <w:rFonts w:ascii="Arial MT"/>
          <w:sz w:val="18"/>
        </w:rPr>
      </w:pPr>
    </w:p>
    <w:p>
      <w:pPr>
        <w:spacing w:line="273" w:lineRule="auto" w:before="0"/>
        <w:ind w:left="386" w:right="440" w:firstLine="0"/>
        <w:jc w:val="center"/>
        <w:rPr>
          <w:rFonts w:ascii="Arial MT"/>
          <w:sz w:val="18"/>
        </w:rPr>
      </w:pPr>
      <w:r>
        <w:rPr>
          <w:rFonts w:ascii="Arial MT"/>
          <w:color w:val="231F1F"/>
          <w:spacing w:val="-8"/>
          <w:sz w:val="18"/>
        </w:rPr>
        <w:t>ECA </w:t>
      </w:r>
      <w:r>
        <w:rPr>
          <w:rFonts w:ascii="Arial MT"/>
          <w:color w:val="231F1F"/>
          <w:spacing w:val="-6"/>
          <w:sz w:val="18"/>
        </w:rPr>
        <w:t>1+</w:t>
      </w:r>
    </w:p>
    <w:p>
      <w:pPr>
        <w:spacing w:after="0" w:line="273" w:lineRule="auto"/>
        <w:jc w:val="center"/>
        <w:rPr>
          <w:rFonts w:ascii="Arial MT"/>
          <w:sz w:val="18"/>
        </w:rPr>
        <w:sectPr>
          <w:pgSz w:w="11900" w:h="16840"/>
          <w:pgMar w:header="0" w:footer="622" w:top="1580" w:bottom="820" w:left="1417" w:right="1559"/>
          <w:cols w:num="2" w:equalWidth="0">
            <w:col w:w="7558" w:space="40"/>
            <w:col w:w="1326"/>
          </w:cols>
        </w:sectPr>
      </w:pPr>
    </w:p>
    <w:p>
      <w:pPr>
        <w:spacing w:before="82"/>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64" w:lineRule="auto" w:before="53"/>
              <w:ind w:right="149"/>
              <w:jc w:val="both"/>
              <w:rPr>
                <w:sz w:val="22"/>
              </w:rPr>
            </w:pPr>
            <w:r>
              <w:rPr>
                <w:color w:val="231F1F"/>
                <w:sz w:val="22"/>
              </w:rPr>
              <w:t>La administración precoz (&lt;3-4 cm de dilatación cervical) de analgesia epi- dural no influye el uso de oxitocina, en el tipo de parto, ni en la duración del mismo (324;325;327).</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4" w:lineRule="auto" w:before="53"/>
              <w:ind w:right="155"/>
              <w:rPr>
                <w:sz w:val="22"/>
              </w:rPr>
            </w:pPr>
            <w:r>
              <w:rPr>
                <w:color w:val="231F1F"/>
                <w:sz w:val="22"/>
              </w:rPr>
              <w:t>La</w:t>
            </w:r>
            <w:r>
              <w:rPr>
                <w:color w:val="231F1F"/>
                <w:spacing w:val="27"/>
                <w:sz w:val="22"/>
              </w:rPr>
              <w:t> </w:t>
            </w:r>
            <w:r>
              <w:rPr>
                <w:color w:val="231F1F"/>
                <w:sz w:val="22"/>
              </w:rPr>
              <w:t>analgesia</w:t>
            </w:r>
            <w:r>
              <w:rPr>
                <w:color w:val="231F1F"/>
                <w:spacing w:val="29"/>
                <w:sz w:val="22"/>
              </w:rPr>
              <w:t> </w:t>
            </w:r>
            <w:r>
              <w:rPr>
                <w:color w:val="231F1F"/>
                <w:sz w:val="22"/>
              </w:rPr>
              <w:t>regional</w:t>
            </w:r>
            <w:r>
              <w:rPr>
                <w:color w:val="231F1F"/>
                <w:spacing w:val="30"/>
                <w:sz w:val="22"/>
              </w:rPr>
              <w:t> </w:t>
            </w:r>
            <w:r>
              <w:rPr>
                <w:color w:val="231F1F"/>
                <w:sz w:val="22"/>
              </w:rPr>
              <w:t>puede</w:t>
            </w:r>
            <w:r>
              <w:rPr>
                <w:color w:val="231F1F"/>
                <w:spacing w:val="29"/>
                <w:sz w:val="22"/>
              </w:rPr>
              <w:t> </w:t>
            </w:r>
            <w:r>
              <w:rPr>
                <w:color w:val="231F1F"/>
                <w:sz w:val="22"/>
              </w:rPr>
              <w:t>proporcionarse</w:t>
            </w:r>
            <w:r>
              <w:rPr>
                <w:color w:val="231F1F"/>
                <w:spacing w:val="29"/>
                <w:sz w:val="22"/>
              </w:rPr>
              <w:t> </w:t>
            </w:r>
            <w:r>
              <w:rPr>
                <w:color w:val="231F1F"/>
                <w:sz w:val="22"/>
              </w:rPr>
              <w:t>cuando</w:t>
            </w:r>
            <w:r>
              <w:rPr>
                <w:color w:val="231F1F"/>
                <w:spacing w:val="29"/>
                <w:sz w:val="22"/>
              </w:rPr>
              <w:t> </w:t>
            </w:r>
            <w:r>
              <w:rPr>
                <w:color w:val="231F1F"/>
                <w:sz w:val="22"/>
              </w:rPr>
              <w:t>la</w:t>
            </w:r>
            <w:r>
              <w:rPr>
                <w:color w:val="231F1F"/>
                <w:spacing w:val="29"/>
                <w:sz w:val="22"/>
              </w:rPr>
              <w:t> </w:t>
            </w:r>
            <w:r>
              <w:rPr>
                <w:color w:val="231F1F"/>
                <w:sz w:val="22"/>
              </w:rPr>
              <w:t>mujer</w:t>
            </w:r>
            <w:r>
              <w:rPr>
                <w:color w:val="231F1F"/>
                <w:spacing w:val="29"/>
                <w:sz w:val="22"/>
              </w:rPr>
              <w:t> </w:t>
            </w:r>
            <w:r>
              <w:rPr>
                <w:color w:val="231F1F"/>
                <w:sz w:val="22"/>
              </w:rPr>
              <w:t>lo</w:t>
            </w:r>
            <w:r>
              <w:rPr>
                <w:color w:val="231F1F"/>
                <w:spacing w:val="27"/>
                <w:sz w:val="22"/>
              </w:rPr>
              <w:t> </w:t>
            </w:r>
            <w:r>
              <w:rPr>
                <w:color w:val="231F1F"/>
                <w:sz w:val="22"/>
              </w:rPr>
              <w:t>solicite,</w:t>
            </w:r>
            <w:r>
              <w:rPr>
                <w:color w:val="231F1F"/>
                <w:spacing w:val="28"/>
                <w:sz w:val="22"/>
              </w:rPr>
              <w:t> </w:t>
            </w:r>
            <w:r>
              <w:rPr>
                <w:color w:val="231F1F"/>
                <w:sz w:val="22"/>
              </w:rPr>
              <w:t>incluso</w:t>
            </w:r>
            <w:r>
              <w:rPr>
                <w:color w:val="231F1F"/>
                <w:spacing w:val="29"/>
                <w:sz w:val="22"/>
              </w:rPr>
              <w:t> </w:t>
            </w:r>
            <w:r>
              <w:rPr>
                <w:color w:val="231F1F"/>
                <w:sz w:val="22"/>
              </w:rPr>
              <w:t>en fases</w:t>
            </w:r>
            <w:r>
              <w:rPr>
                <w:color w:val="231F1F"/>
                <w:spacing w:val="40"/>
                <w:sz w:val="22"/>
              </w:rPr>
              <w:t> </w:t>
            </w:r>
            <w:r>
              <w:rPr>
                <w:color w:val="231F1F"/>
                <w:sz w:val="22"/>
              </w:rPr>
              <w:t>tempranas</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primera</w:t>
            </w:r>
            <w:r>
              <w:rPr>
                <w:color w:val="231F1F"/>
                <w:spacing w:val="40"/>
                <w:sz w:val="22"/>
              </w:rPr>
              <w:t> </w:t>
            </w:r>
            <w:r>
              <w:rPr>
                <w:color w:val="231F1F"/>
                <w:sz w:val="22"/>
              </w:rPr>
              <w:t>etapa</w:t>
            </w:r>
            <w:r>
              <w:rPr>
                <w:color w:val="231F1F"/>
                <w:spacing w:val="40"/>
                <w:sz w:val="22"/>
              </w:rPr>
              <w:t> </w:t>
            </w:r>
            <w:r>
              <w:rPr>
                <w:color w:val="231F1F"/>
                <w:sz w:val="22"/>
              </w:rPr>
              <w:t>del</w:t>
            </w:r>
            <w:r>
              <w:rPr>
                <w:color w:val="231F1F"/>
                <w:spacing w:val="40"/>
                <w:sz w:val="22"/>
              </w:rPr>
              <w:t> </w:t>
            </w:r>
            <w:r>
              <w:rPr>
                <w:color w:val="231F1F"/>
                <w:sz w:val="22"/>
              </w:rPr>
              <w:t>parto.</w:t>
            </w:r>
          </w:p>
        </w:tc>
      </w:tr>
    </w:tbl>
    <w:p>
      <w:pPr>
        <w:pStyle w:val="TableParagraph"/>
        <w:spacing w:after="0" w:line="244"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Modo</w:t>
      </w:r>
      <w:r>
        <w:rPr>
          <w:color w:val="231F1F"/>
          <w:spacing w:val="61"/>
        </w:rPr>
        <w:t> </w:t>
      </w:r>
      <w:r>
        <w:rPr>
          <w:color w:val="231F1F"/>
        </w:rPr>
        <w:t>de</w:t>
      </w:r>
      <w:r>
        <w:rPr>
          <w:color w:val="231F1F"/>
          <w:spacing w:val="61"/>
        </w:rPr>
        <w:t> </w:t>
      </w:r>
      <w:r>
        <w:rPr>
          <w:color w:val="231F1F"/>
        </w:rPr>
        <w:t>administración</w:t>
      </w:r>
      <w:r>
        <w:rPr>
          <w:color w:val="231F1F"/>
          <w:spacing w:val="61"/>
        </w:rPr>
        <w:t> </w:t>
      </w:r>
      <w:r>
        <w:rPr>
          <w:color w:val="231F1F"/>
        </w:rPr>
        <w:t>de</w:t>
      </w:r>
      <w:r>
        <w:rPr>
          <w:color w:val="231F1F"/>
          <w:spacing w:val="61"/>
        </w:rPr>
        <w:t> </w:t>
      </w:r>
      <w:r>
        <w:rPr>
          <w:color w:val="231F1F"/>
        </w:rPr>
        <w:t>analgesia</w:t>
      </w:r>
      <w:r>
        <w:rPr>
          <w:color w:val="231F1F"/>
          <w:spacing w:val="63"/>
        </w:rPr>
        <w:t> </w:t>
      </w:r>
      <w:r>
        <w:rPr>
          <w:color w:val="231F1F"/>
          <w:spacing w:val="-2"/>
        </w:rPr>
        <w:t>epidural</w:t>
      </w:r>
    </w:p>
    <w:p>
      <w:pPr>
        <w:pStyle w:val="BodyText"/>
        <w:spacing w:before="20"/>
        <w:rPr>
          <w:sz w:val="20"/>
        </w:rPr>
      </w:pPr>
      <w:r>
        <w:rPr>
          <w:sz w:val="20"/>
        </w:rPr>
        <mc:AlternateContent>
          <mc:Choice Requires="wps">
            <w:drawing>
              <wp:anchor distT="0" distB="0" distL="0" distR="0" allowOverlap="1" layoutInCell="1" locked="0" behindDoc="1" simplePos="0" relativeHeight="487628288">
                <wp:simplePos x="0" y="0"/>
                <wp:positionH relativeFrom="page">
                  <wp:posOffset>1082675</wp:posOffset>
                </wp:positionH>
                <wp:positionV relativeFrom="paragraph">
                  <wp:posOffset>177184</wp:posOffset>
                </wp:positionV>
                <wp:extent cx="5400040" cy="44005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5400040" cy="440055"/>
                        </a:xfrm>
                        <a:prstGeom prst="rect">
                          <a:avLst/>
                        </a:prstGeom>
                        <a:ln w="6350">
                          <a:solidFill>
                            <a:srgbClr val="A30046"/>
                          </a:solidFill>
                          <a:prstDash val="solid"/>
                        </a:ln>
                      </wps:spPr>
                      <wps:txbx>
                        <w:txbxContent>
                          <w:p>
                            <w:pPr>
                              <w:pStyle w:val="BodyText"/>
                              <w:numPr>
                                <w:ilvl w:val="0"/>
                                <w:numId w:val="82"/>
                              </w:numPr>
                              <w:tabs>
                                <w:tab w:pos="323" w:val="left" w:leader="none"/>
                              </w:tabs>
                              <w:spacing w:line="254" w:lineRule="auto" w:before="65" w:after="0"/>
                              <w:ind w:left="323" w:right="225" w:hanging="219"/>
                              <w:jc w:val="left"/>
                            </w:pPr>
                            <w:r>
                              <w:rPr>
                                <w:color w:val="231F1F"/>
                              </w:rPr>
                              <w:t>¿Cómo influye el</w:t>
                            </w:r>
                            <w:r>
                              <w:rPr>
                                <w:color w:val="231F1F"/>
                                <w:spacing w:val="23"/>
                              </w:rPr>
                              <w:t> </w:t>
                            </w:r>
                            <w:r>
                              <w:rPr>
                                <w:color w:val="231F1F"/>
                              </w:rPr>
                              <w:t>modo de</w:t>
                            </w:r>
                            <w:r>
                              <w:rPr>
                                <w:color w:val="231F1F"/>
                                <w:spacing w:val="23"/>
                              </w:rPr>
                              <w:t> </w:t>
                            </w:r>
                            <w:r>
                              <w:rPr>
                                <w:color w:val="231F1F"/>
                              </w:rPr>
                              <w:t>administración de</w:t>
                            </w:r>
                            <w:r>
                              <w:rPr>
                                <w:color w:val="231F1F"/>
                                <w:spacing w:val="23"/>
                              </w:rPr>
                              <w:t> </w:t>
                            </w:r>
                            <w:r>
                              <w:rPr>
                                <w:color w:val="231F1F"/>
                              </w:rPr>
                              <w:t>la analgesia</w:t>
                            </w:r>
                            <w:r>
                              <w:rPr>
                                <w:color w:val="231F1F"/>
                                <w:spacing w:val="23"/>
                              </w:rPr>
                              <w:t> </w:t>
                            </w:r>
                            <w:r>
                              <w:rPr>
                                <w:color w:val="231F1F"/>
                              </w:rPr>
                              <w:t>epidural sobre</w:t>
                            </w:r>
                            <w:r>
                              <w:rPr>
                                <w:color w:val="231F1F"/>
                                <w:spacing w:val="23"/>
                              </w:rPr>
                              <w:t> </w:t>
                            </w:r>
                            <w:r>
                              <w:rPr>
                                <w:color w:val="231F1F"/>
                              </w:rPr>
                              <w:t>el parto</w:t>
                            </w:r>
                            <w:r>
                              <w:rPr>
                                <w:color w:val="231F1F"/>
                                <w:spacing w:val="23"/>
                              </w:rPr>
                              <w:t> </w:t>
                            </w:r>
                            <w:r>
                              <w:rPr>
                                <w:color w:val="231F1F"/>
                              </w:rPr>
                              <w:t>y sus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88192;mso-wrap-distance-left:0;mso-wrap-distance-right:0" type="#_x0000_t202" id="docshape130" filled="false" stroked="true" strokeweight=".5pt" strokecolor="#a30046">
                <v:textbox inset="0,0,0,0">
                  <w:txbxContent>
                    <w:p>
                      <w:pPr>
                        <w:pStyle w:val="BodyText"/>
                        <w:numPr>
                          <w:ilvl w:val="0"/>
                          <w:numId w:val="82"/>
                        </w:numPr>
                        <w:tabs>
                          <w:tab w:pos="323" w:val="left" w:leader="none"/>
                        </w:tabs>
                        <w:spacing w:line="254" w:lineRule="auto" w:before="65" w:after="0"/>
                        <w:ind w:left="323" w:right="225" w:hanging="219"/>
                        <w:jc w:val="left"/>
                      </w:pPr>
                      <w:r>
                        <w:rPr>
                          <w:color w:val="231F1F"/>
                        </w:rPr>
                        <w:t>¿Cómo influye el</w:t>
                      </w:r>
                      <w:r>
                        <w:rPr>
                          <w:color w:val="231F1F"/>
                          <w:spacing w:val="23"/>
                        </w:rPr>
                        <w:t> </w:t>
                      </w:r>
                      <w:r>
                        <w:rPr>
                          <w:color w:val="231F1F"/>
                        </w:rPr>
                        <w:t>modo de</w:t>
                      </w:r>
                      <w:r>
                        <w:rPr>
                          <w:color w:val="231F1F"/>
                          <w:spacing w:val="23"/>
                        </w:rPr>
                        <w:t> </w:t>
                      </w:r>
                      <w:r>
                        <w:rPr>
                          <w:color w:val="231F1F"/>
                        </w:rPr>
                        <w:t>administración de</w:t>
                      </w:r>
                      <w:r>
                        <w:rPr>
                          <w:color w:val="231F1F"/>
                          <w:spacing w:val="23"/>
                        </w:rPr>
                        <w:t> </w:t>
                      </w:r>
                      <w:r>
                        <w:rPr>
                          <w:color w:val="231F1F"/>
                        </w:rPr>
                        <w:t>la analgesia</w:t>
                      </w:r>
                      <w:r>
                        <w:rPr>
                          <w:color w:val="231F1F"/>
                          <w:spacing w:val="23"/>
                        </w:rPr>
                        <w:t> </w:t>
                      </w:r>
                      <w:r>
                        <w:rPr>
                          <w:color w:val="231F1F"/>
                        </w:rPr>
                        <w:t>epidural sobre</w:t>
                      </w:r>
                      <w:r>
                        <w:rPr>
                          <w:color w:val="231F1F"/>
                          <w:spacing w:val="23"/>
                        </w:rPr>
                        <w:t> </w:t>
                      </w:r>
                      <w:r>
                        <w:rPr>
                          <w:color w:val="231F1F"/>
                        </w:rPr>
                        <w:t>el parto</w:t>
                      </w:r>
                      <w:r>
                        <w:rPr>
                          <w:color w:val="231F1F"/>
                          <w:spacing w:val="23"/>
                        </w:rPr>
                        <w:t> </w:t>
                      </w:r>
                      <w:r>
                        <w:rPr>
                          <w:color w:val="231F1F"/>
                        </w:rPr>
                        <w:t>y sus </w:t>
                      </w:r>
                      <w:r>
                        <w:rPr>
                          <w:color w:val="231F1F"/>
                          <w:spacing w:val="-2"/>
                        </w:rPr>
                        <w:t>resultados?</w:t>
                      </w:r>
                    </w:p>
                  </w:txbxContent>
                </v:textbox>
                <v:stroke dashstyle="solid"/>
                <w10:wrap type="topAndBottom"/>
              </v:shape>
            </w:pict>
          </mc:Fallback>
        </mc:AlternateContent>
      </w:r>
    </w:p>
    <w:p>
      <w:pPr>
        <w:pStyle w:val="BodyText"/>
        <w:spacing w:line="254" w:lineRule="auto" w:before="323"/>
        <w:ind w:left="281" w:right="124"/>
        <w:jc w:val="both"/>
      </w:pPr>
      <w:r>
        <w:rPr>
          <w:color w:val="231F1F"/>
          <w:w w:val="110"/>
        </w:rPr>
        <w:t>Existen</w:t>
      </w:r>
      <w:r>
        <w:rPr>
          <w:color w:val="231F1F"/>
          <w:spacing w:val="-11"/>
          <w:w w:val="110"/>
        </w:rPr>
        <w:t> </w:t>
      </w:r>
      <w:r>
        <w:rPr>
          <w:color w:val="231F1F"/>
          <w:w w:val="110"/>
        </w:rPr>
        <w:t>diferentes</w:t>
      </w:r>
      <w:r>
        <w:rPr>
          <w:color w:val="231F1F"/>
          <w:spacing w:val="-11"/>
          <w:w w:val="110"/>
        </w:rPr>
        <w:t> </w:t>
      </w:r>
      <w:r>
        <w:rPr>
          <w:color w:val="231F1F"/>
          <w:w w:val="110"/>
        </w:rPr>
        <w:t>modos</w:t>
      </w:r>
      <w:r>
        <w:rPr>
          <w:color w:val="231F1F"/>
          <w:spacing w:val="-11"/>
          <w:w w:val="110"/>
        </w:rPr>
        <w:t> </w:t>
      </w:r>
      <w:r>
        <w:rPr>
          <w:color w:val="231F1F"/>
          <w:w w:val="110"/>
        </w:rPr>
        <w:t>de</w:t>
      </w:r>
      <w:r>
        <w:rPr>
          <w:color w:val="231F1F"/>
          <w:spacing w:val="-11"/>
          <w:w w:val="110"/>
        </w:rPr>
        <w:t> </w:t>
      </w:r>
      <w:r>
        <w:rPr>
          <w:color w:val="231F1F"/>
          <w:w w:val="110"/>
        </w:rPr>
        <w:t>mantener</w:t>
      </w:r>
      <w:r>
        <w:rPr>
          <w:color w:val="231F1F"/>
          <w:spacing w:val="-11"/>
          <w:w w:val="110"/>
        </w:rPr>
        <w:t> </w:t>
      </w:r>
      <w:r>
        <w:rPr>
          <w:color w:val="231F1F"/>
          <w:w w:val="110"/>
        </w:rPr>
        <w:t>la</w:t>
      </w:r>
      <w:r>
        <w:rPr>
          <w:color w:val="231F1F"/>
          <w:spacing w:val="-11"/>
          <w:w w:val="110"/>
        </w:rPr>
        <w:t> </w:t>
      </w:r>
      <w:r>
        <w:rPr>
          <w:color w:val="231F1F"/>
          <w:w w:val="110"/>
        </w:rPr>
        <w:t>analgesia</w:t>
      </w:r>
      <w:r>
        <w:rPr>
          <w:color w:val="231F1F"/>
          <w:spacing w:val="-11"/>
          <w:w w:val="110"/>
        </w:rPr>
        <w:t> </w:t>
      </w:r>
      <w:r>
        <w:rPr>
          <w:color w:val="231F1F"/>
          <w:w w:val="110"/>
        </w:rPr>
        <w:t>epidural</w:t>
      </w:r>
      <w:r>
        <w:rPr>
          <w:color w:val="231F1F"/>
          <w:spacing w:val="-11"/>
          <w:w w:val="110"/>
        </w:rPr>
        <w:t> </w:t>
      </w:r>
      <w:r>
        <w:rPr>
          <w:color w:val="231F1F"/>
          <w:w w:val="110"/>
        </w:rPr>
        <w:t>a</w:t>
      </w:r>
      <w:r>
        <w:rPr>
          <w:color w:val="231F1F"/>
          <w:spacing w:val="-11"/>
          <w:w w:val="110"/>
        </w:rPr>
        <w:t> </w:t>
      </w:r>
      <w:r>
        <w:rPr>
          <w:color w:val="231F1F"/>
          <w:w w:val="110"/>
        </w:rPr>
        <w:t>las</w:t>
      </w:r>
      <w:r>
        <w:rPr>
          <w:color w:val="231F1F"/>
          <w:spacing w:val="-11"/>
          <w:w w:val="110"/>
        </w:rPr>
        <w:t> </w:t>
      </w:r>
      <w:r>
        <w:rPr>
          <w:color w:val="231F1F"/>
          <w:w w:val="110"/>
        </w:rPr>
        <w:t>mujeres:</w:t>
      </w:r>
      <w:r>
        <w:rPr>
          <w:color w:val="231F1F"/>
          <w:spacing w:val="-11"/>
          <w:w w:val="110"/>
        </w:rPr>
        <w:t> </w:t>
      </w:r>
      <w:r>
        <w:rPr>
          <w:color w:val="231F1F"/>
          <w:w w:val="110"/>
        </w:rPr>
        <w:t>perfusión</w:t>
      </w:r>
      <w:r>
        <w:rPr>
          <w:color w:val="231F1F"/>
          <w:spacing w:val="-11"/>
          <w:w w:val="110"/>
        </w:rPr>
        <w:t> </w:t>
      </w:r>
      <w:r>
        <w:rPr>
          <w:color w:val="231F1F"/>
          <w:w w:val="110"/>
        </w:rPr>
        <w:t>con- </w:t>
      </w:r>
      <w:r>
        <w:rPr>
          <w:color w:val="231F1F"/>
          <w:spacing w:val="-2"/>
          <w:w w:val="110"/>
        </w:rPr>
        <w:t>tinua,</w:t>
      </w:r>
      <w:r>
        <w:rPr>
          <w:color w:val="231F1F"/>
          <w:spacing w:val="-10"/>
          <w:w w:val="110"/>
        </w:rPr>
        <w:t> </w:t>
      </w:r>
      <w:r>
        <w:rPr>
          <w:color w:val="231F1F"/>
          <w:spacing w:val="-2"/>
          <w:w w:val="110"/>
        </w:rPr>
        <w:t>bolos</w:t>
      </w:r>
      <w:r>
        <w:rPr>
          <w:color w:val="231F1F"/>
          <w:spacing w:val="-10"/>
          <w:w w:val="110"/>
        </w:rPr>
        <w:t> </w:t>
      </w:r>
      <w:r>
        <w:rPr>
          <w:color w:val="231F1F"/>
          <w:spacing w:val="-2"/>
          <w:w w:val="110"/>
        </w:rPr>
        <w:t>administrados</w:t>
      </w:r>
      <w:r>
        <w:rPr>
          <w:color w:val="231F1F"/>
          <w:spacing w:val="-11"/>
          <w:w w:val="110"/>
        </w:rPr>
        <w:t> </w:t>
      </w:r>
      <w:r>
        <w:rPr>
          <w:color w:val="231F1F"/>
          <w:spacing w:val="-2"/>
          <w:w w:val="110"/>
        </w:rPr>
        <w:t>por</w:t>
      </w:r>
      <w:r>
        <w:rPr>
          <w:color w:val="231F1F"/>
          <w:spacing w:val="-10"/>
          <w:w w:val="110"/>
        </w:rPr>
        <w:t> </w:t>
      </w:r>
      <w:r>
        <w:rPr>
          <w:color w:val="231F1F"/>
          <w:spacing w:val="-2"/>
          <w:w w:val="110"/>
        </w:rPr>
        <w:t>el</w:t>
      </w:r>
      <w:r>
        <w:rPr>
          <w:color w:val="231F1F"/>
          <w:spacing w:val="-10"/>
          <w:w w:val="110"/>
        </w:rPr>
        <w:t> </w:t>
      </w:r>
      <w:r>
        <w:rPr>
          <w:color w:val="231F1F"/>
          <w:spacing w:val="-2"/>
          <w:w w:val="110"/>
        </w:rPr>
        <w:t>personal</w:t>
      </w:r>
      <w:r>
        <w:rPr>
          <w:color w:val="231F1F"/>
          <w:spacing w:val="-10"/>
          <w:w w:val="110"/>
        </w:rPr>
        <w:t> </w:t>
      </w:r>
      <w:r>
        <w:rPr>
          <w:color w:val="231F1F"/>
          <w:spacing w:val="-2"/>
          <w:w w:val="110"/>
        </w:rPr>
        <w:t>del</w:t>
      </w:r>
      <w:r>
        <w:rPr>
          <w:color w:val="231F1F"/>
          <w:spacing w:val="-10"/>
          <w:w w:val="110"/>
        </w:rPr>
        <w:t> </w:t>
      </w:r>
      <w:r>
        <w:rPr>
          <w:color w:val="231F1F"/>
          <w:spacing w:val="-2"/>
          <w:w w:val="110"/>
        </w:rPr>
        <w:t>hospital</w:t>
      </w:r>
      <w:r>
        <w:rPr>
          <w:color w:val="231F1F"/>
          <w:spacing w:val="-10"/>
          <w:w w:val="110"/>
        </w:rPr>
        <w:t> </w:t>
      </w:r>
      <w:r>
        <w:rPr>
          <w:color w:val="231F1F"/>
          <w:spacing w:val="-2"/>
          <w:w w:val="110"/>
        </w:rPr>
        <w:t>(PCA),</w:t>
      </w:r>
      <w:r>
        <w:rPr>
          <w:color w:val="231F1F"/>
          <w:spacing w:val="-10"/>
          <w:w w:val="110"/>
        </w:rPr>
        <w:t> </w:t>
      </w:r>
      <w:r>
        <w:rPr>
          <w:color w:val="231F1F"/>
          <w:spacing w:val="-2"/>
          <w:w w:val="110"/>
        </w:rPr>
        <w:t>y</w:t>
      </w:r>
      <w:r>
        <w:rPr>
          <w:color w:val="231F1F"/>
          <w:spacing w:val="-10"/>
          <w:w w:val="110"/>
        </w:rPr>
        <w:t> </w:t>
      </w:r>
      <w:r>
        <w:rPr>
          <w:color w:val="231F1F"/>
          <w:spacing w:val="-2"/>
          <w:w w:val="110"/>
        </w:rPr>
        <w:t>administración</w:t>
      </w:r>
      <w:r>
        <w:rPr>
          <w:color w:val="231F1F"/>
          <w:spacing w:val="-11"/>
          <w:w w:val="110"/>
        </w:rPr>
        <w:t> </w:t>
      </w:r>
      <w:r>
        <w:rPr>
          <w:color w:val="231F1F"/>
          <w:spacing w:val="-2"/>
          <w:w w:val="110"/>
        </w:rPr>
        <w:t>controlada </w:t>
      </w:r>
      <w:r>
        <w:rPr>
          <w:color w:val="231F1F"/>
          <w:w w:val="110"/>
        </w:rPr>
        <w:t>por la mujer (PCEA) exclusivamente como bolos o bien añadiéndolos a una perfusión continua (PC) de base (PCEA+PC).</w:t>
      </w:r>
    </w:p>
    <w:p>
      <w:pPr>
        <w:pStyle w:val="BodyText"/>
        <w:spacing w:line="244" w:lineRule="auto" w:before="122"/>
        <w:ind w:left="282" w:right="121" w:firstLine="453"/>
        <w:jc w:val="both"/>
      </w:pPr>
      <w:r>
        <w:rPr>
          <w:color w:val="231F1F"/>
          <w:w w:val="110"/>
        </w:rPr>
        <w:t>Las</w:t>
      </w:r>
      <w:r>
        <w:rPr>
          <w:color w:val="231F1F"/>
          <w:spacing w:val="-9"/>
          <w:w w:val="110"/>
        </w:rPr>
        <w:t> </w:t>
      </w:r>
      <w:r>
        <w:rPr>
          <w:color w:val="231F1F"/>
          <w:w w:val="110"/>
        </w:rPr>
        <w:t>diferentes</w:t>
      </w:r>
      <w:r>
        <w:rPr>
          <w:color w:val="231F1F"/>
          <w:spacing w:val="-9"/>
          <w:w w:val="110"/>
        </w:rPr>
        <w:t> </w:t>
      </w:r>
      <w:r>
        <w:rPr>
          <w:color w:val="231F1F"/>
          <w:w w:val="110"/>
        </w:rPr>
        <w:t>formas</w:t>
      </w:r>
      <w:r>
        <w:rPr>
          <w:color w:val="231F1F"/>
          <w:spacing w:val="-9"/>
          <w:w w:val="110"/>
        </w:rPr>
        <w:t> </w:t>
      </w:r>
      <w:r>
        <w:rPr>
          <w:color w:val="231F1F"/>
          <w:w w:val="110"/>
        </w:rPr>
        <w:t>de</w:t>
      </w:r>
      <w:r>
        <w:rPr>
          <w:color w:val="231F1F"/>
          <w:spacing w:val="-8"/>
          <w:w w:val="110"/>
        </w:rPr>
        <w:t> </w:t>
      </w:r>
      <w:r>
        <w:rPr>
          <w:color w:val="231F1F"/>
          <w:w w:val="110"/>
        </w:rPr>
        <w:t>administrar</w:t>
      </w:r>
      <w:r>
        <w:rPr>
          <w:color w:val="231F1F"/>
          <w:spacing w:val="-9"/>
          <w:w w:val="110"/>
        </w:rPr>
        <w:t> </w:t>
      </w:r>
      <w:r>
        <w:rPr>
          <w:color w:val="231F1F"/>
          <w:w w:val="110"/>
        </w:rPr>
        <w:t>la</w:t>
      </w:r>
      <w:r>
        <w:rPr>
          <w:color w:val="231F1F"/>
          <w:spacing w:val="-8"/>
          <w:w w:val="110"/>
        </w:rPr>
        <w:t> </w:t>
      </w:r>
      <w:r>
        <w:rPr>
          <w:color w:val="231F1F"/>
          <w:w w:val="110"/>
        </w:rPr>
        <w:t>analgesia</w:t>
      </w:r>
      <w:r>
        <w:rPr>
          <w:color w:val="231F1F"/>
          <w:spacing w:val="-8"/>
          <w:w w:val="110"/>
        </w:rPr>
        <w:t> </w:t>
      </w:r>
      <w:r>
        <w:rPr>
          <w:color w:val="231F1F"/>
          <w:w w:val="110"/>
        </w:rPr>
        <w:t>pueden</w:t>
      </w:r>
      <w:r>
        <w:rPr>
          <w:color w:val="231F1F"/>
          <w:spacing w:val="-8"/>
          <w:w w:val="110"/>
        </w:rPr>
        <w:t> </w:t>
      </w:r>
      <w:r>
        <w:rPr>
          <w:color w:val="231F1F"/>
          <w:w w:val="110"/>
        </w:rPr>
        <w:t>influir</w:t>
      </w:r>
      <w:r>
        <w:rPr>
          <w:color w:val="231F1F"/>
          <w:spacing w:val="-9"/>
          <w:w w:val="110"/>
        </w:rPr>
        <w:t> </w:t>
      </w:r>
      <w:r>
        <w:rPr>
          <w:color w:val="231F1F"/>
          <w:w w:val="110"/>
        </w:rPr>
        <w:t>en</w:t>
      </w:r>
      <w:r>
        <w:rPr>
          <w:color w:val="231F1F"/>
          <w:spacing w:val="-8"/>
          <w:w w:val="110"/>
        </w:rPr>
        <w:t> </w:t>
      </w:r>
      <w:r>
        <w:rPr>
          <w:color w:val="231F1F"/>
          <w:w w:val="110"/>
        </w:rPr>
        <w:t>su</w:t>
      </w:r>
      <w:r>
        <w:rPr>
          <w:color w:val="231F1F"/>
          <w:spacing w:val="-8"/>
          <w:w w:val="110"/>
        </w:rPr>
        <w:t> </w:t>
      </w:r>
      <w:r>
        <w:rPr>
          <w:color w:val="231F1F"/>
          <w:w w:val="110"/>
        </w:rPr>
        <w:t>eficacia,</w:t>
      </w:r>
      <w:r>
        <w:rPr>
          <w:color w:val="231F1F"/>
          <w:spacing w:val="-9"/>
          <w:w w:val="110"/>
        </w:rPr>
        <w:t> </w:t>
      </w:r>
      <w:r>
        <w:rPr>
          <w:color w:val="231F1F"/>
          <w:w w:val="110"/>
        </w:rPr>
        <w:t>en</w:t>
      </w:r>
      <w:r>
        <w:rPr>
          <w:color w:val="231F1F"/>
          <w:spacing w:val="-8"/>
          <w:w w:val="110"/>
        </w:rPr>
        <w:t> </w:t>
      </w:r>
      <w:r>
        <w:rPr>
          <w:color w:val="231F1F"/>
          <w:w w:val="110"/>
        </w:rPr>
        <w:t>la satisfacción</w:t>
      </w:r>
      <w:r>
        <w:rPr>
          <w:color w:val="231F1F"/>
          <w:spacing w:val="-16"/>
          <w:w w:val="110"/>
        </w:rPr>
        <w:t> </w:t>
      </w:r>
      <w:r>
        <w:rPr>
          <w:color w:val="231F1F"/>
          <w:w w:val="110"/>
        </w:rPr>
        <w:t>materna,</w:t>
      </w:r>
      <w:r>
        <w:rPr>
          <w:color w:val="231F1F"/>
          <w:spacing w:val="-15"/>
          <w:w w:val="110"/>
        </w:rPr>
        <w:t> </w:t>
      </w:r>
      <w:r>
        <w:rPr>
          <w:color w:val="231F1F"/>
          <w:w w:val="110"/>
        </w:rPr>
        <w:t>cantidad</w:t>
      </w:r>
      <w:r>
        <w:rPr>
          <w:color w:val="231F1F"/>
          <w:spacing w:val="-15"/>
          <w:w w:val="110"/>
        </w:rPr>
        <w:t> </w:t>
      </w:r>
      <w:r>
        <w:rPr>
          <w:color w:val="231F1F"/>
          <w:w w:val="110"/>
        </w:rPr>
        <w:t>total</w:t>
      </w:r>
      <w:r>
        <w:rPr>
          <w:color w:val="231F1F"/>
          <w:spacing w:val="-15"/>
          <w:w w:val="110"/>
        </w:rPr>
        <w:t> </w:t>
      </w:r>
      <w:r>
        <w:rPr>
          <w:color w:val="231F1F"/>
          <w:w w:val="110"/>
        </w:rPr>
        <w:t>de</w:t>
      </w:r>
      <w:r>
        <w:rPr>
          <w:color w:val="231F1F"/>
          <w:spacing w:val="-15"/>
          <w:w w:val="110"/>
        </w:rPr>
        <w:t> </w:t>
      </w:r>
      <w:r>
        <w:rPr>
          <w:color w:val="231F1F"/>
          <w:w w:val="110"/>
        </w:rPr>
        <w:t>anestésico</w:t>
      </w:r>
      <w:r>
        <w:rPr>
          <w:color w:val="231F1F"/>
          <w:spacing w:val="-15"/>
          <w:w w:val="110"/>
        </w:rPr>
        <w:t> </w:t>
      </w:r>
      <w:r>
        <w:rPr>
          <w:color w:val="231F1F"/>
          <w:w w:val="110"/>
        </w:rPr>
        <w:t>empleado,</w:t>
      </w:r>
      <w:r>
        <w:rPr>
          <w:color w:val="231F1F"/>
          <w:spacing w:val="-15"/>
          <w:w w:val="110"/>
        </w:rPr>
        <w:t> </w:t>
      </w:r>
      <w:r>
        <w:rPr>
          <w:color w:val="231F1F"/>
          <w:w w:val="110"/>
        </w:rPr>
        <w:t>efectos</w:t>
      </w:r>
      <w:r>
        <w:rPr>
          <w:color w:val="231F1F"/>
          <w:spacing w:val="-15"/>
          <w:w w:val="110"/>
        </w:rPr>
        <w:t> </w:t>
      </w:r>
      <w:r>
        <w:rPr>
          <w:color w:val="231F1F"/>
          <w:w w:val="110"/>
        </w:rPr>
        <w:t>secundarios,</w:t>
      </w:r>
      <w:r>
        <w:rPr>
          <w:color w:val="231F1F"/>
          <w:spacing w:val="-16"/>
          <w:w w:val="110"/>
        </w:rPr>
        <w:t> </w:t>
      </w:r>
      <w:r>
        <w:rPr>
          <w:color w:val="231F1F"/>
          <w:w w:val="110"/>
        </w:rPr>
        <w:t>costes</w:t>
      </w:r>
      <w:r>
        <w:rPr>
          <w:color w:val="231F1F"/>
          <w:spacing w:val="-15"/>
          <w:w w:val="110"/>
        </w:rPr>
        <w:t> </w:t>
      </w:r>
      <w:r>
        <w:rPr>
          <w:color w:val="231F1F"/>
          <w:w w:val="110"/>
        </w:rPr>
        <w:t>y en</w:t>
      </w:r>
      <w:r>
        <w:rPr>
          <w:color w:val="231F1F"/>
          <w:spacing w:val="-11"/>
          <w:w w:val="110"/>
        </w:rPr>
        <w:t> </w:t>
      </w:r>
      <w:r>
        <w:rPr>
          <w:color w:val="231F1F"/>
          <w:w w:val="110"/>
        </w:rPr>
        <w:t>el</w:t>
      </w:r>
      <w:r>
        <w:rPr>
          <w:color w:val="231F1F"/>
          <w:spacing w:val="-12"/>
          <w:w w:val="110"/>
        </w:rPr>
        <w:t> </w:t>
      </w:r>
      <w:r>
        <w:rPr>
          <w:color w:val="231F1F"/>
          <w:w w:val="110"/>
        </w:rPr>
        <w:t>caso</w:t>
      </w:r>
      <w:r>
        <w:rPr>
          <w:color w:val="231F1F"/>
          <w:spacing w:val="-11"/>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PCEA</w:t>
      </w:r>
      <w:r>
        <w:rPr>
          <w:color w:val="231F1F"/>
          <w:spacing w:val="-11"/>
          <w:w w:val="110"/>
        </w:rPr>
        <w:t> </w:t>
      </w:r>
      <w:r>
        <w:rPr>
          <w:color w:val="231F1F"/>
          <w:w w:val="110"/>
        </w:rPr>
        <w:t>en</w:t>
      </w:r>
      <w:r>
        <w:rPr>
          <w:color w:val="231F1F"/>
          <w:spacing w:val="-11"/>
          <w:w w:val="110"/>
        </w:rPr>
        <w:t> </w:t>
      </w:r>
      <w:r>
        <w:rPr>
          <w:color w:val="231F1F"/>
          <w:w w:val="110"/>
        </w:rPr>
        <w:t>la</w:t>
      </w:r>
      <w:r>
        <w:rPr>
          <w:color w:val="231F1F"/>
          <w:spacing w:val="-12"/>
          <w:w w:val="110"/>
        </w:rPr>
        <w:t> </w:t>
      </w:r>
      <w:r>
        <w:rPr>
          <w:color w:val="231F1F"/>
          <w:w w:val="110"/>
        </w:rPr>
        <w:t>gestión</w:t>
      </w:r>
      <w:r>
        <w:rPr>
          <w:color w:val="231F1F"/>
          <w:spacing w:val="-11"/>
          <w:w w:val="110"/>
        </w:rPr>
        <w:t> </w:t>
      </w:r>
      <w:r>
        <w:rPr>
          <w:color w:val="231F1F"/>
          <w:w w:val="110"/>
        </w:rPr>
        <w:t>del</w:t>
      </w:r>
      <w:r>
        <w:rPr>
          <w:color w:val="231F1F"/>
          <w:spacing w:val="-12"/>
          <w:w w:val="110"/>
        </w:rPr>
        <w:t> </w:t>
      </w:r>
      <w:r>
        <w:rPr>
          <w:color w:val="231F1F"/>
          <w:w w:val="110"/>
        </w:rPr>
        <w:t>tiempo</w:t>
      </w:r>
      <w:r>
        <w:rPr>
          <w:color w:val="231F1F"/>
          <w:spacing w:val="-11"/>
          <w:w w:val="110"/>
        </w:rPr>
        <w:t> </w:t>
      </w:r>
      <w:r>
        <w:rPr>
          <w:color w:val="231F1F"/>
          <w:w w:val="110"/>
        </w:rPr>
        <w:t>del</w:t>
      </w:r>
      <w:r>
        <w:rPr>
          <w:color w:val="231F1F"/>
          <w:spacing w:val="-12"/>
          <w:w w:val="110"/>
        </w:rPr>
        <w:t> </w:t>
      </w:r>
      <w:r>
        <w:rPr>
          <w:color w:val="231F1F"/>
          <w:w w:val="110"/>
        </w:rPr>
        <w:t>personal</w:t>
      </w:r>
      <w:r>
        <w:rPr>
          <w:color w:val="231F1F"/>
          <w:spacing w:val="-12"/>
          <w:w w:val="110"/>
        </w:rPr>
        <w:t> </w:t>
      </w:r>
      <w:r>
        <w:rPr>
          <w:color w:val="231F1F"/>
          <w:w w:val="110"/>
        </w:rPr>
        <w:t>hospitalario.</w:t>
      </w:r>
      <w:r>
        <w:rPr>
          <w:color w:val="231F1F"/>
          <w:spacing w:val="-12"/>
          <w:w w:val="110"/>
        </w:rPr>
        <w:t> </w:t>
      </w:r>
      <w:r>
        <w:rPr>
          <w:color w:val="231F1F"/>
          <w:w w:val="110"/>
        </w:rPr>
        <w:t>Por</w:t>
      </w:r>
      <w:r>
        <w:rPr>
          <w:color w:val="231F1F"/>
          <w:spacing w:val="-12"/>
          <w:w w:val="110"/>
        </w:rPr>
        <w:t> </w:t>
      </w:r>
      <w:r>
        <w:rPr>
          <w:color w:val="231F1F"/>
          <w:w w:val="110"/>
        </w:rPr>
        <w:t>ello,</w:t>
      </w:r>
      <w:r>
        <w:rPr>
          <w:color w:val="231F1F"/>
          <w:spacing w:val="-12"/>
          <w:w w:val="110"/>
        </w:rPr>
        <w:t> </w:t>
      </w:r>
      <w:r>
        <w:rPr>
          <w:color w:val="231F1F"/>
          <w:w w:val="110"/>
        </w:rPr>
        <w:t>es</w:t>
      </w:r>
      <w:r>
        <w:rPr>
          <w:color w:val="231F1F"/>
          <w:spacing w:val="-12"/>
          <w:w w:val="110"/>
        </w:rPr>
        <w:t> </w:t>
      </w:r>
      <w:r>
        <w:rPr>
          <w:color w:val="231F1F"/>
          <w:w w:val="110"/>
        </w:rPr>
        <w:t>con- veniente</w:t>
      </w:r>
      <w:r>
        <w:rPr>
          <w:color w:val="231F1F"/>
          <w:spacing w:val="-9"/>
          <w:w w:val="110"/>
        </w:rPr>
        <w:t> </w:t>
      </w:r>
      <w:r>
        <w:rPr>
          <w:color w:val="231F1F"/>
          <w:w w:val="110"/>
        </w:rPr>
        <w:t>conocer</w:t>
      </w:r>
      <w:r>
        <w:rPr>
          <w:color w:val="231F1F"/>
          <w:spacing w:val="-9"/>
          <w:w w:val="110"/>
        </w:rPr>
        <w:t> </w:t>
      </w:r>
      <w:r>
        <w:rPr>
          <w:color w:val="231F1F"/>
          <w:w w:val="110"/>
        </w:rPr>
        <w:t>la</w:t>
      </w:r>
      <w:r>
        <w:rPr>
          <w:color w:val="231F1F"/>
          <w:spacing w:val="-9"/>
          <w:w w:val="110"/>
        </w:rPr>
        <w:t> </w:t>
      </w:r>
      <w:r>
        <w:rPr>
          <w:color w:val="231F1F"/>
          <w:w w:val="110"/>
        </w:rPr>
        <w:t>influencia</w:t>
      </w:r>
      <w:r>
        <w:rPr>
          <w:color w:val="231F1F"/>
          <w:spacing w:val="-9"/>
          <w:w w:val="110"/>
        </w:rPr>
        <w:t> </w:t>
      </w:r>
      <w:r>
        <w:rPr>
          <w:color w:val="231F1F"/>
          <w:w w:val="110"/>
        </w:rPr>
        <w:t>de</w:t>
      </w:r>
      <w:r>
        <w:rPr>
          <w:color w:val="231F1F"/>
          <w:spacing w:val="-9"/>
          <w:w w:val="110"/>
        </w:rPr>
        <w:t> </w:t>
      </w:r>
      <w:r>
        <w:rPr>
          <w:color w:val="231F1F"/>
          <w:w w:val="110"/>
        </w:rPr>
        <w:t>estas</w:t>
      </w:r>
      <w:r>
        <w:rPr>
          <w:color w:val="231F1F"/>
          <w:spacing w:val="-9"/>
          <w:w w:val="110"/>
        </w:rPr>
        <w:t> </w:t>
      </w:r>
      <w:r>
        <w:rPr>
          <w:color w:val="231F1F"/>
          <w:w w:val="110"/>
        </w:rPr>
        <w:t>diferencias</w:t>
      </w:r>
      <w:r>
        <w:rPr>
          <w:color w:val="231F1F"/>
          <w:spacing w:val="-10"/>
          <w:w w:val="110"/>
        </w:rPr>
        <w:t> </w:t>
      </w:r>
      <w:r>
        <w:rPr>
          <w:color w:val="231F1F"/>
          <w:w w:val="110"/>
        </w:rPr>
        <w:t>para</w:t>
      </w:r>
      <w:r>
        <w:rPr>
          <w:color w:val="231F1F"/>
          <w:spacing w:val="-9"/>
          <w:w w:val="110"/>
        </w:rPr>
        <w:t> </w:t>
      </w:r>
      <w:r>
        <w:rPr>
          <w:color w:val="231F1F"/>
          <w:w w:val="110"/>
        </w:rPr>
        <w:t>la</w:t>
      </w:r>
      <w:r>
        <w:rPr>
          <w:color w:val="231F1F"/>
          <w:spacing w:val="-9"/>
          <w:w w:val="110"/>
        </w:rPr>
        <w:t> </w:t>
      </w:r>
      <w:r>
        <w:rPr>
          <w:color w:val="231F1F"/>
          <w:w w:val="110"/>
        </w:rPr>
        <w:t>elección</w:t>
      </w:r>
      <w:r>
        <w:rPr>
          <w:color w:val="231F1F"/>
          <w:spacing w:val="-9"/>
          <w:w w:val="110"/>
        </w:rPr>
        <w:t> </w:t>
      </w:r>
      <w:r>
        <w:rPr>
          <w:color w:val="231F1F"/>
          <w:w w:val="110"/>
        </w:rPr>
        <w:t>del</w:t>
      </w:r>
      <w:r>
        <w:rPr>
          <w:color w:val="231F1F"/>
          <w:spacing w:val="-10"/>
          <w:w w:val="110"/>
        </w:rPr>
        <w:t> </w:t>
      </w:r>
      <w:r>
        <w:rPr>
          <w:color w:val="231F1F"/>
          <w:w w:val="110"/>
        </w:rPr>
        <w:t>modo</w:t>
      </w:r>
      <w:r>
        <w:rPr>
          <w:color w:val="231F1F"/>
          <w:spacing w:val="-9"/>
          <w:w w:val="110"/>
        </w:rPr>
        <w:t> </w:t>
      </w:r>
      <w:r>
        <w:rPr>
          <w:color w:val="231F1F"/>
          <w:w w:val="110"/>
        </w:rPr>
        <w:t>de</w:t>
      </w:r>
      <w:r>
        <w:rPr>
          <w:color w:val="231F1F"/>
          <w:spacing w:val="-9"/>
          <w:w w:val="110"/>
        </w:rPr>
        <w:t> </w:t>
      </w:r>
      <w:r>
        <w:rPr>
          <w:color w:val="231F1F"/>
          <w:w w:val="110"/>
        </w:rPr>
        <w:t>adminis- tración más adecuado en cada caso.</w:t>
      </w:r>
    </w:p>
    <w:p>
      <w:pPr>
        <w:pStyle w:val="BodyText"/>
        <w:spacing w:before="170"/>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72"/>
        <w:jc w:val="both"/>
      </w:pPr>
      <w:r>
        <w:rPr>
          <w:color w:val="231F1F"/>
          <w:w w:val="110"/>
        </w:rPr>
        <w:t>El</w:t>
      </w:r>
      <w:r>
        <w:rPr>
          <w:color w:val="231F1F"/>
          <w:spacing w:val="-16"/>
          <w:w w:val="110"/>
        </w:rPr>
        <w:t> </w:t>
      </w:r>
      <w:r>
        <w:rPr>
          <w:color w:val="231F1F"/>
          <w:w w:val="110"/>
        </w:rPr>
        <w:t>volumen</w:t>
      </w:r>
      <w:r>
        <w:rPr>
          <w:color w:val="231F1F"/>
          <w:spacing w:val="-15"/>
          <w:w w:val="110"/>
        </w:rPr>
        <w:t> </w:t>
      </w:r>
      <w:r>
        <w:rPr>
          <w:color w:val="231F1F"/>
          <w:w w:val="110"/>
        </w:rPr>
        <w:t>y</w:t>
      </w:r>
      <w:r>
        <w:rPr>
          <w:color w:val="231F1F"/>
          <w:spacing w:val="-15"/>
          <w:w w:val="110"/>
        </w:rPr>
        <w:t> </w:t>
      </w:r>
      <w:r>
        <w:rPr>
          <w:color w:val="231F1F"/>
          <w:w w:val="110"/>
        </w:rPr>
        <w:t>calidad</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evidencia</w:t>
      </w:r>
      <w:r>
        <w:rPr>
          <w:color w:val="231F1F"/>
          <w:spacing w:val="-15"/>
          <w:w w:val="110"/>
        </w:rPr>
        <w:t> </w:t>
      </w:r>
      <w:r>
        <w:rPr>
          <w:color w:val="231F1F"/>
          <w:w w:val="110"/>
        </w:rPr>
        <w:t>aportada</w:t>
      </w:r>
      <w:r>
        <w:rPr>
          <w:color w:val="231F1F"/>
          <w:spacing w:val="-15"/>
          <w:w w:val="110"/>
        </w:rPr>
        <w:t> </w:t>
      </w:r>
      <w:r>
        <w:rPr>
          <w:color w:val="231F1F"/>
          <w:w w:val="110"/>
        </w:rPr>
        <w:t>por</w:t>
      </w:r>
      <w:r>
        <w:rPr>
          <w:color w:val="231F1F"/>
          <w:spacing w:val="-16"/>
          <w:w w:val="110"/>
        </w:rPr>
        <w:t> </w:t>
      </w:r>
      <w:r>
        <w:rPr>
          <w:color w:val="231F1F"/>
          <w:w w:val="110"/>
        </w:rPr>
        <w:t>la</w:t>
      </w:r>
      <w:r>
        <w:rPr>
          <w:color w:val="231F1F"/>
          <w:spacing w:val="-15"/>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incluye un</w:t>
      </w:r>
      <w:r>
        <w:rPr>
          <w:color w:val="231F1F"/>
          <w:spacing w:val="-16"/>
          <w:w w:val="110"/>
        </w:rPr>
        <w:t> </w:t>
      </w:r>
      <w:r>
        <w:rPr>
          <w:color w:val="231F1F"/>
          <w:w w:val="110"/>
        </w:rPr>
        <w:t>total</w:t>
      </w:r>
      <w:r>
        <w:rPr>
          <w:color w:val="231F1F"/>
          <w:spacing w:val="-15"/>
          <w:w w:val="110"/>
        </w:rPr>
        <w:t> </w:t>
      </w:r>
      <w:r>
        <w:rPr>
          <w:color w:val="231F1F"/>
          <w:w w:val="110"/>
        </w:rPr>
        <w:t>de</w:t>
      </w:r>
      <w:r>
        <w:rPr>
          <w:color w:val="231F1F"/>
          <w:spacing w:val="-15"/>
          <w:w w:val="110"/>
        </w:rPr>
        <w:t> </w:t>
      </w:r>
      <w:r>
        <w:rPr>
          <w:color w:val="231F1F"/>
          <w:w w:val="110"/>
        </w:rPr>
        <w:t>diecisiete</w:t>
      </w:r>
      <w:r>
        <w:rPr>
          <w:color w:val="231F1F"/>
          <w:spacing w:val="-15"/>
          <w:w w:val="110"/>
        </w:rPr>
        <w:t> </w:t>
      </w:r>
      <w:r>
        <w:rPr>
          <w:color w:val="231F1F"/>
          <w:w w:val="110"/>
        </w:rPr>
        <w:t>ECAs</w:t>
      </w:r>
      <w:r>
        <w:rPr>
          <w:color w:val="231F1F"/>
          <w:spacing w:val="-15"/>
          <w:w w:val="110"/>
        </w:rPr>
        <w:t> </w:t>
      </w:r>
      <w:r>
        <w:rPr>
          <w:color w:val="231F1F"/>
          <w:w w:val="110"/>
        </w:rPr>
        <w:t>y</w:t>
      </w:r>
      <w:r>
        <w:rPr>
          <w:color w:val="231F1F"/>
          <w:spacing w:val="-15"/>
          <w:w w:val="110"/>
        </w:rPr>
        <w:t> </w:t>
      </w:r>
      <w:r>
        <w:rPr>
          <w:color w:val="231F1F"/>
          <w:w w:val="110"/>
        </w:rPr>
        <w:t>una</w:t>
      </w:r>
      <w:r>
        <w:rPr>
          <w:color w:val="231F1F"/>
          <w:spacing w:val="-15"/>
          <w:w w:val="110"/>
        </w:rPr>
        <w:t> </w:t>
      </w:r>
      <w:r>
        <w:rPr>
          <w:color w:val="231F1F"/>
          <w:w w:val="110"/>
        </w:rPr>
        <w:t>RS</w:t>
      </w:r>
      <w:r>
        <w:rPr>
          <w:color w:val="231F1F"/>
          <w:spacing w:val="-15"/>
          <w:w w:val="110"/>
        </w:rPr>
        <w:t> </w:t>
      </w:r>
      <w:r>
        <w:rPr>
          <w:color w:val="231F1F"/>
          <w:w w:val="110"/>
        </w:rPr>
        <w:t>para</w:t>
      </w:r>
      <w:r>
        <w:rPr>
          <w:color w:val="231F1F"/>
          <w:spacing w:val="-16"/>
          <w:w w:val="110"/>
        </w:rPr>
        <w:t> </w:t>
      </w:r>
      <w:r>
        <w:rPr>
          <w:color w:val="231F1F"/>
          <w:w w:val="110"/>
        </w:rPr>
        <w:t>contestar</w:t>
      </w:r>
      <w:r>
        <w:rPr>
          <w:color w:val="231F1F"/>
          <w:spacing w:val="-15"/>
          <w:w w:val="110"/>
        </w:rPr>
        <w:t> </w:t>
      </w:r>
      <w:r>
        <w:rPr>
          <w:color w:val="231F1F"/>
          <w:w w:val="110"/>
        </w:rPr>
        <w:t>sobre</w:t>
      </w:r>
      <w:r>
        <w:rPr>
          <w:color w:val="231F1F"/>
          <w:spacing w:val="-15"/>
          <w:w w:val="110"/>
        </w:rPr>
        <w:t> </w:t>
      </w:r>
      <w:r>
        <w:rPr>
          <w:color w:val="231F1F"/>
          <w:w w:val="110"/>
        </w:rPr>
        <w:t>el</w:t>
      </w:r>
      <w:r>
        <w:rPr>
          <w:color w:val="231F1F"/>
          <w:spacing w:val="-15"/>
          <w:w w:val="110"/>
        </w:rPr>
        <w:t> </w:t>
      </w:r>
      <w:r>
        <w:rPr>
          <w:color w:val="231F1F"/>
          <w:w w:val="110"/>
        </w:rPr>
        <w:t>tipo</w:t>
      </w:r>
      <w:r>
        <w:rPr>
          <w:color w:val="231F1F"/>
          <w:spacing w:val="-15"/>
          <w:w w:val="110"/>
        </w:rPr>
        <w:t> </w:t>
      </w:r>
      <w:r>
        <w:rPr>
          <w:color w:val="231F1F"/>
          <w:w w:val="110"/>
        </w:rPr>
        <w:t>de</w:t>
      </w:r>
      <w:r>
        <w:rPr>
          <w:color w:val="231F1F"/>
          <w:spacing w:val="-15"/>
          <w:w w:val="110"/>
        </w:rPr>
        <w:t> </w:t>
      </w:r>
      <w:r>
        <w:rPr>
          <w:color w:val="231F1F"/>
          <w:w w:val="110"/>
        </w:rPr>
        <w:t>adminis- tración de la analgesia. Todos los estudios incluidos tienen un NE de 1+.</w:t>
      </w:r>
    </w:p>
    <w:p>
      <w:pPr>
        <w:tabs>
          <w:tab w:pos="7722" w:val="left" w:leader="none"/>
          <w:tab w:pos="7924" w:val="left" w:leader="none"/>
          <w:tab w:pos="8114" w:val="left" w:leader="none"/>
        </w:tabs>
        <w:spacing w:line="244" w:lineRule="auto" w:before="95"/>
        <w:ind w:left="283" w:right="338" w:firstLine="453"/>
        <w:jc w:val="left"/>
        <w:rPr>
          <w:sz w:val="22"/>
        </w:rPr>
      </w:pPr>
      <w:r>
        <w:rPr>
          <w:color w:val="231F1F"/>
          <w:sz w:val="22"/>
        </w:rPr>
        <w:t>La guía NICE (10) seleccionó 8 estudios que comparaban la administra-</w:t>
        <w:tab/>
      </w:r>
      <w:r>
        <w:rPr>
          <w:rFonts w:ascii="Arial MT" w:hAnsi="Arial MT"/>
          <w:color w:val="231F1F"/>
          <w:sz w:val="18"/>
        </w:rPr>
        <w:t>RS-MA</w:t>
      </w:r>
      <w:r>
        <w:rPr>
          <w:rFonts w:ascii="Arial MT" w:hAnsi="Arial MT"/>
          <w:color w:val="231F1F"/>
          <w:spacing w:val="-7"/>
          <w:sz w:val="18"/>
        </w:rPr>
        <w:t> </w:t>
      </w:r>
      <w:r>
        <w:rPr>
          <w:rFonts w:ascii="Arial MT" w:hAnsi="Arial MT"/>
          <w:color w:val="231F1F"/>
          <w:sz w:val="18"/>
        </w:rPr>
        <w:t>de </w:t>
      </w:r>
      <w:r>
        <w:rPr>
          <w:color w:val="231F1F"/>
          <w:w w:val="105"/>
          <w:sz w:val="22"/>
        </w:rPr>
        <w:t>ción de </w:t>
      </w:r>
      <w:r>
        <w:rPr>
          <w:i/>
          <w:color w:val="231F1F"/>
          <w:w w:val="105"/>
          <w:sz w:val="22"/>
        </w:rPr>
        <w:t>bolos intermitentes por personal del hospital con bupivacaína </w:t>
      </w:r>
      <w:r>
        <w:rPr>
          <w:color w:val="231F1F"/>
          <w:w w:val="105"/>
          <w:sz w:val="22"/>
        </w:rPr>
        <w:t>en 4</w:t>
      </w:r>
      <w:r>
        <w:rPr>
          <w:color w:val="231F1F"/>
          <w:sz w:val="22"/>
        </w:rPr>
        <w:tab/>
        <w:tab/>
      </w:r>
      <w:r>
        <w:rPr>
          <w:rFonts w:ascii="Arial MT" w:hAnsi="Arial MT"/>
          <w:color w:val="231F1F"/>
          <w:spacing w:val="-4"/>
          <w:w w:val="105"/>
          <w:position w:val="4"/>
          <w:sz w:val="18"/>
        </w:rPr>
        <w:t>ECAs </w:t>
      </w:r>
      <w:r>
        <w:rPr>
          <w:color w:val="231F1F"/>
          <w:w w:val="105"/>
          <w:sz w:val="22"/>
        </w:rPr>
        <w:t>estudios, (328-331), bupivacaína más fentanilo en 3 estudios (332-334) y </w:t>
      </w:r>
      <w:r>
        <w:rPr>
          <w:i/>
          <w:color w:val="231F1F"/>
          <w:w w:val="105"/>
          <w:sz w:val="22"/>
        </w:rPr>
        <w:t>ropi-</w:t>
      </w:r>
      <w:r>
        <w:rPr>
          <w:i/>
          <w:color w:val="231F1F"/>
          <w:sz w:val="22"/>
        </w:rPr>
        <w:tab/>
        <w:tab/>
        <w:tab/>
      </w:r>
      <w:r>
        <w:rPr>
          <w:rFonts w:ascii="Arial MT" w:hAnsi="Arial MT"/>
          <w:color w:val="231F1F"/>
          <w:spacing w:val="-6"/>
          <w:w w:val="105"/>
          <w:position w:val="8"/>
          <w:sz w:val="18"/>
        </w:rPr>
        <w:t>1+ </w:t>
      </w:r>
      <w:r>
        <w:rPr>
          <w:i/>
          <w:color w:val="231F1F"/>
          <w:w w:val="105"/>
          <w:sz w:val="22"/>
        </w:rPr>
        <w:t>vacaína</w:t>
      </w:r>
      <w:r>
        <w:rPr>
          <w:i/>
          <w:color w:val="231F1F"/>
          <w:spacing w:val="40"/>
          <w:w w:val="105"/>
          <w:sz w:val="22"/>
        </w:rPr>
        <w:t> </w:t>
      </w:r>
      <w:r>
        <w:rPr>
          <w:i/>
          <w:color w:val="231F1F"/>
          <w:w w:val="105"/>
          <w:sz w:val="22"/>
        </w:rPr>
        <w:t>más</w:t>
      </w:r>
      <w:r>
        <w:rPr>
          <w:i/>
          <w:color w:val="231F1F"/>
          <w:spacing w:val="40"/>
          <w:w w:val="105"/>
          <w:sz w:val="22"/>
        </w:rPr>
        <w:t> </w:t>
      </w:r>
      <w:r>
        <w:rPr>
          <w:i/>
          <w:color w:val="231F1F"/>
          <w:w w:val="105"/>
          <w:sz w:val="22"/>
        </w:rPr>
        <w:t>fentanilo</w:t>
      </w:r>
      <w:r>
        <w:rPr>
          <w:i/>
          <w:color w:val="231F1F"/>
          <w:spacing w:val="40"/>
          <w:w w:val="105"/>
          <w:sz w:val="22"/>
        </w:rPr>
        <w:t> </w:t>
      </w:r>
      <w:r>
        <w:rPr>
          <w:color w:val="231F1F"/>
          <w:w w:val="105"/>
          <w:sz w:val="22"/>
        </w:rPr>
        <w:t>en</w:t>
      </w:r>
      <w:r>
        <w:rPr>
          <w:color w:val="231F1F"/>
          <w:spacing w:val="40"/>
          <w:w w:val="105"/>
          <w:sz w:val="22"/>
        </w:rPr>
        <w:t> </w:t>
      </w:r>
      <w:r>
        <w:rPr>
          <w:color w:val="231F1F"/>
          <w:w w:val="105"/>
          <w:sz w:val="22"/>
        </w:rPr>
        <w:t>1</w:t>
      </w:r>
      <w:r>
        <w:rPr>
          <w:color w:val="231F1F"/>
          <w:spacing w:val="40"/>
          <w:w w:val="105"/>
          <w:sz w:val="22"/>
        </w:rPr>
        <w:t> </w:t>
      </w:r>
      <w:r>
        <w:rPr>
          <w:color w:val="231F1F"/>
          <w:w w:val="105"/>
          <w:sz w:val="22"/>
        </w:rPr>
        <w:t>estudio,</w:t>
      </w:r>
      <w:r>
        <w:rPr>
          <w:color w:val="231F1F"/>
          <w:spacing w:val="40"/>
          <w:w w:val="105"/>
          <w:sz w:val="22"/>
        </w:rPr>
        <w:t> </w:t>
      </w:r>
      <w:r>
        <w:rPr>
          <w:color w:val="231F1F"/>
          <w:w w:val="105"/>
          <w:sz w:val="22"/>
        </w:rPr>
        <w:t>(335)</w:t>
      </w:r>
      <w:r>
        <w:rPr>
          <w:color w:val="231F1F"/>
          <w:spacing w:val="40"/>
          <w:w w:val="105"/>
          <w:sz w:val="22"/>
        </w:rPr>
        <w:t> </w:t>
      </w:r>
      <w:r>
        <w:rPr>
          <w:i/>
          <w:color w:val="231F1F"/>
          <w:w w:val="105"/>
          <w:sz w:val="22"/>
        </w:rPr>
        <w:t>vs</w:t>
      </w:r>
      <w:r>
        <w:rPr>
          <w:i/>
          <w:color w:val="231F1F"/>
          <w:spacing w:val="40"/>
          <w:w w:val="105"/>
          <w:sz w:val="22"/>
        </w:rPr>
        <w:t> </w:t>
      </w:r>
      <w:r>
        <w:rPr>
          <w:i/>
          <w:color w:val="231F1F"/>
          <w:w w:val="105"/>
          <w:sz w:val="22"/>
        </w:rPr>
        <w:t>PCEA</w:t>
      </w:r>
      <w:r>
        <w:rPr>
          <w:color w:val="231F1F"/>
          <w:w w:val="105"/>
          <w:sz w:val="22"/>
        </w:rPr>
        <w:t>.</w:t>
      </w:r>
      <w:r>
        <w:rPr>
          <w:color w:val="231F1F"/>
          <w:spacing w:val="40"/>
          <w:w w:val="105"/>
          <w:sz w:val="22"/>
        </w:rPr>
        <w:t> </w:t>
      </w:r>
      <w:r>
        <w:rPr>
          <w:color w:val="231F1F"/>
          <w:w w:val="105"/>
          <w:sz w:val="22"/>
        </w:rPr>
        <w:t>Estos</w:t>
      </w:r>
      <w:r>
        <w:rPr>
          <w:color w:val="231F1F"/>
          <w:spacing w:val="40"/>
          <w:w w:val="105"/>
          <w:sz w:val="22"/>
        </w:rPr>
        <w:t> </w:t>
      </w:r>
      <w:r>
        <w:rPr>
          <w:color w:val="231F1F"/>
          <w:w w:val="105"/>
          <w:sz w:val="22"/>
        </w:rPr>
        <w:t>estudios</w:t>
      </w:r>
      <w:r>
        <w:rPr>
          <w:color w:val="231F1F"/>
          <w:spacing w:val="40"/>
          <w:w w:val="105"/>
          <w:sz w:val="22"/>
        </w:rPr>
        <w:t> </w:t>
      </w:r>
      <w:r>
        <w:rPr>
          <w:color w:val="231F1F"/>
          <w:w w:val="105"/>
          <w:sz w:val="22"/>
        </w:rPr>
        <w:t>fueron homogéneos</w:t>
      </w:r>
      <w:r>
        <w:rPr>
          <w:color w:val="231F1F"/>
          <w:spacing w:val="40"/>
          <w:w w:val="105"/>
          <w:sz w:val="22"/>
        </w:rPr>
        <w:t> </w:t>
      </w:r>
      <w:r>
        <w:rPr>
          <w:color w:val="231F1F"/>
          <w:w w:val="105"/>
          <w:sz w:val="22"/>
        </w:rPr>
        <w:t>por</w:t>
      </w:r>
      <w:r>
        <w:rPr>
          <w:color w:val="231F1F"/>
          <w:spacing w:val="40"/>
          <w:w w:val="105"/>
          <w:sz w:val="22"/>
        </w:rPr>
        <w:t> </w:t>
      </w:r>
      <w:r>
        <w:rPr>
          <w:color w:val="231F1F"/>
          <w:w w:val="105"/>
          <w:sz w:val="22"/>
        </w:rPr>
        <w:t>lo</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síntesis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resultados</w:t>
      </w:r>
      <w:r>
        <w:rPr>
          <w:color w:val="231F1F"/>
          <w:spacing w:val="40"/>
          <w:w w:val="105"/>
          <w:sz w:val="22"/>
        </w:rPr>
        <w:t> </w:t>
      </w:r>
      <w:r>
        <w:rPr>
          <w:color w:val="231F1F"/>
          <w:w w:val="105"/>
          <w:sz w:val="22"/>
        </w:rPr>
        <w:t>se</w:t>
      </w:r>
      <w:r>
        <w:rPr>
          <w:color w:val="231F1F"/>
          <w:spacing w:val="40"/>
          <w:w w:val="105"/>
          <w:sz w:val="22"/>
        </w:rPr>
        <w:t> </w:t>
      </w:r>
      <w:r>
        <w:rPr>
          <w:color w:val="231F1F"/>
          <w:w w:val="105"/>
          <w:sz w:val="22"/>
        </w:rPr>
        <w:t>realizó</w:t>
      </w:r>
      <w:r>
        <w:rPr>
          <w:color w:val="231F1F"/>
          <w:spacing w:val="40"/>
          <w:w w:val="105"/>
          <w:sz w:val="22"/>
        </w:rPr>
        <w:t> </w:t>
      </w:r>
      <w:r>
        <w:rPr>
          <w:color w:val="231F1F"/>
          <w:w w:val="105"/>
          <w:sz w:val="22"/>
        </w:rPr>
        <w:t>mediante</w:t>
      </w:r>
      <w:r>
        <w:rPr>
          <w:color w:val="231F1F"/>
          <w:spacing w:val="40"/>
          <w:w w:val="105"/>
          <w:sz w:val="22"/>
        </w:rPr>
        <w:t> </w:t>
      </w:r>
      <w:r>
        <w:rPr>
          <w:color w:val="231F1F"/>
          <w:w w:val="105"/>
          <w:sz w:val="22"/>
        </w:rPr>
        <w:t>un metaanálisis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un</w:t>
      </w:r>
      <w:r>
        <w:rPr>
          <w:color w:val="231F1F"/>
          <w:spacing w:val="40"/>
          <w:w w:val="105"/>
          <w:sz w:val="22"/>
        </w:rPr>
        <w:t> </w:t>
      </w:r>
      <w:r>
        <w:rPr>
          <w:color w:val="231F1F"/>
          <w:w w:val="105"/>
          <w:sz w:val="22"/>
        </w:rPr>
        <w:t>NE=1+,</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mostró</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PC</w:t>
      </w:r>
      <w:r>
        <w:rPr>
          <w:color w:val="231F1F"/>
          <w:spacing w:val="40"/>
          <w:w w:val="105"/>
          <w:sz w:val="22"/>
        </w:rPr>
        <w:t> </w:t>
      </w:r>
      <w:r>
        <w:rPr>
          <w:color w:val="231F1F"/>
          <w:w w:val="105"/>
          <w:sz w:val="22"/>
        </w:rPr>
        <w:t>precisa</w:t>
      </w:r>
      <w:r>
        <w:rPr>
          <w:color w:val="231F1F"/>
          <w:spacing w:val="40"/>
          <w:w w:val="105"/>
          <w:sz w:val="22"/>
        </w:rPr>
        <w:t> </w:t>
      </w:r>
      <w:r>
        <w:rPr>
          <w:color w:val="231F1F"/>
          <w:w w:val="105"/>
          <w:sz w:val="22"/>
        </w:rPr>
        <w:t>mayor</w:t>
      </w:r>
      <w:r>
        <w:rPr>
          <w:color w:val="231F1F"/>
          <w:spacing w:val="40"/>
          <w:w w:val="105"/>
          <w:sz w:val="22"/>
        </w:rPr>
        <w:t> </w:t>
      </w:r>
      <w:r>
        <w:rPr>
          <w:color w:val="231F1F"/>
          <w:w w:val="105"/>
          <w:sz w:val="22"/>
        </w:rPr>
        <w:t>dosis</w:t>
      </w:r>
      <w:r>
        <w:rPr>
          <w:color w:val="231F1F"/>
          <w:spacing w:val="40"/>
          <w:w w:val="105"/>
          <w:sz w:val="22"/>
        </w:rPr>
        <w:t> </w:t>
      </w:r>
      <w:r>
        <w:rPr>
          <w:color w:val="231F1F"/>
          <w:w w:val="105"/>
          <w:sz w:val="22"/>
        </w:rPr>
        <w:t>de</w:t>
      </w:r>
    </w:p>
    <w:p>
      <w:pPr>
        <w:pStyle w:val="BodyText"/>
        <w:spacing w:before="3"/>
        <w:ind w:left="283"/>
      </w:pPr>
      <w:r>
        <w:rPr>
          <w:color w:val="231F1F"/>
          <w:w w:val="105"/>
        </w:rPr>
        <w:t>anestésico</w:t>
      </w:r>
      <w:r>
        <w:rPr>
          <w:color w:val="231F1F"/>
          <w:spacing w:val="-11"/>
          <w:w w:val="105"/>
        </w:rPr>
        <w:t> </w:t>
      </w:r>
      <w:r>
        <w:rPr>
          <w:color w:val="231F1F"/>
          <w:w w:val="105"/>
        </w:rPr>
        <w:t>que</w:t>
      </w:r>
      <w:r>
        <w:rPr>
          <w:color w:val="231F1F"/>
          <w:spacing w:val="-9"/>
          <w:w w:val="105"/>
        </w:rPr>
        <w:t> </w:t>
      </w:r>
      <w:r>
        <w:rPr>
          <w:color w:val="231F1F"/>
          <w:w w:val="105"/>
        </w:rPr>
        <w:t>la</w:t>
      </w:r>
      <w:r>
        <w:rPr>
          <w:color w:val="231F1F"/>
          <w:spacing w:val="-8"/>
          <w:w w:val="105"/>
        </w:rPr>
        <w:t> </w:t>
      </w:r>
      <w:r>
        <w:rPr>
          <w:color w:val="231F1F"/>
          <w:w w:val="105"/>
        </w:rPr>
        <w:t>intermitente:</w:t>
      </w:r>
      <w:r>
        <w:rPr>
          <w:color w:val="231F1F"/>
          <w:spacing w:val="-10"/>
          <w:w w:val="105"/>
        </w:rPr>
        <w:t> </w:t>
      </w:r>
      <w:r>
        <w:rPr>
          <w:color w:val="231F1F"/>
          <w:w w:val="105"/>
        </w:rPr>
        <w:t>DMP</w:t>
      </w:r>
      <w:r>
        <w:rPr>
          <w:color w:val="231F1F"/>
          <w:spacing w:val="-8"/>
          <w:w w:val="105"/>
        </w:rPr>
        <w:t> </w:t>
      </w:r>
      <w:r>
        <w:rPr>
          <w:color w:val="231F1F"/>
          <w:w w:val="105"/>
        </w:rPr>
        <w:t>−5,78</w:t>
      </w:r>
      <w:r>
        <w:rPr>
          <w:color w:val="231F1F"/>
          <w:spacing w:val="-10"/>
          <w:w w:val="105"/>
        </w:rPr>
        <w:t> </w:t>
      </w:r>
      <w:r>
        <w:rPr>
          <w:color w:val="231F1F"/>
          <w:w w:val="105"/>
        </w:rPr>
        <w:t>[IC</w:t>
      </w:r>
      <w:r>
        <w:rPr>
          <w:color w:val="231F1F"/>
          <w:spacing w:val="-8"/>
          <w:w w:val="105"/>
        </w:rPr>
        <w:t> </w:t>
      </w:r>
      <w:r>
        <w:rPr>
          <w:color w:val="231F1F"/>
          <w:w w:val="105"/>
        </w:rPr>
        <w:t>95</w:t>
      </w:r>
      <w:r>
        <w:rPr>
          <w:color w:val="231F1F"/>
          <w:spacing w:val="-9"/>
          <w:w w:val="105"/>
        </w:rPr>
        <w:t> </w:t>
      </w:r>
      <w:r>
        <w:rPr>
          <w:color w:val="231F1F"/>
          <w:w w:val="105"/>
        </w:rPr>
        <w:t>%</w:t>
      </w:r>
      <w:r>
        <w:rPr>
          <w:color w:val="231F1F"/>
          <w:spacing w:val="-9"/>
          <w:w w:val="105"/>
        </w:rPr>
        <w:t> </w:t>
      </w:r>
      <w:r>
        <w:rPr>
          <w:color w:val="231F1F"/>
          <w:w w:val="105"/>
        </w:rPr>
        <w:t>−7,61</w:t>
      </w:r>
      <w:r>
        <w:rPr>
          <w:color w:val="231F1F"/>
          <w:spacing w:val="-10"/>
          <w:w w:val="105"/>
        </w:rPr>
        <w:t> </w:t>
      </w:r>
      <w:r>
        <w:rPr>
          <w:color w:val="231F1F"/>
          <w:w w:val="105"/>
        </w:rPr>
        <w:t>a</w:t>
      </w:r>
      <w:r>
        <w:rPr>
          <w:color w:val="231F1F"/>
          <w:spacing w:val="-9"/>
          <w:w w:val="105"/>
        </w:rPr>
        <w:t> </w:t>
      </w:r>
      <w:r>
        <w:rPr>
          <w:color w:val="231F1F"/>
          <w:spacing w:val="-2"/>
          <w:w w:val="105"/>
        </w:rPr>
        <w:t>−3,96].</w:t>
      </w:r>
    </w:p>
    <w:p>
      <w:pPr>
        <w:pStyle w:val="BodyText"/>
        <w:tabs>
          <w:tab w:pos="7791" w:val="left" w:leader="none"/>
          <w:tab w:pos="7989" w:val="left" w:leader="none"/>
          <w:tab w:pos="8114" w:val="left" w:leader="none"/>
        </w:tabs>
        <w:spacing w:line="247" w:lineRule="auto" w:before="98"/>
        <w:ind w:left="283" w:right="308" w:firstLine="453"/>
      </w:pPr>
      <w:r>
        <w:rPr>
          <w:color w:val="231F1F"/>
          <w:w w:val="110"/>
        </w:rPr>
        <w:t>En relación a los efectos adversos no se encontraron diferencias en la</w:t>
      </w:r>
      <w:r>
        <w:rPr>
          <w:color w:val="231F1F"/>
        </w:rPr>
        <w:tab/>
      </w:r>
      <w:r>
        <w:rPr>
          <w:rFonts w:ascii="Arial MT" w:hAnsi="Arial MT"/>
          <w:color w:val="231F1F"/>
          <w:spacing w:val="-2"/>
          <w:sz w:val="18"/>
        </w:rPr>
        <w:t>RS-MA</w:t>
      </w:r>
      <w:r>
        <w:rPr>
          <w:rFonts w:ascii="Arial MT" w:hAnsi="Arial MT"/>
          <w:color w:val="231F1F"/>
          <w:spacing w:val="-11"/>
          <w:sz w:val="18"/>
        </w:rPr>
        <w:t> </w:t>
      </w:r>
      <w:r>
        <w:rPr>
          <w:rFonts w:ascii="Arial MT" w:hAnsi="Arial MT"/>
          <w:color w:val="231F1F"/>
          <w:spacing w:val="-2"/>
          <w:sz w:val="18"/>
        </w:rPr>
        <w:t>de </w:t>
      </w:r>
      <w:r>
        <w:rPr>
          <w:color w:val="231F1F"/>
          <w:w w:val="110"/>
        </w:rPr>
        <w:t>hipotensión, prurito, bloqueo motor, anomalías de FCF y otros resultados</w:t>
      </w:r>
      <w:r>
        <w:rPr>
          <w:color w:val="231F1F"/>
        </w:rPr>
        <w:tab/>
        <w:tab/>
      </w:r>
      <w:r>
        <w:rPr>
          <w:rFonts w:ascii="Arial MT" w:hAnsi="Arial MT"/>
          <w:color w:val="231F1F"/>
          <w:spacing w:val="-4"/>
          <w:w w:val="110"/>
          <w:position w:val="4"/>
          <w:sz w:val="18"/>
        </w:rPr>
        <w:t>ECAs </w:t>
      </w:r>
      <w:r>
        <w:rPr>
          <w:color w:val="231F1F"/>
          <w:w w:val="110"/>
        </w:rPr>
        <w:t>neonatales, entre los diferentes grupos de tratamiento. En cuanto a satisfacción</w:t>
      </w:r>
      <w:r>
        <w:rPr>
          <w:color w:val="231F1F"/>
        </w:rPr>
        <w:tab/>
        <w:tab/>
      </w:r>
      <w:r>
        <w:rPr>
          <w:rFonts w:ascii="Arial MT" w:hAnsi="Arial MT"/>
          <w:color w:val="231F1F"/>
          <w:spacing w:val="-6"/>
          <w:w w:val="110"/>
          <w:position w:val="8"/>
          <w:sz w:val="18"/>
        </w:rPr>
        <w:t>1+ </w:t>
      </w:r>
      <w:r>
        <w:rPr>
          <w:color w:val="231F1F"/>
          <w:w w:val="110"/>
        </w:rPr>
        <w:t>materna, sin embargo, existe inconsistencia entre los estudios, ya que uno de</w:t>
      </w:r>
    </w:p>
    <w:p>
      <w:pPr>
        <w:pStyle w:val="BodyText"/>
        <w:spacing w:line="242" w:lineRule="auto"/>
        <w:ind w:left="283" w:right="1386"/>
      </w:pPr>
      <w:r>
        <w:rPr>
          <w:color w:val="231F1F"/>
          <w:w w:val="110"/>
        </w:rPr>
        <w:t>los</w:t>
      </w:r>
      <w:r>
        <w:rPr>
          <w:color w:val="231F1F"/>
          <w:spacing w:val="-5"/>
          <w:w w:val="110"/>
        </w:rPr>
        <w:t> </w:t>
      </w:r>
      <w:r>
        <w:rPr>
          <w:color w:val="231F1F"/>
          <w:w w:val="110"/>
        </w:rPr>
        <w:t>ECAs</w:t>
      </w:r>
      <w:r>
        <w:rPr>
          <w:color w:val="231F1F"/>
          <w:spacing w:val="-5"/>
          <w:w w:val="110"/>
        </w:rPr>
        <w:t> </w:t>
      </w:r>
      <w:r>
        <w:rPr>
          <w:color w:val="231F1F"/>
          <w:w w:val="110"/>
        </w:rPr>
        <w:t>no</w:t>
      </w:r>
      <w:r>
        <w:rPr>
          <w:color w:val="231F1F"/>
          <w:spacing w:val="-5"/>
          <w:w w:val="110"/>
        </w:rPr>
        <w:t> </w:t>
      </w:r>
      <w:r>
        <w:rPr>
          <w:color w:val="231F1F"/>
          <w:w w:val="110"/>
        </w:rPr>
        <w:t>encontró</w:t>
      </w:r>
      <w:r>
        <w:rPr>
          <w:color w:val="231F1F"/>
          <w:spacing w:val="-5"/>
          <w:w w:val="110"/>
        </w:rPr>
        <w:t> </w:t>
      </w:r>
      <w:r>
        <w:rPr>
          <w:color w:val="231F1F"/>
          <w:w w:val="110"/>
        </w:rPr>
        <w:t>diferencias</w:t>
      </w:r>
      <w:r>
        <w:rPr>
          <w:color w:val="231F1F"/>
          <w:spacing w:val="-7"/>
          <w:w w:val="110"/>
        </w:rPr>
        <w:t> </w:t>
      </w:r>
      <w:r>
        <w:rPr>
          <w:color w:val="231F1F"/>
          <w:w w:val="110"/>
        </w:rPr>
        <w:t>entre</w:t>
      </w:r>
      <w:r>
        <w:rPr>
          <w:color w:val="231F1F"/>
          <w:spacing w:val="-5"/>
          <w:w w:val="110"/>
        </w:rPr>
        <w:t> </w:t>
      </w:r>
      <w:r>
        <w:rPr>
          <w:color w:val="231F1F"/>
          <w:w w:val="110"/>
        </w:rPr>
        <w:t>los</w:t>
      </w:r>
      <w:r>
        <w:rPr>
          <w:color w:val="231F1F"/>
          <w:spacing w:val="-5"/>
          <w:w w:val="110"/>
        </w:rPr>
        <w:t> </w:t>
      </w:r>
      <w:r>
        <w:rPr>
          <w:color w:val="231F1F"/>
          <w:w w:val="110"/>
        </w:rPr>
        <w:t>grupos</w:t>
      </w:r>
      <w:r>
        <w:rPr>
          <w:color w:val="231F1F"/>
          <w:spacing w:val="-5"/>
          <w:w w:val="110"/>
        </w:rPr>
        <w:t> </w:t>
      </w:r>
      <w:r>
        <w:rPr>
          <w:color w:val="231F1F"/>
          <w:w w:val="110"/>
        </w:rPr>
        <w:t>mientras</w:t>
      </w:r>
      <w:r>
        <w:rPr>
          <w:color w:val="231F1F"/>
          <w:spacing w:val="-5"/>
          <w:w w:val="110"/>
        </w:rPr>
        <w:t> </w:t>
      </w:r>
      <w:r>
        <w:rPr>
          <w:color w:val="231F1F"/>
          <w:w w:val="110"/>
        </w:rPr>
        <w:t>que</w:t>
      </w:r>
      <w:r>
        <w:rPr>
          <w:color w:val="231F1F"/>
          <w:spacing w:val="-5"/>
          <w:w w:val="110"/>
        </w:rPr>
        <w:t> </w:t>
      </w:r>
      <w:r>
        <w:rPr>
          <w:color w:val="231F1F"/>
          <w:w w:val="110"/>
        </w:rPr>
        <w:t>en</w:t>
      </w:r>
      <w:r>
        <w:rPr>
          <w:color w:val="231F1F"/>
          <w:spacing w:val="-5"/>
          <w:w w:val="110"/>
        </w:rPr>
        <w:t> </w:t>
      </w:r>
      <w:r>
        <w:rPr>
          <w:color w:val="231F1F"/>
          <w:w w:val="110"/>
        </w:rPr>
        <w:t>otro</w:t>
      </w:r>
      <w:r>
        <w:rPr>
          <w:color w:val="231F1F"/>
          <w:spacing w:val="-5"/>
          <w:w w:val="110"/>
        </w:rPr>
        <w:t> </w:t>
      </w:r>
      <w:r>
        <w:rPr>
          <w:color w:val="231F1F"/>
          <w:w w:val="110"/>
        </w:rPr>
        <w:t>las mujeres del grupo de PC mostraban mayor satisfacción.</w:t>
      </w:r>
    </w:p>
    <w:p>
      <w:pPr>
        <w:pStyle w:val="BodyText"/>
        <w:spacing w:line="247" w:lineRule="auto" w:before="56"/>
        <w:ind w:left="283" w:right="1372" w:firstLine="453"/>
        <w:jc w:val="both"/>
      </w:pPr>
      <w:r>
        <w:rPr>
          <w:color w:val="231F1F"/>
          <w:w w:val="110"/>
        </w:rPr>
        <w:t>Para</w:t>
      </w:r>
      <w:r>
        <w:rPr>
          <w:color w:val="231F1F"/>
          <w:spacing w:val="-4"/>
          <w:w w:val="110"/>
        </w:rPr>
        <w:t> </w:t>
      </w:r>
      <w:r>
        <w:rPr>
          <w:color w:val="231F1F"/>
          <w:w w:val="110"/>
        </w:rPr>
        <w:t>comparar la </w:t>
      </w:r>
      <w:r>
        <w:rPr>
          <w:i/>
          <w:color w:val="231F1F"/>
          <w:w w:val="110"/>
        </w:rPr>
        <w:t>PCEA</w:t>
      </w:r>
      <w:r>
        <w:rPr>
          <w:i/>
          <w:color w:val="231F1F"/>
          <w:spacing w:val="-16"/>
          <w:w w:val="110"/>
        </w:rPr>
        <w:t> </w:t>
      </w:r>
      <w:r>
        <w:rPr>
          <w:i/>
          <w:color w:val="231F1F"/>
          <w:w w:val="110"/>
        </w:rPr>
        <w:t>frente</w:t>
      </w:r>
      <w:r>
        <w:rPr>
          <w:i/>
          <w:color w:val="231F1F"/>
          <w:spacing w:val="-15"/>
          <w:w w:val="110"/>
        </w:rPr>
        <w:t> </w:t>
      </w:r>
      <w:r>
        <w:rPr>
          <w:i/>
          <w:color w:val="231F1F"/>
          <w:w w:val="110"/>
        </w:rPr>
        <w:t>a</w:t>
      </w:r>
      <w:r>
        <w:rPr>
          <w:i/>
          <w:color w:val="231F1F"/>
          <w:spacing w:val="-15"/>
          <w:w w:val="110"/>
        </w:rPr>
        <w:t> </w:t>
      </w:r>
      <w:r>
        <w:rPr>
          <w:i/>
          <w:color w:val="231F1F"/>
          <w:w w:val="110"/>
        </w:rPr>
        <w:t>PC</w:t>
      </w:r>
      <w:r>
        <w:rPr>
          <w:i/>
          <w:color w:val="231F1F"/>
          <w:spacing w:val="-15"/>
          <w:w w:val="110"/>
        </w:rPr>
        <w:t> </w:t>
      </w:r>
      <w:r>
        <w:rPr>
          <w:color w:val="231F1F"/>
          <w:w w:val="110"/>
        </w:rPr>
        <w:t>(ropivacaína o bupivacaína) se in- cluyeron</w:t>
      </w:r>
      <w:r>
        <w:rPr>
          <w:color w:val="231F1F"/>
          <w:spacing w:val="-12"/>
          <w:w w:val="110"/>
        </w:rPr>
        <w:t> </w:t>
      </w:r>
      <w:r>
        <w:rPr>
          <w:color w:val="231F1F"/>
          <w:w w:val="110"/>
        </w:rPr>
        <w:t>una</w:t>
      </w:r>
      <w:r>
        <w:rPr>
          <w:color w:val="231F1F"/>
          <w:spacing w:val="-13"/>
          <w:w w:val="110"/>
        </w:rPr>
        <w:t> </w:t>
      </w:r>
      <w:r>
        <w:rPr>
          <w:color w:val="231F1F"/>
          <w:w w:val="110"/>
        </w:rPr>
        <w:t>RS</w:t>
      </w:r>
      <w:r>
        <w:rPr>
          <w:color w:val="231F1F"/>
          <w:spacing w:val="-12"/>
          <w:w w:val="110"/>
        </w:rPr>
        <w:t> </w:t>
      </w:r>
      <w:r>
        <w:rPr>
          <w:color w:val="231F1F"/>
          <w:w w:val="110"/>
        </w:rPr>
        <w:t>con</w:t>
      </w:r>
      <w:r>
        <w:rPr>
          <w:color w:val="231F1F"/>
          <w:spacing w:val="-12"/>
          <w:w w:val="110"/>
        </w:rPr>
        <w:t> </w:t>
      </w:r>
      <w:r>
        <w:rPr>
          <w:color w:val="231F1F"/>
          <w:w w:val="110"/>
        </w:rPr>
        <w:t>metaanálisis</w:t>
      </w:r>
      <w:r>
        <w:rPr>
          <w:color w:val="231F1F"/>
          <w:spacing w:val="-12"/>
          <w:w w:val="110"/>
        </w:rPr>
        <w:t> </w:t>
      </w:r>
      <w:r>
        <w:rPr>
          <w:color w:val="231F1F"/>
          <w:w w:val="110"/>
        </w:rPr>
        <w:t>(336)</w:t>
      </w:r>
      <w:r>
        <w:rPr>
          <w:color w:val="231F1F"/>
          <w:spacing w:val="-13"/>
          <w:w w:val="110"/>
        </w:rPr>
        <w:t> </w:t>
      </w:r>
      <w:r>
        <w:rPr>
          <w:color w:val="231F1F"/>
          <w:w w:val="110"/>
        </w:rPr>
        <w:t>con</w:t>
      </w:r>
      <w:r>
        <w:rPr>
          <w:color w:val="231F1F"/>
          <w:spacing w:val="-12"/>
          <w:w w:val="110"/>
        </w:rPr>
        <w:t> </w:t>
      </w:r>
      <w:r>
        <w:rPr>
          <w:color w:val="231F1F"/>
          <w:w w:val="110"/>
        </w:rPr>
        <w:t>un</w:t>
      </w:r>
      <w:r>
        <w:rPr>
          <w:color w:val="231F1F"/>
          <w:spacing w:val="-12"/>
          <w:w w:val="110"/>
        </w:rPr>
        <w:t> </w:t>
      </w:r>
      <w:r>
        <w:rPr>
          <w:color w:val="231F1F"/>
          <w:w w:val="110"/>
        </w:rPr>
        <w:t>NE=1+</w:t>
      </w:r>
      <w:r>
        <w:rPr>
          <w:color w:val="231F1F"/>
          <w:spacing w:val="-12"/>
          <w:w w:val="110"/>
        </w:rPr>
        <w:t> </w:t>
      </w:r>
      <w:r>
        <w:rPr>
          <w:color w:val="231F1F"/>
          <w:w w:val="110"/>
        </w:rPr>
        <w:t>y</w:t>
      </w:r>
      <w:r>
        <w:rPr>
          <w:color w:val="231F1F"/>
          <w:spacing w:val="-12"/>
          <w:w w:val="110"/>
        </w:rPr>
        <w:t> </w:t>
      </w:r>
      <w:r>
        <w:rPr>
          <w:color w:val="231F1F"/>
          <w:w w:val="110"/>
        </w:rPr>
        <w:t>un</w:t>
      </w:r>
      <w:r>
        <w:rPr>
          <w:color w:val="231F1F"/>
          <w:spacing w:val="-13"/>
          <w:w w:val="110"/>
        </w:rPr>
        <w:t> </w:t>
      </w:r>
      <w:r>
        <w:rPr>
          <w:color w:val="231F1F"/>
          <w:w w:val="110"/>
        </w:rPr>
        <w:t>ECA</w:t>
      </w:r>
      <w:r>
        <w:rPr>
          <w:color w:val="231F1F"/>
          <w:spacing w:val="-12"/>
          <w:w w:val="110"/>
        </w:rPr>
        <w:t> </w:t>
      </w:r>
      <w:r>
        <w:rPr>
          <w:color w:val="231F1F"/>
          <w:w w:val="110"/>
        </w:rPr>
        <w:t>(337)</w:t>
      </w:r>
      <w:r>
        <w:rPr>
          <w:color w:val="231F1F"/>
          <w:spacing w:val="-13"/>
          <w:w w:val="110"/>
        </w:rPr>
        <w:t> </w:t>
      </w:r>
      <w:r>
        <w:rPr>
          <w:color w:val="231F1F"/>
          <w:w w:val="110"/>
        </w:rPr>
        <w:t>con un NE=1+.</w:t>
      </w:r>
    </w:p>
    <w:p>
      <w:pPr>
        <w:pStyle w:val="BodyText"/>
        <w:tabs>
          <w:tab w:pos="8066" w:val="left" w:leader="none"/>
        </w:tabs>
        <w:spacing w:line="244" w:lineRule="auto" w:before="101"/>
        <w:ind w:left="283" w:right="231" w:firstLine="484"/>
        <w:jc w:val="both"/>
        <w:rPr>
          <w:rFonts w:ascii="Arial MT" w:hAnsi="Arial MT"/>
          <w:position w:val="8"/>
          <w:sz w:val="18"/>
        </w:rPr>
      </w:pPr>
      <w:r>
        <w:rPr>
          <w:color w:val="231F1F"/>
          <w:w w:val="105"/>
        </w:rPr>
        <w:t>Los</w:t>
      </w:r>
      <w:r>
        <w:rPr>
          <w:color w:val="231F1F"/>
          <w:spacing w:val="-3"/>
          <w:w w:val="105"/>
        </w:rPr>
        <w:t> </w:t>
      </w:r>
      <w:r>
        <w:rPr>
          <w:color w:val="231F1F"/>
          <w:w w:val="105"/>
        </w:rPr>
        <w:t>resultados</w:t>
      </w:r>
      <w:r>
        <w:rPr>
          <w:color w:val="231F1F"/>
          <w:spacing w:val="-3"/>
          <w:w w:val="105"/>
        </w:rPr>
        <w:t> </w:t>
      </w:r>
      <w:r>
        <w:rPr>
          <w:color w:val="231F1F"/>
          <w:w w:val="105"/>
        </w:rPr>
        <w:t>mostraron</w:t>
      </w:r>
      <w:r>
        <w:rPr>
          <w:color w:val="231F1F"/>
          <w:spacing w:val="-3"/>
          <w:w w:val="105"/>
        </w:rPr>
        <w:t> </w:t>
      </w:r>
      <w:r>
        <w:rPr>
          <w:color w:val="231F1F"/>
          <w:w w:val="105"/>
        </w:rPr>
        <w:t>que</w:t>
      </w:r>
      <w:r>
        <w:rPr>
          <w:color w:val="231F1F"/>
          <w:spacing w:val="-3"/>
          <w:w w:val="105"/>
        </w:rPr>
        <w:t> </w:t>
      </w:r>
      <w:r>
        <w:rPr>
          <w:color w:val="231F1F"/>
          <w:w w:val="105"/>
        </w:rPr>
        <w:t>la</w:t>
      </w:r>
      <w:r>
        <w:rPr>
          <w:color w:val="231F1F"/>
          <w:spacing w:val="-3"/>
          <w:w w:val="105"/>
        </w:rPr>
        <w:t> </w:t>
      </w:r>
      <w:r>
        <w:rPr>
          <w:color w:val="231F1F"/>
          <w:w w:val="105"/>
        </w:rPr>
        <w:t>PCEA</w:t>
      </w:r>
      <w:r>
        <w:rPr>
          <w:color w:val="231F1F"/>
          <w:spacing w:val="-3"/>
          <w:w w:val="105"/>
        </w:rPr>
        <w:t> </w:t>
      </w:r>
      <w:r>
        <w:rPr>
          <w:color w:val="231F1F"/>
          <w:w w:val="105"/>
        </w:rPr>
        <w:t>reducía</w:t>
      </w:r>
      <w:r>
        <w:rPr>
          <w:color w:val="231F1F"/>
          <w:spacing w:val="-3"/>
          <w:w w:val="105"/>
        </w:rPr>
        <w:t> </w:t>
      </w:r>
      <w:r>
        <w:rPr>
          <w:color w:val="231F1F"/>
          <w:w w:val="105"/>
        </w:rPr>
        <w:t>la</w:t>
      </w:r>
      <w:r>
        <w:rPr>
          <w:color w:val="231F1F"/>
          <w:spacing w:val="-3"/>
          <w:w w:val="105"/>
        </w:rPr>
        <w:t> </w:t>
      </w:r>
      <w:r>
        <w:rPr>
          <w:color w:val="231F1F"/>
          <w:w w:val="105"/>
        </w:rPr>
        <w:t>necesidad</w:t>
      </w:r>
      <w:r>
        <w:rPr>
          <w:color w:val="231F1F"/>
          <w:spacing w:val="-3"/>
          <w:w w:val="105"/>
        </w:rPr>
        <w:t> </w:t>
      </w:r>
      <w:r>
        <w:rPr>
          <w:color w:val="231F1F"/>
          <w:w w:val="105"/>
        </w:rPr>
        <w:t>de</w:t>
      </w:r>
      <w:r>
        <w:rPr>
          <w:color w:val="231F1F"/>
          <w:spacing w:val="-3"/>
          <w:w w:val="105"/>
        </w:rPr>
        <w:t> </w:t>
      </w:r>
      <w:r>
        <w:rPr>
          <w:color w:val="231F1F"/>
          <w:w w:val="105"/>
        </w:rPr>
        <w:t>rellamar</w:t>
      </w:r>
      <w:r>
        <w:rPr>
          <w:color w:val="231F1F"/>
          <w:spacing w:val="80"/>
          <w:w w:val="150"/>
        </w:rPr>
        <w:t>  </w:t>
      </w:r>
      <w:r>
        <w:rPr>
          <w:rFonts w:ascii="Arial MT" w:hAnsi="Arial MT"/>
          <w:color w:val="231F1F"/>
          <w:w w:val="105"/>
          <w:sz w:val="18"/>
        </w:rPr>
        <w:t>RS-MA de </w:t>
      </w:r>
      <w:r>
        <w:rPr>
          <w:color w:val="231F1F"/>
          <w:w w:val="105"/>
        </w:rPr>
        <w:t>al anestesista, así como la dosis total de anestésico y se producía un menor</w:t>
      </w:r>
      <w:r>
        <w:rPr>
          <w:color w:val="231F1F"/>
          <w:spacing w:val="40"/>
          <w:w w:val="105"/>
        </w:rPr>
        <w:t> </w:t>
      </w:r>
      <w:r>
        <w:rPr>
          <w:rFonts w:ascii="Arial MT" w:hAnsi="Arial MT"/>
          <w:color w:val="231F1F"/>
          <w:w w:val="105"/>
          <w:position w:val="4"/>
          <w:sz w:val="18"/>
        </w:rPr>
        <w:t>ECAs y ECA </w:t>
      </w:r>
      <w:r>
        <w:rPr>
          <w:color w:val="231F1F"/>
          <w:w w:val="105"/>
        </w:rPr>
        <w:t>bloqueo motor. No hubo diferencias en resultados relacionados con los efec-</w:t>
      </w:r>
      <w:r>
        <w:rPr>
          <w:color w:val="231F1F"/>
        </w:rPr>
        <w:tab/>
      </w:r>
      <w:r>
        <w:rPr>
          <w:rFonts w:ascii="Arial MT" w:hAnsi="Arial MT"/>
          <w:color w:val="231F1F"/>
          <w:spacing w:val="-6"/>
          <w:w w:val="105"/>
          <w:position w:val="8"/>
          <w:sz w:val="18"/>
        </w:rPr>
        <w:t>1+</w:t>
      </w:r>
    </w:p>
    <w:p>
      <w:pPr>
        <w:pStyle w:val="BodyText"/>
        <w:spacing w:line="253" w:lineRule="exact"/>
        <w:ind w:left="283"/>
        <w:jc w:val="both"/>
      </w:pPr>
      <w:r>
        <w:rPr>
          <w:color w:val="231F1F"/>
        </w:rPr>
        <w:t>tos</w:t>
      </w:r>
      <w:r>
        <w:rPr>
          <w:color w:val="231F1F"/>
          <w:spacing w:val="31"/>
        </w:rPr>
        <w:t> </w:t>
      </w:r>
      <w:r>
        <w:rPr>
          <w:color w:val="231F1F"/>
        </w:rPr>
        <w:t>adversos</w:t>
      </w:r>
      <w:r>
        <w:rPr>
          <w:color w:val="231F1F"/>
          <w:spacing w:val="33"/>
        </w:rPr>
        <w:t> </w:t>
      </w:r>
      <w:r>
        <w:rPr>
          <w:color w:val="231F1F"/>
        </w:rPr>
        <w:t>maternos</w:t>
      </w:r>
      <w:r>
        <w:rPr>
          <w:color w:val="231F1F"/>
          <w:spacing w:val="32"/>
        </w:rPr>
        <w:t> </w:t>
      </w:r>
      <w:r>
        <w:rPr>
          <w:color w:val="231F1F"/>
        </w:rPr>
        <w:t>ni</w:t>
      </w:r>
      <w:r>
        <w:rPr>
          <w:color w:val="231F1F"/>
          <w:spacing w:val="33"/>
        </w:rPr>
        <w:t> </w:t>
      </w:r>
      <w:r>
        <w:rPr>
          <w:color w:val="231F1F"/>
        </w:rPr>
        <w:t>neonatales,</w:t>
      </w:r>
      <w:r>
        <w:rPr>
          <w:color w:val="231F1F"/>
          <w:spacing w:val="30"/>
        </w:rPr>
        <w:t> </w:t>
      </w:r>
      <w:r>
        <w:rPr>
          <w:color w:val="231F1F"/>
        </w:rPr>
        <w:t>ni</w:t>
      </w:r>
      <w:r>
        <w:rPr>
          <w:color w:val="231F1F"/>
          <w:spacing w:val="33"/>
        </w:rPr>
        <w:t> </w:t>
      </w:r>
      <w:r>
        <w:rPr>
          <w:color w:val="231F1F"/>
        </w:rPr>
        <w:t>con</w:t>
      </w:r>
      <w:r>
        <w:rPr>
          <w:color w:val="231F1F"/>
          <w:spacing w:val="34"/>
        </w:rPr>
        <w:t> </w:t>
      </w:r>
      <w:r>
        <w:rPr>
          <w:color w:val="231F1F"/>
        </w:rPr>
        <w:t>el</w:t>
      </w:r>
      <w:r>
        <w:rPr>
          <w:color w:val="231F1F"/>
          <w:spacing w:val="33"/>
        </w:rPr>
        <w:t> </w:t>
      </w:r>
      <w:r>
        <w:rPr>
          <w:color w:val="231F1F"/>
        </w:rPr>
        <w:t>tipo</w:t>
      </w:r>
      <w:r>
        <w:rPr>
          <w:color w:val="231F1F"/>
          <w:spacing w:val="31"/>
        </w:rPr>
        <w:t> </w:t>
      </w:r>
      <w:r>
        <w:rPr>
          <w:color w:val="231F1F"/>
        </w:rPr>
        <w:t>y</w:t>
      </w:r>
      <w:r>
        <w:rPr>
          <w:color w:val="231F1F"/>
          <w:spacing w:val="34"/>
        </w:rPr>
        <w:t> </w:t>
      </w:r>
      <w:r>
        <w:rPr>
          <w:color w:val="231F1F"/>
        </w:rPr>
        <w:t>duración</w:t>
      </w:r>
      <w:r>
        <w:rPr>
          <w:color w:val="231F1F"/>
          <w:spacing w:val="33"/>
        </w:rPr>
        <w:t> </w:t>
      </w:r>
      <w:r>
        <w:rPr>
          <w:color w:val="231F1F"/>
        </w:rPr>
        <w:t>del</w:t>
      </w:r>
      <w:r>
        <w:rPr>
          <w:color w:val="231F1F"/>
          <w:spacing w:val="30"/>
        </w:rPr>
        <w:t> </w:t>
      </w:r>
      <w:r>
        <w:rPr>
          <w:color w:val="231F1F"/>
          <w:spacing w:val="-2"/>
        </w:rPr>
        <w:t>parto.</w:t>
      </w:r>
    </w:p>
    <w:p>
      <w:pPr>
        <w:spacing w:line="244" w:lineRule="auto" w:before="78"/>
        <w:ind w:left="283" w:right="1366" w:firstLine="453"/>
        <w:jc w:val="both"/>
        <w:rPr>
          <w:sz w:val="22"/>
        </w:rPr>
      </w:pPr>
      <w:r>
        <w:rPr>
          <w:color w:val="231F1F"/>
          <w:w w:val="105"/>
          <w:sz w:val="22"/>
        </w:rPr>
        <w:t>Cuando se comparó la </w:t>
      </w:r>
      <w:r>
        <w:rPr>
          <w:i/>
          <w:color w:val="231F1F"/>
          <w:w w:val="105"/>
          <w:sz w:val="22"/>
        </w:rPr>
        <w:t>PCEA</w:t>
      </w:r>
      <w:r>
        <w:rPr>
          <w:i/>
          <w:color w:val="231F1F"/>
          <w:spacing w:val="-2"/>
          <w:w w:val="105"/>
          <w:sz w:val="22"/>
        </w:rPr>
        <w:t> </w:t>
      </w:r>
      <w:r>
        <w:rPr>
          <w:i/>
          <w:color w:val="231F1F"/>
          <w:w w:val="105"/>
          <w:sz w:val="22"/>
        </w:rPr>
        <w:t>vs</w:t>
      </w:r>
      <w:r>
        <w:rPr>
          <w:i/>
          <w:color w:val="231F1F"/>
          <w:spacing w:val="-2"/>
          <w:w w:val="105"/>
          <w:sz w:val="22"/>
        </w:rPr>
        <w:t> </w:t>
      </w:r>
      <w:r>
        <w:rPr>
          <w:i/>
          <w:color w:val="231F1F"/>
          <w:w w:val="105"/>
          <w:sz w:val="22"/>
        </w:rPr>
        <w:t>bolos</w:t>
      </w:r>
      <w:r>
        <w:rPr>
          <w:i/>
          <w:color w:val="231F1F"/>
          <w:spacing w:val="-2"/>
          <w:w w:val="105"/>
          <w:sz w:val="22"/>
        </w:rPr>
        <w:t> </w:t>
      </w:r>
      <w:r>
        <w:rPr>
          <w:i/>
          <w:color w:val="231F1F"/>
          <w:w w:val="105"/>
          <w:sz w:val="22"/>
        </w:rPr>
        <w:t>intermitentes</w:t>
      </w:r>
      <w:r>
        <w:rPr>
          <w:i/>
          <w:color w:val="231F1F"/>
          <w:spacing w:val="-2"/>
          <w:w w:val="105"/>
          <w:sz w:val="22"/>
        </w:rPr>
        <w:t> </w:t>
      </w:r>
      <w:r>
        <w:rPr>
          <w:i/>
          <w:color w:val="231F1F"/>
          <w:w w:val="105"/>
          <w:sz w:val="22"/>
        </w:rPr>
        <w:t>administrados</w:t>
      </w:r>
      <w:r>
        <w:rPr>
          <w:i/>
          <w:color w:val="231F1F"/>
          <w:spacing w:val="-2"/>
          <w:w w:val="105"/>
          <w:sz w:val="22"/>
        </w:rPr>
        <w:t> </w:t>
      </w:r>
      <w:r>
        <w:rPr>
          <w:i/>
          <w:color w:val="231F1F"/>
          <w:w w:val="105"/>
          <w:sz w:val="22"/>
        </w:rPr>
        <w:t>por</w:t>
      </w:r>
      <w:r>
        <w:rPr>
          <w:i/>
          <w:color w:val="231F1F"/>
          <w:spacing w:val="-2"/>
          <w:w w:val="105"/>
          <w:sz w:val="22"/>
        </w:rPr>
        <w:t> </w:t>
      </w:r>
      <w:r>
        <w:rPr>
          <w:i/>
          <w:color w:val="231F1F"/>
          <w:w w:val="105"/>
          <w:sz w:val="22"/>
        </w:rPr>
        <w:t>el personal</w:t>
      </w:r>
      <w:r>
        <w:rPr>
          <w:i/>
          <w:color w:val="231F1F"/>
          <w:w w:val="105"/>
          <w:sz w:val="22"/>
        </w:rPr>
        <w:t> del</w:t>
      </w:r>
      <w:r>
        <w:rPr>
          <w:i/>
          <w:color w:val="231F1F"/>
          <w:w w:val="105"/>
          <w:sz w:val="22"/>
        </w:rPr>
        <w:t> hospital</w:t>
      </w:r>
      <w:r>
        <w:rPr>
          <w:i/>
          <w:color w:val="231F1F"/>
          <w:w w:val="105"/>
          <w:sz w:val="22"/>
        </w:rPr>
        <w:t> </w:t>
      </w:r>
      <w:r>
        <w:rPr>
          <w:color w:val="231F1F"/>
          <w:w w:val="105"/>
          <w:sz w:val="22"/>
        </w:rPr>
        <w:t>en</w:t>
      </w:r>
      <w:r>
        <w:rPr>
          <w:color w:val="231F1F"/>
          <w:w w:val="105"/>
          <w:sz w:val="22"/>
        </w:rPr>
        <w:t> diferentes</w:t>
      </w:r>
      <w:r>
        <w:rPr>
          <w:color w:val="231F1F"/>
          <w:w w:val="105"/>
          <w:sz w:val="22"/>
        </w:rPr>
        <w:t> regímenes</w:t>
      </w:r>
      <w:r>
        <w:rPr>
          <w:color w:val="231F1F"/>
          <w:w w:val="105"/>
          <w:sz w:val="22"/>
        </w:rPr>
        <w:t> posológicos,</w:t>
      </w:r>
      <w:r>
        <w:rPr>
          <w:color w:val="231F1F"/>
          <w:w w:val="105"/>
          <w:sz w:val="22"/>
        </w:rPr>
        <w:t> se</w:t>
      </w:r>
      <w:r>
        <w:rPr>
          <w:color w:val="231F1F"/>
          <w:w w:val="105"/>
          <w:sz w:val="22"/>
        </w:rPr>
        <w:t> encontró</w:t>
      </w:r>
      <w:r>
        <w:rPr>
          <w:color w:val="231F1F"/>
          <w:w w:val="105"/>
          <w:sz w:val="22"/>
        </w:rPr>
        <w:t> un moderado</w:t>
      </w:r>
      <w:r>
        <w:rPr>
          <w:color w:val="231F1F"/>
          <w:spacing w:val="40"/>
          <w:w w:val="105"/>
          <w:sz w:val="22"/>
        </w:rPr>
        <w:t> </w:t>
      </w:r>
      <w:r>
        <w:rPr>
          <w:color w:val="231F1F"/>
          <w:w w:val="105"/>
          <w:sz w:val="22"/>
        </w:rPr>
        <w:t>nivel</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evidencia</w:t>
      </w:r>
      <w:r>
        <w:rPr>
          <w:color w:val="231F1F"/>
          <w:spacing w:val="40"/>
          <w:w w:val="105"/>
          <w:sz w:val="22"/>
        </w:rPr>
        <w:t> </w:t>
      </w:r>
      <w:r>
        <w:rPr>
          <w:color w:val="231F1F"/>
          <w:w w:val="105"/>
          <w:sz w:val="22"/>
        </w:rPr>
        <w:t>y</w:t>
      </w:r>
      <w:r>
        <w:rPr>
          <w:color w:val="231F1F"/>
          <w:spacing w:val="40"/>
          <w:w w:val="105"/>
          <w:sz w:val="22"/>
        </w:rPr>
        <w:t> </w:t>
      </w:r>
      <w:r>
        <w:rPr>
          <w:color w:val="231F1F"/>
          <w:w w:val="105"/>
          <w:sz w:val="22"/>
        </w:rPr>
        <w:t>heterogeneidad</w:t>
      </w:r>
      <w:r>
        <w:rPr>
          <w:color w:val="231F1F"/>
          <w:spacing w:val="40"/>
          <w:w w:val="105"/>
          <w:sz w:val="22"/>
        </w:rPr>
        <w:t> </w:t>
      </w:r>
      <w:r>
        <w:rPr>
          <w:color w:val="231F1F"/>
          <w:w w:val="105"/>
          <w:sz w:val="22"/>
        </w:rPr>
        <w:t>entre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estudios.</w:t>
      </w:r>
    </w:p>
    <w:p>
      <w:pPr>
        <w:spacing w:after="0" w:line="244" w:lineRule="auto"/>
        <w:jc w:val="both"/>
        <w:rPr>
          <w:sz w:val="22"/>
        </w:rPr>
        <w:sectPr>
          <w:pgSz w:w="11900" w:h="16840"/>
          <w:pgMar w:header="0" w:footer="622" w:top="1560" w:bottom="820" w:left="1417" w:right="1559"/>
        </w:sectPr>
      </w:pPr>
    </w:p>
    <w:p>
      <w:pPr>
        <w:pStyle w:val="BodyText"/>
        <w:tabs>
          <w:tab w:pos="8017" w:val="left" w:leader="none"/>
        </w:tabs>
        <w:spacing w:before="73"/>
        <w:ind w:left="717"/>
        <w:rPr>
          <w:rFonts w:ascii="Arial MT" w:hAnsi="Arial MT"/>
          <w:sz w:val="18"/>
        </w:rPr>
      </w:pPr>
      <w:r>
        <w:rPr>
          <w:color w:val="231F1F"/>
          <w:w w:val="110"/>
        </w:rPr>
        <w:t>Un</w:t>
      </w:r>
      <w:r>
        <w:rPr>
          <w:color w:val="231F1F"/>
          <w:spacing w:val="-11"/>
          <w:w w:val="110"/>
        </w:rPr>
        <w:t> </w:t>
      </w:r>
      <w:r>
        <w:rPr>
          <w:color w:val="231F1F"/>
          <w:w w:val="110"/>
        </w:rPr>
        <w:t>ensayo</w:t>
      </w:r>
      <w:r>
        <w:rPr>
          <w:color w:val="231F1F"/>
          <w:spacing w:val="-8"/>
          <w:w w:val="110"/>
        </w:rPr>
        <w:t> </w:t>
      </w:r>
      <w:r>
        <w:rPr>
          <w:color w:val="231F1F"/>
          <w:w w:val="110"/>
        </w:rPr>
        <w:t>realizado</w:t>
      </w:r>
      <w:r>
        <w:rPr>
          <w:color w:val="231F1F"/>
          <w:spacing w:val="-8"/>
          <w:w w:val="110"/>
        </w:rPr>
        <w:t> </w:t>
      </w:r>
      <w:r>
        <w:rPr>
          <w:color w:val="231F1F"/>
          <w:w w:val="110"/>
        </w:rPr>
        <w:t>en</w:t>
      </w:r>
      <w:r>
        <w:rPr>
          <w:color w:val="231F1F"/>
          <w:spacing w:val="-9"/>
          <w:w w:val="110"/>
        </w:rPr>
        <w:t> </w:t>
      </w:r>
      <w:r>
        <w:rPr>
          <w:color w:val="231F1F"/>
          <w:w w:val="110"/>
        </w:rPr>
        <w:t>el</w:t>
      </w:r>
      <w:r>
        <w:rPr>
          <w:color w:val="231F1F"/>
          <w:spacing w:val="-8"/>
          <w:w w:val="110"/>
        </w:rPr>
        <w:t> </w:t>
      </w:r>
      <w:r>
        <w:rPr>
          <w:color w:val="231F1F"/>
          <w:w w:val="110"/>
        </w:rPr>
        <w:t>año</w:t>
      </w:r>
      <w:r>
        <w:rPr>
          <w:color w:val="231F1F"/>
          <w:spacing w:val="-8"/>
          <w:w w:val="110"/>
        </w:rPr>
        <w:t> </w:t>
      </w:r>
      <w:r>
        <w:rPr>
          <w:color w:val="231F1F"/>
          <w:w w:val="110"/>
        </w:rPr>
        <w:t>1990</w:t>
      </w:r>
      <w:r>
        <w:rPr>
          <w:color w:val="231F1F"/>
          <w:spacing w:val="-9"/>
          <w:w w:val="110"/>
        </w:rPr>
        <w:t> </w:t>
      </w:r>
      <w:r>
        <w:rPr>
          <w:color w:val="231F1F"/>
          <w:w w:val="110"/>
        </w:rPr>
        <w:t>con</w:t>
      </w:r>
      <w:r>
        <w:rPr>
          <w:color w:val="231F1F"/>
          <w:spacing w:val="-8"/>
          <w:w w:val="110"/>
        </w:rPr>
        <w:t> </w:t>
      </w:r>
      <w:r>
        <w:rPr>
          <w:color w:val="231F1F"/>
          <w:w w:val="110"/>
        </w:rPr>
        <w:t>un</w:t>
      </w:r>
      <w:r>
        <w:rPr>
          <w:color w:val="231F1F"/>
          <w:spacing w:val="-10"/>
          <w:w w:val="110"/>
        </w:rPr>
        <w:t> </w:t>
      </w:r>
      <w:r>
        <w:rPr>
          <w:color w:val="231F1F"/>
          <w:w w:val="110"/>
        </w:rPr>
        <w:t>NE=1+</w:t>
      </w:r>
      <w:r>
        <w:rPr>
          <w:color w:val="231F1F"/>
          <w:spacing w:val="-9"/>
          <w:w w:val="110"/>
        </w:rPr>
        <w:t> </w:t>
      </w:r>
      <w:r>
        <w:rPr>
          <w:color w:val="231F1F"/>
          <w:w w:val="110"/>
        </w:rPr>
        <w:t>(338),</w:t>
      </w:r>
      <w:r>
        <w:rPr>
          <w:color w:val="231F1F"/>
          <w:spacing w:val="-8"/>
          <w:w w:val="110"/>
        </w:rPr>
        <w:t> </w:t>
      </w:r>
      <w:r>
        <w:rPr>
          <w:color w:val="231F1F"/>
          <w:w w:val="110"/>
        </w:rPr>
        <w:t>no</w:t>
      </w:r>
      <w:r>
        <w:rPr>
          <w:color w:val="231F1F"/>
          <w:spacing w:val="-8"/>
          <w:w w:val="110"/>
        </w:rPr>
        <w:t> </w:t>
      </w:r>
      <w:r>
        <w:rPr>
          <w:color w:val="231F1F"/>
          <w:spacing w:val="-2"/>
          <w:w w:val="110"/>
        </w:rPr>
        <w:t>encontró</w:t>
      </w:r>
      <w:r>
        <w:rPr>
          <w:color w:val="231F1F"/>
        </w:rPr>
        <w:tab/>
      </w:r>
      <w:r>
        <w:rPr>
          <w:rFonts w:ascii="Arial MT" w:hAnsi="Arial MT"/>
          <w:color w:val="231F1F"/>
          <w:spacing w:val="-5"/>
          <w:w w:val="110"/>
          <w:sz w:val="18"/>
        </w:rPr>
        <w:t>ECA</w:t>
      </w:r>
    </w:p>
    <w:p>
      <w:pPr>
        <w:pStyle w:val="BodyText"/>
        <w:tabs>
          <w:tab w:pos="8115" w:val="left" w:leader="none"/>
        </w:tabs>
        <w:spacing w:before="22"/>
        <w:ind w:left="284"/>
        <w:rPr>
          <w:rFonts w:ascii="Arial MT" w:hAnsi="Arial MT"/>
          <w:position w:val="4"/>
          <w:sz w:val="18"/>
        </w:rPr>
      </w:pPr>
      <w:r>
        <w:rPr>
          <w:color w:val="231F1F"/>
          <w:w w:val="105"/>
        </w:rPr>
        <w:t>diferencia</w:t>
      </w:r>
      <w:r>
        <w:rPr>
          <w:color w:val="231F1F"/>
          <w:spacing w:val="3"/>
          <w:w w:val="105"/>
        </w:rPr>
        <w:t> </w:t>
      </w:r>
      <w:r>
        <w:rPr>
          <w:color w:val="231F1F"/>
          <w:w w:val="105"/>
        </w:rPr>
        <w:t>entre</w:t>
      </w:r>
      <w:r>
        <w:rPr>
          <w:color w:val="231F1F"/>
          <w:spacing w:val="7"/>
          <w:w w:val="105"/>
        </w:rPr>
        <w:t> </w:t>
      </w:r>
      <w:r>
        <w:rPr>
          <w:color w:val="231F1F"/>
          <w:w w:val="105"/>
        </w:rPr>
        <w:t>los</w:t>
      </w:r>
      <w:r>
        <w:rPr>
          <w:color w:val="231F1F"/>
          <w:spacing w:val="7"/>
          <w:w w:val="105"/>
        </w:rPr>
        <w:t> </w:t>
      </w:r>
      <w:r>
        <w:rPr>
          <w:color w:val="231F1F"/>
          <w:w w:val="105"/>
        </w:rPr>
        <w:t>dos</w:t>
      </w:r>
      <w:r>
        <w:rPr>
          <w:color w:val="231F1F"/>
          <w:spacing w:val="5"/>
          <w:w w:val="105"/>
        </w:rPr>
        <w:t> </w:t>
      </w:r>
      <w:r>
        <w:rPr>
          <w:color w:val="231F1F"/>
          <w:w w:val="105"/>
        </w:rPr>
        <w:t>modos</w:t>
      </w:r>
      <w:r>
        <w:rPr>
          <w:color w:val="231F1F"/>
          <w:spacing w:val="6"/>
          <w:w w:val="105"/>
        </w:rPr>
        <w:t> </w:t>
      </w:r>
      <w:r>
        <w:rPr>
          <w:color w:val="231F1F"/>
          <w:w w:val="105"/>
        </w:rPr>
        <w:t>de</w:t>
      </w:r>
      <w:r>
        <w:rPr>
          <w:color w:val="231F1F"/>
          <w:spacing w:val="6"/>
          <w:w w:val="105"/>
        </w:rPr>
        <w:t> </w:t>
      </w:r>
      <w:r>
        <w:rPr>
          <w:color w:val="231F1F"/>
          <w:w w:val="105"/>
        </w:rPr>
        <w:t>administración</w:t>
      </w:r>
      <w:r>
        <w:rPr>
          <w:color w:val="231F1F"/>
          <w:spacing w:val="7"/>
          <w:w w:val="105"/>
        </w:rPr>
        <w:t> </w:t>
      </w:r>
      <w:r>
        <w:rPr>
          <w:color w:val="231F1F"/>
          <w:w w:val="105"/>
        </w:rPr>
        <w:t>de</w:t>
      </w:r>
      <w:r>
        <w:rPr>
          <w:color w:val="231F1F"/>
          <w:spacing w:val="6"/>
          <w:w w:val="105"/>
        </w:rPr>
        <w:t> </w:t>
      </w:r>
      <w:r>
        <w:rPr>
          <w:color w:val="231F1F"/>
          <w:w w:val="105"/>
        </w:rPr>
        <w:t>analgesia</w:t>
      </w:r>
      <w:r>
        <w:rPr>
          <w:color w:val="231F1F"/>
          <w:spacing w:val="7"/>
          <w:w w:val="105"/>
        </w:rPr>
        <w:t> </w:t>
      </w:r>
      <w:r>
        <w:rPr>
          <w:color w:val="231F1F"/>
          <w:spacing w:val="-2"/>
          <w:w w:val="105"/>
        </w:rPr>
        <w:t>epidural.</w:t>
      </w:r>
      <w:r>
        <w:rPr>
          <w:color w:val="231F1F"/>
        </w:rPr>
        <w:tab/>
      </w:r>
      <w:r>
        <w:rPr>
          <w:rFonts w:ascii="Arial MT" w:hAnsi="Arial MT"/>
          <w:color w:val="231F1F"/>
          <w:spacing w:val="-5"/>
          <w:w w:val="105"/>
          <w:position w:val="4"/>
          <w:sz w:val="18"/>
        </w:rPr>
        <w:t>1+</w:t>
      </w:r>
    </w:p>
    <w:p>
      <w:pPr>
        <w:pStyle w:val="BodyText"/>
        <w:tabs>
          <w:tab w:pos="8036" w:val="left" w:leader="none"/>
          <w:tab w:pos="8114" w:val="left" w:leader="none"/>
        </w:tabs>
        <w:spacing w:line="249" w:lineRule="auto" w:before="73"/>
        <w:ind w:left="283" w:right="524" w:firstLine="453"/>
      </w:pPr>
      <w:r>
        <w:rPr>
          <w:color w:val="231F1F"/>
          <w:w w:val="110"/>
        </w:rPr>
        <w:t>Un segundo estudio con un NE=1+ (339) encuentra una tendencia lími-</w:t>
      </w:r>
      <w:r>
        <w:rPr>
          <w:color w:val="231F1F"/>
        </w:rPr>
        <w:tab/>
      </w:r>
      <w:r>
        <w:rPr>
          <w:rFonts w:ascii="Arial MT" w:hAnsi="Arial MT"/>
          <w:color w:val="231F1F"/>
          <w:spacing w:val="-12"/>
          <w:w w:val="105"/>
          <w:sz w:val="18"/>
        </w:rPr>
        <w:t>ECA </w:t>
      </w:r>
      <w:r>
        <w:rPr>
          <w:color w:val="231F1F"/>
          <w:w w:val="110"/>
        </w:rPr>
        <w:t>te a un menor dolor a las 2-3 horas de inicio de la analgesia en el grupo con</w:t>
      </w:r>
      <w:r>
        <w:rPr>
          <w:color w:val="231F1F"/>
        </w:rPr>
        <w:tab/>
        <w:tab/>
      </w:r>
      <w:r>
        <w:rPr>
          <w:rFonts w:ascii="Arial MT" w:hAnsi="Arial MT"/>
          <w:color w:val="231F1F"/>
          <w:spacing w:val="-6"/>
          <w:w w:val="110"/>
          <w:position w:val="4"/>
          <w:sz w:val="18"/>
        </w:rPr>
        <w:t>1+ </w:t>
      </w:r>
      <w:r>
        <w:rPr>
          <w:color w:val="231F1F"/>
          <w:w w:val="110"/>
        </w:rPr>
        <w:t>bolos intermitentes y sin diferencias en la media del dolor, hipotensión, esca- lofríos, prurito o vómitos.</w:t>
      </w:r>
    </w:p>
    <w:p>
      <w:pPr>
        <w:pStyle w:val="BodyText"/>
        <w:tabs>
          <w:tab w:pos="8036" w:val="left" w:leader="none"/>
        </w:tabs>
        <w:spacing w:line="252" w:lineRule="auto" w:before="67"/>
        <w:ind w:left="283" w:right="524" w:firstLine="453"/>
      </w:pPr>
      <w:r>
        <w:rPr>
          <w:color w:val="231F1F"/>
          <w:w w:val="110"/>
        </w:rPr>
        <w:t>El ensayo más reciente con un NE=1+ (340) realizado en 2004, encontró</w:t>
      </w:r>
      <w:r>
        <w:rPr>
          <w:color w:val="231F1F"/>
        </w:rPr>
        <w:tab/>
      </w:r>
      <w:r>
        <w:rPr>
          <w:rFonts w:ascii="Arial MT" w:hAnsi="Arial MT"/>
          <w:color w:val="231F1F"/>
          <w:spacing w:val="-12"/>
          <w:w w:val="105"/>
          <w:sz w:val="18"/>
        </w:rPr>
        <w:t>ECA </w:t>
      </w:r>
      <w:r>
        <w:rPr>
          <w:color w:val="231F1F"/>
          <w:w w:val="110"/>
        </w:rPr>
        <w:t>una diferencia significativa de menor dolor, durante la primera y segunda etapa</w:t>
      </w:r>
      <w:r>
        <w:rPr>
          <w:color w:val="231F1F"/>
          <w:spacing w:val="80"/>
          <w:w w:val="110"/>
        </w:rPr>
        <w:t> </w:t>
      </w:r>
      <w:r>
        <w:rPr>
          <w:rFonts w:ascii="Arial MT" w:hAnsi="Arial MT"/>
          <w:color w:val="231F1F"/>
          <w:w w:val="110"/>
          <w:position w:val="4"/>
          <w:sz w:val="18"/>
        </w:rPr>
        <w:t>1+ </w:t>
      </w:r>
      <w:r>
        <w:rPr>
          <w:color w:val="231F1F"/>
          <w:w w:val="110"/>
        </w:rPr>
        <w:t>del parto, favorable a la PCEA pero usando mayores dosis de bupivacaína.</w:t>
      </w:r>
    </w:p>
    <w:p>
      <w:pPr>
        <w:pStyle w:val="BodyText"/>
        <w:spacing w:line="244" w:lineRule="auto" w:before="26"/>
        <w:ind w:left="283" w:right="1366" w:firstLine="453"/>
        <w:jc w:val="both"/>
      </w:pPr>
      <w:r>
        <w:rPr>
          <w:color w:val="231F1F"/>
          <w:w w:val="110"/>
        </w:rPr>
        <w:t>Aunque</w:t>
      </w:r>
      <w:r>
        <w:rPr>
          <w:color w:val="231F1F"/>
          <w:w w:val="110"/>
        </w:rPr>
        <w:t> no</w:t>
      </w:r>
      <w:r>
        <w:rPr>
          <w:color w:val="231F1F"/>
          <w:w w:val="110"/>
        </w:rPr>
        <w:t> hubo</w:t>
      </w:r>
      <w:r>
        <w:rPr>
          <w:color w:val="231F1F"/>
          <w:w w:val="110"/>
        </w:rPr>
        <w:t> una</w:t>
      </w:r>
      <w:r>
        <w:rPr>
          <w:color w:val="231F1F"/>
          <w:w w:val="110"/>
        </w:rPr>
        <w:t> aparente</w:t>
      </w:r>
      <w:r>
        <w:rPr>
          <w:color w:val="231F1F"/>
          <w:w w:val="110"/>
        </w:rPr>
        <w:t> diferencia</w:t>
      </w:r>
      <w:r>
        <w:rPr>
          <w:color w:val="231F1F"/>
          <w:w w:val="110"/>
        </w:rPr>
        <w:t> en</w:t>
      </w:r>
      <w:r>
        <w:rPr>
          <w:color w:val="231F1F"/>
          <w:w w:val="110"/>
        </w:rPr>
        <w:t> resultados</w:t>
      </w:r>
      <w:r>
        <w:rPr>
          <w:color w:val="231F1F"/>
          <w:w w:val="110"/>
        </w:rPr>
        <w:t> analgésicos, obstétricos</w:t>
      </w:r>
      <w:r>
        <w:rPr>
          <w:color w:val="231F1F"/>
          <w:spacing w:val="-7"/>
          <w:w w:val="110"/>
        </w:rPr>
        <w:t> </w:t>
      </w:r>
      <w:r>
        <w:rPr>
          <w:color w:val="231F1F"/>
          <w:w w:val="110"/>
        </w:rPr>
        <w:t>y</w:t>
      </w:r>
      <w:r>
        <w:rPr>
          <w:color w:val="231F1F"/>
          <w:spacing w:val="-7"/>
          <w:w w:val="110"/>
        </w:rPr>
        <w:t> </w:t>
      </w:r>
      <w:r>
        <w:rPr>
          <w:color w:val="231F1F"/>
          <w:w w:val="110"/>
        </w:rPr>
        <w:t>neonatales,</w:t>
      </w:r>
      <w:r>
        <w:rPr>
          <w:color w:val="231F1F"/>
          <w:spacing w:val="-7"/>
          <w:w w:val="110"/>
        </w:rPr>
        <w:t> </w:t>
      </w:r>
      <w:r>
        <w:rPr>
          <w:color w:val="231F1F"/>
          <w:w w:val="110"/>
        </w:rPr>
        <w:t>es</w:t>
      </w:r>
      <w:r>
        <w:rPr>
          <w:color w:val="231F1F"/>
          <w:spacing w:val="-8"/>
          <w:w w:val="110"/>
        </w:rPr>
        <w:t> </w:t>
      </w:r>
      <w:r>
        <w:rPr>
          <w:color w:val="231F1F"/>
          <w:w w:val="110"/>
        </w:rPr>
        <w:t>de</w:t>
      </w:r>
      <w:r>
        <w:rPr>
          <w:color w:val="231F1F"/>
          <w:spacing w:val="-7"/>
          <w:w w:val="110"/>
        </w:rPr>
        <w:t> </w:t>
      </w:r>
      <w:r>
        <w:rPr>
          <w:color w:val="231F1F"/>
          <w:w w:val="110"/>
        </w:rPr>
        <w:t>destacar</w:t>
      </w:r>
      <w:r>
        <w:rPr>
          <w:color w:val="231F1F"/>
          <w:spacing w:val="-7"/>
          <w:w w:val="110"/>
        </w:rPr>
        <w:t> </w:t>
      </w:r>
      <w:r>
        <w:rPr>
          <w:color w:val="231F1F"/>
          <w:w w:val="110"/>
        </w:rPr>
        <w:t>que</w:t>
      </w:r>
      <w:r>
        <w:rPr>
          <w:color w:val="231F1F"/>
          <w:spacing w:val="-7"/>
          <w:w w:val="110"/>
        </w:rPr>
        <w:t> </w:t>
      </w:r>
      <w:r>
        <w:rPr>
          <w:color w:val="231F1F"/>
          <w:w w:val="110"/>
        </w:rPr>
        <w:t>la</w:t>
      </w:r>
      <w:r>
        <w:rPr>
          <w:color w:val="231F1F"/>
          <w:spacing w:val="-8"/>
          <w:w w:val="110"/>
        </w:rPr>
        <w:t> </w:t>
      </w:r>
      <w:r>
        <w:rPr>
          <w:color w:val="231F1F"/>
          <w:w w:val="110"/>
        </w:rPr>
        <w:t>PCEA</w:t>
      </w:r>
      <w:r>
        <w:rPr>
          <w:color w:val="231F1F"/>
          <w:spacing w:val="-7"/>
          <w:w w:val="110"/>
        </w:rPr>
        <w:t> </w:t>
      </w:r>
      <w:r>
        <w:rPr>
          <w:color w:val="231F1F"/>
          <w:w w:val="110"/>
        </w:rPr>
        <w:t>podría</w:t>
      </w:r>
      <w:r>
        <w:rPr>
          <w:color w:val="231F1F"/>
          <w:spacing w:val="-7"/>
          <w:w w:val="110"/>
        </w:rPr>
        <w:t> </w:t>
      </w:r>
      <w:r>
        <w:rPr>
          <w:color w:val="231F1F"/>
          <w:w w:val="110"/>
        </w:rPr>
        <w:t>aumentar</w:t>
      </w:r>
      <w:r>
        <w:rPr>
          <w:color w:val="231F1F"/>
          <w:spacing w:val="-7"/>
          <w:w w:val="110"/>
        </w:rPr>
        <w:t> </w:t>
      </w:r>
      <w:r>
        <w:rPr>
          <w:color w:val="231F1F"/>
          <w:w w:val="110"/>
        </w:rPr>
        <w:t>la</w:t>
      </w:r>
      <w:r>
        <w:rPr>
          <w:color w:val="231F1F"/>
          <w:spacing w:val="-7"/>
          <w:w w:val="110"/>
        </w:rPr>
        <w:t> </w:t>
      </w:r>
      <w:r>
        <w:rPr>
          <w:color w:val="231F1F"/>
          <w:w w:val="110"/>
        </w:rPr>
        <w:t>sa- tisfacción materna.</w:t>
      </w:r>
    </w:p>
    <w:p>
      <w:pPr>
        <w:pStyle w:val="BodyText"/>
        <w:spacing w:line="247" w:lineRule="auto" w:before="109"/>
        <w:ind w:left="283" w:right="1369" w:firstLine="453"/>
        <w:jc w:val="both"/>
      </w:pPr>
      <w:r>
        <w:rPr>
          <w:color w:val="231F1F"/>
          <w:w w:val="110"/>
        </w:rPr>
        <w:t>En</w:t>
      </w:r>
      <w:r>
        <w:rPr>
          <w:color w:val="231F1F"/>
          <w:spacing w:val="-16"/>
          <w:w w:val="110"/>
        </w:rPr>
        <w:t> </w:t>
      </w:r>
      <w:r>
        <w:rPr>
          <w:color w:val="231F1F"/>
          <w:w w:val="110"/>
        </w:rPr>
        <w:t>relación</w:t>
      </w:r>
      <w:r>
        <w:rPr>
          <w:color w:val="231F1F"/>
          <w:spacing w:val="-15"/>
          <w:w w:val="110"/>
        </w:rPr>
        <w:t> </w:t>
      </w:r>
      <w:r>
        <w:rPr>
          <w:color w:val="231F1F"/>
          <w:w w:val="110"/>
        </w:rPr>
        <w:t>con</w:t>
      </w:r>
      <w:r>
        <w:rPr>
          <w:color w:val="231F1F"/>
          <w:spacing w:val="-15"/>
          <w:w w:val="110"/>
        </w:rPr>
        <w:t> </w:t>
      </w:r>
      <w:r>
        <w:rPr>
          <w:color w:val="231F1F"/>
          <w:w w:val="110"/>
        </w:rPr>
        <w:t>las</w:t>
      </w:r>
      <w:r>
        <w:rPr>
          <w:color w:val="231F1F"/>
          <w:spacing w:val="-15"/>
          <w:w w:val="110"/>
        </w:rPr>
        <w:t> </w:t>
      </w:r>
      <w:r>
        <w:rPr>
          <w:i/>
          <w:color w:val="231F1F"/>
          <w:w w:val="110"/>
        </w:rPr>
        <w:t>diferentes</w:t>
      </w:r>
      <w:r>
        <w:rPr>
          <w:i/>
          <w:color w:val="231F1F"/>
          <w:spacing w:val="-15"/>
          <w:w w:val="110"/>
        </w:rPr>
        <w:t> </w:t>
      </w:r>
      <w:r>
        <w:rPr>
          <w:i/>
          <w:color w:val="231F1F"/>
          <w:w w:val="110"/>
        </w:rPr>
        <w:t>dosis</w:t>
      </w:r>
      <w:r>
        <w:rPr>
          <w:i/>
          <w:color w:val="231F1F"/>
          <w:spacing w:val="-15"/>
          <w:w w:val="110"/>
        </w:rPr>
        <w:t> </w:t>
      </w:r>
      <w:r>
        <w:rPr>
          <w:i/>
          <w:color w:val="231F1F"/>
          <w:w w:val="110"/>
        </w:rPr>
        <w:t>y</w:t>
      </w:r>
      <w:r>
        <w:rPr>
          <w:i/>
          <w:color w:val="231F1F"/>
          <w:spacing w:val="-15"/>
          <w:w w:val="110"/>
        </w:rPr>
        <w:t> </w:t>
      </w:r>
      <w:r>
        <w:rPr>
          <w:i/>
          <w:color w:val="231F1F"/>
          <w:w w:val="110"/>
        </w:rPr>
        <w:t>tiempos</w:t>
      </w:r>
      <w:r>
        <w:rPr>
          <w:i/>
          <w:color w:val="231F1F"/>
          <w:spacing w:val="-15"/>
          <w:w w:val="110"/>
        </w:rPr>
        <w:t> </w:t>
      </w:r>
      <w:r>
        <w:rPr>
          <w:i/>
          <w:color w:val="231F1F"/>
          <w:w w:val="110"/>
        </w:rPr>
        <w:t>de</w:t>
      </w:r>
      <w:r>
        <w:rPr>
          <w:i/>
          <w:color w:val="231F1F"/>
          <w:spacing w:val="-16"/>
          <w:w w:val="110"/>
        </w:rPr>
        <w:t> </w:t>
      </w:r>
      <w:r>
        <w:rPr>
          <w:i/>
          <w:color w:val="231F1F"/>
          <w:w w:val="110"/>
        </w:rPr>
        <w:t>cierre</w:t>
      </w:r>
      <w:r>
        <w:rPr>
          <w:i/>
          <w:color w:val="231F1F"/>
          <w:spacing w:val="-15"/>
          <w:w w:val="110"/>
        </w:rPr>
        <w:t> </w:t>
      </w:r>
      <w:r>
        <w:rPr>
          <w:i/>
          <w:color w:val="231F1F"/>
          <w:w w:val="110"/>
        </w:rPr>
        <w:t>en</w:t>
      </w:r>
      <w:r>
        <w:rPr>
          <w:i/>
          <w:color w:val="231F1F"/>
          <w:spacing w:val="-15"/>
          <w:w w:val="110"/>
        </w:rPr>
        <w:t> </w:t>
      </w:r>
      <w:r>
        <w:rPr>
          <w:i/>
          <w:color w:val="231F1F"/>
          <w:w w:val="110"/>
        </w:rPr>
        <w:t>PCEA</w:t>
      </w:r>
      <w:r>
        <w:rPr>
          <w:color w:val="231F1F"/>
          <w:w w:val="110"/>
        </w:rPr>
        <w:t>,</w:t>
      </w:r>
      <w:r>
        <w:rPr>
          <w:color w:val="231F1F"/>
          <w:spacing w:val="-15"/>
          <w:w w:val="110"/>
        </w:rPr>
        <w:t> </w:t>
      </w:r>
      <w:r>
        <w:rPr>
          <w:color w:val="231F1F"/>
          <w:w w:val="110"/>
        </w:rPr>
        <w:t>se</w:t>
      </w:r>
      <w:r>
        <w:rPr>
          <w:color w:val="231F1F"/>
          <w:spacing w:val="-15"/>
          <w:w w:val="110"/>
        </w:rPr>
        <w:t> </w:t>
      </w:r>
      <w:r>
        <w:rPr>
          <w:color w:val="231F1F"/>
          <w:w w:val="110"/>
        </w:rPr>
        <w:t>en- cuentra</w:t>
      </w:r>
      <w:r>
        <w:rPr>
          <w:color w:val="231F1F"/>
          <w:spacing w:val="-16"/>
          <w:w w:val="110"/>
        </w:rPr>
        <w:t> </w:t>
      </w:r>
      <w:r>
        <w:rPr>
          <w:color w:val="231F1F"/>
          <w:w w:val="110"/>
        </w:rPr>
        <w:t>que</w:t>
      </w:r>
      <w:r>
        <w:rPr>
          <w:color w:val="231F1F"/>
          <w:spacing w:val="-15"/>
          <w:w w:val="110"/>
        </w:rPr>
        <w:t> </w:t>
      </w:r>
      <w:r>
        <w:rPr>
          <w:color w:val="231F1F"/>
          <w:w w:val="110"/>
        </w:rPr>
        <w:t>no</w:t>
      </w:r>
      <w:r>
        <w:rPr>
          <w:color w:val="231F1F"/>
          <w:spacing w:val="-15"/>
          <w:w w:val="110"/>
        </w:rPr>
        <w:t> </w:t>
      </w:r>
      <w:r>
        <w:rPr>
          <w:color w:val="231F1F"/>
          <w:w w:val="110"/>
        </w:rPr>
        <w:t>hay</w:t>
      </w:r>
      <w:r>
        <w:rPr>
          <w:color w:val="231F1F"/>
          <w:spacing w:val="-15"/>
          <w:w w:val="110"/>
        </w:rPr>
        <w:t> </w:t>
      </w:r>
      <w:r>
        <w:rPr>
          <w:color w:val="231F1F"/>
          <w:w w:val="110"/>
        </w:rPr>
        <w:t>diferencias</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grado</w:t>
      </w:r>
      <w:r>
        <w:rPr>
          <w:color w:val="231F1F"/>
          <w:spacing w:val="-15"/>
          <w:w w:val="110"/>
        </w:rPr>
        <w:t> </w:t>
      </w:r>
      <w:r>
        <w:rPr>
          <w:color w:val="231F1F"/>
          <w:w w:val="110"/>
        </w:rPr>
        <w:t>de</w:t>
      </w:r>
      <w:r>
        <w:rPr>
          <w:color w:val="231F1F"/>
          <w:spacing w:val="-16"/>
          <w:w w:val="110"/>
        </w:rPr>
        <w:t> </w:t>
      </w:r>
      <w:r>
        <w:rPr>
          <w:color w:val="231F1F"/>
          <w:w w:val="110"/>
        </w:rPr>
        <w:t>dolor</w:t>
      </w:r>
      <w:r>
        <w:rPr>
          <w:color w:val="231F1F"/>
          <w:spacing w:val="-15"/>
          <w:w w:val="110"/>
        </w:rPr>
        <w:t> </w:t>
      </w:r>
      <w:r>
        <w:rPr>
          <w:color w:val="231F1F"/>
          <w:w w:val="110"/>
        </w:rPr>
        <w:t>y</w:t>
      </w:r>
      <w:r>
        <w:rPr>
          <w:color w:val="231F1F"/>
          <w:spacing w:val="-15"/>
          <w:w w:val="110"/>
        </w:rPr>
        <w:t> </w:t>
      </w:r>
      <w:r>
        <w:rPr>
          <w:color w:val="231F1F"/>
          <w:w w:val="110"/>
        </w:rPr>
        <w:t>bloqueo</w:t>
      </w:r>
      <w:r>
        <w:rPr>
          <w:color w:val="231F1F"/>
          <w:spacing w:val="-15"/>
          <w:w w:val="110"/>
        </w:rPr>
        <w:t> </w:t>
      </w:r>
      <w:r>
        <w:rPr>
          <w:color w:val="231F1F"/>
          <w:w w:val="110"/>
        </w:rPr>
        <w:t>motor</w:t>
      </w:r>
      <w:r>
        <w:rPr>
          <w:color w:val="231F1F"/>
          <w:spacing w:val="-15"/>
          <w:w w:val="110"/>
        </w:rPr>
        <w:t> </w:t>
      </w:r>
      <w:r>
        <w:rPr>
          <w:color w:val="231F1F"/>
          <w:w w:val="110"/>
        </w:rPr>
        <w:t>y</w:t>
      </w:r>
      <w:r>
        <w:rPr>
          <w:color w:val="231F1F"/>
          <w:spacing w:val="-15"/>
          <w:w w:val="110"/>
        </w:rPr>
        <w:t> </w:t>
      </w:r>
      <w:r>
        <w:rPr>
          <w:color w:val="231F1F"/>
          <w:w w:val="110"/>
        </w:rPr>
        <w:t>senso- rial</w:t>
      </w:r>
      <w:r>
        <w:rPr>
          <w:color w:val="231F1F"/>
          <w:spacing w:val="-16"/>
          <w:w w:val="110"/>
        </w:rPr>
        <w:t> </w:t>
      </w:r>
      <w:r>
        <w:rPr>
          <w:color w:val="231F1F"/>
          <w:w w:val="110"/>
        </w:rPr>
        <w:t>y</w:t>
      </w:r>
      <w:r>
        <w:rPr>
          <w:color w:val="231F1F"/>
          <w:spacing w:val="-15"/>
          <w:w w:val="110"/>
        </w:rPr>
        <w:t> </w:t>
      </w:r>
      <w:r>
        <w:rPr>
          <w:color w:val="231F1F"/>
          <w:w w:val="110"/>
        </w:rPr>
        <w:t>que</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grupo</w:t>
      </w:r>
      <w:r>
        <w:rPr>
          <w:color w:val="231F1F"/>
          <w:spacing w:val="-15"/>
          <w:w w:val="110"/>
        </w:rPr>
        <w:t> </w:t>
      </w:r>
      <w:r>
        <w:rPr>
          <w:color w:val="231F1F"/>
          <w:w w:val="110"/>
        </w:rPr>
        <w:t>de</w:t>
      </w:r>
      <w:r>
        <w:rPr>
          <w:color w:val="231F1F"/>
          <w:spacing w:val="-16"/>
          <w:w w:val="110"/>
        </w:rPr>
        <w:t> </w:t>
      </w:r>
      <w:r>
        <w:rPr>
          <w:color w:val="231F1F"/>
          <w:w w:val="110"/>
        </w:rPr>
        <w:t>dosis</w:t>
      </w:r>
      <w:r>
        <w:rPr>
          <w:color w:val="231F1F"/>
          <w:spacing w:val="-15"/>
          <w:w w:val="110"/>
        </w:rPr>
        <w:t> </w:t>
      </w:r>
      <w:r>
        <w:rPr>
          <w:color w:val="231F1F"/>
          <w:w w:val="110"/>
        </w:rPr>
        <w:t>más</w:t>
      </w:r>
      <w:r>
        <w:rPr>
          <w:color w:val="231F1F"/>
          <w:spacing w:val="-15"/>
          <w:w w:val="110"/>
        </w:rPr>
        <w:t> </w:t>
      </w:r>
      <w:r>
        <w:rPr>
          <w:color w:val="231F1F"/>
          <w:w w:val="110"/>
        </w:rPr>
        <w:t>altas</w:t>
      </w:r>
      <w:r>
        <w:rPr>
          <w:color w:val="231F1F"/>
          <w:spacing w:val="-15"/>
          <w:w w:val="110"/>
        </w:rPr>
        <w:t> </w:t>
      </w:r>
      <w:r>
        <w:rPr>
          <w:color w:val="231F1F"/>
          <w:w w:val="110"/>
        </w:rPr>
        <w:t>necesitaban</w:t>
      </w:r>
      <w:r>
        <w:rPr>
          <w:color w:val="231F1F"/>
          <w:spacing w:val="-15"/>
          <w:w w:val="110"/>
        </w:rPr>
        <w:t> </w:t>
      </w:r>
      <w:r>
        <w:rPr>
          <w:color w:val="231F1F"/>
          <w:w w:val="110"/>
        </w:rPr>
        <w:t>menos</w:t>
      </w:r>
      <w:r>
        <w:rPr>
          <w:color w:val="231F1F"/>
          <w:spacing w:val="-15"/>
          <w:w w:val="110"/>
        </w:rPr>
        <w:t> </w:t>
      </w:r>
      <w:r>
        <w:rPr>
          <w:color w:val="231F1F"/>
          <w:w w:val="110"/>
        </w:rPr>
        <w:t>anes- tesia</w:t>
      </w:r>
      <w:r>
        <w:rPr>
          <w:color w:val="231F1F"/>
          <w:spacing w:val="-8"/>
          <w:w w:val="110"/>
        </w:rPr>
        <w:t> </w:t>
      </w:r>
      <w:r>
        <w:rPr>
          <w:color w:val="231F1F"/>
          <w:w w:val="110"/>
        </w:rPr>
        <w:t>de</w:t>
      </w:r>
      <w:r>
        <w:rPr>
          <w:color w:val="231F1F"/>
          <w:spacing w:val="-8"/>
          <w:w w:val="110"/>
        </w:rPr>
        <w:t> </w:t>
      </w:r>
      <w:r>
        <w:rPr>
          <w:color w:val="231F1F"/>
          <w:w w:val="110"/>
        </w:rPr>
        <w:t>rescate,</w:t>
      </w:r>
      <w:r>
        <w:rPr>
          <w:color w:val="231F1F"/>
          <w:spacing w:val="-9"/>
          <w:w w:val="110"/>
        </w:rPr>
        <w:t> </w:t>
      </w:r>
      <w:r>
        <w:rPr>
          <w:color w:val="231F1F"/>
          <w:w w:val="110"/>
        </w:rPr>
        <w:t>además</w:t>
      </w:r>
      <w:r>
        <w:rPr>
          <w:color w:val="231F1F"/>
          <w:spacing w:val="-9"/>
          <w:w w:val="110"/>
        </w:rPr>
        <w:t> </w:t>
      </w:r>
      <w:r>
        <w:rPr>
          <w:color w:val="231F1F"/>
          <w:w w:val="110"/>
        </w:rPr>
        <w:t>una</w:t>
      </w:r>
      <w:r>
        <w:rPr>
          <w:color w:val="231F1F"/>
          <w:spacing w:val="-9"/>
          <w:w w:val="110"/>
        </w:rPr>
        <w:t> </w:t>
      </w:r>
      <w:r>
        <w:rPr>
          <w:color w:val="231F1F"/>
          <w:w w:val="110"/>
        </w:rPr>
        <w:t>mayor</w:t>
      </w:r>
      <w:r>
        <w:rPr>
          <w:color w:val="231F1F"/>
          <w:spacing w:val="-9"/>
          <w:w w:val="110"/>
        </w:rPr>
        <w:t> </w:t>
      </w:r>
      <w:r>
        <w:rPr>
          <w:color w:val="231F1F"/>
          <w:w w:val="110"/>
        </w:rPr>
        <w:t>dosis</w:t>
      </w:r>
      <w:r>
        <w:rPr>
          <w:color w:val="231F1F"/>
          <w:spacing w:val="-8"/>
          <w:w w:val="110"/>
        </w:rPr>
        <w:t> </w:t>
      </w:r>
      <w:r>
        <w:rPr>
          <w:color w:val="231F1F"/>
          <w:w w:val="110"/>
        </w:rPr>
        <w:t>de</w:t>
      </w:r>
      <w:r>
        <w:rPr>
          <w:color w:val="231F1F"/>
          <w:spacing w:val="-8"/>
          <w:w w:val="110"/>
        </w:rPr>
        <w:t> </w:t>
      </w:r>
      <w:r>
        <w:rPr>
          <w:color w:val="231F1F"/>
          <w:w w:val="110"/>
        </w:rPr>
        <w:t>PCEA</w:t>
      </w:r>
      <w:r>
        <w:rPr>
          <w:color w:val="231F1F"/>
          <w:spacing w:val="-8"/>
          <w:w w:val="110"/>
        </w:rPr>
        <w:t> </w:t>
      </w:r>
      <w:r>
        <w:rPr>
          <w:color w:val="231F1F"/>
          <w:w w:val="110"/>
        </w:rPr>
        <w:t>podría</w:t>
      </w:r>
      <w:r>
        <w:rPr>
          <w:color w:val="231F1F"/>
          <w:spacing w:val="-8"/>
          <w:w w:val="110"/>
        </w:rPr>
        <w:t> </w:t>
      </w:r>
      <w:r>
        <w:rPr>
          <w:color w:val="231F1F"/>
          <w:w w:val="110"/>
        </w:rPr>
        <w:t>reducir</w:t>
      </w:r>
      <w:r>
        <w:rPr>
          <w:color w:val="231F1F"/>
          <w:spacing w:val="-9"/>
          <w:w w:val="110"/>
        </w:rPr>
        <w:t> </w:t>
      </w:r>
      <w:r>
        <w:rPr>
          <w:color w:val="231F1F"/>
          <w:w w:val="110"/>
        </w:rPr>
        <w:t>el</w:t>
      </w:r>
      <w:r>
        <w:rPr>
          <w:color w:val="231F1F"/>
          <w:spacing w:val="-9"/>
          <w:w w:val="110"/>
        </w:rPr>
        <w:t> </w:t>
      </w:r>
      <w:r>
        <w:rPr>
          <w:color w:val="231F1F"/>
          <w:w w:val="110"/>
        </w:rPr>
        <w:t>dolor</w:t>
      </w:r>
      <w:r>
        <w:rPr>
          <w:color w:val="231F1F"/>
          <w:spacing w:val="-9"/>
          <w:w w:val="110"/>
        </w:rPr>
        <w:t> </w:t>
      </w:r>
      <w:r>
        <w:rPr>
          <w:color w:val="231F1F"/>
          <w:w w:val="110"/>
        </w:rPr>
        <w:t>y aumentar la satisfacción de las mujeres.</w:t>
      </w:r>
    </w:p>
    <w:p>
      <w:pPr>
        <w:pStyle w:val="BodyText"/>
        <w:spacing w:before="99"/>
        <w:ind w:left="283" w:right="1366" w:firstLine="453"/>
        <w:jc w:val="both"/>
      </w:pPr>
      <w:r>
        <w:rPr>
          <w:color w:val="231F1F"/>
          <w:spacing w:val="-2"/>
          <w:w w:val="110"/>
        </w:rPr>
        <w:t>En</w:t>
      </w:r>
      <w:r>
        <w:rPr>
          <w:color w:val="231F1F"/>
          <w:spacing w:val="-10"/>
          <w:w w:val="110"/>
        </w:rPr>
        <w:t> </w:t>
      </w:r>
      <w:r>
        <w:rPr>
          <w:color w:val="231F1F"/>
          <w:spacing w:val="-2"/>
          <w:w w:val="110"/>
        </w:rPr>
        <w:t>resumen</w:t>
      </w:r>
      <w:r>
        <w:rPr>
          <w:color w:val="231F1F"/>
          <w:spacing w:val="-10"/>
          <w:w w:val="110"/>
        </w:rPr>
        <w:t> </w:t>
      </w:r>
      <w:r>
        <w:rPr>
          <w:color w:val="231F1F"/>
          <w:spacing w:val="-2"/>
          <w:w w:val="110"/>
        </w:rPr>
        <w:t>se</w:t>
      </w:r>
      <w:r>
        <w:rPr>
          <w:color w:val="231F1F"/>
          <w:spacing w:val="-11"/>
          <w:w w:val="110"/>
        </w:rPr>
        <w:t> </w:t>
      </w:r>
      <w:r>
        <w:rPr>
          <w:color w:val="231F1F"/>
          <w:spacing w:val="-2"/>
          <w:w w:val="110"/>
        </w:rPr>
        <w:t>encontró</w:t>
      </w:r>
      <w:r>
        <w:rPr>
          <w:color w:val="231F1F"/>
          <w:spacing w:val="-10"/>
          <w:w w:val="110"/>
        </w:rPr>
        <w:t> </w:t>
      </w:r>
      <w:r>
        <w:rPr>
          <w:color w:val="231F1F"/>
          <w:spacing w:val="-2"/>
          <w:w w:val="110"/>
        </w:rPr>
        <w:t>que</w:t>
      </w:r>
      <w:r>
        <w:rPr>
          <w:color w:val="231F1F"/>
          <w:spacing w:val="-11"/>
          <w:w w:val="110"/>
        </w:rPr>
        <w:t> </w:t>
      </w:r>
      <w:r>
        <w:rPr>
          <w:color w:val="231F1F"/>
          <w:spacing w:val="-2"/>
          <w:w w:val="110"/>
        </w:rPr>
        <w:t>todos</w:t>
      </w:r>
      <w:r>
        <w:rPr>
          <w:color w:val="231F1F"/>
          <w:spacing w:val="-11"/>
          <w:w w:val="110"/>
        </w:rPr>
        <w:t> </w:t>
      </w:r>
      <w:r>
        <w:rPr>
          <w:color w:val="231F1F"/>
          <w:spacing w:val="-2"/>
          <w:w w:val="110"/>
        </w:rPr>
        <w:t>los</w:t>
      </w:r>
      <w:r>
        <w:rPr>
          <w:color w:val="231F1F"/>
          <w:spacing w:val="-11"/>
          <w:w w:val="110"/>
        </w:rPr>
        <w:t> </w:t>
      </w:r>
      <w:r>
        <w:rPr>
          <w:color w:val="231F1F"/>
          <w:spacing w:val="-2"/>
          <w:w w:val="110"/>
        </w:rPr>
        <w:t>modos</w:t>
      </w:r>
      <w:r>
        <w:rPr>
          <w:color w:val="231F1F"/>
          <w:spacing w:val="-11"/>
          <w:w w:val="110"/>
        </w:rPr>
        <w:t> </w:t>
      </w:r>
      <w:r>
        <w:rPr>
          <w:color w:val="231F1F"/>
          <w:spacing w:val="-2"/>
          <w:w w:val="110"/>
        </w:rPr>
        <w:t>de</w:t>
      </w:r>
      <w:r>
        <w:rPr>
          <w:color w:val="231F1F"/>
          <w:spacing w:val="-11"/>
          <w:w w:val="110"/>
        </w:rPr>
        <w:t> </w:t>
      </w:r>
      <w:r>
        <w:rPr>
          <w:color w:val="231F1F"/>
          <w:spacing w:val="-2"/>
          <w:w w:val="110"/>
        </w:rPr>
        <w:t>administración</w:t>
      </w:r>
      <w:r>
        <w:rPr>
          <w:color w:val="231F1F"/>
          <w:spacing w:val="-10"/>
          <w:w w:val="110"/>
        </w:rPr>
        <w:t> </w:t>
      </w:r>
      <w:r>
        <w:rPr>
          <w:color w:val="231F1F"/>
          <w:spacing w:val="-2"/>
          <w:w w:val="110"/>
        </w:rPr>
        <w:t>epidural </w:t>
      </w:r>
      <w:r>
        <w:rPr>
          <w:color w:val="231F1F"/>
          <w:w w:val="110"/>
        </w:rPr>
        <w:t>conseguían un alivio efectivo del dolor.</w:t>
      </w:r>
    </w:p>
    <w:p>
      <w:pPr>
        <w:pStyle w:val="BodyText"/>
        <w:spacing w:line="247" w:lineRule="auto" w:before="113"/>
        <w:ind w:left="283" w:right="1370" w:firstLine="453"/>
        <w:jc w:val="both"/>
      </w:pPr>
      <w:r>
        <w:rPr>
          <w:color w:val="231F1F"/>
          <w:w w:val="110"/>
        </w:rPr>
        <w:t>La</w:t>
      </w:r>
      <w:r>
        <w:rPr>
          <w:color w:val="231F1F"/>
          <w:spacing w:val="-9"/>
          <w:w w:val="110"/>
        </w:rPr>
        <w:t> </w:t>
      </w:r>
      <w:r>
        <w:rPr>
          <w:color w:val="231F1F"/>
          <w:w w:val="110"/>
        </w:rPr>
        <w:t>PCEA,</w:t>
      </w:r>
      <w:r>
        <w:rPr>
          <w:color w:val="231F1F"/>
          <w:spacing w:val="-10"/>
          <w:w w:val="110"/>
        </w:rPr>
        <w:t> </w:t>
      </w:r>
      <w:r>
        <w:rPr>
          <w:color w:val="231F1F"/>
          <w:w w:val="110"/>
        </w:rPr>
        <w:t>comparada</w:t>
      </w:r>
      <w:r>
        <w:rPr>
          <w:color w:val="231F1F"/>
          <w:spacing w:val="-9"/>
          <w:w w:val="110"/>
        </w:rPr>
        <w:t> </w:t>
      </w:r>
      <w:r>
        <w:rPr>
          <w:color w:val="231F1F"/>
          <w:w w:val="110"/>
        </w:rPr>
        <w:t>con</w:t>
      </w:r>
      <w:r>
        <w:rPr>
          <w:color w:val="231F1F"/>
          <w:spacing w:val="-9"/>
          <w:w w:val="110"/>
        </w:rPr>
        <w:t> </w:t>
      </w:r>
      <w:r>
        <w:rPr>
          <w:color w:val="231F1F"/>
          <w:w w:val="110"/>
        </w:rPr>
        <w:t>PC,</w:t>
      </w:r>
      <w:r>
        <w:rPr>
          <w:color w:val="231F1F"/>
          <w:spacing w:val="-9"/>
          <w:w w:val="110"/>
        </w:rPr>
        <w:t> </w:t>
      </w:r>
      <w:r>
        <w:rPr>
          <w:color w:val="231F1F"/>
          <w:w w:val="110"/>
        </w:rPr>
        <w:t>reduce</w:t>
      </w:r>
      <w:r>
        <w:rPr>
          <w:color w:val="231F1F"/>
          <w:spacing w:val="-9"/>
          <w:w w:val="110"/>
        </w:rPr>
        <w:t> </w:t>
      </w:r>
      <w:r>
        <w:rPr>
          <w:color w:val="231F1F"/>
          <w:w w:val="110"/>
        </w:rPr>
        <w:t>la</w:t>
      </w:r>
      <w:r>
        <w:rPr>
          <w:color w:val="231F1F"/>
          <w:spacing w:val="-9"/>
          <w:w w:val="110"/>
        </w:rPr>
        <w:t> </w:t>
      </w:r>
      <w:r>
        <w:rPr>
          <w:color w:val="231F1F"/>
          <w:w w:val="110"/>
        </w:rPr>
        <w:t>dosis</w:t>
      </w:r>
      <w:r>
        <w:rPr>
          <w:color w:val="231F1F"/>
          <w:spacing w:val="-9"/>
          <w:w w:val="110"/>
        </w:rPr>
        <w:t> </w:t>
      </w:r>
      <w:r>
        <w:rPr>
          <w:color w:val="231F1F"/>
          <w:w w:val="110"/>
        </w:rPr>
        <w:t>total</w:t>
      </w:r>
      <w:r>
        <w:rPr>
          <w:color w:val="231F1F"/>
          <w:spacing w:val="-9"/>
          <w:w w:val="110"/>
        </w:rPr>
        <w:t> </w:t>
      </w:r>
      <w:r>
        <w:rPr>
          <w:color w:val="231F1F"/>
          <w:w w:val="110"/>
        </w:rPr>
        <w:t>de</w:t>
      </w:r>
      <w:r>
        <w:rPr>
          <w:color w:val="231F1F"/>
          <w:spacing w:val="-9"/>
          <w:w w:val="110"/>
        </w:rPr>
        <w:t> </w:t>
      </w:r>
      <w:r>
        <w:rPr>
          <w:color w:val="231F1F"/>
          <w:w w:val="110"/>
        </w:rPr>
        <w:t>anestesico</w:t>
      </w:r>
      <w:r>
        <w:rPr>
          <w:color w:val="231F1F"/>
          <w:spacing w:val="-8"/>
          <w:w w:val="110"/>
        </w:rPr>
        <w:t> </w:t>
      </w:r>
      <w:r>
        <w:rPr>
          <w:color w:val="231F1F"/>
          <w:w w:val="110"/>
        </w:rPr>
        <w:t>local, implicando un menor bloqueo motor y una disminución en la necesidad de requerir nuevas intervenciones por parte del anestesista profesional.</w:t>
      </w:r>
    </w:p>
    <w:p>
      <w:pPr>
        <w:pStyle w:val="BodyText"/>
        <w:spacing w:line="244" w:lineRule="auto" w:before="116"/>
        <w:ind w:left="283" w:right="1366" w:firstLine="453"/>
        <w:jc w:val="both"/>
      </w:pPr>
      <w:r>
        <w:rPr>
          <w:color w:val="231F1F"/>
          <w:w w:val="105"/>
        </w:rPr>
        <w:t>La PCEA, cuando se comparaba con los bolos intermitentes administra- dos</w:t>
      </w:r>
      <w:r>
        <w:rPr>
          <w:color w:val="231F1F"/>
          <w:w w:val="105"/>
        </w:rPr>
        <w:t> por</w:t>
      </w:r>
      <w:r>
        <w:rPr>
          <w:color w:val="231F1F"/>
          <w:w w:val="105"/>
        </w:rPr>
        <w:t> personal</w:t>
      </w:r>
      <w:r>
        <w:rPr>
          <w:color w:val="231F1F"/>
          <w:w w:val="105"/>
        </w:rPr>
        <w:t> hospitalario,</w:t>
      </w:r>
      <w:r>
        <w:rPr>
          <w:color w:val="231F1F"/>
          <w:w w:val="105"/>
        </w:rPr>
        <w:t> incrementaba</w:t>
      </w:r>
      <w:r>
        <w:rPr>
          <w:color w:val="231F1F"/>
          <w:w w:val="105"/>
        </w:rPr>
        <w:t> la</w:t>
      </w:r>
      <w:r>
        <w:rPr>
          <w:color w:val="231F1F"/>
          <w:w w:val="105"/>
        </w:rPr>
        <w:t> satisfacción</w:t>
      </w:r>
      <w:r>
        <w:rPr>
          <w:color w:val="231F1F"/>
          <w:w w:val="105"/>
        </w:rPr>
        <w:t> de</w:t>
      </w:r>
      <w:r>
        <w:rPr>
          <w:color w:val="231F1F"/>
          <w:w w:val="105"/>
        </w:rPr>
        <w:t> la</w:t>
      </w:r>
      <w:r>
        <w:rPr>
          <w:color w:val="231F1F"/>
          <w:w w:val="105"/>
        </w:rPr>
        <w:t> mujer</w:t>
      </w:r>
      <w:r>
        <w:rPr>
          <w:color w:val="231F1F"/>
          <w:w w:val="105"/>
        </w:rPr>
        <w:t> en relación con el alivio del dolor.</w:t>
      </w:r>
    </w:p>
    <w:p>
      <w:pPr>
        <w:pStyle w:val="BodyText"/>
        <w:spacing w:before="86"/>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junio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before="190"/>
        <w:ind w:left="283"/>
      </w:pPr>
      <w:r>
        <w:rPr>
          <w:color w:val="231F1F"/>
        </w:rPr>
        <w:t>No</w:t>
      </w:r>
      <w:r>
        <w:rPr>
          <w:color w:val="231F1F"/>
          <w:spacing w:val="28"/>
        </w:rPr>
        <w:t> </w:t>
      </w:r>
      <w:r>
        <w:rPr>
          <w:color w:val="231F1F"/>
        </w:rPr>
        <w:t>se</w:t>
      </w:r>
      <w:r>
        <w:rPr>
          <w:color w:val="231F1F"/>
          <w:spacing w:val="29"/>
        </w:rPr>
        <w:t> </w:t>
      </w:r>
      <w:r>
        <w:rPr>
          <w:color w:val="231F1F"/>
        </w:rPr>
        <w:t>han</w:t>
      </w:r>
      <w:r>
        <w:rPr>
          <w:color w:val="231F1F"/>
          <w:spacing w:val="28"/>
        </w:rPr>
        <w:t> </w:t>
      </w:r>
      <w:r>
        <w:rPr>
          <w:color w:val="231F1F"/>
        </w:rPr>
        <w:t>seleccionado</w:t>
      </w:r>
      <w:r>
        <w:rPr>
          <w:color w:val="231F1F"/>
          <w:spacing w:val="31"/>
        </w:rPr>
        <w:t> </w:t>
      </w:r>
      <w:r>
        <w:rPr>
          <w:color w:val="231F1F"/>
        </w:rPr>
        <w:t>nuevos</w:t>
      </w:r>
      <w:r>
        <w:rPr>
          <w:color w:val="231F1F"/>
          <w:spacing w:val="29"/>
        </w:rPr>
        <w:t> </w:t>
      </w:r>
      <w:r>
        <w:rPr>
          <w:color w:val="231F1F"/>
          <w:spacing w:val="-2"/>
        </w:rPr>
        <w:t>estudios.</w:t>
      </w:r>
    </w:p>
    <w:p>
      <w:pPr>
        <w:pStyle w:val="BodyText"/>
        <w:spacing w:before="103"/>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25" w:hRule="atLeast"/>
        </w:trPr>
        <w:tc>
          <w:tcPr>
            <w:tcW w:w="7373" w:type="dxa"/>
          </w:tcPr>
          <w:p>
            <w:pPr>
              <w:pStyle w:val="TableParagraph"/>
              <w:spacing w:line="244" w:lineRule="auto" w:before="25"/>
              <w:ind w:right="92"/>
              <w:jc w:val="both"/>
              <w:rPr>
                <w:sz w:val="22"/>
              </w:rPr>
            </w:pPr>
            <w:r>
              <w:rPr>
                <w:color w:val="231F1F"/>
                <w:w w:val="110"/>
                <w:sz w:val="22"/>
              </w:rPr>
              <w:t>Los</w:t>
            </w:r>
            <w:r>
              <w:rPr>
                <w:color w:val="231F1F"/>
                <w:spacing w:val="-12"/>
                <w:w w:val="110"/>
                <w:sz w:val="22"/>
              </w:rPr>
              <w:t> </w:t>
            </w:r>
            <w:r>
              <w:rPr>
                <w:color w:val="231F1F"/>
                <w:w w:val="110"/>
                <w:sz w:val="22"/>
              </w:rPr>
              <w:t>bolos</w:t>
            </w:r>
            <w:r>
              <w:rPr>
                <w:color w:val="231F1F"/>
                <w:spacing w:val="-12"/>
                <w:w w:val="110"/>
                <w:sz w:val="22"/>
              </w:rPr>
              <w:t> </w:t>
            </w:r>
            <w:r>
              <w:rPr>
                <w:color w:val="231F1F"/>
                <w:w w:val="110"/>
                <w:sz w:val="22"/>
              </w:rPr>
              <w:t>intermitentes</w:t>
            </w:r>
            <w:r>
              <w:rPr>
                <w:color w:val="231F1F"/>
                <w:spacing w:val="-12"/>
                <w:w w:val="110"/>
                <w:sz w:val="22"/>
              </w:rPr>
              <w:t> </w:t>
            </w:r>
            <w:r>
              <w:rPr>
                <w:color w:val="231F1F"/>
                <w:w w:val="110"/>
                <w:sz w:val="22"/>
              </w:rPr>
              <w:t>administrados</w:t>
            </w:r>
            <w:r>
              <w:rPr>
                <w:color w:val="231F1F"/>
                <w:spacing w:val="-12"/>
                <w:w w:val="110"/>
                <w:sz w:val="22"/>
              </w:rPr>
              <w:t> </w:t>
            </w:r>
            <w:r>
              <w:rPr>
                <w:color w:val="231F1F"/>
                <w:w w:val="110"/>
                <w:sz w:val="22"/>
              </w:rPr>
              <w:t>por</w:t>
            </w:r>
            <w:r>
              <w:rPr>
                <w:color w:val="231F1F"/>
                <w:spacing w:val="-12"/>
                <w:w w:val="110"/>
                <w:sz w:val="22"/>
              </w:rPr>
              <w:t> </w:t>
            </w:r>
            <w:r>
              <w:rPr>
                <w:color w:val="231F1F"/>
                <w:w w:val="110"/>
                <w:sz w:val="22"/>
              </w:rPr>
              <w:t>el</w:t>
            </w:r>
            <w:r>
              <w:rPr>
                <w:color w:val="231F1F"/>
                <w:spacing w:val="-12"/>
                <w:w w:val="110"/>
                <w:sz w:val="22"/>
              </w:rPr>
              <w:t> </w:t>
            </w:r>
            <w:r>
              <w:rPr>
                <w:color w:val="231F1F"/>
                <w:w w:val="110"/>
                <w:sz w:val="22"/>
              </w:rPr>
              <w:t>personal</w:t>
            </w:r>
            <w:r>
              <w:rPr>
                <w:color w:val="231F1F"/>
                <w:spacing w:val="-13"/>
                <w:w w:val="110"/>
                <w:sz w:val="22"/>
              </w:rPr>
              <w:t> </w:t>
            </w:r>
            <w:r>
              <w:rPr>
                <w:color w:val="231F1F"/>
                <w:w w:val="110"/>
                <w:sz w:val="22"/>
              </w:rPr>
              <w:t>del</w:t>
            </w:r>
            <w:r>
              <w:rPr>
                <w:color w:val="231F1F"/>
                <w:spacing w:val="-12"/>
                <w:w w:val="110"/>
                <w:sz w:val="22"/>
              </w:rPr>
              <w:t> </w:t>
            </w:r>
            <w:r>
              <w:rPr>
                <w:color w:val="231F1F"/>
                <w:w w:val="110"/>
                <w:sz w:val="22"/>
              </w:rPr>
              <w:t>hospital,</w:t>
            </w:r>
            <w:r>
              <w:rPr>
                <w:color w:val="231F1F"/>
                <w:spacing w:val="-12"/>
                <w:w w:val="110"/>
                <w:sz w:val="22"/>
              </w:rPr>
              <w:t> </w:t>
            </w:r>
            <w:r>
              <w:rPr>
                <w:color w:val="231F1F"/>
                <w:w w:val="110"/>
                <w:sz w:val="22"/>
              </w:rPr>
              <w:t>compa- rada</w:t>
            </w:r>
            <w:r>
              <w:rPr>
                <w:color w:val="231F1F"/>
                <w:spacing w:val="-16"/>
                <w:w w:val="110"/>
                <w:sz w:val="22"/>
              </w:rPr>
              <w:t> </w:t>
            </w:r>
            <w:r>
              <w:rPr>
                <w:color w:val="231F1F"/>
                <w:w w:val="110"/>
                <w:sz w:val="22"/>
              </w:rPr>
              <w:t>con</w:t>
            </w:r>
            <w:r>
              <w:rPr>
                <w:color w:val="231F1F"/>
                <w:spacing w:val="-15"/>
                <w:w w:val="110"/>
                <w:sz w:val="22"/>
              </w:rPr>
              <w:t> </w:t>
            </w:r>
            <w:r>
              <w:rPr>
                <w:color w:val="231F1F"/>
                <w:w w:val="110"/>
                <w:sz w:val="22"/>
              </w:rPr>
              <w:t>PC,</w:t>
            </w:r>
            <w:r>
              <w:rPr>
                <w:color w:val="231F1F"/>
                <w:spacing w:val="-15"/>
                <w:w w:val="110"/>
                <w:sz w:val="22"/>
              </w:rPr>
              <w:t> </w:t>
            </w:r>
            <w:r>
              <w:rPr>
                <w:color w:val="231F1F"/>
                <w:w w:val="110"/>
                <w:sz w:val="22"/>
              </w:rPr>
              <w:t>reduce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dosis</w:t>
            </w:r>
            <w:r>
              <w:rPr>
                <w:color w:val="231F1F"/>
                <w:spacing w:val="-15"/>
                <w:w w:val="110"/>
                <w:sz w:val="22"/>
              </w:rPr>
              <w:t> </w:t>
            </w:r>
            <w:r>
              <w:rPr>
                <w:color w:val="231F1F"/>
                <w:w w:val="110"/>
                <w:sz w:val="22"/>
              </w:rPr>
              <w:t>total</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anestesico</w:t>
            </w:r>
            <w:r>
              <w:rPr>
                <w:color w:val="231F1F"/>
                <w:spacing w:val="-16"/>
                <w:w w:val="110"/>
                <w:sz w:val="22"/>
              </w:rPr>
              <w:t> </w:t>
            </w:r>
            <w:r>
              <w:rPr>
                <w:color w:val="231F1F"/>
                <w:w w:val="110"/>
                <w:sz w:val="22"/>
              </w:rPr>
              <w:t>local,</w:t>
            </w:r>
            <w:r>
              <w:rPr>
                <w:color w:val="231F1F"/>
                <w:spacing w:val="-15"/>
                <w:w w:val="110"/>
                <w:sz w:val="22"/>
              </w:rPr>
              <w:t> </w:t>
            </w:r>
            <w:r>
              <w:rPr>
                <w:color w:val="231F1F"/>
                <w:w w:val="110"/>
                <w:sz w:val="22"/>
              </w:rPr>
              <w:t>implicando</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menor bloqueo motor (10).</w:t>
            </w:r>
          </w:p>
        </w:tc>
        <w:tc>
          <w:tcPr>
            <w:tcW w:w="1133" w:type="dxa"/>
          </w:tcPr>
          <w:p>
            <w:pPr>
              <w:pStyle w:val="TableParagraph"/>
              <w:spacing w:before="50"/>
              <w:ind w:left="0"/>
              <w:rPr>
                <w:rFonts w:ascii="Arial MT"/>
                <w:sz w:val="22"/>
              </w:rPr>
            </w:pPr>
          </w:p>
          <w:p>
            <w:pPr>
              <w:pStyle w:val="TableParagraph"/>
              <w:ind w:left="49" w:right="22"/>
              <w:jc w:val="center"/>
              <w:rPr>
                <w:sz w:val="22"/>
              </w:rPr>
            </w:pPr>
            <w:r>
              <w:rPr>
                <w:color w:val="231F1F"/>
                <w:spacing w:val="-5"/>
                <w:w w:val="105"/>
                <w:sz w:val="22"/>
              </w:rPr>
              <w:t>1+</w:t>
            </w:r>
          </w:p>
        </w:tc>
      </w:tr>
      <w:tr>
        <w:trPr>
          <w:trHeight w:val="926" w:hRule="atLeast"/>
        </w:trPr>
        <w:tc>
          <w:tcPr>
            <w:tcW w:w="7373" w:type="dxa"/>
          </w:tcPr>
          <w:p>
            <w:pPr>
              <w:pStyle w:val="TableParagraph"/>
              <w:spacing w:line="244" w:lineRule="auto" w:before="29"/>
              <w:ind w:right="85"/>
              <w:jc w:val="both"/>
              <w:rPr>
                <w:sz w:val="22"/>
              </w:rPr>
            </w:pPr>
            <w:r>
              <w:rPr>
                <w:color w:val="231F1F"/>
                <w:w w:val="110"/>
                <w:sz w:val="22"/>
              </w:rPr>
              <w:t>La</w:t>
            </w:r>
            <w:r>
              <w:rPr>
                <w:color w:val="231F1F"/>
                <w:spacing w:val="-15"/>
                <w:w w:val="110"/>
                <w:sz w:val="22"/>
              </w:rPr>
              <w:t> </w:t>
            </w:r>
            <w:r>
              <w:rPr>
                <w:color w:val="231F1F"/>
                <w:w w:val="110"/>
                <w:sz w:val="22"/>
              </w:rPr>
              <w:t>PCEA,</w:t>
            </w:r>
            <w:r>
              <w:rPr>
                <w:color w:val="231F1F"/>
                <w:spacing w:val="-15"/>
                <w:w w:val="110"/>
                <w:sz w:val="22"/>
              </w:rPr>
              <w:t> </w:t>
            </w:r>
            <w:r>
              <w:rPr>
                <w:color w:val="231F1F"/>
                <w:w w:val="110"/>
                <w:sz w:val="22"/>
              </w:rPr>
              <w:t>comparada</w:t>
            </w:r>
            <w:r>
              <w:rPr>
                <w:color w:val="231F1F"/>
                <w:spacing w:val="-14"/>
                <w:w w:val="110"/>
                <w:sz w:val="22"/>
              </w:rPr>
              <w:t> </w:t>
            </w:r>
            <w:r>
              <w:rPr>
                <w:color w:val="231F1F"/>
                <w:w w:val="110"/>
                <w:sz w:val="22"/>
              </w:rPr>
              <w:t>con</w:t>
            </w:r>
            <w:r>
              <w:rPr>
                <w:color w:val="231F1F"/>
                <w:spacing w:val="-15"/>
                <w:w w:val="110"/>
                <w:sz w:val="22"/>
              </w:rPr>
              <w:t> </w:t>
            </w:r>
            <w:r>
              <w:rPr>
                <w:color w:val="231F1F"/>
                <w:w w:val="110"/>
                <w:sz w:val="22"/>
              </w:rPr>
              <w:t>los</w:t>
            </w:r>
            <w:r>
              <w:rPr>
                <w:color w:val="231F1F"/>
                <w:spacing w:val="-14"/>
                <w:w w:val="110"/>
                <w:sz w:val="22"/>
              </w:rPr>
              <w:t> </w:t>
            </w:r>
            <w:r>
              <w:rPr>
                <w:color w:val="231F1F"/>
                <w:w w:val="110"/>
                <w:sz w:val="22"/>
              </w:rPr>
              <w:t>bolos</w:t>
            </w:r>
            <w:r>
              <w:rPr>
                <w:color w:val="231F1F"/>
                <w:spacing w:val="-15"/>
                <w:w w:val="110"/>
                <w:sz w:val="22"/>
              </w:rPr>
              <w:t> </w:t>
            </w:r>
            <w:r>
              <w:rPr>
                <w:color w:val="231F1F"/>
                <w:w w:val="110"/>
                <w:sz w:val="22"/>
              </w:rPr>
              <w:t>intermitentes</w:t>
            </w:r>
            <w:r>
              <w:rPr>
                <w:color w:val="231F1F"/>
                <w:spacing w:val="-14"/>
                <w:w w:val="110"/>
                <w:sz w:val="22"/>
              </w:rPr>
              <w:t> </w:t>
            </w:r>
            <w:r>
              <w:rPr>
                <w:color w:val="231F1F"/>
                <w:w w:val="110"/>
                <w:sz w:val="22"/>
              </w:rPr>
              <w:t>administrados</w:t>
            </w:r>
            <w:r>
              <w:rPr>
                <w:color w:val="231F1F"/>
                <w:spacing w:val="-15"/>
                <w:w w:val="110"/>
                <w:sz w:val="22"/>
              </w:rPr>
              <w:t> </w:t>
            </w:r>
            <w:r>
              <w:rPr>
                <w:color w:val="231F1F"/>
                <w:w w:val="110"/>
                <w:sz w:val="22"/>
              </w:rPr>
              <w:t>por</w:t>
            </w:r>
            <w:r>
              <w:rPr>
                <w:color w:val="231F1F"/>
                <w:spacing w:val="-15"/>
                <w:w w:val="110"/>
                <w:sz w:val="22"/>
              </w:rPr>
              <w:t> </w:t>
            </w:r>
            <w:r>
              <w:rPr>
                <w:color w:val="231F1F"/>
                <w:w w:val="110"/>
                <w:sz w:val="22"/>
              </w:rPr>
              <w:t>perso- nal hospitalario, incrementa la satisfacción de la mujer en relación con el alivio del dolor (10).</w:t>
            </w:r>
          </w:p>
        </w:tc>
        <w:tc>
          <w:tcPr>
            <w:tcW w:w="1133" w:type="dxa"/>
          </w:tcPr>
          <w:p>
            <w:pPr>
              <w:pStyle w:val="TableParagraph"/>
              <w:spacing w:before="50"/>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3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7"/>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9" w:lineRule="auto" w:before="44"/>
              <w:ind w:right="155"/>
              <w:rPr>
                <w:sz w:val="22"/>
              </w:rPr>
            </w:pPr>
            <w:r>
              <w:rPr>
                <w:color w:val="231F1F"/>
                <w:w w:val="105"/>
                <w:sz w:val="22"/>
              </w:rPr>
              <w:t>Se</w:t>
            </w:r>
            <w:r>
              <w:rPr>
                <w:color w:val="231F1F"/>
                <w:w w:val="105"/>
                <w:sz w:val="22"/>
              </w:rPr>
              <w:t> recomienda</w:t>
            </w:r>
            <w:r>
              <w:rPr>
                <w:color w:val="231F1F"/>
                <w:w w:val="105"/>
                <w:sz w:val="22"/>
              </w:rPr>
              <w:t> la</w:t>
            </w:r>
            <w:r>
              <w:rPr>
                <w:color w:val="231F1F"/>
                <w:w w:val="105"/>
                <w:sz w:val="22"/>
              </w:rPr>
              <w:t> administración</w:t>
            </w:r>
            <w:r>
              <w:rPr>
                <w:color w:val="231F1F"/>
                <w:w w:val="105"/>
                <w:sz w:val="22"/>
              </w:rPr>
              <w:t> de</w:t>
            </w:r>
            <w:r>
              <w:rPr>
                <w:color w:val="231F1F"/>
                <w:w w:val="105"/>
                <w:sz w:val="22"/>
              </w:rPr>
              <w:t> PCEA.</w:t>
            </w:r>
            <w:r>
              <w:rPr>
                <w:color w:val="231F1F"/>
                <w:w w:val="105"/>
                <w:sz w:val="22"/>
              </w:rPr>
              <w:t> La</w:t>
            </w:r>
            <w:r>
              <w:rPr>
                <w:color w:val="231F1F"/>
                <w:w w:val="105"/>
                <w:sz w:val="22"/>
              </w:rPr>
              <w:t> PC</w:t>
            </w:r>
            <w:r>
              <w:rPr>
                <w:color w:val="231F1F"/>
                <w:w w:val="105"/>
                <w:sz w:val="22"/>
              </w:rPr>
              <w:t> y</w:t>
            </w:r>
            <w:r>
              <w:rPr>
                <w:color w:val="231F1F"/>
                <w:w w:val="105"/>
                <w:sz w:val="22"/>
              </w:rPr>
              <w:t> los</w:t>
            </w:r>
            <w:r>
              <w:rPr>
                <w:color w:val="231F1F"/>
                <w:w w:val="105"/>
                <w:sz w:val="22"/>
              </w:rPr>
              <w:t> bolos</w:t>
            </w:r>
            <w:r>
              <w:rPr>
                <w:color w:val="231F1F"/>
                <w:w w:val="105"/>
                <w:sz w:val="22"/>
              </w:rPr>
              <w:t> administrados</w:t>
            </w:r>
            <w:r>
              <w:rPr>
                <w:color w:val="231F1F"/>
                <w:w w:val="105"/>
                <w:sz w:val="22"/>
              </w:rPr>
              <w:t> por</w:t>
            </w:r>
            <w:r>
              <w:rPr>
                <w:color w:val="231F1F"/>
                <w:spacing w:val="80"/>
                <w:w w:val="105"/>
                <w:sz w:val="22"/>
              </w:rPr>
              <w:t> </w:t>
            </w:r>
            <w:r>
              <w:rPr>
                <w:color w:val="231F1F"/>
                <w:w w:val="105"/>
                <w:sz w:val="22"/>
              </w:rPr>
              <w:t>personal</w:t>
            </w:r>
            <w:r>
              <w:rPr>
                <w:color w:val="231F1F"/>
                <w:spacing w:val="2"/>
                <w:w w:val="105"/>
                <w:sz w:val="22"/>
              </w:rPr>
              <w:t> </w:t>
            </w:r>
            <w:r>
              <w:rPr>
                <w:color w:val="231F1F"/>
                <w:w w:val="105"/>
                <w:sz w:val="22"/>
              </w:rPr>
              <w:t>hospitalario</w:t>
            </w:r>
            <w:r>
              <w:rPr>
                <w:color w:val="231F1F"/>
                <w:spacing w:val="3"/>
                <w:w w:val="105"/>
                <w:sz w:val="22"/>
              </w:rPr>
              <w:t> </w:t>
            </w:r>
            <w:r>
              <w:rPr>
                <w:color w:val="231F1F"/>
                <w:w w:val="105"/>
                <w:sz w:val="22"/>
              </w:rPr>
              <w:t>son</w:t>
            </w:r>
            <w:r>
              <w:rPr>
                <w:color w:val="231F1F"/>
                <w:spacing w:val="5"/>
                <w:w w:val="105"/>
                <w:sz w:val="22"/>
              </w:rPr>
              <w:t> </w:t>
            </w:r>
            <w:r>
              <w:rPr>
                <w:color w:val="231F1F"/>
                <w:w w:val="105"/>
                <w:sz w:val="22"/>
              </w:rPr>
              <w:t>alternativas</w:t>
            </w:r>
            <w:r>
              <w:rPr>
                <w:color w:val="231F1F"/>
                <w:spacing w:val="4"/>
                <w:w w:val="105"/>
                <w:sz w:val="22"/>
              </w:rPr>
              <w:t> </w:t>
            </w:r>
            <w:r>
              <w:rPr>
                <w:color w:val="231F1F"/>
                <w:w w:val="105"/>
                <w:sz w:val="22"/>
              </w:rPr>
              <w:t>válidas</w:t>
            </w:r>
            <w:r>
              <w:rPr>
                <w:color w:val="231F1F"/>
                <w:spacing w:val="4"/>
                <w:w w:val="105"/>
                <w:sz w:val="22"/>
              </w:rPr>
              <w:t> </w:t>
            </w:r>
            <w:r>
              <w:rPr>
                <w:color w:val="231F1F"/>
                <w:w w:val="105"/>
                <w:sz w:val="22"/>
              </w:rPr>
              <w:t>en</w:t>
            </w:r>
            <w:r>
              <w:rPr>
                <w:color w:val="231F1F"/>
                <w:spacing w:val="4"/>
                <w:w w:val="105"/>
                <w:sz w:val="22"/>
              </w:rPr>
              <w:t> </w:t>
            </w:r>
            <w:r>
              <w:rPr>
                <w:color w:val="231F1F"/>
                <w:w w:val="105"/>
                <w:sz w:val="22"/>
              </w:rPr>
              <w:t>función</w:t>
            </w:r>
            <w:r>
              <w:rPr>
                <w:color w:val="231F1F"/>
                <w:spacing w:val="5"/>
                <w:w w:val="105"/>
                <w:sz w:val="22"/>
              </w:rPr>
              <w:t> </w:t>
            </w:r>
            <w:r>
              <w:rPr>
                <w:color w:val="231F1F"/>
                <w:w w:val="105"/>
                <w:sz w:val="22"/>
              </w:rPr>
              <w:t>de</w:t>
            </w:r>
            <w:r>
              <w:rPr>
                <w:color w:val="231F1F"/>
                <w:spacing w:val="3"/>
                <w:w w:val="105"/>
                <w:sz w:val="22"/>
              </w:rPr>
              <w:t> </w:t>
            </w:r>
            <w:r>
              <w:rPr>
                <w:color w:val="231F1F"/>
                <w:w w:val="105"/>
                <w:sz w:val="22"/>
              </w:rPr>
              <w:t>los</w:t>
            </w:r>
            <w:r>
              <w:rPr>
                <w:color w:val="231F1F"/>
                <w:spacing w:val="4"/>
                <w:w w:val="105"/>
                <w:sz w:val="22"/>
              </w:rPr>
              <w:t> </w:t>
            </w:r>
            <w:r>
              <w:rPr>
                <w:color w:val="231F1F"/>
                <w:w w:val="105"/>
                <w:sz w:val="22"/>
              </w:rPr>
              <w:t>diferentes</w:t>
            </w:r>
            <w:r>
              <w:rPr>
                <w:color w:val="231F1F"/>
                <w:spacing w:val="4"/>
                <w:w w:val="105"/>
                <w:sz w:val="22"/>
              </w:rPr>
              <w:t> </w:t>
            </w:r>
            <w:r>
              <w:rPr>
                <w:color w:val="231F1F"/>
                <w:spacing w:val="-2"/>
                <w:w w:val="105"/>
                <w:sz w:val="22"/>
              </w:rPr>
              <w:t>recursos.</w:t>
            </w:r>
          </w:p>
        </w:tc>
      </w:tr>
    </w:tbl>
    <w:p>
      <w:pPr>
        <w:pStyle w:val="TableParagraph"/>
        <w:spacing w:after="0" w:line="249" w:lineRule="auto"/>
        <w:rPr>
          <w:sz w:val="22"/>
        </w:rPr>
        <w:sectPr>
          <w:pgSz w:w="11900" w:h="16840"/>
          <w:pgMar w:header="0" w:footer="622" w:top="156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Vigilancia</w:t>
      </w:r>
      <w:r>
        <w:rPr>
          <w:color w:val="231F1F"/>
          <w:spacing w:val="43"/>
        </w:rPr>
        <w:t> </w:t>
      </w:r>
      <w:r>
        <w:rPr>
          <w:color w:val="231F1F"/>
          <w:spacing w:val="-2"/>
        </w:rPr>
        <w:t>materna</w:t>
      </w:r>
    </w:p>
    <w:p>
      <w:pPr>
        <w:pStyle w:val="BodyText"/>
        <w:spacing w:before="20"/>
        <w:rPr>
          <w:sz w:val="20"/>
        </w:rPr>
      </w:pPr>
      <w:r>
        <w:rPr>
          <w:sz w:val="20"/>
        </w:rPr>
        <mc:AlternateContent>
          <mc:Choice Requires="wps">
            <w:drawing>
              <wp:anchor distT="0" distB="0" distL="0" distR="0" allowOverlap="1" layoutInCell="1" locked="0" behindDoc="1" simplePos="0" relativeHeight="487628800">
                <wp:simplePos x="0" y="0"/>
                <wp:positionH relativeFrom="page">
                  <wp:posOffset>1082675</wp:posOffset>
                </wp:positionH>
                <wp:positionV relativeFrom="paragraph">
                  <wp:posOffset>177184</wp:posOffset>
                </wp:positionV>
                <wp:extent cx="5400040" cy="440055"/>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5400040" cy="440055"/>
                        </a:xfrm>
                        <a:prstGeom prst="rect">
                          <a:avLst/>
                        </a:prstGeom>
                        <a:ln w="6350">
                          <a:solidFill>
                            <a:srgbClr val="A30046"/>
                          </a:solidFill>
                          <a:prstDash val="solid"/>
                        </a:ln>
                      </wps:spPr>
                      <wps:txbx>
                        <w:txbxContent>
                          <w:p>
                            <w:pPr>
                              <w:pStyle w:val="BodyText"/>
                              <w:numPr>
                                <w:ilvl w:val="0"/>
                                <w:numId w:val="83"/>
                              </w:numPr>
                              <w:tabs>
                                <w:tab w:pos="323" w:val="left" w:leader="none"/>
                              </w:tabs>
                              <w:spacing w:line="240" w:lineRule="auto" w:before="46" w:after="0"/>
                              <w:ind w:left="323" w:right="176" w:hanging="219"/>
                              <w:jc w:val="left"/>
                            </w:pPr>
                            <w:r>
                              <w:rPr>
                                <w:color w:val="231F1F"/>
                              </w:rPr>
                              <w:t>¿Cuál</w:t>
                            </w:r>
                            <w:r>
                              <w:rPr>
                                <w:color w:val="231F1F"/>
                                <w:spacing w:val="31"/>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3"/>
                              </w:rPr>
                              <w:t> </w:t>
                            </w:r>
                            <w:r>
                              <w:rPr>
                                <w:color w:val="231F1F"/>
                              </w:rPr>
                              <w:t>vigilancia</w:t>
                            </w:r>
                            <w:r>
                              <w:rPr>
                                <w:color w:val="231F1F"/>
                                <w:spacing w:val="33"/>
                              </w:rPr>
                              <w:t> </w:t>
                            </w:r>
                            <w:r>
                              <w:rPr>
                                <w:color w:val="231F1F"/>
                              </w:rPr>
                              <w:t>materna</w:t>
                            </w:r>
                            <w:r>
                              <w:rPr>
                                <w:color w:val="231F1F"/>
                                <w:spacing w:val="33"/>
                              </w:rPr>
                              <w:t> </w:t>
                            </w:r>
                            <w:r>
                              <w:rPr>
                                <w:color w:val="231F1F"/>
                              </w:rPr>
                              <w:t>y</w:t>
                            </w:r>
                            <w:r>
                              <w:rPr>
                                <w:color w:val="231F1F"/>
                                <w:spacing w:val="31"/>
                              </w:rPr>
                              <w:t> </w:t>
                            </w:r>
                            <w:r>
                              <w:rPr>
                                <w:color w:val="231F1F"/>
                              </w:rPr>
                              <w:t>fetal</w:t>
                            </w:r>
                            <w:r>
                              <w:rPr>
                                <w:color w:val="231F1F"/>
                                <w:spacing w:val="33"/>
                              </w:rPr>
                              <w:t> </w:t>
                            </w:r>
                            <w:r>
                              <w:rPr>
                                <w:color w:val="231F1F"/>
                              </w:rPr>
                              <w:t>realizada</w:t>
                            </w:r>
                            <w:r>
                              <w:rPr>
                                <w:color w:val="231F1F"/>
                                <w:spacing w:val="33"/>
                              </w:rPr>
                              <w:t> </w:t>
                            </w:r>
                            <w:r>
                              <w:rPr>
                                <w:color w:val="231F1F"/>
                              </w:rPr>
                              <w:t>durante</w:t>
                            </w:r>
                            <w:r>
                              <w:rPr>
                                <w:color w:val="231F1F"/>
                                <w:spacing w:val="33"/>
                              </w:rPr>
                              <w:t> </w:t>
                            </w:r>
                            <w:r>
                              <w:rPr>
                                <w:color w:val="231F1F"/>
                              </w:rPr>
                              <w:t>el</w:t>
                            </w:r>
                            <w:r>
                              <w:rPr>
                                <w:color w:val="231F1F"/>
                                <w:spacing w:val="33"/>
                              </w:rPr>
                              <w:t> </w:t>
                            </w:r>
                            <w:r>
                              <w:rPr>
                                <w:color w:val="231F1F"/>
                              </w:rPr>
                              <w:t>estableci- </w:t>
                            </w:r>
                            <w:r>
                              <w:rPr>
                                <w:color w:val="231F1F"/>
                                <w:w w:val="110"/>
                              </w:rPr>
                              <w:t>miento y mantenimiento de la analgesia neuroaxial?</w:t>
                            </w:r>
                          </w:p>
                        </w:txbxContent>
                      </wps:txbx>
                      <wps:bodyPr wrap="square" lIns="0" tIns="0" rIns="0" bIns="0" rtlCol="0">
                        <a:noAutofit/>
                      </wps:bodyPr>
                    </wps:wsp>
                  </a:graphicData>
                </a:graphic>
              </wp:anchor>
            </w:drawing>
          </mc:Choice>
          <mc:Fallback>
            <w:pict>
              <v:shape style="position:absolute;margin-left:85.25pt;margin-top:13.951563pt;width:425.2pt;height:34.65pt;mso-position-horizontal-relative:page;mso-position-vertical-relative:paragraph;z-index:-15687680;mso-wrap-distance-left:0;mso-wrap-distance-right:0" type="#_x0000_t202" id="docshape131" filled="false" stroked="true" strokeweight=".5pt" strokecolor="#a30046">
                <v:textbox inset="0,0,0,0">
                  <w:txbxContent>
                    <w:p>
                      <w:pPr>
                        <w:pStyle w:val="BodyText"/>
                        <w:numPr>
                          <w:ilvl w:val="0"/>
                          <w:numId w:val="83"/>
                        </w:numPr>
                        <w:tabs>
                          <w:tab w:pos="323" w:val="left" w:leader="none"/>
                        </w:tabs>
                        <w:spacing w:line="240" w:lineRule="auto" w:before="46" w:after="0"/>
                        <w:ind w:left="323" w:right="176" w:hanging="219"/>
                        <w:jc w:val="left"/>
                      </w:pPr>
                      <w:r>
                        <w:rPr>
                          <w:color w:val="231F1F"/>
                        </w:rPr>
                        <w:t>¿Cuál</w:t>
                      </w:r>
                      <w:r>
                        <w:rPr>
                          <w:color w:val="231F1F"/>
                          <w:spacing w:val="31"/>
                        </w:rPr>
                        <w:t> </w:t>
                      </w:r>
                      <w:r>
                        <w:rPr>
                          <w:color w:val="231F1F"/>
                        </w:rPr>
                        <w:t>es</w:t>
                      </w:r>
                      <w:r>
                        <w:rPr>
                          <w:color w:val="231F1F"/>
                          <w:spacing w:val="33"/>
                        </w:rPr>
                        <w:t> </w:t>
                      </w:r>
                      <w:r>
                        <w:rPr>
                          <w:color w:val="231F1F"/>
                        </w:rPr>
                        <w:t>la</w:t>
                      </w:r>
                      <w:r>
                        <w:rPr>
                          <w:color w:val="231F1F"/>
                          <w:spacing w:val="33"/>
                        </w:rPr>
                        <w:t> </w:t>
                      </w:r>
                      <w:r>
                        <w:rPr>
                          <w:color w:val="231F1F"/>
                        </w:rPr>
                        <w:t>efectividad</w:t>
                      </w:r>
                      <w:r>
                        <w:rPr>
                          <w:color w:val="231F1F"/>
                          <w:spacing w:val="33"/>
                        </w:rPr>
                        <w:t> </w:t>
                      </w:r>
                      <w:r>
                        <w:rPr>
                          <w:color w:val="231F1F"/>
                        </w:rPr>
                        <w:t>de</w:t>
                      </w:r>
                      <w:r>
                        <w:rPr>
                          <w:color w:val="231F1F"/>
                          <w:spacing w:val="33"/>
                        </w:rPr>
                        <w:t> </w:t>
                      </w:r>
                      <w:r>
                        <w:rPr>
                          <w:color w:val="231F1F"/>
                        </w:rPr>
                        <w:t>la</w:t>
                      </w:r>
                      <w:r>
                        <w:rPr>
                          <w:color w:val="231F1F"/>
                          <w:spacing w:val="33"/>
                        </w:rPr>
                        <w:t> </w:t>
                      </w:r>
                      <w:r>
                        <w:rPr>
                          <w:color w:val="231F1F"/>
                        </w:rPr>
                        <w:t>vigilancia</w:t>
                      </w:r>
                      <w:r>
                        <w:rPr>
                          <w:color w:val="231F1F"/>
                          <w:spacing w:val="33"/>
                        </w:rPr>
                        <w:t> </w:t>
                      </w:r>
                      <w:r>
                        <w:rPr>
                          <w:color w:val="231F1F"/>
                        </w:rPr>
                        <w:t>materna</w:t>
                      </w:r>
                      <w:r>
                        <w:rPr>
                          <w:color w:val="231F1F"/>
                          <w:spacing w:val="33"/>
                        </w:rPr>
                        <w:t> </w:t>
                      </w:r>
                      <w:r>
                        <w:rPr>
                          <w:color w:val="231F1F"/>
                        </w:rPr>
                        <w:t>y</w:t>
                      </w:r>
                      <w:r>
                        <w:rPr>
                          <w:color w:val="231F1F"/>
                          <w:spacing w:val="31"/>
                        </w:rPr>
                        <w:t> </w:t>
                      </w:r>
                      <w:r>
                        <w:rPr>
                          <w:color w:val="231F1F"/>
                        </w:rPr>
                        <w:t>fetal</w:t>
                      </w:r>
                      <w:r>
                        <w:rPr>
                          <w:color w:val="231F1F"/>
                          <w:spacing w:val="33"/>
                        </w:rPr>
                        <w:t> </w:t>
                      </w:r>
                      <w:r>
                        <w:rPr>
                          <w:color w:val="231F1F"/>
                        </w:rPr>
                        <w:t>realizada</w:t>
                      </w:r>
                      <w:r>
                        <w:rPr>
                          <w:color w:val="231F1F"/>
                          <w:spacing w:val="33"/>
                        </w:rPr>
                        <w:t> </w:t>
                      </w:r>
                      <w:r>
                        <w:rPr>
                          <w:color w:val="231F1F"/>
                        </w:rPr>
                        <w:t>durante</w:t>
                      </w:r>
                      <w:r>
                        <w:rPr>
                          <w:color w:val="231F1F"/>
                          <w:spacing w:val="33"/>
                        </w:rPr>
                        <w:t> </w:t>
                      </w:r>
                      <w:r>
                        <w:rPr>
                          <w:color w:val="231F1F"/>
                        </w:rPr>
                        <w:t>el</w:t>
                      </w:r>
                      <w:r>
                        <w:rPr>
                          <w:color w:val="231F1F"/>
                          <w:spacing w:val="33"/>
                        </w:rPr>
                        <w:t> </w:t>
                      </w:r>
                      <w:r>
                        <w:rPr>
                          <w:color w:val="231F1F"/>
                        </w:rPr>
                        <w:t>estableci- </w:t>
                      </w:r>
                      <w:r>
                        <w:rPr>
                          <w:color w:val="231F1F"/>
                          <w:w w:val="110"/>
                        </w:rPr>
                        <w:t>miento y mantenimiento de la analgesia neuroaxial?</w:t>
                      </w:r>
                    </w:p>
                  </w:txbxContent>
                </v:textbox>
                <v:stroke dashstyle="solid"/>
                <w10:wrap type="topAndBottom"/>
              </v:shape>
            </w:pict>
          </mc:Fallback>
        </mc:AlternateContent>
      </w:r>
    </w:p>
    <w:p>
      <w:pPr>
        <w:pStyle w:val="BodyText"/>
        <w:spacing w:line="244" w:lineRule="auto" w:before="323"/>
        <w:ind w:left="282" w:right="120"/>
        <w:jc w:val="both"/>
      </w:pPr>
      <w:r>
        <w:rPr>
          <w:color w:val="231F1F"/>
          <w:w w:val="110"/>
        </w:rPr>
        <w:t>Uno</w:t>
      </w:r>
      <w:r>
        <w:rPr>
          <w:color w:val="231F1F"/>
          <w:spacing w:val="-13"/>
          <w:w w:val="110"/>
        </w:rPr>
        <w:t> </w:t>
      </w:r>
      <w:r>
        <w:rPr>
          <w:color w:val="231F1F"/>
          <w:w w:val="110"/>
        </w:rPr>
        <w:t>de</w:t>
      </w:r>
      <w:r>
        <w:rPr>
          <w:color w:val="231F1F"/>
          <w:spacing w:val="-13"/>
          <w:w w:val="110"/>
        </w:rPr>
        <w:t> </w:t>
      </w:r>
      <w:r>
        <w:rPr>
          <w:color w:val="231F1F"/>
          <w:w w:val="110"/>
        </w:rPr>
        <w:t>los</w:t>
      </w:r>
      <w:r>
        <w:rPr>
          <w:color w:val="231F1F"/>
          <w:spacing w:val="-14"/>
          <w:w w:val="110"/>
        </w:rPr>
        <w:t> </w:t>
      </w:r>
      <w:r>
        <w:rPr>
          <w:color w:val="231F1F"/>
          <w:w w:val="110"/>
        </w:rPr>
        <w:t>efectos</w:t>
      </w:r>
      <w:r>
        <w:rPr>
          <w:color w:val="231F1F"/>
          <w:spacing w:val="-13"/>
          <w:w w:val="110"/>
        </w:rPr>
        <w:t> </w:t>
      </w:r>
      <w:r>
        <w:rPr>
          <w:color w:val="231F1F"/>
          <w:w w:val="110"/>
        </w:rPr>
        <w:t>adversos</w:t>
      </w:r>
      <w:r>
        <w:rPr>
          <w:color w:val="231F1F"/>
          <w:spacing w:val="-12"/>
          <w:w w:val="110"/>
        </w:rPr>
        <w:t> </w:t>
      </w:r>
      <w:r>
        <w:rPr>
          <w:color w:val="231F1F"/>
          <w:w w:val="110"/>
        </w:rPr>
        <w:t>que</w:t>
      </w:r>
      <w:r>
        <w:rPr>
          <w:color w:val="231F1F"/>
          <w:spacing w:val="-13"/>
          <w:w w:val="110"/>
        </w:rPr>
        <w:t> </w:t>
      </w:r>
      <w:r>
        <w:rPr>
          <w:color w:val="231F1F"/>
          <w:w w:val="110"/>
        </w:rPr>
        <w:t>pueden</w:t>
      </w:r>
      <w:r>
        <w:rPr>
          <w:color w:val="231F1F"/>
          <w:spacing w:val="-13"/>
          <w:w w:val="110"/>
        </w:rPr>
        <w:t> </w:t>
      </w:r>
      <w:r>
        <w:rPr>
          <w:color w:val="231F1F"/>
          <w:w w:val="110"/>
        </w:rPr>
        <w:t>aparecer</w:t>
      </w:r>
      <w:r>
        <w:rPr>
          <w:color w:val="231F1F"/>
          <w:spacing w:val="-13"/>
          <w:w w:val="110"/>
        </w:rPr>
        <w:t> </w:t>
      </w:r>
      <w:r>
        <w:rPr>
          <w:color w:val="231F1F"/>
          <w:w w:val="110"/>
        </w:rPr>
        <w:t>durante</w:t>
      </w:r>
      <w:r>
        <w:rPr>
          <w:color w:val="231F1F"/>
          <w:spacing w:val="-13"/>
          <w:w w:val="110"/>
        </w:rPr>
        <w:t> </w:t>
      </w:r>
      <w:r>
        <w:rPr>
          <w:color w:val="231F1F"/>
          <w:w w:val="110"/>
        </w:rPr>
        <w:t>el</w:t>
      </w:r>
      <w:r>
        <w:rPr>
          <w:color w:val="231F1F"/>
          <w:spacing w:val="-14"/>
          <w:w w:val="110"/>
        </w:rPr>
        <w:t> </w:t>
      </w:r>
      <w:r>
        <w:rPr>
          <w:color w:val="231F1F"/>
          <w:w w:val="110"/>
        </w:rPr>
        <w:t>establecimiento</w:t>
      </w:r>
      <w:r>
        <w:rPr>
          <w:color w:val="231F1F"/>
          <w:spacing w:val="-14"/>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analge- sia neuroaxial es la hipotensión, fundamentalmente relacionada con regímenes de altas dosis.</w:t>
      </w:r>
      <w:r>
        <w:rPr>
          <w:color w:val="231F1F"/>
          <w:spacing w:val="-16"/>
          <w:w w:val="110"/>
        </w:rPr>
        <w:t> </w:t>
      </w:r>
      <w:r>
        <w:rPr>
          <w:color w:val="231F1F"/>
          <w:w w:val="110"/>
        </w:rPr>
        <w:t>Otros</w:t>
      </w:r>
      <w:r>
        <w:rPr>
          <w:color w:val="231F1F"/>
          <w:spacing w:val="-15"/>
          <w:w w:val="110"/>
        </w:rPr>
        <w:t> </w:t>
      </w:r>
      <w:r>
        <w:rPr>
          <w:color w:val="231F1F"/>
          <w:w w:val="110"/>
        </w:rPr>
        <w:t>efectos</w:t>
      </w:r>
      <w:r>
        <w:rPr>
          <w:color w:val="231F1F"/>
          <w:spacing w:val="-15"/>
          <w:w w:val="110"/>
        </w:rPr>
        <w:t> </w:t>
      </w:r>
      <w:r>
        <w:rPr>
          <w:color w:val="231F1F"/>
          <w:w w:val="110"/>
        </w:rPr>
        <w:t>adversos</w:t>
      </w:r>
      <w:r>
        <w:rPr>
          <w:color w:val="231F1F"/>
          <w:spacing w:val="-15"/>
          <w:w w:val="110"/>
        </w:rPr>
        <w:t> </w:t>
      </w:r>
      <w:r>
        <w:rPr>
          <w:color w:val="231F1F"/>
          <w:w w:val="110"/>
        </w:rPr>
        <w:t>posibles</w:t>
      </w:r>
      <w:r>
        <w:rPr>
          <w:color w:val="231F1F"/>
          <w:spacing w:val="-15"/>
          <w:w w:val="110"/>
        </w:rPr>
        <w:t> </w:t>
      </w:r>
      <w:r>
        <w:rPr>
          <w:color w:val="231F1F"/>
          <w:w w:val="110"/>
        </w:rPr>
        <w:t>como</w:t>
      </w:r>
      <w:r>
        <w:rPr>
          <w:color w:val="231F1F"/>
          <w:spacing w:val="-15"/>
          <w:w w:val="110"/>
        </w:rPr>
        <w:t> </w:t>
      </w:r>
      <w:r>
        <w:rPr>
          <w:color w:val="231F1F"/>
          <w:w w:val="110"/>
        </w:rPr>
        <w:t>el</w:t>
      </w:r>
      <w:r>
        <w:rPr>
          <w:color w:val="231F1F"/>
          <w:spacing w:val="-15"/>
          <w:w w:val="110"/>
        </w:rPr>
        <w:t> </w:t>
      </w:r>
      <w:r>
        <w:rPr>
          <w:color w:val="231F1F"/>
          <w:w w:val="110"/>
        </w:rPr>
        <w:t>prurito,</w:t>
      </w:r>
      <w:r>
        <w:rPr>
          <w:color w:val="231F1F"/>
          <w:spacing w:val="-15"/>
          <w:w w:val="110"/>
        </w:rPr>
        <w:t> </w:t>
      </w:r>
      <w:r>
        <w:rPr>
          <w:color w:val="231F1F"/>
          <w:w w:val="110"/>
        </w:rPr>
        <w:t>la</w:t>
      </w:r>
      <w:r>
        <w:rPr>
          <w:color w:val="231F1F"/>
          <w:spacing w:val="-16"/>
          <w:w w:val="110"/>
        </w:rPr>
        <w:t> </w:t>
      </w:r>
      <w:r>
        <w:rPr>
          <w:color w:val="231F1F"/>
          <w:w w:val="110"/>
        </w:rPr>
        <w:t>retención</w:t>
      </w:r>
      <w:r>
        <w:rPr>
          <w:color w:val="231F1F"/>
          <w:spacing w:val="-15"/>
          <w:w w:val="110"/>
        </w:rPr>
        <w:t> </w:t>
      </w:r>
      <w:r>
        <w:rPr>
          <w:color w:val="231F1F"/>
          <w:w w:val="110"/>
        </w:rPr>
        <w:t>urinaria</w:t>
      </w:r>
      <w:r>
        <w:rPr>
          <w:color w:val="231F1F"/>
          <w:spacing w:val="-15"/>
          <w:w w:val="110"/>
        </w:rPr>
        <w:t> </w:t>
      </w:r>
      <w:r>
        <w:rPr>
          <w:color w:val="231F1F"/>
          <w:w w:val="110"/>
        </w:rPr>
        <w:t>o</w:t>
      </w:r>
      <w:r>
        <w:rPr>
          <w:color w:val="231F1F"/>
          <w:spacing w:val="-15"/>
          <w:w w:val="110"/>
        </w:rPr>
        <w:t> </w:t>
      </w:r>
      <w:r>
        <w:rPr>
          <w:color w:val="231F1F"/>
          <w:w w:val="110"/>
        </w:rPr>
        <w:t>la</w:t>
      </w:r>
      <w:r>
        <w:rPr>
          <w:color w:val="231F1F"/>
          <w:spacing w:val="-15"/>
          <w:w w:val="110"/>
        </w:rPr>
        <w:t> </w:t>
      </w:r>
      <w:r>
        <w:rPr>
          <w:color w:val="231F1F"/>
          <w:w w:val="110"/>
        </w:rPr>
        <w:t>fiebre</w:t>
      </w:r>
      <w:r>
        <w:rPr>
          <w:color w:val="231F1F"/>
          <w:spacing w:val="-15"/>
          <w:w w:val="110"/>
        </w:rPr>
        <w:t> </w:t>
      </w:r>
      <w:r>
        <w:rPr>
          <w:color w:val="231F1F"/>
          <w:w w:val="110"/>
        </w:rPr>
        <w:t>son de aparición más tardía.</w:t>
      </w:r>
    </w:p>
    <w:p>
      <w:pPr>
        <w:pStyle w:val="BodyText"/>
        <w:spacing w:line="247" w:lineRule="auto" w:before="148"/>
        <w:ind w:left="281" w:right="122" w:firstLine="453"/>
        <w:jc w:val="both"/>
      </w:pPr>
      <w:r>
        <w:rPr>
          <w:color w:val="231F1F"/>
          <w:w w:val="105"/>
        </w:rPr>
        <w:t>Las</w:t>
      </w:r>
      <w:r>
        <w:rPr>
          <w:color w:val="231F1F"/>
          <w:w w:val="105"/>
        </w:rPr>
        <w:t> técnicas</w:t>
      </w:r>
      <w:r>
        <w:rPr>
          <w:color w:val="231F1F"/>
          <w:w w:val="105"/>
        </w:rPr>
        <w:t> anestésicas</w:t>
      </w:r>
      <w:r>
        <w:rPr>
          <w:color w:val="231F1F"/>
          <w:w w:val="105"/>
        </w:rPr>
        <w:t> intraoperatorias,</w:t>
      </w:r>
      <w:r>
        <w:rPr>
          <w:color w:val="231F1F"/>
          <w:w w:val="105"/>
        </w:rPr>
        <w:t> incluidas</w:t>
      </w:r>
      <w:r>
        <w:rPr>
          <w:color w:val="231F1F"/>
          <w:w w:val="105"/>
        </w:rPr>
        <w:t> las</w:t>
      </w:r>
      <w:r>
        <w:rPr>
          <w:color w:val="231F1F"/>
          <w:w w:val="105"/>
        </w:rPr>
        <w:t> neuroaxiales,</w:t>
      </w:r>
      <w:r>
        <w:rPr>
          <w:color w:val="231F1F"/>
          <w:w w:val="105"/>
        </w:rPr>
        <w:t> precisan</w:t>
      </w:r>
      <w:r>
        <w:rPr>
          <w:color w:val="231F1F"/>
          <w:w w:val="105"/>
        </w:rPr>
        <w:t> una monitorización</w:t>
      </w:r>
      <w:r>
        <w:rPr>
          <w:color w:val="231F1F"/>
          <w:w w:val="105"/>
        </w:rPr>
        <w:t> mínima</w:t>
      </w:r>
      <w:r>
        <w:rPr>
          <w:color w:val="231F1F"/>
          <w:w w:val="105"/>
        </w:rPr>
        <w:t> que</w:t>
      </w:r>
      <w:r>
        <w:rPr>
          <w:color w:val="231F1F"/>
          <w:w w:val="105"/>
        </w:rPr>
        <w:t> incluye</w:t>
      </w:r>
      <w:r>
        <w:rPr>
          <w:color w:val="231F1F"/>
          <w:w w:val="105"/>
        </w:rPr>
        <w:t> electrocardiograma</w:t>
      </w:r>
      <w:r>
        <w:rPr>
          <w:color w:val="231F1F"/>
          <w:w w:val="105"/>
        </w:rPr>
        <w:t> (ECG),</w:t>
      </w:r>
      <w:r>
        <w:rPr>
          <w:color w:val="231F1F"/>
          <w:w w:val="105"/>
        </w:rPr>
        <w:t> tensión</w:t>
      </w:r>
      <w:r>
        <w:rPr>
          <w:color w:val="231F1F"/>
          <w:w w:val="105"/>
        </w:rPr>
        <w:t> arterial,</w:t>
      </w:r>
      <w:r>
        <w:rPr>
          <w:color w:val="231F1F"/>
          <w:w w:val="105"/>
        </w:rPr>
        <w:t> saturación de oxígeno (SaO</w:t>
      </w:r>
      <w:r>
        <w:rPr>
          <w:color w:val="231F1F"/>
          <w:w w:val="105"/>
          <w:position w:val="-4"/>
          <w:sz w:val="12"/>
        </w:rPr>
        <w:t>2</w:t>
      </w:r>
      <w:r>
        <w:rPr>
          <w:color w:val="231F1F"/>
          <w:w w:val="105"/>
        </w:rPr>
        <w:t>) y temperatura corporal. Sin embargo, parece necesario conocer el tipo</w:t>
      </w:r>
      <w:r>
        <w:rPr>
          <w:color w:val="231F1F"/>
          <w:spacing w:val="80"/>
          <w:w w:val="105"/>
        </w:rPr>
        <w:t> </w:t>
      </w:r>
      <w:r>
        <w:rPr>
          <w:color w:val="231F1F"/>
          <w:w w:val="105"/>
        </w:rPr>
        <w:t>de monitorización adecuado y su efectividad cuando se emplean técnicas analgésicas du- rante el parto de una mujer sana.</w:t>
      </w:r>
    </w:p>
    <w:p>
      <w:pPr>
        <w:pStyle w:val="BodyText"/>
        <w:spacing w:before="158"/>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09"/>
        <w:ind w:left="283" w:right="1370"/>
        <w:jc w:val="both"/>
      </w:pPr>
      <w:r>
        <w:rPr>
          <w:color w:val="231F1F"/>
          <w:w w:val="105"/>
        </w:rPr>
        <w:t>La evidencia que responde a esta pregunta en la Guía NICE (10) son dos RS dirigidas a evaluar los efectos adversos y co-intervenciones debidas a la anal- gesia neuroaxial.(310;341)</w:t>
      </w:r>
    </w:p>
    <w:p>
      <w:pPr>
        <w:pStyle w:val="BodyText"/>
        <w:tabs>
          <w:tab w:pos="8114" w:val="left" w:leader="none"/>
        </w:tabs>
        <w:spacing w:line="249" w:lineRule="auto" w:before="100"/>
        <w:ind w:left="283" w:right="281" w:firstLine="453"/>
      </w:pPr>
      <w:r>
        <w:rPr>
          <w:color w:val="231F1F"/>
          <w:w w:val="110"/>
        </w:rPr>
        <w:t>La</w:t>
      </w:r>
      <w:r>
        <w:rPr>
          <w:color w:val="231F1F"/>
          <w:spacing w:val="-16"/>
          <w:w w:val="110"/>
        </w:rPr>
        <w:t> </w:t>
      </w:r>
      <w:r>
        <w:rPr>
          <w:color w:val="231F1F"/>
          <w:w w:val="110"/>
        </w:rPr>
        <w:t>primera</w:t>
      </w:r>
      <w:r>
        <w:rPr>
          <w:color w:val="231F1F"/>
          <w:spacing w:val="-13"/>
          <w:w w:val="110"/>
        </w:rPr>
        <w:t> </w:t>
      </w:r>
      <w:r>
        <w:rPr>
          <w:color w:val="231F1F"/>
          <w:w w:val="110"/>
        </w:rPr>
        <w:t>RS</w:t>
      </w:r>
      <w:r>
        <w:rPr>
          <w:color w:val="231F1F"/>
          <w:spacing w:val="-13"/>
          <w:w w:val="110"/>
        </w:rPr>
        <w:t> </w:t>
      </w:r>
      <w:r>
        <w:rPr>
          <w:color w:val="231F1F"/>
          <w:w w:val="110"/>
        </w:rPr>
        <w:t>(341),</w:t>
      </w:r>
      <w:r>
        <w:rPr>
          <w:color w:val="231F1F"/>
          <w:spacing w:val="-13"/>
          <w:w w:val="110"/>
        </w:rPr>
        <w:t> </w:t>
      </w:r>
      <w:r>
        <w:rPr>
          <w:color w:val="231F1F"/>
          <w:w w:val="110"/>
        </w:rPr>
        <w:t>reúne</w:t>
      </w:r>
      <w:r>
        <w:rPr>
          <w:color w:val="231F1F"/>
          <w:spacing w:val="-13"/>
          <w:w w:val="110"/>
        </w:rPr>
        <w:t> </w:t>
      </w:r>
      <w:r>
        <w:rPr>
          <w:color w:val="231F1F"/>
          <w:w w:val="110"/>
        </w:rPr>
        <w:t>diecinueve</w:t>
      </w:r>
      <w:r>
        <w:rPr>
          <w:color w:val="231F1F"/>
          <w:spacing w:val="-13"/>
          <w:w w:val="110"/>
        </w:rPr>
        <w:t> </w:t>
      </w:r>
      <w:r>
        <w:rPr>
          <w:color w:val="231F1F"/>
          <w:w w:val="110"/>
        </w:rPr>
        <w:t>ECAs</w:t>
      </w:r>
      <w:r>
        <w:rPr>
          <w:color w:val="231F1F"/>
          <w:spacing w:val="-13"/>
          <w:w w:val="110"/>
        </w:rPr>
        <w:t> </w:t>
      </w:r>
      <w:r>
        <w:rPr>
          <w:color w:val="231F1F"/>
          <w:w w:val="110"/>
        </w:rPr>
        <w:t>publicados</w:t>
      </w:r>
      <w:r>
        <w:rPr>
          <w:color w:val="231F1F"/>
          <w:spacing w:val="-13"/>
          <w:w w:val="110"/>
        </w:rPr>
        <w:t> </w:t>
      </w:r>
      <w:r>
        <w:rPr>
          <w:color w:val="231F1F"/>
          <w:w w:val="110"/>
        </w:rPr>
        <w:t>entre</w:t>
      </w:r>
      <w:r>
        <w:rPr>
          <w:color w:val="231F1F"/>
          <w:spacing w:val="-13"/>
          <w:w w:val="110"/>
        </w:rPr>
        <w:t> </w:t>
      </w:r>
      <w:r>
        <w:rPr>
          <w:color w:val="231F1F"/>
          <w:w w:val="110"/>
        </w:rPr>
        <w:t>1990</w:t>
      </w:r>
      <w:r>
        <w:rPr>
          <w:color w:val="231F1F"/>
          <w:spacing w:val="-13"/>
          <w:w w:val="110"/>
        </w:rPr>
        <w:t> </w:t>
      </w:r>
      <w:r>
        <w:rPr>
          <w:color w:val="231F1F"/>
          <w:w w:val="110"/>
        </w:rPr>
        <w:t>y</w:t>
      </w:r>
      <w:r>
        <w:rPr>
          <w:color w:val="231F1F"/>
          <w:spacing w:val="60"/>
          <w:w w:val="110"/>
        </w:rPr>
        <w:t> </w:t>
      </w:r>
      <w:r>
        <w:rPr>
          <w:rFonts w:ascii="Arial MT" w:hAnsi="Arial MT"/>
          <w:color w:val="231F1F"/>
          <w:w w:val="110"/>
          <w:sz w:val="18"/>
        </w:rPr>
        <w:t>RS</w:t>
      </w:r>
      <w:r>
        <w:rPr>
          <w:rFonts w:ascii="Arial MT" w:hAnsi="Arial MT"/>
          <w:color w:val="231F1F"/>
          <w:spacing w:val="-14"/>
          <w:w w:val="110"/>
          <w:sz w:val="18"/>
        </w:rPr>
        <w:t> </w:t>
      </w:r>
      <w:r>
        <w:rPr>
          <w:rFonts w:ascii="Arial MT" w:hAnsi="Arial MT"/>
          <w:color w:val="231F1F"/>
          <w:w w:val="110"/>
          <w:sz w:val="18"/>
        </w:rPr>
        <w:t>de</w:t>
      </w:r>
      <w:r>
        <w:rPr>
          <w:rFonts w:ascii="Arial MT" w:hAnsi="Arial MT"/>
          <w:color w:val="231F1F"/>
          <w:spacing w:val="-14"/>
          <w:w w:val="110"/>
          <w:sz w:val="18"/>
        </w:rPr>
        <w:t> </w:t>
      </w:r>
      <w:r>
        <w:rPr>
          <w:rFonts w:ascii="Arial MT" w:hAnsi="Arial MT"/>
          <w:color w:val="231F1F"/>
          <w:w w:val="110"/>
          <w:sz w:val="18"/>
        </w:rPr>
        <w:t>ECAs </w:t>
      </w:r>
      <w:r>
        <w:rPr>
          <w:color w:val="231F1F"/>
          <w:w w:val="110"/>
        </w:rPr>
        <w:t>2000 que incluyen 2.708 mujeres y resume de forma narrativa los principales</w:t>
      </w:r>
      <w:r>
        <w:rPr>
          <w:color w:val="231F1F"/>
        </w:rPr>
        <w:tab/>
      </w:r>
      <w:r>
        <w:rPr>
          <w:rFonts w:ascii="Arial MT" w:hAnsi="Arial MT"/>
          <w:color w:val="231F1F"/>
          <w:spacing w:val="-6"/>
          <w:w w:val="110"/>
          <w:position w:val="4"/>
          <w:sz w:val="18"/>
        </w:rPr>
        <w:t>1+ </w:t>
      </w:r>
      <w:r>
        <w:rPr>
          <w:color w:val="231F1F"/>
          <w:w w:val="110"/>
        </w:rPr>
        <w:t>efectos</w:t>
      </w:r>
      <w:r>
        <w:rPr>
          <w:color w:val="231F1F"/>
          <w:spacing w:val="-3"/>
          <w:w w:val="110"/>
        </w:rPr>
        <w:t> </w:t>
      </w:r>
      <w:r>
        <w:rPr>
          <w:color w:val="231F1F"/>
          <w:w w:val="110"/>
        </w:rPr>
        <w:t>adversos</w:t>
      </w:r>
      <w:r>
        <w:rPr>
          <w:color w:val="231F1F"/>
          <w:spacing w:val="-3"/>
          <w:w w:val="110"/>
        </w:rPr>
        <w:t> </w:t>
      </w:r>
      <w:r>
        <w:rPr>
          <w:color w:val="231F1F"/>
          <w:w w:val="110"/>
        </w:rPr>
        <w:t>relacionados</w:t>
      </w:r>
      <w:r>
        <w:rPr>
          <w:color w:val="231F1F"/>
          <w:spacing w:val="-3"/>
          <w:w w:val="110"/>
        </w:rPr>
        <w:t> </w:t>
      </w:r>
      <w:r>
        <w:rPr>
          <w:color w:val="231F1F"/>
          <w:w w:val="110"/>
        </w:rPr>
        <w:t>con</w:t>
      </w:r>
      <w:r>
        <w:rPr>
          <w:color w:val="231F1F"/>
          <w:spacing w:val="-3"/>
          <w:w w:val="110"/>
        </w:rPr>
        <w:t> </w:t>
      </w:r>
      <w:r>
        <w:rPr>
          <w:color w:val="231F1F"/>
          <w:w w:val="110"/>
        </w:rPr>
        <w:t>la</w:t>
      </w:r>
      <w:r>
        <w:rPr>
          <w:color w:val="231F1F"/>
          <w:spacing w:val="-3"/>
          <w:w w:val="110"/>
        </w:rPr>
        <w:t> </w:t>
      </w:r>
      <w:r>
        <w:rPr>
          <w:color w:val="231F1F"/>
          <w:w w:val="110"/>
        </w:rPr>
        <w:t>analgesia</w:t>
      </w:r>
      <w:r>
        <w:rPr>
          <w:color w:val="231F1F"/>
          <w:spacing w:val="-3"/>
          <w:w w:val="110"/>
        </w:rPr>
        <w:t> </w:t>
      </w:r>
      <w:r>
        <w:rPr>
          <w:color w:val="231F1F"/>
          <w:w w:val="110"/>
        </w:rPr>
        <w:t>neuroaxial.</w:t>
      </w:r>
      <w:r>
        <w:rPr>
          <w:color w:val="231F1F"/>
          <w:spacing w:val="-4"/>
          <w:w w:val="110"/>
        </w:rPr>
        <w:t> </w:t>
      </w:r>
      <w:r>
        <w:rPr>
          <w:color w:val="231F1F"/>
          <w:w w:val="110"/>
        </w:rPr>
        <w:t>La</w:t>
      </w:r>
      <w:r>
        <w:rPr>
          <w:color w:val="231F1F"/>
          <w:spacing w:val="-3"/>
          <w:w w:val="110"/>
        </w:rPr>
        <w:t> </w:t>
      </w:r>
      <w:r>
        <w:rPr>
          <w:color w:val="231F1F"/>
          <w:w w:val="110"/>
        </w:rPr>
        <w:t>hipotensión</w:t>
      </w:r>
      <w:r>
        <w:rPr>
          <w:color w:val="231F1F"/>
          <w:spacing w:val="-3"/>
          <w:w w:val="110"/>
        </w:rPr>
        <w:t> </w:t>
      </w:r>
      <w:r>
        <w:rPr>
          <w:color w:val="231F1F"/>
          <w:w w:val="110"/>
        </w:rPr>
        <w:t>tuvo</w:t>
      </w:r>
    </w:p>
    <w:p>
      <w:pPr>
        <w:pStyle w:val="BodyText"/>
        <w:spacing w:line="249" w:lineRule="auto" w:before="4"/>
        <w:ind w:left="283" w:right="1359"/>
        <w:jc w:val="both"/>
      </w:pPr>
      <w:r>
        <w:rPr>
          <w:color w:val="231F1F"/>
          <w:w w:val="105"/>
        </w:rPr>
        <w:t>una</w:t>
      </w:r>
      <w:r>
        <w:rPr>
          <w:color w:val="231F1F"/>
          <w:spacing w:val="-3"/>
          <w:w w:val="105"/>
        </w:rPr>
        <w:t> </w:t>
      </w:r>
      <w:r>
        <w:rPr>
          <w:color w:val="231F1F"/>
          <w:w w:val="105"/>
        </w:rPr>
        <w:t>incidencia</w:t>
      </w:r>
      <w:r>
        <w:rPr>
          <w:color w:val="231F1F"/>
          <w:spacing w:val="-3"/>
          <w:w w:val="105"/>
        </w:rPr>
        <w:t> </w:t>
      </w:r>
      <w:r>
        <w:rPr>
          <w:color w:val="231F1F"/>
          <w:w w:val="105"/>
        </w:rPr>
        <w:t>media</w:t>
      </w:r>
      <w:r>
        <w:rPr>
          <w:color w:val="231F1F"/>
          <w:spacing w:val="-3"/>
          <w:w w:val="105"/>
        </w:rPr>
        <w:t> </w:t>
      </w:r>
      <w:r>
        <w:rPr>
          <w:color w:val="231F1F"/>
          <w:w w:val="105"/>
        </w:rPr>
        <w:t>de</w:t>
      </w:r>
      <w:r>
        <w:rPr>
          <w:color w:val="231F1F"/>
          <w:spacing w:val="-3"/>
          <w:w w:val="105"/>
        </w:rPr>
        <w:t> </w:t>
      </w:r>
      <w:r>
        <w:rPr>
          <w:color w:val="231F1F"/>
          <w:w w:val="105"/>
        </w:rPr>
        <w:t>10,5%</w:t>
      </w:r>
      <w:r>
        <w:rPr>
          <w:color w:val="231F1F"/>
          <w:spacing w:val="-3"/>
          <w:w w:val="105"/>
        </w:rPr>
        <w:t> </w:t>
      </w:r>
      <w:r>
        <w:rPr>
          <w:color w:val="231F1F"/>
          <w:w w:val="105"/>
        </w:rPr>
        <w:t>en</w:t>
      </w:r>
      <w:r>
        <w:rPr>
          <w:color w:val="231F1F"/>
          <w:spacing w:val="-3"/>
          <w:w w:val="105"/>
        </w:rPr>
        <w:t> </w:t>
      </w:r>
      <w:r>
        <w:rPr>
          <w:color w:val="231F1F"/>
          <w:w w:val="105"/>
        </w:rPr>
        <w:t>los</w:t>
      </w:r>
      <w:r>
        <w:rPr>
          <w:color w:val="231F1F"/>
          <w:spacing w:val="-3"/>
          <w:w w:val="105"/>
        </w:rPr>
        <w:t> </w:t>
      </w:r>
      <w:r>
        <w:rPr>
          <w:color w:val="231F1F"/>
          <w:w w:val="105"/>
        </w:rPr>
        <w:t>44</w:t>
      </w:r>
      <w:r>
        <w:rPr>
          <w:color w:val="231F1F"/>
          <w:spacing w:val="-3"/>
          <w:w w:val="105"/>
        </w:rPr>
        <w:t> </w:t>
      </w:r>
      <w:r>
        <w:rPr>
          <w:color w:val="231F1F"/>
          <w:w w:val="105"/>
        </w:rPr>
        <w:t>grupos</w:t>
      </w:r>
      <w:r>
        <w:rPr>
          <w:color w:val="231F1F"/>
          <w:spacing w:val="-3"/>
          <w:w w:val="105"/>
        </w:rPr>
        <w:t> </w:t>
      </w:r>
      <w:r>
        <w:rPr>
          <w:color w:val="231F1F"/>
          <w:w w:val="105"/>
        </w:rPr>
        <w:t>de</w:t>
      </w:r>
      <w:r>
        <w:rPr>
          <w:color w:val="231F1F"/>
          <w:spacing w:val="-3"/>
          <w:w w:val="105"/>
        </w:rPr>
        <w:t> </w:t>
      </w:r>
      <w:r>
        <w:rPr>
          <w:color w:val="231F1F"/>
          <w:w w:val="105"/>
        </w:rPr>
        <w:t>tratamiento</w:t>
      </w:r>
      <w:r>
        <w:rPr>
          <w:color w:val="231F1F"/>
          <w:spacing w:val="-3"/>
          <w:w w:val="105"/>
        </w:rPr>
        <w:t> </w:t>
      </w:r>
      <w:r>
        <w:rPr>
          <w:color w:val="231F1F"/>
          <w:w w:val="105"/>
        </w:rPr>
        <w:t>de</w:t>
      </w:r>
      <w:r>
        <w:rPr>
          <w:color w:val="231F1F"/>
          <w:spacing w:val="-3"/>
          <w:w w:val="105"/>
        </w:rPr>
        <w:t> </w:t>
      </w:r>
      <w:r>
        <w:rPr>
          <w:color w:val="231F1F"/>
          <w:w w:val="105"/>
        </w:rPr>
        <w:t>16</w:t>
      </w:r>
      <w:r>
        <w:rPr>
          <w:color w:val="231F1F"/>
          <w:spacing w:val="-3"/>
          <w:w w:val="105"/>
        </w:rPr>
        <w:t> </w:t>
      </w:r>
      <w:r>
        <w:rPr>
          <w:color w:val="231F1F"/>
          <w:w w:val="105"/>
        </w:rPr>
        <w:t>ensayos. La</w:t>
      </w:r>
      <w:r>
        <w:rPr>
          <w:color w:val="231F1F"/>
          <w:w w:val="105"/>
        </w:rPr>
        <w:t> retención</w:t>
      </w:r>
      <w:r>
        <w:rPr>
          <w:color w:val="231F1F"/>
          <w:w w:val="105"/>
        </w:rPr>
        <w:t> urinaria</w:t>
      </w:r>
      <w:r>
        <w:rPr>
          <w:color w:val="231F1F"/>
          <w:w w:val="105"/>
        </w:rPr>
        <w:t> tuvo</w:t>
      </w:r>
      <w:r>
        <w:rPr>
          <w:color w:val="231F1F"/>
          <w:w w:val="105"/>
        </w:rPr>
        <w:t> una</w:t>
      </w:r>
      <w:r>
        <w:rPr>
          <w:color w:val="231F1F"/>
          <w:w w:val="105"/>
        </w:rPr>
        <w:t> incidencia</w:t>
      </w:r>
      <w:r>
        <w:rPr>
          <w:color w:val="231F1F"/>
          <w:w w:val="105"/>
        </w:rPr>
        <w:t> media</w:t>
      </w:r>
      <w:r>
        <w:rPr>
          <w:color w:val="231F1F"/>
          <w:w w:val="105"/>
        </w:rPr>
        <w:t> de</w:t>
      </w:r>
      <w:r>
        <w:rPr>
          <w:color w:val="231F1F"/>
          <w:w w:val="105"/>
        </w:rPr>
        <w:t> 26,5%</w:t>
      </w:r>
      <w:r>
        <w:rPr>
          <w:color w:val="231F1F"/>
          <w:w w:val="105"/>
        </w:rPr>
        <w:t> en</w:t>
      </w:r>
      <w:r>
        <w:rPr>
          <w:color w:val="231F1F"/>
          <w:w w:val="105"/>
        </w:rPr>
        <w:t> tres</w:t>
      </w:r>
      <w:r>
        <w:rPr>
          <w:color w:val="231F1F"/>
          <w:w w:val="105"/>
        </w:rPr>
        <w:t> estudios, también se observó prurito en 17 estudios con una incidencia media de 62%, siendo</w:t>
      </w:r>
      <w:r>
        <w:rPr>
          <w:color w:val="231F1F"/>
          <w:w w:val="105"/>
        </w:rPr>
        <w:t> la</w:t>
      </w:r>
      <w:r>
        <w:rPr>
          <w:color w:val="231F1F"/>
          <w:w w:val="105"/>
        </w:rPr>
        <w:t> incidencia</w:t>
      </w:r>
      <w:r>
        <w:rPr>
          <w:color w:val="231F1F"/>
          <w:w w:val="105"/>
        </w:rPr>
        <w:t> de</w:t>
      </w:r>
      <w:r>
        <w:rPr>
          <w:color w:val="231F1F"/>
          <w:w w:val="105"/>
        </w:rPr>
        <w:t> prurito</w:t>
      </w:r>
      <w:r>
        <w:rPr>
          <w:color w:val="231F1F"/>
          <w:w w:val="105"/>
        </w:rPr>
        <w:t> mayor</w:t>
      </w:r>
      <w:r>
        <w:rPr>
          <w:color w:val="231F1F"/>
          <w:w w:val="105"/>
        </w:rPr>
        <w:t> cuando</w:t>
      </w:r>
      <w:r>
        <w:rPr>
          <w:color w:val="231F1F"/>
          <w:w w:val="105"/>
        </w:rPr>
        <w:t> se</w:t>
      </w:r>
      <w:r>
        <w:rPr>
          <w:color w:val="231F1F"/>
          <w:w w:val="105"/>
        </w:rPr>
        <w:t> administraron</w:t>
      </w:r>
      <w:r>
        <w:rPr>
          <w:color w:val="231F1F"/>
          <w:w w:val="105"/>
        </w:rPr>
        <w:t> opioides</w:t>
      </w:r>
      <w:r>
        <w:rPr>
          <w:color w:val="231F1F"/>
          <w:w w:val="105"/>
        </w:rPr>
        <w:t> a mayores</w:t>
      </w:r>
      <w:r>
        <w:rPr>
          <w:color w:val="231F1F"/>
          <w:spacing w:val="-6"/>
          <w:w w:val="105"/>
        </w:rPr>
        <w:t> </w:t>
      </w:r>
      <w:r>
        <w:rPr>
          <w:color w:val="231F1F"/>
          <w:w w:val="105"/>
        </w:rPr>
        <w:t>dosis.</w:t>
      </w:r>
      <w:r>
        <w:rPr>
          <w:color w:val="231F1F"/>
          <w:spacing w:val="-6"/>
          <w:w w:val="105"/>
        </w:rPr>
        <w:t> </w:t>
      </w:r>
      <w:r>
        <w:rPr>
          <w:color w:val="231F1F"/>
          <w:w w:val="105"/>
        </w:rPr>
        <w:t>La</w:t>
      </w:r>
      <w:r>
        <w:rPr>
          <w:color w:val="231F1F"/>
          <w:spacing w:val="-6"/>
          <w:w w:val="105"/>
        </w:rPr>
        <w:t> </w:t>
      </w:r>
      <w:r>
        <w:rPr>
          <w:color w:val="231F1F"/>
          <w:w w:val="105"/>
        </w:rPr>
        <w:t>incidencia</w:t>
      </w:r>
      <w:r>
        <w:rPr>
          <w:color w:val="231F1F"/>
          <w:spacing w:val="-6"/>
          <w:w w:val="105"/>
        </w:rPr>
        <w:t> </w:t>
      </w:r>
      <w:r>
        <w:rPr>
          <w:color w:val="231F1F"/>
          <w:w w:val="105"/>
        </w:rPr>
        <w:t>del</w:t>
      </w:r>
      <w:r>
        <w:rPr>
          <w:color w:val="231F1F"/>
          <w:spacing w:val="-6"/>
          <w:w w:val="105"/>
        </w:rPr>
        <w:t> </w:t>
      </w:r>
      <w:r>
        <w:rPr>
          <w:color w:val="231F1F"/>
          <w:w w:val="105"/>
        </w:rPr>
        <w:t>bloqueo</w:t>
      </w:r>
      <w:r>
        <w:rPr>
          <w:color w:val="231F1F"/>
          <w:spacing w:val="-6"/>
          <w:w w:val="105"/>
        </w:rPr>
        <w:t> </w:t>
      </w:r>
      <w:r>
        <w:rPr>
          <w:color w:val="231F1F"/>
          <w:w w:val="105"/>
        </w:rPr>
        <w:t>motor</w:t>
      </w:r>
      <w:r>
        <w:rPr>
          <w:color w:val="231F1F"/>
          <w:spacing w:val="-6"/>
          <w:w w:val="105"/>
        </w:rPr>
        <w:t> </w:t>
      </w:r>
      <w:r>
        <w:rPr>
          <w:color w:val="231F1F"/>
          <w:w w:val="105"/>
        </w:rPr>
        <w:t>fue</w:t>
      </w:r>
      <w:r>
        <w:rPr>
          <w:color w:val="231F1F"/>
          <w:spacing w:val="-6"/>
          <w:w w:val="105"/>
        </w:rPr>
        <w:t> </w:t>
      </w:r>
      <w:r>
        <w:rPr>
          <w:color w:val="231F1F"/>
          <w:w w:val="105"/>
        </w:rPr>
        <w:t>del</w:t>
      </w:r>
      <w:r>
        <w:rPr>
          <w:color w:val="231F1F"/>
          <w:spacing w:val="-6"/>
          <w:w w:val="105"/>
        </w:rPr>
        <w:t> </w:t>
      </w:r>
      <w:r>
        <w:rPr>
          <w:color w:val="231F1F"/>
          <w:w w:val="105"/>
        </w:rPr>
        <w:t>13,3%</w:t>
      </w:r>
      <w:r>
        <w:rPr>
          <w:color w:val="231F1F"/>
          <w:spacing w:val="-6"/>
          <w:w w:val="105"/>
        </w:rPr>
        <w:t> </w:t>
      </w:r>
      <w:r>
        <w:rPr>
          <w:color w:val="231F1F"/>
          <w:w w:val="105"/>
        </w:rPr>
        <w:t>y</w:t>
      </w:r>
      <w:r>
        <w:rPr>
          <w:color w:val="231F1F"/>
          <w:spacing w:val="-6"/>
          <w:w w:val="105"/>
        </w:rPr>
        <w:t> </w:t>
      </w:r>
      <w:r>
        <w:rPr>
          <w:color w:val="231F1F"/>
          <w:w w:val="105"/>
        </w:rPr>
        <w:t>de</w:t>
      </w:r>
      <w:r>
        <w:rPr>
          <w:color w:val="231F1F"/>
          <w:spacing w:val="-6"/>
          <w:w w:val="105"/>
        </w:rPr>
        <w:t> </w:t>
      </w:r>
      <w:r>
        <w:rPr>
          <w:color w:val="231F1F"/>
          <w:w w:val="105"/>
        </w:rPr>
        <w:t>la</w:t>
      </w:r>
      <w:r>
        <w:rPr>
          <w:color w:val="231F1F"/>
          <w:spacing w:val="-6"/>
          <w:w w:val="105"/>
        </w:rPr>
        <w:t> </w:t>
      </w:r>
      <w:r>
        <w:rPr>
          <w:color w:val="231F1F"/>
          <w:w w:val="105"/>
        </w:rPr>
        <w:t>sedación un 21%.</w:t>
      </w:r>
    </w:p>
    <w:p>
      <w:pPr>
        <w:pStyle w:val="BodyText"/>
        <w:spacing w:line="244" w:lineRule="auto" w:before="53"/>
        <w:ind w:left="283" w:right="1362" w:firstLine="453"/>
        <w:jc w:val="both"/>
      </w:pPr>
      <w:r>
        <w:rPr>
          <w:color w:val="231F1F"/>
          <w:w w:val="105"/>
        </w:rPr>
        <w:t>La segunda RS (310) con un NE=1+ compara la analgesia epidural con</w:t>
      </w:r>
      <w:r>
        <w:rPr>
          <w:color w:val="231F1F"/>
          <w:spacing w:val="80"/>
          <w:w w:val="105"/>
        </w:rPr>
        <w:t> </w:t>
      </w:r>
      <w:r>
        <w:rPr>
          <w:color w:val="231F1F"/>
          <w:w w:val="105"/>
        </w:rPr>
        <w:t>la</w:t>
      </w:r>
      <w:r>
        <w:rPr>
          <w:color w:val="231F1F"/>
          <w:w w:val="105"/>
        </w:rPr>
        <w:t> no</w:t>
      </w:r>
      <w:r>
        <w:rPr>
          <w:color w:val="231F1F"/>
          <w:w w:val="105"/>
        </w:rPr>
        <w:t> epidural.</w:t>
      </w:r>
      <w:r>
        <w:rPr>
          <w:color w:val="231F1F"/>
          <w:w w:val="105"/>
        </w:rPr>
        <w:t> Realiza</w:t>
      </w:r>
      <w:r>
        <w:rPr>
          <w:color w:val="231F1F"/>
          <w:w w:val="105"/>
        </w:rPr>
        <w:t> un</w:t>
      </w:r>
      <w:r>
        <w:rPr>
          <w:color w:val="231F1F"/>
          <w:w w:val="105"/>
        </w:rPr>
        <w:t> metaanálisis</w:t>
      </w:r>
      <w:r>
        <w:rPr>
          <w:color w:val="231F1F"/>
          <w:w w:val="105"/>
        </w:rPr>
        <w:t> con</w:t>
      </w:r>
      <w:r>
        <w:rPr>
          <w:color w:val="231F1F"/>
          <w:w w:val="105"/>
        </w:rPr>
        <w:t> 18</w:t>
      </w:r>
      <w:r>
        <w:rPr>
          <w:color w:val="231F1F"/>
          <w:w w:val="105"/>
        </w:rPr>
        <w:t> estudios</w:t>
      </w:r>
      <w:r>
        <w:rPr>
          <w:color w:val="231F1F"/>
          <w:w w:val="105"/>
        </w:rPr>
        <w:t> (n=5.705</w:t>
      </w:r>
      <w:r>
        <w:rPr>
          <w:color w:val="231F1F"/>
          <w:w w:val="105"/>
        </w:rPr>
        <w:t> mujeres). Todos</w:t>
      </w:r>
      <w:r>
        <w:rPr>
          <w:color w:val="231F1F"/>
          <w:spacing w:val="-6"/>
          <w:w w:val="105"/>
        </w:rPr>
        <w:t> </w:t>
      </w:r>
      <w:r>
        <w:rPr>
          <w:color w:val="231F1F"/>
          <w:w w:val="105"/>
        </w:rPr>
        <w:t>ellos</w:t>
      </w:r>
      <w:r>
        <w:rPr>
          <w:color w:val="231F1F"/>
          <w:spacing w:val="-5"/>
          <w:w w:val="105"/>
        </w:rPr>
        <w:t> </w:t>
      </w:r>
      <w:r>
        <w:rPr>
          <w:color w:val="231F1F"/>
          <w:w w:val="105"/>
        </w:rPr>
        <w:t>incluyeron</w:t>
      </w:r>
      <w:r>
        <w:rPr>
          <w:color w:val="231F1F"/>
          <w:spacing w:val="-6"/>
          <w:w w:val="105"/>
        </w:rPr>
        <w:t> </w:t>
      </w:r>
      <w:r>
        <w:rPr>
          <w:color w:val="231F1F"/>
          <w:w w:val="105"/>
        </w:rPr>
        <w:t>a</w:t>
      </w:r>
      <w:r>
        <w:rPr>
          <w:color w:val="231F1F"/>
          <w:spacing w:val="-6"/>
          <w:w w:val="105"/>
        </w:rPr>
        <w:t> </w:t>
      </w:r>
      <w:r>
        <w:rPr>
          <w:color w:val="231F1F"/>
          <w:w w:val="105"/>
        </w:rPr>
        <w:t>mujeres</w:t>
      </w:r>
      <w:r>
        <w:rPr>
          <w:color w:val="231F1F"/>
          <w:spacing w:val="-6"/>
          <w:w w:val="105"/>
        </w:rPr>
        <w:t> </w:t>
      </w:r>
      <w:r>
        <w:rPr>
          <w:color w:val="231F1F"/>
          <w:w w:val="105"/>
        </w:rPr>
        <w:t>de</w:t>
      </w:r>
      <w:r>
        <w:rPr>
          <w:color w:val="231F1F"/>
          <w:spacing w:val="-6"/>
          <w:w w:val="105"/>
        </w:rPr>
        <w:t> </w:t>
      </w:r>
      <w:r>
        <w:rPr>
          <w:color w:val="231F1F"/>
          <w:w w:val="105"/>
        </w:rPr>
        <w:t>parto</w:t>
      </w:r>
      <w:r>
        <w:rPr>
          <w:color w:val="231F1F"/>
          <w:spacing w:val="-6"/>
          <w:w w:val="105"/>
        </w:rPr>
        <w:t> </w:t>
      </w:r>
      <w:r>
        <w:rPr>
          <w:color w:val="231F1F"/>
          <w:w w:val="105"/>
        </w:rPr>
        <w:t>con</w:t>
      </w:r>
      <w:r>
        <w:rPr>
          <w:color w:val="231F1F"/>
          <w:spacing w:val="-6"/>
          <w:w w:val="105"/>
        </w:rPr>
        <w:t> </w:t>
      </w:r>
      <w:r>
        <w:rPr>
          <w:color w:val="231F1F"/>
          <w:w w:val="105"/>
        </w:rPr>
        <w:t>más</w:t>
      </w:r>
      <w:r>
        <w:rPr>
          <w:color w:val="231F1F"/>
          <w:spacing w:val="-6"/>
          <w:w w:val="105"/>
        </w:rPr>
        <w:t> </w:t>
      </w:r>
      <w:r>
        <w:rPr>
          <w:color w:val="231F1F"/>
          <w:w w:val="105"/>
        </w:rPr>
        <w:t>de</w:t>
      </w:r>
      <w:r>
        <w:rPr>
          <w:color w:val="231F1F"/>
          <w:spacing w:val="-6"/>
          <w:w w:val="105"/>
        </w:rPr>
        <w:t> </w:t>
      </w:r>
      <w:r>
        <w:rPr>
          <w:color w:val="231F1F"/>
          <w:w w:val="105"/>
        </w:rPr>
        <w:t>36</w:t>
      </w:r>
      <w:r>
        <w:rPr>
          <w:color w:val="231F1F"/>
          <w:spacing w:val="-6"/>
          <w:w w:val="105"/>
        </w:rPr>
        <w:t> </w:t>
      </w:r>
      <w:r>
        <w:rPr>
          <w:color w:val="231F1F"/>
          <w:w w:val="105"/>
        </w:rPr>
        <w:t>semanas</w:t>
      </w:r>
      <w:r>
        <w:rPr>
          <w:color w:val="231F1F"/>
          <w:spacing w:val="-6"/>
          <w:w w:val="105"/>
        </w:rPr>
        <w:t> </w:t>
      </w:r>
      <w:r>
        <w:rPr>
          <w:color w:val="231F1F"/>
          <w:w w:val="105"/>
        </w:rPr>
        <w:t>de</w:t>
      </w:r>
      <w:r>
        <w:rPr>
          <w:color w:val="231F1F"/>
          <w:spacing w:val="-6"/>
          <w:w w:val="105"/>
        </w:rPr>
        <w:t> </w:t>
      </w:r>
      <w:r>
        <w:rPr>
          <w:color w:val="231F1F"/>
          <w:w w:val="105"/>
        </w:rPr>
        <w:t>gestación y uso de diferentes tipos de analgesia neuroaxial.</w:t>
      </w:r>
    </w:p>
    <w:p>
      <w:pPr>
        <w:pStyle w:val="BodyText"/>
        <w:tabs>
          <w:tab w:pos="8114" w:val="left" w:leader="none"/>
        </w:tabs>
        <w:spacing w:line="249" w:lineRule="auto" w:before="101"/>
        <w:ind w:left="283" w:right="464" w:firstLine="453"/>
      </w:pPr>
      <w:r>
        <w:rPr>
          <w:color w:val="231F1F"/>
          <w:w w:val="105"/>
        </w:rPr>
        <w:t>Los</w:t>
      </w:r>
      <w:r>
        <w:rPr>
          <w:color w:val="231F1F"/>
          <w:spacing w:val="-6"/>
          <w:w w:val="105"/>
        </w:rPr>
        <w:t> </w:t>
      </w:r>
      <w:r>
        <w:rPr>
          <w:color w:val="231F1F"/>
          <w:w w:val="105"/>
        </w:rPr>
        <w:t>hallazgos</w:t>
      </w:r>
      <w:r>
        <w:rPr>
          <w:color w:val="231F1F"/>
          <w:spacing w:val="-6"/>
          <w:w w:val="105"/>
        </w:rPr>
        <w:t> </w:t>
      </w:r>
      <w:r>
        <w:rPr>
          <w:color w:val="231F1F"/>
          <w:w w:val="105"/>
        </w:rPr>
        <w:t>muestran</w:t>
      </w:r>
      <w:r>
        <w:rPr>
          <w:color w:val="231F1F"/>
          <w:spacing w:val="-7"/>
          <w:w w:val="105"/>
        </w:rPr>
        <w:t> </w:t>
      </w:r>
      <w:r>
        <w:rPr>
          <w:color w:val="231F1F"/>
          <w:w w:val="105"/>
        </w:rPr>
        <w:t>que</w:t>
      </w:r>
      <w:r>
        <w:rPr>
          <w:color w:val="231F1F"/>
          <w:spacing w:val="-7"/>
          <w:w w:val="105"/>
        </w:rPr>
        <w:t> </w:t>
      </w:r>
      <w:r>
        <w:rPr>
          <w:color w:val="231F1F"/>
          <w:w w:val="105"/>
        </w:rPr>
        <w:t>la</w:t>
      </w:r>
      <w:r>
        <w:rPr>
          <w:color w:val="231F1F"/>
          <w:spacing w:val="-6"/>
          <w:w w:val="105"/>
        </w:rPr>
        <w:t> </w:t>
      </w:r>
      <w:r>
        <w:rPr>
          <w:color w:val="231F1F"/>
          <w:w w:val="105"/>
        </w:rPr>
        <w:t>analgesia</w:t>
      </w:r>
      <w:r>
        <w:rPr>
          <w:color w:val="231F1F"/>
          <w:spacing w:val="-6"/>
          <w:w w:val="105"/>
        </w:rPr>
        <w:t> </w:t>
      </w:r>
      <w:r>
        <w:rPr>
          <w:color w:val="231F1F"/>
          <w:w w:val="105"/>
        </w:rPr>
        <w:t>epidural</w:t>
      </w:r>
      <w:r>
        <w:rPr>
          <w:color w:val="231F1F"/>
          <w:spacing w:val="-7"/>
          <w:w w:val="105"/>
        </w:rPr>
        <w:t> </w:t>
      </w:r>
      <w:r>
        <w:rPr>
          <w:color w:val="231F1F"/>
          <w:w w:val="105"/>
        </w:rPr>
        <w:t>respecto</w:t>
      </w:r>
      <w:r>
        <w:rPr>
          <w:color w:val="231F1F"/>
          <w:spacing w:val="-6"/>
          <w:w w:val="105"/>
        </w:rPr>
        <w:t> </w:t>
      </w:r>
      <w:r>
        <w:rPr>
          <w:color w:val="231F1F"/>
          <w:w w:val="105"/>
        </w:rPr>
        <w:t>de</w:t>
      </w:r>
      <w:r>
        <w:rPr>
          <w:color w:val="231F1F"/>
          <w:spacing w:val="-7"/>
          <w:w w:val="105"/>
        </w:rPr>
        <w:t> </w:t>
      </w:r>
      <w:r>
        <w:rPr>
          <w:color w:val="231F1F"/>
          <w:w w:val="105"/>
        </w:rPr>
        <w:t>la</w:t>
      </w:r>
      <w:r>
        <w:rPr>
          <w:color w:val="231F1F"/>
          <w:spacing w:val="-6"/>
          <w:w w:val="105"/>
        </w:rPr>
        <w:t> </w:t>
      </w:r>
      <w:r>
        <w:rPr>
          <w:color w:val="231F1F"/>
          <w:w w:val="105"/>
        </w:rPr>
        <w:t>no</w:t>
      </w:r>
      <w:r>
        <w:rPr>
          <w:color w:val="231F1F"/>
          <w:spacing w:val="-6"/>
          <w:w w:val="105"/>
        </w:rPr>
        <w:t> </w:t>
      </w:r>
      <w:r>
        <w:rPr>
          <w:color w:val="231F1F"/>
          <w:w w:val="105"/>
        </w:rPr>
        <w:t>epi-</w:t>
      </w:r>
      <w:r>
        <w:rPr>
          <w:color w:val="231F1F"/>
          <w:spacing w:val="71"/>
          <w:w w:val="105"/>
        </w:rPr>
        <w:t> </w:t>
      </w:r>
      <w:r>
        <w:rPr>
          <w:rFonts w:ascii="Arial MT" w:hAnsi="Arial MT"/>
          <w:color w:val="231F1F"/>
          <w:w w:val="105"/>
          <w:sz w:val="18"/>
        </w:rPr>
        <w:t>RS de ECAs </w:t>
      </w:r>
      <w:r>
        <w:rPr>
          <w:color w:val="231F1F"/>
          <w:w w:val="105"/>
        </w:rPr>
        <w:t>dural se asocia con un incremento significativo de los siguientes efectos ad-</w:t>
      </w:r>
      <w:r>
        <w:rPr>
          <w:color w:val="231F1F"/>
        </w:rPr>
        <w:tab/>
      </w:r>
      <w:r>
        <w:rPr>
          <w:rFonts w:ascii="Arial MT" w:hAnsi="Arial MT"/>
          <w:color w:val="231F1F"/>
          <w:spacing w:val="-6"/>
          <w:w w:val="105"/>
          <w:position w:val="4"/>
          <w:sz w:val="18"/>
        </w:rPr>
        <w:t>1+ </w:t>
      </w:r>
      <w:r>
        <w:rPr>
          <w:color w:val="231F1F"/>
          <w:w w:val="105"/>
        </w:rPr>
        <w:t>versos: hipotensión materna (6 estudios): RR 58,49 [IC 95% 21,29 a 160,66],</w:t>
      </w:r>
    </w:p>
    <w:p>
      <w:pPr>
        <w:pStyle w:val="BodyText"/>
        <w:spacing w:line="247" w:lineRule="exact"/>
        <w:ind w:left="283"/>
        <w:jc w:val="both"/>
      </w:pPr>
      <w:r>
        <w:rPr>
          <w:color w:val="231F1F"/>
          <w:w w:val="105"/>
        </w:rPr>
        <w:t>fiebre</w:t>
      </w:r>
      <w:r>
        <w:rPr>
          <w:color w:val="231F1F"/>
          <w:spacing w:val="-7"/>
          <w:w w:val="105"/>
        </w:rPr>
        <w:t> </w:t>
      </w:r>
      <w:r>
        <w:rPr>
          <w:color w:val="231F1F"/>
          <w:w w:val="105"/>
        </w:rPr>
        <w:t>materna</w:t>
      </w:r>
      <w:r>
        <w:rPr>
          <w:color w:val="231F1F"/>
          <w:spacing w:val="-7"/>
          <w:w w:val="105"/>
        </w:rPr>
        <w:t> </w:t>
      </w:r>
      <w:r>
        <w:rPr>
          <w:color w:val="231F1F"/>
          <w:w w:val="105"/>
        </w:rPr>
        <w:t>&gt;38</w:t>
      </w:r>
      <w:r>
        <w:rPr>
          <w:color w:val="231F1F"/>
          <w:spacing w:val="-9"/>
          <w:w w:val="105"/>
        </w:rPr>
        <w:t> </w:t>
      </w:r>
      <w:r>
        <w:rPr>
          <w:color w:val="231F1F"/>
          <w:w w:val="105"/>
        </w:rPr>
        <w:t>ºC</w:t>
      </w:r>
      <w:r>
        <w:rPr>
          <w:color w:val="231F1F"/>
          <w:spacing w:val="-5"/>
          <w:w w:val="105"/>
        </w:rPr>
        <w:t> </w:t>
      </w:r>
      <w:r>
        <w:rPr>
          <w:color w:val="231F1F"/>
          <w:w w:val="105"/>
        </w:rPr>
        <w:t>(2</w:t>
      </w:r>
      <w:r>
        <w:rPr>
          <w:color w:val="231F1F"/>
          <w:spacing w:val="-7"/>
          <w:w w:val="105"/>
        </w:rPr>
        <w:t> </w:t>
      </w:r>
      <w:r>
        <w:rPr>
          <w:color w:val="231F1F"/>
          <w:w w:val="105"/>
        </w:rPr>
        <w:t>estudios):</w:t>
      </w:r>
      <w:r>
        <w:rPr>
          <w:color w:val="231F1F"/>
          <w:spacing w:val="-5"/>
          <w:w w:val="105"/>
        </w:rPr>
        <w:t> </w:t>
      </w:r>
      <w:r>
        <w:rPr>
          <w:color w:val="231F1F"/>
          <w:w w:val="105"/>
        </w:rPr>
        <w:t>RR</w:t>
      </w:r>
      <w:r>
        <w:rPr>
          <w:color w:val="231F1F"/>
          <w:spacing w:val="-7"/>
          <w:w w:val="105"/>
        </w:rPr>
        <w:t> </w:t>
      </w:r>
      <w:r>
        <w:rPr>
          <w:color w:val="231F1F"/>
          <w:w w:val="105"/>
        </w:rPr>
        <w:t>4,37</w:t>
      </w:r>
      <w:r>
        <w:rPr>
          <w:color w:val="231F1F"/>
          <w:spacing w:val="-6"/>
          <w:w w:val="105"/>
        </w:rPr>
        <w:t> </w:t>
      </w:r>
      <w:r>
        <w:rPr>
          <w:color w:val="231F1F"/>
          <w:w w:val="105"/>
        </w:rPr>
        <w:t>[IC</w:t>
      </w:r>
      <w:r>
        <w:rPr>
          <w:color w:val="231F1F"/>
          <w:spacing w:val="-6"/>
          <w:w w:val="105"/>
        </w:rPr>
        <w:t> </w:t>
      </w:r>
      <w:r>
        <w:rPr>
          <w:color w:val="231F1F"/>
          <w:w w:val="105"/>
        </w:rPr>
        <w:t>95%</w:t>
      </w:r>
      <w:r>
        <w:rPr>
          <w:color w:val="231F1F"/>
          <w:spacing w:val="-7"/>
          <w:w w:val="105"/>
        </w:rPr>
        <w:t> </w:t>
      </w:r>
      <w:r>
        <w:rPr>
          <w:color w:val="231F1F"/>
          <w:w w:val="105"/>
        </w:rPr>
        <w:t>2,99</w:t>
      </w:r>
      <w:r>
        <w:rPr>
          <w:color w:val="231F1F"/>
          <w:spacing w:val="-5"/>
          <w:w w:val="105"/>
        </w:rPr>
        <w:t> </w:t>
      </w:r>
      <w:r>
        <w:rPr>
          <w:color w:val="231F1F"/>
          <w:w w:val="105"/>
        </w:rPr>
        <w:t>a</w:t>
      </w:r>
      <w:r>
        <w:rPr>
          <w:color w:val="231F1F"/>
          <w:spacing w:val="-8"/>
          <w:w w:val="105"/>
        </w:rPr>
        <w:t> </w:t>
      </w:r>
      <w:r>
        <w:rPr>
          <w:color w:val="231F1F"/>
          <w:w w:val="105"/>
        </w:rPr>
        <w:t>6,38]</w:t>
      </w:r>
      <w:r>
        <w:rPr>
          <w:color w:val="231F1F"/>
          <w:spacing w:val="-8"/>
          <w:w w:val="105"/>
        </w:rPr>
        <w:t> </w:t>
      </w:r>
      <w:r>
        <w:rPr>
          <w:color w:val="231F1F"/>
          <w:w w:val="105"/>
        </w:rPr>
        <w:t>y</w:t>
      </w:r>
      <w:r>
        <w:rPr>
          <w:color w:val="231F1F"/>
          <w:spacing w:val="-5"/>
          <w:w w:val="105"/>
        </w:rPr>
        <w:t> </w:t>
      </w:r>
      <w:r>
        <w:rPr>
          <w:color w:val="231F1F"/>
          <w:spacing w:val="-2"/>
          <w:w w:val="105"/>
        </w:rPr>
        <w:t>retención</w:t>
      </w:r>
    </w:p>
    <w:p>
      <w:pPr>
        <w:pStyle w:val="BodyText"/>
        <w:spacing w:line="244" w:lineRule="auto" w:before="11"/>
        <w:ind w:left="283" w:right="1365"/>
        <w:jc w:val="both"/>
      </w:pPr>
      <w:r>
        <w:rPr>
          <w:color w:val="231F1F"/>
          <w:w w:val="105"/>
        </w:rPr>
        <w:t>urinaria durante el parto (3 estudios) RR 17,05 [IC 95% 4,82 a 60,39]. No se encontraron diferencias significativas entre los grupos en náuseas, vómitos o somnolencia.</w:t>
      </w:r>
      <w:r>
        <w:rPr>
          <w:color w:val="231F1F"/>
          <w:w w:val="105"/>
        </w:rPr>
        <w:t> También</w:t>
      </w:r>
      <w:r>
        <w:rPr>
          <w:color w:val="231F1F"/>
          <w:w w:val="105"/>
        </w:rPr>
        <w:t> se</w:t>
      </w:r>
      <w:r>
        <w:rPr>
          <w:color w:val="231F1F"/>
          <w:w w:val="105"/>
        </w:rPr>
        <w:t> observó</w:t>
      </w:r>
      <w:r>
        <w:rPr>
          <w:color w:val="231F1F"/>
          <w:w w:val="105"/>
        </w:rPr>
        <w:t> que</w:t>
      </w:r>
      <w:r>
        <w:rPr>
          <w:color w:val="231F1F"/>
          <w:w w:val="105"/>
        </w:rPr>
        <w:t> la</w:t>
      </w:r>
      <w:r>
        <w:rPr>
          <w:color w:val="231F1F"/>
          <w:w w:val="105"/>
        </w:rPr>
        <w:t> analgesia</w:t>
      </w:r>
      <w:r>
        <w:rPr>
          <w:color w:val="231F1F"/>
          <w:w w:val="105"/>
        </w:rPr>
        <w:t> epidural</w:t>
      </w:r>
      <w:r>
        <w:rPr>
          <w:color w:val="231F1F"/>
          <w:w w:val="105"/>
        </w:rPr>
        <w:t> estaba</w:t>
      </w:r>
      <w:r>
        <w:rPr>
          <w:color w:val="231F1F"/>
          <w:w w:val="105"/>
        </w:rPr>
        <w:t> asociada con un incremento significativo en la duración de la segunda etapa del parto (10 estudios): DMP 16,24 minutos [IC 95% 6,71 a 25,78 minutos] y un incre-</w:t>
      </w:r>
    </w:p>
    <w:p>
      <w:pPr>
        <w:pStyle w:val="BodyText"/>
        <w:spacing w:before="10"/>
        <w:ind w:left="283"/>
        <w:jc w:val="both"/>
      </w:pPr>
      <w:r>
        <w:rPr>
          <w:color w:val="231F1F"/>
          <w:w w:val="105"/>
        </w:rPr>
        <w:t>mento</w:t>
      </w:r>
      <w:r>
        <w:rPr>
          <w:color w:val="231F1F"/>
          <w:spacing w:val="-4"/>
          <w:w w:val="105"/>
        </w:rPr>
        <w:t> </w:t>
      </w:r>
      <w:r>
        <w:rPr>
          <w:color w:val="231F1F"/>
          <w:w w:val="105"/>
        </w:rPr>
        <w:t>en el</w:t>
      </w:r>
      <w:r>
        <w:rPr>
          <w:color w:val="231F1F"/>
          <w:spacing w:val="-4"/>
          <w:w w:val="105"/>
        </w:rPr>
        <w:t> </w:t>
      </w:r>
      <w:r>
        <w:rPr>
          <w:color w:val="231F1F"/>
          <w:w w:val="105"/>
        </w:rPr>
        <w:t>uso</w:t>
      </w:r>
      <w:r>
        <w:rPr>
          <w:color w:val="231F1F"/>
          <w:spacing w:val="1"/>
          <w:w w:val="105"/>
        </w:rPr>
        <w:t> </w:t>
      </w:r>
      <w:r>
        <w:rPr>
          <w:color w:val="231F1F"/>
          <w:w w:val="105"/>
        </w:rPr>
        <w:t>de</w:t>
      </w:r>
      <w:r>
        <w:rPr>
          <w:color w:val="231F1F"/>
          <w:spacing w:val="-4"/>
          <w:w w:val="105"/>
        </w:rPr>
        <w:t> </w:t>
      </w:r>
      <w:r>
        <w:rPr>
          <w:color w:val="231F1F"/>
          <w:w w:val="105"/>
        </w:rPr>
        <w:t>oxitocina</w:t>
      </w:r>
      <w:r>
        <w:rPr>
          <w:color w:val="231F1F"/>
          <w:spacing w:val="-2"/>
          <w:w w:val="105"/>
        </w:rPr>
        <w:t> </w:t>
      </w:r>
      <w:r>
        <w:rPr>
          <w:color w:val="231F1F"/>
          <w:w w:val="105"/>
        </w:rPr>
        <w:t>(10</w:t>
      </w:r>
      <w:r>
        <w:rPr>
          <w:color w:val="231F1F"/>
          <w:spacing w:val="-2"/>
          <w:w w:val="105"/>
        </w:rPr>
        <w:t> </w:t>
      </w:r>
      <w:r>
        <w:rPr>
          <w:color w:val="231F1F"/>
          <w:w w:val="105"/>
        </w:rPr>
        <w:t>estudios):</w:t>
      </w:r>
      <w:r>
        <w:rPr>
          <w:color w:val="231F1F"/>
          <w:spacing w:val="1"/>
          <w:w w:val="105"/>
        </w:rPr>
        <w:t> </w:t>
      </w:r>
      <w:r>
        <w:rPr>
          <w:color w:val="231F1F"/>
          <w:w w:val="105"/>
        </w:rPr>
        <w:t>RR</w:t>
      </w:r>
      <w:r>
        <w:rPr>
          <w:color w:val="231F1F"/>
          <w:spacing w:val="-2"/>
          <w:w w:val="105"/>
        </w:rPr>
        <w:t> </w:t>
      </w:r>
      <w:r>
        <w:rPr>
          <w:color w:val="231F1F"/>
          <w:w w:val="105"/>
        </w:rPr>
        <w:t>1,19</w:t>
      </w:r>
      <w:r>
        <w:rPr>
          <w:color w:val="231F1F"/>
          <w:spacing w:val="-2"/>
          <w:w w:val="105"/>
        </w:rPr>
        <w:t> </w:t>
      </w:r>
      <w:r>
        <w:rPr>
          <w:color w:val="231F1F"/>
          <w:w w:val="105"/>
        </w:rPr>
        <w:t>[IC</w:t>
      </w:r>
      <w:r>
        <w:rPr>
          <w:color w:val="231F1F"/>
          <w:spacing w:val="-1"/>
          <w:w w:val="105"/>
        </w:rPr>
        <w:t> </w:t>
      </w:r>
      <w:r>
        <w:rPr>
          <w:color w:val="231F1F"/>
          <w:w w:val="105"/>
        </w:rPr>
        <w:t>95%</w:t>
      </w:r>
      <w:r>
        <w:rPr>
          <w:color w:val="231F1F"/>
          <w:spacing w:val="-2"/>
          <w:w w:val="105"/>
        </w:rPr>
        <w:t> </w:t>
      </w:r>
      <w:r>
        <w:rPr>
          <w:color w:val="231F1F"/>
          <w:w w:val="105"/>
        </w:rPr>
        <w:t>1,02</w:t>
      </w:r>
      <w:r>
        <w:rPr>
          <w:color w:val="231F1F"/>
          <w:spacing w:val="-2"/>
          <w:w w:val="105"/>
        </w:rPr>
        <w:t> </w:t>
      </w:r>
      <w:r>
        <w:rPr>
          <w:color w:val="231F1F"/>
          <w:w w:val="105"/>
        </w:rPr>
        <w:t>a</w:t>
      </w:r>
      <w:r>
        <w:rPr>
          <w:color w:val="231F1F"/>
          <w:spacing w:val="-2"/>
          <w:w w:val="105"/>
        </w:rPr>
        <w:t> 1,38].</w:t>
      </w:r>
    </w:p>
    <w:p>
      <w:pPr>
        <w:pStyle w:val="BodyText"/>
        <w:spacing w:after="0"/>
        <w:jc w:val="both"/>
        <w:sectPr>
          <w:pgSz w:w="11900" w:h="16840"/>
          <w:pgMar w:header="0" w:footer="622" w:top="1560" w:bottom="820" w:left="1417" w:right="1559"/>
        </w:sectPr>
      </w:pPr>
    </w:p>
    <w:p>
      <w:pPr>
        <w:pStyle w:val="BodyText"/>
        <w:tabs>
          <w:tab w:pos="7369" w:val="left" w:leader="none"/>
        </w:tabs>
        <w:spacing w:before="78"/>
        <w:ind w:right="568"/>
        <w:jc w:val="right"/>
        <w:rPr>
          <w:rFonts w:ascii="Arial MT" w:hAnsi="Arial MT"/>
          <w:sz w:val="18"/>
        </w:rPr>
      </w:pPr>
      <w:r>
        <w:rPr>
          <w:color w:val="231F1F"/>
        </w:rPr>
        <w:t>Estas</w:t>
      </w:r>
      <w:r>
        <w:rPr>
          <w:color w:val="231F1F"/>
          <w:spacing w:val="27"/>
        </w:rPr>
        <w:t> </w:t>
      </w:r>
      <w:r>
        <w:rPr>
          <w:color w:val="231F1F"/>
        </w:rPr>
        <w:t>RSs</w:t>
      </w:r>
      <w:r>
        <w:rPr>
          <w:color w:val="231F1F"/>
          <w:spacing w:val="29"/>
        </w:rPr>
        <w:t> </w:t>
      </w:r>
      <w:r>
        <w:rPr>
          <w:color w:val="231F1F"/>
        </w:rPr>
        <w:t>no</w:t>
      </w:r>
      <w:r>
        <w:rPr>
          <w:color w:val="231F1F"/>
          <w:spacing w:val="28"/>
        </w:rPr>
        <w:t> </w:t>
      </w:r>
      <w:r>
        <w:rPr>
          <w:color w:val="231F1F"/>
        </w:rPr>
        <w:t>evaluaron</w:t>
      </w:r>
      <w:r>
        <w:rPr>
          <w:color w:val="231F1F"/>
          <w:spacing w:val="29"/>
        </w:rPr>
        <w:t> </w:t>
      </w:r>
      <w:r>
        <w:rPr>
          <w:color w:val="231F1F"/>
        </w:rPr>
        <w:t>la</w:t>
      </w:r>
      <w:r>
        <w:rPr>
          <w:color w:val="231F1F"/>
          <w:spacing w:val="28"/>
        </w:rPr>
        <w:t> </w:t>
      </w:r>
      <w:r>
        <w:rPr>
          <w:color w:val="231F1F"/>
        </w:rPr>
        <w:t>efectividad</w:t>
      </w:r>
      <w:r>
        <w:rPr>
          <w:color w:val="231F1F"/>
          <w:spacing w:val="29"/>
        </w:rPr>
        <w:t> </w:t>
      </w:r>
      <w:r>
        <w:rPr>
          <w:color w:val="231F1F"/>
        </w:rPr>
        <w:t>de</w:t>
      </w:r>
      <w:r>
        <w:rPr>
          <w:color w:val="231F1F"/>
          <w:spacing w:val="29"/>
        </w:rPr>
        <w:t> </w:t>
      </w:r>
      <w:r>
        <w:rPr>
          <w:color w:val="231F1F"/>
        </w:rPr>
        <w:t>realizar</w:t>
      </w:r>
      <w:r>
        <w:rPr>
          <w:color w:val="231F1F"/>
          <w:spacing w:val="30"/>
        </w:rPr>
        <w:t> </w:t>
      </w:r>
      <w:r>
        <w:rPr>
          <w:color w:val="231F1F"/>
        </w:rPr>
        <w:t>exámenes</w:t>
      </w:r>
      <w:r>
        <w:rPr>
          <w:color w:val="231F1F"/>
          <w:spacing w:val="29"/>
        </w:rPr>
        <w:t> </w:t>
      </w:r>
      <w:r>
        <w:rPr>
          <w:color w:val="231F1F"/>
        </w:rPr>
        <w:t>maternos</w:t>
      </w:r>
      <w:r>
        <w:rPr>
          <w:color w:val="231F1F"/>
          <w:spacing w:val="29"/>
        </w:rPr>
        <w:t> </w:t>
      </w:r>
      <w:r>
        <w:rPr>
          <w:color w:val="231F1F"/>
          <w:spacing w:val="-5"/>
        </w:rPr>
        <w:t>en</w:t>
      </w:r>
      <w:r>
        <w:rPr>
          <w:color w:val="231F1F"/>
        </w:rPr>
        <w:tab/>
      </w:r>
      <w:r>
        <w:rPr>
          <w:rFonts w:ascii="Arial MT" w:hAnsi="Arial MT"/>
          <w:color w:val="231F1F"/>
          <w:spacing w:val="-5"/>
          <w:sz w:val="18"/>
        </w:rPr>
        <w:t>RS</w:t>
      </w:r>
    </w:p>
    <w:p>
      <w:pPr>
        <w:pStyle w:val="BodyText"/>
        <w:tabs>
          <w:tab w:pos="7850" w:val="left" w:leader="none"/>
        </w:tabs>
        <w:spacing w:before="21"/>
        <w:ind w:right="585"/>
        <w:jc w:val="right"/>
        <w:rPr>
          <w:rFonts w:ascii="Arial MT" w:hAnsi="Arial MT"/>
          <w:position w:val="4"/>
          <w:sz w:val="18"/>
        </w:rPr>
      </w:pPr>
      <w:r>
        <w:rPr>
          <w:color w:val="231F1F"/>
          <w:w w:val="105"/>
        </w:rPr>
        <w:t>mujeres</w:t>
      </w:r>
      <w:r>
        <w:rPr>
          <w:color w:val="231F1F"/>
          <w:spacing w:val="3"/>
          <w:w w:val="105"/>
        </w:rPr>
        <w:t> </w:t>
      </w:r>
      <w:r>
        <w:rPr>
          <w:color w:val="231F1F"/>
          <w:w w:val="105"/>
        </w:rPr>
        <w:t>de</w:t>
      </w:r>
      <w:r>
        <w:rPr>
          <w:color w:val="231F1F"/>
          <w:spacing w:val="3"/>
          <w:w w:val="105"/>
        </w:rPr>
        <w:t> </w:t>
      </w:r>
      <w:r>
        <w:rPr>
          <w:color w:val="231F1F"/>
          <w:w w:val="105"/>
        </w:rPr>
        <w:t>parto</w:t>
      </w:r>
      <w:r>
        <w:rPr>
          <w:color w:val="231F1F"/>
          <w:spacing w:val="4"/>
          <w:w w:val="105"/>
        </w:rPr>
        <w:t> </w:t>
      </w:r>
      <w:r>
        <w:rPr>
          <w:color w:val="231F1F"/>
          <w:w w:val="105"/>
        </w:rPr>
        <w:t>que</w:t>
      </w:r>
      <w:r>
        <w:rPr>
          <w:color w:val="231F1F"/>
          <w:spacing w:val="4"/>
          <w:w w:val="105"/>
        </w:rPr>
        <w:t> </w:t>
      </w:r>
      <w:r>
        <w:rPr>
          <w:color w:val="231F1F"/>
          <w:w w:val="105"/>
        </w:rPr>
        <w:t>utilizan</w:t>
      </w:r>
      <w:r>
        <w:rPr>
          <w:color w:val="231F1F"/>
          <w:spacing w:val="6"/>
          <w:w w:val="105"/>
        </w:rPr>
        <w:t> </w:t>
      </w:r>
      <w:r>
        <w:rPr>
          <w:color w:val="231F1F"/>
          <w:w w:val="105"/>
        </w:rPr>
        <w:t>analgesia</w:t>
      </w:r>
      <w:r>
        <w:rPr>
          <w:color w:val="231F1F"/>
          <w:spacing w:val="4"/>
          <w:w w:val="105"/>
        </w:rPr>
        <w:t> </w:t>
      </w:r>
      <w:r>
        <w:rPr>
          <w:color w:val="231F1F"/>
          <w:w w:val="105"/>
        </w:rPr>
        <w:t>epidural.</w:t>
      </w:r>
      <w:r>
        <w:rPr>
          <w:color w:val="231F1F"/>
          <w:spacing w:val="6"/>
          <w:w w:val="105"/>
        </w:rPr>
        <w:t> </w:t>
      </w:r>
      <w:r>
        <w:rPr>
          <w:color w:val="231F1F"/>
          <w:w w:val="105"/>
        </w:rPr>
        <w:t>Sin</w:t>
      </w:r>
      <w:r>
        <w:rPr>
          <w:color w:val="231F1F"/>
          <w:spacing w:val="3"/>
          <w:w w:val="105"/>
        </w:rPr>
        <w:t> </w:t>
      </w:r>
      <w:r>
        <w:rPr>
          <w:color w:val="231F1F"/>
          <w:w w:val="105"/>
        </w:rPr>
        <w:t>embargo,</w:t>
      </w:r>
      <w:r>
        <w:rPr>
          <w:color w:val="231F1F"/>
          <w:spacing w:val="4"/>
          <w:w w:val="105"/>
        </w:rPr>
        <w:t> </w:t>
      </w:r>
      <w:r>
        <w:rPr>
          <w:color w:val="231F1F"/>
          <w:w w:val="105"/>
        </w:rPr>
        <w:t>la</w:t>
      </w:r>
      <w:r>
        <w:rPr>
          <w:color w:val="231F1F"/>
          <w:spacing w:val="5"/>
          <w:w w:val="105"/>
        </w:rPr>
        <w:t> </w:t>
      </w:r>
      <w:r>
        <w:rPr>
          <w:color w:val="231F1F"/>
          <w:w w:val="105"/>
        </w:rPr>
        <w:t>guía</w:t>
      </w:r>
      <w:r>
        <w:rPr>
          <w:color w:val="231F1F"/>
          <w:spacing w:val="5"/>
          <w:w w:val="105"/>
        </w:rPr>
        <w:t> </w:t>
      </w:r>
      <w:r>
        <w:rPr>
          <w:color w:val="231F1F"/>
          <w:spacing w:val="-4"/>
          <w:w w:val="105"/>
        </w:rPr>
        <w:t>NICE</w:t>
      </w:r>
      <w:r>
        <w:rPr>
          <w:color w:val="231F1F"/>
        </w:rPr>
        <w:tab/>
      </w:r>
      <w:r>
        <w:rPr>
          <w:rFonts w:ascii="Arial MT" w:hAnsi="Arial MT"/>
          <w:color w:val="231F1F"/>
          <w:spacing w:val="-5"/>
          <w:w w:val="105"/>
          <w:position w:val="4"/>
          <w:sz w:val="18"/>
        </w:rPr>
        <w:t>1+</w:t>
      </w:r>
    </w:p>
    <w:p>
      <w:pPr>
        <w:pStyle w:val="BodyText"/>
        <w:spacing w:line="254" w:lineRule="auto" w:before="26"/>
        <w:ind w:left="287" w:right="1487"/>
        <w:jc w:val="both"/>
      </w:pPr>
      <w:r>
        <w:rPr>
          <w:color w:val="231F1F"/>
        </w:rPr>
        <w:t>(10) concluye que se debe observar a la madre y realizar controles de presión sanguínea,</w:t>
      </w:r>
      <w:r>
        <w:rPr>
          <w:color w:val="231F1F"/>
          <w:spacing w:val="40"/>
        </w:rPr>
        <w:t> </w:t>
      </w:r>
      <w:r>
        <w:rPr>
          <w:color w:val="231F1F"/>
        </w:rPr>
        <w:t>grado</w:t>
      </w:r>
      <w:r>
        <w:rPr>
          <w:color w:val="231F1F"/>
          <w:spacing w:val="40"/>
        </w:rPr>
        <w:t> </w:t>
      </w:r>
      <w:r>
        <w:rPr>
          <w:color w:val="231F1F"/>
        </w:rPr>
        <w:t>de</w:t>
      </w:r>
      <w:r>
        <w:rPr>
          <w:color w:val="231F1F"/>
          <w:spacing w:val="40"/>
        </w:rPr>
        <w:t> </w:t>
      </w:r>
      <w:r>
        <w:rPr>
          <w:color w:val="231F1F"/>
        </w:rPr>
        <w:t>analgesia</w:t>
      </w:r>
      <w:r>
        <w:rPr>
          <w:color w:val="231F1F"/>
          <w:spacing w:val="40"/>
        </w:rPr>
        <w:t> </w:t>
      </w:r>
      <w:r>
        <w:rPr>
          <w:color w:val="231F1F"/>
        </w:rPr>
        <w:t>y</w:t>
      </w:r>
      <w:r>
        <w:rPr>
          <w:color w:val="231F1F"/>
          <w:spacing w:val="40"/>
        </w:rPr>
        <w:t> </w:t>
      </w:r>
      <w:r>
        <w:rPr>
          <w:color w:val="231F1F"/>
        </w:rPr>
        <w:t>de</w:t>
      </w:r>
      <w:r>
        <w:rPr>
          <w:color w:val="231F1F"/>
          <w:spacing w:val="40"/>
        </w:rPr>
        <w:t> </w:t>
      </w:r>
      <w:r>
        <w:rPr>
          <w:color w:val="231F1F"/>
        </w:rPr>
        <w:t>bloqueo</w:t>
      </w:r>
      <w:r>
        <w:rPr>
          <w:color w:val="231F1F"/>
          <w:spacing w:val="40"/>
        </w:rPr>
        <w:t> </w:t>
      </w:r>
      <w:r>
        <w:rPr>
          <w:color w:val="231F1F"/>
        </w:rPr>
        <w:t>sensorial.</w:t>
      </w:r>
    </w:p>
    <w:p>
      <w:pPr>
        <w:pStyle w:val="BodyText"/>
        <w:spacing w:before="103"/>
      </w:pPr>
    </w:p>
    <w:p>
      <w:pPr>
        <w:pStyle w:val="Heading5"/>
      </w:pPr>
      <w:r>
        <w:rPr>
          <w:color w:val="231F1F"/>
          <w:spacing w:val="-2"/>
        </w:rPr>
        <w:t>MEFC</w:t>
      </w:r>
      <w:r>
        <w:rPr>
          <w:color w:val="231F1F"/>
          <w:spacing w:val="-8"/>
        </w:rPr>
        <w:t> </w:t>
      </w:r>
      <w:r>
        <w:rPr>
          <w:color w:val="231F1F"/>
          <w:spacing w:val="-2"/>
        </w:rPr>
        <w:t>(Monitorización</w:t>
      </w:r>
      <w:r>
        <w:rPr>
          <w:color w:val="231F1F"/>
          <w:spacing w:val="-1"/>
        </w:rPr>
        <w:t> </w:t>
      </w:r>
      <w:r>
        <w:rPr>
          <w:color w:val="231F1F"/>
          <w:spacing w:val="-2"/>
        </w:rPr>
        <w:t>Electrónica</w:t>
      </w:r>
      <w:r>
        <w:rPr>
          <w:color w:val="231F1F"/>
          <w:spacing w:val="1"/>
        </w:rPr>
        <w:t> </w:t>
      </w:r>
      <w:r>
        <w:rPr>
          <w:color w:val="231F1F"/>
          <w:spacing w:val="-2"/>
        </w:rPr>
        <w:t>Feta</w:t>
      </w:r>
      <w:r>
        <w:rPr>
          <w:color w:val="231F1F"/>
          <w:spacing w:val="-1"/>
        </w:rPr>
        <w:t> </w:t>
      </w:r>
      <w:r>
        <w:rPr>
          <w:color w:val="231F1F"/>
          <w:spacing w:val="-2"/>
        </w:rPr>
        <w:t>Continual)</w:t>
      </w:r>
      <w:r>
        <w:rPr>
          <w:color w:val="231F1F"/>
          <w:spacing w:val="-3"/>
        </w:rPr>
        <w:t> </w:t>
      </w:r>
      <w:r>
        <w:rPr>
          <w:color w:val="231F1F"/>
          <w:spacing w:val="-2"/>
        </w:rPr>
        <w:t>con</w:t>
      </w:r>
      <w:r>
        <w:rPr>
          <w:color w:val="231F1F"/>
        </w:rPr>
        <w:t> </w:t>
      </w:r>
      <w:r>
        <w:rPr>
          <w:color w:val="231F1F"/>
          <w:spacing w:val="-2"/>
        </w:rPr>
        <w:t>analgesia</w:t>
      </w:r>
      <w:r>
        <w:rPr>
          <w:color w:val="231F1F"/>
          <w:spacing w:val="-1"/>
        </w:rPr>
        <w:t> </w:t>
      </w:r>
      <w:r>
        <w:rPr>
          <w:color w:val="231F1F"/>
          <w:spacing w:val="-2"/>
        </w:rPr>
        <w:t>neuroaxial</w:t>
      </w:r>
    </w:p>
    <w:p>
      <w:pPr>
        <w:pStyle w:val="BodyText"/>
        <w:spacing w:line="249" w:lineRule="auto" w:before="238"/>
        <w:ind w:left="283" w:right="1370"/>
        <w:jc w:val="both"/>
      </w:pPr>
      <w:r>
        <w:rPr>
          <w:color w:val="231F1F"/>
          <w:w w:val="110"/>
        </w:rPr>
        <w:t>Para</w:t>
      </w:r>
      <w:r>
        <w:rPr>
          <w:color w:val="231F1F"/>
          <w:spacing w:val="-11"/>
          <w:w w:val="110"/>
        </w:rPr>
        <w:t> </w:t>
      </w:r>
      <w:r>
        <w:rPr>
          <w:color w:val="231F1F"/>
          <w:w w:val="110"/>
        </w:rPr>
        <w:t>responder</w:t>
      </w:r>
      <w:r>
        <w:rPr>
          <w:color w:val="231F1F"/>
          <w:spacing w:val="-11"/>
          <w:w w:val="110"/>
        </w:rPr>
        <w:t> </w:t>
      </w:r>
      <w:r>
        <w:rPr>
          <w:color w:val="231F1F"/>
          <w:w w:val="110"/>
        </w:rPr>
        <w:t>a</w:t>
      </w:r>
      <w:r>
        <w:rPr>
          <w:color w:val="231F1F"/>
          <w:spacing w:val="-11"/>
          <w:w w:val="110"/>
        </w:rPr>
        <w:t> </w:t>
      </w:r>
      <w:r>
        <w:rPr>
          <w:color w:val="231F1F"/>
          <w:w w:val="110"/>
        </w:rPr>
        <w:t>esta</w:t>
      </w:r>
      <w:r>
        <w:rPr>
          <w:color w:val="231F1F"/>
          <w:spacing w:val="-11"/>
          <w:w w:val="110"/>
        </w:rPr>
        <w:t> </w:t>
      </w:r>
      <w:r>
        <w:rPr>
          <w:color w:val="231F1F"/>
          <w:w w:val="110"/>
        </w:rPr>
        <w:t>pregunta</w:t>
      </w:r>
      <w:r>
        <w:rPr>
          <w:color w:val="231F1F"/>
          <w:spacing w:val="-11"/>
          <w:w w:val="110"/>
        </w:rPr>
        <w:t> </w:t>
      </w:r>
      <w:r>
        <w:rPr>
          <w:color w:val="231F1F"/>
          <w:w w:val="110"/>
        </w:rPr>
        <w:t>la</w:t>
      </w:r>
      <w:r>
        <w:rPr>
          <w:color w:val="231F1F"/>
          <w:spacing w:val="-11"/>
          <w:w w:val="110"/>
        </w:rPr>
        <w:t> </w:t>
      </w:r>
      <w:r>
        <w:rPr>
          <w:color w:val="231F1F"/>
          <w:w w:val="110"/>
        </w:rPr>
        <w:t>guía</w:t>
      </w:r>
      <w:r>
        <w:rPr>
          <w:color w:val="231F1F"/>
          <w:spacing w:val="-11"/>
          <w:w w:val="110"/>
        </w:rPr>
        <w:t> </w:t>
      </w:r>
      <w:r>
        <w:rPr>
          <w:color w:val="231F1F"/>
          <w:w w:val="110"/>
        </w:rPr>
        <w:t>NICE</w:t>
      </w:r>
      <w:r>
        <w:rPr>
          <w:color w:val="231F1F"/>
          <w:spacing w:val="-11"/>
          <w:w w:val="110"/>
        </w:rPr>
        <w:t> </w:t>
      </w:r>
      <w:r>
        <w:rPr>
          <w:color w:val="231F1F"/>
          <w:w w:val="110"/>
        </w:rPr>
        <w:t>(10)</w:t>
      </w:r>
      <w:r>
        <w:rPr>
          <w:color w:val="231F1F"/>
          <w:spacing w:val="-11"/>
          <w:w w:val="110"/>
        </w:rPr>
        <w:t> </w:t>
      </w:r>
      <w:r>
        <w:rPr>
          <w:color w:val="231F1F"/>
          <w:w w:val="110"/>
        </w:rPr>
        <w:t>incluye</w:t>
      </w:r>
      <w:r>
        <w:rPr>
          <w:color w:val="231F1F"/>
          <w:spacing w:val="-11"/>
          <w:w w:val="110"/>
        </w:rPr>
        <w:t> </w:t>
      </w:r>
      <w:r>
        <w:rPr>
          <w:color w:val="231F1F"/>
          <w:w w:val="110"/>
        </w:rPr>
        <w:t>estudios</w:t>
      </w:r>
      <w:r>
        <w:rPr>
          <w:color w:val="231F1F"/>
          <w:spacing w:val="-11"/>
          <w:w w:val="110"/>
        </w:rPr>
        <w:t> </w:t>
      </w:r>
      <w:r>
        <w:rPr>
          <w:color w:val="231F1F"/>
          <w:w w:val="110"/>
        </w:rPr>
        <w:t>que</w:t>
      </w:r>
      <w:r>
        <w:rPr>
          <w:color w:val="231F1F"/>
          <w:spacing w:val="-11"/>
          <w:w w:val="110"/>
        </w:rPr>
        <w:t> </w:t>
      </w:r>
      <w:r>
        <w:rPr>
          <w:color w:val="231F1F"/>
          <w:w w:val="110"/>
        </w:rPr>
        <w:t>valo- </w:t>
      </w:r>
      <w:r>
        <w:rPr>
          <w:color w:val="231F1F"/>
          <w:spacing w:val="-2"/>
          <w:w w:val="110"/>
        </w:rPr>
        <w:t>ran</w:t>
      </w:r>
      <w:r>
        <w:rPr>
          <w:color w:val="231F1F"/>
          <w:spacing w:val="-10"/>
          <w:w w:val="110"/>
        </w:rPr>
        <w:t> </w:t>
      </w:r>
      <w:r>
        <w:rPr>
          <w:color w:val="231F1F"/>
          <w:spacing w:val="-2"/>
          <w:w w:val="110"/>
        </w:rPr>
        <w:t>el</w:t>
      </w:r>
      <w:r>
        <w:rPr>
          <w:color w:val="231F1F"/>
          <w:spacing w:val="-10"/>
          <w:w w:val="110"/>
        </w:rPr>
        <w:t> </w:t>
      </w:r>
      <w:r>
        <w:rPr>
          <w:color w:val="231F1F"/>
          <w:spacing w:val="-2"/>
          <w:w w:val="110"/>
        </w:rPr>
        <w:t>efecto</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analgesia</w:t>
      </w:r>
      <w:r>
        <w:rPr>
          <w:color w:val="231F1F"/>
          <w:spacing w:val="-10"/>
          <w:w w:val="110"/>
        </w:rPr>
        <w:t> </w:t>
      </w:r>
      <w:r>
        <w:rPr>
          <w:color w:val="231F1F"/>
          <w:spacing w:val="-2"/>
          <w:w w:val="110"/>
        </w:rPr>
        <w:t>neuroaxial</w:t>
      </w:r>
      <w:r>
        <w:rPr>
          <w:color w:val="231F1F"/>
          <w:spacing w:val="-10"/>
          <w:w w:val="110"/>
        </w:rPr>
        <w:t> </w:t>
      </w:r>
      <w:r>
        <w:rPr>
          <w:color w:val="231F1F"/>
          <w:spacing w:val="-2"/>
          <w:w w:val="110"/>
        </w:rPr>
        <w:t>sobre</w:t>
      </w:r>
      <w:r>
        <w:rPr>
          <w:color w:val="231F1F"/>
          <w:spacing w:val="-10"/>
          <w:w w:val="110"/>
        </w:rPr>
        <w:t> </w:t>
      </w:r>
      <w:r>
        <w:rPr>
          <w:color w:val="231F1F"/>
          <w:spacing w:val="-2"/>
          <w:w w:val="110"/>
        </w:rPr>
        <w:t>las</w:t>
      </w:r>
      <w:r>
        <w:rPr>
          <w:color w:val="231F1F"/>
          <w:spacing w:val="-10"/>
          <w:w w:val="110"/>
        </w:rPr>
        <w:t> </w:t>
      </w:r>
      <w:r>
        <w:rPr>
          <w:color w:val="231F1F"/>
          <w:spacing w:val="-2"/>
          <w:w w:val="110"/>
        </w:rPr>
        <w:t>anomalías</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FCF.</w:t>
      </w:r>
      <w:r>
        <w:rPr>
          <w:color w:val="231F1F"/>
          <w:spacing w:val="-10"/>
          <w:w w:val="110"/>
        </w:rPr>
        <w:t> </w:t>
      </w:r>
      <w:r>
        <w:rPr>
          <w:color w:val="231F1F"/>
          <w:spacing w:val="-2"/>
          <w:w w:val="110"/>
        </w:rPr>
        <w:t>Por</w:t>
      </w:r>
      <w:r>
        <w:rPr>
          <w:color w:val="231F1F"/>
          <w:spacing w:val="-10"/>
          <w:w w:val="110"/>
        </w:rPr>
        <w:t> </w:t>
      </w:r>
      <w:r>
        <w:rPr>
          <w:color w:val="231F1F"/>
          <w:spacing w:val="-2"/>
          <w:w w:val="110"/>
        </w:rPr>
        <w:t>un </w:t>
      </w:r>
      <w:r>
        <w:rPr>
          <w:color w:val="231F1F"/>
          <w:w w:val="110"/>
        </w:rPr>
        <w:t>lado se compara la utilización de analgesia epidural a altas y a bajas dosis frente</w:t>
      </w:r>
      <w:r>
        <w:rPr>
          <w:color w:val="231F1F"/>
          <w:spacing w:val="-10"/>
          <w:w w:val="110"/>
        </w:rPr>
        <w:t> </w:t>
      </w:r>
      <w:r>
        <w:rPr>
          <w:color w:val="231F1F"/>
          <w:w w:val="110"/>
        </w:rPr>
        <w:t>a</w:t>
      </w:r>
      <w:r>
        <w:rPr>
          <w:color w:val="231F1F"/>
          <w:spacing w:val="-11"/>
          <w:w w:val="110"/>
        </w:rPr>
        <w:t> </w:t>
      </w:r>
      <w:r>
        <w:rPr>
          <w:color w:val="231F1F"/>
          <w:w w:val="110"/>
        </w:rPr>
        <w:t>no</w:t>
      </w:r>
      <w:r>
        <w:rPr>
          <w:color w:val="231F1F"/>
          <w:spacing w:val="-10"/>
          <w:w w:val="110"/>
        </w:rPr>
        <w:t> </w:t>
      </w:r>
      <w:r>
        <w:rPr>
          <w:color w:val="231F1F"/>
          <w:w w:val="110"/>
        </w:rPr>
        <w:t>epidural,</w:t>
      </w:r>
      <w:r>
        <w:rPr>
          <w:color w:val="231F1F"/>
          <w:spacing w:val="-11"/>
          <w:w w:val="110"/>
        </w:rPr>
        <w:t> </w:t>
      </w:r>
      <w:r>
        <w:rPr>
          <w:color w:val="231F1F"/>
          <w:w w:val="110"/>
        </w:rPr>
        <w:t>y</w:t>
      </w:r>
      <w:r>
        <w:rPr>
          <w:color w:val="231F1F"/>
          <w:spacing w:val="-10"/>
          <w:w w:val="110"/>
        </w:rPr>
        <w:t> </w:t>
      </w:r>
      <w:r>
        <w:rPr>
          <w:color w:val="231F1F"/>
          <w:w w:val="110"/>
        </w:rPr>
        <w:t>por</w:t>
      </w:r>
      <w:r>
        <w:rPr>
          <w:color w:val="231F1F"/>
          <w:spacing w:val="-11"/>
          <w:w w:val="110"/>
        </w:rPr>
        <w:t> </w:t>
      </w:r>
      <w:r>
        <w:rPr>
          <w:color w:val="231F1F"/>
          <w:w w:val="110"/>
        </w:rPr>
        <w:t>otro</w:t>
      </w:r>
      <w:r>
        <w:rPr>
          <w:color w:val="231F1F"/>
          <w:spacing w:val="-11"/>
          <w:w w:val="110"/>
        </w:rPr>
        <w:t> </w:t>
      </w:r>
      <w:r>
        <w:rPr>
          <w:color w:val="231F1F"/>
          <w:w w:val="110"/>
        </w:rPr>
        <w:t>lado</w:t>
      </w:r>
      <w:r>
        <w:rPr>
          <w:color w:val="231F1F"/>
          <w:spacing w:val="-10"/>
          <w:w w:val="110"/>
        </w:rPr>
        <w:t> </w:t>
      </w:r>
      <w:r>
        <w:rPr>
          <w:color w:val="231F1F"/>
          <w:w w:val="110"/>
        </w:rPr>
        <w:t>el</w:t>
      </w:r>
      <w:r>
        <w:rPr>
          <w:color w:val="231F1F"/>
          <w:spacing w:val="-11"/>
          <w:w w:val="110"/>
        </w:rPr>
        <w:t> </w:t>
      </w:r>
      <w:r>
        <w:rPr>
          <w:color w:val="231F1F"/>
          <w:w w:val="110"/>
        </w:rPr>
        <w:t>uso</w:t>
      </w:r>
      <w:r>
        <w:rPr>
          <w:color w:val="231F1F"/>
          <w:spacing w:val="-10"/>
          <w:w w:val="110"/>
        </w:rPr>
        <w:t> </w:t>
      </w:r>
      <w:r>
        <w:rPr>
          <w:color w:val="231F1F"/>
          <w:w w:val="110"/>
        </w:rPr>
        <w:t>de</w:t>
      </w:r>
      <w:r>
        <w:rPr>
          <w:color w:val="231F1F"/>
          <w:spacing w:val="-11"/>
          <w:w w:val="110"/>
        </w:rPr>
        <w:t> </w:t>
      </w:r>
      <w:r>
        <w:rPr>
          <w:color w:val="231F1F"/>
          <w:w w:val="110"/>
        </w:rPr>
        <w:t>opioides</w:t>
      </w:r>
      <w:r>
        <w:rPr>
          <w:color w:val="231F1F"/>
          <w:spacing w:val="-11"/>
          <w:w w:val="110"/>
        </w:rPr>
        <w:t> </w:t>
      </w:r>
      <w:r>
        <w:rPr>
          <w:color w:val="231F1F"/>
          <w:w w:val="110"/>
        </w:rPr>
        <w:t>intradurales</w:t>
      </w:r>
      <w:r>
        <w:rPr>
          <w:color w:val="231F1F"/>
          <w:spacing w:val="-11"/>
          <w:w w:val="110"/>
        </w:rPr>
        <w:t> </w:t>
      </w:r>
      <w:r>
        <w:rPr>
          <w:color w:val="231F1F"/>
          <w:w w:val="110"/>
        </w:rPr>
        <w:t>con</w:t>
      </w:r>
      <w:r>
        <w:rPr>
          <w:color w:val="231F1F"/>
          <w:spacing w:val="-10"/>
          <w:w w:val="110"/>
        </w:rPr>
        <w:t> </w:t>
      </w:r>
      <w:r>
        <w:rPr>
          <w:color w:val="231F1F"/>
          <w:w w:val="110"/>
        </w:rPr>
        <w:t>o</w:t>
      </w:r>
      <w:r>
        <w:rPr>
          <w:color w:val="231F1F"/>
          <w:spacing w:val="-10"/>
          <w:w w:val="110"/>
        </w:rPr>
        <w:t> </w:t>
      </w:r>
      <w:r>
        <w:rPr>
          <w:color w:val="231F1F"/>
          <w:w w:val="110"/>
        </w:rPr>
        <w:t>sin anestesicos locales frente a no utilizar opioides intradurales.</w:t>
      </w:r>
    </w:p>
    <w:p>
      <w:pPr>
        <w:pStyle w:val="BodyText"/>
        <w:spacing w:before="20"/>
      </w:pPr>
    </w:p>
    <w:p>
      <w:pPr>
        <w:spacing w:before="0"/>
        <w:ind w:left="283" w:right="0" w:firstLine="0"/>
        <w:jc w:val="left"/>
        <w:rPr>
          <w:i/>
          <w:sz w:val="22"/>
        </w:rPr>
      </w:pPr>
      <w:r>
        <w:rPr>
          <w:i/>
          <w:color w:val="231F1F"/>
          <w:spacing w:val="-2"/>
          <w:w w:val="105"/>
          <w:sz w:val="22"/>
        </w:rPr>
        <w:t>Analgesia</w:t>
      </w:r>
      <w:r>
        <w:rPr>
          <w:i/>
          <w:color w:val="231F1F"/>
          <w:spacing w:val="-10"/>
          <w:w w:val="105"/>
          <w:sz w:val="22"/>
        </w:rPr>
        <w:t> </w:t>
      </w:r>
      <w:r>
        <w:rPr>
          <w:i/>
          <w:color w:val="231F1F"/>
          <w:spacing w:val="-2"/>
          <w:w w:val="105"/>
          <w:sz w:val="22"/>
        </w:rPr>
        <w:t>epidural</w:t>
      </w:r>
      <w:r>
        <w:rPr>
          <w:i/>
          <w:color w:val="231F1F"/>
          <w:spacing w:val="-9"/>
          <w:w w:val="105"/>
          <w:sz w:val="22"/>
        </w:rPr>
        <w:t> </w:t>
      </w:r>
      <w:r>
        <w:rPr>
          <w:i/>
          <w:color w:val="231F1F"/>
          <w:spacing w:val="-2"/>
          <w:w w:val="105"/>
          <w:sz w:val="22"/>
        </w:rPr>
        <w:t>frente</w:t>
      </w:r>
      <w:r>
        <w:rPr>
          <w:i/>
          <w:color w:val="231F1F"/>
          <w:spacing w:val="-8"/>
          <w:w w:val="105"/>
          <w:sz w:val="22"/>
        </w:rPr>
        <w:t> </w:t>
      </w:r>
      <w:r>
        <w:rPr>
          <w:i/>
          <w:color w:val="231F1F"/>
          <w:spacing w:val="-2"/>
          <w:w w:val="105"/>
          <w:sz w:val="22"/>
        </w:rPr>
        <w:t>a</w:t>
      </w:r>
      <w:r>
        <w:rPr>
          <w:i/>
          <w:color w:val="231F1F"/>
          <w:spacing w:val="-10"/>
          <w:w w:val="105"/>
          <w:sz w:val="22"/>
        </w:rPr>
        <w:t> </w:t>
      </w:r>
      <w:r>
        <w:rPr>
          <w:i/>
          <w:color w:val="231F1F"/>
          <w:spacing w:val="-2"/>
          <w:w w:val="105"/>
          <w:sz w:val="22"/>
        </w:rPr>
        <w:t>analgesia</w:t>
      </w:r>
      <w:r>
        <w:rPr>
          <w:i/>
          <w:color w:val="231F1F"/>
          <w:spacing w:val="-10"/>
          <w:w w:val="105"/>
          <w:sz w:val="22"/>
        </w:rPr>
        <w:t> </w:t>
      </w:r>
      <w:r>
        <w:rPr>
          <w:i/>
          <w:color w:val="231F1F"/>
          <w:spacing w:val="-2"/>
          <w:w w:val="105"/>
          <w:sz w:val="22"/>
        </w:rPr>
        <w:t>no</w:t>
      </w:r>
      <w:r>
        <w:rPr>
          <w:i/>
          <w:color w:val="231F1F"/>
          <w:spacing w:val="-9"/>
          <w:w w:val="105"/>
          <w:sz w:val="22"/>
        </w:rPr>
        <w:t> </w:t>
      </w:r>
      <w:r>
        <w:rPr>
          <w:i/>
          <w:color w:val="231F1F"/>
          <w:spacing w:val="-2"/>
          <w:w w:val="105"/>
          <w:sz w:val="22"/>
        </w:rPr>
        <w:t>epidural</w:t>
      </w:r>
    </w:p>
    <w:p>
      <w:pPr>
        <w:pStyle w:val="BodyText"/>
        <w:spacing w:before="165"/>
        <w:ind w:left="283"/>
      </w:pPr>
      <w:r>
        <w:rPr>
          <w:color w:val="231F1F"/>
        </w:rPr>
        <w:t>(bajas</w:t>
      </w:r>
      <w:r>
        <w:rPr>
          <w:color w:val="231F1F"/>
          <w:spacing w:val="24"/>
        </w:rPr>
        <w:t> </w:t>
      </w:r>
      <w:r>
        <w:rPr>
          <w:color w:val="231F1F"/>
        </w:rPr>
        <w:t>dosis:</w:t>
      </w:r>
      <w:r>
        <w:rPr>
          <w:color w:val="231F1F"/>
          <w:spacing w:val="31"/>
        </w:rPr>
        <w:t> </w:t>
      </w:r>
      <w:r>
        <w:rPr>
          <w:color w:val="231F1F"/>
        </w:rPr>
        <w:t>definida</w:t>
      </w:r>
      <w:r>
        <w:rPr>
          <w:color w:val="231F1F"/>
          <w:spacing w:val="30"/>
        </w:rPr>
        <w:t> </w:t>
      </w:r>
      <w:r>
        <w:rPr>
          <w:color w:val="231F1F"/>
        </w:rPr>
        <w:t>como</w:t>
      </w:r>
      <w:r>
        <w:rPr>
          <w:color w:val="231F1F"/>
          <w:spacing w:val="29"/>
        </w:rPr>
        <w:t> </w:t>
      </w:r>
      <w:r>
        <w:rPr>
          <w:color w:val="231F1F"/>
        </w:rPr>
        <w:t>bupivacaina</w:t>
      </w:r>
      <w:r>
        <w:rPr>
          <w:color w:val="231F1F"/>
          <w:spacing w:val="30"/>
        </w:rPr>
        <w:t> </w:t>
      </w:r>
      <w:r>
        <w:rPr>
          <w:color w:val="231F1F"/>
        </w:rPr>
        <w:t>menor</w:t>
      </w:r>
      <w:r>
        <w:rPr>
          <w:color w:val="231F1F"/>
          <w:spacing w:val="30"/>
        </w:rPr>
        <w:t> </w:t>
      </w:r>
      <w:r>
        <w:rPr>
          <w:color w:val="231F1F"/>
        </w:rPr>
        <w:t>de</w:t>
      </w:r>
      <w:r>
        <w:rPr>
          <w:color w:val="231F1F"/>
          <w:spacing w:val="29"/>
        </w:rPr>
        <w:t> </w:t>
      </w:r>
      <w:r>
        <w:rPr>
          <w:color w:val="231F1F"/>
        </w:rPr>
        <w:t>0.25%</w:t>
      </w:r>
      <w:r>
        <w:rPr>
          <w:color w:val="231F1F"/>
          <w:spacing w:val="31"/>
        </w:rPr>
        <w:t> </w:t>
      </w:r>
      <w:r>
        <w:rPr>
          <w:color w:val="231F1F"/>
        </w:rPr>
        <w:t>o</w:t>
      </w:r>
      <w:r>
        <w:rPr>
          <w:color w:val="231F1F"/>
          <w:spacing w:val="30"/>
        </w:rPr>
        <w:t> </w:t>
      </w:r>
      <w:r>
        <w:rPr>
          <w:color w:val="231F1F"/>
          <w:spacing w:val="-2"/>
        </w:rPr>
        <w:t>equivalente)</w:t>
      </w:r>
    </w:p>
    <w:p>
      <w:pPr>
        <w:pStyle w:val="BodyText"/>
        <w:spacing w:line="249" w:lineRule="auto" w:before="179"/>
        <w:ind w:left="283" w:right="1368" w:firstLine="453"/>
        <w:jc w:val="both"/>
      </w:pPr>
      <w:r>
        <w:rPr>
          <w:color w:val="231F1F"/>
          <w:w w:val="110"/>
        </w:rPr>
        <w:t>En</w:t>
      </w:r>
      <w:r>
        <w:rPr>
          <w:color w:val="231F1F"/>
          <w:w w:val="110"/>
        </w:rPr>
        <w:t> la</w:t>
      </w:r>
      <w:r>
        <w:rPr>
          <w:color w:val="231F1F"/>
          <w:w w:val="110"/>
        </w:rPr>
        <w:t> guía</w:t>
      </w:r>
      <w:r>
        <w:rPr>
          <w:color w:val="231F1F"/>
          <w:w w:val="110"/>
        </w:rPr>
        <w:t> se</w:t>
      </w:r>
      <w:r>
        <w:rPr>
          <w:color w:val="231F1F"/>
          <w:w w:val="110"/>
        </w:rPr>
        <w:t> describen</w:t>
      </w:r>
      <w:r>
        <w:rPr>
          <w:color w:val="231F1F"/>
          <w:w w:val="110"/>
        </w:rPr>
        <w:t> dos</w:t>
      </w:r>
      <w:r>
        <w:rPr>
          <w:color w:val="231F1F"/>
          <w:w w:val="110"/>
        </w:rPr>
        <w:t> estudios</w:t>
      </w:r>
      <w:r>
        <w:rPr>
          <w:color w:val="231F1F"/>
          <w:w w:val="110"/>
        </w:rPr>
        <w:t> (342-344),</w:t>
      </w:r>
      <w:r>
        <w:rPr>
          <w:color w:val="231F1F"/>
          <w:w w:val="110"/>
        </w:rPr>
        <w:t> ambos</w:t>
      </w:r>
      <w:r>
        <w:rPr>
          <w:color w:val="231F1F"/>
          <w:w w:val="110"/>
        </w:rPr>
        <w:t> realizados</w:t>
      </w:r>
      <w:r>
        <w:rPr>
          <w:color w:val="231F1F"/>
          <w:w w:val="110"/>
        </w:rPr>
        <w:t> en Estados</w:t>
      </w:r>
      <w:r>
        <w:rPr>
          <w:color w:val="231F1F"/>
          <w:spacing w:val="-1"/>
          <w:w w:val="110"/>
        </w:rPr>
        <w:t> </w:t>
      </w:r>
      <w:r>
        <w:rPr>
          <w:color w:val="231F1F"/>
          <w:w w:val="110"/>
        </w:rPr>
        <w:t>Unidos.</w:t>
      </w:r>
      <w:r>
        <w:rPr>
          <w:color w:val="231F1F"/>
          <w:spacing w:val="-1"/>
          <w:w w:val="110"/>
        </w:rPr>
        <w:t> </w:t>
      </w:r>
      <w:r>
        <w:rPr>
          <w:color w:val="231F1F"/>
          <w:w w:val="110"/>
        </w:rPr>
        <w:t>La dosis</w:t>
      </w:r>
      <w:r>
        <w:rPr>
          <w:color w:val="231F1F"/>
          <w:spacing w:val="-1"/>
          <w:w w:val="110"/>
        </w:rPr>
        <w:t> </w:t>
      </w:r>
      <w:r>
        <w:rPr>
          <w:color w:val="231F1F"/>
          <w:w w:val="110"/>
        </w:rPr>
        <w:t>de analgesia epidural</w:t>
      </w:r>
      <w:r>
        <w:rPr>
          <w:color w:val="231F1F"/>
          <w:spacing w:val="-2"/>
          <w:w w:val="110"/>
        </w:rPr>
        <w:t> </w:t>
      </w:r>
      <w:r>
        <w:rPr>
          <w:color w:val="231F1F"/>
          <w:w w:val="110"/>
        </w:rPr>
        <w:t>era de bupivacaina</w:t>
      </w:r>
      <w:r>
        <w:rPr>
          <w:color w:val="231F1F"/>
          <w:spacing w:val="-2"/>
          <w:w w:val="110"/>
        </w:rPr>
        <w:t> </w:t>
      </w:r>
      <w:r>
        <w:rPr>
          <w:color w:val="231F1F"/>
          <w:w w:val="110"/>
        </w:rPr>
        <w:t>0,125%</w:t>
      </w:r>
    </w:p>
    <w:p>
      <w:pPr>
        <w:pStyle w:val="BodyText"/>
        <w:spacing w:line="244" w:lineRule="auto" w:before="2"/>
        <w:ind w:left="283" w:right="1365"/>
        <w:jc w:val="both"/>
      </w:pPr>
      <w:r>
        <w:rPr>
          <w:color w:val="231F1F"/>
          <w:w w:val="105"/>
        </w:rPr>
        <w:t>(344)</w:t>
      </w:r>
      <w:r>
        <w:rPr>
          <w:color w:val="231F1F"/>
          <w:w w:val="105"/>
        </w:rPr>
        <w:t> o</w:t>
      </w:r>
      <w:r>
        <w:rPr>
          <w:color w:val="231F1F"/>
          <w:w w:val="105"/>
        </w:rPr>
        <w:t> 0,0625%</w:t>
      </w:r>
      <w:r>
        <w:rPr>
          <w:color w:val="231F1F"/>
          <w:w w:val="105"/>
        </w:rPr>
        <w:t> (342;343)</w:t>
      </w:r>
      <w:r>
        <w:rPr>
          <w:color w:val="231F1F"/>
          <w:w w:val="105"/>
        </w:rPr>
        <w:t> con</w:t>
      </w:r>
      <w:r>
        <w:rPr>
          <w:color w:val="231F1F"/>
          <w:w w:val="105"/>
        </w:rPr>
        <w:t> 2mcg/ml</w:t>
      </w:r>
      <w:r>
        <w:rPr>
          <w:color w:val="231F1F"/>
          <w:w w:val="105"/>
        </w:rPr>
        <w:t> de</w:t>
      </w:r>
      <w:r>
        <w:rPr>
          <w:color w:val="231F1F"/>
          <w:w w:val="105"/>
        </w:rPr>
        <w:t> fentanilo</w:t>
      </w:r>
      <w:r>
        <w:rPr>
          <w:color w:val="231F1F"/>
          <w:w w:val="105"/>
        </w:rPr>
        <w:t> después</w:t>
      </w:r>
      <w:r>
        <w:rPr>
          <w:color w:val="231F1F"/>
          <w:w w:val="105"/>
        </w:rPr>
        <w:t> de</w:t>
      </w:r>
      <w:r>
        <w:rPr>
          <w:color w:val="231F1F"/>
          <w:w w:val="105"/>
        </w:rPr>
        <w:t> 0,25%</w:t>
      </w:r>
      <w:r>
        <w:rPr>
          <w:color w:val="231F1F"/>
          <w:w w:val="105"/>
        </w:rPr>
        <w:t> de bupivacaina,</w:t>
      </w:r>
      <w:r>
        <w:rPr>
          <w:color w:val="231F1F"/>
          <w:w w:val="105"/>
        </w:rPr>
        <w:t> comparada</w:t>
      </w:r>
      <w:r>
        <w:rPr>
          <w:color w:val="231F1F"/>
          <w:w w:val="105"/>
        </w:rPr>
        <w:t> con</w:t>
      </w:r>
      <w:r>
        <w:rPr>
          <w:color w:val="231F1F"/>
          <w:w w:val="105"/>
        </w:rPr>
        <w:t> 10mg</w:t>
      </w:r>
      <w:r>
        <w:rPr>
          <w:color w:val="231F1F"/>
          <w:w w:val="105"/>
        </w:rPr>
        <w:t> (344)</w:t>
      </w:r>
      <w:r>
        <w:rPr>
          <w:color w:val="231F1F"/>
          <w:w w:val="105"/>
        </w:rPr>
        <w:t> o</w:t>
      </w:r>
      <w:r>
        <w:rPr>
          <w:color w:val="231F1F"/>
          <w:w w:val="105"/>
        </w:rPr>
        <w:t> 15mg</w:t>
      </w:r>
      <w:r>
        <w:rPr>
          <w:color w:val="231F1F"/>
          <w:w w:val="105"/>
        </w:rPr>
        <w:t> (342;343)</w:t>
      </w:r>
      <w:r>
        <w:rPr>
          <w:color w:val="231F1F"/>
          <w:w w:val="105"/>
        </w:rPr>
        <w:t> de</w:t>
      </w:r>
      <w:r>
        <w:rPr>
          <w:color w:val="231F1F"/>
          <w:w w:val="105"/>
        </w:rPr>
        <w:t> meperidina cada</w:t>
      </w:r>
      <w:r>
        <w:rPr>
          <w:color w:val="231F1F"/>
          <w:w w:val="105"/>
        </w:rPr>
        <w:t> 10</w:t>
      </w:r>
      <w:r>
        <w:rPr>
          <w:color w:val="231F1F"/>
          <w:w w:val="105"/>
        </w:rPr>
        <w:t> minutos</w:t>
      </w:r>
      <w:r>
        <w:rPr>
          <w:color w:val="231F1F"/>
          <w:w w:val="105"/>
        </w:rPr>
        <w:t> después</w:t>
      </w:r>
      <w:r>
        <w:rPr>
          <w:color w:val="231F1F"/>
          <w:w w:val="105"/>
        </w:rPr>
        <w:t> de</w:t>
      </w:r>
      <w:r>
        <w:rPr>
          <w:color w:val="231F1F"/>
          <w:w w:val="105"/>
        </w:rPr>
        <w:t> 50mg</w:t>
      </w:r>
      <w:r>
        <w:rPr>
          <w:color w:val="231F1F"/>
          <w:w w:val="105"/>
        </w:rPr>
        <w:t> de</w:t>
      </w:r>
      <w:r>
        <w:rPr>
          <w:color w:val="231F1F"/>
          <w:w w:val="105"/>
        </w:rPr>
        <w:t> meperidina.</w:t>
      </w:r>
      <w:r>
        <w:rPr>
          <w:color w:val="231F1F"/>
          <w:w w:val="105"/>
        </w:rPr>
        <w:t> Los</w:t>
      </w:r>
      <w:r>
        <w:rPr>
          <w:color w:val="231F1F"/>
          <w:w w:val="105"/>
        </w:rPr>
        <w:t> estudios</w:t>
      </w:r>
      <w:r>
        <w:rPr>
          <w:color w:val="231F1F"/>
          <w:w w:val="105"/>
        </w:rPr>
        <w:t> fueron</w:t>
      </w:r>
      <w:r>
        <w:rPr>
          <w:color w:val="231F1F"/>
          <w:w w:val="105"/>
        </w:rPr>
        <w:t> de buena calidad.</w:t>
      </w:r>
    </w:p>
    <w:p>
      <w:pPr>
        <w:pStyle w:val="BodyText"/>
        <w:tabs>
          <w:tab w:pos="7989" w:val="left" w:leader="none"/>
          <w:tab w:pos="8114" w:val="left" w:leader="none"/>
        </w:tabs>
        <w:spacing w:line="252" w:lineRule="auto" w:before="124"/>
        <w:ind w:left="283" w:right="487" w:firstLine="453"/>
      </w:pPr>
      <w:r>
        <w:rPr>
          <w:color w:val="231F1F"/>
          <w:w w:val="105"/>
        </w:rPr>
        <w:t>Uno de los estudios (344) (n=715 nulíparas y multíparas) publicado en</w:t>
      </w:r>
      <w:r>
        <w:rPr>
          <w:color w:val="231F1F"/>
        </w:rPr>
        <w:tab/>
      </w:r>
      <w:r>
        <w:rPr>
          <w:rFonts w:ascii="Arial MT" w:hAnsi="Arial MT"/>
          <w:color w:val="231F1F"/>
          <w:spacing w:val="-12"/>
          <w:w w:val="105"/>
          <w:sz w:val="18"/>
        </w:rPr>
        <w:t>ECAs </w:t>
      </w:r>
      <w:r>
        <w:rPr>
          <w:color w:val="231F1F"/>
          <w:w w:val="105"/>
        </w:rPr>
        <w:t>1997 no mostró diferencias en la incidencia de FCF anomalas RR 1.07 [IC95%</w:t>
      </w:r>
      <w:r>
        <w:rPr>
          <w:color w:val="231F1F"/>
        </w:rPr>
        <w:tab/>
        <w:tab/>
      </w:r>
      <w:r>
        <w:rPr>
          <w:rFonts w:ascii="Arial MT" w:hAnsi="Arial MT"/>
          <w:color w:val="231F1F"/>
          <w:spacing w:val="-6"/>
          <w:w w:val="105"/>
          <w:position w:val="4"/>
          <w:sz w:val="18"/>
        </w:rPr>
        <w:t>1+ </w:t>
      </w:r>
      <w:r>
        <w:rPr>
          <w:color w:val="231F1F"/>
          <w:w w:val="105"/>
        </w:rPr>
        <w:t>0,27 a 4,21]. En el otro estudio (343) (n=459 nulíparas), publicado en 2002, se</w:t>
      </w:r>
    </w:p>
    <w:p>
      <w:pPr>
        <w:pStyle w:val="BodyText"/>
        <w:spacing w:line="244" w:lineRule="auto"/>
        <w:ind w:left="283" w:right="1368"/>
        <w:jc w:val="both"/>
      </w:pPr>
      <w:r>
        <w:rPr>
          <w:color w:val="231F1F"/>
          <w:w w:val="105"/>
        </w:rPr>
        <w:t>observó que las mujeres con analgesia epidural tenían menor variabilidad en</w:t>
      </w:r>
      <w:r>
        <w:rPr>
          <w:color w:val="231F1F"/>
          <w:spacing w:val="40"/>
          <w:w w:val="105"/>
        </w:rPr>
        <w:t> </w:t>
      </w:r>
      <w:r>
        <w:rPr>
          <w:color w:val="231F1F"/>
          <w:w w:val="105"/>
        </w:rPr>
        <w:t>la FCF: RR 0,23 [IC95% 0,15 a 0,30] y más aceleraciones: RR 1,42 [IC95% 1,24 a 1,63], aunque no hubo evidencia de diferencias en la incidencia de de- celeraciones: p= 0,353.</w:t>
      </w:r>
    </w:p>
    <w:p>
      <w:pPr>
        <w:spacing w:before="194"/>
        <w:ind w:left="283" w:right="0" w:firstLine="0"/>
        <w:jc w:val="left"/>
        <w:rPr>
          <w:i/>
          <w:sz w:val="22"/>
        </w:rPr>
      </w:pPr>
      <w:r>
        <w:rPr>
          <w:i/>
          <w:color w:val="231F1F"/>
          <w:w w:val="105"/>
          <w:sz w:val="22"/>
        </w:rPr>
        <w:t>Empleo</w:t>
      </w:r>
      <w:r>
        <w:rPr>
          <w:i/>
          <w:color w:val="231F1F"/>
          <w:spacing w:val="-1"/>
          <w:w w:val="105"/>
          <w:sz w:val="22"/>
        </w:rPr>
        <w:t> </w:t>
      </w:r>
      <w:r>
        <w:rPr>
          <w:i/>
          <w:color w:val="231F1F"/>
          <w:w w:val="105"/>
          <w:sz w:val="22"/>
        </w:rPr>
        <w:t>de opioides</w:t>
      </w:r>
      <w:r>
        <w:rPr>
          <w:i/>
          <w:color w:val="231F1F"/>
          <w:spacing w:val="1"/>
          <w:w w:val="105"/>
          <w:sz w:val="22"/>
        </w:rPr>
        <w:t> </w:t>
      </w:r>
      <w:r>
        <w:rPr>
          <w:i/>
          <w:color w:val="231F1F"/>
          <w:spacing w:val="-2"/>
          <w:w w:val="105"/>
          <w:sz w:val="22"/>
        </w:rPr>
        <w:t>intradurales</w:t>
      </w:r>
    </w:p>
    <w:p>
      <w:pPr>
        <w:pStyle w:val="BodyText"/>
        <w:spacing w:line="247" w:lineRule="auto" w:before="183"/>
        <w:ind w:left="283" w:right="1365"/>
        <w:jc w:val="both"/>
      </w:pPr>
      <w:r>
        <w:rPr>
          <w:color w:val="231F1F"/>
          <w:w w:val="105"/>
        </w:rPr>
        <w:t>La guía NICE (10) incluye una RS (345) y dos ensayos relativamente nuevos, 2003 y 2004 (346;347). La RS (345) realizó un metaanálisis de 3.513 mujeres de</w:t>
      </w:r>
      <w:r>
        <w:rPr>
          <w:color w:val="231F1F"/>
          <w:w w:val="105"/>
        </w:rPr>
        <w:t> 24</w:t>
      </w:r>
      <w:r>
        <w:rPr>
          <w:color w:val="231F1F"/>
          <w:w w:val="105"/>
        </w:rPr>
        <w:t> ensayos,</w:t>
      </w:r>
      <w:r>
        <w:rPr>
          <w:color w:val="231F1F"/>
          <w:w w:val="105"/>
        </w:rPr>
        <w:t> donde</w:t>
      </w:r>
      <w:r>
        <w:rPr>
          <w:color w:val="231F1F"/>
          <w:w w:val="105"/>
        </w:rPr>
        <w:t> se</w:t>
      </w:r>
      <w:r>
        <w:rPr>
          <w:color w:val="231F1F"/>
          <w:w w:val="105"/>
        </w:rPr>
        <w:t> evalúa</w:t>
      </w:r>
      <w:r>
        <w:rPr>
          <w:color w:val="231F1F"/>
          <w:w w:val="105"/>
        </w:rPr>
        <w:t> el</w:t>
      </w:r>
      <w:r>
        <w:rPr>
          <w:color w:val="231F1F"/>
          <w:w w:val="105"/>
        </w:rPr>
        <w:t> efecto</w:t>
      </w:r>
      <w:r>
        <w:rPr>
          <w:color w:val="231F1F"/>
          <w:w w:val="105"/>
        </w:rPr>
        <w:t> de</w:t>
      </w:r>
      <w:r>
        <w:rPr>
          <w:color w:val="231F1F"/>
          <w:w w:val="105"/>
        </w:rPr>
        <w:t> tres</w:t>
      </w:r>
      <w:r>
        <w:rPr>
          <w:color w:val="231F1F"/>
          <w:w w:val="105"/>
        </w:rPr>
        <w:t> </w:t>
      </w:r>
      <w:r>
        <w:rPr>
          <w:i/>
          <w:color w:val="231F1F"/>
          <w:w w:val="105"/>
        </w:rPr>
        <w:t>opioides de administración intratecal </w:t>
      </w:r>
      <w:r>
        <w:rPr>
          <w:color w:val="231F1F"/>
          <w:w w:val="105"/>
        </w:rPr>
        <w:t>o intradural: sufentanil, fentanilo y morfina, </w:t>
      </w:r>
      <w:r>
        <w:rPr>
          <w:i/>
          <w:color w:val="231F1F"/>
          <w:w w:val="105"/>
        </w:rPr>
        <w:t>con o sin varias dosis de bupivacaína intratecal o epidural</w:t>
      </w:r>
      <w:r>
        <w:rPr>
          <w:color w:val="231F1F"/>
          <w:w w:val="105"/>
        </w:rPr>
        <w:t>.</w:t>
      </w:r>
      <w:r>
        <w:rPr>
          <w:color w:val="231F1F"/>
          <w:w w:val="105"/>
        </w:rPr>
        <w:t> El</w:t>
      </w:r>
      <w:r>
        <w:rPr>
          <w:color w:val="231F1F"/>
          <w:w w:val="105"/>
        </w:rPr>
        <w:t> ECA</w:t>
      </w:r>
      <w:r>
        <w:rPr>
          <w:color w:val="231F1F"/>
          <w:w w:val="105"/>
        </w:rPr>
        <w:t> realizado</w:t>
      </w:r>
      <w:r>
        <w:rPr>
          <w:color w:val="231F1F"/>
          <w:w w:val="105"/>
        </w:rPr>
        <w:t> en</w:t>
      </w:r>
      <w:r>
        <w:rPr>
          <w:color w:val="231F1F"/>
          <w:w w:val="105"/>
        </w:rPr>
        <w:t> EE.UU</w:t>
      </w:r>
      <w:r>
        <w:rPr>
          <w:color w:val="231F1F"/>
          <w:w w:val="105"/>
        </w:rPr>
        <w:t> en</w:t>
      </w:r>
      <w:r>
        <w:rPr>
          <w:color w:val="231F1F"/>
          <w:w w:val="105"/>
        </w:rPr>
        <w:t> 2003 incluyó 108 mujeres (346). Este ensayo compara para la analgesia combinada epidural-intradural seis dosis diferentes (0, 5, 10, 15, 20, 25 μg ) de fentanilo intratecal en combinación con 2,5 mg de bupivacaína.</w:t>
      </w:r>
    </w:p>
    <w:p>
      <w:pPr>
        <w:pStyle w:val="BodyText"/>
        <w:spacing w:line="244" w:lineRule="auto" w:before="157"/>
        <w:ind w:left="283" w:right="1366" w:firstLine="453"/>
        <w:jc w:val="both"/>
      </w:pPr>
      <w:r>
        <w:rPr>
          <w:color w:val="231F1F"/>
          <w:w w:val="105"/>
        </w:rPr>
        <w:t>El último ensayo (347) se llevó a cabo en Singapur en 2004, e incluyó 40 mujeres,</w:t>
      </w:r>
      <w:r>
        <w:rPr>
          <w:color w:val="231F1F"/>
          <w:w w:val="105"/>
        </w:rPr>
        <w:t> evaluando</w:t>
      </w:r>
      <w:r>
        <w:rPr>
          <w:color w:val="231F1F"/>
          <w:w w:val="105"/>
        </w:rPr>
        <w:t> la</w:t>
      </w:r>
      <w:r>
        <w:rPr>
          <w:color w:val="231F1F"/>
          <w:w w:val="105"/>
        </w:rPr>
        <w:t> administración</w:t>
      </w:r>
      <w:r>
        <w:rPr>
          <w:color w:val="231F1F"/>
          <w:w w:val="105"/>
        </w:rPr>
        <w:t> de</w:t>
      </w:r>
      <w:r>
        <w:rPr>
          <w:color w:val="231F1F"/>
          <w:w w:val="105"/>
        </w:rPr>
        <w:t> 2,5</w:t>
      </w:r>
      <w:r>
        <w:rPr>
          <w:color w:val="231F1F"/>
          <w:w w:val="105"/>
        </w:rPr>
        <w:t> mg</w:t>
      </w:r>
      <w:r>
        <w:rPr>
          <w:color w:val="231F1F"/>
          <w:w w:val="105"/>
        </w:rPr>
        <w:t> levobupivacaína</w:t>
      </w:r>
      <w:r>
        <w:rPr>
          <w:color w:val="231F1F"/>
          <w:w w:val="105"/>
        </w:rPr>
        <w:t> intratecal sola o asociada a 25 μg de fentanilo, seguido de una infusión epidural (10 ml/ bolo) de levobupivacaína al 0,125 % y 2 μg/mol de fentanilo.</w:t>
      </w:r>
    </w:p>
    <w:p>
      <w:pPr>
        <w:pStyle w:val="BodyText"/>
        <w:spacing w:after="0" w:line="244" w:lineRule="auto"/>
        <w:jc w:val="both"/>
        <w:sectPr>
          <w:pgSz w:w="11900" w:h="16840"/>
          <w:pgMar w:header="0" w:footer="622" w:top="1560" w:bottom="820" w:left="1417" w:right="1559"/>
        </w:sectPr>
      </w:pPr>
    </w:p>
    <w:p>
      <w:pPr>
        <w:pStyle w:val="BodyText"/>
        <w:spacing w:line="244" w:lineRule="auto" w:before="73"/>
        <w:ind w:left="283" w:right="2" w:firstLine="453"/>
        <w:jc w:val="both"/>
      </w:pPr>
      <w:r>
        <w:rPr>
          <w:color w:val="231F1F"/>
          <w:w w:val="110"/>
        </w:rPr>
        <w:t>El metaanálisis de la RS mostró que las mujeres con opioides por vía intradural tuvieron una mayor incidencia de bradicardia fetal en la primera hora</w:t>
      </w:r>
      <w:r>
        <w:rPr>
          <w:color w:val="231F1F"/>
          <w:spacing w:val="-12"/>
          <w:w w:val="110"/>
        </w:rPr>
        <w:t> </w:t>
      </w:r>
      <w:r>
        <w:rPr>
          <w:color w:val="231F1F"/>
          <w:w w:val="110"/>
        </w:rPr>
        <w:t>de</w:t>
      </w:r>
      <w:r>
        <w:rPr>
          <w:color w:val="231F1F"/>
          <w:spacing w:val="-11"/>
          <w:w w:val="110"/>
        </w:rPr>
        <w:t> </w:t>
      </w:r>
      <w:r>
        <w:rPr>
          <w:color w:val="231F1F"/>
          <w:w w:val="110"/>
        </w:rPr>
        <w:t>analgesia</w:t>
      </w:r>
      <w:r>
        <w:rPr>
          <w:color w:val="231F1F"/>
          <w:spacing w:val="-11"/>
          <w:w w:val="110"/>
        </w:rPr>
        <w:t> </w:t>
      </w:r>
      <w:r>
        <w:rPr>
          <w:color w:val="231F1F"/>
          <w:w w:val="110"/>
        </w:rPr>
        <w:t>que</w:t>
      </w:r>
      <w:r>
        <w:rPr>
          <w:color w:val="231F1F"/>
          <w:spacing w:val="-12"/>
          <w:w w:val="110"/>
        </w:rPr>
        <w:t> </w:t>
      </w:r>
      <w:r>
        <w:rPr>
          <w:color w:val="231F1F"/>
          <w:w w:val="110"/>
        </w:rPr>
        <w:t>el</w:t>
      </w:r>
      <w:r>
        <w:rPr>
          <w:color w:val="231F1F"/>
          <w:spacing w:val="-11"/>
          <w:w w:val="110"/>
        </w:rPr>
        <w:t> </w:t>
      </w:r>
      <w:r>
        <w:rPr>
          <w:color w:val="231F1F"/>
          <w:w w:val="110"/>
        </w:rPr>
        <w:t>grupo</w:t>
      </w:r>
      <w:r>
        <w:rPr>
          <w:color w:val="231F1F"/>
          <w:spacing w:val="-11"/>
          <w:w w:val="110"/>
        </w:rPr>
        <w:t> </w:t>
      </w:r>
      <w:r>
        <w:rPr>
          <w:color w:val="231F1F"/>
          <w:w w:val="110"/>
        </w:rPr>
        <w:t>control,</w:t>
      </w:r>
      <w:r>
        <w:rPr>
          <w:color w:val="231F1F"/>
          <w:spacing w:val="-14"/>
          <w:w w:val="110"/>
        </w:rPr>
        <w:t> </w:t>
      </w:r>
      <w:r>
        <w:rPr>
          <w:color w:val="231F1F"/>
          <w:w w:val="110"/>
        </w:rPr>
        <w:t>que</w:t>
      </w:r>
      <w:r>
        <w:rPr>
          <w:color w:val="231F1F"/>
          <w:spacing w:val="-11"/>
          <w:w w:val="110"/>
        </w:rPr>
        <w:t> </w:t>
      </w:r>
      <w:r>
        <w:rPr>
          <w:color w:val="231F1F"/>
          <w:w w:val="110"/>
        </w:rPr>
        <w:t>no</w:t>
      </w:r>
      <w:r>
        <w:rPr>
          <w:color w:val="231F1F"/>
          <w:spacing w:val="-11"/>
          <w:w w:val="110"/>
        </w:rPr>
        <w:t> </w:t>
      </w:r>
      <w:r>
        <w:rPr>
          <w:color w:val="231F1F"/>
          <w:w w:val="110"/>
        </w:rPr>
        <w:t>habían</w:t>
      </w:r>
      <w:r>
        <w:rPr>
          <w:color w:val="231F1F"/>
          <w:spacing w:val="-11"/>
          <w:w w:val="110"/>
        </w:rPr>
        <w:t> </w:t>
      </w:r>
      <w:r>
        <w:rPr>
          <w:color w:val="231F1F"/>
          <w:w w:val="110"/>
        </w:rPr>
        <w:t>recibido</w:t>
      </w:r>
      <w:r>
        <w:rPr>
          <w:color w:val="231F1F"/>
          <w:spacing w:val="-12"/>
          <w:w w:val="110"/>
        </w:rPr>
        <w:t> </w:t>
      </w:r>
      <w:r>
        <w:rPr>
          <w:color w:val="231F1F"/>
          <w:w w:val="110"/>
        </w:rPr>
        <w:t>opioides:</w:t>
      </w:r>
      <w:r>
        <w:rPr>
          <w:color w:val="231F1F"/>
          <w:spacing w:val="-11"/>
          <w:w w:val="110"/>
        </w:rPr>
        <w:t> </w:t>
      </w:r>
      <w:r>
        <w:rPr>
          <w:color w:val="231F1F"/>
          <w:w w:val="110"/>
        </w:rPr>
        <w:t>RR</w:t>
      </w:r>
    </w:p>
    <w:p>
      <w:pPr>
        <w:pStyle w:val="BodyText"/>
        <w:spacing w:line="244" w:lineRule="auto" w:before="8"/>
        <w:ind w:left="283" w:right="1"/>
        <w:jc w:val="both"/>
      </w:pPr>
      <w:r>
        <w:rPr>
          <w:color w:val="231F1F"/>
          <w:w w:val="110"/>
        </w:rPr>
        <w:t>1.81</w:t>
      </w:r>
      <w:r>
        <w:rPr>
          <w:color w:val="231F1F"/>
          <w:spacing w:val="-7"/>
          <w:w w:val="110"/>
        </w:rPr>
        <w:t> </w:t>
      </w:r>
      <w:r>
        <w:rPr>
          <w:color w:val="231F1F"/>
          <w:w w:val="110"/>
        </w:rPr>
        <w:t>[IC</w:t>
      </w:r>
      <w:r>
        <w:rPr>
          <w:color w:val="231F1F"/>
          <w:spacing w:val="-7"/>
          <w:w w:val="110"/>
        </w:rPr>
        <w:t> </w:t>
      </w:r>
      <w:r>
        <w:rPr>
          <w:color w:val="231F1F"/>
          <w:w w:val="110"/>
        </w:rPr>
        <w:t>95%</w:t>
      </w:r>
      <w:r>
        <w:rPr>
          <w:color w:val="231F1F"/>
          <w:spacing w:val="-6"/>
          <w:w w:val="110"/>
        </w:rPr>
        <w:t> </w:t>
      </w:r>
      <w:r>
        <w:rPr>
          <w:color w:val="231F1F"/>
          <w:w w:val="110"/>
        </w:rPr>
        <w:t>1.04</w:t>
      </w:r>
      <w:r>
        <w:rPr>
          <w:color w:val="231F1F"/>
          <w:spacing w:val="-7"/>
          <w:w w:val="110"/>
        </w:rPr>
        <w:t> </w:t>
      </w:r>
      <w:r>
        <w:rPr>
          <w:color w:val="231F1F"/>
          <w:w w:val="110"/>
        </w:rPr>
        <w:t>a</w:t>
      </w:r>
      <w:r>
        <w:rPr>
          <w:color w:val="231F1F"/>
          <w:spacing w:val="-7"/>
          <w:w w:val="110"/>
        </w:rPr>
        <w:t> </w:t>
      </w:r>
      <w:r>
        <w:rPr>
          <w:color w:val="231F1F"/>
          <w:w w:val="110"/>
        </w:rPr>
        <w:t>3.14].</w:t>
      </w:r>
      <w:r>
        <w:rPr>
          <w:color w:val="231F1F"/>
          <w:spacing w:val="-8"/>
          <w:w w:val="110"/>
        </w:rPr>
        <w:t> </w:t>
      </w:r>
      <w:r>
        <w:rPr>
          <w:color w:val="231F1F"/>
          <w:w w:val="110"/>
        </w:rPr>
        <w:t>Aunque</w:t>
      </w:r>
      <w:r>
        <w:rPr>
          <w:color w:val="231F1F"/>
          <w:spacing w:val="-7"/>
          <w:w w:val="110"/>
        </w:rPr>
        <w:t> </w:t>
      </w:r>
      <w:r>
        <w:rPr>
          <w:color w:val="231F1F"/>
          <w:w w:val="110"/>
        </w:rPr>
        <w:t>no</w:t>
      </w:r>
      <w:r>
        <w:rPr>
          <w:color w:val="231F1F"/>
          <w:spacing w:val="-7"/>
          <w:w w:val="110"/>
        </w:rPr>
        <w:t> </w:t>
      </w:r>
      <w:r>
        <w:rPr>
          <w:color w:val="231F1F"/>
          <w:w w:val="110"/>
        </w:rPr>
        <w:t>hubo</w:t>
      </w:r>
      <w:r>
        <w:rPr>
          <w:color w:val="231F1F"/>
          <w:spacing w:val="-7"/>
          <w:w w:val="110"/>
        </w:rPr>
        <w:t> </w:t>
      </w:r>
      <w:r>
        <w:rPr>
          <w:color w:val="231F1F"/>
          <w:w w:val="110"/>
        </w:rPr>
        <w:t>pruebas</w:t>
      </w:r>
      <w:r>
        <w:rPr>
          <w:color w:val="231F1F"/>
          <w:spacing w:val="-8"/>
          <w:w w:val="110"/>
        </w:rPr>
        <w:t> </w:t>
      </w:r>
      <w:r>
        <w:rPr>
          <w:color w:val="231F1F"/>
          <w:w w:val="110"/>
        </w:rPr>
        <w:t>de</w:t>
      </w:r>
      <w:r>
        <w:rPr>
          <w:color w:val="231F1F"/>
          <w:spacing w:val="-7"/>
          <w:w w:val="110"/>
        </w:rPr>
        <w:t> </w:t>
      </w:r>
      <w:r>
        <w:rPr>
          <w:color w:val="231F1F"/>
          <w:w w:val="110"/>
        </w:rPr>
        <w:t>una</w:t>
      </w:r>
      <w:r>
        <w:rPr>
          <w:color w:val="231F1F"/>
          <w:spacing w:val="-7"/>
          <w:w w:val="110"/>
        </w:rPr>
        <w:t> </w:t>
      </w:r>
      <w:r>
        <w:rPr>
          <w:color w:val="231F1F"/>
          <w:w w:val="110"/>
        </w:rPr>
        <w:t>diferencia</w:t>
      </w:r>
      <w:r>
        <w:rPr>
          <w:color w:val="231F1F"/>
          <w:spacing w:val="-8"/>
          <w:w w:val="110"/>
        </w:rPr>
        <w:t> </w:t>
      </w:r>
      <w:r>
        <w:rPr>
          <w:color w:val="231F1F"/>
          <w:w w:val="110"/>
        </w:rPr>
        <w:t>en</w:t>
      </w:r>
      <w:r>
        <w:rPr>
          <w:color w:val="231F1F"/>
          <w:spacing w:val="-7"/>
          <w:w w:val="110"/>
        </w:rPr>
        <w:t> </w:t>
      </w:r>
      <w:r>
        <w:rPr>
          <w:color w:val="231F1F"/>
          <w:w w:val="110"/>
        </w:rPr>
        <w:t>la incidencia de otras anomalías de la frecuencia cardiaca fetal (345-347). Se observa</w:t>
      </w:r>
      <w:r>
        <w:rPr>
          <w:color w:val="231F1F"/>
          <w:w w:val="110"/>
        </w:rPr>
        <w:t> una</w:t>
      </w:r>
      <w:r>
        <w:rPr>
          <w:color w:val="231F1F"/>
          <w:w w:val="110"/>
        </w:rPr>
        <w:t> evidencia</w:t>
      </w:r>
      <w:r>
        <w:rPr>
          <w:color w:val="231F1F"/>
          <w:w w:val="110"/>
        </w:rPr>
        <w:t> contundente</w:t>
      </w:r>
      <w:r>
        <w:rPr>
          <w:color w:val="231F1F"/>
          <w:w w:val="110"/>
        </w:rPr>
        <w:t> de</w:t>
      </w:r>
      <w:r>
        <w:rPr>
          <w:color w:val="231F1F"/>
          <w:w w:val="110"/>
        </w:rPr>
        <w:t> que</w:t>
      </w:r>
      <w:r>
        <w:rPr>
          <w:color w:val="231F1F"/>
          <w:w w:val="110"/>
        </w:rPr>
        <w:t> los</w:t>
      </w:r>
      <w:r>
        <w:rPr>
          <w:color w:val="231F1F"/>
          <w:w w:val="110"/>
        </w:rPr>
        <w:t> opioides</w:t>
      </w:r>
      <w:r>
        <w:rPr>
          <w:color w:val="231F1F"/>
          <w:w w:val="110"/>
        </w:rPr>
        <w:t> por</w:t>
      </w:r>
      <w:r>
        <w:rPr>
          <w:color w:val="231F1F"/>
          <w:w w:val="110"/>
        </w:rPr>
        <w:t> vía</w:t>
      </w:r>
      <w:r>
        <w:rPr>
          <w:color w:val="231F1F"/>
          <w:w w:val="110"/>
        </w:rPr>
        <w:t> intratecal aumentan</w:t>
      </w:r>
      <w:r>
        <w:rPr>
          <w:color w:val="231F1F"/>
          <w:spacing w:val="-16"/>
          <w:w w:val="110"/>
        </w:rPr>
        <w:t> </w:t>
      </w:r>
      <w:r>
        <w:rPr>
          <w:color w:val="231F1F"/>
          <w:w w:val="110"/>
        </w:rPr>
        <w:t>la</w:t>
      </w:r>
      <w:r>
        <w:rPr>
          <w:color w:val="231F1F"/>
          <w:spacing w:val="-15"/>
          <w:w w:val="110"/>
        </w:rPr>
        <w:t> </w:t>
      </w:r>
      <w:r>
        <w:rPr>
          <w:color w:val="231F1F"/>
          <w:w w:val="110"/>
        </w:rPr>
        <w:t>incidencia</w:t>
      </w:r>
      <w:r>
        <w:rPr>
          <w:color w:val="231F1F"/>
          <w:spacing w:val="-14"/>
          <w:w w:val="110"/>
        </w:rPr>
        <w:t> </w:t>
      </w:r>
      <w:r>
        <w:rPr>
          <w:color w:val="231F1F"/>
          <w:w w:val="110"/>
        </w:rPr>
        <w:t>de</w:t>
      </w:r>
      <w:r>
        <w:rPr>
          <w:color w:val="231F1F"/>
          <w:spacing w:val="-15"/>
          <w:w w:val="110"/>
        </w:rPr>
        <w:t> </w:t>
      </w:r>
      <w:r>
        <w:rPr>
          <w:color w:val="231F1F"/>
          <w:w w:val="110"/>
        </w:rPr>
        <w:t>prurito,</w:t>
      </w:r>
      <w:r>
        <w:rPr>
          <w:color w:val="231F1F"/>
          <w:spacing w:val="-15"/>
          <w:w w:val="110"/>
        </w:rPr>
        <w:t> </w:t>
      </w:r>
      <w:r>
        <w:rPr>
          <w:color w:val="231F1F"/>
          <w:w w:val="110"/>
        </w:rPr>
        <w:t>comparado</w:t>
      </w:r>
      <w:r>
        <w:rPr>
          <w:color w:val="231F1F"/>
          <w:spacing w:val="-15"/>
          <w:w w:val="110"/>
        </w:rPr>
        <w:t> </w:t>
      </w:r>
      <w:r>
        <w:rPr>
          <w:color w:val="231F1F"/>
          <w:w w:val="110"/>
        </w:rPr>
        <w:t>con</w:t>
      </w:r>
      <w:r>
        <w:rPr>
          <w:color w:val="231F1F"/>
          <w:spacing w:val="-15"/>
          <w:w w:val="110"/>
        </w:rPr>
        <w:t> </w:t>
      </w:r>
      <w:r>
        <w:rPr>
          <w:color w:val="231F1F"/>
          <w:w w:val="110"/>
        </w:rPr>
        <w:t>grupos</w:t>
      </w:r>
      <w:r>
        <w:rPr>
          <w:color w:val="231F1F"/>
          <w:spacing w:val="-15"/>
          <w:w w:val="110"/>
        </w:rPr>
        <w:t> </w:t>
      </w:r>
      <w:r>
        <w:rPr>
          <w:color w:val="231F1F"/>
          <w:w w:val="110"/>
        </w:rPr>
        <w:t>de</w:t>
      </w:r>
      <w:r>
        <w:rPr>
          <w:color w:val="231F1F"/>
          <w:spacing w:val="-15"/>
          <w:w w:val="110"/>
        </w:rPr>
        <w:t> </w:t>
      </w:r>
      <w:r>
        <w:rPr>
          <w:color w:val="231F1F"/>
          <w:w w:val="110"/>
        </w:rPr>
        <w:t>mujeres</w:t>
      </w:r>
      <w:r>
        <w:rPr>
          <w:color w:val="231F1F"/>
          <w:spacing w:val="-14"/>
          <w:w w:val="110"/>
        </w:rPr>
        <w:t> </w:t>
      </w:r>
      <w:r>
        <w:rPr>
          <w:color w:val="231F1F"/>
          <w:w w:val="110"/>
        </w:rPr>
        <w:t>que</w:t>
      </w:r>
      <w:r>
        <w:rPr>
          <w:color w:val="231F1F"/>
          <w:spacing w:val="-16"/>
          <w:w w:val="110"/>
        </w:rPr>
        <w:t> </w:t>
      </w:r>
      <w:r>
        <w:rPr>
          <w:color w:val="231F1F"/>
          <w:w w:val="110"/>
        </w:rPr>
        <w:t>no habían recibido opioides: RR 29.6 [13.6 to 64.6].</w:t>
      </w:r>
    </w:p>
    <w:p>
      <w:pPr>
        <w:pStyle w:val="BodyText"/>
        <w:spacing w:line="249" w:lineRule="auto" w:before="92"/>
        <w:ind w:left="283" w:right="2" w:firstLine="453"/>
        <w:jc w:val="both"/>
      </w:pPr>
      <w:r>
        <w:rPr>
          <w:color w:val="231F1F"/>
          <w:w w:val="105"/>
        </w:rPr>
        <w:t>El primer ensayo mostró que todas las mujeres que recibieron 15 μg de fentanilo o más tenían una puntuación de la escala VAS menor de 20 mm (en una</w:t>
      </w:r>
      <w:r>
        <w:rPr>
          <w:color w:val="231F1F"/>
          <w:spacing w:val="-5"/>
          <w:w w:val="105"/>
        </w:rPr>
        <w:t> </w:t>
      </w:r>
      <w:r>
        <w:rPr>
          <w:color w:val="231F1F"/>
          <w:w w:val="105"/>
        </w:rPr>
        <w:t>escala</w:t>
      </w:r>
      <w:r>
        <w:rPr>
          <w:color w:val="231F1F"/>
          <w:spacing w:val="-4"/>
          <w:w w:val="105"/>
        </w:rPr>
        <w:t> </w:t>
      </w:r>
      <w:r>
        <w:rPr>
          <w:color w:val="231F1F"/>
          <w:w w:val="105"/>
        </w:rPr>
        <w:t>de</w:t>
      </w:r>
      <w:r>
        <w:rPr>
          <w:color w:val="231F1F"/>
          <w:spacing w:val="-5"/>
          <w:w w:val="105"/>
        </w:rPr>
        <w:t> </w:t>
      </w:r>
      <w:r>
        <w:rPr>
          <w:color w:val="231F1F"/>
          <w:w w:val="105"/>
        </w:rPr>
        <w:t>0</w:t>
      </w:r>
      <w:r>
        <w:rPr>
          <w:color w:val="231F1F"/>
          <w:spacing w:val="-4"/>
          <w:w w:val="105"/>
        </w:rPr>
        <w:t> </w:t>
      </w:r>
      <w:r>
        <w:rPr>
          <w:color w:val="231F1F"/>
          <w:w w:val="105"/>
        </w:rPr>
        <w:t>a</w:t>
      </w:r>
      <w:r>
        <w:rPr>
          <w:color w:val="231F1F"/>
          <w:spacing w:val="-4"/>
          <w:w w:val="105"/>
        </w:rPr>
        <w:t> </w:t>
      </w:r>
      <w:r>
        <w:rPr>
          <w:color w:val="231F1F"/>
          <w:w w:val="105"/>
        </w:rPr>
        <w:t>100</w:t>
      </w:r>
      <w:r>
        <w:rPr>
          <w:color w:val="231F1F"/>
          <w:spacing w:val="-4"/>
          <w:w w:val="105"/>
        </w:rPr>
        <w:t> </w:t>
      </w:r>
      <w:r>
        <w:rPr>
          <w:color w:val="231F1F"/>
          <w:w w:val="105"/>
        </w:rPr>
        <w:t>mm),</w:t>
      </w:r>
      <w:r>
        <w:rPr>
          <w:color w:val="231F1F"/>
          <w:spacing w:val="-4"/>
          <w:w w:val="105"/>
        </w:rPr>
        <w:t> </w:t>
      </w:r>
      <w:r>
        <w:rPr>
          <w:color w:val="231F1F"/>
          <w:w w:val="105"/>
        </w:rPr>
        <w:t>mientras</w:t>
      </w:r>
      <w:r>
        <w:rPr>
          <w:color w:val="231F1F"/>
          <w:spacing w:val="-5"/>
          <w:w w:val="105"/>
        </w:rPr>
        <w:t> </w:t>
      </w:r>
      <w:r>
        <w:rPr>
          <w:color w:val="231F1F"/>
          <w:w w:val="105"/>
        </w:rPr>
        <w:t>que</w:t>
      </w:r>
      <w:r>
        <w:rPr>
          <w:color w:val="231F1F"/>
          <w:spacing w:val="-5"/>
          <w:w w:val="105"/>
        </w:rPr>
        <w:t> </w:t>
      </w:r>
      <w:r>
        <w:rPr>
          <w:color w:val="231F1F"/>
          <w:w w:val="105"/>
        </w:rPr>
        <w:t>los</w:t>
      </w:r>
      <w:r>
        <w:rPr>
          <w:color w:val="231F1F"/>
          <w:spacing w:val="-4"/>
          <w:w w:val="105"/>
        </w:rPr>
        <w:t> </w:t>
      </w:r>
      <w:r>
        <w:rPr>
          <w:color w:val="231F1F"/>
          <w:w w:val="105"/>
        </w:rPr>
        <w:t>que</w:t>
      </w:r>
      <w:r>
        <w:rPr>
          <w:color w:val="231F1F"/>
          <w:spacing w:val="-5"/>
          <w:w w:val="105"/>
        </w:rPr>
        <w:t> </w:t>
      </w:r>
      <w:r>
        <w:rPr>
          <w:color w:val="231F1F"/>
          <w:w w:val="105"/>
        </w:rPr>
        <w:t>recibieron</w:t>
      </w:r>
      <w:r>
        <w:rPr>
          <w:color w:val="231F1F"/>
          <w:spacing w:val="-3"/>
          <w:w w:val="105"/>
        </w:rPr>
        <w:t> </w:t>
      </w:r>
      <w:r>
        <w:rPr>
          <w:color w:val="231F1F"/>
          <w:w w:val="105"/>
        </w:rPr>
        <w:t>menos</w:t>
      </w:r>
      <w:r>
        <w:rPr>
          <w:color w:val="231F1F"/>
          <w:spacing w:val="-5"/>
          <w:w w:val="105"/>
        </w:rPr>
        <w:t> </w:t>
      </w:r>
      <w:r>
        <w:rPr>
          <w:color w:val="231F1F"/>
          <w:w w:val="105"/>
        </w:rPr>
        <w:t>de</w:t>
      </w:r>
      <w:r>
        <w:rPr>
          <w:color w:val="231F1F"/>
          <w:spacing w:val="-4"/>
          <w:w w:val="105"/>
        </w:rPr>
        <w:t> </w:t>
      </w:r>
      <w:r>
        <w:rPr>
          <w:color w:val="231F1F"/>
          <w:w w:val="105"/>
        </w:rPr>
        <w:t>15</w:t>
      </w:r>
      <w:r>
        <w:rPr>
          <w:color w:val="231F1F"/>
          <w:spacing w:val="-4"/>
          <w:w w:val="105"/>
        </w:rPr>
        <w:t> </w:t>
      </w:r>
      <w:r>
        <w:rPr>
          <w:color w:val="231F1F"/>
          <w:w w:val="105"/>
        </w:rPr>
        <w:t>μg</w:t>
      </w:r>
      <w:r>
        <w:rPr>
          <w:color w:val="231F1F"/>
          <w:spacing w:val="-4"/>
          <w:w w:val="105"/>
        </w:rPr>
        <w:t> </w:t>
      </w:r>
      <w:r>
        <w:rPr>
          <w:color w:val="231F1F"/>
          <w:w w:val="105"/>
        </w:rPr>
        <w:t>no</w:t>
      </w:r>
    </w:p>
    <w:p>
      <w:pPr>
        <w:pStyle w:val="BodyText"/>
        <w:spacing w:line="247" w:lineRule="auto" w:before="3"/>
        <w:ind w:left="283" w:right="4"/>
        <w:jc w:val="both"/>
      </w:pPr>
      <w:r>
        <w:rPr>
          <w:color w:val="231F1F"/>
          <w:w w:val="105"/>
        </w:rPr>
        <w:t>(346). No hubo pruebas de diferencia en la incidencia de náuseas y vómitos, o alteraciones de la FCF. El otro ECA (347) mostró un efecto analgésico signi- ficativamente mayor (menos mujeres necesitaron suplemento) en el grupo de mujeres con analgesia combinada de 25 μg de fentanilo y 2,5 mg levobupiva- caína,</w:t>
      </w:r>
      <w:r>
        <w:rPr>
          <w:color w:val="231F1F"/>
          <w:spacing w:val="-7"/>
          <w:w w:val="105"/>
        </w:rPr>
        <w:t> </w:t>
      </w:r>
      <w:r>
        <w:rPr>
          <w:color w:val="231F1F"/>
          <w:w w:val="105"/>
        </w:rPr>
        <w:t>frente</w:t>
      </w:r>
      <w:r>
        <w:rPr>
          <w:color w:val="231F1F"/>
          <w:spacing w:val="-7"/>
          <w:w w:val="105"/>
        </w:rPr>
        <w:t> </w:t>
      </w:r>
      <w:r>
        <w:rPr>
          <w:color w:val="231F1F"/>
          <w:w w:val="105"/>
        </w:rPr>
        <w:t>a</w:t>
      </w:r>
      <w:r>
        <w:rPr>
          <w:color w:val="231F1F"/>
          <w:spacing w:val="-7"/>
          <w:w w:val="105"/>
        </w:rPr>
        <w:t> </w:t>
      </w:r>
      <w:r>
        <w:rPr>
          <w:color w:val="231F1F"/>
          <w:w w:val="105"/>
        </w:rPr>
        <w:t>analgesia</w:t>
      </w:r>
      <w:r>
        <w:rPr>
          <w:color w:val="231F1F"/>
          <w:spacing w:val="-7"/>
          <w:w w:val="105"/>
        </w:rPr>
        <w:t> </w:t>
      </w:r>
      <w:r>
        <w:rPr>
          <w:color w:val="231F1F"/>
          <w:w w:val="105"/>
        </w:rPr>
        <w:t>con</w:t>
      </w:r>
      <w:r>
        <w:rPr>
          <w:color w:val="231F1F"/>
          <w:spacing w:val="-7"/>
          <w:w w:val="105"/>
        </w:rPr>
        <w:t> </w:t>
      </w:r>
      <w:r>
        <w:rPr>
          <w:color w:val="231F1F"/>
          <w:w w:val="105"/>
        </w:rPr>
        <w:t>solo</w:t>
      </w:r>
      <w:r>
        <w:rPr>
          <w:color w:val="231F1F"/>
          <w:spacing w:val="-7"/>
          <w:w w:val="105"/>
        </w:rPr>
        <w:t> </w:t>
      </w:r>
      <w:r>
        <w:rPr>
          <w:color w:val="231F1F"/>
          <w:w w:val="105"/>
        </w:rPr>
        <w:t>levobupivacaina.</w:t>
      </w:r>
      <w:r>
        <w:rPr>
          <w:color w:val="231F1F"/>
          <w:spacing w:val="-7"/>
          <w:w w:val="105"/>
        </w:rPr>
        <w:t> </w:t>
      </w:r>
      <w:r>
        <w:rPr>
          <w:color w:val="231F1F"/>
          <w:w w:val="105"/>
        </w:rPr>
        <w:t>El</w:t>
      </w:r>
      <w:r>
        <w:rPr>
          <w:color w:val="231F1F"/>
          <w:spacing w:val="-7"/>
          <w:w w:val="105"/>
        </w:rPr>
        <w:t> </w:t>
      </w:r>
      <w:r>
        <w:rPr>
          <w:color w:val="231F1F"/>
          <w:w w:val="105"/>
        </w:rPr>
        <w:t>estudio</w:t>
      </w:r>
      <w:r>
        <w:rPr>
          <w:color w:val="231F1F"/>
          <w:spacing w:val="-6"/>
          <w:w w:val="105"/>
        </w:rPr>
        <w:t> </w:t>
      </w:r>
      <w:r>
        <w:rPr>
          <w:color w:val="231F1F"/>
          <w:w w:val="105"/>
        </w:rPr>
        <w:t>no</w:t>
      </w:r>
      <w:r>
        <w:rPr>
          <w:color w:val="231F1F"/>
          <w:spacing w:val="-7"/>
          <w:w w:val="105"/>
        </w:rPr>
        <w:t> </w:t>
      </w:r>
      <w:r>
        <w:rPr>
          <w:color w:val="231F1F"/>
          <w:w w:val="105"/>
        </w:rPr>
        <w:t>tuvo</w:t>
      </w:r>
      <w:r>
        <w:rPr>
          <w:color w:val="231F1F"/>
          <w:spacing w:val="-7"/>
          <w:w w:val="105"/>
        </w:rPr>
        <w:t> </w:t>
      </w:r>
      <w:r>
        <w:rPr>
          <w:color w:val="231F1F"/>
          <w:w w:val="105"/>
        </w:rPr>
        <w:t>suficien- te poder estadístico como para permitir la evaluación de los eventos adversos.</w:t>
      </w:r>
    </w:p>
    <w:p>
      <w:pPr>
        <w:pStyle w:val="BodyText"/>
        <w:spacing w:line="249" w:lineRule="auto" w:before="45"/>
        <w:ind w:left="283" w:firstLine="453"/>
        <w:jc w:val="both"/>
      </w:pPr>
      <w:r>
        <w:rPr>
          <w:color w:val="231F1F"/>
          <w:w w:val="105"/>
        </w:rPr>
        <w:t>En</w:t>
      </w:r>
      <w:r>
        <w:rPr>
          <w:color w:val="231F1F"/>
          <w:w w:val="105"/>
        </w:rPr>
        <w:t> resumen</w:t>
      </w:r>
      <w:r>
        <w:rPr>
          <w:color w:val="231F1F"/>
          <w:w w:val="105"/>
        </w:rPr>
        <w:t> se</w:t>
      </w:r>
      <w:r>
        <w:rPr>
          <w:color w:val="231F1F"/>
          <w:w w:val="105"/>
        </w:rPr>
        <w:t> observan</w:t>
      </w:r>
      <w:r>
        <w:rPr>
          <w:color w:val="231F1F"/>
          <w:w w:val="105"/>
        </w:rPr>
        <w:t> pruebas</w:t>
      </w:r>
      <w:r>
        <w:rPr>
          <w:color w:val="231F1F"/>
          <w:w w:val="105"/>
        </w:rPr>
        <w:t> de</w:t>
      </w:r>
      <w:r>
        <w:rPr>
          <w:color w:val="231F1F"/>
          <w:w w:val="105"/>
        </w:rPr>
        <w:t> que</w:t>
      </w:r>
      <w:r>
        <w:rPr>
          <w:color w:val="231F1F"/>
          <w:w w:val="105"/>
        </w:rPr>
        <w:t> los</w:t>
      </w:r>
      <w:r>
        <w:rPr>
          <w:color w:val="231F1F"/>
          <w:w w:val="105"/>
        </w:rPr>
        <w:t> opioides</w:t>
      </w:r>
      <w:r>
        <w:rPr>
          <w:color w:val="231F1F"/>
          <w:w w:val="105"/>
        </w:rPr>
        <w:t> por</w:t>
      </w:r>
      <w:r>
        <w:rPr>
          <w:color w:val="231F1F"/>
          <w:w w:val="105"/>
        </w:rPr>
        <w:t> vía</w:t>
      </w:r>
      <w:r>
        <w:rPr>
          <w:color w:val="231F1F"/>
          <w:w w:val="105"/>
        </w:rPr>
        <w:t> intratecal aumentan la incidencia de bradicardia fetal en la primera hora de la instaura- ción de la analgesia (345-347). Por lo que se sugiere que de haber anomalías de la FCF, será más problablemente durante el establecimiento o instauración de la analgesia neuroaxial.</w:t>
      </w:r>
    </w:p>
    <w:p>
      <w:pPr>
        <w:pStyle w:val="BodyText"/>
        <w:spacing w:line="244" w:lineRule="auto" w:before="129"/>
        <w:ind w:left="283" w:firstLine="453"/>
        <w:jc w:val="both"/>
      </w:pPr>
      <w:r>
        <w:rPr>
          <w:color w:val="231F1F"/>
          <w:w w:val="105"/>
        </w:rPr>
        <w:t>Por</w:t>
      </w:r>
      <w:r>
        <w:rPr>
          <w:color w:val="231F1F"/>
          <w:w w:val="105"/>
        </w:rPr>
        <w:t> otro</w:t>
      </w:r>
      <w:r>
        <w:rPr>
          <w:color w:val="231F1F"/>
          <w:w w:val="105"/>
        </w:rPr>
        <w:t> lado,</w:t>
      </w:r>
      <w:r>
        <w:rPr>
          <w:color w:val="231F1F"/>
          <w:w w:val="105"/>
        </w:rPr>
        <w:t> se</w:t>
      </w:r>
      <w:r>
        <w:rPr>
          <w:color w:val="231F1F"/>
          <w:w w:val="105"/>
        </w:rPr>
        <w:t> observa</w:t>
      </w:r>
      <w:r>
        <w:rPr>
          <w:color w:val="231F1F"/>
          <w:w w:val="105"/>
        </w:rPr>
        <w:t> que</w:t>
      </w:r>
      <w:r>
        <w:rPr>
          <w:color w:val="231F1F"/>
          <w:w w:val="105"/>
        </w:rPr>
        <w:t> la</w:t>
      </w:r>
      <w:r>
        <w:rPr>
          <w:color w:val="231F1F"/>
          <w:w w:val="105"/>
        </w:rPr>
        <w:t> combinación</w:t>
      </w:r>
      <w:r>
        <w:rPr>
          <w:color w:val="231F1F"/>
          <w:w w:val="105"/>
        </w:rPr>
        <w:t> de</w:t>
      </w:r>
      <w:r>
        <w:rPr>
          <w:color w:val="231F1F"/>
          <w:w w:val="105"/>
        </w:rPr>
        <w:t> anestésico</w:t>
      </w:r>
      <w:r>
        <w:rPr>
          <w:color w:val="231F1F"/>
          <w:w w:val="105"/>
        </w:rPr>
        <w:t> local</w:t>
      </w:r>
      <w:r>
        <w:rPr>
          <w:color w:val="231F1F"/>
          <w:w w:val="105"/>
        </w:rPr>
        <w:t> con fentanilo</w:t>
      </w:r>
      <w:r>
        <w:rPr>
          <w:color w:val="231F1F"/>
          <w:w w:val="105"/>
        </w:rPr>
        <w:t> intradural</w:t>
      </w:r>
      <w:r>
        <w:rPr>
          <w:color w:val="231F1F"/>
          <w:w w:val="105"/>
        </w:rPr>
        <w:t> tiene</w:t>
      </w:r>
      <w:r>
        <w:rPr>
          <w:color w:val="231F1F"/>
          <w:w w:val="105"/>
        </w:rPr>
        <w:t> un</w:t>
      </w:r>
      <w:r>
        <w:rPr>
          <w:color w:val="231F1F"/>
          <w:w w:val="105"/>
        </w:rPr>
        <w:t> mayor</w:t>
      </w:r>
      <w:r>
        <w:rPr>
          <w:color w:val="231F1F"/>
          <w:w w:val="105"/>
        </w:rPr>
        <w:t> y</w:t>
      </w:r>
      <w:r>
        <w:rPr>
          <w:color w:val="231F1F"/>
          <w:w w:val="105"/>
        </w:rPr>
        <w:t> más</w:t>
      </w:r>
      <w:r>
        <w:rPr>
          <w:color w:val="231F1F"/>
          <w:w w:val="105"/>
        </w:rPr>
        <w:t> duradera</w:t>
      </w:r>
      <w:r>
        <w:rPr>
          <w:color w:val="231F1F"/>
          <w:w w:val="105"/>
        </w:rPr>
        <w:t> eficacia</w:t>
      </w:r>
      <w:r>
        <w:rPr>
          <w:color w:val="231F1F"/>
          <w:w w:val="105"/>
        </w:rPr>
        <w:t> analgesica</w:t>
      </w:r>
      <w:r>
        <w:rPr>
          <w:color w:val="231F1F"/>
          <w:w w:val="105"/>
        </w:rPr>
        <w:t> que solo levobupivacaina (346;347).</w:t>
      </w:r>
    </w:p>
    <w:p>
      <w:pPr>
        <w:pStyle w:val="BodyText"/>
        <w:spacing w:before="162"/>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before="214"/>
        <w:ind w:left="283"/>
      </w:pPr>
      <w:r>
        <w:rPr>
          <w:color w:val="231F1F"/>
          <w:w w:val="110"/>
        </w:rPr>
        <w:t>No</w:t>
      </w:r>
      <w:r>
        <w:rPr>
          <w:color w:val="231F1F"/>
          <w:spacing w:val="-11"/>
          <w:w w:val="110"/>
        </w:rPr>
        <w:t> </w:t>
      </w:r>
      <w:r>
        <w:rPr>
          <w:color w:val="231F1F"/>
          <w:w w:val="110"/>
        </w:rPr>
        <w:t>se</w:t>
      </w:r>
      <w:r>
        <w:rPr>
          <w:color w:val="231F1F"/>
          <w:spacing w:val="-11"/>
          <w:w w:val="110"/>
        </w:rPr>
        <w:t> </w:t>
      </w:r>
      <w:r>
        <w:rPr>
          <w:color w:val="231F1F"/>
          <w:w w:val="110"/>
        </w:rPr>
        <w:t>han</w:t>
      </w:r>
      <w:r>
        <w:rPr>
          <w:color w:val="231F1F"/>
          <w:spacing w:val="-11"/>
          <w:w w:val="110"/>
        </w:rPr>
        <w:t> </w:t>
      </w:r>
      <w:r>
        <w:rPr>
          <w:color w:val="231F1F"/>
          <w:w w:val="110"/>
        </w:rPr>
        <w:t>seleccionado</w:t>
      </w:r>
      <w:r>
        <w:rPr>
          <w:color w:val="231F1F"/>
          <w:spacing w:val="-12"/>
          <w:w w:val="110"/>
        </w:rPr>
        <w:t> </w:t>
      </w:r>
      <w:r>
        <w:rPr>
          <w:color w:val="231F1F"/>
          <w:w w:val="110"/>
        </w:rPr>
        <w:t>nuevos</w:t>
      </w:r>
      <w:r>
        <w:rPr>
          <w:color w:val="231F1F"/>
          <w:spacing w:val="-11"/>
          <w:w w:val="110"/>
        </w:rPr>
        <w:t> </w:t>
      </w:r>
      <w:r>
        <w:rPr>
          <w:color w:val="231F1F"/>
          <w:w w:val="110"/>
        </w:rPr>
        <w:t>estudios,</w:t>
      </w:r>
      <w:r>
        <w:rPr>
          <w:color w:val="231F1F"/>
          <w:spacing w:val="-11"/>
          <w:w w:val="110"/>
        </w:rPr>
        <w:t> </w:t>
      </w:r>
      <w:r>
        <w:rPr>
          <w:color w:val="231F1F"/>
          <w:w w:val="110"/>
        </w:rPr>
        <w:t>por</w:t>
      </w:r>
      <w:r>
        <w:rPr>
          <w:color w:val="231F1F"/>
          <w:spacing w:val="-11"/>
          <w:w w:val="110"/>
        </w:rPr>
        <w:t> </w:t>
      </w:r>
      <w:r>
        <w:rPr>
          <w:color w:val="231F1F"/>
          <w:w w:val="110"/>
        </w:rPr>
        <w:t>lo</w:t>
      </w:r>
      <w:r>
        <w:rPr>
          <w:color w:val="231F1F"/>
          <w:spacing w:val="-11"/>
          <w:w w:val="110"/>
        </w:rPr>
        <w:t> </w:t>
      </w:r>
      <w:r>
        <w:rPr>
          <w:color w:val="231F1F"/>
          <w:w w:val="110"/>
        </w:rPr>
        <w:t>que</w:t>
      </w:r>
      <w:r>
        <w:rPr>
          <w:color w:val="231F1F"/>
          <w:spacing w:val="-11"/>
          <w:w w:val="110"/>
        </w:rPr>
        <w:t> </w:t>
      </w:r>
      <w:r>
        <w:rPr>
          <w:color w:val="231F1F"/>
          <w:w w:val="110"/>
        </w:rPr>
        <w:t>la</w:t>
      </w:r>
      <w:r>
        <w:rPr>
          <w:color w:val="231F1F"/>
          <w:spacing w:val="-11"/>
          <w:w w:val="110"/>
        </w:rPr>
        <w:t> </w:t>
      </w:r>
      <w:r>
        <w:rPr>
          <w:color w:val="231F1F"/>
          <w:w w:val="110"/>
        </w:rPr>
        <w:t>evidencia</w:t>
      </w:r>
      <w:r>
        <w:rPr>
          <w:color w:val="231F1F"/>
          <w:spacing w:val="-11"/>
          <w:w w:val="110"/>
        </w:rPr>
        <w:t> </w:t>
      </w:r>
      <w:r>
        <w:rPr>
          <w:color w:val="231F1F"/>
          <w:w w:val="110"/>
        </w:rPr>
        <w:t>viene</w:t>
      </w:r>
      <w:r>
        <w:rPr>
          <w:color w:val="231F1F"/>
          <w:spacing w:val="-11"/>
          <w:w w:val="110"/>
        </w:rPr>
        <w:t> </w:t>
      </w:r>
      <w:r>
        <w:rPr>
          <w:color w:val="231F1F"/>
          <w:w w:val="110"/>
        </w:rPr>
        <w:t>dada por la guía NICE (10).</w:t>
      </w:r>
    </w:p>
    <w:p>
      <w:pPr>
        <w:pStyle w:val="BodyText"/>
        <w:spacing w:line="249" w:lineRule="auto" w:before="147"/>
        <w:ind w:left="283" w:right="2" w:firstLine="453"/>
        <w:jc w:val="both"/>
      </w:pPr>
      <w:r>
        <w:rPr>
          <w:color w:val="231F1F"/>
          <w:w w:val="105"/>
        </w:rPr>
        <w:t>El</w:t>
      </w:r>
      <w:r>
        <w:rPr>
          <w:color w:val="231F1F"/>
          <w:w w:val="105"/>
        </w:rPr>
        <w:t> GEG</w:t>
      </w:r>
      <w:r>
        <w:rPr>
          <w:color w:val="231F1F"/>
          <w:w w:val="105"/>
        </w:rPr>
        <w:t> considera</w:t>
      </w:r>
      <w:r>
        <w:rPr>
          <w:color w:val="231F1F"/>
          <w:w w:val="105"/>
        </w:rPr>
        <w:t> que</w:t>
      </w:r>
      <w:r>
        <w:rPr>
          <w:color w:val="231F1F"/>
          <w:w w:val="105"/>
        </w:rPr>
        <w:t> los</w:t>
      </w:r>
      <w:r>
        <w:rPr>
          <w:color w:val="231F1F"/>
          <w:w w:val="105"/>
        </w:rPr>
        <w:t> resultados</w:t>
      </w:r>
      <w:r>
        <w:rPr>
          <w:color w:val="231F1F"/>
          <w:w w:val="105"/>
        </w:rPr>
        <w:t> observados</w:t>
      </w:r>
      <w:r>
        <w:rPr>
          <w:color w:val="231F1F"/>
          <w:w w:val="105"/>
        </w:rPr>
        <w:t> sobre</w:t>
      </w:r>
      <w:r>
        <w:rPr>
          <w:color w:val="231F1F"/>
          <w:w w:val="105"/>
        </w:rPr>
        <w:t> los</w:t>
      </w:r>
      <w:r>
        <w:rPr>
          <w:color w:val="231F1F"/>
          <w:w w:val="105"/>
        </w:rPr>
        <w:t> efectos</w:t>
      </w:r>
      <w:r>
        <w:rPr>
          <w:color w:val="231F1F"/>
          <w:w w:val="105"/>
        </w:rPr>
        <w:t> ad- versos</w:t>
      </w:r>
      <w:r>
        <w:rPr>
          <w:color w:val="231F1F"/>
          <w:spacing w:val="36"/>
          <w:w w:val="105"/>
        </w:rPr>
        <w:t> </w:t>
      </w:r>
      <w:r>
        <w:rPr>
          <w:color w:val="231F1F"/>
          <w:w w:val="105"/>
        </w:rPr>
        <w:t>de</w:t>
      </w:r>
      <w:r>
        <w:rPr>
          <w:color w:val="231F1F"/>
          <w:spacing w:val="36"/>
          <w:w w:val="105"/>
        </w:rPr>
        <w:t> </w:t>
      </w:r>
      <w:r>
        <w:rPr>
          <w:color w:val="231F1F"/>
          <w:w w:val="105"/>
        </w:rPr>
        <w:t>la</w:t>
      </w:r>
      <w:r>
        <w:rPr>
          <w:color w:val="231F1F"/>
          <w:spacing w:val="36"/>
          <w:w w:val="105"/>
        </w:rPr>
        <w:t> </w:t>
      </w:r>
      <w:r>
        <w:rPr>
          <w:color w:val="231F1F"/>
          <w:w w:val="105"/>
        </w:rPr>
        <w:t>analgesia</w:t>
      </w:r>
      <w:r>
        <w:rPr>
          <w:color w:val="231F1F"/>
          <w:spacing w:val="36"/>
          <w:w w:val="105"/>
        </w:rPr>
        <w:t> </w:t>
      </w:r>
      <w:r>
        <w:rPr>
          <w:color w:val="231F1F"/>
          <w:w w:val="105"/>
        </w:rPr>
        <w:t>neuroaxial</w:t>
      </w:r>
      <w:r>
        <w:rPr>
          <w:color w:val="231F1F"/>
          <w:spacing w:val="35"/>
          <w:w w:val="105"/>
        </w:rPr>
        <w:t> </w:t>
      </w:r>
      <w:r>
        <w:rPr>
          <w:color w:val="231F1F"/>
          <w:w w:val="105"/>
        </w:rPr>
        <w:t>pueden</w:t>
      </w:r>
      <w:r>
        <w:rPr>
          <w:color w:val="231F1F"/>
          <w:spacing w:val="36"/>
          <w:w w:val="105"/>
        </w:rPr>
        <w:t> </w:t>
      </w:r>
      <w:r>
        <w:rPr>
          <w:color w:val="231F1F"/>
          <w:w w:val="105"/>
        </w:rPr>
        <w:t>ayudar</w:t>
      </w:r>
      <w:r>
        <w:rPr>
          <w:color w:val="231F1F"/>
          <w:spacing w:val="36"/>
          <w:w w:val="105"/>
        </w:rPr>
        <w:t> </w:t>
      </w:r>
      <w:r>
        <w:rPr>
          <w:color w:val="231F1F"/>
          <w:w w:val="105"/>
        </w:rPr>
        <w:t>a</w:t>
      </w:r>
      <w:r>
        <w:rPr>
          <w:color w:val="231F1F"/>
          <w:spacing w:val="36"/>
          <w:w w:val="105"/>
        </w:rPr>
        <w:t> </w:t>
      </w:r>
      <w:r>
        <w:rPr>
          <w:color w:val="231F1F"/>
          <w:w w:val="105"/>
        </w:rPr>
        <w:t>determinar</w:t>
      </w:r>
      <w:r>
        <w:rPr>
          <w:color w:val="231F1F"/>
          <w:spacing w:val="36"/>
          <w:w w:val="105"/>
        </w:rPr>
        <w:t> </w:t>
      </w:r>
      <w:r>
        <w:rPr>
          <w:color w:val="231F1F"/>
          <w:w w:val="105"/>
        </w:rPr>
        <w:t>la</w:t>
      </w:r>
      <w:r>
        <w:rPr>
          <w:color w:val="231F1F"/>
          <w:spacing w:val="36"/>
          <w:w w:val="105"/>
        </w:rPr>
        <w:t> </w:t>
      </w:r>
      <w:r>
        <w:rPr>
          <w:color w:val="231F1F"/>
          <w:w w:val="105"/>
        </w:rPr>
        <w:t>necesidad del tipo de vigilancia y observaciones a realizar en las mujeres sanas de parto que</w:t>
      </w:r>
      <w:r>
        <w:rPr>
          <w:color w:val="231F1F"/>
          <w:spacing w:val="40"/>
          <w:w w:val="105"/>
        </w:rPr>
        <w:t> </w:t>
      </w:r>
      <w:r>
        <w:rPr>
          <w:color w:val="231F1F"/>
          <w:w w:val="105"/>
        </w:rPr>
        <w:t>utilizan</w:t>
      </w:r>
      <w:r>
        <w:rPr>
          <w:color w:val="231F1F"/>
          <w:spacing w:val="40"/>
          <w:w w:val="105"/>
        </w:rPr>
        <w:t> </w:t>
      </w:r>
      <w:r>
        <w:rPr>
          <w:color w:val="231F1F"/>
          <w:w w:val="105"/>
        </w:rPr>
        <w:t>analgesia</w:t>
      </w:r>
      <w:r>
        <w:rPr>
          <w:color w:val="231F1F"/>
          <w:spacing w:val="40"/>
          <w:w w:val="105"/>
        </w:rPr>
        <w:t> </w:t>
      </w:r>
      <w:r>
        <w:rPr>
          <w:color w:val="231F1F"/>
          <w:w w:val="105"/>
        </w:rPr>
        <w:t>neuroaxial.</w:t>
      </w:r>
      <w:r>
        <w:rPr>
          <w:color w:val="231F1F"/>
          <w:spacing w:val="40"/>
          <w:w w:val="105"/>
        </w:rPr>
        <w:t> </w:t>
      </w:r>
      <w:r>
        <w:rPr>
          <w:color w:val="231F1F"/>
          <w:w w:val="105"/>
        </w:rPr>
        <w:t>(Ver</w:t>
      </w:r>
      <w:r>
        <w:rPr>
          <w:color w:val="231F1F"/>
          <w:spacing w:val="40"/>
          <w:w w:val="105"/>
        </w:rPr>
        <w:t> </w:t>
      </w:r>
      <w:r>
        <w:rPr>
          <w:color w:val="231F1F"/>
          <w:w w:val="105"/>
        </w:rPr>
        <w:t>Anexo</w:t>
      </w:r>
      <w:r>
        <w:rPr>
          <w:color w:val="231F1F"/>
          <w:spacing w:val="40"/>
          <w:w w:val="105"/>
        </w:rPr>
        <w:t> </w:t>
      </w:r>
      <w:r>
        <w:rPr>
          <w:color w:val="231F1F"/>
          <w:w w:val="105"/>
        </w:rPr>
        <w:t>2.4.2.)</w:t>
      </w:r>
    </w:p>
    <w:p>
      <w:pPr>
        <w:pStyle w:val="BodyText"/>
        <w:spacing w:before="158"/>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78" w:lineRule="auto" w:before="124"/>
        <w:ind w:left="59" w:right="124" w:firstLine="0"/>
        <w:jc w:val="center"/>
        <w:rPr>
          <w:rFonts w:ascii="Arial MT"/>
          <w:sz w:val="18"/>
        </w:rPr>
      </w:pPr>
      <w:r>
        <w:rPr/>
        <w:br w:type="column"/>
      </w:r>
      <w:r>
        <w:rPr>
          <w:rFonts w:ascii="Arial MT"/>
          <w:color w:val="231F1F"/>
          <w:spacing w:val="-4"/>
          <w:sz w:val="18"/>
        </w:rPr>
        <w:t>RS-MA</w:t>
      </w:r>
      <w:r>
        <w:rPr>
          <w:rFonts w:ascii="Arial MT"/>
          <w:color w:val="231F1F"/>
          <w:spacing w:val="-17"/>
          <w:sz w:val="18"/>
        </w:rPr>
        <w:t> </w:t>
      </w:r>
      <w:r>
        <w:rPr>
          <w:rFonts w:ascii="Arial MT"/>
          <w:color w:val="231F1F"/>
          <w:spacing w:val="-4"/>
          <w:sz w:val="18"/>
        </w:rPr>
        <w:t>de ECAs</w:t>
      </w:r>
    </w:p>
    <w:p>
      <w:pPr>
        <w:spacing w:line="202" w:lineRule="exact" w:before="0"/>
        <w:ind w:left="60" w:right="123" w:firstLine="0"/>
        <w:jc w:val="center"/>
        <w:rPr>
          <w:rFonts w:ascii="Arial MT"/>
          <w:sz w:val="18"/>
        </w:rPr>
      </w:pPr>
      <w:r>
        <w:rPr>
          <w:rFonts w:ascii="Arial MT"/>
          <w:color w:val="231F1F"/>
          <w:spacing w:val="-5"/>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06"/>
        <w:rPr>
          <w:rFonts w:ascii="Arial MT"/>
          <w:sz w:val="18"/>
        </w:rPr>
      </w:pPr>
    </w:p>
    <w:p>
      <w:pPr>
        <w:spacing w:line="278" w:lineRule="auto" w:before="0"/>
        <w:ind w:left="389" w:right="441" w:firstLine="0"/>
        <w:jc w:val="center"/>
        <w:rPr>
          <w:rFonts w:ascii="Arial MT"/>
          <w:sz w:val="18"/>
        </w:rPr>
      </w:pPr>
      <w:r>
        <w:rPr>
          <w:rFonts w:ascii="Arial MT"/>
          <w:color w:val="231F1F"/>
          <w:spacing w:val="-8"/>
          <w:sz w:val="18"/>
        </w:rPr>
        <w:t>ECA </w:t>
      </w:r>
      <w:r>
        <w:rPr>
          <w:rFonts w:ascii="Arial MT"/>
          <w:color w:val="231F1F"/>
          <w:spacing w:val="-6"/>
          <w:sz w:val="18"/>
        </w:rPr>
        <w:t>1+</w:t>
      </w:r>
    </w:p>
    <w:p>
      <w:pPr>
        <w:spacing w:after="0" w:line="278" w:lineRule="auto"/>
        <w:jc w:val="center"/>
        <w:rPr>
          <w:rFonts w:ascii="Arial MT"/>
          <w:sz w:val="18"/>
        </w:rPr>
        <w:sectPr>
          <w:pgSz w:w="11900" w:h="16840"/>
          <w:pgMar w:header="0" w:footer="622" w:top="1560" w:bottom="2604" w:left="1417" w:right="1559"/>
          <w:cols w:num="2" w:equalWidth="0">
            <w:col w:w="7554" w:space="40"/>
            <w:col w:w="1330"/>
          </w:cols>
        </w:sectPr>
      </w:pP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sz w:val="22"/>
              </w:rPr>
              <w:t>La</w:t>
            </w:r>
            <w:r>
              <w:rPr>
                <w:color w:val="231F1F"/>
                <w:spacing w:val="33"/>
                <w:sz w:val="22"/>
              </w:rPr>
              <w:t> </w:t>
            </w:r>
            <w:r>
              <w:rPr>
                <w:color w:val="231F1F"/>
                <w:sz w:val="22"/>
              </w:rPr>
              <w:t>analgesia</w:t>
            </w:r>
            <w:r>
              <w:rPr>
                <w:color w:val="231F1F"/>
                <w:spacing w:val="33"/>
                <w:sz w:val="22"/>
              </w:rPr>
              <w:t> </w:t>
            </w:r>
            <w:r>
              <w:rPr>
                <w:color w:val="231F1F"/>
                <w:sz w:val="22"/>
              </w:rPr>
              <w:t>epidural</w:t>
            </w:r>
            <w:r>
              <w:rPr>
                <w:color w:val="231F1F"/>
                <w:spacing w:val="33"/>
                <w:sz w:val="22"/>
              </w:rPr>
              <w:t> </w:t>
            </w:r>
            <w:r>
              <w:rPr>
                <w:color w:val="231F1F"/>
                <w:sz w:val="22"/>
              </w:rPr>
              <w:t>produce</w:t>
            </w:r>
            <w:r>
              <w:rPr>
                <w:color w:val="231F1F"/>
                <w:spacing w:val="33"/>
                <w:sz w:val="22"/>
              </w:rPr>
              <w:t> </w:t>
            </w:r>
            <w:r>
              <w:rPr>
                <w:color w:val="231F1F"/>
                <w:sz w:val="22"/>
              </w:rPr>
              <w:t>un</w:t>
            </w:r>
            <w:r>
              <w:rPr>
                <w:color w:val="231F1F"/>
                <w:spacing w:val="33"/>
                <w:sz w:val="22"/>
              </w:rPr>
              <w:t> </w:t>
            </w:r>
            <w:r>
              <w:rPr>
                <w:color w:val="231F1F"/>
                <w:sz w:val="22"/>
              </w:rPr>
              <w:t>incremento</w:t>
            </w:r>
            <w:r>
              <w:rPr>
                <w:color w:val="231F1F"/>
                <w:spacing w:val="33"/>
                <w:sz w:val="22"/>
              </w:rPr>
              <w:t> </w:t>
            </w:r>
            <w:r>
              <w:rPr>
                <w:color w:val="231F1F"/>
                <w:sz w:val="22"/>
              </w:rPr>
              <w:t>significativo</w:t>
            </w:r>
            <w:r>
              <w:rPr>
                <w:color w:val="231F1F"/>
                <w:spacing w:val="32"/>
                <w:sz w:val="22"/>
              </w:rPr>
              <w:t> </w:t>
            </w:r>
            <w:r>
              <w:rPr>
                <w:color w:val="231F1F"/>
                <w:sz w:val="22"/>
              </w:rPr>
              <w:t>de</w:t>
            </w:r>
            <w:r>
              <w:rPr>
                <w:color w:val="231F1F"/>
                <w:spacing w:val="33"/>
                <w:sz w:val="22"/>
              </w:rPr>
              <w:t> </w:t>
            </w:r>
            <w:r>
              <w:rPr>
                <w:color w:val="231F1F"/>
                <w:sz w:val="22"/>
              </w:rPr>
              <w:t>hipotensión,</w:t>
            </w:r>
            <w:r>
              <w:rPr>
                <w:color w:val="231F1F"/>
                <w:spacing w:val="40"/>
                <w:w w:val="110"/>
                <w:sz w:val="22"/>
              </w:rPr>
              <w:t> </w:t>
            </w:r>
            <w:r>
              <w:rPr>
                <w:color w:val="231F1F"/>
                <w:w w:val="110"/>
                <w:sz w:val="22"/>
              </w:rPr>
              <w:t>fiebre materna, retención urinaria (310;341).</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1242" w:hRule="atLeast"/>
        </w:trPr>
        <w:tc>
          <w:tcPr>
            <w:tcW w:w="7373" w:type="dxa"/>
          </w:tcPr>
          <w:p>
            <w:pPr>
              <w:pStyle w:val="TableParagraph"/>
              <w:spacing w:line="254" w:lineRule="auto" w:before="49"/>
              <w:ind w:right="88"/>
              <w:jc w:val="both"/>
              <w:rPr>
                <w:sz w:val="22"/>
              </w:rPr>
            </w:pPr>
            <w:r>
              <w:rPr>
                <w:color w:val="231F1F"/>
                <w:w w:val="110"/>
                <w:sz w:val="22"/>
              </w:rPr>
              <w:t>La</w:t>
            </w:r>
            <w:r>
              <w:rPr>
                <w:color w:val="231F1F"/>
                <w:spacing w:val="-2"/>
                <w:w w:val="110"/>
                <w:sz w:val="22"/>
              </w:rPr>
              <w:t> </w:t>
            </w:r>
            <w:r>
              <w:rPr>
                <w:color w:val="231F1F"/>
                <w:w w:val="110"/>
                <w:sz w:val="22"/>
              </w:rPr>
              <w:t>incidencia</w:t>
            </w:r>
            <w:r>
              <w:rPr>
                <w:color w:val="231F1F"/>
                <w:spacing w:val="-2"/>
                <w:w w:val="110"/>
                <w:sz w:val="22"/>
              </w:rPr>
              <w:t> </w:t>
            </w:r>
            <w:r>
              <w:rPr>
                <w:color w:val="231F1F"/>
                <w:w w:val="110"/>
                <w:sz w:val="22"/>
              </w:rPr>
              <w:t>de</w:t>
            </w:r>
            <w:r>
              <w:rPr>
                <w:color w:val="231F1F"/>
                <w:spacing w:val="-2"/>
                <w:w w:val="110"/>
                <w:sz w:val="22"/>
              </w:rPr>
              <w:t> </w:t>
            </w:r>
            <w:r>
              <w:rPr>
                <w:color w:val="231F1F"/>
                <w:w w:val="110"/>
                <w:sz w:val="22"/>
              </w:rPr>
              <w:t>anomalias</w:t>
            </w:r>
            <w:r>
              <w:rPr>
                <w:color w:val="231F1F"/>
                <w:spacing w:val="-3"/>
                <w:w w:val="110"/>
                <w:sz w:val="22"/>
              </w:rPr>
              <w:t> </w:t>
            </w:r>
            <w:r>
              <w:rPr>
                <w:color w:val="231F1F"/>
                <w:w w:val="110"/>
                <w:sz w:val="22"/>
              </w:rPr>
              <w:t>en</w:t>
            </w:r>
            <w:r>
              <w:rPr>
                <w:color w:val="231F1F"/>
                <w:spacing w:val="-2"/>
                <w:w w:val="110"/>
                <w:sz w:val="22"/>
              </w:rPr>
              <w:t> </w:t>
            </w:r>
            <w:r>
              <w:rPr>
                <w:color w:val="231F1F"/>
                <w:w w:val="110"/>
                <w:sz w:val="22"/>
              </w:rPr>
              <w:t>la</w:t>
            </w:r>
            <w:r>
              <w:rPr>
                <w:color w:val="231F1F"/>
                <w:spacing w:val="-2"/>
                <w:w w:val="110"/>
                <w:sz w:val="22"/>
              </w:rPr>
              <w:t> </w:t>
            </w:r>
            <w:r>
              <w:rPr>
                <w:color w:val="231F1F"/>
                <w:w w:val="110"/>
                <w:sz w:val="22"/>
              </w:rPr>
              <w:t>FCF</w:t>
            </w:r>
            <w:r>
              <w:rPr>
                <w:color w:val="231F1F"/>
                <w:spacing w:val="-2"/>
                <w:w w:val="110"/>
                <w:sz w:val="22"/>
              </w:rPr>
              <w:t> </w:t>
            </w:r>
            <w:r>
              <w:rPr>
                <w:color w:val="231F1F"/>
                <w:w w:val="110"/>
                <w:sz w:val="22"/>
              </w:rPr>
              <w:t>es</w:t>
            </w:r>
            <w:r>
              <w:rPr>
                <w:color w:val="231F1F"/>
                <w:spacing w:val="-2"/>
                <w:w w:val="110"/>
                <w:sz w:val="22"/>
              </w:rPr>
              <w:t> </w:t>
            </w:r>
            <w:r>
              <w:rPr>
                <w:color w:val="231F1F"/>
                <w:w w:val="110"/>
                <w:sz w:val="22"/>
              </w:rPr>
              <w:t>similar</w:t>
            </w:r>
            <w:r>
              <w:rPr>
                <w:color w:val="231F1F"/>
                <w:spacing w:val="-3"/>
                <w:w w:val="110"/>
                <w:sz w:val="22"/>
              </w:rPr>
              <w:t> </w:t>
            </w:r>
            <w:r>
              <w:rPr>
                <w:color w:val="231F1F"/>
                <w:w w:val="110"/>
                <w:sz w:val="22"/>
              </w:rPr>
              <w:t>en</w:t>
            </w:r>
            <w:r>
              <w:rPr>
                <w:color w:val="231F1F"/>
                <w:spacing w:val="-2"/>
                <w:w w:val="110"/>
                <w:sz w:val="22"/>
              </w:rPr>
              <w:t> </w:t>
            </w:r>
            <w:r>
              <w:rPr>
                <w:color w:val="231F1F"/>
                <w:w w:val="110"/>
                <w:sz w:val="22"/>
              </w:rPr>
              <w:t>mujeres</w:t>
            </w:r>
            <w:r>
              <w:rPr>
                <w:color w:val="231F1F"/>
                <w:spacing w:val="-2"/>
                <w:w w:val="110"/>
                <w:sz w:val="22"/>
              </w:rPr>
              <w:t> </w:t>
            </w:r>
            <w:r>
              <w:rPr>
                <w:color w:val="231F1F"/>
                <w:w w:val="110"/>
                <w:sz w:val="22"/>
              </w:rPr>
              <w:t>con</w:t>
            </w:r>
            <w:r>
              <w:rPr>
                <w:color w:val="231F1F"/>
                <w:spacing w:val="-2"/>
                <w:w w:val="110"/>
                <w:sz w:val="22"/>
              </w:rPr>
              <w:t> </w:t>
            </w:r>
            <w:r>
              <w:rPr>
                <w:color w:val="231F1F"/>
                <w:w w:val="110"/>
                <w:sz w:val="22"/>
              </w:rPr>
              <w:t>analgesia </w:t>
            </w:r>
            <w:r>
              <w:rPr>
                <w:color w:val="231F1F"/>
                <w:sz w:val="22"/>
              </w:rPr>
              <w:t>epidural en comparción con mujeres con meperidina (344). Las mujeres con </w:t>
            </w:r>
            <w:r>
              <w:rPr>
                <w:color w:val="231F1F"/>
                <w:w w:val="110"/>
                <w:sz w:val="22"/>
              </w:rPr>
              <w:t>analgesia</w:t>
            </w:r>
            <w:r>
              <w:rPr>
                <w:color w:val="231F1F"/>
                <w:spacing w:val="-9"/>
                <w:w w:val="110"/>
                <w:sz w:val="22"/>
              </w:rPr>
              <w:t> </w:t>
            </w:r>
            <w:r>
              <w:rPr>
                <w:color w:val="231F1F"/>
                <w:w w:val="110"/>
                <w:sz w:val="22"/>
              </w:rPr>
              <w:t>epidural</w:t>
            </w:r>
            <w:r>
              <w:rPr>
                <w:color w:val="231F1F"/>
                <w:spacing w:val="-9"/>
                <w:w w:val="110"/>
                <w:sz w:val="22"/>
              </w:rPr>
              <w:t> </w:t>
            </w:r>
            <w:r>
              <w:rPr>
                <w:color w:val="231F1F"/>
                <w:w w:val="110"/>
                <w:sz w:val="22"/>
              </w:rPr>
              <w:t>tenían</w:t>
            </w:r>
            <w:r>
              <w:rPr>
                <w:color w:val="231F1F"/>
                <w:spacing w:val="-9"/>
                <w:w w:val="110"/>
                <w:sz w:val="22"/>
              </w:rPr>
              <w:t> </w:t>
            </w:r>
            <w:r>
              <w:rPr>
                <w:color w:val="231F1F"/>
                <w:w w:val="110"/>
                <w:sz w:val="22"/>
              </w:rPr>
              <w:t>menor</w:t>
            </w:r>
            <w:r>
              <w:rPr>
                <w:color w:val="231F1F"/>
                <w:spacing w:val="-9"/>
                <w:w w:val="110"/>
                <w:sz w:val="22"/>
              </w:rPr>
              <w:t> </w:t>
            </w:r>
            <w:r>
              <w:rPr>
                <w:color w:val="231F1F"/>
                <w:w w:val="110"/>
                <w:sz w:val="22"/>
              </w:rPr>
              <w:t>variabilidad</w:t>
            </w:r>
            <w:r>
              <w:rPr>
                <w:color w:val="231F1F"/>
                <w:spacing w:val="-9"/>
                <w:w w:val="110"/>
                <w:sz w:val="22"/>
              </w:rPr>
              <w:t> </w:t>
            </w:r>
            <w:r>
              <w:rPr>
                <w:color w:val="231F1F"/>
                <w:w w:val="110"/>
                <w:sz w:val="22"/>
              </w:rPr>
              <w:t>en</w:t>
            </w:r>
            <w:r>
              <w:rPr>
                <w:color w:val="231F1F"/>
                <w:spacing w:val="-9"/>
                <w:w w:val="110"/>
                <w:sz w:val="22"/>
              </w:rPr>
              <w:t> </w:t>
            </w:r>
            <w:r>
              <w:rPr>
                <w:color w:val="231F1F"/>
                <w:w w:val="110"/>
                <w:sz w:val="22"/>
              </w:rPr>
              <w:t>la</w:t>
            </w:r>
            <w:r>
              <w:rPr>
                <w:color w:val="231F1F"/>
                <w:spacing w:val="-9"/>
                <w:w w:val="110"/>
                <w:sz w:val="22"/>
              </w:rPr>
              <w:t> </w:t>
            </w:r>
            <w:r>
              <w:rPr>
                <w:color w:val="231F1F"/>
                <w:w w:val="110"/>
                <w:sz w:val="22"/>
              </w:rPr>
              <w:t>FCF,</w:t>
            </w:r>
            <w:r>
              <w:rPr>
                <w:color w:val="231F1F"/>
                <w:spacing w:val="-9"/>
                <w:w w:val="110"/>
                <w:sz w:val="22"/>
              </w:rPr>
              <w:t> </w:t>
            </w:r>
            <w:r>
              <w:rPr>
                <w:color w:val="231F1F"/>
                <w:w w:val="110"/>
                <w:sz w:val="22"/>
              </w:rPr>
              <w:t>más</w:t>
            </w:r>
            <w:r>
              <w:rPr>
                <w:color w:val="231F1F"/>
                <w:spacing w:val="-9"/>
                <w:w w:val="110"/>
                <w:sz w:val="22"/>
              </w:rPr>
              <w:t> </w:t>
            </w:r>
            <w:r>
              <w:rPr>
                <w:color w:val="231F1F"/>
                <w:w w:val="110"/>
                <w:sz w:val="22"/>
              </w:rPr>
              <w:t>aceleraciones aunque la incidencia de deceleraciones fue similar (343).</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bl>
    <w:p>
      <w:pPr>
        <w:pStyle w:val="TableParagraph"/>
        <w:spacing w:after="0"/>
        <w:jc w:val="center"/>
        <w:rPr>
          <w:sz w:val="22"/>
        </w:rPr>
        <w:sectPr>
          <w:type w:val="continuous"/>
          <w:pgSz w:w="11900" w:h="16840"/>
          <w:pgMar w:header="0" w:footer="622" w:top="560" w:bottom="280"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sz w:val="22"/>
              </w:rPr>
              <w:t>Durante</w:t>
            </w:r>
            <w:r>
              <w:rPr>
                <w:color w:val="231F1F"/>
                <w:spacing w:val="31"/>
                <w:sz w:val="22"/>
              </w:rPr>
              <w:t> </w:t>
            </w:r>
            <w:r>
              <w:rPr>
                <w:color w:val="231F1F"/>
                <w:sz w:val="22"/>
              </w:rPr>
              <w:t>el</w:t>
            </w:r>
            <w:r>
              <w:rPr>
                <w:color w:val="231F1F"/>
                <w:spacing w:val="33"/>
                <w:sz w:val="22"/>
              </w:rPr>
              <w:t> </w:t>
            </w:r>
            <w:r>
              <w:rPr>
                <w:color w:val="231F1F"/>
                <w:sz w:val="22"/>
              </w:rPr>
              <w:t>establecimieto</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analgesia</w:t>
            </w:r>
            <w:r>
              <w:rPr>
                <w:color w:val="231F1F"/>
                <w:spacing w:val="33"/>
                <w:sz w:val="22"/>
              </w:rPr>
              <w:t> </w:t>
            </w:r>
            <w:r>
              <w:rPr>
                <w:color w:val="231F1F"/>
                <w:sz w:val="22"/>
              </w:rPr>
              <w:t>con</w:t>
            </w:r>
            <w:r>
              <w:rPr>
                <w:color w:val="231F1F"/>
                <w:spacing w:val="33"/>
                <w:sz w:val="22"/>
              </w:rPr>
              <w:t> </w:t>
            </w:r>
            <w:r>
              <w:rPr>
                <w:color w:val="231F1F"/>
                <w:sz w:val="22"/>
              </w:rPr>
              <w:t>opioides</w:t>
            </w:r>
            <w:r>
              <w:rPr>
                <w:color w:val="231F1F"/>
                <w:spacing w:val="33"/>
                <w:sz w:val="22"/>
              </w:rPr>
              <w:t> </w:t>
            </w:r>
            <w:r>
              <w:rPr>
                <w:color w:val="231F1F"/>
                <w:sz w:val="22"/>
              </w:rPr>
              <w:t>por</w:t>
            </w:r>
            <w:r>
              <w:rPr>
                <w:color w:val="231F1F"/>
                <w:spacing w:val="31"/>
                <w:sz w:val="22"/>
              </w:rPr>
              <w:t> </w:t>
            </w:r>
            <w:r>
              <w:rPr>
                <w:color w:val="231F1F"/>
                <w:sz w:val="22"/>
              </w:rPr>
              <w:t>vía</w:t>
            </w:r>
            <w:r>
              <w:rPr>
                <w:color w:val="231F1F"/>
                <w:spacing w:val="33"/>
                <w:sz w:val="22"/>
              </w:rPr>
              <w:t> </w:t>
            </w:r>
            <w:r>
              <w:rPr>
                <w:color w:val="231F1F"/>
                <w:sz w:val="22"/>
              </w:rPr>
              <w:t>intradural</w:t>
            </w:r>
            <w:r>
              <w:rPr>
                <w:color w:val="231F1F"/>
                <w:spacing w:val="31"/>
                <w:sz w:val="22"/>
              </w:rPr>
              <w:t> </w:t>
            </w:r>
            <w:r>
              <w:rPr>
                <w:color w:val="231F1F"/>
                <w:sz w:val="22"/>
              </w:rPr>
              <w:t>se </w:t>
            </w:r>
            <w:r>
              <w:rPr>
                <w:color w:val="231F1F"/>
                <w:w w:val="110"/>
                <w:sz w:val="22"/>
              </w:rPr>
              <w:t>incrementa la incidencia de bradicardia fetal (345-347).</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BodyText"/>
        <w:spacing w:before="17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3" w:right="86"/>
              <w:jc w:val="center"/>
              <w:rPr>
                <w:sz w:val="22"/>
              </w:rPr>
            </w:pPr>
            <w:r>
              <w:rPr>
                <w:color w:val="231F1F"/>
                <w:spacing w:val="-10"/>
                <w:w w:val="110"/>
                <w:sz w:val="22"/>
              </w:rPr>
              <w:t>√</w:t>
            </w:r>
          </w:p>
        </w:tc>
        <w:tc>
          <w:tcPr>
            <w:tcW w:w="8050" w:type="dxa"/>
          </w:tcPr>
          <w:p>
            <w:pPr>
              <w:pStyle w:val="TableParagraph"/>
              <w:spacing w:line="244" w:lineRule="auto" w:before="44"/>
              <w:ind w:right="155"/>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el</w:t>
            </w:r>
            <w:r>
              <w:rPr>
                <w:color w:val="231F1F"/>
                <w:spacing w:val="-8"/>
                <w:w w:val="110"/>
                <w:sz w:val="22"/>
              </w:rPr>
              <w:t> </w:t>
            </w:r>
            <w:r>
              <w:rPr>
                <w:color w:val="231F1F"/>
                <w:w w:val="110"/>
                <w:sz w:val="22"/>
              </w:rPr>
              <w:t>control</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w:t>
            </w:r>
            <w:r>
              <w:rPr>
                <w:color w:val="231F1F"/>
                <w:spacing w:val="-8"/>
                <w:w w:val="110"/>
                <w:sz w:val="22"/>
              </w:rPr>
              <w:t> </w:t>
            </w:r>
            <w:r>
              <w:rPr>
                <w:color w:val="231F1F"/>
                <w:w w:val="110"/>
                <w:sz w:val="22"/>
              </w:rPr>
              <w:t>tensión</w:t>
            </w:r>
            <w:r>
              <w:rPr>
                <w:color w:val="231F1F"/>
                <w:spacing w:val="-8"/>
                <w:w w:val="110"/>
                <w:sz w:val="22"/>
              </w:rPr>
              <w:t> </w:t>
            </w:r>
            <w:r>
              <w:rPr>
                <w:color w:val="231F1F"/>
                <w:w w:val="110"/>
                <w:sz w:val="22"/>
              </w:rPr>
              <w:t>arterial</w:t>
            </w:r>
            <w:r>
              <w:rPr>
                <w:color w:val="231F1F"/>
                <w:spacing w:val="-9"/>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establecimiento</w:t>
            </w:r>
            <w:r>
              <w:rPr>
                <w:color w:val="231F1F"/>
                <w:spacing w:val="-8"/>
                <w:w w:val="110"/>
                <w:sz w:val="22"/>
              </w:rPr>
              <w:t> </w:t>
            </w:r>
            <w:r>
              <w:rPr>
                <w:color w:val="231F1F"/>
                <w:w w:val="110"/>
                <w:sz w:val="22"/>
              </w:rPr>
              <w:t>de</w:t>
            </w:r>
            <w:r>
              <w:rPr>
                <w:color w:val="231F1F"/>
                <w:spacing w:val="-8"/>
                <w:w w:val="110"/>
                <w:sz w:val="22"/>
              </w:rPr>
              <w:t> </w:t>
            </w:r>
            <w:r>
              <w:rPr>
                <w:color w:val="231F1F"/>
                <w:w w:val="110"/>
                <w:sz w:val="22"/>
              </w:rPr>
              <w:t>la analgesia neuroaxial y tras la administración de cada nueva dosis.</w:t>
            </w:r>
          </w:p>
        </w:tc>
      </w:tr>
      <w:tr>
        <w:trPr>
          <w:trHeight w:val="964" w:hRule="atLeast"/>
        </w:trPr>
        <w:tc>
          <w:tcPr>
            <w:tcW w:w="456" w:type="dxa"/>
          </w:tcPr>
          <w:p>
            <w:pPr>
              <w:pStyle w:val="TableParagraph"/>
              <w:spacing w:before="69"/>
              <w:ind w:left="0"/>
              <w:rPr>
                <w:rFonts w:ascii="Arial MT"/>
                <w:sz w:val="22"/>
              </w:rPr>
            </w:pPr>
          </w:p>
          <w:p>
            <w:pPr>
              <w:pStyle w:val="TableParagraph"/>
              <w:ind w:left="43" w:right="86"/>
              <w:jc w:val="center"/>
              <w:rPr>
                <w:sz w:val="22"/>
              </w:rPr>
            </w:pPr>
            <w:r>
              <w:rPr>
                <w:color w:val="231F1F"/>
                <w:spacing w:val="-10"/>
                <w:w w:val="110"/>
                <w:sz w:val="22"/>
              </w:rPr>
              <w:t>√</w:t>
            </w:r>
          </w:p>
        </w:tc>
        <w:tc>
          <w:tcPr>
            <w:tcW w:w="8050" w:type="dxa"/>
          </w:tcPr>
          <w:p>
            <w:pPr>
              <w:pStyle w:val="TableParagraph"/>
              <w:spacing w:line="244" w:lineRule="auto" w:before="44"/>
              <w:ind w:right="84"/>
              <w:jc w:val="both"/>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MEC</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FCF</w:t>
            </w:r>
            <w:r>
              <w:rPr>
                <w:color w:val="231F1F"/>
                <w:spacing w:val="-15"/>
                <w:w w:val="110"/>
                <w:sz w:val="22"/>
              </w:rPr>
              <w:t> </w:t>
            </w:r>
            <w:r>
              <w:rPr>
                <w:color w:val="231F1F"/>
                <w:w w:val="110"/>
                <w:sz w:val="22"/>
              </w:rPr>
              <w:t>durante</w:t>
            </w:r>
            <w:r>
              <w:rPr>
                <w:color w:val="231F1F"/>
                <w:spacing w:val="-15"/>
                <w:w w:val="110"/>
                <w:sz w:val="22"/>
              </w:rPr>
              <w:t> </w:t>
            </w:r>
            <w:r>
              <w:rPr>
                <w:color w:val="231F1F"/>
                <w:w w:val="110"/>
                <w:sz w:val="22"/>
              </w:rPr>
              <w:t>los</w:t>
            </w:r>
            <w:r>
              <w:rPr>
                <w:color w:val="231F1F"/>
                <w:spacing w:val="-16"/>
                <w:w w:val="110"/>
                <w:sz w:val="22"/>
              </w:rPr>
              <w:t> </w:t>
            </w:r>
            <w:r>
              <w:rPr>
                <w:color w:val="231F1F"/>
                <w:w w:val="110"/>
                <w:sz w:val="22"/>
              </w:rPr>
              <w:t>primeros</w:t>
            </w:r>
            <w:r>
              <w:rPr>
                <w:color w:val="231F1F"/>
                <w:spacing w:val="-15"/>
                <w:w w:val="110"/>
                <w:sz w:val="22"/>
              </w:rPr>
              <w:t> </w:t>
            </w:r>
            <w:r>
              <w:rPr>
                <w:color w:val="231F1F"/>
                <w:w w:val="110"/>
                <w:sz w:val="22"/>
              </w:rPr>
              <w:t>30</w:t>
            </w:r>
            <w:r>
              <w:rPr>
                <w:color w:val="231F1F"/>
                <w:spacing w:val="-15"/>
                <w:w w:val="110"/>
                <w:sz w:val="22"/>
              </w:rPr>
              <w:t> </w:t>
            </w:r>
            <w:r>
              <w:rPr>
                <w:color w:val="231F1F"/>
                <w:w w:val="110"/>
                <w:sz w:val="22"/>
              </w:rPr>
              <w:t>min</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establecimiento de</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analgesia</w:t>
            </w:r>
            <w:r>
              <w:rPr>
                <w:color w:val="231F1F"/>
                <w:spacing w:val="-12"/>
                <w:w w:val="110"/>
                <w:sz w:val="22"/>
              </w:rPr>
              <w:t> </w:t>
            </w:r>
            <w:r>
              <w:rPr>
                <w:color w:val="231F1F"/>
                <w:w w:val="110"/>
                <w:sz w:val="22"/>
              </w:rPr>
              <w:t>neuroaxial</w:t>
            </w:r>
            <w:r>
              <w:rPr>
                <w:color w:val="231F1F"/>
                <w:spacing w:val="-13"/>
                <w:w w:val="110"/>
                <w:sz w:val="22"/>
              </w:rPr>
              <w:t> </w:t>
            </w:r>
            <w:r>
              <w:rPr>
                <w:color w:val="231F1F"/>
                <w:w w:val="110"/>
                <w:sz w:val="22"/>
              </w:rPr>
              <w:t>y</w:t>
            </w:r>
            <w:r>
              <w:rPr>
                <w:color w:val="231F1F"/>
                <w:spacing w:val="-12"/>
                <w:w w:val="110"/>
                <w:sz w:val="22"/>
              </w:rPr>
              <w:t> </w:t>
            </w:r>
            <w:r>
              <w:rPr>
                <w:color w:val="231F1F"/>
                <w:w w:val="110"/>
                <w:sz w:val="22"/>
              </w:rPr>
              <w:t>tras</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administración</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cada</w:t>
            </w:r>
            <w:r>
              <w:rPr>
                <w:color w:val="231F1F"/>
                <w:spacing w:val="-12"/>
                <w:w w:val="110"/>
                <w:sz w:val="22"/>
              </w:rPr>
              <w:t> </w:t>
            </w:r>
            <w:r>
              <w:rPr>
                <w:color w:val="231F1F"/>
                <w:w w:val="110"/>
                <w:sz w:val="22"/>
              </w:rPr>
              <w:t>siguiente</w:t>
            </w:r>
            <w:r>
              <w:rPr>
                <w:color w:val="231F1F"/>
                <w:spacing w:val="-12"/>
                <w:w w:val="110"/>
                <w:sz w:val="22"/>
              </w:rPr>
              <w:t> </w:t>
            </w:r>
            <w:r>
              <w:rPr>
                <w:color w:val="231F1F"/>
                <w:w w:val="110"/>
                <w:sz w:val="22"/>
              </w:rPr>
              <w:t>bolo</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10</w:t>
            </w:r>
            <w:r>
              <w:rPr>
                <w:color w:val="231F1F"/>
                <w:spacing w:val="-12"/>
                <w:w w:val="110"/>
                <w:sz w:val="22"/>
              </w:rPr>
              <w:t> </w:t>
            </w:r>
            <w:r>
              <w:rPr>
                <w:color w:val="231F1F"/>
                <w:w w:val="110"/>
                <w:sz w:val="22"/>
              </w:rPr>
              <w:t>ml o más de anestésico local a bajas dosis.</w:t>
            </w:r>
          </w:p>
        </w:tc>
      </w:tr>
    </w:tbl>
    <w:p>
      <w:pPr>
        <w:pStyle w:val="TableParagraph"/>
        <w:spacing w:after="0" w:line="244" w:lineRule="auto"/>
        <w:jc w:val="both"/>
        <w:rPr>
          <w:sz w:val="22"/>
        </w:rPr>
        <w:sectPr>
          <w:type w:val="continuous"/>
          <w:pgSz w:w="11900" w:h="16840"/>
          <w:pgMar w:header="0" w:footer="622" w:top="164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Anestésico</w:t>
      </w:r>
      <w:r>
        <w:rPr>
          <w:color w:val="231F1F"/>
          <w:spacing w:val="45"/>
        </w:rPr>
        <w:t> </w:t>
      </w:r>
      <w:r>
        <w:rPr>
          <w:color w:val="231F1F"/>
        </w:rPr>
        <w:t>local</w:t>
      </w:r>
      <w:r>
        <w:rPr>
          <w:color w:val="231F1F"/>
          <w:spacing w:val="47"/>
        </w:rPr>
        <w:t> </w:t>
      </w:r>
      <w:r>
        <w:rPr>
          <w:color w:val="231F1F"/>
        </w:rPr>
        <w:t>en</w:t>
      </w:r>
      <w:r>
        <w:rPr>
          <w:color w:val="231F1F"/>
          <w:spacing w:val="47"/>
        </w:rPr>
        <w:t> </w:t>
      </w:r>
      <w:r>
        <w:rPr>
          <w:color w:val="231F1F"/>
        </w:rPr>
        <w:t>la</w:t>
      </w:r>
      <w:r>
        <w:rPr>
          <w:color w:val="231F1F"/>
          <w:spacing w:val="47"/>
        </w:rPr>
        <w:t> </w:t>
      </w:r>
      <w:r>
        <w:rPr>
          <w:color w:val="231F1F"/>
        </w:rPr>
        <w:t>analgesia</w:t>
      </w:r>
      <w:r>
        <w:rPr>
          <w:color w:val="231F1F"/>
          <w:spacing w:val="49"/>
        </w:rPr>
        <w:t> </w:t>
      </w:r>
      <w:r>
        <w:rPr>
          <w:color w:val="231F1F"/>
          <w:spacing w:val="-2"/>
        </w:rPr>
        <w:t>epidural</w:t>
      </w:r>
    </w:p>
    <w:p>
      <w:pPr>
        <w:pStyle w:val="BodyText"/>
        <w:spacing w:before="20"/>
        <w:rPr>
          <w:sz w:val="20"/>
        </w:rPr>
      </w:pPr>
      <w:r>
        <w:rPr>
          <w:sz w:val="20"/>
        </w:rPr>
        <mc:AlternateContent>
          <mc:Choice Requires="wps">
            <w:drawing>
              <wp:anchor distT="0" distB="0" distL="0" distR="0" allowOverlap="1" layoutInCell="1" locked="0" behindDoc="1" simplePos="0" relativeHeight="487629312">
                <wp:simplePos x="0" y="0"/>
                <wp:positionH relativeFrom="page">
                  <wp:posOffset>1082675</wp:posOffset>
                </wp:positionH>
                <wp:positionV relativeFrom="paragraph">
                  <wp:posOffset>177184</wp:posOffset>
                </wp:positionV>
                <wp:extent cx="5400040" cy="262255"/>
                <wp:effectExtent l="0" t="0" r="0" b="0"/>
                <wp:wrapTopAndBottom/>
                <wp:docPr id="143" name="Textbox 143"/>
                <wp:cNvGraphicFramePr>
                  <a:graphicFrameLocks/>
                </wp:cNvGraphicFramePr>
                <a:graphic>
                  <a:graphicData uri="http://schemas.microsoft.com/office/word/2010/wordprocessingShape">
                    <wps:wsp>
                      <wps:cNvPr id="143" name="Textbox 143"/>
                      <wps:cNvSpPr txBox="1"/>
                      <wps:spPr>
                        <a:xfrm>
                          <a:off x="0" y="0"/>
                          <a:ext cx="5400040" cy="262255"/>
                        </a:xfrm>
                        <a:prstGeom prst="rect">
                          <a:avLst/>
                        </a:prstGeom>
                        <a:ln w="6350">
                          <a:solidFill>
                            <a:srgbClr val="A30046"/>
                          </a:solidFill>
                          <a:prstDash val="solid"/>
                        </a:ln>
                      </wps:spPr>
                      <wps:txbx>
                        <w:txbxContent>
                          <w:p>
                            <w:pPr>
                              <w:pStyle w:val="BodyText"/>
                              <w:numPr>
                                <w:ilvl w:val="0"/>
                                <w:numId w:val="84"/>
                              </w:numPr>
                              <w:tabs>
                                <w:tab w:pos="322" w:val="left" w:leader="none"/>
                              </w:tabs>
                              <w:spacing w:line="240" w:lineRule="auto" w:before="70" w:after="0"/>
                              <w:ind w:left="322" w:right="0" w:hanging="218"/>
                              <w:jc w:val="left"/>
                            </w:pPr>
                            <w:r>
                              <w:rPr>
                                <w:color w:val="231F1F"/>
                              </w:rPr>
                              <w:t>¿Cómo</w:t>
                            </w:r>
                            <w:r>
                              <w:rPr>
                                <w:color w:val="231F1F"/>
                                <w:spacing w:val="33"/>
                              </w:rPr>
                              <w:t> </w:t>
                            </w:r>
                            <w:r>
                              <w:rPr>
                                <w:color w:val="231F1F"/>
                              </w:rPr>
                              <w:t>influye</w:t>
                            </w:r>
                            <w:r>
                              <w:rPr>
                                <w:color w:val="231F1F"/>
                                <w:spacing w:val="33"/>
                              </w:rPr>
                              <w:t> </w:t>
                            </w:r>
                            <w:r>
                              <w:rPr>
                                <w:color w:val="231F1F"/>
                              </w:rPr>
                              <w:t>el</w:t>
                            </w:r>
                            <w:r>
                              <w:rPr>
                                <w:color w:val="231F1F"/>
                                <w:spacing w:val="33"/>
                              </w:rPr>
                              <w:t> </w:t>
                            </w:r>
                            <w:r>
                              <w:rPr>
                                <w:color w:val="231F1F"/>
                              </w:rPr>
                              <w:t>anestésico</w:t>
                            </w:r>
                            <w:r>
                              <w:rPr>
                                <w:color w:val="231F1F"/>
                                <w:spacing w:val="33"/>
                              </w:rPr>
                              <w:t> </w:t>
                            </w:r>
                            <w:r>
                              <w:rPr>
                                <w:color w:val="231F1F"/>
                              </w:rPr>
                              <w:t>local</w:t>
                            </w:r>
                            <w:r>
                              <w:rPr>
                                <w:color w:val="231F1F"/>
                                <w:spacing w:val="34"/>
                              </w:rPr>
                              <w:t> </w:t>
                            </w:r>
                            <w:r>
                              <w:rPr>
                                <w:color w:val="231F1F"/>
                              </w:rPr>
                              <w:t>empleado</w:t>
                            </w:r>
                            <w:r>
                              <w:rPr>
                                <w:color w:val="231F1F"/>
                                <w:spacing w:val="33"/>
                              </w:rPr>
                              <w:t> </w:t>
                            </w:r>
                            <w:r>
                              <w:rPr>
                                <w:color w:val="231F1F"/>
                              </w:rPr>
                              <w:t>en</w:t>
                            </w:r>
                            <w:r>
                              <w:rPr>
                                <w:color w:val="231F1F"/>
                                <w:spacing w:val="34"/>
                              </w:rPr>
                              <w:t> </w:t>
                            </w:r>
                            <w:r>
                              <w:rPr>
                                <w:color w:val="231F1F"/>
                              </w:rPr>
                              <w:t>la</w:t>
                            </w:r>
                            <w:r>
                              <w:rPr>
                                <w:color w:val="231F1F"/>
                                <w:spacing w:val="33"/>
                              </w:rPr>
                              <w:t> </w:t>
                            </w:r>
                            <w:r>
                              <w:rPr>
                                <w:color w:val="231F1F"/>
                              </w:rPr>
                              <w:t>analgesia</w:t>
                            </w:r>
                            <w:r>
                              <w:rPr>
                                <w:color w:val="231F1F"/>
                                <w:spacing w:val="33"/>
                              </w:rPr>
                              <w:t> </w:t>
                            </w:r>
                            <w:r>
                              <w:rPr>
                                <w:color w:val="231F1F"/>
                              </w:rPr>
                              <w:t>neuroaxial</w:t>
                            </w:r>
                            <w:r>
                              <w:rPr>
                                <w:color w:val="231F1F"/>
                                <w:spacing w:val="34"/>
                              </w:rPr>
                              <w:t> </w:t>
                            </w:r>
                            <w:r>
                              <w:rPr>
                                <w:color w:val="231F1F"/>
                                <w:spacing w:val="-2"/>
                              </w:rPr>
                              <w:t>obstétrica?</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87168;mso-wrap-distance-left:0;mso-wrap-distance-right:0" type="#_x0000_t202" id="docshape132" filled="false" stroked="true" strokeweight=".5pt" strokecolor="#a30046">
                <v:textbox inset="0,0,0,0">
                  <w:txbxContent>
                    <w:p>
                      <w:pPr>
                        <w:pStyle w:val="BodyText"/>
                        <w:numPr>
                          <w:ilvl w:val="0"/>
                          <w:numId w:val="84"/>
                        </w:numPr>
                        <w:tabs>
                          <w:tab w:pos="322" w:val="left" w:leader="none"/>
                        </w:tabs>
                        <w:spacing w:line="240" w:lineRule="auto" w:before="70" w:after="0"/>
                        <w:ind w:left="322" w:right="0" w:hanging="218"/>
                        <w:jc w:val="left"/>
                      </w:pPr>
                      <w:r>
                        <w:rPr>
                          <w:color w:val="231F1F"/>
                        </w:rPr>
                        <w:t>¿Cómo</w:t>
                      </w:r>
                      <w:r>
                        <w:rPr>
                          <w:color w:val="231F1F"/>
                          <w:spacing w:val="33"/>
                        </w:rPr>
                        <w:t> </w:t>
                      </w:r>
                      <w:r>
                        <w:rPr>
                          <w:color w:val="231F1F"/>
                        </w:rPr>
                        <w:t>influye</w:t>
                      </w:r>
                      <w:r>
                        <w:rPr>
                          <w:color w:val="231F1F"/>
                          <w:spacing w:val="33"/>
                        </w:rPr>
                        <w:t> </w:t>
                      </w:r>
                      <w:r>
                        <w:rPr>
                          <w:color w:val="231F1F"/>
                        </w:rPr>
                        <w:t>el</w:t>
                      </w:r>
                      <w:r>
                        <w:rPr>
                          <w:color w:val="231F1F"/>
                          <w:spacing w:val="33"/>
                        </w:rPr>
                        <w:t> </w:t>
                      </w:r>
                      <w:r>
                        <w:rPr>
                          <w:color w:val="231F1F"/>
                        </w:rPr>
                        <w:t>anestésico</w:t>
                      </w:r>
                      <w:r>
                        <w:rPr>
                          <w:color w:val="231F1F"/>
                          <w:spacing w:val="33"/>
                        </w:rPr>
                        <w:t> </w:t>
                      </w:r>
                      <w:r>
                        <w:rPr>
                          <w:color w:val="231F1F"/>
                        </w:rPr>
                        <w:t>local</w:t>
                      </w:r>
                      <w:r>
                        <w:rPr>
                          <w:color w:val="231F1F"/>
                          <w:spacing w:val="34"/>
                        </w:rPr>
                        <w:t> </w:t>
                      </w:r>
                      <w:r>
                        <w:rPr>
                          <w:color w:val="231F1F"/>
                        </w:rPr>
                        <w:t>empleado</w:t>
                      </w:r>
                      <w:r>
                        <w:rPr>
                          <w:color w:val="231F1F"/>
                          <w:spacing w:val="33"/>
                        </w:rPr>
                        <w:t> </w:t>
                      </w:r>
                      <w:r>
                        <w:rPr>
                          <w:color w:val="231F1F"/>
                        </w:rPr>
                        <w:t>en</w:t>
                      </w:r>
                      <w:r>
                        <w:rPr>
                          <w:color w:val="231F1F"/>
                          <w:spacing w:val="34"/>
                        </w:rPr>
                        <w:t> </w:t>
                      </w:r>
                      <w:r>
                        <w:rPr>
                          <w:color w:val="231F1F"/>
                        </w:rPr>
                        <w:t>la</w:t>
                      </w:r>
                      <w:r>
                        <w:rPr>
                          <w:color w:val="231F1F"/>
                          <w:spacing w:val="33"/>
                        </w:rPr>
                        <w:t> </w:t>
                      </w:r>
                      <w:r>
                        <w:rPr>
                          <w:color w:val="231F1F"/>
                        </w:rPr>
                        <w:t>analgesia</w:t>
                      </w:r>
                      <w:r>
                        <w:rPr>
                          <w:color w:val="231F1F"/>
                          <w:spacing w:val="33"/>
                        </w:rPr>
                        <w:t> </w:t>
                      </w:r>
                      <w:r>
                        <w:rPr>
                          <w:color w:val="231F1F"/>
                        </w:rPr>
                        <w:t>neuroaxial</w:t>
                      </w:r>
                      <w:r>
                        <w:rPr>
                          <w:color w:val="231F1F"/>
                          <w:spacing w:val="34"/>
                        </w:rPr>
                        <w:t> </w:t>
                      </w:r>
                      <w:r>
                        <w:rPr>
                          <w:color w:val="231F1F"/>
                          <w:spacing w:val="-2"/>
                        </w:rPr>
                        <w:t>obstétrica?</w:t>
                      </w:r>
                    </w:p>
                  </w:txbxContent>
                </v:textbox>
                <v:stroke dashstyle="solid"/>
                <w10:wrap type="topAndBottom"/>
              </v:shape>
            </w:pict>
          </mc:Fallback>
        </mc:AlternateContent>
      </w:r>
    </w:p>
    <w:p>
      <w:pPr>
        <w:pStyle w:val="BodyText"/>
        <w:spacing w:line="244" w:lineRule="auto" w:before="214"/>
        <w:ind w:left="283" w:right="114"/>
        <w:jc w:val="both"/>
      </w:pPr>
      <w:r>
        <w:rPr>
          <w:color w:val="231F1F"/>
          <w:w w:val="105"/>
        </w:rPr>
        <w:t>Existen</w:t>
      </w:r>
      <w:r>
        <w:rPr>
          <w:color w:val="231F1F"/>
          <w:w w:val="105"/>
        </w:rPr>
        <w:t> varios</w:t>
      </w:r>
      <w:r>
        <w:rPr>
          <w:color w:val="231F1F"/>
          <w:w w:val="105"/>
        </w:rPr>
        <w:t> anestésicos</w:t>
      </w:r>
      <w:r>
        <w:rPr>
          <w:color w:val="231F1F"/>
          <w:w w:val="105"/>
        </w:rPr>
        <w:t> locales</w:t>
      </w:r>
      <w:r>
        <w:rPr>
          <w:color w:val="231F1F"/>
          <w:w w:val="105"/>
        </w:rPr>
        <w:t> empleados</w:t>
      </w:r>
      <w:r>
        <w:rPr>
          <w:color w:val="231F1F"/>
          <w:w w:val="105"/>
        </w:rPr>
        <w:t> habitualmente</w:t>
      </w:r>
      <w:r>
        <w:rPr>
          <w:color w:val="231F1F"/>
          <w:w w:val="105"/>
        </w:rPr>
        <w:t> en</w:t>
      </w:r>
      <w:r>
        <w:rPr>
          <w:color w:val="231F1F"/>
          <w:w w:val="105"/>
        </w:rPr>
        <w:t> analgesia</w:t>
      </w:r>
      <w:r>
        <w:rPr>
          <w:color w:val="231F1F"/>
          <w:w w:val="105"/>
        </w:rPr>
        <w:t> obstétrica</w:t>
      </w:r>
      <w:r>
        <w:rPr>
          <w:color w:val="231F1F"/>
          <w:w w:val="105"/>
        </w:rPr>
        <w:t> en nuestro</w:t>
      </w:r>
      <w:r>
        <w:rPr>
          <w:color w:val="231F1F"/>
          <w:spacing w:val="17"/>
          <w:w w:val="105"/>
        </w:rPr>
        <w:t> </w:t>
      </w:r>
      <w:r>
        <w:rPr>
          <w:color w:val="231F1F"/>
          <w:w w:val="105"/>
        </w:rPr>
        <w:t>entorno.</w:t>
      </w:r>
      <w:r>
        <w:rPr>
          <w:color w:val="231F1F"/>
          <w:spacing w:val="18"/>
          <w:w w:val="105"/>
        </w:rPr>
        <w:t> </w:t>
      </w:r>
      <w:r>
        <w:rPr>
          <w:color w:val="231F1F"/>
          <w:w w:val="105"/>
        </w:rPr>
        <w:t>A</w:t>
      </w:r>
      <w:r>
        <w:rPr>
          <w:color w:val="231F1F"/>
          <w:spacing w:val="18"/>
          <w:w w:val="105"/>
        </w:rPr>
        <w:t> </w:t>
      </w:r>
      <w:r>
        <w:rPr>
          <w:color w:val="231F1F"/>
          <w:w w:val="105"/>
        </w:rPr>
        <w:t>la</w:t>
      </w:r>
      <w:r>
        <w:rPr>
          <w:color w:val="231F1F"/>
          <w:spacing w:val="17"/>
          <w:w w:val="105"/>
        </w:rPr>
        <w:t> </w:t>
      </w:r>
      <w:r>
        <w:rPr>
          <w:color w:val="231F1F"/>
          <w:w w:val="105"/>
        </w:rPr>
        <w:t>clásica</w:t>
      </w:r>
      <w:r>
        <w:rPr>
          <w:color w:val="231F1F"/>
          <w:spacing w:val="18"/>
          <w:w w:val="105"/>
        </w:rPr>
        <w:t> </w:t>
      </w:r>
      <w:r>
        <w:rPr>
          <w:color w:val="231F1F"/>
          <w:w w:val="105"/>
        </w:rPr>
        <w:t>bupivacaína</w:t>
      </w:r>
      <w:r>
        <w:rPr>
          <w:color w:val="231F1F"/>
          <w:spacing w:val="17"/>
          <w:w w:val="105"/>
        </w:rPr>
        <w:t> </w:t>
      </w:r>
      <w:r>
        <w:rPr>
          <w:color w:val="231F1F"/>
          <w:w w:val="105"/>
        </w:rPr>
        <w:t>se</w:t>
      </w:r>
      <w:r>
        <w:rPr>
          <w:color w:val="231F1F"/>
          <w:spacing w:val="17"/>
          <w:w w:val="105"/>
        </w:rPr>
        <w:t> </w:t>
      </w:r>
      <w:r>
        <w:rPr>
          <w:color w:val="231F1F"/>
          <w:w w:val="105"/>
        </w:rPr>
        <w:t>han</w:t>
      </w:r>
      <w:r>
        <w:rPr>
          <w:color w:val="231F1F"/>
          <w:spacing w:val="17"/>
          <w:w w:val="105"/>
        </w:rPr>
        <w:t> </w:t>
      </w:r>
      <w:r>
        <w:rPr>
          <w:color w:val="231F1F"/>
          <w:w w:val="105"/>
        </w:rPr>
        <w:t>unido</w:t>
      </w:r>
      <w:r>
        <w:rPr>
          <w:color w:val="231F1F"/>
          <w:spacing w:val="17"/>
          <w:w w:val="105"/>
        </w:rPr>
        <w:t> </w:t>
      </w:r>
      <w:r>
        <w:rPr>
          <w:color w:val="231F1F"/>
          <w:w w:val="105"/>
        </w:rPr>
        <w:t>en</w:t>
      </w:r>
      <w:r>
        <w:rPr>
          <w:color w:val="231F1F"/>
          <w:spacing w:val="18"/>
          <w:w w:val="105"/>
        </w:rPr>
        <w:t> </w:t>
      </w:r>
      <w:r>
        <w:rPr>
          <w:color w:val="231F1F"/>
          <w:w w:val="105"/>
        </w:rPr>
        <w:t>los</w:t>
      </w:r>
      <w:r>
        <w:rPr>
          <w:color w:val="231F1F"/>
          <w:spacing w:val="18"/>
          <w:w w:val="105"/>
        </w:rPr>
        <w:t> </w:t>
      </w:r>
      <w:r>
        <w:rPr>
          <w:color w:val="231F1F"/>
          <w:w w:val="105"/>
        </w:rPr>
        <w:t>últimos</w:t>
      </w:r>
      <w:r>
        <w:rPr>
          <w:color w:val="231F1F"/>
          <w:spacing w:val="18"/>
          <w:w w:val="105"/>
        </w:rPr>
        <w:t> </w:t>
      </w:r>
      <w:r>
        <w:rPr>
          <w:color w:val="231F1F"/>
          <w:w w:val="105"/>
        </w:rPr>
        <w:t>años</w:t>
      </w:r>
      <w:r>
        <w:rPr>
          <w:color w:val="231F1F"/>
          <w:spacing w:val="18"/>
          <w:w w:val="105"/>
        </w:rPr>
        <w:t> </w:t>
      </w:r>
      <w:r>
        <w:rPr>
          <w:color w:val="231F1F"/>
          <w:w w:val="105"/>
        </w:rPr>
        <w:t>la</w:t>
      </w:r>
      <w:r>
        <w:rPr>
          <w:color w:val="231F1F"/>
          <w:spacing w:val="17"/>
          <w:w w:val="105"/>
        </w:rPr>
        <w:t> </w:t>
      </w:r>
      <w:r>
        <w:rPr>
          <w:color w:val="231F1F"/>
          <w:w w:val="105"/>
        </w:rPr>
        <w:t>ropivacaína y la levobupivacaína a los que se les ha atribuido menor toxicidad y menor bloqueo motor. Sin</w:t>
      </w:r>
      <w:r>
        <w:rPr>
          <w:color w:val="231F1F"/>
          <w:w w:val="105"/>
        </w:rPr>
        <w:t> embargo,</w:t>
      </w:r>
      <w:r>
        <w:rPr>
          <w:color w:val="231F1F"/>
          <w:w w:val="105"/>
        </w:rPr>
        <w:t> convendría</w:t>
      </w:r>
      <w:r>
        <w:rPr>
          <w:color w:val="231F1F"/>
          <w:w w:val="105"/>
        </w:rPr>
        <w:t> evaluar</w:t>
      </w:r>
      <w:r>
        <w:rPr>
          <w:color w:val="231F1F"/>
          <w:w w:val="105"/>
        </w:rPr>
        <w:t> las</w:t>
      </w:r>
      <w:r>
        <w:rPr>
          <w:color w:val="231F1F"/>
          <w:w w:val="105"/>
        </w:rPr>
        <w:t> ventajas</w:t>
      </w:r>
      <w:r>
        <w:rPr>
          <w:color w:val="231F1F"/>
          <w:w w:val="105"/>
        </w:rPr>
        <w:t> e</w:t>
      </w:r>
      <w:r>
        <w:rPr>
          <w:color w:val="231F1F"/>
          <w:w w:val="105"/>
        </w:rPr>
        <w:t> inconvenientes</w:t>
      </w:r>
      <w:r>
        <w:rPr>
          <w:color w:val="231F1F"/>
          <w:w w:val="105"/>
        </w:rPr>
        <w:t> de</w:t>
      </w:r>
      <w:r>
        <w:rPr>
          <w:color w:val="231F1F"/>
          <w:w w:val="105"/>
        </w:rPr>
        <w:t> estos</w:t>
      </w:r>
      <w:r>
        <w:rPr>
          <w:color w:val="231F1F"/>
          <w:w w:val="105"/>
        </w:rPr>
        <w:t> fármacos</w:t>
      </w:r>
      <w:r>
        <w:rPr>
          <w:color w:val="231F1F"/>
          <w:w w:val="105"/>
        </w:rPr>
        <w:t> en</w:t>
      </w:r>
      <w:r>
        <w:rPr>
          <w:color w:val="231F1F"/>
          <w:w w:val="105"/>
        </w:rPr>
        <w:t> el contexto clínico que nos ocupa.</w:t>
      </w:r>
    </w:p>
    <w:p>
      <w:pPr>
        <w:pStyle w:val="BodyText"/>
        <w:spacing w:before="8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195"/>
        <w:ind w:left="283" w:right="1365"/>
        <w:jc w:val="both"/>
      </w:pPr>
      <w:r>
        <w:rPr>
          <w:color w:val="231F1F"/>
          <w:w w:val="105"/>
        </w:rPr>
        <w:t>La guía NICE (10) para responder a esta pregunta utiliza un total de 36 ECAs de</w:t>
      </w:r>
      <w:r>
        <w:rPr>
          <w:color w:val="231F1F"/>
          <w:w w:val="105"/>
        </w:rPr>
        <w:t> buena</w:t>
      </w:r>
      <w:r>
        <w:rPr>
          <w:color w:val="231F1F"/>
          <w:w w:val="105"/>
        </w:rPr>
        <w:t> calidad,</w:t>
      </w:r>
      <w:r>
        <w:rPr>
          <w:color w:val="231F1F"/>
          <w:w w:val="105"/>
        </w:rPr>
        <w:t> NE=1+.</w:t>
      </w:r>
      <w:r>
        <w:rPr>
          <w:color w:val="231F1F"/>
          <w:w w:val="105"/>
        </w:rPr>
        <w:t> En</w:t>
      </w:r>
      <w:r>
        <w:rPr>
          <w:color w:val="231F1F"/>
          <w:w w:val="105"/>
        </w:rPr>
        <w:t> estos</w:t>
      </w:r>
      <w:r>
        <w:rPr>
          <w:color w:val="231F1F"/>
          <w:w w:val="105"/>
        </w:rPr>
        <w:t> ensayos</w:t>
      </w:r>
      <w:r>
        <w:rPr>
          <w:color w:val="231F1F"/>
          <w:w w:val="105"/>
        </w:rPr>
        <w:t> se</w:t>
      </w:r>
      <w:r>
        <w:rPr>
          <w:color w:val="231F1F"/>
          <w:w w:val="105"/>
        </w:rPr>
        <w:t> estudió</w:t>
      </w:r>
      <w:r>
        <w:rPr>
          <w:color w:val="231F1F"/>
          <w:w w:val="105"/>
        </w:rPr>
        <w:t> la</w:t>
      </w:r>
      <w:r>
        <w:rPr>
          <w:color w:val="231F1F"/>
          <w:w w:val="105"/>
        </w:rPr>
        <w:t> comparación</w:t>
      </w:r>
      <w:r>
        <w:rPr>
          <w:color w:val="231F1F"/>
          <w:w w:val="105"/>
        </w:rPr>
        <w:t> entre los</w:t>
      </w:r>
      <w:r>
        <w:rPr>
          <w:color w:val="231F1F"/>
          <w:spacing w:val="-6"/>
          <w:w w:val="105"/>
        </w:rPr>
        <w:t> </w:t>
      </w:r>
      <w:r>
        <w:rPr>
          <w:color w:val="231F1F"/>
          <w:w w:val="105"/>
        </w:rPr>
        <w:t>siguientes</w:t>
      </w:r>
      <w:r>
        <w:rPr>
          <w:color w:val="231F1F"/>
          <w:spacing w:val="-7"/>
          <w:w w:val="105"/>
        </w:rPr>
        <w:t> </w:t>
      </w:r>
      <w:r>
        <w:rPr>
          <w:color w:val="231F1F"/>
          <w:w w:val="105"/>
        </w:rPr>
        <w:t>anestésicos</w:t>
      </w:r>
      <w:r>
        <w:rPr>
          <w:color w:val="231F1F"/>
          <w:spacing w:val="-6"/>
          <w:w w:val="105"/>
        </w:rPr>
        <w:t> </w:t>
      </w:r>
      <w:r>
        <w:rPr>
          <w:color w:val="231F1F"/>
          <w:w w:val="105"/>
        </w:rPr>
        <w:t>locales:</w:t>
      </w:r>
      <w:r>
        <w:rPr>
          <w:color w:val="231F1F"/>
          <w:spacing w:val="-7"/>
          <w:w w:val="105"/>
        </w:rPr>
        <w:t> </w:t>
      </w:r>
      <w:r>
        <w:rPr>
          <w:color w:val="231F1F"/>
          <w:w w:val="105"/>
        </w:rPr>
        <w:t>bupivacaína,</w:t>
      </w:r>
      <w:r>
        <w:rPr>
          <w:color w:val="231F1F"/>
          <w:spacing w:val="-7"/>
          <w:w w:val="105"/>
        </w:rPr>
        <w:t> </w:t>
      </w:r>
      <w:r>
        <w:rPr>
          <w:color w:val="231F1F"/>
          <w:w w:val="105"/>
        </w:rPr>
        <w:t>ropivacaína</w:t>
      </w:r>
      <w:r>
        <w:rPr>
          <w:color w:val="231F1F"/>
          <w:spacing w:val="-6"/>
          <w:w w:val="105"/>
        </w:rPr>
        <w:t> </w:t>
      </w:r>
      <w:r>
        <w:rPr>
          <w:color w:val="231F1F"/>
          <w:w w:val="105"/>
        </w:rPr>
        <w:t>y</w:t>
      </w:r>
      <w:r>
        <w:rPr>
          <w:color w:val="231F1F"/>
          <w:spacing w:val="-6"/>
          <w:w w:val="105"/>
        </w:rPr>
        <w:t> </w:t>
      </w:r>
      <w:r>
        <w:rPr>
          <w:color w:val="231F1F"/>
          <w:w w:val="105"/>
        </w:rPr>
        <w:t>levobupivacaína. Se medían los efectos analgésicos, maternos y neonatales.</w:t>
      </w:r>
    </w:p>
    <w:p>
      <w:pPr>
        <w:pStyle w:val="BodyText"/>
        <w:spacing w:line="244" w:lineRule="auto" w:before="130"/>
        <w:ind w:left="283" w:right="1371" w:firstLine="453"/>
        <w:jc w:val="both"/>
      </w:pPr>
      <w:r>
        <w:rPr>
          <w:color w:val="231F1F"/>
          <w:w w:val="105"/>
        </w:rPr>
        <w:t>La</w:t>
      </w:r>
      <w:r>
        <w:rPr>
          <w:color w:val="231F1F"/>
          <w:w w:val="105"/>
        </w:rPr>
        <w:t> comparación</w:t>
      </w:r>
      <w:r>
        <w:rPr>
          <w:color w:val="231F1F"/>
          <w:w w:val="105"/>
        </w:rPr>
        <w:t> </w:t>
      </w:r>
      <w:r>
        <w:rPr>
          <w:i/>
          <w:color w:val="231F1F"/>
          <w:w w:val="105"/>
        </w:rPr>
        <w:t>bupivacaína</w:t>
      </w:r>
      <w:r>
        <w:rPr>
          <w:i/>
          <w:color w:val="231F1F"/>
          <w:w w:val="105"/>
        </w:rPr>
        <w:t> frente</w:t>
      </w:r>
      <w:r>
        <w:rPr>
          <w:i/>
          <w:color w:val="231F1F"/>
          <w:w w:val="105"/>
        </w:rPr>
        <w:t> a</w:t>
      </w:r>
      <w:r>
        <w:rPr>
          <w:i/>
          <w:color w:val="231F1F"/>
          <w:w w:val="105"/>
        </w:rPr>
        <w:t> ropivacaína</w:t>
      </w:r>
      <w:r>
        <w:rPr>
          <w:i/>
          <w:color w:val="231F1F"/>
          <w:w w:val="105"/>
        </w:rPr>
        <w:t> </w:t>
      </w:r>
      <w:r>
        <w:rPr>
          <w:color w:val="231F1F"/>
          <w:w w:val="105"/>
        </w:rPr>
        <w:t>fue</w:t>
      </w:r>
      <w:r>
        <w:rPr>
          <w:color w:val="231F1F"/>
          <w:w w:val="105"/>
        </w:rPr>
        <w:t> estudiada</w:t>
      </w:r>
      <w:r>
        <w:rPr>
          <w:color w:val="231F1F"/>
          <w:w w:val="105"/>
        </w:rPr>
        <w:t> en</w:t>
      </w:r>
      <w:r>
        <w:rPr>
          <w:color w:val="231F1F"/>
          <w:w w:val="105"/>
        </w:rPr>
        <w:t> 29 ECAs con los que se realizó metaanálisis. En tres de estos ensayos utilizaron la</w:t>
      </w:r>
      <w:r>
        <w:rPr>
          <w:color w:val="231F1F"/>
          <w:w w:val="105"/>
        </w:rPr>
        <w:t> analgesia</w:t>
      </w:r>
      <w:r>
        <w:rPr>
          <w:color w:val="231F1F"/>
          <w:w w:val="105"/>
        </w:rPr>
        <w:t> combinada</w:t>
      </w:r>
      <w:r>
        <w:rPr>
          <w:color w:val="231F1F"/>
          <w:w w:val="105"/>
        </w:rPr>
        <w:t> (intradural-epidural),</w:t>
      </w:r>
      <w:r>
        <w:rPr>
          <w:color w:val="231F1F"/>
          <w:w w:val="105"/>
        </w:rPr>
        <w:t> mientras</w:t>
      </w:r>
      <w:r>
        <w:rPr>
          <w:color w:val="231F1F"/>
          <w:w w:val="105"/>
        </w:rPr>
        <w:t> que</w:t>
      </w:r>
      <w:r>
        <w:rPr>
          <w:color w:val="231F1F"/>
          <w:w w:val="105"/>
        </w:rPr>
        <w:t> el</w:t>
      </w:r>
      <w:r>
        <w:rPr>
          <w:color w:val="231F1F"/>
          <w:w w:val="105"/>
        </w:rPr>
        <w:t> resto</w:t>
      </w:r>
      <w:r>
        <w:rPr>
          <w:color w:val="231F1F"/>
          <w:w w:val="105"/>
        </w:rPr>
        <w:t> de</w:t>
      </w:r>
      <w:r>
        <w:rPr>
          <w:color w:val="231F1F"/>
          <w:w w:val="105"/>
        </w:rPr>
        <w:t> los estudios utilizaron la analgesia epidural.</w:t>
      </w:r>
    </w:p>
    <w:p>
      <w:pPr>
        <w:pStyle w:val="BodyText"/>
        <w:tabs>
          <w:tab w:pos="7704" w:val="left" w:leader="none"/>
          <w:tab w:pos="7945" w:val="left" w:leader="none"/>
          <w:tab w:pos="8114" w:val="left" w:leader="none"/>
        </w:tabs>
        <w:spacing w:line="242" w:lineRule="auto" w:before="95"/>
        <w:ind w:left="283" w:right="359" w:firstLine="453"/>
      </w:pPr>
      <w:r>
        <w:rPr>
          <w:color w:val="231F1F"/>
        </w:rPr>
        <w:t>Hubo evidencia de que el bloqueo motor fue menor entre las mujeres</w:t>
        <w:tab/>
      </w:r>
      <w:r>
        <w:rPr>
          <w:rFonts w:ascii="Arial MT" w:hAnsi="Arial MT"/>
          <w:color w:val="231F1F"/>
          <w:sz w:val="18"/>
        </w:rPr>
        <w:t>RS-MA</w:t>
      </w:r>
      <w:r>
        <w:rPr>
          <w:rFonts w:ascii="Arial MT" w:hAnsi="Arial MT"/>
          <w:color w:val="231F1F"/>
          <w:spacing w:val="-10"/>
          <w:sz w:val="18"/>
        </w:rPr>
        <w:t> </w:t>
      </w:r>
      <w:r>
        <w:rPr>
          <w:rFonts w:ascii="Arial MT" w:hAnsi="Arial MT"/>
          <w:color w:val="231F1F"/>
          <w:sz w:val="18"/>
        </w:rPr>
        <w:t>de </w:t>
      </w:r>
      <w:r>
        <w:rPr>
          <w:color w:val="231F1F"/>
          <w:w w:val="105"/>
        </w:rPr>
        <w:t>que recibieron ropivacaína, aunque la duración de la analgesia también fue</w:t>
      </w:r>
      <w:r>
        <w:rPr>
          <w:color w:val="231F1F"/>
        </w:rPr>
        <w:tab/>
        <w:tab/>
      </w:r>
      <w:r>
        <w:rPr>
          <w:rFonts w:ascii="Arial MT" w:hAnsi="Arial MT"/>
          <w:color w:val="231F1F"/>
          <w:spacing w:val="-4"/>
          <w:w w:val="105"/>
          <w:position w:val="4"/>
          <w:sz w:val="18"/>
        </w:rPr>
        <w:t>ECAs </w:t>
      </w:r>
      <w:r>
        <w:rPr>
          <w:color w:val="231F1F"/>
          <w:w w:val="105"/>
        </w:rPr>
        <w:t>menor, sin que hubiera diferencias en el inicio del efecto analgésico, la hipo-</w:t>
      </w:r>
      <w:r>
        <w:rPr>
          <w:color w:val="231F1F"/>
        </w:rPr>
        <w:tab/>
        <w:tab/>
        <w:tab/>
      </w:r>
      <w:r>
        <w:rPr>
          <w:rFonts w:ascii="Arial MT" w:hAnsi="Arial MT"/>
          <w:color w:val="231F1F"/>
          <w:spacing w:val="-6"/>
          <w:w w:val="105"/>
          <w:position w:val="8"/>
          <w:sz w:val="18"/>
        </w:rPr>
        <w:t>1+ </w:t>
      </w:r>
      <w:r>
        <w:rPr>
          <w:color w:val="231F1F"/>
          <w:w w:val="105"/>
        </w:rPr>
        <w:t>tensión materna, náuseas, vómitos o anomalías de la FCF.</w:t>
      </w:r>
    </w:p>
    <w:p>
      <w:pPr>
        <w:pStyle w:val="BodyText"/>
        <w:tabs>
          <w:tab w:pos="7791" w:val="left" w:leader="none"/>
          <w:tab w:pos="7989" w:val="left" w:leader="none"/>
          <w:tab w:pos="8114" w:val="left" w:leader="none"/>
        </w:tabs>
        <w:spacing w:line="244" w:lineRule="auto" w:before="112"/>
        <w:ind w:left="283" w:right="311" w:firstLine="453"/>
        <w:rPr>
          <w:rFonts w:ascii="Arial MT" w:hAnsi="Arial MT"/>
          <w:position w:val="8"/>
          <w:sz w:val="18"/>
        </w:rPr>
      </w:pPr>
      <w:r>
        <w:rPr>
          <w:color w:val="231F1F"/>
        </w:rPr>
        <w:t>Las</w:t>
      </w:r>
      <w:r>
        <w:rPr>
          <w:color w:val="231F1F"/>
          <w:spacing w:val="40"/>
        </w:rPr>
        <w:t> </w:t>
      </w:r>
      <w:r>
        <w:rPr>
          <w:color w:val="231F1F"/>
        </w:rPr>
        <w:t>mujeres</w:t>
      </w:r>
      <w:r>
        <w:rPr>
          <w:color w:val="231F1F"/>
          <w:spacing w:val="40"/>
        </w:rPr>
        <w:t> </w:t>
      </w:r>
      <w:r>
        <w:rPr>
          <w:color w:val="231F1F"/>
        </w:rPr>
        <w:t>que</w:t>
      </w:r>
      <w:r>
        <w:rPr>
          <w:color w:val="231F1F"/>
          <w:spacing w:val="40"/>
        </w:rPr>
        <w:t> </w:t>
      </w:r>
      <w:r>
        <w:rPr>
          <w:color w:val="231F1F"/>
        </w:rPr>
        <w:t>recibieron</w:t>
      </w:r>
      <w:r>
        <w:rPr>
          <w:color w:val="231F1F"/>
          <w:spacing w:val="40"/>
        </w:rPr>
        <w:t> </w:t>
      </w:r>
      <w:r>
        <w:rPr>
          <w:color w:val="231F1F"/>
        </w:rPr>
        <w:t>bupivacaína</w:t>
      </w:r>
      <w:r>
        <w:rPr>
          <w:color w:val="231F1F"/>
          <w:spacing w:val="40"/>
        </w:rPr>
        <w:t> </w:t>
      </w:r>
      <w:r>
        <w:rPr>
          <w:color w:val="231F1F"/>
        </w:rPr>
        <w:t>tuvieron</w:t>
      </w:r>
      <w:r>
        <w:rPr>
          <w:color w:val="231F1F"/>
          <w:spacing w:val="40"/>
        </w:rPr>
        <w:t> </w:t>
      </w:r>
      <w:r>
        <w:rPr>
          <w:color w:val="231F1F"/>
        </w:rPr>
        <w:t>una</w:t>
      </w:r>
      <w:r>
        <w:rPr>
          <w:color w:val="231F1F"/>
          <w:spacing w:val="40"/>
        </w:rPr>
        <w:t> </w:t>
      </w:r>
      <w:r>
        <w:rPr>
          <w:color w:val="231F1F"/>
        </w:rPr>
        <w:t>segunda</w:t>
      </w:r>
      <w:r>
        <w:rPr>
          <w:color w:val="231F1F"/>
          <w:spacing w:val="40"/>
        </w:rPr>
        <w:t> </w:t>
      </w:r>
      <w:r>
        <w:rPr>
          <w:color w:val="231F1F"/>
        </w:rPr>
        <w:t>etapa</w:t>
      </w:r>
      <w:r>
        <w:rPr>
          <w:color w:val="231F1F"/>
          <w:spacing w:val="40"/>
        </w:rPr>
        <w:t> </w:t>
      </w:r>
      <w:r>
        <w:rPr>
          <w:color w:val="231F1F"/>
        </w:rPr>
        <w:t>del</w:t>
        <w:tab/>
      </w:r>
      <w:r>
        <w:rPr>
          <w:rFonts w:ascii="Arial MT" w:hAnsi="Arial MT"/>
          <w:color w:val="231F1F"/>
          <w:spacing w:val="-2"/>
          <w:sz w:val="18"/>
        </w:rPr>
        <w:t>RS-MA</w:t>
      </w:r>
      <w:r>
        <w:rPr>
          <w:rFonts w:ascii="Arial MT" w:hAnsi="Arial MT"/>
          <w:color w:val="231F1F"/>
          <w:spacing w:val="-16"/>
          <w:sz w:val="18"/>
        </w:rPr>
        <w:t> </w:t>
      </w:r>
      <w:r>
        <w:rPr>
          <w:rFonts w:ascii="Arial MT" w:hAnsi="Arial MT"/>
          <w:color w:val="231F1F"/>
          <w:spacing w:val="-2"/>
          <w:sz w:val="18"/>
        </w:rPr>
        <w:t>de </w:t>
      </w:r>
      <w:r>
        <w:rPr>
          <w:color w:val="231F1F"/>
        </w:rPr>
        <w:t>parto</w:t>
      </w:r>
      <w:r>
        <w:rPr>
          <w:color w:val="231F1F"/>
          <w:spacing w:val="40"/>
        </w:rPr>
        <w:t> </w:t>
      </w:r>
      <w:r>
        <w:rPr>
          <w:color w:val="231F1F"/>
        </w:rPr>
        <w:t>más</w:t>
      </w:r>
      <w:r>
        <w:rPr>
          <w:color w:val="231F1F"/>
          <w:spacing w:val="40"/>
        </w:rPr>
        <w:t> </w:t>
      </w:r>
      <w:r>
        <w:rPr>
          <w:color w:val="231F1F"/>
        </w:rPr>
        <w:t>corta.</w:t>
      </w:r>
      <w:r>
        <w:rPr>
          <w:color w:val="231F1F"/>
          <w:spacing w:val="40"/>
        </w:rPr>
        <w:t> </w:t>
      </w:r>
      <w:r>
        <w:rPr>
          <w:color w:val="231F1F"/>
        </w:rPr>
        <w:t>No</w:t>
      </w:r>
      <w:r>
        <w:rPr>
          <w:color w:val="231F1F"/>
          <w:spacing w:val="40"/>
        </w:rPr>
        <w:t> </w:t>
      </w:r>
      <w:r>
        <w:rPr>
          <w:color w:val="231F1F"/>
        </w:rPr>
        <w:t>se</w:t>
      </w:r>
      <w:r>
        <w:rPr>
          <w:color w:val="231F1F"/>
          <w:spacing w:val="40"/>
        </w:rPr>
        <w:t> </w:t>
      </w:r>
      <w:r>
        <w:rPr>
          <w:color w:val="231F1F"/>
        </w:rPr>
        <w:t>observaron</w:t>
      </w:r>
      <w:r>
        <w:rPr>
          <w:color w:val="231F1F"/>
          <w:spacing w:val="40"/>
        </w:rPr>
        <w:t> </w:t>
      </w:r>
      <w:r>
        <w:rPr>
          <w:color w:val="231F1F"/>
        </w:rPr>
        <w:t>diferencias</w:t>
      </w:r>
      <w:r>
        <w:rPr>
          <w:color w:val="231F1F"/>
          <w:spacing w:val="40"/>
        </w:rPr>
        <w:t> </w:t>
      </w:r>
      <w:r>
        <w:rPr>
          <w:color w:val="231F1F"/>
        </w:rPr>
        <w:t>significativas</w:t>
      </w:r>
      <w:r>
        <w:rPr>
          <w:color w:val="231F1F"/>
          <w:spacing w:val="40"/>
        </w:rPr>
        <w:t> </w:t>
      </w:r>
      <w:r>
        <w:rPr>
          <w:color w:val="231F1F"/>
        </w:rPr>
        <w:t>en</w:t>
      </w:r>
      <w:r>
        <w:rPr>
          <w:color w:val="231F1F"/>
          <w:spacing w:val="40"/>
        </w:rPr>
        <w:t> </w:t>
      </w:r>
      <w:r>
        <w:rPr>
          <w:color w:val="231F1F"/>
        </w:rPr>
        <w:t>cuanto</w:t>
      </w:r>
      <w:r>
        <w:rPr>
          <w:color w:val="231F1F"/>
          <w:spacing w:val="40"/>
        </w:rPr>
        <w:t> </w:t>
      </w:r>
      <w:r>
        <w:rPr>
          <w:color w:val="231F1F"/>
        </w:rPr>
        <w:t>a</w:t>
      </w:r>
      <w:r>
        <w:rPr>
          <w:color w:val="231F1F"/>
          <w:spacing w:val="40"/>
        </w:rPr>
        <w:t> </w:t>
      </w:r>
      <w:r>
        <w:rPr>
          <w:color w:val="231F1F"/>
        </w:rPr>
        <w:t>la</w:t>
        <w:tab/>
        <w:tab/>
      </w:r>
      <w:r>
        <w:rPr>
          <w:rFonts w:ascii="Arial MT" w:hAnsi="Arial MT"/>
          <w:color w:val="231F1F"/>
          <w:spacing w:val="-4"/>
          <w:position w:val="4"/>
          <w:sz w:val="18"/>
        </w:rPr>
        <w:t>ECAs </w:t>
      </w:r>
      <w:r>
        <w:rPr>
          <w:color w:val="231F1F"/>
        </w:rPr>
        <w:t>satisfacción de la mujer con el alivio del dolor.</w:t>
        <w:tab/>
        <w:tab/>
        <w:tab/>
      </w:r>
      <w:r>
        <w:rPr>
          <w:rFonts w:ascii="Arial MT" w:hAnsi="Arial MT"/>
          <w:color w:val="231F1F"/>
          <w:spacing w:val="-6"/>
          <w:position w:val="8"/>
          <w:sz w:val="18"/>
        </w:rPr>
        <w:t>1+</w:t>
      </w:r>
    </w:p>
    <w:p>
      <w:pPr>
        <w:pStyle w:val="BodyText"/>
        <w:spacing w:line="247" w:lineRule="auto" w:before="48"/>
        <w:ind w:left="283" w:right="1371" w:firstLine="453"/>
        <w:jc w:val="both"/>
      </w:pPr>
      <w:r>
        <w:rPr>
          <w:color w:val="231F1F"/>
          <w:w w:val="110"/>
        </w:rPr>
        <w:t>En relación al</w:t>
      </w:r>
      <w:r>
        <w:rPr>
          <w:color w:val="231F1F"/>
          <w:spacing w:val="-1"/>
          <w:w w:val="110"/>
        </w:rPr>
        <w:t> </w:t>
      </w:r>
      <w:r>
        <w:rPr>
          <w:color w:val="231F1F"/>
          <w:w w:val="110"/>
        </w:rPr>
        <w:t>neonato,</w:t>
      </w:r>
      <w:r>
        <w:rPr>
          <w:color w:val="231F1F"/>
          <w:spacing w:val="-1"/>
          <w:w w:val="110"/>
        </w:rPr>
        <w:t> </w:t>
      </w:r>
      <w:r>
        <w:rPr>
          <w:color w:val="231F1F"/>
          <w:w w:val="110"/>
        </w:rPr>
        <w:t>se encontró un porcentaje</w:t>
      </w:r>
      <w:r>
        <w:rPr>
          <w:color w:val="231F1F"/>
          <w:spacing w:val="-2"/>
          <w:w w:val="110"/>
        </w:rPr>
        <w:t> </w:t>
      </w:r>
      <w:r>
        <w:rPr>
          <w:color w:val="231F1F"/>
          <w:w w:val="110"/>
        </w:rPr>
        <w:t>mayor</w:t>
      </w:r>
      <w:r>
        <w:rPr>
          <w:color w:val="231F1F"/>
          <w:spacing w:val="-1"/>
          <w:w w:val="110"/>
        </w:rPr>
        <w:t> </w:t>
      </w:r>
      <w:r>
        <w:rPr>
          <w:color w:val="231F1F"/>
          <w:w w:val="110"/>
        </w:rPr>
        <w:t>con una pun- tuación</w:t>
      </w:r>
      <w:r>
        <w:rPr>
          <w:color w:val="231F1F"/>
          <w:spacing w:val="-14"/>
          <w:w w:val="110"/>
        </w:rPr>
        <w:t> </w:t>
      </w:r>
      <w:r>
        <w:rPr>
          <w:color w:val="231F1F"/>
          <w:w w:val="110"/>
        </w:rPr>
        <w:t>de</w:t>
      </w:r>
      <w:r>
        <w:rPr>
          <w:color w:val="231F1F"/>
          <w:spacing w:val="-15"/>
          <w:w w:val="110"/>
        </w:rPr>
        <w:t> </w:t>
      </w:r>
      <w:r>
        <w:rPr>
          <w:color w:val="231F1F"/>
          <w:w w:val="110"/>
        </w:rPr>
        <w:t>la</w:t>
      </w:r>
      <w:r>
        <w:rPr>
          <w:color w:val="231F1F"/>
          <w:spacing w:val="-14"/>
          <w:w w:val="110"/>
        </w:rPr>
        <w:t> </w:t>
      </w:r>
      <w:r>
        <w:rPr>
          <w:color w:val="231F1F"/>
          <w:w w:val="110"/>
        </w:rPr>
        <w:t>capacidad</w:t>
      </w:r>
      <w:r>
        <w:rPr>
          <w:color w:val="231F1F"/>
          <w:spacing w:val="-14"/>
          <w:w w:val="110"/>
        </w:rPr>
        <w:t> </w:t>
      </w:r>
      <w:r>
        <w:rPr>
          <w:color w:val="231F1F"/>
          <w:w w:val="110"/>
        </w:rPr>
        <w:t>neurológica</w:t>
      </w:r>
      <w:r>
        <w:rPr>
          <w:color w:val="231F1F"/>
          <w:spacing w:val="-15"/>
          <w:w w:val="110"/>
        </w:rPr>
        <w:t> </w:t>
      </w:r>
      <w:r>
        <w:rPr>
          <w:color w:val="231F1F"/>
          <w:w w:val="110"/>
        </w:rPr>
        <w:t>y</w:t>
      </w:r>
      <w:r>
        <w:rPr>
          <w:color w:val="231F1F"/>
          <w:spacing w:val="-14"/>
          <w:w w:val="110"/>
        </w:rPr>
        <w:t> </w:t>
      </w:r>
      <w:r>
        <w:rPr>
          <w:color w:val="231F1F"/>
          <w:w w:val="110"/>
        </w:rPr>
        <w:t>adaptativa</w:t>
      </w:r>
      <w:r>
        <w:rPr>
          <w:color w:val="231F1F"/>
          <w:spacing w:val="-15"/>
          <w:w w:val="110"/>
        </w:rPr>
        <w:t> </w:t>
      </w:r>
      <w:r>
        <w:rPr>
          <w:color w:val="231F1F"/>
          <w:w w:val="110"/>
        </w:rPr>
        <w:t>(NASC)</w:t>
      </w:r>
      <w:r>
        <w:rPr>
          <w:color w:val="231F1F"/>
          <w:spacing w:val="-15"/>
          <w:w w:val="110"/>
        </w:rPr>
        <w:t> </w:t>
      </w:r>
      <w:r>
        <w:rPr>
          <w:color w:val="231F1F"/>
          <w:w w:val="110"/>
        </w:rPr>
        <w:t>superior</w:t>
      </w:r>
      <w:r>
        <w:rPr>
          <w:color w:val="231F1F"/>
          <w:spacing w:val="-15"/>
          <w:w w:val="110"/>
        </w:rPr>
        <w:t> </w:t>
      </w:r>
      <w:r>
        <w:rPr>
          <w:color w:val="231F1F"/>
          <w:w w:val="110"/>
        </w:rPr>
        <w:t>a</w:t>
      </w:r>
      <w:r>
        <w:rPr>
          <w:color w:val="231F1F"/>
          <w:spacing w:val="-14"/>
          <w:w w:val="110"/>
        </w:rPr>
        <w:t> </w:t>
      </w:r>
      <w:r>
        <w:rPr>
          <w:color w:val="231F1F"/>
          <w:w w:val="110"/>
        </w:rPr>
        <w:t>35</w:t>
      </w:r>
      <w:r>
        <w:rPr>
          <w:color w:val="231F1F"/>
          <w:spacing w:val="-14"/>
          <w:w w:val="110"/>
        </w:rPr>
        <w:t> </w:t>
      </w:r>
      <w:r>
        <w:rPr>
          <w:color w:val="231F1F"/>
          <w:w w:val="110"/>
        </w:rPr>
        <w:t>a</w:t>
      </w:r>
      <w:r>
        <w:rPr>
          <w:color w:val="231F1F"/>
          <w:spacing w:val="-14"/>
          <w:w w:val="110"/>
        </w:rPr>
        <w:t> </w:t>
      </w:r>
      <w:r>
        <w:rPr>
          <w:color w:val="231F1F"/>
          <w:w w:val="110"/>
        </w:rPr>
        <w:t>las dos horas de parto, aunque esta diferencia no fue significativa a las 24h.</w:t>
      </w:r>
    </w:p>
    <w:p>
      <w:pPr>
        <w:pStyle w:val="BodyText"/>
        <w:spacing w:line="249" w:lineRule="auto" w:before="130"/>
        <w:ind w:left="283" w:right="1366" w:firstLine="453"/>
        <w:jc w:val="both"/>
      </w:pPr>
      <w:r>
        <w:rPr>
          <w:color w:val="231F1F"/>
          <w:w w:val="105"/>
        </w:rPr>
        <w:t>También se realizó un análisis de subgrupo incluyendo solo los estudios que utilizaron la analgesia epidural. Los resultados fueron consistentes con el metaanálisis global.</w:t>
      </w:r>
    </w:p>
    <w:p>
      <w:pPr>
        <w:pStyle w:val="BodyText"/>
        <w:tabs>
          <w:tab w:pos="7791" w:val="left" w:leader="none"/>
          <w:tab w:pos="8036" w:val="left" w:leader="none"/>
        </w:tabs>
        <w:spacing w:line="249" w:lineRule="auto" w:before="90"/>
        <w:ind w:left="283" w:right="308" w:firstLine="453"/>
      </w:pPr>
      <w:r>
        <w:rPr>
          <w:color w:val="231F1F"/>
        </w:rPr>
        <w:t>Seis estudios compararon la administración de </w:t>
      </w:r>
      <w:r>
        <w:rPr>
          <w:i/>
          <w:color w:val="231F1F"/>
        </w:rPr>
        <w:t>bupivacaína frente a levo-</w:t>
        <w:tab/>
      </w:r>
      <w:r>
        <w:rPr>
          <w:rFonts w:ascii="Arial MT" w:hAnsi="Arial MT"/>
          <w:color w:val="231F1F"/>
          <w:spacing w:val="-2"/>
          <w:sz w:val="18"/>
        </w:rPr>
        <w:t>RS-MA</w:t>
      </w:r>
      <w:r>
        <w:rPr>
          <w:rFonts w:ascii="Arial MT" w:hAnsi="Arial MT"/>
          <w:color w:val="231F1F"/>
          <w:spacing w:val="-11"/>
          <w:sz w:val="18"/>
        </w:rPr>
        <w:t> </w:t>
      </w:r>
      <w:r>
        <w:rPr>
          <w:rFonts w:ascii="Arial MT" w:hAnsi="Arial MT"/>
          <w:color w:val="231F1F"/>
          <w:spacing w:val="-2"/>
          <w:sz w:val="18"/>
        </w:rPr>
        <w:t>de </w:t>
      </w:r>
      <w:r>
        <w:rPr>
          <w:i/>
          <w:color w:val="231F1F"/>
          <w:w w:val="105"/>
        </w:rPr>
        <w:t>bupivacaína</w:t>
      </w:r>
      <w:r>
        <w:rPr>
          <w:color w:val="231F1F"/>
          <w:w w:val="105"/>
        </w:rPr>
        <w:t>. Las mujeres del grupo de levobupivacaína tuvieron una duración</w:t>
      </w:r>
      <w:r>
        <w:rPr>
          <w:color w:val="231F1F"/>
        </w:rPr>
        <w:tab/>
        <w:tab/>
      </w:r>
      <w:r>
        <w:rPr>
          <w:rFonts w:ascii="Arial MT" w:hAnsi="Arial MT"/>
          <w:color w:val="231F1F"/>
          <w:spacing w:val="-4"/>
          <w:w w:val="105"/>
          <w:position w:val="4"/>
          <w:sz w:val="18"/>
        </w:rPr>
        <w:t>ECA </w:t>
      </w:r>
      <w:r>
        <w:rPr>
          <w:color w:val="231F1F"/>
          <w:w w:val="105"/>
        </w:rPr>
        <w:t>del efecto analgésico más corto aunque no hubo diferencias en el resto de</w:t>
      </w:r>
      <w:r>
        <w:rPr>
          <w:color w:val="231F1F"/>
        </w:rPr>
        <w:tab/>
        <w:tab/>
      </w:r>
      <w:r>
        <w:rPr>
          <w:color w:val="231F1F"/>
          <w:spacing w:val="-40"/>
        </w:rPr>
        <w:t> </w:t>
      </w:r>
      <w:r>
        <w:rPr>
          <w:rFonts w:ascii="Arial MT" w:hAnsi="Arial MT"/>
          <w:color w:val="231F1F"/>
          <w:w w:val="105"/>
          <w:position w:val="8"/>
          <w:sz w:val="18"/>
        </w:rPr>
        <w:t>1+ </w:t>
      </w:r>
      <w:r>
        <w:rPr>
          <w:color w:val="231F1F"/>
          <w:w w:val="105"/>
        </w:rPr>
        <w:t>resultados</w:t>
      </w:r>
      <w:r>
        <w:rPr>
          <w:color w:val="231F1F"/>
          <w:w w:val="105"/>
        </w:rPr>
        <w:t> clínicos,</w:t>
      </w:r>
      <w:r>
        <w:rPr>
          <w:color w:val="231F1F"/>
          <w:w w:val="105"/>
        </w:rPr>
        <w:t> maternos</w:t>
      </w:r>
      <w:r>
        <w:rPr>
          <w:color w:val="231F1F"/>
          <w:w w:val="105"/>
        </w:rPr>
        <w:t> y</w:t>
      </w:r>
      <w:r>
        <w:rPr>
          <w:color w:val="231F1F"/>
          <w:w w:val="105"/>
        </w:rPr>
        <w:t> neonatales.</w:t>
      </w:r>
    </w:p>
    <w:p>
      <w:pPr>
        <w:pStyle w:val="BodyText"/>
        <w:spacing w:line="244" w:lineRule="auto" w:before="47"/>
        <w:ind w:left="283" w:right="1367" w:firstLine="453"/>
        <w:jc w:val="both"/>
      </w:pPr>
      <w:r>
        <w:rPr>
          <w:color w:val="231F1F"/>
          <w:w w:val="105"/>
        </w:rPr>
        <w:t>Cuando</w:t>
      </w:r>
      <w:r>
        <w:rPr>
          <w:color w:val="231F1F"/>
          <w:w w:val="105"/>
        </w:rPr>
        <w:t> se</w:t>
      </w:r>
      <w:r>
        <w:rPr>
          <w:color w:val="231F1F"/>
          <w:w w:val="105"/>
        </w:rPr>
        <w:t> realizó</w:t>
      </w:r>
      <w:r>
        <w:rPr>
          <w:color w:val="231F1F"/>
          <w:w w:val="105"/>
        </w:rPr>
        <w:t> el</w:t>
      </w:r>
      <w:r>
        <w:rPr>
          <w:color w:val="231F1F"/>
          <w:w w:val="105"/>
        </w:rPr>
        <w:t> análisis</w:t>
      </w:r>
      <w:r>
        <w:rPr>
          <w:color w:val="231F1F"/>
          <w:w w:val="105"/>
        </w:rPr>
        <w:t> de</w:t>
      </w:r>
      <w:r>
        <w:rPr>
          <w:color w:val="231F1F"/>
          <w:w w:val="105"/>
        </w:rPr>
        <w:t> subgrupos</w:t>
      </w:r>
      <w:r>
        <w:rPr>
          <w:color w:val="231F1F"/>
          <w:w w:val="105"/>
        </w:rPr>
        <w:t> con</w:t>
      </w:r>
      <w:r>
        <w:rPr>
          <w:color w:val="231F1F"/>
          <w:w w:val="105"/>
        </w:rPr>
        <w:t> 3</w:t>
      </w:r>
      <w:r>
        <w:rPr>
          <w:color w:val="231F1F"/>
          <w:w w:val="105"/>
        </w:rPr>
        <w:t> estudios</w:t>
      </w:r>
      <w:r>
        <w:rPr>
          <w:color w:val="231F1F"/>
          <w:w w:val="105"/>
        </w:rPr>
        <w:t> de</w:t>
      </w:r>
      <w:r>
        <w:rPr>
          <w:color w:val="231F1F"/>
          <w:w w:val="105"/>
        </w:rPr>
        <w:t> analgesia epidural,</w:t>
      </w:r>
      <w:r>
        <w:rPr>
          <w:color w:val="231F1F"/>
          <w:spacing w:val="-9"/>
          <w:w w:val="105"/>
        </w:rPr>
        <w:t> </w:t>
      </w:r>
      <w:r>
        <w:rPr>
          <w:color w:val="231F1F"/>
          <w:w w:val="105"/>
        </w:rPr>
        <w:t>no</w:t>
      </w:r>
      <w:r>
        <w:rPr>
          <w:color w:val="231F1F"/>
          <w:spacing w:val="-9"/>
          <w:w w:val="105"/>
        </w:rPr>
        <w:t> </w:t>
      </w:r>
      <w:r>
        <w:rPr>
          <w:color w:val="231F1F"/>
          <w:w w:val="105"/>
        </w:rPr>
        <w:t>hubo</w:t>
      </w:r>
      <w:r>
        <w:rPr>
          <w:color w:val="231F1F"/>
          <w:spacing w:val="-9"/>
          <w:w w:val="105"/>
        </w:rPr>
        <w:t> </w:t>
      </w:r>
      <w:r>
        <w:rPr>
          <w:color w:val="231F1F"/>
          <w:w w:val="105"/>
        </w:rPr>
        <w:t>diferencias</w:t>
      </w:r>
      <w:r>
        <w:rPr>
          <w:color w:val="231F1F"/>
          <w:spacing w:val="-10"/>
          <w:w w:val="105"/>
        </w:rPr>
        <w:t> </w:t>
      </w:r>
      <w:r>
        <w:rPr>
          <w:color w:val="231F1F"/>
          <w:w w:val="105"/>
        </w:rPr>
        <w:t>en</w:t>
      </w:r>
      <w:r>
        <w:rPr>
          <w:color w:val="231F1F"/>
          <w:spacing w:val="-9"/>
          <w:w w:val="105"/>
        </w:rPr>
        <w:t> </w:t>
      </w:r>
      <w:r>
        <w:rPr>
          <w:color w:val="231F1F"/>
          <w:w w:val="105"/>
        </w:rPr>
        <w:t>ninguno</w:t>
      </w:r>
      <w:r>
        <w:rPr>
          <w:color w:val="231F1F"/>
          <w:spacing w:val="-9"/>
          <w:w w:val="105"/>
        </w:rPr>
        <w:t> </w:t>
      </w:r>
      <w:r>
        <w:rPr>
          <w:color w:val="231F1F"/>
          <w:w w:val="105"/>
        </w:rPr>
        <w:t>de</w:t>
      </w:r>
      <w:r>
        <w:rPr>
          <w:color w:val="231F1F"/>
          <w:spacing w:val="-9"/>
          <w:w w:val="105"/>
        </w:rPr>
        <w:t> </w:t>
      </w:r>
      <w:r>
        <w:rPr>
          <w:color w:val="231F1F"/>
          <w:w w:val="105"/>
        </w:rPr>
        <w:t>los</w:t>
      </w:r>
      <w:r>
        <w:rPr>
          <w:color w:val="231F1F"/>
          <w:spacing w:val="-9"/>
          <w:w w:val="105"/>
        </w:rPr>
        <w:t> </w:t>
      </w:r>
      <w:r>
        <w:rPr>
          <w:color w:val="231F1F"/>
          <w:w w:val="105"/>
        </w:rPr>
        <w:t>resultados,</w:t>
      </w:r>
      <w:r>
        <w:rPr>
          <w:color w:val="231F1F"/>
          <w:spacing w:val="-9"/>
          <w:w w:val="105"/>
        </w:rPr>
        <w:t> </w:t>
      </w:r>
      <w:r>
        <w:rPr>
          <w:color w:val="231F1F"/>
          <w:w w:val="105"/>
        </w:rPr>
        <w:t>incluida</w:t>
      </w:r>
      <w:r>
        <w:rPr>
          <w:color w:val="231F1F"/>
          <w:spacing w:val="-9"/>
          <w:w w:val="105"/>
        </w:rPr>
        <w:t> </w:t>
      </w:r>
      <w:r>
        <w:rPr>
          <w:color w:val="231F1F"/>
          <w:w w:val="105"/>
        </w:rPr>
        <w:t>la</w:t>
      </w:r>
      <w:r>
        <w:rPr>
          <w:color w:val="231F1F"/>
          <w:spacing w:val="-9"/>
          <w:w w:val="105"/>
        </w:rPr>
        <w:t> </w:t>
      </w:r>
      <w:r>
        <w:rPr>
          <w:color w:val="231F1F"/>
          <w:w w:val="105"/>
        </w:rPr>
        <w:t>duración del efecto analgésico.</w:t>
      </w:r>
    </w:p>
    <w:p>
      <w:pPr>
        <w:spacing w:line="244" w:lineRule="auto" w:before="138"/>
        <w:ind w:left="283" w:right="1371" w:firstLine="453"/>
        <w:jc w:val="both"/>
        <w:rPr>
          <w:sz w:val="22"/>
        </w:rPr>
      </w:pPr>
      <w:r>
        <w:rPr>
          <w:color w:val="231F1F"/>
          <w:w w:val="105"/>
          <w:sz w:val="22"/>
        </w:rPr>
        <w:t>Siete estudios compararon la administración de </w:t>
      </w:r>
      <w:r>
        <w:rPr>
          <w:i/>
          <w:color w:val="231F1F"/>
          <w:w w:val="105"/>
          <w:sz w:val="22"/>
        </w:rPr>
        <w:t>levobupivacaína</w:t>
      </w:r>
      <w:r>
        <w:rPr>
          <w:i/>
          <w:color w:val="231F1F"/>
          <w:spacing w:val="-3"/>
          <w:w w:val="105"/>
          <w:sz w:val="22"/>
        </w:rPr>
        <w:t> </w:t>
      </w:r>
      <w:r>
        <w:rPr>
          <w:i/>
          <w:color w:val="231F1F"/>
          <w:w w:val="105"/>
          <w:sz w:val="22"/>
        </w:rPr>
        <w:t>frente</w:t>
      </w:r>
      <w:r>
        <w:rPr>
          <w:i/>
          <w:color w:val="231F1F"/>
          <w:spacing w:val="-5"/>
          <w:w w:val="105"/>
          <w:sz w:val="22"/>
        </w:rPr>
        <w:t> </w:t>
      </w:r>
      <w:r>
        <w:rPr>
          <w:i/>
          <w:color w:val="231F1F"/>
          <w:w w:val="105"/>
          <w:sz w:val="22"/>
        </w:rPr>
        <w:t>a ropivacaína</w:t>
      </w:r>
      <w:r>
        <w:rPr>
          <w:color w:val="231F1F"/>
          <w:w w:val="105"/>
          <w:sz w:val="22"/>
        </w:rPr>
        <w:t>,</w:t>
      </w:r>
      <w:r>
        <w:rPr>
          <w:color w:val="231F1F"/>
          <w:spacing w:val="33"/>
          <w:w w:val="105"/>
          <w:sz w:val="22"/>
        </w:rPr>
        <w:t> </w:t>
      </w:r>
      <w:r>
        <w:rPr>
          <w:color w:val="231F1F"/>
          <w:w w:val="105"/>
          <w:sz w:val="22"/>
        </w:rPr>
        <w:t>3</w:t>
      </w:r>
      <w:r>
        <w:rPr>
          <w:color w:val="231F1F"/>
          <w:spacing w:val="33"/>
          <w:w w:val="105"/>
          <w:sz w:val="22"/>
        </w:rPr>
        <w:t> </w:t>
      </w:r>
      <w:r>
        <w:rPr>
          <w:color w:val="231F1F"/>
          <w:w w:val="105"/>
          <w:sz w:val="22"/>
        </w:rPr>
        <w:t>de</w:t>
      </w:r>
      <w:r>
        <w:rPr>
          <w:color w:val="231F1F"/>
          <w:spacing w:val="33"/>
          <w:w w:val="105"/>
          <w:sz w:val="22"/>
        </w:rPr>
        <w:t> </w:t>
      </w:r>
      <w:r>
        <w:rPr>
          <w:color w:val="231F1F"/>
          <w:w w:val="105"/>
          <w:sz w:val="22"/>
        </w:rPr>
        <w:t>ellos</w:t>
      </w:r>
      <w:r>
        <w:rPr>
          <w:color w:val="231F1F"/>
          <w:spacing w:val="34"/>
          <w:w w:val="105"/>
          <w:sz w:val="22"/>
        </w:rPr>
        <w:t> </w:t>
      </w:r>
      <w:r>
        <w:rPr>
          <w:color w:val="231F1F"/>
          <w:w w:val="105"/>
          <w:sz w:val="22"/>
        </w:rPr>
        <w:t>utilizaron</w:t>
      </w:r>
      <w:r>
        <w:rPr>
          <w:color w:val="231F1F"/>
          <w:spacing w:val="33"/>
          <w:w w:val="105"/>
          <w:sz w:val="22"/>
        </w:rPr>
        <w:t> </w:t>
      </w:r>
      <w:r>
        <w:rPr>
          <w:color w:val="231F1F"/>
          <w:w w:val="105"/>
          <w:sz w:val="22"/>
        </w:rPr>
        <w:t>analgesia</w:t>
      </w:r>
      <w:r>
        <w:rPr>
          <w:color w:val="231F1F"/>
          <w:spacing w:val="34"/>
          <w:w w:val="105"/>
          <w:sz w:val="22"/>
        </w:rPr>
        <w:t> </w:t>
      </w:r>
      <w:r>
        <w:rPr>
          <w:color w:val="231F1F"/>
          <w:w w:val="105"/>
          <w:sz w:val="22"/>
        </w:rPr>
        <w:t>combinada</w:t>
      </w:r>
      <w:r>
        <w:rPr>
          <w:color w:val="231F1F"/>
          <w:spacing w:val="33"/>
          <w:w w:val="105"/>
          <w:sz w:val="22"/>
        </w:rPr>
        <w:t> </w:t>
      </w:r>
      <w:r>
        <w:rPr>
          <w:color w:val="231F1F"/>
          <w:w w:val="105"/>
          <w:sz w:val="22"/>
        </w:rPr>
        <w:t>(intradural-epidural) y el resto analgesia epidural.</w:t>
      </w:r>
    </w:p>
    <w:p>
      <w:pPr>
        <w:spacing w:after="0" w:line="244" w:lineRule="auto"/>
        <w:jc w:val="both"/>
        <w:rPr>
          <w:sz w:val="22"/>
        </w:rPr>
        <w:sectPr>
          <w:pgSz w:w="11900" w:h="16840"/>
          <w:pgMar w:header="0" w:footer="622" w:top="1560" w:bottom="820" w:left="1417" w:right="1559"/>
        </w:sectPr>
      </w:pPr>
    </w:p>
    <w:p>
      <w:pPr>
        <w:pStyle w:val="BodyText"/>
        <w:tabs>
          <w:tab w:pos="7791" w:val="left" w:leader="none"/>
          <w:tab w:pos="8036" w:val="left" w:leader="none"/>
          <w:tab w:pos="8114" w:val="left" w:leader="none"/>
        </w:tabs>
        <w:spacing w:line="249" w:lineRule="auto" w:before="67"/>
        <w:ind w:left="283" w:right="312" w:firstLine="453"/>
      </w:pPr>
      <w:r>
        <w:rPr>
          <w:color w:val="231F1F"/>
        </w:rPr>
        <w:t>No hubo diferencias en los resultados clínicos excepto en la incidencia</w:t>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05"/>
        </w:rPr>
        <w:t>de vómitos del subgrupo epidural que fue mayor en el grupo de ropivacaína.</w:t>
      </w:r>
      <w:r>
        <w:rPr>
          <w:color w:val="231F1F"/>
        </w:rPr>
        <w:tab/>
        <w:tab/>
      </w:r>
      <w:r>
        <w:rPr>
          <w:rFonts w:ascii="Arial MT" w:hAnsi="Arial MT"/>
          <w:color w:val="231F1F"/>
          <w:spacing w:val="-4"/>
          <w:w w:val="105"/>
          <w:position w:val="4"/>
          <w:sz w:val="18"/>
        </w:rPr>
        <w:t>ECA </w:t>
      </w:r>
      <w:r>
        <w:rPr>
          <w:color w:val="231F1F"/>
          <w:w w:val="105"/>
        </w:rPr>
        <w:t>En el análisis de subgrupos de solo epidural se observó una reducción de la</w:t>
      </w:r>
      <w:r>
        <w:rPr>
          <w:color w:val="231F1F"/>
        </w:rPr>
        <w:tab/>
        <w:tab/>
        <w:tab/>
      </w:r>
      <w:r>
        <w:rPr>
          <w:rFonts w:ascii="Arial MT" w:hAnsi="Arial MT"/>
          <w:color w:val="231F1F"/>
          <w:spacing w:val="-6"/>
          <w:w w:val="105"/>
          <w:position w:val="8"/>
          <w:sz w:val="18"/>
        </w:rPr>
        <w:t>1+ </w:t>
      </w:r>
      <w:r>
        <w:rPr>
          <w:color w:val="231F1F"/>
          <w:w w:val="105"/>
        </w:rPr>
        <w:t>duración</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analgesia</w:t>
      </w:r>
      <w:r>
        <w:rPr>
          <w:color w:val="231F1F"/>
          <w:spacing w:val="40"/>
          <w:w w:val="105"/>
        </w:rPr>
        <w:t> </w:t>
      </w:r>
      <w:r>
        <w:rPr>
          <w:color w:val="231F1F"/>
          <w:w w:val="105"/>
        </w:rPr>
        <w:t>en</w:t>
      </w:r>
      <w:r>
        <w:rPr>
          <w:color w:val="231F1F"/>
          <w:spacing w:val="40"/>
          <w:w w:val="105"/>
        </w:rPr>
        <w:t> </w:t>
      </w:r>
      <w:r>
        <w:rPr>
          <w:color w:val="231F1F"/>
          <w:w w:val="105"/>
        </w:rPr>
        <w:t>el</w:t>
      </w:r>
      <w:r>
        <w:rPr>
          <w:color w:val="231F1F"/>
          <w:spacing w:val="40"/>
          <w:w w:val="105"/>
        </w:rPr>
        <w:t> </w:t>
      </w:r>
      <w:r>
        <w:rPr>
          <w:color w:val="231F1F"/>
          <w:w w:val="105"/>
        </w:rPr>
        <w:t>grupo</w:t>
      </w:r>
      <w:r>
        <w:rPr>
          <w:color w:val="231F1F"/>
          <w:spacing w:val="40"/>
          <w:w w:val="105"/>
        </w:rPr>
        <w:t> </w:t>
      </w:r>
      <w:r>
        <w:rPr>
          <w:color w:val="231F1F"/>
          <w:w w:val="105"/>
        </w:rPr>
        <w:t>de</w:t>
      </w:r>
      <w:r>
        <w:rPr>
          <w:color w:val="231F1F"/>
          <w:spacing w:val="40"/>
          <w:w w:val="105"/>
        </w:rPr>
        <w:t> </w:t>
      </w:r>
      <w:r>
        <w:rPr>
          <w:color w:val="231F1F"/>
          <w:w w:val="105"/>
        </w:rPr>
        <w:t>levobupivacaína</w:t>
      </w:r>
      <w:r>
        <w:rPr>
          <w:color w:val="231F1F"/>
          <w:spacing w:val="40"/>
          <w:w w:val="105"/>
        </w:rPr>
        <w:t> </w:t>
      </w:r>
      <w:r>
        <w:rPr>
          <w:color w:val="231F1F"/>
          <w:w w:val="105"/>
        </w:rPr>
        <w:t>y</w:t>
      </w:r>
      <w:r>
        <w:rPr>
          <w:color w:val="231F1F"/>
          <w:spacing w:val="40"/>
          <w:w w:val="105"/>
        </w:rPr>
        <w:t> </w:t>
      </w:r>
      <w:r>
        <w:rPr>
          <w:color w:val="231F1F"/>
          <w:w w:val="105"/>
        </w:rPr>
        <w:t>una</w:t>
      </w:r>
      <w:r>
        <w:rPr>
          <w:color w:val="231F1F"/>
          <w:spacing w:val="40"/>
          <w:w w:val="105"/>
        </w:rPr>
        <w:t> </w:t>
      </w:r>
      <w:r>
        <w:rPr>
          <w:color w:val="231F1F"/>
          <w:w w:val="105"/>
        </w:rPr>
        <w:t>reducción</w:t>
      </w:r>
      <w:r>
        <w:rPr>
          <w:color w:val="231F1F"/>
          <w:spacing w:val="40"/>
          <w:w w:val="105"/>
        </w:rPr>
        <w:t> </w:t>
      </w:r>
      <w:r>
        <w:rPr>
          <w:color w:val="231F1F"/>
          <w:w w:val="105"/>
        </w:rPr>
        <w:t>de</w:t>
      </w:r>
    </w:p>
    <w:p>
      <w:pPr>
        <w:pStyle w:val="BodyText"/>
        <w:spacing w:line="248" w:lineRule="exact"/>
        <w:ind w:left="283"/>
      </w:pPr>
      <w:r>
        <w:rPr>
          <w:color w:val="231F1F"/>
          <w:w w:val="105"/>
        </w:rPr>
        <w:t>las</w:t>
      </w:r>
      <w:r>
        <w:rPr>
          <w:color w:val="231F1F"/>
          <w:spacing w:val="-5"/>
          <w:w w:val="105"/>
        </w:rPr>
        <w:t> </w:t>
      </w:r>
      <w:r>
        <w:rPr>
          <w:color w:val="231F1F"/>
          <w:w w:val="105"/>
        </w:rPr>
        <w:t>náuseas</w:t>
      </w:r>
      <w:r>
        <w:rPr>
          <w:color w:val="231F1F"/>
          <w:spacing w:val="-4"/>
          <w:w w:val="105"/>
        </w:rPr>
        <w:t> </w:t>
      </w:r>
      <w:r>
        <w:rPr>
          <w:color w:val="231F1F"/>
          <w:w w:val="105"/>
        </w:rPr>
        <w:t>y</w:t>
      </w:r>
      <w:r>
        <w:rPr>
          <w:color w:val="231F1F"/>
          <w:spacing w:val="-4"/>
          <w:w w:val="105"/>
        </w:rPr>
        <w:t> </w:t>
      </w:r>
      <w:r>
        <w:rPr>
          <w:color w:val="231F1F"/>
          <w:w w:val="105"/>
        </w:rPr>
        <w:t>vómitos.</w:t>
      </w:r>
      <w:r>
        <w:rPr>
          <w:color w:val="231F1F"/>
          <w:spacing w:val="-5"/>
          <w:w w:val="105"/>
        </w:rPr>
        <w:t> </w:t>
      </w:r>
      <w:r>
        <w:rPr>
          <w:color w:val="231F1F"/>
          <w:w w:val="105"/>
        </w:rPr>
        <w:t>El</w:t>
      </w:r>
      <w:r>
        <w:rPr>
          <w:color w:val="231F1F"/>
          <w:spacing w:val="-5"/>
          <w:w w:val="105"/>
        </w:rPr>
        <w:t> </w:t>
      </w:r>
      <w:r>
        <w:rPr>
          <w:color w:val="231F1F"/>
          <w:w w:val="105"/>
        </w:rPr>
        <w:t>resto</w:t>
      </w:r>
      <w:r>
        <w:rPr>
          <w:color w:val="231F1F"/>
          <w:spacing w:val="-4"/>
          <w:w w:val="105"/>
        </w:rPr>
        <w:t> </w:t>
      </w:r>
      <w:r>
        <w:rPr>
          <w:color w:val="231F1F"/>
          <w:w w:val="105"/>
        </w:rPr>
        <w:t>de</w:t>
      </w:r>
      <w:r>
        <w:rPr>
          <w:color w:val="231F1F"/>
          <w:spacing w:val="-5"/>
          <w:w w:val="105"/>
        </w:rPr>
        <w:t> </w:t>
      </w:r>
      <w:r>
        <w:rPr>
          <w:color w:val="231F1F"/>
          <w:w w:val="105"/>
        </w:rPr>
        <w:t>resultados</w:t>
      </w:r>
      <w:r>
        <w:rPr>
          <w:color w:val="231F1F"/>
          <w:spacing w:val="-4"/>
          <w:w w:val="105"/>
        </w:rPr>
        <w:t> </w:t>
      </w:r>
      <w:r>
        <w:rPr>
          <w:color w:val="231F1F"/>
          <w:w w:val="105"/>
        </w:rPr>
        <w:t>fueron</w:t>
      </w:r>
      <w:r>
        <w:rPr>
          <w:color w:val="231F1F"/>
          <w:spacing w:val="-4"/>
          <w:w w:val="105"/>
        </w:rPr>
        <w:t> </w:t>
      </w:r>
      <w:r>
        <w:rPr>
          <w:color w:val="231F1F"/>
          <w:w w:val="105"/>
        </w:rPr>
        <w:t>similares</w:t>
      </w:r>
      <w:r>
        <w:rPr>
          <w:color w:val="231F1F"/>
          <w:spacing w:val="-4"/>
          <w:w w:val="105"/>
        </w:rPr>
        <w:t> </w:t>
      </w:r>
      <w:r>
        <w:rPr>
          <w:color w:val="231F1F"/>
          <w:w w:val="105"/>
        </w:rPr>
        <w:t>en</w:t>
      </w:r>
      <w:r>
        <w:rPr>
          <w:color w:val="231F1F"/>
          <w:spacing w:val="-5"/>
          <w:w w:val="105"/>
        </w:rPr>
        <w:t> </w:t>
      </w:r>
      <w:r>
        <w:rPr>
          <w:color w:val="231F1F"/>
          <w:w w:val="105"/>
        </w:rPr>
        <w:t>los</w:t>
      </w:r>
      <w:r>
        <w:rPr>
          <w:color w:val="231F1F"/>
          <w:spacing w:val="-4"/>
          <w:w w:val="105"/>
        </w:rPr>
        <w:t> </w:t>
      </w:r>
      <w:r>
        <w:rPr>
          <w:color w:val="231F1F"/>
          <w:spacing w:val="-2"/>
          <w:w w:val="105"/>
        </w:rPr>
        <w:t>grupos.</w:t>
      </w:r>
    </w:p>
    <w:p>
      <w:pPr>
        <w:pStyle w:val="BodyText"/>
        <w:spacing w:before="89"/>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6"/>
          <w:sz w:val="24"/>
        </w:rPr>
        <w:t> </w:t>
      </w:r>
      <w:r>
        <w:rPr>
          <w:rFonts w:ascii="Arial MT" w:hAnsi="Arial MT"/>
          <w:color w:val="231F1F"/>
          <w:sz w:val="24"/>
        </w:rPr>
        <w:t>(2006</w:t>
      </w:r>
      <w:r>
        <w:rPr>
          <w:rFonts w:ascii="Arial MT" w:hAnsi="Arial MT"/>
          <w:color w:val="231F1F"/>
          <w:spacing w:val="18"/>
          <w:sz w:val="24"/>
        </w:rPr>
        <w:t> </w:t>
      </w:r>
      <w:r>
        <w:rPr>
          <w:rFonts w:ascii="Arial MT" w:hAnsi="Arial MT"/>
          <w:color w:val="231F1F"/>
          <w:sz w:val="24"/>
        </w:rPr>
        <w:t>a</w:t>
      </w:r>
      <w:r>
        <w:rPr>
          <w:rFonts w:ascii="Arial MT" w:hAnsi="Arial MT"/>
          <w:color w:val="231F1F"/>
          <w:spacing w:val="18"/>
          <w:sz w:val="24"/>
        </w:rPr>
        <w:t> </w:t>
      </w:r>
      <w:r>
        <w:rPr>
          <w:rFonts w:ascii="Arial MT" w:hAnsi="Arial MT"/>
          <w:color w:val="231F1F"/>
          <w:sz w:val="24"/>
        </w:rPr>
        <w:t>julio</w:t>
      </w:r>
      <w:r>
        <w:rPr>
          <w:rFonts w:ascii="Arial MT" w:hAnsi="Arial MT"/>
          <w:color w:val="231F1F"/>
          <w:spacing w:val="18"/>
          <w:sz w:val="24"/>
        </w:rPr>
        <w:t> </w:t>
      </w:r>
      <w:r>
        <w:rPr>
          <w:rFonts w:ascii="Arial MT" w:hAnsi="Arial MT"/>
          <w:color w:val="231F1F"/>
          <w:spacing w:val="-2"/>
          <w:sz w:val="24"/>
        </w:rPr>
        <w:t>2008)</w:t>
      </w:r>
    </w:p>
    <w:p>
      <w:pPr>
        <w:pStyle w:val="BodyText"/>
        <w:spacing w:before="224"/>
        <w:ind w:left="283" w:right="1386" w:firstLine="453"/>
      </w:pPr>
      <w:r>
        <w:rPr>
          <w:color w:val="231F1F"/>
          <w:spacing w:val="-2"/>
          <w:w w:val="105"/>
        </w:rPr>
        <w:t>No</w:t>
      </w:r>
      <w:r>
        <w:rPr>
          <w:color w:val="231F1F"/>
          <w:spacing w:val="-6"/>
          <w:w w:val="105"/>
        </w:rPr>
        <w:t> </w:t>
      </w:r>
      <w:r>
        <w:rPr>
          <w:color w:val="231F1F"/>
          <w:spacing w:val="-2"/>
          <w:w w:val="105"/>
        </w:rPr>
        <w:t>se</w:t>
      </w:r>
      <w:r>
        <w:rPr>
          <w:color w:val="231F1F"/>
          <w:spacing w:val="-6"/>
          <w:w w:val="105"/>
        </w:rPr>
        <w:t> </w:t>
      </w:r>
      <w:r>
        <w:rPr>
          <w:color w:val="231F1F"/>
          <w:spacing w:val="-2"/>
          <w:w w:val="105"/>
        </w:rPr>
        <w:t>han</w:t>
      </w:r>
      <w:r>
        <w:rPr>
          <w:color w:val="231F1F"/>
          <w:spacing w:val="-6"/>
          <w:w w:val="105"/>
        </w:rPr>
        <w:t> </w:t>
      </w:r>
      <w:r>
        <w:rPr>
          <w:color w:val="231F1F"/>
          <w:spacing w:val="-2"/>
          <w:w w:val="105"/>
        </w:rPr>
        <w:t>seleccionado</w:t>
      </w:r>
      <w:r>
        <w:rPr>
          <w:color w:val="231F1F"/>
          <w:spacing w:val="-6"/>
          <w:w w:val="105"/>
        </w:rPr>
        <w:t> </w:t>
      </w:r>
      <w:r>
        <w:rPr>
          <w:color w:val="231F1F"/>
          <w:spacing w:val="-2"/>
          <w:w w:val="105"/>
        </w:rPr>
        <w:t>nuevos</w:t>
      </w:r>
      <w:r>
        <w:rPr>
          <w:color w:val="231F1F"/>
          <w:spacing w:val="-6"/>
          <w:w w:val="105"/>
        </w:rPr>
        <w:t> </w:t>
      </w:r>
      <w:r>
        <w:rPr>
          <w:color w:val="231F1F"/>
          <w:spacing w:val="-2"/>
          <w:w w:val="105"/>
        </w:rPr>
        <w:t>estudios,</w:t>
      </w:r>
      <w:r>
        <w:rPr>
          <w:color w:val="231F1F"/>
          <w:spacing w:val="-6"/>
          <w:w w:val="105"/>
        </w:rPr>
        <w:t> </w:t>
      </w:r>
      <w:r>
        <w:rPr>
          <w:color w:val="231F1F"/>
          <w:spacing w:val="-2"/>
          <w:w w:val="105"/>
        </w:rPr>
        <w:t>por</w:t>
      </w:r>
      <w:r>
        <w:rPr>
          <w:color w:val="231F1F"/>
          <w:spacing w:val="-6"/>
          <w:w w:val="105"/>
        </w:rPr>
        <w:t> </w:t>
      </w:r>
      <w:r>
        <w:rPr>
          <w:color w:val="231F1F"/>
          <w:spacing w:val="-2"/>
          <w:w w:val="105"/>
        </w:rPr>
        <w:t>lo</w:t>
      </w:r>
      <w:r>
        <w:rPr>
          <w:color w:val="231F1F"/>
          <w:spacing w:val="-6"/>
          <w:w w:val="105"/>
        </w:rPr>
        <w:t> </w:t>
      </w:r>
      <w:r>
        <w:rPr>
          <w:color w:val="231F1F"/>
          <w:spacing w:val="-2"/>
          <w:w w:val="105"/>
        </w:rPr>
        <w:t>que</w:t>
      </w:r>
      <w:r>
        <w:rPr>
          <w:color w:val="231F1F"/>
          <w:spacing w:val="-6"/>
          <w:w w:val="105"/>
        </w:rPr>
        <w:t> </w:t>
      </w:r>
      <w:r>
        <w:rPr>
          <w:color w:val="231F1F"/>
          <w:spacing w:val="-2"/>
          <w:w w:val="105"/>
        </w:rPr>
        <w:t>las</w:t>
      </w:r>
      <w:r>
        <w:rPr>
          <w:color w:val="231F1F"/>
          <w:spacing w:val="-6"/>
          <w:w w:val="105"/>
        </w:rPr>
        <w:t> </w:t>
      </w:r>
      <w:r>
        <w:rPr>
          <w:color w:val="231F1F"/>
          <w:spacing w:val="-2"/>
          <w:w w:val="105"/>
        </w:rPr>
        <w:t>recomendaciones </w:t>
      </w:r>
      <w:r>
        <w:rPr>
          <w:color w:val="231F1F"/>
          <w:w w:val="105"/>
        </w:rPr>
        <w:t>del</w:t>
      </w:r>
      <w:r>
        <w:rPr>
          <w:color w:val="231F1F"/>
          <w:spacing w:val="40"/>
          <w:w w:val="105"/>
        </w:rPr>
        <w:t> </w:t>
      </w:r>
      <w:r>
        <w:rPr>
          <w:color w:val="231F1F"/>
          <w:w w:val="105"/>
        </w:rPr>
        <w:t>GEG</w:t>
      </w:r>
      <w:r>
        <w:rPr>
          <w:color w:val="231F1F"/>
          <w:spacing w:val="40"/>
          <w:w w:val="105"/>
        </w:rPr>
        <w:t> </w:t>
      </w:r>
      <w:r>
        <w:rPr>
          <w:color w:val="231F1F"/>
          <w:w w:val="105"/>
        </w:rPr>
        <w:t>se</w:t>
      </w:r>
      <w:r>
        <w:rPr>
          <w:color w:val="231F1F"/>
          <w:spacing w:val="40"/>
          <w:w w:val="105"/>
        </w:rPr>
        <w:t> </w:t>
      </w:r>
      <w:r>
        <w:rPr>
          <w:color w:val="231F1F"/>
          <w:w w:val="105"/>
        </w:rPr>
        <w:t>basan</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evidencia</w:t>
      </w:r>
      <w:r>
        <w:rPr>
          <w:color w:val="231F1F"/>
          <w:spacing w:val="40"/>
          <w:w w:val="105"/>
        </w:rPr>
        <w:t> </w:t>
      </w:r>
      <w:r>
        <w:rPr>
          <w:color w:val="231F1F"/>
          <w:w w:val="105"/>
        </w:rPr>
        <w:t>aportada</w:t>
      </w:r>
      <w:r>
        <w:rPr>
          <w:color w:val="231F1F"/>
          <w:spacing w:val="40"/>
          <w:w w:val="105"/>
        </w:rPr>
        <w:t> </w:t>
      </w:r>
      <w:r>
        <w:rPr>
          <w:color w:val="231F1F"/>
          <w:w w:val="105"/>
        </w:rPr>
        <w:t>por</w:t>
      </w:r>
      <w:r>
        <w:rPr>
          <w:color w:val="231F1F"/>
          <w:spacing w:val="40"/>
          <w:w w:val="105"/>
        </w:rPr>
        <w:t> </w:t>
      </w:r>
      <w:r>
        <w:rPr>
          <w:color w:val="231F1F"/>
          <w:w w:val="105"/>
        </w:rPr>
        <w:t>la</w:t>
      </w:r>
      <w:r>
        <w:rPr>
          <w:color w:val="231F1F"/>
          <w:spacing w:val="40"/>
          <w:w w:val="105"/>
        </w:rPr>
        <w:t> </w:t>
      </w:r>
      <w:r>
        <w:rPr>
          <w:color w:val="231F1F"/>
          <w:w w:val="105"/>
        </w:rPr>
        <w:t>guía</w:t>
      </w:r>
      <w:r>
        <w:rPr>
          <w:color w:val="231F1F"/>
          <w:spacing w:val="40"/>
          <w:w w:val="105"/>
        </w:rPr>
        <w:t> </w:t>
      </w:r>
      <w:r>
        <w:rPr>
          <w:color w:val="231F1F"/>
          <w:w w:val="105"/>
        </w:rPr>
        <w:t>NICE</w:t>
      </w:r>
      <w:r>
        <w:rPr>
          <w:color w:val="231F1F"/>
          <w:spacing w:val="40"/>
          <w:w w:val="105"/>
        </w:rPr>
        <w:t> </w:t>
      </w:r>
      <w:r>
        <w:rPr>
          <w:color w:val="231F1F"/>
          <w:w w:val="105"/>
        </w:rPr>
        <w:t>(10).</w:t>
      </w:r>
    </w:p>
    <w:p>
      <w:pPr>
        <w:pStyle w:val="BodyText"/>
        <w:spacing w:before="17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before="44"/>
              <w:ind w:right="156"/>
              <w:rPr>
                <w:sz w:val="22"/>
              </w:rPr>
            </w:pPr>
            <w:r>
              <w:rPr>
                <w:color w:val="231F1F"/>
                <w:w w:val="105"/>
                <w:sz w:val="22"/>
              </w:rPr>
              <w:t>Bupivacaína</w:t>
            </w:r>
            <w:r>
              <w:rPr>
                <w:color w:val="231F1F"/>
                <w:spacing w:val="-13"/>
                <w:w w:val="105"/>
                <w:sz w:val="22"/>
              </w:rPr>
              <w:t> </w:t>
            </w:r>
            <w:r>
              <w:rPr>
                <w:color w:val="231F1F"/>
                <w:w w:val="105"/>
                <w:sz w:val="22"/>
              </w:rPr>
              <w:t>comparada</w:t>
            </w:r>
            <w:r>
              <w:rPr>
                <w:color w:val="231F1F"/>
                <w:spacing w:val="-12"/>
                <w:w w:val="105"/>
                <w:sz w:val="22"/>
              </w:rPr>
              <w:t> </w:t>
            </w:r>
            <w:r>
              <w:rPr>
                <w:color w:val="231F1F"/>
                <w:w w:val="105"/>
                <w:sz w:val="22"/>
              </w:rPr>
              <w:t>con</w:t>
            </w:r>
            <w:r>
              <w:rPr>
                <w:color w:val="231F1F"/>
                <w:spacing w:val="-11"/>
                <w:w w:val="105"/>
                <w:sz w:val="22"/>
              </w:rPr>
              <w:t> </w:t>
            </w:r>
            <w:r>
              <w:rPr>
                <w:color w:val="231F1F"/>
                <w:w w:val="105"/>
                <w:sz w:val="22"/>
              </w:rPr>
              <w:t>levobupivacaína</w:t>
            </w:r>
            <w:r>
              <w:rPr>
                <w:color w:val="231F1F"/>
                <w:spacing w:val="-13"/>
                <w:w w:val="105"/>
                <w:sz w:val="22"/>
              </w:rPr>
              <w:t> </w:t>
            </w:r>
            <w:r>
              <w:rPr>
                <w:color w:val="231F1F"/>
                <w:w w:val="105"/>
                <w:sz w:val="22"/>
              </w:rPr>
              <w:t>y</w:t>
            </w:r>
            <w:r>
              <w:rPr>
                <w:color w:val="231F1F"/>
                <w:spacing w:val="-11"/>
                <w:w w:val="105"/>
                <w:sz w:val="22"/>
              </w:rPr>
              <w:t> </w:t>
            </w:r>
            <w:r>
              <w:rPr>
                <w:color w:val="231F1F"/>
                <w:w w:val="105"/>
                <w:sz w:val="22"/>
              </w:rPr>
              <w:t>ropivacaína,</w:t>
            </w:r>
            <w:r>
              <w:rPr>
                <w:color w:val="231F1F"/>
                <w:spacing w:val="-12"/>
                <w:w w:val="105"/>
                <w:sz w:val="22"/>
              </w:rPr>
              <w:t> </w:t>
            </w:r>
            <w:r>
              <w:rPr>
                <w:color w:val="231F1F"/>
                <w:w w:val="105"/>
                <w:sz w:val="22"/>
              </w:rPr>
              <w:t>consigue</w:t>
            </w:r>
            <w:r>
              <w:rPr>
                <w:color w:val="231F1F"/>
                <w:spacing w:val="-12"/>
                <w:w w:val="105"/>
                <w:sz w:val="22"/>
              </w:rPr>
              <w:t> </w:t>
            </w:r>
            <w:r>
              <w:rPr>
                <w:color w:val="231F1F"/>
                <w:w w:val="105"/>
                <w:sz w:val="22"/>
              </w:rPr>
              <w:t>una mayor duración del efecto de la analgesia (10).</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959" w:hRule="atLeast"/>
        </w:trPr>
        <w:tc>
          <w:tcPr>
            <w:tcW w:w="7373" w:type="dxa"/>
          </w:tcPr>
          <w:p>
            <w:pPr>
              <w:pStyle w:val="TableParagraph"/>
              <w:spacing w:line="244" w:lineRule="auto" w:before="44"/>
              <w:ind w:right="85"/>
              <w:jc w:val="both"/>
              <w:rPr>
                <w:sz w:val="22"/>
              </w:rPr>
            </w:pPr>
            <w:r>
              <w:rPr>
                <w:color w:val="231F1F"/>
                <w:w w:val="105"/>
                <w:sz w:val="22"/>
              </w:rPr>
              <w:t>Ropivacaína</w:t>
            </w:r>
            <w:r>
              <w:rPr>
                <w:color w:val="231F1F"/>
                <w:w w:val="105"/>
                <w:sz w:val="22"/>
              </w:rPr>
              <w:t> consigue</w:t>
            </w:r>
            <w:r>
              <w:rPr>
                <w:color w:val="231F1F"/>
                <w:w w:val="105"/>
                <w:sz w:val="22"/>
              </w:rPr>
              <w:t> un</w:t>
            </w:r>
            <w:r>
              <w:rPr>
                <w:color w:val="231F1F"/>
                <w:w w:val="105"/>
                <w:sz w:val="22"/>
              </w:rPr>
              <w:t> menor</w:t>
            </w:r>
            <w:r>
              <w:rPr>
                <w:color w:val="231F1F"/>
                <w:w w:val="105"/>
                <w:sz w:val="22"/>
              </w:rPr>
              <w:t> bloqueo</w:t>
            </w:r>
            <w:r>
              <w:rPr>
                <w:color w:val="231F1F"/>
                <w:w w:val="105"/>
                <w:sz w:val="22"/>
              </w:rPr>
              <w:t> motor</w:t>
            </w:r>
            <w:r>
              <w:rPr>
                <w:color w:val="231F1F"/>
                <w:w w:val="105"/>
                <w:sz w:val="22"/>
              </w:rPr>
              <w:t> y</w:t>
            </w:r>
            <w:r>
              <w:rPr>
                <w:color w:val="231F1F"/>
                <w:w w:val="105"/>
                <w:sz w:val="22"/>
              </w:rPr>
              <w:t> una</w:t>
            </w:r>
            <w:r>
              <w:rPr>
                <w:color w:val="231F1F"/>
                <w:w w:val="105"/>
                <w:sz w:val="22"/>
              </w:rPr>
              <w:t> segunda</w:t>
            </w:r>
            <w:r>
              <w:rPr>
                <w:color w:val="231F1F"/>
                <w:w w:val="105"/>
                <w:sz w:val="22"/>
              </w:rPr>
              <w:t> etapa</w:t>
            </w:r>
            <w:r>
              <w:rPr>
                <w:color w:val="231F1F"/>
                <w:w w:val="105"/>
                <w:sz w:val="22"/>
              </w:rPr>
              <w:t> del</w:t>
            </w:r>
            <w:r>
              <w:rPr>
                <w:color w:val="231F1F"/>
                <w:spacing w:val="40"/>
                <w:w w:val="105"/>
                <w:sz w:val="22"/>
              </w:rPr>
              <w:t> </w:t>
            </w:r>
            <w:r>
              <w:rPr>
                <w:color w:val="231F1F"/>
                <w:w w:val="105"/>
                <w:sz w:val="22"/>
              </w:rPr>
              <w:t>parto más larga que la bupivacaína y una mayor incidencia de vómitos cuan- do se compara con levobupivacaína (10).</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54" w:lineRule="auto" w:before="63"/>
              <w:ind w:right="156"/>
              <w:rPr>
                <w:sz w:val="22"/>
              </w:rPr>
            </w:pPr>
            <w:r>
              <w:rPr>
                <w:color w:val="231F1F"/>
                <w:sz w:val="22"/>
              </w:rPr>
              <w:t>Levobupivacaína,</w:t>
            </w:r>
            <w:r>
              <w:rPr>
                <w:color w:val="231F1F"/>
                <w:spacing w:val="-3"/>
                <w:sz w:val="22"/>
              </w:rPr>
              <w:t> </w:t>
            </w:r>
            <w:r>
              <w:rPr>
                <w:color w:val="231F1F"/>
                <w:sz w:val="22"/>
              </w:rPr>
              <w:t>vía</w:t>
            </w:r>
            <w:r>
              <w:rPr>
                <w:color w:val="231F1F"/>
                <w:spacing w:val="-4"/>
                <w:sz w:val="22"/>
              </w:rPr>
              <w:t> </w:t>
            </w:r>
            <w:r>
              <w:rPr>
                <w:color w:val="231F1F"/>
                <w:sz w:val="22"/>
              </w:rPr>
              <w:t>epidural,</w:t>
            </w:r>
            <w:r>
              <w:rPr>
                <w:color w:val="231F1F"/>
                <w:spacing w:val="-3"/>
                <w:sz w:val="22"/>
              </w:rPr>
              <w:t> </w:t>
            </w:r>
            <w:r>
              <w:rPr>
                <w:color w:val="231F1F"/>
                <w:sz w:val="22"/>
              </w:rPr>
              <w:t>tiene</w:t>
            </w:r>
            <w:r>
              <w:rPr>
                <w:color w:val="231F1F"/>
                <w:spacing w:val="-4"/>
                <w:sz w:val="22"/>
              </w:rPr>
              <w:t> </w:t>
            </w:r>
            <w:r>
              <w:rPr>
                <w:color w:val="231F1F"/>
                <w:sz w:val="22"/>
              </w:rPr>
              <w:t>una</w:t>
            </w:r>
            <w:r>
              <w:rPr>
                <w:color w:val="231F1F"/>
                <w:spacing w:val="-4"/>
                <w:sz w:val="22"/>
              </w:rPr>
              <w:t> </w:t>
            </w:r>
            <w:r>
              <w:rPr>
                <w:color w:val="231F1F"/>
                <w:sz w:val="22"/>
              </w:rPr>
              <w:t>duración</w:t>
            </w:r>
            <w:r>
              <w:rPr>
                <w:color w:val="231F1F"/>
                <w:spacing w:val="-4"/>
                <w:sz w:val="22"/>
              </w:rPr>
              <w:t> </w:t>
            </w:r>
            <w:r>
              <w:rPr>
                <w:color w:val="231F1F"/>
                <w:sz w:val="22"/>
              </w:rPr>
              <w:t>de</w:t>
            </w:r>
            <w:r>
              <w:rPr>
                <w:color w:val="231F1F"/>
                <w:spacing w:val="-4"/>
                <w:sz w:val="22"/>
              </w:rPr>
              <w:t> </w:t>
            </w:r>
            <w:r>
              <w:rPr>
                <w:color w:val="231F1F"/>
                <w:sz w:val="22"/>
              </w:rPr>
              <w:t>la</w:t>
            </w:r>
            <w:r>
              <w:rPr>
                <w:color w:val="231F1F"/>
                <w:spacing w:val="-4"/>
                <w:sz w:val="22"/>
              </w:rPr>
              <w:t> </w:t>
            </w:r>
            <w:r>
              <w:rPr>
                <w:color w:val="231F1F"/>
                <w:sz w:val="22"/>
              </w:rPr>
              <w:t>analgesia</w:t>
            </w:r>
            <w:r>
              <w:rPr>
                <w:color w:val="231F1F"/>
                <w:spacing w:val="-4"/>
                <w:sz w:val="22"/>
              </w:rPr>
              <w:t> </w:t>
            </w:r>
            <w:r>
              <w:rPr>
                <w:color w:val="231F1F"/>
                <w:sz w:val="22"/>
              </w:rPr>
              <w:t>menor</w:t>
            </w:r>
            <w:r>
              <w:rPr>
                <w:color w:val="231F1F"/>
                <w:spacing w:val="-4"/>
                <w:sz w:val="22"/>
              </w:rPr>
              <w:t> </w:t>
            </w:r>
            <w:r>
              <w:rPr>
                <w:color w:val="231F1F"/>
                <w:sz w:val="22"/>
              </w:rPr>
              <w:t>que ropivacaína (10).</w:t>
            </w:r>
          </w:p>
        </w:tc>
        <w:tc>
          <w:tcPr>
            <w:tcW w:w="1133" w:type="dxa"/>
          </w:tcPr>
          <w:p>
            <w:pPr>
              <w:pStyle w:val="TableParagraph"/>
              <w:spacing w:before="178"/>
              <w:ind w:left="49" w:right="22"/>
              <w:jc w:val="center"/>
              <w:rPr>
                <w:sz w:val="22"/>
              </w:rPr>
            </w:pPr>
            <w:r>
              <w:rPr>
                <w:color w:val="231F1F"/>
                <w:spacing w:val="-5"/>
                <w:w w:val="105"/>
                <w:sz w:val="22"/>
              </w:rPr>
              <w:t>1+</w:t>
            </w:r>
          </w:p>
        </w:tc>
      </w:tr>
      <w:tr>
        <w:trPr>
          <w:trHeight w:val="685" w:hRule="atLeast"/>
        </w:trPr>
        <w:tc>
          <w:tcPr>
            <w:tcW w:w="7373" w:type="dxa"/>
          </w:tcPr>
          <w:p>
            <w:pPr>
              <w:pStyle w:val="TableParagraph"/>
              <w:spacing w:before="49"/>
              <w:ind w:right="156"/>
              <w:rPr>
                <w:sz w:val="22"/>
              </w:rPr>
            </w:pPr>
            <w:r>
              <w:rPr>
                <w:color w:val="231F1F"/>
                <w:w w:val="105"/>
                <w:sz w:val="22"/>
              </w:rPr>
              <w:t>No existen diferencias importantes en otros resultados (maternos y neona- tales)</w:t>
            </w:r>
            <w:r>
              <w:rPr>
                <w:color w:val="231F1F"/>
                <w:spacing w:val="-6"/>
                <w:w w:val="105"/>
                <w:sz w:val="22"/>
              </w:rPr>
              <w:t> </w:t>
            </w:r>
            <w:r>
              <w:rPr>
                <w:color w:val="231F1F"/>
                <w:w w:val="105"/>
                <w:sz w:val="22"/>
              </w:rPr>
              <w:t>con</w:t>
            </w:r>
            <w:r>
              <w:rPr>
                <w:color w:val="231F1F"/>
                <w:spacing w:val="-5"/>
                <w:w w:val="105"/>
                <w:sz w:val="22"/>
              </w:rPr>
              <w:t> </w:t>
            </w:r>
            <w:r>
              <w:rPr>
                <w:color w:val="231F1F"/>
                <w:w w:val="105"/>
                <w:sz w:val="22"/>
              </w:rPr>
              <w:t>la</w:t>
            </w:r>
            <w:r>
              <w:rPr>
                <w:color w:val="231F1F"/>
                <w:spacing w:val="-4"/>
                <w:w w:val="105"/>
                <w:sz w:val="22"/>
              </w:rPr>
              <w:t> </w:t>
            </w:r>
            <w:r>
              <w:rPr>
                <w:color w:val="231F1F"/>
                <w:w w:val="105"/>
                <w:sz w:val="22"/>
              </w:rPr>
              <w:t>utilización</w:t>
            </w:r>
            <w:r>
              <w:rPr>
                <w:color w:val="231F1F"/>
                <w:spacing w:val="-5"/>
                <w:w w:val="105"/>
                <w:sz w:val="22"/>
              </w:rPr>
              <w:t> </w:t>
            </w:r>
            <w:r>
              <w:rPr>
                <w:color w:val="231F1F"/>
                <w:w w:val="105"/>
                <w:sz w:val="22"/>
              </w:rPr>
              <w:t>de</w:t>
            </w:r>
            <w:r>
              <w:rPr>
                <w:color w:val="231F1F"/>
                <w:spacing w:val="-6"/>
                <w:w w:val="105"/>
                <w:sz w:val="22"/>
              </w:rPr>
              <w:t> </w:t>
            </w:r>
            <w:r>
              <w:rPr>
                <w:color w:val="231F1F"/>
                <w:w w:val="105"/>
                <w:sz w:val="22"/>
              </w:rPr>
              <w:t>bupivacaína,</w:t>
            </w:r>
            <w:r>
              <w:rPr>
                <w:color w:val="231F1F"/>
                <w:spacing w:val="-6"/>
                <w:w w:val="105"/>
                <w:sz w:val="22"/>
              </w:rPr>
              <w:t> </w:t>
            </w:r>
            <w:r>
              <w:rPr>
                <w:color w:val="231F1F"/>
                <w:w w:val="105"/>
                <w:sz w:val="22"/>
              </w:rPr>
              <w:t>ropivacaína</w:t>
            </w:r>
            <w:r>
              <w:rPr>
                <w:color w:val="231F1F"/>
                <w:spacing w:val="-4"/>
                <w:w w:val="105"/>
                <w:sz w:val="22"/>
              </w:rPr>
              <w:t> </w:t>
            </w:r>
            <w:r>
              <w:rPr>
                <w:color w:val="231F1F"/>
                <w:w w:val="105"/>
                <w:sz w:val="22"/>
              </w:rPr>
              <w:t>y</w:t>
            </w:r>
            <w:r>
              <w:rPr>
                <w:color w:val="231F1F"/>
                <w:spacing w:val="-5"/>
                <w:w w:val="105"/>
                <w:sz w:val="22"/>
              </w:rPr>
              <w:t> </w:t>
            </w:r>
            <w:r>
              <w:rPr>
                <w:color w:val="231F1F"/>
                <w:w w:val="105"/>
                <w:sz w:val="22"/>
              </w:rPr>
              <w:t>levobupivacaína</w:t>
            </w:r>
            <w:r>
              <w:rPr>
                <w:color w:val="231F1F"/>
                <w:spacing w:val="-6"/>
                <w:w w:val="105"/>
                <w:sz w:val="22"/>
              </w:rPr>
              <w:t> </w:t>
            </w:r>
            <w:r>
              <w:rPr>
                <w:color w:val="231F1F"/>
                <w:w w:val="105"/>
                <w:sz w:val="22"/>
              </w:rPr>
              <w:t>(10).</w:t>
            </w:r>
          </w:p>
        </w:tc>
        <w:tc>
          <w:tcPr>
            <w:tcW w:w="1133" w:type="dxa"/>
          </w:tcPr>
          <w:p>
            <w:pPr>
              <w:pStyle w:val="TableParagraph"/>
              <w:spacing w:before="183"/>
              <w:ind w:left="49" w:right="22"/>
              <w:jc w:val="center"/>
              <w:rPr>
                <w:sz w:val="22"/>
              </w:rPr>
            </w:pPr>
            <w:r>
              <w:rPr>
                <w:color w:val="231F1F"/>
                <w:spacing w:val="-5"/>
                <w:w w:val="105"/>
                <w:sz w:val="22"/>
              </w:rPr>
              <w:t>1+</w:t>
            </w:r>
          </w:p>
        </w:tc>
      </w:tr>
    </w:tbl>
    <w:p>
      <w:pPr>
        <w:pStyle w:val="BodyText"/>
        <w:spacing w:before="119"/>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6" w:hRule="atLeast"/>
        </w:trPr>
        <w:tc>
          <w:tcPr>
            <w:tcW w:w="456" w:type="dxa"/>
          </w:tcPr>
          <w:p>
            <w:pPr>
              <w:pStyle w:val="TableParagraph"/>
              <w:spacing w:before="183"/>
              <w:rPr>
                <w:sz w:val="22"/>
              </w:rPr>
            </w:pPr>
            <w:r>
              <w:rPr>
                <w:color w:val="231F1F"/>
                <w:spacing w:val="-10"/>
                <w:w w:val="115"/>
                <w:sz w:val="22"/>
              </w:rPr>
              <w:t>A</w:t>
            </w:r>
          </w:p>
        </w:tc>
        <w:tc>
          <w:tcPr>
            <w:tcW w:w="8050" w:type="dxa"/>
          </w:tcPr>
          <w:p>
            <w:pPr>
              <w:pStyle w:val="TableParagraph"/>
              <w:spacing w:before="58"/>
              <w:ind w:right="155"/>
              <w:rPr>
                <w:sz w:val="22"/>
              </w:rPr>
            </w:pPr>
            <w:r>
              <w:rPr>
                <w:color w:val="231F1F"/>
                <w:sz w:val="22"/>
              </w:rPr>
              <w:t>No</w:t>
            </w:r>
            <w:r>
              <w:rPr>
                <w:color w:val="231F1F"/>
                <w:spacing w:val="29"/>
                <w:sz w:val="22"/>
              </w:rPr>
              <w:t> </w:t>
            </w:r>
            <w:r>
              <w:rPr>
                <w:color w:val="231F1F"/>
                <w:sz w:val="22"/>
              </w:rPr>
              <w:t>hay</w:t>
            </w:r>
            <w:r>
              <w:rPr>
                <w:color w:val="231F1F"/>
                <w:spacing w:val="29"/>
                <w:sz w:val="22"/>
              </w:rPr>
              <w:t> </w:t>
            </w:r>
            <w:r>
              <w:rPr>
                <w:color w:val="231F1F"/>
                <w:sz w:val="22"/>
              </w:rPr>
              <w:t>diferencias</w:t>
            </w:r>
            <w:r>
              <w:rPr>
                <w:color w:val="231F1F"/>
                <w:spacing w:val="29"/>
                <w:sz w:val="22"/>
              </w:rPr>
              <w:t> </w:t>
            </w:r>
            <w:r>
              <w:rPr>
                <w:color w:val="231F1F"/>
                <w:sz w:val="22"/>
              </w:rPr>
              <w:t>importantes</w:t>
            </w:r>
            <w:r>
              <w:rPr>
                <w:color w:val="231F1F"/>
                <w:spacing w:val="30"/>
                <w:sz w:val="22"/>
              </w:rPr>
              <w:t> </w:t>
            </w:r>
            <w:r>
              <w:rPr>
                <w:color w:val="231F1F"/>
                <w:sz w:val="22"/>
              </w:rPr>
              <w:t>que</w:t>
            </w:r>
            <w:r>
              <w:rPr>
                <w:color w:val="231F1F"/>
                <w:spacing w:val="29"/>
                <w:sz w:val="22"/>
              </w:rPr>
              <w:t> </w:t>
            </w:r>
            <w:r>
              <w:rPr>
                <w:color w:val="231F1F"/>
                <w:sz w:val="22"/>
              </w:rPr>
              <w:t>permitan</w:t>
            </w:r>
            <w:r>
              <w:rPr>
                <w:color w:val="231F1F"/>
                <w:spacing w:val="29"/>
                <w:sz w:val="22"/>
              </w:rPr>
              <w:t> </w:t>
            </w:r>
            <w:r>
              <w:rPr>
                <w:color w:val="231F1F"/>
                <w:sz w:val="22"/>
              </w:rPr>
              <w:t>recomendar</w:t>
            </w:r>
            <w:r>
              <w:rPr>
                <w:color w:val="231F1F"/>
                <w:spacing w:val="30"/>
                <w:sz w:val="22"/>
              </w:rPr>
              <w:t> </w:t>
            </w:r>
            <w:r>
              <w:rPr>
                <w:color w:val="231F1F"/>
                <w:sz w:val="22"/>
              </w:rPr>
              <w:t>un</w:t>
            </w:r>
            <w:r>
              <w:rPr>
                <w:color w:val="231F1F"/>
                <w:spacing w:val="29"/>
                <w:sz w:val="22"/>
              </w:rPr>
              <w:t> </w:t>
            </w:r>
            <w:r>
              <w:rPr>
                <w:color w:val="231F1F"/>
                <w:sz w:val="22"/>
              </w:rPr>
              <w:t>anestésico</w:t>
            </w:r>
            <w:r>
              <w:rPr>
                <w:color w:val="231F1F"/>
                <w:spacing w:val="31"/>
                <w:sz w:val="22"/>
              </w:rPr>
              <w:t> </w:t>
            </w:r>
            <w:r>
              <w:rPr>
                <w:color w:val="231F1F"/>
                <w:sz w:val="22"/>
              </w:rPr>
              <w:t>local</w:t>
            </w:r>
            <w:r>
              <w:rPr>
                <w:color w:val="231F1F"/>
                <w:spacing w:val="30"/>
                <w:sz w:val="22"/>
              </w:rPr>
              <w:t> </w:t>
            </w:r>
            <w:r>
              <w:rPr>
                <w:color w:val="231F1F"/>
                <w:sz w:val="22"/>
              </w:rPr>
              <w:t>sobre </w:t>
            </w:r>
            <w:r>
              <w:rPr>
                <w:color w:val="231F1F"/>
                <w:spacing w:val="-2"/>
                <w:sz w:val="22"/>
              </w:rPr>
              <w:t>otro.</w:t>
            </w:r>
          </w:p>
        </w:tc>
      </w:tr>
    </w:tbl>
    <w:p>
      <w:pPr>
        <w:pStyle w:val="TableParagraph"/>
        <w:spacing w:after="0"/>
        <w:rPr>
          <w:sz w:val="22"/>
        </w:rPr>
        <w:sectPr>
          <w:pgSz w:w="11900" w:h="16840"/>
          <w:pgMar w:header="0" w:footer="622" w:top="1580" w:bottom="820" w:left="1417" w:right="1559"/>
        </w:sectPr>
      </w:pPr>
    </w:p>
    <w:p>
      <w:pPr>
        <w:pStyle w:val="Heading3"/>
        <w:numPr>
          <w:ilvl w:val="3"/>
          <w:numId w:val="2"/>
        </w:numPr>
        <w:tabs>
          <w:tab w:pos="1158" w:val="left" w:leader="none"/>
        </w:tabs>
        <w:spacing w:line="240" w:lineRule="auto" w:before="71" w:after="0"/>
        <w:ind w:left="1158" w:right="0" w:hanging="875"/>
        <w:jc w:val="left"/>
      </w:pPr>
      <w:r>
        <w:rPr>
          <w:color w:val="231F1F"/>
        </w:rPr>
        <w:t>Opioides</w:t>
      </w:r>
      <w:r>
        <w:rPr>
          <w:color w:val="231F1F"/>
          <w:spacing w:val="46"/>
        </w:rPr>
        <w:t> </w:t>
      </w:r>
      <w:r>
        <w:rPr>
          <w:color w:val="231F1F"/>
        </w:rPr>
        <w:t>en</w:t>
      </w:r>
      <w:r>
        <w:rPr>
          <w:color w:val="231F1F"/>
          <w:spacing w:val="49"/>
        </w:rPr>
        <w:t> </w:t>
      </w:r>
      <w:r>
        <w:rPr>
          <w:color w:val="231F1F"/>
        </w:rPr>
        <w:t>la</w:t>
      </w:r>
      <w:r>
        <w:rPr>
          <w:color w:val="231F1F"/>
          <w:spacing w:val="48"/>
        </w:rPr>
        <w:t> </w:t>
      </w:r>
      <w:r>
        <w:rPr>
          <w:color w:val="231F1F"/>
        </w:rPr>
        <w:t>analgesia</w:t>
      </w:r>
      <w:r>
        <w:rPr>
          <w:color w:val="231F1F"/>
          <w:spacing w:val="50"/>
        </w:rPr>
        <w:t> </w:t>
      </w:r>
      <w:r>
        <w:rPr>
          <w:color w:val="231F1F"/>
          <w:spacing w:val="-2"/>
        </w:rPr>
        <w:t>epidural</w:t>
      </w:r>
    </w:p>
    <w:p>
      <w:pPr>
        <w:pStyle w:val="BodyText"/>
        <w:spacing w:before="20"/>
        <w:rPr>
          <w:sz w:val="20"/>
        </w:rPr>
      </w:pPr>
      <w:r>
        <w:rPr>
          <w:sz w:val="20"/>
        </w:rPr>
        <mc:AlternateContent>
          <mc:Choice Requires="wps">
            <w:drawing>
              <wp:anchor distT="0" distB="0" distL="0" distR="0" allowOverlap="1" layoutInCell="1" locked="0" behindDoc="1" simplePos="0" relativeHeight="487629824">
                <wp:simplePos x="0" y="0"/>
                <wp:positionH relativeFrom="page">
                  <wp:posOffset>1082675</wp:posOffset>
                </wp:positionH>
                <wp:positionV relativeFrom="paragraph">
                  <wp:posOffset>177184</wp:posOffset>
                </wp:positionV>
                <wp:extent cx="5400040" cy="262255"/>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5400040" cy="262255"/>
                        </a:xfrm>
                        <a:prstGeom prst="rect">
                          <a:avLst/>
                        </a:prstGeom>
                        <a:ln w="6350">
                          <a:solidFill>
                            <a:srgbClr val="A30046"/>
                          </a:solidFill>
                          <a:prstDash val="solid"/>
                        </a:ln>
                      </wps:spPr>
                      <wps:txbx>
                        <w:txbxContent>
                          <w:p>
                            <w:pPr>
                              <w:pStyle w:val="BodyText"/>
                              <w:numPr>
                                <w:ilvl w:val="0"/>
                                <w:numId w:val="85"/>
                              </w:numPr>
                              <w:tabs>
                                <w:tab w:pos="322" w:val="left" w:leader="none"/>
                              </w:tabs>
                              <w:spacing w:line="240" w:lineRule="auto" w:before="55" w:after="0"/>
                              <w:ind w:left="322" w:right="0" w:hanging="218"/>
                              <w:jc w:val="left"/>
                            </w:pPr>
                            <w:r>
                              <w:rPr>
                                <w:color w:val="231F1F"/>
                              </w:rPr>
                              <w:t>¿Cómo</w:t>
                            </w:r>
                            <w:r>
                              <w:rPr>
                                <w:color w:val="231F1F"/>
                                <w:spacing w:val="27"/>
                              </w:rPr>
                              <w:t> </w:t>
                            </w:r>
                            <w:r>
                              <w:rPr>
                                <w:color w:val="231F1F"/>
                              </w:rPr>
                              <w:t>influye</w:t>
                            </w:r>
                            <w:r>
                              <w:rPr>
                                <w:color w:val="231F1F"/>
                                <w:spacing w:val="28"/>
                              </w:rPr>
                              <w:t> </w:t>
                            </w:r>
                            <w:r>
                              <w:rPr>
                                <w:color w:val="231F1F"/>
                              </w:rPr>
                              <w:t>el</w:t>
                            </w:r>
                            <w:r>
                              <w:rPr>
                                <w:color w:val="231F1F"/>
                                <w:spacing w:val="28"/>
                              </w:rPr>
                              <w:t> </w:t>
                            </w:r>
                            <w:r>
                              <w:rPr>
                                <w:color w:val="231F1F"/>
                              </w:rPr>
                              <w:t>uso</w:t>
                            </w:r>
                            <w:r>
                              <w:rPr>
                                <w:color w:val="231F1F"/>
                                <w:spacing w:val="28"/>
                              </w:rPr>
                              <w:t> </w:t>
                            </w:r>
                            <w:r>
                              <w:rPr>
                                <w:color w:val="231F1F"/>
                              </w:rPr>
                              <w:t>de</w:t>
                            </w:r>
                            <w:r>
                              <w:rPr>
                                <w:color w:val="231F1F"/>
                                <w:spacing w:val="28"/>
                              </w:rPr>
                              <w:t> </w:t>
                            </w:r>
                            <w:r>
                              <w:rPr>
                                <w:color w:val="231F1F"/>
                              </w:rPr>
                              <w:t>opioides</w:t>
                            </w:r>
                            <w:r>
                              <w:rPr>
                                <w:color w:val="231F1F"/>
                                <w:spacing w:val="28"/>
                              </w:rPr>
                              <w:t> </w:t>
                            </w:r>
                            <w:r>
                              <w:rPr>
                                <w:color w:val="231F1F"/>
                              </w:rPr>
                              <w:t>neuroaxiales</w:t>
                            </w:r>
                            <w:r>
                              <w:rPr>
                                <w:color w:val="231F1F"/>
                                <w:spacing w:val="26"/>
                              </w:rPr>
                              <w:t> </w:t>
                            </w:r>
                            <w:r>
                              <w:rPr>
                                <w:color w:val="231F1F"/>
                              </w:rPr>
                              <w:t>sobre</w:t>
                            </w:r>
                            <w:r>
                              <w:rPr>
                                <w:color w:val="231F1F"/>
                                <w:spacing w:val="28"/>
                              </w:rPr>
                              <w:t> </w:t>
                            </w:r>
                            <w:r>
                              <w:rPr>
                                <w:color w:val="231F1F"/>
                              </w:rPr>
                              <w:t>el</w:t>
                            </w:r>
                            <w:r>
                              <w:rPr>
                                <w:color w:val="231F1F"/>
                                <w:spacing w:val="28"/>
                              </w:rPr>
                              <w:t> </w:t>
                            </w:r>
                            <w:r>
                              <w:rPr>
                                <w:color w:val="231F1F"/>
                              </w:rPr>
                              <w:t>parto</w:t>
                            </w:r>
                            <w:r>
                              <w:rPr>
                                <w:color w:val="231F1F"/>
                                <w:spacing w:val="28"/>
                              </w:rPr>
                              <w:t> </w:t>
                            </w:r>
                            <w:r>
                              <w:rPr>
                                <w:color w:val="231F1F"/>
                              </w:rPr>
                              <w:t>y</w:t>
                            </w:r>
                            <w:r>
                              <w:rPr>
                                <w:color w:val="231F1F"/>
                                <w:spacing w:val="28"/>
                              </w:rPr>
                              <w:t> </w:t>
                            </w:r>
                            <w:r>
                              <w:rPr>
                                <w:color w:val="231F1F"/>
                              </w:rPr>
                              <w:t>los</w:t>
                            </w:r>
                            <w:r>
                              <w:rPr>
                                <w:color w:val="231F1F"/>
                                <w:spacing w:val="28"/>
                              </w:rPr>
                              <w:t> </w:t>
                            </w:r>
                            <w:r>
                              <w:rPr>
                                <w:color w:val="231F1F"/>
                                <w:spacing w:val="-2"/>
                              </w:rPr>
                              <w:t>resultados?</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86656;mso-wrap-distance-left:0;mso-wrap-distance-right:0" type="#_x0000_t202" id="docshape133" filled="false" stroked="true" strokeweight=".5pt" strokecolor="#a30046">
                <v:textbox inset="0,0,0,0">
                  <w:txbxContent>
                    <w:p>
                      <w:pPr>
                        <w:pStyle w:val="BodyText"/>
                        <w:numPr>
                          <w:ilvl w:val="0"/>
                          <w:numId w:val="85"/>
                        </w:numPr>
                        <w:tabs>
                          <w:tab w:pos="322" w:val="left" w:leader="none"/>
                        </w:tabs>
                        <w:spacing w:line="240" w:lineRule="auto" w:before="55" w:after="0"/>
                        <w:ind w:left="322" w:right="0" w:hanging="218"/>
                        <w:jc w:val="left"/>
                      </w:pPr>
                      <w:r>
                        <w:rPr>
                          <w:color w:val="231F1F"/>
                        </w:rPr>
                        <w:t>¿Cómo</w:t>
                      </w:r>
                      <w:r>
                        <w:rPr>
                          <w:color w:val="231F1F"/>
                          <w:spacing w:val="27"/>
                        </w:rPr>
                        <w:t> </w:t>
                      </w:r>
                      <w:r>
                        <w:rPr>
                          <w:color w:val="231F1F"/>
                        </w:rPr>
                        <w:t>influye</w:t>
                      </w:r>
                      <w:r>
                        <w:rPr>
                          <w:color w:val="231F1F"/>
                          <w:spacing w:val="28"/>
                        </w:rPr>
                        <w:t> </w:t>
                      </w:r>
                      <w:r>
                        <w:rPr>
                          <w:color w:val="231F1F"/>
                        </w:rPr>
                        <w:t>el</w:t>
                      </w:r>
                      <w:r>
                        <w:rPr>
                          <w:color w:val="231F1F"/>
                          <w:spacing w:val="28"/>
                        </w:rPr>
                        <w:t> </w:t>
                      </w:r>
                      <w:r>
                        <w:rPr>
                          <w:color w:val="231F1F"/>
                        </w:rPr>
                        <w:t>uso</w:t>
                      </w:r>
                      <w:r>
                        <w:rPr>
                          <w:color w:val="231F1F"/>
                          <w:spacing w:val="28"/>
                        </w:rPr>
                        <w:t> </w:t>
                      </w:r>
                      <w:r>
                        <w:rPr>
                          <w:color w:val="231F1F"/>
                        </w:rPr>
                        <w:t>de</w:t>
                      </w:r>
                      <w:r>
                        <w:rPr>
                          <w:color w:val="231F1F"/>
                          <w:spacing w:val="28"/>
                        </w:rPr>
                        <w:t> </w:t>
                      </w:r>
                      <w:r>
                        <w:rPr>
                          <w:color w:val="231F1F"/>
                        </w:rPr>
                        <w:t>opioides</w:t>
                      </w:r>
                      <w:r>
                        <w:rPr>
                          <w:color w:val="231F1F"/>
                          <w:spacing w:val="28"/>
                        </w:rPr>
                        <w:t> </w:t>
                      </w:r>
                      <w:r>
                        <w:rPr>
                          <w:color w:val="231F1F"/>
                        </w:rPr>
                        <w:t>neuroaxiales</w:t>
                      </w:r>
                      <w:r>
                        <w:rPr>
                          <w:color w:val="231F1F"/>
                          <w:spacing w:val="26"/>
                        </w:rPr>
                        <w:t> </w:t>
                      </w:r>
                      <w:r>
                        <w:rPr>
                          <w:color w:val="231F1F"/>
                        </w:rPr>
                        <w:t>sobre</w:t>
                      </w:r>
                      <w:r>
                        <w:rPr>
                          <w:color w:val="231F1F"/>
                          <w:spacing w:val="28"/>
                        </w:rPr>
                        <w:t> </w:t>
                      </w:r>
                      <w:r>
                        <w:rPr>
                          <w:color w:val="231F1F"/>
                        </w:rPr>
                        <w:t>el</w:t>
                      </w:r>
                      <w:r>
                        <w:rPr>
                          <w:color w:val="231F1F"/>
                          <w:spacing w:val="28"/>
                        </w:rPr>
                        <w:t> </w:t>
                      </w:r>
                      <w:r>
                        <w:rPr>
                          <w:color w:val="231F1F"/>
                        </w:rPr>
                        <w:t>parto</w:t>
                      </w:r>
                      <w:r>
                        <w:rPr>
                          <w:color w:val="231F1F"/>
                          <w:spacing w:val="28"/>
                        </w:rPr>
                        <w:t> </w:t>
                      </w:r>
                      <w:r>
                        <w:rPr>
                          <w:color w:val="231F1F"/>
                        </w:rPr>
                        <w:t>y</w:t>
                      </w:r>
                      <w:r>
                        <w:rPr>
                          <w:color w:val="231F1F"/>
                          <w:spacing w:val="28"/>
                        </w:rPr>
                        <w:t> </w:t>
                      </w:r>
                      <w:r>
                        <w:rPr>
                          <w:color w:val="231F1F"/>
                        </w:rPr>
                        <w:t>los</w:t>
                      </w:r>
                      <w:r>
                        <w:rPr>
                          <w:color w:val="231F1F"/>
                          <w:spacing w:val="28"/>
                        </w:rPr>
                        <w:t> </w:t>
                      </w:r>
                      <w:r>
                        <w:rPr>
                          <w:color w:val="231F1F"/>
                          <w:spacing w:val="-2"/>
                        </w:rPr>
                        <w:t>resultados?</w:t>
                      </w:r>
                    </w:p>
                  </w:txbxContent>
                </v:textbox>
                <v:stroke dashstyle="solid"/>
                <w10:wrap type="topAndBottom"/>
              </v:shape>
            </w:pict>
          </mc:Fallback>
        </mc:AlternateContent>
      </w:r>
    </w:p>
    <w:p>
      <w:pPr>
        <w:pStyle w:val="BodyText"/>
        <w:spacing w:before="28"/>
        <w:rPr>
          <w:sz w:val="32"/>
        </w:rPr>
      </w:pPr>
    </w:p>
    <w:p>
      <w:pPr>
        <w:pStyle w:val="BodyText"/>
        <w:spacing w:line="247" w:lineRule="auto"/>
        <w:ind w:left="283" w:right="118"/>
        <w:jc w:val="both"/>
      </w:pPr>
      <w:r>
        <w:rPr>
          <w:color w:val="231F1F"/>
        </w:rPr>
        <w:t>El empleo de opioides en la analgesia neuroaxial permite disminuir las dosis de anestésicos </w:t>
      </w:r>
      <w:r>
        <w:rPr>
          <w:color w:val="231F1F"/>
          <w:w w:val="110"/>
        </w:rPr>
        <w:t>locales</w:t>
      </w:r>
      <w:r>
        <w:rPr>
          <w:color w:val="231F1F"/>
          <w:spacing w:val="-14"/>
          <w:w w:val="110"/>
        </w:rPr>
        <w:t> </w:t>
      </w:r>
      <w:r>
        <w:rPr>
          <w:color w:val="231F1F"/>
          <w:w w:val="110"/>
        </w:rPr>
        <w:t>utilizados,</w:t>
      </w:r>
      <w:r>
        <w:rPr>
          <w:color w:val="231F1F"/>
          <w:spacing w:val="-14"/>
          <w:w w:val="110"/>
        </w:rPr>
        <w:t> </w:t>
      </w:r>
      <w:r>
        <w:rPr>
          <w:color w:val="231F1F"/>
          <w:w w:val="110"/>
        </w:rPr>
        <w:t>así</w:t>
      </w:r>
      <w:r>
        <w:rPr>
          <w:color w:val="231F1F"/>
          <w:spacing w:val="-14"/>
          <w:w w:val="110"/>
        </w:rPr>
        <w:t> </w:t>
      </w:r>
      <w:r>
        <w:rPr>
          <w:color w:val="231F1F"/>
          <w:w w:val="110"/>
        </w:rPr>
        <w:t>como</w:t>
      </w:r>
      <w:r>
        <w:rPr>
          <w:color w:val="231F1F"/>
          <w:spacing w:val="-14"/>
          <w:w w:val="110"/>
        </w:rPr>
        <w:t> </w:t>
      </w:r>
      <w:r>
        <w:rPr>
          <w:color w:val="231F1F"/>
          <w:w w:val="110"/>
        </w:rPr>
        <w:t>el</w:t>
      </w:r>
      <w:r>
        <w:rPr>
          <w:color w:val="231F1F"/>
          <w:spacing w:val="-15"/>
          <w:w w:val="110"/>
        </w:rPr>
        <w:t> </w:t>
      </w:r>
      <w:r>
        <w:rPr>
          <w:color w:val="231F1F"/>
          <w:w w:val="110"/>
        </w:rPr>
        <w:t>bloqueo</w:t>
      </w:r>
      <w:r>
        <w:rPr>
          <w:color w:val="231F1F"/>
          <w:spacing w:val="-14"/>
          <w:w w:val="110"/>
        </w:rPr>
        <w:t> </w:t>
      </w:r>
      <w:r>
        <w:rPr>
          <w:color w:val="231F1F"/>
          <w:w w:val="110"/>
        </w:rPr>
        <w:t>motor</w:t>
      </w:r>
      <w:r>
        <w:rPr>
          <w:color w:val="231F1F"/>
          <w:spacing w:val="-15"/>
          <w:w w:val="110"/>
        </w:rPr>
        <w:t> </w:t>
      </w:r>
      <w:r>
        <w:rPr>
          <w:color w:val="231F1F"/>
          <w:w w:val="110"/>
        </w:rPr>
        <w:t>materno.</w:t>
      </w:r>
      <w:r>
        <w:rPr>
          <w:color w:val="231F1F"/>
          <w:spacing w:val="-14"/>
          <w:w w:val="110"/>
        </w:rPr>
        <w:t> </w:t>
      </w:r>
      <w:r>
        <w:rPr>
          <w:color w:val="231F1F"/>
          <w:w w:val="110"/>
        </w:rPr>
        <w:t>Sin</w:t>
      </w:r>
      <w:r>
        <w:rPr>
          <w:color w:val="231F1F"/>
          <w:spacing w:val="-14"/>
          <w:w w:val="110"/>
        </w:rPr>
        <w:t> </w:t>
      </w:r>
      <w:r>
        <w:rPr>
          <w:color w:val="231F1F"/>
          <w:w w:val="110"/>
        </w:rPr>
        <w:t>embargo,</w:t>
      </w:r>
      <w:r>
        <w:rPr>
          <w:color w:val="231F1F"/>
          <w:spacing w:val="-14"/>
          <w:w w:val="110"/>
        </w:rPr>
        <w:t> </w:t>
      </w:r>
      <w:r>
        <w:rPr>
          <w:color w:val="231F1F"/>
          <w:w w:val="110"/>
        </w:rPr>
        <w:t>parecen</w:t>
      </w:r>
      <w:r>
        <w:rPr>
          <w:color w:val="231F1F"/>
          <w:spacing w:val="-14"/>
          <w:w w:val="110"/>
        </w:rPr>
        <w:t> </w:t>
      </w:r>
      <w:r>
        <w:rPr>
          <w:color w:val="231F1F"/>
          <w:w w:val="110"/>
        </w:rPr>
        <w:t>aumentar</w:t>
      </w:r>
      <w:r>
        <w:rPr>
          <w:color w:val="231F1F"/>
          <w:spacing w:val="-15"/>
          <w:w w:val="110"/>
        </w:rPr>
        <w:t> </w:t>
      </w:r>
      <w:r>
        <w:rPr>
          <w:color w:val="231F1F"/>
          <w:w w:val="110"/>
        </w:rPr>
        <w:t>el prurito</w:t>
      </w:r>
      <w:r>
        <w:rPr>
          <w:color w:val="231F1F"/>
          <w:spacing w:val="-16"/>
          <w:w w:val="110"/>
        </w:rPr>
        <w:t> </w:t>
      </w:r>
      <w:r>
        <w:rPr>
          <w:color w:val="231F1F"/>
          <w:w w:val="110"/>
        </w:rPr>
        <w:t>y</w:t>
      </w:r>
      <w:r>
        <w:rPr>
          <w:color w:val="231F1F"/>
          <w:spacing w:val="-15"/>
          <w:w w:val="110"/>
        </w:rPr>
        <w:t> </w:t>
      </w:r>
      <w:r>
        <w:rPr>
          <w:color w:val="231F1F"/>
          <w:w w:val="110"/>
        </w:rPr>
        <w:t>producir</w:t>
      </w:r>
      <w:r>
        <w:rPr>
          <w:color w:val="231F1F"/>
          <w:spacing w:val="-15"/>
          <w:w w:val="110"/>
        </w:rPr>
        <w:t> </w:t>
      </w:r>
      <w:r>
        <w:rPr>
          <w:color w:val="231F1F"/>
          <w:w w:val="110"/>
        </w:rPr>
        <w:t>cierta</w:t>
      </w:r>
      <w:r>
        <w:rPr>
          <w:color w:val="231F1F"/>
          <w:spacing w:val="-15"/>
          <w:w w:val="110"/>
        </w:rPr>
        <w:t> </w:t>
      </w:r>
      <w:r>
        <w:rPr>
          <w:color w:val="231F1F"/>
          <w:w w:val="110"/>
        </w:rPr>
        <w:t>depresión</w:t>
      </w:r>
      <w:r>
        <w:rPr>
          <w:color w:val="231F1F"/>
          <w:spacing w:val="-15"/>
          <w:w w:val="110"/>
        </w:rPr>
        <w:t> </w:t>
      </w:r>
      <w:r>
        <w:rPr>
          <w:color w:val="231F1F"/>
          <w:w w:val="110"/>
        </w:rPr>
        <w:t>neonatal</w:t>
      </w:r>
      <w:r>
        <w:rPr>
          <w:color w:val="231F1F"/>
          <w:spacing w:val="-15"/>
          <w:w w:val="110"/>
        </w:rPr>
        <w:t> </w:t>
      </w:r>
      <w:r>
        <w:rPr>
          <w:color w:val="231F1F"/>
          <w:w w:val="110"/>
        </w:rPr>
        <w:t>que</w:t>
      </w:r>
      <w:r>
        <w:rPr>
          <w:color w:val="231F1F"/>
          <w:spacing w:val="-15"/>
          <w:w w:val="110"/>
        </w:rPr>
        <w:t> </w:t>
      </w:r>
      <w:r>
        <w:rPr>
          <w:color w:val="231F1F"/>
          <w:w w:val="110"/>
        </w:rPr>
        <w:t>podría</w:t>
      </w:r>
      <w:r>
        <w:rPr>
          <w:color w:val="231F1F"/>
          <w:spacing w:val="-15"/>
          <w:w w:val="110"/>
        </w:rPr>
        <w:t> </w:t>
      </w:r>
      <w:r>
        <w:rPr>
          <w:color w:val="231F1F"/>
          <w:w w:val="110"/>
        </w:rPr>
        <w:t>interferir</w:t>
      </w:r>
      <w:r>
        <w:rPr>
          <w:color w:val="231F1F"/>
          <w:spacing w:val="-16"/>
          <w:w w:val="110"/>
        </w:rPr>
        <w:t> </w:t>
      </w:r>
      <w:r>
        <w:rPr>
          <w:color w:val="231F1F"/>
          <w:w w:val="110"/>
        </w:rPr>
        <w:t>con</w:t>
      </w:r>
      <w:r>
        <w:rPr>
          <w:color w:val="231F1F"/>
          <w:spacing w:val="-15"/>
          <w:w w:val="110"/>
        </w:rPr>
        <w:t> </w:t>
      </w:r>
      <w:r>
        <w:rPr>
          <w:color w:val="231F1F"/>
          <w:w w:val="110"/>
        </w:rPr>
        <w:t>el</w:t>
      </w:r>
      <w:r>
        <w:rPr>
          <w:color w:val="231F1F"/>
          <w:spacing w:val="-15"/>
          <w:w w:val="110"/>
        </w:rPr>
        <w:t> </w:t>
      </w:r>
      <w:r>
        <w:rPr>
          <w:color w:val="231F1F"/>
          <w:w w:val="110"/>
        </w:rPr>
        <w:t>inicio</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lactan- cia.</w:t>
      </w:r>
      <w:r>
        <w:rPr>
          <w:color w:val="231F1F"/>
          <w:spacing w:val="-16"/>
          <w:w w:val="110"/>
        </w:rPr>
        <w:t> </w:t>
      </w:r>
      <w:r>
        <w:rPr>
          <w:color w:val="231F1F"/>
          <w:w w:val="110"/>
        </w:rPr>
        <w:t>Por</w:t>
      </w:r>
      <w:r>
        <w:rPr>
          <w:color w:val="231F1F"/>
          <w:spacing w:val="-15"/>
          <w:w w:val="110"/>
        </w:rPr>
        <w:t> </w:t>
      </w:r>
      <w:r>
        <w:rPr>
          <w:color w:val="231F1F"/>
          <w:w w:val="110"/>
        </w:rPr>
        <w:t>ello,</w:t>
      </w:r>
      <w:r>
        <w:rPr>
          <w:color w:val="231F1F"/>
          <w:spacing w:val="-15"/>
          <w:w w:val="110"/>
        </w:rPr>
        <w:t> </w:t>
      </w:r>
      <w:r>
        <w:rPr>
          <w:color w:val="231F1F"/>
          <w:w w:val="110"/>
        </w:rPr>
        <w:t>es</w:t>
      </w:r>
      <w:r>
        <w:rPr>
          <w:color w:val="231F1F"/>
          <w:spacing w:val="-15"/>
          <w:w w:val="110"/>
        </w:rPr>
        <w:t> </w:t>
      </w:r>
      <w:r>
        <w:rPr>
          <w:color w:val="231F1F"/>
          <w:w w:val="110"/>
        </w:rPr>
        <w:t>necesario</w:t>
      </w:r>
      <w:r>
        <w:rPr>
          <w:color w:val="231F1F"/>
          <w:spacing w:val="-15"/>
          <w:w w:val="110"/>
        </w:rPr>
        <w:t> </w:t>
      </w:r>
      <w:r>
        <w:rPr>
          <w:color w:val="231F1F"/>
          <w:w w:val="110"/>
        </w:rPr>
        <w:t>evaluar</w:t>
      </w:r>
      <w:r>
        <w:rPr>
          <w:color w:val="231F1F"/>
          <w:spacing w:val="-15"/>
          <w:w w:val="110"/>
        </w:rPr>
        <w:t> </w:t>
      </w:r>
      <w:r>
        <w:rPr>
          <w:color w:val="231F1F"/>
          <w:w w:val="110"/>
        </w:rPr>
        <w:t>y</w:t>
      </w:r>
      <w:r>
        <w:rPr>
          <w:color w:val="231F1F"/>
          <w:spacing w:val="-15"/>
          <w:w w:val="110"/>
        </w:rPr>
        <w:t> </w:t>
      </w:r>
      <w:r>
        <w:rPr>
          <w:color w:val="231F1F"/>
          <w:w w:val="110"/>
        </w:rPr>
        <w:t>actualizar</w:t>
      </w:r>
      <w:r>
        <w:rPr>
          <w:color w:val="231F1F"/>
          <w:spacing w:val="-15"/>
          <w:w w:val="110"/>
        </w:rPr>
        <w:t> </w:t>
      </w:r>
      <w:r>
        <w:rPr>
          <w:color w:val="231F1F"/>
          <w:w w:val="110"/>
        </w:rPr>
        <w:t>la</w:t>
      </w:r>
      <w:r>
        <w:rPr>
          <w:color w:val="231F1F"/>
          <w:spacing w:val="-16"/>
          <w:w w:val="110"/>
        </w:rPr>
        <w:t> </w:t>
      </w:r>
      <w:r>
        <w:rPr>
          <w:color w:val="231F1F"/>
          <w:w w:val="110"/>
        </w:rPr>
        <w:t>evidencia</w:t>
      </w:r>
      <w:r>
        <w:rPr>
          <w:color w:val="231F1F"/>
          <w:spacing w:val="-15"/>
          <w:w w:val="110"/>
        </w:rPr>
        <w:t> </w:t>
      </w:r>
      <w:r>
        <w:rPr>
          <w:color w:val="231F1F"/>
          <w:w w:val="110"/>
        </w:rPr>
        <w:t>sobre</w:t>
      </w:r>
      <w:r>
        <w:rPr>
          <w:color w:val="231F1F"/>
          <w:spacing w:val="-15"/>
          <w:w w:val="110"/>
        </w:rPr>
        <w:t> </w:t>
      </w:r>
      <w:r>
        <w:rPr>
          <w:color w:val="231F1F"/>
          <w:w w:val="110"/>
        </w:rPr>
        <w:t>los</w:t>
      </w:r>
      <w:r>
        <w:rPr>
          <w:color w:val="231F1F"/>
          <w:spacing w:val="-15"/>
          <w:w w:val="110"/>
        </w:rPr>
        <w:t> </w:t>
      </w:r>
      <w:r>
        <w:rPr>
          <w:color w:val="231F1F"/>
          <w:w w:val="110"/>
        </w:rPr>
        <w:t>beneficios</w:t>
      </w:r>
      <w:r>
        <w:rPr>
          <w:color w:val="231F1F"/>
          <w:spacing w:val="-15"/>
          <w:w w:val="110"/>
        </w:rPr>
        <w:t> </w:t>
      </w:r>
      <w:r>
        <w:rPr>
          <w:color w:val="231F1F"/>
          <w:w w:val="110"/>
        </w:rPr>
        <w:t>e</w:t>
      </w:r>
      <w:r>
        <w:rPr>
          <w:color w:val="231F1F"/>
          <w:spacing w:val="-15"/>
          <w:w w:val="110"/>
        </w:rPr>
        <w:t> </w:t>
      </w:r>
      <w:r>
        <w:rPr>
          <w:color w:val="231F1F"/>
          <w:w w:val="110"/>
        </w:rPr>
        <w:t>inconve- nientes de uso de opioides en la analgesia neuroaxial.</w:t>
      </w:r>
    </w:p>
    <w:p>
      <w:pPr>
        <w:pStyle w:val="BodyText"/>
      </w:pPr>
    </w:p>
    <w:p>
      <w:pPr>
        <w:pStyle w:val="BodyText"/>
        <w:spacing w:before="5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9"/>
        <w:rPr>
          <w:rFonts w:ascii="Arial MT"/>
          <w:sz w:val="17"/>
        </w:rPr>
      </w:pPr>
    </w:p>
    <w:p>
      <w:pPr>
        <w:pStyle w:val="BodyText"/>
        <w:spacing w:after="0"/>
        <w:rPr>
          <w:rFonts w:ascii="Arial MT"/>
          <w:sz w:val="17"/>
        </w:rPr>
        <w:sectPr>
          <w:pgSz w:w="11900" w:h="16840"/>
          <w:pgMar w:header="0" w:footer="622" w:top="1560" w:bottom="820" w:left="1417" w:right="1559"/>
        </w:sectPr>
      </w:pPr>
    </w:p>
    <w:p>
      <w:pPr>
        <w:spacing w:before="91"/>
        <w:ind w:left="287" w:right="0" w:firstLine="0"/>
        <w:jc w:val="left"/>
        <w:rPr>
          <w:i/>
          <w:sz w:val="22"/>
        </w:rPr>
      </w:pPr>
      <w:r>
        <w:rPr>
          <w:i/>
          <w:color w:val="231F1F"/>
          <w:spacing w:val="-2"/>
          <w:w w:val="105"/>
          <w:sz w:val="22"/>
        </w:rPr>
        <w:t>Analgesia</w:t>
      </w:r>
      <w:r>
        <w:rPr>
          <w:i/>
          <w:color w:val="231F1F"/>
          <w:spacing w:val="-5"/>
          <w:w w:val="105"/>
          <w:sz w:val="22"/>
        </w:rPr>
        <w:t> </w:t>
      </w:r>
      <w:r>
        <w:rPr>
          <w:i/>
          <w:color w:val="231F1F"/>
          <w:spacing w:val="-2"/>
          <w:w w:val="105"/>
          <w:sz w:val="22"/>
        </w:rPr>
        <w:t>epidural con</w:t>
      </w:r>
      <w:r>
        <w:rPr>
          <w:i/>
          <w:color w:val="231F1F"/>
          <w:spacing w:val="-3"/>
          <w:w w:val="105"/>
          <w:sz w:val="22"/>
        </w:rPr>
        <w:t> </w:t>
      </w:r>
      <w:r>
        <w:rPr>
          <w:i/>
          <w:color w:val="231F1F"/>
          <w:spacing w:val="-2"/>
          <w:w w:val="105"/>
          <w:sz w:val="22"/>
        </w:rPr>
        <w:t>opioides</w:t>
      </w:r>
    </w:p>
    <w:p>
      <w:pPr>
        <w:pStyle w:val="BodyText"/>
        <w:spacing w:line="249" w:lineRule="auto" w:before="199"/>
        <w:ind w:left="287" w:right="84" w:firstLine="453"/>
        <w:jc w:val="both"/>
      </w:pPr>
      <w:r>
        <w:rPr>
          <w:color w:val="231F1F"/>
          <w:w w:val="105"/>
        </w:rPr>
        <w:t>La guía NICE (10) evalúa el efecto de la adicción de opioides en la anal- gesia</w:t>
      </w:r>
      <w:r>
        <w:rPr>
          <w:color w:val="231F1F"/>
          <w:spacing w:val="40"/>
          <w:w w:val="105"/>
        </w:rPr>
        <w:t> </w:t>
      </w:r>
      <w:r>
        <w:rPr>
          <w:color w:val="231F1F"/>
          <w:w w:val="105"/>
        </w:rPr>
        <w:t>epidural</w:t>
      </w:r>
      <w:r>
        <w:rPr>
          <w:color w:val="231F1F"/>
          <w:spacing w:val="40"/>
          <w:w w:val="105"/>
        </w:rPr>
        <w:t> </w:t>
      </w:r>
      <w:r>
        <w:rPr>
          <w:color w:val="231F1F"/>
          <w:w w:val="105"/>
        </w:rPr>
        <w:t>frente</w:t>
      </w:r>
      <w:r>
        <w:rPr>
          <w:color w:val="231F1F"/>
          <w:spacing w:val="40"/>
          <w:w w:val="105"/>
        </w:rPr>
        <w:t> </w:t>
      </w:r>
      <w:r>
        <w:rPr>
          <w:color w:val="231F1F"/>
          <w:w w:val="105"/>
        </w:rPr>
        <w:t>al</w:t>
      </w:r>
      <w:r>
        <w:rPr>
          <w:color w:val="231F1F"/>
          <w:spacing w:val="40"/>
          <w:w w:val="105"/>
        </w:rPr>
        <w:t> </w:t>
      </w:r>
      <w:r>
        <w:rPr>
          <w:color w:val="231F1F"/>
          <w:w w:val="105"/>
        </w:rPr>
        <w:t>uso</w:t>
      </w:r>
      <w:r>
        <w:rPr>
          <w:color w:val="231F1F"/>
          <w:spacing w:val="40"/>
          <w:w w:val="105"/>
        </w:rPr>
        <w:t> </w:t>
      </w:r>
      <w:r>
        <w:rPr>
          <w:color w:val="231F1F"/>
          <w:w w:val="105"/>
        </w:rPr>
        <w:t>de</w:t>
      </w:r>
      <w:r>
        <w:rPr>
          <w:color w:val="231F1F"/>
          <w:spacing w:val="40"/>
          <w:w w:val="105"/>
        </w:rPr>
        <w:t> </w:t>
      </w:r>
      <w:r>
        <w:rPr>
          <w:color w:val="231F1F"/>
          <w:w w:val="105"/>
        </w:rPr>
        <w:t>anestésico</w:t>
      </w:r>
      <w:r>
        <w:rPr>
          <w:color w:val="231F1F"/>
          <w:spacing w:val="40"/>
          <w:w w:val="105"/>
        </w:rPr>
        <w:t> </w:t>
      </w:r>
      <w:r>
        <w:rPr>
          <w:color w:val="231F1F"/>
          <w:w w:val="105"/>
        </w:rPr>
        <w:t>local</w:t>
      </w:r>
      <w:r>
        <w:rPr>
          <w:color w:val="231F1F"/>
          <w:spacing w:val="40"/>
          <w:w w:val="105"/>
        </w:rPr>
        <w:t> </w:t>
      </w:r>
      <w:r>
        <w:rPr>
          <w:color w:val="231F1F"/>
          <w:w w:val="105"/>
        </w:rPr>
        <w:t>únicamente.</w:t>
      </w:r>
    </w:p>
    <w:p>
      <w:pPr>
        <w:spacing w:before="189"/>
        <w:ind w:left="287" w:right="166" w:firstLine="453"/>
        <w:jc w:val="both"/>
        <w:rPr>
          <w:sz w:val="22"/>
        </w:rPr>
      </w:pPr>
      <w:r>
        <w:rPr>
          <w:color w:val="231F1F"/>
          <w:w w:val="105"/>
          <w:sz w:val="22"/>
        </w:rPr>
        <w:t>Dos</w:t>
      </w:r>
      <w:r>
        <w:rPr>
          <w:color w:val="231F1F"/>
          <w:spacing w:val="-3"/>
          <w:w w:val="105"/>
          <w:sz w:val="22"/>
        </w:rPr>
        <w:t> </w:t>
      </w:r>
      <w:r>
        <w:rPr>
          <w:color w:val="231F1F"/>
          <w:w w:val="105"/>
          <w:sz w:val="22"/>
        </w:rPr>
        <w:t>estudios</w:t>
      </w:r>
      <w:r>
        <w:rPr>
          <w:color w:val="231F1F"/>
          <w:spacing w:val="-3"/>
          <w:w w:val="105"/>
          <w:sz w:val="22"/>
        </w:rPr>
        <w:t> </w:t>
      </w:r>
      <w:r>
        <w:rPr>
          <w:color w:val="231F1F"/>
          <w:w w:val="105"/>
          <w:sz w:val="22"/>
        </w:rPr>
        <w:t>(348;349)</w:t>
      </w:r>
      <w:r>
        <w:rPr>
          <w:color w:val="231F1F"/>
          <w:spacing w:val="-3"/>
          <w:w w:val="105"/>
          <w:sz w:val="22"/>
        </w:rPr>
        <w:t> </w:t>
      </w:r>
      <w:r>
        <w:rPr>
          <w:color w:val="231F1F"/>
          <w:w w:val="105"/>
          <w:sz w:val="22"/>
        </w:rPr>
        <w:t>compararon</w:t>
      </w:r>
      <w:r>
        <w:rPr>
          <w:color w:val="231F1F"/>
          <w:spacing w:val="-3"/>
          <w:w w:val="105"/>
          <w:sz w:val="22"/>
        </w:rPr>
        <w:t> </w:t>
      </w:r>
      <w:r>
        <w:rPr>
          <w:color w:val="231F1F"/>
          <w:w w:val="105"/>
          <w:sz w:val="22"/>
        </w:rPr>
        <w:t>la</w:t>
      </w:r>
      <w:r>
        <w:rPr>
          <w:color w:val="231F1F"/>
          <w:spacing w:val="-3"/>
          <w:w w:val="105"/>
          <w:sz w:val="22"/>
        </w:rPr>
        <w:t> </w:t>
      </w:r>
      <w:r>
        <w:rPr>
          <w:color w:val="231F1F"/>
          <w:w w:val="105"/>
          <w:sz w:val="22"/>
        </w:rPr>
        <w:t>administración</w:t>
      </w:r>
      <w:r>
        <w:rPr>
          <w:color w:val="231F1F"/>
          <w:spacing w:val="-3"/>
          <w:w w:val="105"/>
          <w:sz w:val="22"/>
        </w:rPr>
        <w:t> </w:t>
      </w:r>
      <w:r>
        <w:rPr>
          <w:color w:val="231F1F"/>
          <w:w w:val="105"/>
          <w:sz w:val="22"/>
        </w:rPr>
        <w:t>de</w:t>
      </w:r>
      <w:r>
        <w:rPr>
          <w:color w:val="231F1F"/>
          <w:spacing w:val="-4"/>
          <w:w w:val="105"/>
          <w:sz w:val="22"/>
        </w:rPr>
        <w:t> </w:t>
      </w:r>
      <w:r>
        <w:rPr>
          <w:i/>
          <w:color w:val="231F1F"/>
          <w:w w:val="105"/>
          <w:sz w:val="22"/>
        </w:rPr>
        <w:t>bupivacaína</w:t>
      </w:r>
      <w:r>
        <w:rPr>
          <w:i/>
          <w:color w:val="231F1F"/>
          <w:spacing w:val="-13"/>
          <w:w w:val="105"/>
          <w:sz w:val="22"/>
        </w:rPr>
        <w:t> </w:t>
      </w:r>
      <w:r>
        <w:rPr>
          <w:i/>
          <w:color w:val="231F1F"/>
          <w:w w:val="105"/>
          <w:sz w:val="22"/>
        </w:rPr>
        <w:t>al 0,125% frente a bupivacaína </w:t>
      </w:r>
      <w:r>
        <w:rPr>
          <w:color w:val="231F1F"/>
          <w:w w:val="105"/>
          <w:sz w:val="22"/>
        </w:rPr>
        <w:t>al 0,125% más 2-3 μg /ml de fentanilo.</w:t>
      </w:r>
    </w:p>
    <w:p>
      <w:pPr>
        <w:pStyle w:val="BodyText"/>
        <w:spacing w:line="249" w:lineRule="auto" w:before="209"/>
        <w:ind w:left="288" w:right="93" w:firstLine="453"/>
        <w:jc w:val="both"/>
      </w:pPr>
      <w:r>
        <w:rPr>
          <w:color w:val="231F1F"/>
          <w:w w:val="110"/>
        </w:rPr>
        <w:t>Los</w:t>
      </w:r>
      <w:r>
        <w:rPr>
          <w:color w:val="231F1F"/>
          <w:spacing w:val="-14"/>
          <w:w w:val="110"/>
        </w:rPr>
        <w:t> </w:t>
      </w:r>
      <w:r>
        <w:rPr>
          <w:color w:val="231F1F"/>
          <w:w w:val="110"/>
        </w:rPr>
        <w:t>dos</w:t>
      </w:r>
      <w:r>
        <w:rPr>
          <w:color w:val="231F1F"/>
          <w:spacing w:val="-14"/>
          <w:w w:val="110"/>
        </w:rPr>
        <w:t> </w:t>
      </w:r>
      <w:r>
        <w:rPr>
          <w:color w:val="231F1F"/>
          <w:w w:val="110"/>
        </w:rPr>
        <w:t>estudios</w:t>
      </w:r>
      <w:r>
        <w:rPr>
          <w:color w:val="231F1F"/>
          <w:spacing w:val="-14"/>
          <w:w w:val="110"/>
        </w:rPr>
        <w:t> </w:t>
      </w:r>
      <w:r>
        <w:rPr>
          <w:color w:val="231F1F"/>
          <w:w w:val="110"/>
        </w:rPr>
        <w:t>tenían</w:t>
      </w:r>
      <w:r>
        <w:rPr>
          <w:color w:val="231F1F"/>
          <w:spacing w:val="-14"/>
          <w:w w:val="110"/>
        </w:rPr>
        <w:t> </w:t>
      </w:r>
      <w:r>
        <w:rPr>
          <w:color w:val="231F1F"/>
          <w:w w:val="110"/>
        </w:rPr>
        <w:t>una</w:t>
      </w:r>
      <w:r>
        <w:rPr>
          <w:color w:val="231F1F"/>
          <w:spacing w:val="-14"/>
          <w:w w:val="110"/>
        </w:rPr>
        <w:t> </w:t>
      </w:r>
      <w:r>
        <w:rPr>
          <w:color w:val="231F1F"/>
          <w:w w:val="110"/>
        </w:rPr>
        <w:t>buena</w:t>
      </w:r>
      <w:r>
        <w:rPr>
          <w:color w:val="231F1F"/>
          <w:spacing w:val="-14"/>
          <w:w w:val="110"/>
        </w:rPr>
        <w:t> </w:t>
      </w:r>
      <w:r>
        <w:rPr>
          <w:color w:val="231F1F"/>
          <w:w w:val="110"/>
        </w:rPr>
        <w:t>calidad</w:t>
      </w:r>
      <w:r>
        <w:rPr>
          <w:color w:val="231F1F"/>
          <w:spacing w:val="-14"/>
          <w:w w:val="110"/>
        </w:rPr>
        <w:t> </w:t>
      </w:r>
      <w:r>
        <w:rPr>
          <w:color w:val="231F1F"/>
          <w:w w:val="110"/>
        </w:rPr>
        <w:t>y</w:t>
      </w:r>
      <w:r>
        <w:rPr>
          <w:color w:val="231F1F"/>
          <w:spacing w:val="-14"/>
          <w:w w:val="110"/>
        </w:rPr>
        <w:t> </w:t>
      </w:r>
      <w:r>
        <w:rPr>
          <w:color w:val="231F1F"/>
          <w:w w:val="110"/>
        </w:rPr>
        <w:t>homogeneidad,</w:t>
      </w:r>
      <w:r>
        <w:rPr>
          <w:color w:val="231F1F"/>
          <w:spacing w:val="-15"/>
          <w:w w:val="110"/>
        </w:rPr>
        <w:t> </w:t>
      </w:r>
      <w:r>
        <w:rPr>
          <w:color w:val="231F1F"/>
          <w:w w:val="110"/>
        </w:rPr>
        <w:t>por</w:t>
      </w:r>
      <w:r>
        <w:rPr>
          <w:color w:val="231F1F"/>
          <w:spacing w:val="-14"/>
          <w:w w:val="110"/>
        </w:rPr>
        <w:t> </w:t>
      </w:r>
      <w:r>
        <w:rPr>
          <w:color w:val="231F1F"/>
          <w:w w:val="110"/>
        </w:rPr>
        <w:t>ello</w:t>
      </w:r>
      <w:r>
        <w:rPr>
          <w:color w:val="231F1F"/>
          <w:spacing w:val="-14"/>
          <w:w w:val="110"/>
        </w:rPr>
        <w:t> </w:t>
      </w:r>
      <w:r>
        <w:rPr>
          <w:color w:val="231F1F"/>
          <w:w w:val="110"/>
        </w:rPr>
        <w:t>se realizó un metaanálisis, que incluía a 93 mujeres.</w:t>
      </w:r>
    </w:p>
    <w:p>
      <w:pPr>
        <w:pStyle w:val="BodyText"/>
        <w:spacing w:line="247" w:lineRule="auto" w:before="155"/>
        <w:ind w:left="288" w:right="39" w:firstLine="453"/>
        <w:jc w:val="both"/>
      </w:pPr>
      <w:r>
        <w:rPr>
          <w:color w:val="231F1F"/>
          <w:w w:val="110"/>
        </w:rPr>
        <w:t>En relación a resultados sobre la analgesia, no hubo diferencias en la instauración</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10"/>
          <w:w w:val="110"/>
        </w:rPr>
        <w:t> </w:t>
      </w:r>
      <w:r>
        <w:rPr>
          <w:color w:val="231F1F"/>
          <w:w w:val="110"/>
        </w:rPr>
        <w:t>analgesia,</w:t>
      </w:r>
      <w:r>
        <w:rPr>
          <w:color w:val="231F1F"/>
          <w:spacing w:val="-10"/>
          <w:w w:val="110"/>
        </w:rPr>
        <w:t> </w:t>
      </w:r>
      <w:r>
        <w:rPr>
          <w:color w:val="231F1F"/>
          <w:w w:val="110"/>
        </w:rPr>
        <w:t>la</w:t>
      </w:r>
      <w:r>
        <w:rPr>
          <w:color w:val="231F1F"/>
          <w:spacing w:val="-10"/>
          <w:w w:val="110"/>
        </w:rPr>
        <w:t> </w:t>
      </w:r>
      <w:r>
        <w:rPr>
          <w:color w:val="231F1F"/>
          <w:w w:val="110"/>
        </w:rPr>
        <w:t>dosis</w:t>
      </w:r>
      <w:r>
        <w:rPr>
          <w:color w:val="231F1F"/>
          <w:spacing w:val="-10"/>
          <w:w w:val="110"/>
        </w:rPr>
        <w:t> </w:t>
      </w:r>
      <w:r>
        <w:rPr>
          <w:color w:val="231F1F"/>
          <w:w w:val="110"/>
        </w:rPr>
        <w:t>total</w:t>
      </w:r>
      <w:r>
        <w:rPr>
          <w:color w:val="231F1F"/>
          <w:spacing w:val="-10"/>
          <w:w w:val="110"/>
        </w:rPr>
        <w:t> </w:t>
      </w:r>
      <w:r>
        <w:rPr>
          <w:color w:val="231F1F"/>
          <w:w w:val="110"/>
        </w:rPr>
        <w:t>de</w:t>
      </w:r>
      <w:r>
        <w:rPr>
          <w:color w:val="231F1F"/>
          <w:spacing w:val="-10"/>
          <w:w w:val="110"/>
        </w:rPr>
        <w:t> </w:t>
      </w:r>
      <w:r>
        <w:rPr>
          <w:color w:val="231F1F"/>
          <w:w w:val="110"/>
        </w:rPr>
        <w:t>bupivacaína</w:t>
      </w:r>
      <w:r>
        <w:rPr>
          <w:color w:val="231F1F"/>
          <w:spacing w:val="-11"/>
          <w:w w:val="110"/>
        </w:rPr>
        <w:t> </w:t>
      </w:r>
      <w:r>
        <w:rPr>
          <w:color w:val="231F1F"/>
          <w:w w:val="110"/>
        </w:rPr>
        <w:t>utilizada</w:t>
      </w:r>
      <w:r>
        <w:rPr>
          <w:color w:val="231F1F"/>
          <w:spacing w:val="-10"/>
          <w:w w:val="110"/>
        </w:rPr>
        <w:t> </w:t>
      </w:r>
      <w:r>
        <w:rPr>
          <w:color w:val="231F1F"/>
          <w:w w:val="110"/>
        </w:rPr>
        <w:t>o</w:t>
      </w:r>
      <w:r>
        <w:rPr>
          <w:color w:val="231F1F"/>
          <w:spacing w:val="-10"/>
          <w:w w:val="110"/>
        </w:rPr>
        <w:t> </w:t>
      </w:r>
      <w:r>
        <w:rPr>
          <w:color w:val="231F1F"/>
          <w:w w:val="110"/>
        </w:rPr>
        <w:t>la</w:t>
      </w:r>
      <w:r>
        <w:rPr>
          <w:color w:val="231F1F"/>
          <w:spacing w:val="-10"/>
          <w:w w:val="110"/>
        </w:rPr>
        <w:t> </w:t>
      </w:r>
      <w:r>
        <w:rPr>
          <w:color w:val="231F1F"/>
          <w:w w:val="110"/>
        </w:rPr>
        <w:t>inci- </w:t>
      </w:r>
      <w:r>
        <w:rPr>
          <w:color w:val="231F1F"/>
          <w:spacing w:val="-2"/>
          <w:w w:val="110"/>
        </w:rPr>
        <w:t>dencia</w:t>
      </w:r>
      <w:r>
        <w:rPr>
          <w:color w:val="231F1F"/>
          <w:spacing w:val="-5"/>
          <w:w w:val="110"/>
        </w:rPr>
        <w:t> </w:t>
      </w:r>
      <w:r>
        <w:rPr>
          <w:color w:val="231F1F"/>
          <w:spacing w:val="-2"/>
          <w:w w:val="110"/>
        </w:rPr>
        <w:t>de</w:t>
      </w:r>
      <w:r>
        <w:rPr>
          <w:color w:val="231F1F"/>
          <w:spacing w:val="-4"/>
          <w:w w:val="110"/>
        </w:rPr>
        <w:t> </w:t>
      </w:r>
      <w:r>
        <w:rPr>
          <w:color w:val="231F1F"/>
          <w:spacing w:val="-2"/>
          <w:w w:val="110"/>
        </w:rPr>
        <w:t>efectos</w:t>
      </w:r>
      <w:r>
        <w:rPr>
          <w:color w:val="231F1F"/>
          <w:spacing w:val="-4"/>
          <w:w w:val="110"/>
        </w:rPr>
        <w:t> </w:t>
      </w:r>
      <w:r>
        <w:rPr>
          <w:color w:val="231F1F"/>
          <w:spacing w:val="-2"/>
          <w:w w:val="110"/>
        </w:rPr>
        <w:t>adversos,</w:t>
      </w:r>
      <w:r>
        <w:rPr>
          <w:color w:val="231F1F"/>
          <w:spacing w:val="-4"/>
          <w:w w:val="110"/>
        </w:rPr>
        <w:t> </w:t>
      </w:r>
      <w:r>
        <w:rPr>
          <w:color w:val="231F1F"/>
          <w:spacing w:val="-2"/>
          <w:w w:val="110"/>
        </w:rPr>
        <w:t>incluyendo</w:t>
      </w:r>
      <w:r>
        <w:rPr>
          <w:color w:val="231F1F"/>
          <w:spacing w:val="-4"/>
          <w:w w:val="110"/>
        </w:rPr>
        <w:t> </w:t>
      </w:r>
      <w:r>
        <w:rPr>
          <w:color w:val="231F1F"/>
          <w:spacing w:val="-2"/>
          <w:w w:val="110"/>
        </w:rPr>
        <w:t>hipotensión,</w:t>
      </w:r>
      <w:r>
        <w:rPr>
          <w:color w:val="231F1F"/>
          <w:spacing w:val="-5"/>
          <w:w w:val="110"/>
        </w:rPr>
        <w:t> </w:t>
      </w:r>
      <w:r>
        <w:rPr>
          <w:color w:val="231F1F"/>
          <w:spacing w:val="-2"/>
          <w:w w:val="110"/>
        </w:rPr>
        <w:t>prurito,</w:t>
      </w:r>
      <w:r>
        <w:rPr>
          <w:color w:val="231F1F"/>
          <w:spacing w:val="-5"/>
          <w:w w:val="110"/>
        </w:rPr>
        <w:t> </w:t>
      </w:r>
      <w:r>
        <w:rPr>
          <w:color w:val="231F1F"/>
          <w:spacing w:val="-2"/>
          <w:w w:val="110"/>
        </w:rPr>
        <w:t>retención</w:t>
      </w:r>
      <w:r>
        <w:rPr>
          <w:color w:val="231F1F"/>
          <w:spacing w:val="-4"/>
          <w:w w:val="110"/>
        </w:rPr>
        <w:t> </w:t>
      </w:r>
      <w:r>
        <w:rPr>
          <w:color w:val="231F1F"/>
          <w:spacing w:val="-2"/>
          <w:w w:val="110"/>
        </w:rPr>
        <w:t>urina- </w:t>
      </w:r>
      <w:r>
        <w:rPr>
          <w:color w:val="231F1F"/>
          <w:w w:val="110"/>
        </w:rPr>
        <w:t>ria, náuseas, vómitos y bloqueo motor.</w:t>
      </w:r>
    </w:p>
    <w:p>
      <w:pPr>
        <w:pStyle w:val="BodyText"/>
        <w:spacing w:line="244" w:lineRule="auto" w:before="196"/>
        <w:ind w:left="288" w:right="38" w:firstLine="453"/>
        <w:jc w:val="both"/>
      </w:pPr>
      <w:r>
        <w:rPr>
          <w:color w:val="231F1F"/>
        </w:rPr>
        <w:t>Tampoco se observaron diferencias en resultados neonatales ni maternos </w:t>
      </w:r>
      <w:r>
        <w:rPr>
          <w:color w:val="231F1F"/>
          <w:w w:val="110"/>
        </w:rPr>
        <w:t>(tipo</w:t>
      </w:r>
      <w:r>
        <w:rPr>
          <w:color w:val="231F1F"/>
          <w:spacing w:val="-7"/>
          <w:w w:val="110"/>
        </w:rPr>
        <w:t> </w:t>
      </w:r>
      <w:r>
        <w:rPr>
          <w:color w:val="231F1F"/>
          <w:w w:val="110"/>
        </w:rPr>
        <w:t>de</w:t>
      </w:r>
      <w:r>
        <w:rPr>
          <w:color w:val="231F1F"/>
          <w:spacing w:val="-7"/>
          <w:w w:val="110"/>
        </w:rPr>
        <w:t> </w:t>
      </w:r>
      <w:r>
        <w:rPr>
          <w:color w:val="231F1F"/>
          <w:w w:val="110"/>
        </w:rPr>
        <w:t>parto</w:t>
      </w:r>
      <w:r>
        <w:rPr>
          <w:color w:val="231F1F"/>
          <w:spacing w:val="-7"/>
          <w:w w:val="110"/>
        </w:rPr>
        <w:t> </w:t>
      </w:r>
      <w:r>
        <w:rPr>
          <w:color w:val="231F1F"/>
          <w:w w:val="110"/>
        </w:rPr>
        <w:t>y</w:t>
      </w:r>
      <w:r>
        <w:rPr>
          <w:color w:val="231F1F"/>
          <w:spacing w:val="-7"/>
          <w:w w:val="110"/>
        </w:rPr>
        <w:t> </w:t>
      </w:r>
      <w:r>
        <w:rPr>
          <w:color w:val="231F1F"/>
          <w:w w:val="110"/>
        </w:rPr>
        <w:t>duración</w:t>
      </w:r>
      <w:r>
        <w:rPr>
          <w:color w:val="231F1F"/>
          <w:spacing w:val="-8"/>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segunda</w:t>
      </w:r>
      <w:r>
        <w:rPr>
          <w:color w:val="231F1F"/>
          <w:spacing w:val="-8"/>
          <w:w w:val="110"/>
        </w:rPr>
        <w:t> </w:t>
      </w:r>
      <w:r>
        <w:rPr>
          <w:color w:val="231F1F"/>
          <w:w w:val="110"/>
        </w:rPr>
        <w:t>etapa).</w:t>
      </w:r>
      <w:r>
        <w:rPr>
          <w:color w:val="231F1F"/>
          <w:spacing w:val="-8"/>
          <w:w w:val="110"/>
        </w:rPr>
        <w:t> </w:t>
      </w:r>
      <w:r>
        <w:rPr>
          <w:color w:val="231F1F"/>
          <w:w w:val="110"/>
        </w:rPr>
        <w:t>En</w:t>
      </w:r>
      <w:r>
        <w:rPr>
          <w:color w:val="231F1F"/>
          <w:spacing w:val="-7"/>
          <w:w w:val="110"/>
        </w:rPr>
        <w:t> </w:t>
      </w:r>
      <w:r>
        <w:rPr>
          <w:color w:val="231F1F"/>
          <w:w w:val="110"/>
        </w:rPr>
        <w:t>cuanto</w:t>
      </w:r>
      <w:r>
        <w:rPr>
          <w:color w:val="231F1F"/>
          <w:spacing w:val="-7"/>
          <w:w w:val="110"/>
        </w:rPr>
        <w:t> </w:t>
      </w:r>
      <w:r>
        <w:rPr>
          <w:color w:val="231F1F"/>
          <w:w w:val="110"/>
        </w:rPr>
        <w:t>a</w:t>
      </w:r>
      <w:r>
        <w:rPr>
          <w:color w:val="231F1F"/>
          <w:spacing w:val="-7"/>
          <w:w w:val="110"/>
        </w:rPr>
        <w:t> </w:t>
      </w:r>
      <w:r>
        <w:rPr>
          <w:color w:val="231F1F"/>
          <w:w w:val="110"/>
        </w:rPr>
        <w:t>satisfacción</w:t>
      </w:r>
      <w:r>
        <w:rPr>
          <w:color w:val="231F1F"/>
          <w:spacing w:val="-9"/>
          <w:w w:val="110"/>
        </w:rPr>
        <w:t> </w:t>
      </w:r>
      <w:r>
        <w:rPr>
          <w:color w:val="231F1F"/>
          <w:w w:val="110"/>
        </w:rPr>
        <w:t>ma- terna,</w:t>
      </w:r>
      <w:r>
        <w:rPr>
          <w:color w:val="231F1F"/>
          <w:spacing w:val="-16"/>
          <w:w w:val="110"/>
        </w:rPr>
        <w:t> </w:t>
      </w:r>
      <w:r>
        <w:rPr>
          <w:color w:val="231F1F"/>
          <w:w w:val="110"/>
        </w:rPr>
        <w:t>solo</w:t>
      </w:r>
      <w:r>
        <w:rPr>
          <w:color w:val="231F1F"/>
          <w:spacing w:val="-15"/>
          <w:w w:val="110"/>
        </w:rPr>
        <w:t> </w:t>
      </w:r>
      <w:r>
        <w:rPr>
          <w:color w:val="231F1F"/>
          <w:w w:val="110"/>
        </w:rPr>
        <w:t>estudiado</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segundo</w:t>
      </w:r>
      <w:r>
        <w:rPr>
          <w:color w:val="231F1F"/>
          <w:spacing w:val="-15"/>
          <w:w w:val="110"/>
        </w:rPr>
        <w:t> </w:t>
      </w:r>
      <w:r>
        <w:rPr>
          <w:color w:val="231F1F"/>
          <w:w w:val="110"/>
        </w:rPr>
        <w:t>ensayo,</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6"/>
          <w:w w:val="110"/>
        </w:rPr>
        <w:t> </w:t>
      </w:r>
      <w:r>
        <w:rPr>
          <w:color w:val="231F1F"/>
          <w:w w:val="110"/>
        </w:rPr>
        <w:t>que</w:t>
      </w:r>
      <w:r>
        <w:rPr>
          <w:color w:val="231F1F"/>
          <w:spacing w:val="-15"/>
          <w:w w:val="110"/>
        </w:rPr>
        <w:t> </w:t>
      </w:r>
      <w:r>
        <w:rPr>
          <w:color w:val="231F1F"/>
          <w:w w:val="110"/>
        </w:rPr>
        <w:t>recibieron</w:t>
      </w:r>
      <w:r>
        <w:rPr>
          <w:color w:val="231F1F"/>
          <w:spacing w:val="-15"/>
          <w:w w:val="110"/>
        </w:rPr>
        <w:t> </w:t>
      </w:r>
      <w:r>
        <w:rPr>
          <w:color w:val="231F1F"/>
          <w:w w:val="110"/>
        </w:rPr>
        <w:t>fenta- nilo mostraron una ligera mayor satisfacción con el alivio del dolor en la primera etapa del parto.</w:t>
      </w:r>
    </w:p>
    <w:p>
      <w:pPr>
        <w:spacing w:line="244" w:lineRule="auto" w:before="145"/>
        <w:ind w:left="287" w:right="42" w:firstLine="453"/>
        <w:jc w:val="both"/>
        <w:rPr>
          <w:sz w:val="22"/>
        </w:rPr>
      </w:pPr>
      <w:r>
        <w:rPr>
          <w:color w:val="231F1F"/>
          <w:w w:val="105"/>
          <w:sz w:val="22"/>
        </w:rPr>
        <w:t>Cinco</w:t>
      </w:r>
      <w:r>
        <w:rPr>
          <w:color w:val="231F1F"/>
          <w:w w:val="105"/>
          <w:sz w:val="22"/>
        </w:rPr>
        <w:t> estudios</w:t>
      </w:r>
      <w:r>
        <w:rPr>
          <w:color w:val="231F1F"/>
          <w:w w:val="105"/>
          <w:sz w:val="22"/>
        </w:rPr>
        <w:t> (350-354)</w:t>
      </w:r>
      <w:r>
        <w:rPr>
          <w:color w:val="231F1F"/>
          <w:w w:val="105"/>
          <w:sz w:val="22"/>
        </w:rPr>
        <w:t> compararon</w:t>
      </w:r>
      <w:r>
        <w:rPr>
          <w:color w:val="231F1F"/>
          <w:w w:val="105"/>
          <w:sz w:val="22"/>
        </w:rPr>
        <w:t> la</w:t>
      </w:r>
      <w:r>
        <w:rPr>
          <w:color w:val="231F1F"/>
          <w:w w:val="105"/>
          <w:sz w:val="22"/>
        </w:rPr>
        <w:t> administración</w:t>
      </w:r>
      <w:r>
        <w:rPr>
          <w:color w:val="231F1F"/>
          <w:w w:val="105"/>
          <w:sz w:val="22"/>
        </w:rPr>
        <w:t> de </w:t>
      </w:r>
      <w:r>
        <w:rPr>
          <w:i/>
          <w:color w:val="231F1F"/>
          <w:w w:val="105"/>
          <w:sz w:val="22"/>
        </w:rPr>
        <w:t>bupivacaína al</w:t>
      </w:r>
      <w:r>
        <w:rPr>
          <w:i/>
          <w:color w:val="231F1F"/>
          <w:spacing w:val="-15"/>
          <w:w w:val="105"/>
          <w:sz w:val="22"/>
        </w:rPr>
        <w:t> </w:t>
      </w:r>
      <w:r>
        <w:rPr>
          <w:i/>
          <w:color w:val="231F1F"/>
          <w:w w:val="105"/>
          <w:sz w:val="22"/>
        </w:rPr>
        <w:t>0,125%</w:t>
      </w:r>
      <w:r>
        <w:rPr>
          <w:i/>
          <w:color w:val="231F1F"/>
          <w:spacing w:val="-14"/>
          <w:w w:val="105"/>
          <w:sz w:val="22"/>
        </w:rPr>
        <w:t> </w:t>
      </w:r>
      <w:r>
        <w:rPr>
          <w:i/>
          <w:color w:val="231F1F"/>
          <w:w w:val="105"/>
          <w:sz w:val="22"/>
        </w:rPr>
        <w:t>frente</w:t>
      </w:r>
      <w:r>
        <w:rPr>
          <w:i/>
          <w:color w:val="231F1F"/>
          <w:spacing w:val="-13"/>
          <w:w w:val="105"/>
          <w:sz w:val="22"/>
        </w:rPr>
        <w:t> </w:t>
      </w:r>
      <w:r>
        <w:rPr>
          <w:i/>
          <w:color w:val="231F1F"/>
          <w:w w:val="105"/>
          <w:sz w:val="22"/>
        </w:rPr>
        <w:t>a</w:t>
      </w:r>
      <w:r>
        <w:rPr>
          <w:i/>
          <w:color w:val="231F1F"/>
          <w:spacing w:val="-14"/>
          <w:w w:val="105"/>
          <w:sz w:val="22"/>
        </w:rPr>
        <w:t> </w:t>
      </w:r>
      <w:r>
        <w:rPr>
          <w:i/>
          <w:color w:val="231F1F"/>
          <w:w w:val="105"/>
          <w:sz w:val="22"/>
        </w:rPr>
        <w:t>bupivacaína</w:t>
      </w:r>
      <w:r>
        <w:rPr>
          <w:i/>
          <w:color w:val="231F1F"/>
          <w:spacing w:val="-15"/>
          <w:w w:val="105"/>
          <w:sz w:val="22"/>
        </w:rPr>
        <w:t> </w:t>
      </w:r>
      <w:r>
        <w:rPr>
          <w:i/>
          <w:color w:val="231F1F"/>
          <w:w w:val="105"/>
          <w:sz w:val="22"/>
        </w:rPr>
        <w:t>al</w:t>
      </w:r>
      <w:r>
        <w:rPr>
          <w:i/>
          <w:color w:val="231F1F"/>
          <w:spacing w:val="-13"/>
          <w:w w:val="105"/>
          <w:sz w:val="22"/>
        </w:rPr>
        <w:t> </w:t>
      </w:r>
      <w:r>
        <w:rPr>
          <w:i/>
          <w:color w:val="231F1F"/>
          <w:w w:val="105"/>
          <w:sz w:val="22"/>
        </w:rPr>
        <w:t>0,0625%</w:t>
      </w:r>
      <w:r>
        <w:rPr>
          <w:i/>
          <w:color w:val="231F1F"/>
          <w:spacing w:val="-15"/>
          <w:w w:val="105"/>
          <w:sz w:val="22"/>
        </w:rPr>
        <w:t> </w:t>
      </w:r>
      <w:r>
        <w:rPr>
          <w:i/>
          <w:color w:val="231F1F"/>
          <w:w w:val="105"/>
          <w:sz w:val="22"/>
        </w:rPr>
        <w:t>más</w:t>
      </w:r>
      <w:r>
        <w:rPr>
          <w:i/>
          <w:color w:val="231F1F"/>
          <w:spacing w:val="-14"/>
          <w:w w:val="105"/>
          <w:sz w:val="22"/>
        </w:rPr>
        <w:t> </w:t>
      </w:r>
      <w:r>
        <w:rPr>
          <w:i/>
          <w:color w:val="231F1F"/>
          <w:w w:val="105"/>
          <w:sz w:val="22"/>
        </w:rPr>
        <w:t>2-3</w:t>
      </w:r>
      <w:r>
        <w:rPr>
          <w:i/>
          <w:color w:val="231F1F"/>
          <w:spacing w:val="-13"/>
          <w:w w:val="105"/>
          <w:sz w:val="22"/>
        </w:rPr>
        <w:t> </w:t>
      </w:r>
      <w:r>
        <w:rPr>
          <w:i/>
          <w:color w:val="231F1F"/>
          <w:w w:val="105"/>
          <w:sz w:val="22"/>
        </w:rPr>
        <w:t>μg/ml</w:t>
      </w:r>
      <w:r>
        <w:rPr>
          <w:i/>
          <w:color w:val="231F1F"/>
          <w:spacing w:val="-14"/>
          <w:w w:val="105"/>
          <w:sz w:val="22"/>
        </w:rPr>
        <w:t> </w:t>
      </w:r>
      <w:r>
        <w:rPr>
          <w:i/>
          <w:color w:val="231F1F"/>
          <w:w w:val="105"/>
          <w:sz w:val="22"/>
        </w:rPr>
        <w:t>de</w:t>
      </w:r>
      <w:r>
        <w:rPr>
          <w:i/>
          <w:color w:val="231F1F"/>
          <w:spacing w:val="-14"/>
          <w:w w:val="105"/>
          <w:sz w:val="22"/>
        </w:rPr>
        <w:t> </w:t>
      </w:r>
      <w:r>
        <w:rPr>
          <w:i/>
          <w:color w:val="231F1F"/>
          <w:w w:val="105"/>
          <w:sz w:val="22"/>
        </w:rPr>
        <w:t>fentanilo</w:t>
      </w:r>
      <w:r>
        <w:rPr>
          <w:color w:val="231F1F"/>
          <w:w w:val="105"/>
          <w:sz w:val="22"/>
        </w:rPr>
        <w:t>.</w:t>
      </w:r>
      <w:r>
        <w:rPr>
          <w:color w:val="231F1F"/>
          <w:spacing w:val="5"/>
          <w:w w:val="105"/>
          <w:sz w:val="22"/>
        </w:rPr>
        <w:t> </w:t>
      </w:r>
      <w:r>
        <w:rPr>
          <w:color w:val="231F1F"/>
          <w:w w:val="105"/>
          <w:sz w:val="22"/>
        </w:rPr>
        <w:t>Debido a</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homogeneidad</w:t>
      </w:r>
      <w:r>
        <w:rPr>
          <w:color w:val="231F1F"/>
          <w:spacing w:val="-10"/>
          <w:w w:val="105"/>
          <w:sz w:val="22"/>
        </w:rPr>
        <w:t> </w:t>
      </w:r>
      <w:r>
        <w:rPr>
          <w:color w:val="231F1F"/>
          <w:w w:val="105"/>
          <w:sz w:val="22"/>
        </w:rPr>
        <w:t>que</w:t>
      </w:r>
      <w:r>
        <w:rPr>
          <w:color w:val="231F1F"/>
          <w:spacing w:val="-10"/>
          <w:w w:val="105"/>
          <w:sz w:val="22"/>
        </w:rPr>
        <w:t> </w:t>
      </w:r>
      <w:r>
        <w:rPr>
          <w:color w:val="231F1F"/>
          <w:w w:val="105"/>
          <w:sz w:val="22"/>
        </w:rPr>
        <w:t>presentaban</w:t>
      </w:r>
      <w:r>
        <w:rPr>
          <w:color w:val="231F1F"/>
          <w:spacing w:val="-10"/>
          <w:w w:val="105"/>
          <w:sz w:val="22"/>
        </w:rPr>
        <w:t> </w:t>
      </w:r>
      <w:r>
        <w:rPr>
          <w:color w:val="231F1F"/>
          <w:w w:val="105"/>
          <w:sz w:val="22"/>
        </w:rPr>
        <w:t>se</w:t>
      </w:r>
      <w:r>
        <w:rPr>
          <w:color w:val="231F1F"/>
          <w:spacing w:val="-10"/>
          <w:w w:val="105"/>
          <w:sz w:val="22"/>
        </w:rPr>
        <w:t> </w:t>
      </w:r>
      <w:r>
        <w:rPr>
          <w:color w:val="231F1F"/>
          <w:w w:val="105"/>
          <w:sz w:val="22"/>
        </w:rPr>
        <w:t>realizó</w:t>
      </w:r>
      <w:r>
        <w:rPr>
          <w:color w:val="231F1F"/>
          <w:spacing w:val="-9"/>
          <w:w w:val="105"/>
          <w:sz w:val="22"/>
        </w:rPr>
        <w:t> </w:t>
      </w:r>
      <w:r>
        <w:rPr>
          <w:color w:val="231F1F"/>
          <w:w w:val="105"/>
          <w:sz w:val="22"/>
        </w:rPr>
        <w:t>un</w:t>
      </w:r>
      <w:r>
        <w:rPr>
          <w:color w:val="231F1F"/>
          <w:spacing w:val="-9"/>
          <w:w w:val="105"/>
          <w:sz w:val="22"/>
        </w:rPr>
        <w:t> </w:t>
      </w:r>
      <w:r>
        <w:rPr>
          <w:color w:val="231F1F"/>
          <w:w w:val="105"/>
          <w:sz w:val="22"/>
        </w:rPr>
        <w:t>metaanálisis</w:t>
      </w:r>
      <w:r>
        <w:rPr>
          <w:color w:val="231F1F"/>
          <w:spacing w:val="-10"/>
          <w:w w:val="105"/>
          <w:sz w:val="22"/>
        </w:rPr>
        <w:t> </w:t>
      </w:r>
      <w:r>
        <w:rPr>
          <w:color w:val="231F1F"/>
          <w:w w:val="105"/>
          <w:sz w:val="22"/>
        </w:rPr>
        <w:t>con</w:t>
      </w:r>
      <w:r>
        <w:rPr>
          <w:color w:val="231F1F"/>
          <w:spacing w:val="-9"/>
          <w:w w:val="105"/>
          <w:sz w:val="22"/>
        </w:rPr>
        <w:t> </w:t>
      </w:r>
      <w:r>
        <w:rPr>
          <w:color w:val="231F1F"/>
          <w:w w:val="105"/>
          <w:sz w:val="22"/>
        </w:rPr>
        <w:t>un</w:t>
      </w:r>
      <w:r>
        <w:rPr>
          <w:color w:val="231F1F"/>
          <w:spacing w:val="-9"/>
          <w:w w:val="105"/>
          <w:sz w:val="22"/>
        </w:rPr>
        <w:t> </w:t>
      </w:r>
      <w:r>
        <w:rPr>
          <w:color w:val="231F1F"/>
          <w:w w:val="105"/>
          <w:sz w:val="22"/>
        </w:rPr>
        <w:t>NE=1++, en el que se incluyeron a 667 mujeres.</w:t>
      </w:r>
    </w:p>
    <w:p>
      <w:pPr>
        <w:pStyle w:val="BodyText"/>
        <w:spacing w:line="249" w:lineRule="auto" w:before="188"/>
        <w:ind w:left="287" w:right="39" w:firstLine="453"/>
        <w:jc w:val="both"/>
      </w:pPr>
      <w:r>
        <w:rPr>
          <w:color w:val="231F1F"/>
          <w:w w:val="105"/>
        </w:rPr>
        <w:t>El</w:t>
      </w:r>
      <w:r>
        <w:rPr>
          <w:color w:val="231F1F"/>
          <w:w w:val="105"/>
        </w:rPr>
        <w:t> análisis</w:t>
      </w:r>
      <w:r>
        <w:rPr>
          <w:color w:val="231F1F"/>
          <w:w w:val="105"/>
        </w:rPr>
        <w:t> mostró</w:t>
      </w:r>
      <w:r>
        <w:rPr>
          <w:color w:val="231F1F"/>
          <w:w w:val="105"/>
        </w:rPr>
        <w:t> que</w:t>
      </w:r>
      <w:r>
        <w:rPr>
          <w:color w:val="231F1F"/>
          <w:w w:val="105"/>
        </w:rPr>
        <w:t> las</w:t>
      </w:r>
      <w:r>
        <w:rPr>
          <w:color w:val="231F1F"/>
          <w:w w:val="105"/>
        </w:rPr>
        <w:t> mujeres</w:t>
      </w:r>
      <w:r>
        <w:rPr>
          <w:color w:val="231F1F"/>
          <w:w w:val="105"/>
        </w:rPr>
        <w:t> del</w:t>
      </w:r>
      <w:r>
        <w:rPr>
          <w:color w:val="231F1F"/>
          <w:w w:val="105"/>
        </w:rPr>
        <w:t> grupo</w:t>
      </w:r>
      <w:r>
        <w:rPr>
          <w:color w:val="231F1F"/>
          <w:w w:val="105"/>
        </w:rPr>
        <w:t> con</w:t>
      </w:r>
      <w:r>
        <w:rPr>
          <w:color w:val="231F1F"/>
          <w:w w:val="105"/>
        </w:rPr>
        <w:t> opioides</w:t>
      </w:r>
      <w:r>
        <w:rPr>
          <w:color w:val="231F1F"/>
          <w:w w:val="105"/>
        </w:rPr>
        <w:t> necesitaron</w:t>
      </w:r>
      <w:r>
        <w:rPr>
          <w:color w:val="231F1F"/>
          <w:spacing w:val="40"/>
          <w:w w:val="105"/>
        </w:rPr>
        <w:t> </w:t>
      </w:r>
      <w:r>
        <w:rPr>
          <w:color w:val="231F1F"/>
          <w:w w:val="105"/>
        </w:rPr>
        <w:t>una menor dosis de bupivacaína y tuvieron un menor bloqueo motor, con una mayor duración del efecto analgésico y más prurito, no habiendo diferencias en otros efectos adversos.</w:t>
      </w:r>
    </w:p>
    <w:p>
      <w:pPr>
        <w:pStyle w:val="BodyText"/>
        <w:spacing w:line="254" w:lineRule="auto" w:before="114"/>
        <w:ind w:left="287" w:right="127" w:firstLine="453"/>
        <w:jc w:val="both"/>
      </w:pPr>
      <w:r>
        <w:rPr>
          <w:color w:val="231F1F"/>
          <w:w w:val="105"/>
        </w:rPr>
        <w:t>Tampoco</w:t>
      </w:r>
      <w:r>
        <w:rPr>
          <w:color w:val="231F1F"/>
          <w:spacing w:val="-5"/>
          <w:w w:val="105"/>
        </w:rPr>
        <w:t> </w:t>
      </w:r>
      <w:r>
        <w:rPr>
          <w:color w:val="231F1F"/>
          <w:w w:val="105"/>
        </w:rPr>
        <w:t>se</w:t>
      </w:r>
      <w:r>
        <w:rPr>
          <w:color w:val="231F1F"/>
          <w:spacing w:val="-5"/>
          <w:w w:val="105"/>
        </w:rPr>
        <w:t> </w:t>
      </w:r>
      <w:r>
        <w:rPr>
          <w:color w:val="231F1F"/>
          <w:w w:val="105"/>
        </w:rPr>
        <w:t>observaron</w:t>
      </w:r>
      <w:r>
        <w:rPr>
          <w:color w:val="231F1F"/>
          <w:spacing w:val="-5"/>
          <w:w w:val="105"/>
        </w:rPr>
        <w:t> </w:t>
      </w:r>
      <w:r>
        <w:rPr>
          <w:color w:val="231F1F"/>
          <w:w w:val="105"/>
        </w:rPr>
        <w:t>diferencias</w:t>
      </w:r>
      <w:r>
        <w:rPr>
          <w:color w:val="231F1F"/>
          <w:spacing w:val="-5"/>
          <w:w w:val="105"/>
        </w:rPr>
        <w:t> </w:t>
      </w:r>
      <w:r>
        <w:rPr>
          <w:color w:val="231F1F"/>
          <w:w w:val="105"/>
        </w:rPr>
        <w:t>en</w:t>
      </w:r>
      <w:r>
        <w:rPr>
          <w:color w:val="231F1F"/>
          <w:spacing w:val="-5"/>
          <w:w w:val="105"/>
        </w:rPr>
        <w:t> </w:t>
      </w:r>
      <w:r>
        <w:rPr>
          <w:color w:val="231F1F"/>
          <w:w w:val="105"/>
        </w:rPr>
        <w:t>resultados</w:t>
      </w:r>
      <w:r>
        <w:rPr>
          <w:color w:val="231F1F"/>
          <w:spacing w:val="-4"/>
          <w:w w:val="105"/>
        </w:rPr>
        <w:t> </w:t>
      </w:r>
      <w:r>
        <w:rPr>
          <w:color w:val="231F1F"/>
          <w:w w:val="105"/>
        </w:rPr>
        <w:t>neonatales</w:t>
      </w:r>
      <w:r>
        <w:rPr>
          <w:color w:val="231F1F"/>
          <w:spacing w:val="-5"/>
          <w:w w:val="105"/>
        </w:rPr>
        <w:t> </w:t>
      </w:r>
      <w:r>
        <w:rPr>
          <w:color w:val="231F1F"/>
          <w:w w:val="105"/>
        </w:rPr>
        <w:t>ni</w:t>
      </w:r>
      <w:r>
        <w:rPr>
          <w:color w:val="231F1F"/>
          <w:spacing w:val="-5"/>
          <w:w w:val="105"/>
        </w:rPr>
        <w:t> </w:t>
      </w:r>
      <w:r>
        <w:rPr>
          <w:color w:val="231F1F"/>
          <w:w w:val="105"/>
        </w:rPr>
        <w:t>maternos (tipo de parto, duración de la segunda etapa y satisfacción).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7"/>
        <w:rPr>
          <w:sz w:val="18"/>
        </w:rPr>
      </w:pPr>
    </w:p>
    <w:p>
      <w:pPr>
        <w:spacing w:line="278" w:lineRule="auto" w:before="0"/>
        <w:ind w:left="163" w:right="304" w:firstLine="0"/>
        <w:jc w:val="center"/>
        <w:rPr>
          <w:rFonts w:ascii="Arial MT"/>
          <w:sz w:val="18"/>
        </w:rPr>
      </w:pPr>
      <w:r>
        <w:rPr>
          <w:rFonts w:ascii="Arial MT"/>
          <w:color w:val="231F1F"/>
          <w:spacing w:val="-6"/>
          <w:sz w:val="18"/>
        </w:rPr>
        <w:t>RS-</w:t>
      </w:r>
      <w:r>
        <w:rPr>
          <w:rFonts w:ascii="Arial MT"/>
          <w:color w:val="231F1F"/>
          <w:spacing w:val="-6"/>
          <w:sz w:val="18"/>
        </w:rPr>
        <w:t>MA </w:t>
      </w:r>
      <w:r>
        <w:rPr>
          <w:rFonts w:ascii="Arial MT"/>
          <w:color w:val="231F1F"/>
          <w:spacing w:val="-4"/>
          <w:sz w:val="18"/>
        </w:rPr>
        <w:t>1++</w:t>
      </w:r>
    </w:p>
    <w:p>
      <w:pPr>
        <w:pStyle w:val="BodyText"/>
        <w:rPr>
          <w:rFonts w:ascii="Arial MT"/>
          <w:sz w:val="18"/>
        </w:rPr>
      </w:pPr>
    </w:p>
    <w:p>
      <w:pPr>
        <w:pStyle w:val="BodyText"/>
        <w:rPr>
          <w:rFonts w:ascii="Arial MT"/>
          <w:sz w:val="18"/>
        </w:rPr>
      </w:pPr>
    </w:p>
    <w:p>
      <w:pPr>
        <w:pStyle w:val="BodyText"/>
        <w:spacing w:before="161"/>
        <w:rPr>
          <w:rFonts w:ascii="Arial MT"/>
          <w:sz w:val="18"/>
        </w:rPr>
      </w:pPr>
    </w:p>
    <w:p>
      <w:pPr>
        <w:spacing w:line="273" w:lineRule="auto" w:before="0"/>
        <w:ind w:left="163" w:right="304" w:firstLine="0"/>
        <w:jc w:val="center"/>
        <w:rPr>
          <w:rFonts w:ascii="Arial MT"/>
          <w:sz w:val="18"/>
        </w:rPr>
      </w:pPr>
      <w:r>
        <w:rPr>
          <w:rFonts w:ascii="Arial MT"/>
          <w:color w:val="231F1F"/>
          <w:spacing w:val="-6"/>
          <w:sz w:val="18"/>
        </w:rPr>
        <w:t>RS-</w:t>
      </w:r>
      <w:r>
        <w:rPr>
          <w:rFonts w:ascii="Arial MT"/>
          <w:color w:val="231F1F"/>
          <w:spacing w:val="-6"/>
          <w:sz w:val="18"/>
        </w:rPr>
        <w:t>MA </w:t>
      </w:r>
      <w:r>
        <w:rPr>
          <w:rFonts w:ascii="Arial MT"/>
          <w:color w:val="231F1F"/>
          <w:spacing w:val="-4"/>
          <w:sz w:val="18"/>
        </w:rPr>
        <w:t>1++</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
        <w:rPr>
          <w:rFonts w:ascii="Arial MT"/>
          <w:sz w:val="18"/>
        </w:rPr>
      </w:pPr>
    </w:p>
    <w:p>
      <w:pPr>
        <w:spacing w:line="273" w:lineRule="auto" w:before="1"/>
        <w:ind w:left="163" w:right="304" w:firstLine="0"/>
        <w:jc w:val="center"/>
        <w:rPr>
          <w:rFonts w:ascii="Arial MT"/>
          <w:sz w:val="18"/>
        </w:rPr>
      </w:pPr>
      <w:r>
        <w:rPr>
          <w:rFonts w:ascii="Arial MT"/>
          <w:color w:val="231F1F"/>
          <w:spacing w:val="-6"/>
          <w:sz w:val="18"/>
        </w:rPr>
        <w:t>RS-</w:t>
      </w:r>
      <w:r>
        <w:rPr>
          <w:rFonts w:ascii="Arial MT"/>
          <w:color w:val="231F1F"/>
          <w:spacing w:val="-6"/>
          <w:sz w:val="18"/>
        </w:rPr>
        <w:t>MA </w:t>
      </w:r>
      <w:r>
        <w:rPr>
          <w:rFonts w:ascii="Arial MT"/>
          <w:color w:val="231F1F"/>
          <w:spacing w:val="-4"/>
          <w:sz w:val="18"/>
        </w:rPr>
        <w:t>1++</w:t>
      </w:r>
    </w:p>
    <w:p>
      <w:pPr>
        <w:spacing w:after="0" w:line="273" w:lineRule="auto"/>
        <w:jc w:val="center"/>
        <w:rPr>
          <w:rFonts w:ascii="Arial MT"/>
          <w:sz w:val="18"/>
        </w:rPr>
        <w:sectPr>
          <w:type w:val="continuous"/>
          <w:pgSz w:w="11900" w:h="16840"/>
          <w:pgMar w:header="0" w:footer="622" w:top="560" w:bottom="280" w:left="1417" w:right="1559"/>
          <w:cols w:num="2" w:equalWidth="0">
            <w:col w:w="7597" w:space="50"/>
            <w:col w:w="1277"/>
          </w:cols>
        </w:sectPr>
      </w:pPr>
    </w:p>
    <w:p>
      <w:pPr>
        <w:pStyle w:val="Heading5"/>
        <w:spacing w:before="82"/>
        <w:jc w:val="both"/>
      </w:pPr>
      <w:r>
        <w:rPr>
          <w:color w:val="231F1F"/>
        </w:rPr>
        <w:t>Efectos</w:t>
      </w:r>
      <w:r>
        <w:rPr>
          <w:color w:val="231F1F"/>
          <w:spacing w:val="-10"/>
        </w:rPr>
        <w:t> </w:t>
      </w:r>
      <w:r>
        <w:rPr>
          <w:color w:val="231F1F"/>
        </w:rPr>
        <w:t>en</w:t>
      </w:r>
      <w:r>
        <w:rPr>
          <w:color w:val="231F1F"/>
          <w:spacing w:val="-7"/>
        </w:rPr>
        <w:t> </w:t>
      </w:r>
      <w:r>
        <w:rPr>
          <w:color w:val="231F1F"/>
        </w:rPr>
        <w:t>la</w:t>
      </w:r>
      <w:r>
        <w:rPr>
          <w:color w:val="231F1F"/>
          <w:spacing w:val="-7"/>
        </w:rPr>
        <w:t> </w:t>
      </w:r>
      <w:r>
        <w:rPr>
          <w:color w:val="231F1F"/>
        </w:rPr>
        <w:t>lactancia</w:t>
      </w:r>
      <w:r>
        <w:rPr>
          <w:color w:val="231F1F"/>
          <w:spacing w:val="-7"/>
        </w:rPr>
        <w:t> </w:t>
      </w:r>
      <w:r>
        <w:rPr>
          <w:color w:val="231F1F"/>
          <w:spacing w:val="-2"/>
        </w:rPr>
        <w:t>materna</w:t>
      </w:r>
    </w:p>
    <w:p>
      <w:pPr>
        <w:pStyle w:val="BodyText"/>
        <w:spacing w:line="244" w:lineRule="auto" w:before="214"/>
        <w:ind w:left="283" w:right="1372"/>
        <w:jc w:val="both"/>
      </w:pPr>
      <w:r>
        <w:rPr>
          <w:color w:val="231F1F"/>
          <w:w w:val="110"/>
        </w:rPr>
        <w:t>La</w:t>
      </w:r>
      <w:r>
        <w:rPr>
          <w:color w:val="231F1F"/>
          <w:spacing w:val="-16"/>
          <w:w w:val="110"/>
        </w:rPr>
        <w:t> </w:t>
      </w:r>
      <w:r>
        <w:rPr>
          <w:color w:val="231F1F"/>
          <w:w w:val="110"/>
        </w:rPr>
        <w:t>guía</w:t>
      </w:r>
      <w:r>
        <w:rPr>
          <w:color w:val="231F1F"/>
          <w:spacing w:val="-15"/>
          <w:w w:val="110"/>
        </w:rPr>
        <w:t> </w:t>
      </w:r>
      <w:r>
        <w:rPr>
          <w:color w:val="231F1F"/>
          <w:w w:val="110"/>
        </w:rPr>
        <w:t>NICE</w:t>
      </w:r>
      <w:r>
        <w:rPr>
          <w:color w:val="231F1F"/>
          <w:spacing w:val="-15"/>
          <w:w w:val="110"/>
        </w:rPr>
        <w:t> </w:t>
      </w:r>
      <w:r>
        <w:rPr>
          <w:color w:val="231F1F"/>
          <w:w w:val="110"/>
        </w:rPr>
        <w:t>(10)</w:t>
      </w:r>
      <w:r>
        <w:rPr>
          <w:color w:val="231F1F"/>
          <w:spacing w:val="-15"/>
          <w:w w:val="110"/>
        </w:rPr>
        <w:t> </w:t>
      </w:r>
      <w:r>
        <w:rPr>
          <w:color w:val="231F1F"/>
          <w:w w:val="110"/>
        </w:rPr>
        <w:t>identificó</w:t>
      </w:r>
      <w:r>
        <w:rPr>
          <w:color w:val="231F1F"/>
          <w:spacing w:val="-15"/>
          <w:w w:val="110"/>
        </w:rPr>
        <w:t> </w:t>
      </w:r>
      <w:r>
        <w:rPr>
          <w:color w:val="231F1F"/>
          <w:w w:val="110"/>
        </w:rPr>
        <w:t>dos</w:t>
      </w:r>
      <w:r>
        <w:rPr>
          <w:color w:val="231F1F"/>
          <w:spacing w:val="-15"/>
          <w:w w:val="110"/>
        </w:rPr>
        <w:t> </w:t>
      </w:r>
      <w:r>
        <w:rPr>
          <w:color w:val="231F1F"/>
          <w:w w:val="110"/>
        </w:rPr>
        <w:t>estudios</w:t>
      </w:r>
      <w:r>
        <w:rPr>
          <w:color w:val="231F1F"/>
          <w:spacing w:val="-15"/>
          <w:w w:val="110"/>
        </w:rPr>
        <w:t> </w:t>
      </w:r>
      <w:r>
        <w:rPr>
          <w:color w:val="231F1F"/>
          <w:w w:val="110"/>
        </w:rPr>
        <w:t>publicados</w:t>
      </w:r>
      <w:r>
        <w:rPr>
          <w:color w:val="231F1F"/>
          <w:spacing w:val="-15"/>
          <w:w w:val="110"/>
        </w:rPr>
        <w:t> </w:t>
      </w:r>
      <w:r>
        <w:rPr>
          <w:color w:val="231F1F"/>
          <w:w w:val="110"/>
        </w:rPr>
        <w:t>en</w:t>
      </w:r>
      <w:r>
        <w:rPr>
          <w:color w:val="231F1F"/>
          <w:spacing w:val="-16"/>
          <w:w w:val="110"/>
        </w:rPr>
        <w:t> </w:t>
      </w:r>
      <w:r>
        <w:rPr>
          <w:color w:val="231F1F"/>
          <w:w w:val="110"/>
        </w:rPr>
        <w:t>el</w:t>
      </w:r>
      <w:r>
        <w:rPr>
          <w:color w:val="231F1F"/>
          <w:spacing w:val="-15"/>
          <w:w w:val="110"/>
        </w:rPr>
        <w:t> </w:t>
      </w:r>
      <w:r>
        <w:rPr>
          <w:color w:val="231F1F"/>
          <w:w w:val="110"/>
        </w:rPr>
        <w:t>2005</w:t>
      </w:r>
      <w:r>
        <w:rPr>
          <w:color w:val="231F1F"/>
          <w:spacing w:val="-15"/>
          <w:w w:val="110"/>
        </w:rPr>
        <w:t> </w:t>
      </w:r>
      <w:r>
        <w:rPr>
          <w:color w:val="231F1F"/>
          <w:w w:val="110"/>
        </w:rPr>
        <w:t>que</w:t>
      </w:r>
      <w:r>
        <w:rPr>
          <w:color w:val="231F1F"/>
          <w:spacing w:val="-15"/>
          <w:w w:val="110"/>
        </w:rPr>
        <w:t> </w:t>
      </w:r>
      <w:r>
        <w:rPr>
          <w:color w:val="231F1F"/>
          <w:w w:val="110"/>
        </w:rPr>
        <w:t>investi- garon</w:t>
      </w:r>
      <w:r>
        <w:rPr>
          <w:color w:val="231F1F"/>
          <w:spacing w:val="-6"/>
          <w:w w:val="110"/>
        </w:rPr>
        <w:t> </w:t>
      </w:r>
      <w:r>
        <w:rPr>
          <w:color w:val="231F1F"/>
          <w:w w:val="110"/>
        </w:rPr>
        <w:t>los</w:t>
      </w:r>
      <w:r>
        <w:rPr>
          <w:color w:val="231F1F"/>
          <w:spacing w:val="-6"/>
          <w:w w:val="110"/>
        </w:rPr>
        <w:t> </w:t>
      </w:r>
      <w:r>
        <w:rPr>
          <w:color w:val="231F1F"/>
          <w:w w:val="110"/>
        </w:rPr>
        <w:t>efectos</w:t>
      </w:r>
      <w:r>
        <w:rPr>
          <w:color w:val="231F1F"/>
          <w:spacing w:val="-6"/>
          <w:w w:val="110"/>
        </w:rPr>
        <w:t> </w:t>
      </w:r>
      <w:r>
        <w:rPr>
          <w:color w:val="231F1F"/>
          <w:w w:val="110"/>
        </w:rPr>
        <w:t>de</w:t>
      </w:r>
      <w:r>
        <w:rPr>
          <w:color w:val="231F1F"/>
          <w:spacing w:val="-6"/>
          <w:w w:val="110"/>
        </w:rPr>
        <w:t> </w:t>
      </w:r>
      <w:r>
        <w:rPr>
          <w:color w:val="231F1F"/>
          <w:w w:val="110"/>
        </w:rPr>
        <w:t>fentanilo</w:t>
      </w:r>
      <w:r>
        <w:rPr>
          <w:color w:val="231F1F"/>
          <w:spacing w:val="-6"/>
          <w:w w:val="110"/>
        </w:rPr>
        <w:t> </w:t>
      </w:r>
      <w:r>
        <w:rPr>
          <w:color w:val="231F1F"/>
          <w:w w:val="110"/>
        </w:rPr>
        <w:t>epidural</w:t>
      </w:r>
      <w:r>
        <w:rPr>
          <w:color w:val="231F1F"/>
          <w:spacing w:val="-6"/>
          <w:w w:val="110"/>
        </w:rPr>
        <w:t> </w:t>
      </w:r>
      <w:r>
        <w:rPr>
          <w:color w:val="231F1F"/>
          <w:w w:val="110"/>
        </w:rPr>
        <w:t>en</w:t>
      </w:r>
      <w:r>
        <w:rPr>
          <w:color w:val="231F1F"/>
          <w:spacing w:val="-6"/>
          <w:w w:val="110"/>
        </w:rPr>
        <w:t> </w:t>
      </w:r>
      <w:r>
        <w:rPr>
          <w:color w:val="231F1F"/>
          <w:w w:val="110"/>
        </w:rPr>
        <w:t>la</w:t>
      </w:r>
      <w:r>
        <w:rPr>
          <w:color w:val="231F1F"/>
          <w:spacing w:val="-6"/>
          <w:w w:val="110"/>
        </w:rPr>
        <w:t> </w:t>
      </w:r>
      <w:r>
        <w:rPr>
          <w:color w:val="231F1F"/>
          <w:w w:val="110"/>
        </w:rPr>
        <w:t>lactancia</w:t>
      </w:r>
      <w:r>
        <w:rPr>
          <w:color w:val="231F1F"/>
          <w:spacing w:val="-6"/>
          <w:w w:val="110"/>
        </w:rPr>
        <w:t> </w:t>
      </w:r>
      <w:r>
        <w:rPr>
          <w:color w:val="231F1F"/>
          <w:w w:val="110"/>
        </w:rPr>
        <w:t>materna.</w:t>
      </w:r>
      <w:r>
        <w:rPr>
          <w:color w:val="231F1F"/>
          <w:spacing w:val="-6"/>
          <w:w w:val="110"/>
        </w:rPr>
        <w:t> </w:t>
      </w:r>
      <w:r>
        <w:rPr>
          <w:color w:val="231F1F"/>
          <w:w w:val="110"/>
        </w:rPr>
        <w:t>Un</w:t>
      </w:r>
      <w:r>
        <w:rPr>
          <w:color w:val="231F1F"/>
          <w:spacing w:val="-6"/>
          <w:w w:val="110"/>
        </w:rPr>
        <w:t> </w:t>
      </w:r>
      <w:r>
        <w:rPr>
          <w:color w:val="231F1F"/>
          <w:w w:val="110"/>
        </w:rPr>
        <w:t>ECA</w:t>
      </w:r>
      <w:r>
        <w:rPr>
          <w:color w:val="231F1F"/>
          <w:spacing w:val="-5"/>
          <w:w w:val="110"/>
        </w:rPr>
        <w:t> </w:t>
      </w:r>
      <w:r>
        <w:rPr>
          <w:color w:val="231F1F"/>
          <w:w w:val="110"/>
        </w:rPr>
        <w:t>es- tadounidenses</w:t>
      </w:r>
      <w:r>
        <w:rPr>
          <w:color w:val="231F1F"/>
          <w:spacing w:val="-11"/>
          <w:w w:val="110"/>
        </w:rPr>
        <w:t> </w:t>
      </w:r>
      <w:r>
        <w:rPr>
          <w:color w:val="231F1F"/>
          <w:w w:val="110"/>
        </w:rPr>
        <w:t>de</w:t>
      </w:r>
      <w:r>
        <w:rPr>
          <w:color w:val="231F1F"/>
          <w:spacing w:val="-11"/>
          <w:w w:val="110"/>
        </w:rPr>
        <w:t> </w:t>
      </w:r>
      <w:r>
        <w:rPr>
          <w:color w:val="231F1F"/>
          <w:w w:val="110"/>
        </w:rPr>
        <w:t>buena</w:t>
      </w:r>
      <w:r>
        <w:rPr>
          <w:color w:val="231F1F"/>
          <w:spacing w:val="-11"/>
          <w:w w:val="110"/>
        </w:rPr>
        <w:t> </w:t>
      </w:r>
      <w:r>
        <w:rPr>
          <w:color w:val="231F1F"/>
          <w:w w:val="110"/>
        </w:rPr>
        <w:t>calidad</w:t>
      </w:r>
      <w:r>
        <w:rPr>
          <w:color w:val="231F1F"/>
          <w:spacing w:val="-11"/>
          <w:w w:val="110"/>
        </w:rPr>
        <w:t> </w:t>
      </w:r>
      <w:r>
        <w:rPr>
          <w:color w:val="231F1F"/>
          <w:w w:val="110"/>
        </w:rPr>
        <w:t>(355)</w:t>
      </w:r>
      <w:r>
        <w:rPr>
          <w:color w:val="231F1F"/>
          <w:spacing w:val="-11"/>
          <w:w w:val="110"/>
        </w:rPr>
        <w:t> </w:t>
      </w:r>
      <w:r>
        <w:rPr>
          <w:color w:val="231F1F"/>
          <w:w w:val="110"/>
        </w:rPr>
        <w:t>y</w:t>
      </w:r>
      <w:r>
        <w:rPr>
          <w:color w:val="231F1F"/>
          <w:spacing w:val="-11"/>
          <w:w w:val="110"/>
        </w:rPr>
        <w:t> </w:t>
      </w:r>
      <w:r>
        <w:rPr>
          <w:color w:val="231F1F"/>
          <w:w w:val="110"/>
        </w:rPr>
        <w:t>un</w:t>
      </w:r>
      <w:r>
        <w:rPr>
          <w:color w:val="231F1F"/>
          <w:spacing w:val="-11"/>
          <w:w w:val="110"/>
        </w:rPr>
        <w:t> </w:t>
      </w:r>
      <w:r>
        <w:rPr>
          <w:color w:val="231F1F"/>
          <w:w w:val="110"/>
        </w:rPr>
        <w:t>estudio</w:t>
      </w:r>
      <w:r>
        <w:rPr>
          <w:color w:val="231F1F"/>
          <w:spacing w:val="-10"/>
          <w:w w:val="110"/>
        </w:rPr>
        <w:t> </w:t>
      </w:r>
      <w:r>
        <w:rPr>
          <w:color w:val="231F1F"/>
          <w:w w:val="110"/>
        </w:rPr>
        <w:t>transversal</w:t>
      </w:r>
      <w:r>
        <w:rPr>
          <w:color w:val="231F1F"/>
          <w:spacing w:val="-11"/>
          <w:w w:val="110"/>
        </w:rPr>
        <w:t> </w:t>
      </w:r>
      <w:r>
        <w:rPr>
          <w:color w:val="231F1F"/>
          <w:w w:val="110"/>
        </w:rPr>
        <w:t>retrospectivo del Reino Unido (356).</w:t>
      </w:r>
    </w:p>
    <w:p>
      <w:pPr>
        <w:pStyle w:val="BodyText"/>
        <w:spacing w:line="249" w:lineRule="auto" w:before="139"/>
        <w:ind w:left="283" w:right="1367" w:firstLine="453"/>
        <w:jc w:val="both"/>
      </w:pPr>
      <w:r>
        <w:rPr>
          <w:color w:val="231F1F"/>
          <w:w w:val="105"/>
        </w:rPr>
        <w:t>El</w:t>
      </w:r>
      <w:r>
        <w:rPr>
          <w:color w:val="231F1F"/>
          <w:w w:val="105"/>
        </w:rPr>
        <w:t> ECA</w:t>
      </w:r>
      <w:r>
        <w:rPr>
          <w:color w:val="231F1F"/>
          <w:w w:val="105"/>
        </w:rPr>
        <w:t> estadounidense</w:t>
      </w:r>
      <w:r>
        <w:rPr>
          <w:color w:val="231F1F"/>
          <w:w w:val="105"/>
        </w:rPr>
        <w:t> (355)</w:t>
      </w:r>
      <w:r>
        <w:rPr>
          <w:color w:val="231F1F"/>
          <w:w w:val="105"/>
        </w:rPr>
        <w:t> (2005)</w:t>
      </w:r>
      <w:r>
        <w:rPr>
          <w:color w:val="231F1F"/>
          <w:w w:val="105"/>
        </w:rPr>
        <w:t> incluyó</w:t>
      </w:r>
      <w:r>
        <w:rPr>
          <w:color w:val="231F1F"/>
          <w:w w:val="105"/>
        </w:rPr>
        <w:t> a</w:t>
      </w:r>
      <w:r>
        <w:rPr>
          <w:color w:val="231F1F"/>
          <w:w w:val="105"/>
        </w:rPr>
        <w:t> mujeres</w:t>
      </w:r>
      <w:r>
        <w:rPr>
          <w:color w:val="231F1F"/>
          <w:w w:val="105"/>
        </w:rPr>
        <w:t> que</w:t>
      </w:r>
      <w:r>
        <w:rPr>
          <w:color w:val="231F1F"/>
          <w:w w:val="105"/>
        </w:rPr>
        <w:t> ya</w:t>
      </w:r>
      <w:r>
        <w:rPr>
          <w:color w:val="231F1F"/>
          <w:w w:val="105"/>
        </w:rPr>
        <w:t> habían amamantado</w:t>
      </w:r>
      <w:r>
        <w:rPr>
          <w:color w:val="231F1F"/>
          <w:w w:val="105"/>
        </w:rPr>
        <w:t> previamente,</w:t>
      </w:r>
      <w:r>
        <w:rPr>
          <w:color w:val="231F1F"/>
          <w:w w:val="105"/>
        </w:rPr>
        <w:t> y</w:t>
      </w:r>
      <w:r>
        <w:rPr>
          <w:color w:val="231F1F"/>
          <w:w w:val="105"/>
        </w:rPr>
        <w:t> que</w:t>
      </w:r>
      <w:r>
        <w:rPr>
          <w:color w:val="231F1F"/>
          <w:w w:val="105"/>
        </w:rPr>
        <w:t> solicitaron</w:t>
      </w:r>
      <w:r>
        <w:rPr>
          <w:color w:val="231F1F"/>
          <w:w w:val="105"/>
        </w:rPr>
        <w:t> anestesia</w:t>
      </w:r>
      <w:r>
        <w:rPr>
          <w:color w:val="231F1F"/>
          <w:w w:val="105"/>
        </w:rPr>
        <w:t> epidural</w:t>
      </w:r>
      <w:r>
        <w:rPr>
          <w:color w:val="231F1F"/>
          <w:w w:val="105"/>
        </w:rPr>
        <w:t> para</w:t>
      </w:r>
      <w:r>
        <w:rPr>
          <w:color w:val="231F1F"/>
          <w:w w:val="105"/>
        </w:rPr>
        <w:t> el</w:t>
      </w:r>
      <w:r>
        <w:rPr>
          <w:color w:val="231F1F"/>
          <w:w w:val="105"/>
        </w:rPr>
        <w:t> parto. Las mujeres fueron aleatorizadas a uno de tres siguientes grupos: </w:t>
      </w:r>
      <w:r>
        <w:rPr>
          <w:i/>
          <w:color w:val="231F1F"/>
          <w:w w:val="105"/>
        </w:rPr>
        <w:t>epidural</w:t>
      </w:r>
      <w:r>
        <w:rPr>
          <w:i/>
          <w:color w:val="231F1F"/>
          <w:spacing w:val="-7"/>
          <w:w w:val="105"/>
        </w:rPr>
        <w:t> </w:t>
      </w:r>
      <w:r>
        <w:rPr>
          <w:i/>
          <w:color w:val="231F1F"/>
          <w:w w:val="105"/>
        </w:rPr>
        <w:t>sin fentanilo </w:t>
      </w:r>
      <w:r>
        <w:rPr>
          <w:color w:val="231F1F"/>
          <w:w w:val="105"/>
        </w:rPr>
        <w:t>(n = 60), </w:t>
      </w:r>
      <w:r>
        <w:rPr>
          <w:i/>
          <w:color w:val="231F1F"/>
          <w:w w:val="105"/>
        </w:rPr>
        <w:t>epidural con una dosis intermedia de fentanilo</w:t>
      </w:r>
      <w:r>
        <w:rPr>
          <w:i/>
          <w:color w:val="231F1F"/>
          <w:spacing w:val="-1"/>
          <w:w w:val="105"/>
        </w:rPr>
        <w:t> </w:t>
      </w:r>
      <w:r>
        <w:rPr>
          <w:color w:val="231F1F"/>
          <w:w w:val="105"/>
        </w:rPr>
        <w:t>(1-150 μg ) (n = 59) y </w:t>
      </w:r>
      <w:r>
        <w:rPr>
          <w:i/>
          <w:color w:val="231F1F"/>
          <w:w w:val="105"/>
        </w:rPr>
        <w:t>epidural</w:t>
      </w:r>
      <w:r>
        <w:rPr>
          <w:i/>
          <w:color w:val="231F1F"/>
          <w:spacing w:val="-11"/>
          <w:w w:val="105"/>
        </w:rPr>
        <w:t> </w:t>
      </w:r>
      <w:r>
        <w:rPr>
          <w:i/>
          <w:color w:val="231F1F"/>
          <w:w w:val="105"/>
        </w:rPr>
        <w:t>con</w:t>
      </w:r>
      <w:r>
        <w:rPr>
          <w:i/>
          <w:color w:val="231F1F"/>
          <w:spacing w:val="-10"/>
          <w:w w:val="105"/>
        </w:rPr>
        <w:t> </w:t>
      </w:r>
      <w:r>
        <w:rPr>
          <w:i/>
          <w:color w:val="231F1F"/>
          <w:w w:val="105"/>
        </w:rPr>
        <w:t>alta</w:t>
      </w:r>
      <w:r>
        <w:rPr>
          <w:i/>
          <w:color w:val="231F1F"/>
          <w:spacing w:val="-11"/>
          <w:w w:val="105"/>
        </w:rPr>
        <w:t> </w:t>
      </w:r>
      <w:r>
        <w:rPr>
          <w:i/>
          <w:color w:val="231F1F"/>
          <w:w w:val="105"/>
        </w:rPr>
        <w:t>dosis</w:t>
      </w:r>
      <w:r>
        <w:rPr>
          <w:i/>
          <w:color w:val="231F1F"/>
          <w:spacing w:val="-11"/>
          <w:w w:val="105"/>
        </w:rPr>
        <w:t> </w:t>
      </w:r>
      <w:r>
        <w:rPr>
          <w:i/>
          <w:color w:val="231F1F"/>
          <w:w w:val="105"/>
        </w:rPr>
        <w:t>de</w:t>
      </w:r>
      <w:r>
        <w:rPr>
          <w:i/>
          <w:color w:val="231F1F"/>
          <w:spacing w:val="-11"/>
          <w:w w:val="105"/>
        </w:rPr>
        <w:t> </w:t>
      </w:r>
      <w:r>
        <w:rPr>
          <w:i/>
          <w:color w:val="231F1F"/>
          <w:w w:val="105"/>
        </w:rPr>
        <w:t>fentanilo</w:t>
      </w:r>
      <w:r>
        <w:rPr>
          <w:i/>
          <w:color w:val="231F1F"/>
          <w:spacing w:val="-11"/>
          <w:w w:val="105"/>
        </w:rPr>
        <w:t> </w:t>
      </w:r>
      <w:r>
        <w:rPr>
          <w:color w:val="231F1F"/>
          <w:w w:val="105"/>
        </w:rPr>
        <w:t>(&gt; 150 μg ) (n = 58). Las carac- terísticas demográficas y de parto (&gt;95% de partos vaginales en cada grupo) fueron</w:t>
      </w:r>
      <w:r>
        <w:rPr>
          <w:color w:val="231F1F"/>
          <w:w w:val="105"/>
        </w:rPr>
        <w:t> similares</w:t>
      </w:r>
      <w:r>
        <w:rPr>
          <w:color w:val="231F1F"/>
          <w:w w:val="105"/>
        </w:rPr>
        <w:t> entre</w:t>
      </w:r>
      <w:r>
        <w:rPr>
          <w:color w:val="231F1F"/>
          <w:w w:val="105"/>
        </w:rPr>
        <w:t> los</w:t>
      </w:r>
      <w:r>
        <w:rPr>
          <w:color w:val="231F1F"/>
          <w:w w:val="105"/>
        </w:rPr>
        <w:t> grupos.</w:t>
      </w:r>
      <w:r>
        <w:rPr>
          <w:color w:val="231F1F"/>
          <w:w w:val="105"/>
        </w:rPr>
        <w:t> Las</w:t>
      </w:r>
      <w:r>
        <w:rPr>
          <w:color w:val="231F1F"/>
          <w:w w:val="105"/>
        </w:rPr>
        <w:t> mujeres</w:t>
      </w:r>
      <w:r>
        <w:rPr>
          <w:color w:val="231F1F"/>
          <w:w w:val="105"/>
        </w:rPr>
        <w:t> completaron</w:t>
      </w:r>
      <w:r>
        <w:rPr>
          <w:color w:val="231F1F"/>
          <w:w w:val="105"/>
        </w:rPr>
        <w:t> un</w:t>
      </w:r>
      <w:r>
        <w:rPr>
          <w:color w:val="231F1F"/>
          <w:w w:val="105"/>
        </w:rPr>
        <w:t> cuestionario, que</w:t>
      </w:r>
      <w:r>
        <w:rPr>
          <w:color w:val="231F1F"/>
          <w:w w:val="105"/>
        </w:rPr>
        <w:t> pedía</w:t>
      </w:r>
      <w:r>
        <w:rPr>
          <w:color w:val="231F1F"/>
          <w:w w:val="105"/>
        </w:rPr>
        <w:t> detalles</w:t>
      </w:r>
      <w:r>
        <w:rPr>
          <w:color w:val="231F1F"/>
          <w:w w:val="105"/>
        </w:rPr>
        <w:t> sobre</w:t>
      </w:r>
      <w:r>
        <w:rPr>
          <w:color w:val="231F1F"/>
          <w:w w:val="105"/>
        </w:rPr>
        <w:t> problemas</w:t>
      </w:r>
      <w:r>
        <w:rPr>
          <w:color w:val="231F1F"/>
          <w:w w:val="105"/>
        </w:rPr>
        <w:t> de</w:t>
      </w:r>
      <w:r>
        <w:rPr>
          <w:color w:val="231F1F"/>
          <w:w w:val="105"/>
        </w:rPr>
        <w:t> lactancia</w:t>
      </w:r>
      <w:r>
        <w:rPr>
          <w:color w:val="231F1F"/>
          <w:w w:val="105"/>
        </w:rPr>
        <w:t> y</w:t>
      </w:r>
      <w:r>
        <w:rPr>
          <w:color w:val="231F1F"/>
          <w:w w:val="105"/>
        </w:rPr>
        <w:t> también</w:t>
      </w:r>
      <w:r>
        <w:rPr>
          <w:color w:val="231F1F"/>
          <w:w w:val="105"/>
        </w:rPr>
        <w:t> fueron</w:t>
      </w:r>
      <w:r>
        <w:rPr>
          <w:color w:val="231F1F"/>
          <w:w w:val="105"/>
        </w:rPr>
        <w:t> evaluadas por un especialista en lactancia a las 24h del parto. A las seis semanas se rea- lizó otro cuestionario de seguimiento.</w:t>
      </w:r>
    </w:p>
    <w:p>
      <w:pPr>
        <w:pStyle w:val="BodyText"/>
        <w:tabs>
          <w:tab w:pos="8036" w:val="left" w:leader="none"/>
          <w:tab w:pos="8114" w:val="left" w:leader="none"/>
        </w:tabs>
        <w:spacing w:line="249" w:lineRule="auto" w:before="86"/>
        <w:ind w:left="283" w:right="524" w:firstLine="453"/>
      </w:pPr>
      <w:r>
        <w:rPr>
          <w:color w:val="231F1F"/>
          <w:w w:val="110"/>
        </w:rPr>
        <w:t>Los resultados del cuestionario mostraron que en el plazo de 24 horas</w:t>
      </w:r>
      <w:r>
        <w:rPr>
          <w:color w:val="231F1F"/>
        </w:rPr>
        <w:tab/>
      </w:r>
      <w:r>
        <w:rPr>
          <w:rFonts w:ascii="Arial MT" w:hAnsi="Arial MT"/>
          <w:color w:val="231F1F"/>
          <w:spacing w:val="-12"/>
          <w:w w:val="105"/>
          <w:sz w:val="18"/>
        </w:rPr>
        <w:t>ECA </w:t>
      </w:r>
      <w:r>
        <w:rPr>
          <w:color w:val="231F1F"/>
          <w:w w:val="110"/>
        </w:rPr>
        <w:t>tras el nacimiento, no hubo diferencias estadísticamente significativas entre</w:t>
      </w:r>
      <w:r>
        <w:rPr>
          <w:color w:val="231F1F"/>
        </w:rPr>
        <w:tab/>
        <w:tab/>
      </w:r>
      <w:r>
        <w:rPr>
          <w:rFonts w:ascii="Arial MT" w:hAnsi="Arial MT"/>
          <w:color w:val="231F1F"/>
          <w:spacing w:val="-6"/>
          <w:w w:val="110"/>
          <w:position w:val="4"/>
          <w:sz w:val="18"/>
        </w:rPr>
        <w:t>1+ </w:t>
      </w:r>
      <w:r>
        <w:rPr>
          <w:color w:val="231F1F"/>
          <w:w w:val="110"/>
        </w:rPr>
        <w:t>los tres grupos en el número de mujeres que informaron un problema en la lactancia:</w:t>
      </w:r>
      <w:r>
        <w:rPr>
          <w:color w:val="231F1F"/>
          <w:spacing w:val="-3"/>
          <w:w w:val="110"/>
        </w:rPr>
        <w:t> </w:t>
      </w:r>
      <w:r>
        <w:rPr>
          <w:color w:val="231F1F"/>
          <w:w w:val="110"/>
        </w:rPr>
        <w:t>grupo sin</w:t>
      </w:r>
      <w:r>
        <w:rPr>
          <w:color w:val="231F1F"/>
          <w:spacing w:val="-3"/>
          <w:w w:val="110"/>
        </w:rPr>
        <w:t> </w:t>
      </w:r>
      <w:r>
        <w:rPr>
          <w:color w:val="231F1F"/>
          <w:w w:val="110"/>
        </w:rPr>
        <w:t>fentanilo y</w:t>
      </w:r>
      <w:r>
        <w:rPr>
          <w:color w:val="231F1F"/>
          <w:spacing w:val="-3"/>
          <w:w w:val="110"/>
        </w:rPr>
        <w:t> </w:t>
      </w:r>
      <w:r>
        <w:rPr>
          <w:color w:val="231F1F"/>
          <w:w w:val="110"/>
        </w:rPr>
        <w:t>con dosis</w:t>
      </w:r>
      <w:r>
        <w:rPr>
          <w:color w:val="231F1F"/>
          <w:spacing w:val="-3"/>
          <w:w w:val="110"/>
        </w:rPr>
        <w:t> </w:t>
      </w:r>
      <w:r>
        <w:rPr>
          <w:color w:val="231F1F"/>
          <w:w w:val="110"/>
        </w:rPr>
        <w:t>intermedia de</w:t>
      </w:r>
      <w:r>
        <w:rPr>
          <w:color w:val="231F1F"/>
          <w:spacing w:val="-3"/>
          <w:w w:val="110"/>
        </w:rPr>
        <w:t> </w:t>
      </w:r>
      <w:r>
        <w:rPr>
          <w:color w:val="231F1F"/>
          <w:w w:val="110"/>
        </w:rPr>
        <w:t>fentanilo: n</w:t>
      </w:r>
      <w:r>
        <w:rPr>
          <w:color w:val="231F1F"/>
          <w:spacing w:val="-3"/>
          <w:w w:val="110"/>
        </w:rPr>
        <w:t> </w:t>
      </w:r>
      <w:r>
        <w:rPr>
          <w:color w:val="231F1F"/>
          <w:w w:val="110"/>
        </w:rPr>
        <w:t>= 6</w:t>
      </w:r>
      <w:r>
        <w:rPr>
          <w:color w:val="231F1F"/>
          <w:spacing w:val="-3"/>
          <w:w w:val="110"/>
        </w:rPr>
        <w:t> </w:t>
      </w:r>
      <w:r>
        <w:rPr>
          <w:color w:val="231F1F"/>
          <w:w w:val="110"/>
        </w:rPr>
        <w:t>(10%), frente al grupo con altas dosis de fentanilo: n= 12 (21%), p= 0,09. Tampoco</w:t>
      </w:r>
    </w:p>
    <w:p>
      <w:pPr>
        <w:pStyle w:val="BodyText"/>
        <w:spacing w:line="252" w:lineRule="auto"/>
        <w:ind w:left="283" w:right="1365"/>
        <w:jc w:val="both"/>
      </w:pPr>
      <w:r>
        <w:rPr>
          <w:color w:val="231F1F"/>
          <w:spacing w:val="-2"/>
          <w:w w:val="110"/>
        </w:rPr>
        <w:t>se</w:t>
      </w:r>
      <w:r>
        <w:rPr>
          <w:color w:val="231F1F"/>
          <w:spacing w:val="-8"/>
          <w:w w:val="110"/>
        </w:rPr>
        <w:t> </w:t>
      </w:r>
      <w:r>
        <w:rPr>
          <w:color w:val="231F1F"/>
          <w:spacing w:val="-2"/>
          <w:w w:val="110"/>
        </w:rPr>
        <w:t>observaron</w:t>
      </w:r>
      <w:r>
        <w:rPr>
          <w:color w:val="231F1F"/>
          <w:spacing w:val="-8"/>
          <w:w w:val="110"/>
        </w:rPr>
        <w:t> </w:t>
      </w:r>
      <w:r>
        <w:rPr>
          <w:color w:val="231F1F"/>
          <w:spacing w:val="-2"/>
          <w:w w:val="110"/>
        </w:rPr>
        <w:t>diferencias</w:t>
      </w:r>
      <w:r>
        <w:rPr>
          <w:color w:val="231F1F"/>
          <w:spacing w:val="-8"/>
          <w:w w:val="110"/>
        </w:rPr>
        <w:t> </w:t>
      </w:r>
      <w:r>
        <w:rPr>
          <w:color w:val="231F1F"/>
          <w:spacing w:val="-2"/>
          <w:w w:val="110"/>
        </w:rPr>
        <w:t>en</w:t>
      </w:r>
      <w:r>
        <w:rPr>
          <w:color w:val="231F1F"/>
          <w:spacing w:val="-8"/>
          <w:w w:val="110"/>
        </w:rPr>
        <w:t> </w:t>
      </w:r>
      <w:r>
        <w:rPr>
          <w:color w:val="231F1F"/>
          <w:spacing w:val="-2"/>
          <w:w w:val="110"/>
        </w:rPr>
        <w:t>los</w:t>
      </w:r>
      <w:r>
        <w:rPr>
          <w:color w:val="231F1F"/>
          <w:spacing w:val="-8"/>
          <w:w w:val="110"/>
        </w:rPr>
        <w:t> </w:t>
      </w:r>
      <w:r>
        <w:rPr>
          <w:color w:val="231F1F"/>
          <w:spacing w:val="-2"/>
          <w:w w:val="110"/>
        </w:rPr>
        <w:t>resultados</w:t>
      </w:r>
      <w:r>
        <w:rPr>
          <w:color w:val="231F1F"/>
          <w:spacing w:val="-8"/>
          <w:w w:val="110"/>
        </w:rPr>
        <w:t> </w:t>
      </w:r>
      <w:r>
        <w:rPr>
          <w:color w:val="231F1F"/>
          <w:spacing w:val="-2"/>
          <w:w w:val="110"/>
        </w:rPr>
        <w:t>evaluados</w:t>
      </w:r>
      <w:r>
        <w:rPr>
          <w:color w:val="231F1F"/>
          <w:spacing w:val="-8"/>
          <w:w w:val="110"/>
        </w:rPr>
        <w:t> </w:t>
      </w:r>
      <w:r>
        <w:rPr>
          <w:color w:val="231F1F"/>
          <w:spacing w:val="-2"/>
          <w:w w:val="110"/>
        </w:rPr>
        <w:t>por</w:t>
      </w:r>
      <w:r>
        <w:rPr>
          <w:color w:val="231F1F"/>
          <w:spacing w:val="-8"/>
          <w:w w:val="110"/>
        </w:rPr>
        <w:t> </w:t>
      </w:r>
      <w:r>
        <w:rPr>
          <w:color w:val="231F1F"/>
          <w:spacing w:val="-2"/>
          <w:w w:val="110"/>
        </w:rPr>
        <w:t>los</w:t>
      </w:r>
      <w:r>
        <w:rPr>
          <w:color w:val="231F1F"/>
          <w:spacing w:val="-8"/>
          <w:w w:val="110"/>
        </w:rPr>
        <w:t> </w:t>
      </w:r>
      <w:r>
        <w:rPr>
          <w:color w:val="231F1F"/>
          <w:spacing w:val="-2"/>
          <w:w w:val="110"/>
        </w:rPr>
        <w:t>especialistas</w:t>
      </w:r>
      <w:r>
        <w:rPr>
          <w:color w:val="231F1F"/>
          <w:spacing w:val="-8"/>
          <w:w w:val="110"/>
        </w:rPr>
        <w:t> </w:t>
      </w:r>
      <w:r>
        <w:rPr>
          <w:color w:val="231F1F"/>
          <w:spacing w:val="-2"/>
          <w:w w:val="110"/>
        </w:rPr>
        <w:t>en </w:t>
      </w:r>
      <w:r>
        <w:rPr>
          <w:color w:val="231F1F"/>
        </w:rPr>
        <w:t>lactancia. Se detectaron diferencias estadísticamente significativas en la pun- </w:t>
      </w:r>
      <w:r>
        <w:rPr>
          <w:color w:val="231F1F"/>
          <w:w w:val="110"/>
        </w:rPr>
        <w:t>tuación</w:t>
      </w:r>
      <w:r>
        <w:rPr>
          <w:color w:val="231F1F"/>
          <w:spacing w:val="-16"/>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capacidad</w:t>
      </w:r>
      <w:r>
        <w:rPr>
          <w:color w:val="231F1F"/>
          <w:spacing w:val="-14"/>
          <w:w w:val="110"/>
        </w:rPr>
        <w:t> </w:t>
      </w:r>
      <w:r>
        <w:rPr>
          <w:color w:val="231F1F"/>
          <w:w w:val="110"/>
        </w:rPr>
        <w:t>neurológica</w:t>
      </w:r>
      <w:r>
        <w:rPr>
          <w:color w:val="231F1F"/>
          <w:spacing w:val="-16"/>
          <w:w w:val="110"/>
        </w:rPr>
        <w:t> </w:t>
      </w:r>
      <w:r>
        <w:rPr>
          <w:color w:val="231F1F"/>
          <w:w w:val="110"/>
        </w:rPr>
        <w:t>y</w:t>
      </w:r>
      <w:r>
        <w:rPr>
          <w:color w:val="231F1F"/>
          <w:spacing w:val="-14"/>
          <w:w w:val="110"/>
        </w:rPr>
        <w:t> </w:t>
      </w:r>
      <w:r>
        <w:rPr>
          <w:color w:val="231F1F"/>
          <w:w w:val="110"/>
        </w:rPr>
        <w:t>adaptativa</w:t>
      </w:r>
      <w:r>
        <w:rPr>
          <w:color w:val="231F1F"/>
          <w:spacing w:val="-15"/>
          <w:w w:val="110"/>
        </w:rPr>
        <w:t> </w:t>
      </w:r>
      <w:r>
        <w:rPr>
          <w:color w:val="231F1F"/>
          <w:w w:val="110"/>
        </w:rPr>
        <w:t>del</w:t>
      </w:r>
      <w:r>
        <w:rPr>
          <w:color w:val="231F1F"/>
          <w:spacing w:val="-15"/>
          <w:w w:val="110"/>
        </w:rPr>
        <w:t> </w:t>
      </w:r>
      <w:r>
        <w:rPr>
          <w:color w:val="231F1F"/>
          <w:w w:val="110"/>
        </w:rPr>
        <w:t>bebé,</w:t>
      </w:r>
      <w:r>
        <w:rPr>
          <w:color w:val="231F1F"/>
          <w:spacing w:val="-15"/>
          <w:w w:val="110"/>
        </w:rPr>
        <w:t> </w:t>
      </w:r>
      <w:r>
        <w:rPr>
          <w:color w:val="231F1F"/>
          <w:w w:val="110"/>
        </w:rPr>
        <w:t>con</w:t>
      </w:r>
      <w:r>
        <w:rPr>
          <w:color w:val="231F1F"/>
          <w:spacing w:val="-15"/>
          <w:w w:val="110"/>
        </w:rPr>
        <w:t> </w:t>
      </w:r>
      <w:r>
        <w:rPr>
          <w:color w:val="231F1F"/>
          <w:w w:val="110"/>
        </w:rPr>
        <w:t>puntuaciones </w:t>
      </w:r>
      <w:r>
        <w:rPr>
          <w:color w:val="231F1F"/>
        </w:rPr>
        <w:t>promedias de 35, 34 y 32 en los grupos sin fentanilo, dosis intermedias y altas </w:t>
      </w:r>
      <w:r>
        <w:rPr>
          <w:color w:val="231F1F"/>
          <w:spacing w:val="-2"/>
          <w:w w:val="110"/>
        </w:rPr>
        <w:t>dosis</w:t>
      </w:r>
      <w:r>
        <w:rPr>
          <w:color w:val="231F1F"/>
          <w:spacing w:val="-6"/>
          <w:w w:val="110"/>
        </w:rPr>
        <w:t> </w:t>
      </w:r>
      <w:r>
        <w:rPr>
          <w:color w:val="231F1F"/>
          <w:spacing w:val="-2"/>
          <w:w w:val="110"/>
        </w:rPr>
        <w:t>de</w:t>
      </w:r>
      <w:r>
        <w:rPr>
          <w:color w:val="231F1F"/>
          <w:spacing w:val="-6"/>
          <w:w w:val="110"/>
        </w:rPr>
        <w:t> </w:t>
      </w:r>
      <w:r>
        <w:rPr>
          <w:color w:val="231F1F"/>
          <w:spacing w:val="-2"/>
          <w:w w:val="110"/>
        </w:rPr>
        <w:t>fentanilo,</w:t>
      </w:r>
      <w:r>
        <w:rPr>
          <w:color w:val="231F1F"/>
          <w:spacing w:val="-6"/>
          <w:w w:val="110"/>
        </w:rPr>
        <w:t> </w:t>
      </w:r>
      <w:r>
        <w:rPr>
          <w:color w:val="231F1F"/>
          <w:spacing w:val="-2"/>
          <w:w w:val="110"/>
        </w:rPr>
        <w:t>respectivamente,</w:t>
      </w:r>
      <w:r>
        <w:rPr>
          <w:color w:val="231F1F"/>
          <w:spacing w:val="-6"/>
          <w:w w:val="110"/>
        </w:rPr>
        <w:t> </w:t>
      </w:r>
      <w:r>
        <w:rPr>
          <w:color w:val="231F1F"/>
          <w:spacing w:val="-2"/>
          <w:w w:val="110"/>
        </w:rPr>
        <w:t>aunque</w:t>
      </w:r>
      <w:r>
        <w:rPr>
          <w:color w:val="231F1F"/>
          <w:spacing w:val="-6"/>
          <w:w w:val="110"/>
        </w:rPr>
        <w:t> </w:t>
      </w:r>
      <w:r>
        <w:rPr>
          <w:color w:val="231F1F"/>
          <w:spacing w:val="-2"/>
          <w:w w:val="110"/>
        </w:rPr>
        <w:t>los</w:t>
      </w:r>
      <w:r>
        <w:rPr>
          <w:color w:val="231F1F"/>
          <w:spacing w:val="-7"/>
          <w:w w:val="110"/>
        </w:rPr>
        <w:t> </w:t>
      </w:r>
      <w:r>
        <w:rPr>
          <w:color w:val="231F1F"/>
          <w:spacing w:val="-2"/>
          <w:w w:val="110"/>
        </w:rPr>
        <w:t>investigadores</w:t>
      </w:r>
      <w:r>
        <w:rPr>
          <w:color w:val="231F1F"/>
          <w:spacing w:val="-7"/>
          <w:w w:val="110"/>
        </w:rPr>
        <w:t> </w:t>
      </w:r>
      <w:r>
        <w:rPr>
          <w:color w:val="231F1F"/>
          <w:spacing w:val="-2"/>
          <w:w w:val="110"/>
        </w:rPr>
        <w:t>señalaron</w:t>
      </w:r>
      <w:r>
        <w:rPr>
          <w:color w:val="231F1F"/>
          <w:spacing w:val="-7"/>
          <w:w w:val="110"/>
        </w:rPr>
        <w:t> </w:t>
      </w:r>
      <w:r>
        <w:rPr>
          <w:color w:val="231F1F"/>
          <w:spacing w:val="-2"/>
          <w:w w:val="110"/>
        </w:rPr>
        <w:t>que </w:t>
      </w:r>
      <w:r>
        <w:rPr>
          <w:color w:val="231F1F"/>
        </w:rPr>
        <w:t>la importancia clínica de este hecho es desconocida. Entre las 157 mujeres que </w:t>
      </w:r>
      <w:r>
        <w:rPr>
          <w:color w:val="231F1F"/>
          <w:w w:val="110"/>
        </w:rPr>
        <w:t>respondieron</w:t>
      </w:r>
      <w:r>
        <w:rPr>
          <w:color w:val="231F1F"/>
          <w:spacing w:val="-8"/>
          <w:w w:val="110"/>
        </w:rPr>
        <w:t> </w:t>
      </w:r>
      <w:r>
        <w:rPr>
          <w:color w:val="231F1F"/>
          <w:w w:val="110"/>
        </w:rPr>
        <w:t>al</w:t>
      </w:r>
      <w:r>
        <w:rPr>
          <w:color w:val="231F1F"/>
          <w:spacing w:val="-10"/>
          <w:w w:val="110"/>
        </w:rPr>
        <w:t> </w:t>
      </w:r>
      <w:r>
        <w:rPr>
          <w:color w:val="231F1F"/>
          <w:w w:val="110"/>
        </w:rPr>
        <w:t>cuestionario</w:t>
      </w:r>
      <w:r>
        <w:rPr>
          <w:color w:val="231F1F"/>
          <w:spacing w:val="-8"/>
          <w:w w:val="110"/>
        </w:rPr>
        <w:t> </w:t>
      </w:r>
      <w:r>
        <w:rPr>
          <w:color w:val="231F1F"/>
          <w:w w:val="110"/>
        </w:rPr>
        <w:t>de</w:t>
      </w:r>
      <w:r>
        <w:rPr>
          <w:color w:val="231F1F"/>
          <w:spacing w:val="-9"/>
          <w:w w:val="110"/>
        </w:rPr>
        <w:t> </w:t>
      </w:r>
      <w:r>
        <w:rPr>
          <w:color w:val="231F1F"/>
          <w:w w:val="110"/>
        </w:rPr>
        <w:t>seguimiento</w:t>
      </w:r>
      <w:r>
        <w:rPr>
          <w:color w:val="231F1F"/>
          <w:spacing w:val="-10"/>
          <w:w w:val="110"/>
        </w:rPr>
        <w:t> </w:t>
      </w:r>
      <w:r>
        <w:rPr>
          <w:color w:val="231F1F"/>
          <w:w w:val="110"/>
        </w:rPr>
        <w:t>a</w:t>
      </w:r>
      <w:r>
        <w:rPr>
          <w:color w:val="231F1F"/>
          <w:spacing w:val="-9"/>
          <w:w w:val="110"/>
        </w:rPr>
        <w:t> </w:t>
      </w:r>
      <w:r>
        <w:rPr>
          <w:color w:val="231F1F"/>
          <w:w w:val="110"/>
        </w:rPr>
        <w:t>las</w:t>
      </w:r>
      <w:r>
        <w:rPr>
          <w:color w:val="231F1F"/>
          <w:spacing w:val="-9"/>
          <w:w w:val="110"/>
        </w:rPr>
        <w:t> </w:t>
      </w:r>
      <w:r>
        <w:rPr>
          <w:color w:val="231F1F"/>
          <w:w w:val="110"/>
        </w:rPr>
        <w:t>seis</w:t>
      </w:r>
      <w:r>
        <w:rPr>
          <w:color w:val="231F1F"/>
          <w:spacing w:val="-10"/>
          <w:w w:val="110"/>
        </w:rPr>
        <w:t> </w:t>
      </w:r>
      <w:r>
        <w:rPr>
          <w:color w:val="231F1F"/>
          <w:w w:val="110"/>
        </w:rPr>
        <w:t>semanas,</w:t>
      </w:r>
      <w:r>
        <w:rPr>
          <w:color w:val="231F1F"/>
          <w:spacing w:val="-10"/>
          <w:w w:val="110"/>
        </w:rPr>
        <w:t> </w:t>
      </w:r>
      <w:r>
        <w:rPr>
          <w:color w:val="231F1F"/>
          <w:w w:val="110"/>
        </w:rPr>
        <w:t>14</w:t>
      </w:r>
      <w:r>
        <w:rPr>
          <w:color w:val="231F1F"/>
          <w:spacing w:val="-9"/>
          <w:w w:val="110"/>
        </w:rPr>
        <w:t> </w:t>
      </w:r>
      <w:r>
        <w:rPr>
          <w:color w:val="231F1F"/>
          <w:w w:val="110"/>
        </w:rPr>
        <w:t>(9</w:t>
      </w:r>
      <w:r>
        <w:rPr>
          <w:color w:val="231F1F"/>
          <w:spacing w:val="-9"/>
          <w:w w:val="110"/>
        </w:rPr>
        <w:t> </w:t>
      </w:r>
      <w:r>
        <w:rPr>
          <w:color w:val="231F1F"/>
          <w:w w:val="110"/>
        </w:rPr>
        <w:t>%)</w:t>
      </w:r>
      <w:r>
        <w:rPr>
          <w:color w:val="231F1F"/>
          <w:spacing w:val="-10"/>
          <w:w w:val="110"/>
        </w:rPr>
        <w:t> </w:t>
      </w:r>
      <w:r>
        <w:rPr>
          <w:color w:val="231F1F"/>
          <w:w w:val="110"/>
        </w:rPr>
        <w:t>no seguían</w:t>
      </w:r>
      <w:r>
        <w:rPr>
          <w:color w:val="231F1F"/>
          <w:spacing w:val="-15"/>
          <w:w w:val="110"/>
        </w:rPr>
        <w:t> </w:t>
      </w:r>
      <w:r>
        <w:rPr>
          <w:color w:val="231F1F"/>
          <w:w w:val="110"/>
        </w:rPr>
        <w:t>con</w:t>
      </w:r>
      <w:r>
        <w:rPr>
          <w:color w:val="231F1F"/>
          <w:spacing w:val="-14"/>
          <w:w w:val="110"/>
        </w:rPr>
        <w:t> </w:t>
      </w:r>
      <w:r>
        <w:rPr>
          <w:color w:val="231F1F"/>
          <w:w w:val="110"/>
        </w:rPr>
        <w:t>la</w:t>
      </w:r>
      <w:r>
        <w:rPr>
          <w:color w:val="231F1F"/>
          <w:spacing w:val="-14"/>
          <w:w w:val="110"/>
        </w:rPr>
        <w:t> </w:t>
      </w:r>
      <w:r>
        <w:rPr>
          <w:color w:val="231F1F"/>
          <w:w w:val="110"/>
        </w:rPr>
        <w:t>lactancia</w:t>
      </w:r>
      <w:r>
        <w:rPr>
          <w:color w:val="231F1F"/>
          <w:spacing w:val="-14"/>
          <w:w w:val="110"/>
        </w:rPr>
        <w:t> </w:t>
      </w:r>
      <w:r>
        <w:rPr>
          <w:color w:val="231F1F"/>
          <w:w w:val="110"/>
        </w:rPr>
        <w:t>materna:</w:t>
      </w:r>
      <w:r>
        <w:rPr>
          <w:color w:val="231F1F"/>
          <w:spacing w:val="-14"/>
          <w:w w:val="110"/>
        </w:rPr>
        <w:t> </w:t>
      </w:r>
      <w:r>
        <w:rPr>
          <w:color w:val="231F1F"/>
          <w:w w:val="110"/>
        </w:rPr>
        <w:t>una</w:t>
      </w:r>
      <w:r>
        <w:rPr>
          <w:color w:val="231F1F"/>
          <w:spacing w:val="-14"/>
          <w:w w:val="110"/>
        </w:rPr>
        <w:t> </w:t>
      </w:r>
      <w:r>
        <w:rPr>
          <w:color w:val="231F1F"/>
          <w:w w:val="110"/>
        </w:rPr>
        <w:t>mujer</w:t>
      </w:r>
      <w:r>
        <w:rPr>
          <w:color w:val="231F1F"/>
          <w:spacing w:val="-15"/>
          <w:w w:val="110"/>
        </w:rPr>
        <w:t> </w:t>
      </w:r>
      <w:r>
        <w:rPr>
          <w:color w:val="231F1F"/>
          <w:w w:val="110"/>
        </w:rPr>
        <w:t>en</w:t>
      </w:r>
      <w:r>
        <w:rPr>
          <w:color w:val="231F1F"/>
          <w:spacing w:val="-14"/>
          <w:w w:val="110"/>
        </w:rPr>
        <w:t> </w:t>
      </w:r>
      <w:r>
        <w:rPr>
          <w:color w:val="231F1F"/>
          <w:w w:val="110"/>
        </w:rPr>
        <w:t>el</w:t>
      </w:r>
      <w:r>
        <w:rPr>
          <w:color w:val="231F1F"/>
          <w:spacing w:val="-15"/>
          <w:w w:val="110"/>
        </w:rPr>
        <w:t> </w:t>
      </w:r>
      <w:r>
        <w:rPr>
          <w:color w:val="231F1F"/>
          <w:w w:val="110"/>
        </w:rPr>
        <w:t>grupo</w:t>
      </w:r>
      <w:r>
        <w:rPr>
          <w:color w:val="231F1F"/>
          <w:spacing w:val="-14"/>
          <w:w w:val="110"/>
        </w:rPr>
        <w:t> </w:t>
      </w:r>
      <w:r>
        <w:rPr>
          <w:color w:val="231F1F"/>
          <w:w w:val="110"/>
        </w:rPr>
        <w:t>sin</w:t>
      </w:r>
      <w:r>
        <w:rPr>
          <w:color w:val="231F1F"/>
          <w:spacing w:val="-14"/>
          <w:w w:val="110"/>
        </w:rPr>
        <w:t> </w:t>
      </w:r>
      <w:r>
        <w:rPr>
          <w:color w:val="231F1F"/>
          <w:w w:val="110"/>
        </w:rPr>
        <w:t>fentanilo,</w:t>
      </w:r>
      <w:r>
        <w:rPr>
          <w:color w:val="231F1F"/>
          <w:spacing w:val="-14"/>
          <w:w w:val="110"/>
        </w:rPr>
        <w:t> </w:t>
      </w:r>
      <w:r>
        <w:rPr>
          <w:color w:val="231F1F"/>
          <w:w w:val="110"/>
        </w:rPr>
        <w:t>tres</w:t>
      </w:r>
      <w:r>
        <w:rPr>
          <w:color w:val="231F1F"/>
          <w:spacing w:val="-15"/>
          <w:w w:val="110"/>
        </w:rPr>
        <w:t> </w:t>
      </w:r>
      <w:r>
        <w:rPr>
          <w:color w:val="231F1F"/>
          <w:w w:val="110"/>
        </w:rPr>
        <w:t>en </w:t>
      </w:r>
      <w:r>
        <w:rPr>
          <w:color w:val="231F1F"/>
          <w:spacing w:val="-2"/>
          <w:w w:val="110"/>
        </w:rPr>
        <w:t>el</w:t>
      </w:r>
      <w:r>
        <w:rPr>
          <w:color w:val="231F1F"/>
          <w:spacing w:val="-10"/>
          <w:w w:val="110"/>
        </w:rPr>
        <w:t> </w:t>
      </w:r>
      <w:r>
        <w:rPr>
          <w:color w:val="231F1F"/>
          <w:spacing w:val="-2"/>
          <w:w w:val="110"/>
        </w:rPr>
        <w:t>grupo</w:t>
      </w:r>
      <w:r>
        <w:rPr>
          <w:color w:val="231F1F"/>
          <w:spacing w:val="-9"/>
          <w:w w:val="110"/>
        </w:rPr>
        <w:t> </w:t>
      </w:r>
      <w:r>
        <w:rPr>
          <w:color w:val="231F1F"/>
          <w:spacing w:val="-2"/>
          <w:w w:val="110"/>
        </w:rPr>
        <w:t>de</w:t>
      </w:r>
      <w:r>
        <w:rPr>
          <w:color w:val="231F1F"/>
          <w:spacing w:val="-9"/>
          <w:w w:val="110"/>
        </w:rPr>
        <w:t> </w:t>
      </w:r>
      <w:r>
        <w:rPr>
          <w:color w:val="231F1F"/>
          <w:spacing w:val="-2"/>
          <w:w w:val="110"/>
        </w:rPr>
        <w:t>dosis</w:t>
      </w:r>
      <w:r>
        <w:rPr>
          <w:color w:val="231F1F"/>
          <w:spacing w:val="-9"/>
          <w:w w:val="110"/>
        </w:rPr>
        <w:t> </w:t>
      </w:r>
      <w:r>
        <w:rPr>
          <w:color w:val="231F1F"/>
          <w:spacing w:val="-2"/>
          <w:w w:val="110"/>
        </w:rPr>
        <w:t>intermedias</w:t>
      </w:r>
      <w:r>
        <w:rPr>
          <w:color w:val="231F1F"/>
          <w:spacing w:val="-10"/>
          <w:w w:val="110"/>
        </w:rPr>
        <w:t> </w:t>
      </w:r>
      <w:r>
        <w:rPr>
          <w:color w:val="231F1F"/>
          <w:spacing w:val="-2"/>
          <w:w w:val="110"/>
        </w:rPr>
        <w:t>de</w:t>
      </w:r>
      <w:r>
        <w:rPr>
          <w:color w:val="231F1F"/>
          <w:spacing w:val="-9"/>
          <w:w w:val="110"/>
        </w:rPr>
        <w:t> </w:t>
      </w:r>
      <w:r>
        <w:rPr>
          <w:color w:val="231F1F"/>
          <w:spacing w:val="-2"/>
          <w:w w:val="110"/>
        </w:rPr>
        <w:t>fentanilo</w:t>
      </w:r>
      <w:r>
        <w:rPr>
          <w:color w:val="231F1F"/>
          <w:spacing w:val="-9"/>
          <w:w w:val="110"/>
        </w:rPr>
        <w:t> </w:t>
      </w:r>
      <w:r>
        <w:rPr>
          <w:color w:val="231F1F"/>
          <w:spacing w:val="-2"/>
          <w:w w:val="110"/>
        </w:rPr>
        <w:t>y</w:t>
      </w:r>
      <w:r>
        <w:rPr>
          <w:color w:val="231F1F"/>
          <w:spacing w:val="-9"/>
          <w:w w:val="110"/>
        </w:rPr>
        <w:t> </w:t>
      </w:r>
      <w:r>
        <w:rPr>
          <w:color w:val="231F1F"/>
          <w:spacing w:val="-2"/>
          <w:w w:val="110"/>
        </w:rPr>
        <w:t>diez</w:t>
      </w:r>
      <w:r>
        <w:rPr>
          <w:color w:val="231F1F"/>
          <w:spacing w:val="-10"/>
          <w:w w:val="110"/>
        </w:rPr>
        <w:t> </w:t>
      </w:r>
      <w:r>
        <w:rPr>
          <w:color w:val="231F1F"/>
          <w:spacing w:val="-2"/>
          <w:w w:val="110"/>
        </w:rPr>
        <w:t>en</w:t>
      </w:r>
      <w:r>
        <w:rPr>
          <w:color w:val="231F1F"/>
          <w:spacing w:val="-9"/>
          <w:w w:val="110"/>
        </w:rPr>
        <w:t> </w:t>
      </w:r>
      <w:r>
        <w:rPr>
          <w:color w:val="231F1F"/>
          <w:spacing w:val="-2"/>
          <w:w w:val="110"/>
        </w:rPr>
        <w:t>el</w:t>
      </w:r>
      <w:r>
        <w:rPr>
          <w:color w:val="231F1F"/>
          <w:spacing w:val="-10"/>
          <w:w w:val="110"/>
        </w:rPr>
        <w:t> </w:t>
      </w:r>
      <w:r>
        <w:rPr>
          <w:color w:val="231F1F"/>
          <w:spacing w:val="-2"/>
          <w:w w:val="110"/>
        </w:rPr>
        <w:t>grupo</w:t>
      </w:r>
      <w:r>
        <w:rPr>
          <w:color w:val="231F1F"/>
          <w:spacing w:val="-9"/>
          <w:w w:val="110"/>
        </w:rPr>
        <w:t> </w:t>
      </w:r>
      <w:r>
        <w:rPr>
          <w:color w:val="231F1F"/>
          <w:spacing w:val="-2"/>
          <w:w w:val="110"/>
        </w:rPr>
        <w:t>fentanilo</w:t>
      </w:r>
      <w:r>
        <w:rPr>
          <w:color w:val="231F1F"/>
          <w:spacing w:val="-9"/>
          <w:w w:val="110"/>
        </w:rPr>
        <w:t> </w:t>
      </w:r>
      <w:r>
        <w:rPr>
          <w:color w:val="231F1F"/>
          <w:spacing w:val="-2"/>
          <w:w w:val="110"/>
        </w:rPr>
        <w:t>a</w:t>
      </w:r>
      <w:r>
        <w:rPr>
          <w:color w:val="231F1F"/>
          <w:spacing w:val="-9"/>
          <w:w w:val="110"/>
        </w:rPr>
        <w:t> </w:t>
      </w:r>
      <w:r>
        <w:rPr>
          <w:color w:val="231F1F"/>
          <w:spacing w:val="-2"/>
          <w:w w:val="110"/>
        </w:rPr>
        <w:t>dosis </w:t>
      </w:r>
      <w:r>
        <w:rPr>
          <w:color w:val="231F1F"/>
          <w:w w:val="110"/>
        </w:rPr>
        <w:t>altas,</w:t>
      </w:r>
      <w:r>
        <w:rPr>
          <w:color w:val="231F1F"/>
          <w:spacing w:val="-16"/>
          <w:w w:val="110"/>
        </w:rPr>
        <w:t> </w:t>
      </w:r>
      <w:r>
        <w:rPr>
          <w:color w:val="231F1F"/>
          <w:w w:val="110"/>
        </w:rPr>
        <w:t>p=</w:t>
      </w:r>
      <w:r>
        <w:rPr>
          <w:color w:val="231F1F"/>
          <w:spacing w:val="-15"/>
          <w:w w:val="110"/>
        </w:rPr>
        <w:t> </w:t>
      </w:r>
      <w:r>
        <w:rPr>
          <w:color w:val="231F1F"/>
          <w:w w:val="110"/>
        </w:rPr>
        <w:t>0,002.</w:t>
      </w:r>
      <w:r>
        <w:rPr>
          <w:color w:val="231F1F"/>
          <w:spacing w:val="-15"/>
          <w:w w:val="110"/>
        </w:rPr>
        <w:t> </w:t>
      </w:r>
      <w:r>
        <w:rPr>
          <w:color w:val="231F1F"/>
          <w:w w:val="110"/>
        </w:rPr>
        <w:t>Cuando</w:t>
      </w:r>
      <w:r>
        <w:rPr>
          <w:color w:val="231F1F"/>
          <w:spacing w:val="-15"/>
          <w:w w:val="110"/>
        </w:rPr>
        <w:t> </w:t>
      </w:r>
      <w:r>
        <w:rPr>
          <w:color w:val="231F1F"/>
          <w:w w:val="110"/>
        </w:rPr>
        <w:t>las</w:t>
      </w:r>
      <w:r>
        <w:rPr>
          <w:color w:val="231F1F"/>
          <w:spacing w:val="-15"/>
          <w:w w:val="110"/>
        </w:rPr>
        <w:t> </w:t>
      </w:r>
      <w:r>
        <w:rPr>
          <w:color w:val="231F1F"/>
          <w:w w:val="110"/>
        </w:rPr>
        <w:t>mujeres</w:t>
      </w:r>
      <w:r>
        <w:rPr>
          <w:color w:val="231F1F"/>
          <w:spacing w:val="-15"/>
          <w:w w:val="110"/>
        </w:rPr>
        <w:t> </w:t>
      </w:r>
      <w:r>
        <w:rPr>
          <w:color w:val="231F1F"/>
          <w:w w:val="110"/>
        </w:rPr>
        <w:t>informaban</w:t>
      </w:r>
      <w:r>
        <w:rPr>
          <w:color w:val="231F1F"/>
          <w:spacing w:val="-15"/>
          <w:w w:val="110"/>
        </w:rPr>
        <w:t> </w:t>
      </w:r>
      <w:r>
        <w:rPr>
          <w:color w:val="231F1F"/>
          <w:w w:val="110"/>
        </w:rPr>
        <w:t>de</w:t>
      </w:r>
      <w:r>
        <w:rPr>
          <w:color w:val="231F1F"/>
          <w:spacing w:val="-15"/>
          <w:w w:val="110"/>
        </w:rPr>
        <w:t> </w:t>
      </w:r>
      <w:r>
        <w:rPr>
          <w:color w:val="231F1F"/>
          <w:w w:val="110"/>
        </w:rPr>
        <w:t>algún</w:t>
      </w:r>
      <w:r>
        <w:rPr>
          <w:color w:val="231F1F"/>
          <w:spacing w:val="-16"/>
          <w:w w:val="110"/>
        </w:rPr>
        <w:t> </w:t>
      </w:r>
      <w:r>
        <w:rPr>
          <w:color w:val="231F1F"/>
          <w:w w:val="110"/>
        </w:rPr>
        <w:t>problema</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lac- tancia</w:t>
      </w:r>
      <w:r>
        <w:rPr>
          <w:color w:val="231F1F"/>
          <w:spacing w:val="-5"/>
          <w:w w:val="110"/>
        </w:rPr>
        <w:t> </w:t>
      </w:r>
      <w:r>
        <w:rPr>
          <w:color w:val="231F1F"/>
          <w:w w:val="110"/>
        </w:rPr>
        <w:t>dentro</w:t>
      </w:r>
      <w:r>
        <w:rPr>
          <w:color w:val="231F1F"/>
          <w:spacing w:val="-5"/>
          <w:w w:val="110"/>
        </w:rPr>
        <w:t> </w:t>
      </w:r>
      <w:r>
        <w:rPr>
          <w:color w:val="231F1F"/>
          <w:w w:val="110"/>
        </w:rPr>
        <w:t>de</w:t>
      </w:r>
      <w:r>
        <w:rPr>
          <w:color w:val="231F1F"/>
          <w:spacing w:val="-5"/>
          <w:w w:val="110"/>
        </w:rPr>
        <w:t> </w:t>
      </w:r>
      <w:r>
        <w:rPr>
          <w:color w:val="231F1F"/>
          <w:w w:val="110"/>
        </w:rPr>
        <w:t>las</w:t>
      </w:r>
      <w:r>
        <w:rPr>
          <w:color w:val="231F1F"/>
          <w:spacing w:val="-5"/>
          <w:w w:val="110"/>
        </w:rPr>
        <w:t> </w:t>
      </w:r>
      <w:r>
        <w:rPr>
          <w:color w:val="231F1F"/>
          <w:w w:val="110"/>
        </w:rPr>
        <w:t>24</w:t>
      </w:r>
      <w:r>
        <w:rPr>
          <w:color w:val="231F1F"/>
          <w:spacing w:val="-5"/>
          <w:w w:val="110"/>
        </w:rPr>
        <w:t> </w:t>
      </w:r>
      <w:r>
        <w:rPr>
          <w:color w:val="231F1F"/>
          <w:w w:val="110"/>
        </w:rPr>
        <w:t>horas</w:t>
      </w:r>
      <w:r>
        <w:rPr>
          <w:color w:val="231F1F"/>
          <w:spacing w:val="-6"/>
          <w:w w:val="110"/>
        </w:rPr>
        <w:t> </w:t>
      </w:r>
      <w:r>
        <w:rPr>
          <w:color w:val="231F1F"/>
          <w:w w:val="110"/>
        </w:rPr>
        <w:t>del</w:t>
      </w:r>
      <w:r>
        <w:rPr>
          <w:color w:val="231F1F"/>
          <w:spacing w:val="-6"/>
          <w:w w:val="110"/>
        </w:rPr>
        <w:t> </w:t>
      </w:r>
      <w:r>
        <w:rPr>
          <w:color w:val="231F1F"/>
          <w:w w:val="110"/>
        </w:rPr>
        <w:t>nacimiento,</w:t>
      </w:r>
      <w:r>
        <w:rPr>
          <w:color w:val="231F1F"/>
          <w:spacing w:val="-6"/>
          <w:w w:val="110"/>
        </w:rPr>
        <w:t> </w:t>
      </w:r>
      <w:r>
        <w:rPr>
          <w:color w:val="231F1F"/>
          <w:w w:val="110"/>
        </w:rPr>
        <w:t>era</w:t>
      </w:r>
      <w:r>
        <w:rPr>
          <w:color w:val="231F1F"/>
          <w:spacing w:val="-5"/>
          <w:w w:val="110"/>
        </w:rPr>
        <w:t> </w:t>
      </w:r>
      <w:r>
        <w:rPr>
          <w:color w:val="231F1F"/>
          <w:w w:val="110"/>
        </w:rPr>
        <w:t>más</w:t>
      </w:r>
      <w:r>
        <w:rPr>
          <w:color w:val="231F1F"/>
          <w:spacing w:val="-5"/>
          <w:w w:val="110"/>
        </w:rPr>
        <w:t> </w:t>
      </w:r>
      <w:r>
        <w:rPr>
          <w:color w:val="231F1F"/>
          <w:w w:val="110"/>
        </w:rPr>
        <w:t>probable</w:t>
      </w:r>
      <w:r>
        <w:rPr>
          <w:color w:val="231F1F"/>
          <w:spacing w:val="-5"/>
          <w:w w:val="110"/>
        </w:rPr>
        <w:t> </w:t>
      </w:r>
      <w:r>
        <w:rPr>
          <w:color w:val="231F1F"/>
          <w:w w:val="110"/>
        </w:rPr>
        <w:t>que</w:t>
      </w:r>
      <w:r>
        <w:rPr>
          <w:color w:val="231F1F"/>
          <w:spacing w:val="-5"/>
          <w:w w:val="110"/>
        </w:rPr>
        <w:t> </w:t>
      </w:r>
      <w:r>
        <w:rPr>
          <w:color w:val="231F1F"/>
          <w:w w:val="110"/>
        </w:rPr>
        <w:t>no</w:t>
      </w:r>
      <w:r>
        <w:rPr>
          <w:color w:val="231F1F"/>
          <w:spacing w:val="-5"/>
          <w:w w:val="110"/>
        </w:rPr>
        <w:t> </w:t>
      </w:r>
      <w:r>
        <w:rPr>
          <w:color w:val="231F1F"/>
          <w:w w:val="110"/>
        </w:rPr>
        <w:t>man- tuvieran</w:t>
      </w:r>
      <w:r>
        <w:rPr>
          <w:color w:val="231F1F"/>
          <w:spacing w:val="-5"/>
          <w:w w:val="110"/>
        </w:rPr>
        <w:t> </w:t>
      </w:r>
      <w:r>
        <w:rPr>
          <w:color w:val="231F1F"/>
          <w:w w:val="110"/>
        </w:rPr>
        <w:t>la</w:t>
      </w:r>
      <w:r>
        <w:rPr>
          <w:color w:val="231F1F"/>
          <w:spacing w:val="-5"/>
          <w:w w:val="110"/>
        </w:rPr>
        <w:t> </w:t>
      </w:r>
      <w:r>
        <w:rPr>
          <w:color w:val="231F1F"/>
          <w:w w:val="110"/>
        </w:rPr>
        <w:t>lactancia</w:t>
      </w:r>
      <w:r>
        <w:rPr>
          <w:color w:val="231F1F"/>
          <w:spacing w:val="-4"/>
          <w:w w:val="110"/>
        </w:rPr>
        <w:t> </w:t>
      </w:r>
      <w:r>
        <w:rPr>
          <w:color w:val="231F1F"/>
          <w:w w:val="110"/>
        </w:rPr>
        <w:t>en</w:t>
      </w:r>
      <w:r>
        <w:rPr>
          <w:color w:val="231F1F"/>
          <w:spacing w:val="-5"/>
          <w:w w:val="110"/>
        </w:rPr>
        <w:t> </w:t>
      </w:r>
      <w:r>
        <w:rPr>
          <w:color w:val="231F1F"/>
          <w:w w:val="110"/>
        </w:rPr>
        <w:t>la</w:t>
      </w:r>
      <w:r>
        <w:rPr>
          <w:color w:val="231F1F"/>
          <w:spacing w:val="-5"/>
          <w:w w:val="110"/>
        </w:rPr>
        <w:t> </w:t>
      </w:r>
      <w:r>
        <w:rPr>
          <w:color w:val="231F1F"/>
          <w:w w:val="110"/>
        </w:rPr>
        <w:t>sexta</w:t>
      </w:r>
      <w:r>
        <w:rPr>
          <w:color w:val="231F1F"/>
          <w:spacing w:val="-5"/>
          <w:w w:val="110"/>
        </w:rPr>
        <w:t> </w:t>
      </w:r>
      <w:r>
        <w:rPr>
          <w:color w:val="231F1F"/>
          <w:w w:val="110"/>
        </w:rPr>
        <w:t>semana,</w:t>
      </w:r>
      <w:r>
        <w:rPr>
          <w:color w:val="231F1F"/>
          <w:spacing w:val="-6"/>
          <w:w w:val="110"/>
        </w:rPr>
        <w:t> </w:t>
      </w:r>
      <w:r>
        <w:rPr>
          <w:color w:val="231F1F"/>
          <w:w w:val="110"/>
        </w:rPr>
        <w:t>comparado</w:t>
      </w:r>
      <w:r>
        <w:rPr>
          <w:color w:val="231F1F"/>
          <w:spacing w:val="-4"/>
          <w:w w:val="110"/>
        </w:rPr>
        <w:t> </w:t>
      </w:r>
      <w:r>
        <w:rPr>
          <w:color w:val="231F1F"/>
          <w:w w:val="110"/>
        </w:rPr>
        <w:t>con</w:t>
      </w:r>
      <w:r>
        <w:rPr>
          <w:color w:val="231F1F"/>
          <w:spacing w:val="-4"/>
          <w:w w:val="110"/>
        </w:rPr>
        <w:t> </w:t>
      </w:r>
      <w:r>
        <w:rPr>
          <w:color w:val="231F1F"/>
          <w:w w:val="110"/>
        </w:rPr>
        <w:t>las</w:t>
      </w:r>
      <w:r>
        <w:rPr>
          <w:color w:val="231F1F"/>
          <w:spacing w:val="-5"/>
          <w:w w:val="110"/>
        </w:rPr>
        <w:t> </w:t>
      </w:r>
      <w:r>
        <w:rPr>
          <w:color w:val="231F1F"/>
          <w:w w:val="110"/>
        </w:rPr>
        <w:t>mujeres</w:t>
      </w:r>
      <w:r>
        <w:rPr>
          <w:color w:val="231F1F"/>
          <w:spacing w:val="-4"/>
          <w:w w:val="110"/>
        </w:rPr>
        <w:t> </w:t>
      </w:r>
      <w:r>
        <w:rPr>
          <w:color w:val="231F1F"/>
          <w:w w:val="110"/>
        </w:rPr>
        <w:t>que</w:t>
      </w:r>
      <w:r>
        <w:rPr>
          <w:color w:val="231F1F"/>
          <w:spacing w:val="-5"/>
          <w:w w:val="110"/>
        </w:rPr>
        <w:t> </w:t>
      </w:r>
      <w:r>
        <w:rPr>
          <w:color w:val="231F1F"/>
          <w:w w:val="110"/>
        </w:rPr>
        <w:t>no tuvieron problemas de lactancia: 29% frente a 6%, p= 0,004. Además, los recién nacidos (con concentraciones mayores de 200 pg/ml de fentanilo en sangre de cordón umbilical) de madres del grupo de fentanilo a altas dosis tuvieron</w:t>
      </w:r>
      <w:r>
        <w:rPr>
          <w:color w:val="231F1F"/>
          <w:spacing w:val="-1"/>
          <w:w w:val="110"/>
        </w:rPr>
        <w:t> </w:t>
      </w:r>
      <w:r>
        <w:rPr>
          <w:color w:val="231F1F"/>
          <w:w w:val="110"/>
        </w:rPr>
        <w:t>menos</w:t>
      </w:r>
      <w:r>
        <w:rPr>
          <w:color w:val="231F1F"/>
          <w:spacing w:val="-1"/>
          <w:w w:val="110"/>
        </w:rPr>
        <w:t> </w:t>
      </w:r>
      <w:r>
        <w:rPr>
          <w:color w:val="231F1F"/>
          <w:w w:val="110"/>
        </w:rPr>
        <w:t>probabilidades</w:t>
      </w:r>
      <w:r>
        <w:rPr>
          <w:color w:val="231F1F"/>
          <w:spacing w:val="-1"/>
          <w:w w:val="110"/>
        </w:rPr>
        <w:t> </w:t>
      </w:r>
      <w:r>
        <w:rPr>
          <w:color w:val="231F1F"/>
          <w:w w:val="110"/>
        </w:rPr>
        <w:t>de</w:t>
      </w:r>
      <w:r>
        <w:rPr>
          <w:color w:val="231F1F"/>
          <w:spacing w:val="-1"/>
          <w:w w:val="110"/>
        </w:rPr>
        <w:t> </w:t>
      </w:r>
      <w:r>
        <w:rPr>
          <w:color w:val="231F1F"/>
          <w:w w:val="110"/>
        </w:rPr>
        <w:t>seguir</w:t>
      </w:r>
      <w:r>
        <w:rPr>
          <w:color w:val="231F1F"/>
          <w:spacing w:val="-1"/>
          <w:w w:val="110"/>
        </w:rPr>
        <w:t> </w:t>
      </w:r>
      <w:r>
        <w:rPr>
          <w:color w:val="231F1F"/>
          <w:w w:val="110"/>
        </w:rPr>
        <w:t>con</w:t>
      </w:r>
      <w:r>
        <w:rPr>
          <w:color w:val="231F1F"/>
          <w:spacing w:val="-1"/>
          <w:w w:val="110"/>
        </w:rPr>
        <w:t> </w:t>
      </w:r>
      <w:r>
        <w:rPr>
          <w:color w:val="231F1F"/>
          <w:w w:val="110"/>
        </w:rPr>
        <w:t>la</w:t>
      </w:r>
      <w:r>
        <w:rPr>
          <w:color w:val="231F1F"/>
          <w:spacing w:val="-1"/>
          <w:w w:val="110"/>
        </w:rPr>
        <w:t> </w:t>
      </w:r>
      <w:r>
        <w:rPr>
          <w:color w:val="231F1F"/>
          <w:w w:val="110"/>
        </w:rPr>
        <w:t>lactancia a</w:t>
      </w:r>
      <w:r>
        <w:rPr>
          <w:color w:val="231F1F"/>
          <w:spacing w:val="-1"/>
          <w:w w:val="110"/>
        </w:rPr>
        <w:t> </w:t>
      </w:r>
      <w:r>
        <w:rPr>
          <w:color w:val="231F1F"/>
          <w:w w:val="110"/>
        </w:rPr>
        <w:t>la</w:t>
      </w:r>
      <w:r>
        <w:rPr>
          <w:color w:val="231F1F"/>
          <w:spacing w:val="-1"/>
          <w:w w:val="110"/>
        </w:rPr>
        <w:t> </w:t>
      </w:r>
      <w:r>
        <w:rPr>
          <w:color w:val="231F1F"/>
          <w:w w:val="110"/>
        </w:rPr>
        <w:t>sexta</w:t>
      </w:r>
      <w:r>
        <w:rPr>
          <w:color w:val="231F1F"/>
          <w:spacing w:val="-1"/>
          <w:w w:val="110"/>
        </w:rPr>
        <w:t> </w:t>
      </w:r>
      <w:r>
        <w:rPr>
          <w:color w:val="231F1F"/>
          <w:w w:val="110"/>
        </w:rPr>
        <w:t>semana tras</w:t>
      </w:r>
      <w:r>
        <w:rPr>
          <w:color w:val="231F1F"/>
          <w:spacing w:val="-16"/>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que</w:t>
      </w:r>
      <w:r>
        <w:rPr>
          <w:color w:val="231F1F"/>
          <w:spacing w:val="-15"/>
          <w:w w:val="110"/>
        </w:rPr>
        <w:t> </w:t>
      </w:r>
      <w:r>
        <w:rPr>
          <w:color w:val="231F1F"/>
          <w:w w:val="110"/>
        </w:rPr>
        <w:t>los</w:t>
      </w:r>
      <w:r>
        <w:rPr>
          <w:color w:val="231F1F"/>
          <w:spacing w:val="-15"/>
          <w:w w:val="110"/>
        </w:rPr>
        <w:t> </w:t>
      </w:r>
      <w:r>
        <w:rPr>
          <w:color w:val="231F1F"/>
          <w:w w:val="110"/>
        </w:rPr>
        <w:t>RN</w:t>
      </w:r>
      <w:r>
        <w:rPr>
          <w:color w:val="231F1F"/>
          <w:spacing w:val="-15"/>
          <w:w w:val="110"/>
        </w:rPr>
        <w:t> </w:t>
      </w:r>
      <w:r>
        <w:rPr>
          <w:color w:val="231F1F"/>
          <w:w w:val="110"/>
        </w:rPr>
        <w:t>(con</w:t>
      </w:r>
      <w:r>
        <w:rPr>
          <w:color w:val="231F1F"/>
          <w:spacing w:val="-15"/>
          <w:w w:val="110"/>
        </w:rPr>
        <w:t> </w:t>
      </w:r>
      <w:r>
        <w:rPr>
          <w:color w:val="231F1F"/>
          <w:w w:val="110"/>
        </w:rPr>
        <w:t>concentración</w:t>
      </w:r>
      <w:r>
        <w:rPr>
          <w:color w:val="231F1F"/>
          <w:spacing w:val="-15"/>
          <w:w w:val="110"/>
        </w:rPr>
        <w:t> </w:t>
      </w:r>
      <w:r>
        <w:rPr>
          <w:color w:val="231F1F"/>
          <w:w w:val="110"/>
        </w:rPr>
        <w:t>&lt;</w:t>
      </w:r>
      <w:r>
        <w:rPr>
          <w:color w:val="231F1F"/>
          <w:spacing w:val="-16"/>
          <w:w w:val="110"/>
        </w:rPr>
        <w:t> </w:t>
      </w:r>
      <w:r>
        <w:rPr>
          <w:color w:val="231F1F"/>
          <w:w w:val="110"/>
        </w:rPr>
        <w:t>200</w:t>
      </w:r>
      <w:r>
        <w:rPr>
          <w:color w:val="231F1F"/>
          <w:spacing w:val="-15"/>
          <w:w w:val="110"/>
        </w:rPr>
        <w:t> </w:t>
      </w:r>
      <w:r>
        <w:rPr>
          <w:color w:val="231F1F"/>
          <w:w w:val="110"/>
        </w:rPr>
        <w:t>pg/ml</w:t>
      </w:r>
      <w:r>
        <w:rPr>
          <w:color w:val="231F1F"/>
          <w:spacing w:val="-15"/>
          <w:w w:val="110"/>
        </w:rPr>
        <w:t> </w:t>
      </w:r>
      <w:r>
        <w:rPr>
          <w:color w:val="231F1F"/>
          <w:w w:val="110"/>
        </w:rPr>
        <w:t>de</w:t>
      </w:r>
      <w:r>
        <w:rPr>
          <w:color w:val="231F1F"/>
          <w:spacing w:val="-15"/>
          <w:w w:val="110"/>
        </w:rPr>
        <w:t> </w:t>
      </w:r>
      <w:r>
        <w:rPr>
          <w:color w:val="231F1F"/>
          <w:w w:val="110"/>
        </w:rPr>
        <w:t>fentanilo</w:t>
      </w:r>
      <w:r>
        <w:rPr>
          <w:color w:val="231F1F"/>
          <w:spacing w:val="-15"/>
          <w:w w:val="110"/>
        </w:rPr>
        <w:t> </w:t>
      </w:r>
      <w:r>
        <w:rPr>
          <w:color w:val="231F1F"/>
          <w:w w:val="110"/>
        </w:rPr>
        <w:t>en</w:t>
      </w:r>
      <w:r>
        <w:rPr>
          <w:color w:val="231F1F"/>
          <w:spacing w:val="-15"/>
          <w:w w:val="110"/>
        </w:rPr>
        <w:t> </w:t>
      </w:r>
      <w:r>
        <w:rPr>
          <w:color w:val="231F1F"/>
          <w:w w:val="110"/>
        </w:rPr>
        <w:t>cor- dón umbilical de madres que habían recibido dosis altas de fentanilo en la epidural), p= 0,02.</w:t>
      </w:r>
    </w:p>
    <w:p>
      <w:pPr>
        <w:pStyle w:val="BodyText"/>
        <w:spacing w:line="247" w:lineRule="auto" w:before="8"/>
        <w:ind w:left="283" w:right="1367" w:firstLine="453"/>
        <w:jc w:val="both"/>
      </w:pPr>
      <w:r>
        <w:rPr>
          <w:color w:val="231F1F"/>
          <w:w w:val="105"/>
        </w:rPr>
        <w:t>El estudio de transversal (356) se realizó con el objetivo de investigar el impacto</w:t>
      </w:r>
      <w:r>
        <w:rPr>
          <w:color w:val="231F1F"/>
          <w:w w:val="105"/>
        </w:rPr>
        <w:t> de</w:t>
      </w:r>
      <w:r>
        <w:rPr>
          <w:color w:val="231F1F"/>
          <w:w w:val="105"/>
        </w:rPr>
        <w:t> fentanilo,</w:t>
      </w:r>
      <w:r>
        <w:rPr>
          <w:color w:val="231F1F"/>
          <w:w w:val="105"/>
        </w:rPr>
        <w:t> utilizado</w:t>
      </w:r>
      <w:r>
        <w:rPr>
          <w:color w:val="231F1F"/>
          <w:w w:val="105"/>
        </w:rPr>
        <w:t> durante</w:t>
      </w:r>
      <w:r>
        <w:rPr>
          <w:color w:val="231F1F"/>
          <w:w w:val="105"/>
        </w:rPr>
        <w:t> el</w:t>
      </w:r>
      <w:r>
        <w:rPr>
          <w:color w:val="231F1F"/>
          <w:w w:val="105"/>
        </w:rPr>
        <w:t> parto,</w:t>
      </w:r>
      <w:r>
        <w:rPr>
          <w:color w:val="231F1F"/>
          <w:w w:val="105"/>
        </w:rPr>
        <w:t> sobre</w:t>
      </w:r>
      <w:r>
        <w:rPr>
          <w:color w:val="231F1F"/>
          <w:w w:val="105"/>
        </w:rPr>
        <w:t> la</w:t>
      </w:r>
      <w:r>
        <w:rPr>
          <w:color w:val="231F1F"/>
          <w:w w:val="105"/>
        </w:rPr>
        <w:t> lactancia</w:t>
      </w:r>
      <w:r>
        <w:rPr>
          <w:color w:val="231F1F"/>
          <w:w w:val="105"/>
        </w:rPr>
        <w:t> al</w:t>
      </w:r>
      <w:r>
        <w:rPr>
          <w:color w:val="231F1F"/>
          <w:w w:val="105"/>
        </w:rPr>
        <w:t> alta hospitalaria.</w:t>
      </w:r>
      <w:r>
        <w:rPr>
          <w:color w:val="231F1F"/>
          <w:w w:val="105"/>
        </w:rPr>
        <w:t> Para</w:t>
      </w:r>
      <w:r>
        <w:rPr>
          <w:color w:val="231F1F"/>
          <w:w w:val="105"/>
        </w:rPr>
        <w:t> ello,</w:t>
      </w:r>
      <w:r>
        <w:rPr>
          <w:color w:val="231F1F"/>
          <w:w w:val="105"/>
        </w:rPr>
        <w:t> se</w:t>
      </w:r>
      <w:r>
        <w:rPr>
          <w:color w:val="231F1F"/>
          <w:w w:val="105"/>
        </w:rPr>
        <w:t> evaluaron</w:t>
      </w:r>
      <w:r>
        <w:rPr>
          <w:color w:val="231F1F"/>
          <w:w w:val="105"/>
        </w:rPr>
        <w:t> los</w:t>
      </w:r>
      <w:r>
        <w:rPr>
          <w:color w:val="231F1F"/>
          <w:w w:val="105"/>
        </w:rPr>
        <w:t> historiales</w:t>
      </w:r>
      <w:r>
        <w:rPr>
          <w:color w:val="231F1F"/>
          <w:w w:val="105"/>
        </w:rPr>
        <w:t> clínicos</w:t>
      </w:r>
      <w:r>
        <w:rPr>
          <w:color w:val="231F1F"/>
          <w:w w:val="105"/>
        </w:rPr>
        <w:t> de</w:t>
      </w:r>
      <w:r>
        <w:rPr>
          <w:color w:val="231F1F"/>
          <w:w w:val="105"/>
        </w:rPr>
        <w:t> 425</w:t>
      </w:r>
      <w:r>
        <w:rPr>
          <w:color w:val="231F1F"/>
          <w:w w:val="105"/>
        </w:rPr>
        <w:t> mujeres seleccionadas al azar del registro de nacimientos del año 2000 de un hospital </w:t>
      </w:r>
      <w:r>
        <w:rPr>
          <w:color w:val="231F1F"/>
          <w:spacing w:val="-2"/>
          <w:w w:val="105"/>
        </w:rPr>
        <w:t>ingles.</w:t>
      </w:r>
    </w:p>
    <w:p>
      <w:pPr>
        <w:pStyle w:val="BodyText"/>
        <w:spacing w:after="0" w:line="247" w:lineRule="auto"/>
        <w:jc w:val="both"/>
        <w:sectPr>
          <w:pgSz w:w="11900" w:h="16840"/>
          <w:pgMar w:header="0" w:footer="622" w:top="1560" w:bottom="820" w:left="1417" w:right="1559"/>
        </w:sectPr>
      </w:pPr>
    </w:p>
    <w:p>
      <w:pPr>
        <w:pStyle w:val="BodyText"/>
        <w:spacing w:line="252" w:lineRule="auto" w:before="73"/>
        <w:ind w:left="283" w:firstLine="453"/>
        <w:jc w:val="both"/>
      </w:pPr>
      <w:r>
        <w:rPr>
          <w:color w:val="231F1F"/>
          <w:w w:val="110"/>
        </w:rPr>
        <w:t>Casi</w:t>
      </w:r>
      <w:r>
        <w:rPr>
          <w:color w:val="231F1F"/>
          <w:spacing w:val="-14"/>
          <w:w w:val="110"/>
        </w:rPr>
        <w:t> </w:t>
      </w:r>
      <w:r>
        <w:rPr>
          <w:color w:val="231F1F"/>
          <w:w w:val="110"/>
        </w:rPr>
        <w:t>la</w:t>
      </w:r>
      <w:r>
        <w:rPr>
          <w:color w:val="231F1F"/>
          <w:spacing w:val="-13"/>
          <w:w w:val="110"/>
        </w:rPr>
        <w:t> </w:t>
      </w:r>
      <w:r>
        <w:rPr>
          <w:color w:val="231F1F"/>
          <w:w w:val="110"/>
        </w:rPr>
        <w:t>mitad</w:t>
      </w:r>
      <w:r>
        <w:rPr>
          <w:color w:val="231F1F"/>
          <w:spacing w:val="-13"/>
          <w:w w:val="110"/>
        </w:rPr>
        <w:t> </w:t>
      </w:r>
      <w:r>
        <w:rPr>
          <w:color w:val="231F1F"/>
          <w:w w:val="110"/>
        </w:rPr>
        <w:t>de</w:t>
      </w:r>
      <w:r>
        <w:rPr>
          <w:color w:val="231F1F"/>
          <w:spacing w:val="-14"/>
          <w:w w:val="110"/>
        </w:rPr>
        <w:t> </w:t>
      </w:r>
      <w:r>
        <w:rPr>
          <w:color w:val="231F1F"/>
          <w:w w:val="110"/>
        </w:rPr>
        <w:t>las</w:t>
      </w:r>
      <w:r>
        <w:rPr>
          <w:color w:val="231F1F"/>
          <w:spacing w:val="-14"/>
          <w:w w:val="110"/>
        </w:rPr>
        <w:t> </w:t>
      </w:r>
      <w:r>
        <w:rPr>
          <w:color w:val="231F1F"/>
          <w:w w:val="110"/>
        </w:rPr>
        <w:t>mujeres</w:t>
      </w:r>
      <w:r>
        <w:rPr>
          <w:color w:val="231F1F"/>
          <w:spacing w:val="-13"/>
          <w:w w:val="110"/>
        </w:rPr>
        <w:t> </w:t>
      </w:r>
      <w:r>
        <w:rPr>
          <w:color w:val="231F1F"/>
          <w:w w:val="110"/>
        </w:rPr>
        <w:t>(45%)</w:t>
      </w:r>
      <w:r>
        <w:rPr>
          <w:color w:val="231F1F"/>
          <w:spacing w:val="-14"/>
          <w:w w:val="110"/>
        </w:rPr>
        <w:t> </w:t>
      </w:r>
      <w:r>
        <w:rPr>
          <w:color w:val="231F1F"/>
          <w:w w:val="110"/>
        </w:rPr>
        <w:t>utilizaban</w:t>
      </w:r>
      <w:r>
        <w:rPr>
          <w:color w:val="231F1F"/>
          <w:spacing w:val="-13"/>
          <w:w w:val="110"/>
        </w:rPr>
        <w:t> </w:t>
      </w:r>
      <w:r>
        <w:rPr>
          <w:color w:val="231F1F"/>
          <w:w w:val="110"/>
        </w:rPr>
        <w:t>la</w:t>
      </w:r>
      <w:r>
        <w:rPr>
          <w:color w:val="231F1F"/>
          <w:spacing w:val="-13"/>
          <w:w w:val="110"/>
        </w:rPr>
        <w:t> </w:t>
      </w:r>
      <w:r>
        <w:rPr>
          <w:color w:val="231F1F"/>
          <w:w w:val="110"/>
        </w:rPr>
        <w:t>lactancia</w:t>
      </w:r>
      <w:r>
        <w:rPr>
          <w:color w:val="231F1F"/>
          <w:spacing w:val="-13"/>
          <w:w w:val="110"/>
        </w:rPr>
        <w:t> </w:t>
      </w:r>
      <w:r>
        <w:rPr>
          <w:color w:val="231F1F"/>
          <w:w w:val="110"/>
        </w:rPr>
        <w:t>artificial</w:t>
      </w:r>
      <w:r>
        <w:rPr>
          <w:color w:val="231F1F"/>
          <w:spacing w:val="-14"/>
          <w:w w:val="110"/>
        </w:rPr>
        <w:t> </w:t>
      </w:r>
      <w:r>
        <w:rPr>
          <w:color w:val="231F1F"/>
          <w:w w:val="110"/>
        </w:rPr>
        <w:t>para la</w:t>
      </w:r>
      <w:r>
        <w:rPr>
          <w:color w:val="231F1F"/>
          <w:spacing w:val="-5"/>
          <w:w w:val="110"/>
        </w:rPr>
        <w:t> </w:t>
      </w:r>
      <w:r>
        <w:rPr>
          <w:color w:val="231F1F"/>
          <w:w w:val="110"/>
        </w:rPr>
        <w:t>alimentación</w:t>
      </w:r>
      <w:r>
        <w:rPr>
          <w:color w:val="231F1F"/>
          <w:spacing w:val="-6"/>
          <w:w w:val="110"/>
        </w:rPr>
        <w:t> </w:t>
      </w:r>
      <w:r>
        <w:rPr>
          <w:color w:val="231F1F"/>
          <w:w w:val="110"/>
        </w:rPr>
        <w:t>de</w:t>
      </w:r>
      <w:r>
        <w:rPr>
          <w:color w:val="231F1F"/>
          <w:spacing w:val="-5"/>
          <w:w w:val="110"/>
        </w:rPr>
        <w:t> </w:t>
      </w:r>
      <w:r>
        <w:rPr>
          <w:color w:val="231F1F"/>
          <w:w w:val="110"/>
        </w:rPr>
        <w:t>sus</w:t>
      </w:r>
      <w:r>
        <w:rPr>
          <w:color w:val="231F1F"/>
          <w:spacing w:val="-6"/>
          <w:w w:val="110"/>
        </w:rPr>
        <w:t> </w:t>
      </w:r>
      <w:r>
        <w:rPr>
          <w:color w:val="231F1F"/>
          <w:w w:val="110"/>
        </w:rPr>
        <w:t>bebés</w:t>
      </w:r>
      <w:r>
        <w:rPr>
          <w:color w:val="231F1F"/>
          <w:spacing w:val="-6"/>
          <w:w w:val="110"/>
        </w:rPr>
        <w:t> </w:t>
      </w:r>
      <w:r>
        <w:rPr>
          <w:color w:val="231F1F"/>
          <w:w w:val="110"/>
        </w:rPr>
        <w:t>al</w:t>
      </w:r>
      <w:r>
        <w:rPr>
          <w:color w:val="231F1F"/>
          <w:spacing w:val="-6"/>
          <w:w w:val="110"/>
        </w:rPr>
        <w:t> </w:t>
      </w:r>
      <w:r>
        <w:rPr>
          <w:color w:val="231F1F"/>
          <w:w w:val="110"/>
        </w:rPr>
        <w:t>alta.</w:t>
      </w:r>
      <w:r>
        <w:rPr>
          <w:color w:val="231F1F"/>
          <w:spacing w:val="-6"/>
          <w:w w:val="110"/>
        </w:rPr>
        <w:t> </w:t>
      </w:r>
      <w:r>
        <w:rPr>
          <w:color w:val="231F1F"/>
          <w:w w:val="110"/>
        </w:rPr>
        <w:t>Aproximadamente</w:t>
      </w:r>
      <w:r>
        <w:rPr>
          <w:color w:val="231F1F"/>
          <w:spacing w:val="-5"/>
          <w:w w:val="110"/>
        </w:rPr>
        <w:t> </w:t>
      </w:r>
      <w:r>
        <w:rPr>
          <w:color w:val="231F1F"/>
          <w:w w:val="110"/>
        </w:rPr>
        <w:t>una</w:t>
      </w:r>
      <w:r>
        <w:rPr>
          <w:color w:val="231F1F"/>
          <w:spacing w:val="-5"/>
          <w:w w:val="110"/>
        </w:rPr>
        <w:t> </w:t>
      </w:r>
      <w:r>
        <w:rPr>
          <w:color w:val="231F1F"/>
          <w:w w:val="110"/>
        </w:rPr>
        <w:t>de</w:t>
      </w:r>
      <w:r>
        <w:rPr>
          <w:color w:val="231F1F"/>
          <w:spacing w:val="-5"/>
          <w:w w:val="110"/>
        </w:rPr>
        <w:t> </w:t>
      </w:r>
      <w:r>
        <w:rPr>
          <w:color w:val="231F1F"/>
          <w:w w:val="110"/>
        </w:rPr>
        <w:t>cada</w:t>
      </w:r>
      <w:r>
        <w:rPr>
          <w:color w:val="231F1F"/>
          <w:spacing w:val="-5"/>
          <w:w w:val="110"/>
        </w:rPr>
        <w:t> </w:t>
      </w:r>
      <w:r>
        <w:rPr>
          <w:color w:val="231F1F"/>
          <w:w w:val="110"/>
        </w:rPr>
        <w:t>5</w:t>
      </w:r>
      <w:r>
        <w:rPr>
          <w:color w:val="231F1F"/>
          <w:spacing w:val="-5"/>
          <w:w w:val="110"/>
        </w:rPr>
        <w:t> </w:t>
      </w:r>
      <w:r>
        <w:rPr>
          <w:color w:val="231F1F"/>
          <w:w w:val="110"/>
        </w:rPr>
        <w:t>había intentado</w:t>
      </w:r>
      <w:r>
        <w:rPr>
          <w:color w:val="231F1F"/>
          <w:spacing w:val="-1"/>
          <w:w w:val="110"/>
        </w:rPr>
        <w:t> </w:t>
      </w:r>
      <w:r>
        <w:rPr>
          <w:color w:val="231F1F"/>
          <w:w w:val="110"/>
        </w:rPr>
        <w:t>la</w:t>
      </w:r>
      <w:r>
        <w:rPr>
          <w:color w:val="231F1F"/>
          <w:spacing w:val="-1"/>
          <w:w w:val="110"/>
        </w:rPr>
        <w:t> </w:t>
      </w:r>
      <w:r>
        <w:rPr>
          <w:color w:val="231F1F"/>
          <w:w w:val="110"/>
        </w:rPr>
        <w:t>lactancia</w:t>
      </w:r>
      <w:r>
        <w:rPr>
          <w:color w:val="231F1F"/>
          <w:spacing w:val="-1"/>
          <w:w w:val="110"/>
        </w:rPr>
        <w:t> </w:t>
      </w:r>
      <w:r>
        <w:rPr>
          <w:color w:val="231F1F"/>
          <w:w w:val="110"/>
        </w:rPr>
        <w:t>materna.</w:t>
      </w:r>
      <w:r>
        <w:rPr>
          <w:color w:val="231F1F"/>
          <w:spacing w:val="-1"/>
          <w:w w:val="110"/>
        </w:rPr>
        <w:t> </w:t>
      </w:r>
      <w:r>
        <w:rPr>
          <w:color w:val="231F1F"/>
          <w:w w:val="110"/>
        </w:rPr>
        <w:t>Se</w:t>
      </w:r>
      <w:r>
        <w:rPr>
          <w:color w:val="231F1F"/>
          <w:spacing w:val="-1"/>
          <w:w w:val="110"/>
        </w:rPr>
        <w:t> </w:t>
      </w:r>
      <w:r>
        <w:rPr>
          <w:color w:val="231F1F"/>
          <w:w w:val="110"/>
        </w:rPr>
        <w:t>observó</w:t>
      </w:r>
      <w:r>
        <w:rPr>
          <w:color w:val="231F1F"/>
          <w:spacing w:val="-1"/>
          <w:w w:val="110"/>
        </w:rPr>
        <w:t> </w:t>
      </w:r>
      <w:r>
        <w:rPr>
          <w:color w:val="231F1F"/>
          <w:w w:val="110"/>
        </w:rPr>
        <w:t>variabilidad</w:t>
      </w:r>
      <w:r>
        <w:rPr>
          <w:color w:val="231F1F"/>
          <w:spacing w:val="-1"/>
          <w:w w:val="110"/>
        </w:rPr>
        <w:t> </w:t>
      </w:r>
      <w:r>
        <w:rPr>
          <w:color w:val="231F1F"/>
          <w:w w:val="110"/>
        </w:rPr>
        <w:t>en</w:t>
      </w:r>
      <w:r>
        <w:rPr>
          <w:color w:val="231F1F"/>
          <w:spacing w:val="-1"/>
          <w:w w:val="110"/>
        </w:rPr>
        <w:t> </w:t>
      </w:r>
      <w:r>
        <w:rPr>
          <w:color w:val="231F1F"/>
          <w:w w:val="110"/>
        </w:rPr>
        <w:t>la</w:t>
      </w:r>
      <w:r>
        <w:rPr>
          <w:color w:val="231F1F"/>
          <w:spacing w:val="-1"/>
          <w:w w:val="110"/>
        </w:rPr>
        <w:t> </w:t>
      </w:r>
      <w:r>
        <w:rPr>
          <w:color w:val="231F1F"/>
          <w:w w:val="110"/>
        </w:rPr>
        <w:t>proporción</w:t>
      </w:r>
      <w:r>
        <w:rPr>
          <w:color w:val="231F1F"/>
          <w:spacing w:val="-2"/>
          <w:w w:val="110"/>
        </w:rPr>
        <w:t> </w:t>
      </w:r>
      <w:r>
        <w:rPr>
          <w:color w:val="231F1F"/>
          <w:w w:val="110"/>
        </w:rPr>
        <w:t>de </w:t>
      </w:r>
      <w:r>
        <w:rPr>
          <w:color w:val="231F1F"/>
          <w:spacing w:val="-2"/>
          <w:w w:val="110"/>
        </w:rPr>
        <w:t>RN</w:t>
      </w:r>
      <w:r>
        <w:rPr>
          <w:color w:val="231F1F"/>
          <w:spacing w:val="-9"/>
          <w:w w:val="110"/>
        </w:rPr>
        <w:t> </w:t>
      </w:r>
      <w:r>
        <w:rPr>
          <w:color w:val="231F1F"/>
          <w:spacing w:val="-2"/>
          <w:w w:val="110"/>
        </w:rPr>
        <w:t>con</w:t>
      </w:r>
      <w:r>
        <w:rPr>
          <w:color w:val="231F1F"/>
          <w:spacing w:val="-9"/>
          <w:w w:val="110"/>
        </w:rPr>
        <w:t> </w:t>
      </w:r>
      <w:r>
        <w:rPr>
          <w:color w:val="231F1F"/>
          <w:spacing w:val="-2"/>
          <w:w w:val="110"/>
        </w:rPr>
        <w:t>lactancia</w:t>
      </w:r>
      <w:r>
        <w:rPr>
          <w:color w:val="231F1F"/>
          <w:spacing w:val="-9"/>
          <w:w w:val="110"/>
        </w:rPr>
        <w:t> </w:t>
      </w:r>
      <w:r>
        <w:rPr>
          <w:color w:val="231F1F"/>
          <w:spacing w:val="-2"/>
          <w:w w:val="110"/>
        </w:rPr>
        <w:t>artificial</w:t>
      </w:r>
      <w:r>
        <w:rPr>
          <w:color w:val="231F1F"/>
          <w:spacing w:val="-10"/>
          <w:w w:val="110"/>
        </w:rPr>
        <w:t> </w:t>
      </w:r>
      <w:r>
        <w:rPr>
          <w:color w:val="231F1F"/>
          <w:spacing w:val="-2"/>
          <w:w w:val="110"/>
        </w:rPr>
        <w:t>en</w:t>
      </w:r>
      <w:r>
        <w:rPr>
          <w:color w:val="231F1F"/>
          <w:spacing w:val="-9"/>
          <w:w w:val="110"/>
        </w:rPr>
        <w:t> </w:t>
      </w:r>
      <w:r>
        <w:rPr>
          <w:color w:val="231F1F"/>
          <w:spacing w:val="-2"/>
          <w:w w:val="110"/>
        </w:rPr>
        <w:t>función</w:t>
      </w:r>
      <w:r>
        <w:rPr>
          <w:color w:val="231F1F"/>
          <w:spacing w:val="-9"/>
          <w:w w:val="110"/>
        </w:rPr>
        <w:t> </w:t>
      </w:r>
      <w:r>
        <w:rPr>
          <w:color w:val="231F1F"/>
          <w:spacing w:val="-2"/>
          <w:w w:val="110"/>
        </w:rPr>
        <w:t>de</w:t>
      </w:r>
      <w:r>
        <w:rPr>
          <w:color w:val="231F1F"/>
          <w:spacing w:val="-9"/>
          <w:w w:val="110"/>
        </w:rPr>
        <w:t> </w:t>
      </w:r>
      <w:r>
        <w:rPr>
          <w:color w:val="231F1F"/>
          <w:spacing w:val="-2"/>
          <w:w w:val="110"/>
        </w:rPr>
        <w:t>la</w:t>
      </w:r>
      <w:r>
        <w:rPr>
          <w:color w:val="231F1F"/>
          <w:spacing w:val="-9"/>
          <w:w w:val="110"/>
        </w:rPr>
        <w:t> </w:t>
      </w:r>
      <w:r>
        <w:rPr>
          <w:color w:val="231F1F"/>
          <w:spacing w:val="-2"/>
          <w:w w:val="110"/>
        </w:rPr>
        <w:t>analgesia</w:t>
      </w:r>
      <w:r>
        <w:rPr>
          <w:color w:val="231F1F"/>
          <w:spacing w:val="-9"/>
          <w:w w:val="110"/>
        </w:rPr>
        <w:t> </w:t>
      </w:r>
      <w:r>
        <w:rPr>
          <w:color w:val="231F1F"/>
          <w:spacing w:val="-2"/>
          <w:w w:val="110"/>
        </w:rPr>
        <w:t>administrada</w:t>
      </w:r>
      <w:r>
        <w:rPr>
          <w:color w:val="231F1F"/>
          <w:spacing w:val="-9"/>
          <w:w w:val="110"/>
        </w:rPr>
        <w:t> </w:t>
      </w:r>
      <w:r>
        <w:rPr>
          <w:color w:val="231F1F"/>
          <w:spacing w:val="-2"/>
          <w:w w:val="110"/>
        </w:rPr>
        <w:t>a</w:t>
      </w:r>
      <w:r>
        <w:rPr>
          <w:color w:val="231F1F"/>
          <w:spacing w:val="-9"/>
          <w:w w:val="110"/>
        </w:rPr>
        <w:t> </w:t>
      </w:r>
      <w:r>
        <w:rPr>
          <w:color w:val="231F1F"/>
          <w:spacing w:val="-2"/>
          <w:w w:val="110"/>
        </w:rPr>
        <w:t>la</w:t>
      </w:r>
      <w:r>
        <w:rPr>
          <w:color w:val="231F1F"/>
          <w:spacing w:val="-9"/>
          <w:w w:val="110"/>
        </w:rPr>
        <w:t> </w:t>
      </w:r>
      <w:r>
        <w:rPr>
          <w:color w:val="231F1F"/>
          <w:spacing w:val="-2"/>
          <w:w w:val="110"/>
        </w:rPr>
        <w:t>mujer </w:t>
      </w:r>
      <w:r>
        <w:rPr>
          <w:color w:val="231F1F"/>
          <w:w w:val="110"/>
        </w:rPr>
        <w:t>durante</w:t>
      </w:r>
      <w:r>
        <w:rPr>
          <w:color w:val="231F1F"/>
          <w:spacing w:val="-8"/>
          <w:w w:val="110"/>
        </w:rPr>
        <w:t> </w:t>
      </w:r>
      <w:r>
        <w:rPr>
          <w:color w:val="231F1F"/>
          <w:w w:val="110"/>
        </w:rPr>
        <w:t>el</w:t>
      </w:r>
      <w:r>
        <w:rPr>
          <w:color w:val="231F1F"/>
          <w:spacing w:val="-8"/>
          <w:w w:val="110"/>
        </w:rPr>
        <w:t> </w:t>
      </w:r>
      <w:r>
        <w:rPr>
          <w:color w:val="231F1F"/>
          <w:w w:val="110"/>
        </w:rPr>
        <w:t>parto:</w:t>
      </w:r>
      <w:r>
        <w:rPr>
          <w:color w:val="231F1F"/>
          <w:spacing w:val="-8"/>
          <w:w w:val="110"/>
        </w:rPr>
        <w:t> </w:t>
      </w:r>
      <w:r>
        <w:rPr>
          <w:color w:val="231F1F"/>
          <w:w w:val="110"/>
        </w:rPr>
        <w:t>32%</w:t>
      </w:r>
      <w:r>
        <w:rPr>
          <w:color w:val="231F1F"/>
          <w:spacing w:val="-6"/>
          <w:w w:val="110"/>
        </w:rPr>
        <w:t> </w:t>
      </w:r>
      <w:r>
        <w:rPr>
          <w:color w:val="231F1F"/>
          <w:w w:val="110"/>
        </w:rPr>
        <w:t>de</w:t>
      </w:r>
      <w:r>
        <w:rPr>
          <w:color w:val="231F1F"/>
          <w:spacing w:val="-7"/>
          <w:w w:val="110"/>
        </w:rPr>
        <w:t> </w:t>
      </w:r>
      <w:r>
        <w:rPr>
          <w:color w:val="231F1F"/>
          <w:w w:val="110"/>
        </w:rPr>
        <w:t>RN</w:t>
      </w:r>
      <w:r>
        <w:rPr>
          <w:color w:val="231F1F"/>
          <w:spacing w:val="-6"/>
          <w:w w:val="110"/>
        </w:rPr>
        <w:t> </w:t>
      </w:r>
      <w:r>
        <w:rPr>
          <w:color w:val="231F1F"/>
          <w:w w:val="110"/>
        </w:rPr>
        <w:t>de</w:t>
      </w:r>
      <w:r>
        <w:rPr>
          <w:color w:val="231F1F"/>
          <w:spacing w:val="-7"/>
          <w:w w:val="110"/>
        </w:rPr>
        <w:t> </w:t>
      </w:r>
      <w:r>
        <w:rPr>
          <w:color w:val="231F1F"/>
          <w:w w:val="110"/>
        </w:rPr>
        <w:t>madres</w:t>
      </w:r>
      <w:r>
        <w:rPr>
          <w:color w:val="231F1F"/>
          <w:spacing w:val="-7"/>
          <w:w w:val="110"/>
        </w:rPr>
        <w:t> </w:t>
      </w:r>
      <w:r>
        <w:rPr>
          <w:color w:val="231F1F"/>
          <w:w w:val="110"/>
        </w:rPr>
        <w:t>que</w:t>
      </w:r>
      <w:r>
        <w:rPr>
          <w:color w:val="231F1F"/>
          <w:spacing w:val="-7"/>
          <w:w w:val="110"/>
        </w:rPr>
        <w:t> </w:t>
      </w:r>
      <w:r>
        <w:rPr>
          <w:color w:val="231F1F"/>
          <w:w w:val="110"/>
        </w:rPr>
        <w:t>recibieron</w:t>
      </w:r>
      <w:r>
        <w:rPr>
          <w:color w:val="231F1F"/>
          <w:spacing w:val="-7"/>
          <w:w w:val="110"/>
        </w:rPr>
        <w:t> </w:t>
      </w:r>
      <w:r>
        <w:rPr>
          <w:color w:val="231F1F"/>
          <w:w w:val="110"/>
        </w:rPr>
        <w:t>durante</w:t>
      </w:r>
      <w:r>
        <w:rPr>
          <w:color w:val="231F1F"/>
          <w:spacing w:val="-8"/>
          <w:w w:val="110"/>
        </w:rPr>
        <w:t> </w:t>
      </w:r>
      <w:r>
        <w:rPr>
          <w:color w:val="231F1F"/>
          <w:w w:val="110"/>
        </w:rPr>
        <w:t>el</w:t>
      </w:r>
      <w:r>
        <w:rPr>
          <w:color w:val="231F1F"/>
          <w:spacing w:val="-8"/>
          <w:w w:val="110"/>
        </w:rPr>
        <w:t> </w:t>
      </w:r>
      <w:r>
        <w:rPr>
          <w:color w:val="231F1F"/>
          <w:w w:val="110"/>
        </w:rPr>
        <w:t>parto</w:t>
      </w:r>
      <w:r>
        <w:rPr>
          <w:color w:val="231F1F"/>
          <w:spacing w:val="-7"/>
          <w:w w:val="110"/>
        </w:rPr>
        <w:t> </w:t>
      </w:r>
      <w:r>
        <w:rPr>
          <w:color w:val="231F1F"/>
          <w:w w:val="110"/>
        </w:rPr>
        <w:t>sólo </w:t>
      </w:r>
      <w:r>
        <w:rPr>
          <w:color w:val="231F1F"/>
        </w:rPr>
        <w:t>óxido nitroso, 42% del grupo con opioides IM más óxido nitroso, un 44% con </w:t>
      </w:r>
      <w:r>
        <w:rPr>
          <w:color w:val="231F1F"/>
          <w:w w:val="110"/>
        </w:rPr>
        <w:t>analgesia</w:t>
      </w:r>
      <w:r>
        <w:rPr>
          <w:color w:val="231F1F"/>
          <w:spacing w:val="-16"/>
          <w:w w:val="110"/>
        </w:rPr>
        <w:t> </w:t>
      </w:r>
      <w:r>
        <w:rPr>
          <w:color w:val="231F1F"/>
          <w:w w:val="110"/>
        </w:rPr>
        <w:t>neuroaxial</w:t>
      </w:r>
      <w:r>
        <w:rPr>
          <w:color w:val="231F1F"/>
          <w:spacing w:val="-15"/>
          <w:w w:val="110"/>
        </w:rPr>
        <w:t> </w:t>
      </w:r>
      <w:r>
        <w:rPr>
          <w:color w:val="231F1F"/>
          <w:w w:val="110"/>
        </w:rPr>
        <w:t>que</w:t>
      </w:r>
      <w:r>
        <w:rPr>
          <w:color w:val="231F1F"/>
          <w:spacing w:val="-15"/>
          <w:w w:val="110"/>
        </w:rPr>
        <w:t> </w:t>
      </w:r>
      <w:r>
        <w:rPr>
          <w:color w:val="231F1F"/>
          <w:w w:val="110"/>
        </w:rPr>
        <w:t>contenía</w:t>
      </w:r>
      <w:r>
        <w:rPr>
          <w:color w:val="231F1F"/>
          <w:spacing w:val="-15"/>
          <w:w w:val="110"/>
        </w:rPr>
        <w:t> </w:t>
      </w:r>
      <w:r>
        <w:rPr>
          <w:color w:val="231F1F"/>
          <w:w w:val="110"/>
        </w:rPr>
        <w:t>anestésico</w:t>
      </w:r>
      <w:r>
        <w:rPr>
          <w:color w:val="231F1F"/>
          <w:spacing w:val="-15"/>
          <w:w w:val="110"/>
        </w:rPr>
        <w:t> </w:t>
      </w:r>
      <w:r>
        <w:rPr>
          <w:color w:val="231F1F"/>
          <w:w w:val="110"/>
        </w:rPr>
        <w:t>local</w:t>
      </w:r>
      <w:r>
        <w:rPr>
          <w:color w:val="231F1F"/>
          <w:spacing w:val="-15"/>
          <w:w w:val="110"/>
        </w:rPr>
        <w:t> </w:t>
      </w:r>
      <w:r>
        <w:rPr>
          <w:color w:val="231F1F"/>
          <w:w w:val="110"/>
        </w:rPr>
        <w:t>y</w:t>
      </w:r>
      <w:r>
        <w:rPr>
          <w:color w:val="231F1F"/>
          <w:spacing w:val="-15"/>
          <w:w w:val="110"/>
        </w:rPr>
        <w:t> </w:t>
      </w:r>
      <w:r>
        <w:rPr>
          <w:color w:val="231F1F"/>
          <w:w w:val="110"/>
        </w:rPr>
        <w:t>54%</w:t>
      </w:r>
      <w:r>
        <w:rPr>
          <w:color w:val="231F1F"/>
          <w:spacing w:val="-15"/>
          <w:w w:val="110"/>
        </w:rPr>
        <w:t> </w:t>
      </w:r>
      <w:r>
        <w:rPr>
          <w:color w:val="231F1F"/>
          <w:w w:val="110"/>
        </w:rPr>
        <w:t>con</w:t>
      </w:r>
      <w:r>
        <w:rPr>
          <w:color w:val="231F1F"/>
          <w:spacing w:val="-16"/>
          <w:w w:val="110"/>
        </w:rPr>
        <w:t> </w:t>
      </w:r>
      <w:r>
        <w:rPr>
          <w:color w:val="231F1F"/>
          <w:w w:val="110"/>
        </w:rPr>
        <w:t>analgesia</w:t>
      </w:r>
      <w:r>
        <w:rPr>
          <w:color w:val="231F1F"/>
          <w:spacing w:val="-15"/>
          <w:w w:val="110"/>
        </w:rPr>
        <w:t> </w:t>
      </w:r>
      <w:r>
        <w:rPr>
          <w:color w:val="231F1F"/>
          <w:w w:val="110"/>
        </w:rPr>
        <w:t>neu- </w:t>
      </w:r>
      <w:r>
        <w:rPr>
          <w:color w:val="231F1F"/>
        </w:rPr>
        <w:t>roaxial con un opioide, fentanilo o diamorfina. Éstos se asocian con una mayor </w:t>
      </w:r>
      <w:r>
        <w:rPr>
          <w:color w:val="231F1F"/>
          <w:w w:val="110"/>
        </w:rPr>
        <w:t>frecuencia</w:t>
      </w:r>
      <w:r>
        <w:rPr>
          <w:color w:val="231F1F"/>
          <w:spacing w:val="-2"/>
          <w:w w:val="110"/>
        </w:rPr>
        <w:t> </w:t>
      </w:r>
      <w:r>
        <w:rPr>
          <w:color w:val="231F1F"/>
          <w:w w:val="110"/>
        </w:rPr>
        <w:t>de</w:t>
      </w:r>
      <w:r>
        <w:rPr>
          <w:color w:val="231F1F"/>
          <w:spacing w:val="-2"/>
          <w:w w:val="110"/>
        </w:rPr>
        <w:t> </w:t>
      </w:r>
      <w:r>
        <w:rPr>
          <w:color w:val="231F1F"/>
          <w:w w:val="110"/>
        </w:rPr>
        <w:t>lactancia</w:t>
      </w:r>
      <w:r>
        <w:rPr>
          <w:color w:val="231F1F"/>
          <w:spacing w:val="-2"/>
          <w:w w:val="110"/>
        </w:rPr>
        <w:t> </w:t>
      </w:r>
      <w:r>
        <w:rPr>
          <w:color w:val="231F1F"/>
          <w:w w:val="110"/>
        </w:rPr>
        <w:t>artificial.</w:t>
      </w:r>
      <w:r>
        <w:rPr>
          <w:color w:val="231F1F"/>
          <w:spacing w:val="-2"/>
          <w:w w:val="110"/>
        </w:rPr>
        <w:t> </w:t>
      </w:r>
      <w:r>
        <w:rPr>
          <w:color w:val="231F1F"/>
          <w:w w:val="110"/>
        </w:rPr>
        <w:t>El</w:t>
      </w:r>
      <w:r>
        <w:rPr>
          <w:color w:val="231F1F"/>
          <w:spacing w:val="-2"/>
          <w:w w:val="110"/>
        </w:rPr>
        <w:t> </w:t>
      </w:r>
      <w:r>
        <w:rPr>
          <w:color w:val="231F1F"/>
          <w:w w:val="110"/>
        </w:rPr>
        <w:t>uso</w:t>
      </w:r>
      <w:r>
        <w:rPr>
          <w:color w:val="231F1F"/>
          <w:spacing w:val="-2"/>
          <w:w w:val="110"/>
        </w:rPr>
        <w:t> </w:t>
      </w:r>
      <w:r>
        <w:rPr>
          <w:color w:val="231F1F"/>
          <w:w w:val="110"/>
        </w:rPr>
        <w:t>de</w:t>
      </w:r>
      <w:r>
        <w:rPr>
          <w:color w:val="231F1F"/>
          <w:spacing w:val="-2"/>
          <w:w w:val="110"/>
        </w:rPr>
        <w:t> </w:t>
      </w:r>
      <w:r>
        <w:rPr>
          <w:color w:val="231F1F"/>
          <w:w w:val="110"/>
        </w:rPr>
        <w:t>antieméticos</w:t>
      </w:r>
      <w:r>
        <w:rPr>
          <w:color w:val="231F1F"/>
          <w:spacing w:val="-2"/>
          <w:w w:val="110"/>
        </w:rPr>
        <w:t> </w:t>
      </w:r>
      <w:r>
        <w:rPr>
          <w:color w:val="231F1F"/>
          <w:w w:val="110"/>
        </w:rPr>
        <w:t>durante</w:t>
      </w:r>
      <w:r>
        <w:rPr>
          <w:color w:val="231F1F"/>
          <w:spacing w:val="-2"/>
          <w:w w:val="110"/>
        </w:rPr>
        <w:t> </w:t>
      </w:r>
      <w:r>
        <w:rPr>
          <w:color w:val="231F1F"/>
          <w:w w:val="110"/>
        </w:rPr>
        <w:t>el</w:t>
      </w:r>
      <w:r>
        <w:rPr>
          <w:color w:val="231F1F"/>
          <w:spacing w:val="-2"/>
          <w:w w:val="110"/>
        </w:rPr>
        <w:t> </w:t>
      </w:r>
      <w:r>
        <w:rPr>
          <w:color w:val="231F1F"/>
          <w:w w:val="110"/>
        </w:rPr>
        <w:t>parto</w:t>
      </w:r>
      <w:r>
        <w:rPr>
          <w:color w:val="231F1F"/>
          <w:spacing w:val="-2"/>
          <w:w w:val="110"/>
        </w:rPr>
        <w:t> </w:t>
      </w:r>
      <w:r>
        <w:rPr>
          <w:color w:val="231F1F"/>
          <w:w w:val="110"/>
        </w:rPr>
        <w:t>se asoció</w:t>
      </w:r>
      <w:r>
        <w:rPr>
          <w:color w:val="231F1F"/>
          <w:spacing w:val="-14"/>
          <w:w w:val="110"/>
        </w:rPr>
        <w:t> </w:t>
      </w:r>
      <w:r>
        <w:rPr>
          <w:color w:val="231F1F"/>
          <w:w w:val="110"/>
        </w:rPr>
        <w:t>con</w:t>
      </w:r>
      <w:r>
        <w:rPr>
          <w:color w:val="231F1F"/>
          <w:spacing w:val="-14"/>
          <w:w w:val="110"/>
        </w:rPr>
        <w:t> </w:t>
      </w:r>
      <w:r>
        <w:rPr>
          <w:color w:val="231F1F"/>
          <w:w w:val="110"/>
        </w:rPr>
        <w:t>la</w:t>
      </w:r>
      <w:r>
        <w:rPr>
          <w:color w:val="231F1F"/>
          <w:spacing w:val="-14"/>
          <w:w w:val="110"/>
        </w:rPr>
        <w:t> </w:t>
      </w:r>
      <w:r>
        <w:rPr>
          <w:color w:val="231F1F"/>
          <w:w w:val="110"/>
        </w:rPr>
        <w:t>lactancia</w:t>
      </w:r>
      <w:r>
        <w:rPr>
          <w:color w:val="231F1F"/>
          <w:spacing w:val="-14"/>
          <w:w w:val="110"/>
        </w:rPr>
        <w:t> </w:t>
      </w:r>
      <w:r>
        <w:rPr>
          <w:color w:val="231F1F"/>
          <w:w w:val="110"/>
        </w:rPr>
        <w:t>artificial</w:t>
      </w:r>
      <w:r>
        <w:rPr>
          <w:color w:val="231F1F"/>
          <w:spacing w:val="-14"/>
          <w:w w:val="110"/>
        </w:rPr>
        <w:t> </w:t>
      </w:r>
      <w:r>
        <w:rPr>
          <w:color w:val="231F1F"/>
          <w:w w:val="110"/>
        </w:rPr>
        <w:t>y</w:t>
      </w:r>
      <w:r>
        <w:rPr>
          <w:color w:val="231F1F"/>
          <w:spacing w:val="-14"/>
          <w:w w:val="110"/>
        </w:rPr>
        <w:t> </w:t>
      </w:r>
      <w:r>
        <w:rPr>
          <w:color w:val="231F1F"/>
          <w:w w:val="110"/>
        </w:rPr>
        <w:t>también</w:t>
      </w:r>
      <w:r>
        <w:rPr>
          <w:color w:val="231F1F"/>
          <w:spacing w:val="-14"/>
          <w:w w:val="110"/>
        </w:rPr>
        <w:t> </w:t>
      </w:r>
      <w:r>
        <w:rPr>
          <w:color w:val="231F1F"/>
          <w:w w:val="110"/>
        </w:rPr>
        <w:t>con</w:t>
      </w:r>
      <w:r>
        <w:rPr>
          <w:color w:val="231F1F"/>
          <w:spacing w:val="-14"/>
          <w:w w:val="110"/>
        </w:rPr>
        <w:t> </w:t>
      </w:r>
      <w:r>
        <w:rPr>
          <w:color w:val="231F1F"/>
          <w:w w:val="110"/>
        </w:rPr>
        <w:t>parto</w:t>
      </w:r>
      <w:r>
        <w:rPr>
          <w:color w:val="231F1F"/>
          <w:spacing w:val="-14"/>
          <w:w w:val="110"/>
        </w:rPr>
        <w:t> </w:t>
      </w:r>
      <w:r>
        <w:rPr>
          <w:color w:val="231F1F"/>
          <w:w w:val="110"/>
        </w:rPr>
        <w:t>instrumental.</w:t>
      </w:r>
      <w:r>
        <w:rPr>
          <w:color w:val="231F1F"/>
          <w:spacing w:val="-14"/>
          <w:w w:val="110"/>
        </w:rPr>
        <w:t> </w:t>
      </w:r>
      <w:r>
        <w:rPr>
          <w:color w:val="231F1F"/>
          <w:w w:val="110"/>
        </w:rPr>
        <w:t>No</w:t>
      </w:r>
      <w:r>
        <w:rPr>
          <w:color w:val="231F1F"/>
          <w:spacing w:val="-14"/>
          <w:w w:val="110"/>
        </w:rPr>
        <w:t> </w:t>
      </w:r>
      <w:r>
        <w:rPr>
          <w:color w:val="231F1F"/>
          <w:w w:val="110"/>
        </w:rPr>
        <w:t>se</w:t>
      </w:r>
      <w:r>
        <w:rPr>
          <w:color w:val="231F1F"/>
          <w:spacing w:val="-14"/>
          <w:w w:val="110"/>
        </w:rPr>
        <w:t> </w:t>
      </w:r>
      <w:r>
        <w:rPr>
          <w:color w:val="231F1F"/>
          <w:w w:val="110"/>
        </w:rPr>
        <w:t>ob- servaron</w:t>
      </w:r>
      <w:r>
        <w:rPr>
          <w:color w:val="231F1F"/>
          <w:spacing w:val="-7"/>
          <w:w w:val="110"/>
        </w:rPr>
        <w:t> </w:t>
      </w:r>
      <w:r>
        <w:rPr>
          <w:color w:val="231F1F"/>
          <w:w w:val="110"/>
        </w:rPr>
        <w:t>asociaciones</w:t>
      </w:r>
      <w:r>
        <w:rPr>
          <w:color w:val="231F1F"/>
          <w:spacing w:val="-6"/>
          <w:w w:val="110"/>
        </w:rPr>
        <w:t> </w:t>
      </w:r>
      <w:r>
        <w:rPr>
          <w:color w:val="231F1F"/>
          <w:w w:val="110"/>
        </w:rPr>
        <w:t>significativas</w:t>
      </w:r>
      <w:r>
        <w:rPr>
          <w:color w:val="231F1F"/>
          <w:spacing w:val="-7"/>
          <w:w w:val="110"/>
        </w:rPr>
        <w:t> </w:t>
      </w:r>
      <w:r>
        <w:rPr>
          <w:color w:val="231F1F"/>
          <w:w w:val="110"/>
        </w:rPr>
        <w:t>entre</w:t>
      </w:r>
      <w:r>
        <w:rPr>
          <w:color w:val="231F1F"/>
          <w:spacing w:val="-6"/>
          <w:w w:val="110"/>
        </w:rPr>
        <w:t> </w:t>
      </w:r>
      <w:r>
        <w:rPr>
          <w:color w:val="231F1F"/>
          <w:w w:val="110"/>
        </w:rPr>
        <w:t>el</w:t>
      </w:r>
      <w:r>
        <w:rPr>
          <w:color w:val="231F1F"/>
          <w:spacing w:val="-7"/>
          <w:w w:val="110"/>
        </w:rPr>
        <w:t> </w:t>
      </w:r>
      <w:r>
        <w:rPr>
          <w:color w:val="231F1F"/>
          <w:w w:val="110"/>
        </w:rPr>
        <w:t>método</w:t>
      </w:r>
      <w:r>
        <w:rPr>
          <w:color w:val="231F1F"/>
          <w:spacing w:val="-6"/>
          <w:w w:val="110"/>
        </w:rPr>
        <w:t> </w:t>
      </w:r>
      <w:r>
        <w:rPr>
          <w:color w:val="231F1F"/>
          <w:w w:val="110"/>
        </w:rPr>
        <w:t>de</w:t>
      </w:r>
      <w:r>
        <w:rPr>
          <w:color w:val="231F1F"/>
          <w:spacing w:val="-6"/>
          <w:w w:val="110"/>
        </w:rPr>
        <w:t> </w:t>
      </w:r>
      <w:r>
        <w:rPr>
          <w:color w:val="231F1F"/>
          <w:w w:val="110"/>
        </w:rPr>
        <w:t>alimentación</w:t>
      </w:r>
      <w:r>
        <w:rPr>
          <w:color w:val="231F1F"/>
          <w:spacing w:val="-7"/>
          <w:w w:val="110"/>
        </w:rPr>
        <w:t> </w:t>
      </w:r>
      <w:r>
        <w:rPr>
          <w:color w:val="231F1F"/>
          <w:w w:val="110"/>
        </w:rPr>
        <w:t>con</w:t>
      </w:r>
      <w:r>
        <w:rPr>
          <w:color w:val="231F1F"/>
          <w:spacing w:val="-6"/>
          <w:w w:val="110"/>
        </w:rPr>
        <w:t> </w:t>
      </w:r>
      <w:r>
        <w:rPr>
          <w:color w:val="231F1F"/>
          <w:w w:val="110"/>
        </w:rPr>
        <w:t>la oxitocina prenatal, la duración de la estancia hospitalaria, la duración del parto, el peso corporal materno, infantil o la atención especial del RN.</w:t>
      </w:r>
    </w:p>
    <w:p>
      <w:pPr>
        <w:pStyle w:val="BodyText"/>
        <w:spacing w:line="249" w:lineRule="auto" w:before="70"/>
        <w:ind w:left="283" w:firstLine="453"/>
        <w:jc w:val="both"/>
      </w:pPr>
      <w:r>
        <w:rPr>
          <w:color w:val="231F1F"/>
          <w:w w:val="105"/>
        </w:rPr>
        <w:t>En</w:t>
      </w:r>
      <w:r>
        <w:rPr>
          <w:color w:val="231F1F"/>
          <w:spacing w:val="-9"/>
          <w:w w:val="105"/>
        </w:rPr>
        <w:t> </w:t>
      </w:r>
      <w:r>
        <w:rPr>
          <w:color w:val="231F1F"/>
          <w:w w:val="105"/>
        </w:rPr>
        <w:t>el</w:t>
      </w:r>
      <w:r>
        <w:rPr>
          <w:color w:val="231F1F"/>
          <w:spacing w:val="-9"/>
          <w:w w:val="105"/>
        </w:rPr>
        <w:t> </w:t>
      </w:r>
      <w:r>
        <w:rPr>
          <w:color w:val="231F1F"/>
          <w:w w:val="105"/>
        </w:rPr>
        <w:t>estudio</w:t>
      </w:r>
      <w:r>
        <w:rPr>
          <w:color w:val="231F1F"/>
          <w:spacing w:val="-9"/>
          <w:w w:val="105"/>
        </w:rPr>
        <w:t> </w:t>
      </w:r>
      <w:r>
        <w:rPr>
          <w:color w:val="231F1F"/>
          <w:w w:val="105"/>
        </w:rPr>
        <w:t>se</w:t>
      </w:r>
      <w:r>
        <w:rPr>
          <w:color w:val="231F1F"/>
          <w:spacing w:val="-9"/>
          <w:w w:val="105"/>
        </w:rPr>
        <w:t> </w:t>
      </w:r>
      <w:r>
        <w:rPr>
          <w:color w:val="231F1F"/>
          <w:w w:val="105"/>
        </w:rPr>
        <w:t>realizó</w:t>
      </w:r>
      <w:r>
        <w:rPr>
          <w:color w:val="231F1F"/>
          <w:spacing w:val="-9"/>
          <w:w w:val="105"/>
        </w:rPr>
        <w:t> </w:t>
      </w:r>
      <w:r>
        <w:rPr>
          <w:color w:val="231F1F"/>
          <w:w w:val="105"/>
        </w:rPr>
        <w:t>una</w:t>
      </w:r>
      <w:r>
        <w:rPr>
          <w:color w:val="231F1F"/>
          <w:spacing w:val="-9"/>
          <w:w w:val="105"/>
        </w:rPr>
        <w:t> </w:t>
      </w:r>
      <w:r>
        <w:rPr>
          <w:color w:val="231F1F"/>
          <w:w w:val="105"/>
        </w:rPr>
        <w:t>regresión</w:t>
      </w:r>
      <w:r>
        <w:rPr>
          <w:color w:val="231F1F"/>
          <w:spacing w:val="-9"/>
          <w:w w:val="105"/>
        </w:rPr>
        <w:t> </w:t>
      </w:r>
      <w:r>
        <w:rPr>
          <w:color w:val="231F1F"/>
          <w:w w:val="105"/>
        </w:rPr>
        <w:t>logística</w:t>
      </w:r>
      <w:r>
        <w:rPr>
          <w:color w:val="231F1F"/>
          <w:spacing w:val="-9"/>
          <w:w w:val="105"/>
        </w:rPr>
        <w:t> </w:t>
      </w:r>
      <w:r>
        <w:rPr>
          <w:color w:val="231F1F"/>
          <w:w w:val="105"/>
        </w:rPr>
        <w:t>para</w:t>
      </w:r>
      <w:r>
        <w:rPr>
          <w:color w:val="231F1F"/>
          <w:spacing w:val="-9"/>
          <w:w w:val="105"/>
        </w:rPr>
        <w:t> </w:t>
      </w:r>
      <w:r>
        <w:rPr>
          <w:color w:val="231F1F"/>
          <w:w w:val="105"/>
        </w:rPr>
        <w:t>identificar</w:t>
      </w:r>
      <w:r>
        <w:rPr>
          <w:color w:val="231F1F"/>
          <w:spacing w:val="-9"/>
          <w:w w:val="105"/>
        </w:rPr>
        <w:t> </w:t>
      </w:r>
      <w:r>
        <w:rPr>
          <w:color w:val="231F1F"/>
          <w:w w:val="105"/>
        </w:rPr>
        <w:t>la</w:t>
      </w:r>
      <w:r>
        <w:rPr>
          <w:color w:val="231F1F"/>
          <w:spacing w:val="-9"/>
          <w:w w:val="105"/>
        </w:rPr>
        <w:t> </w:t>
      </w:r>
      <w:r>
        <w:rPr>
          <w:color w:val="231F1F"/>
          <w:w w:val="105"/>
        </w:rPr>
        <w:t>variables predictoras de lactancia al alta. El análisis reveló que los principales determi- nantes</w:t>
      </w:r>
      <w:r>
        <w:rPr>
          <w:color w:val="231F1F"/>
          <w:w w:val="105"/>
        </w:rPr>
        <w:t> de</w:t>
      </w:r>
      <w:r>
        <w:rPr>
          <w:color w:val="231F1F"/>
          <w:w w:val="105"/>
        </w:rPr>
        <w:t> la</w:t>
      </w:r>
      <w:r>
        <w:rPr>
          <w:color w:val="231F1F"/>
          <w:w w:val="105"/>
        </w:rPr>
        <w:t> alimentación</w:t>
      </w:r>
      <w:r>
        <w:rPr>
          <w:color w:val="231F1F"/>
          <w:w w:val="105"/>
        </w:rPr>
        <w:t> artificial</w:t>
      </w:r>
      <w:r>
        <w:rPr>
          <w:color w:val="231F1F"/>
          <w:w w:val="105"/>
        </w:rPr>
        <w:t> fueron</w:t>
      </w:r>
      <w:r>
        <w:rPr>
          <w:color w:val="231F1F"/>
          <w:w w:val="105"/>
        </w:rPr>
        <w:t> los</w:t>
      </w:r>
      <w:r>
        <w:rPr>
          <w:color w:val="231F1F"/>
          <w:w w:val="105"/>
        </w:rPr>
        <w:t> siguientes:</w:t>
      </w:r>
      <w:r>
        <w:rPr>
          <w:color w:val="231F1F"/>
          <w:w w:val="105"/>
        </w:rPr>
        <w:t> edad</w:t>
      </w:r>
      <w:r>
        <w:rPr>
          <w:color w:val="231F1F"/>
          <w:w w:val="105"/>
        </w:rPr>
        <w:t> materna</w:t>
      </w:r>
      <w:r>
        <w:rPr>
          <w:color w:val="231F1F"/>
          <w:w w:val="105"/>
        </w:rPr>
        <w:t> (por año):</w:t>
      </w:r>
      <w:r>
        <w:rPr>
          <w:color w:val="231F1F"/>
          <w:w w:val="105"/>
        </w:rPr>
        <w:t> OR</w:t>
      </w:r>
      <w:r>
        <w:rPr>
          <w:color w:val="231F1F"/>
          <w:w w:val="105"/>
        </w:rPr>
        <w:t> 0,90</w:t>
      </w:r>
      <w:r>
        <w:rPr>
          <w:color w:val="231F1F"/>
          <w:w w:val="105"/>
        </w:rPr>
        <w:t> [IC</w:t>
      </w:r>
      <w:r>
        <w:rPr>
          <w:color w:val="231F1F"/>
          <w:w w:val="105"/>
        </w:rPr>
        <w:t> 95%:</w:t>
      </w:r>
      <w:r>
        <w:rPr>
          <w:color w:val="231F1F"/>
          <w:w w:val="105"/>
        </w:rPr>
        <w:t> 0,85</w:t>
      </w:r>
      <w:r>
        <w:rPr>
          <w:color w:val="231F1F"/>
          <w:w w:val="105"/>
        </w:rPr>
        <w:t> a</w:t>
      </w:r>
      <w:r>
        <w:rPr>
          <w:color w:val="231F1F"/>
          <w:w w:val="105"/>
        </w:rPr>
        <w:t> 0,95],</w:t>
      </w:r>
      <w:r>
        <w:rPr>
          <w:color w:val="231F1F"/>
          <w:w w:val="105"/>
        </w:rPr>
        <w:t> la</w:t>
      </w:r>
      <w:r>
        <w:rPr>
          <w:color w:val="231F1F"/>
          <w:w w:val="105"/>
        </w:rPr>
        <w:t> ocupación</w:t>
      </w:r>
      <w:r>
        <w:rPr>
          <w:color w:val="231F1F"/>
          <w:w w:val="105"/>
        </w:rPr>
        <w:t> (para</w:t>
      </w:r>
      <w:r>
        <w:rPr>
          <w:color w:val="231F1F"/>
          <w:w w:val="105"/>
        </w:rPr>
        <w:t> cada</w:t>
      </w:r>
      <w:r>
        <w:rPr>
          <w:color w:val="231F1F"/>
          <w:w w:val="105"/>
        </w:rPr>
        <w:t> categoría</w:t>
      </w:r>
      <w:r>
        <w:rPr>
          <w:color w:val="231F1F"/>
          <w:w w:val="105"/>
        </w:rPr>
        <w:t> de desempleada, trabajo manual y no manual): OR</w:t>
      </w:r>
      <w:r>
        <w:rPr>
          <w:color w:val="231F1F"/>
          <w:spacing w:val="-1"/>
          <w:w w:val="105"/>
        </w:rPr>
        <w:t> </w:t>
      </w:r>
      <w:r>
        <w:rPr>
          <w:color w:val="231F1F"/>
          <w:w w:val="105"/>
        </w:rPr>
        <w:t>0,63</w:t>
      </w:r>
      <w:r>
        <w:rPr>
          <w:color w:val="231F1F"/>
          <w:spacing w:val="-1"/>
          <w:w w:val="105"/>
        </w:rPr>
        <w:t> </w:t>
      </w:r>
      <w:r>
        <w:rPr>
          <w:color w:val="231F1F"/>
          <w:w w:val="105"/>
        </w:rPr>
        <w:t>[IC 95%: 0,40</w:t>
      </w:r>
      <w:r>
        <w:rPr>
          <w:color w:val="231F1F"/>
          <w:spacing w:val="-1"/>
          <w:w w:val="105"/>
        </w:rPr>
        <w:t> </w:t>
      </w:r>
      <w:r>
        <w:rPr>
          <w:color w:val="231F1F"/>
          <w:w w:val="105"/>
        </w:rPr>
        <w:t>a</w:t>
      </w:r>
      <w:r>
        <w:rPr>
          <w:color w:val="231F1F"/>
          <w:spacing w:val="-1"/>
          <w:w w:val="105"/>
        </w:rPr>
        <w:t> </w:t>
      </w:r>
      <w:r>
        <w:rPr>
          <w:color w:val="231F1F"/>
          <w:w w:val="105"/>
        </w:rPr>
        <w:t>0,99], la intención</w:t>
      </w:r>
      <w:r>
        <w:rPr>
          <w:color w:val="231F1F"/>
          <w:w w:val="105"/>
        </w:rPr>
        <w:t> prenatal</w:t>
      </w:r>
      <w:r>
        <w:rPr>
          <w:color w:val="231F1F"/>
          <w:w w:val="105"/>
        </w:rPr>
        <w:t> de</w:t>
      </w:r>
      <w:r>
        <w:rPr>
          <w:color w:val="231F1F"/>
          <w:w w:val="105"/>
        </w:rPr>
        <w:t> alimentación</w:t>
      </w:r>
      <w:r>
        <w:rPr>
          <w:color w:val="231F1F"/>
          <w:w w:val="105"/>
        </w:rPr>
        <w:t> (para</w:t>
      </w:r>
      <w:r>
        <w:rPr>
          <w:color w:val="231F1F"/>
          <w:w w:val="105"/>
        </w:rPr>
        <w:t> categorías</w:t>
      </w:r>
      <w:r>
        <w:rPr>
          <w:color w:val="231F1F"/>
          <w:w w:val="105"/>
        </w:rPr>
        <w:t> de</w:t>
      </w:r>
      <w:r>
        <w:rPr>
          <w:color w:val="231F1F"/>
          <w:w w:val="105"/>
        </w:rPr>
        <w:t> alimentación</w:t>
      </w:r>
      <w:r>
        <w:rPr>
          <w:color w:val="231F1F"/>
          <w:w w:val="105"/>
        </w:rPr>
        <w:t> con</w:t>
      </w:r>
      <w:r>
        <w:rPr>
          <w:color w:val="231F1F"/>
          <w:w w:val="105"/>
        </w:rPr>
        <w:t> bi- berón,</w:t>
      </w:r>
      <w:r>
        <w:rPr>
          <w:color w:val="231F1F"/>
          <w:spacing w:val="-10"/>
          <w:w w:val="105"/>
        </w:rPr>
        <w:t> </w:t>
      </w:r>
      <w:r>
        <w:rPr>
          <w:color w:val="231F1F"/>
          <w:w w:val="105"/>
        </w:rPr>
        <w:t>indecisas</w:t>
      </w:r>
      <w:r>
        <w:rPr>
          <w:color w:val="231F1F"/>
          <w:spacing w:val="-10"/>
          <w:w w:val="105"/>
        </w:rPr>
        <w:t> </w:t>
      </w:r>
      <w:r>
        <w:rPr>
          <w:color w:val="231F1F"/>
          <w:w w:val="105"/>
        </w:rPr>
        <w:t>y</w:t>
      </w:r>
      <w:r>
        <w:rPr>
          <w:color w:val="231F1F"/>
          <w:spacing w:val="-10"/>
          <w:w w:val="105"/>
        </w:rPr>
        <w:t> </w:t>
      </w:r>
      <w:r>
        <w:rPr>
          <w:color w:val="231F1F"/>
          <w:w w:val="105"/>
        </w:rPr>
        <w:t>lactancia</w:t>
      </w:r>
      <w:r>
        <w:rPr>
          <w:color w:val="231F1F"/>
          <w:spacing w:val="-11"/>
          <w:w w:val="105"/>
        </w:rPr>
        <w:t> </w:t>
      </w:r>
      <w:r>
        <w:rPr>
          <w:color w:val="231F1F"/>
          <w:w w:val="105"/>
        </w:rPr>
        <w:t>materna):</w:t>
      </w:r>
      <w:r>
        <w:rPr>
          <w:color w:val="231F1F"/>
          <w:spacing w:val="-10"/>
          <w:w w:val="105"/>
        </w:rPr>
        <w:t> </w:t>
      </w:r>
      <w:r>
        <w:rPr>
          <w:color w:val="231F1F"/>
          <w:w w:val="105"/>
        </w:rPr>
        <w:t>OR</w:t>
      </w:r>
      <w:r>
        <w:rPr>
          <w:color w:val="231F1F"/>
          <w:spacing w:val="-10"/>
          <w:w w:val="105"/>
        </w:rPr>
        <w:t> </w:t>
      </w:r>
      <w:r>
        <w:rPr>
          <w:color w:val="231F1F"/>
          <w:w w:val="105"/>
        </w:rPr>
        <w:t>0,12</w:t>
      </w:r>
      <w:r>
        <w:rPr>
          <w:color w:val="231F1F"/>
          <w:spacing w:val="-10"/>
          <w:w w:val="105"/>
        </w:rPr>
        <w:t> </w:t>
      </w:r>
      <w:r>
        <w:rPr>
          <w:color w:val="231F1F"/>
          <w:w w:val="105"/>
        </w:rPr>
        <w:t>[IC</w:t>
      </w:r>
      <w:r>
        <w:rPr>
          <w:color w:val="231F1F"/>
          <w:spacing w:val="-10"/>
          <w:w w:val="105"/>
        </w:rPr>
        <w:t> </w:t>
      </w:r>
      <w:r>
        <w:rPr>
          <w:color w:val="231F1F"/>
          <w:w w:val="105"/>
        </w:rPr>
        <w:t>95%</w:t>
      </w:r>
      <w:r>
        <w:rPr>
          <w:color w:val="231F1F"/>
          <w:spacing w:val="-10"/>
          <w:w w:val="105"/>
        </w:rPr>
        <w:t> </w:t>
      </w:r>
      <w:r>
        <w:rPr>
          <w:color w:val="231F1F"/>
          <w:w w:val="105"/>
        </w:rPr>
        <w:t>0,08</w:t>
      </w:r>
      <w:r>
        <w:rPr>
          <w:color w:val="231F1F"/>
          <w:spacing w:val="-10"/>
          <w:w w:val="105"/>
        </w:rPr>
        <w:t> </w:t>
      </w:r>
      <w:r>
        <w:rPr>
          <w:color w:val="231F1F"/>
          <w:w w:val="105"/>
        </w:rPr>
        <w:t>a</w:t>
      </w:r>
      <w:r>
        <w:rPr>
          <w:color w:val="231F1F"/>
          <w:spacing w:val="-10"/>
          <w:w w:val="105"/>
        </w:rPr>
        <w:t> </w:t>
      </w:r>
      <w:r>
        <w:rPr>
          <w:color w:val="231F1F"/>
          <w:w w:val="105"/>
        </w:rPr>
        <w:t>0,19],</w:t>
      </w:r>
      <w:r>
        <w:rPr>
          <w:color w:val="231F1F"/>
          <w:spacing w:val="-10"/>
          <w:w w:val="105"/>
        </w:rPr>
        <w:t> </w:t>
      </w:r>
      <w:r>
        <w:rPr>
          <w:color w:val="231F1F"/>
          <w:w w:val="105"/>
        </w:rPr>
        <w:t>la</w:t>
      </w:r>
      <w:r>
        <w:rPr>
          <w:color w:val="231F1F"/>
          <w:spacing w:val="-10"/>
          <w:w w:val="105"/>
        </w:rPr>
        <w:t> </w:t>
      </w:r>
      <w:r>
        <w:rPr>
          <w:color w:val="231F1F"/>
          <w:w w:val="105"/>
        </w:rPr>
        <w:t>cesárea (cesárea o parto vaginal): OR 0,25 [IC 95% 0,13 a 0,47] y la dosis de fentani- lo</w:t>
      </w:r>
      <w:r>
        <w:rPr>
          <w:color w:val="231F1F"/>
          <w:w w:val="105"/>
        </w:rPr>
        <w:t> administrada:</w:t>
      </w:r>
      <w:r>
        <w:rPr>
          <w:color w:val="231F1F"/>
          <w:w w:val="105"/>
        </w:rPr>
        <w:t> OR</w:t>
      </w:r>
      <w:r>
        <w:rPr>
          <w:color w:val="231F1F"/>
          <w:w w:val="105"/>
        </w:rPr>
        <w:t> 1,0004</w:t>
      </w:r>
      <w:r>
        <w:rPr>
          <w:color w:val="231F1F"/>
          <w:w w:val="105"/>
        </w:rPr>
        <w:t> [IC</w:t>
      </w:r>
      <w:r>
        <w:rPr>
          <w:color w:val="231F1F"/>
          <w:w w:val="105"/>
        </w:rPr>
        <w:t> 95%:</w:t>
      </w:r>
      <w:r>
        <w:rPr>
          <w:color w:val="231F1F"/>
          <w:w w:val="105"/>
        </w:rPr>
        <w:t> 1,000</w:t>
      </w:r>
      <w:r>
        <w:rPr>
          <w:color w:val="231F1F"/>
          <w:w w:val="105"/>
        </w:rPr>
        <w:t> a</w:t>
      </w:r>
      <w:r>
        <w:rPr>
          <w:color w:val="231F1F"/>
          <w:w w:val="105"/>
        </w:rPr>
        <w:t> 1,008]</w:t>
      </w:r>
      <w:r>
        <w:rPr>
          <w:color w:val="231F1F"/>
          <w:w w:val="105"/>
        </w:rPr>
        <w:t> por</w:t>
      </w:r>
      <w:r>
        <w:rPr>
          <w:color w:val="231F1F"/>
          <w:w w:val="105"/>
        </w:rPr>
        <w:t> cada</w:t>
      </w:r>
      <w:r>
        <w:rPr>
          <w:color w:val="231F1F"/>
          <w:w w:val="105"/>
        </w:rPr>
        <w:t> microgramo administrado en el rango de 8 a 500 μg. Esta relación dosis-respuesta entre la lactancia</w:t>
      </w:r>
      <w:r>
        <w:rPr>
          <w:color w:val="231F1F"/>
          <w:w w:val="105"/>
        </w:rPr>
        <w:t> artificial</w:t>
      </w:r>
      <w:r>
        <w:rPr>
          <w:color w:val="231F1F"/>
          <w:w w:val="105"/>
        </w:rPr>
        <w:t> y</w:t>
      </w:r>
      <w:r>
        <w:rPr>
          <w:color w:val="231F1F"/>
          <w:w w:val="105"/>
        </w:rPr>
        <w:t> el</w:t>
      </w:r>
      <w:r>
        <w:rPr>
          <w:color w:val="231F1F"/>
          <w:w w:val="105"/>
        </w:rPr>
        <w:t> fentanilo</w:t>
      </w:r>
      <w:r>
        <w:rPr>
          <w:color w:val="231F1F"/>
          <w:w w:val="105"/>
        </w:rPr>
        <w:t> no</w:t>
      </w:r>
      <w:r>
        <w:rPr>
          <w:color w:val="231F1F"/>
          <w:w w:val="105"/>
        </w:rPr>
        <w:t> ha</w:t>
      </w:r>
      <w:r>
        <w:rPr>
          <w:color w:val="231F1F"/>
          <w:w w:val="105"/>
        </w:rPr>
        <w:t> sido</w:t>
      </w:r>
      <w:r>
        <w:rPr>
          <w:color w:val="231F1F"/>
          <w:w w:val="105"/>
        </w:rPr>
        <w:t> documentada</w:t>
      </w:r>
      <w:r>
        <w:rPr>
          <w:color w:val="231F1F"/>
          <w:w w:val="105"/>
        </w:rPr>
        <w:t> con</w:t>
      </w:r>
      <w:r>
        <w:rPr>
          <w:color w:val="231F1F"/>
          <w:w w:val="105"/>
        </w:rPr>
        <w:t> anterioridad. Cuando</w:t>
      </w:r>
      <w:r>
        <w:rPr>
          <w:color w:val="231F1F"/>
          <w:spacing w:val="30"/>
          <w:w w:val="105"/>
        </w:rPr>
        <w:t> </w:t>
      </w:r>
      <w:r>
        <w:rPr>
          <w:color w:val="231F1F"/>
          <w:w w:val="105"/>
        </w:rPr>
        <w:t>se</w:t>
      </w:r>
      <w:r>
        <w:rPr>
          <w:color w:val="231F1F"/>
          <w:spacing w:val="31"/>
          <w:w w:val="105"/>
        </w:rPr>
        <w:t> </w:t>
      </w:r>
      <w:r>
        <w:rPr>
          <w:color w:val="231F1F"/>
          <w:w w:val="105"/>
        </w:rPr>
        <w:t>tienen</w:t>
      </w:r>
      <w:r>
        <w:rPr>
          <w:color w:val="231F1F"/>
          <w:spacing w:val="31"/>
          <w:w w:val="105"/>
        </w:rPr>
        <w:t> </w:t>
      </w:r>
      <w:r>
        <w:rPr>
          <w:color w:val="231F1F"/>
          <w:w w:val="105"/>
        </w:rPr>
        <w:t>en</w:t>
      </w:r>
      <w:r>
        <w:rPr>
          <w:color w:val="231F1F"/>
          <w:spacing w:val="31"/>
          <w:w w:val="105"/>
        </w:rPr>
        <w:t> </w:t>
      </w:r>
      <w:r>
        <w:rPr>
          <w:color w:val="231F1F"/>
          <w:w w:val="105"/>
        </w:rPr>
        <w:t>cuenta</w:t>
      </w:r>
      <w:r>
        <w:rPr>
          <w:color w:val="231F1F"/>
          <w:spacing w:val="31"/>
          <w:w w:val="105"/>
        </w:rPr>
        <w:t> </w:t>
      </w:r>
      <w:r>
        <w:rPr>
          <w:color w:val="231F1F"/>
          <w:w w:val="105"/>
        </w:rPr>
        <w:t>los</w:t>
      </w:r>
      <w:r>
        <w:rPr>
          <w:color w:val="231F1F"/>
          <w:spacing w:val="31"/>
          <w:w w:val="105"/>
        </w:rPr>
        <w:t> </w:t>
      </w:r>
      <w:r>
        <w:rPr>
          <w:color w:val="231F1F"/>
          <w:w w:val="105"/>
        </w:rPr>
        <w:t>factores</w:t>
      </w:r>
      <w:r>
        <w:rPr>
          <w:color w:val="231F1F"/>
          <w:spacing w:val="31"/>
          <w:w w:val="105"/>
        </w:rPr>
        <w:t> </w:t>
      </w:r>
      <w:r>
        <w:rPr>
          <w:color w:val="231F1F"/>
          <w:w w:val="105"/>
        </w:rPr>
        <w:t>determinantes</w:t>
      </w:r>
      <w:r>
        <w:rPr>
          <w:color w:val="231F1F"/>
          <w:spacing w:val="29"/>
          <w:w w:val="105"/>
        </w:rPr>
        <w:t> </w:t>
      </w:r>
      <w:r>
        <w:rPr>
          <w:color w:val="231F1F"/>
          <w:w w:val="105"/>
        </w:rPr>
        <w:t>bien</w:t>
      </w:r>
      <w:r>
        <w:rPr>
          <w:color w:val="231F1F"/>
          <w:spacing w:val="31"/>
          <w:w w:val="105"/>
        </w:rPr>
        <w:t> </w:t>
      </w:r>
      <w:r>
        <w:rPr>
          <w:color w:val="231F1F"/>
          <w:w w:val="105"/>
        </w:rPr>
        <w:t>establecidos</w:t>
      </w:r>
      <w:r>
        <w:rPr>
          <w:color w:val="231F1F"/>
          <w:spacing w:val="31"/>
          <w:w w:val="105"/>
        </w:rPr>
        <w:t> </w:t>
      </w:r>
      <w:r>
        <w:rPr>
          <w:color w:val="231F1F"/>
          <w:w w:val="105"/>
        </w:rPr>
        <w:t>de la alimentación infantil, parece que la administración de fentanilo durante el parto,</w:t>
      </w:r>
      <w:r>
        <w:rPr>
          <w:color w:val="231F1F"/>
          <w:w w:val="105"/>
        </w:rPr>
        <w:t> especialmente</w:t>
      </w:r>
      <w:r>
        <w:rPr>
          <w:color w:val="231F1F"/>
          <w:w w:val="105"/>
        </w:rPr>
        <w:t> en</w:t>
      </w:r>
      <w:r>
        <w:rPr>
          <w:color w:val="231F1F"/>
          <w:w w:val="105"/>
        </w:rPr>
        <w:t> dosis</w:t>
      </w:r>
      <w:r>
        <w:rPr>
          <w:color w:val="231F1F"/>
          <w:w w:val="105"/>
        </w:rPr>
        <w:t> altas,</w:t>
      </w:r>
      <w:r>
        <w:rPr>
          <w:color w:val="231F1F"/>
          <w:w w:val="105"/>
        </w:rPr>
        <w:t> puede</w:t>
      </w:r>
      <w:r>
        <w:rPr>
          <w:color w:val="231F1F"/>
          <w:w w:val="105"/>
        </w:rPr>
        <w:t> dificultar</w:t>
      </w:r>
      <w:r>
        <w:rPr>
          <w:color w:val="231F1F"/>
          <w:w w:val="105"/>
        </w:rPr>
        <w:t> el</w:t>
      </w:r>
      <w:r>
        <w:rPr>
          <w:color w:val="231F1F"/>
          <w:w w:val="105"/>
        </w:rPr>
        <w:t> establecimiento</w:t>
      </w:r>
      <w:r>
        <w:rPr>
          <w:color w:val="231F1F"/>
          <w:w w:val="105"/>
        </w:rPr>
        <w:t> de</w:t>
      </w:r>
      <w:r>
        <w:rPr>
          <w:color w:val="231F1F"/>
          <w:w w:val="105"/>
        </w:rPr>
        <w:t> la lactancia materna.</w:t>
      </w:r>
    </w:p>
    <w:p>
      <w:pPr>
        <w:pStyle w:val="BodyText"/>
        <w:spacing w:line="244" w:lineRule="auto" w:before="52"/>
        <w:ind w:left="283" w:firstLine="453"/>
        <w:jc w:val="both"/>
      </w:pPr>
      <w:r>
        <w:rPr>
          <w:color w:val="231F1F"/>
          <w:w w:val="110"/>
        </w:rPr>
        <w:t>Se</w:t>
      </w:r>
      <w:r>
        <w:rPr>
          <w:color w:val="231F1F"/>
          <w:spacing w:val="-14"/>
          <w:w w:val="110"/>
        </w:rPr>
        <w:t> </w:t>
      </w:r>
      <w:r>
        <w:rPr>
          <w:color w:val="231F1F"/>
          <w:w w:val="110"/>
        </w:rPr>
        <w:t>sugiere</w:t>
      </w:r>
      <w:r>
        <w:rPr>
          <w:color w:val="231F1F"/>
          <w:spacing w:val="-14"/>
          <w:w w:val="110"/>
        </w:rPr>
        <w:t> </w:t>
      </w:r>
      <w:r>
        <w:rPr>
          <w:color w:val="231F1F"/>
          <w:w w:val="110"/>
        </w:rPr>
        <w:t>una</w:t>
      </w:r>
      <w:r>
        <w:rPr>
          <w:color w:val="231F1F"/>
          <w:spacing w:val="-14"/>
          <w:w w:val="110"/>
        </w:rPr>
        <w:t> </w:t>
      </w:r>
      <w:r>
        <w:rPr>
          <w:color w:val="231F1F"/>
          <w:w w:val="110"/>
        </w:rPr>
        <w:t>débil</w:t>
      </w:r>
      <w:r>
        <w:rPr>
          <w:color w:val="231F1F"/>
          <w:spacing w:val="-14"/>
          <w:w w:val="110"/>
        </w:rPr>
        <w:t> </w:t>
      </w:r>
      <w:r>
        <w:rPr>
          <w:color w:val="231F1F"/>
          <w:w w:val="110"/>
        </w:rPr>
        <w:t>asociación</w:t>
      </w:r>
      <w:r>
        <w:rPr>
          <w:color w:val="231F1F"/>
          <w:spacing w:val="-14"/>
          <w:w w:val="110"/>
        </w:rPr>
        <w:t> </w:t>
      </w:r>
      <w:r>
        <w:rPr>
          <w:color w:val="231F1F"/>
          <w:w w:val="110"/>
        </w:rPr>
        <w:t>entre</w:t>
      </w:r>
      <w:r>
        <w:rPr>
          <w:color w:val="231F1F"/>
          <w:spacing w:val="-14"/>
          <w:w w:val="110"/>
        </w:rPr>
        <w:t> </w:t>
      </w:r>
      <w:r>
        <w:rPr>
          <w:color w:val="231F1F"/>
          <w:w w:val="110"/>
        </w:rPr>
        <w:t>la</w:t>
      </w:r>
      <w:r>
        <w:rPr>
          <w:color w:val="231F1F"/>
          <w:spacing w:val="-14"/>
          <w:w w:val="110"/>
        </w:rPr>
        <w:t> </w:t>
      </w:r>
      <w:r>
        <w:rPr>
          <w:color w:val="231F1F"/>
          <w:w w:val="110"/>
        </w:rPr>
        <w:t>dosis</w:t>
      </w:r>
      <w:r>
        <w:rPr>
          <w:color w:val="231F1F"/>
          <w:spacing w:val="-14"/>
          <w:w w:val="110"/>
        </w:rPr>
        <w:t> </w:t>
      </w:r>
      <w:r>
        <w:rPr>
          <w:color w:val="231F1F"/>
          <w:w w:val="110"/>
        </w:rPr>
        <w:t>de</w:t>
      </w:r>
      <w:r>
        <w:rPr>
          <w:color w:val="231F1F"/>
          <w:spacing w:val="-14"/>
          <w:w w:val="110"/>
        </w:rPr>
        <w:t> </w:t>
      </w:r>
      <w:r>
        <w:rPr>
          <w:color w:val="231F1F"/>
          <w:w w:val="110"/>
        </w:rPr>
        <w:t>fentanilo</w:t>
      </w:r>
      <w:r>
        <w:rPr>
          <w:color w:val="231F1F"/>
          <w:spacing w:val="-13"/>
          <w:w w:val="110"/>
        </w:rPr>
        <w:t> </w:t>
      </w:r>
      <w:r>
        <w:rPr>
          <w:color w:val="231F1F"/>
          <w:w w:val="110"/>
        </w:rPr>
        <w:t>administrado durante</w:t>
      </w:r>
      <w:r>
        <w:rPr>
          <w:color w:val="231F1F"/>
          <w:spacing w:val="-16"/>
          <w:w w:val="110"/>
        </w:rPr>
        <w:t> </w:t>
      </w:r>
      <w:r>
        <w:rPr>
          <w:color w:val="231F1F"/>
          <w:w w:val="110"/>
        </w:rPr>
        <w:t>el</w:t>
      </w:r>
      <w:r>
        <w:rPr>
          <w:color w:val="231F1F"/>
          <w:spacing w:val="-15"/>
          <w:w w:val="110"/>
        </w:rPr>
        <w:t> </w:t>
      </w:r>
      <w:r>
        <w:rPr>
          <w:color w:val="231F1F"/>
          <w:w w:val="110"/>
        </w:rPr>
        <w:t>parto</w:t>
      </w:r>
      <w:r>
        <w:rPr>
          <w:color w:val="231F1F"/>
          <w:spacing w:val="-15"/>
          <w:w w:val="110"/>
        </w:rPr>
        <w:t> </w:t>
      </w:r>
      <w:r>
        <w:rPr>
          <w:color w:val="231F1F"/>
          <w:w w:val="110"/>
        </w:rPr>
        <w:t>y</w:t>
      </w:r>
      <w:r>
        <w:rPr>
          <w:color w:val="231F1F"/>
          <w:spacing w:val="-15"/>
          <w:w w:val="110"/>
        </w:rPr>
        <w:t> </w:t>
      </w:r>
      <w:r>
        <w:rPr>
          <w:color w:val="231F1F"/>
          <w:w w:val="110"/>
        </w:rPr>
        <w:t>la</w:t>
      </w:r>
      <w:r>
        <w:rPr>
          <w:color w:val="231F1F"/>
          <w:spacing w:val="-15"/>
          <w:w w:val="110"/>
        </w:rPr>
        <w:t> </w:t>
      </w:r>
      <w:r>
        <w:rPr>
          <w:color w:val="231F1F"/>
          <w:w w:val="110"/>
        </w:rPr>
        <w:t>duración</w:t>
      </w:r>
      <w:r>
        <w:rPr>
          <w:color w:val="231F1F"/>
          <w:spacing w:val="-15"/>
          <w:w w:val="110"/>
        </w:rPr>
        <w:t> </w:t>
      </w:r>
      <w:r>
        <w:rPr>
          <w:color w:val="231F1F"/>
          <w:w w:val="110"/>
        </w:rPr>
        <w:t>y</w:t>
      </w:r>
      <w:r>
        <w:rPr>
          <w:color w:val="231F1F"/>
          <w:spacing w:val="-15"/>
          <w:w w:val="110"/>
        </w:rPr>
        <w:t> </w:t>
      </w:r>
      <w:r>
        <w:rPr>
          <w:color w:val="231F1F"/>
          <w:w w:val="110"/>
        </w:rPr>
        <w:t>el</w:t>
      </w:r>
      <w:r>
        <w:rPr>
          <w:color w:val="231F1F"/>
          <w:spacing w:val="-15"/>
          <w:w w:val="110"/>
        </w:rPr>
        <w:t> </w:t>
      </w:r>
      <w:r>
        <w:rPr>
          <w:color w:val="231F1F"/>
          <w:w w:val="110"/>
        </w:rPr>
        <w:t>éxito</w:t>
      </w:r>
      <w:r>
        <w:rPr>
          <w:color w:val="231F1F"/>
          <w:spacing w:val="-16"/>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lactancia</w:t>
      </w:r>
      <w:r>
        <w:rPr>
          <w:color w:val="231F1F"/>
          <w:spacing w:val="-15"/>
          <w:w w:val="110"/>
        </w:rPr>
        <w:t> </w:t>
      </w:r>
      <w:r>
        <w:rPr>
          <w:color w:val="231F1F"/>
          <w:w w:val="110"/>
        </w:rPr>
        <w:t>materna,</w:t>
      </w:r>
      <w:r>
        <w:rPr>
          <w:color w:val="231F1F"/>
          <w:spacing w:val="-15"/>
          <w:w w:val="110"/>
        </w:rPr>
        <w:t> </w:t>
      </w:r>
      <w:r>
        <w:rPr>
          <w:color w:val="231F1F"/>
          <w:w w:val="110"/>
        </w:rPr>
        <w:t>aunque</w:t>
      </w:r>
      <w:r>
        <w:rPr>
          <w:color w:val="231F1F"/>
          <w:spacing w:val="-15"/>
          <w:w w:val="110"/>
        </w:rPr>
        <w:t> </w:t>
      </w:r>
      <w:r>
        <w:rPr>
          <w:color w:val="231F1F"/>
          <w:w w:val="110"/>
        </w:rPr>
        <w:t>exis- ten otras variables como la edad materna, ocupación, etc.</w:t>
      </w:r>
    </w:p>
    <w:p>
      <w:pPr>
        <w:pStyle w:val="BodyText"/>
        <w:spacing w:before="167"/>
      </w:pPr>
    </w:p>
    <w:p>
      <w:pPr>
        <w:pStyle w:val="Heading5"/>
        <w:jc w:val="both"/>
      </w:pPr>
      <w:r>
        <w:rPr>
          <w:color w:val="231F1F"/>
        </w:rPr>
        <w:t>Efectos</w:t>
      </w:r>
      <w:r>
        <w:rPr>
          <w:color w:val="231F1F"/>
          <w:spacing w:val="-6"/>
        </w:rPr>
        <w:t> </w:t>
      </w:r>
      <w:r>
        <w:rPr>
          <w:color w:val="231F1F"/>
        </w:rPr>
        <w:t>en</w:t>
      </w:r>
      <w:r>
        <w:rPr>
          <w:color w:val="231F1F"/>
          <w:spacing w:val="-6"/>
        </w:rPr>
        <w:t> </w:t>
      </w:r>
      <w:r>
        <w:rPr>
          <w:color w:val="231F1F"/>
        </w:rPr>
        <w:t>la</w:t>
      </w:r>
      <w:r>
        <w:rPr>
          <w:color w:val="231F1F"/>
          <w:spacing w:val="-5"/>
        </w:rPr>
        <w:t> FCF</w:t>
      </w:r>
    </w:p>
    <w:p>
      <w:pPr>
        <w:pStyle w:val="BodyText"/>
        <w:spacing w:line="244" w:lineRule="auto" w:before="210"/>
        <w:ind w:left="283" w:right="1"/>
        <w:jc w:val="both"/>
      </w:pPr>
      <w:r>
        <w:rPr>
          <w:color w:val="231F1F"/>
          <w:w w:val="105"/>
        </w:rPr>
        <w:t>Los estudios que evaluan la influencia de la analgesia regional en la FCF se han resumido en la sección de MEFC con analgesia neuroaxial en la pregun-</w:t>
      </w:r>
      <w:r>
        <w:rPr>
          <w:color w:val="231F1F"/>
          <w:spacing w:val="40"/>
          <w:w w:val="105"/>
        </w:rPr>
        <w:t> </w:t>
      </w:r>
      <w:r>
        <w:rPr>
          <w:color w:val="231F1F"/>
          <w:w w:val="105"/>
        </w:rPr>
        <w:t>ta sobre vigilancia materna con analgesia neuroaxial, incluyendose cinco es- tudios de buena calidad (342;344-347;357).</w:t>
      </w:r>
    </w:p>
    <w:p>
      <w:pPr>
        <w:pStyle w:val="BodyText"/>
        <w:spacing w:line="244" w:lineRule="auto" w:before="105"/>
        <w:ind w:left="283" w:firstLine="453"/>
        <w:jc w:val="both"/>
      </w:pPr>
      <w:r>
        <w:rPr>
          <w:color w:val="231F1F"/>
          <w:w w:val="110"/>
        </w:rPr>
        <w:t>En</w:t>
      </w:r>
      <w:r>
        <w:rPr>
          <w:color w:val="231F1F"/>
          <w:spacing w:val="-8"/>
          <w:w w:val="110"/>
        </w:rPr>
        <w:t> </w:t>
      </w:r>
      <w:r>
        <w:rPr>
          <w:color w:val="231F1F"/>
          <w:w w:val="110"/>
        </w:rPr>
        <w:t>resumen</w:t>
      </w:r>
      <w:r>
        <w:rPr>
          <w:color w:val="231F1F"/>
          <w:spacing w:val="-9"/>
          <w:w w:val="110"/>
        </w:rPr>
        <w:t> </w:t>
      </w:r>
      <w:r>
        <w:rPr>
          <w:color w:val="231F1F"/>
          <w:w w:val="110"/>
        </w:rPr>
        <w:t>se</w:t>
      </w:r>
      <w:r>
        <w:rPr>
          <w:color w:val="231F1F"/>
          <w:spacing w:val="-9"/>
          <w:w w:val="110"/>
        </w:rPr>
        <w:t> </w:t>
      </w:r>
      <w:r>
        <w:rPr>
          <w:color w:val="231F1F"/>
          <w:w w:val="110"/>
        </w:rPr>
        <w:t>observan</w:t>
      </w:r>
      <w:r>
        <w:rPr>
          <w:color w:val="231F1F"/>
          <w:spacing w:val="-9"/>
          <w:w w:val="110"/>
        </w:rPr>
        <w:t> </w:t>
      </w:r>
      <w:r>
        <w:rPr>
          <w:color w:val="231F1F"/>
          <w:w w:val="110"/>
        </w:rPr>
        <w:t>pruebas</w:t>
      </w:r>
      <w:r>
        <w:rPr>
          <w:color w:val="231F1F"/>
          <w:spacing w:val="-9"/>
          <w:w w:val="110"/>
        </w:rPr>
        <w:t> </w:t>
      </w:r>
      <w:r>
        <w:rPr>
          <w:color w:val="231F1F"/>
          <w:w w:val="110"/>
        </w:rPr>
        <w:t>que</w:t>
      </w:r>
      <w:r>
        <w:rPr>
          <w:color w:val="231F1F"/>
          <w:spacing w:val="-9"/>
          <w:w w:val="110"/>
        </w:rPr>
        <w:t> </w:t>
      </w:r>
      <w:r>
        <w:rPr>
          <w:color w:val="231F1F"/>
          <w:w w:val="110"/>
        </w:rPr>
        <w:t>los</w:t>
      </w:r>
      <w:r>
        <w:rPr>
          <w:color w:val="231F1F"/>
          <w:spacing w:val="-9"/>
          <w:w w:val="110"/>
        </w:rPr>
        <w:t> </w:t>
      </w:r>
      <w:r>
        <w:rPr>
          <w:color w:val="231F1F"/>
          <w:w w:val="110"/>
        </w:rPr>
        <w:t>opioides</w:t>
      </w:r>
      <w:r>
        <w:rPr>
          <w:color w:val="231F1F"/>
          <w:spacing w:val="-9"/>
          <w:w w:val="110"/>
        </w:rPr>
        <w:t> </w:t>
      </w:r>
      <w:r>
        <w:rPr>
          <w:color w:val="231F1F"/>
          <w:w w:val="110"/>
        </w:rPr>
        <w:t>por</w:t>
      </w:r>
      <w:r>
        <w:rPr>
          <w:color w:val="231F1F"/>
          <w:spacing w:val="-9"/>
          <w:w w:val="110"/>
        </w:rPr>
        <w:t> </w:t>
      </w:r>
      <w:r>
        <w:rPr>
          <w:color w:val="231F1F"/>
          <w:w w:val="110"/>
        </w:rPr>
        <w:t>vía</w:t>
      </w:r>
      <w:r>
        <w:rPr>
          <w:color w:val="231F1F"/>
          <w:spacing w:val="-9"/>
          <w:w w:val="110"/>
        </w:rPr>
        <w:t> </w:t>
      </w:r>
      <w:r>
        <w:rPr>
          <w:color w:val="231F1F"/>
          <w:w w:val="110"/>
        </w:rPr>
        <w:t>intratecal</w:t>
      </w:r>
      <w:r>
        <w:rPr>
          <w:color w:val="231F1F"/>
          <w:spacing w:val="-9"/>
          <w:w w:val="110"/>
        </w:rPr>
        <w:t> </w:t>
      </w:r>
      <w:r>
        <w:rPr>
          <w:color w:val="231F1F"/>
          <w:w w:val="110"/>
        </w:rPr>
        <w:t>au- mentan</w:t>
      </w:r>
      <w:r>
        <w:rPr>
          <w:color w:val="231F1F"/>
          <w:spacing w:val="-14"/>
          <w:w w:val="110"/>
        </w:rPr>
        <w:t> </w:t>
      </w:r>
      <w:r>
        <w:rPr>
          <w:color w:val="231F1F"/>
          <w:w w:val="110"/>
        </w:rPr>
        <w:t>la</w:t>
      </w:r>
      <w:r>
        <w:rPr>
          <w:color w:val="231F1F"/>
          <w:spacing w:val="-14"/>
          <w:w w:val="110"/>
        </w:rPr>
        <w:t> </w:t>
      </w:r>
      <w:r>
        <w:rPr>
          <w:color w:val="231F1F"/>
          <w:w w:val="110"/>
        </w:rPr>
        <w:t>incidencia</w:t>
      </w:r>
      <w:r>
        <w:rPr>
          <w:color w:val="231F1F"/>
          <w:spacing w:val="-14"/>
          <w:w w:val="110"/>
        </w:rPr>
        <w:t> </w:t>
      </w:r>
      <w:r>
        <w:rPr>
          <w:color w:val="231F1F"/>
          <w:w w:val="110"/>
        </w:rPr>
        <w:t>de</w:t>
      </w:r>
      <w:r>
        <w:rPr>
          <w:color w:val="231F1F"/>
          <w:spacing w:val="-14"/>
          <w:w w:val="110"/>
        </w:rPr>
        <w:t> </w:t>
      </w:r>
      <w:r>
        <w:rPr>
          <w:color w:val="231F1F"/>
          <w:w w:val="110"/>
        </w:rPr>
        <w:t>bradicardia</w:t>
      </w:r>
      <w:r>
        <w:rPr>
          <w:color w:val="231F1F"/>
          <w:spacing w:val="-15"/>
          <w:w w:val="110"/>
        </w:rPr>
        <w:t> </w:t>
      </w:r>
      <w:r>
        <w:rPr>
          <w:color w:val="231F1F"/>
          <w:w w:val="110"/>
        </w:rPr>
        <w:t>fetal</w:t>
      </w:r>
      <w:r>
        <w:rPr>
          <w:color w:val="231F1F"/>
          <w:spacing w:val="-15"/>
          <w:w w:val="110"/>
        </w:rPr>
        <w:t> </w:t>
      </w:r>
      <w:r>
        <w:rPr>
          <w:color w:val="231F1F"/>
          <w:w w:val="110"/>
        </w:rPr>
        <w:t>en</w:t>
      </w:r>
      <w:r>
        <w:rPr>
          <w:color w:val="231F1F"/>
          <w:spacing w:val="-14"/>
          <w:w w:val="110"/>
        </w:rPr>
        <w:t> </w:t>
      </w:r>
      <w:r>
        <w:rPr>
          <w:color w:val="231F1F"/>
          <w:w w:val="110"/>
        </w:rPr>
        <w:t>la</w:t>
      </w:r>
      <w:r>
        <w:rPr>
          <w:color w:val="231F1F"/>
          <w:spacing w:val="-14"/>
          <w:w w:val="110"/>
        </w:rPr>
        <w:t> </w:t>
      </w:r>
      <w:r>
        <w:rPr>
          <w:color w:val="231F1F"/>
          <w:w w:val="110"/>
        </w:rPr>
        <w:t>1</w:t>
      </w:r>
      <w:r>
        <w:rPr>
          <w:color w:val="231F1F"/>
          <w:spacing w:val="-14"/>
          <w:w w:val="110"/>
        </w:rPr>
        <w:t> </w:t>
      </w:r>
      <w:r>
        <w:rPr>
          <w:color w:val="231F1F"/>
          <w:w w:val="110"/>
        </w:rPr>
        <w:t>hora</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instauración</w:t>
      </w:r>
      <w:r>
        <w:rPr>
          <w:color w:val="231F1F"/>
          <w:spacing w:val="-14"/>
          <w:w w:val="110"/>
        </w:rPr>
        <w:t> </w:t>
      </w:r>
      <w:r>
        <w:rPr>
          <w:color w:val="231F1F"/>
          <w:w w:val="110"/>
        </w:rPr>
        <w:t>de</w:t>
      </w:r>
      <w:r>
        <w:rPr>
          <w:color w:val="231F1F"/>
          <w:spacing w:val="-14"/>
          <w:w w:val="110"/>
        </w:rPr>
        <w:t> </w:t>
      </w:r>
      <w:r>
        <w:rPr>
          <w:color w:val="231F1F"/>
          <w:w w:val="110"/>
        </w:rPr>
        <w:t>la analgesia</w:t>
      </w:r>
      <w:r>
        <w:rPr>
          <w:color w:val="231F1F"/>
          <w:spacing w:val="-3"/>
          <w:w w:val="110"/>
        </w:rPr>
        <w:t> </w:t>
      </w:r>
      <w:r>
        <w:rPr>
          <w:color w:val="231F1F"/>
          <w:w w:val="110"/>
        </w:rPr>
        <w:t>y</w:t>
      </w:r>
      <w:r>
        <w:rPr>
          <w:color w:val="231F1F"/>
          <w:spacing w:val="-3"/>
          <w:w w:val="110"/>
        </w:rPr>
        <w:t> </w:t>
      </w:r>
      <w:r>
        <w:rPr>
          <w:color w:val="231F1F"/>
          <w:w w:val="110"/>
        </w:rPr>
        <w:t>de</w:t>
      </w:r>
      <w:r>
        <w:rPr>
          <w:color w:val="231F1F"/>
          <w:spacing w:val="-3"/>
          <w:w w:val="110"/>
        </w:rPr>
        <w:t> </w:t>
      </w:r>
      <w:r>
        <w:rPr>
          <w:color w:val="231F1F"/>
          <w:w w:val="110"/>
        </w:rPr>
        <w:t>que</w:t>
      </w:r>
      <w:r>
        <w:rPr>
          <w:color w:val="231F1F"/>
          <w:spacing w:val="-3"/>
          <w:w w:val="110"/>
        </w:rPr>
        <w:t> </w:t>
      </w:r>
      <w:r>
        <w:rPr>
          <w:color w:val="231F1F"/>
          <w:w w:val="110"/>
        </w:rPr>
        <w:t>produce</w:t>
      </w:r>
      <w:r>
        <w:rPr>
          <w:color w:val="231F1F"/>
          <w:spacing w:val="-4"/>
          <w:w w:val="110"/>
        </w:rPr>
        <w:t> </w:t>
      </w:r>
      <w:r>
        <w:rPr>
          <w:color w:val="231F1F"/>
          <w:w w:val="110"/>
        </w:rPr>
        <w:t>prurito</w:t>
      </w:r>
      <w:r>
        <w:rPr>
          <w:color w:val="231F1F"/>
          <w:spacing w:val="-3"/>
          <w:w w:val="110"/>
        </w:rPr>
        <w:t> </w:t>
      </w:r>
      <w:r>
        <w:rPr>
          <w:color w:val="231F1F"/>
          <w:w w:val="110"/>
        </w:rPr>
        <w:t>(345-347)</w:t>
      </w:r>
      <w:r>
        <w:rPr>
          <w:color w:val="231F1F"/>
          <w:spacing w:val="-3"/>
          <w:w w:val="110"/>
        </w:rPr>
        <w:t> </w:t>
      </w:r>
      <w:r>
        <w:rPr>
          <w:color w:val="231F1F"/>
          <w:w w:val="110"/>
        </w:rPr>
        <w:t>.</w:t>
      </w:r>
      <w:r>
        <w:rPr>
          <w:color w:val="231F1F"/>
          <w:spacing w:val="-4"/>
          <w:w w:val="110"/>
        </w:rPr>
        <w:t> </w:t>
      </w:r>
      <w:r>
        <w:rPr>
          <w:color w:val="231F1F"/>
          <w:w w:val="110"/>
        </w:rPr>
        <w:t>Por</w:t>
      </w:r>
      <w:r>
        <w:rPr>
          <w:color w:val="231F1F"/>
          <w:spacing w:val="-4"/>
          <w:w w:val="110"/>
        </w:rPr>
        <w:t> </w:t>
      </w:r>
      <w:r>
        <w:rPr>
          <w:color w:val="231F1F"/>
          <w:w w:val="110"/>
        </w:rPr>
        <w:t>lo</w:t>
      </w:r>
      <w:r>
        <w:rPr>
          <w:color w:val="231F1F"/>
          <w:spacing w:val="-3"/>
          <w:w w:val="110"/>
        </w:rPr>
        <w:t> </w:t>
      </w:r>
      <w:r>
        <w:rPr>
          <w:color w:val="231F1F"/>
          <w:w w:val="110"/>
        </w:rPr>
        <w:t>que</w:t>
      </w:r>
      <w:r>
        <w:rPr>
          <w:color w:val="231F1F"/>
          <w:spacing w:val="-3"/>
          <w:w w:val="110"/>
        </w:rPr>
        <w:t> </w:t>
      </w:r>
      <w:r>
        <w:rPr>
          <w:color w:val="231F1F"/>
          <w:w w:val="110"/>
        </w:rPr>
        <w:t>se</w:t>
      </w:r>
      <w:r>
        <w:rPr>
          <w:color w:val="231F1F"/>
          <w:spacing w:val="-3"/>
          <w:w w:val="110"/>
        </w:rPr>
        <w:t> </w:t>
      </w:r>
      <w:r>
        <w:rPr>
          <w:color w:val="231F1F"/>
          <w:w w:val="110"/>
        </w:rPr>
        <w:t>sugiere</w:t>
      </w:r>
      <w:r>
        <w:rPr>
          <w:color w:val="231F1F"/>
          <w:spacing w:val="-4"/>
          <w:w w:val="110"/>
        </w:rPr>
        <w:t> </w:t>
      </w:r>
      <w:r>
        <w:rPr>
          <w:color w:val="231F1F"/>
          <w:w w:val="110"/>
        </w:rPr>
        <w:t>que</w:t>
      </w:r>
      <w:r>
        <w:rPr>
          <w:color w:val="231F1F"/>
          <w:spacing w:val="-3"/>
          <w:w w:val="110"/>
        </w:rPr>
        <w:t> </w:t>
      </w:r>
      <w:r>
        <w:rPr>
          <w:color w:val="231F1F"/>
          <w:w w:val="110"/>
        </w:rPr>
        <w:t>de haber anomalías de la FCF, será más problablemente durante el estableci- miento o instauración de la analgesia neuroaxial. Por otro lado, se observa que</w:t>
      </w:r>
      <w:r>
        <w:rPr>
          <w:color w:val="231F1F"/>
          <w:spacing w:val="-9"/>
          <w:w w:val="110"/>
        </w:rPr>
        <w:t> </w:t>
      </w:r>
      <w:r>
        <w:rPr>
          <w:color w:val="231F1F"/>
          <w:w w:val="110"/>
        </w:rPr>
        <w:t>la</w:t>
      </w:r>
      <w:r>
        <w:rPr>
          <w:color w:val="231F1F"/>
          <w:spacing w:val="-9"/>
          <w:w w:val="110"/>
        </w:rPr>
        <w:t> </w:t>
      </w:r>
      <w:r>
        <w:rPr>
          <w:color w:val="231F1F"/>
          <w:w w:val="110"/>
        </w:rPr>
        <w:t>combinación</w:t>
      </w:r>
      <w:r>
        <w:rPr>
          <w:color w:val="231F1F"/>
          <w:spacing w:val="-9"/>
          <w:w w:val="110"/>
        </w:rPr>
        <w:t> </w:t>
      </w:r>
      <w:r>
        <w:rPr>
          <w:color w:val="231F1F"/>
          <w:w w:val="110"/>
        </w:rPr>
        <w:t>de</w:t>
      </w:r>
      <w:r>
        <w:rPr>
          <w:color w:val="231F1F"/>
          <w:spacing w:val="-9"/>
          <w:w w:val="110"/>
        </w:rPr>
        <w:t> </w:t>
      </w:r>
      <w:r>
        <w:rPr>
          <w:color w:val="231F1F"/>
          <w:w w:val="110"/>
        </w:rPr>
        <w:t>anestésico</w:t>
      </w:r>
      <w:r>
        <w:rPr>
          <w:color w:val="231F1F"/>
          <w:spacing w:val="-8"/>
          <w:w w:val="110"/>
        </w:rPr>
        <w:t> </w:t>
      </w:r>
      <w:r>
        <w:rPr>
          <w:color w:val="231F1F"/>
          <w:w w:val="110"/>
        </w:rPr>
        <w:t>local</w:t>
      </w:r>
      <w:r>
        <w:rPr>
          <w:color w:val="231F1F"/>
          <w:spacing w:val="-9"/>
          <w:w w:val="110"/>
        </w:rPr>
        <w:t> </w:t>
      </w:r>
      <w:r>
        <w:rPr>
          <w:color w:val="231F1F"/>
          <w:w w:val="110"/>
        </w:rPr>
        <w:t>con</w:t>
      </w:r>
      <w:r>
        <w:rPr>
          <w:color w:val="231F1F"/>
          <w:spacing w:val="-9"/>
          <w:w w:val="110"/>
        </w:rPr>
        <w:t> </w:t>
      </w:r>
      <w:r>
        <w:rPr>
          <w:color w:val="231F1F"/>
          <w:w w:val="110"/>
        </w:rPr>
        <w:t>fentanilo</w:t>
      </w:r>
      <w:r>
        <w:rPr>
          <w:color w:val="231F1F"/>
          <w:spacing w:val="-8"/>
          <w:w w:val="110"/>
        </w:rPr>
        <w:t> </w:t>
      </w:r>
      <w:r>
        <w:rPr>
          <w:color w:val="231F1F"/>
          <w:w w:val="110"/>
        </w:rPr>
        <w:t>intradural</w:t>
      </w:r>
      <w:r>
        <w:rPr>
          <w:color w:val="231F1F"/>
          <w:spacing w:val="-9"/>
          <w:w w:val="110"/>
        </w:rPr>
        <w:t> </w:t>
      </w:r>
      <w:r>
        <w:rPr>
          <w:color w:val="231F1F"/>
          <w:w w:val="110"/>
        </w:rPr>
        <w:t>tiene</w:t>
      </w:r>
      <w:r>
        <w:rPr>
          <w:color w:val="231F1F"/>
          <w:spacing w:val="-9"/>
          <w:w w:val="110"/>
        </w:rPr>
        <w:t> </w:t>
      </w:r>
      <w:r>
        <w:rPr>
          <w:color w:val="231F1F"/>
          <w:w w:val="110"/>
        </w:rPr>
        <w:t>mayor y más duradera eficacia analgesica que solo fentanilo (346;347)</w:t>
      </w:r>
    </w:p>
    <w:p>
      <w:pPr>
        <w:spacing w:before="124"/>
        <w:ind w:left="0" w:right="64" w:firstLine="0"/>
        <w:jc w:val="center"/>
        <w:rPr>
          <w:rFonts w:ascii="Arial MT"/>
          <w:sz w:val="18"/>
        </w:rPr>
      </w:pPr>
      <w:r>
        <w:rPr/>
        <w:br w:type="column"/>
      </w:r>
      <w:r>
        <w:rPr>
          <w:rFonts w:ascii="Arial MT"/>
          <w:color w:val="231F1F"/>
          <w:spacing w:val="-5"/>
          <w:sz w:val="18"/>
        </w:rPr>
        <w:t>E.</w:t>
      </w:r>
    </w:p>
    <w:p>
      <w:pPr>
        <w:spacing w:line="273" w:lineRule="auto" w:before="37"/>
        <w:ind w:left="206" w:right="262" w:firstLine="0"/>
        <w:jc w:val="center"/>
        <w:rPr>
          <w:rFonts w:ascii="Arial MT"/>
          <w:sz w:val="18"/>
        </w:rPr>
      </w:pPr>
      <w:r>
        <w:rPr>
          <w:rFonts w:ascii="Arial MT"/>
          <w:color w:val="231F1F"/>
          <w:spacing w:val="-6"/>
          <w:sz w:val="18"/>
        </w:rPr>
        <w:t>transversal </w:t>
      </w: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25"/>
        <w:rPr>
          <w:rFonts w:ascii="Arial MT"/>
          <w:sz w:val="18"/>
        </w:rPr>
      </w:pPr>
    </w:p>
    <w:p>
      <w:pPr>
        <w:spacing w:before="0"/>
        <w:ind w:left="0" w:right="64" w:firstLine="0"/>
        <w:jc w:val="center"/>
        <w:rPr>
          <w:rFonts w:ascii="Arial MT"/>
          <w:sz w:val="18"/>
        </w:rPr>
      </w:pPr>
      <w:r>
        <w:rPr>
          <w:rFonts w:ascii="Arial MT"/>
          <w:color w:val="231F1F"/>
          <w:spacing w:val="-5"/>
          <w:sz w:val="18"/>
        </w:rPr>
        <w:t>E.</w:t>
      </w:r>
    </w:p>
    <w:p>
      <w:pPr>
        <w:spacing w:line="273" w:lineRule="auto" w:before="33"/>
        <w:ind w:left="206" w:right="262" w:firstLine="0"/>
        <w:jc w:val="center"/>
        <w:rPr>
          <w:rFonts w:ascii="Arial MT"/>
          <w:sz w:val="18"/>
        </w:rPr>
      </w:pPr>
      <w:r>
        <w:rPr>
          <w:rFonts w:ascii="Arial MT"/>
          <w:color w:val="231F1F"/>
          <w:spacing w:val="-6"/>
          <w:sz w:val="18"/>
        </w:rPr>
        <w:t>transversal </w:t>
      </w:r>
      <w:r>
        <w:rPr>
          <w:rFonts w:ascii="Arial MT"/>
          <w:color w:val="231F1F"/>
          <w:spacing w:val="-10"/>
          <w:sz w:val="18"/>
        </w:rPr>
        <w:t>3</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1"/>
        <w:rPr>
          <w:rFonts w:ascii="Arial MT"/>
          <w:sz w:val="18"/>
        </w:rPr>
      </w:pPr>
    </w:p>
    <w:p>
      <w:pPr>
        <w:spacing w:line="278" w:lineRule="auto" w:before="0"/>
        <w:ind w:left="389" w:right="453" w:firstLine="0"/>
        <w:jc w:val="center"/>
        <w:rPr>
          <w:rFonts w:ascii="Arial MT"/>
          <w:sz w:val="18"/>
        </w:rPr>
      </w:pPr>
      <w:r>
        <w:rPr>
          <w:rFonts w:ascii="Arial MT"/>
          <w:color w:val="231F1F"/>
          <w:spacing w:val="-12"/>
          <w:sz w:val="18"/>
        </w:rPr>
        <w:t>ECAs</w:t>
      </w:r>
      <w:r>
        <w:rPr>
          <w:rFonts w:ascii="Arial MT"/>
          <w:color w:val="231F1F"/>
          <w:spacing w:val="-6"/>
          <w:sz w:val="18"/>
        </w:rPr>
        <w:t> 1+</w:t>
      </w:r>
    </w:p>
    <w:p>
      <w:pPr>
        <w:spacing w:after="0" w:line="278" w:lineRule="auto"/>
        <w:jc w:val="center"/>
        <w:rPr>
          <w:rFonts w:ascii="Arial MT"/>
          <w:sz w:val="18"/>
        </w:rPr>
        <w:sectPr>
          <w:pgSz w:w="11900" w:h="16840"/>
          <w:pgMar w:header="0" w:footer="622" w:top="1560" w:bottom="820" w:left="1417" w:right="1559"/>
          <w:cols w:num="2" w:equalWidth="0">
            <w:col w:w="7550" w:space="40"/>
            <w:col w:w="1334"/>
          </w:cols>
        </w:sectPr>
      </w:pPr>
    </w:p>
    <w:p>
      <w:pPr>
        <w:pStyle w:val="Heading5"/>
        <w:spacing w:before="82"/>
        <w:jc w:val="both"/>
      </w:pPr>
      <w:r>
        <w:rPr>
          <w:color w:val="231F1F"/>
        </w:rPr>
        <w:t>Otros</w:t>
      </w:r>
      <w:r>
        <w:rPr>
          <w:color w:val="231F1F"/>
          <w:spacing w:val="-1"/>
        </w:rPr>
        <w:t> </w:t>
      </w:r>
      <w:r>
        <w:rPr>
          <w:color w:val="231F1F"/>
          <w:spacing w:val="-2"/>
        </w:rPr>
        <w:t>efectos</w:t>
      </w:r>
    </w:p>
    <w:p>
      <w:pPr>
        <w:pStyle w:val="BodyText"/>
        <w:spacing w:line="249" w:lineRule="auto" w:before="214"/>
        <w:ind w:left="283" w:right="1369"/>
        <w:jc w:val="both"/>
      </w:pPr>
      <w:r>
        <w:rPr>
          <w:color w:val="231F1F"/>
          <w:w w:val="105"/>
        </w:rPr>
        <w:t>La</w:t>
      </w:r>
      <w:r>
        <w:rPr>
          <w:color w:val="231F1F"/>
          <w:w w:val="105"/>
        </w:rPr>
        <w:t> guía</w:t>
      </w:r>
      <w:r>
        <w:rPr>
          <w:color w:val="231F1F"/>
          <w:w w:val="105"/>
        </w:rPr>
        <w:t> NICE</w:t>
      </w:r>
      <w:r>
        <w:rPr>
          <w:color w:val="231F1F"/>
          <w:w w:val="105"/>
        </w:rPr>
        <w:t> (10)</w:t>
      </w:r>
      <w:r>
        <w:rPr>
          <w:color w:val="231F1F"/>
          <w:w w:val="105"/>
        </w:rPr>
        <w:t> identificó</w:t>
      </w:r>
      <w:r>
        <w:rPr>
          <w:color w:val="231F1F"/>
          <w:w w:val="105"/>
        </w:rPr>
        <w:t> una</w:t>
      </w:r>
      <w:r>
        <w:rPr>
          <w:color w:val="231F1F"/>
          <w:w w:val="105"/>
        </w:rPr>
        <w:t> RS</w:t>
      </w:r>
      <w:r>
        <w:rPr>
          <w:color w:val="231F1F"/>
          <w:w w:val="105"/>
        </w:rPr>
        <w:t> (358)</w:t>
      </w:r>
      <w:r>
        <w:rPr>
          <w:color w:val="231F1F"/>
          <w:w w:val="105"/>
        </w:rPr>
        <w:t> que</w:t>
      </w:r>
      <w:r>
        <w:rPr>
          <w:color w:val="231F1F"/>
          <w:w w:val="105"/>
        </w:rPr>
        <w:t> incluía</w:t>
      </w:r>
      <w:r>
        <w:rPr>
          <w:color w:val="231F1F"/>
          <w:w w:val="105"/>
        </w:rPr>
        <w:t> siete</w:t>
      </w:r>
      <w:r>
        <w:rPr>
          <w:color w:val="231F1F"/>
          <w:w w:val="105"/>
        </w:rPr>
        <w:t> ensayos</w:t>
      </w:r>
      <w:r>
        <w:rPr>
          <w:color w:val="231F1F"/>
          <w:w w:val="105"/>
        </w:rPr>
        <w:t> que comparaban tres opiáceos (morfina, fentanilo y sufentanilo) con bupivacaína</w:t>
      </w:r>
      <w:r>
        <w:rPr>
          <w:color w:val="231F1F"/>
          <w:spacing w:val="80"/>
          <w:w w:val="105"/>
        </w:rPr>
        <w:t> </w:t>
      </w:r>
      <w:r>
        <w:rPr>
          <w:color w:val="231F1F"/>
          <w:w w:val="105"/>
        </w:rPr>
        <w:t>o lidocaína.</w:t>
      </w:r>
    </w:p>
    <w:p>
      <w:pPr>
        <w:pStyle w:val="BodyText"/>
        <w:tabs>
          <w:tab w:pos="7791" w:val="left" w:leader="none"/>
          <w:tab w:pos="7989" w:val="left" w:leader="none"/>
          <w:tab w:pos="8114" w:val="left" w:leader="none"/>
        </w:tabs>
        <w:spacing w:line="252" w:lineRule="auto" w:before="99"/>
        <w:ind w:left="283" w:right="312" w:firstLine="453"/>
      </w:pPr>
      <w:r>
        <w:rPr>
          <w:color w:val="231F1F"/>
          <w:w w:val="110"/>
        </w:rPr>
        <w:t>El metaanálisis realizado mostró una eficacia analgésica comparable a</w:t>
      </w:r>
      <w:r>
        <w:rPr>
          <w:color w:val="231F1F"/>
        </w:rPr>
        <w:tab/>
      </w:r>
      <w:r>
        <w:rPr>
          <w:rFonts w:ascii="Arial MT" w:hAnsi="Arial MT"/>
          <w:color w:val="231F1F"/>
          <w:spacing w:val="-2"/>
          <w:sz w:val="18"/>
        </w:rPr>
        <w:t>RS-MA</w:t>
      </w:r>
      <w:r>
        <w:rPr>
          <w:rFonts w:ascii="Arial MT" w:hAnsi="Arial MT"/>
          <w:color w:val="231F1F"/>
          <w:spacing w:val="-17"/>
          <w:sz w:val="18"/>
        </w:rPr>
        <w:t> </w:t>
      </w:r>
      <w:r>
        <w:rPr>
          <w:rFonts w:ascii="Arial MT" w:hAnsi="Arial MT"/>
          <w:color w:val="231F1F"/>
          <w:spacing w:val="-2"/>
          <w:sz w:val="18"/>
        </w:rPr>
        <w:t>de </w:t>
      </w:r>
      <w:r>
        <w:rPr>
          <w:color w:val="231F1F"/>
          <w:w w:val="110"/>
        </w:rPr>
        <w:t>los 15-20 minutos después de la administración, aunque también mostró una</w:t>
      </w:r>
      <w:r>
        <w:rPr>
          <w:color w:val="231F1F"/>
        </w:rPr>
        <w:tab/>
        <w:tab/>
      </w:r>
      <w:r>
        <w:rPr>
          <w:rFonts w:ascii="Arial MT" w:hAnsi="Arial MT"/>
          <w:color w:val="231F1F"/>
          <w:spacing w:val="-4"/>
          <w:w w:val="110"/>
          <w:position w:val="4"/>
          <w:sz w:val="18"/>
        </w:rPr>
        <w:t>ECAs </w:t>
      </w:r>
      <w:r>
        <w:rPr>
          <w:color w:val="231F1F"/>
          <w:w w:val="110"/>
        </w:rPr>
        <w:t>mayor incidencia de prurito: RR 14.10 [IC 95% 13.39 a 14.80]. No hubo evi-</w:t>
      </w:r>
      <w:r>
        <w:rPr>
          <w:color w:val="231F1F"/>
        </w:rPr>
        <w:tab/>
        <w:tab/>
        <w:tab/>
      </w:r>
      <w:r>
        <w:rPr>
          <w:rFonts w:ascii="Arial MT" w:hAnsi="Arial MT"/>
          <w:color w:val="231F1F"/>
          <w:spacing w:val="-6"/>
          <w:w w:val="110"/>
          <w:position w:val="8"/>
          <w:sz w:val="18"/>
        </w:rPr>
        <w:t>1+ </w:t>
      </w:r>
      <w:r>
        <w:rPr>
          <w:color w:val="231F1F"/>
        </w:rPr>
        <w:t>dencia de diferencias entre los diferentes tratamientos analgésicos en náuseas:</w:t>
      </w:r>
    </w:p>
    <w:p>
      <w:pPr>
        <w:pStyle w:val="BodyText"/>
        <w:spacing w:line="243" w:lineRule="exact"/>
        <w:ind w:left="283"/>
      </w:pPr>
      <w:r>
        <w:rPr>
          <w:color w:val="231F1F"/>
          <w:w w:val="110"/>
        </w:rPr>
        <w:t>RR</w:t>
      </w:r>
      <w:r>
        <w:rPr>
          <w:color w:val="231F1F"/>
          <w:spacing w:val="-9"/>
          <w:w w:val="110"/>
        </w:rPr>
        <w:t> </w:t>
      </w:r>
      <w:r>
        <w:rPr>
          <w:color w:val="231F1F"/>
          <w:w w:val="110"/>
        </w:rPr>
        <w:t>0.94</w:t>
      </w:r>
      <w:r>
        <w:rPr>
          <w:color w:val="231F1F"/>
          <w:spacing w:val="-9"/>
          <w:w w:val="110"/>
        </w:rPr>
        <w:t> </w:t>
      </w:r>
      <w:r>
        <w:rPr>
          <w:color w:val="231F1F"/>
          <w:w w:val="110"/>
        </w:rPr>
        <w:t>[IC</w:t>
      </w:r>
      <w:r>
        <w:rPr>
          <w:color w:val="231F1F"/>
          <w:spacing w:val="-7"/>
          <w:w w:val="110"/>
        </w:rPr>
        <w:t> </w:t>
      </w:r>
      <w:r>
        <w:rPr>
          <w:color w:val="231F1F"/>
          <w:w w:val="110"/>
        </w:rPr>
        <w:t>95%</w:t>
      </w:r>
      <w:r>
        <w:rPr>
          <w:color w:val="231F1F"/>
          <w:spacing w:val="-6"/>
          <w:w w:val="110"/>
        </w:rPr>
        <w:t> </w:t>
      </w:r>
      <w:r>
        <w:rPr>
          <w:color w:val="231F1F"/>
          <w:w w:val="110"/>
        </w:rPr>
        <w:t>0.01</w:t>
      </w:r>
      <w:r>
        <w:rPr>
          <w:color w:val="231F1F"/>
          <w:spacing w:val="-7"/>
          <w:w w:val="110"/>
        </w:rPr>
        <w:t> </w:t>
      </w:r>
      <w:r>
        <w:rPr>
          <w:color w:val="231F1F"/>
          <w:w w:val="110"/>
        </w:rPr>
        <w:t>a</w:t>
      </w:r>
      <w:r>
        <w:rPr>
          <w:color w:val="231F1F"/>
          <w:spacing w:val="-9"/>
          <w:w w:val="110"/>
        </w:rPr>
        <w:t> </w:t>
      </w:r>
      <w:r>
        <w:rPr>
          <w:color w:val="231F1F"/>
          <w:w w:val="110"/>
        </w:rPr>
        <w:t>1.88]</w:t>
      </w:r>
      <w:r>
        <w:rPr>
          <w:color w:val="231F1F"/>
          <w:spacing w:val="-7"/>
          <w:w w:val="110"/>
        </w:rPr>
        <w:t> </w:t>
      </w:r>
      <w:r>
        <w:rPr>
          <w:color w:val="231F1F"/>
          <w:w w:val="110"/>
        </w:rPr>
        <w:t>o</w:t>
      </w:r>
      <w:r>
        <w:rPr>
          <w:color w:val="231F1F"/>
          <w:spacing w:val="-9"/>
          <w:w w:val="110"/>
        </w:rPr>
        <w:t> </w:t>
      </w:r>
      <w:r>
        <w:rPr>
          <w:color w:val="231F1F"/>
          <w:w w:val="110"/>
        </w:rPr>
        <w:t>parto</w:t>
      </w:r>
      <w:r>
        <w:rPr>
          <w:color w:val="231F1F"/>
          <w:spacing w:val="-7"/>
          <w:w w:val="110"/>
        </w:rPr>
        <w:t> </w:t>
      </w:r>
      <w:r>
        <w:rPr>
          <w:color w:val="231F1F"/>
          <w:w w:val="110"/>
        </w:rPr>
        <w:t>vaginal</w:t>
      </w:r>
      <w:r>
        <w:rPr>
          <w:color w:val="231F1F"/>
          <w:spacing w:val="-11"/>
          <w:w w:val="110"/>
        </w:rPr>
        <w:t> </w:t>
      </w:r>
      <w:r>
        <w:rPr>
          <w:color w:val="231F1F"/>
          <w:w w:val="110"/>
        </w:rPr>
        <w:t>espontáneo:</w:t>
      </w:r>
      <w:r>
        <w:rPr>
          <w:color w:val="231F1F"/>
          <w:spacing w:val="-7"/>
          <w:w w:val="110"/>
        </w:rPr>
        <w:t> </w:t>
      </w:r>
      <w:r>
        <w:rPr>
          <w:color w:val="231F1F"/>
          <w:w w:val="110"/>
        </w:rPr>
        <w:t>RR</w:t>
      </w:r>
      <w:r>
        <w:rPr>
          <w:color w:val="231F1F"/>
          <w:spacing w:val="-9"/>
          <w:w w:val="110"/>
        </w:rPr>
        <w:t> </w:t>
      </w:r>
      <w:r>
        <w:rPr>
          <w:color w:val="231F1F"/>
          <w:w w:val="110"/>
        </w:rPr>
        <w:t>1.10</w:t>
      </w:r>
      <w:r>
        <w:rPr>
          <w:color w:val="231F1F"/>
          <w:spacing w:val="-7"/>
          <w:w w:val="110"/>
        </w:rPr>
        <w:t> </w:t>
      </w:r>
      <w:r>
        <w:rPr>
          <w:color w:val="231F1F"/>
          <w:w w:val="110"/>
        </w:rPr>
        <w:t>[IC</w:t>
      </w:r>
      <w:r>
        <w:rPr>
          <w:color w:val="231F1F"/>
          <w:spacing w:val="-9"/>
          <w:w w:val="110"/>
        </w:rPr>
        <w:t> </w:t>
      </w:r>
      <w:r>
        <w:rPr>
          <w:color w:val="231F1F"/>
          <w:spacing w:val="-5"/>
          <w:w w:val="110"/>
        </w:rPr>
        <w:t>95%</w:t>
      </w:r>
    </w:p>
    <w:p>
      <w:pPr>
        <w:pStyle w:val="BodyText"/>
        <w:spacing w:before="25"/>
        <w:ind w:left="283"/>
      </w:pPr>
      <w:r>
        <w:rPr>
          <w:color w:val="231F1F"/>
        </w:rPr>
        <w:t>0.34</w:t>
      </w:r>
      <w:r>
        <w:rPr>
          <w:color w:val="231F1F"/>
          <w:spacing w:val="-1"/>
        </w:rPr>
        <w:t> </w:t>
      </w:r>
      <w:r>
        <w:rPr>
          <w:color w:val="231F1F"/>
        </w:rPr>
        <w:t>a</w:t>
      </w:r>
      <w:r>
        <w:rPr>
          <w:color w:val="231F1F"/>
          <w:spacing w:val="2"/>
        </w:rPr>
        <w:t> </w:t>
      </w:r>
      <w:r>
        <w:rPr>
          <w:color w:val="231F1F"/>
          <w:spacing w:val="-2"/>
        </w:rPr>
        <w:t>1.85].</w:t>
      </w:r>
    </w:p>
    <w:p>
      <w:pPr>
        <w:pStyle w:val="BodyText"/>
        <w:spacing w:before="93"/>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4"/>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9"/>
          <w:sz w:val="24"/>
        </w:rPr>
        <w:t> </w:t>
      </w:r>
      <w:r>
        <w:rPr>
          <w:rFonts w:ascii="Arial MT" w:hAnsi="Arial MT"/>
          <w:color w:val="231F1F"/>
          <w:sz w:val="24"/>
        </w:rPr>
        <w:t>julio</w:t>
      </w:r>
      <w:r>
        <w:rPr>
          <w:rFonts w:ascii="Arial MT" w:hAnsi="Arial MT"/>
          <w:color w:val="231F1F"/>
          <w:spacing w:val="14"/>
          <w:sz w:val="24"/>
        </w:rPr>
        <w:t> </w:t>
      </w:r>
      <w:r>
        <w:rPr>
          <w:rFonts w:ascii="Arial MT" w:hAnsi="Arial MT"/>
          <w:color w:val="231F1F"/>
          <w:sz w:val="24"/>
        </w:rPr>
        <w:t>de</w:t>
      </w:r>
      <w:r>
        <w:rPr>
          <w:rFonts w:ascii="Arial MT" w:hAnsi="Arial MT"/>
          <w:color w:val="231F1F"/>
          <w:spacing w:val="17"/>
          <w:sz w:val="24"/>
        </w:rPr>
        <w:t> </w:t>
      </w:r>
      <w:r>
        <w:rPr>
          <w:rFonts w:ascii="Arial MT" w:hAnsi="Arial MT"/>
          <w:color w:val="231F1F"/>
          <w:spacing w:val="-2"/>
          <w:sz w:val="24"/>
        </w:rPr>
        <w:t>2008)</w:t>
      </w:r>
    </w:p>
    <w:p>
      <w:pPr>
        <w:pStyle w:val="BodyText"/>
        <w:spacing w:line="244" w:lineRule="auto" w:before="209"/>
        <w:ind w:left="283" w:right="1425"/>
        <w:jc w:val="both"/>
      </w:pPr>
      <w:r>
        <w:rPr>
          <w:color w:val="231F1F"/>
          <w:w w:val="110"/>
        </w:rPr>
        <w:t>No</w:t>
      </w:r>
      <w:r>
        <w:rPr>
          <w:color w:val="231F1F"/>
          <w:spacing w:val="-8"/>
          <w:w w:val="110"/>
        </w:rPr>
        <w:t> </w:t>
      </w:r>
      <w:r>
        <w:rPr>
          <w:color w:val="231F1F"/>
          <w:w w:val="110"/>
        </w:rPr>
        <w:t>se</w:t>
      </w:r>
      <w:r>
        <w:rPr>
          <w:color w:val="231F1F"/>
          <w:spacing w:val="-8"/>
          <w:w w:val="110"/>
        </w:rPr>
        <w:t> </w:t>
      </w:r>
      <w:r>
        <w:rPr>
          <w:color w:val="231F1F"/>
          <w:w w:val="110"/>
        </w:rPr>
        <w:t>han</w:t>
      </w:r>
      <w:r>
        <w:rPr>
          <w:color w:val="231F1F"/>
          <w:spacing w:val="-8"/>
          <w:w w:val="110"/>
        </w:rPr>
        <w:t> </w:t>
      </w:r>
      <w:r>
        <w:rPr>
          <w:color w:val="231F1F"/>
          <w:w w:val="110"/>
        </w:rPr>
        <w:t>encontrado</w:t>
      </w:r>
      <w:r>
        <w:rPr>
          <w:color w:val="231F1F"/>
          <w:spacing w:val="-8"/>
          <w:w w:val="110"/>
        </w:rPr>
        <w:t> </w:t>
      </w:r>
      <w:r>
        <w:rPr>
          <w:color w:val="231F1F"/>
          <w:w w:val="110"/>
        </w:rPr>
        <w:t>nuevos</w:t>
      </w:r>
      <w:r>
        <w:rPr>
          <w:color w:val="231F1F"/>
          <w:spacing w:val="-8"/>
          <w:w w:val="110"/>
        </w:rPr>
        <w:t> </w:t>
      </w:r>
      <w:r>
        <w:rPr>
          <w:color w:val="231F1F"/>
          <w:w w:val="110"/>
        </w:rPr>
        <w:t>estudios,</w:t>
      </w:r>
      <w:r>
        <w:rPr>
          <w:color w:val="231F1F"/>
          <w:spacing w:val="-8"/>
          <w:w w:val="110"/>
        </w:rPr>
        <w:t> </w:t>
      </w:r>
      <w:r>
        <w:rPr>
          <w:color w:val="231F1F"/>
          <w:w w:val="110"/>
        </w:rPr>
        <w:t>por</w:t>
      </w:r>
      <w:r>
        <w:rPr>
          <w:color w:val="231F1F"/>
          <w:spacing w:val="-9"/>
          <w:w w:val="110"/>
        </w:rPr>
        <w:t> </w:t>
      </w:r>
      <w:r>
        <w:rPr>
          <w:color w:val="231F1F"/>
          <w:w w:val="110"/>
        </w:rPr>
        <w:t>ello</w:t>
      </w:r>
      <w:r>
        <w:rPr>
          <w:color w:val="231F1F"/>
          <w:spacing w:val="-9"/>
          <w:w w:val="110"/>
        </w:rPr>
        <w:t> </w:t>
      </w:r>
      <w:r>
        <w:rPr>
          <w:color w:val="231F1F"/>
          <w:w w:val="110"/>
        </w:rPr>
        <w:t>el</w:t>
      </w:r>
      <w:r>
        <w:rPr>
          <w:color w:val="231F1F"/>
          <w:spacing w:val="-9"/>
          <w:w w:val="110"/>
        </w:rPr>
        <w:t> </w:t>
      </w:r>
      <w:r>
        <w:rPr>
          <w:color w:val="231F1F"/>
          <w:w w:val="110"/>
        </w:rPr>
        <w:t>GEG</w:t>
      </w:r>
      <w:r>
        <w:rPr>
          <w:color w:val="231F1F"/>
          <w:spacing w:val="-8"/>
          <w:w w:val="110"/>
        </w:rPr>
        <w:t> </w:t>
      </w:r>
      <w:r>
        <w:rPr>
          <w:color w:val="231F1F"/>
          <w:w w:val="110"/>
        </w:rPr>
        <w:t>ha</w:t>
      </w:r>
      <w:r>
        <w:rPr>
          <w:color w:val="231F1F"/>
          <w:spacing w:val="-8"/>
          <w:w w:val="110"/>
        </w:rPr>
        <w:t> </w:t>
      </w:r>
      <w:r>
        <w:rPr>
          <w:color w:val="231F1F"/>
          <w:w w:val="110"/>
        </w:rPr>
        <w:t>basado</w:t>
      </w:r>
      <w:r>
        <w:rPr>
          <w:color w:val="231F1F"/>
          <w:spacing w:val="-8"/>
          <w:w w:val="110"/>
        </w:rPr>
        <w:t> </w:t>
      </w:r>
      <w:r>
        <w:rPr>
          <w:color w:val="231F1F"/>
          <w:w w:val="110"/>
        </w:rPr>
        <w:t>las</w:t>
      </w:r>
      <w:r>
        <w:rPr>
          <w:color w:val="231F1F"/>
          <w:spacing w:val="-8"/>
          <w:w w:val="110"/>
        </w:rPr>
        <w:t> </w:t>
      </w:r>
      <w:r>
        <w:rPr>
          <w:color w:val="231F1F"/>
          <w:w w:val="110"/>
        </w:rPr>
        <w:t>reco- mendaciones en la evidencia aportada en la guía NICE (10).</w:t>
      </w:r>
    </w:p>
    <w:p>
      <w:pPr>
        <w:pStyle w:val="BodyText"/>
        <w:spacing w:line="249" w:lineRule="auto" w:before="146"/>
        <w:ind w:left="283" w:right="1363" w:firstLine="453"/>
        <w:jc w:val="both"/>
      </w:pPr>
      <w:r>
        <w:rPr>
          <w:color w:val="231F1F"/>
          <w:w w:val="105"/>
        </w:rPr>
        <w:t>En resumen se observa resultados similares con la utilización de bupiva- caina al 0,125% con o sin opioides. Sin embargo, las dosis menores de bupi- vacaina (0,0625%) asociado a opioides presentan una mayor duración del efecto analgésico con dosis totales menores de anestesico local, menor bloquo motor y más prurito.</w:t>
      </w:r>
    </w:p>
    <w:p>
      <w:pPr>
        <w:pStyle w:val="BodyText"/>
        <w:spacing w:line="249" w:lineRule="auto" w:before="139"/>
        <w:ind w:left="283" w:right="1368" w:firstLine="453"/>
        <w:jc w:val="both"/>
      </w:pPr>
      <w:r>
        <w:rPr>
          <w:color w:val="231F1F"/>
          <w:w w:val="110"/>
        </w:rPr>
        <w:t>Además</w:t>
      </w:r>
      <w:r>
        <w:rPr>
          <w:color w:val="231F1F"/>
          <w:spacing w:val="-10"/>
          <w:w w:val="110"/>
        </w:rPr>
        <w:t> </w:t>
      </w:r>
      <w:r>
        <w:rPr>
          <w:color w:val="231F1F"/>
          <w:w w:val="110"/>
        </w:rPr>
        <w:t>en</w:t>
      </w:r>
      <w:r>
        <w:rPr>
          <w:color w:val="231F1F"/>
          <w:spacing w:val="-9"/>
          <w:w w:val="110"/>
        </w:rPr>
        <w:t> </w:t>
      </w:r>
      <w:r>
        <w:rPr>
          <w:color w:val="231F1F"/>
          <w:w w:val="110"/>
        </w:rPr>
        <w:t>relación</w:t>
      </w:r>
      <w:r>
        <w:rPr>
          <w:color w:val="231F1F"/>
          <w:spacing w:val="-9"/>
          <w:w w:val="110"/>
        </w:rPr>
        <w:t> </w:t>
      </w:r>
      <w:r>
        <w:rPr>
          <w:color w:val="231F1F"/>
          <w:w w:val="110"/>
        </w:rPr>
        <w:t>a</w:t>
      </w:r>
      <w:r>
        <w:rPr>
          <w:color w:val="231F1F"/>
          <w:spacing w:val="-10"/>
          <w:w w:val="110"/>
        </w:rPr>
        <w:t> </w:t>
      </w:r>
      <w:r>
        <w:rPr>
          <w:color w:val="231F1F"/>
          <w:w w:val="110"/>
        </w:rPr>
        <w:t>los</w:t>
      </w:r>
      <w:r>
        <w:rPr>
          <w:color w:val="231F1F"/>
          <w:spacing w:val="-10"/>
          <w:w w:val="110"/>
        </w:rPr>
        <w:t> </w:t>
      </w:r>
      <w:r>
        <w:rPr>
          <w:color w:val="231F1F"/>
          <w:w w:val="110"/>
        </w:rPr>
        <w:t>efectos</w:t>
      </w:r>
      <w:r>
        <w:rPr>
          <w:color w:val="231F1F"/>
          <w:spacing w:val="-10"/>
          <w:w w:val="110"/>
        </w:rPr>
        <w:t> </w:t>
      </w:r>
      <w:r>
        <w:rPr>
          <w:color w:val="231F1F"/>
          <w:w w:val="110"/>
        </w:rPr>
        <w:t>sobre</w:t>
      </w:r>
      <w:r>
        <w:rPr>
          <w:color w:val="231F1F"/>
          <w:spacing w:val="-10"/>
          <w:w w:val="110"/>
        </w:rPr>
        <w:t> </w:t>
      </w:r>
      <w:r>
        <w:rPr>
          <w:color w:val="231F1F"/>
          <w:w w:val="110"/>
        </w:rPr>
        <w:t>la</w:t>
      </w:r>
      <w:r>
        <w:rPr>
          <w:color w:val="231F1F"/>
          <w:spacing w:val="-10"/>
          <w:w w:val="110"/>
        </w:rPr>
        <w:t> </w:t>
      </w:r>
      <w:r>
        <w:rPr>
          <w:color w:val="231F1F"/>
          <w:w w:val="110"/>
        </w:rPr>
        <w:t>lactancia</w:t>
      </w:r>
      <w:r>
        <w:rPr>
          <w:color w:val="231F1F"/>
          <w:spacing w:val="-9"/>
          <w:w w:val="110"/>
        </w:rPr>
        <w:t> </w:t>
      </w:r>
      <w:r>
        <w:rPr>
          <w:color w:val="231F1F"/>
          <w:w w:val="110"/>
        </w:rPr>
        <w:t>se</w:t>
      </w:r>
      <w:r>
        <w:rPr>
          <w:color w:val="231F1F"/>
          <w:spacing w:val="-10"/>
          <w:w w:val="110"/>
        </w:rPr>
        <w:t> </w:t>
      </w:r>
      <w:r>
        <w:rPr>
          <w:color w:val="231F1F"/>
          <w:w w:val="110"/>
        </w:rPr>
        <w:t>sugiere</w:t>
      </w:r>
      <w:r>
        <w:rPr>
          <w:color w:val="231F1F"/>
          <w:spacing w:val="-10"/>
          <w:w w:val="110"/>
        </w:rPr>
        <w:t> </w:t>
      </w:r>
      <w:r>
        <w:rPr>
          <w:color w:val="231F1F"/>
          <w:w w:val="110"/>
        </w:rPr>
        <w:t>una</w:t>
      </w:r>
      <w:r>
        <w:rPr>
          <w:color w:val="231F1F"/>
          <w:spacing w:val="-10"/>
          <w:w w:val="110"/>
        </w:rPr>
        <w:t> </w:t>
      </w:r>
      <w:r>
        <w:rPr>
          <w:color w:val="231F1F"/>
          <w:w w:val="110"/>
        </w:rPr>
        <w:t>débil asociación</w:t>
      </w:r>
      <w:r>
        <w:rPr>
          <w:color w:val="231F1F"/>
          <w:spacing w:val="-4"/>
          <w:w w:val="110"/>
        </w:rPr>
        <w:t> </w:t>
      </w:r>
      <w:r>
        <w:rPr>
          <w:color w:val="231F1F"/>
          <w:w w:val="110"/>
        </w:rPr>
        <w:t>entre</w:t>
      </w:r>
      <w:r>
        <w:rPr>
          <w:color w:val="231F1F"/>
          <w:spacing w:val="-4"/>
          <w:w w:val="110"/>
        </w:rPr>
        <w:t> </w:t>
      </w:r>
      <w:r>
        <w:rPr>
          <w:color w:val="231F1F"/>
          <w:w w:val="110"/>
        </w:rPr>
        <w:t>la</w:t>
      </w:r>
      <w:r>
        <w:rPr>
          <w:color w:val="231F1F"/>
          <w:spacing w:val="-4"/>
          <w:w w:val="110"/>
        </w:rPr>
        <w:t> </w:t>
      </w:r>
      <w:r>
        <w:rPr>
          <w:color w:val="231F1F"/>
          <w:w w:val="110"/>
        </w:rPr>
        <w:t>dosis</w:t>
      </w:r>
      <w:r>
        <w:rPr>
          <w:color w:val="231F1F"/>
          <w:spacing w:val="-4"/>
          <w:w w:val="110"/>
        </w:rPr>
        <w:t> </w:t>
      </w:r>
      <w:r>
        <w:rPr>
          <w:color w:val="231F1F"/>
          <w:w w:val="110"/>
        </w:rPr>
        <w:t>de</w:t>
      </w:r>
      <w:r>
        <w:rPr>
          <w:color w:val="231F1F"/>
          <w:spacing w:val="-4"/>
          <w:w w:val="110"/>
        </w:rPr>
        <w:t> </w:t>
      </w:r>
      <w:r>
        <w:rPr>
          <w:color w:val="231F1F"/>
          <w:w w:val="110"/>
        </w:rPr>
        <w:t>fentanilo</w:t>
      </w:r>
      <w:r>
        <w:rPr>
          <w:color w:val="231F1F"/>
          <w:spacing w:val="-4"/>
          <w:w w:val="110"/>
        </w:rPr>
        <w:t> </w:t>
      </w:r>
      <w:r>
        <w:rPr>
          <w:color w:val="231F1F"/>
          <w:w w:val="110"/>
        </w:rPr>
        <w:t>administrado</w:t>
      </w:r>
      <w:r>
        <w:rPr>
          <w:color w:val="231F1F"/>
          <w:spacing w:val="-4"/>
          <w:w w:val="110"/>
        </w:rPr>
        <w:t> </w:t>
      </w:r>
      <w:r>
        <w:rPr>
          <w:color w:val="231F1F"/>
          <w:w w:val="110"/>
        </w:rPr>
        <w:t>durante</w:t>
      </w:r>
      <w:r>
        <w:rPr>
          <w:color w:val="231F1F"/>
          <w:spacing w:val="-4"/>
          <w:w w:val="110"/>
        </w:rPr>
        <w:t> </w:t>
      </w:r>
      <w:r>
        <w:rPr>
          <w:color w:val="231F1F"/>
          <w:w w:val="110"/>
        </w:rPr>
        <w:t>el</w:t>
      </w:r>
      <w:r>
        <w:rPr>
          <w:color w:val="231F1F"/>
          <w:spacing w:val="-4"/>
          <w:w w:val="110"/>
        </w:rPr>
        <w:t> </w:t>
      </w:r>
      <w:r>
        <w:rPr>
          <w:color w:val="231F1F"/>
          <w:w w:val="110"/>
        </w:rPr>
        <w:t>parto</w:t>
      </w:r>
      <w:r>
        <w:rPr>
          <w:color w:val="231F1F"/>
          <w:spacing w:val="-4"/>
          <w:w w:val="110"/>
        </w:rPr>
        <w:t> </w:t>
      </w:r>
      <w:r>
        <w:rPr>
          <w:color w:val="231F1F"/>
          <w:w w:val="110"/>
        </w:rPr>
        <w:t>y</w:t>
      </w:r>
      <w:r>
        <w:rPr>
          <w:color w:val="231F1F"/>
          <w:spacing w:val="-4"/>
          <w:w w:val="110"/>
        </w:rPr>
        <w:t> </w:t>
      </w:r>
      <w:r>
        <w:rPr>
          <w:color w:val="231F1F"/>
          <w:w w:val="110"/>
        </w:rPr>
        <w:t>la</w:t>
      </w:r>
      <w:r>
        <w:rPr>
          <w:color w:val="231F1F"/>
          <w:spacing w:val="-4"/>
          <w:w w:val="110"/>
        </w:rPr>
        <w:t> </w:t>
      </w:r>
      <w:r>
        <w:rPr>
          <w:color w:val="231F1F"/>
          <w:w w:val="110"/>
        </w:rPr>
        <w:t>du- </w:t>
      </w:r>
      <w:r>
        <w:rPr>
          <w:color w:val="231F1F"/>
          <w:spacing w:val="-2"/>
          <w:w w:val="110"/>
        </w:rPr>
        <w:t>ración</w:t>
      </w:r>
      <w:r>
        <w:rPr>
          <w:color w:val="231F1F"/>
          <w:spacing w:val="-9"/>
          <w:w w:val="110"/>
        </w:rPr>
        <w:t> </w:t>
      </w:r>
      <w:r>
        <w:rPr>
          <w:color w:val="231F1F"/>
          <w:spacing w:val="-2"/>
          <w:w w:val="110"/>
        </w:rPr>
        <w:t>y</w:t>
      </w:r>
      <w:r>
        <w:rPr>
          <w:color w:val="231F1F"/>
          <w:spacing w:val="-9"/>
          <w:w w:val="110"/>
        </w:rPr>
        <w:t> </w:t>
      </w:r>
      <w:r>
        <w:rPr>
          <w:color w:val="231F1F"/>
          <w:spacing w:val="-2"/>
          <w:w w:val="110"/>
        </w:rPr>
        <w:t>el</w:t>
      </w:r>
      <w:r>
        <w:rPr>
          <w:color w:val="231F1F"/>
          <w:spacing w:val="-10"/>
          <w:w w:val="110"/>
        </w:rPr>
        <w:t> </w:t>
      </w:r>
      <w:r>
        <w:rPr>
          <w:color w:val="231F1F"/>
          <w:spacing w:val="-2"/>
          <w:w w:val="110"/>
        </w:rPr>
        <w:t>éxito</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9"/>
          <w:w w:val="110"/>
        </w:rPr>
        <w:t> </w:t>
      </w:r>
      <w:r>
        <w:rPr>
          <w:color w:val="231F1F"/>
          <w:spacing w:val="-2"/>
          <w:w w:val="110"/>
        </w:rPr>
        <w:t>lactancia</w:t>
      </w:r>
      <w:r>
        <w:rPr>
          <w:color w:val="231F1F"/>
          <w:spacing w:val="-9"/>
          <w:w w:val="110"/>
        </w:rPr>
        <w:t> </w:t>
      </w:r>
      <w:r>
        <w:rPr>
          <w:color w:val="231F1F"/>
          <w:spacing w:val="-2"/>
          <w:w w:val="110"/>
        </w:rPr>
        <w:t>materna,</w:t>
      </w:r>
      <w:r>
        <w:rPr>
          <w:color w:val="231F1F"/>
          <w:spacing w:val="-10"/>
          <w:w w:val="110"/>
        </w:rPr>
        <w:t> </w:t>
      </w:r>
      <w:r>
        <w:rPr>
          <w:color w:val="231F1F"/>
          <w:spacing w:val="-2"/>
          <w:w w:val="110"/>
        </w:rPr>
        <w:t>aunque</w:t>
      </w:r>
      <w:r>
        <w:rPr>
          <w:color w:val="231F1F"/>
          <w:spacing w:val="-9"/>
          <w:w w:val="110"/>
        </w:rPr>
        <w:t> </w:t>
      </w:r>
      <w:r>
        <w:rPr>
          <w:color w:val="231F1F"/>
          <w:spacing w:val="-2"/>
          <w:w w:val="110"/>
        </w:rPr>
        <w:t>existen</w:t>
      </w:r>
      <w:r>
        <w:rPr>
          <w:color w:val="231F1F"/>
          <w:spacing w:val="-9"/>
          <w:w w:val="110"/>
        </w:rPr>
        <w:t> </w:t>
      </w:r>
      <w:r>
        <w:rPr>
          <w:color w:val="231F1F"/>
          <w:spacing w:val="-2"/>
          <w:w w:val="110"/>
        </w:rPr>
        <w:t>otras</w:t>
      </w:r>
      <w:r>
        <w:rPr>
          <w:color w:val="231F1F"/>
          <w:spacing w:val="-10"/>
          <w:w w:val="110"/>
        </w:rPr>
        <w:t> </w:t>
      </w:r>
      <w:r>
        <w:rPr>
          <w:color w:val="231F1F"/>
          <w:spacing w:val="-2"/>
          <w:w w:val="110"/>
        </w:rPr>
        <w:t>variables</w:t>
      </w:r>
      <w:r>
        <w:rPr>
          <w:color w:val="231F1F"/>
          <w:spacing w:val="-10"/>
          <w:w w:val="110"/>
        </w:rPr>
        <w:t> </w:t>
      </w:r>
      <w:r>
        <w:rPr>
          <w:color w:val="231F1F"/>
          <w:spacing w:val="-2"/>
          <w:w w:val="110"/>
        </w:rPr>
        <w:t>como </w:t>
      </w:r>
      <w:r>
        <w:rPr>
          <w:color w:val="231F1F"/>
          <w:w w:val="110"/>
        </w:rPr>
        <w:t>la edad materna, ocupación, etc.</w:t>
      </w:r>
    </w:p>
    <w:p>
      <w:pPr>
        <w:pStyle w:val="BodyText"/>
        <w:spacing w:before="148"/>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59" w:hRule="atLeast"/>
        </w:trPr>
        <w:tc>
          <w:tcPr>
            <w:tcW w:w="7373" w:type="dxa"/>
          </w:tcPr>
          <w:p>
            <w:pPr>
              <w:pStyle w:val="TableParagraph"/>
              <w:spacing w:line="244" w:lineRule="auto" w:before="53"/>
              <w:ind w:right="85"/>
              <w:jc w:val="both"/>
              <w:rPr>
                <w:sz w:val="22"/>
              </w:rPr>
            </w:pPr>
            <w:r>
              <w:rPr>
                <w:color w:val="231F1F"/>
                <w:w w:val="105"/>
                <w:sz w:val="22"/>
              </w:rPr>
              <w:t>La asociación de fentanilo y bupivacaína al 0,0625% vía epidural disminuye la</w:t>
            </w:r>
            <w:r>
              <w:rPr>
                <w:color w:val="231F1F"/>
                <w:w w:val="105"/>
                <w:sz w:val="22"/>
              </w:rPr>
              <w:t> dosis</w:t>
            </w:r>
            <w:r>
              <w:rPr>
                <w:color w:val="231F1F"/>
                <w:w w:val="105"/>
                <w:sz w:val="22"/>
              </w:rPr>
              <w:t> total</w:t>
            </w:r>
            <w:r>
              <w:rPr>
                <w:color w:val="231F1F"/>
                <w:w w:val="105"/>
                <w:sz w:val="22"/>
              </w:rPr>
              <w:t> de</w:t>
            </w:r>
            <w:r>
              <w:rPr>
                <w:color w:val="231F1F"/>
                <w:w w:val="105"/>
                <w:sz w:val="22"/>
              </w:rPr>
              <w:t> anestésico</w:t>
            </w:r>
            <w:r>
              <w:rPr>
                <w:color w:val="231F1F"/>
                <w:w w:val="105"/>
                <w:sz w:val="22"/>
              </w:rPr>
              <w:t> local</w:t>
            </w:r>
            <w:r>
              <w:rPr>
                <w:color w:val="231F1F"/>
                <w:w w:val="105"/>
                <w:sz w:val="22"/>
              </w:rPr>
              <w:t> empleado,</w:t>
            </w:r>
            <w:r>
              <w:rPr>
                <w:color w:val="231F1F"/>
                <w:w w:val="105"/>
                <w:sz w:val="22"/>
              </w:rPr>
              <w:t> produce</w:t>
            </w:r>
            <w:r>
              <w:rPr>
                <w:color w:val="231F1F"/>
                <w:w w:val="105"/>
                <w:sz w:val="22"/>
              </w:rPr>
              <w:t> menor</w:t>
            </w:r>
            <w:r>
              <w:rPr>
                <w:color w:val="231F1F"/>
                <w:w w:val="105"/>
                <w:sz w:val="22"/>
              </w:rPr>
              <w:t> bloqueo</w:t>
            </w:r>
            <w:r>
              <w:rPr>
                <w:color w:val="231F1F"/>
                <w:w w:val="105"/>
                <w:sz w:val="22"/>
              </w:rPr>
              <w:t> motor, mayor</w:t>
            </w:r>
            <w:r>
              <w:rPr>
                <w:color w:val="231F1F"/>
                <w:spacing w:val="40"/>
                <w:w w:val="105"/>
                <w:sz w:val="22"/>
              </w:rPr>
              <w:t> </w:t>
            </w:r>
            <w:r>
              <w:rPr>
                <w:color w:val="231F1F"/>
                <w:w w:val="105"/>
                <w:sz w:val="22"/>
              </w:rPr>
              <w:t>duración</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analgesia</w:t>
            </w:r>
            <w:r>
              <w:rPr>
                <w:color w:val="231F1F"/>
                <w:spacing w:val="40"/>
                <w:w w:val="105"/>
                <w:sz w:val="22"/>
              </w:rPr>
              <w:t> </w:t>
            </w:r>
            <w:r>
              <w:rPr>
                <w:color w:val="231F1F"/>
                <w:w w:val="105"/>
                <w:sz w:val="22"/>
              </w:rPr>
              <w:t>y</w:t>
            </w:r>
            <w:r>
              <w:rPr>
                <w:color w:val="231F1F"/>
                <w:spacing w:val="40"/>
                <w:w w:val="105"/>
                <w:sz w:val="22"/>
              </w:rPr>
              <w:t> </w:t>
            </w:r>
            <w:r>
              <w:rPr>
                <w:color w:val="231F1F"/>
                <w:w w:val="105"/>
                <w:sz w:val="22"/>
              </w:rPr>
              <w:t>más</w:t>
            </w:r>
            <w:r>
              <w:rPr>
                <w:color w:val="231F1F"/>
                <w:spacing w:val="40"/>
                <w:w w:val="105"/>
                <w:sz w:val="22"/>
              </w:rPr>
              <w:t> </w:t>
            </w:r>
            <w:r>
              <w:rPr>
                <w:color w:val="231F1F"/>
                <w:w w:val="105"/>
                <w:sz w:val="22"/>
              </w:rPr>
              <w:t>prurito</w:t>
            </w:r>
            <w:r>
              <w:rPr>
                <w:color w:val="231F1F"/>
                <w:spacing w:val="40"/>
                <w:w w:val="105"/>
                <w:sz w:val="22"/>
              </w:rPr>
              <w:t> </w:t>
            </w:r>
            <w:r>
              <w:rPr>
                <w:color w:val="231F1F"/>
                <w:w w:val="105"/>
                <w:sz w:val="22"/>
              </w:rPr>
              <w:t>(350-354).</w:t>
            </w:r>
          </w:p>
        </w:tc>
        <w:tc>
          <w:tcPr>
            <w:tcW w:w="1133" w:type="dxa"/>
          </w:tcPr>
          <w:p>
            <w:pPr>
              <w:pStyle w:val="TableParagraph"/>
              <w:spacing w:before="64"/>
              <w:ind w:left="0"/>
              <w:rPr>
                <w:rFonts w:ascii="Arial MT"/>
                <w:sz w:val="22"/>
              </w:rPr>
            </w:pPr>
          </w:p>
          <w:p>
            <w:pPr>
              <w:pStyle w:val="TableParagraph"/>
              <w:ind w:left="49" w:right="22"/>
              <w:jc w:val="center"/>
              <w:rPr>
                <w:sz w:val="22"/>
              </w:rPr>
            </w:pPr>
            <w:r>
              <w:rPr>
                <w:color w:val="231F1F"/>
                <w:spacing w:val="-5"/>
                <w:w w:val="105"/>
                <w:sz w:val="22"/>
              </w:rPr>
              <w:t>1++</w:t>
            </w:r>
          </w:p>
        </w:tc>
      </w:tr>
      <w:tr>
        <w:trPr>
          <w:trHeight w:val="1242" w:hRule="atLeast"/>
        </w:trPr>
        <w:tc>
          <w:tcPr>
            <w:tcW w:w="7373" w:type="dxa"/>
          </w:tcPr>
          <w:p>
            <w:pPr>
              <w:pStyle w:val="TableParagraph"/>
              <w:spacing w:line="247" w:lineRule="auto" w:before="44"/>
              <w:ind w:right="91"/>
              <w:jc w:val="both"/>
              <w:rPr>
                <w:sz w:val="22"/>
              </w:rPr>
            </w:pPr>
            <w:r>
              <w:rPr>
                <w:color w:val="231F1F"/>
                <w:w w:val="110"/>
                <w:sz w:val="22"/>
              </w:rPr>
              <w:t>El número de mujeres que mantienen la lactancia a la 6ª semana posparto </w:t>
            </w:r>
            <w:r>
              <w:rPr>
                <w:color w:val="231F1F"/>
                <w:spacing w:val="-2"/>
                <w:w w:val="110"/>
                <w:sz w:val="22"/>
              </w:rPr>
              <w:t>es</w:t>
            </w:r>
            <w:r>
              <w:rPr>
                <w:color w:val="231F1F"/>
                <w:spacing w:val="-11"/>
                <w:w w:val="110"/>
                <w:sz w:val="22"/>
              </w:rPr>
              <w:t> </w:t>
            </w:r>
            <w:r>
              <w:rPr>
                <w:color w:val="231F1F"/>
                <w:spacing w:val="-2"/>
                <w:w w:val="110"/>
                <w:sz w:val="22"/>
              </w:rPr>
              <w:t>mayor</w:t>
            </w:r>
            <w:r>
              <w:rPr>
                <w:color w:val="231F1F"/>
                <w:spacing w:val="-11"/>
                <w:w w:val="110"/>
                <w:sz w:val="22"/>
              </w:rPr>
              <w:t> </w:t>
            </w:r>
            <w:r>
              <w:rPr>
                <w:color w:val="231F1F"/>
                <w:spacing w:val="-2"/>
                <w:w w:val="110"/>
                <w:sz w:val="22"/>
              </w:rPr>
              <w:t>cuando</w:t>
            </w:r>
            <w:r>
              <w:rPr>
                <w:color w:val="231F1F"/>
                <w:spacing w:val="-10"/>
                <w:w w:val="110"/>
                <w:sz w:val="22"/>
              </w:rPr>
              <w:t> </w:t>
            </w:r>
            <w:r>
              <w:rPr>
                <w:color w:val="231F1F"/>
                <w:spacing w:val="-2"/>
                <w:w w:val="110"/>
                <w:sz w:val="22"/>
              </w:rPr>
              <w:t>no</w:t>
            </w:r>
            <w:r>
              <w:rPr>
                <w:color w:val="231F1F"/>
                <w:spacing w:val="-11"/>
                <w:w w:val="110"/>
                <w:sz w:val="22"/>
              </w:rPr>
              <w:t> </w:t>
            </w:r>
            <w:r>
              <w:rPr>
                <w:color w:val="231F1F"/>
                <w:spacing w:val="-2"/>
                <w:w w:val="110"/>
                <w:sz w:val="22"/>
              </w:rPr>
              <w:t>ha</w:t>
            </w:r>
            <w:r>
              <w:rPr>
                <w:color w:val="231F1F"/>
                <w:spacing w:val="-11"/>
                <w:w w:val="110"/>
                <w:sz w:val="22"/>
              </w:rPr>
              <w:t> </w:t>
            </w:r>
            <w:r>
              <w:rPr>
                <w:color w:val="231F1F"/>
                <w:spacing w:val="-2"/>
                <w:w w:val="110"/>
                <w:sz w:val="22"/>
              </w:rPr>
              <w:t>habido</w:t>
            </w:r>
            <w:r>
              <w:rPr>
                <w:color w:val="231F1F"/>
                <w:spacing w:val="-11"/>
                <w:w w:val="110"/>
                <w:sz w:val="22"/>
              </w:rPr>
              <w:t> </w:t>
            </w:r>
            <w:r>
              <w:rPr>
                <w:color w:val="231F1F"/>
                <w:spacing w:val="-2"/>
                <w:w w:val="110"/>
                <w:sz w:val="22"/>
              </w:rPr>
              <w:t>problemas</w:t>
            </w:r>
            <w:r>
              <w:rPr>
                <w:color w:val="231F1F"/>
                <w:spacing w:val="-11"/>
                <w:w w:val="110"/>
                <w:sz w:val="22"/>
              </w:rPr>
              <w:t> </w:t>
            </w:r>
            <w:r>
              <w:rPr>
                <w:color w:val="231F1F"/>
                <w:spacing w:val="-2"/>
                <w:w w:val="110"/>
                <w:sz w:val="22"/>
              </w:rPr>
              <w:t>en</w:t>
            </w:r>
            <w:r>
              <w:rPr>
                <w:color w:val="231F1F"/>
                <w:spacing w:val="-11"/>
                <w:w w:val="110"/>
                <w:sz w:val="22"/>
              </w:rPr>
              <w:t> </w:t>
            </w:r>
            <w:r>
              <w:rPr>
                <w:color w:val="231F1F"/>
                <w:spacing w:val="-2"/>
                <w:w w:val="110"/>
                <w:sz w:val="22"/>
              </w:rPr>
              <w:t>la</w:t>
            </w:r>
            <w:r>
              <w:rPr>
                <w:color w:val="231F1F"/>
                <w:spacing w:val="-11"/>
                <w:w w:val="110"/>
                <w:sz w:val="22"/>
              </w:rPr>
              <w:t> </w:t>
            </w:r>
            <w:r>
              <w:rPr>
                <w:color w:val="231F1F"/>
                <w:spacing w:val="-2"/>
                <w:w w:val="110"/>
                <w:sz w:val="22"/>
              </w:rPr>
              <w:t>lactancia</w:t>
            </w:r>
            <w:r>
              <w:rPr>
                <w:color w:val="231F1F"/>
                <w:spacing w:val="-11"/>
                <w:w w:val="110"/>
                <w:sz w:val="22"/>
              </w:rPr>
              <w:t> </w:t>
            </w:r>
            <w:r>
              <w:rPr>
                <w:color w:val="231F1F"/>
                <w:spacing w:val="-2"/>
                <w:w w:val="110"/>
                <w:sz w:val="22"/>
              </w:rPr>
              <w:t>a</w:t>
            </w:r>
            <w:r>
              <w:rPr>
                <w:color w:val="231F1F"/>
                <w:spacing w:val="-11"/>
                <w:w w:val="110"/>
                <w:sz w:val="22"/>
              </w:rPr>
              <w:t> </w:t>
            </w:r>
            <w:r>
              <w:rPr>
                <w:color w:val="231F1F"/>
                <w:spacing w:val="-2"/>
                <w:w w:val="110"/>
                <w:sz w:val="22"/>
              </w:rPr>
              <w:t>las</w:t>
            </w:r>
            <w:r>
              <w:rPr>
                <w:color w:val="231F1F"/>
                <w:spacing w:val="-11"/>
                <w:w w:val="110"/>
                <w:sz w:val="22"/>
              </w:rPr>
              <w:t> </w:t>
            </w:r>
            <w:r>
              <w:rPr>
                <w:color w:val="231F1F"/>
                <w:spacing w:val="-2"/>
                <w:w w:val="110"/>
                <w:sz w:val="22"/>
              </w:rPr>
              <w:t>24</w:t>
            </w:r>
            <w:r>
              <w:rPr>
                <w:color w:val="231F1F"/>
                <w:spacing w:val="-11"/>
                <w:w w:val="110"/>
                <w:sz w:val="22"/>
              </w:rPr>
              <w:t> </w:t>
            </w:r>
            <w:r>
              <w:rPr>
                <w:color w:val="231F1F"/>
                <w:spacing w:val="-2"/>
                <w:w w:val="110"/>
                <w:sz w:val="22"/>
              </w:rPr>
              <w:t>h</w:t>
            </w:r>
            <w:r>
              <w:rPr>
                <w:color w:val="231F1F"/>
                <w:spacing w:val="-11"/>
                <w:w w:val="110"/>
                <w:sz w:val="22"/>
              </w:rPr>
              <w:t> </w:t>
            </w:r>
            <w:r>
              <w:rPr>
                <w:color w:val="231F1F"/>
                <w:spacing w:val="-2"/>
                <w:w w:val="110"/>
                <w:sz w:val="22"/>
              </w:rPr>
              <w:t>y</w:t>
            </w:r>
            <w:r>
              <w:rPr>
                <w:color w:val="231F1F"/>
                <w:spacing w:val="-11"/>
                <w:w w:val="110"/>
                <w:sz w:val="22"/>
              </w:rPr>
              <w:t> </w:t>
            </w:r>
            <w:r>
              <w:rPr>
                <w:color w:val="231F1F"/>
                <w:spacing w:val="-2"/>
                <w:w w:val="110"/>
                <w:sz w:val="22"/>
              </w:rPr>
              <w:t>cuando </w:t>
            </w:r>
            <w:r>
              <w:rPr>
                <w:color w:val="231F1F"/>
                <w:w w:val="110"/>
                <w:sz w:val="22"/>
              </w:rPr>
              <w:t>la</w:t>
            </w:r>
            <w:r>
              <w:rPr>
                <w:color w:val="231F1F"/>
                <w:spacing w:val="-6"/>
                <w:w w:val="110"/>
                <w:sz w:val="22"/>
              </w:rPr>
              <w:t> </w:t>
            </w:r>
            <w:r>
              <w:rPr>
                <w:color w:val="231F1F"/>
                <w:w w:val="110"/>
                <w:sz w:val="22"/>
              </w:rPr>
              <w:t>concentración</w:t>
            </w:r>
            <w:r>
              <w:rPr>
                <w:color w:val="231F1F"/>
                <w:spacing w:val="-6"/>
                <w:w w:val="110"/>
                <w:sz w:val="22"/>
              </w:rPr>
              <w:t> </w:t>
            </w:r>
            <w:r>
              <w:rPr>
                <w:color w:val="231F1F"/>
                <w:w w:val="110"/>
                <w:sz w:val="22"/>
              </w:rPr>
              <w:t>de</w:t>
            </w:r>
            <w:r>
              <w:rPr>
                <w:color w:val="231F1F"/>
                <w:spacing w:val="-6"/>
                <w:w w:val="110"/>
                <w:sz w:val="22"/>
              </w:rPr>
              <w:t> </w:t>
            </w:r>
            <w:r>
              <w:rPr>
                <w:color w:val="231F1F"/>
                <w:w w:val="110"/>
                <w:sz w:val="22"/>
              </w:rPr>
              <w:t>fentanilo</w:t>
            </w:r>
            <w:r>
              <w:rPr>
                <w:color w:val="231F1F"/>
                <w:spacing w:val="-5"/>
                <w:w w:val="110"/>
                <w:sz w:val="22"/>
              </w:rPr>
              <w:t> </w:t>
            </w:r>
            <w:r>
              <w:rPr>
                <w:color w:val="231F1F"/>
                <w:w w:val="110"/>
                <w:sz w:val="22"/>
              </w:rPr>
              <w:t>en</w:t>
            </w:r>
            <w:r>
              <w:rPr>
                <w:color w:val="231F1F"/>
                <w:spacing w:val="-6"/>
                <w:w w:val="110"/>
                <w:sz w:val="22"/>
              </w:rPr>
              <w:t> </w:t>
            </w:r>
            <w:r>
              <w:rPr>
                <w:color w:val="231F1F"/>
                <w:w w:val="110"/>
                <w:sz w:val="22"/>
              </w:rPr>
              <w:t>sangre</w:t>
            </w:r>
            <w:r>
              <w:rPr>
                <w:color w:val="231F1F"/>
                <w:spacing w:val="-6"/>
                <w:w w:val="110"/>
                <w:sz w:val="22"/>
              </w:rPr>
              <w:t> </w:t>
            </w:r>
            <w:r>
              <w:rPr>
                <w:color w:val="231F1F"/>
                <w:w w:val="110"/>
                <w:sz w:val="22"/>
              </w:rPr>
              <w:t>de</w:t>
            </w:r>
            <w:r>
              <w:rPr>
                <w:color w:val="231F1F"/>
                <w:spacing w:val="-6"/>
                <w:w w:val="110"/>
                <w:sz w:val="22"/>
              </w:rPr>
              <w:t> </w:t>
            </w:r>
            <w:r>
              <w:rPr>
                <w:color w:val="231F1F"/>
                <w:w w:val="110"/>
                <w:sz w:val="22"/>
              </w:rPr>
              <w:t>cordón</w:t>
            </w:r>
            <w:r>
              <w:rPr>
                <w:color w:val="231F1F"/>
                <w:spacing w:val="-5"/>
                <w:w w:val="110"/>
                <w:sz w:val="22"/>
              </w:rPr>
              <w:t> </w:t>
            </w:r>
            <w:r>
              <w:rPr>
                <w:color w:val="231F1F"/>
                <w:w w:val="110"/>
                <w:sz w:val="22"/>
              </w:rPr>
              <w:t>umbilical</w:t>
            </w:r>
            <w:r>
              <w:rPr>
                <w:color w:val="231F1F"/>
                <w:spacing w:val="-6"/>
                <w:w w:val="110"/>
                <w:sz w:val="22"/>
              </w:rPr>
              <w:t> </w:t>
            </w:r>
            <w:r>
              <w:rPr>
                <w:color w:val="231F1F"/>
                <w:w w:val="110"/>
                <w:sz w:val="22"/>
              </w:rPr>
              <w:t>es</w:t>
            </w:r>
            <w:r>
              <w:rPr>
                <w:color w:val="231F1F"/>
                <w:spacing w:val="-6"/>
                <w:w w:val="110"/>
                <w:sz w:val="22"/>
              </w:rPr>
              <w:t> </w:t>
            </w:r>
            <w:r>
              <w:rPr>
                <w:color w:val="231F1F"/>
                <w:w w:val="110"/>
                <w:sz w:val="22"/>
              </w:rPr>
              <w:t>&lt;200pg/ml </w:t>
            </w:r>
            <w:r>
              <w:rPr>
                <w:color w:val="231F1F"/>
                <w:spacing w:val="-2"/>
                <w:w w:val="110"/>
                <w:sz w:val="22"/>
              </w:rPr>
              <w:t>(355).</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53"/>
              <w:ind w:right="156"/>
              <w:rPr>
                <w:sz w:val="22"/>
              </w:rPr>
            </w:pPr>
            <w:r>
              <w:rPr>
                <w:color w:val="231F1F"/>
                <w:sz w:val="22"/>
              </w:rPr>
              <w:t>La</w:t>
            </w:r>
            <w:r>
              <w:rPr>
                <w:color w:val="231F1F"/>
                <w:spacing w:val="-4"/>
                <w:sz w:val="22"/>
              </w:rPr>
              <w:t> </w:t>
            </w:r>
            <w:r>
              <w:rPr>
                <w:color w:val="231F1F"/>
                <w:sz w:val="22"/>
              </w:rPr>
              <w:t>administración</w:t>
            </w:r>
            <w:r>
              <w:rPr>
                <w:color w:val="231F1F"/>
                <w:spacing w:val="-4"/>
                <w:sz w:val="22"/>
              </w:rPr>
              <w:t> </w:t>
            </w:r>
            <w:r>
              <w:rPr>
                <w:color w:val="231F1F"/>
                <w:sz w:val="22"/>
              </w:rPr>
              <w:t>de</w:t>
            </w:r>
            <w:r>
              <w:rPr>
                <w:color w:val="231F1F"/>
                <w:spacing w:val="-4"/>
                <w:sz w:val="22"/>
              </w:rPr>
              <w:t> </w:t>
            </w:r>
            <w:r>
              <w:rPr>
                <w:color w:val="231F1F"/>
                <w:sz w:val="22"/>
              </w:rPr>
              <w:t>fentanilo</w:t>
            </w:r>
            <w:r>
              <w:rPr>
                <w:color w:val="231F1F"/>
                <w:spacing w:val="-4"/>
                <w:sz w:val="22"/>
              </w:rPr>
              <w:t> </w:t>
            </w:r>
            <w:r>
              <w:rPr>
                <w:color w:val="231F1F"/>
                <w:sz w:val="22"/>
              </w:rPr>
              <w:t>durante</w:t>
            </w:r>
            <w:r>
              <w:rPr>
                <w:color w:val="231F1F"/>
                <w:spacing w:val="-4"/>
                <w:sz w:val="22"/>
              </w:rPr>
              <w:t> </w:t>
            </w:r>
            <w:r>
              <w:rPr>
                <w:color w:val="231F1F"/>
                <w:sz w:val="22"/>
              </w:rPr>
              <w:t>el</w:t>
            </w:r>
            <w:r>
              <w:rPr>
                <w:color w:val="231F1F"/>
                <w:spacing w:val="-4"/>
                <w:sz w:val="22"/>
              </w:rPr>
              <w:t> </w:t>
            </w:r>
            <w:r>
              <w:rPr>
                <w:color w:val="231F1F"/>
                <w:sz w:val="22"/>
              </w:rPr>
              <w:t>parto,</w:t>
            </w:r>
            <w:r>
              <w:rPr>
                <w:color w:val="231F1F"/>
                <w:spacing w:val="-3"/>
                <w:sz w:val="22"/>
              </w:rPr>
              <w:t> </w:t>
            </w:r>
            <w:r>
              <w:rPr>
                <w:color w:val="231F1F"/>
                <w:sz w:val="22"/>
              </w:rPr>
              <w:t>especialmente</w:t>
            </w:r>
            <w:r>
              <w:rPr>
                <w:color w:val="231F1F"/>
                <w:spacing w:val="-4"/>
                <w:sz w:val="22"/>
              </w:rPr>
              <w:t> </w:t>
            </w:r>
            <w:r>
              <w:rPr>
                <w:color w:val="231F1F"/>
                <w:sz w:val="22"/>
              </w:rPr>
              <w:t>en</w:t>
            </w:r>
            <w:r>
              <w:rPr>
                <w:color w:val="231F1F"/>
                <w:spacing w:val="-4"/>
                <w:sz w:val="22"/>
              </w:rPr>
              <w:t> </w:t>
            </w:r>
            <w:r>
              <w:rPr>
                <w:color w:val="231F1F"/>
                <w:sz w:val="22"/>
              </w:rPr>
              <w:t>dosis</w:t>
            </w:r>
            <w:r>
              <w:rPr>
                <w:color w:val="231F1F"/>
                <w:spacing w:val="-4"/>
                <w:sz w:val="22"/>
              </w:rPr>
              <w:t> </w:t>
            </w:r>
            <w:r>
              <w:rPr>
                <w:color w:val="231F1F"/>
                <w:sz w:val="22"/>
              </w:rPr>
              <w:t>altas, </w:t>
            </w:r>
            <w:r>
              <w:rPr>
                <w:color w:val="231F1F"/>
                <w:w w:val="105"/>
                <w:sz w:val="22"/>
              </w:rPr>
              <w:t>puede</w:t>
            </w:r>
            <w:r>
              <w:rPr>
                <w:color w:val="231F1F"/>
                <w:spacing w:val="40"/>
                <w:w w:val="105"/>
                <w:sz w:val="22"/>
              </w:rPr>
              <w:t> </w:t>
            </w:r>
            <w:r>
              <w:rPr>
                <w:color w:val="231F1F"/>
                <w:w w:val="105"/>
                <w:sz w:val="22"/>
              </w:rPr>
              <w:t>dificultar</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establecimiento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lactancia</w:t>
            </w:r>
            <w:r>
              <w:rPr>
                <w:color w:val="231F1F"/>
                <w:spacing w:val="40"/>
                <w:w w:val="105"/>
                <w:sz w:val="22"/>
              </w:rPr>
              <w:t> </w:t>
            </w:r>
            <w:r>
              <w:rPr>
                <w:color w:val="231F1F"/>
                <w:w w:val="105"/>
                <w:sz w:val="22"/>
              </w:rPr>
              <w:t>materna.(356).</w:t>
            </w:r>
          </w:p>
        </w:tc>
        <w:tc>
          <w:tcPr>
            <w:tcW w:w="1133" w:type="dxa"/>
          </w:tcPr>
          <w:p>
            <w:pPr>
              <w:pStyle w:val="TableParagraph"/>
              <w:spacing w:before="197"/>
              <w:ind w:left="49"/>
              <w:jc w:val="center"/>
              <w:rPr>
                <w:sz w:val="22"/>
              </w:rPr>
            </w:pPr>
            <w:r>
              <w:rPr>
                <w:color w:val="231F1F"/>
                <w:spacing w:val="-10"/>
                <w:sz w:val="22"/>
              </w:rPr>
              <w:t>3</w:t>
            </w:r>
          </w:p>
        </w:tc>
      </w:tr>
      <w:tr>
        <w:trPr>
          <w:trHeight w:val="964" w:hRule="atLeast"/>
        </w:trPr>
        <w:tc>
          <w:tcPr>
            <w:tcW w:w="7373" w:type="dxa"/>
          </w:tcPr>
          <w:p>
            <w:pPr>
              <w:pStyle w:val="TableParagraph"/>
              <w:spacing w:line="244" w:lineRule="auto" w:before="44"/>
              <w:ind w:right="89"/>
              <w:jc w:val="both"/>
              <w:rPr>
                <w:sz w:val="22"/>
              </w:rPr>
            </w:pPr>
            <w:r>
              <w:rPr>
                <w:color w:val="231F1F"/>
                <w:w w:val="110"/>
                <w:sz w:val="22"/>
              </w:rPr>
              <w:t>En el establecimieto de la analgesia con opioides por vía intratecal puede incrementarse</w:t>
            </w:r>
            <w:r>
              <w:rPr>
                <w:color w:val="231F1F"/>
                <w:spacing w:val="-1"/>
                <w:w w:val="110"/>
                <w:sz w:val="22"/>
              </w:rPr>
              <w:t> </w:t>
            </w:r>
            <w:r>
              <w:rPr>
                <w:color w:val="231F1F"/>
                <w:w w:val="110"/>
                <w:sz w:val="22"/>
              </w:rPr>
              <w:t>la</w:t>
            </w:r>
            <w:r>
              <w:rPr>
                <w:color w:val="231F1F"/>
                <w:spacing w:val="-1"/>
                <w:w w:val="110"/>
                <w:sz w:val="22"/>
              </w:rPr>
              <w:t> </w:t>
            </w:r>
            <w:r>
              <w:rPr>
                <w:color w:val="231F1F"/>
                <w:w w:val="110"/>
                <w:sz w:val="22"/>
              </w:rPr>
              <w:t>incidencia</w:t>
            </w:r>
            <w:r>
              <w:rPr>
                <w:color w:val="231F1F"/>
                <w:spacing w:val="-1"/>
                <w:w w:val="110"/>
                <w:sz w:val="22"/>
              </w:rPr>
              <w:t> </w:t>
            </w:r>
            <w:r>
              <w:rPr>
                <w:color w:val="231F1F"/>
                <w:w w:val="110"/>
                <w:sz w:val="22"/>
              </w:rPr>
              <w:t>de</w:t>
            </w:r>
            <w:r>
              <w:rPr>
                <w:color w:val="231F1F"/>
                <w:spacing w:val="-1"/>
                <w:w w:val="110"/>
                <w:sz w:val="22"/>
              </w:rPr>
              <w:t> </w:t>
            </w:r>
            <w:r>
              <w:rPr>
                <w:color w:val="231F1F"/>
                <w:w w:val="110"/>
                <w:sz w:val="22"/>
              </w:rPr>
              <w:t>bradicardia</w:t>
            </w:r>
            <w:r>
              <w:rPr>
                <w:color w:val="231F1F"/>
                <w:spacing w:val="-2"/>
                <w:w w:val="110"/>
                <w:sz w:val="22"/>
              </w:rPr>
              <w:t> </w:t>
            </w:r>
            <w:r>
              <w:rPr>
                <w:color w:val="231F1F"/>
                <w:w w:val="110"/>
                <w:sz w:val="22"/>
              </w:rPr>
              <w:t>fetal</w:t>
            </w:r>
            <w:r>
              <w:rPr>
                <w:color w:val="231F1F"/>
                <w:spacing w:val="-2"/>
                <w:w w:val="110"/>
                <w:sz w:val="22"/>
              </w:rPr>
              <w:t> </w:t>
            </w:r>
            <w:r>
              <w:rPr>
                <w:color w:val="231F1F"/>
                <w:w w:val="110"/>
                <w:sz w:val="22"/>
              </w:rPr>
              <w:t>y</w:t>
            </w:r>
            <w:r>
              <w:rPr>
                <w:color w:val="231F1F"/>
                <w:spacing w:val="-1"/>
                <w:w w:val="110"/>
                <w:sz w:val="22"/>
              </w:rPr>
              <w:t> </w:t>
            </w:r>
            <w:r>
              <w:rPr>
                <w:color w:val="231F1F"/>
                <w:w w:val="110"/>
                <w:sz w:val="22"/>
              </w:rPr>
              <w:t>la</w:t>
            </w:r>
            <w:r>
              <w:rPr>
                <w:color w:val="231F1F"/>
                <w:spacing w:val="-1"/>
                <w:w w:val="110"/>
                <w:sz w:val="22"/>
              </w:rPr>
              <w:t> </w:t>
            </w:r>
            <w:r>
              <w:rPr>
                <w:color w:val="231F1F"/>
                <w:w w:val="110"/>
                <w:sz w:val="22"/>
              </w:rPr>
              <w:t>incidencia</w:t>
            </w:r>
            <w:r>
              <w:rPr>
                <w:color w:val="231F1F"/>
                <w:spacing w:val="-1"/>
                <w:w w:val="110"/>
                <w:sz w:val="22"/>
              </w:rPr>
              <w:t> </w:t>
            </w:r>
            <w:r>
              <w:rPr>
                <w:color w:val="231F1F"/>
                <w:w w:val="110"/>
                <w:sz w:val="22"/>
              </w:rPr>
              <w:t>del</w:t>
            </w:r>
            <w:r>
              <w:rPr>
                <w:color w:val="231F1F"/>
                <w:spacing w:val="-2"/>
                <w:w w:val="110"/>
                <w:sz w:val="22"/>
              </w:rPr>
              <w:t> </w:t>
            </w:r>
            <w:r>
              <w:rPr>
                <w:color w:val="231F1F"/>
                <w:w w:val="110"/>
                <w:sz w:val="22"/>
              </w:rPr>
              <w:t>prurito </w:t>
            </w:r>
            <w:r>
              <w:rPr>
                <w:color w:val="231F1F"/>
                <w:spacing w:val="-2"/>
                <w:w w:val="110"/>
                <w:sz w:val="22"/>
              </w:rPr>
              <w:t>(345).</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r>
        <w:trPr>
          <w:trHeight w:val="681" w:hRule="atLeast"/>
        </w:trPr>
        <w:tc>
          <w:tcPr>
            <w:tcW w:w="7373" w:type="dxa"/>
          </w:tcPr>
          <w:p>
            <w:pPr>
              <w:pStyle w:val="TableParagraph"/>
              <w:spacing w:line="244" w:lineRule="auto" w:before="44"/>
              <w:ind w:right="311"/>
              <w:rPr>
                <w:sz w:val="22"/>
              </w:rPr>
            </w:pPr>
            <w:r>
              <w:rPr>
                <w:color w:val="231F1F"/>
                <w:w w:val="105"/>
                <w:sz w:val="22"/>
              </w:rPr>
              <w:t>La</w:t>
            </w:r>
            <w:r>
              <w:rPr>
                <w:color w:val="231F1F"/>
                <w:spacing w:val="-4"/>
                <w:w w:val="105"/>
                <w:sz w:val="22"/>
              </w:rPr>
              <w:t> </w:t>
            </w:r>
            <w:r>
              <w:rPr>
                <w:color w:val="231F1F"/>
                <w:w w:val="105"/>
                <w:sz w:val="22"/>
              </w:rPr>
              <w:t>combinación</w:t>
            </w:r>
            <w:r>
              <w:rPr>
                <w:color w:val="231F1F"/>
                <w:spacing w:val="-4"/>
                <w:w w:val="105"/>
                <w:sz w:val="22"/>
              </w:rPr>
              <w:t> </w:t>
            </w:r>
            <w:r>
              <w:rPr>
                <w:color w:val="231F1F"/>
                <w:w w:val="105"/>
                <w:sz w:val="22"/>
              </w:rPr>
              <w:t>de</w:t>
            </w:r>
            <w:r>
              <w:rPr>
                <w:color w:val="231F1F"/>
                <w:spacing w:val="-4"/>
                <w:w w:val="105"/>
                <w:sz w:val="22"/>
              </w:rPr>
              <w:t> </w:t>
            </w:r>
            <w:r>
              <w:rPr>
                <w:color w:val="231F1F"/>
                <w:w w:val="105"/>
                <w:sz w:val="22"/>
              </w:rPr>
              <w:t>anestésico</w:t>
            </w:r>
            <w:r>
              <w:rPr>
                <w:color w:val="231F1F"/>
                <w:spacing w:val="-4"/>
                <w:w w:val="105"/>
                <w:sz w:val="22"/>
              </w:rPr>
              <w:t> </w:t>
            </w:r>
            <w:r>
              <w:rPr>
                <w:color w:val="231F1F"/>
                <w:w w:val="105"/>
                <w:sz w:val="22"/>
              </w:rPr>
              <w:t>local</w:t>
            </w:r>
            <w:r>
              <w:rPr>
                <w:color w:val="231F1F"/>
                <w:spacing w:val="-5"/>
                <w:w w:val="105"/>
                <w:sz w:val="22"/>
              </w:rPr>
              <w:t> </w:t>
            </w:r>
            <w:r>
              <w:rPr>
                <w:color w:val="231F1F"/>
                <w:w w:val="105"/>
                <w:sz w:val="22"/>
              </w:rPr>
              <w:t>con</w:t>
            </w:r>
            <w:r>
              <w:rPr>
                <w:color w:val="231F1F"/>
                <w:spacing w:val="-4"/>
                <w:w w:val="105"/>
                <w:sz w:val="22"/>
              </w:rPr>
              <w:t> </w:t>
            </w:r>
            <w:r>
              <w:rPr>
                <w:color w:val="231F1F"/>
                <w:w w:val="105"/>
                <w:sz w:val="22"/>
              </w:rPr>
              <w:t>fentanilo</w:t>
            </w:r>
            <w:r>
              <w:rPr>
                <w:color w:val="231F1F"/>
                <w:spacing w:val="-4"/>
                <w:w w:val="105"/>
                <w:sz w:val="22"/>
              </w:rPr>
              <w:t> </w:t>
            </w:r>
            <w:r>
              <w:rPr>
                <w:color w:val="231F1F"/>
                <w:w w:val="105"/>
                <w:sz w:val="22"/>
              </w:rPr>
              <w:t>intradural</w:t>
            </w:r>
            <w:r>
              <w:rPr>
                <w:color w:val="231F1F"/>
                <w:spacing w:val="-5"/>
                <w:w w:val="105"/>
                <w:sz w:val="22"/>
              </w:rPr>
              <w:t> </w:t>
            </w:r>
            <w:r>
              <w:rPr>
                <w:color w:val="231F1F"/>
                <w:w w:val="105"/>
                <w:sz w:val="22"/>
              </w:rPr>
              <w:t>es</w:t>
            </w:r>
            <w:r>
              <w:rPr>
                <w:color w:val="231F1F"/>
                <w:spacing w:val="-4"/>
                <w:w w:val="105"/>
                <w:sz w:val="22"/>
              </w:rPr>
              <w:t> </w:t>
            </w:r>
            <w:r>
              <w:rPr>
                <w:color w:val="231F1F"/>
                <w:w w:val="105"/>
                <w:sz w:val="22"/>
              </w:rPr>
              <w:t>más</w:t>
            </w:r>
            <w:r>
              <w:rPr>
                <w:color w:val="231F1F"/>
                <w:spacing w:val="-4"/>
                <w:w w:val="105"/>
                <w:sz w:val="22"/>
              </w:rPr>
              <w:t> </w:t>
            </w:r>
            <w:r>
              <w:rPr>
                <w:color w:val="231F1F"/>
                <w:w w:val="105"/>
                <w:sz w:val="22"/>
              </w:rPr>
              <w:t>eficaz que sólo anestésico local (346;347).</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2209" w:left="1417" w:right="1559"/>
        </w:sect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61" w:lineRule="auto" w:before="44"/>
              <w:ind w:right="121"/>
              <w:jc w:val="both"/>
              <w:rPr>
                <w:sz w:val="22"/>
              </w:rPr>
            </w:pPr>
            <w:r>
              <w:rPr>
                <w:color w:val="231F1F"/>
                <w:w w:val="110"/>
                <w:sz w:val="22"/>
              </w:rPr>
              <w:t>La analgesia intradural con opiáceos parece tener una eficacia analgésica similar</w:t>
            </w:r>
            <w:r>
              <w:rPr>
                <w:color w:val="231F1F"/>
                <w:spacing w:val="-12"/>
                <w:w w:val="110"/>
                <w:sz w:val="22"/>
              </w:rPr>
              <w:t> </w:t>
            </w:r>
            <w:r>
              <w:rPr>
                <w:color w:val="231F1F"/>
                <w:w w:val="110"/>
                <w:sz w:val="22"/>
              </w:rPr>
              <w:t>a</w:t>
            </w:r>
            <w:r>
              <w:rPr>
                <w:color w:val="231F1F"/>
                <w:spacing w:val="-11"/>
                <w:w w:val="110"/>
                <w:sz w:val="22"/>
              </w:rPr>
              <w:t> </w:t>
            </w:r>
            <w:r>
              <w:rPr>
                <w:color w:val="231F1F"/>
                <w:w w:val="110"/>
                <w:sz w:val="22"/>
              </w:rPr>
              <w:t>los</w:t>
            </w:r>
            <w:r>
              <w:rPr>
                <w:color w:val="231F1F"/>
                <w:spacing w:val="-12"/>
                <w:w w:val="110"/>
                <w:sz w:val="22"/>
              </w:rPr>
              <w:t> </w:t>
            </w:r>
            <w:r>
              <w:rPr>
                <w:color w:val="231F1F"/>
                <w:w w:val="110"/>
                <w:sz w:val="22"/>
              </w:rPr>
              <w:t>15</w:t>
            </w:r>
            <w:r>
              <w:rPr>
                <w:color w:val="231F1F"/>
                <w:spacing w:val="-11"/>
                <w:w w:val="110"/>
                <w:sz w:val="22"/>
              </w:rPr>
              <w:t> </w:t>
            </w:r>
            <w:r>
              <w:rPr>
                <w:color w:val="231F1F"/>
                <w:w w:val="110"/>
                <w:sz w:val="22"/>
              </w:rPr>
              <w:t>minutos</w:t>
            </w:r>
            <w:r>
              <w:rPr>
                <w:color w:val="231F1F"/>
                <w:spacing w:val="-12"/>
                <w:w w:val="110"/>
                <w:sz w:val="22"/>
              </w:rPr>
              <w:t> </w:t>
            </w:r>
            <w:r>
              <w:rPr>
                <w:color w:val="231F1F"/>
                <w:w w:val="110"/>
                <w:sz w:val="22"/>
              </w:rPr>
              <w:t>de</w:t>
            </w:r>
            <w:r>
              <w:rPr>
                <w:color w:val="231F1F"/>
                <w:spacing w:val="-12"/>
                <w:w w:val="110"/>
                <w:sz w:val="22"/>
              </w:rPr>
              <w:t> </w:t>
            </w:r>
            <w:r>
              <w:rPr>
                <w:color w:val="231F1F"/>
                <w:w w:val="110"/>
                <w:sz w:val="22"/>
              </w:rPr>
              <w:t>su</w:t>
            </w:r>
            <w:r>
              <w:rPr>
                <w:color w:val="231F1F"/>
                <w:spacing w:val="-11"/>
                <w:w w:val="110"/>
                <w:sz w:val="22"/>
              </w:rPr>
              <w:t> </w:t>
            </w:r>
            <w:r>
              <w:rPr>
                <w:color w:val="231F1F"/>
                <w:w w:val="110"/>
                <w:sz w:val="22"/>
              </w:rPr>
              <w:t>administración,</w:t>
            </w:r>
            <w:r>
              <w:rPr>
                <w:color w:val="231F1F"/>
                <w:spacing w:val="-12"/>
                <w:w w:val="110"/>
                <w:sz w:val="22"/>
              </w:rPr>
              <w:t> </w:t>
            </w:r>
            <w:r>
              <w:rPr>
                <w:color w:val="231F1F"/>
                <w:w w:val="110"/>
                <w:sz w:val="22"/>
              </w:rPr>
              <w:t>aunque</w:t>
            </w:r>
            <w:r>
              <w:rPr>
                <w:color w:val="231F1F"/>
                <w:spacing w:val="-12"/>
                <w:w w:val="110"/>
                <w:sz w:val="22"/>
              </w:rPr>
              <w:t> </w:t>
            </w:r>
            <w:r>
              <w:rPr>
                <w:color w:val="231F1F"/>
                <w:w w:val="110"/>
                <w:sz w:val="22"/>
              </w:rPr>
              <w:t>hay</w:t>
            </w:r>
            <w:r>
              <w:rPr>
                <w:color w:val="231F1F"/>
                <w:spacing w:val="-11"/>
                <w:w w:val="110"/>
                <w:sz w:val="22"/>
              </w:rPr>
              <w:t> </w:t>
            </w:r>
            <w:r>
              <w:rPr>
                <w:color w:val="231F1F"/>
                <w:w w:val="110"/>
                <w:sz w:val="22"/>
              </w:rPr>
              <w:t>una</w:t>
            </w:r>
            <w:r>
              <w:rPr>
                <w:color w:val="231F1F"/>
                <w:spacing w:val="-12"/>
                <w:w w:val="110"/>
                <w:sz w:val="22"/>
              </w:rPr>
              <w:t> </w:t>
            </w:r>
            <w:r>
              <w:rPr>
                <w:color w:val="231F1F"/>
                <w:w w:val="110"/>
                <w:sz w:val="22"/>
              </w:rPr>
              <w:t>mayor</w:t>
            </w:r>
            <w:r>
              <w:rPr>
                <w:color w:val="231F1F"/>
                <w:spacing w:val="-12"/>
                <w:w w:val="110"/>
                <w:sz w:val="22"/>
              </w:rPr>
              <w:t> </w:t>
            </w:r>
            <w:r>
              <w:rPr>
                <w:color w:val="231F1F"/>
                <w:w w:val="110"/>
                <w:sz w:val="22"/>
              </w:rPr>
              <w:t>inci- </w:t>
            </w:r>
            <w:r>
              <w:rPr>
                <w:color w:val="231F1F"/>
                <w:sz w:val="22"/>
              </w:rPr>
              <w:t>dencia</w:t>
            </w:r>
            <w:r>
              <w:rPr>
                <w:color w:val="231F1F"/>
                <w:spacing w:val="40"/>
                <w:sz w:val="22"/>
              </w:rPr>
              <w:t> </w:t>
            </w:r>
            <w:r>
              <w:rPr>
                <w:color w:val="231F1F"/>
                <w:sz w:val="22"/>
              </w:rPr>
              <w:t>de</w:t>
            </w:r>
            <w:r>
              <w:rPr>
                <w:color w:val="231F1F"/>
                <w:spacing w:val="40"/>
                <w:sz w:val="22"/>
              </w:rPr>
              <w:t> </w:t>
            </w:r>
            <w:r>
              <w:rPr>
                <w:color w:val="231F1F"/>
                <w:sz w:val="22"/>
              </w:rPr>
              <w:t>prurito,</w:t>
            </w:r>
            <w:r>
              <w:rPr>
                <w:color w:val="231F1F"/>
                <w:spacing w:val="40"/>
                <w:sz w:val="22"/>
              </w:rPr>
              <w:t> </w:t>
            </w:r>
            <w:r>
              <w:rPr>
                <w:color w:val="231F1F"/>
                <w:sz w:val="22"/>
              </w:rPr>
              <w:t>en</w:t>
            </w:r>
            <w:r>
              <w:rPr>
                <w:color w:val="231F1F"/>
                <w:spacing w:val="40"/>
                <w:sz w:val="22"/>
              </w:rPr>
              <w:t> </w:t>
            </w:r>
            <w:r>
              <w:rPr>
                <w:color w:val="231F1F"/>
                <w:sz w:val="22"/>
              </w:rPr>
              <w:t>comparación</w:t>
            </w:r>
            <w:r>
              <w:rPr>
                <w:color w:val="231F1F"/>
                <w:spacing w:val="40"/>
                <w:sz w:val="22"/>
              </w:rPr>
              <w:t> </w:t>
            </w:r>
            <w:r>
              <w:rPr>
                <w:color w:val="231F1F"/>
                <w:sz w:val="22"/>
              </w:rPr>
              <w:t>con</w:t>
            </w:r>
            <w:r>
              <w:rPr>
                <w:color w:val="231F1F"/>
                <w:spacing w:val="40"/>
                <w:sz w:val="22"/>
              </w:rPr>
              <w:t> </w:t>
            </w:r>
            <w:r>
              <w:rPr>
                <w:color w:val="231F1F"/>
                <w:sz w:val="22"/>
              </w:rPr>
              <w:t>los</w:t>
            </w:r>
            <w:r>
              <w:rPr>
                <w:color w:val="231F1F"/>
                <w:spacing w:val="40"/>
                <w:sz w:val="22"/>
              </w:rPr>
              <w:t> </w:t>
            </w:r>
            <w:r>
              <w:rPr>
                <w:color w:val="231F1F"/>
                <w:sz w:val="22"/>
              </w:rPr>
              <w:t>anestésicos</w:t>
            </w:r>
            <w:r>
              <w:rPr>
                <w:color w:val="231F1F"/>
                <w:spacing w:val="40"/>
                <w:sz w:val="22"/>
              </w:rPr>
              <w:t> </w:t>
            </w:r>
            <w:r>
              <w:rPr>
                <w:color w:val="231F1F"/>
                <w:sz w:val="22"/>
              </w:rPr>
              <w:t>locales</w:t>
            </w:r>
            <w:r>
              <w:rPr>
                <w:color w:val="231F1F"/>
                <w:spacing w:val="40"/>
                <w:sz w:val="22"/>
              </w:rPr>
              <w:t> </w:t>
            </w:r>
            <w:r>
              <w:rPr>
                <w:color w:val="231F1F"/>
                <w:sz w:val="22"/>
              </w:rPr>
              <w:t>(358).</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05"/>
                <w:sz w:val="22"/>
              </w:rPr>
              <w:t>1+</w:t>
            </w:r>
          </w:p>
        </w:tc>
      </w:tr>
    </w:tbl>
    <w:p>
      <w:pPr>
        <w:pStyle w:val="BodyText"/>
        <w:spacing w:before="177"/>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16"/>
                <w:w w:val="110"/>
                <w:sz w:val="22"/>
              </w:rPr>
              <w:t> </w:t>
            </w:r>
            <w:r>
              <w:rPr>
                <w:color w:val="231F1F"/>
                <w:w w:val="110"/>
                <w:sz w:val="22"/>
              </w:rPr>
              <w:t>recomienda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utilización</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bajas</w:t>
            </w:r>
            <w:r>
              <w:rPr>
                <w:color w:val="231F1F"/>
                <w:spacing w:val="-15"/>
                <w:w w:val="110"/>
                <w:sz w:val="22"/>
              </w:rPr>
              <w:t> </w:t>
            </w:r>
            <w:r>
              <w:rPr>
                <w:color w:val="231F1F"/>
                <w:w w:val="110"/>
                <w:sz w:val="22"/>
              </w:rPr>
              <w:t>dosis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anestésico</w:t>
            </w:r>
            <w:r>
              <w:rPr>
                <w:color w:val="231F1F"/>
                <w:spacing w:val="-16"/>
                <w:w w:val="110"/>
                <w:sz w:val="22"/>
              </w:rPr>
              <w:t> </w:t>
            </w:r>
            <w:r>
              <w:rPr>
                <w:color w:val="231F1F"/>
                <w:w w:val="110"/>
                <w:sz w:val="22"/>
              </w:rPr>
              <w:t>local</w:t>
            </w:r>
            <w:r>
              <w:rPr>
                <w:color w:val="231F1F"/>
                <w:spacing w:val="-15"/>
                <w:w w:val="110"/>
                <w:sz w:val="22"/>
              </w:rPr>
              <w:t> </w:t>
            </w:r>
            <w:r>
              <w:rPr>
                <w:color w:val="231F1F"/>
                <w:w w:val="110"/>
                <w:sz w:val="22"/>
              </w:rPr>
              <w:t>junto</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opioides para la analgesia epidural.</w:t>
            </w:r>
          </w:p>
        </w:tc>
      </w:tr>
    </w:tbl>
    <w:p>
      <w:pPr>
        <w:pStyle w:val="TableParagraph"/>
        <w:spacing w:after="0" w:line="244" w:lineRule="auto"/>
        <w:rPr>
          <w:sz w:val="22"/>
        </w:rPr>
        <w:sectPr>
          <w:type w:val="continuous"/>
          <w:pgSz w:w="11900" w:h="16840"/>
          <w:pgMar w:header="0" w:footer="622" w:top="1640" w:bottom="820" w:left="1417" w:right="1559"/>
        </w:sectPr>
      </w:pPr>
    </w:p>
    <w:p>
      <w:pPr>
        <w:pStyle w:val="Heading3"/>
        <w:numPr>
          <w:ilvl w:val="3"/>
          <w:numId w:val="2"/>
        </w:numPr>
        <w:tabs>
          <w:tab w:pos="1286" w:val="left" w:leader="none"/>
        </w:tabs>
        <w:spacing w:line="240" w:lineRule="auto" w:before="71" w:after="0"/>
        <w:ind w:left="1286" w:right="0" w:hanging="1003"/>
        <w:jc w:val="left"/>
      </w:pPr>
      <w:r>
        <w:rPr>
          <w:color w:val="231F1F"/>
        </w:rPr>
        <w:t>Mantenimiento</w:t>
      </w:r>
      <w:r>
        <w:rPr>
          <w:color w:val="231F1F"/>
          <w:spacing w:val="26"/>
        </w:rPr>
        <w:t> </w:t>
      </w:r>
      <w:r>
        <w:rPr>
          <w:color w:val="231F1F"/>
        </w:rPr>
        <w:t>de</w:t>
      </w:r>
      <w:r>
        <w:rPr>
          <w:color w:val="231F1F"/>
          <w:spacing w:val="32"/>
        </w:rPr>
        <w:t> </w:t>
      </w:r>
      <w:r>
        <w:rPr>
          <w:color w:val="231F1F"/>
        </w:rPr>
        <w:t>la</w:t>
      </w:r>
      <w:r>
        <w:rPr>
          <w:color w:val="231F1F"/>
          <w:spacing w:val="33"/>
        </w:rPr>
        <w:t> </w:t>
      </w:r>
      <w:r>
        <w:rPr>
          <w:color w:val="231F1F"/>
        </w:rPr>
        <w:t>analgesia</w:t>
      </w:r>
      <w:r>
        <w:rPr>
          <w:color w:val="231F1F"/>
          <w:spacing w:val="33"/>
        </w:rPr>
        <w:t> </w:t>
      </w:r>
      <w:r>
        <w:rPr>
          <w:color w:val="231F1F"/>
        </w:rPr>
        <w:t>epidural</w:t>
      </w:r>
      <w:r>
        <w:rPr>
          <w:color w:val="231F1F"/>
          <w:spacing w:val="33"/>
        </w:rPr>
        <w:t> </w:t>
      </w:r>
      <w:r>
        <w:rPr>
          <w:color w:val="231F1F"/>
        </w:rPr>
        <w:t>en</w:t>
      </w:r>
      <w:r>
        <w:rPr>
          <w:color w:val="231F1F"/>
          <w:spacing w:val="32"/>
        </w:rPr>
        <w:t> </w:t>
      </w:r>
      <w:r>
        <w:rPr>
          <w:color w:val="231F1F"/>
        </w:rPr>
        <w:t>el</w:t>
      </w:r>
      <w:r>
        <w:rPr>
          <w:color w:val="231F1F"/>
          <w:spacing w:val="34"/>
        </w:rPr>
        <w:t> </w:t>
      </w:r>
      <w:r>
        <w:rPr>
          <w:color w:val="231F1F"/>
          <w:spacing w:val="-2"/>
        </w:rPr>
        <w:t>expulsivo</w:t>
      </w:r>
    </w:p>
    <w:p>
      <w:pPr>
        <w:pStyle w:val="BodyText"/>
        <w:spacing w:before="20"/>
        <w:rPr>
          <w:sz w:val="20"/>
        </w:rPr>
      </w:pPr>
      <w:r>
        <w:rPr>
          <w:sz w:val="20"/>
        </w:rPr>
        <mc:AlternateContent>
          <mc:Choice Requires="wps">
            <w:drawing>
              <wp:anchor distT="0" distB="0" distL="0" distR="0" allowOverlap="1" layoutInCell="1" locked="0" behindDoc="1" simplePos="0" relativeHeight="487630336">
                <wp:simplePos x="0" y="0"/>
                <wp:positionH relativeFrom="page">
                  <wp:posOffset>1082675</wp:posOffset>
                </wp:positionH>
                <wp:positionV relativeFrom="paragraph">
                  <wp:posOffset>177184</wp:posOffset>
                </wp:positionV>
                <wp:extent cx="5400040" cy="262255"/>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5400040" cy="262255"/>
                        </a:xfrm>
                        <a:prstGeom prst="rect">
                          <a:avLst/>
                        </a:prstGeom>
                        <a:ln w="6350">
                          <a:solidFill>
                            <a:srgbClr val="A30046"/>
                          </a:solidFill>
                          <a:prstDash val="solid"/>
                        </a:ln>
                      </wps:spPr>
                      <wps:txbx>
                        <w:txbxContent>
                          <w:p>
                            <w:pPr>
                              <w:pStyle w:val="BodyText"/>
                              <w:numPr>
                                <w:ilvl w:val="0"/>
                                <w:numId w:val="86"/>
                              </w:numPr>
                              <w:tabs>
                                <w:tab w:pos="322" w:val="left" w:leader="none"/>
                              </w:tabs>
                              <w:spacing w:line="240" w:lineRule="auto" w:before="46" w:after="0"/>
                              <w:ind w:left="322" w:right="0" w:hanging="218"/>
                              <w:jc w:val="left"/>
                            </w:pPr>
                            <w:r>
                              <w:rPr>
                                <w:color w:val="231F1F"/>
                              </w:rPr>
                              <w:t>¿Se</w:t>
                            </w:r>
                            <w:r>
                              <w:rPr>
                                <w:color w:val="231F1F"/>
                                <w:spacing w:val="34"/>
                              </w:rPr>
                              <w:t> </w:t>
                            </w:r>
                            <w:r>
                              <w:rPr>
                                <w:color w:val="231F1F"/>
                              </w:rPr>
                              <w:t>debe</w:t>
                            </w:r>
                            <w:r>
                              <w:rPr>
                                <w:color w:val="231F1F"/>
                                <w:spacing w:val="38"/>
                              </w:rPr>
                              <w:t> </w:t>
                            </w:r>
                            <w:r>
                              <w:rPr>
                                <w:color w:val="231F1F"/>
                              </w:rPr>
                              <w:t>suspender</w:t>
                            </w:r>
                            <w:r>
                              <w:rPr>
                                <w:color w:val="231F1F"/>
                                <w:spacing w:val="33"/>
                              </w:rPr>
                              <w:t> </w:t>
                            </w:r>
                            <w:r>
                              <w:rPr>
                                <w:color w:val="231F1F"/>
                              </w:rPr>
                              <w:t>o</w:t>
                            </w:r>
                            <w:r>
                              <w:rPr>
                                <w:color w:val="231F1F"/>
                                <w:spacing w:val="38"/>
                              </w:rPr>
                              <w:t> </w:t>
                            </w:r>
                            <w:r>
                              <w:rPr>
                                <w:color w:val="231F1F"/>
                              </w:rPr>
                              <w:t>mantener</w:t>
                            </w:r>
                            <w:r>
                              <w:rPr>
                                <w:color w:val="231F1F"/>
                                <w:spacing w:val="38"/>
                              </w:rPr>
                              <w:t> </w:t>
                            </w:r>
                            <w:r>
                              <w:rPr>
                                <w:color w:val="231F1F"/>
                              </w:rPr>
                              <w:t>la</w:t>
                            </w:r>
                            <w:r>
                              <w:rPr>
                                <w:color w:val="231F1F"/>
                                <w:spacing w:val="34"/>
                              </w:rPr>
                              <w:t> </w:t>
                            </w:r>
                            <w:r>
                              <w:rPr>
                                <w:color w:val="231F1F"/>
                              </w:rPr>
                              <w:t>analgesia</w:t>
                            </w:r>
                            <w:r>
                              <w:rPr>
                                <w:color w:val="231F1F"/>
                                <w:spacing w:val="38"/>
                              </w:rPr>
                              <w:t> </w:t>
                            </w:r>
                            <w:r>
                              <w:rPr>
                                <w:color w:val="231F1F"/>
                              </w:rPr>
                              <w:t>epidural</w:t>
                            </w:r>
                            <w:r>
                              <w:rPr>
                                <w:color w:val="231F1F"/>
                                <w:spacing w:val="38"/>
                              </w:rPr>
                              <w:t> </w:t>
                            </w:r>
                            <w:r>
                              <w:rPr>
                                <w:color w:val="231F1F"/>
                              </w:rPr>
                              <w:t>en</w:t>
                            </w:r>
                            <w:r>
                              <w:rPr>
                                <w:color w:val="231F1F"/>
                                <w:spacing w:val="37"/>
                              </w:rPr>
                              <w:t> </w:t>
                            </w:r>
                            <w:r>
                              <w:rPr>
                                <w:color w:val="231F1F"/>
                              </w:rPr>
                              <w:t>el</w:t>
                            </w:r>
                            <w:r>
                              <w:rPr>
                                <w:color w:val="231F1F"/>
                                <w:spacing w:val="36"/>
                              </w:rPr>
                              <w:t> </w:t>
                            </w:r>
                            <w:r>
                              <w:rPr>
                                <w:color w:val="231F1F"/>
                                <w:spacing w:val="-2"/>
                              </w:rPr>
                              <w:t>expulsivo?</w:t>
                            </w:r>
                          </w:p>
                        </w:txbxContent>
                      </wps:txbx>
                      <wps:bodyPr wrap="square" lIns="0" tIns="0" rIns="0" bIns="0" rtlCol="0">
                        <a:noAutofit/>
                      </wps:bodyPr>
                    </wps:wsp>
                  </a:graphicData>
                </a:graphic>
              </wp:anchor>
            </w:drawing>
          </mc:Choice>
          <mc:Fallback>
            <w:pict>
              <v:shape style="position:absolute;margin-left:85.25pt;margin-top:13.951563pt;width:425.2pt;height:20.65pt;mso-position-horizontal-relative:page;mso-position-vertical-relative:paragraph;z-index:-15686144;mso-wrap-distance-left:0;mso-wrap-distance-right:0" type="#_x0000_t202" id="docshape134" filled="false" stroked="true" strokeweight=".5pt" strokecolor="#a30046">
                <v:textbox inset="0,0,0,0">
                  <w:txbxContent>
                    <w:p>
                      <w:pPr>
                        <w:pStyle w:val="BodyText"/>
                        <w:numPr>
                          <w:ilvl w:val="0"/>
                          <w:numId w:val="86"/>
                        </w:numPr>
                        <w:tabs>
                          <w:tab w:pos="322" w:val="left" w:leader="none"/>
                        </w:tabs>
                        <w:spacing w:line="240" w:lineRule="auto" w:before="46" w:after="0"/>
                        <w:ind w:left="322" w:right="0" w:hanging="218"/>
                        <w:jc w:val="left"/>
                      </w:pPr>
                      <w:r>
                        <w:rPr>
                          <w:color w:val="231F1F"/>
                        </w:rPr>
                        <w:t>¿Se</w:t>
                      </w:r>
                      <w:r>
                        <w:rPr>
                          <w:color w:val="231F1F"/>
                          <w:spacing w:val="34"/>
                        </w:rPr>
                        <w:t> </w:t>
                      </w:r>
                      <w:r>
                        <w:rPr>
                          <w:color w:val="231F1F"/>
                        </w:rPr>
                        <w:t>debe</w:t>
                      </w:r>
                      <w:r>
                        <w:rPr>
                          <w:color w:val="231F1F"/>
                          <w:spacing w:val="38"/>
                        </w:rPr>
                        <w:t> </w:t>
                      </w:r>
                      <w:r>
                        <w:rPr>
                          <w:color w:val="231F1F"/>
                        </w:rPr>
                        <w:t>suspender</w:t>
                      </w:r>
                      <w:r>
                        <w:rPr>
                          <w:color w:val="231F1F"/>
                          <w:spacing w:val="33"/>
                        </w:rPr>
                        <w:t> </w:t>
                      </w:r>
                      <w:r>
                        <w:rPr>
                          <w:color w:val="231F1F"/>
                        </w:rPr>
                        <w:t>o</w:t>
                      </w:r>
                      <w:r>
                        <w:rPr>
                          <w:color w:val="231F1F"/>
                          <w:spacing w:val="38"/>
                        </w:rPr>
                        <w:t> </w:t>
                      </w:r>
                      <w:r>
                        <w:rPr>
                          <w:color w:val="231F1F"/>
                        </w:rPr>
                        <w:t>mantener</w:t>
                      </w:r>
                      <w:r>
                        <w:rPr>
                          <w:color w:val="231F1F"/>
                          <w:spacing w:val="38"/>
                        </w:rPr>
                        <w:t> </w:t>
                      </w:r>
                      <w:r>
                        <w:rPr>
                          <w:color w:val="231F1F"/>
                        </w:rPr>
                        <w:t>la</w:t>
                      </w:r>
                      <w:r>
                        <w:rPr>
                          <w:color w:val="231F1F"/>
                          <w:spacing w:val="34"/>
                        </w:rPr>
                        <w:t> </w:t>
                      </w:r>
                      <w:r>
                        <w:rPr>
                          <w:color w:val="231F1F"/>
                        </w:rPr>
                        <w:t>analgesia</w:t>
                      </w:r>
                      <w:r>
                        <w:rPr>
                          <w:color w:val="231F1F"/>
                          <w:spacing w:val="38"/>
                        </w:rPr>
                        <w:t> </w:t>
                      </w:r>
                      <w:r>
                        <w:rPr>
                          <w:color w:val="231F1F"/>
                        </w:rPr>
                        <w:t>epidural</w:t>
                      </w:r>
                      <w:r>
                        <w:rPr>
                          <w:color w:val="231F1F"/>
                          <w:spacing w:val="38"/>
                        </w:rPr>
                        <w:t> </w:t>
                      </w:r>
                      <w:r>
                        <w:rPr>
                          <w:color w:val="231F1F"/>
                        </w:rPr>
                        <w:t>en</w:t>
                      </w:r>
                      <w:r>
                        <w:rPr>
                          <w:color w:val="231F1F"/>
                          <w:spacing w:val="37"/>
                        </w:rPr>
                        <w:t> </w:t>
                      </w:r>
                      <w:r>
                        <w:rPr>
                          <w:color w:val="231F1F"/>
                        </w:rPr>
                        <w:t>el</w:t>
                      </w:r>
                      <w:r>
                        <w:rPr>
                          <w:color w:val="231F1F"/>
                          <w:spacing w:val="36"/>
                        </w:rPr>
                        <w:t> </w:t>
                      </w:r>
                      <w:r>
                        <w:rPr>
                          <w:color w:val="231F1F"/>
                          <w:spacing w:val="-2"/>
                        </w:rPr>
                        <w:t>expulsivo?</w:t>
                      </w:r>
                    </w:p>
                  </w:txbxContent>
                </v:textbox>
                <v:stroke dashstyle="solid"/>
                <w10:wrap type="topAndBottom"/>
              </v:shape>
            </w:pict>
          </mc:Fallback>
        </mc:AlternateContent>
      </w:r>
    </w:p>
    <w:p>
      <w:pPr>
        <w:pStyle w:val="BodyText"/>
        <w:spacing w:line="244" w:lineRule="auto" w:before="334"/>
        <w:ind w:left="283" w:right="120"/>
        <w:jc w:val="both"/>
      </w:pPr>
      <w:r>
        <w:rPr>
          <w:color w:val="231F1F"/>
          <w:w w:val="105"/>
        </w:rPr>
        <w:t>La analgesia epidural proporciona un efectivo alivio del dolor durante el parto. Sin embar- go,</w:t>
      </w:r>
      <w:r>
        <w:rPr>
          <w:color w:val="231F1F"/>
          <w:w w:val="105"/>
        </w:rPr>
        <w:t> está</w:t>
      </w:r>
      <w:r>
        <w:rPr>
          <w:color w:val="231F1F"/>
          <w:w w:val="105"/>
        </w:rPr>
        <w:t> asociada</w:t>
      </w:r>
      <w:r>
        <w:rPr>
          <w:color w:val="231F1F"/>
          <w:w w:val="105"/>
        </w:rPr>
        <w:t> con</w:t>
      </w:r>
      <w:r>
        <w:rPr>
          <w:color w:val="231F1F"/>
          <w:w w:val="105"/>
        </w:rPr>
        <w:t> algunos</w:t>
      </w:r>
      <w:r>
        <w:rPr>
          <w:color w:val="231F1F"/>
          <w:w w:val="105"/>
        </w:rPr>
        <w:t> efectos</w:t>
      </w:r>
      <w:r>
        <w:rPr>
          <w:color w:val="231F1F"/>
          <w:w w:val="105"/>
        </w:rPr>
        <w:t> adversos</w:t>
      </w:r>
      <w:r>
        <w:rPr>
          <w:color w:val="231F1F"/>
          <w:w w:val="105"/>
        </w:rPr>
        <w:t> obstétricos,</w:t>
      </w:r>
      <w:r>
        <w:rPr>
          <w:color w:val="231F1F"/>
          <w:w w:val="105"/>
        </w:rPr>
        <w:t> que</w:t>
      </w:r>
      <w:r>
        <w:rPr>
          <w:color w:val="231F1F"/>
          <w:w w:val="105"/>
        </w:rPr>
        <w:t> incluyen</w:t>
      </w:r>
      <w:r>
        <w:rPr>
          <w:color w:val="231F1F"/>
          <w:w w:val="105"/>
        </w:rPr>
        <w:t> un</w:t>
      </w:r>
      <w:r>
        <w:rPr>
          <w:color w:val="231F1F"/>
          <w:w w:val="105"/>
        </w:rPr>
        <w:t> aumento</w:t>
      </w:r>
      <w:r>
        <w:rPr>
          <w:color w:val="231F1F"/>
          <w:w w:val="105"/>
        </w:rPr>
        <w:t> del riesgo de parto instrumental.</w:t>
      </w:r>
    </w:p>
    <w:p>
      <w:pPr>
        <w:pStyle w:val="BodyText"/>
        <w:spacing w:line="244" w:lineRule="auto" w:before="142"/>
        <w:ind w:left="283" w:right="114" w:firstLine="453"/>
        <w:jc w:val="both"/>
      </w:pPr>
      <w:r>
        <w:rPr>
          <w:color w:val="231F1F"/>
          <w:w w:val="110"/>
        </w:rPr>
        <w:t>Con</w:t>
      </w:r>
      <w:r>
        <w:rPr>
          <w:color w:val="231F1F"/>
          <w:w w:val="110"/>
        </w:rPr>
        <w:t> frecuencia</w:t>
      </w:r>
      <w:r>
        <w:rPr>
          <w:color w:val="231F1F"/>
          <w:w w:val="110"/>
        </w:rPr>
        <w:t> la</w:t>
      </w:r>
      <w:r>
        <w:rPr>
          <w:color w:val="231F1F"/>
          <w:w w:val="110"/>
        </w:rPr>
        <w:t> administración</w:t>
      </w:r>
      <w:r>
        <w:rPr>
          <w:color w:val="231F1F"/>
          <w:w w:val="110"/>
        </w:rPr>
        <w:t> de</w:t>
      </w:r>
      <w:r>
        <w:rPr>
          <w:color w:val="231F1F"/>
          <w:w w:val="110"/>
        </w:rPr>
        <w:t> analgesia</w:t>
      </w:r>
      <w:r>
        <w:rPr>
          <w:color w:val="231F1F"/>
          <w:w w:val="110"/>
        </w:rPr>
        <w:t> se</w:t>
      </w:r>
      <w:r>
        <w:rPr>
          <w:color w:val="231F1F"/>
          <w:w w:val="110"/>
        </w:rPr>
        <w:t> reduce</w:t>
      </w:r>
      <w:r>
        <w:rPr>
          <w:color w:val="231F1F"/>
          <w:w w:val="110"/>
        </w:rPr>
        <w:t> o</w:t>
      </w:r>
      <w:r>
        <w:rPr>
          <w:color w:val="231F1F"/>
          <w:w w:val="110"/>
        </w:rPr>
        <w:t> interrumpe</w:t>
      </w:r>
      <w:r>
        <w:rPr>
          <w:color w:val="231F1F"/>
          <w:w w:val="110"/>
        </w:rPr>
        <w:t> cuando</w:t>
      </w:r>
      <w:r>
        <w:rPr>
          <w:color w:val="231F1F"/>
          <w:w w:val="110"/>
        </w:rPr>
        <w:t> se aproxima la fase final del parto, con el fin de mejorar la capacidad de la mujer de pujar y</w:t>
      </w:r>
      <w:r>
        <w:rPr>
          <w:color w:val="231F1F"/>
          <w:w w:val="110"/>
        </w:rPr>
        <w:t> reducir</w:t>
      </w:r>
      <w:r>
        <w:rPr>
          <w:color w:val="231F1F"/>
          <w:w w:val="110"/>
        </w:rPr>
        <w:t> la</w:t>
      </w:r>
      <w:r>
        <w:rPr>
          <w:color w:val="231F1F"/>
          <w:w w:val="110"/>
        </w:rPr>
        <w:t> tasa</w:t>
      </w:r>
      <w:r>
        <w:rPr>
          <w:color w:val="231F1F"/>
          <w:w w:val="110"/>
        </w:rPr>
        <w:t> de</w:t>
      </w:r>
      <w:r>
        <w:rPr>
          <w:color w:val="231F1F"/>
          <w:w w:val="110"/>
        </w:rPr>
        <w:t> parto</w:t>
      </w:r>
      <w:r>
        <w:rPr>
          <w:color w:val="231F1F"/>
          <w:w w:val="110"/>
        </w:rPr>
        <w:t> instrumental.</w:t>
      </w:r>
      <w:r>
        <w:rPr>
          <w:color w:val="231F1F"/>
          <w:w w:val="110"/>
        </w:rPr>
        <w:t> Sin</w:t>
      </w:r>
      <w:r>
        <w:rPr>
          <w:color w:val="231F1F"/>
          <w:w w:val="110"/>
        </w:rPr>
        <w:t> embargo,</w:t>
      </w:r>
      <w:r>
        <w:rPr>
          <w:color w:val="231F1F"/>
          <w:w w:val="110"/>
        </w:rPr>
        <w:t> con</w:t>
      </w:r>
      <w:r>
        <w:rPr>
          <w:color w:val="231F1F"/>
          <w:w w:val="110"/>
        </w:rPr>
        <w:t> los</w:t>
      </w:r>
      <w:r>
        <w:rPr>
          <w:color w:val="231F1F"/>
          <w:w w:val="110"/>
        </w:rPr>
        <w:t> regímenes</w:t>
      </w:r>
      <w:r>
        <w:rPr>
          <w:color w:val="231F1F"/>
          <w:w w:val="110"/>
        </w:rPr>
        <w:t> modernos</w:t>
      </w:r>
      <w:r>
        <w:rPr>
          <w:color w:val="231F1F"/>
          <w:w w:val="110"/>
        </w:rPr>
        <w:t> de analgesia (con bajas dosis de epidural) el bloqueo</w:t>
      </w:r>
      <w:r>
        <w:rPr>
          <w:color w:val="231F1F"/>
          <w:w w:val="110"/>
        </w:rPr>
        <w:t> motor que presentan las mujeres es menor</w:t>
      </w:r>
      <w:r>
        <w:rPr>
          <w:color w:val="231F1F"/>
          <w:w w:val="110"/>
        </w:rPr>
        <w:t> y</w:t>
      </w:r>
      <w:r>
        <w:rPr>
          <w:color w:val="231F1F"/>
          <w:w w:val="110"/>
        </w:rPr>
        <w:t> la</w:t>
      </w:r>
      <w:r>
        <w:rPr>
          <w:color w:val="231F1F"/>
          <w:w w:val="110"/>
        </w:rPr>
        <w:t> capacidad</w:t>
      </w:r>
      <w:r>
        <w:rPr>
          <w:color w:val="231F1F"/>
          <w:w w:val="110"/>
        </w:rPr>
        <w:t> de</w:t>
      </w:r>
      <w:r>
        <w:rPr>
          <w:color w:val="231F1F"/>
          <w:w w:val="110"/>
        </w:rPr>
        <w:t> participar</w:t>
      </w:r>
      <w:r>
        <w:rPr>
          <w:color w:val="231F1F"/>
          <w:w w:val="110"/>
        </w:rPr>
        <w:t> activamente</w:t>
      </w:r>
      <w:r>
        <w:rPr>
          <w:color w:val="231F1F"/>
          <w:w w:val="110"/>
        </w:rPr>
        <w:t> en</w:t>
      </w:r>
      <w:r>
        <w:rPr>
          <w:color w:val="231F1F"/>
          <w:w w:val="110"/>
        </w:rPr>
        <w:t> los</w:t>
      </w:r>
      <w:r>
        <w:rPr>
          <w:color w:val="231F1F"/>
          <w:w w:val="110"/>
        </w:rPr>
        <w:t> pujos</w:t>
      </w:r>
      <w:r>
        <w:rPr>
          <w:color w:val="231F1F"/>
          <w:w w:val="110"/>
        </w:rPr>
        <w:t> no</w:t>
      </w:r>
      <w:r>
        <w:rPr>
          <w:color w:val="231F1F"/>
          <w:w w:val="110"/>
        </w:rPr>
        <w:t> tendría</w:t>
      </w:r>
      <w:r>
        <w:rPr>
          <w:color w:val="231F1F"/>
          <w:w w:val="110"/>
        </w:rPr>
        <w:t> porqué</w:t>
      </w:r>
      <w:r>
        <w:rPr>
          <w:color w:val="231F1F"/>
          <w:w w:val="110"/>
        </w:rPr>
        <w:t> verse </w:t>
      </w:r>
      <w:r>
        <w:rPr>
          <w:color w:val="231F1F"/>
          <w:spacing w:val="-2"/>
          <w:w w:val="110"/>
        </w:rPr>
        <w:t>comprometida.</w:t>
      </w:r>
    </w:p>
    <w:p>
      <w:pPr>
        <w:pStyle w:val="BodyText"/>
        <w:spacing w:before="162"/>
      </w:pPr>
    </w:p>
    <w:p>
      <w:pPr>
        <w:spacing w:before="0"/>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9" w:lineRule="auto" w:before="209"/>
        <w:ind w:left="283" w:right="1363"/>
        <w:jc w:val="both"/>
      </w:pPr>
      <w:r>
        <w:rPr>
          <w:color w:val="231F1F"/>
          <w:w w:val="105"/>
        </w:rPr>
        <w:t>La</w:t>
      </w:r>
      <w:r>
        <w:rPr>
          <w:color w:val="231F1F"/>
          <w:w w:val="105"/>
        </w:rPr>
        <w:t> evidencia</w:t>
      </w:r>
      <w:r>
        <w:rPr>
          <w:color w:val="231F1F"/>
          <w:w w:val="105"/>
        </w:rPr>
        <w:t> que</w:t>
      </w:r>
      <w:r>
        <w:rPr>
          <w:color w:val="231F1F"/>
          <w:w w:val="105"/>
        </w:rPr>
        <w:t> responde</w:t>
      </w:r>
      <w:r>
        <w:rPr>
          <w:color w:val="231F1F"/>
          <w:w w:val="105"/>
        </w:rPr>
        <w:t> a</w:t>
      </w:r>
      <w:r>
        <w:rPr>
          <w:color w:val="231F1F"/>
          <w:w w:val="105"/>
        </w:rPr>
        <w:t> esta</w:t>
      </w:r>
      <w:r>
        <w:rPr>
          <w:color w:val="231F1F"/>
          <w:w w:val="105"/>
        </w:rPr>
        <w:t> pregunta</w:t>
      </w:r>
      <w:r>
        <w:rPr>
          <w:color w:val="231F1F"/>
          <w:w w:val="105"/>
        </w:rPr>
        <w:t> en</w:t>
      </w:r>
      <w:r>
        <w:rPr>
          <w:color w:val="231F1F"/>
          <w:w w:val="105"/>
        </w:rPr>
        <w:t> la</w:t>
      </w:r>
      <w:r>
        <w:rPr>
          <w:color w:val="231F1F"/>
          <w:w w:val="105"/>
        </w:rPr>
        <w:t> guía</w:t>
      </w:r>
      <w:r>
        <w:rPr>
          <w:color w:val="231F1F"/>
          <w:w w:val="105"/>
        </w:rPr>
        <w:t> NICE</w:t>
      </w:r>
      <w:r>
        <w:rPr>
          <w:color w:val="231F1F"/>
          <w:w w:val="105"/>
        </w:rPr>
        <w:t> (10)</w:t>
      </w:r>
      <w:r>
        <w:rPr>
          <w:color w:val="231F1F"/>
          <w:w w:val="105"/>
        </w:rPr>
        <w:t> es</w:t>
      </w:r>
      <w:r>
        <w:rPr>
          <w:color w:val="231F1F"/>
          <w:w w:val="105"/>
        </w:rPr>
        <w:t> una</w:t>
      </w:r>
      <w:r>
        <w:rPr>
          <w:color w:val="231F1F"/>
          <w:w w:val="105"/>
        </w:rPr>
        <w:t> RS</w:t>
      </w:r>
      <w:r>
        <w:rPr>
          <w:color w:val="231F1F"/>
          <w:spacing w:val="40"/>
          <w:w w:val="105"/>
        </w:rPr>
        <w:t> </w:t>
      </w:r>
      <w:r>
        <w:rPr>
          <w:color w:val="231F1F"/>
          <w:w w:val="105"/>
        </w:rPr>
        <w:t>con metaanálisis (359), que incluye cinco ECAs y 462 mujeres con parto es- pontáneo</w:t>
      </w:r>
      <w:r>
        <w:rPr>
          <w:color w:val="231F1F"/>
          <w:w w:val="105"/>
        </w:rPr>
        <w:t> e</w:t>
      </w:r>
      <w:r>
        <w:rPr>
          <w:color w:val="231F1F"/>
          <w:w w:val="105"/>
        </w:rPr>
        <w:t> inducido.</w:t>
      </w:r>
      <w:r>
        <w:rPr>
          <w:color w:val="231F1F"/>
          <w:w w:val="105"/>
        </w:rPr>
        <w:t> En</w:t>
      </w:r>
      <w:r>
        <w:rPr>
          <w:color w:val="231F1F"/>
          <w:w w:val="105"/>
        </w:rPr>
        <w:t> ella</w:t>
      </w:r>
      <w:r>
        <w:rPr>
          <w:color w:val="231F1F"/>
          <w:w w:val="105"/>
        </w:rPr>
        <w:t> se</w:t>
      </w:r>
      <w:r>
        <w:rPr>
          <w:color w:val="231F1F"/>
          <w:w w:val="105"/>
        </w:rPr>
        <w:t> evalúa</w:t>
      </w:r>
      <w:r>
        <w:rPr>
          <w:color w:val="231F1F"/>
          <w:w w:val="105"/>
        </w:rPr>
        <w:t> el</w:t>
      </w:r>
      <w:r>
        <w:rPr>
          <w:color w:val="231F1F"/>
          <w:w w:val="105"/>
        </w:rPr>
        <w:t> impacto</w:t>
      </w:r>
      <w:r>
        <w:rPr>
          <w:color w:val="231F1F"/>
          <w:w w:val="105"/>
        </w:rPr>
        <w:t> de</w:t>
      </w:r>
      <w:r>
        <w:rPr>
          <w:color w:val="231F1F"/>
          <w:w w:val="105"/>
        </w:rPr>
        <w:t> la</w:t>
      </w:r>
      <w:r>
        <w:rPr>
          <w:color w:val="231F1F"/>
          <w:w w:val="105"/>
        </w:rPr>
        <w:t> interrupción</w:t>
      </w:r>
      <w:r>
        <w:rPr>
          <w:color w:val="231F1F"/>
          <w:w w:val="105"/>
        </w:rPr>
        <w:t> de</w:t>
      </w:r>
      <w:r>
        <w:rPr>
          <w:color w:val="231F1F"/>
          <w:w w:val="105"/>
        </w:rPr>
        <w:t> la analgesia epidural en las fases finales del parto (dilatación cervical &gt;de 8 cm) sobre</w:t>
      </w:r>
      <w:r>
        <w:rPr>
          <w:color w:val="231F1F"/>
          <w:spacing w:val="-5"/>
          <w:w w:val="105"/>
        </w:rPr>
        <w:t> </w:t>
      </w:r>
      <w:r>
        <w:rPr>
          <w:color w:val="231F1F"/>
          <w:w w:val="105"/>
        </w:rPr>
        <w:t>el</w:t>
      </w:r>
      <w:r>
        <w:rPr>
          <w:color w:val="231F1F"/>
          <w:spacing w:val="-5"/>
          <w:w w:val="105"/>
        </w:rPr>
        <w:t> </w:t>
      </w:r>
      <w:r>
        <w:rPr>
          <w:color w:val="231F1F"/>
          <w:w w:val="105"/>
        </w:rPr>
        <w:t>tipo</w:t>
      </w:r>
      <w:r>
        <w:rPr>
          <w:color w:val="231F1F"/>
          <w:spacing w:val="-5"/>
          <w:w w:val="105"/>
        </w:rPr>
        <w:t> </w:t>
      </w:r>
      <w:r>
        <w:rPr>
          <w:color w:val="231F1F"/>
          <w:w w:val="105"/>
        </w:rPr>
        <w:t>de</w:t>
      </w:r>
      <w:r>
        <w:rPr>
          <w:color w:val="231F1F"/>
          <w:spacing w:val="-5"/>
          <w:w w:val="105"/>
        </w:rPr>
        <w:t> </w:t>
      </w:r>
      <w:r>
        <w:rPr>
          <w:color w:val="231F1F"/>
          <w:w w:val="105"/>
        </w:rPr>
        <w:t>parto</w:t>
      </w:r>
      <w:r>
        <w:rPr>
          <w:color w:val="231F1F"/>
          <w:spacing w:val="-5"/>
          <w:w w:val="105"/>
        </w:rPr>
        <w:t> </w:t>
      </w:r>
      <w:r>
        <w:rPr>
          <w:color w:val="231F1F"/>
          <w:w w:val="105"/>
        </w:rPr>
        <w:t>y</w:t>
      </w:r>
      <w:r>
        <w:rPr>
          <w:color w:val="231F1F"/>
          <w:spacing w:val="-5"/>
          <w:w w:val="105"/>
        </w:rPr>
        <w:t> </w:t>
      </w:r>
      <w:r>
        <w:rPr>
          <w:color w:val="231F1F"/>
          <w:w w:val="105"/>
        </w:rPr>
        <w:t>alivio</w:t>
      </w:r>
      <w:r>
        <w:rPr>
          <w:color w:val="231F1F"/>
          <w:spacing w:val="-4"/>
          <w:w w:val="105"/>
        </w:rPr>
        <w:t> </w:t>
      </w:r>
      <w:r>
        <w:rPr>
          <w:color w:val="231F1F"/>
          <w:w w:val="105"/>
        </w:rPr>
        <w:t>del</w:t>
      </w:r>
      <w:r>
        <w:rPr>
          <w:color w:val="231F1F"/>
          <w:spacing w:val="-5"/>
          <w:w w:val="105"/>
        </w:rPr>
        <w:t> </w:t>
      </w:r>
      <w:r>
        <w:rPr>
          <w:color w:val="231F1F"/>
          <w:w w:val="105"/>
        </w:rPr>
        <w:t>dolor,</w:t>
      </w:r>
      <w:r>
        <w:rPr>
          <w:color w:val="231F1F"/>
          <w:spacing w:val="-5"/>
          <w:w w:val="105"/>
        </w:rPr>
        <w:t> </w:t>
      </w:r>
      <w:r>
        <w:rPr>
          <w:color w:val="231F1F"/>
          <w:w w:val="105"/>
        </w:rPr>
        <w:t>comparandolo</w:t>
      </w:r>
      <w:r>
        <w:rPr>
          <w:color w:val="231F1F"/>
          <w:spacing w:val="-5"/>
          <w:w w:val="105"/>
        </w:rPr>
        <w:t> </w:t>
      </w:r>
      <w:r>
        <w:rPr>
          <w:color w:val="231F1F"/>
          <w:w w:val="105"/>
        </w:rPr>
        <w:t>con</w:t>
      </w:r>
      <w:r>
        <w:rPr>
          <w:color w:val="231F1F"/>
          <w:spacing w:val="-5"/>
          <w:w w:val="105"/>
        </w:rPr>
        <w:t> </w:t>
      </w:r>
      <w:r>
        <w:rPr>
          <w:color w:val="231F1F"/>
          <w:w w:val="105"/>
        </w:rPr>
        <w:t>la</w:t>
      </w:r>
      <w:r>
        <w:rPr>
          <w:color w:val="231F1F"/>
          <w:spacing w:val="-5"/>
          <w:w w:val="105"/>
        </w:rPr>
        <w:t> </w:t>
      </w:r>
      <w:r>
        <w:rPr>
          <w:color w:val="231F1F"/>
          <w:w w:val="105"/>
        </w:rPr>
        <w:t>práctica</w:t>
      </w:r>
      <w:r>
        <w:rPr>
          <w:color w:val="231F1F"/>
          <w:spacing w:val="-5"/>
          <w:w w:val="105"/>
        </w:rPr>
        <w:t> </w:t>
      </w:r>
      <w:r>
        <w:rPr>
          <w:color w:val="231F1F"/>
          <w:w w:val="105"/>
        </w:rPr>
        <w:t>habitual, sin interrupciones.</w:t>
      </w:r>
    </w:p>
    <w:p>
      <w:pPr>
        <w:pStyle w:val="BodyText"/>
        <w:tabs>
          <w:tab w:pos="7937" w:val="left" w:leader="none"/>
          <w:tab w:pos="8114" w:val="left" w:leader="none"/>
        </w:tabs>
        <w:spacing w:line="247" w:lineRule="auto" w:before="92"/>
        <w:ind w:left="283" w:right="491" w:firstLine="453"/>
      </w:pPr>
      <w:r>
        <w:rPr>
          <w:color w:val="231F1F"/>
          <w:w w:val="105"/>
        </w:rPr>
        <w:t>En</w:t>
      </w:r>
      <w:r>
        <w:rPr>
          <w:color w:val="231F1F"/>
          <w:spacing w:val="-4"/>
          <w:w w:val="105"/>
        </w:rPr>
        <w:t> </w:t>
      </w:r>
      <w:r>
        <w:rPr>
          <w:color w:val="231F1F"/>
          <w:w w:val="105"/>
        </w:rPr>
        <w:t>el</w:t>
      </w:r>
      <w:r>
        <w:rPr>
          <w:color w:val="231F1F"/>
          <w:spacing w:val="-4"/>
          <w:w w:val="105"/>
        </w:rPr>
        <w:t> </w:t>
      </w:r>
      <w:r>
        <w:rPr>
          <w:color w:val="231F1F"/>
          <w:w w:val="105"/>
        </w:rPr>
        <w:t>metaanálisis</w:t>
      </w:r>
      <w:r>
        <w:rPr>
          <w:color w:val="231F1F"/>
          <w:spacing w:val="-4"/>
          <w:w w:val="105"/>
        </w:rPr>
        <w:t> </w:t>
      </w:r>
      <w:r>
        <w:rPr>
          <w:color w:val="231F1F"/>
          <w:w w:val="105"/>
        </w:rPr>
        <w:t>la</w:t>
      </w:r>
      <w:r>
        <w:rPr>
          <w:color w:val="231F1F"/>
          <w:spacing w:val="-4"/>
          <w:w w:val="105"/>
        </w:rPr>
        <w:t> </w:t>
      </w:r>
      <w:r>
        <w:rPr>
          <w:color w:val="231F1F"/>
          <w:w w:val="105"/>
        </w:rPr>
        <w:t>interrupción</w:t>
      </w:r>
      <w:r>
        <w:rPr>
          <w:color w:val="231F1F"/>
          <w:spacing w:val="-4"/>
          <w:w w:val="105"/>
        </w:rPr>
        <w:t> </w:t>
      </w:r>
      <w:r>
        <w:rPr>
          <w:color w:val="231F1F"/>
          <w:w w:val="105"/>
        </w:rPr>
        <w:t>de</w:t>
      </w:r>
      <w:r>
        <w:rPr>
          <w:color w:val="231F1F"/>
          <w:spacing w:val="-4"/>
          <w:w w:val="105"/>
        </w:rPr>
        <w:t> </w:t>
      </w:r>
      <w:r>
        <w:rPr>
          <w:color w:val="231F1F"/>
          <w:w w:val="105"/>
        </w:rPr>
        <w:t>la</w:t>
      </w:r>
      <w:r>
        <w:rPr>
          <w:color w:val="231F1F"/>
          <w:spacing w:val="-4"/>
          <w:w w:val="105"/>
        </w:rPr>
        <w:t> </w:t>
      </w:r>
      <w:r>
        <w:rPr>
          <w:color w:val="231F1F"/>
          <w:w w:val="105"/>
        </w:rPr>
        <w:t>administración</w:t>
      </w:r>
      <w:r>
        <w:rPr>
          <w:color w:val="231F1F"/>
          <w:spacing w:val="-4"/>
          <w:w w:val="105"/>
        </w:rPr>
        <w:t> </w:t>
      </w:r>
      <w:r>
        <w:rPr>
          <w:color w:val="231F1F"/>
          <w:w w:val="105"/>
        </w:rPr>
        <w:t>de</w:t>
      </w:r>
      <w:r>
        <w:rPr>
          <w:color w:val="231F1F"/>
          <w:spacing w:val="-4"/>
          <w:w w:val="105"/>
        </w:rPr>
        <w:t> </w:t>
      </w:r>
      <w:r>
        <w:rPr>
          <w:color w:val="231F1F"/>
          <w:w w:val="105"/>
        </w:rPr>
        <w:t>analgesia</w:t>
      </w:r>
      <w:r>
        <w:rPr>
          <w:color w:val="231F1F"/>
          <w:spacing w:val="-4"/>
          <w:w w:val="105"/>
        </w:rPr>
        <w:t> </w:t>
      </w:r>
      <w:r>
        <w:rPr>
          <w:color w:val="231F1F"/>
          <w:w w:val="105"/>
        </w:rPr>
        <w:t>epi-</w:t>
      </w:r>
      <w:r>
        <w:rPr>
          <w:color w:val="231F1F"/>
          <w:spacing w:val="80"/>
          <w:w w:val="150"/>
        </w:rPr>
        <w:t> </w:t>
      </w:r>
      <w:r>
        <w:rPr>
          <w:rFonts w:ascii="Arial MT" w:hAnsi="Arial MT"/>
          <w:color w:val="231F1F"/>
          <w:w w:val="105"/>
          <w:sz w:val="18"/>
        </w:rPr>
        <w:t>RS-MA de </w:t>
      </w:r>
      <w:r>
        <w:rPr>
          <w:color w:val="231F1F"/>
          <w:w w:val="105"/>
        </w:rPr>
        <w:t>dural antes de la segunda etapa de parto no disminuyó la incidencia de partos</w:t>
      </w:r>
      <w:r>
        <w:rPr>
          <w:color w:val="231F1F"/>
        </w:rPr>
        <w:tab/>
      </w:r>
      <w:r>
        <w:rPr>
          <w:rFonts w:ascii="Arial MT" w:hAnsi="Arial MT"/>
          <w:color w:val="231F1F"/>
          <w:spacing w:val="-4"/>
          <w:w w:val="105"/>
          <w:position w:val="4"/>
          <w:sz w:val="18"/>
        </w:rPr>
        <w:t>ECAs </w:t>
      </w:r>
      <w:r>
        <w:rPr>
          <w:color w:val="231F1F"/>
          <w:w w:val="105"/>
        </w:rPr>
        <w:t>instrumentales: RR 0,84 [IC 95% 0,61 a 1,15], ni la tasa de cesáreas: RR 0,98</w:t>
      </w:r>
      <w:r>
        <w:rPr>
          <w:color w:val="231F1F"/>
        </w:rPr>
        <w:tab/>
        <w:tab/>
      </w:r>
      <w:r>
        <w:rPr>
          <w:rFonts w:ascii="Arial MT" w:hAnsi="Arial MT"/>
          <w:color w:val="231F1F"/>
          <w:spacing w:val="-6"/>
          <w:w w:val="105"/>
          <w:position w:val="8"/>
          <w:sz w:val="18"/>
        </w:rPr>
        <w:t>1+ </w:t>
      </w:r>
      <w:r>
        <w:rPr>
          <w:color w:val="231F1F"/>
          <w:w w:val="105"/>
        </w:rPr>
        <w:t>[IC 95% 0,43 a 2,25]. Además, la duración de la segunda etapa del parto fue</w:t>
      </w:r>
    </w:p>
    <w:p>
      <w:pPr>
        <w:pStyle w:val="BodyText"/>
        <w:spacing w:line="244" w:lineRule="exact"/>
        <w:ind w:left="283"/>
      </w:pPr>
      <w:r>
        <w:rPr>
          <w:color w:val="231F1F"/>
          <w:w w:val="110"/>
        </w:rPr>
        <w:t>similar</w:t>
      </w:r>
      <w:r>
        <w:rPr>
          <w:color w:val="231F1F"/>
          <w:spacing w:val="-6"/>
          <w:w w:val="110"/>
        </w:rPr>
        <w:t> </w:t>
      </w:r>
      <w:r>
        <w:rPr>
          <w:color w:val="231F1F"/>
          <w:w w:val="110"/>
        </w:rPr>
        <w:t>en</w:t>
      </w:r>
      <w:r>
        <w:rPr>
          <w:color w:val="231F1F"/>
          <w:spacing w:val="-4"/>
          <w:w w:val="110"/>
        </w:rPr>
        <w:t> </w:t>
      </w:r>
      <w:r>
        <w:rPr>
          <w:color w:val="231F1F"/>
          <w:w w:val="110"/>
        </w:rPr>
        <w:t>los</w:t>
      </w:r>
      <w:r>
        <w:rPr>
          <w:color w:val="231F1F"/>
          <w:spacing w:val="-4"/>
          <w:w w:val="110"/>
        </w:rPr>
        <w:t> </w:t>
      </w:r>
      <w:r>
        <w:rPr>
          <w:color w:val="231F1F"/>
          <w:w w:val="110"/>
        </w:rPr>
        <w:t>dos</w:t>
      </w:r>
      <w:r>
        <w:rPr>
          <w:color w:val="231F1F"/>
          <w:spacing w:val="-4"/>
          <w:w w:val="110"/>
        </w:rPr>
        <w:t> </w:t>
      </w:r>
      <w:r>
        <w:rPr>
          <w:color w:val="231F1F"/>
          <w:spacing w:val="-2"/>
          <w:w w:val="110"/>
        </w:rPr>
        <w:t>grupos.</w:t>
      </w:r>
    </w:p>
    <w:p>
      <w:pPr>
        <w:pStyle w:val="BodyText"/>
        <w:spacing w:line="244" w:lineRule="auto" w:before="64"/>
        <w:ind w:left="283" w:right="1386" w:firstLine="453"/>
      </w:pPr>
      <w:r>
        <w:rPr>
          <w:color w:val="231F1F"/>
          <w:w w:val="105"/>
        </w:rPr>
        <w:t>En</w:t>
      </w:r>
      <w:r>
        <w:rPr>
          <w:color w:val="231F1F"/>
          <w:spacing w:val="26"/>
          <w:w w:val="105"/>
        </w:rPr>
        <w:t> </w:t>
      </w:r>
      <w:r>
        <w:rPr>
          <w:color w:val="231F1F"/>
          <w:w w:val="105"/>
        </w:rPr>
        <w:t>cuanto</w:t>
      </w:r>
      <w:r>
        <w:rPr>
          <w:color w:val="231F1F"/>
          <w:spacing w:val="26"/>
          <w:w w:val="105"/>
        </w:rPr>
        <w:t> </w:t>
      </w:r>
      <w:r>
        <w:rPr>
          <w:color w:val="231F1F"/>
          <w:w w:val="105"/>
        </w:rPr>
        <w:t>a</w:t>
      </w:r>
      <w:r>
        <w:rPr>
          <w:color w:val="231F1F"/>
          <w:spacing w:val="26"/>
          <w:w w:val="105"/>
        </w:rPr>
        <w:t> </w:t>
      </w:r>
      <w:r>
        <w:rPr>
          <w:color w:val="231F1F"/>
          <w:w w:val="105"/>
        </w:rPr>
        <w:t>resultados</w:t>
      </w:r>
      <w:r>
        <w:rPr>
          <w:color w:val="231F1F"/>
          <w:spacing w:val="26"/>
          <w:w w:val="105"/>
        </w:rPr>
        <w:t> </w:t>
      </w:r>
      <w:r>
        <w:rPr>
          <w:color w:val="231F1F"/>
          <w:w w:val="105"/>
        </w:rPr>
        <w:t>neonatales</w:t>
      </w:r>
      <w:r>
        <w:rPr>
          <w:color w:val="231F1F"/>
          <w:spacing w:val="25"/>
          <w:w w:val="105"/>
        </w:rPr>
        <w:t> </w:t>
      </w:r>
      <w:r>
        <w:rPr>
          <w:color w:val="231F1F"/>
          <w:w w:val="105"/>
        </w:rPr>
        <w:t>(Apgar</w:t>
      </w:r>
      <w:r>
        <w:rPr>
          <w:color w:val="231F1F"/>
          <w:spacing w:val="26"/>
          <w:w w:val="105"/>
        </w:rPr>
        <w:t> </w:t>
      </w:r>
      <w:r>
        <w:rPr>
          <w:color w:val="231F1F"/>
          <w:w w:val="105"/>
        </w:rPr>
        <w:t>al</w:t>
      </w:r>
      <w:r>
        <w:rPr>
          <w:color w:val="231F1F"/>
          <w:spacing w:val="24"/>
          <w:w w:val="105"/>
        </w:rPr>
        <w:t> </w:t>
      </w:r>
      <w:r>
        <w:rPr>
          <w:color w:val="231F1F"/>
          <w:w w:val="105"/>
        </w:rPr>
        <w:t>minuto</w:t>
      </w:r>
      <w:r>
        <w:rPr>
          <w:color w:val="231F1F"/>
          <w:spacing w:val="25"/>
          <w:w w:val="105"/>
        </w:rPr>
        <w:t> </w:t>
      </w:r>
      <w:r>
        <w:rPr>
          <w:color w:val="231F1F"/>
          <w:w w:val="105"/>
        </w:rPr>
        <w:t>y</w:t>
      </w:r>
      <w:r>
        <w:rPr>
          <w:color w:val="231F1F"/>
          <w:spacing w:val="26"/>
          <w:w w:val="105"/>
        </w:rPr>
        <w:t> </w:t>
      </w:r>
      <w:r>
        <w:rPr>
          <w:color w:val="231F1F"/>
          <w:w w:val="105"/>
        </w:rPr>
        <w:t>pH</w:t>
      </w:r>
      <w:r>
        <w:rPr>
          <w:color w:val="231F1F"/>
          <w:spacing w:val="26"/>
          <w:w w:val="105"/>
        </w:rPr>
        <w:t> </w:t>
      </w:r>
      <w:r>
        <w:rPr>
          <w:color w:val="231F1F"/>
          <w:w w:val="105"/>
        </w:rPr>
        <w:t>de</w:t>
      </w:r>
      <w:r>
        <w:rPr>
          <w:color w:val="231F1F"/>
          <w:spacing w:val="25"/>
          <w:w w:val="105"/>
        </w:rPr>
        <w:t> </w:t>
      </w:r>
      <w:r>
        <w:rPr>
          <w:color w:val="231F1F"/>
          <w:w w:val="105"/>
        </w:rPr>
        <w:t>la</w:t>
      </w:r>
      <w:r>
        <w:rPr>
          <w:color w:val="231F1F"/>
          <w:spacing w:val="26"/>
          <w:w w:val="105"/>
        </w:rPr>
        <w:t> </w:t>
      </w:r>
      <w:r>
        <w:rPr>
          <w:color w:val="231F1F"/>
          <w:w w:val="105"/>
        </w:rPr>
        <w:t>arteria umbilical) no se encontraron diferencias significativas.</w:t>
      </w:r>
    </w:p>
    <w:p>
      <w:pPr>
        <w:pStyle w:val="BodyText"/>
        <w:spacing w:line="244" w:lineRule="auto" w:before="151"/>
        <w:ind w:left="283" w:right="1364" w:firstLine="453"/>
        <w:jc w:val="both"/>
      </w:pPr>
      <w:r>
        <w:rPr>
          <w:color w:val="231F1F"/>
          <w:w w:val="105"/>
        </w:rPr>
        <w:t>La única diferencia significativa encontrada fue la inadecuada analgesia notificada por las mujeres en las que la analgesia epidural se interrumpió en</w:t>
      </w:r>
      <w:r>
        <w:rPr>
          <w:color w:val="231F1F"/>
          <w:spacing w:val="80"/>
          <w:w w:val="150"/>
        </w:rPr>
        <w:t> </w:t>
      </w:r>
      <w:r>
        <w:rPr>
          <w:color w:val="231F1F"/>
          <w:w w:val="105"/>
        </w:rPr>
        <w:t>la fase final de la primera etapa: RR 3,68 [IC 95%</w:t>
      </w:r>
      <w:r>
        <w:rPr>
          <w:color w:val="231F1F"/>
          <w:spacing w:val="40"/>
          <w:w w:val="105"/>
        </w:rPr>
        <w:t> </w:t>
      </w:r>
      <w:r>
        <w:rPr>
          <w:color w:val="231F1F"/>
          <w:w w:val="105"/>
        </w:rPr>
        <w:t>1,99 a 6,80].</w:t>
      </w:r>
    </w:p>
    <w:p>
      <w:pPr>
        <w:pStyle w:val="BodyText"/>
        <w:spacing w:before="167"/>
      </w:pPr>
    </w:p>
    <w:p>
      <w:pPr>
        <w:spacing w:before="1"/>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5"/>
          <w:sz w:val="24"/>
        </w:rPr>
        <w:t> </w:t>
      </w:r>
      <w:r>
        <w:rPr>
          <w:rFonts w:ascii="Arial MT" w:hAnsi="Arial MT"/>
          <w:color w:val="231F1F"/>
          <w:sz w:val="24"/>
        </w:rPr>
        <w:t>(2006</w:t>
      </w:r>
      <w:r>
        <w:rPr>
          <w:rFonts w:ascii="Arial MT" w:hAnsi="Arial MT"/>
          <w:color w:val="231F1F"/>
          <w:spacing w:val="21"/>
          <w:sz w:val="24"/>
        </w:rPr>
        <w:t> </w:t>
      </w:r>
      <w:r>
        <w:rPr>
          <w:rFonts w:ascii="Arial MT" w:hAnsi="Arial MT"/>
          <w:color w:val="231F1F"/>
          <w:sz w:val="24"/>
        </w:rPr>
        <w:t>a</w:t>
      </w:r>
      <w:r>
        <w:rPr>
          <w:rFonts w:ascii="Arial MT" w:hAnsi="Arial MT"/>
          <w:color w:val="231F1F"/>
          <w:spacing w:val="21"/>
          <w:sz w:val="24"/>
        </w:rPr>
        <w:t> </w:t>
      </w:r>
      <w:r>
        <w:rPr>
          <w:rFonts w:ascii="Arial MT" w:hAnsi="Arial MT"/>
          <w:color w:val="231F1F"/>
          <w:sz w:val="24"/>
        </w:rPr>
        <w:t>febrero</w:t>
      </w:r>
      <w:r>
        <w:rPr>
          <w:rFonts w:ascii="Arial MT" w:hAnsi="Arial MT"/>
          <w:color w:val="231F1F"/>
          <w:spacing w:val="21"/>
          <w:sz w:val="24"/>
        </w:rPr>
        <w:t> </w:t>
      </w:r>
      <w:r>
        <w:rPr>
          <w:rFonts w:ascii="Arial MT" w:hAnsi="Arial MT"/>
          <w:color w:val="231F1F"/>
          <w:spacing w:val="-2"/>
          <w:sz w:val="24"/>
        </w:rPr>
        <w:t>2009)</w:t>
      </w:r>
    </w:p>
    <w:p>
      <w:pPr>
        <w:pStyle w:val="BodyText"/>
        <w:spacing w:before="219"/>
        <w:ind w:left="283"/>
      </w:pPr>
      <w:r>
        <w:rPr>
          <w:color w:val="231F1F"/>
        </w:rPr>
        <w:t>No</w:t>
      </w:r>
      <w:r>
        <w:rPr>
          <w:color w:val="231F1F"/>
          <w:spacing w:val="28"/>
        </w:rPr>
        <w:t> </w:t>
      </w:r>
      <w:r>
        <w:rPr>
          <w:color w:val="231F1F"/>
        </w:rPr>
        <w:t>se</w:t>
      </w:r>
      <w:r>
        <w:rPr>
          <w:color w:val="231F1F"/>
          <w:spacing w:val="29"/>
        </w:rPr>
        <w:t> </w:t>
      </w:r>
      <w:r>
        <w:rPr>
          <w:color w:val="231F1F"/>
        </w:rPr>
        <w:t>han</w:t>
      </w:r>
      <w:r>
        <w:rPr>
          <w:color w:val="231F1F"/>
          <w:spacing w:val="28"/>
        </w:rPr>
        <w:t> </w:t>
      </w:r>
      <w:r>
        <w:rPr>
          <w:color w:val="231F1F"/>
        </w:rPr>
        <w:t>seleccionado</w:t>
      </w:r>
      <w:r>
        <w:rPr>
          <w:color w:val="231F1F"/>
          <w:spacing w:val="31"/>
        </w:rPr>
        <w:t> </w:t>
      </w:r>
      <w:r>
        <w:rPr>
          <w:color w:val="231F1F"/>
        </w:rPr>
        <w:t>nuevos</w:t>
      </w:r>
      <w:r>
        <w:rPr>
          <w:color w:val="231F1F"/>
          <w:spacing w:val="29"/>
        </w:rPr>
        <w:t> </w:t>
      </w:r>
      <w:r>
        <w:rPr>
          <w:color w:val="231F1F"/>
          <w:spacing w:val="-2"/>
        </w:rPr>
        <w:t>estudios</w:t>
      </w:r>
    </w:p>
    <w:p>
      <w:pPr>
        <w:pStyle w:val="BodyText"/>
        <w:spacing w:before="179"/>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681" w:hRule="atLeast"/>
        </w:trPr>
        <w:tc>
          <w:tcPr>
            <w:tcW w:w="7373" w:type="dxa"/>
          </w:tcPr>
          <w:p>
            <w:pPr>
              <w:pStyle w:val="TableParagraph"/>
              <w:spacing w:line="244" w:lineRule="auto" w:before="44"/>
              <w:ind w:right="156"/>
              <w:rPr>
                <w:sz w:val="22"/>
              </w:rPr>
            </w:pPr>
            <w:r>
              <w:rPr>
                <w:color w:val="231F1F"/>
                <w:sz w:val="22"/>
              </w:rPr>
              <w:t>La</w:t>
            </w:r>
            <w:r>
              <w:rPr>
                <w:color w:val="231F1F"/>
                <w:spacing w:val="31"/>
                <w:sz w:val="22"/>
              </w:rPr>
              <w:t> </w:t>
            </w:r>
            <w:r>
              <w:rPr>
                <w:color w:val="231F1F"/>
                <w:sz w:val="22"/>
              </w:rPr>
              <w:t>interrupción</w:t>
            </w:r>
            <w:r>
              <w:rPr>
                <w:color w:val="231F1F"/>
                <w:spacing w:val="33"/>
                <w:sz w:val="22"/>
              </w:rPr>
              <w:t> </w:t>
            </w:r>
            <w:r>
              <w:rPr>
                <w:color w:val="231F1F"/>
                <w:sz w:val="22"/>
              </w:rPr>
              <w:t>de</w:t>
            </w:r>
            <w:r>
              <w:rPr>
                <w:color w:val="231F1F"/>
                <w:spacing w:val="33"/>
                <w:sz w:val="22"/>
              </w:rPr>
              <w:t> </w:t>
            </w:r>
            <w:r>
              <w:rPr>
                <w:color w:val="231F1F"/>
                <w:sz w:val="22"/>
              </w:rPr>
              <w:t>la</w:t>
            </w:r>
            <w:r>
              <w:rPr>
                <w:color w:val="231F1F"/>
                <w:spacing w:val="33"/>
                <w:sz w:val="22"/>
              </w:rPr>
              <w:t> </w:t>
            </w:r>
            <w:r>
              <w:rPr>
                <w:color w:val="231F1F"/>
                <w:sz w:val="22"/>
              </w:rPr>
              <w:t>analgesia</w:t>
            </w:r>
            <w:r>
              <w:rPr>
                <w:color w:val="231F1F"/>
                <w:spacing w:val="33"/>
                <w:sz w:val="22"/>
              </w:rPr>
              <w:t> </w:t>
            </w:r>
            <w:r>
              <w:rPr>
                <w:color w:val="231F1F"/>
                <w:sz w:val="22"/>
              </w:rPr>
              <w:t>epidural</w:t>
            </w:r>
            <w:r>
              <w:rPr>
                <w:color w:val="231F1F"/>
                <w:spacing w:val="33"/>
                <w:sz w:val="22"/>
              </w:rPr>
              <w:t> </w:t>
            </w:r>
            <w:r>
              <w:rPr>
                <w:color w:val="231F1F"/>
                <w:sz w:val="22"/>
              </w:rPr>
              <w:t>en</w:t>
            </w:r>
            <w:r>
              <w:rPr>
                <w:color w:val="231F1F"/>
                <w:spacing w:val="33"/>
                <w:sz w:val="22"/>
              </w:rPr>
              <w:t> </w:t>
            </w:r>
            <w:r>
              <w:rPr>
                <w:color w:val="231F1F"/>
                <w:sz w:val="22"/>
              </w:rPr>
              <w:t>la</w:t>
            </w:r>
            <w:r>
              <w:rPr>
                <w:color w:val="231F1F"/>
                <w:spacing w:val="33"/>
                <w:sz w:val="22"/>
              </w:rPr>
              <w:t> </w:t>
            </w:r>
            <w:r>
              <w:rPr>
                <w:color w:val="231F1F"/>
                <w:sz w:val="22"/>
              </w:rPr>
              <w:t>fase</w:t>
            </w:r>
            <w:r>
              <w:rPr>
                <w:color w:val="231F1F"/>
                <w:spacing w:val="31"/>
                <w:sz w:val="22"/>
              </w:rPr>
              <w:t> </w:t>
            </w:r>
            <w:r>
              <w:rPr>
                <w:color w:val="231F1F"/>
                <w:sz w:val="22"/>
              </w:rPr>
              <w:t>final</w:t>
            </w:r>
            <w:r>
              <w:rPr>
                <w:color w:val="231F1F"/>
                <w:spacing w:val="33"/>
                <w:sz w:val="22"/>
              </w:rPr>
              <w:t> </w:t>
            </w:r>
            <w:r>
              <w:rPr>
                <w:color w:val="231F1F"/>
                <w:sz w:val="22"/>
              </w:rPr>
              <w:t>del</w:t>
            </w:r>
            <w:r>
              <w:rPr>
                <w:color w:val="231F1F"/>
                <w:spacing w:val="31"/>
                <w:sz w:val="22"/>
              </w:rPr>
              <w:t> </w:t>
            </w:r>
            <w:r>
              <w:rPr>
                <w:color w:val="231F1F"/>
                <w:sz w:val="22"/>
              </w:rPr>
              <w:t>parto</w:t>
            </w:r>
            <w:r>
              <w:rPr>
                <w:color w:val="231F1F"/>
                <w:spacing w:val="33"/>
                <w:sz w:val="22"/>
              </w:rPr>
              <w:t> </w:t>
            </w:r>
            <w:r>
              <w:rPr>
                <w:color w:val="231F1F"/>
                <w:sz w:val="22"/>
              </w:rPr>
              <w:t>no</w:t>
            </w:r>
            <w:r>
              <w:rPr>
                <w:color w:val="231F1F"/>
                <w:spacing w:val="33"/>
                <w:sz w:val="22"/>
              </w:rPr>
              <w:t> </w:t>
            </w:r>
            <w:r>
              <w:rPr>
                <w:color w:val="231F1F"/>
                <w:sz w:val="22"/>
              </w:rPr>
              <w:t>mejora </w:t>
            </w:r>
            <w:r>
              <w:rPr>
                <w:color w:val="231F1F"/>
                <w:w w:val="110"/>
                <w:sz w:val="22"/>
              </w:rPr>
              <w:t>la tasa de parto espontáneo ni otros resultados clínicos (359).</w:t>
            </w:r>
          </w:p>
        </w:tc>
        <w:tc>
          <w:tcPr>
            <w:tcW w:w="1133" w:type="dxa"/>
          </w:tcPr>
          <w:p>
            <w:pPr>
              <w:pStyle w:val="TableParagraph"/>
              <w:spacing w:before="178"/>
              <w:ind w:left="49" w:right="22"/>
              <w:jc w:val="center"/>
              <w:rPr>
                <w:sz w:val="22"/>
              </w:rPr>
            </w:pPr>
            <w:r>
              <w:rPr>
                <w:color w:val="231F1F"/>
                <w:spacing w:val="-5"/>
                <w:w w:val="105"/>
                <w:sz w:val="22"/>
              </w:rPr>
              <w:t>1+</w:t>
            </w:r>
          </w:p>
        </w:tc>
      </w:tr>
    </w:tbl>
    <w:p>
      <w:pPr>
        <w:pStyle w:val="TableParagraph"/>
        <w:spacing w:after="0"/>
        <w:jc w:val="center"/>
        <w:rPr>
          <w:sz w:val="22"/>
        </w:rPr>
        <w:sectPr>
          <w:pgSz w:w="11900" w:h="16840"/>
          <w:pgMar w:header="0" w:footer="622" w:top="1560" w:bottom="820" w:left="1417" w:right="155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rPr>
                <w:sz w:val="22"/>
              </w:rPr>
            </w:pPr>
            <w:r>
              <w:rPr>
                <w:color w:val="231F1F"/>
                <w:spacing w:val="-10"/>
                <w:w w:val="115"/>
                <w:sz w:val="22"/>
              </w:rPr>
              <w:t>A</w:t>
            </w:r>
          </w:p>
        </w:tc>
        <w:tc>
          <w:tcPr>
            <w:tcW w:w="8050" w:type="dxa"/>
          </w:tcPr>
          <w:p>
            <w:pPr>
              <w:pStyle w:val="TableParagraph"/>
              <w:spacing w:line="244" w:lineRule="auto" w:before="44"/>
              <w:ind w:right="155"/>
              <w:rPr>
                <w:sz w:val="22"/>
              </w:rPr>
            </w:pPr>
            <w:r>
              <w:rPr>
                <w:color w:val="231F1F"/>
                <w:w w:val="110"/>
                <w:sz w:val="22"/>
              </w:rPr>
              <w:t>Se</w:t>
            </w:r>
            <w:r>
              <w:rPr>
                <w:color w:val="231F1F"/>
                <w:spacing w:val="-8"/>
                <w:w w:val="110"/>
                <w:sz w:val="22"/>
              </w:rPr>
              <w:t> </w:t>
            </w:r>
            <w:r>
              <w:rPr>
                <w:color w:val="231F1F"/>
                <w:w w:val="110"/>
                <w:sz w:val="22"/>
              </w:rPr>
              <w:t>recomienda</w:t>
            </w:r>
            <w:r>
              <w:rPr>
                <w:color w:val="231F1F"/>
                <w:spacing w:val="-8"/>
                <w:w w:val="110"/>
                <w:sz w:val="22"/>
              </w:rPr>
              <w:t> </w:t>
            </w:r>
            <w:r>
              <w:rPr>
                <w:color w:val="231F1F"/>
                <w:w w:val="110"/>
                <w:sz w:val="22"/>
              </w:rPr>
              <w:t>mantener</w:t>
            </w:r>
            <w:r>
              <w:rPr>
                <w:color w:val="231F1F"/>
                <w:spacing w:val="-8"/>
                <w:w w:val="110"/>
                <w:sz w:val="22"/>
              </w:rPr>
              <w:t> </w:t>
            </w:r>
            <w:r>
              <w:rPr>
                <w:color w:val="231F1F"/>
                <w:w w:val="110"/>
                <w:sz w:val="22"/>
              </w:rPr>
              <w:t>la</w:t>
            </w:r>
            <w:r>
              <w:rPr>
                <w:color w:val="231F1F"/>
                <w:spacing w:val="-8"/>
                <w:w w:val="110"/>
                <w:sz w:val="22"/>
              </w:rPr>
              <w:t> </w:t>
            </w:r>
            <w:r>
              <w:rPr>
                <w:color w:val="231F1F"/>
                <w:w w:val="110"/>
                <w:sz w:val="22"/>
              </w:rPr>
              <w:t>analgesia</w:t>
            </w:r>
            <w:r>
              <w:rPr>
                <w:color w:val="231F1F"/>
                <w:spacing w:val="-8"/>
                <w:w w:val="110"/>
                <w:sz w:val="22"/>
              </w:rPr>
              <w:t> </w:t>
            </w:r>
            <w:r>
              <w:rPr>
                <w:color w:val="231F1F"/>
                <w:w w:val="110"/>
                <w:sz w:val="22"/>
              </w:rPr>
              <w:t>epidural</w:t>
            </w:r>
            <w:r>
              <w:rPr>
                <w:color w:val="231F1F"/>
                <w:spacing w:val="-8"/>
                <w:w w:val="110"/>
                <w:sz w:val="22"/>
              </w:rPr>
              <w:t> </w:t>
            </w:r>
            <w:r>
              <w:rPr>
                <w:color w:val="231F1F"/>
                <w:w w:val="110"/>
                <w:sz w:val="22"/>
              </w:rPr>
              <w:t>durante</w:t>
            </w:r>
            <w:r>
              <w:rPr>
                <w:color w:val="231F1F"/>
                <w:spacing w:val="-8"/>
                <w:w w:val="110"/>
                <w:sz w:val="22"/>
              </w:rPr>
              <w:t> </w:t>
            </w:r>
            <w:r>
              <w:rPr>
                <w:color w:val="231F1F"/>
                <w:w w:val="110"/>
                <w:sz w:val="22"/>
              </w:rPr>
              <w:t>el</w:t>
            </w:r>
            <w:r>
              <w:rPr>
                <w:color w:val="231F1F"/>
                <w:spacing w:val="-8"/>
                <w:w w:val="110"/>
                <w:sz w:val="22"/>
              </w:rPr>
              <w:t> </w:t>
            </w:r>
            <w:r>
              <w:rPr>
                <w:color w:val="231F1F"/>
                <w:w w:val="110"/>
                <w:sz w:val="22"/>
              </w:rPr>
              <w:t>periodo</w:t>
            </w:r>
            <w:r>
              <w:rPr>
                <w:color w:val="231F1F"/>
                <w:spacing w:val="-8"/>
                <w:w w:val="110"/>
                <w:sz w:val="22"/>
              </w:rPr>
              <w:t> </w:t>
            </w:r>
            <w:r>
              <w:rPr>
                <w:color w:val="231F1F"/>
                <w:w w:val="110"/>
                <w:sz w:val="22"/>
              </w:rPr>
              <w:t>expulsivo,</w:t>
            </w:r>
            <w:r>
              <w:rPr>
                <w:color w:val="231F1F"/>
                <w:spacing w:val="-8"/>
                <w:w w:val="110"/>
                <w:sz w:val="22"/>
              </w:rPr>
              <w:t> </w:t>
            </w:r>
            <w:r>
              <w:rPr>
                <w:color w:val="231F1F"/>
                <w:w w:val="110"/>
                <w:sz w:val="22"/>
              </w:rPr>
              <w:t>el alumbramiento y la reparación del periné si se precisa.</w:t>
            </w:r>
          </w:p>
        </w:tc>
      </w:tr>
    </w:tbl>
    <w:p>
      <w:pPr>
        <w:pStyle w:val="TableParagraph"/>
        <w:spacing w:after="0" w:line="244" w:lineRule="auto"/>
        <w:rPr>
          <w:sz w:val="22"/>
        </w:rPr>
        <w:sectPr>
          <w:pgSz w:w="11900" w:h="16840"/>
          <w:pgMar w:header="0" w:footer="622" w:top="1560" w:bottom="820" w:left="1417" w:right="1559"/>
        </w:sectPr>
      </w:pPr>
    </w:p>
    <w:p>
      <w:pPr>
        <w:pStyle w:val="Heading1"/>
        <w:numPr>
          <w:ilvl w:val="1"/>
          <w:numId w:val="2"/>
        </w:numPr>
        <w:tabs>
          <w:tab w:pos="1161" w:val="left" w:leader="none"/>
        </w:tabs>
        <w:spacing w:line="240" w:lineRule="auto" w:before="63" w:after="0"/>
        <w:ind w:left="1161" w:right="0" w:hanging="878"/>
        <w:jc w:val="left"/>
        <w:rPr>
          <w:color w:val="231F1F"/>
        </w:rPr>
      </w:pPr>
      <w:bookmarkStart w:name="_TOC_250014" w:id="42"/>
      <w:r>
        <w:rPr>
          <w:color w:val="231F1F"/>
          <w:w w:val="105"/>
        </w:rPr>
        <w:t>Monitorización</w:t>
      </w:r>
      <w:r>
        <w:rPr>
          <w:color w:val="231F1F"/>
          <w:spacing w:val="37"/>
          <w:w w:val="105"/>
        </w:rPr>
        <w:t> </w:t>
      </w:r>
      <w:bookmarkEnd w:id="42"/>
      <w:r>
        <w:rPr>
          <w:color w:val="231F1F"/>
          <w:spacing w:val="-4"/>
          <w:w w:val="105"/>
        </w:rPr>
        <w:t>fetal</w:t>
      </w:r>
    </w:p>
    <w:p>
      <w:pPr>
        <w:pStyle w:val="BodyText"/>
        <w:spacing w:before="81"/>
        <w:rPr>
          <w:sz w:val="50"/>
        </w:rPr>
      </w:pPr>
    </w:p>
    <w:p>
      <w:pPr>
        <w:pStyle w:val="BodyText"/>
        <w:spacing w:line="244" w:lineRule="auto"/>
        <w:ind w:left="283" w:right="123"/>
        <w:jc w:val="both"/>
      </w:pPr>
      <w:r>
        <w:rPr>
          <w:color w:val="231F1F"/>
          <w:w w:val="110"/>
        </w:rPr>
        <w:t>La</w:t>
      </w:r>
      <w:r>
        <w:rPr>
          <w:color w:val="231F1F"/>
          <w:spacing w:val="-13"/>
          <w:w w:val="110"/>
        </w:rPr>
        <w:t> </w:t>
      </w:r>
      <w:r>
        <w:rPr>
          <w:color w:val="231F1F"/>
          <w:w w:val="110"/>
        </w:rPr>
        <w:t>idea</w:t>
      </w:r>
      <w:r>
        <w:rPr>
          <w:color w:val="231F1F"/>
          <w:spacing w:val="-13"/>
          <w:w w:val="110"/>
        </w:rPr>
        <w:t> </w:t>
      </w:r>
      <w:r>
        <w:rPr>
          <w:color w:val="231F1F"/>
          <w:w w:val="110"/>
        </w:rPr>
        <w:t>de</w:t>
      </w:r>
      <w:r>
        <w:rPr>
          <w:color w:val="231F1F"/>
          <w:spacing w:val="-13"/>
          <w:w w:val="110"/>
        </w:rPr>
        <w:t> </w:t>
      </w:r>
      <w:r>
        <w:rPr>
          <w:color w:val="231F1F"/>
          <w:w w:val="110"/>
        </w:rPr>
        <w:t>que</w:t>
      </w:r>
      <w:r>
        <w:rPr>
          <w:color w:val="231F1F"/>
          <w:spacing w:val="-13"/>
          <w:w w:val="110"/>
        </w:rPr>
        <w:t> </w:t>
      </w:r>
      <w:r>
        <w:rPr>
          <w:color w:val="231F1F"/>
          <w:w w:val="110"/>
        </w:rPr>
        <w:t>la</w:t>
      </w:r>
      <w:r>
        <w:rPr>
          <w:color w:val="231F1F"/>
          <w:spacing w:val="-13"/>
          <w:w w:val="110"/>
        </w:rPr>
        <w:t> </w:t>
      </w:r>
      <w:r>
        <w:rPr>
          <w:color w:val="231F1F"/>
          <w:w w:val="110"/>
        </w:rPr>
        <w:t>tecnificación</w:t>
      </w:r>
      <w:r>
        <w:rPr>
          <w:color w:val="231F1F"/>
          <w:spacing w:val="-13"/>
          <w:w w:val="110"/>
        </w:rPr>
        <w:t> </w:t>
      </w:r>
      <w:r>
        <w:rPr>
          <w:color w:val="231F1F"/>
          <w:w w:val="110"/>
        </w:rPr>
        <w:t>del</w:t>
      </w:r>
      <w:r>
        <w:rPr>
          <w:color w:val="231F1F"/>
          <w:spacing w:val="-14"/>
          <w:w w:val="110"/>
        </w:rPr>
        <w:t> </w:t>
      </w:r>
      <w:r>
        <w:rPr>
          <w:color w:val="231F1F"/>
          <w:w w:val="110"/>
        </w:rPr>
        <w:t>control</w:t>
      </w:r>
      <w:r>
        <w:rPr>
          <w:color w:val="231F1F"/>
          <w:spacing w:val="-13"/>
          <w:w w:val="110"/>
        </w:rPr>
        <w:t> </w:t>
      </w:r>
      <w:r>
        <w:rPr>
          <w:color w:val="231F1F"/>
          <w:w w:val="110"/>
        </w:rPr>
        <w:t>del</w:t>
      </w:r>
      <w:r>
        <w:rPr>
          <w:color w:val="231F1F"/>
          <w:spacing w:val="-14"/>
          <w:w w:val="110"/>
        </w:rPr>
        <w:t> </w:t>
      </w:r>
      <w:r>
        <w:rPr>
          <w:color w:val="231F1F"/>
          <w:w w:val="110"/>
        </w:rPr>
        <w:t>parto</w:t>
      </w:r>
      <w:r>
        <w:rPr>
          <w:color w:val="231F1F"/>
          <w:spacing w:val="-13"/>
          <w:w w:val="110"/>
        </w:rPr>
        <w:t> </w:t>
      </w:r>
      <w:r>
        <w:rPr>
          <w:color w:val="231F1F"/>
          <w:w w:val="110"/>
        </w:rPr>
        <w:t>debía</w:t>
      </w:r>
      <w:r>
        <w:rPr>
          <w:color w:val="231F1F"/>
          <w:spacing w:val="-13"/>
          <w:w w:val="110"/>
        </w:rPr>
        <w:t> </w:t>
      </w:r>
      <w:r>
        <w:rPr>
          <w:color w:val="231F1F"/>
          <w:w w:val="110"/>
        </w:rPr>
        <w:t>mejorar</w:t>
      </w:r>
      <w:r>
        <w:rPr>
          <w:color w:val="231F1F"/>
          <w:spacing w:val="-13"/>
          <w:w w:val="110"/>
        </w:rPr>
        <w:t> </w:t>
      </w:r>
      <w:r>
        <w:rPr>
          <w:color w:val="231F1F"/>
          <w:w w:val="110"/>
        </w:rPr>
        <w:t>los</w:t>
      </w:r>
      <w:r>
        <w:rPr>
          <w:color w:val="231F1F"/>
          <w:spacing w:val="-13"/>
          <w:w w:val="110"/>
        </w:rPr>
        <w:t> </w:t>
      </w:r>
      <w:r>
        <w:rPr>
          <w:color w:val="231F1F"/>
          <w:w w:val="110"/>
        </w:rPr>
        <w:t>resultados</w:t>
      </w:r>
      <w:r>
        <w:rPr>
          <w:color w:val="231F1F"/>
          <w:spacing w:val="-13"/>
          <w:w w:val="110"/>
        </w:rPr>
        <w:t> </w:t>
      </w:r>
      <w:r>
        <w:rPr>
          <w:color w:val="231F1F"/>
          <w:w w:val="110"/>
        </w:rPr>
        <w:t>neonata- les ha impulsado la monitorización fetal. Mediante la monitorización fetal se pretende reconocer</w:t>
      </w:r>
      <w:r>
        <w:rPr>
          <w:color w:val="231F1F"/>
          <w:spacing w:val="-16"/>
          <w:w w:val="110"/>
        </w:rPr>
        <w:t> </w:t>
      </w:r>
      <w:r>
        <w:rPr>
          <w:color w:val="231F1F"/>
          <w:w w:val="110"/>
        </w:rPr>
        <w:t>las</w:t>
      </w:r>
      <w:r>
        <w:rPr>
          <w:color w:val="231F1F"/>
          <w:spacing w:val="-15"/>
          <w:w w:val="110"/>
        </w:rPr>
        <w:t> </w:t>
      </w:r>
      <w:r>
        <w:rPr>
          <w:color w:val="231F1F"/>
          <w:w w:val="110"/>
        </w:rPr>
        <w:t>situaciones</w:t>
      </w:r>
      <w:r>
        <w:rPr>
          <w:color w:val="231F1F"/>
          <w:spacing w:val="-15"/>
          <w:w w:val="110"/>
        </w:rPr>
        <w:t> </w:t>
      </w:r>
      <w:r>
        <w:rPr>
          <w:color w:val="231F1F"/>
          <w:w w:val="110"/>
        </w:rPr>
        <w:t>de</w:t>
      </w:r>
      <w:r>
        <w:rPr>
          <w:color w:val="231F1F"/>
          <w:spacing w:val="-15"/>
          <w:w w:val="110"/>
        </w:rPr>
        <w:t> </w:t>
      </w:r>
      <w:r>
        <w:rPr>
          <w:color w:val="231F1F"/>
          <w:w w:val="110"/>
        </w:rPr>
        <w:t>hipoxia</w:t>
      </w:r>
      <w:r>
        <w:rPr>
          <w:color w:val="231F1F"/>
          <w:spacing w:val="-15"/>
          <w:w w:val="110"/>
        </w:rPr>
        <w:t> </w:t>
      </w:r>
      <w:r>
        <w:rPr>
          <w:color w:val="231F1F"/>
          <w:w w:val="110"/>
        </w:rPr>
        <w:t>fetal</w:t>
      </w:r>
      <w:r>
        <w:rPr>
          <w:color w:val="231F1F"/>
          <w:spacing w:val="-15"/>
          <w:w w:val="110"/>
        </w:rPr>
        <w:t> </w:t>
      </w:r>
      <w:r>
        <w:rPr>
          <w:color w:val="231F1F"/>
          <w:w w:val="110"/>
        </w:rPr>
        <w:t>durante</w:t>
      </w:r>
      <w:r>
        <w:rPr>
          <w:color w:val="231F1F"/>
          <w:spacing w:val="-15"/>
          <w:w w:val="110"/>
        </w:rPr>
        <w:t> </w:t>
      </w:r>
      <w:r>
        <w:rPr>
          <w:color w:val="231F1F"/>
          <w:w w:val="110"/>
        </w:rPr>
        <w:t>el</w:t>
      </w:r>
      <w:r>
        <w:rPr>
          <w:color w:val="231F1F"/>
          <w:spacing w:val="-15"/>
          <w:w w:val="110"/>
        </w:rPr>
        <w:t> </w:t>
      </w:r>
      <w:r>
        <w:rPr>
          <w:color w:val="231F1F"/>
          <w:w w:val="110"/>
        </w:rPr>
        <w:t>proceso</w:t>
      </w:r>
      <w:r>
        <w:rPr>
          <w:color w:val="231F1F"/>
          <w:spacing w:val="-16"/>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con</w:t>
      </w:r>
      <w:r>
        <w:rPr>
          <w:color w:val="231F1F"/>
          <w:spacing w:val="-15"/>
          <w:w w:val="110"/>
        </w:rPr>
        <w:t> </w:t>
      </w:r>
      <w:r>
        <w:rPr>
          <w:color w:val="231F1F"/>
          <w:w w:val="110"/>
        </w:rPr>
        <w:t>la</w:t>
      </w:r>
      <w:r>
        <w:rPr>
          <w:color w:val="231F1F"/>
          <w:spacing w:val="-14"/>
          <w:w w:val="110"/>
        </w:rPr>
        <w:t> </w:t>
      </w:r>
      <w:r>
        <w:rPr>
          <w:color w:val="231F1F"/>
          <w:w w:val="110"/>
        </w:rPr>
        <w:t>intención</w:t>
      </w:r>
      <w:r>
        <w:rPr>
          <w:color w:val="231F1F"/>
          <w:spacing w:val="-15"/>
          <w:w w:val="110"/>
        </w:rPr>
        <w:t> </w:t>
      </w:r>
      <w:r>
        <w:rPr>
          <w:color w:val="231F1F"/>
          <w:w w:val="110"/>
        </w:rPr>
        <w:t>de poder intervenir y evitar el deterioro fetal.</w:t>
      </w:r>
    </w:p>
    <w:p>
      <w:pPr>
        <w:pStyle w:val="BodyText"/>
        <w:spacing w:line="249" w:lineRule="auto" w:before="144"/>
        <w:ind w:left="283" w:right="119" w:firstLine="453"/>
        <w:jc w:val="both"/>
      </w:pPr>
      <w:r>
        <w:rPr>
          <w:color w:val="231F1F"/>
          <w:w w:val="110"/>
        </w:rPr>
        <w:t>En este capítulo se considerará cuál es el método más adecuado para el control de bienestar</w:t>
      </w:r>
      <w:r>
        <w:rPr>
          <w:color w:val="231F1F"/>
          <w:spacing w:val="-2"/>
          <w:w w:val="110"/>
        </w:rPr>
        <w:t> </w:t>
      </w:r>
      <w:r>
        <w:rPr>
          <w:color w:val="231F1F"/>
          <w:w w:val="110"/>
        </w:rPr>
        <w:t>fetal</w:t>
      </w:r>
      <w:r>
        <w:rPr>
          <w:color w:val="231F1F"/>
          <w:spacing w:val="-2"/>
          <w:w w:val="110"/>
        </w:rPr>
        <w:t> </w:t>
      </w:r>
      <w:r>
        <w:rPr>
          <w:color w:val="231F1F"/>
          <w:w w:val="110"/>
        </w:rPr>
        <w:t>en</w:t>
      </w:r>
      <w:r>
        <w:rPr>
          <w:color w:val="231F1F"/>
          <w:spacing w:val="-2"/>
          <w:w w:val="110"/>
        </w:rPr>
        <w:t> </w:t>
      </w:r>
      <w:r>
        <w:rPr>
          <w:color w:val="231F1F"/>
          <w:w w:val="110"/>
        </w:rPr>
        <w:t>partos</w:t>
      </w:r>
      <w:r>
        <w:rPr>
          <w:color w:val="231F1F"/>
          <w:spacing w:val="-2"/>
          <w:w w:val="110"/>
        </w:rPr>
        <w:t> </w:t>
      </w:r>
      <w:r>
        <w:rPr>
          <w:color w:val="231F1F"/>
          <w:w w:val="110"/>
        </w:rPr>
        <w:t>de</w:t>
      </w:r>
      <w:r>
        <w:rPr>
          <w:color w:val="231F1F"/>
          <w:spacing w:val="-2"/>
          <w:w w:val="110"/>
        </w:rPr>
        <w:t> </w:t>
      </w:r>
      <w:r>
        <w:rPr>
          <w:color w:val="231F1F"/>
          <w:w w:val="110"/>
        </w:rPr>
        <w:t>mujeres</w:t>
      </w:r>
      <w:r>
        <w:rPr>
          <w:color w:val="231F1F"/>
          <w:spacing w:val="-2"/>
          <w:w w:val="110"/>
        </w:rPr>
        <w:t> </w:t>
      </w:r>
      <w:r>
        <w:rPr>
          <w:color w:val="231F1F"/>
          <w:w w:val="110"/>
        </w:rPr>
        <w:t>sanas,</w:t>
      </w:r>
      <w:r>
        <w:rPr>
          <w:color w:val="231F1F"/>
          <w:spacing w:val="-3"/>
          <w:w w:val="110"/>
        </w:rPr>
        <w:t> </w:t>
      </w:r>
      <w:r>
        <w:rPr>
          <w:color w:val="231F1F"/>
          <w:w w:val="110"/>
        </w:rPr>
        <w:t>cuándo</w:t>
      </w:r>
      <w:r>
        <w:rPr>
          <w:color w:val="231F1F"/>
          <w:spacing w:val="-1"/>
          <w:w w:val="110"/>
        </w:rPr>
        <w:t> </w:t>
      </w:r>
      <w:r>
        <w:rPr>
          <w:color w:val="231F1F"/>
          <w:w w:val="110"/>
        </w:rPr>
        <w:t>y</w:t>
      </w:r>
      <w:r>
        <w:rPr>
          <w:color w:val="231F1F"/>
          <w:spacing w:val="-2"/>
          <w:w w:val="110"/>
        </w:rPr>
        <w:t> </w:t>
      </w:r>
      <w:r>
        <w:rPr>
          <w:color w:val="231F1F"/>
          <w:w w:val="110"/>
        </w:rPr>
        <w:t>cómo</w:t>
      </w:r>
      <w:r>
        <w:rPr>
          <w:color w:val="231F1F"/>
          <w:spacing w:val="-2"/>
          <w:w w:val="110"/>
        </w:rPr>
        <w:t> </w:t>
      </w:r>
      <w:r>
        <w:rPr>
          <w:color w:val="231F1F"/>
          <w:w w:val="110"/>
        </w:rPr>
        <w:t>usar</w:t>
      </w:r>
      <w:r>
        <w:rPr>
          <w:color w:val="231F1F"/>
          <w:spacing w:val="-2"/>
          <w:w w:val="110"/>
        </w:rPr>
        <w:t> </w:t>
      </w:r>
      <w:r>
        <w:rPr>
          <w:color w:val="231F1F"/>
          <w:w w:val="110"/>
        </w:rPr>
        <w:t>la</w:t>
      </w:r>
      <w:r>
        <w:rPr>
          <w:color w:val="231F1F"/>
          <w:spacing w:val="-2"/>
          <w:w w:val="110"/>
        </w:rPr>
        <w:t> </w:t>
      </w:r>
      <w:r>
        <w:rPr>
          <w:color w:val="231F1F"/>
          <w:w w:val="110"/>
        </w:rPr>
        <w:t>monitorización</w:t>
      </w:r>
      <w:r>
        <w:rPr>
          <w:color w:val="231F1F"/>
          <w:spacing w:val="-2"/>
          <w:w w:val="110"/>
        </w:rPr>
        <w:t> </w:t>
      </w:r>
      <w:r>
        <w:rPr>
          <w:color w:val="231F1F"/>
          <w:w w:val="110"/>
        </w:rPr>
        <w:t>fetal</w:t>
      </w:r>
      <w:r>
        <w:rPr>
          <w:color w:val="231F1F"/>
          <w:spacing w:val="-2"/>
          <w:w w:val="110"/>
        </w:rPr>
        <w:t> </w:t>
      </w:r>
      <w:r>
        <w:rPr>
          <w:color w:val="231F1F"/>
          <w:w w:val="110"/>
        </w:rPr>
        <w:t>y </w:t>
      </w:r>
      <w:r>
        <w:rPr>
          <w:color w:val="231F1F"/>
        </w:rPr>
        <w:t>cómo interpretarla. Se valorarán los siguientes métodos de control fetal: auscultación inter- </w:t>
      </w:r>
      <w:r>
        <w:rPr>
          <w:color w:val="231F1F"/>
          <w:w w:val="110"/>
        </w:rPr>
        <w:t>mitente</w:t>
      </w:r>
      <w:r>
        <w:rPr>
          <w:color w:val="231F1F"/>
          <w:spacing w:val="-9"/>
          <w:w w:val="110"/>
        </w:rPr>
        <w:t> </w:t>
      </w:r>
      <w:r>
        <w:rPr>
          <w:color w:val="231F1F"/>
          <w:w w:val="110"/>
        </w:rPr>
        <w:t>(AI),</w:t>
      </w:r>
      <w:r>
        <w:rPr>
          <w:color w:val="231F1F"/>
          <w:spacing w:val="-9"/>
          <w:w w:val="110"/>
        </w:rPr>
        <w:t> </w:t>
      </w:r>
      <w:r>
        <w:rPr>
          <w:color w:val="231F1F"/>
          <w:w w:val="110"/>
        </w:rPr>
        <w:t>monitorización</w:t>
      </w:r>
      <w:r>
        <w:rPr>
          <w:color w:val="231F1F"/>
          <w:spacing w:val="-8"/>
          <w:w w:val="110"/>
        </w:rPr>
        <w:t> </w:t>
      </w:r>
      <w:r>
        <w:rPr>
          <w:color w:val="231F1F"/>
          <w:w w:val="110"/>
        </w:rPr>
        <w:t>electrónica</w:t>
      </w:r>
      <w:r>
        <w:rPr>
          <w:color w:val="231F1F"/>
          <w:spacing w:val="-9"/>
          <w:w w:val="110"/>
        </w:rPr>
        <w:t> </w:t>
      </w:r>
      <w:r>
        <w:rPr>
          <w:color w:val="231F1F"/>
          <w:w w:val="110"/>
        </w:rPr>
        <w:t>fetal</w:t>
      </w:r>
      <w:r>
        <w:rPr>
          <w:color w:val="231F1F"/>
          <w:spacing w:val="-9"/>
          <w:w w:val="110"/>
        </w:rPr>
        <w:t> </w:t>
      </w:r>
      <w:r>
        <w:rPr>
          <w:color w:val="231F1F"/>
          <w:w w:val="110"/>
        </w:rPr>
        <w:t>intermitente</w:t>
      </w:r>
      <w:r>
        <w:rPr>
          <w:color w:val="231F1F"/>
          <w:spacing w:val="-9"/>
          <w:w w:val="110"/>
        </w:rPr>
        <w:t> </w:t>
      </w:r>
      <w:r>
        <w:rPr>
          <w:color w:val="231F1F"/>
          <w:w w:val="110"/>
        </w:rPr>
        <w:t>(MEFI),</w:t>
      </w:r>
      <w:r>
        <w:rPr>
          <w:color w:val="231F1F"/>
          <w:spacing w:val="-9"/>
          <w:w w:val="110"/>
        </w:rPr>
        <w:t> </w:t>
      </w:r>
      <w:r>
        <w:rPr>
          <w:color w:val="231F1F"/>
          <w:w w:val="110"/>
        </w:rPr>
        <w:t>monitorización</w:t>
      </w:r>
      <w:r>
        <w:rPr>
          <w:color w:val="231F1F"/>
          <w:spacing w:val="-8"/>
          <w:w w:val="110"/>
        </w:rPr>
        <w:t> </w:t>
      </w:r>
      <w:r>
        <w:rPr>
          <w:color w:val="231F1F"/>
          <w:w w:val="110"/>
        </w:rPr>
        <w:t>elec- </w:t>
      </w:r>
      <w:r>
        <w:rPr>
          <w:color w:val="231F1F"/>
          <w:spacing w:val="-2"/>
          <w:w w:val="110"/>
        </w:rPr>
        <w:t>trónica</w:t>
      </w:r>
      <w:r>
        <w:rPr>
          <w:color w:val="231F1F"/>
          <w:spacing w:val="-6"/>
          <w:w w:val="110"/>
        </w:rPr>
        <w:t> </w:t>
      </w:r>
      <w:r>
        <w:rPr>
          <w:color w:val="231F1F"/>
          <w:spacing w:val="-2"/>
          <w:w w:val="110"/>
        </w:rPr>
        <w:t>fetal</w:t>
      </w:r>
      <w:r>
        <w:rPr>
          <w:color w:val="231F1F"/>
          <w:spacing w:val="-6"/>
          <w:w w:val="110"/>
        </w:rPr>
        <w:t> </w:t>
      </w:r>
      <w:r>
        <w:rPr>
          <w:color w:val="231F1F"/>
          <w:spacing w:val="-2"/>
          <w:w w:val="110"/>
        </w:rPr>
        <w:t>continua</w:t>
      </w:r>
      <w:r>
        <w:rPr>
          <w:color w:val="231F1F"/>
          <w:spacing w:val="-5"/>
          <w:w w:val="110"/>
        </w:rPr>
        <w:t> </w:t>
      </w:r>
      <w:r>
        <w:rPr>
          <w:color w:val="231F1F"/>
          <w:spacing w:val="-2"/>
          <w:w w:val="110"/>
        </w:rPr>
        <w:t>(MEFC),</w:t>
      </w:r>
      <w:r>
        <w:rPr>
          <w:color w:val="231F1F"/>
          <w:spacing w:val="-6"/>
          <w:w w:val="110"/>
        </w:rPr>
        <w:t> </w:t>
      </w:r>
      <w:r>
        <w:rPr>
          <w:color w:val="231F1F"/>
          <w:spacing w:val="-2"/>
          <w:w w:val="110"/>
        </w:rPr>
        <w:t>análisis</w:t>
      </w:r>
      <w:r>
        <w:rPr>
          <w:color w:val="231F1F"/>
          <w:spacing w:val="-6"/>
          <w:w w:val="110"/>
        </w:rPr>
        <w:t> </w:t>
      </w:r>
      <w:r>
        <w:rPr>
          <w:color w:val="231F1F"/>
          <w:spacing w:val="-2"/>
          <w:w w:val="110"/>
        </w:rPr>
        <w:t>del</w:t>
      </w:r>
      <w:r>
        <w:rPr>
          <w:color w:val="231F1F"/>
          <w:spacing w:val="-6"/>
          <w:w w:val="110"/>
        </w:rPr>
        <w:t> </w:t>
      </w:r>
      <w:r>
        <w:rPr>
          <w:color w:val="231F1F"/>
          <w:spacing w:val="-2"/>
          <w:w w:val="110"/>
        </w:rPr>
        <w:t>segmento</w:t>
      </w:r>
      <w:r>
        <w:rPr>
          <w:color w:val="231F1F"/>
          <w:spacing w:val="-6"/>
          <w:w w:val="110"/>
        </w:rPr>
        <w:t> </w:t>
      </w:r>
      <w:r>
        <w:rPr>
          <w:color w:val="231F1F"/>
          <w:spacing w:val="-2"/>
          <w:w w:val="110"/>
        </w:rPr>
        <w:t>ST</w:t>
      </w:r>
      <w:r>
        <w:rPr>
          <w:color w:val="231F1F"/>
          <w:spacing w:val="-5"/>
          <w:w w:val="110"/>
        </w:rPr>
        <w:t> </w:t>
      </w:r>
      <w:r>
        <w:rPr>
          <w:color w:val="231F1F"/>
          <w:spacing w:val="-2"/>
          <w:w w:val="110"/>
        </w:rPr>
        <w:t>del</w:t>
      </w:r>
      <w:r>
        <w:rPr>
          <w:color w:val="231F1F"/>
          <w:spacing w:val="-6"/>
          <w:w w:val="110"/>
        </w:rPr>
        <w:t> </w:t>
      </w:r>
      <w:r>
        <w:rPr>
          <w:color w:val="231F1F"/>
          <w:spacing w:val="-2"/>
          <w:w w:val="110"/>
        </w:rPr>
        <w:t>ECG</w:t>
      </w:r>
      <w:r>
        <w:rPr>
          <w:color w:val="231F1F"/>
          <w:spacing w:val="-4"/>
          <w:w w:val="110"/>
        </w:rPr>
        <w:t> </w:t>
      </w:r>
      <w:r>
        <w:rPr>
          <w:color w:val="231F1F"/>
          <w:spacing w:val="-2"/>
          <w:w w:val="110"/>
        </w:rPr>
        <w:t>fetal</w:t>
      </w:r>
      <w:r>
        <w:rPr>
          <w:color w:val="231F1F"/>
          <w:spacing w:val="-6"/>
          <w:w w:val="110"/>
        </w:rPr>
        <w:t> </w:t>
      </w:r>
      <w:r>
        <w:rPr>
          <w:color w:val="231F1F"/>
          <w:spacing w:val="-2"/>
          <w:w w:val="110"/>
        </w:rPr>
        <w:t>(STAN),</w:t>
      </w:r>
      <w:r>
        <w:rPr>
          <w:color w:val="231F1F"/>
          <w:spacing w:val="-6"/>
          <w:w w:val="110"/>
        </w:rPr>
        <w:t> </w:t>
      </w:r>
      <w:r>
        <w:rPr>
          <w:color w:val="231F1F"/>
          <w:spacing w:val="-2"/>
          <w:w w:val="110"/>
        </w:rPr>
        <w:t>pulsioxi- </w:t>
      </w:r>
      <w:r>
        <w:rPr>
          <w:color w:val="231F1F"/>
          <w:w w:val="110"/>
        </w:rPr>
        <w:t>metría</w:t>
      </w:r>
      <w:r>
        <w:rPr>
          <w:color w:val="231F1F"/>
          <w:spacing w:val="-13"/>
          <w:w w:val="110"/>
        </w:rPr>
        <w:t> </w:t>
      </w:r>
      <w:r>
        <w:rPr>
          <w:color w:val="231F1F"/>
          <w:w w:val="110"/>
        </w:rPr>
        <w:t>fetal,</w:t>
      </w:r>
      <w:r>
        <w:rPr>
          <w:color w:val="231F1F"/>
          <w:spacing w:val="-13"/>
          <w:w w:val="110"/>
        </w:rPr>
        <w:t> </w:t>
      </w:r>
      <w:r>
        <w:rPr>
          <w:color w:val="231F1F"/>
          <w:w w:val="110"/>
        </w:rPr>
        <w:t>microtoma</w:t>
      </w:r>
      <w:r>
        <w:rPr>
          <w:color w:val="231F1F"/>
          <w:spacing w:val="-13"/>
          <w:w w:val="110"/>
        </w:rPr>
        <w:t> </w:t>
      </w:r>
      <w:r>
        <w:rPr>
          <w:color w:val="231F1F"/>
          <w:w w:val="110"/>
        </w:rPr>
        <w:t>o</w:t>
      </w:r>
      <w:r>
        <w:rPr>
          <w:color w:val="231F1F"/>
          <w:spacing w:val="-13"/>
          <w:w w:val="110"/>
        </w:rPr>
        <w:t> </w:t>
      </w:r>
      <w:r>
        <w:rPr>
          <w:color w:val="231F1F"/>
          <w:w w:val="110"/>
        </w:rPr>
        <w:t>muestra</w:t>
      </w:r>
      <w:r>
        <w:rPr>
          <w:color w:val="231F1F"/>
          <w:spacing w:val="-13"/>
          <w:w w:val="110"/>
        </w:rPr>
        <w:t> </w:t>
      </w:r>
      <w:r>
        <w:rPr>
          <w:color w:val="231F1F"/>
          <w:w w:val="110"/>
        </w:rPr>
        <w:t>de</w:t>
      </w:r>
      <w:r>
        <w:rPr>
          <w:color w:val="231F1F"/>
          <w:spacing w:val="-13"/>
          <w:w w:val="110"/>
        </w:rPr>
        <w:t> </w:t>
      </w:r>
      <w:r>
        <w:rPr>
          <w:color w:val="231F1F"/>
          <w:w w:val="110"/>
        </w:rPr>
        <w:t>sangre</w:t>
      </w:r>
      <w:r>
        <w:rPr>
          <w:color w:val="231F1F"/>
          <w:spacing w:val="-15"/>
          <w:w w:val="110"/>
        </w:rPr>
        <w:t> </w:t>
      </w:r>
      <w:r>
        <w:rPr>
          <w:color w:val="231F1F"/>
          <w:w w:val="110"/>
        </w:rPr>
        <w:t>fetal</w:t>
      </w:r>
      <w:r>
        <w:rPr>
          <w:color w:val="231F1F"/>
          <w:spacing w:val="-13"/>
          <w:w w:val="110"/>
        </w:rPr>
        <w:t> </w:t>
      </w:r>
      <w:r>
        <w:rPr>
          <w:color w:val="231F1F"/>
          <w:w w:val="110"/>
        </w:rPr>
        <w:t>(MSF)</w:t>
      </w:r>
      <w:r>
        <w:rPr>
          <w:color w:val="231F1F"/>
          <w:spacing w:val="-13"/>
          <w:w w:val="110"/>
        </w:rPr>
        <w:t> </w:t>
      </w:r>
      <w:r>
        <w:rPr>
          <w:color w:val="231F1F"/>
          <w:w w:val="110"/>
        </w:rPr>
        <w:t>y</w:t>
      </w:r>
      <w:r>
        <w:rPr>
          <w:color w:val="231F1F"/>
          <w:spacing w:val="-13"/>
          <w:w w:val="110"/>
        </w:rPr>
        <w:t> </w:t>
      </w:r>
      <w:r>
        <w:rPr>
          <w:color w:val="231F1F"/>
          <w:w w:val="110"/>
        </w:rPr>
        <w:t>estimulación</w:t>
      </w:r>
      <w:r>
        <w:rPr>
          <w:color w:val="231F1F"/>
          <w:spacing w:val="-13"/>
          <w:w w:val="110"/>
        </w:rPr>
        <w:t> </w:t>
      </w:r>
      <w:r>
        <w:rPr>
          <w:color w:val="231F1F"/>
          <w:w w:val="110"/>
        </w:rPr>
        <w:t>de</w:t>
      </w:r>
      <w:r>
        <w:rPr>
          <w:color w:val="231F1F"/>
          <w:spacing w:val="-13"/>
          <w:w w:val="110"/>
        </w:rPr>
        <w:t> </w:t>
      </w:r>
      <w:r>
        <w:rPr>
          <w:color w:val="231F1F"/>
          <w:w w:val="110"/>
        </w:rPr>
        <w:t>la</w:t>
      </w:r>
      <w:r>
        <w:rPr>
          <w:color w:val="231F1F"/>
          <w:spacing w:val="-13"/>
          <w:w w:val="110"/>
        </w:rPr>
        <w:t> </w:t>
      </w:r>
      <w:r>
        <w:rPr>
          <w:color w:val="231F1F"/>
          <w:w w:val="110"/>
        </w:rPr>
        <w:t>calota</w:t>
      </w:r>
      <w:r>
        <w:rPr>
          <w:color w:val="231F1F"/>
          <w:spacing w:val="-13"/>
          <w:w w:val="110"/>
        </w:rPr>
        <w:t> </w:t>
      </w:r>
      <w:r>
        <w:rPr>
          <w:color w:val="231F1F"/>
          <w:w w:val="110"/>
        </w:rPr>
        <w:t>fetal.</w:t>
      </w:r>
    </w:p>
    <w:p>
      <w:pPr>
        <w:pStyle w:val="BodyText"/>
      </w:pPr>
    </w:p>
    <w:p>
      <w:pPr>
        <w:pStyle w:val="BodyText"/>
        <w:spacing w:before="104"/>
      </w:pPr>
    </w:p>
    <w:p>
      <w:pPr>
        <w:pStyle w:val="Heading2"/>
        <w:numPr>
          <w:ilvl w:val="2"/>
          <w:numId w:val="2"/>
        </w:numPr>
        <w:tabs>
          <w:tab w:pos="1182" w:val="left" w:leader="none"/>
          <w:tab w:pos="1186" w:val="left" w:leader="none"/>
        </w:tabs>
        <w:spacing w:line="232" w:lineRule="auto" w:before="0" w:after="0"/>
        <w:ind w:left="1186" w:right="410" w:hanging="905"/>
        <w:jc w:val="left"/>
      </w:pPr>
      <w:r>
        <w:rPr>
          <w:color w:val="231F1F"/>
        </w:rPr>
        <w:t>Monitorización electrónica fetal continua</w:t>
      </w:r>
      <w:r>
        <w:rPr>
          <w:color w:val="231F1F"/>
          <w:spacing w:val="80"/>
          <w:w w:val="150"/>
        </w:rPr>
        <w:t> </w:t>
      </w:r>
      <w:r>
        <w:rPr>
          <w:color w:val="231F1F"/>
        </w:rPr>
        <w:t>(MEFC)</w:t>
      </w:r>
      <w:r>
        <w:rPr>
          <w:color w:val="231F1F"/>
          <w:spacing w:val="80"/>
        </w:rPr>
        <w:t> </w:t>
      </w:r>
      <w:r>
        <w:rPr>
          <w:color w:val="231F1F"/>
        </w:rPr>
        <w:t>vs</w:t>
      </w:r>
      <w:r>
        <w:rPr>
          <w:color w:val="231F1F"/>
          <w:spacing w:val="80"/>
        </w:rPr>
        <w:t> </w:t>
      </w:r>
      <w:r>
        <w:rPr>
          <w:color w:val="231F1F"/>
        </w:rPr>
        <w:t>auscultación</w:t>
      </w:r>
      <w:r>
        <w:rPr>
          <w:color w:val="231F1F"/>
          <w:spacing w:val="80"/>
        </w:rPr>
        <w:t> </w:t>
      </w:r>
      <w:r>
        <w:rPr>
          <w:color w:val="231F1F"/>
        </w:rPr>
        <w:t>fetal</w:t>
      </w:r>
      <w:r>
        <w:rPr>
          <w:color w:val="231F1F"/>
          <w:spacing w:val="80"/>
        </w:rPr>
        <w:t> </w:t>
      </w:r>
      <w:r>
        <w:rPr>
          <w:color w:val="231F1F"/>
        </w:rPr>
        <w:t>intermitente</w:t>
      </w:r>
      <w:r>
        <w:rPr>
          <w:color w:val="231F1F"/>
          <w:spacing w:val="80"/>
        </w:rPr>
        <w:t> </w:t>
      </w:r>
      <w:r>
        <w:rPr>
          <w:color w:val="231F1F"/>
        </w:rPr>
        <w:t>(AI)</w:t>
      </w:r>
    </w:p>
    <w:p>
      <w:pPr>
        <w:pStyle w:val="BodyText"/>
        <w:spacing w:before="26"/>
        <w:rPr>
          <w:sz w:val="20"/>
        </w:rPr>
      </w:pPr>
      <w:r>
        <w:rPr>
          <w:sz w:val="20"/>
        </w:rPr>
        <mc:AlternateContent>
          <mc:Choice Requires="wps">
            <w:drawing>
              <wp:anchor distT="0" distB="0" distL="0" distR="0" allowOverlap="1" layoutInCell="1" locked="0" behindDoc="1" simplePos="0" relativeHeight="487630848">
                <wp:simplePos x="0" y="0"/>
                <wp:positionH relativeFrom="page">
                  <wp:posOffset>1082675</wp:posOffset>
                </wp:positionH>
                <wp:positionV relativeFrom="paragraph">
                  <wp:posOffset>181172</wp:posOffset>
                </wp:positionV>
                <wp:extent cx="5400040" cy="440055"/>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5400040" cy="440055"/>
                        </a:xfrm>
                        <a:prstGeom prst="rect">
                          <a:avLst/>
                        </a:prstGeom>
                        <a:ln w="6350">
                          <a:solidFill>
                            <a:srgbClr val="A30046"/>
                          </a:solidFill>
                          <a:prstDash val="solid"/>
                        </a:ln>
                      </wps:spPr>
                      <wps:txbx>
                        <w:txbxContent>
                          <w:p>
                            <w:pPr>
                              <w:pStyle w:val="BodyText"/>
                              <w:numPr>
                                <w:ilvl w:val="0"/>
                                <w:numId w:val="87"/>
                              </w:numPr>
                              <w:tabs>
                                <w:tab w:pos="324" w:val="left" w:leader="none"/>
                              </w:tabs>
                              <w:spacing w:line="244" w:lineRule="auto" w:before="54" w:after="0"/>
                              <w:ind w:left="324" w:right="234" w:hanging="220"/>
                              <w:jc w:val="left"/>
                            </w:pPr>
                            <w:r>
                              <w:rPr>
                                <w:color w:val="231F1F"/>
                                <w:w w:val="105"/>
                              </w:rPr>
                              <w:t>¿Cuál</w:t>
                            </w:r>
                            <w:r>
                              <w:rPr>
                                <w:color w:val="231F1F"/>
                                <w:spacing w:val="-8"/>
                                <w:w w:val="105"/>
                              </w:rPr>
                              <w:t> </w:t>
                            </w:r>
                            <w:r>
                              <w:rPr>
                                <w:color w:val="231F1F"/>
                                <w:w w:val="105"/>
                              </w:rPr>
                              <w:t>es</w:t>
                            </w:r>
                            <w:r>
                              <w:rPr>
                                <w:color w:val="231F1F"/>
                                <w:spacing w:val="-7"/>
                                <w:w w:val="105"/>
                              </w:rPr>
                              <w:t> </w:t>
                            </w:r>
                            <w:r>
                              <w:rPr>
                                <w:color w:val="231F1F"/>
                                <w:w w:val="105"/>
                              </w:rPr>
                              <w:t>la</w:t>
                            </w:r>
                            <w:r>
                              <w:rPr>
                                <w:color w:val="231F1F"/>
                                <w:spacing w:val="-7"/>
                                <w:w w:val="105"/>
                              </w:rPr>
                              <w:t> </w:t>
                            </w:r>
                            <w:r>
                              <w:rPr>
                                <w:color w:val="231F1F"/>
                                <w:w w:val="105"/>
                              </w:rPr>
                              <w:t>efectividad</w:t>
                            </w:r>
                            <w:r>
                              <w:rPr>
                                <w:color w:val="231F1F"/>
                                <w:spacing w:val="-7"/>
                                <w:w w:val="105"/>
                              </w:rPr>
                              <w:t> </w:t>
                            </w:r>
                            <w:r>
                              <w:rPr>
                                <w:color w:val="231F1F"/>
                                <w:w w:val="105"/>
                              </w:rPr>
                              <w:t>de</w:t>
                            </w:r>
                            <w:r>
                              <w:rPr>
                                <w:color w:val="231F1F"/>
                                <w:spacing w:val="-7"/>
                                <w:w w:val="105"/>
                              </w:rPr>
                              <w:t> </w:t>
                            </w:r>
                            <w:r>
                              <w:rPr>
                                <w:color w:val="231F1F"/>
                                <w:w w:val="105"/>
                              </w:rPr>
                              <w:t>los</w:t>
                            </w:r>
                            <w:r>
                              <w:rPr>
                                <w:color w:val="231F1F"/>
                                <w:spacing w:val="-7"/>
                                <w:w w:val="105"/>
                              </w:rPr>
                              <w:t> </w:t>
                            </w:r>
                            <w:r>
                              <w:rPr>
                                <w:color w:val="231F1F"/>
                                <w:w w:val="105"/>
                              </w:rPr>
                              <w:t>siguientes</w:t>
                            </w:r>
                            <w:r>
                              <w:rPr>
                                <w:color w:val="231F1F"/>
                                <w:spacing w:val="-7"/>
                                <w:w w:val="105"/>
                              </w:rPr>
                              <w:t> </w:t>
                            </w:r>
                            <w:r>
                              <w:rPr>
                                <w:color w:val="231F1F"/>
                                <w:w w:val="105"/>
                              </w:rPr>
                              <w:t>métodos</w:t>
                            </w:r>
                            <w:r>
                              <w:rPr>
                                <w:color w:val="231F1F"/>
                                <w:spacing w:val="-8"/>
                                <w:w w:val="105"/>
                              </w:rPr>
                              <w:t> </w:t>
                            </w:r>
                            <w:r>
                              <w:rPr>
                                <w:color w:val="231F1F"/>
                                <w:w w:val="105"/>
                              </w:rPr>
                              <w:t>de</w:t>
                            </w:r>
                            <w:r>
                              <w:rPr>
                                <w:color w:val="231F1F"/>
                                <w:spacing w:val="-8"/>
                                <w:w w:val="105"/>
                              </w:rPr>
                              <w:t> </w:t>
                            </w:r>
                            <w:r>
                              <w:rPr>
                                <w:color w:val="231F1F"/>
                                <w:w w:val="105"/>
                              </w:rPr>
                              <w:t>monitorización</w:t>
                            </w:r>
                            <w:r>
                              <w:rPr>
                                <w:color w:val="231F1F"/>
                                <w:spacing w:val="-8"/>
                                <w:w w:val="105"/>
                              </w:rPr>
                              <w:t> </w:t>
                            </w:r>
                            <w:r>
                              <w:rPr>
                                <w:color w:val="231F1F"/>
                                <w:w w:val="105"/>
                              </w:rPr>
                              <w:t>fetal:</w:t>
                            </w:r>
                            <w:r>
                              <w:rPr>
                                <w:color w:val="231F1F"/>
                                <w:spacing w:val="-6"/>
                                <w:w w:val="105"/>
                              </w:rPr>
                              <w:t> </w:t>
                            </w:r>
                            <w:r>
                              <w:rPr>
                                <w:color w:val="231F1F"/>
                                <w:w w:val="105"/>
                              </w:rPr>
                              <w:t>MEFC</w:t>
                            </w:r>
                            <w:r>
                              <w:rPr>
                                <w:color w:val="231F1F"/>
                                <w:spacing w:val="-8"/>
                                <w:w w:val="105"/>
                              </w:rPr>
                              <w:t> </w:t>
                            </w:r>
                            <w:r>
                              <w:rPr>
                                <w:color w:val="231F1F"/>
                                <w:w w:val="105"/>
                              </w:rPr>
                              <w:t>fren- te</w:t>
                            </w:r>
                            <w:r>
                              <w:rPr>
                                <w:color w:val="231F1F"/>
                                <w:spacing w:val="40"/>
                                <w:w w:val="105"/>
                              </w:rPr>
                              <w:t> </w:t>
                            </w:r>
                            <w:r>
                              <w:rPr>
                                <w:color w:val="231F1F"/>
                                <w:w w:val="105"/>
                              </w:rPr>
                              <w:t>a</w:t>
                            </w:r>
                            <w:r>
                              <w:rPr>
                                <w:color w:val="231F1F"/>
                                <w:spacing w:val="40"/>
                                <w:w w:val="105"/>
                              </w:rPr>
                              <w:t> </w:t>
                            </w:r>
                            <w:r>
                              <w:rPr>
                                <w:color w:val="231F1F"/>
                                <w:w w:val="105"/>
                              </w:rPr>
                              <w:t>auscultación</w:t>
                            </w:r>
                            <w:r>
                              <w:rPr>
                                <w:color w:val="231F1F"/>
                                <w:spacing w:val="40"/>
                                <w:w w:val="105"/>
                              </w:rPr>
                              <w:t> </w:t>
                            </w:r>
                            <w:r>
                              <w:rPr>
                                <w:color w:val="231F1F"/>
                                <w:w w:val="105"/>
                              </w:rPr>
                              <w:t>fetal</w:t>
                            </w:r>
                            <w:r>
                              <w:rPr>
                                <w:color w:val="231F1F"/>
                                <w:spacing w:val="40"/>
                                <w:w w:val="105"/>
                              </w:rPr>
                              <w:t> </w:t>
                            </w:r>
                            <w:r>
                              <w:rPr>
                                <w:color w:val="231F1F"/>
                                <w:w w:val="105"/>
                              </w:rPr>
                              <w:t>intermitente</w:t>
                            </w:r>
                            <w:r>
                              <w:rPr>
                                <w:color w:val="231F1F"/>
                                <w:spacing w:val="40"/>
                                <w:w w:val="105"/>
                              </w:rPr>
                              <w:t> </w:t>
                            </w:r>
                            <w:r>
                              <w:rPr>
                                <w:color w:val="231F1F"/>
                                <w:w w:val="105"/>
                              </w:rPr>
                              <w:t>(estetoscopio</w:t>
                            </w:r>
                            <w:r>
                              <w:rPr>
                                <w:color w:val="231F1F"/>
                                <w:spacing w:val="40"/>
                                <w:w w:val="105"/>
                              </w:rPr>
                              <w:t> </w:t>
                            </w:r>
                            <w:r>
                              <w:rPr>
                                <w:color w:val="231F1F"/>
                                <w:w w:val="105"/>
                              </w:rPr>
                              <w:t>de</w:t>
                            </w:r>
                            <w:r>
                              <w:rPr>
                                <w:color w:val="231F1F"/>
                                <w:spacing w:val="40"/>
                                <w:w w:val="105"/>
                              </w:rPr>
                              <w:t> </w:t>
                            </w:r>
                            <w:r>
                              <w:rPr>
                                <w:color w:val="231F1F"/>
                                <w:w w:val="105"/>
                              </w:rPr>
                              <w:t>Pinard</w:t>
                            </w:r>
                            <w:r>
                              <w:rPr>
                                <w:color w:val="231F1F"/>
                                <w:spacing w:val="40"/>
                                <w:w w:val="105"/>
                              </w:rPr>
                              <w:t> </w:t>
                            </w:r>
                            <w:r>
                              <w:rPr>
                                <w:color w:val="231F1F"/>
                                <w:w w:val="105"/>
                              </w:rPr>
                              <w:t>o</w:t>
                            </w:r>
                            <w:r>
                              <w:rPr>
                                <w:color w:val="231F1F"/>
                                <w:spacing w:val="40"/>
                                <w:w w:val="105"/>
                              </w:rPr>
                              <w:t> </w:t>
                            </w:r>
                            <w:r>
                              <w:rPr>
                                <w:color w:val="231F1F"/>
                                <w:w w:val="105"/>
                              </w:rPr>
                              <w:t>Doppler)?</w:t>
                            </w:r>
                          </w:p>
                        </w:txbxContent>
                      </wps:txbx>
                      <wps:bodyPr wrap="square" lIns="0" tIns="0" rIns="0" bIns="0" rtlCol="0">
                        <a:noAutofit/>
                      </wps:bodyPr>
                    </wps:wsp>
                  </a:graphicData>
                </a:graphic>
              </wp:anchor>
            </w:drawing>
          </mc:Choice>
          <mc:Fallback>
            <w:pict>
              <v:shape style="position:absolute;margin-left:85.25pt;margin-top:14.265528pt;width:425.2pt;height:34.65pt;mso-position-horizontal-relative:page;mso-position-vertical-relative:paragraph;z-index:-15685632;mso-wrap-distance-left:0;mso-wrap-distance-right:0" type="#_x0000_t202" id="docshape135" filled="false" stroked="true" strokeweight=".5pt" strokecolor="#a30046">
                <v:textbox inset="0,0,0,0">
                  <w:txbxContent>
                    <w:p>
                      <w:pPr>
                        <w:pStyle w:val="BodyText"/>
                        <w:numPr>
                          <w:ilvl w:val="0"/>
                          <w:numId w:val="87"/>
                        </w:numPr>
                        <w:tabs>
                          <w:tab w:pos="324" w:val="left" w:leader="none"/>
                        </w:tabs>
                        <w:spacing w:line="244" w:lineRule="auto" w:before="54" w:after="0"/>
                        <w:ind w:left="324" w:right="234" w:hanging="220"/>
                        <w:jc w:val="left"/>
                      </w:pPr>
                      <w:r>
                        <w:rPr>
                          <w:color w:val="231F1F"/>
                          <w:w w:val="105"/>
                        </w:rPr>
                        <w:t>¿Cuál</w:t>
                      </w:r>
                      <w:r>
                        <w:rPr>
                          <w:color w:val="231F1F"/>
                          <w:spacing w:val="-8"/>
                          <w:w w:val="105"/>
                        </w:rPr>
                        <w:t> </w:t>
                      </w:r>
                      <w:r>
                        <w:rPr>
                          <w:color w:val="231F1F"/>
                          <w:w w:val="105"/>
                        </w:rPr>
                        <w:t>es</w:t>
                      </w:r>
                      <w:r>
                        <w:rPr>
                          <w:color w:val="231F1F"/>
                          <w:spacing w:val="-7"/>
                          <w:w w:val="105"/>
                        </w:rPr>
                        <w:t> </w:t>
                      </w:r>
                      <w:r>
                        <w:rPr>
                          <w:color w:val="231F1F"/>
                          <w:w w:val="105"/>
                        </w:rPr>
                        <w:t>la</w:t>
                      </w:r>
                      <w:r>
                        <w:rPr>
                          <w:color w:val="231F1F"/>
                          <w:spacing w:val="-7"/>
                          <w:w w:val="105"/>
                        </w:rPr>
                        <w:t> </w:t>
                      </w:r>
                      <w:r>
                        <w:rPr>
                          <w:color w:val="231F1F"/>
                          <w:w w:val="105"/>
                        </w:rPr>
                        <w:t>efectividad</w:t>
                      </w:r>
                      <w:r>
                        <w:rPr>
                          <w:color w:val="231F1F"/>
                          <w:spacing w:val="-7"/>
                          <w:w w:val="105"/>
                        </w:rPr>
                        <w:t> </w:t>
                      </w:r>
                      <w:r>
                        <w:rPr>
                          <w:color w:val="231F1F"/>
                          <w:w w:val="105"/>
                        </w:rPr>
                        <w:t>de</w:t>
                      </w:r>
                      <w:r>
                        <w:rPr>
                          <w:color w:val="231F1F"/>
                          <w:spacing w:val="-7"/>
                          <w:w w:val="105"/>
                        </w:rPr>
                        <w:t> </w:t>
                      </w:r>
                      <w:r>
                        <w:rPr>
                          <w:color w:val="231F1F"/>
                          <w:w w:val="105"/>
                        </w:rPr>
                        <w:t>los</w:t>
                      </w:r>
                      <w:r>
                        <w:rPr>
                          <w:color w:val="231F1F"/>
                          <w:spacing w:val="-7"/>
                          <w:w w:val="105"/>
                        </w:rPr>
                        <w:t> </w:t>
                      </w:r>
                      <w:r>
                        <w:rPr>
                          <w:color w:val="231F1F"/>
                          <w:w w:val="105"/>
                        </w:rPr>
                        <w:t>siguientes</w:t>
                      </w:r>
                      <w:r>
                        <w:rPr>
                          <w:color w:val="231F1F"/>
                          <w:spacing w:val="-7"/>
                          <w:w w:val="105"/>
                        </w:rPr>
                        <w:t> </w:t>
                      </w:r>
                      <w:r>
                        <w:rPr>
                          <w:color w:val="231F1F"/>
                          <w:w w:val="105"/>
                        </w:rPr>
                        <w:t>métodos</w:t>
                      </w:r>
                      <w:r>
                        <w:rPr>
                          <w:color w:val="231F1F"/>
                          <w:spacing w:val="-8"/>
                          <w:w w:val="105"/>
                        </w:rPr>
                        <w:t> </w:t>
                      </w:r>
                      <w:r>
                        <w:rPr>
                          <w:color w:val="231F1F"/>
                          <w:w w:val="105"/>
                        </w:rPr>
                        <w:t>de</w:t>
                      </w:r>
                      <w:r>
                        <w:rPr>
                          <w:color w:val="231F1F"/>
                          <w:spacing w:val="-8"/>
                          <w:w w:val="105"/>
                        </w:rPr>
                        <w:t> </w:t>
                      </w:r>
                      <w:r>
                        <w:rPr>
                          <w:color w:val="231F1F"/>
                          <w:w w:val="105"/>
                        </w:rPr>
                        <w:t>monitorización</w:t>
                      </w:r>
                      <w:r>
                        <w:rPr>
                          <w:color w:val="231F1F"/>
                          <w:spacing w:val="-8"/>
                          <w:w w:val="105"/>
                        </w:rPr>
                        <w:t> </w:t>
                      </w:r>
                      <w:r>
                        <w:rPr>
                          <w:color w:val="231F1F"/>
                          <w:w w:val="105"/>
                        </w:rPr>
                        <w:t>fetal:</w:t>
                      </w:r>
                      <w:r>
                        <w:rPr>
                          <w:color w:val="231F1F"/>
                          <w:spacing w:val="-6"/>
                          <w:w w:val="105"/>
                        </w:rPr>
                        <w:t> </w:t>
                      </w:r>
                      <w:r>
                        <w:rPr>
                          <w:color w:val="231F1F"/>
                          <w:w w:val="105"/>
                        </w:rPr>
                        <w:t>MEFC</w:t>
                      </w:r>
                      <w:r>
                        <w:rPr>
                          <w:color w:val="231F1F"/>
                          <w:spacing w:val="-8"/>
                          <w:w w:val="105"/>
                        </w:rPr>
                        <w:t> </w:t>
                      </w:r>
                      <w:r>
                        <w:rPr>
                          <w:color w:val="231F1F"/>
                          <w:w w:val="105"/>
                        </w:rPr>
                        <w:t>fren- te</w:t>
                      </w:r>
                      <w:r>
                        <w:rPr>
                          <w:color w:val="231F1F"/>
                          <w:spacing w:val="40"/>
                          <w:w w:val="105"/>
                        </w:rPr>
                        <w:t> </w:t>
                      </w:r>
                      <w:r>
                        <w:rPr>
                          <w:color w:val="231F1F"/>
                          <w:w w:val="105"/>
                        </w:rPr>
                        <w:t>a</w:t>
                      </w:r>
                      <w:r>
                        <w:rPr>
                          <w:color w:val="231F1F"/>
                          <w:spacing w:val="40"/>
                          <w:w w:val="105"/>
                        </w:rPr>
                        <w:t> </w:t>
                      </w:r>
                      <w:r>
                        <w:rPr>
                          <w:color w:val="231F1F"/>
                          <w:w w:val="105"/>
                        </w:rPr>
                        <w:t>auscultación</w:t>
                      </w:r>
                      <w:r>
                        <w:rPr>
                          <w:color w:val="231F1F"/>
                          <w:spacing w:val="40"/>
                          <w:w w:val="105"/>
                        </w:rPr>
                        <w:t> </w:t>
                      </w:r>
                      <w:r>
                        <w:rPr>
                          <w:color w:val="231F1F"/>
                          <w:w w:val="105"/>
                        </w:rPr>
                        <w:t>fetal</w:t>
                      </w:r>
                      <w:r>
                        <w:rPr>
                          <w:color w:val="231F1F"/>
                          <w:spacing w:val="40"/>
                          <w:w w:val="105"/>
                        </w:rPr>
                        <w:t> </w:t>
                      </w:r>
                      <w:r>
                        <w:rPr>
                          <w:color w:val="231F1F"/>
                          <w:w w:val="105"/>
                        </w:rPr>
                        <w:t>intermitente</w:t>
                      </w:r>
                      <w:r>
                        <w:rPr>
                          <w:color w:val="231F1F"/>
                          <w:spacing w:val="40"/>
                          <w:w w:val="105"/>
                        </w:rPr>
                        <w:t> </w:t>
                      </w:r>
                      <w:r>
                        <w:rPr>
                          <w:color w:val="231F1F"/>
                          <w:w w:val="105"/>
                        </w:rPr>
                        <w:t>(estetoscopio</w:t>
                      </w:r>
                      <w:r>
                        <w:rPr>
                          <w:color w:val="231F1F"/>
                          <w:spacing w:val="40"/>
                          <w:w w:val="105"/>
                        </w:rPr>
                        <w:t> </w:t>
                      </w:r>
                      <w:r>
                        <w:rPr>
                          <w:color w:val="231F1F"/>
                          <w:w w:val="105"/>
                        </w:rPr>
                        <w:t>de</w:t>
                      </w:r>
                      <w:r>
                        <w:rPr>
                          <w:color w:val="231F1F"/>
                          <w:spacing w:val="40"/>
                          <w:w w:val="105"/>
                        </w:rPr>
                        <w:t> </w:t>
                      </w:r>
                      <w:r>
                        <w:rPr>
                          <w:color w:val="231F1F"/>
                          <w:w w:val="105"/>
                        </w:rPr>
                        <w:t>Pinard</w:t>
                      </w:r>
                      <w:r>
                        <w:rPr>
                          <w:color w:val="231F1F"/>
                          <w:spacing w:val="40"/>
                          <w:w w:val="105"/>
                        </w:rPr>
                        <w:t> </w:t>
                      </w:r>
                      <w:r>
                        <w:rPr>
                          <w:color w:val="231F1F"/>
                          <w:w w:val="105"/>
                        </w:rPr>
                        <w:t>o</w:t>
                      </w:r>
                      <w:r>
                        <w:rPr>
                          <w:color w:val="231F1F"/>
                          <w:spacing w:val="40"/>
                          <w:w w:val="105"/>
                        </w:rPr>
                        <w:t> </w:t>
                      </w:r>
                      <w:r>
                        <w:rPr>
                          <w:color w:val="231F1F"/>
                          <w:w w:val="105"/>
                        </w:rPr>
                        <w:t>Doppler)?</w:t>
                      </w:r>
                    </w:p>
                  </w:txbxContent>
                </v:textbox>
                <v:stroke dashstyle="solid"/>
                <w10:wrap type="topAndBottom"/>
              </v:shape>
            </w:pict>
          </mc:Fallback>
        </mc:AlternateContent>
      </w:r>
    </w:p>
    <w:p>
      <w:pPr>
        <w:pStyle w:val="BodyText"/>
        <w:spacing w:line="249" w:lineRule="auto" w:before="322"/>
        <w:ind w:left="283" w:right="118"/>
        <w:jc w:val="both"/>
      </w:pPr>
      <w:r>
        <w:rPr>
          <w:color w:val="231F1F"/>
          <w:w w:val="105"/>
        </w:rPr>
        <w:t>La</w:t>
      </w:r>
      <w:r>
        <w:rPr>
          <w:color w:val="231F1F"/>
          <w:w w:val="105"/>
        </w:rPr>
        <w:t> frecuencia</w:t>
      </w:r>
      <w:r>
        <w:rPr>
          <w:color w:val="231F1F"/>
          <w:w w:val="105"/>
        </w:rPr>
        <w:t> cardíaca</w:t>
      </w:r>
      <w:r>
        <w:rPr>
          <w:color w:val="231F1F"/>
          <w:w w:val="105"/>
        </w:rPr>
        <w:t> fetal</w:t>
      </w:r>
      <w:r>
        <w:rPr>
          <w:color w:val="231F1F"/>
          <w:w w:val="105"/>
        </w:rPr>
        <w:t> se</w:t>
      </w:r>
      <w:r>
        <w:rPr>
          <w:color w:val="231F1F"/>
          <w:w w:val="105"/>
        </w:rPr>
        <w:t> puede</w:t>
      </w:r>
      <w:r>
        <w:rPr>
          <w:color w:val="231F1F"/>
          <w:w w:val="105"/>
        </w:rPr>
        <w:t> monitorizar</w:t>
      </w:r>
      <w:r>
        <w:rPr>
          <w:color w:val="231F1F"/>
          <w:w w:val="105"/>
        </w:rPr>
        <w:t> de</w:t>
      </w:r>
      <w:r>
        <w:rPr>
          <w:color w:val="231F1F"/>
          <w:w w:val="105"/>
        </w:rPr>
        <w:t> forma</w:t>
      </w:r>
      <w:r>
        <w:rPr>
          <w:color w:val="231F1F"/>
          <w:w w:val="105"/>
        </w:rPr>
        <w:t> intermitente</w:t>
      </w:r>
      <w:r>
        <w:rPr>
          <w:color w:val="231F1F"/>
          <w:w w:val="105"/>
        </w:rPr>
        <w:t> mediante</w:t>
      </w:r>
      <w:r>
        <w:rPr>
          <w:color w:val="231F1F"/>
          <w:w w:val="105"/>
        </w:rPr>
        <w:t> un</w:t>
      </w:r>
      <w:r>
        <w:rPr>
          <w:color w:val="231F1F"/>
          <w:w w:val="105"/>
        </w:rPr>
        <w:t> es- tetoscopio</w:t>
      </w:r>
      <w:r>
        <w:rPr>
          <w:color w:val="231F1F"/>
          <w:spacing w:val="31"/>
          <w:w w:val="105"/>
        </w:rPr>
        <w:t> </w:t>
      </w:r>
      <w:r>
        <w:rPr>
          <w:color w:val="231F1F"/>
          <w:w w:val="105"/>
        </w:rPr>
        <w:t>fetal</w:t>
      </w:r>
      <w:r>
        <w:rPr>
          <w:color w:val="231F1F"/>
          <w:spacing w:val="31"/>
          <w:w w:val="105"/>
        </w:rPr>
        <w:t> </w:t>
      </w:r>
      <w:r>
        <w:rPr>
          <w:color w:val="231F1F"/>
          <w:w w:val="105"/>
        </w:rPr>
        <w:t>de</w:t>
      </w:r>
      <w:r>
        <w:rPr>
          <w:color w:val="231F1F"/>
          <w:spacing w:val="31"/>
          <w:w w:val="105"/>
        </w:rPr>
        <w:t> </w:t>
      </w:r>
      <w:r>
        <w:rPr>
          <w:color w:val="231F1F"/>
          <w:w w:val="105"/>
        </w:rPr>
        <w:t>Pinard</w:t>
      </w:r>
      <w:r>
        <w:rPr>
          <w:color w:val="231F1F"/>
          <w:spacing w:val="31"/>
          <w:w w:val="105"/>
        </w:rPr>
        <w:t> </w:t>
      </w:r>
      <w:r>
        <w:rPr>
          <w:color w:val="231F1F"/>
          <w:w w:val="105"/>
        </w:rPr>
        <w:t>o</w:t>
      </w:r>
      <w:r>
        <w:rPr>
          <w:color w:val="231F1F"/>
          <w:spacing w:val="31"/>
          <w:w w:val="105"/>
        </w:rPr>
        <w:t> </w:t>
      </w:r>
      <w:r>
        <w:rPr>
          <w:color w:val="231F1F"/>
          <w:w w:val="105"/>
        </w:rPr>
        <w:t>un</w:t>
      </w:r>
      <w:r>
        <w:rPr>
          <w:color w:val="231F1F"/>
          <w:spacing w:val="31"/>
          <w:w w:val="105"/>
        </w:rPr>
        <w:t> </w:t>
      </w:r>
      <w:r>
        <w:rPr>
          <w:color w:val="231F1F"/>
          <w:w w:val="105"/>
        </w:rPr>
        <w:t>dispositivo</w:t>
      </w:r>
      <w:r>
        <w:rPr>
          <w:color w:val="231F1F"/>
          <w:spacing w:val="31"/>
          <w:w w:val="105"/>
        </w:rPr>
        <w:t> </w:t>
      </w:r>
      <w:r>
        <w:rPr>
          <w:color w:val="231F1F"/>
          <w:w w:val="105"/>
        </w:rPr>
        <w:t>Doppler</w:t>
      </w:r>
      <w:r>
        <w:rPr>
          <w:color w:val="231F1F"/>
          <w:spacing w:val="31"/>
          <w:w w:val="105"/>
        </w:rPr>
        <w:t> </w:t>
      </w:r>
      <w:r>
        <w:rPr>
          <w:color w:val="231F1F"/>
          <w:w w:val="105"/>
        </w:rPr>
        <w:t>manual.</w:t>
      </w:r>
      <w:r>
        <w:rPr>
          <w:color w:val="231F1F"/>
          <w:spacing w:val="31"/>
          <w:w w:val="105"/>
        </w:rPr>
        <w:t> </w:t>
      </w:r>
      <w:r>
        <w:rPr>
          <w:color w:val="231F1F"/>
          <w:w w:val="105"/>
        </w:rPr>
        <w:t>También</w:t>
      </w:r>
      <w:r>
        <w:rPr>
          <w:color w:val="231F1F"/>
          <w:spacing w:val="31"/>
          <w:w w:val="105"/>
        </w:rPr>
        <w:t> </w:t>
      </w:r>
      <w:r>
        <w:rPr>
          <w:color w:val="231F1F"/>
          <w:w w:val="105"/>
        </w:rPr>
        <w:t>es</w:t>
      </w:r>
      <w:r>
        <w:rPr>
          <w:color w:val="231F1F"/>
          <w:spacing w:val="31"/>
          <w:w w:val="105"/>
        </w:rPr>
        <w:t> </w:t>
      </w:r>
      <w:r>
        <w:rPr>
          <w:color w:val="231F1F"/>
          <w:w w:val="105"/>
        </w:rPr>
        <w:t>posible</w:t>
      </w:r>
      <w:r>
        <w:rPr>
          <w:color w:val="231F1F"/>
          <w:spacing w:val="31"/>
          <w:w w:val="105"/>
        </w:rPr>
        <w:t> </w:t>
      </w:r>
      <w:r>
        <w:rPr>
          <w:color w:val="231F1F"/>
          <w:w w:val="105"/>
        </w:rPr>
        <w:t>obtener de forma continua el registro de la frecuencia cardíaca fetal mediante un equipo de cardio- tografía</w:t>
      </w:r>
      <w:r>
        <w:rPr>
          <w:color w:val="231F1F"/>
          <w:spacing w:val="40"/>
          <w:w w:val="105"/>
        </w:rPr>
        <w:t> </w:t>
      </w:r>
      <w:r>
        <w:rPr>
          <w:color w:val="231F1F"/>
          <w:w w:val="105"/>
        </w:rPr>
        <w:t>(CTG).</w:t>
      </w:r>
      <w:r>
        <w:rPr>
          <w:color w:val="231F1F"/>
          <w:spacing w:val="40"/>
          <w:w w:val="105"/>
        </w:rPr>
        <w:t> </w:t>
      </w:r>
      <w:r>
        <w:rPr>
          <w:color w:val="231F1F"/>
          <w:w w:val="105"/>
        </w:rPr>
        <w:t>Este</w:t>
      </w:r>
      <w:r>
        <w:rPr>
          <w:color w:val="231F1F"/>
          <w:spacing w:val="40"/>
          <w:w w:val="105"/>
        </w:rPr>
        <w:t> </w:t>
      </w:r>
      <w:r>
        <w:rPr>
          <w:color w:val="231F1F"/>
          <w:w w:val="105"/>
        </w:rPr>
        <w:t>método</w:t>
      </w:r>
      <w:r>
        <w:rPr>
          <w:color w:val="231F1F"/>
          <w:spacing w:val="40"/>
          <w:w w:val="105"/>
        </w:rPr>
        <w:t> </w:t>
      </w:r>
      <w:r>
        <w:rPr>
          <w:color w:val="231F1F"/>
          <w:w w:val="105"/>
        </w:rPr>
        <w:t>se</w:t>
      </w:r>
      <w:r>
        <w:rPr>
          <w:color w:val="231F1F"/>
          <w:spacing w:val="40"/>
          <w:w w:val="105"/>
        </w:rPr>
        <w:t> </w:t>
      </w:r>
      <w:r>
        <w:rPr>
          <w:color w:val="231F1F"/>
          <w:w w:val="105"/>
        </w:rPr>
        <w:t>conoce</w:t>
      </w:r>
      <w:r>
        <w:rPr>
          <w:color w:val="231F1F"/>
          <w:spacing w:val="40"/>
          <w:w w:val="105"/>
        </w:rPr>
        <w:t> </w:t>
      </w:r>
      <w:r>
        <w:rPr>
          <w:color w:val="231F1F"/>
          <w:w w:val="105"/>
        </w:rPr>
        <w:t>como</w:t>
      </w:r>
      <w:r>
        <w:rPr>
          <w:color w:val="231F1F"/>
          <w:spacing w:val="40"/>
          <w:w w:val="105"/>
        </w:rPr>
        <w:t> </w:t>
      </w:r>
      <w:r>
        <w:rPr>
          <w:color w:val="231F1F"/>
          <w:w w:val="105"/>
        </w:rPr>
        <w:t>monitorización</w:t>
      </w:r>
      <w:r>
        <w:rPr>
          <w:color w:val="231F1F"/>
          <w:spacing w:val="39"/>
          <w:w w:val="105"/>
        </w:rPr>
        <w:t> </w:t>
      </w:r>
      <w:r>
        <w:rPr>
          <w:color w:val="231F1F"/>
          <w:w w:val="105"/>
        </w:rPr>
        <w:t>electrónica</w:t>
      </w:r>
      <w:r>
        <w:rPr>
          <w:color w:val="231F1F"/>
          <w:spacing w:val="40"/>
          <w:w w:val="105"/>
        </w:rPr>
        <w:t> </w:t>
      </w:r>
      <w:r>
        <w:rPr>
          <w:color w:val="231F1F"/>
          <w:w w:val="105"/>
        </w:rPr>
        <w:t>fetal</w:t>
      </w:r>
      <w:r>
        <w:rPr>
          <w:color w:val="231F1F"/>
          <w:spacing w:val="40"/>
          <w:w w:val="105"/>
        </w:rPr>
        <w:t> </w:t>
      </w:r>
      <w:r>
        <w:rPr>
          <w:color w:val="231F1F"/>
          <w:w w:val="105"/>
        </w:rPr>
        <w:t>(MEF)</w:t>
      </w:r>
      <w:r>
        <w:rPr>
          <w:color w:val="231F1F"/>
          <w:spacing w:val="40"/>
          <w:w w:val="105"/>
        </w:rPr>
        <w:t> </w:t>
      </w:r>
      <w:r>
        <w:rPr>
          <w:color w:val="231F1F"/>
          <w:w w:val="105"/>
        </w:rPr>
        <w:t>y nos muestra un registro continuo de la frecuencia cardíaca fetal y las contracciones uterinas durante el trabajo de parto.</w:t>
      </w:r>
    </w:p>
    <w:p>
      <w:pPr>
        <w:pStyle w:val="BodyText"/>
        <w:spacing w:line="247" w:lineRule="auto" w:before="144"/>
        <w:ind w:left="283" w:right="117" w:firstLine="453"/>
        <w:jc w:val="both"/>
      </w:pPr>
      <w:r>
        <w:rPr>
          <w:color w:val="231F1F"/>
          <w:w w:val="110"/>
        </w:rPr>
        <w:t>Aunque una CTG continua presenta ciertas ventajas, como son el proporcionar un </w:t>
      </w:r>
      <w:r>
        <w:rPr>
          <w:color w:val="231F1F"/>
          <w:spacing w:val="-2"/>
          <w:w w:val="110"/>
        </w:rPr>
        <w:t>registro</w:t>
      </w:r>
      <w:r>
        <w:rPr>
          <w:color w:val="231F1F"/>
          <w:spacing w:val="-8"/>
          <w:w w:val="110"/>
        </w:rPr>
        <w:t> </w:t>
      </w:r>
      <w:r>
        <w:rPr>
          <w:color w:val="231F1F"/>
          <w:spacing w:val="-2"/>
          <w:w w:val="110"/>
        </w:rPr>
        <w:t>escrito</w:t>
      </w:r>
      <w:r>
        <w:rPr>
          <w:color w:val="231F1F"/>
          <w:spacing w:val="-8"/>
          <w:w w:val="110"/>
        </w:rPr>
        <w:t> </w:t>
      </w:r>
      <w:r>
        <w:rPr>
          <w:color w:val="231F1F"/>
          <w:spacing w:val="-2"/>
          <w:w w:val="110"/>
        </w:rPr>
        <w:t>que</w:t>
      </w:r>
      <w:r>
        <w:rPr>
          <w:color w:val="231F1F"/>
          <w:spacing w:val="-9"/>
          <w:w w:val="110"/>
        </w:rPr>
        <w:t> </w:t>
      </w:r>
      <w:r>
        <w:rPr>
          <w:color w:val="231F1F"/>
          <w:spacing w:val="-2"/>
          <w:w w:val="110"/>
        </w:rPr>
        <w:t>se</w:t>
      </w:r>
      <w:r>
        <w:rPr>
          <w:color w:val="231F1F"/>
          <w:spacing w:val="-9"/>
          <w:w w:val="110"/>
        </w:rPr>
        <w:t> </w:t>
      </w:r>
      <w:r>
        <w:rPr>
          <w:color w:val="231F1F"/>
          <w:spacing w:val="-2"/>
          <w:w w:val="110"/>
        </w:rPr>
        <w:t>puede</w:t>
      </w:r>
      <w:r>
        <w:rPr>
          <w:color w:val="231F1F"/>
          <w:spacing w:val="-9"/>
          <w:w w:val="110"/>
        </w:rPr>
        <w:t> </w:t>
      </w:r>
      <w:r>
        <w:rPr>
          <w:color w:val="231F1F"/>
          <w:spacing w:val="-2"/>
          <w:w w:val="110"/>
        </w:rPr>
        <w:t>analizar</w:t>
      </w:r>
      <w:r>
        <w:rPr>
          <w:color w:val="231F1F"/>
          <w:spacing w:val="-9"/>
          <w:w w:val="110"/>
        </w:rPr>
        <w:t> </w:t>
      </w:r>
      <w:r>
        <w:rPr>
          <w:color w:val="231F1F"/>
          <w:spacing w:val="-2"/>
          <w:w w:val="110"/>
        </w:rPr>
        <w:t>en</w:t>
      </w:r>
      <w:r>
        <w:rPr>
          <w:color w:val="231F1F"/>
          <w:spacing w:val="-8"/>
          <w:w w:val="110"/>
        </w:rPr>
        <w:t> </w:t>
      </w:r>
      <w:r>
        <w:rPr>
          <w:color w:val="231F1F"/>
          <w:spacing w:val="-2"/>
          <w:w w:val="110"/>
        </w:rPr>
        <w:t>cualquier</w:t>
      </w:r>
      <w:r>
        <w:rPr>
          <w:color w:val="231F1F"/>
          <w:spacing w:val="-9"/>
          <w:w w:val="110"/>
        </w:rPr>
        <w:t> </w:t>
      </w:r>
      <w:r>
        <w:rPr>
          <w:color w:val="231F1F"/>
          <w:spacing w:val="-2"/>
          <w:w w:val="110"/>
        </w:rPr>
        <w:t>momento</w:t>
      </w:r>
      <w:r>
        <w:rPr>
          <w:color w:val="231F1F"/>
          <w:spacing w:val="-8"/>
          <w:w w:val="110"/>
        </w:rPr>
        <w:t> </w:t>
      </w:r>
      <w:r>
        <w:rPr>
          <w:color w:val="231F1F"/>
          <w:spacing w:val="-2"/>
          <w:w w:val="110"/>
        </w:rPr>
        <w:t>del</w:t>
      </w:r>
      <w:r>
        <w:rPr>
          <w:color w:val="231F1F"/>
          <w:spacing w:val="-9"/>
          <w:w w:val="110"/>
        </w:rPr>
        <w:t> </w:t>
      </w:r>
      <w:r>
        <w:rPr>
          <w:color w:val="231F1F"/>
          <w:spacing w:val="-2"/>
          <w:w w:val="110"/>
        </w:rPr>
        <w:t>trabajo</w:t>
      </w:r>
      <w:r>
        <w:rPr>
          <w:color w:val="231F1F"/>
          <w:spacing w:val="-8"/>
          <w:w w:val="110"/>
        </w:rPr>
        <w:t> </w:t>
      </w:r>
      <w:r>
        <w:rPr>
          <w:color w:val="231F1F"/>
          <w:spacing w:val="-2"/>
          <w:w w:val="110"/>
        </w:rPr>
        <w:t>de</w:t>
      </w:r>
      <w:r>
        <w:rPr>
          <w:color w:val="231F1F"/>
          <w:spacing w:val="-9"/>
          <w:w w:val="110"/>
        </w:rPr>
        <w:t> </w:t>
      </w:r>
      <w:r>
        <w:rPr>
          <w:color w:val="231F1F"/>
          <w:spacing w:val="-2"/>
          <w:w w:val="110"/>
        </w:rPr>
        <w:t>parto</w:t>
      </w:r>
      <w:r>
        <w:rPr>
          <w:color w:val="231F1F"/>
          <w:spacing w:val="-8"/>
          <w:w w:val="110"/>
        </w:rPr>
        <w:t> </w:t>
      </w:r>
      <w:r>
        <w:rPr>
          <w:color w:val="231F1F"/>
          <w:spacing w:val="-2"/>
          <w:w w:val="110"/>
        </w:rPr>
        <w:t>o</w:t>
      </w:r>
      <w:r>
        <w:rPr>
          <w:color w:val="231F1F"/>
          <w:spacing w:val="-8"/>
          <w:w w:val="110"/>
        </w:rPr>
        <w:t> </w:t>
      </w:r>
      <w:r>
        <w:rPr>
          <w:color w:val="231F1F"/>
          <w:spacing w:val="-2"/>
          <w:w w:val="110"/>
        </w:rPr>
        <w:t>después </w:t>
      </w:r>
      <w:r>
        <w:rPr>
          <w:color w:val="231F1F"/>
          <w:w w:val="110"/>
        </w:rPr>
        <w:t>del mismo y aportar más parámetros cuantificables relacionados con los patrones de la </w:t>
      </w:r>
      <w:r>
        <w:rPr>
          <w:color w:val="231F1F"/>
        </w:rPr>
        <w:t>frecuencia</w:t>
      </w:r>
      <w:r>
        <w:rPr>
          <w:color w:val="231F1F"/>
          <w:spacing w:val="40"/>
        </w:rPr>
        <w:t> </w:t>
      </w:r>
      <w:r>
        <w:rPr>
          <w:color w:val="231F1F"/>
        </w:rPr>
        <w:t>cardíaca</w:t>
      </w:r>
      <w:r>
        <w:rPr>
          <w:color w:val="231F1F"/>
          <w:spacing w:val="39"/>
        </w:rPr>
        <w:t> </w:t>
      </w:r>
      <w:r>
        <w:rPr>
          <w:color w:val="231F1F"/>
        </w:rPr>
        <w:t>fetal,</w:t>
      </w:r>
      <w:r>
        <w:rPr>
          <w:color w:val="231F1F"/>
          <w:spacing w:val="40"/>
        </w:rPr>
        <w:t> </w:t>
      </w:r>
      <w:r>
        <w:rPr>
          <w:color w:val="231F1F"/>
        </w:rPr>
        <w:t>también</w:t>
      </w:r>
      <w:r>
        <w:rPr>
          <w:color w:val="231F1F"/>
          <w:spacing w:val="40"/>
        </w:rPr>
        <w:t> </w:t>
      </w:r>
      <w:r>
        <w:rPr>
          <w:color w:val="231F1F"/>
        </w:rPr>
        <w:t>presenta</w:t>
      </w:r>
      <w:r>
        <w:rPr>
          <w:color w:val="231F1F"/>
          <w:spacing w:val="39"/>
        </w:rPr>
        <w:t> </w:t>
      </w:r>
      <w:r>
        <w:rPr>
          <w:color w:val="231F1F"/>
        </w:rPr>
        <w:t>ciertos</w:t>
      </w:r>
      <w:r>
        <w:rPr>
          <w:color w:val="231F1F"/>
          <w:spacing w:val="39"/>
        </w:rPr>
        <w:t> </w:t>
      </w:r>
      <w:r>
        <w:rPr>
          <w:color w:val="231F1F"/>
        </w:rPr>
        <w:t>inconvenientes,</w:t>
      </w:r>
      <w:r>
        <w:rPr>
          <w:color w:val="231F1F"/>
          <w:spacing w:val="40"/>
        </w:rPr>
        <w:t> </w:t>
      </w:r>
      <w:r>
        <w:rPr>
          <w:color w:val="231F1F"/>
        </w:rPr>
        <w:t>como</w:t>
      </w:r>
      <w:r>
        <w:rPr>
          <w:color w:val="231F1F"/>
          <w:spacing w:val="39"/>
        </w:rPr>
        <w:t> </w:t>
      </w:r>
      <w:r>
        <w:rPr>
          <w:color w:val="231F1F"/>
        </w:rPr>
        <w:t>son</w:t>
      </w:r>
      <w:r>
        <w:rPr>
          <w:color w:val="231F1F"/>
          <w:spacing w:val="39"/>
        </w:rPr>
        <w:t> </w:t>
      </w:r>
      <w:r>
        <w:rPr>
          <w:color w:val="231F1F"/>
        </w:rPr>
        <w:t>la</w:t>
      </w:r>
      <w:r>
        <w:rPr>
          <w:color w:val="231F1F"/>
          <w:spacing w:val="39"/>
        </w:rPr>
        <w:t> </w:t>
      </w:r>
      <w:r>
        <w:rPr>
          <w:color w:val="231F1F"/>
        </w:rPr>
        <w:t>complejidad </w:t>
      </w:r>
      <w:r>
        <w:rPr>
          <w:color w:val="231F1F"/>
          <w:w w:val="110"/>
        </w:rPr>
        <w:t>de</w:t>
      </w:r>
      <w:r>
        <w:rPr>
          <w:color w:val="231F1F"/>
          <w:spacing w:val="-16"/>
          <w:w w:val="110"/>
        </w:rPr>
        <w:t> </w:t>
      </w:r>
      <w:r>
        <w:rPr>
          <w:color w:val="231F1F"/>
          <w:w w:val="110"/>
        </w:rPr>
        <w:t>los</w:t>
      </w:r>
      <w:r>
        <w:rPr>
          <w:color w:val="231F1F"/>
          <w:spacing w:val="-15"/>
          <w:w w:val="110"/>
        </w:rPr>
        <w:t> </w:t>
      </w:r>
      <w:r>
        <w:rPr>
          <w:color w:val="231F1F"/>
          <w:w w:val="110"/>
        </w:rPr>
        <w:t>patrones</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frecuencia</w:t>
      </w:r>
      <w:r>
        <w:rPr>
          <w:color w:val="231F1F"/>
          <w:spacing w:val="-15"/>
          <w:w w:val="110"/>
        </w:rPr>
        <w:t> </w:t>
      </w:r>
      <w:r>
        <w:rPr>
          <w:color w:val="231F1F"/>
          <w:w w:val="110"/>
        </w:rPr>
        <w:t>cardíaca</w:t>
      </w:r>
      <w:r>
        <w:rPr>
          <w:color w:val="231F1F"/>
          <w:spacing w:val="-15"/>
          <w:w w:val="110"/>
        </w:rPr>
        <w:t> </w:t>
      </w:r>
      <w:r>
        <w:rPr>
          <w:color w:val="231F1F"/>
          <w:w w:val="110"/>
        </w:rPr>
        <w:t>fetal</w:t>
      </w:r>
      <w:r>
        <w:rPr>
          <w:color w:val="231F1F"/>
          <w:spacing w:val="-15"/>
          <w:w w:val="110"/>
        </w:rPr>
        <w:t> </w:t>
      </w:r>
      <w:r>
        <w:rPr>
          <w:color w:val="231F1F"/>
          <w:w w:val="110"/>
        </w:rPr>
        <w:t>que</w:t>
      </w:r>
      <w:r>
        <w:rPr>
          <w:color w:val="231F1F"/>
          <w:spacing w:val="-16"/>
          <w:w w:val="110"/>
        </w:rPr>
        <w:t> </w:t>
      </w:r>
      <w:r>
        <w:rPr>
          <w:color w:val="231F1F"/>
          <w:w w:val="110"/>
        </w:rPr>
        <w:t>dificulta</w:t>
      </w:r>
      <w:r>
        <w:rPr>
          <w:color w:val="231F1F"/>
          <w:spacing w:val="-15"/>
          <w:w w:val="110"/>
        </w:rPr>
        <w:t> </w:t>
      </w:r>
      <w:r>
        <w:rPr>
          <w:color w:val="231F1F"/>
          <w:w w:val="110"/>
        </w:rPr>
        <w:t>la</w:t>
      </w:r>
      <w:r>
        <w:rPr>
          <w:color w:val="231F1F"/>
          <w:spacing w:val="-15"/>
          <w:w w:val="110"/>
        </w:rPr>
        <w:t> </w:t>
      </w:r>
      <w:r>
        <w:rPr>
          <w:color w:val="231F1F"/>
          <w:w w:val="110"/>
        </w:rPr>
        <w:t>estandarización,</w:t>
      </w:r>
      <w:r>
        <w:rPr>
          <w:color w:val="231F1F"/>
          <w:spacing w:val="-15"/>
          <w:w w:val="110"/>
        </w:rPr>
        <w:t> </w:t>
      </w:r>
      <w:r>
        <w:rPr>
          <w:color w:val="231F1F"/>
          <w:w w:val="110"/>
        </w:rPr>
        <w:t>el</w:t>
      </w:r>
      <w:r>
        <w:rPr>
          <w:color w:val="231F1F"/>
          <w:spacing w:val="-15"/>
          <w:w w:val="110"/>
        </w:rPr>
        <w:t> </w:t>
      </w:r>
      <w:r>
        <w:rPr>
          <w:color w:val="231F1F"/>
          <w:w w:val="110"/>
        </w:rPr>
        <w:t>limitar</w:t>
      </w:r>
      <w:r>
        <w:rPr>
          <w:color w:val="231F1F"/>
          <w:spacing w:val="-15"/>
          <w:w w:val="110"/>
        </w:rPr>
        <w:t> </w:t>
      </w:r>
      <w:r>
        <w:rPr>
          <w:color w:val="231F1F"/>
          <w:w w:val="110"/>
        </w:rPr>
        <w:t>la movilidad</w:t>
      </w:r>
      <w:r>
        <w:rPr>
          <w:color w:val="231F1F"/>
          <w:spacing w:val="-8"/>
          <w:w w:val="110"/>
        </w:rPr>
        <w:t> </w:t>
      </w:r>
      <w:r>
        <w:rPr>
          <w:color w:val="231F1F"/>
          <w:w w:val="110"/>
        </w:rPr>
        <w:t>y</w:t>
      </w:r>
      <w:r>
        <w:rPr>
          <w:color w:val="231F1F"/>
          <w:spacing w:val="-8"/>
          <w:w w:val="110"/>
        </w:rPr>
        <w:t> </w:t>
      </w:r>
      <w:r>
        <w:rPr>
          <w:color w:val="231F1F"/>
          <w:w w:val="110"/>
        </w:rPr>
        <w:t>el</w:t>
      </w:r>
      <w:r>
        <w:rPr>
          <w:color w:val="231F1F"/>
          <w:spacing w:val="-8"/>
          <w:w w:val="110"/>
        </w:rPr>
        <w:t> </w:t>
      </w:r>
      <w:r>
        <w:rPr>
          <w:color w:val="231F1F"/>
          <w:w w:val="110"/>
        </w:rPr>
        <w:t>desviar</w:t>
      </w:r>
      <w:r>
        <w:rPr>
          <w:color w:val="231F1F"/>
          <w:spacing w:val="-8"/>
          <w:w w:val="110"/>
        </w:rPr>
        <w:t> </w:t>
      </w:r>
      <w:r>
        <w:rPr>
          <w:color w:val="231F1F"/>
          <w:w w:val="110"/>
        </w:rPr>
        <w:t>hacia</w:t>
      </w:r>
      <w:r>
        <w:rPr>
          <w:color w:val="231F1F"/>
          <w:spacing w:val="-8"/>
          <w:w w:val="110"/>
        </w:rPr>
        <w:t> </w:t>
      </w:r>
      <w:r>
        <w:rPr>
          <w:color w:val="231F1F"/>
          <w:w w:val="110"/>
        </w:rPr>
        <w:t>el</w:t>
      </w:r>
      <w:r>
        <w:rPr>
          <w:color w:val="231F1F"/>
          <w:spacing w:val="-8"/>
          <w:w w:val="110"/>
        </w:rPr>
        <w:t> </w:t>
      </w:r>
      <w:r>
        <w:rPr>
          <w:color w:val="231F1F"/>
          <w:w w:val="110"/>
        </w:rPr>
        <w:t>cardiotocógrafo</w:t>
      </w:r>
      <w:r>
        <w:rPr>
          <w:color w:val="231F1F"/>
          <w:spacing w:val="-7"/>
          <w:w w:val="110"/>
        </w:rPr>
        <w:t> </w:t>
      </w:r>
      <w:r>
        <w:rPr>
          <w:color w:val="231F1F"/>
          <w:w w:val="110"/>
        </w:rPr>
        <w:t>el</w:t>
      </w:r>
      <w:r>
        <w:rPr>
          <w:color w:val="231F1F"/>
          <w:spacing w:val="-8"/>
          <w:w w:val="110"/>
        </w:rPr>
        <w:t> </w:t>
      </w:r>
      <w:r>
        <w:rPr>
          <w:color w:val="231F1F"/>
          <w:w w:val="110"/>
        </w:rPr>
        <w:t>centro</w:t>
      </w:r>
      <w:r>
        <w:rPr>
          <w:color w:val="231F1F"/>
          <w:spacing w:val="-8"/>
          <w:w w:val="110"/>
        </w:rPr>
        <w:t> </w:t>
      </w:r>
      <w:r>
        <w:rPr>
          <w:color w:val="231F1F"/>
          <w:w w:val="110"/>
        </w:rPr>
        <w:t>de</w:t>
      </w:r>
      <w:r>
        <w:rPr>
          <w:color w:val="231F1F"/>
          <w:spacing w:val="-8"/>
          <w:w w:val="110"/>
        </w:rPr>
        <w:t> </w:t>
      </w:r>
      <w:r>
        <w:rPr>
          <w:color w:val="231F1F"/>
          <w:w w:val="110"/>
        </w:rPr>
        <w:t>atención</w:t>
      </w:r>
      <w:r>
        <w:rPr>
          <w:color w:val="231F1F"/>
          <w:spacing w:val="-8"/>
          <w:w w:val="110"/>
        </w:rPr>
        <w:t> </w:t>
      </w:r>
      <w:r>
        <w:rPr>
          <w:color w:val="231F1F"/>
          <w:w w:val="110"/>
        </w:rPr>
        <w:t>durante</w:t>
      </w:r>
      <w:r>
        <w:rPr>
          <w:color w:val="231F1F"/>
          <w:spacing w:val="-8"/>
          <w:w w:val="110"/>
        </w:rPr>
        <w:t> </w:t>
      </w:r>
      <w:r>
        <w:rPr>
          <w:color w:val="231F1F"/>
          <w:w w:val="110"/>
        </w:rPr>
        <w:t>el</w:t>
      </w:r>
      <w:r>
        <w:rPr>
          <w:color w:val="231F1F"/>
          <w:spacing w:val="-8"/>
          <w:w w:val="110"/>
        </w:rPr>
        <w:t> </w:t>
      </w:r>
      <w:r>
        <w:rPr>
          <w:color w:val="231F1F"/>
          <w:w w:val="110"/>
        </w:rPr>
        <w:t>parto</w:t>
      </w:r>
      <w:r>
        <w:rPr>
          <w:color w:val="231F1F"/>
          <w:spacing w:val="-8"/>
          <w:w w:val="110"/>
        </w:rPr>
        <w:t> </w:t>
      </w:r>
      <w:r>
        <w:rPr>
          <w:color w:val="231F1F"/>
          <w:w w:val="110"/>
        </w:rPr>
        <w:t>por parte de los profesionales, la mujer y su acompañante.</w:t>
      </w:r>
    </w:p>
    <w:p>
      <w:pPr>
        <w:pStyle w:val="BodyText"/>
        <w:spacing w:line="252" w:lineRule="auto" w:before="135"/>
        <w:ind w:left="283" w:right="124" w:firstLine="453"/>
        <w:jc w:val="both"/>
      </w:pPr>
      <w:r>
        <w:rPr>
          <w:color w:val="231F1F"/>
          <w:w w:val="110"/>
        </w:rPr>
        <w:t>Además,</w:t>
      </w:r>
      <w:r>
        <w:rPr>
          <w:color w:val="231F1F"/>
          <w:spacing w:val="-9"/>
          <w:w w:val="110"/>
        </w:rPr>
        <w:t> </w:t>
      </w:r>
      <w:r>
        <w:rPr>
          <w:color w:val="231F1F"/>
          <w:w w:val="110"/>
        </w:rPr>
        <w:t>aunque</w:t>
      </w:r>
      <w:r>
        <w:rPr>
          <w:color w:val="231F1F"/>
          <w:spacing w:val="-8"/>
          <w:w w:val="110"/>
        </w:rPr>
        <w:t> </w:t>
      </w:r>
      <w:r>
        <w:rPr>
          <w:color w:val="231F1F"/>
          <w:w w:val="110"/>
        </w:rPr>
        <w:t>se</w:t>
      </w:r>
      <w:r>
        <w:rPr>
          <w:color w:val="231F1F"/>
          <w:spacing w:val="-8"/>
          <w:w w:val="110"/>
        </w:rPr>
        <w:t> </w:t>
      </w:r>
      <w:r>
        <w:rPr>
          <w:color w:val="231F1F"/>
          <w:w w:val="110"/>
        </w:rPr>
        <w:t>propone</w:t>
      </w:r>
      <w:r>
        <w:rPr>
          <w:color w:val="231F1F"/>
          <w:spacing w:val="-9"/>
          <w:w w:val="110"/>
        </w:rPr>
        <w:t> </w:t>
      </w:r>
      <w:r>
        <w:rPr>
          <w:color w:val="231F1F"/>
          <w:w w:val="110"/>
        </w:rPr>
        <w:t>que</w:t>
      </w:r>
      <w:r>
        <w:rPr>
          <w:color w:val="231F1F"/>
          <w:spacing w:val="-8"/>
          <w:w w:val="110"/>
        </w:rPr>
        <w:t> </w:t>
      </w:r>
      <w:r>
        <w:rPr>
          <w:color w:val="231F1F"/>
          <w:w w:val="110"/>
        </w:rPr>
        <w:t>ciertas</w:t>
      </w:r>
      <w:r>
        <w:rPr>
          <w:color w:val="231F1F"/>
          <w:spacing w:val="-9"/>
          <w:w w:val="110"/>
        </w:rPr>
        <w:t> </w:t>
      </w:r>
      <w:r>
        <w:rPr>
          <w:color w:val="231F1F"/>
          <w:w w:val="110"/>
        </w:rPr>
        <w:t>anomalías</w:t>
      </w:r>
      <w:r>
        <w:rPr>
          <w:color w:val="231F1F"/>
          <w:spacing w:val="-9"/>
          <w:w w:val="110"/>
        </w:rPr>
        <w:t> </w:t>
      </w:r>
      <w:r>
        <w:rPr>
          <w:color w:val="231F1F"/>
          <w:w w:val="110"/>
        </w:rPr>
        <w:t>específicas</w:t>
      </w:r>
      <w:r>
        <w:rPr>
          <w:color w:val="231F1F"/>
          <w:spacing w:val="-8"/>
          <w:w w:val="110"/>
        </w:rPr>
        <w:t> </w:t>
      </w:r>
      <w:r>
        <w:rPr>
          <w:color w:val="231F1F"/>
          <w:w w:val="110"/>
        </w:rPr>
        <w:t>en</w:t>
      </w:r>
      <w:r>
        <w:rPr>
          <w:color w:val="231F1F"/>
          <w:spacing w:val="-8"/>
          <w:w w:val="110"/>
        </w:rPr>
        <w:t> </w:t>
      </w:r>
      <w:r>
        <w:rPr>
          <w:color w:val="231F1F"/>
          <w:w w:val="110"/>
        </w:rPr>
        <w:t>el</w:t>
      </w:r>
      <w:r>
        <w:rPr>
          <w:color w:val="231F1F"/>
          <w:spacing w:val="-9"/>
          <w:w w:val="110"/>
        </w:rPr>
        <w:t> </w:t>
      </w:r>
      <w:r>
        <w:rPr>
          <w:color w:val="231F1F"/>
          <w:w w:val="110"/>
        </w:rPr>
        <w:t>patrón</w:t>
      </w:r>
      <w:r>
        <w:rPr>
          <w:color w:val="231F1F"/>
          <w:spacing w:val="-9"/>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fre- cuencia</w:t>
      </w:r>
      <w:r>
        <w:rPr>
          <w:color w:val="231F1F"/>
          <w:spacing w:val="-7"/>
          <w:w w:val="110"/>
        </w:rPr>
        <w:t> </w:t>
      </w:r>
      <w:r>
        <w:rPr>
          <w:color w:val="231F1F"/>
          <w:w w:val="110"/>
        </w:rPr>
        <w:t>cardíaca</w:t>
      </w:r>
      <w:r>
        <w:rPr>
          <w:color w:val="231F1F"/>
          <w:spacing w:val="-7"/>
          <w:w w:val="110"/>
        </w:rPr>
        <w:t> </w:t>
      </w:r>
      <w:r>
        <w:rPr>
          <w:color w:val="231F1F"/>
          <w:w w:val="110"/>
        </w:rPr>
        <w:t>fetal</w:t>
      </w:r>
      <w:r>
        <w:rPr>
          <w:color w:val="231F1F"/>
          <w:spacing w:val="-7"/>
          <w:w w:val="110"/>
        </w:rPr>
        <w:t> </w:t>
      </w: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CTG</w:t>
      </w:r>
      <w:r>
        <w:rPr>
          <w:color w:val="231F1F"/>
          <w:spacing w:val="-6"/>
          <w:w w:val="110"/>
        </w:rPr>
        <w:t> </w:t>
      </w:r>
      <w:r>
        <w:rPr>
          <w:color w:val="231F1F"/>
          <w:w w:val="110"/>
        </w:rPr>
        <w:t>están</w:t>
      </w:r>
      <w:r>
        <w:rPr>
          <w:color w:val="231F1F"/>
          <w:spacing w:val="-7"/>
          <w:w w:val="110"/>
        </w:rPr>
        <w:t> </w:t>
      </w:r>
      <w:r>
        <w:rPr>
          <w:color w:val="231F1F"/>
          <w:w w:val="110"/>
        </w:rPr>
        <w:t>asociadas</w:t>
      </w:r>
      <w:r>
        <w:rPr>
          <w:color w:val="231F1F"/>
          <w:spacing w:val="-7"/>
          <w:w w:val="110"/>
        </w:rPr>
        <w:t> </w:t>
      </w:r>
      <w:r>
        <w:rPr>
          <w:color w:val="231F1F"/>
          <w:w w:val="110"/>
        </w:rPr>
        <w:t>a</w:t>
      </w:r>
      <w:r>
        <w:rPr>
          <w:color w:val="231F1F"/>
          <w:spacing w:val="-7"/>
          <w:w w:val="110"/>
        </w:rPr>
        <w:t> </w:t>
      </w:r>
      <w:r>
        <w:rPr>
          <w:color w:val="231F1F"/>
          <w:w w:val="110"/>
        </w:rPr>
        <w:t>un</w:t>
      </w:r>
      <w:r>
        <w:rPr>
          <w:color w:val="231F1F"/>
          <w:spacing w:val="-7"/>
          <w:w w:val="110"/>
        </w:rPr>
        <w:t> </w:t>
      </w:r>
      <w:r>
        <w:rPr>
          <w:color w:val="231F1F"/>
          <w:w w:val="110"/>
        </w:rPr>
        <w:t>mayor</w:t>
      </w:r>
      <w:r>
        <w:rPr>
          <w:color w:val="231F1F"/>
          <w:spacing w:val="-7"/>
          <w:w w:val="110"/>
        </w:rPr>
        <w:t> </w:t>
      </w:r>
      <w:r>
        <w:rPr>
          <w:color w:val="231F1F"/>
          <w:w w:val="110"/>
        </w:rPr>
        <w:t>riesgo</w:t>
      </w:r>
      <w:r>
        <w:rPr>
          <w:color w:val="231F1F"/>
          <w:spacing w:val="-7"/>
          <w:w w:val="110"/>
        </w:rPr>
        <w:t> </w:t>
      </w:r>
      <w:r>
        <w:rPr>
          <w:color w:val="231F1F"/>
          <w:w w:val="110"/>
        </w:rPr>
        <w:t>de</w:t>
      </w:r>
      <w:r>
        <w:rPr>
          <w:color w:val="231F1F"/>
          <w:spacing w:val="-7"/>
          <w:w w:val="110"/>
        </w:rPr>
        <w:t> </w:t>
      </w:r>
      <w:r>
        <w:rPr>
          <w:color w:val="231F1F"/>
          <w:w w:val="110"/>
        </w:rPr>
        <w:t>parálisis</w:t>
      </w:r>
      <w:r>
        <w:rPr>
          <w:color w:val="231F1F"/>
          <w:spacing w:val="-7"/>
          <w:w w:val="110"/>
        </w:rPr>
        <w:t> </w:t>
      </w:r>
      <w:r>
        <w:rPr>
          <w:color w:val="231F1F"/>
          <w:w w:val="110"/>
        </w:rPr>
        <w:t>cerebral, </w:t>
      </w:r>
      <w:r>
        <w:rPr>
          <w:color w:val="231F1F"/>
          <w:spacing w:val="-2"/>
          <w:w w:val="110"/>
        </w:rPr>
        <w:t>la</w:t>
      </w:r>
      <w:r>
        <w:rPr>
          <w:color w:val="231F1F"/>
          <w:spacing w:val="-11"/>
          <w:w w:val="110"/>
        </w:rPr>
        <w:t> </w:t>
      </w:r>
      <w:r>
        <w:rPr>
          <w:color w:val="231F1F"/>
          <w:spacing w:val="-2"/>
          <w:w w:val="110"/>
        </w:rPr>
        <w:t>especificidad</w:t>
      </w:r>
      <w:r>
        <w:rPr>
          <w:color w:val="231F1F"/>
          <w:spacing w:val="-11"/>
          <w:w w:val="110"/>
        </w:rPr>
        <w:t> </w:t>
      </w:r>
      <w:r>
        <w:rPr>
          <w:color w:val="231F1F"/>
          <w:spacing w:val="-2"/>
          <w:w w:val="110"/>
        </w:rPr>
        <w:t>de</w:t>
      </w:r>
      <w:r>
        <w:rPr>
          <w:color w:val="231F1F"/>
          <w:spacing w:val="-11"/>
          <w:w w:val="110"/>
        </w:rPr>
        <w:t> </w:t>
      </w:r>
      <w:r>
        <w:rPr>
          <w:color w:val="231F1F"/>
          <w:spacing w:val="-2"/>
          <w:w w:val="110"/>
        </w:rPr>
        <w:t>la</w:t>
      </w:r>
      <w:r>
        <w:rPr>
          <w:color w:val="231F1F"/>
          <w:spacing w:val="-11"/>
          <w:w w:val="110"/>
        </w:rPr>
        <w:t> </w:t>
      </w:r>
      <w:r>
        <w:rPr>
          <w:color w:val="231F1F"/>
          <w:spacing w:val="-2"/>
          <w:w w:val="110"/>
        </w:rPr>
        <w:t>CTG</w:t>
      </w:r>
      <w:r>
        <w:rPr>
          <w:color w:val="231F1F"/>
          <w:spacing w:val="-11"/>
          <w:w w:val="110"/>
        </w:rPr>
        <w:t> </w:t>
      </w:r>
      <w:r>
        <w:rPr>
          <w:color w:val="231F1F"/>
          <w:spacing w:val="-2"/>
          <w:w w:val="110"/>
        </w:rPr>
        <w:t>para</w:t>
      </w:r>
      <w:r>
        <w:rPr>
          <w:color w:val="231F1F"/>
          <w:spacing w:val="-11"/>
          <w:w w:val="110"/>
        </w:rPr>
        <w:t> </w:t>
      </w:r>
      <w:r>
        <w:rPr>
          <w:color w:val="231F1F"/>
          <w:spacing w:val="-2"/>
          <w:w w:val="110"/>
        </w:rPr>
        <w:t>predecir</w:t>
      </w:r>
      <w:r>
        <w:rPr>
          <w:color w:val="231F1F"/>
          <w:spacing w:val="-11"/>
          <w:w w:val="110"/>
        </w:rPr>
        <w:t> </w:t>
      </w:r>
      <w:r>
        <w:rPr>
          <w:color w:val="231F1F"/>
          <w:spacing w:val="-2"/>
          <w:w w:val="110"/>
        </w:rPr>
        <w:t>la</w:t>
      </w:r>
      <w:r>
        <w:rPr>
          <w:color w:val="231F1F"/>
          <w:spacing w:val="-11"/>
          <w:w w:val="110"/>
        </w:rPr>
        <w:t> </w:t>
      </w:r>
      <w:r>
        <w:rPr>
          <w:color w:val="231F1F"/>
          <w:spacing w:val="-2"/>
          <w:w w:val="110"/>
        </w:rPr>
        <w:t>parálisis</w:t>
      </w:r>
      <w:r>
        <w:rPr>
          <w:color w:val="231F1F"/>
          <w:spacing w:val="-11"/>
          <w:w w:val="110"/>
        </w:rPr>
        <w:t> </w:t>
      </w:r>
      <w:r>
        <w:rPr>
          <w:color w:val="231F1F"/>
          <w:spacing w:val="-2"/>
          <w:w w:val="110"/>
        </w:rPr>
        <w:t>cerebral</w:t>
      </w:r>
      <w:r>
        <w:rPr>
          <w:color w:val="231F1F"/>
          <w:spacing w:val="-11"/>
          <w:w w:val="110"/>
        </w:rPr>
        <w:t> </w:t>
      </w:r>
      <w:r>
        <w:rPr>
          <w:color w:val="231F1F"/>
          <w:spacing w:val="-2"/>
          <w:w w:val="110"/>
        </w:rPr>
        <w:t>es</w:t>
      </w:r>
      <w:r>
        <w:rPr>
          <w:color w:val="231F1F"/>
          <w:spacing w:val="-11"/>
          <w:w w:val="110"/>
        </w:rPr>
        <w:t> </w:t>
      </w:r>
      <w:r>
        <w:rPr>
          <w:color w:val="231F1F"/>
          <w:spacing w:val="-2"/>
          <w:w w:val="110"/>
        </w:rPr>
        <w:t>baja,</w:t>
      </w:r>
      <w:r>
        <w:rPr>
          <w:color w:val="231F1F"/>
          <w:spacing w:val="-11"/>
          <w:w w:val="110"/>
        </w:rPr>
        <w:t> </w:t>
      </w:r>
      <w:r>
        <w:rPr>
          <w:color w:val="231F1F"/>
          <w:spacing w:val="-2"/>
          <w:w w:val="110"/>
        </w:rPr>
        <w:t>con</w:t>
      </w:r>
      <w:r>
        <w:rPr>
          <w:color w:val="231F1F"/>
          <w:spacing w:val="-11"/>
          <w:w w:val="110"/>
        </w:rPr>
        <w:t> </w:t>
      </w:r>
      <w:r>
        <w:rPr>
          <w:color w:val="231F1F"/>
          <w:spacing w:val="-2"/>
          <w:w w:val="110"/>
        </w:rPr>
        <w:t>una</w:t>
      </w:r>
      <w:r>
        <w:rPr>
          <w:color w:val="231F1F"/>
          <w:spacing w:val="-11"/>
          <w:w w:val="110"/>
        </w:rPr>
        <w:t> </w:t>
      </w:r>
      <w:r>
        <w:rPr>
          <w:color w:val="231F1F"/>
          <w:spacing w:val="-2"/>
          <w:w w:val="110"/>
        </w:rPr>
        <w:t>tasa</w:t>
      </w:r>
      <w:r>
        <w:rPr>
          <w:color w:val="231F1F"/>
          <w:spacing w:val="-11"/>
          <w:w w:val="110"/>
        </w:rPr>
        <w:t> </w:t>
      </w:r>
      <w:r>
        <w:rPr>
          <w:color w:val="231F1F"/>
          <w:spacing w:val="-2"/>
          <w:w w:val="110"/>
        </w:rPr>
        <w:t>de</w:t>
      </w:r>
      <w:r>
        <w:rPr>
          <w:color w:val="231F1F"/>
          <w:spacing w:val="-11"/>
          <w:w w:val="110"/>
        </w:rPr>
        <w:t> </w:t>
      </w:r>
      <w:r>
        <w:rPr>
          <w:color w:val="231F1F"/>
          <w:spacing w:val="-2"/>
          <w:w w:val="110"/>
        </w:rPr>
        <w:t>falsos </w:t>
      </w:r>
      <w:r>
        <w:rPr>
          <w:color w:val="231F1F"/>
          <w:w w:val="110"/>
        </w:rPr>
        <w:t>positivos</w:t>
      </w:r>
      <w:r>
        <w:rPr>
          <w:color w:val="231F1F"/>
          <w:spacing w:val="-6"/>
          <w:w w:val="110"/>
        </w:rPr>
        <w:t> </w:t>
      </w:r>
      <w:r>
        <w:rPr>
          <w:color w:val="231F1F"/>
          <w:w w:val="110"/>
        </w:rPr>
        <w:t>de</w:t>
      </w:r>
      <w:r>
        <w:rPr>
          <w:color w:val="231F1F"/>
          <w:spacing w:val="-6"/>
          <w:w w:val="110"/>
        </w:rPr>
        <w:t> </w:t>
      </w:r>
      <w:r>
        <w:rPr>
          <w:color w:val="231F1F"/>
          <w:w w:val="110"/>
        </w:rPr>
        <w:t>hasta</w:t>
      </w:r>
      <w:r>
        <w:rPr>
          <w:color w:val="231F1F"/>
          <w:spacing w:val="-6"/>
          <w:w w:val="110"/>
        </w:rPr>
        <w:t> </w:t>
      </w:r>
      <w:r>
        <w:rPr>
          <w:color w:val="231F1F"/>
          <w:w w:val="110"/>
        </w:rPr>
        <w:t>el</w:t>
      </w:r>
      <w:r>
        <w:rPr>
          <w:color w:val="231F1F"/>
          <w:spacing w:val="-6"/>
          <w:w w:val="110"/>
        </w:rPr>
        <w:t> </w:t>
      </w:r>
      <w:r>
        <w:rPr>
          <w:color w:val="231F1F"/>
          <w:w w:val="110"/>
        </w:rPr>
        <w:t>99,8%,</w:t>
      </w:r>
      <w:r>
        <w:rPr>
          <w:color w:val="231F1F"/>
          <w:spacing w:val="-6"/>
          <w:w w:val="110"/>
        </w:rPr>
        <w:t> </w:t>
      </w:r>
      <w:r>
        <w:rPr>
          <w:color w:val="231F1F"/>
          <w:w w:val="110"/>
        </w:rPr>
        <w:t>incluso</w:t>
      </w:r>
      <w:r>
        <w:rPr>
          <w:color w:val="231F1F"/>
          <w:spacing w:val="-6"/>
          <w:w w:val="110"/>
        </w:rPr>
        <w:t> </w:t>
      </w:r>
      <w:r>
        <w:rPr>
          <w:color w:val="231F1F"/>
          <w:w w:val="110"/>
        </w:rPr>
        <w:t>en</w:t>
      </w:r>
      <w:r>
        <w:rPr>
          <w:color w:val="231F1F"/>
          <w:spacing w:val="-6"/>
          <w:w w:val="110"/>
        </w:rPr>
        <w:t> </w:t>
      </w:r>
      <w:r>
        <w:rPr>
          <w:color w:val="231F1F"/>
          <w:w w:val="110"/>
        </w:rPr>
        <w:t>presencia</w:t>
      </w:r>
      <w:r>
        <w:rPr>
          <w:color w:val="231F1F"/>
          <w:spacing w:val="-6"/>
          <w:w w:val="110"/>
        </w:rPr>
        <w:t> </w:t>
      </w:r>
      <w:r>
        <w:rPr>
          <w:color w:val="231F1F"/>
          <w:w w:val="110"/>
        </w:rPr>
        <w:t>de</w:t>
      </w:r>
      <w:r>
        <w:rPr>
          <w:color w:val="231F1F"/>
          <w:spacing w:val="-6"/>
          <w:w w:val="110"/>
        </w:rPr>
        <w:t> </w:t>
      </w:r>
      <w:r>
        <w:rPr>
          <w:color w:val="231F1F"/>
          <w:w w:val="110"/>
        </w:rPr>
        <w:t>múltiples</w:t>
      </w:r>
      <w:r>
        <w:rPr>
          <w:color w:val="231F1F"/>
          <w:spacing w:val="-6"/>
          <w:w w:val="110"/>
        </w:rPr>
        <w:t> </w:t>
      </w:r>
      <w:r>
        <w:rPr>
          <w:color w:val="231F1F"/>
          <w:w w:val="110"/>
        </w:rPr>
        <w:t>desaceleraciones</w:t>
      </w:r>
      <w:r>
        <w:rPr>
          <w:color w:val="231F1F"/>
          <w:spacing w:val="-6"/>
          <w:w w:val="110"/>
        </w:rPr>
        <w:t> </w:t>
      </w:r>
      <w:r>
        <w:rPr>
          <w:color w:val="231F1F"/>
          <w:w w:val="110"/>
        </w:rPr>
        <w:t>tardías</w:t>
      </w:r>
      <w:r>
        <w:rPr>
          <w:color w:val="231F1F"/>
          <w:spacing w:val="-6"/>
          <w:w w:val="110"/>
        </w:rPr>
        <w:t> </w:t>
      </w:r>
      <w:r>
        <w:rPr>
          <w:color w:val="231F1F"/>
          <w:w w:val="110"/>
        </w:rPr>
        <w:t>o de reducción en la variabilidad (360).</w:t>
      </w:r>
    </w:p>
    <w:p>
      <w:pPr>
        <w:pStyle w:val="BodyText"/>
        <w:spacing w:before="135"/>
        <w:ind w:left="283" w:right="124" w:firstLine="453"/>
        <w:jc w:val="both"/>
      </w:pPr>
      <w:r>
        <w:rPr>
          <w:color w:val="231F1F"/>
          <w:w w:val="110"/>
        </w:rPr>
        <w:t>Estos</w:t>
      </w:r>
      <w:r>
        <w:rPr>
          <w:color w:val="231F1F"/>
          <w:spacing w:val="-6"/>
          <w:w w:val="110"/>
        </w:rPr>
        <w:t> </w:t>
      </w:r>
      <w:r>
        <w:rPr>
          <w:color w:val="231F1F"/>
          <w:w w:val="110"/>
        </w:rPr>
        <w:t>hechos</w:t>
      </w:r>
      <w:r>
        <w:rPr>
          <w:color w:val="231F1F"/>
          <w:spacing w:val="-6"/>
          <w:w w:val="110"/>
        </w:rPr>
        <w:t> </w:t>
      </w:r>
      <w:r>
        <w:rPr>
          <w:color w:val="231F1F"/>
          <w:w w:val="110"/>
        </w:rPr>
        <w:t>han</w:t>
      </w:r>
      <w:r>
        <w:rPr>
          <w:color w:val="231F1F"/>
          <w:spacing w:val="-6"/>
          <w:w w:val="110"/>
        </w:rPr>
        <w:t> </w:t>
      </w:r>
      <w:r>
        <w:rPr>
          <w:color w:val="231F1F"/>
          <w:w w:val="110"/>
        </w:rPr>
        <w:t>planteado</w:t>
      </w:r>
      <w:r>
        <w:rPr>
          <w:color w:val="231F1F"/>
          <w:spacing w:val="-6"/>
          <w:w w:val="110"/>
        </w:rPr>
        <w:t> </w:t>
      </w:r>
      <w:r>
        <w:rPr>
          <w:color w:val="231F1F"/>
          <w:w w:val="110"/>
        </w:rPr>
        <w:t>preocupaciones</w:t>
      </w:r>
      <w:r>
        <w:rPr>
          <w:color w:val="231F1F"/>
          <w:spacing w:val="-7"/>
          <w:w w:val="110"/>
        </w:rPr>
        <w:t> </w:t>
      </w:r>
      <w:r>
        <w:rPr>
          <w:color w:val="231F1F"/>
          <w:w w:val="110"/>
        </w:rPr>
        <w:t>sobre</w:t>
      </w:r>
      <w:r>
        <w:rPr>
          <w:color w:val="231F1F"/>
          <w:spacing w:val="-6"/>
          <w:w w:val="110"/>
        </w:rPr>
        <w:t> </w:t>
      </w:r>
      <w:r>
        <w:rPr>
          <w:color w:val="231F1F"/>
          <w:w w:val="110"/>
        </w:rPr>
        <w:t>la</w:t>
      </w:r>
      <w:r>
        <w:rPr>
          <w:color w:val="231F1F"/>
          <w:spacing w:val="-6"/>
          <w:w w:val="110"/>
        </w:rPr>
        <w:t> </w:t>
      </w:r>
      <w:r>
        <w:rPr>
          <w:color w:val="231F1F"/>
          <w:w w:val="110"/>
        </w:rPr>
        <w:t>eficacia</w:t>
      </w:r>
      <w:r>
        <w:rPr>
          <w:color w:val="231F1F"/>
          <w:spacing w:val="-6"/>
          <w:w w:val="110"/>
        </w:rPr>
        <w:t> </w:t>
      </w:r>
      <w:r>
        <w:rPr>
          <w:color w:val="231F1F"/>
          <w:w w:val="110"/>
        </w:rPr>
        <w:t>y</w:t>
      </w:r>
      <w:r>
        <w:rPr>
          <w:color w:val="231F1F"/>
          <w:spacing w:val="-6"/>
          <w:w w:val="110"/>
        </w:rPr>
        <w:t> </w:t>
      </w:r>
      <w:r>
        <w:rPr>
          <w:color w:val="231F1F"/>
          <w:w w:val="110"/>
        </w:rPr>
        <w:t>el</w:t>
      </w:r>
      <w:r>
        <w:rPr>
          <w:color w:val="231F1F"/>
          <w:spacing w:val="-6"/>
          <w:w w:val="110"/>
        </w:rPr>
        <w:t> </w:t>
      </w:r>
      <w:r>
        <w:rPr>
          <w:color w:val="231F1F"/>
          <w:w w:val="110"/>
        </w:rPr>
        <w:t>uso</w:t>
      </w:r>
      <w:r>
        <w:rPr>
          <w:color w:val="231F1F"/>
          <w:spacing w:val="-6"/>
          <w:w w:val="110"/>
        </w:rPr>
        <w:t> </w:t>
      </w:r>
      <w:r>
        <w:rPr>
          <w:color w:val="231F1F"/>
          <w:w w:val="110"/>
        </w:rPr>
        <w:t>rutinario</w:t>
      </w:r>
      <w:r>
        <w:rPr>
          <w:color w:val="231F1F"/>
          <w:spacing w:val="-5"/>
          <w:w w:val="110"/>
        </w:rPr>
        <w:t> </w:t>
      </w:r>
      <w:r>
        <w:rPr>
          <w:color w:val="231F1F"/>
          <w:w w:val="110"/>
        </w:rPr>
        <w:t>de</w:t>
      </w:r>
      <w:r>
        <w:rPr>
          <w:color w:val="231F1F"/>
          <w:spacing w:val="-6"/>
          <w:w w:val="110"/>
        </w:rPr>
        <w:t> </w:t>
      </w:r>
      <w:r>
        <w:rPr>
          <w:color w:val="231F1F"/>
          <w:w w:val="110"/>
        </w:rPr>
        <w:t>la CTG</w:t>
      </w:r>
      <w:r>
        <w:rPr>
          <w:color w:val="231F1F"/>
          <w:spacing w:val="-14"/>
          <w:w w:val="110"/>
        </w:rPr>
        <w:t> </w:t>
      </w:r>
      <w:r>
        <w:rPr>
          <w:color w:val="231F1F"/>
          <w:w w:val="110"/>
        </w:rPr>
        <w:t>continua</w:t>
      </w:r>
      <w:r>
        <w:rPr>
          <w:color w:val="231F1F"/>
          <w:spacing w:val="-13"/>
          <w:w w:val="110"/>
        </w:rPr>
        <w:t> </w:t>
      </w:r>
      <w:r>
        <w:rPr>
          <w:color w:val="231F1F"/>
          <w:w w:val="110"/>
        </w:rPr>
        <w:t>en</w:t>
      </w:r>
      <w:r>
        <w:rPr>
          <w:color w:val="231F1F"/>
          <w:spacing w:val="-13"/>
          <w:w w:val="110"/>
        </w:rPr>
        <w:t> </w:t>
      </w:r>
      <w:r>
        <w:rPr>
          <w:color w:val="231F1F"/>
          <w:w w:val="110"/>
        </w:rPr>
        <w:t>el</w:t>
      </w:r>
      <w:r>
        <w:rPr>
          <w:color w:val="231F1F"/>
          <w:spacing w:val="-14"/>
          <w:w w:val="110"/>
        </w:rPr>
        <w:t> </w:t>
      </w:r>
      <w:r>
        <w:rPr>
          <w:color w:val="231F1F"/>
          <w:w w:val="110"/>
        </w:rPr>
        <w:t>trabajo</w:t>
      </w:r>
      <w:r>
        <w:rPr>
          <w:color w:val="231F1F"/>
          <w:spacing w:val="-13"/>
          <w:w w:val="110"/>
        </w:rPr>
        <w:t> </w:t>
      </w:r>
      <w:r>
        <w:rPr>
          <w:color w:val="231F1F"/>
          <w:w w:val="110"/>
        </w:rPr>
        <w:t>de</w:t>
      </w:r>
      <w:r>
        <w:rPr>
          <w:color w:val="231F1F"/>
          <w:spacing w:val="-13"/>
          <w:w w:val="110"/>
        </w:rPr>
        <w:t> </w:t>
      </w:r>
      <w:r>
        <w:rPr>
          <w:color w:val="231F1F"/>
          <w:w w:val="110"/>
        </w:rPr>
        <w:t>parto</w:t>
      </w:r>
      <w:r>
        <w:rPr>
          <w:color w:val="231F1F"/>
          <w:spacing w:val="-13"/>
          <w:w w:val="110"/>
        </w:rPr>
        <w:t> </w:t>
      </w:r>
      <w:r>
        <w:rPr>
          <w:color w:val="231F1F"/>
          <w:w w:val="110"/>
        </w:rPr>
        <w:t>(361).</w:t>
      </w:r>
      <w:r>
        <w:rPr>
          <w:color w:val="231F1F"/>
          <w:spacing w:val="-14"/>
          <w:w w:val="110"/>
        </w:rPr>
        <w:t> </w:t>
      </w:r>
      <w:r>
        <w:rPr>
          <w:color w:val="231F1F"/>
          <w:w w:val="110"/>
        </w:rPr>
        <w:t>La</w:t>
      </w:r>
      <w:r>
        <w:rPr>
          <w:color w:val="231F1F"/>
          <w:spacing w:val="-13"/>
          <w:w w:val="110"/>
        </w:rPr>
        <w:t> </w:t>
      </w:r>
      <w:r>
        <w:rPr>
          <w:color w:val="231F1F"/>
          <w:w w:val="110"/>
        </w:rPr>
        <w:t>evidente</w:t>
      </w:r>
      <w:r>
        <w:rPr>
          <w:color w:val="231F1F"/>
          <w:spacing w:val="-13"/>
          <w:w w:val="110"/>
        </w:rPr>
        <w:t> </w:t>
      </w:r>
      <w:r>
        <w:rPr>
          <w:color w:val="231F1F"/>
          <w:w w:val="110"/>
        </w:rPr>
        <w:t>contradicción</w:t>
      </w:r>
      <w:r>
        <w:rPr>
          <w:color w:val="231F1F"/>
          <w:spacing w:val="-14"/>
          <w:w w:val="110"/>
        </w:rPr>
        <w:t> </w:t>
      </w:r>
      <w:r>
        <w:rPr>
          <w:color w:val="231F1F"/>
          <w:w w:val="110"/>
        </w:rPr>
        <w:t>entre</w:t>
      </w:r>
      <w:r>
        <w:rPr>
          <w:color w:val="231F1F"/>
          <w:spacing w:val="-13"/>
          <w:w w:val="110"/>
        </w:rPr>
        <w:t> </w:t>
      </w:r>
      <w:r>
        <w:rPr>
          <w:color w:val="231F1F"/>
          <w:w w:val="110"/>
        </w:rPr>
        <w:t>el</w:t>
      </w:r>
      <w:r>
        <w:rPr>
          <w:color w:val="231F1F"/>
          <w:spacing w:val="-13"/>
          <w:w w:val="110"/>
        </w:rPr>
        <w:t> </w:t>
      </w:r>
      <w:r>
        <w:rPr>
          <w:color w:val="231F1F"/>
          <w:w w:val="110"/>
        </w:rPr>
        <w:t>uso</w:t>
      </w:r>
      <w:r>
        <w:rPr>
          <w:color w:val="231F1F"/>
          <w:spacing w:val="-13"/>
          <w:w w:val="110"/>
        </w:rPr>
        <w:t> </w:t>
      </w:r>
      <w:r>
        <w:rPr>
          <w:color w:val="231F1F"/>
          <w:w w:val="110"/>
        </w:rPr>
        <w:t>genera-</w:t>
      </w:r>
    </w:p>
    <w:p>
      <w:pPr>
        <w:pStyle w:val="BodyText"/>
        <w:spacing w:after="0"/>
        <w:jc w:val="both"/>
        <w:sectPr>
          <w:pgSz w:w="11900" w:h="16840"/>
          <w:pgMar w:header="0" w:footer="622" w:top="1500" w:bottom="820" w:left="1417" w:right="1559"/>
        </w:sectPr>
      </w:pPr>
    </w:p>
    <w:p>
      <w:pPr>
        <w:pStyle w:val="BodyText"/>
        <w:spacing w:line="254" w:lineRule="auto" w:before="72"/>
        <w:ind w:left="283" w:right="236"/>
        <w:jc w:val="both"/>
      </w:pPr>
      <w:r>
        <w:rPr>
          <w:color w:val="231F1F"/>
        </w:rPr>
        <w:t>lizado de la CTG continua y las recomendaciones para limitar su uso habitual (362) indican</w:t>
      </w:r>
      <w:r>
        <w:rPr>
          <w:color w:val="231F1F"/>
          <w:spacing w:val="40"/>
        </w:rPr>
        <w:t> </w:t>
      </w:r>
      <w:r>
        <w:rPr>
          <w:color w:val="231F1F"/>
        </w:rPr>
        <w:t>que</w:t>
      </w:r>
      <w:r>
        <w:rPr>
          <w:color w:val="231F1F"/>
          <w:spacing w:val="40"/>
        </w:rPr>
        <w:t> </w:t>
      </w:r>
      <w:r>
        <w:rPr>
          <w:color w:val="231F1F"/>
        </w:rPr>
        <w:t>es</w:t>
      </w:r>
      <w:r>
        <w:rPr>
          <w:color w:val="231F1F"/>
          <w:spacing w:val="40"/>
        </w:rPr>
        <w:t> </w:t>
      </w:r>
      <w:r>
        <w:rPr>
          <w:color w:val="231F1F"/>
        </w:rPr>
        <w:t>necesario</w:t>
      </w:r>
      <w:r>
        <w:rPr>
          <w:color w:val="231F1F"/>
          <w:spacing w:val="40"/>
        </w:rPr>
        <w:t> </w:t>
      </w:r>
      <w:r>
        <w:rPr>
          <w:color w:val="231F1F"/>
        </w:rPr>
        <w:t>realizar</w:t>
      </w:r>
      <w:r>
        <w:rPr>
          <w:color w:val="231F1F"/>
          <w:spacing w:val="40"/>
        </w:rPr>
        <w:t> </w:t>
      </w:r>
      <w:r>
        <w:rPr>
          <w:color w:val="231F1F"/>
        </w:rPr>
        <w:t>una</w:t>
      </w:r>
      <w:r>
        <w:rPr>
          <w:color w:val="231F1F"/>
          <w:spacing w:val="40"/>
        </w:rPr>
        <w:t> </w:t>
      </w:r>
      <w:r>
        <w:rPr>
          <w:color w:val="231F1F"/>
        </w:rPr>
        <w:t>nueva</w:t>
      </w:r>
      <w:r>
        <w:rPr>
          <w:color w:val="231F1F"/>
          <w:spacing w:val="40"/>
        </w:rPr>
        <w:t> </w:t>
      </w:r>
      <w:r>
        <w:rPr>
          <w:color w:val="231F1F"/>
        </w:rPr>
        <w:t>evaluación</w:t>
      </w:r>
      <w:r>
        <w:rPr>
          <w:color w:val="231F1F"/>
          <w:spacing w:val="40"/>
        </w:rPr>
        <w:t> </w:t>
      </w:r>
      <w:r>
        <w:rPr>
          <w:color w:val="231F1F"/>
        </w:rPr>
        <w:t>de</w:t>
      </w:r>
      <w:r>
        <w:rPr>
          <w:color w:val="231F1F"/>
          <w:spacing w:val="40"/>
        </w:rPr>
        <w:t> </w:t>
      </w:r>
      <w:r>
        <w:rPr>
          <w:color w:val="231F1F"/>
        </w:rPr>
        <w:t>esta</w:t>
      </w:r>
      <w:r>
        <w:rPr>
          <w:color w:val="231F1F"/>
          <w:spacing w:val="40"/>
        </w:rPr>
        <w:t> </w:t>
      </w:r>
      <w:r>
        <w:rPr>
          <w:color w:val="231F1F"/>
        </w:rPr>
        <w:t>técnica.</w:t>
      </w:r>
    </w:p>
    <w:p>
      <w:pPr>
        <w:pStyle w:val="BodyText"/>
        <w:spacing w:before="160"/>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2" w:lineRule="auto" w:before="205"/>
        <w:ind w:left="283" w:right="1366"/>
        <w:jc w:val="both"/>
      </w:pPr>
      <w:r>
        <w:rPr>
          <w:color w:val="231F1F"/>
          <w:spacing w:val="-4"/>
          <w:w w:val="110"/>
        </w:rPr>
        <w:t>Para</w:t>
      </w:r>
      <w:r>
        <w:rPr>
          <w:color w:val="231F1F"/>
          <w:spacing w:val="-5"/>
          <w:w w:val="110"/>
        </w:rPr>
        <w:t> </w:t>
      </w:r>
      <w:r>
        <w:rPr>
          <w:color w:val="231F1F"/>
          <w:spacing w:val="-4"/>
          <w:w w:val="110"/>
        </w:rPr>
        <w:t>responder</w:t>
      </w:r>
      <w:r>
        <w:rPr>
          <w:color w:val="231F1F"/>
          <w:spacing w:val="-5"/>
          <w:w w:val="110"/>
        </w:rPr>
        <w:t> </w:t>
      </w:r>
      <w:r>
        <w:rPr>
          <w:color w:val="231F1F"/>
          <w:spacing w:val="-4"/>
          <w:w w:val="110"/>
        </w:rPr>
        <w:t>a</w:t>
      </w:r>
      <w:r>
        <w:rPr>
          <w:color w:val="231F1F"/>
          <w:spacing w:val="-5"/>
          <w:w w:val="110"/>
        </w:rPr>
        <w:t> </w:t>
      </w:r>
      <w:r>
        <w:rPr>
          <w:color w:val="231F1F"/>
          <w:spacing w:val="-4"/>
          <w:w w:val="110"/>
        </w:rPr>
        <w:t>la</w:t>
      </w:r>
      <w:r>
        <w:rPr>
          <w:color w:val="231F1F"/>
          <w:spacing w:val="-5"/>
          <w:w w:val="110"/>
        </w:rPr>
        <w:t> </w:t>
      </w:r>
      <w:r>
        <w:rPr>
          <w:color w:val="231F1F"/>
          <w:spacing w:val="-4"/>
          <w:w w:val="110"/>
        </w:rPr>
        <w:t>pregunta</w:t>
      </w:r>
      <w:r>
        <w:rPr>
          <w:color w:val="231F1F"/>
          <w:spacing w:val="-5"/>
          <w:w w:val="110"/>
        </w:rPr>
        <w:t> </w:t>
      </w:r>
      <w:r>
        <w:rPr>
          <w:color w:val="231F1F"/>
          <w:spacing w:val="-4"/>
          <w:w w:val="110"/>
        </w:rPr>
        <w:t>sobre</w:t>
      </w:r>
      <w:r>
        <w:rPr>
          <w:color w:val="231F1F"/>
          <w:spacing w:val="-5"/>
          <w:w w:val="110"/>
        </w:rPr>
        <w:t> </w:t>
      </w:r>
      <w:r>
        <w:rPr>
          <w:color w:val="231F1F"/>
          <w:spacing w:val="-4"/>
          <w:w w:val="110"/>
        </w:rPr>
        <w:t>la</w:t>
      </w:r>
      <w:r>
        <w:rPr>
          <w:color w:val="231F1F"/>
          <w:spacing w:val="-5"/>
          <w:w w:val="110"/>
        </w:rPr>
        <w:t> </w:t>
      </w:r>
      <w:r>
        <w:rPr>
          <w:color w:val="231F1F"/>
          <w:spacing w:val="-4"/>
          <w:w w:val="110"/>
        </w:rPr>
        <w:t>efectividad</w:t>
      </w:r>
      <w:r>
        <w:rPr>
          <w:color w:val="231F1F"/>
          <w:spacing w:val="-5"/>
          <w:w w:val="110"/>
        </w:rPr>
        <w:t> </w:t>
      </w:r>
      <w:r>
        <w:rPr>
          <w:color w:val="231F1F"/>
          <w:spacing w:val="-4"/>
          <w:w w:val="110"/>
        </w:rPr>
        <w:t>de</w:t>
      </w:r>
      <w:r>
        <w:rPr>
          <w:color w:val="231F1F"/>
          <w:spacing w:val="-5"/>
          <w:w w:val="110"/>
        </w:rPr>
        <w:t> </w:t>
      </w:r>
      <w:r>
        <w:rPr>
          <w:color w:val="231F1F"/>
          <w:spacing w:val="-4"/>
          <w:w w:val="110"/>
        </w:rPr>
        <w:t>la</w:t>
      </w:r>
      <w:r>
        <w:rPr>
          <w:color w:val="231F1F"/>
          <w:spacing w:val="-5"/>
          <w:w w:val="110"/>
        </w:rPr>
        <w:t> </w:t>
      </w:r>
      <w:r>
        <w:rPr>
          <w:color w:val="231F1F"/>
          <w:spacing w:val="-4"/>
          <w:w w:val="110"/>
        </w:rPr>
        <w:t>monitorización electró- </w:t>
      </w:r>
      <w:r>
        <w:rPr>
          <w:color w:val="231F1F"/>
        </w:rPr>
        <w:t>nica continua del feto en comparación con la auscultación intermitente, la guía </w:t>
      </w:r>
      <w:r>
        <w:rPr>
          <w:color w:val="231F1F"/>
          <w:w w:val="110"/>
        </w:rPr>
        <w:t>NICE</w:t>
      </w:r>
      <w:r>
        <w:rPr>
          <w:color w:val="231F1F"/>
          <w:spacing w:val="-16"/>
          <w:w w:val="110"/>
        </w:rPr>
        <w:t> </w:t>
      </w:r>
      <w:r>
        <w:rPr>
          <w:color w:val="231F1F"/>
          <w:w w:val="110"/>
        </w:rPr>
        <w:t>(10)</w:t>
      </w:r>
      <w:r>
        <w:rPr>
          <w:color w:val="231F1F"/>
          <w:spacing w:val="-14"/>
          <w:w w:val="110"/>
        </w:rPr>
        <w:t> </w:t>
      </w:r>
      <w:r>
        <w:rPr>
          <w:color w:val="231F1F"/>
          <w:w w:val="110"/>
        </w:rPr>
        <w:t>se</w:t>
      </w:r>
      <w:r>
        <w:rPr>
          <w:color w:val="231F1F"/>
          <w:spacing w:val="-15"/>
          <w:w w:val="110"/>
        </w:rPr>
        <w:t> </w:t>
      </w:r>
      <w:r>
        <w:rPr>
          <w:color w:val="231F1F"/>
          <w:w w:val="110"/>
        </w:rPr>
        <w:t>basó</w:t>
      </w:r>
      <w:r>
        <w:rPr>
          <w:color w:val="231F1F"/>
          <w:spacing w:val="-15"/>
          <w:w w:val="110"/>
        </w:rPr>
        <w:t> </w:t>
      </w:r>
      <w:r>
        <w:rPr>
          <w:color w:val="231F1F"/>
          <w:w w:val="110"/>
        </w:rPr>
        <w:t>en</w:t>
      </w:r>
      <w:r>
        <w:rPr>
          <w:color w:val="231F1F"/>
          <w:spacing w:val="-15"/>
          <w:w w:val="110"/>
        </w:rPr>
        <w:t> </w:t>
      </w:r>
      <w:r>
        <w:rPr>
          <w:color w:val="231F1F"/>
          <w:w w:val="110"/>
        </w:rPr>
        <w:t>una</w:t>
      </w:r>
      <w:r>
        <w:rPr>
          <w:color w:val="231F1F"/>
          <w:spacing w:val="-15"/>
          <w:w w:val="110"/>
        </w:rPr>
        <w:t> </w:t>
      </w:r>
      <w:r>
        <w:rPr>
          <w:color w:val="231F1F"/>
          <w:w w:val="110"/>
        </w:rPr>
        <w:t>RS</w:t>
      </w:r>
      <w:r>
        <w:rPr>
          <w:color w:val="231F1F"/>
          <w:spacing w:val="-15"/>
          <w:w w:val="110"/>
        </w:rPr>
        <w:t> </w:t>
      </w:r>
      <w:r>
        <w:rPr>
          <w:color w:val="231F1F"/>
          <w:w w:val="110"/>
        </w:rPr>
        <w:t>de</w:t>
      </w:r>
      <w:r>
        <w:rPr>
          <w:color w:val="231F1F"/>
          <w:spacing w:val="-15"/>
          <w:w w:val="110"/>
        </w:rPr>
        <w:t> </w:t>
      </w:r>
      <w:r>
        <w:rPr>
          <w:color w:val="231F1F"/>
          <w:w w:val="110"/>
        </w:rPr>
        <w:t>buena</w:t>
      </w:r>
      <w:r>
        <w:rPr>
          <w:color w:val="231F1F"/>
          <w:spacing w:val="-16"/>
          <w:w w:val="110"/>
        </w:rPr>
        <w:t> </w:t>
      </w:r>
      <w:r>
        <w:rPr>
          <w:color w:val="231F1F"/>
          <w:w w:val="110"/>
        </w:rPr>
        <w:t>calidad</w:t>
      </w:r>
      <w:r>
        <w:rPr>
          <w:color w:val="231F1F"/>
          <w:spacing w:val="-14"/>
          <w:w w:val="110"/>
        </w:rPr>
        <w:t> </w:t>
      </w:r>
      <w:r>
        <w:rPr>
          <w:color w:val="231F1F"/>
          <w:w w:val="110"/>
        </w:rPr>
        <w:t>(363),</w:t>
      </w:r>
      <w:r>
        <w:rPr>
          <w:color w:val="231F1F"/>
          <w:spacing w:val="-15"/>
          <w:w w:val="110"/>
        </w:rPr>
        <w:t> </w:t>
      </w:r>
      <w:r>
        <w:rPr>
          <w:color w:val="231F1F"/>
          <w:w w:val="110"/>
        </w:rPr>
        <w:t>NE=Ia</w:t>
      </w:r>
      <w:r>
        <w:rPr>
          <w:color w:val="231F1F"/>
          <w:spacing w:val="-15"/>
          <w:w w:val="110"/>
        </w:rPr>
        <w:t> </w:t>
      </w:r>
      <w:r>
        <w:rPr>
          <w:color w:val="231F1F"/>
          <w:w w:val="110"/>
        </w:rPr>
        <w:t>que</w:t>
      </w:r>
      <w:r>
        <w:rPr>
          <w:color w:val="231F1F"/>
          <w:spacing w:val="-15"/>
          <w:w w:val="110"/>
        </w:rPr>
        <w:t> </w:t>
      </w:r>
      <w:r>
        <w:rPr>
          <w:color w:val="231F1F"/>
          <w:w w:val="110"/>
        </w:rPr>
        <w:t>comparó</w:t>
      </w:r>
      <w:r>
        <w:rPr>
          <w:color w:val="231F1F"/>
          <w:spacing w:val="-15"/>
          <w:w w:val="110"/>
        </w:rPr>
        <w:t> </w:t>
      </w:r>
      <w:r>
        <w:rPr>
          <w:color w:val="231F1F"/>
          <w:w w:val="110"/>
        </w:rPr>
        <w:t>la efectividad de la MEFC durante el parto frente a la AI o frente a la MEFI.</w:t>
      </w:r>
    </w:p>
    <w:p>
      <w:pPr>
        <w:spacing w:line="244" w:lineRule="auto" w:before="133"/>
        <w:ind w:left="283" w:right="1370" w:firstLine="453"/>
        <w:jc w:val="both"/>
        <w:rPr>
          <w:sz w:val="22"/>
        </w:rPr>
      </w:pPr>
      <w:r>
        <w:rPr>
          <w:color w:val="231F1F"/>
          <w:w w:val="105"/>
          <w:sz w:val="22"/>
        </w:rPr>
        <w:t>En</w:t>
      </w:r>
      <w:r>
        <w:rPr>
          <w:color w:val="231F1F"/>
          <w:spacing w:val="-1"/>
          <w:w w:val="105"/>
          <w:sz w:val="22"/>
        </w:rPr>
        <w:t> </w:t>
      </w:r>
      <w:r>
        <w:rPr>
          <w:i/>
          <w:color w:val="231F1F"/>
          <w:w w:val="105"/>
          <w:sz w:val="22"/>
        </w:rPr>
        <w:t>relación</w:t>
      </w:r>
      <w:r>
        <w:rPr>
          <w:i/>
          <w:color w:val="231F1F"/>
          <w:spacing w:val="-14"/>
          <w:w w:val="105"/>
          <w:sz w:val="22"/>
        </w:rPr>
        <w:t> </w:t>
      </w:r>
      <w:r>
        <w:rPr>
          <w:i/>
          <w:color w:val="231F1F"/>
          <w:w w:val="105"/>
          <w:sz w:val="22"/>
        </w:rPr>
        <w:t>a</w:t>
      </w:r>
      <w:r>
        <w:rPr>
          <w:i/>
          <w:color w:val="231F1F"/>
          <w:spacing w:val="-15"/>
          <w:w w:val="105"/>
          <w:sz w:val="22"/>
        </w:rPr>
        <w:t> </w:t>
      </w:r>
      <w:r>
        <w:rPr>
          <w:i/>
          <w:color w:val="231F1F"/>
          <w:w w:val="105"/>
          <w:sz w:val="22"/>
        </w:rPr>
        <w:t>la</w:t>
      </w:r>
      <w:r>
        <w:rPr>
          <w:i/>
          <w:color w:val="231F1F"/>
          <w:spacing w:val="-14"/>
          <w:w w:val="105"/>
          <w:sz w:val="22"/>
        </w:rPr>
        <w:t> </w:t>
      </w:r>
      <w:r>
        <w:rPr>
          <w:i/>
          <w:color w:val="231F1F"/>
          <w:w w:val="105"/>
          <w:sz w:val="22"/>
        </w:rPr>
        <w:t>comparación</w:t>
      </w:r>
      <w:r>
        <w:rPr>
          <w:i/>
          <w:color w:val="231F1F"/>
          <w:spacing w:val="-15"/>
          <w:w w:val="105"/>
          <w:sz w:val="22"/>
        </w:rPr>
        <w:t> </w:t>
      </w:r>
      <w:r>
        <w:rPr>
          <w:i/>
          <w:color w:val="231F1F"/>
          <w:w w:val="105"/>
          <w:sz w:val="22"/>
        </w:rPr>
        <w:t>de</w:t>
      </w:r>
      <w:r>
        <w:rPr>
          <w:i/>
          <w:color w:val="231F1F"/>
          <w:spacing w:val="-14"/>
          <w:w w:val="105"/>
          <w:sz w:val="22"/>
        </w:rPr>
        <w:t> </w:t>
      </w:r>
      <w:r>
        <w:rPr>
          <w:i/>
          <w:color w:val="231F1F"/>
          <w:w w:val="105"/>
          <w:sz w:val="22"/>
        </w:rPr>
        <w:t>la</w:t>
      </w:r>
      <w:r>
        <w:rPr>
          <w:i/>
          <w:color w:val="231F1F"/>
          <w:spacing w:val="-15"/>
          <w:w w:val="105"/>
          <w:sz w:val="22"/>
        </w:rPr>
        <w:t> </w:t>
      </w:r>
      <w:r>
        <w:rPr>
          <w:i/>
          <w:color w:val="231F1F"/>
          <w:w w:val="105"/>
          <w:sz w:val="22"/>
        </w:rPr>
        <w:t>MEFC</w:t>
      </w:r>
      <w:r>
        <w:rPr>
          <w:i/>
          <w:color w:val="231F1F"/>
          <w:spacing w:val="-14"/>
          <w:w w:val="105"/>
          <w:sz w:val="22"/>
        </w:rPr>
        <w:t> </w:t>
      </w:r>
      <w:r>
        <w:rPr>
          <w:i/>
          <w:color w:val="231F1F"/>
          <w:w w:val="105"/>
          <w:sz w:val="22"/>
        </w:rPr>
        <w:t>con</w:t>
      </w:r>
      <w:r>
        <w:rPr>
          <w:i/>
          <w:color w:val="231F1F"/>
          <w:spacing w:val="-14"/>
          <w:w w:val="105"/>
          <w:sz w:val="22"/>
        </w:rPr>
        <w:t> </w:t>
      </w:r>
      <w:r>
        <w:rPr>
          <w:i/>
          <w:color w:val="231F1F"/>
          <w:w w:val="105"/>
          <w:sz w:val="22"/>
        </w:rPr>
        <w:t>la</w:t>
      </w:r>
      <w:r>
        <w:rPr>
          <w:i/>
          <w:color w:val="231F1F"/>
          <w:spacing w:val="-15"/>
          <w:w w:val="105"/>
          <w:sz w:val="22"/>
        </w:rPr>
        <w:t> </w:t>
      </w:r>
      <w:r>
        <w:rPr>
          <w:i/>
          <w:color w:val="231F1F"/>
          <w:w w:val="105"/>
          <w:sz w:val="22"/>
        </w:rPr>
        <w:t>auscultación</w:t>
      </w:r>
      <w:r>
        <w:rPr>
          <w:i/>
          <w:color w:val="231F1F"/>
          <w:spacing w:val="-14"/>
          <w:w w:val="105"/>
          <w:sz w:val="22"/>
        </w:rPr>
        <w:t> </w:t>
      </w:r>
      <w:r>
        <w:rPr>
          <w:i/>
          <w:color w:val="231F1F"/>
          <w:w w:val="105"/>
          <w:sz w:val="22"/>
        </w:rPr>
        <w:t>intermiten- te</w:t>
      </w:r>
      <w:r>
        <w:rPr>
          <w:color w:val="231F1F"/>
          <w:w w:val="105"/>
          <w:sz w:val="22"/>
        </w:rPr>
        <w:t>, tres de los 12 estudios incluyeron a 37.000 mujeres con bajo riesgo, fueron realizados</w:t>
      </w:r>
      <w:r>
        <w:rPr>
          <w:color w:val="231F1F"/>
          <w:w w:val="105"/>
          <w:sz w:val="22"/>
        </w:rPr>
        <w:t> en</w:t>
      </w:r>
      <w:r>
        <w:rPr>
          <w:color w:val="231F1F"/>
          <w:w w:val="105"/>
          <w:sz w:val="22"/>
        </w:rPr>
        <w:t> EEUU,</w:t>
      </w:r>
      <w:r>
        <w:rPr>
          <w:color w:val="231F1F"/>
          <w:w w:val="105"/>
          <w:sz w:val="22"/>
        </w:rPr>
        <w:t> Irlanda</w:t>
      </w:r>
      <w:r>
        <w:rPr>
          <w:color w:val="231F1F"/>
          <w:w w:val="105"/>
          <w:sz w:val="22"/>
        </w:rPr>
        <w:t> y</w:t>
      </w:r>
      <w:r>
        <w:rPr>
          <w:color w:val="231F1F"/>
          <w:w w:val="105"/>
          <w:sz w:val="22"/>
        </w:rPr>
        <w:t> Australia</w:t>
      </w:r>
      <w:r>
        <w:rPr>
          <w:color w:val="231F1F"/>
          <w:w w:val="105"/>
          <w:sz w:val="22"/>
        </w:rPr>
        <w:t> siendo</w:t>
      </w:r>
      <w:r>
        <w:rPr>
          <w:color w:val="231F1F"/>
          <w:w w:val="105"/>
          <w:sz w:val="22"/>
        </w:rPr>
        <w:t> de</w:t>
      </w:r>
      <w:r>
        <w:rPr>
          <w:color w:val="231F1F"/>
          <w:w w:val="105"/>
          <w:sz w:val="22"/>
        </w:rPr>
        <w:t> una</w:t>
      </w:r>
      <w:r>
        <w:rPr>
          <w:color w:val="231F1F"/>
          <w:w w:val="105"/>
          <w:sz w:val="22"/>
        </w:rPr>
        <w:t> calidad</w:t>
      </w:r>
      <w:r>
        <w:rPr>
          <w:color w:val="231F1F"/>
          <w:w w:val="105"/>
          <w:sz w:val="22"/>
        </w:rPr>
        <w:t> entre</w:t>
      </w:r>
      <w:r>
        <w:rPr>
          <w:color w:val="231F1F"/>
          <w:w w:val="105"/>
          <w:sz w:val="22"/>
        </w:rPr>
        <w:t> mode- rada y buena.</w:t>
      </w:r>
    </w:p>
    <w:p>
      <w:pPr>
        <w:pStyle w:val="BodyText"/>
        <w:spacing w:line="244" w:lineRule="auto" w:before="144"/>
        <w:ind w:left="283" w:right="1371" w:firstLine="453"/>
        <w:jc w:val="both"/>
      </w:pPr>
      <w:r>
        <w:rPr>
          <w:color w:val="231F1F"/>
          <w:w w:val="110"/>
        </w:rPr>
        <w:t>Se</w:t>
      </w:r>
      <w:r>
        <w:rPr>
          <w:color w:val="231F1F"/>
          <w:spacing w:val="-9"/>
          <w:w w:val="110"/>
        </w:rPr>
        <w:t> </w:t>
      </w:r>
      <w:r>
        <w:rPr>
          <w:color w:val="231F1F"/>
          <w:w w:val="110"/>
        </w:rPr>
        <w:t>evaluaron</w:t>
      </w:r>
      <w:r>
        <w:rPr>
          <w:color w:val="231F1F"/>
          <w:spacing w:val="-8"/>
          <w:w w:val="110"/>
        </w:rPr>
        <w:t> </w:t>
      </w:r>
      <w:r>
        <w:rPr>
          <w:color w:val="231F1F"/>
          <w:w w:val="110"/>
        </w:rPr>
        <w:t>los</w:t>
      </w:r>
      <w:r>
        <w:rPr>
          <w:color w:val="231F1F"/>
          <w:spacing w:val="-9"/>
          <w:w w:val="110"/>
        </w:rPr>
        <w:t> </w:t>
      </w:r>
      <w:r>
        <w:rPr>
          <w:color w:val="231F1F"/>
          <w:w w:val="110"/>
        </w:rPr>
        <w:t>resultados</w:t>
      </w:r>
      <w:r>
        <w:rPr>
          <w:color w:val="231F1F"/>
          <w:spacing w:val="-8"/>
          <w:w w:val="110"/>
        </w:rPr>
        <w:t> </w:t>
      </w:r>
      <w:r>
        <w:rPr>
          <w:color w:val="231F1F"/>
          <w:w w:val="110"/>
        </w:rPr>
        <w:t>de</w:t>
      </w:r>
      <w:r>
        <w:rPr>
          <w:color w:val="231F1F"/>
          <w:spacing w:val="-9"/>
          <w:w w:val="110"/>
        </w:rPr>
        <w:t> </w:t>
      </w:r>
      <w:r>
        <w:rPr>
          <w:color w:val="231F1F"/>
          <w:w w:val="110"/>
        </w:rPr>
        <w:t>todas</w:t>
      </w:r>
      <w:r>
        <w:rPr>
          <w:color w:val="231F1F"/>
          <w:spacing w:val="-9"/>
          <w:w w:val="110"/>
        </w:rPr>
        <w:t> </w:t>
      </w:r>
      <w:r>
        <w:rPr>
          <w:color w:val="231F1F"/>
          <w:w w:val="110"/>
        </w:rPr>
        <w:t>las</w:t>
      </w:r>
      <w:r>
        <w:rPr>
          <w:color w:val="231F1F"/>
          <w:spacing w:val="-9"/>
          <w:w w:val="110"/>
        </w:rPr>
        <w:t> </w:t>
      </w:r>
      <w:r>
        <w:rPr>
          <w:color w:val="231F1F"/>
          <w:w w:val="110"/>
        </w:rPr>
        <w:t>mujeres</w:t>
      </w:r>
      <w:r>
        <w:rPr>
          <w:color w:val="231F1F"/>
          <w:spacing w:val="-9"/>
          <w:w w:val="110"/>
        </w:rPr>
        <w:t> </w:t>
      </w:r>
      <w:r>
        <w:rPr>
          <w:color w:val="231F1F"/>
          <w:w w:val="110"/>
        </w:rPr>
        <w:t>en</w:t>
      </w:r>
      <w:r>
        <w:rPr>
          <w:color w:val="231F1F"/>
          <w:spacing w:val="-9"/>
          <w:w w:val="110"/>
        </w:rPr>
        <w:t> </w:t>
      </w:r>
      <w:r>
        <w:rPr>
          <w:color w:val="231F1F"/>
          <w:w w:val="110"/>
        </w:rPr>
        <w:t>conjunto</w:t>
      </w:r>
      <w:r>
        <w:rPr>
          <w:color w:val="231F1F"/>
          <w:spacing w:val="-9"/>
          <w:w w:val="110"/>
        </w:rPr>
        <w:t> </w:t>
      </w:r>
      <w:r>
        <w:rPr>
          <w:color w:val="231F1F"/>
          <w:w w:val="110"/>
        </w:rPr>
        <w:t>y</w:t>
      </w:r>
      <w:r>
        <w:rPr>
          <w:color w:val="231F1F"/>
          <w:spacing w:val="-9"/>
          <w:w w:val="110"/>
        </w:rPr>
        <w:t> </w:t>
      </w:r>
      <w:r>
        <w:rPr>
          <w:color w:val="231F1F"/>
          <w:w w:val="110"/>
        </w:rPr>
        <w:t>el</w:t>
      </w:r>
      <w:r>
        <w:rPr>
          <w:color w:val="231F1F"/>
          <w:spacing w:val="-9"/>
          <w:w w:val="110"/>
        </w:rPr>
        <w:t> </w:t>
      </w:r>
      <w:r>
        <w:rPr>
          <w:color w:val="231F1F"/>
          <w:w w:val="110"/>
        </w:rPr>
        <w:t>de</w:t>
      </w:r>
      <w:r>
        <w:rPr>
          <w:color w:val="231F1F"/>
          <w:spacing w:val="-9"/>
          <w:w w:val="110"/>
        </w:rPr>
        <w:t> </w:t>
      </w:r>
      <w:r>
        <w:rPr>
          <w:color w:val="231F1F"/>
          <w:w w:val="110"/>
        </w:rPr>
        <w:t>las mujeres de</w:t>
      </w:r>
      <w:r>
        <w:rPr>
          <w:color w:val="231F1F"/>
          <w:spacing w:val="-1"/>
          <w:w w:val="110"/>
        </w:rPr>
        <w:t> </w:t>
      </w:r>
      <w:r>
        <w:rPr>
          <w:color w:val="231F1F"/>
          <w:w w:val="110"/>
        </w:rPr>
        <w:t>bajo</w:t>
      </w:r>
      <w:r>
        <w:rPr>
          <w:color w:val="231F1F"/>
          <w:spacing w:val="-1"/>
          <w:w w:val="110"/>
        </w:rPr>
        <w:t> </w:t>
      </w:r>
      <w:r>
        <w:rPr>
          <w:color w:val="231F1F"/>
          <w:w w:val="110"/>
        </w:rPr>
        <w:t>riesgo por</w:t>
      </w:r>
      <w:r>
        <w:rPr>
          <w:color w:val="231F1F"/>
          <w:spacing w:val="-1"/>
          <w:w w:val="110"/>
        </w:rPr>
        <w:t> </w:t>
      </w:r>
      <w:r>
        <w:rPr>
          <w:color w:val="231F1F"/>
          <w:w w:val="110"/>
        </w:rPr>
        <w:t>separado.</w:t>
      </w:r>
      <w:r>
        <w:rPr>
          <w:color w:val="231F1F"/>
          <w:spacing w:val="-2"/>
          <w:w w:val="110"/>
        </w:rPr>
        <w:t> </w:t>
      </w:r>
      <w:r>
        <w:rPr>
          <w:color w:val="231F1F"/>
          <w:w w:val="110"/>
        </w:rPr>
        <w:t>Los</w:t>
      </w:r>
      <w:r>
        <w:rPr>
          <w:color w:val="231F1F"/>
          <w:spacing w:val="-1"/>
          <w:w w:val="110"/>
        </w:rPr>
        <w:t> </w:t>
      </w:r>
      <w:r>
        <w:rPr>
          <w:color w:val="231F1F"/>
          <w:w w:val="110"/>
        </w:rPr>
        <w:t>datos</w:t>
      </w:r>
      <w:r>
        <w:rPr>
          <w:color w:val="231F1F"/>
          <w:spacing w:val="-1"/>
          <w:w w:val="110"/>
        </w:rPr>
        <w:t> </w:t>
      </w:r>
      <w:r>
        <w:rPr>
          <w:color w:val="231F1F"/>
          <w:w w:val="110"/>
        </w:rPr>
        <w:t>obtenidos</w:t>
      </w:r>
      <w:r>
        <w:rPr>
          <w:color w:val="231F1F"/>
          <w:spacing w:val="-1"/>
          <w:w w:val="110"/>
        </w:rPr>
        <w:t> </w:t>
      </w:r>
      <w:r>
        <w:rPr>
          <w:color w:val="231F1F"/>
          <w:w w:val="110"/>
        </w:rPr>
        <w:t>en</w:t>
      </w:r>
      <w:r>
        <w:rPr>
          <w:color w:val="231F1F"/>
          <w:spacing w:val="-1"/>
          <w:w w:val="110"/>
        </w:rPr>
        <w:t> </w:t>
      </w:r>
      <w:r>
        <w:rPr>
          <w:color w:val="231F1F"/>
          <w:w w:val="110"/>
        </w:rPr>
        <w:t>los</w:t>
      </w:r>
      <w:r>
        <w:rPr>
          <w:color w:val="231F1F"/>
          <w:spacing w:val="-1"/>
          <w:w w:val="110"/>
        </w:rPr>
        <w:t> </w:t>
      </w:r>
      <w:r>
        <w:rPr>
          <w:color w:val="231F1F"/>
          <w:w w:val="110"/>
        </w:rPr>
        <w:t>subgrupos de alto y bajo riesgo fueron compatibles con los resultados generales.</w:t>
      </w:r>
    </w:p>
    <w:p>
      <w:pPr>
        <w:tabs>
          <w:tab w:pos="7913" w:val="left" w:leader="none"/>
          <w:tab w:pos="8168" w:val="left" w:leader="none"/>
        </w:tabs>
        <w:spacing w:line="242" w:lineRule="auto" w:before="104"/>
        <w:ind w:left="283" w:right="338" w:firstLine="453"/>
        <w:jc w:val="both"/>
        <w:rPr>
          <w:rFonts w:ascii="Arial MT" w:hAnsi="Arial MT"/>
          <w:position w:val="8"/>
          <w:sz w:val="18"/>
        </w:rPr>
      </w:pPr>
      <w:r>
        <w:rPr>
          <w:color w:val="231F1F"/>
          <w:w w:val="105"/>
          <w:sz w:val="22"/>
        </w:rPr>
        <w:t>En</w:t>
      </w:r>
      <w:r>
        <w:rPr>
          <w:color w:val="231F1F"/>
          <w:spacing w:val="-15"/>
          <w:w w:val="105"/>
          <w:sz w:val="22"/>
        </w:rPr>
        <w:t> </w:t>
      </w:r>
      <w:r>
        <w:rPr>
          <w:color w:val="231F1F"/>
          <w:w w:val="105"/>
          <w:sz w:val="22"/>
        </w:rPr>
        <w:t>las</w:t>
      </w:r>
      <w:r>
        <w:rPr>
          <w:color w:val="231F1F"/>
          <w:spacing w:val="-14"/>
          <w:w w:val="105"/>
          <w:sz w:val="22"/>
        </w:rPr>
        <w:t> </w:t>
      </w:r>
      <w:r>
        <w:rPr>
          <w:i/>
          <w:color w:val="231F1F"/>
          <w:w w:val="105"/>
          <w:sz w:val="22"/>
        </w:rPr>
        <w:t>mujeres</w:t>
      </w:r>
      <w:r>
        <w:rPr>
          <w:i/>
          <w:color w:val="231F1F"/>
          <w:spacing w:val="-15"/>
          <w:w w:val="105"/>
          <w:sz w:val="22"/>
        </w:rPr>
        <w:t> </w:t>
      </w:r>
      <w:r>
        <w:rPr>
          <w:i/>
          <w:color w:val="231F1F"/>
          <w:w w:val="105"/>
          <w:sz w:val="22"/>
        </w:rPr>
        <w:t>con</w:t>
      </w:r>
      <w:r>
        <w:rPr>
          <w:i/>
          <w:color w:val="231F1F"/>
          <w:spacing w:val="-14"/>
          <w:w w:val="105"/>
          <w:sz w:val="22"/>
        </w:rPr>
        <w:t> </w:t>
      </w:r>
      <w:r>
        <w:rPr>
          <w:i/>
          <w:color w:val="231F1F"/>
          <w:w w:val="105"/>
          <w:sz w:val="22"/>
        </w:rPr>
        <w:t>partos</w:t>
      </w:r>
      <w:r>
        <w:rPr>
          <w:i/>
          <w:color w:val="231F1F"/>
          <w:spacing w:val="-15"/>
          <w:w w:val="105"/>
          <w:sz w:val="22"/>
        </w:rPr>
        <w:t> </w:t>
      </w:r>
      <w:r>
        <w:rPr>
          <w:i/>
          <w:color w:val="231F1F"/>
          <w:w w:val="105"/>
          <w:sz w:val="22"/>
        </w:rPr>
        <w:t>de</w:t>
      </w:r>
      <w:r>
        <w:rPr>
          <w:i/>
          <w:color w:val="231F1F"/>
          <w:spacing w:val="-14"/>
          <w:w w:val="105"/>
          <w:sz w:val="22"/>
        </w:rPr>
        <w:t> </w:t>
      </w:r>
      <w:r>
        <w:rPr>
          <w:i/>
          <w:color w:val="231F1F"/>
          <w:w w:val="105"/>
          <w:sz w:val="22"/>
        </w:rPr>
        <w:t>bajo</w:t>
      </w:r>
      <w:r>
        <w:rPr>
          <w:i/>
          <w:color w:val="231F1F"/>
          <w:spacing w:val="-15"/>
          <w:w w:val="105"/>
          <w:sz w:val="22"/>
        </w:rPr>
        <w:t> </w:t>
      </w:r>
      <w:r>
        <w:rPr>
          <w:i/>
          <w:color w:val="231F1F"/>
          <w:w w:val="105"/>
          <w:sz w:val="22"/>
        </w:rPr>
        <w:t>riesgo</w:t>
      </w:r>
      <w:r>
        <w:rPr>
          <w:i/>
          <w:color w:val="231F1F"/>
          <w:spacing w:val="-14"/>
          <w:w w:val="105"/>
          <w:sz w:val="22"/>
        </w:rPr>
        <w:t> </w:t>
      </w:r>
      <w:r>
        <w:rPr>
          <w:color w:val="231F1F"/>
          <w:w w:val="105"/>
          <w:sz w:val="22"/>
        </w:rPr>
        <w:t>se</w:t>
      </w:r>
      <w:r>
        <w:rPr>
          <w:color w:val="231F1F"/>
          <w:spacing w:val="-14"/>
          <w:w w:val="105"/>
          <w:sz w:val="22"/>
        </w:rPr>
        <w:t> </w:t>
      </w:r>
      <w:r>
        <w:rPr>
          <w:color w:val="231F1F"/>
          <w:w w:val="105"/>
          <w:sz w:val="22"/>
        </w:rPr>
        <w:t>encontró</w:t>
      </w:r>
      <w:r>
        <w:rPr>
          <w:color w:val="231F1F"/>
          <w:spacing w:val="-15"/>
          <w:w w:val="105"/>
          <w:sz w:val="22"/>
        </w:rPr>
        <w:t> </w:t>
      </w:r>
      <w:r>
        <w:rPr>
          <w:color w:val="231F1F"/>
          <w:w w:val="105"/>
          <w:sz w:val="22"/>
        </w:rPr>
        <w:t>evidencia</w:t>
      </w:r>
      <w:r>
        <w:rPr>
          <w:color w:val="231F1F"/>
          <w:spacing w:val="-14"/>
          <w:w w:val="105"/>
          <w:sz w:val="22"/>
        </w:rPr>
        <w:t> </w:t>
      </w:r>
      <w:r>
        <w:rPr>
          <w:color w:val="231F1F"/>
          <w:w w:val="105"/>
          <w:sz w:val="22"/>
        </w:rPr>
        <w:t>de</w:t>
      </w:r>
      <w:r>
        <w:rPr>
          <w:color w:val="231F1F"/>
          <w:spacing w:val="-15"/>
          <w:w w:val="105"/>
          <w:sz w:val="22"/>
        </w:rPr>
        <w:t> </w:t>
      </w:r>
      <w:r>
        <w:rPr>
          <w:color w:val="231F1F"/>
          <w:w w:val="105"/>
          <w:sz w:val="22"/>
        </w:rPr>
        <w:t>que</w:t>
      </w:r>
      <w:r>
        <w:rPr>
          <w:color w:val="231F1F"/>
          <w:spacing w:val="-14"/>
          <w:w w:val="105"/>
          <w:sz w:val="22"/>
        </w:rPr>
        <w:t> </w:t>
      </w:r>
      <w:r>
        <w:rPr>
          <w:color w:val="231F1F"/>
          <w:w w:val="105"/>
          <w:sz w:val="22"/>
        </w:rPr>
        <w:t>las</w:t>
      </w:r>
      <w:r>
        <w:rPr>
          <w:color w:val="231F1F"/>
          <w:spacing w:val="58"/>
          <w:w w:val="105"/>
          <w:sz w:val="22"/>
        </w:rPr>
        <w:t> </w:t>
      </w:r>
      <w:r>
        <w:rPr>
          <w:rFonts w:ascii="Arial MT" w:hAnsi="Arial MT"/>
          <w:color w:val="231F1F"/>
          <w:w w:val="105"/>
          <w:sz w:val="18"/>
        </w:rPr>
        <w:t>RS de ECAs </w:t>
      </w:r>
      <w:r>
        <w:rPr>
          <w:color w:val="231F1F"/>
          <w:w w:val="105"/>
          <w:sz w:val="22"/>
        </w:rPr>
        <w:t>mujeres con MEFC tenían más posibilidades de presentar cesáreas por fre-</w:t>
      </w:r>
      <w:r>
        <w:rPr>
          <w:color w:val="231F1F"/>
          <w:sz w:val="22"/>
        </w:rPr>
        <w:tab/>
      </w:r>
      <w:r>
        <w:rPr>
          <w:rFonts w:ascii="Arial MT" w:hAnsi="Arial MT"/>
          <w:color w:val="231F1F"/>
          <w:w w:val="105"/>
          <w:position w:val="4"/>
          <w:sz w:val="18"/>
        </w:rPr>
        <w:t>y</w:t>
      </w:r>
      <w:r>
        <w:rPr>
          <w:rFonts w:ascii="Arial MT" w:hAnsi="Arial MT"/>
          <w:color w:val="231F1F"/>
          <w:spacing w:val="-8"/>
          <w:w w:val="105"/>
          <w:position w:val="4"/>
          <w:sz w:val="18"/>
        </w:rPr>
        <w:t> </w:t>
      </w:r>
      <w:r>
        <w:rPr>
          <w:rFonts w:ascii="Arial MT" w:hAnsi="Arial MT"/>
          <w:color w:val="231F1F"/>
          <w:w w:val="105"/>
          <w:position w:val="4"/>
          <w:sz w:val="18"/>
        </w:rPr>
        <w:t>ECCs </w:t>
      </w:r>
      <w:r>
        <w:rPr>
          <w:color w:val="231F1F"/>
          <w:w w:val="105"/>
          <w:sz w:val="22"/>
        </w:rPr>
        <w:t>cuencia cardiaca fetal anormal: RR 2,31 [IC 95% 1,49 a 3,59], parto vaginal</w:t>
      </w:r>
      <w:r>
        <w:rPr>
          <w:color w:val="231F1F"/>
          <w:sz w:val="22"/>
        </w:rPr>
        <w:tab/>
        <w:tab/>
      </w:r>
      <w:r>
        <w:rPr>
          <w:rFonts w:ascii="Arial MT" w:hAnsi="Arial MT"/>
          <w:color w:val="231F1F"/>
          <w:spacing w:val="-6"/>
          <w:w w:val="105"/>
          <w:position w:val="8"/>
          <w:sz w:val="18"/>
        </w:rPr>
        <w:t>II</w:t>
      </w:r>
    </w:p>
    <w:p>
      <w:pPr>
        <w:pStyle w:val="BodyText"/>
        <w:spacing w:line="244" w:lineRule="auto" w:before="12"/>
        <w:ind w:left="283" w:right="1369"/>
        <w:jc w:val="both"/>
      </w:pPr>
      <w:r>
        <w:rPr>
          <w:color w:val="231F1F"/>
          <w:w w:val="105"/>
        </w:rPr>
        <w:t>operatorio: RR 1,29 [IC 95%</w:t>
      </w:r>
      <w:r>
        <w:rPr>
          <w:color w:val="231F1F"/>
          <w:spacing w:val="-1"/>
          <w:w w:val="105"/>
        </w:rPr>
        <w:t> </w:t>
      </w:r>
      <w:r>
        <w:rPr>
          <w:color w:val="231F1F"/>
          <w:w w:val="105"/>
        </w:rPr>
        <w:t>1,02 a 1,62] y cualquier tipo de parto instrumen- tal</w:t>
      </w:r>
      <w:r>
        <w:rPr>
          <w:color w:val="231F1F"/>
          <w:w w:val="105"/>
        </w:rPr>
        <w:t> (cesárea</w:t>
      </w:r>
      <w:r>
        <w:rPr>
          <w:color w:val="231F1F"/>
          <w:w w:val="105"/>
        </w:rPr>
        <w:t> y</w:t>
      </w:r>
      <w:r>
        <w:rPr>
          <w:color w:val="231F1F"/>
          <w:w w:val="105"/>
        </w:rPr>
        <w:t> parto</w:t>
      </w:r>
      <w:r>
        <w:rPr>
          <w:color w:val="231F1F"/>
          <w:w w:val="105"/>
        </w:rPr>
        <w:t> vaginal</w:t>
      </w:r>
      <w:r>
        <w:rPr>
          <w:color w:val="231F1F"/>
          <w:w w:val="105"/>
        </w:rPr>
        <w:t> instrumentado):</w:t>
      </w:r>
      <w:r>
        <w:rPr>
          <w:color w:val="231F1F"/>
          <w:w w:val="105"/>
        </w:rPr>
        <w:t> RR</w:t>
      </w:r>
      <w:r>
        <w:rPr>
          <w:color w:val="231F1F"/>
          <w:w w:val="105"/>
        </w:rPr>
        <w:t> 1,35</w:t>
      </w:r>
      <w:r>
        <w:rPr>
          <w:color w:val="231F1F"/>
          <w:w w:val="105"/>
        </w:rPr>
        <w:t> [IC</w:t>
      </w:r>
      <w:r>
        <w:rPr>
          <w:color w:val="231F1F"/>
          <w:w w:val="105"/>
        </w:rPr>
        <w:t> 95%</w:t>
      </w:r>
      <w:r>
        <w:rPr>
          <w:color w:val="231F1F"/>
          <w:w w:val="105"/>
        </w:rPr>
        <w:t> 1,09</w:t>
      </w:r>
      <w:r>
        <w:rPr>
          <w:color w:val="231F1F"/>
          <w:w w:val="105"/>
        </w:rPr>
        <w:t> a</w:t>
      </w:r>
      <w:r>
        <w:rPr>
          <w:color w:val="231F1F"/>
          <w:w w:val="105"/>
        </w:rPr>
        <w:t> 1,67], comparado</w:t>
      </w:r>
      <w:r>
        <w:rPr>
          <w:color w:val="231F1F"/>
          <w:spacing w:val="40"/>
          <w:w w:val="105"/>
        </w:rPr>
        <w:t> </w:t>
      </w:r>
      <w:r>
        <w:rPr>
          <w:color w:val="231F1F"/>
          <w:w w:val="105"/>
        </w:rPr>
        <w:t>con</w:t>
      </w:r>
      <w:r>
        <w:rPr>
          <w:color w:val="231F1F"/>
          <w:spacing w:val="40"/>
          <w:w w:val="105"/>
        </w:rPr>
        <w:t> </w:t>
      </w:r>
      <w:r>
        <w:rPr>
          <w:color w:val="231F1F"/>
          <w:w w:val="105"/>
        </w:rPr>
        <w:t>aquellas</w:t>
      </w:r>
      <w:r>
        <w:rPr>
          <w:color w:val="231F1F"/>
          <w:spacing w:val="40"/>
          <w:w w:val="105"/>
        </w:rPr>
        <w:t> </w:t>
      </w:r>
      <w:r>
        <w:rPr>
          <w:color w:val="231F1F"/>
          <w:w w:val="105"/>
        </w:rPr>
        <w:t>sometidas</w:t>
      </w:r>
      <w:r>
        <w:rPr>
          <w:color w:val="231F1F"/>
          <w:spacing w:val="40"/>
          <w:w w:val="105"/>
        </w:rPr>
        <w:t> </w:t>
      </w:r>
      <w:r>
        <w:rPr>
          <w:color w:val="231F1F"/>
          <w:w w:val="105"/>
        </w:rPr>
        <w:t>a</w:t>
      </w:r>
      <w:r>
        <w:rPr>
          <w:color w:val="231F1F"/>
          <w:spacing w:val="40"/>
          <w:w w:val="105"/>
        </w:rPr>
        <w:t> </w:t>
      </w:r>
      <w:r>
        <w:rPr>
          <w:color w:val="231F1F"/>
          <w:w w:val="105"/>
        </w:rPr>
        <w:t>auscultación</w:t>
      </w:r>
      <w:r>
        <w:rPr>
          <w:color w:val="231F1F"/>
          <w:spacing w:val="40"/>
          <w:w w:val="105"/>
        </w:rPr>
        <w:t> </w:t>
      </w:r>
      <w:r>
        <w:rPr>
          <w:color w:val="231F1F"/>
          <w:w w:val="105"/>
        </w:rPr>
        <w:t>intermitente.</w:t>
      </w:r>
    </w:p>
    <w:p>
      <w:pPr>
        <w:pStyle w:val="BodyText"/>
        <w:tabs>
          <w:tab w:pos="8168" w:val="left" w:leader="none"/>
        </w:tabs>
        <w:spacing w:line="242" w:lineRule="auto" w:before="100"/>
        <w:ind w:left="283" w:right="309" w:firstLine="453"/>
        <w:jc w:val="both"/>
        <w:rPr>
          <w:rFonts w:ascii="Arial MT" w:hAnsi="Arial MT"/>
          <w:position w:val="8"/>
          <w:sz w:val="18"/>
        </w:rPr>
      </w:pPr>
      <w:r>
        <w:rPr>
          <w:color w:val="231F1F"/>
          <w:w w:val="105"/>
        </w:rPr>
        <w:t>No</w:t>
      </w:r>
      <w:r>
        <w:rPr>
          <w:color w:val="231F1F"/>
          <w:w w:val="105"/>
        </w:rPr>
        <w:t> se</w:t>
      </w:r>
      <w:r>
        <w:rPr>
          <w:color w:val="231F1F"/>
          <w:w w:val="105"/>
        </w:rPr>
        <w:t> observaron</w:t>
      </w:r>
      <w:r>
        <w:rPr>
          <w:color w:val="231F1F"/>
          <w:w w:val="105"/>
        </w:rPr>
        <w:t> diferencias</w:t>
      </w:r>
      <w:r>
        <w:rPr>
          <w:color w:val="231F1F"/>
          <w:w w:val="105"/>
        </w:rPr>
        <w:t> en</w:t>
      </w:r>
      <w:r>
        <w:rPr>
          <w:color w:val="231F1F"/>
          <w:w w:val="105"/>
        </w:rPr>
        <w:t> la</w:t>
      </w:r>
      <w:r>
        <w:rPr>
          <w:color w:val="231F1F"/>
          <w:w w:val="105"/>
        </w:rPr>
        <w:t> mortalidad</w:t>
      </w:r>
      <w:r>
        <w:rPr>
          <w:color w:val="231F1F"/>
          <w:w w:val="105"/>
        </w:rPr>
        <w:t> perinatal</w:t>
      </w:r>
      <w:r>
        <w:rPr>
          <w:color w:val="231F1F"/>
          <w:w w:val="105"/>
        </w:rPr>
        <w:t> entre</w:t>
      </w:r>
      <w:r>
        <w:rPr>
          <w:color w:val="231F1F"/>
          <w:w w:val="105"/>
        </w:rPr>
        <w:t> los</w:t>
      </w:r>
      <w:r>
        <w:rPr>
          <w:color w:val="231F1F"/>
          <w:w w:val="105"/>
        </w:rPr>
        <w:t> dos</w:t>
      </w:r>
      <w:r>
        <w:rPr>
          <w:color w:val="231F1F"/>
          <w:w w:val="105"/>
        </w:rPr>
        <w:t> </w:t>
      </w:r>
      <w:r>
        <w:rPr>
          <w:rFonts w:ascii="Arial MT" w:hAnsi="Arial MT"/>
          <w:color w:val="231F1F"/>
          <w:w w:val="105"/>
          <w:sz w:val="18"/>
        </w:rPr>
        <w:t>RS de ECAs </w:t>
      </w:r>
      <w:r>
        <w:rPr>
          <w:color w:val="231F1F"/>
          <w:w w:val="105"/>
        </w:rPr>
        <w:t>grupos de mujeres, RR 1,02 [IC 95% 0,31 a 3,31]. Sin embargo se observó que</w:t>
      </w:r>
      <w:r>
        <w:rPr>
          <w:color w:val="231F1F"/>
          <w:spacing w:val="40"/>
          <w:w w:val="105"/>
        </w:rPr>
        <w:t>  </w:t>
      </w:r>
      <w:r>
        <w:rPr>
          <w:rFonts w:ascii="Arial MT" w:hAnsi="Arial MT"/>
          <w:color w:val="231F1F"/>
          <w:w w:val="105"/>
          <w:position w:val="4"/>
          <w:sz w:val="18"/>
        </w:rPr>
        <w:t>y</w:t>
      </w:r>
      <w:r>
        <w:rPr>
          <w:rFonts w:ascii="Arial MT" w:hAnsi="Arial MT"/>
          <w:color w:val="231F1F"/>
          <w:spacing w:val="-2"/>
          <w:w w:val="105"/>
          <w:position w:val="4"/>
          <w:sz w:val="18"/>
        </w:rPr>
        <w:t> </w:t>
      </w:r>
      <w:r>
        <w:rPr>
          <w:rFonts w:ascii="Arial MT" w:hAnsi="Arial MT"/>
          <w:color w:val="231F1F"/>
          <w:w w:val="105"/>
          <w:position w:val="4"/>
          <w:sz w:val="18"/>
        </w:rPr>
        <w:t>ECCs </w:t>
      </w:r>
      <w:r>
        <w:rPr>
          <w:color w:val="231F1F"/>
          <w:w w:val="105"/>
        </w:rPr>
        <w:t>las mujeres con MEFC eran menos propensas a tener niños con convulsiones</w:t>
      </w:r>
      <w:r>
        <w:rPr>
          <w:color w:val="231F1F"/>
        </w:rPr>
        <w:tab/>
      </w:r>
      <w:r>
        <w:rPr>
          <w:rFonts w:ascii="Arial MT" w:hAnsi="Arial MT"/>
          <w:color w:val="231F1F"/>
          <w:spacing w:val="-6"/>
          <w:w w:val="105"/>
          <w:position w:val="8"/>
          <w:sz w:val="18"/>
        </w:rPr>
        <w:t>II</w:t>
      </w:r>
    </w:p>
    <w:p>
      <w:pPr>
        <w:pStyle w:val="BodyText"/>
        <w:spacing w:line="244" w:lineRule="auto" w:before="7"/>
        <w:ind w:left="283" w:right="1371"/>
        <w:jc w:val="both"/>
      </w:pPr>
      <w:r>
        <w:rPr>
          <w:color w:val="231F1F"/>
          <w:w w:val="110"/>
        </w:rPr>
        <w:t>neonatales,</w:t>
      </w:r>
      <w:r>
        <w:rPr>
          <w:color w:val="231F1F"/>
          <w:spacing w:val="-15"/>
          <w:w w:val="110"/>
        </w:rPr>
        <w:t> </w:t>
      </w:r>
      <w:r>
        <w:rPr>
          <w:color w:val="231F1F"/>
          <w:w w:val="110"/>
        </w:rPr>
        <w:t>RR</w:t>
      </w:r>
      <w:r>
        <w:rPr>
          <w:color w:val="231F1F"/>
          <w:spacing w:val="-13"/>
          <w:w w:val="110"/>
        </w:rPr>
        <w:t> </w:t>
      </w:r>
      <w:r>
        <w:rPr>
          <w:color w:val="231F1F"/>
          <w:w w:val="110"/>
        </w:rPr>
        <w:t>0,36</w:t>
      </w:r>
      <w:r>
        <w:rPr>
          <w:color w:val="231F1F"/>
          <w:spacing w:val="-14"/>
          <w:w w:val="110"/>
        </w:rPr>
        <w:t> </w:t>
      </w:r>
      <w:r>
        <w:rPr>
          <w:color w:val="231F1F"/>
          <w:w w:val="110"/>
        </w:rPr>
        <w:t>[IC</w:t>
      </w:r>
      <w:r>
        <w:rPr>
          <w:color w:val="231F1F"/>
          <w:spacing w:val="-13"/>
          <w:w w:val="110"/>
        </w:rPr>
        <w:t> </w:t>
      </w:r>
      <w:r>
        <w:rPr>
          <w:color w:val="231F1F"/>
          <w:w w:val="110"/>
        </w:rPr>
        <w:t>95%</w:t>
      </w:r>
      <w:r>
        <w:rPr>
          <w:color w:val="231F1F"/>
          <w:spacing w:val="-13"/>
          <w:w w:val="110"/>
        </w:rPr>
        <w:t> </w:t>
      </w:r>
      <w:r>
        <w:rPr>
          <w:color w:val="231F1F"/>
          <w:w w:val="110"/>
        </w:rPr>
        <w:t>0,16</w:t>
      </w:r>
      <w:r>
        <w:rPr>
          <w:color w:val="231F1F"/>
          <w:spacing w:val="-14"/>
          <w:w w:val="110"/>
        </w:rPr>
        <w:t> </w:t>
      </w:r>
      <w:r>
        <w:rPr>
          <w:color w:val="231F1F"/>
          <w:w w:val="110"/>
        </w:rPr>
        <w:t>a</w:t>
      </w:r>
      <w:r>
        <w:rPr>
          <w:color w:val="231F1F"/>
          <w:spacing w:val="-14"/>
          <w:w w:val="110"/>
        </w:rPr>
        <w:t> </w:t>
      </w:r>
      <w:r>
        <w:rPr>
          <w:color w:val="231F1F"/>
          <w:w w:val="110"/>
        </w:rPr>
        <w:t>0,81]</w:t>
      </w:r>
      <w:r>
        <w:rPr>
          <w:color w:val="231F1F"/>
          <w:spacing w:val="-14"/>
          <w:w w:val="110"/>
        </w:rPr>
        <w:t> </w:t>
      </w:r>
      <w:r>
        <w:rPr>
          <w:color w:val="231F1F"/>
          <w:w w:val="110"/>
        </w:rPr>
        <w:t>y</w:t>
      </w:r>
      <w:r>
        <w:rPr>
          <w:color w:val="231F1F"/>
          <w:spacing w:val="-14"/>
          <w:w w:val="110"/>
        </w:rPr>
        <w:t> </w:t>
      </w:r>
      <w:r>
        <w:rPr>
          <w:color w:val="231F1F"/>
          <w:w w:val="110"/>
        </w:rPr>
        <w:t>más</w:t>
      </w:r>
      <w:r>
        <w:rPr>
          <w:color w:val="231F1F"/>
          <w:spacing w:val="-14"/>
          <w:w w:val="110"/>
        </w:rPr>
        <w:t> </w:t>
      </w:r>
      <w:r>
        <w:rPr>
          <w:color w:val="231F1F"/>
          <w:w w:val="110"/>
        </w:rPr>
        <w:t>propensas</w:t>
      </w:r>
      <w:r>
        <w:rPr>
          <w:color w:val="231F1F"/>
          <w:spacing w:val="-14"/>
          <w:w w:val="110"/>
        </w:rPr>
        <w:t> </w:t>
      </w:r>
      <w:r>
        <w:rPr>
          <w:color w:val="231F1F"/>
          <w:w w:val="110"/>
        </w:rPr>
        <w:t>a</w:t>
      </w:r>
      <w:r>
        <w:rPr>
          <w:color w:val="231F1F"/>
          <w:spacing w:val="-14"/>
          <w:w w:val="110"/>
        </w:rPr>
        <w:t> </w:t>
      </w:r>
      <w:r>
        <w:rPr>
          <w:color w:val="231F1F"/>
          <w:w w:val="110"/>
        </w:rPr>
        <w:t>tener</w:t>
      </w:r>
      <w:r>
        <w:rPr>
          <w:color w:val="231F1F"/>
          <w:spacing w:val="-14"/>
          <w:w w:val="110"/>
        </w:rPr>
        <w:t> </w:t>
      </w:r>
      <w:r>
        <w:rPr>
          <w:color w:val="231F1F"/>
          <w:w w:val="110"/>
        </w:rPr>
        <w:t>niños</w:t>
      </w:r>
      <w:r>
        <w:rPr>
          <w:color w:val="231F1F"/>
          <w:spacing w:val="-14"/>
          <w:w w:val="110"/>
        </w:rPr>
        <w:t> </w:t>
      </w:r>
      <w:r>
        <w:rPr>
          <w:color w:val="231F1F"/>
          <w:w w:val="110"/>
        </w:rPr>
        <w:t>con </w:t>
      </w:r>
      <w:r>
        <w:rPr>
          <w:color w:val="231F1F"/>
        </w:rPr>
        <w:t>necesidad de ser ingresados en unidades neonatales, RR 1,37 [IC 95% 1,01 a </w:t>
      </w:r>
      <w:r>
        <w:rPr>
          <w:color w:val="231F1F"/>
          <w:w w:val="110"/>
        </w:rPr>
        <w:t>1,87] en comparación con el grupo de auscultación intermitente.</w:t>
      </w:r>
    </w:p>
    <w:p>
      <w:pPr>
        <w:tabs>
          <w:tab w:pos="7913" w:val="left" w:leader="none"/>
          <w:tab w:pos="8168" w:val="left" w:leader="none"/>
        </w:tabs>
        <w:spacing w:line="240" w:lineRule="auto" w:before="99"/>
        <w:ind w:left="283" w:right="321" w:firstLine="453"/>
        <w:jc w:val="both"/>
        <w:rPr>
          <w:rFonts w:ascii="Arial MT" w:hAnsi="Arial MT"/>
          <w:position w:val="8"/>
          <w:sz w:val="18"/>
        </w:rPr>
      </w:pPr>
      <w:r>
        <w:rPr>
          <w:color w:val="231F1F"/>
          <w:w w:val="105"/>
          <w:sz w:val="22"/>
        </w:rPr>
        <w:t>Cuando</w:t>
      </w:r>
      <w:r>
        <w:rPr>
          <w:color w:val="231F1F"/>
          <w:spacing w:val="-15"/>
          <w:w w:val="105"/>
          <w:sz w:val="22"/>
        </w:rPr>
        <w:t> </w:t>
      </w:r>
      <w:r>
        <w:rPr>
          <w:color w:val="231F1F"/>
          <w:w w:val="105"/>
          <w:sz w:val="22"/>
        </w:rPr>
        <w:t>se</w:t>
      </w:r>
      <w:r>
        <w:rPr>
          <w:color w:val="231F1F"/>
          <w:spacing w:val="-14"/>
          <w:w w:val="105"/>
          <w:sz w:val="22"/>
        </w:rPr>
        <w:t> </w:t>
      </w:r>
      <w:r>
        <w:rPr>
          <w:color w:val="231F1F"/>
          <w:w w:val="105"/>
          <w:sz w:val="22"/>
        </w:rPr>
        <w:t>analizan</w:t>
      </w:r>
      <w:r>
        <w:rPr>
          <w:color w:val="231F1F"/>
          <w:spacing w:val="-15"/>
          <w:w w:val="105"/>
          <w:sz w:val="22"/>
        </w:rPr>
        <w:t> </w:t>
      </w:r>
      <w:r>
        <w:rPr>
          <w:color w:val="231F1F"/>
          <w:w w:val="105"/>
          <w:sz w:val="22"/>
        </w:rPr>
        <w:t>los</w:t>
      </w:r>
      <w:r>
        <w:rPr>
          <w:color w:val="231F1F"/>
          <w:spacing w:val="-14"/>
          <w:w w:val="105"/>
          <w:sz w:val="22"/>
        </w:rPr>
        <w:t> </w:t>
      </w:r>
      <w:r>
        <w:rPr>
          <w:color w:val="231F1F"/>
          <w:w w:val="105"/>
          <w:sz w:val="22"/>
        </w:rPr>
        <w:t>resultados</w:t>
      </w:r>
      <w:r>
        <w:rPr>
          <w:color w:val="231F1F"/>
          <w:spacing w:val="-15"/>
          <w:w w:val="105"/>
          <w:sz w:val="22"/>
        </w:rPr>
        <w:t> </w:t>
      </w:r>
      <w:r>
        <w:rPr>
          <w:color w:val="231F1F"/>
          <w:w w:val="105"/>
          <w:sz w:val="22"/>
        </w:rPr>
        <w:t>en</w:t>
      </w:r>
      <w:r>
        <w:rPr>
          <w:color w:val="231F1F"/>
          <w:spacing w:val="-14"/>
          <w:w w:val="105"/>
          <w:sz w:val="22"/>
        </w:rPr>
        <w:t> </w:t>
      </w:r>
      <w:r>
        <w:rPr>
          <w:color w:val="231F1F"/>
          <w:w w:val="105"/>
          <w:sz w:val="22"/>
        </w:rPr>
        <w:t>el</w:t>
      </w:r>
      <w:r>
        <w:rPr>
          <w:color w:val="231F1F"/>
          <w:spacing w:val="-15"/>
          <w:w w:val="105"/>
          <w:sz w:val="22"/>
        </w:rPr>
        <w:t> </w:t>
      </w:r>
      <w:r>
        <w:rPr>
          <w:color w:val="231F1F"/>
          <w:w w:val="105"/>
          <w:sz w:val="22"/>
        </w:rPr>
        <w:t>conjunto</w:t>
      </w:r>
      <w:r>
        <w:rPr>
          <w:color w:val="231F1F"/>
          <w:spacing w:val="-14"/>
          <w:w w:val="105"/>
          <w:sz w:val="22"/>
        </w:rPr>
        <w:t> </w:t>
      </w:r>
      <w:r>
        <w:rPr>
          <w:color w:val="231F1F"/>
          <w:w w:val="105"/>
          <w:sz w:val="22"/>
        </w:rPr>
        <w:t>de</w:t>
      </w:r>
      <w:r>
        <w:rPr>
          <w:color w:val="231F1F"/>
          <w:spacing w:val="-14"/>
          <w:w w:val="105"/>
          <w:sz w:val="22"/>
        </w:rPr>
        <w:t> </w:t>
      </w:r>
      <w:r>
        <w:rPr>
          <w:i/>
          <w:color w:val="231F1F"/>
          <w:w w:val="105"/>
          <w:sz w:val="22"/>
        </w:rPr>
        <w:t>mujeres</w:t>
      </w:r>
      <w:r>
        <w:rPr>
          <w:i/>
          <w:color w:val="231F1F"/>
          <w:spacing w:val="-15"/>
          <w:w w:val="105"/>
          <w:sz w:val="22"/>
        </w:rPr>
        <w:t> </w:t>
      </w:r>
      <w:r>
        <w:rPr>
          <w:i/>
          <w:color w:val="231F1F"/>
          <w:w w:val="105"/>
          <w:sz w:val="22"/>
        </w:rPr>
        <w:t>de</w:t>
      </w:r>
      <w:r>
        <w:rPr>
          <w:i/>
          <w:color w:val="231F1F"/>
          <w:spacing w:val="-14"/>
          <w:w w:val="105"/>
          <w:sz w:val="22"/>
        </w:rPr>
        <w:t> </w:t>
      </w:r>
      <w:r>
        <w:rPr>
          <w:i/>
          <w:color w:val="231F1F"/>
          <w:w w:val="105"/>
          <w:sz w:val="22"/>
        </w:rPr>
        <w:t>alto</w:t>
      </w:r>
      <w:r>
        <w:rPr>
          <w:i/>
          <w:color w:val="231F1F"/>
          <w:spacing w:val="-15"/>
          <w:w w:val="105"/>
          <w:sz w:val="22"/>
        </w:rPr>
        <w:t> </w:t>
      </w:r>
      <w:r>
        <w:rPr>
          <w:i/>
          <w:color w:val="231F1F"/>
          <w:w w:val="105"/>
          <w:sz w:val="22"/>
        </w:rPr>
        <w:t>y</w:t>
      </w:r>
      <w:r>
        <w:rPr>
          <w:i/>
          <w:color w:val="231F1F"/>
          <w:spacing w:val="-14"/>
          <w:w w:val="105"/>
          <w:sz w:val="22"/>
        </w:rPr>
        <w:t> </w:t>
      </w:r>
      <w:r>
        <w:rPr>
          <w:i/>
          <w:color w:val="231F1F"/>
          <w:w w:val="105"/>
          <w:sz w:val="22"/>
        </w:rPr>
        <w:t>bajo</w:t>
      </w:r>
      <w:r>
        <w:rPr>
          <w:i/>
          <w:color w:val="231F1F"/>
          <w:spacing w:val="24"/>
          <w:w w:val="105"/>
          <w:sz w:val="22"/>
        </w:rPr>
        <w:t> </w:t>
      </w:r>
      <w:r>
        <w:rPr>
          <w:rFonts w:ascii="Arial MT" w:hAnsi="Arial MT"/>
          <w:color w:val="231F1F"/>
          <w:w w:val="105"/>
          <w:sz w:val="18"/>
        </w:rPr>
        <w:t>RS de ECAs </w:t>
      </w:r>
      <w:r>
        <w:rPr>
          <w:i/>
          <w:color w:val="231F1F"/>
          <w:w w:val="105"/>
          <w:sz w:val="22"/>
        </w:rPr>
        <w:t>riesgo</w:t>
      </w:r>
      <w:r>
        <w:rPr>
          <w:color w:val="231F1F"/>
          <w:w w:val="105"/>
          <w:sz w:val="22"/>
        </w:rPr>
        <w:t>, nueve ensayos que incluían 32.386 encontraron una reducción a la</w:t>
      </w:r>
      <w:r>
        <w:rPr>
          <w:color w:val="231F1F"/>
          <w:sz w:val="22"/>
        </w:rPr>
        <w:tab/>
      </w:r>
      <w:r>
        <w:rPr>
          <w:rFonts w:ascii="Arial MT" w:hAnsi="Arial MT"/>
          <w:color w:val="231F1F"/>
          <w:w w:val="105"/>
          <w:position w:val="4"/>
          <w:sz w:val="18"/>
        </w:rPr>
        <w:t>y ECCs </w:t>
      </w:r>
      <w:r>
        <w:rPr>
          <w:color w:val="231F1F"/>
          <w:w w:val="105"/>
          <w:sz w:val="22"/>
        </w:rPr>
        <w:t>mitad de las convulsiones neonatales con la MECF: RR 0,50 [IC 95% 0,31 a</w:t>
      </w:r>
      <w:r>
        <w:rPr>
          <w:color w:val="231F1F"/>
          <w:sz w:val="22"/>
        </w:rPr>
        <w:tab/>
        <w:tab/>
      </w:r>
      <w:r>
        <w:rPr>
          <w:rFonts w:ascii="Arial MT" w:hAnsi="Arial MT"/>
          <w:color w:val="231F1F"/>
          <w:spacing w:val="-6"/>
          <w:w w:val="105"/>
          <w:position w:val="8"/>
          <w:sz w:val="18"/>
        </w:rPr>
        <w:t>II</w:t>
      </w:r>
    </w:p>
    <w:p>
      <w:pPr>
        <w:pStyle w:val="BodyText"/>
        <w:spacing w:before="15"/>
        <w:ind w:left="283" w:right="1709"/>
        <w:jc w:val="both"/>
      </w:pPr>
      <w:r>
        <w:rPr>
          <w:color w:val="231F1F"/>
          <w:w w:val="105"/>
        </w:rPr>
        <w:t>0,80]</w:t>
      </w:r>
      <w:r>
        <w:rPr>
          <w:color w:val="231F1F"/>
          <w:spacing w:val="-4"/>
          <w:w w:val="105"/>
        </w:rPr>
        <w:t> </w:t>
      </w:r>
      <w:r>
        <w:rPr>
          <w:color w:val="231F1F"/>
          <w:w w:val="105"/>
        </w:rPr>
        <w:t>aunque</w:t>
      </w:r>
      <w:r>
        <w:rPr>
          <w:color w:val="231F1F"/>
          <w:spacing w:val="-4"/>
          <w:w w:val="105"/>
        </w:rPr>
        <w:t> </w:t>
      </w:r>
      <w:r>
        <w:rPr>
          <w:color w:val="231F1F"/>
          <w:w w:val="105"/>
        </w:rPr>
        <w:t>en</w:t>
      </w:r>
      <w:r>
        <w:rPr>
          <w:color w:val="231F1F"/>
          <w:spacing w:val="-4"/>
          <w:w w:val="105"/>
        </w:rPr>
        <w:t> </w:t>
      </w:r>
      <w:r>
        <w:rPr>
          <w:color w:val="231F1F"/>
          <w:w w:val="105"/>
        </w:rPr>
        <w:t>dos</w:t>
      </w:r>
      <w:r>
        <w:rPr>
          <w:color w:val="231F1F"/>
          <w:spacing w:val="-4"/>
          <w:w w:val="105"/>
        </w:rPr>
        <w:t> </w:t>
      </w:r>
      <w:r>
        <w:rPr>
          <w:color w:val="231F1F"/>
          <w:w w:val="105"/>
        </w:rPr>
        <w:t>estudios</w:t>
      </w:r>
      <w:r>
        <w:rPr>
          <w:color w:val="231F1F"/>
          <w:spacing w:val="-4"/>
          <w:w w:val="105"/>
        </w:rPr>
        <w:t> </w:t>
      </w:r>
      <w:r>
        <w:rPr>
          <w:color w:val="231F1F"/>
          <w:w w:val="105"/>
        </w:rPr>
        <w:t>con</w:t>
      </w:r>
      <w:r>
        <w:rPr>
          <w:color w:val="231F1F"/>
          <w:spacing w:val="-4"/>
          <w:w w:val="105"/>
        </w:rPr>
        <w:t> </w:t>
      </w:r>
      <w:r>
        <w:rPr>
          <w:color w:val="231F1F"/>
          <w:w w:val="105"/>
        </w:rPr>
        <w:t>13.252</w:t>
      </w:r>
      <w:r>
        <w:rPr>
          <w:color w:val="231F1F"/>
          <w:spacing w:val="-4"/>
          <w:w w:val="105"/>
        </w:rPr>
        <w:t> </w:t>
      </w:r>
      <w:r>
        <w:rPr>
          <w:color w:val="231F1F"/>
          <w:w w:val="105"/>
        </w:rPr>
        <w:t>mujeres</w:t>
      </w:r>
      <w:r>
        <w:rPr>
          <w:color w:val="231F1F"/>
          <w:spacing w:val="-4"/>
          <w:w w:val="105"/>
        </w:rPr>
        <w:t> </w:t>
      </w:r>
      <w:r>
        <w:rPr>
          <w:color w:val="231F1F"/>
          <w:w w:val="105"/>
        </w:rPr>
        <w:t>no</w:t>
      </w:r>
      <w:r>
        <w:rPr>
          <w:color w:val="231F1F"/>
          <w:spacing w:val="-4"/>
          <w:w w:val="105"/>
        </w:rPr>
        <w:t> </w:t>
      </w:r>
      <w:r>
        <w:rPr>
          <w:color w:val="231F1F"/>
          <w:w w:val="105"/>
        </w:rPr>
        <w:t>detectaron</w:t>
      </w:r>
      <w:r>
        <w:rPr>
          <w:color w:val="231F1F"/>
          <w:spacing w:val="-4"/>
          <w:w w:val="105"/>
        </w:rPr>
        <w:t> </w:t>
      </w:r>
      <w:r>
        <w:rPr>
          <w:color w:val="231F1F"/>
          <w:w w:val="105"/>
        </w:rPr>
        <w:t>diferencias significativas en la parálisis cerebral: RR 1,74 [IC 95% 0,97 a 3,11].</w:t>
      </w:r>
    </w:p>
    <w:p>
      <w:pPr>
        <w:pStyle w:val="BodyText"/>
        <w:tabs>
          <w:tab w:pos="8036" w:val="left" w:leader="none"/>
        </w:tabs>
        <w:spacing w:before="99"/>
        <w:ind w:left="736"/>
        <w:jc w:val="both"/>
        <w:rPr>
          <w:rFonts w:ascii="Arial MT" w:hAnsi="Arial MT"/>
          <w:sz w:val="18"/>
        </w:rPr>
      </w:pPr>
      <w:r>
        <w:rPr>
          <w:color w:val="231F1F"/>
          <w:w w:val="105"/>
        </w:rPr>
        <w:t>La</w:t>
      </w:r>
      <w:r>
        <w:rPr>
          <w:color w:val="231F1F"/>
          <w:spacing w:val="-2"/>
          <w:w w:val="105"/>
        </w:rPr>
        <w:t> </w:t>
      </w:r>
      <w:r>
        <w:rPr>
          <w:color w:val="231F1F"/>
          <w:w w:val="105"/>
        </w:rPr>
        <w:t>guía</w:t>
      </w:r>
      <w:r>
        <w:rPr>
          <w:color w:val="231F1F"/>
          <w:spacing w:val="-1"/>
          <w:w w:val="105"/>
        </w:rPr>
        <w:t> </w:t>
      </w:r>
      <w:r>
        <w:rPr>
          <w:color w:val="231F1F"/>
          <w:w w:val="105"/>
        </w:rPr>
        <w:t>NICE (10)</w:t>
      </w:r>
      <w:r>
        <w:rPr>
          <w:color w:val="231F1F"/>
          <w:spacing w:val="-1"/>
          <w:w w:val="105"/>
        </w:rPr>
        <w:t> </w:t>
      </w:r>
      <w:r>
        <w:rPr>
          <w:color w:val="231F1F"/>
          <w:w w:val="105"/>
        </w:rPr>
        <w:t>también</w:t>
      </w:r>
      <w:r>
        <w:rPr>
          <w:color w:val="231F1F"/>
          <w:spacing w:val="-2"/>
          <w:w w:val="105"/>
        </w:rPr>
        <w:t> </w:t>
      </w:r>
      <w:r>
        <w:rPr>
          <w:color w:val="231F1F"/>
          <w:w w:val="105"/>
        </w:rPr>
        <w:t>analiza</w:t>
      </w:r>
      <w:r>
        <w:rPr>
          <w:color w:val="231F1F"/>
          <w:spacing w:val="1"/>
          <w:w w:val="105"/>
        </w:rPr>
        <w:t> </w:t>
      </w:r>
      <w:r>
        <w:rPr>
          <w:color w:val="231F1F"/>
          <w:w w:val="105"/>
        </w:rPr>
        <w:t>el</w:t>
      </w:r>
      <w:r>
        <w:rPr>
          <w:color w:val="231F1F"/>
          <w:spacing w:val="-2"/>
          <w:w w:val="105"/>
        </w:rPr>
        <w:t> </w:t>
      </w:r>
      <w:r>
        <w:rPr>
          <w:color w:val="231F1F"/>
          <w:w w:val="105"/>
        </w:rPr>
        <w:t>uso</w:t>
      </w:r>
      <w:r>
        <w:rPr>
          <w:color w:val="231F1F"/>
          <w:spacing w:val="-1"/>
          <w:w w:val="105"/>
        </w:rPr>
        <w:t> </w:t>
      </w:r>
      <w:r>
        <w:rPr>
          <w:color w:val="231F1F"/>
          <w:w w:val="105"/>
        </w:rPr>
        <w:t>de</w:t>
      </w:r>
      <w:r>
        <w:rPr>
          <w:color w:val="231F1F"/>
          <w:spacing w:val="-1"/>
          <w:w w:val="105"/>
        </w:rPr>
        <w:t> </w:t>
      </w:r>
      <w:r>
        <w:rPr>
          <w:color w:val="231F1F"/>
          <w:w w:val="105"/>
        </w:rPr>
        <w:t>la</w:t>
      </w:r>
      <w:r>
        <w:rPr>
          <w:color w:val="231F1F"/>
          <w:spacing w:val="1"/>
          <w:w w:val="105"/>
        </w:rPr>
        <w:t> </w:t>
      </w:r>
      <w:r>
        <w:rPr>
          <w:color w:val="231F1F"/>
          <w:w w:val="105"/>
        </w:rPr>
        <w:t>ultrasonografía</w:t>
      </w:r>
      <w:r>
        <w:rPr>
          <w:color w:val="231F1F"/>
          <w:spacing w:val="-4"/>
          <w:w w:val="105"/>
        </w:rPr>
        <w:t> </w:t>
      </w:r>
      <w:r>
        <w:rPr>
          <w:color w:val="231F1F"/>
          <w:spacing w:val="-2"/>
          <w:w w:val="105"/>
        </w:rPr>
        <w:t>Doppler</w:t>
      </w:r>
      <w:r>
        <w:rPr>
          <w:color w:val="231F1F"/>
        </w:rPr>
        <w:tab/>
      </w:r>
      <w:r>
        <w:rPr>
          <w:rFonts w:ascii="Arial MT" w:hAnsi="Arial MT"/>
          <w:color w:val="231F1F"/>
          <w:spacing w:val="-5"/>
          <w:w w:val="105"/>
          <w:sz w:val="18"/>
        </w:rPr>
        <w:t>ECA</w:t>
      </w:r>
    </w:p>
    <w:p>
      <w:pPr>
        <w:pStyle w:val="BodyText"/>
        <w:tabs>
          <w:tab w:pos="8168" w:val="left" w:leader="none"/>
        </w:tabs>
        <w:spacing w:before="22"/>
        <w:ind w:left="283"/>
        <w:jc w:val="both"/>
        <w:rPr>
          <w:rFonts w:ascii="Arial MT" w:hAnsi="Arial MT"/>
          <w:position w:val="4"/>
          <w:sz w:val="18"/>
        </w:rPr>
      </w:pPr>
      <w:r>
        <w:rPr>
          <w:color w:val="231F1F"/>
          <w:w w:val="105"/>
        </w:rPr>
        <w:t>frente</w:t>
      </w:r>
      <w:r>
        <w:rPr>
          <w:color w:val="231F1F"/>
          <w:spacing w:val="-1"/>
          <w:w w:val="105"/>
        </w:rPr>
        <w:t> </w:t>
      </w:r>
      <w:r>
        <w:rPr>
          <w:color w:val="231F1F"/>
          <w:w w:val="105"/>
        </w:rPr>
        <w:t>al</w:t>
      </w:r>
      <w:r>
        <w:rPr>
          <w:color w:val="231F1F"/>
          <w:spacing w:val="-3"/>
          <w:w w:val="105"/>
        </w:rPr>
        <w:t> </w:t>
      </w:r>
      <w:r>
        <w:rPr>
          <w:color w:val="231F1F"/>
          <w:w w:val="105"/>
        </w:rPr>
        <w:t>estetoscopio</w:t>
      </w:r>
      <w:r>
        <w:rPr>
          <w:color w:val="231F1F"/>
          <w:spacing w:val="2"/>
          <w:w w:val="105"/>
        </w:rPr>
        <w:t> </w:t>
      </w:r>
      <w:r>
        <w:rPr>
          <w:color w:val="231F1F"/>
          <w:w w:val="105"/>
        </w:rPr>
        <w:t>Pinard.</w:t>
      </w:r>
      <w:r>
        <w:rPr>
          <w:color w:val="231F1F"/>
          <w:spacing w:val="-3"/>
          <w:w w:val="105"/>
        </w:rPr>
        <w:t> </w:t>
      </w:r>
      <w:r>
        <w:rPr>
          <w:color w:val="231F1F"/>
          <w:w w:val="105"/>
        </w:rPr>
        <w:t>Se</w:t>
      </w:r>
      <w:r>
        <w:rPr>
          <w:color w:val="231F1F"/>
          <w:spacing w:val="-1"/>
          <w:w w:val="105"/>
        </w:rPr>
        <w:t> </w:t>
      </w:r>
      <w:r>
        <w:rPr>
          <w:color w:val="231F1F"/>
          <w:w w:val="105"/>
        </w:rPr>
        <w:t>trata</w:t>
      </w:r>
      <w:r>
        <w:rPr>
          <w:color w:val="231F1F"/>
          <w:spacing w:val="-2"/>
          <w:w w:val="105"/>
        </w:rPr>
        <w:t> </w:t>
      </w:r>
      <w:r>
        <w:rPr>
          <w:color w:val="231F1F"/>
          <w:w w:val="105"/>
        </w:rPr>
        <w:t>de</w:t>
      </w:r>
      <w:r>
        <w:rPr>
          <w:color w:val="231F1F"/>
          <w:spacing w:val="-2"/>
          <w:w w:val="105"/>
        </w:rPr>
        <w:t> </w:t>
      </w:r>
      <w:r>
        <w:rPr>
          <w:color w:val="231F1F"/>
          <w:w w:val="105"/>
        </w:rPr>
        <w:t>un estudio pequeño</w:t>
      </w:r>
      <w:r>
        <w:rPr>
          <w:color w:val="231F1F"/>
          <w:spacing w:val="-2"/>
          <w:w w:val="105"/>
        </w:rPr>
        <w:t> </w:t>
      </w:r>
      <w:r>
        <w:rPr>
          <w:color w:val="231F1F"/>
          <w:w w:val="105"/>
        </w:rPr>
        <w:t>(364), </w:t>
      </w:r>
      <w:r>
        <w:rPr>
          <w:color w:val="231F1F"/>
          <w:spacing w:val="-2"/>
          <w:w w:val="105"/>
        </w:rPr>
        <w:t>realizado</w:t>
      </w:r>
      <w:r>
        <w:rPr>
          <w:color w:val="231F1F"/>
        </w:rPr>
        <w:tab/>
      </w:r>
      <w:r>
        <w:rPr>
          <w:rFonts w:ascii="Arial MT" w:hAnsi="Arial MT"/>
          <w:color w:val="231F1F"/>
          <w:spacing w:val="-5"/>
          <w:w w:val="105"/>
          <w:position w:val="4"/>
          <w:sz w:val="18"/>
        </w:rPr>
        <w:t>II</w:t>
      </w:r>
    </w:p>
    <w:p>
      <w:pPr>
        <w:pStyle w:val="BodyText"/>
        <w:spacing w:line="247" w:lineRule="auto" w:before="26"/>
        <w:ind w:left="283" w:right="1366"/>
        <w:jc w:val="both"/>
      </w:pPr>
      <w:r>
        <w:rPr>
          <w:color w:val="231F1F"/>
          <w:w w:val="110"/>
        </w:rPr>
        <w:t>en</w:t>
      </w:r>
      <w:r>
        <w:rPr>
          <w:color w:val="231F1F"/>
          <w:spacing w:val="-12"/>
          <w:w w:val="110"/>
        </w:rPr>
        <w:t> </w:t>
      </w:r>
      <w:r>
        <w:rPr>
          <w:color w:val="231F1F"/>
          <w:w w:val="110"/>
        </w:rPr>
        <w:t>1994</w:t>
      </w:r>
      <w:r>
        <w:rPr>
          <w:color w:val="231F1F"/>
          <w:spacing w:val="-12"/>
          <w:w w:val="110"/>
        </w:rPr>
        <w:t> </w:t>
      </w:r>
      <w:r>
        <w:rPr>
          <w:color w:val="231F1F"/>
          <w:w w:val="110"/>
        </w:rPr>
        <w:t>en</w:t>
      </w:r>
      <w:r>
        <w:rPr>
          <w:color w:val="231F1F"/>
          <w:spacing w:val="-12"/>
          <w:w w:val="110"/>
        </w:rPr>
        <w:t> </w:t>
      </w:r>
      <w:r>
        <w:rPr>
          <w:color w:val="231F1F"/>
          <w:w w:val="110"/>
        </w:rPr>
        <w:t>un</w:t>
      </w:r>
      <w:r>
        <w:rPr>
          <w:color w:val="231F1F"/>
          <w:spacing w:val="-12"/>
          <w:w w:val="110"/>
        </w:rPr>
        <w:t> </w:t>
      </w:r>
      <w:r>
        <w:rPr>
          <w:color w:val="231F1F"/>
          <w:w w:val="110"/>
        </w:rPr>
        <w:t>país</w:t>
      </w:r>
      <w:r>
        <w:rPr>
          <w:color w:val="231F1F"/>
          <w:spacing w:val="-13"/>
          <w:w w:val="110"/>
        </w:rPr>
        <w:t> </w:t>
      </w:r>
      <w:r>
        <w:rPr>
          <w:color w:val="231F1F"/>
          <w:w w:val="110"/>
        </w:rPr>
        <w:t>de</w:t>
      </w:r>
      <w:r>
        <w:rPr>
          <w:color w:val="231F1F"/>
          <w:spacing w:val="-12"/>
          <w:w w:val="110"/>
        </w:rPr>
        <w:t> </w:t>
      </w:r>
      <w:r>
        <w:rPr>
          <w:color w:val="231F1F"/>
          <w:w w:val="110"/>
        </w:rPr>
        <w:t>bajos</w:t>
      </w:r>
      <w:r>
        <w:rPr>
          <w:color w:val="231F1F"/>
          <w:spacing w:val="-13"/>
          <w:w w:val="110"/>
        </w:rPr>
        <w:t> </w:t>
      </w:r>
      <w:r>
        <w:rPr>
          <w:color w:val="231F1F"/>
          <w:w w:val="110"/>
        </w:rPr>
        <w:t>ingresos</w:t>
      </w:r>
      <w:r>
        <w:rPr>
          <w:color w:val="231F1F"/>
          <w:spacing w:val="-13"/>
          <w:w w:val="110"/>
        </w:rPr>
        <w:t> </w:t>
      </w:r>
      <w:r>
        <w:rPr>
          <w:color w:val="231F1F"/>
          <w:w w:val="110"/>
        </w:rPr>
        <w:t>con</w:t>
      </w:r>
      <w:r>
        <w:rPr>
          <w:color w:val="231F1F"/>
          <w:spacing w:val="-12"/>
          <w:w w:val="110"/>
        </w:rPr>
        <w:t> </w:t>
      </w:r>
      <w:r>
        <w:rPr>
          <w:color w:val="231F1F"/>
          <w:w w:val="110"/>
        </w:rPr>
        <w:t>1.255</w:t>
      </w:r>
      <w:r>
        <w:rPr>
          <w:color w:val="231F1F"/>
          <w:spacing w:val="-12"/>
          <w:w w:val="110"/>
        </w:rPr>
        <w:t> </w:t>
      </w:r>
      <w:r>
        <w:rPr>
          <w:color w:val="231F1F"/>
          <w:w w:val="110"/>
        </w:rPr>
        <w:t>mujeres</w:t>
      </w:r>
      <w:r>
        <w:rPr>
          <w:color w:val="231F1F"/>
          <w:spacing w:val="-12"/>
          <w:w w:val="110"/>
        </w:rPr>
        <w:t> </w:t>
      </w:r>
      <w:r>
        <w:rPr>
          <w:color w:val="231F1F"/>
          <w:w w:val="110"/>
        </w:rPr>
        <w:t>de</w:t>
      </w:r>
      <w:r>
        <w:rPr>
          <w:color w:val="231F1F"/>
          <w:spacing w:val="-12"/>
          <w:w w:val="110"/>
        </w:rPr>
        <w:t> </w:t>
      </w:r>
      <w:r>
        <w:rPr>
          <w:color w:val="231F1F"/>
          <w:w w:val="110"/>
        </w:rPr>
        <w:t>alto</w:t>
      </w:r>
      <w:r>
        <w:rPr>
          <w:color w:val="231F1F"/>
          <w:spacing w:val="-12"/>
          <w:w w:val="110"/>
        </w:rPr>
        <w:t> </w:t>
      </w:r>
      <w:r>
        <w:rPr>
          <w:color w:val="231F1F"/>
          <w:w w:val="110"/>
        </w:rPr>
        <w:t>y</w:t>
      </w:r>
      <w:r>
        <w:rPr>
          <w:color w:val="231F1F"/>
          <w:spacing w:val="-12"/>
          <w:w w:val="110"/>
        </w:rPr>
        <w:t> </w:t>
      </w:r>
      <w:r>
        <w:rPr>
          <w:color w:val="231F1F"/>
          <w:w w:val="110"/>
        </w:rPr>
        <w:t>bajo</w:t>
      </w:r>
      <w:r>
        <w:rPr>
          <w:color w:val="231F1F"/>
          <w:spacing w:val="-12"/>
          <w:w w:val="110"/>
        </w:rPr>
        <w:t> </w:t>
      </w:r>
      <w:r>
        <w:rPr>
          <w:color w:val="231F1F"/>
          <w:w w:val="110"/>
        </w:rPr>
        <w:t>riesgo donde se observa que con el Doppler se producen menos partos vaginales </w:t>
      </w:r>
      <w:r>
        <w:rPr>
          <w:color w:val="231F1F"/>
          <w:spacing w:val="-2"/>
          <w:w w:val="110"/>
        </w:rPr>
        <w:t>espontáneos:</w:t>
      </w:r>
      <w:r>
        <w:rPr>
          <w:color w:val="231F1F"/>
          <w:spacing w:val="-9"/>
          <w:w w:val="110"/>
        </w:rPr>
        <w:t> </w:t>
      </w:r>
      <w:r>
        <w:rPr>
          <w:color w:val="231F1F"/>
          <w:spacing w:val="-2"/>
          <w:w w:val="110"/>
        </w:rPr>
        <w:t>RR</w:t>
      </w:r>
      <w:r>
        <w:rPr>
          <w:color w:val="231F1F"/>
          <w:spacing w:val="-10"/>
          <w:w w:val="110"/>
        </w:rPr>
        <w:t> </w:t>
      </w:r>
      <w:r>
        <w:rPr>
          <w:color w:val="231F1F"/>
          <w:spacing w:val="-2"/>
          <w:w w:val="110"/>
        </w:rPr>
        <w:t>0,83</w:t>
      </w:r>
      <w:r>
        <w:rPr>
          <w:color w:val="231F1F"/>
          <w:spacing w:val="-10"/>
          <w:w w:val="110"/>
        </w:rPr>
        <w:t> </w:t>
      </w:r>
      <w:r>
        <w:rPr>
          <w:color w:val="231F1F"/>
          <w:spacing w:val="-2"/>
          <w:w w:val="110"/>
        </w:rPr>
        <w:t>[ÎC95%</w:t>
      </w:r>
      <w:r>
        <w:rPr>
          <w:color w:val="231F1F"/>
          <w:spacing w:val="-9"/>
          <w:w w:val="110"/>
        </w:rPr>
        <w:t> </w:t>
      </w:r>
      <w:r>
        <w:rPr>
          <w:color w:val="231F1F"/>
          <w:spacing w:val="-2"/>
          <w:w w:val="110"/>
        </w:rPr>
        <w:t>0,76</w:t>
      </w:r>
      <w:r>
        <w:rPr>
          <w:color w:val="231F1F"/>
          <w:spacing w:val="-10"/>
          <w:w w:val="110"/>
        </w:rPr>
        <w:t> </w:t>
      </w:r>
      <w:r>
        <w:rPr>
          <w:color w:val="231F1F"/>
          <w:spacing w:val="-2"/>
          <w:w w:val="110"/>
        </w:rPr>
        <w:t>a</w:t>
      </w:r>
      <w:r>
        <w:rPr>
          <w:color w:val="231F1F"/>
          <w:spacing w:val="-10"/>
          <w:w w:val="110"/>
        </w:rPr>
        <w:t> </w:t>
      </w:r>
      <w:r>
        <w:rPr>
          <w:color w:val="231F1F"/>
          <w:spacing w:val="-2"/>
          <w:w w:val="110"/>
        </w:rPr>
        <w:t>0,91]</w:t>
      </w:r>
      <w:r>
        <w:rPr>
          <w:color w:val="231F1F"/>
          <w:spacing w:val="-11"/>
          <w:w w:val="110"/>
        </w:rPr>
        <w:t> </w:t>
      </w:r>
      <w:r>
        <w:rPr>
          <w:color w:val="231F1F"/>
          <w:spacing w:val="-2"/>
          <w:w w:val="110"/>
        </w:rPr>
        <w:t>y</w:t>
      </w:r>
      <w:r>
        <w:rPr>
          <w:color w:val="231F1F"/>
          <w:spacing w:val="-10"/>
          <w:w w:val="110"/>
        </w:rPr>
        <w:t> </w:t>
      </w:r>
      <w:r>
        <w:rPr>
          <w:color w:val="231F1F"/>
          <w:spacing w:val="-2"/>
          <w:w w:val="110"/>
        </w:rPr>
        <w:t>más</w:t>
      </w:r>
      <w:r>
        <w:rPr>
          <w:color w:val="231F1F"/>
          <w:spacing w:val="-10"/>
          <w:w w:val="110"/>
        </w:rPr>
        <w:t> </w:t>
      </w:r>
      <w:r>
        <w:rPr>
          <w:color w:val="231F1F"/>
          <w:spacing w:val="-2"/>
          <w:w w:val="110"/>
        </w:rPr>
        <w:t>cesáreas:</w:t>
      </w:r>
      <w:r>
        <w:rPr>
          <w:color w:val="231F1F"/>
          <w:spacing w:val="-10"/>
          <w:w w:val="110"/>
        </w:rPr>
        <w:t> </w:t>
      </w:r>
      <w:r>
        <w:rPr>
          <w:color w:val="231F1F"/>
          <w:spacing w:val="-2"/>
          <w:w w:val="110"/>
        </w:rPr>
        <w:t>RR</w:t>
      </w:r>
      <w:r>
        <w:rPr>
          <w:color w:val="231F1F"/>
          <w:spacing w:val="-10"/>
          <w:w w:val="110"/>
        </w:rPr>
        <w:t> </w:t>
      </w:r>
      <w:r>
        <w:rPr>
          <w:color w:val="231F1F"/>
          <w:spacing w:val="-2"/>
          <w:w w:val="110"/>
        </w:rPr>
        <w:t>1,95</w:t>
      </w:r>
      <w:r>
        <w:rPr>
          <w:color w:val="231F1F"/>
          <w:spacing w:val="-10"/>
          <w:w w:val="110"/>
        </w:rPr>
        <w:t> </w:t>
      </w:r>
      <w:r>
        <w:rPr>
          <w:color w:val="231F1F"/>
          <w:spacing w:val="-2"/>
          <w:w w:val="110"/>
        </w:rPr>
        <w:t>[IC</w:t>
      </w:r>
      <w:r>
        <w:rPr>
          <w:color w:val="231F1F"/>
          <w:spacing w:val="-10"/>
          <w:w w:val="110"/>
        </w:rPr>
        <w:t> </w:t>
      </w:r>
      <w:r>
        <w:rPr>
          <w:color w:val="231F1F"/>
          <w:spacing w:val="-2"/>
          <w:w w:val="110"/>
        </w:rPr>
        <w:t>95% </w:t>
      </w:r>
      <w:r>
        <w:rPr>
          <w:color w:val="231F1F"/>
          <w:w w:val="110"/>
        </w:rPr>
        <w:t>1,47</w:t>
      </w:r>
      <w:r>
        <w:rPr>
          <w:color w:val="231F1F"/>
          <w:spacing w:val="-16"/>
          <w:w w:val="110"/>
        </w:rPr>
        <w:t> </w:t>
      </w:r>
      <w:r>
        <w:rPr>
          <w:color w:val="231F1F"/>
          <w:w w:val="110"/>
        </w:rPr>
        <w:t>a</w:t>
      </w:r>
      <w:r>
        <w:rPr>
          <w:color w:val="231F1F"/>
          <w:spacing w:val="-15"/>
          <w:w w:val="110"/>
        </w:rPr>
        <w:t> </w:t>
      </w:r>
      <w:r>
        <w:rPr>
          <w:color w:val="231F1F"/>
          <w:w w:val="110"/>
        </w:rPr>
        <w:t>2,60],</w:t>
      </w:r>
      <w:r>
        <w:rPr>
          <w:color w:val="231F1F"/>
          <w:spacing w:val="-15"/>
          <w:w w:val="110"/>
        </w:rPr>
        <w:t> </w:t>
      </w:r>
      <w:r>
        <w:rPr>
          <w:color w:val="231F1F"/>
          <w:w w:val="110"/>
        </w:rPr>
        <w:t>una</w:t>
      </w:r>
      <w:r>
        <w:rPr>
          <w:color w:val="231F1F"/>
          <w:spacing w:val="-15"/>
          <w:w w:val="110"/>
        </w:rPr>
        <w:t> </w:t>
      </w:r>
      <w:r>
        <w:rPr>
          <w:color w:val="231F1F"/>
          <w:w w:val="110"/>
        </w:rPr>
        <w:t>menor</w:t>
      </w:r>
      <w:r>
        <w:rPr>
          <w:color w:val="231F1F"/>
          <w:spacing w:val="-14"/>
          <w:w w:val="110"/>
        </w:rPr>
        <w:t> </w:t>
      </w:r>
      <w:r>
        <w:rPr>
          <w:color w:val="231F1F"/>
          <w:w w:val="110"/>
        </w:rPr>
        <w:t>probabilidad</w:t>
      </w:r>
      <w:r>
        <w:rPr>
          <w:color w:val="231F1F"/>
          <w:spacing w:val="-15"/>
          <w:w w:val="110"/>
        </w:rPr>
        <w:t> </w:t>
      </w:r>
      <w:r>
        <w:rPr>
          <w:color w:val="231F1F"/>
          <w:w w:val="110"/>
        </w:rPr>
        <w:t>de</w:t>
      </w:r>
      <w:r>
        <w:rPr>
          <w:color w:val="231F1F"/>
          <w:spacing w:val="-15"/>
          <w:w w:val="110"/>
        </w:rPr>
        <w:t> </w:t>
      </w:r>
      <w:r>
        <w:rPr>
          <w:color w:val="231F1F"/>
          <w:w w:val="110"/>
        </w:rPr>
        <w:t>que</w:t>
      </w:r>
      <w:r>
        <w:rPr>
          <w:color w:val="231F1F"/>
          <w:spacing w:val="-15"/>
          <w:w w:val="110"/>
        </w:rPr>
        <w:t> </w:t>
      </w:r>
      <w:r>
        <w:rPr>
          <w:color w:val="231F1F"/>
          <w:w w:val="110"/>
        </w:rPr>
        <w:t>el</w:t>
      </w:r>
      <w:r>
        <w:rPr>
          <w:color w:val="231F1F"/>
          <w:spacing w:val="-16"/>
          <w:w w:val="110"/>
        </w:rPr>
        <w:t> </w:t>
      </w:r>
      <w:r>
        <w:rPr>
          <w:color w:val="231F1F"/>
          <w:w w:val="110"/>
        </w:rPr>
        <w:t>RN</w:t>
      </w:r>
      <w:r>
        <w:rPr>
          <w:color w:val="231F1F"/>
          <w:spacing w:val="-13"/>
          <w:w w:val="110"/>
        </w:rPr>
        <w:t> </w:t>
      </w:r>
      <w:r>
        <w:rPr>
          <w:color w:val="231F1F"/>
          <w:w w:val="110"/>
        </w:rPr>
        <w:t>sea</w:t>
      </w:r>
      <w:r>
        <w:rPr>
          <w:color w:val="231F1F"/>
          <w:spacing w:val="-15"/>
          <w:w w:val="110"/>
        </w:rPr>
        <w:t> </w:t>
      </w:r>
      <w:r>
        <w:rPr>
          <w:color w:val="231F1F"/>
          <w:w w:val="110"/>
        </w:rPr>
        <w:t>ingresado</w:t>
      </w:r>
      <w:r>
        <w:rPr>
          <w:color w:val="231F1F"/>
          <w:spacing w:val="-15"/>
          <w:w w:val="110"/>
        </w:rPr>
        <w:t> </w:t>
      </w:r>
      <w:r>
        <w:rPr>
          <w:color w:val="231F1F"/>
          <w:w w:val="110"/>
        </w:rPr>
        <w:t>en</w:t>
      </w:r>
      <w:r>
        <w:rPr>
          <w:color w:val="231F1F"/>
          <w:spacing w:val="-15"/>
          <w:w w:val="110"/>
        </w:rPr>
        <w:t> </w:t>
      </w:r>
      <w:r>
        <w:rPr>
          <w:color w:val="231F1F"/>
          <w:w w:val="110"/>
        </w:rPr>
        <w:t>una</w:t>
      </w:r>
      <w:r>
        <w:rPr>
          <w:color w:val="231F1F"/>
          <w:spacing w:val="-15"/>
          <w:w w:val="110"/>
        </w:rPr>
        <w:t> </w:t>
      </w:r>
      <w:r>
        <w:rPr>
          <w:color w:val="231F1F"/>
          <w:w w:val="110"/>
        </w:rPr>
        <w:t>uni- </w:t>
      </w:r>
      <w:r>
        <w:rPr>
          <w:color w:val="231F1F"/>
        </w:rPr>
        <w:t>dad</w:t>
      </w:r>
      <w:r>
        <w:rPr>
          <w:color w:val="231F1F"/>
          <w:spacing w:val="29"/>
        </w:rPr>
        <w:t> </w:t>
      </w:r>
      <w:r>
        <w:rPr>
          <w:color w:val="231F1F"/>
        </w:rPr>
        <w:t>neonatal:</w:t>
      </w:r>
      <w:r>
        <w:rPr>
          <w:color w:val="231F1F"/>
          <w:spacing w:val="29"/>
        </w:rPr>
        <w:t> </w:t>
      </w:r>
      <w:r>
        <w:rPr>
          <w:color w:val="231F1F"/>
        </w:rPr>
        <w:t>RR</w:t>
      </w:r>
      <w:r>
        <w:rPr>
          <w:color w:val="231F1F"/>
          <w:spacing w:val="29"/>
        </w:rPr>
        <w:t> </w:t>
      </w:r>
      <w:r>
        <w:rPr>
          <w:color w:val="231F1F"/>
        </w:rPr>
        <w:t>0,65</w:t>
      </w:r>
      <w:r>
        <w:rPr>
          <w:color w:val="231F1F"/>
          <w:spacing w:val="30"/>
        </w:rPr>
        <w:t> </w:t>
      </w:r>
      <w:r>
        <w:rPr>
          <w:color w:val="231F1F"/>
        </w:rPr>
        <w:t>[IC</w:t>
      </w:r>
      <w:r>
        <w:rPr>
          <w:color w:val="231F1F"/>
          <w:spacing w:val="29"/>
        </w:rPr>
        <w:t> </w:t>
      </w:r>
      <w:r>
        <w:rPr>
          <w:color w:val="231F1F"/>
        </w:rPr>
        <w:t>95%</w:t>
      </w:r>
      <w:r>
        <w:rPr>
          <w:color w:val="231F1F"/>
          <w:spacing w:val="29"/>
        </w:rPr>
        <w:t> </w:t>
      </w:r>
      <w:r>
        <w:rPr>
          <w:color w:val="231F1F"/>
        </w:rPr>
        <w:t>0,46</w:t>
      </w:r>
      <w:r>
        <w:rPr>
          <w:color w:val="231F1F"/>
          <w:spacing w:val="29"/>
        </w:rPr>
        <w:t> </w:t>
      </w:r>
      <w:r>
        <w:rPr>
          <w:color w:val="231F1F"/>
        </w:rPr>
        <w:t>a</w:t>
      </w:r>
      <w:r>
        <w:rPr>
          <w:color w:val="231F1F"/>
          <w:spacing w:val="30"/>
        </w:rPr>
        <w:t> </w:t>
      </w:r>
      <w:r>
        <w:rPr>
          <w:color w:val="231F1F"/>
        </w:rPr>
        <w:t>0,94]</w:t>
      </w:r>
      <w:r>
        <w:rPr>
          <w:color w:val="231F1F"/>
          <w:spacing w:val="29"/>
        </w:rPr>
        <w:t> </w:t>
      </w:r>
      <w:r>
        <w:rPr>
          <w:color w:val="231F1F"/>
        </w:rPr>
        <w:t>y/o</w:t>
      </w:r>
      <w:r>
        <w:rPr>
          <w:color w:val="231F1F"/>
          <w:spacing w:val="29"/>
        </w:rPr>
        <w:t> </w:t>
      </w:r>
      <w:r>
        <w:rPr>
          <w:color w:val="231F1F"/>
        </w:rPr>
        <w:t>padecer</w:t>
      </w:r>
      <w:r>
        <w:rPr>
          <w:color w:val="231F1F"/>
          <w:spacing w:val="29"/>
        </w:rPr>
        <w:t> </w:t>
      </w:r>
      <w:r>
        <w:rPr>
          <w:color w:val="231F1F"/>
        </w:rPr>
        <w:t>encefalopatía</w:t>
      </w:r>
      <w:r>
        <w:rPr>
          <w:color w:val="231F1F"/>
          <w:spacing w:val="30"/>
        </w:rPr>
        <w:t> </w:t>
      </w:r>
      <w:r>
        <w:rPr>
          <w:color w:val="231F1F"/>
        </w:rPr>
        <w:t>hipóxi-</w:t>
      </w:r>
    </w:p>
    <w:p>
      <w:pPr>
        <w:pStyle w:val="BodyText"/>
        <w:spacing w:line="244" w:lineRule="auto" w:before="7"/>
        <w:ind w:left="283" w:right="1368"/>
        <w:jc w:val="both"/>
      </w:pPr>
      <w:r>
        <w:rPr>
          <w:color w:val="231F1F"/>
          <w:w w:val="110"/>
        </w:rPr>
        <w:t>ca:</w:t>
      </w:r>
      <w:r>
        <w:rPr>
          <w:color w:val="231F1F"/>
          <w:spacing w:val="-12"/>
          <w:w w:val="110"/>
        </w:rPr>
        <w:t> </w:t>
      </w:r>
      <w:r>
        <w:rPr>
          <w:color w:val="231F1F"/>
          <w:w w:val="110"/>
        </w:rPr>
        <w:t>RR</w:t>
      </w:r>
      <w:r>
        <w:rPr>
          <w:color w:val="231F1F"/>
          <w:spacing w:val="-11"/>
          <w:w w:val="110"/>
        </w:rPr>
        <w:t> </w:t>
      </w:r>
      <w:r>
        <w:rPr>
          <w:color w:val="231F1F"/>
          <w:w w:val="110"/>
        </w:rPr>
        <w:t>0,12</w:t>
      </w:r>
      <w:r>
        <w:rPr>
          <w:color w:val="231F1F"/>
          <w:spacing w:val="-12"/>
          <w:w w:val="110"/>
        </w:rPr>
        <w:t> </w:t>
      </w:r>
      <w:r>
        <w:rPr>
          <w:color w:val="231F1F"/>
          <w:w w:val="110"/>
        </w:rPr>
        <w:t>[IC</w:t>
      </w:r>
      <w:r>
        <w:rPr>
          <w:color w:val="231F1F"/>
          <w:spacing w:val="-11"/>
          <w:w w:val="110"/>
        </w:rPr>
        <w:t> </w:t>
      </w:r>
      <w:r>
        <w:rPr>
          <w:color w:val="231F1F"/>
          <w:w w:val="110"/>
        </w:rPr>
        <w:t>95%</w:t>
      </w:r>
      <w:r>
        <w:rPr>
          <w:color w:val="231F1F"/>
          <w:spacing w:val="-10"/>
          <w:w w:val="110"/>
        </w:rPr>
        <w:t> </w:t>
      </w:r>
      <w:r>
        <w:rPr>
          <w:color w:val="231F1F"/>
          <w:w w:val="110"/>
        </w:rPr>
        <w:t>0,02</w:t>
      </w:r>
      <w:r>
        <w:rPr>
          <w:color w:val="231F1F"/>
          <w:spacing w:val="-12"/>
          <w:w w:val="110"/>
        </w:rPr>
        <w:t> </w:t>
      </w:r>
      <w:r>
        <w:rPr>
          <w:color w:val="231F1F"/>
          <w:w w:val="110"/>
        </w:rPr>
        <w:t>a</w:t>
      </w:r>
      <w:r>
        <w:rPr>
          <w:color w:val="231F1F"/>
          <w:spacing w:val="-12"/>
          <w:w w:val="110"/>
        </w:rPr>
        <w:t> </w:t>
      </w:r>
      <w:r>
        <w:rPr>
          <w:color w:val="231F1F"/>
          <w:w w:val="110"/>
        </w:rPr>
        <w:t>0,88].</w:t>
      </w:r>
      <w:r>
        <w:rPr>
          <w:color w:val="231F1F"/>
          <w:spacing w:val="-12"/>
          <w:w w:val="110"/>
        </w:rPr>
        <w:t> </w:t>
      </w:r>
      <w:r>
        <w:rPr>
          <w:color w:val="231F1F"/>
          <w:w w:val="110"/>
        </w:rPr>
        <w:t>El</w:t>
      </w:r>
      <w:r>
        <w:rPr>
          <w:color w:val="231F1F"/>
          <w:spacing w:val="-12"/>
          <w:w w:val="110"/>
        </w:rPr>
        <w:t> </w:t>
      </w:r>
      <w:r>
        <w:rPr>
          <w:color w:val="231F1F"/>
          <w:w w:val="110"/>
        </w:rPr>
        <w:t>grupo</w:t>
      </w:r>
      <w:r>
        <w:rPr>
          <w:color w:val="231F1F"/>
          <w:spacing w:val="-12"/>
          <w:w w:val="110"/>
        </w:rPr>
        <w:t> </w:t>
      </w:r>
      <w:r>
        <w:rPr>
          <w:color w:val="231F1F"/>
          <w:w w:val="110"/>
        </w:rPr>
        <w:t>elaborador</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guía</w:t>
      </w:r>
      <w:r>
        <w:rPr>
          <w:color w:val="231F1F"/>
          <w:spacing w:val="-12"/>
          <w:w w:val="110"/>
        </w:rPr>
        <w:t> </w:t>
      </w:r>
      <w:r>
        <w:rPr>
          <w:color w:val="231F1F"/>
          <w:w w:val="110"/>
        </w:rPr>
        <w:t>NICE</w:t>
      </w:r>
      <w:r>
        <w:rPr>
          <w:color w:val="231F1F"/>
          <w:spacing w:val="-11"/>
          <w:w w:val="110"/>
        </w:rPr>
        <w:t> </w:t>
      </w:r>
      <w:r>
        <w:rPr>
          <w:color w:val="231F1F"/>
          <w:w w:val="110"/>
        </w:rPr>
        <w:t>(10) considera que se trata de una evidencia no lo suficientemente sólida como para permitir diferenciar las dos técnicas.</w:t>
      </w:r>
    </w:p>
    <w:p>
      <w:pPr>
        <w:pStyle w:val="BodyText"/>
        <w:spacing w:after="0" w:line="244" w:lineRule="auto"/>
        <w:jc w:val="both"/>
        <w:sectPr>
          <w:pgSz w:w="11900" w:h="16840"/>
          <w:pgMar w:header="0" w:footer="622" w:top="1580" w:bottom="820" w:left="1417" w:right="1559"/>
        </w:sectPr>
      </w:pPr>
    </w:p>
    <w:p>
      <w:pPr>
        <w:pStyle w:val="BodyText"/>
        <w:spacing w:line="247" w:lineRule="auto" w:before="62"/>
        <w:ind w:left="283" w:right="1368" w:firstLine="453"/>
        <w:jc w:val="both"/>
      </w:pPr>
      <w:r>
        <w:rPr>
          <w:color w:val="231F1F"/>
          <w:spacing w:val="-2"/>
          <w:w w:val="110"/>
        </w:rPr>
        <w:t>En</w:t>
      </w:r>
      <w:r>
        <w:rPr>
          <w:color w:val="231F1F"/>
          <w:spacing w:val="-9"/>
          <w:w w:val="110"/>
        </w:rPr>
        <w:t> </w:t>
      </w:r>
      <w:r>
        <w:rPr>
          <w:color w:val="231F1F"/>
          <w:spacing w:val="-2"/>
          <w:w w:val="110"/>
        </w:rPr>
        <w:t>resumen,</w:t>
      </w:r>
      <w:r>
        <w:rPr>
          <w:color w:val="231F1F"/>
          <w:spacing w:val="-10"/>
          <w:w w:val="110"/>
        </w:rPr>
        <w:t> </w:t>
      </w:r>
      <w:r>
        <w:rPr>
          <w:color w:val="231F1F"/>
          <w:spacing w:val="-2"/>
          <w:w w:val="110"/>
        </w:rPr>
        <w:t>existe</w:t>
      </w:r>
      <w:r>
        <w:rPr>
          <w:color w:val="231F1F"/>
          <w:spacing w:val="-10"/>
          <w:w w:val="110"/>
        </w:rPr>
        <w:t> </w:t>
      </w:r>
      <w:r>
        <w:rPr>
          <w:color w:val="231F1F"/>
          <w:spacing w:val="-2"/>
          <w:w w:val="110"/>
        </w:rPr>
        <w:t>un</w:t>
      </w:r>
      <w:r>
        <w:rPr>
          <w:color w:val="231F1F"/>
          <w:spacing w:val="-9"/>
          <w:w w:val="110"/>
        </w:rPr>
        <w:t> </w:t>
      </w:r>
      <w:r>
        <w:rPr>
          <w:color w:val="231F1F"/>
          <w:spacing w:val="-2"/>
          <w:w w:val="110"/>
        </w:rPr>
        <w:t>elevado</w:t>
      </w:r>
      <w:r>
        <w:rPr>
          <w:color w:val="231F1F"/>
          <w:spacing w:val="-9"/>
          <w:w w:val="110"/>
        </w:rPr>
        <w:t> </w:t>
      </w:r>
      <w:r>
        <w:rPr>
          <w:color w:val="231F1F"/>
          <w:spacing w:val="-2"/>
          <w:w w:val="110"/>
        </w:rPr>
        <w:t>nivel</w:t>
      </w:r>
      <w:r>
        <w:rPr>
          <w:color w:val="231F1F"/>
          <w:spacing w:val="-10"/>
          <w:w w:val="110"/>
        </w:rPr>
        <w:t> </w:t>
      </w:r>
      <w:r>
        <w:rPr>
          <w:color w:val="231F1F"/>
          <w:spacing w:val="-2"/>
          <w:w w:val="110"/>
        </w:rPr>
        <w:t>de</w:t>
      </w:r>
      <w:r>
        <w:rPr>
          <w:color w:val="231F1F"/>
          <w:spacing w:val="-9"/>
          <w:w w:val="110"/>
        </w:rPr>
        <w:t> </w:t>
      </w:r>
      <w:r>
        <w:rPr>
          <w:color w:val="231F1F"/>
          <w:spacing w:val="-2"/>
          <w:w w:val="110"/>
        </w:rPr>
        <w:t>evidencia</w:t>
      </w:r>
      <w:r>
        <w:rPr>
          <w:color w:val="231F1F"/>
          <w:spacing w:val="-9"/>
          <w:w w:val="110"/>
        </w:rPr>
        <w:t> </w:t>
      </w:r>
      <w:r>
        <w:rPr>
          <w:color w:val="231F1F"/>
          <w:spacing w:val="-2"/>
          <w:w w:val="110"/>
        </w:rPr>
        <w:t>de</w:t>
      </w:r>
      <w:r>
        <w:rPr>
          <w:color w:val="231F1F"/>
          <w:spacing w:val="-9"/>
          <w:w w:val="110"/>
        </w:rPr>
        <w:t> </w:t>
      </w:r>
      <w:r>
        <w:rPr>
          <w:color w:val="231F1F"/>
          <w:spacing w:val="-2"/>
          <w:w w:val="110"/>
        </w:rPr>
        <w:t>que</w:t>
      </w:r>
      <w:r>
        <w:rPr>
          <w:color w:val="231F1F"/>
          <w:spacing w:val="-10"/>
          <w:w w:val="110"/>
        </w:rPr>
        <w:t> </w:t>
      </w:r>
      <w:r>
        <w:rPr>
          <w:color w:val="231F1F"/>
          <w:spacing w:val="-2"/>
          <w:w w:val="110"/>
        </w:rPr>
        <w:t>la</w:t>
      </w:r>
      <w:r>
        <w:rPr>
          <w:color w:val="231F1F"/>
          <w:spacing w:val="-9"/>
          <w:w w:val="110"/>
        </w:rPr>
        <w:t> </w:t>
      </w:r>
      <w:r>
        <w:rPr>
          <w:color w:val="231F1F"/>
          <w:spacing w:val="-2"/>
          <w:w w:val="110"/>
        </w:rPr>
        <w:t>MEFC</w:t>
      </w:r>
      <w:r>
        <w:rPr>
          <w:color w:val="231F1F"/>
          <w:spacing w:val="-9"/>
          <w:w w:val="110"/>
        </w:rPr>
        <w:t> </w:t>
      </w:r>
      <w:r>
        <w:rPr>
          <w:color w:val="231F1F"/>
          <w:spacing w:val="-2"/>
          <w:w w:val="110"/>
        </w:rPr>
        <w:t>redu- </w:t>
      </w:r>
      <w:r>
        <w:rPr>
          <w:color w:val="231F1F"/>
          <w:w w:val="110"/>
        </w:rPr>
        <w:t>ce</w:t>
      </w:r>
      <w:r>
        <w:rPr>
          <w:color w:val="231F1F"/>
          <w:spacing w:val="-16"/>
          <w:w w:val="110"/>
        </w:rPr>
        <w:t> </w:t>
      </w:r>
      <w:r>
        <w:rPr>
          <w:color w:val="231F1F"/>
          <w:w w:val="110"/>
        </w:rPr>
        <w:t>el</w:t>
      </w:r>
      <w:r>
        <w:rPr>
          <w:color w:val="231F1F"/>
          <w:spacing w:val="-15"/>
          <w:w w:val="110"/>
        </w:rPr>
        <w:t> </w:t>
      </w:r>
      <w:r>
        <w:rPr>
          <w:color w:val="231F1F"/>
          <w:w w:val="110"/>
        </w:rPr>
        <w:t>índice</w:t>
      </w:r>
      <w:r>
        <w:rPr>
          <w:color w:val="231F1F"/>
          <w:spacing w:val="-15"/>
          <w:w w:val="110"/>
        </w:rPr>
        <w:t> </w:t>
      </w:r>
      <w:r>
        <w:rPr>
          <w:color w:val="231F1F"/>
          <w:w w:val="110"/>
        </w:rPr>
        <w:t>de</w:t>
      </w:r>
      <w:r>
        <w:rPr>
          <w:color w:val="231F1F"/>
          <w:spacing w:val="-15"/>
          <w:w w:val="110"/>
        </w:rPr>
        <w:t> </w:t>
      </w:r>
      <w:r>
        <w:rPr>
          <w:color w:val="231F1F"/>
          <w:w w:val="110"/>
        </w:rPr>
        <w:t>crisis</w:t>
      </w:r>
      <w:r>
        <w:rPr>
          <w:color w:val="231F1F"/>
          <w:spacing w:val="-15"/>
          <w:w w:val="110"/>
        </w:rPr>
        <w:t> </w:t>
      </w:r>
      <w:r>
        <w:rPr>
          <w:color w:val="231F1F"/>
          <w:w w:val="110"/>
        </w:rPr>
        <w:t>convulsivas</w:t>
      </w:r>
      <w:r>
        <w:rPr>
          <w:color w:val="231F1F"/>
          <w:spacing w:val="-15"/>
          <w:w w:val="110"/>
        </w:rPr>
        <w:t> </w:t>
      </w:r>
      <w:r>
        <w:rPr>
          <w:color w:val="231F1F"/>
          <w:w w:val="110"/>
        </w:rPr>
        <w:t>neonatales,</w:t>
      </w:r>
      <w:r>
        <w:rPr>
          <w:color w:val="231F1F"/>
          <w:spacing w:val="-15"/>
          <w:w w:val="110"/>
        </w:rPr>
        <w:t> </w:t>
      </w:r>
      <w:r>
        <w:rPr>
          <w:color w:val="231F1F"/>
          <w:w w:val="110"/>
        </w:rPr>
        <w:t>pero</w:t>
      </w:r>
      <w:r>
        <w:rPr>
          <w:color w:val="231F1F"/>
          <w:spacing w:val="-15"/>
          <w:w w:val="110"/>
        </w:rPr>
        <w:t> </w:t>
      </w:r>
      <w:r>
        <w:rPr>
          <w:color w:val="231F1F"/>
          <w:w w:val="110"/>
        </w:rPr>
        <w:t>no</w:t>
      </w:r>
      <w:r>
        <w:rPr>
          <w:color w:val="231F1F"/>
          <w:spacing w:val="-16"/>
          <w:w w:val="110"/>
        </w:rPr>
        <w:t> </w:t>
      </w:r>
      <w:r>
        <w:rPr>
          <w:color w:val="231F1F"/>
          <w:w w:val="110"/>
        </w:rPr>
        <w:t>tiene</w:t>
      </w:r>
      <w:r>
        <w:rPr>
          <w:color w:val="231F1F"/>
          <w:spacing w:val="-15"/>
          <w:w w:val="110"/>
        </w:rPr>
        <w:t> </w:t>
      </w:r>
      <w:r>
        <w:rPr>
          <w:color w:val="231F1F"/>
          <w:w w:val="110"/>
        </w:rPr>
        <w:t>impacto</w:t>
      </w:r>
      <w:r>
        <w:rPr>
          <w:color w:val="231F1F"/>
          <w:spacing w:val="-15"/>
          <w:w w:val="110"/>
        </w:rPr>
        <w:t> </w:t>
      </w:r>
      <w:r>
        <w:rPr>
          <w:color w:val="231F1F"/>
          <w:w w:val="110"/>
        </w:rPr>
        <w:t>en</w:t>
      </w:r>
      <w:r>
        <w:rPr>
          <w:color w:val="231F1F"/>
          <w:spacing w:val="-15"/>
          <w:w w:val="110"/>
        </w:rPr>
        <w:t> </w:t>
      </w:r>
      <w:r>
        <w:rPr>
          <w:color w:val="231F1F"/>
          <w:w w:val="110"/>
        </w:rPr>
        <w:t>los</w:t>
      </w:r>
      <w:r>
        <w:rPr>
          <w:color w:val="231F1F"/>
          <w:spacing w:val="-15"/>
          <w:w w:val="110"/>
        </w:rPr>
        <w:t> </w:t>
      </w:r>
      <w:r>
        <w:rPr>
          <w:color w:val="231F1F"/>
          <w:w w:val="110"/>
        </w:rPr>
        <w:t>ín- dices</w:t>
      </w:r>
      <w:r>
        <w:rPr>
          <w:color w:val="231F1F"/>
          <w:spacing w:val="-6"/>
          <w:w w:val="110"/>
        </w:rPr>
        <w:t> </w:t>
      </w:r>
      <w:r>
        <w:rPr>
          <w:color w:val="231F1F"/>
          <w:w w:val="110"/>
        </w:rPr>
        <w:t>de</w:t>
      </w:r>
      <w:r>
        <w:rPr>
          <w:color w:val="231F1F"/>
          <w:spacing w:val="-5"/>
          <w:w w:val="110"/>
        </w:rPr>
        <w:t> </w:t>
      </w:r>
      <w:r>
        <w:rPr>
          <w:color w:val="231F1F"/>
          <w:w w:val="110"/>
        </w:rPr>
        <w:t>parálisis</w:t>
      </w:r>
      <w:r>
        <w:rPr>
          <w:color w:val="231F1F"/>
          <w:spacing w:val="-6"/>
          <w:w w:val="110"/>
        </w:rPr>
        <w:t> </w:t>
      </w:r>
      <w:r>
        <w:rPr>
          <w:color w:val="231F1F"/>
          <w:w w:val="110"/>
        </w:rPr>
        <w:t>cerebral.</w:t>
      </w:r>
      <w:r>
        <w:rPr>
          <w:color w:val="231F1F"/>
          <w:spacing w:val="-6"/>
          <w:w w:val="110"/>
        </w:rPr>
        <w:t> </w:t>
      </w:r>
      <w:r>
        <w:rPr>
          <w:color w:val="231F1F"/>
          <w:w w:val="110"/>
        </w:rPr>
        <w:t>Hay</w:t>
      </w:r>
      <w:r>
        <w:rPr>
          <w:color w:val="231F1F"/>
          <w:spacing w:val="-5"/>
          <w:w w:val="110"/>
        </w:rPr>
        <w:t> </w:t>
      </w:r>
      <w:r>
        <w:rPr>
          <w:color w:val="231F1F"/>
          <w:w w:val="110"/>
        </w:rPr>
        <w:t>una</w:t>
      </w:r>
      <w:r>
        <w:rPr>
          <w:color w:val="231F1F"/>
          <w:spacing w:val="-5"/>
          <w:w w:val="110"/>
        </w:rPr>
        <w:t> </w:t>
      </w:r>
      <w:r>
        <w:rPr>
          <w:color w:val="231F1F"/>
          <w:w w:val="110"/>
        </w:rPr>
        <w:t>elevada</w:t>
      </w:r>
      <w:r>
        <w:rPr>
          <w:color w:val="231F1F"/>
          <w:spacing w:val="-5"/>
          <w:w w:val="110"/>
        </w:rPr>
        <w:t> </w:t>
      </w:r>
      <w:r>
        <w:rPr>
          <w:color w:val="231F1F"/>
          <w:w w:val="110"/>
        </w:rPr>
        <w:t>evidencia</w:t>
      </w:r>
      <w:r>
        <w:rPr>
          <w:color w:val="231F1F"/>
          <w:spacing w:val="-5"/>
          <w:w w:val="110"/>
        </w:rPr>
        <w:t> </w:t>
      </w:r>
      <w:r>
        <w:rPr>
          <w:color w:val="231F1F"/>
          <w:w w:val="110"/>
        </w:rPr>
        <w:t>de</w:t>
      </w:r>
      <w:r>
        <w:rPr>
          <w:color w:val="231F1F"/>
          <w:spacing w:val="-5"/>
          <w:w w:val="110"/>
        </w:rPr>
        <w:t> </w:t>
      </w:r>
      <w:r>
        <w:rPr>
          <w:color w:val="231F1F"/>
          <w:w w:val="110"/>
        </w:rPr>
        <w:t>que</w:t>
      </w:r>
      <w:r>
        <w:rPr>
          <w:color w:val="231F1F"/>
          <w:spacing w:val="-5"/>
          <w:w w:val="110"/>
        </w:rPr>
        <w:t> </w:t>
      </w:r>
      <w:r>
        <w:rPr>
          <w:color w:val="231F1F"/>
          <w:w w:val="110"/>
        </w:rPr>
        <w:t>incrementa</w:t>
      </w:r>
      <w:r>
        <w:rPr>
          <w:color w:val="231F1F"/>
          <w:spacing w:val="-5"/>
          <w:w w:val="110"/>
        </w:rPr>
        <w:t> </w:t>
      </w:r>
      <w:r>
        <w:rPr>
          <w:color w:val="231F1F"/>
          <w:w w:val="110"/>
        </w:rPr>
        <w:t>el número de cesáreas y de partos instrumentados.</w:t>
      </w:r>
    </w:p>
    <w:p>
      <w:pPr>
        <w:pStyle w:val="BodyText"/>
        <w:spacing w:after="0" w:line="247" w:lineRule="auto"/>
        <w:jc w:val="both"/>
        <w:sectPr>
          <w:pgSz w:w="11900" w:h="16840"/>
          <w:pgMar w:header="0" w:footer="622" w:top="1580" w:bottom="820" w:left="1417" w:right="1559"/>
        </w:sectPr>
      </w:pPr>
    </w:p>
    <w:p>
      <w:pPr>
        <w:pStyle w:val="BodyText"/>
        <w:spacing w:before="131"/>
        <w:rPr>
          <w:sz w:val="24"/>
        </w:rPr>
      </w:pPr>
    </w:p>
    <w:p>
      <w:pPr>
        <w:spacing w:before="0"/>
        <w:ind w:left="287"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z w:val="24"/>
        </w:rPr>
        <w:t>mayo</w:t>
      </w:r>
      <w:r>
        <w:rPr>
          <w:rFonts w:ascii="Arial MT" w:hAnsi="Arial MT"/>
          <w:color w:val="231F1F"/>
          <w:spacing w:val="16"/>
          <w:sz w:val="24"/>
        </w:rPr>
        <w:t> </w:t>
      </w:r>
      <w:r>
        <w:rPr>
          <w:rFonts w:ascii="Arial MT" w:hAnsi="Arial MT"/>
          <w:color w:val="231F1F"/>
          <w:spacing w:val="-2"/>
          <w:sz w:val="24"/>
        </w:rPr>
        <w:t>2008)</w:t>
      </w:r>
    </w:p>
    <w:p>
      <w:pPr>
        <w:pStyle w:val="BodyText"/>
        <w:spacing w:line="254" w:lineRule="auto" w:before="219"/>
        <w:ind w:left="288"/>
        <w:jc w:val="both"/>
      </w:pPr>
      <w:r>
        <w:rPr>
          <w:color w:val="231F1F"/>
          <w:w w:val="110"/>
        </w:rPr>
        <w:t>No</w:t>
      </w:r>
      <w:r>
        <w:rPr>
          <w:color w:val="231F1F"/>
          <w:spacing w:val="-10"/>
          <w:w w:val="110"/>
        </w:rPr>
        <w:t> </w:t>
      </w:r>
      <w:r>
        <w:rPr>
          <w:color w:val="231F1F"/>
          <w:w w:val="110"/>
        </w:rPr>
        <w:t>se</w:t>
      </w:r>
      <w:r>
        <w:rPr>
          <w:color w:val="231F1F"/>
          <w:spacing w:val="-10"/>
          <w:w w:val="110"/>
        </w:rPr>
        <w:t> </w:t>
      </w:r>
      <w:r>
        <w:rPr>
          <w:color w:val="231F1F"/>
          <w:w w:val="110"/>
        </w:rPr>
        <w:t>han</w:t>
      </w:r>
      <w:r>
        <w:rPr>
          <w:color w:val="231F1F"/>
          <w:spacing w:val="-10"/>
          <w:w w:val="110"/>
        </w:rPr>
        <w:t> </w:t>
      </w:r>
      <w:r>
        <w:rPr>
          <w:color w:val="231F1F"/>
          <w:w w:val="110"/>
        </w:rPr>
        <w:t>encontrado</w:t>
      </w:r>
      <w:r>
        <w:rPr>
          <w:color w:val="231F1F"/>
          <w:spacing w:val="-9"/>
          <w:w w:val="110"/>
        </w:rPr>
        <w:t> </w:t>
      </w:r>
      <w:r>
        <w:rPr>
          <w:color w:val="231F1F"/>
          <w:w w:val="110"/>
        </w:rPr>
        <w:t>nuevos</w:t>
      </w:r>
      <w:r>
        <w:rPr>
          <w:color w:val="231F1F"/>
          <w:spacing w:val="-10"/>
          <w:w w:val="110"/>
        </w:rPr>
        <w:t> </w:t>
      </w:r>
      <w:r>
        <w:rPr>
          <w:color w:val="231F1F"/>
          <w:w w:val="110"/>
        </w:rPr>
        <w:t>estudios</w:t>
      </w:r>
      <w:r>
        <w:rPr>
          <w:color w:val="231F1F"/>
          <w:spacing w:val="-9"/>
          <w:w w:val="110"/>
        </w:rPr>
        <w:t> </w:t>
      </w:r>
      <w:r>
        <w:rPr>
          <w:color w:val="231F1F"/>
          <w:w w:val="110"/>
        </w:rPr>
        <w:t>en</w:t>
      </w:r>
      <w:r>
        <w:rPr>
          <w:color w:val="231F1F"/>
          <w:spacing w:val="-9"/>
          <w:w w:val="110"/>
        </w:rPr>
        <w:t> </w:t>
      </w:r>
      <w:r>
        <w:rPr>
          <w:color w:val="231F1F"/>
          <w:w w:val="110"/>
        </w:rPr>
        <w:t>la</w:t>
      </w:r>
      <w:r>
        <w:rPr>
          <w:color w:val="231F1F"/>
          <w:spacing w:val="-9"/>
          <w:w w:val="110"/>
        </w:rPr>
        <w:t> </w:t>
      </w:r>
      <w:r>
        <w:rPr>
          <w:color w:val="231F1F"/>
          <w:w w:val="110"/>
        </w:rPr>
        <w:t>actualización</w:t>
      </w:r>
      <w:r>
        <w:rPr>
          <w:color w:val="231F1F"/>
          <w:spacing w:val="-10"/>
          <w:w w:val="110"/>
        </w:rPr>
        <w:t> </w:t>
      </w:r>
      <w:r>
        <w:rPr>
          <w:color w:val="231F1F"/>
          <w:w w:val="110"/>
        </w:rPr>
        <w:t>pero</w:t>
      </w:r>
      <w:r>
        <w:rPr>
          <w:color w:val="231F1F"/>
          <w:spacing w:val="-10"/>
          <w:w w:val="110"/>
        </w:rPr>
        <w:t> </w:t>
      </w:r>
      <w:r>
        <w:rPr>
          <w:color w:val="231F1F"/>
          <w:w w:val="110"/>
        </w:rPr>
        <w:t>sí</w:t>
      </w:r>
      <w:r>
        <w:rPr>
          <w:color w:val="231F1F"/>
          <w:spacing w:val="-10"/>
          <w:w w:val="110"/>
        </w:rPr>
        <w:t> </w:t>
      </w:r>
      <w:r>
        <w:rPr>
          <w:color w:val="231F1F"/>
          <w:w w:val="110"/>
        </w:rPr>
        <w:t>se</w:t>
      </w:r>
      <w:r>
        <w:rPr>
          <w:color w:val="231F1F"/>
          <w:spacing w:val="-10"/>
          <w:w w:val="110"/>
        </w:rPr>
        <w:t> </w:t>
      </w:r>
      <w:r>
        <w:rPr>
          <w:color w:val="231F1F"/>
          <w:w w:val="110"/>
        </w:rPr>
        <w:t>ha</w:t>
      </w:r>
      <w:r>
        <w:rPr>
          <w:color w:val="231F1F"/>
          <w:spacing w:val="-10"/>
          <w:w w:val="110"/>
        </w:rPr>
        <w:t> </w:t>
      </w:r>
      <w:r>
        <w:rPr>
          <w:color w:val="231F1F"/>
          <w:w w:val="110"/>
        </w:rPr>
        <w:t>revi- sado</w:t>
      </w:r>
      <w:r>
        <w:rPr>
          <w:color w:val="231F1F"/>
          <w:spacing w:val="-16"/>
          <w:w w:val="110"/>
        </w:rPr>
        <w:t> </w:t>
      </w:r>
      <w:r>
        <w:rPr>
          <w:color w:val="231F1F"/>
          <w:w w:val="110"/>
        </w:rPr>
        <w:t>la</w:t>
      </w:r>
      <w:r>
        <w:rPr>
          <w:color w:val="231F1F"/>
          <w:spacing w:val="-15"/>
          <w:w w:val="110"/>
        </w:rPr>
        <w:t> </w:t>
      </w:r>
      <w:r>
        <w:rPr>
          <w:color w:val="231F1F"/>
          <w:w w:val="110"/>
        </w:rPr>
        <w:t>GPC</w:t>
      </w:r>
      <w:r>
        <w:rPr>
          <w:color w:val="231F1F"/>
          <w:spacing w:val="-15"/>
          <w:w w:val="110"/>
        </w:rPr>
        <w:t> </w:t>
      </w:r>
      <w:r>
        <w:rPr>
          <w:color w:val="231F1F"/>
          <w:w w:val="110"/>
        </w:rPr>
        <w:t>ICSI</w:t>
      </w:r>
      <w:r>
        <w:rPr>
          <w:color w:val="231F1F"/>
          <w:spacing w:val="-15"/>
          <w:w w:val="110"/>
        </w:rPr>
        <w:t> </w:t>
      </w:r>
      <w:r>
        <w:rPr>
          <w:color w:val="231F1F"/>
          <w:w w:val="110"/>
        </w:rPr>
        <w:t>(Institute</w:t>
      </w:r>
      <w:r>
        <w:rPr>
          <w:color w:val="231F1F"/>
          <w:spacing w:val="-15"/>
          <w:w w:val="110"/>
        </w:rPr>
        <w:t> </w:t>
      </w:r>
      <w:r>
        <w:rPr>
          <w:color w:val="231F1F"/>
          <w:w w:val="110"/>
        </w:rPr>
        <w:t>for</w:t>
      </w:r>
      <w:r>
        <w:rPr>
          <w:color w:val="231F1F"/>
          <w:spacing w:val="-15"/>
          <w:w w:val="110"/>
        </w:rPr>
        <w:t> </w:t>
      </w:r>
      <w:r>
        <w:rPr>
          <w:color w:val="231F1F"/>
          <w:w w:val="110"/>
        </w:rPr>
        <w:t>Clinical</w:t>
      </w:r>
      <w:r>
        <w:rPr>
          <w:color w:val="231F1F"/>
          <w:spacing w:val="-15"/>
          <w:w w:val="110"/>
        </w:rPr>
        <w:t> </w:t>
      </w:r>
      <w:r>
        <w:rPr>
          <w:color w:val="231F1F"/>
          <w:w w:val="110"/>
        </w:rPr>
        <w:t>Systems</w:t>
      </w:r>
      <w:r>
        <w:rPr>
          <w:color w:val="231F1F"/>
          <w:spacing w:val="-15"/>
          <w:w w:val="110"/>
        </w:rPr>
        <w:t> </w:t>
      </w:r>
      <w:r>
        <w:rPr>
          <w:color w:val="231F1F"/>
          <w:w w:val="110"/>
        </w:rPr>
        <w:t>Improvement),</w:t>
      </w:r>
      <w:r>
        <w:rPr>
          <w:color w:val="231F1F"/>
          <w:spacing w:val="-16"/>
          <w:w w:val="110"/>
        </w:rPr>
        <w:t> </w:t>
      </w:r>
      <w:r>
        <w:rPr>
          <w:color w:val="231F1F"/>
          <w:w w:val="110"/>
        </w:rPr>
        <w:t>2007</w:t>
      </w:r>
      <w:r>
        <w:rPr>
          <w:color w:val="231F1F"/>
          <w:spacing w:val="-15"/>
          <w:w w:val="110"/>
        </w:rPr>
        <w:t> </w:t>
      </w:r>
      <w:r>
        <w:rPr>
          <w:color w:val="231F1F"/>
          <w:w w:val="110"/>
        </w:rPr>
        <w:t>(365), calificada</w:t>
      </w:r>
      <w:r>
        <w:rPr>
          <w:color w:val="231F1F"/>
          <w:spacing w:val="-15"/>
          <w:w w:val="110"/>
        </w:rPr>
        <w:t> </w:t>
      </w:r>
      <w:r>
        <w:rPr>
          <w:color w:val="231F1F"/>
          <w:w w:val="110"/>
        </w:rPr>
        <w:t>como</w:t>
      </w:r>
      <w:r>
        <w:rPr>
          <w:color w:val="231F1F"/>
          <w:spacing w:val="-14"/>
          <w:w w:val="110"/>
        </w:rPr>
        <w:t> </w:t>
      </w:r>
      <w:r>
        <w:rPr>
          <w:color w:val="231F1F"/>
          <w:w w:val="110"/>
        </w:rPr>
        <w:t>recomendable</w:t>
      </w:r>
      <w:r>
        <w:rPr>
          <w:color w:val="231F1F"/>
          <w:spacing w:val="-14"/>
          <w:w w:val="110"/>
        </w:rPr>
        <w:t> </w:t>
      </w:r>
      <w:r>
        <w:rPr>
          <w:color w:val="231F1F"/>
          <w:w w:val="110"/>
        </w:rPr>
        <w:t>tras</w:t>
      </w:r>
      <w:r>
        <w:rPr>
          <w:color w:val="231F1F"/>
          <w:spacing w:val="-14"/>
          <w:w w:val="110"/>
        </w:rPr>
        <w:t> </w:t>
      </w:r>
      <w:r>
        <w:rPr>
          <w:color w:val="231F1F"/>
          <w:w w:val="110"/>
        </w:rPr>
        <w:t>la</w:t>
      </w:r>
      <w:r>
        <w:rPr>
          <w:color w:val="231F1F"/>
          <w:spacing w:val="-14"/>
          <w:w w:val="110"/>
        </w:rPr>
        <w:t> </w:t>
      </w:r>
      <w:r>
        <w:rPr>
          <w:color w:val="231F1F"/>
          <w:w w:val="110"/>
        </w:rPr>
        <w:t>evaluación</w:t>
      </w:r>
      <w:r>
        <w:rPr>
          <w:color w:val="231F1F"/>
          <w:spacing w:val="-14"/>
          <w:w w:val="110"/>
        </w:rPr>
        <w:t> </w:t>
      </w:r>
      <w:r>
        <w:rPr>
          <w:color w:val="231F1F"/>
          <w:w w:val="110"/>
        </w:rPr>
        <w:t>de</w:t>
      </w:r>
      <w:r>
        <w:rPr>
          <w:color w:val="231F1F"/>
          <w:spacing w:val="-14"/>
          <w:w w:val="110"/>
        </w:rPr>
        <w:t> </w:t>
      </w:r>
      <w:r>
        <w:rPr>
          <w:color w:val="231F1F"/>
          <w:w w:val="110"/>
        </w:rPr>
        <w:t>su</w:t>
      </w:r>
      <w:r>
        <w:rPr>
          <w:color w:val="231F1F"/>
          <w:spacing w:val="-14"/>
          <w:w w:val="110"/>
        </w:rPr>
        <w:t> </w:t>
      </w:r>
      <w:r>
        <w:rPr>
          <w:color w:val="231F1F"/>
          <w:w w:val="110"/>
        </w:rPr>
        <w:t>calidad</w:t>
      </w:r>
      <w:r>
        <w:rPr>
          <w:color w:val="231F1F"/>
          <w:spacing w:val="-14"/>
          <w:w w:val="110"/>
        </w:rPr>
        <w:t> </w:t>
      </w:r>
      <w:r>
        <w:rPr>
          <w:color w:val="231F1F"/>
          <w:w w:val="110"/>
        </w:rPr>
        <w:t>con</w:t>
      </w:r>
      <w:r>
        <w:rPr>
          <w:color w:val="231F1F"/>
          <w:spacing w:val="-14"/>
          <w:w w:val="110"/>
        </w:rPr>
        <w:t> </w:t>
      </w:r>
      <w:r>
        <w:rPr>
          <w:color w:val="231F1F"/>
          <w:w w:val="110"/>
        </w:rPr>
        <w:t>el</w:t>
      </w:r>
      <w:r>
        <w:rPr>
          <w:color w:val="231F1F"/>
          <w:spacing w:val="-14"/>
          <w:w w:val="110"/>
        </w:rPr>
        <w:t> </w:t>
      </w:r>
      <w:r>
        <w:rPr>
          <w:color w:val="231F1F"/>
          <w:w w:val="110"/>
        </w:rPr>
        <w:t>instru- mento</w:t>
      </w:r>
      <w:r>
        <w:rPr>
          <w:color w:val="231F1F"/>
          <w:spacing w:val="-4"/>
          <w:w w:val="110"/>
        </w:rPr>
        <w:t> </w:t>
      </w:r>
      <w:r>
        <w:rPr>
          <w:color w:val="231F1F"/>
          <w:w w:val="110"/>
        </w:rPr>
        <w:t>AGREE.</w:t>
      </w:r>
      <w:r>
        <w:rPr>
          <w:color w:val="231F1F"/>
          <w:spacing w:val="-4"/>
          <w:w w:val="110"/>
        </w:rPr>
        <w:t> </w:t>
      </w:r>
      <w:r>
        <w:rPr>
          <w:color w:val="231F1F"/>
          <w:w w:val="110"/>
        </w:rPr>
        <w:t>En</w:t>
      </w:r>
      <w:r>
        <w:rPr>
          <w:color w:val="231F1F"/>
          <w:spacing w:val="-4"/>
          <w:w w:val="110"/>
        </w:rPr>
        <w:t> </w:t>
      </w:r>
      <w:r>
        <w:rPr>
          <w:color w:val="231F1F"/>
          <w:w w:val="110"/>
        </w:rPr>
        <w:t>ella</w:t>
      </w:r>
      <w:r>
        <w:rPr>
          <w:color w:val="231F1F"/>
          <w:spacing w:val="-4"/>
          <w:w w:val="110"/>
        </w:rPr>
        <w:t> </w:t>
      </w:r>
      <w:r>
        <w:rPr>
          <w:color w:val="231F1F"/>
          <w:w w:val="110"/>
        </w:rPr>
        <w:t>se</w:t>
      </w:r>
      <w:r>
        <w:rPr>
          <w:color w:val="231F1F"/>
          <w:spacing w:val="-4"/>
          <w:w w:val="110"/>
        </w:rPr>
        <w:t> </w:t>
      </w:r>
      <w:r>
        <w:rPr>
          <w:color w:val="231F1F"/>
          <w:w w:val="110"/>
        </w:rPr>
        <w:t>analiza</w:t>
      </w:r>
      <w:r>
        <w:rPr>
          <w:color w:val="231F1F"/>
          <w:spacing w:val="-4"/>
          <w:w w:val="110"/>
        </w:rPr>
        <w:t> </w:t>
      </w:r>
      <w:r>
        <w:rPr>
          <w:color w:val="231F1F"/>
          <w:w w:val="110"/>
        </w:rPr>
        <w:t>la</w:t>
      </w:r>
      <w:r>
        <w:rPr>
          <w:color w:val="231F1F"/>
          <w:spacing w:val="-4"/>
          <w:w w:val="110"/>
        </w:rPr>
        <w:t> </w:t>
      </w:r>
      <w:r>
        <w:rPr>
          <w:color w:val="231F1F"/>
          <w:w w:val="110"/>
        </w:rPr>
        <w:t>efectividad</w:t>
      </w:r>
      <w:r>
        <w:rPr>
          <w:color w:val="231F1F"/>
          <w:spacing w:val="-4"/>
          <w:w w:val="110"/>
        </w:rPr>
        <w:t> </w:t>
      </w:r>
      <w:r>
        <w:rPr>
          <w:color w:val="231F1F"/>
          <w:w w:val="110"/>
        </w:rPr>
        <w:t>de</w:t>
      </w:r>
      <w:r>
        <w:rPr>
          <w:color w:val="231F1F"/>
          <w:spacing w:val="-4"/>
          <w:w w:val="110"/>
        </w:rPr>
        <w:t> </w:t>
      </w:r>
      <w:r>
        <w:rPr>
          <w:color w:val="231F1F"/>
          <w:w w:val="110"/>
        </w:rPr>
        <w:t>utilizar</w:t>
      </w:r>
      <w:r>
        <w:rPr>
          <w:color w:val="231F1F"/>
          <w:spacing w:val="-4"/>
          <w:w w:val="110"/>
        </w:rPr>
        <w:t> </w:t>
      </w:r>
      <w:r>
        <w:rPr>
          <w:color w:val="231F1F"/>
          <w:w w:val="110"/>
        </w:rPr>
        <w:t>la</w:t>
      </w:r>
      <w:r>
        <w:rPr>
          <w:color w:val="231F1F"/>
          <w:spacing w:val="-4"/>
          <w:w w:val="110"/>
        </w:rPr>
        <w:t> </w:t>
      </w:r>
      <w:r>
        <w:rPr>
          <w:color w:val="231F1F"/>
          <w:w w:val="110"/>
        </w:rPr>
        <w:t>MEFC</w:t>
      </w:r>
      <w:r>
        <w:rPr>
          <w:color w:val="231F1F"/>
          <w:spacing w:val="-4"/>
          <w:w w:val="110"/>
        </w:rPr>
        <w:t> </w:t>
      </w:r>
      <w:r>
        <w:rPr>
          <w:color w:val="231F1F"/>
          <w:w w:val="110"/>
        </w:rPr>
        <w:t>frente a la auscultación intermitente.</w:t>
      </w:r>
    </w:p>
    <w:p>
      <w:pPr>
        <w:pStyle w:val="BodyText"/>
        <w:spacing w:line="259" w:lineRule="auto" w:before="94"/>
        <w:ind w:left="288" w:right="49" w:firstLine="453"/>
        <w:jc w:val="both"/>
      </w:pPr>
      <w:r>
        <w:rPr>
          <w:color w:val="231F1F"/>
          <w:w w:val="110"/>
        </w:rPr>
        <w:t>Para</w:t>
      </w:r>
      <w:r>
        <w:rPr>
          <w:color w:val="231F1F"/>
          <w:spacing w:val="-16"/>
          <w:w w:val="110"/>
        </w:rPr>
        <w:t> </w:t>
      </w:r>
      <w:r>
        <w:rPr>
          <w:color w:val="231F1F"/>
          <w:w w:val="110"/>
        </w:rPr>
        <w:t>responder</w:t>
      </w:r>
      <w:r>
        <w:rPr>
          <w:color w:val="231F1F"/>
          <w:spacing w:val="-15"/>
          <w:w w:val="110"/>
        </w:rPr>
        <w:t> </w:t>
      </w:r>
      <w:r>
        <w:rPr>
          <w:color w:val="231F1F"/>
          <w:w w:val="110"/>
        </w:rPr>
        <w:t>a</w:t>
      </w:r>
      <w:r>
        <w:rPr>
          <w:color w:val="231F1F"/>
          <w:spacing w:val="-15"/>
          <w:w w:val="110"/>
        </w:rPr>
        <w:t> </w:t>
      </w:r>
      <w:r>
        <w:rPr>
          <w:color w:val="231F1F"/>
          <w:w w:val="110"/>
        </w:rPr>
        <w:t>esta</w:t>
      </w:r>
      <w:r>
        <w:rPr>
          <w:color w:val="231F1F"/>
          <w:spacing w:val="-15"/>
          <w:w w:val="110"/>
        </w:rPr>
        <w:t> </w:t>
      </w:r>
      <w:r>
        <w:rPr>
          <w:color w:val="231F1F"/>
          <w:w w:val="110"/>
        </w:rPr>
        <w:t>pregunta,</w:t>
      </w:r>
      <w:r>
        <w:rPr>
          <w:color w:val="231F1F"/>
          <w:spacing w:val="-15"/>
          <w:w w:val="110"/>
        </w:rPr>
        <w:t> </w:t>
      </w:r>
      <w:r>
        <w:rPr>
          <w:color w:val="231F1F"/>
          <w:w w:val="110"/>
        </w:rPr>
        <w:t>esta</w:t>
      </w:r>
      <w:r>
        <w:rPr>
          <w:color w:val="231F1F"/>
          <w:spacing w:val="-15"/>
          <w:w w:val="110"/>
        </w:rPr>
        <w:t> </w:t>
      </w:r>
      <w:r>
        <w:rPr>
          <w:color w:val="231F1F"/>
          <w:w w:val="110"/>
        </w:rPr>
        <w:t>guía</w:t>
      </w:r>
      <w:r>
        <w:rPr>
          <w:color w:val="231F1F"/>
          <w:spacing w:val="-15"/>
          <w:w w:val="110"/>
        </w:rPr>
        <w:t> </w:t>
      </w:r>
      <w:r>
        <w:rPr>
          <w:color w:val="231F1F"/>
          <w:w w:val="110"/>
        </w:rPr>
        <w:t>utiliza</w:t>
      </w:r>
      <w:r>
        <w:rPr>
          <w:color w:val="231F1F"/>
          <w:spacing w:val="-15"/>
          <w:w w:val="110"/>
        </w:rPr>
        <w:t> </w:t>
      </w:r>
      <w:r>
        <w:rPr>
          <w:color w:val="231F1F"/>
          <w:w w:val="110"/>
        </w:rPr>
        <w:t>una</w:t>
      </w:r>
      <w:r>
        <w:rPr>
          <w:color w:val="231F1F"/>
          <w:spacing w:val="-16"/>
          <w:w w:val="110"/>
        </w:rPr>
        <w:t> </w:t>
      </w:r>
      <w:r>
        <w:rPr>
          <w:color w:val="231F1F"/>
          <w:w w:val="110"/>
        </w:rPr>
        <w:t>RS</w:t>
      </w:r>
      <w:r>
        <w:rPr>
          <w:color w:val="231F1F"/>
          <w:spacing w:val="-15"/>
          <w:w w:val="110"/>
        </w:rPr>
        <w:t> </w:t>
      </w:r>
      <w:r>
        <w:rPr>
          <w:color w:val="231F1F"/>
          <w:w w:val="110"/>
        </w:rPr>
        <w:t>con</w:t>
      </w:r>
      <w:r>
        <w:rPr>
          <w:color w:val="231F1F"/>
          <w:spacing w:val="-15"/>
          <w:w w:val="110"/>
        </w:rPr>
        <w:t> </w:t>
      </w:r>
      <w:r>
        <w:rPr>
          <w:color w:val="231F1F"/>
          <w:w w:val="110"/>
        </w:rPr>
        <w:t>siete</w:t>
      </w:r>
      <w:r>
        <w:rPr>
          <w:color w:val="231F1F"/>
          <w:spacing w:val="-15"/>
          <w:w w:val="110"/>
        </w:rPr>
        <w:t> </w:t>
      </w:r>
      <w:r>
        <w:rPr>
          <w:color w:val="231F1F"/>
          <w:w w:val="110"/>
        </w:rPr>
        <w:t>ECAs que incluían mujeres tanto de alto como de bajo riesgo.</w:t>
      </w:r>
    </w:p>
    <w:p>
      <w:pPr>
        <w:pStyle w:val="BodyText"/>
        <w:spacing w:line="256" w:lineRule="auto" w:before="44"/>
        <w:ind w:left="287" w:firstLine="453"/>
        <w:jc w:val="both"/>
      </w:pPr>
      <w:r>
        <w:rPr>
          <w:color w:val="231F1F"/>
          <w:w w:val="105"/>
        </w:rPr>
        <w:t>No se observaron diferencias en la mortalidad fetal y la mayoría de es- tudios mostró un aumento en el número de cesáreas en los grupos con MEFC. El</w:t>
      </w:r>
      <w:r>
        <w:rPr>
          <w:color w:val="231F1F"/>
          <w:w w:val="105"/>
        </w:rPr>
        <w:t> ECA</w:t>
      </w:r>
      <w:r>
        <w:rPr>
          <w:color w:val="231F1F"/>
          <w:w w:val="105"/>
        </w:rPr>
        <w:t> más</w:t>
      </w:r>
      <w:r>
        <w:rPr>
          <w:color w:val="231F1F"/>
          <w:w w:val="105"/>
        </w:rPr>
        <w:t> recientemente</w:t>
      </w:r>
      <w:r>
        <w:rPr>
          <w:color w:val="231F1F"/>
          <w:w w:val="105"/>
        </w:rPr>
        <w:t> publicado</w:t>
      </w:r>
      <w:r>
        <w:rPr>
          <w:color w:val="231F1F"/>
          <w:w w:val="105"/>
        </w:rPr>
        <w:t> de</w:t>
      </w:r>
      <w:r>
        <w:rPr>
          <w:color w:val="231F1F"/>
          <w:w w:val="105"/>
        </w:rPr>
        <w:t> entre</w:t>
      </w:r>
      <w:r>
        <w:rPr>
          <w:color w:val="231F1F"/>
          <w:w w:val="105"/>
        </w:rPr>
        <w:t> los</w:t>
      </w:r>
      <w:r>
        <w:rPr>
          <w:color w:val="231F1F"/>
          <w:w w:val="105"/>
        </w:rPr>
        <w:t> incluidos</w:t>
      </w:r>
      <w:r>
        <w:rPr>
          <w:color w:val="231F1F"/>
          <w:w w:val="105"/>
        </w:rPr>
        <w:t> en</w:t>
      </w:r>
      <w:r>
        <w:rPr>
          <w:color w:val="231F1F"/>
          <w:w w:val="105"/>
        </w:rPr>
        <w:t> la</w:t>
      </w:r>
      <w:r>
        <w:rPr>
          <w:color w:val="231F1F"/>
          <w:w w:val="105"/>
        </w:rPr>
        <w:t> revisión, mostró una reducción significativa en la mortalidad perinatal por asfixia en el grupo con MEFC, aunque no está claro el por qué de estas diferencias respec- to a los otros ECAs.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4"/>
        <w:rPr>
          <w:sz w:val="18"/>
        </w:rPr>
      </w:pPr>
    </w:p>
    <w:p>
      <w:pPr>
        <w:spacing w:line="278" w:lineRule="auto" w:before="0"/>
        <w:ind w:left="584" w:right="198" w:hanging="456"/>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II</w:t>
      </w:r>
    </w:p>
    <w:p>
      <w:pPr>
        <w:spacing w:after="0" w:line="278" w:lineRule="auto"/>
        <w:jc w:val="left"/>
        <w:rPr>
          <w:rFonts w:ascii="Arial MT"/>
          <w:sz w:val="18"/>
        </w:rPr>
        <w:sectPr>
          <w:type w:val="continuous"/>
          <w:pgSz w:w="11900" w:h="16840"/>
          <w:pgMar w:header="0" w:footer="622" w:top="560" w:bottom="280" w:left="1417" w:right="1559"/>
          <w:cols w:num="2" w:equalWidth="0">
            <w:col w:w="7552" w:space="40"/>
            <w:col w:w="1332"/>
          </w:cols>
        </w:sectPr>
      </w:pPr>
    </w:p>
    <w:p>
      <w:pPr>
        <w:pStyle w:val="BodyText"/>
        <w:spacing w:line="244" w:lineRule="auto" w:before="138"/>
        <w:ind w:left="283" w:firstLine="453"/>
      </w:pPr>
      <w:r>
        <w:rPr>
          <w:color w:val="231F1F"/>
          <w:w w:val="105"/>
        </w:rPr>
        <w:t>En</w:t>
      </w:r>
      <w:r>
        <w:rPr>
          <w:color w:val="231F1F"/>
          <w:spacing w:val="-6"/>
          <w:w w:val="105"/>
        </w:rPr>
        <w:t> </w:t>
      </w:r>
      <w:r>
        <w:rPr>
          <w:color w:val="231F1F"/>
          <w:w w:val="105"/>
        </w:rPr>
        <w:t>la</w:t>
      </w:r>
      <w:r>
        <w:rPr>
          <w:color w:val="231F1F"/>
          <w:spacing w:val="-6"/>
          <w:w w:val="105"/>
        </w:rPr>
        <w:t> </w:t>
      </w:r>
      <w:r>
        <w:rPr>
          <w:color w:val="231F1F"/>
          <w:w w:val="105"/>
        </w:rPr>
        <w:t>guía</w:t>
      </w:r>
      <w:r>
        <w:rPr>
          <w:color w:val="231F1F"/>
          <w:spacing w:val="-7"/>
          <w:w w:val="105"/>
        </w:rPr>
        <w:t> </w:t>
      </w:r>
      <w:r>
        <w:rPr>
          <w:color w:val="231F1F"/>
          <w:w w:val="105"/>
        </w:rPr>
        <w:t>ICSI</w:t>
      </w:r>
      <w:r>
        <w:rPr>
          <w:color w:val="231F1F"/>
          <w:spacing w:val="-7"/>
          <w:w w:val="105"/>
        </w:rPr>
        <w:t> </w:t>
      </w:r>
      <w:r>
        <w:rPr>
          <w:color w:val="231F1F"/>
          <w:w w:val="105"/>
        </w:rPr>
        <w:t>se</w:t>
      </w:r>
      <w:r>
        <w:rPr>
          <w:color w:val="231F1F"/>
          <w:spacing w:val="-7"/>
          <w:w w:val="105"/>
        </w:rPr>
        <w:t> </w:t>
      </w:r>
      <w:r>
        <w:rPr>
          <w:color w:val="231F1F"/>
          <w:w w:val="105"/>
        </w:rPr>
        <w:t>considera</w:t>
      </w:r>
      <w:r>
        <w:rPr>
          <w:color w:val="231F1F"/>
          <w:spacing w:val="-6"/>
          <w:w w:val="105"/>
        </w:rPr>
        <w:t> </w:t>
      </w:r>
      <w:r>
        <w:rPr>
          <w:color w:val="231F1F"/>
          <w:w w:val="105"/>
        </w:rPr>
        <w:t>que</w:t>
      </w:r>
      <w:r>
        <w:rPr>
          <w:color w:val="231F1F"/>
          <w:spacing w:val="-7"/>
          <w:w w:val="105"/>
        </w:rPr>
        <w:t> </w:t>
      </w:r>
      <w:r>
        <w:rPr>
          <w:color w:val="231F1F"/>
          <w:w w:val="105"/>
        </w:rPr>
        <w:t>la</w:t>
      </w:r>
      <w:r>
        <w:rPr>
          <w:color w:val="231F1F"/>
          <w:spacing w:val="-6"/>
          <w:w w:val="105"/>
        </w:rPr>
        <w:t> </w:t>
      </w:r>
      <w:r>
        <w:rPr>
          <w:color w:val="231F1F"/>
          <w:w w:val="105"/>
        </w:rPr>
        <w:t>presencia</w:t>
      </w:r>
      <w:r>
        <w:rPr>
          <w:color w:val="231F1F"/>
          <w:spacing w:val="-7"/>
          <w:w w:val="105"/>
        </w:rPr>
        <w:t> </w:t>
      </w:r>
      <w:r>
        <w:rPr>
          <w:color w:val="231F1F"/>
          <w:w w:val="105"/>
        </w:rPr>
        <w:t>de</w:t>
      </w:r>
      <w:r>
        <w:rPr>
          <w:color w:val="231F1F"/>
          <w:spacing w:val="-7"/>
          <w:w w:val="105"/>
        </w:rPr>
        <w:t> </w:t>
      </w:r>
      <w:r>
        <w:rPr>
          <w:color w:val="231F1F"/>
          <w:w w:val="105"/>
        </w:rPr>
        <w:t>matronas</w:t>
      </w:r>
      <w:r>
        <w:rPr>
          <w:color w:val="231F1F"/>
          <w:spacing w:val="-7"/>
          <w:w w:val="105"/>
        </w:rPr>
        <w:t> </w:t>
      </w:r>
      <w:r>
        <w:rPr>
          <w:color w:val="231F1F"/>
          <w:w w:val="105"/>
        </w:rPr>
        <w:t>entrenadas</w:t>
      </w:r>
      <w:r>
        <w:rPr>
          <w:color w:val="231F1F"/>
          <w:spacing w:val="-6"/>
          <w:w w:val="105"/>
        </w:rPr>
        <w:t> </w:t>
      </w:r>
      <w:r>
        <w:rPr>
          <w:color w:val="231F1F"/>
          <w:w w:val="105"/>
        </w:rPr>
        <w:t>y</w:t>
      </w:r>
      <w:r>
        <w:rPr>
          <w:color w:val="231F1F"/>
          <w:spacing w:val="-6"/>
          <w:w w:val="105"/>
        </w:rPr>
        <w:t> </w:t>
      </w:r>
      <w:r>
        <w:rPr>
          <w:color w:val="231F1F"/>
          <w:w w:val="105"/>
        </w:rPr>
        <w:t>motivadas</w:t>
      </w:r>
      <w:r>
        <w:rPr>
          <w:color w:val="231F1F"/>
          <w:spacing w:val="-7"/>
          <w:w w:val="105"/>
        </w:rPr>
        <w:t> </w:t>
      </w:r>
      <w:r>
        <w:rPr>
          <w:color w:val="231F1F"/>
          <w:w w:val="105"/>
        </w:rPr>
        <w:t>que realicen</w:t>
      </w:r>
      <w:r>
        <w:rPr>
          <w:color w:val="231F1F"/>
          <w:spacing w:val="40"/>
          <w:w w:val="105"/>
        </w:rPr>
        <w:t> </w:t>
      </w:r>
      <w:r>
        <w:rPr>
          <w:color w:val="231F1F"/>
          <w:w w:val="105"/>
        </w:rPr>
        <w:t>la</w:t>
      </w:r>
      <w:r>
        <w:rPr>
          <w:color w:val="231F1F"/>
          <w:spacing w:val="40"/>
          <w:w w:val="105"/>
        </w:rPr>
        <w:t> </w:t>
      </w:r>
      <w:r>
        <w:rPr>
          <w:color w:val="231F1F"/>
          <w:w w:val="105"/>
        </w:rPr>
        <w:t>auscultación</w:t>
      </w:r>
      <w:r>
        <w:rPr>
          <w:color w:val="231F1F"/>
          <w:spacing w:val="40"/>
          <w:w w:val="105"/>
        </w:rPr>
        <w:t> </w:t>
      </w:r>
      <w:r>
        <w:rPr>
          <w:color w:val="231F1F"/>
          <w:w w:val="105"/>
        </w:rPr>
        <w:t>aporta</w:t>
      </w:r>
      <w:r>
        <w:rPr>
          <w:color w:val="231F1F"/>
          <w:spacing w:val="40"/>
          <w:w w:val="105"/>
        </w:rPr>
        <w:t> </w:t>
      </w:r>
      <w:r>
        <w:rPr>
          <w:color w:val="231F1F"/>
          <w:w w:val="105"/>
        </w:rPr>
        <w:t>calidad</w:t>
      </w:r>
      <w:r>
        <w:rPr>
          <w:color w:val="231F1F"/>
          <w:spacing w:val="40"/>
          <w:w w:val="105"/>
        </w:rPr>
        <w:t> </w:t>
      </w:r>
      <w:r>
        <w:rPr>
          <w:color w:val="231F1F"/>
          <w:w w:val="105"/>
        </w:rPr>
        <w:t>al</w:t>
      </w:r>
      <w:r>
        <w:rPr>
          <w:color w:val="231F1F"/>
          <w:spacing w:val="40"/>
          <w:w w:val="105"/>
        </w:rPr>
        <w:t> </w:t>
      </w:r>
      <w:r>
        <w:rPr>
          <w:color w:val="231F1F"/>
          <w:w w:val="105"/>
        </w:rPr>
        <w:t>proceso</w:t>
      </w:r>
      <w:r>
        <w:rPr>
          <w:color w:val="231F1F"/>
          <w:spacing w:val="40"/>
          <w:w w:val="105"/>
        </w:rPr>
        <w:t> </w:t>
      </w:r>
      <w:r>
        <w:rPr>
          <w:color w:val="231F1F"/>
          <w:w w:val="105"/>
        </w:rPr>
        <w:t>asistencial</w:t>
      </w:r>
      <w:r>
        <w:rPr>
          <w:color w:val="231F1F"/>
          <w:spacing w:val="40"/>
          <w:w w:val="105"/>
        </w:rPr>
        <w:t> </w:t>
      </w:r>
      <w:r>
        <w:rPr>
          <w:color w:val="231F1F"/>
          <w:w w:val="105"/>
        </w:rPr>
        <w:t>y</w:t>
      </w:r>
      <w:r>
        <w:rPr>
          <w:color w:val="231F1F"/>
          <w:spacing w:val="40"/>
          <w:w w:val="105"/>
        </w:rPr>
        <w:t> </w:t>
      </w:r>
      <w:r>
        <w:rPr>
          <w:color w:val="231F1F"/>
          <w:w w:val="105"/>
        </w:rPr>
        <w:t>mejora</w:t>
      </w:r>
      <w:r>
        <w:rPr>
          <w:color w:val="231F1F"/>
          <w:spacing w:val="40"/>
          <w:w w:val="105"/>
        </w:rPr>
        <w:t> </w:t>
      </w:r>
      <w:r>
        <w:rPr>
          <w:color w:val="231F1F"/>
          <w:w w:val="105"/>
        </w:rPr>
        <w:t>los</w:t>
      </w:r>
      <w:r>
        <w:rPr>
          <w:color w:val="231F1F"/>
          <w:spacing w:val="40"/>
          <w:w w:val="105"/>
        </w:rPr>
        <w:t> </w:t>
      </w:r>
      <w:r>
        <w:rPr>
          <w:color w:val="231F1F"/>
          <w:w w:val="105"/>
        </w:rPr>
        <w:t>resultados.</w:t>
      </w:r>
    </w:p>
    <w:p>
      <w:pPr>
        <w:pStyle w:val="BodyText"/>
        <w:spacing w:before="141"/>
        <w:ind w:left="736"/>
      </w:pPr>
      <w:r>
        <w:rPr>
          <w:color w:val="231F1F"/>
          <w:w w:val="105"/>
        </w:rPr>
        <w:t>Ver</w:t>
      </w:r>
      <w:r>
        <w:rPr>
          <w:color w:val="231F1F"/>
          <w:spacing w:val="-3"/>
          <w:w w:val="105"/>
        </w:rPr>
        <w:t> </w:t>
      </w:r>
      <w:r>
        <w:rPr>
          <w:color w:val="231F1F"/>
          <w:w w:val="105"/>
        </w:rPr>
        <w:t>Anexo</w:t>
      </w:r>
      <w:r>
        <w:rPr>
          <w:color w:val="231F1F"/>
          <w:spacing w:val="2"/>
          <w:w w:val="105"/>
        </w:rPr>
        <w:t> </w:t>
      </w:r>
      <w:r>
        <w:rPr>
          <w:color w:val="231F1F"/>
          <w:w w:val="105"/>
        </w:rPr>
        <w:t>3.1.</w:t>
      </w:r>
      <w:r>
        <w:rPr>
          <w:color w:val="231F1F"/>
          <w:spacing w:val="-2"/>
          <w:w w:val="105"/>
        </w:rPr>
        <w:t> </w:t>
      </w:r>
      <w:r>
        <w:rPr>
          <w:color w:val="231F1F"/>
          <w:w w:val="105"/>
        </w:rPr>
        <w:t>Técnica</w:t>
      </w:r>
      <w:r>
        <w:rPr>
          <w:color w:val="231F1F"/>
          <w:spacing w:val="-1"/>
          <w:w w:val="105"/>
        </w:rPr>
        <w:t> </w:t>
      </w:r>
      <w:r>
        <w:rPr>
          <w:color w:val="231F1F"/>
          <w:w w:val="105"/>
        </w:rPr>
        <w:t>de</w:t>
      </w:r>
      <w:r>
        <w:rPr>
          <w:color w:val="231F1F"/>
          <w:spacing w:val="-2"/>
          <w:w w:val="105"/>
        </w:rPr>
        <w:t> </w:t>
      </w:r>
      <w:r>
        <w:rPr>
          <w:color w:val="231F1F"/>
          <w:w w:val="105"/>
        </w:rPr>
        <w:t>la</w:t>
      </w:r>
      <w:r>
        <w:rPr>
          <w:color w:val="231F1F"/>
          <w:spacing w:val="2"/>
          <w:w w:val="105"/>
        </w:rPr>
        <w:t> </w:t>
      </w:r>
      <w:r>
        <w:rPr>
          <w:color w:val="231F1F"/>
          <w:w w:val="105"/>
        </w:rPr>
        <w:t>auscultación fetal</w:t>
      </w:r>
      <w:r>
        <w:rPr>
          <w:color w:val="231F1F"/>
          <w:spacing w:val="1"/>
          <w:w w:val="105"/>
        </w:rPr>
        <w:t> </w:t>
      </w:r>
      <w:r>
        <w:rPr>
          <w:color w:val="231F1F"/>
          <w:spacing w:val="-2"/>
          <w:w w:val="105"/>
        </w:rPr>
        <w:t>intermitente</w:t>
      </w:r>
    </w:p>
    <w:p>
      <w:pPr>
        <w:pStyle w:val="BodyText"/>
        <w:spacing w:before="175"/>
      </w:pPr>
    </w:p>
    <w:p>
      <w:pPr>
        <w:spacing w:before="1"/>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377" w:hRule="atLeast"/>
        </w:trPr>
        <w:tc>
          <w:tcPr>
            <w:tcW w:w="7373" w:type="dxa"/>
          </w:tcPr>
          <w:p>
            <w:pPr>
              <w:pStyle w:val="TableParagraph"/>
              <w:spacing w:before="49"/>
              <w:ind w:right="156" w:hanging="1"/>
              <w:rPr>
                <w:sz w:val="22"/>
              </w:rPr>
            </w:pPr>
            <w:r>
              <w:rPr>
                <w:color w:val="231F1F"/>
                <w:w w:val="110"/>
                <w:sz w:val="22"/>
              </w:rPr>
              <w:t>La</w:t>
            </w:r>
            <w:r>
              <w:rPr>
                <w:color w:val="231F1F"/>
                <w:spacing w:val="-14"/>
                <w:w w:val="110"/>
                <w:sz w:val="22"/>
              </w:rPr>
              <w:t> </w:t>
            </w:r>
            <w:r>
              <w:rPr>
                <w:i/>
                <w:color w:val="231F1F"/>
                <w:w w:val="110"/>
                <w:sz w:val="22"/>
              </w:rPr>
              <w:t>MEFC</w:t>
            </w:r>
            <w:r>
              <w:rPr>
                <w:i/>
                <w:color w:val="231F1F"/>
                <w:spacing w:val="-16"/>
                <w:w w:val="110"/>
                <w:sz w:val="22"/>
              </w:rPr>
              <w:t> </w:t>
            </w:r>
            <w:r>
              <w:rPr>
                <w:color w:val="231F1F"/>
                <w:w w:val="110"/>
                <w:sz w:val="22"/>
              </w:rPr>
              <w:t>comparada</w:t>
            </w:r>
            <w:r>
              <w:rPr>
                <w:color w:val="231F1F"/>
                <w:spacing w:val="-13"/>
                <w:w w:val="110"/>
                <w:sz w:val="22"/>
              </w:rPr>
              <w:t> </w:t>
            </w:r>
            <w:r>
              <w:rPr>
                <w:color w:val="231F1F"/>
                <w:w w:val="110"/>
                <w:sz w:val="22"/>
              </w:rPr>
              <w:t>con</w:t>
            </w:r>
            <w:r>
              <w:rPr>
                <w:color w:val="231F1F"/>
                <w:spacing w:val="-14"/>
                <w:w w:val="110"/>
                <w:sz w:val="22"/>
              </w:rPr>
              <w:t> </w:t>
            </w:r>
            <w:r>
              <w:rPr>
                <w:color w:val="231F1F"/>
                <w:w w:val="110"/>
                <w:sz w:val="22"/>
              </w:rPr>
              <w:t>la</w:t>
            </w:r>
            <w:r>
              <w:rPr>
                <w:color w:val="231F1F"/>
                <w:spacing w:val="-14"/>
                <w:w w:val="110"/>
                <w:sz w:val="22"/>
              </w:rPr>
              <w:t> </w:t>
            </w:r>
            <w:r>
              <w:rPr>
                <w:i/>
                <w:color w:val="231F1F"/>
                <w:w w:val="110"/>
                <w:sz w:val="22"/>
              </w:rPr>
              <w:t>AI</w:t>
            </w:r>
            <w:r>
              <w:rPr>
                <w:i/>
                <w:color w:val="231F1F"/>
                <w:spacing w:val="-14"/>
                <w:w w:val="110"/>
                <w:sz w:val="22"/>
              </w:rPr>
              <w:t> </w:t>
            </w:r>
            <w:r>
              <w:rPr>
                <w:color w:val="231F1F"/>
                <w:w w:val="110"/>
                <w:sz w:val="22"/>
              </w:rPr>
              <w:t>reduce</w:t>
            </w:r>
            <w:r>
              <w:rPr>
                <w:color w:val="231F1F"/>
                <w:spacing w:val="-14"/>
                <w:w w:val="110"/>
                <w:sz w:val="22"/>
              </w:rPr>
              <w:t> </w:t>
            </w:r>
            <w:r>
              <w:rPr>
                <w:color w:val="231F1F"/>
                <w:w w:val="110"/>
                <w:sz w:val="22"/>
              </w:rPr>
              <w:t>el</w:t>
            </w:r>
            <w:r>
              <w:rPr>
                <w:color w:val="231F1F"/>
                <w:spacing w:val="-14"/>
                <w:w w:val="110"/>
                <w:sz w:val="22"/>
              </w:rPr>
              <w:t> </w:t>
            </w:r>
            <w:r>
              <w:rPr>
                <w:color w:val="231F1F"/>
                <w:w w:val="110"/>
                <w:sz w:val="22"/>
              </w:rPr>
              <w:t>índice</w:t>
            </w:r>
            <w:r>
              <w:rPr>
                <w:color w:val="231F1F"/>
                <w:spacing w:val="-14"/>
                <w:w w:val="110"/>
                <w:sz w:val="22"/>
              </w:rPr>
              <w:t> </w:t>
            </w:r>
            <w:r>
              <w:rPr>
                <w:color w:val="231F1F"/>
                <w:w w:val="110"/>
                <w:sz w:val="22"/>
              </w:rPr>
              <w:t>de</w:t>
            </w:r>
            <w:r>
              <w:rPr>
                <w:color w:val="231F1F"/>
                <w:spacing w:val="-14"/>
                <w:w w:val="110"/>
                <w:sz w:val="22"/>
              </w:rPr>
              <w:t> </w:t>
            </w:r>
            <w:r>
              <w:rPr>
                <w:color w:val="231F1F"/>
                <w:w w:val="110"/>
                <w:sz w:val="22"/>
              </w:rPr>
              <w:t>crisis</w:t>
            </w:r>
            <w:r>
              <w:rPr>
                <w:color w:val="231F1F"/>
                <w:spacing w:val="-14"/>
                <w:w w:val="110"/>
                <w:sz w:val="22"/>
              </w:rPr>
              <w:t> </w:t>
            </w:r>
            <w:r>
              <w:rPr>
                <w:color w:val="231F1F"/>
                <w:w w:val="110"/>
                <w:sz w:val="22"/>
              </w:rPr>
              <w:t>convulsivas</w:t>
            </w:r>
            <w:r>
              <w:rPr>
                <w:color w:val="231F1F"/>
                <w:spacing w:val="-14"/>
                <w:w w:val="110"/>
                <w:sz w:val="22"/>
              </w:rPr>
              <w:t> </w:t>
            </w:r>
            <w:r>
              <w:rPr>
                <w:color w:val="231F1F"/>
                <w:w w:val="110"/>
                <w:sz w:val="22"/>
              </w:rPr>
              <w:t>pero no tiene impacto en los índices de parálisis cerebral (363).</w:t>
            </w:r>
          </w:p>
          <w:p>
            <w:pPr>
              <w:pStyle w:val="TableParagraph"/>
              <w:spacing w:line="244" w:lineRule="auto" w:before="146"/>
              <w:ind w:right="156"/>
              <w:rPr>
                <w:sz w:val="22"/>
              </w:rPr>
            </w:pPr>
            <w:r>
              <w:rPr>
                <w:color w:val="231F1F"/>
                <w:w w:val="110"/>
                <w:sz w:val="22"/>
              </w:rPr>
              <w:t>La</w:t>
            </w:r>
            <w:r>
              <w:rPr>
                <w:color w:val="231F1F"/>
                <w:spacing w:val="-8"/>
                <w:w w:val="110"/>
                <w:sz w:val="22"/>
              </w:rPr>
              <w:t> </w:t>
            </w:r>
            <w:r>
              <w:rPr>
                <w:i/>
                <w:color w:val="231F1F"/>
                <w:w w:val="110"/>
                <w:sz w:val="22"/>
              </w:rPr>
              <w:t>MEFC</w:t>
            </w:r>
            <w:r>
              <w:rPr>
                <w:i/>
                <w:color w:val="231F1F"/>
                <w:spacing w:val="-12"/>
                <w:w w:val="110"/>
                <w:sz w:val="22"/>
              </w:rPr>
              <w:t> </w:t>
            </w:r>
            <w:r>
              <w:rPr>
                <w:color w:val="231F1F"/>
                <w:w w:val="110"/>
                <w:sz w:val="22"/>
              </w:rPr>
              <w:t>incrementa</w:t>
            </w:r>
            <w:r>
              <w:rPr>
                <w:color w:val="231F1F"/>
                <w:spacing w:val="-8"/>
                <w:w w:val="110"/>
                <w:sz w:val="22"/>
              </w:rPr>
              <w:t> </w:t>
            </w:r>
            <w:r>
              <w:rPr>
                <w:color w:val="231F1F"/>
                <w:w w:val="110"/>
                <w:sz w:val="22"/>
              </w:rPr>
              <w:t>el</w:t>
            </w:r>
            <w:r>
              <w:rPr>
                <w:color w:val="231F1F"/>
                <w:spacing w:val="-8"/>
                <w:w w:val="110"/>
                <w:sz w:val="22"/>
              </w:rPr>
              <w:t> </w:t>
            </w:r>
            <w:r>
              <w:rPr>
                <w:color w:val="231F1F"/>
                <w:w w:val="110"/>
                <w:sz w:val="22"/>
              </w:rPr>
              <w:t>número</w:t>
            </w:r>
            <w:r>
              <w:rPr>
                <w:color w:val="231F1F"/>
                <w:spacing w:val="-8"/>
                <w:w w:val="110"/>
                <w:sz w:val="22"/>
              </w:rPr>
              <w:t> </w:t>
            </w:r>
            <w:r>
              <w:rPr>
                <w:color w:val="231F1F"/>
                <w:w w:val="110"/>
                <w:sz w:val="22"/>
              </w:rPr>
              <w:t>de</w:t>
            </w:r>
            <w:r>
              <w:rPr>
                <w:color w:val="231F1F"/>
                <w:spacing w:val="-8"/>
                <w:w w:val="110"/>
                <w:sz w:val="22"/>
              </w:rPr>
              <w:t> </w:t>
            </w:r>
            <w:r>
              <w:rPr>
                <w:color w:val="231F1F"/>
                <w:w w:val="110"/>
                <w:sz w:val="22"/>
              </w:rPr>
              <w:t>cesáreas</w:t>
            </w:r>
            <w:r>
              <w:rPr>
                <w:color w:val="231F1F"/>
                <w:spacing w:val="-8"/>
                <w:w w:val="110"/>
                <w:sz w:val="22"/>
              </w:rPr>
              <w:t> </w:t>
            </w:r>
            <w:r>
              <w:rPr>
                <w:color w:val="231F1F"/>
                <w:w w:val="110"/>
                <w:sz w:val="22"/>
              </w:rPr>
              <w:t>y</w:t>
            </w:r>
            <w:r>
              <w:rPr>
                <w:color w:val="231F1F"/>
                <w:spacing w:val="-8"/>
                <w:w w:val="110"/>
                <w:sz w:val="22"/>
              </w:rPr>
              <w:t> </w:t>
            </w:r>
            <w:r>
              <w:rPr>
                <w:color w:val="231F1F"/>
                <w:w w:val="110"/>
                <w:sz w:val="22"/>
              </w:rPr>
              <w:t>de</w:t>
            </w:r>
            <w:r>
              <w:rPr>
                <w:color w:val="231F1F"/>
                <w:spacing w:val="-8"/>
                <w:w w:val="110"/>
                <w:sz w:val="22"/>
              </w:rPr>
              <w:t> </w:t>
            </w:r>
            <w:r>
              <w:rPr>
                <w:color w:val="231F1F"/>
                <w:w w:val="110"/>
                <w:sz w:val="22"/>
              </w:rPr>
              <w:t>partos</w:t>
            </w:r>
            <w:r>
              <w:rPr>
                <w:color w:val="231F1F"/>
                <w:spacing w:val="-8"/>
                <w:w w:val="110"/>
                <w:sz w:val="22"/>
              </w:rPr>
              <w:t> </w:t>
            </w:r>
            <w:r>
              <w:rPr>
                <w:color w:val="231F1F"/>
                <w:w w:val="110"/>
                <w:sz w:val="22"/>
              </w:rPr>
              <w:t>instrumentados </w:t>
            </w:r>
            <w:r>
              <w:rPr>
                <w:color w:val="231F1F"/>
                <w:spacing w:val="-2"/>
                <w:w w:val="110"/>
                <w:sz w:val="22"/>
              </w:rPr>
              <w:t>(363).</w:t>
            </w:r>
          </w:p>
        </w:tc>
        <w:tc>
          <w:tcPr>
            <w:tcW w:w="1133" w:type="dxa"/>
          </w:tcPr>
          <w:p>
            <w:pPr>
              <w:pStyle w:val="TableParagraph"/>
              <w:ind w:left="0"/>
              <w:rPr>
                <w:rFonts w:ascii="Arial MT"/>
                <w:sz w:val="22"/>
              </w:rPr>
            </w:pPr>
          </w:p>
          <w:p>
            <w:pPr>
              <w:pStyle w:val="TableParagraph"/>
              <w:spacing w:before="27"/>
              <w:ind w:left="0"/>
              <w:rPr>
                <w:rFonts w:ascii="Arial MT"/>
                <w:sz w:val="22"/>
              </w:rPr>
            </w:pPr>
          </w:p>
          <w:p>
            <w:pPr>
              <w:pStyle w:val="TableParagraph"/>
              <w:ind w:left="49" w:right="22"/>
              <w:jc w:val="center"/>
              <w:rPr>
                <w:sz w:val="22"/>
              </w:rPr>
            </w:pPr>
            <w:r>
              <w:rPr>
                <w:color w:val="231F1F"/>
                <w:spacing w:val="-5"/>
                <w:w w:val="115"/>
                <w:sz w:val="22"/>
              </w:rPr>
              <w:t>II</w:t>
            </w:r>
          </w:p>
        </w:tc>
      </w:tr>
      <w:tr>
        <w:trPr>
          <w:trHeight w:val="690" w:hRule="atLeast"/>
        </w:trPr>
        <w:tc>
          <w:tcPr>
            <w:tcW w:w="7373" w:type="dxa"/>
          </w:tcPr>
          <w:p>
            <w:pPr>
              <w:pStyle w:val="TableParagraph"/>
              <w:spacing w:line="237" w:lineRule="auto" w:before="55"/>
              <w:ind w:right="156"/>
              <w:rPr>
                <w:sz w:val="22"/>
              </w:rPr>
            </w:pPr>
            <w:r>
              <w:rPr>
                <w:color w:val="231F1F"/>
                <w:w w:val="110"/>
                <w:sz w:val="22"/>
              </w:rPr>
              <w:t>No</w:t>
            </w:r>
            <w:r>
              <w:rPr>
                <w:color w:val="231F1F"/>
                <w:spacing w:val="-10"/>
                <w:w w:val="110"/>
                <w:sz w:val="22"/>
              </w:rPr>
              <w:t> </w:t>
            </w:r>
            <w:r>
              <w:rPr>
                <w:color w:val="231F1F"/>
                <w:w w:val="110"/>
                <w:sz w:val="22"/>
              </w:rPr>
              <w:t>se</w:t>
            </w:r>
            <w:r>
              <w:rPr>
                <w:color w:val="231F1F"/>
                <w:spacing w:val="-10"/>
                <w:w w:val="110"/>
                <w:sz w:val="22"/>
              </w:rPr>
              <w:t> </w:t>
            </w:r>
            <w:r>
              <w:rPr>
                <w:color w:val="231F1F"/>
                <w:w w:val="110"/>
                <w:sz w:val="22"/>
              </w:rPr>
              <w:t>dispone</w:t>
            </w:r>
            <w:r>
              <w:rPr>
                <w:color w:val="231F1F"/>
                <w:spacing w:val="-11"/>
                <w:w w:val="110"/>
                <w:sz w:val="22"/>
              </w:rPr>
              <w:t> </w:t>
            </w:r>
            <w:r>
              <w:rPr>
                <w:color w:val="231F1F"/>
                <w:w w:val="110"/>
                <w:sz w:val="22"/>
              </w:rPr>
              <w:t>de</w:t>
            </w:r>
            <w:r>
              <w:rPr>
                <w:color w:val="231F1F"/>
                <w:spacing w:val="-10"/>
                <w:w w:val="110"/>
                <w:sz w:val="22"/>
              </w:rPr>
              <w:t> </w:t>
            </w:r>
            <w:r>
              <w:rPr>
                <w:color w:val="231F1F"/>
                <w:w w:val="110"/>
                <w:sz w:val="22"/>
              </w:rPr>
              <w:t>evidencia</w:t>
            </w:r>
            <w:r>
              <w:rPr>
                <w:color w:val="231F1F"/>
                <w:spacing w:val="-10"/>
                <w:w w:val="110"/>
                <w:sz w:val="22"/>
              </w:rPr>
              <w:t> </w:t>
            </w:r>
            <w:r>
              <w:rPr>
                <w:color w:val="231F1F"/>
                <w:w w:val="110"/>
                <w:sz w:val="22"/>
              </w:rPr>
              <w:t>suficiente</w:t>
            </w:r>
            <w:r>
              <w:rPr>
                <w:color w:val="231F1F"/>
                <w:spacing w:val="-12"/>
                <w:w w:val="110"/>
                <w:sz w:val="22"/>
              </w:rPr>
              <w:t> </w:t>
            </w:r>
            <w:r>
              <w:rPr>
                <w:color w:val="231F1F"/>
                <w:w w:val="110"/>
                <w:sz w:val="22"/>
              </w:rPr>
              <w:t>para</w:t>
            </w:r>
            <w:r>
              <w:rPr>
                <w:color w:val="231F1F"/>
                <w:spacing w:val="-10"/>
                <w:w w:val="110"/>
                <w:sz w:val="22"/>
              </w:rPr>
              <w:t> </w:t>
            </w:r>
            <w:r>
              <w:rPr>
                <w:color w:val="231F1F"/>
                <w:w w:val="110"/>
                <w:sz w:val="22"/>
              </w:rPr>
              <w:t>diferenciar</w:t>
            </w:r>
            <w:r>
              <w:rPr>
                <w:color w:val="231F1F"/>
                <w:spacing w:val="-12"/>
                <w:w w:val="110"/>
                <w:sz w:val="22"/>
              </w:rPr>
              <w:t> </w:t>
            </w:r>
            <w:r>
              <w:rPr>
                <w:color w:val="231F1F"/>
                <w:w w:val="110"/>
                <w:sz w:val="22"/>
              </w:rPr>
              <w:t>la</w:t>
            </w:r>
            <w:r>
              <w:rPr>
                <w:color w:val="231F1F"/>
                <w:spacing w:val="-11"/>
                <w:w w:val="110"/>
                <w:sz w:val="22"/>
              </w:rPr>
              <w:t> </w:t>
            </w:r>
            <w:r>
              <w:rPr>
                <w:color w:val="231F1F"/>
                <w:w w:val="110"/>
                <w:sz w:val="22"/>
              </w:rPr>
              <w:t>efectividad</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la auscultación mediante Doppler o estetoscopio de Pinard (364).</w:t>
            </w:r>
          </w:p>
        </w:tc>
        <w:tc>
          <w:tcPr>
            <w:tcW w:w="1133" w:type="dxa"/>
          </w:tcPr>
          <w:p>
            <w:pPr>
              <w:pStyle w:val="TableParagraph"/>
              <w:spacing w:before="188"/>
              <w:ind w:left="49" w:right="22"/>
              <w:jc w:val="center"/>
              <w:rPr>
                <w:sz w:val="22"/>
              </w:rPr>
            </w:pPr>
            <w:r>
              <w:rPr>
                <w:color w:val="231F1F"/>
                <w:spacing w:val="-5"/>
                <w:w w:val="115"/>
                <w:sz w:val="22"/>
              </w:rPr>
              <w:t>II</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76" w:hRule="atLeast"/>
        </w:trPr>
        <w:tc>
          <w:tcPr>
            <w:tcW w:w="456" w:type="dxa"/>
          </w:tcPr>
          <w:p>
            <w:pPr>
              <w:pStyle w:val="TableParagraph"/>
              <w:spacing w:before="178"/>
              <w:ind w:left="43" w:right="61"/>
              <w:jc w:val="center"/>
              <w:rPr>
                <w:sz w:val="22"/>
              </w:rPr>
            </w:pPr>
            <w:r>
              <w:rPr>
                <w:color w:val="231F1F"/>
                <w:spacing w:val="-10"/>
                <w:w w:val="110"/>
                <w:sz w:val="22"/>
              </w:rPr>
              <w:t>B</w:t>
            </w:r>
          </w:p>
        </w:tc>
        <w:tc>
          <w:tcPr>
            <w:tcW w:w="8050" w:type="dxa"/>
          </w:tcPr>
          <w:p>
            <w:pPr>
              <w:pStyle w:val="TableParagraph"/>
              <w:spacing w:before="44"/>
              <w:ind w:right="155"/>
              <w:rPr>
                <w:sz w:val="22"/>
              </w:rPr>
            </w:pPr>
            <w:r>
              <w:rPr>
                <w:color w:val="231F1F"/>
                <w:sz w:val="22"/>
              </w:rPr>
              <w:t>Tanto</w:t>
            </w:r>
            <w:r>
              <w:rPr>
                <w:color w:val="231F1F"/>
                <w:spacing w:val="32"/>
                <w:sz w:val="22"/>
              </w:rPr>
              <w:t> </w:t>
            </w:r>
            <w:r>
              <w:rPr>
                <w:color w:val="231F1F"/>
                <w:sz w:val="22"/>
              </w:rPr>
              <w:t>la</w:t>
            </w:r>
            <w:r>
              <w:rPr>
                <w:color w:val="231F1F"/>
                <w:spacing w:val="34"/>
                <w:sz w:val="22"/>
              </w:rPr>
              <w:t> </w:t>
            </w:r>
            <w:r>
              <w:rPr>
                <w:i/>
                <w:color w:val="231F1F"/>
                <w:sz w:val="22"/>
              </w:rPr>
              <w:t>MEFC</w:t>
            </w:r>
            <w:r>
              <w:rPr>
                <w:i/>
                <w:color w:val="231F1F"/>
                <w:spacing w:val="30"/>
                <w:sz w:val="22"/>
              </w:rPr>
              <w:t> </w:t>
            </w:r>
            <w:r>
              <w:rPr>
                <w:color w:val="231F1F"/>
                <w:sz w:val="22"/>
              </w:rPr>
              <w:t>como</w:t>
            </w:r>
            <w:r>
              <w:rPr>
                <w:color w:val="231F1F"/>
                <w:spacing w:val="34"/>
                <w:sz w:val="22"/>
              </w:rPr>
              <w:t> </w:t>
            </w:r>
            <w:r>
              <w:rPr>
                <w:color w:val="231F1F"/>
                <w:sz w:val="22"/>
              </w:rPr>
              <w:t>la</w:t>
            </w:r>
            <w:r>
              <w:rPr>
                <w:color w:val="231F1F"/>
                <w:spacing w:val="34"/>
                <w:sz w:val="22"/>
              </w:rPr>
              <w:t> </w:t>
            </w:r>
            <w:r>
              <w:rPr>
                <w:i/>
                <w:color w:val="231F1F"/>
                <w:sz w:val="22"/>
              </w:rPr>
              <w:t>AI</w:t>
            </w:r>
            <w:r>
              <w:rPr>
                <w:i/>
                <w:color w:val="231F1F"/>
                <w:spacing w:val="30"/>
                <w:sz w:val="22"/>
              </w:rPr>
              <w:t> </w:t>
            </w:r>
            <w:r>
              <w:rPr>
                <w:color w:val="231F1F"/>
                <w:sz w:val="22"/>
              </w:rPr>
              <w:t>son</w:t>
            </w:r>
            <w:r>
              <w:rPr>
                <w:color w:val="231F1F"/>
                <w:spacing w:val="34"/>
                <w:sz w:val="22"/>
              </w:rPr>
              <w:t> </w:t>
            </w:r>
            <w:r>
              <w:rPr>
                <w:color w:val="231F1F"/>
                <w:sz w:val="22"/>
              </w:rPr>
              <w:t>dos</w:t>
            </w:r>
            <w:r>
              <w:rPr>
                <w:color w:val="231F1F"/>
                <w:spacing w:val="34"/>
                <w:sz w:val="22"/>
              </w:rPr>
              <w:t> </w:t>
            </w:r>
            <w:r>
              <w:rPr>
                <w:color w:val="231F1F"/>
                <w:sz w:val="22"/>
              </w:rPr>
              <w:t>métodos</w:t>
            </w:r>
            <w:r>
              <w:rPr>
                <w:color w:val="231F1F"/>
                <w:spacing w:val="34"/>
                <w:sz w:val="22"/>
              </w:rPr>
              <w:t> </w:t>
            </w:r>
            <w:r>
              <w:rPr>
                <w:color w:val="231F1F"/>
                <w:sz w:val="22"/>
              </w:rPr>
              <w:t>válidos</w:t>
            </w:r>
            <w:r>
              <w:rPr>
                <w:color w:val="231F1F"/>
                <w:spacing w:val="34"/>
                <w:sz w:val="22"/>
              </w:rPr>
              <w:t> </w:t>
            </w:r>
            <w:r>
              <w:rPr>
                <w:color w:val="231F1F"/>
                <w:sz w:val="22"/>
              </w:rPr>
              <w:t>y</w:t>
            </w:r>
            <w:r>
              <w:rPr>
                <w:color w:val="231F1F"/>
                <w:spacing w:val="34"/>
                <w:sz w:val="22"/>
              </w:rPr>
              <w:t> </w:t>
            </w:r>
            <w:r>
              <w:rPr>
                <w:color w:val="231F1F"/>
                <w:sz w:val="22"/>
              </w:rPr>
              <w:t>recomendables</w:t>
            </w:r>
            <w:r>
              <w:rPr>
                <w:color w:val="231F1F"/>
                <w:spacing w:val="34"/>
                <w:sz w:val="22"/>
              </w:rPr>
              <w:t> </w:t>
            </w:r>
            <w:r>
              <w:rPr>
                <w:color w:val="231F1F"/>
                <w:sz w:val="22"/>
              </w:rPr>
              <w:t>para</w:t>
            </w:r>
            <w:r>
              <w:rPr>
                <w:color w:val="231F1F"/>
                <w:spacing w:val="34"/>
                <w:sz w:val="22"/>
              </w:rPr>
              <w:t> </w:t>
            </w:r>
            <w:r>
              <w:rPr>
                <w:color w:val="231F1F"/>
                <w:sz w:val="22"/>
              </w:rPr>
              <w:t>el</w:t>
            </w:r>
            <w:r>
              <w:rPr>
                <w:color w:val="231F1F"/>
                <w:spacing w:val="32"/>
                <w:sz w:val="22"/>
              </w:rPr>
              <w:t> </w:t>
            </w:r>
            <w:r>
              <w:rPr>
                <w:color w:val="231F1F"/>
                <w:sz w:val="22"/>
              </w:rPr>
              <w:t>con- </w:t>
            </w:r>
            <w:r>
              <w:rPr>
                <w:color w:val="231F1F"/>
                <w:w w:val="110"/>
                <w:sz w:val="22"/>
              </w:rPr>
              <w:t>trol del bienestar fetal durante el parto.</w:t>
            </w:r>
          </w:p>
        </w:tc>
      </w:tr>
      <w:tr>
        <w:trPr>
          <w:trHeight w:val="402" w:hRule="atLeast"/>
        </w:trPr>
        <w:tc>
          <w:tcPr>
            <w:tcW w:w="456" w:type="dxa"/>
          </w:tcPr>
          <w:p>
            <w:pPr>
              <w:pStyle w:val="TableParagraph"/>
              <w:spacing w:before="44"/>
              <w:ind w:left="43" w:right="86"/>
              <w:jc w:val="center"/>
              <w:rPr>
                <w:sz w:val="22"/>
              </w:rPr>
            </w:pPr>
            <w:r>
              <w:rPr>
                <w:color w:val="231F1F"/>
                <w:spacing w:val="-10"/>
                <w:w w:val="110"/>
                <w:sz w:val="22"/>
              </w:rPr>
              <w:t>√</w:t>
            </w:r>
          </w:p>
        </w:tc>
        <w:tc>
          <w:tcPr>
            <w:tcW w:w="8050" w:type="dxa"/>
          </w:tcPr>
          <w:p>
            <w:pPr>
              <w:pStyle w:val="TableParagraph"/>
              <w:spacing w:before="44"/>
              <w:rPr>
                <w:sz w:val="22"/>
              </w:rPr>
            </w:pPr>
            <w:r>
              <w:rPr>
                <w:color w:val="231F1F"/>
                <w:w w:val="110"/>
                <w:sz w:val="22"/>
              </w:rPr>
              <w:t>La</w:t>
            </w:r>
            <w:r>
              <w:rPr>
                <w:color w:val="231F1F"/>
                <w:spacing w:val="-16"/>
                <w:w w:val="110"/>
                <w:sz w:val="22"/>
              </w:rPr>
              <w:t> </w:t>
            </w:r>
            <w:r>
              <w:rPr>
                <w:color w:val="231F1F"/>
                <w:w w:val="110"/>
                <w:sz w:val="22"/>
              </w:rPr>
              <w:t>AI</w:t>
            </w:r>
            <w:r>
              <w:rPr>
                <w:color w:val="231F1F"/>
                <w:spacing w:val="-13"/>
                <w:w w:val="110"/>
                <w:sz w:val="22"/>
              </w:rPr>
              <w:t> </w:t>
            </w:r>
            <w:r>
              <w:rPr>
                <w:color w:val="231F1F"/>
                <w:w w:val="110"/>
                <w:sz w:val="22"/>
              </w:rPr>
              <w:t>se</w:t>
            </w:r>
            <w:r>
              <w:rPr>
                <w:color w:val="231F1F"/>
                <w:spacing w:val="-13"/>
                <w:w w:val="110"/>
                <w:sz w:val="22"/>
              </w:rPr>
              <w:t> </w:t>
            </w:r>
            <w:r>
              <w:rPr>
                <w:color w:val="231F1F"/>
                <w:w w:val="110"/>
                <w:sz w:val="22"/>
              </w:rPr>
              <w:t>puede</w:t>
            </w:r>
            <w:r>
              <w:rPr>
                <w:color w:val="231F1F"/>
                <w:spacing w:val="-13"/>
                <w:w w:val="110"/>
                <w:sz w:val="22"/>
              </w:rPr>
              <w:t> </w:t>
            </w:r>
            <w:r>
              <w:rPr>
                <w:color w:val="231F1F"/>
                <w:w w:val="110"/>
                <w:sz w:val="22"/>
              </w:rPr>
              <w:t>realizar</w:t>
            </w:r>
            <w:r>
              <w:rPr>
                <w:color w:val="231F1F"/>
                <w:spacing w:val="-14"/>
                <w:w w:val="110"/>
                <w:sz w:val="22"/>
              </w:rPr>
              <w:t> </w:t>
            </w:r>
            <w:r>
              <w:rPr>
                <w:color w:val="231F1F"/>
                <w:w w:val="110"/>
                <w:sz w:val="22"/>
              </w:rPr>
              <w:t>tanto</w:t>
            </w:r>
            <w:r>
              <w:rPr>
                <w:color w:val="231F1F"/>
                <w:spacing w:val="-13"/>
                <w:w w:val="110"/>
                <w:sz w:val="22"/>
              </w:rPr>
              <w:t> </w:t>
            </w:r>
            <w:r>
              <w:rPr>
                <w:color w:val="231F1F"/>
                <w:w w:val="110"/>
                <w:sz w:val="22"/>
              </w:rPr>
              <w:t>con</w:t>
            </w:r>
            <w:r>
              <w:rPr>
                <w:color w:val="231F1F"/>
                <w:spacing w:val="-13"/>
                <w:w w:val="110"/>
                <w:sz w:val="22"/>
              </w:rPr>
              <w:t> </w:t>
            </w:r>
            <w:r>
              <w:rPr>
                <w:color w:val="231F1F"/>
                <w:w w:val="110"/>
                <w:sz w:val="22"/>
              </w:rPr>
              <w:t>ultrasonidos</w:t>
            </w:r>
            <w:r>
              <w:rPr>
                <w:color w:val="231F1F"/>
                <w:spacing w:val="-14"/>
                <w:w w:val="110"/>
                <w:sz w:val="22"/>
              </w:rPr>
              <w:t> </w:t>
            </w:r>
            <w:r>
              <w:rPr>
                <w:color w:val="231F1F"/>
                <w:w w:val="110"/>
                <w:sz w:val="22"/>
              </w:rPr>
              <w:t>Doppler</w:t>
            </w:r>
            <w:r>
              <w:rPr>
                <w:color w:val="231F1F"/>
                <w:spacing w:val="-14"/>
                <w:w w:val="110"/>
                <w:sz w:val="22"/>
              </w:rPr>
              <w:t> </w:t>
            </w:r>
            <w:r>
              <w:rPr>
                <w:color w:val="231F1F"/>
                <w:w w:val="110"/>
                <w:sz w:val="22"/>
              </w:rPr>
              <w:t>como</w:t>
            </w:r>
            <w:r>
              <w:rPr>
                <w:color w:val="231F1F"/>
                <w:spacing w:val="-14"/>
                <w:w w:val="110"/>
                <w:sz w:val="22"/>
              </w:rPr>
              <w:t> </w:t>
            </w:r>
            <w:r>
              <w:rPr>
                <w:color w:val="231F1F"/>
                <w:w w:val="110"/>
                <w:sz w:val="22"/>
              </w:rPr>
              <w:t>con</w:t>
            </w:r>
            <w:r>
              <w:rPr>
                <w:color w:val="231F1F"/>
                <w:spacing w:val="-13"/>
                <w:w w:val="110"/>
                <w:sz w:val="22"/>
              </w:rPr>
              <w:t> </w:t>
            </w:r>
            <w:r>
              <w:rPr>
                <w:color w:val="231F1F"/>
                <w:spacing w:val="-2"/>
                <w:w w:val="110"/>
                <w:sz w:val="22"/>
              </w:rPr>
              <w:t>estetoscopio.</w:t>
            </w:r>
          </w:p>
        </w:tc>
      </w:tr>
    </w:tbl>
    <w:p>
      <w:pPr>
        <w:pStyle w:val="TableParagraph"/>
        <w:spacing w:after="0"/>
        <w:rPr>
          <w:sz w:val="22"/>
        </w:rPr>
        <w:sectPr>
          <w:type w:val="continuous"/>
          <w:pgSz w:w="11900" w:h="16840"/>
          <w:pgMar w:header="0" w:footer="622" w:top="560" w:bottom="280" w:left="1417" w:right="1559"/>
        </w:sectPr>
      </w:pPr>
    </w:p>
    <w:p>
      <w:pPr>
        <w:pStyle w:val="Heading2"/>
        <w:numPr>
          <w:ilvl w:val="2"/>
          <w:numId w:val="2"/>
        </w:numPr>
        <w:tabs>
          <w:tab w:pos="1182" w:val="left" w:leader="none"/>
          <w:tab w:pos="1186" w:val="left" w:leader="none"/>
        </w:tabs>
        <w:spacing w:line="232" w:lineRule="auto" w:before="77" w:after="0"/>
        <w:ind w:left="1186" w:right="1342" w:hanging="905"/>
        <w:jc w:val="left"/>
      </w:pPr>
      <w:r>
        <w:rPr>
          <w:color w:val="231F1F"/>
        </w:rPr>
        <w:t>MEFC vs Monitorización electrónica fetal</w:t>
      </w:r>
      <w:r>
        <w:rPr>
          <w:color w:val="231F1F"/>
          <w:spacing w:val="40"/>
        </w:rPr>
        <w:t> </w:t>
      </w:r>
      <w:r>
        <w:rPr>
          <w:color w:val="231F1F"/>
        </w:rPr>
        <w:t>intermitente (MEFI)</w:t>
      </w:r>
    </w:p>
    <w:p>
      <w:pPr>
        <w:pStyle w:val="BodyText"/>
        <w:spacing w:before="24"/>
        <w:rPr>
          <w:sz w:val="20"/>
        </w:rPr>
      </w:pPr>
      <w:r>
        <w:rPr>
          <w:sz w:val="20"/>
        </w:rPr>
        <mc:AlternateContent>
          <mc:Choice Requires="wps">
            <w:drawing>
              <wp:anchor distT="0" distB="0" distL="0" distR="0" allowOverlap="1" layoutInCell="1" locked="0" behindDoc="1" simplePos="0" relativeHeight="487631360">
                <wp:simplePos x="0" y="0"/>
                <wp:positionH relativeFrom="page">
                  <wp:posOffset>1082675</wp:posOffset>
                </wp:positionH>
                <wp:positionV relativeFrom="paragraph">
                  <wp:posOffset>180281</wp:posOffset>
                </wp:positionV>
                <wp:extent cx="5400040" cy="262255"/>
                <wp:effectExtent l="0" t="0" r="0" b="0"/>
                <wp:wrapTopAndBottom/>
                <wp:docPr id="147" name="Textbox 147"/>
                <wp:cNvGraphicFramePr>
                  <a:graphicFrameLocks/>
                </wp:cNvGraphicFramePr>
                <a:graphic>
                  <a:graphicData uri="http://schemas.microsoft.com/office/word/2010/wordprocessingShape">
                    <wps:wsp>
                      <wps:cNvPr id="147" name="Textbox 147"/>
                      <wps:cNvSpPr txBox="1"/>
                      <wps:spPr>
                        <a:xfrm>
                          <a:off x="0" y="0"/>
                          <a:ext cx="5400040" cy="262255"/>
                        </a:xfrm>
                        <a:prstGeom prst="rect">
                          <a:avLst/>
                        </a:prstGeom>
                        <a:ln w="6350">
                          <a:solidFill>
                            <a:srgbClr val="A30046"/>
                          </a:solidFill>
                          <a:prstDash val="solid"/>
                        </a:ln>
                      </wps:spPr>
                      <wps:txbx>
                        <w:txbxContent>
                          <w:p>
                            <w:pPr>
                              <w:pStyle w:val="BodyText"/>
                              <w:numPr>
                                <w:ilvl w:val="0"/>
                                <w:numId w:val="88"/>
                              </w:numPr>
                              <w:tabs>
                                <w:tab w:pos="315" w:val="left" w:leader="none"/>
                              </w:tabs>
                              <w:spacing w:line="240" w:lineRule="auto" w:before="65" w:after="0"/>
                              <w:ind w:left="315" w:right="0" w:hanging="211"/>
                              <w:jc w:val="left"/>
                            </w:pPr>
                            <w:r>
                              <w:rPr>
                                <w:color w:val="231F1F"/>
                                <w:spacing w:val="-2"/>
                              </w:rPr>
                              <w:t>¿Cuál</w:t>
                            </w:r>
                            <w:r>
                              <w:rPr>
                                <w:color w:val="231F1F"/>
                                <w:spacing w:val="-12"/>
                              </w:rPr>
                              <w:t> </w:t>
                            </w:r>
                            <w:r>
                              <w:rPr>
                                <w:color w:val="231F1F"/>
                                <w:spacing w:val="-2"/>
                              </w:rPr>
                              <w:t>es</w:t>
                            </w:r>
                            <w:r>
                              <w:rPr>
                                <w:color w:val="231F1F"/>
                                <w:spacing w:val="-11"/>
                              </w:rPr>
                              <w:t> </w:t>
                            </w:r>
                            <w:r>
                              <w:rPr>
                                <w:color w:val="231F1F"/>
                                <w:spacing w:val="-2"/>
                              </w:rPr>
                              <w:t>la</w:t>
                            </w:r>
                            <w:r>
                              <w:rPr>
                                <w:color w:val="231F1F"/>
                                <w:spacing w:val="-9"/>
                              </w:rPr>
                              <w:t> </w:t>
                            </w:r>
                            <w:r>
                              <w:rPr>
                                <w:color w:val="231F1F"/>
                                <w:spacing w:val="-2"/>
                              </w:rPr>
                              <w:t>efectividad</w:t>
                            </w:r>
                            <w:r>
                              <w:rPr>
                                <w:color w:val="231F1F"/>
                                <w:spacing w:val="-10"/>
                              </w:rPr>
                              <w:t> </w:t>
                            </w:r>
                            <w:r>
                              <w:rPr>
                                <w:color w:val="231F1F"/>
                                <w:spacing w:val="-2"/>
                              </w:rPr>
                              <w:t>de</w:t>
                            </w:r>
                            <w:r>
                              <w:rPr>
                                <w:color w:val="231F1F"/>
                                <w:spacing w:val="-9"/>
                              </w:rPr>
                              <w:t> </w:t>
                            </w:r>
                            <w:r>
                              <w:rPr>
                                <w:color w:val="231F1F"/>
                                <w:spacing w:val="-2"/>
                              </w:rPr>
                              <w:t>los</w:t>
                            </w:r>
                            <w:r>
                              <w:rPr>
                                <w:color w:val="231F1F"/>
                                <w:spacing w:val="-10"/>
                              </w:rPr>
                              <w:t> </w:t>
                            </w:r>
                            <w:r>
                              <w:rPr>
                                <w:color w:val="231F1F"/>
                                <w:spacing w:val="-2"/>
                              </w:rPr>
                              <w:t>siguientes</w:t>
                            </w:r>
                            <w:r>
                              <w:rPr>
                                <w:color w:val="231F1F"/>
                                <w:spacing w:val="-7"/>
                              </w:rPr>
                              <w:t> </w:t>
                            </w:r>
                            <w:r>
                              <w:rPr>
                                <w:color w:val="231F1F"/>
                                <w:spacing w:val="-2"/>
                              </w:rPr>
                              <w:t>métodos</w:t>
                            </w:r>
                            <w:r>
                              <w:rPr>
                                <w:color w:val="231F1F"/>
                                <w:spacing w:val="-10"/>
                              </w:rPr>
                              <w:t> </w:t>
                            </w:r>
                            <w:r>
                              <w:rPr>
                                <w:color w:val="231F1F"/>
                                <w:spacing w:val="-2"/>
                              </w:rPr>
                              <w:t>de</w:t>
                            </w:r>
                            <w:r>
                              <w:rPr>
                                <w:color w:val="231F1F"/>
                                <w:spacing w:val="-9"/>
                              </w:rPr>
                              <w:t> </w:t>
                            </w:r>
                            <w:r>
                              <w:rPr>
                                <w:color w:val="231F1F"/>
                                <w:spacing w:val="-2"/>
                              </w:rPr>
                              <w:t>monitorización</w:t>
                            </w:r>
                            <w:r>
                              <w:rPr>
                                <w:color w:val="231F1F"/>
                                <w:spacing w:val="-10"/>
                              </w:rPr>
                              <w:t> </w:t>
                            </w:r>
                            <w:r>
                              <w:rPr>
                                <w:color w:val="231F1F"/>
                                <w:spacing w:val="-2"/>
                              </w:rPr>
                              <w:t>fetal:</w:t>
                            </w:r>
                            <w:r>
                              <w:rPr>
                                <w:color w:val="231F1F"/>
                                <w:spacing w:val="-9"/>
                              </w:rPr>
                              <w:t> </w:t>
                            </w:r>
                            <w:r>
                              <w:rPr>
                                <w:color w:val="231F1F"/>
                                <w:spacing w:val="-2"/>
                              </w:rPr>
                              <w:t>MEFC</w:t>
                            </w:r>
                            <w:r>
                              <w:rPr>
                                <w:color w:val="231F1F"/>
                                <w:spacing w:val="-10"/>
                              </w:rPr>
                              <w:t> </w:t>
                            </w:r>
                            <w:r>
                              <w:rPr>
                                <w:color w:val="231F1F"/>
                                <w:spacing w:val="-2"/>
                              </w:rPr>
                              <w:t>vs</w:t>
                            </w:r>
                            <w:r>
                              <w:rPr>
                                <w:color w:val="231F1F"/>
                                <w:spacing w:val="-8"/>
                              </w:rPr>
                              <w:t> </w:t>
                            </w:r>
                            <w:r>
                              <w:rPr>
                                <w:color w:val="231F1F"/>
                                <w:spacing w:val="-2"/>
                              </w:rPr>
                              <w:t>MEFI?</w:t>
                            </w:r>
                          </w:p>
                        </w:txbxContent>
                      </wps:txbx>
                      <wps:bodyPr wrap="square" lIns="0" tIns="0" rIns="0" bIns="0" rtlCol="0">
                        <a:noAutofit/>
                      </wps:bodyPr>
                    </wps:wsp>
                  </a:graphicData>
                </a:graphic>
              </wp:anchor>
            </w:drawing>
          </mc:Choice>
          <mc:Fallback>
            <w:pict>
              <v:shape style="position:absolute;margin-left:85.25pt;margin-top:14.19541pt;width:425.2pt;height:20.65pt;mso-position-horizontal-relative:page;mso-position-vertical-relative:paragraph;z-index:-15685120;mso-wrap-distance-left:0;mso-wrap-distance-right:0" type="#_x0000_t202" id="docshape136" filled="false" stroked="true" strokeweight=".5pt" strokecolor="#a30046">
                <v:textbox inset="0,0,0,0">
                  <w:txbxContent>
                    <w:p>
                      <w:pPr>
                        <w:pStyle w:val="BodyText"/>
                        <w:numPr>
                          <w:ilvl w:val="0"/>
                          <w:numId w:val="88"/>
                        </w:numPr>
                        <w:tabs>
                          <w:tab w:pos="315" w:val="left" w:leader="none"/>
                        </w:tabs>
                        <w:spacing w:line="240" w:lineRule="auto" w:before="65" w:after="0"/>
                        <w:ind w:left="315" w:right="0" w:hanging="211"/>
                        <w:jc w:val="left"/>
                      </w:pPr>
                      <w:r>
                        <w:rPr>
                          <w:color w:val="231F1F"/>
                          <w:spacing w:val="-2"/>
                        </w:rPr>
                        <w:t>¿Cuál</w:t>
                      </w:r>
                      <w:r>
                        <w:rPr>
                          <w:color w:val="231F1F"/>
                          <w:spacing w:val="-12"/>
                        </w:rPr>
                        <w:t> </w:t>
                      </w:r>
                      <w:r>
                        <w:rPr>
                          <w:color w:val="231F1F"/>
                          <w:spacing w:val="-2"/>
                        </w:rPr>
                        <w:t>es</w:t>
                      </w:r>
                      <w:r>
                        <w:rPr>
                          <w:color w:val="231F1F"/>
                          <w:spacing w:val="-11"/>
                        </w:rPr>
                        <w:t> </w:t>
                      </w:r>
                      <w:r>
                        <w:rPr>
                          <w:color w:val="231F1F"/>
                          <w:spacing w:val="-2"/>
                        </w:rPr>
                        <w:t>la</w:t>
                      </w:r>
                      <w:r>
                        <w:rPr>
                          <w:color w:val="231F1F"/>
                          <w:spacing w:val="-9"/>
                        </w:rPr>
                        <w:t> </w:t>
                      </w:r>
                      <w:r>
                        <w:rPr>
                          <w:color w:val="231F1F"/>
                          <w:spacing w:val="-2"/>
                        </w:rPr>
                        <w:t>efectividad</w:t>
                      </w:r>
                      <w:r>
                        <w:rPr>
                          <w:color w:val="231F1F"/>
                          <w:spacing w:val="-10"/>
                        </w:rPr>
                        <w:t> </w:t>
                      </w:r>
                      <w:r>
                        <w:rPr>
                          <w:color w:val="231F1F"/>
                          <w:spacing w:val="-2"/>
                        </w:rPr>
                        <w:t>de</w:t>
                      </w:r>
                      <w:r>
                        <w:rPr>
                          <w:color w:val="231F1F"/>
                          <w:spacing w:val="-9"/>
                        </w:rPr>
                        <w:t> </w:t>
                      </w:r>
                      <w:r>
                        <w:rPr>
                          <w:color w:val="231F1F"/>
                          <w:spacing w:val="-2"/>
                        </w:rPr>
                        <w:t>los</w:t>
                      </w:r>
                      <w:r>
                        <w:rPr>
                          <w:color w:val="231F1F"/>
                          <w:spacing w:val="-10"/>
                        </w:rPr>
                        <w:t> </w:t>
                      </w:r>
                      <w:r>
                        <w:rPr>
                          <w:color w:val="231F1F"/>
                          <w:spacing w:val="-2"/>
                        </w:rPr>
                        <w:t>siguientes</w:t>
                      </w:r>
                      <w:r>
                        <w:rPr>
                          <w:color w:val="231F1F"/>
                          <w:spacing w:val="-7"/>
                        </w:rPr>
                        <w:t> </w:t>
                      </w:r>
                      <w:r>
                        <w:rPr>
                          <w:color w:val="231F1F"/>
                          <w:spacing w:val="-2"/>
                        </w:rPr>
                        <w:t>métodos</w:t>
                      </w:r>
                      <w:r>
                        <w:rPr>
                          <w:color w:val="231F1F"/>
                          <w:spacing w:val="-10"/>
                        </w:rPr>
                        <w:t> </w:t>
                      </w:r>
                      <w:r>
                        <w:rPr>
                          <w:color w:val="231F1F"/>
                          <w:spacing w:val="-2"/>
                        </w:rPr>
                        <w:t>de</w:t>
                      </w:r>
                      <w:r>
                        <w:rPr>
                          <w:color w:val="231F1F"/>
                          <w:spacing w:val="-9"/>
                        </w:rPr>
                        <w:t> </w:t>
                      </w:r>
                      <w:r>
                        <w:rPr>
                          <w:color w:val="231F1F"/>
                          <w:spacing w:val="-2"/>
                        </w:rPr>
                        <w:t>monitorización</w:t>
                      </w:r>
                      <w:r>
                        <w:rPr>
                          <w:color w:val="231F1F"/>
                          <w:spacing w:val="-10"/>
                        </w:rPr>
                        <w:t> </w:t>
                      </w:r>
                      <w:r>
                        <w:rPr>
                          <w:color w:val="231F1F"/>
                          <w:spacing w:val="-2"/>
                        </w:rPr>
                        <w:t>fetal:</w:t>
                      </w:r>
                      <w:r>
                        <w:rPr>
                          <w:color w:val="231F1F"/>
                          <w:spacing w:val="-9"/>
                        </w:rPr>
                        <w:t> </w:t>
                      </w:r>
                      <w:r>
                        <w:rPr>
                          <w:color w:val="231F1F"/>
                          <w:spacing w:val="-2"/>
                        </w:rPr>
                        <w:t>MEFC</w:t>
                      </w:r>
                      <w:r>
                        <w:rPr>
                          <w:color w:val="231F1F"/>
                          <w:spacing w:val="-10"/>
                        </w:rPr>
                        <w:t> </w:t>
                      </w:r>
                      <w:r>
                        <w:rPr>
                          <w:color w:val="231F1F"/>
                          <w:spacing w:val="-2"/>
                        </w:rPr>
                        <w:t>vs</w:t>
                      </w:r>
                      <w:r>
                        <w:rPr>
                          <w:color w:val="231F1F"/>
                          <w:spacing w:val="-8"/>
                        </w:rPr>
                        <w:t> </w:t>
                      </w:r>
                      <w:r>
                        <w:rPr>
                          <w:color w:val="231F1F"/>
                          <w:spacing w:val="-2"/>
                        </w:rPr>
                        <w:t>MEFI?</w:t>
                      </w:r>
                    </w:p>
                  </w:txbxContent>
                </v:textbox>
                <v:stroke dashstyle="solid"/>
                <w10:wrap type="topAndBottom"/>
              </v:shape>
            </w:pict>
          </mc:Fallback>
        </mc:AlternateContent>
      </w:r>
    </w:p>
    <w:p>
      <w:pPr>
        <w:pStyle w:val="BodyText"/>
        <w:spacing w:line="247" w:lineRule="auto" w:before="267"/>
        <w:ind w:left="283" w:right="120"/>
        <w:jc w:val="both"/>
      </w:pPr>
      <w:r>
        <w:rPr>
          <w:color w:val="231F1F"/>
          <w:w w:val="110"/>
        </w:rPr>
        <w:t>Tratando</w:t>
      </w:r>
      <w:r>
        <w:rPr>
          <w:color w:val="231F1F"/>
          <w:spacing w:val="-9"/>
          <w:w w:val="110"/>
        </w:rPr>
        <w:t> </w:t>
      </w:r>
      <w:r>
        <w:rPr>
          <w:color w:val="231F1F"/>
          <w:w w:val="110"/>
        </w:rPr>
        <w:t>de</w:t>
      </w:r>
      <w:r>
        <w:rPr>
          <w:color w:val="231F1F"/>
          <w:spacing w:val="-9"/>
          <w:w w:val="110"/>
        </w:rPr>
        <w:t> </w:t>
      </w:r>
      <w:r>
        <w:rPr>
          <w:color w:val="231F1F"/>
          <w:w w:val="110"/>
        </w:rPr>
        <w:t>obtener</w:t>
      </w:r>
      <w:r>
        <w:rPr>
          <w:color w:val="231F1F"/>
          <w:spacing w:val="-9"/>
          <w:w w:val="110"/>
        </w:rPr>
        <w:t> </w:t>
      </w:r>
      <w:r>
        <w:rPr>
          <w:color w:val="231F1F"/>
          <w:w w:val="110"/>
        </w:rPr>
        <w:t>lo</w:t>
      </w:r>
      <w:r>
        <w:rPr>
          <w:color w:val="231F1F"/>
          <w:spacing w:val="-9"/>
          <w:w w:val="110"/>
        </w:rPr>
        <w:t> </w:t>
      </w:r>
      <w:r>
        <w:rPr>
          <w:color w:val="231F1F"/>
          <w:w w:val="110"/>
        </w:rPr>
        <w:t>mejor</w:t>
      </w:r>
      <w:r>
        <w:rPr>
          <w:color w:val="231F1F"/>
          <w:spacing w:val="-9"/>
          <w:w w:val="110"/>
        </w:rPr>
        <w:t> </w:t>
      </w:r>
      <w:r>
        <w:rPr>
          <w:color w:val="231F1F"/>
          <w:w w:val="110"/>
        </w:rPr>
        <w:t>de</w:t>
      </w:r>
      <w:r>
        <w:rPr>
          <w:color w:val="231F1F"/>
          <w:spacing w:val="-9"/>
          <w:w w:val="110"/>
        </w:rPr>
        <w:t> </w:t>
      </w:r>
      <w:r>
        <w:rPr>
          <w:color w:val="231F1F"/>
          <w:w w:val="110"/>
        </w:rPr>
        <w:t>cada</w:t>
      </w:r>
      <w:r>
        <w:rPr>
          <w:color w:val="231F1F"/>
          <w:spacing w:val="-9"/>
          <w:w w:val="110"/>
        </w:rPr>
        <w:t> </w:t>
      </w:r>
      <w:r>
        <w:rPr>
          <w:color w:val="231F1F"/>
          <w:w w:val="110"/>
        </w:rPr>
        <w:t>método</w:t>
      </w:r>
      <w:r>
        <w:rPr>
          <w:color w:val="231F1F"/>
          <w:spacing w:val="-9"/>
          <w:w w:val="110"/>
        </w:rPr>
        <w:t> </w:t>
      </w:r>
      <w:r>
        <w:rPr>
          <w:color w:val="231F1F"/>
          <w:w w:val="110"/>
        </w:rPr>
        <w:t>surge</w:t>
      </w:r>
      <w:r>
        <w:rPr>
          <w:color w:val="231F1F"/>
          <w:spacing w:val="-9"/>
          <w:w w:val="110"/>
        </w:rPr>
        <w:t> </w:t>
      </w:r>
      <w:r>
        <w:rPr>
          <w:color w:val="231F1F"/>
          <w:w w:val="110"/>
        </w:rPr>
        <w:t>la</w:t>
      </w:r>
      <w:r>
        <w:rPr>
          <w:color w:val="231F1F"/>
          <w:spacing w:val="-9"/>
          <w:w w:val="110"/>
        </w:rPr>
        <w:t> </w:t>
      </w:r>
      <w:r>
        <w:rPr>
          <w:color w:val="231F1F"/>
          <w:w w:val="110"/>
        </w:rPr>
        <w:t>propuesta</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MEFI,</w:t>
      </w:r>
      <w:r>
        <w:rPr>
          <w:color w:val="231F1F"/>
          <w:spacing w:val="-9"/>
          <w:w w:val="110"/>
        </w:rPr>
        <w:t> </w:t>
      </w:r>
      <w:r>
        <w:rPr>
          <w:color w:val="231F1F"/>
          <w:w w:val="110"/>
        </w:rPr>
        <w:t>que</w:t>
      </w:r>
      <w:r>
        <w:rPr>
          <w:color w:val="231F1F"/>
          <w:spacing w:val="-9"/>
          <w:w w:val="110"/>
        </w:rPr>
        <w:t> </w:t>
      </w:r>
      <w:r>
        <w:rPr>
          <w:color w:val="231F1F"/>
          <w:w w:val="110"/>
        </w:rPr>
        <w:t>preten- de mantener a la gestante libre del equipo de monitorización la mayor parte del tiempo, pero manteniendo la capacidad de una valoración de las variables que aporta el registro </w:t>
      </w:r>
      <w:r>
        <w:rPr>
          <w:color w:val="231F1F"/>
          <w:spacing w:val="-2"/>
          <w:w w:val="110"/>
        </w:rPr>
        <w:t>carditocográfico</w:t>
      </w:r>
      <w:r>
        <w:rPr>
          <w:color w:val="231F1F"/>
          <w:spacing w:val="-7"/>
          <w:w w:val="110"/>
        </w:rPr>
        <w:t> </w:t>
      </w:r>
      <w:r>
        <w:rPr>
          <w:color w:val="231F1F"/>
          <w:spacing w:val="-2"/>
          <w:w w:val="110"/>
        </w:rPr>
        <w:t>continuo,</w:t>
      </w:r>
      <w:r>
        <w:rPr>
          <w:color w:val="231F1F"/>
          <w:spacing w:val="-8"/>
          <w:w w:val="110"/>
        </w:rPr>
        <w:t> </w:t>
      </w:r>
      <w:r>
        <w:rPr>
          <w:color w:val="231F1F"/>
          <w:spacing w:val="-2"/>
          <w:w w:val="110"/>
        </w:rPr>
        <w:t>como</w:t>
      </w:r>
      <w:r>
        <w:rPr>
          <w:color w:val="231F1F"/>
          <w:spacing w:val="-8"/>
          <w:w w:val="110"/>
        </w:rPr>
        <w:t> </w:t>
      </w:r>
      <w:r>
        <w:rPr>
          <w:color w:val="231F1F"/>
          <w:spacing w:val="-2"/>
          <w:w w:val="110"/>
        </w:rPr>
        <w:t>pueden</w:t>
      </w:r>
      <w:r>
        <w:rPr>
          <w:color w:val="231F1F"/>
          <w:spacing w:val="-8"/>
          <w:w w:val="110"/>
        </w:rPr>
        <w:t> </w:t>
      </w:r>
      <w:r>
        <w:rPr>
          <w:color w:val="231F1F"/>
          <w:spacing w:val="-2"/>
          <w:w w:val="110"/>
        </w:rPr>
        <w:t>ser</w:t>
      </w:r>
      <w:r>
        <w:rPr>
          <w:color w:val="231F1F"/>
          <w:spacing w:val="-8"/>
          <w:w w:val="110"/>
        </w:rPr>
        <w:t> </w:t>
      </w:r>
      <w:r>
        <w:rPr>
          <w:color w:val="231F1F"/>
          <w:spacing w:val="-2"/>
          <w:w w:val="110"/>
        </w:rPr>
        <w:t>la</w:t>
      </w:r>
      <w:r>
        <w:rPr>
          <w:color w:val="231F1F"/>
          <w:spacing w:val="-8"/>
          <w:w w:val="110"/>
        </w:rPr>
        <w:t> </w:t>
      </w:r>
      <w:r>
        <w:rPr>
          <w:color w:val="231F1F"/>
          <w:spacing w:val="-2"/>
          <w:w w:val="110"/>
        </w:rPr>
        <w:t>variabilidad</w:t>
      </w:r>
      <w:r>
        <w:rPr>
          <w:color w:val="231F1F"/>
          <w:spacing w:val="-8"/>
          <w:w w:val="110"/>
        </w:rPr>
        <w:t> </w:t>
      </w:r>
      <w:r>
        <w:rPr>
          <w:color w:val="231F1F"/>
          <w:spacing w:val="-2"/>
          <w:w w:val="110"/>
        </w:rPr>
        <w:t>o</w:t>
      </w:r>
      <w:r>
        <w:rPr>
          <w:color w:val="231F1F"/>
          <w:spacing w:val="-8"/>
          <w:w w:val="110"/>
        </w:rPr>
        <w:t> </w:t>
      </w:r>
      <w:r>
        <w:rPr>
          <w:color w:val="231F1F"/>
          <w:spacing w:val="-2"/>
          <w:w w:val="110"/>
        </w:rPr>
        <w:t>la</w:t>
      </w:r>
      <w:r>
        <w:rPr>
          <w:color w:val="231F1F"/>
          <w:spacing w:val="-8"/>
          <w:w w:val="110"/>
        </w:rPr>
        <w:t> </w:t>
      </w:r>
      <w:r>
        <w:rPr>
          <w:color w:val="231F1F"/>
          <w:spacing w:val="-2"/>
          <w:w w:val="110"/>
        </w:rPr>
        <w:t>reactividad,</w:t>
      </w:r>
      <w:r>
        <w:rPr>
          <w:color w:val="231F1F"/>
          <w:spacing w:val="-8"/>
          <w:w w:val="110"/>
        </w:rPr>
        <w:t> </w:t>
      </w:r>
      <w:r>
        <w:rPr>
          <w:color w:val="231F1F"/>
          <w:spacing w:val="-2"/>
          <w:w w:val="110"/>
        </w:rPr>
        <w:t>imposibles</w:t>
      </w:r>
      <w:r>
        <w:rPr>
          <w:color w:val="231F1F"/>
          <w:spacing w:val="-8"/>
          <w:w w:val="110"/>
        </w:rPr>
        <w:t> </w:t>
      </w:r>
      <w:r>
        <w:rPr>
          <w:color w:val="231F1F"/>
          <w:spacing w:val="-2"/>
          <w:w w:val="110"/>
        </w:rPr>
        <w:t>de </w:t>
      </w:r>
      <w:r>
        <w:rPr>
          <w:color w:val="231F1F"/>
          <w:w w:val="110"/>
        </w:rPr>
        <w:t>valorar con los procediomientos de auscultación</w:t>
      </w:r>
    </w:p>
    <w:p>
      <w:pPr>
        <w:pStyle w:val="BodyText"/>
        <w:spacing w:before="11"/>
        <w:rPr>
          <w:sz w:val="15"/>
        </w:rPr>
      </w:pPr>
    </w:p>
    <w:p>
      <w:pPr>
        <w:pStyle w:val="BodyText"/>
        <w:spacing w:after="0"/>
        <w:rPr>
          <w:sz w:val="15"/>
        </w:rPr>
        <w:sectPr>
          <w:pgSz w:w="11900" w:h="16840"/>
          <w:pgMar w:header="0" w:footer="622" w:top="1560" w:bottom="820" w:left="1417" w:right="1559"/>
        </w:sectPr>
      </w:pPr>
    </w:p>
    <w:p>
      <w:pPr>
        <w:spacing w:before="92"/>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54" w:lineRule="auto" w:before="195"/>
        <w:ind w:left="287" w:right="42"/>
        <w:jc w:val="both"/>
      </w:pPr>
      <w:r>
        <w:rPr>
          <w:color w:val="231F1F"/>
          <w:w w:val="105"/>
        </w:rPr>
        <w:t>La</w:t>
      </w:r>
      <w:r>
        <w:rPr>
          <w:color w:val="231F1F"/>
          <w:spacing w:val="-3"/>
          <w:w w:val="105"/>
        </w:rPr>
        <w:t> </w:t>
      </w:r>
      <w:r>
        <w:rPr>
          <w:color w:val="231F1F"/>
          <w:w w:val="105"/>
        </w:rPr>
        <w:t>guía</w:t>
      </w:r>
      <w:r>
        <w:rPr>
          <w:color w:val="231F1F"/>
          <w:spacing w:val="-3"/>
          <w:w w:val="105"/>
        </w:rPr>
        <w:t> </w:t>
      </w:r>
      <w:r>
        <w:rPr>
          <w:color w:val="231F1F"/>
          <w:w w:val="105"/>
        </w:rPr>
        <w:t>NICE</w:t>
      </w:r>
      <w:r>
        <w:rPr>
          <w:color w:val="231F1F"/>
          <w:spacing w:val="-2"/>
          <w:w w:val="105"/>
        </w:rPr>
        <w:t> </w:t>
      </w:r>
      <w:r>
        <w:rPr>
          <w:color w:val="231F1F"/>
          <w:w w:val="105"/>
        </w:rPr>
        <w:t>(10)</w:t>
      </w:r>
      <w:r>
        <w:rPr>
          <w:color w:val="231F1F"/>
          <w:spacing w:val="-3"/>
          <w:w w:val="105"/>
        </w:rPr>
        <w:t> </w:t>
      </w:r>
      <w:r>
        <w:rPr>
          <w:color w:val="231F1F"/>
          <w:w w:val="105"/>
        </w:rPr>
        <w:t>no</w:t>
      </w:r>
      <w:r>
        <w:rPr>
          <w:color w:val="231F1F"/>
          <w:spacing w:val="-2"/>
          <w:w w:val="105"/>
        </w:rPr>
        <w:t> </w:t>
      </w:r>
      <w:r>
        <w:rPr>
          <w:color w:val="231F1F"/>
          <w:w w:val="105"/>
        </w:rPr>
        <w:t>contesta</w:t>
      </w:r>
      <w:r>
        <w:rPr>
          <w:color w:val="231F1F"/>
          <w:spacing w:val="-2"/>
          <w:w w:val="105"/>
        </w:rPr>
        <w:t> </w:t>
      </w:r>
      <w:r>
        <w:rPr>
          <w:color w:val="231F1F"/>
          <w:w w:val="105"/>
        </w:rPr>
        <w:t>a</w:t>
      </w:r>
      <w:r>
        <w:rPr>
          <w:color w:val="231F1F"/>
          <w:spacing w:val="-3"/>
          <w:w w:val="105"/>
        </w:rPr>
        <w:t> </w:t>
      </w:r>
      <w:r>
        <w:rPr>
          <w:color w:val="231F1F"/>
          <w:w w:val="105"/>
        </w:rPr>
        <w:t>esta</w:t>
      </w:r>
      <w:r>
        <w:rPr>
          <w:color w:val="231F1F"/>
          <w:spacing w:val="-2"/>
          <w:w w:val="105"/>
        </w:rPr>
        <w:t> </w:t>
      </w:r>
      <w:r>
        <w:rPr>
          <w:color w:val="231F1F"/>
          <w:w w:val="105"/>
        </w:rPr>
        <w:t>pregunta</w:t>
      </w:r>
      <w:r>
        <w:rPr>
          <w:color w:val="231F1F"/>
          <w:spacing w:val="-3"/>
          <w:w w:val="105"/>
        </w:rPr>
        <w:t> </w:t>
      </w:r>
      <w:r>
        <w:rPr>
          <w:color w:val="231F1F"/>
          <w:w w:val="105"/>
        </w:rPr>
        <w:t>pero</w:t>
      </w:r>
      <w:r>
        <w:rPr>
          <w:color w:val="231F1F"/>
          <w:spacing w:val="-3"/>
          <w:w w:val="105"/>
        </w:rPr>
        <w:t> </w:t>
      </w:r>
      <w:r>
        <w:rPr>
          <w:color w:val="231F1F"/>
          <w:w w:val="105"/>
        </w:rPr>
        <w:t>se</w:t>
      </w:r>
      <w:r>
        <w:rPr>
          <w:color w:val="231F1F"/>
          <w:spacing w:val="-3"/>
          <w:w w:val="105"/>
        </w:rPr>
        <w:t> </w:t>
      </w:r>
      <w:r>
        <w:rPr>
          <w:color w:val="231F1F"/>
          <w:w w:val="105"/>
        </w:rPr>
        <w:t>ha</w:t>
      </w:r>
      <w:r>
        <w:rPr>
          <w:color w:val="231F1F"/>
          <w:spacing w:val="-3"/>
          <w:w w:val="105"/>
        </w:rPr>
        <w:t> </w:t>
      </w:r>
      <w:r>
        <w:rPr>
          <w:color w:val="231F1F"/>
          <w:w w:val="105"/>
        </w:rPr>
        <w:t>identificado</w:t>
      </w:r>
      <w:r>
        <w:rPr>
          <w:color w:val="231F1F"/>
          <w:spacing w:val="-3"/>
          <w:w w:val="105"/>
        </w:rPr>
        <w:t> </w:t>
      </w:r>
      <w:r>
        <w:rPr>
          <w:color w:val="231F1F"/>
          <w:w w:val="105"/>
        </w:rPr>
        <w:t>un</w:t>
      </w:r>
      <w:r>
        <w:rPr>
          <w:color w:val="231F1F"/>
          <w:spacing w:val="-2"/>
          <w:w w:val="105"/>
        </w:rPr>
        <w:t> </w:t>
      </w:r>
      <w:r>
        <w:rPr>
          <w:color w:val="231F1F"/>
          <w:w w:val="105"/>
        </w:rPr>
        <w:t>ECA </w:t>
      </w:r>
      <w:r>
        <w:rPr>
          <w:color w:val="231F1F"/>
        </w:rPr>
        <w:t>realizado</w:t>
      </w:r>
      <w:r>
        <w:rPr>
          <w:color w:val="231F1F"/>
          <w:spacing w:val="-7"/>
        </w:rPr>
        <w:t> </w:t>
      </w:r>
      <w:r>
        <w:rPr>
          <w:color w:val="231F1F"/>
        </w:rPr>
        <w:t>en</w:t>
      </w:r>
      <w:r>
        <w:rPr>
          <w:color w:val="231F1F"/>
          <w:spacing w:val="-8"/>
        </w:rPr>
        <w:t> </w:t>
      </w:r>
      <w:r>
        <w:rPr>
          <w:color w:val="231F1F"/>
        </w:rPr>
        <w:t>Suecia</w:t>
      </w:r>
      <w:r>
        <w:rPr>
          <w:color w:val="231F1F"/>
          <w:spacing w:val="-8"/>
        </w:rPr>
        <w:t> </w:t>
      </w:r>
      <w:r>
        <w:rPr>
          <w:color w:val="231F1F"/>
        </w:rPr>
        <w:t>(366)</w:t>
      </w:r>
      <w:r>
        <w:rPr>
          <w:color w:val="231F1F"/>
          <w:spacing w:val="-7"/>
        </w:rPr>
        <w:t> </w:t>
      </w:r>
      <w:r>
        <w:rPr>
          <w:color w:val="231F1F"/>
        </w:rPr>
        <w:t>con</w:t>
      </w:r>
      <w:r>
        <w:rPr>
          <w:color w:val="231F1F"/>
          <w:spacing w:val="-8"/>
        </w:rPr>
        <w:t> </w:t>
      </w:r>
      <w:r>
        <w:rPr>
          <w:color w:val="231F1F"/>
        </w:rPr>
        <w:t>NE=Ib,</w:t>
      </w:r>
      <w:r>
        <w:rPr>
          <w:color w:val="231F1F"/>
          <w:spacing w:val="-8"/>
        </w:rPr>
        <w:t> </w:t>
      </w:r>
      <w:r>
        <w:rPr>
          <w:color w:val="231F1F"/>
        </w:rPr>
        <w:t>que</w:t>
      </w:r>
      <w:r>
        <w:rPr>
          <w:color w:val="231F1F"/>
          <w:spacing w:val="-8"/>
        </w:rPr>
        <w:t> </w:t>
      </w:r>
      <w:r>
        <w:rPr>
          <w:color w:val="231F1F"/>
        </w:rPr>
        <w:t>está</w:t>
      </w:r>
      <w:r>
        <w:rPr>
          <w:color w:val="231F1F"/>
          <w:spacing w:val="-8"/>
        </w:rPr>
        <w:t> </w:t>
      </w:r>
      <w:r>
        <w:rPr>
          <w:color w:val="231F1F"/>
        </w:rPr>
        <w:t>incluido</w:t>
      </w:r>
      <w:r>
        <w:rPr>
          <w:color w:val="231F1F"/>
          <w:spacing w:val="-7"/>
        </w:rPr>
        <w:t> </w:t>
      </w:r>
      <w:r>
        <w:rPr>
          <w:color w:val="231F1F"/>
        </w:rPr>
        <w:t>en</w:t>
      </w:r>
      <w:r>
        <w:rPr>
          <w:color w:val="231F1F"/>
          <w:spacing w:val="-8"/>
        </w:rPr>
        <w:t> </w:t>
      </w:r>
      <w:r>
        <w:rPr>
          <w:color w:val="231F1F"/>
        </w:rPr>
        <w:t>la</w:t>
      </w:r>
      <w:r>
        <w:rPr>
          <w:color w:val="231F1F"/>
          <w:spacing w:val="-8"/>
        </w:rPr>
        <w:t> </w:t>
      </w:r>
      <w:r>
        <w:rPr>
          <w:color w:val="231F1F"/>
        </w:rPr>
        <w:t>RS</w:t>
      </w:r>
      <w:r>
        <w:rPr>
          <w:color w:val="231F1F"/>
          <w:spacing w:val="-8"/>
        </w:rPr>
        <w:t> </w:t>
      </w:r>
      <w:r>
        <w:rPr>
          <w:color w:val="231F1F"/>
        </w:rPr>
        <w:t>que</w:t>
      </w:r>
      <w:r>
        <w:rPr>
          <w:color w:val="231F1F"/>
          <w:spacing w:val="-8"/>
        </w:rPr>
        <w:t> </w:t>
      </w:r>
      <w:r>
        <w:rPr>
          <w:color w:val="231F1F"/>
        </w:rPr>
        <w:t>recoge</w:t>
      </w:r>
      <w:r>
        <w:rPr>
          <w:color w:val="231F1F"/>
          <w:spacing w:val="-7"/>
        </w:rPr>
        <w:t> </w:t>
      </w:r>
      <w:r>
        <w:rPr>
          <w:color w:val="231F1F"/>
        </w:rPr>
        <w:t>la</w:t>
      </w:r>
      <w:r>
        <w:rPr>
          <w:color w:val="231F1F"/>
          <w:spacing w:val="-8"/>
        </w:rPr>
        <w:t> </w:t>
      </w:r>
      <w:r>
        <w:rPr>
          <w:color w:val="231F1F"/>
        </w:rPr>
        <w:t>guía </w:t>
      </w:r>
      <w:r>
        <w:rPr>
          <w:color w:val="231F1F"/>
          <w:w w:val="105"/>
        </w:rPr>
        <w:t>NICE</w:t>
      </w:r>
      <w:r>
        <w:rPr>
          <w:color w:val="231F1F"/>
          <w:spacing w:val="-3"/>
          <w:w w:val="105"/>
        </w:rPr>
        <w:t> </w:t>
      </w:r>
      <w:r>
        <w:rPr>
          <w:color w:val="231F1F"/>
          <w:w w:val="105"/>
        </w:rPr>
        <w:t>(363)</w:t>
      </w:r>
      <w:r>
        <w:rPr>
          <w:color w:val="231F1F"/>
          <w:spacing w:val="-3"/>
          <w:w w:val="105"/>
        </w:rPr>
        <w:t> </w:t>
      </w:r>
      <w:r>
        <w:rPr>
          <w:color w:val="231F1F"/>
          <w:w w:val="105"/>
        </w:rPr>
        <w:t>y</w:t>
      </w:r>
      <w:r>
        <w:rPr>
          <w:color w:val="231F1F"/>
          <w:spacing w:val="-3"/>
          <w:w w:val="105"/>
        </w:rPr>
        <w:t> </w:t>
      </w:r>
      <w:r>
        <w:rPr>
          <w:color w:val="231F1F"/>
          <w:w w:val="105"/>
        </w:rPr>
        <w:t>que</w:t>
      </w:r>
      <w:r>
        <w:rPr>
          <w:color w:val="231F1F"/>
          <w:spacing w:val="-3"/>
          <w:w w:val="105"/>
        </w:rPr>
        <w:t> </w:t>
      </w:r>
      <w:r>
        <w:rPr>
          <w:color w:val="231F1F"/>
          <w:w w:val="105"/>
        </w:rPr>
        <w:t>trata</w:t>
      </w:r>
      <w:r>
        <w:rPr>
          <w:color w:val="231F1F"/>
          <w:spacing w:val="-3"/>
          <w:w w:val="105"/>
        </w:rPr>
        <w:t> </w:t>
      </w:r>
      <w:r>
        <w:rPr>
          <w:color w:val="231F1F"/>
          <w:w w:val="105"/>
        </w:rPr>
        <w:t>la</w:t>
      </w:r>
      <w:r>
        <w:rPr>
          <w:color w:val="231F1F"/>
          <w:spacing w:val="-3"/>
          <w:w w:val="105"/>
        </w:rPr>
        <w:t> </w:t>
      </w:r>
      <w:r>
        <w:rPr>
          <w:color w:val="231F1F"/>
          <w:w w:val="105"/>
        </w:rPr>
        <w:t>comparación</w:t>
      </w:r>
      <w:r>
        <w:rPr>
          <w:color w:val="231F1F"/>
          <w:spacing w:val="-3"/>
          <w:w w:val="105"/>
        </w:rPr>
        <w:t> </w:t>
      </w:r>
      <w:r>
        <w:rPr>
          <w:color w:val="231F1F"/>
          <w:w w:val="105"/>
        </w:rPr>
        <w:t>entre</w:t>
      </w:r>
      <w:r>
        <w:rPr>
          <w:color w:val="231F1F"/>
          <w:spacing w:val="-3"/>
          <w:w w:val="105"/>
        </w:rPr>
        <w:t> </w:t>
      </w:r>
      <w:r>
        <w:rPr>
          <w:color w:val="231F1F"/>
          <w:w w:val="105"/>
        </w:rPr>
        <w:t>la</w:t>
      </w:r>
      <w:r>
        <w:rPr>
          <w:color w:val="231F1F"/>
          <w:spacing w:val="-3"/>
          <w:w w:val="105"/>
        </w:rPr>
        <w:t> </w:t>
      </w:r>
      <w:r>
        <w:rPr>
          <w:color w:val="231F1F"/>
          <w:w w:val="105"/>
        </w:rPr>
        <w:t>MEFC</w:t>
      </w:r>
      <w:r>
        <w:rPr>
          <w:color w:val="231F1F"/>
          <w:spacing w:val="-3"/>
          <w:w w:val="105"/>
        </w:rPr>
        <w:t> </w:t>
      </w:r>
      <w:r>
        <w:rPr>
          <w:color w:val="231F1F"/>
          <w:w w:val="105"/>
        </w:rPr>
        <w:t>y</w:t>
      </w:r>
      <w:r>
        <w:rPr>
          <w:color w:val="231F1F"/>
          <w:spacing w:val="-3"/>
          <w:w w:val="105"/>
        </w:rPr>
        <w:t> </w:t>
      </w:r>
      <w:r>
        <w:rPr>
          <w:color w:val="231F1F"/>
          <w:w w:val="105"/>
        </w:rPr>
        <w:t>la</w:t>
      </w:r>
      <w:r>
        <w:rPr>
          <w:color w:val="231F1F"/>
          <w:spacing w:val="-3"/>
          <w:w w:val="105"/>
        </w:rPr>
        <w:t> </w:t>
      </w:r>
      <w:r>
        <w:rPr>
          <w:color w:val="231F1F"/>
          <w:w w:val="105"/>
        </w:rPr>
        <w:t>MEFI.</w:t>
      </w:r>
      <w:r>
        <w:rPr>
          <w:color w:val="231F1F"/>
          <w:spacing w:val="-3"/>
          <w:w w:val="105"/>
        </w:rPr>
        <w:t> </w:t>
      </w:r>
      <w:r>
        <w:rPr>
          <w:color w:val="231F1F"/>
          <w:w w:val="105"/>
        </w:rPr>
        <w:t>Este</w:t>
      </w:r>
      <w:r>
        <w:rPr>
          <w:color w:val="231F1F"/>
          <w:spacing w:val="-3"/>
          <w:w w:val="105"/>
        </w:rPr>
        <w:t> </w:t>
      </w:r>
      <w:r>
        <w:rPr>
          <w:color w:val="231F1F"/>
          <w:w w:val="105"/>
        </w:rPr>
        <w:t>ensayo incluye</w:t>
      </w:r>
      <w:r>
        <w:rPr>
          <w:color w:val="231F1F"/>
          <w:spacing w:val="-13"/>
          <w:w w:val="105"/>
        </w:rPr>
        <w:t> </w:t>
      </w:r>
      <w:r>
        <w:rPr>
          <w:color w:val="231F1F"/>
          <w:w w:val="105"/>
        </w:rPr>
        <w:t>a</w:t>
      </w:r>
      <w:r>
        <w:rPr>
          <w:color w:val="231F1F"/>
          <w:spacing w:val="-12"/>
          <w:w w:val="105"/>
        </w:rPr>
        <w:t> </w:t>
      </w:r>
      <w:r>
        <w:rPr>
          <w:color w:val="231F1F"/>
          <w:w w:val="105"/>
        </w:rPr>
        <w:t>4.044</w:t>
      </w:r>
      <w:r>
        <w:rPr>
          <w:color w:val="231F1F"/>
          <w:spacing w:val="-12"/>
          <w:w w:val="105"/>
        </w:rPr>
        <w:t> </w:t>
      </w:r>
      <w:r>
        <w:rPr>
          <w:color w:val="231F1F"/>
          <w:w w:val="105"/>
        </w:rPr>
        <w:t>parturientas</w:t>
      </w:r>
      <w:r>
        <w:rPr>
          <w:color w:val="231F1F"/>
          <w:spacing w:val="-14"/>
          <w:w w:val="105"/>
        </w:rPr>
        <w:t> </w:t>
      </w:r>
      <w:r>
        <w:rPr>
          <w:color w:val="231F1F"/>
          <w:w w:val="105"/>
        </w:rPr>
        <w:t>con</w:t>
      </w:r>
      <w:r>
        <w:rPr>
          <w:color w:val="231F1F"/>
          <w:spacing w:val="-12"/>
          <w:w w:val="105"/>
        </w:rPr>
        <w:t> </w:t>
      </w:r>
      <w:r>
        <w:rPr>
          <w:color w:val="231F1F"/>
          <w:w w:val="105"/>
        </w:rPr>
        <w:t>bajo</w:t>
      </w:r>
      <w:r>
        <w:rPr>
          <w:color w:val="231F1F"/>
          <w:spacing w:val="-13"/>
          <w:w w:val="105"/>
        </w:rPr>
        <w:t> </w:t>
      </w:r>
      <w:r>
        <w:rPr>
          <w:color w:val="231F1F"/>
          <w:w w:val="105"/>
        </w:rPr>
        <w:t>riesgo</w:t>
      </w:r>
      <w:r>
        <w:rPr>
          <w:color w:val="231F1F"/>
          <w:spacing w:val="-12"/>
          <w:w w:val="105"/>
        </w:rPr>
        <w:t> </w:t>
      </w:r>
      <w:r>
        <w:rPr>
          <w:color w:val="231F1F"/>
          <w:w w:val="105"/>
        </w:rPr>
        <w:t>de</w:t>
      </w:r>
      <w:r>
        <w:rPr>
          <w:color w:val="231F1F"/>
          <w:spacing w:val="-12"/>
          <w:w w:val="105"/>
        </w:rPr>
        <w:t> </w:t>
      </w:r>
      <w:r>
        <w:rPr>
          <w:color w:val="231F1F"/>
          <w:w w:val="105"/>
        </w:rPr>
        <w:t>sufrir</w:t>
      </w:r>
      <w:r>
        <w:rPr>
          <w:color w:val="231F1F"/>
          <w:spacing w:val="-14"/>
          <w:w w:val="105"/>
        </w:rPr>
        <w:t> </w:t>
      </w:r>
      <w:r>
        <w:rPr>
          <w:color w:val="231F1F"/>
          <w:w w:val="105"/>
        </w:rPr>
        <w:t>pérdida</w:t>
      </w:r>
      <w:r>
        <w:rPr>
          <w:color w:val="231F1F"/>
          <w:spacing w:val="-13"/>
          <w:w w:val="105"/>
        </w:rPr>
        <w:t> </w:t>
      </w:r>
      <w:r>
        <w:rPr>
          <w:color w:val="231F1F"/>
          <w:w w:val="105"/>
        </w:rPr>
        <w:t>del</w:t>
      </w:r>
      <w:r>
        <w:rPr>
          <w:color w:val="231F1F"/>
          <w:spacing w:val="-14"/>
          <w:w w:val="105"/>
        </w:rPr>
        <w:t> </w:t>
      </w:r>
      <w:r>
        <w:rPr>
          <w:color w:val="231F1F"/>
          <w:w w:val="105"/>
        </w:rPr>
        <w:t>bienestar</w:t>
      </w:r>
      <w:r>
        <w:rPr>
          <w:color w:val="231F1F"/>
          <w:spacing w:val="-13"/>
          <w:w w:val="105"/>
        </w:rPr>
        <w:t> </w:t>
      </w:r>
      <w:r>
        <w:rPr>
          <w:color w:val="231F1F"/>
          <w:w w:val="105"/>
        </w:rPr>
        <w:t>fetal.</w:t>
      </w:r>
    </w:p>
    <w:p>
      <w:pPr>
        <w:pStyle w:val="BodyText"/>
        <w:spacing w:line="264" w:lineRule="auto" w:before="161"/>
        <w:ind w:left="287" w:right="39" w:firstLine="453"/>
        <w:jc w:val="both"/>
      </w:pPr>
      <w:r>
        <w:rPr>
          <w:color w:val="231F1F"/>
        </w:rPr>
        <w:t>El grupo con monitorización electrónica intermitente se monitorizaba de 10</w:t>
      </w:r>
      <w:r>
        <w:rPr>
          <w:color w:val="231F1F"/>
          <w:spacing w:val="80"/>
        </w:rPr>
        <w:t> </w:t>
      </w:r>
      <w:r>
        <w:rPr>
          <w:color w:val="231F1F"/>
        </w:rPr>
        <w:t>a 30 minutos cada 2 ó 2 horas y media durante la primera etapa del parto y la fre- cuencia</w:t>
      </w:r>
      <w:r>
        <w:rPr>
          <w:color w:val="231F1F"/>
          <w:spacing w:val="-11"/>
        </w:rPr>
        <w:t> </w:t>
      </w:r>
      <w:r>
        <w:rPr>
          <w:color w:val="231F1F"/>
        </w:rPr>
        <w:t>cardiaca</w:t>
      </w:r>
      <w:r>
        <w:rPr>
          <w:color w:val="231F1F"/>
          <w:spacing w:val="-11"/>
        </w:rPr>
        <w:t> </w:t>
      </w:r>
      <w:r>
        <w:rPr>
          <w:color w:val="231F1F"/>
        </w:rPr>
        <w:t>fetal</w:t>
      </w:r>
      <w:r>
        <w:rPr>
          <w:color w:val="231F1F"/>
          <w:spacing w:val="-10"/>
        </w:rPr>
        <w:t> </w:t>
      </w:r>
      <w:r>
        <w:rPr>
          <w:color w:val="231F1F"/>
        </w:rPr>
        <w:t>se</w:t>
      </w:r>
      <w:r>
        <w:rPr>
          <w:color w:val="231F1F"/>
          <w:spacing w:val="-11"/>
        </w:rPr>
        <w:t> </w:t>
      </w:r>
      <w:r>
        <w:rPr>
          <w:color w:val="231F1F"/>
        </w:rPr>
        <w:t>auscultaba</w:t>
      </w:r>
      <w:r>
        <w:rPr>
          <w:color w:val="231F1F"/>
          <w:spacing w:val="-11"/>
        </w:rPr>
        <w:t> </w:t>
      </w:r>
      <w:r>
        <w:rPr>
          <w:color w:val="231F1F"/>
        </w:rPr>
        <w:t>cada</w:t>
      </w:r>
      <w:r>
        <w:rPr>
          <w:color w:val="231F1F"/>
          <w:spacing w:val="-11"/>
        </w:rPr>
        <w:t> </w:t>
      </w:r>
      <w:r>
        <w:rPr>
          <w:color w:val="231F1F"/>
        </w:rPr>
        <w:t>15-30</w:t>
      </w:r>
      <w:r>
        <w:rPr>
          <w:color w:val="231F1F"/>
          <w:spacing w:val="-11"/>
        </w:rPr>
        <w:t> </w:t>
      </w:r>
      <w:r>
        <w:rPr>
          <w:color w:val="231F1F"/>
        </w:rPr>
        <w:t>minutos</w:t>
      </w:r>
      <w:r>
        <w:rPr>
          <w:color w:val="231F1F"/>
          <w:spacing w:val="-11"/>
        </w:rPr>
        <w:t> </w:t>
      </w:r>
      <w:r>
        <w:rPr>
          <w:color w:val="231F1F"/>
        </w:rPr>
        <w:t>entre</w:t>
      </w:r>
      <w:r>
        <w:rPr>
          <w:color w:val="231F1F"/>
          <w:spacing w:val="-11"/>
        </w:rPr>
        <w:t> </w:t>
      </w:r>
      <w:r>
        <w:rPr>
          <w:color w:val="231F1F"/>
        </w:rPr>
        <w:t>los</w:t>
      </w:r>
      <w:r>
        <w:rPr>
          <w:color w:val="231F1F"/>
          <w:spacing w:val="-11"/>
        </w:rPr>
        <w:t> </w:t>
      </w:r>
      <w:r>
        <w:rPr>
          <w:color w:val="231F1F"/>
        </w:rPr>
        <w:t>periodos</w:t>
      </w:r>
      <w:r>
        <w:rPr>
          <w:color w:val="231F1F"/>
          <w:spacing w:val="-11"/>
        </w:rPr>
        <w:t> </w:t>
      </w:r>
      <w:r>
        <w:rPr>
          <w:color w:val="231F1F"/>
        </w:rPr>
        <w:t>de</w:t>
      </w:r>
      <w:r>
        <w:rPr>
          <w:color w:val="231F1F"/>
          <w:spacing w:val="-11"/>
        </w:rPr>
        <w:t> </w:t>
      </w:r>
      <w:r>
        <w:rPr>
          <w:color w:val="231F1F"/>
        </w:rPr>
        <w:t>regis- tro. Si aparecían complicaciones se cambiaba a monitorización continua. Durante la segunda etapa del parto se empleo monitorización continua en todos los casos.</w:t>
      </w:r>
    </w:p>
    <w:p>
      <w:pPr>
        <w:pStyle w:val="BodyText"/>
        <w:spacing w:line="244" w:lineRule="auto" w:before="73"/>
        <w:ind w:left="287" w:right="38" w:firstLine="453"/>
        <w:jc w:val="both"/>
      </w:pPr>
      <w:r>
        <w:rPr>
          <w:color w:val="231F1F"/>
          <w:w w:val="105"/>
        </w:rPr>
        <w:t>No</w:t>
      </w:r>
      <w:r>
        <w:rPr>
          <w:color w:val="231F1F"/>
          <w:spacing w:val="-5"/>
          <w:w w:val="105"/>
        </w:rPr>
        <w:t> </w:t>
      </w:r>
      <w:r>
        <w:rPr>
          <w:color w:val="231F1F"/>
          <w:w w:val="105"/>
        </w:rPr>
        <w:t>se</w:t>
      </w:r>
      <w:r>
        <w:rPr>
          <w:color w:val="231F1F"/>
          <w:spacing w:val="-5"/>
          <w:w w:val="105"/>
        </w:rPr>
        <w:t> </w:t>
      </w:r>
      <w:r>
        <w:rPr>
          <w:color w:val="231F1F"/>
          <w:w w:val="105"/>
        </w:rPr>
        <w:t>observaron</w:t>
      </w:r>
      <w:r>
        <w:rPr>
          <w:color w:val="231F1F"/>
          <w:spacing w:val="-6"/>
          <w:w w:val="105"/>
        </w:rPr>
        <w:t> </w:t>
      </w:r>
      <w:r>
        <w:rPr>
          <w:color w:val="231F1F"/>
          <w:w w:val="105"/>
        </w:rPr>
        <w:t>diferencias</w:t>
      </w:r>
      <w:r>
        <w:rPr>
          <w:color w:val="231F1F"/>
          <w:spacing w:val="-6"/>
          <w:w w:val="105"/>
        </w:rPr>
        <w:t> </w:t>
      </w:r>
      <w:r>
        <w:rPr>
          <w:color w:val="231F1F"/>
          <w:w w:val="105"/>
        </w:rPr>
        <w:t>significativas</w:t>
      </w:r>
      <w:r>
        <w:rPr>
          <w:color w:val="231F1F"/>
          <w:spacing w:val="-6"/>
          <w:w w:val="105"/>
        </w:rPr>
        <w:t> </w:t>
      </w:r>
      <w:r>
        <w:rPr>
          <w:color w:val="231F1F"/>
          <w:w w:val="105"/>
        </w:rPr>
        <w:t>entre</w:t>
      </w:r>
      <w:r>
        <w:rPr>
          <w:color w:val="231F1F"/>
          <w:spacing w:val="-5"/>
          <w:w w:val="105"/>
        </w:rPr>
        <w:t> </w:t>
      </w:r>
      <w:r>
        <w:rPr>
          <w:color w:val="231F1F"/>
          <w:w w:val="105"/>
        </w:rPr>
        <w:t>los</w:t>
      </w:r>
      <w:r>
        <w:rPr>
          <w:color w:val="231F1F"/>
          <w:spacing w:val="-5"/>
          <w:w w:val="105"/>
        </w:rPr>
        <w:t> </w:t>
      </w:r>
      <w:r>
        <w:rPr>
          <w:color w:val="231F1F"/>
          <w:w w:val="105"/>
        </w:rPr>
        <w:t>dos</w:t>
      </w:r>
      <w:r>
        <w:rPr>
          <w:color w:val="231F1F"/>
          <w:spacing w:val="-5"/>
          <w:w w:val="105"/>
        </w:rPr>
        <w:t> </w:t>
      </w:r>
      <w:r>
        <w:rPr>
          <w:color w:val="231F1F"/>
          <w:w w:val="105"/>
        </w:rPr>
        <w:t>grupos</w:t>
      </w:r>
      <w:r>
        <w:rPr>
          <w:color w:val="231F1F"/>
          <w:spacing w:val="-5"/>
          <w:w w:val="105"/>
        </w:rPr>
        <w:t> </w:t>
      </w:r>
      <w:r>
        <w:rPr>
          <w:color w:val="231F1F"/>
          <w:w w:val="105"/>
        </w:rPr>
        <w:t>en</w:t>
      </w:r>
      <w:r>
        <w:rPr>
          <w:color w:val="231F1F"/>
          <w:spacing w:val="-5"/>
          <w:w w:val="105"/>
        </w:rPr>
        <w:t> </w:t>
      </w:r>
      <w:r>
        <w:rPr>
          <w:color w:val="231F1F"/>
          <w:w w:val="105"/>
        </w:rPr>
        <w:t>ningu- na</w:t>
      </w:r>
      <w:r>
        <w:rPr>
          <w:color w:val="231F1F"/>
          <w:spacing w:val="-7"/>
          <w:w w:val="105"/>
        </w:rPr>
        <w:t> </w:t>
      </w:r>
      <w:r>
        <w:rPr>
          <w:color w:val="231F1F"/>
          <w:w w:val="105"/>
        </w:rPr>
        <w:t>de</w:t>
      </w:r>
      <w:r>
        <w:rPr>
          <w:color w:val="231F1F"/>
          <w:spacing w:val="-7"/>
          <w:w w:val="105"/>
        </w:rPr>
        <w:t> </w:t>
      </w:r>
      <w:r>
        <w:rPr>
          <w:color w:val="231F1F"/>
          <w:w w:val="105"/>
        </w:rPr>
        <w:t>las</w:t>
      </w:r>
      <w:r>
        <w:rPr>
          <w:color w:val="231F1F"/>
          <w:spacing w:val="-8"/>
          <w:w w:val="105"/>
        </w:rPr>
        <w:t> </w:t>
      </w:r>
      <w:r>
        <w:rPr>
          <w:color w:val="231F1F"/>
          <w:w w:val="105"/>
        </w:rPr>
        <w:t>variables</w:t>
      </w:r>
      <w:r>
        <w:rPr>
          <w:color w:val="231F1F"/>
          <w:spacing w:val="-8"/>
          <w:w w:val="105"/>
        </w:rPr>
        <w:t> </w:t>
      </w:r>
      <w:r>
        <w:rPr>
          <w:color w:val="231F1F"/>
          <w:w w:val="105"/>
        </w:rPr>
        <w:t>analizadas:</w:t>
      </w:r>
      <w:r>
        <w:rPr>
          <w:color w:val="231F1F"/>
          <w:spacing w:val="-7"/>
          <w:w w:val="105"/>
        </w:rPr>
        <w:t> </w:t>
      </w:r>
      <w:r>
        <w:rPr>
          <w:color w:val="231F1F"/>
          <w:w w:val="105"/>
        </w:rPr>
        <w:t>frecuencia</w:t>
      </w:r>
      <w:r>
        <w:rPr>
          <w:color w:val="231F1F"/>
          <w:spacing w:val="-7"/>
          <w:w w:val="105"/>
        </w:rPr>
        <w:t> </w:t>
      </w:r>
      <w:r>
        <w:rPr>
          <w:color w:val="231F1F"/>
          <w:w w:val="105"/>
        </w:rPr>
        <w:t>cardiaca</w:t>
      </w:r>
      <w:r>
        <w:rPr>
          <w:color w:val="231F1F"/>
          <w:spacing w:val="-7"/>
          <w:w w:val="105"/>
        </w:rPr>
        <w:t> </w:t>
      </w:r>
      <w:r>
        <w:rPr>
          <w:color w:val="231F1F"/>
          <w:w w:val="105"/>
        </w:rPr>
        <w:t>fetal</w:t>
      </w:r>
      <w:r>
        <w:rPr>
          <w:color w:val="231F1F"/>
          <w:spacing w:val="-7"/>
          <w:w w:val="105"/>
        </w:rPr>
        <w:t> </w:t>
      </w:r>
      <w:r>
        <w:rPr>
          <w:color w:val="231F1F"/>
          <w:w w:val="105"/>
        </w:rPr>
        <w:t>ominoso</w:t>
      </w:r>
      <w:r>
        <w:rPr>
          <w:color w:val="231F1F"/>
          <w:spacing w:val="-7"/>
          <w:w w:val="105"/>
        </w:rPr>
        <w:t> </w:t>
      </w:r>
      <w:r>
        <w:rPr>
          <w:color w:val="231F1F"/>
          <w:w w:val="105"/>
        </w:rPr>
        <w:t>y</w:t>
      </w:r>
      <w:r>
        <w:rPr>
          <w:color w:val="231F1F"/>
          <w:spacing w:val="-7"/>
          <w:w w:val="105"/>
        </w:rPr>
        <w:t> </w:t>
      </w:r>
      <w:r>
        <w:rPr>
          <w:color w:val="231F1F"/>
          <w:w w:val="105"/>
        </w:rPr>
        <w:t>sospechoso, cesarea</w:t>
      </w:r>
      <w:r>
        <w:rPr>
          <w:color w:val="231F1F"/>
          <w:w w:val="105"/>
        </w:rPr>
        <w:t> por</w:t>
      </w:r>
      <w:r>
        <w:rPr>
          <w:color w:val="231F1F"/>
          <w:w w:val="105"/>
        </w:rPr>
        <w:t> sospecha</w:t>
      </w:r>
      <w:r>
        <w:rPr>
          <w:color w:val="231F1F"/>
          <w:w w:val="105"/>
        </w:rPr>
        <w:t> de</w:t>
      </w:r>
      <w:r>
        <w:rPr>
          <w:color w:val="231F1F"/>
          <w:w w:val="105"/>
        </w:rPr>
        <w:t> perdida</w:t>
      </w:r>
      <w:r>
        <w:rPr>
          <w:color w:val="231F1F"/>
          <w:w w:val="105"/>
        </w:rPr>
        <w:t> del</w:t>
      </w:r>
      <w:r>
        <w:rPr>
          <w:color w:val="231F1F"/>
          <w:w w:val="105"/>
        </w:rPr>
        <w:t> bienestar</w:t>
      </w:r>
      <w:r>
        <w:rPr>
          <w:color w:val="231F1F"/>
          <w:w w:val="105"/>
        </w:rPr>
        <w:t> fetal,</w:t>
      </w:r>
      <w:r>
        <w:rPr>
          <w:color w:val="231F1F"/>
          <w:w w:val="105"/>
        </w:rPr>
        <w:t> pH</w:t>
      </w:r>
      <w:r>
        <w:rPr>
          <w:color w:val="231F1F"/>
          <w:w w:val="105"/>
        </w:rPr>
        <w:t> umbilical,</w:t>
      </w:r>
      <w:r>
        <w:rPr>
          <w:color w:val="231F1F"/>
          <w:w w:val="105"/>
        </w:rPr>
        <w:t> valores Apgar o admisión en la Unidad de Cuidados Intensivos Neonatales (UCIN).</w:t>
      </w:r>
    </w:p>
    <w:p>
      <w:pPr>
        <w:pStyle w:val="BodyText"/>
        <w:spacing w:line="247" w:lineRule="auto" w:before="52"/>
        <w:ind w:left="287" w:right="38" w:firstLine="453"/>
        <w:jc w:val="both"/>
      </w:pPr>
      <w:r>
        <w:rPr>
          <w:color w:val="231F1F"/>
          <w:w w:val="105"/>
        </w:rPr>
        <w:t>El empleo de monitorización electrónica fetal intermitente en intervalos regulares (con auscultación intermitente</w:t>
      </w:r>
      <w:r>
        <w:rPr>
          <w:color w:val="231F1F"/>
          <w:spacing w:val="-1"/>
          <w:w w:val="105"/>
        </w:rPr>
        <w:t> </w:t>
      </w:r>
      <w:r>
        <w:rPr>
          <w:color w:val="231F1F"/>
          <w:w w:val="105"/>
        </w:rPr>
        <w:t>en el intermedio) parece</w:t>
      </w:r>
      <w:r>
        <w:rPr>
          <w:color w:val="231F1F"/>
          <w:spacing w:val="-1"/>
          <w:w w:val="105"/>
        </w:rPr>
        <w:t> </w:t>
      </w:r>
      <w:r>
        <w:rPr>
          <w:color w:val="231F1F"/>
          <w:w w:val="105"/>
        </w:rPr>
        <w:t>ser tan segu- ra como la monitorización electrónica fetal continúa en partos de bajo riesgo.</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9"/>
        <w:rPr>
          <w:sz w:val="18"/>
        </w:rPr>
      </w:pPr>
    </w:p>
    <w:p>
      <w:pPr>
        <w:spacing w:before="0"/>
        <w:ind w:left="18" w:right="241" w:firstLine="0"/>
        <w:jc w:val="center"/>
        <w:rPr>
          <w:rFonts w:ascii="Arial MT"/>
          <w:sz w:val="18"/>
        </w:rPr>
      </w:pPr>
      <w:r>
        <w:rPr>
          <w:rFonts w:ascii="Arial MT"/>
          <w:color w:val="231F1F"/>
          <w:spacing w:val="-5"/>
          <w:sz w:val="18"/>
        </w:rPr>
        <w:t>ECA</w:t>
      </w:r>
    </w:p>
    <w:p>
      <w:pPr>
        <w:spacing w:before="33"/>
        <w:ind w:left="0" w:right="241" w:firstLine="0"/>
        <w:jc w:val="center"/>
        <w:rPr>
          <w:rFonts w:ascii="Arial MT"/>
          <w:sz w:val="18"/>
        </w:rPr>
      </w:pPr>
      <w:r>
        <w:rPr>
          <w:rFonts w:ascii="Arial MT"/>
          <w:color w:val="231F1F"/>
          <w:spacing w:val="-5"/>
          <w:sz w:val="18"/>
        </w:rPr>
        <w:t>Ib</w:t>
      </w:r>
    </w:p>
    <w:p>
      <w:pPr>
        <w:spacing w:after="0"/>
        <w:jc w:val="center"/>
        <w:rPr>
          <w:rFonts w:ascii="Arial MT"/>
          <w:sz w:val="18"/>
        </w:rPr>
        <w:sectPr>
          <w:type w:val="continuous"/>
          <w:pgSz w:w="11900" w:h="16840"/>
          <w:pgMar w:header="0" w:footer="622" w:top="560" w:bottom="280" w:left="1417" w:right="1559"/>
          <w:cols w:num="2" w:equalWidth="0">
            <w:col w:w="7592" w:space="170"/>
            <w:col w:w="1162"/>
          </w:cols>
        </w:sectPr>
      </w:pPr>
    </w:p>
    <w:p>
      <w:pPr>
        <w:pStyle w:val="BodyText"/>
        <w:spacing w:before="65"/>
        <w:rPr>
          <w:rFonts w:ascii="Arial MT"/>
          <w:sz w:val="24"/>
        </w:rPr>
      </w:pPr>
    </w:p>
    <w:p>
      <w:pPr>
        <w:spacing w:before="0"/>
        <w:ind w:left="287" w:right="0" w:firstLine="0"/>
        <w:jc w:val="left"/>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2"/>
          <w:sz w:val="24"/>
        </w:rPr>
        <w:t> </w:t>
      </w:r>
      <w:r>
        <w:rPr>
          <w:rFonts w:ascii="Arial MT" w:hAnsi="Arial MT"/>
          <w:color w:val="231F1F"/>
          <w:sz w:val="24"/>
        </w:rPr>
        <w:t>mayo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2"/>
          <w:sz w:val="24"/>
        </w:rPr>
        <w:t> </w:t>
      </w:r>
      <w:r>
        <w:rPr>
          <w:rFonts w:ascii="Arial MT" w:hAnsi="Arial MT"/>
          <w:color w:val="231F1F"/>
          <w:spacing w:val="-2"/>
          <w:sz w:val="24"/>
        </w:rPr>
        <w:t>2008)</w:t>
      </w:r>
    </w:p>
    <w:p>
      <w:pPr>
        <w:pStyle w:val="BodyText"/>
        <w:spacing w:before="205"/>
        <w:ind w:left="288"/>
      </w:pPr>
      <w:r>
        <w:rPr>
          <w:color w:val="231F1F"/>
        </w:rPr>
        <w:t>No</w:t>
      </w:r>
      <w:r>
        <w:rPr>
          <w:color w:val="231F1F"/>
          <w:spacing w:val="30"/>
        </w:rPr>
        <w:t> </w:t>
      </w:r>
      <w:r>
        <w:rPr>
          <w:color w:val="231F1F"/>
        </w:rPr>
        <w:t>se</w:t>
      </w:r>
      <w:r>
        <w:rPr>
          <w:color w:val="231F1F"/>
          <w:spacing w:val="31"/>
        </w:rPr>
        <w:t> </w:t>
      </w:r>
      <w:r>
        <w:rPr>
          <w:color w:val="231F1F"/>
        </w:rPr>
        <w:t>han</w:t>
      </w:r>
      <w:r>
        <w:rPr>
          <w:color w:val="231F1F"/>
          <w:spacing w:val="32"/>
        </w:rPr>
        <w:t> </w:t>
      </w:r>
      <w:r>
        <w:rPr>
          <w:color w:val="231F1F"/>
        </w:rPr>
        <w:t>encontrado</w:t>
      </w:r>
      <w:r>
        <w:rPr>
          <w:color w:val="231F1F"/>
          <w:spacing w:val="32"/>
        </w:rPr>
        <w:t> </w:t>
      </w:r>
      <w:r>
        <w:rPr>
          <w:color w:val="231F1F"/>
        </w:rPr>
        <w:t>nuevos</w:t>
      </w:r>
      <w:r>
        <w:rPr>
          <w:color w:val="231F1F"/>
          <w:spacing w:val="31"/>
        </w:rPr>
        <w:t> </w:t>
      </w:r>
      <w:r>
        <w:rPr>
          <w:color w:val="231F1F"/>
        </w:rPr>
        <w:t>estudios</w:t>
      </w:r>
      <w:r>
        <w:rPr>
          <w:color w:val="231F1F"/>
          <w:spacing w:val="32"/>
        </w:rPr>
        <w:t> </w:t>
      </w:r>
      <w:r>
        <w:rPr>
          <w:color w:val="231F1F"/>
        </w:rPr>
        <w:t>en</w:t>
      </w:r>
      <w:r>
        <w:rPr>
          <w:color w:val="231F1F"/>
          <w:spacing w:val="32"/>
        </w:rPr>
        <w:t> </w:t>
      </w:r>
      <w:r>
        <w:rPr>
          <w:color w:val="231F1F"/>
        </w:rPr>
        <w:t>la</w:t>
      </w:r>
      <w:r>
        <w:rPr>
          <w:color w:val="231F1F"/>
          <w:spacing w:val="33"/>
        </w:rPr>
        <w:t> </w:t>
      </w:r>
      <w:r>
        <w:rPr>
          <w:color w:val="231F1F"/>
          <w:spacing w:val="-2"/>
        </w:rPr>
        <w:t>actualización.</w:t>
      </w:r>
    </w:p>
    <w:p>
      <w:pPr>
        <w:pStyle w:val="BodyText"/>
        <w:spacing w:before="31"/>
      </w:pPr>
    </w:p>
    <w:p>
      <w:pPr>
        <w:spacing w:before="0"/>
        <w:ind w:left="287"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6"/>
          <w:sz w:val="24"/>
        </w:rPr>
        <w:t> </w:t>
      </w:r>
      <w:r>
        <w:rPr>
          <w:rFonts w:ascii="Arial MT"/>
          <w:color w:val="231F1F"/>
          <w:sz w:val="24"/>
        </w:rPr>
        <w:t>la</w:t>
      </w:r>
      <w:r>
        <w:rPr>
          <w:rFonts w:ascii="Arial MT"/>
          <w:color w:val="231F1F"/>
          <w:spacing w:val="8"/>
          <w:sz w:val="24"/>
        </w:rPr>
        <w:t> </w:t>
      </w:r>
      <w:r>
        <w:rPr>
          <w:rFonts w:ascii="Arial MT"/>
          <w:color w:val="231F1F"/>
          <w:spacing w:val="-2"/>
          <w:sz w:val="24"/>
        </w:rPr>
        <w:t>evidencia</w:t>
      </w:r>
    </w:p>
    <w:p>
      <w:pPr>
        <w:pStyle w:val="BodyText"/>
        <w:spacing w:before="21"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06" w:hRule="atLeast"/>
        </w:trPr>
        <w:tc>
          <w:tcPr>
            <w:tcW w:w="7373" w:type="dxa"/>
          </w:tcPr>
          <w:p>
            <w:pPr>
              <w:pStyle w:val="TableParagraph"/>
              <w:spacing w:line="249" w:lineRule="auto" w:before="15"/>
              <w:ind w:right="85" w:hanging="1"/>
              <w:jc w:val="both"/>
              <w:rPr>
                <w:sz w:val="22"/>
              </w:rPr>
            </w:pPr>
            <w:r>
              <w:rPr>
                <w:color w:val="231F1F"/>
                <w:w w:val="105"/>
                <w:sz w:val="22"/>
              </w:rPr>
              <w:t>El</w:t>
            </w:r>
            <w:r>
              <w:rPr>
                <w:color w:val="231F1F"/>
                <w:w w:val="105"/>
                <w:sz w:val="22"/>
              </w:rPr>
              <w:t> empleo</w:t>
            </w:r>
            <w:r>
              <w:rPr>
                <w:color w:val="231F1F"/>
                <w:w w:val="105"/>
                <w:sz w:val="22"/>
              </w:rPr>
              <w:t> de</w:t>
            </w:r>
            <w:r>
              <w:rPr>
                <w:color w:val="231F1F"/>
                <w:w w:val="105"/>
                <w:sz w:val="22"/>
              </w:rPr>
              <w:t> </w:t>
            </w:r>
            <w:r>
              <w:rPr>
                <w:i/>
                <w:color w:val="231F1F"/>
                <w:w w:val="105"/>
                <w:sz w:val="22"/>
              </w:rPr>
              <w:t>MEFI</w:t>
            </w:r>
            <w:r>
              <w:rPr>
                <w:i/>
                <w:color w:val="231F1F"/>
                <w:w w:val="105"/>
                <w:sz w:val="22"/>
              </w:rPr>
              <w:t> </w:t>
            </w:r>
            <w:r>
              <w:rPr>
                <w:color w:val="231F1F"/>
                <w:w w:val="105"/>
                <w:sz w:val="22"/>
              </w:rPr>
              <w:t>a</w:t>
            </w:r>
            <w:r>
              <w:rPr>
                <w:color w:val="231F1F"/>
                <w:w w:val="105"/>
                <w:sz w:val="22"/>
              </w:rPr>
              <w:t> intervalos</w:t>
            </w:r>
            <w:r>
              <w:rPr>
                <w:color w:val="231F1F"/>
                <w:w w:val="105"/>
                <w:sz w:val="22"/>
              </w:rPr>
              <w:t> regulares</w:t>
            </w:r>
            <w:r>
              <w:rPr>
                <w:color w:val="231F1F"/>
                <w:w w:val="105"/>
                <w:sz w:val="22"/>
              </w:rPr>
              <w:t> (</w:t>
            </w:r>
            <w:r>
              <w:rPr>
                <w:i/>
                <w:color w:val="231F1F"/>
                <w:w w:val="105"/>
                <w:sz w:val="22"/>
              </w:rPr>
              <w:t>con</w:t>
            </w:r>
            <w:r>
              <w:rPr>
                <w:i/>
                <w:color w:val="231F1F"/>
                <w:w w:val="105"/>
                <w:sz w:val="22"/>
              </w:rPr>
              <w:t> auscultación</w:t>
            </w:r>
            <w:r>
              <w:rPr>
                <w:i/>
                <w:color w:val="231F1F"/>
                <w:w w:val="105"/>
                <w:sz w:val="22"/>
              </w:rPr>
              <w:t> intermitente </w:t>
            </w:r>
            <w:r>
              <w:rPr>
                <w:color w:val="231F1F"/>
                <w:w w:val="105"/>
                <w:sz w:val="22"/>
              </w:rPr>
              <w:t>entre los intervalos) parece ser tan segura como la </w:t>
            </w:r>
            <w:r>
              <w:rPr>
                <w:i/>
                <w:color w:val="231F1F"/>
                <w:w w:val="105"/>
                <w:sz w:val="22"/>
              </w:rPr>
              <w:t>monitorización</w:t>
            </w:r>
            <w:r>
              <w:rPr>
                <w:i/>
                <w:color w:val="231F1F"/>
                <w:spacing w:val="-3"/>
                <w:w w:val="105"/>
                <w:sz w:val="22"/>
              </w:rPr>
              <w:t> </w:t>
            </w:r>
            <w:r>
              <w:rPr>
                <w:i/>
                <w:color w:val="231F1F"/>
                <w:w w:val="105"/>
                <w:sz w:val="22"/>
              </w:rPr>
              <w:t>electróni- ca fetal continua </w:t>
            </w:r>
            <w:r>
              <w:rPr>
                <w:color w:val="231F1F"/>
                <w:w w:val="105"/>
                <w:sz w:val="22"/>
              </w:rPr>
              <w:t>en partos de bajo riesgo (366).</w:t>
            </w:r>
          </w:p>
        </w:tc>
        <w:tc>
          <w:tcPr>
            <w:tcW w:w="1133" w:type="dxa"/>
          </w:tcPr>
          <w:p>
            <w:pPr>
              <w:pStyle w:val="TableParagraph"/>
              <w:spacing w:before="40"/>
              <w:ind w:left="0"/>
              <w:rPr>
                <w:rFonts w:ascii="Arial MT"/>
                <w:sz w:val="22"/>
              </w:rPr>
            </w:pPr>
          </w:p>
          <w:p>
            <w:pPr>
              <w:pStyle w:val="TableParagraph"/>
              <w:ind w:left="49" w:right="22"/>
              <w:jc w:val="center"/>
              <w:rPr>
                <w:sz w:val="22"/>
              </w:rPr>
            </w:pPr>
            <w:r>
              <w:rPr>
                <w:color w:val="231F1F"/>
                <w:spacing w:val="-5"/>
                <w:w w:val="115"/>
                <w:sz w:val="22"/>
              </w:rPr>
              <w:t>Ib</w:t>
            </w:r>
          </w:p>
        </w:tc>
      </w:tr>
    </w:tbl>
    <w:p>
      <w:pPr>
        <w:spacing w:before="255"/>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23" w:hRule="atLeast"/>
        </w:trPr>
        <w:tc>
          <w:tcPr>
            <w:tcW w:w="456" w:type="dxa"/>
          </w:tcPr>
          <w:p>
            <w:pPr>
              <w:pStyle w:val="TableParagraph"/>
              <w:spacing w:before="149"/>
              <w:rPr>
                <w:sz w:val="22"/>
              </w:rPr>
            </w:pPr>
            <w:r>
              <w:rPr>
                <w:color w:val="231F1F"/>
                <w:spacing w:val="-10"/>
                <w:w w:val="115"/>
                <w:sz w:val="22"/>
              </w:rPr>
              <w:t>A</w:t>
            </w:r>
          </w:p>
        </w:tc>
        <w:tc>
          <w:tcPr>
            <w:tcW w:w="8050" w:type="dxa"/>
          </w:tcPr>
          <w:p>
            <w:pPr>
              <w:pStyle w:val="TableParagraph"/>
              <w:spacing w:line="244" w:lineRule="auto" w:before="15"/>
              <w:ind w:hanging="1"/>
              <w:rPr>
                <w:sz w:val="22"/>
              </w:rPr>
            </w:pPr>
            <w:r>
              <w:rPr>
                <w:color w:val="231F1F"/>
                <w:spacing w:val="-2"/>
                <w:w w:val="110"/>
                <w:sz w:val="22"/>
              </w:rPr>
              <w:t>Tanto</w:t>
            </w:r>
            <w:r>
              <w:rPr>
                <w:color w:val="231F1F"/>
                <w:spacing w:val="-14"/>
                <w:w w:val="110"/>
                <w:sz w:val="22"/>
              </w:rPr>
              <w:t> </w:t>
            </w:r>
            <w:r>
              <w:rPr>
                <w:color w:val="231F1F"/>
                <w:spacing w:val="-2"/>
                <w:w w:val="110"/>
                <w:sz w:val="22"/>
              </w:rPr>
              <w:t>la</w:t>
            </w:r>
            <w:r>
              <w:rPr>
                <w:color w:val="231F1F"/>
                <w:spacing w:val="-12"/>
                <w:w w:val="110"/>
                <w:sz w:val="22"/>
              </w:rPr>
              <w:t> </w:t>
            </w:r>
            <w:r>
              <w:rPr>
                <w:i/>
                <w:color w:val="231F1F"/>
                <w:spacing w:val="-2"/>
                <w:w w:val="110"/>
                <w:sz w:val="22"/>
              </w:rPr>
              <w:t>MEFC</w:t>
            </w:r>
            <w:r>
              <w:rPr>
                <w:i/>
                <w:color w:val="231F1F"/>
                <w:spacing w:val="-16"/>
                <w:w w:val="110"/>
                <w:sz w:val="22"/>
              </w:rPr>
              <w:t> </w:t>
            </w:r>
            <w:r>
              <w:rPr>
                <w:color w:val="231F1F"/>
                <w:spacing w:val="-2"/>
                <w:w w:val="110"/>
                <w:sz w:val="22"/>
              </w:rPr>
              <w:t>como</w:t>
            </w:r>
            <w:r>
              <w:rPr>
                <w:color w:val="231F1F"/>
                <w:spacing w:val="-11"/>
                <w:w w:val="110"/>
                <w:sz w:val="22"/>
              </w:rPr>
              <w:t> </w:t>
            </w:r>
            <w:r>
              <w:rPr>
                <w:color w:val="231F1F"/>
                <w:spacing w:val="-2"/>
                <w:w w:val="110"/>
                <w:sz w:val="22"/>
              </w:rPr>
              <w:t>la</w:t>
            </w:r>
            <w:r>
              <w:rPr>
                <w:color w:val="231F1F"/>
                <w:spacing w:val="-12"/>
                <w:w w:val="110"/>
                <w:sz w:val="22"/>
              </w:rPr>
              <w:t> </w:t>
            </w:r>
            <w:r>
              <w:rPr>
                <w:i/>
                <w:color w:val="231F1F"/>
                <w:spacing w:val="-2"/>
                <w:w w:val="110"/>
                <w:sz w:val="22"/>
              </w:rPr>
              <w:t>MEFI</w:t>
            </w:r>
            <w:r>
              <w:rPr>
                <w:i/>
                <w:color w:val="231F1F"/>
                <w:spacing w:val="-14"/>
                <w:w w:val="110"/>
                <w:sz w:val="22"/>
              </w:rPr>
              <w:t> </w:t>
            </w:r>
            <w:r>
              <w:rPr>
                <w:color w:val="231F1F"/>
                <w:spacing w:val="-2"/>
                <w:w w:val="110"/>
                <w:sz w:val="22"/>
              </w:rPr>
              <w:t>acompañado</w:t>
            </w:r>
            <w:r>
              <w:rPr>
                <w:color w:val="231F1F"/>
                <w:spacing w:val="-11"/>
                <w:w w:val="110"/>
                <w:sz w:val="22"/>
              </w:rPr>
              <w:t> </w:t>
            </w:r>
            <w:r>
              <w:rPr>
                <w:color w:val="231F1F"/>
                <w:spacing w:val="-2"/>
                <w:w w:val="110"/>
                <w:sz w:val="22"/>
              </w:rPr>
              <w:t>de</w:t>
            </w:r>
            <w:r>
              <w:rPr>
                <w:color w:val="231F1F"/>
                <w:spacing w:val="-12"/>
                <w:w w:val="110"/>
                <w:sz w:val="22"/>
              </w:rPr>
              <w:t> </w:t>
            </w:r>
            <w:r>
              <w:rPr>
                <w:i/>
                <w:color w:val="231F1F"/>
                <w:spacing w:val="-2"/>
                <w:w w:val="110"/>
                <w:sz w:val="22"/>
              </w:rPr>
              <w:t>AI</w:t>
            </w:r>
            <w:r>
              <w:rPr>
                <w:i/>
                <w:color w:val="231F1F"/>
                <w:spacing w:val="-15"/>
                <w:w w:val="110"/>
                <w:sz w:val="22"/>
              </w:rPr>
              <w:t> </w:t>
            </w:r>
            <w:r>
              <w:rPr>
                <w:color w:val="231F1F"/>
                <w:spacing w:val="-2"/>
                <w:w w:val="110"/>
                <w:sz w:val="22"/>
              </w:rPr>
              <w:t>son</w:t>
            </w:r>
            <w:r>
              <w:rPr>
                <w:color w:val="231F1F"/>
                <w:spacing w:val="-11"/>
                <w:w w:val="110"/>
                <w:sz w:val="22"/>
              </w:rPr>
              <w:t> </w:t>
            </w:r>
            <w:r>
              <w:rPr>
                <w:color w:val="231F1F"/>
                <w:spacing w:val="-2"/>
                <w:w w:val="110"/>
                <w:sz w:val="22"/>
              </w:rPr>
              <w:t>dos</w:t>
            </w:r>
            <w:r>
              <w:rPr>
                <w:color w:val="231F1F"/>
                <w:spacing w:val="-12"/>
                <w:w w:val="110"/>
                <w:sz w:val="22"/>
              </w:rPr>
              <w:t> </w:t>
            </w:r>
            <w:r>
              <w:rPr>
                <w:color w:val="231F1F"/>
                <w:spacing w:val="-2"/>
                <w:w w:val="110"/>
                <w:sz w:val="22"/>
              </w:rPr>
              <w:t>métodos</w:t>
            </w:r>
            <w:r>
              <w:rPr>
                <w:color w:val="231F1F"/>
                <w:spacing w:val="-12"/>
                <w:w w:val="110"/>
                <w:sz w:val="22"/>
              </w:rPr>
              <w:t> </w:t>
            </w:r>
            <w:r>
              <w:rPr>
                <w:color w:val="231F1F"/>
                <w:spacing w:val="-2"/>
                <w:w w:val="110"/>
                <w:sz w:val="22"/>
              </w:rPr>
              <w:t>válidos</w:t>
            </w:r>
            <w:r>
              <w:rPr>
                <w:color w:val="231F1F"/>
                <w:spacing w:val="-12"/>
                <w:w w:val="110"/>
                <w:sz w:val="22"/>
              </w:rPr>
              <w:t> </w:t>
            </w:r>
            <w:r>
              <w:rPr>
                <w:color w:val="231F1F"/>
                <w:spacing w:val="-2"/>
                <w:w w:val="110"/>
                <w:sz w:val="22"/>
              </w:rPr>
              <w:t>y</w:t>
            </w:r>
            <w:r>
              <w:rPr>
                <w:color w:val="231F1F"/>
                <w:spacing w:val="-12"/>
                <w:w w:val="110"/>
                <w:sz w:val="22"/>
              </w:rPr>
              <w:t> </w:t>
            </w:r>
            <w:r>
              <w:rPr>
                <w:color w:val="231F1F"/>
                <w:spacing w:val="-2"/>
                <w:w w:val="110"/>
                <w:sz w:val="22"/>
              </w:rPr>
              <w:t>reco- </w:t>
            </w:r>
            <w:r>
              <w:rPr>
                <w:color w:val="231F1F"/>
                <w:w w:val="110"/>
                <w:sz w:val="22"/>
              </w:rPr>
              <w:t>mendables para el control del bienestar fetal durante el parto.</w:t>
            </w:r>
          </w:p>
        </w:tc>
      </w:tr>
    </w:tbl>
    <w:p>
      <w:pPr>
        <w:pStyle w:val="TableParagraph"/>
        <w:spacing w:after="0" w:line="244" w:lineRule="auto"/>
        <w:rPr>
          <w:sz w:val="22"/>
        </w:rPr>
        <w:sectPr>
          <w:type w:val="continuous"/>
          <w:pgSz w:w="11900" w:h="16840"/>
          <w:pgMar w:header="0" w:footer="622" w:top="560" w:bottom="280" w:left="1417" w:right="1559"/>
        </w:sectPr>
      </w:pPr>
    </w:p>
    <w:p>
      <w:pPr>
        <w:pStyle w:val="Heading2"/>
        <w:numPr>
          <w:ilvl w:val="2"/>
          <w:numId w:val="2"/>
        </w:numPr>
        <w:tabs>
          <w:tab w:pos="1184" w:val="left" w:leader="none"/>
        </w:tabs>
        <w:spacing w:line="240" w:lineRule="auto" w:before="62" w:after="0"/>
        <w:ind w:left="1184" w:right="0" w:hanging="901"/>
        <w:jc w:val="left"/>
      </w:pPr>
      <w:r>
        <w:rPr>
          <w:color w:val="231F1F"/>
        </w:rPr>
        <w:t>MEFC</w:t>
      </w:r>
      <w:r>
        <w:rPr>
          <w:color w:val="231F1F"/>
          <w:spacing w:val="31"/>
        </w:rPr>
        <w:t> </w:t>
      </w:r>
      <w:r>
        <w:rPr>
          <w:color w:val="231F1F"/>
        </w:rPr>
        <w:t>con</w:t>
      </w:r>
      <w:r>
        <w:rPr>
          <w:color w:val="231F1F"/>
          <w:spacing w:val="31"/>
        </w:rPr>
        <w:t> </w:t>
      </w:r>
      <w:r>
        <w:rPr>
          <w:color w:val="231F1F"/>
        </w:rPr>
        <w:t>o</w:t>
      </w:r>
      <w:r>
        <w:rPr>
          <w:color w:val="231F1F"/>
          <w:spacing w:val="32"/>
        </w:rPr>
        <w:t> </w:t>
      </w:r>
      <w:r>
        <w:rPr>
          <w:color w:val="231F1F"/>
        </w:rPr>
        <w:t>sin</w:t>
      </w:r>
      <w:r>
        <w:rPr>
          <w:color w:val="231F1F"/>
          <w:spacing w:val="34"/>
        </w:rPr>
        <w:t> </w:t>
      </w:r>
      <w:r>
        <w:rPr>
          <w:color w:val="231F1F"/>
          <w:spacing w:val="-2"/>
        </w:rPr>
        <w:t>pulsioximetría</w:t>
      </w:r>
    </w:p>
    <w:p>
      <w:pPr>
        <w:pStyle w:val="BodyText"/>
        <w:spacing w:before="26"/>
        <w:rPr>
          <w:sz w:val="20"/>
        </w:rPr>
      </w:pPr>
      <w:r>
        <w:rPr>
          <w:sz w:val="20"/>
        </w:rPr>
        <mc:AlternateContent>
          <mc:Choice Requires="wps">
            <w:drawing>
              <wp:anchor distT="0" distB="0" distL="0" distR="0" allowOverlap="1" layoutInCell="1" locked="0" behindDoc="1" simplePos="0" relativeHeight="487631872">
                <wp:simplePos x="0" y="0"/>
                <wp:positionH relativeFrom="page">
                  <wp:posOffset>1082675</wp:posOffset>
                </wp:positionH>
                <wp:positionV relativeFrom="paragraph">
                  <wp:posOffset>180997</wp:posOffset>
                </wp:positionV>
                <wp:extent cx="5400040" cy="440055"/>
                <wp:effectExtent l="0" t="0" r="0" b="0"/>
                <wp:wrapTopAndBottom/>
                <wp:docPr id="148" name="Textbox 148"/>
                <wp:cNvGraphicFramePr>
                  <a:graphicFrameLocks/>
                </wp:cNvGraphicFramePr>
                <a:graphic>
                  <a:graphicData uri="http://schemas.microsoft.com/office/word/2010/wordprocessingShape">
                    <wps:wsp>
                      <wps:cNvPr id="148" name="Textbox 148"/>
                      <wps:cNvSpPr txBox="1"/>
                      <wps:spPr>
                        <a:xfrm>
                          <a:off x="0" y="0"/>
                          <a:ext cx="5400040" cy="440055"/>
                        </a:xfrm>
                        <a:prstGeom prst="rect">
                          <a:avLst/>
                        </a:prstGeom>
                        <a:ln w="6350">
                          <a:solidFill>
                            <a:srgbClr val="A30046"/>
                          </a:solidFill>
                          <a:prstDash val="solid"/>
                        </a:ln>
                      </wps:spPr>
                      <wps:txbx>
                        <w:txbxContent>
                          <w:p>
                            <w:pPr>
                              <w:pStyle w:val="BodyText"/>
                              <w:numPr>
                                <w:ilvl w:val="0"/>
                                <w:numId w:val="89"/>
                              </w:numPr>
                              <w:tabs>
                                <w:tab w:pos="323" w:val="left" w:leader="none"/>
                              </w:tabs>
                              <w:spacing w:line="244" w:lineRule="auto" w:before="46" w:after="0"/>
                              <w:ind w:left="323" w:right="227" w:hanging="219"/>
                              <w:jc w:val="left"/>
                            </w:pPr>
                            <w:r>
                              <w:rPr>
                                <w:color w:val="231F1F"/>
                                <w:w w:val="110"/>
                              </w:rPr>
                              <w:t>¿Cuál</w:t>
                            </w:r>
                            <w:r>
                              <w:rPr>
                                <w:color w:val="231F1F"/>
                                <w:spacing w:val="-14"/>
                                <w:w w:val="110"/>
                              </w:rPr>
                              <w:t> </w:t>
                            </w:r>
                            <w:r>
                              <w:rPr>
                                <w:color w:val="231F1F"/>
                                <w:w w:val="110"/>
                              </w:rPr>
                              <w:t>es</w:t>
                            </w:r>
                            <w:r>
                              <w:rPr>
                                <w:color w:val="231F1F"/>
                                <w:spacing w:val="-14"/>
                                <w:w w:val="110"/>
                              </w:rPr>
                              <w:t> </w:t>
                            </w:r>
                            <w:r>
                              <w:rPr>
                                <w:color w:val="231F1F"/>
                                <w:w w:val="110"/>
                              </w:rPr>
                              <w:t>la</w:t>
                            </w:r>
                            <w:r>
                              <w:rPr>
                                <w:color w:val="231F1F"/>
                                <w:spacing w:val="-14"/>
                                <w:w w:val="110"/>
                              </w:rPr>
                              <w:t> </w:t>
                            </w:r>
                            <w:r>
                              <w:rPr>
                                <w:color w:val="231F1F"/>
                                <w:w w:val="110"/>
                              </w:rPr>
                              <w:t>efectividad</w:t>
                            </w:r>
                            <w:r>
                              <w:rPr>
                                <w:color w:val="231F1F"/>
                                <w:spacing w:val="-14"/>
                                <w:w w:val="110"/>
                              </w:rPr>
                              <w:t> </w:t>
                            </w:r>
                            <w:r>
                              <w:rPr>
                                <w:color w:val="231F1F"/>
                                <w:w w:val="110"/>
                              </w:rPr>
                              <w:t>de</w:t>
                            </w:r>
                            <w:r>
                              <w:rPr>
                                <w:color w:val="231F1F"/>
                                <w:spacing w:val="-14"/>
                                <w:w w:val="110"/>
                              </w:rPr>
                              <w:t> </w:t>
                            </w:r>
                            <w:r>
                              <w:rPr>
                                <w:color w:val="231F1F"/>
                                <w:w w:val="110"/>
                              </w:rPr>
                              <w:t>los</w:t>
                            </w:r>
                            <w:r>
                              <w:rPr>
                                <w:color w:val="231F1F"/>
                                <w:spacing w:val="-14"/>
                                <w:w w:val="110"/>
                              </w:rPr>
                              <w:t> </w:t>
                            </w:r>
                            <w:r>
                              <w:rPr>
                                <w:color w:val="231F1F"/>
                                <w:w w:val="110"/>
                              </w:rPr>
                              <w:t>siguientes</w:t>
                            </w:r>
                            <w:r>
                              <w:rPr>
                                <w:color w:val="231F1F"/>
                                <w:spacing w:val="-16"/>
                                <w:w w:val="110"/>
                              </w:rPr>
                              <w:t> </w:t>
                            </w:r>
                            <w:r>
                              <w:rPr>
                                <w:color w:val="231F1F"/>
                                <w:w w:val="110"/>
                              </w:rPr>
                              <w:t>métodos</w:t>
                            </w:r>
                            <w:r>
                              <w:rPr>
                                <w:color w:val="231F1F"/>
                                <w:spacing w:val="-13"/>
                                <w:w w:val="110"/>
                              </w:rPr>
                              <w:t> </w:t>
                            </w:r>
                            <w:r>
                              <w:rPr>
                                <w:color w:val="231F1F"/>
                                <w:w w:val="110"/>
                              </w:rPr>
                              <w:t>de</w:t>
                            </w:r>
                            <w:r>
                              <w:rPr>
                                <w:color w:val="231F1F"/>
                                <w:spacing w:val="-14"/>
                                <w:w w:val="110"/>
                              </w:rPr>
                              <w:t> </w:t>
                            </w:r>
                            <w:r>
                              <w:rPr>
                                <w:color w:val="231F1F"/>
                                <w:w w:val="110"/>
                              </w:rPr>
                              <w:t>monitorización</w:t>
                            </w:r>
                            <w:r>
                              <w:rPr>
                                <w:color w:val="231F1F"/>
                                <w:spacing w:val="-14"/>
                                <w:w w:val="110"/>
                              </w:rPr>
                              <w:t> </w:t>
                            </w:r>
                            <w:r>
                              <w:rPr>
                                <w:color w:val="231F1F"/>
                                <w:w w:val="110"/>
                              </w:rPr>
                              <w:t>fetal:</w:t>
                            </w:r>
                            <w:r>
                              <w:rPr>
                                <w:color w:val="231F1F"/>
                                <w:spacing w:val="-14"/>
                                <w:w w:val="110"/>
                              </w:rPr>
                              <w:t> </w:t>
                            </w:r>
                            <w:r>
                              <w:rPr>
                                <w:color w:val="231F1F"/>
                                <w:w w:val="110"/>
                              </w:rPr>
                              <w:t>la</w:t>
                            </w:r>
                            <w:r>
                              <w:rPr>
                                <w:color w:val="231F1F"/>
                                <w:spacing w:val="-14"/>
                                <w:w w:val="110"/>
                              </w:rPr>
                              <w:t> </w:t>
                            </w:r>
                            <w:r>
                              <w:rPr>
                                <w:color w:val="231F1F"/>
                                <w:w w:val="110"/>
                              </w:rPr>
                              <w:t>MEFC con o sin pulsioximetría cuando se presentan alteraciones de la FCF?</w:t>
                            </w:r>
                          </w:p>
                        </w:txbxContent>
                      </wps:txbx>
                      <wps:bodyPr wrap="square" lIns="0" tIns="0" rIns="0" bIns="0" rtlCol="0">
                        <a:noAutofit/>
                      </wps:bodyPr>
                    </wps:wsp>
                  </a:graphicData>
                </a:graphic>
              </wp:anchor>
            </w:drawing>
          </mc:Choice>
          <mc:Fallback>
            <w:pict>
              <v:shape style="position:absolute;margin-left:85.25pt;margin-top:14.251758pt;width:425.2pt;height:34.65pt;mso-position-horizontal-relative:page;mso-position-vertical-relative:paragraph;z-index:-15684608;mso-wrap-distance-left:0;mso-wrap-distance-right:0" type="#_x0000_t202" id="docshape137" filled="false" stroked="true" strokeweight=".5pt" strokecolor="#a30046">
                <v:textbox inset="0,0,0,0">
                  <w:txbxContent>
                    <w:p>
                      <w:pPr>
                        <w:pStyle w:val="BodyText"/>
                        <w:numPr>
                          <w:ilvl w:val="0"/>
                          <w:numId w:val="89"/>
                        </w:numPr>
                        <w:tabs>
                          <w:tab w:pos="323" w:val="left" w:leader="none"/>
                        </w:tabs>
                        <w:spacing w:line="244" w:lineRule="auto" w:before="46" w:after="0"/>
                        <w:ind w:left="323" w:right="227" w:hanging="219"/>
                        <w:jc w:val="left"/>
                      </w:pPr>
                      <w:r>
                        <w:rPr>
                          <w:color w:val="231F1F"/>
                          <w:w w:val="110"/>
                        </w:rPr>
                        <w:t>¿Cuál</w:t>
                      </w:r>
                      <w:r>
                        <w:rPr>
                          <w:color w:val="231F1F"/>
                          <w:spacing w:val="-14"/>
                          <w:w w:val="110"/>
                        </w:rPr>
                        <w:t> </w:t>
                      </w:r>
                      <w:r>
                        <w:rPr>
                          <w:color w:val="231F1F"/>
                          <w:w w:val="110"/>
                        </w:rPr>
                        <w:t>es</w:t>
                      </w:r>
                      <w:r>
                        <w:rPr>
                          <w:color w:val="231F1F"/>
                          <w:spacing w:val="-14"/>
                          <w:w w:val="110"/>
                        </w:rPr>
                        <w:t> </w:t>
                      </w:r>
                      <w:r>
                        <w:rPr>
                          <w:color w:val="231F1F"/>
                          <w:w w:val="110"/>
                        </w:rPr>
                        <w:t>la</w:t>
                      </w:r>
                      <w:r>
                        <w:rPr>
                          <w:color w:val="231F1F"/>
                          <w:spacing w:val="-14"/>
                          <w:w w:val="110"/>
                        </w:rPr>
                        <w:t> </w:t>
                      </w:r>
                      <w:r>
                        <w:rPr>
                          <w:color w:val="231F1F"/>
                          <w:w w:val="110"/>
                        </w:rPr>
                        <w:t>efectividad</w:t>
                      </w:r>
                      <w:r>
                        <w:rPr>
                          <w:color w:val="231F1F"/>
                          <w:spacing w:val="-14"/>
                          <w:w w:val="110"/>
                        </w:rPr>
                        <w:t> </w:t>
                      </w:r>
                      <w:r>
                        <w:rPr>
                          <w:color w:val="231F1F"/>
                          <w:w w:val="110"/>
                        </w:rPr>
                        <w:t>de</w:t>
                      </w:r>
                      <w:r>
                        <w:rPr>
                          <w:color w:val="231F1F"/>
                          <w:spacing w:val="-14"/>
                          <w:w w:val="110"/>
                        </w:rPr>
                        <w:t> </w:t>
                      </w:r>
                      <w:r>
                        <w:rPr>
                          <w:color w:val="231F1F"/>
                          <w:w w:val="110"/>
                        </w:rPr>
                        <w:t>los</w:t>
                      </w:r>
                      <w:r>
                        <w:rPr>
                          <w:color w:val="231F1F"/>
                          <w:spacing w:val="-14"/>
                          <w:w w:val="110"/>
                        </w:rPr>
                        <w:t> </w:t>
                      </w:r>
                      <w:r>
                        <w:rPr>
                          <w:color w:val="231F1F"/>
                          <w:w w:val="110"/>
                        </w:rPr>
                        <w:t>siguientes</w:t>
                      </w:r>
                      <w:r>
                        <w:rPr>
                          <w:color w:val="231F1F"/>
                          <w:spacing w:val="-16"/>
                          <w:w w:val="110"/>
                        </w:rPr>
                        <w:t> </w:t>
                      </w:r>
                      <w:r>
                        <w:rPr>
                          <w:color w:val="231F1F"/>
                          <w:w w:val="110"/>
                        </w:rPr>
                        <w:t>métodos</w:t>
                      </w:r>
                      <w:r>
                        <w:rPr>
                          <w:color w:val="231F1F"/>
                          <w:spacing w:val="-13"/>
                          <w:w w:val="110"/>
                        </w:rPr>
                        <w:t> </w:t>
                      </w:r>
                      <w:r>
                        <w:rPr>
                          <w:color w:val="231F1F"/>
                          <w:w w:val="110"/>
                        </w:rPr>
                        <w:t>de</w:t>
                      </w:r>
                      <w:r>
                        <w:rPr>
                          <w:color w:val="231F1F"/>
                          <w:spacing w:val="-14"/>
                          <w:w w:val="110"/>
                        </w:rPr>
                        <w:t> </w:t>
                      </w:r>
                      <w:r>
                        <w:rPr>
                          <w:color w:val="231F1F"/>
                          <w:w w:val="110"/>
                        </w:rPr>
                        <w:t>monitorización</w:t>
                      </w:r>
                      <w:r>
                        <w:rPr>
                          <w:color w:val="231F1F"/>
                          <w:spacing w:val="-14"/>
                          <w:w w:val="110"/>
                        </w:rPr>
                        <w:t> </w:t>
                      </w:r>
                      <w:r>
                        <w:rPr>
                          <w:color w:val="231F1F"/>
                          <w:w w:val="110"/>
                        </w:rPr>
                        <w:t>fetal:</w:t>
                      </w:r>
                      <w:r>
                        <w:rPr>
                          <w:color w:val="231F1F"/>
                          <w:spacing w:val="-14"/>
                          <w:w w:val="110"/>
                        </w:rPr>
                        <w:t> </w:t>
                      </w:r>
                      <w:r>
                        <w:rPr>
                          <w:color w:val="231F1F"/>
                          <w:w w:val="110"/>
                        </w:rPr>
                        <w:t>la</w:t>
                      </w:r>
                      <w:r>
                        <w:rPr>
                          <w:color w:val="231F1F"/>
                          <w:spacing w:val="-14"/>
                          <w:w w:val="110"/>
                        </w:rPr>
                        <w:t> </w:t>
                      </w:r>
                      <w:r>
                        <w:rPr>
                          <w:color w:val="231F1F"/>
                          <w:w w:val="110"/>
                        </w:rPr>
                        <w:t>MEFC con o sin pulsioximetría cuando se presentan alteraciones de la FCF?</w:t>
                      </w:r>
                    </w:p>
                  </w:txbxContent>
                </v:textbox>
                <v:stroke dashstyle="solid"/>
                <w10:wrap type="topAndBottom"/>
              </v:shape>
            </w:pict>
          </mc:Fallback>
        </mc:AlternateContent>
      </w:r>
    </w:p>
    <w:p>
      <w:pPr>
        <w:pStyle w:val="BodyText"/>
        <w:spacing w:line="247" w:lineRule="auto" w:before="323"/>
        <w:ind w:left="282" w:right="123"/>
        <w:jc w:val="both"/>
      </w:pPr>
      <w:r>
        <w:rPr>
          <w:color w:val="231F1F"/>
          <w:w w:val="110"/>
        </w:rPr>
        <w:t>La</w:t>
      </w:r>
      <w:r>
        <w:rPr>
          <w:color w:val="231F1F"/>
          <w:w w:val="110"/>
        </w:rPr>
        <w:t> pulsioximetría</w:t>
      </w:r>
      <w:r>
        <w:rPr>
          <w:color w:val="231F1F"/>
          <w:w w:val="110"/>
        </w:rPr>
        <w:t> determina</w:t>
      </w:r>
      <w:r>
        <w:rPr>
          <w:color w:val="231F1F"/>
          <w:w w:val="110"/>
        </w:rPr>
        <w:t> de</w:t>
      </w:r>
      <w:r>
        <w:rPr>
          <w:color w:val="231F1F"/>
          <w:w w:val="110"/>
        </w:rPr>
        <w:t> forma</w:t>
      </w:r>
      <w:r>
        <w:rPr>
          <w:color w:val="231F1F"/>
          <w:w w:val="110"/>
        </w:rPr>
        <w:t> continua</w:t>
      </w:r>
      <w:r>
        <w:rPr>
          <w:color w:val="231F1F"/>
          <w:w w:val="110"/>
        </w:rPr>
        <w:t> la</w:t>
      </w:r>
      <w:r>
        <w:rPr>
          <w:color w:val="231F1F"/>
          <w:w w:val="110"/>
        </w:rPr>
        <w:t> saturación</w:t>
      </w:r>
      <w:r>
        <w:rPr>
          <w:color w:val="231F1F"/>
          <w:w w:val="110"/>
        </w:rPr>
        <w:t> arterial</w:t>
      </w:r>
      <w:r>
        <w:rPr>
          <w:color w:val="231F1F"/>
          <w:w w:val="110"/>
        </w:rPr>
        <w:t> de</w:t>
      </w:r>
      <w:r>
        <w:rPr>
          <w:color w:val="231F1F"/>
          <w:w w:val="110"/>
        </w:rPr>
        <w:t> oxígeno</w:t>
      </w:r>
      <w:r>
        <w:rPr>
          <w:color w:val="231F1F"/>
          <w:w w:val="110"/>
        </w:rPr>
        <w:t> de</w:t>
      </w:r>
      <w:r>
        <w:rPr>
          <w:color w:val="231F1F"/>
          <w:w w:val="110"/>
        </w:rPr>
        <w:t> la hemoglobina</w:t>
      </w:r>
      <w:r>
        <w:rPr>
          <w:color w:val="231F1F"/>
          <w:spacing w:val="-2"/>
          <w:w w:val="110"/>
        </w:rPr>
        <w:t> </w:t>
      </w:r>
      <w:r>
        <w:rPr>
          <w:color w:val="231F1F"/>
          <w:w w:val="110"/>
        </w:rPr>
        <w:t>fetal</w:t>
      </w:r>
      <w:r>
        <w:rPr>
          <w:color w:val="231F1F"/>
          <w:spacing w:val="-2"/>
          <w:w w:val="110"/>
        </w:rPr>
        <w:t> </w:t>
      </w:r>
      <w:r>
        <w:rPr>
          <w:color w:val="231F1F"/>
          <w:w w:val="110"/>
        </w:rPr>
        <w:t>por</w:t>
      </w:r>
      <w:r>
        <w:rPr>
          <w:color w:val="231F1F"/>
          <w:spacing w:val="-2"/>
          <w:w w:val="110"/>
        </w:rPr>
        <w:t> </w:t>
      </w:r>
      <w:r>
        <w:rPr>
          <w:color w:val="231F1F"/>
          <w:w w:val="110"/>
        </w:rPr>
        <w:t>medios</w:t>
      </w:r>
      <w:r>
        <w:rPr>
          <w:color w:val="231F1F"/>
          <w:spacing w:val="-2"/>
          <w:w w:val="110"/>
        </w:rPr>
        <w:t> </w:t>
      </w:r>
      <w:r>
        <w:rPr>
          <w:color w:val="231F1F"/>
          <w:w w:val="110"/>
        </w:rPr>
        <w:t>ópticos.</w:t>
      </w:r>
      <w:r>
        <w:rPr>
          <w:color w:val="231F1F"/>
          <w:spacing w:val="-2"/>
          <w:w w:val="110"/>
        </w:rPr>
        <w:t> </w:t>
      </w:r>
      <w:r>
        <w:rPr>
          <w:color w:val="231F1F"/>
          <w:w w:val="110"/>
        </w:rPr>
        <w:t>Valores</w:t>
      </w:r>
      <w:r>
        <w:rPr>
          <w:color w:val="231F1F"/>
          <w:spacing w:val="-2"/>
          <w:w w:val="110"/>
        </w:rPr>
        <w:t> </w:t>
      </w:r>
      <w:r>
        <w:rPr>
          <w:color w:val="231F1F"/>
          <w:w w:val="110"/>
        </w:rPr>
        <w:t>de</w:t>
      </w:r>
      <w:r>
        <w:rPr>
          <w:color w:val="231F1F"/>
          <w:spacing w:val="-2"/>
          <w:w w:val="110"/>
        </w:rPr>
        <w:t> </w:t>
      </w:r>
      <w:r>
        <w:rPr>
          <w:color w:val="231F1F"/>
          <w:w w:val="110"/>
        </w:rPr>
        <w:t>saturación</w:t>
      </w:r>
      <w:r>
        <w:rPr>
          <w:color w:val="231F1F"/>
          <w:spacing w:val="-2"/>
          <w:w w:val="110"/>
        </w:rPr>
        <w:t> </w:t>
      </w:r>
      <w:r>
        <w:rPr>
          <w:color w:val="231F1F"/>
          <w:w w:val="110"/>
        </w:rPr>
        <w:t>de</w:t>
      </w:r>
      <w:r>
        <w:rPr>
          <w:color w:val="231F1F"/>
          <w:spacing w:val="-2"/>
          <w:w w:val="110"/>
        </w:rPr>
        <w:t> </w:t>
      </w:r>
      <w:r>
        <w:rPr>
          <w:color w:val="231F1F"/>
          <w:w w:val="110"/>
        </w:rPr>
        <w:t>oxígeno</w:t>
      </w:r>
      <w:r>
        <w:rPr>
          <w:color w:val="231F1F"/>
          <w:spacing w:val="-2"/>
          <w:w w:val="110"/>
        </w:rPr>
        <w:t> </w:t>
      </w:r>
      <w:r>
        <w:rPr>
          <w:color w:val="231F1F"/>
          <w:w w:val="110"/>
        </w:rPr>
        <w:t>por</w:t>
      </w:r>
      <w:r>
        <w:rPr>
          <w:color w:val="231F1F"/>
          <w:spacing w:val="-2"/>
          <w:w w:val="110"/>
        </w:rPr>
        <w:t> </w:t>
      </w:r>
      <w:r>
        <w:rPr>
          <w:color w:val="231F1F"/>
          <w:w w:val="110"/>
        </w:rPr>
        <w:t>encima</w:t>
      </w:r>
      <w:r>
        <w:rPr>
          <w:color w:val="231F1F"/>
          <w:spacing w:val="-2"/>
          <w:w w:val="110"/>
        </w:rPr>
        <w:t> </w:t>
      </w:r>
      <w:r>
        <w:rPr>
          <w:color w:val="231F1F"/>
          <w:w w:val="110"/>
        </w:rPr>
        <w:t>del 30%</w:t>
      </w:r>
      <w:r>
        <w:rPr>
          <w:color w:val="231F1F"/>
          <w:spacing w:val="-1"/>
          <w:w w:val="110"/>
        </w:rPr>
        <w:t> </w:t>
      </w:r>
      <w:r>
        <w:rPr>
          <w:color w:val="231F1F"/>
          <w:w w:val="110"/>
        </w:rPr>
        <w:t>aseguran</w:t>
      </w:r>
      <w:r>
        <w:rPr>
          <w:color w:val="231F1F"/>
          <w:spacing w:val="-1"/>
          <w:w w:val="110"/>
        </w:rPr>
        <w:t> </w:t>
      </w:r>
      <w:r>
        <w:rPr>
          <w:color w:val="231F1F"/>
          <w:w w:val="110"/>
        </w:rPr>
        <w:t>un</w:t>
      </w:r>
      <w:r>
        <w:rPr>
          <w:color w:val="231F1F"/>
          <w:spacing w:val="-2"/>
          <w:w w:val="110"/>
        </w:rPr>
        <w:t> </w:t>
      </w:r>
      <w:r>
        <w:rPr>
          <w:color w:val="231F1F"/>
          <w:w w:val="110"/>
        </w:rPr>
        <w:t>equilibrio</w:t>
      </w:r>
      <w:r>
        <w:rPr>
          <w:color w:val="231F1F"/>
          <w:spacing w:val="-2"/>
          <w:w w:val="110"/>
        </w:rPr>
        <w:t> </w:t>
      </w:r>
      <w:r>
        <w:rPr>
          <w:color w:val="231F1F"/>
          <w:w w:val="110"/>
        </w:rPr>
        <w:t>ácido-básico</w:t>
      </w:r>
      <w:r>
        <w:rPr>
          <w:color w:val="231F1F"/>
          <w:spacing w:val="-2"/>
          <w:w w:val="110"/>
        </w:rPr>
        <w:t> </w:t>
      </w:r>
      <w:r>
        <w:rPr>
          <w:color w:val="231F1F"/>
          <w:w w:val="110"/>
        </w:rPr>
        <w:t>fetal</w:t>
      </w:r>
      <w:r>
        <w:rPr>
          <w:color w:val="231F1F"/>
          <w:spacing w:val="-3"/>
          <w:w w:val="110"/>
        </w:rPr>
        <w:t> </w:t>
      </w:r>
      <w:r>
        <w:rPr>
          <w:color w:val="231F1F"/>
          <w:w w:val="110"/>
        </w:rPr>
        <w:t>normal.</w:t>
      </w:r>
      <w:r>
        <w:rPr>
          <w:color w:val="231F1F"/>
          <w:spacing w:val="-3"/>
          <w:w w:val="110"/>
        </w:rPr>
        <w:t> </w:t>
      </w:r>
      <w:r>
        <w:rPr>
          <w:color w:val="231F1F"/>
          <w:w w:val="110"/>
        </w:rPr>
        <w:t>La</w:t>
      </w:r>
      <w:r>
        <w:rPr>
          <w:color w:val="231F1F"/>
          <w:spacing w:val="-2"/>
          <w:w w:val="110"/>
        </w:rPr>
        <w:t> </w:t>
      </w:r>
      <w:r>
        <w:rPr>
          <w:color w:val="231F1F"/>
          <w:w w:val="110"/>
        </w:rPr>
        <w:t>saturación</w:t>
      </w:r>
      <w:r>
        <w:rPr>
          <w:color w:val="231F1F"/>
          <w:spacing w:val="-3"/>
          <w:w w:val="110"/>
        </w:rPr>
        <w:t> </w:t>
      </w:r>
      <w:r>
        <w:rPr>
          <w:color w:val="231F1F"/>
          <w:w w:val="110"/>
        </w:rPr>
        <w:t>arterial</w:t>
      </w:r>
      <w:r>
        <w:rPr>
          <w:color w:val="231F1F"/>
          <w:spacing w:val="-3"/>
          <w:w w:val="110"/>
        </w:rPr>
        <w:t> </w:t>
      </w:r>
      <w:r>
        <w:rPr>
          <w:color w:val="231F1F"/>
          <w:w w:val="110"/>
        </w:rPr>
        <w:t>de</w:t>
      </w:r>
      <w:r>
        <w:rPr>
          <w:color w:val="231F1F"/>
          <w:spacing w:val="-2"/>
          <w:w w:val="110"/>
        </w:rPr>
        <w:t> </w:t>
      </w:r>
      <w:r>
        <w:rPr>
          <w:color w:val="231F1F"/>
          <w:w w:val="110"/>
        </w:rPr>
        <w:t>oxígeno parece</w:t>
      </w:r>
      <w:r>
        <w:rPr>
          <w:color w:val="231F1F"/>
          <w:spacing w:val="-16"/>
          <w:w w:val="110"/>
        </w:rPr>
        <w:t> </w:t>
      </w:r>
      <w:r>
        <w:rPr>
          <w:color w:val="231F1F"/>
          <w:w w:val="110"/>
        </w:rPr>
        <w:t>guardar</w:t>
      </w:r>
      <w:r>
        <w:rPr>
          <w:color w:val="231F1F"/>
          <w:spacing w:val="-15"/>
          <w:w w:val="110"/>
        </w:rPr>
        <w:t> </w:t>
      </w:r>
      <w:r>
        <w:rPr>
          <w:color w:val="231F1F"/>
          <w:w w:val="110"/>
        </w:rPr>
        <w:t>relación</w:t>
      </w:r>
      <w:r>
        <w:rPr>
          <w:color w:val="231F1F"/>
          <w:spacing w:val="-15"/>
          <w:w w:val="110"/>
        </w:rPr>
        <w:t> </w:t>
      </w:r>
      <w:r>
        <w:rPr>
          <w:color w:val="231F1F"/>
          <w:w w:val="110"/>
        </w:rPr>
        <w:t>con</w:t>
      </w:r>
      <w:r>
        <w:rPr>
          <w:color w:val="231F1F"/>
          <w:spacing w:val="-15"/>
          <w:w w:val="110"/>
        </w:rPr>
        <w:t> </w:t>
      </w:r>
      <w:r>
        <w:rPr>
          <w:color w:val="231F1F"/>
          <w:w w:val="110"/>
        </w:rPr>
        <w:t>las</w:t>
      </w:r>
      <w:r>
        <w:rPr>
          <w:color w:val="231F1F"/>
          <w:spacing w:val="-15"/>
          <w:w w:val="110"/>
        </w:rPr>
        <w:t> </w:t>
      </w:r>
      <w:r>
        <w:rPr>
          <w:color w:val="231F1F"/>
          <w:w w:val="110"/>
        </w:rPr>
        <w:t>alteraciones</w:t>
      </w:r>
      <w:r>
        <w:rPr>
          <w:color w:val="231F1F"/>
          <w:spacing w:val="-15"/>
          <w:w w:val="110"/>
        </w:rPr>
        <w:t> </w:t>
      </w:r>
      <w:r>
        <w:rPr>
          <w:color w:val="231F1F"/>
          <w:w w:val="110"/>
        </w:rPr>
        <w:t>cardiotocográficas,</w:t>
      </w:r>
      <w:r>
        <w:rPr>
          <w:color w:val="231F1F"/>
          <w:spacing w:val="-15"/>
          <w:w w:val="110"/>
        </w:rPr>
        <w:t> </w:t>
      </w:r>
      <w:r>
        <w:rPr>
          <w:color w:val="231F1F"/>
          <w:w w:val="110"/>
        </w:rPr>
        <w:t>por</w:t>
      </w:r>
      <w:r>
        <w:rPr>
          <w:color w:val="231F1F"/>
          <w:spacing w:val="-15"/>
          <w:w w:val="110"/>
        </w:rPr>
        <w:t> </w:t>
      </w:r>
      <w:r>
        <w:rPr>
          <w:color w:val="231F1F"/>
          <w:w w:val="110"/>
        </w:rPr>
        <w:t>lo</w:t>
      </w:r>
      <w:r>
        <w:rPr>
          <w:color w:val="231F1F"/>
          <w:spacing w:val="-16"/>
          <w:w w:val="110"/>
        </w:rPr>
        <w:t> </w:t>
      </w:r>
      <w:r>
        <w:rPr>
          <w:color w:val="231F1F"/>
          <w:w w:val="110"/>
        </w:rPr>
        <w:t>que</w:t>
      </w:r>
      <w:r>
        <w:rPr>
          <w:color w:val="231F1F"/>
          <w:spacing w:val="-15"/>
          <w:w w:val="110"/>
        </w:rPr>
        <w:t> </w:t>
      </w:r>
      <w:r>
        <w:rPr>
          <w:color w:val="231F1F"/>
          <w:w w:val="110"/>
        </w:rPr>
        <w:t>podría</w:t>
      </w:r>
      <w:r>
        <w:rPr>
          <w:color w:val="231F1F"/>
          <w:spacing w:val="-15"/>
          <w:w w:val="110"/>
        </w:rPr>
        <w:t> </w:t>
      </w:r>
      <w:r>
        <w:rPr>
          <w:color w:val="231F1F"/>
          <w:w w:val="110"/>
        </w:rPr>
        <w:t>mejorar la especificidad de la vigilancia fetal intraparto.</w:t>
      </w:r>
    </w:p>
    <w:p>
      <w:pPr>
        <w:pStyle w:val="BodyText"/>
        <w:spacing w:line="244" w:lineRule="auto" w:before="132"/>
        <w:ind w:left="281" w:firstLine="453"/>
      </w:pPr>
      <w:r>
        <w:rPr>
          <w:color w:val="231F1F"/>
          <w:w w:val="105"/>
        </w:rPr>
        <w:t>Se</w:t>
      </w:r>
      <w:r>
        <w:rPr>
          <w:color w:val="231F1F"/>
          <w:spacing w:val="35"/>
          <w:w w:val="105"/>
        </w:rPr>
        <w:t> </w:t>
      </w:r>
      <w:r>
        <w:rPr>
          <w:color w:val="231F1F"/>
          <w:w w:val="105"/>
        </w:rPr>
        <w:t>trata</w:t>
      </w:r>
      <w:r>
        <w:rPr>
          <w:color w:val="231F1F"/>
          <w:spacing w:val="35"/>
          <w:w w:val="105"/>
        </w:rPr>
        <w:t> </w:t>
      </w:r>
      <w:r>
        <w:rPr>
          <w:color w:val="231F1F"/>
          <w:w w:val="105"/>
        </w:rPr>
        <w:t>de</w:t>
      </w:r>
      <w:r>
        <w:rPr>
          <w:color w:val="231F1F"/>
          <w:spacing w:val="35"/>
          <w:w w:val="105"/>
        </w:rPr>
        <w:t> </w:t>
      </w:r>
      <w:r>
        <w:rPr>
          <w:color w:val="231F1F"/>
          <w:w w:val="105"/>
        </w:rPr>
        <w:t>saber</w:t>
      </w:r>
      <w:r>
        <w:rPr>
          <w:color w:val="231F1F"/>
          <w:spacing w:val="35"/>
          <w:w w:val="105"/>
        </w:rPr>
        <w:t> </w:t>
      </w:r>
      <w:r>
        <w:rPr>
          <w:color w:val="231F1F"/>
          <w:w w:val="105"/>
        </w:rPr>
        <w:t>si</w:t>
      </w:r>
      <w:r>
        <w:rPr>
          <w:color w:val="231F1F"/>
          <w:spacing w:val="35"/>
          <w:w w:val="105"/>
        </w:rPr>
        <w:t> </w:t>
      </w:r>
      <w:r>
        <w:rPr>
          <w:color w:val="231F1F"/>
          <w:w w:val="105"/>
        </w:rPr>
        <w:t>aporta</w:t>
      </w:r>
      <w:r>
        <w:rPr>
          <w:color w:val="231F1F"/>
          <w:spacing w:val="35"/>
          <w:w w:val="105"/>
        </w:rPr>
        <w:t> </w:t>
      </w:r>
      <w:r>
        <w:rPr>
          <w:color w:val="231F1F"/>
          <w:w w:val="105"/>
        </w:rPr>
        <w:t>beneficios</w:t>
      </w:r>
      <w:r>
        <w:rPr>
          <w:color w:val="231F1F"/>
          <w:spacing w:val="36"/>
          <w:w w:val="105"/>
        </w:rPr>
        <w:t> </w:t>
      </w:r>
      <w:r>
        <w:rPr>
          <w:color w:val="231F1F"/>
          <w:w w:val="105"/>
        </w:rPr>
        <w:t>su</w:t>
      </w:r>
      <w:r>
        <w:rPr>
          <w:color w:val="231F1F"/>
          <w:spacing w:val="36"/>
          <w:w w:val="105"/>
        </w:rPr>
        <w:t> </w:t>
      </w:r>
      <w:r>
        <w:rPr>
          <w:color w:val="231F1F"/>
          <w:w w:val="105"/>
        </w:rPr>
        <w:t>utilización</w:t>
      </w:r>
      <w:r>
        <w:rPr>
          <w:color w:val="231F1F"/>
          <w:spacing w:val="36"/>
          <w:w w:val="105"/>
        </w:rPr>
        <w:t> </w:t>
      </w:r>
      <w:r>
        <w:rPr>
          <w:color w:val="231F1F"/>
          <w:w w:val="105"/>
        </w:rPr>
        <w:t>conjunta</w:t>
      </w:r>
      <w:r>
        <w:rPr>
          <w:color w:val="231F1F"/>
          <w:spacing w:val="35"/>
          <w:w w:val="105"/>
        </w:rPr>
        <w:t> </w:t>
      </w:r>
      <w:r>
        <w:rPr>
          <w:color w:val="231F1F"/>
          <w:w w:val="105"/>
        </w:rPr>
        <w:t>con</w:t>
      </w:r>
      <w:r>
        <w:rPr>
          <w:color w:val="231F1F"/>
          <w:spacing w:val="36"/>
          <w:w w:val="105"/>
        </w:rPr>
        <w:t> </w:t>
      </w:r>
      <w:r>
        <w:rPr>
          <w:color w:val="231F1F"/>
          <w:w w:val="105"/>
        </w:rPr>
        <w:t>la</w:t>
      </w:r>
      <w:r>
        <w:rPr>
          <w:color w:val="231F1F"/>
          <w:spacing w:val="35"/>
          <w:w w:val="105"/>
        </w:rPr>
        <w:t> </w:t>
      </w:r>
      <w:r>
        <w:rPr>
          <w:color w:val="231F1F"/>
          <w:w w:val="105"/>
        </w:rPr>
        <w:t>monitorización continua en presencia de registros cardiotocograficos patológicos.</w:t>
      </w:r>
    </w:p>
    <w:p>
      <w:pPr>
        <w:pStyle w:val="BodyText"/>
        <w:spacing w:before="161"/>
      </w:pPr>
    </w:p>
    <w:p>
      <w:pPr>
        <w:spacing w:before="1"/>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209"/>
        <w:ind w:left="283" w:right="1386"/>
      </w:pPr>
      <w:r>
        <w:rPr>
          <w:color w:val="231F1F"/>
          <w:w w:val="110"/>
        </w:rPr>
        <w:t>Esta</w:t>
      </w:r>
      <w:r>
        <w:rPr>
          <w:color w:val="231F1F"/>
          <w:spacing w:val="-11"/>
          <w:w w:val="110"/>
        </w:rPr>
        <w:t> </w:t>
      </w:r>
      <w:r>
        <w:rPr>
          <w:color w:val="231F1F"/>
          <w:w w:val="110"/>
        </w:rPr>
        <w:t>pregunta</w:t>
      </w:r>
      <w:r>
        <w:rPr>
          <w:color w:val="231F1F"/>
          <w:spacing w:val="-11"/>
          <w:w w:val="110"/>
        </w:rPr>
        <w:t> </w:t>
      </w:r>
      <w:r>
        <w:rPr>
          <w:color w:val="231F1F"/>
          <w:w w:val="110"/>
        </w:rPr>
        <w:t>no</w:t>
      </w:r>
      <w:r>
        <w:rPr>
          <w:color w:val="231F1F"/>
          <w:spacing w:val="-11"/>
          <w:w w:val="110"/>
        </w:rPr>
        <w:t> </w:t>
      </w:r>
      <w:r>
        <w:rPr>
          <w:color w:val="231F1F"/>
          <w:w w:val="110"/>
        </w:rPr>
        <w:t>la</w:t>
      </w:r>
      <w:r>
        <w:rPr>
          <w:color w:val="231F1F"/>
          <w:spacing w:val="-11"/>
          <w:w w:val="110"/>
        </w:rPr>
        <w:t> </w:t>
      </w:r>
      <w:r>
        <w:rPr>
          <w:color w:val="231F1F"/>
          <w:w w:val="110"/>
        </w:rPr>
        <w:t>contesta</w:t>
      </w:r>
      <w:r>
        <w:rPr>
          <w:color w:val="231F1F"/>
          <w:spacing w:val="-11"/>
          <w:w w:val="110"/>
        </w:rPr>
        <w:t> </w:t>
      </w:r>
      <w:r>
        <w:rPr>
          <w:color w:val="231F1F"/>
          <w:w w:val="110"/>
        </w:rPr>
        <w:t>la</w:t>
      </w:r>
      <w:r>
        <w:rPr>
          <w:color w:val="231F1F"/>
          <w:spacing w:val="-11"/>
          <w:w w:val="110"/>
        </w:rPr>
        <w:t> </w:t>
      </w:r>
      <w:r>
        <w:rPr>
          <w:color w:val="231F1F"/>
          <w:w w:val="110"/>
        </w:rPr>
        <w:t>guía</w:t>
      </w:r>
      <w:r>
        <w:rPr>
          <w:color w:val="231F1F"/>
          <w:spacing w:val="-11"/>
          <w:w w:val="110"/>
        </w:rPr>
        <w:t> </w:t>
      </w:r>
      <w:r>
        <w:rPr>
          <w:color w:val="231F1F"/>
          <w:w w:val="110"/>
        </w:rPr>
        <w:t>NICE</w:t>
      </w:r>
      <w:r>
        <w:rPr>
          <w:color w:val="231F1F"/>
          <w:spacing w:val="-11"/>
          <w:w w:val="110"/>
        </w:rPr>
        <w:t> </w:t>
      </w:r>
      <w:r>
        <w:rPr>
          <w:color w:val="231F1F"/>
          <w:w w:val="110"/>
        </w:rPr>
        <w:t>(10),</w:t>
      </w:r>
      <w:r>
        <w:rPr>
          <w:color w:val="231F1F"/>
          <w:spacing w:val="-9"/>
          <w:w w:val="110"/>
        </w:rPr>
        <w:t> </w:t>
      </w:r>
      <w:r>
        <w:rPr>
          <w:color w:val="231F1F"/>
          <w:w w:val="110"/>
        </w:rPr>
        <w:t>al</w:t>
      </w:r>
      <w:r>
        <w:rPr>
          <w:color w:val="231F1F"/>
          <w:spacing w:val="-11"/>
          <w:w w:val="110"/>
        </w:rPr>
        <w:t> </w:t>
      </w:r>
      <w:r>
        <w:rPr>
          <w:color w:val="231F1F"/>
          <w:w w:val="110"/>
        </w:rPr>
        <w:t>ser</w:t>
      </w:r>
      <w:r>
        <w:rPr>
          <w:color w:val="231F1F"/>
          <w:spacing w:val="-13"/>
          <w:w w:val="110"/>
        </w:rPr>
        <w:t> </w:t>
      </w:r>
      <w:r>
        <w:rPr>
          <w:color w:val="231F1F"/>
          <w:w w:val="110"/>
        </w:rPr>
        <w:t>una</w:t>
      </w:r>
      <w:r>
        <w:rPr>
          <w:color w:val="231F1F"/>
          <w:spacing w:val="-11"/>
          <w:w w:val="110"/>
        </w:rPr>
        <w:t> </w:t>
      </w:r>
      <w:r>
        <w:rPr>
          <w:color w:val="231F1F"/>
          <w:w w:val="110"/>
        </w:rPr>
        <w:t>técnica</w:t>
      </w:r>
      <w:r>
        <w:rPr>
          <w:color w:val="231F1F"/>
          <w:spacing w:val="-11"/>
          <w:w w:val="110"/>
        </w:rPr>
        <w:t> </w:t>
      </w:r>
      <w:r>
        <w:rPr>
          <w:color w:val="231F1F"/>
          <w:w w:val="110"/>
        </w:rPr>
        <w:t>que</w:t>
      </w:r>
      <w:r>
        <w:rPr>
          <w:color w:val="231F1F"/>
          <w:spacing w:val="-11"/>
          <w:w w:val="110"/>
        </w:rPr>
        <w:t> </w:t>
      </w:r>
      <w:r>
        <w:rPr>
          <w:color w:val="231F1F"/>
          <w:w w:val="110"/>
        </w:rPr>
        <w:t>no</w:t>
      </w:r>
      <w:r>
        <w:rPr>
          <w:color w:val="231F1F"/>
          <w:spacing w:val="-11"/>
          <w:w w:val="110"/>
        </w:rPr>
        <w:t> </w:t>
      </w:r>
      <w:r>
        <w:rPr>
          <w:color w:val="231F1F"/>
          <w:w w:val="110"/>
        </w:rPr>
        <w:t>se utiliza en el Reino Unido.</w:t>
      </w:r>
    </w:p>
    <w:p>
      <w:pPr>
        <w:pStyle w:val="BodyText"/>
        <w:spacing w:before="102"/>
        <w:rPr>
          <w:sz w:val="20"/>
        </w:rPr>
      </w:pPr>
    </w:p>
    <w:p>
      <w:pPr>
        <w:pStyle w:val="BodyText"/>
        <w:spacing w:after="0"/>
        <w:rPr>
          <w:sz w:val="20"/>
        </w:rPr>
        <w:sectPr>
          <w:pgSz w:w="11900" w:h="16840"/>
          <w:pgMar w:header="0" w:footer="622" w:top="1560" w:bottom="820" w:left="1417" w:right="1559"/>
        </w:sectPr>
      </w:pPr>
    </w:p>
    <w:p>
      <w:pPr>
        <w:spacing w:before="93"/>
        <w:ind w:left="287" w:right="0" w:firstLine="0"/>
        <w:jc w:val="both"/>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2"/>
          <w:sz w:val="24"/>
        </w:rPr>
        <w:t> </w:t>
      </w:r>
      <w:r>
        <w:rPr>
          <w:rFonts w:ascii="Arial MT" w:hAnsi="Arial MT"/>
          <w:color w:val="231F1F"/>
          <w:sz w:val="24"/>
        </w:rPr>
        <w:t>mayo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2"/>
          <w:sz w:val="24"/>
        </w:rPr>
        <w:t> </w:t>
      </w:r>
      <w:r>
        <w:rPr>
          <w:rFonts w:ascii="Arial MT" w:hAnsi="Arial MT"/>
          <w:color w:val="231F1F"/>
          <w:spacing w:val="-2"/>
          <w:sz w:val="24"/>
        </w:rPr>
        <w:t>2008)</w:t>
      </w:r>
    </w:p>
    <w:p>
      <w:pPr>
        <w:pStyle w:val="BodyText"/>
        <w:spacing w:line="244" w:lineRule="auto" w:before="209"/>
        <w:ind w:left="288" w:right="2"/>
        <w:jc w:val="both"/>
      </w:pPr>
      <w:r>
        <w:rPr>
          <w:color w:val="231F1F"/>
          <w:w w:val="110"/>
        </w:rPr>
        <w:t>En</w:t>
      </w:r>
      <w:r>
        <w:rPr>
          <w:color w:val="231F1F"/>
          <w:spacing w:val="-10"/>
          <w:w w:val="110"/>
        </w:rPr>
        <w:t> </w:t>
      </w:r>
      <w:r>
        <w:rPr>
          <w:color w:val="231F1F"/>
          <w:w w:val="110"/>
        </w:rPr>
        <w:t>la</w:t>
      </w:r>
      <w:r>
        <w:rPr>
          <w:color w:val="231F1F"/>
          <w:spacing w:val="-10"/>
          <w:w w:val="110"/>
        </w:rPr>
        <w:t> </w:t>
      </w:r>
      <w:r>
        <w:rPr>
          <w:color w:val="231F1F"/>
          <w:w w:val="110"/>
        </w:rPr>
        <w:t>nueva</w:t>
      </w:r>
      <w:r>
        <w:rPr>
          <w:color w:val="231F1F"/>
          <w:spacing w:val="-10"/>
          <w:w w:val="110"/>
        </w:rPr>
        <w:t> </w:t>
      </w:r>
      <w:r>
        <w:rPr>
          <w:color w:val="231F1F"/>
          <w:w w:val="110"/>
        </w:rPr>
        <w:t>búsqueda</w:t>
      </w:r>
      <w:r>
        <w:rPr>
          <w:color w:val="231F1F"/>
          <w:spacing w:val="-10"/>
          <w:w w:val="110"/>
        </w:rPr>
        <w:t> </w:t>
      </w:r>
      <w:r>
        <w:rPr>
          <w:color w:val="231F1F"/>
          <w:w w:val="110"/>
        </w:rPr>
        <w:t>se</w:t>
      </w:r>
      <w:r>
        <w:rPr>
          <w:color w:val="231F1F"/>
          <w:spacing w:val="-10"/>
          <w:w w:val="110"/>
        </w:rPr>
        <w:t> </w:t>
      </w:r>
      <w:r>
        <w:rPr>
          <w:color w:val="231F1F"/>
          <w:w w:val="110"/>
        </w:rPr>
        <w:t>ha</w:t>
      </w:r>
      <w:r>
        <w:rPr>
          <w:color w:val="231F1F"/>
          <w:spacing w:val="-10"/>
          <w:w w:val="110"/>
        </w:rPr>
        <w:t> </w:t>
      </w:r>
      <w:r>
        <w:rPr>
          <w:color w:val="231F1F"/>
          <w:w w:val="110"/>
        </w:rPr>
        <w:t>recuperado</w:t>
      </w:r>
      <w:r>
        <w:rPr>
          <w:color w:val="231F1F"/>
          <w:spacing w:val="-10"/>
          <w:w w:val="110"/>
        </w:rPr>
        <w:t> </w:t>
      </w:r>
      <w:r>
        <w:rPr>
          <w:color w:val="231F1F"/>
          <w:w w:val="110"/>
        </w:rPr>
        <w:t>una</w:t>
      </w:r>
      <w:r>
        <w:rPr>
          <w:color w:val="231F1F"/>
          <w:spacing w:val="-10"/>
          <w:w w:val="110"/>
        </w:rPr>
        <w:t> </w:t>
      </w:r>
      <w:r>
        <w:rPr>
          <w:color w:val="231F1F"/>
          <w:w w:val="110"/>
        </w:rPr>
        <w:t>revisión</w:t>
      </w:r>
      <w:r>
        <w:rPr>
          <w:color w:val="231F1F"/>
          <w:spacing w:val="-9"/>
          <w:w w:val="110"/>
        </w:rPr>
        <w:t> </w:t>
      </w:r>
      <w:r>
        <w:rPr>
          <w:color w:val="231F1F"/>
          <w:w w:val="110"/>
        </w:rPr>
        <w:t>Cochrane</w:t>
      </w:r>
      <w:r>
        <w:rPr>
          <w:color w:val="231F1F"/>
          <w:spacing w:val="-10"/>
          <w:w w:val="110"/>
        </w:rPr>
        <w:t> </w:t>
      </w:r>
      <w:r>
        <w:rPr>
          <w:color w:val="231F1F"/>
          <w:w w:val="110"/>
        </w:rPr>
        <w:t>(367),</w:t>
      </w:r>
      <w:r>
        <w:rPr>
          <w:color w:val="231F1F"/>
          <w:spacing w:val="-10"/>
          <w:w w:val="110"/>
        </w:rPr>
        <w:t> </w:t>
      </w:r>
      <w:r>
        <w:rPr>
          <w:color w:val="231F1F"/>
          <w:w w:val="110"/>
        </w:rPr>
        <w:t>publi- cada</w:t>
      </w:r>
      <w:r>
        <w:rPr>
          <w:color w:val="231F1F"/>
          <w:spacing w:val="-12"/>
          <w:w w:val="110"/>
        </w:rPr>
        <w:t> </w:t>
      </w:r>
      <w:r>
        <w:rPr>
          <w:color w:val="231F1F"/>
          <w:w w:val="110"/>
        </w:rPr>
        <w:t>en</w:t>
      </w:r>
      <w:r>
        <w:rPr>
          <w:color w:val="231F1F"/>
          <w:spacing w:val="-12"/>
          <w:w w:val="110"/>
        </w:rPr>
        <w:t> </w:t>
      </w:r>
      <w:r>
        <w:rPr>
          <w:color w:val="231F1F"/>
          <w:w w:val="110"/>
        </w:rPr>
        <w:t>2007,</w:t>
      </w:r>
      <w:r>
        <w:rPr>
          <w:color w:val="231F1F"/>
          <w:spacing w:val="-13"/>
          <w:w w:val="110"/>
        </w:rPr>
        <w:t> </w:t>
      </w: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que</w:t>
      </w:r>
      <w:r>
        <w:rPr>
          <w:color w:val="231F1F"/>
          <w:spacing w:val="-12"/>
          <w:w w:val="110"/>
        </w:rPr>
        <w:t> </w:t>
      </w:r>
      <w:r>
        <w:rPr>
          <w:color w:val="231F1F"/>
          <w:w w:val="110"/>
        </w:rPr>
        <w:t>se</w:t>
      </w:r>
      <w:r>
        <w:rPr>
          <w:color w:val="231F1F"/>
          <w:spacing w:val="-12"/>
          <w:w w:val="110"/>
        </w:rPr>
        <w:t> </w:t>
      </w:r>
      <w:r>
        <w:rPr>
          <w:color w:val="231F1F"/>
          <w:w w:val="110"/>
        </w:rPr>
        <w:t>incluyeron</w:t>
      </w:r>
      <w:r>
        <w:rPr>
          <w:color w:val="231F1F"/>
          <w:spacing w:val="-12"/>
          <w:w w:val="110"/>
        </w:rPr>
        <w:t> </w:t>
      </w:r>
      <w:r>
        <w:rPr>
          <w:color w:val="231F1F"/>
          <w:w w:val="110"/>
        </w:rPr>
        <w:t>cinco</w:t>
      </w:r>
      <w:r>
        <w:rPr>
          <w:color w:val="231F1F"/>
          <w:spacing w:val="-12"/>
          <w:w w:val="110"/>
        </w:rPr>
        <w:t> </w:t>
      </w:r>
      <w:r>
        <w:rPr>
          <w:color w:val="231F1F"/>
          <w:w w:val="110"/>
        </w:rPr>
        <w:t>ECAs</w:t>
      </w:r>
      <w:r>
        <w:rPr>
          <w:color w:val="231F1F"/>
          <w:spacing w:val="-12"/>
          <w:w w:val="110"/>
        </w:rPr>
        <w:t> </w:t>
      </w:r>
      <w:r>
        <w:rPr>
          <w:color w:val="231F1F"/>
          <w:w w:val="110"/>
        </w:rPr>
        <w:t>con</w:t>
      </w:r>
      <w:r>
        <w:rPr>
          <w:color w:val="231F1F"/>
          <w:spacing w:val="-12"/>
          <w:w w:val="110"/>
        </w:rPr>
        <w:t> </w:t>
      </w:r>
      <w:r>
        <w:rPr>
          <w:color w:val="231F1F"/>
          <w:w w:val="110"/>
        </w:rPr>
        <w:t>un</w:t>
      </w:r>
      <w:r>
        <w:rPr>
          <w:color w:val="231F1F"/>
          <w:spacing w:val="-12"/>
          <w:w w:val="110"/>
        </w:rPr>
        <w:t> </w:t>
      </w:r>
      <w:r>
        <w:rPr>
          <w:color w:val="231F1F"/>
          <w:w w:val="110"/>
        </w:rPr>
        <w:t>total</w:t>
      </w:r>
      <w:r>
        <w:rPr>
          <w:color w:val="231F1F"/>
          <w:spacing w:val="-13"/>
          <w:w w:val="110"/>
        </w:rPr>
        <w:t> </w:t>
      </w:r>
      <w:r>
        <w:rPr>
          <w:color w:val="231F1F"/>
          <w:w w:val="110"/>
        </w:rPr>
        <w:t>de</w:t>
      </w:r>
      <w:r>
        <w:rPr>
          <w:color w:val="231F1F"/>
          <w:spacing w:val="-12"/>
          <w:w w:val="110"/>
        </w:rPr>
        <w:t> </w:t>
      </w:r>
      <w:r>
        <w:rPr>
          <w:color w:val="231F1F"/>
          <w:w w:val="110"/>
        </w:rPr>
        <w:t>7.424</w:t>
      </w:r>
      <w:r>
        <w:rPr>
          <w:color w:val="231F1F"/>
          <w:spacing w:val="-12"/>
          <w:w w:val="110"/>
        </w:rPr>
        <w:t> </w:t>
      </w:r>
      <w:r>
        <w:rPr>
          <w:color w:val="231F1F"/>
          <w:w w:val="110"/>
        </w:rPr>
        <w:t>mu- jeres.</w:t>
      </w:r>
      <w:r>
        <w:rPr>
          <w:color w:val="231F1F"/>
          <w:spacing w:val="-7"/>
          <w:w w:val="110"/>
        </w:rPr>
        <w:t> </w:t>
      </w:r>
      <w:r>
        <w:rPr>
          <w:color w:val="231F1F"/>
          <w:w w:val="110"/>
        </w:rPr>
        <w:t>En</w:t>
      </w:r>
      <w:r>
        <w:rPr>
          <w:color w:val="231F1F"/>
          <w:spacing w:val="-6"/>
          <w:w w:val="110"/>
        </w:rPr>
        <w:t> </w:t>
      </w:r>
      <w:r>
        <w:rPr>
          <w:color w:val="231F1F"/>
          <w:w w:val="110"/>
        </w:rPr>
        <w:t>esta</w:t>
      </w:r>
      <w:r>
        <w:rPr>
          <w:color w:val="231F1F"/>
          <w:spacing w:val="-6"/>
          <w:w w:val="110"/>
        </w:rPr>
        <w:t> </w:t>
      </w:r>
      <w:r>
        <w:rPr>
          <w:color w:val="231F1F"/>
          <w:w w:val="110"/>
        </w:rPr>
        <w:t>revisión</w:t>
      </w:r>
      <w:r>
        <w:rPr>
          <w:color w:val="231F1F"/>
          <w:spacing w:val="-6"/>
          <w:w w:val="110"/>
        </w:rPr>
        <w:t> </w:t>
      </w:r>
      <w:r>
        <w:rPr>
          <w:color w:val="231F1F"/>
          <w:w w:val="110"/>
        </w:rPr>
        <w:t>se</w:t>
      </w:r>
      <w:r>
        <w:rPr>
          <w:color w:val="231F1F"/>
          <w:spacing w:val="-7"/>
          <w:w w:val="110"/>
        </w:rPr>
        <w:t> </w:t>
      </w:r>
      <w:r>
        <w:rPr>
          <w:color w:val="231F1F"/>
          <w:w w:val="110"/>
        </w:rPr>
        <w:t>comparaba</w:t>
      </w:r>
      <w:r>
        <w:rPr>
          <w:color w:val="231F1F"/>
          <w:spacing w:val="-6"/>
          <w:w w:val="110"/>
        </w:rPr>
        <w:t> </w:t>
      </w:r>
      <w:r>
        <w:rPr>
          <w:color w:val="231F1F"/>
          <w:w w:val="110"/>
        </w:rPr>
        <w:t>la</w:t>
      </w:r>
      <w:r>
        <w:rPr>
          <w:color w:val="231F1F"/>
          <w:spacing w:val="-6"/>
          <w:w w:val="110"/>
        </w:rPr>
        <w:t> </w:t>
      </w:r>
      <w:r>
        <w:rPr>
          <w:color w:val="231F1F"/>
          <w:w w:val="110"/>
        </w:rPr>
        <w:t>pulsioximetría</w:t>
      </w:r>
      <w:r>
        <w:rPr>
          <w:color w:val="231F1F"/>
          <w:spacing w:val="-6"/>
          <w:w w:val="110"/>
        </w:rPr>
        <w:t> </w:t>
      </w:r>
      <w:r>
        <w:rPr>
          <w:color w:val="231F1F"/>
          <w:w w:val="110"/>
        </w:rPr>
        <w:t>de</w:t>
      </w:r>
      <w:r>
        <w:rPr>
          <w:color w:val="231F1F"/>
          <w:spacing w:val="-6"/>
          <w:w w:val="110"/>
        </w:rPr>
        <w:t> </w:t>
      </w:r>
      <w:r>
        <w:rPr>
          <w:color w:val="231F1F"/>
          <w:w w:val="110"/>
        </w:rPr>
        <w:t>pulso</w:t>
      </w:r>
      <w:r>
        <w:rPr>
          <w:color w:val="231F1F"/>
          <w:spacing w:val="-6"/>
          <w:w w:val="110"/>
        </w:rPr>
        <w:t> </w:t>
      </w:r>
      <w:r>
        <w:rPr>
          <w:color w:val="231F1F"/>
          <w:w w:val="110"/>
        </w:rPr>
        <w:t>fetal</w:t>
      </w:r>
      <w:r>
        <w:rPr>
          <w:color w:val="231F1F"/>
          <w:spacing w:val="-7"/>
          <w:w w:val="110"/>
        </w:rPr>
        <w:t> </w:t>
      </w:r>
      <w:r>
        <w:rPr>
          <w:color w:val="231F1F"/>
          <w:w w:val="110"/>
        </w:rPr>
        <w:t>y</w:t>
      </w:r>
      <w:r>
        <w:rPr>
          <w:color w:val="231F1F"/>
          <w:spacing w:val="-6"/>
          <w:w w:val="110"/>
        </w:rPr>
        <w:t> </w:t>
      </w:r>
      <w:r>
        <w:rPr>
          <w:color w:val="231F1F"/>
          <w:w w:val="110"/>
        </w:rPr>
        <w:t>CTG frente a CTG sola o con los valores de la pulsioximetría cegados.</w:t>
      </w:r>
    </w:p>
    <w:p>
      <w:pPr>
        <w:pStyle w:val="BodyText"/>
        <w:spacing w:line="249" w:lineRule="auto" w:before="144"/>
        <w:ind w:left="287" w:right="4" w:firstLine="453"/>
        <w:jc w:val="both"/>
      </w:pPr>
      <w:r>
        <w:rPr>
          <w:color w:val="231F1F"/>
          <w:w w:val="105"/>
        </w:rPr>
        <w:t>En cuatro de los cinco estudios no informaron de diferencias significati- vas</w:t>
      </w:r>
      <w:r>
        <w:rPr>
          <w:color w:val="231F1F"/>
          <w:spacing w:val="-5"/>
          <w:w w:val="105"/>
        </w:rPr>
        <w:t> </w:t>
      </w:r>
      <w:r>
        <w:rPr>
          <w:color w:val="231F1F"/>
          <w:w w:val="105"/>
        </w:rPr>
        <w:t>en</w:t>
      </w:r>
      <w:r>
        <w:rPr>
          <w:color w:val="231F1F"/>
          <w:spacing w:val="-5"/>
          <w:w w:val="105"/>
        </w:rPr>
        <w:t> </w:t>
      </w:r>
      <w:r>
        <w:rPr>
          <w:color w:val="231F1F"/>
          <w:w w:val="105"/>
        </w:rPr>
        <w:t>la</w:t>
      </w:r>
      <w:r>
        <w:rPr>
          <w:color w:val="231F1F"/>
          <w:spacing w:val="-5"/>
          <w:w w:val="105"/>
        </w:rPr>
        <w:t> </w:t>
      </w:r>
      <w:r>
        <w:rPr>
          <w:color w:val="231F1F"/>
          <w:w w:val="105"/>
        </w:rPr>
        <w:t>tasa</w:t>
      </w:r>
      <w:r>
        <w:rPr>
          <w:color w:val="231F1F"/>
          <w:spacing w:val="-5"/>
          <w:w w:val="105"/>
        </w:rPr>
        <w:t> </w:t>
      </w:r>
      <w:r>
        <w:rPr>
          <w:color w:val="231F1F"/>
          <w:w w:val="105"/>
        </w:rPr>
        <w:t>general</w:t>
      </w:r>
      <w:r>
        <w:rPr>
          <w:color w:val="231F1F"/>
          <w:spacing w:val="-6"/>
          <w:w w:val="105"/>
        </w:rPr>
        <w:t> </w:t>
      </w:r>
      <w:r>
        <w:rPr>
          <w:color w:val="231F1F"/>
          <w:w w:val="105"/>
        </w:rPr>
        <w:t>de</w:t>
      </w:r>
      <w:r>
        <w:rPr>
          <w:color w:val="231F1F"/>
          <w:spacing w:val="-5"/>
          <w:w w:val="105"/>
        </w:rPr>
        <w:t> </w:t>
      </w:r>
      <w:r>
        <w:rPr>
          <w:color w:val="231F1F"/>
          <w:w w:val="105"/>
        </w:rPr>
        <w:t>cesáreas.</w:t>
      </w:r>
      <w:r>
        <w:rPr>
          <w:color w:val="231F1F"/>
          <w:spacing w:val="-5"/>
          <w:w w:val="105"/>
        </w:rPr>
        <w:t> </w:t>
      </w:r>
      <w:r>
        <w:rPr>
          <w:color w:val="231F1F"/>
          <w:w w:val="105"/>
        </w:rPr>
        <w:t>En</w:t>
      </w:r>
      <w:r>
        <w:rPr>
          <w:color w:val="231F1F"/>
          <w:spacing w:val="-5"/>
          <w:w w:val="105"/>
        </w:rPr>
        <w:t> </w:t>
      </w:r>
      <w:r>
        <w:rPr>
          <w:color w:val="231F1F"/>
          <w:w w:val="105"/>
        </w:rPr>
        <w:t>el</w:t>
      </w:r>
      <w:r>
        <w:rPr>
          <w:color w:val="231F1F"/>
          <w:spacing w:val="-5"/>
          <w:w w:val="105"/>
        </w:rPr>
        <w:t> </w:t>
      </w:r>
      <w:r>
        <w:rPr>
          <w:color w:val="231F1F"/>
          <w:w w:val="105"/>
        </w:rPr>
        <w:t>estudio</w:t>
      </w:r>
      <w:r>
        <w:rPr>
          <w:color w:val="231F1F"/>
          <w:spacing w:val="-5"/>
          <w:w w:val="105"/>
        </w:rPr>
        <w:t> </w:t>
      </w:r>
      <w:r>
        <w:rPr>
          <w:color w:val="231F1F"/>
          <w:w w:val="105"/>
        </w:rPr>
        <w:t>restante,</w:t>
      </w:r>
      <w:r>
        <w:rPr>
          <w:color w:val="231F1F"/>
          <w:spacing w:val="-5"/>
          <w:w w:val="105"/>
        </w:rPr>
        <w:t> </w:t>
      </w:r>
      <w:r>
        <w:rPr>
          <w:color w:val="231F1F"/>
          <w:w w:val="105"/>
        </w:rPr>
        <w:t>con</w:t>
      </w:r>
      <w:r>
        <w:rPr>
          <w:color w:val="231F1F"/>
          <w:spacing w:val="-5"/>
          <w:w w:val="105"/>
        </w:rPr>
        <w:t> </w:t>
      </w:r>
      <w:r>
        <w:rPr>
          <w:color w:val="231F1F"/>
          <w:w w:val="105"/>
        </w:rPr>
        <w:t>menor</w:t>
      </w:r>
      <w:r>
        <w:rPr>
          <w:color w:val="231F1F"/>
          <w:spacing w:val="-5"/>
          <w:w w:val="105"/>
        </w:rPr>
        <w:t> </w:t>
      </w:r>
      <w:r>
        <w:rPr>
          <w:color w:val="231F1F"/>
          <w:w w:val="105"/>
        </w:rPr>
        <w:t>población, se observó una disminución significativa de las cesáreas en el grupo de pul- sioximetría y CTG.</w:t>
      </w:r>
    </w:p>
    <w:p>
      <w:pPr>
        <w:pStyle w:val="BodyText"/>
        <w:spacing w:line="244" w:lineRule="auto" w:before="119"/>
        <w:ind w:left="287" w:firstLine="453"/>
        <w:jc w:val="both"/>
      </w:pPr>
      <w:r>
        <w:rPr>
          <w:color w:val="231F1F"/>
          <w:w w:val="105"/>
        </w:rPr>
        <w:t>En</w:t>
      </w:r>
      <w:r>
        <w:rPr>
          <w:color w:val="231F1F"/>
          <w:w w:val="105"/>
        </w:rPr>
        <w:t> dos</w:t>
      </w:r>
      <w:r>
        <w:rPr>
          <w:color w:val="231F1F"/>
          <w:w w:val="105"/>
        </w:rPr>
        <w:t> de</w:t>
      </w:r>
      <w:r>
        <w:rPr>
          <w:color w:val="231F1F"/>
          <w:w w:val="105"/>
        </w:rPr>
        <w:t> los</w:t>
      </w:r>
      <w:r>
        <w:rPr>
          <w:color w:val="231F1F"/>
          <w:w w:val="105"/>
        </w:rPr>
        <w:t> cuatro</w:t>
      </w:r>
      <w:r>
        <w:rPr>
          <w:color w:val="231F1F"/>
          <w:w w:val="105"/>
        </w:rPr>
        <w:t> estudios</w:t>
      </w:r>
      <w:r>
        <w:rPr>
          <w:color w:val="231F1F"/>
          <w:w w:val="105"/>
        </w:rPr>
        <w:t> se</w:t>
      </w:r>
      <w:r>
        <w:rPr>
          <w:color w:val="231F1F"/>
          <w:w w:val="105"/>
        </w:rPr>
        <w:t> observó</w:t>
      </w:r>
      <w:r>
        <w:rPr>
          <w:color w:val="231F1F"/>
          <w:w w:val="105"/>
        </w:rPr>
        <w:t> una</w:t>
      </w:r>
      <w:r>
        <w:rPr>
          <w:color w:val="231F1F"/>
          <w:w w:val="105"/>
        </w:rPr>
        <w:t> disminución</w:t>
      </w:r>
      <w:r>
        <w:rPr>
          <w:color w:val="231F1F"/>
          <w:w w:val="105"/>
        </w:rPr>
        <w:t> significativa</w:t>
      </w:r>
      <w:r>
        <w:rPr>
          <w:color w:val="231F1F"/>
          <w:spacing w:val="80"/>
          <w:w w:val="105"/>
        </w:rPr>
        <w:t> </w:t>
      </w:r>
      <w:r>
        <w:rPr>
          <w:color w:val="231F1F"/>
          <w:w w:val="105"/>
        </w:rPr>
        <w:t>de</w:t>
      </w:r>
      <w:r>
        <w:rPr>
          <w:color w:val="231F1F"/>
          <w:w w:val="105"/>
        </w:rPr>
        <w:t> las</w:t>
      </w:r>
      <w:r>
        <w:rPr>
          <w:color w:val="231F1F"/>
          <w:w w:val="105"/>
        </w:rPr>
        <w:t> cesáreas</w:t>
      </w:r>
      <w:r>
        <w:rPr>
          <w:color w:val="231F1F"/>
          <w:w w:val="105"/>
        </w:rPr>
        <w:t> por</w:t>
      </w:r>
      <w:r>
        <w:rPr>
          <w:color w:val="231F1F"/>
          <w:w w:val="105"/>
        </w:rPr>
        <w:t> riesgo</w:t>
      </w:r>
      <w:r>
        <w:rPr>
          <w:color w:val="231F1F"/>
          <w:w w:val="105"/>
        </w:rPr>
        <w:t> de</w:t>
      </w:r>
      <w:r>
        <w:rPr>
          <w:color w:val="231F1F"/>
          <w:w w:val="105"/>
        </w:rPr>
        <w:t> pérdida</w:t>
      </w:r>
      <w:r>
        <w:rPr>
          <w:color w:val="231F1F"/>
          <w:w w:val="105"/>
        </w:rPr>
        <w:t> del</w:t>
      </w:r>
      <w:r>
        <w:rPr>
          <w:color w:val="231F1F"/>
          <w:w w:val="105"/>
        </w:rPr>
        <w:t> bienestar</w:t>
      </w:r>
      <w:r>
        <w:rPr>
          <w:color w:val="231F1F"/>
          <w:w w:val="105"/>
        </w:rPr>
        <w:t> fetal</w:t>
      </w:r>
      <w:r>
        <w:rPr>
          <w:color w:val="231F1F"/>
          <w:w w:val="105"/>
        </w:rPr>
        <w:t> en</w:t>
      </w:r>
      <w:r>
        <w:rPr>
          <w:color w:val="231F1F"/>
          <w:w w:val="105"/>
        </w:rPr>
        <w:t> el</w:t>
      </w:r>
      <w:r>
        <w:rPr>
          <w:color w:val="231F1F"/>
          <w:w w:val="105"/>
        </w:rPr>
        <w:t> grupo</w:t>
      </w:r>
      <w:r>
        <w:rPr>
          <w:color w:val="231F1F"/>
          <w:w w:val="105"/>
        </w:rPr>
        <w:t> de</w:t>
      </w:r>
      <w:r>
        <w:rPr>
          <w:color w:val="231F1F"/>
          <w:w w:val="105"/>
        </w:rPr>
        <w:t> pul- sioximetría y CTG: Tasa de cesáreas en los casos sin muestreo de sangre fetal previo</w:t>
      </w:r>
      <w:r>
        <w:rPr>
          <w:color w:val="231F1F"/>
          <w:spacing w:val="-7"/>
          <w:w w:val="105"/>
        </w:rPr>
        <w:t> </w:t>
      </w:r>
      <w:r>
        <w:rPr>
          <w:color w:val="231F1F"/>
          <w:w w:val="105"/>
        </w:rPr>
        <w:t>a</w:t>
      </w:r>
      <w:r>
        <w:rPr>
          <w:color w:val="231F1F"/>
          <w:spacing w:val="-7"/>
          <w:w w:val="105"/>
        </w:rPr>
        <w:t> </w:t>
      </w:r>
      <w:r>
        <w:rPr>
          <w:color w:val="231F1F"/>
          <w:w w:val="105"/>
        </w:rPr>
        <w:t>la</w:t>
      </w:r>
      <w:r>
        <w:rPr>
          <w:color w:val="231F1F"/>
          <w:spacing w:val="-7"/>
          <w:w w:val="105"/>
        </w:rPr>
        <w:t> </w:t>
      </w:r>
      <w:r>
        <w:rPr>
          <w:color w:val="231F1F"/>
          <w:w w:val="105"/>
        </w:rPr>
        <w:t>inclusión</w:t>
      </w:r>
      <w:r>
        <w:rPr>
          <w:color w:val="231F1F"/>
          <w:spacing w:val="-7"/>
          <w:w w:val="105"/>
        </w:rPr>
        <w:t> </w:t>
      </w:r>
      <w:r>
        <w:rPr>
          <w:color w:val="231F1F"/>
          <w:w w:val="105"/>
        </w:rPr>
        <w:t>en</w:t>
      </w:r>
      <w:r>
        <w:rPr>
          <w:color w:val="231F1F"/>
          <w:spacing w:val="-7"/>
          <w:w w:val="105"/>
        </w:rPr>
        <w:t> </w:t>
      </w:r>
      <w:r>
        <w:rPr>
          <w:color w:val="231F1F"/>
          <w:w w:val="105"/>
        </w:rPr>
        <w:t>el</w:t>
      </w:r>
      <w:r>
        <w:rPr>
          <w:color w:val="231F1F"/>
          <w:spacing w:val="-7"/>
          <w:w w:val="105"/>
        </w:rPr>
        <w:t> </w:t>
      </w:r>
      <w:r>
        <w:rPr>
          <w:color w:val="231F1F"/>
          <w:w w:val="105"/>
        </w:rPr>
        <w:t>estudio,</w:t>
      </w:r>
      <w:r>
        <w:rPr>
          <w:color w:val="231F1F"/>
          <w:spacing w:val="-6"/>
          <w:w w:val="105"/>
        </w:rPr>
        <w:t> </w:t>
      </w:r>
      <w:r>
        <w:rPr>
          <w:color w:val="231F1F"/>
          <w:w w:val="105"/>
        </w:rPr>
        <w:t>RR</w:t>
      </w:r>
      <w:r>
        <w:rPr>
          <w:color w:val="231F1F"/>
          <w:spacing w:val="-6"/>
          <w:w w:val="105"/>
        </w:rPr>
        <w:t> </w:t>
      </w:r>
      <w:r>
        <w:rPr>
          <w:color w:val="231F1F"/>
          <w:w w:val="105"/>
        </w:rPr>
        <w:t>0,68</w:t>
      </w:r>
      <w:r>
        <w:rPr>
          <w:color w:val="231F1F"/>
          <w:spacing w:val="-7"/>
          <w:w w:val="105"/>
        </w:rPr>
        <w:t> </w:t>
      </w:r>
      <w:r>
        <w:rPr>
          <w:color w:val="231F1F"/>
          <w:w w:val="105"/>
        </w:rPr>
        <w:t>[IC</w:t>
      </w:r>
      <w:r>
        <w:rPr>
          <w:color w:val="231F1F"/>
          <w:spacing w:val="-6"/>
          <w:w w:val="105"/>
        </w:rPr>
        <w:t> </w:t>
      </w:r>
      <w:r>
        <w:rPr>
          <w:color w:val="231F1F"/>
          <w:w w:val="105"/>
        </w:rPr>
        <w:t>95%</w:t>
      </w:r>
      <w:r>
        <w:rPr>
          <w:color w:val="231F1F"/>
          <w:spacing w:val="-6"/>
          <w:w w:val="105"/>
        </w:rPr>
        <w:t> </w:t>
      </w:r>
      <w:r>
        <w:rPr>
          <w:color w:val="231F1F"/>
          <w:w w:val="105"/>
        </w:rPr>
        <w:t>0,47</w:t>
      </w:r>
      <w:r>
        <w:rPr>
          <w:color w:val="231F1F"/>
          <w:spacing w:val="-7"/>
          <w:w w:val="105"/>
        </w:rPr>
        <w:t> </w:t>
      </w:r>
      <w:r>
        <w:rPr>
          <w:color w:val="231F1F"/>
          <w:w w:val="105"/>
        </w:rPr>
        <w:t>a</w:t>
      </w:r>
      <w:r>
        <w:rPr>
          <w:color w:val="231F1F"/>
          <w:spacing w:val="-7"/>
          <w:w w:val="105"/>
        </w:rPr>
        <w:t> </w:t>
      </w:r>
      <w:r>
        <w:rPr>
          <w:color w:val="231F1F"/>
          <w:w w:val="105"/>
        </w:rPr>
        <w:t>0,99]</w:t>
      </w:r>
      <w:r>
        <w:rPr>
          <w:color w:val="231F1F"/>
          <w:spacing w:val="-7"/>
          <w:w w:val="105"/>
        </w:rPr>
        <w:t> </w:t>
      </w:r>
      <w:r>
        <w:rPr>
          <w:color w:val="231F1F"/>
          <w:w w:val="105"/>
        </w:rPr>
        <w:t>y</w:t>
      </w:r>
      <w:r>
        <w:rPr>
          <w:color w:val="231F1F"/>
          <w:spacing w:val="-7"/>
          <w:w w:val="105"/>
        </w:rPr>
        <w:t> </w:t>
      </w:r>
      <w:r>
        <w:rPr>
          <w:color w:val="231F1F"/>
          <w:w w:val="105"/>
        </w:rPr>
        <w:t>en</w:t>
      </w:r>
      <w:r>
        <w:rPr>
          <w:color w:val="231F1F"/>
          <w:spacing w:val="-7"/>
          <w:w w:val="105"/>
        </w:rPr>
        <w:t> </w:t>
      </w:r>
      <w:r>
        <w:rPr>
          <w:color w:val="231F1F"/>
          <w:w w:val="105"/>
        </w:rPr>
        <w:t>los</w:t>
      </w:r>
      <w:r>
        <w:rPr>
          <w:color w:val="231F1F"/>
          <w:spacing w:val="-7"/>
          <w:w w:val="105"/>
        </w:rPr>
        <w:t> </w:t>
      </w:r>
      <w:r>
        <w:rPr>
          <w:color w:val="231F1F"/>
          <w:w w:val="105"/>
        </w:rPr>
        <w:t>casos con muestreo de sangre fetal requerido antes del ingreso al estudio RR</w:t>
      </w:r>
      <w:r>
        <w:rPr>
          <w:color w:val="231F1F"/>
          <w:w w:val="105"/>
        </w:rPr>
        <w:t> 0,03 [IC 95% 0.00 a 0,44].</w:t>
      </w:r>
    </w:p>
    <w:p>
      <w:pPr>
        <w:pStyle w:val="BodyText"/>
        <w:spacing w:line="254" w:lineRule="auto" w:before="184"/>
        <w:ind w:left="288" w:right="2" w:firstLine="453"/>
        <w:jc w:val="both"/>
      </w:pPr>
      <w:r>
        <w:rPr>
          <w:color w:val="231F1F"/>
        </w:rPr>
        <w:t>No</w:t>
      </w:r>
      <w:r>
        <w:rPr>
          <w:color w:val="231F1F"/>
          <w:spacing w:val="40"/>
        </w:rPr>
        <w:t> </w:t>
      </w:r>
      <w:r>
        <w:rPr>
          <w:color w:val="231F1F"/>
        </w:rPr>
        <w:t>se</w:t>
      </w:r>
      <w:r>
        <w:rPr>
          <w:color w:val="231F1F"/>
          <w:spacing w:val="40"/>
        </w:rPr>
        <w:t> </w:t>
      </w:r>
      <w:r>
        <w:rPr>
          <w:color w:val="231F1F"/>
        </w:rPr>
        <w:t>observaron</w:t>
      </w:r>
      <w:r>
        <w:rPr>
          <w:color w:val="231F1F"/>
          <w:spacing w:val="40"/>
        </w:rPr>
        <w:t> </w:t>
      </w:r>
      <w:r>
        <w:rPr>
          <w:color w:val="231F1F"/>
        </w:rPr>
        <w:t>diferencias</w:t>
      </w:r>
      <w:r>
        <w:rPr>
          <w:color w:val="231F1F"/>
          <w:spacing w:val="40"/>
        </w:rPr>
        <w:t> </w:t>
      </w:r>
      <w:r>
        <w:rPr>
          <w:color w:val="231F1F"/>
        </w:rPr>
        <w:t>significativas</w:t>
      </w:r>
      <w:r>
        <w:rPr>
          <w:color w:val="231F1F"/>
          <w:spacing w:val="40"/>
        </w:rPr>
        <w:t> </w:t>
      </w:r>
      <w:r>
        <w:rPr>
          <w:color w:val="231F1F"/>
        </w:rPr>
        <w:t>en</w:t>
      </w:r>
      <w:r>
        <w:rPr>
          <w:color w:val="231F1F"/>
          <w:spacing w:val="40"/>
        </w:rPr>
        <w:t> </w:t>
      </w:r>
      <w:r>
        <w:rPr>
          <w:color w:val="231F1F"/>
        </w:rPr>
        <w:t>los</w:t>
      </w:r>
      <w:r>
        <w:rPr>
          <w:color w:val="231F1F"/>
          <w:spacing w:val="40"/>
        </w:rPr>
        <w:t> </w:t>
      </w:r>
      <w:r>
        <w:rPr>
          <w:color w:val="231F1F"/>
        </w:rPr>
        <w:t>partos</w:t>
      </w:r>
      <w:r>
        <w:rPr>
          <w:color w:val="231F1F"/>
          <w:spacing w:val="40"/>
        </w:rPr>
        <w:t> </w:t>
      </w:r>
      <w:r>
        <w:rPr>
          <w:color w:val="231F1F"/>
        </w:rPr>
        <w:t>instrumentados </w:t>
      </w:r>
      <w:r>
        <w:rPr>
          <w:color w:val="231F1F"/>
          <w:w w:val="110"/>
        </w:rPr>
        <w:t>ni</w:t>
      </w:r>
      <w:r>
        <w:rPr>
          <w:color w:val="231F1F"/>
          <w:spacing w:val="-16"/>
          <w:w w:val="110"/>
        </w:rPr>
        <w:t> </w:t>
      </w:r>
      <w:r>
        <w:rPr>
          <w:color w:val="231F1F"/>
          <w:w w:val="110"/>
        </w:rPr>
        <w:t>en</w:t>
      </w:r>
      <w:r>
        <w:rPr>
          <w:color w:val="231F1F"/>
          <w:spacing w:val="-15"/>
          <w:w w:val="110"/>
        </w:rPr>
        <w:t> </w:t>
      </w:r>
      <w:r>
        <w:rPr>
          <w:color w:val="231F1F"/>
          <w:w w:val="110"/>
        </w:rPr>
        <w:t>las</w:t>
      </w:r>
      <w:r>
        <w:rPr>
          <w:color w:val="231F1F"/>
          <w:spacing w:val="-15"/>
          <w:w w:val="110"/>
        </w:rPr>
        <w:t> </w:t>
      </w:r>
      <w:r>
        <w:rPr>
          <w:color w:val="231F1F"/>
          <w:w w:val="110"/>
        </w:rPr>
        <w:t>cesáreas</w:t>
      </w:r>
      <w:r>
        <w:rPr>
          <w:color w:val="231F1F"/>
          <w:spacing w:val="-15"/>
          <w:w w:val="110"/>
        </w:rPr>
        <w:t> </w:t>
      </w:r>
      <w:r>
        <w:rPr>
          <w:color w:val="231F1F"/>
          <w:w w:val="110"/>
        </w:rPr>
        <w:t>por</w:t>
      </w:r>
      <w:r>
        <w:rPr>
          <w:color w:val="231F1F"/>
          <w:spacing w:val="-15"/>
          <w:w w:val="110"/>
        </w:rPr>
        <w:t> </w:t>
      </w:r>
      <w:r>
        <w:rPr>
          <w:color w:val="231F1F"/>
          <w:w w:val="110"/>
        </w:rPr>
        <w:t>distocia</w:t>
      </w:r>
      <w:r>
        <w:rPr>
          <w:color w:val="231F1F"/>
          <w:spacing w:val="-15"/>
          <w:w w:val="110"/>
        </w:rPr>
        <w:t> </w:t>
      </w:r>
      <w:r>
        <w:rPr>
          <w:color w:val="231F1F"/>
          <w:w w:val="110"/>
        </w:rPr>
        <w:t>cuando</w:t>
      </w:r>
      <w:r>
        <w:rPr>
          <w:color w:val="231F1F"/>
          <w:spacing w:val="-15"/>
          <w:w w:val="110"/>
        </w:rPr>
        <w:t> </w:t>
      </w:r>
      <w:r>
        <w:rPr>
          <w:color w:val="231F1F"/>
          <w:w w:val="110"/>
        </w:rPr>
        <w:t>se</w:t>
      </w:r>
      <w:r>
        <w:rPr>
          <w:color w:val="231F1F"/>
          <w:spacing w:val="-15"/>
          <w:w w:val="110"/>
        </w:rPr>
        <w:t> </w:t>
      </w:r>
      <w:r>
        <w:rPr>
          <w:color w:val="231F1F"/>
          <w:w w:val="110"/>
        </w:rPr>
        <w:t>realiza</w:t>
      </w:r>
      <w:r>
        <w:rPr>
          <w:color w:val="231F1F"/>
          <w:spacing w:val="-16"/>
          <w:w w:val="110"/>
        </w:rPr>
        <w:t> </w:t>
      </w:r>
      <w:r>
        <w:rPr>
          <w:color w:val="231F1F"/>
          <w:w w:val="110"/>
        </w:rPr>
        <w:t>pulsioximetría</w:t>
      </w:r>
      <w:r>
        <w:rPr>
          <w:color w:val="231F1F"/>
          <w:spacing w:val="-15"/>
          <w:w w:val="110"/>
        </w:rPr>
        <w:t> </w:t>
      </w:r>
      <w:r>
        <w:rPr>
          <w:color w:val="231F1F"/>
          <w:w w:val="110"/>
        </w:rPr>
        <w:t>y</w:t>
      </w:r>
      <w:r>
        <w:rPr>
          <w:color w:val="231F1F"/>
          <w:spacing w:val="-15"/>
          <w:w w:val="110"/>
        </w:rPr>
        <w:t> </w:t>
      </w:r>
      <w:r>
        <w:rPr>
          <w:color w:val="231F1F"/>
          <w:w w:val="110"/>
        </w:rPr>
        <w:t>CTG.</w:t>
      </w:r>
      <w:r>
        <w:rPr>
          <w:color w:val="231F1F"/>
          <w:spacing w:val="-15"/>
          <w:w w:val="110"/>
        </w:rPr>
        <w:t> </w:t>
      </w:r>
      <w:r>
        <w:rPr>
          <w:color w:val="231F1F"/>
          <w:w w:val="110"/>
        </w:rPr>
        <w:t>Tam- poco</w:t>
      </w:r>
      <w:r>
        <w:rPr>
          <w:color w:val="231F1F"/>
          <w:spacing w:val="-7"/>
          <w:w w:val="110"/>
        </w:rPr>
        <w:t> </w:t>
      </w:r>
      <w:r>
        <w:rPr>
          <w:color w:val="231F1F"/>
          <w:w w:val="110"/>
        </w:rPr>
        <w:t>se</w:t>
      </w:r>
      <w:r>
        <w:rPr>
          <w:color w:val="231F1F"/>
          <w:spacing w:val="-7"/>
          <w:w w:val="110"/>
        </w:rPr>
        <w:t> </w:t>
      </w:r>
      <w:r>
        <w:rPr>
          <w:color w:val="231F1F"/>
          <w:w w:val="110"/>
        </w:rPr>
        <w:t>observaron</w:t>
      </w:r>
      <w:r>
        <w:rPr>
          <w:color w:val="231F1F"/>
          <w:spacing w:val="-7"/>
          <w:w w:val="110"/>
        </w:rPr>
        <w:t> </w:t>
      </w:r>
      <w:r>
        <w:rPr>
          <w:color w:val="231F1F"/>
          <w:w w:val="110"/>
        </w:rPr>
        <w:t>diferencias</w:t>
      </w:r>
      <w:r>
        <w:rPr>
          <w:color w:val="231F1F"/>
          <w:spacing w:val="-8"/>
          <w:w w:val="110"/>
        </w:rPr>
        <w:t> </w:t>
      </w:r>
      <w:r>
        <w:rPr>
          <w:color w:val="231F1F"/>
          <w:w w:val="110"/>
        </w:rPr>
        <w:t>significativas</w:t>
      </w:r>
      <w:r>
        <w:rPr>
          <w:color w:val="231F1F"/>
          <w:spacing w:val="-8"/>
          <w:w w:val="110"/>
        </w:rPr>
        <w:t> </w:t>
      </w:r>
      <w:r>
        <w:rPr>
          <w:color w:val="231F1F"/>
          <w:w w:val="110"/>
        </w:rPr>
        <w:t>en</w:t>
      </w:r>
      <w:r>
        <w:rPr>
          <w:color w:val="231F1F"/>
          <w:spacing w:val="-7"/>
          <w:w w:val="110"/>
        </w:rPr>
        <w:t> </w:t>
      </w:r>
      <w:r>
        <w:rPr>
          <w:color w:val="231F1F"/>
          <w:w w:val="110"/>
        </w:rPr>
        <w:t>resultados</w:t>
      </w:r>
      <w:r>
        <w:rPr>
          <w:color w:val="231F1F"/>
          <w:spacing w:val="-7"/>
          <w:w w:val="110"/>
        </w:rPr>
        <w:t> </w:t>
      </w:r>
      <w:r>
        <w:rPr>
          <w:color w:val="231F1F"/>
          <w:w w:val="110"/>
        </w:rPr>
        <w:t>neonatales</w:t>
      </w:r>
      <w:r>
        <w:rPr>
          <w:color w:val="231F1F"/>
          <w:spacing w:val="-8"/>
          <w:w w:val="110"/>
        </w:rPr>
        <w:t> </w:t>
      </w:r>
      <w:r>
        <w:rPr>
          <w:color w:val="231F1F"/>
          <w:w w:val="110"/>
        </w:rPr>
        <w:t>ni</w:t>
      </w:r>
      <w:r>
        <w:rPr>
          <w:color w:val="231F1F"/>
          <w:spacing w:val="-7"/>
          <w:w w:val="110"/>
        </w:rPr>
        <w:t> </w:t>
      </w:r>
      <w:r>
        <w:rPr>
          <w:color w:val="231F1F"/>
          <w:w w:val="110"/>
        </w:rPr>
        <w:t>en la satisfacción materna.</w:t>
      </w:r>
    </w:p>
    <w:p>
      <w:pPr>
        <w:pStyle w:val="BodyText"/>
        <w:spacing w:line="256" w:lineRule="auto" w:before="56"/>
        <w:ind w:left="288" w:firstLine="453"/>
        <w:jc w:val="both"/>
      </w:pPr>
      <w:r>
        <w:rPr>
          <w:color w:val="231F1F"/>
        </w:rPr>
        <w:t>En resumen, la consistencia de la evidencia para esta pregunta viene dada </w:t>
      </w:r>
      <w:r>
        <w:rPr>
          <w:color w:val="231F1F"/>
          <w:w w:val="110"/>
        </w:rPr>
        <w:t>exclusivamente por esta RS de Cochrane. En ella se observa que los datos provienen</w:t>
      </w:r>
      <w:r>
        <w:rPr>
          <w:color w:val="231F1F"/>
          <w:spacing w:val="-13"/>
          <w:w w:val="110"/>
        </w:rPr>
        <w:t> </w:t>
      </w:r>
      <w:r>
        <w:rPr>
          <w:color w:val="231F1F"/>
          <w:w w:val="110"/>
        </w:rPr>
        <w:t>de</w:t>
      </w:r>
      <w:r>
        <w:rPr>
          <w:color w:val="231F1F"/>
          <w:spacing w:val="-13"/>
          <w:w w:val="110"/>
        </w:rPr>
        <w:t> </w:t>
      </w:r>
      <w:r>
        <w:rPr>
          <w:color w:val="231F1F"/>
          <w:w w:val="110"/>
        </w:rPr>
        <w:t>estudios</w:t>
      </w:r>
      <w:r>
        <w:rPr>
          <w:color w:val="231F1F"/>
          <w:spacing w:val="-13"/>
          <w:w w:val="110"/>
        </w:rPr>
        <w:t> </w:t>
      </w:r>
      <w:r>
        <w:rPr>
          <w:color w:val="231F1F"/>
          <w:w w:val="110"/>
        </w:rPr>
        <w:t>con</w:t>
      </w:r>
      <w:r>
        <w:rPr>
          <w:color w:val="231F1F"/>
          <w:spacing w:val="-13"/>
          <w:w w:val="110"/>
        </w:rPr>
        <w:t> </w:t>
      </w:r>
      <w:r>
        <w:rPr>
          <w:color w:val="231F1F"/>
          <w:w w:val="110"/>
        </w:rPr>
        <w:t>limitaciones</w:t>
      </w:r>
      <w:r>
        <w:rPr>
          <w:color w:val="231F1F"/>
          <w:spacing w:val="-13"/>
          <w:w w:val="110"/>
        </w:rPr>
        <w:t> </w:t>
      </w:r>
      <w:r>
        <w:rPr>
          <w:color w:val="231F1F"/>
          <w:w w:val="110"/>
        </w:rPr>
        <w:t>y</w:t>
      </w:r>
      <w:r>
        <w:rPr>
          <w:color w:val="231F1F"/>
          <w:spacing w:val="-13"/>
          <w:w w:val="110"/>
        </w:rPr>
        <w:t> </w:t>
      </w:r>
      <w:r>
        <w:rPr>
          <w:color w:val="231F1F"/>
          <w:w w:val="110"/>
        </w:rPr>
        <w:t>proporcionan</w:t>
      </w:r>
      <w:r>
        <w:rPr>
          <w:color w:val="231F1F"/>
          <w:spacing w:val="-14"/>
          <w:w w:val="110"/>
        </w:rPr>
        <w:t> </w:t>
      </w:r>
      <w:r>
        <w:rPr>
          <w:color w:val="231F1F"/>
          <w:w w:val="110"/>
        </w:rPr>
        <w:t>un</w:t>
      </w:r>
      <w:r>
        <w:rPr>
          <w:color w:val="231F1F"/>
          <w:spacing w:val="-13"/>
          <w:w w:val="110"/>
        </w:rPr>
        <w:t> </w:t>
      </w:r>
      <w:r>
        <w:rPr>
          <w:color w:val="231F1F"/>
          <w:w w:val="110"/>
        </w:rPr>
        <w:t>apoyo</w:t>
      </w:r>
      <w:r>
        <w:rPr>
          <w:color w:val="231F1F"/>
          <w:spacing w:val="-12"/>
          <w:w w:val="110"/>
        </w:rPr>
        <w:t> </w:t>
      </w:r>
      <w:r>
        <w:rPr>
          <w:color w:val="231F1F"/>
          <w:w w:val="110"/>
        </w:rPr>
        <w:t>limitado</w:t>
      </w:r>
      <w:r>
        <w:rPr>
          <w:color w:val="231F1F"/>
          <w:spacing w:val="-13"/>
          <w:w w:val="110"/>
        </w:rPr>
        <w:t> </w:t>
      </w:r>
      <w:r>
        <w:rPr>
          <w:color w:val="231F1F"/>
          <w:w w:val="110"/>
        </w:rPr>
        <w:t>al uso</w:t>
      </w:r>
      <w:r>
        <w:rPr>
          <w:color w:val="231F1F"/>
          <w:spacing w:val="-16"/>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pulsioximetría</w:t>
      </w:r>
      <w:r>
        <w:rPr>
          <w:color w:val="231F1F"/>
          <w:spacing w:val="-15"/>
          <w:w w:val="110"/>
        </w:rPr>
        <w:t> </w:t>
      </w:r>
      <w:r>
        <w:rPr>
          <w:color w:val="231F1F"/>
          <w:w w:val="110"/>
        </w:rPr>
        <w:t>fetal</w:t>
      </w:r>
      <w:r>
        <w:rPr>
          <w:color w:val="231F1F"/>
          <w:spacing w:val="-15"/>
          <w:w w:val="110"/>
        </w:rPr>
        <w:t> </w:t>
      </w:r>
      <w:r>
        <w:rPr>
          <w:color w:val="231F1F"/>
          <w:w w:val="110"/>
        </w:rPr>
        <w:t>cuando</w:t>
      </w:r>
      <w:r>
        <w:rPr>
          <w:color w:val="231F1F"/>
          <w:spacing w:val="-15"/>
          <w:w w:val="110"/>
        </w:rPr>
        <w:t> </w:t>
      </w:r>
      <w:r>
        <w:rPr>
          <w:color w:val="231F1F"/>
          <w:w w:val="110"/>
        </w:rPr>
        <w:t>ésta</w:t>
      </w:r>
      <w:r>
        <w:rPr>
          <w:color w:val="231F1F"/>
          <w:spacing w:val="-15"/>
          <w:w w:val="110"/>
        </w:rPr>
        <w:t> </w:t>
      </w:r>
      <w:r>
        <w:rPr>
          <w:color w:val="231F1F"/>
          <w:w w:val="110"/>
        </w:rPr>
        <w:t>se</w:t>
      </w:r>
      <w:r>
        <w:rPr>
          <w:color w:val="231F1F"/>
          <w:spacing w:val="-15"/>
          <w:w w:val="110"/>
        </w:rPr>
        <w:t> </w:t>
      </w:r>
      <w:r>
        <w:rPr>
          <w:color w:val="231F1F"/>
          <w:w w:val="110"/>
        </w:rPr>
        <w:t>utiliza</w:t>
      </w:r>
      <w:r>
        <w:rPr>
          <w:color w:val="231F1F"/>
          <w:spacing w:val="-16"/>
          <w:w w:val="110"/>
        </w:rPr>
        <w:t> </w:t>
      </w:r>
      <w:r>
        <w:rPr>
          <w:color w:val="231F1F"/>
          <w:w w:val="110"/>
        </w:rPr>
        <w:t>en</w:t>
      </w:r>
      <w:r>
        <w:rPr>
          <w:color w:val="231F1F"/>
          <w:spacing w:val="-15"/>
          <w:w w:val="110"/>
        </w:rPr>
        <w:t> </w:t>
      </w:r>
      <w:r>
        <w:rPr>
          <w:color w:val="231F1F"/>
          <w:w w:val="110"/>
        </w:rPr>
        <w:t>presencia</w:t>
      </w:r>
      <w:r>
        <w:rPr>
          <w:color w:val="231F1F"/>
          <w:spacing w:val="-15"/>
          <w:w w:val="110"/>
        </w:rPr>
        <w:t> </w:t>
      </w:r>
      <w:r>
        <w:rPr>
          <w:color w:val="231F1F"/>
          <w:w w:val="110"/>
        </w:rPr>
        <w:t>de</w:t>
      </w:r>
      <w:r>
        <w:rPr>
          <w:color w:val="231F1F"/>
          <w:spacing w:val="-15"/>
          <w:w w:val="110"/>
        </w:rPr>
        <w:t> </w:t>
      </w:r>
      <w:r>
        <w:rPr>
          <w:color w:val="231F1F"/>
          <w:w w:val="110"/>
        </w:rPr>
        <w:t>una</w:t>
      </w:r>
      <w:r>
        <w:rPr>
          <w:color w:val="231F1F"/>
          <w:spacing w:val="-15"/>
          <w:w w:val="110"/>
        </w:rPr>
        <w:t> </w:t>
      </w:r>
      <w:r>
        <w:rPr>
          <w:color w:val="231F1F"/>
          <w:w w:val="110"/>
        </w:rPr>
        <w:t>CTG para</w:t>
      </w:r>
      <w:r>
        <w:rPr>
          <w:color w:val="231F1F"/>
          <w:spacing w:val="-2"/>
          <w:w w:val="110"/>
        </w:rPr>
        <w:t> </w:t>
      </w:r>
      <w:r>
        <w:rPr>
          <w:color w:val="231F1F"/>
          <w:w w:val="110"/>
        </w:rPr>
        <w:t>reducir</w:t>
      </w:r>
      <w:r>
        <w:rPr>
          <w:color w:val="231F1F"/>
          <w:spacing w:val="-2"/>
          <w:w w:val="110"/>
        </w:rPr>
        <w:t> </w:t>
      </w:r>
      <w:r>
        <w:rPr>
          <w:color w:val="231F1F"/>
          <w:w w:val="110"/>
        </w:rPr>
        <w:t>la</w:t>
      </w:r>
      <w:r>
        <w:rPr>
          <w:color w:val="231F1F"/>
          <w:spacing w:val="-1"/>
          <w:w w:val="110"/>
        </w:rPr>
        <w:t> </w:t>
      </w:r>
      <w:r>
        <w:rPr>
          <w:color w:val="231F1F"/>
          <w:w w:val="110"/>
        </w:rPr>
        <w:t>cesárea</w:t>
      </w:r>
      <w:r>
        <w:rPr>
          <w:color w:val="231F1F"/>
          <w:spacing w:val="-2"/>
          <w:w w:val="110"/>
        </w:rPr>
        <w:t> </w:t>
      </w:r>
      <w:r>
        <w:rPr>
          <w:color w:val="231F1F"/>
          <w:w w:val="110"/>
        </w:rPr>
        <w:t>por</w:t>
      </w:r>
      <w:r>
        <w:rPr>
          <w:color w:val="231F1F"/>
          <w:spacing w:val="-1"/>
          <w:w w:val="110"/>
        </w:rPr>
        <w:t> </w:t>
      </w:r>
      <w:r>
        <w:rPr>
          <w:color w:val="231F1F"/>
          <w:w w:val="110"/>
        </w:rPr>
        <w:t>riesgo</w:t>
      </w:r>
      <w:r>
        <w:rPr>
          <w:color w:val="231F1F"/>
          <w:spacing w:val="-2"/>
          <w:w w:val="110"/>
        </w:rPr>
        <w:t> </w:t>
      </w:r>
      <w:r>
        <w:rPr>
          <w:color w:val="231F1F"/>
          <w:w w:val="110"/>
        </w:rPr>
        <w:t>de</w:t>
      </w:r>
      <w:r>
        <w:rPr>
          <w:color w:val="231F1F"/>
          <w:spacing w:val="-1"/>
          <w:w w:val="110"/>
        </w:rPr>
        <w:t> </w:t>
      </w:r>
      <w:r>
        <w:rPr>
          <w:color w:val="231F1F"/>
          <w:w w:val="110"/>
        </w:rPr>
        <w:t>pérdida</w:t>
      </w:r>
      <w:r>
        <w:rPr>
          <w:color w:val="231F1F"/>
          <w:spacing w:val="-2"/>
          <w:w w:val="110"/>
        </w:rPr>
        <w:t> </w:t>
      </w:r>
      <w:r>
        <w:rPr>
          <w:color w:val="231F1F"/>
          <w:w w:val="110"/>
        </w:rPr>
        <w:t>del</w:t>
      </w:r>
      <w:r>
        <w:rPr>
          <w:color w:val="231F1F"/>
          <w:spacing w:val="-2"/>
          <w:w w:val="110"/>
        </w:rPr>
        <w:t> </w:t>
      </w:r>
      <w:r>
        <w:rPr>
          <w:color w:val="231F1F"/>
          <w:w w:val="110"/>
        </w:rPr>
        <w:t>bienestar</w:t>
      </w:r>
      <w:r>
        <w:rPr>
          <w:color w:val="231F1F"/>
          <w:spacing w:val="-2"/>
          <w:w w:val="110"/>
        </w:rPr>
        <w:t> </w:t>
      </w:r>
      <w:r>
        <w:rPr>
          <w:color w:val="231F1F"/>
          <w:w w:val="110"/>
        </w:rPr>
        <w:t>fetal.</w:t>
      </w:r>
      <w:r>
        <w:rPr>
          <w:color w:val="231F1F"/>
          <w:spacing w:val="-2"/>
          <w:w w:val="110"/>
        </w:rPr>
        <w:t> </w:t>
      </w:r>
      <w:r>
        <w:rPr>
          <w:color w:val="231F1F"/>
          <w:w w:val="110"/>
        </w:rPr>
        <w:t>Además</w:t>
      </w:r>
      <w:r>
        <w:rPr>
          <w:color w:val="231F1F"/>
          <w:spacing w:val="-1"/>
          <w:w w:val="110"/>
        </w:rPr>
        <w:t> </w:t>
      </w:r>
      <w:r>
        <w:rPr>
          <w:color w:val="231F1F"/>
          <w:w w:val="110"/>
        </w:rPr>
        <w:t>se</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2"/>
        <w:rPr>
          <w:sz w:val="18"/>
        </w:rPr>
      </w:pPr>
    </w:p>
    <w:p>
      <w:pPr>
        <w:spacing w:line="278" w:lineRule="auto" w:before="0"/>
        <w:ind w:left="557" w:right="146" w:hanging="431"/>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Ia</w:t>
      </w:r>
    </w:p>
    <w:p>
      <w:pPr>
        <w:pStyle w:val="BodyText"/>
        <w:rPr>
          <w:rFonts w:ascii="Arial MT"/>
          <w:sz w:val="18"/>
        </w:rPr>
      </w:pPr>
    </w:p>
    <w:p>
      <w:pPr>
        <w:pStyle w:val="BodyText"/>
        <w:rPr>
          <w:rFonts w:ascii="Arial MT"/>
          <w:sz w:val="18"/>
        </w:rPr>
      </w:pPr>
    </w:p>
    <w:p>
      <w:pPr>
        <w:pStyle w:val="BodyText"/>
        <w:spacing w:before="113"/>
        <w:rPr>
          <w:rFonts w:ascii="Arial MT"/>
          <w:sz w:val="18"/>
        </w:rPr>
      </w:pPr>
    </w:p>
    <w:p>
      <w:pPr>
        <w:spacing w:line="278" w:lineRule="auto" w:before="1"/>
        <w:ind w:left="557" w:right="146" w:hanging="431"/>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Ia</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8"/>
        <w:rPr>
          <w:rFonts w:ascii="Arial MT"/>
          <w:sz w:val="18"/>
        </w:rPr>
      </w:pPr>
    </w:p>
    <w:p>
      <w:pPr>
        <w:spacing w:line="273" w:lineRule="auto" w:before="0"/>
        <w:ind w:left="557" w:right="146" w:hanging="431"/>
        <w:jc w:val="left"/>
        <w:rPr>
          <w:rFonts w:ascii="Arial MT"/>
          <w:sz w:val="18"/>
        </w:rPr>
      </w:pPr>
      <w:r>
        <w:rPr>
          <w:rFonts w:ascii="Arial MT"/>
          <w:color w:val="231F1F"/>
          <w:spacing w:val="-4"/>
          <w:sz w:val="18"/>
        </w:rPr>
        <w:t>RS</w:t>
      </w:r>
      <w:r>
        <w:rPr>
          <w:rFonts w:ascii="Arial MT"/>
          <w:color w:val="231F1F"/>
          <w:spacing w:val="-23"/>
          <w:sz w:val="18"/>
        </w:rPr>
        <w:t> </w:t>
      </w:r>
      <w:r>
        <w:rPr>
          <w:rFonts w:ascii="Arial MT"/>
          <w:color w:val="231F1F"/>
          <w:spacing w:val="-4"/>
          <w:sz w:val="18"/>
        </w:rPr>
        <w:t>de</w:t>
      </w:r>
      <w:r>
        <w:rPr>
          <w:rFonts w:ascii="Arial MT"/>
          <w:color w:val="231F1F"/>
          <w:spacing w:val="-18"/>
          <w:sz w:val="18"/>
        </w:rPr>
        <w:t> </w:t>
      </w:r>
      <w:r>
        <w:rPr>
          <w:rFonts w:ascii="Arial MT"/>
          <w:color w:val="231F1F"/>
          <w:spacing w:val="-4"/>
          <w:sz w:val="18"/>
        </w:rPr>
        <w:t>ECAs </w:t>
      </w:r>
      <w:r>
        <w:rPr>
          <w:rFonts w:ascii="Arial MT"/>
          <w:color w:val="231F1F"/>
          <w:spacing w:val="-6"/>
          <w:sz w:val="18"/>
        </w:rPr>
        <w:t>Ia</w:t>
      </w:r>
    </w:p>
    <w:p>
      <w:pPr>
        <w:spacing w:after="0" w:line="273" w:lineRule="auto"/>
        <w:jc w:val="left"/>
        <w:rPr>
          <w:rFonts w:ascii="Arial MT"/>
          <w:sz w:val="18"/>
        </w:rPr>
        <w:sectPr>
          <w:type w:val="continuous"/>
          <w:pgSz w:w="11900" w:h="16840"/>
          <w:pgMar w:header="0" w:footer="622" w:top="560" w:bottom="280" w:left="1417" w:right="1559"/>
          <w:cols w:num="2" w:equalWidth="0">
            <w:col w:w="7556" w:space="40"/>
            <w:col w:w="1328"/>
          </w:cols>
        </w:sectPr>
      </w:pPr>
    </w:p>
    <w:p>
      <w:pPr>
        <w:pStyle w:val="BodyText"/>
        <w:spacing w:line="244" w:lineRule="auto" w:before="73"/>
        <w:ind w:left="283" w:right="1386"/>
      </w:pPr>
      <w:r>
        <w:rPr>
          <w:color w:val="231F1F"/>
          <w:w w:val="110"/>
        </w:rPr>
        <w:t>observó,</w:t>
      </w:r>
      <w:r>
        <w:rPr>
          <w:color w:val="231F1F"/>
          <w:spacing w:val="-15"/>
          <w:w w:val="110"/>
        </w:rPr>
        <w:t> </w:t>
      </w:r>
      <w:r>
        <w:rPr>
          <w:color w:val="231F1F"/>
          <w:w w:val="110"/>
        </w:rPr>
        <w:t>que</w:t>
      </w:r>
      <w:r>
        <w:rPr>
          <w:color w:val="231F1F"/>
          <w:spacing w:val="-14"/>
          <w:w w:val="110"/>
        </w:rPr>
        <w:t> </w:t>
      </w:r>
      <w:r>
        <w:rPr>
          <w:color w:val="231F1F"/>
          <w:w w:val="110"/>
        </w:rPr>
        <w:t>agregar</w:t>
      </w:r>
      <w:r>
        <w:rPr>
          <w:color w:val="231F1F"/>
          <w:spacing w:val="-14"/>
          <w:w w:val="110"/>
        </w:rPr>
        <w:t> </w:t>
      </w:r>
      <w:r>
        <w:rPr>
          <w:color w:val="231F1F"/>
          <w:w w:val="110"/>
        </w:rPr>
        <w:t>la</w:t>
      </w:r>
      <w:r>
        <w:rPr>
          <w:color w:val="231F1F"/>
          <w:spacing w:val="-14"/>
          <w:w w:val="110"/>
        </w:rPr>
        <w:t> </w:t>
      </w:r>
      <w:r>
        <w:rPr>
          <w:color w:val="231F1F"/>
          <w:w w:val="110"/>
        </w:rPr>
        <w:t>pulsioximetría</w:t>
      </w:r>
      <w:r>
        <w:rPr>
          <w:color w:val="231F1F"/>
          <w:spacing w:val="-14"/>
          <w:w w:val="110"/>
        </w:rPr>
        <w:t> </w:t>
      </w:r>
      <w:r>
        <w:rPr>
          <w:color w:val="231F1F"/>
          <w:w w:val="110"/>
        </w:rPr>
        <w:t>fetal</w:t>
      </w:r>
      <w:r>
        <w:rPr>
          <w:color w:val="231F1F"/>
          <w:spacing w:val="-14"/>
          <w:w w:val="110"/>
        </w:rPr>
        <w:t> </w:t>
      </w:r>
      <w:r>
        <w:rPr>
          <w:color w:val="231F1F"/>
          <w:w w:val="110"/>
        </w:rPr>
        <w:t>a</w:t>
      </w:r>
      <w:r>
        <w:rPr>
          <w:color w:val="231F1F"/>
          <w:spacing w:val="-14"/>
          <w:w w:val="110"/>
        </w:rPr>
        <w:t> </w:t>
      </w:r>
      <w:r>
        <w:rPr>
          <w:color w:val="231F1F"/>
          <w:w w:val="110"/>
        </w:rPr>
        <w:t>la</w:t>
      </w:r>
      <w:r>
        <w:rPr>
          <w:color w:val="231F1F"/>
          <w:spacing w:val="-14"/>
          <w:w w:val="110"/>
        </w:rPr>
        <w:t> </w:t>
      </w:r>
      <w:r>
        <w:rPr>
          <w:color w:val="231F1F"/>
          <w:w w:val="110"/>
        </w:rPr>
        <w:t>CTG</w:t>
      </w:r>
      <w:r>
        <w:rPr>
          <w:color w:val="231F1F"/>
          <w:spacing w:val="-14"/>
          <w:w w:val="110"/>
        </w:rPr>
        <w:t> </w:t>
      </w:r>
      <w:r>
        <w:rPr>
          <w:color w:val="231F1F"/>
          <w:w w:val="110"/>
        </w:rPr>
        <w:t>anómala,</w:t>
      </w:r>
      <w:r>
        <w:rPr>
          <w:color w:val="231F1F"/>
          <w:spacing w:val="-15"/>
          <w:w w:val="110"/>
        </w:rPr>
        <w:t> </w:t>
      </w:r>
      <w:r>
        <w:rPr>
          <w:color w:val="231F1F"/>
          <w:w w:val="110"/>
        </w:rPr>
        <w:t>no</w:t>
      </w:r>
      <w:r>
        <w:rPr>
          <w:color w:val="231F1F"/>
          <w:spacing w:val="-14"/>
          <w:w w:val="110"/>
        </w:rPr>
        <w:t> </w:t>
      </w:r>
      <w:r>
        <w:rPr>
          <w:color w:val="231F1F"/>
          <w:w w:val="110"/>
        </w:rPr>
        <w:t>reduce</w:t>
      </w:r>
      <w:r>
        <w:rPr>
          <w:color w:val="231F1F"/>
          <w:spacing w:val="-14"/>
          <w:w w:val="110"/>
        </w:rPr>
        <w:t> </w:t>
      </w:r>
      <w:r>
        <w:rPr>
          <w:color w:val="231F1F"/>
          <w:w w:val="110"/>
        </w:rPr>
        <w:t>la tasa general de cesáreas.</w:t>
      </w:r>
    </w:p>
    <w:p>
      <w:pPr>
        <w:pStyle w:val="BodyText"/>
        <w:spacing w:line="252" w:lineRule="auto" w:before="141"/>
        <w:ind w:left="283" w:right="1370" w:firstLine="453"/>
        <w:jc w:val="both"/>
      </w:pPr>
      <w:r>
        <w:rPr>
          <w:color w:val="231F1F"/>
          <w:w w:val="110"/>
        </w:rPr>
        <w:t>El</w:t>
      </w:r>
      <w:r>
        <w:rPr>
          <w:color w:val="231F1F"/>
          <w:spacing w:val="-2"/>
          <w:w w:val="110"/>
        </w:rPr>
        <w:t> </w:t>
      </w:r>
      <w:r>
        <w:rPr>
          <w:color w:val="231F1F"/>
          <w:w w:val="110"/>
        </w:rPr>
        <w:t>grupo</w:t>
      </w:r>
      <w:r>
        <w:rPr>
          <w:color w:val="231F1F"/>
          <w:spacing w:val="-1"/>
          <w:w w:val="110"/>
        </w:rPr>
        <w:t> </w:t>
      </w:r>
      <w:r>
        <w:rPr>
          <w:color w:val="231F1F"/>
          <w:w w:val="110"/>
        </w:rPr>
        <w:t>elaborador</w:t>
      </w:r>
      <w:r>
        <w:rPr>
          <w:color w:val="231F1F"/>
          <w:spacing w:val="-1"/>
          <w:w w:val="110"/>
        </w:rPr>
        <w:t> </w:t>
      </w:r>
      <w:r>
        <w:rPr>
          <w:color w:val="231F1F"/>
          <w:w w:val="110"/>
        </w:rPr>
        <w:t>de</w:t>
      </w:r>
      <w:r>
        <w:rPr>
          <w:color w:val="231F1F"/>
          <w:spacing w:val="-1"/>
          <w:w w:val="110"/>
        </w:rPr>
        <w:t> </w:t>
      </w:r>
      <w:r>
        <w:rPr>
          <w:color w:val="231F1F"/>
          <w:w w:val="110"/>
        </w:rPr>
        <w:t>la</w:t>
      </w:r>
      <w:r>
        <w:rPr>
          <w:color w:val="231F1F"/>
          <w:spacing w:val="-1"/>
          <w:w w:val="110"/>
        </w:rPr>
        <w:t> </w:t>
      </w:r>
      <w:r>
        <w:rPr>
          <w:color w:val="231F1F"/>
          <w:w w:val="110"/>
        </w:rPr>
        <w:t>guía</w:t>
      </w:r>
      <w:r>
        <w:rPr>
          <w:color w:val="231F1F"/>
          <w:spacing w:val="-1"/>
          <w:w w:val="110"/>
        </w:rPr>
        <w:t> </w:t>
      </w:r>
      <w:r>
        <w:rPr>
          <w:color w:val="231F1F"/>
          <w:w w:val="110"/>
        </w:rPr>
        <w:t>considera</w:t>
      </w:r>
      <w:r>
        <w:rPr>
          <w:color w:val="231F1F"/>
          <w:spacing w:val="-1"/>
          <w:w w:val="110"/>
        </w:rPr>
        <w:t> </w:t>
      </w:r>
      <w:r>
        <w:rPr>
          <w:color w:val="231F1F"/>
          <w:w w:val="110"/>
        </w:rPr>
        <w:t>que</w:t>
      </w:r>
      <w:r>
        <w:rPr>
          <w:color w:val="231F1F"/>
          <w:spacing w:val="-2"/>
          <w:w w:val="110"/>
        </w:rPr>
        <w:t> </w:t>
      </w:r>
      <w:r>
        <w:rPr>
          <w:color w:val="231F1F"/>
          <w:w w:val="110"/>
        </w:rPr>
        <w:t>la</w:t>
      </w:r>
      <w:r>
        <w:rPr>
          <w:color w:val="231F1F"/>
          <w:spacing w:val="-1"/>
          <w:w w:val="110"/>
        </w:rPr>
        <w:t> </w:t>
      </w:r>
      <w:r>
        <w:rPr>
          <w:color w:val="231F1F"/>
          <w:w w:val="110"/>
        </w:rPr>
        <w:t>evidencia</w:t>
      </w:r>
      <w:r>
        <w:rPr>
          <w:color w:val="231F1F"/>
          <w:spacing w:val="-2"/>
          <w:w w:val="110"/>
        </w:rPr>
        <w:t> </w:t>
      </w:r>
      <w:r>
        <w:rPr>
          <w:color w:val="231F1F"/>
          <w:w w:val="110"/>
        </w:rPr>
        <w:t>proporciona un</w:t>
      </w:r>
      <w:r>
        <w:rPr>
          <w:color w:val="231F1F"/>
          <w:spacing w:val="-9"/>
          <w:w w:val="110"/>
        </w:rPr>
        <w:t> </w:t>
      </w:r>
      <w:r>
        <w:rPr>
          <w:color w:val="231F1F"/>
          <w:w w:val="110"/>
        </w:rPr>
        <w:t>apoyo</w:t>
      </w:r>
      <w:r>
        <w:rPr>
          <w:color w:val="231F1F"/>
          <w:spacing w:val="-9"/>
          <w:w w:val="110"/>
        </w:rPr>
        <w:t> </w:t>
      </w:r>
      <w:r>
        <w:rPr>
          <w:color w:val="231F1F"/>
          <w:w w:val="110"/>
        </w:rPr>
        <w:t>limitado</w:t>
      </w:r>
      <w:r>
        <w:rPr>
          <w:color w:val="231F1F"/>
          <w:spacing w:val="-9"/>
          <w:w w:val="110"/>
        </w:rPr>
        <w:t> </w:t>
      </w:r>
      <w:r>
        <w:rPr>
          <w:color w:val="231F1F"/>
          <w:w w:val="110"/>
        </w:rPr>
        <w:t>al</w:t>
      </w:r>
      <w:r>
        <w:rPr>
          <w:color w:val="231F1F"/>
          <w:spacing w:val="-10"/>
          <w:w w:val="110"/>
        </w:rPr>
        <w:t> </w:t>
      </w:r>
      <w:r>
        <w:rPr>
          <w:color w:val="231F1F"/>
          <w:w w:val="110"/>
        </w:rPr>
        <w:t>uso</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pulsioximetría</w:t>
      </w:r>
      <w:r>
        <w:rPr>
          <w:color w:val="231F1F"/>
          <w:spacing w:val="-9"/>
          <w:w w:val="110"/>
        </w:rPr>
        <w:t> </w:t>
      </w:r>
      <w:r>
        <w:rPr>
          <w:color w:val="231F1F"/>
          <w:w w:val="110"/>
        </w:rPr>
        <w:t>en</w:t>
      </w:r>
      <w:r>
        <w:rPr>
          <w:color w:val="231F1F"/>
          <w:spacing w:val="-9"/>
          <w:w w:val="110"/>
        </w:rPr>
        <w:t> </w:t>
      </w:r>
      <w:r>
        <w:rPr>
          <w:color w:val="231F1F"/>
          <w:w w:val="110"/>
        </w:rPr>
        <w:t>presencia</w:t>
      </w:r>
      <w:r>
        <w:rPr>
          <w:color w:val="231F1F"/>
          <w:spacing w:val="-9"/>
          <w:w w:val="110"/>
        </w:rPr>
        <w:t> </w:t>
      </w:r>
      <w:r>
        <w:rPr>
          <w:color w:val="231F1F"/>
          <w:w w:val="110"/>
        </w:rPr>
        <w:t>de</w:t>
      </w:r>
      <w:r>
        <w:rPr>
          <w:color w:val="231F1F"/>
          <w:spacing w:val="-9"/>
          <w:w w:val="110"/>
        </w:rPr>
        <w:t> </w:t>
      </w:r>
      <w:r>
        <w:rPr>
          <w:color w:val="231F1F"/>
          <w:w w:val="110"/>
        </w:rPr>
        <w:t>una</w:t>
      </w:r>
      <w:r>
        <w:rPr>
          <w:color w:val="231F1F"/>
          <w:spacing w:val="-9"/>
          <w:w w:val="110"/>
        </w:rPr>
        <w:t> </w:t>
      </w:r>
      <w:r>
        <w:rPr>
          <w:color w:val="231F1F"/>
          <w:w w:val="110"/>
        </w:rPr>
        <w:t>CTG</w:t>
      </w:r>
      <w:r>
        <w:rPr>
          <w:color w:val="231F1F"/>
          <w:spacing w:val="-8"/>
          <w:w w:val="110"/>
        </w:rPr>
        <w:t> </w:t>
      </w:r>
      <w:r>
        <w:rPr>
          <w:color w:val="231F1F"/>
          <w:w w:val="110"/>
        </w:rPr>
        <w:t>des- alentadora,</w:t>
      </w:r>
      <w:r>
        <w:rPr>
          <w:color w:val="231F1F"/>
          <w:spacing w:val="-12"/>
          <w:w w:val="110"/>
        </w:rPr>
        <w:t> </w:t>
      </w:r>
      <w:r>
        <w:rPr>
          <w:color w:val="231F1F"/>
          <w:w w:val="110"/>
        </w:rPr>
        <w:t>como</w:t>
      </w:r>
      <w:r>
        <w:rPr>
          <w:color w:val="231F1F"/>
          <w:spacing w:val="-12"/>
          <w:w w:val="110"/>
        </w:rPr>
        <w:t> </w:t>
      </w:r>
      <w:r>
        <w:rPr>
          <w:color w:val="231F1F"/>
          <w:w w:val="110"/>
        </w:rPr>
        <w:t>para</w:t>
      </w:r>
      <w:r>
        <w:rPr>
          <w:color w:val="231F1F"/>
          <w:spacing w:val="-12"/>
          <w:w w:val="110"/>
        </w:rPr>
        <w:t> </w:t>
      </w:r>
      <w:r>
        <w:rPr>
          <w:color w:val="231F1F"/>
          <w:w w:val="110"/>
        </w:rPr>
        <w:t>recomendar</w:t>
      </w:r>
      <w:r>
        <w:rPr>
          <w:color w:val="231F1F"/>
          <w:spacing w:val="-12"/>
          <w:w w:val="110"/>
        </w:rPr>
        <w:t> </w:t>
      </w:r>
      <w:r>
        <w:rPr>
          <w:color w:val="231F1F"/>
          <w:w w:val="110"/>
        </w:rPr>
        <w:t>el</w:t>
      </w:r>
      <w:r>
        <w:rPr>
          <w:color w:val="231F1F"/>
          <w:spacing w:val="-12"/>
          <w:w w:val="110"/>
        </w:rPr>
        <w:t> </w:t>
      </w:r>
      <w:r>
        <w:rPr>
          <w:color w:val="231F1F"/>
          <w:w w:val="110"/>
        </w:rPr>
        <w:t>uso</w:t>
      </w:r>
      <w:r>
        <w:rPr>
          <w:color w:val="231F1F"/>
          <w:spacing w:val="-12"/>
          <w:w w:val="110"/>
        </w:rPr>
        <w:t> </w:t>
      </w:r>
      <w:r>
        <w:rPr>
          <w:color w:val="231F1F"/>
          <w:w w:val="110"/>
        </w:rPr>
        <w:t>rutinario</w:t>
      </w:r>
      <w:r>
        <w:rPr>
          <w:color w:val="231F1F"/>
          <w:spacing w:val="-11"/>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pulsioximetría</w:t>
      </w:r>
      <w:r>
        <w:rPr>
          <w:color w:val="231F1F"/>
          <w:spacing w:val="-12"/>
          <w:w w:val="110"/>
        </w:rPr>
        <w:t> </w:t>
      </w:r>
      <w:r>
        <w:rPr>
          <w:color w:val="231F1F"/>
          <w:w w:val="110"/>
        </w:rPr>
        <w:t>fetal </w:t>
      </w:r>
      <w:r>
        <w:rPr>
          <w:color w:val="231F1F"/>
        </w:rPr>
        <w:t>y,</w:t>
      </w:r>
      <w:r>
        <w:rPr>
          <w:color w:val="231F1F"/>
          <w:spacing w:val="34"/>
        </w:rPr>
        <w:t> </w:t>
      </w:r>
      <w:r>
        <w:rPr>
          <w:color w:val="231F1F"/>
        </w:rPr>
        <w:t>debido</w:t>
      </w:r>
      <w:r>
        <w:rPr>
          <w:color w:val="231F1F"/>
          <w:spacing w:val="33"/>
        </w:rPr>
        <w:t> </w:t>
      </w:r>
      <w:r>
        <w:rPr>
          <w:color w:val="231F1F"/>
        </w:rPr>
        <w:t>a</w:t>
      </w:r>
      <w:r>
        <w:rPr>
          <w:color w:val="231F1F"/>
          <w:spacing w:val="33"/>
        </w:rPr>
        <w:t> </w:t>
      </w:r>
      <w:r>
        <w:rPr>
          <w:color w:val="231F1F"/>
        </w:rPr>
        <w:t>las</w:t>
      </w:r>
      <w:r>
        <w:rPr>
          <w:color w:val="231F1F"/>
          <w:spacing w:val="34"/>
        </w:rPr>
        <w:t> </w:t>
      </w:r>
      <w:r>
        <w:rPr>
          <w:color w:val="231F1F"/>
        </w:rPr>
        <w:t>limitaciones</w:t>
      </w:r>
      <w:r>
        <w:rPr>
          <w:color w:val="231F1F"/>
          <w:spacing w:val="35"/>
        </w:rPr>
        <w:t> </w:t>
      </w:r>
      <w:r>
        <w:rPr>
          <w:color w:val="231F1F"/>
        </w:rPr>
        <w:t>metodológicas</w:t>
      </w:r>
      <w:r>
        <w:rPr>
          <w:color w:val="231F1F"/>
          <w:spacing w:val="34"/>
        </w:rPr>
        <w:t> </w:t>
      </w:r>
      <w:r>
        <w:rPr>
          <w:color w:val="231F1F"/>
        </w:rPr>
        <w:t>de</w:t>
      </w:r>
      <w:r>
        <w:rPr>
          <w:color w:val="231F1F"/>
          <w:spacing w:val="33"/>
        </w:rPr>
        <w:t> </w:t>
      </w:r>
      <w:r>
        <w:rPr>
          <w:color w:val="231F1F"/>
        </w:rPr>
        <w:t>los</w:t>
      </w:r>
      <w:r>
        <w:rPr>
          <w:color w:val="231F1F"/>
          <w:spacing w:val="34"/>
        </w:rPr>
        <w:t> </w:t>
      </w:r>
      <w:r>
        <w:rPr>
          <w:color w:val="231F1F"/>
        </w:rPr>
        <w:t>ensayos,</w:t>
      </w:r>
      <w:r>
        <w:rPr>
          <w:color w:val="231F1F"/>
          <w:spacing w:val="34"/>
        </w:rPr>
        <w:t> </w:t>
      </w:r>
      <w:r>
        <w:rPr>
          <w:color w:val="231F1F"/>
        </w:rPr>
        <w:t>se</w:t>
      </w:r>
      <w:r>
        <w:rPr>
          <w:color w:val="231F1F"/>
          <w:spacing w:val="33"/>
        </w:rPr>
        <w:t> </w:t>
      </w:r>
      <w:r>
        <w:rPr>
          <w:color w:val="231F1F"/>
        </w:rPr>
        <w:t>reduce</w:t>
      </w:r>
      <w:r>
        <w:rPr>
          <w:color w:val="231F1F"/>
          <w:spacing w:val="34"/>
        </w:rPr>
        <w:t> </w:t>
      </w:r>
      <w:r>
        <w:rPr>
          <w:color w:val="231F1F"/>
        </w:rPr>
        <w:t>la</w:t>
      </w:r>
      <w:r>
        <w:rPr>
          <w:color w:val="231F1F"/>
          <w:spacing w:val="33"/>
        </w:rPr>
        <w:t> </w:t>
      </w:r>
      <w:r>
        <w:rPr>
          <w:color w:val="231F1F"/>
        </w:rPr>
        <w:t>fuerza </w:t>
      </w:r>
      <w:r>
        <w:rPr>
          <w:color w:val="231F1F"/>
          <w:w w:val="110"/>
        </w:rPr>
        <w:t>de la recomendación.</w:t>
      </w:r>
    </w:p>
    <w:p>
      <w:pPr>
        <w:pStyle w:val="BodyText"/>
        <w:spacing w:before="151"/>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66" w:lineRule="auto" w:before="53"/>
              <w:ind w:right="155"/>
              <w:jc w:val="both"/>
              <w:rPr>
                <w:sz w:val="22"/>
              </w:rPr>
            </w:pPr>
            <w:r>
              <w:rPr>
                <w:color w:val="231F1F"/>
                <w:sz w:val="22"/>
              </w:rPr>
              <w:t>La</w:t>
            </w:r>
            <w:r>
              <w:rPr>
                <w:color w:val="231F1F"/>
                <w:spacing w:val="30"/>
                <w:sz w:val="22"/>
              </w:rPr>
              <w:t> </w:t>
            </w:r>
            <w:r>
              <w:rPr>
                <w:color w:val="231F1F"/>
                <w:sz w:val="22"/>
              </w:rPr>
              <w:t>evidencia</w:t>
            </w:r>
            <w:r>
              <w:rPr>
                <w:color w:val="231F1F"/>
                <w:spacing w:val="29"/>
                <w:sz w:val="22"/>
              </w:rPr>
              <w:t> </w:t>
            </w:r>
            <w:r>
              <w:rPr>
                <w:color w:val="231F1F"/>
                <w:sz w:val="22"/>
              </w:rPr>
              <w:t>proporciona</w:t>
            </w:r>
            <w:r>
              <w:rPr>
                <w:color w:val="231F1F"/>
                <w:spacing w:val="29"/>
                <w:sz w:val="22"/>
              </w:rPr>
              <w:t> </w:t>
            </w:r>
            <w:r>
              <w:rPr>
                <w:color w:val="231F1F"/>
                <w:sz w:val="22"/>
              </w:rPr>
              <w:t>un</w:t>
            </w:r>
            <w:r>
              <w:rPr>
                <w:color w:val="231F1F"/>
                <w:spacing w:val="30"/>
                <w:sz w:val="22"/>
              </w:rPr>
              <w:t> </w:t>
            </w:r>
            <w:r>
              <w:rPr>
                <w:color w:val="231F1F"/>
                <w:sz w:val="22"/>
              </w:rPr>
              <w:t>apoyo</w:t>
            </w:r>
            <w:r>
              <w:rPr>
                <w:color w:val="231F1F"/>
                <w:spacing w:val="30"/>
                <w:sz w:val="22"/>
              </w:rPr>
              <w:t> </w:t>
            </w:r>
            <w:r>
              <w:rPr>
                <w:color w:val="231F1F"/>
                <w:sz w:val="22"/>
              </w:rPr>
              <w:t>limitado</w:t>
            </w:r>
            <w:r>
              <w:rPr>
                <w:color w:val="231F1F"/>
                <w:spacing w:val="30"/>
                <w:sz w:val="22"/>
              </w:rPr>
              <w:t> </w:t>
            </w:r>
            <w:r>
              <w:rPr>
                <w:color w:val="231F1F"/>
                <w:sz w:val="22"/>
              </w:rPr>
              <w:t>al</w:t>
            </w:r>
            <w:r>
              <w:rPr>
                <w:color w:val="231F1F"/>
                <w:spacing w:val="30"/>
                <w:sz w:val="22"/>
              </w:rPr>
              <w:t> </w:t>
            </w:r>
            <w:r>
              <w:rPr>
                <w:color w:val="231F1F"/>
                <w:sz w:val="22"/>
              </w:rPr>
              <w:t>uso</w:t>
            </w:r>
            <w:r>
              <w:rPr>
                <w:color w:val="231F1F"/>
                <w:spacing w:val="29"/>
                <w:sz w:val="22"/>
              </w:rPr>
              <w:t> </w:t>
            </w:r>
            <w:r>
              <w:rPr>
                <w:color w:val="231F1F"/>
                <w:sz w:val="22"/>
              </w:rPr>
              <w:t>de</w:t>
            </w:r>
            <w:r>
              <w:rPr>
                <w:color w:val="231F1F"/>
                <w:spacing w:val="30"/>
                <w:sz w:val="22"/>
              </w:rPr>
              <w:t> </w:t>
            </w:r>
            <w:r>
              <w:rPr>
                <w:color w:val="231F1F"/>
                <w:sz w:val="22"/>
              </w:rPr>
              <w:t>la</w:t>
            </w:r>
            <w:r>
              <w:rPr>
                <w:color w:val="231F1F"/>
                <w:spacing w:val="30"/>
                <w:sz w:val="22"/>
              </w:rPr>
              <w:t> </w:t>
            </w:r>
            <w:r>
              <w:rPr>
                <w:i/>
                <w:color w:val="231F1F"/>
                <w:sz w:val="22"/>
              </w:rPr>
              <w:t>pulsioximetría </w:t>
            </w:r>
            <w:r>
              <w:rPr>
                <w:color w:val="231F1F"/>
                <w:sz w:val="22"/>
              </w:rPr>
              <w:t>fetal en</w:t>
            </w:r>
            <w:r>
              <w:rPr>
                <w:color w:val="231F1F"/>
                <w:spacing w:val="37"/>
                <w:sz w:val="22"/>
              </w:rPr>
              <w:t> </w:t>
            </w:r>
            <w:r>
              <w:rPr>
                <w:color w:val="231F1F"/>
                <w:sz w:val="22"/>
              </w:rPr>
              <w:t>presencia</w:t>
            </w:r>
            <w:r>
              <w:rPr>
                <w:color w:val="231F1F"/>
                <w:spacing w:val="37"/>
                <w:sz w:val="22"/>
              </w:rPr>
              <w:t> </w:t>
            </w:r>
            <w:r>
              <w:rPr>
                <w:color w:val="231F1F"/>
                <w:sz w:val="22"/>
              </w:rPr>
              <w:t>de</w:t>
            </w:r>
            <w:r>
              <w:rPr>
                <w:color w:val="231F1F"/>
                <w:spacing w:val="37"/>
                <w:sz w:val="22"/>
              </w:rPr>
              <w:t> </w:t>
            </w:r>
            <w:r>
              <w:rPr>
                <w:color w:val="231F1F"/>
                <w:sz w:val="22"/>
              </w:rPr>
              <w:t>una</w:t>
            </w:r>
            <w:r>
              <w:rPr>
                <w:color w:val="231F1F"/>
                <w:spacing w:val="37"/>
                <w:sz w:val="22"/>
              </w:rPr>
              <w:t> </w:t>
            </w:r>
            <w:r>
              <w:rPr>
                <w:color w:val="231F1F"/>
                <w:sz w:val="22"/>
              </w:rPr>
              <w:t>CTG</w:t>
            </w:r>
            <w:r>
              <w:rPr>
                <w:color w:val="231F1F"/>
                <w:spacing w:val="37"/>
                <w:sz w:val="22"/>
              </w:rPr>
              <w:t> </w:t>
            </w:r>
            <w:r>
              <w:rPr>
                <w:color w:val="231F1F"/>
                <w:sz w:val="22"/>
              </w:rPr>
              <w:t>anormal</w:t>
            </w:r>
            <w:r>
              <w:rPr>
                <w:color w:val="231F1F"/>
                <w:spacing w:val="38"/>
                <w:sz w:val="22"/>
              </w:rPr>
              <w:t> </w:t>
            </w:r>
            <w:r>
              <w:rPr>
                <w:color w:val="231F1F"/>
                <w:sz w:val="22"/>
              </w:rPr>
              <w:t>por</w:t>
            </w:r>
            <w:r>
              <w:rPr>
                <w:color w:val="231F1F"/>
                <w:spacing w:val="37"/>
                <w:sz w:val="22"/>
              </w:rPr>
              <w:t> </w:t>
            </w:r>
            <w:r>
              <w:rPr>
                <w:color w:val="231F1F"/>
                <w:sz w:val="22"/>
              </w:rPr>
              <w:t>reducir</w:t>
            </w:r>
            <w:r>
              <w:rPr>
                <w:color w:val="231F1F"/>
                <w:spacing w:val="37"/>
                <w:sz w:val="22"/>
              </w:rPr>
              <w:t> </w:t>
            </w:r>
            <w:r>
              <w:rPr>
                <w:color w:val="231F1F"/>
                <w:sz w:val="22"/>
              </w:rPr>
              <w:t>la</w:t>
            </w:r>
            <w:r>
              <w:rPr>
                <w:color w:val="231F1F"/>
                <w:spacing w:val="37"/>
                <w:sz w:val="22"/>
              </w:rPr>
              <w:t> </w:t>
            </w:r>
            <w:r>
              <w:rPr>
                <w:color w:val="231F1F"/>
                <w:sz w:val="22"/>
              </w:rPr>
              <w:t>cesárea</w:t>
            </w:r>
            <w:r>
              <w:rPr>
                <w:color w:val="231F1F"/>
                <w:spacing w:val="37"/>
                <w:sz w:val="22"/>
              </w:rPr>
              <w:t> </w:t>
            </w:r>
            <w:r>
              <w:rPr>
                <w:color w:val="231F1F"/>
                <w:sz w:val="22"/>
              </w:rPr>
              <w:t>por</w:t>
            </w:r>
            <w:r>
              <w:rPr>
                <w:color w:val="231F1F"/>
                <w:spacing w:val="38"/>
                <w:sz w:val="22"/>
              </w:rPr>
              <w:t> </w:t>
            </w:r>
            <w:r>
              <w:rPr>
                <w:color w:val="231F1F"/>
                <w:sz w:val="22"/>
              </w:rPr>
              <w:t>riesgo</w:t>
            </w:r>
            <w:r>
              <w:rPr>
                <w:color w:val="231F1F"/>
                <w:spacing w:val="37"/>
                <w:sz w:val="22"/>
              </w:rPr>
              <w:t> </w:t>
            </w:r>
            <w:r>
              <w:rPr>
                <w:color w:val="231F1F"/>
                <w:sz w:val="22"/>
              </w:rPr>
              <w:t>de</w:t>
            </w:r>
            <w:r>
              <w:rPr>
                <w:color w:val="231F1F"/>
                <w:spacing w:val="37"/>
                <w:sz w:val="22"/>
              </w:rPr>
              <w:t> </w:t>
            </w:r>
            <w:r>
              <w:rPr>
                <w:color w:val="231F1F"/>
                <w:sz w:val="22"/>
              </w:rPr>
              <w:t>pér- dida</w:t>
            </w:r>
            <w:r>
              <w:rPr>
                <w:color w:val="231F1F"/>
                <w:spacing w:val="28"/>
                <w:sz w:val="22"/>
              </w:rPr>
              <w:t> </w:t>
            </w:r>
            <w:r>
              <w:rPr>
                <w:color w:val="231F1F"/>
                <w:sz w:val="22"/>
              </w:rPr>
              <w:t>del</w:t>
            </w:r>
            <w:r>
              <w:rPr>
                <w:color w:val="231F1F"/>
                <w:spacing w:val="28"/>
                <w:sz w:val="22"/>
              </w:rPr>
              <w:t> </w:t>
            </w:r>
            <w:r>
              <w:rPr>
                <w:color w:val="231F1F"/>
                <w:sz w:val="22"/>
              </w:rPr>
              <w:t>bienestar</w:t>
            </w:r>
            <w:r>
              <w:rPr>
                <w:color w:val="231F1F"/>
                <w:spacing w:val="28"/>
                <w:sz w:val="22"/>
              </w:rPr>
              <w:t> </w:t>
            </w:r>
            <w:r>
              <w:rPr>
                <w:color w:val="231F1F"/>
                <w:sz w:val="22"/>
              </w:rPr>
              <w:t>fetal.</w:t>
            </w:r>
            <w:r>
              <w:rPr>
                <w:color w:val="231F1F"/>
                <w:spacing w:val="29"/>
                <w:sz w:val="22"/>
              </w:rPr>
              <w:t> </w:t>
            </w:r>
            <w:r>
              <w:rPr>
                <w:color w:val="231F1F"/>
                <w:sz w:val="22"/>
              </w:rPr>
              <w:t>Sin</w:t>
            </w:r>
            <w:r>
              <w:rPr>
                <w:color w:val="231F1F"/>
                <w:spacing w:val="28"/>
                <w:sz w:val="22"/>
              </w:rPr>
              <w:t> </w:t>
            </w:r>
            <w:r>
              <w:rPr>
                <w:color w:val="231F1F"/>
                <w:sz w:val="22"/>
              </w:rPr>
              <w:t>embargo,</w:t>
            </w:r>
            <w:r>
              <w:rPr>
                <w:color w:val="231F1F"/>
                <w:spacing w:val="28"/>
                <w:sz w:val="22"/>
              </w:rPr>
              <w:t> </w:t>
            </w:r>
            <w:r>
              <w:rPr>
                <w:color w:val="231F1F"/>
                <w:sz w:val="22"/>
              </w:rPr>
              <w:t>la</w:t>
            </w:r>
            <w:r>
              <w:rPr>
                <w:color w:val="231F1F"/>
                <w:spacing w:val="28"/>
                <w:sz w:val="22"/>
              </w:rPr>
              <w:t> </w:t>
            </w:r>
            <w:r>
              <w:rPr>
                <w:color w:val="231F1F"/>
                <w:sz w:val="22"/>
              </w:rPr>
              <w:t>tasa</w:t>
            </w:r>
            <w:r>
              <w:rPr>
                <w:color w:val="231F1F"/>
                <w:spacing w:val="29"/>
                <w:sz w:val="22"/>
              </w:rPr>
              <w:t> </w:t>
            </w:r>
            <w:r>
              <w:rPr>
                <w:color w:val="231F1F"/>
                <w:sz w:val="22"/>
              </w:rPr>
              <w:t>general</w:t>
            </w:r>
            <w:r>
              <w:rPr>
                <w:color w:val="231F1F"/>
                <w:spacing w:val="29"/>
                <w:sz w:val="22"/>
              </w:rPr>
              <w:t> </w:t>
            </w:r>
            <w:r>
              <w:rPr>
                <w:color w:val="231F1F"/>
                <w:sz w:val="22"/>
              </w:rPr>
              <w:t>de</w:t>
            </w:r>
            <w:r>
              <w:rPr>
                <w:color w:val="231F1F"/>
                <w:spacing w:val="28"/>
                <w:sz w:val="22"/>
              </w:rPr>
              <w:t> </w:t>
            </w:r>
            <w:r>
              <w:rPr>
                <w:color w:val="231F1F"/>
                <w:sz w:val="22"/>
              </w:rPr>
              <w:t>cesáreas</w:t>
            </w:r>
            <w:r>
              <w:rPr>
                <w:color w:val="231F1F"/>
                <w:spacing w:val="29"/>
                <w:sz w:val="22"/>
              </w:rPr>
              <w:t> </w:t>
            </w:r>
            <w:r>
              <w:rPr>
                <w:color w:val="231F1F"/>
                <w:sz w:val="22"/>
              </w:rPr>
              <w:t>no</w:t>
            </w:r>
            <w:r>
              <w:rPr>
                <w:color w:val="231F1F"/>
                <w:spacing w:val="29"/>
                <w:sz w:val="22"/>
              </w:rPr>
              <w:t> </w:t>
            </w:r>
            <w:r>
              <w:rPr>
                <w:color w:val="231F1F"/>
                <w:sz w:val="22"/>
              </w:rPr>
              <w:t>se</w:t>
            </w:r>
            <w:r>
              <w:rPr>
                <w:color w:val="231F1F"/>
                <w:spacing w:val="28"/>
                <w:sz w:val="22"/>
              </w:rPr>
              <w:t> </w:t>
            </w:r>
            <w:r>
              <w:rPr>
                <w:color w:val="231F1F"/>
                <w:sz w:val="22"/>
              </w:rPr>
              <w:t>redu- ce (367).</w:t>
            </w:r>
          </w:p>
        </w:tc>
        <w:tc>
          <w:tcPr>
            <w:tcW w:w="1133" w:type="dxa"/>
          </w:tcPr>
          <w:p>
            <w:pPr>
              <w:pStyle w:val="TableParagraph"/>
              <w:spacing w:before="208"/>
              <w:ind w:left="0"/>
              <w:rPr>
                <w:rFonts w:ascii="Arial MT"/>
                <w:sz w:val="22"/>
              </w:rPr>
            </w:pPr>
          </w:p>
          <w:p>
            <w:pPr>
              <w:pStyle w:val="TableParagraph"/>
              <w:ind w:left="49" w:right="23"/>
              <w:jc w:val="center"/>
              <w:rPr>
                <w:sz w:val="22"/>
              </w:rPr>
            </w:pPr>
            <w:r>
              <w:rPr>
                <w:color w:val="231F1F"/>
                <w:spacing w:val="-5"/>
                <w:w w:val="115"/>
                <w:sz w:val="22"/>
              </w:rPr>
              <w:t>Ia</w:t>
            </w:r>
          </w:p>
        </w:tc>
      </w:tr>
    </w:tbl>
    <w:p>
      <w:pPr>
        <w:pStyle w:val="BodyText"/>
        <w:spacing w:before="123"/>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5"/>
                <w:sz w:val="22"/>
              </w:rPr>
              <w:t>A</w:t>
            </w:r>
          </w:p>
        </w:tc>
        <w:tc>
          <w:tcPr>
            <w:tcW w:w="8050" w:type="dxa"/>
          </w:tcPr>
          <w:p>
            <w:pPr>
              <w:pStyle w:val="TableParagraph"/>
              <w:spacing w:before="58"/>
              <w:rPr>
                <w:sz w:val="22"/>
              </w:rPr>
            </w:pPr>
            <w:r>
              <w:rPr>
                <w:color w:val="231F1F"/>
                <w:sz w:val="22"/>
              </w:rPr>
              <w:t>No</w:t>
            </w:r>
            <w:r>
              <w:rPr>
                <w:color w:val="231F1F"/>
                <w:spacing w:val="26"/>
                <w:sz w:val="22"/>
              </w:rPr>
              <w:t> </w:t>
            </w:r>
            <w:r>
              <w:rPr>
                <w:color w:val="231F1F"/>
                <w:sz w:val="22"/>
              </w:rPr>
              <w:t>se</w:t>
            </w:r>
            <w:r>
              <w:rPr>
                <w:color w:val="231F1F"/>
                <w:spacing w:val="28"/>
                <w:sz w:val="22"/>
              </w:rPr>
              <w:t> </w:t>
            </w:r>
            <w:r>
              <w:rPr>
                <w:color w:val="231F1F"/>
                <w:sz w:val="22"/>
              </w:rPr>
              <w:t>recomienda</w:t>
            </w:r>
            <w:r>
              <w:rPr>
                <w:color w:val="231F1F"/>
                <w:spacing w:val="30"/>
                <w:sz w:val="22"/>
              </w:rPr>
              <w:t> </w:t>
            </w:r>
            <w:r>
              <w:rPr>
                <w:color w:val="231F1F"/>
                <w:sz w:val="22"/>
              </w:rPr>
              <w:t>el</w:t>
            </w:r>
            <w:r>
              <w:rPr>
                <w:color w:val="231F1F"/>
                <w:spacing w:val="28"/>
                <w:sz w:val="22"/>
              </w:rPr>
              <w:t> </w:t>
            </w:r>
            <w:r>
              <w:rPr>
                <w:color w:val="231F1F"/>
                <w:sz w:val="22"/>
              </w:rPr>
              <w:t>uso</w:t>
            </w:r>
            <w:r>
              <w:rPr>
                <w:color w:val="231F1F"/>
                <w:spacing w:val="29"/>
                <w:sz w:val="22"/>
              </w:rPr>
              <w:t> </w:t>
            </w:r>
            <w:r>
              <w:rPr>
                <w:color w:val="231F1F"/>
                <w:sz w:val="22"/>
              </w:rPr>
              <w:t>rutinario</w:t>
            </w:r>
            <w:r>
              <w:rPr>
                <w:color w:val="231F1F"/>
                <w:spacing w:val="29"/>
                <w:sz w:val="22"/>
              </w:rPr>
              <w:t> </w:t>
            </w:r>
            <w:r>
              <w:rPr>
                <w:color w:val="231F1F"/>
                <w:sz w:val="22"/>
              </w:rPr>
              <w:t>de</w:t>
            </w:r>
            <w:r>
              <w:rPr>
                <w:color w:val="231F1F"/>
                <w:spacing w:val="28"/>
                <w:sz w:val="22"/>
              </w:rPr>
              <w:t> </w:t>
            </w:r>
            <w:r>
              <w:rPr>
                <w:color w:val="231F1F"/>
                <w:sz w:val="22"/>
              </w:rPr>
              <w:t>la</w:t>
            </w:r>
            <w:r>
              <w:rPr>
                <w:color w:val="231F1F"/>
                <w:spacing w:val="28"/>
                <w:sz w:val="22"/>
              </w:rPr>
              <w:t> </w:t>
            </w:r>
            <w:r>
              <w:rPr>
                <w:i/>
                <w:color w:val="231F1F"/>
                <w:sz w:val="22"/>
              </w:rPr>
              <w:t>pulsioximetría</w:t>
            </w:r>
            <w:r>
              <w:rPr>
                <w:i/>
                <w:color w:val="231F1F"/>
                <w:spacing w:val="26"/>
                <w:sz w:val="22"/>
              </w:rPr>
              <w:t> </w:t>
            </w:r>
            <w:r>
              <w:rPr>
                <w:color w:val="231F1F"/>
                <w:spacing w:val="-2"/>
                <w:sz w:val="22"/>
              </w:rPr>
              <w:t>fetal.</w:t>
            </w:r>
          </w:p>
        </w:tc>
      </w:tr>
    </w:tbl>
    <w:p>
      <w:pPr>
        <w:pStyle w:val="TableParagraph"/>
        <w:spacing w:after="0"/>
        <w:rPr>
          <w:sz w:val="22"/>
        </w:rPr>
        <w:sectPr>
          <w:pgSz w:w="11900" w:h="16840"/>
          <w:pgMar w:header="0" w:footer="622" w:top="1560" w:bottom="820" w:left="1417" w:right="1559"/>
        </w:sectPr>
      </w:pPr>
    </w:p>
    <w:p>
      <w:pPr>
        <w:pStyle w:val="Heading2"/>
        <w:numPr>
          <w:ilvl w:val="2"/>
          <w:numId w:val="2"/>
        </w:numPr>
        <w:tabs>
          <w:tab w:pos="1182" w:val="left" w:leader="none"/>
          <w:tab w:pos="1186" w:val="left" w:leader="none"/>
        </w:tabs>
        <w:spacing w:line="232" w:lineRule="auto" w:before="77" w:after="0"/>
        <w:ind w:left="1186" w:right="361" w:hanging="905"/>
        <w:jc w:val="left"/>
      </w:pPr>
      <w:r>
        <w:rPr>
          <w:color w:val="231F1F"/>
        </w:rPr>
        <w:t>MEFC con o sin análisis del segmento ST</w:t>
      </w:r>
      <w:r>
        <w:rPr>
          <w:color w:val="231F1F"/>
          <w:spacing w:val="80"/>
          <w:w w:val="150"/>
        </w:rPr>
        <w:t> </w:t>
      </w:r>
      <w:r>
        <w:rPr>
          <w:color w:val="231F1F"/>
        </w:rPr>
        <w:t>(STAN)</w:t>
      </w:r>
      <w:r>
        <w:rPr>
          <w:color w:val="231F1F"/>
          <w:spacing w:val="74"/>
        </w:rPr>
        <w:t> </w:t>
      </w:r>
      <w:r>
        <w:rPr>
          <w:color w:val="231F1F"/>
        </w:rPr>
        <w:t>del</w:t>
      </w:r>
      <w:r>
        <w:rPr>
          <w:color w:val="231F1F"/>
          <w:spacing w:val="74"/>
        </w:rPr>
        <w:t> </w:t>
      </w:r>
      <w:r>
        <w:rPr>
          <w:color w:val="231F1F"/>
        </w:rPr>
        <w:t>ECG</w:t>
      </w:r>
      <w:r>
        <w:rPr>
          <w:color w:val="231F1F"/>
          <w:spacing w:val="80"/>
        </w:rPr>
        <w:t> </w:t>
      </w:r>
      <w:r>
        <w:rPr>
          <w:color w:val="231F1F"/>
        </w:rPr>
        <w:t>fetal</w:t>
      </w:r>
      <w:r>
        <w:rPr>
          <w:color w:val="231F1F"/>
          <w:spacing w:val="74"/>
        </w:rPr>
        <w:t> </w:t>
      </w:r>
      <w:r>
        <w:rPr>
          <w:color w:val="231F1F"/>
        </w:rPr>
        <w:t>de</w:t>
      </w:r>
      <w:r>
        <w:rPr>
          <w:color w:val="231F1F"/>
          <w:spacing w:val="78"/>
        </w:rPr>
        <w:t> </w:t>
      </w:r>
      <w:r>
        <w:rPr>
          <w:color w:val="231F1F"/>
        </w:rPr>
        <w:t>un</w:t>
      </w:r>
      <w:r>
        <w:rPr>
          <w:color w:val="231F1F"/>
          <w:spacing w:val="78"/>
        </w:rPr>
        <w:t> </w:t>
      </w:r>
      <w:r>
        <w:rPr>
          <w:color w:val="231F1F"/>
        </w:rPr>
        <w:t>RCTG</w:t>
      </w:r>
      <w:r>
        <w:rPr>
          <w:color w:val="231F1F"/>
          <w:spacing w:val="80"/>
        </w:rPr>
        <w:t> </w:t>
      </w:r>
      <w:r>
        <w:rPr>
          <w:color w:val="231F1F"/>
        </w:rPr>
        <w:t>patológico</w:t>
      </w:r>
    </w:p>
    <w:p>
      <w:pPr>
        <w:pStyle w:val="BodyText"/>
        <w:spacing w:before="24"/>
        <w:rPr>
          <w:sz w:val="20"/>
        </w:rPr>
      </w:pPr>
      <w:r>
        <w:rPr>
          <w:sz w:val="20"/>
        </w:rPr>
        <mc:AlternateContent>
          <mc:Choice Requires="wps">
            <w:drawing>
              <wp:anchor distT="0" distB="0" distL="0" distR="0" allowOverlap="1" layoutInCell="1" locked="0" behindDoc="1" simplePos="0" relativeHeight="487632384">
                <wp:simplePos x="0" y="0"/>
                <wp:positionH relativeFrom="page">
                  <wp:posOffset>1082675</wp:posOffset>
                </wp:positionH>
                <wp:positionV relativeFrom="paragraph">
                  <wp:posOffset>180281</wp:posOffset>
                </wp:positionV>
                <wp:extent cx="5400040" cy="44005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5400040" cy="440055"/>
                        </a:xfrm>
                        <a:prstGeom prst="rect">
                          <a:avLst/>
                        </a:prstGeom>
                        <a:ln w="6350">
                          <a:solidFill>
                            <a:srgbClr val="A30046"/>
                          </a:solidFill>
                          <a:prstDash val="solid"/>
                        </a:ln>
                      </wps:spPr>
                      <wps:txbx>
                        <w:txbxContent>
                          <w:p>
                            <w:pPr>
                              <w:pStyle w:val="BodyText"/>
                              <w:numPr>
                                <w:ilvl w:val="0"/>
                                <w:numId w:val="90"/>
                              </w:numPr>
                              <w:tabs>
                                <w:tab w:pos="323" w:val="left" w:leader="none"/>
                              </w:tabs>
                              <w:spacing w:line="249" w:lineRule="auto" w:before="51" w:after="0"/>
                              <w:ind w:left="323" w:right="295" w:hanging="219"/>
                              <w:jc w:val="left"/>
                            </w:pPr>
                            <w:r>
                              <w:rPr>
                                <w:color w:val="231F1F"/>
                                <w:w w:val="105"/>
                              </w:rPr>
                              <w:t>¿Cuál</w:t>
                            </w:r>
                            <w:r>
                              <w:rPr>
                                <w:color w:val="231F1F"/>
                                <w:spacing w:val="-4"/>
                                <w:w w:val="105"/>
                              </w:rPr>
                              <w:t> </w:t>
                            </w:r>
                            <w:r>
                              <w:rPr>
                                <w:color w:val="231F1F"/>
                                <w:w w:val="105"/>
                              </w:rPr>
                              <w:t>es</w:t>
                            </w:r>
                            <w:r>
                              <w:rPr>
                                <w:color w:val="231F1F"/>
                                <w:spacing w:val="-2"/>
                                <w:w w:val="105"/>
                              </w:rPr>
                              <w:t> </w:t>
                            </w:r>
                            <w:r>
                              <w:rPr>
                                <w:color w:val="231F1F"/>
                                <w:w w:val="105"/>
                              </w:rPr>
                              <w:t>la</w:t>
                            </w:r>
                            <w:r>
                              <w:rPr>
                                <w:color w:val="231F1F"/>
                                <w:spacing w:val="-2"/>
                                <w:w w:val="105"/>
                              </w:rPr>
                              <w:t> </w:t>
                            </w:r>
                            <w:r>
                              <w:rPr>
                                <w:color w:val="231F1F"/>
                                <w:w w:val="105"/>
                              </w:rPr>
                              <w:t>efectividad</w:t>
                            </w:r>
                            <w:r>
                              <w:rPr>
                                <w:color w:val="231F1F"/>
                                <w:spacing w:val="-2"/>
                                <w:w w:val="105"/>
                              </w:rPr>
                              <w:t> </w:t>
                            </w:r>
                            <w:r>
                              <w:rPr>
                                <w:color w:val="231F1F"/>
                                <w:w w:val="105"/>
                              </w:rPr>
                              <w:t>de</w:t>
                            </w:r>
                            <w:r>
                              <w:rPr>
                                <w:color w:val="231F1F"/>
                                <w:spacing w:val="-3"/>
                                <w:w w:val="105"/>
                              </w:rPr>
                              <w:t> </w:t>
                            </w:r>
                            <w:r>
                              <w:rPr>
                                <w:color w:val="231F1F"/>
                                <w:w w:val="105"/>
                              </w:rPr>
                              <w:t>los</w:t>
                            </w:r>
                            <w:r>
                              <w:rPr>
                                <w:color w:val="231F1F"/>
                                <w:spacing w:val="-2"/>
                                <w:w w:val="105"/>
                              </w:rPr>
                              <w:t> </w:t>
                            </w:r>
                            <w:r>
                              <w:rPr>
                                <w:color w:val="231F1F"/>
                                <w:w w:val="105"/>
                              </w:rPr>
                              <w:t>siguientes</w:t>
                            </w:r>
                            <w:r>
                              <w:rPr>
                                <w:color w:val="231F1F"/>
                                <w:spacing w:val="-3"/>
                                <w:w w:val="105"/>
                              </w:rPr>
                              <w:t> </w:t>
                            </w:r>
                            <w:r>
                              <w:rPr>
                                <w:color w:val="231F1F"/>
                                <w:w w:val="105"/>
                              </w:rPr>
                              <w:t>métodos</w:t>
                            </w:r>
                            <w:r>
                              <w:rPr>
                                <w:color w:val="231F1F"/>
                                <w:spacing w:val="-3"/>
                                <w:w w:val="105"/>
                              </w:rPr>
                              <w:t> </w:t>
                            </w:r>
                            <w:r>
                              <w:rPr>
                                <w:color w:val="231F1F"/>
                                <w:w w:val="105"/>
                              </w:rPr>
                              <w:t>de</w:t>
                            </w:r>
                            <w:r>
                              <w:rPr>
                                <w:color w:val="231F1F"/>
                                <w:spacing w:val="-3"/>
                                <w:w w:val="105"/>
                              </w:rPr>
                              <w:t> </w:t>
                            </w:r>
                            <w:r>
                              <w:rPr>
                                <w:color w:val="231F1F"/>
                                <w:w w:val="105"/>
                              </w:rPr>
                              <w:t>monitorización</w:t>
                            </w:r>
                            <w:r>
                              <w:rPr>
                                <w:color w:val="231F1F"/>
                                <w:spacing w:val="-3"/>
                                <w:w w:val="105"/>
                              </w:rPr>
                              <w:t> </w:t>
                            </w:r>
                            <w:r>
                              <w:rPr>
                                <w:color w:val="231F1F"/>
                                <w:w w:val="105"/>
                              </w:rPr>
                              <w:t>fetal:</w:t>
                            </w:r>
                            <w:r>
                              <w:rPr>
                                <w:color w:val="231F1F"/>
                                <w:spacing w:val="-3"/>
                                <w:w w:val="105"/>
                              </w:rPr>
                              <w:t> </w:t>
                            </w:r>
                            <w:r>
                              <w:rPr>
                                <w:color w:val="231F1F"/>
                                <w:w w:val="105"/>
                              </w:rPr>
                              <w:t>MEFC</w:t>
                            </w:r>
                            <w:r>
                              <w:rPr>
                                <w:color w:val="231F1F"/>
                                <w:spacing w:val="-2"/>
                                <w:w w:val="105"/>
                              </w:rPr>
                              <w:t> </w:t>
                            </w:r>
                            <w:r>
                              <w:rPr>
                                <w:color w:val="231F1F"/>
                                <w:w w:val="105"/>
                              </w:rPr>
                              <w:t>con o sin análisis del segmento ST (STAN) del ECG fetal de un RCTG patológico?</w:t>
                            </w:r>
                          </w:p>
                        </w:txbxContent>
                      </wps:txbx>
                      <wps:bodyPr wrap="square" lIns="0" tIns="0" rIns="0" bIns="0" rtlCol="0">
                        <a:noAutofit/>
                      </wps:bodyPr>
                    </wps:wsp>
                  </a:graphicData>
                </a:graphic>
              </wp:anchor>
            </w:drawing>
          </mc:Choice>
          <mc:Fallback>
            <w:pict>
              <v:shape style="position:absolute;margin-left:85.25pt;margin-top:14.19541pt;width:425.2pt;height:34.65pt;mso-position-horizontal-relative:page;mso-position-vertical-relative:paragraph;z-index:-15684096;mso-wrap-distance-left:0;mso-wrap-distance-right:0" type="#_x0000_t202" id="docshape138" filled="false" stroked="true" strokeweight=".5pt" strokecolor="#a30046">
                <v:textbox inset="0,0,0,0">
                  <w:txbxContent>
                    <w:p>
                      <w:pPr>
                        <w:pStyle w:val="BodyText"/>
                        <w:numPr>
                          <w:ilvl w:val="0"/>
                          <w:numId w:val="90"/>
                        </w:numPr>
                        <w:tabs>
                          <w:tab w:pos="323" w:val="left" w:leader="none"/>
                        </w:tabs>
                        <w:spacing w:line="249" w:lineRule="auto" w:before="51" w:after="0"/>
                        <w:ind w:left="323" w:right="295" w:hanging="219"/>
                        <w:jc w:val="left"/>
                      </w:pPr>
                      <w:r>
                        <w:rPr>
                          <w:color w:val="231F1F"/>
                          <w:w w:val="105"/>
                        </w:rPr>
                        <w:t>¿Cuál</w:t>
                      </w:r>
                      <w:r>
                        <w:rPr>
                          <w:color w:val="231F1F"/>
                          <w:spacing w:val="-4"/>
                          <w:w w:val="105"/>
                        </w:rPr>
                        <w:t> </w:t>
                      </w:r>
                      <w:r>
                        <w:rPr>
                          <w:color w:val="231F1F"/>
                          <w:w w:val="105"/>
                        </w:rPr>
                        <w:t>es</w:t>
                      </w:r>
                      <w:r>
                        <w:rPr>
                          <w:color w:val="231F1F"/>
                          <w:spacing w:val="-2"/>
                          <w:w w:val="105"/>
                        </w:rPr>
                        <w:t> </w:t>
                      </w:r>
                      <w:r>
                        <w:rPr>
                          <w:color w:val="231F1F"/>
                          <w:w w:val="105"/>
                        </w:rPr>
                        <w:t>la</w:t>
                      </w:r>
                      <w:r>
                        <w:rPr>
                          <w:color w:val="231F1F"/>
                          <w:spacing w:val="-2"/>
                          <w:w w:val="105"/>
                        </w:rPr>
                        <w:t> </w:t>
                      </w:r>
                      <w:r>
                        <w:rPr>
                          <w:color w:val="231F1F"/>
                          <w:w w:val="105"/>
                        </w:rPr>
                        <w:t>efectividad</w:t>
                      </w:r>
                      <w:r>
                        <w:rPr>
                          <w:color w:val="231F1F"/>
                          <w:spacing w:val="-2"/>
                          <w:w w:val="105"/>
                        </w:rPr>
                        <w:t> </w:t>
                      </w:r>
                      <w:r>
                        <w:rPr>
                          <w:color w:val="231F1F"/>
                          <w:w w:val="105"/>
                        </w:rPr>
                        <w:t>de</w:t>
                      </w:r>
                      <w:r>
                        <w:rPr>
                          <w:color w:val="231F1F"/>
                          <w:spacing w:val="-3"/>
                          <w:w w:val="105"/>
                        </w:rPr>
                        <w:t> </w:t>
                      </w:r>
                      <w:r>
                        <w:rPr>
                          <w:color w:val="231F1F"/>
                          <w:w w:val="105"/>
                        </w:rPr>
                        <w:t>los</w:t>
                      </w:r>
                      <w:r>
                        <w:rPr>
                          <w:color w:val="231F1F"/>
                          <w:spacing w:val="-2"/>
                          <w:w w:val="105"/>
                        </w:rPr>
                        <w:t> </w:t>
                      </w:r>
                      <w:r>
                        <w:rPr>
                          <w:color w:val="231F1F"/>
                          <w:w w:val="105"/>
                        </w:rPr>
                        <w:t>siguientes</w:t>
                      </w:r>
                      <w:r>
                        <w:rPr>
                          <w:color w:val="231F1F"/>
                          <w:spacing w:val="-3"/>
                          <w:w w:val="105"/>
                        </w:rPr>
                        <w:t> </w:t>
                      </w:r>
                      <w:r>
                        <w:rPr>
                          <w:color w:val="231F1F"/>
                          <w:w w:val="105"/>
                        </w:rPr>
                        <w:t>métodos</w:t>
                      </w:r>
                      <w:r>
                        <w:rPr>
                          <w:color w:val="231F1F"/>
                          <w:spacing w:val="-3"/>
                          <w:w w:val="105"/>
                        </w:rPr>
                        <w:t> </w:t>
                      </w:r>
                      <w:r>
                        <w:rPr>
                          <w:color w:val="231F1F"/>
                          <w:w w:val="105"/>
                        </w:rPr>
                        <w:t>de</w:t>
                      </w:r>
                      <w:r>
                        <w:rPr>
                          <w:color w:val="231F1F"/>
                          <w:spacing w:val="-3"/>
                          <w:w w:val="105"/>
                        </w:rPr>
                        <w:t> </w:t>
                      </w:r>
                      <w:r>
                        <w:rPr>
                          <w:color w:val="231F1F"/>
                          <w:w w:val="105"/>
                        </w:rPr>
                        <w:t>monitorización</w:t>
                      </w:r>
                      <w:r>
                        <w:rPr>
                          <w:color w:val="231F1F"/>
                          <w:spacing w:val="-3"/>
                          <w:w w:val="105"/>
                        </w:rPr>
                        <w:t> </w:t>
                      </w:r>
                      <w:r>
                        <w:rPr>
                          <w:color w:val="231F1F"/>
                          <w:w w:val="105"/>
                        </w:rPr>
                        <w:t>fetal:</w:t>
                      </w:r>
                      <w:r>
                        <w:rPr>
                          <w:color w:val="231F1F"/>
                          <w:spacing w:val="-3"/>
                          <w:w w:val="105"/>
                        </w:rPr>
                        <w:t> </w:t>
                      </w:r>
                      <w:r>
                        <w:rPr>
                          <w:color w:val="231F1F"/>
                          <w:w w:val="105"/>
                        </w:rPr>
                        <w:t>MEFC</w:t>
                      </w:r>
                      <w:r>
                        <w:rPr>
                          <w:color w:val="231F1F"/>
                          <w:spacing w:val="-2"/>
                          <w:w w:val="105"/>
                        </w:rPr>
                        <w:t> </w:t>
                      </w:r>
                      <w:r>
                        <w:rPr>
                          <w:color w:val="231F1F"/>
                          <w:w w:val="105"/>
                        </w:rPr>
                        <w:t>con o sin análisis del segmento ST (STAN) del ECG fetal de un RCTG patológico?</w:t>
                      </w:r>
                    </w:p>
                  </w:txbxContent>
                </v:textbox>
                <v:stroke dashstyle="solid"/>
                <w10:wrap type="topAndBottom"/>
              </v:shape>
            </w:pict>
          </mc:Fallback>
        </mc:AlternateContent>
      </w:r>
    </w:p>
    <w:p>
      <w:pPr>
        <w:pStyle w:val="BodyText"/>
        <w:spacing w:line="247" w:lineRule="auto" w:before="318"/>
        <w:ind w:left="282" w:right="123"/>
        <w:jc w:val="both"/>
      </w:pPr>
      <w:r>
        <w:rPr>
          <w:color w:val="231F1F"/>
          <w:w w:val="110"/>
        </w:rPr>
        <w:t>El</w:t>
      </w:r>
      <w:r>
        <w:rPr>
          <w:color w:val="231F1F"/>
          <w:spacing w:val="-15"/>
          <w:w w:val="110"/>
        </w:rPr>
        <w:t> </w:t>
      </w:r>
      <w:r>
        <w:rPr>
          <w:color w:val="231F1F"/>
          <w:w w:val="110"/>
        </w:rPr>
        <w:t>análisis</w:t>
      </w:r>
      <w:r>
        <w:rPr>
          <w:color w:val="231F1F"/>
          <w:spacing w:val="-15"/>
          <w:w w:val="110"/>
        </w:rPr>
        <w:t> </w:t>
      </w:r>
      <w:r>
        <w:rPr>
          <w:color w:val="231F1F"/>
          <w:w w:val="110"/>
        </w:rPr>
        <w:t>del</w:t>
      </w:r>
      <w:r>
        <w:rPr>
          <w:color w:val="231F1F"/>
          <w:spacing w:val="-15"/>
          <w:w w:val="110"/>
        </w:rPr>
        <w:t> </w:t>
      </w:r>
      <w:r>
        <w:rPr>
          <w:color w:val="231F1F"/>
          <w:w w:val="110"/>
        </w:rPr>
        <w:t>segmento</w:t>
      </w:r>
      <w:r>
        <w:rPr>
          <w:color w:val="231F1F"/>
          <w:spacing w:val="-15"/>
          <w:w w:val="110"/>
        </w:rPr>
        <w:t> </w:t>
      </w:r>
      <w:r>
        <w:rPr>
          <w:color w:val="231F1F"/>
          <w:w w:val="110"/>
        </w:rPr>
        <w:t>ST</w:t>
      </w:r>
      <w:r>
        <w:rPr>
          <w:color w:val="231F1F"/>
          <w:spacing w:val="-14"/>
          <w:w w:val="110"/>
        </w:rPr>
        <w:t> </w:t>
      </w:r>
      <w:r>
        <w:rPr>
          <w:color w:val="231F1F"/>
          <w:w w:val="110"/>
        </w:rPr>
        <w:t>(STAN)</w:t>
      </w:r>
      <w:r>
        <w:rPr>
          <w:color w:val="231F1F"/>
          <w:spacing w:val="-15"/>
          <w:w w:val="110"/>
        </w:rPr>
        <w:t> </w:t>
      </w:r>
      <w:r>
        <w:rPr>
          <w:color w:val="231F1F"/>
          <w:w w:val="110"/>
        </w:rPr>
        <w:t>del</w:t>
      </w:r>
      <w:r>
        <w:rPr>
          <w:color w:val="231F1F"/>
          <w:spacing w:val="-15"/>
          <w:w w:val="110"/>
        </w:rPr>
        <w:t> </w:t>
      </w:r>
      <w:r>
        <w:rPr>
          <w:color w:val="231F1F"/>
          <w:w w:val="110"/>
        </w:rPr>
        <w:t>ECG</w:t>
      </w:r>
      <w:r>
        <w:rPr>
          <w:color w:val="231F1F"/>
          <w:spacing w:val="-13"/>
          <w:w w:val="110"/>
        </w:rPr>
        <w:t> </w:t>
      </w:r>
      <w:r>
        <w:rPr>
          <w:color w:val="231F1F"/>
          <w:w w:val="110"/>
        </w:rPr>
        <w:t>fetal,</w:t>
      </w:r>
      <w:r>
        <w:rPr>
          <w:color w:val="231F1F"/>
          <w:spacing w:val="-15"/>
          <w:w w:val="110"/>
        </w:rPr>
        <w:t> </w:t>
      </w:r>
      <w:r>
        <w:rPr>
          <w:color w:val="231F1F"/>
          <w:w w:val="110"/>
        </w:rPr>
        <w:t>mediante</w:t>
      </w:r>
      <w:r>
        <w:rPr>
          <w:color w:val="231F1F"/>
          <w:spacing w:val="-14"/>
          <w:w w:val="110"/>
        </w:rPr>
        <w:t> </w:t>
      </w:r>
      <w:r>
        <w:rPr>
          <w:color w:val="231F1F"/>
          <w:w w:val="110"/>
        </w:rPr>
        <w:t>un</w:t>
      </w:r>
      <w:r>
        <w:rPr>
          <w:color w:val="231F1F"/>
          <w:spacing w:val="-14"/>
          <w:w w:val="110"/>
        </w:rPr>
        <w:t> </w:t>
      </w:r>
      <w:r>
        <w:rPr>
          <w:color w:val="231F1F"/>
          <w:w w:val="110"/>
        </w:rPr>
        <w:t>electrodo</w:t>
      </w:r>
      <w:r>
        <w:rPr>
          <w:color w:val="231F1F"/>
          <w:spacing w:val="-14"/>
          <w:w w:val="110"/>
        </w:rPr>
        <w:t> </w:t>
      </w:r>
      <w:r>
        <w:rPr>
          <w:color w:val="231F1F"/>
          <w:w w:val="110"/>
        </w:rPr>
        <w:t>insertado</w:t>
      </w:r>
      <w:r>
        <w:rPr>
          <w:color w:val="231F1F"/>
          <w:spacing w:val="-14"/>
          <w:w w:val="110"/>
        </w:rPr>
        <w:t> </w:t>
      </w:r>
      <w:r>
        <w:rPr>
          <w:color w:val="231F1F"/>
          <w:w w:val="110"/>
        </w:rPr>
        <w:t>en</w:t>
      </w:r>
      <w:r>
        <w:rPr>
          <w:color w:val="231F1F"/>
          <w:spacing w:val="-14"/>
          <w:w w:val="110"/>
        </w:rPr>
        <w:t> </w:t>
      </w:r>
      <w:r>
        <w:rPr>
          <w:color w:val="231F1F"/>
          <w:w w:val="110"/>
        </w:rPr>
        <w:t>el cuero cabelludo</w:t>
      </w:r>
      <w:r>
        <w:rPr>
          <w:color w:val="231F1F"/>
          <w:spacing w:val="-1"/>
          <w:w w:val="110"/>
        </w:rPr>
        <w:t> </w:t>
      </w:r>
      <w:r>
        <w:rPr>
          <w:color w:val="231F1F"/>
          <w:w w:val="110"/>
        </w:rPr>
        <w:t>fetal,</w:t>
      </w:r>
      <w:r>
        <w:rPr>
          <w:color w:val="231F1F"/>
          <w:spacing w:val="-1"/>
          <w:w w:val="110"/>
        </w:rPr>
        <w:t> </w:t>
      </w:r>
      <w:r>
        <w:rPr>
          <w:color w:val="231F1F"/>
          <w:w w:val="110"/>
        </w:rPr>
        <w:t>proporciona</w:t>
      </w:r>
      <w:r>
        <w:rPr>
          <w:color w:val="231F1F"/>
          <w:spacing w:val="-1"/>
          <w:w w:val="110"/>
        </w:rPr>
        <w:t> </w:t>
      </w:r>
      <w:r>
        <w:rPr>
          <w:color w:val="231F1F"/>
          <w:w w:val="110"/>
        </w:rPr>
        <w:t>información</w:t>
      </w:r>
      <w:r>
        <w:rPr>
          <w:color w:val="231F1F"/>
          <w:spacing w:val="-1"/>
          <w:w w:val="110"/>
        </w:rPr>
        <w:t> </w:t>
      </w:r>
      <w:r>
        <w:rPr>
          <w:color w:val="231F1F"/>
          <w:w w:val="110"/>
        </w:rPr>
        <w:t>de</w:t>
      </w:r>
      <w:r>
        <w:rPr>
          <w:color w:val="231F1F"/>
          <w:spacing w:val="-1"/>
          <w:w w:val="110"/>
        </w:rPr>
        <w:t> </w:t>
      </w:r>
      <w:r>
        <w:rPr>
          <w:color w:val="231F1F"/>
          <w:w w:val="110"/>
        </w:rPr>
        <w:t>la</w:t>
      </w:r>
      <w:r>
        <w:rPr>
          <w:color w:val="231F1F"/>
          <w:spacing w:val="-1"/>
          <w:w w:val="110"/>
        </w:rPr>
        <w:t> </w:t>
      </w:r>
      <w:r>
        <w:rPr>
          <w:color w:val="231F1F"/>
          <w:w w:val="110"/>
        </w:rPr>
        <w:t>capacidad</w:t>
      </w:r>
      <w:r>
        <w:rPr>
          <w:color w:val="231F1F"/>
          <w:spacing w:val="-1"/>
          <w:w w:val="110"/>
        </w:rPr>
        <w:t> </w:t>
      </w:r>
      <w:r>
        <w:rPr>
          <w:color w:val="231F1F"/>
          <w:w w:val="110"/>
        </w:rPr>
        <w:t>del</w:t>
      </w:r>
      <w:r>
        <w:rPr>
          <w:color w:val="231F1F"/>
          <w:spacing w:val="-1"/>
          <w:w w:val="110"/>
        </w:rPr>
        <w:t> </w:t>
      </w:r>
      <w:r>
        <w:rPr>
          <w:color w:val="231F1F"/>
          <w:w w:val="110"/>
        </w:rPr>
        <w:t>miocardio fetal</w:t>
      </w:r>
      <w:r>
        <w:rPr>
          <w:color w:val="231F1F"/>
          <w:spacing w:val="-1"/>
          <w:w w:val="110"/>
        </w:rPr>
        <w:t> </w:t>
      </w:r>
      <w:r>
        <w:rPr>
          <w:color w:val="231F1F"/>
          <w:w w:val="110"/>
        </w:rPr>
        <w:t>para responder</w:t>
      </w:r>
      <w:r>
        <w:rPr>
          <w:color w:val="231F1F"/>
          <w:spacing w:val="-11"/>
          <w:w w:val="110"/>
        </w:rPr>
        <w:t> </w:t>
      </w:r>
      <w:r>
        <w:rPr>
          <w:color w:val="231F1F"/>
          <w:w w:val="110"/>
        </w:rPr>
        <w:t>a</w:t>
      </w:r>
      <w:r>
        <w:rPr>
          <w:color w:val="231F1F"/>
          <w:spacing w:val="-11"/>
          <w:w w:val="110"/>
        </w:rPr>
        <w:t> </w:t>
      </w:r>
      <w:r>
        <w:rPr>
          <w:color w:val="231F1F"/>
          <w:w w:val="110"/>
        </w:rPr>
        <w:t>la</w:t>
      </w:r>
      <w:r>
        <w:rPr>
          <w:color w:val="231F1F"/>
          <w:spacing w:val="-11"/>
          <w:w w:val="110"/>
        </w:rPr>
        <w:t> </w:t>
      </w:r>
      <w:r>
        <w:rPr>
          <w:color w:val="231F1F"/>
          <w:w w:val="110"/>
        </w:rPr>
        <w:t>hipoxia</w:t>
      </w:r>
      <w:r>
        <w:rPr>
          <w:color w:val="231F1F"/>
          <w:spacing w:val="-11"/>
          <w:w w:val="110"/>
        </w:rPr>
        <w:t> </w:t>
      </w:r>
      <w:r>
        <w:rPr>
          <w:color w:val="231F1F"/>
          <w:w w:val="110"/>
        </w:rPr>
        <w:t>durante</w:t>
      </w:r>
      <w:r>
        <w:rPr>
          <w:color w:val="231F1F"/>
          <w:spacing w:val="-11"/>
          <w:w w:val="110"/>
        </w:rPr>
        <w:t> </w:t>
      </w:r>
      <w:r>
        <w:rPr>
          <w:color w:val="231F1F"/>
          <w:w w:val="110"/>
        </w:rPr>
        <w:t>el</w:t>
      </w:r>
      <w:r>
        <w:rPr>
          <w:color w:val="231F1F"/>
          <w:spacing w:val="-11"/>
          <w:w w:val="110"/>
        </w:rPr>
        <w:t> </w:t>
      </w:r>
      <w:r>
        <w:rPr>
          <w:color w:val="231F1F"/>
          <w:w w:val="110"/>
        </w:rPr>
        <w:t>trabajo</w:t>
      </w:r>
      <w:r>
        <w:rPr>
          <w:color w:val="231F1F"/>
          <w:spacing w:val="-10"/>
          <w:w w:val="110"/>
        </w:rPr>
        <w:t> </w:t>
      </w:r>
      <w:r>
        <w:rPr>
          <w:color w:val="231F1F"/>
          <w:w w:val="110"/>
        </w:rPr>
        <w:t>de</w:t>
      </w:r>
      <w:r>
        <w:rPr>
          <w:color w:val="231F1F"/>
          <w:spacing w:val="-11"/>
          <w:w w:val="110"/>
        </w:rPr>
        <w:t> </w:t>
      </w:r>
      <w:r>
        <w:rPr>
          <w:color w:val="231F1F"/>
          <w:w w:val="110"/>
        </w:rPr>
        <w:t>parto.</w:t>
      </w:r>
      <w:r>
        <w:rPr>
          <w:color w:val="231F1F"/>
          <w:spacing w:val="-11"/>
          <w:w w:val="110"/>
        </w:rPr>
        <w:t> </w:t>
      </w:r>
      <w:r>
        <w:rPr>
          <w:color w:val="231F1F"/>
          <w:w w:val="110"/>
        </w:rPr>
        <w:t>Se</w:t>
      </w:r>
      <w:r>
        <w:rPr>
          <w:color w:val="231F1F"/>
          <w:spacing w:val="-11"/>
          <w:w w:val="110"/>
        </w:rPr>
        <w:t> </w:t>
      </w:r>
      <w:r>
        <w:rPr>
          <w:color w:val="231F1F"/>
          <w:w w:val="110"/>
        </w:rPr>
        <w:t>pretende</w:t>
      </w:r>
      <w:r>
        <w:rPr>
          <w:color w:val="231F1F"/>
          <w:spacing w:val="-11"/>
          <w:w w:val="110"/>
        </w:rPr>
        <w:t> </w:t>
      </w:r>
      <w:r>
        <w:rPr>
          <w:color w:val="231F1F"/>
          <w:w w:val="110"/>
        </w:rPr>
        <w:t>así</w:t>
      </w:r>
      <w:r>
        <w:rPr>
          <w:color w:val="231F1F"/>
          <w:spacing w:val="-11"/>
          <w:w w:val="110"/>
        </w:rPr>
        <w:t> </w:t>
      </w:r>
      <w:r>
        <w:rPr>
          <w:color w:val="231F1F"/>
          <w:w w:val="110"/>
        </w:rPr>
        <w:t>valorar</w:t>
      </w:r>
      <w:r>
        <w:rPr>
          <w:color w:val="231F1F"/>
          <w:spacing w:val="-11"/>
          <w:w w:val="110"/>
        </w:rPr>
        <w:t> </w:t>
      </w:r>
      <w:r>
        <w:rPr>
          <w:color w:val="231F1F"/>
          <w:w w:val="110"/>
        </w:rPr>
        <w:t>la</w:t>
      </w:r>
      <w:r>
        <w:rPr>
          <w:color w:val="231F1F"/>
          <w:spacing w:val="-10"/>
          <w:w w:val="110"/>
        </w:rPr>
        <w:t> </w:t>
      </w:r>
      <w:r>
        <w:rPr>
          <w:color w:val="231F1F"/>
          <w:w w:val="110"/>
        </w:rPr>
        <w:t>función</w:t>
      </w:r>
      <w:r>
        <w:rPr>
          <w:color w:val="231F1F"/>
          <w:spacing w:val="-10"/>
          <w:w w:val="110"/>
        </w:rPr>
        <w:t> </w:t>
      </w:r>
      <w:r>
        <w:rPr>
          <w:color w:val="231F1F"/>
          <w:w w:val="110"/>
        </w:rPr>
        <w:t>mio- cárdica</w:t>
      </w:r>
      <w:r>
        <w:rPr>
          <w:color w:val="231F1F"/>
          <w:spacing w:val="-3"/>
          <w:w w:val="110"/>
        </w:rPr>
        <w:t> </w:t>
      </w:r>
      <w:r>
        <w:rPr>
          <w:color w:val="231F1F"/>
          <w:w w:val="110"/>
        </w:rPr>
        <w:t>fetal,</w:t>
      </w:r>
      <w:r>
        <w:rPr>
          <w:color w:val="231F1F"/>
          <w:spacing w:val="-3"/>
          <w:w w:val="110"/>
        </w:rPr>
        <w:t> </w:t>
      </w:r>
      <w:r>
        <w:rPr>
          <w:color w:val="231F1F"/>
          <w:w w:val="110"/>
        </w:rPr>
        <w:t>que</w:t>
      </w:r>
      <w:r>
        <w:rPr>
          <w:color w:val="231F1F"/>
          <w:spacing w:val="-3"/>
          <w:w w:val="110"/>
        </w:rPr>
        <w:t> </w:t>
      </w:r>
      <w:r>
        <w:rPr>
          <w:color w:val="231F1F"/>
          <w:w w:val="110"/>
        </w:rPr>
        <w:t>representa</w:t>
      </w:r>
      <w:r>
        <w:rPr>
          <w:color w:val="231F1F"/>
          <w:spacing w:val="-3"/>
          <w:w w:val="110"/>
        </w:rPr>
        <w:t> </w:t>
      </w:r>
      <w:r>
        <w:rPr>
          <w:color w:val="231F1F"/>
          <w:w w:val="110"/>
        </w:rPr>
        <w:t>una</w:t>
      </w:r>
      <w:r>
        <w:rPr>
          <w:color w:val="231F1F"/>
          <w:spacing w:val="-3"/>
          <w:w w:val="110"/>
        </w:rPr>
        <w:t> </w:t>
      </w:r>
      <w:r>
        <w:rPr>
          <w:color w:val="231F1F"/>
          <w:w w:val="110"/>
        </w:rPr>
        <w:t>medida</w:t>
      </w:r>
      <w:r>
        <w:rPr>
          <w:color w:val="231F1F"/>
          <w:spacing w:val="-3"/>
          <w:w w:val="110"/>
        </w:rPr>
        <w:t> </w:t>
      </w:r>
      <w:r>
        <w:rPr>
          <w:color w:val="231F1F"/>
          <w:w w:val="110"/>
        </w:rPr>
        <w:t>indirecta</w:t>
      </w:r>
      <w:r>
        <w:rPr>
          <w:color w:val="231F1F"/>
          <w:spacing w:val="-3"/>
          <w:w w:val="110"/>
        </w:rPr>
        <w:t> </w:t>
      </w:r>
      <w:r>
        <w:rPr>
          <w:color w:val="231F1F"/>
          <w:w w:val="110"/>
        </w:rPr>
        <w:t>del</w:t>
      </w:r>
      <w:r>
        <w:rPr>
          <w:color w:val="231F1F"/>
          <w:spacing w:val="-3"/>
          <w:w w:val="110"/>
        </w:rPr>
        <w:t> </w:t>
      </w:r>
      <w:r>
        <w:rPr>
          <w:color w:val="231F1F"/>
          <w:w w:val="110"/>
        </w:rPr>
        <w:t>estado</w:t>
      </w:r>
      <w:r>
        <w:rPr>
          <w:color w:val="231F1F"/>
          <w:spacing w:val="-2"/>
          <w:w w:val="110"/>
        </w:rPr>
        <w:t> </w:t>
      </w:r>
      <w:r>
        <w:rPr>
          <w:color w:val="231F1F"/>
          <w:w w:val="110"/>
        </w:rPr>
        <w:t>de</w:t>
      </w:r>
      <w:r>
        <w:rPr>
          <w:color w:val="231F1F"/>
          <w:spacing w:val="-3"/>
          <w:w w:val="110"/>
        </w:rPr>
        <w:t> </w:t>
      </w:r>
      <w:r>
        <w:rPr>
          <w:color w:val="231F1F"/>
          <w:w w:val="110"/>
        </w:rPr>
        <w:t>oxigenación</w:t>
      </w:r>
      <w:r>
        <w:rPr>
          <w:color w:val="231F1F"/>
          <w:spacing w:val="-3"/>
          <w:w w:val="110"/>
        </w:rPr>
        <w:t> </w:t>
      </w:r>
      <w:r>
        <w:rPr>
          <w:color w:val="231F1F"/>
          <w:w w:val="110"/>
        </w:rPr>
        <w:t>del</w:t>
      </w:r>
      <w:r>
        <w:rPr>
          <w:color w:val="231F1F"/>
          <w:spacing w:val="-3"/>
          <w:w w:val="110"/>
        </w:rPr>
        <w:t> </w:t>
      </w:r>
      <w:r>
        <w:rPr>
          <w:color w:val="231F1F"/>
          <w:w w:val="110"/>
        </w:rPr>
        <w:t>cerebro </w:t>
      </w:r>
      <w:r>
        <w:rPr>
          <w:color w:val="231F1F"/>
          <w:spacing w:val="-2"/>
          <w:w w:val="110"/>
        </w:rPr>
        <w:t>fetal.</w:t>
      </w:r>
    </w:p>
    <w:p>
      <w:pPr>
        <w:pStyle w:val="BodyText"/>
        <w:spacing w:line="244" w:lineRule="auto" w:before="137"/>
        <w:ind w:left="282" w:right="123" w:firstLine="453"/>
        <w:jc w:val="both"/>
      </w:pPr>
      <w:r>
        <w:rPr>
          <w:color w:val="231F1F"/>
          <w:w w:val="110"/>
        </w:rPr>
        <w:t>Durante</w:t>
      </w:r>
      <w:r>
        <w:rPr>
          <w:color w:val="231F1F"/>
          <w:spacing w:val="-11"/>
          <w:w w:val="110"/>
        </w:rPr>
        <w:t> </w:t>
      </w:r>
      <w:r>
        <w:rPr>
          <w:color w:val="231F1F"/>
          <w:w w:val="110"/>
        </w:rPr>
        <w:t>la</w:t>
      </w:r>
      <w:r>
        <w:rPr>
          <w:color w:val="231F1F"/>
          <w:spacing w:val="-12"/>
          <w:w w:val="110"/>
        </w:rPr>
        <w:t> </w:t>
      </w:r>
      <w:r>
        <w:rPr>
          <w:color w:val="231F1F"/>
          <w:w w:val="110"/>
        </w:rPr>
        <w:t>hipoxemia</w:t>
      </w:r>
      <w:r>
        <w:rPr>
          <w:color w:val="231F1F"/>
          <w:spacing w:val="-12"/>
          <w:w w:val="110"/>
        </w:rPr>
        <w:t> </w:t>
      </w:r>
      <w:r>
        <w:rPr>
          <w:color w:val="231F1F"/>
          <w:w w:val="110"/>
        </w:rPr>
        <w:t>aguda,</w:t>
      </w:r>
      <w:r>
        <w:rPr>
          <w:color w:val="231F1F"/>
          <w:spacing w:val="-12"/>
          <w:w w:val="110"/>
        </w:rPr>
        <w:t> </w:t>
      </w:r>
      <w:r>
        <w:rPr>
          <w:color w:val="231F1F"/>
          <w:w w:val="110"/>
        </w:rPr>
        <w:t>un</w:t>
      </w:r>
      <w:r>
        <w:rPr>
          <w:color w:val="231F1F"/>
          <w:spacing w:val="-11"/>
          <w:w w:val="110"/>
        </w:rPr>
        <w:t> </w:t>
      </w:r>
      <w:r>
        <w:rPr>
          <w:color w:val="231F1F"/>
          <w:w w:val="110"/>
        </w:rPr>
        <w:t>feto</w:t>
      </w:r>
      <w:r>
        <w:rPr>
          <w:color w:val="231F1F"/>
          <w:spacing w:val="-11"/>
          <w:w w:val="110"/>
        </w:rPr>
        <w:t> </w:t>
      </w:r>
      <w:r>
        <w:rPr>
          <w:color w:val="231F1F"/>
          <w:w w:val="110"/>
        </w:rPr>
        <w:t>maduro</w:t>
      </w:r>
      <w:r>
        <w:rPr>
          <w:color w:val="231F1F"/>
          <w:spacing w:val="-11"/>
          <w:w w:val="110"/>
        </w:rPr>
        <w:t> </w:t>
      </w:r>
      <w:r>
        <w:rPr>
          <w:color w:val="231F1F"/>
          <w:w w:val="110"/>
        </w:rPr>
        <w:t>reacciona</w:t>
      </w:r>
      <w:r>
        <w:rPr>
          <w:color w:val="231F1F"/>
          <w:spacing w:val="-11"/>
          <w:w w:val="110"/>
        </w:rPr>
        <w:t> </w:t>
      </w:r>
      <w:r>
        <w:rPr>
          <w:color w:val="231F1F"/>
          <w:w w:val="110"/>
        </w:rPr>
        <w:t>de</w:t>
      </w:r>
      <w:r>
        <w:rPr>
          <w:color w:val="231F1F"/>
          <w:spacing w:val="-12"/>
          <w:w w:val="110"/>
        </w:rPr>
        <w:t> </w:t>
      </w:r>
      <w:r>
        <w:rPr>
          <w:color w:val="231F1F"/>
          <w:w w:val="110"/>
        </w:rPr>
        <w:t>forma</w:t>
      </w:r>
      <w:r>
        <w:rPr>
          <w:color w:val="231F1F"/>
          <w:spacing w:val="-12"/>
          <w:w w:val="110"/>
        </w:rPr>
        <w:t> </w:t>
      </w:r>
      <w:r>
        <w:rPr>
          <w:color w:val="231F1F"/>
          <w:w w:val="110"/>
        </w:rPr>
        <w:t>fisiológica</w:t>
      </w:r>
      <w:r>
        <w:rPr>
          <w:color w:val="231F1F"/>
          <w:spacing w:val="-10"/>
          <w:w w:val="110"/>
        </w:rPr>
        <w:t> </w:t>
      </w:r>
      <w:r>
        <w:rPr>
          <w:color w:val="231F1F"/>
          <w:w w:val="110"/>
        </w:rPr>
        <w:t>con</w:t>
      </w:r>
      <w:r>
        <w:rPr>
          <w:color w:val="231F1F"/>
          <w:spacing w:val="-11"/>
          <w:w w:val="110"/>
        </w:rPr>
        <w:t> </w:t>
      </w:r>
      <w:r>
        <w:rPr>
          <w:color w:val="231F1F"/>
          <w:w w:val="110"/>
        </w:rPr>
        <w:t>una elevación</w:t>
      </w:r>
      <w:r>
        <w:rPr>
          <w:color w:val="231F1F"/>
          <w:spacing w:val="-14"/>
          <w:w w:val="110"/>
        </w:rPr>
        <w:t> </w:t>
      </w:r>
      <w:r>
        <w:rPr>
          <w:color w:val="231F1F"/>
          <w:w w:val="110"/>
        </w:rPr>
        <w:t>del</w:t>
      </w:r>
      <w:r>
        <w:rPr>
          <w:color w:val="231F1F"/>
          <w:spacing w:val="-14"/>
          <w:w w:val="110"/>
        </w:rPr>
        <w:t> </w:t>
      </w:r>
      <w:r>
        <w:rPr>
          <w:color w:val="231F1F"/>
          <w:w w:val="110"/>
        </w:rPr>
        <w:t>segmento</w:t>
      </w:r>
      <w:r>
        <w:rPr>
          <w:color w:val="231F1F"/>
          <w:spacing w:val="-14"/>
          <w:w w:val="110"/>
        </w:rPr>
        <w:t> </w:t>
      </w:r>
      <w:r>
        <w:rPr>
          <w:color w:val="231F1F"/>
          <w:w w:val="110"/>
        </w:rPr>
        <w:t>ST</w:t>
      </w:r>
      <w:r>
        <w:rPr>
          <w:color w:val="231F1F"/>
          <w:spacing w:val="-13"/>
          <w:w w:val="110"/>
        </w:rPr>
        <w:t> </w:t>
      </w:r>
      <w:r>
        <w:rPr>
          <w:color w:val="231F1F"/>
          <w:w w:val="110"/>
        </w:rPr>
        <w:t>y</w:t>
      </w:r>
      <w:r>
        <w:rPr>
          <w:color w:val="231F1F"/>
          <w:spacing w:val="-13"/>
          <w:w w:val="110"/>
        </w:rPr>
        <w:t> </w:t>
      </w:r>
      <w:r>
        <w:rPr>
          <w:color w:val="231F1F"/>
          <w:w w:val="110"/>
        </w:rPr>
        <w:t>un</w:t>
      </w:r>
      <w:r>
        <w:rPr>
          <w:color w:val="231F1F"/>
          <w:spacing w:val="-13"/>
          <w:w w:val="110"/>
        </w:rPr>
        <w:t> </w:t>
      </w:r>
      <w:r>
        <w:rPr>
          <w:color w:val="231F1F"/>
          <w:w w:val="110"/>
        </w:rPr>
        <w:t>progresivo</w:t>
      </w:r>
      <w:r>
        <w:rPr>
          <w:color w:val="231F1F"/>
          <w:spacing w:val="-14"/>
          <w:w w:val="110"/>
        </w:rPr>
        <w:t> </w:t>
      </w:r>
      <w:r>
        <w:rPr>
          <w:color w:val="231F1F"/>
          <w:w w:val="110"/>
        </w:rPr>
        <w:t>aumento</w:t>
      </w:r>
      <w:r>
        <w:rPr>
          <w:color w:val="231F1F"/>
          <w:spacing w:val="-14"/>
          <w:w w:val="110"/>
        </w:rPr>
        <w:t> </w:t>
      </w:r>
      <w:r>
        <w:rPr>
          <w:color w:val="231F1F"/>
          <w:w w:val="110"/>
        </w:rPr>
        <w:t>en</w:t>
      </w:r>
      <w:r>
        <w:rPr>
          <w:color w:val="231F1F"/>
          <w:spacing w:val="-13"/>
          <w:w w:val="110"/>
        </w:rPr>
        <w:t> </w:t>
      </w:r>
      <w:r>
        <w:rPr>
          <w:color w:val="231F1F"/>
          <w:w w:val="110"/>
        </w:rPr>
        <w:t>la</w:t>
      </w:r>
      <w:r>
        <w:rPr>
          <w:color w:val="231F1F"/>
          <w:spacing w:val="-14"/>
          <w:w w:val="110"/>
        </w:rPr>
        <w:t> </w:t>
      </w:r>
      <w:r>
        <w:rPr>
          <w:color w:val="231F1F"/>
          <w:w w:val="110"/>
        </w:rPr>
        <w:t>altura</w:t>
      </w:r>
      <w:r>
        <w:rPr>
          <w:color w:val="231F1F"/>
          <w:spacing w:val="-14"/>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onda</w:t>
      </w:r>
      <w:r>
        <w:rPr>
          <w:color w:val="231F1F"/>
          <w:spacing w:val="-14"/>
          <w:w w:val="110"/>
        </w:rPr>
        <w:t> </w:t>
      </w:r>
      <w:r>
        <w:rPr>
          <w:color w:val="231F1F"/>
          <w:w w:val="110"/>
        </w:rPr>
        <w:t>T</w:t>
      </w:r>
      <w:r>
        <w:rPr>
          <w:color w:val="231F1F"/>
          <w:spacing w:val="-13"/>
          <w:w w:val="110"/>
        </w:rPr>
        <w:t> </w:t>
      </w:r>
      <w:r>
        <w:rPr>
          <w:color w:val="231F1F"/>
          <w:w w:val="110"/>
        </w:rPr>
        <w:t>(relación</w:t>
      </w:r>
      <w:r>
        <w:rPr>
          <w:color w:val="231F1F"/>
          <w:spacing w:val="-13"/>
          <w:w w:val="110"/>
        </w:rPr>
        <w:t> </w:t>
      </w:r>
      <w:r>
        <w:rPr>
          <w:color w:val="231F1F"/>
          <w:w w:val="110"/>
        </w:rPr>
        <w:t>T/ QRS). La depresión del segmento ST y una onda T negativa, representan un miocardio que no responde adecuadamente al stress hipóxico.</w:t>
      </w:r>
    </w:p>
    <w:p>
      <w:pPr>
        <w:pStyle w:val="BodyText"/>
        <w:spacing w:line="244" w:lineRule="auto" w:before="144"/>
        <w:ind w:left="282" w:right="121" w:firstLine="453"/>
        <w:jc w:val="both"/>
      </w:pPr>
      <w:r>
        <w:rPr>
          <w:color w:val="231F1F"/>
          <w:w w:val="110"/>
        </w:rPr>
        <w:t>La</w:t>
      </w:r>
      <w:r>
        <w:rPr>
          <w:color w:val="231F1F"/>
          <w:spacing w:val="-7"/>
          <w:w w:val="110"/>
        </w:rPr>
        <w:t> </w:t>
      </w:r>
      <w:r>
        <w:rPr>
          <w:color w:val="231F1F"/>
          <w:w w:val="110"/>
        </w:rPr>
        <w:t>finalidad</w:t>
      </w:r>
      <w:r>
        <w:rPr>
          <w:color w:val="231F1F"/>
          <w:spacing w:val="-6"/>
          <w:w w:val="110"/>
        </w:rPr>
        <w:t> </w:t>
      </w:r>
      <w:r>
        <w:rPr>
          <w:color w:val="231F1F"/>
          <w:w w:val="110"/>
        </w:rPr>
        <w:t>de</w:t>
      </w:r>
      <w:r>
        <w:rPr>
          <w:color w:val="231F1F"/>
          <w:spacing w:val="-7"/>
          <w:w w:val="110"/>
        </w:rPr>
        <w:t> </w:t>
      </w:r>
      <w:r>
        <w:rPr>
          <w:color w:val="231F1F"/>
          <w:w w:val="110"/>
        </w:rPr>
        <w:t>esta</w:t>
      </w:r>
      <w:r>
        <w:rPr>
          <w:color w:val="231F1F"/>
          <w:spacing w:val="-6"/>
          <w:w w:val="110"/>
        </w:rPr>
        <w:t> </w:t>
      </w:r>
      <w:r>
        <w:rPr>
          <w:color w:val="231F1F"/>
          <w:w w:val="110"/>
        </w:rPr>
        <w:t>pregunta</w:t>
      </w:r>
      <w:r>
        <w:rPr>
          <w:color w:val="231F1F"/>
          <w:spacing w:val="-7"/>
          <w:w w:val="110"/>
        </w:rPr>
        <w:t> </w:t>
      </w:r>
      <w:r>
        <w:rPr>
          <w:color w:val="231F1F"/>
          <w:w w:val="110"/>
        </w:rPr>
        <w:t>es</w:t>
      </w:r>
      <w:r>
        <w:rPr>
          <w:color w:val="231F1F"/>
          <w:spacing w:val="-7"/>
          <w:w w:val="110"/>
        </w:rPr>
        <w:t> </w:t>
      </w:r>
      <w:r>
        <w:rPr>
          <w:color w:val="231F1F"/>
          <w:w w:val="110"/>
        </w:rPr>
        <w:t>determinar</w:t>
      </w:r>
      <w:r>
        <w:rPr>
          <w:color w:val="231F1F"/>
          <w:spacing w:val="-7"/>
          <w:w w:val="110"/>
        </w:rPr>
        <w:t> </w:t>
      </w:r>
      <w:r>
        <w:rPr>
          <w:color w:val="231F1F"/>
          <w:w w:val="110"/>
        </w:rPr>
        <w:t>si</w:t>
      </w:r>
      <w:r>
        <w:rPr>
          <w:color w:val="231F1F"/>
          <w:spacing w:val="-7"/>
          <w:w w:val="110"/>
        </w:rPr>
        <w:t> </w:t>
      </w:r>
      <w:r>
        <w:rPr>
          <w:color w:val="231F1F"/>
          <w:w w:val="110"/>
        </w:rPr>
        <w:t>la</w:t>
      </w:r>
      <w:r>
        <w:rPr>
          <w:color w:val="231F1F"/>
          <w:spacing w:val="-7"/>
          <w:w w:val="110"/>
        </w:rPr>
        <w:t> </w:t>
      </w:r>
      <w:r>
        <w:rPr>
          <w:color w:val="231F1F"/>
          <w:w w:val="110"/>
        </w:rPr>
        <w:t>utilización</w:t>
      </w:r>
      <w:r>
        <w:rPr>
          <w:color w:val="231F1F"/>
          <w:spacing w:val="-7"/>
          <w:w w:val="110"/>
        </w:rPr>
        <w:t> </w:t>
      </w:r>
      <w:r>
        <w:rPr>
          <w:color w:val="231F1F"/>
          <w:w w:val="110"/>
        </w:rPr>
        <w:t>conjunta</w:t>
      </w:r>
      <w:r>
        <w:rPr>
          <w:color w:val="231F1F"/>
          <w:spacing w:val="-7"/>
          <w:w w:val="110"/>
        </w:rPr>
        <w:t> </w:t>
      </w:r>
      <w:r>
        <w:rPr>
          <w:color w:val="231F1F"/>
          <w:w w:val="110"/>
        </w:rPr>
        <w:t>del</w:t>
      </w:r>
      <w:r>
        <w:rPr>
          <w:color w:val="231F1F"/>
          <w:spacing w:val="-7"/>
          <w:w w:val="110"/>
        </w:rPr>
        <w:t> </w:t>
      </w:r>
      <w:r>
        <w:rPr>
          <w:color w:val="231F1F"/>
          <w:w w:val="110"/>
        </w:rPr>
        <w:t>análisis</w:t>
      </w:r>
      <w:r>
        <w:rPr>
          <w:color w:val="231F1F"/>
          <w:spacing w:val="-7"/>
          <w:w w:val="110"/>
        </w:rPr>
        <w:t> </w:t>
      </w:r>
      <w:r>
        <w:rPr>
          <w:color w:val="231F1F"/>
          <w:w w:val="110"/>
        </w:rPr>
        <w:t>del segmento</w:t>
      </w:r>
      <w:r>
        <w:rPr>
          <w:color w:val="231F1F"/>
          <w:spacing w:val="-16"/>
          <w:w w:val="110"/>
        </w:rPr>
        <w:t> </w:t>
      </w:r>
      <w:r>
        <w:rPr>
          <w:color w:val="231F1F"/>
          <w:w w:val="110"/>
        </w:rPr>
        <w:t>ST</w:t>
      </w:r>
      <w:r>
        <w:rPr>
          <w:color w:val="231F1F"/>
          <w:spacing w:val="-15"/>
          <w:w w:val="110"/>
        </w:rPr>
        <w:t> </w:t>
      </w:r>
      <w:r>
        <w:rPr>
          <w:color w:val="231F1F"/>
          <w:w w:val="110"/>
        </w:rPr>
        <w:t>(STAN)</w:t>
      </w:r>
      <w:r>
        <w:rPr>
          <w:color w:val="231F1F"/>
          <w:spacing w:val="-15"/>
          <w:w w:val="110"/>
        </w:rPr>
        <w:t> </w:t>
      </w:r>
      <w:r>
        <w:rPr>
          <w:color w:val="231F1F"/>
          <w:w w:val="110"/>
        </w:rPr>
        <w:t>del</w:t>
      </w:r>
      <w:r>
        <w:rPr>
          <w:color w:val="231F1F"/>
          <w:spacing w:val="-15"/>
          <w:w w:val="110"/>
        </w:rPr>
        <w:t> </w:t>
      </w:r>
      <w:r>
        <w:rPr>
          <w:color w:val="231F1F"/>
          <w:w w:val="110"/>
        </w:rPr>
        <w:t>ECG</w:t>
      </w:r>
      <w:r>
        <w:rPr>
          <w:color w:val="231F1F"/>
          <w:spacing w:val="-14"/>
          <w:w w:val="110"/>
        </w:rPr>
        <w:t> </w:t>
      </w:r>
      <w:r>
        <w:rPr>
          <w:color w:val="231F1F"/>
          <w:w w:val="110"/>
        </w:rPr>
        <w:t>feta</w:t>
      </w:r>
      <w:r>
        <w:rPr>
          <w:color w:val="231F1F"/>
          <w:spacing w:val="-15"/>
          <w:w w:val="110"/>
        </w:rPr>
        <w:t> </w:t>
      </w:r>
      <w:r>
        <w:rPr>
          <w:color w:val="231F1F"/>
          <w:w w:val="110"/>
        </w:rPr>
        <w:t>con</w:t>
      </w:r>
      <w:r>
        <w:rPr>
          <w:color w:val="231F1F"/>
          <w:spacing w:val="-15"/>
          <w:w w:val="110"/>
        </w:rPr>
        <w:t> </w:t>
      </w:r>
      <w:r>
        <w:rPr>
          <w:color w:val="231F1F"/>
          <w:w w:val="110"/>
        </w:rPr>
        <w:t>la</w:t>
      </w:r>
      <w:r>
        <w:rPr>
          <w:color w:val="231F1F"/>
          <w:spacing w:val="-15"/>
          <w:w w:val="110"/>
        </w:rPr>
        <w:t> </w:t>
      </w:r>
      <w:r>
        <w:rPr>
          <w:color w:val="231F1F"/>
          <w:w w:val="110"/>
        </w:rPr>
        <w:t>monitorización</w:t>
      </w:r>
      <w:r>
        <w:rPr>
          <w:color w:val="231F1F"/>
          <w:spacing w:val="-15"/>
          <w:w w:val="110"/>
        </w:rPr>
        <w:t> </w:t>
      </w:r>
      <w:r>
        <w:rPr>
          <w:color w:val="231F1F"/>
          <w:w w:val="110"/>
        </w:rPr>
        <w:t>continua</w:t>
      </w:r>
      <w:r>
        <w:rPr>
          <w:color w:val="231F1F"/>
          <w:spacing w:val="-15"/>
          <w:w w:val="110"/>
        </w:rPr>
        <w:t> </w:t>
      </w:r>
      <w:r>
        <w:rPr>
          <w:color w:val="231F1F"/>
          <w:w w:val="110"/>
        </w:rPr>
        <w:t>en</w:t>
      </w:r>
      <w:r>
        <w:rPr>
          <w:color w:val="231F1F"/>
          <w:spacing w:val="-15"/>
          <w:w w:val="110"/>
        </w:rPr>
        <w:t> </w:t>
      </w:r>
      <w:r>
        <w:rPr>
          <w:color w:val="231F1F"/>
          <w:w w:val="110"/>
        </w:rPr>
        <w:t>presencia</w:t>
      </w:r>
      <w:r>
        <w:rPr>
          <w:color w:val="231F1F"/>
          <w:spacing w:val="-15"/>
          <w:w w:val="110"/>
        </w:rPr>
        <w:t> </w:t>
      </w:r>
      <w:r>
        <w:rPr>
          <w:color w:val="231F1F"/>
          <w:w w:val="110"/>
        </w:rPr>
        <w:t>de</w:t>
      </w:r>
      <w:r>
        <w:rPr>
          <w:color w:val="231F1F"/>
          <w:spacing w:val="-15"/>
          <w:w w:val="110"/>
        </w:rPr>
        <w:t> </w:t>
      </w:r>
      <w:r>
        <w:rPr>
          <w:color w:val="231F1F"/>
          <w:w w:val="110"/>
        </w:rPr>
        <w:t>regis- tros cardiotocográficos patológicos aporta beneficios con respecto al uso aislado de la </w:t>
      </w:r>
      <w:r>
        <w:rPr>
          <w:color w:val="231F1F"/>
          <w:spacing w:val="-2"/>
          <w:w w:val="110"/>
        </w:rPr>
        <w:t>cardiotocografía.</w:t>
      </w:r>
    </w:p>
    <w:p>
      <w:pPr>
        <w:pStyle w:val="BodyText"/>
        <w:spacing w:before="90"/>
        <w:rPr>
          <w:sz w:val="20"/>
        </w:rPr>
      </w:pPr>
    </w:p>
    <w:p>
      <w:pPr>
        <w:pStyle w:val="BodyText"/>
        <w:spacing w:after="0"/>
        <w:rPr>
          <w:sz w:val="20"/>
        </w:rPr>
        <w:sectPr>
          <w:pgSz w:w="11900" w:h="16840"/>
          <w:pgMar w:header="0" w:footer="622" w:top="1560" w:bottom="820" w:left="1417" w:right="1559"/>
        </w:sectPr>
      </w:pPr>
    </w:p>
    <w:p>
      <w:pPr>
        <w:spacing w:before="92"/>
        <w:ind w:left="287"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4" w:lineRule="auto" w:before="219"/>
        <w:ind w:left="287" w:right="44" w:firstLine="453"/>
        <w:jc w:val="both"/>
      </w:pPr>
      <w:r>
        <w:rPr>
          <w:color w:val="231F1F"/>
          <w:w w:val="105"/>
        </w:rPr>
        <w:t>La</w:t>
      </w:r>
      <w:r>
        <w:rPr>
          <w:color w:val="231F1F"/>
          <w:spacing w:val="-1"/>
          <w:w w:val="105"/>
        </w:rPr>
        <w:t> </w:t>
      </w:r>
      <w:r>
        <w:rPr>
          <w:color w:val="231F1F"/>
          <w:w w:val="105"/>
        </w:rPr>
        <w:t>guía</w:t>
      </w:r>
      <w:r>
        <w:rPr>
          <w:color w:val="231F1F"/>
          <w:spacing w:val="-1"/>
          <w:w w:val="105"/>
        </w:rPr>
        <w:t> </w:t>
      </w:r>
      <w:r>
        <w:rPr>
          <w:color w:val="231F1F"/>
          <w:w w:val="105"/>
        </w:rPr>
        <w:t>NICE</w:t>
      </w:r>
      <w:r>
        <w:rPr>
          <w:color w:val="231F1F"/>
          <w:spacing w:val="-1"/>
          <w:w w:val="105"/>
        </w:rPr>
        <w:t> </w:t>
      </w:r>
      <w:r>
        <w:rPr>
          <w:color w:val="231F1F"/>
          <w:w w:val="105"/>
        </w:rPr>
        <w:t>(10)</w:t>
      </w:r>
      <w:r>
        <w:rPr>
          <w:color w:val="231F1F"/>
          <w:spacing w:val="-1"/>
          <w:w w:val="105"/>
        </w:rPr>
        <w:t> </w:t>
      </w:r>
      <w:r>
        <w:rPr>
          <w:color w:val="231F1F"/>
          <w:w w:val="105"/>
        </w:rPr>
        <w:t>emplea</w:t>
      </w:r>
      <w:r>
        <w:rPr>
          <w:color w:val="231F1F"/>
          <w:spacing w:val="-1"/>
          <w:w w:val="105"/>
        </w:rPr>
        <w:t> </w:t>
      </w:r>
      <w:r>
        <w:rPr>
          <w:color w:val="231F1F"/>
          <w:w w:val="105"/>
        </w:rPr>
        <w:t>una</w:t>
      </w:r>
      <w:r>
        <w:rPr>
          <w:color w:val="231F1F"/>
          <w:spacing w:val="-1"/>
          <w:w w:val="105"/>
        </w:rPr>
        <w:t> </w:t>
      </w:r>
      <w:r>
        <w:rPr>
          <w:color w:val="231F1F"/>
          <w:w w:val="105"/>
        </w:rPr>
        <w:t>RS</w:t>
      </w:r>
      <w:r>
        <w:rPr>
          <w:color w:val="231F1F"/>
          <w:spacing w:val="-1"/>
          <w:w w:val="105"/>
        </w:rPr>
        <w:t> </w:t>
      </w:r>
      <w:r>
        <w:rPr>
          <w:color w:val="231F1F"/>
          <w:w w:val="105"/>
        </w:rPr>
        <w:t>Cochrane,</w:t>
      </w:r>
      <w:r>
        <w:rPr>
          <w:color w:val="231F1F"/>
          <w:spacing w:val="-1"/>
          <w:w w:val="105"/>
        </w:rPr>
        <w:t> </w:t>
      </w:r>
      <w:r>
        <w:rPr>
          <w:color w:val="231F1F"/>
          <w:w w:val="105"/>
        </w:rPr>
        <w:t>(368),</w:t>
      </w:r>
      <w:r>
        <w:rPr>
          <w:color w:val="231F1F"/>
          <w:spacing w:val="-1"/>
          <w:w w:val="105"/>
        </w:rPr>
        <w:t> </w:t>
      </w:r>
      <w:r>
        <w:rPr>
          <w:color w:val="231F1F"/>
          <w:w w:val="105"/>
        </w:rPr>
        <w:t>publicada</w:t>
      </w:r>
      <w:r>
        <w:rPr>
          <w:color w:val="231F1F"/>
          <w:spacing w:val="-1"/>
          <w:w w:val="105"/>
        </w:rPr>
        <w:t> </w:t>
      </w:r>
      <w:r>
        <w:rPr>
          <w:color w:val="231F1F"/>
          <w:w w:val="105"/>
        </w:rPr>
        <w:t>en</w:t>
      </w:r>
      <w:r>
        <w:rPr>
          <w:color w:val="231F1F"/>
          <w:spacing w:val="-1"/>
          <w:w w:val="105"/>
        </w:rPr>
        <w:t> </w:t>
      </w:r>
      <w:r>
        <w:rPr>
          <w:color w:val="231F1F"/>
          <w:w w:val="105"/>
        </w:rPr>
        <w:t>2005</w:t>
      </w:r>
      <w:r>
        <w:rPr>
          <w:color w:val="231F1F"/>
          <w:spacing w:val="-1"/>
          <w:w w:val="105"/>
        </w:rPr>
        <w:t> </w:t>
      </w:r>
      <w:r>
        <w:rPr>
          <w:color w:val="231F1F"/>
          <w:w w:val="105"/>
        </w:rPr>
        <w:t>y un</w:t>
      </w:r>
      <w:r>
        <w:rPr>
          <w:color w:val="231F1F"/>
          <w:spacing w:val="40"/>
          <w:w w:val="105"/>
        </w:rPr>
        <w:t> </w:t>
      </w:r>
      <w:r>
        <w:rPr>
          <w:color w:val="231F1F"/>
          <w:w w:val="105"/>
        </w:rPr>
        <w:t>ensayo</w:t>
      </w:r>
      <w:r>
        <w:rPr>
          <w:color w:val="231F1F"/>
          <w:spacing w:val="40"/>
          <w:w w:val="105"/>
        </w:rPr>
        <w:t> </w:t>
      </w:r>
      <w:r>
        <w:rPr>
          <w:color w:val="231F1F"/>
          <w:w w:val="105"/>
        </w:rPr>
        <w:t>clínico</w:t>
      </w:r>
      <w:r>
        <w:rPr>
          <w:color w:val="231F1F"/>
          <w:spacing w:val="40"/>
          <w:w w:val="105"/>
        </w:rPr>
        <w:t> </w:t>
      </w:r>
      <w:r>
        <w:rPr>
          <w:color w:val="231F1F"/>
          <w:w w:val="105"/>
        </w:rPr>
        <w:t>controlado</w:t>
      </w:r>
      <w:r>
        <w:rPr>
          <w:color w:val="231F1F"/>
          <w:spacing w:val="40"/>
          <w:w w:val="105"/>
        </w:rPr>
        <w:t> </w:t>
      </w:r>
      <w:r>
        <w:rPr>
          <w:color w:val="231F1F"/>
          <w:w w:val="105"/>
        </w:rPr>
        <w:t>y</w:t>
      </w:r>
      <w:r>
        <w:rPr>
          <w:color w:val="231F1F"/>
          <w:spacing w:val="40"/>
          <w:w w:val="105"/>
        </w:rPr>
        <w:t> </w:t>
      </w:r>
      <w:r>
        <w:rPr>
          <w:color w:val="231F1F"/>
          <w:w w:val="105"/>
        </w:rPr>
        <w:t>aleatorizado</w:t>
      </w:r>
      <w:r>
        <w:rPr>
          <w:color w:val="231F1F"/>
          <w:spacing w:val="40"/>
          <w:w w:val="105"/>
        </w:rPr>
        <w:t> </w:t>
      </w:r>
      <w:r>
        <w:rPr>
          <w:color w:val="231F1F"/>
          <w:w w:val="105"/>
        </w:rPr>
        <w:t>de</w:t>
      </w:r>
      <w:r>
        <w:rPr>
          <w:color w:val="231F1F"/>
          <w:spacing w:val="40"/>
          <w:w w:val="105"/>
        </w:rPr>
        <w:t> </w:t>
      </w:r>
      <w:r>
        <w:rPr>
          <w:color w:val="231F1F"/>
          <w:w w:val="105"/>
        </w:rPr>
        <w:t>2006</w:t>
      </w:r>
      <w:r>
        <w:rPr>
          <w:color w:val="231F1F"/>
          <w:spacing w:val="40"/>
          <w:w w:val="105"/>
        </w:rPr>
        <w:t> </w:t>
      </w:r>
      <w:r>
        <w:rPr>
          <w:color w:val="231F1F"/>
          <w:w w:val="105"/>
        </w:rPr>
        <w:t>(369).</w:t>
      </w:r>
    </w:p>
    <w:p>
      <w:pPr>
        <w:pStyle w:val="BodyText"/>
        <w:spacing w:line="247" w:lineRule="auto" w:before="151"/>
        <w:ind w:left="288" w:right="1" w:firstLine="453"/>
        <w:jc w:val="both"/>
      </w:pPr>
      <w:r>
        <w:rPr>
          <w:color w:val="231F1F"/>
          <w:w w:val="110"/>
        </w:rPr>
        <w:t>La</w:t>
      </w:r>
      <w:r>
        <w:rPr>
          <w:color w:val="231F1F"/>
          <w:spacing w:val="-6"/>
          <w:w w:val="110"/>
        </w:rPr>
        <w:t> </w:t>
      </w:r>
      <w:r>
        <w:rPr>
          <w:color w:val="231F1F"/>
          <w:w w:val="110"/>
        </w:rPr>
        <w:t>RS</w:t>
      </w:r>
      <w:r>
        <w:rPr>
          <w:color w:val="231F1F"/>
          <w:spacing w:val="-6"/>
          <w:w w:val="110"/>
        </w:rPr>
        <w:t> </w:t>
      </w:r>
      <w:r>
        <w:rPr>
          <w:color w:val="231F1F"/>
          <w:w w:val="110"/>
        </w:rPr>
        <w:t>comparaba</w:t>
      </w:r>
      <w:r>
        <w:rPr>
          <w:color w:val="231F1F"/>
          <w:spacing w:val="-6"/>
          <w:w w:val="110"/>
        </w:rPr>
        <w:t> </w:t>
      </w:r>
      <w:r>
        <w:rPr>
          <w:color w:val="231F1F"/>
          <w:w w:val="110"/>
        </w:rPr>
        <w:t>la</w:t>
      </w:r>
      <w:r>
        <w:rPr>
          <w:color w:val="231F1F"/>
          <w:spacing w:val="-6"/>
          <w:w w:val="110"/>
        </w:rPr>
        <w:t> </w:t>
      </w:r>
      <w:r>
        <w:rPr>
          <w:color w:val="231F1F"/>
          <w:w w:val="110"/>
        </w:rPr>
        <w:t>efectividad</w:t>
      </w:r>
      <w:r>
        <w:rPr>
          <w:color w:val="231F1F"/>
          <w:spacing w:val="-6"/>
          <w:w w:val="110"/>
        </w:rPr>
        <w:t> </w:t>
      </w:r>
      <w:r>
        <w:rPr>
          <w:color w:val="231F1F"/>
          <w:w w:val="110"/>
        </w:rPr>
        <w:t>del</w:t>
      </w:r>
      <w:r>
        <w:rPr>
          <w:color w:val="231F1F"/>
          <w:spacing w:val="-7"/>
          <w:w w:val="110"/>
        </w:rPr>
        <w:t> </w:t>
      </w:r>
      <w:r>
        <w:rPr>
          <w:color w:val="231F1F"/>
          <w:w w:val="110"/>
        </w:rPr>
        <w:t>análisis</w:t>
      </w:r>
      <w:r>
        <w:rPr>
          <w:color w:val="231F1F"/>
          <w:spacing w:val="-7"/>
          <w:w w:val="110"/>
        </w:rPr>
        <w:t> </w:t>
      </w:r>
      <w:r>
        <w:rPr>
          <w:color w:val="231F1F"/>
          <w:w w:val="110"/>
        </w:rPr>
        <w:t>del</w:t>
      </w:r>
      <w:r>
        <w:rPr>
          <w:color w:val="231F1F"/>
          <w:spacing w:val="-7"/>
          <w:w w:val="110"/>
        </w:rPr>
        <w:t> </w:t>
      </w:r>
      <w:r>
        <w:rPr>
          <w:color w:val="231F1F"/>
          <w:w w:val="110"/>
        </w:rPr>
        <w:t>segmento</w:t>
      </w:r>
      <w:r>
        <w:rPr>
          <w:color w:val="231F1F"/>
          <w:spacing w:val="-7"/>
          <w:w w:val="110"/>
        </w:rPr>
        <w:t> </w:t>
      </w:r>
      <w:r>
        <w:rPr>
          <w:color w:val="231F1F"/>
          <w:w w:val="110"/>
        </w:rPr>
        <w:t>ST</w:t>
      </w:r>
      <w:r>
        <w:rPr>
          <w:color w:val="231F1F"/>
          <w:spacing w:val="-6"/>
          <w:w w:val="110"/>
        </w:rPr>
        <w:t> </w:t>
      </w:r>
      <w:r>
        <w:rPr>
          <w:color w:val="231F1F"/>
          <w:w w:val="110"/>
        </w:rPr>
        <w:t>del</w:t>
      </w:r>
      <w:r>
        <w:rPr>
          <w:color w:val="231F1F"/>
          <w:spacing w:val="-7"/>
          <w:w w:val="110"/>
        </w:rPr>
        <w:t> </w:t>
      </w:r>
      <w:r>
        <w:rPr>
          <w:color w:val="231F1F"/>
          <w:w w:val="110"/>
        </w:rPr>
        <w:t>ECG fetal frente a otros métodos alternativos de monitorización fetal durante el parto </w:t>
      </w:r>
      <w:r>
        <w:rPr>
          <w:i/>
          <w:color w:val="231F1F"/>
          <w:w w:val="110"/>
        </w:rPr>
        <w:t>en</w:t>
      </w:r>
      <w:r>
        <w:rPr>
          <w:i/>
          <w:color w:val="231F1F"/>
          <w:spacing w:val="-14"/>
          <w:w w:val="110"/>
        </w:rPr>
        <w:t> </w:t>
      </w:r>
      <w:r>
        <w:rPr>
          <w:i/>
          <w:color w:val="231F1F"/>
          <w:w w:val="110"/>
        </w:rPr>
        <w:t>mujeres</w:t>
      </w:r>
      <w:r>
        <w:rPr>
          <w:i/>
          <w:color w:val="231F1F"/>
          <w:spacing w:val="-14"/>
          <w:w w:val="110"/>
        </w:rPr>
        <w:t> </w:t>
      </w:r>
      <w:r>
        <w:rPr>
          <w:i/>
          <w:color w:val="231F1F"/>
          <w:w w:val="110"/>
        </w:rPr>
        <w:t>de</w:t>
      </w:r>
      <w:r>
        <w:rPr>
          <w:i/>
          <w:color w:val="231F1F"/>
          <w:spacing w:val="-14"/>
          <w:w w:val="110"/>
        </w:rPr>
        <w:t> </w:t>
      </w:r>
      <w:r>
        <w:rPr>
          <w:i/>
          <w:color w:val="231F1F"/>
          <w:w w:val="110"/>
        </w:rPr>
        <w:t>alto</w:t>
      </w:r>
      <w:r>
        <w:rPr>
          <w:i/>
          <w:color w:val="231F1F"/>
          <w:spacing w:val="-14"/>
          <w:w w:val="110"/>
        </w:rPr>
        <w:t> </w:t>
      </w:r>
      <w:r>
        <w:rPr>
          <w:i/>
          <w:color w:val="231F1F"/>
          <w:w w:val="110"/>
        </w:rPr>
        <w:t>riesgo</w:t>
      </w:r>
      <w:r>
        <w:rPr>
          <w:i/>
          <w:color w:val="231F1F"/>
          <w:spacing w:val="-14"/>
          <w:w w:val="110"/>
        </w:rPr>
        <w:t> </w:t>
      </w:r>
      <w:r>
        <w:rPr>
          <w:color w:val="231F1F"/>
          <w:w w:val="110"/>
        </w:rPr>
        <w:t>y evaluaban el uso de ECG fetal asociado a MEFC. Los tres estudios incluidos en la RS eran de buena calidad. Dos de ellos evaluaban el segmento ST y en el otro el intervalo PR.</w:t>
      </w:r>
    </w:p>
    <w:p>
      <w:pPr>
        <w:pStyle w:val="BodyText"/>
        <w:spacing w:line="249" w:lineRule="auto" w:before="185"/>
        <w:ind w:left="287" w:firstLine="453"/>
        <w:jc w:val="both"/>
      </w:pPr>
      <w:r>
        <w:rPr>
          <w:color w:val="231F1F"/>
          <w:w w:val="105"/>
        </w:rPr>
        <w:t>El ECA, publicado en 2006 (369), se realizó en Finlandia y evaluaba la efectividad</w:t>
      </w:r>
      <w:r>
        <w:rPr>
          <w:color w:val="231F1F"/>
          <w:spacing w:val="-6"/>
          <w:w w:val="105"/>
        </w:rPr>
        <w:t> </w:t>
      </w:r>
      <w:r>
        <w:rPr>
          <w:color w:val="231F1F"/>
          <w:w w:val="105"/>
        </w:rPr>
        <w:t>del</w:t>
      </w:r>
      <w:r>
        <w:rPr>
          <w:color w:val="231F1F"/>
          <w:spacing w:val="-7"/>
          <w:w w:val="105"/>
        </w:rPr>
        <w:t> </w:t>
      </w:r>
      <w:r>
        <w:rPr>
          <w:color w:val="231F1F"/>
          <w:w w:val="105"/>
        </w:rPr>
        <w:t>análisis</w:t>
      </w:r>
      <w:r>
        <w:rPr>
          <w:color w:val="231F1F"/>
          <w:spacing w:val="-6"/>
          <w:w w:val="105"/>
        </w:rPr>
        <w:t> </w:t>
      </w:r>
      <w:r>
        <w:rPr>
          <w:color w:val="231F1F"/>
          <w:w w:val="105"/>
        </w:rPr>
        <w:t>del</w:t>
      </w:r>
      <w:r>
        <w:rPr>
          <w:color w:val="231F1F"/>
          <w:spacing w:val="-7"/>
          <w:w w:val="105"/>
        </w:rPr>
        <w:t> </w:t>
      </w:r>
      <w:r>
        <w:rPr>
          <w:color w:val="231F1F"/>
          <w:w w:val="105"/>
        </w:rPr>
        <w:t>segmento</w:t>
      </w:r>
      <w:r>
        <w:rPr>
          <w:color w:val="231F1F"/>
          <w:spacing w:val="-7"/>
          <w:w w:val="105"/>
        </w:rPr>
        <w:t> </w:t>
      </w:r>
      <w:r>
        <w:rPr>
          <w:color w:val="231F1F"/>
          <w:w w:val="105"/>
        </w:rPr>
        <w:t>ST</w:t>
      </w:r>
      <w:r>
        <w:rPr>
          <w:color w:val="231F1F"/>
          <w:spacing w:val="-6"/>
          <w:w w:val="105"/>
        </w:rPr>
        <w:t> </w:t>
      </w:r>
      <w:r>
        <w:rPr>
          <w:color w:val="231F1F"/>
          <w:w w:val="105"/>
        </w:rPr>
        <w:t>del</w:t>
      </w:r>
      <w:r>
        <w:rPr>
          <w:color w:val="231F1F"/>
          <w:spacing w:val="-7"/>
          <w:w w:val="105"/>
        </w:rPr>
        <w:t> </w:t>
      </w:r>
      <w:r>
        <w:rPr>
          <w:color w:val="231F1F"/>
          <w:w w:val="105"/>
        </w:rPr>
        <w:t>ECG</w:t>
      </w:r>
      <w:r>
        <w:rPr>
          <w:color w:val="231F1F"/>
          <w:spacing w:val="-6"/>
          <w:w w:val="105"/>
        </w:rPr>
        <w:t> </w:t>
      </w:r>
      <w:r>
        <w:rPr>
          <w:color w:val="231F1F"/>
          <w:w w:val="105"/>
        </w:rPr>
        <w:t>feta.</w:t>
      </w:r>
      <w:r>
        <w:rPr>
          <w:color w:val="231F1F"/>
          <w:spacing w:val="-6"/>
          <w:w w:val="105"/>
        </w:rPr>
        <w:t> </w:t>
      </w:r>
      <w:r>
        <w:rPr>
          <w:color w:val="231F1F"/>
          <w:w w:val="105"/>
        </w:rPr>
        <w:t>La</w:t>
      </w:r>
      <w:r>
        <w:rPr>
          <w:color w:val="231F1F"/>
          <w:spacing w:val="-6"/>
          <w:w w:val="105"/>
        </w:rPr>
        <w:t> </w:t>
      </w:r>
      <w:r>
        <w:rPr>
          <w:color w:val="231F1F"/>
          <w:w w:val="105"/>
        </w:rPr>
        <w:t>homogeneidad</w:t>
      </w:r>
      <w:r>
        <w:rPr>
          <w:color w:val="231F1F"/>
          <w:spacing w:val="-7"/>
          <w:w w:val="105"/>
        </w:rPr>
        <w:t> </w:t>
      </w:r>
      <w:r>
        <w:rPr>
          <w:color w:val="231F1F"/>
          <w:w w:val="105"/>
        </w:rPr>
        <w:t>entre los</w:t>
      </w:r>
      <w:r>
        <w:rPr>
          <w:color w:val="231F1F"/>
          <w:spacing w:val="-3"/>
          <w:w w:val="105"/>
        </w:rPr>
        <w:t> </w:t>
      </w:r>
      <w:r>
        <w:rPr>
          <w:color w:val="231F1F"/>
          <w:w w:val="105"/>
        </w:rPr>
        <w:t>dos</w:t>
      </w:r>
      <w:r>
        <w:rPr>
          <w:color w:val="231F1F"/>
          <w:spacing w:val="-3"/>
          <w:w w:val="105"/>
        </w:rPr>
        <w:t> </w:t>
      </w:r>
      <w:r>
        <w:rPr>
          <w:color w:val="231F1F"/>
          <w:w w:val="105"/>
        </w:rPr>
        <w:t>estudios</w:t>
      </w:r>
      <w:r>
        <w:rPr>
          <w:color w:val="231F1F"/>
          <w:spacing w:val="-2"/>
          <w:w w:val="105"/>
        </w:rPr>
        <w:t> </w:t>
      </w:r>
      <w:r>
        <w:rPr>
          <w:color w:val="231F1F"/>
          <w:w w:val="105"/>
        </w:rPr>
        <w:t>incluidos</w:t>
      </w:r>
      <w:r>
        <w:rPr>
          <w:color w:val="231F1F"/>
          <w:spacing w:val="-3"/>
          <w:w w:val="105"/>
        </w:rPr>
        <w:t> </w:t>
      </w:r>
      <w:r>
        <w:rPr>
          <w:color w:val="231F1F"/>
          <w:w w:val="105"/>
        </w:rPr>
        <w:t>en</w:t>
      </w:r>
      <w:r>
        <w:rPr>
          <w:color w:val="231F1F"/>
          <w:spacing w:val="-2"/>
          <w:w w:val="105"/>
        </w:rPr>
        <w:t> </w:t>
      </w:r>
      <w:r>
        <w:rPr>
          <w:color w:val="231F1F"/>
          <w:w w:val="105"/>
        </w:rPr>
        <w:t>la</w:t>
      </w:r>
      <w:r>
        <w:rPr>
          <w:color w:val="231F1F"/>
          <w:spacing w:val="-2"/>
          <w:w w:val="105"/>
        </w:rPr>
        <w:t> </w:t>
      </w:r>
      <w:r>
        <w:rPr>
          <w:color w:val="231F1F"/>
          <w:w w:val="105"/>
        </w:rPr>
        <w:t>RS</w:t>
      </w:r>
      <w:r>
        <w:rPr>
          <w:color w:val="231F1F"/>
          <w:spacing w:val="-2"/>
          <w:w w:val="105"/>
        </w:rPr>
        <w:t> </w:t>
      </w:r>
      <w:r>
        <w:rPr>
          <w:color w:val="231F1F"/>
          <w:w w:val="105"/>
        </w:rPr>
        <w:t>y</w:t>
      </w:r>
      <w:r>
        <w:rPr>
          <w:color w:val="231F1F"/>
          <w:spacing w:val="-2"/>
          <w:w w:val="105"/>
        </w:rPr>
        <w:t> </w:t>
      </w:r>
      <w:r>
        <w:rPr>
          <w:color w:val="231F1F"/>
          <w:w w:val="105"/>
        </w:rPr>
        <w:t>el</w:t>
      </w:r>
      <w:r>
        <w:rPr>
          <w:color w:val="231F1F"/>
          <w:spacing w:val="-3"/>
          <w:w w:val="105"/>
        </w:rPr>
        <w:t> </w:t>
      </w:r>
      <w:r>
        <w:rPr>
          <w:color w:val="231F1F"/>
          <w:w w:val="105"/>
        </w:rPr>
        <w:t>nuevo</w:t>
      </w:r>
      <w:r>
        <w:rPr>
          <w:color w:val="231F1F"/>
          <w:spacing w:val="-2"/>
          <w:w w:val="105"/>
        </w:rPr>
        <w:t> </w:t>
      </w:r>
      <w:r>
        <w:rPr>
          <w:color w:val="231F1F"/>
          <w:w w:val="105"/>
        </w:rPr>
        <w:t>estudio</w:t>
      </w:r>
      <w:r>
        <w:rPr>
          <w:color w:val="231F1F"/>
          <w:spacing w:val="-2"/>
          <w:w w:val="105"/>
        </w:rPr>
        <w:t> </w:t>
      </w:r>
      <w:r>
        <w:rPr>
          <w:color w:val="231F1F"/>
          <w:w w:val="105"/>
        </w:rPr>
        <w:t>permitió</w:t>
      </w:r>
      <w:r>
        <w:rPr>
          <w:color w:val="231F1F"/>
          <w:spacing w:val="-2"/>
          <w:w w:val="105"/>
        </w:rPr>
        <w:t> </w:t>
      </w:r>
      <w:r>
        <w:rPr>
          <w:color w:val="231F1F"/>
          <w:w w:val="105"/>
        </w:rPr>
        <w:t>realizar</w:t>
      </w:r>
      <w:r>
        <w:rPr>
          <w:color w:val="231F1F"/>
          <w:spacing w:val="-2"/>
          <w:w w:val="105"/>
        </w:rPr>
        <w:t> </w:t>
      </w:r>
      <w:r>
        <w:rPr>
          <w:color w:val="231F1F"/>
          <w:w w:val="105"/>
        </w:rPr>
        <w:t>un</w:t>
      </w:r>
      <w:r>
        <w:rPr>
          <w:color w:val="231F1F"/>
          <w:spacing w:val="-2"/>
          <w:w w:val="105"/>
        </w:rPr>
        <w:t> </w:t>
      </w:r>
      <w:r>
        <w:rPr>
          <w:color w:val="231F1F"/>
          <w:w w:val="105"/>
        </w:rPr>
        <w:t>me- </w:t>
      </w:r>
      <w:r>
        <w:rPr>
          <w:color w:val="231F1F"/>
          <w:spacing w:val="-2"/>
          <w:w w:val="105"/>
        </w:rPr>
        <w:t>taanálisis</w:t>
      </w:r>
      <w:r>
        <w:rPr>
          <w:color w:val="231F1F"/>
          <w:spacing w:val="-6"/>
          <w:w w:val="105"/>
        </w:rPr>
        <w:t> </w:t>
      </w:r>
      <w:r>
        <w:rPr>
          <w:color w:val="231F1F"/>
          <w:spacing w:val="-2"/>
          <w:w w:val="105"/>
        </w:rPr>
        <w:t>para</w:t>
      </w:r>
      <w:r>
        <w:rPr>
          <w:color w:val="231F1F"/>
          <w:spacing w:val="-7"/>
          <w:w w:val="105"/>
        </w:rPr>
        <w:t> </w:t>
      </w:r>
      <w:r>
        <w:rPr>
          <w:color w:val="231F1F"/>
          <w:spacing w:val="-2"/>
          <w:w w:val="105"/>
        </w:rPr>
        <w:t>estudiar</w:t>
      </w:r>
      <w:r>
        <w:rPr>
          <w:color w:val="231F1F"/>
          <w:spacing w:val="-6"/>
          <w:w w:val="105"/>
        </w:rPr>
        <w:t> </w:t>
      </w:r>
      <w:r>
        <w:rPr>
          <w:color w:val="231F1F"/>
          <w:spacing w:val="-2"/>
          <w:w w:val="105"/>
        </w:rPr>
        <w:t>la</w:t>
      </w:r>
      <w:r>
        <w:rPr>
          <w:color w:val="231F1F"/>
          <w:spacing w:val="-6"/>
          <w:w w:val="105"/>
        </w:rPr>
        <w:t> </w:t>
      </w:r>
      <w:r>
        <w:rPr>
          <w:color w:val="231F1F"/>
          <w:spacing w:val="-2"/>
          <w:w w:val="105"/>
        </w:rPr>
        <w:t>efectividad</w:t>
      </w:r>
      <w:r>
        <w:rPr>
          <w:color w:val="231F1F"/>
          <w:spacing w:val="-6"/>
          <w:w w:val="105"/>
        </w:rPr>
        <w:t> </w:t>
      </w:r>
      <w:r>
        <w:rPr>
          <w:color w:val="231F1F"/>
          <w:spacing w:val="-2"/>
          <w:w w:val="105"/>
        </w:rPr>
        <w:t>del</w:t>
      </w:r>
      <w:r>
        <w:rPr>
          <w:color w:val="231F1F"/>
          <w:spacing w:val="-7"/>
          <w:w w:val="105"/>
        </w:rPr>
        <w:t> </w:t>
      </w:r>
      <w:r>
        <w:rPr>
          <w:color w:val="231F1F"/>
          <w:spacing w:val="-2"/>
          <w:w w:val="105"/>
        </w:rPr>
        <w:t>análisis</w:t>
      </w:r>
      <w:r>
        <w:rPr>
          <w:color w:val="231F1F"/>
          <w:spacing w:val="-6"/>
          <w:w w:val="105"/>
        </w:rPr>
        <w:t> </w:t>
      </w:r>
      <w:r>
        <w:rPr>
          <w:color w:val="231F1F"/>
          <w:spacing w:val="-2"/>
          <w:w w:val="105"/>
        </w:rPr>
        <w:t>del</w:t>
      </w:r>
      <w:r>
        <w:rPr>
          <w:color w:val="231F1F"/>
          <w:spacing w:val="-7"/>
          <w:w w:val="105"/>
        </w:rPr>
        <w:t> </w:t>
      </w:r>
      <w:r>
        <w:rPr>
          <w:color w:val="231F1F"/>
          <w:spacing w:val="-2"/>
          <w:w w:val="105"/>
        </w:rPr>
        <w:t>segmento</w:t>
      </w:r>
      <w:r>
        <w:rPr>
          <w:color w:val="231F1F"/>
          <w:spacing w:val="-6"/>
          <w:w w:val="105"/>
        </w:rPr>
        <w:t> </w:t>
      </w:r>
      <w:r>
        <w:rPr>
          <w:color w:val="231F1F"/>
          <w:spacing w:val="-2"/>
          <w:w w:val="105"/>
        </w:rPr>
        <w:t>ST</w:t>
      </w:r>
      <w:r>
        <w:rPr>
          <w:color w:val="231F1F"/>
          <w:spacing w:val="-6"/>
          <w:w w:val="105"/>
        </w:rPr>
        <w:t> </w:t>
      </w:r>
      <w:r>
        <w:rPr>
          <w:color w:val="231F1F"/>
          <w:spacing w:val="-2"/>
          <w:w w:val="105"/>
        </w:rPr>
        <w:t>del</w:t>
      </w:r>
      <w:r>
        <w:rPr>
          <w:color w:val="231F1F"/>
          <w:spacing w:val="-7"/>
          <w:w w:val="105"/>
        </w:rPr>
        <w:t> </w:t>
      </w:r>
      <w:r>
        <w:rPr>
          <w:color w:val="231F1F"/>
          <w:spacing w:val="-2"/>
          <w:w w:val="105"/>
        </w:rPr>
        <w:t>ECG</w:t>
      </w:r>
      <w:r>
        <w:rPr>
          <w:color w:val="231F1F"/>
          <w:spacing w:val="-6"/>
          <w:w w:val="105"/>
        </w:rPr>
        <w:t> </w:t>
      </w:r>
      <w:r>
        <w:rPr>
          <w:color w:val="231F1F"/>
          <w:spacing w:val="-2"/>
          <w:w w:val="105"/>
        </w:rPr>
        <w:t>feta.</w:t>
      </w:r>
    </w:p>
    <w:p>
      <w:pPr>
        <w:pStyle w:val="BodyText"/>
        <w:spacing w:line="244" w:lineRule="auto" w:before="134"/>
        <w:ind w:left="288" w:right="17" w:firstLine="453"/>
        <w:jc w:val="both"/>
      </w:pPr>
      <w:r>
        <w:rPr>
          <w:color w:val="231F1F"/>
          <w:w w:val="105"/>
        </w:rPr>
        <w:t>El</w:t>
      </w:r>
      <w:r>
        <w:rPr>
          <w:color w:val="231F1F"/>
          <w:w w:val="105"/>
        </w:rPr>
        <w:t> metaanálisis</w:t>
      </w:r>
      <w:r>
        <w:rPr>
          <w:color w:val="231F1F"/>
          <w:w w:val="105"/>
        </w:rPr>
        <w:t> mostró</w:t>
      </w:r>
      <w:r>
        <w:rPr>
          <w:color w:val="231F1F"/>
          <w:w w:val="105"/>
        </w:rPr>
        <w:t> evidencia</w:t>
      </w:r>
      <w:r>
        <w:rPr>
          <w:color w:val="231F1F"/>
          <w:w w:val="105"/>
        </w:rPr>
        <w:t> de</w:t>
      </w:r>
      <w:r>
        <w:rPr>
          <w:color w:val="231F1F"/>
          <w:w w:val="105"/>
        </w:rPr>
        <w:t> que</w:t>
      </w:r>
      <w:r>
        <w:rPr>
          <w:color w:val="231F1F"/>
          <w:w w:val="105"/>
        </w:rPr>
        <w:t> el</w:t>
      </w:r>
      <w:r>
        <w:rPr>
          <w:color w:val="231F1F"/>
          <w:w w:val="105"/>
        </w:rPr>
        <w:t> análisis</w:t>
      </w:r>
      <w:r>
        <w:rPr>
          <w:color w:val="231F1F"/>
          <w:w w:val="105"/>
        </w:rPr>
        <w:t> del</w:t>
      </w:r>
      <w:r>
        <w:rPr>
          <w:color w:val="231F1F"/>
          <w:w w:val="105"/>
        </w:rPr>
        <w:t> segmento</w:t>
      </w:r>
      <w:r>
        <w:rPr>
          <w:color w:val="231F1F"/>
          <w:w w:val="105"/>
        </w:rPr>
        <w:t> ST</w:t>
      </w:r>
      <w:r>
        <w:rPr>
          <w:color w:val="231F1F"/>
          <w:w w:val="105"/>
        </w:rPr>
        <w:t> del ECG feta reducía significativamente el índice de:</w:t>
      </w:r>
    </w:p>
    <w:p>
      <w:pPr>
        <w:pStyle w:val="ListParagraph"/>
        <w:numPr>
          <w:ilvl w:val="0"/>
          <w:numId w:val="91"/>
        </w:numPr>
        <w:tabs>
          <w:tab w:pos="957" w:val="left" w:leader="none"/>
        </w:tabs>
        <w:spacing w:line="240" w:lineRule="auto" w:before="151" w:after="0"/>
        <w:ind w:left="957" w:right="0" w:hanging="218"/>
        <w:jc w:val="left"/>
        <w:rPr>
          <w:sz w:val="22"/>
        </w:rPr>
      </w:pPr>
      <w:r>
        <w:rPr>
          <w:color w:val="231F1F"/>
          <w:sz w:val="22"/>
        </w:rPr>
        <w:t>partos</w:t>
      </w:r>
      <w:r>
        <w:rPr>
          <w:color w:val="231F1F"/>
          <w:spacing w:val="27"/>
          <w:sz w:val="22"/>
        </w:rPr>
        <w:t> </w:t>
      </w:r>
      <w:r>
        <w:rPr>
          <w:color w:val="231F1F"/>
          <w:sz w:val="22"/>
        </w:rPr>
        <w:t>vaginales</w:t>
      </w:r>
      <w:r>
        <w:rPr>
          <w:color w:val="231F1F"/>
          <w:spacing w:val="29"/>
          <w:sz w:val="22"/>
        </w:rPr>
        <w:t> </w:t>
      </w:r>
      <w:r>
        <w:rPr>
          <w:color w:val="231F1F"/>
          <w:sz w:val="22"/>
        </w:rPr>
        <w:t>instrumentados</w:t>
      </w:r>
      <w:r>
        <w:rPr>
          <w:color w:val="231F1F"/>
          <w:spacing w:val="31"/>
          <w:sz w:val="22"/>
        </w:rPr>
        <w:t> </w:t>
      </w:r>
      <w:r>
        <w:rPr>
          <w:color w:val="231F1F"/>
          <w:sz w:val="22"/>
        </w:rPr>
        <w:t>RR</w:t>
      </w:r>
      <w:r>
        <w:rPr>
          <w:color w:val="231F1F"/>
          <w:spacing w:val="30"/>
          <w:sz w:val="22"/>
        </w:rPr>
        <w:t> </w:t>
      </w:r>
      <w:r>
        <w:rPr>
          <w:color w:val="231F1F"/>
          <w:sz w:val="22"/>
        </w:rPr>
        <w:t>0,87</w:t>
      </w:r>
      <w:r>
        <w:rPr>
          <w:color w:val="231F1F"/>
          <w:spacing w:val="29"/>
          <w:sz w:val="22"/>
        </w:rPr>
        <w:t> </w:t>
      </w:r>
      <w:r>
        <w:rPr>
          <w:color w:val="231F1F"/>
          <w:sz w:val="22"/>
        </w:rPr>
        <w:t>[IC</w:t>
      </w:r>
      <w:r>
        <w:rPr>
          <w:color w:val="231F1F"/>
          <w:spacing w:val="29"/>
          <w:sz w:val="22"/>
        </w:rPr>
        <w:t> </w:t>
      </w:r>
      <w:r>
        <w:rPr>
          <w:color w:val="231F1F"/>
          <w:sz w:val="22"/>
        </w:rPr>
        <w:t>95%</w:t>
      </w:r>
      <w:r>
        <w:rPr>
          <w:color w:val="231F1F"/>
          <w:spacing w:val="29"/>
          <w:sz w:val="22"/>
        </w:rPr>
        <w:t> </w:t>
      </w:r>
      <w:r>
        <w:rPr>
          <w:color w:val="231F1F"/>
          <w:sz w:val="22"/>
        </w:rPr>
        <w:t>0,78</w:t>
      </w:r>
      <w:r>
        <w:rPr>
          <w:color w:val="231F1F"/>
          <w:spacing w:val="30"/>
          <w:sz w:val="22"/>
        </w:rPr>
        <w:t> </w:t>
      </w:r>
      <w:r>
        <w:rPr>
          <w:color w:val="231F1F"/>
          <w:sz w:val="22"/>
        </w:rPr>
        <w:t>a</w:t>
      </w:r>
      <w:r>
        <w:rPr>
          <w:color w:val="231F1F"/>
          <w:spacing w:val="29"/>
          <w:sz w:val="22"/>
        </w:rPr>
        <w:t> </w:t>
      </w:r>
      <w:r>
        <w:rPr>
          <w:color w:val="231F1F"/>
          <w:spacing w:val="-2"/>
          <w:sz w:val="22"/>
        </w:rPr>
        <w:t>0,96]</w:t>
      </w:r>
    </w:p>
    <w:p>
      <w:pPr>
        <w:pStyle w:val="ListParagraph"/>
        <w:numPr>
          <w:ilvl w:val="0"/>
          <w:numId w:val="91"/>
        </w:numPr>
        <w:tabs>
          <w:tab w:pos="957" w:val="left" w:leader="none"/>
        </w:tabs>
        <w:spacing w:line="240" w:lineRule="auto" w:before="179" w:after="0"/>
        <w:ind w:left="957" w:right="0" w:hanging="218"/>
        <w:jc w:val="left"/>
        <w:rPr>
          <w:sz w:val="22"/>
        </w:rPr>
      </w:pPr>
      <w:r>
        <w:rPr>
          <w:color w:val="231F1F"/>
          <w:sz w:val="22"/>
        </w:rPr>
        <w:t>cualquier</w:t>
      </w:r>
      <w:r>
        <w:rPr>
          <w:color w:val="231F1F"/>
          <w:spacing w:val="31"/>
          <w:sz w:val="22"/>
        </w:rPr>
        <w:t> </w:t>
      </w:r>
      <w:r>
        <w:rPr>
          <w:color w:val="231F1F"/>
          <w:sz w:val="22"/>
        </w:rPr>
        <w:t>tipo</w:t>
      </w:r>
      <w:r>
        <w:rPr>
          <w:color w:val="231F1F"/>
          <w:spacing w:val="32"/>
          <w:sz w:val="22"/>
        </w:rPr>
        <w:t> </w:t>
      </w:r>
      <w:r>
        <w:rPr>
          <w:color w:val="231F1F"/>
          <w:sz w:val="22"/>
        </w:rPr>
        <w:t>de</w:t>
      </w:r>
      <w:r>
        <w:rPr>
          <w:color w:val="231F1F"/>
          <w:spacing w:val="31"/>
          <w:sz w:val="22"/>
        </w:rPr>
        <w:t> </w:t>
      </w:r>
      <w:r>
        <w:rPr>
          <w:color w:val="231F1F"/>
          <w:sz w:val="22"/>
        </w:rPr>
        <w:t>parto</w:t>
      </w:r>
      <w:r>
        <w:rPr>
          <w:color w:val="231F1F"/>
          <w:spacing w:val="34"/>
          <w:sz w:val="22"/>
        </w:rPr>
        <w:t> </w:t>
      </w:r>
      <w:r>
        <w:rPr>
          <w:color w:val="231F1F"/>
          <w:sz w:val="22"/>
        </w:rPr>
        <w:t>instrumental</w:t>
      </w:r>
      <w:r>
        <w:rPr>
          <w:color w:val="231F1F"/>
          <w:spacing w:val="31"/>
          <w:sz w:val="22"/>
        </w:rPr>
        <w:t> </w:t>
      </w:r>
      <w:r>
        <w:rPr>
          <w:color w:val="231F1F"/>
          <w:sz w:val="22"/>
        </w:rPr>
        <w:t>RR</w:t>
      </w:r>
      <w:r>
        <w:rPr>
          <w:color w:val="231F1F"/>
          <w:spacing w:val="32"/>
          <w:sz w:val="22"/>
        </w:rPr>
        <w:t> </w:t>
      </w:r>
      <w:r>
        <w:rPr>
          <w:color w:val="231F1F"/>
          <w:sz w:val="22"/>
        </w:rPr>
        <w:t>0,89</w:t>
      </w:r>
      <w:r>
        <w:rPr>
          <w:color w:val="231F1F"/>
          <w:spacing w:val="33"/>
          <w:sz w:val="22"/>
        </w:rPr>
        <w:t> </w:t>
      </w:r>
      <w:r>
        <w:rPr>
          <w:color w:val="231F1F"/>
          <w:sz w:val="22"/>
        </w:rPr>
        <w:t>[IC</w:t>
      </w:r>
      <w:r>
        <w:rPr>
          <w:color w:val="231F1F"/>
          <w:spacing w:val="32"/>
          <w:sz w:val="22"/>
        </w:rPr>
        <w:t> </w:t>
      </w:r>
      <w:r>
        <w:rPr>
          <w:color w:val="231F1F"/>
          <w:sz w:val="22"/>
        </w:rPr>
        <w:t>95%</w:t>
      </w:r>
      <w:r>
        <w:rPr>
          <w:color w:val="231F1F"/>
          <w:spacing w:val="33"/>
          <w:sz w:val="22"/>
        </w:rPr>
        <w:t> </w:t>
      </w:r>
      <w:r>
        <w:rPr>
          <w:color w:val="231F1F"/>
          <w:sz w:val="22"/>
        </w:rPr>
        <w:t>0,82</w:t>
      </w:r>
      <w:r>
        <w:rPr>
          <w:color w:val="231F1F"/>
          <w:spacing w:val="35"/>
          <w:sz w:val="22"/>
        </w:rPr>
        <w:t> </w:t>
      </w:r>
      <w:r>
        <w:rPr>
          <w:color w:val="231F1F"/>
          <w:spacing w:val="-2"/>
          <w:sz w:val="22"/>
        </w:rPr>
        <w:t>a0,96]</w:t>
      </w:r>
    </w:p>
    <w:p>
      <w:pPr>
        <w:pStyle w:val="ListParagraph"/>
        <w:numPr>
          <w:ilvl w:val="0"/>
          <w:numId w:val="91"/>
        </w:numPr>
        <w:tabs>
          <w:tab w:pos="957" w:val="left" w:leader="none"/>
        </w:tabs>
        <w:spacing w:line="240" w:lineRule="auto" w:before="164" w:after="0"/>
        <w:ind w:left="957" w:right="0" w:hanging="218"/>
        <w:jc w:val="left"/>
        <w:rPr>
          <w:sz w:val="22"/>
        </w:rPr>
      </w:pPr>
      <w:r>
        <w:rPr>
          <w:color w:val="231F1F"/>
          <w:sz w:val="22"/>
        </w:rPr>
        <w:t>necesidad</w:t>
      </w:r>
      <w:r>
        <w:rPr>
          <w:color w:val="231F1F"/>
          <w:spacing w:val="23"/>
          <w:sz w:val="22"/>
        </w:rPr>
        <w:t> </w:t>
      </w:r>
      <w:r>
        <w:rPr>
          <w:color w:val="231F1F"/>
          <w:sz w:val="22"/>
        </w:rPr>
        <w:t>de</w:t>
      </w:r>
      <w:r>
        <w:rPr>
          <w:color w:val="231F1F"/>
          <w:spacing w:val="24"/>
          <w:sz w:val="22"/>
        </w:rPr>
        <w:t> </w:t>
      </w:r>
      <w:r>
        <w:rPr>
          <w:color w:val="231F1F"/>
          <w:sz w:val="22"/>
        </w:rPr>
        <w:t>muestras</w:t>
      </w:r>
      <w:r>
        <w:rPr>
          <w:color w:val="231F1F"/>
          <w:spacing w:val="25"/>
          <w:sz w:val="22"/>
        </w:rPr>
        <w:t> </w:t>
      </w:r>
      <w:r>
        <w:rPr>
          <w:color w:val="231F1F"/>
          <w:sz w:val="22"/>
        </w:rPr>
        <w:t>de</w:t>
      </w:r>
      <w:r>
        <w:rPr>
          <w:color w:val="231F1F"/>
          <w:spacing w:val="26"/>
          <w:sz w:val="22"/>
        </w:rPr>
        <w:t> </w:t>
      </w:r>
      <w:r>
        <w:rPr>
          <w:color w:val="231F1F"/>
          <w:sz w:val="22"/>
        </w:rPr>
        <w:t>sangre</w:t>
      </w:r>
      <w:r>
        <w:rPr>
          <w:color w:val="231F1F"/>
          <w:spacing w:val="25"/>
          <w:sz w:val="22"/>
        </w:rPr>
        <w:t> </w:t>
      </w:r>
      <w:r>
        <w:rPr>
          <w:color w:val="231F1F"/>
          <w:sz w:val="22"/>
        </w:rPr>
        <w:t>fetal</w:t>
      </w:r>
      <w:r>
        <w:rPr>
          <w:color w:val="231F1F"/>
          <w:spacing w:val="25"/>
          <w:sz w:val="22"/>
        </w:rPr>
        <w:t> </w:t>
      </w:r>
      <w:r>
        <w:rPr>
          <w:color w:val="231F1F"/>
          <w:sz w:val="22"/>
        </w:rPr>
        <w:t>RR</w:t>
      </w:r>
      <w:r>
        <w:rPr>
          <w:color w:val="231F1F"/>
          <w:spacing w:val="23"/>
          <w:sz w:val="22"/>
        </w:rPr>
        <w:t> </w:t>
      </w:r>
      <w:r>
        <w:rPr>
          <w:color w:val="231F1F"/>
          <w:sz w:val="22"/>
        </w:rPr>
        <w:t>0,69</w:t>
      </w:r>
      <w:r>
        <w:rPr>
          <w:color w:val="231F1F"/>
          <w:spacing w:val="26"/>
          <w:sz w:val="22"/>
        </w:rPr>
        <w:t> </w:t>
      </w:r>
      <w:r>
        <w:rPr>
          <w:color w:val="231F1F"/>
          <w:sz w:val="22"/>
        </w:rPr>
        <w:t>[IC</w:t>
      </w:r>
      <w:r>
        <w:rPr>
          <w:color w:val="231F1F"/>
          <w:spacing w:val="25"/>
          <w:sz w:val="22"/>
        </w:rPr>
        <w:t> </w:t>
      </w:r>
      <w:r>
        <w:rPr>
          <w:color w:val="231F1F"/>
          <w:sz w:val="22"/>
        </w:rPr>
        <w:t>95%</w:t>
      </w:r>
      <w:r>
        <w:rPr>
          <w:color w:val="231F1F"/>
          <w:spacing w:val="27"/>
          <w:sz w:val="22"/>
        </w:rPr>
        <w:t> </w:t>
      </w:r>
      <w:r>
        <w:rPr>
          <w:color w:val="231F1F"/>
          <w:sz w:val="22"/>
        </w:rPr>
        <w:t>0,48</w:t>
      </w:r>
      <w:r>
        <w:rPr>
          <w:color w:val="231F1F"/>
          <w:spacing w:val="25"/>
          <w:sz w:val="22"/>
        </w:rPr>
        <w:t> </w:t>
      </w:r>
      <w:r>
        <w:rPr>
          <w:color w:val="231F1F"/>
          <w:sz w:val="22"/>
        </w:rPr>
        <w:t>a</w:t>
      </w:r>
      <w:r>
        <w:rPr>
          <w:color w:val="231F1F"/>
          <w:spacing w:val="25"/>
          <w:sz w:val="22"/>
        </w:rPr>
        <w:t> </w:t>
      </w:r>
      <w:r>
        <w:rPr>
          <w:color w:val="231F1F"/>
          <w:spacing w:val="-2"/>
          <w:sz w:val="22"/>
        </w:rPr>
        <w:t>1,00]</w:t>
      </w:r>
    </w:p>
    <w:p>
      <w:pPr>
        <w:pStyle w:val="ListParagraph"/>
        <w:numPr>
          <w:ilvl w:val="0"/>
          <w:numId w:val="91"/>
        </w:numPr>
        <w:tabs>
          <w:tab w:pos="961" w:val="left" w:leader="none"/>
        </w:tabs>
        <w:spacing w:line="244" w:lineRule="auto" w:before="170" w:after="0"/>
        <w:ind w:left="961" w:right="215" w:hanging="220"/>
        <w:jc w:val="left"/>
        <w:rPr>
          <w:sz w:val="22"/>
        </w:rPr>
      </w:pPr>
      <w:r>
        <w:rPr>
          <w:color w:val="231F1F"/>
          <w:sz w:val="22"/>
        </w:rPr>
        <w:t>número</w:t>
      </w:r>
      <w:r>
        <w:rPr>
          <w:color w:val="231F1F"/>
          <w:spacing w:val="27"/>
          <w:sz w:val="22"/>
        </w:rPr>
        <w:t> </w:t>
      </w:r>
      <w:r>
        <w:rPr>
          <w:color w:val="231F1F"/>
          <w:sz w:val="22"/>
        </w:rPr>
        <w:t>de</w:t>
      </w:r>
      <w:r>
        <w:rPr>
          <w:color w:val="231F1F"/>
          <w:spacing w:val="29"/>
          <w:sz w:val="22"/>
        </w:rPr>
        <w:t> </w:t>
      </w:r>
      <w:r>
        <w:rPr>
          <w:color w:val="231F1F"/>
          <w:sz w:val="22"/>
        </w:rPr>
        <w:t>RN</w:t>
      </w:r>
      <w:r>
        <w:rPr>
          <w:color w:val="231F1F"/>
          <w:spacing w:val="29"/>
          <w:sz w:val="22"/>
        </w:rPr>
        <w:t> </w:t>
      </w:r>
      <w:r>
        <w:rPr>
          <w:color w:val="231F1F"/>
          <w:sz w:val="22"/>
        </w:rPr>
        <w:t>que</w:t>
      </w:r>
      <w:r>
        <w:rPr>
          <w:color w:val="231F1F"/>
          <w:spacing w:val="29"/>
          <w:sz w:val="22"/>
        </w:rPr>
        <w:t> </w:t>
      </w:r>
      <w:r>
        <w:rPr>
          <w:color w:val="231F1F"/>
          <w:sz w:val="22"/>
        </w:rPr>
        <w:t>desarrollaban</w:t>
      </w:r>
      <w:r>
        <w:rPr>
          <w:color w:val="231F1F"/>
          <w:spacing w:val="29"/>
          <w:sz w:val="22"/>
        </w:rPr>
        <w:t> </w:t>
      </w:r>
      <w:r>
        <w:rPr>
          <w:color w:val="231F1F"/>
          <w:sz w:val="22"/>
        </w:rPr>
        <w:t>encefalopatía</w:t>
      </w:r>
      <w:r>
        <w:rPr>
          <w:color w:val="231F1F"/>
          <w:spacing w:val="29"/>
          <w:sz w:val="22"/>
        </w:rPr>
        <w:t> </w:t>
      </w:r>
      <w:r>
        <w:rPr>
          <w:color w:val="231F1F"/>
          <w:sz w:val="22"/>
        </w:rPr>
        <w:t>neonatal</w:t>
      </w:r>
      <w:r>
        <w:rPr>
          <w:color w:val="231F1F"/>
          <w:spacing w:val="27"/>
          <w:sz w:val="22"/>
        </w:rPr>
        <w:t> </w:t>
      </w:r>
      <w:r>
        <w:rPr>
          <w:color w:val="231F1F"/>
          <w:sz w:val="22"/>
        </w:rPr>
        <w:t>RR</w:t>
      </w:r>
      <w:r>
        <w:rPr>
          <w:color w:val="231F1F"/>
          <w:spacing w:val="29"/>
          <w:sz w:val="22"/>
        </w:rPr>
        <w:t> </w:t>
      </w:r>
      <w:r>
        <w:rPr>
          <w:color w:val="231F1F"/>
          <w:sz w:val="22"/>
        </w:rPr>
        <w:t>0,33</w:t>
      </w:r>
      <w:r>
        <w:rPr>
          <w:color w:val="231F1F"/>
          <w:spacing w:val="29"/>
          <w:sz w:val="22"/>
        </w:rPr>
        <w:t> </w:t>
      </w:r>
      <w:r>
        <w:rPr>
          <w:color w:val="231F1F"/>
          <w:sz w:val="22"/>
        </w:rPr>
        <w:t>[IC 95% 0,11 a 0,95]</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2"/>
        <w:rPr>
          <w:sz w:val="18"/>
        </w:rPr>
      </w:pPr>
    </w:p>
    <w:p>
      <w:pPr>
        <w:spacing w:line="278" w:lineRule="auto" w:before="0"/>
        <w:ind w:left="99" w:right="154" w:firstLine="0"/>
        <w:jc w:val="center"/>
        <w:rPr>
          <w:rFonts w:ascii="Arial MT"/>
          <w:sz w:val="18"/>
        </w:rPr>
      </w:pPr>
      <w:r>
        <w:rPr>
          <w:rFonts w:ascii="Arial MT"/>
          <w:color w:val="231F1F"/>
          <w:spacing w:val="-4"/>
          <w:sz w:val="18"/>
        </w:rPr>
        <w:t>RS-MA</w:t>
      </w:r>
      <w:r>
        <w:rPr>
          <w:rFonts w:ascii="Arial MT"/>
          <w:color w:val="231F1F"/>
          <w:spacing w:val="-19"/>
          <w:sz w:val="18"/>
        </w:rPr>
        <w:t> </w:t>
      </w:r>
      <w:r>
        <w:rPr>
          <w:rFonts w:ascii="Arial MT"/>
          <w:color w:val="231F1F"/>
          <w:spacing w:val="-4"/>
          <w:sz w:val="18"/>
        </w:rPr>
        <w:t>de ECAs</w:t>
      </w:r>
    </w:p>
    <w:p>
      <w:pPr>
        <w:spacing w:line="202" w:lineRule="exact" w:before="0"/>
        <w:ind w:left="387" w:right="442" w:firstLine="0"/>
        <w:jc w:val="center"/>
        <w:rPr>
          <w:rFonts w:ascii="Arial MT"/>
          <w:sz w:val="18"/>
        </w:rPr>
      </w:pPr>
      <w:r>
        <w:rPr>
          <w:rFonts w:ascii="Arial MT"/>
          <w:color w:val="231F1F"/>
          <w:spacing w:val="-5"/>
          <w:sz w:val="18"/>
        </w:rPr>
        <w:t>Ia</w:t>
      </w:r>
    </w:p>
    <w:p>
      <w:pPr>
        <w:spacing w:after="0" w:line="202" w:lineRule="exact"/>
        <w:jc w:val="center"/>
        <w:rPr>
          <w:rFonts w:ascii="Arial MT"/>
          <w:sz w:val="18"/>
        </w:rPr>
        <w:sectPr>
          <w:type w:val="continuous"/>
          <w:pgSz w:w="11900" w:h="16840"/>
          <w:pgMar w:header="0" w:footer="622" w:top="560" w:bottom="280" w:left="1417" w:right="1559"/>
          <w:cols w:num="2" w:equalWidth="0">
            <w:col w:w="7553" w:space="40"/>
            <w:col w:w="1331"/>
          </w:cols>
        </w:sectPr>
      </w:pPr>
    </w:p>
    <w:p>
      <w:pPr>
        <w:pStyle w:val="ListParagraph"/>
        <w:numPr>
          <w:ilvl w:val="0"/>
          <w:numId w:val="91"/>
        </w:numPr>
        <w:tabs>
          <w:tab w:pos="955" w:val="left" w:leader="none"/>
        </w:tabs>
        <w:spacing w:line="244" w:lineRule="auto" w:before="73" w:after="0"/>
        <w:ind w:left="955" w:right="63" w:hanging="219"/>
        <w:jc w:val="both"/>
        <w:rPr>
          <w:sz w:val="22"/>
        </w:rPr>
      </w:pPr>
      <w:r>
        <w:rPr>
          <w:color w:val="231F1F"/>
          <w:w w:val="105"/>
          <w:sz w:val="22"/>
        </w:rPr>
        <w:t>acidosis en la sangre de cordón umbilical (pH menor de 7,05, exceso de bases menor de −12 mmol/l), RR 0,53 [IC 95% 0,33 a 0,85]</w:t>
      </w:r>
    </w:p>
    <w:p>
      <w:pPr>
        <w:pStyle w:val="BodyText"/>
        <w:spacing w:line="252" w:lineRule="auto" w:before="103"/>
        <w:ind w:left="281" w:right="1" w:firstLine="453"/>
        <w:jc w:val="both"/>
      </w:pPr>
      <w:r>
        <w:rPr>
          <w:color w:val="231F1F"/>
          <w:w w:val="110"/>
        </w:rPr>
        <w:t>No</w:t>
      </w:r>
      <w:r>
        <w:rPr>
          <w:color w:val="231F1F"/>
          <w:spacing w:val="-2"/>
          <w:w w:val="110"/>
        </w:rPr>
        <w:t> </w:t>
      </w:r>
      <w:r>
        <w:rPr>
          <w:color w:val="231F1F"/>
          <w:w w:val="110"/>
        </w:rPr>
        <w:t>hubo</w:t>
      </w:r>
      <w:r>
        <w:rPr>
          <w:color w:val="231F1F"/>
          <w:spacing w:val="-2"/>
          <w:w w:val="110"/>
        </w:rPr>
        <w:t> </w:t>
      </w:r>
      <w:r>
        <w:rPr>
          <w:color w:val="231F1F"/>
          <w:w w:val="110"/>
        </w:rPr>
        <w:t>evidencia</w:t>
      </w:r>
      <w:r>
        <w:rPr>
          <w:color w:val="231F1F"/>
          <w:spacing w:val="-2"/>
          <w:w w:val="110"/>
        </w:rPr>
        <w:t> </w:t>
      </w:r>
      <w:r>
        <w:rPr>
          <w:color w:val="231F1F"/>
          <w:w w:val="110"/>
        </w:rPr>
        <w:t>de</w:t>
      </w:r>
      <w:r>
        <w:rPr>
          <w:color w:val="231F1F"/>
          <w:spacing w:val="-2"/>
          <w:w w:val="110"/>
        </w:rPr>
        <w:t> </w:t>
      </w:r>
      <w:r>
        <w:rPr>
          <w:color w:val="231F1F"/>
          <w:w w:val="110"/>
        </w:rPr>
        <w:t>diferencias</w:t>
      </w:r>
      <w:r>
        <w:rPr>
          <w:color w:val="231F1F"/>
          <w:spacing w:val="-3"/>
          <w:w w:val="110"/>
        </w:rPr>
        <w:t> </w:t>
      </w:r>
      <w:r>
        <w:rPr>
          <w:color w:val="231F1F"/>
          <w:w w:val="110"/>
        </w:rPr>
        <w:t>en</w:t>
      </w:r>
      <w:r>
        <w:rPr>
          <w:color w:val="231F1F"/>
          <w:spacing w:val="-2"/>
          <w:w w:val="110"/>
        </w:rPr>
        <w:t> </w:t>
      </w:r>
      <w:r>
        <w:rPr>
          <w:color w:val="231F1F"/>
          <w:w w:val="110"/>
        </w:rPr>
        <w:t>otros</w:t>
      </w:r>
      <w:r>
        <w:rPr>
          <w:color w:val="231F1F"/>
          <w:spacing w:val="-3"/>
          <w:w w:val="110"/>
        </w:rPr>
        <w:t> </w:t>
      </w:r>
      <w:r>
        <w:rPr>
          <w:color w:val="231F1F"/>
          <w:w w:val="110"/>
        </w:rPr>
        <w:t>resultados</w:t>
      </w:r>
      <w:r>
        <w:rPr>
          <w:color w:val="231F1F"/>
          <w:spacing w:val="-2"/>
          <w:w w:val="110"/>
        </w:rPr>
        <w:t> </w:t>
      </w:r>
      <w:r>
        <w:rPr>
          <w:color w:val="231F1F"/>
          <w:w w:val="110"/>
        </w:rPr>
        <w:t>neonatales</w:t>
      </w:r>
      <w:r>
        <w:rPr>
          <w:color w:val="231F1F"/>
          <w:spacing w:val="-3"/>
          <w:w w:val="110"/>
        </w:rPr>
        <w:t> </w:t>
      </w:r>
      <w:r>
        <w:rPr>
          <w:color w:val="231F1F"/>
          <w:w w:val="110"/>
        </w:rPr>
        <w:t>como </w:t>
      </w:r>
      <w:r>
        <w:rPr>
          <w:color w:val="231F1F"/>
        </w:rPr>
        <w:t>la</w:t>
      </w:r>
      <w:r>
        <w:rPr>
          <w:color w:val="231F1F"/>
          <w:spacing w:val="29"/>
        </w:rPr>
        <w:t> </w:t>
      </w:r>
      <w:r>
        <w:rPr>
          <w:color w:val="231F1F"/>
        </w:rPr>
        <w:t>mortalidad</w:t>
      </w:r>
      <w:r>
        <w:rPr>
          <w:color w:val="231F1F"/>
          <w:spacing w:val="29"/>
        </w:rPr>
        <w:t> </w:t>
      </w:r>
      <w:r>
        <w:rPr>
          <w:color w:val="231F1F"/>
        </w:rPr>
        <w:t>perinatal,</w:t>
      </w:r>
      <w:r>
        <w:rPr>
          <w:color w:val="231F1F"/>
          <w:spacing w:val="28"/>
        </w:rPr>
        <w:t> </w:t>
      </w:r>
      <w:r>
        <w:rPr>
          <w:color w:val="231F1F"/>
        </w:rPr>
        <w:t>RR</w:t>
      </w:r>
      <w:r>
        <w:rPr>
          <w:color w:val="231F1F"/>
          <w:spacing w:val="28"/>
        </w:rPr>
        <w:t> </w:t>
      </w:r>
      <w:r>
        <w:rPr>
          <w:color w:val="231F1F"/>
        </w:rPr>
        <w:t>2,16</w:t>
      </w:r>
      <w:r>
        <w:rPr>
          <w:color w:val="231F1F"/>
          <w:spacing w:val="28"/>
        </w:rPr>
        <w:t> </w:t>
      </w:r>
      <w:r>
        <w:rPr>
          <w:color w:val="231F1F"/>
        </w:rPr>
        <w:t>[IC</w:t>
      </w:r>
      <w:r>
        <w:rPr>
          <w:color w:val="231F1F"/>
          <w:spacing w:val="28"/>
        </w:rPr>
        <w:t> </w:t>
      </w:r>
      <w:r>
        <w:rPr>
          <w:color w:val="231F1F"/>
        </w:rPr>
        <w:t>95%</w:t>
      </w:r>
      <w:r>
        <w:rPr>
          <w:color w:val="231F1F"/>
          <w:spacing w:val="28"/>
        </w:rPr>
        <w:t> </w:t>
      </w:r>
      <w:r>
        <w:rPr>
          <w:color w:val="231F1F"/>
        </w:rPr>
        <w:t>0,48</w:t>
      </w:r>
      <w:r>
        <w:rPr>
          <w:color w:val="231F1F"/>
          <w:spacing w:val="28"/>
        </w:rPr>
        <w:t> </w:t>
      </w:r>
      <w:r>
        <w:rPr>
          <w:color w:val="231F1F"/>
        </w:rPr>
        <w:t>a</w:t>
      </w:r>
      <w:r>
        <w:rPr>
          <w:color w:val="231F1F"/>
          <w:spacing w:val="29"/>
        </w:rPr>
        <w:t> </w:t>
      </w:r>
      <w:r>
        <w:rPr>
          <w:color w:val="231F1F"/>
        </w:rPr>
        <w:t>9,58],</w:t>
      </w:r>
      <w:r>
        <w:rPr>
          <w:color w:val="231F1F"/>
          <w:spacing w:val="29"/>
        </w:rPr>
        <w:t> </w:t>
      </w:r>
      <w:r>
        <w:rPr>
          <w:color w:val="231F1F"/>
        </w:rPr>
        <w:t>puntuaciones</w:t>
      </w:r>
      <w:r>
        <w:rPr>
          <w:color w:val="231F1F"/>
          <w:spacing w:val="29"/>
        </w:rPr>
        <w:t> </w:t>
      </w:r>
      <w:r>
        <w:rPr>
          <w:color w:val="231F1F"/>
        </w:rPr>
        <w:t>en</w:t>
      </w:r>
      <w:r>
        <w:rPr>
          <w:color w:val="231F1F"/>
          <w:spacing w:val="29"/>
        </w:rPr>
        <w:t> </w:t>
      </w:r>
      <w:r>
        <w:rPr>
          <w:color w:val="231F1F"/>
        </w:rPr>
        <w:t>el</w:t>
      </w:r>
      <w:r>
        <w:rPr>
          <w:color w:val="231F1F"/>
          <w:spacing w:val="29"/>
        </w:rPr>
        <w:t> </w:t>
      </w:r>
      <w:r>
        <w:rPr>
          <w:color w:val="231F1F"/>
        </w:rPr>
        <w:t>test </w:t>
      </w:r>
      <w:r>
        <w:rPr>
          <w:color w:val="231F1F"/>
          <w:w w:val="110"/>
        </w:rPr>
        <w:t>de</w:t>
      </w:r>
      <w:r>
        <w:rPr>
          <w:color w:val="231F1F"/>
          <w:spacing w:val="-12"/>
          <w:w w:val="110"/>
        </w:rPr>
        <w:t> </w:t>
      </w:r>
      <w:r>
        <w:rPr>
          <w:color w:val="231F1F"/>
          <w:w w:val="110"/>
        </w:rPr>
        <w:t>Apgar&lt;7</w:t>
      </w:r>
      <w:r>
        <w:rPr>
          <w:color w:val="231F1F"/>
          <w:spacing w:val="-12"/>
          <w:w w:val="110"/>
        </w:rPr>
        <w:t> </w:t>
      </w:r>
      <w:r>
        <w:rPr>
          <w:color w:val="231F1F"/>
          <w:w w:val="110"/>
        </w:rPr>
        <w:t>a</w:t>
      </w:r>
      <w:r>
        <w:rPr>
          <w:color w:val="231F1F"/>
          <w:spacing w:val="-12"/>
          <w:w w:val="110"/>
        </w:rPr>
        <w:t> </w:t>
      </w:r>
      <w:r>
        <w:rPr>
          <w:color w:val="231F1F"/>
          <w:w w:val="110"/>
        </w:rPr>
        <w:t>los</w:t>
      </w:r>
      <w:r>
        <w:rPr>
          <w:color w:val="231F1F"/>
          <w:spacing w:val="-13"/>
          <w:w w:val="110"/>
        </w:rPr>
        <w:t> </w:t>
      </w:r>
      <w:r>
        <w:rPr>
          <w:color w:val="231F1F"/>
          <w:w w:val="110"/>
        </w:rPr>
        <w:t>5</w:t>
      </w:r>
      <w:r>
        <w:rPr>
          <w:color w:val="231F1F"/>
          <w:spacing w:val="-12"/>
          <w:w w:val="110"/>
        </w:rPr>
        <w:t> </w:t>
      </w:r>
      <w:r>
        <w:rPr>
          <w:color w:val="231F1F"/>
          <w:w w:val="110"/>
        </w:rPr>
        <w:t>minutos,</w:t>
      </w:r>
      <w:r>
        <w:rPr>
          <w:color w:val="231F1F"/>
          <w:spacing w:val="-13"/>
          <w:w w:val="110"/>
        </w:rPr>
        <w:t> </w:t>
      </w:r>
      <w:r>
        <w:rPr>
          <w:color w:val="231F1F"/>
          <w:w w:val="110"/>
        </w:rPr>
        <w:t>RR</w:t>
      </w:r>
      <w:r>
        <w:rPr>
          <w:color w:val="231F1F"/>
          <w:spacing w:val="-12"/>
          <w:w w:val="110"/>
        </w:rPr>
        <w:t> </w:t>
      </w:r>
      <w:r>
        <w:rPr>
          <w:color w:val="231F1F"/>
          <w:w w:val="110"/>
        </w:rPr>
        <w:t>0,80</w:t>
      </w:r>
      <w:r>
        <w:rPr>
          <w:color w:val="231F1F"/>
          <w:spacing w:val="-12"/>
          <w:w w:val="110"/>
        </w:rPr>
        <w:t> </w:t>
      </w:r>
      <w:r>
        <w:rPr>
          <w:color w:val="231F1F"/>
          <w:w w:val="110"/>
        </w:rPr>
        <w:t>[IC</w:t>
      </w:r>
      <w:r>
        <w:rPr>
          <w:color w:val="231F1F"/>
          <w:spacing w:val="-12"/>
          <w:w w:val="110"/>
        </w:rPr>
        <w:t> </w:t>
      </w:r>
      <w:r>
        <w:rPr>
          <w:color w:val="231F1F"/>
          <w:w w:val="110"/>
        </w:rPr>
        <w:t>95%</w:t>
      </w:r>
      <w:r>
        <w:rPr>
          <w:color w:val="231F1F"/>
          <w:spacing w:val="-11"/>
          <w:w w:val="110"/>
        </w:rPr>
        <w:t> </w:t>
      </w:r>
      <w:r>
        <w:rPr>
          <w:color w:val="231F1F"/>
          <w:w w:val="110"/>
        </w:rPr>
        <w:t>0,56</w:t>
      </w:r>
      <w:r>
        <w:rPr>
          <w:color w:val="231F1F"/>
          <w:spacing w:val="-12"/>
          <w:w w:val="110"/>
        </w:rPr>
        <w:t> </w:t>
      </w:r>
      <w:r>
        <w:rPr>
          <w:color w:val="231F1F"/>
          <w:w w:val="110"/>
        </w:rPr>
        <w:t>a</w:t>
      </w:r>
      <w:r>
        <w:rPr>
          <w:color w:val="231F1F"/>
          <w:spacing w:val="-12"/>
          <w:w w:val="110"/>
        </w:rPr>
        <w:t> </w:t>
      </w:r>
      <w:r>
        <w:rPr>
          <w:color w:val="231F1F"/>
          <w:w w:val="110"/>
        </w:rPr>
        <w:t>1,14]</w:t>
      </w:r>
      <w:r>
        <w:rPr>
          <w:color w:val="231F1F"/>
          <w:spacing w:val="-13"/>
          <w:w w:val="110"/>
        </w:rPr>
        <w:t> </w:t>
      </w:r>
      <w:r>
        <w:rPr>
          <w:color w:val="231F1F"/>
          <w:w w:val="110"/>
        </w:rPr>
        <w:t>o</w:t>
      </w:r>
      <w:r>
        <w:rPr>
          <w:color w:val="231F1F"/>
          <w:spacing w:val="-12"/>
          <w:w w:val="110"/>
        </w:rPr>
        <w:t> </w:t>
      </w:r>
      <w:r>
        <w:rPr>
          <w:color w:val="231F1F"/>
          <w:w w:val="110"/>
        </w:rPr>
        <w:t>ingreso</w:t>
      </w:r>
      <w:r>
        <w:rPr>
          <w:color w:val="231F1F"/>
          <w:spacing w:val="-12"/>
          <w:w w:val="110"/>
        </w:rPr>
        <w:t> </w:t>
      </w:r>
      <w:r>
        <w:rPr>
          <w:color w:val="231F1F"/>
          <w:w w:val="110"/>
        </w:rPr>
        <w:t>en</w:t>
      </w:r>
      <w:r>
        <w:rPr>
          <w:color w:val="231F1F"/>
          <w:spacing w:val="-12"/>
          <w:w w:val="110"/>
        </w:rPr>
        <w:t> </w:t>
      </w:r>
      <w:r>
        <w:rPr>
          <w:color w:val="231F1F"/>
          <w:w w:val="110"/>
        </w:rPr>
        <w:t>uni- </w:t>
      </w:r>
      <w:r>
        <w:rPr>
          <w:color w:val="231F1F"/>
          <w:spacing w:val="-2"/>
          <w:w w:val="110"/>
        </w:rPr>
        <w:t>dades</w:t>
      </w:r>
      <w:r>
        <w:rPr>
          <w:color w:val="231F1F"/>
          <w:spacing w:val="-9"/>
          <w:w w:val="110"/>
        </w:rPr>
        <w:t> </w:t>
      </w:r>
      <w:r>
        <w:rPr>
          <w:color w:val="231F1F"/>
          <w:spacing w:val="-2"/>
          <w:w w:val="110"/>
        </w:rPr>
        <w:t>neonatales,</w:t>
      </w:r>
      <w:r>
        <w:rPr>
          <w:color w:val="231F1F"/>
          <w:spacing w:val="-10"/>
          <w:w w:val="110"/>
        </w:rPr>
        <w:t> </w:t>
      </w:r>
      <w:r>
        <w:rPr>
          <w:color w:val="231F1F"/>
          <w:spacing w:val="-2"/>
          <w:w w:val="110"/>
        </w:rPr>
        <w:t>RR</w:t>
      </w:r>
      <w:r>
        <w:rPr>
          <w:color w:val="231F1F"/>
          <w:spacing w:val="-8"/>
          <w:w w:val="110"/>
        </w:rPr>
        <w:t> </w:t>
      </w:r>
      <w:r>
        <w:rPr>
          <w:color w:val="231F1F"/>
          <w:spacing w:val="-2"/>
          <w:w w:val="110"/>
        </w:rPr>
        <w:t>0,90</w:t>
      </w:r>
      <w:r>
        <w:rPr>
          <w:color w:val="231F1F"/>
          <w:spacing w:val="-9"/>
          <w:w w:val="110"/>
        </w:rPr>
        <w:t> </w:t>
      </w:r>
      <w:r>
        <w:rPr>
          <w:color w:val="231F1F"/>
          <w:spacing w:val="-2"/>
          <w:w w:val="110"/>
        </w:rPr>
        <w:t>[IC</w:t>
      </w:r>
      <w:r>
        <w:rPr>
          <w:color w:val="231F1F"/>
          <w:spacing w:val="-9"/>
          <w:w w:val="110"/>
        </w:rPr>
        <w:t> </w:t>
      </w:r>
      <w:r>
        <w:rPr>
          <w:color w:val="231F1F"/>
          <w:spacing w:val="-2"/>
          <w:w w:val="110"/>
        </w:rPr>
        <w:t>95%</w:t>
      </w:r>
      <w:r>
        <w:rPr>
          <w:color w:val="231F1F"/>
          <w:spacing w:val="-8"/>
          <w:w w:val="110"/>
        </w:rPr>
        <w:t> </w:t>
      </w:r>
      <w:r>
        <w:rPr>
          <w:color w:val="231F1F"/>
          <w:spacing w:val="-2"/>
          <w:w w:val="110"/>
        </w:rPr>
        <w:t>0,75</w:t>
      </w:r>
      <w:r>
        <w:rPr>
          <w:color w:val="231F1F"/>
          <w:spacing w:val="-9"/>
          <w:w w:val="110"/>
        </w:rPr>
        <w:t> </w:t>
      </w:r>
      <w:r>
        <w:rPr>
          <w:color w:val="231F1F"/>
          <w:spacing w:val="-2"/>
          <w:w w:val="110"/>
        </w:rPr>
        <w:t>a</w:t>
      </w:r>
      <w:r>
        <w:rPr>
          <w:color w:val="231F1F"/>
          <w:spacing w:val="-9"/>
          <w:w w:val="110"/>
        </w:rPr>
        <w:t> </w:t>
      </w:r>
      <w:r>
        <w:rPr>
          <w:color w:val="231F1F"/>
          <w:spacing w:val="-2"/>
          <w:w w:val="110"/>
        </w:rPr>
        <w:t>1,08].</w:t>
      </w:r>
      <w:r>
        <w:rPr>
          <w:color w:val="231F1F"/>
          <w:spacing w:val="-10"/>
          <w:w w:val="110"/>
        </w:rPr>
        <w:t> </w:t>
      </w:r>
      <w:r>
        <w:rPr>
          <w:color w:val="231F1F"/>
          <w:spacing w:val="-2"/>
          <w:w w:val="110"/>
        </w:rPr>
        <w:t>Cuando</w:t>
      </w:r>
      <w:r>
        <w:rPr>
          <w:color w:val="231F1F"/>
          <w:spacing w:val="-9"/>
          <w:w w:val="110"/>
        </w:rPr>
        <w:t> </w:t>
      </w:r>
      <w:r>
        <w:rPr>
          <w:color w:val="231F1F"/>
          <w:spacing w:val="-2"/>
          <w:w w:val="110"/>
        </w:rPr>
        <w:t>se</w:t>
      </w:r>
      <w:r>
        <w:rPr>
          <w:color w:val="231F1F"/>
          <w:spacing w:val="-9"/>
          <w:w w:val="110"/>
        </w:rPr>
        <w:t> </w:t>
      </w:r>
      <w:r>
        <w:rPr>
          <w:color w:val="231F1F"/>
          <w:spacing w:val="-2"/>
          <w:w w:val="110"/>
        </w:rPr>
        <w:t>combina</w:t>
      </w:r>
      <w:r>
        <w:rPr>
          <w:color w:val="231F1F"/>
          <w:spacing w:val="-9"/>
          <w:w w:val="110"/>
        </w:rPr>
        <w:t> </w:t>
      </w:r>
      <w:r>
        <w:rPr>
          <w:color w:val="231F1F"/>
          <w:spacing w:val="-2"/>
          <w:w w:val="110"/>
        </w:rPr>
        <w:t>la</w:t>
      </w:r>
      <w:r>
        <w:rPr>
          <w:color w:val="231F1F"/>
          <w:spacing w:val="-9"/>
          <w:w w:val="110"/>
        </w:rPr>
        <w:t> </w:t>
      </w:r>
      <w:r>
        <w:rPr>
          <w:color w:val="231F1F"/>
          <w:spacing w:val="-2"/>
          <w:w w:val="110"/>
        </w:rPr>
        <w:t>mor- </w:t>
      </w:r>
      <w:r>
        <w:rPr>
          <w:color w:val="231F1F"/>
          <w:w w:val="110"/>
        </w:rPr>
        <w:t>talidad</w:t>
      </w:r>
      <w:r>
        <w:rPr>
          <w:color w:val="231F1F"/>
          <w:spacing w:val="-1"/>
          <w:w w:val="110"/>
        </w:rPr>
        <w:t> </w:t>
      </w:r>
      <w:r>
        <w:rPr>
          <w:color w:val="231F1F"/>
          <w:w w:val="110"/>
        </w:rPr>
        <w:t>perinatal</w:t>
      </w:r>
      <w:r>
        <w:rPr>
          <w:color w:val="231F1F"/>
          <w:spacing w:val="-2"/>
          <w:w w:val="110"/>
        </w:rPr>
        <w:t> </w:t>
      </w:r>
      <w:r>
        <w:rPr>
          <w:color w:val="231F1F"/>
          <w:w w:val="110"/>
        </w:rPr>
        <w:t>y</w:t>
      </w:r>
      <w:r>
        <w:rPr>
          <w:color w:val="231F1F"/>
          <w:spacing w:val="-1"/>
          <w:w w:val="110"/>
        </w:rPr>
        <w:t> </w:t>
      </w:r>
      <w:r>
        <w:rPr>
          <w:color w:val="231F1F"/>
          <w:w w:val="110"/>
        </w:rPr>
        <w:t>la</w:t>
      </w:r>
      <w:r>
        <w:rPr>
          <w:color w:val="231F1F"/>
          <w:spacing w:val="-1"/>
          <w:w w:val="110"/>
        </w:rPr>
        <w:t> </w:t>
      </w:r>
      <w:r>
        <w:rPr>
          <w:color w:val="231F1F"/>
          <w:w w:val="110"/>
        </w:rPr>
        <w:t>encefalopatía</w:t>
      </w:r>
      <w:r>
        <w:rPr>
          <w:color w:val="231F1F"/>
          <w:spacing w:val="-1"/>
          <w:w w:val="110"/>
        </w:rPr>
        <w:t> </w:t>
      </w:r>
      <w:r>
        <w:rPr>
          <w:color w:val="231F1F"/>
          <w:w w:val="110"/>
        </w:rPr>
        <w:t>neonatal,</w:t>
      </w:r>
      <w:r>
        <w:rPr>
          <w:color w:val="231F1F"/>
          <w:spacing w:val="-2"/>
          <w:w w:val="110"/>
        </w:rPr>
        <w:t> </w:t>
      </w:r>
      <w:r>
        <w:rPr>
          <w:color w:val="231F1F"/>
          <w:w w:val="110"/>
        </w:rPr>
        <w:t>no</w:t>
      </w:r>
      <w:r>
        <w:rPr>
          <w:color w:val="231F1F"/>
          <w:spacing w:val="-1"/>
          <w:w w:val="110"/>
        </w:rPr>
        <w:t> </w:t>
      </w:r>
      <w:r>
        <w:rPr>
          <w:color w:val="231F1F"/>
          <w:w w:val="110"/>
        </w:rPr>
        <w:t>se</w:t>
      </w:r>
      <w:r>
        <w:rPr>
          <w:color w:val="231F1F"/>
          <w:spacing w:val="-1"/>
          <w:w w:val="110"/>
        </w:rPr>
        <w:t> </w:t>
      </w:r>
      <w:r>
        <w:rPr>
          <w:color w:val="231F1F"/>
          <w:w w:val="110"/>
        </w:rPr>
        <w:t>encontraron</w:t>
      </w:r>
      <w:r>
        <w:rPr>
          <w:color w:val="231F1F"/>
          <w:spacing w:val="-1"/>
          <w:w w:val="110"/>
        </w:rPr>
        <w:t> </w:t>
      </w:r>
      <w:r>
        <w:rPr>
          <w:color w:val="231F1F"/>
          <w:w w:val="110"/>
        </w:rPr>
        <w:t>diferencias, RR 0,60 [IC 95% 0,27 a 1,34].</w:t>
      </w:r>
    </w:p>
    <w:p>
      <w:pPr>
        <w:pStyle w:val="BodyText"/>
        <w:spacing w:line="244" w:lineRule="auto" w:before="48"/>
        <w:ind w:left="283" w:right="2" w:firstLine="453"/>
        <w:jc w:val="both"/>
      </w:pPr>
      <w:r>
        <w:rPr>
          <w:color w:val="231F1F"/>
          <w:w w:val="110"/>
        </w:rPr>
        <w:t>La</w:t>
      </w:r>
      <w:r>
        <w:rPr>
          <w:color w:val="231F1F"/>
          <w:spacing w:val="-11"/>
          <w:w w:val="110"/>
        </w:rPr>
        <w:t> </w:t>
      </w:r>
      <w:r>
        <w:rPr>
          <w:color w:val="231F1F"/>
          <w:w w:val="110"/>
        </w:rPr>
        <w:t>evidencia</w:t>
      </w:r>
      <w:r>
        <w:rPr>
          <w:color w:val="231F1F"/>
          <w:spacing w:val="-12"/>
          <w:w w:val="110"/>
        </w:rPr>
        <w:t> </w:t>
      </w:r>
      <w:r>
        <w:rPr>
          <w:color w:val="231F1F"/>
          <w:w w:val="110"/>
        </w:rPr>
        <w:t>es</w:t>
      </w:r>
      <w:r>
        <w:rPr>
          <w:color w:val="231F1F"/>
          <w:spacing w:val="-12"/>
          <w:w w:val="110"/>
        </w:rPr>
        <w:t> </w:t>
      </w:r>
      <w:r>
        <w:rPr>
          <w:color w:val="231F1F"/>
          <w:w w:val="110"/>
        </w:rPr>
        <w:t>de</w:t>
      </w:r>
      <w:r>
        <w:rPr>
          <w:color w:val="231F1F"/>
          <w:spacing w:val="-11"/>
          <w:w w:val="110"/>
        </w:rPr>
        <w:t> </w:t>
      </w:r>
      <w:r>
        <w:rPr>
          <w:color w:val="231F1F"/>
          <w:w w:val="110"/>
        </w:rPr>
        <w:t>buena</w:t>
      </w:r>
      <w:r>
        <w:rPr>
          <w:color w:val="231F1F"/>
          <w:spacing w:val="-12"/>
          <w:w w:val="110"/>
        </w:rPr>
        <w:t> </w:t>
      </w:r>
      <w:r>
        <w:rPr>
          <w:color w:val="231F1F"/>
          <w:w w:val="110"/>
        </w:rPr>
        <w:t>calidad</w:t>
      </w:r>
      <w:r>
        <w:rPr>
          <w:color w:val="231F1F"/>
          <w:spacing w:val="-11"/>
          <w:w w:val="110"/>
        </w:rPr>
        <w:t> </w:t>
      </w:r>
      <w:r>
        <w:rPr>
          <w:color w:val="231F1F"/>
          <w:w w:val="110"/>
        </w:rPr>
        <w:t>pero</w:t>
      </w:r>
      <w:r>
        <w:rPr>
          <w:color w:val="231F1F"/>
          <w:spacing w:val="-12"/>
          <w:w w:val="110"/>
        </w:rPr>
        <w:t> </w:t>
      </w:r>
      <w:r>
        <w:rPr>
          <w:color w:val="231F1F"/>
          <w:w w:val="110"/>
        </w:rPr>
        <w:t>se</w:t>
      </w:r>
      <w:r>
        <w:rPr>
          <w:color w:val="231F1F"/>
          <w:spacing w:val="-12"/>
          <w:w w:val="110"/>
        </w:rPr>
        <w:t> </w:t>
      </w:r>
      <w:r>
        <w:rPr>
          <w:color w:val="231F1F"/>
          <w:w w:val="110"/>
        </w:rPr>
        <w:t>trata</w:t>
      </w:r>
      <w:r>
        <w:rPr>
          <w:color w:val="231F1F"/>
          <w:spacing w:val="-11"/>
          <w:w w:val="110"/>
        </w:rPr>
        <w:t> </w:t>
      </w:r>
      <w:r>
        <w:rPr>
          <w:color w:val="231F1F"/>
          <w:w w:val="110"/>
        </w:rPr>
        <w:t>de</w:t>
      </w:r>
      <w:r>
        <w:rPr>
          <w:color w:val="231F1F"/>
          <w:spacing w:val="-11"/>
          <w:w w:val="110"/>
        </w:rPr>
        <w:t> </w:t>
      </w:r>
      <w:r>
        <w:rPr>
          <w:color w:val="231F1F"/>
          <w:w w:val="110"/>
        </w:rPr>
        <w:t>estudios</w:t>
      </w:r>
      <w:r>
        <w:rPr>
          <w:color w:val="231F1F"/>
          <w:spacing w:val="-11"/>
          <w:w w:val="110"/>
        </w:rPr>
        <w:t> </w:t>
      </w:r>
      <w:r>
        <w:rPr>
          <w:color w:val="231F1F"/>
          <w:w w:val="110"/>
        </w:rPr>
        <w:t>realizados</w:t>
      </w:r>
      <w:r>
        <w:rPr>
          <w:color w:val="231F1F"/>
          <w:spacing w:val="-11"/>
          <w:w w:val="110"/>
        </w:rPr>
        <w:t> </w:t>
      </w:r>
      <w:r>
        <w:rPr>
          <w:color w:val="231F1F"/>
          <w:w w:val="110"/>
        </w:rPr>
        <w:t>en mujeres</w:t>
      </w:r>
      <w:r>
        <w:rPr>
          <w:color w:val="231F1F"/>
          <w:spacing w:val="-16"/>
          <w:w w:val="110"/>
        </w:rPr>
        <w:t> </w:t>
      </w:r>
      <w:r>
        <w:rPr>
          <w:color w:val="231F1F"/>
          <w:w w:val="110"/>
        </w:rPr>
        <w:t>de</w:t>
      </w:r>
      <w:r>
        <w:rPr>
          <w:color w:val="231F1F"/>
          <w:spacing w:val="-15"/>
          <w:w w:val="110"/>
        </w:rPr>
        <w:t> </w:t>
      </w:r>
      <w:r>
        <w:rPr>
          <w:color w:val="231F1F"/>
          <w:w w:val="110"/>
        </w:rPr>
        <w:t>alto</w:t>
      </w:r>
      <w:r>
        <w:rPr>
          <w:color w:val="231F1F"/>
          <w:spacing w:val="-15"/>
          <w:w w:val="110"/>
        </w:rPr>
        <w:t> </w:t>
      </w:r>
      <w:r>
        <w:rPr>
          <w:color w:val="231F1F"/>
          <w:w w:val="110"/>
        </w:rPr>
        <w:t>riesgo</w:t>
      </w:r>
      <w:r>
        <w:rPr>
          <w:color w:val="231F1F"/>
          <w:spacing w:val="-15"/>
          <w:w w:val="110"/>
        </w:rPr>
        <w:t> </w:t>
      </w:r>
      <w:r>
        <w:rPr>
          <w:color w:val="231F1F"/>
          <w:w w:val="110"/>
        </w:rPr>
        <w:t>por</w:t>
      </w:r>
      <w:r>
        <w:rPr>
          <w:color w:val="231F1F"/>
          <w:spacing w:val="-15"/>
          <w:w w:val="110"/>
        </w:rPr>
        <w:t> </w:t>
      </w:r>
      <w:r>
        <w:rPr>
          <w:color w:val="231F1F"/>
          <w:w w:val="110"/>
        </w:rPr>
        <w:t>lo</w:t>
      </w:r>
      <w:r>
        <w:rPr>
          <w:color w:val="231F1F"/>
          <w:spacing w:val="-15"/>
          <w:w w:val="110"/>
        </w:rPr>
        <w:t> </w:t>
      </w:r>
      <w:r>
        <w:rPr>
          <w:color w:val="231F1F"/>
          <w:w w:val="110"/>
        </w:rPr>
        <w:t>que</w:t>
      </w:r>
      <w:r>
        <w:rPr>
          <w:color w:val="231F1F"/>
          <w:spacing w:val="-15"/>
          <w:w w:val="110"/>
        </w:rPr>
        <w:t> </w:t>
      </w:r>
      <w:r>
        <w:rPr>
          <w:color w:val="231F1F"/>
          <w:w w:val="110"/>
        </w:rPr>
        <w:t>hay</w:t>
      </w:r>
      <w:r>
        <w:rPr>
          <w:color w:val="231F1F"/>
          <w:spacing w:val="-15"/>
          <w:w w:val="110"/>
        </w:rPr>
        <w:t> </w:t>
      </w:r>
      <w:r>
        <w:rPr>
          <w:color w:val="231F1F"/>
          <w:w w:val="110"/>
        </w:rPr>
        <w:t>que</w:t>
      </w:r>
      <w:r>
        <w:rPr>
          <w:color w:val="231F1F"/>
          <w:spacing w:val="-15"/>
          <w:w w:val="110"/>
        </w:rPr>
        <w:t> </w:t>
      </w:r>
      <w:r>
        <w:rPr>
          <w:color w:val="231F1F"/>
          <w:w w:val="110"/>
        </w:rPr>
        <w:t>tener</w:t>
      </w:r>
      <w:r>
        <w:rPr>
          <w:color w:val="231F1F"/>
          <w:spacing w:val="-15"/>
          <w:w w:val="110"/>
        </w:rPr>
        <w:t> </w:t>
      </w:r>
      <w:r>
        <w:rPr>
          <w:color w:val="231F1F"/>
          <w:w w:val="110"/>
        </w:rPr>
        <w:t>en</w:t>
      </w:r>
      <w:r>
        <w:rPr>
          <w:color w:val="231F1F"/>
          <w:spacing w:val="-15"/>
          <w:w w:val="110"/>
        </w:rPr>
        <w:t> </w:t>
      </w:r>
      <w:r>
        <w:rPr>
          <w:color w:val="231F1F"/>
          <w:w w:val="110"/>
        </w:rPr>
        <w:t>cuenta</w:t>
      </w:r>
      <w:r>
        <w:rPr>
          <w:color w:val="231F1F"/>
          <w:spacing w:val="-15"/>
          <w:w w:val="110"/>
        </w:rPr>
        <w:t> </w:t>
      </w:r>
      <w:r>
        <w:rPr>
          <w:color w:val="231F1F"/>
          <w:w w:val="110"/>
        </w:rPr>
        <w:t>cuando</w:t>
      </w:r>
      <w:r>
        <w:rPr>
          <w:color w:val="231F1F"/>
          <w:spacing w:val="-15"/>
          <w:w w:val="110"/>
        </w:rPr>
        <w:t> </w:t>
      </w:r>
      <w:r>
        <w:rPr>
          <w:color w:val="231F1F"/>
          <w:w w:val="110"/>
        </w:rPr>
        <w:t>se</w:t>
      </w:r>
      <w:r>
        <w:rPr>
          <w:color w:val="231F1F"/>
          <w:spacing w:val="-15"/>
          <w:w w:val="110"/>
        </w:rPr>
        <w:t> </w:t>
      </w:r>
      <w:r>
        <w:rPr>
          <w:color w:val="231F1F"/>
          <w:w w:val="110"/>
        </w:rPr>
        <w:t>interpre- tan y aplican a mujeres de bajo riesgo.</w:t>
      </w:r>
    </w:p>
    <w:p>
      <w:pPr>
        <w:pStyle w:val="BodyText"/>
        <w:spacing w:before="153"/>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z w:val="24"/>
        </w:rPr>
        <w:t>mayo</w:t>
      </w:r>
      <w:r>
        <w:rPr>
          <w:rFonts w:ascii="Arial MT" w:hAnsi="Arial MT"/>
          <w:color w:val="231F1F"/>
          <w:spacing w:val="16"/>
          <w:sz w:val="24"/>
        </w:rPr>
        <w:t> </w:t>
      </w:r>
      <w:r>
        <w:rPr>
          <w:rFonts w:ascii="Arial MT" w:hAnsi="Arial MT"/>
          <w:color w:val="231F1F"/>
          <w:spacing w:val="-2"/>
          <w:sz w:val="24"/>
        </w:rPr>
        <w:t>2008)</w:t>
      </w:r>
    </w:p>
    <w:p>
      <w:pPr>
        <w:pStyle w:val="BodyText"/>
        <w:spacing w:line="249" w:lineRule="auto" w:before="214"/>
        <w:ind w:left="283" w:right="1"/>
        <w:jc w:val="both"/>
      </w:pPr>
      <w:r>
        <w:rPr>
          <w:color w:val="231F1F"/>
          <w:w w:val="105"/>
        </w:rPr>
        <w:t>En</w:t>
      </w:r>
      <w:r>
        <w:rPr>
          <w:color w:val="231F1F"/>
          <w:w w:val="105"/>
        </w:rPr>
        <w:t> la</w:t>
      </w:r>
      <w:r>
        <w:rPr>
          <w:color w:val="231F1F"/>
          <w:w w:val="105"/>
        </w:rPr>
        <w:t> búsqueda</w:t>
      </w:r>
      <w:r>
        <w:rPr>
          <w:color w:val="231F1F"/>
          <w:w w:val="105"/>
        </w:rPr>
        <w:t> de</w:t>
      </w:r>
      <w:r>
        <w:rPr>
          <w:color w:val="231F1F"/>
          <w:w w:val="105"/>
        </w:rPr>
        <w:t> actualización</w:t>
      </w:r>
      <w:r>
        <w:rPr>
          <w:color w:val="231F1F"/>
          <w:w w:val="105"/>
        </w:rPr>
        <w:t> los</w:t>
      </w:r>
      <w:r>
        <w:rPr>
          <w:color w:val="231F1F"/>
          <w:w w:val="105"/>
        </w:rPr>
        <w:t> estudios</w:t>
      </w:r>
      <w:r>
        <w:rPr>
          <w:color w:val="231F1F"/>
          <w:w w:val="105"/>
        </w:rPr>
        <w:t> identificados</w:t>
      </w:r>
      <w:r>
        <w:rPr>
          <w:color w:val="231F1F"/>
          <w:w w:val="105"/>
        </w:rPr>
        <w:t> se</w:t>
      </w:r>
      <w:r>
        <w:rPr>
          <w:color w:val="231F1F"/>
          <w:w w:val="105"/>
        </w:rPr>
        <w:t> han</w:t>
      </w:r>
      <w:r>
        <w:rPr>
          <w:color w:val="231F1F"/>
          <w:w w:val="105"/>
        </w:rPr>
        <w:t> desechado por no cumplir los criterios de inclusión pero se ha considerado una RS (370) con</w:t>
      </w:r>
      <w:r>
        <w:rPr>
          <w:color w:val="231F1F"/>
          <w:spacing w:val="40"/>
          <w:w w:val="105"/>
        </w:rPr>
        <w:t> </w:t>
      </w:r>
      <w:r>
        <w:rPr>
          <w:i/>
          <w:color w:val="231F1F"/>
          <w:w w:val="105"/>
        </w:rPr>
        <w:t>NE=II</w:t>
      </w:r>
      <w:r>
        <w:rPr>
          <w:color w:val="231F1F"/>
          <w:w w:val="105"/>
        </w:rPr>
        <w:t>,</w:t>
      </w:r>
      <w:r>
        <w:rPr>
          <w:color w:val="231F1F"/>
          <w:spacing w:val="40"/>
          <w:w w:val="105"/>
        </w:rPr>
        <w:t> </w:t>
      </w:r>
      <w:r>
        <w:rPr>
          <w:color w:val="231F1F"/>
          <w:w w:val="105"/>
        </w:rPr>
        <w:t>localizada</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búsqueda</w:t>
      </w:r>
      <w:r>
        <w:rPr>
          <w:color w:val="231F1F"/>
          <w:spacing w:val="40"/>
          <w:w w:val="105"/>
        </w:rPr>
        <w:t> </w:t>
      </w:r>
      <w:r>
        <w:rPr>
          <w:color w:val="231F1F"/>
          <w:w w:val="105"/>
        </w:rPr>
        <w:t>bibliográfica</w:t>
      </w:r>
      <w:r>
        <w:rPr>
          <w:color w:val="231F1F"/>
          <w:spacing w:val="40"/>
          <w:w w:val="105"/>
        </w:rPr>
        <w:t> </w:t>
      </w:r>
      <w:r>
        <w:rPr>
          <w:color w:val="231F1F"/>
          <w:w w:val="105"/>
        </w:rPr>
        <w:t>de</w:t>
      </w:r>
      <w:r>
        <w:rPr>
          <w:color w:val="231F1F"/>
          <w:spacing w:val="40"/>
          <w:w w:val="105"/>
        </w:rPr>
        <w:t> </w:t>
      </w:r>
      <w:r>
        <w:rPr>
          <w:color w:val="231F1F"/>
          <w:w w:val="105"/>
        </w:rPr>
        <w:t>otra</w:t>
      </w:r>
      <w:r>
        <w:rPr>
          <w:color w:val="231F1F"/>
          <w:spacing w:val="40"/>
          <w:w w:val="105"/>
        </w:rPr>
        <w:t> </w:t>
      </w:r>
      <w:r>
        <w:rPr>
          <w:color w:val="231F1F"/>
          <w:w w:val="105"/>
        </w:rPr>
        <w:t>pregunta.</w:t>
      </w:r>
    </w:p>
    <w:p>
      <w:pPr>
        <w:pStyle w:val="BodyText"/>
        <w:spacing w:line="252" w:lineRule="auto" w:before="94"/>
        <w:ind w:left="283" w:firstLine="453"/>
        <w:jc w:val="both"/>
      </w:pPr>
      <w:r>
        <w:rPr>
          <w:color w:val="231F1F"/>
          <w:w w:val="105"/>
        </w:rPr>
        <w:t>Se trata de una RS, que incluye cuatro ECAs (2 de ellos ya incluidos en</w:t>
      </w:r>
      <w:r>
        <w:rPr>
          <w:color w:val="231F1F"/>
          <w:spacing w:val="40"/>
          <w:w w:val="105"/>
        </w:rPr>
        <w:t> </w:t>
      </w:r>
      <w:r>
        <w:rPr>
          <w:color w:val="231F1F"/>
          <w:w w:val="105"/>
        </w:rPr>
        <w:t>la RS de NICE (368)), tres estudios observacionales y un estudio prospectivo no aleatorizado. La RS pretende valorar la fisiopatología del segmento ST del ECG fetal, su papel en la monitorización durante el parto y el uso práctico de esta tecnología.</w:t>
      </w:r>
    </w:p>
    <w:p>
      <w:pPr>
        <w:pStyle w:val="BodyText"/>
        <w:spacing w:line="249" w:lineRule="auto" w:before="54"/>
        <w:ind w:left="283" w:right="1" w:firstLine="453"/>
        <w:jc w:val="both"/>
      </w:pPr>
      <w:r>
        <w:rPr>
          <w:color w:val="231F1F"/>
          <w:w w:val="105"/>
        </w:rPr>
        <w:t>En la RS (370) se concluye que la incorporación del análisis del segmen- to</w:t>
      </w:r>
      <w:r>
        <w:rPr>
          <w:color w:val="231F1F"/>
          <w:w w:val="105"/>
        </w:rPr>
        <w:t> ST</w:t>
      </w:r>
      <w:r>
        <w:rPr>
          <w:color w:val="231F1F"/>
          <w:w w:val="105"/>
        </w:rPr>
        <w:t> del</w:t>
      </w:r>
      <w:r>
        <w:rPr>
          <w:color w:val="231F1F"/>
          <w:w w:val="105"/>
        </w:rPr>
        <w:t> ECG</w:t>
      </w:r>
      <w:r>
        <w:rPr>
          <w:color w:val="231F1F"/>
          <w:w w:val="105"/>
        </w:rPr>
        <w:t> fetal</w:t>
      </w:r>
      <w:r>
        <w:rPr>
          <w:color w:val="231F1F"/>
          <w:w w:val="105"/>
        </w:rPr>
        <w:t> a</w:t>
      </w:r>
      <w:r>
        <w:rPr>
          <w:color w:val="231F1F"/>
          <w:w w:val="105"/>
        </w:rPr>
        <w:t> la</w:t>
      </w:r>
      <w:r>
        <w:rPr>
          <w:color w:val="231F1F"/>
          <w:w w:val="105"/>
        </w:rPr>
        <w:t> CTG</w:t>
      </w:r>
      <w:r>
        <w:rPr>
          <w:color w:val="231F1F"/>
          <w:w w:val="105"/>
        </w:rPr>
        <w:t> ha</w:t>
      </w:r>
      <w:r>
        <w:rPr>
          <w:color w:val="231F1F"/>
          <w:w w:val="105"/>
        </w:rPr>
        <w:t> mostrado</w:t>
      </w:r>
      <w:r>
        <w:rPr>
          <w:color w:val="231F1F"/>
          <w:w w:val="105"/>
        </w:rPr>
        <w:t> una</w:t>
      </w:r>
      <w:r>
        <w:rPr>
          <w:color w:val="231F1F"/>
          <w:w w:val="105"/>
        </w:rPr>
        <w:t> reducción</w:t>
      </w:r>
      <w:r>
        <w:rPr>
          <w:color w:val="231F1F"/>
          <w:w w:val="105"/>
        </w:rPr>
        <w:t> de</w:t>
      </w:r>
      <w:r>
        <w:rPr>
          <w:color w:val="231F1F"/>
          <w:w w:val="105"/>
        </w:rPr>
        <w:t> los</w:t>
      </w:r>
      <w:r>
        <w:rPr>
          <w:color w:val="231F1F"/>
          <w:w w:val="105"/>
        </w:rPr>
        <w:t> índices</w:t>
      </w:r>
      <w:r>
        <w:rPr>
          <w:color w:val="231F1F"/>
          <w:w w:val="105"/>
        </w:rPr>
        <w:t> de acidosis metabólica neonatal y de encefalopatía neonatal moderada y severa, con</w:t>
      </w:r>
      <w:r>
        <w:rPr>
          <w:color w:val="231F1F"/>
          <w:w w:val="105"/>
        </w:rPr>
        <w:t> lo</w:t>
      </w:r>
      <w:r>
        <w:rPr>
          <w:color w:val="231F1F"/>
          <w:w w:val="105"/>
        </w:rPr>
        <w:t> que</w:t>
      </w:r>
      <w:r>
        <w:rPr>
          <w:color w:val="231F1F"/>
          <w:w w:val="105"/>
        </w:rPr>
        <w:t> se</w:t>
      </w:r>
      <w:r>
        <w:rPr>
          <w:color w:val="231F1F"/>
          <w:w w:val="105"/>
        </w:rPr>
        <w:t> mejoran</w:t>
      </w:r>
      <w:r>
        <w:rPr>
          <w:color w:val="231F1F"/>
          <w:w w:val="105"/>
        </w:rPr>
        <w:t> los</w:t>
      </w:r>
      <w:r>
        <w:rPr>
          <w:color w:val="231F1F"/>
          <w:w w:val="105"/>
        </w:rPr>
        <w:t> resultados</w:t>
      </w:r>
      <w:r>
        <w:rPr>
          <w:color w:val="231F1F"/>
          <w:w w:val="105"/>
        </w:rPr>
        <w:t> perinatales.</w:t>
      </w:r>
      <w:r>
        <w:rPr>
          <w:color w:val="231F1F"/>
          <w:w w:val="105"/>
        </w:rPr>
        <w:t> Ello</w:t>
      </w:r>
      <w:r>
        <w:rPr>
          <w:color w:val="231F1F"/>
          <w:w w:val="105"/>
        </w:rPr>
        <w:t> se</w:t>
      </w:r>
      <w:r>
        <w:rPr>
          <w:color w:val="231F1F"/>
          <w:w w:val="105"/>
        </w:rPr>
        <w:t> consigue</w:t>
      </w:r>
      <w:r>
        <w:rPr>
          <w:color w:val="231F1F"/>
          <w:w w:val="105"/>
        </w:rPr>
        <w:t> gracias</w:t>
      </w:r>
      <w:r>
        <w:rPr>
          <w:color w:val="231F1F"/>
          <w:w w:val="105"/>
        </w:rPr>
        <w:t> a</w:t>
      </w:r>
      <w:r>
        <w:rPr>
          <w:color w:val="231F1F"/>
          <w:spacing w:val="40"/>
          <w:w w:val="105"/>
        </w:rPr>
        <w:t> </w:t>
      </w:r>
      <w:r>
        <w:rPr>
          <w:color w:val="231F1F"/>
          <w:w w:val="105"/>
        </w:rPr>
        <w:t>una mejor identificación de la hipoxia fetal que facilita la reducción de inter- venciones innecesarias. También se mostró una reducción significativa de los partos instrumentados debidos a hipoxia fetal.</w:t>
      </w:r>
    </w:p>
    <w:p>
      <w:pPr>
        <w:pStyle w:val="BodyText"/>
        <w:spacing w:line="244" w:lineRule="auto" w:before="131"/>
        <w:ind w:left="283" w:right="2" w:firstLine="453"/>
        <w:jc w:val="both"/>
      </w:pPr>
      <w:r>
        <w:rPr>
          <w:color w:val="231F1F"/>
          <w:w w:val="110"/>
        </w:rPr>
        <w:t>Se</w:t>
      </w:r>
      <w:r>
        <w:rPr>
          <w:color w:val="231F1F"/>
          <w:spacing w:val="-14"/>
          <w:w w:val="110"/>
        </w:rPr>
        <w:t> </w:t>
      </w:r>
      <w:r>
        <w:rPr>
          <w:color w:val="231F1F"/>
          <w:w w:val="110"/>
        </w:rPr>
        <w:t>trata</w:t>
      </w:r>
      <w:r>
        <w:rPr>
          <w:color w:val="231F1F"/>
          <w:spacing w:val="-14"/>
          <w:w w:val="110"/>
        </w:rPr>
        <w:t> </w:t>
      </w:r>
      <w:r>
        <w:rPr>
          <w:color w:val="231F1F"/>
          <w:w w:val="110"/>
        </w:rPr>
        <w:t>de</w:t>
      </w:r>
      <w:r>
        <w:rPr>
          <w:color w:val="231F1F"/>
          <w:spacing w:val="-14"/>
          <w:w w:val="110"/>
        </w:rPr>
        <w:t> </w:t>
      </w:r>
      <w:r>
        <w:rPr>
          <w:color w:val="231F1F"/>
          <w:w w:val="110"/>
        </w:rPr>
        <w:t>una</w:t>
      </w:r>
      <w:r>
        <w:rPr>
          <w:color w:val="231F1F"/>
          <w:spacing w:val="-14"/>
          <w:w w:val="110"/>
        </w:rPr>
        <w:t> </w:t>
      </w:r>
      <w:r>
        <w:rPr>
          <w:color w:val="231F1F"/>
          <w:w w:val="110"/>
        </w:rPr>
        <w:t>evidencia</w:t>
      </w:r>
      <w:r>
        <w:rPr>
          <w:color w:val="231F1F"/>
          <w:spacing w:val="-14"/>
          <w:w w:val="110"/>
        </w:rPr>
        <w:t> </w:t>
      </w:r>
      <w:r>
        <w:rPr>
          <w:color w:val="231F1F"/>
          <w:w w:val="110"/>
        </w:rPr>
        <w:t>indirecta</w:t>
      </w:r>
      <w:r>
        <w:rPr>
          <w:color w:val="231F1F"/>
          <w:spacing w:val="-14"/>
          <w:w w:val="110"/>
        </w:rPr>
        <w:t> </w:t>
      </w:r>
      <w:r>
        <w:rPr>
          <w:color w:val="231F1F"/>
          <w:w w:val="110"/>
        </w:rPr>
        <w:t>ya</w:t>
      </w:r>
      <w:r>
        <w:rPr>
          <w:color w:val="231F1F"/>
          <w:spacing w:val="-14"/>
          <w:w w:val="110"/>
        </w:rPr>
        <w:t> </w:t>
      </w:r>
      <w:r>
        <w:rPr>
          <w:color w:val="231F1F"/>
          <w:w w:val="110"/>
        </w:rPr>
        <w:t>que</w:t>
      </w:r>
      <w:r>
        <w:rPr>
          <w:color w:val="231F1F"/>
          <w:spacing w:val="-14"/>
          <w:w w:val="110"/>
        </w:rPr>
        <w:t> </w:t>
      </w:r>
      <w:r>
        <w:rPr>
          <w:color w:val="231F1F"/>
          <w:w w:val="110"/>
        </w:rPr>
        <w:t>proviene</w:t>
      </w:r>
      <w:r>
        <w:rPr>
          <w:color w:val="231F1F"/>
          <w:spacing w:val="-14"/>
          <w:w w:val="110"/>
        </w:rPr>
        <w:t> </w:t>
      </w:r>
      <w:r>
        <w:rPr>
          <w:color w:val="231F1F"/>
          <w:w w:val="110"/>
        </w:rPr>
        <w:t>de</w:t>
      </w:r>
      <w:r>
        <w:rPr>
          <w:color w:val="231F1F"/>
          <w:spacing w:val="-14"/>
          <w:w w:val="110"/>
        </w:rPr>
        <w:t> </w:t>
      </w:r>
      <w:r>
        <w:rPr>
          <w:color w:val="231F1F"/>
          <w:w w:val="110"/>
        </w:rPr>
        <w:t>estudios</w:t>
      </w:r>
      <w:r>
        <w:rPr>
          <w:color w:val="231F1F"/>
          <w:spacing w:val="-14"/>
          <w:w w:val="110"/>
        </w:rPr>
        <w:t> </w:t>
      </w:r>
      <w:r>
        <w:rPr>
          <w:color w:val="231F1F"/>
          <w:w w:val="110"/>
        </w:rPr>
        <w:t>con</w:t>
      </w:r>
      <w:r>
        <w:rPr>
          <w:color w:val="231F1F"/>
          <w:spacing w:val="-13"/>
          <w:w w:val="110"/>
        </w:rPr>
        <w:t> </w:t>
      </w:r>
      <w:r>
        <w:rPr>
          <w:color w:val="231F1F"/>
          <w:w w:val="110"/>
        </w:rPr>
        <w:t>mu- jeres</w:t>
      </w:r>
      <w:r>
        <w:rPr>
          <w:color w:val="231F1F"/>
          <w:spacing w:val="-9"/>
          <w:w w:val="110"/>
        </w:rPr>
        <w:t> </w:t>
      </w:r>
      <w:r>
        <w:rPr>
          <w:color w:val="231F1F"/>
          <w:w w:val="110"/>
        </w:rPr>
        <w:t>de</w:t>
      </w:r>
      <w:r>
        <w:rPr>
          <w:color w:val="231F1F"/>
          <w:spacing w:val="-9"/>
          <w:w w:val="110"/>
        </w:rPr>
        <w:t> </w:t>
      </w:r>
      <w:r>
        <w:rPr>
          <w:color w:val="231F1F"/>
          <w:w w:val="110"/>
        </w:rPr>
        <w:t>alto</w:t>
      </w:r>
      <w:r>
        <w:rPr>
          <w:color w:val="231F1F"/>
          <w:spacing w:val="-9"/>
          <w:w w:val="110"/>
        </w:rPr>
        <w:t> </w:t>
      </w:r>
      <w:r>
        <w:rPr>
          <w:color w:val="231F1F"/>
          <w:w w:val="110"/>
        </w:rPr>
        <w:t>y</w:t>
      </w:r>
      <w:r>
        <w:rPr>
          <w:color w:val="231F1F"/>
          <w:spacing w:val="-8"/>
          <w:w w:val="110"/>
        </w:rPr>
        <w:t> </w:t>
      </w:r>
      <w:r>
        <w:rPr>
          <w:color w:val="231F1F"/>
          <w:w w:val="110"/>
        </w:rPr>
        <w:t>bajo</w:t>
      </w:r>
      <w:r>
        <w:rPr>
          <w:color w:val="231F1F"/>
          <w:spacing w:val="-9"/>
          <w:w w:val="110"/>
        </w:rPr>
        <w:t> </w:t>
      </w:r>
      <w:r>
        <w:rPr>
          <w:color w:val="231F1F"/>
          <w:w w:val="110"/>
        </w:rPr>
        <w:t>riesgo</w:t>
      </w:r>
      <w:r>
        <w:rPr>
          <w:color w:val="231F1F"/>
          <w:spacing w:val="-8"/>
          <w:w w:val="110"/>
        </w:rPr>
        <w:t> </w:t>
      </w:r>
      <w:r>
        <w:rPr>
          <w:color w:val="231F1F"/>
          <w:w w:val="110"/>
        </w:rPr>
        <w:t>y</w:t>
      </w:r>
      <w:r>
        <w:rPr>
          <w:color w:val="231F1F"/>
          <w:spacing w:val="-8"/>
          <w:w w:val="110"/>
        </w:rPr>
        <w:t> </w:t>
      </w:r>
      <w:r>
        <w:rPr>
          <w:color w:val="231F1F"/>
          <w:w w:val="110"/>
        </w:rPr>
        <w:t>sometidas</w:t>
      </w:r>
      <w:r>
        <w:rPr>
          <w:color w:val="231F1F"/>
          <w:spacing w:val="-9"/>
          <w:w w:val="110"/>
        </w:rPr>
        <w:t> </w:t>
      </w:r>
      <w:r>
        <w:rPr>
          <w:color w:val="231F1F"/>
          <w:w w:val="110"/>
        </w:rPr>
        <w:t>a</w:t>
      </w:r>
      <w:r>
        <w:rPr>
          <w:color w:val="231F1F"/>
          <w:spacing w:val="-8"/>
          <w:w w:val="110"/>
        </w:rPr>
        <w:t> </w:t>
      </w:r>
      <w:r>
        <w:rPr>
          <w:color w:val="231F1F"/>
          <w:w w:val="110"/>
        </w:rPr>
        <w:t>una</w:t>
      </w:r>
      <w:r>
        <w:rPr>
          <w:color w:val="231F1F"/>
          <w:spacing w:val="-9"/>
          <w:w w:val="110"/>
        </w:rPr>
        <w:t> </w:t>
      </w:r>
      <w:r>
        <w:rPr>
          <w:color w:val="231F1F"/>
          <w:w w:val="110"/>
        </w:rPr>
        <w:t>amplia</w:t>
      </w:r>
      <w:r>
        <w:rPr>
          <w:color w:val="231F1F"/>
          <w:spacing w:val="-9"/>
          <w:w w:val="110"/>
        </w:rPr>
        <w:t> </w:t>
      </w:r>
      <w:r>
        <w:rPr>
          <w:color w:val="231F1F"/>
          <w:w w:val="110"/>
        </w:rPr>
        <w:t>variabilidad</w:t>
      </w:r>
      <w:r>
        <w:rPr>
          <w:color w:val="231F1F"/>
          <w:spacing w:val="-9"/>
          <w:w w:val="110"/>
        </w:rPr>
        <w:t> </w:t>
      </w:r>
      <w:r>
        <w:rPr>
          <w:color w:val="231F1F"/>
          <w:w w:val="110"/>
        </w:rPr>
        <w:t>de</w:t>
      </w:r>
      <w:r>
        <w:rPr>
          <w:color w:val="231F1F"/>
          <w:spacing w:val="-9"/>
          <w:w w:val="110"/>
        </w:rPr>
        <w:t> </w:t>
      </w:r>
      <w:r>
        <w:rPr>
          <w:color w:val="231F1F"/>
          <w:w w:val="110"/>
        </w:rPr>
        <w:t>circuns- tancias e intervenciones.</w:t>
      </w:r>
    </w:p>
    <w:p>
      <w:pPr>
        <w:pStyle w:val="BodyText"/>
        <w:spacing w:before="168"/>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spacing w:before="160"/>
        <w:rPr>
          <w:rFonts w:ascii="Arial MT"/>
          <w:sz w:val="18"/>
        </w:rPr>
      </w:pPr>
    </w:p>
    <w:p>
      <w:pPr>
        <w:spacing w:line="278" w:lineRule="auto" w:before="0"/>
        <w:ind w:left="47" w:right="101" w:firstLine="0"/>
        <w:jc w:val="center"/>
        <w:rPr>
          <w:rFonts w:ascii="Arial MT"/>
          <w:sz w:val="18"/>
        </w:rPr>
      </w:pPr>
      <w:r>
        <w:rPr>
          <w:rFonts w:ascii="Arial MT"/>
          <w:color w:val="231F1F"/>
          <w:spacing w:val="-4"/>
          <w:sz w:val="18"/>
        </w:rPr>
        <w:t>RS-MA</w:t>
      </w:r>
      <w:r>
        <w:rPr>
          <w:rFonts w:ascii="Arial MT"/>
          <w:color w:val="231F1F"/>
          <w:spacing w:val="-20"/>
          <w:sz w:val="18"/>
        </w:rPr>
        <w:t> </w:t>
      </w:r>
      <w:r>
        <w:rPr>
          <w:rFonts w:ascii="Arial MT"/>
          <w:color w:val="231F1F"/>
          <w:spacing w:val="-4"/>
          <w:sz w:val="18"/>
        </w:rPr>
        <w:t>de ECAs</w:t>
      </w:r>
    </w:p>
    <w:p>
      <w:pPr>
        <w:spacing w:line="202" w:lineRule="exact" w:before="0"/>
        <w:ind w:left="0" w:right="52" w:firstLine="0"/>
        <w:jc w:val="center"/>
        <w:rPr>
          <w:rFonts w:ascii="Arial MT"/>
          <w:sz w:val="18"/>
        </w:rPr>
      </w:pPr>
      <w:r>
        <w:rPr>
          <w:rFonts w:ascii="Arial MT"/>
          <w:color w:val="231F1F"/>
          <w:spacing w:val="-5"/>
          <w:sz w:val="18"/>
        </w:rPr>
        <w:t>Ia</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8"/>
        <w:rPr>
          <w:rFonts w:ascii="Arial MT"/>
          <w:sz w:val="18"/>
        </w:rPr>
      </w:pPr>
    </w:p>
    <w:p>
      <w:pPr>
        <w:spacing w:line="276" w:lineRule="auto" w:before="0"/>
        <w:ind w:left="103" w:right="155" w:firstLine="1"/>
        <w:jc w:val="center"/>
        <w:rPr>
          <w:rFonts w:ascii="Arial MT"/>
          <w:sz w:val="18"/>
        </w:rPr>
      </w:pPr>
      <w:r>
        <w:rPr>
          <w:rFonts w:ascii="Arial MT"/>
          <w:color w:val="231F1F"/>
          <w:sz w:val="18"/>
        </w:rPr>
        <w:t>RS de ECAs </w:t>
      </w:r>
      <w:r>
        <w:rPr>
          <w:rFonts w:ascii="Arial MT"/>
          <w:color w:val="231F1F"/>
          <w:spacing w:val="-2"/>
          <w:sz w:val="18"/>
        </w:rPr>
        <w:t>y</w:t>
      </w:r>
      <w:r>
        <w:rPr>
          <w:rFonts w:ascii="Arial MT"/>
          <w:color w:val="231F1F"/>
          <w:spacing w:val="-17"/>
          <w:sz w:val="18"/>
        </w:rPr>
        <w:t> </w:t>
      </w:r>
      <w:r>
        <w:rPr>
          <w:rFonts w:ascii="Arial MT"/>
          <w:color w:val="231F1F"/>
          <w:spacing w:val="-2"/>
          <w:sz w:val="18"/>
        </w:rPr>
        <w:t>E.</w:t>
      </w:r>
      <w:r>
        <w:rPr>
          <w:rFonts w:ascii="Arial MT"/>
          <w:color w:val="231F1F"/>
          <w:spacing w:val="-13"/>
          <w:sz w:val="18"/>
        </w:rPr>
        <w:t> </w:t>
      </w:r>
      <w:r>
        <w:rPr>
          <w:rFonts w:ascii="Arial MT"/>
          <w:color w:val="231F1F"/>
          <w:spacing w:val="-2"/>
          <w:sz w:val="18"/>
        </w:rPr>
        <w:t>Observa- ciuonales</w:t>
      </w:r>
    </w:p>
    <w:p>
      <w:pPr>
        <w:spacing w:line="194" w:lineRule="exact" w:before="0"/>
        <w:ind w:left="0" w:right="52" w:firstLine="0"/>
        <w:jc w:val="center"/>
        <w:rPr>
          <w:rFonts w:ascii="Arial MT"/>
          <w:sz w:val="18"/>
        </w:rPr>
      </w:pPr>
      <w:r>
        <w:rPr>
          <w:rFonts w:ascii="Arial MT"/>
          <w:color w:val="231F1F"/>
          <w:spacing w:val="-5"/>
          <w:sz w:val="18"/>
        </w:rPr>
        <w:t>II</w:t>
      </w:r>
    </w:p>
    <w:p>
      <w:pPr>
        <w:spacing w:after="0" w:line="194" w:lineRule="exact"/>
        <w:jc w:val="center"/>
        <w:rPr>
          <w:rFonts w:ascii="Arial MT"/>
          <w:sz w:val="18"/>
        </w:rPr>
        <w:sectPr>
          <w:pgSz w:w="11900" w:h="16840"/>
          <w:pgMar w:header="0" w:footer="622" w:top="1560" w:bottom="820" w:left="1417" w:right="1559"/>
          <w:cols w:num="2" w:equalWidth="0">
            <w:col w:w="7549" w:space="40"/>
            <w:col w:w="1335"/>
          </w:cols>
        </w:sectPr>
      </w:pP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2082" w:hRule="atLeast"/>
        </w:trPr>
        <w:tc>
          <w:tcPr>
            <w:tcW w:w="7373" w:type="dxa"/>
          </w:tcPr>
          <w:p>
            <w:pPr>
              <w:pStyle w:val="TableParagraph"/>
              <w:spacing w:line="256" w:lineRule="auto" w:before="44"/>
              <w:ind w:right="153"/>
              <w:jc w:val="both"/>
              <w:rPr>
                <w:sz w:val="22"/>
              </w:rPr>
            </w:pPr>
            <w:r>
              <w:rPr>
                <w:color w:val="231F1F"/>
                <w:w w:val="110"/>
                <w:sz w:val="22"/>
              </w:rPr>
              <w:t>La</w:t>
            </w:r>
            <w:r>
              <w:rPr>
                <w:color w:val="231F1F"/>
                <w:w w:val="110"/>
                <w:sz w:val="22"/>
              </w:rPr>
              <w:t> incorporación</w:t>
            </w:r>
            <w:r>
              <w:rPr>
                <w:color w:val="231F1F"/>
                <w:w w:val="110"/>
                <w:sz w:val="22"/>
              </w:rPr>
              <w:t> del</w:t>
            </w:r>
            <w:r>
              <w:rPr>
                <w:color w:val="231F1F"/>
                <w:w w:val="110"/>
                <w:sz w:val="22"/>
              </w:rPr>
              <w:t> análisis</w:t>
            </w:r>
            <w:r>
              <w:rPr>
                <w:color w:val="231F1F"/>
                <w:w w:val="110"/>
                <w:sz w:val="22"/>
              </w:rPr>
              <w:t> del</w:t>
            </w:r>
            <w:r>
              <w:rPr>
                <w:color w:val="231F1F"/>
                <w:w w:val="110"/>
                <w:sz w:val="22"/>
              </w:rPr>
              <w:t> segmento</w:t>
            </w:r>
            <w:r>
              <w:rPr>
                <w:color w:val="231F1F"/>
                <w:w w:val="110"/>
                <w:sz w:val="22"/>
              </w:rPr>
              <w:t> ST</w:t>
            </w:r>
            <w:r>
              <w:rPr>
                <w:color w:val="231F1F"/>
                <w:w w:val="110"/>
                <w:sz w:val="22"/>
              </w:rPr>
              <w:t> del</w:t>
            </w:r>
            <w:r>
              <w:rPr>
                <w:color w:val="231F1F"/>
                <w:w w:val="110"/>
                <w:sz w:val="22"/>
              </w:rPr>
              <w:t> ECG</w:t>
            </w:r>
            <w:r>
              <w:rPr>
                <w:color w:val="231F1F"/>
                <w:w w:val="110"/>
                <w:sz w:val="22"/>
              </w:rPr>
              <w:t> fetal</w:t>
            </w:r>
            <w:r>
              <w:rPr>
                <w:color w:val="231F1F"/>
                <w:w w:val="110"/>
                <w:sz w:val="22"/>
              </w:rPr>
              <w:t> a</w:t>
            </w:r>
            <w:r>
              <w:rPr>
                <w:color w:val="231F1F"/>
                <w:w w:val="110"/>
                <w:sz w:val="22"/>
              </w:rPr>
              <w:t> la</w:t>
            </w:r>
            <w:r>
              <w:rPr>
                <w:color w:val="231F1F"/>
                <w:w w:val="110"/>
                <w:sz w:val="22"/>
              </w:rPr>
              <w:t> CTG patológica</w:t>
            </w:r>
            <w:r>
              <w:rPr>
                <w:color w:val="231F1F"/>
                <w:spacing w:val="-15"/>
                <w:w w:val="110"/>
                <w:sz w:val="22"/>
              </w:rPr>
              <w:t> </w:t>
            </w:r>
            <w:r>
              <w:rPr>
                <w:color w:val="231F1F"/>
                <w:w w:val="110"/>
                <w:sz w:val="22"/>
              </w:rPr>
              <w:t>ha</w:t>
            </w:r>
            <w:r>
              <w:rPr>
                <w:color w:val="231F1F"/>
                <w:spacing w:val="-14"/>
                <w:w w:val="110"/>
                <w:sz w:val="22"/>
              </w:rPr>
              <w:t> </w:t>
            </w:r>
            <w:r>
              <w:rPr>
                <w:color w:val="231F1F"/>
                <w:w w:val="110"/>
                <w:sz w:val="22"/>
              </w:rPr>
              <w:t>mostrado</w:t>
            </w:r>
            <w:r>
              <w:rPr>
                <w:color w:val="231F1F"/>
                <w:spacing w:val="-15"/>
                <w:w w:val="110"/>
                <w:sz w:val="22"/>
              </w:rPr>
              <w:t> </w:t>
            </w:r>
            <w:r>
              <w:rPr>
                <w:color w:val="231F1F"/>
                <w:w w:val="110"/>
                <w:sz w:val="22"/>
              </w:rPr>
              <w:t>reducir</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necesidad</w:t>
            </w:r>
            <w:r>
              <w:rPr>
                <w:color w:val="231F1F"/>
                <w:spacing w:val="-15"/>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4"/>
                <w:w w:val="110"/>
                <w:sz w:val="22"/>
              </w:rPr>
              <w:t> </w:t>
            </w:r>
            <w:r>
              <w:rPr>
                <w:color w:val="231F1F"/>
                <w:w w:val="110"/>
                <w:sz w:val="22"/>
              </w:rPr>
              <w:t>toma</w:t>
            </w:r>
            <w:r>
              <w:rPr>
                <w:color w:val="231F1F"/>
                <w:spacing w:val="-15"/>
                <w:w w:val="110"/>
                <w:sz w:val="22"/>
              </w:rPr>
              <w:t> </w:t>
            </w:r>
            <w:r>
              <w:rPr>
                <w:color w:val="231F1F"/>
                <w:w w:val="110"/>
                <w:sz w:val="22"/>
              </w:rPr>
              <w:t>de</w:t>
            </w:r>
            <w:r>
              <w:rPr>
                <w:color w:val="231F1F"/>
                <w:spacing w:val="-14"/>
                <w:w w:val="110"/>
                <w:sz w:val="22"/>
              </w:rPr>
              <w:t> </w:t>
            </w:r>
            <w:r>
              <w:rPr>
                <w:color w:val="231F1F"/>
                <w:w w:val="110"/>
                <w:sz w:val="22"/>
              </w:rPr>
              <w:t>MSF,</w:t>
            </w:r>
            <w:r>
              <w:rPr>
                <w:color w:val="231F1F"/>
                <w:spacing w:val="-14"/>
                <w:w w:val="110"/>
                <w:sz w:val="22"/>
              </w:rPr>
              <w:t> </w:t>
            </w:r>
            <w:r>
              <w:rPr>
                <w:color w:val="231F1F"/>
                <w:w w:val="110"/>
                <w:sz w:val="22"/>
              </w:rPr>
              <w:t>los</w:t>
            </w:r>
            <w:r>
              <w:rPr>
                <w:color w:val="231F1F"/>
                <w:spacing w:val="-15"/>
                <w:w w:val="110"/>
                <w:sz w:val="22"/>
              </w:rPr>
              <w:t> </w:t>
            </w:r>
            <w:r>
              <w:rPr>
                <w:color w:val="231F1F"/>
                <w:w w:val="110"/>
                <w:sz w:val="22"/>
              </w:rPr>
              <w:t>partos vaginales</w:t>
            </w:r>
            <w:r>
              <w:rPr>
                <w:color w:val="231F1F"/>
                <w:spacing w:val="-7"/>
                <w:w w:val="110"/>
                <w:sz w:val="22"/>
              </w:rPr>
              <w:t> </w:t>
            </w:r>
            <w:r>
              <w:rPr>
                <w:color w:val="231F1F"/>
                <w:w w:val="110"/>
                <w:sz w:val="22"/>
              </w:rPr>
              <w:t>instrumentados,</w:t>
            </w:r>
            <w:r>
              <w:rPr>
                <w:color w:val="231F1F"/>
                <w:spacing w:val="-6"/>
                <w:w w:val="110"/>
                <w:sz w:val="22"/>
              </w:rPr>
              <w:t> </w:t>
            </w:r>
            <w:r>
              <w:rPr>
                <w:color w:val="231F1F"/>
                <w:w w:val="110"/>
                <w:sz w:val="22"/>
              </w:rPr>
              <w:t>la</w:t>
            </w:r>
            <w:r>
              <w:rPr>
                <w:color w:val="231F1F"/>
                <w:spacing w:val="-6"/>
                <w:w w:val="110"/>
                <w:sz w:val="22"/>
              </w:rPr>
              <w:t> </w:t>
            </w:r>
            <w:r>
              <w:rPr>
                <w:color w:val="231F1F"/>
                <w:w w:val="110"/>
                <w:sz w:val="22"/>
              </w:rPr>
              <w:t>encefalopatía</w:t>
            </w:r>
            <w:r>
              <w:rPr>
                <w:color w:val="231F1F"/>
                <w:spacing w:val="-5"/>
                <w:w w:val="110"/>
                <w:sz w:val="22"/>
              </w:rPr>
              <w:t> </w:t>
            </w:r>
            <w:r>
              <w:rPr>
                <w:color w:val="231F1F"/>
                <w:w w:val="110"/>
                <w:sz w:val="22"/>
              </w:rPr>
              <w:t>neonatal</w:t>
            </w:r>
            <w:r>
              <w:rPr>
                <w:color w:val="231F1F"/>
                <w:spacing w:val="-6"/>
                <w:w w:val="110"/>
                <w:sz w:val="22"/>
              </w:rPr>
              <w:t> </w:t>
            </w:r>
            <w:r>
              <w:rPr>
                <w:color w:val="231F1F"/>
                <w:w w:val="110"/>
                <w:sz w:val="22"/>
              </w:rPr>
              <w:t>y</w:t>
            </w:r>
            <w:r>
              <w:rPr>
                <w:color w:val="231F1F"/>
                <w:spacing w:val="-5"/>
                <w:w w:val="110"/>
                <w:sz w:val="22"/>
              </w:rPr>
              <w:t> </w:t>
            </w:r>
            <w:r>
              <w:rPr>
                <w:color w:val="231F1F"/>
                <w:w w:val="110"/>
                <w:sz w:val="22"/>
              </w:rPr>
              <w:t>la</w:t>
            </w:r>
            <w:r>
              <w:rPr>
                <w:color w:val="231F1F"/>
                <w:spacing w:val="-6"/>
                <w:w w:val="110"/>
                <w:sz w:val="22"/>
              </w:rPr>
              <w:t> </w:t>
            </w:r>
            <w:r>
              <w:rPr>
                <w:color w:val="231F1F"/>
                <w:w w:val="110"/>
                <w:sz w:val="22"/>
              </w:rPr>
              <w:t>acidosis</w:t>
            </w:r>
            <w:r>
              <w:rPr>
                <w:color w:val="231F1F"/>
                <w:spacing w:val="-5"/>
                <w:w w:val="110"/>
                <w:sz w:val="22"/>
              </w:rPr>
              <w:t> </w:t>
            </w:r>
            <w:r>
              <w:rPr>
                <w:color w:val="231F1F"/>
                <w:w w:val="110"/>
                <w:sz w:val="22"/>
              </w:rPr>
              <w:t>metabó- lica en estudios que incluyen a mujeres de bajo y alto riesgo. Aunque no existen diferencias en el número de cesáreas, en Apgar menor de siete a los</w:t>
            </w:r>
            <w:r>
              <w:rPr>
                <w:color w:val="231F1F"/>
                <w:spacing w:val="-10"/>
                <w:w w:val="110"/>
                <w:sz w:val="22"/>
              </w:rPr>
              <w:t> </w:t>
            </w:r>
            <w:r>
              <w:rPr>
                <w:color w:val="231F1F"/>
                <w:w w:val="110"/>
                <w:sz w:val="22"/>
              </w:rPr>
              <w:t>cinco</w:t>
            </w:r>
            <w:r>
              <w:rPr>
                <w:color w:val="231F1F"/>
                <w:spacing w:val="-9"/>
                <w:w w:val="110"/>
                <w:sz w:val="22"/>
              </w:rPr>
              <w:t> </w:t>
            </w:r>
            <w:r>
              <w:rPr>
                <w:color w:val="231F1F"/>
                <w:w w:val="110"/>
                <w:sz w:val="22"/>
              </w:rPr>
              <w:t>minutos,</w:t>
            </w:r>
            <w:r>
              <w:rPr>
                <w:color w:val="231F1F"/>
                <w:spacing w:val="-10"/>
                <w:w w:val="110"/>
                <w:sz w:val="22"/>
              </w:rPr>
              <w:t> </w:t>
            </w:r>
            <w:r>
              <w:rPr>
                <w:color w:val="231F1F"/>
                <w:w w:val="110"/>
                <w:sz w:val="22"/>
              </w:rPr>
              <w:t>ni</w:t>
            </w:r>
            <w:r>
              <w:rPr>
                <w:color w:val="231F1F"/>
                <w:spacing w:val="-10"/>
                <w:w w:val="110"/>
                <w:sz w:val="22"/>
              </w:rPr>
              <w:t> </w:t>
            </w:r>
            <w:r>
              <w:rPr>
                <w:color w:val="231F1F"/>
                <w:w w:val="110"/>
                <w:sz w:val="22"/>
              </w:rPr>
              <w:t>en</w:t>
            </w:r>
            <w:r>
              <w:rPr>
                <w:color w:val="231F1F"/>
                <w:spacing w:val="-9"/>
                <w:w w:val="110"/>
                <w:sz w:val="22"/>
              </w:rPr>
              <w:t> </w:t>
            </w:r>
            <w:r>
              <w:rPr>
                <w:color w:val="231F1F"/>
                <w:w w:val="110"/>
                <w:sz w:val="22"/>
              </w:rPr>
              <w:t>las</w:t>
            </w:r>
            <w:r>
              <w:rPr>
                <w:color w:val="231F1F"/>
                <w:spacing w:val="-9"/>
                <w:w w:val="110"/>
                <w:sz w:val="22"/>
              </w:rPr>
              <w:t> </w:t>
            </w:r>
            <w:r>
              <w:rPr>
                <w:color w:val="231F1F"/>
                <w:w w:val="110"/>
                <w:sz w:val="22"/>
              </w:rPr>
              <w:t>admisiones</w:t>
            </w:r>
            <w:r>
              <w:rPr>
                <w:color w:val="231F1F"/>
                <w:spacing w:val="-9"/>
                <w:w w:val="110"/>
                <w:sz w:val="22"/>
              </w:rPr>
              <w:t> </w:t>
            </w:r>
            <w:r>
              <w:rPr>
                <w:color w:val="231F1F"/>
                <w:w w:val="110"/>
                <w:sz w:val="22"/>
              </w:rPr>
              <w:t>en</w:t>
            </w:r>
            <w:r>
              <w:rPr>
                <w:color w:val="231F1F"/>
                <w:spacing w:val="-9"/>
                <w:w w:val="110"/>
                <w:sz w:val="22"/>
              </w:rPr>
              <w:t> </w:t>
            </w:r>
            <w:r>
              <w:rPr>
                <w:color w:val="231F1F"/>
                <w:w w:val="110"/>
                <w:sz w:val="22"/>
              </w:rPr>
              <w:t>unidad</w:t>
            </w:r>
            <w:r>
              <w:rPr>
                <w:color w:val="231F1F"/>
                <w:spacing w:val="-9"/>
                <w:w w:val="110"/>
                <w:sz w:val="22"/>
              </w:rPr>
              <w:t> </w:t>
            </w:r>
            <w:r>
              <w:rPr>
                <w:color w:val="231F1F"/>
                <w:w w:val="110"/>
                <w:sz w:val="22"/>
              </w:rPr>
              <w:t>de</w:t>
            </w:r>
            <w:r>
              <w:rPr>
                <w:color w:val="231F1F"/>
                <w:spacing w:val="-9"/>
                <w:w w:val="110"/>
                <w:sz w:val="22"/>
              </w:rPr>
              <w:t> </w:t>
            </w:r>
            <w:r>
              <w:rPr>
                <w:color w:val="231F1F"/>
                <w:w w:val="110"/>
                <w:sz w:val="22"/>
              </w:rPr>
              <w:t>cuidados</w:t>
            </w:r>
            <w:r>
              <w:rPr>
                <w:color w:val="231F1F"/>
                <w:spacing w:val="-9"/>
                <w:w w:val="110"/>
                <w:sz w:val="22"/>
              </w:rPr>
              <w:t> </w:t>
            </w:r>
            <w:r>
              <w:rPr>
                <w:color w:val="231F1F"/>
                <w:w w:val="110"/>
                <w:sz w:val="22"/>
              </w:rPr>
              <w:t>neonatales. </w:t>
            </w:r>
            <w:r>
              <w:rPr>
                <w:color w:val="231F1F"/>
                <w:spacing w:val="-2"/>
                <w:w w:val="110"/>
                <w:sz w:val="22"/>
              </w:rPr>
              <w:t>(368-370)</w:t>
            </w:r>
          </w:p>
        </w:tc>
        <w:tc>
          <w:tcPr>
            <w:tcW w:w="1133" w:type="dxa"/>
          </w:tcPr>
          <w:p>
            <w:pPr>
              <w:pStyle w:val="TableParagraph"/>
              <w:ind w:left="0"/>
              <w:rPr>
                <w:rFonts w:ascii="Arial MT"/>
                <w:sz w:val="22"/>
              </w:rPr>
            </w:pPr>
          </w:p>
          <w:p>
            <w:pPr>
              <w:pStyle w:val="TableParagraph"/>
              <w:ind w:left="0"/>
              <w:rPr>
                <w:rFonts w:ascii="Arial MT"/>
                <w:sz w:val="22"/>
              </w:rPr>
            </w:pPr>
          </w:p>
          <w:p>
            <w:pPr>
              <w:pStyle w:val="TableParagraph"/>
              <w:spacing w:before="120"/>
              <w:ind w:left="0"/>
              <w:rPr>
                <w:rFonts w:ascii="Arial MT"/>
                <w:sz w:val="22"/>
              </w:rPr>
            </w:pPr>
          </w:p>
          <w:p>
            <w:pPr>
              <w:pStyle w:val="TableParagraph"/>
              <w:ind w:left="49" w:right="22"/>
              <w:jc w:val="center"/>
              <w:rPr>
                <w:sz w:val="22"/>
              </w:rPr>
            </w:pPr>
            <w:r>
              <w:rPr>
                <w:color w:val="231F1F"/>
                <w:spacing w:val="-5"/>
                <w:w w:val="115"/>
                <w:sz w:val="22"/>
              </w:rPr>
              <w:t>II</w:t>
            </w:r>
          </w:p>
        </w:tc>
      </w:tr>
    </w:tbl>
    <w:p>
      <w:pPr>
        <w:pStyle w:val="TableParagraph"/>
        <w:spacing w:after="0"/>
        <w:jc w:val="center"/>
        <w:rPr>
          <w:sz w:val="22"/>
        </w:rPr>
        <w:sectPr>
          <w:type w:val="continuous"/>
          <w:pgSz w:w="11900" w:h="16840"/>
          <w:pgMar w:header="0" w:footer="622" w:top="560" w:bottom="280" w:left="1417" w:right="1559"/>
        </w:sectPr>
      </w:pPr>
    </w:p>
    <w:p>
      <w:pPr>
        <w:spacing w:before="82"/>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1" w:hRule="atLeast"/>
        </w:trPr>
        <w:tc>
          <w:tcPr>
            <w:tcW w:w="456" w:type="dxa"/>
          </w:tcPr>
          <w:p>
            <w:pPr>
              <w:pStyle w:val="TableParagraph"/>
              <w:spacing w:before="178"/>
              <w:ind w:left="46" w:right="43"/>
              <w:jc w:val="center"/>
              <w:rPr>
                <w:sz w:val="22"/>
              </w:rPr>
            </w:pPr>
            <w:r>
              <w:rPr>
                <w:color w:val="231F1F"/>
                <w:spacing w:val="-10"/>
                <w:w w:val="115"/>
                <w:sz w:val="22"/>
              </w:rPr>
              <w:t>A</w:t>
            </w:r>
          </w:p>
        </w:tc>
        <w:tc>
          <w:tcPr>
            <w:tcW w:w="8050" w:type="dxa"/>
          </w:tcPr>
          <w:p>
            <w:pPr>
              <w:pStyle w:val="TableParagraph"/>
              <w:spacing w:line="254" w:lineRule="auto" w:before="63"/>
              <w:ind w:right="382"/>
              <w:rPr>
                <w:sz w:val="22"/>
              </w:rPr>
            </w:pPr>
            <w:r>
              <w:rPr>
                <w:color w:val="231F1F"/>
                <w:sz w:val="22"/>
              </w:rPr>
              <w:t>No se recomienda la utilización rutinaria del análisis del segmento ST del ECG fetal</w:t>
            </w:r>
            <w:r>
              <w:rPr>
                <w:color w:val="231F1F"/>
                <w:spacing w:val="80"/>
                <w:sz w:val="22"/>
              </w:rPr>
              <w:t> </w:t>
            </w:r>
            <w:r>
              <w:rPr>
                <w:color w:val="231F1F"/>
                <w:sz w:val="22"/>
              </w:rPr>
              <w:t>en el parto normal.</w:t>
            </w:r>
          </w:p>
        </w:tc>
      </w:tr>
      <w:tr>
        <w:trPr>
          <w:trHeight w:val="681" w:hRule="atLeast"/>
        </w:trPr>
        <w:tc>
          <w:tcPr>
            <w:tcW w:w="456" w:type="dxa"/>
          </w:tcPr>
          <w:p>
            <w:pPr>
              <w:pStyle w:val="TableParagraph"/>
              <w:spacing w:before="178"/>
              <w:ind w:left="43" w:right="61"/>
              <w:jc w:val="center"/>
              <w:rPr>
                <w:sz w:val="22"/>
              </w:rPr>
            </w:pPr>
            <w:r>
              <w:rPr>
                <w:color w:val="231F1F"/>
                <w:spacing w:val="-10"/>
                <w:w w:val="110"/>
                <w:sz w:val="22"/>
              </w:rPr>
              <w:t>B</w:t>
            </w:r>
          </w:p>
        </w:tc>
        <w:tc>
          <w:tcPr>
            <w:tcW w:w="8050" w:type="dxa"/>
          </w:tcPr>
          <w:p>
            <w:pPr>
              <w:pStyle w:val="TableParagraph"/>
              <w:spacing w:line="244" w:lineRule="auto" w:before="53"/>
              <w:ind w:right="155"/>
              <w:rPr>
                <w:sz w:val="22"/>
              </w:rPr>
            </w:pPr>
            <w:r>
              <w:rPr>
                <w:color w:val="231F1F"/>
                <w:w w:val="105"/>
                <w:sz w:val="22"/>
              </w:rPr>
              <w:t>En</w:t>
            </w:r>
            <w:r>
              <w:rPr>
                <w:color w:val="231F1F"/>
                <w:w w:val="105"/>
                <w:sz w:val="22"/>
              </w:rPr>
              <w:t> las</w:t>
            </w:r>
            <w:r>
              <w:rPr>
                <w:color w:val="231F1F"/>
                <w:w w:val="105"/>
                <w:sz w:val="22"/>
              </w:rPr>
              <w:t> maternidades</w:t>
            </w:r>
            <w:r>
              <w:rPr>
                <w:color w:val="231F1F"/>
                <w:w w:val="105"/>
                <w:sz w:val="22"/>
              </w:rPr>
              <w:t> hospitalarias</w:t>
            </w:r>
            <w:r>
              <w:rPr>
                <w:color w:val="231F1F"/>
                <w:w w:val="105"/>
                <w:sz w:val="22"/>
              </w:rPr>
              <w:t> donde</w:t>
            </w:r>
            <w:r>
              <w:rPr>
                <w:color w:val="231F1F"/>
                <w:w w:val="105"/>
                <w:sz w:val="22"/>
              </w:rPr>
              <w:t> el</w:t>
            </w:r>
            <w:r>
              <w:rPr>
                <w:color w:val="231F1F"/>
                <w:w w:val="105"/>
                <w:sz w:val="22"/>
              </w:rPr>
              <w:t> análisis</w:t>
            </w:r>
            <w:r>
              <w:rPr>
                <w:color w:val="231F1F"/>
                <w:w w:val="105"/>
                <w:sz w:val="22"/>
              </w:rPr>
              <w:t> del</w:t>
            </w:r>
            <w:r>
              <w:rPr>
                <w:color w:val="231F1F"/>
                <w:w w:val="105"/>
                <w:sz w:val="22"/>
              </w:rPr>
              <w:t> segmento</w:t>
            </w:r>
            <w:r>
              <w:rPr>
                <w:color w:val="231F1F"/>
                <w:w w:val="105"/>
                <w:sz w:val="22"/>
              </w:rPr>
              <w:t> ST</w:t>
            </w:r>
            <w:r>
              <w:rPr>
                <w:color w:val="231F1F"/>
                <w:w w:val="105"/>
                <w:sz w:val="22"/>
              </w:rPr>
              <w:t> del</w:t>
            </w:r>
            <w:r>
              <w:rPr>
                <w:color w:val="231F1F"/>
                <w:w w:val="105"/>
                <w:sz w:val="22"/>
              </w:rPr>
              <w:t> ECG</w:t>
            </w:r>
            <w:r>
              <w:rPr>
                <w:color w:val="231F1F"/>
                <w:spacing w:val="10"/>
                <w:w w:val="105"/>
                <w:sz w:val="22"/>
              </w:rPr>
              <w:t> </w:t>
            </w:r>
            <w:r>
              <w:rPr>
                <w:color w:val="231F1F"/>
                <w:w w:val="105"/>
                <w:sz w:val="22"/>
              </w:rPr>
              <w:t>fetal está</w:t>
            </w:r>
            <w:r>
              <w:rPr>
                <w:color w:val="231F1F"/>
                <w:spacing w:val="28"/>
                <w:w w:val="105"/>
                <w:sz w:val="22"/>
              </w:rPr>
              <w:t> </w:t>
            </w:r>
            <w:r>
              <w:rPr>
                <w:color w:val="231F1F"/>
                <w:w w:val="105"/>
                <w:sz w:val="22"/>
              </w:rPr>
              <w:t>disponible,</w:t>
            </w:r>
            <w:r>
              <w:rPr>
                <w:color w:val="231F1F"/>
                <w:spacing w:val="27"/>
                <w:w w:val="105"/>
                <w:sz w:val="22"/>
              </w:rPr>
              <w:t> </w:t>
            </w:r>
            <w:r>
              <w:rPr>
                <w:color w:val="231F1F"/>
                <w:w w:val="105"/>
                <w:sz w:val="22"/>
              </w:rPr>
              <w:t>se</w:t>
            </w:r>
            <w:r>
              <w:rPr>
                <w:color w:val="231F1F"/>
                <w:spacing w:val="28"/>
                <w:w w:val="105"/>
                <w:sz w:val="22"/>
              </w:rPr>
              <w:t> </w:t>
            </w:r>
            <w:r>
              <w:rPr>
                <w:color w:val="231F1F"/>
                <w:w w:val="105"/>
                <w:sz w:val="22"/>
              </w:rPr>
              <w:t>recomienda</w:t>
            </w:r>
            <w:r>
              <w:rPr>
                <w:color w:val="231F1F"/>
                <w:spacing w:val="28"/>
                <w:w w:val="105"/>
                <w:sz w:val="22"/>
              </w:rPr>
              <w:t> </w:t>
            </w:r>
            <w:r>
              <w:rPr>
                <w:color w:val="231F1F"/>
                <w:w w:val="105"/>
                <w:sz w:val="22"/>
              </w:rPr>
              <w:t>su</w:t>
            </w:r>
            <w:r>
              <w:rPr>
                <w:color w:val="231F1F"/>
                <w:spacing w:val="28"/>
                <w:w w:val="105"/>
                <w:sz w:val="22"/>
              </w:rPr>
              <w:t> </w:t>
            </w:r>
            <w:r>
              <w:rPr>
                <w:color w:val="231F1F"/>
                <w:w w:val="105"/>
                <w:sz w:val="22"/>
              </w:rPr>
              <w:t>utilización</w:t>
            </w:r>
            <w:r>
              <w:rPr>
                <w:color w:val="231F1F"/>
                <w:spacing w:val="28"/>
                <w:w w:val="105"/>
                <w:sz w:val="22"/>
              </w:rPr>
              <w:t> </w:t>
            </w:r>
            <w:r>
              <w:rPr>
                <w:color w:val="231F1F"/>
                <w:w w:val="105"/>
                <w:sz w:val="22"/>
              </w:rPr>
              <w:t>sólo</w:t>
            </w:r>
            <w:r>
              <w:rPr>
                <w:color w:val="231F1F"/>
                <w:spacing w:val="28"/>
                <w:w w:val="105"/>
                <w:sz w:val="22"/>
              </w:rPr>
              <w:t> </w:t>
            </w:r>
            <w:r>
              <w:rPr>
                <w:color w:val="231F1F"/>
                <w:w w:val="105"/>
                <w:sz w:val="22"/>
              </w:rPr>
              <w:t>en</w:t>
            </w:r>
            <w:r>
              <w:rPr>
                <w:color w:val="231F1F"/>
                <w:spacing w:val="28"/>
                <w:w w:val="105"/>
                <w:sz w:val="22"/>
              </w:rPr>
              <w:t> </w:t>
            </w:r>
            <w:r>
              <w:rPr>
                <w:color w:val="231F1F"/>
                <w:w w:val="105"/>
                <w:sz w:val="22"/>
              </w:rPr>
              <w:t>mujeres</w:t>
            </w:r>
            <w:r>
              <w:rPr>
                <w:color w:val="231F1F"/>
                <w:spacing w:val="24"/>
                <w:w w:val="105"/>
                <w:sz w:val="22"/>
              </w:rPr>
              <w:t> </w:t>
            </w:r>
            <w:r>
              <w:rPr>
                <w:color w:val="231F1F"/>
                <w:w w:val="105"/>
                <w:sz w:val="22"/>
              </w:rPr>
              <w:t>con</w:t>
            </w:r>
            <w:r>
              <w:rPr>
                <w:color w:val="231F1F"/>
                <w:spacing w:val="28"/>
                <w:w w:val="105"/>
                <w:sz w:val="22"/>
              </w:rPr>
              <w:t> </w:t>
            </w:r>
            <w:r>
              <w:rPr>
                <w:color w:val="231F1F"/>
                <w:w w:val="105"/>
                <w:sz w:val="22"/>
              </w:rPr>
              <w:t>CTG</w:t>
            </w:r>
            <w:r>
              <w:rPr>
                <w:color w:val="231F1F"/>
                <w:spacing w:val="28"/>
                <w:w w:val="105"/>
                <w:sz w:val="22"/>
              </w:rPr>
              <w:t> </w:t>
            </w:r>
            <w:r>
              <w:rPr>
                <w:color w:val="231F1F"/>
                <w:w w:val="105"/>
                <w:sz w:val="22"/>
              </w:rPr>
              <w:t>anormal.</w:t>
            </w:r>
          </w:p>
        </w:tc>
      </w:tr>
    </w:tbl>
    <w:p>
      <w:pPr>
        <w:pStyle w:val="TableParagraph"/>
        <w:spacing w:after="0" w:line="244" w:lineRule="auto"/>
        <w:rPr>
          <w:sz w:val="22"/>
        </w:rPr>
        <w:sectPr>
          <w:pgSz w:w="11900" w:h="16840"/>
          <w:pgMar w:header="0" w:footer="622" w:top="1560" w:bottom="820" w:left="1417" w:right="1559"/>
        </w:sectPr>
      </w:pPr>
    </w:p>
    <w:p>
      <w:pPr>
        <w:pStyle w:val="Heading2"/>
        <w:numPr>
          <w:ilvl w:val="2"/>
          <w:numId w:val="2"/>
        </w:numPr>
        <w:tabs>
          <w:tab w:pos="1182" w:val="left" w:leader="none"/>
          <w:tab w:pos="1186" w:val="left" w:leader="none"/>
        </w:tabs>
        <w:spacing w:line="232" w:lineRule="auto" w:before="77" w:after="0"/>
        <w:ind w:left="1186" w:right="1174" w:hanging="905"/>
        <w:jc w:val="left"/>
      </w:pPr>
      <w:r>
        <w:rPr>
          <w:color w:val="231F1F"/>
        </w:rPr>
        <w:t>MEFC con o sin microtoma de sangre de la</w:t>
      </w:r>
      <w:r>
        <w:rPr>
          <w:color w:val="231F1F"/>
          <w:spacing w:val="80"/>
        </w:rPr>
        <w:t> </w:t>
      </w:r>
      <w:r>
        <w:rPr>
          <w:color w:val="231F1F"/>
        </w:rPr>
        <w:t>calota fetal (MSF)</w:t>
      </w:r>
    </w:p>
    <w:p>
      <w:pPr>
        <w:pStyle w:val="BodyText"/>
        <w:spacing w:before="24"/>
        <w:rPr>
          <w:sz w:val="20"/>
        </w:rPr>
      </w:pPr>
      <w:r>
        <w:rPr>
          <w:sz w:val="20"/>
        </w:rPr>
        <mc:AlternateContent>
          <mc:Choice Requires="wps">
            <w:drawing>
              <wp:anchor distT="0" distB="0" distL="0" distR="0" allowOverlap="1" layoutInCell="1" locked="0" behindDoc="1" simplePos="0" relativeHeight="487632896">
                <wp:simplePos x="0" y="0"/>
                <wp:positionH relativeFrom="page">
                  <wp:posOffset>1082675</wp:posOffset>
                </wp:positionH>
                <wp:positionV relativeFrom="paragraph">
                  <wp:posOffset>180281</wp:posOffset>
                </wp:positionV>
                <wp:extent cx="5400040" cy="440055"/>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5400040" cy="440055"/>
                        </a:xfrm>
                        <a:prstGeom prst="rect">
                          <a:avLst/>
                        </a:prstGeom>
                        <a:ln w="6350">
                          <a:solidFill>
                            <a:srgbClr val="A30046"/>
                          </a:solidFill>
                          <a:prstDash val="solid"/>
                        </a:ln>
                      </wps:spPr>
                      <wps:txbx>
                        <w:txbxContent>
                          <w:p>
                            <w:pPr>
                              <w:pStyle w:val="BodyText"/>
                              <w:numPr>
                                <w:ilvl w:val="0"/>
                                <w:numId w:val="92"/>
                              </w:numPr>
                              <w:tabs>
                                <w:tab w:pos="323" w:val="left" w:leader="none"/>
                              </w:tabs>
                              <w:spacing w:line="249" w:lineRule="auto" w:before="51" w:after="0"/>
                              <w:ind w:left="323" w:right="295" w:hanging="219"/>
                              <w:jc w:val="left"/>
                            </w:pPr>
                            <w:r>
                              <w:rPr>
                                <w:color w:val="231F1F"/>
                                <w:w w:val="105"/>
                              </w:rPr>
                              <w:t>¿Cuál</w:t>
                            </w:r>
                            <w:r>
                              <w:rPr>
                                <w:color w:val="231F1F"/>
                                <w:spacing w:val="-4"/>
                                <w:w w:val="105"/>
                              </w:rPr>
                              <w:t> </w:t>
                            </w:r>
                            <w:r>
                              <w:rPr>
                                <w:color w:val="231F1F"/>
                                <w:w w:val="105"/>
                              </w:rPr>
                              <w:t>es</w:t>
                            </w:r>
                            <w:r>
                              <w:rPr>
                                <w:color w:val="231F1F"/>
                                <w:spacing w:val="-2"/>
                                <w:w w:val="105"/>
                              </w:rPr>
                              <w:t> </w:t>
                            </w:r>
                            <w:r>
                              <w:rPr>
                                <w:color w:val="231F1F"/>
                                <w:w w:val="105"/>
                              </w:rPr>
                              <w:t>la</w:t>
                            </w:r>
                            <w:r>
                              <w:rPr>
                                <w:color w:val="231F1F"/>
                                <w:spacing w:val="-2"/>
                                <w:w w:val="105"/>
                              </w:rPr>
                              <w:t> </w:t>
                            </w:r>
                            <w:r>
                              <w:rPr>
                                <w:color w:val="231F1F"/>
                                <w:w w:val="105"/>
                              </w:rPr>
                              <w:t>efectividad</w:t>
                            </w:r>
                            <w:r>
                              <w:rPr>
                                <w:color w:val="231F1F"/>
                                <w:spacing w:val="-2"/>
                                <w:w w:val="105"/>
                              </w:rPr>
                              <w:t> </w:t>
                            </w:r>
                            <w:r>
                              <w:rPr>
                                <w:color w:val="231F1F"/>
                                <w:w w:val="105"/>
                              </w:rPr>
                              <w:t>de</w:t>
                            </w:r>
                            <w:r>
                              <w:rPr>
                                <w:color w:val="231F1F"/>
                                <w:spacing w:val="-3"/>
                                <w:w w:val="105"/>
                              </w:rPr>
                              <w:t> </w:t>
                            </w:r>
                            <w:r>
                              <w:rPr>
                                <w:color w:val="231F1F"/>
                                <w:w w:val="105"/>
                              </w:rPr>
                              <w:t>los</w:t>
                            </w:r>
                            <w:r>
                              <w:rPr>
                                <w:color w:val="231F1F"/>
                                <w:spacing w:val="-2"/>
                                <w:w w:val="105"/>
                              </w:rPr>
                              <w:t> </w:t>
                            </w:r>
                            <w:r>
                              <w:rPr>
                                <w:color w:val="231F1F"/>
                                <w:w w:val="105"/>
                              </w:rPr>
                              <w:t>siguientes</w:t>
                            </w:r>
                            <w:r>
                              <w:rPr>
                                <w:color w:val="231F1F"/>
                                <w:spacing w:val="-3"/>
                                <w:w w:val="105"/>
                              </w:rPr>
                              <w:t> </w:t>
                            </w:r>
                            <w:r>
                              <w:rPr>
                                <w:color w:val="231F1F"/>
                                <w:w w:val="105"/>
                              </w:rPr>
                              <w:t>métodos</w:t>
                            </w:r>
                            <w:r>
                              <w:rPr>
                                <w:color w:val="231F1F"/>
                                <w:spacing w:val="-3"/>
                                <w:w w:val="105"/>
                              </w:rPr>
                              <w:t> </w:t>
                            </w:r>
                            <w:r>
                              <w:rPr>
                                <w:color w:val="231F1F"/>
                                <w:w w:val="105"/>
                              </w:rPr>
                              <w:t>de</w:t>
                            </w:r>
                            <w:r>
                              <w:rPr>
                                <w:color w:val="231F1F"/>
                                <w:spacing w:val="-3"/>
                                <w:w w:val="105"/>
                              </w:rPr>
                              <w:t> </w:t>
                            </w:r>
                            <w:r>
                              <w:rPr>
                                <w:color w:val="231F1F"/>
                                <w:w w:val="105"/>
                              </w:rPr>
                              <w:t>monitorización</w:t>
                            </w:r>
                            <w:r>
                              <w:rPr>
                                <w:color w:val="231F1F"/>
                                <w:spacing w:val="-4"/>
                                <w:w w:val="105"/>
                              </w:rPr>
                              <w:t> </w:t>
                            </w:r>
                            <w:r>
                              <w:rPr>
                                <w:color w:val="231F1F"/>
                                <w:w w:val="105"/>
                              </w:rPr>
                              <w:t>fetal:</w:t>
                            </w:r>
                            <w:r>
                              <w:rPr>
                                <w:color w:val="231F1F"/>
                                <w:spacing w:val="-2"/>
                                <w:w w:val="105"/>
                              </w:rPr>
                              <w:t> </w:t>
                            </w:r>
                            <w:r>
                              <w:rPr>
                                <w:color w:val="231F1F"/>
                                <w:w w:val="105"/>
                              </w:rPr>
                              <w:t>MEFC</w:t>
                            </w:r>
                            <w:r>
                              <w:rPr>
                                <w:color w:val="231F1F"/>
                                <w:spacing w:val="-2"/>
                                <w:w w:val="105"/>
                              </w:rPr>
                              <w:t> </w:t>
                            </w:r>
                            <w:r>
                              <w:rPr>
                                <w:color w:val="231F1F"/>
                                <w:w w:val="105"/>
                              </w:rPr>
                              <w:t>con o sin microtoma de sangre de la calota fetal (MSF)?</w:t>
                            </w:r>
                          </w:p>
                        </w:txbxContent>
                      </wps:txbx>
                      <wps:bodyPr wrap="square" lIns="0" tIns="0" rIns="0" bIns="0" rtlCol="0">
                        <a:noAutofit/>
                      </wps:bodyPr>
                    </wps:wsp>
                  </a:graphicData>
                </a:graphic>
              </wp:anchor>
            </w:drawing>
          </mc:Choice>
          <mc:Fallback>
            <w:pict>
              <v:shape style="position:absolute;margin-left:85.25pt;margin-top:14.19541pt;width:425.2pt;height:34.65pt;mso-position-horizontal-relative:page;mso-position-vertical-relative:paragraph;z-index:-15683584;mso-wrap-distance-left:0;mso-wrap-distance-right:0" type="#_x0000_t202" id="docshape139" filled="false" stroked="true" strokeweight=".5pt" strokecolor="#a30046">
                <v:textbox inset="0,0,0,0">
                  <w:txbxContent>
                    <w:p>
                      <w:pPr>
                        <w:pStyle w:val="BodyText"/>
                        <w:numPr>
                          <w:ilvl w:val="0"/>
                          <w:numId w:val="92"/>
                        </w:numPr>
                        <w:tabs>
                          <w:tab w:pos="323" w:val="left" w:leader="none"/>
                        </w:tabs>
                        <w:spacing w:line="249" w:lineRule="auto" w:before="51" w:after="0"/>
                        <w:ind w:left="323" w:right="295" w:hanging="219"/>
                        <w:jc w:val="left"/>
                      </w:pPr>
                      <w:r>
                        <w:rPr>
                          <w:color w:val="231F1F"/>
                          <w:w w:val="105"/>
                        </w:rPr>
                        <w:t>¿Cuál</w:t>
                      </w:r>
                      <w:r>
                        <w:rPr>
                          <w:color w:val="231F1F"/>
                          <w:spacing w:val="-4"/>
                          <w:w w:val="105"/>
                        </w:rPr>
                        <w:t> </w:t>
                      </w:r>
                      <w:r>
                        <w:rPr>
                          <w:color w:val="231F1F"/>
                          <w:w w:val="105"/>
                        </w:rPr>
                        <w:t>es</w:t>
                      </w:r>
                      <w:r>
                        <w:rPr>
                          <w:color w:val="231F1F"/>
                          <w:spacing w:val="-2"/>
                          <w:w w:val="105"/>
                        </w:rPr>
                        <w:t> </w:t>
                      </w:r>
                      <w:r>
                        <w:rPr>
                          <w:color w:val="231F1F"/>
                          <w:w w:val="105"/>
                        </w:rPr>
                        <w:t>la</w:t>
                      </w:r>
                      <w:r>
                        <w:rPr>
                          <w:color w:val="231F1F"/>
                          <w:spacing w:val="-2"/>
                          <w:w w:val="105"/>
                        </w:rPr>
                        <w:t> </w:t>
                      </w:r>
                      <w:r>
                        <w:rPr>
                          <w:color w:val="231F1F"/>
                          <w:w w:val="105"/>
                        </w:rPr>
                        <w:t>efectividad</w:t>
                      </w:r>
                      <w:r>
                        <w:rPr>
                          <w:color w:val="231F1F"/>
                          <w:spacing w:val="-2"/>
                          <w:w w:val="105"/>
                        </w:rPr>
                        <w:t> </w:t>
                      </w:r>
                      <w:r>
                        <w:rPr>
                          <w:color w:val="231F1F"/>
                          <w:w w:val="105"/>
                        </w:rPr>
                        <w:t>de</w:t>
                      </w:r>
                      <w:r>
                        <w:rPr>
                          <w:color w:val="231F1F"/>
                          <w:spacing w:val="-3"/>
                          <w:w w:val="105"/>
                        </w:rPr>
                        <w:t> </w:t>
                      </w:r>
                      <w:r>
                        <w:rPr>
                          <w:color w:val="231F1F"/>
                          <w:w w:val="105"/>
                        </w:rPr>
                        <w:t>los</w:t>
                      </w:r>
                      <w:r>
                        <w:rPr>
                          <w:color w:val="231F1F"/>
                          <w:spacing w:val="-2"/>
                          <w:w w:val="105"/>
                        </w:rPr>
                        <w:t> </w:t>
                      </w:r>
                      <w:r>
                        <w:rPr>
                          <w:color w:val="231F1F"/>
                          <w:w w:val="105"/>
                        </w:rPr>
                        <w:t>siguientes</w:t>
                      </w:r>
                      <w:r>
                        <w:rPr>
                          <w:color w:val="231F1F"/>
                          <w:spacing w:val="-3"/>
                          <w:w w:val="105"/>
                        </w:rPr>
                        <w:t> </w:t>
                      </w:r>
                      <w:r>
                        <w:rPr>
                          <w:color w:val="231F1F"/>
                          <w:w w:val="105"/>
                        </w:rPr>
                        <w:t>métodos</w:t>
                      </w:r>
                      <w:r>
                        <w:rPr>
                          <w:color w:val="231F1F"/>
                          <w:spacing w:val="-3"/>
                          <w:w w:val="105"/>
                        </w:rPr>
                        <w:t> </w:t>
                      </w:r>
                      <w:r>
                        <w:rPr>
                          <w:color w:val="231F1F"/>
                          <w:w w:val="105"/>
                        </w:rPr>
                        <w:t>de</w:t>
                      </w:r>
                      <w:r>
                        <w:rPr>
                          <w:color w:val="231F1F"/>
                          <w:spacing w:val="-3"/>
                          <w:w w:val="105"/>
                        </w:rPr>
                        <w:t> </w:t>
                      </w:r>
                      <w:r>
                        <w:rPr>
                          <w:color w:val="231F1F"/>
                          <w:w w:val="105"/>
                        </w:rPr>
                        <w:t>monitorización</w:t>
                      </w:r>
                      <w:r>
                        <w:rPr>
                          <w:color w:val="231F1F"/>
                          <w:spacing w:val="-4"/>
                          <w:w w:val="105"/>
                        </w:rPr>
                        <w:t> </w:t>
                      </w:r>
                      <w:r>
                        <w:rPr>
                          <w:color w:val="231F1F"/>
                          <w:w w:val="105"/>
                        </w:rPr>
                        <w:t>fetal:</w:t>
                      </w:r>
                      <w:r>
                        <w:rPr>
                          <w:color w:val="231F1F"/>
                          <w:spacing w:val="-2"/>
                          <w:w w:val="105"/>
                        </w:rPr>
                        <w:t> </w:t>
                      </w:r>
                      <w:r>
                        <w:rPr>
                          <w:color w:val="231F1F"/>
                          <w:w w:val="105"/>
                        </w:rPr>
                        <w:t>MEFC</w:t>
                      </w:r>
                      <w:r>
                        <w:rPr>
                          <w:color w:val="231F1F"/>
                          <w:spacing w:val="-2"/>
                          <w:w w:val="105"/>
                        </w:rPr>
                        <w:t> </w:t>
                      </w:r>
                      <w:r>
                        <w:rPr>
                          <w:color w:val="231F1F"/>
                          <w:w w:val="105"/>
                        </w:rPr>
                        <w:t>con o sin microtoma de sangre de la calota fetal (MSF)?</w:t>
                      </w:r>
                    </w:p>
                  </w:txbxContent>
                </v:textbox>
                <v:stroke dashstyle="solid"/>
                <w10:wrap type="topAndBottom"/>
              </v:shape>
            </w:pict>
          </mc:Fallback>
        </mc:AlternateContent>
      </w:r>
    </w:p>
    <w:p>
      <w:pPr>
        <w:pStyle w:val="BodyText"/>
        <w:spacing w:line="247" w:lineRule="auto" w:before="318"/>
        <w:ind w:left="281" w:right="116"/>
        <w:jc w:val="both"/>
      </w:pPr>
      <w:r>
        <w:rPr>
          <w:color w:val="231F1F"/>
          <w:w w:val="110"/>
        </w:rPr>
        <w:t>La toma de muestra de sangre fetal es un procedimiento mediante el cual se toma una cantidad</w:t>
      </w:r>
      <w:r>
        <w:rPr>
          <w:color w:val="231F1F"/>
          <w:spacing w:val="-16"/>
          <w:w w:val="110"/>
        </w:rPr>
        <w:t> </w:t>
      </w:r>
      <w:r>
        <w:rPr>
          <w:color w:val="231F1F"/>
          <w:w w:val="110"/>
        </w:rPr>
        <w:t>pequeña</w:t>
      </w:r>
      <w:r>
        <w:rPr>
          <w:color w:val="231F1F"/>
          <w:spacing w:val="-15"/>
          <w:w w:val="110"/>
        </w:rPr>
        <w:t> </w:t>
      </w:r>
      <w:r>
        <w:rPr>
          <w:color w:val="231F1F"/>
          <w:w w:val="110"/>
        </w:rPr>
        <w:t>de</w:t>
      </w:r>
      <w:r>
        <w:rPr>
          <w:color w:val="231F1F"/>
          <w:spacing w:val="-15"/>
          <w:w w:val="110"/>
        </w:rPr>
        <w:t> </w:t>
      </w:r>
      <w:r>
        <w:rPr>
          <w:color w:val="231F1F"/>
          <w:w w:val="110"/>
        </w:rPr>
        <w:t>sangre</w:t>
      </w:r>
      <w:r>
        <w:rPr>
          <w:color w:val="231F1F"/>
          <w:spacing w:val="-15"/>
          <w:w w:val="110"/>
        </w:rPr>
        <w:t> </w:t>
      </w:r>
      <w:r>
        <w:rPr>
          <w:color w:val="231F1F"/>
          <w:w w:val="110"/>
        </w:rPr>
        <w:t>del</w:t>
      </w:r>
      <w:r>
        <w:rPr>
          <w:color w:val="231F1F"/>
          <w:spacing w:val="-15"/>
          <w:w w:val="110"/>
        </w:rPr>
        <w:t> </w:t>
      </w:r>
      <w:r>
        <w:rPr>
          <w:color w:val="231F1F"/>
          <w:w w:val="110"/>
        </w:rPr>
        <w:t>feto,</w:t>
      </w:r>
      <w:r>
        <w:rPr>
          <w:color w:val="231F1F"/>
          <w:spacing w:val="-15"/>
          <w:w w:val="110"/>
        </w:rPr>
        <w:t> </w:t>
      </w:r>
      <w:r>
        <w:rPr>
          <w:color w:val="231F1F"/>
          <w:w w:val="110"/>
        </w:rPr>
        <w:t>generalmente</w:t>
      </w:r>
      <w:r>
        <w:rPr>
          <w:color w:val="231F1F"/>
          <w:spacing w:val="-15"/>
          <w:w w:val="110"/>
        </w:rPr>
        <w:t> </w:t>
      </w:r>
      <w:r>
        <w:rPr>
          <w:color w:val="231F1F"/>
          <w:w w:val="110"/>
        </w:rPr>
        <w:t>del</w:t>
      </w:r>
      <w:r>
        <w:rPr>
          <w:color w:val="231F1F"/>
          <w:spacing w:val="-15"/>
          <w:w w:val="110"/>
        </w:rPr>
        <w:t> </w:t>
      </w:r>
      <w:r>
        <w:rPr>
          <w:color w:val="231F1F"/>
          <w:w w:val="110"/>
        </w:rPr>
        <w:t>cuero</w:t>
      </w:r>
      <w:r>
        <w:rPr>
          <w:color w:val="231F1F"/>
          <w:spacing w:val="-16"/>
          <w:w w:val="110"/>
        </w:rPr>
        <w:t> </w:t>
      </w:r>
      <w:r>
        <w:rPr>
          <w:color w:val="231F1F"/>
          <w:w w:val="110"/>
        </w:rPr>
        <w:t>cabelludo.</w:t>
      </w:r>
      <w:r>
        <w:rPr>
          <w:color w:val="231F1F"/>
          <w:spacing w:val="-15"/>
          <w:w w:val="110"/>
        </w:rPr>
        <w:t> </w:t>
      </w:r>
      <w:r>
        <w:rPr>
          <w:color w:val="231F1F"/>
          <w:w w:val="110"/>
        </w:rPr>
        <w:t>La</w:t>
      </w:r>
      <w:r>
        <w:rPr>
          <w:color w:val="231F1F"/>
          <w:spacing w:val="-15"/>
          <w:w w:val="110"/>
        </w:rPr>
        <w:t> </w:t>
      </w:r>
      <w:r>
        <w:rPr>
          <w:color w:val="231F1F"/>
          <w:w w:val="110"/>
        </w:rPr>
        <w:t>toma</w:t>
      </w:r>
      <w:r>
        <w:rPr>
          <w:color w:val="231F1F"/>
          <w:spacing w:val="-15"/>
          <w:w w:val="110"/>
        </w:rPr>
        <w:t> </w:t>
      </w:r>
      <w:r>
        <w:rPr>
          <w:color w:val="231F1F"/>
          <w:w w:val="110"/>
        </w:rPr>
        <w:t>de</w:t>
      </w:r>
      <w:r>
        <w:rPr>
          <w:color w:val="231F1F"/>
          <w:spacing w:val="-15"/>
          <w:w w:val="110"/>
        </w:rPr>
        <w:t> </w:t>
      </w:r>
      <w:r>
        <w:rPr>
          <w:color w:val="231F1F"/>
          <w:w w:val="110"/>
        </w:rPr>
        <w:t>mues- tra de sangre fetal y luego la medición de los parámetros del equilibrio ácido-base (pH, exceso/déficit de base, etc.) se han introducido con la finalidad de identificar a aquellos fetos</w:t>
      </w:r>
      <w:r>
        <w:rPr>
          <w:color w:val="231F1F"/>
          <w:spacing w:val="-2"/>
          <w:w w:val="110"/>
        </w:rPr>
        <w:t> </w:t>
      </w:r>
      <w:r>
        <w:rPr>
          <w:color w:val="231F1F"/>
          <w:w w:val="110"/>
        </w:rPr>
        <w:t>que</w:t>
      </w:r>
      <w:r>
        <w:rPr>
          <w:color w:val="231F1F"/>
          <w:spacing w:val="-2"/>
          <w:w w:val="110"/>
        </w:rPr>
        <w:t> </w:t>
      </w:r>
      <w:r>
        <w:rPr>
          <w:color w:val="231F1F"/>
          <w:w w:val="110"/>
        </w:rPr>
        <w:t>están</w:t>
      </w:r>
      <w:r>
        <w:rPr>
          <w:color w:val="231F1F"/>
          <w:spacing w:val="-1"/>
          <w:w w:val="110"/>
        </w:rPr>
        <w:t> </w:t>
      </w:r>
      <w:r>
        <w:rPr>
          <w:color w:val="231F1F"/>
          <w:w w:val="110"/>
        </w:rPr>
        <w:t>verdaderamente</w:t>
      </w:r>
      <w:r>
        <w:rPr>
          <w:color w:val="231F1F"/>
          <w:spacing w:val="-2"/>
          <w:w w:val="110"/>
        </w:rPr>
        <w:t> </w:t>
      </w:r>
      <w:r>
        <w:rPr>
          <w:color w:val="231F1F"/>
          <w:w w:val="110"/>
        </w:rPr>
        <w:t>en</w:t>
      </w:r>
      <w:r>
        <w:rPr>
          <w:color w:val="231F1F"/>
          <w:spacing w:val="-1"/>
          <w:w w:val="110"/>
        </w:rPr>
        <w:t> </w:t>
      </w:r>
      <w:r>
        <w:rPr>
          <w:color w:val="231F1F"/>
          <w:w w:val="110"/>
        </w:rPr>
        <w:t>riesgo</w:t>
      </w:r>
      <w:r>
        <w:rPr>
          <w:color w:val="231F1F"/>
          <w:spacing w:val="-1"/>
          <w:w w:val="110"/>
        </w:rPr>
        <w:t> </w:t>
      </w:r>
      <w:r>
        <w:rPr>
          <w:color w:val="231F1F"/>
          <w:w w:val="110"/>
        </w:rPr>
        <w:t>y</w:t>
      </w:r>
      <w:r>
        <w:rPr>
          <w:color w:val="231F1F"/>
          <w:spacing w:val="-1"/>
          <w:w w:val="110"/>
        </w:rPr>
        <w:t> </w:t>
      </w:r>
      <w:r>
        <w:rPr>
          <w:color w:val="231F1F"/>
          <w:w w:val="110"/>
        </w:rPr>
        <w:t>que</w:t>
      </w:r>
      <w:r>
        <w:rPr>
          <w:color w:val="231F1F"/>
          <w:spacing w:val="-2"/>
          <w:w w:val="110"/>
        </w:rPr>
        <w:t> </w:t>
      </w:r>
      <w:r>
        <w:rPr>
          <w:color w:val="231F1F"/>
          <w:w w:val="110"/>
        </w:rPr>
        <w:t>se</w:t>
      </w:r>
      <w:r>
        <w:rPr>
          <w:color w:val="231F1F"/>
          <w:spacing w:val="-2"/>
          <w:w w:val="110"/>
        </w:rPr>
        <w:t> </w:t>
      </w:r>
      <w:r>
        <w:rPr>
          <w:color w:val="231F1F"/>
          <w:w w:val="110"/>
        </w:rPr>
        <w:t>deben</w:t>
      </w:r>
      <w:r>
        <w:rPr>
          <w:color w:val="231F1F"/>
          <w:spacing w:val="-2"/>
          <w:w w:val="110"/>
        </w:rPr>
        <w:t> </w:t>
      </w:r>
      <w:r>
        <w:rPr>
          <w:color w:val="231F1F"/>
          <w:w w:val="110"/>
        </w:rPr>
        <w:t>extraer</w:t>
      </w:r>
      <w:r>
        <w:rPr>
          <w:color w:val="231F1F"/>
          <w:spacing w:val="-2"/>
          <w:w w:val="110"/>
        </w:rPr>
        <w:t> </w:t>
      </w:r>
      <w:r>
        <w:rPr>
          <w:color w:val="231F1F"/>
          <w:w w:val="110"/>
        </w:rPr>
        <w:t>de</w:t>
      </w:r>
      <w:r>
        <w:rPr>
          <w:color w:val="231F1F"/>
          <w:spacing w:val="-2"/>
          <w:w w:val="110"/>
        </w:rPr>
        <w:t> </w:t>
      </w:r>
      <w:r>
        <w:rPr>
          <w:color w:val="231F1F"/>
          <w:w w:val="110"/>
        </w:rPr>
        <w:t>forma</w:t>
      </w:r>
      <w:r>
        <w:rPr>
          <w:color w:val="231F1F"/>
          <w:spacing w:val="-2"/>
          <w:w w:val="110"/>
        </w:rPr>
        <w:t> </w:t>
      </w:r>
      <w:r>
        <w:rPr>
          <w:color w:val="231F1F"/>
          <w:w w:val="110"/>
        </w:rPr>
        <w:t>inmediata,</w:t>
      </w:r>
      <w:r>
        <w:rPr>
          <w:color w:val="231F1F"/>
          <w:spacing w:val="-2"/>
          <w:w w:val="110"/>
        </w:rPr>
        <w:t> </w:t>
      </w:r>
      <w:r>
        <w:rPr>
          <w:color w:val="231F1F"/>
          <w:w w:val="110"/>
        </w:rPr>
        <w:t>de aquellos</w:t>
      </w:r>
      <w:r>
        <w:rPr>
          <w:color w:val="231F1F"/>
          <w:spacing w:val="-11"/>
          <w:w w:val="110"/>
        </w:rPr>
        <w:t> </w:t>
      </w:r>
      <w:r>
        <w:rPr>
          <w:color w:val="231F1F"/>
          <w:w w:val="110"/>
        </w:rPr>
        <w:t>que</w:t>
      </w:r>
      <w:r>
        <w:rPr>
          <w:color w:val="231F1F"/>
          <w:spacing w:val="-10"/>
          <w:w w:val="110"/>
        </w:rPr>
        <w:t> </w:t>
      </w:r>
      <w:r>
        <w:rPr>
          <w:color w:val="231F1F"/>
          <w:w w:val="110"/>
        </w:rPr>
        <w:t>no</w:t>
      </w:r>
      <w:r>
        <w:rPr>
          <w:color w:val="231F1F"/>
          <w:spacing w:val="-10"/>
          <w:w w:val="110"/>
        </w:rPr>
        <w:t> </w:t>
      </w:r>
      <w:r>
        <w:rPr>
          <w:color w:val="231F1F"/>
          <w:w w:val="110"/>
        </w:rPr>
        <w:t>están</w:t>
      </w:r>
      <w:r>
        <w:rPr>
          <w:color w:val="231F1F"/>
          <w:spacing w:val="-10"/>
          <w:w w:val="110"/>
        </w:rPr>
        <w:t> </w:t>
      </w:r>
      <w:r>
        <w:rPr>
          <w:color w:val="231F1F"/>
          <w:w w:val="110"/>
        </w:rPr>
        <w:t>realmente</w:t>
      </w:r>
      <w:r>
        <w:rPr>
          <w:color w:val="231F1F"/>
          <w:spacing w:val="-10"/>
          <w:w w:val="110"/>
        </w:rPr>
        <w:t> </w:t>
      </w:r>
      <w:r>
        <w:rPr>
          <w:color w:val="231F1F"/>
          <w:w w:val="110"/>
        </w:rPr>
        <w:t>en</w:t>
      </w:r>
      <w:r>
        <w:rPr>
          <w:color w:val="231F1F"/>
          <w:spacing w:val="-10"/>
          <w:w w:val="110"/>
        </w:rPr>
        <w:t> </w:t>
      </w:r>
      <w:r>
        <w:rPr>
          <w:color w:val="231F1F"/>
          <w:w w:val="110"/>
        </w:rPr>
        <w:t>riesgo.</w:t>
      </w:r>
      <w:r>
        <w:rPr>
          <w:color w:val="231F1F"/>
          <w:spacing w:val="-11"/>
          <w:w w:val="110"/>
        </w:rPr>
        <w:t> </w:t>
      </w:r>
      <w:r>
        <w:rPr>
          <w:color w:val="231F1F"/>
          <w:w w:val="110"/>
        </w:rPr>
        <w:t>Es</w:t>
      </w:r>
      <w:r>
        <w:rPr>
          <w:color w:val="231F1F"/>
          <w:spacing w:val="-10"/>
          <w:w w:val="110"/>
        </w:rPr>
        <w:t> </w:t>
      </w:r>
      <w:r>
        <w:rPr>
          <w:color w:val="231F1F"/>
          <w:w w:val="110"/>
        </w:rPr>
        <w:t>importante</w:t>
      </w:r>
      <w:r>
        <w:rPr>
          <w:color w:val="231F1F"/>
          <w:spacing w:val="-11"/>
          <w:w w:val="110"/>
        </w:rPr>
        <w:t> </w:t>
      </w:r>
      <w:r>
        <w:rPr>
          <w:color w:val="231F1F"/>
          <w:w w:val="110"/>
        </w:rPr>
        <w:t>establecer</w:t>
      </w:r>
      <w:r>
        <w:rPr>
          <w:color w:val="231F1F"/>
          <w:spacing w:val="-10"/>
          <w:w w:val="110"/>
        </w:rPr>
        <w:t> </w:t>
      </w:r>
      <w:r>
        <w:rPr>
          <w:color w:val="231F1F"/>
          <w:w w:val="110"/>
        </w:rPr>
        <w:t>el</w:t>
      </w:r>
      <w:r>
        <w:rPr>
          <w:color w:val="231F1F"/>
          <w:spacing w:val="-11"/>
          <w:w w:val="110"/>
        </w:rPr>
        <w:t> </w:t>
      </w:r>
      <w:r>
        <w:rPr>
          <w:color w:val="231F1F"/>
          <w:w w:val="110"/>
        </w:rPr>
        <w:t>valor</w:t>
      </w:r>
      <w:r>
        <w:rPr>
          <w:color w:val="231F1F"/>
          <w:spacing w:val="-11"/>
          <w:w w:val="110"/>
        </w:rPr>
        <w:t> </w:t>
      </w:r>
      <w:r>
        <w:rPr>
          <w:color w:val="231F1F"/>
          <w:w w:val="110"/>
        </w:rPr>
        <w:t>de</w:t>
      </w:r>
      <w:r>
        <w:rPr>
          <w:color w:val="231F1F"/>
          <w:spacing w:val="-10"/>
          <w:w w:val="110"/>
        </w:rPr>
        <w:t> </w:t>
      </w:r>
      <w:r>
        <w:rPr>
          <w:color w:val="231F1F"/>
          <w:w w:val="110"/>
        </w:rPr>
        <w:t>esta</w:t>
      </w:r>
      <w:r>
        <w:rPr>
          <w:color w:val="231F1F"/>
          <w:spacing w:val="-10"/>
          <w:w w:val="110"/>
        </w:rPr>
        <w:t> </w:t>
      </w:r>
      <w:r>
        <w:rPr>
          <w:color w:val="231F1F"/>
          <w:w w:val="110"/>
        </w:rPr>
        <w:t>prue- ba como complemento de la CTG hasta el punto de que se ha llegado a recomendar no practicar cardiotocografía si no se dispone de este procedimiento.</w:t>
      </w:r>
    </w:p>
    <w:p>
      <w:pPr>
        <w:pStyle w:val="BodyText"/>
        <w:spacing w:before="191"/>
      </w:pPr>
    </w:p>
    <w:p>
      <w:pPr>
        <w:spacing w:before="1"/>
        <w:ind w:left="287" w:right="0" w:firstLine="0"/>
        <w:jc w:val="both"/>
        <w:rPr>
          <w:rFonts w:ascii="Arial MT" w:hAnsi="Arial MT"/>
          <w:sz w:val="24"/>
        </w:rPr>
      </w:pPr>
      <w:r>
        <w:rPr>
          <w:rFonts w:ascii="Arial MT" w:hAnsi="Arial MT"/>
          <w:color w:val="231F1F"/>
          <w:sz w:val="24"/>
        </w:rPr>
        <w:t>Evidencia</w:t>
      </w:r>
      <w:r>
        <w:rPr>
          <w:rFonts w:ascii="Arial MT" w:hAnsi="Arial MT"/>
          <w:color w:val="231F1F"/>
          <w:spacing w:val="27"/>
          <w:sz w:val="24"/>
        </w:rPr>
        <w:t> </w:t>
      </w:r>
      <w:r>
        <w:rPr>
          <w:rFonts w:ascii="Arial MT" w:hAnsi="Arial MT"/>
          <w:color w:val="231F1F"/>
          <w:spacing w:val="-2"/>
          <w:sz w:val="24"/>
        </w:rPr>
        <w:t>científica</w:t>
      </w:r>
    </w:p>
    <w:p>
      <w:pPr>
        <w:pStyle w:val="BodyText"/>
        <w:spacing w:before="6"/>
        <w:rPr>
          <w:rFonts w:ascii="Arial MT"/>
          <w:sz w:val="13"/>
        </w:rPr>
      </w:pPr>
    </w:p>
    <w:p>
      <w:pPr>
        <w:pStyle w:val="BodyText"/>
        <w:spacing w:after="0"/>
        <w:rPr>
          <w:rFonts w:ascii="Arial MT"/>
          <w:sz w:val="13"/>
        </w:rPr>
        <w:sectPr>
          <w:pgSz w:w="11900" w:h="16840"/>
          <w:pgMar w:header="0" w:footer="622" w:top="1560" w:bottom="820" w:left="1417" w:right="1559"/>
        </w:sectPr>
      </w:pPr>
    </w:p>
    <w:p>
      <w:pPr>
        <w:pStyle w:val="BodyText"/>
        <w:spacing w:line="247" w:lineRule="auto" w:before="92"/>
        <w:ind w:left="288"/>
        <w:jc w:val="both"/>
      </w:pPr>
      <w:r>
        <w:rPr>
          <w:color w:val="231F1F"/>
          <w:spacing w:val="-2"/>
          <w:w w:val="110"/>
        </w:rPr>
        <w:t>Para</w:t>
      </w:r>
      <w:r>
        <w:rPr>
          <w:color w:val="231F1F"/>
          <w:spacing w:val="-12"/>
          <w:w w:val="110"/>
        </w:rPr>
        <w:t> </w:t>
      </w:r>
      <w:r>
        <w:rPr>
          <w:color w:val="231F1F"/>
          <w:spacing w:val="-2"/>
          <w:w w:val="110"/>
        </w:rPr>
        <w:t>responder</w:t>
      </w:r>
      <w:r>
        <w:rPr>
          <w:color w:val="231F1F"/>
          <w:spacing w:val="-12"/>
          <w:w w:val="110"/>
        </w:rPr>
        <w:t> </w:t>
      </w:r>
      <w:r>
        <w:rPr>
          <w:color w:val="231F1F"/>
          <w:spacing w:val="-2"/>
          <w:w w:val="110"/>
        </w:rPr>
        <w:t>a</w:t>
      </w:r>
      <w:r>
        <w:rPr>
          <w:color w:val="231F1F"/>
          <w:spacing w:val="-12"/>
          <w:w w:val="110"/>
        </w:rPr>
        <w:t> </w:t>
      </w:r>
      <w:r>
        <w:rPr>
          <w:color w:val="231F1F"/>
          <w:spacing w:val="-2"/>
          <w:w w:val="110"/>
        </w:rPr>
        <w:t>la</w:t>
      </w:r>
      <w:r>
        <w:rPr>
          <w:color w:val="231F1F"/>
          <w:spacing w:val="-12"/>
          <w:w w:val="110"/>
        </w:rPr>
        <w:t> </w:t>
      </w:r>
      <w:r>
        <w:rPr>
          <w:color w:val="231F1F"/>
          <w:spacing w:val="-2"/>
          <w:w w:val="110"/>
        </w:rPr>
        <w:t>pregunta</w:t>
      </w:r>
      <w:r>
        <w:rPr>
          <w:color w:val="231F1F"/>
          <w:spacing w:val="-12"/>
          <w:w w:val="110"/>
        </w:rPr>
        <w:t> </w:t>
      </w:r>
      <w:r>
        <w:rPr>
          <w:color w:val="231F1F"/>
          <w:spacing w:val="-2"/>
          <w:w w:val="110"/>
        </w:rPr>
        <w:t>la</w:t>
      </w:r>
      <w:r>
        <w:rPr>
          <w:color w:val="231F1F"/>
          <w:spacing w:val="-12"/>
          <w:w w:val="110"/>
        </w:rPr>
        <w:t> </w:t>
      </w:r>
      <w:r>
        <w:rPr>
          <w:color w:val="231F1F"/>
          <w:spacing w:val="-2"/>
          <w:w w:val="110"/>
        </w:rPr>
        <w:t>guía</w:t>
      </w:r>
      <w:r>
        <w:rPr>
          <w:color w:val="231F1F"/>
          <w:spacing w:val="-12"/>
          <w:w w:val="110"/>
        </w:rPr>
        <w:t> </w:t>
      </w:r>
      <w:r>
        <w:rPr>
          <w:color w:val="231F1F"/>
          <w:spacing w:val="-2"/>
          <w:w w:val="110"/>
        </w:rPr>
        <w:t>NICE</w:t>
      </w:r>
      <w:r>
        <w:rPr>
          <w:color w:val="231F1F"/>
          <w:spacing w:val="-12"/>
          <w:w w:val="110"/>
        </w:rPr>
        <w:t> </w:t>
      </w:r>
      <w:r>
        <w:rPr>
          <w:color w:val="231F1F"/>
          <w:spacing w:val="-2"/>
          <w:w w:val="110"/>
        </w:rPr>
        <w:t>(10)</w:t>
      </w:r>
      <w:r>
        <w:rPr>
          <w:color w:val="231F1F"/>
          <w:spacing w:val="-12"/>
          <w:w w:val="110"/>
        </w:rPr>
        <w:t> </w:t>
      </w:r>
      <w:r>
        <w:rPr>
          <w:color w:val="231F1F"/>
          <w:spacing w:val="-2"/>
          <w:w w:val="110"/>
        </w:rPr>
        <w:t>empleó</w:t>
      </w:r>
      <w:r>
        <w:rPr>
          <w:color w:val="231F1F"/>
          <w:spacing w:val="-12"/>
          <w:w w:val="110"/>
        </w:rPr>
        <w:t> </w:t>
      </w:r>
      <w:r>
        <w:rPr>
          <w:color w:val="231F1F"/>
          <w:spacing w:val="-2"/>
          <w:w w:val="110"/>
        </w:rPr>
        <w:t>una</w:t>
      </w:r>
      <w:r>
        <w:rPr>
          <w:color w:val="231F1F"/>
          <w:spacing w:val="-12"/>
          <w:w w:val="110"/>
        </w:rPr>
        <w:t> </w:t>
      </w:r>
      <w:r>
        <w:rPr>
          <w:color w:val="231F1F"/>
          <w:spacing w:val="-2"/>
          <w:w w:val="110"/>
        </w:rPr>
        <w:t>RS</w:t>
      </w:r>
      <w:r>
        <w:rPr>
          <w:color w:val="231F1F"/>
          <w:spacing w:val="-12"/>
          <w:w w:val="110"/>
        </w:rPr>
        <w:t> </w:t>
      </w:r>
      <w:r>
        <w:rPr>
          <w:color w:val="231F1F"/>
          <w:spacing w:val="-2"/>
          <w:w w:val="110"/>
        </w:rPr>
        <w:t>(363)</w:t>
      </w:r>
      <w:r>
        <w:rPr>
          <w:color w:val="231F1F"/>
          <w:spacing w:val="-12"/>
          <w:w w:val="110"/>
        </w:rPr>
        <w:t> </w:t>
      </w:r>
      <w:r>
        <w:rPr>
          <w:color w:val="231F1F"/>
          <w:spacing w:val="-2"/>
          <w:w w:val="110"/>
        </w:rPr>
        <w:t>con</w:t>
      </w:r>
      <w:r>
        <w:rPr>
          <w:color w:val="231F1F"/>
          <w:spacing w:val="-12"/>
          <w:w w:val="110"/>
        </w:rPr>
        <w:t> </w:t>
      </w:r>
      <w:r>
        <w:rPr>
          <w:color w:val="231F1F"/>
          <w:spacing w:val="-2"/>
          <w:w w:val="110"/>
        </w:rPr>
        <w:t>que </w:t>
      </w:r>
      <w:r>
        <w:rPr>
          <w:color w:val="231F1F"/>
          <w:w w:val="110"/>
        </w:rPr>
        <w:t>incluye</w:t>
      </w:r>
      <w:r>
        <w:rPr>
          <w:color w:val="231F1F"/>
          <w:spacing w:val="-13"/>
          <w:w w:val="110"/>
        </w:rPr>
        <w:t> </w:t>
      </w:r>
      <w:r>
        <w:rPr>
          <w:color w:val="231F1F"/>
          <w:w w:val="110"/>
        </w:rPr>
        <w:t>12</w:t>
      </w:r>
      <w:r>
        <w:rPr>
          <w:color w:val="231F1F"/>
          <w:spacing w:val="-13"/>
          <w:w w:val="110"/>
        </w:rPr>
        <w:t> </w:t>
      </w:r>
      <w:r>
        <w:rPr>
          <w:color w:val="231F1F"/>
          <w:w w:val="110"/>
        </w:rPr>
        <w:t>estudios</w:t>
      </w:r>
      <w:r>
        <w:rPr>
          <w:color w:val="231F1F"/>
          <w:spacing w:val="-13"/>
          <w:w w:val="110"/>
        </w:rPr>
        <w:t> </w:t>
      </w:r>
      <w:r>
        <w:rPr>
          <w:color w:val="231F1F"/>
          <w:w w:val="110"/>
        </w:rPr>
        <w:t>(37.000</w:t>
      </w:r>
      <w:r>
        <w:rPr>
          <w:color w:val="231F1F"/>
          <w:spacing w:val="-13"/>
          <w:w w:val="110"/>
        </w:rPr>
        <w:t> </w:t>
      </w:r>
      <w:r>
        <w:rPr>
          <w:color w:val="231F1F"/>
          <w:w w:val="110"/>
        </w:rPr>
        <w:t>mujeres)</w:t>
      </w:r>
      <w:r>
        <w:rPr>
          <w:color w:val="231F1F"/>
          <w:spacing w:val="-13"/>
          <w:w w:val="110"/>
        </w:rPr>
        <w:t> </w:t>
      </w:r>
      <w:r>
        <w:rPr>
          <w:color w:val="231F1F"/>
          <w:w w:val="110"/>
        </w:rPr>
        <w:t>en</w:t>
      </w:r>
      <w:r>
        <w:rPr>
          <w:color w:val="231F1F"/>
          <w:spacing w:val="-13"/>
          <w:w w:val="110"/>
        </w:rPr>
        <w:t> </w:t>
      </w:r>
      <w:r>
        <w:rPr>
          <w:color w:val="231F1F"/>
          <w:w w:val="110"/>
        </w:rPr>
        <w:t>los</w:t>
      </w:r>
      <w:r>
        <w:rPr>
          <w:color w:val="231F1F"/>
          <w:spacing w:val="-13"/>
          <w:w w:val="110"/>
        </w:rPr>
        <w:t> </w:t>
      </w:r>
      <w:r>
        <w:rPr>
          <w:color w:val="231F1F"/>
          <w:w w:val="110"/>
        </w:rPr>
        <w:t>que</w:t>
      </w:r>
      <w:r>
        <w:rPr>
          <w:color w:val="231F1F"/>
          <w:spacing w:val="-13"/>
          <w:w w:val="110"/>
        </w:rPr>
        <w:t> </w:t>
      </w:r>
      <w:r>
        <w:rPr>
          <w:color w:val="231F1F"/>
          <w:w w:val="110"/>
        </w:rPr>
        <w:t>se</w:t>
      </w:r>
      <w:r>
        <w:rPr>
          <w:color w:val="231F1F"/>
          <w:spacing w:val="-13"/>
          <w:w w:val="110"/>
        </w:rPr>
        <w:t> </w:t>
      </w:r>
      <w:r>
        <w:rPr>
          <w:color w:val="231F1F"/>
          <w:w w:val="110"/>
        </w:rPr>
        <w:t>comparaba</w:t>
      </w:r>
      <w:r>
        <w:rPr>
          <w:color w:val="231F1F"/>
          <w:spacing w:val="-13"/>
          <w:w w:val="110"/>
        </w:rPr>
        <w:t> </w:t>
      </w:r>
      <w:r>
        <w:rPr>
          <w:color w:val="231F1F"/>
          <w:w w:val="110"/>
        </w:rPr>
        <w:t>la</w:t>
      </w:r>
      <w:r>
        <w:rPr>
          <w:color w:val="231F1F"/>
          <w:spacing w:val="-13"/>
          <w:w w:val="110"/>
        </w:rPr>
        <w:t> </w:t>
      </w:r>
      <w:r>
        <w:rPr>
          <w:color w:val="231F1F"/>
          <w:w w:val="110"/>
        </w:rPr>
        <w:t>MEFC</w:t>
      </w:r>
      <w:r>
        <w:rPr>
          <w:color w:val="231F1F"/>
          <w:spacing w:val="-13"/>
          <w:w w:val="110"/>
        </w:rPr>
        <w:t> </w:t>
      </w:r>
      <w:r>
        <w:rPr>
          <w:color w:val="231F1F"/>
          <w:w w:val="110"/>
        </w:rPr>
        <w:t>con la AI, evaluando además, el efecto de la MSF en un subgrupo de MEFC. Utiliza también los resultados de un estudio observacional de cohortes con controles</w:t>
      </w:r>
      <w:r>
        <w:rPr>
          <w:color w:val="231F1F"/>
          <w:spacing w:val="-6"/>
          <w:w w:val="110"/>
        </w:rPr>
        <w:t> </w:t>
      </w:r>
      <w:r>
        <w:rPr>
          <w:color w:val="231F1F"/>
          <w:w w:val="110"/>
        </w:rPr>
        <w:t>históricos</w:t>
      </w:r>
      <w:r>
        <w:rPr>
          <w:color w:val="231F1F"/>
          <w:spacing w:val="-6"/>
          <w:w w:val="110"/>
        </w:rPr>
        <w:t> </w:t>
      </w:r>
      <w:r>
        <w:rPr>
          <w:color w:val="231F1F"/>
          <w:w w:val="110"/>
        </w:rPr>
        <w:t>en</w:t>
      </w:r>
      <w:r>
        <w:rPr>
          <w:color w:val="231F1F"/>
          <w:spacing w:val="-6"/>
          <w:w w:val="110"/>
        </w:rPr>
        <w:t> </w:t>
      </w:r>
      <w:r>
        <w:rPr>
          <w:color w:val="231F1F"/>
          <w:w w:val="110"/>
        </w:rPr>
        <w:t>el</w:t>
      </w:r>
      <w:r>
        <w:rPr>
          <w:color w:val="231F1F"/>
          <w:spacing w:val="-6"/>
          <w:w w:val="110"/>
        </w:rPr>
        <w:t> </w:t>
      </w:r>
      <w:r>
        <w:rPr>
          <w:color w:val="231F1F"/>
          <w:w w:val="110"/>
        </w:rPr>
        <w:t>que</w:t>
      </w:r>
      <w:r>
        <w:rPr>
          <w:color w:val="231F1F"/>
          <w:spacing w:val="-6"/>
          <w:w w:val="110"/>
        </w:rPr>
        <w:t> </w:t>
      </w:r>
      <w:r>
        <w:rPr>
          <w:color w:val="231F1F"/>
          <w:w w:val="110"/>
        </w:rPr>
        <w:t>comparaba</w:t>
      </w:r>
      <w:r>
        <w:rPr>
          <w:color w:val="231F1F"/>
          <w:spacing w:val="-6"/>
          <w:w w:val="110"/>
        </w:rPr>
        <w:t> </w:t>
      </w:r>
      <w:r>
        <w:rPr>
          <w:color w:val="231F1F"/>
          <w:w w:val="110"/>
        </w:rPr>
        <w:t>la</w:t>
      </w:r>
      <w:r>
        <w:rPr>
          <w:color w:val="231F1F"/>
          <w:spacing w:val="-6"/>
          <w:w w:val="110"/>
        </w:rPr>
        <w:t> </w:t>
      </w:r>
      <w:r>
        <w:rPr>
          <w:color w:val="231F1F"/>
          <w:w w:val="110"/>
        </w:rPr>
        <w:t>efectividad</w:t>
      </w:r>
      <w:r>
        <w:rPr>
          <w:color w:val="231F1F"/>
          <w:spacing w:val="-6"/>
          <w:w w:val="110"/>
        </w:rPr>
        <w:t> </w:t>
      </w:r>
      <w:r>
        <w:rPr>
          <w:color w:val="231F1F"/>
          <w:w w:val="110"/>
        </w:rPr>
        <w:t>de</w:t>
      </w:r>
      <w:r>
        <w:rPr>
          <w:color w:val="231F1F"/>
          <w:spacing w:val="-6"/>
          <w:w w:val="110"/>
        </w:rPr>
        <w:t> </w:t>
      </w:r>
      <w:r>
        <w:rPr>
          <w:color w:val="231F1F"/>
          <w:w w:val="110"/>
        </w:rPr>
        <w:t>la</w:t>
      </w:r>
      <w:r>
        <w:rPr>
          <w:color w:val="231F1F"/>
          <w:spacing w:val="-6"/>
          <w:w w:val="110"/>
        </w:rPr>
        <w:t> </w:t>
      </w:r>
      <w:r>
        <w:rPr>
          <w:color w:val="231F1F"/>
          <w:w w:val="110"/>
        </w:rPr>
        <w:t>MSF</w:t>
      </w:r>
      <w:r>
        <w:rPr>
          <w:color w:val="231F1F"/>
          <w:spacing w:val="-6"/>
          <w:w w:val="110"/>
        </w:rPr>
        <w:t> </w:t>
      </w:r>
      <w:r>
        <w:rPr>
          <w:color w:val="231F1F"/>
          <w:w w:val="110"/>
        </w:rPr>
        <w:t>y</w:t>
      </w:r>
      <w:r>
        <w:rPr>
          <w:color w:val="231F1F"/>
          <w:spacing w:val="-6"/>
          <w:w w:val="110"/>
        </w:rPr>
        <w:t> </w:t>
      </w:r>
      <w:r>
        <w:rPr>
          <w:color w:val="231F1F"/>
          <w:w w:val="110"/>
        </w:rPr>
        <w:t>MEFC </w:t>
      </w:r>
      <w:r>
        <w:rPr>
          <w:color w:val="231F1F"/>
          <w:spacing w:val="-2"/>
          <w:w w:val="110"/>
        </w:rPr>
        <w:t>frente</w:t>
      </w:r>
      <w:r>
        <w:rPr>
          <w:color w:val="231F1F"/>
          <w:spacing w:val="-10"/>
          <w:w w:val="110"/>
        </w:rPr>
        <w:t> </w:t>
      </w:r>
      <w:r>
        <w:rPr>
          <w:color w:val="231F1F"/>
          <w:spacing w:val="-2"/>
          <w:w w:val="110"/>
        </w:rPr>
        <w:t>a</w:t>
      </w:r>
      <w:r>
        <w:rPr>
          <w:color w:val="231F1F"/>
          <w:spacing w:val="-10"/>
          <w:w w:val="110"/>
        </w:rPr>
        <w:t> </w:t>
      </w:r>
      <w:r>
        <w:rPr>
          <w:color w:val="231F1F"/>
          <w:spacing w:val="-2"/>
          <w:w w:val="110"/>
        </w:rPr>
        <w:t>la</w:t>
      </w:r>
      <w:r>
        <w:rPr>
          <w:color w:val="231F1F"/>
          <w:spacing w:val="-10"/>
          <w:w w:val="110"/>
        </w:rPr>
        <w:t> </w:t>
      </w:r>
      <w:r>
        <w:rPr>
          <w:color w:val="231F1F"/>
          <w:spacing w:val="-2"/>
          <w:w w:val="110"/>
        </w:rPr>
        <w:t>MEFC</w:t>
      </w:r>
      <w:r>
        <w:rPr>
          <w:color w:val="231F1F"/>
          <w:spacing w:val="-10"/>
          <w:w w:val="110"/>
        </w:rPr>
        <w:t> </w:t>
      </w:r>
      <w:r>
        <w:rPr>
          <w:color w:val="231F1F"/>
          <w:spacing w:val="-2"/>
          <w:w w:val="110"/>
        </w:rPr>
        <w:t>sola,</w:t>
      </w:r>
      <w:r>
        <w:rPr>
          <w:color w:val="231F1F"/>
          <w:spacing w:val="-11"/>
          <w:w w:val="110"/>
        </w:rPr>
        <w:t> </w:t>
      </w:r>
      <w:r>
        <w:rPr>
          <w:color w:val="231F1F"/>
          <w:spacing w:val="-2"/>
          <w:w w:val="110"/>
        </w:rPr>
        <w:t>(371)</w:t>
      </w:r>
      <w:r>
        <w:rPr>
          <w:color w:val="231F1F"/>
          <w:spacing w:val="-10"/>
          <w:w w:val="110"/>
        </w:rPr>
        <w:t> </w:t>
      </w:r>
      <w:r>
        <w:rPr>
          <w:color w:val="231F1F"/>
          <w:spacing w:val="-2"/>
          <w:w w:val="110"/>
        </w:rPr>
        <w:t>NE=II.</w:t>
      </w:r>
      <w:r>
        <w:rPr>
          <w:color w:val="231F1F"/>
          <w:spacing w:val="-11"/>
          <w:w w:val="110"/>
        </w:rPr>
        <w:t> </w:t>
      </w:r>
      <w:r>
        <w:rPr>
          <w:color w:val="231F1F"/>
          <w:spacing w:val="-2"/>
          <w:w w:val="110"/>
        </w:rPr>
        <w:t>Los</w:t>
      </w:r>
      <w:r>
        <w:rPr>
          <w:color w:val="231F1F"/>
          <w:spacing w:val="-10"/>
          <w:w w:val="110"/>
        </w:rPr>
        <w:t> </w:t>
      </w:r>
      <w:r>
        <w:rPr>
          <w:color w:val="231F1F"/>
          <w:spacing w:val="-2"/>
          <w:w w:val="110"/>
        </w:rPr>
        <w:t>dos</w:t>
      </w:r>
      <w:r>
        <w:rPr>
          <w:color w:val="231F1F"/>
          <w:spacing w:val="-10"/>
          <w:w w:val="110"/>
        </w:rPr>
        <w:t> </w:t>
      </w:r>
      <w:r>
        <w:rPr>
          <w:color w:val="231F1F"/>
          <w:spacing w:val="-2"/>
          <w:w w:val="110"/>
        </w:rPr>
        <w:t>estudios</w:t>
      </w:r>
      <w:r>
        <w:rPr>
          <w:color w:val="231F1F"/>
          <w:spacing w:val="-10"/>
          <w:w w:val="110"/>
        </w:rPr>
        <w:t> </w:t>
      </w:r>
      <w:r>
        <w:rPr>
          <w:color w:val="231F1F"/>
          <w:spacing w:val="-2"/>
          <w:w w:val="110"/>
        </w:rPr>
        <w:t>mostraban</w:t>
      </w:r>
      <w:r>
        <w:rPr>
          <w:color w:val="231F1F"/>
          <w:spacing w:val="-10"/>
          <w:w w:val="110"/>
        </w:rPr>
        <w:t> </w:t>
      </w:r>
      <w:r>
        <w:rPr>
          <w:color w:val="231F1F"/>
          <w:spacing w:val="-2"/>
          <w:w w:val="110"/>
        </w:rPr>
        <w:t>una</w:t>
      </w:r>
      <w:r>
        <w:rPr>
          <w:color w:val="231F1F"/>
          <w:spacing w:val="-10"/>
          <w:w w:val="110"/>
        </w:rPr>
        <w:t> </w:t>
      </w:r>
      <w:r>
        <w:rPr>
          <w:color w:val="231F1F"/>
          <w:spacing w:val="-2"/>
          <w:w w:val="110"/>
        </w:rPr>
        <w:t>razona- </w:t>
      </w:r>
      <w:r>
        <w:rPr>
          <w:color w:val="231F1F"/>
          <w:w w:val="110"/>
        </w:rPr>
        <w:t>ble</w:t>
      </w:r>
      <w:r>
        <w:rPr>
          <w:color w:val="231F1F"/>
          <w:spacing w:val="-15"/>
          <w:w w:val="110"/>
        </w:rPr>
        <w:t> </w:t>
      </w:r>
      <w:r>
        <w:rPr>
          <w:color w:val="231F1F"/>
          <w:w w:val="110"/>
        </w:rPr>
        <w:t>calidad,</w:t>
      </w:r>
      <w:r>
        <w:rPr>
          <w:color w:val="231F1F"/>
          <w:spacing w:val="-15"/>
          <w:w w:val="110"/>
        </w:rPr>
        <w:t> </w:t>
      </w:r>
      <w:r>
        <w:rPr>
          <w:color w:val="231F1F"/>
          <w:w w:val="110"/>
        </w:rPr>
        <w:t>aunque</w:t>
      </w:r>
      <w:r>
        <w:rPr>
          <w:color w:val="231F1F"/>
          <w:spacing w:val="-14"/>
          <w:w w:val="110"/>
        </w:rPr>
        <w:t> </w:t>
      </w:r>
      <w:r>
        <w:rPr>
          <w:color w:val="231F1F"/>
          <w:w w:val="110"/>
        </w:rPr>
        <w:t>no</w:t>
      </w:r>
      <w:r>
        <w:rPr>
          <w:color w:val="231F1F"/>
          <w:spacing w:val="-15"/>
          <w:w w:val="110"/>
        </w:rPr>
        <w:t> </w:t>
      </w:r>
      <w:r>
        <w:rPr>
          <w:color w:val="231F1F"/>
          <w:w w:val="110"/>
        </w:rPr>
        <w:t>se</w:t>
      </w:r>
      <w:r>
        <w:rPr>
          <w:color w:val="231F1F"/>
          <w:spacing w:val="-15"/>
          <w:w w:val="110"/>
        </w:rPr>
        <w:t> </w:t>
      </w:r>
      <w:r>
        <w:rPr>
          <w:color w:val="231F1F"/>
          <w:w w:val="110"/>
        </w:rPr>
        <w:t>hizo</w:t>
      </w:r>
      <w:r>
        <w:rPr>
          <w:color w:val="231F1F"/>
          <w:spacing w:val="-15"/>
          <w:w w:val="110"/>
        </w:rPr>
        <w:t> </w:t>
      </w:r>
      <w:r>
        <w:rPr>
          <w:color w:val="231F1F"/>
          <w:w w:val="110"/>
        </w:rPr>
        <w:t>análisis</w:t>
      </w:r>
      <w:r>
        <w:rPr>
          <w:color w:val="231F1F"/>
          <w:spacing w:val="-15"/>
          <w:w w:val="110"/>
        </w:rPr>
        <w:t> </w:t>
      </w:r>
      <w:r>
        <w:rPr>
          <w:color w:val="231F1F"/>
          <w:w w:val="110"/>
        </w:rPr>
        <w:t>estadístico</w:t>
      </w:r>
      <w:r>
        <w:rPr>
          <w:color w:val="231F1F"/>
          <w:spacing w:val="-15"/>
          <w:w w:val="110"/>
        </w:rPr>
        <w:t> </w:t>
      </w:r>
      <w:r>
        <w:rPr>
          <w:color w:val="231F1F"/>
          <w:w w:val="110"/>
        </w:rPr>
        <w:t>ni</w:t>
      </w:r>
      <w:r>
        <w:rPr>
          <w:color w:val="231F1F"/>
          <w:spacing w:val="-15"/>
          <w:w w:val="110"/>
        </w:rPr>
        <w:t> </w:t>
      </w:r>
      <w:r>
        <w:rPr>
          <w:color w:val="231F1F"/>
          <w:w w:val="110"/>
        </w:rPr>
        <w:t>por</w:t>
      </w:r>
      <w:r>
        <w:rPr>
          <w:color w:val="231F1F"/>
          <w:spacing w:val="-15"/>
          <w:w w:val="110"/>
        </w:rPr>
        <w:t> </w:t>
      </w:r>
      <w:r>
        <w:rPr>
          <w:color w:val="231F1F"/>
          <w:w w:val="110"/>
        </w:rPr>
        <w:t>subgrupos</w:t>
      </w:r>
      <w:r>
        <w:rPr>
          <w:color w:val="231F1F"/>
          <w:spacing w:val="-15"/>
          <w:w w:val="110"/>
        </w:rPr>
        <w:t> </w:t>
      </w:r>
      <w:r>
        <w:rPr>
          <w:color w:val="231F1F"/>
          <w:w w:val="110"/>
        </w:rPr>
        <w:t>en</w:t>
      </w:r>
      <w:r>
        <w:rPr>
          <w:color w:val="231F1F"/>
          <w:spacing w:val="-14"/>
          <w:w w:val="110"/>
        </w:rPr>
        <w:t> </w:t>
      </w:r>
      <w:r>
        <w:rPr>
          <w:color w:val="231F1F"/>
          <w:w w:val="110"/>
        </w:rPr>
        <w:t>la</w:t>
      </w:r>
      <w:r>
        <w:rPr>
          <w:color w:val="231F1F"/>
          <w:spacing w:val="-15"/>
          <w:w w:val="110"/>
        </w:rPr>
        <w:t> </w:t>
      </w:r>
      <w:r>
        <w:rPr>
          <w:color w:val="231F1F"/>
          <w:w w:val="110"/>
        </w:rPr>
        <w:t>RS, por lo que los hallazgos sólo son sugerentes.</w:t>
      </w:r>
    </w:p>
    <w:p>
      <w:pPr>
        <w:spacing w:line="249" w:lineRule="auto" w:before="195"/>
        <w:ind w:left="287" w:right="43" w:firstLine="453"/>
        <w:jc w:val="both"/>
        <w:rPr>
          <w:sz w:val="22"/>
        </w:rPr>
      </w:pPr>
      <w:r>
        <w:rPr>
          <w:color w:val="231F1F"/>
          <w:w w:val="105"/>
          <w:sz w:val="22"/>
        </w:rPr>
        <w:t>La</w:t>
      </w:r>
      <w:r>
        <w:rPr>
          <w:color w:val="231F1F"/>
          <w:spacing w:val="-2"/>
          <w:w w:val="105"/>
          <w:sz w:val="22"/>
        </w:rPr>
        <w:t> </w:t>
      </w:r>
      <w:r>
        <w:rPr>
          <w:color w:val="231F1F"/>
          <w:w w:val="105"/>
          <w:sz w:val="22"/>
        </w:rPr>
        <w:t>RS</w:t>
      </w:r>
      <w:r>
        <w:rPr>
          <w:color w:val="231F1F"/>
          <w:spacing w:val="-1"/>
          <w:w w:val="105"/>
          <w:sz w:val="22"/>
        </w:rPr>
        <w:t> </w:t>
      </w:r>
      <w:r>
        <w:rPr>
          <w:color w:val="231F1F"/>
          <w:w w:val="105"/>
          <w:sz w:val="22"/>
        </w:rPr>
        <w:t>incluía</w:t>
      </w:r>
      <w:r>
        <w:rPr>
          <w:color w:val="231F1F"/>
          <w:spacing w:val="-1"/>
          <w:w w:val="105"/>
          <w:sz w:val="22"/>
        </w:rPr>
        <w:t> </w:t>
      </w:r>
      <w:r>
        <w:rPr>
          <w:i/>
          <w:color w:val="231F1F"/>
          <w:w w:val="105"/>
          <w:sz w:val="22"/>
        </w:rPr>
        <w:t>mujeres</w:t>
      </w:r>
      <w:r>
        <w:rPr>
          <w:i/>
          <w:color w:val="231F1F"/>
          <w:spacing w:val="-11"/>
          <w:w w:val="105"/>
          <w:sz w:val="22"/>
        </w:rPr>
        <w:t> </w:t>
      </w:r>
      <w:r>
        <w:rPr>
          <w:i/>
          <w:color w:val="231F1F"/>
          <w:w w:val="105"/>
          <w:sz w:val="22"/>
        </w:rPr>
        <w:t>de</w:t>
      </w:r>
      <w:r>
        <w:rPr>
          <w:i/>
          <w:color w:val="231F1F"/>
          <w:spacing w:val="-11"/>
          <w:w w:val="105"/>
          <w:sz w:val="22"/>
        </w:rPr>
        <w:t> </w:t>
      </w:r>
      <w:r>
        <w:rPr>
          <w:i/>
          <w:color w:val="231F1F"/>
          <w:w w:val="105"/>
          <w:sz w:val="22"/>
        </w:rPr>
        <w:t>alto</w:t>
      </w:r>
      <w:r>
        <w:rPr>
          <w:i/>
          <w:color w:val="231F1F"/>
          <w:spacing w:val="-11"/>
          <w:w w:val="105"/>
          <w:sz w:val="22"/>
        </w:rPr>
        <w:t> </w:t>
      </w:r>
      <w:r>
        <w:rPr>
          <w:i/>
          <w:color w:val="231F1F"/>
          <w:w w:val="105"/>
          <w:sz w:val="22"/>
        </w:rPr>
        <w:t>y</w:t>
      </w:r>
      <w:r>
        <w:rPr>
          <w:i/>
          <w:color w:val="231F1F"/>
          <w:spacing w:val="-11"/>
          <w:w w:val="105"/>
          <w:sz w:val="22"/>
        </w:rPr>
        <w:t> </w:t>
      </w:r>
      <w:r>
        <w:rPr>
          <w:i/>
          <w:color w:val="231F1F"/>
          <w:w w:val="105"/>
          <w:sz w:val="22"/>
        </w:rPr>
        <w:t>de</w:t>
      </w:r>
      <w:r>
        <w:rPr>
          <w:i/>
          <w:color w:val="231F1F"/>
          <w:spacing w:val="-11"/>
          <w:w w:val="105"/>
          <w:sz w:val="22"/>
        </w:rPr>
        <w:t> </w:t>
      </w:r>
      <w:r>
        <w:rPr>
          <w:i/>
          <w:color w:val="231F1F"/>
          <w:w w:val="105"/>
          <w:sz w:val="22"/>
        </w:rPr>
        <w:t>bajo</w:t>
      </w:r>
      <w:r>
        <w:rPr>
          <w:i/>
          <w:color w:val="231F1F"/>
          <w:spacing w:val="-11"/>
          <w:w w:val="105"/>
          <w:sz w:val="22"/>
        </w:rPr>
        <w:t> </w:t>
      </w:r>
      <w:r>
        <w:rPr>
          <w:i/>
          <w:color w:val="231F1F"/>
          <w:w w:val="105"/>
          <w:sz w:val="22"/>
        </w:rPr>
        <w:t>riesgo</w:t>
      </w:r>
      <w:r>
        <w:rPr>
          <w:color w:val="231F1F"/>
          <w:w w:val="105"/>
          <w:sz w:val="22"/>
        </w:rPr>
        <w:t>,</w:t>
      </w:r>
      <w:r>
        <w:rPr>
          <w:color w:val="231F1F"/>
          <w:spacing w:val="-2"/>
          <w:w w:val="105"/>
          <w:sz w:val="22"/>
        </w:rPr>
        <w:t> </w:t>
      </w:r>
      <w:r>
        <w:rPr>
          <w:color w:val="231F1F"/>
          <w:w w:val="105"/>
          <w:sz w:val="22"/>
        </w:rPr>
        <w:t>mostrando</w:t>
      </w:r>
      <w:r>
        <w:rPr>
          <w:color w:val="231F1F"/>
          <w:spacing w:val="-2"/>
          <w:w w:val="105"/>
          <w:sz w:val="22"/>
        </w:rPr>
        <w:t> </w:t>
      </w:r>
      <w:r>
        <w:rPr>
          <w:color w:val="231F1F"/>
          <w:w w:val="105"/>
          <w:sz w:val="22"/>
        </w:rPr>
        <w:t>un</w:t>
      </w:r>
      <w:r>
        <w:rPr>
          <w:color w:val="231F1F"/>
          <w:spacing w:val="-2"/>
          <w:w w:val="105"/>
          <w:sz w:val="22"/>
        </w:rPr>
        <w:t> </w:t>
      </w:r>
      <w:r>
        <w:rPr>
          <w:color w:val="231F1F"/>
          <w:w w:val="105"/>
          <w:sz w:val="22"/>
        </w:rPr>
        <w:t>aumento</w:t>
      </w:r>
      <w:r>
        <w:rPr>
          <w:color w:val="231F1F"/>
          <w:spacing w:val="-1"/>
          <w:w w:val="105"/>
          <w:sz w:val="22"/>
        </w:rPr>
        <w:t> </w:t>
      </w:r>
      <w:r>
        <w:rPr>
          <w:color w:val="231F1F"/>
          <w:w w:val="105"/>
          <w:sz w:val="22"/>
        </w:rPr>
        <w:t>de partos</w:t>
      </w:r>
      <w:r>
        <w:rPr>
          <w:color w:val="231F1F"/>
          <w:spacing w:val="40"/>
          <w:w w:val="105"/>
          <w:sz w:val="22"/>
        </w:rPr>
        <w:t> </w:t>
      </w:r>
      <w:r>
        <w:rPr>
          <w:color w:val="231F1F"/>
          <w:w w:val="105"/>
          <w:sz w:val="22"/>
        </w:rPr>
        <w:t>vaginales</w:t>
      </w:r>
      <w:r>
        <w:rPr>
          <w:color w:val="231F1F"/>
          <w:spacing w:val="40"/>
          <w:w w:val="105"/>
          <w:sz w:val="22"/>
        </w:rPr>
        <w:t> </w:t>
      </w:r>
      <w:r>
        <w:rPr>
          <w:color w:val="231F1F"/>
          <w:w w:val="105"/>
          <w:sz w:val="22"/>
        </w:rPr>
        <w:t>instrumentados</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grupo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MEFC</w:t>
      </w:r>
      <w:r>
        <w:rPr>
          <w:color w:val="231F1F"/>
          <w:spacing w:val="40"/>
          <w:w w:val="105"/>
          <w:sz w:val="22"/>
        </w:rPr>
        <w:t> </w:t>
      </w:r>
      <w:r>
        <w:rPr>
          <w:color w:val="231F1F"/>
          <w:w w:val="105"/>
          <w:sz w:val="22"/>
        </w:rPr>
        <w:t>y</w:t>
      </w:r>
      <w:r>
        <w:rPr>
          <w:color w:val="231F1F"/>
          <w:spacing w:val="40"/>
          <w:w w:val="105"/>
          <w:sz w:val="22"/>
        </w:rPr>
        <w:t> </w:t>
      </w:r>
      <w:r>
        <w:rPr>
          <w:color w:val="231F1F"/>
          <w:w w:val="105"/>
          <w:sz w:val="22"/>
        </w:rPr>
        <w:t>MSF:</w:t>
      </w:r>
    </w:p>
    <w:p>
      <w:pPr>
        <w:pStyle w:val="BodyText"/>
        <w:spacing w:before="175"/>
        <w:ind w:left="741"/>
      </w:pPr>
      <w:r>
        <w:rPr>
          <w:color w:val="231F1F"/>
        </w:rPr>
        <w:t>MEFC</w:t>
      </w:r>
      <w:r>
        <w:rPr>
          <w:color w:val="231F1F"/>
          <w:spacing w:val="18"/>
        </w:rPr>
        <w:t> </w:t>
      </w:r>
      <w:r>
        <w:rPr>
          <w:color w:val="231F1F"/>
        </w:rPr>
        <w:t>y</w:t>
      </w:r>
      <w:r>
        <w:rPr>
          <w:color w:val="231F1F"/>
          <w:spacing w:val="20"/>
        </w:rPr>
        <w:t> </w:t>
      </w:r>
      <w:r>
        <w:rPr>
          <w:color w:val="231F1F"/>
        </w:rPr>
        <w:t>MSF</w:t>
      </w:r>
      <w:r>
        <w:rPr>
          <w:color w:val="231F1F"/>
          <w:spacing w:val="20"/>
        </w:rPr>
        <w:t> </w:t>
      </w:r>
      <w:r>
        <w:rPr>
          <w:color w:val="231F1F"/>
        </w:rPr>
        <w:t>frente</w:t>
      </w:r>
      <w:r>
        <w:rPr>
          <w:color w:val="231F1F"/>
          <w:spacing w:val="18"/>
        </w:rPr>
        <w:t> </w:t>
      </w:r>
      <w:r>
        <w:rPr>
          <w:color w:val="231F1F"/>
        </w:rPr>
        <w:t>a</w:t>
      </w:r>
      <w:r>
        <w:rPr>
          <w:color w:val="231F1F"/>
          <w:spacing w:val="20"/>
        </w:rPr>
        <w:t> </w:t>
      </w:r>
      <w:r>
        <w:rPr>
          <w:color w:val="231F1F"/>
        </w:rPr>
        <w:t>AI:</w:t>
      </w:r>
      <w:r>
        <w:rPr>
          <w:color w:val="231F1F"/>
          <w:spacing w:val="18"/>
        </w:rPr>
        <w:t> </w:t>
      </w:r>
      <w:r>
        <w:rPr>
          <w:color w:val="231F1F"/>
        </w:rPr>
        <w:t>RR</w:t>
      </w:r>
      <w:r>
        <w:rPr>
          <w:color w:val="231F1F"/>
          <w:spacing w:val="20"/>
        </w:rPr>
        <w:t> </w:t>
      </w:r>
      <w:r>
        <w:rPr>
          <w:color w:val="231F1F"/>
        </w:rPr>
        <w:t>1,47</w:t>
      </w:r>
      <w:r>
        <w:rPr>
          <w:color w:val="231F1F"/>
          <w:spacing w:val="19"/>
        </w:rPr>
        <w:t> </w:t>
      </w:r>
      <w:r>
        <w:rPr>
          <w:color w:val="231F1F"/>
        </w:rPr>
        <w:t>[IC</w:t>
      </w:r>
      <w:r>
        <w:rPr>
          <w:color w:val="231F1F"/>
          <w:spacing w:val="20"/>
        </w:rPr>
        <w:t> </w:t>
      </w:r>
      <w:r>
        <w:rPr>
          <w:color w:val="231F1F"/>
        </w:rPr>
        <w:t>95%</w:t>
      </w:r>
      <w:r>
        <w:rPr>
          <w:color w:val="231F1F"/>
          <w:spacing w:val="21"/>
        </w:rPr>
        <w:t> </w:t>
      </w:r>
      <w:r>
        <w:rPr>
          <w:color w:val="231F1F"/>
        </w:rPr>
        <w:t>1,11</w:t>
      </w:r>
      <w:r>
        <w:rPr>
          <w:color w:val="231F1F"/>
          <w:spacing w:val="20"/>
        </w:rPr>
        <w:t> </w:t>
      </w:r>
      <w:r>
        <w:rPr>
          <w:color w:val="231F1F"/>
        </w:rPr>
        <w:t>a</w:t>
      </w:r>
      <w:r>
        <w:rPr>
          <w:color w:val="231F1F"/>
          <w:spacing w:val="19"/>
        </w:rPr>
        <w:t> </w:t>
      </w:r>
      <w:r>
        <w:rPr>
          <w:color w:val="231F1F"/>
          <w:spacing w:val="-2"/>
        </w:rPr>
        <w:t>1,93]</w:t>
      </w:r>
    </w:p>
    <w:p>
      <w:pPr>
        <w:pStyle w:val="BodyText"/>
        <w:spacing w:before="208"/>
        <w:ind w:left="741"/>
      </w:pPr>
      <w:r>
        <w:rPr>
          <w:color w:val="231F1F"/>
        </w:rPr>
        <w:t>MEFC</w:t>
      </w:r>
      <w:r>
        <w:rPr>
          <w:color w:val="231F1F"/>
          <w:spacing w:val="18"/>
        </w:rPr>
        <w:t> </w:t>
      </w:r>
      <w:r>
        <w:rPr>
          <w:color w:val="231F1F"/>
        </w:rPr>
        <w:t>sin</w:t>
      </w:r>
      <w:r>
        <w:rPr>
          <w:color w:val="231F1F"/>
          <w:spacing w:val="20"/>
        </w:rPr>
        <w:t> </w:t>
      </w:r>
      <w:r>
        <w:rPr>
          <w:color w:val="231F1F"/>
        </w:rPr>
        <w:t>MSF</w:t>
      </w:r>
      <w:r>
        <w:rPr>
          <w:color w:val="231F1F"/>
          <w:spacing w:val="21"/>
        </w:rPr>
        <w:t> </w:t>
      </w:r>
      <w:r>
        <w:rPr>
          <w:color w:val="231F1F"/>
        </w:rPr>
        <w:t>frente</w:t>
      </w:r>
      <w:r>
        <w:rPr>
          <w:color w:val="231F1F"/>
          <w:spacing w:val="20"/>
        </w:rPr>
        <w:t> </w:t>
      </w:r>
      <w:r>
        <w:rPr>
          <w:color w:val="231F1F"/>
        </w:rPr>
        <w:t>a</w:t>
      </w:r>
      <w:r>
        <w:rPr>
          <w:color w:val="231F1F"/>
          <w:spacing w:val="19"/>
        </w:rPr>
        <w:t> </w:t>
      </w:r>
      <w:r>
        <w:rPr>
          <w:color w:val="231F1F"/>
        </w:rPr>
        <w:t>AI:</w:t>
      </w:r>
      <w:r>
        <w:rPr>
          <w:color w:val="231F1F"/>
          <w:spacing w:val="20"/>
        </w:rPr>
        <w:t> </w:t>
      </w:r>
      <w:r>
        <w:rPr>
          <w:color w:val="231F1F"/>
        </w:rPr>
        <w:t>RR</w:t>
      </w:r>
      <w:r>
        <w:rPr>
          <w:color w:val="231F1F"/>
          <w:spacing w:val="20"/>
        </w:rPr>
        <w:t> </w:t>
      </w:r>
      <w:r>
        <w:rPr>
          <w:color w:val="231F1F"/>
        </w:rPr>
        <w:t>1,10</w:t>
      </w:r>
      <w:r>
        <w:rPr>
          <w:color w:val="231F1F"/>
          <w:spacing w:val="19"/>
        </w:rPr>
        <w:t> </w:t>
      </w:r>
      <w:r>
        <w:rPr>
          <w:color w:val="231F1F"/>
        </w:rPr>
        <w:t>[IC</w:t>
      </w:r>
      <w:r>
        <w:rPr>
          <w:color w:val="231F1F"/>
          <w:spacing w:val="21"/>
        </w:rPr>
        <w:t> </w:t>
      </w:r>
      <w:r>
        <w:rPr>
          <w:color w:val="231F1F"/>
        </w:rPr>
        <w:t>95%</w:t>
      </w:r>
      <w:r>
        <w:rPr>
          <w:color w:val="231F1F"/>
          <w:spacing w:val="22"/>
        </w:rPr>
        <w:t> </w:t>
      </w:r>
      <w:r>
        <w:rPr>
          <w:color w:val="231F1F"/>
        </w:rPr>
        <w:t>0,87</w:t>
      </w:r>
      <w:r>
        <w:rPr>
          <w:color w:val="231F1F"/>
          <w:spacing w:val="19"/>
        </w:rPr>
        <w:t> </w:t>
      </w:r>
      <w:r>
        <w:rPr>
          <w:color w:val="231F1F"/>
        </w:rPr>
        <w:t>a</w:t>
      </w:r>
      <w:r>
        <w:rPr>
          <w:color w:val="231F1F"/>
          <w:spacing w:val="22"/>
        </w:rPr>
        <w:t> </w:t>
      </w:r>
      <w:r>
        <w:rPr>
          <w:color w:val="231F1F"/>
          <w:spacing w:val="-2"/>
        </w:rPr>
        <w:t>1,40]</w:t>
      </w:r>
    </w:p>
    <w:p>
      <w:pPr>
        <w:spacing w:before="184"/>
        <w:ind w:left="740" w:right="0" w:firstLine="0"/>
        <w:jc w:val="left"/>
        <w:rPr>
          <w:i/>
          <w:sz w:val="22"/>
        </w:rPr>
      </w:pPr>
      <w:r>
        <w:rPr>
          <w:color w:val="231F1F"/>
          <w:w w:val="105"/>
          <w:sz w:val="22"/>
        </w:rPr>
        <w:t>Y</w:t>
      </w:r>
      <w:r>
        <w:rPr>
          <w:color w:val="231F1F"/>
          <w:spacing w:val="-4"/>
          <w:w w:val="105"/>
          <w:sz w:val="22"/>
        </w:rPr>
        <w:t> </w:t>
      </w:r>
      <w:r>
        <w:rPr>
          <w:color w:val="231F1F"/>
          <w:w w:val="105"/>
          <w:sz w:val="22"/>
        </w:rPr>
        <w:t>una</w:t>
      </w:r>
      <w:r>
        <w:rPr>
          <w:color w:val="231F1F"/>
          <w:spacing w:val="-5"/>
          <w:w w:val="105"/>
          <w:sz w:val="22"/>
        </w:rPr>
        <w:t> </w:t>
      </w:r>
      <w:r>
        <w:rPr>
          <w:color w:val="231F1F"/>
          <w:w w:val="105"/>
          <w:sz w:val="22"/>
        </w:rPr>
        <w:t>disminución</w:t>
      </w:r>
      <w:r>
        <w:rPr>
          <w:color w:val="231F1F"/>
          <w:spacing w:val="-4"/>
          <w:w w:val="105"/>
          <w:sz w:val="22"/>
        </w:rPr>
        <w:t> </w:t>
      </w:r>
      <w:r>
        <w:rPr>
          <w:color w:val="231F1F"/>
          <w:w w:val="105"/>
          <w:sz w:val="22"/>
        </w:rPr>
        <w:t>de</w:t>
      </w:r>
      <w:r>
        <w:rPr>
          <w:color w:val="231F1F"/>
          <w:spacing w:val="-5"/>
          <w:w w:val="105"/>
          <w:sz w:val="22"/>
        </w:rPr>
        <w:t> </w:t>
      </w:r>
      <w:r>
        <w:rPr>
          <w:color w:val="231F1F"/>
          <w:w w:val="105"/>
          <w:sz w:val="22"/>
        </w:rPr>
        <w:t>las</w:t>
      </w:r>
      <w:r>
        <w:rPr>
          <w:color w:val="231F1F"/>
          <w:spacing w:val="-5"/>
          <w:w w:val="105"/>
          <w:sz w:val="22"/>
        </w:rPr>
        <w:t> </w:t>
      </w:r>
      <w:r>
        <w:rPr>
          <w:i/>
          <w:color w:val="231F1F"/>
          <w:w w:val="105"/>
          <w:sz w:val="22"/>
        </w:rPr>
        <w:t>convulsiones</w:t>
      </w:r>
      <w:r>
        <w:rPr>
          <w:i/>
          <w:color w:val="231F1F"/>
          <w:spacing w:val="-5"/>
          <w:w w:val="105"/>
          <w:sz w:val="22"/>
        </w:rPr>
        <w:t> </w:t>
      </w:r>
      <w:r>
        <w:rPr>
          <w:i/>
          <w:color w:val="231F1F"/>
          <w:spacing w:val="-2"/>
          <w:w w:val="105"/>
          <w:sz w:val="22"/>
        </w:rPr>
        <w:t>neonatales:</w:t>
      </w:r>
    </w:p>
    <w:p>
      <w:pPr>
        <w:pStyle w:val="BodyText"/>
        <w:spacing w:before="198"/>
        <w:ind w:left="741"/>
      </w:pPr>
      <w:r>
        <w:rPr>
          <w:color w:val="231F1F"/>
        </w:rPr>
        <w:t>MEFC</w:t>
      </w:r>
      <w:r>
        <w:rPr>
          <w:color w:val="231F1F"/>
          <w:spacing w:val="18"/>
        </w:rPr>
        <w:t> </w:t>
      </w:r>
      <w:r>
        <w:rPr>
          <w:color w:val="231F1F"/>
        </w:rPr>
        <w:t>y</w:t>
      </w:r>
      <w:r>
        <w:rPr>
          <w:color w:val="231F1F"/>
          <w:spacing w:val="20"/>
        </w:rPr>
        <w:t> </w:t>
      </w:r>
      <w:r>
        <w:rPr>
          <w:color w:val="231F1F"/>
        </w:rPr>
        <w:t>MSF</w:t>
      </w:r>
      <w:r>
        <w:rPr>
          <w:color w:val="231F1F"/>
          <w:spacing w:val="20"/>
        </w:rPr>
        <w:t> </w:t>
      </w:r>
      <w:r>
        <w:rPr>
          <w:color w:val="231F1F"/>
        </w:rPr>
        <w:t>frente</w:t>
      </w:r>
      <w:r>
        <w:rPr>
          <w:color w:val="231F1F"/>
          <w:spacing w:val="18"/>
        </w:rPr>
        <w:t> </w:t>
      </w:r>
      <w:r>
        <w:rPr>
          <w:color w:val="231F1F"/>
        </w:rPr>
        <w:t>a</w:t>
      </w:r>
      <w:r>
        <w:rPr>
          <w:color w:val="231F1F"/>
          <w:spacing w:val="20"/>
        </w:rPr>
        <w:t> </w:t>
      </w:r>
      <w:r>
        <w:rPr>
          <w:color w:val="231F1F"/>
        </w:rPr>
        <w:t>AI:</w:t>
      </w:r>
      <w:r>
        <w:rPr>
          <w:color w:val="231F1F"/>
          <w:spacing w:val="18"/>
        </w:rPr>
        <w:t> </w:t>
      </w:r>
      <w:r>
        <w:rPr>
          <w:color w:val="231F1F"/>
        </w:rPr>
        <w:t>RR</w:t>
      </w:r>
      <w:r>
        <w:rPr>
          <w:color w:val="231F1F"/>
          <w:spacing w:val="20"/>
        </w:rPr>
        <w:t> </w:t>
      </w:r>
      <w:r>
        <w:rPr>
          <w:color w:val="231F1F"/>
        </w:rPr>
        <w:t>0,49</w:t>
      </w:r>
      <w:r>
        <w:rPr>
          <w:color w:val="231F1F"/>
          <w:spacing w:val="19"/>
        </w:rPr>
        <w:t> </w:t>
      </w:r>
      <w:r>
        <w:rPr>
          <w:color w:val="231F1F"/>
        </w:rPr>
        <w:t>[IC</w:t>
      </w:r>
      <w:r>
        <w:rPr>
          <w:color w:val="231F1F"/>
          <w:spacing w:val="20"/>
        </w:rPr>
        <w:t> </w:t>
      </w:r>
      <w:r>
        <w:rPr>
          <w:color w:val="231F1F"/>
        </w:rPr>
        <w:t>95%</w:t>
      </w:r>
      <w:r>
        <w:rPr>
          <w:color w:val="231F1F"/>
          <w:spacing w:val="21"/>
        </w:rPr>
        <w:t> </w:t>
      </w:r>
      <w:r>
        <w:rPr>
          <w:color w:val="231F1F"/>
        </w:rPr>
        <w:t>0,29</w:t>
      </w:r>
      <w:r>
        <w:rPr>
          <w:color w:val="231F1F"/>
          <w:spacing w:val="20"/>
        </w:rPr>
        <w:t> </w:t>
      </w:r>
      <w:r>
        <w:rPr>
          <w:color w:val="231F1F"/>
        </w:rPr>
        <w:t>a</w:t>
      </w:r>
      <w:r>
        <w:rPr>
          <w:color w:val="231F1F"/>
          <w:spacing w:val="19"/>
        </w:rPr>
        <w:t> </w:t>
      </w:r>
      <w:r>
        <w:rPr>
          <w:color w:val="231F1F"/>
          <w:spacing w:val="-2"/>
        </w:rPr>
        <w:t>0,83]</w:t>
      </w:r>
    </w:p>
    <w:p>
      <w:pPr>
        <w:pStyle w:val="BodyText"/>
        <w:spacing w:before="198"/>
        <w:ind w:left="741"/>
      </w:pPr>
      <w:r>
        <w:rPr>
          <w:color w:val="231F1F"/>
        </w:rPr>
        <w:t>MEFC</w:t>
      </w:r>
      <w:r>
        <w:rPr>
          <w:color w:val="231F1F"/>
          <w:spacing w:val="16"/>
        </w:rPr>
        <w:t> </w:t>
      </w:r>
      <w:r>
        <w:rPr>
          <w:color w:val="231F1F"/>
        </w:rPr>
        <w:t>sin</w:t>
      </w:r>
      <w:r>
        <w:rPr>
          <w:color w:val="231F1F"/>
          <w:spacing w:val="20"/>
        </w:rPr>
        <w:t> </w:t>
      </w:r>
      <w:r>
        <w:rPr>
          <w:color w:val="231F1F"/>
        </w:rPr>
        <w:t>MSF</w:t>
      </w:r>
      <w:r>
        <w:rPr>
          <w:color w:val="231F1F"/>
          <w:spacing w:val="21"/>
        </w:rPr>
        <w:t> </w:t>
      </w:r>
      <w:r>
        <w:rPr>
          <w:color w:val="231F1F"/>
        </w:rPr>
        <w:t>frente</w:t>
      </w:r>
      <w:r>
        <w:rPr>
          <w:color w:val="231F1F"/>
          <w:spacing w:val="20"/>
        </w:rPr>
        <w:t> </w:t>
      </w:r>
      <w:r>
        <w:rPr>
          <w:color w:val="231F1F"/>
        </w:rPr>
        <w:t>a</w:t>
      </w:r>
      <w:r>
        <w:rPr>
          <w:color w:val="231F1F"/>
          <w:spacing w:val="19"/>
        </w:rPr>
        <w:t> </w:t>
      </w:r>
      <w:r>
        <w:rPr>
          <w:color w:val="231F1F"/>
        </w:rPr>
        <w:t>AI:</w:t>
      </w:r>
      <w:r>
        <w:rPr>
          <w:color w:val="231F1F"/>
          <w:spacing w:val="20"/>
        </w:rPr>
        <w:t> </w:t>
      </w:r>
      <w:r>
        <w:rPr>
          <w:color w:val="231F1F"/>
        </w:rPr>
        <w:t>RR</w:t>
      </w:r>
      <w:r>
        <w:rPr>
          <w:color w:val="231F1F"/>
          <w:spacing w:val="20"/>
        </w:rPr>
        <w:t> </w:t>
      </w:r>
      <w:r>
        <w:rPr>
          <w:color w:val="231F1F"/>
        </w:rPr>
        <w:t>0,54</w:t>
      </w:r>
      <w:r>
        <w:rPr>
          <w:color w:val="231F1F"/>
          <w:spacing w:val="19"/>
        </w:rPr>
        <w:t> </w:t>
      </w:r>
      <w:r>
        <w:rPr>
          <w:color w:val="231F1F"/>
        </w:rPr>
        <w:t>[IC</w:t>
      </w:r>
      <w:r>
        <w:rPr>
          <w:color w:val="231F1F"/>
          <w:spacing w:val="21"/>
        </w:rPr>
        <w:t> </w:t>
      </w:r>
      <w:r>
        <w:rPr>
          <w:color w:val="231F1F"/>
        </w:rPr>
        <w:t>95%</w:t>
      </w:r>
      <w:r>
        <w:rPr>
          <w:color w:val="231F1F"/>
          <w:spacing w:val="22"/>
        </w:rPr>
        <w:t> </w:t>
      </w:r>
      <w:r>
        <w:rPr>
          <w:color w:val="231F1F"/>
        </w:rPr>
        <w:t>0,20</w:t>
      </w:r>
      <w:r>
        <w:rPr>
          <w:color w:val="231F1F"/>
          <w:spacing w:val="19"/>
        </w:rPr>
        <w:t> </w:t>
      </w:r>
      <w:r>
        <w:rPr>
          <w:color w:val="231F1F"/>
        </w:rPr>
        <w:t>a</w:t>
      </w:r>
      <w:r>
        <w:rPr>
          <w:color w:val="231F1F"/>
          <w:spacing w:val="22"/>
        </w:rPr>
        <w:t> </w:t>
      </w:r>
      <w:r>
        <w:rPr>
          <w:color w:val="231F1F"/>
          <w:spacing w:val="-2"/>
        </w:rPr>
        <w:t>1,44].</w:t>
      </w:r>
    </w:p>
    <w:p>
      <w:pPr>
        <w:pStyle w:val="BodyText"/>
        <w:spacing w:line="256" w:lineRule="auto" w:before="136"/>
        <w:ind w:left="287" w:firstLine="453"/>
        <w:jc w:val="both"/>
      </w:pPr>
      <w:r>
        <w:rPr>
          <w:color w:val="231F1F"/>
          <w:w w:val="105"/>
        </w:rPr>
        <w:t>Cuando</w:t>
      </w:r>
      <w:r>
        <w:rPr>
          <w:color w:val="231F1F"/>
          <w:spacing w:val="-14"/>
          <w:w w:val="105"/>
        </w:rPr>
        <w:t> </w:t>
      </w:r>
      <w:r>
        <w:rPr>
          <w:color w:val="231F1F"/>
          <w:w w:val="105"/>
        </w:rPr>
        <w:t>se</w:t>
      </w:r>
      <w:r>
        <w:rPr>
          <w:color w:val="231F1F"/>
          <w:spacing w:val="-4"/>
          <w:w w:val="105"/>
        </w:rPr>
        <w:t> </w:t>
      </w:r>
      <w:r>
        <w:rPr>
          <w:color w:val="231F1F"/>
          <w:w w:val="105"/>
        </w:rPr>
        <w:t>incluyeron</w:t>
      </w:r>
      <w:r>
        <w:rPr>
          <w:color w:val="231F1F"/>
          <w:spacing w:val="-3"/>
          <w:w w:val="105"/>
        </w:rPr>
        <w:t> </w:t>
      </w:r>
      <w:r>
        <w:rPr>
          <w:color w:val="231F1F"/>
          <w:w w:val="105"/>
        </w:rPr>
        <w:t>en</w:t>
      </w:r>
      <w:r>
        <w:rPr>
          <w:color w:val="231F1F"/>
          <w:spacing w:val="-3"/>
          <w:w w:val="105"/>
        </w:rPr>
        <w:t> </w:t>
      </w:r>
      <w:r>
        <w:rPr>
          <w:color w:val="231F1F"/>
          <w:w w:val="105"/>
        </w:rPr>
        <w:t>el</w:t>
      </w:r>
      <w:r>
        <w:rPr>
          <w:color w:val="231F1F"/>
          <w:spacing w:val="-4"/>
          <w:w w:val="105"/>
        </w:rPr>
        <w:t> </w:t>
      </w:r>
      <w:r>
        <w:rPr>
          <w:color w:val="231F1F"/>
          <w:w w:val="105"/>
        </w:rPr>
        <w:t>metaanálisis</w:t>
      </w:r>
      <w:r>
        <w:rPr>
          <w:color w:val="231F1F"/>
          <w:spacing w:val="-4"/>
          <w:w w:val="105"/>
        </w:rPr>
        <w:t> </w:t>
      </w:r>
      <w:r>
        <w:rPr>
          <w:color w:val="231F1F"/>
          <w:w w:val="105"/>
        </w:rPr>
        <w:t>sólo</w:t>
      </w:r>
      <w:r>
        <w:rPr>
          <w:color w:val="231F1F"/>
          <w:spacing w:val="-4"/>
          <w:w w:val="105"/>
        </w:rPr>
        <w:t> </w:t>
      </w:r>
      <w:r>
        <w:rPr>
          <w:color w:val="231F1F"/>
          <w:w w:val="105"/>
        </w:rPr>
        <w:t>a</w:t>
      </w:r>
      <w:r>
        <w:rPr>
          <w:color w:val="231F1F"/>
          <w:spacing w:val="-3"/>
          <w:w w:val="105"/>
        </w:rPr>
        <w:t> </w:t>
      </w:r>
      <w:r>
        <w:rPr>
          <w:color w:val="231F1F"/>
          <w:w w:val="105"/>
        </w:rPr>
        <w:t>las</w:t>
      </w:r>
      <w:r>
        <w:rPr>
          <w:color w:val="231F1F"/>
          <w:spacing w:val="-3"/>
          <w:w w:val="105"/>
        </w:rPr>
        <w:t> </w:t>
      </w:r>
      <w:r>
        <w:rPr>
          <w:i/>
          <w:color w:val="231F1F"/>
          <w:w w:val="105"/>
        </w:rPr>
        <w:t>mujeres</w:t>
      </w:r>
      <w:r>
        <w:rPr>
          <w:i/>
          <w:color w:val="231F1F"/>
          <w:spacing w:val="-15"/>
          <w:w w:val="105"/>
        </w:rPr>
        <w:t> </w:t>
      </w:r>
      <w:r>
        <w:rPr>
          <w:i/>
          <w:color w:val="231F1F"/>
          <w:w w:val="105"/>
        </w:rPr>
        <w:t>de</w:t>
      </w:r>
      <w:r>
        <w:rPr>
          <w:i/>
          <w:color w:val="231F1F"/>
          <w:spacing w:val="-14"/>
          <w:w w:val="105"/>
        </w:rPr>
        <w:t> </w:t>
      </w:r>
      <w:r>
        <w:rPr>
          <w:i/>
          <w:color w:val="231F1F"/>
          <w:w w:val="105"/>
        </w:rPr>
        <w:t>bajo</w:t>
      </w:r>
      <w:r>
        <w:rPr>
          <w:i/>
          <w:color w:val="231F1F"/>
          <w:spacing w:val="-15"/>
          <w:w w:val="105"/>
        </w:rPr>
        <w:t> </w:t>
      </w:r>
      <w:r>
        <w:rPr>
          <w:i/>
          <w:color w:val="231F1F"/>
          <w:w w:val="105"/>
        </w:rPr>
        <w:t>riesgo</w:t>
      </w:r>
      <w:r>
        <w:rPr>
          <w:color w:val="231F1F"/>
          <w:w w:val="105"/>
        </w:rPr>
        <w:t>, los</w:t>
      </w:r>
      <w:r>
        <w:rPr>
          <w:color w:val="231F1F"/>
          <w:spacing w:val="31"/>
          <w:w w:val="105"/>
        </w:rPr>
        <w:t> </w:t>
      </w:r>
      <w:r>
        <w:rPr>
          <w:color w:val="231F1F"/>
          <w:w w:val="105"/>
        </w:rPr>
        <w:t>resultados</w:t>
      </w:r>
      <w:r>
        <w:rPr>
          <w:color w:val="231F1F"/>
          <w:spacing w:val="33"/>
          <w:w w:val="105"/>
        </w:rPr>
        <w:t> </w:t>
      </w:r>
      <w:r>
        <w:rPr>
          <w:color w:val="231F1F"/>
          <w:w w:val="105"/>
        </w:rPr>
        <w:t>fueron</w:t>
      </w:r>
      <w:r>
        <w:rPr>
          <w:color w:val="231F1F"/>
          <w:spacing w:val="32"/>
          <w:w w:val="105"/>
        </w:rPr>
        <w:t> </w:t>
      </w:r>
      <w:r>
        <w:rPr>
          <w:color w:val="231F1F"/>
          <w:w w:val="105"/>
        </w:rPr>
        <w:t>consistentes:</w:t>
      </w:r>
      <w:r>
        <w:rPr>
          <w:color w:val="231F1F"/>
          <w:spacing w:val="32"/>
          <w:w w:val="105"/>
        </w:rPr>
        <w:t> </w:t>
      </w:r>
      <w:r>
        <w:rPr>
          <w:color w:val="231F1F"/>
          <w:w w:val="105"/>
        </w:rPr>
        <w:t>Hubo</w:t>
      </w:r>
      <w:r>
        <w:rPr>
          <w:color w:val="231F1F"/>
          <w:spacing w:val="31"/>
          <w:w w:val="105"/>
        </w:rPr>
        <w:t> </w:t>
      </w:r>
      <w:r>
        <w:rPr>
          <w:color w:val="231F1F"/>
          <w:w w:val="105"/>
        </w:rPr>
        <w:t>menos</w:t>
      </w:r>
      <w:r>
        <w:rPr>
          <w:color w:val="231F1F"/>
          <w:spacing w:val="31"/>
          <w:w w:val="105"/>
        </w:rPr>
        <w:t> </w:t>
      </w:r>
      <w:r>
        <w:rPr>
          <w:color w:val="231F1F"/>
          <w:w w:val="105"/>
        </w:rPr>
        <w:t>convulsiones</w:t>
      </w:r>
      <w:r>
        <w:rPr>
          <w:color w:val="231F1F"/>
          <w:spacing w:val="33"/>
          <w:w w:val="105"/>
        </w:rPr>
        <w:t> </w:t>
      </w:r>
      <w:r>
        <w:rPr>
          <w:color w:val="231F1F"/>
          <w:w w:val="105"/>
        </w:rPr>
        <w:t>neonatales</w:t>
      </w:r>
      <w:r>
        <w:rPr>
          <w:color w:val="231F1F"/>
          <w:spacing w:val="31"/>
          <w:w w:val="105"/>
        </w:rPr>
        <w:t> </w:t>
      </w:r>
      <w:r>
        <w:rPr>
          <w:color w:val="231F1F"/>
          <w:w w:val="105"/>
        </w:rPr>
        <w:t>en el grupo de MEFC y MSF cuando se compara con AI: RR 0,37 [IC 95% 0,15</w:t>
      </w:r>
      <w:r>
        <w:rPr>
          <w:color w:val="231F1F"/>
          <w:spacing w:val="40"/>
          <w:w w:val="105"/>
        </w:rPr>
        <w:t> </w:t>
      </w:r>
      <w:r>
        <w:rPr>
          <w:color w:val="231F1F"/>
          <w:w w:val="105"/>
        </w:rPr>
        <w:t>a 0,87] y en los grupos de MEFC sin MSF frente a AI, las diferencias no fue- ron</w:t>
      </w:r>
      <w:r>
        <w:rPr>
          <w:color w:val="231F1F"/>
          <w:w w:val="105"/>
        </w:rPr>
        <w:t> significativas:</w:t>
      </w:r>
      <w:r>
        <w:rPr>
          <w:color w:val="231F1F"/>
          <w:w w:val="105"/>
        </w:rPr>
        <w:t> RR</w:t>
      </w:r>
      <w:r>
        <w:rPr>
          <w:color w:val="231F1F"/>
          <w:w w:val="105"/>
        </w:rPr>
        <w:t> 0,54</w:t>
      </w:r>
      <w:r>
        <w:rPr>
          <w:color w:val="231F1F"/>
          <w:w w:val="105"/>
        </w:rPr>
        <w:t> [IC</w:t>
      </w:r>
      <w:r>
        <w:rPr>
          <w:color w:val="231F1F"/>
          <w:w w:val="105"/>
        </w:rPr>
        <w:t> 95%</w:t>
      </w:r>
      <w:r>
        <w:rPr>
          <w:color w:val="231F1F"/>
          <w:w w:val="105"/>
        </w:rPr>
        <w:t> 0,03</w:t>
      </w:r>
      <w:r>
        <w:rPr>
          <w:color w:val="231F1F"/>
          <w:w w:val="105"/>
        </w:rPr>
        <w:t> a</w:t>
      </w:r>
      <w:r>
        <w:rPr>
          <w:color w:val="231F1F"/>
          <w:w w:val="105"/>
        </w:rPr>
        <w:t> 3,22]).</w:t>
      </w:r>
      <w:r>
        <w:rPr>
          <w:color w:val="231F1F"/>
          <w:w w:val="105"/>
        </w:rPr>
        <w:t> Tampoco</w:t>
      </w:r>
      <w:r>
        <w:rPr>
          <w:color w:val="231F1F"/>
          <w:w w:val="105"/>
        </w:rPr>
        <w:t> se</w:t>
      </w:r>
      <w:r>
        <w:rPr>
          <w:color w:val="231F1F"/>
          <w:w w:val="105"/>
        </w:rPr>
        <w:t> encontraron diferencias en los resultados para otras variables.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
        <w:rPr>
          <w:sz w:val="18"/>
        </w:rPr>
      </w:pPr>
    </w:p>
    <w:p>
      <w:pPr>
        <w:spacing w:line="273" w:lineRule="auto" w:before="1"/>
        <w:ind w:left="102" w:right="154" w:firstLine="0"/>
        <w:jc w:val="center"/>
        <w:rPr>
          <w:rFonts w:ascii="Arial MT"/>
          <w:sz w:val="18"/>
        </w:rPr>
      </w:pPr>
      <w:r>
        <w:rPr>
          <w:rFonts w:ascii="Arial MT"/>
          <w:color w:val="231F1F"/>
          <w:spacing w:val="-2"/>
          <w:sz w:val="18"/>
        </w:rPr>
        <w:t>RS</w:t>
      </w:r>
      <w:r>
        <w:rPr>
          <w:rFonts w:ascii="Arial MT"/>
          <w:color w:val="231F1F"/>
          <w:spacing w:val="-21"/>
          <w:sz w:val="18"/>
        </w:rPr>
        <w:t> </w:t>
      </w:r>
      <w:r>
        <w:rPr>
          <w:rFonts w:ascii="Arial MT"/>
          <w:color w:val="231F1F"/>
          <w:spacing w:val="-2"/>
          <w:sz w:val="18"/>
        </w:rPr>
        <w:t>EC</w:t>
      </w:r>
      <w:r>
        <w:rPr>
          <w:rFonts w:ascii="Arial MT"/>
          <w:color w:val="231F1F"/>
          <w:spacing w:val="-18"/>
          <w:sz w:val="18"/>
        </w:rPr>
        <w:t> </w:t>
      </w:r>
      <w:r>
        <w:rPr>
          <w:rFonts w:ascii="Arial MT"/>
          <w:color w:val="231F1F"/>
          <w:spacing w:val="-2"/>
          <w:sz w:val="18"/>
        </w:rPr>
        <w:t>As</w:t>
      </w:r>
      <w:r>
        <w:rPr>
          <w:rFonts w:ascii="Arial MT"/>
          <w:color w:val="231F1F"/>
          <w:spacing w:val="-19"/>
          <w:sz w:val="18"/>
        </w:rPr>
        <w:t> </w:t>
      </w:r>
      <w:r>
        <w:rPr>
          <w:rFonts w:ascii="Arial MT"/>
          <w:color w:val="231F1F"/>
          <w:spacing w:val="-2"/>
          <w:sz w:val="18"/>
        </w:rPr>
        <w:t>y </w:t>
      </w:r>
      <w:r>
        <w:rPr>
          <w:rFonts w:ascii="Arial MT"/>
          <w:color w:val="231F1F"/>
          <w:spacing w:val="-4"/>
          <w:sz w:val="18"/>
        </w:rPr>
        <w:t>ECCs</w:t>
      </w:r>
    </w:p>
    <w:p>
      <w:pPr>
        <w:spacing w:line="201" w:lineRule="exact" w:before="0"/>
        <w:ind w:left="386" w:right="445" w:firstLine="0"/>
        <w:jc w:val="center"/>
        <w:rPr>
          <w:rFonts w:ascii="Arial MT"/>
          <w:sz w:val="18"/>
        </w:rPr>
      </w:pPr>
      <w:r>
        <w:rPr>
          <w:rFonts w:ascii="Arial MT"/>
          <w:color w:val="231F1F"/>
          <w:spacing w:val="-5"/>
          <w:sz w:val="18"/>
        </w:rPr>
        <w:t>II</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90"/>
        <w:rPr>
          <w:rFonts w:ascii="Arial MT"/>
          <w:sz w:val="18"/>
        </w:rPr>
      </w:pPr>
    </w:p>
    <w:p>
      <w:pPr>
        <w:spacing w:line="278" w:lineRule="auto" w:before="0"/>
        <w:ind w:left="102" w:right="154" w:firstLine="0"/>
        <w:jc w:val="center"/>
        <w:rPr>
          <w:rFonts w:ascii="Arial MT"/>
          <w:sz w:val="18"/>
        </w:rPr>
      </w:pPr>
      <w:r>
        <w:rPr>
          <w:rFonts w:ascii="Arial MT"/>
          <w:color w:val="231F1F"/>
          <w:spacing w:val="-2"/>
          <w:sz w:val="18"/>
        </w:rPr>
        <w:t>RS</w:t>
      </w:r>
      <w:r>
        <w:rPr>
          <w:rFonts w:ascii="Arial MT"/>
          <w:color w:val="231F1F"/>
          <w:spacing w:val="-21"/>
          <w:sz w:val="18"/>
        </w:rPr>
        <w:t> </w:t>
      </w:r>
      <w:r>
        <w:rPr>
          <w:rFonts w:ascii="Arial MT"/>
          <w:color w:val="231F1F"/>
          <w:spacing w:val="-2"/>
          <w:sz w:val="18"/>
        </w:rPr>
        <w:t>EC</w:t>
      </w:r>
      <w:r>
        <w:rPr>
          <w:rFonts w:ascii="Arial MT"/>
          <w:color w:val="231F1F"/>
          <w:spacing w:val="-18"/>
          <w:sz w:val="18"/>
        </w:rPr>
        <w:t> </w:t>
      </w:r>
      <w:r>
        <w:rPr>
          <w:rFonts w:ascii="Arial MT"/>
          <w:color w:val="231F1F"/>
          <w:spacing w:val="-2"/>
          <w:sz w:val="18"/>
        </w:rPr>
        <w:t>As</w:t>
      </w:r>
      <w:r>
        <w:rPr>
          <w:rFonts w:ascii="Arial MT"/>
          <w:color w:val="231F1F"/>
          <w:spacing w:val="-19"/>
          <w:sz w:val="18"/>
        </w:rPr>
        <w:t> </w:t>
      </w:r>
      <w:r>
        <w:rPr>
          <w:rFonts w:ascii="Arial MT"/>
          <w:color w:val="231F1F"/>
          <w:spacing w:val="-2"/>
          <w:sz w:val="18"/>
        </w:rPr>
        <w:t>y </w:t>
      </w:r>
      <w:r>
        <w:rPr>
          <w:rFonts w:ascii="Arial MT"/>
          <w:color w:val="231F1F"/>
          <w:spacing w:val="-4"/>
          <w:sz w:val="18"/>
        </w:rPr>
        <w:t>ECCs</w:t>
      </w:r>
    </w:p>
    <w:p>
      <w:pPr>
        <w:spacing w:line="197" w:lineRule="exact" w:before="0"/>
        <w:ind w:left="386" w:right="445" w:firstLine="0"/>
        <w:jc w:val="center"/>
        <w:rPr>
          <w:rFonts w:ascii="Arial MT"/>
          <w:sz w:val="18"/>
        </w:rPr>
      </w:pPr>
      <w:r>
        <w:rPr>
          <w:rFonts w:ascii="Arial MT"/>
          <w:color w:val="231F1F"/>
          <w:spacing w:val="-5"/>
          <w:sz w:val="18"/>
        </w:rPr>
        <w:t>II</w:t>
      </w:r>
    </w:p>
    <w:p>
      <w:pPr>
        <w:spacing w:after="0" w:line="197" w:lineRule="exact"/>
        <w:jc w:val="center"/>
        <w:rPr>
          <w:rFonts w:ascii="Arial MT"/>
          <w:sz w:val="18"/>
        </w:rPr>
        <w:sectPr>
          <w:type w:val="continuous"/>
          <w:pgSz w:w="11900" w:h="16840"/>
          <w:pgMar w:header="0" w:footer="622" w:top="560" w:bottom="280" w:left="1417" w:right="1559"/>
          <w:cols w:num="2" w:equalWidth="0">
            <w:col w:w="7553" w:space="40"/>
            <w:col w:w="1331"/>
          </w:cols>
        </w:sectPr>
      </w:pPr>
    </w:p>
    <w:p>
      <w:pPr>
        <w:pStyle w:val="BodyText"/>
        <w:tabs>
          <w:tab w:pos="7883" w:val="left" w:leader="none"/>
          <w:tab w:pos="8006" w:val="left" w:leader="none"/>
        </w:tabs>
        <w:spacing w:line="242" w:lineRule="auto" w:before="73"/>
        <w:ind w:left="283" w:right="408" w:firstLine="453"/>
      </w:pPr>
      <w:r>
        <w:rPr>
          <w:color w:val="231F1F"/>
          <w:w w:val="110"/>
        </w:rPr>
        <w:t>El estudio de cohortes (371) comparaba MEFC con MEFC y MSF mos-</w:t>
      </w:r>
      <w:r>
        <w:rPr>
          <w:color w:val="231F1F"/>
        </w:rPr>
        <w:tab/>
        <w:tab/>
      </w:r>
      <w:r>
        <w:rPr>
          <w:rFonts w:ascii="Arial MT" w:hAnsi="Arial MT"/>
          <w:color w:val="231F1F"/>
          <w:w w:val="110"/>
          <w:sz w:val="18"/>
        </w:rPr>
        <w:t>E. de </w:t>
      </w:r>
      <w:r>
        <w:rPr>
          <w:color w:val="231F1F"/>
          <w:w w:val="110"/>
        </w:rPr>
        <w:t>trando evidencias de que el empleo de MSF reduce la incidencia de partos</w:t>
      </w:r>
      <w:r>
        <w:rPr>
          <w:color w:val="231F1F"/>
        </w:rPr>
        <w:tab/>
      </w:r>
      <w:r>
        <w:rPr>
          <w:rFonts w:ascii="Arial MT" w:hAnsi="Arial MT"/>
          <w:color w:val="231F1F"/>
          <w:spacing w:val="-4"/>
          <w:position w:val="4"/>
          <w:sz w:val="18"/>
        </w:rPr>
        <w:t>Cohorte </w:t>
      </w:r>
      <w:r>
        <w:rPr>
          <w:color w:val="231F1F"/>
          <w:w w:val="110"/>
        </w:rPr>
        <w:t>instrumentados por sufrimiento fetal: RR 0,33; (p=0,007), aunque no se vieron</w:t>
      </w:r>
      <w:r>
        <w:rPr>
          <w:color w:val="231F1F"/>
          <w:spacing w:val="40"/>
          <w:w w:val="110"/>
        </w:rPr>
        <w:t> </w:t>
      </w:r>
      <w:r>
        <w:rPr>
          <w:rFonts w:ascii="Arial MT" w:hAnsi="Arial MT"/>
          <w:color w:val="231F1F"/>
          <w:w w:val="110"/>
          <w:position w:val="8"/>
          <w:sz w:val="18"/>
        </w:rPr>
        <w:t>II </w:t>
      </w:r>
      <w:r>
        <w:rPr>
          <w:color w:val="231F1F"/>
          <w:w w:val="110"/>
        </w:rPr>
        <w:t>diferencias en cesáreas por sufrimiento fetal: RR 0,5; (p=0,5) ni en el test de</w:t>
      </w:r>
    </w:p>
    <w:p>
      <w:pPr>
        <w:pStyle w:val="BodyText"/>
        <w:spacing w:line="254" w:lineRule="auto" w:before="30"/>
        <w:ind w:left="283" w:right="1386"/>
      </w:pPr>
      <w:r>
        <w:rPr>
          <w:color w:val="231F1F"/>
        </w:rPr>
        <w:t>Apgar</w:t>
      </w:r>
      <w:r>
        <w:rPr>
          <w:color w:val="231F1F"/>
          <w:spacing w:val="21"/>
        </w:rPr>
        <w:t> </w:t>
      </w:r>
      <w:r>
        <w:rPr>
          <w:color w:val="231F1F"/>
        </w:rPr>
        <w:t>menor</w:t>
      </w:r>
      <w:r>
        <w:rPr>
          <w:color w:val="231F1F"/>
          <w:spacing w:val="21"/>
        </w:rPr>
        <w:t> </w:t>
      </w:r>
      <w:r>
        <w:rPr>
          <w:color w:val="231F1F"/>
        </w:rPr>
        <w:t>de</w:t>
      </w:r>
      <w:r>
        <w:rPr>
          <w:color w:val="231F1F"/>
          <w:spacing w:val="22"/>
        </w:rPr>
        <w:t> </w:t>
      </w:r>
      <w:r>
        <w:rPr>
          <w:color w:val="231F1F"/>
        </w:rPr>
        <w:t>7</w:t>
      </w:r>
      <w:r>
        <w:rPr>
          <w:color w:val="231F1F"/>
          <w:spacing w:val="21"/>
        </w:rPr>
        <w:t> </w:t>
      </w:r>
      <w:r>
        <w:rPr>
          <w:color w:val="231F1F"/>
        </w:rPr>
        <w:t>en</w:t>
      </w:r>
      <w:r>
        <w:rPr>
          <w:color w:val="231F1F"/>
          <w:spacing w:val="21"/>
        </w:rPr>
        <w:t> </w:t>
      </w:r>
      <w:r>
        <w:rPr>
          <w:color w:val="231F1F"/>
        </w:rPr>
        <w:t>el</w:t>
      </w:r>
      <w:r>
        <w:rPr>
          <w:color w:val="231F1F"/>
          <w:spacing w:val="22"/>
        </w:rPr>
        <w:t> </w:t>
      </w:r>
      <w:r>
        <w:rPr>
          <w:color w:val="231F1F"/>
        </w:rPr>
        <w:t>primer</w:t>
      </w:r>
      <w:r>
        <w:rPr>
          <w:color w:val="231F1F"/>
          <w:spacing w:val="21"/>
        </w:rPr>
        <w:t> </w:t>
      </w:r>
      <w:r>
        <w:rPr>
          <w:color w:val="231F1F"/>
        </w:rPr>
        <w:t>minuto:</w:t>
      </w:r>
      <w:r>
        <w:rPr>
          <w:color w:val="231F1F"/>
          <w:spacing w:val="22"/>
        </w:rPr>
        <w:t> </w:t>
      </w:r>
      <w:r>
        <w:rPr>
          <w:color w:val="231F1F"/>
        </w:rPr>
        <w:t>RR</w:t>
      </w:r>
      <w:r>
        <w:rPr>
          <w:color w:val="231F1F"/>
          <w:spacing w:val="21"/>
        </w:rPr>
        <w:t> </w:t>
      </w:r>
      <w:r>
        <w:rPr>
          <w:color w:val="231F1F"/>
        </w:rPr>
        <w:t>0,50,</w:t>
      </w:r>
      <w:r>
        <w:rPr>
          <w:color w:val="231F1F"/>
          <w:spacing w:val="22"/>
        </w:rPr>
        <w:t> </w:t>
      </w:r>
      <w:r>
        <w:rPr>
          <w:color w:val="231F1F"/>
        </w:rPr>
        <w:t>(p=0,15)</w:t>
      </w:r>
      <w:r>
        <w:rPr>
          <w:color w:val="231F1F"/>
          <w:spacing w:val="22"/>
        </w:rPr>
        <w:t> </w:t>
      </w:r>
      <w:r>
        <w:rPr>
          <w:color w:val="231F1F"/>
        </w:rPr>
        <w:t>o</w:t>
      </w:r>
      <w:r>
        <w:rPr>
          <w:color w:val="231F1F"/>
          <w:spacing w:val="21"/>
        </w:rPr>
        <w:t> </w:t>
      </w:r>
      <w:r>
        <w:rPr>
          <w:color w:val="231F1F"/>
        </w:rPr>
        <w:t>a</w:t>
      </w:r>
      <w:r>
        <w:rPr>
          <w:color w:val="231F1F"/>
          <w:spacing w:val="22"/>
        </w:rPr>
        <w:t> </w:t>
      </w:r>
      <w:r>
        <w:rPr>
          <w:color w:val="231F1F"/>
        </w:rPr>
        <w:t>los</w:t>
      </w:r>
      <w:r>
        <w:rPr>
          <w:color w:val="231F1F"/>
          <w:spacing w:val="21"/>
        </w:rPr>
        <w:t> </w:t>
      </w:r>
      <w:r>
        <w:rPr>
          <w:color w:val="231F1F"/>
        </w:rPr>
        <w:t>cinco</w:t>
      </w:r>
      <w:r>
        <w:rPr>
          <w:color w:val="231F1F"/>
          <w:spacing w:val="21"/>
        </w:rPr>
        <w:t> </w:t>
      </w:r>
      <w:r>
        <w:rPr>
          <w:color w:val="231F1F"/>
        </w:rPr>
        <w:t>minu- tos; (p=0,25).</w:t>
      </w:r>
    </w:p>
    <w:p>
      <w:pPr>
        <w:pStyle w:val="BodyText"/>
        <w:spacing w:line="244" w:lineRule="auto" w:before="49"/>
        <w:ind w:left="283" w:right="1370" w:firstLine="453"/>
        <w:jc w:val="both"/>
      </w:pPr>
      <w:r>
        <w:rPr>
          <w:color w:val="231F1F"/>
          <w:w w:val="110"/>
        </w:rPr>
        <w:t>La evidencia aportada por NICE (10) es limitada debido a que faltan comparaciones directas en estudios aleatorizados, pero la evidencia proce- dente</w:t>
      </w:r>
      <w:r>
        <w:rPr>
          <w:color w:val="231F1F"/>
          <w:spacing w:val="-5"/>
          <w:w w:val="110"/>
        </w:rPr>
        <w:t> </w:t>
      </w:r>
      <w:r>
        <w:rPr>
          <w:color w:val="231F1F"/>
          <w:w w:val="110"/>
        </w:rPr>
        <w:t>de</w:t>
      </w:r>
      <w:r>
        <w:rPr>
          <w:color w:val="231F1F"/>
          <w:spacing w:val="-4"/>
          <w:w w:val="110"/>
        </w:rPr>
        <w:t> </w:t>
      </w:r>
      <w:r>
        <w:rPr>
          <w:color w:val="231F1F"/>
          <w:w w:val="110"/>
        </w:rPr>
        <w:t>comparaciones</w:t>
      </w:r>
      <w:r>
        <w:rPr>
          <w:color w:val="231F1F"/>
          <w:spacing w:val="-4"/>
          <w:w w:val="110"/>
        </w:rPr>
        <w:t> </w:t>
      </w:r>
      <w:r>
        <w:rPr>
          <w:color w:val="231F1F"/>
          <w:w w:val="110"/>
        </w:rPr>
        <w:t>indirectas</w:t>
      </w:r>
      <w:r>
        <w:rPr>
          <w:color w:val="231F1F"/>
          <w:spacing w:val="-4"/>
          <w:w w:val="110"/>
        </w:rPr>
        <w:t> </w:t>
      </w:r>
      <w:r>
        <w:rPr>
          <w:color w:val="231F1F"/>
          <w:w w:val="110"/>
        </w:rPr>
        <w:t>sugiere</w:t>
      </w:r>
      <w:r>
        <w:rPr>
          <w:color w:val="231F1F"/>
          <w:spacing w:val="-5"/>
          <w:w w:val="110"/>
        </w:rPr>
        <w:t> </w:t>
      </w:r>
      <w:r>
        <w:rPr>
          <w:color w:val="231F1F"/>
          <w:w w:val="110"/>
        </w:rPr>
        <w:t>que</w:t>
      </w:r>
      <w:r>
        <w:rPr>
          <w:color w:val="231F1F"/>
          <w:spacing w:val="-5"/>
          <w:w w:val="110"/>
        </w:rPr>
        <w:t> </w:t>
      </w:r>
      <w:r>
        <w:rPr>
          <w:color w:val="231F1F"/>
          <w:w w:val="110"/>
        </w:rPr>
        <w:t>la</w:t>
      </w:r>
      <w:r>
        <w:rPr>
          <w:color w:val="231F1F"/>
          <w:spacing w:val="-4"/>
          <w:w w:val="110"/>
        </w:rPr>
        <w:t> </w:t>
      </w:r>
      <w:r>
        <w:rPr>
          <w:color w:val="231F1F"/>
          <w:w w:val="110"/>
        </w:rPr>
        <w:t>MSF</w:t>
      </w:r>
      <w:r>
        <w:rPr>
          <w:color w:val="231F1F"/>
          <w:spacing w:val="-4"/>
          <w:w w:val="110"/>
        </w:rPr>
        <w:t> </w:t>
      </w:r>
      <w:r>
        <w:rPr>
          <w:color w:val="231F1F"/>
          <w:w w:val="110"/>
        </w:rPr>
        <w:t>evita</w:t>
      </w:r>
      <w:r>
        <w:rPr>
          <w:color w:val="231F1F"/>
          <w:spacing w:val="-5"/>
          <w:w w:val="110"/>
        </w:rPr>
        <w:t> </w:t>
      </w:r>
      <w:r>
        <w:rPr>
          <w:color w:val="231F1F"/>
          <w:w w:val="110"/>
        </w:rPr>
        <w:t>algunos</w:t>
      </w:r>
      <w:r>
        <w:rPr>
          <w:color w:val="231F1F"/>
          <w:spacing w:val="-4"/>
          <w:w w:val="110"/>
        </w:rPr>
        <w:t> </w:t>
      </w:r>
      <w:r>
        <w:rPr>
          <w:color w:val="231F1F"/>
          <w:w w:val="110"/>
        </w:rPr>
        <w:t>partos instrumentados y cesáreas.</w:t>
      </w:r>
    </w:p>
    <w:p>
      <w:pPr>
        <w:pStyle w:val="BodyText"/>
        <w:spacing w:line="249" w:lineRule="auto" w:before="173"/>
        <w:ind w:left="283" w:right="1366" w:firstLine="453"/>
        <w:jc w:val="both"/>
      </w:pPr>
      <w:r>
        <w:rPr>
          <w:color w:val="231F1F"/>
        </w:rPr>
        <w:t>El GEG de la guía NICE (10) también señala las contraindicaciones para hacer MSF:</w:t>
      </w:r>
    </w:p>
    <w:p>
      <w:pPr>
        <w:pStyle w:val="ListParagraph"/>
        <w:numPr>
          <w:ilvl w:val="0"/>
          <w:numId w:val="93"/>
        </w:numPr>
        <w:tabs>
          <w:tab w:pos="953" w:val="left" w:leader="none"/>
        </w:tabs>
        <w:spacing w:line="240" w:lineRule="auto" w:before="146" w:after="0"/>
        <w:ind w:left="953" w:right="0" w:hanging="218"/>
        <w:jc w:val="left"/>
        <w:rPr>
          <w:sz w:val="22"/>
        </w:rPr>
      </w:pPr>
      <w:r>
        <w:rPr>
          <w:color w:val="231F1F"/>
          <w:sz w:val="22"/>
        </w:rPr>
        <w:t>Infección</w:t>
      </w:r>
      <w:r>
        <w:rPr>
          <w:color w:val="231F1F"/>
          <w:spacing w:val="51"/>
          <w:sz w:val="22"/>
        </w:rPr>
        <w:t> </w:t>
      </w:r>
      <w:r>
        <w:rPr>
          <w:color w:val="231F1F"/>
          <w:sz w:val="22"/>
        </w:rPr>
        <w:t>materna:</w:t>
      </w:r>
      <w:r>
        <w:rPr>
          <w:color w:val="231F1F"/>
          <w:spacing w:val="50"/>
          <w:sz w:val="22"/>
        </w:rPr>
        <w:t> </w:t>
      </w:r>
      <w:r>
        <w:rPr>
          <w:color w:val="231F1F"/>
          <w:sz w:val="22"/>
        </w:rPr>
        <w:t>VIH,</w:t>
      </w:r>
      <w:r>
        <w:rPr>
          <w:color w:val="231F1F"/>
          <w:spacing w:val="48"/>
          <w:sz w:val="22"/>
        </w:rPr>
        <w:t> </w:t>
      </w:r>
      <w:r>
        <w:rPr>
          <w:color w:val="231F1F"/>
          <w:sz w:val="22"/>
        </w:rPr>
        <w:t>hepatitis,</w:t>
      </w:r>
      <w:r>
        <w:rPr>
          <w:color w:val="231F1F"/>
          <w:spacing w:val="52"/>
          <w:sz w:val="22"/>
        </w:rPr>
        <w:t> </w:t>
      </w:r>
      <w:r>
        <w:rPr>
          <w:color w:val="231F1F"/>
          <w:spacing w:val="-2"/>
          <w:sz w:val="22"/>
        </w:rPr>
        <w:t>herpes...</w:t>
      </w:r>
    </w:p>
    <w:p>
      <w:pPr>
        <w:pStyle w:val="ListParagraph"/>
        <w:numPr>
          <w:ilvl w:val="0"/>
          <w:numId w:val="93"/>
        </w:numPr>
        <w:tabs>
          <w:tab w:pos="953" w:val="left" w:leader="none"/>
        </w:tabs>
        <w:spacing w:line="240" w:lineRule="auto" w:before="164" w:after="0"/>
        <w:ind w:left="953" w:right="0" w:hanging="218"/>
        <w:jc w:val="left"/>
        <w:rPr>
          <w:sz w:val="22"/>
        </w:rPr>
      </w:pPr>
      <w:r>
        <w:rPr>
          <w:color w:val="231F1F"/>
          <w:sz w:val="22"/>
        </w:rPr>
        <w:t>Desórdenes</w:t>
      </w:r>
      <w:r>
        <w:rPr>
          <w:color w:val="231F1F"/>
          <w:spacing w:val="40"/>
          <w:sz w:val="22"/>
        </w:rPr>
        <w:t> </w:t>
      </w:r>
      <w:r>
        <w:rPr>
          <w:color w:val="231F1F"/>
          <w:sz w:val="22"/>
        </w:rPr>
        <w:t>sanguíneos</w:t>
      </w:r>
      <w:r>
        <w:rPr>
          <w:color w:val="231F1F"/>
          <w:spacing w:val="44"/>
          <w:sz w:val="22"/>
        </w:rPr>
        <w:t> </w:t>
      </w:r>
      <w:r>
        <w:rPr>
          <w:color w:val="231F1F"/>
          <w:sz w:val="22"/>
        </w:rPr>
        <w:t>del</w:t>
      </w:r>
      <w:r>
        <w:rPr>
          <w:color w:val="231F1F"/>
          <w:spacing w:val="42"/>
          <w:sz w:val="22"/>
        </w:rPr>
        <w:t> </w:t>
      </w:r>
      <w:r>
        <w:rPr>
          <w:color w:val="231F1F"/>
          <w:sz w:val="22"/>
        </w:rPr>
        <w:t>feto:</w:t>
      </w:r>
      <w:r>
        <w:rPr>
          <w:color w:val="231F1F"/>
          <w:spacing w:val="43"/>
          <w:sz w:val="22"/>
        </w:rPr>
        <w:t> </w:t>
      </w:r>
      <w:r>
        <w:rPr>
          <w:color w:val="231F1F"/>
          <w:spacing w:val="-2"/>
          <w:sz w:val="22"/>
        </w:rPr>
        <w:t>hemofilia</w:t>
      </w:r>
    </w:p>
    <w:p>
      <w:pPr>
        <w:pStyle w:val="ListParagraph"/>
        <w:numPr>
          <w:ilvl w:val="0"/>
          <w:numId w:val="93"/>
        </w:numPr>
        <w:tabs>
          <w:tab w:pos="953" w:val="left" w:leader="none"/>
        </w:tabs>
        <w:spacing w:line="240" w:lineRule="auto" w:before="160" w:after="0"/>
        <w:ind w:left="953" w:right="0" w:hanging="218"/>
        <w:jc w:val="left"/>
        <w:rPr>
          <w:sz w:val="22"/>
        </w:rPr>
      </w:pPr>
      <w:r>
        <w:rPr>
          <w:color w:val="231F1F"/>
          <w:sz w:val="22"/>
        </w:rPr>
        <w:t>Prematuridad:</w:t>
      </w:r>
      <w:r>
        <w:rPr>
          <w:color w:val="231F1F"/>
          <w:spacing w:val="34"/>
          <w:sz w:val="22"/>
        </w:rPr>
        <w:t> </w:t>
      </w:r>
      <w:r>
        <w:rPr>
          <w:color w:val="231F1F"/>
          <w:sz w:val="22"/>
        </w:rPr>
        <w:t>menos</w:t>
      </w:r>
      <w:r>
        <w:rPr>
          <w:color w:val="231F1F"/>
          <w:spacing w:val="41"/>
          <w:sz w:val="22"/>
        </w:rPr>
        <w:t> </w:t>
      </w:r>
      <w:r>
        <w:rPr>
          <w:color w:val="231F1F"/>
          <w:sz w:val="22"/>
        </w:rPr>
        <w:t>de</w:t>
      </w:r>
      <w:r>
        <w:rPr>
          <w:color w:val="231F1F"/>
          <w:spacing w:val="39"/>
          <w:sz w:val="22"/>
        </w:rPr>
        <w:t> </w:t>
      </w:r>
      <w:r>
        <w:rPr>
          <w:color w:val="231F1F"/>
          <w:sz w:val="22"/>
        </w:rPr>
        <w:t>34</w:t>
      </w:r>
      <w:r>
        <w:rPr>
          <w:color w:val="231F1F"/>
          <w:spacing w:val="42"/>
          <w:sz w:val="22"/>
        </w:rPr>
        <w:t> </w:t>
      </w:r>
      <w:r>
        <w:rPr>
          <w:color w:val="231F1F"/>
          <w:spacing w:val="-2"/>
          <w:sz w:val="22"/>
        </w:rPr>
        <w:t>semanas.</w:t>
      </w:r>
    </w:p>
    <w:p>
      <w:pPr>
        <w:pStyle w:val="BodyText"/>
        <w:spacing w:before="175"/>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z w:val="24"/>
        </w:rPr>
        <w:t>mayo</w:t>
      </w:r>
      <w:r>
        <w:rPr>
          <w:rFonts w:ascii="Arial MT" w:hAnsi="Arial MT"/>
          <w:color w:val="231F1F"/>
          <w:spacing w:val="16"/>
          <w:sz w:val="24"/>
        </w:rPr>
        <w:t> </w:t>
      </w:r>
      <w:r>
        <w:rPr>
          <w:rFonts w:ascii="Arial MT" w:hAnsi="Arial MT"/>
          <w:color w:val="231F1F"/>
          <w:spacing w:val="-2"/>
          <w:sz w:val="24"/>
        </w:rPr>
        <w:t>2008)</w:t>
      </w:r>
    </w:p>
    <w:p>
      <w:pPr>
        <w:pStyle w:val="BodyText"/>
        <w:spacing w:line="244" w:lineRule="auto" w:before="214"/>
        <w:ind w:left="283" w:right="1386" w:firstLine="453"/>
      </w:pPr>
      <w:r>
        <w:rPr>
          <w:color w:val="231F1F"/>
          <w:spacing w:val="-2"/>
          <w:w w:val="105"/>
        </w:rPr>
        <w:t>No</w:t>
      </w:r>
      <w:r>
        <w:rPr>
          <w:color w:val="231F1F"/>
          <w:spacing w:val="-6"/>
          <w:w w:val="105"/>
        </w:rPr>
        <w:t> </w:t>
      </w:r>
      <w:r>
        <w:rPr>
          <w:color w:val="231F1F"/>
          <w:spacing w:val="-2"/>
          <w:w w:val="105"/>
        </w:rPr>
        <w:t>se</w:t>
      </w:r>
      <w:r>
        <w:rPr>
          <w:color w:val="231F1F"/>
          <w:spacing w:val="-6"/>
          <w:w w:val="105"/>
        </w:rPr>
        <w:t> </w:t>
      </w:r>
      <w:r>
        <w:rPr>
          <w:color w:val="231F1F"/>
          <w:spacing w:val="-2"/>
          <w:w w:val="105"/>
        </w:rPr>
        <w:t>encontraron</w:t>
      </w:r>
      <w:r>
        <w:rPr>
          <w:color w:val="231F1F"/>
          <w:spacing w:val="-6"/>
          <w:w w:val="105"/>
        </w:rPr>
        <w:t> </w:t>
      </w:r>
      <w:r>
        <w:rPr>
          <w:color w:val="231F1F"/>
          <w:spacing w:val="-2"/>
          <w:w w:val="105"/>
        </w:rPr>
        <w:t>nuevos</w:t>
      </w:r>
      <w:r>
        <w:rPr>
          <w:color w:val="231F1F"/>
          <w:spacing w:val="-6"/>
          <w:w w:val="105"/>
        </w:rPr>
        <w:t> </w:t>
      </w:r>
      <w:r>
        <w:rPr>
          <w:color w:val="231F1F"/>
          <w:spacing w:val="-2"/>
          <w:w w:val="105"/>
        </w:rPr>
        <w:t>estudios</w:t>
      </w:r>
      <w:r>
        <w:rPr>
          <w:color w:val="231F1F"/>
          <w:spacing w:val="-6"/>
          <w:w w:val="105"/>
        </w:rPr>
        <w:t> </w:t>
      </w:r>
      <w:r>
        <w:rPr>
          <w:color w:val="231F1F"/>
          <w:spacing w:val="-2"/>
          <w:w w:val="105"/>
        </w:rPr>
        <w:t>que</w:t>
      </w:r>
      <w:r>
        <w:rPr>
          <w:color w:val="231F1F"/>
          <w:spacing w:val="-6"/>
          <w:w w:val="105"/>
        </w:rPr>
        <w:t> </w:t>
      </w:r>
      <w:r>
        <w:rPr>
          <w:color w:val="231F1F"/>
          <w:spacing w:val="-2"/>
          <w:w w:val="105"/>
        </w:rPr>
        <w:t>cumplieran</w:t>
      </w:r>
      <w:r>
        <w:rPr>
          <w:color w:val="231F1F"/>
          <w:spacing w:val="-6"/>
          <w:w w:val="105"/>
        </w:rPr>
        <w:t> </w:t>
      </w:r>
      <w:r>
        <w:rPr>
          <w:color w:val="231F1F"/>
          <w:spacing w:val="-2"/>
          <w:w w:val="105"/>
        </w:rPr>
        <w:t>los</w:t>
      </w:r>
      <w:r>
        <w:rPr>
          <w:color w:val="231F1F"/>
          <w:spacing w:val="-6"/>
          <w:w w:val="105"/>
        </w:rPr>
        <w:t> </w:t>
      </w:r>
      <w:r>
        <w:rPr>
          <w:color w:val="231F1F"/>
          <w:spacing w:val="-2"/>
          <w:w w:val="105"/>
        </w:rPr>
        <w:t>criterios</w:t>
      </w:r>
      <w:r>
        <w:rPr>
          <w:color w:val="231F1F"/>
          <w:spacing w:val="-6"/>
          <w:w w:val="105"/>
        </w:rPr>
        <w:t> </w:t>
      </w:r>
      <w:r>
        <w:rPr>
          <w:color w:val="231F1F"/>
          <w:spacing w:val="-2"/>
          <w:w w:val="105"/>
        </w:rPr>
        <w:t>de</w:t>
      </w:r>
      <w:r>
        <w:rPr>
          <w:color w:val="231F1F"/>
          <w:spacing w:val="-6"/>
          <w:w w:val="105"/>
        </w:rPr>
        <w:t> </w:t>
      </w:r>
      <w:r>
        <w:rPr>
          <w:color w:val="231F1F"/>
          <w:spacing w:val="-2"/>
          <w:w w:val="105"/>
        </w:rPr>
        <w:t>inclu- </w:t>
      </w:r>
      <w:r>
        <w:rPr>
          <w:color w:val="231F1F"/>
          <w:w w:val="105"/>
        </w:rPr>
        <w:t>sión en la búsqueda de actualización.</w:t>
      </w:r>
    </w:p>
    <w:p>
      <w:pPr>
        <w:pStyle w:val="BodyText"/>
        <w:spacing w:before="147"/>
        <w:ind w:left="736"/>
      </w:pPr>
      <w:r>
        <w:rPr>
          <w:color w:val="231F1F"/>
        </w:rPr>
        <w:t>Ver</w:t>
      </w:r>
      <w:r>
        <w:rPr>
          <w:color w:val="231F1F"/>
          <w:spacing w:val="30"/>
        </w:rPr>
        <w:t> </w:t>
      </w:r>
      <w:r>
        <w:rPr>
          <w:color w:val="231F1F"/>
        </w:rPr>
        <w:t>Anexo</w:t>
      </w:r>
      <w:r>
        <w:rPr>
          <w:color w:val="231F1F"/>
          <w:spacing w:val="33"/>
        </w:rPr>
        <w:t> </w:t>
      </w:r>
      <w:r>
        <w:rPr>
          <w:color w:val="231F1F"/>
        </w:rPr>
        <w:t>3.2.</w:t>
      </w:r>
      <w:r>
        <w:rPr>
          <w:color w:val="231F1F"/>
          <w:spacing w:val="33"/>
        </w:rPr>
        <w:t> </w:t>
      </w:r>
      <w:r>
        <w:rPr>
          <w:color w:val="231F1F"/>
        </w:rPr>
        <w:t>Algoritmo</w:t>
      </w:r>
      <w:r>
        <w:rPr>
          <w:color w:val="231F1F"/>
          <w:spacing w:val="32"/>
        </w:rPr>
        <w:t> </w:t>
      </w:r>
      <w:r>
        <w:rPr>
          <w:color w:val="231F1F"/>
        </w:rPr>
        <w:t>de</w:t>
      </w:r>
      <w:r>
        <w:rPr>
          <w:color w:val="231F1F"/>
          <w:spacing w:val="35"/>
        </w:rPr>
        <w:t> </w:t>
      </w:r>
      <w:r>
        <w:rPr>
          <w:color w:val="231F1F"/>
        </w:rPr>
        <w:t>decisión</w:t>
      </w:r>
      <w:r>
        <w:rPr>
          <w:color w:val="231F1F"/>
          <w:spacing w:val="33"/>
        </w:rPr>
        <w:t> </w:t>
      </w:r>
      <w:r>
        <w:rPr>
          <w:color w:val="231F1F"/>
        </w:rPr>
        <w:t>según</w:t>
      </w:r>
      <w:r>
        <w:rPr>
          <w:color w:val="231F1F"/>
          <w:spacing w:val="34"/>
        </w:rPr>
        <w:t> </w:t>
      </w:r>
      <w:r>
        <w:rPr>
          <w:color w:val="231F1F"/>
        </w:rPr>
        <w:t>resultados</w:t>
      </w:r>
      <w:r>
        <w:rPr>
          <w:color w:val="231F1F"/>
          <w:spacing w:val="34"/>
        </w:rPr>
        <w:t> </w:t>
      </w:r>
      <w:r>
        <w:rPr>
          <w:color w:val="231F1F"/>
        </w:rPr>
        <w:t>de</w:t>
      </w:r>
      <w:r>
        <w:rPr>
          <w:color w:val="231F1F"/>
          <w:spacing w:val="34"/>
        </w:rPr>
        <w:t> </w:t>
      </w:r>
      <w:r>
        <w:rPr>
          <w:color w:val="231F1F"/>
        </w:rPr>
        <w:t>pH</w:t>
      </w:r>
      <w:r>
        <w:rPr>
          <w:color w:val="231F1F"/>
          <w:spacing w:val="33"/>
        </w:rPr>
        <w:t> </w:t>
      </w:r>
      <w:r>
        <w:rPr>
          <w:color w:val="231F1F"/>
          <w:spacing w:val="-2"/>
        </w:rPr>
        <w:t>fetal.</w:t>
      </w:r>
    </w:p>
    <w:p>
      <w:pPr>
        <w:pStyle w:val="BodyText"/>
        <w:spacing w:before="175"/>
      </w:pPr>
    </w:p>
    <w:p>
      <w:pPr>
        <w:spacing w:before="0"/>
        <w:ind w:left="283" w:right="0" w:firstLine="0"/>
        <w:jc w:val="left"/>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1242" w:hRule="atLeast"/>
        </w:trPr>
        <w:tc>
          <w:tcPr>
            <w:tcW w:w="7373" w:type="dxa"/>
          </w:tcPr>
          <w:p>
            <w:pPr>
              <w:pStyle w:val="TableParagraph"/>
              <w:spacing w:line="254" w:lineRule="auto" w:before="44"/>
              <w:ind w:right="156"/>
              <w:rPr>
                <w:sz w:val="22"/>
              </w:rPr>
            </w:pPr>
            <w:r>
              <w:rPr>
                <w:color w:val="231F1F"/>
                <w:w w:val="105"/>
                <w:sz w:val="22"/>
              </w:rPr>
              <w:t>La evidencia procedente de comparaciones indirectas sugiere que la MSF evita</w:t>
            </w:r>
            <w:r>
              <w:rPr>
                <w:color w:val="231F1F"/>
                <w:spacing w:val="36"/>
                <w:w w:val="105"/>
                <w:sz w:val="22"/>
              </w:rPr>
              <w:t> </w:t>
            </w:r>
            <w:r>
              <w:rPr>
                <w:color w:val="231F1F"/>
                <w:w w:val="105"/>
                <w:sz w:val="22"/>
              </w:rPr>
              <w:t>algunos</w:t>
            </w:r>
            <w:r>
              <w:rPr>
                <w:color w:val="231F1F"/>
                <w:spacing w:val="36"/>
                <w:w w:val="105"/>
                <w:sz w:val="22"/>
              </w:rPr>
              <w:t> </w:t>
            </w:r>
            <w:r>
              <w:rPr>
                <w:color w:val="231F1F"/>
                <w:w w:val="105"/>
                <w:sz w:val="22"/>
              </w:rPr>
              <w:t>partos</w:t>
            </w:r>
            <w:r>
              <w:rPr>
                <w:color w:val="231F1F"/>
                <w:spacing w:val="35"/>
                <w:w w:val="105"/>
                <w:sz w:val="22"/>
              </w:rPr>
              <w:t> </w:t>
            </w:r>
            <w:r>
              <w:rPr>
                <w:color w:val="231F1F"/>
                <w:w w:val="105"/>
                <w:sz w:val="22"/>
              </w:rPr>
              <w:t>instrumentados</w:t>
            </w:r>
            <w:r>
              <w:rPr>
                <w:color w:val="231F1F"/>
                <w:spacing w:val="35"/>
                <w:w w:val="105"/>
                <w:sz w:val="22"/>
              </w:rPr>
              <w:t> </w:t>
            </w:r>
            <w:r>
              <w:rPr>
                <w:color w:val="231F1F"/>
                <w:w w:val="105"/>
                <w:sz w:val="22"/>
              </w:rPr>
              <w:t>y</w:t>
            </w:r>
            <w:r>
              <w:rPr>
                <w:color w:val="231F1F"/>
                <w:spacing w:val="36"/>
                <w:w w:val="105"/>
                <w:sz w:val="22"/>
              </w:rPr>
              <w:t> </w:t>
            </w:r>
            <w:r>
              <w:rPr>
                <w:color w:val="231F1F"/>
                <w:w w:val="105"/>
                <w:sz w:val="22"/>
              </w:rPr>
              <w:t>cesáreas.</w:t>
            </w:r>
            <w:r>
              <w:rPr>
                <w:color w:val="231F1F"/>
                <w:spacing w:val="36"/>
                <w:w w:val="105"/>
                <w:sz w:val="22"/>
              </w:rPr>
              <w:t> </w:t>
            </w:r>
            <w:r>
              <w:rPr>
                <w:color w:val="231F1F"/>
                <w:w w:val="105"/>
                <w:sz w:val="22"/>
              </w:rPr>
              <w:t>El</w:t>
            </w:r>
            <w:r>
              <w:rPr>
                <w:color w:val="231F1F"/>
                <w:spacing w:val="35"/>
                <w:w w:val="105"/>
                <w:sz w:val="22"/>
              </w:rPr>
              <w:t> </w:t>
            </w:r>
            <w:r>
              <w:rPr>
                <w:color w:val="231F1F"/>
                <w:w w:val="105"/>
                <w:sz w:val="22"/>
              </w:rPr>
              <w:t>procedimiento</w:t>
            </w:r>
            <w:r>
              <w:rPr>
                <w:color w:val="231F1F"/>
                <w:spacing w:val="35"/>
                <w:w w:val="105"/>
                <w:sz w:val="22"/>
              </w:rPr>
              <w:t> </w:t>
            </w:r>
            <w:r>
              <w:rPr>
                <w:color w:val="231F1F"/>
                <w:w w:val="105"/>
                <w:sz w:val="22"/>
              </w:rPr>
              <w:t>que</w:t>
            </w:r>
            <w:r>
              <w:rPr>
                <w:color w:val="231F1F"/>
                <w:spacing w:val="35"/>
                <w:w w:val="105"/>
                <w:sz w:val="22"/>
              </w:rPr>
              <w:t> </w:t>
            </w:r>
            <w:r>
              <w:rPr>
                <w:color w:val="231F1F"/>
                <w:w w:val="105"/>
                <w:sz w:val="22"/>
              </w:rPr>
              <w:t>ha mostrado</w:t>
            </w:r>
            <w:r>
              <w:rPr>
                <w:color w:val="231F1F"/>
                <w:spacing w:val="-1"/>
                <w:w w:val="105"/>
                <w:sz w:val="22"/>
              </w:rPr>
              <w:t> </w:t>
            </w:r>
            <w:r>
              <w:rPr>
                <w:color w:val="231F1F"/>
                <w:w w:val="105"/>
                <w:sz w:val="22"/>
              </w:rPr>
              <w:t>más</w:t>
            </w:r>
            <w:r>
              <w:rPr>
                <w:color w:val="231F1F"/>
                <w:spacing w:val="-1"/>
                <w:w w:val="105"/>
                <w:sz w:val="22"/>
              </w:rPr>
              <w:t> </w:t>
            </w:r>
            <w:r>
              <w:rPr>
                <w:color w:val="231F1F"/>
                <w:w w:val="105"/>
                <w:sz w:val="22"/>
              </w:rPr>
              <w:t>utilidad</w:t>
            </w:r>
            <w:r>
              <w:rPr>
                <w:color w:val="231F1F"/>
                <w:spacing w:val="-1"/>
                <w:w w:val="105"/>
                <w:sz w:val="22"/>
              </w:rPr>
              <w:t> </w:t>
            </w:r>
            <w:r>
              <w:rPr>
                <w:color w:val="231F1F"/>
                <w:w w:val="105"/>
                <w:sz w:val="22"/>
              </w:rPr>
              <w:t>en</w:t>
            </w:r>
            <w:r>
              <w:rPr>
                <w:color w:val="231F1F"/>
                <w:spacing w:val="-1"/>
                <w:w w:val="105"/>
                <w:sz w:val="22"/>
              </w:rPr>
              <w:t> </w:t>
            </w:r>
            <w:r>
              <w:rPr>
                <w:color w:val="231F1F"/>
                <w:w w:val="105"/>
                <w:sz w:val="22"/>
              </w:rPr>
              <w:t>la</w:t>
            </w:r>
            <w:r>
              <w:rPr>
                <w:color w:val="231F1F"/>
                <w:spacing w:val="-2"/>
                <w:w w:val="105"/>
                <w:sz w:val="22"/>
              </w:rPr>
              <w:t> </w:t>
            </w:r>
            <w:r>
              <w:rPr>
                <w:color w:val="231F1F"/>
                <w:w w:val="105"/>
                <w:sz w:val="22"/>
              </w:rPr>
              <w:t>disminución</w:t>
            </w:r>
            <w:r>
              <w:rPr>
                <w:color w:val="231F1F"/>
                <w:spacing w:val="-1"/>
                <w:w w:val="105"/>
                <w:sz w:val="22"/>
              </w:rPr>
              <w:t> </w:t>
            </w:r>
            <w:r>
              <w:rPr>
                <w:color w:val="231F1F"/>
                <w:w w:val="105"/>
                <w:sz w:val="22"/>
              </w:rPr>
              <w:t>de</w:t>
            </w:r>
            <w:r>
              <w:rPr>
                <w:color w:val="231F1F"/>
                <w:spacing w:val="-2"/>
                <w:w w:val="105"/>
                <w:sz w:val="22"/>
              </w:rPr>
              <w:t> </w:t>
            </w:r>
            <w:r>
              <w:rPr>
                <w:color w:val="231F1F"/>
                <w:w w:val="105"/>
                <w:sz w:val="22"/>
              </w:rPr>
              <w:t>los</w:t>
            </w:r>
            <w:r>
              <w:rPr>
                <w:color w:val="231F1F"/>
                <w:spacing w:val="-1"/>
                <w:w w:val="105"/>
                <w:sz w:val="22"/>
              </w:rPr>
              <w:t> </w:t>
            </w:r>
            <w:r>
              <w:rPr>
                <w:color w:val="231F1F"/>
                <w:w w:val="105"/>
                <w:sz w:val="22"/>
              </w:rPr>
              <w:t>falsos</w:t>
            </w:r>
            <w:r>
              <w:rPr>
                <w:color w:val="231F1F"/>
                <w:spacing w:val="-1"/>
                <w:w w:val="105"/>
                <w:sz w:val="22"/>
              </w:rPr>
              <w:t> </w:t>
            </w:r>
            <w:r>
              <w:rPr>
                <w:color w:val="231F1F"/>
                <w:w w:val="105"/>
                <w:sz w:val="22"/>
              </w:rPr>
              <w:t>positivos</w:t>
            </w:r>
            <w:r>
              <w:rPr>
                <w:color w:val="231F1F"/>
                <w:spacing w:val="-1"/>
                <w:w w:val="105"/>
                <w:sz w:val="22"/>
              </w:rPr>
              <w:t> </w:t>
            </w:r>
            <w:r>
              <w:rPr>
                <w:color w:val="231F1F"/>
                <w:w w:val="105"/>
                <w:sz w:val="22"/>
              </w:rPr>
              <w:t>de</w:t>
            </w:r>
            <w:r>
              <w:rPr>
                <w:color w:val="231F1F"/>
                <w:spacing w:val="-2"/>
                <w:w w:val="105"/>
                <w:sz w:val="22"/>
              </w:rPr>
              <w:t> </w:t>
            </w:r>
            <w:r>
              <w:rPr>
                <w:color w:val="231F1F"/>
                <w:w w:val="105"/>
                <w:sz w:val="22"/>
              </w:rPr>
              <w:t>la</w:t>
            </w:r>
            <w:r>
              <w:rPr>
                <w:color w:val="231F1F"/>
                <w:spacing w:val="-2"/>
                <w:w w:val="105"/>
                <w:sz w:val="22"/>
              </w:rPr>
              <w:t> </w:t>
            </w:r>
            <w:r>
              <w:rPr>
                <w:color w:val="231F1F"/>
                <w:w w:val="105"/>
                <w:sz w:val="22"/>
              </w:rPr>
              <w:t>MEFC es la MSF (363;371).</w:t>
            </w:r>
          </w:p>
        </w:tc>
        <w:tc>
          <w:tcPr>
            <w:tcW w:w="1133" w:type="dxa"/>
          </w:tcPr>
          <w:p>
            <w:pPr>
              <w:pStyle w:val="TableParagraph"/>
              <w:spacing w:before="208"/>
              <w:ind w:left="0"/>
              <w:rPr>
                <w:rFonts w:ascii="Arial MT"/>
                <w:sz w:val="22"/>
              </w:rPr>
            </w:pPr>
          </w:p>
          <w:p>
            <w:pPr>
              <w:pStyle w:val="TableParagraph"/>
              <w:ind w:left="49" w:right="22"/>
              <w:jc w:val="center"/>
              <w:rPr>
                <w:sz w:val="22"/>
              </w:rPr>
            </w:pPr>
            <w:r>
              <w:rPr>
                <w:color w:val="231F1F"/>
                <w:spacing w:val="-5"/>
                <w:w w:val="115"/>
                <w:sz w:val="22"/>
              </w:rPr>
              <w:t>II</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after="1"/>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0"/>
                <w:sz w:val="22"/>
              </w:rPr>
              <w:t>B</w:t>
            </w:r>
          </w:p>
        </w:tc>
        <w:tc>
          <w:tcPr>
            <w:tcW w:w="8050" w:type="dxa"/>
          </w:tcPr>
          <w:p>
            <w:pPr>
              <w:pStyle w:val="TableParagraph"/>
              <w:spacing w:before="49"/>
              <w:rPr>
                <w:sz w:val="22"/>
              </w:rPr>
            </w:pPr>
            <w:r>
              <w:rPr>
                <w:color w:val="231F1F"/>
                <w:sz w:val="22"/>
              </w:rPr>
              <w:t>Se</w:t>
            </w:r>
            <w:r>
              <w:rPr>
                <w:color w:val="231F1F"/>
                <w:spacing w:val="27"/>
                <w:sz w:val="22"/>
              </w:rPr>
              <w:t> </w:t>
            </w:r>
            <w:r>
              <w:rPr>
                <w:color w:val="231F1F"/>
                <w:sz w:val="22"/>
              </w:rPr>
              <w:t>recomienda</w:t>
            </w:r>
            <w:r>
              <w:rPr>
                <w:color w:val="231F1F"/>
                <w:spacing w:val="32"/>
                <w:sz w:val="22"/>
              </w:rPr>
              <w:t> </w:t>
            </w:r>
            <w:r>
              <w:rPr>
                <w:color w:val="231F1F"/>
                <w:sz w:val="22"/>
              </w:rPr>
              <w:t>la</w:t>
            </w:r>
            <w:r>
              <w:rPr>
                <w:color w:val="231F1F"/>
                <w:spacing w:val="32"/>
                <w:sz w:val="22"/>
              </w:rPr>
              <w:t> </w:t>
            </w:r>
            <w:r>
              <w:rPr>
                <w:color w:val="231F1F"/>
                <w:sz w:val="22"/>
              </w:rPr>
              <w:t>recogida</w:t>
            </w:r>
            <w:r>
              <w:rPr>
                <w:color w:val="231F1F"/>
                <w:spacing w:val="32"/>
                <w:sz w:val="22"/>
              </w:rPr>
              <w:t> </w:t>
            </w:r>
            <w:r>
              <w:rPr>
                <w:color w:val="231F1F"/>
                <w:sz w:val="22"/>
              </w:rPr>
              <w:t>de</w:t>
            </w:r>
            <w:r>
              <w:rPr>
                <w:color w:val="231F1F"/>
                <w:spacing w:val="30"/>
                <w:sz w:val="22"/>
              </w:rPr>
              <w:t> </w:t>
            </w:r>
            <w:r>
              <w:rPr>
                <w:color w:val="231F1F"/>
                <w:sz w:val="22"/>
              </w:rPr>
              <w:t>MSF</w:t>
            </w:r>
            <w:r>
              <w:rPr>
                <w:color w:val="231F1F"/>
                <w:spacing w:val="33"/>
                <w:sz w:val="22"/>
              </w:rPr>
              <w:t> </w:t>
            </w:r>
            <w:r>
              <w:rPr>
                <w:color w:val="231F1F"/>
                <w:sz w:val="22"/>
              </w:rPr>
              <w:t>en</w:t>
            </w:r>
            <w:r>
              <w:rPr>
                <w:color w:val="231F1F"/>
                <w:spacing w:val="31"/>
                <w:sz w:val="22"/>
              </w:rPr>
              <w:t> </w:t>
            </w:r>
            <w:r>
              <w:rPr>
                <w:color w:val="231F1F"/>
                <w:sz w:val="22"/>
              </w:rPr>
              <w:t>presencia</w:t>
            </w:r>
            <w:r>
              <w:rPr>
                <w:color w:val="231F1F"/>
                <w:spacing w:val="30"/>
                <w:sz w:val="22"/>
              </w:rPr>
              <w:t> </w:t>
            </w:r>
            <w:r>
              <w:rPr>
                <w:color w:val="231F1F"/>
                <w:sz w:val="22"/>
              </w:rPr>
              <w:t>de</w:t>
            </w:r>
            <w:r>
              <w:rPr>
                <w:color w:val="231F1F"/>
                <w:spacing w:val="33"/>
                <w:sz w:val="22"/>
              </w:rPr>
              <w:t> </w:t>
            </w:r>
            <w:r>
              <w:rPr>
                <w:color w:val="231F1F"/>
                <w:sz w:val="22"/>
              </w:rPr>
              <w:t>un</w:t>
            </w:r>
            <w:r>
              <w:rPr>
                <w:color w:val="231F1F"/>
                <w:spacing w:val="30"/>
                <w:sz w:val="22"/>
              </w:rPr>
              <w:t> </w:t>
            </w:r>
            <w:r>
              <w:rPr>
                <w:color w:val="231F1F"/>
                <w:sz w:val="22"/>
              </w:rPr>
              <w:t>registro</w:t>
            </w:r>
            <w:r>
              <w:rPr>
                <w:color w:val="231F1F"/>
                <w:spacing w:val="31"/>
                <w:sz w:val="22"/>
              </w:rPr>
              <w:t> </w:t>
            </w:r>
            <w:r>
              <w:rPr>
                <w:color w:val="231F1F"/>
                <w:sz w:val="22"/>
              </w:rPr>
              <w:t>CTG</w:t>
            </w:r>
            <w:r>
              <w:rPr>
                <w:color w:val="231F1F"/>
                <w:spacing w:val="32"/>
                <w:sz w:val="22"/>
              </w:rPr>
              <w:t> </w:t>
            </w:r>
            <w:r>
              <w:rPr>
                <w:color w:val="231F1F"/>
                <w:spacing w:val="-2"/>
                <w:sz w:val="22"/>
              </w:rPr>
              <w:t>patológico.</w:t>
            </w:r>
          </w:p>
        </w:tc>
      </w:tr>
    </w:tbl>
    <w:p>
      <w:pPr>
        <w:pStyle w:val="TableParagraph"/>
        <w:spacing w:after="0"/>
        <w:rPr>
          <w:sz w:val="22"/>
        </w:rPr>
        <w:sectPr>
          <w:pgSz w:w="11900" w:h="16840"/>
          <w:pgMar w:header="0" w:footer="622" w:top="1560" w:bottom="820" w:left="1417" w:right="1559"/>
        </w:sectPr>
      </w:pPr>
    </w:p>
    <w:p>
      <w:pPr>
        <w:pStyle w:val="Heading2"/>
        <w:numPr>
          <w:ilvl w:val="2"/>
          <w:numId w:val="2"/>
        </w:numPr>
        <w:tabs>
          <w:tab w:pos="1182" w:val="left" w:leader="none"/>
          <w:tab w:pos="1186" w:val="left" w:leader="none"/>
        </w:tabs>
        <w:spacing w:line="232" w:lineRule="auto" w:before="77" w:after="0"/>
        <w:ind w:left="1186" w:right="649" w:hanging="905"/>
        <w:jc w:val="left"/>
      </w:pPr>
      <w:r>
        <w:rPr>
          <w:color w:val="231F1F"/>
        </w:rPr>
        <w:t>MEFC con o sin estimulación de la calota fetal</w:t>
      </w:r>
      <w:r>
        <w:rPr>
          <w:color w:val="231F1F"/>
          <w:spacing w:val="80"/>
        </w:rPr>
        <w:t> </w:t>
      </w:r>
      <w:r>
        <w:rPr>
          <w:color w:val="231F1F"/>
        </w:rPr>
        <w:t>cuando</w:t>
      </w:r>
      <w:r>
        <w:rPr>
          <w:color w:val="231F1F"/>
          <w:spacing w:val="80"/>
        </w:rPr>
        <w:t> </w:t>
      </w:r>
      <w:r>
        <w:rPr>
          <w:color w:val="231F1F"/>
        </w:rPr>
        <w:t>se</w:t>
      </w:r>
      <w:r>
        <w:rPr>
          <w:color w:val="231F1F"/>
          <w:spacing w:val="80"/>
        </w:rPr>
        <w:t> </w:t>
      </w:r>
      <w:r>
        <w:rPr>
          <w:color w:val="231F1F"/>
        </w:rPr>
        <w:t>presentan</w:t>
      </w:r>
      <w:r>
        <w:rPr>
          <w:color w:val="231F1F"/>
          <w:spacing w:val="80"/>
        </w:rPr>
        <w:t> </w:t>
      </w:r>
      <w:r>
        <w:rPr>
          <w:color w:val="231F1F"/>
        </w:rPr>
        <w:t>alteraciones</w:t>
      </w:r>
      <w:r>
        <w:rPr>
          <w:color w:val="231F1F"/>
          <w:spacing w:val="80"/>
        </w:rPr>
        <w:t> </w:t>
      </w:r>
      <w:r>
        <w:rPr>
          <w:color w:val="231F1F"/>
        </w:rPr>
        <w:t>de</w:t>
      </w:r>
      <w:r>
        <w:rPr>
          <w:color w:val="231F1F"/>
          <w:spacing w:val="80"/>
        </w:rPr>
        <w:t> </w:t>
      </w:r>
      <w:r>
        <w:rPr>
          <w:color w:val="231F1F"/>
        </w:rPr>
        <w:t>la</w:t>
      </w:r>
      <w:r>
        <w:rPr>
          <w:color w:val="231F1F"/>
          <w:spacing w:val="80"/>
        </w:rPr>
        <w:t> </w:t>
      </w:r>
      <w:r>
        <w:rPr>
          <w:color w:val="231F1F"/>
        </w:rPr>
        <w:t>FCF</w:t>
      </w:r>
    </w:p>
    <w:p>
      <w:pPr>
        <w:pStyle w:val="BodyText"/>
        <w:spacing w:before="24"/>
        <w:rPr>
          <w:sz w:val="20"/>
        </w:rPr>
      </w:pPr>
      <w:r>
        <w:rPr>
          <w:sz w:val="20"/>
        </w:rPr>
        <mc:AlternateContent>
          <mc:Choice Requires="wps">
            <w:drawing>
              <wp:anchor distT="0" distB="0" distL="0" distR="0" allowOverlap="1" layoutInCell="1" locked="0" behindDoc="1" simplePos="0" relativeHeight="487633408">
                <wp:simplePos x="0" y="0"/>
                <wp:positionH relativeFrom="page">
                  <wp:posOffset>1082675</wp:posOffset>
                </wp:positionH>
                <wp:positionV relativeFrom="paragraph">
                  <wp:posOffset>180281</wp:posOffset>
                </wp:positionV>
                <wp:extent cx="5400040" cy="617855"/>
                <wp:effectExtent l="0" t="0" r="0" b="0"/>
                <wp:wrapTopAndBottom/>
                <wp:docPr id="151" name="Textbox 151"/>
                <wp:cNvGraphicFramePr>
                  <a:graphicFrameLocks/>
                </wp:cNvGraphicFramePr>
                <a:graphic>
                  <a:graphicData uri="http://schemas.microsoft.com/office/word/2010/wordprocessingShape">
                    <wps:wsp>
                      <wps:cNvPr id="151" name="Textbox 151"/>
                      <wps:cNvSpPr txBox="1"/>
                      <wps:spPr>
                        <a:xfrm>
                          <a:off x="0" y="0"/>
                          <a:ext cx="5400040" cy="617855"/>
                        </a:xfrm>
                        <a:prstGeom prst="rect">
                          <a:avLst/>
                        </a:prstGeom>
                        <a:ln w="6350">
                          <a:solidFill>
                            <a:srgbClr val="A30046"/>
                          </a:solidFill>
                          <a:prstDash val="solid"/>
                        </a:ln>
                      </wps:spPr>
                      <wps:txbx>
                        <w:txbxContent>
                          <w:p>
                            <w:pPr>
                              <w:pStyle w:val="BodyText"/>
                              <w:numPr>
                                <w:ilvl w:val="0"/>
                                <w:numId w:val="94"/>
                              </w:numPr>
                              <w:tabs>
                                <w:tab w:pos="329" w:val="left" w:leader="none"/>
                                <w:tab w:pos="333" w:val="left" w:leader="none"/>
                              </w:tabs>
                              <w:spacing w:line="244" w:lineRule="auto" w:before="46" w:after="0"/>
                              <w:ind w:left="333" w:right="99" w:hanging="230"/>
                              <w:jc w:val="both"/>
                            </w:pPr>
                            <w:r>
                              <w:rPr>
                                <w:color w:val="231F1F"/>
                                <w:w w:val="110"/>
                              </w:rPr>
                              <w:t>¿Cuál es la</w:t>
                            </w:r>
                            <w:r>
                              <w:rPr>
                                <w:color w:val="231F1F"/>
                                <w:w w:val="110"/>
                              </w:rPr>
                              <w:t> efectividad</w:t>
                            </w:r>
                            <w:r>
                              <w:rPr>
                                <w:color w:val="231F1F"/>
                                <w:w w:val="110"/>
                              </w:rPr>
                              <w:t> de</w:t>
                            </w:r>
                            <w:r>
                              <w:rPr>
                                <w:color w:val="231F1F"/>
                                <w:w w:val="110"/>
                              </w:rPr>
                              <w:t> los siguientes métodos de</w:t>
                            </w:r>
                            <w:r>
                              <w:rPr>
                                <w:color w:val="231F1F"/>
                                <w:w w:val="110"/>
                              </w:rPr>
                              <w:t> monitorización</w:t>
                            </w:r>
                            <w:r>
                              <w:rPr>
                                <w:color w:val="231F1F"/>
                                <w:w w:val="110"/>
                              </w:rPr>
                              <w:t> fetal: MEFC con</w:t>
                            </w:r>
                            <w:r>
                              <w:rPr>
                                <w:color w:val="231F1F"/>
                                <w:w w:val="110"/>
                              </w:rPr>
                              <w:t> o</w:t>
                            </w:r>
                            <w:r>
                              <w:rPr>
                                <w:color w:val="231F1F"/>
                                <w:w w:val="110"/>
                              </w:rPr>
                              <w:t> sin</w:t>
                            </w:r>
                            <w:r>
                              <w:rPr>
                                <w:color w:val="231F1F"/>
                                <w:w w:val="110"/>
                              </w:rPr>
                              <w:t> estimulación</w:t>
                            </w:r>
                            <w:r>
                              <w:rPr>
                                <w:color w:val="231F1F"/>
                                <w:w w:val="110"/>
                              </w:rPr>
                              <w:t> de</w:t>
                            </w:r>
                            <w:r>
                              <w:rPr>
                                <w:color w:val="231F1F"/>
                                <w:w w:val="110"/>
                              </w:rPr>
                              <w:t> la</w:t>
                            </w:r>
                            <w:r>
                              <w:rPr>
                                <w:color w:val="231F1F"/>
                                <w:w w:val="110"/>
                              </w:rPr>
                              <w:t> calota</w:t>
                            </w:r>
                            <w:r>
                              <w:rPr>
                                <w:color w:val="231F1F"/>
                                <w:w w:val="110"/>
                              </w:rPr>
                              <w:t> fetal</w:t>
                            </w:r>
                            <w:r>
                              <w:rPr>
                                <w:color w:val="231F1F"/>
                                <w:w w:val="110"/>
                              </w:rPr>
                              <w:t> cuando</w:t>
                            </w:r>
                            <w:r>
                              <w:rPr>
                                <w:color w:val="231F1F"/>
                                <w:w w:val="110"/>
                              </w:rPr>
                              <w:t> se</w:t>
                            </w:r>
                            <w:r>
                              <w:rPr>
                                <w:color w:val="231F1F"/>
                                <w:w w:val="110"/>
                              </w:rPr>
                              <w:t> presentan</w:t>
                            </w:r>
                            <w:r>
                              <w:rPr>
                                <w:color w:val="231F1F"/>
                                <w:w w:val="110"/>
                              </w:rPr>
                              <w:t> alteraciones</w:t>
                            </w:r>
                            <w:r>
                              <w:rPr>
                                <w:color w:val="231F1F"/>
                                <w:w w:val="110"/>
                              </w:rPr>
                              <w:t> de</w:t>
                            </w:r>
                            <w:r>
                              <w:rPr>
                                <w:color w:val="231F1F"/>
                                <w:w w:val="110"/>
                              </w:rPr>
                              <w:t> la </w:t>
                            </w:r>
                            <w:r>
                              <w:rPr>
                                <w:color w:val="231F1F"/>
                                <w:spacing w:val="-4"/>
                                <w:w w:val="110"/>
                              </w:rPr>
                              <w:t>FCF?</w:t>
                            </w:r>
                          </w:p>
                        </w:txbxContent>
                      </wps:txbx>
                      <wps:bodyPr wrap="square" lIns="0" tIns="0" rIns="0" bIns="0" rtlCol="0">
                        <a:noAutofit/>
                      </wps:bodyPr>
                    </wps:wsp>
                  </a:graphicData>
                </a:graphic>
              </wp:anchor>
            </w:drawing>
          </mc:Choice>
          <mc:Fallback>
            <w:pict>
              <v:shape style="position:absolute;margin-left:85.25pt;margin-top:14.19541pt;width:425.2pt;height:48.65pt;mso-position-horizontal-relative:page;mso-position-vertical-relative:paragraph;z-index:-15683072;mso-wrap-distance-left:0;mso-wrap-distance-right:0" type="#_x0000_t202" id="docshape140" filled="false" stroked="true" strokeweight=".5pt" strokecolor="#a30046">
                <v:textbox inset="0,0,0,0">
                  <w:txbxContent>
                    <w:p>
                      <w:pPr>
                        <w:pStyle w:val="BodyText"/>
                        <w:numPr>
                          <w:ilvl w:val="0"/>
                          <w:numId w:val="94"/>
                        </w:numPr>
                        <w:tabs>
                          <w:tab w:pos="329" w:val="left" w:leader="none"/>
                          <w:tab w:pos="333" w:val="left" w:leader="none"/>
                        </w:tabs>
                        <w:spacing w:line="244" w:lineRule="auto" w:before="46" w:after="0"/>
                        <w:ind w:left="333" w:right="99" w:hanging="230"/>
                        <w:jc w:val="both"/>
                      </w:pPr>
                      <w:r>
                        <w:rPr>
                          <w:color w:val="231F1F"/>
                          <w:w w:val="110"/>
                        </w:rPr>
                        <w:t>¿Cuál es la</w:t>
                      </w:r>
                      <w:r>
                        <w:rPr>
                          <w:color w:val="231F1F"/>
                          <w:w w:val="110"/>
                        </w:rPr>
                        <w:t> efectividad</w:t>
                      </w:r>
                      <w:r>
                        <w:rPr>
                          <w:color w:val="231F1F"/>
                          <w:w w:val="110"/>
                        </w:rPr>
                        <w:t> de</w:t>
                      </w:r>
                      <w:r>
                        <w:rPr>
                          <w:color w:val="231F1F"/>
                          <w:w w:val="110"/>
                        </w:rPr>
                        <w:t> los siguientes métodos de</w:t>
                      </w:r>
                      <w:r>
                        <w:rPr>
                          <w:color w:val="231F1F"/>
                          <w:w w:val="110"/>
                        </w:rPr>
                        <w:t> monitorización</w:t>
                      </w:r>
                      <w:r>
                        <w:rPr>
                          <w:color w:val="231F1F"/>
                          <w:w w:val="110"/>
                        </w:rPr>
                        <w:t> fetal: MEFC con</w:t>
                      </w:r>
                      <w:r>
                        <w:rPr>
                          <w:color w:val="231F1F"/>
                          <w:w w:val="110"/>
                        </w:rPr>
                        <w:t> o</w:t>
                      </w:r>
                      <w:r>
                        <w:rPr>
                          <w:color w:val="231F1F"/>
                          <w:w w:val="110"/>
                        </w:rPr>
                        <w:t> sin</w:t>
                      </w:r>
                      <w:r>
                        <w:rPr>
                          <w:color w:val="231F1F"/>
                          <w:w w:val="110"/>
                        </w:rPr>
                        <w:t> estimulación</w:t>
                      </w:r>
                      <w:r>
                        <w:rPr>
                          <w:color w:val="231F1F"/>
                          <w:w w:val="110"/>
                        </w:rPr>
                        <w:t> de</w:t>
                      </w:r>
                      <w:r>
                        <w:rPr>
                          <w:color w:val="231F1F"/>
                          <w:w w:val="110"/>
                        </w:rPr>
                        <w:t> la</w:t>
                      </w:r>
                      <w:r>
                        <w:rPr>
                          <w:color w:val="231F1F"/>
                          <w:w w:val="110"/>
                        </w:rPr>
                        <w:t> calota</w:t>
                      </w:r>
                      <w:r>
                        <w:rPr>
                          <w:color w:val="231F1F"/>
                          <w:w w:val="110"/>
                        </w:rPr>
                        <w:t> fetal</w:t>
                      </w:r>
                      <w:r>
                        <w:rPr>
                          <w:color w:val="231F1F"/>
                          <w:w w:val="110"/>
                        </w:rPr>
                        <w:t> cuando</w:t>
                      </w:r>
                      <w:r>
                        <w:rPr>
                          <w:color w:val="231F1F"/>
                          <w:w w:val="110"/>
                        </w:rPr>
                        <w:t> se</w:t>
                      </w:r>
                      <w:r>
                        <w:rPr>
                          <w:color w:val="231F1F"/>
                          <w:w w:val="110"/>
                        </w:rPr>
                        <w:t> presentan</w:t>
                      </w:r>
                      <w:r>
                        <w:rPr>
                          <w:color w:val="231F1F"/>
                          <w:w w:val="110"/>
                        </w:rPr>
                        <w:t> alteraciones</w:t>
                      </w:r>
                      <w:r>
                        <w:rPr>
                          <w:color w:val="231F1F"/>
                          <w:w w:val="110"/>
                        </w:rPr>
                        <w:t> de</w:t>
                      </w:r>
                      <w:r>
                        <w:rPr>
                          <w:color w:val="231F1F"/>
                          <w:w w:val="110"/>
                        </w:rPr>
                        <w:t> la </w:t>
                      </w:r>
                      <w:r>
                        <w:rPr>
                          <w:color w:val="231F1F"/>
                          <w:spacing w:val="-4"/>
                          <w:w w:val="110"/>
                        </w:rPr>
                        <w:t>FCF?</w:t>
                      </w:r>
                    </w:p>
                  </w:txbxContent>
                </v:textbox>
                <v:stroke dashstyle="solid"/>
                <w10:wrap type="topAndBottom"/>
              </v:shape>
            </w:pict>
          </mc:Fallback>
        </mc:AlternateContent>
      </w:r>
    </w:p>
    <w:p>
      <w:pPr>
        <w:pStyle w:val="BodyText"/>
        <w:spacing w:line="249" w:lineRule="auto" w:before="331"/>
        <w:ind w:left="283" w:right="122"/>
        <w:jc w:val="both"/>
      </w:pPr>
      <w:r>
        <w:rPr>
          <w:color w:val="231F1F"/>
          <w:w w:val="105"/>
        </w:rPr>
        <w:t>Muchos</w:t>
      </w:r>
      <w:r>
        <w:rPr>
          <w:color w:val="231F1F"/>
          <w:spacing w:val="-5"/>
          <w:w w:val="105"/>
        </w:rPr>
        <w:t> </w:t>
      </w:r>
      <w:r>
        <w:rPr>
          <w:color w:val="231F1F"/>
          <w:w w:val="105"/>
        </w:rPr>
        <w:t>centros</w:t>
      </w:r>
      <w:r>
        <w:rPr>
          <w:color w:val="231F1F"/>
          <w:spacing w:val="-5"/>
          <w:w w:val="105"/>
        </w:rPr>
        <w:t> </w:t>
      </w:r>
      <w:r>
        <w:rPr>
          <w:color w:val="231F1F"/>
          <w:w w:val="105"/>
        </w:rPr>
        <w:t>han</w:t>
      </w:r>
      <w:r>
        <w:rPr>
          <w:color w:val="231F1F"/>
          <w:spacing w:val="-5"/>
          <w:w w:val="105"/>
        </w:rPr>
        <w:t> </w:t>
      </w:r>
      <w:r>
        <w:rPr>
          <w:color w:val="231F1F"/>
          <w:w w:val="105"/>
        </w:rPr>
        <w:t>disminuido</w:t>
      </w:r>
      <w:r>
        <w:rPr>
          <w:color w:val="231F1F"/>
          <w:spacing w:val="-5"/>
          <w:w w:val="105"/>
        </w:rPr>
        <w:t> </w:t>
      </w:r>
      <w:r>
        <w:rPr>
          <w:color w:val="231F1F"/>
          <w:w w:val="105"/>
        </w:rPr>
        <w:t>el</w:t>
      </w:r>
      <w:r>
        <w:rPr>
          <w:color w:val="231F1F"/>
          <w:spacing w:val="-5"/>
          <w:w w:val="105"/>
        </w:rPr>
        <w:t> </w:t>
      </w:r>
      <w:r>
        <w:rPr>
          <w:color w:val="231F1F"/>
          <w:w w:val="105"/>
        </w:rPr>
        <w:t>uso</w:t>
      </w:r>
      <w:r>
        <w:rPr>
          <w:color w:val="231F1F"/>
          <w:spacing w:val="-5"/>
          <w:w w:val="105"/>
        </w:rPr>
        <w:t> </w:t>
      </w:r>
      <w:r>
        <w:rPr>
          <w:color w:val="231F1F"/>
          <w:w w:val="105"/>
        </w:rPr>
        <w:t>de</w:t>
      </w:r>
      <w:r>
        <w:rPr>
          <w:color w:val="231F1F"/>
          <w:spacing w:val="-5"/>
          <w:w w:val="105"/>
        </w:rPr>
        <w:t> </w:t>
      </w:r>
      <w:r>
        <w:rPr>
          <w:color w:val="231F1F"/>
          <w:w w:val="105"/>
        </w:rPr>
        <w:t>MSF</w:t>
      </w:r>
      <w:r>
        <w:rPr>
          <w:color w:val="231F1F"/>
          <w:spacing w:val="-5"/>
          <w:w w:val="105"/>
        </w:rPr>
        <w:t> </w:t>
      </w:r>
      <w:r>
        <w:rPr>
          <w:color w:val="231F1F"/>
          <w:w w:val="105"/>
        </w:rPr>
        <w:t>para</w:t>
      </w:r>
      <w:r>
        <w:rPr>
          <w:color w:val="231F1F"/>
          <w:spacing w:val="-5"/>
          <w:w w:val="105"/>
        </w:rPr>
        <w:t> </w:t>
      </w:r>
      <w:r>
        <w:rPr>
          <w:color w:val="231F1F"/>
          <w:w w:val="105"/>
        </w:rPr>
        <w:t>la</w:t>
      </w:r>
      <w:r>
        <w:rPr>
          <w:color w:val="231F1F"/>
          <w:spacing w:val="-5"/>
          <w:w w:val="105"/>
        </w:rPr>
        <w:t> </w:t>
      </w:r>
      <w:r>
        <w:rPr>
          <w:color w:val="231F1F"/>
          <w:w w:val="105"/>
        </w:rPr>
        <w:t>determinación</w:t>
      </w:r>
      <w:r>
        <w:rPr>
          <w:color w:val="231F1F"/>
          <w:spacing w:val="-5"/>
          <w:w w:val="105"/>
        </w:rPr>
        <w:t> </w:t>
      </w:r>
      <w:r>
        <w:rPr>
          <w:color w:val="231F1F"/>
          <w:w w:val="105"/>
        </w:rPr>
        <w:t>del</w:t>
      </w:r>
      <w:r>
        <w:rPr>
          <w:color w:val="231F1F"/>
          <w:spacing w:val="-5"/>
          <w:w w:val="105"/>
        </w:rPr>
        <w:t> </w:t>
      </w:r>
      <w:r>
        <w:rPr>
          <w:color w:val="231F1F"/>
          <w:w w:val="105"/>
        </w:rPr>
        <w:t>pH</w:t>
      </w:r>
      <w:r>
        <w:rPr>
          <w:color w:val="231F1F"/>
          <w:spacing w:val="-5"/>
          <w:w w:val="105"/>
        </w:rPr>
        <w:t> </w:t>
      </w:r>
      <w:r>
        <w:rPr>
          <w:color w:val="231F1F"/>
          <w:w w:val="105"/>
        </w:rPr>
        <w:t>(372)</w:t>
      </w:r>
      <w:r>
        <w:rPr>
          <w:color w:val="231F1F"/>
          <w:spacing w:val="-5"/>
          <w:w w:val="105"/>
        </w:rPr>
        <w:t> </w:t>
      </w:r>
      <w:r>
        <w:rPr>
          <w:color w:val="231F1F"/>
          <w:w w:val="105"/>
        </w:rPr>
        <w:t>sin</w:t>
      </w:r>
      <w:r>
        <w:rPr>
          <w:color w:val="231F1F"/>
          <w:spacing w:val="-5"/>
          <w:w w:val="105"/>
        </w:rPr>
        <w:t> </w:t>
      </w:r>
      <w:r>
        <w:rPr>
          <w:color w:val="231F1F"/>
          <w:w w:val="105"/>
        </w:rPr>
        <w:t>haber sufrido un impacto negativo en la morbi-mortalidad neonatal. Esto ha sido posible gracias</w:t>
      </w:r>
      <w:r>
        <w:rPr>
          <w:color w:val="231F1F"/>
          <w:spacing w:val="40"/>
          <w:w w:val="105"/>
        </w:rPr>
        <w:t> </w:t>
      </w:r>
      <w:r>
        <w:rPr>
          <w:color w:val="231F1F"/>
          <w:w w:val="105"/>
        </w:rPr>
        <w:t>al aumento</w:t>
      </w:r>
      <w:r>
        <w:rPr>
          <w:color w:val="231F1F"/>
          <w:spacing w:val="33"/>
          <w:w w:val="105"/>
        </w:rPr>
        <w:t> </w:t>
      </w:r>
      <w:r>
        <w:rPr>
          <w:color w:val="231F1F"/>
          <w:w w:val="105"/>
        </w:rPr>
        <w:t>de</w:t>
      </w:r>
      <w:r>
        <w:rPr>
          <w:color w:val="231F1F"/>
          <w:spacing w:val="33"/>
          <w:w w:val="105"/>
        </w:rPr>
        <w:t> </w:t>
      </w:r>
      <w:r>
        <w:rPr>
          <w:color w:val="231F1F"/>
          <w:w w:val="105"/>
        </w:rPr>
        <w:t>la</w:t>
      </w:r>
      <w:r>
        <w:rPr>
          <w:color w:val="231F1F"/>
          <w:spacing w:val="33"/>
          <w:w w:val="105"/>
        </w:rPr>
        <w:t> </w:t>
      </w:r>
      <w:r>
        <w:rPr>
          <w:color w:val="231F1F"/>
          <w:w w:val="105"/>
        </w:rPr>
        <w:t>utilización</w:t>
      </w:r>
      <w:r>
        <w:rPr>
          <w:color w:val="231F1F"/>
          <w:spacing w:val="33"/>
          <w:w w:val="105"/>
        </w:rPr>
        <w:t> </w:t>
      </w:r>
      <w:r>
        <w:rPr>
          <w:color w:val="231F1F"/>
          <w:w w:val="105"/>
        </w:rPr>
        <w:t>del test de</w:t>
      </w:r>
      <w:r>
        <w:rPr>
          <w:color w:val="231F1F"/>
          <w:spacing w:val="33"/>
          <w:w w:val="105"/>
        </w:rPr>
        <w:t> </w:t>
      </w:r>
      <w:r>
        <w:rPr>
          <w:color w:val="231F1F"/>
          <w:w w:val="105"/>
        </w:rPr>
        <w:t>estimulación</w:t>
      </w:r>
      <w:r>
        <w:rPr>
          <w:color w:val="231F1F"/>
          <w:spacing w:val="34"/>
          <w:w w:val="105"/>
        </w:rPr>
        <w:t> </w:t>
      </w:r>
      <w:r>
        <w:rPr>
          <w:color w:val="231F1F"/>
          <w:w w:val="105"/>
        </w:rPr>
        <w:t>fetal, técnica</w:t>
      </w:r>
      <w:r>
        <w:rPr>
          <w:color w:val="231F1F"/>
          <w:spacing w:val="34"/>
          <w:w w:val="105"/>
        </w:rPr>
        <w:t> </w:t>
      </w:r>
      <w:r>
        <w:rPr>
          <w:color w:val="231F1F"/>
          <w:w w:val="105"/>
        </w:rPr>
        <w:t>que</w:t>
      </w:r>
      <w:r>
        <w:rPr>
          <w:color w:val="231F1F"/>
          <w:spacing w:val="33"/>
          <w:w w:val="105"/>
        </w:rPr>
        <w:t> </w:t>
      </w:r>
      <w:r>
        <w:rPr>
          <w:color w:val="231F1F"/>
          <w:w w:val="105"/>
        </w:rPr>
        <w:t>se</w:t>
      </w:r>
      <w:r>
        <w:rPr>
          <w:color w:val="231F1F"/>
          <w:spacing w:val="33"/>
          <w:w w:val="105"/>
        </w:rPr>
        <w:t> </w:t>
      </w:r>
      <w:r>
        <w:rPr>
          <w:color w:val="231F1F"/>
          <w:w w:val="105"/>
        </w:rPr>
        <w:t>presenta</w:t>
      </w:r>
      <w:r>
        <w:rPr>
          <w:color w:val="231F1F"/>
          <w:spacing w:val="33"/>
          <w:w w:val="105"/>
        </w:rPr>
        <w:t> </w:t>
      </w:r>
      <w:r>
        <w:rPr>
          <w:color w:val="231F1F"/>
          <w:w w:val="105"/>
        </w:rPr>
        <w:t>como una</w:t>
      </w:r>
      <w:r>
        <w:rPr>
          <w:color w:val="231F1F"/>
          <w:spacing w:val="40"/>
          <w:w w:val="105"/>
        </w:rPr>
        <w:t> </w:t>
      </w:r>
      <w:r>
        <w:rPr>
          <w:color w:val="231F1F"/>
          <w:w w:val="105"/>
        </w:rPr>
        <w:t>alternativa</w:t>
      </w:r>
      <w:r>
        <w:rPr>
          <w:color w:val="231F1F"/>
          <w:spacing w:val="40"/>
          <w:w w:val="105"/>
        </w:rPr>
        <w:t> </w:t>
      </w:r>
      <w:r>
        <w:rPr>
          <w:color w:val="231F1F"/>
          <w:w w:val="105"/>
        </w:rPr>
        <w:t>menos</w:t>
      </w:r>
      <w:r>
        <w:rPr>
          <w:color w:val="231F1F"/>
          <w:spacing w:val="40"/>
          <w:w w:val="105"/>
        </w:rPr>
        <w:t> </w:t>
      </w:r>
      <w:r>
        <w:rPr>
          <w:color w:val="231F1F"/>
          <w:w w:val="105"/>
        </w:rPr>
        <w:t>invasiva</w:t>
      </w:r>
      <w:r>
        <w:rPr>
          <w:color w:val="231F1F"/>
          <w:spacing w:val="40"/>
          <w:w w:val="105"/>
        </w:rPr>
        <w:t> </w:t>
      </w:r>
      <w:r>
        <w:rPr>
          <w:color w:val="231F1F"/>
          <w:w w:val="105"/>
        </w:rPr>
        <w:t>y</w:t>
      </w:r>
      <w:r>
        <w:rPr>
          <w:color w:val="231F1F"/>
          <w:spacing w:val="40"/>
          <w:w w:val="105"/>
        </w:rPr>
        <w:t> </w:t>
      </w:r>
      <w:r>
        <w:rPr>
          <w:color w:val="231F1F"/>
          <w:w w:val="105"/>
        </w:rPr>
        <w:t>que</w:t>
      </w:r>
      <w:r>
        <w:rPr>
          <w:color w:val="231F1F"/>
          <w:spacing w:val="40"/>
          <w:w w:val="105"/>
        </w:rPr>
        <w:t> </w:t>
      </w:r>
      <w:r>
        <w:rPr>
          <w:color w:val="231F1F"/>
          <w:w w:val="105"/>
        </w:rPr>
        <w:t>permite</w:t>
      </w:r>
      <w:r>
        <w:rPr>
          <w:color w:val="231F1F"/>
          <w:spacing w:val="40"/>
          <w:w w:val="105"/>
        </w:rPr>
        <w:t> </w:t>
      </w:r>
      <w:r>
        <w:rPr>
          <w:color w:val="231F1F"/>
          <w:w w:val="105"/>
        </w:rPr>
        <w:t>una</w:t>
      </w:r>
      <w:r>
        <w:rPr>
          <w:color w:val="231F1F"/>
          <w:spacing w:val="40"/>
          <w:w w:val="105"/>
        </w:rPr>
        <w:t> </w:t>
      </w:r>
      <w:r>
        <w:rPr>
          <w:color w:val="231F1F"/>
          <w:w w:val="105"/>
        </w:rPr>
        <w:t>menor</w:t>
      </w:r>
      <w:r>
        <w:rPr>
          <w:color w:val="231F1F"/>
          <w:spacing w:val="40"/>
          <w:w w:val="105"/>
        </w:rPr>
        <w:t> </w:t>
      </w:r>
      <w:r>
        <w:rPr>
          <w:color w:val="231F1F"/>
          <w:w w:val="105"/>
        </w:rPr>
        <w:t>dependencia</w:t>
      </w:r>
      <w:r>
        <w:rPr>
          <w:color w:val="231F1F"/>
          <w:spacing w:val="40"/>
          <w:w w:val="105"/>
        </w:rPr>
        <w:t> </w:t>
      </w:r>
      <w:r>
        <w:rPr>
          <w:color w:val="231F1F"/>
          <w:w w:val="105"/>
        </w:rPr>
        <w:t>a</w:t>
      </w:r>
      <w:r>
        <w:rPr>
          <w:color w:val="231F1F"/>
          <w:spacing w:val="40"/>
          <w:w w:val="105"/>
        </w:rPr>
        <w:t> </w:t>
      </w:r>
      <w:r>
        <w:rPr>
          <w:color w:val="231F1F"/>
          <w:w w:val="105"/>
        </w:rPr>
        <w:t>la</w:t>
      </w:r>
      <w:r>
        <w:rPr>
          <w:color w:val="231F1F"/>
          <w:spacing w:val="40"/>
          <w:w w:val="105"/>
        </w:rPr>
        <w:t> </w:t>
      </w:r>
      <w:r>
        <w:rPr>
          <w:color w:val="231F1F"/>
          <w:w w:val="105"/>
        </w:rPr>
        <w:t>MSF.</w:t>
      </w:r>
    </w:p>
    <w:p>
      <w:pPr>
        <w:pStyle w:val="BodyText"/>
        <w:spacing w:before="163"/>
      </w:pPr>
    </w:p>
    <w:p>
      <w:pPr>
        <w:spacing w:before="0"/>
        <w:ind w:left="283" w:right="0" w:firstLine="0"/>
        <w:jc w:val="both"/>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line="247" w:lineRule="auto" w:before="209"/>
        <w:ind w:left="283" w:right="1356"/>
        <w:jc w:val="both"/>
      </w:pPr>
      <w:r>
        <w:rPr>
          <w:color w:val="231F1F"/>
          <w:w w:val="110"/>
        </w:rPr>
        <w:t>Para</w:t>
      </w:r>
      <w:r>
        <w:rPr>
          <w:color w:val="231F1F"/>
          <w:w w:val="110"/>
        </w:rPr>
        <w:t> responder</w:t>
      </w:r>
      <w:r>
        <w:rPr>
          <w:color w:val="231F1F"/>
          <w:w w:val="110"/>
        </w:rPr>
        <w:t> a</w:t>
      </w:r>
      <w:r>
        <w:rPr>
          <w:color w:val="231F1F"/>
          <w:w w:val="110"/>
        </w:rPr>
        <w:t> esta</w:t>
      </w:r>
      <w:r>
        <w:rPr>
          <w:color w:val="231F1F"/>
          <w:w w:val="110"/>
        </w:rPr>
        <w:t> pregunta</w:t>
      </w:r>
      <w:r>
        <w:rPr>
          <w:color w:val="231F1F"/>
          <w:w w:val="110"/>
        </w:rPr>
        <w:t> la</w:t>
      </w:r>
      <w:r>
        <w:rPr>
          <w:color w:val="231F1F"/>
          <w:w w:val="110"/>
        </w:rPr>
        <w:t> guía</w:t>
      </w:r>
      <w:r>
        <w:rPr>
          <w:color w:val="231F1F"/>
          <w:w w:val="110"/>
        </w:rPr>
        <w:t> NICE</w:t>
      </w:r>
      <w:r>
        <w:rPr>
          <w:color w:val="231F1F"/>
          <w:w w:val="110"/>
        </w:rPr>
        <w:t> (10)</w:t>
      </w:r>
      <w:r>
        <w:rPr>
          <w:color w:val="231F1F"/>
          <w:w w:val="110"/>
        </w:rPr>
        <w:t> empleó</w:t>
      </w:r>
      <w:r>
        <w:rPr>
          <w:color w:val="231F1F"/>
          <w:w w:val="110"/>
        </w:rPr>
        <w:t> una</w:t>
      </w:r>
      <w:r>
        <w:rPr>
          <w:color w:val="231F1F"/>
          <w:w w:val="110"/>
        </w:rPr>
        <w:t> RS</w:t>
      </w:r>
      <w:r>
        <w:rPr>
          <w:color w:val="231F1F"/>
          <w:w w:val="110"/>
        </w:rPr>
        <w:t> con</w:t>
      </w:r>
      <w:r>
        <w:rPr>
          <w:color w:val="231F1F"/>
          <w:spacing w:val="40"/>
          <w:w w:val="110"/>
        </w:rPr>
        <w:t> </w:t>
      </w:r>
      <w:r>
        <w:rPr>
          <w:color w:val="231F1F"/>
          <w:w w:val="110"/>
        </w:rPr>
        <w:t>meta-ánalisis</w:t>
      </w:r>
      <w:r>
        <w:rPr>
          <w:color w:val="231F1F"/>
          <w:w w:val="110"/>
        </w:rPr>
        <w:t> publicada</w:t>
      </w:r>
      <w:r>
        <w:rPr>
          <w:color w:val="231F1F"/>
          <w:w w:val="110"/>
        </w:rPr>
        <w:t> en</w:t>
      </w:r>
      <w:r>
        <w:rPr>
          <w:color w:val="231F1F"/>
          <w:w w:val="110"/>
        </w:rPr>
        <w:t> 2002</w:t>
      </w:r>
      <w:r>
        <w:rPr>
          <w:color w:val="231F1F"/>
          <w:w w:val="110"/>
        </w:rPr>
        <w:t> (373)</w:t>
      </w:r>
      <w:r>
        <w:rPr>
          <w:color w:val="231F1F"/>
          <w:w w:val="110"/>
        </w:rPr>
        <w:t> que</w:t>
      </w:r>
      <w:r>
        <w:rPr>
          <w:color w:val="231F1F"/>
          <w:w w:val="110"/>
        </w:rPr>
        <w:t> evaluó</w:t>
      </w:r>
      <w:r>
        <w:rPr>
          <w:color w:val="231F1F"/>
          <w:w w:val="110"/>
        </w:rPr>
        <w:t> la</w:t>
      </w:r>
      <w:r>
        <w:rPr>
          <w:color w:val="231F1F"/>
          <w:w w:val="110"/>
        </w:rPr>
        <w:t> utilidad</w:t>
      </w:r>
      <w:r>
        <w:rPr>
          <w:color w:val="231F1F"/>
          <w:w w:val="110"/>
        </w:rPr>
        <w:t> del</w:t>
      </w:r>
      <w:r>
        <w:rPr>
          <w:color w:val="231F1F"/>
          <w:w w:val="110"/>
        </w:rPr>
        <w:t> test</w:t>
      </w:r>
      <w:r>
        <w:rPr>
          <w:color w:val="231F1F"/>
          <w:w w:val="110"/>
        </w:rPr>
        <w:t> de estimulación en la predicción de acidemia fetal. En ella se evaluó el valor predictivo</w:t>
      </w:r>
      <w:r>
        <w:rPr>
          <w:color w:val="231F1F"/>
          <w:w w:val="110"/>
        </w:rPr>
        <w:t> de</w:t>
      </w:r>
      <w:r>
        <w:rPr>
          <w:color w:val="231F1F"/>
          <w:w w:val="110"/>
        </w:rPr>
        <w:t> cuatro</w:t>
      </w:r>
      <w:r>
        <w:rPr>
          <w:color w:val="231F1F"/>
          <w:w w:val="110"/>
        </w:rPr>
        <w:t> test de</w:t>
      </w:r>
      <w:r>
        <w:rPr>
          <w:color w:val="231F1F"/>
          <w:w w:val="110"/>
        </w:rPr>
        <w:t> estimulación</w:t>
      </w:r>
      <w:r>
        <w:rPr>
          <w:color w:val="231F1F"/>
          <w:w w:val="110"/>
        </w:rPr>
        <w:t> fetal entre</w:t>
      </w:r>
      <w:r>
        <w:rPr>
          <w:color w:val="231F1F"/>
          <w:w w:val="110"/>
        </w:rPr>
        <w:t> las que</w:t>
      </w:r>
      <w:r>
        <w:rPr>
          <w:color w:val="231F1F"/>
          <w:w w:val="110"/>
        </w:rPr>
        <w:t> se</w:t>
      </w:r>
      <w:r>
        <w:rPr>
          <w:color w:val="231F1F"/>
          <w:w w:val="110"/>
        </w:rPr>
        <w:t> incluían</w:t>
      </w:r>
      <w:r>
        <w:rPr>
          <w:color w:val="231F1F"/>
          <w:w w:val="110"/>
        </w:rPr>
        <w:t> la </w:t>
      </w:r>
      <w:r>
        <w:rPr>
          <w:color w:val="231F1F"/>
        </w:rPr>
        <w:t>punción de la calota fetal (seis estudios) y la estimulación digital (2 estudios).</w:t>
      </w:r>
      <w:r>
        <w:rPr>
          <w:color w:val="231F1F"/>
          <w:spacing w:val="80"/>
          <w:w w:val="110"/>
        </w:rPr>
        <w:t> </w:t>
      </w:r>
      <w:r>
        <w:rPr>
          <w:color w:val="231F1F"/>
          <w:w w:val="110"/>
        </w:rPr>
        <w:t>Los estudios nos ofrecen resultados de la eficacia de estos test por separa- do, y ambos comparados con la MSF, test de referencia de determinación del pH fetal.</w:t>
      </w:r>
    </w:p>
    <w:p>
      <w:pPr>
        <w:pStyle w:val="BodyText"/>
        <w:tabs>
          <w:tab w:pos="6815" w:val="left" w:leader="none"/>
        </w:tabs>
        <w:spacing w:before="90"/>
        <w:ind w:right="152"/>
        <w:jc w:val="right"/>
        <w:rPr>
          <w:rFonts w:ascii="Arial MT" w:hAnsi="Arial MT"/>
          <w:sz w:val="18"/>
        </w:rPr>
      </w:pPr>
      <w:r>
        <w:rPr>
          <w:color w:val="231F1F"/>
          <w:w w:val="105"/>
        </w:rPr>
        <w:t>La</w:t>
      </w:r>
      <w:r>
        <w:rPr>
          <w:color w:val="231F1F"/>
          <w:spacing w:val="47"/>
          <w:w w:val="105"/>
        </w:rPr>
        <w:t> </w:t>
      </w:r>
      <w:r>
        <w:rPr>
          <w:color w:val="231F1F"/>
          <w:w w:val="105"/>
        </w:rPr>
        <w:t>reactividad</w:t>
      </w:r>
      <w:r>
        <w:rPr>
          <w:color w:val="231F1F"/>
          <w:spacing w:val="50"/>
          <w:w w:val="105"/>
        </w:rPr>
        <w:t> </w:t>
      </w:r>
      <w:r>
        <w:rPr>
          <w:color w:val="231F1F"/>
          <w:w w:val="105"/>
        </w:rPr>
        <w:t>de</w:t>
      </w:r>
      <w:r>
        <w:rPr>
          <w:color w:val="231F1F"/>
          <w:spacing w:val="47"/>
          <w:w w:val="105"/>
        </w:rPr>
        <w:t> </w:t>
      </w:r>
      <w:r>
        <w:rPr>
          <w:color w:val="231F1F"/>
          <w:w w:val="105"/>
        </w:rPr>
        <w:t>la</w:t>
      </w:r>
      <w:r>
        <w:rPr>
          <w:color w:val="231F1F"/>
          <w:spacing w:val="50"/>
          <w:w w:val="105"/>
        </w:rPr>
        <w:t> </w:t>
      </w:r>
      <w:r>
        <w:rPr>
          <w:color w:val="231F1F"/>
          <w:w w:val="105"/>
        </w:rPr>
        <w:t>FCF</w:t>
      </w:r>
      <w:r>
        <w:rPr>
          <w:color w:val="231F1F"/>
          <w:spacing w:val="50"/>
          <w:w w:val="105"/>
        </w:rPr>
        <w:t> </w:t>
      </w:r>
      <w:r>
        <w:rPr>
          <w:color w:val="231F1F"/>
          <w:w w:val="105"/>
        </w:rPr>
        <w:t>tras</w:t>
      </w:r>
      <w:r>
        <w:rPr>
          <w:color w:val="231F1F"/>
          <w:spacing w:val="47"/>
          <w:w w:val="105"/>
        </w:rPr>
        <w:t> </w:t>
      </w:r>
      <w:r>
        <w:rPr>
          <w:color w:val="231F1F"/>
          <w:w w:val="105"/>
        </w:rPr>
        <w:t>la</w:t>
      </w:r>
      <w:r>
        <w:rPr>
          <w:color w:val="231F1F"/>
          <w:spacing w:val="49"/>
          <w:w w:val="105"/>
        </w:rPr>
        <w:t> </w:t>
      </w:r>
      <w:r>
        <w:rPr>
          <w:color w:val="231F1F"/>
          <w:w w:val="105"/>
        </w:rPr>
        <w:t>estimulación,</w:t>
      </w:r>
      <w:r>
        <w:rPr>
          <w:color w:val="231F1F"/>
          <w:spacing w:val="48"/>
          <w:w w:val="105"/>
        </w:rPr>
        <w:t> </w:t>
      </w:r>
      <w:r>
        <w:rPr>
          <w:color w:val="231F1F"/>
          <w:w w:val="105"/>
        </w:rPr>
        <w:t>define</w:t>
      </w:r>
      <w:r>
        <w:rPr>
          <w:color w:val="231F1F"/>
          <w:spacing w:val="48"/>
          <w:w w:val="105"/>
        </w:rPr>
        <w:t> </w:t>
      </w:r>
      <w:r>
        <w:rPr>
          <w:color w:val="231F1F"/>
          <w:w w:val="105"/>
        </w:rPr>
        <w:t>un</w:t>
      </w:r>
      <w:r>
        <w:rPr>
          <w:color w:val="231F1F"/>
          <w:spacing w:val="50"/>
          <w:w w:val="105"/>
        </w:rPr>
        <w:t> </w:t>
      </w:r>
      <w:r>
        <w:rPr>
          <w:color w:val="231F1F"/>
          <w:spacing w:val="-2"/>
          <w:w w:val="105"/>
        </w:rPr>
        <w:t>resultado</w:t>
      </w:r>
      <w:r>
        <w:rPr>
          <w:color w:val="231F1F"/>
        </w:rPr>
        <w:tab/>
      </w:r>
      <w:r>
        <w:rPr>
          <w:rFonts w:ascii="Arial MT" w:hAnsi="Arial MT"/>
          <w:color w:val="231F1F"/>
          <w:w w:val="105"/>
          <w:sz w:val="18"/>
        </w:rPr>
        <w:t>RS-MA</w:t>
      </w:r>
      <w:r>
        <w:rPr>
          <w:rFonts w:ascii="Arial MT" w:hAnsi="Arial MT"/>
          <w:color w:val="231F1F"/>
          <w:spacing w:val="8"/>
          <w:w w:val="105"/>
          <w:sz w:val="18"/>
        </w:rPr>
        <w:t> </w:t>
      </w:r>
      <w:r>
        <w:rPr>
          <w:rFonts w:ascii="Arial MT" w:hAnsi="Arial MT"/>
          <w:color w:val="231F1F"/>
          <w:w w:val="105"/>
          <w:sz w:val="18"/>
        </w:rPr>
        <w:t>de</w:t>
      </w:r>
      <w:r>
        <w:rPr>
          <w:rFonts w:ascii="Arial MT" w:hAnsi="Arial MT"/>
          <w:color w:val="231F1F"/>
          <w:spacing w:val="9"/>
          <w:w w:val="105"/>
          <w:sz w:val="18"/>
        </w:rPr>
        <w:t> </w:t>
      </w:r>
      <w:r>
        <w:rPr>
          <w:rFonts w:ascii="Arial MT" w:hAnsi="Arial MT"/>
          <w:color w:val="231F1F"/>
          <w:spacing w:val="-5"/>
          <w:w w:val="105"/>
          <w:sz w:val="18"/>
        </w:rPr>
        <w:t>E.</w:t>
      </w:r>
    </w:p>
    <w:p>
      <w:pPr>
        <w:pStyle w:val="BodyText"/>
        <w:spacing w:before="3"/>
        <w:ind w:right="128"/>
        <w:jc w:val="right"/>
        <w:rPr>
          <w:rFonts w:ascii="Arial MT" w:hAnsi="Arial MT"/>
          <w:position w:val="4"/>
          <w:sz w:val="18"/>
        </w:rPr>
      </w:pPr>
      <w:r>
        <w:rPr>
          <w:color w:val="231F1F"/>
          <w:w w:val="110"/>
        </w:rPr>
        <w:t>negativo</w:t>
      </w:r>
      <w:r>
        <w:rPr>
          <w:color w:val="231F1F"/>
          <w:spacing w:val="13"/>
          <w:w w:val="110"/>
        </w:rPr>
        <w:t> </w:t>
      </w:r>
      <w:r>
        <w:rPr>
          <w:color w:val="231F1F"/>
          <w:w w:val="110"/>
        </w:rPr>
        <w:t>que</w:t>
      </w:r>
      <w:r>
        <w:rPr>
          <w:color w:val="231F1F"/>
          <w:spacing w:val="15"/>
          <w:w w:val="110"/>
        </w:rPr>
        <w:t> </w:t>
      </w:r>
      <w:r>
        <w:rPr>
          <w:color w:val="231F1F"/>
          <w:w w:val="110"/>
        </w:rPr>
        <w:t>predice</w:t>
      </w:r>
      <w:r>
        <w:rPr>
          <w:color w:val="231F1F"/>
          <w:spacing w:val="15"/>
          <w:w w:val="110"/>
        </w:rPr>
        <w:t> </w:t>
      </w:r>
      <w:r>
        <w:rPr>
          <w:color w:val="231F1F"/>
          <w:w w:val="110"/>
        </w:rPr>
        <w:t>ausencia</w:t>
      </w:r>
      <w:r>
        <w:rPr>
          <w:color w:val="231F1F"/>
          <w:spacing w:val="14"/>
          <w:w w:val="110"/>
        </w:rPr>
        <w:t> </w:t>
      </w:r>
      <w:r>
        <w:rPr>
          <w:color w:val="231F1F"/>
          <w:w w:val="110"/>
        </w:rPr>
        <w:t>de</w:t>
      </w:r>
      <w:r>
        <w:rPr>
          <w:color w:val="231F1F"/>
          <w:spacing w:val="16"/>
          <w:w w:val="110"/>
        </w:rPr>
        <w:t> </w:t>
      </w:r>
      <w:r>
        <w:rPr>
          <w:color w:val="231F1F"/>
          <w:w w:val="110"/>
        </w:rPr>
        <w:t>acidemia</w:t>
      </w:r>
      <w:r>
        <w:rPr>
          <w:color w:val="231F1F"/>
          <w:spacing w:val="13"/>
          <w:w w:val="110"/>
        </w:rPr>
        <w:t> </w:t>
      </w:r>
      <w:r>
        <w:rPr>
          <w:color w:val="231F1F"/>
          <w:w w:val="110"/>
        </w:rPr>
        <w:t>fetal.</w:t>
      </w:r>
      <w:r>
        <w:rPr>
          <w:color w:val="231F1F"/>
          <w:spacing w:val="16"/>
          <w:w w:val="110"/>
        </w:rPr>
        <w:t> </w:t>
      </w:r>
      <w:r>
        <w:rPr>
          <w:color w:val="231F1F"/>
          <w:w w:val="110"/>
        </w:rPr>
        <w:t>El</w:t>
      </w:r>
      <w:r>
        <w:rPr>
          <w:color w:val="231F1F"/>
          <w:spacing w:val="15"/>
          <w:w w:val="110"/>
        </w:rPr>
        <w:t> </w:t>
      </w:r>
      <w:r>
        <w:rPr>
          <w:color w:val="231F1F"/>
          <w:w w:val="110"/>
        </w:rPr>
        <w:t>metaanálisis,</w:t>
      </w:r>
      <w:r>
        <w:rPr>
          <w:color w:val="231F1F"/>
          <w:spacing w:val="14"/>
          <w:w w:val="110"/>
        </w:rPr>
        <w:t> </w:t>
      </w:r>
      <w:r>
        <w:rPr>
          <w:color w:val="231F1F"/>
          <w:w w:val="110"/>
        </w:rPr>
        <w:t>nueva-</w:t>
      </w:r>
      <w:r>
        <w:rPr>
          <w:color w:val="231F1F"/>
          <w:spacing w:val="57"/>
          <w:w w:val="110"/>
        </w:rPr>
        <w:t> </w:t>
      </w:r>
      <w:r>
        <w:rPr>
          <w:rFonts w:ascii="Arial MT" w:hAnsi="Arial MT"/>
          <w:color w:val="231F1F"/>
          <w:spacing w:val="-2"/>
          <w:w w:val="110"/>
          <w:position w:val="4"/>
          <w:sz w:val="18"/>
        </w:rPr>
        <w:t>Transversales</w:t>
      </w:r>
    </w:p>
    <w:p>
      <w:pPr>
        <w:pStyle w:val="BodyText"/>
        <w:spacing w:after="0"/>
        <w:jc w:val="right"/>
        <w:rPr>
          <w:rFonts w:ascii="Arial MT" w:hAnsi="Arial MT"/>
          <w:position w:val="4"/>
          <w:sz w:val="18"/>
        </w:rPr>
        <w:sectPr>
          <w:pgSz w:w="11900" w:h="16840"/>
          <w:pgMar w:header="0" w:footer="622" w:top="1560" w:bottom="820" w:left="1417" w:right="1559"/>
        </w:sectPr>
      </w:pPr>
    </w:p>
    <w:p>
      <w:pPr>
        <w:pStyle w:val="BodyText"/>
        <w:spacing w:line="247" w:lineRule="auto" w:before="30"/>
        <w:ind w:left="283" w:right="38"/>
        <w:jc w:val="both"/>
      </w:pPr>
      <w:r>
        <w:rPr>
          <w:color w:val="231F1F"/>
          <w:w w:val="105"/>
        </w:rPr>
        <w:t>mente</w:t>
      </w:r>
      <w:r>
        <w:rPr>
          <w:color w:val="231F1F"/>
          <w:w w:val="105"/>
        </w:rPr>
        <w:t> publicado</w:t>
      </w:r>
      <w:r>
        <w:rPr>
          <w:color w:val="231F1F"/>
          <w:w w:val="105"/>
        </w:rPr>
        <w:t> (374)</w:t>
      </w:r>
      <w:r>
        <w:rPr>
          <w:color w:val="231F1F"/>
          <w:w w:val="105"/>
        </w:rPr>
        <w:t> tras</w:t>
      </w:r>
      <w:r>
        <w:rPr>
          <w:color w:val="231F1F"/>
          <w:w w:val="105"/>
        </w:rPr>
        <w:t> realizar</w:t>
      </w:r>
      <w:r>
        <w:rPr>
          <w:color w:val="231F1F"/>
          <w:w w:val="105"/>
        </w:rPr>
        <w:t> correcciones</w:t>
      </w:r>
      <w:r>
        <w:rPr>
          <w:color w:val="231F1F"/>
          <w:w w:val="105"/>
        </w:rPr>
        <w:t> en</w:t>
      </w:r>
      <w:r>
        <w:rPr>
          <w:color w:val="231F1F"/>
          <w:w w:val="105"/>
        </w:rPr>
        <w:t> la</w:t>
      </w:r>
      <w:r>
        <w:rPr>
          <w:color w:val="231F1F"/>
          <w:w w:val="105"/>
        </w:rPr>
        <w:t> magnitud</w:t>
      </w:r>
      <w:r>
        <w:rPr>
          <w:color w:val="231F1F"/>
          <w:w w:val="105"/>
        </w:rPr>
        <w:t> de</w:t>
      </w:r>
      <w:r>
        <w:rPr>
          <w:color w:val="231F1F"/>
          <w:w w:val="105"/>
        </w:rPr>
        <w:t> las estimaciones,</w:t>
      </w:r>
      <w:r>
        <w:rPr>
          <w:color w:val="231F1F"/>
          <w:w w:val="105"/>
        </w:rPr>
        <w:t> analizó</w:t>
      </w:r>
      <w:r>
        <w:rPr>
          <w:color w:val="231F1F"/>
          <w:w w:val="105"/>
        </w:rPr>
        <w:t> por</w:t>
      </w:r>
      <w:r>
        <w:rPr>
          <w:color w:val="231F1F"/>
          <w:w w:val="105"/>
        </w:rPr>
        <w:t> un</w:t>
      </w:r>
      <w:r>
        <w:rPr>
          <w:color w:val="231F1F"/>
          <w:w w:val="105"/>
        </w:rPr>
        <w:t> lado</w:t>
      </w:r>
      <w:r>
        <w:rPr>
          <w:color w:val="231F1F"/>
          <w:w w:val="105"/>
        </w:rPr>
        <w:t> seis</w:t>
      </w:r>
      <w:r>
        <w:rPr>
          <w:color w:val="231F1F"/>
          <w:w w:val="105"/>
        </w:rPr>
        <w:t> estudios</w:t>
      </w:r>
      <w:r>
        <w:rPr>
          <w:color w:val="231F1F"/>
          <w:w w:val="105"/>
        </w:rPr>
        <w:t> que</w:t>
      </w:r>
      <w:r>
        <w:rPr>
          <w:color w:val="231F1F"/>
          <w:w w:val="105"/>
        </w:rPr>
        <w:t> evaluaron</w:t>
      </w:r>
      <w:r>
        <w:rPr>
          <w:color w:val="231F1F"/>
          <w:w w:val="105"/>
        </w:rPr>
        <w:t> la</w:t>
      </w:r>
      <w:r>
        <w:rPr>
          <w:color w:val="231F1F"/>
          <w:w w:val="105"/>
        </w:rPr>
        <w:t> </w:t>
      </w:r>
      <w:r>
        <w:rPr>
          <w:i/>
          <w:color w:val="231F1F"/>
          <w:w w:val="105"/>
        </w:rPr>
        <w:t>estimula-</w:t>
      </w:r>
      <w:r>
        <w:rPr>
          <w:i/>
          <w:color w:val="231F1F"/>
          <w:spacing w:val="80"/>
          <w:w w:val="105"/>
        </w:rPr>
        <w:t> </w:t>
      </w:r>
      <w:r>
        <w:rPr>
          <w:i/>
          <w:color w:val="231F1F"/>
          <w:w w:val="105"/>
        </w:rPr>
        <w:t>ción</w:t>
      </w:r>
      <w:r>
        <w:rPr>
          <w:i/>
          <w:color w:val="231F1F"/>
          <w:w w:val="105"/>
        </w:rPr>
        <w:t> mediante</w:t>
      </w:r>
      <w:r>
        <w:rPr>
          <w:i/>
          <w:color w:val="231F1F"/>
          <w:w w:val="105"/>
        </w:rPr>
        <w:t> la</w:t>
      </w:r>
      <w:r>
        <w:rPr>
          <w:i/>
          <w:color w:val="231F1F"/>
          <w:w w:val="105"/>
        </w:rPr>
        <w:t> punción</w:t>
      </w:r>
      <w:r>
        <w:rPr>
          <w:i/>
          <w:color w:val="231F1F"/>
          <w:w w:val="105"/>
        </w:rPr>
        <w:t> </w:t>
      </w:r>
      <w:r>
        <w:rPr>
          <w:color w:val="231F1F"/>
          <w:w w:val="105"/>
        </w:rPr>
        <w:t>de la calota fetal, mostrando una razón de pro- babilidad</w:t>
      </w:r>
      <w:r>
        <w:rPr>
          <w:color w:val="231F1F"/>
          <w:w w:val="105"/>
        </w:rPr>
        <w:t> combinada</w:t>
      </w:r>
      <w:r>
        <w:rPr>
          <w:color w:val="231F1F"/>
          <w:w w:val="105"/>
        </w:rPr>
        <w:t> o</w:t>
      </w:r>
      <w:r>
        <w:rPr>
          <w:color w:val="231F1F"/>
          <w:w w:val="105"/>
        </w:rPr>
        <w:t> un</w:t>
      </w:r>
      <w:r>
        <w:rPr>
          <w:color w:val="231F1F"/>
          <w:w w:val="105"/>
        </w:rPr>
        <w:t> Cp</w:t>
      </w:r>
      <w:r>
        <w:rPr>
          <w:color w:val="231F1F"/>
          <w:w w:val="105"/>
        </w:rPr>
        <w:t> combinado</w:t>
      </w:r>
      <w:r>
        <w:rPr>
          <w:color w:val="231F1F"/>
          <w:w w:val="105"/>
        </w:rPr>
        <w:t> para</w:t>
      </w:r>
      <w:r>
        <w:rPr>
          <w:color w:val="231F1F"/>
          <w:w w:val="105"/>
        </w:rPr>
        <w:t> un</w:t>
      </w:r>
      <w:r>
        <w:rPr>
          <w:color w:val="231F1F"/>
          <w:w w:val="105"/>
        </w:rPr>
        <w:t> test</w:t>
      </w:r>
      <w:r>
        <w:rPr>
          <w:color w:val="231F1F"/>
          <w:w w:val="105"/>
        </w:rPr>
        <w:t> negativo</w:t>
      </w:r>
      <w:r>
        <w:rPr>
          <w:color w:val="231F1F"/>
          <w:w w:val="105"/>
        </w:rPr>
        <w:t> (Cp-)</w:t>
      </w:r>
      <w:r>
        <w:rPr>
          <w:color w:val="231F1F"/>
          <w:w w:val="105"/>
        </w:rPr>
        <w:t> de acidemia de: 0,22 [IC 95% 0,05 a 1,05] y un cociente de probabilidad com- binada</w:t>
      </w:r>
      <w:r>
        <w:rPr>
          <w:color w:val="231F1F"/>
          <w:spacing w:val="40"/>
          <w:w w:val="105"/>
        </w:rPr>
        <w:t> </w:t>
      </w:r>
      <w:r>
        <w:rPr>
          <w:color w:val="231F1F"/>
          <w:w w:val="105"/>
        </w:rPr>
        <w:t>para</w:t>
      </w:r>
      <w:r>
        <w:rPr>
          <w:color w:val="231F1F"/>
          <w:spacing w:val="40"/>
          <w:w w:val="105"/>
        </w:rPr>
        <w:t> </w:t>
      </w:r>
      <w:r>
        <w:rPr>
          <w:color w:val="231F1F"/>
          <w:w w:val="105"/>
        </w:rPr>
        <w:t>un</w:t>
      </w:r>
      <w:r>
        <w:rPr>
          <w:color w:val="231F1F"/>
          <w:spacing w:val="40"/>
          <w:w w:val="105"/>
        </w:rPr>
        <w:t> </w:t>
      </w:r>
      <w:r>
        <w:rPr>
          <w:color w:val="231F1F"/>
          <w:w w:val="105"/>
        </w:rPr>
        <w:t>test</w:t>
      </w:r>
      <w:r>
        <w:rPr>
          <w:color w:val="231F1F"/>
          <w:spacing w:val="40"/>
          <w:w w:val="105"/>
        </w:rPr>
        <w:t> </w:t>
      </w:r>
      <w:r>
        <w:rPr>
          <w:color w:val="231F1F"/>
          <w:w w:val="105"/>
        </w:rPr>
        <w:t>positivo</w:t>
      </w:r>
      <w:r>
        <w:rPr>
          <w:color w:val="231F1F"/>
          <w:spacing w:val="40"/>
          <w:w w:val="105"/>
        </w:rPr>
        <w:t> </w:t>
      </w:r>
      <w:r>
        <w:rPr>
          <w:color w:val="231F1F"/>
          <w:w w:val="105"/>
        </w:rPr>
        <w:t>(Cp+)</w:t>
      </w:r>
      <w:r>
        <w:rPr>
          <w:color w:val="231F1F"/>
          <w:spacing w:val="40"/>
          <w:w w:val="105"/>
        </w:rPr>
        <w:t> </w:t>
      </w:r>
      <w:r>
        <w:rPr>
          <w:color w:val="231F1F"/>
          <w:w w:val="105"/>
        </w:rPr>
        <w:t>de</w:t>
      </w:r>
      <w:r>
        <w:rPr>
          <w:color w:val="231F1F"/>
          <w:spacing w:val="40"/>
          <w:w w:val="105"/>
        </w:rPr>
        <w:t> </w:t>
      </w:r>
      <w:r>
        <w:rPr>
          <w:color w:val="231F1F"/>
          <w:w w:val="105"/>
        </w:rPr>
        <w:t>2,3</w:t>
      </w:r>
      <w:r>
        <w:rPr>
          <w:color w:val="231F1F"/>
          <w:spacing w:val="40"/>
          <w:w w:val="105"/>
        </w:rPr>
        <w:t> </w:t>
      </w:r>
      <w:r>
        <w:rPr>
          <w:color w:val="231F1F"/>
          <w:w w:val="105"/>
        </w:rPr>
        <w:t>[IC</w:t>
      </w:r>
      <w:r>
        <w:rPr>
          <w:color w:val="231F1F"/>
          <w:spacing w:val="40"/>
          <w:w w:val="105"/>
        </w:rPr>
        <w:t> </w:t>
      </w:r>
      <w:r>
        <w:rPr>
          <w:color w:val="231F1F"/>
          <w:w w:val="105"/>
        </w:rPr>
        <w:t>95%</w:t>
      </w:r>
      <w:r>
        <w:rPr>
          <w:color w:val="231F1F"/>
          <w:spacing w:val="40"/>
          <w:w w:val="105"/>
        </w:rPr>
        <w:t> </w:t>
      </w:r>
      <w:r>
        <w:rPr>
          <w:color w:val="231F1F"/>
          <w:w w:val="105"/>
        </w:rPr>
        <w:t>1,53</w:t>
      </w:r>
      <w:r>
        <w:rPr>
          <w:color w:val="231F1F"/>
          <w:spacing w:val="40"/>
          <w:w w:val="105"/>
        </w:rPr>
        <w:t> </w:t>
      </w:r>
      <w:r>
        <w:rPr>
          <w:color w:val="231F1F"/>
          <w:w w:val="105"/>
        </w:rPr>
        <w:t>a</w:t>
      </w:r>
      <w:r>
        <w:rPr>
          <w:color w:val="231F1F"/>
          <w:spacing w:val="40"/>
          <w:w w:val="105"/>
        </w:rPr>
        <w:t> </w:t>
      </w:r>
      <w:r>
        <w:rPr>
          <w:color w:val="231F1F"/>
          <w:w w:val="105"/>
        </w:rPr>
        <w:t>3,48].</w:t>
      </w:r>
      <w:r>
        <w:rPr>
          <w:color w:val="231F1F"/>
          <w:spacing w:val="40"/>
          <w:w w:val="105"/>
        </w:rPr>
        <w:t> </w:t>
      </w:r>
      <w:r>
        <w:rPr>
          <w:color w:val="231F1F"/>
          <w:w w:val="105"/>
        </w:rPr>
        <w:t>Por</w:t>
      </w:r>
      <w:r>
        <w:rPr>
          <w:color w:val="231F1F"/>
          <w:spacing w:val="40"/>
          <w:w w:val="105"/>
        </w:rPr>
        <w:t> </w:t>
      </w:r>
      <w:r>
        <w:rPr>
          <w:color w:val="231F1F"/>
          <w:w w:val="105"/>
        </w:rPr>
        <w:t>otro lado,</w:t>
      </w:r>
      <w:r>
        <w:rPr>
          <w:color w:val="231F1F"/>
          <w:w w:val="105"/>
        </w:rPr>
        <w:t> la</w:t>
      </w:r>
      <w:r>
        <w:rPr>
          <w:color w:val="231F1F"/>
          <w:w w:val="105"/>
        </w:rPr>
        <w:t> combinación</w:t>
      </w:r>
      <w:r>
        <w:rPr>
          <w:color w:val="231F1F"/>
          <w:w w:val="105"/>
        </w:rPr>
        <w:t> de</w:t>
      </w:r>
      <w:r>
        <w:rPr>
          <w:color w:val="231F1F"/>
          <w:w w:val="105"/>
        </w:rPr>
        <w:t> los</w:t>
      </w:r>
      <w:r>
        <w:rPr>
          <w:color w:val="231F1F"/>
          <w:w w:val="105"/>
        </w:rPr>
        <w:t> dos</w:t>
      </w:r>
      <w:r>
        <w:rPr>
          <w:color w:val="231F1F"/>
          <w:w w:val="105"/>
        </w:rPr>
        <w:t> estudios</w:t>
      </w:r>
      <w:r>
        <w:rPr>
          <w:color w:val="231F1F"/>
          <w:w w:val="105"/>
        </w:rPr>
        <w:t> que</w:t>
      </w:r>
      <w:r>
        <w:rPr>
          <w:color w:val="231F1F"/>
          <w:w w:val="105"/>
        </w:rPr>
        <w:t> evaluaban</w:t>
      </w:r>
      <w:r>
        <w:rPr>
          <w:color w:val="231F1F"/>
          <w:w w:val="105"/>
        </w:rPr>
        <w:t> la</w:t>
      </w:r>
      <w:r>
        <w:rPr>
          <w:color w:val="231F1F"/>
          <w:spacing w:val="40"/>
          <w:w w:val="105"/>
        </w:rPr>
        <w:t> </w:t>
      </w:r>
      <w:r>
        <w:rPr>
          <w:i/>
          <w:color w:val="231F1F"/>
          <w:w w:val="105"/>
        </w:rPr>
        <w:t>estimulación</w:t>
      </w:r>
      <w:r>
        <w:rPr>
          <w:i/>
          <w:color w:val="231F1F"/>
          <w:spacing w:val="40"/>
          <w:w w:val="105"/>
        </w:rPr>
        <w:t> </w:t>
      </w:r>
      <w:r>
        <w:rPr>
          <w:i/>
          <w:color w:val="231F1F"/>
          <w:w w:val="105"/>
        </w:rPr>
        <w:t>digital </w:t>
      </w:r>
      <w:r>
        <w:rPr>
          <w:color w:val="231F1F"/>
          <w:w w:val="105"/>
        </w:rPr>
        <w:t>de</w:t>
      </w:r>
      <w:r>
        <w:rPr>
          <w:color w:val="231F1F"/>
          <w:w w:val="105"/>
        </w:rPr>
        <w:t> la</w:t>
      </w:r>
      <w:r>
        <w:rPr>
          <w:color w:val="231F1F"/>
          <w:w w:val="105"/>
        </w:rPr>
        <w:t> calota</w:t>
      </w:r>
      <w:r>
        <w:rPr>
          <w:color w:val="231F1F"/>
          <w:w w:val="105"/>
        </w:rPr>
        <w:t> fetal</w:t>
      </w:r>
      <w:r>
        <w:rPr>
          <w:color w:val="231F1F"/>
          <w:w w:val="105"/>
        </w:rPr>
        <w:t> resultó</w:t>
      </w:r>
      <w:r>
        <w:rPr>
          <w:color w:val="231F1F"/>
          <w:w w:val="105"/>
        </w:rPr>
        <w:t> en</w:t>
      </w:r>
      <w:r>
        <w:rPr>
          <w:color w:val="231F1F"/>
          <w:w w:val="105"/>
        </w:rPr>
        <w:t> Cp-</w:t>
      </w:r>
      <w:r>
        <w:rPr>
          <w:color w:val="231F1F"/>
          <w:w w:val="105"/>
        </w:rPr>
        <w:t> :0,08</w:t>
      </w:r>
      <w:r>
        <w:rPr>
          <w:color w:val="231F1F"/>
          <w:w w:val="105"/>
        </w:rPr>
        <w:t> [IC</w:t>
      </w:r>
      <w:r>
        <w:rPr>
          <w:color w:val="231F1F"/>
          <w:w w:val="105"/>
        </w:rPr>
        <w:t> 95%</w:t>
      </w:r>
      <w:r>
        <w:rPr>
          <w:color w:val="231F1F"/>
          <w:w w:val="105"/>
        </w:rPr>
        <w:t> 0,02</w:t>
      </w:r>
      <w:r>
        <w:rPr>
          <w:color w:val="231F1F"/>
          <w:w w:val="105"/>
        </w:rPr>
        <w:t> a</w:t>
      </w:r>
      <w:r>
        <w:rPr>
          <w:color w:val="231F1F"/>
          <w:w w:val="105"/>
        </w:rPr>
        <w:t> 0,41]</w:t>
      </w:r>
      <w:r>
        <w:rPr>
          <w:color w:val="231F1F"/>
          <w:w w:val="105"/>
        </w:rPr>
        <w:t> y</w:t>
      </w:r>
      <w:r>
        <w:rPr>
          <w:color w:val="231F1F"/>
          <w:w w:val="105"/>
        </w:rPr>
        <w:t> Cp+:</w:t>
      </w:r>
      <w:r>
        <w:rPr>
          <w:color w:val="231F1F"/>
          <w:spacing w:val="80"/>
          <w:w w:val="105"/>
        </w:rPr>
        <w:t> </w:t>
      </w:r>
      <w:r>
        <w:rPr>
          <w:color w:val="231F1F"/>
          <w:w w:val="105"/>
        </w:rPr>
        <w:t>1,93 [IC 95% 1,48 a 2,52].</w:t>
      </w:r>
    </w:p>
    <w:p>
      <w:pPr>
        <w:pStyle w:val="BodyText"/>
        <w:spacing w:line="249" w:lineRule="auto" w:before="45"/>
        <w:ind w:left="283" w:right="43" w:firstLine="453"/>
        <w:jc w:val="both"/>
      </w:pPr>
      <w:r>
        <w:rPr>
          <w:color w:val="231F1F"/>
          <w:w w:val="105"/>
        </w:rPr>
        <w:t>El</w:t>
      </w:r>
      <w:r>
        <w:rPr>
          <w:color w:val="231F1F"/>
          <w:w w:val="105"/>
        </w:rPr>
        <w:t> muy</w:t>
      </w:r>
      <w:r>
        <w:rPr>
          <w:color w:val="231F1F"/>
          <w:w w:val="105"/>
        </w:rPr>
        <w:t> bajo</w:t>
      </w:r>
      <w:r>
        <w:rPr>
          <w:color w:val="231F1F"/>
          <w:w w:val="105"/>
        </w:rPr>
        <w:t> valor</w:t>
      </w:r>
      <w:r>
        <w:rPr>
          <w:color w:val="231F1F"/>
          <w:w w:val="105"/>
        </w:rPr>
        <w:t> del</w:t>
      </w:r>
      <w:r>
        <w:rPr>
          <w:color w:val="231F1F"/>
          <w:w w:val="105"/>
        </w:rPr>
        <w:t> Cp</w:t>
      </w:r>
      <w:r>
        <w:rPr>
          <w:color w:val="231F1F"/>
          <w:w w:val="105"/>
        </w:rPr>
        <w:t> negativo</w:t>
      </w:r>
      <w:r>
        <w:rPr>
          <w:color w:val="231F1F"/>
          <w:w w:val="105"/>
        </w:rPr>
        <w:t> (&lt;0,1)</w:t>
      </w:r>
      <w:r>
        <w:rPr>
          <w:color w:val="231F1F"/>
          <w:w w:val="105"/>
        </w:rPr>
        <w:t> representa</w:t>
      </w:r>
      <w:r>
        <w:rPr>
          <w:color w:val="231F1F"/>
          <w:w w:val="105"/>
        </w:rPr>
        <w:t> que</w:t>
      </w:r>
      <w:r>
        <w:rPr>
          <w:color w:val="231F1F"/>
          <w:w w:val="105"/>
        </w:rPr>
        <w:t> un</w:t>
      </w:r>
      <w:r>
        <w:rPr>
          <w:color w:val="231F1F"/>
          <w:w w:val="105"/>
        </w:rPr>
        <w:t> resultado negativo</w:t>
      </w:r>
      <w:r>
        <w:rPr>
          <w:color w:val="231F1F"/>
          <w:spacing w:val="-2"/>
          <w:w w:val="105"/>
        </w:rPr>
        <w:t> </w:t>
      </w:r>
      <w:r>
        <w:rPr>
          <w:color w:val="231F1F"/>
          <w:w w:val="105"/>
        </w:rPr>
        <w:t>del</w:t>
      </w:r>
      <w:r>
        <w:rPr>
          <w:color w:val="231F1F"/>
          <w:spacing w:val="-2"/>
          <w:w w:val="105"/>
        </w:rPr>
        <w:t> </w:t>
      </w:r>
      <w:r>
        <w:rPr>
          <w:color w:val="231F1F"/>
          <w:w w:val="105"/>
        </w:rPr>
        <w:t>test</w:t>
      </w:r>
      <w:r>
        <w:rPr>
          <w:color w:val="231F1F"/>
          <w:spacing w:val="-2"/>
          <w:w w:val="105"/>
        </w:rPr>
        <w:t> </w:t>
      </w:r>
      <w:r>
        <w:rPr>
          <w:color w:val="231F1F"/>
          <w:w w:val="105"/>
        </w:rPr>
        <w:t>descarta</w:t>
      </w:r>
      <w:r>
        <w:rPr>
          <w:color w:val="231F1F"/>
          <w:spacing w:val="-2"/>
          <w:w w:val="105"/>
        </w:rPr>
        <w:t> </w:t>
      </w:r>
      <w:r>
        <w:rPr>
          <w:color w:val="231F1F"/>
          <w:w w:val="105"/>
        </w:rPr>
        <w:t>prácticamente</w:t>
      </w:r>
      <w:r>
        <w:rPr>
          <w:color w:val="231F1F"/>
          <w:spacing w:val="-2"/>
          <w:w w:val="105"/>
        </w:rPr>
        <w:t> </w:t>
      </w:r>
      <w:r>
        <w:rPr>
          <w:color w:val="231F1F"/>
          <w:w w:val="105"/>
        </w:rPr>
        <w:t>el</w:t>
      </w:r>
      <w:r>
        <w:rPr>
          <w:color w:val="231F1F"/>
          <w:spacing w:val="-2"/>
          <w:w w:val="105"/>
        </w:rPr>
        <w:t> </w:t>
      </w:r>
      <w:r>
        <w:rPr>
          <w:color w:val="231F1F"/>
          <w:w w:val="105"/>
        </w:rPr>
        <w:t>diagnóstico</w:t>
      </w:r>
      <w:r>
        <w:rPr>
          <w:color w:val="231F1F"/>
          <w:spacing w:val="-2"/>
          <w:w w:val="105"/>
        </w:rPr>
        <w:t> </w:t>
      </w:r>
      <w:r>
        <w:rPr>
          <w:color w:val="231F1F"/>
          <w:w w:val="105"/>
        </w:rPr>
        <w:t>de</w:t>
      </w:r>
      <w:r>
        <w:rPr>
          <w:color w:val="231F1F"/>
          <w:spacing w:val="-2"/>
          <w:w w:val="105"/>
        </w:rPr>
        <w:t> </w:t>
      </w:r>
      <w:r>
        <w:rPr>
          <w:color w:val="231F1F"/>
          <w:w w:val="105"/>
        </w:rPr>
        <w:t>acidemia,</w:t>
      </w:r>
      <w:r>
        <w:rPr>
          <w:color w:val="231F1F"/>
          <w:spacing w:val="-2"/>
          <w:w w:val="105"/>
        </w:rPr>
        <w:t> </w:t>
      </w:r>
      <w:r>
        <w:rPr>
          <w:color w:val="231F1F"/>
          <w:w w:val="105"/>
        </w:rPr>
        <w:t>y</w:t>
      </w:r>
      <w:r>
        <w:rPr>
          <w:color w:val="231F1F"/>
          <w:spacing w:val="-2"/>
          <w:w w:val="105"/>
        </w:rPr>
        <w:t> </w:t>
      </w:r>
      <w:r>
        <w:rPr>
          <w:color w:val="231F1F"/>
          <w:w w:val="105"/>
        </w:rPr>
        <w:t>un</w:t>
      </w:r>
      <w:r>
        <w:rPr>
          <w:color w:val="231F1F"/>
          <w:spacing w:val="-2"/>
          <w:w w:val="105"/>
        </w:rPr>
        <w:t> </w:t>
      </w:r>
      <w:r>
        <w:rPr>
          <w:color w:val="231F1F"/>
          <w:w w:val="105"/>
        </w:rPr>
        <w:t>valor del</w:t>
      </w:r>
      <w:r>
        <w:rPr>
          <w:color w:val="231F1F"/>
          <w:spacing w:val="40"/>
          <w:w w:val="105"/>
        </w:rPr>
        <w:t> </w:t>
      </w:r>
      <w:r>
        <w:rPr>
          <w:color w:val="231F1F"/>
          <w:w w:val="105"/>
        </w:rPr>
        <w:t>Cp</w:t>
      </w:r>
      <w:r>
        <w:rPr>
          <w:color w:val="231F1F"/>
          <w:spacing w:val="40"/>
          <w:w w:val="105"/>
        </w:rPr>
        <w:t> </w:t>
      </w:r>
      <w:r>
        <w:rPr>
          <w:color w:val="231F1F"/>
          <w:w w:val="105"/>
        </w:rPr>
        <w:t>positivo</w:t>
      </w:r>
      <w:r>
        <w:rPr>
          <w:color w:val="231F1F"/>
          <w:spacing w:val="40"/>
          <w:w w:val="105"/>
        </w:rPr>
        <w:t> </w:t>
      </w:r>
      <w:r>
        <w:rPr>
          <w:color w:val="231F1F"/>
          <w:w w:val="105"/>
        </w:rPr>
        <w:t>&gt;1,</w:t>
      </w:r>
      <w:r>
        <w:rPr>
          <w:color w:val="231F1F"/>
          <w:spacing w:val="40"/>
          <w:w w:val="105"/>
        </w:rPr>
        <w:t> </w:t>
      </w:r>
      <w:r>
        <w:rPr>
          <w:color w:val="231F1F"/>
          <w:w w:val="105"/>
        </w:rPr>
        <w:t>aumenta</w:t>
      </w:r>
      <w:r>
        <w:rPr>
          <w:color w:val="231F1F"/>
          <w:spacing w:val="40"/>
          <w:w w:val="105"/>
        </w:rPr>
        <w:t> </w:t>
      </w:r>
      <w:r>
        <w:rPr>
          <w:color w:val="231F1F"/>
          <w:w w:val="105"/>
        </w:rPr>
        <w:t>la</w:t>
      </w:r>
      <w:r>
        <w:rPr>
          <w:color w:val="231F1F"/>
          <w:spacing w:val="40"/>
          <w:w w:val="105"/>
        </w:rPr>
        <w:t> </w:t>
      </w:r>
      <w:r>
        <w:rPr>
          <w:color w:val="231F1F"/>
          <w:w w:val="105"/>
        </w:rPr>
        <w:t>probabilidad</w:t>
      </w:r>
      <w:r>
        <w:rPr>
          <w:color w:val="231F1F"/>
          <w:spacing w:val="40"/>
          <w:w w:val="105"/>
        </w:rPr>
        <w:t> </w:t>
      </w:r>
      <w:r>
        <w:rPr>
          <w:color w:val="231F1F"/>
          <w:w w:val="105"/>
        </w:rPr>
        <w:t>de</w:t>
      </w:r>
      <w:r>
        <w:rPr>
          <w:color w:val="231F1F"/>
          <w:spacing w:val="40"/>
          <w:w w:val="105"/>
        </w:rPr>
        <w:t> </w:t>
      </w:r>
      <w:r>
        <w:rPr>
          <w:color w:val="231F1F"/>
          <w:w w:val="105"/>
        </w:rPr>
        <w:t>que</w:t>
      </w:r>
      <w:r>
        <w:rPr>
          <w:color w:val="231F1F"/>
          <w:spacing w:val="40"/>
          <w:w w:val="105"/>
        </w:rPr>
        <w:t> </w:t>
      </w:r>
      <w:r>
        <w:rPr>
          <w:color w:val="231F1F"/>
          <w:w w:val="105"/>
        </w:rPr>
        <w:t>exista</w:t>
      </w:r>
      <w:r>
        <w:rPr>
          <w:color w:val="231F1F"/>
          <w:spacing w:val="40"/>
          <w:w w:val="105"/>
        </w:rPr>
        <w:t> </w:t>
      </w:r>
      <w:r>
        <w:rPr>
          <w:color w:val="231F1F"/>
          <w:w w:val="105"/>
        </w:rPr>
        <w:t>acidemia.</w:t>
      </w:r>
    </w:p>
    <w:p>
      <w:pPr>
        <w:spacing w:before="4"/>
        <w:ind w:left="283" w:right="0" w:firstLine="0"/>
        <w:jc w:val="left"/>
        <w:rPr>
          <w:rFonts w:ascii="Arial MT"/>
          <w:sz w:val="18"/>
        </w:rPr>
      </w:pPr>
      <w:r>
        <w:rPr/>
        <w:br w:type="column"/>
      </w:r>
      <w:r>
        <w:rPr>
          <w:rFonts w:ascii="Arial MT"/>
          <w:color w:val="231F1F"/>
          <w:spacing w:val="-5"/>
          <w:sz w:val="18"/>
        </w:rPr>
        <w:t>III</w:t>
      </w:r>
    </w:p>
    <w:p>
      <w:pPr>
        <w:spacing w:after="0"/>
        <w:jc w:val="left"/>
        <w:rPr>
          <w:rFonts w:ascii="Arial MT"/>
          <w:sz w:val="18"/>
        </w:rPr>
        <w:sectPr>
          <w:type w:val="continuous"/>
          <w:pgSz w:w="11900" w:h="16840"/>
          <w:pgMar w:header="0" w:footer="622" w:top="560" w:bottom="280" w:left="1417" w:right="1559"/>
          <w:cols w:num="2" w:equalWidth="0">
            <w:col w:w="7596" w:space="266"/>
            <w:col w:w="1062"/>
          </w:cols>
        </w:sectPr>
      </w:pPr>
    </w:p>
    <w:p>
      <w:pPr>
        <w:spacing w:before="94"/>
        <w:ind w:left="736" w:right="0" w:firstLine="0"/>
        <w:jc w:val="left"/>
        <w:rPr>
          <w:rFonts w:ascii="Arial MT" w:hAnsi="Arial MT"/>
          <w:position w:val="3"/>
          <w:sz w:val="18"/>
        </w:rPr>
      </w:pPr>
      <w:r>
        <w:rPr>
          <w:color w:val="231F1F"/>
          <w:w w:val="105"/>
          <w:sz w:val="22"/>
        </w:rPr>
        <w:t>En</w:t>
      </w:r>
      <w:r>
        <w:rPr>
          <w:color w:val="231F1F"/>
          <w:spacing w:val="22"/>
          <w:w w:val="105"/>
          <w:sz w:val="22"/>
        </w:rPr>
        <w:t> </w:t>
      </w:r>
      <w:r>
        <w:rPr>
          <w:color w:val="231F1F"/>
          <w:w w:val="105"/>
          <w:sz w:val="22"/>
        </w:rPr>
        <w:t>este</w:t>
      </w:r>
      <w:r>
        <w:rPr>
          <w:color w:val="231F1F"/>
          <w:spacing w:val="24"/>
          <w:w w:val="105"/>
          <w:sz w:val="22"/>
        </w:rPr>
        <w:t> </w:t>
      </w:r>
      <w:r>
        <w:rPr>
          <w:color w:val="231F1F"/>
          <w:w w:val="105"/>
          <w:sz w:val="22"/>
        </w:rPr>
        <w:t>metaanálisis</w:t>
      </w:r>
      <w:r>
        <w:rPr>
          <w:color w:val="231F1F"/>
          <w:spacing w:val="20"/>
          <w:w w:val="105"/>
          <w:sz w:val="22"/>
        </w:rPr>
        <w:t> </w:t>
      </w:r>
      <w:r>
        <w:rPr>
          <w:color w:val="231F1F"/>
          <w:w w:val="105"/>
          <w:sz w:val="22"/>
        </w:rPr>
        <w:t>los</w:t>
      </w:r>
      <w:r>
        <w:rPr>
          <w:color w:val="231F1F"/>
          <w:spacing w:val="24"/>
          <w:w w:val="105"/>
          <w:sz w:val="22"/>
        </w:rPr>
        <w:t> </w:t>
      </w:r>
      <w:r>
        <w:rPr>
          <w:color w:val="231F1F"/>
          <w:w w:val="105"/>
          <w:sz w:val="22"/>
        </w:rPr>
        <w:t>resultados</w:t>
      </w:r>
      <w:r>
        <w:rPr>
          <w:color w:val="231F1F"/>
          <w:spacing w:val="22"/>
          <w:w w:val="105"/>
          <w:sz w:val="22"/>
        </w:rPr>
        <w:t> </w:t>
      </w:r>
      <w:r>
        <w:rPr>
          <w:color w:val="231F1F"/>
          <w:w w:val="105"/>
          <w:sz w:val="22"/>
        </w:rPr>
        <w:t>de</w:t>
      </w:r>
      <w:r>
        <w:rPr>
          <w:color w:val="231F1F"/>
          <w:spacing w:val="22"/>
          <w:w w:val="105"/>
          <w:sz w:val="22"/>
        </w:rPr>
        <w:t> </w:t>
      </w:r>
      <w:r>
        <w:rPr>
          <w:color w:val="231F1F"/>
          <w:w w:val="105"/>
          <w:sz w:val="22"/>
        </w:rPr>
        <w:t>la</w:t>
      </w:r>
      <w:r>
        <w:rPr>
          <w:color w:val="231F1F"/>
          <w:spacing w:val="24"/>
          <w:w w:val="105"/>
          <w:sz w:val="22"/>
        </w:rPr>
        <w:t> </w:t>
      </w:r>
      <w:r>
        <w:rPr>
          <w:i/>
          <w:color w:val="231F1F"/>
          <w:w w:val="105"/>
          <w:sz w:val="22"/>
        </w:rPr>
        <w:t>punción</w:t>
      </w:r>
      <w:r>
        <w:rPr>
          <w:color w:val="231F1F"/>
          <w:w w:val="105"/>
          <w:sz w:val="22"/>
        </w:rPr>
        <w:t>,</w:t>
      </w:r>
      <w:r>
        <w:rPr>
          <w:color w:val="231F1F"/>
          <w:spacing w:val="22"/>
          <w:w w:val="105"/>
          <w:sz w:val="22"/>
        </w:rPr>
        <w:t> </w:t>
      </w:r>
      <w:r>
        <w:rPr>
          <w:color w:val="231F1F"/>
          <w:w w:val="105"/>
          <w:sz w:val="22"/>
        </w:rPr>
        <w:t>con</w:t>
      </w:r>
      <w:r>
        <w:rPr>
          <w:color w:val="231F1F"/>
          <w:spacing w:val="24"/>
          <w:w w:val="105"/>
          <w:sz w:val="22"/>
        </w:rPr>
        <w:t> </w:t>
      </w:r>
      <w:r>
        <w:rPr>
          <w:color w:val="231F1F"/>
          <w:w w:val="105"/>
          <w:sz w:val="22"/>
        </w:rPr>
        <w:t>un</w:t>
      </w:r>
      <w:r>
        <w:rPr>
          <w:color w:val="231F1F"/>
          <w:spacing w:val="22"/>
          <w:w w:val="105"/>
          <w:sz w:val="22"/>
        </w:rPr>
        <w:t> </w:t>
      </w:r>
      <w:r>
        <w:rPr>
          <w:color w:val="231F1F"/>
          <w:w w:val="105"/>
          <w:sz w:val="22"/>
        </w:rPr>
        <w:t>cociente</w:t>
      </w:r>
      <w:r>
        <w:rPr>
          <w:color w:val="231F1F"/>
          <w:spacing w:val="24"/>
          <w:w w:val="105"/>
          <w:sz w:val="22"/>
        </w:rPr>
        <w:t> </w:t>
      </w:r>
      <w:r>
        <w:rPr>
          <w:color w:val="231F1F"/>
          <w:w w:val="105"/>
          <w:sz w:val="22"/>
        </w:rPr>
        <w:t>de</w:t>
      </w:r>
      <w:r>
        <w:rPr>
          <w:color w:val="231F1F"/>
          <w:spacing w:val="73"/>
          <w:w w:val="150"/>
          <w:sz w:val="22"/>
        </w:rPr>
        <w:t> </w:t>
      </w:r>
      <w:r>
        <w:rPr>
          <w:rFonts w:ascii="Arial MT" w:hAnsi="Arial MT"/>
          <w:color w:val="231F1F"/>
          <w:w w:val="105"/>
          <w:position w:val="3"/>
          <w:sz w:val="18"/>
        </w:rPr>
        <w:t>RS-MA</w:t>
      </w:r>
      <w:r>
        <w:rPr>
          <w:rFonts w:ascii="Arial MT" w:hAnsi="Arial MT"/>
          <w:color w:val="231F1F"/>
          <w:spacing w:val="8"/>
          <w:w w:val="105"/>
          <w:position w:val="3"/>
          <w:sz w:val="18"/>
        </w:rPr>
        <w:t> </w:t>
      </w:r>
      <w:r>
        <w:rPr>
          <w:rFonts w:ascii="Arial MT" w:hAnsi="Arial MT"/>
          <w:color w:val="231F1F"/>
          <w:w w:val="105"/>
          <w:position w:val="3"/>
          <w:sz w:val="18"/>
        </w:rPr>
        <w:t>de</w:t>
      </w:r>
      <w:r>
        <w:rPr>
          <w:rFonts w:ascii="Arial MT" w:hAnsi="Arial MT"/>
          <w:color w:val="231F1F"/>
          <w:spacing w:val="7"/>
          <w:w w:val="105"/>
          <w:position w:val="3"/>
          <w:sz w:val="18"/>
        </w:rPr>
        <w:t> </w:t>
      </w:r>
      <w:r>
        <w:rPr>
          <w:rFonts w:ascii="Arial MT" w:hAnsi="Arial MT"/>
          <w:color w:val="231F1F"/>
          <w:spacing w:val="-5"/>
          <w:w w:val="105"/>
          <w:position w:val="3"/>
          <w:sz w:val="18"/>
        </w:rPr>
        <w:t>E.</w:t>
      </w:r>
    </w:p>
    <w:p>
      <w:pPr>
        <w:spacing w:after="0"/>
        <w:jc w:val="left"/>
        <w:rPr>
          <w:rFonts w:ascii="Arial MT" w:hAnsi="Arial MT"/>
          <w:position w:val="3"/>
          <w:sz w:val="18"/>
        </w:rPr>
        <w:sectPr>
          <w:type w:val="continuous"/>
          <w:pgSz w:w="11900" w:h="16840"/>
          <w:pgMar w:header="0" w:footer="622" w:top="560" w:bottom="280" w:left="1417" w:right="1559"/>
        </w:sectPr>
      </w:pPr>
    </w:p>
    <w:p>
      <w:pPr>
        <w:pStyle w:val="BodyText"/>
        <w:spacing w:line="247" w:lineRule="auto" w:before="26"/>
        <w:ind w:left="283"/>
        <w:jc w:val="both"/>
      </w:pPr>
      <w:r>
        <w:rPr>
          <w:color w:val="231F1F"/>
          <w:w w:val="105"/>
        </w:rPr>
        <w:t>probabilidad negativo estadísticamente no significativo, no nos dan confianza de que la probabilidad preprueba se modifique tras realizarla la estimulación mediante punción.</w:t>
      </w:r>
    </w:p>
    <w:p>
      <w:pPr>
        <w:spacing w:line="278" w:lineRule="auto" w:before="0"/>
        <w:ind w:left="555" w:right="101" w:hanging="492"/>
        <w:jc w:val="left"/>
        <w:rPr>
          <w:rFonts w:ascii="Arial MT"/>
          <w:sz w:val="18"/>
        </w:rPr>
      </w:pPr>
      <w:r>
        <w:rPr/>
        <w:br w:type="column"/>
      </w:r>
      <w:r>
        <w:rPr>
          <w:rFonts w:ascii="Arial MT"/>
          <w:color w:val="231F1F"/>
          <w:spacing w:val="-6"/>
          <w:sz w:val="18"/>
        </w:rPr>
        <w:t>Transversales </w:t>
      </w:r>
      <w:r>
        <w:rPr>
          <w:rFonts w:ascii="Arial MT"/>
          <w:color w:val="231F1F"/>
          <w:spacing w:val="-4"/>
          <w:sz w:val="18"/>
        </w:rPr>
        <w:t>III</w:t>
      </w:r>
    </w:p>
    <w:p>
      <w:pPr>
        <w:spacing w:after="0" w:line="278" w:lineRule="auto"/>
        <w:jc w:val="left"/>
        <w:rPr>
          <w:rFonts w:ascii="Arial MT"/>
          <w:sz w:val="18"/>
        </w:rPr>
        <w:sectPr>
          <w:type w:val="continuous"/>
          <w:pgSz w:w="11900" w:h="16840"/>
          <w:pgMar w:header="0" w:footer="622" w:top="560" w:bottom="280" w:left="1417" w:right="1559"/>
          <w:cols w:num="2" w:equalWidth="0">
            <w:col w:w="7549" w:space="40"/>
            <w:col w:w="1335"/>
          </w:cols>
        </w:sectPr>
      </w:pPr>
    </w:p>
    <w:p>
      <w:pPr>
        <w:spacing w:before="73"/>
        <w:ind w:left="0" w:right="152" w:firstLine="0"/>
        <w:jc w:val="right"/>
        <w:rPr>
          <w:rFonts w:ascii="Arial MT" w:hAnsi="Arial MT"/>
          <w:sz w:val="18"/>
        </w:rPr>
      </w:pPr>
      <w:r>
        <w:rPr>
          <w:color w:val="231F1F"/>
          <w:w w:val="105"/>
          <w:sz w:val="22"/>
        </w:rPr>
        <w:t>En</w:t>
      </w:r>
      <w:r>
        <w:rPr>
          <w:color w:val="231F1F"/>
          <w:spacing w:val="6"/>
          <w:w w:val="105"/>
          <w:sz w:val="22"/>
        </w:rPr>
        <w:t> </w:t>
      </w:r>
      <w:r>
        <w:rPr>
          <w:color w:val="231F1F"/>
          <w:w w:val="105"/>
          <w:sz w:val="22"/>
        </w:rPr>
        <w:t>relación</w:t>
      </w:r>
      <w:r>
        <w:rPr>
          <w:color w:val="231F1F"/>
          <w:spacing w:val="7"/>
          <w:w w:val="105"/>
          <w:sz w:val="22"/>
        </w:rPr>
        <w:t> </w:t>
      </w:r>
      <w:r>
        <w:rPr>
          <w:color w:val="231F1F"/>
          <w:w w:val="105"/>
          <w:sz w:val="22"/>
        </w:rPr>
        <w:t>a</w:t>
      </w:r>
      <w:r>
        <w:rPr>
          <w:color w:val="231F1F"/>
          <w:spacing w:val="8"/>
          <w:w w:val="105"/>
          <w:sz w:val="22"/>
        </w:rPr>
        <w:t> </w:t>
      </w:r>
      <w:r>
        <w:rPr>
          <w:color w:val="231F1F"/>
          <w:w w:val="105"/>
          <w:sz w:val="22"/>
        </w:rPr>
        <w:t>la</w:t>
      </w:r>
      <w:r>
        <w:rPr>
          <w:color w:val="231F1F"/>
          <w:spacing w:val="8"/>
          <w:w w:val="105"/>
          <w:sz w:val="22"/>
        </w:rPr>
        <w:t> </w:t>
      </w:r>
      <w:r>
        <w:rPr>
          <w:i/>
          <w:color w:val="231F1F"/>
          <w:w w:val="105"/>
          <w:sz w:val="22"/>
        </w:rPr>
        <w:t>estimulación</w:t>
      </w:r>
      <w:r>
        <w:rPr>
          <w:i/>
          <w:color w:val="231F1F"/>
          <w:spacing w:val="4"/>
          <w:w w:val="105"/>
          <w:sz w:val="22"/>
        </w:rPr>
        <w:t> </w:t>
      </w:r>
      <w:r>
        <w:rPr>
          <w:i/>
          <w:color w:val="231F1F"/>
          <w:w w:val="105"/>
          <w:sz w:val="22"/>
        </w:rPr>
        <w:t>digital</w:t>
      </w:r>
      <w:r>
        <w:rPr>
          <w:color w:val="231F1F"/>
          <w:w w:val="105"/>
          <w:sz w:val="22"/>
        </w:rPr>
        <w:t>,</w:t>
      </w:r>
      <w:r>
        <w:rPr>
          <w:color w:val="231F1F"/>
          <w:spacing w:val="6"/>
          <w:w w:val="105"/>
          <w:sz w:val="22"/>
        </w:rPr>
        <w:t> </w:t>
      </w:r>
      <w:r>
        <w:rPr>
          <w:color w:val="231F1F"/>
          <w:w w:val="105"/>
          <w:sz w:val="22"/>
        </w:rPr>
        <w:t>un</w:t>
      </w:r>
      <w:r>
        <w:rPr>
          <w:color w:val="231F1F"/>
          <w:spacing w:val="8"/>
          <w:w w:val="105"/>
          <w:sz w:val="22"/>
        </w:rPr>
        <w:t> </w:t>
      </w:r>
      <w:r>
        <w:rPr>
          <w:color w:val="231F1F"/>
          <w:w w:val="105"/>
          <w:sz w:val="22"/>
        </w:rPr>
        <w:t>Cp-</w:t>
      </w:r>
      <w:r>
        <w:rPr>
          <w:color w:val="231F1F"/>
          <w:spacing w:val="8"/>
          <w:w w:val="105"/>
          <w:sz w:val="22"/>
        </w:rPr>
        <w:t> </w:t>
      </w:r>
      <w:r>
        <w:rPr>
          <w:color w:val="231F1F"/>
          <w:w w:val="105"/>
          <w:sz w:val="22"/>
        </w:rPr>
        <w:t>de</w:t>
      </w:r>
      <w:r>
        <w:rPr>
          <w:color w:val="231F1F"/>
          <w:spacing w:val="6"/>
          <w:w w:val="105"/>
          <w:sz w:val="22"/>
        </w:rPr>
        <w:t> </w:t>
      </w:r>
      <w:r>
        <w:rPr>
          <w:color w:val="231F1F"/>
          <w:w w:val="105"/>
          <w:sz w:val="22"/>
        </w:rPr>
        <w:t>0,08</w:t>
      </w:r>
      <w:r>
        <w:rPr>
          <w:color w:val="231F1F"/>
          <w:spacing w:val="7"/>
          <w:w w:val="105"/>
          <w:sz w:val="22"/>
        </w:rPr>
        <w:t> </w:t>
      </w:r>
      <w:r>
        <w:rPr>
          <w:color w:val="231F1F"/>
          <w:w w:val="105"/>
          <w:sz w:val="22"/>
        </w:rPr>
        <w:t>representa</w:t>
      </w:r>
      <w:r>
        <w:rPr>
          <w:color w:val="231F1F"/>
          <w:spacing w:val="8"/>
          <w:w w:val="105"/>
          <w:sz w:val="22"/>
        </w:rPr>
        <w:t> </w:t>
      </w:r>
      <w:r>
        <w:rPr>
          <w:color w:val="231F1F"/>
          <w:w w:val="105"/>
          <w:sz w:val="22"/>
        </w:rPr>
        <w:t>que</w:t>
      </w:r>
      <w:r>
        <w:rPr>
          <w:color w:val="231F1F"/>
          <w:spacing w:val="6"/>
          <w:w w:val="105"/>
          <w:sz w:val="22"/>
        </w:rPr>
        <w:t> </w:t>
      </w:r>
      <w:r>
        <w:rPr>
          <w:color w:val="231F1F"/>
          <w:w w:val="105"/>
          <w:sz w:val="22"/>
        </w:rPr>
        <w:t>un</w:t>
      </w:r>
      <w:r>
        <w:rPr>
          <w:color w:val="231F1F"/>
          <w:spacing w:val="68"/>
          <w:w w:val="150"/>
          <w:sz w:val="22"/>
        </w:rPr>
        <w:t> </w:t>
      </w:r>
      <w:r>
        <w:rPr>
          <w:rFonts w:ascii="Arial MT" w:hAnsi="Arial MT"/>
          <w:color w:val="231F1F"/>
          <w:w w:val="105"/>
          <w:sz w:val="18"/>
        </w:rPr>
        <w:t>RS-MA</w:t>
      </w:r>
      <w:r>
        <w:rPr>
          <w:rFonts w:ascii="Arial MT" w:hAnsi="Arial MT"/>
          <w:color w:val="231F1F"/>
          <w:spacing w:val="5"/>
          <w:w w:val="105"/>
          <w:sz w:val="18"/>
        </w:rPr>
        <w:t> </w:t>
      </w:r>
      <w:r>
        <w:rPr>
          <w:rFonts w:ascii="Arial MT" w:hAnsi="Arial MT"/>
          <w:color w:val="231F1F"/>
          <w:w w:val="105"/>
          <w:sz w:val="18"/>
        </w:rPr>
        <w:t>de</w:t>
      </w:r>
      <w:r>
        <w:rPr>
          <w:rFonts w:ascii="Arial MT" w:hAnsi="Arial MT"/>
          <w:color w:val="231F1F"/>
          <w:spacing w:val="5"/>
          <w:w w:val="105"/>
          <w:sz w:val="18"/>
        </w:rPr>
        <w:t> </w:t>
      </w:r>
      <w:r>
        <w:rPr>
          <w:rFonts w:ascii="Arial MT" w:hAnsi="Arial MT"/>
          <w:color w:val="231F1F"/>
          <w:spacing w:val="-5"/>
          <w:w w:val="105"/>
          <w:sz w:val="18"/>
        </w:rPr>
        <w:t>E.</w:t>
      </w:r>
    </w:p>
    <w:p>
      <w:pPr>
        <w:pStyle w:val="BodyText"/>
        <w:tabs>
          <w:tab w:pos="7274" w:val="left" w:leader="none"/>
        </w:tabs>
        <w:spacing w:before="2"/>
        <w:ind w:right="118"/>
        <w:jc w:val="right"/>
        <w:rPr>
          <w:rFonts w:ascii="Arial MT" w:hAnsi="Arial MT"/>
          <w:position w:val="4"/>
          <w:sz w:val="18"/>
        </w:rPr>
      </w:pPr>
      <w:r>
        <w:rPr>
          <w:color w:val="231F1F"/>
        </w:rPr>
        <w:t>resultado</w:t>
      </w:r>
      <w:r>
        <w:rPr>
          <w:color w:val="231F1F"/>
          <w:spacing w:val="17"/>
        </w:rPr>
        <w:t> </w:t>
      </w:r>
      <w:r>
        <w:rPr>
          <w:color w:val="231F1F"/>
        </w:rPr>
        <w:t>negativo</w:t>
      </w:r>
      <w:r>
        <w:rPr>
          <w:color w:val="231F1F"/>
          <w:spacing w:val="21"/>
        </w:rPr>
        <w:t> </w:t>
      </w:r>
      <w:r>
        <w:rPr>
          <w:color w:val="231F1F"/>
        </w:rPr>
        <w:t>de</w:t>
      </w:r>
      <w:r>
        <w:rPr>
          <w:color w:val="231F1F"/>
          <w:spacing w:val="21"/>
        </w:rPr>
        <w:t> </w:t>
      </w:r>
      <w:r>
        <w:rPr>
          <w:color w:val="231F1F"/>
        </w:rPr>
        <w:t>dicho</w:t>
      </w:r>
      <w:r>
        <w:rPr>
          <w:color w:val="231F1F"/>
          <w:spacing w:val="21"/>
        </w:rPr>
        <w:t> </w:t>
      </w:r>
      <w:r>
        <w:rPr>
          <w:color w:val="231F1F"/>
        </w:rPr>
        <w:t>test</w:t>
      </w:r>
      <w:r>
        <w:rPr>
          <w:color w:val="231F1F"/>
          <w:spacing w:val="22"/>
        </w:rPr>
        <w:t> </w:t>
      </w:r>
      <w:r>
        <w:rPr>
          <w:color w:val="231F1F"/>
        </w:rPr>
        <w:t>generaría</w:t>
      </w:r>
      <w:r>
        <w:rPr>
          <w:color w:val="231F1F"/>
          <w:spacing w:val="22"/>
        </w:rPr>
        <w:t> </w:t>
      </w:r>
      <w:r>
        <w:rPr>
          <w:color w:val="231F1F"/>
        </w:rPr>
        <w:t>un</w:t>
      </w:r>
      <w:r>
        <w:rPr>
          <w:color w:val="231F1F"/>
          <w:spacing w:val="22"/>
        </w:rPr>
        <w:t> </w:t>
      </w:r>
      <w:r>
        <w:rPr>
          <w:color w:val="231F1F"/>
        </w:rPr>
        <w:t>gran</w:t>
      </w:r>
      <w:r>
        <w:rPr>
          <w:color w:val="231F1F"/>
          <w:spacing w:val="21"/>
        </w:rPr>
        <w:t> </w:t>
      </w:r>
      <w:r>
        <w:rPr>
          <w:color w:val="231F1F"/>
        </w:rPr>
        <w:t>cambio</w:t>
      </w:r>
      <w:r>
        <w:rPr>
          <w:color w:val="231F1F"/>
          <w:spacing w:val="21"/>
        </w:rPr>
        <w:t> </w:t>
      </w:r>
      <w:r>
        <w:rPr>
          <w:color w:val="231F1F"/>
        </w:rPr>
        <w:t>en</w:t>
      </w:r>
      <w:r>
        <w:rPr>
          <w:color w:val="231F1F"/>
          <w:spacing w:val="21"/>
        </w:rPr>
        <w:t> </w:t>
      </w:r>
      <w:r>
        <w:rPr>
          <w:color w:val="231F1F"/>
        </w:rPr>
        <w:t>la</w:t>
      </w:r>
      <w:r>
        <w:rPr>
          <w:color w:val="231F1F"/>
          <w:spacing w:val="23"/>
        </w:rPr>
        <w:t> </w:t>
      </w:r>
      <w:r>
        <w:rPr>
          <w:color w:val="231F1F"/>
          <w:spacing w:val="-2"/>
        </w:rPr>
        <w:t>probabilidad</w:t>
      </w:r>
      <w:r>
        <w:rPr>
          <w:color w:val="231F1F"/>
        </w:rPr>
        <w:tab/>
      </w:r>
      <w:r>
        <w:rPr>
          <w:rFonts w:ascii="Arial MT" w:hAnsi="Arial MT"/>
          <w:color w:val="231F1F"/>
          <w:spacing w:val="-2"/>
          <w:position w:val="4"/>
          <w:sz w:val="18"/>
        </w:rPr>
        <w:t>Transversales</w:t>
      </w:r>
    </w:p>
    <w:p>
      <w:pPr>
        <w:pStyle w:val="BodyText"/>
        <w:spacing w:after="0"/>
        <w:jc w:val="right"/>
        <w:rPr>
          <w:rFonts w:ascii="Arial MT" w:hAnsi="Arial MT"/>
          <w:position w:val="4"/>
          <w:sz w:val="18"/>
        </w:rPr>
        <w:sectPr>
          <w:pgSz w:w="11900" w:h="16840"/>
          <w:pgMar w:header="0" w:footer="622" w:top="1560" w:bottom="820" w:left="1417" w:right="1559"/>
        </w:sectPr>
      </w:pPr>
    </w:p>
    <w:p>
      <w:pPr>
        <w:pStyle w:val="BodyText"/>
        <w:spacing w:line="247" w:lineRule="auto" w:before="31"/>
        <w:ind w:left="283" w:right="38"/>
        <w:jc w:val="both"/>
      </w:pPr>
      <w:r>
        <w:rPr>
          <w:color w:val="231F1F"/>
          <w:w w:val="110"/>
        </w:rPr>
        <w:t>preprueba, disminuyendo la probabilidad de tener la acidemia, pudiéndose descartar</w:t>
      </w:r>
      <w:r>
        <w:rPr>
          <w:color w:val="231F1F"/>
          <w:spacing w:val="-3"/>
          <w:w w:val="110"/>
        </w:rPr>
        <w:t> </w:t>
      </w:r>
      <w:r>
        <w:rPr>
          <w:color w:val="231F1F"/>
          <w:w w:val="110"/>
        </w:rPr>
        <w:t>prácticamente</w:t>
      </w:r>
      <w:r>
        <w:rPr>
          <w:color w:val="231F1F"/>
          <w:spacing w:val="-3"/>
          <w:w w:val="110"/>
        </w:rPr>
        <w:t> </w:t>
      </w:r>
      <w:r>
        <w:rPr>
          <w:color w:val="231F1F"/>
          <w:w w:val="110"/>
        </w:rPr>
        <w:t>su</w:t>
      </w:r>
      <w:r>
        <w:rPr>
          <w:color w:val="231F1F"/>
          <w:spacing w:val="-2"/>
          <w:w w:val="110"/>
        </w:rPr>
        <w:t> </w:t>
      </w:r>
      <w:r>
        <w:rPr>
          <w:color w:val="231F1F"/>
          <w:w w:val="110"/>
        </w:rPr>
        <w:t>diagnóstico.</w:t>
      </w:r>
      <w:r>
        <w:rPr>
          <w:color w:val="231F1F"/>
          <w:spacing w:val="-3"/>
          <w:w w:val="110"/>
        </w:rPr>
        <w:t> </w:t>
      </w:r>
      <w:r>
        <w:rPr>
          <w:color w:val="231F1F"/>
          <w:w w:val="110"/>
        </w:rPr>
        <w:t>La</w:t>
      </w:r>
      <w:r>
        <w:rPr>
          <w:color w:val="231F1F"/>
          <w:spacing w:val="-2"/>
          <w:w w:val="110"/>
        </w:rPr>
        <w:t> </w:t>
      </w:r>
      <w:r>
        <w:rPr>
          <w:color w:val="231F1F"/>
          <w:w w:val="110"/>
        </w:rPr>
        <w:t>Cp+</w:t>
      </w:r>
      <w:r>
        <w:rPr>
          <w:color w:val="231F1F"/>
          <w:spacing w:val="-2"/>
          <w:w w:val="110"/>
        </w:rPr>
        <w:t> </w:t>
      </w:r>
      <w:r>
        <w:rPr>
          <w:color w:val="231F1F"/>
          <w:w w:val="110"/>
        </w:rPr>
        <w:t>de</w:t>
      </w:r>
      <w:r>
        <w:rPr>
          <w:color w:val="231F1F"/>
          <w:spacing w:val="-2"/>
          <w:w w:val="110"/>
        </w:rPr>
        <w:t> </w:t>
      </w:r>
      <w:r>
        <w:rPr>
          <w:color w:val="231F1F"/>
          <w:w w:val="110"/>
        </w:rPr>
        <w:t>1,93</w:t>
      </w:r>
      <w:r>
        <w:rPr>
          <w:color w:val="231F1F"/>
          <w:spacing w:val="-2"/>
          <w:w w:val="110"/>
        </w:rPr>
        <w:t> </w:t>
      </w:r>
      <w:r>
        <w:rPr>
          <w:color w:val="231F1F"/>
          <w:w w:val="110"/>
        </w:rPr>
        <w:t>tan</w:t>
      </w:r>
      <w:r>
        <w:rPr>
          <w:color w:val="231F1F"/>
          <w:spacing w:val="-2"/>
          <w:w w:val="110"/>
        </w:rPr>
        <w:t> </w:t>
      </w:r>
      <w:r>
        <w:rPr>
          <w:color w:val="231F1F"/>
          <w:w w:val="110"/>
        </w:rPr>
        <w:t>solo</w:t>
      </w:r>
      <w:r>
        <w:rPr>
          <w:color w:val="231F1F"/>
          <w:spacing w:val="-2"/>
          <w:w w:val="110"/>
        </w:rPr>
        <w:t> </w:t>
      </w:r>
      <w:r>
        <w:rPr>
          <w:color w:val="231F1F"/>
          <w:w w:val="110"/>
        </w:rPr>
        <w:t>representa ligero aumento en la probabilidad posprueba (respecto a la preprueba esti- mada</w:t>
      </w:r>
      <w:r>
        <w:rPr>
          <w:color w:val="231F1F"/>
          <w:spacing w:val="-7"/>
          <w:w w:val="110"/>
        </w:rPr>
        <w:t> </w:t>
      </w:r>
      <w:r>
        <w:rPr>
          <w:color w:val="231F1F"/>
          <w:w w:val="110"/>
        </w:rPr>
        <w:t>en</w:t>
      </w:r>
      <w:r>
        <w:rPr>
          <w:color w:val="231F1F"/>
          <w:spacing w:val="-7"/>
          <w:w w:val="110"/>
        </w:rPr>
        <w:t> </w:t>
      </w:r>
      <w:r>
        <w:rPr>
          <w:color w:val="231F1F"/>
          <w:w w:val="110"/>
        </w:rPr>
        <w:t>un</w:t>
      </w:r>
      <w:r>
        <w:rPr>
          <w:color w:val="231F1F"/>
          <w:spacing w:val="-7"/>
          <w:w w:val="110"/>
        </w:rPr>
        <w:t> </w:t>
      </w:r>
      <w:r>
        <w:rPr>
          <w:color w:val="231F1F"/>
          <w:w w:val="110"/>
        </w:rPr>
        <w:t>11%</w:t>
      </w:r>
      <w:r>
        <w:rPr>
          <w:color w:val="231F1F"/>
          <w:spacing w:val="-6"/>
          <w:w w:val="110"/>
        </w:rPr>
        <w:t> </w:t>
      </w:r>
      <w:r>
        <w:rPr>
          <w:color w:val="231F1F"/>
          <w:w w:val="110"/>
        </w:rPr>
        <w:t>en</w:t>
      </w:r>
      <w:r>
        <w:rPr>
          <w:color w:val="231F1F"/>
          <w:spacing w:val="-7"/>
          <w:w w:val="110"/>
        </w:rPr>
        <w:t> </w:t>
      </w:r>
      <w:r>
        <w:rPr>
          <w:color w:val="231F1F"/>
          <w:w w:val="110"/>
        </w:rPr>
        <w:t>el</w:t>
      </w:r>
      <w:r>
        <w:rPr>
          <w:color w:val="231F1F"/>
          <w:spacing w:val="-8"/>
          <w:w w:val="110"/>
        </w:rPr>
        <w:t> </w:t>
      </w:r>
      <w:r>
        <w:rPr>
          <w:color w:val="231F1F"/>
          <w:w w:val="110"/>
        </w:rPr>
        <w:t>estudio)</w:t>
      </w:r>
      <w:r>
        <w:rPr>
          <w:color w:val="231F1F"/>
          <w:spacing w:val="-7"/>
          <w:w w:val="110"/>
        </w:rPr>
        <w:t> </w:t>
      </w:r>
      <w:r>
        <w:rPr>
          <w:color w:val="231F1F"/>
          <w:w w:val="110"/>
        </w:rPr>
        <w:t>de</w:t>
      </w:r>
      <w:r>
        <w:rPr>
          <w:color w:val="231F1F"/>
          <w:spacing w:val="-7"/>
          <w:w w:val="110"/>
        </w:rPr>
        <w:t> </w:t>
      </w:r>
      <w:r>
        <w:rPr>
          <w:color w:val="231F1F"/>
          <w:w w:val="110"/>
        </w:rPr>
        <w:t>tener</w:t>
      </w:r>
      <w:r>
        <w:rPr>
          <w:color w:val="231F1F"/>
          <w:spacing w:val="-8"/>
          <w:w w:val="110"/>
        </w:rPr>
        <w:t> </w:t>
      </w:r>
      <w:r>
        <w:rPr>
          <w:color w:val="231F1F"/>
          <w:w w:val="110"/>
        </w:rPr>
        <w:t>acidemia.</w:t>
      </w:r>
      <w:r>
        <w:rPr>
          <w:color w:val="231F1F"/>
          <w:spacing w:val="-8"/>
          <w:w w:val="110"/>
        </w:rPr>
        <w:t> </w:t>
      </w:r>
      <w:r>
        <w:rPr>
          <w:color w:val="231F1F"/>
          <w:w w:val="110"/>
        </w:rPr>
        <w:t>Así,</w:t>
      </w:r>
      <w:r>
        <w:rPr>
          <w:color w:val="231F1F"/>
          <w:spacing w:val="-8"/>
          <w:w w:val="110"/>
        </w:rPr>
        <w:t> </w:t>
      </w:r>
      <w:r>
        <w:rPr>
          <w:color w:val="231F1F"/>
          <w:w w:val="110"/>
        </w:rPr>
        <w:t>la</w:t>
      </w:r>
      <w:r>
        <w:rPr>
          <w:color w:val="231F1F"/>
          <w:spacing w:val="-7"/>
          <w:w w:val="110"/>
        </w:rPr>
        <w:t> </w:t>
      </w:r>
      <w:r>
        <w:rPr>
          <w:color w:val="231F1F"/>
          <w:w w:val="110"/>
        </w:rPr>
        <w:t>evidencia</w:t>
      </w:r>
      <w:r>
        <w:rPr>
          <w:color w:val="231F1F"/>
          <w:spacing w:val="-7"/>
          <w:w w:val="110"/>
        </w:rPr>
        <w:t> </w:t>
      </w:r>
      <w:r>
        <w:rPr>
          <w:color w:val="231F1F"/>
          <w:w w:val="110"/>
        </w:rPr>
        <w:t>muestra que</w:t>
      </w:r>
      <w:r>
        <w:rPr>
          <w:color w:val="231F1F"/>
          <w:spacing w:val="-8"/>
          <w:w w:val="110"/>
        </w:rPr>
        <w:t> </w:t>
      </w:r>
      <w:r>
        <w:rPr>
          <w:color w:val="231F1F"/>
          <w:w w:val="110"/>
        </w:rPr>
        <w:t>la</w:t>
      </w:r>
      <w:r>
        <w:rPr>
          <w:color w:val="231F1F"/>
          <w:spacing w:val="-8"/>
          <w:w w:val="110"/>
        </w:rPr>
        <w:t> </w:t>
      </w:r>
      <w:r>
        <w:rPr>
          <w:color w:val="231F1F"/>
          <w:w w:val="110"/>
        </w:rPr>
        <w:t>estimulación</w:t>
      </w:r>
      <w:r>
        <w:rPr>
          <w:color w:val="231F1F"/>
          <w:spacing w:val="-8"/>
          <w:w w:val="110"/>
        </w:rPr>
        <w:t> </w:t>
      </w:r>
      <w:r>
        <w:rPr>
          <w:color w:val="231F1F"/>
          <w:w w:val="110"/>
        </w:rPr>
        <w:t>digital</w:t>
      </w:r>
      <w:r>
        <w:rPr>
          <w:color w:val="231F1F"/>
          <w:spacing w:val="-9"/>
          <w:w w:val="110"/>
        </w:rPr>
        <w:t> </w:t>
      </w:r>
      <w:r>
        <w:rPr>
          <w:color w:val="231F1F"/>
          <w:w w:val="110"/>
        </w:rPr>
        <w:t>de</w:t>
      </w:r>
      <w:r>
        <w:rPr>
          <w:color w:val="231F1F"/>
          <w:spacing w:val="-8"/>
          <w:w w:val="110"/>
        </w:rPr>
        <w:t> </w:t>
      </w:r>
      <w:r>
        <w:rPr>
          <w:color w:val="231F1F"/>
          <w:w w:val="110"/>
        </w:rPr>
        <w:t>la</w:t>
      </w:r>
      <w:r>
        <w:rPr>
          <w:color w:val="231F1F"/>
          <w:spacing w:val="-8"/>
          <w:w w:val="110"/>
        </w:rPr>
        <w:t> </w:t>
      </w:r>
      <w:r>
        <w:rPr>
          <w:color w:val="231F1F"/>
          <w:w w:val="110"/>
        </w:rPr>
        <w:t>calota</w:t>
      </w:r>
      <w:r>
        <w:rPr>
          <w:color w:val="231F1F"/>
          <w:spacing w:val="-8"/>
          <w:w w:val="110"/>
        </w:rPr>
        <w:t> </w:t>
      </w:r>
      <w:r>
        <w:rPr>
          <w:color w:val="231F1F"/>
          <w:w w:val="110"/>
        </w:rPr>
        <w:t>fetal</w:t>
      </w:r>
      <w:r>
        <w:rPr>
          <w:color w:val="231F1F"/>
          <w:spacing w:val="-9"/>
          <w:w w:val="110"/>
        </w:rPr>
        <w:t> </w:t>
      </w:r>
      <w:r>
        <w:rPr>
          <w:color w:val="231F1F"/>
          <w:w w:val="110"/>
        </w:rPr>
        <w:t>tiene</w:t>
      </w:r>
      <w:r>
        <w:rPr>
          <w:color w:val="231F1F"/>
          <w:spacing w:val="-8"/>
          <w:w w:val="110"/>
        </w:rPr>
        <w:t> </w:t>
      </w:r>
      <w:r>
        <w:rPr>
          <w:color w:val="231F1F"/>
          <w:w w:val="110"/>
        </w:rPr>
        <w:t>un</w:t>
      </w:r>
      <w:r>
        <w:rPr>
          <w:color w:val="231F1F"/>
          <w:spacing w:val="-8"/>
          <w:w w:val="110"/>
        </w:rPr>
        <w:t> </w:t>
      </w:r>
      <w:r>
        <w:rPr>
          <w:color w:val="231F1F"/>
          <w:w w:val="110"/>
        </w:rPr>
        <w:t>valor</w:t>
      </w:r>
      <w:r>
        <w:rPr>
          <w:color w:val="231F1F"/>
          <w:spacing w:val="-9"/>
          <w:w w:val="110"/>
        </w:rPr>
        <w:t> </w:t>
      </w:r>
      <w:r>
        <w:rPr>
          <w:color w:val="231F1F"/>
          <w:w w:val="110"/>
        </w:rPr>
        <w:t>predictivo</w:t>
      </w:r>
      <w:r>
        <w:rPr>
          <w:color w:val="231F1F"/>
          <w:spacing w:val="-8"/>
          <w:w w:val="110"/>
        </w:rPr>
        <w:t> </w:t>
      </w:r>
      <w:r>
        <w:rPr>
          <w:color w:val="231F1F"/>
          <w:w w:val="110"/>
        </w:rPr>
        <w:t>positi- vo</w:t>
      </w:r>
      <w:r>
        <w:rPr>
          <w:color w:val="231F1F"/>
          <w:spacing w:val="-14"/>
          <w:w w:val="110"/>
        </w:rPr>
        <w:t> </w:t>
      </w:r>
      <w:r>
        <w:rPr>
          <w:color w:val="231F1F"/>
          <w:w w:val="110"/>
        </w:rPr>
        <w:t>pobre</w:t>
      </w:r>
      <w:r>
        <w:rPr>
          <w:color w:val="231F1F"/>
          <w:spacing w:val="-14"/>
          <w:w w:val="110"/>
        </w:rPr>
        <w:t> </w:t>
      </w:r>
      <w:r>
        <w:rPr>
          <w:color w:val="231F1F"/>
          <w:w w:val="110"/>
        </w:rPr>
        <w:t>pero</w:t>
      </w:r>
      <w:r>
        <w:rPr>
          <w:color w:val="231F1F"/>
          <w:spacing w:val="-14"/>
          <w:w w:val="110"/>
        </w:rPr>
        <w:t> </w:t>
      </w:r>
      <w:r>
        <w:rPr>
          <w:color w:val="231F1F"/>
          <w:w w:val="110"/>
        </w:rPr>
        <w:t>un</w:t>
      </w:r>
      <w:r>
        <w:rPr>
          <w:color w:val="231F1F"/>
          <w:spacing w:val="-14"/>
          <w:w w:val="110"/>
        </w:rPr>
        <w:t> </w:t>
      </w:r>
      <w:r>
        <w:rPr>
          <w:color w:val="231F1F"/>
          <w:w w:val="110"/>
        </w:rPr>
        <w:t>alto</w:t>
      </w:r>
      <w:r>
        <w:rPr>
          <w:color w:val="231F1F"/>
          <w:spacing w:val="-14"/>
          <w:w w:val="110"/>
        </w:rPr>
        <w:t> </w:t>
      </w:r>
      <w:r>
        <w:rPr>
          <w:color w:val="231F1F"/>
          <w:w w:val="110"/>
        </w:rPr>
        <w:t>valor</w:t>
      </w:r>
      <w:r>
        <w:rPr>
          <w:color w:val="231F1F"/>
          <w:spacing w:val="-14"/>
          <w:w w:val="110"/>
        </w:rPr>
        <w:t> </w:t>
      </w:r>
      <w:r>
        <w:rPr>
          <w:color w:val="231F1F"/>
          <w:w w:val="110"/>
        </w:rPr>
        <w:t>predictivo</w:t>
      </w:r>
      <w:r>
        <w:rPr>
          <w:color w:val="231F1F"/>
          <w:spacing w:val="-14"/>
          <w:w w:val="110"/>
        </w:rPr>
        <w:t> </w:t>
      </w:r>
      <w:r>
        <w:rPr>
          <w:color w:val="231F1F"/>
          <w:w w:val="110"/>
        </w:rPr>
        <w:t>negativo</w:t>
      </w:r>
      <w:r>
        <w:rPr>
          <w:color w:val="231F1F"/>
          <w:spacing w:val="-14"/>
          <w:w w:val="110"/>
        </w:rPr>
        <w:t> </w:t>
      </w:r>
      <w:r>
        <w:rPr>
          <w:color w:val="231F1F"/>
          <w:w w:val="110"/>
        </w:rPr>
        <w:t>para</w:t>
      </w:r>
      <w:r>
        <w:rPr>
          <w:color w:val="231F1F"/>
          <w:spacing w:val="-14"/>
          <w:w w:val="110"/>
        </w:rPr>
        <w:t> </w:t>
      </w:r>
      <w:r>
        <w:rPr>
          <w:color w:val="231F1F"/>
          <w:w w:val="110"/>
        </w:rPr>
        <w:t>el</w:t>
      </w:r>
      <w:r>
        <w:rPr>
          <w:color w:val="231F1F"/>
          <w:spacing w:val="-14"/>
          <w:w w:val="110"/>
        </w:rPr>
        <w:t> </w:t>
      </w:r>
      <w:r>
        <w:rPr>
          <w:color w:val="231F1F"/>
          <w:w w:val="110"/>
        </w:rPr>
        <w:t>diagnóstico</w:t>
      </w:r>
      <w:r>
        <w:rPr>
          <w:color w:val="231F1F"/>
          <w:spacing w:val="-13"/>
          <w:w w:val="110"/>
        </w:rPr>
        <w:t> </w:t>
      </w:r>
      <w:r>
        <w:rPr>
          <w:color w:val="231F1F"/>
          <w:w w:val="110"/>
        </w:rPr>
        <w:t>de</w:t>
      </w:r>
      <w:r>
        <w:rPr>
          <w:color w:val="231F1F"/>
          <w:spacing w:val="-14"/>
          <w:w w:val="110"/>
        </w:rPr>
        <w:t> </w:t>
      </w:r>
      <w:r>
        <w:rPr>
          <w:color w:val="231F1F"/>
          <w:w w:val="110"/>
        </w:rPr>
        <w:t>acide- mia fetal.</w:t>
      </w:r>
    </w:p>
    <w:p>
      <w:pPr>
        <w:pStyle w:val="BodyText"/>
        <w:spacing w:before="77"/>
      </w:pPr>
    </w:p>
    <w:p>
      <w:pPr>
        <w:spacing w:before="0"/>
        <w:ind w:left="283" w:right="0" w:firstLine="0"/>
        <w:jc w:val="both"/>
        <w:rPr>
          <w:rFonts w:ascii="Arial MT" w:hAnsi="Arial MT"/>
          <w:sz w:val="24"/>
        </w:rPr>
      </w:pPr>
      <w:r>
        <w:rPr>
          <w:rFonts w:ascii="Arial MT" w:hAnsi="Arial MT"/>
          <w:color w:val="231F1F"/>
          <w:sz w:val="24"/>
        </w:rPr>
        <w:t>Actualización</w:t>
      </w:r>
      <w:r>
        <w:rPr>
          <w:rFonts w:ascii="Arial MT" w:hAnsi="Arial MT"/>
          <w:color w:val="231F1F"/>
          <w:spacing w:val="10"/>
          <w:sz w:val="24"/>
        </w:rPr>
        <w:t> </w:t>
      </w:r>
      <w:r>
        <w:rPr>
          <w:rFonts w:ascii="Arial MT" w:hAnsi="Arial MT"/>
          <w:color w:val="231F1F"/>
          <w:sz w:val="24"/>
        </w:rPr>
        <w:t>(2006</w:t>
      </w:r>
      <w:r>
        <w:rPr>
          <w:rFonts w:ascii="Arial MT" w:hAnsi="Arial MT"/>
          <w:color w:val="231F1F"/>
          <w:spacing w:val="16"/>
          <w:sz w:val="24"/>
        </w:rPr>
        <w:t> </w:t>
      </w:r>
      <w:r>
        <w:rPr>
          <w:rFonts w:ascii="Arial MT" w:hAnsi="Arial MT"/>
          <w:color w:val="231F1F"/>
          <w:sz w:val="24"/>
        </w:rPr>
        <w:t>a</w:t>
      </w:r>
      <w:r>
        <w:rPr>
          <w:rFonts w:ascii="Arial MT" w:hAnsi="Arial MT"/>
          <w:color w:val="231F1F"/>
          <w:spacing w:val="16"/>
          <w:sz w:val="24"/>
        </w:rPr>
        <w:t> </w:t>
      </w:r>
      <w:r>
        <w:rPr>
          <w:rFonts w:ascii="Arial MT" w:hAnsi="Arial MT"/>
          <w:color w:val="231F1F"/>
          <w:sz w:val="24"/>
        </w:rPr>
        <w:t>mayo</w:t>
      </w:r>
      <w:r>
        <w:rPr>
          <w:rFonts w:ascii="Arial MT" w:hAnsi="Arial MT"/>
          <w:color w:val="231F1F"/>
          <w:spacing w:val="16"/>
          <w:sz w:val="24"/>
        </w:rPr>
        <w:t> </w:t>
      </w:r>
      <w:r>
        <w:rPr>
          <w:rFonts w:ascii="Arial MT" w:hAnsi="Arial MT"/>
          <w:color w:val="231F1F"/>
          <w:spacing w:val="-2"/>
          <w:sz w:val="24"/>
        </w:rPr>
        <w:t>2008)</w:t>
      </w:r>
    </w:p>
    <w:p>
      <w:pPr>
        <w:pStyle w:val="BodyText"/>
        <w:spacing w:before="215"/>
        <w:ind w:left="283" w:right="44"/>
        <w:jc w:val="both"/>
      </w:pPr>
      <w:r>
        <w:rPr>
          <w:color w:val="231F1F"/>
          <w:w w:val="110"/>
        </w:rPr>
        <w:t>No</w:t>
      </w:r>
      <w:r>
        <w:rPr>
          <w:color w:val="231F1F"/>
          <w:spacing w:val="-14"/>
          <w:w w:val="110"/>
        </w:rPr>
        <w:t> </w:t>
      </w:r>
      <w:r>
        <w:rPr>
          <w:color w:val="231F1F"/>
          <w:w w:val="110"/>
        </w:rPr>
        <w:t>se</w:t>
      </w:r>
      <w:r>
        <w:rPr>
          <w:color w:val="231F1F"/>
          <w:spacing w:val="-15"/>
          <w:w w:val="110"/>
        </w:rPr>
        <w:t> </w:t>
      </w:r>
      <w:r>
        <w:rPr>
          <w:color w:val="231F1F"/>
          <w:w w:val="110"/>
        </w:rPr>
        <w:t>encontraron</w:t>
      </w:r>
      <w:r>
        <w:rPr>
          <w:color w:val="231F1F"/>
          <w:spacing w:val="-14"/>
          <w:w w:val="110"/>
        </w:rPr>
        <w:t> </w:t>
      </w:r>
      <w:r>
        <w:rPr>
          <w:color w:val="231F1F"/>
          <w:w w:val="110"/>
        </w:rPr>
        <w:t>nuevos</w:t>
      </w:r>
      <w:r>
        <w:rPr>
          <w:color w:val="231F1F"/>
          <w:spacing w:val="-15"/>
          <w:w w:val="110"/>
        </w:rPr>
        <w:t> </w:t>
      </w:r>
      <w:r>
        <w:rPr>
          <w:color w:val="231F1F"/>
          <w:w w:val="110"/>
        </w:rPr>
        <w:t>estudios</w:t>
      </w:r>
      <w:r>
        <w:rPr>
          <w:color w:val="231F1F"/>
          <w:spacing w:val="-14"/>
          <w:w w:val="110"/>
        </w:rPr>
        <w:t> </w:t>
      </w:r>
      <w:r>
        <w:rPr>
          <w:color w:val="231F1F"/>
          <w:w w:val="110"/>
        </w:rPr>
        <w:t>que</w:t>
      </w:r>
      <w:r>
        <w:rPr>
          <w:color w:val="231F1F"/>
          <w:spacing w:val="-15"/>
          <w:w w:val="110"/>
        </w:rPr>
        <w:t> </w:t>
      </w:r>
      <w:r>
        <w:rPr>
          <w:color w:val="231F1F"/>
          <w:w w:val="110"/>
        </w:rPr>
        <w:t>cumplieran</w:t>
      </w:r>
      <w:r>
        <w:rPr>
          <w:color w:val="231F1F"/>
          <w:spacing w:val="-15"/>
          <w:w w:val="110"/>
        </w:rPr>
        <w:t> </w:t>
      </w:r>
      <w:r>
        <w:rPr>
          <w:color w:val="231F1F"/>
          <w:w w:val="110"/>
        </w:rPr>
        <w:t>los</w:t>
      </w:r>
      <w:r>
        <w:rPr>
          <w:color w:val="231F1F"/>
          <w:spacing w:val="-15"/>
          <w:w w:val="110"/>
        </w:rPr>
        <w:t> </w:t>
      </w:r>
      <w:r>
        <w:rPr>
          <w:color w:val="231F1F"/>
          <w:w w:val="110"/>
        </w:rPr>
        <w:t>criterios</w:t>
      </w:r>
      <w:r>
        <w:rPr>
          <w:color w:val="231F1F"/>
          <w:spacing w:val="-15"/>
          <w:w w:val="110"/>
        </w:rPr>
        <w:t> </w:t>
      </w:r>
      <w:r>
        <w:rPr>
          <w:color w:val="231F1F"/>
          <w:w w:val="110"/>
        </w:rPr>
        <w:t>de</w:t>
      </w:r>
      <w:r>
        <w:rPr>
          <w:color w:val="231F1F"/>
          <w:spacing w:val="-14"/>
          <w:w w:val="110"/>
        </w:rPr>
        <w:t> </w:t>
      </w:r>
      <w:r>
        <w:rPr>
          <w:color w:val="231F1F"/>
          <w:w w:val="110"/>
        </w:rPr>
        <w:t>inclusión en la búsqueda.</w:t>
      </w:r>
    </w:p>
    <w:p>
      <w:pPr>
        <w:pStyle w:val="BodyText"/>
        <w:spacing w:before="171"/>
      </w:pPr>
    </w:p>
    <w:p>
      <w:pPr>
        <w:spacing w:before="0"/>
        <w:ind w:left="283" w:right="0" w:firstLine="0"/>
        <w:jc w:val="both"/>
        <w:rPr>
          <w:rFonts w:ascii="Arial MT"/>
          <w:sz w:val="24"/>
        </w:rPr>
      </w:pPr>
      <w:r>
        <w:rPr>
          <w:rFonts w:ascii="Arial MT"/>
          <w:color w:val="231F1F"/>
          <w:sz w:val="24"/>
        </w:rPr>
        <w:t>Resumen</w:t>
      </w:r>
      <w:r>
        <w:rPr>
          <w:rFonts w:ascii="Arial MT"/>
          <w:color w:val="231F1F"/>
          <w:spacing w:val="7"/>
          <w:sz w:val="24"/>
        </w:rPr>
        <w:t> </w:t>
      </w:r>
      <w:r>
        <w:rPr>
          <w:rFonts w:ascii="Arial MT"/>
          <w:color w:val="231F1F"/>
          <w:sz w:val="24"/>
        </w:rPr>
        <w:t>de</w:t>
      </w:r>
      <w:r>
        <w:rPr>
          <w:rFonts w:ascii="Arial MT"/>
          <w:color w:val="231F1F"/>
          <w:spacing w:val="5"/>
          <w:sz w:val="24"/>
        </w:rPr>
        <w:t> </w:t>
      </w:r>
      <w:r>
        <w:rPr>
          <w:rFonts w:ascii="Arial MT"/>
          <w:color w:val="231F1F"/>
          <w:sz w:val="24"/>
        </w:rPr>
        <w:t>la</w:t>
      </w:r>
      <w:r>
        <w:rPr>
          <w:rFonts w:ascii="Arial MT"/>
          <w:color w:val="231F1F"/>
          <w:spacing w:val="9"/>
          <w:sz w:val="24"/>
        </w:rPr>
        <w:t> </w:t>
      </w:r>
      <w:r>
        <w:rPr>
          <w:rFonts w:ascii="Arial MT"/>
          <w:color w:val="231F1F"/>
          <w:spacing w:val="-2"/>
          <w:sz w:val="24"/>
        </w:rPr>
        <w:t>evidencia</w:t>
      </w:r>
    </w:p>
    <w:p>
      <w:pPr>
        <w:spacing w:before="5"/>
        <w:ind w:left="283" w:right="0" w:firstLine="0"/>
        <w:jc w:val="left"/>
        <w:rPr>
          <w:rFonts w:ascii="Arial MT"/>
          <w:sz w:val="18"/>
        </w:rPr>
      </w:pPr>
      <w:r>
        <w:rPr/>
        <w:br w:type="column"/>
      </w:r>
      <w:r>
        <w:rPr>
          <w:rFonts w:ascii="Arial MT"/>
          <w:color w:val="231F1F"/>
          <w:spacing w:val="-5"/>
          <w:sz w:val="18"/>
        </w:rPr>
        <w:t>III</w:t>
      </w:r>
    </w:p>
    <w:p>
      <w:pPr>
        <w:spacing w:after="0"/>
        <w:jc w:val="left"/>
        <w:rPr>
          <w:rFonts w:ascii="Arial MT"/>
          <w:sz w:val="18"/>
        </w:rPr>
        <w:sectPr>
          <w:type w:val="continuous"/>
          <w:pgSz w:w="11900" w:h="16840"/>
          <w:pgMar w:header="0" w:footer="622" w:top="560" w:bottom="280" w:left="1417" w:right="1559"/>
          <w:cols w:num="2" w:equalWidth="0">
            <w:col w:w="7590" w:space="272"/>
            <w:col w:w="1062"/>
          </w:cols>
        </w:sectPr>
      </w:pP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9" w:lineRule="auto" w:before="44"/>
              <w:ind w:right="80" w:hanging="1"/>
              <w:jc w:val="both"/>
              <w:rPr>
                <w:sz w:val="22"/>
              </w:rPr>
            </w:pPr>
            <w:r>
              <w:rPr>
                <w:color w:val="231F1F"/>
                <w:w w:val="105"/>
                <w:sz w:val="22"/>
              </w:rPr>
              <w:t>La</w:t>
            </w:r>
            <w:r>
              <w:rPr>
                <w:color w:val="231F1F"/>
                <w:w w:val="105"/>
                <w:sz w:val="22"/>
              </w:rPr>
              <w:t> </w:t>
            </w:r>
            <w:r>
              <w:rPr>
                <w:i/>
                <w:color w:val="231F1F"/>
                <w:w w:val="105"/>
                <w:sz w:val="22"/>
              </w:rPr>
              <w:t>estimulación digital de la calota fetal </w:t>
            </w:r>
            <w:r>
              <w:rPr>
                <w:color w:val="231F1F"/>
                <w:w w:val="105"/>
                <w:sz w:val="22"/>
              </w:rPr>
              <w:t>tiene</w:t>
            </w:r>
            <w:r>
              <w:rPr>
                <w:color w:val="231F1F"/>
                <w:w w:val="105"/>
                <w:sz w:val="22"/>
              </w:rPr>
              <w:t> un</w:t>
            </w:r>
            <w:r>
              <w:rPr>
                <w:color w:val="231F1F"/>
                <w:w w:val="105"/>
                <w:sz w:val="22"/>
              </w:rPr>
              <w:t> valor</w:t>
            </w:r>
            <w:r>
              <w:rPr>
                <w:color w:val="231F1F"/>
                <w:w w:val="105"/>
                <w:sz w:val="22"/>
              </w:rPr>
              <w:t> predictivo</w:t>
            </w:r>
            <w:r>
              <w:rPr>
                <w:color w:val="231F1F"/>
                <w:w w:val="105"/>
                <w:sz w:val="22"/>
              </w:rPr>
              <w:t> positivo pobre pero un alto valor predictivo negativo para el diagnóstico de acidemia fetal (374).</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15"/>
                <w:sz w:val="22"/>
              </w:rPr>
              <w:t>III</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9"/>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686" w:hRule="atLeast"/>
        </w:trPr>
        <w:tc>
          <w:tcPr>
            <w:tcW w:w="456" w:type="dxa"/>
          </w:tcPr>
          <w:p>
            <w:pPr>
              <w:pStyle w:val="TableParagraph"/>
              <w:spacing w:before="178"/>
              <w:rPr>
                <w:sz w:val="22"/>
              </w:rPr>
            </w:pPr>
            <w:r>
              <w:rPr>
                <w:color w:val="231F1F"/>
                <w:spacing w:val="-10"/>
                <w:w w:val="110"/>
                <w:sz w:val="22"/>
              </w:rPr>
              <w:t>√</w:t>
            </w:r>
          </w:p>
        </w:tc>
        <w:tc>
          <w:tcPr>
            <w:tcW w:w="8050" w:type="dxa"/>
          </w:tcPr>
          <w:p>
            <w:pPr>
              <w:pStyle w:val="TableParagraph"/>
              <w:spacing w:line="244" w:lineRule="auto" w:before="44"/>
              <w:ind w:left="120" w:right="155"/>
              <w:rPr>
                <w:sz w:val="22"/>
              </w:rPr>
            </w:pPr>
            <w:r>
              <w:rPr>
                <w:color w:val="231F1F"/>
                <w:spacing w:val="-2"/>
                <w:w w:val="110"/>
                <w:sz w:val="22"/>
              </w:rPr>
              <w:t>Se</w:t>
            </w:r>
            <w:r>
              <w:rPr>
                <w:color w:val="231F1F"/>
                <w:spacing w:val="-7"/>
                <w:w w:val="110"/>
                <w:sz w:val="22"/>
              </w:rPr>
              <w:t> </w:t>
            </w:r>
            <w:r>
              <w:rPr>
                <w:color w:val="231F1F"/>
                <w:spacing w:val="-2"/>
                <w:w w:val="110"/>
                <w:sz w:val="22"/>
              </w:rPr>
              <w:t>recomienda</w:t>
            </w:r>
            <w:r>
              <w:rPr>
                <w:color w:val="231F1F"/>
                <w:spacing w:val="-6"/>
                <w:w w:val="110"/>
                <w:sz w:val="22"/>
              </w:rPr>
              <w:t> </w:t>
            </w:r>
            <w:r>
              <w:rPr>
                <w:color w:val="231F1F"/>
                <w:spacing w:val="-2"/>
                <w:w w:val="110"/>
                <w:sz w:val="22"/>
              </w:rPr>
              <w:t>la</w:t>
            </w:r>
            <w:r>
              <w:rPr>
                <w:color w:val="231F1F"/>
                <w:spacing w:val="-6"/>
                <w:w w:val="110"/>
                <w:sz w:val="22"/>
              </w:rPr>
              <w:t> </w:t>
            </w:r>
            <w:r>
              <w:rPr>
                <w:i/>
                <w:color w:val="231F1F"/>
                <w:spacing w:val="-2"/>
                <w:w w:val="110"/>
                <w:sz w:val="22"/>
              </w:rPr>
              <w:t>estimulación</w:t>
            </w:r>
            <w:r>
              <w:rPr>
                <w:i/>
                <w:color w:val="231F1F"/>
                <w:spacing w:val="-8"/>
                <w:w w:val="110"/>
                <w:sz w:val="22"/>
              </w:rPr>
              <w:t> </w:t>
            </w:r>
            <w:r>
              <w:rPr>
                <w:i/>
                <w:color w:val="231F1F"/>
                <w:spacing w:val="-2"/>
                <w:w w:val="110"/>
                <w:sz w:val="22"/>
              </w:rPr>
              <w:t>digital</w:t>
            </w:r>
            <w:r>
              <w:rPr>
                <w:i/>
                <w:color w:val="231F1F"/>
                <w:spacing w:val="-8"/>
                <w:w w:val="110"/>
                <w:sz w:val="22"/>
              </w:rPr>
              <w:t> </w:t>
            </w:r>
            <w:r>
              <w:rPr>
                <w:i/>
                <w:color w:val="231F1F"/>
                <w:spacing w:val="-2"/>
                <w:w w:val="110"/>
                <w:sz w:val="22"/>
              </w:rPr>
              <w:t>de</w:t>
            </w:r>
            <w:r>
              <w:rPr>
                <w:i/>
                <w:color w:val="231F1F"/>
                <w:spacing w:val="-8"/>
                <w:w w:val="110"/>
                <w:sz w:val="22"/>
              </w:rPr>
              <w:t> </w:t>
            </w:r>
            <w:r>
              <w:rPr>
                <w:i/>
                <w:color w:val="231F1F"/>
                <w:spacing w:val="-2"/>
                <w:w w:val="110"/>
                <w:sz w:val="22"/>
              </w:rPr>
              <w:t>la</w:t>
            </w:r>
            <w:r>
              <w:rPr>
                <w:i/>
                <w:color w:val="231F1F"/>
                <w:spacing w:val="-8"/>
                <w:w w:val="110"/>
                <w:sz w:val="22"/>
              </w:rPr>
              <w:t> </w:t>
            </w:r>
            <w:r>
              <w:rPr>
                <w:i/>
                <w:color w:val="231F1F"/>
                <w:spacing w:val="-2"/>
                <w:w w:val="110"/>
                <w:sz w:val="22"/>
              </w:rPr>
              <w:t>calota</w:t>
            </w:r>
            <w:r>
              <w:rPr>
                <w:i/>
                <w:color w:val="231F1F"/>
                <w:spacing w:val="-8"/>
                <w:w w:val="110"/>
                <w:sz w:val="22"/>
              </w:rPr>
              <w:t> </w:t>
            </w:r>
            <w:r>
              <w:rPr>
                <w:i/>
                <w:color w:val="231F1F"/>
                <w:spacing w:val="-2"/>
                <w:w w:val="110"/>
                <w:sz w:val="22"/>
              </w:rPr>
              <w:t>fetal</w:t>
            </w:r>
            <w:r>
              <w:rPr>
                <w:i/>
                <w:color w:val="231F1F"/>
                <w:spacing w:val="-8"/>
                <w:w w:val="110"/>
                <w:sz w:val="22"/>
              </w:rPr>
              <w:t> </w:t>
            </w:r>
            <w:r>
              <w:rPr>
                <w:color w:val="231F1F"/>
                <w:spacing w:val="-2"/>
                <w:w w:val="110"/>
                <w:sz w:val="22"/>
              </w:rPr>
              <w:t>como</w:t>
            </w:r>
            <w:r>
              <w:rPr>
                <w:color w:val="231F1F"/>
                <w:spacing w:val="-6"/>
                <w:w w:val="110"/>
                <w:sz w:val="22"/>
              </w:rPr>
              <w:t> </w:t>
            </w:r>
            <w:r>
              <w:rPr>
                <w:color w:val="231F1F"/>
                <w:spacing w:val="-2"/>
                <w:w w:val="110"/>
                <w:sz w:val="22"/>
              </w:rPr>
              <w:t>método</w:t>
            </w:r>
            <w:r>
              <w:rPr>
                <w:color w:val="231F1F"/>
                <w:spacing w:val="-6"/>
                <w:w w:val="110"/>
                <w:sz w:val="22"/>
              </w:rPr>
              <w:t> </w:t>
            </w:r>
            <w:r>
              <w:rPr>
                <w:color w:val="231F1F"/>
                <w:spacing w:val="-2"/>
                <w:w w:val="110"/>
                <w:sz w:val="22"/>
              </w:rPr>
              <w:t>diagnóstico </w:t>
            </w:r>
            <w:r>
              <w:rPr>
                <w:color w:val="231F1F"/>
                <w:w w:val="110"/>
                <w:sz w:val="22"/>
              </w:rPr>
              <w:t>complementario ante la presencia de un registro CTG patológico.</w:t>
            </w:r>
          </w:p>
        </w:tc>
      </w:tr>
    </w:tbl>
    <w:p>
      <w:pPr>
        <w:pStyle w:val="TableParagraph"/>
        <w:spacing w:after="0" w:line="244" w:lineRule="auto"/>
        <w:rPr>
          <w:sz w:val="22"/>
        </w:rPr>
        <w:sectPr>
          <w:type w:val="continuous"/>
          <w:pgSz w:w="11900" w:h="16840"/>
          <w:pgMar w:header="0" w:footer="622" w:top="560" w:bottom="280" w:left="1417" w:right="1559"/>
        </w:sectPr>
      </w:pPr>
    </w:p>
    <w:p>
      <w:pPr>
        <w:pStyle w:val="Heading2"/>
        <w:numPr>
          <w:ilvl w:val="2"/>
          <w:numId w:val="2"/>
        </w:numPr>
        <w:tabs>
          <w:tab w:pos="1182" w:val="left" w:leader="none"/>
          <w:tab w:pos="1186" w:val="left" w:leader="none"/>
        </w:tabs>
        <w:spacing w:line="232" w:lineRule="auto" w:before="77" w:after="0"/>
        <w:ind w:left="1186" w:right="732" w:hanging="905"/>
        <w:jc w:val="left"/>
      </w:pPr>
      <w:r>
        <w:rPr>
          <w:color w:val="231F1F"/>
        </w:rPr>
        <w:t>Aplicación de un sistema de categorización de</w:t>
      </w:r>
      <w:r>
        <w:rPr>
          <w:color w:val="231F1F"/>
          <w:spacing w:val="80"/>
        </w:rPr>
        <w:t> </w:t>
      </w:r>
      <w:r>
        <w:rPr>
          <w:color w:val="231F1F"/>
        </w:rPr>
        <w:t>la MEFC</w:t>
      </w:r>
    </w:p>
    <w:p>
      <w:pPr>
        <w:pStyle w:val="BodyText"/>
        <w:spacing w:before="24"/>
        <w:rPr>
          <w:sz w:val="20"/>
        </w:rPr>
      </w:pPr>
      <w:r>
        <w:rPr>
          <w:sz w:val="20"/>
        </w:rPr>
        <mc:AlternateContent>
          <mc:Choice Requires="wps">
            <w:drawing>
              <wp:anchor distT="0" distB="0" distL="0" distR="0" allowOverlap="1" layoutInCell="1" locked="0" behindDoc="1" simplePos="0" relativeHeight="487633920">
                <wp:simplePos x="0" y="0"/>
                <wp:positionH relativeFrom="page">
                  <wp:posOffset>1082675</wp:posOffset>
                </wp:positionH>
                <wp:positionV relativeFrom="paragraph">
                  <wp:posOffset>180281</wp:posOffset>
                </wp:positionV>
                <wp:extent cx="5400040" cy="440055"/>
                <wp:effectExtent l="0" t="0" r="0" b="0"/>
                <wp:wrapTopAndBottom/>
                <wp:docPr id="152" name="Textbox 152"/>
                <wp:cNvGraphicFramePr>
                  <a:graphicFrameLocks/>
                </wp:cNvGraphicFramePr>
                <a:graphic>
                  <a:graphicData uri="http://schemas.microsoft.com/office/word/2010/wordprocessingShape">
                    <wps:wsp>
                      <wps:cNvPr id="152" name="Textbox 152"/>
                      <wps:cNvSpPr txBox="1"/>
                      <wps:spPr>
                        <a:xfrm>
                          <a:off x="0" y="0"/>
                          <a:ext cx="5400040" cy="440055"/>
                        </a:xfrm>
                        <a:prstGeom prst="rect">
                          <a:avLst/>
                        </a:prstGeom>
                        <a:ln w="6350">
                          <a:solidFill>
                            <a:srgbClr val="A30046"/>
                          </a:solidFill>
                          <a:prstDash val="solid"/>
                        </a:ln>
                      </wps:spPr>
                      <wps:txbx>
                        <w:txbxContent>
                          <w:p>
                            <w:pPr>
                              <w:pStyle w:val="BodyText"/>
                              <w:numPr>
                                <w:ilvl w:val="0"/>
                                <w:numId w:val="95"/>
                              </w:numPr>
                              <w:tabs>
                                <w:tab w:pos="321" w:val="left" w:leader="none"/>
                                <w:tab w:pos="325" w:val="left" w:leader="none"/>
                              </w:tabs>
                              <w:spacing w:line="240" w:lineRule="auto" w:before="56" w:after="0"/>
                              <w:ind w:left="325" w:right="195" w:hanging="221"/>
                              <w:jc w:val="left"/>
                            </w:pPr>
                            <w:r>
                              <w:rPr>
                                <w:color w:val="231F1F"/>
                              </w:rPr>
                              <w:t>¿Cómo</w:t>
                            </w:r>
                            <w:r>
                              <w:rPr>
                                <w:color w:val="231F1F"/>
                                <w:spacing w:val="29"/>
                              </w:rPr>
                              <w:t> </w:t>
                            </w:r>
                            <w:r>
                              <w:rPr>
                                <w:color w:val="231F1F"/>
                              </w:rPr>
                              <w:t>influye</w:t>
                            </w:r>
                            <w:r>
                              <w:rPr>
                                <w:color w:val="231F1F"/>
                                <w:spacing w:val="31"/>
                              </w:rPr>
                              <w:t> </w:t>
                            </w:r>
                            <w:r>
                              <w:rPr>
                                <w:color w:val="231F1F"/>
                              </w:rPr>
                              <w:t>la</w:t>
                            </w:r>
                            <w:r>
                              <w:rPr>
                                <w:color w:val="231F1F"/>
                                <w:spacing w:val="31"/>
                              </w:rPr>
                              <w:t> </w:t>
                            </w:r>
                            <w:r>
                              <w:rPr>
                                <w:color w:val="231F1F"/>
                              </w:rPr>
                              <w:t>aplicación</w:t>
                            </w:r>
                            <w:r>
                              <w:rPr>
                                <w:color w:val="231F1F"/>
                                <w:spacing w:val="31"/>
                              </w:rPr>
                              <w:t> </w:t>
                            </w:r>
                            <w:r>
                              <w:rPr>
                                <w:color w:val="231F1F"/>
                              </w:rPr>
                              <w:t>de</w:t>
                            </w:r>
                            <w:r>
                              <w:rPr>
                                <w:color w:val="231F1F"/>
                                <w:spacing w:val="31"/>
                              </w:rPr>
                              <w:t> </w:t>
                            </w:r>
                            <w:r>
                              <w:rPr>
                                <w:color w:val="231F1F"/>
                              </w:rPr>
                              <w:t>un</w:t>
                            </w:r>
                            <w:r>
                              <w:rPr>
                                <w:color w:val="231F1F"/>
                                <w:spacing w:val="31"/>
                              </w:rPr>
                              <w:t> </w:t>
                            </w:r>
                            <w:r>
                              <w:rPr>
                                <w:color w:val="231F1F"/>
                              </w:rPr>
                              <w:t>sistema</w:t>
                            </w:r>
                            <w:r>
                              <w:rPr>
                                <w:color w:val="231F1F"/>
                                <w:spacing w:val="31"/>
                              </w:rPr>
                              <w:t> </w:t>
                            </w:r>
                            <w:r>
                              <w:rPr>
                                <w:color w:val="231F1F"/>
                              </w:rPr>
                              <w:t>de</w:t>
                            </w:r>
                            <w:r>
                              <w:rPr>
                                <w:color w:val="231F1F"/>
                                <w:spacing w:val="31"/>
                              </w:rPr>
                              <w:t> </w:t>
                            </w:r>
                            <w:r>
                              <w:rPr>
                                <w:color w:val="231F1F"/>
                              </w:rPr>
                              <w:t>categorización</w:t>
                            </w:r>
                            <w:r>
                              <w:rPr>
                                <w:color w:val="231F1F"/>
                                <w:spacing w:val="29"/>
                              </w:rPr>
                              <w:t> </w:t>
                            </w:r>
                            <w:r>
                              <w:rPr>
                                <w:color w:val="231F1F"/>
                              </w:rPr>
                              <w:t>de</w:t>
                            </w:r>
                            <w:r>
                              <w:rPr>
                                <w:color w:val="231F1F"/>
                                <w:spacing w:val="31"/>
                              </w:rPr>
                              <w:t> </w:t>
                            </w:r>
                            <w:r>
                              <w:rPr>
                                <w:color w:val="231F1F"/>
                              </w:rPr>
                              <w:t>la</w:t>
                            </w:r>
                            <w:r>
                              <w:rPr>
                                <w:color w:val="231F1F"/>
                                <w:spacing w:val="31"/>
                              </w:rPr>
                              <w:t> </w:t>
                            </w:r>
                            <w:r>
                              <w:rPr>
                                <w:color w:val="231F1F"/>
                              </w:rPr>
                              <w:t>MEFC</w:t>
                            </w:r>
                            <w:r>
                              <w:rPr>
                                <w:color w:val="231F1F"/>
                                <w:spacing w:val="31"/>
                              </w:rPr>
                              <w:t> </w:t>
                            </w:r>
                            <w:r>
                              <w:rPr>
                                <w:color w:val="231F1F"/>
                              </w:rPr>
                              <w:t>en</w:t>
                            </w:r>
                            <w:r>
                              <w:rPr>
                                <w:color w:val="231F1F"/>
                                <w:spacing w:val="31"/>
                              </w:rPr>
                              <w:t> </w:t>
                            </w:r>
                            <w:r>
                              <w:rPr>
                                <w:color w:val="231F1F"/>
                              </w:rPr>
                              <w:t>el</w:t>
                            </w:r>
                            <w:r>
                              <w:rPr>
                                <w:color w:val="231F1F"/>
                                <w:spacing w:val="31"/>
                              </w:rPr>
                              <w:t> </w:t>
                            </w:r>
                            <w:r>
                              <w:rPr>
                                <w:color w:val="231F1F"/>
                              </w:rPr>
                              <w:t>resul- tado neonatal?</w:t>
                            </w:r>
                          </w:p>
                        </w:txbxContent>
                      </wps:txbx>
                      <wps:bodyPr wrap="square" lIns="0" tIns="0" rIns="0" bIns="0" rtlCol="0">
                        <a:noAutofit/>
                      </wps:bodyPr>
                    </wps:wsp>
                  </a:graphicData>
                </a:graphic>
              </wp:anchor>
            </w:drawing>
          </mc:Choice>
          <mc:Fallback>
            <w:pict>
              <v:shape style="position:absolute;margin-left:85.25pt;margin-top:14.19541pt;width:425.2pt;height:34.65pt;mso-position-horizontal-relative:page;mso-position-vertical-relative:paragraph;z-index:-15682560;mso-wrap-distance-left:0;mso-wrap-distance-right:0" type="#_x0000_t202" id="docshape141" filled="false" stroked="true" strokeweight=".5pt" strokecolor="#a30046">
                <v:textbox inset="0,0,0,0">
                  <w:txbxContent>
                    <w:p>
                      <w:pPr>
                        <w:pStyle w:val="BodyText"/>
                        <w:numPr>
                          <w:ilvl w:val="0"/>
                          <w:numId w:val="95"/>
                        </w:numPr>
                        <w:tabs>
                          <w:tab w:pos="321" w:val="left" w:leader="none"/>
                          <w:tab w:pos="325" w:val="left" w:leader="none"/>
                        </w:tabs>
                        <w:spacing w:line="240" w:lineRule="auto" w:before="56" w:after="0"/>
                        <w:ind w:left="325" w:right="195" w:hanging="221"/>
                        <w:jc w:val="left"/>
                      </w:pPr>
                      <w:r>
                        <w:rPr>
                          <w:color w:val="231F1F"/>
                        </w:rPr>
                        <w:t>¿Cómo</w:t>
                      </w:r>
                      <w:r>
                        <w:rPr>
                          <w:color w:val="231F1F"/>
                          <w:spacing w:val="29"/>
                        </w:rPr>
                        <w:t> </w:t>
                      </w:r>
                      <w:r>
                        <w:rPr>
                          <w:color w:val="231F1F"/>
                        </w:rPr>
                        <w:t>influye</w:t>
                      </w:r>
                      <w:r>
                        <w:rPr>
                          <w:color w:val="231F1F"/>
                          <w:spacing w:val="31"/>
                        </w:rPr>
                        <w:t> </w:t>
                      </w:r>
                      <w:r>
                        <w:rPr>
                          <w:color w:val="231F1F"/>
                        </w:rPr>
                        <w:t>la</w:t>
                      </w:r>
                      <w:r>
                        <w:rPr>
                          <w:color w:val="231F1F"/>
                          <w:spacing w:val="31"/>
                        </w:rPr>
                        <w:t> </w:t>
                      </w:r>
                      <w:r>
                        <w:rPr>
                          <w:color w:val="231F1F"/>
                        </w:rPr>
                        <w:t>aplicación</w:t>
                      </w:r>
                      <w:r>
                        <w:rPr>
                          <w:color w:val="231F1F"/>
                          <w:spacing w:val="31"/>
                        </w:rPr>
                        <w:t> </w:t>
                      </w:r>
                      <w:r>
                        <w:rPr>
                          <w:color w:val="231F1F"/>
                        </w:rPr>
                        <w:t>de</w:t>
                      </w:r>
                      <w:r>
                        <w:rPr>
                          <w:color w:val="231F1F"/>
                          <w:spacing w:val="31"/>
                        </w:rPr>
                        <w:t> </w:t>
                      </w:r>
                      <w:r>
                        <w:rPr>
                          <w:color w:val="231F1F"/>
                        </w:rPr>
                        <w:t>un</w:t>
                      </w:r>
                      <w:r>
                        <w:rPr>
                          <w:color w:val="231F1F"/>
                          <w:spacing w:val="31"/>
                        </w:rPr>
                        <w:t> </w:t>
                      </w:r>
                      <w:r>
                        <w:rPr>
                          <w:color w:val="231F1F"/>
                        </w:rPr>
                        <w:t>sistema</w:t>
                      </w:r>
                      <w:r>
                        <w:rPr>
                          <w:color w:val="231F1F"/>
                          <w:spacing w:val="31"/>
                        </w:rPr>
                        <w:t> </w:t>
                      </w:r>
                      <w:r>
                        <w:rPr>
                          <w:color w:val="231F1F"/>
                        </w:rPr>
                        <w:t>de</w:t>
                      </w:r>
                      <w:r>
                        <w:rPr>
                          <w:color w:val="231F1F"/>
                          <w:spacing w:val="31"/>
                        </w:rPr>
                        <w:t> </w:t>
                      </w:r>
                      <w:r>
                        <w:rPr>
                          <w:color w:val="231F1F"/>
                        </w:rPr>
                        <w:t>categorización</w:t>
                      </w:r>
                      <w:r>
                        <w:rPr>
                          <w:color w:val="231F1F"/>
                          <w:spacing w:val="29"/>
                        </w:rPr>
                        <w:t> </w:t>
                      </w:r>
                      <w:r>
                        <w:rPr>
                          <w:color w:val="231F1F"/>
                        </w:rPr>
                        <w:t>de</w:t>
                      </w:r>
                      <w:r>
                        <w:rPr>
                          <w:color w:val="231F1F"/>
                          <w:spacing w:val="31"/>
                        </w:rPr>
                        <w:t> </w:t>
                      </w:r>
                      <w:r>
                        <w:rPr>
                          <w:color w:val="231F1F"/>
                        </w:rPr>
                        <w:t>la</w:t>
                      </w:r>
                      <w:r>
                        <w:rPr>
                          <w:color w:val="231F1F"/>
                          <w:spacing w:val="31"/>
                        </w:rPr>
                        <w:t> </w:t>
                      </w:r>
                      <w:r>
                        <w:rPr>
                          <w:color w:val="231F1F"/>
                        </w:rPr>
                        <w:t>MEFC</w:t>
                      </w:r>
                      <w:r>
                        <w:rPr>
                          <w:color w:val="231F1F"/>
                          <w:spacing w:val="31"/>
                        </w:rPr>
                        <w:t> </w:t>
                      </w:r>
                      <w:r>
                        <w:rPr>
                          <w:color w:val="231F1F"/>
                        </w:rPr>
                        <w:t>en</w:t>
                      </w:r>
                      <w:r>
                        <w:rPr>
                          <w:color w:val="231F1F"/>
                          <w:spacing w:val="31"/>
                        </w:rPr>
                        <w:t> </w:t>
                      </w:r>
                      <w:r>
                        <w:rPr>
                          <w:color w:val="231F1F"/>
                        </w:rPr>
                        <w:t>el</w:t>
                      </w:r>
                      <w:r>
                        <w:rPr>
                          <w:color w:val="231F1F"/>
                          <w:spacing w:val="31"/>
                        </w:rPr>
                        <w:t> </w:t>
                      </w:r>
                      <w:r>
                        <w:rPr>
                          <w:color w:val="231F1F"/>
                        </w:rPr>
                        <w:t>resul- tado neonatal?</w:t>
                      </w:r>
                    </w:p>
                  </w:txbxContent>
                </v:textbox>
                <v:stroke dashstyle="solid"/>
                <w10:wrap type="topAndBottom"/>
              </v:shape>
            </w:pict>
          </mc:Fallback>
        </mc:AlternateContent>
      </w:r>
    </w:p>
    <w:p>
      <w:pPr>
        <w:pStyle w:val="BodyText"/>
        <w:spacing w:line="261" w:lineRule="auto" w:before="337"/>
        <w:ind w:left="284" w:right="114"/>
        <w:jc w:val="both"/>
      </w:pPr>
      <w:r>
        <w:rPr>
          <w:color w:val="231F1F"/>
        </w:rPr>
        <w:t>Existe</w:t>
      </w:r>
      <w:r>
        <w:rPr>
          <w:color w:val="231F1F"/>
          <w:spacing w:val="34"/>
        </w:rPr>
        <w:t> </w:t>
      </w:r>
      <w:r>
        <w:rPr>
          <w:color w:val="231F1F"/>
        </w:rPr>
        <w:t>una</w:t>
      </w:r>
      <w:r>
        <w:rPr>
          <w:color w:val="231F1F"/>
          <w:spacing w:val="34"/>
        </w:rPr>
        <w:t> </w:t>
      </w:r>
      <w:r>
        <w:rPr>
          <w:color w:val="231F1F"/>
        </w:rPr>
        <w:t>gran</w:t>
      </w:r>
      <w:r>
        <w:rPr>
          <w:color w:val="231F1F"/>
          <w:spacing w:val="34"/>
        </w:rPr>
        <w:t> </w:t>
      </w:r>
      <w:r>
        <w:rPr>
          <w:color w:val="231F1F"/>
        </w:rPr>
        <w:t>disparidad</w:t>
      </w:r>
      <w:r>
        <w:rPr>
          <w:color w:val="231F1F"/>
          <w:spacing w:val="33"/>
        </w:rPr>
        <w:t> </w:t>
      </w:r>
      <w:r>
        <w:rPr>
          <w:color w:val="231F1F"/>
        </w:rPr>
        <w:t>de</w:t>
      </w:r>
      <w:r>
        <w:rPr>
          <w:color w:val="231F1F"/>
          <w:spacing w:val="34"/>
        </w:rPr>
        <w:t> </w:t>
      </w:r>
      <w:r>
        <w:rPr>
          <w:color w:val="231F1F"/>
        </w:rPr>
        <w:t>criterios</w:t>
      </w:r>
      <w:r>
        <w:rPr>
          <w:color w:val="231F1F"/>
          <w:spacing w:val="33"/>
        </w:rPr>
        <w:t> </w:t>
      </w:r>
      <w:r>
        <w:rPr>
          <w:color w:val="231F1F"/>
        </w:rPr>
        <w:t>a</w:t>
      </w:r>
      <w:r>
        <w:rPr>
          <w:color w:val="231F1F"/>
          <w:spacing w:val="34"/>
        </w:rPr>
        <w:t> </w:t>
      </w:r>
      <w:r>
        <w:rPr>
          <w:color w:val="231F1F"/>
        </w:rPr>
        <w:t>la</w:t>
      </w:r>
      <w:r>
        <w:rPr>
          <w:color w:val="231F1F"/>
          <w:spacing w:val="34"/>
        </w:rPr>
        <w:t> </w:t>
      </w:r>
      <w:r>
        <w:rPr>
          <w:color w:val="231F1F"/>
        </w:rPr>
        <w:t>hora</w:t>
      </w:r>
      <w:r>
        <w:rPr>
          <w:color w:val="231F1F"/>
          <w:spacing w:val="34"/>
        </w:rPr>
        <w:t> </w:t>
      </w:r>
      <w:r>
        <w:rPr>
          <w:color w:val="231F1F"/>
        </w:rPr>
        <w:t>de</w:t>
      </w:r>
      <w:r>
        <w:rPr>
          <w:color w:val="231F1F"/>
          <w:spacing w:val="34"/>
        </w:rPr>
        <w:t> </w:t>
      </w:r>
      <w:r>
        <w:rPr>
          <w:color w:val="231F1F"/>
        </w:rPr>
        <w:t>realizar</w:t>
      </w:r>
      <w:r>
        <w:rPr>
          <w:color w:val="231F1F"/>
          <w:spacing w:val="35"/>
        </w:rPr>
        <w:t> </w:t>
      </w:r>
      <w:r>
        <w:rPr>
          <w:color w:val="231F1F"/>
        </w:rPr>
        <w:t>las</w:t>
      </w:r>
      <w:r>
        <w:rPr>
          <w:color w:val="231F1F"/>
          <w:spacing w:val="34"/>
        </w:rPr>
        <w:t> </w:t>
      </w:r>
      <w:r>
        <w:rPr>
          <w:color w:val="231F1F"/>
        </w:rPr>
        <w:t>clasificaciones</w:t>
      </w:r>
      <w:r>
        <w:rPr>
          <w:color w:val="231F1F"/>
          <w:spacing w:val="33"/>
        </w:rPr>
        <w:t> </w:t>
      </w:r>
      <w:r>
        <w:rPr>
          <w:color w:val="231F1F"/>
        </w:rPr>
        <w:t>de</w:t>
      </w:r>
      <w:r>
        <w:rPr>
          <w:color w:val="231F1F"/>
          <w:spacing w:val="34"/>
        </w:rPr>
        <w:t> </w:t>
      </w:r>
      <w:r>
        <w:rPr>
          <w:color w:val="231F1F"/>
        </w:rPr>
        <w:t>los</w:t>
      </w:r>
      <w:r>
        <w:rPr>
          <w:color w:val="231F1F"/>
          <w:spacing w:val="34"/>
        </w:rPr>
        <w:t> </w:t>
      </w:r>
      <w:r>
        <w:rPr>
          <w:color w:val="231F1F"/>
        </w:rPr>
        <w:t>patro- nes de frecuencia cardiaca fetal, pero además no son aplicadas de forma generalizada. Sería previsible</w:t>
      </w:r>
      <w:r>
        <w:rPr>
          <w:color w:val="231F1F"/>
          <w:spacing w:val="40"/>
        </w:rPr>
        <w:t> </w:t>
      </w:r>
      <w:r>
        <w:rPr>
          <w:color w:val="231F1F"/>
        </w:rPr>
        <w:t>que</w:t>
      </w:r>
      <w:r>
        <w:rPr>
          <w:color w:val="231F1F"/>
          <w:spacing w:val="40"/>
        </w:rPr>
        <w:t> </w:t>
      </w:r>
      <w:r>
        <w:rPr>
          <w:color w:val="231F1F"/>
        </w:rPr>
        <w:t>la</w:t>
      </w:r>
      <w:r>
        <w:rPr>
          <w:color w:val="231F1F"/>
          <w:spacing w:val="40"/>
        </w:rPr>
        <w:t> </w:t>
      </w:r>
      <w:r>
        <w:rPr>
          <w:color w:val="231F1F"/>
        </w:rPr>
        <w:t>utilización</w:t>
      </w:r>
      <w:r>
        <w:rPr>
          <w:color w:val="231F1F"/>
          <w:spacing w:val="40"/>
        </w:rPr>
        <w:t> </w:t>
      </w:r>
      <w:r>
        <w:rPr>
          <w:color w:val="231F1F"/>
        </w:rPr>
        <w:t>de</w:t>
      </w:r>
      <w:r>
        <w:rPr>
          <w:color w:val="231F1F"/>
          <w:spacing w:val="40"/>
        </w:rPr>
        <w:t> </w:t>
      </w:r>
      <w:r>
        <w:rPr>
          <w:color w:val="231F1F"/>
        </w:rPr>
        <w:t>criterios</w:t>
      </w:r>
      <w:r>
        <w:rPr>
          <w:color w:val="231F1F"/>
          <w:spacing w:val="40"/>
        </w:rPr>
        <w:t> </w:t>
      </w:r>
      <w:r>
        <w:rPr>
          <w:color w:val="231F1F"/>
        </w:rPr>
        <w:t>estrictos</w:t>
      </w:r>
      <w:r>
        <w:rPr>
          <w:color w:val="231F1F"/>
          <w:spacing w:val="40"/>
        </w:rPr>
        <w:t> </w:t>
      </w:r>
      <w:r>
        <w:rPr>
          <w:color w:val="231F1F"/>
        </w:rPr>
        <w:t>de</w:t>
      </w:r>
      <w:r>
        <w:rPr>
          <w:color w:val="231F1F"/>
          <w:spacing w:val="40"/>
        </w:rPr>
        <w:t> </w:t>
      </w:r>
      <w:r>
        <w:rPr>
          <w:color w:val="231F1F"/>
        </w:rPr>
        <w:t>clasificación</w:t>
      </w:r>
      <w:r>
        <w:rPr>
          <w:color w:val="231F1F"/>
          <w:spacing w:val="40"/>
        </w:rPr>
        <w:t> </w:t>
      </w:r>
      <w:r>
        <w:rPr>
          <w:color w:val="231F1F"/>
        </w:rPr>
        <w:t>mejorara</w:t>
      </w:r>
      <w:r>
        <w:rPr>
          <w:color w:val="231F1F"/>
          <w:spacing w:val="40"/>
        </w:rPr>
        <w:t> </w:t>
      </w:r>
      <w:r>
        <w:rPr>
          <w:color w:val="231F1F"/>
        </w:rPr>
        <w:t>la</w:t>
      </w:r>
      <w:r>
        <w:rPr>
          <w:color w:val="231F1F"/>
          <w:spacing w:val="40"/>
        </w:rPr>
        <w:t> </w:t>
      </w:r>
      <w:r>
        <w:rPr>
          <w:color w:val="231F1F"/>
        </w:rPr>
        <w:t>capacidad</w:t>
      </w:r>
      <w:r>
        <w:rPr>
          <w:color w:val="231F1F"/>
          <w:spacing w:val="40"/>
        </w:rPr>
        <w:t> </w:t>
      </w:r>
      <w:r>
        <w:rPr>
          <w:color w:val="231F1F"/>
        </w:rPr>
        <w:t>de la monitorización cardiotocográfica para conseguir una indicación apropiada de las inter- </w:t>
      </w:r>
      <w:r>
        <w:rPr>
          <w:color w:val="231F1F"/>
          <w:spacing w:val="-2"/>
        </w:rPr>
        <w:t>venciones.</w:t>
      </w:r>
    </w:p>
    <w:p>
      <w:pPr>
        <w:pStyle w:val="BodyText"/>
        <w:spacing w:line="244" w:lineRule="auto" w:before="129"/>
        <w:ind w:left="284" w:right="122" w:firstLine="453"/>
        <w:jc w:val="both"/>
      </w:pPr>
      <w:r>
        <w:rPr>
          <w:color w:val="231F1F"/>
          <w:w w:val="105"/>
        </w:rPr>
        <w:t>Adicionalmente, la adopción de unos criterios uniformes de clasificación de los regis- tros</w:t>
      </w:r>
      <w:r>
        <w:rPr>
          <w:color w:val="231F1F"/>
          <w:w w:val="105"/>
        </w:rPr>
        <w:t> de</w:t>
      </w:r>
      <w:r>
        <w:rPr>
          <w:color w:val="231F1F"/>
          <w:w w:val="105"/>
        </w:rPr>
        <w:t> frecuencia</w:t>
      </w:r>
      <w:r>
        <w:rPr>
          <w:color w:val="231F1F"/>
          <w:w w:val="105"/>
        </w:rPr>
        <w:t> cardiaca</w:t>
      </w:r>
      <w:r>
        <w:rPr>
          <w:color w:val="231F1F"/>
          <w:w w:val="105"/>
        </w:rPr>
        <w:t> fetal,</w:t>
      </w:r>
      <w:r>
        <w:rPr>
          <w:color w:val="231F1F"/>
          <w:w w:val="105"/>
        </w:rPr>
        <w:t> debería</w:t>
      </w:r>
      <w:r>
        <w:rPr>
          <w:color w:val="231F1F"/>
          <w:w w:val="105"/>
        </w:rPr>
        <w:t> aportar</w:t>
      </w:r>
      <w:r>
        <w:rPr>
          <w:color w:val="231F1F"/>
          <w:w w:val="105"/>
        </w:rPr>
        <w:t> beneficios</w:t>
      </w:r>
      <w:r>
        <w:rPr>
          <w:color w:val="231F1F"/>
          <w:w w:val="105"/>
        </w:rPr>
        <w:t> en</w:t>
      </w:r>
      <w:r>
        <w:rPr>
          <w:color w:val="231F1F"/>
          <w:w w:val="105"/>
        </w:rPr>
        <w:t> el</w:t>
      </w:r>
      <w:r>
        <w:rPr>
          <w:color w:val="231F1F"/>
          <w:w w:val="105"/>
        </w:rPr>
        <w:t> terreno</w:t>
      </w:r>
      <w:r>
        <w:rPr>
          <w:color w:val="231F1F"/>
          <w:w w:val="105"/>
        </w:rPr>
        <w:t> de</w:t>
      </w:r>
      <w:r>
        <w:rPr>
          <w:color w:val="231F1F"/>
          <w:w w:val="105"/>
        </w:rPr>
        <w:t> la</w:t>
      </w:r>
      <w:r>
        <w:rPr>
          <w:color w:val="231F1F"/>
          <w:w w:val="105"/>
        </w:rPr>
        <w:t> reproduci- bilidad de los resultados de la investigación.</w:t>
      </w:r>
    </w:p>
    <w:p>
      <w:pPr>
        <w:pStyle w:val="BodyText"/>
        <w:spacing w:before="167"/>
      </w:pPr>
    </w:p>
    <w:p>
      <w:pPr>
        <w:spacing w:before="0"/>
        <w:ind w:left="283" w:right="0" w:firstLine="0"/>
        <w:jc w:val="left"/>
        <w:rPr>
          <w:rFonts w:ascii="Arial MT" w:hAnsi="Arial MT"/>
          <w:sz w:val="24"/>
        </w:rPr>
      </w:pPr>
      <w:r>
        <w:rPr>
          <w:rFonts w:ascii="Arial MT" w:hAnsi="Arial MT"/>
          <w:color w:val="231F1F"/>
          <w:sz w:val="24"/>
        </w:rPr>
        <w:t>Evidencia</w:t>
      </w:r>
      <w:r>
        <w:rPr>
          <w:rFonts w:ascii="Arial MT" w:hAnsi="Arial MT"/>
          <w:color w:val="231F1F"/>
          <w:spacing w:val="26"/>
          <w:sz w:val="24"/>
        </w:rPr>
        <w:t> </w:t>
      </w:r>
      <w:r>
        <w:rPr>
          <w:rFonts w:ascii="Arial MT" w:hAnsi="Arial MT"/>
          <w:color w:val="231F1F"/>
          <w:spacing w:val="-2"/>
          <w:sz w:val="24"/>
        </w:rPr>
        <w:t>científica</w:t>
      </w:r>
    </w:p>
    <w:p>
      <w:pPr>
        <w:pStyle w:val="BodyText"/>
        <w:spacing w:before="200"/>
        <w:ind w:left="283"/>
        <w:jc w:val="both"/>
      </w:pPr>
      <w:r>
        <w:rPr>
          <w:color w:val="231F1F"/>
          <w:w w:val="110"/>
        </w:rPr>
        <w:t>Esta</w:t>
      </w:r>
      <w:r>
        <w:rPr>
          <w:color w:val="231F1F"/>
          <w:spacing w:val="-12"/>
          <w:w w:val="110"/>
        </w:rPr>
        <w:t> </w:t>
      </w:r>
      <w:r>
        <w:rPr>
          <w:color w:val="231F1F"/>
          <w:w w:val="110"/>
        </w:rPr>
        <w:t>pregunta</w:t>
      </w:r>
      <w:r>
        <w:rPr>
          <w:color w:val="231F1F"/>
          <w:spacing w:val="-11"/>
          <w:w w:val="110"/>
        </w:rPr>
        <w:t> </w:t>
      </w:r>
      <w:r>
        <w:rPr>
          <w:color w:val="231F1F"/>
          <w:w w:val="110"/>
        </w:rPr>
        <w:t>no</w:t>
      </w:r>
      <w:r>
        <w:rPr>
          <w:color w:val="231F1F"/>
          <w:spacing w:val="-12"/>
          <w:w w:val="110"/>
        </w:rPr>
        <w:t> </w:t>
      </w:r>
      <w:r>
        <w:rPr>
          <w:color w:val="231F1F"/>
          <w:w w:val="110"/>
        </w:rPr>
        <w:t>es</w:t>
      </w:r>
      <w:r>
        <w:rPr>
          <w:color w:val="231F1F"/>
          <w:spacing w:val="-9"/>
          <w:w w:val="110"/>
        </w:rPr>
        <w:t> </w:t>
      </w:r>
      <w:r>
        <w:rPr>
          <w:color w:val="231F1F"/>
          <w:w w:val="110"/>
        </w:rPr>
        <w:t>contestada</w:t>
      </w:r>
      <w:r>
        <w:rPr>
          <w:color w:val="231F1F"/>
          <w:spacing w:val="-11"/>
          <w:w w:val="110"/>
        </w:rPr>
        <w:t> </w:t>
      </w:r>
      <w:r>
        <w:rPr>
          <w:color w:val="231F1F"/>
          <w:w w:val="110"/>
        </w:rPr>
        <w:t>por</w:t>
      </w:r>
      <w:r>
        <w:rPr>
          <w:color w:val="231F1F"/>
          <w:spacing w:val="-12"/>
          <w:w w:val="110"/>
        </w:rPr>
        <w:t> </w:t>
      </w:r>
      <w:r>
        <w:rPr>
          <w:color w:val="231F1F"/>
          <w:w w:val="110"/>
        </w:rPr>
        <w:t>la</w:t>
      </w:r>
      <w:r>
        <w:rPr>
          <w:color w:val="231F1F"/>
          <w:spacing w:val="-11"/>
          <w:w w:val="110"/>
        </w:rPr>
        <w:t> </w:t>
      </w:r>
      <w:r>
        <w:rPr>
          <w:color w:val="231F1F"/>
          <w:w w:val="110"/>
        </w:rPr>
        <w:t>guía</w:t>
      </w:r>
      <w:r>
        <w:rPr>
          <w:color w:val="231F1F"/>
          <w:spacing w:val="-10"/>
          <w:w w:val="110"/>
        </w:rPr>
        <w:t> </w:t>
      </w:r>
      <w:r>
        <w:rPr>
          <w:color w:val="231F1F"/>
          <w:w w:val="110"/>
        </w:rPr>
        <w:t>NICE</w:t>
      </w:r>
      <w:r>
        <w:rPr>
          <w:color w:val="231F1F"/>
          <w:spacing w:val="-11"/>
          <w:w w:val="110"/>
        </w:rPr>
        <w:t> </w:t>
      </w:r>
      <w:r>
        <w:rPr>
          <w:color w:val="231F1F"/>
          <w:spacing w:val="-2"/>
          <w:w w:val="110"/>
        </w:rPr>
        <w:t>(10).</w:t>
      </w:r>
    </w:p>
    <w:p>
      <w:pPr>
        <w:pStyle w:val="BodyText"/>
        <w:spacing w:before="180"/>
      </w:pPr>
    </w:p>
    <w:p>
      <w:pPr>
        <w:spacing w:before="0"/>
        <w:ind w:left="283" w:right="0" w:firstLine="0"/>
        <w:jc w:val="left"/>
        <w:rPr>
          <w:rFonts w:ascii="Arial MT" w:hAnsi="Arial MT"/>
          <w:sz w:val="24"/>
        </w:rPr>
      </w:pPr>
      <w:r>
        <w:rPr>
          <w:rFonts w:ascii="Arial MT" w:hAnsi="Arial MT"/>
          <w:color w:val="231F1F"/>
          <w:sz w:val="24"/>
        </w:rPr>
        <w:t>Actualización</w:t>
      </w:r>
      <w:r>
        <w:rPr>
          <w:rFonts w:ascii="Arial MT" w:hAnsi="Arial MT"/>
          <w:color w:val="231F1F"/>
          <w:spacing w:val="22"/>
          <w:sz w:val="24"/>
        </w:rPr>
        <w:t> </w:t>
      </w:r>
      <w:r>
        <w:rPr>
          <w:rFonts w:ascii="Arial MT" w:hAnsi="Arial MT"/>
          <w:color w:val="231F1F"/>
          <w:sz w:val="24"/>
        </w:rPr>
        <w:t>(hasta</w:t>
      </w:r>
      <w:r>
        <w:rPr>
          <w:rFonts w:ascii="Arial MT" w:hAnsi="Arial MT"/>
          <w:color w:val="231F1F"/>
          <w:spacing w:val="22"/>
          <w:sz w:val="24"/>
        </w:rPr>
        <w:t> </w:t>
      </w:r>
      <w:r>
        <w:rPr>
          <w:rFonts w:ascii="Arial MT" w:hAnsi="Arial MT"/>
          <w:color w:val="231F1F"/>
          <w:sz w:val="24"/>
        </w:rPr>
        <w:t>mayo</w:t>
      </w:r>
      <w:r>
        <w:rPr>
          <w:rFonts w:ascii="Arial MT" w:hAnsi="Arial MT"/>
          <w:color w:val="231F1F"/>
          <w:spacing w:val="24"/>
          <w:sz w:val="24"/>
        </w:rPr>
        <w:t> </w:t>
      </w:r>
      <w:r>
        <w:rPr>
          <w:rFonts w:ascii="Arial MT" w:hAnsi="Arial MT"/>
          <w:color w:val="231F1F"/>
          <w:sz w:val="24"/>
        </w:rPr>
        <w:t>de</w:t>
      </w:r>
      <w:r>
        <w:rPr>
          <w:rFonts w:ascii="Arial MT" w:hAnsi="Arial MT"/>
          <w:color w:val="231F1F"/>
          <w:spacing w:val="22"/>
          <w:sz w:val="24"/>
        </w:rPr>
        <w:t> </w:t>
      </w:r>
      <w:r>
        <w:rPr>
          <w:rFonts w:ascii="Arial MT" w:hAnsi="Arial MT"/>
          <w:color w:val="231F1F"/>
          <w:spacing w:val="-2"/>
          <w:sz w:val="24"/>
        </w:rPr>
        <w:t>2008)</w:t>
      </w:r>
    </w:p>
    <w:p>
      <w:pPr>
        <w:pStyle w:val="BodyText"/>
        <w:spacing w:before="209"/>
        <w:ind w:left="283" w:right="1386"/>
      </w:pPr>
      <w:r>
        <w:rPr>
          <w:color w:val="231F1F"/>
          <w:spacing w:val="-2"/>
          <w:w w:val="105"/>
        </w:rPr>
        <w:t>Se</w:t>
      </w:r>
      <w:r>
        <w:rPr>
          <w:color w:val="231F1F"/>
          <w:spacing w:val="-17"/>
          <w:w w:val="105"/>
        </w:rPr>
        <w:t> </w:t>
      </w:r>
      <w:r>
        <w:rPr>
          <w:color w:val="231F1F"/>
          <w:spacing w:val="-2"/>
          <w:w w:val="105"/>
        </w:rPr>
        <w:t>ha</w:t>
      </w:r>
      <w:r>
        <w:rPr>
          <w:color w:val="231F1F"/>
          <w:spacing w:val="-16"/>
          <w:w w:val="105"/>
        </w:rPr>
        <w:t> </w:t>
      </w:r>
      <w:r>
        <w:rPr>
          <w:color w:val="231F1F"/>
          <w:spacing w:val="-2"/>
          <w:w w:val="105"/>
        </w:rPr>
        <w:t>realizado</w:t>
      </w:r>
      <w:r>
        <w:rPr>
          <w:color w:val="231F1F"/>
          <w:spacing w:val="-15"/>
          <w:w w:val="105"/>
        </w:rPr>
        <w:t> </w:t>
      </w:r>
      <w:r>
        <w:rPr>
          <w:color w:val="231F1F"/>
          <w:spacing w:val="-2"/>
          <w:w w:val="105"/>
        </w:rPr>
        <w:t>una</w:t>
      </w:r>
      <w:r>
        <w:rPr>
          <w:color w:val="231F1F"/>
          <w:spacing w:val="-14"/>
          <w:w w:val="105"/>
        </w:rPr>
        <w:t> </w:t>
      </w:r>
      <w:r>
        <w:rPr>
          <w:color w:val="231F1F"/>
          <w:spacing w:val="-2"/>
          <w:w w:val="105"/>
        </w:rPr>
        <w:t>búsqueda</w:t>
      </w:r>
      <w:r>
        <w:rPr>
          <w:color w:val="231F1F"/>
          <w:spacing w:val="-17"/>
          <w:w w:val="105"/>
        </w:rPr>
        <w:t> </w:t>
      </w:r>
      <w:r>
        <w:rPr>
          <w:color w:val="231F1F"/>
          <w:spacing w:val="-2"/>
          <w:w w:val="105"/>
        </w:rPr>
        <w:t>bibliográfica</w:t>
      </w:r>
      <w:r>
        <w:rPr>
          <w:color w:val="231F1F"/>
          <w:spacing w:val="-17"/>
          <w:w w:val="105"/>
        </w:rPr>
        <w:t> </w:t>
      </w:r>
      <w:r>
        <w:rPr>
          <w:color w:val="231F1F"/>
          <w:spacing w:val="-2"/>
          <w:w w:val="105"/>
        </w:rPr>
        <w:t>de</w:t>
      </w:r>
      <w:r>
        <w:rPr>
          <w:color w:val="231F1F"/>
          <w:spacing w:val="-17"/>
          <w:w w:val="105"/>
        </w:rPr>
        <w:t> </w:t>
      </w:r>
      <w:r>
        <w:rPr>
          <w:color w:val="231F1F"/>
          <w:spacing w:val="-2"/>
          <w:w w:val="105"/>
        </w:rPr>
        <w:t>revisiones</w:t>
      </w:r>
      <w:r>
        <w:rPr>
          <w:color w:val="231F1F"/>
          <w:spacing w:val="-13"/>
          <w:w w:val="105"/>
        </w:rPr>
        <w:t> </w:t>
      </w:r>
      <w:r>
        <w:rPr>
          <w:color w:val="231F1F"/>
          <w:spacing w:val="-2"/>
          <w:w w:val="105"/>
        </w:rPr>
        <w:t>sistemáticas,</w:t>
      </w:r>
      <w:r>
        <w:rPr>
          <w:color w:val="231F1F"/>
          <w:spacing w:val="-15"/>
          <w:w w:val="105"/>
        </w:rPr>
        <w:t> </w:t>
      </w:r>
      <w:r>
        <w:rPr>
          <w:color w:val="231F1F"/>
          <w:spacing w:val="-2"/>
          <w:w w:val="105"/>
        </w:rPr>
        <w:t>metaanáli- </w:t>
      </w:r>
      <w:r>
        <w:rPr>
          <w:color w:val="231F1F"/>
        </w:rPr>
        <w:t>sis</w:t>
      </w:r>
      <w:r>
        <w:rPr>
          <w:color w:val="231F1F"/>
          <w:spacing w:val="-6"/>
        </w:rPr>
        <w:t> </w:t>
      </w:r>
      <w:r>
        <w:rPr>
          <w:color w:val="231F1F"/>
        </w:rPr>
        <w:t>e</w:t>
      </w:r>
      <w:r>
        <w:rPr>
          <w:color w:val="231F1F"/>
          <w:spacing w:val="-2"/>
        </w:rPr>
        <w:t> </w:t>
      </w:r>
      <w:r>
        <w:rPr>
          <w:color w:val="231F1F"/>
        </w:rPr>
        <w:t>informes</w:t>
      </w:r>
      <w:r>
        <w:rPr>
          <w:color w:val="231F1F"/>
          <w:spacing w:val="-3"/>
        </w:rPr>
        <w:t> </w:t>
      </w:r>
      <w:r>
        <w:rPr>
          <w:color w:val="231F1F"/>
        </w:rPr>
        <w:t>de</w:t>
      </w:r>
      <w:r>
        <w:rPr>
          <w:color w:val="231F1F"/>
          <w:spacing w:val="-5"/>
        </w:rPr>
        <w:t> </w:t>
      </w:r>
      <w:r>
        <w:rPr>
          <w:color w:val="231F1F"/>
        </w:rPr>
        <w:t>evaluación</w:t>
      </w:r>
      <w:r>
        <w:rPr>
          <w:color w:val="231F1F"/>
          <w:spacing w:val="-3"/>
        </w:rPr>
        <w:t> </w:t>
      </w:r>
      <w:r>
        <w:rPr>
          <w:color w:val="231F1F"/>
        </w:rPr>
        <w:t>en</w:t>
      </w:r>
      <w:r>
        <w:rPr>
          <w:color w:val="231F1F"/>
          <w:spacing w:val="-2"/>
        </w:rPr>
        <w:t> </w:t>
      </w:r>
      <w:r>
        <w:rPr>
          <w:color w:val="231F1F"/>
        </w:rPr>
        <w:t>busca</w:t>
      </w:r>
      <w:r>
        <w:rPr>
          <w:color w:val="231F1F"/>
          <w:spacing w:val="-5"/>
        </w:rPr>
        <w:t> </w:t>
      </w:r>
      <w:r>
        <w:rPr>
          <w:color w:val="231F1F"/>
        </w:rPr>
        <w:t>de</w:t>
      </w:r>
      <w:r>
        <w:rPr>
          <w:color w:val="231F1F"/>
          <w:spacing w:val="-6"/>
        </w:rPr>
        <w:t> </w:t>
      </w:r>
      <w:r>
        <w:rPr>
          <w:color w:val="231F1F"/>
        </w:rPr>
        <w:t>evidencia</w:t>
      </w:r>
      <w:r>
        <w:rPr>
          <w:color w:val="231F1F"/>
          <w:spacing w:val="-2"/>
        </w:rPr>
        <w:t> </w:t>
      </w:r>
      <w:r>
        <w:rPr>
          <w:color w:val="231F1F"/>
        </w:rPr>
        <w:t>para</w:t>
      </w:r>
      <w:r>
        <w:rPr>
          <w:color w:val="231F1F"/>
          <w:spacing w:val="-5"/>
        </w:rPr>
        <w:t> </w:t>
      </w:r>
      <w:r>
        <w:rPr>
          <w:color w:val="231F1F"/>
        </w:rPr>
        <w:t>contestar</w:t>
      </w:r>
      <w:r>
        <w:rPr>
          <w:color w:val="231F1F"/>
          <w:spacing w:val="-3"/>
        </w:rPr>
        <w:t> </w:t>
      </w:r>
      <w:r>
        <w:rPr>
          <w:color w:val="231F1F"/>
        </w:rPr>
        <w:t>a</w:t>
      </w:r>
      <w:r>
        <w:rPr>
          <w:color w:val="231F1F"/>
          <w:spacing w:val="-3"/>
        </w:rPr>
        <w:t> </w:t>
      </w:r>
      <w:r>
        <w:rPr>
          <w:color w:val="231F1F"/>
        </w:rPr>
        <w:t>esta</w:t>
      </w:r>
      <w:r>
        <w:rPr>
          <w:color w:val="231F1F"/>
          <w:spacing w:val="-5"/>
        </w:rPr>
        <w:t> </w:t>
      </w:r>
      <w:r>
        <w:rPr>
          <w:color w:val="231F1F"/>
          <w:spacing w:val="-2"/>
        </w:rPr>
        <w:t>pregunta.</w:t>
      </w:r>
    </w:p>
    <w:p>
      <w:pPr>
        <w:pStyle w:val="BodyText"/>
        <w:spacing w:line="254" w:lineRule="auto" w:before="147"/>
        <w:ind w:left="283" w:right="1369" w:firstLine="453"/>
        <w:jc w:val="both"/>
      </w:pPr>
      <w:r>
        <w:rPr>
          <w:color w:val="231F1F"/>
          <w:w w:val="110"/>
        </w:rPr>
        <w:t>No</w:t>
      </w:r>
      <w:r>
        <w:rPr>
          <w:color w:val="231F1F"/>
          <w:spacing w:val="-12"/>
          <w:w w:val="110"/>
        </w:rPr>
        <w:t> </w:t>
      </w:r>
      <w:r>
        <w:rPr>
          <w:color w:val="231F1F"/>
          <w:w w:val="110"/>
        </w:rPr>
        <w:t>se</w:t>
      </w:r>
      <w:r>
        <w:rPr>
          <w:color w:val="231F1F"/>
          <w:spacing w:val="-12"/>
          <w:w w:val="110"/>
        </w:rPr>
        <w:t> </w:t>
      </w:r>
      <w:r>
        <w:rPr>
          <w:color w:val="231F1F"/>
          <w:w w:val="110"/>
        </w:rPr>
        <w:t>ha</w:t>
      </w:r>
      <w:r>
        <w:rPr>
          <w:color w:val="231F1F"/>
          <w:spacing w:val="-12"/>
          <w:w w:val="110"/>
        </w:rPr>
        <w:t> </w:t>
      </w:r>
      <w:r>
        <w:rPr>
          <w:color w:val="231F1F"/>
          <w:w w:val="110"/>
        </w:rPr>
        <w:t>encontrado</w:t>
      </w:r>
      <w:r>
        <w:rPr>
          <w:color w:val="231F1F"/>
          <w:spacing w:val="-11"/>
          <w:w w:val="110"/>
        </w:rPr>
        <w:t> </w:t>
      </w:r>
      <w:r>
        <w:rPr>
          <w:color w:val="231F1F"/>
          <w:w w:val="110"/>
        </w:rPr>
        <w:t>ninguna</w:t>
      </w:r>
      <w:r>
        <w:rPr>
          <w:color w:val="231F1F"/>
          <w:spacing w:val="-12"/>
          <w:w w:val="110"/>
        </w:rPr>
        <w:t> </w:t>
      </w:r>
      <w:r>
        <w:rPr>
          <w:color w:val="231F1F"/>
          <w:w w:val="110"/>
        </w:rPr>
        <w:t>revisión</w:t>
      </w:r>
      <w:r>
        <w:rPr>
          <w:color w:val="231F1F"/>
          <w:spacing w:val="-11"/>
          <w:w w:val="110"/>
        </w:rPr>
        <w:t> </w:t>
      </w:r>
      <w:r>
        <w:rPr>
          <w:color w:val="231F1F"/>
          <w:w w:val="110"/>
        </w:rPr>
        <w:t>en</w:t>
      </w:r>
      <w:r>
        <w:rPr>
          <w:color w:val="231F1F"/>
          <w:spacing w:val="-12"/>
          <w:w w:val="110"/>
        </w:rPr>
        <w:t> </w:t>
      </w:r>
      <w:r>
        <w:rPr>
          <w:color w:val="231F1F"/>
          <w:w w:val="110"/>
        </w:rPr>
        <w:t>la</w:t>
      </w:r>
      <w:r>
        <w:rPr>
          <w:color w:val="231F1F"/>
          <w:spacing w:val="-12"/>
          <w:w w:val="110"/>
        </w:rPr>
        <w:t> </w:t>
      </w:r>
      <w:r>
        <w:rPr>
          <w:color w:val="231F1F"/>
          <w:w w:val="110"/>
        </w:rPr>
        <w:t>que</w:t>
      </w:r>
      <w:r>
        <w:rPr>
          <w:color w:val="231F1F"/>
          <w:spacing w:val="-12"/>
          <w:w w:val="110"/>
        </w:rPr>
        <w:t> </w:t>
      </w:r>
      <w:r>
        <w:rPr>
          <w:color w:val="231F1F"/>
          <w:w w:val="110"/>
        </w:rPr>
        <w:t>se</w:t>
      </w:r>
      <w:r>
        <w:rPr>
          <w:color w:val="231F1F"/>
          <w:spacing w:val="-12"/>
          <w:w w:val="110"/>
        </w:rPr>
        <w:t> </w:t>
      </w:r>
      <w:r>
        <w:rPr>
          <w:color w:val="231F1F"/>
          <w:w w:val="110"/>
        </w:rPr>
        <w:t>comparen</w:t>
      </w:r>
      <w:r>
        <w:rPr>
          <w:color w:val="231F1F"/>
          <w:spacing w:val="-12"/>
          <w:w w:val="110"/>
        </w:rPr>
        <w:t> </w:t>
      </w:r>
      <w:r>
        <w:rPr>
          <w:color w:val="231F1F"/>
          <w:w w:val="110"/>
        </w:rPr>
        <w:t>las</w:t>
      </w:r>
      <w:r>
        <w:rPr>
          <w:color w:val="231F1F"/>
          <w:spacing w:val="-12"/>
          <w:w w:val="110"/>
        </w:rPr>
        <w:t> </w:t>
      </w:r>
      <w:r>
        <w:rPr>
          <w:color w:val="231F1F"/>
          <w:w w:val="110"/>
        </w:rPr>
        <w:t>dos</w:t>
      </w:r>
      <w:r>
        <w:rPr>
          <w:color w:val="231F1F"/>
          <w:spacing w:val="-12"/>
          <w:w w:val="110"/>
        </w:rPr>
        <w:t> </w:t>
      </w:r>
      <w:r>
        <w:rPr>
          <w:color w:val="231F1F"/>
          <w:w w:val="110"/>
        </w:rPr>
        <w:t>in- </w:t>
      </w:r>
      <w:r>
        <w:rPr>
          <w:color w:val="231F1F"/>
        </w:rPr>
        <w:t>tervenciones propuestas: aplicación de sistemas de clasificación de los registros </w:t>
      </w:r>
      <w:r>
        <w:rPr>
          <w:color w:val="231F1F"/>
          <w:spacing w:val="-2"/>
          <w:w w:val="110"/>
        </w:rPr>
        <w:t>cardiotocográficos</w:t>
      </w:r>
      <w:r>
        <w:rPr>
          <w:color w:val="231F1F"/>
          <w:spacing w:val="-12"/>
          <w:w w:val="110"/>
        </w:rPr>
        <w:t> </w:t>
      </w:r>
      <w:r>
        <w:rPr>
          <w:color w:val="231F1F"/>
          <w:spacing w:val="-2"/>
          <w:w w:val="110"/>
        </w:rPr>
        <w:t>continuos</w:t>
      </w:r>
      <w:r>
        <w:rPr>
          <w:color w:val="231F1F"/>
          <w:spacing w:val="-13"/>
          <w:w w:val="110"/>
        </w:rPr>
        <w:t> </w:t>
      </w:r>
      <w:r>
        <w:rPr>
          <w:color w:val="231F1F"/>
          <w:spacing w:val="-2"/>
          <w:w w:val="110"/>
        </w:rPr>
        <w:t>en</w:t>
      </w:r>
      <w:r>
        <w:rPr>
          <w:color w:val="231F1F"/>
          <w:spacing w:val="-13"/>
          <w:w w:val="110"/>
        </w:rPr>
        <w:t> </w:t>
      </w:r>
      <w:r>
        <w:rPr>
          <w:color w:val="231F1F"/>
          <w:spacing w:val="-2"/>
          <w:w w:val="110"/>
        </w:rPr>
        <w:t>distintas</w:t>
      </w:r>
      <w:r>
        <w:rPr>
          <w:color w:val="231F1F"/>
          <w:spacing w:val="-13"/>
          <w:w w:val="110"/>
        </w:rPr>
        <w:t> </w:t>
      </w:r>
      <w:r>
        <w:rPr>
          <w:color w:val="231F1F"/>
          <w:spacing w:val="-2"/>
          <w:w w:val="110"/>
        </w:rPr>
        <w:t>categorías</w:t>
      </w:r>
      <w:r>
        <w:rPr>
          <w:color w:val="231F1F"/>
          <w:spacing w:val="-13"/>
          <w:w w:val="110"/>
        </w:rPr>
        <w:t> </w:t>
      </w:r>
      <w:r>
        <w:rPr>
          <w:color w:val="231F1F"/>
          <w:spacing w:val="-2"/>
          <w:w w:val="110"/>
        </w:rPr>
        <w:t>de</w:t>
      </w:r>
      <w:r>
        <w:rPr>
          <w:color w:val="231F1F"/>
          <w:spacing w:val="-13"/>
          <w:w w:val="110"/>
        </w:rPr>
        <w:t> </w:t>
      </w:r>
      <w:r>
        <w:rPr>
          <w:color w:val="231F1F"/>
          <w:spacing w:val="-2"/>
          <w:w w:val="110"/>
        </w:rPr>
        <w:t>riesgo</w:t>
      </w:r>
      <w:r>
        <w:rPr>
          <w:color w:val="231F1F"/>
          <w:spacing w:val="-13"/>
          <w:w w:val="110"/>
        </w:rPr>
        <w:t> </w:t>
      </w:r>
      <w:r>
        <w:rPr>
          <w:color w:val="231F1F"/>
          <w:spacing w:val="-2"/>
          <w:w w:val="110"/>
        </w:rPr>
        <w:t>frente</w:t>
      </w:r>
      <w:r>
        <w:rPr>
          <w:color w:val="231F1F"/>
          <w:spacing w:val="-13"/>
          <w:w w:val="110"/>
        </w:rPr>
        <w:t> </w:t>
      </w:r>
      <w:r>
        <w:rPr>
          <w:color w:val="231F1F"/>
          <w:spacing w:val="-2"/>
          <w:w w:val="110"/>
        </w:rPr>
        <w:t>a</w:t>
      </w:r>
      <w:r>
        <w:rPr>
          <w:color w:val="231F1F"/>
          <w:spacing w:val="-13"/>
          <w:w w:val="110"/>
        </w:rPr>
        <w:t> </w:t>
      </w:r>
      <w:r>
        <w:rPr>
          <w:color w:val="231F1F"/>
          <w:spacing w:val="-2"/>
          <w:w w:val="110"/>
        </w:rPr>
        <w:t>valora- ción</w:t>
      </w:r>
      <w:r>
        <w:rPr>
          <w:color w:val="231F1F"/>
          <w:spacing w:val="-17"/>
          <w:w w:val="110"/>
        </w:rPr>
        <w:t> </w:t>
      </w:r>
      <w:r>
        <w:rPr>
          <w:color w:val="231F1F"/>
          <w:spacing w:val="-2"/>
          <w:w w:val="110"/>
        </w:rPr>
        <w:t>del</w:t>
      </w:r>
      <w:r>
        <w:rPr>
          <w:color w:val="231F1F"/>
          <w:spacing w:val="-17"/>
          <w:w w:val="110"/>
        </w:rPr>
        <w:t> </w:t>
      </w:r>
      <w:r>
        <w:rPr>
          <w:color w:val="231F1F"/>
          <w:spacing w:val="-2"/>
          <w:w w:val="110"/>
        </w:rPr>
        <w:t>registro</w:t>
      </w:r>
      <w:r>
        <w:rPr>
          <w:color w:val="231F1F"/>
          <w:spacing w:val="-16"/>
          <w:w w:val="110"/>
        </w:rPr>
        <w:t> </w:t>
      </w:r>
      <w:r>
        <w:rPr>
          <w:color w:val="231F1F"/>
          <w:spacing w:val="-2"/>
          <w:w w:val="110"/>
        </w:rPr>
        <w:t>cardiotocográfico</w:t>
      </w:r>
      <w:r>
        <w:rPr>
          <w:color w:val="231F1F"/>
          <w:spacing w:val="-15"/>
          <w:w w:val="110"/>
        </w:rPr>
        <w:t> </w:t>
      </w:r>
      <w:r>
        <w:rPr>
          <w:color w:val="231F1F"/>
          <w:spacing w:val="-2"/>
          <w:w w:val="110"/>
        </w:rPr>
        <w:t>sin</w:t>
      </w:r>
      <w:r>
        <w:rPr>
          <w:color w:val="231F1F"/>
          <w:spacing w:val="-16"/>
          <w:w w:val="110"/>
        </w:rPr>
        <w:t> </w:t>
      </w:r>
      <w:r>
        <w:rPr>
          <w:color w:val="231F1F"/>
          <w:spacing w:val="-2"/>
          <w:w w:val="110"/>
        </w:rPr>
        <w:t>la</w:t>
      </w:r>
      <w:r>
        <w:rPr>
          <w:color w:val="231F1F"/>
          <w:spacing w:val="-15"/>
          <w:w w:val="110"/>
        </w:rPr>
        <w:t> </w:t>
      </w:r>
      <w:r>
        <w:rPr>
          <w:color w:val="231F1F"/>
          <w:spacing w:val="-2"/>
          <w:w w:val="110"/>
        </w:rPr>
        <w:t>utilización</w:t>
      </w:r>
      <w:r>
        <w:rPr>
          <w:color w:val="231F1F"/>
          <w:spacing w:val="-16"/>
          <w:w w:val="110"/>
        </w:rPr>
        <w:t> </w:t>
      </w:r>
      <w:r>
        <w:rPr>
          <w:color w:val="231F1F"/>
          <w:spacing w:val="-2"/>
          <w:w w:val="110"/>
        </w:rPr>
        <w:t>de</w:t>
      </w:r>
      <w:r>
        <w:rPr>
          <w:color w:val="231F1F"/>
          <w:spacing w:val="-15"/>
          <w:w w:val="110"/>
        </w:rPr>
        <w:t> </w:t>
      </w:r>
      <w:r>
        <w:rPr>
          <w:color w:val="231F1F"/>
          <w:spacing w:val="-2"/>
          <w:w w:val="110"/>
        </w:rPr>
        <w:t>dichas</w:t>
      </w:r>
      <w:r>
        <w:rPr>
          <w:color w:val="231F1F"/>
          <w:spacing w:val="-17"/>
          <w:w w:val="110"/>
        </w:rPr>
        <w:t> </w:t>
      </w:r>
      <w:r>
        <w:rPr>
          <w:color w:val="231F1F"/>
          <w:spacing w:val="-2"/>
          <w:w w:val="110"/>
        </w:rPr>
        <w:t>clasificaciones.</w:t>
      </w:r>
    </w:p>
    <w:p>
      <w:pPr>
        <w:pStyle w:val="BodyText"/>
        <w:spacing w:line="244" w:lineRule="auto" w:before="128"/>
        <w:ind w:left="283" w:right="1369" w:firstLine="453"/>
        <w:jc w:val="both"/>
      </w:pPr>
      <w:r>
        <w:rPr>
          <w:color w:val="231F1F"/>
          <w:w w:val="110"/>
        </w:rPr>
        <w:t>En</w:t>
      </w:r>
      <w:r>
        <w:rPr>
          <w:color w:val="231F1F"/>
          <w:spacing w:val="-12"/>
          <w:w w:val="110"/>
        </w:rPr>
        <w:t> </w:t>
      </w:r>
      <w:r>
        <w:rPr>
          <w:color w:val="231F1F"/>
          <w:w w:val="110"/>
        </w:rPr>
        <w:t>el</w:t>
      </w:r>
      <w:r>
        <w:rPr>
          <w:color w:val="231F1F"/>
          <w:spacing w:val="-13"/>
          <w:w w:val="110"/>
        </w:rPr>
        <w:t> </w:t>
      </w:r>
      <w:r>
        <w:rPr>
          <w:color w:val="231F1F"/>
          <w:w w:val="110"/>
        </w:rPr>
        <w:t>Anexo</w:t>
      </w:r>
      <w:r>
        <w:rPr>
          <w:color w:val="231F1F"/>
          <w:spacing w:val="-12"/>
          <w:w w:val="110"/>
        </w:rPr>
        <w:t> </w:t>
      </w:r>
      <w:r>
        <w:rPr>
          <w:color w:val="231F1F"/>
          <w:w w:val="110"/>
        </w:rPr>
        <w:t>3.3</w:t>
      </w:r>
      <w:r>
        <w:rPr>
          <w:color w:val="231F1F"/>
          <w:spacing w:val="-12"/>
          <w:w w:val="110"/>
        </w:rPr>
        <w:t> </w:t>
      </w:r>
      <w:r>
        <w:rPr>
          <w:color w:val="231F1F"/>
          <w:w w:val="110"/>
        </w:rPr>
        <w:t>se</w:t>
      </w:r>
      <w:r>
        <w:rPr>
          <w:color w:val="231F1F"/>
          <w:spacing w:val="-12"/>
          <w:w w:val="110"/>
        </w:rPr>
        <w:t> </w:t>
      </w:r>
      <w:r>
        <w:rPr>
          <w:color w:val="231F1F"/>
          <w:w w:val="110"/>
        </w:rPr>
        <w:t>presenta</w:t>
      </w:r>
      <w:r>
        <w:rPr>
          <w:color w:val="231F1F"/>
          <w:spacing w:val="-13"/>
          <w:w w:val="110"/>
        </w:rPr>
        <w:t> </w:t>
      </w:r>
      <w:r>
        <w:rPr>
          <w:color w:val="231F1F"/>
          <w:w w:val="110"/>
        </w:rPr>
        <w:t>la</w:t>
      </w:r>
      <w:r>
        <w:rPr>
          <w:color w:val="231F1F"/>
          <w:spacing w:val="-12"/>
          <w:w w:val="110"/>
        </w:rPr>
        <w:t> </w:t>
      </w:r>
      <w:r>
        <w:rPr>
          <w:color w:val="231F1F"/>
          <w:w w:val="110"/>
        </w:rPr>
        <w:t>clasificación</w:t>
      </w:r>
      <w:r>
        <w:rPr>
          <w:color w:val="231F1F"/>
          <w:spacing w:val="-12"/>
          <w:w w:val="110"/>
        </w:rPr>
        <w:t> </w:t>
      </w:r>
      <w:r>
        <w:rPr>
          <w:color w:val="231F1F"/>
          <w:w w:val="110"/>
        </w:rPr>
        <w:t>de</w:t>
      </w:r>
      <w:r>
        <w:rPr>
          <w:color w:val="231F1F"/>
          <w:spacing w:val="-12"/>
          <w:w w:val="110"/>
        </w:rPr>
        <w:t> </w:t>
      </w:r>
      <w:r>
        <w:rPr>
          <w:color w:val="231F1F"/>
          <w:w w:val="110"/>
        </w:rPr>
        <w:t>los</w:t>
      </w:r>
      <w:r>
        <w:rPr>
          <w:color w:val="231F1F"/>
          <w:spacing w:val="-13"/>
          <w:w w:val="110"/>
        </w:rPr>
        <w:t> </w:t>
      </w:r>
      <w:r>
        <w:rPr>
          <w:color w:val="231F1F"/>
          <w:w w:val="110"/>
        </w:rPr>
        <w:t>registros</w:t>
      </w:r>
      <w:r>
        <w:rPr>
          <w:color w:val="231F1F"/>
          <w:spacing w:val="-12"/>
          <w:w w:val="110"/>
        </w:rPr>
        <w:t> </w:t>
      </w:r>
      <w:r>
        <w:rPr>
          <w:color w:val="231F1F"/>
          <w:w w:val="110"/>
        </w:rPr>
        <w:t>cardiotoco- gráficos</w:t>
      </w:r>
      <w:r>
        <w:rPr>
          <w:color w:val="231F1F"/>
          <w:spacing w:val="-2"/>
          <w:w w:val="110"/>
        </w:rPr>
        <w:t> </w:t>
      </w:r>
      <w:r>
        <w:rPr>
          <w:color w:val="231F1F"/>
          <w:w w:val="110"/>
        </w:rPr>
        <w:t>para</w:t>
      </w:r>
      <w:r>
        <w:rPr>
          <w:color w:val="231F1F"/>
          <w:spacing w:val="-2"/>
          <w:w w:val="110"/>
        </w:rPr>
        <w:t> </w:t>
      </w:r>
      <w:r>
        <w:rPr>
          <w:color w:val="231F1F"/>
          <w:w w:val="110"/>
        </w:rPr>
        <w:t>cada</w:t>
      </w:r>
      <w:r>
        <w:rPr>
          <w:color w:val="231F1F"/>
          <w:spacing w:val="-2"/>
          <w:w w:val="110"/>
        </w:rPr>
        <w:t> </w:t>
      </w:r>
      <w:r>
        <w:rPr>
          <w:color w:val="231F1F"/>
          <w:w w:val="110"/>
        </w:rPr>
        <w:t>una</w:t>
      </w:r>
      <w:r>
        <w:rPr>
          <w:color w:val="231F1F"/>
          <w:spacing w:val="-2"/>
          <w:w w:val="110"/>
        </w:rPr>
        <w:t> </w:t>
      </w:r>
      <w:r>
        <w:rPr>
          <w:color w:val="231F1F"/>
          <w:w w:val="110"/>
        </w:rPr>
        <w:t>de</w:t>
      </w:r>
      <w:r>
        <w:rPr>
          <w:color w:val="231F1F"/>
          <w:spacing w:val="-2"/>
          <w:w w:val="110"/>
        </w:rPr>
        <w:t> </w:t>
      </w:r>
      <w:r>
        <w:rPr>
          <w:color w:val="231F1F"/>
          <w:w w:val="110"/>
        </w:rPr>
        <w:t>las</w:t>
      </w:r>
      <w:r>
        <w:rPr>
          <w:color w:val="231F1F"/>
          <w:spacing w:val="-2"/>
          <w:w w:val="110"/>
        </w:rPr>
        <w:t> </w:t>
      </w:r>
      <w:r>
        <w:rPr>
          <w:color w:val="231F1F"/>
          <w:w w:val="110"/>
        </w:rPr>
        <w:t>distintas</w:t>
      </w:r>
      <w:r>
        <w:rPr>
          <w:color w:val="231F1F"/>
          <w:spacing w:val="-2"/>
          <w:w w:val="110"/>
        </w:rPr>
        <w:t> </w:t>
      </w:r>
      <w:r>
        <w:rPr>
          <w:color w:val="231F1F"/>
          <w:w w:val="110"/>
        </w:rPr>
        <w:t>categorías</w:t>
      </w:r>
      <w:r>
        <w:rPr>
          <w:color w:val="231F1F"/>
          <w:spacing w:val="-2"/>
          <w:w w:val="110"/>
        </w:rPr>
        <w:t> </w:t>
      </w:r>
      <w:r>
        <w:rPr>
          <w:color w:val="231F1F"/>
          <w:w w:val="110"/>
        </w:rPr>
        <w:t>de</w:t>
      </w:r>
      <w:r>
        <w:rPr>
          <w:color w:val="231F1F"/>
          <w:spacing w:val="-2"/>
          <w:w w:val="110"/>
        </w:rPr>
        <w:t> </w:t>
      </w:r>
      <w:r>
        <w:rPr>
          <w:color w:val="231F1F"/>
          <w:w w:val="110"/>
        </w:rPr>
        <w:t>riesgo.</w:t>
      </w:r>
      <w:r>
        <w:rPr>
          <w:color w:val="231F1F"/>
          <w:spacing w:val="-2"/>
          <w:w w:val="110"/>
        </w:rPr>
        <w:t> </w:t>
      </w:r>
      <w:r>
        <w:rPr>
          <w:color w:val="231F1F"/>
          <w:w w:val="110"/>
        </w:rPr>
        <w:t>Esta</w:t>
      </w:r>
      <w:r>
        <w:rPr>
          <w:color w:val="231F1F"/>
          <w:spacing w:val="-2"/>
          <w:w w:val="110"/>
        </w:rPr>
        <w:t> </w:t>
      </w:r>
      <w:r>
        <w:rPr>
          <w:color w:val="231F1F"/>
          <w:w w:val="110"/>
        </w:rPr>
        <w:t>tabla</w:t>
      </w:r>
      <w:r>
        <w:rPr>
          <w:color w:val="231F1F"/>
          <w:spacing w:val="-2"/>
          <w:w w:val="110"/>
        </w:rPr>
        <w:t> </w:t>
      </w:r>
      <w:r>
        <w:rPr>
          <w:color w:val="231F1F"/>
          <w:w w:val="110"/>
        </w:rPr>
        <w:t>se</w:t>
      </w:r>
      <w:r>
        <w:rPr>
          <w:color w:val="231F1F"/>
          <w:spacing w:val="-2"/>
          <w:w w:val="110"/>
        </w:rPr>
        <w:t> </w:t>
      </w:r>
      <w:r>
        <w:rPr>
          <w:color w:val="231F1F"/>
          <w:w w:val="110"/>
        </w:rPr>
        <w:t>ha realizado</w:t>
      </w:r>
      <w:r>
        <w:rPr>
          <w:color w:val="231F1F"/>
          <w:spacing w:val="-4"/>
          <w:w w:val="110"/>
        </w:rPr>
        <w:t> </w:t>
      </w:r>
      <w:r>
        <w:rPr>
          <w:color w:val="231F1F"/>
          <w:w w:val="110"/>
        </w:rPr>
        <w:t>a</w:t>
      </w:r>
      <w:r>
        <w:rPr>
          <w:color w:val="231F1F"/>
          <w:spacing w:val="-5"/>
          <w:w w:val="110"/>
        </w:rPr>
        <w:t> </w:t>
      </w:r>
      <w:r>
        <w:rPr>
          <w:color w:val="231F1F"/>
          <w:w w:val="110"/>
        </w:rPr>
        <w:t>partir</w:t>
      </w:r>
      <w:r>
        <w:rPr>
          <w:color w:val="231F1F"/>
          <w:spacing w:val="-5"/>
          <w:w w:val="110"/>
        </w:rPr>
        <w:t> </w:t>
      </w:r>
      <w:r>
        <w:rPr>
          <w:color w:val="231F1F"/>
          <w:w w:val="110"/>
        </w:rPr>
        <w:t>de</w:t>
      </w:r>
      <w:r>
        <w:rPr>
          <w:color w:val="231F1F"/>
          <w:spacing w:val="-5"/>
          <w:w w:val="110"/>
        </w:rPr>
        <w:t> </w:t>
      </w:r>
      <w:r>
        <w:rPr>
          <w:color w:val="231F1F"/>
          <w:w w:val="110"/>
        </w:rPr>
        <w:t>dos</w:t>
      </w:r>
      <w:r>
        <w:rPr>
          <w:color w:val="231F1F"/>
          <w:spacing w:val="-5"/>
          <w:w w:val="110"/>
        </w:rPr>
        <w:t> </w:t>
      </w:r>
      <w:r>
        <w:rPr>
          <w:color w:val="231F1F"/>
          <w:w w:val="110"/>
        </w:rPr>
        <w:t>documentos:</w:t>
      </w:r>
      <w:r>
        <w:rPr>
          <w:color w:val="231F1F"/>
          <w:spacing w:val="-5"/>
          <w:w w:val="110"/>
        </w:rPr>
        <w:t> </w:t>
      </w:r>
      <w:r>
        <w:rPr>
          <w:color w:val="231F1F"/>
          <w:w w:val="110"/>
        </w:rPr>
        <w:t>la</w:t>
      </w:r>
      <w:r>
        <w:rPr>
          <w:color w:val="231F1F"/>
          <w:spacing w:val="-5"/>
          <w:w w:val="110"/>
        </w:rPr>
        <w:t> </w:t>
      </w:r>
      <w:r>
        <w:rPr>
          <w:color w:val="231F1F"/>
          <w:w w:val="110"/>
        </w:rPr>
        <w:t>guía</w:t>
      </w:r>
      <w:r>
        <w:rPr>
          <w:color w:val="231F1F"/>
          <w:spacing w:val="-5"/>
          <w:w w:val="110"/>
        </w:rPr>
        <w:t> </w:t>
      </w:r>
      <w:r>
        <w:rPr>
          <w:color w:val="231F1F"/>
          <w:w w:val="110"/>
        </w:rPr>
        <w:t>NICE</w:t>
      </w:r>
      <w:r>
        <w:rPr>
          <w:color w:val="231F1F"/>
          <w:spacing w:val="-4"/>
          <w:w w:val="110"/>
        </w:rPr>
        <w:t> </w:t>
      </w:r>
      <w:r>
        <w:rPr>
          <w:color w:val="231F1F"/>
          <w:w w:val="110"/>
        </w:rPr>
        <w:t>(10)</w:t>
      </w:r>
      <w:r>
        <w:rPr>
          <w:color w:val="231F1F"/>
          <w:spacing w:val="-5"/>
          <w:w w:val="110"/>
        </w:rPr>
        <w:t> </w:t>
      </w:r>
      <w:r>
        <w:rPr>
          <w:color w:val="231F1F"/>
          <w:w w:val="110"/>
        </w:rPr>
        <w:t>y</w:t>
      </w:r>
      <w:r>
        <w:rPr>
          <w:color w:val="231F1F"/>
          <w:spacing w:val="-5"/>
          <w:w w:val="110"/>
        </w:rPr>
        <w:t> </w:t>
      </w:r>
      <w:r>
        <w:rPr>
          <w:color w:val="231F1F"/>
          <w:w w:val="110"/>
        </w:rPr>
        <w:t>una</w:t>
      </w:r>
      <w:r>
        <w:rPr>
          <w:color w:val="231F1F"/>
          <w:spacing w:val="-5"/>
          <w:w w:val="110"/>
        </w:rPr>
        <w:t> </w:t>
      </w:r>
      <w:r>
        <w:rPr>
          <w:color w:val="231F1F"/>
          <w:w w:val="110"/>
        </w:rPr>
        <w:t>revisión</w:t>
      </w:r>
      <w:r>
        <w:rPr>
          <w:color w:val="231F1F"/>
          <w:spacing w:val="-4"/>
          <w:w w:val="110"/>
        </w:rPr>
        <w:t> </w:t>
      </w:r>
      <w:r>
        <w:rPr>
          <w:color w:val="231F1F"/>
          <w:w w:val="110"/>
        </w:rPr>
        <w:t>em- pleada en la actualización de una de las preguntas (370).</w:t>
      </w:r>
    </w:p>
    <w:p>
      <w:pPr>
        <w:pStyle w:val="BodyText"/>
        <w:spacing w:before="163"/>
      </w:pPr>
    </w:p>
    <w:p>
      <w:pPr>
        <w:spacing w:before="1"/>
        <w:ind w:left="283" w:right="0" w:firstLine="0"/>
        <w:jc w:val="left"/>
        <w:rPr>
          <w:rFonts w:ascii="Arial MT"/>
          <w:sz w:val="24"/>
        </w:rPr>
      </w:pPr>
      <w:r>
        <w:rPr>
          <w:rFonts w:ascii="Arial MT"/>
          <w:color w:val="231F1F"/>
          <w:sz w:val="24"/>
        </w:rPr>
        <w:t>Resumen</w:t>
      </w:r>
      <w:r>
        <w:rPr>
          <w:rFonts w:ascii="Arial MT"/>
          <w:color w:val="231F1F"/>
          <w:spacing w:val="6"/>
          <w:sz w:val="24"/>
        </w:rPr>
        <w:t> </w:t>
      </w:r>
      <w:r>
        <w:rPr>
          <w:rFonts w:ascii="Arial MT"/>
          <w:color w:val="231F1F"/>
          <w:sz w:val="24"/>
        </w:rPr>
        <w:t>de</w:t>
      </w:r>
      <w:r>
        <w:rPr>
          <w:rFonts w:ascii="Arial MT"/>
          <w:color w:val="231F1F"/>
          <w:spacing w:val="4"/>
          <w:sz w:val="24"/>
        </w:rPr>
        <w:t> </w:t>
      </w:r>
      <w:r>
        <w:rPr>
          <w:rFonts w:ascii="Arial MT"/>
          <w:color w:val="231F1F"/>
          <w:sz w:val="24"/>
        </w:rPr>
        <w:t>la</w:t>
      </w:r>
      <w:r>
        <w:rPr>
          <w:rFonts w:ascii="Arial MT"/>
          <w:color w:val="231F1F"/>
          <w:spacing w:val="7"/>
          <w:sz w:val="24"/>
        </w:rPr>
        <w:t> </w:t>
      </w:r>
      <w:r>
        <w:rPr>
          <w:rFonts w:ascii="Arial MT"/>
          <w:color w:val="231F1F"/>
          <w:spacing w:val="-2"/>
          <w:sz w:val="24"/>
        </w:rPr>
        <w:t>evidencia</w:t>
      </w:r>
    </w:p>
    <w:p>
      <w:pPr>
        <w:pStyle w:val="BodyText"/>
        <w:spacing w:before="8" w:after="1"/>
        <w:rPr>
          <w:rFonts w:ascii="Arial MT"/>
          <w:sz w:val="19"/>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7373"/>
        <w:gridCol w:w="1133"/>
      </w:tblGrid>
      <w:tr>
        <w:trPr>
          <w:trHeight w:val="964" w:hRule="atLeast"/>
        </w:trPr>
        <w:tc>
          <w:tcPr>
            <w:tcW w:w="7373" w:type="dxa"/>
          </w:tcPr>
          <w:p>
            <w:pPr>
              <w:pStyle w:val="TableParagraph"/>
              <w:spacing w:line="247" w:lineRule="auto" w:before="44"/>
              <w:ind w:right="84"/>
              <w:jc w:val="both"/>
              <w:rPr>
                <w:sz w:val="22"/>
              </w:rPr>
            </w:pPr>
            <w:r>
              <w:rPr>
                <w:color w:val="231F1F"/>
                <w:w w:val="105"/>
                <w:sz w:val="22"/>
              </w:rPr>
              <w:t>No hay </w:t>
            </w:r>
            <w:r>
              <w:rPr>
                <w:b/>
                <w:color w:val="231F1F"/>
                <w:w w:val="105"/>
                <w:sz w:val="22"/>
              </w:rPr>
              <w:t>s</w:t>
            </w:r>
            <w:r>
              <w:rPr>
                <w:i/>
                <w:color w:val="231F1F"/>
                <w:w w:val="105"/>
                <w:sz w:val="22"/>
              </w:rPr>
              <w:t>istemas</w:t>
            </w:r>
            <w:r>
              <w:rPr>
                <w:i/>
                <w:color w:val="231F1F"/>
                <w:spacing w:val="-7"/>
                <w:w w:val="105"/>
                <w:sz w:val="22"/>
              </w:rPr>
              <w:t> </w:t>
            </w:r>
            <w:r>
              <w:rPr>
                <w:i/>
                <w:color w:val="231F1F"/>
                <w:w w:val="105"/>
                <w:sz w:val="22"/>
              </w:rPr>
              <w:t>de</w:t>
            </w:r>
            <w:r>
              <w:rPr>
                <w:i/>
                <w:color w:val="231F1F"/>
                <w:spacing w:val="-7"/>
                <w:w w:val="105"/>
                <w:sz w:val="22"/>
              </w:rPr>
              <w:t> </w:t>
            </w:r>
            <w:r>
              <w:rPr>
                <w:i/>
                <w:color w:val="231F1F"/>
                <w:w w:val="105"/>
                <w:sz w:val="22"/>
              </w:rPr>
              <w:t>categorización</w:t>
            </w:r>
            <w:r>
              <w:rPr>
                <w:i/>
                <w:color w:val="231F1F"/>
                <w:spacing w:val="-7"/>
                <w:w w:val="105"/>
                <w:sz w:val="22"/>
              </w:rPr>
              <w:t> </w:t>
            </w:r>
            <w:r>
              <w:rPr>
                <w:color w:val="231F1F"/>
                <w:w w:val="105"/>
                <w:sz w:val="22"/>
              </w:rPr>
              <w:t>validados mediante ensayos que demues- tren</w:t>
            </w:r>
            <w:r>
              <w:rPr>
                <w:color w:val="231F1F"/>
                <w:w w:val="105"/>
                <w:sz w:val="22"/>
              </w:rPr>
              <w:t> la</w:t>
            </w:r>
            <w:r>
              <w:rPr>
                <w:color w:val="231F1F"/>
                <w:w w:val="105"/>
                <w:sz w:val="22"/>
              </w:rPr>
              <w:t> efectividad</w:t>
            </w:r>
            <w:r>
              <w:rPr>
                <w:color w:val="231F1F"/>
                <w:w w:val="105"/>
                <w:sz w:val="22"/>
              </w:rPr>
              <w:t> de</w:t>
            </w:r>
            <w:r>
              <w:rPr>
                <w:color w:val="231F1F"/>
                <w:w w:val="105"/>
                <w:sz w:val="22"/>
              </w:rPr>
              <w:t> aplicar</w:t>
            </w:r>
            <w:r>
              <w:rPr>
                <w:color w:val="231F1F"/>
                <w:w w:val="105"/>
                <w:sz w:val="22"/>
              </w:rPr>
              <w:t> un</w:t>
            </w:r>
            <w:r>
              <w:rPr>
                <w:color w:val="231F1F"/>
                <w:w w:val="105"/>
                <w:sz w:val="22"/>
              </w:rPr>
              <w:t> sistema</w:t>
            </w:r>
            <w:r>
              <w:rPr>
                <w:color w:val="231F1F"/>
                <w:w w:val="105"/>
                <w:sz w:val="22"/>
              </w:rPr>
              <w:t> de</w:t>
            </w:r>
            <w:r>
              <w:rPr>
                <w:color w:val="231F1F"/>
                <w:w w:val="105"/>
                <w:sz w:val="22"/>
              </w:rPr>
              <w:t> clasificación</w:t>
            </w:r>
            <w:r>
              <w:rPr>
                <w:color w:val="231F1F"/>
                <w:w w:val="105"/>
                <w:sz w:val="22"/>
              </w:rPr>
              <w:t> de</w:t>
            </w:r>
            <w:r>
              <w:rPr>
                <w:color w:val="231F1F"/>
                <w:w w:val="105"/>
                <w:sz w:val="22"/>
              </w:rPr>
              <w:t> los</w:t>
            </w:r>
            <w:r>
              <w:rPr>
                <w:color w:val="231F1F"/>
                <w:w w:val="105"/>
                <w:sz w:val="22"/>
              </w:rPr>
              <w:t> registros cardiotocográficos continuos en distintas categorías de riesgo (370).</w:t>
            </w:r>
          </w:p>
        </w:tc>
        <w:tc>
          <w:tcPr>
            <w:tcW w:w="1133" w:type="dxa"/>
          </w:tcPr>
          <w:p>
            <w:pPr>
              <w:pStyle w:val="TableParagraph"/>
              <w:spacing w:before="69"/>
              <w:ind w:left="0"/>
              <w:rPr>
                <w:rFonts w:ascii="Arial MT"/>
                <w:sz w:val="22"/>
              </w:rPr>
            </w:pPr>
          </w:p>
          <w:p>
            <w:pPr>
              <w:pStyle w:val="TableParagraph"/>
              <w:ind w:left="49" w:right="22"/>
              <w:jc w:val="center"/>
              <w:rPr>
                <w:sz w:val="22"/>
              </w:rPr>
            </w:pPr>
            <w:r>
              <w:rPr>
                <w:color w:val="231F1F"/>
                <w:spacing w:val="-5"/>
                <w:w w:val="115"/>
                <w:sz w:val="22"/>
              </w:rPr>
              <w:t>II</w:t>
            </w:r>
          </w:p>
        </w:tc>
      </w:tr>
    </w:tbl>
    <w:p>
      <w:pPr>
        <w:pStyle w:val="BodyText"/>
        <w:spacing w:before="118"/>
        <w:rPr>
          <w:rFonts w:ascii="Arial MT"/>
          <w:sz w:val="24"/>
        </w:rPr>
      </w:pPr>
    </w:p>
    <w:p>
      <w:pPr>
        <w:spacing w:before="0"/>
        <w:ind w:left="283" w:right="0" w:firstLine="0"/>
        <w:jc w:val="left"/>
        <w:rPr>
          <w:rFonts w:ascii="Arial MT"/>
          <w:sz w:val="24"/>
        </w:rPr>
      </w:pPr>
      <w:r>
        <w:rPr>
          <w:rFonts w:ascii="Arial MT"/>
          <w:color w:val="231F1F"/>
          <w:spacing w:val="-2"/>
          <w:w w:val="105"/>
          <w:sz w:val="24"/>
        </w:rPr>
        <w:t>Recomendaciones</w:t>
      </w:r>
    </w:p>
    <w:p>
      <w:pPr>
        <w:pStyle w:val="BodyText"/>
        <w:spacing w:before="2"/>
        <w:rPr>
          <w:rFonts w:ascii="Arial MT"/>
          <w:sz w:val="20"/>
        </w:rPr>
      </w:pPr>
    </w:p>
    <w:tbl>
      <w:tblPr>
        <w:tblW w:w="0" w:type="auto"/>
        <w:jc w:val="left"/>
        <w:tblInd w:w="292"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456"/>
        <w:gridCol w:w="8050"/>
      </w:tblGrid>
      <w:tr>
        <w:trPr>
          <w:trHeight w:val="402" w:hRule="atLeast"/>
        </w:trPr>
        <w:tc>
          <w:tcPr>
            <w:tcW w:w="456" w:type="dxa"/>
          </w:tcPr>
          <w:p>
            <w:pPr>
              <w:pStyle w:val="TableParagraph"/>
              <w:spacing w:before="39"/>
              <w:rPr>
                <w:sz w:val="22"/>
              </w:rPr>
            </w:pPr>
            <w:r>
              <w:rPr>
                <w:color w:val="231F1F"/>
                <w:spacing w:val="-10"/>
                <w:w w:val="110"/>
                <w:sz w:val="22"/>
              </w:rPr>
              <w:t>√</w:t>
            </w:r>
          </w:p>
        </w:tc>
        <w:tc>
          <w:tcPr>
            <w:tcW w:w="8050" w:type="dxa"/>
          </w:tcPr>
          <w:p>
            <w:pPr>
              <w:pStyle w:val="TableParagraph"/>
              <w:spacing w:before="58"/>
              <w:rPr>
                <w:sz w:val="22"/>
              </w:rPr>
            </w:pPr>
            <w:r>
              <w:rPr>
                <w:color w:val="231F1F"/>
                <w:sz w:val="22"/>
              </w:rPr>
              <w:t>Se</w:t>
            </w:r>
            <w:r>
              <w:rPr>
                <w:color w:val="231F1F"/>
                <w:spacing w:val="-3"/>
                <w:sz w:val="22"/>
              </w:rPr>
              <w:t> </w:t>
            </w:r>
            <w:r>
              <w:rPr>
                <w:color w:val="231F1F"/>
                <w:sz w:val="22"/>
              </w:rPr>
              <w:t>recomienda</w:t>
            </w:r>
            <w:r>
              <w:rPr>
                <w:color w:val="231F1F"/>
                <w:spacing w:val="3"/>
                <w:sz w:val="22"/>
              </w:rPr>
              <w:t> </w:t>
            </w:r>
            <w:r>
              <w:rPr>
                <w:color w:val="231F1F"/>
                <w:sz w:val="22"/>
              </w:rPr>
              <w:t>la</w:t>
            </w:r>
            <w:r>
              <w:rPr>
                <w:color w:val="231F1F"/>
                <w:spacing w:val="1"/>
                <w:sz w:val="22"/>
              </w:rPr>
              <w:t> </w:t>
            </w:r>
            <w:r>
              <w:rPr>
                <w:color w:val="231F1F"/>
                <w:sz w:val="22"/>
              </w:rPr>
              <w:t>utilización</w:t>
            </w:r>
            <w:r>
              <w:rPr>
                <w:color w:val="231F1F"/>
                <w:spacing w:val="3"/>
                <w:sz w:val="22"/>
              </w:rPr>
              <w:t> </w:t>
            </w:r>
            <w:r>
              <w:rPr>
                <w:color w:val="231F1F"/>
                <w:sz w:val="22"/>
              </w:rPr>
              <w:t>de</w:t>
            </w:r>
            <w:r>
              <w:rPr>
                <w:color w:val="231F1F"/>
                <w:spacing w:val="1"/>
                <w:sz w:val="22"/>
              </w:rPr>
              <w:t> </w:t>
            </w:r>
            <w:r>
              <w:rPr>
                <w:color w:val="231F1F"/>
                <w:sz w:val="22"/>
              </w:rPr>
              <w:t>la</w:t>
            </w:r>
            <w:r>
              <w:rPr>
                <w:color w:val="231F1F"/>
                <w:spacing w:val="1"/>
                <w:sz w:val="22"/>
              </w:rPr>
              <w:t> </w:t>
            </w:r>
            <w:r>
              <w:rPr>
                <w:color w:val="231F1F"/>
                <w:sz w:val="22"/>
              </w:rPr>
              <w:t>clasificación</w:t>
            </w:r>
            <w:r>
              <w:rPr>
                <w:color w:val="231F1F"/>
                <w:spacing w:val="3"/>
                <w:sz w:val="22"/>
              </w:rPr>
              <w:t> </w:t>
            </w:r>
            <w:r>
              <w:rPr>
                <w:color w:val="231F1F"/>
                <w:sz w:val="22"/>
              </w:rPr>
              <w:t>de</w:t>
            </w:r>
            <w:r>
              <w:rPr>
                <w:color w:val="231F1F"/>
                <w:spacing w:val="2"/>
                <w:sz w:val="22"/>
              </w:rPr>
              <w:t> </w:t>
            </w:r>
            <w:r>
              <w:rPr>
                <w:color w:val="231F1F"/>
                <w:sz w:val="22"/>
              </w:rPr>
              <w:t>la</w:t>
            </w:r>
            <w:r>
              <w:rPr>
                <w:color w:val="231F1F"/>
                <w:spacing w:val="1"/>
                <w:sz w:val="22"/>
              </w:rPr>
              <w:t> </w:t>
            </w:r>
            <w:r>
              <w:rPr>
                <w:color w:val="231F1F"/>
                <w:sz w:val="22"/>
              </w:rPr>
              <w:t>CTG</w:t>
            </w:r>
            <w:r>
              <w:rPr>
                <w:color w:val="231F1F"/>
                <w:spacing w:val="1"/>
                <w:sz w:val="22"/>
              </w:rPr>
              <w:t> </w:t>
            </w:r>
            <w:r>
              <w:rPr>
                <w:color w:val="231F1F"/>
                <w:sz w:val="22"/>
              </w:rPr>
              <w:t>aportada</w:t>
            </w:r>
            <w:r>
              <w:rPr>
                <w:color w:val="231F1F"/>
                <w:spacing w:val="3"/>
                <w:sz w:val="22"/>
              </w:rPr>
              <w:t> </w:t>
            </w:r>
            <w:r>
              <w:rPr>
                <w:color w:val="231F1F"/>
                <w:sz w:val="22"/>
              </w:rPr>
              <w:t>en</w:t>
            </w:r>
            <w:r>
              <w:rPr>
                <w:color w:val="231F1F"/>
                <w:spacing w:val="1"/>
                <w:sz w:val="22"/>
              </w:rPr>
              <w:t> </w:t>
            </w:r>
            <w:r>
              <w:rPr>
                <w:color w:val="231F1F"/>
                <w:sz w:val="22"/>
              </w:rPr>
              <w:t>el</w:t>
            </w:r>
            <w:r>
              <w:rPr>
                <w:color w:val="231F1F"/>
                <w:spacing w:val="1"/>
                <w:sz w:val="22"/>
              </w:rPr>
              <w:t> </w:t>
            </w:r>
            <w:r>
              <w:rPr>
                <w:color w:val="231F1F"/>
                <w:sz w:val="22"/>
              </w:rPr>
              <w:t>Anexo</w:t>
            </w:r>
            <w:r>
              <w:rPr>
                <w:color w:val="231F1F"/>
                <w:spacing w:val="4"/>
                <w:sz w:val="22"/>
              </w:rPr>
              <w:t> </w:t>
            </w:r>
            <w:r>
              <w:rPr>
                <w:color w:val="231F1F"/>
                <w:spacing w:val="-2"/>
                <w:sz w:val="22"/>
              </w:rPr>
              <w:t>3.3.2.</w:t>
            </w:r>
          </w:p>
        </w:tc>
      </w:tr>
    </w:tbl>
    <w:p>
      <w:pPr>
        <w:pStyle w:val="TableParagraph"/>
        <w:spacing w:after="0"/>
        <w:rPr>
          <w:sz w:val="22"/>
        </w:rPr>
        <w:sectPr>
          <w:pgSz w:w="11900" w:h="16840"/>
          <w:pgMar w:header="0" w:footer="622" w:top="1560" w:bottom="820" w:left="1417" w:right="1559"/>
        </w:sectPr>
      </w:pPr>
    </w:p>
    <w:p>
      <w:pPr>
        <w:pStyle w:val="Heading1"/>
        <w:numPr>
          <w:ilvl w:val="1"/>
          <w:numId w:val="2"/>
        </w:numPr>
        <w:tabs>
          <w:tab w:pos="1161" w:val="left" w:leader="none"/>
        </w:tabs>
        <w:spacing w:line="240" w:lineRule="auto" w:before="63" w:after="0"/>
        <w:ind w:left="1161" w:right="0" w:hanging="878"/>
        <w:jc w:val="left"/>
        <w:rPr>
          <w:color w:val="231F1F"/>
        </w:rPr>
      </w:pPr>
      <w:bookmarkStart w:name="_TOC_250013" w:id="43"/>
      <w:r>
        <w:rPr>
          <w:color w:val="231F1F"/>
        </w:rPr>
        <w:t>Difusión</w:t>
      </w:r>
      <w:r>
        <w:rPr>
          <w:color w:val="231F1F"/>
          <w:spacing w:val="62"/>
          <w:w w:val="150"/>
        </w:rPr>
        <w:t> </w:t>
      </w:r>
      <w:r>
        <w:rPr>
          <w:color w:val="231F1F"/>
        </w:rPr>
        <w:t>e</w:t>
      </w:r>
      <w:r>
        <w:rPr>
          <w:color w:val="231F1F"/>
          <w:spacing w:val="65"/>
          <w:w w:val="150"/>
        </w:rPr>
        <w:t> </w:t>
      </w:r>
      <w:bookmarkEnd w:id="43"/>
      <w:r>
        <w:rPr>
          <w:color w:val="231F1F"/>
          <w:spacing w:val="-2"/>
        </w:rPr>
        <w:t>implementación</w:t>
      </w:r>
    </w:p>
    <w:p>
      <w:pPr>
        <w:pStyle w:val="BodyText"/>
        <w:spacing w:before="156"/>
        <w:rPr>
          <w:sz w:val="50"/>
        </w:rPr>
      </w:pPr>
    </w:p>
    <w:p>
      <w:pPr>
        <w:pStyle w:val="Heading2"/>
        <w:numPr>
          <w:ilvl w:val="2"/>
          <w:numId w:val="2"/>
        </w:numPr>
        <w:tabs>
          <w:tab w:pos="1184" w:val="left" w:leader="none"/>
        </w:tabs>
        <w:spacing w:line="240" w:lineRule="auto" w:before="0" w:after="0"/>
        <w:ind w:left="1184" w:right="0" w:hanging="901"/>
        <w:jc w:val="left"/>
      </w:pPr>
      <w:r>
        <w:rPr>
          <w:color w:val="231F1F"/>
        </w:rPr>
        <w:t>Estrategia</w:t>
      </w:r>
      <w:r>
        <w:rPr>
          <w:color w:val="231F1F"/>
          <w:spacing w:val="52"/>
        </w:rPr>
        <w:t> </w:t>
      </w:r>
      <w:r>
        <w:rPr>
          <w:color w:val="231F1F"/>
        </w:rPr>
        <w:t>de</w:t>
      </w:r>
      <w:r>
        <w:rPr>
          <w:color w:val="231F1F"/>
          <w:spacing w:val="56"/>
        </w:rPr>
        <w:t> </w:t>
      </w:r>
      <w:r>
        <w:rPr>
          <w:color w:val="231F1F"/>
        </w:rPr>
        <w:t>difusión</w:t>
      </w:r>
      <w:r>
        <w:rPr>
          <w:color w:val="231F1F"/>
          <w:spacing w:val="56"/>
        </w:rPr>
        <w:t> </w:t>
      </w:r>
      <w:r>
        <w:rPr>
          <w:color w:val="231F1F"/>
        </w:rPr>
        <w:t>e</w:t>
      </w:r>
      <w:r>
        <w:rPr>
          <w:color w:val="231F1F"/>
          <w:spacing w:val="56"/>
        </w:rPr>
        <w:t> </w:t>
      </w:r>
      <w:r>
        <w:rPr>
          <w:color w:val="231F1F"/>
          <w:spacing w:val="-2"/>
        </w:rPr>
        <w:t>implementación</w:t>
      </w:r>
    </w:p>
    <w:p>
      <w:pPr>
        <w:pStyle w:val="BodyText"/>
        <w:spacing w:line="244" w:lineRule="auto" w:before="293"/>
        <w:ind w:left="283" w:right="121"/>
        <w:jc w:val="both"/>
      </w:pPr>
      <w:r>
        <w:rPr>
          <w:color w:val="231F1F"/>
          <w:w w:val="110"/>
        </w:rPr>
        <w:t>Las</w:t>
      </w:r>
      <w:r>
        <w:rPr>
          <w:color w:val="231F1F"/>
          <w:spacing w:val="-12"/>
          <w:w w:val="110"/>
        </w:rPr>
        <w:t> </w:t>
      </w:r>
      <w:r>
        <w:rPr>
          <w:color w:val="231F1F"/>
          <w:w w:val="110"/>
        </w:rPr>
        <w:t>guías</w:t>
      </w:r>
      <w:r>
        <w:rPr>
          <w:color w:val="231F1F"/>
          <w:spacing w:val="-12"/>
          <w:w w:val="110"/>
        </w:rPr>
        <w:t> </w:t>
      </w:r>
      <w:r>
        <w:rPr>
          <w:color w:val="231F1F"/>
          <w:w w:val="110"/>
        </w:rPr>
        <w:t>de</w:t>
      </w:r>
      <w:r>
        <w:rPr>
          <w:color w:val="231F1F"/>
          <w:spacing w:val="-12"/>
          <w:w w:val="110"/>
        </w:rPr>
        <w:t> </w:t>
      </w:r>
      <w:r>
        <w:rPr>
          <w:color w:val="231F1F"/>
          <w:w w:val="110"/>
        </w:rPr>
        <w:t>práctica</w:t>
      </w:r>
      <w:r>
        <w:rPr>
          <w:color w:val="231F1F"/>
          <w:spacing w:val="-12"/>
          <w:w w:val="110"/>
        </w:rPr>
        <w:t> </w:t>
      </w:r>
      <w:r>
        <w:rPr>
          <w:color w:val="231F1F"/>
          <w:w w:val="110"/>
        </w:rPr>
        <w:t>clínica</w:t>
      </w:r>
      <w:r>
        <w:rPr>
          <w:color w:val="231F1F"/>
          <w:spacing w:val="-12"/>
          <w:w w:val="110"/>
        </w:rPr>
        <w:t> </w:t>
      </w:r>
      <w:r>
        <w:rPr>
          <w:color w:val="231F1F"/>
          <w:w w:val="110"/>
        </w:rPr>
        <w:t>son</w:t>
      </w:r>
      <w:r>
        <w:rPr>
          <w:color w:val="231F1F"/>
          <w:spacing w:val="-12"/>
          <w:w w:val="110"/>
        </w:rPr>
        <w:t> </w:t>
      </w:r>
      <w:r>
        <w:rPr>
          <w:color w:val="231F1F"/>
          <w:w w:val="110"/>
        </w:rPr>
        <w:t>útiles</w:t>
      </w:r>
      <w:r>
        <w:rPr>
          <w:color w:val="231F1F"/>
          <w:spacing w:val="-12"/>
          <w:w w:val="110"/>
        </w:rPr>
        <w:t> </w:t>
      </w:r>
      <w:r>
        <w:rPr>
          <w:color w:val="231F1F"/>
          <w:w w:val="110"/>
        </w:rPr>
        <w:t>para</w:t>
      </w:r>
      <w:r>
        <w:rPr>
          <w:color w:val="231F1F"/>
          <w:spacing w:val="-12"/>
          <w:w w:val="110"/>
        </w:rPr>
        <w:t> </w:t>
      </w:r>
      <w:r>
        <w:rPr>
          <w:color w:val="231F1F"/>
          <w:w w:val="110"/>
        </w:rPr>
        <w:t>mejorar</w:t>
      </w:r>
      <w:r>
        <w:rPr>
          <w:color w:val="231F1F"/>
          <w:spacing w:val="-12"/>
          <w:w w:val="110"/>
        </w:rPr>
        <w:t> </w:t>
      </w:r>
      <w:r>
        <w:rPr>
          <w:color w:val="231F1F"/>
          <w:w w:val="110"/>
        </w:rPr>
        <w:t>la</w:t>
      </w:r>
      <w:r>
        <w:rPr>
          <w:color w:val="231F1F"/>
          <w:spacing w:val="-12"/>
          <w:w w:val="110"/>
        </w:rPr>
        <w:t> </w:t>
      </w:r>
      <w:r>
        <w:rPr>
          <w:color w:val="231F1F"/>
          <w:w w:val="110"/>
        </w:rPr>
        <w:t>calidad</w:t>
      </w:r>
      <w:r>
        <w:rPr>
          <w:color w:val="231F1F"/>
          <w:spacing w:val="-12"/>
          <w:w w:val="110"/>
        </w:rPr>
        <w:t> </w:t>
      </w:r>
      <w:r>
        <w:rPr>
          <w:color w:val="231F1F"/>
          <w:w w:val="110"/>
        </w:rPr>
        <w:t>de</w:t>
      </w:r>
      <w:r>
        <w:rPr>
          <w:color w:val="231F1F"/>
          <w:spacing w:val="-12"/>
          <w:w w:val="110"/>
        </w:rPr>
        <w:t> </w:t>
      </w:r>
      <w:r>
        <w:rPr>
          <w:color w:val="231F1F"/>
          <w:w w:val="110"/>
        </w:rPr>
        <w:t>la</w:t>
      </w:r>
      <w:r>
        <w:rPr>
          <w:color w:val="231F1F"/>
          <w:spacing w:val="-12"/>
          <w:w w:val="110"/>
        </w:rPr>
        <w:t> </w:t>
      </w:r>
      <w:r>
        <w:rPr>
          <w:color w:val="231F1F"/>
          <w:w w:val="110"/>
        </w:rPr>
        <w:t>asistencia</w:t>
      </w:r>
      <w:r>
        <w:rPr>
          <w:color w:val="231F1F"/>
          <w:spacing w:val="-11"/>
          <w:w w:val="110"/>
        </w:rPr>
        <w:t> </w:t>
      </w:r>
      <w:r>
        <w:rPr>
          <w:color w:val="231F1F"/>
          <w:w w:val="110"/>
        </w:rPr>
        <w:t>y</w:t>
      </w:r>
      <w:r>
        <w:rPr>
          <w:color w:val="231F1F"/>
          <w:spacing w:val="-12"/>
          <w:w w:val="110"/>
        </w:rPr>
        <w:t> </w:t>
      </w:r>
      <w:r>
        <w:rPr>
          <w:color w:val="231F1F"/>
          <w:w w:val="110"/>
        </w:rPr>
        <w:t>los</w:t>
      </w:r>
      <w:r>
        <w:rPr>
          <w:color w:val="231F1F"/>
          <w:spacing w:val="-12"/>
          <w:w w:val="110"/>
        </w:rPr>
        <w:t> </w:t>
      </w:r>
      <w:r>
        <w:rPr>
          <w:color w:val="231F1F"/>
          <w:w w:val="110"/>
        </w:rPr>
        <w:t>resul- tados</w:t>
      </w:r>
      <w:r>
        <w:rPr>
          <w:color w:val="231F1F"/>
          <w:w w:val="110"/>
        </w:rPr>
        <w:t> en</w:t>
      </w:r>
      <w:r>
        <w:rPr>
          <w:color w:val="231F1F"/>
          <w:w w:val="110"/>
        </w:rPr>
        <w:t> los</w:t>
      </w:r>
      <w:r>
        <w:rPr>
          <w:color w:val="231F1F"/>
          <w:w w:val="110"/>
        </w:rPr>
        <w:t> pacientes.</w:t>
      </w:r>
      <w:r>
        <w:rPr>
          <w:color w:val="231F1F"/>
          <w:w w:val="110"/>
        </w:rPr>
        <w:t> El</w:t>
      </w:r>
      <w:r>
        <w:rPr>
          <w:color w:val="231F1F"/>
          <w:w w:val="110"/>
        </w:rPr>
        <w:t> gran</w:t>
      </w:r>
      <w:r>
        <w:rPr>
          <w:color w:val="231F1F"/>
          <w:w w:val="110"/>
        </w:rPr>
        <w:t> reto</w:t>
      </w:r>
      <w:r>
        <w:rPr>
          <w:color w:val="231F1F"/>
          <w:w w:val="110"/>
        </w:rPr>
        <w:t> en</w:t>
      </w:r>
      <w:r>
        <w:rPr>
          <w:color w:val="231F1F"/>
          <w:w w:val="110"/>
        </w:rPr>
        <w:t> la</w:t>
      </w:r>
      <w:r>
        <w:rPr>
          <w:color w:val="231F1F"/>
          <w:w w:val="110"/>
        </w:rPr>
        <w:t> actualidad</w:t>
      </w:r>
      <w:r>
        <w:rPr>
          <w:color w:val="231F1F"/>
          <w:w w:val="110"/>
        </w:rPr>
        <w:t> es</w:t>
      </w:r>
      <w:r>
        <w:rPr>
          <w:color w:val="231F1F"/>
          <w:w w:val="110"/>
        </w:rPr>
        <w:t> conseguir</w:t>
      </w:r>
      <w:r>
        <w:rPr>
          <w:color w:val="231F1F"/>
          <w:w w:val="110"/>
        </w:rPr>
        <w:t> la</w:t>
      </w:r>
      <w:r>
        <w:rPr>
          <w:color w:val="231F1F"/>
          <w:w w:val="110"/>
        </w:rPr>
        <w:t> adherencia</w:t>
      </w:r>
      <w:r>
        <w:rPr>
          <w:color w:val="231F1F"/>
          <w:w w:val="110"/>
        </w:rPr>
        <w:t> de</w:t>
      </w:r>
      <w:r>
        <w:rPr>
          <w:color w:val="231F1F"/>
          <w:w w:val="110"/>
        </w:rPr>
        <w:t> los profesionales</w:t>
      </w:r>
      <w:r>
        <w:rPr>
          <w:color w:val="231F1F"/>
          <w:spacing w:val="-11"/>
          <w:w w:val="110"/>
        </w:rPr>
        <w:t> </w:t>
      </w:r>
      <w:r>
        <w:rPr>
          <w:color w:val="231F1F"/>
          <w:w w:val="110"/>
        </w:rPr>
        <w:t>a</w:t>
      </w:r>
      <w:r>
        <w:rPr>
          <w:color w:val="231F1F"/>
          <w:spacing w:val="-11"/>
          <w:w w:val="110"/>
        </w:rPr>
        <w:t> </w:t>
      </w:r>
      <w:r>
        <w:rPr>
          <w:color w:val="231F1F"/>
          <w:w w:val="110"/>
        </w:rPr>
        <w:t>las</w:t>
      </w:r>
      <w:r>
        <w:rPr>
          <w:color w:val="231F1F"/>
          <w:spacing w:val="-11"/>
          <w:w w:val="110"/>
        </w:rPr>
        <w:t> </w:t>
      </w:r>
      <w:r>
        <w:rPr>
          <w:color w:val="231F1F"/>
          <w:w w:val="110"/>
        </w:rPr>
        <w:t>recomendaciones</w:t>
      </w:r>
      <w:r>
        <w:rPr>
          <w:color w:val="231F1F"/>
          <w:spacing w:val="-11"/>
          <w:w w:val="110"/>
        </w:rPr>
        <w:t> </w:t>
      </w:r>
      <w:r>
        <w:rPr>
          <w:color w:val="231F1F"/>
          <w:w w:val="110"/>
        </w:rPr>
        <w:t>de</w:t>
      </w:r>
      <w:r>
        <w:rPr>
          <w:color w:val="231F1F"/>
          <w:spacing w:val="-11"/>
          <w:w w:val="110"/>
        </w:rPr>
        <w:t> </w:t>
      </w:r>
      <w:r>
        <w:rPr>
          <w:color w:val="231F1F"/>
          <w:w w:val="110"/>
        </w:rPr>
        <w:t>estas</w:t>
      </w:r>
      <w:r>
        <w:rPr>
          <w:color w:val="231F1F"/>
          <w:spacing w:val="-11"/>
          <w:w w:val="110"/>
        </w:rPr>
        <w:t> </w:t>
      </w:r>
      <w:r>
        <w:rPr>
          <w:color w:val="231F1F"/>
          <w:w w:val="110"/>
        </w:rPr>
        <w:t>guías.</w:t>
      </w:r>
      <w:r>
        <w:rPr>
          <w:color w:val="231F1F"/>
          <w:spacing w:val="-11"/>
          <w:w w:val="110"/>
        </w:rPr>
        <w:t> </w:t>
      </w:r>
      <w:r>
        <w:rPr>
          <w:color w:val="231F1F"/>
          <w:w w:val="110"/>
        </w:rPr>
        <w:t>Para</w:t>
      </w:r>
      <w:r>
        <w:rPr>
          <w:color w:val="231F1F"/>
          <w:spacing w:val="-11"/>
          <w:w w:val="110"/>
        </w:rPr>
        <w:t> </w:t>
      </w:r>
      <w:r>
        <w:rPr>
          <w:color w:val="231F1F"/>
          <w:w w:val="110"/>
        </w:rPr>
        <w:t>ello</w:t>
      </w:r>
      <w:r>
        <w:rPr>
          <w:color w:val="231F1F"/>
          <w:spacing w:val="-11"/>
          <w:w w:val="110"/>
        </w:rPr>
        <w:t> </w:t>
      </w:r>
      <w:r>
        <w:rPr>
          <w:color w:val="231F1F"/>
          <w:w w:val="110"/>
        </w:rPr>
        <w:t>es</w:t>
      </w:r>
      <w:r>
        <w:rPr>
          <w:color w:val="231F1F"/>
          <w:spacing w:val="-11"/>
          <w:w w:val="110"/>
        </w:rPr>
        <w:t> </w:t>
      </w:r>
      <w:r>
        <w:rPr>
          <w:color w:val="231F1F"/>
          <w:w w:val="110"/>
        </w:rPr>
        <w:t>fundamental</w:t>
      </w:r>
      <w:r>
        <w:rPr>
          <w:color w:val="231F1F"/>
          <w:spacing w:val="-11"/>
          <w:w w:val="110"/>
        </w:rPr>
        <w:t> </w:t>
      </w:r>
      <w:r>
        <w:rPr>
          <w:color w:val="231F1F"/>
          <w:w w:val="110"/>
        </w:rPr>
        <w:t>una</w:t>
      </w:r>
      <w:r>
        <w:rPr>
          <w:color w:val="231F1F"/>
          <w:spacing w:val="-11"/>
          <w:w w:val="110"/>
        </w:rPr>
        <w:t> </w:t>
      </w:r>
      <w:r>
        <w:rPr>
          <w:color w:val="231F1F"/>
          <w:w w:val="110"/>
        </w:rPr>
        <w:t>estrate- gia de implementación dirigida a vencer las barreras existentes en el medio en el que se va a aplicar.</w:t>
      </w:r>
    </w:p>
    <w:p>
      <w:pPr>
        <w:pStyle w:val="BodyText"/>
        <w:spacing w:line="244" w:lineRule="auto" w:before="179"/>
        <w:ind w:left="283" w:firstLine="453"/>
      </w:pPr>
      <w:r>
        <w:rPr>
          <w:color w:val="231F1F"/>
        </w:rPr>
        <w:t>El</w:t>
      </w:r>
      <w:r>
        <w:rPr>
          <w:color w:val="231F1F"/>
          <w:spacing w:val="29"/>
        </w:rPr>
        <w:t> </w:t>
      </w:r>
      <w:r>
        <w:rPr>
          <w:color w:val="231F1F"/>
        </w:rPr>
        <w:t>plan</w:t>
      </w:r>
      <w:r>
        <w:rPr>
          <w:color w:val="231F1F"/>
          <w:spacing w:val="31"/>
        </w:rPr>
        <w:t> </w:t>
      </w:r>
      <w:r>
        <w:rPr>
          <w:color w:val="231F1F"/>
        </w:rPr>
        <w:t>para</w:t>
      </w:r>
      <w:r>
        <w:rPr>
          <w:color w:val="231F1F"/>
          <w:spacing w:val="31"/>
        </w:rPr>
        <w:t> </w:t>
      </w:r>
      <w:r>
        <w:rPr>
          <w:color w:val="231F1F"/>
        </w:rPr>
        <w:t>implantar</w:t>
      </w:r>
      <w:r>
        <w:rPr>
          <w:color w:val="231F1F"/>
          <w:spacing w:val="32"/>
        </w:rPr>
        <w:t> </w:t>
      </w:r>
      <w:r>
        <w:rPr>
          <w:color w:val="231F1F"/>
        </w:rPr>
        <w:t>la</w:t>
      </w:r>
      <w:r>
        <w:rPr>
          <w:color w:val="231F1F"/>
          <w:spacing w:val="31"/>
        </w:rPr>
        <w:t> </w:t>
      </w:r>
      <w:r>
        <w:rPr>
          <w:color w:val="231F1F"/>
        </w:rPr>
        <w:t>guía</w:t>
      </w:r>
      <w:r>
        <w:rPr>
          <w:color w:val="231F1F"/>
          <w:spacing w:val="31"/>
        </w:rPr>
        <w:t> </w:t>
      </w:r>
      <w:r>
        <w:rPr>
          <w:color w:val="231F1F"/>
        </w:rPr>
        <w:t>sobre</w:t>
      </w:r>
      <w:r>
        <w:rPr>
          <w:color w:val="231F1F"/>
          <w:spacing w:val="31"/>
        </w:rPr>
        <w:t> </w:t>
      </w:r>
      <w:r>
        <w:rPr>
          <w:color w:val="231F1F"/>
        </w:rPr>
        <w:t>la</w:t>
      </w:r>
      <w:r>
        <w:rPr>
          <w:color w:val="231F1F"/>
          <w:spacing w:val="31"/>
        </w:rPr>
        <w:t> </w:t>
      </w:r>
      <w:r>
        <w:rPr>
          <w:color w:val="231F1F"/>
        </w:rPr>
        <w:t>atención</w:t>
      </w:r>
      <w:r>
        <w:rPr>
          <w:color w:val="231F1F"/>
          <w:spacing w:val="29"/>
        </w:rPr>
        <w:t> </w:t>
      </w:r>
      <w:r>
        <w:rPr>
          <w:color w:val="231F1F"/>
        </w:rPr>
        <w:t>al</w:t>
      </w:r>
      <w:r>
        <w:rPr>
          <w:color w:val="231F1F"/>
          <w:spacing w:val="31"/>
        </w:rPr>
        <w:t> </w:t>
      </w:r>
      <w:r>
        <w:rPr>
          <w:color w:val="231F1F"/>
        </w:rPr>
        <w:t>parto</w:t>
      </w:r>
      <w:r>
        <w:rPr>
          <w:color w:val="231F1F"/>
          <w:spacing w:val="31"/>
        </w:rPr>
        <w:t> </w:t>
      </w:r>
      <w:r>
        <w:rPr>
          <w:color w:val="231F1F"/>
        </w:rPr>
        <w:t>normal</w:t>
      </w:r>
      <w:r>
        <w:rPr>
          <w:color w:val="231F1F"/>
          <w:spacing w:val="29"/>
        </w:rPr>
        <w:t> </w:t>
      </w:r>
      <w:r>
        <w:rPr>
          <w:color w:val="231F1F"/>
        </w:rPr>
        <w:t>incluye</w:t>
      </w:r>
      <w:r>
        <w:rPr>
          <w:color w:val="231F1F"/>
          <w:spacing w:val="32"/>
        </w:rPr>
        <w:t> </w:t>
      </w:r>
      <w:r>
        <w:rPr>
          <w:color w:val="231F1F"/>
        </w:rPr>
        <w:t>las</w:t>
      </w:r>
      <w:r>
        <w:rPr>
          <w:color w:val="231F1F"/>
          <w:spacing w:val="31"/>
        </w:rPr>
        <w:t> </w:t>
      </w:r>
      <w:r>
        <w:rPr>
          <w:color w:val="231F1F"/>
        </w:rPr>
        <w:t>siguientes </w:t>
      </w:r>
      <w:r>
        <w:rPr>
          <w:color w:val="231F1F"/>
          <w:spacing w:val="-2"/>
        </w:rPr>
        <w:t>intervenciones:</w:t>
      </w:r>
    </w:p>
    <w:p>
      <w:pPr>
        <w:pStyle w:val="ListParagraph"/>
        <w:numPr>
          <w:ilvl w:val="0"/>
          <w:numId w:val="96"/>
        </w:numPr>
        <w:tabs>
          <w:tab w:pos="1073" w:val="left" w:leader="none"/>
          <w:tab w:pos="1077" w:val="left" w:leader="none"/>
        </w:tabs>
        <w:spacing w:line="244" w:lineRule="auto" w:before="189" w:after="0"/>
        <w:ind w:left="1077" w:right="123" w:hanging="341"/>
        <w:jc w:val="both"/>
        <w:rPr>
          <w:sz w:val="22"/>
        </w:rPr>
      </w:pPr>
      <w:r>
        <w:rPr>
          <w:color w:val="231F1F"/>
          <w:w w:val="105"/>
          <w:sz w:val="22"/>
        </w:rPr>
        <w:t>Presentación</w:t>
      </w:r>
      <w:r>
        <w:rPr>
          <w:color w:val="231F1F"/>
          <w:w w:val="105"/>
          <w:sz w:val="22"/>
        </w:rPr>
        <w:t> institucional</w:t>
      </w:r>
      <w:r>
        <w:rPr>
          <w:color w:val="231F1F"/>
          <w:w w:val="105"/>
          <w:sz w:val="22"/>
        </w:rPr>
        <w:t> de</w:t>
      </w:r>
      <w:r>
        <w:rPr>
          <w:color w:val="231F1F"/>
          <w:w w:val="105"/>
          <w:sz w:val="22"/>
        </w:rPr>
        <w:t> la</w:t>
      </w:r>
      <w:r>
        <w:rPr>
          <w:color w:val="231F1F"/>
          <w:w w:val="105"/>
          <w:sz w:val="22"/>
        </w:rPr>
        <w:t> guía</w:t>
      </w:r>
      <w:r>
        <w:rPr>
          <w:color w:val="231F1F"/>
          <w:w w:val="105"/>
          <w:sz w:val="22"/>
        </w:rPr>
        <w:t> en</w:t>
      </w:r>
      <w:r>
        <w:rPr>
          <w:color w:val="231F1F"/>
          <w:w w:val="105"/>
          <w:sz w:val="22"/>
        </w:rPr>
        <w:t> colaboración</w:t>
      </w:r>
      <w:r>
        <w:rPr>
          <w:color w:val="231F1F"/>
          <w:w w:val="105"/>
          <w:sz w:val="22"/>
        </w:rPr>
        <w:t> con</w:t>
      </w:r>
      <w:r>
        <w:rPr>
          <w:color w:val="231F1F"/>
          <w:w w:val="105"/>
          <w:sz w:val="22"/>
        </w:rPr>
        <w:t> la</w:t>
      </w:r>
      <w:r>
        <w:rPr>
          <w:color w:val="231F1F"/>
          <w:w w:val="105"/>
          <w:sz w:val="22"/>
        </w:rPr>
        <w:t> Agencia</w:t>
      </w:r>
      <w:r>
        <w:rPr>
          <w:color w:val="231F1F"/>
          <w:w w:val="105"/>
          <w:sz w:val="22"/>
        </w:rPr>
        <w:t> de</w:t>
      </w:r>
      <w:r>
        <w:rPr>
          <w:color w:val="231F1F"/>
          <w:w w:val="105"/>
          <w:sz w:val="22"/>
        </w:rPr>
        <w:t> Calidad</w:t>
      </w:r>
      <w:r>
        <w:rPr>
          <w:color w:val="231F1F"/>
          <w:spacing w:val="80"/>
          <w:w w:val="105"/>
          <w:sz w:val="22"/>
        </w:rPr>
        <w:t> </w:t>
      </w:r>
      <w:r>
        <w:rPr>
          <w:color w:val="231F1F"/>
          <w:w w:val="105"/>
          <w:sz w:val="22"/>
        </w:rPr>
        <w:t>del</w:t>
      </w:r>
      <w:r>
        <w:rPr>
          <w:color w:val="231F1F"/>
          <w:spacing w:val="15"/>
          <w:w w:val="105"/>
          <w:sz w:val="22"/>
        </w:rPr>
        <w:t> </w:t>
      </w:r>
      <w:r>
        <w:rPr>
          <w:color w:val="231F1F"/>
          <w:w w:val="105"/>
          <w:sz w:val="22"/>
        </w:rPr>
        <w:t>Ministerio</w:t>
      </w:r>
      <w:r>
        <w:rPr>
          <w:color w:val="231F1F"/>
          <w:spacing w:val="16"/>
          <w:w w:val="105"/>
          <w:sz w:val="22"/>
        </w:rPr>
        <w:t> </w:t>
      </w:r>
      <w:r>
        <w:rPr>
          <w:color w:val="231F1F"/>
          <w:w w:val="105"/>
          <w:sz w:val="22"/>
        </w:rPr>
        <w:t>de</w:t>
      </w:r>
      <w:r>
        <w:rPr>
          <w:color w:val="231F1F"/>
          <w:spacing w:val="16"/>
          <w:w w:val="105"/>
          <w:sz w:val="22"/>
        </w:rPr>
        <w:t> </w:t>
      </w:r>
      <w:r>
        <w:rPr>
          <w:color w:val="231F1F"/>
          <w:w w:val="105"/>
          <w:sz w:val="22"/>
        </w:rPr>
        <w:t>Sanidad</w:t>
      </w:r>
      <w:r>
        <w:rPr>
          <w:color w:val="231F1F"/>
          <w:spacing w:val="15"/>
          <w:w w:val="105"/>
          <w:sz w:val="22"/>
        </w:rPr>
        <w:t> </w:t>
      </w:r>
      <w:r>
        <w:rPr>
          <w:color w:val="231F1F"/>
          <w:w w:val="105"/>
          <w:sz w:val="22"/>
        </w:rPr>
        <w:t>y</w:t>
      </w:r>
      <w:r>
        <w:rPr>
          <w:color w:val="231F1F"/>
          <w:spacing w:val="16"/>
          <w:w w:val="105"/>
          <w:sz w:val="22"/>
        </w:rPr>
        <w:t> </w:t>
      </w:r>
      <w:r>
        <w:rPr>
          <w:color w:val="231F1F"/>
          <w:w w:val="105"/>
          <w:sz w:val="22"/>
        </w:rPr>
        <w:t>Política</w:t>
      </w:r>
      <w:r>
        <w:rPr>
          <w:color w:val="231F1F"/>
          <w:spacing w:val="15"/>
          <w:w w:val="105"/>
          <w:sz w:val="22"/>
        </w:rPr>
        <w:t> </w:t>
      </w:r>
      <w:r>
        <w:rPr>
          <w:color w:val="231F1F"/>
          <w:w w:val="105"/>
          <w:sz w:val="22"/>
        </w:rPr>
        <w:t>Social</w:t>
      </w:r>
      <w:r>
        <w:rPr>
          <w:color w:val="231F1F"/>
          <w:spacing w:val="15"/>
          <w:w w:val="105"/>
          <w:sz w:val="22"/>
        </w:rPr>
        <w:t> </w:t>
      </w:r>
      <w:r>
        <w:rPr>
          <w:color w:val="231F1F"/>
          <w:w w:val="105"/>
          <w:sz w:val="22"/>
        </w:rPr>
        <w:t>a</w:t>
      </w:r>
      <w:r>
        <w:rPr>
          <w:color w:val="231F1F"/>
          <w:spacing w:val="16"/>
          <w:w w:val="105"/>
          <w:sz w:val="22"/>
        </w:rPr>
        <w:t> </w:t>
      </w:r>
      <w:r>
        <w:rPr>
          <w:color w:val="231F1F"/>
          <w:w w:val="105"/>
          <w:sz w:val="22"/>
        </w:rPr>
        <w:t>las</w:t>
      </w:r>
      <w:r>
        <w:rPr>
          <w:color w:val="231F1F"/>
          <w:spacing w:val="16"/>
          <w:w w:val="105"/>
          <w:sz w:val="22"/>
        </w:rPr>
        <w:t> </w:t>
      </w:r>
      <w:r>
        <w:rPr>
          <w:color w:val="231F1F"/>
          <w:w w:val="105"/>
          <w:sz w:val="22"/>
        </w:rPr>
        <w:t>distintas</w:t>
      </w:r>
      <w:r>
        <w:rPr>
          <w:color w:val="231F1F"/>
          <w:spacing w:val="16"/>
          <w:w w:val="105"/>
          <w:sz w:val="22"/>
        </w:rPr>
        <w:t> </w:t>
      </w:r>
      <w:r>
        <w:rPr>
          <w:color w:val="231F1F"/>
          <w:w w:val="105"/>
          <w:sz w:val="22"/>
        </w:rPr>
        <w:t>sociedades</w:t>
      </w:r>
      <w:r>
        <w:rPr>
          <w:color w:val="231F1F"/>
          <w:spacing w:val="16"/>
          <w:w w:val="105"/>
          <w:sz w:val="22"/>
        </w:rPr>
        <w:t> </w:t>
      </w:r>
      <w:r>
        <w:rPr>
          <w:color w:val="231F1F"/>
          <w:w w:val="105"/>
          <w:sz w:val="22"/>
        </w:rPr>
        <w:t>científicas</w:t>
      </w:r>
      <w:r>
        <w:rPr>
          <w:color w:val="231F1F"/>
          <w:spacing w:val="17"/>
          <w:w w:val="105"/>
          <w:sz w:val="22"/>
        </w:rPr>
        <w:t> </w:t>
      </w:r>
      <w:r>
        <w:rPr>
          <w:color w:val="231F1F"/>
          <w:w w:val="105"/>
          <w:sz w:val="22"/>
        </w:rPr>
        <w:t>y a los medios de comunicación.</w:t>
      </w:r>
    </w:p>
    <w:p>
      <w:pPr>
        <w:pStyle w:val="ListParagraph"/>
        <w:numPr>
          <w:ilvl w:val="0"/>
          <w:numId w:val="96"/>
        </w:numPr>
        <w:tabs>
          <w:tab w:pos="1073" w:val="left" w:leader="none"/>
          <w:tab w:pos="1077" w:val="left" w:leader="none"/>
        </w:tabs>
        <w:spacing w:line="240" w:lineRule="auto" w:before="191" w:after="0"/>
        <w:ind w:left="1077" w:right="117" w:hanging="341"/>
        <w:jc w:val="both"/>
        <w:rPr>
          <w:sz w:val="22"/>
        </w:rPr>
      </w:pPr>
      <w:r>
        <w:rPr>
          <w:color w:val="231F1F"/>
          <w:w w:val="105"/>
          <w:sz w:val="22"/>
        </w:rPr>
        <w:t>Presentación de la guía a las direcciones y subdirecciones de Atención Primaria y Atención Especializada de los diferentes Servicios de Salud.</w:t>
      </w:r>
    </w:p>
    <w:p>
      <w:pPr>
        <w:pStyle w:val="ListParagraph"/>
        <w:numPr>
          <w:ilvl w:val="0"/>
          <w:numId w:val="96"/>
        </w:numPr>
        <w:tabs>
          <w:tab w:pos="1072" w:val="left" w:leader="none"/>
          <w:tab w:pos="1076" w:val="left" w:leader="none"/>
        </w:tabs>
        <w:spacing w:line="254" w:lineRule="auto" w:before="200" w:after="0"/>
        <w:ind w:left="1076" w:right="117" w:hanging="341"/>
        <w:jc w:val="both"/>
        <w:rPr>
          <w:sz w:val="22"/>
        </w:rPr>
      </w:pPr>
      <w:r>
        <w:rPr>
          <w:color w:val="231F1F"/>
          <w:sz w:val="22"/>
        </w:rPr>
        <w:t>En todas las presentaciones se destacará el material informativo realizado para las mujeres</w:t>
      </w:r>
      <w:r>
        <w:rPr>
          <w:color w:val="231F1F"/>
          <w:spacing w:val="40"/>
          <w:sz w:val="22"/>
        </w:rPr>
        <w:t> </w:t>
      </w:r>
      <w:r>
        <w:rPr>
          <w:color w:val="231F1F"/>
          <w:sz w:val="22"/>
        </w:rPr>
        <w:t>con</w:t>
      </w:r>
      <w:r>
        <w:rPr>
          <w:color w:val="231F1F"/>
          <w:spacing w:val="40"/>
          <w:sz w:val="22"/>
        </w:rPr>
        <w:t> </w:t>
      </w:r>
      <w:r>
        <w:rPr>
          <w:color w:val="231F1F"/>
          <w:sz w:val="22"/>
        </w:rPr>
        <w:t>el</w:t>
      </w:r>
      <w:r>
        <w:rPr>
          <w:color w:val="231F1F"/>
          <w:spacing w:val="40"/>
          <w:sz w:val="22"/>
        </w:rPr>
        <w:t> </w:t>
      </w:r>
      <w:r>
        <w:rPr>
          <w:color w:val="231F1F"/>
          <w:sz w:val="22"/>
        </w:rPr>
        <w:t>objeto</w:t>
      </w:r>
      <w:r>
        <w:rPr>
          <w:color w:val="231F1F"/>
          <w:spacing w:val="40"/>
          <w:sz w:val="22"/>
        </w:rPr>
        <w:t> </w:t>
      </w:r>
      <w:r>
        <w:rPr>
          <w:color w:val="231F1F"/>
          <w:sz w:val="22"/>
        </w:rPr>
        <w:t>de</w:t>
      </w:r>
      <w:r>
        <w:rPr>
          <w:color w:val="231F1F"/>
          <w:spacing w:val="40"/>
          <w:sz w:val="22"/>
        </w:rPr>
        <w:t> </w:t>
      </w:r>
      <w:r>
        <w:rPr>
          <w:color w:val="231F1F"/>
          <w:sz w:val="22"/>
        </w:rPr>
        <w:t>favorecer</w:t>
      </w:r>
      <w:r>
        <w:rPr>
          <w:color w:val="231F1F"/>
          <w:spacing w:val="40"/>
          <w:sz w:val="22"/>
        </w:rPr>
        <w:t> </w:t>
      </w:r>
      <w:r>
        <w:rPr>
          <w:color w:val="231F1F"/>
          <w:sz w:val="22"/>
        </w:rPr>
        <w:t>su</w:t>
      </w:r>
      <w:r>
        <w:rPr>
          <w:color w:val="231F1F"/>
          <w:spacing w:val="40"/>
          <w:sz w:val="22"/>
        </w:rPr>
        <w:t> </w:t>
      </w:r>
      <w:r>
        <w:rPr>
          <w:color w:val="231F1F"/>
          <w:sz w:val="22"/>
        </w:rPr>
        <w:t>distribución.</w:t>
      </w:r>
    </w:p>
    <w:p>
      <w:pPr>
        <w:pStyle w:val="ListParagraph"/>
        <w:numPr>
          <w:ilvl w:val="0"/>
          <w:numId w:val="96"/>
        </w:numPr>
        <w:tabs>
          <w:tab w:pos="1070" w:val="left" w:leader="none"/>
          <w:tab w:pos="1077" w:val="left" w:leader="none"/>
        </w:tabs>
        <w:spacing w:line="244" w:lineRule="auto" w:before="178" w:after="0"/>
        <w:ind w:left="1077" w:right="123" w:hanging="341"/>
        <w:jc w:val="both"/>
        <w:rPr>
          <w:sz w:val="22"/>
        </w:rPr>
      </w:pPr>
      <w:r>
        <w:rPr>
          <w:color w:val="231F1F"/>
          <w:w w:val="105"/>
          <w:sz w:val="22"/>
        </w:rPr>
        <w:t>Distribución dirigida a los colectivos profesionales implicados (médicos, matronas y enfermeras) para facilitar la diseminación.</w:t>
      </w:r>
    </w:p>
    <w:p>
      <w:pPr>
        <w:pStyle w:val="ListParagraph"/>
        <w:numPr>
          <w:ilvl w:val="0"/>
          <w:numId w:val="96"/>
        </w:numPr>
        <w:tabs>
          <w:tab w:pos="1073" w:val="left" w:leader="none"/>
          <w:tab w:pos="1077" w:val="left" w:leader="none"/>
        </w:tabs>
        <w:spacing w:line="249" w:lineRule="auto" w:before="190" w:after="0"/>
        <w:ind w:left="1077" w:right="121" w:hanging="341"/>
        <w:jc w:val="both"/>
        <w:rPr>
          <w:sz w:val="22"/>
        </w:rPr>
      </w:pPr>
      <w:r>
        <w:rPr>
          <w:color w:val="231F1F"/>
          <w:w w:val="105"/>
          <w:sz w:val="22"/>
        </w:rPr>
        <w:t>Difusión</w:t>
      </w:r>
      <w:r>
        <w:rPr>
          <w:color w:val="231F1F"/>
          <w:w w:val="105"/>
          <w:sz w:val="22"/>
        </w:rPr>
        <w:t> de</w:t>
      </w:r>
      <w:r>
        <w:rPr>
          <w:color w:val="231F1F"/>
          <w:w w:val="105"/>
          <w:sz w:val="22"/>
        </w:rPr>
        <w:t> la</w:t>
      </w:r>
      <w:r>
        <w:rPr>
          <w:color w:val="231F1F"/>
          <w:w w:val="105"/>
          <w:sz w:val="22"/>
        </w:rPr>
        <w:t> guía</w:t>
      </w:r>
      <w:r>
        <w:rPr>
          <w:color w:val="231F1F"/>
          <w:w w:val="105"/>
          <w:sz w:val="22"/>
        </w:rPr>
        <w:t> en</w:t>
      </w:r>
      <w:r>
        <w:rPr>
          <w:color w:val="231F1F"/>
          <w:w w:val="105"/>
          <w:sz w:val="22"/>
        </w:rPr>
        <w:t> formato</w:t>
      </w:r>
      <w:r>
        <w:rPr>
          <w:color w:val="231F1F"/>
          <w:w w:val="105"/>
          <w:sz w:val="22"/>
        </w:rPr>
        <w:t> electrónico</w:t>
      </w:r>
      <w:r>
        <w:rPr>
          <w:color w:val="231F1F"/>
          <w:w w:val="105"/>
          <w:sz w:val="22"/>
        </w:rPr>
        <w:t> en</w:t>
      </w:r>
      <w:r>
        <w:rPr>
          <w:color w:val="231F1F"/>
          <w:w w:val="105"/>
          <w:sz w:val="22"/>
        </w:rPr>
        <w:t> las</w:t>
      </w:r>
      <w:r>
        <w:rPr>
          <w:color w:val="231F1F"/>
          <w:w w:val="105"/>
          <w:sz w:val="22"/>
        </w:rPr>
        <w:t> páginas</w:t>
      </w:r>
      <w:r>
        <w:rPr>
          <w:color w:val="231F1F"/>
          <w:w w:val="105"/>
          <w:sz w:val="22"/>
        </w:rPr>
        <w:t> web</w:t>
      </w:r>
      <w:r>
        <w:rPr>
          <w:color w:val="231F1F"/>
          <w:w w:val="105"/>
          <w:sz w:val="22"/>
        </w:rPr>
        <w:t> del</w:t>
      </w:r>
      <w:r>
        <w:rPr>
          <w:color w:val="231F1F"/>
          <w:w w:val="105"/>
          <w:sz w:val="22"/>
        </w:rPr>
        <w:t> Ministerio</w:t>
      </w:r>
      <w:r>
        <w:rPr>
          <w:color w:val="231F1F"/>
          <w:w w:val="105"/>
          <w:sz w:val="22"/>
        </w:rPr>
        <w:t> de Sanidad y Política Social, de GuíaSalud, de OSTEBA, Avalia-t y otras agencias de evaluación y sociedades implicadas en el proyecto.</w:t>
      </w:r>
    </w:p>
    <w:p>
      <w:pPr>
        <w:pStyle w:val="ListParagraph"/>
        <w:numPr>
          <w:ilvl w:val="0"/>
          <w:numId w:val="96"/>
        </w:numPr>
        <w:tabs>
          <w:tab w:pos="1072" w:val="left" w:leader="none"/>
        </w:tabs>
        <w:spacing w:line="240" w:lineRule="auto" w:before="175" w:after="0"/>
        <w:ind w:left="1072" w:right="0" w:hanging="336"/>
        <w:jc w:val="left"/>
        <w:rPr>
          <w:sz w:val="22"/>
        </w:rPr>
      </w:pPr>
      <w:r>
        <w:rPr>
          <w:color w:val="231F1F"/>
          <w:sz w:val="22"/>
        </w:rPr>
        <w:t>Publicación</w:t>
      </w:r>
      <w:r>
        <w:rPr>
          <w:color w:val="231F1F"/>
          <w:spacing w:val="23"/>
          <w:sz w:val="22"/>
        </w:rPr>
        <w:t> </w:t>
      </w:r>
      <w:r>
        <w:rPr>
          <w:color w:val="231F1F"/>
          <w:sz w:val="22"/>
        </w:rPr>
        <w:t>de</w:t>
      </w:r>
      <w:r>
        <w:rPr>
          <w:color w:val="231F1F"/>
          <w:spacing w:val="23"/>
          <w:sz w:val="22"/>
        </w:rPr>
        <w:t> </w:t>
      </w:r>
      <w:r>
        <w:rPr>
          <w:color w:val="231F1F"/>
          <w:sz w:val="22"/>
        </w:rPr>
        <w:t>la</w:t>
      </w:r>
      <w:r>
        <w:rPr>
          <w:color w:val="231F1F"/>
          <w:spacing w:val="23"/>
          <w:sz w:val="22"/>
        </w:rPr>
        <w:t> </w:t>
      </w:r>
      <w:r>
        <w:rPr>
          <w:color w:val="231F1F"/>
          <w:sz w:val="22"/>
        </w:rPr>
        <w:t>guía</w:t>
      </w:r>
      <w:r>
        <w:rPr>
          <w:color w:val="231F1F"/>
          <w:spacing w:val="23"/>
          <w:sz w:val="22"/>
        </w:rPr>
        <w:t> </w:t>
      </w:r>
      <w:r>
        <w:rPr>
          <w:color w:val="231F1F"/>
          <w:sz w:val="22"/>
        </w:rPr>
        <w:t>en</w:t>
      </w:r>
      <w:r>
        <w:rPr>
          <w:color w:val="231F1F"/>
          <w:spacing w:val="24"/>
          <w:sz w:val="22"/>
        </w:rPr>
        <w:t> </w:t>
      </w:r>
      <w:r>
        <w:rPr>
          <w:color w:val="231F1F"/>
          <w:sz w:val="22"/>
        </w:rPr>
        <w:t>revistas</w:t>
      </w:r>
      <w:r>
        <w:rPr>
          <w:color w:val="231F1F"/>
          <w:spacing w:val="25"/>
          <w:sz w:val="22"/>
        </w:rPr>
        <w:t> </w:t>
      </w:r>
      <w:r>
        <w:rPr>
          <w:color w:val="231F1F"/>
          <w:spacing w:val="-2"/>
          <w:sz w:val="22"/>
        </w:rPr>
        <w:t>científicas.</w:t>
      </w:r>
    </w:p>
    <w:p>
      <w:pPr>
        <w:pStyle w:val="ListParagraph"/>
        <w:numPr>
          <w:ilvl w:val="0"/>
          <w:numId w:val="96"/>
        </w:numPr>
        <w:tabs>
          <w:tab w:pos="1073" w:val="left" w:leader="none"/>
          <w:tab w:pos="1077" w:val="left" w:leader="none"/>
        </w:tabs>
        <w:spacing w:line="244" w:lineRule="auto" w:before="203" w:after="0"/>
        <w:ind w:left="1077" w:right="126" w:hanging="341"/>
        <w:jc w:val="both"/>
        <w:rPr>
          <w:sz w:val="22"/>
        </w:rPr>
      </w:pPr>
      <w:r>
        <w:rPr>
          <w:color w:val="231F1F"/>
          <w:w w:val="110"/>
          <w:sz w:val="22"/>
        </w:rPr>
        <w:t>Establecimiento</w:t>
      </w:r>
      <w:r>
        <w:rPr>
          <w:color w:val="231F1F"/>
          <w:spacing w:val="-6"/>
          <w:w w:val="110"/>
          <w:sz w:val="22"/>
        </w:rPr>
        <w:t> </w:t>
      </w:r>
      <w:r>
        <w:rPr>
          <w:color w:val="231F1F"/>
          <w:w w:val="110"/>
          <w:sz w:val="22"/>
        </w:rPr>
        <w:t>de</w:t>
      </w:r>
      <w:r>
        <w:rPr>
          <w:color w:val="231F1F"/>
          <w:spacing w:val="-7"/>
          <w:w w:val="110"/>
          <w:sz w:val="22"/>
        </w:rPr>
        <w:t> </w:t>
      </w:r>
      <w:r>
        <w:rPr>
          <w:color w:val="231F1F"/>
          <w:w w:val="110"/>
          <w:sz w:val="22"/>
        </w:rPr>
        <w:t>criterios</w:t>
      </w:r>
      <w:r>
        <w:rPr>
          <w:color w:val="231F1F"/>
          <w:spacing w:val="-7"/>
          <w:w w:val="110"/>
          <w:sz w:val="22"/>
        </w:rPr>
        <w:t> </w:t>
      </w:r>
      <w:r>
        <w:rPr>
          <w:color w:val="231F1F"/>
          <w:w w:val="110"/>
          <w:sz w:val="22"/>
        </w:rPr>
        <w:t>de</w:t>
      </w:r>
      <w:r>
        <w:rPr>
          <w:color w:val="231F1F"/>
          <w:spacing w:val="-6"/>
          <w:w w:val="110"/>
          <w:sz w:val="22"/>
        </w:rPr>
        <w:t> </w:t>
      </w:r>
      <w:r>
        <w:rPr>
          <w:color w:val="231F1F"/>
          <w:w w:val="110"/>
          <w:sz w:val="22"/>
        </w:rPr>
        <w:t>buena</w:t>
      </w:r>
      <w:r>
        <w:rPr>
          <w:color w:val="231F1F"/>
          <w:spacing w:val="-7"/>
          <w:w w:val="110"/>
          <w:sz w:val="22"/>
        </w:rPr>
        <w:t> </w:t>
      </w:r>
      <w:r>
        <w:rPr>
          <w:color w:val="231F1F"/>
          <w:w w:val="110"/>
          <w:sz w:val="22"/>
        </w:rPr>
        <w:t>atención</w:t>
      </w:r>
      <w:r>
        <w:rPr>
          <w:color w:val="231F1F"/>
          <w:spacing w:val="-6"/>
          <w:w w:val="110"/>
          <w:sz w:val="22"/>
        </w:rPr>
        <w:t> </w:t>
      </w:r>
      <w:r>
        <w:rPr>
          <w:color w:val="231F1F"/>
          <w:w w:val="110"/>
          <w:sz w:val="22"/>
        </w:rPr>
        <w:t>en</w:t>
      </w:r>
      <w:r>
        <w:rPr>
          <w:color w:val="231F1F"/>
          <w:spacing w:val="-6"/>
          <w:w w:val="110"/>
          <w:sz w:val="22"/>
        </w:rPr>
        <w:t> </w:t>
      </w:r>
      <w:r>
        <w:rPr>
          <w:color w:val="231F1F"/>
          <w:w w:val="110"/>
          <w:sz w:val="22"/>
        </w:rPr>
        <w:t>los</w:t>
      </w:r>
      <w:r>
        <w:rPr>
          <w:color w:val="231F1F"/>
          <w:spacing w:val="-7"/>
          <w:w w:val="110"/>
          <w:sz w:val="22"/>
        </w:rPr>
        <w:t> </w:t>
      </w:r>
      <w:r>
        <w:rPr>
          <w:color w:val="231F1F"/>
          <w:w w:val="110"/>
          <w:sz w:val="22"/>
        </w:rPr>
        <w:t>contratos</w:t>
      </w:r>
      <w:r>
        <w:rPr>
          <w:color w:val="231F1F"/>
          <w:spacing w:val="-7"/>
          <w:w w:val="110"/>
          <w:sz w:val="22"/>
        </w:rPr>
        <w:t> </w:t>
      </w:r>
      <w:r>
        <w:rPr>
          <w:color w:val="231F1F"/>
          <w:w w:val="110"/>
          <w:sz w:val="22"/>
        </w:rPr>
        <w:t>programa</w:t>
      </w:r>
      <w:r>
        <w:rPr>
          <w:color w:val="231F1F"/>
          <w:spacing w:val="-7"/>
          <w:w w:val="110"/>
          <w:sz w:val="22"/>
        </w:rPr>
        <w:t> </w:t>
      </w:r>
      <w:r>
        <w:rPr>
          <w:color w:val="231F1F"/>
          <w:w w:val="110"/>
          <w:sz w:val="22"/>
        </w:rPr>
        <w:t>y</w:t>
      </w:r>
      <w:r>
        <w:rPr>
          <w:color w:val="231F1F"/>
          <w:spacing w:val="-6"/>
          <w:w w:val="110"/>
          <w:sz w:val="22"/>
        </w:rPr>
        <w:t> </w:t>
      </w:r>
      <w:r>
        <w:rPr>
          <w:color w:val="231F1F"/>
          <w:w w:val="110"/>
          <w:sz w:val="22"/>
        </w:rPr>
        <w:t>con- tratos de gestión clínica, según lo establecido en la guía.</w:t>
      </w:r>
    </w:p>
    <w:p>
      <w:pPr>
        <w:pStyle w:val="ListParagraph"/>
        <w:numPr>
          <w:ilvl w:val="0"/>
          <w:numId w:val="96"/>
        </w:numPr>
        <w:tabs>
          <w:tab w:pos="1073" w:val="left" w:leader="none"/>
          <w:tab w:pos="1077" w:val="left" w:leader="none"/>
        </w:tabs>
        <w:spacing w:line="247" w:lineRule="auto" w:before="185" w:after="0"/>
        <w:ind w:left="1077" w:right="124" w:hanging="341"/>
        <w:jc w:val="both"/>
        <w:rPr>
          <w:sz w:val="22"/>
        </w:rPr>
      </w:pPr>
      <w:r>
        <w:rPr>
          <w:color w:val="231F1F"/>
          <w:w w:val="105"/>
          <w:sz w:val="22"/>
        </w:rPr>
        <w:t>Evaluación</w:t>
      </w:r>
      <w:r>
        <w:rPr>
          <w:color w:val="231F1F"/>
          <w:spacing w:val="-10"/>
          <w:w w:val="105"/>
          <w:sz w:val="22"/>
        </w:rPr>
        <w:t> </w:t>
      </w:r>
      <w:r>
        <w:rPr>
          <w:color w:val="231F1F"/>
          <w:w w:val="105"/>
          <w:sz w:val="22"/>
        </w:rPr>
        <w:t>de</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efectividad</w:t>
      </w:r>
      <w:r>
        <w:rPr>
          <w:color w:val="231F1F"/>
          <w:spacing w:val="-9"/>
          <w:w w:val="105"/>
          <w:sz w:val="22"/>
        </w:rPr>
        <w:t> </w:t>
      </w:r>
      <w:r>
        <w:rPr>
          <w:color w:val="231F1F"/>
          <w:w w:val="105"/>
          <w:sz w:val="22"/>
        </w:rPr>
        <w:t>de</w:t>
      </w:r>
      <w:r>
        <w:rPr>
          <w:color w:val="231F1F"/>
          <w:spacing w:val="-10"/>
          <w:w w:val="105"/>
          <w:sz w:val="22"/>
        </w:rPr>
        <w:t> </w:t>
      </w:r>
      <w:r>
        <w:rPr>
          <w:color w:val="231F1F"/>
          <w:w w:val="105"/>
          <w:sz w:val="22"/>
        </w:rPr>
        <w:t>la</w:t>
      </w:r>
      <w:r>
        <w:rPr>
          <w:color w:val="231F1F"/>
          <w:spacing w:val="-10"/>
          <w:w w:val="105"/>
          <w:sz w:val="22"/>
        </w:rPr>
        <w:t> </w:t>
      </w:r>
      <w:r>
        <w:rPr>
          <w:color w:val="231F1F"/>
          <w:w w:val="105"/>
          <w:sz w:val="22"/>
        </w:rPr>
        <w:t>implementación,</w:t>
      </w:r>
      <w:r>
        <w:rPr>
          <w:color w:val="231F1F"/>
          <w:spacing w:val="-10"/>
          <w:w w:val="105"/>
          <w:sz w:val="22"/>
        </w:rPr>
        <w:t> </w:t>
      </w:r>
      <w:r>
        <w:rPr>
          <w:color w:val="231F1F"/>
          <w:w w:val="105"/>
          <w:sz w:val="22"/>
        </w:rPr>
        <w:t>estableciendo</w:t>
      </w:r>
      <w:r>
        <w:rPr>
          <w:color w:val="231F1F"/>
          <w:spacing w:val="-9"/>
          <w:w w:val="105"/>
          <w:sz w:val="22"/>
        </w:rPr>
        <w:t> </w:t>
      </w:r>
      <w:r>
        <w:rPr>
          <w:color w:val="231F1F"/>
          <w:w w:val="105"/>
          <w:sz w:val="22"/>
        </w:rPr>
        <w:t>sistemas</w:t>
      </w:r>
      <w:r>
        <w:rPr>
          <w:color w:val="231F1F"/>
          <w:spacing w:val="-10"/>
          <w:w w:val="105"/>
          <w:sz w:val="22"/>
        </w:rPr>
        <w:t> </w:t>
      </w:r>
      <w:r>
        <w:rPr>
          <w:color w:val="231F1F"/>
          <w:w w:val="105"/>
          <w:sz w:val="22"/>
        </w:rPr>
        <w:t>de</w:t>
      </w:r>
      <w:r>
        <w:rPr>
          <w:color w:val="231F1F"/>
          <w:spacing w:val="-10"/>
          <w:w w:val="105"/>
          <w:sz w:val="22"/>
        </w:rPr>
        <w:t> </w:t>
      </w:r>
      <w:r>
        <w:rPr>
          <w:color w:val="231F1F"/>
          <w:w w:val="105"/>
          <w:sz w:val="22"/>
        </w:rPr>
        <w:t>apoyo a la decisión clínica, integrando la guía y los indicadores seleccionados en el pro- grama informático utilizado en AP.</w:t>
      </w:r>
    </w:p>
    <w:p>
      <w:pPr>
        <w:pStyle w:val="ListParagraph"/>
        <w:spacing w:after="0" w:line="247" w:lineRule="auto"/>
        <w:jc w:val="both"/>
        <w:rPr>
          <w:sz w:val="22"/>
        </w:rPr>
        <w:sectPr>
          <w:pgSz w:w="11900" w:h="16840"/>
          <w:pgMar w:header="0" w:footer="622" w:top="1520" w:bottom="820" w:left="1417" w:right="1559"/>
        </w:sectPr>
      </w:pPr>
    </w:p>
    <w:p>
      <w:pPr>
        <w:pStyle w:val="Heading2"/>
        <w:numPr>
          <w:ilvl w:val="2"/>
          <w:numId w:val="2"/>
        </w:numPr>
        <w:tabs>
          <w:tab w:pos="1182" w:val="left" w:leader="none"/>
          <w:tab w:pos="1186" w:val="left" w:leader="none"/>
        </w:tabs>
        <w:spacing w:line="232" w:lineRule="auto" w:before="77" w:after="0"/>
        <w:ind w:left="1186" w:right="1167" w:hanging="905"/>
        <w:jc w:val="left"/>
      </w:pPr>
      <w:r>
        <w:rPr>
          <w:color w:val="231F1F"/>
        </w:rPr>
        <w:t>Implicaciones para la implementación en la</w:t>
      </w:r>
      <w:r>
        <w:rPr>
          <w:color w:val="231F1F"/>
          <w:spacing w:val="80"/>
        </w:rPr>
        <w:t> </w:t>
      </w:r>
      <w:r>
        <w:rPr>
          <w:color w:val="231F1F"/>
        </w:rPr>
        <w:t>práctica clínica</w:t>
      </w:r>
    </w:p>
    <w:p>
      <w:pPr>
        <w:pStyle w:val="BodyText"/>
        <w:spacing w:before="122"/>
        <w:rPr>
          <w:sz w:val="36"/>
        </w:rPr>
      </w:pPr>
    </w:p>
    <w:p>
      <w:pPr>
        <w:spacing w:before="0"/>
        <w:ind w:left="283" w:right="0" w:firstLine="0"/>
        <w:jc w:val="left"/>
        <w:rPr>
          <w:rFonts w:ascii="Arial MT"/>
          <w:sz w:val="24"/>
        </w:rPr>
      </w:pPr>
      <w:r>
        <w:rPr>
          <w:rFonts w:ascii="Arial MT"/>
          <w:color w:val="231F1F"/>
          <w:sz w:val="24"/>
        </w:rPr>
        <w:t>Cuidados</w:t>
      </w:r>
      <w:r>
        <w:rPr>
          <w:rFonts w:ascii="Arial MT"/>
          <w:color w:val="231F1F"/>
          <w:spacing w:val="23"/>
          <w:sz w:val="24"/>
        </w:rPr>
        <w:t> </w:t>
      </w:r>
      <w:r>
        <w:rPr>
          <w:rFonts w:ascii="Arial MT"/>
          <w:color w:val="231F1F"/>
          <w:sz w:val="24"/>
        </w:rPr>
        <w:t>durante</w:t>
      </w:r>
      <w:r>
        <w:rPr>
          <w:rFonts w:ascii="Arial MT"/>
          <w:color w:val="231F1F"/>
          <w:spacing w:val="23"/>
          <w:sz w:val="24"/>
        </w:rPr>
        <w:t> </w:t>
      </w:r>
      <w:r>
        <w:rPr>
          <w:rFonts w:ascii="Arial MT"/>
          <w:color w:val="231F1F"/>
          <w:sz w:val="24"/>
        </w:rPr>
        <w:t>el</w:t>
      </w:r>
      <w:r>
        <w:rPr>
          <w:rFonts w:ascii="Arial MT"/>
          <w:color w:val="231F1F"/>
          <w:spacing w:val="18"/>
          <w:sz w:val="24"/>
        </w:rPr>
        <w:t> </w:t>
      </w:r>
      <w:r>
        <w:rPr>
          <w:rFonts w:ascii="Arial MT"/>
          <w:color w:val="231F1F"/>
          <w:spacing w:val="-2"/>
          <w:sz w:val="24"/>
        </w:rPr>
        <w:t>parto</w:t>
      </w:r>
    </w:p>
    <w:p>
      <w:pPr>
        <w:pStyle w:val="Heading5"/>
        <w:spacing w:before="228"/>
      </w:pPr>
      <w:r>
        <w:rPr>
          <w:color w:val="231F1F"/>
        </w:rPr>
        <w:t>Cuidados</w:t>
      </w:r>
      <w:r>
        <w:rPr>
          <w:color w:val="231F1F"/>
          <w:spacing w:val="-10"/>
        </w:rPr>
        <w:t> </w:t>
      </w:r>
      <w:r>
        <w:rPr>
          <w:color w:val="231F1F"/>
        </w:rPr>
        <w:t>de</w:t>
      </w:r>
      <w:r>
        <w:rPr>
          <w:color w:val="231F1F"/>
          <w:spacing w:val="-4"/>
        </w:rPr>
        <w:t> </w:t>
      </w:r>
      <w:r>
        <w:rPr>
          <w:color w:val="231F1F"/>
        </w:rPr>
        <w:t>profesionales</w:t>
      </w:r>
      <w:r>
        <w:rPr>
          <w:color w:val="231F1F"/>
          <w:spacing w:val="-6"/>
        </w:rPr>
        <w:t> </w:t>
      </w:r>
      <w:r>
        <w:rPr>
          <w:color w:val="231F1F"/>
        </w:rPr>
        <w:t>y</w:t>
      </w:r>
      <w:r>
        <w:rPr>
          <w:color w:val="231F1F"/>
          <w:spacing w:val="-3"/>
        </w:rPr>
        <w:t> </w:t>
      </w:r>
      <w:r>
        <w:rPr>
          <w:color w:val="231F1F"/>
          <w:spacing w:val="-2"/>
        </w:rPr>
        <w:t>acompañantes</w:t>
      </w:r>
    </w:p>
    <w:p>
      <w:pPr>
        <w:pStyle w:val="BodyText"/>
        <w:spacing w:line="244" w:lineRule="auto" w:before="214"/>
        <w:ind w:left="283" w:right="121"/>
        <w:jc w:val="both"/>
      </w:pPr>
      <w:r>
        <w:rPr>
          <w:color w:val="231F1F"/>
          <w:w w:val="110"/>
        </w:rPr>
        <w:t>En</w:t>
      </w:r>
      <w:r>
        <w:rPr>
          <w:color w:val="231F1F"/>
          <w:spacing w:val="-4"/>
          <w:w w:val="110"/>
        </w:rPr>
        <w:t> </w:t>
      </w:r>
      <w:r>
        <w:rPr>
          <w:color w:val="231F1F"/>
          <w:w w:val="110"/>
        </w:rPr>
        <w:t>el</w:t>
      </w:r>
      <w:r>
        <w:rPr>
          <w:color w:val="231F1F"/>
          <w:spacing w:val="-4"/>
          <w:w w:val="110"/>
        </w:rPr>
        <w:t> </w:t>
      </w:r>
      <w:r>
        <w:rPr>
          <w:color w:val="231F1F"/>
          <w:w w:val="110"/>
        </w:rPr>
        <w:t>Sistema</w:t>
      </w:r>
      <w:r>
        <w:rPr>
          <w:color w:val="231F1F"/>
          <w:spacing w:val="-4"/>
          <w:w w:val="110"/>
        </w:rPr>
        <w:t> </w:t>
      </w:r>
      <w:r>
        <w:rPr>
          <w:color w:val="231F1F"/>
          <w:w w:val="110"/>
        </w:rPr>
        <w:t>Nacional</w:t>
      </w:r>
      <w:r>
        <w:rPr>
          <w:color w:val="231F1F"/>
          <w:spacing w:val="-4"/>
          <w:w w:val="110"/>
        </w:rPr>
        <w:t> </w:t>
      </w:r>
      <w:r>
        <w:rPr>
          <w:color w:val="231F1F"/>
          <w:w w:val="110"/>
        </w:rPr>
        <w:t>de</w:t>
      </w:r>
      <w:r>
        <w:rPr>
          <w:color w:val="231F1F"/>
          <w:spacing w:val="-4"/>
          <w:w w:val="110"/>
        </w:rPr>
        <w:t> </w:t>
      </w:r>
      <w:r>
        <w:rPr>
          <w:color w:val="231F1F"/>
          <w:w w:val="110"/>
        </w:rPr>
        <w:t>Salud</w:t>
      </w:r>
      <w:r>
        <w:rPr>
          <w:color w:val="231F1F"/>
          <w:spacing w:val="-4"/>
          <w:w w:val="110"/>
        </w:rPr>
        <w:t> </w:t>
      </w:r>
      <w:r>
        <w:rPr>
          <w:color w:val="231F1F"/>
          <w:w w:val="110"/>
        </w:rPr>
        <w:t>es</w:t>
      </w:r>
      <w:r>
        <w:rPr>
          <w:color w:val="231F1F"/>
          <w:spacing w:val="-4"/>
          <w:w w:val="110"/>
        </w:rPr>
        <w:t> </w:t>
      </w:r>
      <w:r>
        <w:rPr>
          <w:color w:val="231F1F"/>
          <w:w w:val="110"/>
        </w:rPr>
        <w:t>hoy</w:t>
      </w:r>
      <w:r>
        <w:rPr>
          <w:color w:val="231F1F"/>
          <w:spacing w:val="-4"/>
          <w:w w:val="110"/>
        </w:rPr>
        <w:t> </w:t>
      </w:r>
      <w:r>
        <w:rPr>
          <w:color w:val="231F1F"/>
          <w:w w:val="110"/>
        </w:rPr>
        <w:t>una</w:t>
      </w:r>
      <w:r>
        <w:rPr>
          <w:color w:val="231F1F"/>
          <w:spacing w:val="-4"/>
          <w:w w:val="110"/>
        </w:rPr>
        <w:t> </w:t>
      </w:r>
      <w:r>
        <w:rPr>
          <w:color w:val="231F1F"/>
          <w:w w:val="110"/>
        </w:rPr>
        <w:t>práctica</w:t>
      </w:r>
      <w:r>
        <w:rPr>
          <w:color w:val="231F1F"/>
          <w:spacing w:val="-4"/>
          <w:w w:val="110"/>
        </w:rPr>
        <w:t> </w:t>
      </w:r>
      <w:r>
        <w:rPr>
          <w:color w:val="231F1F"/>
          <w:w w:val="110"/>
        </w:rPr>
        <w:t>muy</w:t>
      </w:r>
      <w:r>
        <w:rPr>
          <w:color w:val="231F1F"/>
          <w:spacing w:val="-4"/>
          <w:w w:val="110"/>
        </w:rPr>
        <w:t> </w:t>
      </w:r>
      <w:r>
        <w:rPr>
          <w:color w:val="231F1F"/>
          <w:w w:val="110"/>
        </w:rPr>
        <w:t>extendida</w:t>
      </w:r>
      <w:r>
        <w:rPr>
          <w:color w:val="231F1F"/>
          <w:spacing w:val="-4"/>
          <w:w w:val="110"/>
        </w:rPr>
        <w:t> </w:t>
      </w:r>
      <w:r>
        <w:rPr>
          <w:color w:val="231F1F"/>
          <w:w w:val="110"/>
        </w:rPr>
        <w:t>el</w:t>
      </w:r>
      <w:r>
        <w:rPr>
          <w:color w:val="231F1F"/>
          <w:spacing w:val="-4"/>
          <w:w w:val="110"/>
        </w:rPr>
        <w:t> </w:t>
      </w:r>
      <w:r>
        <w:rPr>
          <w:color w:val="231F1F"/>
          <w:w w:val="110"/>
        </w:rPr>
        <w:t>acompañamiento no</w:t>
      </w:r>
      <w:r>
        <w:rPr>
          <w:color w:val="231F1F"/>
          <w:spacing w:val="-13"/>
          <w:w w:val="110"/>
        </w:rPr>
        <w:t> </w:t>
      </w:r>
      <w:r>
        <w:rPr>
          <w:color w:val="231F1F"/>
          <w:w w:val="110"/>
        </w:rPr>
        <w:t>profesional</w:t>
      </w:r>
      <w:r>
        <w:rPr>
          <w:color w:val="231F1F"/>
          <w:spacing w:val="-14"/>
          <w:w w:val="110"/>
        </w:rPr>
        <w:t> </w:t>
      </w:r>
      <w:r>
        <w:rPr>
          <w:color w:val="231F1F"/>
          <w:w w:val="110"/>
        </w:rPr>
        <w:t>de</w:t>
      </w:r>
      <w:r>
        <w:rPr>
          <w:color w:val="231F1F"/>
          <w:spacing w:val="-13"/>
          <w:w w:val="110"/>
        </w:rPr>
        <w:t> </w:t>
      </w:r>
      <w:r>
        <w:rPr>
          <w:color w:val="231F1F"/>
          <w:w w:val="110"/>
        </w:rPr>
        <w:t>las</w:t>
      </w:r>
      <w:r>
        <w:rPr>
          <w:color w:val="231F1F"/>
          <w:spacing w:val="-13"/>
          <w:w w:val="110"/>
        </w:rPr>
        <w:t> </w:t>
      </w:r>
      <w:r>
        <w:rPr>
          <w:color w:val="231F1F"/>
          <w:w w:val="110"/>
        </w:rPr>
        <w:t>mujeres</w:t>
      </w:r>
      <w:r>
        <w:rPr>
          <w:color w:val="231F1F"/>
          <w:spacing w:val="-13"/>
          <w:w w:val="110"/>
        </w:rPr>
        <w:t> </w:t>
      </w:r>
      <w:r>
        <w:rPr>
          <w:color w:val="231F1F"/>
          <w:w w:val="110"/>
        </w:rPr>
        <w:t>durante</w:t>
      </w:r>
      <w:r>
        <w:rPr>
          <w:color w:val="231F1F"/>
          <w:spacing w:val="-13"/>
          <w:w w:val="110"/>
        </w:rPr>
        <w:t> </w:t>
      </w:r>
      <w:r>
        <w:rPr>
          <w:color w:val="231F1F"/>
          <w:w w:val="110"/>
        </w:rPr>
        <w:t>su</w:t>
      </w:r>
      <w:r>
        <w:rPr>
          <w:color w:val="231F1F"/>
          <w:spacing w:val="-13"/>
          <w:w w:val="110"/>
        </w:rPr>
        <w:t> </w:t>
      </w:r>
      <w:r>
        <w:rPr>
          <w:color w:val="231F1F"/>
          <w:w w:val="110"/>
        </w:rPr>
        <w:t>trabajo</w:t>
      </w:r>
      <w:r>
        <w:rPr>
          <w:color w:val="231F1F"/>
          <w:spacing w:val="-13"/>
          <w:w w:val="110"/>
        </w:rPr>
        <w:t> </w:t>
      </w:r>
      <w:r>
        <w:rPr>
          <w:color w:val="231F1F"/>
          <w:w w:val="110"/>
        </w:rPr>
        <w:t>de</w:t>
      </w:r>
      <w:r>
        <w:rPr>
          <w:color w:val="231F1F"/>
          <w:spacing w:val="-13"/>
          <w:w w:val="110"/>
        </w:rPr>
        <w:t> </w:t>
      </w:r>
      <w:r>
        <w:rPr>
          <w:color w:val="231F1F"/>
          <w:w w:val="110"/>
        </w:rPr>
        <w:t>parto.</w:t>
      </w:r>
      <w:r>
        <w:rPr>
          <w:color w:val="231F1F"/>
          <w:spacing w:val="-14"/>
          <w:w w:val="110"/>
        </w:rPr>
        <w:t> </w:t>
      </w:r>
      <w:r>
        <w:rPr>
          <w:color w:val="231F1F"/>
          <w:w w:val="110"/>
        </w:rPr>
        <w:t>Lo</w:t>
      </w:r>
      <w:r>
        <w:rPr>
          <w:color w:val="231F1F"/>
          <w:spacing w:val="-13"/>
          <w:w w:val="110"/>
        </w:rPr>
        <w:t> </w:t>
      </w:r>
      <w:r>
        <w:rPr>
          <w:color w:val="231F1F"/>
          <w:w w:val="110"/>
        </w:rPr>
        <w:t>adecuado</w:t>
      </w:r>
      <w:r>
        <w:rPr>
          <w:color w:val="231F1F"/>
          <w:spacing w:val="-12"/>
          <w:w w:val="110"/>
        </w:rPr>
        <w:t> </w:t>
      </w:r>
      <w:r>
        <w:rPr>
          <w:color w:val="231F1F"/>
          <w:w w:val="110"/>
        </w:rPr>
        <w:t>es</w:t>
      </w:r>
      <w:r>
        <w:rPr>
          <w:color w:val="231F1F"/>
          <w:spacing w:val="-13"/>
          <w:w w:val="110"/>
        </w:rPr>
        <w:t> </w:t>
      </w:r>
      <w:r>
        <w:rPr>
          <w:color w:val="231F1F"/>
          <w:w w:val="110"/>
        </w:rPr>
        <w:t>que</w:t>
      </w:r>
      <w:r>
        <w:rPr>
          <w:color w:val="231F1F"/>
          <w:spacing w:val="-13"/>
          <w:w w:val="110"/>
        </w:rPr>
        <w:t> </w:t>
      </w:r>
      <w:r>
        <w:rPr>
          <w:color w:val="231F1F"/>
          <w:w w:val="110"/>
        </w:rPr>
        <w:t>las</w:t>
      </w:r>
      <w:r>
        <w:rPr>
          <w:color w:val="231F1F"/>
          <w:spacing w:val="-13"/>
          <w:w w:val="110"/>
        </w:rPr>
        <w:t> </w:t>
      </w:r>
      <w:r>
        <w:rPr>
          <w:color w:val="231F1F"/>
          <w:w w:val="110"/>
        </w:rPr>
        <w:t>mujeres conozcan</w:t>
      </w:r>
      <w:r>
        <w:rPr>
          <w:color w:val="231F1F"/>
          <w:w w:val="110"/>
        </w:rPr>
        <w:t> tanto</w:t>
      </w:r>
      <w:r>
        <w:rPr>
          <w:color w:val="231F1F"/>
          <w:w w:val="110"/>
        </w:rPr>
        <w:t> la</w:t>
      </w:r>
      <w:r>
        <w:rPr>
          <w:color w:val="231F1F"/>
          <w:w w:val="110"/>
        </w:rPr>
        <w:t> importancia</w:t>
      </w:r>
      <w:r>
        <w:rPr>
          <w:color w:val="231F1F"/>
          <w:w w:val="110"/>
        </w:rPr>
        <w:t> del</w:t>
      </w:r>
      <w:r>
        <w:rPr>
          <w:color w:val="231F1F"/>
          <w:w w:val="110"/>
        </w:rPr>
        <w:t> papel</w:t>
      </w:r>
      <w:r>
        <w:rPr>
          <w:color w:val="231F1F"/>
          <w:w w:val="110"/>
        </w:rPr>
        <w:t> de</w:t>
      </w:r>
      <w:r>
        <w:rPr>
          <w:color w:val="231F1F"/>
          <w:w w:val="110"/>
        </w:rPr>
        <w:t> la</w:t>
      </w:r>
      <w:r>
        <w:rPr>
          <w:color w:val="231F1F"/>
          <w:w w:val="110"/>
        </w:rPr>
        <w:t> persona</w:t>
      </w:r>
      <w:r>
        <w:rPr>
          <w:color w:val="231F1F"/>
          <w:w w:val="110"/>
        </w:rPr>
        <w:t> acompañante</w:t>
      </w:r>
      <w:r>
        <w:rPr>
          <w:color w:val="231F1F"/>
          <w:w w:val="110"/>
        </w:rPr>
        <w:t> (pareja,</w:t>
      </w:r>
      <w:r>
        <w:rPr>
          <w:color w:val="231F1F"/>
          <w:w w:val="110"/>
        </w:rPr>
        <w:t> familiar, amistad,..)</w:t>
      </w:r>
      <w:r>
        <w:rPr>
          <w:color w:val="231F1F"/>
          <w:spacing w:val="-5"/>
          <w:w w:val="110"/>
        </w:rPr>
        <w:t> </w:t>
      </w:r>
      <w:r>
        <w:rPr>
          <w:color w:val="231F1F"/>
          <w:w w:val="110"/>
        </w:rPr>
        <w:t>como</w:t>
      </w:r>
      <w:r>
        <w:rPr>
          <w:color w:val="231F1F"/>
          <w:spacing w:val="-5"/>
          <w:w w:val="110"/>
        </w:rPr>
        <w:t> </w:t>
      </w:r>
      <w:r>
        <w:rPr>
          <w:color w:val="231F1F"/>
          <w:w w:val="110"/>
        </w:rPr>
        <w:t>las</w:t>
      </w:r>
      <w:r>
        <w:rPr>
          <w:color w:val="231F1F"/>
          <w:spacing w:val="-5"/>
          <w:w w:val="110"/>
        </w:rPr>
        <w:t> </w:t>
      </w:r>
      <w:r>
        <w:rPr>
          <w:color w:val="231F1F"/>
          <w:w w:val="110"/>
        </w:rPr>
        <w:t>cualidades</w:t>
      </w:r>
      <w:r>
        <w:rPr>
          <w:color w:val="231F1F"/>
          <w:spacing w:val="-5"/>
          <w:w w:val="110"/>
        </w:rPr>
        <w:t> </w:t>
      </w:r>
      <w:r>
        <w:rPr>
          <w:color w:val="231F1F"/>
          <w:w w:val="110"/>
        </w:rPr>
        <w:t>que</w:t>
      </w:r>
      <w:r>
        <w:rPr>
          <w:color w:val="231F1F"/>
          <w:spacing w:val="-5"/>
          <w:w w:val="110"/>
        </w:rPr>
        <w:t> </w:t>
      </w:r>
      <w:r>
        <w:rPr>
          <w:color w:val="231F1F"/>
          <w:w w:val="110"/>
        </w:rPr>
        <w:t>debe</w:t>
      </w:r>
      <w:r>
        <w:rPr>
          <w:color w:val="231F1F"/>
          <w:spacing w:val="-5"/>
          <w:w w:val="110"/>
        </w:rPr>
        <w:t> </w:t>
      </w:r>
      <w:r>
        <w:rPr>
          <w:color w:val="231F1F"/>
          <w:w w:val="110"/>
        </w:rPr>
        <w:t>reunir</w:t>
      </w:r>
      <w:r>
        <w:rPr>
          <w:color w:val="231F1F"/>
          <w:spacing w:val="-5"/>
          <w:w w:val="110"/>
        </w:rPr>
        <w:t> </w:t>
      </w:r>
      <w:r>
        <w:rPr>
          <w:color w:val="231F1F"/>
          <w:w w:val="110"/>
        </w:rPr>
        <w:t>y</w:t>
      </w:r>
      <w:r>
        <w:rPr>
          <w:color w:val="231F1F"/>
          <w:spacing w:val="-5"/>
          <w:w w:val="110"/>
        </w:rPr>
        <w:t> </w:t>
      </w:r>
      <w:r>
        <w:rPr>
          <w:color w:val="231F1F"/>
          <w:w w:val="110"/>
        </w:rPr>
        <w:t>se</w:t>
      </w:r>
      <w:r>
        <w:rPr>
          <w:color w:val="231F1F"/>
          <w:spacing w:val="-5"/>
          <w:w w:val="110"/>
        </w:rPr>
        <w:t> </w:t>
      </w:r>
      <w:r>
        <w:rPr>
          <w:color w:val="231F1F"/>
          <w:w w:val="110"/>
        </w:rPr>
        <w:t>sientan</w:t>
      </w:r>
      <w:r>
        <w:rPr>
          <w:color w:val="231F1F"/>
          <w:spacing w:val="-6"/>
          <w:w w:val="110"/>
        </w:rPr>
        <w:t> </w:t>
      </w:r>
      <w:r>
        <w:rPr>
          <w:color w:val="231F1F"/>
          <w:w w:val="110"/>
        </w:rPr>
        <w:t>libres</w:t>
      </w:r>
      <w:r>
        <w:rPr>
          <w:color w:val="231F1F"/>
          <w:spacing w:val="-6"/>
          <w:w w:val="110"/>
        </w:rPr>
        <w:t> </w:t>
      </w:r>
      <w:r>
        <w:rPr>
          <w:color w:val="231F1F"/>
          <w:w w:val="110"/>
        </w:rPr>
        <w:t>para</w:t>
      </w:r>
      <w:r>
        <w:rPr>
          <w:color w:val="231F1F"/>
          <w:spacing w:val="-5"/>
          <w:w w:val="110"/>
        </w:rPr>
        <w:t> </w:t>
      </w:r>
      <w:r>
        <w:rPr>
          <w:color w:val="231F1F"/>
          <w:w w:val="110"/>
        </w:rPr>
        <w:t>elegirla.</w:t>
      </w:r>
      <w:r>
        <w:rPr>
          <w:color w:val="231F1F"/>
          <w:spacing w:val="-6"/>
          <w:w w:val="110"/>
        </w:rPr>
        <w:t> </w:t>
      </w:r>
      <w:r>
        <w:rPr>
          <w:color w:val="231F1F"/>
          <w:w w:val="110"/>
        </w:rPr>
        <w:t>Las</w:t>
      </w:r>
      <w:r>
        <w:rPr>
          <w:color w:val="231F1F"/>
          <w:spacing w:val="-6"/>
          <w:w w:val="110"/>
        </w:rPr>
        <w:t> </w:t>
      </w:r>
      <w:r>
        <w:rPr>
          <w:color w:val="231F1F"/>
          <w:w w:val="110"/>
        </w:rPr>
        <w:t>ma- ternidades</w:t>
      </w:r>
      <w:r>
        <w:rPr>
          <w:color w:val="231F1F"/>
          <w:spacing w:val="-13"/>
          <w:w w:val="110"/>
        </w:rPr>
        <w:t> </w:t>
      </w:r>
      <w:r>
        <w:rPr>
          <w:color w:val="231F1F"/>
          <w:w w:val="110"/>
        </w:rPr>
        <w:t>hospitalarias</w:t>
      </w:r>
      <w:r>
        <w:rPr>
          <w:color w:val="231F1F"/>
          <w:spacing w:val="-13"/>
          <w:w w:val="110"/>
        </w:rPr>
        <w:t> </w:t>
      </w:r>
      <w:r>
        <w:rPr>
          <w:color w:val="231F1F"/>
          <w:w w:val="110"/>
        </w:rPr>
        <w:t>deben</w:t>
      </w:r>
      <w:r>
        <w:rPr>
          <w:color w:val="231F1F"/>
          <w:spacing w:val="-12"/>
          <w:w w:val="110"/>
        </w:rPr>
        <w:t> </w:t>
      </w:r>
      <w:r>
        <w:rPr>
          <w:color w:val="231F1F"/>
          <w:w w:val="110"/>
        </w:rPr>
        <w:t>también</w:t>
      </w:r>
      <w:r>
        <w:rPr>
          <w:color w:val="231F1F"/>
          <w:spacing w:val="-12"/>
          <w:w w:val="110"/>
        </w:rPr>
        <w:t> </w:t>
      </w:r>
      <w:r>
        <w:rPr>
          <w:color w:val="231F1F"/>
          <w:w w:val="110"/>
        </w:rPr>
        <w:t>procurar</w:t>
      </w:r>
      <w:r>
        <w:rPr>
          <w:color w:val="231F1F"/>
          <w:spacing w:val="-13"/>
          <w:w w:val="110"/>
        </w:rPr>
        <w:t> </w:t>
      </w:r>
      <w:r>
        <w:rPr>
          <w:color w:val="231F1F"/>
          <w:w w:val="110"/>
        </w:rPr>
        <w:t>que</w:t>
      </w:r>
      <w:r>
        <w:rPr>
          <w:color w:val="231F1F"/>
          <w:spacing w:val="-12"/>
          <w:w w:val="110"/>
        </w:rPr>
        <w:t> </w:t>
      </w:r>
      <w:r>
        <w:rPr>
          <w:color w:val="231F1F"/>
          <w:w w:val="110"/>
        </w:rPr>
        <w:t>el</w:t>
      </w:r>
      <w:r>
        <w:rPr>
          <w:color w:val="231F1F"/>
          <w:spacing w:val="-13"/>
          <w:w w:val="110"/>
        </w:rPr>
        <w:t> </w:t>
      </w:r>
      <w:r>
        <w:rPr>
          <w:color w:val="231F1F"/>
          <w:w w:val="110"/>
        </w:rPr>
        <w:t>acompañamiento</w:t>
      </w:r>
      <w:r>
        <w:rPr>
          <w:color w:val="231F1F"/>
          <w:spacing w:val="-12"/>
          <w:w w:val="110"/>
        </w:rPr>
        <w:t> </w:t>
      </w:r>
      <w:r>
        <w:rPr>
          <w:color w:val="231F1F"/>
          <w:w w:val="110"/>
        </w:rPr>
        <w:t>sea</w:t>
      </w:r>
      <w:r>
        <w:rPr>
          <w:color w:val="231F1F"/>
          <w:spacing w:val="-13"/>
          <w:w w:val="110"/>
        </w:rPr>
        <w:t> </w:t>
      </w:r>
      <w:r>
        <w:rPr>
          <w:color w:val="231F1F"/>
          <w:w w:val="110"/>
        </w:rPr>
        <w:t>lo</w:t>
      </w:r>
      <w:r>
        <w:rPr>
          <w:color w:val="231F1F"/>
          <w:spacing w:val="-12"/>
          <w:w w:val="110"/>
        </w:rPr>
        <w:t> </w:t>
      </w:r>
      <w:r>
        <w:rPr>
          <w:color w:val="231F1F"/>
          <w:w w:val="110"/>
        </w:rPr>
        <w:t>más</w:t>
      </w:r>
      <w:r>
        <w:rPr>
          <w:color w:val="231F1F"/>
          <w:spacing w:val="-12"/>
          <w:w w:val="110"/>
        </w:rPr>
        <w:t> </w:t>
      </w:r>
      <w:r>
        <w:rPr>
          <w:color w:val="231F1F"/>
          <w:w w:val="110"/>
        </w:rPr>
        <w:t>efec- tivo posible y aceptar la elección que haya realizado la mujer.</w:t>
      </w:r>
    </w:p>
    <w:p>
      <w:pPr>
        <w:pStyle w:val="BodyText"/>
        <w:spacing w:before="190"/>
      </w:pPr>
    </w:p>
    <w:p>
      <w:pPr>
        <w:spacing w:before="1"/>
        <w:ind w:left="283" w:right="0" w:firstLine="0"/>
        <w:jc w:val="left"/>
        <w:rPr>
          <w:rFonts w:ascii="Arial MT" w:hAnsi="Arial MT"/>
          <w:sz w:val="24"/>
        </w:rPr>
      </w:pPr>
      <w:r>
        <w:rPr>
          <w:rFonts w:ascii="Arial MT" w:hAnsi="Arial MT"/>
          <w:color w:val="231F1F"/>
          <w:sz w:val="24"/>
        </w:rPr>
        <w:t>Dilatación:</w:t>
      </w:r>
      <w:r>
        <w:rPr>
          <w:rFonts w:ascii="Arial MT" w:hAnsi="Arial MT"/>
          <w:color w:val="231F1F"/>
          <w:spacing w:val="20"/>
          <w:sz w:val="24"/>
        </w:rPr>
        <w:t> </w:t>
      </w:r>
      <w:r>
        <w:rPr>
          <w:rFonts w:ascii="Arial MT" w:hAnsi="Arial MT"/>
          <w:color w:val="231F1F"/>
          <w:sz w:val="24"/>
        </w:rPr>
        <w:t>Primera</w:t>
      </w:r>
      <w:r>
        <w:rPr>
          <w:rFonts w:ascii="Arial MT" w:hAnsi="Arial MT"/>
          <w:color w:val="231F1F"/>
          <w:spacing w:val="23"/>
          <w:sz w:val="24"/>
        </w:rPr>
        <w:t> </w:t>
      </w:r>
      <w:r>
        <w:rPr>
          <w:rFonts w:ascii="Arial MT" w:hAnsi="Arial MT"/>
          <w:color w:val="231F1F"/>
          <w:sz w:val="24"/>
        </w:rPr>
        <w:t>etapa</w:t>
      </w:r>
      <w:r>
        <w:rPr>
          <w:rFonts w:ascii="Arial MT" w:hAnsi="Arial MT"/>
          <w:color w:val="231F1F"/>
          <w:spacing w:val="22"/>
          <w:sz w:val="24"/>
        </w:rPr>
        <w:t> </w:t>
      </w:r>
      <w:r>
        <w:rPr>
          <w:rFonts w:ascii="Arial MT" w:hAnsi="Arial MT"/>
          <w:color w:val="231F1F"/>
          <w:sz w:val="24"/>
        </w:rPr>
        <w:t>del</w:t>
      </w:r>
      <w:r>
        <w:rPr>
          <w:rFonts w:ascii="Arial MT" w:hAnsi="Arial MT"/>
          <w:color w:val="231F1F"/>
          <w:spacing w:val="20"/>
          <w:sz w:val="24"/>
        </w:rPr>
        <w:t> </w:t>
      </w:r>
      <w:r>
        <w:rPr>
          <w:rFonts w:ascii="Arial MT" w:hAnsi="Arial MT"/>
          <w:color w:val="231F1F"/>
          <w:spacing w:val="-2"/>
          <w:sz w:val="24"/>
        </w:rPr>
        <w:t>parto</w:t>
      </w:r>
    </w:p>
    <w:p>
      <w:pPr>
        <w:pStyle w:val="Heading5"/>
        <w:spacing w:before="232"/>
      </w:pPr>
      <w:r>
        <w:rPr>
          <w:color w:val="231F1F"/>
        </w:rPr>
        <w:t>Cuidados</w:t>
      </w:r>
      <w:r>
        <w:rPr>
          <w:color w:val="231F1F"/>
          <w:spacing w:val="-5"/>
        </w:rPr>
        <w:t> </w:t>
      </w:r>
      <w:r>
        <w:rPr>
          <w:color w:val="231F1F"/>
        </w:rPr>
        <w:t>en</w:t>
      </w:r>
      <w:r>
        <w:rPr>
          <w:color w:val="231F1F"/>
          <w:spacing w:val="-1"/>
        </w:rPr>
        <w:t> </w:t>
      </w:r>
      <w:r>
        <w:rPr>
          <w:color w:val="231F1F"/>
        </w:rPr>
        <w:t>admisión: Amnioscopia</w:t>
      </w:r>
      <w:r>
        <w:rPr>
          <w:color w:val="231F1F"/>
          <w:spacing w:val="-1"/>
        </w:rPr>
        <w:t> </w:t>
      </w:r>
      <w:r>
        <w:rPr>
          <w:color w:val="231F1F"/>
        </w:rPr>
        <w:t>y </w:t>
      </w:r>
      <w:r>
        <w:rPr>
          <w:color w:val="231F1F"/>
          <w:spacing w:val="-5"/>
        </w:rPr>
        <w:t>CTG</w:t>
      </w:r>
    </w:p>
    <w:p>
      <w:pPr>
        <w:pStyle w:val="BodyText"/>
        <w:spacing w:line="249" w:lineRule="auto" w:before="224"/>
        <w:ind w:left="283" w:right="119"/>
        <w:jc w:val="both"/>
      </w:pPr>
      <w:r>
        <w:rPr>
          <w:color w:val="231F1F"/>
          <w:w w:val="105"/>
        </w:rPr>
        <w:t>La realización de un registro cardiotocográfico cuando las mujeres acuden a la maternidad por</w:t>
      </w:r>
      <w:r>
        <w:rPr>
          <w:color w:val="231F1F"/>
          <w:w w:val="105"/>
        </w:rPr>
        <w:t> sospecha</w:t>
      </w:r>
      <w:r>
        <w:rPr>
          <w:color w:val="231F1F"/>
          <w:w w:val="105"/>
        </w:rPr>
        <w:t> de</w:t>
      </w:r>
      <w:r>
        <w:rPr>
          <w:color w:val="231F1F"/>
          <w:w w:val="105"/>
        </w:rPr>
        <w:t> inicio</w:t>
      </w:r>
      <w:r>
        <w:rPr>
          <w:color w:val="231F1F"/>
          <w:w w:val="105"/>
        </w:rPr>
        <w:t> de</w:t>
      </w:r>
      <w:r>
        <w:rPr>
          <w:color w:val="231F1F"/>
          <w:w w:val="105"/>
        </w:rPr>
        <w:t> parto</w:t>
      </w:r>
      <w:r>
        <w:rPr>
          <w:color w:val="231F1F"/>
          <w:w w:val="105"/>
        </w:rPr>
        <w:t> es</w:t>
      </w:r>
      <w:r>
        <w:rPr>
          <w:color w:val="231F1F"/>
          <w:w w:val="105"/>
        </w:rPr>
        <w:t> una</w:t>
      </w:r>
      <w:r>
        <w:rPr>
          <w:color w:val="231F1F"/>
          <w:w w:val="105"/>
        </w:rPr>
        <w:t> práctica</w:t>
      </w:r>
      <w:r>
        <w:rPr>
          <w:color w:val="231F1F"/>
          <w:w w:val="105"/>
        </w:rPr>
        <w:t> muy</w:t>
      </w:r>
      <w:r>
        <w:rPr>
          <w:color w:val="231F1F"/>
          <w:w w:val="105"/>
        </w:rPr>
        <w:t> extendida.</w:t>
      </w:r>
      <w:r>
        <w:rPr>
          <w:color w:val="231F1F"/>
          <w:w w:val="105"/>
        </w:rPr>
        <w:t> A</w:t>
      </w:r>
      <w:r>
        <w:rPr>
          <w:color w:val="231F1F"/>
          <w:w w:val="105"/>
        </w:rPr>
        <w:t> pesar</w:t>
      </w:r>
      <w:r>
        <w:rPr>
          <w:color w:val="231F1F"/>
          <w:w w:val="105"/>
        </w:rPr>
        <w:t> de</w:t>
      </w:r>
      <w:r>
        <w:rPr>
          <w:color w:val="231F1F"/>
          <w:w w:val="105"/>
        </w:rPr>
        <w:t> la</w:t>
      </w:r>
      <w:r>
        <w:rPr>
          <w:color w:val="231F1F"/>
          <w:w w:val="105"/>
        </w:rPr>
        <w:t> evidencia disponible, será difícil abandonar su realización, sobre todo cuando la mujer no se encuen- tre</w:t>
      </w:r>
      <w:r>
        <w:rPr>
          <w:color w:val="231F1F"/>
          <w:spacing w:val="40"/>
          <w:w w:val="105"/>
        </w:rPr>
        <w:t> </w:t>
      </w:r>
      <w:r>
        <w:rPr>
          <w:color w:val="231F1F"/>
          <w:w w:val="105"/>
        </w:rPr>
        <w:t>en</w:t>
      </w:r>
      <w:r>
        <w:rPr>
          <w:color w:val="231F1F"/>
          <w:spacing w:val="40"/>
          <w:w w:val="105"/>
        </w:rPr>
        <w:t> </w:t>
      </w:r>
      <w:r>
        <w:rPr>
          <w:color w:val="231F1F"/>
          <w:w w:val="105"/>
        </w:rPr>
        <w:t>fase</w:t>
      </w:r>
      <w:r>
        <w:rPr>
          <w:color w:val="231F1F"/>
          <w:spacing w:val="40"/>
          <w:w w:val="105"/>
        </w:rPr>
        <w:t> </w:t>
      </w:r>
      <w:r>
        <w:rPr>
          <w:color w:val="231F1F"/>
          <w:w w:val="105"/>
        </w:rPr>
        <w:t>activa</w:t>
      </w:r>
      <w:r>
        <w:rPr>
          <w:color w:val="231F1F"/>
          <w:spacing w:val="40"/>
          <w:w w:val="105"/>
        </w:rPr>
        <w:t> </w:t>
      </w:r>
      <w:r>
        <w:rPr>
          <w:color w:val="231F1F"/>
          <w:w w:val="105"/>
        </w:rPr>
        <w:t>de</w:t>
      </w:r>
      <w:r>
        <w:rPr>
          <w:color w:val="231F1F"/>
          <w:spacing w:val="40"/>
          <w:w w:val="105"/>
        </w:rPr>
        <w:t> </w:t>
      </w:r>
      <w:r>
        <w:rPr>
          <w:color w:val="231F1F"/>
          <w:w w:val="105"/>
        </w:rPr>
        <w:t>parto</w:t>
      </w:r>
      <w:r>
        <w:rPr>
          <w:color w:val="231F1F"/>
          <w:spacing w:val="40"/>
          <w:w w:val="105"/>
        </w:rPr>
        <w:t> </w:t>
      </w:r>
      <w:r>
        <w:rPr>
          <w:color w:val="231F1F"/>
          <w:w w:val="105"/>
        </w:rPr>
        <w:t>y</w:t>
      </w:r>
      <w:r>
        <w:rPr>
          <w:color w:val="231F1F"/>
          <w:spacing w:val="40"/>
          <w:w w:val="105"/>
        </w:rPr>
        <w:t> </w:t>
      </w:r>
      <w:r>
        <w:rPr>
          <w:color w:val="231F1F"/>
          <w:w w:val="105"/>
        </w:rPr>
        <w:t>no</w:t>
      </w:r>
      <w:r>
        <w:rPr>
          <w:color w:val="231F1F"/>
          <w:spacing w:val="40"/>
          <w:w w:val="105"/>
        </w:rPr>
        <w:t> </w:t>
      </w:r>
      <w:r>
        <w:rPr>
          <w:color w:val="231F1F"/>
          <w:w w:val="105"/>
        </w:rPr>
        <w:t>se</w:t>
      </w:r>
      <w:r>
        <w:rPr>
          <w:color w:val="231F1F"/>
          <w:spacing w:val="40"/>
          <w:w w:val="105"/>
        </w:rPr>
        <w:t> </w:t>
      </w:r>
      <w:r>
        <w:rPr>
          <w:color w:val="231F1F"/>
          <w:w w:val="105"/>
        </w:rPr>
        <w:t>proceda</w:t>
      </w:r>
      <w:r>
        <w:rPr>
          <w:color w:val="231F1F"/>
          <w:spacing w:val="40"/>
          <w:w w:val="105"/>
        </w:rPr>
        <w:t> </w:t>
      </w:r>
      <w:r>
        <w:rPr>
          <w:color w:val="231F1F"/>
          <w:w w:val="105"/>
        </w:rPr>
        <w:t>a</w:t>
      </w:r>
      <w:r>
        <w:rPr>
          <w:color w:val="231F1F"/>
          <w:spacing w:val="40"/>
          <w:w w:val="105"/>
        </w:rPr>
        <w:t> </w:t>
      </w:r>
      <w:r>
        <w:rPr>
          <w:color w:val="231F1F"/>
          <w:w w:val="105"/>
        </w:rPr>
        <w:t>su</w:t>
      </w:r>
      <w:r>
        <w:rPr>
          <w:color w:val="231F1F"/>
          <w:spacing w:val="40"/>
          <w:w w:val="105"/>
        </w:rPr>
        <w:t> </w:t>
      </w:r>
      <w:r>
        <w:rPr>
          <w:color w:val="231F1F"/>
          <w:w w:val="105"/>
        </w:rPr>
        <w:t>ingreso.</w:t>
      </w:r>
    </w:p>
    <w:p>
      <w:pPr>
        <w:pStyle w:val="BodyText"/>
        <w:spacing w:before="192"/>
      </w:pPr>
    </w:p>
    <w:p>
      <w:pPr>
        <w:spacing w:before="0"/>
        <w:ind w:left="283" w:right="0" w:firstLine="0"/>
        <w:jc w:val="left"/>
        <w:rPr>
          <w:rFonts w:ascii="Arial MT"/>
          <w:sz w:val="24"/>
        </w:rPr>
      </w:pPr>
      <w:r>
        <w:rPr>
          <w:rFonts w:ascii="Arial MT"/>
          <w:color w:val="231F1F"/>
          <w:sz w:val="24"/>
        </w:rPr>
        <w:t>Segunda</w:t>
      </w:r>
      <w:r>
        <w:rPr>
          <w:rFonts w:ascii="Arial MT"/>
          <w:color w:val="231F1F"/>
          <w:spacing w:val="16"/>
          <w:sz w:val="24"/>
        </w:rPr>
        <w:t> </w:t>
      </w:r>
      <w:r>
        <w:rPr>
          <w:rFonts w:ascii="Arial MT"/>
          <w:color w:val="231F1F"/>
          <w:sz w:val="24"/>
        </w:rPr>
        <w:t>etapa</w:t>
      </w:r>
      <w:r>
        <w:rPr>
          <w:rFonts w:ascii="Arial MT"/>
          <w:color w:val="231F1F"/>
          <w:spacing w:val="18"/>
          <w:sz w:val="24"/>
        </w:rPr>
        <w:t> </w:t>
      </w:r>
      <w:r>
        <w:rPr>
          <w:rFonts w:ascii="Arial MT"/>
          <w:color w:val="231F1F"/>
          <w:sz w:val="24"/>
        </w:rPr>
        <w:t>del</w:t>
      </w:r>
      <w:r>
        <w:rPr>
          <w:rFonts w:ascii="Arial MT"/>
          <w:color w:val="231F1F"/>
          <w:spacing w:val="17"/>
          <w:sz w:val="24"/>
        </w:rPr>
        <w:t> </w:t>
      </w:r>
      <w:r>
        <w:rPr>
          <w:rFonts w:ascii="Arial MT"/>
          <w:color w:val="231F1F"/>
          <w:spacing w:val="-2"/>
          <w:sz w:val="24"/>
        </w:rPr>
        <w:t>parto</w:t>
      </w:r>
    </w:p>
    <w:p>
      <w:pPr>
        <w:pStyle w:val="Heading5"/>
        <w:spacing w:before="233"/>
      </w:pPr>
      <w:r>
        <w:rPr>
          <w:color w:val="231F1F"/>
        </w:rPr>
        <w:t>Definición</w:t>
      </w:r>
      <w:r>
        <w:rPr>
          <w:color w:val="231F1F"/>
          <w:spacing w:val="-9"/>
        </w:rPr>
        <w:t> </w:t>
      </w:r>
      <w:r>
        <w:rPr>
          <w:color w:val="231F1F"/>
        </w:rPr>
        <w:t>de</w:t>
      </w:r>
      <w:r>
        <w:rPr>
          <w:color w:val="231F1F"/>
          <w:spacing w:val="-4"/>
        </w:rPr>
        <w:t> </w:t>
      </w:r>
      <w:r>
        <w:rPr>
          <w:color w:val="231F1F"/>
        </w:rPr>
        <w:t>la</w:t>
      </w:r>
      <w:r>
        <w:rPr>
          <w:color w:val="231F1F"/>
          <w:spacing w:val="-3"/>
        </w:rPr>
        <w:t> </w:t>
      </w:r>
      <w:r>
        <w:rPr>
          <w:color w:val="231F1F"/>
        </w:rPr>
        <w:t>segunda</w:t>
      </w:r>
      <w:r>
        <w:rPr>
          <w:color w:val="231F1F"/>
          <w:spacing w:val="-6"/>
        </w:rPr>
        <w:t> </w:t>
      </w:r>
      <w:r>
        <w:rPr>
          <w:color w:val="231F1F"/>
        </w:rPr>
        <w:t>etapa</w:t>
      </w:r>
      <w:r>
        <w:rPr>
          <w:color w:val="231F1F"/>
          <w:spacing w:val="-4"/>
        </w:rPr>
        <w:t> </w:t>
      </w:r>
      <w:r>
        <w:rPr>
          <w:color w:val="231F1F"/>
        </w:rPr>
        <w:t>del</w:t>
      </w:r>
      <w:r>
        <w:rPr>
          <w:color w:val="231F1F"/>
          <w:spacing w:val="-4"/>
        </w:rPr>
        <w:t> </w:t>
      </w:r>
      <w:r>
        <w:rPr>
          <w:color w:val="231F1F"/>
          <w:spacing w:val="-2"/>
        </w:rPr>
        <w:t>parto</w:t>
      </w:r>
    </w:p>
    <w:p>
      <w:pPr>
        <w:pStyle w:val="BodyText"/>
        <w:spacing w:before="214"/>
        <w:ind w:left="283" w:right="126"/>
        <w:jc w:val="both"/>
      </w:pPr>
      <w:r>
        <w:rPr>
          <w:color w:val="231F1F"/>
          <w:w w:val="110"/>
        </w:rPr>
        <w:t>Se</w:t>
      </w:r>
      <w:r>
        <w:rPr>
          <w:color w:val="231F1F"/>
          <w:spacing w:val="-7"/>
          <w:w w:val="110"/>
        </w:rPr>
        <w:t> </w:t>
      </w:r>
      <w:r>
        <w:rPr>
          <w:color w:val="231F1F"/>
          <w:w w:val="110"/>
        </w:rPr>
        <w:t>identifica</w:t>
      </w:r>
      <w:r>
        <w:rPr>
          <w:color w:val="231F1F"/>
          <w:spacing w:val="-7"/>
          <w:w w:val="110"/>
        </w:rPr>
        <w:t> </w:t>
      </w:r>
      <w:r>
        <w:rPr>
          <w:color w:val="231F1F"/>
          <w:w w:val="110"/>
        </w:rPr>
        <w:t>la</w:t>
      </w:r>
      <w:r>
        <w:rPr>
          <w:color w:val="231F1F"/>
          <w:spacing w:val="-7"/>
          <w:w w:val="110"/>
        </w:rPr>
        <w:t> </w:t>
      </w:r>
      <w:r>
        <w:rPr>
          <w:color w:val="231F1F"/>
          <w:w w:val="110"/>
        </w:rPr>
        <w:t>necesidad</w:t>
      </w:r>
      <w:r>
        <w:rPr>
          <w:color w:val="231F1F"/>
          <w:spacing w:val="-7"/>
          <w:w w:val="110"/>
        </w:rPr>
        <w:t> </w:t>
      </w:r>
      <w:r>
        <w:rPr>
          <w:color w:val="231F1F"/>
          <w:w w:val="110"/>
        </w:rPr>
        <w:t>de</w:t>
      </w:r>
      <w:r>
        <w:rPr>
          <w:color w:val="231F1F"/>
          <w:spacing w:val="-7"/>
          <w:w w:val="110"/>
        </w:rPr>
        <w:t> </w:t>
      </w:r>
      <w:r>
        <w:rPr>
          <w:color w:val="231F1F"/>
          <w:w w:val="110"/>
        </w:rPr>
        <w:t>promover</w:t>
      </w:r>
      <w:r>
        <w:rPr>
          <w:color w:val="231F1F"/>
          <w:spacing w:val="-7"/>
          <w:w w:val="110"/>
        </w:rPr>
        <w:t> </w:t>
      </w:r>
      <w:r>
        <w:rPr>
          <w:color w:val="231F1F"/>
          <w:w w:val="110"/>
        </w:rPr>
        <w:t>un</w:t>
      </w:r>
      <w:r>
        <w:rPr>
          <w:color w:val="231F1F"/>
          <w:spacing w:val="-7"/>
          <w:w w:val="110"/>
        </w:rPr>
        <w:t> </w:t>
      </w:r>
      <w:r>
        <w:rPr>
          <w:color w:val="231F1F"/>
          <w:w w:val="110"/>
        </w:rPr>
        <w:t>mejor</w:t>
      </w:r>
      <w:r>
        <w:rPr>
          <w:color w:val="231F1F"/>
          <w:spacing w:val="-7"/>
          <w:w w:val="110"/>
        </w:rPr>
        <w:t> </w:t>
      </w:r>
      <w:r>
        <w:rPr>
          <w:color w:val="231F1F"/>
          <w:w w:val="110"/>
        </w:rPr>
        <w:t>conocimiento</w:t>
      </w:r>
      <w:r>
        <w:rPr>
          <w:color w:val="231F1F"/>
          <w:spacing w:val="-7"/>
          <w:w w:val="110"/>
        </w:rPr>
        <w:t> </w:t>
      </w:r>
      <w:r>
        <w:rPr>
          <w:color w:val="231F1F"/>
          <w:w w:val="110"/>
        </w:rPr>
        <w:t>por</w:t>
      </w:r>
      <w:r>
        <w:rPr>
          <w:color w:val="231F1F"/>
          <w:spacing w:val="-7"/>
          <w:w w:val="110"/>
        </w:rPr>
        <w:t> </w:t>
      </w:r>
      <w:r>
        <w:rPr>
          <w:color w:val="231F1F"/>
          <w:w w:val="110"/>
        </w:rPr>
        <w:t>parte</w:t>
      </w:r>
      <w:r>
        <w:rPr>
          <w:color w:val="231F1F"/>
          <w:spacing w:val="-7"/>
          <w:w w:val="110"/>
        </w:rPr>
        <w:t> </w:t>
      </w:r>
      <w:r>
        <w:rPr>
          <w:color w:val="231F1F"/>
          <w:w w:val="110"/>
        </w:rPr>
        <w:t>de</w:t>
      </w:r>
      <w:r>
        <w:rPr>
          <w:color w:val="231F1F"/>
          <w:spacing w:val="-7"/>
          <w:w w:val="110"/>
        </w:rPr>
        <w:t> </w:t>
      </w:r>
      <w:r>
        <w:rPr>
          <w:color w:val="231F1F"/>
          <w:w w:val="110"/>
        </w:rPr>
        <w:t>los</w:t>
      </w:r>
      <w:r>
        <w:rPr>
          <w:color w:val="231F1F"/>
          <w:spacing w:val="-7"/>
          <w:w w:val="110"/>
        </w:rPr>
        <w:t> </w:t>
      </w:r>
      <w:r>
        <w:rPr>
          <w:color w:val="231F1F"/>
          <w:w w:val="110"/>
        </w:rPr>
        <w:t>profesio- nales de la existencia de la fase latente de la segunda etapa del parto.</w:t>
      </w:r>
    </w:p>
    <w:p>
      <w:pPr>
        <w:pStyle w:val="BodyText"/>
        <w:spacing w:before="171"/>
      </w:pPr>
    </w:p>
    <w:p>
      <w:pPr>
        <w:pStyle w:val="Heading5"/>
        <w:spacing w:before="1"/>
      </w:pPr>
      <w:r>
        <w:rPr>
          <w:color w:val="231F1F"/>
        </w:rPr>
        <w:t>Posición</w:t>
      </w:r>
      <w:r>
        <w:rPr>
          <w:color w:val="231F1F"/>
          <w:spacing w:val="-9"/>
        </w:rPr>
        <w:t> </w:t>
      </w:r>
      <w:r>
        <w:rPr>
          <w:color w:val="231F1F"/>
        </w:rPr>
        <w:t>de</w:t>
      </w:r>
      <w:r>
        <w:rPr>
          <w:color w:val="231F1F"/>
          <w:spacing w:val="-5"/>
        </w:rPr>
        <w:t> </w:t>
      </w:r>
      <w:r>
        <w:rPr>
          <w:color w:val="231F1F"/>
        </w:rPr>
        <w:t>la</w:t>
      </w:r>
      <w:r>
        <w:rPr>
          <w:color w:val="231F1F"/>
          <w:spacing w:val="-3"/>
        </w:rPr>
        <w:t> </w:t>
      </w:r>
      <w:r>
        <w:rPr>
          <w:color w:val="231F1F"/>
        </w:rPr>
        <w:t>mujer</w:t>
      </w:r>
      <w:r>
        <w:rPr>
          <w:color w:val="231F1F"/>
          <w:spacing w:val="-5"/>
        </w:rPr>
        <w:t> </w:t>
      </w:r>
      <w:r>
        <w:rPr>
          <w:color w:val="231F1F"/>
        </w:rPr>
        <w:t>durante</w:t>
      </w:r>
      <w:r>
        <w:rPr>
          <w:color w:val="231F1F"/>
          <w:spacing w:val="-4"/>
        </w:rPr>
        <w:t> </w:t>
      </w:r>
      <w:r>
        <w:rPr>
          <w:color w:val="231F1F"/>
        </w:rPr>
        <w:t>la</w:t>
      </w:r>
      <w:r>
        <w:rPr>
          <w:color w:val="231F1F"/>
          <w:spacing w:val="-6"/>
        </w:rPr>
        <w:t> </w:t>
      </w:r>
      <w:r>
        <w:rPr>
          <w:color w:val="231F1F"/>
        </w:rPr>
        <w:t>segunda</w:t>
      </w:r>
      <w:r>
        <w:rPr>
          <w:color w:val="231F1F"/>
          <w:spacing w:val="-5"/>
        </w:rPr>
        <w:t> </w:t>
      </w:r>
      <w:r>
        <w:rPr>
          <w:color w:val="231F1F"/>
        </w:rPr>
        <w:t>etapa</w:t>
      </w:r>
      <w:r>
        <w:rPr>
          <w:color w:val="231F1F"/>
          <w:spacing w:val="-6"/>
        </w:rPr>
        <w:t> </w:t>
      </w:r>
      <w:r>
        <w:rPr>
          <w:color w:val="231F1F"/>
        </w:rPr>
        <w:t>del</w:t>
      </w:r>
      <w:r>
        <w:rPr>
          <w:color w:val="231F1F"/>
          <w:spacing w:val="-5"/>
        </w:rPr>
        <w:t> </w:t>
      </w:r>
      <w:r>
        <w:rPr>
          <w:color w:val="231F1F"/>
          <w:spacing w:val="-2"/>
        </w:rPr>
        <w:t>parto</w:t>
      </w:r>
    </w:p>
    <w:p>
      <w:pPr>
        <w:pStyle w:val="BodyText"/>
        <w:spacing w:line="278" w:lineRule="auto" w:before="204"/>
        <w:ind w:left="283" w:right="124"/>
        <w:jc w:val="both"/>
      </w:pPr>
      <w:r>
        <w:rPr>
          <w:color w:val="231F1F"/>
          <w:w w:val="110"/>
        </w:rPr>
        <w:t>Se</w:t>
      </w:r>
      <w:r>
        <w:rPr>
          <w:color w:val="231F1F"/>
          <w:spacing w:val="-15"/>
          <w:w w:val="110"/>
        </w:rPr>
        <w:t> </w:t>
      </w:r>
      <w:r>
        <w:rPr>
          <w:color w:val="231F1F"/>
          <w:w w:val="110"/>
        </w:rPr>
        <w:t>identifica</w:t>
      </w:r>
      <w:r>
        <w:rPr>
          <w:color w:val="231F1F"/>
          <w:spacing w:val="-14"/>
          <w:w w:val="110"/>
        </w:rPr>
        <w:t> </w:t>
      </w:r>
      <w:r>
        <w:rPr>
          <w:color w:val="231F1F"/>
          <w:w w:val="110"/>
        </w:rPr>
        <w:t>la</w:t>
      </w:r>
      <w:r>
        <w:rPr>
          <w:color w:val="231F1F"/>
          <w:spacing w:val="-14"/>
          <w:w w:val="110"/>
        </w:rPr>
        <w:t> </w:t>
      </w:r>
      <w:r>
        <w:rPr>
          <w:color w:val="231F1F"/>
          <w:w w:val="110"/>
        </w:rPr>
        <w:t>necesidad</w:t>
      </w:r>
      <w:r>
        <w:rPr>
          <w:color w:val="231F1F"/>
          <w:spacing w:val="-14"/>
          <w:w w:val="110"/>
        </w:rPr>
        <w:t> </w:t>
      </w:r>
      <w:r>
        <w:rPr>
          <w:color w:val="231F1F"/>
          <w:w w:val="110"/>
        </w:rPr>
        <w:t>de</w:t>
      </w:r>
      <w:r>
        <w:rPr>
          <w:color w:val="231F1F"/>
          <w:spacing w:val="-14"/>
          <w:w w:val="110"/>
        </w:rPr>
        <w:t> </w:t>
      </w:r>
      <w:r>
        <w:rPr>
          <w:color w:val="231F1F"/>
          <w:w w:val="110"/>
        </w:rPr>
        <w:t>dotar</w:t>
      </w:r>
      <w:r>
        <w:rPr>
          <w:color w:val="231F1F"/>
          <w:spacing w:val="-15"/>
          <w:w w:val="110"/>
        </w:rPr>
        <w:t> </w:t>
      </w:r>
      <w:r>
        <w:rPr>
          <w:color w:val="231F1F"/>
          <w:w w:val="110"/>
        </w:rPr>
        <w:t>a</w:t>
      </w:r>
      <w:r>
        <w:rPr>
          <w:color w:val="231F1F"/>
          <w:spacing w:val="-14"/>
          <w:w w:val="110"/>
        </w:rPr>
        <w:t> </w:t>
      </w:r>
      <w:r>
        <w:rPr>
          <w:color w:val="231F1F"/>
          <w:w w:val="110"/>
        </w:rPr>
        <w:t>las</w:t>
      </w:r>
      <w:r>
        <w:rPr>
          <w:color w:val="231F1F"/>
          <w:spacing w:val="-15"/>
          <w:w w:val="110"/>
        </w:rPr>
        <w:t> </w:t>
      </w:r>
      <w:r>
        <w:rPr>
          <w:color w:val="231F1F"/>
          <w:w w:val="110"/>
        </w:rPr>
        <w:t>maternidades</w:t>
      </w:r>
      <w:r>
        <w:rPr>
          <w:color w:val="231F1F"/>
          <w:spacing w:val="-14"/>
          <w:w w:val="110"/>
        </w:rPr>
        <w:t> </w:t>
      </w:r>
      <w:r>
        <w:rPr>
          <w:color w:val="231F1F"/>
          <w:w w:val="110"/>
        </w:rPr>
        <w:t>hospitalarias</w:t>
      </w:r>
      <w:r>
        <w:rPr>
          <w:color w:val="231F1F"/>
          <w:spacing w:val="-15"/>
          <w:w w:val="110"/>
        </w:rPr>
        <w:t> </w:t>
      </w:r>
      <w:r>
        <w:rPr>
          <w:color w:val="231F1F"/>
          <w:w w:val="110"/>
        </w:rPr>
        <w:t>de</w:t>
      </w:r>
      <w:r>
        <w:rPr>
          <w:color w:val="231F1F"/>
          <w:spacing w:val="-14"/>
          <w:w w:val="110"/>
        </w:rPr>
        <w:t> </w:t>
      </w:r>
      <w:r>
        <w:rPr>
          <w:color w:val="231F1F"/>
          <w:w w:val="110"/>
        </w:rPr>
        <w:t>mobiliario</w:t>
      </w:r>
      <w:r>
        <w:rPr>
          <w:color w:val="231F1F"/>
          <w:spacing w:val="-14"/>
          <w:w w:val="110"/>
        </w:rPr>
        <w:t> </w:t>
      </w:r>
      <w:r>
        <w:rPr>
          <w:color w:val="231F1F"/>
          <w:w w:val="110"/>
        </w:rPr>
        <w:t>que</w:t>
      </w:r>
      <w:r>
        <w:rPr>
          <w:color w:val="231F1F"/>
          <w:spacing w:val="-15"/>
          <w:w w:val="110"/>
        </w:rPr>
        <w:t> </w:t>
      </w:r>
      <w:r>
        <w:rPr>
          <w:color w:val="231F1F"/>
          <w:w w:val="110"/>
        </w:rPr>
        <w:t>per- mitan a la mujer adoptar las diferentes posiciones durante el expulsivo</w:t>
      </w:r>
    </w:p>
    <w:p>
      <w:pPr>
        <w:pStyle w:val="BodyText"/>
        <w:spacing w:before="158"/>
      </w:pPr>
    </w:p>
    <w:p>
      <w:pPr>
        <w:spacing w:before="0"/>
        <w:ind w:left="283" w:right="0" w:firstLine="0"/>
        <w:jc w:val="left"/>
        <w:rPr>
          <w:rFonts w:ascii="Arial MT"/>
          <w:sz w:val="24"/>
        </w:rPr>
      </w:pPr>
      <w:r>
        <w:rPr>
          <w:rFonts w:ascii="Arial MT"/>
          <w:color w:val="231F1F"/>
          <w:sz w:val="24"/>
        </w:rPr>
        <w:t>Alumbramiento:</w:t>
      </w:r>
      <w:r>
        <w:rPr>
          <w:rFonts w:ascii="Arial MT"/>
          <w:color w:val="231F1F"/>
          <w:spacing w:val="28"/>
          <w:sz w:val="24"/>
        </w:rPr>
        <w:t> </w:t>
      </w:r>
      <w:r>
        <w:rPr>
          <w:rFonts w:ascii="Arial MT"/>
          <w:color w:val="231F1F"/>
          <w:sz w:val="24"/>
        </w:rPr>
        <w:t>tercera</w:t>
      </w:r>
      <w:r>
        <w:rPr>
          <w:rFonts w:ascii="Arial MT"/>
          <w:color w:val="231F1F"/>
          <w:spacing w:val="30"/>
          <w:sz w:val="24"/>
        </w:rPr>
        <w:t> </w:t>
      </w:r>
      <w:r>
        <w:rPr>
          <w:rFonts w:ascii="Arial MT"/>
          <w:color w:val="231F1F"/>
          <w:sz w:val="24"/>
        </w:rPr>
        <w:t>etapa</w:t>
      </w:r>
      <w:r>
        <w:rPr>
          <w:rFonts w:ascii="Arial MT"/>
          <w:color w:val="231F1F"/>
          <w:spacing w:val="30"/>
          <w:sz w:val="24"/>
        </w:rPr>
        <w:t> </w:t>
      </w:r>
      <w:r>
        <w:rPr>
          <w:rFonts w:ascii="Arial MT"/>
          <w:color w:val="231F1F"/>
          <w:sz w:val="24"/>
        </w:rPr>
        <w:t>del</w:t>
      </w:r>
      <w:r>
        <w:rPr>
          <w:rFonts w:ascii="Arial MT"/>
          <w:color w:val="231F1F"/>
          <w:spacing w:val="28"/>
          <w:sz w:val="24"/>
        </w:rPr>
        <w:t> </w:t>
      </w:r>
      <w:r>
        <w:rPr>
          <w:rFonts w:ascii="Arial MT"/>
          <w:color w:val="231F1F"/>
          <w:spacing w:val="-2"/>
          <w:sz w:val="24"/>
        </w:rPr>
        <w:t>parto</w:t>
      </w:r>
    </w:p>
    <w:p>
      <w:pPr>
        <w:pStyle w:val="Heading5"/>
        <w:spacing w:before="233"/>
      </w:pPr>
      <w:r>
        <w:rPr>
          <w:color w:val="231F1F"/>
        </w:rPr>
        <w:t>Manejo</w:t>
      </w:r>
      <w:r>
        <w:rPr>
          <w:color w:val="231F1F"/>
          <w:spacing w:val="-4"/>
        </w:rPr>
        <w:t> </w:t>
      </w:r>
      <w:r>
        <w:rPr>
          <w:color w:val="231F1F"/>
        </w:rPr>
        <w:t>del</w:t>
      </w:r>
      <w:r>
        <w:rPr>
          <w:color w:val="231F1F"/>
          <w:spacing w:val="-3"/>
        </w:rPr>
        <w:t> </w:t>
      </w:r>
      <w:r>
        <w:rPr>
          <w:color w:val="231F1F"/>
          <w:spacing w:val="-2"/>
        </w:rPr>
        <w:t>alumbramiento</w:t>
      </w:r>
    </w:p>
    <w:p>
      <w:pPr>
        <w:pStyle w:val="BodyText"/>
        <w:spacing w:before="204"/>
        <w:ind w:left="283"/>
        <w:jc w:val="both"/>
      </w:pPr>
      <w:r>
        <w:rPr>
          <w:color w:val="231F1F"/>
          <w:w w:val="105"/>
        </w:rPr>
        <w:t>En</w:t>
      </w:r>
      <w:r>
        <w:rPr>
          <w:color w:val="231F1F"/>
          <w:spacing w:val="3"/>
          <w:w w:val="105"/>
        </w:rPr>
        <w:t> </w:t>
      </w:r>
      <w:r>
        <w:rPr>
          <w:color w:val="231F1F"/>
          <w:w w:val="105"/>
        </w:rPr>
        <w:t>la</w:t>
      </w:r>
      <w:r>
        <w:rPr>
          <w:color w:val="231F1F"/>
          <w:spacing w:val="3"/>
          <w:w w:val="105"/>
        </w:rPr>
        <w:t> </w:t>
      </w:r>
      <w:r>
        <w:rPr>
          <w:color w:val="231F1F"/>
          <w:w w:val="105"/>
        </w:rPr>
        <w:t>hoja</w:t>
      </w:r>
      <w:r>
        <w:rPr>
          <w:color w:val="231F1F"/>
          <w:spacing w:val="3"/>
          <w:w w:val="105"/>
        </w:rPr>
        <w:t> </w:t>
      </w:r>
      <w:r>
        <w:rPr>
          <w:color w:val="231F1F"/>
          <w:w w:val="105"/>
        </w:rPr>
        <w:t>de</w:t>
      </w:r>
      <w:r>
        <w:rPr>
          <w:color w:val="231F1F"/>
          <w:spacing w:val="1"/>
          <w:w w:val="105"/>
        </w:rPr>
        <w:t> </w:t>
      </w:r>
      <w:r>
        <w:rPr>
          <w:color w:val="231F1F"/>
          <w:w w:val="105"/>
        </w:rPr>
        <w:t>acogida</w:t>
      </w:r>
      <w:r>
        <w:rPr>
          <w:color w:val="231F1F"/>
          <w:spacing w:val="5"/>
          <w:w w:val="105"/>
        </w:rPr>
        <w:t> </w:t>
      </w:r>
      <w:r>
        <w:rPr>
          <w:color w:val="231F1F"/>
          <w:w w:val="105"/>
        </w:rPr>
        <w:t>se</w:t>
      </w:r>
      <w:r>
        <w:rPr>
          <w:color w:val="231F1F"/>
          <w:spacing w:val="1"/>
          <w:w w:val="105"/>
        </w:rPr>
        <w:t> </w:t>
      </w:r>
      <w:r>
        <w:rPr>
          <w:color w:val="231F1F"/>
          <w:w w:val="105"/>
        </w:rPr>
        <w:t>debe</w:t>
      </w:r>
      <w:r>
        <w:rPr>
          <w:color w:val="231F1F"/>
          <w:spacing w:val="2"/>
          <w:w w:val="105"/>
        </w:rPr>
        <w:t> </w:t>
      </w:r>
      <w:r>
        <w:rPr>
          <w:color w:val="231F1F"/>
          <w:w w:val="105"/>
        </w:rPr>
        <w:t>informar</w:t>
      </w:r>
      <w:r>
        <w:rPr>
          <w:color w:val="231F1F"/>
          <w:spacing w:val="2"/>
          <w:w w:val="105"/>
        </w:rPr>
        <w:t> </w:t>
      </w:r>
      <w:r>
        <w:rPr>
          <w:color w:val="231F1F"/>
          <w:w w:val="105"/>
        </w:rPr>
        <w:t>sobre</w:t>
      </w:r>
      <w:r>
        <w:rPr>
          <w:color w:val="231F1F"/>
          <w:spacing w:val="1"/>
          <w:w w:val="105"/>
        </w:rPr>
        <w:t> </w:t>
      </w:r>
      <w:r>
        <w:rPr>
          <w:color w:val="231F1F"/>
          <w:w w:val="105"/>
        </w:rPr>
        <w:t>el</w:t>
      </w:r>
      <w:r>
        <w:rPr>
          <w:color w:val="231F1F"/>
          <w:spacing w:val="3"/>
          <w:w w:val="105"/>
        </w:rPr>
        <w:t> </w:t>
      </w:r>
      <w:r>
        <w:rPr>
          <w:color w:val="231F1F"/>
          <w:w w:val="105"/>
        </w:rPr>
        <w:t>manejo</w:t>
      </w:r>
      <w:r>
        <w:rPr>
          <w:color w:val="231F1F"/>
          <w:spacing w:val="2"/>
          <w:w w:val="105"/>
        </w:rPr>
        <w:t> </w:t>
      </w:r>
      <w:r>
        <w:rPr>
          <w:color w:val="231F1F"/>
          <w:w w:val="105"/>
        </w:rPr>
        <w:t>activo</w:t>
      </w:r>
      <w:r>
        <w:rPr>
          <w:color w:val="231F1F"/>
          <w:spacing w:val="5"/>
          <w:w w:val="105"/>
        </w:rPr>
        <w:t> </w:t>
      </w:r>
      <w:r>
        <w:rPr>
          <w:color w:val="231F1F"/>
          <w:w w:val="105"/>
        </w:rPr>
        <w:t>y</w:t>
      </w:r>
      <w:r>
        <w:rPr>
          <w:color w:val="231F1F"/>
          <w:spacing w:val="3"/>
          <w:w w:val="105"/>
        </w:rPr>
        <w:t> </w:t>
      </w:r>
      <w:r>
        <w:rPr>
          <w:color w:val="231F1F"/>
          <w:spacing w:val="-2"/>
          <w:w w:val="105"/>
        </w:rPr>
        <w:t>fisiológico.</w:t>
      </w:r>
    </w:p>
    <w:p>
      <w:pPr>
        <w:pStyle w:val="BodyText"/>
        <w:spacing w:line="249" w:lineRule="auto" w:before="155"/>
        <w:ind w:left="283" w:right="119" w:firstLine="453"/>
        <w:jc w:val="both"/>
      </w:pPr>
      <w:r>
        <w:rPr>
          <w:color w:val="231F1F"/>
          <w:w w:val="105"/>
        </w:rPr>
        <w:t>Las definiciones de las etapas del parto deben ser claras, a fin de garantizar que tanto las mujeres como los profesionales utilizan un mismo lenguaje que les permita comunicar- se de una manera efectiva.</w:t>
      </w:r>
    </w:p>
    <w:p>
      <w:pPr>
        <w:pStyle w:val="BodyText"/>
        <w:spacing w:after="0" w:line="249" w:lineRule="auto"/>
        <w:jc w:val="both"/>
        <w:sectPr>
          <w:pgSz w:w="11900" w:h="16840"/>
          <w:pgMar w:header="0" w:footer="622" w:top="1560" w:bottom="820" w:left="1417" w:right="1559"/>
        </w:sectPr>
      </w:pPr>
    </w:p>
    <w:p>
      <w:pPr>
        <w:spacing w:before="82"/>
        <w:ind w:left="283" w:right="0" w:firstLine="0"/>
        <w:jc w:val="left"/>
        <w:rPr>
          <w:rFonts w:ascii="Arial MT" w:hAnsi="Arial MT"/>
          <w:sz w:val="24"/>
        </w:rPr>
      </w:pPr>
      <w:r>
        <w:rPr>
          <w:rFonts w:ascii="Arial MT" w:hAnsi="Arial MT"/>
          <w:color w:val="231F1F"/>
          <w:sz w:val="24"/>
        </w:rPr>
        <w:t>Cuidados</w:t>
      </w:r>
      <w:r>
        <w:rPr>
          <w:rFonts w:ascii="Arial MT" w:hAnsi="Arial MT"/>
          <w:color w:val="231F1F"/>
          <w:spacing w:val="20"/>
          <w:sz w:val="24"/>
        </w:rPr>
        <w:t> </w:t>
      </w:r>
      <w:r>
        <w:rPr>
          <w:rFonts w:ascii="Arial MT" w:hAnsi="Arial MT"/>
          <w:color w:val="231F1F"/>
          <w:sz w:val="24"/>
        </w:rPr>
        <w:t>del</w:t>
      </w:r>
      <w:r>
        <w:rPr>
          <w:rFonts w:ascii="Arial MT" w:hAnsi="Arial MT"/>
          <w:color w:val="231F1F"/>
          <w:spacing w:val="21"/>
          <w:sz w:val="24"/>
        </w:rPr>
        <w:t> </w:t>
      </w:r>
      <w:r>
        <w:rPr>
          <w:rFonts w:ascii="Arial MT" w:hAnsi="Arial MT"/>
          <w:color w:val="231F1F"/>
          <w:sz w:val="24"/>
        </w:rPr>
        <w:t>Recién</w:t>
      </w:r>
      <w:r>
        <w:rPr>
          <w:rFonts w:ascii="Arial MT" w:hAnsi="Arial MT"/>
          <w:color w:val="231F1F"/>
          <w:spacing w:val="23"/>
          <w:sz w:val="24"/>
        </w:rPr>
        <w:t> </w:t>
      </w:r>
      <w:r>
        <w:rPr>
          <w:rFonts w:ascii="Arial MT" w:hAnsi="Arial MT"/>
          <w:color w:val="231F1F"/>
          <w:spacing w:val="-2"/>
          <w:sz w:val="24"/>
        </w:rPr>
        <w:t>Nacido</w:t>
      </w:r>
    </w:p>
    <w:p>
      <w:pPr>
        <w:pStyle w:val="Heading5"/>
        <w:spacing w:before="233"/>
      </w:pPr>
      <w:r>
        <w:rPr>
          <w:color w:val="231F1F"/>
        </w:rPr>
        <w:t>Contacto</w:t>
      </w:r>
      <w:r>
        <w:rPr>
          <w:color w:val="231F1F"/>
          <w:spacing w:val="8"/>
        </w:rPr>
        <w:t> </w:t>
      </w:r>
      <w:r>
        <w:rPr>
          <w:color w:val="231F1F"/>
        </w:rPr>
        <w:t>piel</w:t>
      </w:r>
      <w:r>
        <w:rPr>
          <w:color w:val="231F1F"/>
          <w:spacing w:val="11"/>
        </w:rPr>
        <w:t> </w:t>
      </w:r>
      <w:r>
        <w:rPr>
          <w:color w:val="231F1F"/>
        </w:rPr>
        <w:t>con</w:t>
      </w:r>
      <w:r>
        <w:rPr>
          <w:color w:val="231F1F"/>
          <w:spacing w:val="12"/>
        </w:rPr>
        <w:t> </w:t>
      </w:r>
      <w:r>
        <w:rPr>
          <w:color w:val="231F1F"/>
          <w:spacing w:val="-4"/>
        </w:rPr>
        <w:t>piel</w:t>
      </w:r>
    </w:p>
    <w:p>
      <w:pPr>
        <w:pStyle w:val="BodyText"/>
        <w:spacing w:line="244" w:lineRule="auto" w:before="214"/>
        <w:ind w:left="283" w:right="118"/>
        <w:jc w:val="both"/>
      </w:pPr>
      <w:r>
        <w:rPr>
          <w:color w:val="231F1F"/>
          <w:w w:val="110"/>
        </w:rPr>
        <w:t>Hay desconocimiento del procedimiento sobre contacto piel con piel entre los profesio- nales,</w:t>
      </w:r>
      <w:r>
        <w:rPr>
          <w:color w:val="231F1F"/>
          <w:spacing w:val="-2"/>
          <w:w w:val="110"/>
        </w:rPr>
        <w:t> </w:t>
      </w:r>
      <w:r>
        <w:rPr>
          <w:color w:val="231F1F"/>
          <w:w w:val="110"/>
        </w:rPr>
        <w:t>lo</w:t>
      </w:r>
      <w:r>
        <w:rPr>
          <w:color w:val="231F1F"/>
          <w:spacing w:val="-1"/>
          <w:w w:val="110"/>
        </w:rPr>
        <w:t> </w:t>
      </w:r>
      <w:r>
        <w:rPr>
          <w:color w:val="231F1F"/>
          <w:w w:val="110"/>
        </w:rPr>
        <w:t>que</w:t>
      </w:r>
      <w:r>
        <w:rPr>
          <w:color w:val="231F1F"/>
          <w:spacing w:val="-1"/>
          <w:w w:val="110"/>
        </w:rPr>
        <w:t> </w:t>
      </w:r>
      <w:r>
        <w:rPr>
          <w:color w:val="231F1F"/>
          <w:w w:val="110"/>
        </w:rPr>
        <w:t>implica</w:t>
      </w:r>
      <w:r>
        <w:rPr>
          <w:color w:val="231F1F"/>
          <w:spacing w:val="-1"/>
          <w:w w:val="110"/>
        </w:rPr>
        <w:t> </w:t>
      </w:r>
      <w:r>
        <w:rPr>
          <w:color w:val="231F1F"/>
          <w:w w:val="110"/>
        </w:rPr>
        <w:t>una</w:t>
      </w:r>
      <w:r>
        <w:rPr>
          <w:color w:val="231F1F"/>
          <w:spacing w:val="-1"/>
          <w:w w:val="110"/>
        </w:rPr>
        <w:t> </w:t>
      </w:r>
      <w:r>
        <w:rPr>
          <w:color w:val="231F1F"/>
          <w:w w:val="110"/>
        </w:rPr>
        <w:t>barrera</w:t>
      </w:r>
      <w:r>
        <w:rPr>
          <w:color w:val="231F1F"/>
          <w:spacing w:val="-2"/>
          <w:w w:val="110"/>
        </w:rPr>
        <w:t> </w:t>
      </w:r>
      <w:r>
        <w:rPr>
          <w:color w:val="231F1F"/>
          <w:w w:val="110"/>
        </w:rPr>
        <w:t>a</w:t>
      </w:r>
      <w:r>
        <w:rPr>
          <w:color w:val="231F1F"/>
          <w:spacing w:val="-1"/>
          <w:w w:val="110"/>
        </w:rPr>
        <w:t> </w:t>
      </w:r>
      <w:r>
        <w:rPr>
          <w:color w:val="231F1F"/>
          <w:w w:val="110"/>
        </w:rPr>
        <w:t>la</w:t>
      </w:r>
      <w:r>
        <w:rPr>
          <w:color w:val="231F1F"/>
          <w:spacing w:val="-1"/>
          <w:w w:val="110"/>
        </w:rPr>
        <w:t> </w:t>
      </w:r>
      <w:r>
        <w:rPr>
          <w:color w:val="231F1F"/>
          <w:w w:val="110"/>
        </w:rPr>
        <w:t>hora</w:t>
      </w:r>
      <w:r>
        <w:rPr>
          <w:color w:val="231F1F"/>
          <w:spacing w:val="-1"/>
          <w:w w:val="110"/>
        </w:rPr>
        <w:t> </w:t>
      </w:r>
      <w:r>
        <w:rPr>
          <w:color w:val="231F1F"/>
          <w:w w:val="110"/>
        </w:rPr>
        <w:t>de</w:t>
      </w:r>
      <w:r>
        <w:rPr>
          <w:color w:val="231F1F"/>
          <w:spacing w:val="-1"/>
          <w:w w:val="110"/>
        </w:rPr>
        <w:t> </w:t>
      </w:r>
      <w:r>
        <w:rPr>
          <w:color w:val="231F1F"/>
          <w:w w:val="110"/>
        </w:rPr>
        <w:t>poner</w:t>
      </w:r>
      <w:r>
        <w:rPr>
          <w:color w:val="231F1F"/>
          <w:spacing w:val="-2"/>
          <w:w w:val="110"/>
        </w:rPr>
        <w:t> </w:t>
      </w:r>
      <w:r>
        <w:rPr>
          <w:color w:val="231F1F"/>
          <w:w w:val="110"/>
        </w:rPr>
        <w:t>el</w:t>
      </w:r>
      <w:r>
        <w:rPr>
          <w:color w:val="231F1F"/>
          <w:spacing w:val="-2"/>
          <w:w w:val="110"/>
        </w:rPr>
        <w:t> </w:t>
      </w:r>
      <w:r>
        <w:rPr>
          <w:color w:val="231F1F"/>
          <w:w w:val="110"/>
        </w:rPr>
        <w:t>contacto</w:t>
      </w:r>
      <w:r>
        <w:rPr>
          <w:color w:val="231F1F"/>
          <w:spacing w:val="-1"/>
          <w:w w:val="110"/>
        </w:rPr>
        <w:t> </w:t>
      </w:r>
      <w:r>
        <w:rPr>
          <w:color w:val="231F1F"/>
          <w:w w:val="110"/>
        </w:rPr>
        <w:t>piel</w:t>
      </w:r>
      <w:r>
        <w:rPr>
          <w:color w:val="231F1F"/>
          <w:spacing w:val="-2"/>
          <w:w w:val="110"/>
        </w:rPr>
        <w:t> </w:t>
      </w:r>
      <w:r>
        <w:rPr>
          <w:color w:val="231F1F"/>
          <w:w w:val="110"/>
        </w:rPr>
        <w:t>con</w:t>
      </w:r>
      <w:r>
        <w:rPr>
          <w:color w:val="231F1F"/>
          <w:spacing w:val="-1"/>
          <w:w w:val="110"/>
        </w:rPr>
        <w:t> </w:t>
      </w:r>
      <w:r>
        <w:rPr>
          <w:color w:val="231F1F"/>
          <w:w w:val="110"/>
        </w:rPr>
        <w:t>piel</w:t>
      </w:r>
      <w:r>
        <w:rPr>
          <w:color w:val="231F1F"/>
          <w:spacing w:val="-2"/>
          <w:w w:val="110"/>
        </w:rPr>
        <w:t> </w:t>
      </w:r>
      <w:r>
        <w:rPr>
          <w:color w:val="231F1F"/>
          <w:w w:val="110"/>
        </w:rPr>
        <w:t>en</w:t>
      </w:r>
      <w:r>
        <w:rPr>
          <w:color w:val="231F1F"/>
          <w:spacing w:val="-1"/>
          <w:w w:val="110"/>
        </w:rPr>
        <w:t> </w:t>
      </w:r>
      <w:r>
        <w:rPr>
          <w:color w:val="231F1F"/>
          <w:w w:val="110"/>
        </w:rPr>
        <w:t>práctica, por lo que se considera necesario una buena explicación sobre lo que significa y cómo </w:t>
      </w:r>
      <w:r>
        <w:rPr>
          <w:color w:val="231F1F"/>
          <w:spacing w:val="-2"/>
          <w:w w:val="110"/>
        </w:rPr>
        <w:t>hacerlo.</w:t>
      </w:r>
    </w:p>
    <w:p>
      <w:pPr>
        <w:pStyle w:val="Heading5"/>
        <w:spacing w:before="191"/>
      </w:pPr>
      <w:r>
        <w:rPr>
          <w:color w:val="231F1F"/>
        </w:rPr>
        <w:t>Lactancia</w:t>
      </w:r>
      <w:r>
        <w:rPr>
          <w:color w:val="231F1F"/>
          <w:spacing w:val="-14"/>
        </w:rPr>
        <w:t> </w:t>
      </w:r>
      <w:r>
        <w:rPr>
          <w:color w:val="231F1F"/>
          <w:spacing w:val="-2"/>
        </w:rPr>
        <w:t>materna</w:t>
      </w:r>
    </w:p>
    <w:p>
      <w:pPr>
        <w:pStyle w:val="BodyText"/>
        <w:spacing w:line="259" w:lineRule="auto" w:before="224"/>
        <w:ind w:left="283" w:right="123"/>
        <w:jc w:val="both"/>
      </w:pPr>
      <w:r>
        <w:rPr>
          <w:color w:val="231F1F"/>
        </w:rPr>
        <w:t>Se precisa información sobre técnicas de ayuda para la lactancia dirigida a profesionales y </w:t>
      </w:r>
      <w:r>
        <w:rPr>
          <w:color w:val="231F1F"/>
          <w:spacing w:val="-2"/>
        </w:rPr>
        <w:t>mujeres.</w:t>
      </w:r>
    </w:p>
    <w:p>
      <w:pPr>
        <w:pStyle w:val="BodyText"/>
        <w:spacing w:line="249" w:lineRule="auto" w:before="125"/>
        <w:ind w:left="283" w:right="123" w:firstLine="453"/>
        <w:jc w:val="both"/>
      </w:pPr>
      <w:r>
        <w:rPr>
          <w:color w:val="231F1F"/>
          <w:w w:val="110"/>
        </w:rPr>
        <w:t>La postura de la madre en el</w:t>
      </w:r>
      <w:r>
        <w:rPr>
          <w:color w:val="231F1F"/>
          <w:spacing w:val="-1"/>
          <w:w w:val="110"/>
        </w:rPr>
        <w:t> </w:t>
      </w:r>
      <w:r>
        <w:rPr>
          <w:color w:val="231F1F"/>
          <w:w w:val="110"/>
        </w:rPr>
        <w:t>3</w:t>
      </w:r>
      <w:r>
        <w:rPr>
          <w:color w:val="231F1F"/>
          <w:w w:val="110"/>
          <w:position w:val="7"/>
          <w:sz w:val="12"/>
          <w:u w:val="single" w:color="231F1F"/>
        </w:rPr>
        <w:t>er</w:t>
      </w:r>
      <w:r>
        <w:rPr>
          <w:color w:val="231F1F"/>
          <w:spacing w:val="16"/>
          <w:w w:val="110"/>
          <w:position w:val="7"/>
          <w:sz w:val="12"/>
        </w:rPr>
        <w:t> </w:t>
      </w:r>
      <w:r>
        <w:rPr>
          <w:color w:val="231F1F"/>
          <w:w w:val="110"/>
        </w:rPr>
        <w:t>periodo debe ser</w:t>
      </w:r>
      <w:r>
        <w:rPr>
          <w:color w:val="231F1F"/>
          <w:spacing w:val="-1"/>
          <w:w w:val="110"/>
        </w:rPr>
        <w:t> </w:t>
      </w:r>
      <w:r>
        <w:rPr>
          <w:color w:val="231F1F"/>
          <w:w w:val="110"/>
        </w:rPr>
        <w:t>la adecuada para la facilitación de la lactancia o succión.</w:t>
      </w:r>
    </w:p>
    <w:p>
      <w:pPr>
        <w:pStyle w:val="Heading5"/>
        <w:spacing w:before="155"/>
      </w:pPr>
      <w:r>
        <w:rPr>
          <w:color w:val="231F1F"/>
        </w:rPr>
        <w:t>Modo</w:t>
      </w:r>
      <w:r>
        <w:rPr>
          <w:color w:val="231F1F"/>
          <w:spacing w:val="-4"/>
        </w:rPr>
        <w:t> </w:t>
      </w:r>
      <w:r>
        <w:rPr>
          <w:color w:val="231F1F"/>
        </w:rPr>
        <w:t>de administración</w:t>
      </w:r>
      <w:r>
        <w:rPr>
          <w:color w:val="231F1F"/>
          <w:spacing w:val="-1"/>
        </w:rPr>
        <w:t> </w:t>
      </w:r>
      <w:r>
        <w:rPr>
          <w:color w:val="231F1F"/>
        </w:rPr>
        <w:t>profilaxis</w:t>
      </w:r>
      <w:r>
        <w:rPr>
          <w:color w:val="231F1F"/>
          <w:spacing w:val="1"/>
        </w:rPr>
        <w:t> </w:t>
      </w:r>
      <w:r>
        <w:rPr>
          <w:color w:val="231F1F"/>
        </w:rPr>
        <w:t>con</w:t>
      </w:r>
      <w:r>
        <w:rPr>
          <w:color w:val="231F1F"/>
          <w:spacing w:val="-1"/>
        </w:rPr>
        <w:t> </w:t>
      </w:r>
      <w:r>
        <w:rPr>
          <w:color w:val="231F1F"/>
        </w:rPr>
        <w:t>vitamina </w:t>
      </w:r>
      <w:r>
        <w:rPr>
          <w:color w:val="231F1F"/>
          <w:spacing w:val="-10"/>
        </w:rPr>
        <w:t>K</w:t>
      </w:r>
    </w:p>
    <w:p>
      <w:pPr>
        <w:pStyle w:val="BodyText"/>
        <w:spacing w:before="224"/>
        <w:ind w:left="283"/>
        <w:jc w:val="both"/>
      </w:pPr>
      <w:r>
        <w:rPr>
          <w:color w:val="231F1F"/>
        </w:rPr>
        <w:t>La</w:t>
      </w:r>
      <w:r>
        <w:rPr>
          <w:color w:val="231F1F"/>
          <w:spacing w:val="18"/>
        </w:rPr>
        <w:t> </w:t>
      </w:r>
      <w:r>
        <w:rPr>
          <w:color w:val="231F1F"/>
        </w:rPr>
        <w:t>presentación</w:t>
      </w:r>
      <w:r>
        <w:rPr>
          <w:color w:val="231F1F"/>
          <w:spacing w:val="22"/>
        </w:rPr>
        <w:t> </w:t>
      </w:r>
      <w:r>
        <w:rPr>
          <w:color w:val="231F1F"/>
        </w:rPr>
        <w:t>de</w:t>
      </w:r>
      <w:r>
        <w:rPr>
          <w:color w:val="231F1F"/>
          <w:spacing w:val="22"/>
        </w:rPr>
        <w:t> </w:t>
      </w:r>
      <w:r>
        <w:rPr>
          <w:color w:val="231F1F"/>
        </w:rPr>
        <w:t>los</w:t>
      </w:r>
      <w:r>
        <w:rPr>
          <w:color w:val="231F1F"/>
          <w:spacing w:val="21"/>
        </w:rPr>
        <w:t> </w:t>
      </w:r>
      <w:r>
        <w:rPr>
          <w:color w:val="231F1F"/>
        </w:rPr>
        <w:t>envases</w:t>
      </w:r>
      <w:r>
        <w:rPr>
          <w:color w:val="231F1F"/>
          <w:spacing w:val="23"/>
        </w:rPr>
        <w:t> </w:t>
      </w:r>
      <w:r>
        <w:rPr>
          <w:color w:val="231F1F"/>
        </w:rPr>
        <w:t>de</w:t>
      </w:r>
      <w:r>
        <w:rPr>
          <w:color w:val="231F1F"/>
          <w:spacing w:val="21"/>
        </w:rPr>
        <w:t> </w:t>
      </w:r>
      <w:r>
        <w:rPr>
          <w:color w:val="231F1F"/>
        </w:rPr>
        <w:t>vitamina</w:t>
      </w:r>
      <w:r>
        <w:rPr>
          <w:color w:val="231F1F"/>
          <w:spacing w:val="23"/>
        </w:rPr>
        <w:t> </w:t>
      </w:r>
      <w:r>
        <w:rPr>
          <w:color w:val="231F1F"/>
        </w:rPr>
        <w:t>K</w:t>
      </w:r>
      <w:r>
        <w:rPr>
          <w:color w:val="231F1F"/>
          <w:spacing w:val="21"/>
        </w:rPr>
        <w:t> </w:t>
      </w:r>
      <w:r>
        <w:rPr>
          <w:color w:val="231F1F"/>
        </w:rPr>
        <w:t>oral</w:t>
      </w:r>
      <w:r>
        <w:rPr>
          <w:color w:val="231F1F"/>
          <w:spacing w:val="22"/>
        </w:rPr>
        <w:t> </w:t>
      </w:r>
      <w:r>
        <w:rPr>
          <w:color w:val="231F1F"/>
        </w:rPr>
        <w:t>tiene</w:t>
      </w:r>
      <w:r>
        <w:rPr>
          <w:color w:val="231F1F"/>
          <w:spacing w:val="22"/>
        </w:rPr>
        <w:t> </w:t>
      </w:r>
      <w:r>
        <w:rPr>
          <w:color w:val="231F1F"/>
        </w:rPr>
        <w:t>6</w:t>
      </w:r>
      <w:r>
        <w:rPr>
          <w:color w:val="231F1F"/>
          <w:spacing w:val="21"/>
        </w:rPr>
        <w:t> </w:t>
      </w:r>
      <w:r>
        <w:rPr>
          <w:color w:val="231F1F"/>
        </w:rPr>
        <w:t>dosis</w:t>
      </w:r>
      <w:r>
        <w:rPr>
          <w:color w:val="231F1F"/>
          <w:spacing w:val="23"/>
        </w:rPr>
        <w:t> </w:t>
      </w:r>
      <w:r>
        <w:rPr>
          <w:color w:val="231F1F"/>
        </w:rPr>
        <w:t>cuando</w:t>
      </w:r>
      <w:r>
        <w:rPr>
          <w:color w:val="231F1F"/>
          <w:spacing w:val="21"/>
        </w:rPr>
        <w:t> </w:t>
      </w:r>
      <w:r>
        <w:rPr>
          <w:color w:val="231F1F"/>
        </w:rPr>
        <w:t>sólo</w:t>
      </w:r>
      <w:r>
        <w:rPr>
          <w:color w:val="231F1F"/>
          <w:spacing w:val="23"/>
        </w:rPr>
        <w:t> </w:t>
      </w:r>
      <w:r>
        <w:rPr>
          <w:color w:val="231F1F"/>
        </w:rPr>
        <w:t>se</w:t>
      </w:r>
      <w:r>
        <w:rPr>
          <w:color w:val="231F1F"/>
          <w:spacing w:val="21"/>
        </w:rPr>
        <w:t> </w:t>
      </w:r>
      <w:r>
        <w:rPr>
          <w:color w:val="231F1F"/>
        </w:rPr>
        <w:t>necesitan</w:t>
      </w:r>
      <w:r>
        <w:rPr>
          <w:color w:val="231F1F"/>
          <w:spacing w:val="23"/>
        </w:rPr>
        <w:t> </w:t>
      </w:r>
      <w:r>
        <w:rPr>
          <w:color w:val="231F1F"/>
          <w:spacing w:val="-10"/>
        </w:rPr>
        <w:t>3</w:t>
      </w:r>
    </w:p>
    <w:p>
      <w:pPr>
        <w:pStyle w:val="BodyText"/>
        <w:spacing w:before="218"/>
      </w:pPr>
    </w:p>
    <w:p>
      <w:pPr>
        <w:spacing w:before="0"/>
        <w:ind w:left="283" w:right="0" w:firstLine="0"/>
        <w:jc w:val="both"/>
        <w:rPr>
          <w:rFonts w:ascii="Arial MT"/>
          <w:sz w:val="24"/>
        </w:rPr>
      </w:pPr>
      <w:r>
        <w:rPr>
          <w:rFonts w:ascii="Arial MT"/>
          <w:color w:val="231F1F"/>
          <w:w w:val="105"/>
          <w:sz w:val="24"/>
        </w:rPr>
        <w:t>Alivio</w:t>
      </w:r>
      <w:r>
        <w:rPr>
          <w:rFonts w:ascii="Arial MT"/>
          <w:color w:val="231F1F"/>
          <w:spacing w:val="-9"/>
          <w:w w:val="105"/>
          <w:sz w:val="24"/>
        </w:rPr>
        <w:t> </w:t>
      </w:r>
      <w:r>
        <w:rPr>
          <w:rFonts w:ascii="Arial MT"/>
          <w:color w:val="231F1F"/>
          <w:w w:val="105"/>
          <w:sz w:val="24"/>
        </w:rPr>
        <w:t>del</w:t>
      </w:r>
      <w:r>
        <w:rPr>
          <w:rFonts w:ascii="Arial MT"/>
          <w:color w:val="231F1F"/>
          <w:spacing w:val="-10"/>
          <w:w w:val="105"/>
          <w:sz w:val="24"/>
        </w:rPr>
        <w:t> </w:t>
      </w:r>
      <w:r>
        <w:rPr>
          <w:rFonts w:ascii="Arial MT"/>
          <w:color w:val="231F1F"/>
          <w:w w:val="105"/>
          <w:sz w:val="24"/>
        </w:rPr>
        <w:t>dolor</w:t>
      </w:r>
      <w:r>
        <w:rPr>
          <w:rFonts w:ascii="Arial MT"/>
          <w:color w:val="231F1F"/>
          <w:spacing w:val="-8"/>
          <w:w w:val="105"/>
          <w:sz w:val="24"/>
        </w:rPr>
        <w:t> </w:t>
      </w:r>
      <w:r>
        <w:rPr>
          <w:rFonts w:ascii="Arial MT"/>
          <w:color w:val="231F1F"/>
          <w:w w:val="105"/>
          <w:sz w:val="24"/>
        </w:rPr>
        <w:t>durante</w:t>
      </w:r>
      <w:r>
        <w:rPr>
          <w:rFonts w:ascii="Arial MT"/>
          <w:color w:val="231F1F"/>
          <w:spacing w:val="-8"/>
          <w:w w:val="105"/>
          <w:sz w:val="24"/>
        </w:rPr>
        <w:t> </w:t>
      </w:r>
      <w:r>
        <w:rPr>
          <w:rFonts w:ascii="Arial MT"/>
          <w:color w:val="231F1F"/>
          <w:w w:val="105"/>
          <w:sz w:val="24"/>
        </w:rPr>
        <w:t>el</w:t>
      </w:r>
      <w:r>
        <w:rPr>
          <w:rFonts w:ascii="Arial MT"/>
          <w:color w:val="231F1F"/>
          <w:spacing w:val="-8"/>
          <w:w w:val="105"/>
          <w:sz w:val="24"/>
        </w:rPr>
        <w:t> </w:t>
      </w:r>
      <w:r>
        <w:rPr>
          <w:rFonts w:ascii="Arial MT"/>
          <w:color w:val="231F1F"/>
          <w:spacing w:val="-2"/>
          <w:w w:val="105"/>
          <w:sz w:val="24"/>
        </w:rPr>
        <w:t>parto</w:t>
      </w:r>
    </w:p>
    <w:p>
      <w:pPr>
        <w:pStyle w:val="Heading5"/>
        <w:spacing w:before="224"/>
      </w:pPr>
      <w:r>
        <w:rPr>
          <w:color w:val="231F1F"/>
        </w:rPr>
        <w:t>Dolor</w:t>
      </w:r>
      <w:r>
        <w:rPr>
          <w:color w:val="231F1F"/>
          <w:spacing w:val="-15"/>
        </w:rPr>
        <w:t> </w:t>
      </w:r>
      <w:r>
        <w:rPr>
          <w:color w:val="231F1F"/>
        </w:rPr>
        <w:t>analgesia</w:t>
      </w:r>
      <w:r>
        <w:rPr>
          <w:color w:val="231F1F"/>
          <w:spacing w:val="-14"/>
        </w:rPr>
        <w:t> </w:t>
      </w:r>
      <w:r>
        <w:rPr>
          <w:color w:val="231F1F"/>
        </w:rPr>
        <w:t>y</w:t>
      </w:r>
      <w:r>
        <w:rPr>
          <w:color w:val="231F1F"/>
          <w:spacing w:val="-13"/>
        </w:rPr>
        <w:t> </w:t>
      </w:r>
      <w:r>
        <w:rPr>
          <w:color w:val="231F1F"/>
        </w:rPr>
        <w:t>satisfacción</w:t>
      </w:r>
      <w:r>
        <w:rPr>
          <w:color w:val="231F1F"/>
          <w:spacing w:val="-12"/>
        </w:rPr>
        <w:t> </w:t>
      </w:r>
      <w:r>
        <w:rPr>
          <w:color w:val="231F1F"/>
          <w:spacing w:val="-2"/>
        </w:rPr>
        <w:t>materna</w:t>
      </w:r>
    </w:p>
    <w:p>
      <w:pPr>
        <w:pStyle w:val="BodyText"/>
        <w:spacing w:line="254" w:lineRule="auto" w:before="228"/>
        <w:ind w:left="283" w:right="122"/>
        <w:jc w:val="both"/>
      </w:pPr>
      <w:r>
        <w:rPr>
          <w:color w:val="231F1F"/>
        </w:rPr>
        <w:t>Sería aconsejable que en los Cursos de Preparación maternal se informara de las recomen- daciones</w:t>
      </w:r>
      <w:r>
        <w:rPr>
          <w:color w:val="231F1F"/>
          <w:spacing w:val="40"/>
        </w:rPr>
        <w:t> </w:t>
      </w:r>
      <w:r>
        <w:rPr>
          <w:color w:val="231F1F"/>
        </w:rPr>
        <w:t>y</w:t>
      </w:r>
      <w:r>
        <w:rPr>
          <w:color w:val="231F1F"/>
          <w:spacing w:val="40"/>
        </w:rPr>
        <w:t> </w:t>
      </w:r>
      <w:r>
        <w:rPr>
          <w:color w:val="231F1F"/>
        </w:rPr>
        <w:t>cambios</w:t>
      </w:r>
      <w:r>
        <w:rPr>
          <w:color w:val="231F1F"/>
          <w:spacing w:val="40"/>
        </w:rPr>
        <w:t> </w:t>
      </w:r>
      <w:r>
        <w:rPr>
          <w:color w:val="231F1F"/>
        </w:rPr>
        <w:t>que</w:t>
      </w:r>
      <w:r>
        <w:rPr>
          <w:color w:val="231F1F"/>
          <w:spacing w:val="40"/>
        </w:rPr>
        <w:t> </w:t>
      </w:r>
      <w:r>
        <w:rPr>
          <w:color w:val="231F1F"/>
        </w:rPr>
        <w:t>se</w:t>
      </w:r>
      <w:r>
        <w:rPr>
          <w:color w:val="231F1F"/>
          <w:spacing w:val="40"/>
        </w:rPr>
        <w:t> </w:t>
      </w:r>
      <w:r>
        <w:rPr>
          <w:color w:val="231F1F"/>
        </w:rPr>
        <w:t>presentan</w:t>
      </w:r>
      <w:r>
        <w:rPr>
          <w:color w:val="231F1F"/>
          <w:spacing w:val="40"/>
        </w:rPr>
        <w:t> </w:t>
      </w:r>
      <w:r>
        <w:rPr>
          <w:color w:val="231F1F"/>
        </w:rPr>
        <w:t>en</w:t>
      </w:r>
      <w:r>
        <w:rPr>
          <w:color w:val="231F1F"/>
          <w:spacing w:val="40"/>
        </w:rPr>
        <w:t> </w:t>
      </w:r>
      <w:r>
        <w:rPr>
          <w:color w:val="231F1F"/>
        </w:rPr>
        <w:t>esta</w:t>
      </w:r>
      <w:r>
        <w:rPr>
          <w:color w:val="231F1F"/>
          <w:spacing w:val="40"/>
        </w:rPr>
        <w:t> </w:t>
      </w:r>
      <w:r>
        <w:rPr>
          <w:color w:val="231F1F"/>
        </w:rPr>
        <w:t>guía.</w:t>
      </w:r>
    </w:p>
    <w:p>
      <w:pPr>
        <w:pStyle w:val="BodyText"/>
        <w:spacing w:line="244" w:lineRule="auto" w:before="136"/>
        <w:ind w:left="283" w:right="122" w:firstLine="453"/>
        <w:jc w:val="both"/>
      </w:pPr>
      <w:r>
        <w:rPr>
          <w:color w:val="231F1F"/>
          <w:w w:val="110"/>
        </w:rPr>
        <w:t>La preparación</w:t>
      </w:r>
      <w:r>
        <w:rPr>
          <w:color w:val="231F1F"/>
          <w:spacing w:val="-1"/>
          <w:w w:val="110"/>
        </w:rPr>
        <w:t> </w:t>
      </w:r>
      <w:r>
        <w:rPr>
          <w:color w:val="231F1F"/>
          <w:w w:val="110"/>
        </w:rPr>
        <w:t>preparto</w:t>
      </w:r>
      <w:r>
        <w:rPr>
          <w:color w:val="231F1F"/>
          <w:spacing w:val="-1"/>
          <w:w w:val="110"/>
        </w:rPr>
        <w:t> </w:t>
      </w:r>
      <w:r>
        <w:rPr>
          <w:color w:val="231F1F"/>
          <w:w w:val="110"/>
        </w:rPr>
        <w:t>podría incrementar</w:t>
      </w:r>
      <w:r>
        <w:rPr>
          <w:color w:val="231F1F"/>
          <w:spacing w:val="-1"/>
          <w:w w:val="110"/>
        </w:rPr>
        <w:t> </w:t>
      </w:r>
      <w:r>
        <w:rPr>
          <w:color w:val="231F1F"/>
          <w:w w:val="110"/>
        </w:rPr>
        <w:t>el</w:t>
      </w:r>
      <w:r>
        <w:rPr>
          <w:color w:val="231F1F"/>
          <w:spacing w:val="-1"/>
          <w:w w:val="110"/>
        </w:rPr>
        <w:t> </w:t>
      </w:r>
      <w:r>
        <w:rPr>
          <w:color w:val="231F1F"/>
          <w:w w:val="110"/>
        </w:rPr>
        <w:t>grado</w:t>
      </w:r>
      <w:r>
        <w:rPr>
          <w:color w:val="231F1F"/>
          <w:spacing w:val="-1"/>
          <w:w w:val="110"/>
        </w:rPr>
        <w:t> </w:t>
      </w:r>
      <w:r>
        <w:rPr>
          <w:color w:val="231F1F"/>
          <w:w w:val="110"/>
        </w:rPr>
        <w:t>de satisfacción</w:t>
      </w:r>
      <w:r>
        <w:rPr>
          <w:color w:val="231F1F"/>
          <w:spacing w:val="-2"/>
          <w:w w:val="110"/>
        </w:rPr>
        <w:t> </w:t>
      </w:r>
      <w:r>
        <w:rPr>
          <w:color w:val="231F1F"/>
          <w:w w:val="110"/>
        </w:rPr>
        <w:t>materna,</w:t>
      </w:r>
      <w:r>
        <w:rPr>
          <w:color w:val="231F1F"/>
          <w:spacing w:val="-1"/>
          <w:w w:val="110"/>
        </w:rPr>
        <w:t> </w:t>
      </w:r>
      <w:r>
        <w:rPr>
          <w:color w:val="231F1F"/>
          <w:w w:val="110"/>
        </w:rPr>
        <w:t>ense- ñando</w:t>
      </w:r>
      <w:r>
        <w:rPr>
          <w:color w:val="231F1F"/>
          <w:spacing w:val="-16"/>
          <w:w w:val="110"/>
        </w:rPr>
        <w:t> </w:t>
      </w:r>
      <w:r>
        <w:rPr>
          <w:color w:val="231F1F"/>
          <w:w w:val="110"/>
        </w:rPr>
        <w:t>la</w:t>
      </w:r>
      <w:r>
        <w:rPr>
          <w:color w:val="231F1F"/>
          <w:spacing w:val="-15"/>
          <w:w w:val="110"/>
        </w:rPr>
        <w:t> </w:t>
      </w:r>
      <w:r>
        <w:rPr>
          <w:color w:val="231F1F"/>
          <w:w w:val="110"/>
        </w:rPr>
        <w:t>fisiología</w:t>
      </w:r>
      <w:r>
        <w:rPr>
          <w:color w:val="231F1F"/>
          <w:spacing w:val="-15"/>
          <w:w w:val="110"/>
        </w:rPr>
        <w:t> </w:t>
      </w:r>
      <w:r>
        <w:rPr>
          <w:color w:val="231F1F"/>
          <w:w w:val="110"/>
        </w:rPr>
        <w:t>del</w:t>
      </w:r>
      <w:r>
        <w:rPr>
          <w:color w:val="231F1F"/>
          <w:spacing w:val="-15"/>
          <w:w w:val="110"/>
        </w:rPr>
        <w:t> </w:t>
      </w:r>
      <w:r>
        <w:rPr>
          <w:color w:val="231F1F"/>
          <w:w w:val="110"/>
        </w:rPr>
        <w:t>parto</w:t>
      </w:r>
      <w:r>
        <w:rPr>
          <w:color w:val="231F1F"/>
          <w:spacing w:val="-15"/>
          <w:w w:val="110"/>
        </w:rPr>
        <w:t> </w:t>
      </w:r>
      <w:r>
        <w:rPr>
          <w:color w:val="231F1F"/>
          <w:w w:val="110"/>
        </w:rPr>
        <w:t>y</w:t>
      </w:r>
      <w:r>
        <w:rPr>
          <w:color w:val="231F1F"/>
          <w:spacing w:val="-15"/>
          <w:w w:val="110"/>
        </w:rPr>
        <w:t> </w:t>
      </w:r>
      <w:r>
        <w:rPr>
          <w:color w:val="231F1F"/>
          <w:w w:val="110"/>
        </w:rPr>
        <w:t>las</w:t>
      </w:r>
      <w:r>
        <w:rPr>
          <w:color w:val="231F1F"/>
          <w:spacing w:val="-15"/>
          <w:w w:val="110"/>
        </w:rPr>
        <w:t> </w:t>
      </w:r>
      <w:r>
        <w:rPr>
          <w:color w:val="231F1F"/>
          <w:w w:val="110"/>
        </w:rPr>
        <w:t>condiciones</w:t>
      </w:r>
      <w:r>
        <w:rPr>
          <w:color w:val="231F1F"/>
          <w:spacing w:val="-15"/>
          <w:w w:val="110"/>
        </w:rPr>
        <w:t> </w:t>
      </w:r>
      <w:r>
        <w:rPr>
          <w:color w:val="231F1F"/>
          <w:w w:val="110"/>
        </w:rPr>
        <w:t>que</w:t>
      </w:r>
      <w:r>
        <w:rPr>
          <w:color w:val="231F1F"/>
          <w:spacing w:val="-16"/>
          <w:w w:val="110"/>
        </w:rPr>
        <w:t> </w:t>
      </w:r>
      <w:r>
        <w:rPr>
          <w:color w:val="231F1F"/>
          <w:w w:val="110"/>
        </w:rPr>
        <w:t>los</w:t>
      </w:r>
      <w:r>
        <w:rPr>
          <w:color w:val="231F1F"/>
          <w:spacing w:val="-15"/>
          <w:w w:val="110"/>
        </w:rPr>
        <w:t> </w:t>
      </w:r>
      <w:r>
        <w:rPr>
          <w:color w:val="231F1F"/>
          <w:w w:val="110"/>
        </w:rPr>
        <w:t>favorecen,</w:t>
      </w:r>
      <w:r>
        <w:rPr>
          <w:color w:val="231F1F"/>
          <w:spacing w:val="-15"/>
          <w:w w:val="110"/>
        </w:rPr>
        <w:t> </w:t>
      </w:r>
      <w:r>
        <w:rPr>
          <w:color w:val="231F1F"/>
          <w:w w:val="110"/>
        </w:rPr>
        <w:t>los</w:t>
      </w:r>
      <w:r>
        <w:rPr>
          <w:color w:val="231F1F"/>
          <w:spacing w:val="-15"/>
          <w:w w:val="110"/>
        </w:rPr>
        <w:t> </w:t>
      </w:r>
      <w:r>
        <w:rPr>
          <w:color w:val="231F1F"/>
          <w:w w:val="110"/>
        </w:rPr>
        <w:t>recursos</w:t>
      </w:r>
      <w:r>
        <w:rPr>
          <w:color w:val="231F1F"/>
          <w:spacing w:val="-15"/>
          <w:w w:val="110"/>
        </w:rPr>
        <w:t> </w:t>
      </w:r>
      <w:r>
        <w:rPr>
          <w:color w:val="231F1F"/>
          <w:w w:val="110"/>
        </w:rPr>
        <w:t>disponibles, aportando técnicas para el mejorar las habilidades personales y aportando información para que sus expectativas sobre el parto sean más ajustadas a la realidad.</w:t>
      </w:r>
    </w:p>
    <w:p>
      <w:pPr>
        <w:pStyle w:val="BodyText"/>
        <w:spacing w:before="202"/>
      </w:pPr>
    </w:p>
    <w:p>
      <w:pPr>
        <w:spacing w:before="0"/>
        <w:ind w:left="283" w:right="0" w:firstLine="0"/>
        <w:jc w:val="left"/>
        <w:rPr>
          <w:rFonts w:ascii="Arial" w:hAnsi="Arial"/>
          <w:i/>
          <w:sz w:val="24"/>
        </w:rPr>
      </w:pPr>
      <w:r>
        <w:rPr>
          <w:rFonts w:ascii="Arial" w:hAnsi="Arial"/>
          <w:i/>
          <w:color w:val="231F1F"/>
          <w:sz w:val="24"/>
        </w:rPr>
        <w:t>Métodos</w:t>
      </w:r>
      <w:r>
        <w:rPr>
          <w:rFonts w:ascii="Arial" w:hAnsi="Arial"/>
          <w:i/>
          <w:color w:val="231F1F"/>
          <w:spacing w:val="4"/>
          <w:sz w:val="24"/>
        </w:rPr>
        <w:t> </w:t>
      </w:r>
      <w:r>
        <w:rPr>
          <w:rFonts w:ascii="Arial" w:hAnsi="Arial"/>
          <w:i/>
          <w:color w:val="231F1F"/>
          <w:sz w:val="24"/>
        </w:rPr>
        <w:t>no</w:t>
      </w:r>
      <w:r>
        <w:rPr>
          <w:rFonts w:ascii="Arial" w:hAnsi="Arial"/>
          <w:i/>
          <w:color w:val="231F1F"/>
          <w:spacing w:val="2"/>
          <w:sz w:val="24"/>
        </w:rPr>
        <w:t> </w:t>
      </w:r>
      <w:r>
        <w:rPr>
          <w:rFonts w:ascii="Arial" w:hAnsi="Arial"/>
          <w:i/>
          <w:color w:val="231F1F"/>
          <w:sz w:val="24"/>
        </w:rPr>
        <w:t>farmacológicos</w:t>
      </w:r>
      <w:r>
        <w:rPr>
          <w:rFonts w:ascii="Arial" w:hAnsi="Arial"/>
          <w:i/>
          <w:color w:val="231F1F"/>
          <w:spacing w:val="5"/>
          <w:sz w:val="24"/>
        </w:rPr>
        <w:t> </w:t>
      </w:r>
      <w:r>
        <w:rPr>
          <w:rFonts w:ascii="Arial" w:hAnsi="Arial"/>
          <w:i/>
          <w:color w:val="231F1F"/>
          <w:sz w:val="24"/>
        </w:rPr>
        <w:t>de</w:t>
      </w:r>
      <w:r>
        <w:rPr>
          <w:rFonts w:ascii="Arial" w:hAnsi="Arial"/>
          <w:i/>
          <w:color w:val="231F1F"/>
          <w:spacing w:val="2"/>
          <w:sz w:val="24"/>
        </w:rPr>
        <w:t> </w:t>
      </w:r>
      <w:r>
        <w:rPr>
          <w:rFonts w:ascii="Arial" w:hAnsi="Arial"/>
          <w:i/>
          <w:color w:val="231F1F"/>
          <w:sz w:val="24"/>
        </w:rPr>
        <w:t>alivio</w:t>
      </w:r>
      <w:r>
        <w:rPr>
          <w:rFonts w:ascii="Arial" w:hAnsi="Arial"/>
          <w:i/>
          <w:color w:val="231F1F"/>
          <w:spacing w:val="4"/>
          <w:sz w:val="24"/>
        </w:rPr>
        <w:t> </w:t>
      </w:r>
      <w:r>
        <w:rPr>
          <w:rFonts w:ascii="Arial" w:hAnsi="Arial"/>
          <w:i/>
          <w:color w:val="231F1F"/>
          <w:sz w:val="24"/>
        </w:rPr>
        <w:t>del</w:t>
      </w:r>
      <w:r>
        <w:rPr>
          <w:rFonts w:ascii="Arial" w:hAnsi="Arial"/>
          <w:i/>
          <w:color w:val="231F1F"/>
          <w:spacing w:val="5"/>
          <w:sz w:val="24"/>
        </w:rPr>
        <w:t> </w:t>
      </w:r>
      <w:r>
        <w:rPr>
          <w:rFonts w:ascii="Arial" w:hAnsi="Arial"/>
          <w:i/>
          <w:color w:val="231F1F"/>
          <w:spacing w:val="-2"/>
          <w:sz w:val="24"/>
        </w:rPr>
        <w:t>dolor</w:t>
      </w:r>
    </w:p>
    <w:p>
      <w:pPr>
        <w:pStyle w:val="BodyText"/>
        <w:spacing w:before="14"/>
        <w:rPr>
          <w:rFonts w:ascii="Arial"/>
          <w:i/>
          <w:sz w:val="24"/>
        </w:rPr>
      </w:pPr>
    </w:p>
    <w:p>
      <w:pPr>
        <w:spacing w:before="1"/>
        <w:ind w:left="736" w:right="0" w:firstLine="0"/>
        <w:jc w:val="left"/>
        <w:rPr>
          <w:rFonts w:ascii="Arial MT" w:hAnsi="Arial MT"/>
          <w:sz w:val="24"/>
        </w:rPr>
      </w:pPr>
      <w:r>
        <w:rPr>
          <w:rFonts w:ascii="Arial MT" w:hAnsi="Arial MT"/>
          <w:color w:val="231F1F"/>
          <w:sz w:val="24"/>
        </w:rPr>
        <w:t>Inmersión</w:t>
      </w:r>
      <w:r>
        <w:rPr>
          <w:rFonts w:ascii="Arial MT" w:hAnsi="Arial MT"/>
          <w:color w:val="231F1F"/>
          <w:spacing w:val="14"/>
          <w:sz w:val="24"/>
        </w:rPr>
        <w:t> </w:t>
      </w:r>
      <w:r>
        <w:rPr>
          <w:rFonts w:ascii="Arial MT" w:hAnsi="Arial MT"/>
          <w:color w:val="231F1F"/>
          <w:sz w:val="24"/>
        </w:rPr>
        <w:t>en</w:t>
      </w:r>
      <w:r>
        <w:rPr>
          <w:rFonts w:ascii="Arial MT" w:hAnsi="Arial MT"/>
          <w:color w:val="231F1F"/>
          <w:spacing w:val="14"/>
          <w:sz w:val="24"/>
        </w:rPr>
        <w:t> </w:t>
      </w:r>
      <w:r>
        <w:rPr>
          <w:rFonts w:ascii="Arial MT" w:hAnsi="Arial MT"/>
          <w:color w:val="231F1F"/>
          <w:spacing w:val="-4"/>
          <w:sz w:val="24"/>
        </w:rPr>
        <w:t>agua</w:t>
      </w:r>
    </w:p>
    <w:p>
      <w:pPr>
        <w:pStyle w:val="BodyText"/>
        <w:spacing w:line="244" w:lineRule="auto" w:before="209"/>
        <w:ind w:left="283" w:right="118"/>
        <w:jc w:val="both"/>
      </w:pPr>
      <w:r>
        <w:rPr>
          <w:color w:val="231F1F"/>
          <w:w w:val="105"/>
        </w:rPr>
        <w:t>Cualquier baño o piscina de partos deberá seguir un protocolo de limpieza establecido por</w:t>
      </w:r>
      <w:r>
        <w:rPr>
          <w:color w:val="231F1F"/>
          <w:spacing w:val="40"/>
          <w:w w:val="105"/>
        </w:rPr>
        <w:t> </w:t>
      </w:r>
      <w:r>
        <w:rPr>
          <w:color w:val="231F1F"/>
          <w:w w:val="105"/>
        </w:rPr>
        <w:t>el</w:t>
      </w:r>
      <w:r>
        <w:rPr>
          <w:color w:val="231F1F"/>
          <w:spacing w:val="40"/>
          <w:w w:val="105"/>
        </w:rPr>
        <w:t> </w:t>
      </w:r>
      <w:r>
        <w:rPr>
          <w:color w:val="231F1F"/>
          <w:w w:val="105"/>
        </w:rPr>
        <w:t>departamento</w:t>
      </w:r>
      <w:r>
        <w:rPr>
          <w:color w:val="231F1F"/>
          <w:spacing w:val="40"/>
          <w:w w:val="105"/>
        </w:rPr>
        <w:t> </w:t>
      </w:r>
      <w:r>
        <w:rPr>
          <w:color w:val="231F1F"/>
          <w:w w:val="105"/>
        </w:rPr>
        <w:t>de</w:t>
      </w:r>
      <w:r>
        <w:rPr>
          <w:color w:val="231F1F"/>
          <w:spacing w:val="40"/>
          <w:w w:val="105"/>
        </w:rPr>
        <w:t> </w:t>
      </w:r>
      <w:r>
        <w:rPr>
          <w:color w:val="231F1F"/>
          <w:w w:val="105"/>
        </w:rPr>
        <w:t>microbiología</w:t>
      </w:r>
      <w:r>
        <w:rPr>
          <w:color w:val="231F1F"/>
          <w:spacing w:val="40"/>
          <w:w w:val="105"/>
        </w:rPr>
        <w:t> </w:t>
      </w:r>
      <w:r>
        <w:rPr>
          <w:color w:val="231F1F"/>
          <w:w w:val="105"/>
        </w:rPr>
        <w:t>y</w:t>
      </w:r>
      <w:r>
        <w:rPr>
          <w:color w:val="231F1F"/>
          <w:spacing w:val="40"/>
          <w:w w:val="105"/>
        </w:rPr>
        <w:t> </w:t>
      </w:r>
      <w:r>
        <w:rPr>
          <w:color w:val="231F1F"/>
          <w:w w:val="105"/>
        </w:rPr>
        <w:t>de</w:t>
      </w:r>
      <w:r>
        <w:rPr>
          <w:color w:val="231F1F"/>
          <w:spacing w:val="40"/>
          <w:w w:val="105"/>
        </w:rPr>
        <w:t> </w:t>
      </w:r>
      <w:r>
        <w:rPr>
          <w:color w:val="231F1F"/>
          <w:w w:val="105"/>
        </w:rPr>
        <w:t>acuerdo</w:t>
      </w:r>
      <w:r>
        <w:rPr>
          <w:color w:val="231F1F"/>
          <w:spacing w:val="40"/>
          <w:w w:val="105"/>
        </w:rPr>
        <w:t> </w:t>
      </w:r>
      <w:r>
        <w:rPr>
          <w:color w:val="231F1F"/>
          <w:w w:val="105"/>
        </w:rPr>
        <w:t>con</w:t>
      </w:r>
      <w:r>
        <w:rPr>
          <w:color w:val="231F1F"/>
          <w:spacing w:val="40"/>
          <w:w w:val="105"/>
        </w:rPr>
        <w:t> </w:t>
      </w:r>
      <w:r>
        <w:rPr>
          <w:color w:val="231F1F"/>
          <w:w w:val="105"/>
        </w:rPr>
        <w:t>las</w:t>
      </w:r>
      <w:r>
        <w:rPr>
          <w:color w:val="231F1F"/>
          <w:spacing w:val="40"/>
          <w:w w:val="105"/>
        </w:rPr>
        <w:t> </w:t>
      </w:r>
      <w:r>
        <w:rPr>
          <w:color w:val="231F1F"/>
          <w:w w:val="105"/>
        </w:rPr>
        <w:t>pautas</w:t>
      </w:r>
      <w:r>
        <w:rPr>
          <w:color w:val="231F1F"/>
          <w:spacing w:val="40"/>
          <w:w w:val="105"/>
        </w:rPr>
        <w:t> </w:t>
      </w:r>
      <w:r>
        <w:rPr>
          <w:color w:val="231F1F"/>
          <w:w w:val="105"/>
        </w:rPr>
        <w:t>del</w:t>
      </w:r>
      <w:r>
        <w:rPr>
          <w:color w:val="231F1F"/>
          <w:spacing w:val="40"/>
          <w:w w:val="105"/>
        </w:rPr>
        <w:t> </w:t>
      </w:r>
      <w:r>
        <w:rPr>
          <w:color w:val="231F1F"/>
          <w:w w:val="105"/>
        </w:rPr>
        <w:t>fabricante.</w:t>
      </w:r>
    </w:p>
    <w:p>
      <w:pPr>
        <w:pStyle w:val="BodyText"/>
        <w:spacing w:line="244" w:lineRule="auto" w:before="137"/>
        <w:ind w:left="283" w:right="122" w:firstLine="453"/>
        <w:jc w:val="both"/>
      </w:pPr>
      <w:r>
        <w:rPr>
          <w:color w:val="231F1F"/>
          <w:w w:val="110"/>
        </w:rPr>
        <w:t>Cuando</w:t>
      </w:r>
      <w:r>
        <w:rPr>
          <w:color w:val="231F1F"/>
          <w:spacing w:val="-3"/>
          <w:w w:val="110"/>
        </w:rPr>
        <w:t> </w:t>
      </w:r>
      <w:r>
        <w:rPr>
          <w:color w:val="231F1F"/>
          <w:w w:val="110"/>
        </w:rPr>
        <w:t>se</w:t>
      </w:r>
      <w:r>
        <w:rPr>
          <w:color w:val="231F1F"/>
          <w:spacing w:val="-3"/>
          <w:w w:val="110"/>
        </w:rPr>
        <w:t> </w:t>
      </w:r>
      <w:r>
        <w:rPr>
          <w:color w:val="231F1F"/>
          <w:w w:val="110"/>
        </w:rPr>
        <w:t>realiza</w:t>
      </w:r>
      <w:r>
        <w:rPr>
          <w:color w:val="231F1F"/>
          <w:spacing w:val="-2"/>
          <w:w w:val="110"/>
        </w:rPr>
        <w:t> </w:t>
      </w:r>
      <w:r>
        <w:rPr>
          <w:color w:val="231F1F"/>
          <w:w w:val="110"/>
        </w:rPr>
        <w:t>la</w:t>
      </w:r>
      <w:r>
        <w:rPr>
          <w:color w:val="231F1F"/>
          <w:spacing w:val="-3"/>
          <w:w w:val="110"/>
        </w:rPr>
        <w:t> </w:t>
      </w:r>
      <w:r>
        <w:rPr>
          <w:color w:val="231F1F"/>
          <w:w w:val="110"/>
        </w:rPr>
        <w:t>dilatación</w:t>
      </w:r>
      <w:r>
        <w:rPr>
          <w:color w:val="231F1F"/>
          <w:spacing w:val="-3"/>
          <w:w w:val="110"/>
        </w:rPr>
        <w:t> </w:t>
      </w:r>
      <w:r>
        <w:rPr>
          <w:color w:val="231F1F"/>
          <w:w w:val="110"/>
        </w:rPr>
        <w:t>en</w:t>
      </w:r>
      <w:r>
        <w:rPr>
          <w:color w:val="231F1F"/>
          <w:spacing w:val="-2"/>
          <w:w w:val="110"/>
        </w:rPr>
        <w:t> </w:t>
      </w:r>
      <w:r>
        <w:rPr>
          <w:color w:val="231F1F"/>
          <w:w w:val="110"/>
        </w:rPr>
        <w:t>el</w:t>
      </w:r>
      <w:r>
        <w:rPr>
          <w:color w:val="231F1F"/>
          <w:spacing w:val="-3"/>
          <w:w w:val="110"/>
        </w:rPr>
        <w:t> </w:t>
      </w:r>
      <w:r>
        <w:rPr>
          <w:color w:val="231F1F"/>
          <w:w w:val="110"/>
        </w:rPr>
        <w:t>agua</w:t>
      </w:r>
      <w:r>
        <w:rPr>
          <w:color w:val="231F1F"/>
          <w:spacing w:val="-2"/>
          <w:w w:val="110"/>
        </w:rPr>
        <w:t> </w:t>
      </w:r>
      <w:r>
        <w:rPr>
          <w:color w:val="231F1F"/>
          <w:w w:val="110"/>
        </w:rPr>
        <w:t>o</w:t>
      </w:r>
      <w:r>
        <w:rPr>
          <w:color w:val="231F1F"/>
          <w:spacing w:val="-3"/>
          <w:w w:val="110"/>
        </w:rPr>
        <w:t> </w:t>
      </w:r>
      <w:r>
        <w:rPr>
          <w:color w:val="231F1F"/>
          <w:w w:val="110"/>
        </w:rPr>
        <w:t>un</w:t>
      </w:r>
      <w:r>
        <w:rPr>
          <w:color w:val="231F1F"/>
          <w:spacing w:val="-3"/>
          <w:w w:val="110"/>
        </w:rPr>
        <w:t> </w:t>
      </w:r>
      <w:r>
        <w:rPr>
          <w:color w:val="231F1F"/>
          <w:w w:val="110"/>
        </w:rPr>
        <w:t>parto</w:t>
      </w:r>
      <w:r>
        <w:rPr>
          <w:color w:val="231F1F"/>
          <w:spacing w:val="-3"/>
          <w:w w:val="110"/>
        </w:rPr>
        <w:t> </w:t>
      </w:r>
      <w:r>
        <w:rPr>
          <w:color w:val="231F1F"/>
          <w:w w:val="110"/>
        </w:rPr>
        <w:t>en</w:t>
      </w:r>
      <w:r>
        <w:rPr>
          <w:color w:val="231F1F"/>
          <w:spacing w:val="-2"/>
          <w:w w:val="110"/>
        </w:rPr>
        <w:t> </w:t>
      </w:r>
      <w:r>
        <w:rPr>
          <w:color w:val="231F1F"/>
          <w:w w:val="110"/>
        </w:rPr>
        <w:t>el</w:t>
      </w:r>
      <w:r>
        <w:rPr>
          <w:color w:val="231F1F"/>
          <w:spacing w:val="-3"/>
          <w:w w:val="110"/>
        </w:rPr>
        <w:t> </w:t>
      </w:r>
      <w:r>
        <w:rPr>
          <w:color w:val="231F1F"/>
          <w:w w:val="110"/>
        </w:rPr>
        <w:t>agua</w:t>
      </w:r>
      <w:r>
        <w:rPr>
          <w:color w:val="231F1F"/>
          <w:spacing w:val="-2"/>
          <w:w w:val="110"/>
        </w:rPr>
        <w:t> </w:t>
      </w:r>
      <w:r>
        <w:rPr>
          <w:color w:val="231F1F"/>
          <w:w w:val="110"/>
        </w:rPr>
        <w:t>deberá</w:t>
      </w:r>
      <w:r>
        <w:rPr>
          <w:color w:val="231F1F"/>
          <w:spacing w:val="-3"/>
          <w:w w:val="110"/>
        </w:rPr>
        <w:t> </w:t>
      </w:r>
      <w:r>
        <w:rPr>
          <w:color w:val="231F1F"/>
          <w:w w:val="110"/>
        </w:rPr>
        <w:t>supervisarse su</w:t>
      </w:r>
      <w:r>
        <w:rPr>
          <w:color w:val="231F1F"/>
          <w:spacing w:val="-3"/>
          <w:w w:val="110"/>
        </w:rPr>
        <w:t> </w:t>
      </w:r>
      <w:r>
        <w:rPr>
          <w:color w:val="231F1F"/>
          <w:w w:val="110"/>
        </w:rPr>
        <w:t>temperatura</w:t>
      </w:r>
      <w:r>
        <w:rPr>
          <w:color w:val="231F1F"/>
          <w:spacing w:val="-3"/>
          <w:w w:val="110"/>
        </w:rPr>
        <w:t> </w:t>
      </w:r>
      <w:r>
        <w:rPr>
          <w:color w:val="231F1F"/>
          <w:w w:val="110"/>
        </w:rPr>
        <w:t>y</w:t>
      </w:r>
      <w:r>
        <w:rPr>
          <w:color w:val="231F1F"/>
          <w:spacing w:val="-3"/>
          <w:w w:val="110"/>
        </w:rPr>
        <w:t> </w:t>
      </w:r>
      <w:r>
        <w:rPr>
          <w:color w:val="231F1F"/>
          <w:w w:val="110"/>
        </w:rPr>
        <w:t>la</w:t>
      </w:r>
      <w:r>
        <w:rPr>
          <w:color w:val="231F1F"/>
          <w:spacing w:val="-3"/>
          <w:w w:val="110"/>
        </w:rPr>
        <w:t> </w:t>
      </w:r>
      <w:r>
        <w:rPr>
          <w:color w:val="231F1F"/>
          <w:w w:val="110"/>
        </w:rPr>
        <w:t>de</w:t>
      </w:r>
      <w:r>
        <w:rPr>
          <w:color w:val="231F1F"/>
          <w:spacing w:val="-4"/>
          <w:w w:val="110"/>
        </w:rPr>
        <w:t> </w:t>
      </w:r>
      <w:r>
        <w:rPr>
          <w:color w:val="231F1F"/>
          <w:w w:val="110"/>
        </w:rPr>
        <w:t>la</w:t>
      </w:r>
      <w:r>
        <w:rPr>
          <w:color w:val="231F1F"/>
          <w:spacing w:val="-3"/>
          <w:w w:val="110"/>
        </w:rPr>
        <w:t> </w:t>
      </w:r>
      <w:r>
        <w:rPr>
          <w:color w:val="231F1F"/>
          <w:w w:val="110"/>
        </w:rPr>
        <w:t>mujer</w:t>
      </w:r>
      <w:r>
        <w:rPr>
          <w:color w:val="231F1F"/>
          <w:spacing w:val="-4"/>
          <w:w w:val="110"/>
        </w:rPr>
        <w:t> </w:t>
      </w:r>
      <w:r>
        <w:rPr>
          <w:color w:val="231F1F"/>
          <w:w w:val="110"/>
        </w:rPr>
        <w:t>cada</w:t>
      </w:r>
      <w:r>
        <w:rPr>
          <w:color w:val="231F1F"/>
          <w:spacing w:val="-3"/>
          <w:w w:val="110"/>
        </w:rPr>
        <w:t> </w:t>
      </w:r>
      <w:r>
        <w:rPr>
          <w:color w:val="231F1F"/>
          <w:w w:val="110"/>
        </w:rPr>
        <w:t>hora</w:t>
      </w:r>
      <w:r>
        <w:rPr>
          <w:color w:val="231F1F"/>
          <w:spacing w:val="-4"/>
          <w:w w:val="110"/>
        </w:rPr>
        <w:t> </w:t>
      </w:r>
      <w:r>
        <w:rPr>
          <w:color w:val="231F1F"/>
          <w:w w:val="110"/>
        </w:rPr>
        <w:t>para</w:t>
      </w:r>
      <w:r>
        <w:rPr>
          <w:color w:val="231F1F"/>
          <w:spacing w:val="-4"/>
          <w:w w:val="110"/>
        </w:rPr>
        <w:t> </w:t>
      </w:r>
      <w:r>
        <w:rPr>
          <w:color w:val="231F1F"/>
          <w:w w:val="110"/>
        </w:rPr>
        <w:t>asegurar</w:t>
      </w:r>
      <w:r>
        <w:rPr>
          <w:color w:val="231F1F"/>
          <w:spacing w:val="-3"/>
          <w:w w:val="110"/>
        </w:rPr>
        <w:t> </w:t>
      </w:r>
      <w:r>
        <w:rPr>
          <w:color w:val="231F1F"/>
          <w:w w:val="110"/>
        </w:rPr>
        <w:t>su</w:t>
      </w:r>
      <w:r>
        <w:rPr>
          <w:color w:val="231F1F"/>
          <w:spacing w:val="-3"/>
          <w:w w:val="110"/>
        </w:rPr>
        <w:t> </w:t>
      </w:r>
      <w:r>
        <w:rPr>
          <w:color w:val="231F1F"/>
          <w:w w:val="110"/>
        </w:rPr>
        <w:t>comodidad</w:t>
      </w:r>
      <w:r>
        <w:rPr>
          <w:color w:val="231F1F"/>
          <w:spacing w:val="-3"/>
          <w:w w:val="110"/>
        </w:rPr>
        <w:t> </w:t>
      </w:r>
      <w:r>
        <w:rPr>
          <w:color w:val="231F1F"/>
          <w:w w:val="110"/>
        </w:rPr>
        <w:t>y</w:t>
      </w:r>
      <w:r>
        <w:rPr>
          <w:color w:val="231F1F"/>
          <w:spacing w:val="-3"/>
          <w:w w:val="110"/>
        </w:rPr>
        <w:t> </w:t>
      </w:r>
      <w:r>
        <w:rPr>
          <w:color w:val="231F1F"/>
          <w:w w:val="110"/>
        </w:rPr>
        <w:t>que</w:t>
      </w:r>
      <w:r>
        <w:rPr>
          <w:color w:val="231F1F"/>
          <w:spacing w:val="-4"/>
          <w:w w:val="110"/>
        </w:rPr>
        <w:t> </w:t>
      </w:r>
      <w:r>
        <w:rPr>
          <w:color w:val="231F1F"/>
          <w:w w:val="110"/>
        </w:rPr>
        <w:t>no</w:t>
      </w:r>
      <w:r>
        <w:rPr>
          <w:color w:val="231F1F"/>
          <w:spacing w:val="-3"/>
          <w:w w:val="110"/>
        </w:rPr>
        <w:t> </w:t>
      </w:r>
      <w:r>
        <w:rPr>
          <w:color w:val="231F1F"/>
          <w:w w:val="110"/>
        </w:rPr>
        <w:t>presenta </w:t>
      </w:r>
      <w:r>
        <w:rPr>
          <w:color w:val="231F1F"/>
          <w:spacing w:val="-2"/>
          <w:w w:val="110"/>
        </w:rPr>
        <w:t>fiebre.</w:t>
      </w:r>
    </w:p>
    <w:p>
      <w:pPr>
        <w:pStyle w:val="BodyText"/>
        <w:spacing w:line="249" w:lineRule="auto" w:before="152"/>
        <w:ind w:left="283" w:right="120" w:firstLine="453"/>
        <w:jc w:val="both"/>
      </w:pPr>
      <w:r>
        <w:rPr>
          <w:color w:val="231F1F"/>
          <w:w w:val="105"/>
        </w:rPr>
        <w:t>Para</w:t>
      </w:r>
      <w:r>
        <w:rPr>
          <w:color w:val="231F1F"/>
          <w:spacing w:val="19"/>
          <w:w w:val="105"/>
        </w:rPr>
        <w:t> </w:t>
      </w:r>
      <w:r>
        <w:rPr>
          <w:color w:val="231F1F"/>
          <w:w w:val="105"/>
        </w:rPr>
        <w:t>que</w:t>
      </w:r>
      <w:r>
        <w:rPr>
          <w:color w:val="231F1F"/>
          <w:spacing w:val="20"/>
          <w:w w:val="105"/>
        </w:rPr>
        <w:t> </w:t>
      </w:r>
      <w:r>
        <w:rPr>
          <w:color w:val="231F1F"/>
          <w:w w:val="105"/>
        </w:rPr>
        <w:t>sea</w:t>
      </w:r>
      <w:r>
        <w:rPr>
          <w:color w:val="231F1F"/>
          <w:spacing w:val="20"/>
          <w:w w:val="105"/>
        </w:rPr>
        <w:t> </w:t>
      </w:r>
      <w:r>
        <w:rPr>
          <w:color w:val="231F1F"/>
          <w:w w:val="105"/>
        </w:rPr>
        <w:t>eficaz</w:t>
      </w:r>
      <w:r>
        <w:rPr>
          <w:color w:val="231F1F"/>
          <w:spacing w:val="20"/>
          <w:w w:val="105"/>
        </w:rPr>
        <w:t> </w:t>
      </w:r>
      <w:r>
        <w:rPr>
          <w:color w:val="231F1F"/>
          <w:w w:val="105"/>
        </w:rPr>
        <w:t>el</w:t>
      </w:r>
      <w:r>
        <w:rPr>
          <w:color w:val="231F1F"/>
          <w:spacing w:val="20"/>
          <w:w w:val="105"/>
        </w:rPr>
        <w:t> </w:t>
      </w:r>
      <w:r>
        <w:rPr>
          <w:color w:val="231F1F"/>
          <w:w w:val="105"/>
        </w:rPr>
        <w:t>agua</w:t>
      </w:r>
      <w:r>
        <w:rPr>
          <w:color w:val="231F1F"/>
          <w:spacing w:val="20"/>
          <w:w w:val="105"/>
        </w:rPr>
        <w:t> </w:t>
      </w:r>
      <w:r>
        <w:rPr>
          <w:color w:val="231F1F"/>
          <w:w w:val="105"/>
        </w:rPr>
        <w:t>debe</w:t>
      </w:r>
      <w:r>
        <w:rPr>
          <w:color w:val="231F1F"/>
          <w:spacing w:val="20"/>
          <w:w w:val="105"/>
        </w:rPr>
        <w:t> </w:t>
      </w:r>
      <w:r>
        <w:rPr>
          <w:color w:val="231F1F"/>
          <w:w w:val="105"/>
        </w:rPr>
        <w:t>cubrir</w:t>
      </w:r>
      <w:r>
        <w:rPr>
          <w:color w:val="231F1F"/>
          <w:spacing w:val="21"/>
          <w:w w:val="105"/>
        </w:rPr>
        <w:t> </w:t>
      </w:r>
      <w:r>
        <w:rPr>
          <w:color w:val="231F1F"/>
          <w:w w:val="105"/>
        </w:rPr>
        <w:t>el</w:t>
      </w:r>
      <w:r>
        <w:rPr>
          <w:color w:val="231F1F"/>
          <w:spacing w:val="20"/>
          <w:w w:val="105"/>
        </w:rPr>
        <w:t> </w:t>
      </w:r>
      <w:r>
        <w:rPr>
          <w:color w:val="231F1F"/>
          <w:w w:val="105"/>
        </w:rPr>
        <w:t>abdomen</w:t>
      </w:r>
      <w:r>
        <w:rPr>
          <w:color w:val="231F1F"/>
          <w:spacing w:val="21"/>
          <w:w w:val="105"/>
        </w:rPr>
        <w:t> </w:t>
      </w:r>
      <w:r>
        <w:rPr>
          <w:color w:val="231F1F"/>
          <w:w w:val="105"/>
        </w:rPr>
        <w:t>de</w:t>
      </w:r>
      <w:r>
        <w:rPr>
          <w:color w:val="231F1F"/>
          <w:spacing w:val="20"/>
          <w:w w:val="105"/>
        </w:rPr>
        <w:t> </w:t>
      </w:r>
      <w:r>
        <w:rPr>
          <w:color w:val="231F1F"/>
          <w:w w:val="105"/>
        </w:rPr>
        <w:t>la</w:t>
      </w:r>
      <w:r>
        <w:rPr>
          <w:color w:val="231F1F"/>
          <w:spacing w:val="20"/>
          <w:w w:val="105"/>
        </w:rPr>
        <w:t> </w:t>
      </w:r>
      <w:r>
        <w:rPr>
          <w:color w:val="231F1F"/>
          <w:w w:val="105"/>
        </w:rPr>
        <w:t>madre.</w:t>
      </w:r>
      <w:r>
        <w:rPr>
          <w:color w:val="231F1F"/>
          <w:spacing w:val="20"/>
          <w:w w:val="105"/>
        </w:rPr>
        <w:t> </w:t>
      </w:r>
      <w:r>
        <w:rPr>
          <w:color w:val="231F1F"/>
          <w:w w:val="105"/>
        </w:rPr>
        <w:t>Se</w:t>
      </w:r>
      <w:r>
        <w:rPr>
          <w:color w:val="231F1F"/>
          <w:spacing w:val="20"/>
          <w:w w:val="105"/>
        </w:rPr>
        <w:t> </w:t>
      </w:r>
      <w:r>
        <w:rPr>
          <w:color w:val="231F1F"/>
          <w:w w:val="105"/>
        </w:rPr>
        <w:t>recomienda</w:t>
      </w:r>
      <w:r>
        <w:rPr>
          <w:color w:val="231F1F"/>
          <w:spacing w:val="21"/>
          <w:w w:val="105"/>
        </w:rPr>
        <w:t> </w:t>
      </w:r>
      <w:r>
        <w:rPr>
          <w:color w:val="231F1F"/>
          <w:w w:val="105"/>
        </w:rPr>
        <w:t>que la temperatura del agua se mantenga por debajo de 37,5 </w:t>
      </w:r>
      <w:r>
        <w:rPr>
          <w:color w:val="231F1F"/>
          <w:w w:val="105"/>
          <w:position w:val="7"/>
          <w:sz w:val="12"/>
        </w:rPr>
        <w:t>o</w:t>
      </w:r>
      <w:r>
        <w:rPr>
          <w:color w:val="231F1F"/>
          <w:w w:val="105"/>
        </w:rPr>
        <w:t>C para que no provoquen hiper- termia. Además debe evitarse la administración de opioides en mujeres que quieran utilizar la inmersión en agua caliente. No existen datos que permitan recomendar el momento más adecuado</w:t>
      </w:r>
      <w:r>
        <w:rPr>
          <w:color w:val="231F1F"/>
          <w:spacing w:val="40"/>
          <w:w w:val="105"/>
        </w:rPr>
        <w:t> </w:t>
      </w:r>
      <w:r>
        <w:rPr>
          <w:color w:val="231F1F"/>
          <w:w w:val="105"/>
        </w:rPr>
        <w:t>para</w:t>
      </w:r>
      <w:r>
        <w:rPr>
          <w:color w:val="231F1F"/>
          <w:spacing w:val="40"/>
          <w:w w:val="105"/>
        </w:rPr>
        <w:t> </w:t>
      </w:r>
      <w:r>
        <w:rPr>
          <w:color w:val="231F1F"/>
          <w:w w:val="105"/>
        </w:rPr>
        <w:t>la</w:t>
      </w:r>
      <w:r>
        <w:rPr>
          <w:color w:val="231F1F"/>
          <w:spacing w:val="40"/>
          <w:w w:val="105"/>
        </w:rPr>
        <w:t> </w:t>
      </w:r>
      <w:r>
        <w:rPr>
          <w:color w:val="231F1F"/>
          <w:w w:val="105"/>
        </w:rPr>
        <w:t>inmersión</w:t>
      </w:r>
      <w:r>
        <w:rPr>
          <w:color w:val="231F1F"/>
          <w:spacing w:val="40"/>
          <w:w w:val="105"/>
        </w:rPr>
        <w:t> </w:t>
      </w:r>
      <w:r>
        <w:rPr>
          <w:color w:val="231F1F"/>
          <w:w w:val="105"/>
        </w:rPr>
        <w:t>ni</w:t>
      </w:r>
      <w:r>
        <w:rPr>
          <w:color w:val="231F1F"/>
          <w:spacing w:val="40"/>
          <w:w w:val="105"/>
        </w:rPr>
        <w:t> </w:t>
      </w:r>
      <w:r>
        <w:rPr>
          <w:color w:val="231F1F"/>
          <w:w w:val="105"/>
        </w:rPr>
        <w:t>tampoco</w:t>
      </w:r>
      <w:r>
        <w:rPr>
          <w:color w:val="231F1F"/>
          <w:spacing w:val="40"/>
          <w:w w:val="105"/>
        </w:rPr>
        <w:t> </w:t>
      </w:r>
      <w:r>
        <w:rPr>
          <w:color w:val="231F1F"/>
          <w:w w:val="105"/>
        </w:rPr>
        <w:t>para</w:t>
      </w:r>
      <w:r>
        <w:rPr>
          <w:color w:val="231F1F"/>
          <w:spacing w:val="40"/>
          <w:w w:val="105"/>
        </w:rPr>
        <w:t> </w:t>
      </w:r>
      <w:r>
        <w:rPr>
          <w:color w:val="231F1F"/>
          <w:w w:val="105"/>
        </w:rPr>
        <w:t>el</w:t>
      </w:r>
      <w:r>
        <w:rPr>
          <w:color w:val="231F1F"/>
          <w:spacing w:val="40"/>
          <w:w w:val="105"/>
        </w:rPr>
        <w:t> </w:t>
      </w:r>
      <w:r>
        <w:rPr>
          <w:color w:val="231F1F"/>
          <w:w w:val="105"/>
        </w:rPr>
        <w:t>tiempo</w:t>
      </w:r>
      <w:r>
        <w:rPr>
          <w:color w:val="231F1F"/>
          <w:spacing w:val="40"/>
          <w:w w:val="105"/>
        </w:rPr>
        <w:t> </w:t>
      </w:r>
      <w:r>
        <w:rPr>
          <w:color w:val="231F1F"/>
          <w:w w:val="105"/>
        </w:rPr>
        <w:t>de</w:t>
      </w:r>
      <w:r>
        <w:rPr>
          <w:color w:val="231F1F"/>
          <w:spacing w:val="40"/>
          <w:w w:val="105"/>
        </w:rPr>
        <w:t> </w:t>
      </w:r>
      <w:r>
        <w:rPr>
          <w:color w:val="231F1F"/>
          <w:w w:val="105"/>
        </w:rPr>
        <w:t>permanencia</w:t>
      </w:r>
      <w:r>
        <w:rPr>
          <w:color w:val="231F1F"/>
          <w:spacing w:val="40"/>
          <w:w w:val="105"/>
        </w:rPr>
        <w:t> </w:t>
      </w:r>
      <w:r>
        <w:rPr>
          <w:color w:val="231F1F"/>
          <w:w w:val="105"/>
        </w:rPr>
        <w:t>en</w:t>
      </w:r>
      <w:r>
        <w:rPr>
          <w:color w:val="231F1F"/>
          <w:spacing w:val="40"/>
          <w:w w:val="105"/>
        </w:rPr>
        <w:t> </w:t>
      </w:r>
      <w:r>
        <w:rPr>
          <w:color w:val="231F1F"/>
          <w:w w:val="105"/>
        </w:rPr>
        <w:t>la</w:t>
      </w:r>
      <w:r>
        <w:rPr>
          <w:color w:val="231F1F"/>
          <w:spacing w:val="40"/>
          <w:w w:val="105"/>
        </w:rPr>
        <w:t> </w:t>
      </w:r>
      <w:r>
        <w:rPr>
          <w:color w:val="231F1F"/>
          <w:w w:val="105"/>
        </w:rPr>
        <w:t>bañera.</w:t>
      </w:r>
    </w:p>
    <w:p>
      <w:pPr>
        <w:pStyle w:val="BodyText"/>
        <w:spacing w:after="0" w:line="249" w:lineRule="auto"/>
        <w:jc w:val="both"/>
        <w:sectPr>
          <w:pgSz w:w="11900" w:h="16840"/>
          <w:pgMar w:header="0" w:footer="622" w:top="1560" w:bottom="820" w:left="1417" w:right="1559"/>
        </w:sectPr>
      </w:pPr>
    </w:p>
    <w:p>
      <w:pPr>
        <w:spacing w:before="82"/>
        <w:ind w:left="736" w:right="0" w:firstLine="0"/>
        <w:jc w:val="left"/>
        <w:rPr>
          <w:rFonts w:ascii="Arial MT"/>
          <w:sz w:val="24"/>
        </w:rPr>
      </w:pPr>
      <w:r>
        <w:rPr>
          <w:rFonts w:ascii="Arial MT"/>
          <w:color w:val="231F1F"/>
          <w:spacing w:val="-2"/>
          <w:sz w:val="24"/>
        </w:rPr>
        <w:t>Masaje</w:t>
      </w:r>
    </w:p>
    <w:p>
      <w:pPr>
        <w:pStyle w:val="BodyText"/>
        <w:spacing w:before="214"/>
        <w:ind w:left="283" w:right="124"/>
        <w:jc w:val="both"/>
      </w:pPr>
      <w:r>
        <w:rPr>
          <w:color w:val="231F1F"/>
          <w:w w:val="110"/>
        </w:rPr>
        <w:t>Las</w:t>
      </w:r>
      <w:r>
        <w:rPr>
          <w:color w:val="231F1F"/>
          <w:spacing w:val="-9"/>
          <w:w w:val="110"/>
        </w:rPr>
        <w:t> </w:t>
      </w:r>
      <w:r>
        <w:rPr>
          <w:color w:val="231F1F"/>
          <w:w w:val="110"/>
        </w:rPr>
        <w:t>matronas</w:t>
      </w:r>
      <w:r>
        <w:rPr>
          <w:color w:val="231F1F"/>
          <w:spacing w:val="-8"/>
          <w:w w:val="110"/>
        </w:rPr>
        <w:t> </w:t>
      </w:r>
      <w:r>
        <w:rPr>
          <w:color w:val="231F1F"/>
          <w:w w:val="110"/>
        </w:rPr>
        <w:t>y</w:t>
      </w:r>
      <w:r>
        <w:rPr>
          <w:color w:val="231F1F"/>
          <w:spacing w:val="-8"/>
          <w:w w:val="110"/>
        </w:rPr>
        <w:t> </w:t>
      </w:r>
      <w:r>
        <w:rPr>
          <w:color w:val="231F1F"/>
          <w:w w:val="110"/>
        </w:rPr>
        <w:t>enfermeras</w:t>
      </w:r>
      <w:r>
        <w:rPr>
          <w:color w:val="231F1F"/>
          <w:spacing w:val="-8"/>
          <w:w w:val="110"/>
        </w:rPr>
        <w:t> </w:t>
      </w:r>
      <w:r>
        <w:rPr>
          <w:color w:val="231F1F"/>
          <w:w w:val="110"/>
        </w:rPr>
        <w:t>debieran</w:t>
      </w:r>
      <w:r>
        <w:rPr>
          <w:color w:val="231F1F"/>
          <w:spacing w:val="-9"/>
          <w:w w:val="110"/>
        </w:rPr>
        <w:t> </w:t>
      </w:r>
      <w:r>
        <w:rPr>
          <w:color w:val="231F1F"/>
          <w:w w:val="110"/>
        </w:rPr>
        <w:t>considerar</w:t>
      </w:r>
      <w:r>
        <w:rPr>
          <w:color w:val="231F1F"/>
          <w:spacing w:val="-8"/>
          <w:w w:val="110"/>
        </w:rPr>
        <w:t> </w:t>
      </w:r>
      <w:r>
        <w:rPr>
          <w:color w:val="231F1F"/>
          <w:w w:val="110"/>
        </w:rPr>
        <w:t>el</w:t>
      </w:r>
      <w:r>
        <w:rPr>
          <w:color w:val="231F1F"/>
          <w:spacing w:val="-9"/>
          <w:w w:val="110"/>
        </w:rPr>
        <w:t> </w:t>
      </w:r>
      <w:r>
        <w:rPr>
          <w:color w:val="231F1F"/>
          <w:w w:val="110"/>
        </w:rPr>
        <w:t>uso</w:t>
      </w:r>
      <w:r>
        <w:rPr>
          <w:color w:val="231F1F"/>
          <w:spacing w:val="-8"/>
          <w:w w:val="110"/>
        </w:rPr>
        <w:t> </w:t>
      </w:r>
      <w:r>
        <w:rPr>
          <w:color w:val="231F1F"/>
          <w:w w:val="110"/>
        </w:rPr>
        <w:t>del</w:t>
      </w:r>
      <w:r>
        <w:rPr>
          <w:color w:val="231F1F"/>
          <w:spacing w:val="-9"/>
          <w:w w:val="110"/>
        </w:rPr>
        <w:t> </w:t>
      </w:r>
      <w:r>
        <w:rPr>
          <w:color w:val="231F1F"/>
          <w:w w:val="110"/>
        </w:rPr>
        <w:t>masaje</w:t>
      </w:r>
      <w:r>
        <w:rPr>
          <w:color w:val="231F1F"/>
          <w:spacing w:val="-8"/>
          <w:w w:val="110"/>
        </w:rPr>
        <w:t> </w:t>
      </w:r>
      <w:r>
        <w:rPr>
          <w:color w:val="231F1F"/>
          <w:w w:val="110"/>
        </w:rPr>
        <w:t>para</w:t>
      </w:r>
      <w:r>
        <w:rPr>
          <w:color w:val="231F1F"/>
          <w:spacing w:val="-9"/>
          <w:w w:val="110"/>
        </w:rPr>
        <w:t> </w:t>
      </w:r>
      <w:r>
        <w:rPr>
          <w:color w:val="231F1F"/>
          <w:w w:val="110"/>
        </w:rPr>
        <w:t>ayudar</w:t>
      </w:r>
      <w:r>
        <w:rPr>
          <w:color w:val="231F1F"/>
          <w:spacing w:val="-8"/>
          <w:w w:val="110"/>
        </w:rPr>
        <w:t> </w:t>
      </w:r>
      <w:r>
        <w:rPr>
          <w:color w:val="231F1F"/>
          <w:w w:val="110"/>
        </w:rPr>
        <w:t>en</w:t>
      </w:r>
      <w:r>
        <w:rPr>
          <w:color w:val="231F1F"/>
          <w:spacing w:val="-8"/>
          <w:w w:val="110"/>
        </w:rPr>
        <w:t> </w:t>
      </w:r>
      <w:r>
        <w:rPr>
          <w:color w:val="231F1F"/>
          <w:w w:val="110"/>
        </w:rPr>
        <w:t>el</w:t>
      </w:r>
      <w:r>
        <w:rPr>
          <w:color w:val="231F1F"/>
          <w:spacing w:val="-9"/>
          <w:w w:val="110"/>
        </w:rPr>
        <w:t> </w:t>
      </w:r>
      <w:r>
        <w:rPr>
          <w:color w:val="231F1F"/>
          <w:w w:val="110"/>
        </w:rPr>
        <w:t>dolor del trabajo de parto.</w:t>
      </w:r>
    </w:p>
    <w:p>
      <w:pPr>
        <w:pStyle w:val="BodyText"/>
        <w:spacing w:line="249" w:lineRule="auto" w:before="147"/>
        <w:ind w:left="283" w:right="119" w:firstLine="453"/>
        <w:jc w:val="both"/>
      </w:pPr>
      <w:r>
        <w:rPr>
          <w:color w:val="231F1F"/>
          <w:w w:val="105"/>
        </w:rPr>
        <w:t>La</w:t>
      </w:r>
      <w:r>
        <w:rPr>
          <w:color w:val="231F1F"/>
          <w:w w:val="105"/>
        </w:rPr>
        <w:t> recomendación</w:t>
      </w:r>
      <w:r>
        <w:rPr>
          <w:color w:val="231F1F"/>
          <w:w w:val="105"/>
        </w:rPr>
        <w:t> tiene</w:t>
      </w:r>
      <w:r>
        <w:rPr>
          <w:color w:val="231F1F"/>
          <w:w w:val="105"/>
        </w:rPr>
        <w:t> un</w:t>
      </w:r>
      <w:r>
        <w:rPr>
          <w:color w:val="231F1F"/>
          <w:w w:val="105"/>
        </w:rPr>
        <w:t> grado</w:t>
      </w:r>
      <w:r>
        <w:rPr>
          <w:color w:val="231F1F"/>
          <w:w w:val="105"/>
        </w:rPr>
        <w:t> B</w:t>
      </w:r>
      <w:r>
        <w:rPr>
          <w:color w:val="231F1F"/>
          <w:w w:val="105"/>
        </w:rPr>
        <w:t> porque</w:t>
      </w:r>
      <w:r>
        <w:rPr>
          <w:color w:val="231F1F"/>
          <w:w w:val="105"/>
        </w:rPr>
        <w:t> se</w:t>
      </w:r>
      <w:r>
        <w:rPr>
          <w:color w:val="231F1F"/>
          <w:w w:val="105"/>
        </w:rPr>
        <w:t> precisa</w:t>
      </w:r>
      <w:r>
        <w:rPr>
          <w:color w:val="231F1F"/>
          <w:w w:val="105"/>
        </w:rPr>
        <w:t> entrenamiento.</w:t>
      </w:r>
      <w:r>
        <w:rPr>
          <w:color w:val="231F1F"/>
          <w:w w:val="105"/>
        </w:rPr>
        <w:t> Valorar</w:t>
      </w:r>
      <w:r>
        <w:rPr>
          <w:color w:val="231F1F"/>
          <w:w w:val="105"/>
        </w:rPr>
        <w:t> las posibles implicaciones en nuestro contexto, ya que no se exigirá que sea una persona en- trenada. Pero el mero contacto físico ha demostrado ser beneficioso para el alivio del dolor.</w:t>
      </w:r>
    </w:p>
    <w:p>
      <w:pPr>
        <w:pStyle w:val="BodyText"/>
        <w:spacing w:before="138"/>
      </w:pPr>
    </w:p>
    <w:p>
      <w:pPr>
        <w:spacing w:before="0"/>
        <w:ind w:left="736" w:right="0" w:firstLine="0"/>
        <w:jc w:val="left"/>
        <w:rPr>
          <w:rFonts w:ascii="Arial MT" w:hAnsi="Arial MT"/>
          <w:sz w:val="24"/>
        </w:rPr>
      </w:pPr>
      <w:r>
        <w:rPr>
          <w:rFonts w:ascii="Arial MT" w:hAnsi="Arial MT"/>
          <w:color w:val="231F1F"/>
          <w:w w:val="105"/>
          <w:sz w:val="24"/>
        </w:rPr>
        <w:t>Inyección</w:t>
      </w:r>
      <w:r>
        <w:rPr>
          <w:rFonts w:ascii="Arial MT" w:hAnsi="Arial MT"/>
          <w:color w:val="231F1F"/>
          <w:spacing w:val="-13"/>
          <w:w w:val="105"/>
          <w:sz w:val="24"/>
        </w:rPr>
        <w:t> </w:t>
      </w:r>
      <w:r>
        <w:rPr>
          <w:rFonts w:ascii="Arial MT" w:hAnsi="Arial MT"/>
          <w:color w:val="231F1F"/>
          <w:w w:val="105"/>
          <w:sz w:val="24"/>
        </w:rPr>
        <w:t>de</w:t>
      </w:r>
      <w:r>
        <w:rPr>
          <w:rFonts w:ascii="Arial MT" w:hAnsi="Arial MT"/>
          <w:color w:val="231F1F"/>
          <w:spacing w:val="-13"/>
          <w:w w:val="105"/>
          <w:sz w:val="24"/>
        </w:rPr>
        <w:t> </w:t>
      </w:r>
      <w:r>
        <w:rPr>
          <w:rFonts w:ascii="Arial MT" w:hAnsi="Arial MT"/>
          <w:color w:val="231F1F"/>
          <w:w w:val="105"/>
          <w:sz w:val="24"/>
        </w:rPr>
        <w:t>agua</w:t>
      </w:r>
      <w:r>
        <w:rPr>
          <w:rFonts w:ascii="Arial MT" w:hAnsi="Arial MT"/>
          <w:color w:val="231F1F"/>
          <w:spacing w:val="-12"/>
          <w:w w:val="105"/>
          <w:sz w:val="24"/>
        </w:rPr>
        <w:t> </w:t>
      </w:r>
      <w:r>
        <w:rPr>
          <w:rFonts w:ascii="Arial MT" w:hAnsi="Arial MT"/>
          <w:color w:val="231F1F"/>
          <w:spacing w:val="-2"/>
          <w:w w:val="105"/>
          <w:sz w:val="24"/>
        </w:rPr>
        <w:t>estéril</w:t>
      </w:r>
    </w:p>
    <w:p>
      <w:pPr>
        <w:pStyle w:val="BodyText"/>
        <w:spacing w:before="209"/>
        <w:ind w:left="283"/>
        <w:jc w:val="both"/>
      </w:pPr>
      <w:r>
        <w:rPr>
          <w:color w:val="231F1F"/>
        </w:rPr>
        <w:t>Aportar</w:t>
      </w:r>
      <w:r>
        <w:rPr>
          <w:color w:val="231F1F"/>
          <w:spacing w:val="29"/>
        </w:rPr>
        <w:t> </w:t>
      </w:r>
      <w:r>
        <w:rPr>
          <w:color w:val="231F1F"/>
        </w:rPr>
        <w:t>experiencias</w:t>
      </w:r>
      <w:r>
        <w:rPr>
          <w:color w:val="231F1F"/>
          <w:spacing w:val="31"/>
        </w:rPr>
        <w:t> </w:t>
      </w:r>
      <w:r>
        <w:rPr>
          <w:color w:val="231F1F"/>
        </w:rPr>
        <w:t>sobre</w:t>
      </w:r>
      <w:r>
        <w:rPr>
          <w:color w:val="231F1F"/>
          <w:spacing w:val="31"/>
        </w:rPr>
        <w:t> </w:t>
      </w:r>
      <w:r>
        <w:rPr>
          <w:color w:val="231F1F"/>
        </w:rPr>
        <w:t>el</w:t>
      </w:r>
      <w:r>
        <w:rPr>
          <w:color w:val="231F1F"/>
          <w:spacing w:val="29"/>
        </w:rPr>
        <w:t> </w:t>
      </w:r>
      <w:r>
        <w:rPr>
          <w:color w:val="231F1F"/>
        </w:rPr>
        <w:t>uso</w:t>
      </w:r>
      <w:r>
        <w:rPr>
          <w:color w:val="231F1F"/>
          <w:spacing w:val="32"/>
        </w:rPr>
        <w:t> </w:t>
      </w:r>
      <w:r>
        <w:rPr>
          <w:color w:val="231F1F"/>
        </w:rPr>
        <w:t>de</w:t>
      </w:r>
      <w:r>
        <w:rPr>
          <w:color w:val="231F1F"/>
          <w:spacing w:val="31"/>
        </w:rPr>
        <w:t> </w:t>
      </w:r>
      <w:r>
        <w:rPr>
          <w:color w:val="231F1F"/>
        </w:rPr>
        <w:t>la</w:t>
      </w:r>
      <w:r>
        <w:rPr>
          <w:color w:val="231F1F"/>
          <w:spacing w:val="29"/>
        </w:rPr>
        <w:t> </w:t>
      </w:r>
      <w:r>
        <w:rPr>
          <w:color w:val="231F1F"/>
        </w:rPr>
        <w:t>inyección</w:t>
      </w:r>
      <w:r>
        <w:rPr>
          <w:color w:val="231F1F"/>
          <w:spacing w:val="32"/>
        </w:rPr>
        <w:t> </w:t>
      </w:r>
      <w:r>
        <w:rPr>
          <w:color w:val="231F1F"/>
        </w:rPr>
        <w:t>de</w:t>
      </w:r>
      <w:r>
        <w:rPr>
          <w:color w:val="231F1F"/>
          <w:spacing w:val="32"/>
        </w:rPr>
        <w:t> </w:t>
      </w:r>
      <w:r>
        <w:rPr>
          <w:color w:val="231F1F"/>
        </w:rPr>
        <w:t>agua</w:t>
      </w:r>
      <w:r>
        <w:rPr>
          <w:color w:val="231F1F"/>
          <w:spacing w:val="30"/>
        </w:rPr>
        <w:t> </w:t>
      </w:r>
      <w:r>
        <w:rPr>
          <w:color w:val="231F1F"/>
          <w:spacing w:val="-2"/>
        </w:rPr>
        <w:t>estéril.</w:t>
      </w:r>
    </w:p>
    <w:p>
      <w:pPr>
        <w:pStyle w:val="BodyText"/>
        <w:spacing w:line="249" w:lineRule="auto" w:before="170"/>
        <w:ind w:left="283" w:right="119" w:firstLine="453"/>
        <w:jc w:val="both"/>
      </w:pPr>
      <w:r>
        <w:rPr>
          <w:color w:val="231F1F"/>
          <w:w w:val="105"/>
        </w:rPr>
        <w:t>El</w:t>
      </w:r>
      <w:r>
        <w:rPr>
          <w:color w:val="231F1F"/>
          <w:spacing w:val="-3"/>
          <w:w w:val="105"/>
        </w:rPr>
        <w:t> </w:t>
      </w:r>
      <w:r>
        <w:rPr>
          <w:color w:val="231F1F"/>
          <w:w w:val="105"/>
        </w:rPr>
        <w:t>mecanismo</w:t>
      </w:r>
      <w:r>
        <w:rPr>
          <w:color w:val="231F1F"/>
          <w:spacing w:val="-3"/>
          <w:w w:val="105"/>
        </w:rPr>
        <w:t> </w:t>
      </w:r>
      <w:r>
        <w:rPr>
          <w:color w:val="231F1F"/>
          <w:w w:val="105"/>
        </w:rPr>
        <w:t>de</w:t>
      </w:r>
      <w:r>
        <w:rPr>
          <w:color w:val="231F1F"/>
          <w:spacing w:val="-3"/>
          <w:w w:val="105"/>
        </w:rPr>
        <w:t> </w:t>
      </w:r>
      <w:r>
        <w:rPr>
          <w:color w:val="231F1F"/>
          <w:w w:val="105"/>
        </w:rPr>
        <w:t>acción</w:t>
      </w:r>
      <w:r>
        <w:rPr>
          <w:color w:val="231F1F"/>
          <w:spacing w:val="-3"/>
          <w:w w:val="105"/>
        </w:rPr>
        <w:t> </w:t>
      </w:r>
      <w:r>
        <w:rPr>
          <w:color w:val="231F1F"/>
          <w:w w:val="105"/>
        </w:rPr>
        <w:t>de</w:t>
      </w:r>
      <w:r>
        <w:rPr>
          <w:color w:val="231F1F"/>
          <w:spacing w:val="-3"/>
          <w:w w:val="105"/>
        </w:rPr>
        <w:t> </w:t>
      </w:r>
      <w:r>
        <w:rPr>
          <w:color w:val="231F1F"/>
          <w:w w:val="105"/>
        </w:rPr>
        <w:t>este</w:t>
      </w:r>
      <w:r>
        <w:rPr>
          <w:color w:val="231F1F"/>
          <w:spacing w:val="-3"/>
          <w:w w:val="105"/>
        </w:rPr>
        <w:t> </w:t>
      </w:r>
      <w:r>
        <w:rPr>
          <w:color w:val="231F1F"/>
          <w:w w:val="105"/>
        </w:rPr>
        <w:t>método</w:t>
      </w:r>
      <w:r>
        <w:rPr>
          <w:color w:val="231F1F"/>
          <w:spacing w:val="-3"/>
          <w:w w:val="105"/>
        </w:rPr>
        <w:t> </w:t>
      </w:r>
      <w:r>
        <w:rPr>
          <w:color w:val="231F1F"/>
          <w:w w:val="105"/>
        </w:rPr>
        <w:t>analgésico</w:t>
      </w:r>
      <w:r>
        <w:rPr>
          <w:color w:val="231F1F"/>
          <w:spacing w:val="-3"/>
          <w:w w:val="105"/>
        </w:rPr>
        <w:t> </w:t>
      </w:r>
      <w:r>
        <w:rPr>
          <w:color w:val="231F1F"/>
          <w:w w:val="105"/>
        </w:rPr>
        <w:t>es</w:t>
      </w:r>
      <w:r>
        <w:rPr>
          <w:color w:val="231F1F"/>
          <w:spacing w:val="-3"/>
          <w:w w:val="105"/>
        </w:rPr>
        <w:t> </w:t>
      </w:r>
      <w:r>
        <w:rPr>
          <w:color w:val="231F1F"/>
          <w:w w:val="105"/>
        </w:rPr>
        <w:t>desconocido.</w:t>
      </w:r>
      <w:r>
        <w:rPr>
          <w:color w:val="231F1F"/>
          <w:spacing w:val="-4"/>
          <w:w w:val="105"/>
        </w:rPr>
        <w:t> </w:t>
      </w:r>
      <w:r>
        <w:rPr>
          <w:color w:val="231F1F"/>
          <w:w w:val="105"/>
        </w:rPr>
        <w:t>Consiste</w:t>
      </w:r>
      <w:r>
        <w:rPr>
          <w:color w:val="231F1F"/>
          <w:spacing w:val="-4"/>
          <w:w w:val="105"/>
        </w:rPr>
        <w:t> </w:t>
      </w:r>
      <w:r>
        <w:rPr>
          <w:color w:val="231F1F"/>
          <w:w w:val="105"/>
        </w:rPr>
        <w:t>en</w:t>
      </w:r>
      <w:r>
        <w:rPr>
          <w:color w:val="231F1F"/>
          <w:spacing w:val="-3"/>
          <w:w w:val="105"/>
        </w:rPr>
        <w:t> </w:t>
      </w:r>
      <w:r>
        <w:rPr>
          <w:color w:val="231F1F"/>
          <w:w w:val="105"/>
        </w:rPr>
        <w:t>aplicar 4</w:t>
      </w:r>
      <w:r>
        <w:rPr>
          <w:color w:val="231F1F"/>
          <w:spacing w:val="-6"/>
          <w:w w:val="105"/>
        </w:rPr>
        <w:t> </w:t>
      </w:r>
      <w:r>
        <w:rPr>
          <w:color w:val="231F1F"/>
          <w:w w:val="105"/>
        </w:rPr>
        <w:t>inyecciones</w:t>
      </w:r>
      <w:r>
        <w:rPr>
          <w:color w:val="231F1F"/>
          <w:spacing w:val="-6"/>
          <w:w w:val="105"/>
        </w:rPr>
        <w:t> </w:t>
      </w:r>
      <w:r>
        <w:rPr>
          <w:color w:val="231F1F"/>
          <w:w w:val="105"/>
        </w:rPr>
        <w:t>intradérmicas</w:t>
      </w:r>
      <w:r>
        <w:rPr>
          <w:color w:val="231F1F"/>
          <w:spacing w:val="-7"/>
          <w:w w:val="105"/>
        </w:rPr>
        <w:t> </w:t>
      </w:r>
      <w:r>
        <w:rPr>
          <w:color w:val="231F1F"/>
          <w:w w:val="105"/>
        </w:rPr>
        <w:t>de</w:t>
      </w:r>
      <w:r>
        <w:rPr>
          <w:color w:val="231F1F"/>
          <w:spacing w:val="-6"/>
          <w:w w:val="105"/>
        </w:rPr>
        <w:t> </w:t>
      </w:r>
      <w:r>
        <w:rPr>
          <w:color w:val="231F1F"/>
          <w:w w:val="105"/>
        </w:rPr>
        <w:t>0.05-0.1</w:t>
      </w:r>
      <w:r>
        <w:rPr>
          <w:color w:val="231F1F"/>
          <w:spacing w:val="-6"/>
          <w:w w:val="105"/>
        </w:rPr>
        <w:t> </w:t>
      </w:r>
      <w:r>
        <w:rPr>
          <w:color w:val="231F1F"/>
          <w:w w:val="105"/>
        </w:rPr>
        <w:t>ml</w:t>
      </w:r>
      <w:r>
        <w:rPr>
          <w:color w:val="231F1F"/>
          <w:spacing w:val="-6"/>
          <w:w w:val="105"/>
        </w:rPr>
        <w:t> </w:t>
      </w:r>
      <w:r>
        <w:rPr>
          <w:color w:val="231F1F"/>
          <w:w w:val="105"/>
        </w:rPr>
        <w:t>de</w:t>
      </w:r>
      <w:r>
        <w:rPr>
          <w:color w:val="231F1F"/>
          <w:spacing w:val="-6"/>
          <w:w w:val="105"/>
        </w:rPr>
        <w:t> </w:t>
      </w:r>
      <w:r>
        <w:rPr>
          <w:color w:val="231F1F"/>
          <w:w w:val="105"/>
        </w:rPr>
        <w:t>agua</w:t>
      </w:r>
      <w:r>
        <w:rPr>
          <w:color w:val="231F1F"/>
          <w:spacing w:val="-6"/>
          <w:w w:val="105"/>
        </w:rPr>
        <w:t> </w:t>
      </w:r>
      <w:r>
        <w:rPr>
          <w:color w:val="231F1F"/>
          <w:w w:val="105"/>
        </w:rPr>
        <w:t>estéril</w:t>
      </w:r>
      <w:r>
        <w:rPr>
          <w:color w:val="231F1F"/>
          <w:spacing w:val="-6"/>
          <w:w w:val="105"/>
        </w:rPr>
        <w:t> </w:t>
      </w:r>
      <w:r>
        <w:rPr>
          <w:color w:val="231F1F"/>
          <w:w w:val="105"/>
        </w:rPr>
        <w:t>formando</w:t>
      </w:r>
      <w:r>
        <w:rPr>
          <w:color w:val="231F1F"/>
          <w:spacing w:val="-6"/>
          <w:w w:val="105"/>
        </w:rPr>
        <w:t> </w:t>
      </w:r>
      <w:r>
        <w:rPr>
          <w:color w:val="231F1F"/>
          <w:w w:val="105"/>
        </w:rPr>
        <w:t>unas</w:t>
      </w:r>
      <w:r>
        <w:rPr>
          <w:color w:val="231F1F"/>
          <w:spacing w:val="-6"/>
          <w:w w:val="105"/>
        </w:rPr>
        <w:t> </w:t>
      </w:r>
      <w:r>
        <w:rPr>
          <w:color w:val="231F1F"/>
          <w:w w:val="105"/>
        </w:rPr>
        <w:t>pequeñas</w:t>
      </w:r>
      <w:r>
        <w:rPr>
          <w:color w:val="231F1F"/>
          <w:spacing w:val="-6"/>
          <w:w w:val="105"/>
        </w:rPr>
        <w:t> </w:t>
      </w:r>
      <w:r>
        <w:rPr>
          <w:color w:val="231F1F"/>
          <w:w w:val="105"/>
        </w:rPr>
        <w:t>pápulas, dos</w:t>
      </w:r>
      <w:r>
        <w:rPr>
          <w:color w:val="231F1F"/>
          <w:w w:val="105"/>
        </w:rPr>
        <w:t> de</w:t>
      </w:r>
      <w:r>
        <w:rPr>
          <w:color w:val="231F1F"/>
          <w:w w:val="105"/>
        </w:rPr>
        <w:t> ellas</w:t>
      </w:r>
      <w:r>
        <w:rPr>
          <w:color w:val="231F1F"/>
          <w:w w:val="105"/>
        </w:rPr>
        <w:t> sobre</w:t>
      </w:r>
      <w:r>
        <w:rPr>
          <w:color w:val="231F1F"/>
          <w:w w:val="105"/>
        </w:rPr>
        <w:t> las</w:t>
      </w:r>
      <w:r>
        <w:rPr>
          <w:color w:val="231F1F"/>
          <w:w w:val="105"/>
        </w:rPr>
        <w:t> espinas</w:t>
      </w:r>
      <w:r>
        <w:rPr>
          <w:color w:val="231F1F"/>
          <w:w w:val="105"/>
        </w:rPr>
        <w:t> iliacas</w:t>
      </w:r>
      <w:r>
        <w:rPr>
          <w:color w:val="231F1F"/>
          <w:w w:val="105"/>
        </w:rPr>
        <w:t> posteriores</w:t>
      </w:r>
      <w:r>
        <w:rPr>
          <w:color w:val="231F1F"/>
          <w:w w:val="105"/>
        </w:rPr>
        <w:t> y</w:t>
      </w:r>
      <w:r>
        <w:rPr>
          <w:color w:val="231F1F"/>
          <w:w w:val="105"/>
        </w:rPr>
        <w:t> las</w:t>
      </w:r>
      <w:r>
        <w:rPr>
          <w:color w:val="231F1F"/>
          <w:w w:val="105"/>
        </w:rPr>
        <w:t> otras</w:t>
      </w:r>
      <w:r>
        <w:rPr>
          <w:color w:val="231F1F"/>
          <w:w w:val="105"/>
        </w:rPr>
        <w:t> dos</w:t>
      </w:r>
      <w:r>
        <w:rPr>
          <w:color w:val="231F1F"/>
          <w:w w:val="105"/>
        </w:rPr>
        <w:t> 3</w:t>
      </w:r>
      <w:r>
        <w:rPr>
          <w:color w:val="231F1F"/>
          <w:w w:val="105"/>
        </w:rPr>
        <w:t> cm</w:t>
      </w:r>
      <w:r>
        <w:rPr>
          <w:color w:val="231F1F"/>
          <w:w w:val="105"/>
        </w:rPr>
        <w:t> por</w:t>
      </w:r>
      <w:r>
        <w:rPr>
          <w:color w:val="231F1F"/>
          <w:w w:val="105"/>
        </w:rPr>
        <w:t> debajo</w:t>
      </w:r>
      <w:r>
        <w:rPr>
          <w:color w:val="231F1F"/>
          <w:w w:val="105"/>
        </w:rPr>
        <w:t> y</w:t>
      </w:r>
      <w:r>
        <w:rPr>
          <w:color w:val="231F1F"/>
          <w:w w:val="105"/>
        </w:rPr>
        <w:t> 1</w:t>
      </w:r>
      <w:r>
        <w:rPr>
          <w:color w:val="231F1F"/>
          <w:w w:val="105"/>
        </w:rPr>
        <w:t> cm mediales a las anteriores y conviene colocar las dos primeras inyecciones simultáneamente y</w:t>
      </w:r>
      <w:r>
        <w:rPr>
          <w:color w:val="231F1F"/>
          <w:w w:val="105"/>
        </w:rPr>
        <w:t> en</w:t>
      </w:r>
      <w:r>
        <w:rPr>
          <w:color w:val="231F1F"/>
          <w:w w:val="105"/>
        </w:rPr>
        <w:t> ambos</w:t>
      </w:r>
      <w:r>
        <w:rPr>
          <w:color w:val="231F1F"/>
          <w:w w:val="105"/>
        </w:rPr>
        <w:t> lados</w:t>
      </w:r>
      <w:r>
        <w:rPr>
          <w:color w:val="231F1F"/>
          <w:w w:val="105"/>
        </w:rPr>
        <w:t> porque</w:t>
      </w:r>
      <w:r>
        <w:rPr>
          <w:color w:val="231F1F"/>
          <w:w w:val="105"/>
        </w:rPr>
        <w:t> de</w:t>
      </w:r>
      <w:r>
        <w:rPr>
          <w:color w:val="231F1F"/>
          <w:w w:val="105"/>
        </w:rPr>
        <w:t> esta</w:t>
      </w:r>
      <w:r>
        <w:rPr>
          <w:color w:val="231F1F"/>
          <w:w w:val="105"/>
        </w:rPr>
        <w:t> forma</w:t>
      </w:r>
      <w:r>
        <w:rPr>
          <w:color w:val="231F1F"/>
          <w:w w:val="105"/>
        </w:rPr>
        <w:t> es</w:t>
      </w:r>
      <w:r>
        <w:rPr>
          <w:color w:val="231F1F"/>
          <w:w w:val="105"/>
        </w:rPr>
        <w:t> posible</w:t>
      </w:r>
      <w:r>
        <w:rPr>
          <w:color w:val="231F1F"/>
          <w:w w:val="105"/>
        </w:rPr>
        <w:t> alcanzar</w:t>
      </w:r>
      <w:r>
        <w:rPr>
          <w:color w:val="231F1F"/>
          <w:w w:val="105"/>
        </w:rPr>
        <w:t> cierto</w:t>
      </w:r>
      <w:r>
        <w:rPr>
          <w:color w:val="231F1F"/>
          <w:w w:val="105"/>
        </w:rPr>
        <w:t> efecto</w:t>
      </w:r>
      <w:r>
        <w:rPr>
          <w:color w:val="231F1F"/>
          <w:w w:val="105"/>
        </w:rPr>
        <w:t> analgésico.</w:t>
      </w:r>
      <w:r>
        <w:rPr>
          <w:color w:val="231F1F"/>
          <w:w w:val="105"/>
        </w:rPr>
        <w:t> La aplicación</w:t>
      </w:r>
      <w:r>
        <w:rPr>
          <w:color w:val="231F1F"/>
          <w:spacing w:val="40"/>
          <w:w w:val="105"/>
        </w:rPr>
        <w:t> </w:t>
      </w:r>
      <w:r>
        <w:rPr>
          <w:color w:val="231F1F"/>
          <w:w w:val="105"/>
        </w:rPr>
        <w:t>no</w:t>
      </w:r>
      <w:r>
        <w:rPr>
          <w:color w:val="231F1F"/>
          <w:spacing w:val="40"/>
          <w:w w:val="105"/>
        </w:rPr>
        <w:t> </w:t>
      </w:r>
      <w:r>
        <w:rPr>
          <w:color w:val="231F1F"/>
          <w:w w:val="105"/>
        </w:rPr>
        <w:t>necesita</w:t>
      </w:r>
      <w:r>
        <w:rPr>
          <w:color w:val="231F1F"/>
          <w:spacing w:val="40"/>
          <w:w w:val="105"/>
        </w:rPr>
        <w:t> </w:t>
      </w:r>
      <w:r>
        <w:rPr>
          <w:color w:val="231F1F"/>
          <w:w w:val="105"/>
        </w:rPr>
        <w:t>ser</w:t>
      </w:r>
      <w:r>
        <w:rPr>
          <w:color w:val="231F1F"/>
          <w:spacing w:val="40"/>
          <w:w w:val="105"/>
        </w:rPr>
        <w:t> </w:t>
      </w:r>
      <w:r>
        <w:rPr>
          <w:color w:val="231F1F"/>
          <w:w w:val="105"/>
        </w:rPr>
        <w:t>realizada</w:t>
      </w:r>
      <w:r>
        <w:rPr>
          <w:color w:val="231F1F"/>
          <w:spacing w:val="40"/>
          <w:w w:val="105"/>
        </w:rPr>
        <w:t> </w:t>
      </w:r>
      <w:r>
        <w:rPr>
          <w:color w:val="231F1F"/>
          <w:w w:val="105"/>
        </w:rPr>
        <w:t>en</w:t>
      </w:r>
      <w:r>
        <w:rPr>
          <w:color w:val="231F1F"/>
          <w:spacing w:val="40"/>
          <w:w w:val="105"/>
        </w:rPr>
        <w:t> </w:t>
      </w:r>
      <w:r>
        <w:rPr>
          <w:color w:val="231F1F"/>
          <w:w w:val="105"/>
        </w:rPr>
        <w:t>los</w:t>
      </w:r>
      <w:r>
        <w:rPr>
          <w:color w:val="231F1F"/>
          <w:spacing w:val="40"/>
          <w:w w:val="105"/>
        </w:rPr>
        <w:t> </w:t>
      </w:r>
      <w:r>
        <w:rPr>
          <w:color w:val="231F1F"/>
          <w:w w:val="105"/>
        </w:rPr>
        <w:t>puntos</w:t>
      </w:r>
      <w:r>
        <w:rPr>
          <w:color w:val="231F1F"/>
          <w:spacing w:val="40"/>
          <w:w w:val="105"/>
        </w:rPr>
        <w:t> </w:t>
      </w:r>
      <w:r>
        <w:rPr>
          <w:color w:val="231F1F"/>
          <w:w w:val="105"/>
        </w:rPr>
        <w:t>exactos</w:t>
      </w:r>
      <w:r>
        <w:rPr>
          <w:color w:val="231F1F"/>
          <w:spacing w:val="40"/>
          <w:w w:val="105"/>
        </w:rPr>
        <w:t> </w:t>
      </w:r>
      <w:r>
        <w:rPr>
          <w:color w:val="231F1F"/>
          <w:w w:val="105"/>
        </w:rPr>
        <w:t>para</w:t>
      </w:r>
      <w:r>
        <w:rPr>
          <w:color w:val="231F1F"/>
          <w:spacing w:val="40"/>
          <w:w w:val="105"/>
        </w:rPr>
        <w:t> </w:t>
      </w:r>
      <w:r>
        <w:rPr>
          <w:color w:val="231F1F"/>
          <w:w w:val="105"/>
        </w:rPr>
        <w:t>ser</w:t>
      </w:r>
      <w:r>
        <w:rPr>
          <w:color w:val="231F1F"/>
          <w:spacing w:val="40"/>
          <w:w w:val="105"/>
        </w:rPr>
        <w:t> </w:t>
      </w:r>
      <w:r>
        <w:rPr>
          <w:color w:val="231F1F"/>
          <w:w w:val="105"/>
        </w:rPr>
        <w:t>efectiva.</w:t>
      </w:r>
    </w:p>
    <w:p>
      <w:pPr>
        <w:pStyle w:val="BodyText"/>
        <w:spacing w:line="247" w:lineRule="auto" w:before="125"/>
        <w:ind w:left="283" w:right="123" w:firstLine="453"/>
        <w:jc w:val="both"/>
      </w:pPr>
      <w:r>
        <w:rPr>
          <w:color w:val="231F1F"/>
          <w:w w:val="110"/>
        </w:rPr>
        <w:t>Estas</w:t>
      </w:r>
      <w:r>
        <w:rPr>
          <w:color w:val="231F1F"/>
          <w:spacing w:val="-4"/>
          <w:w w:val="110"/>
        </w:rPr>
        <w:t> </w:t>
      </w:r>
      <w:r>
        <w:rPr>
          <w:color w:val="231F1F"/>
          <w:w w:val="110"/>
        </w:rPr>
        <w:t>inyecciones</w:t>
      </w:r>
      <w:r>
        <w:rPr>
          <w:color w:val="231F1F"/>
          <w:spacing w:val="-4"/>
          <w:w w:val="110"/>
        </w:rPr>
        <w:t> </w:t>
      </w:r>
      <w:r>
        <w:rPr>
          <w:color w:val="231F1F"/>
          <w:w w:val="110"/>
        </w:rPr>
        <w:t>son</w:t>
      </w:r>
      <w:r>
        <w:rPr>
          <w:color w:val="231F1F"/>
          <w:spacing w:val="-4"/>
          <w:w w:val="110"/>
        </w:rPr>
        <w:t> </w:t>
      </w:r>
      <w:r>
        <w:rPr>
          <w:color w:val="231F1F"/>
          <w:w w:val="110"/>
        </w:rPr>
        <w:t>dolorosas</w:t>
      </w:r>
      <w:r>
        <w:rPr>
          <w:color w:val="231F1F"/>
          <w:spacing w:val="-4"/>
          <w:w w:val="110"/>
        </w:rPr>
        <w:t> </w:t>
      </w:r>
      <w:r>
        <w:rPr>
          <w:color w:val="231F1F"/>
          <w:w w:val="110"/>
        </w:rPr>
        <w:t>y</w:t>
      </w:r>
      <w:r>
        <w:rPr>
          <w:color w:val="231F1F"/>
          <w:spacing w:val="-4"/>
          <w:w w:val="110"/>
        </w:rPr>
        <w:t> </w:t>
      </w:r>
      <w:r>
        <w:rPr>
          <w:color w:val="231F1F"/>
          <w:w w:val="110"/>
        </w:rPr>
        <w:t>para</w:t>
      </w:r>
      <w:r>
        <w:rPr>
          <w:color w:val="231F1F"/>
          <w:spacing w:val="-4"/>
          <w:w w:val="110"/>
        </w:rPr>
        <w:t> </w:t>
      </w:r>
      <w:r>
        <w:rPr>
          <w:color w:val="231F1F"/>
          <w:w w:val="110"/>
        </w:rPr>
        <w:t>disminuir</w:t>
      </w:r>
      <w:r>
        <w:rPr>
          <w:color w:val="231F1F"/>
          <w:spacing w:val="-4"/>
          <w:w w:val="110"/>
        </w:rPr>
        <w:t> </w:t>
      </w:r>
      <w:r>
        <w:rPr>
          <w:color w:val="231F1F"/>
          <w:w w:val="110"/>
        </w:rPr>
        <w:t>la</w:t>
      </w:r>
      <w:r>
        <w:rPr>
          <w:color w:val="231F1F"/>
          <w:spacing w:val="-4"/>
          <w:w w:val="110"/>
        </w:rPr>
        <w:t> </w:t>
      </w:r>
      <w:r>
        <w:rPr>
          <w:color w:val="231F1F"/>
          <w:w w:val="110"/>
        </w:rPr>
        <w:t>molestia</w:t>
      </w:r>
      <w:r>
        <w:rPr>
          <w:color w:val="231F1F"/>
          <w:spacing w:val="-3"/>
          <w:w w:val="110"/>
        </w:rPr>
        <w:t> </w:t>
      </w:r>
      <w:r>
        <w:rPr>
          <w:color w:val="231F1F"/>
          <w:w w:val="110"/>
        </w:rPr>
        <w:t>que</w:t>
      </w:r>
      <w:r>
        <w:rPr>
          <w:color w:val="231F1F"/>
          <w:spacing w:val="-4"/>
          <w:w w:val="110"/>
        </w:rPr>
        <w:t> </w:t>
      </w:r>
      <w:r>
        <w:rPr>
          <w:color w:val="231F1F"/>
          <w:w w:val="110"/>
        </w:rPr>
        <w:t>ocasionan</w:t>
      </w:r>
      <w:r>
        <w:rPr>
          <w:color w:val="231F1F"/>
          <w:spacing w:val="-4"/>
          <w:w w:val="110"/>
        </w:rPr>
        <w:t> </w:t>
      </w:r>
      <w:r>
        <w:rPr>
          <w:color w:val="231F1F"/>
          <w:w w:val="110"/>
        </w:rPr>
        <w:t>pueden administrarse</w:t>
      </w:r>
      <w:r>
        <w:rPr>
          <w:color w:val="231F1F"/>
          <w:spacing w:val="-15"/>
          <w:w w:val="110"/>
        </w:rPr>
        <w:t> </w:t>
      </w:r>
      <w:r>
        <w:rPr>
          <w:color w:val="231F1F"/>
          <w:w w:val="110"/>
        </w:rPr>
        <w:t>durante</w:t>
      </w:r>
      <w:r>
        <w:rPr>
          <w:color w:val="231F1F"/>
          <w:spacing w:val="-14"/>
          <w:w w:val="110"/>
        </w:rPr>
        <w:t> </w:t>
      </w:r>
      <w:r>
        <w:rPr>
          <w:color w:val="231F1F"/>
          <w:w w:val="110"/>
        </w:rPr>
        <w:t>una</w:t>
      </w:r>
      <w:r>
        <w:rPr>
          <w:color w:val="231F1F"/>
          <w:spacing w:val="-15"/>
          <w:w w:val="110"/>
        </w:rPr>
        <w:t> </w:t>
      </w:r>
      <w:r>
        <w:rPr>
          <w:color w:val="231F1F"/>
          <w:w w:val="110"/>
        </w:rPr>
        <w:t>contracción</w:t>
      </w:r>
      <w:r>
        <w:rPr>
          <w:color w:val="231F1F"/>
          <w:spacing w:val="-15"/>
          <w:w w:val="110"/>
        </w:rPr>
        <w:t> </w:t>
      </w:r>
      <w:r>
        <w:rPr>
          <w:color w:val="231F1F"/>
          <w:w w:val="110"/>
        </w:rPr>
        <w:t>y</w:t>
      </w:r>
      <w:r>
        <w:rPr>
          <w:color w:val="231F1F"/>
          <w:spacing w:val="-15"/>
          <w:w w:val="110"/>
        </w:rPr>
        <w:t> </w:t>
      </w:r>
      <w:r>
        <w:rPr>
          <w:color w:val="231F1F"/>
          <w:w w:val="110"/>
        </w:rPr>
        <w:t>simultáneamente</w:t>
      </w:r>
      <w:r>
        <w:rPr>
          <w:color w:val="231F1F"/>
          <w:spacing w:val="-15"/>
          <w:w w:val="110"/>
        </w:rPr>
        <w:t> </w:t>
      </w:r>
      <w:r>
        <w:rPr>
          <w:color w:val="231F1F"/>
          <w:w w:val="110"/>
        </w:rPr>
        <w:t>por</w:t>
      </w:r>
      <w:r>
        <w:rPr>
          <w:color w:val="231F1F"/>
          <w:spacing w:val="-15"/>
          <w:w w:val="110"/>
        </w:rPr>
        <w:t> </w:t>
      </w:r>
      <w:r>
        <w:rPr>
          <w:color w:val="231F1F"/>
          <w:w w:val="110"/>
        </w:rPr>
        <w:t>dos</w:t>
      </w:r>
      <w:r>
        <w:rPr>
          <w:color w:val="231F1F"/>
          <w:spacing w:val="-15"/>
          <w:w w:val="110"/>
        </w:rPr>
        <w:t> </w:t>
      </w:r>
      <w:r>
        <w:rPr>
          <w:color w:val="231F1F"/>
          <w:w w:val="110"/>
        </w:rPr>
        <w:t>profesionales.</w:t>
      </w:r>
      <w:r>
        <w:rPr>
          <w:color w:val="231F1F"/>
          <w:spacing w:val="-16"/>
          <w:w w:val="110"/>
        </w:rPr>
        <w:t> </w:t>
      </w:r>
      <w:r>
        <w:rPr>
          <w:color w:val="231F1F"/>
          <w:w w:val="110"/>
        </w:rPr>
        <w:t>Las</w:t>
      </w:r>
      <w:r>
        <w:rPr>
          <w:color w:val="231F1F"/>
          <w:spacing w:val="-13"/>
          <w:w w:val="110"/>
        </w:rPr>
        <w:t> </w:t>
      </w:r>
      <w:r>
        <w:rPr>
          <w:color w:val="231F1F"/>
          <w:w w:val="110"/>
        </w:rPr>
        <w:t>mu- jeres</w:t>
      </w:r>
      <w:r>
        <w:rPr>
          <w:color w:val="231F1F"/>
          <w:spacing w:val="-3"/>
          <w:w w:val="110"/>
        </w:rPr>
        <w:t> </w:t>
      </w:r>
      <w:r>
        <w:rPr>
          <w:color w:val="231F1F"/>
          <w:w w:val="110"/>
        </w:rPr>
        <w:t>deben</w:t>
      </w:r>
      <w:r>
        <w:rPr>
          <w:color w:val="231F1F"/>
          <w:spacing w:val="-2"/>
          <w:w w:val="110"/>
        </w:rPr>
        <w:t> </w:t>
      </w:r>
      <w:r>
        <w:rPr>
          <w:color w:val="231F1F"/>
          <w:w w:val="110"/>
        </w:rPr>
        <w:t>ser</w:t>
      </w:r>
      <w:r>
        <w:rPr>
          <w:color w:val="231F1F"/>
          <w:spacing w:val="-3"/>
          <w:w w:val="110"/>
        </w:rPr>
        <w:t> </w:t>
      </w:r>
      <w:r>
        <w:rPr>
          <w:color w:val="231F1F"/>
          <w:w w:val="110"/>
        </w:rPr>
        <w:t>advertidas</w:t>
      </w:r>
      <w:r>
        <w:rPr>
          <w:color w:val="231F1F"/>
          <w:spacing w:val="-2"/>
          <w:w w:val="110"/>
        </w:rPr>
        <w:t> </w:t>
      </w:r>
      <w:r>
        <w:rPr>
          <w:color w:val="231F1F"/>
          <w:w w:val="110"/>
        </w:rPr>
        <w:t>de</w:t>
      </w:r>
      <w:r>
        <w:rPr>
          <w:color w:val="231F1F"/>
          <w:spacing w:val="-2"/>
          <w:w w:val="110"/>
        </w:rPr>
        <w:t> </w:t>
      </w:r>
      <w:r>
        <w:rPr>
          <w:color w:val="231F1F"/>
          <w:w w:val="110"/>
        </w:rPr>
        <w:t>la</w:t>
      </w:r>
      <w:r>
        <w:rPr>
          <w:color w:val="231F1F"/>
          <w:spacing w:val="-2"/>
          <w:w w:val="110"/>
        </w:rPr>
        <w:t> </w:t>
      </w:r>
      <w:r>
        <w:rPr>
          <w:color w:val="231F1F"/>
          <w:w w:val="110"/>
        </w:rPr>
        <w:t>sensación</w:t>
      </w:r>
      <w:r>
        <w:rPr>
          <w:color w:val="231F1F"/>
          <w:spacing w:val="-3"/>
          <w:w w:val="110"/>
        </w:rPr>
        <w:t> </w:t>
      </w:r>
      <w:r>
        <w:rPr>
          <w:color w:val="231F1F"/>
          <w:w w:val="110"/>
        </w:rPr>
        <w:t>quemante</w:t>
      </w:r>
      <w:r>
        <w:rPr>
          <w:color w:val="231F1F"/>
          <w:spacing w:val="-3"/>
          <w:w w:val="110"/>
        </w:rPr>
        <w:t> </w:t>
      </w:r>
      <w:r>
        <w:rPr>
          <w:color w:val="231F1F"/>
          <w:w w:val="110"/>
        </w:rPr>
        <w:t>que</w:t>
      </w:r>
      <w:r>
        <w:rPr>
          <w:color w:val="231F1F"/>
          <w:spacing w:val="-2"/>
          <w:w w:val="110"/>
        </w:rPr>
        <w:t> </w:t>
      </w:r>
      <w:r>
        <w:rPr>
          <w:color w:val="231F1F"/>
          <w:w w:val="110"/>
        </w:rPr>
        <w:t>van</w:t>
      </w:r>
      <w:r>
        <w:rPr>
          <w:color w:val="231F1F"/>
          <w:spacing w:val="-2"/>
          <w:w w:val="110"/>
        </w:rPr>
        <w:t> </w:t>
      </w:r>
      <w:r>
        <w:rPr>
          <w:color w:val="231F1F"/>
          <w:w w:val="110"/>
        </w:rPr>
        <w:t>a</w:t>
      </w:r>
      <w:r>
        <w:rPr>
          <w:color w:val="231F1F"/>
          <w:spacing w:val="-2"/>
          <w:w w:val="110"/>
        </w:rPr>
        <w:t> </w:t>
      </w:r>
      <w:r>
        <w:rPr>
          <w:color w:val="231F1F"/>
          <w:w w:val="110"/>
        </w:rPr>
        <w:t>experimentar</w:t>
      </w:r>
      <w:r>
        <w:rPr>
          <w:color w:val="231F1F"/>
          <w:spacing w:val="-3"/>
          <w:w w:val="110"/>
        </w:rPr>
        <w:t> </w:t>
      </w:r>
      <w:r>
        <w:rPr>
          <w:color w:val="231F1F"/>
          <w:w w:val="110"/>
        </w:rPr>
        <w:t>y</w:t>
      </w:r>
      <w:r>
        <w:rPr>
          <w:color w:val="231F1F"/>
          <w:spacing w:val="-2"/>
          <w:w w:val="110"/>
        </w:rPr>
        <w:t> </w:t>
      </w:r>
      <w:r>
        <w:rPr>
          <w:color w:val="231F1F"/>
          <w:w w:val="110"/>
        </w:rPr>
        <w:t>que</w:t>
      </w:r>
      <w:r>
        <w:rPr>
          <w:color w:val="231F1F"/>
          <w:spacing w:val="-2"/>
          <w:w w:val="110"/>
        </w:rPr>
        <w:t> </w:t>
      </w:r>
      <w:r>
        <w:rPr>
          <w:color w:val="231F1F"/>
          <w:w w:val="110"/>
        </w:rPr>
        <w:t>desa- parece</w:t>
      </w:r>
      <w:r>
        <w:rPr>
          <w:color w:val="231F1F"/>
          <w:spacing w:val="-8"/>
          <w:w w:val="110"/>
        </w:rPr>
        <w:t> </w:t>
      </w:r>
      <w:r>
        <w:rPr>
          <w:color w:val="231F1F"/>
          <w:w w:val="110"/>
        </w:rPr>
        <w:t>en</w:t>
      </w:r>
      <w:r>
        <w:rPr>
          <w:color w:val="231F1F"/>
          <w:spacing w:val="-8"/>
          <w:w w:val="110"/>
        </w:rPr>
        <w:t> </w:t>
      </w:r>
      <w:r>
        <w:rPr>
          <w:color w:val="231F1F"/>
          <w:w w:val="110"/>
        </w:rPr>
        <w:t>el</w:t>
      </w:r>
      <w:r>
        <w:rPr>
          <w:color w:val="231F1F"/>
          <w:spacing w:val="-8"/>
          <w:w w:val="110"/>
        </w:rPr>
        <w:t> </w:t>
      </w:r>
      <w:r>
        <w:rPr>
          <w:color w:val="231F1F"/>
          <w:w w:val="110"/>
        </w:rPr>
        <w:t>tiempo</w:t>
      </w:r>
      <w:r>
        <w:rPr>
          <w:color w:val="231F1F"/>
          <w:spacing w:val="-8"/>
          <w:w w:val="110"/>
        </w:rPr>
        <w:t> </w:t>
      </w:r>
      <w:r>
        <w:rPr>
          <w:color w:val="231F1F"/>
          <w:w w:val="110"/>
        </w:rPr>
        <w:t>que</w:t>
      </w:r>
      <w:r>
        <w:rPr>
          <w:color w:val="231F1F"/>
          <w:spacing w:val="-8"/>
          <w:w w:val="110"/>
        </w:rPr>
        <w:t> </w:t>
      </w:r>
      <w:r>
        <w:rPr>
          <w:color w:val="231F1F"/>
          <w:w w:val="110"/>
        </w:rPr>
        <w:t>dura</w:t>
      </w:r>
      <w:r>
        <w:rPr>
          <w:color w:val="231F1F"/>
          <w:spacing w:val="-8"/>
          <w:w w:val="110"/>
        </w:rPr>
        <w:t> </w:t>
      </w:r>
      <w:r>
        <w:rPr>
          <w:color w:val="231F1F"/>
          <w:w w:val="110"/>
        </w:rPr>
        <w:t>una</w:t>
      </w:r>
      <w:r>
        <w:rPr>
          <w:color w:val="231F1F"/>
          <w:spacing w:val="-8"/>
          <w:w w:val="110"/>
        </w:rPr>
        <w:t> </w:t>
      </w:r>
      <w:r>
        <w:rPr>
          <w:color w:val="231F1F"/>
          <w:w w:val="110"/>
        </w:rPr>
        <w:t>contracción,</w:t>
      </w:r>
      <w:r>
        <w:rPr>
          <w:color w:val="231F1F"/>
          <w:spacing w:val="-8"/>
          <w:w w:val="110"/>
        </w:rPr>
        <w:t> </w:t>
      </w:r>
      <w:r>
        <w:rPr>
          <w:color w:val="231F1F"/>
          <w:w w:val="110"/>
        </w:rPr>
        <w:t>ya</w:t>
      </w:r>
      <w:r>
        <w:rPr>
          <w:color w:val="231F1F"/>
          <w:spacing w:val="-8"/>
          <w:w w:val="110"/>
        </w:rPr>
        <w:t> </w:t>
      </w:r>
      <w:r>
        <w:rPr>
          <w:color w:val="231F1F"/>
          <w:w w:val="110"/>
        </w:rPr>
        <w:t>que</w:t>
      </w:r>
      <w:r>
        <w:rPr>
          <w:color w:val="231F1F"/>
          <w:spacing w:val="-8"/>
          <w:w w:val="110"/>
        </w:rPr>
        <w:t> </w:t>
      </w:r>
      <w:r>
        <w:rPr>
          <w:color w:val="231F1F"/>
          <w:w w:val="110"/>
        </w:rPr>
        <w:t>algunas</w:t>
      </w:r>
      <w:r>
        <w:rPr>
          <w:color w:val="231F1F"/>
          <w:spacing w:val="-8"/>
          <w:w w:val="110"/>
        </w:rPr>
        <w:t> </w:t>
      </w:r>
      <w:r>
        <w:rPr>
          <w:color w:val="231F1F"/>
          <w:w w:val="110"/>
        </w:rPr>
        <w:t>mujeres</w:t>
      </w:r>
      <w:r>
        <w:rPr>
          <w:color w:val="231F1F"/>
          <w:spacing w:val="-8"/>
          <w:w w:val="110"/>
        </w:rPr>
        <w:t> </w:t>
      </w:r>
      <w:r>
        <w:rPr>
          <w:color w:val="231F1F"/>
          <w:w w:val="110"/>
        </w:rPr>
        <w:t>las</w:t>
      </w:r>
      <w:r>
        <w:rPr>
          <w:color w:val="231F1F"/>
          <w:spacing w:val="-8"/>
          <w:w w:val="110"/>
        </w:rPr>
        <w:t> </w:t>
      </w:r>
      <w:r>
        <w:rPr>
          <w:color w:val="231F1F"/>
          <w:w w:val="110"/>
        </w:rPr>
        <w:t>encuentran</w:t>
      </w:r>
      <w:r>
        <w:rPr>
          <w:color w:val="231F1F"/>
          <w:spacing w:val="-8"/>
          <w:w w:val="110"/>
        </w:rPr>
        <w:t> </w:t>
      </w:r>
      <w:r>
        <w:rPr>
          <w:color w:val="231F1F"/>
          <w:w w:val="110"/>
        </w:rPr>
        <w:t>tan molestas que no desean se continúe.</w:t>
      </w:r>
    </w:p>
    <w:p>
      <w:pPr>
        <w:pStyle w:val="BodyText"/>
        <w:spacing w:before="133"/>
      </w:pPr>
    </w:p>
    <w:p>
      <w:pPr>
        <w:spacing w:before="0"/>
        <w:ind w:left="283" w:right="0" w:firstLine="0"/>
        <w:jc w:val="both"/>
        <w:rPr>
          <w:rFonts w:ascii="Arial" w:hAnsi="Arial"/>
          <w:i/>
          <w:sz w:val="24"/>
        </w:rPr>
      </w:pPr>
      <w:r>
        <w:rPr>
          <w:rFonts w:ascii="Arial" w:hAnsi="Arial"/>
          <w:i/>
          <w:color w:val="231F1F"/>
          <w:sz w:val="24"/>
        </w:rPr>
        <w:t>Métodos farmacológicos</w:t>
      </w:r>
      <w:r>
        <w:rPr>
          <w:rFonts w:ascii="Arial" w:hAnsi="Arial"/>
          <w:i/>
          <w:color w:val="231F1F"/>
          <w:spacing w:val="5"/>
          <w:sz w:val="24"/>
        </w:rPr>
        <w:t> </w:t>
      </w:r>
      <w:r>
        <w:rPr>
          <w:rFonts w:ascii="Arial" w:hAnsi="Arial"/>
          <w:i/>
          <w:color w:val="231F1F"/>
          <w:sz w:val="24"/>
        </w:rPr>
        <w:t>de</w:t>
      </w:r>
      <w:r>
        <w:rPr>
          <w:rFonts w:ascii="Arial" w:hAnsi="Arial"/>
          <w:i/>
          <w:color w:val="231F1F"/>
          <w:spacing w:val="3"/>
          <w:sz w:val="24"/>
        </w:rPr>
        <w:t> </w:t>
      </w:r>
      <w:r>
        <w:rPr>
          <w:rFonts w:ascii="Arial" w:hAnsi="Arial"/>
          <w:i/>
          <w:color w:val="231F1F"/>
          <w:sz w:val="24"/>
        </w:rPr>
        <w:t>alivio</w:t>
      </w:r>
      <w:r>
        <w:rPr>
          <w:rFonts w:ascii="Arial" w:hAnsi="Arial"/>
          <w:i/>
          <w:color w:val="231F1F"/>
          <w:spacing w:val="5"/>
          <w:sz w:val="24"/>
        </w:rPr>
        <w:t> </w:t>
      </w:r>
      <w:r>
        <w:rPr>
          <w:rFonts w:ascii="Arial" w:hAnsi="Arial"/>
          <w:i/>
          <w:color w:val="231F1F"/>
          <w:sz w:val="24"/>
        </w:rPr>
        <w:t>del</w:t>
      </w:r>
      <w:r>
        <w:rPr>
          <w:rFonts w:ascii="Arial" w:hAnsi="Arial"/>
          <w:i/>
          <w:color w:val="231F1F"/>
          <w:spacing w:val="4"/>
          <w:sz w:val="24"/>
        </w:rPr>
        <w:t> </w:t>
      </w:r>
      <w:r>
        <w:rPr>
          <w:rFonts w:ascii="Arial" w:hAnsi="Arial"/>
          <w:i/>
          <w:color w:val="231F1F"/>
          <w:spacing w:val="-2"/>
          <w:sz w:val="24"/>
        </w:rPr>
        <w:t>dolor</w:t>
      </w:r>
    </w:p>
    <w:p>
      <w:pPr>
        <w:spacing w:before="199"/>
        <w:ind w:left="736" w:right="0" w:firstLine="0"/>
        <w:jc w:val="left"/>
        <w:rPr>
          <w:rFonts w:ascii="Arial MT" w:hAnsi="Arial MT"/>
          <w:sz w:val="24"/>
        </w:rPr>
      </w:pPr>
      <w:r>
        <w:rPr>
          <w:rFonts w:ascii="Arial MT" w:hAnsi="Arial MT"/>
          <w:color w:val="231F1F"/>
          <w:sz w:val="24"/>
        </w:rPr>
        <w:t>Óxido</w:t>
      </w:r>
      <w:r>
        <w:rPr>
          <w:rFonts w:ascii="Arial MT" w:hAnsi="Arial MT"/>
          <w:color w:val="231F1F"/>
          <w:spacing w:val="20"/>
          <w:sz w:val="24"/>
        </w:rPr>
        <w:t> </w:t>
      </w:r>
      <w:r>
        <w:rPr>
          <w:rFonts w:ascii="Arial MT" w:hAnsi="Arial MT"/>
          <w:color w:val="231F1F"/>
          <w:spacing w:val="-2"/>
          <w:sz w:val="24"/>
        </w:rPr>
        <w:t>nitroso</w:t>
      </w:r>
    </w:p>
    <w:p>
      <w:pPr>
        <w:pStyle w:val="BodyText"/>
        <w:spacing w:line="228" w:lineRule="auto" w:before="225"/>
        <w:ind w:left="283" w:right="124"/>
        <w:jc w:val="both"/>
      </w:pPr>
      <w:r>
        <w:rPr>
          <w:color w:val="231F1F"/>
          <w:w w:val="105"/>
        </w:rPr>
        <w:t>Cada</w:t>
      </w:r>
      <w:r>
        <w:rPr>
          <w:color w:val="231F1F"/>
          <w:w w:val="105"/>
        </w:rPr>
        <w:t> maternidad</w:t>
      </w:r>
      <w:r>
        <w:rPr>
          <w:color w:val="231F1F"/>
          <w:w w:val="105"/>
        </w:rPr>
        <w:t> hospitalaria</w:t>
      </w:r>
      <w:r>
        <w:rPr>
          <w:color w:val="231F1F"/>
          <w:w w:val="105"/>
        </w:rPr>
        <w:t> deberá</w:t>
      </w:r>
      <w:r>
        <w:rPr>
          <w:color w:val="231F1F"/>
          <w:w w:val="105"/>
        </w:rPr>
        <w:t> establecer</w:t>
      </w:r>
      <w:r>
        <w:rPr>
          <w:color w:val="231F1F"/>
          <w:w w:val="105"/>
        </w:rPr>
        <w:t> los</w:t>
      </w:r>
      <w:r>
        <w:rPr>
          <w:color w:val="231F1F"/>
          <w:w w:val="105"/>
        </w:rPr>
        <w:t> mecanismos</w:t>
      </w:r>
      <w:r>
        <w:rPr>
          <w:color w:val="231F1F"/>
          <w:w w:val="105"/>
        </w:rPr>
        <w:t> necesarios</w:t>
      </w:r>
      <w:r>
        <w:rPr>
          <w:color w:val="231F1F"/>
          <w:w w:val="105"/>
        </w:rPr>
        <w:t> para</w:t>
      </w:r>
      <w:r>
        <w:rPr>
          <w:color w:val="231F1F"/>
          <w:w w:val="105"/>
        </w:rPr>
        <w:t> la</w:t>
      </w:r>
      <w:r>
        <w:rPr>
          <w:color w:val="231F1F"/>
          <w:w w:val="105"/>
        </w:rPr>
        <w:t> reno- vación del aire ambiental cuando se utiliza N</w:t>
      </w:r>
      <w:r>
        <w:rPr>
          <w:color w:val="231F1F"/>
          <w:w w:val="105"/>
          <w:position w:val="-4"/>
          <w:sz w:val="12"/>
        </w:rPr>
        <w:t>2</w:t>
      </w:r>
      <w:r>
        <w:rPr>
          <w:color w:val="231F1F"/>
          <w:w w:val="105"/>
        </w:rPr>
        <w:t>O, con el fin de evitar riesgos derivados de la exposición continuada a dicho gas.</w:t>
      </w:r>
    </w:p>
    <w:p>
      <w:pPr>
        <w:pStyle w:val="BodyText"/>
        <w:spacing w:before="153"/>
      </w:pPr>
    </w:p>
    <w:p>
      <w:pPr>
        <w:spacing w:before="0"/>
        <w:ind w:left="736" w:right="0" w:firstLine="0"/>
        <w:jc w:val="left"/>
        <w:rPr>
          <w:rFonts w:ascii="Arial MT"/>
          <w:sz w:val="24"/>
        </w:rPr>
      </w:pPr>
      <w:r>
        <w:rPr>
          <w:rFonts w:ascii="Arial MT"/>
          <w:color w:val="231F1F"/>
          <w:spacing w:val="-2"/>
          <w:w w:val="105"/>
          <w:sz w:val="24"/>
        </w:rPr>
        <w:t>Opiodes</w:t>
      </w:r>
    </w:p>
    <w:p>
      <w:pPr>
        <w:pStyle w:val="BodyText"/>
        <w:spacing w:line="230" w:lineRule="auto" w:before="207"/>
        <w:ind w:left="283" w:right="120"/>
        <w:jc w:val="both"/>
      </w:pPr>
      <w:r>
        <w:rPr>
          <w:color w:val="231F1F"/>
          <w:w w:val="105"/>
        </w:rPr>
        <w:t>Cada</w:t>
      </w:r>
      <w:r>
        <w:rPr>
          <w:color w:val="231F1F"/>
          <w:spacing w:val="40"/>
          <w:w w:val="105"/>
        </w:rPr>
        <w:t> </w:t>
      </w:r>
      <w:r>
        <w:rPr>
          <w:color w:val="231F1F"/>
          <w:w w:val="105"/>
        </w:rPr>
        <w:t>maternidad</w:t>
      </w:r>
      <w:r>
        <w:rPr>
          <w:color w:val="231F1F"/>
          <w:spacing w:val="40"/>
          <w:w w:val="105"/>
        </w:rPr>
        <w:t> </w:t>
      </w:r>
      <w:r>
        <w:rPr>
          <w:color w:val="231F1F"/>
          <w:w w:val="105"/>
        </w:rPr>
        <w:t>hospitalaria</w:t>
      </w:r>
      <w:r>
        <w:rPr>
          <w:color w:val="231F1F"/>
          <w:spacing w:val="40"/>
          <w:w w:val="105"/>
        </w:rPr>
        <w:t> </w:t>
      </w:r>
      <w:r>
        <w:rPr>
          <w:color w:val="231F1F"/>
          <w:w w:val="105"/>
        </w:rPr>
        <w:t>deberá</w:t>
      </w:r>
      <w:r>
        <w:rPr>
          <w:color w:val="231F1F"/>
          <w:spacing w:val="40"/>
          <w:w w:val="105"/>
        </w:rPr>
        <w:t> </w:t>
      </w:r>
      <w:r>
        <w:rPr>
          <w:color w:val="231F1F"/>
          <w:w w:val="105"/>
        </w:rPr>
        <w:t>proporcionar</w:t>
      </w:r>
      <w:r>
        <w:rPr>
          <w:color w:val="231F1F"/>
          <w:spacing w:val="40"/>
          <w:w w:val="105"/>
        </w:rPr>
        <w:t> </w:t>
      </w:r>
      <w:r>
        <w:rPr>
          <w:color w:val="231F1F"/>
          <w:w w:val="105"/>
        </w:rPr>
        <w:t>monitorización</w:t>
      </w:r>
      <w:r>
        <w:rPr>
          <w:color w:val="231F1F"/>
          <w:spacing w:val="40"/>
          <w:w w:val="105"/>
        </w:rPr>
        <w:t> </w:t>
      </w:r>
      <w:r>
        <w:rPr>
          <w:color w:val="231F1F"/>
          <w:w w:val="105"/>
        </w:rPr>
        <w:t>continua</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SaO</w:t>
      </w:r>
      <w:r>
        <w:rPr>
          <w:color w:val="231F1F"/>
          <w:w w:val="105"/>
          <w:position w:val="-4"/>
          <w:sz w:val="12"/>
        </w:rPr>
        <w:t>2</w:t>
      </w:r>
      <w:r>
        <w:rPr>
          <w:color w:val="231F1F"/>
          <w:spacing w:val="40"/>
          <w:w w:val="105"/>
          <w:position w:val="-4"/>
          <w:sz w:val="12"/>
        </w:rPr>
        <w:t> </w:t>
      </w:r>
      <w:r>
        <w:rPr>
          <w:color w:val="231F1F"/>
          <w:w w:val="105"/>
        </w:rPr>
        <w:t>para aquellas mujeres en las que se vaya a emplear, así como oxígenoterapia y supervisión cercana por parte de un anestesista.</w:t>
      </w:r>
    </w:p>
    <w:p>
      <w:pPr>
        <w:pStyle w:val="BodyText"/>
        <w:spacing w:before="153"/>
      </w:pPr>
    </w:p>
    <w:p>
      <w:pPr>
        <w:spacing w:before="1"/>
        <w:ind w:left="283" w:right="0" w:firstLine="0"/>
        <w:jc w:val="both"/>
        <w:rPr>
          <w:rFonts w:ascii="Arial" w:hAnsi="Arial"/>
          <w:i/>
          <w:sz w:val="24"/>
        </w:rPr>
      </w:pPr>
      <w:r>
        <w:rPr>
          <w:rFonts w:ascii="Arial" w:hAnsi="Arial"/>
          <w:i/>
          <w:color w:val="231F1F"/>
          <w:spacing w:val="-6"/>
          <w:sz w:val="24"/>
        </w:rPr>
        <w:t>Analgesía</w:t>
      </w:r>
      <w:r>
        <w:rPr>
          <w:rFonts w:ascii="Arial" w:hAnsi="Arial"/>
          <w:i/>
          <w:color w:val="231F1F"/>
          <w:spacing w:val="-4"/>
          <w:sz w:val="24"/>
        </w:rPr>
        <w:t> </w:t>
      </w:r>
      <w:r>
        <w:rPr>
          <w:rFonts w:ascii="Arial" w:hAnsi="Arial"/>
          <w:i/>
          <w:color w:val="231F1F"/>
          <w:spacing w:val="-2"/>
          <w:sz w:val="24"/>
        </w:rPr>
        <w:t>Neuroaxial</w:t>
      </w:r>
    </w:p>
    <w:p>
      <w:pPr>
        <w:spacing w:before="228"/>
        <w:ind w:left="736" w:right="0" w:firstLine="0"/>
        <w:jc w:val="left"/>
        <w:rPr>
          <w:rFonts w:ascii="Arial MT" w:hAnsi="Arial MT"/>
          <w:sz w:val="24"/>
        </w:rPr>
      </w:pPr>
      <w:r>
        <w:rPr>
          <w:rFonts w:ascii="Arial MT" w:hAnsi="Arial MT"/>
          <w:color w:val="231F1F"/>
          <w:sz w:val="24"/>
        </w:rPr>
        <w:t>Administración</w:t>
      </w:r>
      <w:r>
        <w:rPr>
          <w:rFonts w:ascii="Arial MT" w:hAnsi="Arial MT"/>
          <w:color w:val="231F1F"/>
          <w:spacing w:val="31"/>
          <w:sz w:val="24"/>
        </w:rPr>
        <w:t> </w:t>
      </w:r>
      <w:r>
        <w:rPr>
          <w:rFonts w:ascii="Arial MT" w:hAnsi="Arial MT"/>
          <w:color w:val="231F1F"/>
          <w:sz w:val="24"/>
        </w:rPr>
        <w:t>de</w:t>
      </w:r>
      <w:r>
        <w:rPr>
          <w:rFonts w:ascii="Arial MT" w:hAnsi="Arial MT"/>
          <w:color w:val="231F1F"/>
          <w:spacing w:val="32"/>
          <w:sz w:val="24"/>
        </w:rPr>
        <w:t> </w:t>
      </w:r>
      <w:r>
        <w:rPr>
          <w:rFonts w:ascii="Arial MT" w:hAnsi="Arial MT"/>
          <w:color w:val="231F1F"/>
          <w:sz w:val="24"/>
        </w:rPr>
        <w:t>analgesia</w:t>
      </w:r>
      <w:r>
        <w:rPr>
          <w:rFonts w:ascii="Arial MT" w:hAnsi="Arial MT"/>
          <w:color w:val="231F1F"/>
          <w:spacing w:val="31"/>
          <w:sz w:val="24"/>
        </w:rPr>
        <w:t> </w:t>
      </w:r>
      <w:r>
        <w:rPr>
          <w:rFonts w:ascii="Arial MT" w:hAnsi="Arial MT"/>
          <w:color w:val="231F1F"/>
          <w:sz w:val="24"/>
        </w:rPr>
        <w:t>neuroaxial</w:t>
      </w:r>
      <w:r>
        <w:rPr>
          <w:rFonts w:ascii="Arial MT" w:hAnsi="Arial MT"/>
          <w:color w:val="231F1F"/>
          <w:spacing w:val="31"/>
          <w:sz w:val="24"/>
        </w:rPr>
        <w:t> </w:t>
      </w:r>
      <w:r>
        <w:rPr>
          <w:rFonts w:ascii="Arial MT" w:hAnsi="Arial MT"/>
          <w:color w:val="231F1F"/>
          <w:sz w:val="24"/>
        </w:rPr>
        <w:t>mediante</w:t>
      </w:r>
      <w:r>
        <w:rPr>
          <w:rFonts w:ascii="Arial MT" w:hAnsi="Arial MT"/>
          <w:color w:val="231F1F"/>
          <w:spacing w:val="31"/>
          <w:sz w:val="24"/>
        </w:rPr>
        <w:t> </w:t>
      </w:r>
      <w:r>
        <w:rPr>
          <w:rFonts w:ascii="Arial MT" w:hAnsi="Arial MT"/>
          <w:color w:val="231F1F"/>
          <w:spacing w:val="-4"/>
          <w:sz w:val="24"/>
        </w:rPr>
        <w:t>PCEA</w:t>
      </w:r>
    </w:p>
    <w:p>
      <w:pPr>
        <w:pStyle w:val="BodyText"/>
        <w:spacing w:line="244" w:lineRule="auto" w:before="214"/>
        <w:ind w:left="283" w:right="125"/>
        <w:jc w:val="both"/>
      </w:pPr>
      <w:r>
        <w:rPr>
          <w:color w:val="231F1F"/>
          <w:w w:val="110"/>
        </w:rPr>
        <w:t>Existen</w:t>
      </w:r>
      <w:r>
        <w:rPr>
          <w:color w:val="231F1F"/>
          <w:spacing w:val="-16"/>
          <w:w w:val="110"/>
        </w:rPr>
        <w:t> </w:t>
      </w:r>
      <w:r>
        <w:rPr>
          <w:color w:val="231F1F"/>
          <w:w w:val="110"/>
        </w:rPr>
        <w:t>factores</w:t>
      </w:r>
      <w:r>
        <w:rPr>
          <w:color w:val="231F1F"/>
          <w:spacing w:val="-15"/>
          <w:w w:val="110"/>
        </w:rPr>
        <w:t> </w:t>
      </w:r>
      <w:r>
        <w:rPr>
          <w:color w:val="231F1F"/>
          <w:w w:val="110"/>
        </w:rPr>
        <w:t>favorecedores</w:t>
      </w:r>
      <w:r>
        <w:rPr>
          <w:color w:val="231F1F"/>
          <w:spacing w:val="-15"/>
          <w:w w:val="110"/>
        </w:rPr>
        <w:t> </w:t>
      </w:r>
      <w:r>
        <w:rPr>
          <w:color w:val="231F1F"/>
          <w:w w:val="110"/>
        </w:rPr>
        <w:t>para</w:t>
      </w:r>
      <w:r>
        <w:rPr>
          <w:color w:val="231F1F"/>
          <w:spacing w:val="-15"/>
          <w:w w:val="110"/>
        </w:rPr>
        <w:t> </w:t>
      </w:r>
      <w:r>
        <w:rPr>
          <w:color w:val="231F1F"/>
          <w:w w:val="110"/>
        </w:rPr>
        <w:t>el</w:t>
      </w:r>
      <w:r>
        <w:rPr>
          <w:color w:val="231F1F"/>
          <w:spacing w:val="-15"/>
          <w:w w:val="110"/>
        </w:rPr>
        <w:t> </w:t>
      </w:r>
      <w:r>
        <w:rPr>
          <w:color w:val="231F1F"/>
          <w:w w:val="110"/>
        </w:rPr>
        <w:t>uso</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PCEA:</w:t>
      </w:r>
      <w:r>
        <w:rPr>
          <w:color w:val="231F1F"/>
          <w:spacing w:val="-16"/>
          <w:w w:val="110"/>
        </w:rPr>
        <w:t> </w:t>
      </w:r>
      <w:r>
        <w:rPr>
          <w:color w:val="231F1F"/>
          <w:w w:val="110"/>
        </w:rPr>
        <w:t>menor</w:t>
      </w:r>
      <w:r>
        <w:rPr>
          <w:color w:val="231F1F"/>
          <w:spacing w:val="-15"/>
          <w:w w:val="110"/>
        </w:rPr>
        <w:t> </w:t>
      </w:r>
      <w:r>
        <w:rPr>
          <w:color w:val="231F1F"/>
          <w:w w:val="110"/>
        </w:rPr>
        <w:t>requerimiento</w:t>
      </w:r>
      <w:r>
        <w:rPr>
          <w:color w:val="231F1F"/>
          <w:spacing w:val="-15"/>
          <w:w w:val="110"/>
        </w:rPr>
        <w:t> </w:t>
      </w:r>
      <w:r>
        <w:rPr>
          <w:color w:val="231F1F"/>
          <w:w w:val="110"/>
        </w:rPr>
        <w:t>de</w:t>
      </w:r>
      <w:r>
        <w:rPr>
          <w:color w:val="231F1F"/>
          <w:spacing w:val="-15"/>
          <w:w w:val="110"/>
        </w:rPr>
        <w:t> </w:t>
      </w:r>
      <w:r>
        <w:rPr>
          <w:color w:val="231F1F"/>
          <w:w w:val="110"/>
        </w:rPr>
        <w:t>personal, menor utilización de anestesicos locáles y mayor satisfacción de la mujer.</w:t>
      </w:r>
    </w:p>
    <w:p>
      <w:pPr>
        <w:pStyle w:val="BodyText"/>
        <w:spacing w:before="137"/>
        <w:ind w:left="736"/>
      </w:pPr>
      <w:r>
        <w:rPr>
          <w:color w:val="231F1F"/>
          <w:w w:val="110"/>
        </w:rPr>
        <w:t>La</w:t>
      </w:r>
      <w:r>
        <w:rPr>
          <w:color w:val="231F1F"/>
          <w:spacing w:val="-8"/>
          <w:w w:val="110"/>
        </w:rPr>
        <w:t> </w:t>
      </w:r>
      <w:r>
        <w:rPr>
          <w:color w:val="231F1F"/>
          <w:w w:val="110"/>
        </w:rPr>
        <w:t>barrera</w:t>
      </w:r>
      <w:r>
        <w:rPr>
          <w:color w:val="231F1F"/>
          <w:spacing w:val="-6"/>
          <w:w w:val="110"/>
        </w:rPr>
        <w:t> </w:t>
      </w:r>
      <w:r>
        <w:rPr>
          <w:color w:val="231F1F"/>
          <w:w w:val="110"/>
        </w:rPr>
        <w:t>para</w:t>
      </w:r>
      <w:r>
        <w:rPr>
          <w:color w:val="231F1F"/>
          <w:spacing w:val="-6"/>
          <w:w w:val="110"/>
        </w:rPr>
        <w:t> </w:t>
      </w:r>
      <w:r>
        <w:rPr>
          <w:color w:val="231F1F"/>
          <w:w w:val="110"/>
        </w:rPr>
        <w:t>el</w:t>
      </w:r>
      <w:r>
        <w:rPr>
          <w:color w:val="231F1F"/>
          <w:spacing w:val="-7"/>
          <w:w w:val="110"/>
        </w:rPr>
        <w:t> </w:t>
      </w:r>
      <w:r>
        <w:rPr>
          <w:color w:val="231F1F"/>
          <w:w w:val="110"/>
        </w:rPr>
        <w:t>PCEA</w:t>
      </w:r>
      <w:r>
        <w:rPr>
          <w:color w:val="231F1F"/>
          <w:spacing w:val="-6"/>
          <w:w w:val="110"/>
        </w:rPr>
        <w:t> </w:t>
      </w:r>
      <w:r>
        <w:rPr>
          <w:color w:val="231F1F"/>
          <w:w w:val="110"/>
        </w:rPr>
        <w:t>es</w:t>
      </w:r>
      <w:r>
        <w:rPr>
          <w:color w:val="231F1F"/>
          <w:spacing w:val="-6"/>
          <w:w w:val="110"/>
        </w:rPr>
        <w:t> </w:t>
      </w:r>
      <w:r>
        <w:rPr>
          <w:color w:val="231F1F"/>
          <w:w w:val="110"/>
        </w:rPr>
        <w:t>su</w:t>
      </w:r>
      <w:r>
        <w:rPr>
          <w:color w:val="231F1F"/>
          <w:spacing w:val="-7"/>
          <w:w w:val="110"/>
        </w:rPr>
        <w:t> </w:t>
      </w:r>
      <w:r>
        <w:rPr>
          <w:color w:val="231F1F"/>
          <w:w w:val="110"/>
        </w:rPr>
        <w:t>alto</w:t>
      </w:r>
      <w:r>
        <w:rPr>
          <w:color w:val="231F1F"/>
          <w:spacing w:val="-6"/>
          <w:w w:val="110"/>
        </w:rPr>
        <w:t> </w:t>
      </w:r>
      <w:r>
        <w:rPr>
          <w:color w:val="231F1F"/>
          <w:spacing w:val="-2"/>
          <w:w w:val="110"/>
        </w:rPr>
        <w:t>coste</w:t>
      </w:r>
    </w:p>
    <w:p>
      <w:pPr>
        <w:pStyle w:val="BodyText"/>
        <w:spacing w:after="0"/>
        <w:sectPr>
          <w:pgSz w:w="11900" w:h="16840"/>
          <w:pgMar w:header="0" w:footer="622" w:top="1560" w:bottom="820" w:left="1417" w:right="1559"/>
        </w:sectPr>
      </w:pPr>
    </w:p>
    <w:p>
      <w:pPr>
        <w:spacing w:before="82"/>
        <w:ind w:left="283" w:right="0" w:firstLine="0"/>
        <w:jc w:val="both"/>
        <w:rPr>
          <w:rFonts w:ascii="Arial MT" w:hAnsi="Arial MT"/>
          <w:sz w:val="24"/>
        </w:rPr>
      </w:pPr>
      <w:r>
        <w:rPr>
          <w:rFonts w:ascii="Arial MT" w:hAnsi="Arial MT"/>
          <w:color w:val="231F1F"/>
          <w:w w:val="105"/>
          <w:sz w:val="24"/>
        </w:rPr>
        <w:t>Monitorización</w:t>
      </w:r>
      <w:r>
        <w:rPr>
          <w:rFonts w:ascii="Arial MT" w:hAnsi="Arial MT"/>
          <w:color w:val="231F1F"/>
          <w:spacing w:val="-1"/>
          <w:w w:val="105"/>
          <w:sz w:val="24"/>
        </w:rPr>
        <w:t> </w:t>
      </w:r>
      <w:r>
        <w:rPr>
          <w:rFonts w:ascii="Arial MT" w:hAnsi="Arial MT"/>
          <w:color w:val="231F1F"/>
          <w:spacing w:val="-4"/>
          <w:w w:val="105"/>
          <w:sz w:val="24"/>
        </w:rPr>
        <w:t>fetal</w:t>
      </w:r>
    </w:p>
    <w:p>
      <w:pPr>
        <w:pStyle w:val="BodyText"/>
        <w:spacing w:line="249" w:lineRule="auto" w:before="267"/>
        <w:ind w:left="283" w:right="121"/>
        <w:jc w:val="both"/>
      </w:pPr>
      <w:r>
        <w:rPr>
          <w:color w:val="231F1F"/>
          <w:w w:val="110"/>
        </w:rPr>
        <w:t>Resulta</w:t>
      </w:r>
      <w:r>
        <w:rPr>
          <w:color w:val="231F1F"/>
          <w:spacing w:val="-16"/>
          <w:w w:val="110"/>
        </w:rPr>
        <w:t> </w:t>
      </w:r>
      <w:r>
        <w:rPr>
          <w:color w:val="231F1F"/>
          <w:w w:val="110"/>
        </w:rPr>
        <w:t>necesaria</w:t>
      </w:r>
      <w:r>
        <w:rPr>
          <w:color w:val="231F1F"/>
          <w:spacing w:val="-15"/>
          <w:w w:val="110"/>
        </w:rPr>
        <w:t> </w:t>
      </w:r>
      <w:r>
        <w:rPr>
          <w:color w:val="231F1F"/>
          <w:w w:val="110"/>
        </w:rPr>
        <w:t>una</w:t>
      </w:r>
      <w:r>
        <w:rPr>
          <w:color w:val="231F1F"/>
          <w:spacing w:val="-14"/>
          <w:w w:val="110"/>
        </w:rPr>
        <w:t> </w:t>
      </w:r>
      <w:r>
        <w:rPr>
          <w:color w:val="231F1F"/>
          <w:w w:val="110"/>
        </w:rPr>
        <w:t>mayor</w:t>
      </w:r>
      <w:r>
        <w:rPr>
          <w:color w:val="231F1F"/>
          <w:spacing w:val="-16"/>
          <w:w w:val="110"/>
        </w:rPr>
        <w:t> </w:t>
      </w:r>
      <w:r>
        <w:rPr>
          <w:color w:val="231F1F"/>
          <w:w w:val="110"/>
        </w:rPr>
        <w:t>difusión</w:t>
      </w:r>
      <w:r>
        <w:rPr>
          <w:color w:val="231F1F"/>
          <w:spacing w:val="-14"/>
          <w:w w:val="110"/>
        </w:rPr>
        <w:t> </w:t>
      </w:r>
      <w:r>
        <w:rPr>
          <w:color w:val="231F1F"/>
          <w:w w:val="110"/>
        </w:rPr>
        <w:t>de</w:t>
      </w:r>
      <w:r>
        <w:rPr>
          <w:color w:val="231F1F"/>
          <w:spacing w:val="-15"/>
          <w:w w:val="110"/>
        </w:rPr>
        <w:t> </w:t>
      </w:r>
      <w:r>
        <w:rPr>
          <w:color w:val="231F1F"/>
          <w:w w:val="110"/>
        </w:rPr>
        <w:t>las</w:t>
      </w:r>
      <w:r>
        <w:rPr>
          <w:color w:val="231F1F"/>
          <w:spacing w:val="-15"/>
          <w:w w:val="110"/>
        </w:rPr>
        <w:t> </w:t>
      </w:r>
      <w:r>
        <w:rPr>
          <w:color w:val="231F1F"/>
          <w:w w:val="110"/>
        </w:rPr>
        <w:t>evidencias</w:t>
      </w:r>
      <w:r>
        <w:rPr>
          <w:color w:val="231F1F"/>
          <w:spacing w:val="-15"/>
          <w:w w:val="110"/>
        </w:rPr>
        <w:t> </w:t>
      </w:r>
      <w:r>
        <w:rPr>
          <w:color w:val="231F1F"/>
          <w:w w:val="110"/>
        </w:rPr>
        <w:t>actuales,</w:t>
      </w:r>
      <w:r>
        <w:rPr>
          <w:color w:val="231F1F"/>
          <w:spacing w:val="-15"/>
          <w:w w:val="110"/>
        </w:rPr>
        <w:t> </w:t>
      </w:r>
      <w:r>
        <w:rPr>
          <w:color w:val="231F1F"/>
          <w:w w:val="110"/>
        </w:rPr>
        <w:t>mostrando</w:t>
      </w:r>
      <w:r>
        <w:rPr>
          <w:color w:val="231F1F"/>
          <w:spacing w:val="-15"/>
          <w:w w:val="110"/>
        </w:rPr>
        <w:t> </w:t>
      </w:r>
      <w:r>
        <w:rPr>
          <w:color w:val="231F1F"/>
          <w:w w:val="110"/>
        </w:rPr>
        <w:t>las</w:t>
      </w:r>
      <w:r>
        <w:rPr>
          <w:color w:val="231F1F"/>
          <w:spacing w:val="-15"/>
          <w:w w:val="110"/>
        </w:rPr>
        <w:t> </w:t>
      </w:r>
      <w:r>
        <w:rPr>
          <w:color w:val="231F1F"/>
          <w:w w:val="110"/>
        </w:rPr>
        <w:t>fortalezas de</w:t>
      </w:r>
      <w:r>
        <w:rPr>
          <w:color w:val="231F1F"/>
          <w:spacing w:val="-15"/>
          <w:w w:val="110"/>
        </w:rPr>
        <w:t> </w:t>
      </w:r>
      <w:r>
        <w:rPr>
          <w:color w:val="231F1F"/>
          <w:w w:val="110"/>
        </w:rPr>
        <w:t>las</w:t>
      </w:r>
      <w:r>
        <w:rPr>
          <w:color w:val="231F1F"/>
          <w:spacing w:val="-15"/>
          <w:w w:val="110"/>
        </w:rPr>
        <w:t> </w:t>
      </w:r>
      <w:r>
        <w:rPr>
          <w:color w:val="231F1F"/>
          <w:w w:val="110"/>
        </w:rPr>
        <w:t>mismas,</w:t>
      </w:r>
      <w:r>
        <w:rPr>
          <w:color w:val="231F1F"/>
          <w:spacing w:val="-15"/>
          <w:w w:val="110"/>
        </w:rPr>
        <w:t> </w:t>
      </w:r>
      <w:r>
        <w:rPr>
          <w:color w:val="231F1F"/>
          <w:w w:val="110"/>
        </w:rPr>
        <w:t>tanto</w:t>
      </w:r>
      <w:r>
        <w:rPr>
          <w:color w:val="231F1F"/>
          <w:spacing w:val="-14"/>
          <w:w w:val="110"/>
        </w:rPr>
        <w:t> </w:t>
      </w:r>
      <w:r>
        <w:rPr>
          <w:color w:val="231F1F"/>
          <w:w w:val="110"/>
        </w:rPr>
        <w:t>entre</w:t>
      </w:r>
      <w:r>
        <w:rPr>
          <w:color w:val="231F1F"/>
          <w:spacing w:val="-15"/>
          <w:w w:val="110"/>
        </w:rPr>
        <w:t> </w:t>
      </w:r>
      <w:r>
        <w:rPr>
          <w:color w:val="231F1F"/>
          <w:w w:val="110"/>
        </w:rPr>
        <w:t>matronas,</w:t>
      </w:r>
      <w:r>
        <w:rPr>
          <w:color w:val="231F1F"/>
          <w:spacing w:val="-15"/>
          <w:w w:val="110"/>
        </w:rPr>
        <w:t> </w:t>
      </w:r>
      <w:r>
        <w:rPr>
          <w:color w:val="231F1F"/>
          <w:w w:val="110"/>
        </w:rPr>
        <w:t>como</w:t>
      </w:r>
      <w:r>
        <w:rPr>
          <w:color w:val="231F1F"/>
          <w:spacing w:val="-15"/>
          <w:w w:val="110"/>
        </w:rPr>
        <w:t> </w:t>
      </w:r>
      <w:r>
        <w:rPr>
          <w:color w:val="231F1F"/>
          <w:w w:val="110"/>
        </w:rPr>
        <w:t>especialmente,</w:t>
      </w:r>
      <w:r>
        <w:rPr>
          <w:color w:val="231F1F"/>
          <w:spacing w:val="-15"/>
          <w:w w:val="110"/>
        </w:rPr>
        <w:t> </w:t>
      </w:r>
      <w:r>
        <w:rPr>
          <w:color w:val="231F1F"/>
          <w:w w:val="110"/>
        </w:rPr>
        <w:t>entre</w:t>
      </w:r>
      <w:r>
        <w:rPr>
          <w:color w:val="231F1F"/>
          <w:spacing w:val="-15"/>
          <w:w w:val="110"/>
        </w:rPr>
        <w:t> </w:t>
      </w:r>
      <w:r>
        <w:rPr>
          <w:color w:val="231F1F"/>
          <w:w w:val="110"/>
        </w:rPr>
        <w:t>obstetras.</w:t>
      </w:r>
      <w:r>
        <w:rPr>
          <w:color w:val="231F1F"/>
          <w:spacing w:val="-15"/>
          <w:w w:val="110"/>
        </w:rPr>
        <w:t> </w:t>
      </w:r>
      <w:r>
        <w:rPr>
          <w:color w:val="231F1F"/>
          <w:w w:val="110"/>
        </w:rPr>
        <w:t>Sin</w:t>
      </w:r>
      <w:r>
        <w:rPr>
          <w:color w:val="231F1F"/>
          <w:spacing w:val="-15"/>
          <w:w w:val="110"/>
        </w:rPr>
        <w:t> </w:t>
      </w:r>
      <w:r>
        <w:rPr>
          <w:color w:val="231F1F"/>
          <w:w w:val="110"/>
        </w:rPr>
        <w:t>este</w:t>
      </w:r>
      <w:r>
        <w:rPr>
          <w:color w:val="231F1F"/>
          <w:spacing w:val="-14"/>
          <w:w w:val="110"/>
        </w:rPr>
        <w:t> </w:t>
      </w:r>
      <w:r>
        <w:rPr>
          <w:color w:val="231F1F"/>
          <w:w w:val="110"/>
        </w:rPr>
        <w:t>primer </w:t>
      </w:r>
      <w:r>
        <w:rPr>
          <w:color w:val="231F1F"/>
        </w:rPr>
        <w:t>paso el resto de las acciones serían ineficaces. Por tanto el primer paso sería la información, </w:t>
      </w:r>
      <w:r>
        <w:rPr>
          <w:color w:val="231F1F"/>
          <w:w w:val="110"/>
        </w:rPr>
        <w:t>seguido</w:t>
      </w:r>
      <w:r>
        <w:rPr>
          <w:color w:val="231F1F"/>
          <w:spacing w:val="-15"/>
          <w:w w:val="110"/>
        </w:rPr>
        <w:t> </w:t>
      </w:r>
      <w:r>
        <w:rPr>
          <w:color w:val="231F1F"/>
          <w:w w:val="110"/>
        </w:rPr>
        <w:t>de</w:t>
      </w:r>
      <w:r>
        <w:rPr>
          <w:color w:val="231F1F"/>
          <w:spacing w:val="-14"/>
          <w:w w:val="110"/>
        </w:rPr>
        <w:t> </w:t>
      </w:r>
      <w:r>
        <w:rPr>
          <w:color w:val="231F1F"/>
          <w:w w:val="110"/>
        </w:rPr>
        <w:t>la</w:t>
      </w:r>
      <w:r>
        <w:rPr>
          <w:color w:val="231F1F"/>
          <w:spacing w:val="-14"/>
          <w:w w:val="110"/>
        </w:rPr>
        <w:t> </w:t>
      </w:r>
      <w:r>
        <w:rPr>
          <w:color w:val="231F1F"/>
          <w:w w:val="110"/>
        </w:rPr>
        <w:t>formación</w:t>
      </w:r>
      <w:r>
        <w:rPr>
          <w:color w:val="231F1F"/>
          <w:spacing w:val="-14"/>
          <w:w w:val="110"/>
        </w:rPr>
        <w:t> </w:t>
      </w:r>
      <w:r>
        <w:rPr>
          <w:color w:val="231F1F"/>
          <w:w w:val="110"/>
        </w:rPr>
        <w:t>y</w:t>
      </w:r>
      <w:r>
        <w:rPr>
          <w:color w:val="231F1F"/>
          <w:spacing w:val="-14"/>
          <w:w w:val="110"/>
        </w:rPr>
        <w:t> </w:t>
      </w:r>
      <w:r>
        <w:rPr>
          <w:color w:val="231F1F"/>
          <w:w w:val="110"/>
        </w:rPr>
        <w:t>entrenamiento</w:t>
      </w:r>
      <w:r>
        <w:rPr>
          <w:color w:val="231F1F"/>
          <w:spacing w:val="-14"/>
          <w:w w:val="110"/>
        </w:rPr>
        <w:t> </w:t>
      </w:r>
      <w:r>
        <w:rPr>
          <w:color w:val="231F1F"/>
          <w:w w:val="110"/>
        </w:rPr>
        <w:t>del</w:t>
      </w:r>
      <w:r>
        <w:rPr>
          <w:color w:val="231F1F"/>
          <w:spacing w:val="-15"/>
          <w:w w:val="110"/>
        </w:rPr>
        <w:t> </w:t>
      </w:r>
      <w:r>
        <w:rPr>
          <w:color w:val="231F1F"/>
          <w:w w:val="110"/>
        </w:rPr>
        <w:t>personal</w:t>
      </w:r>
      <w:r>
        <w:rPr>
          <w:color w:val="231F1F"/>
          <w:spacing w:val="-15"/>
          <w:w w:val="110"/>
        </w:rPr>
        <w:t> </w:t>
      </w:r>
      <w:r>
        <w:rPr>
          <w:color w:val="231F1F"/>
          <w:w w:val="110"/>
        </w:rPr>
        <w:t>que</w:t>
      </w:r>
      <w:r>
        <w:rPr>
          <w:color w:val="231F1F"/>
          <w:spacing w:val="-14"/>
          <w:w w:val="110"/>
        </w:rPr>
        <w:t> </w:t>
      </w:r>
      <w:r>
        <w:rPr>
          <w:color w:val="231F1F"/>
          <w:w w:val="110"/>
        </w:rPr>
        <w:t>asiste</w:t>
      </w:r>
      <w:r>
        <w:rPr>
          <w:color w:val="231F1F"/>
          <w:spacing w:val="-14"/>
          <w:w w:val="110"/>
        </w:rPr>
        <w:t> </w:t>
      </w:r>
      <w:r>
        <w:rPr>
          <w:color w:val="231F1F"/>
          <w:w w:val="110"/>
        </w:rPr>
        <w:t>los</w:t>
      </w:r>
      <w:r>
        <w:rPr>
          <w:color w:val="231F1F"/>
          <w:spacing w:val="-14"/>
          <w:w w:val="110"/>
        </w:rPr>
        <w:t> </w:t>
      </w:r>
      <w:r>
        <w:rPr>
          <w:color w:val="231F1F"/>
          <w:w w:val="110"/>
        </w:rPr>
        <w:t>partos,</w:t>
      </w:r>
      <w:r>
        <w:rPr>
          <w:color w:val="231F1F"/>
          <w:spacing w:val="-15"/>
          <w:w w:val="110"/>
        </w:rPr>
        <w:t> </w:t>
      </w:r>
      <w:r>
        <w:rPr>
          <w:color w:val="231F1F"/>
          <w:w w:val="110"/>
        </w:rPr>
        <w:t>en</w:t>
      </w:r>
      <w:r>
        <w:rPr>
          <w:color w:val="231F1F"/>
          <w:spacing w:val="-14"/>
          <w:w w:val="110"/>
        </w:rPr>
        <w:t> </w:t>
      </w:r>
      <w:r>
        <w:rPr>
          <w:color w:val="231F1F"/>
          <w:w w:val="110"/>
        </w:rPr>
        <w:t>técnicas</w:t>
      </w:r>
      <w:r>
        <w:rPr>
          <w:color w:val="231F1F"/>
          <w:spacing w:val="-14"/>
          <w:w w:val="110"/>
        </w:rPr>
        <w:t> </w:t>
      </w:r>
      <w:r>
        <w:rPr>
          <w:color w:val="231F1F"/>
          <w:w w:val="110"/>
        </w:rPr>
        <w:t>de monitorización intermitente.</w:t>
      </w:r>
    </w:p>
    <w:p>
      <w:pPr>
        <w:pStyle w:val="BodyText"/>
        <w:spacing w:line="252" w:lineRule="auto" w:before="201"/>
        <w:ind w:left="283" w:right="118" w:firstLine="453"/>
        <w:jc w:val="both"/>
      </w:pPr>
      <w:r>
        <w:rPr>
          <w:color w:val="231F1F"/>
        </w:rPr>
        <w:t>La aplicación de los </w:t>
      </w:r>
      <w:r>
        <w:rPr>
          <w:b/>
          <w:color w:val="231F1F"/>
        </w:rPr>
        <w:t>procedimientos intermitentes </w:t>
      </w:r>
      <w:r>
        <w:rPr>
          <w:color w:val="231F1F"/>
        </w:rPr>
        <w:t>requiere una atención individuali-</w:t>
      </w:r>
      <w:r>
        <w:rPr>
          <w:color w:val="231F1F"/>
          <w:spacing w:val="40"/>
          <w:w w:val="110"/>
        </w:rPr>
        <w:t> </w:t>
      </w:r>
      <w:r>
        <w:rPr>
          <w:color w:val="231F1F"/>
          <w:w w:val="110"/>
        </w:rPr>
        <w:t>zada desde el ingreso, con personal entrenado en este tipo de control del parto y un au- mento</w:t>
      </w:r>
      <w:r>
        <w:rPr>
          <w:color w:val="231F1F"/>
          <w:spacing w:val="-13"/>
          <w:w w:val="110"/>
        </w:rPr>
        <w:t> </w:t>
      </w:r>
      <w:r>
        <w:rPr>
          <w:color w:val="231F1F"/>
          <w:w w:val="110"/>
        </w:rPr>
        <w:t>del</w:t>
      </w:r>
      <w:r>
        <w:rPr>
          <w:color w:val="231F1F"/>
          <w:spacing w:val="-14"/>
          <w:w w:val="110"/>
        </w:rPr>
        <w:t> </w:t>
      </w:r>
      <w:r>
        <w:rPr>
          <w:color w:val="231F1F"/>
          <w:w w:val="110"/>
        </w:rPr>
        <w:t>ratio</w:t>
      </w:r>
      <w:r>
        <w:rPr>
          <w:color w:val="231F1F"/>
          <w:spacing w:val="-13"/>
          <w:w w:val="110"/>
        </w:rPr>
        <w:t> </w:t>
      </w:r>
      <w:r>
        <w:rPr>
          <w:color w:val="231F1F"/>
          <w:w w:val="110"/>
        </w:rPr>
        <w:t>matrona/gestante,</w:t>
      </w:r>
      <w:r>
        <w:rPr>
          <w:color w:val="231F1F"/>
          <w:spacing w:val="-14"/>
          <w:w w:val="110"/>
        </w:rPr>
        <w:t> </w:t>
      </w:r>
      <w:r>
        <w:rPr>
          <w:color w:val="231F1F"/>
          <w:w w:val="110"/>
        </w:rPr>
        <w:t>siendo</w:t>
      </w:r>
      <w:r>
        <w:rPr>
          <w:color w:val="231F1F"/>
          <w:spacing w:val="-14"/>
          <w:w w:val="110"/>
        </w:rPr>
        <w:t> </w:t>
      </w:r>
      <w:r>
        <w:rPr>
          <w:color w:val="231F1F"/>
          <w:w w:val="110"/>
        </w:rPr>
        <w:t>el</w:t>
      </w:r>
      <w:r>
        <w:rPr>
          <w:color w:val="231F1F"/>
          <w:spacing w:val="-14"/>
          <w:w w:val="110"/>
        </w:rPr>
        <w:t> </w:t>
      </w:r>
      <w:r>
        <w:rPr>
          <w:color w:val="231F1F"/>
          <w:w w:val="110"/>
        </w:rPr>
        <w:t>ideal</w:t>
      </w:r>
      <w:r>
        <w:rPr>
          <w:color w:val="231F1F"/>
          <w:spacing w:val="-13"/>
          <w:w w:val="110"/>
        </w:rPr>
        <w:t> </w:t>
      </w:r>
      <w:r>
        <w:rPr>
          <w:color w:val="231F1F"/>
          <w:w w:val="110"/>
        </w:rPr>
        <w:t>1/1</w:t>
      </w:r>
      <w:r>
        <w:rPr>
          <w:color w:val="231F1F"/>
          <w:spacing w:val="-13"/>
          <w:w w:val="110"/>
        </w:rPr>
        <w:t> </w:t>
      </w:r>
      <w:r>
        <w:rPr>
          <w:color w:val="231F1F"/>
          <w:w w:val="110"/>
        </w:rPr>
        <w:t>por</w:t>
      </w:r>
      <w:r>
        <w:rPr>
          <w:color w:val="231F1F"/>
          <w:spacing w:val="-14"/>
          <w:w w:val="110"/>
        </w:rPr>
        <w:t> </w:t>
      </w:r>
      <w:r>
        <w:rPr>
          <w:color w:val="231F1F"/>
          <w:w w:val="110"/>
        </w:rPr>
        <w:t>lo</w:t>
      </w:r>
      <w:r>
        <w:rPr>
          <w:color w:val="231F1F"/>
          <w:spacing w:val="-13"/>
          <w:w w:val="110"/>
        </w:rPr>
        <w:t> </w:t>
      </w:r>
      <w:r>
        <w:rPr>
          <w:color w:val="231F1F"/>
          <w:w w:val="110"/>
        </w:rPr>
        <w:t>que</w:t>
      </w:r>
      <w:r>
        <w:rPr>
          <w:color w:val="231F1F"/>
          <w:spacing w:val="-13"/>
          <w:w w:val="110"/>
        </w:rPr>
        <w:t> </w:t>
      </w:r>
      <w:r>
        <w:rPr>
          <w:color w:val="231F1F"/>
          <w:w w:val="110"/>
        </w:rPr>
        <w:t>las</w:t>
      </w:r>
      <w:r>
        <w:rPr>
          <w:color w:val="231F1F"/>
          <w:spacing w:val="-13"/>
          <w:w w:val="110"/>
        </w:rPr>
        <w:t> </w:t>
      </w:r>
      <w:r>
        <w:rPr>
          <w:color w:val="231F1F"/>
          <w:w w:val="110"/>
        </w:rPr>
        <w:t>autoridades</w:t>
      </w:r>
      <w:r>
        <w:rPr>
          <w:color w:val="231F1F"/>
          <w:spacing w:val="-13"/>
          <w:w w:val="110"/>
        </w:rPr>
        <w:t> </w:t>
      </w:r>
      <w:r>
        <w:rPr>
          <w:color w:val="231F1F"/>
          <w:w w:val="110"/>
        </w:rPr>
        <w:t>sanitarias, tan comprometidas en esta política, deben ser conscientes de su responsabilidad en las </w:t>
      </w:r>
      <w:r>
        <w:rPr>
          <w:color w:val="231F1F"/>
        </w:rPr>
        <w:t>dificultades de aplicación. Sería necesario por tanto una disminución de la carga asistencial</w:t>
      </w:r>
      <w:r>
        <w:rPr>
          <w:color w:val="231F1F"/>
          <w:spacing w:val="80"/>
          <w:w w:val="110"/>
        </w:rPr>
        <w:t> </w:t>
      </w:r>
      <w:r>
        <w:rPr>
          <w:color w:val="231F1F"/>
          <w:w w:val="110"/>
        </w:rPr>
        <w:t>para favorecer</w:t>
      </w:r>
      <w:r>
        <w:rPr>
          <w:color w:val="231F1F"/>
          <w:spacing w:val="-1"/>
          <w:w w:val="110"/>
        </w:rPr>
        <w:t> </w:t>
      </w:r>
      <w:r>
        <w:rPr>
          <w:color w:val="231F1F"/>
          <w:w w:val="110"/>
        </w:rPr>
        <w:t>la implementación,</w:t>
      </w:r>
      <w:r>
        <w:rPr>
          <w:color w:val="231F1F"/>
          <w:spacing w:val="-1"/>
          <w:w w:val="110"/>
        </w:rPr>
        <w:t> </w:t>
      </w:r>
      <w:r>
        <w:rPr>
          <w:color w:val="231F1F"/>
          <w:w w:val="110"/>
        </w:rPr>
        <w:t>dentro por</w:t>
      </w:r>
      <w:r>
        <w:rPr>
          <w:color w:val="231F1F"/>
          <w:spacing w:val="-1"/>
          <w:w w:val="110"/>
        </w:rPr>
        <w:t> </w:t>
      </w:r>
      <w:r>
        <w:rPr>
          <w:color w:val="231F1F"/>
          <w:w w:val="110"/>
        </w:rPr>
        <w:t>otra parte de un Plan de Humanización de las asistencia perinatal.</w:t>
      </w:r>
    </w:p>
    <w:p>
      <w:pPr>
        <w:pStyle w:val="BodyText"/>
        <w:spacing w:line="244" w:lineRule="auto" w:before="171"/>
        <w:ind w:left="283" w:right="124" w:firstLine="453"/>
        <w:jc w:val="both"/>
      </w:pPr>
      <w:r>
        <w:rPr>
          <w:color w:val="231F1F"/>
          <w:w w:val="110"/>
        </w:rPr>
        <w:t>La</w:t>
      </w:r>
      <w:r>
        <w:rPr>
          <w:color w:val="231F1F"/>
          <w:spacing w:val="-13"/>
          <w:w w:val="110"/>
        </w:rPr>
        <w:t> </w:t>
      </w:r>
      <w:r>
        <w:rPr>
          <w:b/>
          <w:color w:val="231F1F"/>
          <w:w w:val="110"/>
        </w:rPr>
        <w:t>pulsioximetría</w:t>
      </w:r>
      <w:r>
        <w:rPr>
          <w:b/>
          <w:color w:val="231F1F"/>
          <w:spacing w:val="-14"/>
          <w:w w:val="110"/>
        </w:rPr>
        <w:t> </w:t>
      </w:r>
      <w:r>
        <w:rPr>
          <w:b/>
          <w:color w:val="231F1F"/>
          <w:w w:val="110"/>
        </w:rPr>
        <w:t>fetal</w:t>
      </w:r>
      <w:r>
        <w:rPr>
          <w:b/>
          <w:color w:val="231F1F"/>
          <w:spacing w:val="-14"/>
          <w:w w:val="110"/>
        </w:rPr>
        <w:t> </w:t>
      </w:r>
      <w:r>
        <w:rPr>
          <w:color w:val="231F1F"/>
          <w:w w:val="110"/>
        </w:rPr>
        <w:t>es</w:t>
      </w:r>
      <w:r>
        <w:rPr>
          <w:color w:val="231F1F"/>
          <w:spacing w:val="-13"/>
          <w:w w:val="110"/>
        </w:rPr>
        <w:t> </w:t>
      </w:r>
      <w:r>
        <w:rPr>
          <w:color w:val="231F1F"/>
          <w:w w:val="110"/>
        </w:rPr>
        <w:t>un</w:t>
      </w:r>
      <w:r>
        <w:rPr>
          <w:color w:val="231F1F"/>
          <w:spacing w:val="-13"/>
          <w:w w:val="110"/>
        </w:rPr>
        <w:t> </w:t>
      </w:r>
      <w:r>
        <w:rPr>
          <w:color w:val="231F1F"/>
          <w:w w:val="110"/>
        </w:rPr>
        <w:t>procedimiento</w:t>
      </w:r>
      <w:r>
        <w:rPr>
          <w:color w:val="231F1F"/>
          <w:spacing w:val="-14"/>
          <w:w w:val="110"/>
        </w:rPr>
        <w:t> </w:t>
      </w:r>
      <w:r>
        <w:rPr>
          <w:color w:val="231F1F"/>
          <w:w w:val="110"/>
        </w:rPr>
        <w:t>que</w:t>
      </w:r>
      <w:r>
        <w:rPr>
          <w:color w:val="231F1F"/>
          <w:spacing w:val="-13"/>
          <w:w w:val="110"/>
        </w:rPr>
        <w:t> </w:t>
      </w:r>
      <w:r>
        <w:rPr>
          <w:color w:val="231F1F"/>
          <w:w w:val="110"/>
        </w:rPr>
        <w:t>en</w:t>
      </w:r>
      <w:r>
        <w:rPr>
          <w:color w:val="231F1F"/>
          <w:spacing w:val="-13"/>
          <w:w w:val="110"/>
        </w:rPr>
        <w:t> </w:t>
      </w:r>
      <w:r>
        <w:rPr>
          <w:color w:val="231F1F"/>
          <w:w w:val="110"/>
        </w:rPr>
        <w:t>estos</w:t>
      </w:r>
      <w:r>
        <w:rPr>
          <w:color w:val="231F1F"/>
          <w:spacing w:val="-13"/>
          <w:w w:val="110"/>
        </w:rPr>
        <w:t> </w:t>
      </w:r>
      <w:r>
        <w:rPr>
          <w:color w:val="231F1F"/>
          <w:w w:val="110"/>
        </w:rPr>
        <w:t>momentos</w:t>
      </w:r>
      <w:r>
        <w:rPr>
          <w:color w:val="231F1F"/>
          <w:spacing w:val="-14"/>
          <w:w w:val="110"/>
        </w:rPr>
        <w:t> </w:t>
      </w:r>
      <w:r>
        <w:rPr>
          <w:color w:val="231F1F"/>
          <w:w w:val="110"/>
        </w:rPr>
        <w:t>tiene</w:t>
      </w:r>
      <w:r>
        <w:rPr>
          <w:color w:val="231F1F"/>
          <w:spacing w:val="-13"/>
          <w:w w:val="110"/>
        </w:rPr>
        <w:t> </w:t>
      </w:r>
      <w:r>
        <w:rPr>
          <w:color w:val="231F1F"/>
          <w:w w:val="110"/>
        </w:rPr>
        <w:t>usos</w:t>
      </w:r>
      <w:r>
        <w:rPr>
          <w:color w:val="231F1F"/>
          <w:spacing w:val="-13"/>
          <w:w w:val="110"/>
        </w:rPr>
        <w:t> </w:t>
      </w:r>
      <w:r>
        <w:rPr>
          <w:color w:val="231F1F"/>
          <w:w w:val="110"/>
        </w:rPr>
        <w:t>muy limitados</w:t>
      </w:r>
      <w:r>
        <w:rPr>
          <w:color w:val="231F1F"/>
          <w:spacing w:val="-6"/>
          <w:w w:val="110"/>
        </w:rPr>
        <w:t> </w:t>
      </w:r>
      <w:r>
        <w:rPr>
          <w:color w:val="231F1F"/>
          <w:w w:val="110"/>
        </w:rPr>
        <w:t>en</w:t>
      </w:r>
      <w:r>
        <w:rPr>
          <w:color w:val="231F1F"/>
          <w:spacing w:val="-5"/>
          <w:w w:val="110"/>
        </w:rPr>
        <w:t> </w:t>
      </w:r>
      <w:r>
        <w:rPr>
          <w:color w:val="231F1F"/>
          <w:w w:val="110"/>
        </w:rPr>
        <w:t>la</w:t>
      </w:r>
      <w:r>
        <w:rPr>
          <w:color w:val="231F1F"/>
          <w:spacing w:val="-5"/>
          <w:w w:val="110"/>
        </w:rPr>
        <w:t> </w:t>
      </w:r>
      <w:r>
        <w:rPr>
          <w:color w:val="231F1F"/>
          <w:w w:val="110"/>
        </w:rPr>
        <w:t>práctica</w:t>
      </w:r>
      <w:r>
        <w:rPr>
          <w:color w:val="231F1F"/>
          <w:spacing w:val="-6"/>
          <w:w w:val="110"/>
        </w:rPr>
        <w:t> </w:t>
      </w:r>
      <w:r>
        <w:rPr>
          <w:color w:val="231F1F"/>
          <w:w w:val="110"/>
        </w:rPr>
        <w:t>clínica,</w:t>
      </w:r>
      <w:r>
        <w:rPr>
          <w:color w:val="231F1F"/>
          <w:spacing w:val="-6"/>
          <w:w w:val="110"/>
        </w:rPr>
        <w:t> </w:t>
      </w:r>
      <w:r>
        <w:rPr>
          <w:color w:val="231F1F"/>
          <w:w w:val="110"/>
        </w:rPr>
        <w:t>como</w:t>
      </w:r>
      <w:r>
        <w:rPr>
          <w:color w:val="231F1F"/>
          <w:spacing w:val="-5"/>
          <w:w w:val="110"/>
        </w:rPr>
        <w:t> </w:t>
      </w:r>
      <w:r>
        <w:rPr>
          <w:color w:val="231F1F"/>
          <w:w w:val="110"/>
        </w:rPr>
        <w:t>podría</w:t>
      </w:r>
      <w:r>
        <w:rPr>
          <w:color w:val="231F1F"/>
          <w:spacing w:val="-6"/>
          <w:w w:val="110"/>
        </w:rPr>
        <w:t> </w:t>
      </w:r>
      <w:r>
        <w:rPr>
          <w:color w:val="231F1F"/>
          <w:w w:val="110"/>
        </w:rPr>
        <w:t>ser</w:t>
      </w:r>
      <w:r>
        <w:rPr>
          <w:color w:val="231F1F"/>
          <w:spacing w:val="-6"/>
          <w:w w:val="110"/>
        </w:rPr>
        <w:t> </w:t>
      </w:r>
      <w:r>
        <w:rPr>
          <w:color w:val="231F1F"/>
          <w:w w:val="110"/>
        </w:rPr>
        <w:t>el</w:t>
      </w:r>
      <w:r>
        <w:rPr>
          <w:color w:val="231F1F"/>
          <w:spacing w:val="-6"/>
          <w:w w:val="110"/>
        </w:rPr>
        <w:t> </w:t>
      </w:r>
      <w:r>
        <w:rPr>
          <w:color w:val="231F1F"/>
          <w:w w:val="110"/>
        </w:rPr>
        <w:t>caso</w:t>
      </w:r>
      <w:r>
        <w:rPr>
          <w:color w:val="231F1F"/>
          <w:spacing w:val="-5"/>
          <w:w w:val="110"/>
        </w:rPr>
        <w:t> </w:t>
      </w:r>
      <w:r>
        <w:rPr>
          <w:color w:val="231F1F"/>
          <w:w w:val="110"/>
        </w:rPr>
        <w:t>de</w:t>
      </w:r>
      <w:r>
        <w:rPr>
          <w:color w:val="231F1F"/>
          <w:spacing w:val="-5"/>
          <w:w w:val="110"/>
        </w:rPr>
        <w:t> </w:t>
      </w:r>
      <w:r>
        <w:rPr>
          <w:color w:val="231F1F"/>
          <w:w w:val="110"/>
        </w:rPr>
        <w:t>las</w:t>
      </w:r>
      <w:r>
        <w:rPr>
          <w:color w:val="231F1F"/>
          <w:spacing w:val="-6"/>
          <w:w w:val="110"/>
        </w:rPr>
        <w:t> </w:t>
      </w:r>
      <w:r>
        <w:rPr>
          <w:color w:val="231F1F"/>
          <w:w w:val="110"/>
        </w:rPr>
        <w:t>arritmias</w:t>
      </w:r>
      <w:r>
        <w:rPr>
          <w:color w:val="231F1F"/>
          <w:spacing w:val="-6"/>
          <w:w w:val="110"/>
        </w:rPr>
        <w:t> </w:t>
      </w:r>
      <w:r>
        <w:rPr>
          <w:color w:val="231F1F"/>
          <w:w w:val="110"/>
        </w:rPr>
        <w:t>fetales,</w:t>
      </w:r>
      <w:r>
        <w:rPr>
          <w:color w:val="231F1F"/>
          <w:spacing w:val="-6"/>
          <w:w w:val="110"/>
        </w:rPr>
        <w:t> </w:t>
      </w:r>
      <w:r>
        <w:rPr>
          <w:color w:val="231F1F"/>
          <w:w w:val="110"/>
        </w:rPr>
        <w:t>teniendo más</w:t>
      </w:r>
      <w:r>
        <w:rPr>
          <w:color w:val="231F1F"/>
          <w:spacing w:val="-16"/>
          <w:w w:val="110"/>
        </w:rPr>
        <w:t> </w:t>
      </w:r>
      <w:r>
        <w:rPr>
          <w:color w:val="231F1F"/>
          <w:w w:val="110"/>
        </w:rPr>
        <w:t>lugar</w:t>
      </w:r>
      <w:r>
        <w:rPr>
          <w:color w:val="231F1F"/>
          <w:spacing w:val="-15"/>
          <w:w w:val="110"/>
        </w:rPr>
        <w:t> </w:t>
      </w:r>
      <w:r>
        <w:rPr>
          <w:color w:val="231F1F"/>
          <w:w w:val="110"/>
        </w:rPr>
        <w:t>en</w:t>
      </w:r>
      <w:r>
        <w:rPr>
          <w:color w:val="231F1F"/>
          <w:spacing w:val="-15"/>
          <w:w w:val="110"/>
        </w:rPr>
        <w:t> </w:t>
      </w:r>
      <w:r>
        <w:rPr>
          <w:color w:val="231F1F"/>
          <w:w w:val="110"/>
        </w:rPr>
        <w:t>el</w:t>
      </w:r>
      <w:r>
        <w:rPr>
          <w:color w:val="231F1F"/>
          <w:spacing w:val="-15"/>
          <w:w w:val="110"/>
        </w:rPr>
        <w:t> </w:t>
      </w:r>
      <w:r>
        <w:rPr>
          <w:color w:val="231F1F"/>
          <w:w w:val="110"/>
        </w:rPr>
        <w:t>campo</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investigación.</w:t>
      </w:r>
      <w:r>
        <w:rPr>
          <w:color w:val="231F1F"/>
          <w:spacing w:val="-15"/>
          <w:w w:val="110"/>
        </w:rPr>
        <w:t> </w:t>
      </w:r>
      <w:r>
        <w:rPr>
          <w:color w:val="231F1F"/>
          <w:w w:val="110"/>
        </w:rPr>
        <w:t>Por</w:t>
      </w:r>
      <w:r>
        <w:rPr>
          <w:color w:val="231F1F"/>
          <w:spacing w:val="-16"/>
          <w:w w:val="110"/>
        </w:rPr>
        <w:t> </w:t>
      </w:r>
      <w:r>
        <w:rPr>
          <w:color w:val="231F1F"/>
          <w:w w:val="110"/>
        </w:rPr>
        <w:t>estas</w:t>
      </w:r>
      <w:r>
        <w:rPr>
          <w:color w:val="231F1F"/>
          <w:spacing w:val="-15"/>
          <w:w w:val="110"/>
        </w:rPr>
        <w:t> </w:t>
      </w:r>
      <w:r>
        <w:rPr>
          <w:color w:val="231F1F"/>
          <w:w w:val="110"/>
        </w:rPr>
        <w:t>razones</w:t>
      </w:r>
      <w:r>
        <w:rPr>
          <w:color w:val="231F1F"/>
          <w:spacing w:val="-15"/>
          <w:w w:val="110"/>
        </w:rPr>
        <w:t> </w:t>
      </w:r>
      <w:r>
        <w:rPr>
          <w:color w:val="231F1F"/>
          <w:w w:val="110"/>
        </w:rPr>
        <w:t>no</w:t>
      </w:r>
      <w:r>
        <w:rPr>
          <w:color w:val="231F1F"/>
          <w:spacing w:val="-15"/>
          <w:w w:val="110"/>
        </w:rPr>
        <w:t> </w:t>
      </w:r>
      <w:r>
        <w:rPr>
          <w:color w:val="231F1F"/>
          <w:w w:val="110"/>
        </w:rPr>
        <w:t>parece</w:t>
      </w:r>
      <w:r>
        <w:rPr>
          <w:color w:val="231F1F"/>
          <w:spacing w:val="-15"/>
          <w:w w:val="110"/>
        </w:rPr>
        <w:t> </w:t>
      </w:r>
      <w:r>
        <w:rPr>
          <w:color w:val="231F1F"/>
          <w:w w:val="110"/>
        </w:rPr>
        <w:t>necesaria</w:t>
      </w:r>
      <w:r>
        <w:rPr>
          <w:color w:val="231F1F"/>
          <w:spacing w:val="-15"/>
          <w:w w:val="110"/>
        </w:rPr>
        <w:t> </w:t>
      </w:r>
      <w:r>
        <w:rPr>
          <w:color w:val="231F1F"/>
          <w:w w:val="110"/>
        </w:rPr>
        <w:t>la</w:t>
      </w:r>
      <w:r>
        <w:rPr>
          <w:color w:val="231F1F"/>
          <w:spacing w:val="-15"/>
          <w:w w:val="110"/>
        </w:rPr>
        <w:t> </w:t>
      </w:r>
      <w:r>
        <w:rPr>
          <w:color w:val="231F1F"/>
          <w:w w:val="110"/>
        </w:rPr>
        <w:t>imple- mentación de políticas que ayuden a la difusión de este procedimiento.</w:t>
      </w:r>
    </w:p>
    <w:p>
      <w:pPr>
        <w:pStyle w:val="BodyText"/>
        <w:spacing w:line="247" w:lineRule="auto" w:before="192"/>
        <w:ind w:left="283" w:right="113" w:firstLine="453"/>
        <w:jc w:val="both"/>
      </w:pPr>
      <w:r>
        <w:rPr>
          <w:color w:val="231F1F"/>
          <w:w w:val="110"/>
        </w:rPr>
        <w:t>Con</w:t>
      </w:r>
      <w:r>
        <w:rPr>
          <w:color w:val="231F1F"/>
          <w:spacing w:val="-10"/>
          <w:w w:val="110"/>
        </w:rPr>
        <w:t> </w:t>
      </w:r>
      <w:r>
        <w:rPr>
          <w:color w:val="231F1F"/>
          <w:w w:val="110"/>
        </w:rPr>
        <w:t>respecto</w:t>
      </w:r>
      <w:r>
        <w:rPr>
          <w:color w:val="231F1F"/>
          <w:spacing w:val="-9"/>
          <w:w w:val="110"/>
        </w:rPr>
        <w:t> </w:t>
      </w:r>
      <w:r>
        <w:rPr>
          <w:color w:val="231F1F"/>
          <w:w w:val="110"/>
        </w:rPr>
        <w:t>al</w:t>
      </w:r>
      <w:r>
        <w:rPr>
          <w:color w:val="231F1F"/>
          <w:spacing w:val="-10"/>
          <w:w w:val="110"/>
        </w:rPr>
        <w:t> </w:t>
      </w:r>
      <w:r>
        <w:rPr>
          <w:b/>
          <w:color w:val="231F1F"/>
          <w:w w:val="110"/>
        </w:rPr>
        <w:t>análisis</w:t>
      </w:r>
      <w:r>
        <w:rPr>
          <w:b/>
          <w:color w:val="231F1F"/>
          <w:spacing w:val="-10"/>
          <w:w w:val="110"/>
        </w:rPr>
        <w:t> </w:t>
      </w:r>
      <w:r>
        <w:rPr>
          <w:b/>
          <w:color w:val="231F1F"/>
          <w:w w:val="110"/>
        </w:rPr>
        <w:t>del</w:t>
      </w:r>
      <w:r>
        <w:rPr>
          <w:b/>
          <w:color w:val="231F1F"/>
          <w:spacing w:val="-11"/>
          <w:w w:val="110"/>
        </w:rPr>
        <w:t> </w:t>
      </w:r>
      <w:r>
        <w:rPr>
          <w:b/>
          <w:color w:val="231F1F"/>
          <w:w w:val="110"/>
        </w:rPr>
        <w:t>segmento</w:t>
      </w:r>
      <w:r>
        <w:rPr>
          <w:b/>
          <w:color w:val="231F1F"/>
          <w:spacing w:val="-11"/>
          <w:w w:val="110"/>
        </w:rPr>
        <w:t> </w:t>
      </w:r>
      <w:r>
        <w:rPr>
          <w:b/>
          <w:color w:val="231F1F"/>
          <w:w w:val="110"/>
        </w:rPr>
        <w:t>ST</w:t>
      </w:r>
      <w:r>
        <w:rPr>
          <w:b/>
          <w:color w:val="231F1F"/>
          <w:spacing w:val="-9"/>
          <w:w w:val="110"/>
        </w:rPr>
        <w:t> </w:t>
      </w:r>
      <w:r>
        <w:rPr>
          <w:b/>
          <w:color w:val="231F1F"/>
          <w:w w:val="110"/>
        </w:rPr>
        <w:t>del</w:t>
      </w:r>
      <w:r>
        <w:rPr>
          <w:b/>
          <w:color w:val="231F1F"/>
          <w:spacing w:val="-11"/>
          <w:w w:val="110"/>
        </w:rPr>
        <w:t> </w:t>
      </w:r>
      <w:r>
        <w:rPr>
          <w:b/>
          <w:color w:val="231F1F"/>
          <w:w w:val="110"/>
        </w:rPr>
        <w:t>ECG</w:t>
      </w:r>
      <w:r>
        <w:rPr>
          <w:b/>
          <w:color w:val="231F1F"/>
          <w:spacing w:val="-9"/>
          <w:w w:val="110"/>
        </w:rPr>
        <w:t> </w:t>
      </w:r>
      <w:r>
        <w:rPr>
          <w:b/>
          <w:color w:val="231F1F"/>
          <w:w w:val="110"/>
        </w:rPr>
        <w:t>fetal</w:t>
      </w:r>
      <w:r>
        <w:rPr>
          <w:color w:val="231F1F"/>
          <w:w w:val="110"/>
        </w:rPr>
        <w:t>,</w:t>
      </w:r>
      <w:r>
        <w:rPr>
          <w:color w:val="231F1F"/>
          <w:spacing w:val="-11"/>
          <w:w w:val="110"/>
        </w:rPr>
        <w:t> </w:t>
      </w:r>
      <w:r>
        <w:rPr>
          <w:color w:val="231F1F"/>
          <w:w w:val="110"/>
        </w:rPr>
        <w:t>sería</w:t>
      </w:r>
      <w:r>
        <w:rPr>
          <w:color w:val="231F1F"/>
          <w:spacing w:val="-10"/>
          <w:w w:val="110"/>
        </w:rPr>
        <w:t> </w:t>
      </w:r>
      <w:r>
        <w:rPr>
          <w:color w:val="231F1F"/>
          <w:w w:val="110"/>
        </w:rPr>
        <w:t>necesario</w:t>
      </w:r>
      <w:r>
        <w:rPr>
          <w:color w:val="231F1F"/>
          <w:spacing w:val="-10"/>
          <w:w w:val="110"/>
        </w:rPr>
        <w:t> </w:t>
      </w:r>
      <w:r>
        <w:rPr>
          <w:color w:val="231F1F"/>
          <w:w w:val="110"/>
        </w:rPr>
        <w:t>facilitar</w:t>
      </w:r>
      <w:r>
        <w:rPr>
          <w:color w:val="231F1F"/>
          <w:spacing w:val="-10"/>
          <w:w w:val="110"/>
        </w:rPr>
        <w:t> </w:t>
      </w:r>
      <w:r>
        <w:rPr>
          <w:color w:val="231F1F"/>
          <w:w w:val="110"/>
        </w:rPr>
        <w:t>el acceso</w:t>
      </w:r>
      <w:r>
        <w:rPr>
          <w:color w:val="231F1F"/>
          <w:spacing w:val="-10"/>
          <w:w w:val="110"/>
        </w:rPr>
        <w:t> </w:t>
      </w:r>
      <w:r>
        <w:rPr>
          <w:color w:val="231F1F"/>
          <w:w w:val="110"/>
        </w:rPr>
        <w:t>a</w:t>
      </w:r>
      <w:r>
        <w:rPr>
          <w:color w:val="231F1F"/>
          <w:spacing w:val="-11"/>
          <w:w w:val="110"/>
        </w:rPr>
        <w:t> </w:t>
      </w:r>
      <w:r>
        <w:rPr>
          <w:color w:val="231F1F"/>
          <w:w w:val="110"/>
        </w:rPr>
        <w:t>esta</w:t>
      </w:r>
      <w:r>
        <w:rPr>
          <w:color w:val="231F1F"/>
          <w:spacing w:val="-10"/>
          <w:w w:val="110"/>
        </w:rPr>
        <w:t> </w:t>
      </w:r>
      <w:r>
        <w:rPr>
          <w:color w:val="231F1F"/>
          <w:w w:val="110"/>
        </w:rPr>
        <w:t>tecnología,</w:t>
      </w:r>
      <w:r>
        <w:rPr>
          <w:color w:val="231F1F"/>
          <w:spacing w:val="-11"/>
          <w:w w:val="110"/>
        </w:rPr>
        <w:t> </w:t>
      </w:r>
      <w:r>
        <w:rPr>
          <w:color w:val="231F1F"/>
          <w:w w:val="110"/>
        </w:rPr>
        <w:t>ya</w:t>
      </w:r>
      <w:r>
        <w:rPr>
          <w:color w:val="231F1F"/>
          <w:spacing w:val="-11"/>
          <w:w w:val="110"/>
        </w:rPr>
        <w:t> </w:t>
      </w:r>
      <w:r>
        <w:rPr>
          <w:color w:val="231F1F"/>
          <w:w w:val="110"/>
        </w:rPr>
        <w:t>que</w:t>
      </w:r>
      <w:r>
        <w:rPr>
          <w:color w:val="231F1F"/>
          <w:spacing w:val="-11"/>
          <w:w w:val="110"/>
        </w:rPr>
        <w:t> </w:t>
      </w:r>
      <w:r>
        <w:rPr>
          <w:color w:val="231F1F"/>
          <w:w w:val="110"/>
        </w:rPr>
        <w:t>ha</w:t>
      </w:r>
      <w:r>
        <w:rPr>
          <w:color w:val="231F1F"/>
          <w:spacing w:val="-11"/>
          <w:w w:val="110"/>
        </w:rPr>
        <w:t> </w:t>
      </w:r>
      <w:r>
        <w:rPr>
          <w:color w:val="231F1F"/>
          <w:w w:val="110"/>
        </w:rPr>
        <w:t>demostrado</w:t>
      </w:r>
      <w:r>
        <w:rPr>
          <w:color w:val="231F1F"/>
          <w:spacing w:val="-11"/>
          <w:w w:val="110"/>
        </w:rPr>
        <w:t> </w:t>
      </w:r>
      <w:r>
        <w:rPr>
          <w:color w:val="231F1F"/>
          <w:w w:val="110"/>
        </w:rPr>
        <w:t>mejorar</w:t>
      </w:r>
      <w:r>
        <w:rPr>
          <w:color w:val="231F1F"/>
          <w:spacing w:val="-11"/>
          <w:w w:val="110"/>
        </w:rPr>
        <w:t> </w:t>
      </w:r>
      <w:r>
        <w:rPr>
          <w:color w:val="231F1F"/>
          <w:w w:val="110"/>
        </w:rPr>
        <w:t>el</w:t>
      </w:r>
      <w:r>
        <w:rPr>
          <w:color w:val="231F1F"/>
          <w:spacing w:val="-11"/>
          <w:w w:val="110"/>
        </w:rPr>
        <w:t> </w:t>
      </w:r>
      <w:r>
        <w:rPr>
          <w:color w:val="231F1F"/>
          <w:w w:val="110"/>
        </w:rPr>
        <w:t>resultado</w:t>
      </w:r>
      <w:r>
        <w:rPr>
          <w:color w:val="231F1F"/>
          <w:spacing w:val="-10"/>
          <w:w w:val="110"/>
        </w:rPr>
        <w:t> </w:t>
      </w:r>
      <w:r>
        <w:rPr>
          <w:color w:val="231F1F"/>
          <w:w w:val="110"/>
        </w:rPr>
        <w:t>neonatal.</w:t>
      </w:r>
      <w:r>
        <w:rPr>
          <w:color w:val="231F1F"/>
          <w:spacing w:val="-12"/>
          <w:w w:val="110"/>
        </w:rPr>
        <w:t> </w:t>
      </w:r>
      <w:r>
        <w:rPr>
          <w:color w:val="231F1F"/>
          <w:w w:val="110"/>
        </w:rPr>
        <w:t>No</w:t>
      </w:r>
      <w:r>
        <w:rPr>
          <w:color w:val="231F1F"/>
          <w:spacing w:val="-11"/>
          <w:w w:val="110"/>
        </w:rPr>
        <w:t> </w:t>
      </w:r>
      <w:r>
        <w:rPr>
          <w:color w:val="231F1F"/>
          <w:w w:val="110"/>
        </w:rPr>
        <w:t>obstan- te</w:t>
      </w:r>
      <w:r>
        <w:rPr>
          <w:color w:val="231F1F"/>
          <w:spacing w:val="-2"/>
          <w:w w:val="110"/>
        </w:rPr>
        <w:t> </w:t>
      </w:r>
      <w:r>
        <w:rPr>
          <w:color w:val="231F1F"/>
          <w:w w:val="110"/>
        </w:rPr>
        <w:t>la</w:t>
      </w:r>
      <w:r>
        <w:rPr>
          <w:color w:val="231F1F"/>
          <w:spacing w:val="-2"/>
          <w:w w:val="110"/>
        </w:rPr>
        <w:t> </w:t>
      </w:r>
      <w:r>
        <w:rPr>
          <w:color w:val="231F1F"/>
          <w:w w:val="110"/>
        </w:rPr>
        <w:t>recomendación</w:t>
      </w:r>
      <w:r>
        <w:rPr>
          <w:color w:val="231F1F"/>
          <w:spacing w:val="-2"/>
          <w:w w:val="110"/>
        </w:rPr>
        <w:t> </w:t>
      </w:r>
      <w:r>
        <w:rPr>
          <w:color w:val="231F1F"/>
          <w:w w:val="110"/>
        </w:rPr>
        <w:t>de</w:t>
      </w:r>
      <w:r>
        <w:rPr>
          <w:color w:val="231F1F"/>
          <w:spacing w:val="-2"/>
          <w:w w:val="110"/>
        </w:rPr>
        <w:t> </w:t>
      </w:r>
      <w:r>
        <w:rPr>
          <w:color w:val="231F1F"/>
          <w:w w:val="110"/>
        </w:rPr>
        <w:t>implementación</w:t>
      </w:r>
      <w:r>
        <w:rPr>
          <w:color w:val="231F1F"/>
          <w:spacing w:val="-2"/>
          <w:w w:val="110"/>
        </w:rPr>
        <w:t> </w:t>
      </w:r>
      <w:r>
        <w:rPr>
          <w:color w:val="231F1F"/>
          <w:w w:val="110"/>
        </w:rPr>
        <w:t>no</w:t>
      </w:r>
      <w:r>
        <w:rPr>
          <w:color w:val="231F1F"/>
          <w:spacing w:val="-2"/>
          <w:w w:val="110"/>
        </w:rPr>
        <w:t> </w:t>
      </w:r>
      <w:r>
        <w:rPr>
          <w:color w:val="231F1F"/>
          <w:w w:val="110"/>
        </w:rPr>
        <w:t>puede</w:t>
      </w:r>
      <w:r>
        <w:rPr>
          <w:color w:val="231F1F"/>
          <w:spacing w:val="-2"/>
          <w:w w:val="110"/>
        </w:rPr>
        <w:t> </w:t>
      </w:r>
      <w:r>
        <w:rPr>
          <w:color w:val="231F1F"/>
          <w:w w:val="110"/>
        </w:rPr>
        <w:t>pasar</w:t>
      </w:r>
      <w:r>
        <w:rPr>
          <w:color w:val="231F1F"/>
          <w:spacing w:val="-3"/>
          <w:w w:val="110"/>
        </w:rPr>
        <w:t> </w:t>
      </w:r>
      <w:r>
        <w:rPr>
          <w:color w:val="231F1F"/>
          <w:w w:val="110"/>
        </w:rPr>
        <w:t>por</w:t>
      </w:r>
      <w:r>
        <w:rPr>
          <w:color w:val="231F1F"/>
          <w:spacing w:val="-3"/>
          <w:w w:val="110"/>
        </w:rPr>
        <w:t> </w:t>
      </w:r>
      <w:r>
        <w:rPr>
          <w:color w:val="231F1F"/>
          <w:w w:val="110"/>
        </w:rPr>
        <w:t>recomendar,</w:t>
      </w:r>
      <w:r>
        <w:rPr>
          <w:color w:val="231F1F"/>
          <w:spacing w:val="-3"/>
          <w:w w:val="110"/>
        </w:rPr>
        <w:t> </w:t>
      </w:r>
      <w:r>
        <w:rPr>
          <w:color w:val="231F1F"/>
          <w:w w:val="110"/>
        </w:rPr>
        <w:t>desde</w:t>
      </w:r>
      <w:r>
        <w:rPr>
          <w:color w:val="231F1F"/>
          <w:spacing w:val="-2"/>
          <w:w w:val="110"/>
        </w:rPr>
        <w:t> </w:t>
      </w:r>
      <w:r>
        <w:rPr>
          <w:color w:val="231F1F"/>
          <w:w w:val="110"/>
        </w:rPr>
        <w:t>una</w:t>
      </w:r>
      <w:r>
        <w:rPr>
          <w:color w:val="231F1F"/>
          <w:spacing w:val="-2"/>
          <w:w w:val="110"/>
        </w:rPr>
        <w:t> </w:t>
      </w:r>
      <w:r>
        <w:rPr>
          <w:color w:val="231F1F"/>
          <w:w w:val="110"/>
        </w:rPr>
        <w:t>guía de</w:t>
      </w:r>
      <w:r>
        <w:rPr>
          <w:color w:val="231F1F"/>
          <w:spacing w:val="-9"/>
          <w:w w:val="110"/>
        </w:rPr>
        <w:t> </w:t>
      </w:r>
      <w:r>
        <w:rPr>
          <w:color w:val="231F1F"/>
          <w:w w:val="110"/>
        </w:rPr>
        <w:t>práctica</w:t>
      </w:r>
      <w:r>
        <w:rPr>
          <w:color w:val="231F1F"/>
          <w:spacing w:val="-9"/>
          <w:w w:val="110"/>
        </w:rPr>
        <w:t> </w:t>
      </w:r>
      <w:r>
        <w:rPr>
          <w:color w:val="231F1F"/>
          <w:w w:val="110"/>
        </w:rPr>
        <w:t>clínica,</w:t>
      </w:r>
      <w:r>
        <w:rPr>
          <w:color w:val="231F1F"/>
          <w:spacing w:val="-10"/>
          <w:w w:val="110"/>
        </w:rPr>
        <w:t> </w:t>
      </w:r>
      <w:r>
        <w:rPr>
          <w:color w:val="231F1F"/>
          <w:w w:val="110"/>
        </w:rPr>
        <w:t>su</w:t>
      </w:r>
      <w:r>
        <w:rPr>
          <w:color w:val="231F1F"/>
          <w:spacing w:val="-9"/>
          <w:w w:val="110"/>
        </w:rPr>
        <w:t> </w:t>
      </w:r>
      <w:r>
        <w:rPr>
          <w:color w:val="231F1F"/>
          <w:w w:val="110"/>
        </w:rPr>
        <w:t>adquisición</w:t>
      </w:r>
      <w:r>
        <w:rPr>
          <w:color w:val="231F1F"/>
          <w:spacing w:val="-9"/>
          <w:w w:val="110"/>
        </w:rPr>
        <w:t> </w:t>
      </w:r>
      <w:r>
        <w:rPr>
          <w:color w:val="231F1F"/>
          <w:w w:val="110"/>
        </w:rPr>
        <w:t>por</w:t>
      </w:r>
      <w:r>
        <w:rPr>
          <w:color w:val="231F1F"/>
          <w:spacing w:val="-9"/>
          <w:w w:val="110"/>
        </w:rPr>
        <w:t> </w:t>
      </w:r>
      <w:r>
        <w:rPr>
          <w:color w:val="231F1F"/>
          <w:w w:val="110"/>
        </w:rPr>
        <w:t>todas</w:t>
      </w:r>
      <w:r>
        <w:rPr>
          <w:color w:val="231F1F"/>
          <w:spacing w:val="-9"/>
          <w:w w:val="110"/>
        </w:rPr>
        <w:t> </w:t>
      </w:r>
      <w:r>
        <w:rPr>
          <w:color w:val="231F1F"/>
          <w:w w:val="110"/>
        </w:rPr>
        <w:t>las</w:t>
      </w:r>
      <w:r>
        <w:rPr>
          <w:color w:val="231F1F"/>
          <w:spacing w:val="-9"/>
          <w:w w:val="110"/>
        </w:rPr>
        <w:t> </w:t>
      </w:r>
      <w:r>
        <w:rPr>
          <w:color w:val="231F1F"/>
          <w:w w:val="110"/>
        </w:rPr>
        <w:t>maternidades,</w:t>
      </w:r>
      <w:r>
        <w:rPr>
          <w:color w:val="231F1F"/>
          <w:spacing w:val="-9"/>
          <w:w w:val="110"/>
        </w:rPr>
        <w:t> </w:t>
      </w:r>
      <w:r>
        <w:rPr>
          <w:color w:val="231F1F"/>
          <w:w w:val="110"/>
        </w:rPr>
        <w:t>sin</w:t>
      </w:r>
      <w:r>
        <w:rPr>
          <w:color w:val="231F1F"/>
          <w:spacing w:val="-9"/>
          <w:w w:val="110"/>
        </w:rPr>
        <w:t> </w:t>
      </w:r>
      <w:r>
        <w:rPr>
          <w:color w:val="231F1F"/>
          <w:w w:val="110"/>
        </w:rPr>
        <w:t>embargo</w:t>
      </w:r>
      <w:r>
        <w:rPr>
          <w:color w:val="231F1F"/>
          <w:spacing w:val="-8"/>
          <w:w w:val="110"/>
        </w:rPr>
        <w:t> </w:t>
      </w:r>
      <w:r>
        <w:rPr>
          <w:color w:val="231F1F"/>
          <w:w w:val="110"/>
        </w:rPr>
        <w:t>si</w:t>
      </w:r>
      <w:r>
        <w:rPr>
          <w:color w:val="231F1F"/>
          <w:spacing w:val="-9"/>
          <w:w w:val="110"/>
        </w:rPr>
        <w:t> </w:t>
      </w:r>
      <w:r>
        <w:rPr>
          <w:color w:val="231F1F"/>
          <w:w w:val="110"/>
        </w:rPr>
        <w:t>hay</w:t>
      </w:r>
      <w:r>
        <w:rPr>
          <w:color w:val="231F1F"/>
          <w:spacing w:val="-9"/>
          <w:w w:val="110"/>
        </w:rPr>
        <w:t> </w:t>
      </w:r>
      <w:r>
        <w:rPr>
          <w:color w:val="231F1F"/>
          <w:w w:val="110"/>
        </w:rPr>
        <w:t>que</w:t>
      </w:r>
      <w:r>
        <w:rPr>
          <w:color w:val="231F1F"/>
          <w:spacing w:val="-9"/>
          <w:w w:val="110"/>
        </w:rPr>
        <w:t> </w:t>
      </w:r>
      <w:r>
        <w:rPr>
          <w:color w:val="231F1F"/>
          <w:w w:val="110"/>
        </w:rPr>
        <w:t>ser consciente</w:t>
      </w:r>
      <w:r>
        <w:rPr>
          <w:color w:val="231F1F"/>
          <w:spacing w:val="-4"/>
          <w:w w:val="110"/>
        </w:rPr>
        <w:t> </w:t>
      </w:r>
      <w:r>
        <w:rPr>
          <w:color w:val="231F1F"/>
          <w:w w:val="110"/>
        </w:rPr>
        <w:t>que</w:t>
      </w:r>
      <w:r>
        <w:rPr>
          <w:color w:val="231F1F"/>
          <w:spacing w:val="-4"/>
          <w:w w:val="110"/>
        </w:rPr>
        <w:t> </w:t>
      </w:r>
      <w:r>
        <w:rPr>
          <w:color w:val="231F1F"/>
          <w:w w:val="110"/>
        </w:rPr>
        <w:t>puede</w:t>
      </w:r>
      <w:r>
        <w:rPr>
          <w:color w:val="231F1F"/>
          <w:spacing w:val="-4"/>
          <w:w w:val="110"/>
        </w:rPr>
        <w:t> </w:t>
      </w:r>
      <w:r>
        <w:rPr>
          <w:color w:val="231F1F"/>
          <w:w w:val="110"/>
        </w:rPr>
        <w:t>ser</w:t>
      </w:r>
      <w:r>
        <w:rPr>
          <w:color w:val="231F1F"/>
          <w:spacing w:val="-5"/>
          <w:w w:val="110"/>
        </w:rPr>
        <w:t> </w:t>
      </w:r>
      <w:r>
        <w:rPr>
          <w:color w:val="231F1F"/>
          <w:w w:val="110"/>
        </w:rPr>
        <w:t>de</w:t>
      </w:r>
      <w:r>
        <w:rPr>
          <w:color w:val="231F1F"/>
          <w:spacing w:val="-4"/>
          <w:w w:val="110"/>
        </w:rPr>
        <w:t> </w:t>
      </w:r>
      <w:r>
        <w:rPr>
          <w:color w:val="231F1F"/>
          <w:w w:val="110"/>
        </w:rPr>
        <w:t>ayuda</w:t>
      </w:r>
      <w:r>
        <w:rPr>
          <w:color w:val="231F1F"/>
          <w:spacing w:val="-4"/>
          <w:w w:val="110"/>
        </w:rPr>
        <w:t> </w:t>
      </w:r>
      <w:r>
        <w:rPr>
          <w:color w:val="231F1F"/>
          <w:w w:val="110"/>
        </w:rPr>
        <w:t>en</w:t>
      </w:r>
      <w:r>
        <w:rPr>
          <w:color w:val="231F1F"/>
          <w:spacing w:val="-4"/>
          <w:w w:val="110"/>
        </w:rPr>
        <w:t> </w:t>
      </w:r>
      <w:r>
        <w:rPr>
          <w:color w:val="231F1F"/>
          <w:w w:val="110"/>
        </w:rPr>
        <w:t>aquellas</w:t>
      </w:r>
      <w:r>
        <w:rPr>
          <w:color w:val="231F1F"/>
          <w:spacing w:val="-4"/>
          <w:w w:val="110"/>
        </w:rPr>
        <w:t> </w:t>
      </w:r>
      <w:r>
        <w:rPr>
          <w:color w:val="231F1F"/>
          <w:w w:val="110"/>
        </w:rPr>
        <w:t>que</w:t>
      </w:r>
      <w:r>
        <w:rPr>
          <w:color w:val="231F1F"/>
          <w:spacing w:val="-4"/>
          <w:w w:val="110"/>
        </w:rPr>
        <w:t> </w:t>
      </w:r>
      <w:r>
        <w:rPr>
          <w:color w:val="231F1F"/>
          <w:w w:val="110"/>
        </w:rPr>
        <w:t>atienden</w:t>
      </w:r>
      <w:r>
        <w:rPr>
          <w:color w:val="231F1F"/>
          <w:spacing w:val="-4"/>
          <w:w w:val="110"/>
        </w:rPr>
        <w:t> </w:t>
      </w:r>
      <w:r>
        <w:rPr>
          <w:color w:val="231F1F"/>
          <w:w w:val="110"/>
        </w:rPr>
        <w:t>casos</w:t>
      </w:r>
      <w:r>
        <w:rPr>
          <w:color w:val="231F1F"/>
          <w:spacing w:val="-4"/>
          <w:w w:val="110"/>
        </w:rPr>
        <w:t> </w:t>
      </w:r>
      <w:r>
        <w:rPr>
          <w:color w:val="231F1F"/>
          <w:w w:val="110"/>
        </w:rPr>
        <w:t>de</w:t>
      </w:r>
      <w:r>
        <w:rPr>
          <w:color w:val="231F1F"/>
          <w:spacing w:val="-4"/>
          <w:w w:val="110"/>
        </w:rPr>
        <w:t> </w:t>
      </w:r>
      <w:r>
        <w:rPr>
          <w:color w:val="231F1F"/>
          <w:w w:val="110"/>
        </w:rPr>
        <w:t>más</w:t>
      </w:r>
      <w:r>
        <w:rPr>
          <w:color w:val="231F1F"/>
          <w:spacing w:val="-4"/>
          <w:w w:val="110"/>
        </w:rPr>
        <w:t> </w:t>
      </w:r>
      <w:r>
        <w:rPr>
          <w:color w:val="231F1F"/>
          <w:w w:val="110"/>
        </w:rPr>
        <w:t>complejidad</w:t>
      </w:r>
      <w:r>
        <w:rPr>
          <w:color w:val="231F1F"/>
          <w:spacing w:val="-4"/>
          <w:w w:val="110"/>
        </w:rPr>
        <w:t> </w:t>
      </w:r>
      <w:r>
        <w:rPr>
          <w:color w:val="231F1F"/>
          <w:w w:val="110"/>
        </w:rPr>
        <w:t>y sería en éstas donde se debería tratar de implementar la tecnología, pero sin olvidar que los beneficios de la utilización de este equipo diagnóstico están ligados directamente al entrenamiento de los profesionales que lo usan.</w:t>
      </w:r>
    </w:p>
    <w:p>
      <w:pPr>
        <w:pStyle w:val="BodyText"/>
        <w:spacing w:line="244" w:lineRule="auto" w:before="195"/>
        <w:ind w:left="283" w:right="119" w:firstLine="453"/>
        <w:jc w:val="both"/>
      </w:pPr>
      <w:r>
        <w:rPr>
          <w:color w:val="231F1F"/>
        </w:rPr>
        <w:t>El </w:t>
      </w:r>
      <w:r>
        <w:rPr>
          <w:b/>
          <w:color w:val="231F1F"/>
        </w:rPr>
        <w:t>análisis de muestras de sangre fetal </w:t>
      </w:r>
      <w:r>
        <w:rPr>
          <w:color w:val="231F1F"/>
        </w:rPr>
        <w:t>para conocer el grado de bienestar fetal debería </w:t>
      </w:r>
      <w:r>
        <w:rPr>
          <w:color w:val="231F1F"/>
          <w:w w:val="110"/>
        </w:rPr>
        <w:t>encontrarse</w:t>
      </w:r>
      <w:r>
        <w:rPr>
          <w:color w:val="231F1F"/>
          <w:spacing w:val="-8"/>
          <w:w w:val="110"/>
        </w:rPr>
        <w:t> </w:t>
      </w:r>
      <w:r>
        <w:rPr>
          <w:color w:val="231F1F"/>
          <w:w w:val="110"/>
        </w:rPr>
        <w:t>disponible</w:t>
      </w:r>
      <w:r>
        <w:rPr>
          <w:color w:val="231F1F"/>
          <w:spacing w:val="-8"/>
          <w:w w:val="110"/>
        </w:rPr>
        <w:t> </w:t>
      </w:r>
      <w:r>
        <w:rPr>
          <w:color w:val="231F1F"/>
          <w:w w:val="110"/>
        </w:rPr>
        <w:t>especialmente</w:t>
      </w:r>
      <w:r>
        <w:rPr>
          <w:color w:val="231F1F"/>
          <w:spacing w:val="-8"/>
          <w:w w:val="110"/>
        </w:rPr>
        <w:t> </w:t>
      </w:r>
      <w:r>
        <w:rPr>
          <w:color w:val="231F1F"/>
          <w:w w:val="110"/>
        </w:rPr>
        <w:t>en</w:t>
      </w:r>
      <w:r>
        <w:rPr>
          <w:color w:val="231F1F"/>
          <w:spacing w:val="-8"/>
          <w:w w:val="110"/>
        </w:rPr>
        <w:t> </w:t>
      </w:r>
      <w:r>
        <w:rPr>
          <w:color w:val="231F1F"/>
          <w:w w:val="110"/>
        </w:rPr>
        <w:t>aquellas</w:t>
      </w:r>
      <w:r>
        <w:rPr>
          <w:color w:val="231F1F"/>
          <w:spacing w:val="-9"/>
          <w:w w:val="110"/>
        </w:rPr>
        <w:t> </w:t>
      </w:r>
      <w:r>
        <w:rPr>
          <w:color w:val="231F1F"/>
          <w:w w:val="110"/>
        </w:rPr>
        <w:t>maternidades</w:t>
      </w:r>
      <w:r>
        <w:rPr>
          <w:color w:val="231F1F"/>
          <w:spacing w:val="-8"/>
          <w:w w:val="110"/>
        </w:rPr>
        <w:t> </w:t>
      </w:r>
      <w:r>
        <w:rPr>
          <w:color w:val="231F1F"/>
          <w:w w:val="110"/>
        </w:rPr>
        <w:t>donde</w:t>
      </w:r>
      <w:r>
        <w:rPr>
          <w:color w:val="231F1F"/>
          <w:spacing w:val="-8"/>
          <w:w w:val="110"/>
        </w:rPr>
        <w:t> </w:t>
      </w:r>
      <w:r>
        <w:rPr>
          <w:color w:val="231F1F"/>
          <w:w w:val="110"/>
        </w:rPr>
        <w:t>se</w:t>
      </w:r>
      <w:r>
        <w:rPr>
          <w:color w:val="231F1F"/>
          <w:spacing w:val="-8"/>
          <w:w w:val="110"/>
        </w:rPr>
        <w:t> </w:t>
      </w:r>
      <w:r>
        <w:rPr>
          <w:color w:val="231F1F"/>
          <w:w w:val="110"/>
        </w:rPr>
        <w:t>atienden</w:t>
      </w:r>
      <w:r>
        <w:rPr>
          <w:color w:val="231F1F"/>
          <w:spacing w:val="-8"/>
          <w:w w:val="110"/>
        </w:rPr>
        <w:t> </w:t>
      </w:r>
      <w:r>
        <w:rPr>
          <w:color w:val="231F1F"/>
          <w:w w:val="110"/>
        </w:rPr>
        <w:t>partos de</w:t>
      </w:r>
      <w:r>
        <w:rPr>
          <w:color w:val="231F1F"/>
          <w:spacing w:val="-14"/>
          <w:w w:val="110"/>
        </w:rPr>
        <w:t> </w:t>
      </w:r>
      <w:r>
        <w:rPr>
          <w:color w:val="231F1F"/>
          <w:w w:val="110"/>
        </w:rPr>
        <w:t>alto</w:t>
      </w:r>
      <w:r>
        <w:rPr>
          <w:color w:val="231F1F"/>
          <w:spacing w:val="-15"/>
          <w:w w:val="110"/>
        </w:rPr>
        <w:t> </w:t>
      </w:r>
      <w:r>
        <w:rPr>
          <w:color w:val="231F1F"/>
          <w:w w:val="110"/>
        </w:rPr>
        <w:t>riesgo,</w:t>
      </w:r>
      <w:r>
        <w:rPr>
          <w:color w:val="231F1F"/>
          <w:spacing w:val="-15"/>
          <w:w w:val="110"/>
        </w:rPr>
        <w:t> </w:t>
      </w:r>
      <w:r>
        <w:rPr>
          <w:color w:val="231F1F"/>
          <w:w w:val="110"/>
        </w:rPr>
        <w:t>siendo</w:t>
      </w:r>
      <w:r>
        <w:rPr>
          <w:color w:val="231F1F"/>
          <w:spacing w:val="-15"/>
          <w:w w:val="110"/>
        </w:rPr>
        <w:t> </w:t>
      </w:r>
      <w:r>
        <w:rPr>
          <w:color w:val="231F1F"/>
          <w:w w:val="110"/>
        </w:rPr>
        <w:t>así</w:t>
      </w:r>
      <w:r>
        <w:rPr>
          <w:color w:val="231F1F"/>
          <w:spacing w:val="-15"/>
          <w:w w:val="110"/>
        </w:rPr>
        <w:t> </w:t>
      </w:r>
      <w:r>
        <w:rPr>
          <w:color w:val="231F1F"/>
          <w:w w:val="110"/>
        </w:rPr>
        <w:t>mismo</w:t>
      </w:r>
      <w:r>
        <w:rPr>
          <w:color w:val="231F1F"/>
          <w:spacing w:val="-14"/>
          <w:w w:val="110"/>
        </w:rPr>
        <w:t> </w:t>
      </w:r>
      <w:r>
        <w:rPr>
          <w:color w:val="231F1F"/>
          <w:w w:val="110"/>
        </w:rPr>
        <w:t>necesario</w:t>
      </w:r>
      <w:r>
        <w:rPr>
          <w:color w:val="231F1F"/>
          <w:spacing w:val="-14"/>
          <w:w w:val="110"/>
        </w:rPr>
        <w:t> </w:t>
      </w:r>
      <w:r>
        <w:rPr>
          <w:color w:val="231F1F"/>
          <w:w w:val="110"/>
        </w:rPr>
        <w:t>el</w:t>
      </w:r>
      <w:r>
        <w:rPr>
          <w:color w:val="231F1F"/>
          <w:spacing w:val="-15"/>
          <w:w w:val="110"/>
        </w:rPr>
        <w:t> </w:t>
      </w:r>
      <w:r>
        <w:rPr>
          <w:color w:val="231F1F"/>
          <w:w w:val="110"/>
        </w:rPr>
        <w:t>correcto</w:t>
      </w:r>
      <w:r>
        <w:rPr>
          <w:color w:val="231F1F"/>
          <w:spacing w:val="-14"/>
          <w:w w:val="110"/>
        </w:rPr>
        <w:t> </w:t>
      </w:r>
      <w:r>
        <w:rPr>
          <w:color w:val="231F1F"/>
          <w:w w:val="110"/>
        </w:rPr>
        <w:t>entrenamiento</w:t>
      </w:r>
      <w:r>
        <w:rPr>
          <w:color w:val="231F1F"/>
          <w:spacing w:val="-15"/>
          <w:w w:val="110"/>
        </w:rPr>
        <w:t> </w:t>
      </w:r>
      <w:r>
        <w:rPr>
          <w:color w:val="231F1F"/>
          <w:w w:val="110"/>
        </w:rPr>
        <w:t>de</w:t>
      </w:r>
      <w:r>
        <w:rPr>
          <w:color w:val="231F1F"/>
          <w:spacing w:val="-14"/>
          <w:w w:val="110"/>
        </w:rPr>
        <w:t> </w:t>
      </w:r>
      <w:r>
        <w:rPr>
          <w:color w:val="231F1F"/>
          <w:w w:val="110"/>
        </w:rPr>
        <w:t>los</w:t>
      </w:r>
      <w:r>
        <w:rPr>
          <w:color w:val="231F1F"/>
          <w:spacing w:val="-15"/>
          <w:w w:val="110"/>
        </w:rPr>
        <w:t> </w:t>
      </w:r>
      <w:r>
        <w:rPr>
          <w:color w:val="231F1F"/>
          <w:w w:val="110"/>
        </w:rPr>
        <w:t>profesionales, de lo que depende en gran parte la capacidad de obtener resultados de forma rápida y </w:t>
      </w:r>
      <w:r>
        <w:rPr>
          <w:color w:val="231F1F"/>
          <w:spacing w:val="-2"/>
          <w:w w:val="110"/>
        </w:rPr>
        <w:t>fiable.</w:t>
      </w:r>
    </w:p>
    <w:p>
      <w:pPr>
        <w:pStyle w:val="BodyText"/>
        <w:spacing w:line="247" w:lineRule="auto" w:before="198"/>
        <w:ind w:left="283" w:right="123" w:firstLine="453"/>
        <w:jc w:val="both"/>
      </w:pPr>
      <w:r>
        <w:rPr>
          <w:color w:val="231F1F"/>
          <w:w w:val="105"/>
        </w:rPr>
        <w:t>El conocimiento actual sobre la utilidad de la </w:t>
      </w:r>
      <w:r>
        <w:rPr>
          <w:b/>
          <w:color w:val="231F1F"/>
          <w:w w:val="105"/>
        </w:rPr>
        <w:t>estimulación de la calota fetal </w:t>
      </w:r>
      <w:r>
        <w:rPr>
          <w:color w:val="231F1F"/>
          <w:w w:val="105"/>
        </w:rPr>
        <w:t>debe ser difundido,</w:t>
      </w:r>
      <w:r>
        <w:rPr>
          <w:color w:val="231F1F"/>
          <w:w w:val="105"/>
        </w:rPr>
        <w:t> dado</w:t>
      </w:r>
      <w:r>
        <w:rPr>
          <w:color w:val="231F1F"/>
          <w:w w:val="105"/>
        </w:rPr>
        <w:t> que</w:t>
      </w:r>
      <w:r>
        <w:rPr>
          <w:color w:val="231F1F"/>
          <w:w w:val="105"/>
        </w:rPr>
        <w:t> resulta</w:t>
      </w:r>
      <w:r>
        <w:rPr>
          <w:color w:val="231F1F"/>
          <w:w w:val="105"/>
        </w:rPr>
        <w:t> una</w:t>
      </w:r>
      <w:r>
        <w:rPr>
          <w:color w:val="231F1F"/>
          <w:w w:val="105"/>
        </w:rPr>
        <w:t> técnica</w:t>
      </w:r>
      <w:r>
        <w:rPr>
          <w:color w:val="231F1F"/>
          <w:w w:val="105"/>
        </w:rPr>
        <w:t> fácil</w:t>
      </w:r>
      <w:r>
        <w:rPr>
          <w:color w:val="231F1F"/>
          <w:w w:val="105"/>
        </w:rPr>
        <w:t> de</w:t>
      </w:r>
      <w:r>
        <w:rPr>
          <w:color w:val="231F1F"/>
          <w:w w:val="105"/>
        </w:rPr>
        <w:t> realizar</w:t>
      </w:r>
      <w:r>
        <w:rPr>
          <w:color w:val="231F1F"/>
          <w:w w:val="105"/>
        </w:rPr>
        <w:t> y</w:t>
      </w:r>
      <w:r>
        <w:rPr>
          <w:color w:val="231F1F"/>
          <w:w w:val="105"/>
        </w:rPr>
        <w:t> capaz</w:t>
      </w:r>
      <w:r>
        <w:rPr>
          <w:color w:val="231F1F"/>
          <w:w w:val="105"/>
        </w:rPr>
        <w:t> de</w:t>
      </w:r>
      <w:r>
        <w:rPr>
          <w:color w:val="231F1F"/>
          <w:w w:val="105"/>
        </w:rPr>
        <w:t> evitar</w:t>
      </w:r>
      <w:r>
        <w:rPr>
          <w:color w:val="231F1F"/>
          <w:w w:val="105"/>
        </w:rPr>
        <w:t> un</w:t>
      </w:r>
      <w:r>
        <w:rPr>
          <w:color w:val="231F1F"/>
          <w:w w:val="105"/>
        </w:rPr>
        <w:t> número</w:t>
      </w:r>
      <w:r>
        <w:rPr>
          <w:color w:val="231F1F"/>
          <w:w w:val="105"/>
        </w:rPr>
        <w:t> no despreciable</w:t>
      </w:r>
      <w:r>
        <w:rPr>
          <w:color w:val="231F1F"/>
          <w:spacing w:val="40"/>
          <w:w w:val="105"/>
        </w:rPr>
        <w:t> </w:t>
      </w:r>
      <w:r>
        <w:rPr>
          <w:color w:val="231F1F"/>
          <w:w w:val="105"/>
        </w:rPr>
        <w:t>de</w:t>
      </w:r>
      <w:r>
        <w:rPr>
          <w:color w:val="231F1F"/>
          <w:spacing w:val="40"/>
          <w:w w:val="105"/>
        </w:rPr>
        <w:t> </w:t>
      </w:r>
      <w:r>
        <w:rPr>
          <w:color w:val="231F1F"/>
          <w:w w:val="105"/>
        </w:rPr>
        <w:t>ASF</w:t>
      </w:r>
      <w:r>
        <w:rPr>
          <w:color w:val="231F1F"/>
          <w:spacing w:val="40"/>
          <w:w w:val="105"/>
        </w:rPr>
        <w:t> </w:t>
      </w:r>
      <w:r>
        <w:rPr>
          <w:color w:val="231F1F"/>
          <w:w w:val="105"/>
        </w:rPr>
        <w:t>que</w:t>
      </w:r>
      <w:r>
        <w:rPr>
          <w:color w:val="231F1F"/>
          <w:spacing w:val="40"/>
          <w:w w:val="105"/>
        </w:rPr>
        <w:t> </w:t>
      </w:r>
      <w:r>
        <w:rPr>
          <w:color w:val="231F1F"/>
          <w:w w:val="105"/>
        </w:rPr>
        <w:t>es</w:t>
      </w:r>
      <w:r>
        <w:rPr>
          <w:color w:val="231F1F"/>
          <w:spacing w:val="40"/>
          <w:w w:val="105"/>
        </w:rPr>
        <w:t> </w:t>
      </w:r>
      <w:r>
        <w:rPr>
          <w:color w:val="231F1F"/>
          <w:w w:val="105"/>
        </w:rPr>
        <w:t>una</w:t>
      </w:r>
      <w:r>
        <w:rPr>
          <w:color w:val="231F1F"/>
          <w:spacing w:val="40"/>
          <w:w w:val="105"/>
        </w:rPr>
        <w:t> </w:t>
      </w:r>
      <w:r>
        <w:rPr>
          <w:color w:val="231F1F"/>
          <w:w w:val="105"/>
        </w:rPr>
        <w:t>prueba</w:t>
      </w:r>
      <w:r>
        <w:rPr>
          <w:color w:val="231F1F"/>
          <w:spacing w:val="40"/>
          <w:w w:val="105"/>
        </w:rPr>
        <w:t> </w:t>
      </w:r>
      <w:r>
        <w:rPr>
          <w:color w:val="231F1F"/>
          <w:w w:val="105"/>
        </w:rPr>
        <w:t>más</w:t>
      </w:r>
      <w:r>
        <w:rPr>
          <w:color w:val="231F1F"/>
          <w:spacing w:val="40"/>
          <w:w w:val="105"/>
        </w:rPr>
        <w:t> </w:t>
      </w:r>
      <w:r>
        <w:rPr>
          <w:color w:val="231F1F"/>
          <w:w w:val="105"/>
        </w:rPr>
        <w:t>invasiva.</w:t>
      </w:r>
    </w:p>
    <w:p>
      <w:pPr>
        <w:spacing w:line="244" w:lineRule="auto" w:before="193"/>
        <w:ind w:left="283" w:right="122" w:firstLine="453"/>
        <w:jc w:val="both"/>
        <w:rPr>
          <w:sz w:val="22"/>
        </w:rPr>
      </w:pPr>
      <w:r>
        <w:rPr>
          <w:color w:val="231F1F"/>
          <w:w w:val="105"/>
          <w:sz w:val="22"/>
        </w:rPr>
        <w:t>Difundir la utilización de </w:t>
      </w:r>
      <w:r>
        <w:rPr>
          <w:b/>
          <w:color w:val="231F1F"/>
          <w:w w:val="105"/>
          <w:sz w:val="22"/>
        </w:rPr>
        <w:t>clasificaciones estandarizadas de los patrones de frecuen- cia cardiaca fetal</w:t>
      </w:r>
      <w:r>
        <w:rPr>
          <w:color w:val="231F1F"/>
          <w:w w:val="105"/>
          <w:sz w:val="22"/>
        </w:rPr>
        <w:t>. Incluir dichas clasificaciones en el programa de formación de la espe- </w:t>
      </w:r>
      <w:r>
        <w:rPr>
          <w:color w:val="231F1F"/>
          <w:spacing w:val="-2"/>
          <w:w w:val="105"/>
          <w:sz w:val="22"/>
        </w:rPr>
        <w:t>cialidad.</w:t>
      </w:r>
    </w:p>
    <w:p>
      <w:pPr>
        <w:pStyle w:val="BodyText"/>
        <w:spacing w:before="158"/>
      </w:pPr>
    </w:p>
    <w:p>
      <w:pPr>
        <w:pStyle w:val="Heading5"/>
        <w:jc w:val="both"/>
      </w:pPr>
      <w:r>
        <w:rPr>
          <w:color w:val="231F1F"/>
        </w:rPr>
        <w:t>Intervenciones</w:t>
      </w:r>
      <w:r>
        <w:rPr>
          <w:color w:val="231F1F"/>
          <w:spacing w:val="-13"/>
        </w:rPr>
        <w:t> </w:t>
      </w:r>
      <w:r>
        <w:rPr>
          <w:color w:val="231F1F"/>
        </w:rPr>
        <w:t>sobre</w:t>
      </w:r>
      <w:r>
        <w:rPr>
          <w:color w:val="231F1F"/>
          <w:spacing w:val="-11"/>
        </w:rPr>
        <w:t> </w:t>
      </w:r>
      <w:r>
        <w:rPr>
          <w:color w:val="231F1F"/>
          <w:spacing w:val="-2"/>
        </w:rPr>
        <w:t>Profesionales</w:t>
      </w:r>
    </w:p>
    <w:p>
      <w:pPr>
        <w:pStyle w:val="ListParagraph"/>
        <w:numPr>
          <w:ilvl w:val="0"/>
          <w:numId w:val="97"/>
        </w:numPr>
        <w:tabs>
          <w:tab w:pos="956" w:val="left" w:leader="none"/>
        </w:tabs>
        <w:spacing w:line="240" w:lineRule="auto" w:before="219" w:after="0"/>
        <w:ind w:left="956" w:right="260" w:hanging="220"/>
        <w:jc w:val="left"/>
        <w:rPr>
          <w:sz w:val="22"/>
        </w:rPr>
      </w:pPr>
      <w:r>
        <w:rPr>
          <w:color w:val="231F1F"/>
          <w:w w:val="105"/>
          <w:sz w:val="22"/>
        </w:rPr>
        <w:t>Difusión de la metodología de la monitorización electrónica intermitente así como en la de la auscultación fetal intermitente (estetoscopio de Pinard o Doppler)</w:t>
      </w:r>
    </w:p>
    <w:p>
      <w:pPr>
        <w:pStyle w:val="ListParagraph"/>
        <w:spacing w:after="0" w:line="240" w:lineRule="auto"/>
        <w:jc w:val="left"/>
        <w:rPr>
          <w:sz w:val="22"/>
        </w:rPr>
        <w:sectPr>
          <w:pgSz w:w="11900" w:h="16840"/>
          <w:pgMar w:header="0" w:footer="622" w:top="1560" w:bottom="820" w:left="1417" w:right="1559"/>
        </w:sectPr>
      </w:pPr>
    </w:p>
    <w:p>
      <w:pPr>
        <w:pStyle w:val="ListParagraph"/>
        <w:numPr>
          <w:ilvl w:val="0"/>
          <w:numId w:val="97"/>
        </w:numPr>
        <w:tabs>
          <w:tab w:pos="952" w:val="left" w:leader="none"/>
          <w:tab w:pos="956" w:val="left" w:leader="none"/>
        </w:tabs>
        <w:spacing w:line="259" w:lineRule="auto" w:before="67" w:after="0"/>
        <w:ind w:left="956" w:right="253" w:hanging="221"/>
        <w:jc w:val="both"/>
        <w:rPr>
          <w:sz w:val="22"/>
        </w:rPr>
      </w:pPr>
      <w:r>
        <w:rPr>
          <w:color w:val="231F1F"/>
          <w:sz w:val="22"/>
        </w:rPr>
        <w:t>Formación específica para profesionales sobre el uso e interpretación de los registros del latido cardíaco fetal.</w:t>
      </w:r>
    </w:p>
    <w:p>
      <w:pPr>
        <w:pStyle w:val="ListParagraph"/>
        <w:numPr>
          <w:ilvl w:val="0"/>
          <w:numId w:val="97"/>
        </w:numPr>
        <w:tabs>
          <w:tab w:pos="955" w:val="left" w:leader="none"/>
          <w:tab w:pos="958" w:val="left" w:leader="none"/>
        </w:tabs>
        <w:spacing w:line="254" w:lineRule="auto" w:before="130" w:after="0"/>
        <w:ind w:left="958" w:right="170" w:hanging="221"/>
        <w:jc w:val="both"/>
        <w:rPr>
          <w:sz w:val="22"/>
        </w:rPr>
      </w:pPr>
      <w:r>
        <w:rPr>
          <w:color w:val="231F1F"/>
          <w:w w:val="105"/>
          <w:sz w:val="22"/>
        </w:rPr>
        <w:t>Hay</w:t>
      </w:r>
      <w:r>
        <w:rPr>
          <w:color w:val="231F1F"/>
          <w:w w:val="105"/>
          <w:sz w:val="22"/>
        </w:rPr>
        <w:t> variabilidad</w:t>
      </w:r>
      <w:r>
        <w:rPr>
          <w:color w:val="231F1F"/>
          <w:w w:val="105"/>
          <w:sz w:val="22"/>
        </w:rPr>
        <w:t> de</w:t>
      </w:r>
      <w:r>
        <w:rPr>
          <w:color w:val="231F1F"/>
          <w:w w:val="105"/>
          <w:sz w:val="22"/>
        </w:rPr>
        <w:t> interpretación</w:t>
      </w:r>
      <w:r>
        <w:rPr>
          <w:color w:val="231F1F"/>
          <w:w w:val="105"/>
          <w:sz w:val="22"/>
        </w:rPr>
        <w:t> de</w:t>
      </w:r>
      <w:r>
        <w:rPr>
          <w:color w:val="231F1F"/>
          <w:w w:val="105"/>
          <w:sz w:val="22"/>
        </w:rPr>
        <w:t> la</w:t>
      </w:r>
      <w:r>
        <w:rPr>
          <w:color w:val="231F1F"/>
          <w:w w:val="105"/>
          <w:sz w:val="22"/>
        </w:rPr>
        <w:t> frecuencia</w:t>
      </w:r>
      <w:r>
        <w:rPr>
          <w:color w:val="231F1F"/>
          <w:w w:val="105"/>
          <w:sz w:val="22"/>
        </w:rPr>
        <w:t> cardiaca</w:t>
      </w:r>
      <w:r>
        <w:rPr>
          <w:color w:val="231F1F"/>
          <w:w w:val="105"/>
          <w:sz w:val="22"/>
        </w:rPr>
        <w:t> fetal</w:t>
      </w:r>
      <w:r>
        <w:rPr>
          <w:color w:val="231F1F"/>
          <w:w w:val="105"/>
          <w:sz w:val="22"/>
        </w:rPr>
        <w:t> entre</w:t>
      </w:r>
      <w:r>
        <w:rPr>
          <w:color w:val="231F1F"/>
          <w:w w:val="105"/>
          <w:sz w:val="22"/>
        </w:rPr>
        <w:t> diferentes observadores. Se deben utilizar clasificaciones estandarizadas.</w:t>
      </w:r>
    </w:p>
    <w:p>
      <w:pPr>
        <w:pStyle w:val="ListParagraph"/>
        <w:numPr>
          <w:ilvl w:val="0"/>
          <w:numId w:val="97"/>
        </w:numPr>
        <w:tabs>
          <w:tab w:pos="956" w:val="left" w:leader="none"/>
        </w:tabs>
        <w:spacing w:line="244" w:lineRule="auto" w:before="146" w:after="0"/>
        <w:ind w:left="956" w:right="118" w:hanging="220"/>
        <w:jc w:val="both"/>
        <w:rPr>
          <w:sz w:val="22"/>
        </w:rPr>
      </w:pPr>
      <w:r>
        <w:rPr>
          <w:color w:val="231F1F"/>
          <w:w w:val="105"/>
          <w:sz w:val="22"/>
        </w:rPr>
        <w:t>Formación en otros procedimientos de monitorización fetal: pulsioximetría análisis del segmento ST del ECG fetal, análisis de muestras de sangre fetal y estimulación de la calota fetal.</w:t>
      </w:r>
    </w:p>
    <w:p>
      <w:pPr>
        <w:pStyle w:val="BodyText"/>
        <w:spacing w:before="167"/>
      </w:pPr>
    </w:p>
    <w:p>
      <w:pPr>
        <w:pStyle w:val="Heading5"/>
        <w:jc w:val="both"/>
      </w:pPr>
      <w:r>
        <w:rPr>
          <w:color w:val="231F1F"/>
          <w:spacing w:val="-2"/>
        </w:rPr>
        <w:t>Intervenciones</w:t>
      </w:r>
      <w:r>
        <w:rPr>
          <w:color w:val="231F1F"/>
          <w:spacing w:val="-3"/>
        </w:rPr>
        <w:t> </w:t>
      </w:r>
      <w:r>
        <w:rPr>
          <w:color w:val="231F1F"/>
          <w:spacing w:val="-2"/>
        </w:rPr>
        <w:t>Organizacionales</w:t>
      </w:r>
    </w:p>
    <w:p>
      <w:pPr>
        <w:pStyle w:val="ListParagraph"/>
        <w:numPr>
          <w:ilvl w:val="0"/>
          <w:numId w:val="97"/>
        </w:numPr>
        <w:tabs>
          <w:tab w:pos="955" w:val="left" w:leader="none"/>
        </w:tabs>
        <w:spacing w:line="264" w:lineRule="auto" w:before="219" w:after="0"/>
        <w:ind w:left="955" w:right="320" w:hanging="219"/>
        <w:jc w:val="both"/>
        <w:rPr>
          <w:sz w:val="22"/>
        </w:rPr>
      </w:pPr>
      <w:r>
        <w:rPr>
          <w:color w:val="231F1F"/>
          <w:sz w:val="22"/>
        </w:rPr>
        <w:t>Orientada a Profesionales: Adecuación de recursos humanos en la atención al parto siguiendo</w:t>
      </w:r>
      <w:r>
        <w:rPr>
          <w:color w:val="231F1F"/>
          <w:spacing w:val="40"/>
          <w:sz w:val="22"/>
        </w:rPr>
        <w:t> </w:t>
      </w:r>
      <w:r>
        <w:rPr>
          <w:color w:val="231F1F"/>
          <w:sz w:val="22"/>
        </w:rPr>
        <w:t>las</w:t>
      </w:r>
      <w:r>
        <w:rPr>
          <w:color w:val="231F1F"/>
          <w:spacing w:val="40"/>
          <w:sz w:val="22"/>
        </w:rPr>
        <w:t> </w:t>
      </w:r>
      <w:r>
        <w:rPr>
          <w:color w:val="231F1F"/>
          <w:sz w:val="22"/>
        </w:rPr>
        <w:t>recomendaciones</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evidencia</w:t>
      </w:r>
      <w:r>
        <w:rPr>
          <w:color w:val="231F1F"/>
          <w:spacing w:val="40"/>
          <w:sz w:val="22"/>
        </w:rPr>
        <w:t> </w:t>
      </w:r>
      <w:r>
        <w:rPr>
          <w:color w:val="231F1F"/>
          <w:sz w:val="22"/>
        </w:rPr>
        <w:t>actual.</w:t>
      </w:r>
    </w:p>
    <w:p>
      <w:pPr>
        <w:pStyle w:val="ListParagraph"/>
        <w:numPr>
          <w:ilvl w:val="0"/>
          <w:numId w:val="97"/>
        </w:numPr>
        <w:tabs>
          <w:tab w:pos="956" w:val="left" w:leader="none"/>
        </w:tabs>
        <w:spacing w:line="244" w:lineRule="auto" w:before="130" w:after="0"/>
        <w:ind w:left="956" w:right="121" w:hanging="221"/>
        <w:jc w:val="both"/>
        <w:rPr>
          <w:sz w:val="22"/>
        </w:rPr>
      </w:pPr>
      <w:r>
        <w:rPr>
          <w:color w:val="231F1F"/>
          <w:spacing w:val="-2"/>
          <w:w w:val="110"/>
          <w:sz w:val="22"/>
        </w:rPr>
        <w:t>Orientadas</w:t>
      </w:r>
      <w:r>
        <w:rPr>
          <w:color w:val="231F1F"/>
          <w:spacing w:val="-7"/>
          <w:w w:val="110"/>
          <w:sz w:val="22"/>
        </w:rPr>
        <w:t> </w:t>
      </w:r>
      <w:r>
        <w:rPr>
          <w:color w:val="231F1F"/>
          <w:spacing w:val="-2"/>
          <w:w w:val="110"/>
          <w:sz w:val="22"/>
        </w:rPr>
        <w:t>hacia</w:t>
      </w:r>
      <w:r>
        <w:rPr>
          <w:color w:val="231F1F"/>
          <w:spacing w:val="-7"/>
          <w:w w:val="110"/>
          <w:sz w:val="22"/>
        </w:rPr>
        <w:t> </w:t>
      </w:r>
      <w:r>
        <w:rPr>
          <w:color w:val="231F1F"/>
          <w:spacing w:val="-2"/>
          <w:w w:val="110"/>
          <w:sz w:val="22"/>
        </w:rPr>
        <w:t>Mujeres:</w:t>
      </w:r>
      <w:r>
        <w:rPr>
          <w:color w:val="231F1F"/>
          <w:spacing w:val="-7"/>
          <w:w w:val="110"/>
          <w:sz w:val="22"/>
        </w:rPr>
        <w:t> </w:t>
      </w:r>
      <w:r>
        <w:rPr>
          <w:color w:val="231F1F"/>
          <w:spacing w:val="-2"/>
          <w:w w:val="110"/>
          <w:sz w:val="22"/>
        </w:rPr>
        <w:t>Realización</w:t>
      </w:r>
      <w:r>
        <w:rPr>
          <w:color w:val="231F1F"/>
          <w:spacing w:val="-6"/>
          <w:w w:val="110"/>
          <w:sz w:val="22"/>
        </w:rPr>
        <w:t> </w:t>
      </w:r>
      <w:r>
        <w:rPr>
          <w:color w:val="231F1F"/>
          <w:spacing w:val="-2"/>
          <w:w w:val="110"/>
          <w:sz w:val="22"/>
        </w:rPr>
        <w:t>de</w:t>
      </w:r>
      <w:r>
        <w:rPr>
          <w:color w:val="231F1F"/>
          <w:spacing w:val="-7"/>
          <w:w w:val="110"/>
          <w:sz w:val="22"/>
        </w:rPr>
        <w:t> </w:t>
      </w:r>
      <w:r>
        <w:rPr>
          <w:color w:val="231F1F"/>
          <w:spacing w:val="-2"/>
          <w:w w:val="110"/>
          <w:sz w:val="22"/>
        </w:rPr>
        <w:t>una</w:t>
      </w:r>
      <w:r>
        <w:rPr>
          <w:color w:val="231F1F"/>
          <w:spacing w:val="-7"/>
          <w:w w:val="110"/>
          <w:sz w:val="22"/>
        </w:rPr>
        <w:t> </w:t>
      </w:r>
      <w:r>
        <w:rPr>
          <w:color w:val="231F1F"/>
          <w:spacing w:val="-2"/>
          <w:w w:val="110"/>
          <w:sz w:val="22"/>
        </w:rPr>
        <w:t>sección</w:t>
      </w:r>
      <w:r>
        <w:rPr>
          <w:color w:val="231F1F"/>
          <w:spacing w:val="-7"/>
          <w:w w:val="110"/>
          <w:sz w:val="22"/>
        </w:rPr>
        <w:t> </w:t>
      </w:r>
      <w:r>
        <w:rPr>
          <w:color w:val="231F1F"/>
          <w:spacing w:val="-2"/>
          <w:w w:val="110"/>
          <w:sz w:val="22"/>
        </w:rPr>
        <w:t>en</w:t>
      </w:r>
      <w:r>
        <w:rPr>
          <w:color w:val="231F1F"/>
          <w:spacing w:val="-6"/>
          <w:w w:val="110"/>
          <w:sz w:val="22"/>
        </w:rPr>
        <w:t> </w:t>
      </w:r>
      <w:r>
        <w:rPr>
          <w:color w:val="231F1F"/>
          <w:spacing w:val="-2"/>
          <w:w w:val="110"/>
          <w:sz w:val="22"/>
        </w:rPr>
        <w:t>la</w:t>
      </w:r>
      <w:r>
        <w:rPr>
          <w:color w:val="231F1F"/>
          <w:spacing w:val="-7"/>
          <w:w w:val="110"/>
          <w:sz w:val="22"/>
        </w:rPr>
        <w:t> </w:t>
      </w:r>
      <w:r>
        <w:rPr>
          <w:color w:val="231F1F"/>
          <w:spacing w:val="-2"/>
          <w:w w:val="110"/>
          <w:sz w:val="22"/>
        </w:rPr>
        <w:t>GPC</w:t>
      </w:r>
      <w:r>
        <w:rPr>
          <w:color w:val="231F1F"/>
          <w:spacing w:val="-6"/>
          <w:w w:val="110"/>
          <w:sz w:val="22"/>
        </w:rPr>
        <w:t> </w:t>
      </w:r>
      <w:r>
        <w:rPr>
          <w:color w:val="231F1F"/>
          <w:spacing w:val="-2"/>
          <w:w w:val="110"/>
          <w:sz w:val="22"/>
        </w:rPr>
        <w:t>dirigida</w:t>
      </w:r>
      <w:r>
        <w:rPr>
          <w:color w:val="231F1F"/>
          <w:spacing w:val="-7"/>
          <w:w w:val="110"/>
          <w:sz w:val="22"/>
        </w:rPr>
        <w:t> </w:t>
      </w:r>
      <w:r>
        <w:rPr>
          <w:color w:val="231F1F"/>
          <w:spacing w:val="-2"/>
          <w:w w:val="110"/>
          <w:sz w:val="22"/>
        </w:rPr>
        <w:t>a</w:t>
      </w:r>
      <w:r>
        <w:rPr>
          <w:color w:val="231F1F"/>
          <w:spacing w:val="-7"/>
          <w:w w:val="110"/>
          <w:sz w:val="22"/>
        </w:rPr>
        <w:t> </w:t>
      </w:r>
      <w:r>
        <w:rPr>
          <w:color w:val="231F1F"/>
          <w:spacing w:val="-2"/>
          <w:w w:val="110"/>
          <w:sz w:val="22"/>
        </w:rPr>
        <w:t>gestan- </w:t>
      </w:r>
      <w:r>
        <w:rPr>
          <w:color w:val="231F1F"/>
          <w:w w:val="110"/>
          <w:sz w:val="22"/>
        </w:rPr>
        <w:t>tes,</w:t>
      </w:r>
      <w:r>
        <w:rPr>
          <w:color w:val="231F1F"/>
          <w:spacing w:val="-11"/>
          <w:w w:val="110"/>
          <w:sz w:val="22"/>
        </w:rPr>
        <w:t> </w:t>
      </w:r>
      <w:r>
        <w:rPr>
          <w:color w:val="231F1F"/>
          <w:w w:val="110"/>
          <w:sz w:val="22"/>
        </w:rPr>
        <w:t>recogiendo</w:t>
      </w:r>
      <w:r>
        <w:rPr>
          <w:color w:val="231F1F"/>
          <w:spacing w:val="-10"/>
          <w:w w:val="110"/>
          <w:sz w:val="22"/>
        </w:rPr>
        <w:t> </w:t>
      </w:r>
      <w:r>
        <w:rPr>
          <w:color w:val="231F1F"/>
          <w:w w:val="110"/>
          <w:sz w:val="22"/>
        </w:rPr>
        <w:t>la</w:t>
      </w:r>
      <w:r>
        <w:rPr>
          <w:color w:val="231F1F"/>
          <w:spacing w:val="-11"/>
          <w:w w:val="110"/>
          <w:sz w:val="22"/>
        </w:rPr>
        <w:t> </w:t>
      </w:r>
      <w:r>
        <w:rPr>
          <w:color w:val="231F1F"/>
          <w:w w:val="110"/>
          <w:sz w:val="22"/>
        </w:rPr>
        <w:t>información</w:t>
      </w:r>
      <w:r>
        <w:rPr>
          <w:color w:val="231F1F"/>
          <w:spacing w:val="-11"/>
          <w:w w:val="110"/>
          <w:sz w:val="22"/>
        </w:rPr>
        <w:t> </w:t>
      </w:r>
      <w:r>
        <w:rPr>
          <w:color w:val="231F1F"/>
          <w:w w:val="110"/>
          <w:sz w:val="22"/>
        </w:rPr>
        <w:t>aquí</w:t>
      </w:r>
      <w:r>
        <w:rPr>
          <w:color w:val="231F1F"/>
          <w:spacing w:val="-11"/>
          <w:w w:val="110"/>
          <w:sz w:val="22"/>
        </w:rPr>
        <w:t> </w:t>
      </w:r>
      <w:r>
        <w:rPr>
          <w:color w:val="231F1F"/>
          <w:w w:val="110"/>
          <w:sz w:val="22"/>
        </w:rPr>
        <w:t>reseñada,</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forma</w:t>
      </w:r>
      <w:r>
        <w:rPr>
          <w:color w:val="231F1F"/>
          <w:spacing w:val="-11"/>
          <w:w w:val="110"/>
          <w:sz w:val="22"/>
        </w:rPr>
        <w:t> </w:t>
      </w:r>
      <w:r>
        <w:rPr>
          <w:color w:val="231F1F"/>
          <w:w w:val="110"/>
          <w:sz w:val="22"/>
        </w:rPr>
        <w:t>resumida</w:t>
      </w:r>
      <w:r>
        <w:rPr>
          <w:color w:val="231F1F"/>
          <w:spacing w:val="-11"/>
          <w:w w:val="110"/>
          <w:sz w:val="22"/>
        </w:rPr>
        <w:t> </w:t>
      </w:r>
      <w:r>
        <w:rPr>
          <w:color w:val="231F1F"/>
          <w:w w:val="110"/>
          <w:sz w:val="22"/>
        </w:rPr>
        <w:t>e</w:t>
      </w:r>
      <w:r>
        <w:rPr>
          <w:color w:val="231F1F"/>
          <w:spacing w:val="-11"/>
          <w:w w:val="110"/>
          <w:sz w:val="22"/>
        </w:rPr>
        <w:t> </w:t>
      </w:r>
      <w:r>
        <w:rPr>
          <w:color w:val="231F1F"/>
          <w:w w:val="110"/>
          <w:sz w:val="22"/>
        </w:rPr>
        <w:t>inteligible,</w:t>
      </w:r>
      <w:r>
        <w:rPr>
          <w:color w:val="231F1F"/>
          <w:spacing w:val="-11"/>
          <w:w w:val="110"/>
          <w:sz w:val="22"/>
        </w:rPr>
        <w:t> </w:t>
      </w:r>
      <w:r>
        <w:rPr>
          <w:color w:val="231F1F"/>
          <w:w w:val="110"/>
          <w:sz w:val="22"/>
        </w:rPr>
        <w:t>a</w:t>
      </w:r>
      <w:r>
        <w:rPr>
          <w:color w:val="231F1F"/>
          <w:spacing w:val="-11"/>
          <w:w w:val="110"/>
          <w:sz w:val="22"/>
        </w:rPr>
        <w:t> </w:t>
      </w:r>
      <w:r>
        <w:rPr>
          <w:color w:val="231F1F"/>
          <w:w w:val="110"/>
          <w:sz w:val="22"/>
        </w:rPr>
        <w:t>la vez</w:t>
      </w:r>
      <w:r>
        <w:rPr>
          <w:color w:val="231F1F"/>
          <w:spacing w:val="-8"/>
          <w:w w:val="110"/>
          <w:sz w:val="22"/>
        </w:rPr>
        <w:t> </w:t>
      </w:r>
      <w:r>
        <w:rPr>
          <w:color w:val="231F1F"/>
          <w:w w:val="110"/>
          <w:sz w:val="22"/>
        </w:rPr>
        <w:t>que</w:t>
      </w:r>
      <w:r>
        <w:rPr>
          <w:color w:val="231F1F"/>
          <w:spacing w:val="-8"/>
          <w:w w:val="110"/>
          <w:sz w:val="22"/>
        </w:rPr>
        <w:t> </w:t>
      </w:r>
      <w:r>
        <w:rPr>
          <w:color w:val="231F1F"/>
          <w:w w:val="110"/>
          <w:sz w:val="22"/>
        </w:rPr>
        <w:t>de</w:t>
      </w:r>
      <w:r>
        <w:rPr>
          <w:color w:val="231F1F"/>
          <w:spacing w:val="-7"/>
          <w:w w:val="110"/>
          <w:sz w:val="22"/>
        </w:rPr>
        <w:t> </w:t>
      </w:r>
      <w:r>
        <w:rPr>
          <w:color w:val="231F1F"/>
          <w:w w:val="110"/>
          <w:sz w:val="22"/>
        </w:rPr>
        <w:t>forma</w:t>
      </w:r>
      <w:r>
        <w:rPr>
          <w:color w:val="231F1F"/>
          <w:spacing w:val="-8"/>
          <w:w w:val="110"/>
          <w:sz w:val="22"/>
        </w:rPr>
        <w:t> </w:t>
      </w:r>
      <w:r>
        <w:rPr>
          <w:color w:val="231F1F"/>
          <w:w w:val="110"/>
          <w:sz w:val="22"/>
        </w:rPr>
        <w:t>veraz</w:t>
      </w:r>
      <w:r>
        <w:rPr>
          <w:color w:val="231F1F"/>
          <w:spacing w:val="-8"/>
          <w:w w:val="110"/>
          <w:sz w:val="22"/>
        </w:rPr>
        <w:t> </w:t>
      </w:r>
      <w:r>
        <w:rPr>
          <w:color w:val="231F1F"/>
          <w:w w:val="110"/>
          <w:sz w:val="22"/>
        </w:rPr>
        <w:t>y</w:t>
      </w:r>
      <w:r>
        <w:rPr>
          <w:color w:val="231F1F"/>
          <w:spacing w:val="-8"/>
          <w:w w:val="110"/>
          <w:sz w:val="22"/>
        </w:rPr>
        <w:t> </w:t>
      </w:r>
      <w:r>
        <w:rPr>
          <w:color w:val="231F1F"/>
          <w:w w:val="110"/>
          <w:sz w:val="22"/>
        </w:rPr>
        <w:t>que</w:t>
      </w:r>
      <w:r>
        <w:rPr>
          <w:color w:val="231F1F"/>
          <w:spacing w:val="-8"/>
          <w:w w:val="110"/>
          <w:sz w:val="22"/>
        </w:rPr>
        <w:t> </w:t>
      </w:r>
      <w:r>
        <w:rPr>
          <w:color w:val="231F1F"/>
          <w:w w:val="110"/>
          <w:sz w:val="22"/>
        </w:rPr>
        <w:t>le</w:t>
      </w:r>
      <w:r>
        <w:rPr>
          <w:color w:val="231F1F"/>
          <w:spacing w:val="-8"/>
          <w:w w:val="110"/>
          <w:sz w:val="22"/>
        </w:rPr>
        <w:t> </w:t>
      </w:r>
      <w:r>
        <w:rPr>
          <w:color w:val="231F1F"/>
          <w:w w:val="110"/>
          <w:sz w:val="22"/>
        </w:rPr>
        <w:t>permita</w:t>
      </w:r>
      <w:r>
        <w:rPr>
          <w:color w:val="231F1F"/>
          <w:spacing w:val="-7"/>
          <w:w w:val="110"/>
          <w:sz w:val="22"/>
        </w:rPr>
        <w:t> </w:t>
      </w:r>
      <w:r>
        <w:rPr>
          <w:color w:val="231F1F"/>
          <w:w w:val="110"/>
          <w:sz w:val="22"/>
        </w:rPr>
        <w:t>ser</w:t>
      </w:r>
      <w:r>
        <w:rPr>
          <w:color w:val="231F1F"/>
          <w:spacing w:val="-8"/>
          <w:w w:val="110"/>
          <w:sz w:val="22"/>
        </w:rPr>
        <w:t> </w:t>
      </w:r>
      <w:r>
        <w:rPr>
          <w:color w:val="231F1F"/>
          <w:w w:val="110"/>
          <w:sz w:val="22"/>
        </w:rPr>
        <w:t>la</w:t>
      </w:r>
      <w:r>
        <w:rPr>
          <w:color w:val="231F1F"/>
          <w:spacing w:val="-7"/>
          <w:w w:val="110"/>
          <w:sz w:val="22"/>
        </w:rPr>
        <w:t> </w:t>
      </w:r>
      <w:r>
        <w:rPr>
          <w:color w:val="231F1F"/>
          <w:w w:val="110"/>
          <w:sz w:val="22"/>
        </w:rPr>
        <w:t>parte</w:t>
      </w:r>
      <w:r>
        <w:rPr>
          <w:color w:val="231F1F"/>
          <w:spacing w:val="-8"/>
          <w:w w:val="110"/>
          <w:sz w:val="22"/>
        </w:rPr>
        <w:t> </w:t>
      </w:r>
      <w:r>
        <w:rPr>
          <w:color w:val="231F1F"/>
          <w:w w:val="110"/>
          <w:sz w:val="22"/>
        </w:rPr>
        <w:t>más</w:t>
      </w:r>
      <w:r>
        <w:rPr>
          <w:color w:val="231F1F"/>
          <w:spacing w:val="-8"/>
          <w:w w:val="110"/>
          <w:sz w:val="22"/>
        </w:rPr>
        <w:t> </w:t>
      </w:r>
      <w:r>
        <w:rPr>
          <w:color w:val="231F1F"/>
          <w:w w:val="110"/>
          <w:sz w:val="22"/>
        </w:rPr>
        <w:t>importante</w:t>
      </w:r>
      <w:r>
        <w:rPr>
          <w:color w:val="231F1F"/>
          <w:spacing w:val="-8"/>
          <w:w w:val="110"/>
          <w:sz w:val="22"/>
        </w:rPr>
        <w:t> </w:t>
      </w:r>
      <w:r>
        <w:rPr>
          <w:color w:val="231F1F"/>
          <w:w w:val="110"/>
          <w:sz w:val="22"/>
        </w:rPr>
        <w:t>en</w:t>
      </w:r>
      <w:r>
        <w:rPr>
          <w:color w:val="231F1F"/>
          <w:spacing w:val="-7"/>
          <w:w w:val="110"/>
          <w:sz w:val="22"/>
        </w:rPr>
        <w:t> </w:t>
      </w:r>
      <w:r>
        <w:rPr>
          <w:color w:val="231F1F"/>
          <w:w w:val="110"/>
          <w:sz w:val="22"/>
        </w:rPr>
        <w:t>la</w:t>
      </w:r>
      <w:r>
        <w:rPr>
          <w:color w:val="231F1F"/>
          <w:spacing w:val="-8"/>
          <w:w w:val="110"/>
          <w:sz w:val="22"/>
        </w:rPr>
        <w:t> </w:t>
      </w:r>
      <w:r>
        <w:rPr>
          <w:color w:val="231F1F"/>
          <w:w w:val="110"/>
          <w:sz w:val="22"/>
        </w:rPr>
        <w:t>toma</w:t>
      </w:r>
      <w:r>
        <w:rPr>
          <w:color w:val="231F1F"/>
          <w:spacing w:val="-7"/>
          <w:w w:val="110"/>
          <w:sz w:val="22"/>
        </w:rPr>
        <w:t> </w:t>
      </w:r>
      <w:r>
        <w:rPr>
          <w:color w:val="231F1F"/>
          <w:w w:val="110"/>
          <w:sz w:val="22"/>
        </w:rPr>
        <w:t>de decisiones en cuanto al control de su parto.</w:t>
      </w:r>
    </w:p>
    <w:p>
      <w:pPr>
        <w:pStyle w:val="BodyText"/>
      </w:pPr>
    </w:p>
    <w:p>
      <w:pPr>
        <w:pStyle w:val="BodyText"/>
        <w:spacing w:before="102"/>
      </w:pPr>
    </w:p>
    <w:p>
      <w:pPr>
        <w:pStyle w:val="Heading2"/>
        <w:numPr>
          <w:ilvl w:val="2"/>
          <w:numId w:val="2"/>
        </w:numPr>
        <w:tabs>
          <w:tab w:pos="1184" w:val="left" w:leader="none"/>
        </w:tabs>
        <w:spacing w:line="240" w:lineRule="auto" w:before="1" w:after="0"/>
        <w:ind w:left="1184" w:right="0" w:hanging="901"/>
        <w:jc w:val="left"/>
      </w:pPr>
      <w:r>
        <w:rPr>
          <w:color w:val="231F1F"/>
        </w:rPr>
        <w:t>Propuesta</w:t>
      </w:r>
      <w:r>
        <w:rPr>
          <w:color w:val="231F1F"/>
          <w:spacing w:val="77"/>
        </w:rPr>
        <w:t> </w:t>
      </w:r>
      <w:r>
        <w:rPr>
          <w:color w:val="231F1F"/>
        </w:rPr>
        <w:t>de</w:t>
      </w:r>
      <w:r>
        <w:rPr>
          <w:color w:val="231F1F"/>
          <w:spacing w:val="35"/>
          <w:w w:val="150"/>
        </w:rPr>
        <w:t> </w:t>
      </w:r>
      <w:r>
        <w:rPr>
          <w:color w:val="231F1F"/>
          <w:spacing w:val="-2"/>
        </w:rPr>
        <w:t>indicadores</w:t>
      </w:r>
    </w:p>
    <w:p>
      <w:pPr>
        <w:pStyle w:val="BodyText"/>
        <w:spacing w:line="247" w:lineRule="auto" w:before="263"/>
        <w:ind w:left="283" w:right="121"/>
        <w:jc w:val="both"/>
      </w:pPr>
      <w:r>
        <w:rPr>
          <w:color w:val="231F1F"/>
          <w:spacing w:val="-2"/>
          <w:w w:val="110"/>
        </w:rPr>
        <w:t>Simultáneamente</w:t>
      </w:r>
      <w:r>
        <w:rPr>
          <w:color w:val="231F1F"/>
          <w:spacing w:val="-8"/>
          <w:w w:val="110"/>
        </w:rPr>
        <w:t> </w:t>
      </w:r>
      <w:r>
        <w:rPr>
          <w:color w:val="231F1F"/>
          <w:spacing w:val="-2"/>
          <w:w w:val="110"/>
        </w:rPr>
        <w:t>a</w:t>
      </w:r>
      <w:r>
        <w:rPr>
          <w:color w:val="231F1F"/>
          <w:spacing w:val="-7"/>
          <w:w w:val="110"/>
        </w:rPr>
        <w:t> </w:t>
      </w:r>
      <w:r>
        <w:rPr>
          <w:color w:val="231F1F"/>
          <w:spacing w:val="-2"/>
          <w:w w:val="110"/>
        </w:rPr>
        <w:t>la</w:t>
      </w:r>
      <w:r>
        <w:rPr>
          <w:color w:val="231F1F"/>
          <w:spacing w:val="-7"/>
          <w:w w:val="110"/>
        </w:rPr>
        <w:t> </w:t>
      </w:r>
      <w:r>
        <w:rPr>
          <w:color w:val="231F1F"/>
          <w:spacing w:val="-2"/>
          <w:w w:val="110"/>
        </w:rPr>
        <w:t>elaboración</w:t>
      </w:r>
      <w:r>
        <w:rPr>
          <w:color w:val="231F1F"/>
          <w:spacing w:val="-7"/>
          <w:w w:val="110"/>
        </w:rPr>
        <w:t> </w:t>
      </w:r>
      <w:r>
        <w:rPr>
          <w:color w:val="231F1F"/>
          <w:spacing w:val="-2"/>
          <w:w w:val="110"/>
        </w:rPr>
        <w:t>de</w:t>
      </w:r>
      <w:r>
        <w:rPr>
          <w:color w:val="231F1F"/>
          <w:spacing w:val="-7"/>
          <w:w w:val="110"/>
        </w:rPr>
        <w:t> </w:t>
      </w:r>
      <w:r>
        <w:rPr>
          <w:color w:val="231F1F"/>
          <w:spacing w:val="-2"/>
          <w:w w:val="110"/>
        </w:rPr>
        <w:t>la</w:t>
      </w:r>
      <w:r>
        <w:rPr>
          <w:color w:val="231F1F"/>
          <w:spacing w:val="-7"/>
          <w:w w:val="110"/>
        </w:rPr>
        <w:t> </w:t>
      </w:r>
      <w:r>
        <w:rPr>
          <w:color w:val="231F1F"/>
          <w:spacing w:val="-2"/>
          <w:w w:val="110"/>
        </w:rPr>
        <w:t>guía</w:t>
      </w:r>
      <w:r>
        <w:rPr>
          <w:color w:val="231F1F"/>
          <w:spacing w:val="-7"/>
          <w:w w:val="110"/>
        </w:rPr>
        <w:t> </w:t>
      </w:r>
      <w:r>
        <w:rPr>
          <w:color w:val="231F1F"/>
          <w:spacing w:val="-2"/>
          <w:w w:val="110"/>
        </w:rPr>
        <w:t>se</w:t>
      </w:r>
      <w:r>
        <w:rPr>
          <w:color w:val="231F1F"/>
          <w:spacing w:val="-7"/>
          <w:w w:val="110"/>
        </w:rPr>
        <w:t> </w:t>
      </w:r>
      <w:r>
        <w:rPr>
          <w:color w:val="231F1F"/>
          <w:spacing w:val="-2"/>
          <w:w w:val="110"/>
        </w:rPr>
        <w:t>han</w:t>
      </w:r>
      <w:r>
        <w:rPr>
          <w:color w:val="231F1F"/>
          <w:spacing w:val="-7"/>
          <w:w w:val="110"/>
        </w:rPr>
        <w:t> </w:t>
      </w:r>
      <w:r>
        <w:rPr>
          <w:color w:val="231F1F"/>
          <w:spacing w:val="-2"/>
          <w:w w:val="110"/>
        </w:rPr>
        <w:t>diseñado</w:t>
      </w:r>
      <w:r>
        <w:rPr>
          <w:color w:val="231F1F"/>
          <w:spacing w:val="-7"/>
          <w:w w:val="110"/>
        </w:rPr>
        <w:t> </w:t>
      </w:r>
      <w:r>
        <w:rPr>
          <w:color w:val="231F1F"/>
          <w:spacing w:val="-2"/>
          <w:w w:val="110"/>
        </w:rPr>
        <w:t>una</w:t>
      </w:r>
      <w:r>
        <w:rPr>
          <w:color w:val="231F1F"/>
          <w:spacing w:val="-7"/>
          <w:w w:val="110"/>
        </w:rPr>
        <w:t> </w:t>
      </w:r>
      <w:r>
        <w:rPr>
          <w:color w:val="231F1F"/>
          <w:spacing w:val="-2"/>
          <w:w w:val="110"/>
        </w:rPr>
        <w:t>serie</w:t>
      </w:r>
      <w:r>
        <w:rPr>
          <w:color w:val="231F1F"/>
          <w:spacing w:val="-8"/>
          <w:w w:val="110"/>
        </w:rPr>
        <w:t> </w:t>
      </w:r>
      <w:r>
        <w:rPr>
          <w:color w:val="231F1F"/>
          <w:spacing w:val="-2"/>
          <w:w w:val="110"/>
        </w:rPr>
        <w:t>de</w:t>
      </w:r>
      <w:r>
        <w:rPr>
          <w:color w:val="231F1F"/>
          <w:spacing w:val="-7"/>
          <w:w w:val="110"/>
        </w:rPr>
        <w:t> </w:t>
      </w:r>
      <w:r>
        <w:rPr>
          <w:color w:val="231F1F"/>
          <w:spacing w:val="-2"/>
          <w:w w:val="110"/>
        </w:rPr>
        <w:t>indicadores,</w:t>
      </w:r>
      <w:r>
        <w:rPr>
          <w:color w:val="231F1F"/>
          <w:spacing w:val="-8"/>
          <w:w w:val="110"/>
        </w:rPr>
        <w:t> </w:t>
      </w:r>
      <w:r>
        <w:rPr>
          <w:color w:val="231F1F"/>
          <w:spacing w:val="-2"/>
          <w:w w:val="110"/>
        </w:rPr>
        <w:t>que deben</w:t>
      </w:r>
      <w:r>
        <w:rPr>
          <w:color w:val="231F1F"/>
          <w:spacing w:val="-10"/>
          <w:w w:val="110"/>
        </w:rPr>
        <w:t> </w:t>
      </w:r>
      <w:r>
        <w:rPr>
          <w:color w:val="231F1F"/>
          <w:spacing w:val="-2"/>
          <w:w w:val="110"/>
        </w:rPr>
        <w:t>poder</w:t>
      </w:r>
      <w:r>
        <w:rPr>
          <w:color w:val="231F1F"/>
          <w:spacing w:val="-10"/>
          <w:w w:val="110"/>
        </w:rPr>
        <w:t> </w:t>
      </w:r>
      <w:r>
        <w:rPr>
          <w:color w:val="231F1F"/>
          <w:spacing w:val="-2"/>
          <w:w w:val="110"/>
        </w:rPr>
        <w:t>medirse</w:t>
      </w:r>
      <w:r>
        <w:rPr>
          <w:color w:val="231F1F"/>
          <w:spacing w:val="-10"/>
          <w:w w:val="110"/>
        </w:rPr>
        <w:t> </w:t>
      </w:r>
      <w:r>
        <w:rPr>
          <w:color w:val="231F1F"/>
          <w:spacing w:val="-2"/>
          <w:w w:val="110"/>
        </w:rPr>
        <w:t>a</w:t>
      </w:r>
      <w:r>
        <w:rPr>
          <w:color w:val="231F1F"/>
          <w:spacing w:val="-10"/>
          <w:w w:val="110"/>
        </w:rPr>
        <w:t> </w:t>
      </w:r>
      <w:r>
        <w:rPr>
          <w:color w:val="231F1F"/>
          <w:spacing w:val="-2"/>
          <w:w w:val="110"/>
        </w:rPr>
        <w:t>través</w:t>
      </w:r>
      <w:r>
        <w:rPr>
          <w:color w:val="231F1F"/>
          <w:spacing w:val="-10"/>
          <w:w w:val="110"/>
        </w:rPr>
        <w:t> </w:t>
      </w:r>
      <w:r>
        <w:rPr>
          <w:color w:val="231F1F"/>
          <w:spacing w:val="-2"/>
          <w:w w:val="110"/>
        </w:rPr>
        <w:t>de</w:t>
      </w:r>
      <w:r>
        <w:rPr>
          <w:color w:val="231F1F"/>
          <w:spacing w:val="-10"/>
          <w:w w:val="110"/>
        </w:rPr>
        <w:t> </w:t>
      </w:r>
      <w:r>
        <w:rPr>
          <w:color w:val="231F1F"/>
          <w:spacing w:val="-2"/>
          <w:w w:val="110"/>
        </w:rPr>
        <w:t>los</w:t>
      </w:r>
      <w:r>
        <w:rPr>
          <w:color w:val="231F1F"/>
          <w:spacing w:val="-10"/>
          <w:w w:val="110"/>
        </w:rPr>
        <w:t> </w:t>
      </w:r>
      <w:r>
        <w:rPr>
          <w:color w:val="231F1F"/>
          <w:spacing w:val="-2"/>
          <w:w w:val="110"/>
        </w:rPr>
        <w:t>sistemas</w:t>
      </w:r>
      <w:r>
        <w:rPr>
          <w:color w:val="231F1F"/>
          <w:spacing w:val="-10"/>
          <w:w w:val="110"/>
        </w:rPr>
        <w:t> </w:t>
      </w:r>
      <w:r>
        <w:rPr>
          <w:color w:val="231F1F"/>
          <w:spacing w:val="-2"/>
          <w:w w:val="110"/>
        </w:rPr>
        <w:t>de</w:t>
      </w:r>
      <w:r>
        <w:rPr>
          <w:color w:val="231F1F"/>
          <w:spacing w:val="-10"/>
          <w:w w:val="110"/>
        </w:rPr>
        <w:t> </w:t>
      </w:r>
      <w:r>
        <w:rPr>
          <w:color w:val="231F1F"/>
          <w:spacing w:val="-2"/>
          <w:w w:val="110"/>
        </w:rPr>
        <w:t>información</w:t>
      </w:r>
      <w:r>
        <w:rPr>
          <w:color w:val="231F1F"/>
          <w:spacing w:val="-10"/>
          <w:w w:val="110"/>
        </w:rPr>
        <w:t> </w:t>
      </w:r>
      <w:r>
        <w:rPr>
          <w:color w:val="231F1F"/>
          <w:spacing w:val="-2"/>
          <w:w w:val="110"/>
        </w:rPr>
        <w:t>sanitarios,</w:t>
      </w:r>
      <w:r>
        <w:rPr>
          <w:color w:val="231F1F"/>
          <w:spacing w:val="-11"/>
          <w:w w:val="110"/>
        </w:rPr>
        <w:t> </w:t>
      </w:r>
      <w:r>
        <w:rPr>
          <w:color w:val="231F1F"/>
          <w:spacing w:val="-2"/>
          <w:w w:val="110"/>
        </w:rPr>
        <w:t>con</w:t>
      </w:r>
      <w:r>
        <w:rPr>
          <w:color w:val="231F1F"/>
          <w:spacing w:val="-10"/>
          <w:w w:val="110"/>
        </w:rPr>
        <w:t> </w:t>
      </w:r>
      <w:r>
        <w:rPr>
          <w:color w:val="231F1F"/>
          <w:spacing w:val="-2"/>
          <w:w w:val="110"/>
        </w:rPr>
        <w:t>la</w:t>
      </w:r>
      <w:r>
        <w:rPr>
          <w:color w:val="231F1F"/>
          <w:spacing w:val="-10"/>
          <w:w w:val="110"/>
        </w:rPr>
        <w:t> </w:t>
      </w:r>
      <w:r>
        <w:rPr>
          <w:color w:val="231F1F"/>
          <w:spacing w:val="-2"/>
          <w:w w:val="110"/>
        </w:rPr>
        <w:t>finalidad</w:t>
      </w:r>
      <w:r>
        <w:rPr>
          <w:color w:val="231F1F"/>
          <w:spacing w:val="-10"/>
          <w:w w:val="110"/>
        </w:rPr>
        <w:t> </w:t>
      </w:r>
      <w:r>
        <w:rPr>
          <w:color w:val="231F1F"/>
          <w:spacing w:val="-2"/>
          <w:w w:val="110"/>
        </w:rPr>
        <w:t>de </w:t>
      </w:r>
      <w:r>
        <w:rPr>
          <w:color w:val="231F1F"/>
          <w:w w:val="110"/>
        </w:rPr>
        <w:t>evaluar</w:t>
      </w:r>
      <w:r>
        <w:rPr>
          <w:color w:val="231F1F"/>
          <w:spacing w:val="-4"/>
          <w:w w:val="110"/>
        </w:rPr>
        <w:t> </w:t>
      </w:r>
      <w:r>
        <w:rPr>
          <w:color w:val="231F1F"/>
          <w:w w:val="110"/>
        </w:rPr>
        <w:t>tanto</w:t>
      </w:r>
      <w:r>
        <w:rPr>
          <w:color w:val="231F1F"/>
          <w:spacing w:val="-4"/>
          <w:w w:val="110"/>
        </w:rPr>
        <w:t> </w:t>
      </w:r>
      <w:r>
        <w:rPr>
          <w:color w:val="231F1F"/>
          <w:w w:val="110"/>
        </w:rPr>
        <w:t>la</w:t>
      </w:r>
      <w:r>
        <w:rPr>
          <w:color w:val="231F1F"/>
          <w:spacing w:val="-4"/>
          <w:w w:val="110"/>
        </w:rPr>
        <w:t> </w:t>
      </w:r>
      <w:r>
        <w:rPr>
          <w:color w:val="231F1F"/>
          <w:w w:val="110"/>
        </w:rPr>
        <w:t>atención</w:t>
      </w:r>
      <w:r>
        <w:rPr>
          <w:color w:val="231F1F"/>
          <w:spacing w:val="-4"/>
          <w:w w:val="110"/>
        </w:rPr>
        <w:t> </w:t>
      </w:r>
      <w:r>
        <w:rPr>
          <w:color w:val="231F1F"/>
          <w:w w:val="110"/>
        </w:rPr>
        <w:t>durante</w:t>
      </w:r>
      <w:r>
        <w:rPr>
          <w:color w:val="231F1F"/>
          <w:spacing w:val="-4"/>
          <w:w w:val="110"/>
        </w:rPr>
        <w:t> </w:t>
      </w:r>
      <w:r>
        <w:rPr>
          <w:color w:val="231F1F"/>
          <w:w w:val="110"/>
        </w:rPr>
        <w:t>el</w:t>
      </w:r>
      <w:r>
        <w:rPr>
          <w:color w:val="231F1F"/>
          <w:spacing w:val="-4"/>
          <w:w w:val="110"/>
        </w:rPr>
        <w:t> </w:t>
      </w:r>
      <w:r>
        <w:rPr>
          <w:color w:val="231F1F"/>
          <w:w w:val="110"/>
        </w:rPr>
        <w:t>parto</w:t>
      </w:r>
      <w:r>
        <w:rPr>
          <w:color w:val="231F1F"/>
          <w:spacing w:val="-4"/>
          <w:w w:val="110"/>
        </w:rPr>
        <w:t> </w:t>
      </w:r>
      <w:r>
        <w:rPr>
          <w:color w:val="231F1F"/>
          <w:w w:val="110"/>
        </w:rPr>
        <w:t>como</w:t>
      </w:r>
      <w:r>
        <w:rPr>
          <w:color w:val="231F1F"/>
          <w:spacing w:val="-4"/>
          <w:w w:val="110"/>
        </w:rPr>
        <w:t> </w:t>
      </w:r>
      <w:r>
        <w:rPr>
          <w:color w:val="231F1F"/>
          <w:w w:val="110"/>
        </w:rPr>
        <w:t>el</w:t>
      </w:r>
      <w:r>
        <w:rPr>
          <w:color w:val="231F1F"/>
          <w:spacing w:val="-4"/>
          <w:w w:val="110"/>
        </w:rPr>
        <w:t> </w:t>
      </w:r>
      <w:r>
        <w:rPr>
          <w:color w:val="231F1F"/>
          <w:w w:val="110"/>
        </w:rPr>
        <w:t>posible</w:t>
      </w:r>
      <w:r>
        <w:rPr>
          <w:color w:val="231F1F"/>
          <w:spacing w:val="-4"/>
          <w:w w:val="110"/>
        </w:rPr>
        <w:t> </w:t>
      </w:r>
      <w:r>
        <w:rPr>
          <w:color w:val="231F1F"/>
          <w:w w:val="110"/>
        </w:rPr>
        <w:t>impacto</w:t>
      </w:r>
      <w:r>
        <w:rPr>
          <w:color w:val="231F1F"/>
          <w:spacing w:val="-4"/>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implementación de</w:t>
      </w:r>
      <w:r>
        <w:rPr>
          <w:color w:val="231F1F"/>
          <w:spacing w:val="-11"/>
          <w:w w:val="110"/>
        </w:rPr>
        <w:t> </w:t>
      </w:r>
      <w:r>
        <w:rPr>
          <w:color w:val="231F1F"/>
          <w:w w:val="110"/>
        </w:rPr>
        <w:t>la</w:t>
      </w:r>
      <w:r>
        <w:rPr>
          <w:color w:val="231F1F"/>
          <w:spacing w:val="-10"/>
          <w:w w:val="110"/>
        </w:rPr>
        <w:t> </w:t>
      </w:r>
      <w:r>
        <w:rPr>
          <w:color w:val="231F1F"/>
          <w:w w:val="110"/>
        </w:rPr>
        <w:t>guía.</w:t>
      </w:r>
      <w:r>
        <w:rPr>
          <w:color w:val="231F1F"/>
          <w:spacing w:val="-11"/>
          <w:w w:val="110"/>
        </w:rPr>
        <w:t> </w:t>
      </w:r>
      <w:r>
        <w:rPr>
          <w:color w:val="231F1F"/>
          <w:w w:val="110"/>
        </w:rPr>
        <w:t>No</w:t>
      </w:r>
      <w:r>
        <w:rPr>
          <w:color w:val="231F1F"/>
          <w:spacing w:val="-10"/>
          <w:w w:val="110"/>
        </w:rPr>
        <w:t> </w:t>
      </w:r>
      <w:r>
        <w:rPr>
          <w:color w:val="231F1F"/>
          <w:w w:val="110"/>
        </w:rPr>
        <w:t>se</w:t>
      </w:r>
      <w:r>
        <w:rPr>
          <w:color w:val="231F1F"/>
          <w:spacing w:val="-11"/>
          <w:w w:val="110"/>
        </w:rPr>
        <w:t> </w:t>
      </w:r>
      <w:r>
        <w:rPr>
          <w:color w:val="231F1F"/>
          <w:w w:val="110"/>
        </w:rPr>
        <w:t>pretende</w:t>
      </w:r>
      <w:r>
        <w:rPr>
          <w:color w:val="231F1F"/>
          <w:spacing w:val="-11"/>
          <w:w w:val="110"/>
        </w:rPr>
        <w:t> </w:t>
      </w:r>
      <w:r>
        <w:rPr>
          <w:color w:val="231F1F"/>
          <w:w w:val="110"/>
        </w:rPr>
        <w:t>realizar</w:t>
      </w:r>
      <w:r>
        <w:rPr>
          <w:color w:val="231F1F"/>
          <w:spacing w:val="-11"/>
          <w:w w:val="110"/>
        </w:rPr>
        <w:t> </w:t>
      </w:r>
      <w:r>
        <w:rPr>
          <w:color w:val="231F1F"/>
          <w:w w:val="110"/>
        </w:rPr>
        <w:t>un</w:t>
      </w:r>
      <w:r>
        <w:rPr>
          <w:color w:val="231F1F"/>
          <w:spacing w:val="-10"/>
          <w:w w:val="110"/>
        </w:rPr>
        <w:t> </w:t>
      </w:r>
      <w:r>
        <w:rPr>
          <w:color w:val="231F1F"/>
          <w:w w:val="110"/>
        </w:rPr>
        <w:t>diseño</w:t>
      </w:r>
      <w:r>
        <w:rPr>
          <w:color w:val="231F1F"/>
          <w:spacing w:val="-10"/>
          <w:w w:val="110"/>
        </w:rPr>
        <w:t> </w:t>
      </w:r>
      <w:r>
        <w:rPr>
          <w:color w:val="231F1F"/>
          <w:w w:val="110"/>
        </w:rPr>
        <w:t>exhaustivo</w:t>
      </w:r>
      <w:r>
        <w:rPr>
          <w:color w:val="231F1F"/>
          <w:spacing w:val="-9"/>
          <w:w w:val="110"/>
        </w:rPr>
        <w:t> </w:t>
      </w:r>
      <w:r>
        <w:rPr>
          <w:color w:val="231F1F"/>
          <w:w w:val="110"/>
        </w:rPr>
        <w:t>y</w:t>
      </w:r>
      <w:r>
        <w:rPr>
          <w:color w:val="231F1F"/>
          <w:spacing w:val="-10"/>
          <w:w w:val="110"/>
        </w:rPr>
        <w:t> </w:t>
      </w:r>
      <w:r>
        <w:rPr>
          <w:color w:val="231F1F"/>
          <w:w w:val="110"/>
        </w:rPr>
        <w:t>detallado</w:t>
      </w:r>
      <w:r>
        <w:rPr>
          <w:color w:val="231F1F"/>
          <w:spacing w:val="-11"/>
          <w:w w:val="110"/>
        </w:rPr>
        <w:t> </w:t>
      </w:r>
      <w:r>
        <w:rPr>
          <w:color w:val="231F1F"/>
          <w:w w:val="110"/>
        </w:rPr>
        <w:t>que</w:t>
      </w:r>
      <w:r>
        <w:rPr>
          <w:color w:val="231F1F"/>
          <w:spacing w:val="-11"/>
          <w:w w:val="110"/>
        </w:rPr>
        <w:t> </w:t>
      </w:r>
      <w:r>
        <w:rPr>
          <w:color w:val="231F1F"/>
          <w:w w:val="110"/>
        </w:rPr>
        <w:t>implique</w:t>
      </w:r>
      <w:r>
        <w:rPr>
          <w:color w:val="231F1F"/>
          <w:spacing w:val="-11"/>
          <w:w w:val="110"/>
        </w:rPr>
        <w:t> </w:t>
      </w:r>
      <w:r>
        <w:rPr>
          <w:color w:val="231F1F"/>
          <w:w w:val="110"/>
        </w:rPr>
        <w:t>la</w:t>
      </w:r>
      <w:r>
        <w:rPr>
          <w:color w:val="231F1F"/>
          <w:spacing w:val="-10"/>
          <w:w w:val="110"/>
        </w:rPr>
        <w:t> </w:t>
      </w:r>
      <w:r>
        <w:rPr>
          <w:color w:val="231F1F"/>
          <w:w w:val="110"/>
        </w:rPr>
        <w:t>utili- zación</w:t>
      </w:r>
      <w:r>
        <w:rPr>
          <w:color w:val="231F1F"/>
          <w:spacing w:val="-2"/>
          <w:w w:val="110"/>
        </w:rPr>
        <w:t> </w:t>
      </w:r>
      <w:r>
        <w:rPr>
          <w:color w:val="231F1F"/>
          <w:w w:val="110"/>
        </w:rPr>
        <w:t>de</w:t>
      </w:r>
      <w:r>
        <w:rPr>
          <w:color w:val="231F1F"/>
          <w:spacing w:val="-2"/>
          <w:w w:val="110"/>
        </w:rPr>
        <w:t> </w:t>
      </w:r>
      <w:r>
        <w:rPr>
          <w:color w:val="231F1F"/>
          <w:w w:val="110"/>
        </w:rPr>
        <w:t>todos</w:t>
      </w:r>
      <w:r>
        <w:rPr>
          <w:color w:val="231F1F"/>
          <w:spacing w:val="-2"/>
          <w:w w:val="110"/>
        </w:rPr>
        <w:t> </w:t>
      </w:r>
      <w:r>
        <w:rPr>
          <w:color w:val="231F1F"/>
          <w:w w:val="110"/>
        </w:rPr>
        <w:t>los</w:t>
      </w:r>
      <w:r>
        <w:rPr>
          <w:color w:val="231F1F"/>
          <w:spacing w:val="-2"/>
          <w:w w:val="110"/>
        </w:rPr>
        <w:t> </w:t>
      </w:r>
      <w:r>
        <w:rPr>
          <w:color w:val="231F1F"/>
          <w:w w:val="110"/>
        </w:rPr>
        <w:t>indicadores</w:t>
      </w:r>
      <w:r>
        <w:rPr>
          <w:color w:val="231F1F"/>
          <w:spacing w:val="-2"/>
          <w:w w:val="110"/>
        </w:rPr>
        <w:t> </w:t>
      </w:r>
      <w:r>
        <w:rPr>
          <w:color w:val="231F1F"/>
          <w:w w:val="110"/>
        </w:rPr>
        <w:t>propuestos.</w:t>
      </w:r>
      <w:r>
        <w:rPr>
          <w:color w:val="231F1F"/>
          <w:spacing w:val="-2"/>
          <w:w w:val="110"/>
        </w:rPr>
        <w:t> </w:t>
      </w:r>
      <w:r>
        <w:rPr>
          <w:color w:val="231F1F"/>
          <w:w w:val="110"/>
        </w:rPr>
        <w:t>Se</w:t>
      </w:r>
      <w:r>
        <w:rPr>
          <w:color w:val="231F1F"/>
          <w:spacing w:val="-2"/>
          <w:w w:val="110"/>
        </w:rPr>
        <w:t> </w:t>
      </w:r>
      <w:r>
        <w:rPr>
          <w:color w:val="231F1F"/>
          <w:w w:val="110"/>
        </w:rPr>
        <w:t>pretende</w:t>
      </w:r>
      <w:r>
        <w:rPr>
          <w:color w:val="231F1F"/>
          <w:spacing w:val="-3"/>
          <w:w w:val="110"/>
        </w:rPr>
        <w:t> </w:t>
      </w:r>
      <w:r>
        <w:rPr>
          <w:color w:val="231F1F"/>
          <w:w w:val="110"/>
        </w:rPr>
        <w:t>proporcionar</w:t>
      </w:r>
      <w:r>
        <w:rPr>
          <w:color w:val="231F1F"/>
          <w:spacing w:val="-3"/>
          <w:w w:val="110"/>
        </w:rPr>
        <w:t> </w:t>
      </w:r>
      <w:r>
        <w:rPr>
          <w:color w:val="231F1F"/>
          <w:w w:val="110"/>
        </w:rPr>
        <w:t>una</w:t>
      </w:r>
      <w:r>
        <w:rPr>
          <w:color w:val="231F1F"/>
          <w:spacing w:val="-2"/>
          <w:w w:val="110"/>
        </w:rPr>
        <w:t> </w:t>
      </w:r>
      <w:r>
        <w:rPr>
          <w:color w:val="231F1F"/>
          <w:w w:val="110"/>
        </w:rPr>
        <w:t>herramienta</w:t>
      </w:r>
      <w:r>
        <w:rPr>
          <w:color w:val="231F1F"/>
          <w:spacing w:val="-2"/>
          <w:w w:val="110"/>
        </w:rPr>
        <w:t> </w:t>
      </w:r>
      <w:r>
        <w:rPr>
          <w:color w:val="231F1F"/>
          <w:w w:val="110"/>
        </w:rPr>
        <w:t>a profesionales</w:t>
      </w:r>
      <w:r>
        <w:rPr>
          <w:color w:val="231F1F"/>
          <w:spacing w:val="-10"/>
          <w:w w:val="110"/>
        </w:rPr>
        <w:t> </w:t>
      </w:r>
      <w:r>
        <w:rPr>
          <w:color w:val="231F1F"/>
          <w:w w:val="110"/>
        </w:rPr>
        <w:t>y</w:t>
      </w:r>
      <w:r>
        <w:rPr>
          <w:color w:val="231F1F"/>
          <w:spacing w:val="-9"/>
          <w:w w:val="110"/>
        </w:rPr>
        <w:t> </w:t>
      </w:r>
      <w:r>
        <w:rPr>
          <w:color w:val="231F1F"/>
          <w:w w:val="110"/>
        </w:rPr>
        <w:t>personal</w:t>
      </w:r>
      <w:r>
        <w:rPr>
          <w:color w:val="231F1F"/>
          <w:spacing w:val="-10"/>
          <w:w w:val="110"/>
        </w:rPr>
        <w:t> </w:t>
      </w:r>
      <w:r>
        <w:rPr>
          <w:color w:val="231F1F"/>
          <w:w w:val="110"/>
        </w:rPr>
        <w:t>de</w:t>
      </w:r>
      <w:r>
        <w:rPr>
          <w:color w:val="231F1F"/>
          <w:spacing w:val="-10"/>
          <w:w w:val="110"/>
        </w:rPr>
        <w:t> </w:t>
      </w:r>
      <w:r>
        <w:rPr>
          <w:color w:val="231F1F"/>
          <w:w w:val="110"/>
        </w:rPr>
        <w:t>la</w:t>
      </w:r>
      <w:r>
        <w:rPr>
          <w:color w:val="231F1F"/>
          <w:spacing w:val="-9"/>
          <w:w w:val="110"/>
        </w:rPr>
        <w:t> </w:t>
      </w:r>
      <w:r>
        <w:rPr>
          <w:color w:val="231F1F"/>
          <w:w w:val="110"/>
        </w:rPr>
        <w:t>gestión</w:t>
      </w:r>
      <w:r>
        <w:rPr>
          <w:color w:val="231F1F"/>
          <w:spacing w:val="-9"/>
          <w:w w:val="110"/>
        </w:rPr>
        <w:t> </w:t>
      </w:r>
      <w:r>
        <w:rPr>
          <w:color w:val="231F1F"/>
          <w:w w:val="110"/>
        </w:rPr>
        <w:t>sanitaria,</w:t>
      </w:r>
      <w:r>
        <w:rPr>
          <w:color w:val="231F1F"/>
          <w:spacing w:val="-11"/>
          <w:w w:val="110"/>
        </w:rPr>
        <w:t> </w:t>
      </w:r>
      <w:r>
        <w:rPr>
          <w:color w:val="231F1F"/>
          <w:w w:val="110"/>
        </w:rPr>
        <w:t>que</w:t>
      </w:r>
      <w:r>
        <w:rPr>
          <w:color w:val="231F1F"/>
          <w:spacing w:val="-10"/>
          <w:w w:val="110"/>
        </w:rPr>
        <w:t> </w:t>
      </w:r>
      <w:r>
        <w:rPr>
          <w:color w:val="231F1F"/>
          <w:w w:val="110"/>
        </w:rPr>
        <w:t>pueda</w:t>
      </w:r>
      <w:r>
        <w:rPr>
          <w:color w:val="231F1F"/>
          <w:spacing w:val="-10"/>
          <w:w w:val="110"/>
        </w:rPr>
        <w:t> </w:t>
      </w:r>
      <w:r>
        <w:rPr>
          <w:color w:val="231F1F"/>
          <w:w w:val="110"/>
        </w:rPr>
        <w:t>ser</w:t>
      </w:r>
      <w:r>
        <w:rPr>
          <w:color w:val="231F1F"/>
          <w:spacing w:val="-10"/>
          <w:w w:val="110"/>
        </w:rPr>
        <w:t> </w:t>
      </w:r>
      <w:r>
        <w:rPr>
          <w:color w:val="231F1F"/>
          <w:w w:val="110"/>
        </w:rPr>
        <w:t>útil</w:t>
      </w:r>
      <w:r>
        <w:rPr>
          <w:color w:val="231F1F"/>
          <w:spacing w:val="-10"/>
          <w:w w:val="110"/>
        </w:rPr>
        <w:t> </w:t>
      </w:r>
      <w:r>
        <w:rPr>
          <w:color w:val="231F1F"/>
          <w:w w:val="110"/>
        </w:rPr>
        <w:t>en</w:t>
      </w:r>
      <w:r>
        <w:rPr>
          <w:color w:val="231F1F"/>
          <w:spacing w:val="-9"/>
          <w:w w:val="110"/>
        </w:rPr>
        <w:t> </w:t>
      </w:r>
      <w:r>
        <w:rPr>
          <w:color w:val="231F1F"/>
          <w:w w:val="110"/>
        </w:rPr>
        <w:t>el</w:t>
      </w:r>
      <w:r>
        <w:rPr>
          <w:color w:val="231F1F"/>
          <w:spacing w:val="-10"/>
          <w:w w:val="110"/>
        </w:rPr>
        <w:t> </w:t>
      </w:r>
      <w:r>
        <w:rPr>
          <w:color w:val="231F1F"/>
          <w:w w:val="110"/>
        </w:rPr>
        <w:t>diseño</w:t>
      </w:r>
      <w:r>
        <w:rPr>
          <w:color w:val="231F1F"/>
          <w:spacing w:val="-9"/>
          <w:w w:val="110"/>
        </w:rPr>
        <w:t> </w:t>
      </w:r>
      <w:r>
        <w:rPr>
          <w:color w:val="231F1F"/>
          <w:w w:val="110"/>
        </w:rPr>
        <w:t>específico de la evaluación de la atención al parto normal.</w:t>
      </w:r>
    </w:p>
    <w:p>
      <w:pPr>
        <w:pStyle w:val="BodyText"/>
        <w:spacing w:line="249" w:lineRule="auto" w:before="135"/>
        <w:ind w:left="283" w:right="119" w:firstLine="453"/>
        <w:jc w:val="both"/>
      </w:pPr>
      <w:r>
        <w:rPr>
          <w:color w:val="231F1F"/>
          <w:w w:val="105"/>
        </w:rPr>
        <w:t>Se</w:t>
      </w:r>
      <w:r>
        <w:rPr>
          <w:color w:val="231F1F"/>
          <w:w w:val="105"/>
        </w:rPr>
        <w:t> han</w:t>
      </w:r>
      <w:r>
        <w:rPr>
          <w:color w:val="231F1F"/>
          <w:w w:val="105"/>
        </w:rPr>
        <w:t> diseñado</w:t>
      </w:r>
      <w:r>
        <w:rPr>
          <w:color w:val="231F1F"/>
          <w:w w:val="105"/>
        </w:rPr>
        <w:t> agrupados</w:t>
      </w:r>
      <w:r>
        <w:rPr>
          <w:color w:val="231F1F"/>
          <w:w w:val="105"/>
        </w:rPr>
        <w:t> según</w:t>
      </w:r>
      <w:r>
        <w:rPr>
          <w:color w:val="231F1F"/>
          <w:w w:val="105"/>
        </w:rPr>
        <w:t> el</w:t>
      </w:r>
      <w:r>
        <w:rPr>
          <w:color w:val="231F1F"/>
          <w:w w:val="105"/>
        </w:rPr>
        <w:t> ambito</w:t>
      </w:r>
      <w:r>
        <w:rPr>
          <w:color w:val="231F1F"/>
          <w:w w:val="105"/>
        </w:rPr>
        <w:t> de</w:t>
      </w:r>
      <w:r>
        <w:rPr>
          <w:color w:val="231F1F"/>
          <w:w w:val="105"/>
        </w:rPr>
        <w:t> aplicación</w:t>
      </w:r>
      <w:r>
        <w:rPr>
          <w:color w:val="231F1F"/>
          <w:w w:val="105"/>
        </w:rPr>
        <w:t> de</w:t>
      </w:r>
      <w:r>
        <w:rPr>
          <w:color w:val="231F1F"/>
          <w:w w:val="105"/>
        </w:rPr>
        <w:t> la</w:t>
      </w:r>
      <w:r>
        <w:rPr>
          <w:color w:val="231F1F"/>
          <w:w w:val="105"/>
        </w:rPr>
        <w:t> guía</w:t>
      </w:r>
      <w:r>
        <w:rPr>
          <w:color w:val="231F1F"/>
          <w:w w:val="105"/>
        </w:rPr>
        <w:t> y</w:t>
      </w:r>
      <w:r>
        <w:rPr>
          <w:color w:val="231F1F"/>
          <w:w w:val="105"/>
        </w:rPr>
        <w:t> teniendo</w:t>
      </w:r>
      <w:r>
        <w:rPr>
          <w:color w:val="231F1F"/>
          <w:w w:val="105"/>
        </w:rPr>
        <w:t> en cuenta que miden diferentes aspectos o criterios para la mejora de la calidad de la atención</w:t>
      </w:r>
      <w:r>
        <w:rPr>
          <w:color w:val="231F1F"/>
          <w:spacing w:val="40"/>
          <w:w w:val="105"/>
        </w:rPr>
        <w:t> </w:t>
      </w:r>
      <w:r>
        <w:rPr>
          <w:color w:val="231F1F"/>
          <w:w w:val="105"/>
        </w:rPr>
        <w:t>y salud maternal y neonatal:</w:t>
      </w:r>
    </w:p>
    <w:p>
      <w:pPr>
        <w:pStyle w:val="ListParagraph"/>
        <w:numPr>
          <w:ilvl w:val="0"/>
          <w:numId w:val="98"/>
        </w:numPr>
        <w:tabs>
          <w:tab w:pos="1072" w:val="left" w:leader="none"/>
        </w:tabs>
        <w:spacing w:line="240" w:lineRule="auto" w:before="147" w:after="0"/>
        <w:ind w:left="1072" w:right="0" w:hanging="336"/>
        <w:jc w:val="left"/>
        <w:rPr>
          <w:sz w:val="22"/>
        </w:rPr>
      </w:pPr>
      <w:r>
        <w:rPr>
          <w:color w:val="231F1F"/>
          <w:sz w:val="22"/>
        </w:rPr>
        <w:t>Seguridad,</w:t>
      </w:r>
      <w:r>
        <w:rPr>
          <w:color w:val="231F1F"/>
          <w:spacing w:val="32"/>
          <w:sz w:val="22"/>
        </w:rPr>
        <w:t> </w:t>
      </w:r>
      <w:r>
        <w:rPr>
          <w:color w:val="231F1F"/>
          <w:sz w:val="22"/>
        </w:rPr>
        <w:t>evitar</w:t>
      </w:r>
      <w:r>
        <w:rPr>
          <w:color w:val="231F1F"/>
          <w:spacing w:val="33"/>
          <w:sz w:val="22"/>
        </w:rPr>
        <w:t> </w:t>
      </w:r>
      <w:r>
        <w:rPr>
          <w:color w:val="231F1F"/>
          <w:sz w:val="22"/>
        </w:rPr>
        <w:t>riesgos</w:t>
      </w:r>
      <w:r>
        <w:rPr>
          <w:color w:val="231F1F"/>
          <w:spacing w:val="33"/>
          <w:sz w:val="22"/>
        </w:rPr>
        <w:t> </w:t>
      </w:r>
      <w:r>
        <w:rPr>
          <w:color w:val="231F1F"/>
          <w:sz w:val="22"/>
        </w:rPr>
        <w:t>maternos</w:t>
      </w:r>
      <w:r>
        <w:rPr>
          <w:color w:val="231F1F"/>
          <w:spacing w:val="33"/>
          <w:sz w:val="22"/>
        </w:rPr>
        <w:t> </w:t>
      </w:r>
      <w:r>
        <w:rPr>
          <w:color w:val="231F1F"/>
          <w:sz w:val="22"/>
        </w:rPr>
        <w:t>y/o</w:t>
      </w:r>
      <w:r>
        <w:rPr>
          <w:color w:val="231F1F"/>
          <w:spacing w:val="35"/>
          <w:sz w:val="22"/>
        </w:rPr>
        <w:t> </w:t>
      </w:r>
      <w:r>
        <w:rPr>
          <w:color w:val="231F1F"/>
          <w:spacing w:val="-2"/>
          <w:sz w:val="22"/>
        </w:rPr>
        <w:t>neonatales</w:t>
      </w:r>
    </w:p>
    <w:p>
      <w:pPr>
        <w:pStyle w:val="ListParagraph"/>
        <w:numPr>
          <w:ilvl w:val="0"/>
          <w:numId w:val="98"/>
        </w:numPr>
        <w:tabs>
          <w:tab w:pos="1072" w:val="left" w:leader="none"/>
        </w:tabs>
        <w:spacing w:line="240" w:lineRule="auto" w:before="169" w:after="0"/>
        <w:ind w:left="1072" w:right="0" w:hanging="336"/>
        <w:jc w:val="left"/>
        <w:rPr>
          <w:sz w:val="22"/>
        </w:rPr>
      </w:pPr>
      <w:r>
        <w:rPr>
          <w:color w:val="231F1F"/>
          <w:sz w:val="22"/>
        </w:rPr>
        <w:t>Disminución</w:t>
      </w:r>
      <w:r>
        <w:rPr>
          <w:color w:val="231F1F"/>
          <w:spacing w:val="37"/>
          <w:sz w:val="22"/>
        </w:rPr>
        <w:t> </w:t>
      </w:r>
      <w:r>
        <w:rPr>
          <w:color w:val="231F1F"/>
          <w:sz w:val="22"/>
        </w:rPr>
        <w:t>de</w:t>
      </w:r>
      <w:r>
        <w:rPr>
          <w:color w:val="231F1F"/>
          <w:spacing w:val="39"/>
          <w:sz w:val="22"/>
        </w:rPr>
        <w:t> </w:t>
      </w:r>
      <w:r>
        <w:rPr>
          <w:color w:val="231F1F"/>
          <w:spacing w:val="-2"/>
          <w:sz w:val="22"/>
        </w:rPr>
        <w:t>instrumentación</w:t>
      </w:r>
    </w:p>
    <w:p>
      <w:pPr>
        <w:pStyle w:val="ListParagraph"/>
        <w:numPr>
          <w:ilvl w:val="0"/>
          <w:numId w:val="98"/>
        </w:numPr>
        <w:tabs>
          <w:tab w:pos="1072" w:val="left" w:leader="none"/>
        </w:tabs>
        <w:spacing w:line="240" w:lineRule="auto" w:before="165" w:after="0"/>
        <w:ind w:left="1072" w:right="0" w:hanging="336"/>
        <w:jc w:val="left"/>
        <w:rPr>
          <w:sz w:val="22"/>
        </w:rPr>
      </w:pPr>
      <w:r>
        <w:rPr>
          <w:color w:val="231F1F"/>
          <w:w w:val="105"/>
          <w:sz w:val="22"/>
        </w:rPr>
        <w:t>Impulsar</w:t>
      </w:r>
      <w:r>
        <w:rPr>
          <w:color w:val="231F1F"/>
          <w:spacing w:val="4"/>
          <w:w w:val="105"/>
          <w:sz w:val="22"/>
        </w:rPr>
        <w:t> </w:t>
      </w:r>
      <w:r>
        <w:rPr>
          <w:color w:val="231F1F"/>
          <w:w w:val="105"/>
          <w:sz w:val="22"/>
        </w:rPr>
        <w:t>prácticas</w:t>
      </w:r>
      <w:r>
        <w:rPr>
          <w:color w:val="231F1F"/>
          <w:spacing w:val="3"/>
          <w:w w:val="105"/>
          <w:sz w:val="22"/>
        </w:rPr>
        <w:t> </w:t>
      </w:r>
      <w:r>
        <w:rPr>
          <w:color w:val="231F1F"/>
          <w:spacing w:val="-2"/>
          <w:w w:val="105"/>
          <w:sz w:val="22"/>
        </w:rPr>
        <w:t>eficaces</w:t>
      </w:r>
    </w:p>
    <w:p>
      <w:pPr>
        <w:pStyle w:val="ListParagraph"/>
        <w:numPr>
          <w:ilvl w:val="0"/>
          <w:numId w:val="98"/>
        </w:numPr>
        <w:tabs>
          <w:tab w:pos="1072" w:val="left" w:leader="none"/>
        </w:tabs>
        <w:spacing w:line="240" w:lineRule="auto" w:before="169" w:after="0"/>
        <w:ind w:left="1072" w:right="0" w:hanging="336"/>
        <w:jc w:val="left"/>
        <w:rPr>
          <w:sz w:val="22"/>
        </w:rPr>
      </w:pPr>
      <w:r>
        <w:rPr>
          <w:color w:val="231F1F"/>
          <w:sz w:val="22"/>
        </w:rPr>
        <w:t>Fomentar</w:t>
      </w:r>
      <w:r>
        <w:rPr>
          <w:color w:val="231F1F"/>
          <w:spacing w:val="30"/>
          <w:sz w:val="22"/>
        </w:rPr>
        <w:t> </w:t>
      </w:r>
      <w:r>
        <w:rPr>
          <w:color w:val="231F1F"/>
          <w:sz w:val="22"/>
        </w:rPr>
        <w:t>el</w:t>
      </w:r>
      <w:r>
        <w:rPr>
          <w:color w:val="231F1F"/>
          <w:spacing w:val="31"/>
          <w:sz w:val="22"/>
        </w:rPr>
        <w:t> </w:t>
      </w:r>
      <w:r>
        <w:rPr>
          <w:color w:val="231F1F"/>
          <w:sz w:val="22"/>
        </w:rPr>
        <w:t>protagonismo</w:t>
      </w:r>
      <w:r>
        <w:rPr>
          <w:color w:val="231F1F"/>
          <w:spacing w:val="32"/>
          <w:sz w:val="22"/>
        </w:rPr>
        <w:t> </w:t>
      </w:r>
      <w:r>
        <w:rPr>
          <w:color w:val="231F1F"/>
          <w:sz w:val="22"/>
        </w:rPr>
        <w:t>y</w:t>
      </w:r>
      <w:r>
        <w:rPr>
          <w:color w:val="231F1F"/>
          <w:spacing w:val="31"/>
          <w:sz w:val="22"/>
        </w:rPr>
        <w:t> </w:t>
      </w:r>
      <w:r>
        <w:rPr>
          <w:color w:val="231F1F"/>
          <w:sz w:val="22"/>
        </w:rPr>
        <w:t>la</w:t>
      </w:r>
      <w:r>
        <w:rPr>
          <w:color w:val="231F1F"/>
          <w:spacing w:val="33"/>
          <w:sz w:val="22"/>
        </w:rPr>
        <w:t> </w:t>
      </w:r>
      <w:r>
        <w:rPr>
          <w:color w:val="231F1F"/>
          <w:sz w:val="22"/>
        </w:rPr>
        <w:t>satisfacción</w:t>
      </w:r>
      <w:r>
        <w:rPr>
          <w:color w:val="231F1F"/>
          <w:spacing w:val="30"/>
          <w:sz w:val="22"/>
        </w:rPr>
        <w:t> </w:t>
      </w:r>
      <w:r>
        <w:rPr>
          <w:color w:val="231F1F"/>
          <w:sz w:val="22"/>
        </w:rPr>
        <w:t>de</w:t>
      </w:r>
      <w:r>
        <w:rPr>
          <w:color w:val="231F1F"/>
          <w:spacing w:val="33"/>
          <w:sz w:val="22"/>
        </w:rPr>
        <w:t> </w:t>
      </w:r>
      <w:r>
        <w:rPr>
          <w:color w:val="231F1F"/>
          <w:spacing w:val="-2"/>
          <w:sz w:val="22"/>
        </w:rPr>
        <w:t>mujeres</w:t>
      </w:r>
    </w:p>
    <w:p>
      <w:pPr>
        <w:pStyle w:val="ListParagraph"/>
        <w:spacing w:after="0" w:line="240" w:lineRule="auto"/>
        <w:jc w:val="left"/>
        <w:rPr>
          <w:sz w:val="22"/>
        </w:rPr>
        <w:sectPr>
          <w:pgSz w:w="11900" w:h="16840"/>
          <w:pgMar w:header="0" w:footer="622" w:top="1580" w:bottom="820" w:left="1417" w:right="1559"/>
        </w:sectPr>
      </w:pPr>
    </w:p>
    <w:p>
      <w:pPr>
        <w:spacing w:line="240" w:lineRule="auto"/>
        <w:ind w:left="1419" w:right="0" w:firstLine="0"/>
        <w:jc w:val="left"/>
        <w:rPr>
          <w:position w:val="268"/>
          <w:sz w:val="20"/>
        </w:rPr>
      </w:pPr>
      <w:r>
        <w:rPr>
          <w:position w:val="268"/>
          <w:sz w:val="20"/>
        </w:rPr>
        <mc:AlternateContent>
          <mc:Choice Requires="wps">
            <w:drawing>
              <wp:anchor distT="0" distB="0" distL="0" distR="0" allowOverlap="1" layoutInCell="1" locked="0" behindDoc="1" simplePos="0" relativeHeight="481545728">
                <wp:simplePos x="0" y="0"/>
                <wp:positionH relativeFrom="page">
                  <wp:posOffset>3195320</wp:posOffset>
                </wp:positionH>
                <wp:positionV relativeFrom="page">
                  <wp:posOffset>3735070</wp:posOffset>
                </wp:positionV>
                <wp:extent cx="303530" cy="8191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03530" cy="81915"/>
                          <a:chExt cx="303530" cy="81915"/>
                        </a:xfrm>
                      </wpg:grpSpPr>
                      <wps:wsp>
                        <wps:cNvPr id="154" name="Graphic 154"/>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55" name="Graphic 155"/>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294.100006pt;width:23.9pt;height:6.45pt;mso-position-horizontal-relative:page;mso-position-vertical-relative:page;z-index:-21770752" id="docshapegroup142" coordorigin="5032,5882" coordsize="478,129">
                <v:line style="position:absolute" from="5032,5947" to="5313,5947" stroked="true" strokeweight=".552992pt" strokecolor="#a30046">
                  <v:stroke dashstyle="solid"/>
                </v:line>
                <v:shape style="position:absolute;left:5269;top:5882;width:240;height:129" id="docshape143" coordorigin="5269,5882" coordsize="240,129" path="m5269,5882l5269,6011,5509,5946,5269,5882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1" simplePos="0" relativeHeight="481546240">
                <wp:simplePos x="0" y="0"/>
                <wp:positionH relativeFrom="page">
                  <wp:posOffset>3195320</wp:posOffset>
                </wp:positionH>
                <wp:positionV relativeFrom="page">
                  <wp:posOffset>4225290</wp:posOffset>
                </wp:positionV>
                <wp:extent cx="303530" cy="8191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303530" cy="81915"/>
                          <a:chExt cx="303530" cy="81915"/>
                        </a:xfrm>
                      </wpg:grpSpPr>
                      <wps:wsp>
                        <wps:cNvPr id="157" name="Graphic 157"/>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58" name="Graphic 158"/>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32.700012pt;width:23.9pt;height:6.45pt;mso-position-horizontal-relative:page;mso-position-vertical-relative:page;z-index:-21770240" id="docshapegroup144" coordorigin="5032,6654" coordsize="478,129">
                <v:line style="position:absolute" from="5032,6719" to="5313,6719" stroked="true" strokeweight=".552992pt" strokecolor="#a30046">
                  <v:stroke dashstyle="solid"/>
                </v:line>
                <v:shape style="position:absolute;left:5269;top:6654;width:240;height:129" id="docshape145" coordorigin="5269,6654" coordsize="240,129" path="m5269,6654l5269,6783,5509,6718,5269,6654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1" simplePos="0" relativeHeight="481546752">
                <wp:simplePos x="0" y="0"/>
                <wp:positionH relativeFrom="page">
                  <wp:posOffset>3195320</wp:posOffset>
                </wp:positionH>
                <wp:positionV relativeFrom="page">
                  <wp:posOffset>4714875</wp:posOffset>
                </wp:positionV>
                <wp:extent cx="303530" cy="8191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03530" cy="81915"/>
                          <a:chExt cx="303530" cy="81915"/>
                        </a:xfrm>
                      </wpg:grpSpPr>
                      <wps:wsp>
                        <wps:cNvPr id="160" name="Graphic 160"/>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61" name="Graphic 161"/>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71.25pt;width:23.9pt;height:6.45pt;mso-position-horizontal-relative:page;mso-position-vertical-relative:page;z-index:-21769728" id="docshapegroup146" coordorigin="5032,7425" coordsize="478,129">
                <v:line style="position:absolute" from="5032,7490" to="5313,7490" stroked="true" strokeweight=".552992pt" strokecolor="#a30046">
                  <v:stroke dashstyle="solid"/>
                </v:line>
                <v:shape style="position:absolute;left:5269;top:7425;width:240;height:129" id="docshape147" coordorigin="5269,7425" coordsize="240,129" path="m5269,7425l5269,7554,5509,7489,5269,7425xe" filled="true" fillcolor="#a30046" stroked="false">
                  <v:path arrowok="t"/>
                  <v:fill type="solid"/>
                </v:shape>
                <w10:wrap type="none"/>
              </v:group>
            </w:pict>
          </mc:Fallback>
        </mc:AlternateContent>
      </w:r>
      <w:r>
        <w:rPr>
          <w:position w:val="268"/>
          <w:sz w:val="20"/>
        </w:rPr>
        <w:drawing>
          <wp:anchor distT="0" distB="0" distL="0" distR="0" allowOverlap="1" layoutInCell="1" locked="0" behindDoc="1" simplePos="0" relativeHeight="481547264">
            <wp:simplePos x="0" y="0"/>
            <wp:positionH relativeFrom="page">
              <wp:posOffset>3211195</wp:posOffset>
            </wp:positionH>
            <wp:positionV relativeFrom="page">
              <wp:posOffset>1985645</wp:posOffset>
            </wp:positionV>
            <wp:extent cx="264567" cy="154781"/>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6" cstate="print"/>
                    <a:stretch>
                      <a:fillRect/>
                    </a:stretch>
                  </pic:blipFill>
                  <pic:spPr>
                    <a:xfrm>
                      <a:off x="0" y="0"/>
                      <a:ext cx="264567" cy="154781"/>
                    </a:xfrm>
                    <a:prstGeom prst="rect">
                      <a:avLst/>
                    </a:prstGeom>
                  </pic:spPr>
                </pic:pic>
              </a:graphicData>
            </a:graphic>
          </wp:anchor>
        </w:drawing>
      </w:r>
      <w:r>
        <w:rPr>
          <w:position w:val="268"/>
          <w:sz w:val="20"/>
        </w:rPr>
        <w:drawing>
          <wp:anchor distT="0" distB="0" distL="0" distR="0" allowOverlap="1" layoutInCell="1" locked="0" behindDoc="1" simplePos="0" relativeHeight="481547776">
            <wp:simplePos x="0" y="0"/>
            <wp:positionH relativeFrom="page">
              <wp:posOffset>3238500</wp:posOffset>
            </wp:positionH>
            <wp:positionV relativeFrom="page">
              <wp:posOffset>2524125</wp:posOffset>
            </wp:positionV>
            <wp:extent cx="266524" cy="154781"/>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57" cstate="print"/>
                    <a:stretch>
                      <a:fillRect/>
                    </a:stretch>
                  </pic:blipFill>
                  <pic:spPr>
                    <a:xfrm>
                      <a:off x="0" y="0"/>
                      <a:ext cx="266524" cy="154781"/>
                    </a:xfrm>
                    <a:prstGeom prst="rect">
                      <a:avLst/>
                    </a:prstGeom>
                  </pic:spPr>
                </pic:pic>
              </a:graphicData>
            </a:graphic>
          </wp:anchor>
        </w:drawing>
      </w:r>
      <w:r>
        <w:rPr>
          <w:position w:val="268"/>
          <w:sz w:val="20"/>
        </w:rPr>
        <mc:AlternateContent>
          <mc:Choice Requires="wps">
            <w:drawing>
              <wp:anchor distT="0" distB="0" distL="0" distR="0" allowOverlap="1" layoutInCell="1" locked="0" behindDoc="1" simplePos="0" relativeHeight="481548288">
                <wp:simplePos x="0" y="0"/>
                <wp:positionH relativeFrom="page">
                  <wp:posOffset>3201035</wp:posOffset>
                </wp:positionH>
                <wp:positionV relativeFrom="page">
                  <wp:posOffset>1489075</wp:posOffset>
                </wp:positionV>
                <wp:extent cx="303530" cy="8191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303530" cy="81915"/>
                          <a:chExt cx="303530" cy="81915"/>
                        </a:xfrm>
                      </wpg:grpSpPr>
                      <wps:wsp>
                        <wps:cNvPr id="165" name="Graphic 165"/>
                        <wps:cNvSpPr/>
                        <wps:spPr>
                          <a:xfrm>
                            <a:off x="0" y="41313"/>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66" name="Graphic 166"/>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2.050003pt;margin-top:117.25pt;width:23.9pt;height:6.45pt;mso-position-horizontal-relative:page;mso-position-vertical-relative:page;z-index:-21768192" id="docshapegroup148" coordorigin="5041,2345" coordsize="478,129">
                <v:line style="position:absolute" from="5041,2410" to="5322,2410" stroked="true" strokeweight=".552992pt" strokecolor="#a30046">
                  <v:stroke dashstyle="solid"/>
                </v:line>
                <v:shape style="position:absolute;left:5278;top:2345;width:240;height:129" id="docshape149" coordorigin="5278,2345" coordsize="240,129" path="m5278,2345l5278,2473,5518,2409,5278,2345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0" simplePos="0" relativeHeight="15778816">
                <wp:simplePos x="0" y="0"/>
                <wp:positionH relativeFrom="page">
                  <wp:posOffset>3785870</wp:posOffset>
                </wp:positionH>
                <wp:positionV relativeFrom="page">
                  <wp:posOffset>5463540</wp:posOffset>
                </wp:positionV>
                <wp:extent cx="1734820"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8816" from="298.100006pt,430.200012pt" to="434.667013pt,430.200012pt" stroked="true" strokeweight=".5pt" strokecolor="#231f1f">
                <v:stroke dashstyle="solid"/>
                <w10:wrap type="none"/>
              </v:line>
            </w:pict>
          </mc:Fallback>
        </mc:AlternateContent>
      </w:r>
      <w:r>
        <w:rPr>
          <w:position w:val="268"/>
          <w:sz w:val="20"/>
        </w:rPr>
        <mc:AlternateContent>
          <mc:Choice Requires="wps">
            <w:drawing>
              <wp:anchor distT="0" distB="0" distL="0" distR="0" allowOverlap="1" layoutInCell="1" locked="0" behindDoc="0" simplePos="0" relativeHeight="15779328">
                <wp:simplePos x="0" y="0"/>
                <wp:positionH relativeFrom="page">
                  <wp:posOffset>3785870</wp:posOffset>
                </wp:positionH>
                <wp:positionV relativeFrom="page">
                  <wp:posOffset>5881370</wp:posOffset>
                </wp:positionV>
                <wp:extent cx="1734820" cy="127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9328" from="298.100006pt,463.100006pt" to="434.667013pt,463.100006pt" stroked="true" strokeweight=".5pt" strokecolor="#231f1f">
                <v:stroke dashstyle="solid"/>
                <w10:wrap type="none"/>
              </v:line>
            </w:pict>
          </mc:Fallback>
        </mc:AlternateContent>
      </w:r>
      <w:r>
        <w:rPr>
          <w:position w:val="268"/>
          <w:sz w:val="20"/>
        </w:rPr>
        <mc:AlternateContent>
          <mc:Choice Requires="wps">
            <w:drawing>
              <wp:anchor distT="0" distB="0" distL="0" distR="0" allowOverlap="1" layoutInCell="1" locked="0" behindDoc="0" simplePos="0" relativeHeight="15779840">
                <wp:simplePos x="0" y="0"/>
                <wp:positionH relativeFrom="page">
                  <wp:posOffset>3677920</wp:posOffset>
                </wp:positionH>
                <wp:positionV relativeFrom="page">
                  <wp:posOffset>6299200</wp:posOffset>
                </wp:positionV>
                <wp:extent cx="1950720" cy="127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9840" from="289.600006pt,496pt" to="443.174897pt,496pt" stroked="true" strokeweight=".5pt" strokecolor="#231f1f">
                <v:stroke dashstyle="solid"/>
                <w10:wrap type="none"/>
              </v:line>
            </w:pict>
          </mc:Fallback>
        </mc:AlternateContent>
      </w:r>
      <w:r>
        <w:rPr>
          <w:position w:val="268"/>
          <w:sz w:val="20"/>
        </w:rPr>
        <mc:AlternateContent>
          <mc:Choice Requires="wps">
            <w:drawing>
              <wp:anchor distT="0" distB="0" distL="0" distR="0" allowOverlap="1" layoutInCell="1" locked="0" behindDoc="0" simplePos="0" relativeHeight="15781376">
                <wp:simplePos x="0" y="0"/>
                <wp:positionH relativeFrom="page">
                  <wp:posOffset>3195320</wp:posOffset>
                </wp:positionH>
                <wp:positionV relativeFrom="page">
                  <wp:posOffset>5314950</wp:posOffset>
                </wp:positionV>
                <wp:extent cx="303530" cy="8191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303530" cy="81915"/>
                          <a:chExt cx="303530" cy="81915"/>
                        </a:xfrm>
                      </wpg:grpSpPr>
                      <wps:wsp>
                        <wps:cNvPr id="171" name="Graphic 171"/>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72" name="Graphic 172"/>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418.5pt;width:23.9pt;height:6.45pt;mso-position-horizontal-relative:page;mso-position-vertical-relative:page;z-index:15781376" id="docshapegroup150" coordorigin="5032,8370" coordsize="478,129">
                <v:line style="position:absolute" from="5032,8435" to="5313,8435" stroked="true" strokeweight=".552992pt" strokecolor="#a30046">
                  <v:stroke dashstyle="solid"/>
                </v:line>
                <v:shape style="position:absolute;left:5269;top:8370;width:240;height:129" id="docshape151" coordorigin="5269,8370" coordsize="240,129" path="m5269,8370l5269,8499,5509,8434,5269,8370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0" simplePos="0" relativeHeight="15781888">
                <wp:simplePos x="0" y="0"/>
                <wp:positionH relativeFrom="page">
                  <wp:posOffset>3195320</wp:posOffset>
                </wp:positionH>
                <wp:positionV relativeFrom="page">
                  <wp:posOffset>5732145</wp:posOffset>
                </wp:positionV>
                <wp:extent cx="303530" cy="8191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303530" cy="81915"/>
                          <a:chExt cx="303530" cy="81915"/>
                        </a:xfrm>
                      </wpg:grpSpPr>
                      <wps:wsp>
                        <wps:cNvPr id="174" name="Graphic 174"/>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75" name="Graphic 175"/>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451.350006pt;width:23.9pt;height:6.45pt;mso-position-horizontal-relative:page;mso-position-vertical-relative:page;z-index:15781888" id="docshapegroup152" coordorigin="5032,9027" coordsize="478,129">
                <v:line style="position:absolute" from="5032,9092" to="5313,9092" stroked="true" strokeweight=".552992pt" strokecolor="#a30046">
                  <v:stroke dashstyle="solid"/>
                </v:line>
                <v:shape style="position:absolute;left:5269;top:9027;width:240;height:129" id="docshape153" coordorigin="5269,9027" coordsize="240,129" path="m5269,9027l5269,9156,5509,9091,5269,9027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0" simplePos="0" relativeHeight="15782400">
                <wp:simplePos x="0" y="0"/>
                <wp:positionH relativeFrom="page">
                  <wp:posOffset>3195320</wp:posOffset>
                </wp:positionH>
                <wp:positionV relativeFrom="page">
                  <wp:posOffset>6149975</wp:posOffset>
                </wp:positionV>
                <wp:extent cx="303530" cy="8191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303530" cy="81915"/>
                          <a:chExt cx="303530" cy="81915"/>
                        </a:xfrm>
                      </wpg:grpSpPr>
                      <wps:wsp>
                        <wps:cNvPr id="177" name="Graphic 177"/>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178" name="Graphic 178"/>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484.25pt;width:23.9pt;height:6.45pt;mso-position-horizontal-relative:page;mso-position-vertical-relative:page;z-index:15782400" id="docshapegroup154" coordorigin="5032,9685" coordsize="478,129">
                <v:line style="position:absolute" from="5032,9750" to="5313,9750" stroked="true" strokeweight=".552992pt" strokecolor="#a30046">
                  <v:stroke dashstyle="solid"/>
                </v:line>
                <v:shape style="position:absolute;left:5269;top:9685;width:240;height:129" id="docshape155" coordorigin="5269,9685" coordsize="240,129" path="m5269,9685l5269,9814,5509,9749,5269,9685xe" filled="true" fillcolor="#a30046" stroked="false">
                  <v:path arrowok="t"/>
                  <v:fill type="solid"/>
                </v:shape>
                <w10:wrap type="none"/>
              </v:group>
            </w:pict>
          </mc:Fallback>
        </mc:AlternateContent>
      </w:r>
      <w:r>
        <w:rPr>
          <w:position w:val="268"/>
          <w:sz w:val="20"/>
        </w:rPr>
        <mc:AlternateContent>
          <mc:Choice Requires="wps">
            <w:drawing>
              <wp:anchor distT="0" distB="0" distL="0" distR="0" allowOverlap="1" layoutInCell="1" locked="0" behindDoc="0" simplePos="0" relativeHeight="15784448">
                <wp:simplePos x="0" y="0"/>
                <wp:positionH relativeFrom="page">
                  <wp:posOffset>3552190</wp:posOffset>
                </wp:positionH>
                <wp:positionV relativeFrom="page">
                  <wp:posOffset>1303655</wp:posOffset>
                </wp:positionV>
                <wp:extent cx="2202815" cy="42481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202815" cy="424815"/>
                          <a:chExt cx="2202815" cy="424815"/>
                        </a:xfrm>
                      </wpg:grpSpPr>
                      <wps:wsp>
                        <wps:cNvPr id="180" name="Graphic 180"/>
                        <wps:cNvSpPr/>
                        <wps:spPr>
                          <a:xfrm>
                            <a:off x="125971" y="225996"/>
                            <a:ext cx="2022475" cy="1270"/>
                          </a:xfrm>
                          <a:custGeom>
                            <a:avLst/>
                            <a:gdLst/>
                            <a:ahLst/>
                            <a:cxnLst/>
                            <a:rect l="l" t="t" r="r" b="b"/>
                            <a:pathLst>
                              <a:path w="2022475" h="0">
                                <a:moveTo>
                                  <a:pt x="0" y="0"/>
                                </a:moveTo>
                                <a:lnTo>
                                  <a:pt x="2022401" y="0"/>
                                </a:lnTo>
                              </a:path>
                            </a:pathLst>
                          </a:custGeom>
                          <a:ln w="6350">
                            <a:solidFill>
                              <a:srgbClr val="231F1F"/>
                            </a:solidFill>
                            <a:prstDash val="solid"/>
                          </a:ln>
                        </wps:spPr>
                        <wps:bodyPr wrap="square" lIns="0" tIns="0" rIns="0" bIns="0" rtlCol="0">
                          <a:prstTxWarp prst="textNoShape">
                            <a:avLst/>
                          </a:prstTxWarp>
                          <a:noAutofit/>
                        </wps:bodyPr>
                      </wps:wsp>
                      <wps:wsp>
                        <wps:cNvPr id="181" name="Textbox 181"/>
                        <wps:cNvSpPr txBox="1"/>
                        <wps:spPr>
                          <a:xfrm>
                            <a:off x="3175" y="3175"/>
                            <a:ext cx="2196465" cy="418465"/>
                          </a:xfrm>
                          <a:prstGeom prst="rect">
                            <a:avLst/>
                          </a:prstGeom>
                          <a:ln w="6350">
                            <a:solidFill>
                              <a:srgbClr val="231F1F"/>
                            </a:solidFill>
                            <a:prstDash val="solid"/>
                          </a:ln>
                        </wps:spPr>
                        <wps:txbx>
                          <w:txbxContent>
                            <w:p>
                              <w:pPr>
                                <w:spacing w:line="285" w:lineRule="auto" w:before="148"/>
                                <w:ind w:left="866" w:right="491" w:hanging="356"/>
                                <w:jc w:val="left"/>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 vaginales instrumentales</w:t>
                              </w:r>
                              <w:r>
                                <w:rPr>
                                  <w:rFonts w:ascii="Arial MT" w:hAnsi="Arial MT"/>
                                  <w:color w:val="231F1F"/>
                                  <w:spacing w:val="40"/>
                                  <w:sz w:val="14"/>
                                </w:rPr>
                                <w:t> </w:t>
                              </w:r>
                              <w:r>
                                <w:rPr>
                                  <w:rFonts w:ascii="Arial MT" w:hAnsi="Arial MT"/>
                                  <w:color w:val="231F1F"/>
                                  <w:sz w:val="14"/>
                                </w:rPr>
                                <w:t>N.º total de partos (scpvsc)</w:t>
                              </w:r>
                            </w:p>
                          </w:txbxContent>
                        </wps:txbx>
                        <wps:bodyPr wrap="square" lIns="0" tIns="0" rIns="0" bIns="0" rtlCol="0">
                          <a:noAutofit/>
                        </wps:bodyPr>
                      </wps:wsp>
                    </wpg:wgp>
                  </a:graphicData>
                </a:graphic>
              </wp:anchor>
            </w:drawing>
          </mc:Choice>
          <mc:Fallback>
            <w:pict>
              <v:group style="position:absolute;margin-left:279.700012pt;margin-top:102.650002pt;width:173.45pt;height:33.450pt;mso-position-horizontal-relative:page;mso-position-vertical-relative:page;z-index:15784448" id="docshapegroup156" coordorigin="5594,2053" coordsize="3469,669">
                <v:line style="position:absolute" from="5792,2409" to="8977,2409" stroked="true" strokeweight=".5pt" strokecolor="#231f1f">
                  <v:stroke dashstyle="solid"/>
                </v:line>
                <v:shape style="position:absolute;left:5599;top:2058;width:3459;height:659" type="#_x0000_t202" id="docshape157" filled="false" stroked="true" strokeweight=".5pt" strokecolor="#231f1f">
                  <v:textbox inset="0,0,0,0">
                    <w:txbxContent>
                      <w:p>
                        <w:pPr>
                          <w:spacing w:line="285" w:lineRule="auto" w:before="148"/>
                          <w:ind w:left="866" w:right="491" w:hanging="356"/>
                          <w:jc w:val="left"/>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 vaginales instrumentales</w:t>
                        </w:r>
                        <w:r>
                          <w:rPr>
                            <w:rFonts w:ascii="Arial MT" w:hAnsi="Arial MT"/>
                            <w:color w:val="231F1F"/>
                            <w:spacing w:val="40"/>
                            <w:sz w:val="14"/>
                          </w:rPr>
                          <w:t> </w:t>
                        </w:r>
                        <w:r>
                          <w:rPr>
                            <w:rFonts w:ascii="Arial MT" w:hAnsi="Arial MT"/>
                            <w:color w:val="231F1F"/>
                            <w:sz w:val="14"/>
                          </w:rPr>
                          <w:t>N.º total de partos (scpvsc)</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4960">
                <wp:simplePos x="0" y="0"/>
                <wp:positionH relativeFrom="page">
                  <wp:posOffset>3552190</wp:posOffset>
                </wp:positionH>
                <wp:positionV relativeFrom="page">
                  <wp:posOffset>1793875</wp:posOffset>
                </wp:positionV>
                <wp:extent cx="2202815" cy="54610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2202815" cy="546100"/>
                          <a:chExt cx="2202815" cy="546100"/>
                        </a:xfrm>
                      </wpg:grpSpPr>
                      <wps:wsp>
                        <wps:cNvPr id="183" name="Graphic 183"/>
                        <wps:cNvSpPr/>
                        <wps:spPr>
                          <a:xfrm>
                            <a:off x="79590" y="290512"/>
                            <a:ext cx="2043430" cy="1270"/>
                          </a:xfrm>
                          <a:custGeom>
                            <a:avLst/>
                            <a:gdLst/>
                            <a:ahLst/>
                            <a:cxnLst/>
                            <a:rect l="l" t="t" r="r" b="b"/>
                            <a:pathLst>
                              <a:path w="2043430" h="0">
                                <a:moveTo>
                                  <a:pt x="0" y="0"/>
                                </a:moveTo>
                                <a:lnTo>
                                  <a:pt x="2043151" y="0"/>
                                </a:lnTo>
                              </a:path>
                            </a:pathLst>
                          </a:custGeom>
                          <a:ln w="6350">
                            <a:solidFill>
                              <a:srgbClr val="231F1F"/>
                            </a:solidFill>
                            <a:prstDash val="solid"/>
                          </a:ln>
                        </wps:spPr>
                        <wps:bodyPr wrap="square" lIns="0" tIns="0" rIns="0" bIns="0" rtlCol="0">
                          <a:prstTxWarp prst="textNoShape">
                            <a:avLst/>
                          </a:prstTxWarp>
                          <a:noAutofit/>
                        </wps:bodyPr>
                      </wps:wsp>
                      <wps:wsp>
                        <wps:cNvPr id="184" name="Textbox 184"/>
                        <wps:cNvSpPr txBox="1"/>
                        <wps:spPr>
                          <a:xfrm>
                            <a:off x="3175" y="3175"/>
                            <a:ext cx="2196465" cy="539750"/>
                          </a:xfrm>
                          <a:prstGeom prst="rect">
                            <a:avLst/>
                          </a:prstGeom>
                          <a:ln w="6350">
                            <a:solidFill>
                              <a:srgbClr val="231F1F"/>
                            </a:solidFill>
                            <a:prstDash val="solid"/>
                          </a:ln>
                        </wps:spPr>
                        <wps:txbx>
                          <w:txbxContent>
                            <w:p>
                              <w:pPr>
                                <w:spacing w:line="278" w:lineRule="auto" w:before="57"/>
                                <w:ind w:left="93" w:right="105" w:firstLine="0"/>
                                <w:jc w:val="center"/>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w:t>
                              </w:r>
                              <w:r>
                                <w:rPr>
                                  <w:rFonts w:ascii="Arial MT" w:hAnsi="Arial MT"/>
                                  <w:color w:val="231F1F"/>
                                  <w:spacing w:val="-3"/>
                                  <w:sz w:val="14"/>
                                </w:rPr>
                                <w:t> </w:t>
                              </w:r>
                              <w:r>
                                <w:rPr>
                                  <w:rFonts w:ascii="Arial MT" w:hAnsi="Arial MT"/>
                                  <w:color w:val="231F1F"/>
                                  <w:spacing w:val="-2"/>
                                  <w:sz w:val="14"/>
                                </w:rPr>
                                <w:t>instrumentales</w:t>
                              </w:r>
                              <w:r>
                                <w:rPr>
                                  <w:rFonts w:ascii="Arial MT" w:hAnsi="Arial MT"/>
                                  <w:color w:val="231F1F"/>
                                  <w:spacing w:val="-3"/>
                                  <w:sz w:val="14"/>
                                </w:rPr>
                                <w:t> </w:t>
                              </w:r>
                              <w:r>
                                <w:rPr>
                                  <w:rFonts w:ascii="Arial MT" w:hAnsi="Arial MT"/>
                                  <w:color w:val="231F1F"/>
                                  <w:spacing w:val="-2"/>
                                  <w:sz w:val="14"/>
                                </w:rPr>
                                <w:t>atendidos</w:t>
                              </w:r>
                              <w:r>
                                <w:rPr>
                                  <w:rFonts w:ascii="Arial MT" w:hAnsi="Arial MT"/>
                                  <w:color w:val="231F1F"/>
                                  <w:spacing w:val="40"/>
                                  <w:sz w:val="14"/>
                                </w:rPr>
                                <w:t> </w:t>
                              </w:r>
                              <w:r>
                                <w:rPr>
                                  <w:rFonts w:ascii="Arial MT" w:hAnsi="Arial MT"/>
                                  <w:color w:val="231F1F"/>
                                  <w:sz w:val="14"/>
                                </w:rPr>
                                <w:t>exclusivamente por matronas</w:t>
                              </w:r>
                            </w:p>
                            <w:p>
                              <w:pPr>
                                <w:spacing w:line="278" w:lineRule="auto" w:before="6"/>
                                <w:ind w:left="93" w:right="107" w:firstLine="0"/>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total</w:t>
                              </w:r>
                              <w:r>
                                <w:rPr>
                                  <w:rFonts w:ascii="Arial MT" w:hAnsi="Arial MT"/>
                                  <w:color w:val="231F1F"/>
                                  <w:spacing w:val="-10"/>
                                  <w:sz w:val="14"/>
                                </w:rPr>
                                <w:t> </w:t>
                              </w:r>
                              <w:r>
                                <w:rPr>
                                  <w:rFonts w:ascii="Arial MT" w:hAnsi="Arial MT"/>
                                  <w:color w:val="231F1F"/>
                                  <w:sz w:val="14"/>
                                </w:rPr>
                                <w:t>de</w:t>
                              </w:r>
                              <w:r>
                                <w:rPr>
                                  <w:rFonts w:ascii="Arial MT" w:hAnsi="Arial MT"/>
                                  <w:color w:val="231F1F"/>
                                  <w:spacing w:val="-11"/>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pvsc</w:t>
                              </w:r>
                              <w:r>
                                <w:rPr>
                                  <w:rFonts w:ascii="Arial MT" w:hAnsi="Arial MT"/>
                                  <w:color w:val="231F1F"/>
                                  <w:spacing w:val="-9"/>
                                  <w:sz w:val="14"/>
                                </w:rPr>
                                <w:t> </w:t>
                              </w:r>
                              <w:r>
                                <w:rPr>
                                  <w:rFonts w:ascii="Arial MT" w:hAnsi="Arial MT"/>
                                  <w:color w:val="231F1F"/>
                                  <w:sz w:val="14"/>
                                </w:rPr>
                                <w:t>atendidos</w:t>
                              </w:r>
                              <w:r>
                                <w:rPr>
                                  <w:rFonts w:ascii="Arial MT" w:hAnsi="Arial MT"/>
                                  <w:color w:val="231F1F"/>
                                  <w:spacing w:val="-10"/>
                                  <w:sz w:val="14"/>
                                </w:rPr>
                                <w:t> </w:t>
                              </w:r>
                              <w:r>
                                <w:rPr>
                                  <w:rFonts w:ascii="Arial MT" w:hAnsi="Arial MT"/>
                                  <w:color w:val="231F1F"/>
                                  <w:sz w:val="14"/>
                                </w:rPr>
                                <w:t>exclusivamente</w:t>
                              </w:r>
                              <w:r>
                                <w:rPr>
                                  <w:rFonts w:ascii="Arial MT" w:hAnsi="Arial MT"/>
                                  <w:color w:val="231F1F"/>
                                  <w:spacing w:val="40"/>
                                  <w:sz w:val="14"/>
                                </w:rPr>
                                <w:t> </w:t>
                              </w:r>
                              <w:r>
                                <w:rPr>
                                  <w:rFonts w:ascii="Arial MT" w:hAnsi="Arial MT"/>
                                  <w:color w:val="231F1F"/>
                                  <w:sz w:val="14"/>
                                </w:rPr>
                                <w:t>por matronas</w:t>
                              </w:r>
                            </w:p>
                          </w:txbxContent>
                        </wps:txbx>
                        <wps:bodyPr wrap="square" lIns="0" tIns="0" rIns="0" bIns="0" rtlCol="0">
                          <a:noAutofit/>
                        </wps:bodyPr>
                      </wps:wsp>
                    </wpg:wgp>
                  </a:graphicData>
                </a:graphic>
              </wp:anchor>
            </w:drawing>
          </mc:Choice>
          <mc:Fallback>
            <w:pict>
              <v:group style="position:absolute;margin-left:279.700012pt;margin-top:141.25pt;width:173.45pt;height:43pt;mso-position-horizontal-relative:page;mso-position-vertical-relative:page;z-index:15784960" id="docshapegroup158" coordorigin="5594,2825" coordsize="3469,860">
                <v:line style="position:absolute" from="5719,3283" to="8937,3283" stroked="true" strokeweight=".5pt" strokecolor="#231f1f">
                  <v:stroke dashstyle="solid"/>
                </v:line>
                <v:shape style="position:absolute;left:5599;top:2830;width:3459;height:850" type="#_x0000_t202" id="docshape159" filled="false" stroked="true" strokeweight=".5pt" strokecolor="#231f1f">
                  <v:textbox inset="0,0,0,0">
                    <w:txbxContent>
                      <w:p>
                        <w:pPr>
                          <w:spacing w:line="278" w:lineRule="auto" w:before="57"/>
                          <w:ind w:left="93" w:right="105" w:firstLine="0"/>
                          <w:jc w:val="center"/>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w:t>
                        </w:r>
                        <w:r>
                          <w:rPr>
                            <w:rFonts w:ascii="Arial MT" w:hAnsi="Arial MT"/>
                            <w:color w:val="231F1F"/>
                            <w:spacing w:val="-3"/>
                            <w:sz w:val="14"/>
                          </w:rPr>
                          <w:t> </w:t>
                        </w:r>
                        <w:r>
                          <w:rPr>
                            <w:rFonts w:ascii="Arial MT" w:hAnsi="Arial MT"/>
                            <w:color w:val="231F1F"/>
                            <w:spacing w:val="-2"/>
                            <w:sz w:val="14"/>
                          </w:rPr>
                          <w:t>instrumentales</w:t>
                        </w:r>
                        <w:r>
                          <w:rPr>
                            <w:rFonts w:ascii="Arial MT" w:hAnsi="Arial MT"/>
                            <w:color w:val="231F1F"/>
                            <w:spacing w:val="-3"/>
                            <w:sz w:val="14"/>
                          </w:rPr>
                          <w:t> </w:t>
                        </w:r>
                        <w:r>
                          <w:rPr>
                            <w:rFonts w:ascii="Arial MT" w:hAnsi="Arial MT"/>
                            <w:color w:val="231F1F"/>
                            <w:spacing w:val="-2"/>
                            <w:sz w:val="14"/>
                          </w:rPr>
                          <w:t>atendidos</w:t>
                        </w:r>
                        <w:r>
                          <w:rPr>
                            <w:rFonts w:ascii="Arial MT" w:hAnsi="Arial MT"/>
                            <w:color w:val="231F1F"/>
                            <w:spacing w:val="40"/>
                            <w:sz w:val="14"/>
                          </w:rPr>
                          <w:t> </w:t>
                        </w:r>
                        <w:r>
                          <w:rPr>
                            <w:rFonts w:ascii="Arial MT" w:hAnsi="Arial MT"/>
                            <w:color w:val="231F1F"/>
                            <w:sz w:val="14"/>
                          </w:rPr>
                          <w:t>exclusivamente por matronas</w:t>
                        </w:r>
                      </w:p>
                      <w:p>
                        <w:pPr>
                          <w:spacing w:line="278" w:lineRule="auto" w:before="6"/>
                          <w:ind w:left="93" w:right="107" w:firstLine="0"/>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total</w:t>
                        </w:r>
                        <w:r>
                          <w:rPr>
                            <w:rFonts w:ascii="Arial MT" w:hAnsi="Arial MT"/>
                            <w:color w:val="231F1F"/>
                            <w:spacing w:val="-10"/>
                            <w:sz w:val="14"/>
                          </w:rPr>
                          <w:t> </w:t>
                        </w:r>
                        <w:r>
                          <w:rPr>
                            <w:rFonts w:ascii="Arial MT" w:hAnsi="Arial MT"/>
                            <w:color w:val="231F1F"/>
                            <w:sz w:val="14"/>
                          </w:rPr>
                          <w:t>de</w:t>
                        </w:r>
                        <w:r>
                          <w:rPr>
                            <w:rFonts w:ascii="Arial MT" w:hAnsi="Arial MT"/>
                            <w:color w:val="231F1F"/>
                            <w:spacing w:val="-11"/>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pvsc</w:t>
                        </w:r>
                        <w:r>
                          <w:rPr>
                            <w:rFonts w:ascii="Arial MT" w:hAnsi="Arial MT"/>
                            <w:color w:val="231F1F"/>
                            <w:spacing w:val="-9"/>
                            <w:sz w:val="14"/>
                          </w:rPr>
                          <w:t> </w:t>
                        </w:r>
                        <w:r>
                          <w:rPr>
                            <w:rFonts w:ascii="Arial MT" w:hAnsi="Arial MT"/>
                            <w:color w:val="231F1F"/>
                            <w:sz w:val="14"/>
                          </w:rPr>
                          <w:t>atendidos</w:t>
                        </w:r>
                        <w:r>
                          <w:rPr>
                            <w:rFonts w:ascii="Arial MT" w:hAnsi="Arial MT"/>
                            <w:color w:val="231F1F"/>
                            <w:spacing w:val="-10"/>
                            <w:sz w:val="14"/>
                          </w:rPr>
                          <w:t> </w:t>
                        </w:r>
                        <w:r>
                          <w:rPr>
                            <w:rFonts w:ascii="Arial MT" w:hAnsi="Arial MT"/>
                            <w:color w:val="231F1F"/>
                            <w:sz w:val="14"/>
                          </w:rPr>
                          <w:t>exclusivamente</w:t>
                        </w:r>
                        <w:r>
                          <w:rPr>
                            <w:rFonts w:ascii="Arial MT" w:hAnsi="Arial MT"/>
                            <w:color w:val="231F1F"/>
                            <w:spacing w:val="40"/>
                            <w:sz w:val="14"/>
                          </w:rPr>
                          <w:t> </w:t>
                        </w:r>
                        <w:r>
                          <w:rPr>
                            <w:rFonts w:ascii="Arial MT" w:hAnsi="Arial MT"/>
                            <w:color w:val="231F1F"/>
                            <w:sz w:val="14"/>
                          </w:rPr>
                          <w:t>por matronas</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5472">
                <wp:simplePos x="0" y="0"/>
                <wp:positionH relativeFrom="page">
                  <wp:posOffset>3552190</wp:posOffset>
                </wp:positionH>
                <wp:positionV relativeFrom="page">
                  <wp:posOffset>2405379</wp:posOffset>
                </wp:positionV>
                <wp:extent cx="2202815" cy="5461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2202815" cy="546100"/>
                          <a:chExt cx="2202815" cy="546100"/>
                        </a:xfrm>
                      </wpg:grpSpPr>
                      <wps:wsp>
                        <wps:cNvPr id="186" name="Graphic 186"/>
                        <wps:cNvSpPr/>
                        <wps:spPr>
                          <a:xfrm>
                            <a:off x="87769" y="290512"/>
                            <a:ext cx="2026920" cy="1270"/>
                          </a:xfrm>
                          <a:custGeom>
                            <a:avLst/>
                            <a:gdLst/>
                            <a:ahLst/>
                            <a:cxnLst/>
                            <a:rect l="l" t="t" r="r" b="b"/>
                            <a:pathLst>
                              <a:path w="2026920" h="0">
                                <a:moveTo>
                                  <a:pt x="0" y="0"/>
                                </a:moveTo>
                                <a:lnTo>
                                  <a:pt x="2026801" y="0"/>
                                </a:lnTo>
                              </a:path>
                            </a:pathLst>
                          </a:custGeom>
                          <a:ln w="6350">
                            <a:solidFill>
                              <a:srgbClr val="231F1F"/>
                            </a:solidFill>
                            <a:prstDash val="solid"/>
                          </a:ln>
                        </wps:spPr>
                        <wps:bodyPr wrap="square" lIns="0" tIns="0" rIns="0" bIns="0" rtlCol="0">
                          <a:prstTxWarp prst="textNoShape">
                            <a:avLst/>
                          </a:prstTxWarp>
                          <a:noAutofit/>
                        </wps:bodyPr>
                      </wps:wsp>
                      <wps:wsp>
                        <wps:cNvPr id="187" name="Textbox 187"/>
                        <wps:cNvSpPr txBox="1"/>
                        <wps:spPr>
                          <a:xfrm>
                            <a:off x="3175" y="3175"/>
                            <a:ext cx="2196465" cy="539750"/>
                          </a:xfrm>
                          <a:prstGeom prst="rect">
                            <a:avLst/>
                          </a:prstGeom>
                          <a:ln w="6350">
                            <a:solidFill>
                              <a:srgbClr val="231F1F"/>
                            </a:solidFill>
                            <a:prstDash val="solid"/>
                          </a:ln>
                        </wps:spPr>
                        <wps:txbx>
                          <w:txbxContent>
                            <w:p>
                              <w:pPr>
                                <w:spacing w:line="292" w:lineRule="auto" w:before="50"/>
                                <w:ind w:left="415" w:right="432" w:firstLine="0"/>
                                <w:jc w:val="center"/>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 instrumentales atendidos por</w:t>
                              </w:r>
                              <w:r>
                                <w:rPr>
                                  <w:rFonts w:ascii="Arial MT" w:hAnsi="Arial MT"/>
                                  <w:color w:val="231F1F"/>
                                  <w:spacing w:val="40"/>
                                  <w:sz w:val="14"/>
                                </w:rPr>
                                <w:t> </w:t>
                              </w:r>
                              <w:r>
                                <w:rPr>
                                  <w:rFonts w:ascii="Arial MT" w:hAnsi="Arial MT"/>
                                  <w:color w:val="231F1F"/>
                                  <w:sz w:val="14"/>
                                </w:rPr>
                                <w:t>matronas y obstetras</w:t>
                              </w:r>
                            </w:p>
                            <w:p>
                              <w:pPr>
                                <w:spacing w:line="278" w:lineRule="auto" w:before="0"/>
                                <w:ind w:left="93" w:right="106" w:firstLine="0"/>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total</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9"/>
                                  <w:sz w:val="14"/>
                                </w:rPr>
                                <w:t> </w:t>
                              </w:r>
                              <w:r>
                                <w:rPr>
                                  <w:rFonts w:ascii="Arial MT" w:hAnsi="Arial MT"/>
                                  <w:color w:val="231F1F"/>
                                  <w:sz w:val="14"/>
                                </w:rPr>
                                <w:t>pvsc</w:t>
                              </w:r>
                              <w:r>
                                <w:rPr>
                                  <w:rFonts w:ascii="Arial MT" w:hAnsi="Arial MT"/>
                                  <w:color w:val="231F1F"/>
                                  <w:spacing w:val="-10"/>
                                  <w:sz w:val="14"/>
                                </w:rPr>
                                <w:t> </w:t>
                              </w:r>
                              <w:r>
                                <w:rPr>
                                  <w:rFonts w:ascii="Arial MT" w:hAnsi="Arial MT"/>
                                  <w:color w:val="231F1F"/>
                                  <w:sz w:val="14"/>
                                </w:rPr>
                                <w:t>atendidos</w:t>
                              </w:r>
                              <w:r>
                                <w:rPr>
                                  <w:rFonts w:ascii="Arial MT" w:hAnsi="Arial MT"/>
                                  <w:color w:val="231F1F"/>
                                  <w:spacing w:val="-10"/>
                                  <w:sz w:val="14"/>
                                </w:rPr>
                                <w:t> </w:t>
                              </w:r>
                              <w:r>
                                <w:rPr>
                                  <w:rFonts w:ascii="Arial MT" w:hAnsi="Arial MT"/>
                                  <w:color w:val="231F1F"/>
                                  <w:sz w:val="14"/>
                                </w:rPr>
                                <w:t>por</w:t>
                              </w:r>
                              <w:r>
                                <w:rPr>
                                  <w:rFonts w:ascii="Arial MT" w:hAnsi="Arial MT"/>
                                  <w:color w:val="231F1F"/>
                                  <w:spacing w:val="-10"/>
                                  <w:sz w:val="14"/>
                                </w:rPr>
                                <w:t> </w:t>
                              </w:r>
                              <w:r>
                                <w:rPr>
                                  <w:rFonts w:ascii="Arial MT" w:hAnsi="Arial MT"/>
                                  <w:color w:val="231F1F"/>
                                  <w:sz w:val="14"/>
                                </w:rPr>
                                <w:t>matronas</w:t>
                              </w:r>
                              <w:r>
                                <w:rPr>
                                  <w:rFonts w:ascii="Arial MT" w:hAnsi="Arial MT"/>
                                  <w:color w:val="231F1F"/>
                                  <w:spacing w:val="-9"/>
                                  <w:sz w:val="14"/>
                                </w:rPr>
                                <w:t> </w:t>
                              </w:r>
                              <w:r>
                                <w:rPr>
                                  <w:rFonts w:ascii="Arial MT" w:hAnsi="Arial MT"/>
                                  <w:color w:val="231F1F"/>
                                  <w:sz w:val="14"/>
                                </w:rPr>
                                <w:t>y</w:t>
                              </w:r>
                              <w:r>
                                <w:rPr>
                                  <w:rFonts w:ascii="Arial MT" w:hAnsi="Arial MT"/>
                                  <w:color w:val="231F1F"/>
                                  <w:spacing w:val="40"/>
                                  <w:sz w:val="14"/>
                                </w:rPr>
                                <w:t> </w:t>
                              </w:r>
                              <w:r>
                                <w:rPr>
                                  <w:rFonts w:ascii="Arial MT" w:hAnsi="Arial MT"/>
                                  <w:color w:val="231F1F"/>
                                  <w:spacing w:val="-2"/>
                                  <w:sz w:val="14"/>
                                </w:rPr>
                                <w:t>obstetras</w:t>
                              </w:r>
                            </w:p>
                          </w:txbxContent>
                        </wps:txbx>
                        <wps:bodyPr wrap="square" lIns="0" tIns="0" rIns="0" bIns="0" rtlCol="0">
                          <a:noAutofit/>
                        </wps:bodyPr>
                      </wps:wsp>
                    </wpg:wgp>
                  </a:graphicData>
                </a:graphic>
              </wp:anchor>
            </w:drawing>
          </mc:Choice>
          <mc:Fallback>
            <w:pict>
              <v:group style="position:absolute;margin-left:279.700012pt;margin-top:189.399994pt;width:173.45pt;height:43pt;mso-position-horizontal-relative:page;mso-position-vertical-relative:page;z-index:15785472" id="docshapegroup160" coordorigin="5594,3788" coordsize="3469,860">
                <v:line style="position:absolute" from="5732,4245" to="8924,4245" stroked="true" strokeweight=".5pt" strokecolor="#231f1f">
                  <v:stroke dashstyle="solid"/>
                </v:line>
                <v:shape style="position:absolute;left:5599;top:3793;width:3459;height:850" type="#_x0000_t202" id="docshape161" filled="false" stroked="true" strokeweight=".5pt" strokecolor="#231f1f">
                  <v:textbox inset="0,0,0,0">
                    <w:txbxContent>
                      <w:p>
                        <w:pPr>
                          <w:spacing w:line="292" w:lineRule="auto" w:before="50"/>
                          <w:ind w:left="415" w:right="432" w:firstLine="0"/>
                          <w:jc w:val="center"/>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6"/>
                            <w:sz w:val="14"/>
                          </w:rPr>
                          <w:t> </w:t>
                        </w:r>
                        <w:r>
                          <w:rPr>
                            <w:rFonts w:ascii="Arial MT" w:hAnsi="Arial MT"/>
                            <w:color w:val="231F1F"/>
                            <w:spacing w:val="-2"/>
                            <w:sz w:val="14"/>
                          </w:rPr>
                          <w:t>partos instrumentales atendidos por</w:t>
                        </w:r>
                        <w:r>
                          <w:rPr>
                            <w:rFonts w:ascii="Arial MT" w:hAnsi="Arial MT"/>
                            <w:color w:val="231F1F"/>
                            <w:spacing w:val="40"/>
                            <w:sz w:val="14"/>
                          </w:rPr>
                          <w:t> </w:t>
                        </w:r>
                        <w:r>
                          <w:rPr>
                            <w:rFonts w:ascii="Arial MT" w:hAnsi="Arial MT"/>
                            <w:color w:val="231F1F"/>
                            <w:sz w:val="14"/>
                          </w:rPr>
                          <w:t>matronas y obstetras</w:t>
                        </w:r>
                      </w:p>
                      <w:p>
                        <w:pPr>
                          <w:spacing w:line="278" w:lineRule="auto" w:before="0"/>
                          <w:ind w:left="93" w:right="106" w:firstLine="0"/>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total</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9"/>
                            <w:sz w:val="14"/>
                          </w:rPr>
                          <w:t> </w:t>
                        </w:r>
                        <w:r>
                          <w:rPr>
                            <w:rFonts w:ascii="Arial MT" w:hAnsi="Arial MT"/>
                            <w:color w:val="231F1F"/>
                            <w:sz w:val="14"/>
                          </w:rPr>
                          <w:t>pvsc</w:t>
                        </w:r>
                        <w:r>
                          <w:rPr>
                            <w:rFonts w:ascii="Arial MT" w:hAnsi="Arial MT"/>
                            <w:color w:val="231F1F"/>
                            <w:spacing w:val="-10"/>
                            <w:sz w:val="14"/>
                          </w:rPr>
                          <w:t> </w:t>
                        </w:r>
                        <w:r>
                          <w:rPr>
                            <w:rFonts w:ascii="Arial MT" w:hAnsi="Arial MT"/>
                            <w:color w:val="231F1F"/>
                            <w:sz w:val="14"/>
                          </w:rPr>
                          <w:t>atendidos</w:t>
                        </w:r>
                        <w:r>
                          <w:rPr>
                            <w:rFonts w:ascii="Arial MT" w:hAnsi="Arial MT"/>
                            <w:color w:val="231F1F"/>
                            <w:spacing w:val="-10"/>
                            <w:sz w:val="14"/>
                          </w:rPr>
                          <w:t> </w:t>
                        </w:r>
                        <w:r>
                          <w:rPr>
                            <w:rFonts w:ascii="Arial MT" w:hAnsi="Arial MT"/>
                            <w:color w:val="231F1F"/>
                            <w:sz w:val="14"/>
                          </w:rPr>
                          <w:t>por</w:t>
                        </w:r>
                        <w:r>
                          <w:rPr>
                            <w:rFonts w:ascii="Arial MT" w:hAnsi="Arial MT"/>
                            <w:color w:val="231F1F"/>
                            <w:spacing w:val="-10"/>
                            <w:sz w:val="14"/>
                          </w:rPr>
                          <w:t> </w:t>
                        </w:r>
                        <w:r>
                          <w:rPr>
                            <w:rFonts w:ascii="Arial MT" w:hAnsi="Arial MT"/>
                            <w:color w:val="231F1F"/>
                            <w:sz w:val="14"/>
                          </w:rPr>
                          <w:t>matronas</w:t>
                        </w:r>
                        <w:r>
                          <w:rPr>
                            <w:rFonts w:ascii="Arial MT" w:hAnsi="Arial MT"/>
                            <w:color w:val="231F1F"/>
                            <w:spacing w:val="-9"/>
                            <w:sz w:val="14"/>
                          </w:rPr>
                          <w:t> </w:t>
                        </w:r>
                        <w:r>
                          <w:rPr>
                            <w:rFonts w:ascii="Arial MT" w:hAnsi="Arial MT"/>
                            <w:color w:val="231F1F"/>
                            <w:sz w:val="14"/>
                          </w:rPr>
                          <w:t>y</w:t>
                        </w:r>
                        <w:r>
                          <w:rPr>
                            <w:rFonts w:ascii="Arial MT" w:hAnsi="Arial MT"/>
                            <w:color w:val="231F1F"/>
                            <w:spacing w:val="40"/>
                            <w:sz w:val="14"/>
                          </w:rPr>
                          <w:t> </w:t>
                        </w:r>
                        <w:r>
                          <w:rPr>
                            <w:rFonts w:ascii="Arial MT" w:hAnsi="Arial MT"/>
                            <w:color w:val="231F1F"/>
                            <w:spacing w:val="-2"/>
                            <w:sz w:val="14"/>
                          </w:rPr>
                          <w:t>obstetras</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5984">
                <wp:simplePos x="0" y="0"/>
                <wp:positionH relativeFrom="page">
                  <wp:posOffset>3552190</wp:posOffset>
                </wp:positionH>
                <wp:positionV relativeFrom="page">
                  <wp:posOffset>3017520</wp:posOffset>
                </wp:positionV>
                <wp:extent cx="2202815" cy="5461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2202815" cy="546100"/>
                          <a:chExt cx="2202815" cy="546100"/>
                        </a:xfrm>
                      </wpg:grpSpPr>
                      <wps:wsp>
                        <wps:cNvPr id="189" name="Graphic 189"/>
                        <wps:cNvSpPr/>
                        <wps:spPr>
                          <a:xfrm>
                            <a:off x="233972" y="351447"/>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wps:wsp>
                        <wps:cNvPr id="190" name="Textbox 190"/>
                        <wps:cNvSpPr txBox="1"/>
                        <wps:spPr>
                          <a:xfrm>
                            <a:off x="3175" y="3175"/>
                            <a:ext cx="2196465" cy="539750"/>
                          </a:xfrm>
                          <a:prstGeom prst="rect">
                            <a:avLst/>
                          </a:prstGeom>
                          <a:ln w="6350">
                            <a:solidFill>
                              <a:srgbClr val="231F1F"/>
                            </a:solidFill>
                            <a:prstDash val="solid"/>
                          </a:ln>
                        </wps:spPr>
                        <wps:txbx>
                          <w:txbxContent>
                            <w:p>
                              <w:pPr>
                                <w:spacing w:line="285" w:lineRule="auto" w:before="146"/>
                                <w:ind w:left="93" w:right="107"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amnioscopia en admisión</w:t>
                              </w:r>
                            </w:p>
                            <w:p>
                              <w:pPr>
                                <w:spacing w:before="1"/>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wps:txbx>
                        <wps:bodyPr wrap="square" lIns="0" tIns="0" rIns="0" bIns="0" rtlCol="0">
                          <a:noAutofit/>
                        </wps:bodyPr>
                      </wps:wsp>
                    </wpg:wgp>
                  </a:graphicData>
                </a:graphic>
              </wp:anchor>
            </w:drawing>
          </mc:Choice>
          <mc:Fallback>
            <w:pict>
              <v:group style="position:absolute;margin-left:279.700012pt;margin-top:237.600006pt;width:173.45pt;height:43pt;mso-position-horizontal-relative:page;mso-position-vertical-relative:page;z-index:15785984" id="docshapegroup162" coordorigin="5594,4752" coordsize="3469,860">
                <v:line style="position:absolute" from="5962,5305" to="8694,5305" stroked="true" strokeweight=".5pt" strokecolor="#231f1f">
                  <v:stroke dashstyle="solid"/>
                </v:line>
                <v:shape style="position:absolute;left:5599;top:4757;width:3459;height:850" type="#_x0000_t202" id="docshape163" filled="false" stroked="true" strokeweight=".5pt" strokecolor="#231f1f">
                  <v:textbox inset="0,0,0,0">
                    <w:txbxContent>
                      <w:p>
                        <w:pPr>
                          <w:spacing w:line="285" w:lineRule="auto" w:before="146"/>
                          <w:ind w:left="93" w:right="107"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amnioscopia en admisión</w:t>
                        </w:r>
                      </w:p>
                      <w:p>
                        <w:pPr>
                          <w:spacing w:before="1"/>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6496">
                <wp:simplePos x="0" y="0"/>
                <wp:positionH relativeFrom="page">
                  <wp:posOffset>3552190</wp:posOffset>
                </wp:positionH>
                <wp:positionV relativeFrom="page">
                  <wp:posOffset>3629025</wp:posOffset>
                </wp:positionV>
                <wp:extent cx="2202815" cy="42481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2202815" cy="424815"/>
                          <a:chExt cx="2202815" cy="424815"/>
                        </a:xfrm>
                      </wpg:grpSpPr>
                      <wps:wsp>
                        <wps:cNvPr id="192" name="Graphic 192"/>
                        <wps:cNvSpPr/>
                        <wps:spPr>
                          <a:xfrm>
                            <a:off x="233972" y="290525"/>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wps:wsp>
                        <wps:cNvPr id="193" name="Textbox 193"/>
                        <wps:cNvSpPr txBox="1"/>
                        <wps:spPr>
                          <a:xfrm>
                            <a:off x="3175" y="3175"/>
                            <a:ext cx="2196465" cy="418465"/>
                          </a:xfrm>
                          <a:prstGeom prst="rect">
                            <a:avLst/>
                          </a:prstGeom>
                          <a:ln w="6350">
                            <a:solidFill>
                              <a:srgbClr val="231F1F"/>
                            </a:solidFill>
                            <a:prstDash val="solid"/>
                          </a:ln>
                        </wps:spPr>
                        <wps:txbx>
                          <w:txbxContent>
                            <w:p>
                              <w:pPr>
                                <w:spacing w:line="278" w:lineRule="auto" w:before="57"/>
                                <w:ind w:left="415" w:right="429"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CTG en admisión</w:t>
                              </w:r>
                            </w:p>
                            <w:p>
                              <w:pPr>
                                <w:spacing w:before="6"/>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wps:txbx>
                        <wps:bodyPr wrap="square" lIns="0" tIns="0" rIns="0" bIns="0" rtlCol="0">
                          <a:noAutofit/>
                        </wps:bodyPr>
                      </wps:wsp>
                    </wpg:wgp>
                  </a:graphicData>
                </a:graphic>
              </wp:anchor>
            </w:drawing>
          </mc:Choice>
          <mc:Fallback>
            <w:pict>
              <v:group style="position:absolute;margin-left:279.700012pt;margin-top:285.75pt;width:173.45pt;height:33.450pt;mso-position-horizontal-relative:page;mso-position-vertical-relative:page;z-index:15786496" id="docshapegroup164" coordorigin="5594,5715" coordsize="3469,669">
                <v:line style="position:absolute" from="5962,6173" to="8694,6173" stroked="true" strokeweight=".5pt" strokecolor="#231f1f">
                  <v:stroke dashstyle="solid"/>
                </v:line>
                <v:shape style="position:absolute;left:5599;top:5720;width:3459;height:659" type="#_x0000_t202" id="docshape165" filled="false" stroked="true" strokeweight=".5pt" strokecolor="#231f1f">
                  <v:textbox inset="0,0,0,0">
                    <w:txbxContent>
                      <w:p>
                        <w:pPr>
                          <w:spacing w:line="278" w:lineRule="auto" w:before="57"/>
                          <w:ind w:left="415" w:right="429"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CTG en admisión</w:t>
                        </w:r>
                      </w:p>
                      <w:p>
                        <w:pPr>
                          <w:spacing w:before="6"/>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7008">
                <wp:simplePos x="0" y="0"/>
                <wp:positionH relativeFrom="page">
                  <wp:posOffset>3552190</wp:posOffset>
                </wp:positionH>
                <wp:positionV relativeFrom="page">
                  <wp:posOffset>4119245</wp:posOffset>
                </wp:positionV>
                <wp:extent cx="2202815" cy="42481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2202815" cy="424815"/>
                          <a:chExt cx="2202815" cy="424815"/>
                        </a:xfrm>
                      </wpg:grpSpPr>
                      <wps:wsp>
                        <wps:cNvPr id="195" name="Graphic 195"/>
                        <wps:cNvSpPr/>
                        <wps:spPr>
                          <a:xfrm>
                            <a:off x="233972" y="229603"/>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wps:wsp>
                        <wps:cNvPr id="196" name="Textbox 196"/>
                        <wps:cNvSpPr txBox="1"/>
                        <wps:spPr>
                          <a:xfrm>
                            <a:off x="3175" y="3175"/>
                            <a:ext cx="2196465" cy="418465"/>
                          </a:xfrm>
                          <a:prstGeom prst="rect">
                            <a:avLst/>
                          </a:prstGeom>
                          <a:ln w="6350">
                            <a:solidFill>
                              <a:srgbClr val="231F1F"/>
                            </a:solidFill>
                            <a:prstDash val="solid"/>
                          </a:ln>
                        </wps:spPr>
                        <wps:txbx>
                          <w:txbxContent>
                            <w:p>
                              <w:pPr>
                                <w:spacing w:line="271" w:lineRule="auto" w:before="154"/>
                                <w:ind w:left="943" w:right="680" w:hanging="346"/>
                                <w:jc w:val="left"/>
                                <w:rPr>
                                  <w:rFonts w:ascii="Arial MT" w:hAnsi="Arial MT"/>
                                  <w:sz w:val="14"/>
                                </w:rPr>
                              </w:pPr>
                              <w:r>
                                <w:rPr>
                                  <w:rFonts w:ascii="Arial MT" w:hAnsi="Arial MT"/>
                                  <w:color w:val="231F1F"/>
                                  <w:spacing w:val="-2"/>
                                  <w:sz w:val="14"/>
                                </w:rPr>
                                <w:t>N.º</w:t>
                              </w:r>
                              <w:r>
                                <w:rPr>
                                  <w:rFonts w:ascii="Arial MT" w:hAnsi="Arial MT"/>
                                  <w:color w:val="231F1F"/>
                                  <w:spacing w:val="-9"/>
                                  <w:sz w:val="14"/>
                                </w:rPr>
                                <w:t> </w:t>
                              </w:r>
                              <w:r>
                                <w:rPr>
                                  <w:rFonts w:ascii="Arial MT" w:hAnsi="Arial MT"/>
                                  <w:color w:val="231F1F"/>
                                  <w:spacing w:val="-2"/>
                                  <w:sz w:val="14"/>
                                </w:rPr>
                                <w:t>de</w:t>
                              </w:r>
                              <w:r>
                                <w:rPr>
                                  <w:rFonts w:ascii="Arial MT" w:hAnsi="Arial MT"/>
                                  <w:color w:val="231F1F"/>
                                  <w:spacing w:val="-11"/>
                                  <w:sz w:val="14"/>
                                </w:rPr>
                                <w:t> </w:t>
                              </w:r>
                              <w:r>
                                <w:rPr>
                                  <w:rFonts w:ascii="Arial MT" w:hAnsi="Arial MT"/>
                                  <w:color w:val="231F1F"/>
                                  <w:spacing w:val="-2"/>
                                  <w:sz w:val="14"/>
                                </w:rPr>
                                <w:t>enemas</w:t>
                              </w:r>
                              <w:r>
                                <w:rPr>
                                  <w:rFonts w:ascii="Arial MT" w:hAnsi="Arial MT"/>
                                  <w:color w:val="231F1F"/>
                                  <w:spacing w:val="-8"/>
                                  <w:sz w:val="14"/>
                                </w:rPr>
                                <w:t> </w:t>
                              </w:r>
                              <w:r>
                                <w:rPr>
                                  <w:rFonts w:ascii="Arial MT" w:hAnsi="Arial MT"/>
                                  <w:color w:val="231F1F"/>
                                  <w:spacing w:val="-2"/>
                                  <w:sz w:val="14"/>
                                </w:rPr>
                                <w:t>realizadas</w:t>
                              </w:r>
                              <w:r>
                                <w:rPr>
                                  <w:rFonts w:ascii="Arial MT" w:hAnsi="Arial MT"/>
                                  <w:color w:val="231F1F"/>
                                  <w:spacing w:val="-8"/>
                                  <w:sz w:val="14"/>
                                </w:rPr>
                                <w:t> </w:t>
                              </w:r>
                              <w:r>
                                <w:rPr>
                                  <w:rFonts w:ascii="Arial MT" w:hAnsi="Arial MT"/>
                                  <w:color w:val="231F1F"/>
                                  <w:spacing w:val="-2"/>
                                  <w:sz w:val="14"/>
                                </w:rPr>
                                <w:t>a</w:t>
                              </w:r>
                              <w:r>
                                <w:rPr>
                                  <w:rFonts w:ascii="Arial MT" w:hAnsi="Arial MT"/>
                                  <w:color w:val="231F1F"/>
                                  <w:spacing w:val="-8"/>
                                  <w:sz w:val="14"/>
                                </w:rPr>
                                <w:t> </w:t>
                              </w:r>
                              <w:r>
                                <w:rPr>
                                  <w:rFonts w:ascii="Arial MT" w:hAnsi="Arial MT"/>
                                  <w:color w:val="231F1F"/>
                                  <w:spacing w:val="-2"/>
                                  <w:sz w:val="14"/>
                                </w:rPr>
                                <w:t>mujeres</w:t>
                              </w:r>
                              <w:r>
                                <w:rPr>
                                  <w:rFonts w:ascii="Arial MT" w:hAnsi="Arial MT"/>
                                  <w:color w:val="231F1F"/>
                                  <w:spacing w:val="40"/>
                                  <w:sz w:val="14"/>
                                </w:rPr>
                                <w:t> </w:t>
                              </w:r>
                              <w:r>
                                <w:rPr>
                                  <w:rFonts w:ascii="Arial MT" w:hAnsi="Arial MT"/>
                                  <w:color w:val="231F1F"/>
                                  <w:sz w:val="14"/>
                                </w:rPr>
                                <w:t>n.º total de mujeres pvsc</w:t>
                              </w:r>
                            </w:p>
                          </w:txbxContent>
                        </wps:txbx>
                        <wps:bodyPr wrap="square" lIns="0" tIns="0" rIns="0" bIns="0" rtlCol="0">
                          <a:noAutofit/>
                        </wps:bodyPr>
                      </wps:wsp>
                    </wpg:wgp>
                  </a:graphicData>
                </a:graphic>
              </wp:anchor>
            </w:drawing>
          </mc:Choice>
          <mc:Fallback>
            <w:pict>
              <v:group style="position:absolute;margin-left:279.700012pt;margin-top:324.350006pt;width:173.45pt;height:33.450pt;mso-position-horizontal-relative:page;mso-position-vertical-relative:page;z-index:15787008" id="docshapegroup166" coordorigin="5594,6487" coordsize="3469,669">
                <v:line style="position:absolute" from="5962,6849" to="8694,6849" stroked="true" strokeweight=".5pt" strokecolor="#231f1f">
                  <v:stroke dashstyle="solid"/>
                </v:line>
                <v:shape style="position:absolute;left:5599;top:6492;width:3459;height:659" type="#_x0000_t202" id="docshape167" filled="false" stroked="true" strokeweight=".5pt" strokecolor="#231f1f">
                  <v:textbox inset="0,0,0,0">
                    <w:txbxContent>
                      <w:p>
                        <w:pPr>
                          <w:spacing w:line="271" w:lineRule="auto" w:before="154"/>
                          <w:ind w:left="943" w:right="680" w:hanging="346"/>
                          <w:jc w:val="left"/>
                          <w:rPr>
                            <w:rFonts w:ascii="Arial MT" w:hAnsi="Arial MT"/>
                            <w:sz w:val="14"/>
                          </w:rPr>
                        </w:pPr>
                        <w:r>
                          <w:rPr>
                            <w:rFonts w:ascii="Arial MT" w:hAnsi="Arial MT"/>
                            <w:color w:val="231F1F"/>
                            <w:spacing w:val="-2"/>
                            <w:sz w:val="14"/>
                          </w:rPr>
                          <w:t>N.º</w:t>
                        </w:r>
                        <w:r>
                          <w:rPr>
                            <w:rFonts w:ascii="Arial MT" w:hAnsi="Arial MT"/>
                            <w:color w:val="231F1F"/>
                            <w:spacing w:val="-9"/>
                            <w:sz w:val="14"/>
                          </w:rPr>
                          <w:t> </w:t>
                        </w:r>
                        <w:r>
                          <w:rPr>
                            <w:rFonts w:ascii="Arial MT" w:hAnsi="Arial MT"/>
                            <w:color w:val="231F1F"/>
                            <w:spacing w:val="-2"/>
                            <w:sz w:val="14"/>
                          </w:rPr>
                          <w:t>de</w:t>
                        </w:r>
                        <w:r>
                          <w:rPr>
                            <w:rFonts w:ascii="Arial MT" w:hAnsi="Arial MT"/>
                            <w:color w:val="231F1F"/>
                            <w:spacing w:val="-11"/>
                            <w:sz w:val="14"/>
                          </w:rPr>
                          <w:t> </w:t>
                        </w:r>
                        <w:r>
                          <w:rPr>
                            <w:rFonts w:ascii="Arial MT" w:hAnsi="Arial MT"/>
                            <w:color w:val="231F1F"/>
                            <w:spacing w:val="-2"/>
                            <w:sz w:val="14"/>
                          </w:rPr>
                          <w:t>enemas</w:t>
                        </w:r>
                        <w:r>
                          <w:rPr>
                            <w:rFonts w:ascii="Arial MT" w:hAnsi="Arial MT"/>
                            <w:color w:val="231F1F"/>
                            <w:spacing w:val="-8"/>
                            <w:sz w:val="14"/>
                          </w:rPr>
                          <w:t> </w:t>
                        </w:r>
                        <w:r>
                          <w:rPr>
                            <w:rFonts w:ascii="Arial MT" w:hAnsi="Arial MT"/>
                            <w:color w:val="231F1F"/>
                            <w:spacing w:val="-2"/>
                            <w:sz w:val="14"/>
                          </w:rPr>
                          <w:t>realizadas</w:t>
                        </w:r>
                        <w:r>
                          <w:rPr>
                            <w:rFonts w:ascii="Arial MT" w:hAnsi="Arial MT"/>
                            <w:color w:val="231F1F"/>
                            <w:spacing w:val="-8"/>
                            <w:sz w:val="14"/>
                          </w:rPr>
                          <w:t> </w:t>
                        </w:r>
                        <w:r>
                          <w:rPr>
                            <w:rFonts w:ascii="Arial MT" w:hAnsi="Arial MT"/>
                            <w:color w:val="231F1F"/>
                            <w:spacing w:val="-2"/>
                            <w:sz w:val="14"/>
                          </w:rPr>
                          <w:t>a</w:t>
                        </w:r>
                        <w:r>
                          <w:rPr>
                            <w:rFonts w:ascii="Arial MT" w:hAnsi="Arial MT"/>
                            <w:color w:val="231F1F"/>
                            <w:spacing w:val="-8"/>
                            <w:sz w:val="14"/>
                          </w:rPr>
                          <w:t> </w:t>
                        </w:r>
                        <w:r>
                          <w:rPr>
                            <w:rFonts w:ascii="Arial MT" w:hAnsi="Arial MT"/>
                            <w:color w:val="231F1F"/>
                            <w:spacing w:val="-2"/>
                            <w:sz w:val="14"/>
                          </w:rPr>
                          <w:t>mujeres</w:t>
                        </w:r>
                        <w:r>
                          <w:rPr>
                            <w:rFonts w:ascii="Arial MT" w:hAnsi="Arial MT"/>
                            <w:color w:val="231F1F"/>
                            <w:spacing w:val="40"/>
                            <w:sz w:val="14"/>
                          </w:rPr>
                          <w:t> </w:t>
                        </w:r>
                        <w:r>
                          <w:rPr>
                            <w:rFonts w:ascii="Arial MT" w:hAnsi="Arial MT"/>
                            <w:color w:val="231F1F"/>
                            <w:sz w:val="14"/>
                          </w:rPr>
                          <w:t>n.º total de mujeres pvsc</w:t>
                        </w:r>
                      </w:p>
                    </w:txbxContent>
                  </v:textbox>
                  <v:stroke dashstyle="solid"/>
                  <w10:wrap type="none"/>
                </v:shape>
                <w10:wrap type="none"/>
              </v:group>
            </w:pict>
          </mc:Fallback>
        </mc:AlternateContent>
      </w:r>
      <w:r>
        <w:rPr>
          <w:position w:val="268"/>
          <w:sz w:val="20"/>
        </w:rPr>
        <mc:AlternateContent>
          <mc:Choice Requires="wps">
            <w:drawing>
              <wp:anchor distT="0" distB="0" distL="0" distR="0" allowOverlap="1" layoutInCell="1" locked="0" behindDoc="0" simplePos="0" relativeHeight="15787520">
                <wp:simplePos x="0" y="0"/>
                <wp:positionH relativeFrom="page">
                  <wp:posOffset>3552190</wp:posOffset>
                </wp:positionH>
                <wp:positionV relativeFrom="page">
                  <wp:posOffset>4608195</wp:posOffset>
                </wp:positionV>
                <wp:extent cx="2202815" cy="42481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2202815" cy="424815"/>
                          <a:chExt cx="2202815" cy="424815"/>
                        </a:xfrm>
                      </wpg:grpSpPr>
                      <wps:wsp>
                        <wps:cNvPr id="198" name="Graphic 198"/>
                        <wps:cNvSpPr/>
                        <wps:spPr>
                          <a:xfrm>
                            <a:off x="233972" y="290512"/>
                            <a:ext cx="1734820" cy="1270"/>
                          </a:xfrm>
                          <a:custGeom>
                            <a:avLst/>
                            <a:gdLst/>
                            <a:ahLst/>
                            <a:cxnLst/>
                            <a:rect l="l" t="t" r="r" b="b"/>
                            <a:pathLst>
                              <a:path w="1734820" h="0">
                                <a:moveTo>
                                  <a:pt x="0" y="0"/>
                                </a:moveTo>
                                <a:lnTo>
                                  <a:pt x="1734400" y="0"/>
                                </a:lnTo>
                              </a:path>
                            </a:pathLst>
                          </a:custGeom>
                          <a:ln w="6350">
                            <a:solidFill>
                              <a:srgbClr val="231F1F"/>
                            </a:solidFill>
                            <a:prstDash val="solid"/>
                          </a:ln>
                        </wps:spPr>
                        <wps:bodyPr wrap="square" lIns="0" tIns="0" rIns="0" bIns="0" rtlCol="0">
                          <a:prstTxWarp prst="textNoShape">
                            <a:avLst/>
                          </a:prstTxWarp>
                          <a:noAutofit/>
                        </wps:bodyPr>
                      </wps:wsp>
                      <wps:wsp>
                        <wps:cNvPr id="199" name="Textbox 199"/>
                        <wps:cNvSpPr txBox="1"/>
                        <wps:spPr>
                          <a:xfrm>
                            <a:off x="3175" y="3175"/>
                            <a:ext cx="2196465" cy="418465"/>
                          </a:xfrm>
                          <a:prstGeom prst="rect">
                            <a:avLst/>
                          </a:prstGeom>
                          <a:ln w="6350">
                            <a:solidFill>
                              <a:srgbClr val="231F1F"/>
                            </a:solidFill>
                            <a:prstDash val="solid"/>
                          </a:ln>
                        </wps:spPr>
                        <wps:txbx>
                          <w:txbxContent>
                            <w:p>
                              <w:pPr>
                                <w:spacing w:line="292" w:lineRule="auto" w:before="51"/>
                                <w:ind w:left="415" w:right="429"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el</w:t>
                              </w:r>
                              <w:r>
                                <w:rPr>
                                  <w:rFonts w:ascii="Arial MT" w:hAnsi="Arial MT"/>
                                  <w:color w:val="231F1F"/>
                                  <w:spacing w:val="-13"/>
                                  <w:sz w:val="14"/>
                                </w:rPr>
                                <w:t> </w:t>
                              </w:r>
                              <w:r>
                                <w:rPr>
                                  <w:rFonts w:ascii="Arial MT" w:hAnsi="Arial MT"/>
                                  <w:color w:val="231F1F"/>
                                  <w:sz w:val="14"/>
                                </w:rPr>
                                <w:t>rasurado</w:t>
                              </w:r>
                            </w:p>
                            <w:p>
                              <w:pPr>
                                <w:spacing w:line="152" w:lineRule="exact" w:before="0"/>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wps:txbx>
                        <wps:bodyPr wrap="square" lIns="0" tIns="0" rIns="0" bIns="0" rtlCol="0">
                          <a:noAutofit/>
                        </wps:bodyPr>
                      </wps:wsp>
                    </wpg:wgp>
                  </a:graphicData>
                </a:graphic>
              </wp:anchor>
            </w:drawing>
          </mc:Choice>
          <mc:Fallback>
            <w:pict>
              <v:group style="position:absolute;margin-left:279.700012pt;margin-top:362.850006pt;width:173.45pt;height:33.450pt;mso-position-horizontal-relative:page;mso-position-vertical-relative:page;z-index:15787520" id="docshapegroup168" coordorigin="5594,7257" coordsize="3469,669">
                <v:line style="position:absolute" from="5962,7715" to="8694,7715" stroked="true" strokeweight=".5pt" strokecolor="#231f1f">
                  <v:stroke dashstyle="solid"/>
                </v:line>
                <v:shape style="position:absolute;left:5599;top:7262;width:3459;height:659" type="#_x0000_t202" id="docshape169" filled="false" stroked="true" strokeweight=".5pt" strokecolor="#231f1f">
                  <v:textbox inset="0,0,0,0">
                    <w:txbxContent>
                      <w:p>
                        <w:pPr>
                          <w:spacing w:line="292" w:lineRule="auto" w:before="51"/>
                          <w:ind w:left="415" w:right="429" w:firstLine="0"/>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mujeres</w:t>
                        </w:r>
                        <w:r>
                          <w:rPr>
                            <w:rFonts w:ascii="Arial MT" w:hAnsi="Arial MT"/>
                            <w:color w:val="231F1F"/>
                            <w:spacing w:val="-6"/>
                            <w:sz w:val="14"/>
                          </w:rPr>
                          <w:t> </w:t>
                        </w:r>
                        <w:r>
                          <w:rPr>
                            <w:rFonts w:ascii="Arial MT" w:hAnsi="Arial MT"/>
                            <w:color w:val="231F1F"/>
                            <w:spacing w:val="-2"/>
                            <w:sz w:val="14"/>
                          </w:rPr>
                          <w:t>a</w:t>
                        </w:r>
                        <w:r>
                          <w:rPr>
                            <w:rFonts w:ascii="Arial MT" w:hAnsi="Arial MT"/>
                            <w:color w:val="231F1F"/>
                            <w:spacing w:val="-4"/>
                            <w:sz w:val="14"/>
                          </w:rPr>
                          <w:t> </w:t>
                        </w:r>
                        <w:r>
                          <w:rPr>
                            <w:rFonts w:ascii="Arial MT" w:hAnsi="Arial MT"/>
                            <w:color w:val="231F1F"/>
                            <w:spacing w:val="-2"/>
                            <w:sz w:val="14"/>
                          </w:rPr>
                          <w:t>las</w:t>
                        </w:r>
                        <w:r>
                          <w:rPr>
                            <w:rFonts w:ascii="Arial MT" w:hAnsi="Arial MT"/>
                            <w:color w:val="231F1F"/>
                            <w:spacing w:val="-6"/>
                            <w:sz w:val="14"/>
                          </w:rPr>
                          <w:t> </w:t>
                        </w:r>
                        <w:r>
                          <w:rPr>
                            <w:rFonts w:ascii="Arial MT" w:hAnsi="Arial MT"/>
                            <w:color w:val="231F1F"/>
                            <w:spacing w:val="-2"/>
                            <w:sz w:val="14"/>
                          </w:rPr>
                          <w:t>que</w:t>
                        </w:r>
                        <w:r>
                          <w:rPr>
                            <w:rFonts w:ascii="Arial MT" w:hAnsi="Arial MT"/>
                            <w:color w:val="231F1F"/>
                            <w:spacing w:val="-9"/>
                            <w:sz w:val="14"/>
                          </w:rPr>
                          <w:t> </w:t>
                        </w:r>
                        <w:r>
                          <w:rPr>
                            <w:rFonts w:ascii="Arial MT" w:hAnsi="Arial MT"/>
                            <w:color w:val="231F1F"/>
                            <w:spacing w:val="-2"/>
                            <w:sz w:val="14"/>
                          </w:rPr>
                          <w:t>se</w:t>
                        </w:r>
                        <w:r>
                          <w:rPr>
                            <w:rFonts w:ascii="Arial MT" w:hAnsi="Arial MT"/>
                            <w:color w:val="231F1F"/>
                            <w:spacing w:val="-4"/>
                            <w:sz w:val="14"/>
                          </w:rPr>
                          <w:t> </w:t>
                        </w:r>
                        <w:r>
                          <w:rPr>
                            <w:rFonts w:ascii="Arial MT" w:hAnsi="Arial MT"/>
                            <w:color w:val="231F1F"/>
                            <w:spacing w:val="-2"/>
                            <w:sz w:val="14"/>
                          </w:rPr>
                          <w:t>le</w:t>
                        </w:r>
                        <w:r>
                          <w:rPr>
                            <w:rFonts w:ascii="Arial MT" w:hAnsi="Arial MT"/>
                            <w:color w:val="231F1F"/>
                            <w:spacing w:val="-9"/>
                            <w:sz w:val="14"/>
                          </w:rPr>
                          <w:t> </w:t>
                        </w:r>
                        <w:r>
                          <w:rPr>
                            <w:rFonts w:ascii="Arial MT" w:hAnsi="Arial MT"/>
                            <w:color w:val="231F1F"/>
                            <w:spacing w:val="-2"/>
                            <w:sz w:val="14"/>
                          </w:rPr>
                          <w:t>ha</w:t>
                        </w:r>
                        <w:r>
                          <w:rPr>
                            <w:rFonts w:ascii="Arial MT" w:hAnsi="Arial MT"/>
                            <w:color w:val="231F1F"/>
                            <w:spacing w:val="-9"/>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z w:val="14"/>
                          </w:rPr>
                          <w:t>el</w:t>
                        </w:r>
                        <w:r>
                          <w:rPr>
                            <w:rFonts w:ascii="Arial MT" w:hAnsi="Arial MT"/>
                            <w:color w:val="231F1F"/>
                            <w:spacing w:val="-13"/>
                            <w:sz w:val="14"/>
                          </w:rPr>
                          <w:t> </w:t>
                        </w:r>
                        <w:r>
                          <w:rPr>
                            <w:rFonts w:ascii="Arial MT" w:hAnsi="Arial MT"/>
                            <w:color w:val="231F1F"/>
                            <w:sz w:val="14"/>
                          </w:rPr>
                          <w:t>rasurado</w:t>
                        </w:r>
                      </w:p>
                      <w:p>
                        <w:pPr>
                          <w:spacing w:line="152" w:lineRule="exact" w:before="0"/>
                          <w:ind w:left="105" w:right="105" w:firstLine="0"/>
                          <w:jc w:val="center"/>
                          <w:rPr>
                            <w:rFonts w:ascii="Arial MT" w:hAnsi="Arial MT"/>
                            <w:sz w:val="14"/>
                          </w:rPr>
                        </w:pPr>
                        <w:r>
                          <w:rPr>
                            <w:rFonts w:ascii="Arial MT" w:hAnsi="Arial MT"/>
                            <w:color w:val="231F1F"/>
                            <w:sz w:val="14"/>
                          </w:rPr>
                          <w:t>n.º</w:t>
                        </w:r>
                        <w:r>
                          <w:rPr>
                            <w:rFonts w:ascii="Arial MT" w:hAnsi="Arial MT"/>
                            <w:color w:val="231F1F"/>
                            <w:spacing w:val="-9"/>
                            <w:sz w:val="14"/>
                          </w:rPr>
                          <w:t> </w:t>
                        </w:r>
                        <w:r>
                          <w:rPr>
                            <w:rFonts w:ascii="Arial MT" w:hAnsi="Arial MT"/>
                            <w:color w:val="231F1F"/>
                            <w:sz w:val="14"/>
                          </w:rPr>
                          <w:t>total</w:t>
                        </w:r>
                        <w:r>
                          <w:rPr>
                            <w:rFonts w:ascii="Arial MT" w:hAnsi="Arial MT"/>
                            <w:color w:val="231F1F"/>
                            <w:spacing w:val="-8"/>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4"/>
                            <w:sz w:val="14"/>
                          </w:rPr>
                          <w:t> pvsc</w:t>
                        </w:r>
                      </w:p>
                    </w:txbxContent>
                  </v:textbox>
                  <v:stroke dashstyle="solid"/>
                  <w10:wrap type="none"/>
                </v:shape>
                <w10:wrap type="none"/>
              </v:group>
            </w:pict>
          </mc:Fallback>
        </mc:AlternateContent>
      </w:r>
      <w:r>
        <w:rPr>
          <w:sz w:val="20"/>
        </w:rPr>
        <mc:AlternateContent>
          <mc:Choice Requires="wps">
            <w:drawing>
              <wp:inline distT="0" distB="0" distL="0" distR="0">
                <wp:extent cx="1323340" cy="3895725"/>
                <wp:effectExtent l="0" t="0" r="0" b="0"/>
                <wp:docPr id="200" name="Textbox 200"/>
                <wp:cNvGraphicFramePr>
                  <a:graphicFrameLocks/>
                </wp:cNvGraphicFramePr>
                <a:graphic>
                  <a:graphicData uri="http://schemas.microsoft.com/office/word/2010/wordprocessingShape">
                    <wps:wsp>
                      <wps:cNvPr id="200" name="Textbox 200"/>
                      <wps:cNvSpPr txBox="1"/>
                      <wps:spPr>
                        <a:xfrm>
                          <a:off x="0" y="0"/>
                          <a:ext cx="1323340" cy="3895725"/>
                        </a:xfrm>
                        <a:prstGeom prst="rect">
                          <a:avLst/>
                        </a:prstGeom>
                      </wps:spPr>
                      <wps:txbx>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74"/>
                            </w:tblGrid>
                            <w:tr>
                              <w:trPr>
                                <w:trHeight w:val="258" w:hRule="atLeast"/>
                              </w:trPr>
                              <w:tc>
                                <w:tcPr>
                                  <w:tcW w:w="2074" w:type="dxa"/>
                                </w:tcPr>
                                <w:p>
                                  <w:pPr>
                                    <w:pStyle w:val="TableParagraph"/>
                                    <w:spacing w:before="37"/>
                                    <w:ind w:left="281"/>
                                    <w:rPr>
                                      <w:rFonts w:ascii="Arial MT" w:hAnsi="Arial MT"/>
                                      <w:sz w:val="16"/>
                                    </w:rPr>
                                  </w:pPr>
                                  <w:r>
                                    <w:rPr>
                                      <w:rFonts w:ascii="Arial MT" w:hAnsi="Arial MT"/>
                                      <w:color w:val="231F1F"/>
                                      <w:sz w:val="16"/>
                                    </w:rPr>
                                    <w:t>ÁMBITO</w:t>
                                  </w:r>
                                  <w:r>
                                    <w:rPr>
                                      <w:rFonts w:ascii="Arial MT" w:hAnsi="Arial MT"/>
                                      <w:color w:val="231F1F"/>
                                      <w:spacing w:val="-12"/>
                                      <w:sz w:val="16"/>
                                    </w:rPr>
                                    <w:t> </w:t>
                                  </w:r>
                                  <w:r>
                                    <w:rPr>
                                      <w:rFonts w:ascii="Arial MT" w:hAnsi="Arial MT"/>
                                      <w:color w:val="231F1F"/>
                                      <w:sz w:val="16"/>
                                    </w:rPr>
                                    <w:t>DE</w:t>
                                  </w:r>
                                  <w:r>
                                    <w:rPr>
                                      <w:rFonts w:ascii="Arial MT" w:hAnsi="Arial MT"/>
                                      <w:color w:val="231F1F"/>
                                      <w:spacing w:val="-10"/>
                                      <w:sz w:val="16"/>
                                    </w:rPr>
                                    <w:t> </w:t>
                                  </w:r>
                                  <w:r>
                                    <w:rPr>
                                      <w:rFonts w:ascii="Arial MT" w:hAnsi="Arial MT"/>
                                      <w:color w:val="231F1F"/>
                                      <w:sz w:val="16"/>
                                    </w:rPr>
                                    <w:t>LA</w:t>
                                  </w:r>
                                  <w:r>
                                    <w:rPr>
                                      <w:rFonts w:ascii="Arial MT" w:hAnsi="Arial MT"/>
                                      <w:color w:val="231F1F"/>
                                      <w:spacing w:val="-10"/>
                                      <w:sz w:val="16"/>
                                    </w:rPr>
                                    <w:t> </w:t>
                                  </w:r>
                                  <w:r>
                                    <w:rPr>
                                      <w:rFonts w:ascii="Arial MT" w:hAnsi="Arial MT"/>
                                      <w:color w:val="231F1F"/>
                                      <w:spacing w:val="-4"/>
                                      <w:sz w:val="16"/>
                                    </w:rPr>
                                    <w:t>GUÍA</w:t>
                                  </w:r>
                                </w:p>
                              </w:tc>
                            </w:tr>
                            <w:tr>
                              <w:trPr>
                                <w:trHeight w:val="758" w:hRule="atLeast"/>
                              </w:trPr>
                              <w:tc>
                                <w:tcPr>
                                  <w:tcW w:w="2074" w:type="dxa"/>
                                </w:tcPr>
                                <w:p>
                                  <w:pPr>
                                    <w:pStyle w:val="TableParagraph"/>
                                    <w:spacing w:before="6"/>
                                    <w:ind w:left="0"/>
                                    <w:rPr>
                                      <w:sz w:val="16"/>
                                    </w:rPr>
                                  </w:pPr>
                                </w:p>
                                <w:p>
                                  <w:pPr>
                                    <w:pStyle w:val="TableParagraph"/>
                                    <w:ind w:left="88"/>
                                    <w:rPr>
                                      <w:rFonts w:ascii="Arial MT"/>
                                      <w:sz w:val="16"/>
                                    </w:rPr>
                                  </w:pPr>
                                  <w:r>
                                    <w:rPr>
                                      <w:rFonts w:ascii="Arial MT"/>
                                      <w:color w:val="A30046"/>
                                      <w:spacing w:val="-2"/>
                                      <w:sz w:val="16"/>
                                    </w:rPr>
                                    <w:t>GENERAL</w:t>
                                  </w:r>
                                </w:p>
                                <w:p>
                                  <w:pPr>
                                    <w:pStyle w:val="TableParagraph"/>
                                    <w:spacing w:before="8"/>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5"/>
                                      <w:sz w:val="16"/>
                                    </w:rPr>
                                    <w:t>1,2</w:t>
                                  </w:r>
                                </w:p>
                              </w:tc>
                            </w:tr>
                            <w:tr>
                              <w:trPr>
                                <w:trHeight w:val="1919" w:hRule="atLeast"/>
                              </w:trPr>
                              <w:tc>
                                <w:tcPr>
                                  <w:tcW w:w="2074" w:type="dxa"/>
                                </w:tcPr>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40"/>
                                    <w:ind w:left="0"/>
                                    <w:rPr>
                                      <w:sz w:val="16"/>
                                    </w:rPr>
                                  </w:pPr>
                                </w:p>
                                <w:p>
                                  <w:pPr>
                                    <w:pStyle w:val="TableParagraph"/>
                                    <w:spacing w:line="244" w:lineRule="auto"/>
                                    <w:ind w:left="88" w:right="461"/>
                                    <w:rPr>
                                      <w:rFonts w:ascii="Arial MT"/>
                                      <w:sz w:val="16"/>
                                    </w:rPr>
                                  </w:pPr>
                                  <w:r>
                                    <w:rPr>
                                      <w:rFonts w:ascii="Arial MT"/>
                                      <w:color w:val="A30046"/>
                                      <w:spacing w:val="-4"/>
                                      <w:sz w:val="16"/>
                                    </w:rPr>
                                    <w:t>Perfil</w:t>
                                  </w:r>
                                  <w:r>
                                    <w:rPr>
                                      <w:rFonts w:ascii="Arial MT"/>
                                      <w:color w:val="A30046"/>
                                      <w:spacing w:val="-9"/>
                                      <w:sz w:val="16"/>
                                    </w:rPr>
                                    <w:t> </w:t>
                                  </w:r>
                                  <w:r>
                                    <w:rPr>
                                      <w:rFonts w:ascii="Arial MT"/>
                                      <w:color w:val="A30046"/>
                                      <w:spacing w:val="-4"/>
                                      <w:sz w:val="16"/>
                                    </w:rPr>
                                    <w:t>del</w:t>
                                  </w:r>
                                  <w:r>
                                    <w:rPr>
                                      <w:rFonts w:ascii="Arial MT"/>
                                      <w:color w:val="A30046"/>
                                      <w:spacing w:val="-8"/>
                                      <w:sz w:val="16"/>
                                    </w:rPr>
                                    <w:t> </w:t>
                                  </w:r>
                                  <w:r>
                                    <w:rPr>
                                      <w:rFonts w:ascii="Arial MT"/>
                                      <w:color w:val="A30046"/>
                                      <w:spacing w:val="-4"/>
                                      <w:sz w:val="16"/>
                                    </w:rPr>
                                    <w:t>profesional </w:t>
                                  </w:r>
                                  <w:r>
                                    <w:rPr>
                                      <w:rFonts w:ascii="Arial MT"/>
                                      <w:color w:val="231F1F"/>
                                      <w:sz w:val="16"/>
                                    </w:rPr>
                                    <w:t>Criterios: </w:t>
                                  </w:r>
                                  <w:r>
                                    <w:rPr>
                                      <w:rFonts w:ascii="Arial MT"/>
                                      <w:color w:val="A30046"/>
                                      <w:sz w:val="16"/>
                                    </w:rPr>
                                    <w:t>3</w:t>
                                  </w:r>
                                </w:p>
                              </w:tc>
                            </w:tr>
                            <w:tr>
                              <w:trPr>
                                <w:trHeight w:val="839" w:hRule="atLeast"/>
                              </w:trPr>
                              <w:tc>
                                <w:tcPr>
                                  <w:tcW w:w="2074" w:type="dxa"/>
                                </w:tcPr>
                                <w:p>
                                  <w:pPr>
                                    <w:pStyle w:val="TableParagraph"/>
                                    <w:spacing w:line="247" w:lineRule="auto" w:before="137"/>
                                    <w:ind w:left="88" w:right="461"/>
                                    <w:rPr>
                                      <w:rFonts w:ascii="Arial MT" w:hAnsi="Arial MT"/>
                                      <w:sz w:val="16"/>
                                    </w:rPr>
                                  </w:pPr>
                                  <w:r>
                                    <w:rPr>
                                      <w:rFonts w:ascii="Arial MT" w:hAnsi="Arial MT"/>
                                      <w:color w:val="A30046"/>
                                      <w:spacing w:val="-6"/>
                                      <w:sz w:val="16"/>
                                    </w:rPr>
                                    <w:t>Dilatación-Admisión</w:t>
                                  </w:r>
                                  <w:r>
                                    <w:rPr>
                                      <w:rFonts w:ascii="Arial MT" w:hAnsi="Arial MT"/>
                                      <w:color w:val="A30046"/>
                                      <w:spacing w:val="-2"/>
                                      <w:sz w:val="16"/>
                                    </w:rPr>
                                    <w:t> Amnioscopia </w:t>
                                  </w:r>
                                  <w:r>
                                    <w:rPr>
                                      <w:rFonts w:ascii="Arial MT" w:hAnsi="Arial MT"/>
                                      <w:color w:val="231F1F"/>
                                      <w:sz w:val="16"/>
                                    </w:rPr>
                                    <w:t>Criterios: </w:t>
                                  </w:r>
                                  <w:r>
                                    <w:rPr>
                                      <w:rFonts w:ascii="Arial MT" w:hAnsi="Arial MT"/>
                                      <w:color w:val="A30046"/>
                                      <w:sz w:val="16"/>
                                    </w:rPr>
                                    <w:t>2,3</w:t>
                                  </w:r>
                                </w:p>
                              </w:tc>
                            </w:tr>
                            <w:tr>
                              <w:trPr>
                                <w:trHeight w:val="757" w:hRule="atLeast"/>
                              </w:trPr>
                              <w:tc>
                                <w:tcPr>
                                  <w:tcW w:w="2074" w:type="dxa"/>
                                </w:tcPr>
                                <w:p>
                                  <w:pPr>
                                    <w:pStyle w:val="TableParagraph"/>
                                    <w:spacing w:line="244" w:lineRule="auto" w:before="99"/>
                                    <w:ind w:left="88" w:right="461"/>
                                    <w:rPr>
                                      <w:rFonts w:ascii="Arial MT" w:hAnsi="Arial MT"/>
                                      <w:sz w:val="16"/>
                                    </w:rPr>
                                  </w:pPr>
                                  <w:r>
                                    <w:rPr>
                                      <w:rFonts w:ascii="Arial MT" w:hAnsi="Arial MT"/>
                                      <w:color w:val="A30046"/>
                                      <w:spacing w:val="-6"/>
                                      <w:sz w:val="16"/>
                                    </w:rPr>
                                    <w:t>Dilatación-Admisión</w:t>
                                  </w:r>
                                  <w:r>
                                    <w:rPr>
                                      <w:rFonts w:ascii="Arial MT" w:hAnsi="Arial MT"/>
                                      <w:color w:val="A30046"/>
                                      <w:spacing w:val="-4"/>
                                      <w:sz w:val="16"/>
                                    </w:rPr>
                                    <w:t> CTG</w:t>
                                  </w:r>
                                </w:p>
                                <w:p>
                                  <w:pPr>
                                    <w:pStyle w:val="TableParagraph"/>
                                    <w:spacing w:line="178" w:lineRule="exact"/>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5"/>
                                      <w:sz w:val="16"/>
                                    </w:rPr>
                                    <w:t>2,3</w:t>
                                  </w:r>
                                </w:p>
                              </w:tc>
                            </w:tr>
                            <w:tr>
                              <w:trPr>
                                <w:trHeight w:val="762" w:hRule="atLeast"/>
                              </w:trPr>
                              <w:tc>
                                <w:tcPr>
                                  <w:tcW w:w="2074" w:type="dxa"/>
                                </w:tcPr>
                                <w:p>
                                  <w:pPr>
                                    <w:pStyle w:val="TableParagraph"/>
                                    <w:spacing w:line="249" w:lineRule="auto" w:before="99"/>
                                    <w:ind w:left="88" w:right="994"/>
                                    <w:rPr>
                                      <w:rFonts w:ascii="Arial MT" w:hAnsi="Arial MT"/>
                                      <w:sz w:val="16"/>
                                    </w:rPr>
                                  </w:pPr>
                                  <w:r>
                                    <w:rPr>
                                      <w:rFonts w:ascii="Arial MT" w:hAnsi="Arial MT"/>
                                      <w:color w:val="A30046"/>
                                      <w:spacing w:val="-2"/>
                                      <w:sz w:val="16"/>
                                    </w:rPr>
                                    <w:t>Dilatación enemas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758" w:hRule="atLeast"/>
                              </w:trPr>
                              <w:tc>
                                <w:tcPr>
                                  <w:tcW w:w="2074" w:type="dxa"/>
                                </w:tcPr>
                                <w:p>
                                  <w:pPr>
                                    <w:pStyle w:val="TableParagraph"/>
                                    <w:spacing w:line="244" w:lineRule="auto" w:before="99"/>
                                    <w:ind w:left="88" w:right="994"/>
                                    <w:rPr>
                                      <w:rFonts w:ascii="Arial MT" w:hAnsi="Arial MT"/>
                                      <w:sz w:val="16"/>
                                    </w:rPr>
                                  </w:pPr>
                                  <w:r>
                                    <w:rPr>
                                      <w:rFonts w:ascii="Arial MT" w:hAnsi="Arial MT"/>
                                      <w:color w:val="A30046"/>
                                      <w:spacing w:val="-2"/>
                                      <w:sz w:val="16"/>
                                    </w:rPr>
                                    <w:t>Dilatación rasurado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bl>
                          <w:p>
                            <w:pPr>
                              <w:pStyle w:val="BodyText"/>
                            </w:pPr>
                          </w:p>
                        </w:txbxContent>
                      </wps:txbx>
                      <wps:bodyPr wrap="square" lIns="0" tIns="0" rIns="0" bIns="0" rtlCol="0">
                        <a:noAutofit/>
                      </wps:bodyPr>
                    </wps:wsp>
                  </a:graphicData>
                </a:graphic>
              </wp:inline>
            </w:drawing>
          </mc:Choice>
          <mc:Fallback>
            <w:pict>
              <v:shape style="width:104.2pt;height:306.75pt;mso-position-horizontal-relative:char;mso-position-vertical-relative:line" type="#_x0000_t202" id="docshape170" filled="false" stroked="false">
                <w10:anchorlock/>
                <v:textbox inset="0,0,0,0">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74"/>
                      </w:tblGrid>
                      <w:tr>
                        <w:trPr>
                          <w:trHeight w:val="258" w:hRule="atLeast"/>
                        </w:trPr>
                        <w:tc>
                          <w:tcPr>
                            <w:tcW w:w="2074" w:type="dxa"/>
                          </w:tcPr>
                          <w:p>
                            <w:pPr>
                              <w:pStyle w:val="TableParagraph"/>
                              <w:spacing w:before="37"/>
                              <w:ind w:left="281"/>
                              <w:rPr>
                                <w:rFonts w:ascii="Arial MT" w:hAnsi="Arial MT"/>
                                <w:sz w:val="16"/>
                              </w:rPr>
                            </w:pPr>
                            <w:r>
                              <w:rPr>
                                <w:rFonts w:ascii="Arial MT" w:hAnsi="Arial MT"/>
                                <w:color w:val="231F1F"/>
                                <w:sz w:val="16"/>
                              </w:rPr>
                              <w:t>ÁMBITO</w:t>
                            </w:r>
                            <w:r>
                              <w:rPr>
                                <w:rFonts w:ascii="Arial MT" w:hAnsi="Arial MT"/>
                                <w:color w:val="231F1F"/>
                                <w:spacing w:val="-12"/>
                                <w:sz w:val="16"/>
                              </w:rPr>
                              <w:t> </w:t>
                            </w:r>
                            <w:r>
                              <w:rPr>
                                <w:rFonts w:ascii="Arial MT" w:hAnsi="Arial MT"/>
                                <w:color w:val="231F1F"/>
                                <w:sz w:val="16"/>
                              </w:rPr>
                              <w:t>DE</w:t>
                            </w:r>
                            <w:r>
                              <w:rPr>
                                <w:rFonts w:ascii="Arial MT" w:hAnsi="Arial MT"/>
                                <w:color w:val="231F1F"/>
                                <w:spacing w:val="-10"/>
                                <w:sz w:val="16"/>
                              </w:rPr>
                              <w:t> </w:t>
                            </w:r>
                            <w:r>
                              <w:rPr>
                                <w:rFonts w:ascii="Arial MT" w:hAnsi="Arial MT"/>
                                <w:color w:val="231F1F"/>
                                <w:sz w:val="16"/>
                              </w:rPr>
                              <w:t>LA</w:t>
                            </w:r>
                            <w:r>
                              <w:rPr>
                                <w:rFonts w:ascii="Arial MT" w:hAnsi="Arial MT"/>
                                <w:color w:val="231F1F"/>
                                <w:spacing w:val="-10"/>
                                <w:sz w:val="16"/>
                              </w:rPr>
                              <w:t> </w:t>
                            </w:r>
                            <w:r>
                              <w:rPr>
                                <w:rFonts w:ascii="Arial MT" w:hAnsi="Arial MT"/>
                                <w:color w:val="231F1F"/>
                                <w:spacing w:val="-4"/>
                                <w:sz w:val="16"/>
                              </w:rPr>
                              <w:t>GUÍA</w:t>
                            </w:r>
                          </w:p>
                        </w:tc>
                      </w:tr>
                      <w:tr>
                        <w:trPr>
                          <w:trHeight w:val="758" w:hRule="atLeast"/>
                        </w:trPr>
                        <w:tc>
                          <w:tcPr>
                            <w:tcW w:w="2074" w:type="dxa"/>
                          </w:tcPr>
                          <w:p>
                            <w:pPr>
                              <w:pStyle w:val="TableParagraph"/>
                              <w:spacing w:before="6"/>
                              <w:ind w:left="0"/>
                              <w:rPr>
                                <w:sz w:val="16"/>
                              </w:rPr>
                            </w:pPr>
                          </w:p>
                          <w:p>
                            <w:pPr>
                              <w:pStyle w:val="TableParagraph"/>
                              <w:ind w:left="88"/>
                              <w:rPr>
                                <w:rFonts w:ascii="Arial MT"/>
                                <w:sz w:val="16"/>
                              </w:rPr>
                            </w:pPr>
                            <w:r>
                              <w:rPr>
                                <w:rFonts w:ascii="Arial MT"/>
                                <w:color w:val="A30046"/>
                                <w:spacing w:val="-2"/>
                                <w:sz w:val="16"/>
                              </w:rPr>
                              <w:t>GENERAL</w:t>
                            </w:r>
                          </w:p>
                          <w:p>
                            <w:pPr>
                              <w:pStyle w:val="TableParagraph"/>
                              <w:spacing w:before="8"/>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5"/>
                                <w:sz w:val="16"/>
                              </w:rPr>
                              <w:t>1,2</w:t>
                            </w:r>
                          </w:p>
                        </w:tc>
                      </w:tr>
                      <w:tr>
                        <w:trPr>
                          <w:trHeight w:val="1919" w:hRule="atLeast"/>
                        </w:trPr>
                        <w:tc>
                          <w:tcPr>
                            <w:tcW w:w="2074" w:type="dxa"/>
                          </w:tcPr>
                          <w:p>
                            <w:pPr>
                              <w:pStyle w:val="TableParagraph"/>
                              <w:ind w:left="0"/>
                              <w:rPr>
                                <w:sz w:val="16"/>
                              </w:rPr>
                            </w:pPr>
                          </w:p>
                          <w:p>
                            <w:pPr>
                              <w:pStyle w:val="TableParagraph"/>
                              <w:ind w:left="0"/>
                              <w:rPr>
                                <w:sz w:val="16"/>
                              </w:rPr>
                            </w:pPr>
                          </w:p>
                          <w:p>
                            <w:pPr>
                              <w:pStyle w:val="TableParagraph"/>
                              <w:ind w:left="0"/>
                              <w:rPr>
                                <w:sz w:val="16"/>
                              </w:rPr>
                            </w:pPr>
                          </w:p>
                          <w:p>
                            <w:pPr>
                              <w:pStyle w:val="TableParagraph"/>
                              <w:spacing w:before="40"/>
                              <w:ind w:left="0"/>
                              <w:rPr>
                                <w:sz w:val="16"/>
                              </w:rPr>
                            </w:pPr>
                          </w:p>
                          <w:p>
                            <w:pPr>
                              <w:pStyle w:val="TableParagraph"/>
                              <w:spacing w:line="244" w:lineRule="auto"/>
                              <w:ind w:left="88" w:right="461"/>
                              <w:rPr>
                                <w:rFonts w:ascii="Arial MT"/>
                                <w:sz w:val="16"/>
                              </w:rPr>
                            </w:pPr>
                            <w:r>
                              <w:rPr>
                                <w:rFonts w:ascii="Arial MT"/>
                                <w:color w:val="A30046"/>
                                <w:spacing w:val="-4"/>
                                <w:sz w:val="16"/>
                              </w:rPr>
                              <w:t>Perfil</w:t>
                            </w:r>
                            <w:r>
                              <w:rPr>
                                <w:rFonts w:ascii="Arial MT"/>
                                <w:color w:val="A30046"/>
                                <w:spacing w:val="-9"/>
                                <w:sz w:val="16"/>
                              </w:rPr>
                              <w:t> </w:t>
                            </w:r>
                            <w:r>
                              <w:rPr>
                                <w:rFonts w:ascii="Arial MT"/>
                                <w:color w:val="A30046"/>
                                <w:spacing w:val="-4"/>
                                <w:sz w:val="16"/>
                              </w:rPr>
                              <w:t>del</w:t>
                            </w:r>
                            <w:r>
                              <w:rPr>
                                <w:rFonts w:ascii="Arial MT"/>
                                <w:color w:val="A30046"/>
                                <w:spacing w:val="-8"/>
                                <w:sz w:val="16"/>
                              </w:rPr>
                              <w:t> </w:t>
                            </w:r>
                            <w:r>
                              <w:rPr>
                                <w:rFonts w:ascii="Arial MT"/>
                                <w:color w:val="A30046"/>
                                <w:spacing w:val="-4"/>
                                <w:sz w:val="16"/>
                              </w:rPr>
                              <w:t>profesional </w:t>
                            </w:r>
                            <w:r>
                              <w:rPr>
                                <w:rFonts w:ascii="Arial MT"/>
                                <w:color w:val="231F1F"/>
                                <w:sz w:val="16"/>
                              </w:rPr>
                              <w:t>Criterios: </w:t>
                            </w:r>
                            <w:r>
                              <w:rPr>
                                <w:rFonts w:ascii="Arial MT"/>
                                <w:color w:val="A30046"/>
                                <w:sz w:val="16"/>
                              </w:rPr>
                              <w:t>3</w:t>
                            </w:r>
                          </w:p>
                        </w:tc>
                      </w:tr>
                      <w:tr>
                        <w:trPr>
                          <w:trHeight w:val="839" w:hRule="atLeast"/>
                        </w:trPr>
                        <w:tc>
                          <w:tcPr>
                            <w:tcW w:w="2074" w:type="dxa"/>
                          </w:tcPr>
                          <w:p>
                            <w:pPr>
                              <w:pStyle w:val="TableParagraph"/>
                              <w:spacing w:line="247" w:lineRule="auto" w:before="137"/>
                              <w:ind w:left="88" w:right="461"/>
                              <w:rPr>
                                <w:rFonts w:ascii="Arial MT" w:hAnsi="Arial MT"/>
                                <w:sz w:val="16"/>
                              </w:rPr>
                            </w:pPr>
                            <w:r>
                              <w:rPr>
                                <w:rFonts w:ascii="Arial MT" w:hAnsi="Arial MT"/>
                                <w:color w:val="A30046"/>
                                <w:spacing w:val="-6"/>
                                <w:sz w:val="16"/>
                              </w:rPr>
                              <w:t>Dilatación-Admisión</w:t>
                            </w:r>
                            <w:r>
                              <w:rPr>
                                <w:rFonts w:ascii="Arial MT" w:hAnsi="Arial MT"/>
                                <w:color w:val="A30046"/>
                                <w:spacing w:val="-2"/>
                                <w:sz w:val="16"/>
                              </w:rPr>
                              <w:t> Amnioscopia </w:t>
                            </w:r>
                            <w:r>
                              <w:rPr>
                                <w:rFonts w:ascii="Arial MT" w:hAnsi="Arial MT"/>
                                <w:color w:val="231F1F"/>
                                <w:sz w:val="16"/>
                              </w:rPr>
                              <w:t>Criterios: </w:t>
                            </w:r>
                            <w:r>
                              <w:rPr>
                                <w:rFonts w:ascii="Arial MT" w:hAnsi="Arial MT"/>
                                <w:color w:val="A30046"/>
                                <w:sz w:val="16"/>
                              </w:rPr>
                              <w:t>2,3</w:t>
                            </w:r>
                          </w:p>
                        </w:tc>
                      </w:tr>
                      <w:tr>
                        <w:trPr>
                          <w:trHeight w:val="757" w:hRule="atLeast"/>
                        </w:trPr>
                        <w:tc>
                          <w:tcPr>
                            <w:tcW w:w="2074" w:type="dxa"/>
                          </w:tcPr>
                          <w:p>
                            <w:pPr>
                              <w:pStyle w:val="TableParagraph"/>
                              <w:spacing w:line="244" w:lineRule="auto" w:before="99"/>
                              <w:ind w:left="88" w:right="461"/>
                              <w:rPr>
                                <w:rFonts w:ascii="Arial MT" w:hAnsi="Arial MT"/>
                                <w:sz w:val="16"/>
                              </w:rPr>
                            </w:pPr>
                            <w:r>
                              <w:rPr>
                                <w:rFonts w:ascii="Arial MT" w:hAnsi="Arial MT"/>
                                <w:color w:val="A30046"/>
                                <w:spacing w:val="-6"/>
                                <w:sz w:val="16"/>
                              </w:rPr>
                              <w:t>Dilatación-Admisión</w:t>
                            </w:r>
                            <w:r>
                              <w:rPr>
                                <w:rFonts w:ascii="Arial MT" w:hAnsi="Arial MT"/>
                                <w:color w:val="A30046"/>
                                <w:spacing w:val="-4"/>
                                <w:sz w:val="16"/>
                              </w:rPr>
                              <w:t> CTG</w:t>
                            </w:r>
                          </w:p>
                          <w:p>
                            <w:pPr>
                              <w:pStyle w:val="TableParagraph"/>
                              <w:spacing w:line="178" w:lineRule="exact"/>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5"/>
                                <w:sz w:val="16"/>
                              </w:rPr>
                              <w:t>2,3</w:t>
                            </w:r>
                          </w:p>
                        </w:tc>
                      </w:tr>
                      <w:tr>
                        <w:trPr>
                          <w:trHeight w:val="762" w:hRule="atLeast"/>
                        </w:trPr>
                        <w:tc>
                          <w:tcPr>
                            <w:tcW w:w="2074" w:type="dxa"/>
                          </w:tcPr>
                          <w:p>
                            <w:pPr>
                              <w:pStyle w:val="TableParagraph"/>
                              <w:spacing w:line="249" w:lineRule="auto" w:before="99"/>
                              <w:ind w:left="88" w:right="994"/>
                              <w:rPr>
                                <w:rFonts w:ascii="Arial MT" w:hAnsi="Arial MT"/>
                                <w:sz w:val="16"/>
                              </w:rPr>
                            </w:pPr>
                            <w:r>
                              <w:rPr>
                                <w:rFonts w:ascii="Arial MT" w:hAnsi="Arial MT"/>
                                <w:color w:val="A30046"/>
                                <w:spacing w:val="-2"/>
                                <w:sz w:val="16"/>
                              </w:rPr>
                              <w:t>Dilatación enemas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758" w:hRule="atLeast"/>
                        </w:trPr>
                        <w:tc>
                          <w:tcPr>
                            <w:tcW w:w="2074" w:type="dxa"/>
                          </w:tcPr>
                          <w:p>
                            <w:pPr>
                              <w:pStyle w:val="TableParagraph"/>
                              <w:spacing w:line="244" w:lineRule="auto" w:before="99"/>
                              <w:ind w:left="88" w:right="994"/>
                              <w:rPr>
                                <w:rFonts w:ascii="Arial MT" w:hAnsi="Arial MT"/>
                                <w:sz w:val="16"/>
                              </w:rPr>
                            </w:pPr>
                            <w:r>
                              <w:rPr>
                                <w:rFonts w:ascii="Arial MT" w:hAnsi="Arial MT"/>
                                <w:color w:val="A30046"/>
                                <w:spacing w:val="-2"/>
                                <w:sz w:val="16"/>
                              </w:rPr>
                              <w:t>Dilatación rasurado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bl>
                    <w:p>
                      <w:pPr>
                        <w:pStyle w:val="BodyText"/>
                      </w:pPr>
                    </w:p>
                  </w:txbxContent>
                </v:textbox>
              </v:shape>
            </w:pict>
          </mc:Fallback>
        </mc:AlternateContent>
      </w:r>
      <w:r>
        <w:rPr>
          <w:sz w:val="20"/>
        </w:rPr>
      </w:r>
      <w:r>
        <w:rPr>
          <w:spacing w:val="76"/>
          <w:sz w:val="12"/>
        </w:rPr>
        <w:t> </w:t>
      </w:r>
      <w:r>
        <w:rPr>
          <w:spacing w:val="76"/>
          <w:position w:val="268"/>
          <w:sz w:val="20"/>
        </w:rPr>
        <mc:AlternateContent>
          <mc:Choice Requires="wps">
            <w:drawing>
              <wp:inline distT="0" distB="0" distL="0" distR="0">
                <wp:extent cx="303530" cy="81915"/>
                <wp:effectExtent l="9525" t="0" r="0" b="3809"/>
                <wp:docPr id="201" name="Group 201"/>
                <wp:cNvGraphicFramePr>
                  <a:graphicFrameLocks/>
                </wp:cNvGraphicFramePr>
                <a:graphic>
                  <a:graphicData uri="http://schemas.microsoft.com/office/word/2010/wordprocessingGroup">
                    <wpg:wgp>
                      <wpg:cNvPr id="201" name="Group 201"/>
                      <wpg:cNvGrpSpPr/>
                      <wpg:grpSpPr>
                        <a:xfrm>
                          <a:off x="0" y="0"/>
                          <a:ext cx="303530" cy="81915"/>
                          <a:chExt cx="303530" cy="81915"/>
                        </a:xfrm>
                      </wpg:grpSpPr>
                      <wps:wsp>
                        <wps:cNvPr id="202" name="Graphic 202"/>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03" name="Graphic 203"/>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inline>
            </w:drawing>
          </mc:Choice>
          <mc:Fallback>
            <w:pict>
              <v:group style="width:23.9pt;height:6.45pt;mso-position-horizontal-relative:char;mso-position-vertical-relative:line" id="docshapegroup171" coordorigin="0,0" coordsize="478,129">
                <v:line style="position:absolute" from="0,65" to="281,65" stroked="true" strokeweight=".552992pt" strokecolor="#a30046">
                  <v:stroke dashstyle="solid"/>
                </v:line>
                <v:shape style="position:absolute;left:237;top:0;width:240;height:129" id="docshape172" coordorigin="237,0" coordsize="240,129" path="m237,0l237,129,477,64,237,0xe" filled="true" fillcolor="#a30046" stroked="false">
                  <v:path arrowok="t"/>
                  <v:fill type="solid"/>
                </v:shape>
              </v:group>
            </w:pict>
          </mc:Fallback>
        </mc:AlternateContent>
      </w:r>
      <w:r>
        <w:rPr>
          <w:spacing w:val="76"/>
          <w:position w:val="268"/>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7"/>
      </w:pPr>
    </w:p>
    <w:p>
      <w:pPr>
        <w:pStyle w:val="BodyText"/>
        <w:spacing w:before="1"/>
        <w:ind w:left="283"/>
      </w:pPr>
      <w:r>
        <w:rPr/>
        <mc:AlternateContent>
          <mc:Choice Requires="wps">
            <w:drawing>
              <wp:anchor distT="0" distB="0" distL="0" distR="0" allowOverlap="1" layoutInCell="1" locked="0" behindDoc="0" simplePos="0" relativeHeight="15780352">
                <wp:simplePos x="0" y="0"/>
                <wp:positionH relativeFrom="page">
                  <wp:posOffset>3677920</wp:posOffset>
                </wp:positionH>
                <wp:positionV relativeFrom="paragraph">
                  <wp:posOffset>-713698</wp:posOffset>
                </wp:positionV>
                <wp:extent cx="195072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289.600006pt,-56.196747pt" to="443.174897pt,-56.196747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80864">
                <wp:simplePos x="0" y="0"/>
                <wp:positionH relativeFrom="page">
                  <wp:posOffset>3677920</wp:posOffset>
                </wp:positionH>
                <wp:positionV relativeFrom="paragraph">
                  <wp:posOffset>-295868</wp:posOffset>
                </wp:positionV>
                <wp:extent cx="1950720" cy="127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289.600006pt,-23.296745pt" to="443.174897pt,-23.296745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82912">
                <wp:simplePos x="0" y="0"/>
                <wp:positionH relativeFrom="page">
                  <wp:posOffset>3195320</wp:posOffset>
                </wp:positionH>
                <wp:positionV relativeFrom="paragraph">
                  <wp:posOffset>-1280118</wp:posOffset>
                </wp:positionV>
                <wp:extent cx="303530" cy="8191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303530" cy="81915"/>
                          <a:chExt cx="303530" cy="81915"/>
                        </a:xfrm>
                      </wpg:grpSpPr>
                      <wps:wsp>
                        <wps:cNvPr id="207" name="Graphic 207"/>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08" name="Graphic 208"/>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100.796745pt;width:23.9pt;height:6.45pt;mso-position-horizontal-relative:page;mso-position-vertical-relative:paragraph;z-index:15782912" id="docshapegroup173" coordorigin="5032,-2016" coordsize="478,129">
                <v:line style="position:absolute" from="5032,-1951" to="5313,-1951" stroked="true" strokeweight=".552992pt" strokecolor="#a30046">
                  <v:stroke dashstyle="solid"/>
                </v:line>
                <v:shape style="position:absolute;left:5269;top:-2016;width:240;height:129" id="docshape174" coordorigin="5269,-2016" coordsize="240,129" path="m5269,-2016l5269,-1887,5509,-1952,5269,-2016xe" filled="true" fillcolor="#a3004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3424">
                <wp:simplePos x="0" y="0"/>
                <wp:positionH relativeFrom="page">
                  <wp:posOffset>3195320</wp:posOffset>
                </wp:positionH>
                <wp:positionV relativeFrom="paragraph">
                  <wp:posOffset>-862288</wp:posOffset>
                </wp:positionV>
                <wp:extent cx="303530" cy="8191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303530" cy="81915"/>
                          <a:chExt cx="303530" cy="81915"/>
                        </a:xfrm>
                      </wpg:grpSpPr>
                      <wps:wsp>
                        <wps:cNvPr id="210" name="Graphic 210"/>
                        <wps:cNvSpPr/>
                        <wps:spPr>
                          <a:xfrm>
                            <a:off x="0" y="41313"/>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11" name="Graphic 211"/>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67.896744pt;width:23.9pt;height:6.45pt;mso-position-horizontal-relative:page;mso-position-vertical-relative:paragraph;z-index:15783424" id="docshapegroup175" coordorigin="5032,-1358" coordsize="478,129">
                <v:line style="position:absolute" from="5032,-1293" to="5313,-1293" stroked="true" strokeweight=".552992pt" strokecolor="#a30046">
                  <v:stroke dashstyle="solid"/>
                </v:line>
                <v:shape style="position:absolute;left:5269;top:-1358;width:240;height:129" id="docshape176" coordorigin="5269,-1358" coordsize="240,129" path="m5269,-1358l5269,-1229,5509,-1294,5269,-1358xe" filled="true" fillcolor="#a3004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3936">
                <wp:simplePos x="0" y="0"/>
                <wp:positionH relativeFrom="page">
                  <wp:posOffset>3195320</wp:posOffset>
                </wp:positionH>
                <wp:positionV relativeFrom="paragraph">
                  <wp:posOffset>-444458</wp:posOffset>
                </wp:positionV>
                <wp:extent cx="303530" cy="8191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303530" cy="81915"/>
                          <a:chExt cx="303530" cy="81915"/>
                        </a:xfrm>
                      </wpg:grpSpPr>
                      <wps:wsp>
                        <wps:cNvPr id="213" name="Graphic 213"/>
                        <wps:cNvSpPr/>
                        <wps:spPr>
                          <a:xfrm>
                            <a:off x="0" y="41313"/>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14" name="Graphic 214"/>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4.996746pt;width:23.9pt;height:6.45pt;mso-position-horizontal-relative:page;mso-position-vertical-relative:paragraph;z-index:15783936" id="docshapegroup177" coordorigin="5032,-700" coordsize="478,129">
                <v:line style="position:absolute" from="5032,-635" to="5313,-635" stroked="true" strokeweight=".552992pt" strokecolor="#a30046">
                  <v:stroke dashstyle="solid"/>
                </v:line>
                <v:shape style="position:absolute;left:5269;top:-700;width:240;height:129" id="docshape178" coordorigin="5269,-700" coordsize="240,129" path="m5269,-700l5269,-571,5509,-636,5269,-700xe" filled="true" fillcolor="#a3004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8032">
                <wp:simplePos x="0" y="0"/>
                <wp:positionH relativeFrom="page">
                  <wp:posOffset>1760220</wp:posOffset>
                </wp:positionH>
                <wp:positionV relativeFrom="paragraph">
                  <wp:posOffset>-2676255</wp:posOffset>
                </wp:positionV>
                <wp:extent cx="1399540" cy="250952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399540" cy="2509520"/>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74"/>
                            </w:tblGrid>
                            <w:tr>
                              <w:trPr>
                                <w:trHeight w:val="647" w:hRule="atLeast"/>
                              </w:trPr>
                              <w:tc>
                                <w:tcPr>
                                  <w:tcW w:w="2074" w:type="dxa"/>
                                </w:tcPr>
                                <w:p>
                                  <w:pPr>
                                    <w:pStyle w:val="TableParagraph"/>
                                    <w:spacing w:line="256" w:lineRule="auto" w:before="41"/>
                                    <w:ind w:left="88" w:right="994"/>
                                    <w:rPr>
                                      <w:rFonts w:ascii="Arial MT" w:hAnsi="Arial MT"/>
                                      <w:sz w:val="16"/>
                                    </w:rPr>
                                  </w:pPr>
                                  <w:r>
                                    <w:rPr>
                                      <w:rFonts w:ascii="Arial MT" w:hAnsi="Arial MT"/>
                                      <w:color w:val="A30046"/>
                                      <w:spacing w:val="-2"/>
                                      <w:sz w:val="16"/>
                                    </w:rPr>
                                    <w:t>Dilatación Atención</w:t>
                                  </w:r>
                                  <w:r>
                                    <w:rPr>
                                      <w:rFonts w:ascii="Arial MT" w:hAnsi="Arial MT"/>
                                      <w:color w:val="A30046"/>
                                      <w:spacing w:val="-13"/>
                                      <w:sz w:val="16"/>
                                    </w:rPr>
                                    <w:t> </w:t>
                                  </w:r>
                                  <w:r>
                                    <w:rPr>
                                      <w:rFonts w:ascii="Arial MT" w:hAnsi="Arial MT"/>
                                      <w:color w:val="A30046"/>
                                      <w:spacing w:val="-2"/>
                                      <w:sz w:val="16"/>
                                    </w:rPr>
                                    <w:t>1</w:t>
                                  </w:r>
                                  <w:r>
                                    <w:rPr>
                                      <w:rFonts w:ascii="Arial MT" w:hAnsi="Arial MT"/>
                                      <w:color w:val="A30046"/>
                                      <w:spacing w:val="-13"/>
                                      <w:sz w:val="16"/>
                                    </w:rPr>
                                    <w:t> </w:t>
                                  </w:r>
                                  <w:r>
                                    <w:rPr>
                                      <w:rFonts w:ascii="Arial MT" w:hAnsi="Arial MT"/>
                                      <w:color w:val="A30046"/>
                                      <w:spacing w:val="-2"/>
                                      <w:sz w:val="16"/>
                                    </w:rPr>
                                    <w:t>a</w:t>
                                  </w:r>
                                  <w:r>
                                    <w:rPr>
                                      <w:rFonts w:ascii="Arial MT" w:hAnsi="Arial MT"/>
                                      <w:color w:val="A30046"/>
                                      <w:spacing w:val="-13"/>
                                      <w:sz w:val="16"/>
                                    </w:rPr>
                                    <w:t> </w:t>
                                  </w:r>
                                  <w:r>
                                    <w:rPr>
                                      <w:rFonts w:ascii="Arial MT" w:hAnsi="Arial MT"/>
                                      <w:color w:val="A30046"/>
                                      <w:spacing w:val="-2"/>
                                      <w:sz w:val="16"/>
                                    </w:rPr>
                                    <w:t>1</w:t>
                                  </w:r>
                                </w:p>
                                <w:p>
                                  <w:pPr>
                                    <w:pStyle w:val="TableParagraph"/>
                                    <w:spacing w:line="169" w:lineRule="exact"/>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10"/>
                                      <w:sz w:val="16"/>
                                    </w:rPr>
                                    <w:t>3</w:t>
                                  </w:r>
                                </w:p>
                              </w:tc>
                            </w:tr>
                            <w:tr>
                              <w:trPr>
                                <w:trHeight w:val="647" w:hRule="atLeast"/>
                              </w:trPr>
                              <w:tc>
                                <w:tcPr>
                                  <w:tcW w:w="2074" w:type="dxa"/>
                                </w:tcPr>
                                <w:p>
                                  <w:pPr>
                                    <w:pStyle w:val="TableParagraph"/>
                                    <w:spacing w:line="249" w:lineRule="auto" w:before="41"/>
                                    <w:ind w:left="88" w:right="994"/>
                                    <w:rPr>
                                      <w:rFonts w:ascii="Arial MT" w:hAnsi="Arial MT"/>
                                      <w:sz w:val="16"/>
                                    </w:rPr>
                                  </w:pPr>
                                  <w:r>
                                    <w:rPr>
                                      <w:rFonts w:ascii="Arial MT" w:hAnsi="Arial MT"/>
                                      <w:color w:val="A30046"/>
                                      <w:spacing w:val="-2"/>
                                      <w:sz w:val="16"/>
                                    </w:rPr>
                                    <w:t>Dilatación Amniorexis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647" w:hRule="atLeast"/>
                              </w:trPr>
                              <w:tc>
                                <w:tcPr>
                                  <w:tcW w:w="2074" w:type="dxa"/>
                                </w:tcPr>
                                <w:p>
                                  <w:pPr>
                                    <w:pStyle w:val="TableParagraph"/>
                                    <w:spacing w:line="249" w:lineRule="auto" w:before="41"/>
                                    <w:ind w:left="88" w:right="994"/>
                                    <w:rPr>
                                      <w:rFonts w:ascii="Arial MT" w:hAnsi="Arial MT"/>
                                      <w:sz w:val="16"/>
                                    </w:rPr>
                                  </w:pPr>
                                  <w:r>
                                    <w:rPr>
                                      <w:rFonts w:ascii="Arial MT" w:hAnsi="Arial MT"/>
                                      <w:color w:val="A30046"/>
                                      <w:spacing w:val="-2"/>
                                      <w:sz w:val="16"/>
                                    </w:rPr>
                                    <w:t>Dilatación Retardo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647" w:hRule="atLeast"/>
                              </w:trPr>
                              <w:tc>
                                <w:tcPr>
                                  <w:tcW w:w="2074" w:type="dxa"/>
                                </w:tcPr>
                                <w:p>
                                  <w:pPr>
                                    <w:pStyle w:val="TableParagraph"/>
                                    <w:spacing w:line="249" w:lineRule="auto" w:before="41"/>
                                    <w:ind w:left="88" w:right="608"/>
                                    <w:rPr>
                                      <w:rFonts w:ascii="Arial MT" w:hAnsi="Arial MT"/>
                                      <w:sz w:val="16"/>
                                    </w:rPr>
                                  </w:pPr>
                                  <w:r>
                                    <w:rPr>
                                      <w:rFonts w:ascii="Arial MT" w:hAnsi="Arial MT"/>
                                      <w:color w:val="A30046"/>
                                      <w:spacing w:val="-6"/>
                                      <w:sz w:val="16"/>
                                    </w:rPr>
                                    <w:t>Dilatación-Expulsivo</w:t>
                                  </w:r>
                                  <w:r>
                                    <w:rPr>
                                      <w:rFonts w:ascii="Arial MT" w:hAnsi="Arial MT"/>
                                      <w:color w:val="A30046"/>
                                      <w:spacing w:val="-2"/>
                                      <w:sz w:val="16"/>
                                    </w:rPr>
                                    <w:t> movilización </w:t>
                                  </w:r>
                                  <w:r>
                                    <w:rPr>
                                      <w:rFonts w:ascii="Arial MT" w:hAnsi="Arial MT"/>
                                      <w:color w:val="231F1F"/>
                                      <w:sz w:val="16"/>
                                    </w:rPr>
                                    <w:t>Criterios: </w:t>
                                  </w:r>
                                  <w:r>
                                    <w:rPr>
                                      <w:rFonts w:ascii="Arial MT" w:hAnsi="Arial MT"/>
                                      <w:color w:val="A30046"/>
                                      <w:sz w:val="16"/>
                                    </w:rPr>
                                    <w:t>3,4</w:t>
                                  </w:r>
                                </w:p>
                              </w:tc>
                            </w:tr>
                            <w:tr>
                              <w:trPr>
                                <w:trHeight w:val="647" w:hRule="atLeast"/>
                              </w:trPr>
                              <w:tc>
                                <w:tcPr>
                                  <w:tcW w:w="2074" w:type="dxa"/>
                                </w:tcPr>
                                <w:p>
                                  <w:pPr>
                                    <w:pStyle w:val="TableParagraph"/>
                                    <w:spacing w:line="249" w:lineRule="auto" w:before="41"/>
                                    <w:ind w:left="88" w:right="608"/>
                                    <w:rPr>
                                      <w:rFonts w:ascii="Arial MT"/>
                                      <w:sz w:val="16"/>
                                    </w:rPr>
                                  </w:pPr>
                                  <w:r>
                                    <w:rPr>
                                      <w:rFonts w:ascii="Arial MT"/>
                                      <w:color w:val="A30046"/>
                                      <w:spacing w:val="-2"/>
                                      <w:sz w:val="16"/>
                                    </w:rPr>
                                    <w:t>Expulsivo episiotomia </w:t>
                                  </w:r>
                                  <w:r>
                                    <w:rPr>
                                      <w:rFonts w:ascii="Arial MT"/>
                                      <w:color w:val="231F1F"/>
                                      <w:spacing w:val="-4"/>
                                      <w:sz w:val="16"/>
                                    </w:rPr>
                                    <w:t>Criterios:</w:t>
                                  </w:r>
                                  <w:r>
                                    <w:rPr>
                                      <w:rFonts w:ascii="Arial MT"/>
                                      <w:color w:val="231F1F"/>
                                      <w:spacing w:val="-14"/>
                                      <w:sz w:val="16"/>
                                    </w:rPr>
                                    <w:t> </w:t>
                                  </w:r>
                                  <w:r>
                                    <w:rPr>
                                      <w:rFonts w:ascii="Arial MT"/>
                                      <w:color w:val="A30046"/>
                                      <w:spacing w:val="-4"/>
                                      <w:sz w:val="16"/>
                                    </w:rPr>
                                    <w:t>1,2,3</w:t>
                                  </w:r>
                                </w:p>
                              </w:tc>
                            </w:tr>
                            <w:tr>
                              <w:trPr>
                                <w:trHeight w:val="647" w:hRule="atLeast"/>
                              </w:trPr>
                              <w:tc>
                                <w:tcPr>
                                  <w:tcW w:w="2074" w:type="dxa"/>
                                </w:tcPr>
                                <w:p>
                                  <w:pPr>
                                    <w:pStyle w:val="TableParagraph"/>
                                    <w:spacing w:line="249" w:lineRule="auto" w:before="41"/>
                                    <w:ind w:left="88" w:right="994"/>
                                    <w:rPr>
                                      <w:rFonts w:ascii="Arial MT"/>
                                      <w:sz w:val="16"/>
                                    </w:rPr>
                                  </w:pPr>
                                  <w:r>
                                    <w:rPr>
                                      <w:rFonts w:ascii="Arial MT"/>
                                      <w:color w:val="A30046"/>
                                      <w:spacing w:val="-2"/>
                                      <w:sz w:val="16"/>
                                    </w:rPr>
                                    <w:t>Expulsivo Kristeller </w:t>
                                  </w:r>
                                  <w:r>
                                    <w:rPr>
                                      <w:rFonts w:ascii="Arial MT"/>
                                      <w:color w:val="231F1F"/>
                                      <w:spacing w:val="-4"/>
                                      <w:sz w:val="16"/>
                                    </w:rPr>
                                    <w:t>Criterios:</w:t>
                                  </w:r>
                                  <w:r>
                                    <w:rPr>
                                      <w:rFonts w:ascii="Arial MT"/>
                                      <w:color w:val="231F1F"/>
                                      <w:spacing w:val="-14"/>
                                      <w:sz w:val="16"/>
                                    </w:rPr>
                                    <w:t> </w:t>
                                  </w:r>
                                  <w:r>
                                    <w:rPr>
                                      <w:rFonts w:ascii="Arial MT"/>
                                      <w:color w:val="A30046"/>
                                      <w:spacing w:val="-4"/>
                                      <w:sz w:val="16"/>
                                    </w:rPr>
                                    <w:t>1,3</w:t>
                                  </w:r>
                                </w:p>
                              </w:tc>
                            </w:tr>
                          </w:tbl>
                          <w:p>
                            <w:pPr>
                              <w:pStyle w:val="BodyText"/>
                            </w:pPr>
                          </w:p>
                        </w:txbxContent>
                      </wps:txbx>
                      <wps:bodyPr wrap="square" lIns="0" tIns="0" rIns="0" bIns="0" rtlCol="0">
                        <a:noAutofit/>
                      </wps:bodyPr>
                    </wps:wsp>
                  </a:graphicData>
                </a:graphic>
              </wp:anchor>
            </w:drawing>
          </mc:Choice>
          <mc:Fallback>
            <w:pict>
              <v:shape style="position:absolute;margin-left:138.600006pt;margin-top:-210.728745pt;width:110.2pt;height:197.6pt;mso-position-horizontal-relative:page;mso-position-vertical-relative:paragraph;z-index:15788032" type="#_x0000_t202" id="docshape179"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74"/>
                      </w:tblGrid>
                      <w:tr>
                        <w:trPr>
                          <w:trHeight w:val="647" w:hRule="atLeast"/>
                        </w:trPr>
                        <w:tc>
                          <w:tcPr>
                            <w:tcW w:w="2074" w:type="dxa"/>
                          </w:tcPr>
                          <w:p>
                            <w:pPr>
                              <w:pStyle w:val="TableParagraph"/>
                              <w:spacing w:line="256" w:lineRule="auto" w:before="41"/>
                              <w:ind w:left="88" w:right="994"/>
                              <w:rPr>
                                <w:rFonts w:ascii="Arial MT" w:hAnsi="Arial MT"/>
                                <w:sz w:val="16"/>
                              </w:rPr>
                            </w:pPr>
                            <w:r>
                              <w:rPr>
                                <w:rFonts w:ascii="Arial MT" w:hAnsi="Arial MT"/>
                                <w:color w:val="A30046"/>
                                <w:spacing w:val="-2"/>
                                <w:sz w:val="16"/>
                              </w:rPr>
                              <w:t>Dilatación Atención</w:t>
                            </w:r>
                            <w:r>
                              <w:rPr>
                                <w:rFonts w:ascii="Arial MT" w:hAnsi="Arial MT"/>
                                <w:color w:val="A30046"/>
                                <w:spacing w:val="-13"/>
                                <w:sz w:val="16"/>
                              </w:rPr>
                              <w:t> </w:t>
                            </w:r>
                            <w:r>
                              <w:rPr>
                                <w:rFonts w:ascii="Arial MT" w:hAnsi="Arial MT"/>
                                <w:color w:val="A30046"/>
                                <w:spacing w:val="-2"/>
                                <w:sz w:val="16"/>
                              </w:rPr>
                              <w:t>1</w:t>
                            </w:r>
                            <w:r>
                              <w:rPr>
                                <w:rFonts w:ascii="Arial MT" w:hAnsi="Arial MT"/>
                                <w:color w:val="A30046"/>
                                <w:spacing w:val="-13"/>
                                <w:sz w:val="16"/>
                              </w:rPr>
                              <w:t> </w:t>
                            </w:r>
                            <w:r>
                              <w:rPr>
                                <w:rFonts w:ascii="Arial MT" w:hAnsi="Arial MT"/>
                                <w:color w:val="A30046"/>
                                <w:spacing w:val="-2"/>
                                <w:sz w:val="16"/>
                              </w:rPr>
                              <w:t>a</w:t>
                            </w:r>
                            <w:r>
                              <w:rPr>
                                <w:rFonts w:ascii="Arial MT" w:hAnsi="Arial MT"/>
                                <w:color w:val="A30046"/>
                                <w:spacing w:val="-13"/>
                                <w:sz w:val="16"/>
                              </w:rPr>
                              <w:t> </w:t>
                            </w:r>
                            <w:r>
                              <w:rPr>
                                <w:rFonts w:ascii="Arial MT" w:hAnsi="Arial MT"/>
                                <w:color w:val="A30046"/>
                                <w:spacing w:val="-2"/>
                                <w:sz w:val="16"/>
                              </w:rPr>
                              <w:t>1</w:t>
                            </w:r>
                          </w:p>
                          <w:p>
                            <w:pPr>
                              <w:pStyle w:val="TableParagraph"/>
                              <w:spacing w:line="169" w:lineRule="exact"/>
                              <w:ind w:left="88"/>
                              <w:rPr>
                                <w:rFonts w:ascii="Arial MT"/>
                                <w:sz w:val="16"/>
                              </w:rPr>
                            </w:pPr>
                            <w:r>
                              <w:rPr>
                                <w:rFonts w:ascii="Arial MT"/>
                                <w:color w:val="231F1F"/>
                                <w:spacing w:val="-2"/>
                                <w:sz w:val="16"/>
                              </w:rPr>
                              <w:t>Criterios:</w:t>
                            </w:r>
                            <w:r>
                              <w:rPr>
                                <w:rFonts w:ascii="Arial MT"/>
                                <w:color w:val="231F1F"/>
                                <w:spacing w:val="8"/>
                                <w:sz w:val="16"/>
                              </w:rPr>
                              <w:t> </w:t>
                            </w:r>
                            <w:r>
                              <w:rPr>
                                <w:rFonts w:ascii="Arial MT"/>
                                <w:color w:val="A30046"/>
                                <w:spacing w:val="-10"/>
                                <w:sz w:val="16"/>
                              </w:rPr>
                              <w:t>3</w:t>
                            </w:r>
                          </w:p>
                        </w:tc>
                      </w:tr>
                      <w:tr>
                        <w:trPr>
                          <w:trHeight w:val="647" w:hRule="atLeast"/>
                        </w:trPr>
                        <w:tc>
                          <w:tcPr>
                            <w:tcW w:w="2074" w:type="dxa"/>
                          </w:tcPr>
                          <w:p>
                            <w:pPr>
                              <w:pStyle w:val="TableParagraph"/>
                              <w:spacing w:line="249" w:lineRule="auto" w:before="41"/>
                              <w:ind w:left="88" w:right="994"/>
                              <w:rPr>
                                <w:rFonts w:ascii="Arial MT" w:hAnsi="Arial MT"/>
                                <w:sz w:val="16"/>
                              </w:rPr>
                            </w:pPr>
                            <w:r>
                              <w:rPr>
                                <w:rFonts w:ascii="Arial MT" w:hAnsi="Arial MT"/>
                                <w:color w:val="A30046"/>
                                <w:spacing w:val="-2"/>
                                <w:sz w:val="16"/>
                              </w:rPr>
                              <w:t>Dilatación Amniorexis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647" w:hRule="atLeast"/>
                        </w:trPr>
                        <w:tc>
                          <w:tcPr>
                            <w:tcW w:w="2074" w:type="dxa"/>
                          </w:tcPr>
                          <w:p>
                            <w:pPr>
                              <w:pStyle w:val="TableParagraph"/>
                              <w:spacing w:line="249" w:lineRule="auto" w:before="41"/>
                              <w:ind w:left="88" w:right="994"/>
                              <w:rPr>
                                <w:rFonts w:ascii="Arial MT" w:hAnsi="Arial MT"/>
                                <w:sz w:val="16"/>
                              </w:rPr>
                            </w:pPr>
                            <w:r>
                              <w:rPr>
                                <w:rFonts w:ascii="Arial MT" w:hAnsi="Arial MT"/>
                                <w:color w:val="A30046"/>
                                <w:spacing w:val="-2"/>
                                <w:sz w:val="16"/>
                              </w:rPr>
                              <w:t>Dilatación Retardo </w:t>
                            </w:r>
                            <w:r>
                              <w:rPr>
                                <w:rFonts w:ascii="Arial MT" w:hAnsi="Arial MT"/>
                                <w:color w:val="231F1F"/>
                                <w:spacing w:val="-4"/>
                                <w:sz w:val="16"/>
                              </w:rPr>
                              <w:t>Criterios:</w:t>
                            </w:r>
                            <w:r>
                              <w:rPr>
                                <w:rFonts w:ascii="Arial MT" w:hAnsi="Arial MT"/>
                                <w:color w:val="231F1F"/>
                                <w:spacing w:val="-14"/>
                                <w:sz w:val="16"/>
                              </w:rPr>
                              <w:t> </w:t>
                            </w:r>
                            <w:r>
                              <w:rPr>
                                <w:rFonts w:ascii="Arial MT" w:hAnsi="Arial MT"/>
                                <w:color w:val="A30046"/>
                                <w:spacing w:val="-4"/>
                                <w:sz w:val="16"/>
                              </w:rPr>
                              <w:t>2,3</w:t>
                            </w:r>
                          </w:p>
                        </w:tc>
                      </w:tr>
                      <w:tr>
                        <w:trPr>
                          <w:trHeight w:val="647" w:hRule="atLeast"/>
                        </w:trPr>
                        <w:tc>
                          <w:tcPr>
                            <w:tcW w:w="2074" w:type="dxa"/>
                          </w:tcPr>
                          <w:p>
                            <w:pPr>
                              <w:pStyle w:val="TableParagraph"/>
                              <w:spacing w:line="249" w:lineRule="auto" w:before="41"/>
                              <w:ind w:left="88" w:right="608"/>
                              <w:rPr>
                                <w:rFonts w:ascii="Arial MT" w:hAnsi="Arial MT"/>
                                <w:sz w:val="16"/>
                              </w:rPr>
                            </w:pPr>
                            <w:r>
                              <w:rPr>
                                <w:rFonts w:ascii="Arial MT" w:hAnsi="Arial MT"/>
                                <w:color w:val="A30046"/>
                                <w:spacing w:val="-6"/>
                                <w:sz w:val="16"/>
                              </w:rPr>
                              <w:t>Dilatación-Expulsivo</w:t>
                            </w:r>
                            <w:r>
                              <w:rPr>
                                <w:rFonts w:ascii="Arial MT" w:hAnsi="Arial MT"/>
                                <w:color w:val="A30046"/>
                                <w:spacing w:val="-2"/>
                                <w:sz w:val="16"/>
                              </w:rPr>
                              <w:t> movilización </w:t>
                            </w:r>
                            <w:r>
                              <w:rPr>
                                <w:rFonts w:ascii="Arial MT" w:hAnsi="Arial MT"/>
                                <w:color w:val="231F1F"/>
                                <w:sz w:val="16"/>
                              </w:rPr>
                              <w:t>Criterios: </w:t>
                            </w:r>
                            <w:r>
                              <w:rPr>
                                <w:rFonts w:ascii="Arial MT" w:hAnsi="Arial MT"/>
                                <w:color w:val="A30046"/>
                                <w:sz w:val="16"/>
                              </w:rPr>
                              <w:t>3,4</w:t>
                            </w:r>
                          </w:p>
                        </w:tc>
                      </w:tr>
                      <w:tr>
                        <w:trPr>
                          <w:trHeight w:val="647" w:hRule="atLeast"/>
                        </w:trPr>
                        <w:tc>
                          <w:tcPr>
                            <w:tcW w:w="2074" w:type="dxa"/>
                          </w:tcPr>
                          <w:p>
                            <w:pPr>
                              <w:pStyle w:val="TableParagraph"/>
                              <w:spacing w:line="249" w:lineRule="auto" w:before="41"/>
                              <w:ind w:left="88" w:right="608"/>
                              <w:rPr>
                                <w:rFonts w:ascii="Arial MT"/>
                                <w:sz w:val="16"/>
                              </w:rPr>
                            </w:pPr>
                            <w:r>
                              <w:rPr>
                                <w:rFonts w:ascii="Arial MT"/>
                                <w:color w:val="A30046"/>
                                <w:spacing w:val="-2"/>
                                <w:sz w:val="16"/>
                              </w:rPr>
                              <w:t>Expulsivo episiotomia </w:t>
                            </w:r>
                            <w:r>
                              <w:rPr>
                                <w:rFonts w:ascii="Arial MT"/>
                                <w:color w:val="231F1F"/>
                                <w:spacing w:val="-4"/>
                                <w:sz w:val="16"/>
                              </w:rPr>
                              <w:t>Criterios:</w:t>
                            </w:r>
                            <w:r>
                              <w:rPr>
                                <w:rFonts w:ascii="Arial MT"/>
                                <w:color w:val="231F1F"/>
                                <w:spacing w:val="-14"/>
                                <w:sz w:val="16"/>
                              </w:rPr>
                              <w:t> </w:t>
                            </w:r>
                            <w:r>
                              <w:rPr>
                                <w:rFonts w:ascii="Arial MT"/>
                                <w:color w:val="A30046"/>
                                <w:spacing w:val="-4"/>
                                <w:sz w:val="16"/>
                              </w:rPr>
                              <w:t>1,2,3</w:t>
                            </w:r>
                          </w:p>
                        </w:tc>
                      </w:tr>
                      <w:tr>
                        <w:trPr>
                          <w:trHeight w:val="647" w:hRule="atLeast"/>
                        </w:trPr>
                        <w:tc>
                          <w:tcPr>
                            <w:tcW w:w="2074" w:type="dxa"/>
                          </w:tcPr>
                          <w:p>
                            <w:pPr>
                              <w:pStyle w:val="TableParagraph"/>
                              <w:spacing w:line="249" w:lineRule="auto" w:before="41"/>
                              <w:ind w:left="88" w:right="994"/>
                              <w:rPr>
                                <w:rFonts w:ascii="Arial MT"/>
                                <w:sz w:val="16"/>
                              </w:rPr>
                            </w:pPr>
                            <w:r>
                              <w:rPr>
                                <w:rFonts w:ascii="Arial MT"/>
                                <w:color w:val="A30046"/>
                                <w:spacing w:val="-2"/>
                                <w:sz w:val="16"/>
                              </w:rPr>
                              <w:t>Expulsivo Kristeller </w:t>
                            </w:r>
                            <w:r>
                              <w:rPr>
                                <w:rFonts w:ascii="Arial MT"/>
                                <w:color w:val="231F1F"/>
                                <w:spacing w:val="-4"/>
                                <w:sz w:val="16"/>
                              </w:rPr>
                              <w:t>Criterios:</w:t>
                            </w:r>
                            <w:r>
                              <w:rPr>
                                <w:rFonts w:ascii="Arial MT"/>
                                <w:color w:val="231F1F"/>
                                <w:spacing w:val="-14"/>
                                <w:sz w:val="16"/>
                              </w:rPr>
                              <w:t> </w:t>
                            </w:r>
                            <w:r>
                              <w:rPr>
                                <w:rFonts w:ascii="Arial MT"/>
                                <w:color w:val="A30046"/>
                                <w:spacing w:val="-4"/>
                                <w:sz w:val="16"/>
                              </w:rPr>
                              <w:t>1,3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3506723</wp:posOffset>
                </wp:positionH>
                <wp:positionV relativeFrom="paragraph">
                  <wp:posOffset>-2676255</wp:posOffset>
                </wp:positionV>
                <wp:extent cx="2277110" cy="250952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277110" cy="2509520"/>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47" w:hRule="atLeast"/>
                              </w:trPr>
                              <w:tc>
                                <w:tcPr>
                                  <w:tcW w:w="3456" w:type="dxa"/>
                                </w:tcPr>
                                <w:p>
                                  <w:pPr>
                                    <w:pStyle w:val="TableParagraph"/>
                                    <w:spacing w:line="292" w:lineRule="auto" w:before="51"/>
                                    <w:ind w:left="461" w:right="425"/>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atendidas</w:t>
                                  </w:r>
                                  <w:r>
                                    <w:rPr>
                                      <w:rFonts w:ascii="Arial MT" w:hAnsi="Arial MT"/>
                                      <w:color w:val="231F1F"/>
                                      <w:spacing w:val="-6"/>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forma</w:t>
                                  </w:r>
                                  <w:r>
                                    <w:rPr>
                                      <w:rFonts w:ascii="Arial MT" w:hAnsi="Arial MT"/>
                                      <w:color w:val="231F1F"/>
                                      <w:spacing w:val="40"/>
                                      <w:sz w:val="14"/>
                                    </w:rPr>
                                    <w:t> </w:t>
                                  </w:r>
                                  <w:r>
                                    <w:rPr>
                                      <w:rFonts w:ascii="Arial MT" w:hAnsi="Arial MT"/>
                                      <w:color w:val="231F1F"/>
                                      <w:sz w:val="14"/>
                                    </w:rPr>
                                    <w:t>continua por matronas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les</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pacing w:val="-2"/>
                                      <w:sz w:val="14"/>
                                    </w:rPr>
                                    <w:t>amoirrexis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85" w:lineRule="auto" w:before="51"/>
                                    <w:ind w:left="237" w:right="200"/>
                                    <w:jc w:val="center"/>
                                    <w:rPr>
                                      <w:rFonts w:ascii="Arial MT" w:hAnsi="Arial MT"/>
                                      <w:sz w:val="14"/>
                                    </w:rPr>
                                  </w:pPr>
                                  <w:r>
                                    <w:rPr>
                                      <w:rFonts w:ascii="Arial MT" w:hAnsi="Arial MT"/>
                                      <w:color w:val="231F1F"/>
                                      <w:spacing w:val="-2"/>
                                      <w:sz w:val="14"/>
                                    </w:rPr>
                                    <w:t>N.º de mujeres intervenidas durante la dilatación</w:t>
                                  </w:r>
                                  <w:r>
                                    <w:rPr>
                                      <w:rFonts w:ascii="Arial MT" w:hAnsi="Arial MT"/>
                                      <w:color w:val="231F1F"/>
                                      <w:spacing w:val="40"/>
                                      <w:sz w:val="14"/>
                                    </w:rPr>
                                    <w:t> </w:t>
                                  </w:r>
                                  <w:r>
                                    <w:rPr>
                                      <w:rFonts w:ascii="Arial MT" w:hAnsi="Arial MT"/>
                                      <w:color w:val="231F1F"/>
                                      <w:sz w:val="14"/>
                                    </w:rPr>
                                    <w:t>antes de las 18h en nuliparas (12h multiparas)</w:t>
                                  </w:r>
                                  <w:r>
                                    <w:rPr>
                                      <w:rFonts w:ascii="Arial MT" w:hAnsi="Arial MT"/>
                                      <w:color w:val="231F1F"/>
                                      <w:spacing w:val="40"/>
                                      <w:sz w:val="14"/>
                                    </w:rPr>
                                    <w:t> </w:t>
                                  </w:r>
                                  <w:r>
                                    <w:rPr>
                                      <w:rFonts w:ascii="Arial MT" w:hAnsi="Arial MT"/>
                                      <w:color w:val="231F1F"/>
                                      <w:sz w:val="14"/>
                                    </w:rPr>
                                    <w:t>n.º total de mujeres pvsc</w:t>
                                  </w:r>
                                </w:p>
                              </w:tc>
                            </w:tr>
                            <w:tr>
                              <w:trPr>
                                <w:trHeight w:val="647" w:hRule="atLeast"/>
                              </w:trPr>
                              <w:tc>
                                <w:tcPr>
                                  <w:tcW w:w="3456" w:type="dxa"/>
                                </w:tcPr>
                                <w:p>
                                  <w:pPr>
                                    <w:pStyle w:val="TableParagraph"/>
                                    <w:spacing w:line="285" w:lineRule="auto" w:before="147"/>
                                    <w:ind w:left="1251" w:right="176" w:hanging="1122"/>
                                    <w:rPr>
                                      <w:rFonts w:ascii="Arial MT" w:hAnsi="Arial MT"/>
                                      <w:sz w:val="14"/>
                                    </w:rPr>
                                  </w:pPr>
                                  <w:r>
                                    <w:rPr>
                                      <w:rFonts w:ascii="Arial MT" w:hAnsi="Arial MT"/>
                                      <w:color w:val="231F1F"/>
                                      <w:sz w:val="14"/>
                                    </w:rPr>
                                    <w:t>Se</w:t>
                                  </w:r>
                                  <w:r>
                                    <w:rPr>
                                      <w:rFonts w:ascii="Arial MT" w:hAnsi="Arial MT"/>
                                      <w:color w:val="231F1F"/>
                                      <w:spacing w:val="-10"/>
                                      <w:sz w:val="14"/>
                                    </w:rPr>
                                    <w:t> </w:t>
                                  </w:r>
                                  <w:r>
                                    <w:rPr>
                                      <w:rFonts w:ascii="Arial MT" w:hAnsi="Arial MT"/>
                                      <w:color w:val="231F1F"/>
                                      <w:sz w:val="14"/>
                                    </w:rPr>
                                    <w:t>promueve</w:t>
                                  </w:r>
                                  <w:r>
                                    <w:rPr>
                                      <w:rFonts w:ascii="Arial MT" w:hAnsi="Arial MT"/>
                                      <w:color w:val="231F1F"/>
                                      <w:spacing w:val="-10"/>
                                      <w:sz w:val="14"/>
                                    </w:rPr>
                                    <w:t> </w:t>
                                  </w:r>
                                  <w:r>
                                    <w:rPr>
                                      <w:rFonts w:ascii="Arial MT" w:hAnsi="Arial MT"/>
                                      <w:color w:val="231F1F"/>
                                      <w:sz w:val="14"/>
                                    </w:rPr>
                                    <w:t>la</w:t>
                                  </w:r>
                                  <w:r>
                                    <w:rPr>
                                      <w:rFonts w:ascii="Arial MT" w:hAnsi="Arial MT"/>
                                      <w:color w:val="231F1F"/>
                                      <w:spacing w:val="-10"/>
                                      <w:sz w:val="14"/>
                                    </w:rPr>
                                    <w:t> </w:t>
                                  </w:r>
                                  <w:r>
                                    <w:rPr>
                                      <w:rFonts w:ascii="Arial MT" w:hAnsi="Arial MT"/>
                                      <w:color w:val="231F1F"/>
                                      <w:sz w:val="14"/>
                                    </w:rPr>
                                    <w:t>libre</w:t>
                                  </w:r>
                                  <w:r>
                                    <w:rPr>
                                      <w:rFonts w:ascii="Arial MT" w:hAnsi="Arial MT"/>
                                      <w:color w:val="231F1F"/>
                                      <w:spacing w:val="-9"/>
                                      <w:sz w:val="14"/>
                                    </w:rPr>
                                    <w:t> </w:t>
                                  </w:r>
                                  <w:r>
                                    <w:rPr>
                                      <w:rFonts w:ascii="Arial MT" w:hAnsi="Arial MT"/>
                                      <w:color w:val="231F1F"/>
                                      <w:sz w:val="14"/>
                                    </w:rPr>
                                    <w:t>elección</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postura</w:t>
                                  </w:r>
                                  <w:r>
                                    <w:rPr>
                                      <w:rFonts w:ascii="Arial MT" w:hAnsi="Arial MT"/>
                                      <w:color w:val="231F1F"/>
                                      <w:spacing w:val="-10"/>
                                      <w:sz w:val="14"/>
                                    </w:rPr>
                                    <w:t> </w:t>
                                  </w:r>
                                  <w:r>
                                    <w:rPr>
                                      <w:rFonts w:ascii="Arial MT" w:hAnsi="Arial MT"/>
                                      <w:color w:val="231F1F"/>
                                      <w:sz w:val="14"/>
                                    </w:rPr>
                                    <w:t>durante</w:t>
                                  </w:r>
                                  <w:r>
                                    <w:rPr>
                                      <w:rFonts w:ascii="Arial MT" w:hAnsi="Arial MT"/>
                                      <w:color w:val="231F1F"/>
                                      <w:spacing w:val="-9"/>
                                      <w:sz w:val="14"/>
                                    </w:rPr>
                                    <w:t> </w:t>
                                  </w:r>
                                  <w:r>
                                    <w:rPr>
                                      <w:rFonts w:ascii="Arial MT" w:hAnsi="Arial MT"/>
                                      <w:color w:val="231F1F"/>
                                      <w:sz w:val="14"/>
                                    </w:rPr>
                                    <w:t>el</w:t>
                                  </w:r>
                                  <w:r>
                                    <w:rPr>
                                      <w:rFonts w:ascii="Arial MT" w:hAnsi="Arial MT"/>
                                      <w:color w:val="231F1F"/>
                                      <w:spacing w:val="40"/>
                                      <w:sz w:val="14"/>
                                    </w:rPr>
                                    <w:t> </w:t>
                                  </w:r>
                                  <w:r>
                                    <w:rPr>
                                      <w:rFonts w:ascii="Arial MT" w:hAnsi="Arial MT"/>
                                      <w:color w:val="231F1F"/>
                                      <w:sz w:val="14"/>
                                    </w:rPr>
                                    <w:t>parto. (SI o NO)</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pacing w:val="-2"/>
                                      <w:sz w:val="14"/>
                                    </w:rPr>
                                    <w:t>episiotomías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les</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7"/>
                                      <w:sz w:val="14"/>
                                    </w:rPr>
                                    <w:t> </w:t>
                                  </w:r>
                                  <w:r>
                                    <w:rPr>
                                      <w:rFonts w:ascii="Arial MT" w:hAnsi="Arial MT"/>
                                      <w:color w:val="231F1F"/>
                                      <w:spacing w:val="-2"/>
                                      <w:sz w:val="14"/>
                                    </w:rPr>
                                    <w:t>la</w:t>
                                  </w:r>
                                  <w:r>
                                    <w:rPr>
                                      <w:rFonts w:ascii="Arial MT" w:hAnsi="Arial MT"/>
                                      <w:color w:val="231F1F"/>
                                      <w:spacing w:val="40"/>
                                      <w:sz w:val="14"/>
                                    </w:rPr>
                                    <w:t> </w:t>
                                  </w:r>
                                  <w:r>
                                    <w:rPr>
                                      <w:rFonts w:ascii="Arial MT" w:hAnsi="Arial MT"/>
                                      <w:color w:val="231F1F"/>
                                      <w:sz w:val="14"/>
                                    </w:rPr>
                                    <w:t>maniobra de kristeller</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wps:txbx>
                      <wps:bodyPr wrap="square" lIns="0" tIns="0" rIns="0" bIns="0" rtlCol="0">
                        <a:noAutofit/>
                      </wps:bodyPr>
                    </wps:wsp>
                  </a:graphicData>
                </a:graphic>
              </wp:anchor>
            </w:drawing>
          </mc:Choice>
          <mc:Fallback>
            <w:pict>
              <v:shape style="position:absolute;margin-left:276.119995pt;margin-top:-210.728745pt;width:179.3pt;height:197.6pt;mso-position-horizontal-relative:page;mso-position-vertical-relative:paragraph;z-index:15788544" type="#_x0000_t202" id="docshape180"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47" w:hRule="atLeast"/>
                        </w:trPr>
                        <w:tc>
                          <w:tcPr>
                            <w:tcW w:w="3456" w:type="dxa"/>
                          </w:tcPr>
                          <w:p>
                            <w:pPr>
                              <w:pStyle w:val="TableParagraph"/>
                              <w:spacing w:line="292" w:lineRule="auto" w:before="51"/>
                              <w:ind w:left="461" w:right="425"/>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atendidas</w:t>
                            </w:r>
                            <w:r>
                              <w:rPr>
                                <w:rFonts w:ascii="Arial MT" w:hAnsi="Arial MT"/>
                                <w:color w:val="231F1F"/>
                                <w:spacing w:val="-6"/>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forma</w:t>
                            </w:r>
                            <w:r>
                              <w:rPr>
                                <w:rFonts w:ascii="Arial MT" w:hAnsi="Arial MT"/>
                                <w:color w:val="231F1F"/>
                                <w:spacing w:val="40"/>
                                <w:sz w:val="14"/>
                              </w:rPr>
                              <w:t> </w:t>
                            </w:r>
                            <w:r>
                              <w:rPr>
                                <w:rFonts w:ascii="Arial MT" w:hAnsi="Arial MT"/>
                                <w:color w:val="231F1F"/>
                                <w:sz w:val="14"/>
                              </w:rPr>
                              <w:t>continua por matronas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les</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pacing w:val="-2"/>
                                <w:sz w:val="14"/>
                              </w:rPr>
                              <w:t>amoirrexis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85" w:lineRule="auto" w:before="51"/>
                              <w:ind w:left="237" w:right="200"/>
                              <w:jc w:val="center"/>
                              <w:rPr>
                                <w:rFonts w:ascii="Arial MT" w:hAnsi="Arial MT"/>
                                <w:sz w:val="14"/>
                              </w:rPr>
                            </w:pPr>
                            <w:r>
                              <w:rPr>
                                <w:rFonts w:ascii="Arial MT" w:hAnsi="Arial MT"/>
                                <w:color w:val="231F1F"/>
                                <w:spacing w:val="-2"/>
                                <w:sz w:val="14"/>
                              </w:rPr>
                              <w:t>N.º de mujeres intervenidas durante la dilatación</w:t>
                            </w:r>
                            <w:r>
                              <w:rPr>
                                <w:rFonts w:ascii="Arial MT" w:hAnsi="Arial MT"/>
                                <w:color w:val="231F1F"/>
                                <w:spacing w:val="40"/>
                                <w:sz w:val="14"/>
                              </w:rPr>
                              <w:t> </w:t>
                            </w:r>
                            <w:r>
                              <w:rPr>
                                <w:rFonts w:ascii="Arial MT" w:hAnsi="Arial MT"/>
                                <w:color w:val="231F1F"/>
                                <w:sz w:val="14"/>
                              </w:rPr>
                              <w:t>antes de las 18h en nuliparas (12h multiparas)</w:t>
                            </w:r>
                            <w:r>
                              <w:rPr>
                                <w:rFonts w:ascii="Arial MT" w:hAnsi="Arial MT"/>
                                <w:color w:val="231F1F"/>
                                <w:spacing w:val="40"/>
                                <w:sz w:val="14"/>
                              </w:rPr>
                              <w:t> </w:t>
                            </w:r>
                            <w:r>
                              <w:rPr>
                                <w:rFonts w:ascii="Arial MT" w:hAnsi="Arial MT"/>
                                <w:color w:val="231F1F"/>
                                <w:sz w:val="14"/>
                              </w:rPr>
                              <w:t>n.º total de mujeres pvsc</w:t>
                            </w:r>
                          </w:p>
                        </w:tc>
                      </w:tr>
                      <w:tr>
                        <w:trPr>
                          <w:trHeight w:val="647" w:hRule="atLeast"/>
                        </w:trPr>
                        <w:tc>
                          <w:tcPr>
                            <w:tcW w:w="3456" w:type="dxa"/>
                          </w:tcPr>
                          <w:p>
                            <w:pPr>
                              <w:pStyle w:val="TableParagraph"/>
                              <w:spacing w:line="285" w:lineRule="auto" w:before="147"/>
                              <w:ind w:left="1251" w:right="176" w:hanging="1122"/>
                              <w:rPr>
                                <w:rFonts w:ascii="Arial MT" w:hAnsi="Arial MT"/>
                                <w:sz w:val="14"/>
                              </w:rPr>
                            </w:pPr>
                            <w:r>
                              <w:rPr>
                                <w:rFonts w:ascii="Arial MT" w:hAnsi="Arial MT"/>
                                <w:color w:val="231F1F"/>
                                <w:sz w:val="14"/>
                              </w:rPr>
                              <w:t>Se</w:t>
                            </w:r>
                            <w:r>
                              <w:rPr>
                                <w:rFonts w:ascii="Arial MT" w:hAnsi="Arial MT"/>
                                <w:color w:val="231F1F"/>
                                <w:spacing w:val="-10"/>
                                <w:sz w:val="14"/>
                              </w:rPr>
                              <w:t> </w:t>
                            </w:r>
                            <w:r>
                              <w:rPr>
                                <w:rFonts w:ascii="Arial MT" w:hAnsi="Arial MT"/>
                                <w:color w:val="231F1F"/>
                                <w:sz w:val="14"/>
                              </w:rPr>
                              <w:t>promueve</w:t>
                            </w:r>
                            <w:r>
                              <w:rPr>
                                <w:rFonts w:ascii="Arial MT" w:hAnsi="Arial MT"/>
                                <w:color w:val="231F1F"/>
                                <w:spacing w:val="-10"/>
                                <w:sz w:val="14"/>
                              </w:rPr>
                              <w:t> </w:t>
                            </w:r>
                            <w:r>
                              <w:rPr>
                                <w:rFonts w:ascii="Arial MT" w:hAnsi="Arial MT"/>
                                <w:color w:val="231F1F"/>
                                <w:sz w:val="14"/>
                              </w:rPr>
                              <w:t>la</w:t>
                            </w:r>
                            <w:r>
                              <w:rPr>
                                <w:rFonts w:ascii="Arial MT" w:hAnsi="Arial MT"/>
                                <w:color w:val="231F1F"/>
                                <w:spacing w:val="-10"/>
                                <w:sz w:val="14"/>
                              </w:rPr>
                              <w:t> </w:t>
                            </w:r>
                            <w:r>
                              <w:rPr>
                                <w:rFonts w:ascii="Arial MT" w:hAnsi="Arial MT"/>
                                <w:color w:val="231F1F"/>
                                <w:sz w:val="14"/>
                              </w:rPr>
                              <w:t>libre</w:t>
                            </w:r>
                            <w:r>
                              <w:rPr>
                                <w:rFonts w:ascii="Arial MT" w:hAnsi="Arial MT"/>
                                <w:color w:val="231F1F"/>
                                <w:spacing w:val="-9"/>
                                <w:sz w:val="14"/>
                              </w:rPr>
                              <w:t> </w:t>
                            </w:r>
                            <w:r>
                              <w:rPr>
                                <w:rFonts w:ascii="Arial MT" w:hAnsi="Arial MT"/>
                                <w:color w:val="231F1F"/>
                                <w:sz w:val="14"/>
                              </w:rPr>
                              <w:t>elección</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postura</w:t>
                            </w:r>
                            <w:r>
                              <w:rPr>
                                <w:rFonts w:ascii="Arial MT" w:hAnsi="Arial MT"/>
                                <w:color w:val="231F1F"/>
                                <w:spacing w:val="-10"/>
                                <w:sz w:val="14"/>
                              </w:rPr>
                              <w:t> </w:t>
                            </w:r>
                            <w:r>
                              <w:rPr>
                                <w:rFonts w:ascii="Arial MT" w:hAnsi="Arial MT"/>
                                <w:color w:val="231F1F"/>
                                <w:sz w:val="14"/>
                              </w:rPr>
                              <w:t>durante</w:t>
                            </w:r>
                            <w:r>
                              <w:rPr>
                                <w:rFonts w:ascii="Arial MT" w:hAnsi="Arial MT"/>
                                <w:color w:val="231F1F"/>
                                <w:spacing w:val="-9"/>
                                <w:sz w:val="14"/>
                              </w:rPr>
                              <w:t> </w:t>
                            </w:r>
                            <w:r>
                              <w:rPr>
                                <w:rFonts w:ascii="Arial MT" w:hAnsi="Arial MT"/>
                                <w:color w:val="231F1F"/>
                                <w:sz w:val="14"/>
                              </w:rPr>
                              <w:t>el</w:t>
                            </w:r>
                            <w:r>
                              <w:rPr>
                                <w:rFonts w:ascii="Arial MT" w:hAnsi="Arial MT"/>
                                <w:color w:val="231F1F"/>
                                <w:spacing w:val="40"/>
                                <w:sz w:val="14"/>
                              </w:rPr>
                              <w:t> </w:t>
                            </w:r>
                            <w:r>
                              <w:rPr>
                                <w:rFonts w:ascii="Arial MT" w:hAnsi="Arial MT"/>
                                <w:color w:val="231F1F"/>
                                <w:sz w:val="14"/>
                              </w:rPr>
                              <w:t>parto. (SI o NO)</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40"/>
                                <w:sz w:val="14"/>
                              </w:rPr>
                              <w:t> </w:t>
                            </w:r>
                            <w:r>
                              <w:rPr>
                                <w:rFonts w:ascii="Arial MT" w:hAnsi="Arial MT"/>
                                <w:color w:val="231F1F"/>
                                <w:spacing w:val="-2"/>
                                <w:sz w:val="14"/>
                              </w:rPr>
                              <w:t>episiotomías</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r>
                        <w:trPr>
                          <w:trHeight w:val="647" w:hRule="atLeast"/>
                        </w:trPr>
                        <w:tc>
                          <w:tcPr>
                            <w:tcW w:w="3456" w:type="dxa"/>
                          </w:tcPr>
                          <w:p>
                            <w:pPr>
                              <w:pStyle w:val="TableParagraph"/>
                              <w:spacing w:line="292" w:lineRule="auto" w:before="51"/>
                              <w:ind w:left="237" w:right="201"/>
                              <w:jc w:val="center"/>
                              <w:rPr>
                                <w:rFonts w:ascii="Arial MT" w:hAnsi="Arial MT"/>
                                <w:sz w:val="14"/>
                              </w:rPr>
                            </w:pPr>
                            <w:r>
                              <w:rPr>
                                <w:rFonts w:ascii="Arial MT" w:hAnsi="Arial MT"/>
                                <w:color w:val="231F1F"/>
                                <w:spacing w:val="-2"/>
                                <w:sz w:val="14"/>
                              </w:rPr>
                              <w:t>N.º</w:t>
                            </w:r>
                            <w:r>
                              <w:rPr>
                                <w:rFonts w:ascii="Arial MT" w:hAnsi="Arial MT"/>
                                <w:color w:val="231F1F"/>
                                <w:spacing w:val="-7"/>
                                <w:sz w:val="14"/>
                              </w:rPr>
                              <w:t> </w:t>
                            </w:r>
                            <w:r>
                              <w:rPr>
                                <w:rFonts w:ascii="Arial MT" w:hAnsi="Arial MT"/>
                                <w:color w:val="231F1F"/>
                                <w:spacing w:val="-2"/>
                                <w:sz w:val="14"/>
                              </w:rPr>
                              <w:t>de</w:t>
                            </w:r>
                            <w:r>
                              <w:rPr>
                                <w:rFonts w:ascii="Arial MT" w:hAnsi="Arial MT"/>
                                <w:color w:val="231F1F"/>
                                <w:spacing w:val="-7"/>
                                <w:sz w:val="14"/>
                              </w:rPr>
                              <w:t> </w:t>
                            </w:r>
                            <w:r>
                              <w:rPr>
                                <w:rFonts w:ascii="Arial MT" w:hAnsi="Arial MT"/>
                                <w:color w:val="231F1F"/>
                                <w:spacing w:val="-2"/>
                                <w:sz w:val="14"/>
                              </w:rPr>
                              <w:t>mujeres</w:t>
                            </w:r>
                            <w:r>
                              <w:rPr>
                                <w:rFonts w:ascii="Arial MT" w:hAnsi="Arial MT"/>
                                <w:color w:val="231F1F"/>
                                <w:spacing w:val="-7"/>
                                <w:sz w:val="14"/>
                              </w:rPr>
                              <w:t> </w:t>
                            </w:r>
                            <w:r>
                              <w:rPr>
                                <w:rFonts w:ascii="Arial MT" w:hAnsi="Arial MT"/>
                                <w:color w:val="231F1F"/>
                                <w:spacing w:val="-2"/>
                                <w:sz w:val="14"/>
                              </w:rPr>
                              <w:t>a</w:t>
                            </w:r>
                            <w:r>
                              <w:rPr>
                                <w:rFonts w:ascii="Arial MT" w:hAnsi="Arial MT"/>
                                <w:color w:val="231F1F"/>
                                <w:spacing w:val="-6"/>
                                <w:sz w:val="14"/>
                              </w:rPr>
                              <w:t> </w:t>
                            </w:r>
                            <w:r>
                              <w:rPr>
                                <w:rFonts w:ascii="Arial MT" w:hAnsi="Arial MT"/>
                                <w:color w:val="231F1F"/>
                                <w:spacing w:val="-2"/>
                                <w:sz w:val="14"/>
                              </w:rPr>
                              <w:t>las</w:t>
                            </w:r>
                            <w:r>
                              <w:rPr>
                                <w:rFonts w:ascii="Arial MT" w:hAnsi="Arial MT"/>
                                <w:color w:val="231F1F"/>
                                <w:spacing w:val="-7"/>
                                <w:sz w:val="14"/>
                              </w:rPr>
                              <w:t> </w:t>
                            </w:r>
                            <w:r>
                              <w:rPr>
                                <w:rFonts w:ascii="Arial MT" w:hAnsi="Arial MT"/>
                                <w:color w:val="231F1F"/>
                                <w:spacing w:val="-2"/>
                                <w:sz w:val="14"/>
                              </w:rPr>
                              <w:t>que</w:t>
                            </w:r>
                            <w:r>
                              <w:rPr>
                                <w:rFonts w:ascii="Arial MT" w:hAnsi="Arial MT"/>
                                <w:color w:val="231F1F"/>
                                <w:spacing w:val="-7"/>
                                <w:sz w:val="14"/>
                              </w:rPr>
                              <w:t> </w:t>
                            </w:r>
                            <w:r>
                              <w:rPr>
                                <w:rFonts w:ascii="Arial MT" w:hAnsi="Arial MT"/>
                                <w:color w:val="231F1F"/>
                                <w:spacing w:val="-2"/>
                                <w:sz w:val="14"/>
                              </w:rPr>
                              <w:t>se</w:t>
                            </w:r>
                            <w:r>
                              <w:rPr>
                                <w:rFonts w:ascii="Arial MT" w:hAnsi="Arial MT"/>
                                <w:color w:val="231F1F"/>
                                <w:spacing w:val="-7"/>
                                <w:sz w:val="14"/>
                              </w:rPr>
                              <w:t> </w:t>
                            </w:r>
                            <w:r>
                              <w:rPr>
                                <w:rFonts w:ascii="Arial MT" w:hAnsi="Arial MT"/>
                                <w:color w:val="231F1F"/>
                                <w:spacing w:val="-2"/>
                                <w:sz w:val="14"/>
                              </w:rPr>
                              <w:t>les</w:t>
                            </w:r>
                            <w:r>
                              <w:rPr>
                                <w:rFonts w:ascii="Arial MT" w:hAnsi="Arial MT"/>
                                <w:color w:val="231F1F"/>
                                <w:spacing w:val="-6"/>
                                <w:sz w:val="14"/>
                              </w:rPr>
                              <w:t> </w:t>
                            </w:r>
                            <w:r>
                              <w:rPr>
                                <w:rFonts w:ascii="Arial MT" w:hAnsi="Arial MT"/>
                                <w:color w:val="231F1F"/>
                                <w:spacing w:val="-2"/>
                                <w:sz w:val="14"/>
                              </w:rPr>
                              <w:t>ha</w:t>
                            </w:r>
                            <w:r>
                              <w:rPr>
                                <w:rFonts w:ascii="Arial MT" w:hAnsi="Arial MT"/>
                                <w:color w:val="231F1F"/>
                                <w:spacing w:val="-7"/>
                                <w:sz w:val="14"/>
                              </w:rPr>
                              <w:t> </w:t>
                            </w:r>
                            <w:r>
                              <w:rPr>
                                <w:rFonts w:ascii="Arial MT" w:hAnsi="Arial MT"/>
                                <w:color w:val="231F1F"/>
                                <w:spacing w:val="-2"/>
                                <w:sz w:val="14"/>
                              </w:rPr>
                              <w:t>realizado</w:t>
                            </w:r>
                            <w:r>
                              <w:rPr>
                                <w:rFonts w:ascii="Arial MT" w:hAnsi="Arial MT"/>
                                <w:color w:val="231F1F"/>
                                <w:spacing w:val="-7"/>
                                <w:sz w:val="14"/>
                              </w:rPr>
                              <w:t> </w:t>
                            </w:r>
                            <w:r>
                              <w:rPr>
                                <w:rFonts w:ascii="Arial MT" w:hAnsi="Arial MT"/>
                                <w:color w:val="231F1F"/>
                                <w:spacing w:val="-2"/>
                                <w:sz w:val="14"/>
                              </w:rPr>
                              <w:t>la</w:t>
                            </w:r>
                            <w:r>
                              <w:rPr>
                                <w:rFonts w:ascii="Arial MT" w:hAnsi="Arial MT"/>
                                <w:color w:val="231F1F"/>
                                <w:spacing w:val="40"/>
                                <w:sz w:val="14"/>
                              </w:rPr>
                              <w:t> </w:t>
                            </w:r>
                            <w:r>
                              <w:rPr>
                                <w:rFonts w:ascii="Arial MT" w:hAnsi="Arial MT"/>
                                <w:color w:val="231F1F"/>
                                <w:sz w:val="14"/>
                              </w:rPr>
                              <w:t>maniobra de kristeller</w:t>
                            </w:r>
                          </w:p>
                          <w:p>
                            <w:pPr>
                              <w:pStyle w:val="TableParagraph"/>
                              <w:spacing w:line="152" w:lineRule="exact"/>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v:textbox>
                <w10:wrap type="none"/>
              </v:shape>
            </w:pict>
          </mc:Fallback>
        </mc:AlternateContent>
      </w:r>
      <w:r>
        <w:rPr>
          <w:color w:val="231F1F"/>
          <w:spacing w:val="-2"/>
          <w:w w:val="110"/>
        </w:rPr>
        <w:t>Criterios</w:t>
      </w:r>
    </w:p>
    <w:p>
      <w:pPr>
        <w:pStyle w:val="ListParagraph"/>
        <w:numPr>
          <w:ilvl w:val="0"/>
          <w:numId w:val="99"/>
        </w:numPr>
        <w:tabs>
          <w:tab w:pos="499" w:val="left" w:leader="none"/>
        </w:tabs>
        <w:spacing w:line="240" w:lineRule="auto" w:before="111" w:after="0"/>
        <w:ind w:left="499" w:right="0" w:hanging="216"/>
        <w:jc w:val="left"/>
        <w:rPr>
          <w:sz w:val="22"/>
        </w:rPr>
      </w:pPr>
      <w:r>
        <w:rPr>
          <w:color w:val="231F1F"/>
          <w:sz w:val="22"/>
        </w:rPr>
        <w:t>Seguridad,</w:t>
      </w:r>
      <w:r>
        <w:rPr>
          <w:color w:val="231F1F"/>
          <w:spacing w:val="32"/>
          <w:sz w:val="22"/>
        </w:rPr>
        <w:t> </w:t>
      </w:r>
      <w:r>
        <w:rPr>
          <w:color w:val="231F1F"/>
          <w:sz w:val="22"/>
        </w:rPr>
        <w:t>evitar</w:t>
      </w:r>
      <w:r>
        <w:rPr>
          <w:color w:val="231F1F"/>
          <w:spacing w:val="33"/>
          <w:sz w:val="22"/>
        </w:rPr>
        <w:t> </w:t>
      </w:r>
      <w:r>
        <w:rPr>
          <w:color w:val="231F1F"/>
          <w:sz w:val="22"/>
        </w:rPr>
        <w:t>riesgos</w:t>
      </w:r>
      <w:r>
        <w:rPr>
          <w:color w:val="231F1F"/>
          <w:spacing w:val="33"/>
          <w:sz w:val="22"/>
        </w:rPr>
        <w:t> </w:t>
      </w:r>
      <w:r>
        <w:rPr>
          <w:color w:val="231F1F"/>
          <w:sz w:val="22"/>
        </w:rPr>
        <w:t>maternos</w:t>
      </w:r>
      <w:r>
        <w:rPr>
          <w:color w:val="231F1F"/>
          <w:spacing w:val="33"/>
          <w:sz w:val="22"/>
        </w:rPr>
        <w:t> </w:t>
      </w:r>
      <w:r>
        <w:rPr>
          <w:color w:val="231F1F"/>
          <w:sz w:val="22"/>
        </w:rPr>
        <w:t>y/o</w:t>
      </w:r>
      <w:r>
        <w:rPr>
          <w:color w:val="231F1F"/>
          <w:spacing w:val="35"/>
          <w:sz w:val="22"/>
        </w:rPr>
        <w:t> </w:t>
      </w:r>
      <w:r>
        <w:rPr>
          <w:color w:val="231F1F"/>
          <w:spacing w:val="-2"/>
          <w:sz w:val="22"/>
        </w:rPr>
        <w:t>neonatales</w:t>
      </w:r>
    </w:p>
    <w:p>
      <w:pPr>
        <w:pStyle w:val="ListParagraph"/>
        <w:numPr>
          <w:ilvl w:val="0"/>
          <w:numId w:val="99"/>
        </w:numPr>
        <w:tabs>
          <w:tab w:pos="499" w:val="left" w:leader="none"/>
        </w:tabs>
        <w:spacing w:line="240" w:lineRule="auto" w:before="112" w:after="0"/>
        <w:ind w:left="499" w:right="0" w:hanging="216"/>
        <w:jc w:val="left"/>
        <w:rPr>
          <w:sz w:val="22"/>
        </w:rPr>
      </w:pPr>
      <w:r>
        <w:rPr>
          <w:color w:val="231F1F"/>
          <w:sz w:val="22"/>
        </w:rPr>
        <w:t>Disminución</w:t>
      </w:r>
      <w:r>
        <w:rPr>
          <w:color w:val="231F1F"/>
          <w:spacing w:val="37"/>
          <w:sz w:val="22"/>
        </w:rPr>
        <w:t> </w:t>
      </w:r>
      <w:r>
        <w:rPr>
          <w:color w:val="231F1F"/>
          <w:sz w:val="22"/>
        </w:rPr>
        <w:t>de</w:t>
      </w:r>
      <w:r>
        <w:rPr>
          <w:color w:val="231F1F"/>
          <w:spacing w:val="39"/>
          <w:sz w:val="22"/>
        </w:rPr>
        <w:t> </w:t>
      </w:r>
      <w:r>
        <w:rPr>
          <w:color w:val="231F1F"/>
          <w:spacing w:val="-2"/>
          <w:sz w:val="22"/>
        </w:rPr>
        <w:t>instrumentación</w:t>
      </w:r>
    </w:p>
    <w:p>
      <w:pPr>
        <w:pStyle w:val="ListParagraph"/>
        <w:numPr>
          <w:ilvl w:val="0"/>
          <w:numId w:val="99"/>
        </w:numPr>
        <w:tabs>
          <w:tab w:pos="499" w:val="left" w:leader="none"/>
        </w:tabs>
        <w:spacing w:line="240" w:lineRule="auto" w:before="112" w:after="0"/>
        <w:ind w:left="499" w:right="0" w:hanging="216"/>
        <w:jc w:val="left"/>
        <w:rPr>
          <w:sz w:val="22"/>
        </w:rPr>
      </w:pPr>
      <w:r>
        <w:rPr>
          <w:color w:val="231F1F"/>
          <w:w w:val="105"/>
          <w:sz w:val="22"/>
        </w:rPr>
        <w:t>Impulsar</w:t>
      </w:r>
      <w:r>
        <w:rPr>
          <w:color w:val="231F1F"/>
          <w:spacing w:val="4"/>
          <w:w w:val="105"/>
          <w:sz w:val="22"/>
        </w:rPr>
        <w:t> </w:t>
      </w:r>
      <w:r>
        <w:rPr>
          <w:color w:val="231F1F"/>
          <w:w w:val="105"/>
          <w:sz w:val="22"/>
        </w:rPr>
        <w:t>prácticas</w:t>
      </w:r>
      <w:r>
        <w:rPr>
          <w:color w:val="231F1F"/>
          <w:spacing w:val="3"/>
          <w:w w:val="105"/>
          <w:sz w:val="22"/>
        </w:rPr>
        <w:t> </w:t>
      </w:r>
      <w:r>
        <w:rPr>
          <w:color w:val="231F1F"/>
          <w:spacing w:val="-2"/>
          <w:w w:val="105"/>
          <w:sz w:val="22"/>
        </w:rPr>
        <w:t>eficaces</w:t>
      </w:r>
    </w:p>
    <w:p>
      <w:pPr>
        <w:pStyle w:val="ListParagraph"/>
        <w:numPr>
          <w:ilvl w:val="0"/>
          <w:numId w:val="99"/>
        </w:numPr>
        <w:tabs>
          <w:tab w:pos="499" w:val="left" w:leader="none"/>
        </w:tabs>
        <w:spacing w:line="240" w:lineRule="auto" w:before="112" w:after="0"/>
        <w:ind w:left="499" w:right="0" w:hanging="216"/>
        <w:jc w:val="left"/>
        <w:rPr>
          <w:sz w:val="22"/>
        </w:rPr>
      </w:pPr>
      <w:r>
        <w:rPr>
          <w:color w:val="231F1F"/>
          <w:sz w:val="22"/>
        </w:rPr>
        <w:t>Fomentar</w:t>
      </w:r>
      <w:r>
        <w:rPr>
          <w:color w:val="231F1F"/>
          <w:spacing w:val="28"/>
          <w:sz w:val="22"/>
        </w:rPr>
        <w:t> </w:t>
      </w:r>
      <w:r>
        <w:rPr>
          <w:color w:val="231F1F"/>
          <w:sz w:val="22"/>
        </w:rPr>
        <w:t>el</w:t>
      </w:r>
      <w:r>
        <w:rPr>
          <w:color w:val="231F1F"/>
          <w:spacing w:val="32"/>
          <w:sz w:val="22"/>
        </w:rPr>
        <w:t> </w:t>
      </w:r>
      <w:r>
        <w:rPr>
          <w:color w:val="231F1F"/>
          <w:sz w:val="22"/>
        </w:rPr>
        <w:t>protagonismo</w:t>
      </w:r>
      <w:r>
        <w:rPr>
          <w:color w:val="231F1F"/>
          <w:spacing w:val="31"/>
          <w:sz w:val="22"/>
        </w:rPr>
        <w:t> </w:t>
      </w:r>
      <w:r>
        <w:rPr>
          <w:color w:val="231F1F"/>
          <w:sz w:val="22"/>
        </w:rPr>
        <w:t>y</w:t>
      </w:r>
      <w:r>
        <w:rPr>
          <w:color w:val="231F1F"/>
          <w:spacing w:val="31"/>
          <w:sz w:val="22"/>
        </w:rPr>
        <w:t> </w:t>
      </w:r>
      <w:r>
        <w:rPr>
          <w:color w:val="231F1F"/>
          <w:sz w:val="22"/>
        </w:rPr>
        <w:t>la</w:t>
      </w:r>
      <w:r>
        <w:rPr>
          <w:color w:val="231F1F"/>
          <w:spacing w:val="33"/>
          <w:sz w:val="22"/>
        </w:rPr>
        <w:t> </w:t>
      </w:r>
      <w:r>
        <w:rPr>
          <w:color w:val="231F1F"/>
          <w:sz w:val="22"/>
        </w:rPr>
        <w:t>satisfacción</w:t>
      </w:r>
      <w:r>
        <w:rPr>
          <w:color w:val="231F1F"/>
          <w:spacing w:val="32"/>
          <w:sz w:val="22"/>
        </w:rPr>
        <w:t> </w:t>
      </w:r>
      <w:r>
        <w:rPr>
          <w:color w:val="231F1F"/>
          <w:sz w:val="22"/>
        </w:rPr>
        <w:t>de</w:t>
      </w:r>
      <w:r>
        <w:rPr>
          <w:color w:val="231F1F"/>
          <w:spacing w:val="33"/>
          <w:sz w:val="22"/>
        </w:rPr>
        <w:t> </w:t>
      </w:r>
      <w:r>
        <w:rPr>
          <w:color w:val="231F1F"/>
          <w:spacing w:val="-2"/>
          <w:sz w:val="22"/>
        </w:rPr>
        <w:t>mujeres</w:t>
      </w:r>
    </w:p>
    <w:p>
      <w:pPr>
        <w:pStyle w:val="BodyText"/>
        <w:spacing w:before="92"/>
        <w:ind w:left="283"/>
      </w:pPr>
      <w:r>
        <w:rPr>
          <w:b/>
          <w:color w:val="231F1F"/>
          <w:w w:val="105"/>
        </w:rPr>
        <w:t>pvsc</w:t>
      </w:r>
      <w:r>
        <w:rPr>
          <w:color w:val="231F1F"/>
          <w:w w:val="105"/>
        </w:rPr>
        <w:t>:</w:t>
      </w:r>
      <w:r>
        <w:rPr>
          <w:color w:val="231F1F"/>
          <w:spacing w:val="-15"/>
          <w:w w:val="105"/>
        </w:rPr>
        <w:t> </w:t>
      </w:r>
      <w:r>
        <w:rPr>
          <w:color w:val="231F1F"/>
          <w:w w:val="105"/>
        </w:rPr>
        <w:t>Parto</w:t>
      </w:r>
      <w:r>
        <w:rPr>
          <w:color w:val="231F1F"/>
          <w:spacing w:val="-13"/>
          <w:w w:val="105"/>
        </w:rPr>
        <w:t> </w:t>
      </w:r>
      <w:r>
        <w:rPr>
          <w:color w:val="231F1F"/>
          <w:w w:val="105"/>
        </w:rPr>
        <w:t>vaginal</w:t>
      </w:r>
      <w:r>
        <w:rPr>
          <w:color w:val="231F1F"/>
          <w:spacing w:val="-13"/>
          <w:w w:val="105"/>
        </w:rPr>
        <w:t> </w:t>
      </w:r>
      <w:r>
        <w:rPr>
          <w:color w:val="231F1F"/>
          <w:w w:val="105"/>
        </w:rPr>
        <w:t>sin</w:t>
      </w:r>
      <w:r>
        <w:rPr>
          <w:color w:val="231F1F"/>
          <w:spacing w:val="-13"/>
          <w:w w:val="105"/>
        </w:rPr>
        <w:t> </w:t>
      </w:r>
      <w:r>
        <w:rPr>
          <w:color w:val="231F1F"/>
          <w:spacing w:val="-2"/>
          <w:w w:val="105"/>
        </w:rPr>
        <w:t>complicaciones</w:t>
      </w:r>
    </w:p>
    <w:p>
      <w:pPr>
        <w:pStyle w:val="BodyText"/>
        <w:spacing w:after="0"/>
        <w:sectPr>
          <w:pgSz w:w="11900" w:h="16840"/>
          <w:pgMar w:header="0" w:footer="622" w:top="1720" w:bottom="820" w:left="1417" w:right="1559"/>
        </w:sectPr>
      </w:pPr>
    </w:p>
    <w:p>
      <w:pPr>
        <w:spacing w:before="66"/>
        <w:ind w:left="5372" w:right="0" w:firstLine="0"/>
        <w:jc w:val="left"/>
        <w:rPr>
          <w:rFonts w:ascii="Arial MT"/>
          <w:sz w:val="16"/>
        </w:rPr>
      </w:pPr>
      <w:r>
        <w:rPr>
          <w:rFonts w:ascii="Arial MT"/>
          <w:sz w:val="16"/>
        </w:rPr>
        <mc:AlternateContent>
          <mc:Choice Requires="wps">
            <w:drawing>
              <wp:anchor distT="0" distB="0" distL="0" distR="0" allowOverlap="1" layoutInCell="1" locked="0" behindDoc="1" simplePos="0" relativeHeight="487648256">
                <wp:simplePos x="0" y="0"/>
                <wp:positionH relativeFrom="page">
                  <wp:posOffset>3195320</wp:posOffset>
                </wp:positionH>
                <wp:positionV relativeFrom="paragraph">
                  <wp:posOffset>388620</wp:posOffset>
                </wp:positionV>
                <wp:extent cx="303530" cy="81915"/>
                <wp:effectExtent l="0" t="0" r="0" b="0"/>
                <wp:wrapTopAndBottom/>
                <wp:docPr id="217" name="Group 217"/>
                <wp:cNvGraphicFramePr>
                  <a:graphicFrameLocks/>
                </wp:cNvGraphicFramePr>
                <a:graphic>
                  <a:graphicData uri="http://schemas.microsoft.com/office/word/2010/wordprocessingGroup">
                    <wpg:wgp>
                      <wpg:cNvPr id="217" name="Group 217"/>
                      <wpg:cNvGrpSpPr/>
                      <wpg:grpSpPr>
                        <a:xfrm>
                          <a:off x="0" y="0"/>
                          <a:ext cx="303530" cy="81915"/>
                          <a:chExt cx="303530" cy="81915"/>
                        </a:xfrm>
                      </wpg:grpSpPr>
                      <wps:wsp>
                        <wps:cNvPr id="218" name="Graphic 218"/>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19" name="Graphic 219"/>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0.6pt;width:23.9pt;height:6.45pt;mso-position-horizontal-relative:page;mso-position-vertical-relative:paragraph;z-index:-15668224;mso-wrap-distance-left:0;mso-wrap-distance-right:0" id="docshapegroup181" coordorigin="5032,612" coordsize="478,129">
                <v:line style="position:absolute" from="5032,677" to="5313,677" stroked="true" strokeweight=".552992pt" strokecolor="#a30046">
                  <v:stroke dashstyle="solid"/>
                </v:line>
                <v:shape style="position:absolute;left:5269;top:612;width:240;height:129" id="docshape182" coordorigin="5269,612" coordsize="240,129" path="m5269,612l5269,741,5509,676,5269,612xe" filled="true" fillcolor="#a30046" stroked="false">
                  <v:path arrowok="t"/>
                  <v:fill type="solid"/>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7648768">
                <wp:simplePos x="0" y="0"/>
                <wp:positionH relativeFrom="page">
                  <wp:posOffset>3552190</wp:posOffset>
                </wp:positionH>
                <wp:positionV relativeFrom="paragraph">
                  <wp:posOffset>185419</wp:posOffset>
                </wp:positionV>
                <wp:extent cx="2202815" cy="54610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2202815" cy="546100"/>
                          <a:chExt cx="2202815" cy="546100"/>
                        </a:xfrm>
                      </wpg:grpSpPr>
                      <wps:wsp>
                        <wps:cNvPr id="221" name="Graphic 221"/>
                        <wps:cNvSpPr/>
                        <wps:spPr>
                          <a:xfrm>
                            <a:off x="125971" y="290525"/>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wps:wsp>
                        <wps:cNvPr id="222" name="Textbox 222"/>
                        <wps:cNvSpPr txBox="1"/>
                        <wps:spPr>
                          <a:xfrm>
                            <a:off x="3175" y="3175"/>
                            <a:ext cx="2196465" cy="539750"/>
                          </a:xfrm>
                          <a:prstGeom prst="rect">
                            <a:avLst/>
                          </a:prstGeom>
                          <a:ln w="6350">
                            <a:solidFill>
                              <a:srgbClr val="231F1F"/>
                            </a:solidFill>
                            <a:prstDash val="solid"/>
                          </a:ln>
                        </wps:spPr>
                        <wps:txbx>
                          <w:txbxContent>
                            <w:p>
                              <w:pPr>
                                <w:spacing w:line="240" w:lineRule="auto" w:before="87"/>
                                <w:rPr>
                                  <w:rFonts w:ascii="Arial MT"/>
                                  <w:sz w:val="14"/>
                                </w:rPr>
                              </w:pPr>
                            </w:p>
                            <w:p>
                              <w:pPr>
                                <w:spacing w:line="271" w:lineRule="auto" w:before="0"/>
                                <w:ind w:left="938" w:right="491" w:hanging="423"/>
                                <w:jc w:val="left"/>
                                <w:rPr>
                                  <w:rFonts w:ascii="Arial MT" w:hAnsi="Arial MT"/>
                                  <w:sz w:val="14"/>
                                </w:rPr>
                              </w:pPr>
                              <w:r>
                                <w:rPr>
                                  <w:rFonts w:ascii="Arial MT" w:hAnsi="Arial MT"/>
                                  <w:color w:val="231F1F"/>
                                  <w:spacing w:val="-2"/>
                                  <w:sz w:val="14"/>
                                </w:rPr>
                                <w:t>N.º</w:t>
                              </w:r>
                              <w:r>
                                <w:rPr>
                                  <w:rFonts w:ascii="Arial MT" w:hAnsi="Arial MT"/>
                                  <w:color w:val="231F1F"/>
                                  <w:spacing w:val="-8"/>
                                  <w:sz w:val="14"/>
                                </w:rPr>
                                <w:t> </w:t>
                              </w:r>
                              <w:r>
                                <w:rPr>
                                  <w:rFonts w:ascii="Arial MT" w:hAnsi="Arial MT"/>
                                  <w:color w:val="231F1F"/>
                                  <w:spacing w:val="-2"/>
                                  <w:sz w:val="14"/>
                                </w:rPr>
                                <w:t>de</w:t>
                              </w:r>
                              <w:r>
                                <w:rPr>
                                  <w:rFonts w:ascii="Arial MT" w:hAnsi="Arial MT"/>
                                  <w:color w:val="231F1F"/>
                                  <w:spacing w:val="-8"/>
                                  <w:sz w:val="14"/>
                                </w:rPr>
                                <w:t> </w:t>
                              </w:r>
                              <w:r>
                                <w:rPr>
                                  <w:rFonts w:ascii="Arial MT" w:hAnsi="Arial MT"/>
                                  <w:color w:val="231F1F"/>
                                  <w:spacing w:val="-2"/>
                                  <w:sz w:val="14"/>
                                </w:rPr>
                                <w:t>pinzamientos</w:t>
                              </w:r>
                              <w:r>
                                <w:rPr>
                                  <w:rFonts w:ascii="Arial MT" w:hAnsi="Arial MT"/>
                                  <w:color w:val="231F1F"/>
                                  <w:spacing w:val="-8"/>
                                  <w:sz w:val="14"/>
                                </w:rPr>
                                <w:t> </w:t>
                              </w:r>
                              <w:r>
                                <w:rPr>
                                  <w:rFonts w:ascii="Arial MT" w:hAnsi="Arial MT"/>
                                  <w:color w:val="231F1F"/>
                                  <w:spacing w:val="-2"/>
                                  <w:sz w:val="14"/>
                                </w:rPr>
                                <w:t>tardíos</w:t>
                              </w:r>
                              <w:r>
                                <w:rPr>
                                  <w:rFonts w:ascii="Arial MT" w:hAnsi="Arial MT"/>
                                  <w:color w:val="231F1F"/>
                                  <w:spacing w:val="-7"/>
                                  <w:sz w:val="14"/>
                                </w:rPr>
                                <w:t> </w:t>
                              </w:r>
                              <w:r>
                                <w:rPr>
                                  <w:rFonts w:ascii="Arial MT" w:hAnsi="Arial MT"/>
                                  <w:color w:val="231F1F"/>
                                  <w:spacing w:val="-2"/>
                                  <w:sz w:val="14"/>
                                </w:rPr>
                                <w:t>realizados</w:t>
                              </w:r>
                              <w:r>
                                <w:rPr>
                                  <w:rFonts w:ascii="Arial MT" w:hAnsi="Arial MT"/>
                                  <w:color w:val="231F1F"/>
                                  <w:spacing w:val="40"/>
                                  <w:sz w:val="14"/>
                                </w:rPr>
                                <w:t> </w:t>
                              </w:r>
                              <w:r>
                                <w:rPr>
                                  <w:rFonts w:ascii="Arial MT" w:hAnsi="Arial MT"/>
                                  <w:color w:val="231F1F"/>
                                  <w:sz w:val="14"/>
                                </w:rPr>
                                <w:t>n.º total de mujeres pvsc</w:t>
                              </w:r>
                            </w:p>
                          </w:txbxContent>
                        </wps:txbx>
                        <wps:bodyPr wrap="square" lIns="0" tIns="0" rIns="0" bIns="0" rtlCol="0">
                          <a:noAutofit/>
                        </wps:bodyPr>
                      </wps:wsp>
                    </wpg:wgp>
                  </a:graphicData>
                </a:graphic>
              </wp:anchor>
            </w:drawing>
          </mc:Choice>
          <mc:Fallback>
            <w:pict>
              <v:group style="position:absolute;margin-left:279.700012pt;margin-top:14.599999pt;width:173.45pt;height:43pt;mso-position-horizontal-relative:page;mso-position-vertical-relative:paragraph;z-index:-15667712;mso-wrap-distance-left:0;mso-wrap-distance-right:0" id="docshapegroup183" coordorigin="5594,292" coordsize="3469,860">
                <v:line style="position:absolute" from="5792,750" to="8864,750" stroked="true" strokeweight=".5pt" strokecolor="#231f1f">
                  <v:stroke dashstyle="solid"/>
                </v:line>
                <v:shape style="position:absolute;left:5599;top:297;width:3459;height:850" type="#_x0000_t202" id="docshape184" filled="false" stroked="true" strokeweight=".5pt" strokecolor="#231f1f">
                  <v:textbox inset="0,0,0,0">
                    <w:txbxContent>
                      <w:p>
                        <w:pPr>
                          <w:spacing w:line="240" w:lineRule="auto" w:before="87"/>
                          <w:rPr>
                            <w:rFonts w:ascii="Arial MT"/>
                            <w:sz w:val="14"/>
                          </w:rPr>
                        </w:pPr>
                      </w:p>
                      <w:p>
                        <w:pPr>
                          <w:spacing w:line="271" w:lineRule="auto" w:before="0"/>
                          <w:ind w:left="938" w:right="491" w:hanging="423"/>
                          <w:jc w:val="left"/>
                          <w:rPr>
                            <w:rFonts w:ascii="Arial MT" w:hAnsi="Arial MT"/>
                            <w:sz w:val="14"/>
                          </w:rPr>
                        </w:pPr>
                        <w:r>
                          <w:rPr>
                            <w:rFonts w:ascii="Arial MT" w:hAnsi="Arial MT"/>
                            <w:color w:val="231F1F"/>
                            <w:spacing w:val="-2"/>
                            <w:sz w:val="14"/>
                          </w:rPr>
                          <w:t>N.º</w:t>
                        </w:r>
                        <w:r>
                          <w:rPr>
                            <w:rFonts w:ascii="Arial MT" w:hAnsi="Arial MT"/>
                            <w:color w:val="231F1F"/>
                            <w:spacing w:val="-8"/>
                            <w:sz w:val="14"/>
                          </w:rPr>
                          <w:t> </w:t>
                        </w:r>
                        <w:r>
                          <w:rPr>
                            <w:rFonts w:ascii="Arial MT" w:hAnsi="Arial MT"/>
                            <w:color w:val="231F1F"/>
                            <w:spacing w:val="-2"/>
                            <w:sz w:val="14"/>
                          </w:rPr>
                          <w:t>de</w:t>
                        </w:r>
                        <w:r>
                          <w:rPr>
                            <w:rFonts w:ascii="Arial MT" w:hAnsi="Arial MT"/>
                            <w:color w:val="231F1F"/>
                            <w:spacing w:val="-8"/>
                            <w:sz w:val="14"/>
                          </w:rPr>
                          <w:t> </w:t>
                        </w:r>
                        <w:r>
                          <w:rPr>
                            <w:rFonts w:ascii="Arial MT" w:hAnsi="Arial MT"/>
                            <w:color w:val="231F1F"/>
                            <w:spacing w:val="-2"/>
                            <w:sz w:val="14"/>
                          </w:rPr>
                          <w:t>pinzamientos</w:t>
                        </w:r>
                        <w:r>
                          <w:rPr>
                            <w:rFonts w:ascii="Arial MT" w:hAnsi="Arial MT"/>
                            <w:color w:val="231F1F"/>
                            <w:spacing w:val="-8"/>
                            <w:sz w:val="14"/>
                          </w:rPr>
                          <w:t> </w:t>
                        </w:r>
                        <w:r>
                          <w:rPr>
                            <w:rFonts w:ascii="Arial MT" w:hAnsi="Arial MT"/>
                            <w:color w:val="231F1F"/>
                            <w:spacing w:val="-2"/>
                            <w:sz w:val="14"/>
                          </w:rPr>
                          <w:t>tardíos</w:t>
                        </w:r>
                        <w:r>
                          <w:rPr>
                            <w:rFonts w:ascii="Arial MT" w:hAnsi="Arial MT"/>
                            <w:color w:val="231F1F"/>
                            <w:spacing w:val="-7"/>
                            <w:sz w:val="14"/>
                          </w:rPr>
                          <w:t> </w:t>
                        </w:r>
                        <w:r>
                          <w:rPr>
                            <w:rFonts w:ascii="Arial MT" w:hAnsi="Arial MT"/>
                            <w:color w:val="231F1F"/>
                            <w:spacing w:val="-2"/>
                            <w:sz w:val="14"/>
                          </w:rPr>
                          <w:t>realizados</w:t>
                        </w:r>
                        <w:r>
                          <w:rPr>
                            <w:rFonts w:ascii="Arial MT" w:hAnsi="Arial MT"/>
                            <w:color w:val="231F1F"/>
                            <w:spacing w:val="40"/>
                            <w:sz w:val="14"/>
                          </w:rPr>
                          <w:t> </w:t>
                        </w:r>
                        <w:r>
                          <w:rPr>
                            <w:rFonts w:ascii="Arial MT" w:hAnsi="Arial MT"/>
                            <w:color w:val="231F1F"/>
                            <w:sz w:val="14"/>
                          </w:rPr>
                          <w:t>n.º total de mujeres pvsc</w:t>
                        </w:r>
                      </w:p>
                    </w:txbxContent>
                  </v:textbox>
                  <v:stroke dashstyle="solid"/>
                  <w10:wrap type="none"/>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7649280">
                <wp:simplePos x="0" y="0"/>
                <wp:positionH relativeFrom="page">
                  <wp:posOffset>3195320</wp:posOffset>
                </wp:positionH>
                <wp:positionV relativeFrom="paragraph">
                  <wp:posOffset>963930</wp:posOffset>
                </wp:positionV>
                <wp:extent cx="303530" cy="8191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303530" cy="81915"/>
                          <a:chExt cx="303530" cy="81915"/>
                        </a:xfrm>
                      </wpg:grpSpPr>
                      <wps:wsp>
                        <wps:cNvPr id="224" name="Graphic 224"/>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25" name="Graphic 225"/>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75.900002pt;width:23.9pt;height:6.45pt;mso-position-horizontal-relative:page;mso-position-vertical-relative:paragraph;z-index:-15667200;mso-wrap-distance-left:0;mso-wrap-distance-right:0" id="docshapegroup185" coordorigin="5032,1518" coordsize="478,129">
                <v:line style="position:absolute" from="5032,1583" to="5313,1583" stroked="true" strokeweight=".552992pt" strokecolor="#a30046">
                  <v:stroke dashstyle="solid"/>
                </v:line>
                <v:shape style="position:absolute;left:5269;top:1518;width:240;height:129" id="docshape186" coordorigin="5269,1518" coordsize="240,129" path="m5269,1518l5269,1647,5509,1582,5269,1518xe" filled="true" fillcolor="#a30046" stroked="false">
                  <v:path arrowok="t"/>
                  <v:fill type="solid"/>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7587840">
                <wp:simplePos x="0" y="0"/>
                <wp:positionH relativeFrom="page">
                  <wp:posOffset>3544823</wp:posOffset>
                </wp:positionH>
                <wp:positionV relativeFrom="paragraph">
                  <wp:posOffset>798576</wp:posOffset>
                </wp:positionV>
                <wp:extent cx="2200910" cy="54610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2200910" cy="546100"/>
                        </a:xfrm>
                        <a:prstGeom prst="rect">
                          <a:avLst/>
                        </a:prstGeom>
                      </wps:spPr>
                      <wps:txbx>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9" w:hRule="atLeast"/>
                              </w:trPr>
                              <w:tc>
                                <w:tcPr>
                                  <w:tcW w:w="3456" w:type="dxa"/>
                                </w:tcPr>
                                <w:p>
                                  <w:pPr>
                                    <w:pStyle w:val="TableParagraph"/>
                                    <w:spacing w:line="285" w:lineRule="auto" w:before="147"/>
                                    <w:ind w:left="462" w:right="425"/>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nacimientos</w:t>
                                  </w:r>
                                  <w:r>
                                    <w:rPr>
                                      <w:rFonts w:ascii="Arial MT" w:hAnsi="Arial MT"/>
                                      <w:color w:val="231F1F"/>
                                      <w:spacing w:val="-10"/>
                                      <w:sz w:val="14"/>
                                    </w:rPr>
                                    <w:t> </w:t>
                                  </w:r>
                                  <w:r>
                                    <w:rPr>
                                      <w:rFonts w:ascii="Arial MT" w:hAnsi="Arial MT"/>
                                      <w:color w:val="231F1F"/>
                                      <w:sz w:val="14"/>
                                    </w:rPr>
                                    <w:t>con</w:t>
                                  </w:r>
                                  <w:r>
                                    <w:rPr>
                                      <w:rFonts w:ascii="Arial MT" w:hAnsi="Arial MT"/>
                                      <w:color w:val="231F1F"/>
                                      <w:spacing w:val="-9"/>
                                      <w:sz w:val="14"/>
                                    </w:rPr>
                                    <w:t> </w:t>
                                  </w:r>
                                  <w:r>
                                    <w:rPr>
                                      <w:rFonts w:ascii="Arial MT" w:hAnsi="Arial MT"/>
                                      <w:color w:val="231F1F"/>
                                      <w:sz w:val="14"/>
                                    </w:rPr>
                                    <w:t>contacto</w:t>
                                  </w:r>
                                  <w:r>
                                    <w:rPr>
                                      <w:rFonts w:ascii="Arial MT" w:hAnsi="Arial MT"/>
                                      <w:color w:val="231F1F"/>
                                      <w:spacing w:val="-10"/>
                                      <w:sz w:val="14"/>
                                    </w:rPr>
                                    <w:t> </w:t>
                                  </w:r>
                                  <w:r>
                                    <w:rPr>
                                      <w:rFonts w:ascii="Arial MT" w:hAnsi="Arial MT"/>
                                      <w:color w:val="231F1F"/>
                                      <w:sz w:val="14"/>
                                    </w:rPr>
                                    <w:t>piel</w:t>
                                  </w:r>
                                  <w:r>
                                    <w:rPr>
                                      <w:rFonts w:ascii="Arial MT" w:hAnsi="Arial MT"/>
                                      <w:color w:val="231F1F"/>
                                      <w:spacing w:val="-10"/>
                                      <w:sz w:val="14"/>
                                    </w:rPr>
                                    <w:t> </w:t>
                                  </w:r>
                                  <w:r>
                                    <w:rPr>
                                      <w:rFonts w:ascii="Arial MT" w:hAnsi="Arial MT"/>
                                      <w:color w:val="231F1F"/>
                                      <w:sz w:val="14"/>
                                    </w:rPr>
                                    <w:t>con</w:t>
                                  </w:r>
                                  <w:r>
                                    <w:rPr>
                                      <w:rFonts w:ascii="Arial MT" w:hAnsi="Arial MT"/>
                                      <w:color w:val="231F1F"/>
                                      <w:spacing w:val="40"/>
                                      <w:sz w:val="14"/>
                                    </w:rPr>
                                    <w:t> </w:t>
                                  </w:r>
                                  <w:r>
                                    <w:rPr>
                                      <w:rFonts w:ascii="Arial MT" w:hAnsi="Arial MT"/>
                                      <w:color w:val="231F1F"/>
                                      <w:sz w:val="14"/>
                                    </w:rPr>
                                    <w:t>piel en paritorio</w:t>
                                  </w:r>
                                </w:p>
                                <w:p>
                                  <w:pPr>
                                    <w:pStyle w:val="TableParagraph"/>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wps:txbx>
                      <wps:bodyPr wrap="square" lIns="0" tIns="0" rIns="0" bIns="0" rtlCol="0">
                        <a:noAutofit/>
                      </wps:bodyPr>
                    </wps:wsp>
                  </a:graphicData>
                </a:graphic>
              </wp:anchor>
            </w:drawing>
          </mc:Choice>
          <mc:Fallback>
            <w:pict>
              <v:shape style="position:absolute;margin-left:279.119995pt;margin-top:62.880001pt;width:173.3pt;height:43pt;mso-position-horizontal-relative:page;mso-position-vertical-relative:paragraph;z-index:-15728640;mso-wrap-distance-left:0;mso-wrap-distance-right:0" type="#_x0000_t202" id="docshape187" filled="false" stroked="false">
                <v:textbox inset="0,0,0,0">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9" w:hRule="atLeast"/>
                        </w:trPr>
                        <w:tc>
                          <w:tcPr>
                            <w:tcW w:w="3456" w:type="dxa"/>
                          </w:tcPr>
                          <w:p>
                            <w:pPr>
                              <w:pStyle w:val="TableParagraph"/>
                              <w:spacing w:line="285" w:lineRule="auto" w:before="147"/>
                              <w:ind w:left="462" w:right="425"/>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nacimientos</w:t>
                            </w:r>
                            <w:r>
                              <w:rPr>
                                <w:rFonts w:ascii="Arial MT" w:hAnsi="Arial MT"/>
                                <w:color w:val="231F1F"/>
                                <w:spacing w:val="-10"/>
                                <w:sz w:val="14"/>
                              </w:rPr>
                              <w:t> </w:t>
                            </w:r>
                            <w:r>
                              <w:rPr>
                                <w:rFonts w:ascii="Arial MT" w:hAnsi="Arial MT"/>
                                <w:color w:val="231F1F"/>
                                <w:sz w:val="14"/>
                              </w:rPr>
                              <w:t>con</w:t>
                            </w:r>
                            <w:r>
                              <w:rPr>
                                <w:rFonts w:ascii="Arial MT" w:hAnsi="Arial MT"/>
                                <w:color w:val="231F1F"/>
                                <w:spacing w:val="-9"/>
                                <w:sz w:val="14"/>
                              </w:rPr>
                              <w:t> </w:t>
                            </w:r>
                            <w:r>
                              <w:rPr>
                                <w:rFonts w:ascii="Arial MT" w:hAnsi="Arial MT"/>
                                <w:color w:val="231F1F"/>
                                <w:sz w:val="14"/>
                              </w:rPr>
                              <w:t>contacto</w:t>
                            </w:r>
                            <w:r>
                              <w:rPr>
                                <w:rFonts w:ascii="Arial MT" w:hAnsi="Arial MT"/>
                                <w:color w:val="231F1F"/>
                                <w:spacing w:val="-10"/>
                                <w:sz w:val="14"/>
                              </w:rPr>
                              <w:t> </w:t>
                            </w:r>
                            <w:r>
                              <w:rPr>
                                <w:rFonts w:ascii="Arial MT" w:hAnsi="Arial MT"/>
                                <w:color w:val="231F1F"/>
                                <w:sz w:val="14"/>
                              </w:rPr>
                              <w:t>piel</w:t>
                            </w:r>
                            <w:r>
                              <w:rPr>
                                <w:rFonts w:ascii="Arial MT" w:hAnsi="Arial MT"/>
                                <w:color w:val="231F1F"/>
                                <w:spacing w:val="-10"/>
                                <w:sz w:val="14"/>
                              </w:rPr>
                              <w:t> </w:t>
                            </w:r>
                            <w:r>
                              <w:rPr>
                                <w:rFonts w:ascii="Arial MT" w:hAnsi="Arial MT"/>
                                <w:color w:val="231F1F"/>
                                <w:sz w:val="14"/>
                              </w:rPr>
                              <w:t>con</w:t>
                            </w:r>
                            <w:r>
                              <w:rPr>
                                <w:rFonts w:ascii="Arial MT" w:hAnsi="Arial MT"/>
                                <w:color w:val="231F1F"/>
                                <w:spacing w:val="40"/>
                                <w:sz w:val="14"/>
                              </w:rPr>
                              <w:t> </w:t>
                            </w:r>
                            <w:r>
                              <w:rPr>
                                <w:rFonts w:ascii="Arial MT" w:hAnsi="Arial MT"/>
                                <w:color w:val="231F1F"/>
                                <w:sz w:val="14"/>
                              </w:rPr>
                              <w:t>piel en paritorio</w:t>
                            </w:r>
                          </w:p>
                          <w:p>
                            <w:pPr>
                              <w:pStyle w:val="TableParagraph"/>
                              <w:ind w:left="461" w:right="425"/>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v:textbox>
                <w10:wrap type="topAndBottom"/>
              </v:shape>
            </w:pict>
          </mc:Fallback>
        </mc:AlternateContent>
      </w:r>
      <w:r>
        <w:rPr>
          <w:rFonts w:ascii="Arial MT"/>
          <w:sz w:val="16"/>
        </w:rPr>
        <mc:AlternateContent>
          <mc:Choice Requires="wps">
            <w:drawing>
              <wp:anchor distT="0" distB="0" distL="0" distR="0" allowOverlap="1" layoutInCell="1" locked="0" behindDoc="1" simplePos="0" relativeHeight="487649792">
                <wp:simplePos x="0" y="0"/>
                <wp:positionH relativeFrom="page">
                  <wp:posOffset>3195320</wp:posOffset>
                </wp:positionH>
                <wp:positionV relativeFrom="paragraph">
                  <wp:posOffset>1575435</wp:posOffset>
                </wp:positionV>
                <wp:extent cx="303530" cy="81915"/>
                <wp:effectExtent l="0" t="0" r="0" b="0"/>
                <wp:wrapTopAndBottom/>
                <wp:docPr id="227" name="Group 227"/>
                <wp:cNvGraphicFramePr>
                  <a:graphicFrameLocks/>
                </wp:cNvGraphicFramePr>
                <a:graphic>
                  <a:graphicData uri="http://schemas.microsoft.com/office/word/2010/wordprocessingGroup">
                    <wpg:wgp>
                      <wpg:cNvPr id="227" name="Group 227"/>
                      <wpg:cNvGrpSpPr/>
                      <wpg:grpSpPr>
                        <a:xfrm>
                          <a:off x="0" y="0"/>
                          <a:ext cx="303530" cy="81915"/>
                          <a:chExt cx="303530" cy="81915"/>
                        </a:xfrm>
                      </wpg:grpSpPr>
                      <wps:wsp>
                        <wps:cNvPr id="228" name="Graphic 228"/>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29" name="Graphic 229"/>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124.050003pt;width:23.9pt;height:6.45pt;mso-position-horizontal-relative:page;mso-position-vertical-relative:paragraph;z-index:-15666688;mso-wrap-distance-left:0;mso-wrap-distance-right:0" id="docshapegroup188" coordorigin="5032,2481" coordsize="478,129">
                <v:line style="position:absolute" from="5032,2546" to="5313,2546" stroked="true" strokeweight=".552992pt" strokecolor="#a30046">
                  <v:stroke dashstyle="solid"/>
                </v:line>
                <v:shape style="position:absolute;left:5269;top:2481;width:240;height:129" id="docshape189" coordorigin="5269,2481" coordsize="240,129" path="m5269,2481l5269,2610,5509,2545,5269,2481xe" filled="true" fillcolor="#a30046" stroked="false">
                  <v:path arrowok="t"/>
                  <v:fill type="solid"/>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7587840">
                <wp:simplePos x="0" y="0"/>
                <wp:positionH relativeFrom="page">
                  <wp:posOffset>3544823</wp:posOffset>
                </wp:positionH>
                <wp:positionV relativeFrom="paragraph">
                  <wp:posOffset>1411224</wp:posOffset>
                </wp:positionV>
                <wp:extent cx="2200910" cy="542925"/>
                <wp:effectExtent l="0" t="0" r="0" b="0"/>
                <wp:wrapTopAndBottom/>
                <wp:docPr id="230" name="Textbox 230"/>
                <wp:cNvGraphicFramePr>
                  <a:graphicFrameLocks/>
                </wp:cNvGraphicFramePr>
                <a:graphic>
                  <a:graphicData uri="http://schemas.microsoft.com/office/word/2010/wordprocessingShape">
                    <wps:wsp>
                      <wps:cNvPr id="230" name="Textbox 230"/>
                      <wps:cNvSpPr txBox="1"/>
                      <wps:spPr>
                        <a:xfrm>
                          <a:off x="0" y="0"/>
                          <a:ext cx="2200910" cy="542925"/>
                        </a:xfrm>
                        <a:prstGeom prst="rect">
                          <a:avLst/>
                        </a:prstGeom>
                      </wps:spPr>
                      <wps:txbx>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4" w:hRule="atLeast"/>
                              </w:trPr>
                              <w:tc>
                                <w:tcPr>
                                  <w:tcW w:w="3456" w:type="dxa"/>
                                </w:tcPr>
                                <w:p>
                                  <w:pPr>
                                    <w:pStyle w:val="TableParagraph"/>
                                    <w:spacing w:before="81"/>
                                    <w:ind w:left="0"/>
                                    <w:rPr>
                                      <w:rFonts w:ascii="Arial MT"/>
                                      <w:sz w:val="14"/>
                                    </w:rPr>
                                  </w:pPr>
                                </w:p>
                                <w:p>
                                  <w:pPr>
                                    <w:pStyle w:val="TableParagraph"/>
                                    <w:spacing w:line="285" w:lineRule="auto" w:before="1"/>
                                    <w:ind w:left="962" w:right="832" w:hanging="47"/>
                                    <w:rPr>
                                      <w:rFonts w:ascii="Arial MT" w:hAnsi="Arial MT"/>
                                      <w:sz w:val="14"/>
                                    </w:rPr>
                                  </w:pPr>
                                  <w:r>
                                    <w:rPr>
                                      <w:rFonts w:ascii="Arial MT" w:hAnsi="Arial MT"/>
                                      <w:color w:val="231F1F"/>
                                      <w:spacing w:val="-2"/>
                                      <w:sz w:val="14"/>
                                    </w:rPr>
                                    <w:t>N.º</w:t>
                                  </w:r>
                                  <w:r>
                                    <w:rPr>
                                      <w:rFonts w:ascii="Arial MT" w:hAnsi="Arial MT"/>
                                      <w:color w:val="231F1F"/>
                                      <w:spacing w:val="-9"/>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RN</w:t>
                                  </w:r>
                                  <w:r>
                                    <w:rPr>
                                      <w:rFonts w:ascii="Arial MT" w:hAnsi="Arial MT"/>
                                      <w:color w:val="231F1F"/>
                                      <w:spacing w:val="-9"/>
                                      <w:sz w:val="14"/>
                                    </w:rPr>
                                    <w:t> </w:t>
                                  </w:r>
                                  <w:r>
                                    <w:rPr>
                                      <w:rFonts w:ascii="Arial MT" w:hAnsi="Arial MT"/>
                                      <w:color w:val="231F1F"/>
                                      <w:spacing w:val="-2"/>
                                      <w:sz w:val="14"/>
                                    </w:rPr>
                                    <w:t>lactantes</w:t>
                                  </w:r>
                                  <w:r>
                                    <w:rPr>
                                      <w:rFonts w:ascii="Arial MT" w:hAnsi="Arial MT"/>
                                      <w:color w:val="231F1F"/>
                                      <w:spacing w:val="-8"/>
                                      <w:sz w:val="14"/>
                                    </w:rPr>
                                    <w:t> </w:t>
                                  </w:r>
                                  <w:r>
                                    <w:rPr>
                                      <w:rFonts w:ascii="Arial MT" w:hAnsi="Arial MT"/>
                                      <w:color w:val="231F1F"/>
                                      <w:spacing w:val="-2"/>
                                      <w:sz w:val="14"/>
                                    </w:rPr>
                                    <w:t>al</w:t>
                                  </w:r>
                                  <w:r>
                                    <w:rPr>
                                      <w:rFonts w:ascii="Arial MT" w:hAnsi="Arial MT"/>
                                      <w:color w:val="231F1F"/>
                                      <w:spacing w:val="-9"/>
                                      <w:sz w:val="14"/>
                                    </w:rPr>
                                    <w:t> </w:t>
                                  </w:r>
                                  <w:r>
                                    <w:rPr>
                                      <w:rFonts w:ascii="Arial MT" w:hAnsi="Arial MT"/>
                                      <w:color w:val="231F1F"/>
                                      <w:spacing w:val="-2"/>
                                      <w:sz w:val="14"/>
                                    </w:rPr>
                                    <w:t>alta</w:t>
                                  </w:r>
                                  <w:r>
                                    <w:rPr>
                                      <w:rFonts w:ascii="Arial MT" w:hAnsi="Arial MT"/>
                                      <w:color w:val="231F1F"/>
                                      <w:spacing w:val="40"/>
                                      <w:sz w:val="14"/>
                                    </w:rPr>
                                    <w:t> </w:t>
                                  </w: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5"/>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wps:txbx>
                      <wps:bodyPr wrap="square" lIns="0" tIns="0" rIns="0" bIns="0" rtlCol="0">
                        <a:noAutofit/>
                      </wps:bodyPr>
                    </wps:wsp>
                  </a:graphicData>
                </a:graphic>
              </wp:anchor>
            </w:drawing>
          </mc:Choice>
          <mc:Fallback>
            <w:pict>
              <v:shape style="position:absolute;margin-left:279.119995pt;margin-top:111.120003pt;width:173.3pt;height:42.75pt;mso-position-horizontal-relative:page;mso-position-vertical-relative:paragraph;z-index:-15728640;mso-wrap-distance-left:0;mso-wrap-distance-right:0" type="#_x0000_t202" id="docshape190" filled="false" stroked="false">
                <v:textbox inset="0,0,0,0">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4" w:hRule="atLeast"/>
                        </w:trPr>
                        <w:tc>
                          <w:tcPr>
                            <w:tcW w:w="3456" w:type="dxa"/>
                          </w:tcPr>
                          <w:p>
                            <w:pPr>
                              <w:pStyle w:val="TableParagraph"/>
                              <w:spacing w:before="81"/>
                              <w:ind w:left="0"/>
                              <w:rPr>
                                <w:rFonts w:ascii="Arial MT"/>
                                <w:sz w:val="14"/>
                              </w:rPr>
                            </w:pPr>
                          </w:p>
                          <w:p>
                            <w:pPr>
                              <w:pStyle w:val="TableParagraph"/>
                              <w:spacing w:line="285" w:lineRule="auto" w:before="1"/>
                              <w:ind w:left="962" w:right="832" w:hanging="47"/>
                              <w:rPr>
                                <w:rFonts w:ascii="Arial MT" w:hAnsi="Arial MT"/>
                                <w:sz w:val="14"/>
                              </w:rPr>
                            </w:pPr>
                            <w:r>
                              <w:rPr>
                                <w:rFonts w:ascii="Arial MT" w:hAnsi="Arial MT"/>
                                <w:color w:val="231F1F"/>
                                <w:spacing w:val="-2"/>
                                <w:sz w:val="14"/>
                              </w:rPr>
                              <w:t>N.º</w:t>
                            </w:r>
                            <w:r>
                              <w:rPr>
                                <w:rFonts w:ascii="Arial MT" w:hAnsi="Arial MT"/>
                                <w:color w:val="231F1F"/>
                                <w:spacing w:val="-9"/>
                                <w:sz w:val="14"/>
                              </w:rPr>
                              <w:t> </w:t>
                            </w:r>
                            <w:r>
                              <w:rPr>
                                <w:rFonts w:ascii="Arial MT" w:hAnsi="Arial MT"/>
                                <w:color w:val="231F1F"/>
                                <w:spacing w:val="-2"/>
                                <w:sz w:val="14"/>
                              </w:rPr>
                              <w:t>de</w:t>
                            </w:r>
                            <w:r>
                              <w:rPr>
                                <w:rFonts w:ascii="Arial MT" w:hAnsi="Arial MT"/>
                                <w:color w:val="231F1F"/>
                                <w:spacing w:val="-9"/>
                                <w:sz w:val="14"/>
                              </w:rPr>
                              <w:t> </w:t>
                            </w:r>
                            <w:r>
                              <w:rPr>
                                <w:rFonts w:ascii="Arial MT" w:hAnsi="Arial MT"/>
                                <w:color w:val="231F1F"/>
                                <w:spacing w:val="-2"/>
                                <w:sz w:val="14"/>
                              </w:rPr>
                              <w:t>RN</w:t>
                            </w:r>
                            <w:r>
                              <w:rPr>
                                <w:rFonts w:ascii="Arial MT" w:hAnsi="Arial MT"/>
                                <w:color w:val="231F1F"/>
                                <w:spacing w:val="-9"/>
                                <w:sz w:val="14"/>
                              </w:rPr>
                              <w:t> </w:t>
                            </w:r>
                            <w:r>
                              <w:rPr>
                                <w:rFonts w:ascii="Arial MT" w:hAnsi="Arial MT"/>
                                <w:color w:val="231F1F"/>
                                <w:spacing w:val="-2"/>
                                <w:sz w:val="14"/>
                              </w:rPr>
                              <w:t>lactantes</w:t>
                            </w:r>
                            <w:r>
                              <w:rPr>
                                <w:rFonts w:ascii="Arial MT" w:hAnsi="Arial MT"/>
                                <w:color w:val="231F1F"/>
                                <w:spacing w:val="-8"/>
                                <w:sz w:val="14"/>
                              </w:rPr>
                              <w:t> </w:t>
                            </w:r>
                            <w:r>
                              <w:rPr>
                                <w:rFonts w:ascii="Arial MT" w:hAnsi="Arial MT"/>
                                <w:color w:val="231F1F"/>
                                <w:spacing w:val="-2"/>
                                <w:sz w:val="14"/>
                              </w:rPr>
                              <w:t>al</w:t>
                            </w:r>
                            <w:r>
                              <w:rPr>
                                <w:rFonts w:ascii="Arial MT" w:hAnsi="Arial MT"/>
                                <w:color w:val="231F1F"/>
                                <w:spacing w:val="-9"/>
                                <w:sz w:val="14"/>
                              </w:rPr>
                              <w:t> </w:t>
                            </w:r>
                            <w:r>
                              <w:rPr>
                                <w:rFonts w:ascii="Arial MT" w:hAnsi="Arial MT"/>
                                <w:color w:val="231F1F"/>
                                <w:spacing w:val="-2"/>
                                <w:sz w:val="14"/>
                              </w:rPr>
                              <w:t>alta</w:t>
                            </w:r>
                            <w:r>
                              <w:rPr>
                                <w:rFonts w:ascii="Arial MT" w:hAnsi="Arial MT"/>
                                <w:color w:val="231F1F"/>
                                <w:spacing w:val="40"/>
                                <w:sz w:val="14"/>
                              </w:rPr>
                              <w:t> </w:t>
                            </w: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5"/>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v:textbox>
                <w10:wrap type="topAndBottom"/>
              </v:shape>
            </w:pict>
          </mc:Fallback>
        </mc:AlternateContent>
      </w:r>
      <w:r>
        <w:rPr>
          <w:rFonts w:ascii="Arial MT"/>
          <w:sz w:val="16"/>
        </w:rPr>
        <mc:AlternateContent>
          <mc:Choice Requires="wps">
            <w:drawing>
              <wp:anchor distT="0" distB="0" distL="0" distR="0" allowOverlap="1" layoutInCell="1" locked="0" behindDoc="1" simplePos="0" relativeHeight="487650304">
                <wp:simplePos x="0" y="0"/>
                <wp:positionH relativeFrom="page">
                  <wp:posOffset>3195320</wp:posOffset>
                </wp:positionH>
                <wp:positionV relativeFrom="paragraph">
                  <wp:posOffset>2188210</wp:posOffset>
                </wp:positionV>
                <wp:extent cx="303530" cy="81915"/>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303530" cy="81915"/>
                          <a:chExt cx="303530" cy="81915"/>
                        </a:xfrm>
                      </wpg:grpSpPr>
                      <wps:wsp>
                        <wps:cNvPr id="232" name="Graphic 232"/>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33" name="Graphic 233"/>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172.300003pt;width:23.9pt;height:6.45pt;mso-position-horizontal-relative:page;mso-position-vertical-relative:paragraph;z-index:-15666176;mso-wrap-distance-left:0;mso-wrap-distance-right:0" id="docshapegroup191" coordorigin="5032,3446" coordsize="478,129">
                <v:line style="position:absolute" from="5032,3511" to="5313,3511" stroked="true" strokeweight=".552992pt" strokecolor="#a30046">
                  <v:stroke dashstyle="solid"/>
                </v:line>
                <v:shape style="position:absolute;left:5269;top:3446;width:240;height:129" id="docshape192" coordorigin="5269,3446" coordsize="240,129" path="m5269,3446l5269,3575,5509,3510,5269,3446xe" filled="true" fillcolor="#a30046" stroked="false">
                  <v:path arrowok="t"/>
                  <v:fill type="solid"/>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7587840">
                <wp:simplePos x="0" y="0"/>
                <wp:positionH relativeFrom="page">
                  <wp:posOffset>3544823</wp:posOffset>
                </wp:positionH>
                <wp:positionV relativeFrom="paragraph">
                  <wp:posOffset>2020823</wp:posOffset>
                </wp:positionV>
                <wp:extent cx="2200910" cy="54610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2200910" cy="546100"/>
                        </a:xfrm>
                        <a:prstGeom prst="rect">
                          <a:avLst/>
                        </a:prstGeom>
                      </wps:spPr>
                      <wps:txbx>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9" w:hRule="atLeast"/>
                              </w:trPr>
                              <w:tc>
                                <w:tcPr>
                                  <w:tcW w:w="3456" w:type="dxa"/>
                                </w:tcPr>
                                <w:p>
                                  <w:pPr>
                                    <w:pStyle w:val="TableParagraph"/>
                                    <w:spacing w:before="86"/>
                                    <w:ind w:left="0"/>
                                    <w:rPr>
                                      <w:rFonts w:ascii="Arial MT"/>
                                      <w:sz w:val="14"/>
                                    </w:rPr>
                                  </w:pPr>
                                </w:p>
                                <w:p>
                                  <w:pPr>
                                    <w:pStyle w:val="TableParagraph"/>
                                    <w:spacing w:line="278" w:lineRule="auto"/>
                                    <w:ind w:left="961" w:right="832" w:hanging="58"/>
                                    <w:rPr>
                                      <w:rFonts w:ascii="Arial MT" w:hAnsi="Arial MT"/>
                                      <w:sz w:val="14"/>
                                    </w:rPr>
                                  </w:pPr>
                                  <w:r>
                                    <w:rPr>
                                      <w:rFonts w:ascii="Arial MT" w:hAnsi="Arial MT"/>
                                      <w:color w:val="231F1F"/>
                                      <w:spacing w:val="-2"/>
                                      <w:sz w:val="14"/>
                                    </w:rPr>
                                    <w:t>N.º</w:t>
                                  </w:r>
                                  <w:r>
                                    <w:rPr>
                                      <w:rFonts w:ascii="Arial MT" w:hAnsi="Arial MT"/>
                                      <w:color w:val="231F1F"/>
                                      <w:spacing w:val="-8"/>
                                      <w:sz w:val="14"/>
                                    </w:rPr>
                                    <w:t> </w:t>
                                  </w:r>
                                  <w:r>
                                    <w:rPr>
                                      <w:rFonts w:ascii="Arial MT" w:hAnsi="Arial MT"/>
                                      <w:color w:val="231F1F"/>
                                      <w:spacing w:val="-2"/>
                                      <w:sz w:val="14"/>
                                    </w:rPr>
                                    <w:t>de</w:t>
                                  </w:r>
                                  <w:r>
                                    <w:rPr>
                                      <w:rFonts w:ascii="Arial MT" w:hAnsi="Arial MT"/>
                                      <w:color w:val="231F1F"/>
                                      <w:spacing w:val="-8"/>
                                      <w:sz w:val="14"/>
                                    </w:rPr>
                                    <w:t> </w:t>
                                  </w:r>
                                  <w:r>
                                    <w:rPr>
                                      <w:rFonts w:ascii="Arial MT" w:hAnsi="Arial MT"/>
                                      <w:color w:val="231F1F"/>
                                      <w:spacing w:val="-2"/>
                                      <w:sz w:val="14"/>
                                    </w:rPr>
                                    <w:t>neonatos</w:t>
                                  </w:r>
                                  <w:r>
                                    <w:rPr>
                                      <w:rFonts w:ascii="Arial MT" w:hAnsi="Arial MT"/>
                                      <w:color w:val="231F1F"/>
                                      <w:spacing w:val="-8"/>
                                      <w:sz w:val="14"/>
                                    </w:rPr>
                                    <w:t> </w:t>
                                  </w:r>
                                  <w:r>
                                    <w:rPr>
                                      <w:rFonts w:ascii="Arial MT" w:hAnsi="Arial MT"/>
                                      <w:color w:val="231F1F"/>
                                      <w:spacing w:val="-2"/>
                                      <w:sz w:val="14"/>
                                    </w:rPr>
                                    <w:t>aspirados</w:t>
                                  </w:r>
                                  <w:r>
                                    <w:rPr>
                                      <w:rFonts w:ascii="Arial MT" w:hAnsi="Arial MT"/>
                                      <w:color w:val="231F1F"/>
                                      <w:spacing w:val="40"/>
                                      <w:sz w:val="14"/>
                                    </w:rPr>
                                    <w:t> </w:t>
                                  </w:r>
                                  <w:r>
                                    <w:rPr>
                                      <w:rFonts w:ascii="Arial MT" w:hAnsi="Arial MT"/>
                                      <w:color w:val="231F1F"/>
                                      <w:sz w:val="14"/>
                                    </w:rPr>
                                    <w:t>n.º</w:t>
                                  </w:r>
                                  <w:r>
                                    <w:rPr>
                                      <w:rFonts w:ascii="Arial MT" w:hAnsi="Arial MT"/>
                                      <w:color w:val="231F1F"/>
                                      <w:spacing w:val="-2"/>
                                      <w:sz w:val="14"/>
                                    </w:rPr>
                                    <w:t> </w:t>
                                  </w:r>
                                  <w:r>
                                    <w:rPr>
                                      <w:rFonts w:ascii="Arial MT" w:hAnsi="Arial MT"/>
                                      <w:color w:val="231F1F"/>
                                      <w:sz w:val="14"/>
                                    </w:rPr>
                                    <w:t>total</w:t>
                                  </w:r>
                                  <w:r>
                                    <w:rPr>
                                      <w:rFonts w:ascii="Arial MT" w:hAnsi="Arial MT"/>
                                      <w:color w:val="231F1F"/>
                                      <w:spacing w:val="-2"/>
                                      <w:sz w:val="14"/>
                                    </w:rPr>
                                    <w:t> </w:t>
                                  </w:r>
                                  <w:r>
                                    <w:rPr>
                                      <w:rFonts w:ascii="Arial MT" w:hAnsi="Arial MT"/>
                                      <w:color w:val="231F1F"/>
                                      <w:sz w:val="14"/>
                                    </w:rPr>
                                    <w:t>de</w:t>
                                  </w:r>
                                  <w:r>
                                    <w:rPr>
                                      <w:rFonts w:ascii="Arial MT" w:hAnsi="Arial MT"/>
                                      <w:color w:val="231F1F"/>
                                      <w:spacing w:val="-2"/>
                                      <w:sz w:val="14"/>
                                    </w:rPr>
                                    <w:t> </w:t>
                                  </w:r>
                                  <w:r>
                                    <w:rPr>
                                      <w:rFonts w:ascii="Arial MT" w:hAnsi="Arial MT"/>
                                      <w:color w:val="231F1F"/>
                                      <w:sz w:val="14"/>
                                    </w:rPr>
                                    <w:t>mujeres</w:t>
                                  </w:r>
                                  <w:r>
                                    <w:rPr>
                                      <w:rFonts w:ascii="Arial MT" w:hAnsi="Arial MT"/>
                                      <w:color w:val="231F1F"/>
                                      <w:spacing w:val="-1"/>
                                      <w:sz w:val="14"/>
                                    </w:rPr>
                                    <w:t> </w:t>
                                  </w:r>
                                  <w:r>
                                    <w:rPr>
                                      <w:rFonts w:ascii="Arial MT" w:hAnsi="Arial MT"/>
                                      <w:color w:val="231F1F"/>
                                      <w:sz w:val="14"/>
                                    </w:rPr>
                                    <w:t>pvsc</w:t>
                                  </w:r>
                                </w:p>
                              </w:tc>
                            </w:tr>
                          </w:tbl>
                          <w:p>
                            <w:pPr>
                              <w:pStyle w:val="BodyText"/>
                            </w:pPr>
                          </w:p>
                        </w:txbxContent>
                      </wps:txbx>
                      <wps:bodyPr wrap="square" lIns="0" tIns="0" rIns="0" bIns="0" rtlCol="0">
                        <a:noAutofit/>
                      </wps:bodyPr>
                    </wps:wsp>
                  </a:graphicData>
                </a:graphic>
              </wp:anchor>
            </w:drawing>
          </mc:Choice>
          <mc:Fallback>
            <w:pict>
              <v:shape style="position:absolute;margin-left:279.119995pt;margin-top:159.119995pt;width:173.3pt;height:43pt;mso-position-horizontal-relative:page;mso-position-vertical-relative:paragraph;z-index:-15728640;mso-wrap-distance-left:0;mso-wrap-distance-right:0" type="#_x0000_t202" id="docshape193" filled="false" stroked="false">
                <v:textbox inset="0,0,0,0">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39" w:hRule="atLeast"/>
                        </w:trPr>
                        <w:tc>
                          <w:tcPr>
                            <w:tcW w:w="3456" w:type="dxa"/>
                          </w:tcPr>
                          <w:p>
                            <w:pPr>
                              <w:pStyle w:val="TableParagraph"/>
                              <w:spacing w:before="86"/>
                              <w:ind w:left="0"/>
                              <w:rPr>
                                <w:rFonts w:ascii="Arial MT"/>
                                <w:sz w:val="14"/>
                              </w:rPr>
                            </w:pPr>
                          </w:p>
                          <w:p>
                            <w:pPr>
                              <w:pStyle w:val="TableParagraph"/>
                              <w:spacing w:line="278" w:lineRule="auto"/>
                              <w:ind w:left="961" w:right="832" w:hanging="58"/>
                              <w:rPr>
                                <w:rFonts w:ascii="Arial MT" w:hAnsi="Arial MT"/>
                                <w:sz w:val="14"/>
                              </w:rPr>
                            </w:pPr>
                            <w:r>
                              <w:rPr>
                                <w:rFonts w:ascii="Arial MT" w:hAnsi="Arial MT"/>
                                <w:color w:val="231F1F"/>
                                <w:spacing w:val="-2"/>
                                <w:sz w:val="14"/>
                              </w:rPr>
                              <w:t>N.º</w:t>
                            </w:r>
                            <w:r>
                              <w:rPr>
                                <w:rFonts w:ascii="Arial MT" w:hAnsi="Arial MT"/>
                                <w:color w:val="231F1F"/>
                                <w:spacing w:val="-8"/>
                                <w:sz w:val="14"/>
                              </w:rPr>
                              <w:t> </w:t>
                            </w:r>
                            <w:r>
                              <w:rPr>
                                <w:rFonts w:ascii="Arial MT" w:hAnsi="Arial MT"/>
                                <w:color w:val="231F1F"/>
                                <w:spacing w:val="-2"/>
                                <w:sz w:val="14"/>
                              </w:rPr>
                              <w:t>de</w:t>
                            </w:r>
                            <w:r>
                              <w:rPr>
                                <w:rFonts w:ascii="Arial MT" w:hAnsi="Arial MT"/>
                                <w:color w:val="231F1F"/>
                                <w:spacing w:val="-8"/>
                                <w:sz w:val="14"/>
                              </w:rPr>
                              <w:t> </w:t>
                            </w:r>
                            <w:r>
                              <w:rPr>
                                <w:rFonts w:ascii="Arial MT" w:hAnsi="Arial MT"/>
                                <w:color w:val="231F1F"/>
                                <w:spacing w:val="-2"/>
                                <w:sz w:val="14"/>
                              </w:rPr>
                              <w:t>neonatos</w:t>
                            </w:r>
                            <w:r>
                              <w:rPr>
                                <w:rFonts w:ascii="Arial MT" w:hAnsi="Arial MT"/>
                                <w:color w:val="231F1F"/>
                                <w:spacing w:val="-8"/>
                                <w:sz w:val="14"/>
                              </w:rPr>
                              <w:t> </w:t>
                            </w:r>
                            <w:r>
                              <w:rPr>
                                <w:rFonts w:ascii="Arial MT" w:hAnsi="Arial MT"/>
                                <w:color w:val="231F1F"/>
                                <w:spacing w:val="-2"/>
                                <w:sz w:val="14"/>
                              </w:rPr>
                              <w:t>aspirados</w:t>
                            </w:r>
                            <w:r>
                              <w:rPr>
                                <w:rFonts w:ascii="Arial MT" w:hAnsi="Arial MT"/>
                                <w:color w:val="231F1F"/>
                                <w:spacing w:val="40"/>
                                <w:sz w:val="14"/>
                              </w:rPr>
                              <w:t> </w:t>
                            </w:r>
                            <w:r>
                              <w:rPr>
                                <w:rFonts w:ascii="Arial MT" w:hAnsi="Arial MT"/>
                                <w:color w:val="231F1F"/>
                                <w:sz w:val="14"/>
                              </w:rPr>
                              <w:t>n.º</w:t>
                            </w:r>
                            <w:r>
                              <w:rPr>
                                <w:rFonts w:ascii="Arial MT" w:hAnsi="Arial MT"/>
                                <w:color w:val="231F1F"/>
                                <w:spacing w:val="-2"/>
                                <w:sz w:val="14"/>
                              </w:rPr>
                              <w:t> </w:t>
                            </w:r>
                            <w:r>
                              <w:rPr>
                                <w:rFonts w:ascii="Arial MT" w:hAnsi="Arial MT"/>
                                <w:color w:val="231F1F"/>
                                <w:sz w:val="14"/>
                              </w:rPr>
                              <w:t>total</w:t>
                            </w:r>
                            <w:r>
                              <w:rPr>
                                <w:rFonts w:ascii="Arial MT" w:hAnsi="Arial MT"/>
                                <w:color w:val="231F1F"/>
                                <w:spacing w:val="-2"/>
                                <w:sz w:val="14"/>
                              </w:rPr>
                              <w:t> </w:t>
                            </w:r>
                            <w:r>
                              <w:rPr>
                                <w:rFonts w:ascii="Arial MT" w:hAnsi="Arial MT"/>
                                <w:color w:val="231F1F"/>
                                <w:sz w:val="14"/>
                              </w:rPr>
                              <w:t>de</w:t>
                            </w:r>
                            <w:r>
                              <w:rPr>
                                <w:rFonts w:ascii="Arial MT" w:hAnsi="Arial MT"/>
                                <w:color w:val="231F1F"/>
                                <w:spacing w:val="-2"/>
                                <w:sz w:val="14"/>
                              </w:rPr>
                              <w:t> </w:t>
                            </w:r>
                            <w:r>
                              <w:rPr>
                                <w:rFonts w:ascii="Arial MT" w:hAnsi="Arial MT"/>
                                <w:color w:val="231F1F"/>
                                <w:sz w:val="14"/>
                              </w:rPr>
                              <w:t>mujeres</w:t>
                            </w:r>
                            <w:r>
                              <w:rPr>
                                <w:rFonts w:ascii="Arial MT" w:hAnsi="Arial MT"/>
                                <w:color w:val="231F1F"/>
                                <w:spacing w:val="-1"/>
                                <w:sz w:val="14"/>
                              </w:rPr>
                              <w:t> </w:t>
                            </w:r>
                            <w:r>
                              <w:rPr>
                                <w:rFonts w:ascii="Arial MT" w:hAnsi="Arial MT"/>
                                <w:color w:val="231F1F"/>
                                <w:sz w:val="14"/>
                              </w:rPr>
                              <w:t>pvsc</w:t>
                            </w:r>
                          </w:p>
                        </w:tc>
                      </w:tr>
                    </w:tbl>
                    <w:p>
                      <w:pPr>
                        <w:pStyle w:val="BodyText"/>
                      </w:pPr>
                    </w:p>
                  </w:txbxContent>
                </v:textbox>
                <w10:wrap type="topAndBottom"/>
              </v:shape>
            </w:pict>
          </mc:Fallback>
        </mc:AlternateContent>
      </w:r>
      <w:r>
        <w:rPr>
          <w:rFonts w:ascii="Arial MT"/>
          <w:sz w:val="16"/>
        </w:rPr>
        <mc:AlternateContent>
          <mc:Choice Requires="wps">
            <w:drawing>
              <wp:anchor distT="0" distB="0" distL="0" distR="0" allowOverlap="1" layoutInCell="1" locked="0" behindDoc="1" simplePos="0" relativeHeight="487587840">
                <wp:simplePos x="0" y="0"/>
                <wp:positionH relativeFrom="page">
                  <wp:posOffset>1798320</wp:posOffset>
                </wp:positionH>
                <wp:positionV relativeFrom="paragraph">
                  <wp:posOffset>2706623</wp:posOffset>
                </wp:positionV>
                <wp:extent cx="1320165" cy="3093720"/>
                <wp:effectExtent l="0" t="0" r="0" b="0"/>
                <wp:wrapTopAndBottom/>
                <wp:docPr id="235" name="Textbox 235"/>
                <wp:cNvGraphicFramePr>
                  <a:graphicFrameLocks/>
                </wp:cNvGraphicFramePr>
                <a:graphic>
                  <a:graphicData uri="http://schemas.microsoft.com/office/word/2010/wordprocessingShape">
                    <wps:wsp>
                      <wps:cNvPr id="235" name="Textbox 235"/>
                      <wps:cNvSpPr txBox="1"/>
                      <wps:spPr>
                        <a:xfrm>
                          <a:off x="0" y="0"/>
                          <a:ext cx="1320165" cy="3093720"/>
                        </a:xfrm>
                        <a:prstGeom prst="rect">
                          <a:avLst/>
                        </a:prstGeom>
                      </wps:spPr>
                      <wps:txbx>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69"/>
                            </w:tblGrid>
                            <w:tr>
                              <w:trPr>
                                <w:trHeight w:val="2294" w:hRule="atLeast"/>
                              </w:trPr>
                              <w:tc>
                                <w:tcPr>
                                  <w:tcW w:w="2069" w:type="dxa"/>
                                </w:tcPr>
                                <w:p>
                                  <w:pPr>
                                    <w:pStyle w:val="TableParagraph"/>
                                    <w:ind w:left="0"/>
                                    <w:rPr>
                                      <w:rFonts w:ascii="Arial MT"/>
                                      <w:sz w:val="16"/>
                                    </w:rPr>
                                  </w:pPr>
                                </w:p>
                                <w:p>
                                  <w:pPr>
                                    <w:pStyle w:val="TableParagraph"/>
                                    <w:ind w:left="0"/>
                                    <w:rPr>
                                      <w:rFonts w:ascii="Arial MT"/>
                                      <w:sz w:val="16"/>
                                    </w:rPr>
                                  </w:pPr>
                                </w:p>
                                <w:p>
                                  <w:pPr>
                                    <w:pStyle w:val="TableParagraph"/>
                                    <w:ind w:left="0"/>
                                    <w:rPr>
                                      <w:rFonts w:ascii="Arial MT"/>
                                      <w:sz w:val="16"/>
                                    </w:rPr>
                                  </w:pPr>
                                </w:p>
                                <w:p>
                                  <w:pPr>
                                    <w:pStyle w:val="TableParagraph"/>
                                    <w:spacing w:before="126"/>
                                    <w:ind w:left="0"/>
                                    <w:rPr>
                                      <w:rFonts w:ascii="Arial MT"/>
                                      <w:sz w:val="16"/>
                                    </w:rPr>
                                  </w:pPr>
                                </w:p>
                                <w:p>
                                  <w:pPr>
                                    <w:pStyle w:val="TableParagraph"/>
                                    <w:ind w:left="88"/>
                                    <w:rPr>
                                      <w:rFonts w:ascii="Arial MT"/>
                                      <w:sz w:val="16"/>
                                    </w:rPr>
                                  </w:pPr>
                                  <w:r>
                                    <w:rPr>
                                      <w:rFonts w:ascii="Arial MT"/>
                                      <w:color w:val="A30046"/>
                                      <w:spacing w:val="-2"/>
                                      <w:sz w:val="16"/>
                                    </w:rPr>
                                    <w:t>Analgesia</w:t>
                                  </w:r>
                                </w:p>
                                <w:p>
                                  <w:pPr>
                                    <w:pStyle w:val="TableParagraph"/>
                                    <w:spacing w:line="249" w:lineRule="auto" w:before="8"/>
                                    <w:ind w:left="88"/>
                                    <w:rPr>
                                      <w:rFonts w:ascii="Arial MT" w:hAnsi="Arial MT"/>
                                      <w:sz w:val="16"/>
                                    </w:rPr>
                                  </w:pPr>
                                  <w:r>
                                    <w:rPr>
                                      <w:rFonts w:ascii="Arial MT" w:hAnsi="Arial MT"/>
                                      <w:color w:val="A30046"/>
                                      <w:spacing w:val="-4"/>
                                      <w:sz w:val="16"/>
                                    </w:rPr>
                                    <w:t>(tto</w:t>
                                  </w:r>
                                  <w:r>
                                    <w:rPr>
                                      <w:rFonts w:ascii="Arial MT" w:hAnsi="Arial MT"/>
                                      <w:color w:val="A30046"/>
                                      <w:spacing w:val="-8"/>
                                      <w:sz w:val="16"/>
                                    </w:rPr>
                                    <w:t> </w:t>
                                  </w:r>
                                  <w:r>
                                    <w:rPr>
                                      <w:rFonts w:ascii="Arial MT" w:hAnsi="Arial MT"/>
                                      <w:color w:val="A30046"/>
                                      <w:spacing w:val="-4"/>
                                      <w:sz w:val="16"/>
                                    </w:rPr>
                                    <w:t>no</w:t>
                                  </w:r>
                                  <w:r>
                                    <w:rPr>
                                      <w:rFonts w:ascii="Arial MT" w:hAnsi="Arial MT"/>
                                      <w:color w:val="A30046"/>
                                      <w:spacing w:val="-8"/>
                                      <w:sz w:val="16"/>
                                    </w:rPr>
                                    <w:t> </w:t>
                                  </w:r>
                                  <w:r>
                                    <w:rPr>
                                      <w:rFonts w:ascii="Arial MT" w:hAnsi="Arial MT"/>
                                      <w:color w:val="A30046"/>
                                      <w:spacing w:val="-4"/>
                                      <w:sz w:val="16"/>
                                    </w:rPr>
                                    <w:t>farmacológico) </w:t>
                                  </w:r>
                                  <w:r>
                                    <w:rPr>
                                      <w:rFonts w:ascii="Arial MT" w:hAnsi="Arial MT"/>
                                      <w:color w:val="231F1F"/>
                                      <w:sz w:val="16"/>
                                    </w:rPr>
                                    <w:t>Criterios: </w:t>
                                  </w:r>
                                  <w:r>
                                    <w:rPr>
                                      <w:rFonts w:ascii="Arial MT" w:hAnsi="Arial MT"/>
                                      <w:color w:val="A30046"/>
                                      <w:sz w:val="16"/>
                                    </w:rPr>
                                    <w:t>3,4</w:t>
                                  </w:r>
                                </w:p>
                              </w:tc>
                            </w:tr>
                            <w:tr>
                              <w:trPr>
                                <w:trHeight w:val="1031" w:hRule="atLeast"/>
                              </w:trPr>
                              <w:tc>
                                <w:tcPr>
                                  <w:tcW w:w="2069" w:type="dxa"/>
                                </w:tcPr>
                                <w:p>
                                  <w:pPr>
                                    <w:pStyle w:val="TableParagraph"/>
                                    <w:spacing w:before="37"/>
                                    <w:ind w:left="88"/>
                                    <w:rPr>
                                      <w:rFonts w:ascii="Arial MT"/>
                                      <w:sz w:val="16"/>
                                    </w:rPr>
                                  </w:pPr>
                                  <w:r>
                                    <w:rPr>
                                      <w:rFonts w:ascii="Arial MT"/>
                                      <w:color w:val="A30046"/>
                                      <w:spacing w:val="-2"/>
                                      <w:sz w:val="16"/>
                                    </w:rPr>
                                    <w:t>Analgesia</w:t>
                                  </w:r>
                                </w:p>
                                <w:p>
                                  <w:pPr>
                                    <w:pStyle w:val="TableParagraph"/>
                                    <w:spacing w:line="249" w:lineRule="auto" w:before="12"/>
                                    <w:ind w:left="88" w:right="427"/>
                                    <w:rPr>
                                      <w:rFonts w:ascii="Arial MT" w:hAnsi="Arial MT"/>
                                      <w:sz w:val="16"/>
                                    </w:rPr>
                                  </w:pPr>
                                  <w:r>
                                    <w:rPr>
                                      <w:rFonts w:ascii="Arial MT" w:hAnsi="Arial MT"/>
                                      <w:color w:val="A30046"/>
                                      <w:sz w:val="16"/>
                                    </w:rPr>
                                    <w:t>(tto</w:t>
                                  </w:r>
                                  <w:r>
                                    <w:rPr>
                                      <w:rFonts w:ascii="Arial MT" w:hAnsi="Arial MT"/>
                                      <w:color w:val="A30046"/>
                                      <w:spacing w:val="-12"/>
                                      <w:sz w:val="16"/>
                                    </w:rPr>
                                    <w:t> </w:t>
                                  </w:r>
                                  <w:r>
                                    <w:rPr>
                                      <w:rFonts w:ascii="Arial MT" w:hAnsi="Arial MT"/>
                                      <w:color w:val="A30046"/>
                                      <w:sz w:val="16"/>
                                    </w:rPr>
                                    <w:t>no</w:t>
                                  </w:r>
                                  <w:r>
                                    <w:rPr>
                                      <w:rFonts w:ascii="Arial MT" w:hAnsi="Arial MT"/>
                                      <w:color w:val="A30046"/>
                                      <w:spacing w:val="-12"/>
                                      <w:sz w:val="16"/>
                                    </w:rPr>
                                    <w:t> </w:t>
                                  </w:r>
                                  <w:r>
                                    <w:rPr>
                                      <w:rFonts w:ascii="Arial MT" w:hAnsi="Arial MT"/>
                                      <w:color w:val="A30046"/>
                                      <w:sz w:val="16"/>
                                    </w:rPr>
                                    <w:t>farmacológico) (Oxido nitroso/ </w:t>
                                  </w:r>
                                  <w:r>
                                    <w:rPr>
                                      <w:rFonts w:ascii="Arial MT" w:hAnsi="Arial MT"/>
                                      <w:color w:val="A30046"/>
                                      <w:spacing w:val="-4"/>
                                      <w:sz w:val="16"/>
                                    </w:rPr>
                                    <w:t>opioides</w:t>
                                  </w:r>
                                  <w:r>
                                    <w:rPr>
                                      <w:rFonts w:ascii="Arial MT" w:hAnsi="Arial MT"/>
                                      <w:color w:val="A30046"/>
                                      <w:spacing w:val="-12"/>
                                      <w:sz w:val="16"/>
                                    </w:rPr>
                                    <w:t> </w:t>
                                  </w:r>
                                  <w:r>
                                    <w:rPr>
                                      <w:rFonts w:ascii="Arial MT" w:hAnsi="Arial MT"/>
                                      <w:color w:val="A30046"/>
                                      <w:spacing w:val="-4"/>
                                      <w:sz w:val="16"/>
                                    </w:rPr>
                                    <w:t>parenterales) </w:t>
                                  </w:r>
                                  <w:r>
                                    <w:rPr>
                                      <w:rFonts w:ascii="Arial MT" w:hAnsi="Arial MT"/>
                                      <w:color w:val="231F1F"/>
                                      <w:sz w:val="16"/>
                                    </w:rPr>
                                    <w:t>Criterios: </w:t>
                                  </w:r>
                                  <w:r>
                                    <w:rPr>
                                      <w:rFonts w:ascii="Arial MT" w:hAnsi="Arial MT"/>
                                      <w:color w:val="A30046"/>
                                      <w:sz w:val="16"/>
                                    </w:rPr>
                                    <w:t>3,4</w:t>
                                  </w:r>
                                </w:p>
                              </w:tc>
                            </w:tr>
                            <w:tr>
                              <w:trPr>
                                <w:trHeight w:val="748" w:hRule="atLeast"/>
                              </w:trPr>
                              <w:tc>
                                <w:tcPr>
                                  <w:tcW w:w="2069" w:type="dxa"/>
                                </w:tcPr>
                                <w:p>
                                  <w:pPr>
                                    <w:pStyle w:val="TableParagraph"/>
                                    <w:spacing w:line="249" w:lineRule="auto" w:before="89"/>
                                    <w:ind w:left="88" w:right="1074"/>
                                    <w:rPr>
                                      <w:rFonts w:ascii="Arial MT"/>
                                      <w:sz w:val="16"/>
                                    </w:rPr>
                                  </w:pPr>
                                  <w:r>
                                    <w:rPr>
                                      <w:rFonts w:ascii="Arial MT"/>
                                      <w:color w:val="A30046"/>
                                      <w:spacing w:val="-2"/>
                                      <w:sz w:val="16"/>
                                    </w:rPr>
                                    <w:t>Analgesia (Neuroaxial) </w:t>
                                  </w:r>
                                  <w:r>
                                    <w:rPr>
                                      <w:rFonts w:ascii="Arial MT"/>
                                      <w:color w:val="231F1F"/>
                                      <w:spacing w:val="-2"/>
                                      <w:sz w:val="16"/>
                                    </w:rPr>
                                    <w:t>Criterios:</w:t>
                                  </w:r>
                                  <w:r>
                                    <w:rPr>
                                      <w:rFonts w:ascii="Arial MT"/>
                                      <w:color w:val="231F1F"/>
                                      <w:spacing w:val="8"/>
                                      <w:sz w:val="16"/>
                                    </w:rPr>
                                    <w:t> </w:t>
                                  </w:r>
                                  <w:r>
                                    <w:rPr>
                                      <w:rFonts w:ascii="Arial MT"/>
                                      <w:color w:val="A30046"/>
                                      <w:spacing w:val="-6"/>
                                      <w:sz w:val="16"/>
                                    </w:rPr>
                                    <w:t>3,4</w:t>
                                  </w:r>
                                </w:p>
                              </w:tc>
                            </w:tr>
                            <w:tr>
                              <w:trPr>
                                <w:trHeight w:val="748" w:hRule="atLeast"/>
                              </w:trPr>
                              <w:tc>
                                <w:tcPr>
                                  <w:tcW w:w="2069" w:type="dxa"/>
                                </w:tcPr>
                                <w:p>
                                  <w:pPr>
                                    <w:pStyle w:val="TableParagraph"/>
                                    <w:spacing w:line="249" w:lineRule="auto" w:before="89"/>
                                    <w:ind w:left="88" w:right="1074"/>
                                    <w:rPr>
                                      <w:rFonts w:ascii="Arial MT"/>
                                      <w:sz w:val="16"/>
                                    </w:rPr>
                                  </w:pPr>
                                  <w:r>
                                    <w:rPr>
                                      <w:rFonts w:ascii="Arial MT"/>
                                      <w:color w:val="A30046"/>
                                      <w:spacing w:val="-2"/>
                                      <w:sz w:val="16"/>
                                    </w:rPr>
                                    <w:t>Analgesia (Neuroaxial) </w:t>
                                  </w:r>
                                  <w:r>
                                    <w:rPr>
                                      <w:rFonts w:ascii="Arial MT"/>
                                      <w:color w:val="231F1F"/>
                                      <w:spacing w:val="-2"/>
                                      <w:sz w:val="16"/>
                                    </w:rPr>
                                    <w:t>Criterios:</w:t>
                                  </w:r>
                                  <w:r>
                                    <w:rPr>
                                      <w:rFonts w:ascii="Arial MT"/>
                                      <w:color w:val="231F1F"/>
                                      <w:spacing w:val="8"/>
                                      <w:sz w:val="16"/>
                                    </w:rPr>
                                    <w:t> </w:t>
                                  </w:r>
                                  <w:r>
                                    <w:rPr>
                                      <w:rFonts w:ascii="Arial MT"/>
                                      <w:color w:val="A30046"/>
                                      <w:spacing w:val="-6"/>
                                      <w:sz w:val="16"/>
                                    </w:rPr>
                                    <w:t>1,2</w:t>
                                  </w:r>
                                </w:p>
                              </w:tc>
                            </w:tr>
                          </w:tbl>
                          <w:p>
                            <w:pPr>
                              <w:pStyle w:val="BodyText"/>
                            </w:pPr>
                          </w:p>
                        </w:txbxContent>
                      </wps:txbx>
                      <wps:bodyPr wrap="square" lIns="0" tIns="0" rIns="0" bIns="0" rtlCol="0">
                        <a:noAutofit/>
                      </wps:bodyPr>
                    </wps:wsp>
                  </a:graphicData>
                </a:graphic>
              </wp:anchor>
            </w:drawing>
          </mc:Choice>
          <mc:Fallback>
            <w:pict>
              <v:shape style="position:absolute;margin-left:141.600006pt;margin-top:213.119995pt;width:103.95pt;height:243.6pt;mso-position-horizontal-relative:page;mso-position-vertical-relative:paragraph;z-index:-15728640;mso-wrap-distance-left:0;mso-wrap-distance-right:0" type="#_x0000_t202" id="docshape194" filled="false" stroked="false">
                <v:textbox inset="0,0,0,0">
                  <w:txbxContent>
                    <w:tbl>
                      <w:tblPr>
                        <w:tblW w:w="0" w:type="auto"/>
                        <w:jc w:val="left"/>
                        <w:tblInd w:w="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69"/>
                      </w:tblGrid>
                      <w:tr>
                        <w:trPr>
                          <w:trHeight w:val="2294" w:hRule="atLeast"/>
                        </w:trPr>
                        <w:tc>
                          <w:tcPr>
                            <w:tcW w:w="2069" w:type="dxa"/>
                          </w:tcPr>
                          <w:p>
                            <w:pPr>
                              <w:pStyle w:val="TableParagraph"/>
                              <w:ind w:left="0"/>
                              <w:rPr>
                                <w:rFonts w:ascii="Arial MT"/>
                                <w:sz w:val="16"/>
                              </w:rPr>
                            </w:pPr>
                          </w:p>
                          <w:p>
                            <w:pPr>
                              <w:pStyle w:val="TableParagraph"/>
                              <w:ind w:left="0"/>
                              <w:rPr>
                                <w:rFonts w:ascii="Arial MT"/>
                                <w:sz w:val="16"/>
                              </w:rPr>
                            </w:pPr>
                          </w:p>
                          <w:p>
                            <w:pPr>
                              <w:pStyle w:val="TableParagraph"/>
                              <w:ind w:left="0"/>
                              <w:rPr>
                                <w:rFonts w:ascii="Arial MT"/>
                                <w:sz w:val="16"/>
                              </w:rPr>
                            </w:pPr>
                          </w:p>
                          <w:p>
                            <w:pPr>
                              <w:pStyle w:val="TableParagraph"/>
                              <w:spacing w:before="126"/>
                              <w:ind w:left="0"/>
                              <w:rPr>
                                <w:rFonts w:ascii="Arial MT"/>
                                <w:sz w:val="16"/>
                              </w:rPr>
                            </w:pPr>
                          </w:p>
                          <w:p>
                            <w:pPr>
                              <w:pStyle w:val="TableParagraph"/>
                              <w:ind w:left="88"/>
                              <w:rPr>
                                <w:rFonts w:ascii="Arial MT"/>
                                <w:sz w:val="16"/>
                              </w:rPr>
                            </w:pPr>
                            <w:r>
                              <w:rPr>
                                <w:rFonts w:ascii="Arial MT"/>
                                <w:color w:val="A30046"/>
                                <w:spacing w:val="-2"/>
                                <w:sz w:val="16"/>
                              </w:rPr>
                              <w:t>Analgesia</w:t>
                            </w:r>
                          </w:p>
                          <w:p>
                            <w:pPr>
                              <w:pStyle w:val="TableParagraph"/>
                              <w:spacing w:line="249" w:lineRule="auto" w:before="8"/>
                              <w:ind w:left="88"/>
                              <w:rPr>
                                <w:rFonts w:ascii="Arial MT" w:hAnsi="Arial MT"/>
                                <w:sz w:val="16"/>
                              </w:rPr>
                            </w:pPr>
                            <w:r>
                              <w:rPr>
                                <w:rFonts w:ascii="Arial MT" w:hAnsi="Arial MT"/>
                                <w:color w:val="A30046"/>
                                <w:spacing w:val="-4"/>
                                <w:sz w:val="16"/>
                              </w:rPr>
                              <w:t>(tto</w:t>
                            </w:r>
                            <w:r>
                              <w:rPr>
                                <w:rFonts w:ascii="Arial MT" w:hAnsi="Arial MT"/>
                                <w:color w:val="A30046"/>
                                <w:spacing w:val="-8"/>
                                <w:sz w:val="16"/>
                              </w:rPr>
                              <w:t> </w:t>
                            </w:r>
                            <w:r>
                              <w:rPr>
                                <w:rFonts w:ascii="Arial MT" w:hAnsi="Arial MT"/>
                                <w:color w:val="A30046"/>
                                <w:spacing w:val="-4"/>
                                <w:sz w:val="16"/>
                              </w:rPr>
                              <w:t>no</w:t>
                            </w:r>
                            <w:r>
                              <w:rPr>
                                <w:rFonts w:ascii="Arial MT" w:hAnsi="Arial MT"/>
                                <w:color w:val="A30046"/>
                                <w:spacing w:val="-8"/>
                                <w:sz w:val="16"/>
                              </w:rPr>
                              <w:t> </w:t>
                            </w:r>
                            <w:r>
                              <w:rPr>
                                <w:rFonts w:ascii="Arial MT" w:hAnsi="Arial MT"/>
                                <w:color w:val="A30046"/>
                                <w:spacing w:val="-4"/>
                                <w:sz w:val="16"/>
                              </w:rPr>
                              <w:t>farmacológico) </w:t>
                            </w:r>
                            <w:r>
                              <w:rPr>
                                <w:rFonts w:ascii="Arial MT" w:hAnsi="Arial MT"/>
                                <w:color w:val="231F1F"/>
                                <w:sz w:val="16"/>
                              </w:rPr>
                              <w:t>Criterios: </w:t>
                            </w:r>
                            <w:r>
                              <w:rPr>
                                <w:rFonts w:ascii="Arial MT" w:hAnsi="Arial MT"/>
                                <w:color w:val="A30046"/>
                                <w:sz w:val="16"/>
                              </w:rPr>
                              <w:t>3,4</w:t>
                            </w:r>
                          </w:p>
                        </w:tc>
                      </w:tr>
                      <w:tr>
                        <w:trPr>
                          <w:trHeight w:val="1031" w:hRule="atLeast"/>
                        </w:trPr>
                        <w:tc>
                          <w:tcPr>
                            <w:tcW w:w="2069" w:type="dxa"/>
                          </w:tcPr>
                          <w:p>
                            <w:pPr>
                              <w:pStyle w:val="TableParagraph"/>
                              <w:spacing w:before="37"/>
                              <w:ind w:left="88"/>
                              <w:rPr>
                                <w:rFonts w:ascii="Arial MT"/>
                                <w:sz w:val="16"/>
                              </w:rPr>
                            </w:pPr>
                            <w:r>
                              <w:rPr>
                                <w:rFonts w:ascii="Arial MT"/>
                                <w:color w:val="A30046"/>
                                <w:spacing w:val="-2"/>
                                <w:sz w:val="16"/>
                              </w:rPr>
                              <w:t>Analgesia</w:t>
                            </w:r>
                          </w:p>
                          <w:p>
                            <w:pPr>
                              <w:pStyle w:val="TableParagraph"/>
                              <w:spacing w:line="249" w:lineRule="auto" w:before="12"/>
                              <w:ind w:left="88" w:right="427"/>
                              <w:rPr>
                                <w:rFonts w:ascii="Arial MT" w:hAnsi="Arial MT"/>
                                <w:sz w:val="16"/>
                              </w:rPr>
                            </w:pPr>
                            <w:r>
                              <w:rPr>
                                <w:rFonts w:ascii="Arial MT" w:hAnsi="Arial MT"/>
                                <w:color w:val="A30046"/>
                                <w:sz w:val="16"/>
                              </w:rPr>
                              <w:t>(tto</w:t>
                            </w:r>
                            <w:r>
                              <w:rPr>
                                <w:rFonts w:ascii="Arial MT" w:hAnsi="Arial MT"/>
                                <w:color w:val="A30046"/>
                                <w:spacing w:val="-12"/>
                                <w:sz w:val="16"/>
                              </w:rPr>
                              <w:t> </w:t>
                            </w:r>
                            <w:r>
                              <w:rPr>
                                <w:rFonts w:ascii="Arial MT" w:hAnsi="Arial MT"/>
                                <w:color w:val="A30046"/>
                                <w:sz w:val="16"/>
                              </w:rPr>
                              <w:t>no</w:t>
                            </w:r>
                            <w:r>
                              <w:rPr>
                                <w:rFonts w:ascii="Arial MT" w:hAnsi="Arial MT"/>
                                <w:color w:val="A30046"/>
                                <w:spacing w:val="-12"/>
                                <w:sz w:val="16"/>
                              </w:rPr>
                              <w:t> </w:t>
                            </w:r>
                            <w:r>
                              <w:rPr>
                                <w:rFonts w:ascii="Arial MT" w:hAnsi="Arial MT"/>
                                <w:color w:val="A30046"/>
                                <w:sz w:val="16"/>
                              </w:rPr>
                              <w:t>farmacológico) (Oxido nitroso/ </w:t>
                            </w:r>
                            <w:r>
                              <w:rPr>
                                <w:rFonts w:ascii="Arial MT" w:hAnsi="Arial MT"/>
                                <w:color w:val="A30046"/>
                                <w:spacing w:val="-4"/>
                                <w:sz w:val="16"/>
                              </w:rPr>
                              <w:t>opioides</w:t>
                            </w:r>
                            <w:r>
                              <w:rPr>
                                <w:rFonts w:ascii="Arial MT" w:hAnsi="Arial MT"/>
                                <w:color w:val="A30046"/>
                                <w:spacing w:val="-12"/>
                                <w:sz w:val="16"/>
                              </w:rPr>
                              <w:t> </w:t>
                            </w:r>
                            <w:r>
                              <w:rPr>
                                <w:rFonts w:ascii="Arial MT" w:hAnsi="Arial MT"/>
                                <w:color w:val="A30046"/>
                                <w:spacing w:val="-4"/>
                                <w:sz w:val="16"/>
                              </w:rPr>
                              <w:t>parenterales) </w:t>
                            </w:r>
                            <w:r>
                              <w:rPr>
                                <w:rFonts w:ascii="Arial MT" w:hAnsi="Arial MT"/>
                                <w:color w:val="231F1F"/>
                                <w:sz w:val="16"/>
                              </w:rPr>
                              <w:t>Criterios: </w:t>
                            </w:r>
                            <w:r>
                              <w:rPr>
                                <w:rFonts w:ascii="Arial MT" w:hAnsi="Arial MT"/>
                                <w:color w:val="A30046"/>
                                <w:sz w:val="16"/>
                              </w:rPr>
                              <w:t>3,4</w:t>
                            </w:r>
                          </w:p>
                        </w:tc>
                      </w:tr>
                      <w:tr>
                        <w:trPr>
                          <w:trHeight w:val="748" w:hRule="atLeast"/>
                        </w:trPr>
                        <w:tc>
                          <w:tcPr>
                            <w:tcW w:w="2069" w:type="dxa"/>
                          </w:tcPr>
                          <w:p>
                            <w:pPr>
                              <w:pStyle w:val="TableParagraph"/>
                              <w:spacing w:line="249" w:lineRule="auto" w:before="89"/>
                              <w:ind w:left="88" w:right="1074"/>
                              <w:rPr>
                                <w:rFonts w:ascii="Arial MT"/>
                                <w:sz w:val="16"/>
                              </w:rPr>
                            </w:pPr>
                            <w:r>
                              <w:rPr>
                                <w:rFonts w:ascii="Arial MT"/>
                                <w:color w:val="A30046"/>
                                <w:spacing w:val="-2"/>
                                <w:sz w:val="16"/>
                              </w:rPr>
                              <w:t>Analgesia (Neuroaxial) </w:t>
                            </w:r>
                            <w:r>
                              <w:rPr>
                                <w:rFonts w:ascii="Arial MT"/>
                                <w:color w:val="231F1F"/>
                                <w:spacing w:val="-2"/>
                                <w:sz w:val="16"/>
                              </w:rPr>
                              <w:t>Criterios:</w:t>
                            </w:r>
                            <w:r>
                              <w:rPr>
                                <w:rFonts w:ascii="Arial MT"/>
                                <w:color w:val="231F1F"/>
                                <w:spacing w:val="8"/>
                                <w:sz w:val="16"/>
                              </w:rPr>
                              <w:t> </w:t>
                            </w:r>
                            <w:r>
                              <w:rPr>
                                <w:rFonts w:ascii="Arial MT"/>
                                <w:color w:val="A30046"/>
                                <w:spacing w:val="-6"/>
                                <w:sz w:val="16"/>
                              </w:rPr>
                              <w:t>3,4</w:t>
                            </w:r>
                          </w:p>
                        </w:tc>
                      </w:tr>
                      <w:tr>
                        <w:trPr>
                          <w:trHeight w:val="748" w:hRule="atLeast"/>
                        </w:trPr>
                        <w:tc>
                          <w:tcPr>
                            <w:tcW w:w="2069" w:type="dxa"/>
                          </w:tcPr>
                          <w:p>
                            <w:pPr>
                              <w:pStyle w:val="TableParagraph"/>
                              <w:spacing w:line="249" w:lineRule="auto" w:before="89"/>
                              <w:ind w:left="88" w:right="1074"/>
                              <w:rPr>
                                <w:rFonts w:ascii="Arial MT"/>
                                <w:sz w:val="16"/>
                              </w:rPr>
                            </w:pPr>
                            <w:r>
                              <w:rPr>
                                <w:rFonts w:ascii="Arial MT"/>
                                <w:color w:val="A30046"/>
                                <w:spacing w:val="-2"/>
                                <w:sz w:val="16"/>
                              </w:rPr>
                              <w:t>Analgesia (Neuroaxial) </w:t>
                            </w:r>
                            <w:r>
                              <w:rPr>
                                <w:rFonts w:ascii="Arial MT"/>
                                <w:color w:val="231F1F"/>
                                <w:spacing w:val="-2"/>
                                <w:sz w:val="16"/>
                              </w:rPr>
                              <w:t>Criterios:</w:t>
                            </w:r>
                            <w:r>
                              <w:rPr>
                                <w:rFonts w:ascii="Arial MT"/>
                                <w:color w:val="231F1F"/>
                                <w:spacing w:val="8"/>
                                <w:sz w:val="16"/>
                              </w:rPr>
                              <w:t> </w:t>
                            </w:r>
                            <w:r>
                              <w:rPr>
                                <w:rFonts w:ascii="Arial MT"/>
                                <w:color w:val="A30046"/>
                                <w:spacing w:val="-6"/>
                                <w:sz w:val="16"/>
                              </w:rPr>
                              <w:t>1,2</w:t>
                            </w:r>
                          </w:p>
                        </w:tc>
                      </w:tr>
                    </w:tbl>
                    <w:p>
                      <w:pPr>
                        <w:pStyle w:val="BodyText"/>
                      </w:pPr>
                    </w:p>
                  </w:txbxContent>
                </v:textbox>
                <w10:wrap type="topAndBottom"/>
              </v:shape>
            </w:pict>
          </mc:Fallback>
        </mc:AlternateContent>
      </w:r>
      <w:r>
        <w:rPr>
          <w:rFonts w:ascii="Arial MT"/>
          <w:sz w:val="16"/>
        </w:rPr>
        <mc:AlternateContent>
          <mc:Choice Requires="wps">
            <w:drawing>
              <wp:anchor distT="0" distB="0" distL="0" distR="0" allowOverlap="1" layoutInCell="1" locked="0" behindDoc="1" simplePos="0" relativeHeight="487650816">
                <wp:simplePos x="0" y="0"/>
                <wp:positionH relativeFrom="page">
                  <wp:posOffset>3195320</wp:posOffset>
                </wp:positionH>
                <wp:positionV relativeFrom="paragraph">
                  <wp:posOffset>4434204</wp:posOffset>
                </wp:positionV>
                <wp:extent cx="303530" cy="81915"/>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303530" cy="81915"/>
                          <a:chExt cx="303530" cy="81915"/>
                        </a:xfrm>
                      </wpg:grpSpPr>
                      <wps:wsp>
                        <wps:cNvPr id="237" name="Graphic 237"/>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38" name="Graphic 238"/>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49.149994pt;width:23.9pt;height:6.45pt;mso-position-horizontal-relative:page;mso-position-vertical-relative:paragraph;z-index:-15665664;mso-wrap-distance-left:0;mso-wrap-distance-right:0" id="docshapegroup195" coordorigin="5032,6983" coordsize="478,129">
                <v:line style="position:absolute" from="5032,7048" to="5313,7048" stroked="true" strokeweight=".552992pt" strokecolor="#a30046">
                  <v:stroke dashstyle="solid"/>
                </v:line>
                <v:shape style="position:absolute;left:5269;top:6983;width:240;height:129" id="docshape196" coordorigin="5269,6983" coordsize="240,129" path="m5269,6983l5269,7111,5509,7047,5269,6983xe" filled="true" fillcolor="#a30046" stroked="false">
                  <v:path arrowok="t"/>
                  <v:fill type="solid"/>
                </v:shape>
                <w10:wrap type="topAndBottom"/>
              </v:group>
            </w:pict>
          </mc:Fallback>
        </mc:AlternateContent>
      </w:r>
      <w:r>
        <w:rPr>
          <w:rFonts w:ascii="Arial MT"/>
          <w:sz w:val="16"/>
        </w:rPr>
        <mc:AlternateContent>
          <mc:Choice Requires="wps">
            <w:drawing>
              <wp:anchor distT="0" distB="0" distL="0" distR="0" allowOverlap="1" layoutInCell="1" locked="0" behindDoc="1" simplePos="0" relativeHeight="481562112">
                <wp:simplePos x="0" y="0"/>
                <wp:positionH relativeFrom="page">
                  <wp:posOffset>3677920</wp:posOffset>
                </wp:positionH>
                <wp:positionV relativeFrom="paragraph">
                  <wp:posOffset>1149350</wp:posOffset>
                </wp:positionV>
                <wp:extent cx="1950720"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754368" from="289.600006pt,90.5pt" to="443.174897pt,90.5pt" stroked="true" strokeweight=".5pt" strokecolor="#231f1f">
                <v:stroke dashstyle="solid"/>
                <w10:wrap type="none"/>
              </v:line>
            </w:pict>
          </mc:Fallback>
        </mc:AlternateContent>
      </w:r>
      <w:r>
        <w:rPr>
          <w:rFonts w:ascii="Arial MT"/>
          <w:sz w:val="16"/>
        </w:rPr>
        <mc:AlternateContent>
          <mc:Choice Requires="wps">
            <w:drawing>
              <wp:anchor distT="0" distB="0" distL="0" distR="0" allowOverlap="1" layoutInCell="1" locked="0" behindDoc="1" simplePos="0" relativeHeight="481562624">
                <wp:simplePos x="0" y="0"/>
                <wp:positionH relativeFrom="page">
                  <wp:posOffset>3677920</wp:posOffset>
                </wp:positionH>
                <wp:positionV relativeFrom="paragraph">
                  <wp:posOffset>1699895</wp:posOffset>
                </wp:positionV>
                <wp:extent cx="1950720"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753856" from="289.600006pt,133.850006pt" to="443.174897pt,133.850006pt" stroked="true" strokeweight=".5pt" strokecolor="#231f1f">
                <v:stroke dashstyle="solid"/>
                <w10:wrap type="none"/>
              </v:line>
            </w:pict>
          </mc:Fallback>
        </mc:AlternateContent>
      </w:r>
      <w:r>
        <w:rPr>
          <w:rFonts w:ascii="Arial MT"/>
          <w:sz w:val="16"/>
        </w:rPr>
        <mc:AlternateContent>
          <mc:Choice Requires="wps">
            <w:drawing>
              <wp:anchor distT="0" distB="0" distL="0" distR="0" allowOverlap="1" layoutInCell="1" locked="0" behindDoc="1" simplePos="0" relativeHeight="481563136">
                <wp:simplePos x="0" y="0"/>
                <wp:positionH relativeFrom="page">
                  <wp:posOffset>3677920</wp:posOffset>
                </wp:positionH>
                <wp:positionV relativeFrom="paragraph">
                  <wp:posOffset>2312035</wp:posOffset>
                </wp:positionV>
                <wp:extent cx="1950720" cy="127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753344" from="289.600006pt,182.050003pt" to="443.174897pt,182.050003pt" stroked="true" strokeweight=".5pt" strokecolor="#231f1f">
                <v:stroke dashstyle="solid"/>
                <w10:wrap type="none"/>
              </v:line>
            </w:pict>
          </mc:Fallback>
        </mc:AlternateContent>
      </w:r>
      <w:r>
        <w:rPr>
          <w:rFonts w:ascii="Arial MT"/>
          <w:sz w:val="16"/>
        </w:rPr>
        <mc:AlternateContent>
          <mc:Choice Requires="wps">
            <w:drawing>
              <wp:anchor distT="0" distB="0" distL="0" distR="0" allowOverlap="1" layoutInCell="1" locked="0" behindDoc="0" simplePos="0" relativeHeight="15797760">
                <wp:simplePos x="0" y="0"/>
                <wp:positionH relativeFrom="page">
                  <wp:posOffset>3555365</wp:posOffset>
                </wp:positionH>
                <wp:positionV relativeFrom="paragraph">
                  <wp:posOffset>2781935</wp:posOffset>
                </wp:positionV>
                <wp:extent cx="2196465" cy="53086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196465" cy="530860"/>
                        </a:xfrm>
                        <a:prstGeom prst="rect">
                          <a:avLst/>
                        </a:prstGeom>
                        <a:ln w="6350">
                          <a:solidFill>
                            <a:srgbClr val="231F1F"/>
                          </a:solidFill>
                          <a:prstDash val="solid"/>
                        </a:ln>
                      </wps:spPr>
                      <wps:txbx>
                        <w:txbxContent>
                          <w:p>
                            <w:pPr>
                              <w:spacing w:line="280" w:lineRule="auto" w:before="47"/>
                              <w:ind w:left="101" w:right="105" w:firstLine="0"/>
                              <w:jc w:val="center"/>
                              <w:rPr>
                                <w:rFonts w:ascii="Arial MT" w:hAnsi="Arial MT"/>
                                <w:sz w:val="14"/>
                              </w:rPr>
                            </w:pPr>
                            <w:r>
                              <w:rPr>
                                <w:rFonts w:ascii="Arial MT" w:hAnsi="Arial MT"/>
                                <w:color w:val="231F1F"/>
                                <w:spacing w:val="-2"/>
                                <w:sz w:val="14"/>
                              </w:rPr>
                              <w:t>¿Se ofertan los siguientes métodos analgésicos no</w:t>
                            </w:r>
                            <w:r>
                              <w:rPr>
                                <w:rFonts w:ascii="Arial MT" w:hAnsi="Arial MT"/>
                                <w:color w:val="231F1F"/>
                                <w:spacing w:val="40"/>
                                <w:sz w:val="14"/>
                              </w:rPr>
                              <w:t> </w:t>
                            </w:r>
                            <w:r>
                              <w:rPr>
                                <w:rFonts w:ascii="Arial MT" w:hAnsi="Arial MT"/>
                                <w:color w:val="231F1F"/>
                                <w:sz w:val="14"/>
                              </w:rPr>
                              <w:t>farmacológicos: Inmersión en agua caliente,</w:t>
                            </w:r>
                            <w:r>
                              <w:rPr>
                                <w:rFonts w:ascii="Arial MT" w:hAnsi="Arial MT"/>
                                <w:color w:val="231F1F"/>
                                <w:spacing w:val="40"/>
                                <w:sz w:val="14"/>
                              </w:rPr>
                              <w:t> </w:t>
                            </w:r>
                            <w:r>
                              <w:rPr>
                                <w:rFonts w:ascii="Arial MT" w:hAnsi="Arial MT"/>
                                <w:color w:val="231F1F"/>
                                <w:sz w:val="14"/>
                              </w:rPr>
                              <w:t>masajes, uso de pelotas, técnicas de relajación,</w:t>
                            </w:r>
                            <w:r>
                              <w:rPr>
                                <w:rFonts w:ascii="Arial MT" w:hAnsi="Arial MT"/>
                                <w:color w:val="231F1F"/>
                                <w:spacing w:val="40"/>
                                <w:sz w:val="14"/>
                              </w:rPr>
                              <w:t> </w:t>
                            </w:r>
                            <w:r>
                              <w:rPr>
                                <w:rFonts w:ascii="Arial MT" w:hAnsi="Arial MT"/>
                                <w:color w:val="231F1F"/>
                                <w:sz w:val="14"/>
                              </w:rPr>
                              <w:t>inyección de agua esteril? (SI o NO)</w:t>
                            </w:r>
                          </w:p>
                        </w:txbxContent>
                      </wps:txbx>
                      <wps:bodyPr wrap="square" lIns="0" tIns="0" rIns="0" bIns="0" rtlCol="0">
                        <a:noAutofit/>
                      </wps:bodyPr>
                    </wps:wsp>
                  </a:graphicData>
                </a:graphic>
              </wp:anchor>
            </w:drawing>
          </mc:Choice>
          <mc:Fallback>
            <w:pict>
              <v:shape style="position:absolute;margin-left:279.950012pt;margin-top:219.050003pt;width:172.95pt;height:41.8pt;mso-position-horizontal-relative:page;mso-position-vertical-relative:paragraph;z-index:15797760" type="#_x0000_t202" id="docshape197" filled="false" stroked="true" strokeweight=".5pt" strokecolor="#231f1f">
                <v:textbox inset="0,0,0,0">
                  <w:txbxContent>
                    <w:p>
                      <w:pPr>
                        <w:spacing w:line="280" w:lineRule="auto" w:before="47"/>
                        <w:ind w:left="101" w:right="105" w:firstLine="0"/>
                        <w:jc w:val="center"/>
                        <w:rPr>
                          <w:rFonts w:ascii="Arial MT" w:hAnsi="Arial MT"/>
                          <w:sz w:val="14"/>
                        </w:rPr>
                      </w:pPr>
                      <w:r>
                        <w:rPr>
                          <w:rFonts w:ascii="Arial MT" w:hAnsi="Arial MT"/>
                          <w:color w:val="231F1F"/>
                          <w:spacing w:val="-2"/>
                          <w:sz w:val="14"/>
                        </w:rPr>
                        <w:t>¿Se ofertan los siguientes métodos analgésicos no</w:t>
                      </w:r>
                      <w:r>
                        <w:rPr>
                          <w:rFonts w:ascii="Arial MT" w:hAnsi="Arial MT"/>
                          <w:color w:val="231F1F"/>
                          <w:spacing w:val="40"/>
                          <w:sz w:val="14"/>
                        </w:rPr>
                        <w:t> </w:t>
                      </w:r>
                      <w:r>
                        <w:rPr>
                          <w:rFonts w:ascii="Arial MT" w:hAnsi="Arial MT"/>
                          <w:color w:val="231F1F"/>
                          <w:sz w:val="14"/>
                        </w:rPr>
                        <w:t>farmacológicos: Inmersión en agua caliente,</w:t>
                      </w:r>
                      <w:r>
                        <w:rPr>
                          <w:rFonts w:ascii="Arial MT" w:hAnsi="Arial MT"/>
                          <w:color w:val="231F1F"/>
                          <w:spacing w:val="40"/>
                          <w:sz w:val="14"/>
                        </w:rPr>
                        <w:t> </w:t>
                      </w:r>
                      <w:r>
                        <w:rPr>
                          <w:rFonts w:ascii="Arial MT" w:hAnsi="Arial MT"/>
                          <w:color w:val="231F1F"/>
                          <w:sz w:val="14"/>
                        </w:rPr>
                        <w:t>masajes, uso de pelotas, técnicas de relajación,</w:t>
                      </w:r>
                      <w:r>
                        <w:rPr>
                          <w:rFonts w:ascii="Arial MT" w:hAnsi="Arial MT"/>
                          <w:color w:val="231F1F"/>
                          <w:spacing w:val="40"/>
                          <w:sz w:val="14"/>
                        </w:rPr>
                        <w:t> </w:t>
                      </w:r>
                      <w:r>
                        <w:rPr>
                          <w:rFonts w:ascii="Arial MT" w:hAnsi="Arial MT"/>
                          <w:color w:val="231F1F"/>
                          <w:sz w:val="14"/>
                        </w:rPr>
                        <w:t>inyección de agua esteril? (SI o NO)</w:t>
                      </w:r>
                    </w:p>
                  </w:txbxContent>
                </v:textbox>
                <v:stroke dashstyle="solid"/>
                <w10:wrap type="none"/>
              </v:shape>
            </w:pict>
          </mc:Fallback>
        </mc:AlternateContent>
      </w:r>
      <w:r>
        <w:rPr>
          <w:rFonts w:ascii="Arial MT"/>
          <w:sz w:val="16"/>
        </w:rPr>
        <mc:AlternateContent>
          <mc:Choice Requires="wps">
            <w:drawing>
              <wp:anchor distT="0" distB="0" distL="0" distR="0" allowOverlap="1" layoutInCell="1" locked="0" behindDoc="0" simplePos="0" relativeHeight="15798272">
                <wp:simplePos x="0" y="0"/>
                <wp:positionH relativeFrom="page">
                  <wp:posOffset>1760220</wp:posOffset>
                </wp:positionH>
                <wp:positionV relativeFrom="paragraph">
                  <wp:posOffset>12191</wp:posOffset>
                </wp:positionV>
                <wp:extent cx="1396365" cy="255016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396365" cy="2550160"/>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69"/>
                            </w:tblGrid>
                            <w:tr>
                              <w:trPr>
                                <w:trHeight w:val="263" w:hRule="atLeast"/>
                              </w:trPr>
                              <w:tc>
                                <w:tcPr>
                                  <w:tcW w:w="2069" w:type="dxa"/>
                                </w:tcPr>
                                <w:p>
                                  <w:pPr>
                                    <w:pStyle w:val="TableParagraph"/>
                                    <w:spacing w:before="37"/>
                                    <w:ind w:left="281"/>
                                    <w:rPr>
                                      <w:rFonts w:ascii="Arial MT" w:hAnsi="Arial MT"/>
                                      <w:sz w:val="16"/>
                                    </w:rPr>
                                  </w:pPr>
                                  <w:r>
                                    <w:rPr>
                                      <w:rFonts w:ascii="Arial MT" w:hAnsi="Arial MT"/>
                                      <w:color w:val="231F1F"/>
                                      <w:sz w:val="16"/>
                                    </w:rPr>
                                    <w:t>ÁMBITO</w:t>
                                  </w:r>
                                  <w:r>
                                    <w:rPr>
                                      <w:rFonts w:ascii="Arial MT" w:hAnsi="Arial MT"/>
                                      <w:color w:val="231F1F"/>
                                      <w:spacing w:val="-12"/>
                                      <w:sz w:val="16"/>
                                    </w:rPr>
                                    <w:t> </w:t>
                                  </w:r>
                                  <w:r>
                                    <w:rPr>
                                      <w:rFonts w:ascii="Arial MT" w:hAnsi="Arial MT"/>
                                      <w:color w:val="231F1F"/>
                                      <w:sz w:val="16"/>
                                    </w:rPr>
                                    <w:t>DE</w:t>
                                  </w:r>
                                  <w:r>
                                    <w:rPr>
                                      <w:rFonts w:ascii="Arial MT" w:hAnsi="Arial MT"/>
                                      <w:color w:val="231F1F"/>
                                      <w:spacing w:val="-10"/>
                                      <w:sz w:val="16"/>
                                    </w:rPr>
                                    <w:t> </w:t>
                                  </w:r>
                                  <w:r>
                                    <w:rPr>
                                      <w:rFonts w:ascii="Arial MT" w:hAnsi="Arial MT"/>
                                      <w:color w:val="231F1F"/>
                                      <w:sz w:val="16"/>
                                    </w:rPr>
                                    <w:t>LA</w:t>
                                  </w:r>
                                  <w:r>
                                    <w:rPr>
                                      <w:rFonts w:ascii="Arial MT" w:hAnsi="Arial MT"/>
                                      <w:color w:val="231F1F"/>
                                      <w:spacing w:val="-10"/>
                                      <w:sz w:val="16"/>
                                    </w:rPr>
                                    <w:t> </w:t>
                                  </w:r>
                                  <w:r>
                                    <w:rPr>
                                      <w:rFonts w:ascii="Arial MT" w:hAnsi="Arial MT"/>
                                      <w:color w:val="231F1F"/>
                                      <w:spacing w:val="-4"/>
                                      <w:sz w:val="16"/>
                                    </w:rPr>
                                    <w:t>GUÍA</w:t>
                                  </w:r>
                                </w:p>
                              </w:tc>
                            </w:tr>
                            <w:tr>
                              <w:trPr>
                                <w:trHeight w:val="839" w:hRule="atLeast"/>
                              </w:trPr>
                              <w:tc>
                                <w:tcPr>
                                  <w:tcW w:w="2069" w:type="dxa"/>
                                </w:tcPr>
                                <w:p>
                                  <w:pPr>
                                    <w:pStyle w:val="TableParagraph"/>
                                    <w:spacing w:line="249" w:lineRule="auto" w:before="137"/>
                                    <w:ind w:left="87" w:right="684"/>
                                    <w:rPr>
                                      <w:rFonts w:ascii="Arial MT"/>
                                      <w:sz w:val="16"/>
                                    </w:rPr>
                                  </w:pPr>
                                  <w:r>
                                    <w:rPr>
                                      <w:rFonts w:ascii="Arial MT"/>
                                      <w:color w:val="A30046"/>
                                      <w:spacing w:val="-4"/>
                                      <w:sz w:val="16"/>
                                    </w:rPr>
                                    <w:t>Cuidados</w:t>
                                  </w:r>
                                  <w:r>
                                    <w:rPr>
                                      <w:rFonts w:ascii="Arial MT"/>
                                      <w:color w:val="A30046"/>
                                      <w:spacing w:val="-12"/>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pacing w:val="-2"/>
                                      <w:sz w:val="16"/>
                                    </w:rPr>
                                    <w:t>Pinzamiento </w:t>
                                  </w:r>
                                  <w:r>
                                    <w:rPr>
                                      <w:rFonts w:ascii="Arial MT"/>
                                      <w:color w:val="231F1F"/>
                                      <w:sz w:val="16"/>
                                    </w:rPr>
                                    <w:t>Criterios: </w:t>
                                  </w:r>
                                  <w:r>
                                    <w:rPr>
                                      <w:rFonts w:ascii="Arial MT"/>
                                      <w:color w:val="A30046"/>
                                      <w:sz w:val="16"/>
                                    </w:rPr>
                                    <w:t>3</w:t>
                                  </w:r>
                                </w:p>
                              </w:tc>
                            </w:tr>
                            <w:tr>
                              <w:trPr>
                                <w:trHeight w:val="954" w:hRule="atLeast"/>
                              </w:trPr>
                              <w:tc>
                                <w:tcPr>
                                  <w:tcW w:w="2069" w:type="dxa"/>
                                </w:tcPr>
                                <w:p>
                                  <w:pPr>
                                    <w:pStyle w:val="TableParagraph"/>
                                    <w:spacing w:before="6"/>
                                    <w:ind w:left="0"/>
                                    <w:rPr>
                                      <w:sz w:val="16"/>
                                    </w:rPr>
                                  </w:pPr>
                                </w:p>
                                <w:p>
                                  <w:pPr>
                                    <w:pStyle w:val="TableParagraph"/>
                                    <w:spacing w:line="247" w:lineRule="auto"/>
                                    <w:ind w:left="88" w:right="684"/>
                                    <w:rPr>
                                      <w:rFonts w:ascii="Arial MT"/>
                                      <w:sz w:val="16"/>
                                    </w:rPr>
                                  </w:pPr>
                                  <w:r>
                                    <w:rPr>
                                      <w:rFonts w:ascii="Arial MT"/>
                                      <w:color w:val="A30046"/>
                                      <w:spacing w:val="-4"/>
                                      <w:sz w:val="16"/>
                                    </w:rPr>
                                    <w:t>Cuidados</w:t>
                                  </w:r>
                                  <w:r>
                                    <w:rPr>
                                      <w:rFonts w:ascii="Arial MT"/>
                                      <w:color w:val="A30046"/>
                                      <w:spacing w:val="-13"/>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z w:val="16"/>
                                    </w:rPr>
                                    <w:t>Piel con piel </w:t>
                                  </w:r>
                                  <w:r>
                                    <w:rPr>
                                      <w:rFonts w:ascii="Arial MT"/>
                                      <w:color w:val="231F1F"/>
                                      <w:sz w:val="16"/>
                                    </w:rPr>
                                    <w:t>Criterios: </w:t>
                                  </w:r>
                                  <w:r>
                                    <w:rPr>
                                      <w:rFonts w:ascii="Arial MT"/>
                                      <w:color w:val="A30046"/>
                                      <w:sz w:val="16"/>
                                    </w:rPr>
                                    <w:t>3,4</w:t>
                                  </w:r>
                                </w:p>
                              </w:tc>
                            </w:tr>
                            <w:tr>
                              <w:trPr>
                                <w:trHeight w:val="950" w:hRule="atLeast"/>
                              </w:trPr>
                              <w:tc>
                                <w:tcPr>
                                  <w:tcW w:w="2069" w:type="dxa"/>
                                </w:tcPr>
                                <w:p>
                                  <w:pPr>
                                    <w:pStyle w:val="TableParagraph"/>
                                    <w:spacing w:before="6"/>
                                    <w:ind w:left="0"/>
                                    <w:rPr>
                                      <w:sz w:val="16"/>
                                    </w:rPr>
                                  </w:pPr>
                                </w:p>
                                <w:p>
                                  <w:pPr>
                                    <w:pStyle w:val="TableParagraph"/>
                                    <w:spacing w:line="249" w:lineRule="auto"/>
                                    <w:ind w:left="88" w:right="684"/>
                                    <w:rPr>
                                      <w:rFonts w:ascii="Arial MT"/>
                                      <w:sz w:val="16"/>
                                    </w:rPr>
                                  </w:pPr>
                                  <w:r>
                                    <w:rPr>
                                      <w:rFonts w:ascii="Arial MT"/>
                                      <w:color w:val="A30046"/>
                                      <w:spacing w:val="-4"/>
                                      <w:sz w:val="16"/>
                                    </w:rPr>
                                    <w:t>Cuidados</w:t>
                                  </w:r>
                                  <w:r>
                                    <w:rPr>
                                      <w:rFonts w:ascii="Arial MT"/>
                                      <w:color w:val="A30046"/>
                                      <w:spacing w:val="-13"/>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pacing w:val="-2"/>
                                      <w:sz w:val="16"/>
                                    </w:rPr>
                                    <w:t>Lactancia </w:t>
                                  </w:r>
                                  <w:r>
                                    <w:rPr>
                                      <w:rFonts w:ascii="Arial MT"/>
                                      <w:color w:val="231F1F"/>
                                      <w:sz w:val="16"/>
                                    </w:rPr>
                                    <w:t>Criterios: </w:t>
                                  </w:r>
                                  <w:r>
                                    <w:rPr>
                                      <w:rFonts w:ascii="Arial MT"/>
                                      <w:color w:val="A30046"/>
                                      <w:sz w:val="16"/>
                                    </w:rPr>
                                    <w:t>3</w:t>
                                  </w:r>
                                </w:p>
                              </w:tc>
                            </w:tr>
                            <w:tr>
                              <w:trPr>
                                <w:trHeight w:val="950" w:hRule="atLeast"/>
                              </w:trPr>
                              <w:tc>
                                <w:tcPr>
                                  <w:tcW w:w="2069" w:type="dxa"/>
                                </w:tcPr>
                                <w:p>
                                  <w:pPr>
                                    <w:pStyle w:val="TableParagraph"/>
                                    <w:spacing w:before="11"/>
                                    <w:ind w:left="0"/>
                                    <w:rPr>
                                      <w:sz w:val="16"/>
                                    </w:rPr>
                                  </w:pPr>
                                </w:p>
                                <w:p>
                                  <w:pPr>
                                    <w:pStyle w:val="TableParagraph"/>
                                    <w:spacing w:line="249" w:lineRule="auto"/>
                                    <w:ind w:left="88" w:right="684"/>
                                    <w:rPr>
                                      <w:rFonts w:ascii="Arial MT" w:hAnsi="Arial MT"/>
                                      <w:sz w:val="16"/>
                                    </w:rPr>
                                  </w:pPr>
                                  <w:r>
                                    <w:rPr>
                                      <w:rFonts w:ascii="Arial MT" w:hAnsi="Arial MT"/>
                                      <w:color w:val="A30046"/>
                                      <w:spacing w:val="-4"/>
                                      <w:sz w:val="16"/>
                                    </w:rPr>
                                    <w:t>Cuidados</w:t>
                                  </w:r>
                                  <w:r>
                                    <w:rPr>
                                      <w:rFonts w:ascii="Arial MT" w:hAnsi="Arial MT"/>
                                      <w:color w:val="A30046"/>
                                      <w:spacing w:val="-13"/>
                                      <w:sz w:val="16"/>
                                    </w:rPr>
                                    <w:t> </w:t>
                                  </w:r>
                                  <w:r>
                                    <w:rPr>
                                      <w:rFonts w:ascii="Arial MT" w:hAnsi="Arial MT"/>
                                      <w:color w:val="A30046"/>
                                      <w:spacing w:val="-4"/>
                                      <w:sz w:val="16"/>
                                    </w:rPr>
                                    <w:t>del</w:t>
                                  </w:r>
                                  <w:r>
                                    <w:rPr>
                                      <w:rFonts w:ascii="Arial MT" w:hAnsi="Arial MT"/>
                                      <w:color w:val="A30046"/>
                                      <w:spacing w:val="-13"/>
                                      <w:sz w:val="16"/>
                                    </w:rPr>
                                    <w:t> </w:t>
                                  </w:r>
                                  <w:r>
                                    <w:rPr>
                                      <w:rFonts w:ascii="Arial MT" w:hAnsi="Arial MT"/>
                                      <w:color w:val="A30046"/>
                                      <w:spacing w:val="-4"/>
                                      <w:sz w:val="16"/>
                                    </w:rPr>
                                    <w:t>RN </w:t>
                                  </w:r>
                                  <w:r>
                                    <w:rPr>
                                      <w:rFonts w:ascii="Arial MT" w:hAnsi="Arial MT"/>
                                      <w:color w:val="A30046"/>
                                      <w:spacing w:val="-2"/>
                                      <w:sz w:val="16"/>
                                    </w:rPr>
                                    <w:t>Aspiración </w:t>
                                  </w:r>
                                  <w:r>
                                    <w:rPr>
                                      <w:rFonts w:ascii="Arial MT" w:hAnsi="Arial MT"/>
                                      <w:color w:val="231F1F"/>
                                      <w:sz w:val="16"/>
                                    </w:rPr>
                                    <w:t>Criterios: </w:t>
                                  </w:r>
                                  <w:r>
                                    <w:rPr>
                                      <w:rFonts w:ascii="Arial MT" w:hAnsi="Arial MT"/>
                                      <w:color w:val="A30046"/>
                                      <w:sz w:val="16"/>
                                    </w:rPr>
                                    <w:t>1,2</w:t>
                                  </w:r>
                                </w:p>
                              </w:tc>
                            </w:tr>
                          </w:tbl>
                          <w:p>
                            <w:pPr>
                              <w:pStyle w:val="BodyText"/>
                            </w:pPr>
                          </w:p>
                        </w:txbxContent>
                      </wps:txbx>
                      <wps:bodyPr wrap="square" lIns="0" tIns="0" rIns="0" bIns="0" rtlCol="0">
                        <a:noAutofit/>
                      </wps:bodyPr>
                    </wps:wsp>
                  </a:graphicData>
                </a:graphic>
              </wp:anchor>
            </w:drawing>
          </mc:Choice>
          <mc:Fallback>
            <w:pict>
              <v:shape style="position:absolute;margin-left:138.600006pt;margin-top:.96pt;width:109.95pt;height:200.8pt;mso-position-horizontal-relative:page;mso-position-vertical-relative:paragraph;z-index:15798272" type="#_x0000_t202" id="docshape198"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2069"/>
                      </w:tblGrid>
                      <w:tr>
                        <w:trPr>
                          <w:trHeight w:val="263" w:hRule="atLeast"/>
                        </w:trPr>
                        <w:tc>
                          <w:tcPr>
                            <w:tcW w:w="2069" w:type="dxa"/>
                          </w:tcPr>
                          <w:p>
                            <w:pPr>
                              <w:pStyle w:val="TableParagraph"/>
                              <w:spacing w:before="37"/>
                              <w:ind w:left="281"/>
                              <w:rPr>
                                <w:rFonts w:ascii="Arial MT" w:hAnsi="Arial MT"/>
                                <w:sz w:val="16"/>
                              </w:rPr>
                            </w:pPr>
                            <w:r>
                              <w:rPr>
                                <w:rFonts w:ascii="Arial MT" w:hAnsi="Arial MT"/>
                                <w:color w:val="231F1F"/>
                                <w:sz w:val="16"/>
                              </w:rPr>
                              <w:t>ÁMBITO</w:t>
                            </w:r>
                            <w:r>
                              <w:rPr>
                                <w:rFonts w:ascii="Arial MT" w:hAnsi="Arial MT"/>
                                <w:color w:val="231F1F"/>
                                <w:spacing w:val="-12"/>
                                <w:sz w:val="16"/>
                              </w:rPr>
                              <w:t> </w:t>
                            </w:r>
                            <w:r>
                              <w:rPr>
                                <w:rFonts w:ascii="Arial MT" w:hAnsi="Arial MT"/>
                                <w:color w:val="231F1F"/>
                                <w:sz w:val="16"/>
                              </w:rPr>
                              <w:t>DE</w:t>
                            </w:r>
                            <w:r>
                              <w:rPr>
                                <w:rFonts w:ascii="Arial MT" w:hAnsi="Arial MT"/>
                                <w:color w:val="231F1F"/>
                                <w:spacing w:val="-10"/>
                                <w:sz w:val="16"/>
                              </w:rPr>
                              <w:t> </w:t>
                            </w:r>
                            <w:r>
                              <w:rPr>
                                <w:rFonts w:ascii="Arial MT" w:hAnsi="Arial MT"/>
                                <w:color w:val="231F1F"/>
                                <w:sz w:val="16"/>
                              </w:rPr>
                              <w:t>LA</w:t>
                            </w:r>
                            <w:r>
                              <w:rPr>
                                <w:rFonts w:ascii="Arial MT" w:hAnsi="Arial MT"/>
                                <w:color w:val="231F1F"/>
                                <w:spacing w:val="-10"/>
                                <w:sz w:val="16"/>
                              </w:rPr>
                              <w:t> </w:t>
                            </w:r>
                            <w:r>
                              <w:rPr>
                                <w:rFonts w:ascii="Arial MT" w:hAnsi="Arial MT"/>
                                <w:color w:val="231F1F"/>
                                <w:spacing w:val="-4"/>
                                <w:sz w:val="16"/>
                              </w:rPr>
                              <w:t>GUÍA</w:t>
                            </w:r>
                          </w:p>
                        </w:tc>
                      </w:tr>
                      <w:tr>
                        <w:trPr>
                          <w:trHeight w:val="839" w:hRule="atLeast"/>
                        </w:trPr>
                        <w:tc>
                          <w:tcPr>
                            <w:tcW w:w="2069" w:type="dxa"/>
                          </w:tcPr>
                          <w:p>
                            <w:pPr>
                              <w:pStyle w:val="TableParagraph"/>
                              <w:spacing w:line="249" w:lineRule="auto" w:before="137"/>
                              <w:ind w:left="87" w:right="684"/>
                              <w:rPr>
                                <w:rFonts w:ascii="Arial MT"/>
                                <w:sz w:val="16"/>
                              </w:rPr>
                            </w:pPr>
                            <w:r>
                              <w:rPr>
                                <w:rFonts w:ascii="Arial MT"/>
                                <w:color w:val="A30046"/>
                                <w:spacing w:val="-4"/>
                                <w:sz w:val="16"/>
                              </w:rPr>
                              <w:t>Cuidados</w:t>
                            </w:r>
                            <w:r>
                              <w:rPr>
                                <w:rFonts w:ascii="Arial MT"/>
                                <w:color w:val="A30046"/>
                                <w:spacing w:val="-12"/>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pacing w:val="-2"/>
                                <w:sz w:val="16"/>
                              </w:rPr>
                              <w:t>Pinzamiento </w:t>
                            </w:r>
                            <w:r>
                              <w:rPr>
                                <w:rFonts w:ascii="Arial MT"/>
                                <w:color w:val="231F1F"/>
                                <w:sz w:val="16"/>
                              </w:rPr>
                              <w:t>Criterios: </w:t>
                            </w:r>
                            <w:r>
                              <w:rPr>
                                <w:rFonts w:ascii="Arial MT"/>
                                <w:color w:val="A30046"/>
                                <w:sz w:val="16"/>
                              </w:rPr>
                              <w:t>3</w:t>
                            </w:r>
                          </w:p>
                        </w:tc>
                      </w:tr>
                      <w:tr>
                        <w:trPr>
                          <w:trHeight w:val="954" w:hRule="atLeast"/>
                        </w:trPr>
                        <w:tc>
                          <w:tcPr>
                            <w:tcW w:w="2069" w:type="dxa"/>
                          </w:tcPr>
                          <w:p>
                            <w:pPr>
                              <w:pStyle w:val="TableParagraph"/>
                              <w:spacing w:before="6"/>
                              <w:ind w:left="0"/>
                              <w:rPr>
                                <w:sz w:val="16"/>
                              </w:rPr>
                            </w:pPr>
                          </w:p>
                          <w:p>
                            <w:pPr>
                              <w:pStyle w:val="TableParagraph"/>
                              <w:spacing w:line="247" w:lineRule="auto"/>
                              <w:ind w:left="88" w:right="684"/>
                              <w:rPr>
                                <w:rFonts w:ascii="Arial MT"/>
                                <w:sz w:val="16"/>
                              </w:rPr>
                            </w:pPr>
                            <w:r>
                              <w:rPr>
                                <w:rFonts w:ascii="Arial MT"/>
                                <w:color w:val="A30046"/>
                                <w:spacing w:val="-4"/>
                                <w:sz w:val="16"/>
                              </w:rPr>
                              <w:t>Cuidados</w:t>
                            </w:r>
                            <w:r>
                              <w:rPr>
                                <w:rFonts w:ascii="Arial MT"/>
                                <w:color w:val="A30046"/>
                                <w:spacing w:val="-13"/>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z w:val="16"/>
                              </w:rPr>
                              <w:t>Piel con piel </w:t>
                            </w:r>
                            <w:r>
                              <w:rPr>
                                <w:rFonts w:ascii="Arial MT"/>
                                <w:color w:val="231F1F"/>
                                <w:sz w:val="16"/>
                              </w:rPr>
                              <w:t>Criterios: </w:t>
                            </w:r>
                            <w:r>
                              <w:rPr>
                                <w:rFonts w:ascii="Arial MT"/>
                                <w:color w:val="A30046"/>
                                <w:sz w:val="16"/>
                              </w:rPr>
                              <w:t>3,4</w:t>
                            </w:r>
                          </w:p>
                        </w:tc>
                      </w:tr>
                      <w:tr>
                        <w:trPr>
                          <w:trHeight w:val="950" w:hRule="atLeast"/>
                        </w:trPr>
                        <w:tc>
                          <w:tcPr>
                            <w:tcW w:w="2069" w:type="dxa"/>
                          </w:tcPr>
                          <w:p>
                            <w:pPr>
                              <w:pStyle w:val="TableParagraph"/>
                              <w:spacing w:before="6"/>
                              <w:ind w:left="0"/>
                              <w:rPr>
                                <w:sz w:val="16"/>
                              </w:rPr>
                            </w:pPr>
                          </w:p>
                          <w:p>
                            <w:pPr>
                              <w:pStyle w:val="TableParagraph"/>
                              <w:spacing w:line="249" w:lineRule="auto"/>
                              <w:ind w:left="88" w:right="684"/>
                              <w:rPr>
                                <w:rFonts w:ascii="Arial MT"/>
                                <w:sz w:val="16"/>
                              </w:rPr>
                            </w:pPr>
                            <w:r>
                              <w:rPr>
                                <w:rFonts w:ascii="Arial MT"/>
                                <w:color w:val="A30046"/>
                                <w:spacing w:val="-4"/>
                                <w:sz w:val="16"/>
                              </w:rPr>
                              <w:t>Cuidados</w:t>
                            </w:r>
                            <w:r>
                              <w:rPr>
                                <w:rFonts w:ascii="Arial MT"/>
                                <w:color w:val="A30046"/>
                                <w:spacing w:val="-13"/>
                                <w:sz w:val="16"/>
                              </w:rPr>
                              <w:t> </w:t>
                            </w:r>
                            <w:r>
                              <w:rPr>
                                <w:rFonts w:ascii="Arial MT"/>
                                <w:color w:val="A30046"/>
                                <w:spacing w:val="-4"/>
                                <w:sz w:val="16"/>
                              </w:rPr>
                              <w:t>del</w:t>
                            </w:r>
                            <w:r>
                              <w:rPr>
                                <w:rFonts w:ascii="Arial MT"/>
                                <w:color w:val="A30046"/>
                                <w:spacing w:val="-13"/>
                                <w:sz w:val="16"/>
                              </w:rPr>
                              <w:t> </w:t>
                            </w:r>
                            <w:r>
                              <w:rPr>
                                <w:rFonts w:ascii="Arial MT"/>
                                <w:color w:val="A30046"/>
                                <w:spacing w:val="-4"/>
                                <w:sz w:val="16"/>
                              </w:rPr>
                              <w:t>RN </w:t>
                            </w:r>
                            <w:r>
                              <w:rPr>
                                <w:rFonts w:ascii="Arial MT"/>
                                <w:color w:val="A30046"/>
                                <w:spacing w:val="-2"/>
                                <w:sz w:val="16"/>
                              </w:rPr>
                              <w:t>Lactancia </w:t>
                            </w:r>
                            <w:r>
                              <w:rPr>
                                <w:rFonts w:ascii="Arial MT"/>
                                <w:color w:val="231F1F"/>
                                <w:sz w:val="16"/>
                              </w:rPr>
                              <w:t>Criterios: </w:t>
                            </w:r>
                            <w:r>
                              <w:rPr>
                                <w:rFonts w:ascii="Arial MT"/>
                                <w:color w:val="A30046"/>
                                <w:sz w:val="16"/>
                              </w:rPr>
                              <w:t>3</w:t>
                            </w:r>
                          </w:p>
                        </w:tc>
                      </w:tr>
                      <w:tr>
                        <w:trPr>
                          <w:trHeight w:val="950" w:hRule="atLeast"/>
                        </w:trPr>
                        <w:tc>
                          <w:tcPr>
                            <w:tcW w:w="2069" w:type="dxa"/>
                          </w:tcPr>
                          <w:p>
                            <w:pPr>
                              <w:pStyle w:val="TableParagraph"/>
                              <w:spacing w:before="11"/>
                              <w:ind w:left="0"/>
                              <w:rPr>
                                <w:sz w:val="16"/>
                              </w:rPr>
                            </w:pPr>
                          </w:p>
                          <w:p>
                            <w:pPr>
                              <w:pStyle w:val="TableParagraph"/>
                              <w:spacing w:line="249" w:lineRule="auto"/>
                              <w:ind w:left="88" w:right="684"/>
                              <w:rPr>
                                <w:rFonts w:ascii="Arial MT" w:hAnsi="Arial MT"/>
                                <w:sz w:val="16"/>
                              </w:rPr>
                            </w:pPr>
                            <w:r>
                              <w:rPr>
                                <w:rFonts w:ascii="Arial MT" w:hAnsi="Arial MT"/>
                                <w:color w:val="A30046"/>
                                <w:spacing w:val="-4"/>
                                <w:sz w:val="16"/>
                              </w:rPr>
                              <w:t>Cuidados</w:t>
                            </w:r>
                            <w:r>
                              <w:rPr>
                                <w:rFonts w:ascii="Arial MT" w:hAnsi="Arial MT"/>
                                <w:color w:val="A30046"/>
                                <w:spacing w:val="-13"/>
                                <w:sz w:val="16"/>
                              </w:rPr>
                              <w:t> </w:t>
                            </w:r>
                            <w:r>
                              <w:rPr>
                                <w:rFonts w:ascii="Arial MT" w:hAnsi="Arial MT"/>
                                <w:color w:val="A30046"/>
                                <w:spacing w:val="-4"/>
                                <w:sz w:val="16"/>
                              </w:rPr>
                              <w:t>del</w:t>
                            </w:r>
                            <w:r>
                              <w:rPr>
                                <w:rFonts w:ascii="Arial MT" w:hAnsi="Arial MT"/>
                                <w:color w:val="A30046"/>
                                <w:spacing w:val="-13"/>
                                <w:sz w:val="16"/>
                              </w:rPr>
                              <w:t> </w:t>
                            </w:r>
                            <w:r>
                              <w:rPr>
                                <w:rFonts w:ascii="Arial MT" w:hAnsi="Arial MT"/>
                                <w:color w:val="A30046"/>
                                <w:spacing w:val="-4"/>
                                <w:sz w:val="16"/>
                              </w:rPr>
                              <w:t>RN </w:t>
                            </w:r>
                            <w:r>
                              <w:rPr>
                                <w:rFonts w:ascii="Arial MT" w:hAnsi="Arial MT"/>
                                <w:color w:val="A30046"/>
                                <w:spacing w:val="-2"/>
                                <w:sz w:val="16"/>
                              </w:rPr>
                              <w:t>Aspiración </w:t>
                            </w:r>
                            <w:r>
                              <w:rPr>
                                <w:rFonts w:ascii="Arial MT" w:hAnsi="Arial MT"/>
                                <w:color w:val="231F1F"/>
                                <w:sz w:val="16"/>
                              </w:rPr>
                              <w:t>Criterios: </w:t>
                            </w:r>
                            <w:r>
                              <w:rPr>
                                <w:rFonts w:ascii="Arial MT" w:hAnsi="Arial MT"/>
                                <w:color w:val="A30046"/>
                                <w:sz w:val="16"/>
                              </w:rPr>
                              <w:t>1,2</w:t>
                            </w:r>
                          </w:p>
                        </w:tc>
                      </w:tr>
                    </w:tbl>
                    <w:p>
                      <w:pPr>
                        <w:pStyle w:val="BodyText"/>
                      </w:pPr>
                    </w:p>
                  </w:txbxContent>
                </v:textbox>
                <w10:wrap type="none"/>
              </v:shape>
            </w:pict>
          </mc:Fallback>
        </mc:AlternateContent>
      </w:r>
      <w:r>
        <w:rPr>
          <w:rFonts w:ascii="Arial MT"/>
          <w:color w:val="231F1F"/>
          <w:spacing w:val="-2"/>
          <w:sz w:val="16"/>
        </w:rPr>
        <w:t>INDICADORES</w:t>
      </w:r>
    </w:p>
    <w:p>
      <w:pPr>
        <w:pStyle w:val="BodyText"/>
        <w:spacing w:before="1"/>
        <w:rPr>
          <w:rFonts w:ascii="Arial MT"/>
          <w:sz w:val="7"/>
        </w:rPr>
      </w:pPr>
    </w:p>
    <w:p>
      <w:pPr>
        <w:pStyle w:val="BodyText"/>
        <w:spacing w:before="1"/>
        <w:rPr>
          <w:rFonts w:ascii="Arial MT"/>
          <w:sz w:val="7"/>
        </w:rPr>
      </w:pPr>
    </w:p>
    <w:p>
      <w:pPr>
        <w:pStyle w:val="BodyText"/>
        <w:spacing w:before="1"/>
        <w:rPr>
          <w:rFonts w:ascii="Arial MT"/>
          <w:sz w:val="7"/>
        </w:rPr>
      </w:pPr>
    </w:p>
    <w:p>
      <w:pPr>
        <w:pStyle w:val="BodyText"/>
        <w:spacing w:before="1"/>
        <w:rPr>
          <w:rFonts w:ascii="Arial MT"/>
          <w:sz w:val="17"/>
        </w:rPr>
      </w:pPr>
    </w:p>
    <w:p>
      <w:pPr>
        <w:pStyle w:val="BodyText"/>
        <w:spacing w:before="71"/>
        <w:rPr>
          <w:rFonts w:ascii="Arial MT"/>
          <w:sz w:val="16"/>
        </w:rPr>
      </w:pPr>
    </w:p>
    <w:p>
      <w:pPr>
        <w:pStyle w:val="BodyText"/>
        <w:ind w:left="283"/>
      </w:pPr>
      <w:r>
        <w:rPr/>
        <mc:AlternateContent>
          <mc:Choice Requires="wps">
            <w:drawing>
              <wp:anchor distT="0" distB="0" distL="0" distR="0" allowOverlap="1" layoutInCell="1" locked="0" behindDoc="0" simplePos="0" relativeHeight="15793664">
                <wp:simplePos x="0" y="0"/>
                <wp:positionH relativeFrom="page">
                  <wp:posOffset>3641725</wp:posOffset>
                </wp:positionH>
                <wp:positionV relativeFrom="paragraph">
                  <wp:posOffset>-2201166</wp:posOffset>
                </wp:positionV>
                <wp:extent cx="2022475" cy="127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2022475" cy="1270"/>
                        </a:xfrm>
                        <a:custGeom>
                          <a:avLst/>
                          <a:gdLst/>
                          <a:ahLst/>
                          <a:cxnLst/>
                          <a:rect l="l" t="t" r="r" b="b"/>
                          <a:pathLst>
                            <a:path w="2022475" h="0">
                              <a:moveTo>
                                <a:pt x="0" y="0"/>
                              </a:moveTo>
                              <a:lnTo>
                                <a:pt x="2022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3664" from="286.75pt,-173.320221pt" to="445.994185pt,-173.320221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94176">
                <wp:simplePos x="0" y="0"/>
                <wp:positionH relativeFrom="page">
                  <wp:posOffset>3641725</wp:posOffset>
                </wp:positionH>
                <wp:positionV relativeFrom="paragraph">
                  <wp:posOffset>-1500749</wp:posOffset>
                </wp:positionV>
                <wp:extent cx="2022475"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2022475" cy="1270"/>
                        </a:xfrm>
                        <a:custGeom>
                          <a:avLst/>
                          <a:gdLst/>
                          <a:ahLst/>
                          <a:cxnLst/>
                          <a:rect l="l" t="t" r="r" b="b"/>
                          <a:pathLst>
                            <a:path w="2022475" h="0">
                              <a:moveTo>
                                <a:pt x="0" y="0"/>
                              </a:moveTo>
                              <a:lnTo>
                                <a:pt x="2022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286.75pt,-118.16922pt" to="445.994185pt,-118.16922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94688">
                <wp:simplePos x="0" y="0"/>
                <wp:positionH relativeFrom="page">
                  <wp:posOffset>3677920</wp:posOffset>
                </wp:positionH>
                <wp:positionV relativeFrom="paragraph">
                  <wp:posOffset>-771769</wp:posOffset>
                </wp:positionV>
                <wp:extent cx="1950720" cy="127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688" from="289.600006pt,-60.769218pt" to="443.174897pt,-60.769218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95200">
                <wp:simplePos x="0" y="0"/>
                <wp:positionH relativeFrom="page">
                  <wp:posOffset>3677920</wp:posOffset>
                </wp:positionH>
                <wp:positionV relativeFrom="paragraph">
                  <wp:posOffset>-291074</wp:posOffset>
                </wp:positionV>
                <wp:extent cx="1950720" cy="127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950720" cy="1270"/>
                        </a:xfrm>
                        <a:custGeom>
                          <a:avLst/>
                          <a:gdLst/>
                          <a:ahLst/>
                          <a:cxnLst/>
                          <a:rect l="l" t="t" r="r" b="b"/>
                          <a:pathLst>
                            <a:path w="1950720" h="0">
                              <a:moveTo>
                                <a:pt x="0" y="0"/>
                              </a:moveTo>
                              <a:lnTo>
                                <a:pt x="1950401" y="0"/>
                              </a:lnTo>
                            </a:path>
                          </a:pathLst>
                        </a:custGeom>
                        <a:ln w="6350">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289.600006pt,-22.919218pt" to="443.174897pt,-22.919218pt" stroked="true" strokeweight=".5pt" strokecolor="#231f1f">
                <v:stroke dashstyle="solid"/>
                <w10:wrap type="none"/>
              </v:line>
            </w:pict>
          </mc:Fallback>
        </mc:AlternateContent>
      </w:r>
      <w:r>
        <w:rPr/>
        <mc:AlternateContent>
          <mc:Choice Requires="wps">
            <w:drawing>
              <wp:anchor distT="0" distB="0" distL="0" distR="0" allowOverlap="1" layoutInCell="1" locked="0" behindDoc="0" simplePos="0" relativeHeight="15795712">
                <wp:simplePos x="0" y="0"/>
                <wp:positionH relativeFrom="page">
                  <wp:posOffset>3195320</wp:posOffset>
                </wp:positionH>
                <wp:positionV relativeFrom="paragraph">
                  <wp:posOffset>-956566</wp:posOffset>
                </wp:positionV>
                <wp:extent cx="303530" cy="8191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303530" cy="81915"/>
                          <a:chExt cx="303530" cy="81915"/>
                        </a:xfrm>
                      </wpg:grpSpPr>
                      <wps:wsp>
                        <wps:cNvPr id="249" name="Graphic 249"/>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50" name="Graphic 250"/>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75.320221pt;width:23.9pt;height:6.45pt;mso-position-horizontal-relative:page;mso-position-vertical-relative:paragraph;z-index:15795712" id="docshapegroup199" coordorigin="5032,-1506" coordsize="478,129">
                <v:line style="position:absolute" from="5032,-1441" to="5313,-1441" stroked="true" strokeweight=".552992pt" strokecolor="#a30046">
                  <v:stroke dashstyle="solid"/>
                </v:line>
                <v:shape style="position:absolute;left:5269;top:-1507;width:240;height:129" id="docshape200" coordorigin="5269,-1506" coordsize="240,129" path="m5269,-1506l5269,-1378,5509,-1442,5269,-1506xe" filled="true" fillcolor="#a3004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page">
                  <wp:posOffset>3195320</wp:posOffset>
                </wp:positionH>
                <wp:positionV relativeFrom="paragraph">
                  <wp:posOffset>-475224</wp:posOffset>
                </wp:positionV>
                <wp:extent cx="303530" cy="8191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303530" cy="81915"/>
                          <a:chExt cx="303530" cy="81915"/>
                        </a:xfrm>
                      </wpg:grpSpPr>
                      <wps:wsp>
                        <wps:cNvPr id="252" name="Graphic 252"/>
                        <wps:cNvSpPr/>
                        <wps:spPr>
                          <a:xfrm>
                            <a:off x="0" y="41300"/>
                            <a:ext cx="179070" cy="1270"/>
                          </a:xfrm>
                          <a:custGeom>
                            <a:avLst/>
                            <a:gdLst/>
                            <a:ahLst/>
                            <a:cxnLst/>
                            <a:rect l="l" t="t" r="r" b="b"/>
                            <a:pathLst>
                              <a:path w="179070" h="0">
                                <a:moveTo>
                                  <a:pt x="0" y="0"/>
                                </a:moveTo>
                                <a:lnTo>
                                  <a:pt x="178511" y="0"/>
                                </a:lnTo>
                              </a:path>
                            </a:pathLst>
                          </a:custGeom>
                          <a:ln w="7023">
                            <a:solidFill>
                              <a:srgbClr val="A30046"/>
                            </a:solidFill>
                            <a:prstDash val="solid"/>
                          </a:ln>
                        </wps:spPr>
                        <wps:bodyPr wrap="square" lIns="0" tIns="0" rIns="0" bIns="0" rtlCol="0">
                          <a:prstTxWarp prst="textNoShape">
                            <a:avLst/>
                          </a:prstTxWarp>
                          <a:noAutofit/>
                        </wps:bodyPr>
                      </wps:wsp>
                      <wps:wsp>
                        <wps:cNvPr id="253" name="Graphic 253"/>
                        <wps:cNvSpPr/>
                        <wps:spPr>
                          <a:xfrm>
                            <a:off x="150685" y="0"/>
                            <a:ext cx="152400" cy="81915"/>
                          </a:xfrm>
                          <a:custGeom>
                            <a:avLst/>
                            <a:gdLst/>
                            <a:ahLst/>
                            <a:cxnLst/>
                            <a:rect l="l" t="t" r="r" b="b"/>
                            <a:pathLst>
                              <a:path w="152400" h="81915">
                                <a:moveTo>
                                  <a:pt x="0" y="0"/>
                                </a:moveTo>
                                <a:lnTo>
                                  <a:pt x="0" y="81597"/>
                                </a:lnTo>
                                <a:lnTo>
                                  <a:pt x="152247" y="40805"/>
                                </a:lnTo>
                                <a:lnTo>
                                  <a:pt x="0" y="0"/>
                                </a:lnTo>
                                <a:close/>
                              </a:path>
                            </a:pathLst>
                          </a:custGeom>
                          <a:solidFill>
                            <a:srgbClr val="A30046"/>
                          </a:solidFill>
                        </wps:spPr>
                        <wps:bodyPr wrap="square" lIns="0" tIns="0" rIns="0" bIns="0" rtlCol="0">
                          <a:prstTxWarp prst="textNoShape">
                            <a:avLst/>
                          </a:prstTxWarp>
                          <a:noAutofit/>
                        </wps:bodyPr>
                      </wps:wsp>
                    </wpg:wgp>
                  </a:graphicData>
                </a:graphic>
              </wp:anchor>
            </w:drawing>
          </mc:Choice>
          <mc:Fallback>
            <w:pict>
              <v:group style="position:absolute;margin-left:251.600006pt;margin-top:-37.419220pt;width:23.9pt;height:6.45pt;mso-position-horizontal-relative:page;mso-position-vertical-relative:paragraph;z-index:15796224" id="docshapegroup201" coordorigin="5032,-748" coordsize="478,129">
                <v:line style="position:absolute" from="5032,-683" to="5313,-683" stroked="true" strokeweight=".552992pt" strokecolor="#a30046">
                  <v:stroke dashstyle="solid"/>
                </v:line>
                <v:shape style="position:absolute;left:5269;top:-749;width:240;height:129" id="docshape202" coordorigin="5269,-748" coordsize="240,129" path="m5269,-748l5269,-620,5509,-684,5269,-748xe" filled="true" fillcolor="#a30046" stroked="false">
                  <v:path arrowok="t"/>
                  <v:fill type="solid"/>
                </v:shape>
                <w10:wrap type="none"/>
              </v:group>
            </w:pict>
          </mc:Fallback>
        </mc:AlternateContent>
      </w:r>
      <w:r>
        <w:rPr/>
        <w:drawing>
          <wp:anchor distT="0" distB="0" distL="0" distR="0" allowOverlap="1" layoutInCell="1" locked="0" behindDoc="0" simplePos="0" relativeHeight="15796736">
            <wp:simplePos x="0" y="0"/>
            <wp:positionH relativeFrom="page">
              <wp:posOffset>3208654</wp:posOffset>
            </wp:positionH>
            <wp:positionV relativeFrom="paragraph">
              <wp:posOffset>-2821549</wp:posOffset>
            </wp:positionV>
            <wp:extent cx="264529" cy="154781"/>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58" cstate="print"/>
                    <a:stretch>
                      <a:fillRect/>
                    </a:stretch>
                  </pic:blipFill>
                  <pic:spPr>
                    <a:xfrm>
                      <a:off x="0" y="0"/>
                      <a:ext cx="264529" cy="154781"/>
                    </a:xfrm>
                    <a:prstGeom prst="rect">
                      <a:avLst/>
                    </a:prstGeom>
                  </pic:spPr>
                </pic:pic>
              </a:graphicData>
            </a:graphic>
          </wp:anchor>
        </w:drawing>
      </w:r>
      <w:r>
        <w:rPr/>
        <w:drawing>
          <wp:anchor distT="0" distB="0" distL="0" distR="0" allowOverlap="1" layoutInCell="1" locked="0" behindDoc="0" simplePos="0" relativeHeight="15797248">
            <wp:simplePos x="0" y="0"/>
            <wp:positionH relativeFrom="page">
              <wp:posOffset>3238500</wp:posOffset>
            </wp:positionH>
            <wp:positionV relativeFrom="paragraph">
              <wp:posOffset>-2512316</wp:posOffset>
            </wp:positionV>
            <wp:extent cx="266524" cy="154781"/>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59" cstate="print"/>
                    <a:stretch>
                      <a:fillRect/>
                    </a:stretch>
                  </pic:blipFill>
                  <pic:spPr>
                    <a:xfrm>
                      <a:off x="0" y="0"/>
                      <a:ext cx="266524" cy="154781"/>
                    </a:xfrm>
                    <a:prstGeom prst="rect">
                      <a:avLst/>
                    </a:prstGeom>
                  </pic:spPr>
                </pic:pic>
              </a:graphicData>
            </a:graphic>
          </wp:anchor>
        </w:drawing>
      </w:r>
      <w:r>
        <w:rPr/>
        <mc:AlternateContent>
          <mc:Choice Requires="wps">
            <w:drawing>
              <wp:anchor distT="0" distB="0" distL="0" distR="0" allowOverlap="1" layoutInCell="1" locked="0" behindDoc="0" simplePos="0" relativeHeight="15798784">
                <wp:simplePos x="0" y="0"/>
                <wp:positionH relativeFrom="page">
                  <wp:posOffset>3512820</wp:posOffset>
                </wp:positionH>
                <wp:positionV relativeFrom="paragraph">
                  <wp:posOffset>-2487539</wp:posOffset>
                </wp:positionV>
                <wp:extent cx="2277110" cy="53657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277110" cy="536575"/>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25" w:hRule="atLeast"/>
                              </w:trPr>
                              <w:tc>
                                <w:tcPr>
                                  <w:tcW w:w="3456" w:type="dxa"/>
                                </w:tcPr>
                                <w:p>
                                  <w:pPr>
                                    <w:pStyle w:val="TableParagraph"/>
                                    <w:spacing w:line="285" w:lineRule="auto" w:before="46"/>
                                    <w:ind w:left="153" w:right="137"/>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que</w:t>
                                  </w:r>
                                  <w:r>
                                    <w:rPr>
                                      <w:rFonts w:ascii="Arial MT" w:hAnsi="Arial MT"/>
                                      <w:color w:val="231F1F"/>
                                      <w:spacing w:val="-9"/>
                                      <w:sz w:val="14"/>
                                    </w:rPr>
                                    <w:t> </w:t>
                                  </w:r>
                                  <w:r>
                                    <w:rPr>
                                      <w:rFonts w:ascii="Arial MT" w:hAnsi="Arial MT"/>
                                      <w:color w:val="231F1F"/>
                                      <w:sz w:val="14"/>
                                    </w:rPr>
                                    <w:t>utilizan</w:t>
                                  </w:r>
                                  <w:r>
                                    <w:rPr>
                                      <w:rFonts w:ascii="Arial MT" w:hAnsi="Arial MT"/>
                                      <w:color w:val="231F1F"/>
                                      <w:spacing w:val="-10"/>
                                      <w:sz w:val="14"/>
                                    </w:rPr>
                                    <w:t> </w:t>
                                  </w:r>
                                  <w:r>
                                    <w:rPr>
                                      <w:rFonts w:ascii="Arial MT" w:hAnsi="Arial MT"/>
                                      <w:color w:val="231F1F"/>
                                      <w:sz w:val="14"/>
                                    </w:rPr>
                                    <w:t>alguna</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los</w:t>
                                  </w:r>
                                  <w:r>
                                    <w:rPr>
                                      <w:rFonts w:ascii="Arial MT" w:hAnsi="Arial MT"/>
                                      <w:color w:val="231F1F"/>
                                      <w:spacing w:val="-9"/>
                                      <w:sz w:val="14"/>
                                    </w:rPr>
                                    <w:t> </w:t>
                                  </w:r>
                                  <w:r>
                                    <w:rPr>
                                      <w:rFonts w:ascii="Arial MT" w:hAnsi="Arial MT"/>
                                      <w:color w:val="231F1F"/>
                                      <w:sz w:val="14"/>
                                    </w:rPr>
                                    <w:t>métodos</w:t>
                                  </w:r>
                                  <w:r>
                                    <w:rPr>
                                      <w:rFonts w:ascii="Arial MT" w:hAnsi="Arial MT"/>
                                      <w:color w:val="231F1F"/>
                                      <w:spacing w:val="40"/>
                                      <w:sz w:val="14"/>
                                    </w:rPr>
                                    <w:t> </w:t>
                                  </w:r>
                                  <w:r>
                                    <w:rPr>
                                      <w:rFonts w:ascii="Arial MT" w:hAnsi="Arial MT"/>
                                      <w:color w:val="231F1F"/>
                                      <w:sz w:val="14"/>
                                    </w:rPr>
                                    <w:t>de analgesia no farmacológica</w:t>
                                  </w:r>
                                </w:p>
                                <w:p>
                                  <w:pPr>
                                    <w:pStyle w:val="TableParagraph"/>
                                    <w:spacing w:before="1"/>
                                    <w:ind w:left="10"/>
                                    <w:jc w:val="center"/>
                                    <w:rPr>
                                      <w:rFonts w:ascii="Arial MT" w:hAnsi="Arial MT"/>
                                      <w:sz w:val="14"/>
                                    </w:rPr>
                                  </w:pPr>
                                  <w:r>
                                    <w:rPr>
                                      <w:rFonts w:ascii="Arial MT" w:hAnsi="Arial MT"/>
                                      <w:color w:val="231F1F"/>
                                      <w:sz w:val="14"/>
                                    </w:rPr>
                                    <w:t>n.º</w:t>
                                  </w:r>
                                  <w:r>
                                    <w:rPr>
                                      <w:rFonts w:ascii="Arial MT" w:hAnsi="Arial MT"/>
                                      <w:color w:val="231F1F"/>
                                      <w:spacing w:val="-6"/>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3"/>
                                      <w:sz w:val="14"/>
                                    </w:rPr>
                                    <w:t> </w:t>
                                  </w:r>
                                  <w:r>
                                    <w:rPr>
                                      <w:rFonts w:ascii="Arial MT" w:hAnsi="Arial MT"/>
                                      <w:color w:val="231F1F"/>
                                      <w:sz w:val="14"/>
                                    </w:rPr>
                                    <w:t>mujeres</w:t>
                                  </w:r>
                                  <w:r>
                                    <w:rPr>
                                      <w:rFonts w:ascii="Arial MT" w:hAnsi="Arial MT"/>
                                      <w:color w:val="231F1F"/>
                                      <w:spacing w:val="-4"/>
                                      <w:sz w:val="14"/>
                                    </w:rPr>
                                    <w:t> </w:t>
                                  </w:r>
                                  <w:r>
                                    <w:rPr>
                                      <w:rFonts w:ascii="Arial MT" w:hAnsi="Arial MT"/>
                                      <w:color w:val="231F1F"/>
                                      <w:sz w:val="14"/>
                                    </w:rPr>
                                    <w:t>pvsc</w:t>
                                  </w:r>
                                  <w:r>
                                    <w:rPr>
                                      <w:rFonts w:ascii="Arial MT" w:hAnsi="Arial MT"/>
                                      <w:color w:val="231F1F"/>
                                      <w:spacing w:val="-4"/>
                                      <w:sz w:val="14"/>
                                    </w:rPr>
                                    <w:t> </w:t>
                                  </w:r>
                                  <w:r>
                                    <w:rPr>
                                      <w:rFonts w:ascii="Arial MT" w:hAnsi="Arial MT"/>
                                      <w:color w:val="231F1F"/>
                                      <w:sz w:val="14"/>
                                    </w:rPr>
                                    <w:t>a</w:t>
                                  </w:r>
                                  <w:r>
                                    <w:rPr>
                                      <w:rFonts w:ascii="Arial MT" w:hAnsi="Arial MT"/>
                                      <w:color w:val="231F1F"/>
                                      <w:spacing w:val="-5"/>
                                      <w:sz w:val="14"/>
                                    </w:rPr>
                                    <w:t> </w:t>
                                  </w:r>
                                  <w:r>
                                    <w:rPr>
                                      <w:rFonts w:ascii="Arial MT" w:hAnsi="Arial MT"/>
                                      <w:color w:val="231F1F"/>
                                      <w:sz w:val="14"/>
                                    </w:rPr>
                                    <w:t>las</w:t>
                                  </w:r>
                                  <w:r>
                                    <w:rPr>
                                      <w:rFonts w:ascii="Arial MT" w:hAnsi="Arial MT"/>
                                      <w:color w:val="231F1F"/>
                                      <w:spacing w:val="-4"/>
                                      <w:sz w:val="14"/>
                                    </w:rPr>
                                    <w:t> </w:t>
                                  </w:r>
                                  <w:r>
                                    <w:rPr>
                                      <w:rFonts w:ascii="Arial MT" w:hAnsi="Arial MT"/>
                                      <w:color w:val="231F1F"/>
                                      <w:sz w:val="14"/>
                                    </w:rPr>
                                    <w:t>que</w:t>
                                  </w:r>
                                  <w:r>
                                    <w:rPr>
                                      <w:rFonts w:ascii="Arial MT" w:hAnsi="Arial MT"/>
                                      <w:color w:val="231F1F"/>
                                      <w:spacing w:val="-3"/>
                                      <w:sz w:val="14"/>
                                    </w:rPr>
                                    <w:t> </w:t>
                                  </w:r>
                                  <w:r>
                                    <w:rPr>
                                      <w:rFonts w:ascii="Arial MT" w:hAnsi="Arial MT"/>
                                      <w:color w:val="231F1F"/>
                                      <w:sz w:val="14"/>
                                    </w:rPr>
                                    <w:t>se</w:t>
                                  </w:r>
                                  <w:r>
                                    <w:rPr>
                                      <w:rFonts w:ascii="Arial MT" w:hAnsi="Arial MT"/>
                                      <w:color w:val="231F1F"/>
                                      <w:spacing w:val="-4"/>
                                      <w:sz w:val="14"/>
                                    </w:rPr>
                                    <w:t> </w:t>
                                  </w:r>
                                  <w:r>
                                    <w:rPr>
                                      <w:rFonts w:ascii="Arial MT" w:hAnsi="Arial MT"/>
                                      <w:color w:val="231F1F"/>
                                      <w:sz w:val="14"/>
                                    </w:rPr>
                                    <w:t>les</w:t>
                                  </w:r>
                                  <w:r>
                                    <w:rPr>
                                      <w:rFonts w:ascii="Arial MT" w:hAnsi="Arial MT"/>
                                      <w:color w:val="231F1F"/>
                                      <w:spacing w:val="-4"/>
                                      <w:sz w:val="14"/>
                                    </w:rPr>
                                    <w:t> </w:t>
                                  </w:r>
                                  <w:r>
                                    <w:rPr>
                                      <w:rFonts w:ascii="Arial MT" w:hAnsi="Arial MT"/>
                                      <w:color w:val="231F1F"/>
                                      <w:spacing w:val="-5"/>
                                      <w:sz w:val="14"/>
                                    </w:rPr>
                                    <w:t>ha</w:t>
                                  </w:r>
                                </w:p>
                                <w:p>
                                  <w:pPr>
                                    <w:pStyle w:val="TableParagraph"/>
                                    <w:spacing w:before="31"/>
                                    <w:ind w:left="14"/>
                                    <w:jc w:val="center"/>
                                    <w:rPr>
                                      <w:rFonts w:ascii="Arial MT" w:hAnsi="Arial MT"/>
                                      <w:sz w:val="14"/>
                                    </w:rPr>
                                  </w:pPr>
                                  <w:r>
                                    <w:rPr>
                                      <w:rFonts w:ascii="Arial MT" w:hAnsi="Arial MT"/>
                                      <w:color w:val="231F1F"/>
                                      <w:sz w:val="14"/>
                                    </w:rPr>
                                    <w:t>ofertado</w:t>
                                  </w:r>
                                  <w:r>
                                    <w:rPr>
                                      <w:rFonts w:ascii="Arial MT" w:hAnsi="Arial MT"/>
                                      <w:color w:val="231F1F"/>
                                      <w:spacing w:val="-6"/>
                                      <w:sz w:val="14"/>
                                    </w:rPr>
                                    <w:t> </w:t>
                                  </w:r>
                                  <w:r>
                                    <w:rPr>
                                      <w:rFonts w:ascii="Arial MT" w:hAnsi="Arial MT"/>
                                      <w:color w:val="231F1F"/>
                                      <w:sz w:val="14"/>
                                    </w:rPr>
                                    <w:t>métodos</w:t>
                                  </w:r>
                                  <w:r>
                                    <w:rPr>
                                      <w:rFonts w:ascii="Arial MT" w:hAnsi="Arial MT"/>
                                      <w:color w:val="231F1F"/>
                                      <w:spacing w:val="-6"/>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analgesia</w:t>
                                  </w:r>
                                  <w:r>
                                    <w:rPr>
                                      <w:rFonts w:ascii="Arial MT" w:hAnsi="Arial MT"/>
                                      <w:color w:val="231F1F"/>
                                      <w:spacing w:val="-6"/>
                                      <w:sz w:val="14"/>
                                    </w:rPr>
                                    <w:t> </w:t>
                                  </w:r>
                                  <w:r>
                                    <w:rPr>
                                      <w:rFonts w:ascii="Arial MT" w:hAnsi="Arial MT"/>
                                      <w:color w:val="231F1F"/>
                                      <w:sz w:val="14"/>
                                    </w:rPr>
                                    <w:t>no</w:t>
                                  </w:r>
                                  <w:r>
                                    <w:rPr>
                                      <w:rFonts w:ascii="Arial MT" w:hAnsi="Arial MT"/>
                                      <w:color w:val="231F1F"/>
                                      <w:spacing w:val="-5"/>
                                      <w:sz w:val="14"/>
                                    </w:rPr>
                                    <w:t> </w:t>
                                  </w:r>
                                  <w:r>
                                    <w:rPr>
                                      <w:rFonts w:ascii="Arial MT" w:hAnsi="Arial MT"/>
                                      <w:color w:val="231F1F"/>
                                      <w:spacing w:val="-2"/>
                                      <w:sz w:val="14"/>
                                    </w:rPr>
                                    <w:t>farmacológica</w:t>
                                  </w:r>
                                </w:p>
                              </w:tc>
                            </w:tr>
                          </w:tbl>
                          <w:p>
                            <w:pPr>
                              <w:pStyle w:val="BodyText"/>
                            </w:pPr>
                          </w:p>
                        </w:txbxContent>
                      </wps:txbx>
                      <wps:bodyPr wrap="square" lIns="0" tIns="0" rIns="0" bIns="0" rtlCol="0">
                        <a:noAutofit/>
                      </wps:bodyPr>
                    </wps:wsp>
                  </a:graphicData>
                </a:graphic>
              </wp:anchor>
            </w:drawing>
          </mc:Choice>
          <mc:Fallback>
            <w:pict>
              <v:shape style="position:absolute;margin-left:276.600006pt;margin-top:-195.869217pt;width:179.3pt;height:42.25pt;mso-position-horizontal-relative:page;mso-position-vertical-relative:paragraph;z-index:15798784" type="#_x0000_t202" id="docshape203"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825" w:hRule="atLeast"/>
                        </w:trPr>
                        <w:tc>
                          <w:tcPr>
                            <w:tcW w:w="3456" w:type="dxa"/>
                          </w:tcPr>
                          <w:p>
                            <w:pPr>
                              <w:pStyle w:val="TableParagraph"/>
                              <w:spacing w:line="285" w:lineRule="auto" w:before="46"/>
                              <w:ind w:left="153" w:right="137"/>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que</w:t>
                            </w:r>
                            <w:r>
                              <w:rPr>
                                <w:rFonts w:ascii="Arial MT" w:hAnsi="Arial MT"/>
                                <w:color w:val="231F1F"/>
                                <w:spacing w:val="-9"/>
                                <w:sz w:val="14"/>
                              </w:rPr>
                              <w:t> </w:t>
                            </w:r>
                            <w:r>
                              <w:rPr>
                                <w:rFonts w:ascii="Arial MT" w:hAnsi="Arial MT"/>
                                <w:color w:val="231F1F"/>
                                <w:sz w:val="14"/>
                              </w:rPr>
                              <w:t>utilizan</w:t>
                            </w:r>
                            <w:r>
                              <w:rPr>
                                <w:rFonts w:ascii="Arial MT" w:hAnsi="Arial MT"/>
                                <w:color w:val="231F1F"/>
                                <w:spacing w:val="-10"/>
                                <w:sz w:val="14"/>
                              </w:rPr>
                              <w:t> </w:t>
                            </w:r>
                            <w:r>
                              <w:rPr>
                                <w:rFonts w:ascii="Arial MT" w:hAnsi="Arial MT"/>
                                <w:color w:val="231F1F"/>
                                <w:sz w:val="14"/>
                              </w:rPr>
                              <w:t>alguna</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los</w:t>
                            </w:r>
                            <w:r>
                              <w:rPr>
                                <w:rFonts w:ascii="Arial MT" w:hAnsi="Arial MT"/>
                                <w:color w:val="231F1F"/>
                                <w:spacing w:val="-9"/>
                                <w:sz w:val="14"/>
                              </w:rPr>
                              <w:t> </w:t>
                            </w:r>
                            <w:r>
                              <w:rPr>
                                <w:rFonts w:ascii="Arial MT" w:hAnsi="Arial MT"/>
                                <w:color w:val="231F1F"/>
                                <w:sz w:val="14"/>
                              </w:rPr>
                              <w:t>métodos</w:t>
                            </w:r>
                            <w:r>
                              <w:rPr>
                                <w:rFonts w:ascii="Arial MT" w:hAnsi="Arial MT"/>
                                <w:color w:val="231F1F"/>
                                <w:spacing w:val="40"/>
                                <w:sz w:val="14"/>
                              </w:rPr>
                              <w:t> </w:t>
                            </w:r>
                            <w:r>
                              <w:rPr>
                                <w:rFonts w:ascii="Arial MT" w:hAnsi="Arial MT"/>
                                <w:color w:val="231F1F"/>
                                <w:sz w:val="14"/>
                              </w:rPr>
                              <w:t>de analgesia no farmacológica</w:t>
                            </w:r>
                          </w:p>
                          <w:p>
                            <w:pPr>
                              <w:pStyle w:val="TableParagraph"/>
                              <w:spacing w:before="1"/>
                              <w:ind w:left="10"/>
                              <w:jc w:val="center"/>
                              <w:rPr>
                                <w:rFonts w:ascii="Arial MT" w:hAnsi="Arial MT"/>
                                <w:sz w:val="14"/>
                              </w:rPr>
                            </w:pPr>
                            <w:r>
                              <w:rPr>
                                <w:rFonts w:ascii="Arial MT" w:hAnsi="Arial MT"/>
                                <w:color w:val="231F1F"/>
                                <w:sz w:val="14"/>
                              </w:rPr>
                              <w:t>n.º</w:t>
                            </w:r>
                            <w:r>
                              <w:rPr>
                                <w:rFonts w:ascii="Arial MT" w:hAnsi="Arial MT"/>
                                <w:color w:val="231F1F"/>
                                <w:spacing w:val="-6"/>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3"/>
                                <w:sz w:val="14"/>
                              </w:rPr>
                              <w:t> </w:t>
                            </w:r>
                            <w:r>
                              <w:rPr>
                                <w:rFonts w:ascii="Arial MT" w:hAnsi="Arial MT"/>
                                <w:color w:val="231F1F"/>
                                <w:sz w:val="14"/>
                              </w:rPr>
                              <w:t>mujeres</w:t>
                            </w:r>
                            <w:r>
                              <w:rPr>
                                <w:rFonts w:ascii="Arial MT" w:hAnsi="Arial MT"/>
                                <w:color w:val="231F1F"/>
                                <w:spacing w:val="-4"/>
                                <w:sz w:val="14"/>
                              </w:rPr>
                              <w:t> </w:t>
                            </w:r>
                            <w:r>
                              <w:rPr>
                                <w:rFonts w:ascii="Arial MT" w:hAnsi="Arial MT"/>
                                <w:color w:val="231F1F"/>
                                <w:sz w:val="14"/>
                              </w:rPr>
                              <w:t>pvsc</w:t>
                            </w:r>
                            <w:r>
                              <w:rPr>
                                <w:rFonts w:ascii="Arial MT" w:hAnsi="Arial MT"/>
                                <w:color w:val="231F1F"/>
                                <w:spacing w:val="-4"/>
                                <w:sz w:val="14"/>
                              </w:rPr>
                              <w:t> </w:t>
                            </w:r>
                            <w:r>
                              <w:rPr>
                                <w:rFonts w:ascii="Arial MT" w:hAnsi="Arial MT"/>
                                <w:color w:val="231F1F"/>
                                <w:sz w:val="14"/>
                              </w:rPr>
                              <w:t>a</w:t>
                            </w:r>
                            <w:r>
                              <w:rPr>
                                <w:rFonts w:ascii="Arial MT" w:hAnsi="Arial MT"/>
                                <w:color w:val="231F1F"/>
                                <w:spacing w:val="-5"/>
                                <w:sz w:val="14"/>
                              </w:rPr>
                              <w:t> </w:t>
                            </w:r>
                            <w:r>
                              <w:rPr>
                                <w:rFonts w:ascii="Arial MT" w:hAnsi="Arial MT"/>
                                <w:color w:val="231F1F"/>
                                <w:sz w:val="14"/>
                              </w:rPr>
                              <w:t>las</w:t>
                            </w:r>
                            <w:r>
                              <w:rPr>
                                <w:rFonts w:ascii="Arial MT" w:hAnsi="Arial MT"/>
                                <w:color w:val="231F1F"/>
                                <w:spacing w:val="-4"/>
                                <w:sz w:val="14"/>
                              </w:rPr>
                              <w:t> </w:t>
                            </w:r>
                            <w:r>
                              <w:rPr>
                                <w:rFonts w:ascii="Arial MT" w:hAnsi="Arial MT"/>
                                <w:color w:val="231F1F"/>
                                <w:sz w:val="14"/>
                              </w:rPr>
                              <w:t>que</w:t>
                            </w:r>
                            <w:r>
                              <w:rPr>
                                <w:rFonts w:ascii="Arial MT" w:hAnsi="Arial MT"/>
                                <w:color w:val="231F1F"/>
                                <w:spacing w:val="-3"/>
                                <w:sz w:val="14"/>
                              </w:rPr>
                              <w:t> </w:t>
                            </w:r>
                            <w:r>
                              <w:rPr>
                                <w:rFonts w:ascii="Arial MT" w:hAnsi="Arial MT"/>
                                <w:color w:val="231F1F"/>
                                <w:sz w:val="14"/>
                              </w:rPr>
                              <w:t>se</w:t>
                            </w:r>
                            <w:r>
                              <w:rPr>
                                <w:rFonts w:ascii="Arial MT" w:hAnsi="Arial MT"/>
                                <w:color w:val="231F1F"/>
                                <w:spacing w:val="-4"/>
                                <w:sz w:val="14"/>
                              </w:rPr>
                              <w:t> </w:t>
                            </w:r>
                            <w:r>
                              <w:rPr>
                                <w:rFonts w:ascii="Arial MT" w:hAnsi="Arial MT"/>
                                <w:color w:val="231F1F"/>
                                <w:sz w:val="14"/>
                              </w:rPr>
                              <w:t>les</w:t>
                            </w:r>
                            <w:r>
                              <w:rPr>
                                <w:rFonts w:ascii="Arial MT" w:hAnsi="Arial MT"/>
                                <w:color w:val="231F1F"/>
                                <w:spacing w:val="-4"/>
                                <w:sz w:val="14"/>
                              </w:rPr>
                              <w:t> </w:t>
                            </w:r>
                            <w:r>
                              <w:rPr>
                                <w:rFonts w:ascii="Arial MT" w:hAnsi="Arial MT"/>
                                <w:color w:val="231F1F"/>
                                <w:spacing w:val="-5"/>
                                <w:sz w:val="14"/>
                              </w:rPr>
                              <w:t>ha</w:t>
                            </w:r>
                          </w:p>
                          <w:p>
                            <w:pPr>
                              <w:pStyle w:val="TableParagraph"/>
                              <w:spacing w:before="31"/>
                              <w:ind w:left="14"/>
                              <w:jc w:val="center"/>
                              <w:rPr>
                                <w:rFonts w:ascii="Arial MT" w:hAnsi="Arial MT"/>
                                <w:sz w:val="14"/>
                              </w:rPr>
                            </w:pPr>
                            <w:r>
                              <w:rPr>
                                <w:rFonts w:ascii="Arial MT" w:hAnsi="Arial MT"/>
                                <w:color w:val="231F1F"/>
                                <w:sz w:val="14"/>
                              </w:rPr>
                              <w:t>ofertado</w:t>
                            </w:r>
                            <w:r>
                              <w:rPr>
                                <w:rFonts w:ascii="Arial MT" w:hAnsi="Arial MT"/>
                                <w:color w:val="231F1F"/>
                                <w:spacing w:val="-6"/>
                                <w:sz w:val="14"/>
                              </w:rPr>
                              <w:t> </w:t>
                            </w:r>
                            <w:r>
                              <w:rPr>
                                <w:rFonts w:ascii="Arial MT" w:hAnsi="Arial MT"/>
                                <w:color w:val="231F1F"/>
                                <w:sz w:val="14"/>
                              </w:rPr>
                              <w:t>métodos</w:t>
                            </w:r>
                            <w:r>
                              <w:rPr>
                                <w:rFonts w:ascii="Arial MT" w:hAnsi="Arial MT"/>
                                <w:color w:val="231F1F"/>
                                <w:spacing w:val="-6"/>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analgesia</w:t>
                            </w:r>
                            <w:r>
                              <w:rPr>
                                <w:rFonts w:ascii="Arial MT" w:hAnsi="Arial MT"/>
                                <w:color w:val="231F1F"/>
                                <w:spacing w:val="-6"/>
                                <w:sz w:val="14"/>
                              </w:rPr>
                              <w:t> </w:t>
                            </w:r>
                            <w:r>
                              <w:rPr>
                                <w:rFonts w:ascii="Arial MT" w:hAnsi="Arial MT"/>
                                <w:color w:val="231F1F"/>
                                <w:sz w:val="14"/>
                              </w:rPr>
                              <w:t>no</w:t>
                            </w:r>
                            <w:r>
                              <w:rPr>
                                <w:rFonts w:ascii="Arial MT" w:hAnsi="Arial MT"/>
                                <w:color w:val="231F1F"/>
                                <w:spacing w:val="-5"/>
                                <w:sz w:val="14"/>
                              </w:rPr>
                              <w:t> </w:t>
                            </w:r>
                            <w:r>
                              <w:rPr>
                                <w:rFonts w:ascii="Arial MT" w:hAnsi="Arial MT"/>
                                <w:color w:val="231F1F"/>
                                <w:spacing w:val="-2"/>
                                <w:sz w:val="14"/>
                              </w:rPr>
                              <w:t>farmacológica</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3512820</wp:posOffset>
                </wp:positionH>
                <wp:positionV relativeFrom="paragraph">
                  <wp:posOffset>-1789547</wp:posOffset>
                </wp:positionV>
                <wp:extent cx="2277110" cy="66738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277110" cy="667385"/>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1031" w:hRule="atLeast"/>
                              </w:trPr>
                              <w:tc>
                                <w:tcPr>
                                  <w:tcW w:w="3456" w:type="dxa"/>
                                </w:tcPr>
                                <w:p>
                                  <w:pPr>
                                    <w:pStyle w:val="TableParagraph"/>
                                    <w:spacing w:line="285" w:lineRule="auto" w:before="51"/>
                                    <w:ind w:left="153" w:right="137"/>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que</w:t>
                                  </w:r>
                                  <w:r>
                                    <w:rPr>
                                      <w:rFonts w:ascii="Arial MT" w:hAnsi="Arial MT"/>
                                      <w:color w:val="231F1F"/>
                                      <w:spacing w:val="-9"/>
                                      <w:sz w:val="14"/>
                                    </w:rPr>
                                    <w:t> </w:t>
                                  </w:r>
                                  <w:r>
                                    <w:rPr>
                                      <w:rFonts w:ascii="Arial MT" w:hAnsi="Arial MT"/>
                                      <w:color w:val="231F1F"/>
                                      <w:sz w:val="14"/>
                                    </w:rPr>
                                    <w:t>utilizan</w:t>
                                  </w:r>
                                  <w:r>
                                    <w:rPr>
                                      <w:rFonts w:ascii="Arial MT" w:hAnsi="Arial MT"/>
                                      <w:color w:val="231F1F"/>
                                      <w:spacing w:val="-10"/>
                                      <w:sz w:val="14"/>
                                    </w:rPr>
                                    <w:t> </w:t>
                                  </w:r>
                                  <w:r>
                                    <w:rPr>
                                      <w:rFonts w:ascii="Arial MT" w:hAnsi="Arial MT"/>
                                      <w:color w:val="231F1F"/>
                                      <w:sz w:val="14"/>
                                    </w:rPr>
                                    <w:t>alguna</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los</w:t>
                                  </w:r>
                                  <w:r>
                                    <w:rPr>
                                      <w:rFonts w:ascii="Arial MT" w:hAnsi="Arial MT"/>
                                      <w:color w:val="231F1F"/>
                                      <w:spacing w:val="-9"/>
                                      <w:sz w:val="14"/>
                                    </w:rPr>
                                    <w:t> </w:t>
                                  </w:r>
                                  <w:r>
                                    <w:rPr>
                                      <w:rFonts w:ascii="Arial MT" w:hAnsi="Arial MT"/>
                                      <w:color w:val="231F1F"/>
                                      <w:sz w:val="14"/>
                                    </w:rPr>
                                    <w:t>métodos</w:t>
                                  </w:r>
                                  <w:r>
                                    <w:rPr>
                                      <w:rFonts w:ascii="Arial MT" w:hAnsi="Arial MT"/>
                                      <w:color w:val="231F1F"/>
                                      <w:spacing w:val="40"/>
                                      <w:sz w:val="14"/>
                                    </w:rPr>
                                    <w:t> </w:t>
                                  </w:r>
                                  <w:r>
                                    <w:rPr>
                                      <w:rFonts w:ascii="Arial MT" w:hAnsi="Arial MT"/>
                                      <w:color w:val="231F1F"/>
                                      <w:sz w:val="14"/>
                                    </w:rPr>
                                    <w:t>de analgesia farmacológica (no neuroaxial)</w:t>
                                  </w:r>
                                </w:p>
                                <w:p>
                                  <w:pPr>
                                    <w:pStyle w:val="TableParagraph"/>
                                    <w:spacing w:line="285" w:lineRule="auto"/>
                                    <w:ind w:left="276" w:right="259"/>
                                    <w:jc w:val="center"/>
                                    <w:rPr>
                                      <w:rFonts w:ascii="Arial MT" w:hAnsi="Arial MT"/>
                                      <w:sz w:val="14"/>
                                    </w:rPr>
                                  </w:pPr>
                                  <w:r>
                                    <w:rPr>
                                      <w:rFonts w:ascii="Arial MT" w:hAnsi="Arial MT"/>
                                      <w:color w:val="231F1F"/>
                                      <w:sz w:val="14"/>
                                    </w:rPr>
                                    <w:t>n.º total de mujeres pvsc a las que se les ha</w:t>
                                  </w:r>
                                  <w:r>
                                    <w:rPr>
                                      <w:rFonts w:ascii="Arial MT" w:hAnsi="Arial MT"/>
                                      <w:color w:val="231F1F"/>
                                      <w:spacing w:val="40"/>
                                      <w:sz w:val="14"/>
                                    </w:rPr>
                                    <w:t> </w:t>
                                  </w:r>
                                  <w:r>
                                    <w:rPr>
                                      <w:rFonts w:ascii="Arial MT" w:hAnsi="Arial MT"/>
                                      <w:color w:val="231F1F"/>
                                      <w:spacing w:val="-2"/>
                                      <w:sz w:val="14"/>
                                    </w:rPr>
                                    <w:t>ofertado métodos de analgesia farmacológica</w:t>
                                  </w:r>
                                  <w:r>
                                    <w:rPr>
                                      <w:rFonts w:ascii="Arial MT" w:hAnsi="Arial MT"/>
                                      <w:color w:val="231F1F"/>
                                      <w:spacing w:val="40"/>
                                      <w:sz w:val="14"/>
                                    </w:rPr>
                                    <w:t> </w:t>
                                  </w:r>
                                  <w:r>
                                    <w:rPr>
                                      <w:rFonts w:ascii="Arial MT" w:hAnsi="Arial MT"/>
                                      <w:color w:val="231F1F"/>
                                      <w:sz w:val="14"/>
                                    </w:rPr>
                                    <w:t>(no</w:t>
                                  </w:r>
                                  <w:r>
                                    <w:rPr>
                                      <w:rFonts w:ascii="Arial MT" w:hAnsi="Arial MT"/>
                                      <w:color w:val="231F1F"/>
                                      <w:spacing w:val="-10"/>
                                      <w:sz w:val="14"/>
                                    </w:rPr>
                                    <w:t> </w:t>
                                  </w:r>
                                  <w:r>
                                    <w:rPr>
                                      <w:rFonts w:ascii="Arial MT" w:hAnsi="Arial MT"/>
                                      <w:color w:val="231F1F"/>
                                      <w:sz w:val="14"/>
                                    </w:rPr>
                                    <w:t>neuroaxial)</w:t>
                                  </w:r>
                                </w:p>
                              </w:tc>
                            </w:tr>
                          </w:tbl>
                          <w:p>
                            <w:pPr>
                              <w:pStyle w:val="BodyText"/>
                            </w:pPr>
                          </w:p>
                        </w:txbxContent>
                      </wps:txbx>
                      <wps:bodyPr wrap="square" lIns="0" tIns="0" rIns="0" bIns="0" rtlCol="0">
                        <a:noAutofit/>
                      </wps:bodyPr>
                    </wps:wsp>
                  </a:graphicData>
                </a:graphic>
              </wp:anchor>
            </w:drawing>
          </mc:Choice>
          <mc:Fallback>
            <w:pict>
              <v:shape style="position:absolute;margin-left:276.600006pt;margin-top:-140.909225pt;width:179.3pt;height:52.55pt;mso-position-horizontal-relative:page;mso-position-vertical-relative:paragraph;z-index:15799296" type="#_x0000_t202" id="docshape204"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1031" w:hRule="atLeast"/>
                        </w:trPr>
                        <w:tc>
                          <w:tcPr>
                            <w:tcW w:w="3456" w:type="dxa"/>
                          </w:tcPr>
                          <w:p>
                            <w:pPr>
                              <w:pStyle w:val="TableParagraph"/>
                              <w:spacing w:line="285" w:lineRule="auto" w:before="51"/>
                              <w:ind w:left="153" w:right="137"/>
                              <w:jc w:val="center"/>
                              <w:rPr>
                                <w:rFonts w:ascii="Arial MT" w:hAnsi="Arial MT"/>
                                <w:sz w:val="14"/>
                              </w:rPr>
                            </w:pPr>
                            <w:r>
                              <w:rPr>
                                <w:rFonts w:ascii="Arial MT" w:hAnsi="Arial MT"/>
                                <w:color w:val="231F1F"/>
                                <w:sz w:val="14"/>
                              </w:rPr>
                              <w:t>N.º</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mujeres</w:t>
                            </w:r>
                            <w:r>
                              <w:rPr>
                                <w:rFonts w:ascii="Arial MT" w:hAnsi="Arial MT"/>
                                <w:color w:val="231F1F"/>
                                <w:spacing w:val="-10"/>
                                <w:sz w:val="14"/>
                              </w:rPr>
                              <w:t> </w:t>
                            </w:r>
                            <w:r>
                              <w:rPr>
                                <w:rFonts w:ascii="Arial MT" w:hAnsi="Arial MT"/>
                                <w:color w:val="231F1F"/>
                                <w:sz w:val="14"/>
                              </w:rPr>
                              <w:t>que</w:t>
                            </w:r>
                            <w:r>
                              <w:rPr>
                                <w:rFonts w:ascii="Arial MT" w:hAnsi="Arial MT"/>
                                <w:color w:val="231F1F"/>
                                <w:spacing w:val="-9"/>
                                <w:sz w:val="14"/>
                              </w:rPr>
                              <w:t> </w:t>
                            </w:r>
                            <w:r>
                              <w:rPr>
                                <w:rFonts w:ascii="Arial MT" w:hAnsi="Arial MT"/>
                                <w:color w:val="231F1F"/>
                                <w:sz w:val="14"/>
                              </w:rPr>
                              <w:t>utilizan</w:t>
                            </w:r>
                            <w:r>
                              <w:rPr>
                                <w:rFonts w:ascii="Arial MT" w:hAnsi="Arial MT"/>
                                <w:color w:val="231F1F"/>
                                <w:spacing w:val="-10"/>
                                <w:sz w:val="14"/>
                              </w:rPr>
                              <w:t> </w:t>
                            </w:r>
                            <w:r>
                              <w:rPr>
                                <w:rFonts w:ascii="Arial MT" w:hAnsi="Arial MT"/>
                                <w:color w:val="231F1F"/>
                                <w:sz w:val="14"/>
                              </w:rPr>
                              <w:t>alguna</w:t>
                            </w:r>
                            <w:r>
                              <w:rPr>
                                <w:rFonts w:ascii="Arial MT" w:hAnsi="Arial MT"/>
                                <w:color w:val="231F1F"/>
                                <w:spacing w:val="-10"/>
                                <w:sz w:val="14"/>
                              </w:rPr>
                              <w:t> </w:t>
                            </w:r>
                            <w:r>
                              <w:rPr>
                                <w:rFonts w:ascii="Arial MT" w:hAnsi="Arial MT"/>
                                <w:color w:val="231F1F"/>
                                <w:sz w:val="14"/>
                              </w:rPr>
                              <w:t>de</w:t>
                            </w:r>
                            <w:r>
                              <w:rPr>
                                <w:rFonts w:ascii="Arial MT" w:hAnsi="Arial MT"/>
                                <w:color w:val="231F1F"/>
                                <w:spacing w:val="-10"/>
                                <w:sz w:val="14"/>
                              </w:rPr>
                              <w:t> </w:t>
                            </w:r>
                            <w:r>
                              <w:rPr>
                                <w:rFonts w:ascii="Arial MT" w:hAnsi="Arial MT"/>
                                <w:color w:val="231F1F"/>
                                <w:sz w:val="14"/>
                              </w:rPr>
                              <w:t>los</w:t>
                            </w:r>
                            <w:r>
                              <w:rPr>
                                <w:rFonts w:ascii="Arial MT" w:hAnsi="Arial MT"/>
                                <w:color w:val="231F1F"/>
                                <w:spacing w:val="-9"/>
                                <w:sz w:val="14"/>
                              </w:rPr>
                              <w:t> </w:t>
                            </w:r>
                            <w:r>
                              <w:rPr>
                                <w:rFonts w:ascii="Arial MT" w:hAnsi="Arial MT"/>
                                <w:color w:val="231F1F"/>
                                <w:sz w:val="14"/>
                              </w:rPr>
                              <w:t>métodos</w:t>
                            </w:r>
                            <w:r>
                              <w:rPr>
                                <w:rFonts w:ascii="Arial MT" w:hAnsi="Arial MT"/>
                                <w:color w:val="231F1F"/>
                                <w:spacing w:val="40"/>
                                <w:sz w:val="14"/>
                              </w:rPr>
                              <w:t> </w:t>
                            </w:r>
                            <w:r>
                              <w:rPr>
                                <w:rFonts w:ascii="Arial MT" w:hAnsi="Arial MT"/>
                                <w:color w:val="231F1F"/>
                                <w:sz w:val="14"/>
                              </w:rPr>
                              <w:t>de analgesia farmacológica (no neuroaxial)</w:t>
                            </w:r>
                          </w:p>
                          <w:p>
                            <w:pPr>
                              <w:pStyle w:val="TableParagraph"/>
                              <w:spacing w:line="285" w:lineRule="auto"/>
                              <w:ind w:left="276" w:right="259"/>
                              <w:jc w:val="center"/>
                              <w:rPr>
                                <w:rFonts w:ascii="Arial MT" w:hAnsi="Arial MT"/>
                                <w:sz w:val="14"/>
                              </w:rPr>
                            </w:pPr>
                            <w:r>
                              <w:rPr>
                                <w:rFonts w:ascii="Arial MT" w:hAnsi="Arial MT"/>
                                <w:color w:val="231F1F"/>
                                <w:sz w:val="14"/>
                              </w:rPr>
                              <w:t>n.º total de mujeres pvsc a las que se les ha</w:t>
                            </w:r>
                            <w:r>
                              <w:rPr>
                                <w:rFonts w:ascii="Arial MT" w:hAnsi="Arial MT"/>
                                <w:color w:val="231F1F"/>
                                <w:spacing w:val="40"/>
                                <w:sz w:val="14"/>
                              </w:rPr>
                              <w:t> </w:t>
                            </w:r>
                            <w:r>
                              <w:rPr>
                                <w:rFonts w:ascii="Arial MT" w:hAnsi="Arial MT"/>
                                <w:color w:val="231F1F"/>
                                <w:spacing w:val="-2"/>
                                <w:sz w:val="14"/>
                              </w:rPr>
                              <w:t>ofertado métodos de analgesia farmacológica</w:t>
                            </w:r>
                            <w:r>
                              <w:rPr>
                                <w:rFonts w:ascii="Arial MT" w:hAnsi="Arial MT"/>
                                <w:color w:val="231F1F"/>
                                <w:spacing w:val="40"/>
                                <w:sz w:val="14"/>
                              </w:rPr>
                              <w:t> </w:t>
                            </w:r>
                            <w:r>
                              <w:rPr>
                                <w:rFonts w:ascii="Arial MT" w:hAnsi="Arial MT"/>
                                <w:color w:val="231F1F"/>
                                <w:sz w:val="14"/>
                              </w:rPr>
                              <w:t>(no</w:t>
                            </w:r>
                            <w:r>
                              <w:rPr>
                                <w:rFonts w:ascii="Arial MT" w:hAnsi="Arial MT"/>
                                <w:color w:val="231F1F"/>
                                <w:spacing w:val="-10"/>
                                <w:sz w:val="14"/>
                              </w:rPr>
                              <w:t> </w:t>
                            </w:r>
                            <w:r>
                              <w:rPr>
                                <w:rFonts w:ascii="Arial MT" w:hAnsi="Arial MT"/>
                                <w:color w:val="231F1F"/>
                                <w:sz w:val="14"/>
                              </w:rPr>
                              <w:t>neuroaxial)</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3512820</wp:posOffset>
                </wp:positionH>
                <wp:positionV relativeFrom="paragraph">
                  <wp:posOffset>-1058027</wp:posOffset>
                </wp:positionV>
                <wp:extent cx="2277110" cy="41465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277110" cy="414655"/>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33" w:hRule="atLeast"/>
                              </w:trPr>
                              <w:tc>
                                <w:tcPr>
                                  <w:tcW w:w="3456" w:type="dxa"/>
                                </w:tcPr>
                                <w:p>
                                  <w:pPr>
                                    <w:pStyle w:val="TableParagraph"/>
                                    <w:spacing w:line="285" w:lineRule="auto" w:before="46"/>
                                    <w:ind w:left="153" w:right="139"/>
                                    <w:jc w:val="center"/>
                                    <w:rPr>
                                      <w:rFonts w:ascii="Arial MT" w:hAnsi="Arial MT"/>
                                      <w:sz w:val="14"/>
                                    </w:rPr>
                                  </w:pPr>
                                  <w:r>
                                    <w:rPr>
                                      <w:rFonts w:ascii="Arial MT" w:hAnsi="Arial MT"/>
                                      <w:color w:val="231F1F"/>
                                      <w:spacing w:val="-2"/>
                                      <w:sz w:val="14"/>
                                    </w:rPr>
                                    <w:t>N.º de mujeres informadas sobre riesgos/beneficios</w:t>
                                  </w:r>
                                  <w:r>
                                    <w:rPr>
                                      <w:rFonts w:ascii="Arial MT" w:hAnsi="Arial MT"/>
                                      <w:color w:val="231F1F"/>
                                      <w:spacing w:val="40"/>
                                      <w:sz w:val="14"/>
                                    </w:rPr>
                                    <w:t> </w:t>
                                  </w:r>
                                  <w:r>
                                    <w:rPr>
                                      <w:rFonts w:ascii="Arial MT" w:hAnsi="Arial MT"/>
                                      <w:color w:val="231F1F"/>
                                      <w:sz w:val="14"/>
                                    </w:rPr>
                                    <w:t>de la analgesia neuroaxial</w:t>
                                  </w:r>
                                </w:p>
                                <w:p>
                                  <w:pPr>
                                    <w:pStyle w:val="TableParagraph"/>
                                    <w:spacing w:before="1"/>
                                    <w:ind w:left="461" w:right="443"/>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wps:txbx>
                      <wps:bodyPr wrap="square" lIns="0" tIns="0" rIns="0" bIns="0" rtlCol="0">
                        <a:noAutofit/>
                      </wps:bodyPr>
                    </wps:wsp>
                  </a:graphicData>
                </a:graphic>
              </wp:anchor>
            </w:drawing>
          </mc:Choice>
          <mc:Fallback>
            <w:pict>
              <v:shape style="position:absolute;margin-left:276.600006pt;margin-top:-83.309219pt;width:179.3pt;height:32.65pt;mso-position-horizontal-relative:page;mso-position-vertical-relative:paragraph;z-index:15799808" type="#_x0000_t202" id="docshape205"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33" w:hRule="atLeast"/>
                        </w:trPr>
                        <w:tc>
                          <w:tcPr>
                            <w:tcW w:w="3456" w:type="dxa"/>
                          </w:tcPr>
                          <w:p>
                            <w:pPr>
                              <w:pStyle w:val="TableParagraph"/>
                              <w:spacing w:line="285" w:lineRule="auto" w:before="46"/>
                              <w:ind w:left="153" w:right="139"/>
                              <w:jc w:val="center"/>
                              <w:rPr>
                                <w:rFonts w:ascii="Arial MT" w:hAnsi="Arial MT"/>
                                <w:sz w:val="14"/>
                              </w:rPr>
                            </w:pPr>
                            <w:r>
                              <w:rPr>
                                <w:rFonts w:ascii="Arial MT" w:hAnsi="Arial MT"/>
                                <w:color w:val="231F1F"/>
                                <w:spacing w:val="-2"/>
                                <w:sz w:val="14"/>
                              </w:rPr>
                              <w:t>N.º de mujeres informadas sobre riesgos/beneficios</w:t>
                            </w:r>
                            <w:r>
                              <w:rPr>
                                <w:rFonts w:ascii="Arial MT" w:hAnsi="Arial MT"/>
                                <w:color w:val="231F1F"/>
                                <w:spacing w:val="40"/>
                                <w:sz w:val="14"/>
                              </w:rPr>
                              <w:t> </w:t>
                            </w:r>
                            <w:r>
                              <w:rPr>
                                <w:rFonts w:ascii="Arial MT" w:hAnsi="Arial MT"/>
                                <w:color w:val="231F1F"/>
                                <w:sz w:val="14"/>
                              </w:rPr>
                              <w:t>de la analgesia neuroaxial</w:t>
                            </w:r>
                          </w:p>
                          <w:p>
                            <w:pPr>
                              <w:pStyle w:val="TableParagraph"/>
                              <w:spacing w:before="1"/>
                              <w:ind w:left="461" w:right="443"/>
                              <w:jc w:val="center"/>
                              <w:rPr>
                                <w:rFonts w:ascii="Arial MT" w:hAnsi="Arial MT"/>
                                <w:sz w:val="14"/>
                              </w:rPr>
                            </w:pPr>
                            <w:r>
                              <w:rPr>
                                <w:rFonts w:ascii="Arial MT" w:hAnsi="Arial MT"/>
                                <w:color w:val="231F1F"/>
                                <w:sz w:val="14"/>
                              </w:rPr>
                              <w:t>n.º</w:t>
                            </w:r>
                            <w:r>
                              <w:rPr>
                                <w:rFonts w:ascii="Arial MT" w:hAnsi="Arial MT"/>
                                <w:color w:val="231F1F"/>
                                <w:spacing w:val="-5"/>
                                <w:sz w:val="14"/>
                              </w:rPr>
                              <w:t> </w:t>
                            </w:r>
                            <w:r>
                              <w:rPr>
                                <w:rFonts w:ascii="Arial MT" w:hAnsi="Arial MT"/>
                                <w:color w:val="231F1F"/>
                                <w:sz w:val="14"/>
                              </w:rPr>
                              <w:t>total</w:t>
                            </w:r>
                            <w:r>
                              <w:rPr>
                                <w:rFonts w:ascii="Arial MT" w:hAnsi="Arial MT"/>
                                <w:color w:val="231F1F"/>
                                <w:spacing w:val="-4"/>
                                <w:sz w:val="14"/>
                              </w:rPr>
                              <w:t> </w:t>
                            </w:r>
                            <w:r>
                              <w:rPr>
                                <w:rFonts w:ascii="Arial MT" w:hAnsi="Arial MT"/>
                                <w:color w:val="231F1F"/>
                                <w:sz w:val="14"/>
                              </w:rPr>
                              <w:t>de</w:t>
                            </w:r>
                            <w:r>
                              <w:rPr>
                                <w:rFonts w:ascii="Arial MT" w:hAnsi="Arial MT"/>
                                <w:color w:val="231F1F"/>
                                <w:spacing w:val="-5"/>
                                <w:sz w:val="14"/>
                              </w:rPr>
                              <w:t> </w:t>
                            </w:r>
                            <w:r>
                              <w:rPr>
                                <w:rFonts w:ascii="Arial MT" w:hAnsi="Arial MT"/>
                                <w:color w:val="231F1F"/>
                                <w:sz w:val="14"/>
                              </w:rPr>
                              <w:t>mujeres</w:t>
                            </w:r>
                            <w:r>
                              <w:rPr>
                                <w:rFonts w:ascii="Arial MT" w:hAnsi="Arial MT"/>
                                <w:color w:val="231F1F"/>
                                <w:spacing w:val="-2"/>
                                <w:sz w:val="14"/>
                              </w:rPr>
                              <w:t> </w:t>
                            </w:r>
                            <w:r>
                              <w:rPr>
                                <w:rFonts w:ascii="Arial MT" w:hAnsi="Arial MT"/>
                                <w:color w:val="231F1F"/>
                                <w:spacing w:val="-4"/>
                                <w:sz w:val="14"/>
                              </w:rPr>
                              <w:t>pvsc</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3512820</wp:posOffset>
                </wp:positionH>
                <wp:positionV relativeFrom="paragraph">
                  <wp:posOffset>-576443</wp:posOffset>
                </wp:positionV>
                <wp:extent cx="2277110" cy="41465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277110" cy="414655"/>
                        </a:xfrm>
                        <a:prstGeom prst="rect">
                          <a:avLst/>
                        </a:prstGeom>
                      </wps:spPr>
                      <wps:txbx>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33" w:hRule="atLeast"/>
                              </w:trPr>
                              <w:tc>
                                <w:tcPr>
                                  <w:tcW w:w="3456" w:type="dxa"/>
                                </w:tcPr>
                                <w:p>
                                  <w:pPr>
                                    <w:pStyle w:val="TableParagraph"/>
                                    <w:spacing w:line="292" w:lineRule="auto" w:before="46"/>
                                    <w:ind w:left="1406" w:right="176" w:hanging="1140"/>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4"/>
                                      <w:sz w:val="14"/>
                                    </w:rPr>
                                    <w:t> </w:t>
                                  </w:r>
                                  <w:r>
                                    <w:rPr>
                                      <w:rFonts w:ascii="Arial MT" w:hAnsi="Arial MT"/>
                                      <w:color w:val="231F1F"/>
                                      <w:spacing w:val="-2"/>
                                      <w:sz w:val="14"/>
                                    </w:rPr>
                                    <w:t>parto vaginal</w:t>
                                  </w:r>
                                  <w:r>
                                    <w:rPr>
                                      <w:rFonts w:ascii="Arial MT" w:hAnsi="Arial MT"/>
                                      <w:color w:val="231F1F"/>
                                      <w:spacing w:val="-4"/>
                                      <w:sz w:val="14"/>
                                    </w:rPr>
                                    <w:t> </w:t>
                                  </w:r>
                                  <w:r>
                                    <w:rPr>
                                      <w:rFonts w:ascii="Arial MT" w:hAnsi="Arial MT"/>
                                      <w:color w:val="231F1F"/>
                                      <w:spacing w:val="-2"/>
                                      <w:sz w:val="14"/>
                                    </w:rPr>
                                    <w:t>instrumenta</w:t>
                                  </w:r>
                                  <w:r>
                                    <w:rPr>
                                      <w:rFonts w:ascii="Arial MT" w:hAnsi="Arial MT"/>
                                      <w:color w:val="231F1F"/>
                                      <w:spacing w:val="-4"/>
                                      <w:sz w:val="14"/>
                                    </w:rPr>
                                    <w:t> </w:t>
                                  </w:r>
                                  <w:r>
                                    <w:rPr>
                                      <w:rFonts w:ascii="Arial MT" w:hAnsi="Arial MT"/>
                                      <w:color w:val="231F1F"/>
                                      <w:spacing w:val="-2"/>
                                      <w:sz w:val="14"/>
                                    </w:rPr>
                                    <w:t>con analgesia</w:t>
                                  </w:r>
                                  <w:r>
                                    <w:rPr>
                                      <w:rFonts w:ascii="Arial MT" w:hAnsi="Arial MT"/>
                                      <w:color w:val="231F1F"/>
                                      <w:spacing w:val="40"/>
                                      <w:sz w:val="14"/>
                                    </w:rPr>
                                    <w:t> </w:t>
                                  </w:r>
                                  <w:r>
                                    <w:rPr>
                                      <w:rFonts w:ascii="Arial MT" w:hAnsi="Arial MT"/>
                                      <w:color w:val="231F1F"/>
                                      <w:spacing w:val="-2"/>
                                      <w:sz w:val="14"/>
                                    </w:rPr>
                                    <w:t>neuroaxial</w:t>
                                  </w:r>
                                </w:p>
                                <w:p>
                                  <w:pPr>
                                    <w:pStyle w:val="TableParagraph"/>
                                    <w:spacing w:line="143" w:lineRule="exact"/>
                                    <w:ind w:left="329"/>
                                    <w:rPr>
                                      <w:rFonts w:ascii="Arial MT" w:hAnsi="Arial MT"/>
                                      <w:sz w:val="14"/>
                                    </w:rPr>
                                  </w:pPr>
                                  <w:r>
                                    <w:rPr>
                                      <w:rFonts w:ascii="Arial MT" w:hAnsi="Arial MT"/>
                                      <w:color w:val="231F1F"/>
                                      <w:sz w:val="14"/>
                                    </w:rPr>
                                    <w:t>n.º</w:t>
                                  </w:r>
                                  <w:r>
                                    <w:rPr>
                                      <w:rFonts w:ascii="Arial MT" w:hAnsi="Arial MT"/>
                                      <w:color w:val="231F1F"/>
                                      <w:spacing w:val="-8"/>
                                      <w:sz w:val="14"/>
                                    </w:rPr>
                                    <w:t> </w:t>
                                  </w:r>
                                  <w:r>
                                    <w:rPr>
                                      <w:rFonts w:ascii="Arial MT" w:hAnsi="Arial MT"/>
                                      <w:color w:val="231F1F"/>
                                      <w:sz w:val="14"/>
                                    </w:rPr>
                                    <w:t>total</w:t>
                                  </w:r>
                                  <w:r>
                                    <w:rPr>
                                      <w:rFonts w:ascii="Arial MT" w:hAnsi="Arial MT"/>
                                      <w:color w:val="231F1F"/>
                                      <w:spacing w:val="-6"/>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6"/>
                                      <w:sz w:val="14"/>
                                    </w:rPr>
                                    <w:t> </w:t>
                                  </w:r>
                                  <w:r>
                                    <w:rPr>
                                      <w:rFonts w:ascii="Arial MT" w:hAnsi="Arial MT"/>
                                      <w:color w:val="231F1F"/>
                                      <w:sz w:val="14"/>
                                    </w:rPr>
                                    <w:t>con</w:t>
                                  </w:r>
                                  <w:r>
                                    <w:rPr>
                                      <w:rFonts w:ascii="Arial MT" w:hAnsi="Arial MT"/>
                                      <w:color w:val="231F1F"/>
                                      <w:spacing w:val="-6"/>
                                      <w:sz w:val="14"/>
                                    </w:rPr>
                                    <w:t> </w:t>
                                  </w:r>
                                  <w:r>
                                    <w:rPr>
                                      <w:rFonts w:ascii="Arial MT" w:hAnsi="Arial MT"/>
                                      <w:color w:val="231F1F"/>
                                      <w:sz w:val="14"/>
                                    </w:rPr>
                                    <w:t>analgesia</w:t>
                                  </w:r>
                                  <w:r>
                                    <w:rPr>
                                      <w:rFonts w:ascii="Arial MT" w:hAnsi="Arial MT"/>
                                      <w:color w:val="231F1F"/>
                                      <w:spacing w:val="-8"/>
                                      <w:sz w:val="14"/>
                                    </w:rPr>
                                    <w:t> </w:t>
                                  </w:r>
                                  <w:r>
                                    <w:rPr>
                                      <w:rFonts w:ascii="Arial MT" w:hAnsi="Arial MT"/>
                                      <w:color w:val="231F1F"/>
                                      <w:spacing w:val="-2"/>
                                      <w:sz w:val="14"/>
                                    </w:rPr>
                                    <w:t>neuroaxial</w:t>
                                  </w:r>
                                </w:p>
                              </w:tc>
                            </w:tr>
                          </w:tbl>
                          <w:p>
                            <w:pPr>
                              <w:pStyle w:val="BodyText"/>
                            </w:pPr>
                          </w:p>
                        </w:txbxContent>
                      </wps:txbx>
                      <wps:bodyPr wrap="square" lIns="0" tIns="0" rIns="0" bIns="0" rtlCol="0">
                        <a:noAutofit/>
                      </wps:bodyPr>
                    </wps:wsp>
                  </a:graphicData>
                </a:graphic>
              </wp:anchor>
            </w:drawing>
          </mc:Choice>
          <mc:Fallback>
            <w:pict>
              <v:shape style="position:absolute;margin-left:276.600006pt;margin-top:-45.389217pt;width:179.3pt;height:32.65pt;mso-position-horizontal-relative:page;mso-position-vertical-relative:paragraph;z-index:15800320" type="#_x0000_t202" id="docshape206" filled="false" stroked="false">
                <v:textbox inset="0,0,0,0">
                  <w:txbxContent>
                    <w:tbl>
                      <w:tblPr>
                        <w:tblW w:w="0" w:type="auto"/>
                        <w:jc w:val="left"/>
                        <w:tblInd w:w="65"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top w:w="0" w:type="dxa"/>
                          <w:left w:w="0" w:type="dxa"/>
                          <w:bottom w:w="0" w:type="dxa"/>
                          <w:right w:w="0" w:type="dxa"/>
                        </w:tblCellMar>
                        <w:tblLook w:val="01E0"/>
                      </w:tblPr>
                      <w:tblGrid>
                        <w:gridCol w:w="3456"/>
                      </w:tblGrid>
                      <w:tr>
                        <w:trPr>
                          <w:trHeight w:val="633" w:hRule="atLeast"/>
                        </w:trPr>
                        <w:tc>
                          <w:tcPr>
                            <w:tcW w:w="3456" w:type="dxa"/>
                          </w:tcPr>
                          <w:p>
                            <w:pPr>
                              <w:pStyle w:val="TableParagraph"/>
                              <w:spacing w:line="292" w:lineRule="auto" w:before="46"/>
                              <w:ind w:left="1406" w:right="176" w:hanging="1140"/>
                              <w:rPr>
                                <w:rFonts w:ascii="Arial MT" w:hAnsi="Arial MT"/>
                                <w:sz w:val="14"/>
                              </w:rPr>
                            </w:pPr>
                            <w:r>
                              <w:rPr>
                                <w:rFonts w:ascii="Arial MT" w:hAnsi="Arial MT"/>
                                <w:color w:val="231F1F"/>
                                <w:spacing w:val="-2"/>
                                <w:sz w:val="14"/>
                              </w:rPr>
                              <w:t>N.º</w:t>
                            </w:r>
                            <w:r>
                              <w:rPr>
                                <w:rFonts w:ascii="Arial MT" w:hAnsi="Arial MT"/>
                                <w:color w:val="231F1F"/>
                                <w:spacing w:val="-4"/>
                                <w:sz w:val="14"/>
                              </w:rPr>
                              <w:t> </w:t>
                            </w:r>
                            <w:r>
                              <w:rPr>
                                <w:rFonts w:ascii="Arial MT" w:hAnsi="Arial MT"/>
                                <w:color w:val="231F1F"/>
                                <w:spacing w:val="-2"/>
                                <w:sz w:val="14"/>
                              </w:rPr>
                              <w:t>de</w:t>
                            </w:r>
                            <w:r>
                              <w:rPr>
                                <w:rFonts w:ascii="Arial MT" w:hAnsi="Arial MT"/>
                                <w:color w:val="231F1F"/>
                                <w:spacing w:val="-4"/>
                                <w:sz w:val="14"/>
                              </w:rPr>
                              <w:t> </w:t>
                            </w:r>
                            <w:r>
                              <w:rPr>
                                <w:rFonts w:ascii="Arial MT" w:hAnsi="Arial MT"/>
                                <w:color w:val="231F1F"/>
                                <w:spacing w:val="-2"/>
                                <w:sz w:val="14"/>
                              </w:rPr>
                              <w:t>parto vaginal</w:t>
                            </w:r>
                            <w:r>
                              <w:rPr>
                                <w:rFonts w:ascii="Arial MT" w:hAnsi="Arial MT"/>
                                <w:color w:val="231F1F"/>
                                <w:spacing w:val="-4"/>
                                <w:sz w:val="14"/>
                              </w:rPr>
                              <w:t> </w:t>
                            </w:r>
                            <w:r>
                              <w:rPr>
                                <w:rFonts w:ascii="Arial MT" w:hAnsi="Arial MT"/>
                                <w:color w:val="231F1F"/>
                                <w:spacing w:val="-2"/>
                                <w:sz w:val="14"/>
                              </w:rPr>
                              <w:t>instrumenta</w:t>
                            </w:r>
                            <w:r>
                              <w:rPr>
                                <w:rFonts w:ascii="Arial MT" w:hAnsi="Arial MT"/>
                                <w:color w:val="231F1F"/>
                                <w:spacing w:val="-4"/>
                                <w:sz w:val="14"/>
                              </w:rPr>
                              <w:t> </w:t>
                            </w:r>
                            <w:r>
                              <w:rPr>
                                <w:rFonts w:ascii="Arial MT" w:hAnsi="Arial MT"/>
                                <w:color w:val="231F1F"/>
                                <w:spacing w:val="-2"/>
                                <w:sz w:val="14"/>
                              </w:rPr>
                              <w:t>con analgesia</w:t>
                            </w:r>
                            <w:r>
                              <w:rPr>
                                <w:rFonts w:ascii="Arial MT" w:hAnsi="Arial MT"/>
                                <w:color w:val="231F1F"/>
                                <w:spacing w:val="40"/>
                                <w:sz w:val="14"/>
                              </w:rPr>
                              <w:t> </w:t>
                            </w:r>
                            <w:r>
                              <w:rPr>
                                <w:rFonts w:ascii="Arial MT" w:hAnsi="Arial MT"/>
                                <w:color w:val="231F1F"/>
                                <w:spacing w:val="-2"/>
                                <w:sz w:val="14"/>
                              </w:rPr>
                              <w:t>neuroaxial</w:t>
                            </w:r>
                          </w:p>
                          <w:p>
                            <w:pPr>
                              <w:pStyle w:val="TableParagraph"/>
                              <w:spacing w:line="143" w:lineRule="exact"/>
                              <w:ind w:left="329"/>
                              <w:rPr>
                                <w:rFonts w:ascii="Arial MT" w:hAnsi="Arial MT"/>
                                <w:sz w:val="14"/>
                              </w:rPr>
                            </w:pPr>
                            <w:r>
                              <w:rPr>
                                <w:rFonts w:ascii="Arial MT" w:hAnsi="Arial MT"/>
                                <w:color w:val="231F1F"/>
                                <w:sz w:val="14"/>
                              </w:rPr>
                              <w:t>n.º</w:t>
                            </w:r>
                            <w:r>
                              <w:rPr>
                                <w:rFonts w:ascii="Arial MT" w:hAnsi="Arial MT"/>
                                <w:color w:val="231F1F"/>
                                <w:spacing w:val="-8"/>
                                <w:sz w:val="14"/>
                              </w:rPr>
                              <w:t> </w:t>
                            </w:r>
                            <w:r>
                              <w:rPr>
                                <w:rFonts w:ascii="Arial MT" w:hAnsi="Arial MT"/>
                                <w:color w:val="231F1F"/>
                                <w:sz w:val="14"/>
                              </w:rPr>
                              <w:t>total</w:t>
                            </w:r>
                            <w:r>
                              <w:rPr>
                                <w:rFonts w:ascii="Arial MT" w:hAnsi="Arial MT"/>
                                <w:color w:val="231F1F"/>
                                <w:spacing w:val="-6"/>
                                <w:sz w:val="14"/>
                              </w:rPr>
                              <w:t> </w:t>
                            </w:r>
                            <w:r>
                              <w:rPr>
                                <w:rFonts w:ascii="Arial MT" w:hAnsi="Arial MT"/>
                                <w:color w:val="231F1F"/>
                                <w:sz w:val="14"/>
                              </w:rPr>
                              <w:t>de</w:t>
                            </w:r>
                            <w:r>
                              <w:rPr>
                                <w:rFonts w:ascii="Arial MT" w:hAnsi="Arial MT"/>
                                <w:color w:val="231F1F"/>
                                <w:spacing w:val="-6"/>
                                <w:sz w:val="14"/>
                              </w:rPr>
                              <w:t> </w:t>
                            </w:r>
                            <w:r>
                              <w:rPr>
                                <w:rFonts w:ascii="Arial MT" w:hAnsi="Arial MT"/>
                                <w:color w:val="231F1F"/>
                                <w:sz w:val="14"/>
                              </w:rPr>
                              <w:t>mujeres</w:t>
                            </w:r>
                            <w:r>
                              <w:rPr>
                                <w:rFonts w:ascii="Arial MT" w:hAnsi="Arial MT"/>
                                <w:color w:val="231F1F"/>
                                <w:spacing w:val="-6"/>
                                <w:sz w:val="14"/>
                              </w:rPr>
                              <w:t> </w:t>
                            </w:r>
                            <w:r>
                              <w:rPr>
                                <w:rFonts w:ascii="Arial MT" w:hAnsi="Arial MT"/>
                                <w:color w:val="231F1F"/>
                                <w:sz w:val="14"/>
                              </w:rPr>
                              <w:t>con</w:t>
                            </w:r>
                            <w:r>
                              <w:rPr>
                                <w:rFonts w:ascii="Arial MT" w:hAnsi="Arial MT"/>
                                <w:color w:val="231F1F"/>
                                <w:spacing w:val="-6"/>
                                <w:sz w:val="14"/>
                              </w:rPr>
                              <w:t> </w:t>
                            </w:r>
                            <w:r>
                              <w:rPr>
                                <w:rFonts w:ascii="Arial MT" w:hAnsi="Arial MT"/>
                                <w:color w:val="231F1F"/>
                                <w:sz w:val="14"/>
                              </w:rPr>
                              <w:t>analgesia</w:t>
                            </w:r>
                            <w:r>
                              <w:rPr>
                                <w:rFonts w:ascii="Arial MT" w:hAnsi="Arial MT"/>
                                <w:color w:val="231F1F"/>
                                <w:spacing w:val="-8"/>
                                <w:sz w:val="14"/>
                              </w:rPr>
                              <w:t> </w:t>
                            </w:r>
                            <w:r>
                              <w:rPr>
                                <w:rFonts w:ascii="Arial MT" w:hAnsi="Arial MT"/>
                                <w:color w:val="231F1F"/>
                                <w:spacing w:val="-2"/>
                                <w:sz w:val="14"/>
                              </w:rPr>
                              <w:t>neuroaxial</w:t>
                            </w:r>
                          </w:p>
                        </w:tc>
                      </w:tr>
                    </w:tbl>
                    <w:p>
                      <w:pPr>
                        <w:pStyle w:val="BodyText"/>
                      </w:pPr>
                    </w:p>
                  </w:txbxContent>
                </v:textbox>
                <w10:wrap type="none"/>
              </v:shape>
            </w:pict>
          </mc:Fallback>
        </mc:AlternateContent>
      </w:r>
      <w:r>
        <w:rPr>
          <w:color w:val="231F1F"/>
          <w:spacing w:val="-2"/>
          <w:w w:val="110"/>
        </w:rPr>
        <w:t>Criterios</w:t>
      </w:r>
    </w:p>
    <w:p>
      <w:pPr>
        <w:pStyle w:val="ListParagraph"/>
        <w:numPr>
          <w:ilvl w:val="0"/>
          <w:numId w:val="100"/>
        </w:numPr>
        <w:tabs>
          <w:tab w:pos="499" w:val="left" w:leader="none"/>
        </w:tabs>
        <w:spacing w:line="240" w:lineRule="auto" w:before="112" w:after="0"/>
        <w:ind w:left="499" w:right="0" w:hanging="216"/>
        <w:jc w:val="left"/>
        <w:rPr>
          <w:sz w:val="22"/>
        </w:rPr>
      </w:pPr>
      <w:r>
        <w:rPr>
          <w:color w:val="231F1F"/>
          <w:sz w:val="22"/>
        </w:rPr>
        <w:t>Seguridad,</w:t>
      </w:r>
      <w:r>
        <w:rPr>
          <w:color w:val="231F1F"/>
          <w:spacing w:val="32"/>
          <w:sz w:val="22"/>
        </w:rPr>
        <w:t> </w:t>
      </w:r>
      <w:r>
        <w:rPr>
          <w:color w:val="231F1F"/>
          <w:sz w:val="22"/>
        </w:rPr>
        <w:t>evitar</w:t>
      </w:r>
      <w:r>
        <w:rPr>
          <w:color w:val="231F1F"/>
          <w:spacing w:val="33"/>
          <w:sz w:val="22"/>
        </w:rPr>
        <w:t> </w:t>
      </w:r>
      <w:r>
        <w:rPr>
          <w:color w:val="231F1F"/>
          <w:sz w:val="22"/>
        </w:rPr>
        <w:t>riesgos</w:t>
      </w:r>
      <w:r>
        <w:rPr>
          <w:color w:val="231F1F"/>
          <w:spacing w:val="33"/>
          <w:sz w:val="22"/>
        </w:rPr>
        <w:t> </w:t>
      </w:r>
      <w:r>
        <w:rPr>
          <w:color w:val="231F1F"/>
          <w:sz w:val="22"/>
        </w:rPr>
        <w:t>maternos</w:t>
      </w:r>
      <w:r>
        <w:rPr>
          <w:color w:val="231F1F"/>
          <w:spacing w:val="33"/>
          <w:sz w:val="22"/>
        </w:rPr>
        <w:t> </w:t>
      </w:r>
      <w:r>
        <w:rPr>
          <w:color w:val="231F1F"/>
          <w:sz w:val="22"/>
        </w:rPr>
        <w:t>y/o</w:t>
      </w:r>
      <w:r>
        <w:rPr>
          <w:color w:val="231F1F"/>
          <w:spacing w:val="35"/>
          <w:sz w:val="22"/>
        </w:rPr>
        <w:t> </w:t>
      </w:r>
      <w:r>
        <w:rPr>
          <w:color w:val="231F1F"/>
          <w:spacing w:val="-2"/>
          <w:sz w:val="22"/>
        </w:rPr>
        <w:t>neonatales</w:t>
      </w:r>
    </w:p>
    <w:p>
      <w:pPr>
        <w:pStyle w:val="ListParagraph"/>
        <w:numPr>
          <w:ilvl w:val="0"/>
          <w:numId w:val="100"/>
        </w:numPr>
        <w:tabs>
          <w:tab w:pos="499" w:val="left" w:leader="none"/>
        </w:tabs>
        <w:spacing w:line="240" w:lineRule="auto" w:before="117" w:after="0"/>
        <w:ind w:left="499" w:right="0" w:hanging="216"/>
        <w:jc w:val="left"/>
        <w:rPr>
          <w:sz w:val="22"/>
        </w:rPr>
      </w:pPr>
      <w:r>
        <w:rPr>
          <w:color w:val="231F1F"/>
          <w:sz w:val="22"/>
        </w:rPr>
        <w:t>Disminución</w:t>
      </w:r>
      <w:r>
        <w:rPr>
          <w:color w:val="231F1F"/>
          <w:spacing w:val="37"/>
          <w:sz w:val="22"/>
        </w:rPr>
        <w:t> </w:t>
      </w:r>
      <w:r>
        <w:rPr>
          <w:color w:val="231F1F"/>
          <w:sz w:val="22"/>
        </w:rPr>
        <w:t>de</w:t>
      </w:r>
      <w:r>
        <w:rPr>
          <w:color w:val="231F1F"/>
          <w:spacing w:val="39"/>
          <w:sz w:val="22"/>
        </w:rPr>
        <w:t> </w:t>
      </w:r>
      <w:r>
        <w:rPr>
          <w:color w:val="231F1F"/>
          <w:spacing w:val="-2"/>
          <w:sz w:val="22"/>
        </w:rPr>
        <w:t>instrumentación</w:t>
      </w:r>
    </w:p>
    <w:p>
      <w:pPr>
        <w:pStyle w:val="ListParagraph"/>
        <w:numPr>
          <w:ilvl w:val="0"/>
          <w:numId w:val="100"/>
        </w:numPr>
        <w:tabs>
          <w:tab w:pos="499" w:val="left" w:leader="none"/>
        </w:tabs>
        <w:spacing w:line="240" w:lineRule="auto" w:before="111" w:after="0"/>
        <w:ind w:left="499" w:right="0" w:hanging="216"/>
        <w:jc w:val="left"/>
        <w:rPr>
          <w:sz w:val="22"/>
        </w:rPr>
      </w:pPr>
      <w:r>
        <w:rPr>
          <w:color w:val="231F1F"/>
          <w:w w:val="105"/>
          <w:sz w:val="22"/>
        </w:rPr>
        <w:t>Impulsar</w:t>
      </w:r>
      <w:r>
        <w:rPr>
          <w:color w:val="231F1F"/>
          <w:spacing w:val="4"/>
          <w:w w:val="105"/>
          <w:sz w:val="22"/>
        </w:rPr>
        <w:t> </w:t>
      </w:r>
      <w:r>
        <w:rPr>
          <w:color w:val="231F1F"/>
          <w:w w:val="105"/>
          <w:sz w:val="22"/>
        </w:rPr>
        <w:t>prácticas</w:t>
      </w:r>
      <w:r>
        <w:rPr>
          <w:color w:val="231F1F"/>
          <w:spacing w:val="3"/>
          <w:w w:val="105"/>
          <w:sz w:val="22"/>
        </w:rPr>
        <w:t> </w:t>
      </w:r>
      <w:r>
        <w:rPr>
          <w:color w:val="231F1F"/>
          <w:spacing w:val="-2"/>
          <w:w w:val="105"/>
          <w:sz w:val="22"/>
        </w:rPr>
        <w:t>eficaces</w:t>
      </w:r>
    </w:p>
    <w:p>
      <w:pPr>
        <w:pStyle w:val="ListParagraph"/>
        <w:numPr>
          <w:ilvl w:val="0"/>
          <w:numId w:val="100"/>
        </w:numPr>
        <w:tabs>
          <w:tab w:pos="499" w:val="left" w:leader="none"/>
        </w:tabs>
        <w:spacing w:line="240" w:lineRule="auto" w:before="112" w:after="0"/>
        <w:ind w:left="499" w:right="0" w:hanging="216"/>
        <w:jc w:val="left"/>
        <w:rPr>
          <w:sz w:val="22"/>
        </w:rPr>
      </w:pPr>
      <w:r>
        <w:rPr>
          <w:color w:val="231F1F"/>
          <w:sz w:val="22"/>
        </w:rPr>
        <w:t>Fomentar</w:t>
      </w:r>
      <w:r>
        <w:rPr>
          <w:color w:val="231F1F"/>
          <w:spacing w:val="28"/>
          <w:sz w:val="22"/>
        </w:rPr>
        <w:t> </w:t>
      </w:r>
      <w:r>
        <w:rPr>
          <w:color w:val="231F1F"/>
          <w:sz w:val="22"/>
        </w:rPr>
        <w:t>el</w:t>
      </w:r>
      <w:r>
        <w:rPr>
          <w:color w:val="231F1F"/>
          <w:spacing w:val="32"/>
          <w:sz w:val="22"/>
        </w:rPr>
        <w:t> </w:t>
      </w:r>
      <w:r>
        <w:rPr>
          <w:color w:val="231F1F"/>
          <w:sz w:val="22"/>
        </w:rPr>
        <w:t>protagonismo</w:t>
      </w:r>
      <w:r>
        <w:rPr>
          <w:color w:val="231F1F"/>
          <w:spacing w:val="31"/>
          <w:sz w:val="22"/>
        </w:rPr>
        <w:t> </w:t>
      </w:r>
      <w:r>
        <w:rPr>
          <w:color w:val="231F1F"/>
          <w:sz w:val="22"/>
        </w:rPr>
        <w:t>y</w:t>
      </w:r>
      <w:r>
        <w:rPr>
          <w:color w:val="231F1F"/>
          <w:spacing w:val="31"/>
          <w:sz w:val="22"/>
        </w:rPr>
        <w:t> </w:t>
      </w:r>
      <w:r>
        <w:rPr>
          <w:color w:val="231F1F"/>
          <w:sz w:val="22"/>
        </w:rPr>
        <w:t>la</w:t>
      </w:r>
      <w:r>
        <w:rPr>
          <w:color w:val="231F1F"/>
          <w:spacing w:val="33"/>
          <w:sz w:val="22"/>
        </w:rPr>
        <w:t> </w:t>
      </w:r>
      <w:r>
        <w:rPr>
          <w:color w:val="231F1F"/>
          <w:sz w:val="22"/>
        </w:rPr>
        <w:t>satisfacción</w:t>
      </w:r>
      <w:r>
        <w:rPr>
          <w:color w:val="231F1F"/>
          <w:spacing w:val="32"/>
          <w:sz w:val="22"/>
        </w:rPr>
        <w:t> </w:t>
      </w:r>
      <w:r>
        <w:rPr>
          <w:color w:val="231F1F"/>
          <w:sz w:val="22"/>
        </w:rPr>
        <w:t>de</w:t>
      </w:r>
      <w:r>
        <w:rPr>
          <w:color w:val="231F1F"/>
          <w:spacing w:val="33"/>
          <w:sz w:val="22"/>
        </w:rPr>
        <w:t> </w:t>
      </w:r>
      <w:r>
        <w:rPr>
          <w:color w:val="231F1F"/>
          <w:spacing w:val="-2"/>
          <w:sz w:val="22"/>
        </w:rPr>
        <w:t>mujeres</w:t>
      </w:r>
    </w:p>
    <w:p>
      <w:pPr>
        <w:pStyle w:val="BodyText"/>
        <w:spacing w:before="93"/>
        <w:ind w:left="283"/>
      </w:pPr>
      <w:r>
        <w:rPr>
          <w:b/>
          <w:color w:val="231F1F"/>
          <w:w w:val="105"/>
        </w:rPr>
        <w:t>pvsc</w:t>
      </w:r>
      <w:r>
        <w:rPr>
          <w:color w:val="231F1F"/>
          <w:w w:val="105"/>
        </w:rPr>
        <w:t>:</w:t>
      </w:r>
      <w:r>
        <w:rPr>
          <w:color w:val="231F1F"/>
          <w:spacing w:val="-15"/>
          <w:w w:val="105"/>
        </w:rPr>
        <w:t> </w:t>
      </w:r>
      <w:r>
        <w:rPr>
          <w:color w:val="231F1F"/>
          <w:w w:val="105"/>
        </w:rPr>
        <w:t>Parto</w:t>
      </w:r>
      <w:r>
        <w:rPr>
          <w:color w:val="231F1F"/>
          <w:spacing w:val="-13"/>
          <w:w w:val="105"/>
        </w:rPr>
        <w:t> </w:t>
      </w:r>
      <w:r>
        <w:rPr>
          <w:color w:val="231F1F"/>
          <w:w w:val="105"/>
        </w:rPr>
        <w:t>vaginal</w:t>
      </w:r>
      <w:r>
        <w:rPr>
          <w:color w:val="231F1F"/>
          <w:spacing w:val="-13"/>
          <w:w w:val="105"/>
        </w:rPr>
        <w:t> </w:t>
      </w:r>
      <w:r>
        <w:rPr>
          <w:color w:val="231F1F"/>
          <w:w w:val="105"/>
        </w:rPr>
        <w:t>sin</w:t>
      </w:r>
      <w:r>
        <w:rPr>
          <w:color w:val="231F1F"/>
          <w:spacing w:val="-13"/>
          <w:w w:val="105"/>
        </w:rPr>
        <w:t> </w:t>
      </w:r>
      <w:r>
        <w:rPr>
          <w:color w:val="231F1F"/>
          <w:spacing w:val="-2"/>
          <w:w w:val="105"/>
        </w:rPr>
        <w:t>complicaciones</w:t>
      </w:r>
    </w:p>
    <w:p>
      <w:pPr>
        <w:pStyle w:val="BodyText"/>
        <w:spacing w:after="0"/>
        <w:sectPr>
          <w:pgSz w:w="11900" w:h="16840"/>
          <w:pgMar w:header="0" w:footer="622" w:top="1680" w:bottom="820" w:left="1417" w:right="1559"/>
        </w:sectPr>
      </w:pPr>
    </w:p>
    <w:p>
      <w:pPr>
        <w:pStyle w:val="Heading1"/>
        <w:numPr>
          <w:ilvl w:val="1"/>
          <w:numId w:val="2"/>
        </w:numPr>
        <w:tabs>
          <w:tab w:pos="1161" w:val="left" w:leader="none"/>
        </w:tabs>
        <w:spacing w:line="240" w:lineRule="auto" w:before="63" w:after="0"/>
        <w:ind w:left="1161" w:right="0" w:hanging="878"/>
        <w:jc w:val="left"/>
        <w:rPr>
          <w:color w:val="231F1F"/>
        </w:rPr>
      </w:pPr>
      <w:bookmarkStart w:name="_TOC_250012" w:id="44"/>
      <w:r>
        <w:rPr>
          <w:color w:val="231F1F"/>
        </w:rPr>
        <w:t>Líneas</w:t>
      </w:r>
      <w:r>
        <w:rPr>
          <w:color w:val="231F1F"/>
          <w:spacing w:val="20"/>
          <w:w w:val="150"/>
        </w:rPr>
        <w:t> </w:t>
      </w:r>
      <w:r>
        <w:rPr>
          <w:color w:val="231F1F"/>
        </w:rPr>
        <w:t>de</w:t>
      </w:r>
      <w:r>
        <w:rPr>
          <w:color w:val="231F1F"/>
          <w:spacing w:val="21"/>
          <w:w w:val="150"/>
        </w:rPr>
        <w:t> </w:t>
      </w:r>
      <w:r>
        <w:rPr>
          <w:color w:val="231F1F"/>
        </w:rPr>
        <w:t>investigación</w:t>
      </w:r>
      <w:r>
        <w:rPr>
          <w:color w:val="231F1F"/>
          <w:spacing w:val="21"/>
          <w:w w:val="150"/>
        </w:rPr>
        <w:t> </w:t>
      </w:r>
      <w:bookmarkEnd w:id="44"/>
      <w:r>
        <w:rPr>
          <w:color w:val="231F1F"/>
          <w:spacing w:val="-2"/>
        </w:rPr>
        <w:t>futura</w:t>
      </w:r>
    </w:p>
    <w:p>
      <w:pPr>
        <w:spacing w:before="343"/>
        <w:ind w:left="283" w:right="0" w:firstLine="0"/>
        <w:jc w:val="left"/>
        <w:rPr>
          <w:rFonts w:ascii="Arial MT"/>
          <w:sz w:val="24"/>
        </w:rPr>
      </w:pPr>
      <w:r>
        <w:rPr>
          <w:rFonts w:ascii="Arial MT"/>
          <w:color w:val="231F1F"/>
          <w:sz w:val="24"/>
        </w:rPr>
        <w:t>Cuidados</w:t>
      </w:r>
      <w:r>
        <w:rPr>
          <w:rFonts w:ascii="Arial MT"/>
          <w:color w:val="231F1F"/>
          <w:spacing w:val="23"/>
          <w:sz w:val="24"/>
        </w:rPr>
        <w:t> </w:t>
      </w:r>
      <w:r>
        <w:rPr>
          <w:rFonts w:ascii="Arial MT"/>
          <w:color w:val="231F1F"/>
          <w:sz w:val="24"/>
        </w:rPr>
        <w:t>durante</w:t>
      </w:r>
      <w:r>
        <w:rPr>
          <w:rFonts w:ascii="Arial MT"/>
          <w:color w:val="231F1F"/>
          <w:spacing w:val="23"/>
          <w:sz w:val="24"/>
        </w:rPr>
        <w:t> </w:t>
      </w:r>
      <w:r>
        <w:rPr>
          <w:rFonts w:ascii="Arial MT"/>
          <w:color w:val="231F1F"/>
          <w:sz w:val="24"/>
        </w:rPr>
        <w:t>el</w:t>
      </w:r>
      <w:r>
        <w:rPr>
          <w:rFonts w:ascii="Arial MT"/>
          <w:color w:val="231F1F"/>
          <w:spacing w:val="18"/>
          <w:sz w:val="24"/>
        </w:rPr>
        <w:t> </w:t>
      </w:r>
      <w:r>
        <w:rPr>
          <w:rFonts w:ascii="Arial MT"/>
          <w:color w:val="231F1F"/>
          <w:spacing w:val="-2"/>
          <w:sz w:val="24"/>
        </w:rPr>
        <w:t>parto</w:t>
      </w:r>
    </w:p>
    <w:p>
      <w:pPr>
        <w:pStyle w:val="Heading5"/>
        <w:spacing w:before="185"/>
      </w:pPr>
      <w:r>
        <w:rPr>
          <w:color w:val="231F1F"/>
        </w:rPr>
        <w:t>Cuidados</w:t>
      </w:r>
      <w:r>
        <w:rPr>
          <w:color w:val="231F1F"/>
          <w:spacing w:val="-10"/>
        </w:rPr>
        <w:t> </w:t>
      </w:r>
      <w:r>
        <w:rPr>
          <w:color w:val="231F1F"/>
        </w:rPr>
        <w:t>de</w:t>
      </w:r>
      <w:r>
        <w:rPr>
          <w:color w:val="231F1F"/>
          <w:spacing w:val="-4"/>
        </w:rPr>
        <w:t> </w:t>
      </w:r>
      <w:r>
        <w:rPr>
          <w:color w:val="231F1F"/>
        </w:rPr>
        <w:t>profesionales</w:t>
      </w:r>
      <w:r>
        <w:rPr>
          <w:color w:val="231F1F"/>
          <w:spacing w:val="-6"/>
        </w:rPr>
        <w:t> </w:t>
      </w:r>
      <w:r>
        <w:rPr>
          <w:color w:val="231F1F"/>
        </w:rPr>
        <w:t>y</w:t>
      </w:r>
      <w:r>
        <w:rPr>
          <w:color w:val="231F1F"/>
          <w:spacing w:val="-3"/>
        </w:rPr>
        <w:t> </w:t>
      </w:r>
      <w:r>
        <w:rPr>
          <w:color w:val="231F1F"/>
          <w:spacing w:val="-2"/>
        </w:rPr>
        <w:t>acompañantes</w:t>
      </w:r>
    </w:p>
    <w:p>
      <w:pPr>
        <w:pStyle w:val="ListParagraph"/>
        <w:numPr>
          <w:ilvl w:val="0"/>
          <w:numId w:val="101"/>
        </w:numPr>
        <w:tabs>
          <w:tab w:pos="956" w:val="left" w:leader="none"/>
        </w:tabs>
        <w:spacing w:line="244" w:lineRule="auto" w:before="180" w:after="0"/>
        <w:ind w:left="956" w:right="116" w:hanging="221"/>
        <w:jc w:val="both"/>
        <w:rPr>
          <w:sz w:val="22"/>
        </w:rPr>
      </w:pPr>
      <w:r>
        <w:rPr>
          <w:color w:val="231F1F"/>
          <w:w w:val="105"/>
          <w:sz w:val="22"/>
        </w:rPr>
        <w:t>Realizar nuevas investigaciones que permitan esclarecer la influencia del estado de ánimo de la mujer, su sensación de seguridad y confianza, sobre los resultados du- rante el parto.</w:t>
      </w:r>
    </w:p>
    <w:p>
      <w:pPr>
        <w:pStyle w:val="ListParagraph"/>
        <w:numPr>
          <w:ilvl w:val="0"/>
          <w:numId w:val="101"/>
        </w:numPr>
        <w:tabs>
          <w:tab w:pos="956" w:val="left" w:leader="none"/>
        </w:tabs>
        <w:spacing w:line="254" w:lineRule="auto" w:before="119" w:after="0"/>
        <w:ind w:left="956" w:right="274" w:hanging="219"/>
        <w:jc w:val="both"/>
        <w:rPr>
          <w:sz w:val="22"/>
        </w:rPr>
      </w:pPr>
      <w:r>
        <w:rPr>
          <w:color w:val="231F1F"/>
          <w:sz w:val="22"/>
        </w:rPr>
        <w:t>Nuevos estudios con instrumentos validados de evaluación de satisfacción materna</w:t>
      </w:r>
      <w:r>
        <w:rPr>
          <w:color w:val="231F1F"/>
          <w:spacing w:val="80"/>
          <w:sz w:val="22"/>
        </w:rPr>
        <w:t> </w:t>
      </w:r>
      <w:r>
        <w:rPr>
          <w:color w:val="231F1F"/>
          <w:sz w:val="22"/>
        </w:rPr>
        <w:t>con la experiencia del parto.</w:t>
      </w:r>
    </w:p>
    <w:p>
      <w:pPr>
        <w:pStyle w:val="ListParagraph"/>
        <w:numPr>
          <w:ilvl w:val="0"/>
          <w:numId w:val="101"/>
        </w:numPr>
        <w:tabs>
          <w:tab w:pos="956" w:val="left" w:leader="none"/>
        </w:tabs>
        <w:spacing w:line="244" w:lineRule="auto" w:before="117" w:after="0"/>
        <w:ind w:left="956" w:right="114" w:hanging="221"/>
        <w:jc w:val="both"/>
        <w:rPr>
          <w:sz w:val="22"/>
        </w:rPr>
      </w:pPr>
      <w:r>
        <w:rPr>
          <w:color w:val="231F1F"/>
          <w:spacing w:val="-2"/>
          <w:w w:val="110"/>
          <w:sz w:val="22"/>
        </w:rPr>
        <w:t>Realizar</w:t>
      </w:r>
      <w:r>
        <w:rPr>
          <w:color w:val="231F1F"/>
          <w:spacing w:val="-7"/>
          <w:w w:val="110"/>
          <w:sz w:val="22"/>
        </w:rPr>
        <w:t> </w:t>
      </w:r>
      <w:r>
        <w:rPr>
          <w:color w:val="231F1F"/>
          <w:spacing w:val="-2"/>
          <w:w w:val="110"/>
          <w:sz w:val="22"/>
        </w:rPr>
        <w:t>ensayos</w:t>
      </w:r>
      <w:r>
        <w:rPr>
          <w:color w:val="231F1F"/>
          <w:spacing w:val="-6"/>
          <w:w w:val="110"/>
          <w:sz w:val="22"/>
        </w:rPr>
        <w:t> </w:t>
      </w:r>
      <w:r>
        <w:rPr>
          <w:color w:val="231F1F"/>
          <w:spacing w:val="-2"/>
          <w:w w:val="110"/>
          <w:sz w:val="22"/>
        </w:rPr>
        <w:t>controlados</w:t>
      </w:r>
      <w:r>
        <w:rPr>
          <w:color w:val="231F1F"/>
          <w:spacing w:val="-7"/>
          <w:w w:val="110"/>
          <w:sz w:val="22"/>
        </w:rPr>
        <w:t> </w:t>
      </w:r>
      <w:r>
        <w:rPr>
          <w:color w:val="231F1F"/>
          <w:spacing w:val="-2"/>
          <w:w w:val="110"/>
          <w:sz w:val="22"/>
        </w:rPr>
        <w:t>en</w:t>
      </w:r>
      <w:r>
        <w:rPr>
          <w:color w:val="231F1F"/>
          <w:spacing w:val="-6"/>
          <w:w w:val="110"/>
          <w:sz w:val="22"/>
        </w:rPr>
        <w:t> </w:t>
      </w:r>
      <w:r>
        <w:rPr>
          <w:color w:val="231F1F"/>
          <w:spacing w:val="-2"/>
          <w:w w:val="110"/>
          <w:sz w:val="22"/>
        </w:rPr>
        <w:t>los</w:t>
      </w:r>
      <w:r>
        <w:rPr>
          <w:color w:val="231F1F"/>
          <w:spacing w:val="-7"/>
          <w:w w:val="110"/>
          <w:sz w:val="22"/>
        </w:rPr>
        <w:t> </w:t>
      </w:r>
      <w:r>
        <w:rPr>
          <w:color w:val="231F1F"/>
          <w:spacing w:val="-2"/>
          <w:w w:val="110"/>
          <w:sz w:val="22"/>
        </w:rPr>
        <w:t>que</w:t>
      </w:r>
      <w:r>
        <w:rPr>
          <w:color w:val="231F1F"/>
          <w:spacing w:val="-7"/>
          <w:w w:val="110"/>
          <w:sz w:val="22"/>
        </w:rPr>
        <w:t> </w:t>
      </w:r>
      <w:r>
        <w:rPr>
          <w:color w:val="231F1F"/>
          <w:spacing w:val="-2"/>
          <w:w w:val="110"/>
          <w:sz w:val="22"/>
        </w:rPr>
        <w:t>se</w:t>
      </w:r>
      <w:r>
        <w:rPr>
          <w:color w:val="231F1F"/>
          <w:spacing w:val="-7"/>
          <w:w w:val="110"/>
          <w:sz w:val="22"/>
        </w:rPr>
        <w:t> </w:t>
      </w:r>
      <w:r>
        <w:rPr>
          <w:color w:val="231F1F"/>
          <w:spacing w:val="-2"/>
          <w:w w:val="110"/>
          <w:sz w:val="22"/>
        </w:rPr>
        <w:t>compare</w:t>
      </w:r>
      <w:r>
        <w:rPr>
          <w:color w:val="231F1F"/>
          <w:spacing w:val="-6"/>
          <w:w w:val="110"/>
          <w:sz w:val="22"/>
        </w:rPr>
        <w:t> </w:t>
      </w:r>
      <w:r>
        <w:rPr>
          <w:color w:val="231F1F"/>
          <w:spacing w:val="-2"/>
          <w:w w:val="110"/>
          <w:sz w:val="22"/>
        </w:rPr>
        <w:t>estar</w:t>
      </w:r>
      <w:r>
        <w:rPr>
          <w:color w:val="231F1F"/>
          <w:spacing w:val="-7"/>
          <w:w w:val="110"/>
          <w:sz w:val="22"/>
        </w:rPr>
        <w:t> </w:t>
      </w:r>
      <w:r>
        <w:rPr>
          <w:color w:val="231F1F"/>
          <w:spacing w:val="-2"/>
          <w:w w:val="110"/>
          <w:sz w:val="22"/>
        </w:rPr>
        <w:t>acompañada</w:t>
      </w:r>
      <w:r>
        <w:rPr>
          <w:color w:val="231F1F"/>
          <w:spacing w:val="-6"/>
          <w:w w:val="110"/>
          <w:sz w:val="22"/>
        </w:rPr>
        <w:t> </w:t>
      </w:r>
      <w:r>
        <w:rPr>
          <w:color w:val="231F1F"/>
          <w:spacing w:val="-2"/>
          <w:w w:val="110"/>
          <w:sz w:val="22"/>
        </w:rPr>
        <w:t>por</w:t>
      </w:r>
      <w:r>
        <w:rPr>
          <w:color w:val="231F1F"/>
          <w:spacing w:val="-7"/>
          <w:w w:val="110"/>
          <w:sz w:val="22"/>
        </w:rPr>
        <w:t> </w:t>
      </w:r>
      <w:r>
        <w:rPr>
          <w:color w:val="231F1F"/>
          <w:spacing w:val="-2"/>
          <w:w w:val="110"/>
          <w:sz w:val="22"/>
        </w:rPr>
        <w:t>familia- </w:t>
      </w:r>
      <w:r>
        <w:rPr>
          <w:color w:val="231F1F"/>
          <w:w w:val="110"/>
          <w:sz w:val="22"/>
        </w:rPr>
        <w:t>res o personas de confianza de la mujer que han recibido entrenamiento para de- sarrollar</w:t>
      </w:r>
      <w:r>
        <w:rPr>
          <w:color w:val="231F1F"/>
          <w:w w:val="110"/>
          <w:sz w:val="22"/>
        </w:rPr>
        <w:t> su</w:t>
      </w:r>
      <w:r>
        <w:rPr>
          <w:color w:val="231F1F"/>
          <w:w w:val="110"/>
          <w:sz w:val="22"/>
        </w:rPr>
        <w:t> papel</w:t>
      </w:r>
      <w:r>
        <w:rPr>
          <w:color w:val="231F1F"/>
          <w:w w:val="110"/>
          <w:sz w:val="22"/>
        </w:rPr>
        <w:t> de</w:t>
      </w:r>
      <w:r>
        <w:rPr>
          <w:color w:val="231F1F"/>
          <w:w w:val="110"/>
          <w:sz w:val="22"/>
        </w:rPr>
        <w:t> soporte</w:t>
      </w:r>
      <w:r>
        <w:rPr>
          <w:color w:val="231F1F"/>
          <w:w w:val="110"/>
          <w:sz w:val="22"/>
        </w:rPr>
        <w:t> físico</w:t>
      </w:r>
      <w:r>
        <w:rPr>
          <w:color w:val="231F1F"/>
          <w:w w:val="110"/>
          <w:sz w:val="22"/>
        </w:rPr>
        <w:t> y</w:t>
      </w:r>
      <w:r>
        <w:rPr>
          <w:color w:val="231F1F"/>
          <w:w w:val="110"/>
          <w:sz w:val="22"/>
        </w:rPr>
        <w:t> emocional</w:t>
      </w:r>
      <w:r>
        <w:rPr>
          <w:color w:val="231F1F"/>
          <w:w w:val="110"/>
          <w:sz w:val="22"/>
        </w:rPr>
        <w:t> versus</w:t>
      </w:r>
      <w:r>
        <w:rPr>
          <w:color w:val="231F1F"/>
          <w:w w:val="110"/>
          <w:sz w:val="22"/>
        </w:rPr>
        <w:t> el</w:t>
      </w:r>
      <w:r>
        <w:rPr>
          <w:color w:val="231F1F"/>
          <w:w w:val="110"/>
          <w:sz w:val="22"/>
        </w:rPr>
        <w:t> acompañamiento</w:t>
      </w:r>
      <w:r>
        <w:rPr>
          <w:color w:val="231F1F"/>
          <w:w w:val="110"/>
          <w:sz w:val="22"/>
        </w:rPr>
        <w:t> por personas que no han recibido ese entrenamiento.</w:t>
      </w:r>
    </w:p>
    <w:p>
      <w:pPr>
        <w:pStyle w:val="Heading5"/>
        <w:spacing w:before="162"/>
      </w:pPr>
      <w:r>
        <w:rPr>
          <w:color w:val="231F1F"/>
        </w:rPr>
        <w:t>Restricción</w:t>
      </w:r>
      <w:r>
        <w:rPr>
          <w:color w:val="231F1F"/>
          <w:spacing w:val="1"/>
        </w:rPr>
        <w:t> </w:t>
      </w:r>
      <w:r>
        <w:rPr>
          <w:color w:val="231F1F"/>
        </w:rPr>
        <w:t>de líquidos y</w:t>
      </w:r>
      <w:r>
        <w:rPr>
          <w:color w:val="231F1F"/>
          <w:spacing w:val="3"/>
        </w:rPr>
        <w:t> </w:t>
      </w:r>
      <w:r>
        <w:rPr>
          <w:color w:val="231F1F"/>
          <w:spacing w:val="-2"/>
        </w:rPr>
        <w:t>sólidos</w:t>
      </w:r>
    </w:p>
    <w:p>
      <w:pPr>
        <w:pStyle w:val="ListParagraph"/>
        <w:numPr>
          <w:ilvl w:val="0"/>
          <w:numId w:val="101"/>
        </w:numPr>
        <w:tabs>
          <w:tab w:pos="954" w:val="left" w:leader="none"/>
          <w:tab w:pos="957" w:val="left" w:leader="none"/>
        </w:tabs>
        <w:spacing w:line="240" w:lineRule="auto" w:before="190" w:after="0"/>
        <w:ind w:left="957" w:right="165" w:hanging="221"/>
        <w:jc w:val="both"/>
        <w:rPr>
          <w:sz w:val="22"/>
        </w:rPr>
      </w:pPr>
      <w:r>
        <w:rPr>
          <w:color w:val="231F1F"/>
          <w:w w:val="110"/>
          <w:sz w:val="22"/>
        </w:rPr>
        <w:t>Ensayos</w:t>
      </w:r>
      <w:r>
        <w:rPr>
          <w:color w:val="231F1F"/>
          <w:spacing w:val="-11"/>
          <w:w w:val="110"/>
          <w:sz w:val="22"/>
        </w:rPr>
        <w:t> </w:t>
      </w:r>
      <w:r>
        <w:rPr>
          <w:color w:val="231F1F"/>
          <w:w w:val="110"/>
          <w:sz w:val="22"/>
        </w:rPr>
        <w:t>con</w:t>
      </w:r>
      <w:r>
        <w:rPr>
          <w:color w:val="231F1F"/>
          <w:spacing w:val="-10"/>
          <w:w w:val="110"/>
          <w:sz w:val="22"/>
        </w:rPr>
        <w:t> </w:t>
      </w:r>
      <w:r>
        <w:rPr>
          <w:color w:val="231F1F"/>
          <w:w w:val="110"/>
          <w:sz w:val="22"/>
        </w:rPr>
        <w:t>suficiente</w:t>
      </w:r>
      <w:r>
        <w:rPr>
          <w:color w:val="231F1F"/>
          <w:spacing w:val="-10"/>
          <w:w w:val="110"/>
          <w:sz w:val="22"/>
        </w:rPr>
        <w:t> </w:t>
      </w:r>
      <w:r>
        <w:rPr>
          <w:color w:val="231F1F"/>
          <w:w w:val="110"/>
          <w:sz w:val="22"/>
        </w:rPr>
        <w:t>potencia</w:t>
      </w:r>
      <w:r>
        <w:rPr>
          <w:color w:val="231F1F"/>
          <w:spacing w:val="-11"/>
          <w:w w:val="110"/>
          <w:sz w:val="22"/>
        </w:rPr>
        <w:t> </w:t>
      </w:r>
      <w:r>
        <w:rPr>
          <w:color w:val="231F1F"/>
          <w:w w:val="110"/>
          <w:sz w:val="22"/>
        </w:rPr>
        <w:t>para</w:t>
      </w:r>
      <w:r>
        <w:rPr>
          <w:color w:val="231F1F"/>
          <w:spacing w:val="-10"/>
          <w:w w:val="110"/>
          <w:sz w:val="22"/>
        </w:rPr>
        <w:t> </w:t>
      </w:r>
      <w:r>
        <w:rPr>
          <w:color w:val="231F1F"/>
          <w:w w:val="110"/>
          <w:sz w:val="22"/>
        </w:rPr>
        <w:t>evaluar</w:t>
      </w:r>
      <w:r>
        <w:rPr>
          <w:color w:val="231F1F"/>
          <w:spacing w:val="-10"/>
          <w:w w:val="110"/>
          <w:sz w:val="22"/>
        </w:rPr>
        <w:t> </w:t>
      </w:r>
      <w:r>
        <w:rPr>
          <w:color w:val="231F1F"/>
          <w:w w:val="110"/>
          <w:sz w:val="22"/>
        </w:rPr>
        <w:t>la</w:t>
      </w:r>
      <w:r>
        <w:rPr>
          <w:color w:val="231F1F"/>
          <w:spacing w:val="-11"/>
          <w:w w:val="110"/>
          <w:sz w:val="22"/>
        </w:rPr>
        <w:t> </w:t>
      </w:r>
      <w:r>
        <w:rPr>
          <w:color w:val="231F1F"/>
          <w:w w:val="110"/>
          <w:sz w:val="22"/>
        </w:rPr>
        <w:t>seguridad</w:t>
      </w:r>
      <w:r>
        <w:rPr>
          <w:color w:val="231F1F"/>
          <w:spacing w:val="-11"/>
          <w:w w:val="110"/>
          <w:sz w:val="22"/>
        </w:rPr>
        <w:t> </w:t>
      </w:r>
      <w:r>
        <w:rPr>
          <w:color w:val="231F1F"/>
          <w:w w:val="110"/>
          <w:sz w:val="22"/>
        </w:rPr>
        <w:t>de</w:t>
      </w:r>
      <w:r>
        <w:rPr>
          <w:color w:val="231F1F"/>
          <w:spacing w:val="-10"/>
          <w:w w:val="110"/>
          <w:sz w:val="22"/>
        </w:rPr>
        <w:t> </w:t>
      </w:r>
      <w:r>
        <w:rPr>
          <w:color w:val="231F1F"/>
          <w:w w:val="110"/>
          <w:sz w:val="22"/>
        </w:rPr>
        <w:t>la</w:t>
      </w:r>
      <w:r>
        <w:rPr>
          <w:color w:val="231F1F"/>
          <w:spacing w:val="-10"/>
          <w:w w:val="110"/>
          <w:sz w:val="22"/>
        </w:rPr>
        <w:t> </w:t>
      </w:r>
      <w:r>
        <w:rPr>
          <w:color w:val="231F1F"/>
          <w:w w:val="110"/>
          <w:sz w:val="22"/>
        </w:rPr>
        <w:t>ingesta</w:t>
      </w:r>
      <w:r>
        <w:rPr>
          <w:color w:val="231F1F"/>
          <w:spacing w:val="-11"/>
          <w:w w:val="110"/>
          <w:sz w:val="22"/>
        </w:rPr>
        <w:t> </w:t>
      </w:r>
      <w:r>
        <w:rPr>
          <w:color w:val="231F1F"/>
          <w:w w:val="110"/>
          <w:sz w:val="22"/>
        </w:rPr>
        <w:t>de</w:t>
      </w:r>
      <w:r>
        <w:rPr>
          <w:color w:val="231F1F"/>
          <w:spacing w:val="-10"/>
          <w:w w:val="110"/>
          <w:sz w:val="22"/>
        </w:rPr>
        <w:t> </w:t>
      </w:r>
      <w:r>
        <w:rPr>
          <w:color w:val="231F1F"/>
          <w:w w:val="110"/>
          <w:sz w:val="22"/>
        </w:rPr>
        <w:t>sólidos durante el parto</w:t>
      </w:r>
    </w:p>
    <w:p>
      <w:pPr>
        <w:pStyle w:val="BodyText"/>
        <w:spacing w:before="37"/>
      </w:pPr>
    </w:p>
    <w:p>
      <w:pPr>
        <w:spacing w:before="1"/>
        <w:ind w:left="283" w:right="0" w:firstLine="0"/>
        <w:jc w:val="left"/>
        <w:rPr>
          <w:rFonts w:ascii="Arial MT"/>
          <w:sz w:val="24"/>
        </w:rPr>
      </w:pPr>
      <w:r>
        <w:rPr>
          <w:rFonts w:ascii="Arial MT"/>
          <w:color w:val="231F1F"/>
          <w:sz w:val="24"/>
        </w:rPr>
        <w:t>Primera</w:t>
      </w:r>
      <w:r>
        <w:rPr>
          <w:rFonts w:ascii="Arial MT"/>
          <w:color w:val="231F1F"/>
          <w:spacing w:val="15"/>
          <w:sz w:val="24"/>
        </w:rPr>
        <w:t> </w:t>
      </w:r>
      <w:r>
        <w:rPr>
          <w:rFonts w:ascii="Arial MT"/>
          <w:color w:val="231F1F"/>
          <w:sz w:val="24"/>
        </w:rPr>
        <w:t>etapa</w:t>
      </w:r>
      <w:r>
        <w:rPr>
          <w:rFonts w:ascii="Arial MT"/>
          <w:color w:val="231F1F"/>
          <w:spacing w:val="16"/>
          <w:sz w:val="24"/>
        </w:rPr>
        <w:t> </w:t>
      </w:r>
      <w:r>
        <w:rPr>
          <w:rFonts w:ascii="Arial MT"/>
          <w:color w:val="231F1F"/>
          <w:sz w:val="24"/>
        </w:rPr>
        <w:t>del</w:t>
      </w:r>
      <w:r>
        <w:rPr>
          <w:rFonts w:ascii="Arial MT"/>
          <w:color w:val="231F1F"/>
          <w:spacing w:val="14"/>
          <w:sz w:val="24"/>
        </w:rPr>
        <w:t> </w:t>
      </w:r>
      <w:r>
        <w:rPr>
          <w:rFonts w:ascii="Arial MT"/>
          <w:color w:val="231F1F"/>
          <w:spacing w:val="-2"/>
          <w:sz w:val="24"/>
        </w:rPr>
        <w:t>parto</w:t>
      </w:r>
    </w:p>
    <w:p>
      <w:pPr>
        <w:pStyle w:val="Heading5"/>
        <w:spacing w:before="232"/>
      </w:pPr>
      <w:r>
        <w:rPr>
          <w:color w:val="231F1F"/>
        </w:rPr>
        <w:t>Atención</w:t>
      </w:r>
      <w:r>
        <w:rPr>
          <w:color w:val="231F1F"/>
          <w:spacing w:val="-7"/>
        </w:rPr>
        <w:t> </w:t>
      </w:r>
      <w:r>
        <w:rPr>
          <w:color w:val="231F1F"/>
        </w:rPr>
        <w:t>una</w:t>
      </w:r>
      <w:r>
        <w:rPr>
          <w:color w:val="231F1F"/>
          <w:spacing w:val="-6"/>
        </w:rPr>
        <w:t> </w:t>
      </w:r>
      <w:r>
        <w:rPr>
          <w:color w:val="231F1F"/>
        </w:rPr>
        <w:t>a</w:t>
      </w:r>
      <w:r>
        <w:rPr>
          <w:color w:val="231F1F"/>
          <w:spacing w:val="-3"/>
        </w:rPr>
        <w:t> </w:t>
      </w:r>
      <w:r>
        <w:rPr>
          <w:color w:val="231F1F"/>
          <w:spacing w:val="-5"/>
        </w:rPr>
        <w:t>una</w:t>
      </w:r>
    </w:p>
    <w:p>
      <w:pPr>
        <w:pStyle w:val="ListParagraph"/>
        <w:numPr>
          <w:ilvl w:val="0"/>
          <w:numId w:val="101"/>
        </w:numPr>
        <w:tabs>
          <w:tab w:pos="952" w:val="left" w:leader="none"/>
          <w:tab w:pos="956" w:val="left" w:leader="none"/>
        </w:tabs>
        <w:spacing w:line="249" w:lineRule="auto" w:before="205" w:after="0"/>
        <w:ind w:left="956" w:right="219" w:hanging="221"/>
        <w:jc w:val="both"/>
        <w:rPr>
          <w:sz w:val="22"/>
        </w:rPr>
      </w:pPr>
      <w:r>
        <w:rPr>
          <w:color w:val="231F1F"/>
          <w:sz w:val="22"/>
        </w:rPr>
        <w:t>Estudios</w:t>
      </w:r>
      <w:r>
        <w:rPr>
          <w:color w:val="231F1F"/>
          <w:spacing w:val="19"/>
          <w:sz w:val="22"/>
        </w:rPr>
        <w:t> </w:t>
      </w:r>
      <w:r>
        <w:rPr>
          <w:color w:val="231F1F"/>
          <w:sz w:val="22"/>
        </w:rPr>
        <w:t>que</w:t>
      </w:r>
      <w:r>
        <w:rPr>
          <w:color w:val="231F1F"/>
          <w:spacing w:val="19"/>
          <w:sz w:val="22"/>
        </w:rPr>
        <w:t> </w:t>
      </w:r>
      <w:r>
        <w:rPr>
          <w:color w:val="231F1F"/>
          <w:sz w:val="22"/>
        </w:rPr>
        <w:t>evalúen</w:t>
      </w:r>
      <w:r>
        <w:rPr>
          <w:color w:val="231F1F"/>
          <w:spacing w:val="19"/>
          <w:sz w:val="22"/>
        </w:rPr>
        <w:t> </w:t>
      </w:r>
      <w:r>
        <w:rPr>
          <w:color w:val="231F1F"/>
          <w:sz w:val="22"/>
        </w:rPr>
        <w:t>la</w:t>
      </w:r>
      <w:r>
        <w:rPr>
          <w:color w:val="231F1F"/>
          <w:spacing w:val="19"/>
          <w:sz w:val="22"/>
        </w:rPr>
        <w:t> </w:t>
      </w:r>
      <w:r>
        <w:rPr>
          <w:color w:val="231F1F"/>
          <w:sz w:val="22"/>
        </w:rPr>
        <w:t>mortalidad</w:t>
      </w:r>
      <w:r>
        <w:rPr>
          <w:color w:val="231F1F"/>
          <w:spacing w:val="19"/>
          <w:sz w:val="22"/>
        </w:rPr>
        <w:t> </w:t>
      </w:r>
      <w:r>
        <w:rPr>
          <w:color w:val="231F1F"/>
          <w:sz w:val="22"/>
        </w:rPr>
        <w:t>perinatal</w:t>
      </w:r>
      <w:r>
        <w:rPr>
          <w:color w:val="231F1F"/>
          <w:spacing w:val="19"/>
          <w:sz w:val="22"/>
        </w:rPr>
        <w:t> </w:t>
      </w:r>
      <w:r>
        <w:rPr>
          <w:color w:val="231F1F"/>
          <w:sz w:val="22"/>
        </w:rPr>
        <w:t>y</w:t>
      </w:r>
      <w:r>
        <w:rPr>
          <w:color w:val="231F1F"/>
          <w:spacing w:val="19"/>
          <w:sz w:val="22"/>
        </w:rPr>
        <w:t> </w:t>
      </w:r>
      <w:r>
        <w:rPr>
          <w:color w:val="231F1F"/>
          <w:sz w:val="22"/>
        </w:rPr>
        <w:t>el</w:t>
      </w:r>
      <w:r>
        <w:rPr>
          <w:color w:val="231F1F"/>
          <w:spacing w:val="19"/>
          <w:sz w:val="22"/>
        </w:rPr>
        <w:t> </w:t>
      </w:r>
      <w:r>
        <w:rPr>
          <w:color w:val="231F1F"/>
          <w:sz w:val="22"/>
        </w:rPr>
        <w:t>bienestar</w:t>
      </w:r>
      <w:r>
        <w:rPr>
          <w:color w:val="231F1F"/>
          <w:spacing w:val="19"/>
          <w:sz w:val="22"/>
        </w:rPr>
        <w:t> </w:t>
      </w:r>
      <w:r>
        <w:rPr>
          <w:color w:val="231F1F"/>
          <w:sz w:val="22"/>
        </w:rPr>
        <w:t>de</w:t>
      </w:r>
      <w:r>
        <w:rPr>
          <w:color w:val="231F1F"/>
          <w:spacing w:val="19"/>
          <w:sz w:val="22"/>
        </w:rPr>
        <w:t> </w:t>
      </w:r>
      <w:r>
        <w:rPr>
          <w:color w:val="231F1F"/>
          <w:sz w:val="22"/>
        </w:rPr>
        <w:t>las</w:t>
      </w:r>
      <w:r>
        <w:rPr>
          <w:color w:val="231F1F"/>
          <w:spacing w:val="20"/>
          <w:sz w:val="22"/>
        </w:rPr>
        <w:t> </w:t>
      </w:r>
      <w:r>
        <w:rPr>
          <w:color w:val="231F1F"/>
          <w:sz w:val="22"/>
        </w:rPr>
        <w:t>mujeres</w:t>
      </w:r>
      <w:r>
        <w:rPr>
          <w:color w:val="231F1F"/>
          <w:spacing w:val="19"/>
          <w:sz w:val="22"/>
        </w:rPr>
        <w:t> </w:t>
      </w:r>
      <w:r>
        <w:rPr>
          <w:color w:val="231F1F"/>
          <w:sz w:val="22"/>
        </w:rPr>
        <w:t>y</w:t>
      </w:r>
      <w:r>
        <w:rPr>
          <w:color w:val="231F1F"/>
          <w:spacing w:val="19"/>
          <w:sz w:val="22"/>
        </w:rPr>
        <w:t> </w:t>
      </w:r>
      <w:r>
        <w:rPr>
          <w:color w:val="231F1F"/>
          <w:sz w:val="22"/>
        </w:rPr>
        <w:t>sus</w:t>
      </w:r>
      <w:r>
        <w:rPr>
          <w:color w:val="231F1F"/>
          <w:spacing w:val="19"/>
          <w:sz w:val="22"/>
        </w:rPr>
        <w:t> </w:t>
      </w:r>
      <w:r>
        <w:rPr>
          <w:color w:val="231F1F"/>
          <w:sz w:val="22"/>
        </w:rPr>
        <w:t>hijos a largo plazo.</w:t>
      </w:r>
    </w:p>
    <w:p>
      <w:pPr>
        <w:pStyle w:val="ListParagraph"/>
        <w:numPr>
          <w:ilvl w:val="0"/>
          <w:numId w:val="101"/>
        </w:numPr>
        <w:tabs>
          <w:tab w:pos="950" w:val="left" w:leader="none"/>
          <w:tab w:pos="953" w:val="left" w:leader="none"/>
        </w:tabs>
        <w:spacing w:line="244" w:lineRule="auto" w:before="112" w:after="0"/>
        <w:ind w:left="953" w:right="223" w:hanging="216"/>
        <w:jc w:val="both"/>
        <w:rPr>
          <w:sz w:val="22"/>
        </w:rPr>
      </w:pPr>
      <w:r>
        <w:rPr>
          <w:color w:val="231F1F"/>
          <w:w w:val="105"/>
          <w:sz w:val="22"/>
        </w:rPr>
        <w:t>Estudios</w:t>
      </w:r>
      <w:r>
        <w:rPr>
          <w:color w:val="231F1F"/>
          <w:spacing w:val="-2"/>
          <w:w w:val="105"/>
          <w:sz w:val="22"/>
        </w:rPr>
        <w:t> </w:t>
      </w:r>
      <w:r>
        <w:rPr>
          <w:color w:val="231F1F"/>
          <w:w w:val="105"/>
          <w:sz w:val="22"/>
        </w:rPr>
        <w:t>que</w:t>
      </w:r>
      <w:r>
        <w:rPr>
          <w:color w:val="231F1F"/>
          <w:spacing w:val="-1"/>
          <w:w w:val="105"/>
          <w:sz w:val="22"/>
        </w:rPr>
        <w:t> </w:t>
      </w:r>
      <w:r>
        <w:rPr>
          <w:color w:val="231F1F"/>
          <w:w w:val="105"/>
          <w:sz w:val="22"/>
        </w:rPr>
        <w:t>evalúen</w:t>
      </w:r>
      <w:r>
        <w:rPr>
          <w:color w:val="231F1F"/>
          <w:spacing w:val="-1"/>
          <w:w w:val="105"/>
          <w:sz w:val="22"/>
        </w:rPr>
        <w:t> </w:t>
      </w:r>
      <w:r>
        <w:rPr>
          <w:color w:val="231F1F"/>
          <w:w w:val="105"/>
          <w:sz w:val="22"/>
        </w:rPr>
        <w:t>si</w:t>
      </w:r>
      <w:r>
        <w:rPr>
          <w:color w:val="231F1F"/>
          <w:spacing w:val="-2"/>
          <w:w w:val="105"/>
          <w:sz w:val="22"/>
        </w:rPr>
        <w:t> </w:t>
      </w:r>
      <w:r>
        <w:rPr>
          <w:color w:val="231F1F"/>
          <w:w w:val="105"/>
          <w:sz w:val="22"/>
        </w:rPr>
        <w:t>el</w:t>
      </w:r>
      <w:r>
        <w:rPr>
          <w:color w:val="231F1F"/>
          <w:spacing w:val="-2"/>
          <w:w w:val="105"/>
          <w:sz w:val="22"/>
        </w:rPr>
        <w:t> </w:t>
      </w:r>
      <w:r>
        <w:rPr>
          <w:color w:val="231F1F"/>
          <w:w w:val="105"/>
          <w:sz w:val="22"/>
        </w:rPr>
        <w:t>perfil</w:t>
      </w:r>
      <w:r>
        <w:rPr>
          <w:color w:val="231F1F"/>
          <w:spacing w:val="-2"/>
          <w:w w:val="105"/>
          <w:sz w:val="22"/>
        </w:rPr>
        <w:t> </w:t>
      </w:r>
      <w:r>
        <w:rPr>
          <w:color w:val="231F1F"/>
          <w:w w:val="105"/>
          <w:sz w:val="22"/>
        </w:rPr>
        <w:t>de</w:t>
      </w:r>
      <w:r>
        <w:rPr>
          <w:color w:val="231F1F"/>
          <w:spacing w:val="-1"/>
          <w:w w:val="105"/>
          <w:sz w:val="22"/>
        </w:rPr>
        <w:t> </w:t>
      </w:r>
      <w:r>
        <w:rPr>
          <w:color w:val="231F1F"/>
          <w:w w:val="105"/>
          <w:sz w:val="22"/>
        </w:rPr>
        <w:t>la</w:t>
      </w:r>
      <w:r>
        <w:rPr>
          <w:color w:val="231F1F"/>
          <w:spacing w:val="-1"/>
          <w:w w:val="105"/>
          <w:sz w:val="22"/>
        </w:rPr>
        <w:t> </w:t>
      </w:r>
      <w:r>
        <w:rPr>
          <w:color w:val="231F1F"/>
          <w:w w:val="105"/>
          <w:sz w:val="22"/>
        </w:rPr>
        <w:t>persona</w:t>
      </w:r>
      <w:r>
        <w:rPr>
          <w:color w:val="231F1F"/>
          <w:spacing w:val="-1"/>
          <w:w w:val="105"/>
          <w:sz w:val="22"/>
        </w:rPr>
        <w:t> </w:t>
      </w:r>
      <w:r>
        <w:rPr>
          <w:color w:val="231F1F"/>
          <w:w w:val="105"/>
          <w:sz w:val="22"/>
        </w:rPr>
        <w:t>que</w:t>
      </w:r>
      <w:r>
        <w:rPr>
          <w:color w:val="231F1F"/>
          <w:spacing w:val="-1"/>
          <w:w w:val="105"/>
          <w:sz w:val="22"/>
        </w:rPr>
        <w:t> </w:t>
      </w:r>
      <w:r>
        <w:rPr>
          <w:color w:val="231F1F"/>
          <w:w w:val="105"/>
          <w:sz w:val="22"/>
        </w:rPr>
        <w:t>presta</w:t>
      </w:r>
      <w:r>
        <w:rPr>
          <w:color w:val="231F1F"/>
          <w:spacing w:val="-1"/>
          <w:w w:val="105"/>
          <w:sz w:val="22"/>
        </w:rPr>
        <w:t> </w:t>
      </w:r>
      <w:r>
        <w:rPr>
          <w:color w:val="231F1F"/>
          <w:w w:val="105"/>
          <w:sz w:val="22"/>
        </w:rPr>
        <w:t>el</w:t>
      </w:r>
      <w:r>
        <w:rPr>
          <w:color w:val="231F1F"/>
          <w:spacing w:val="-2"/>
          <w:w w:val="105"/>
          <w:sz w:val="22"/>
        </w:rPr>
        <w:t> </w:t>
      </w:r>
      <w:r>
        <w:rPr>
          <w:color w:val="231F1F"/>
          <w:w w:val="105"/>
          <w:sz w:val="22"/>
        </w:rPr>
        <w:t>apoyo</w:t>
      </w:r>
      <w:r>
        <w:rPr>
          <w:color w:val="231F1F"/>
          <w:spacing w:val="-1"/>
          <w:w w:val="105"/>
          <w:sz w:val="22"/>
        </w:rPr>
        <w:t> </w:t>
      </w:r>
      <w:r>
        <w:rPr>
          <w:color w:val="231F1F"/>
          <w:w w:val="105"/>
          <w:sz w:val="22"/>
        </w:rPr>
        <w:t>continuo afecta</w:t>
      </w:r>
      <w:r>
        <w:rPr>
          <w:color w:val="231F1F"/>
          <w:spacing w:val="-2"/>
          <w:w w:val="105"/>
          <w:sz w:val="22"/>
        </w:rPr>
        <w:t> </w:t>
      </w:r>
      <w:r>
        <w:rPr>
          <w:color w:val="231F1F"/>
          <w:w w:val="105"/>
          <w:sz w:val="22"/>
        </w:rPr>
        <w:t>a los resultados clínicos.</w:t>
      </w:r>
    </w:p>
    <w:p>
      <w:pPr>
        <w:pStyle w:val="Heading5"/>
        <w:spacing w:before="170"/>
      </w:pPr>
      <w:r>
        <w:rPr>
          <w:color w:val="231F1F"/>
        </w:rPr>
        <w:t>Tratamiento</w:t>
      </w:r>
      <w:r>
        <w:rPr>
          <w:color w:val="231F1F"/>
          <w:spacing w:val="-7"/>
        </w:rPr>
        <w:t> </w:t>
      </w:r>
      <w:r>
        <w:rPr>
          <w:color w:val="231F1F"/>
        </w:rPr>
        <w:t>de</w:t>
      </w:r>
      <w:r>
        <w:rPr>
          <w:color w:val="231F1F"/>
          <w:spacing w:val="-8"/>
        </w:rPr>
        <w:t> </w:t>
      </w:r>
      <w:r>
        <w:rPr>
          <w:color w:val="231F1F"/>
          <w:spacing w:val="-2"/>
        </w:rPr>
        <w:t>retardo</w:t>
      </w:r>
    </w:p>
    <w:p>
      <w:pPr>
        <w:pStyle w:val="ListParagraph"/>
        <w:numPr>
          <w:ilvl w:val="0"/>
          <w:numId w:val="101"/>
        </w:numPr>
        <w:tabs>
          <w:tab w:pos="954" w:val="left" w:leader="none"/>
          <w:tab w:pos="956" w:val="left" w:leader="none"/>
        </w:tabs>
        <w:spacing w:line="240" w:lineRule="auto" w:before="190" w:after="0"/>
        <w:ind w:left="956" w:right="125" w:hanging="221"/>
        <w:jc w:val="both"/>
        <w:rPr>
          <w:sz w:val="22"/>
        </w:rPr>
      </w:pPr>
      <w:r>
        <w:rPr>
          <w:color w:val="231F1F"/>
          <w:w w:val="110"/>
          <w:sz w:val="22"/>
        </w:rPr>
        <w:t>Estudios</w:t>
      </w:r>
      <w:r>
        <w:rPr>
          <w:color w:val="231F1F"/>
          <w:spacing w:val="-16"/>
          <w:w w:val="110"/>
          <w:sz w:val="22"/>
        </w:rPr>
        <w:t> </w:t>
      </w:r>
      <w:r>
        <w:rPr>
          <w:color w:val="231F1F"/>
          <w:w w:val="110"/>
          <w:sz w:val="22"/>
        </w:rPr>
        <w:t>sobre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efectividad</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altas</w:t>
      </w:r>
      <w:r>
        <w:rPr>
          <w:color w:val="231F1F"/>
          <w:spacing w:val="-15"/>
          <w:w w:val="110"/>
          <w:sz w:val="22"/>
        </w:rPr>
        <w:t> </w:t>
      </w:r>
      <w:r>
        <w:rPr>
          <w:color w:val="231F1F"/>
          <w:w w:val="110"/>
          <w:sz w:val="22"/>
        </w:rPr>
        <w:t>dosis</w:t>
      </w:r>
      <w:r>
        <w:rPr>
          <w:color w:val="231F1F"/>
          <w:spacing w:val="-15"/>
          <w:w w:val="110"/>
          <w:sz w:val="22"/>
        </w:rPr>
        <w:t> </w:t>
      </w:r>
      <w:r>
        <w:rPr>
          <w:color w:val="231F1F"/>
          <w:w w:val="110"/>
          <w:sz w:val="22"/>
        </w:rPr>
        <w:t>vs</w:t>
      </w:r>
      <w:r>
        <w:rPr>
          <w:color w:val="231F1F"/>
          <w:spacing w:val="-15"/>
          <w:w w:val="110"/>
          <w:sz w:val="22"/>
        </w:rPr>
        <w:t> </w:t>
      </w:r>
      <w:r>
        <w:rPr>
          <w:color w:val="231F1F"/>
          <w:w w:val="110"/>
          <w:sz w:val="22"/>
        </w:rPr>
        <w:t>a</w:t>
      </w:r>
      <w:r>
        <w:rPr>
          <w:color w:val="231F1F"/>
          <w:spacing w:val="-16"/>
          <w:w w:val="110"/>
          <w:sz w:val="22"/>
        </w:rPr>
        <w:t> </w:t>
      </w:r>
      <w:r>
        <w:rPr>
          <w:color w:val="231F1F"/>
          <w:w w:val="110"/>
          <w:sz w:val="22"/>
        </w:rPr>
        <w:t>bajas</w:t>
      </w:r>
      <w:r>
        <w:rPr>
          <w:color w:val="231F1F"/>
          <w:spacing w:val="-15"/>
          <w:w w:val="110"/>
          <w:sz w:val="22"/>
        </w:rPr>
        <w:t> </w:t>
      </w:r>
      <w:r>
        <w:rPr>
          <w:color w:val="231F1F"/>
          <w:w w:val="110"/>
          <w:sz w:val="22"/>
        </w:rPr>
        <w:t>dosis</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oxitocina</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trata- miento del retardo de la primera etapa.</w:t>
      </w:r>
    </w:p>
    <w:p>
      <w:pPr>
        <w:pStyle w:val="BodyText"/>
        <w:spacing w:before="32"/>
      </w:pPr>
    </w:p>
    <w:p>
      <w:pPr>
        <w:spacing w:before="1"/>
        <w:ind w:left="283" w:right="0" w:firstLine="0"/>
        <w:jc w:val="left"/>
        <w:rPr>
          <w:rFonts w:ascii="Arial MT"/>
          <w:sz w:val="24"/>
        </w:rPr>
      </w:pPr>
      <w:r>
        <w:rPr>
          <w:rFonts w:ascii="Arial MT"/>
          <w:color w:val="231F1F"/>
          <w:sz w:val="24"/>
        </w:rPr>
        <w:t>Segunda</w:t>
      </w:r>
      <w:r>
        <w:rPr>
          <w:rFonts w:ascii="Arial MT"/>
          <w:color w:val="231F1F"/>
          <w:spacing w:val="16"/>
          <w:sz w:val="24"/>
        </w:rPr>
        <w:t> </w:t>
      </w:r>
      <w:r>
        <w:rPr>
          <w:rFonts w:ascii="Arial MT"/>
          <w:color w:val="231F1F"/>
          <w:sz w:val="24"/>
        </w:rPr>
        <w:t>etapa</w:t>
      </w:r>
      <w:r>
        <w:rPr>
          <w:rFonts w:ascii="Arial MT"/>
          <w:color w:val="231F1F"/>
          <w:spacing w:val="18"/>
          <w:sz w:val="24"/>
        </w:rPr>
        <w:t> </w:t>
      </w:r>
      <w:r>
        <w:rPr>
          <w:rFonts w:ascii="Arial MT"/>
          <w:color w:val="231F1F"/>
          <w:sz w:val="24"/>
        </w:rPr>
        <w:t>del</w:t>
      </w:r>
      <w:r>
        <w:rPr>
          <w:rFonts w:ascii="Arial MT"/>
          <w:color w:val="231F1F"/>
          <w:spacing w:val="17"/>
          <w:sz w:val="24"/>
        </w:rPr>
        <w:t> </w:t>
      </w:r>
      <w:r>
        <w:rPr>
          <w:rFonts w:ascii="Arial MT"/>
          <w:color w:val="231F1F"/>
          <w:spacing w:val="-2"/>
          <w:sz w:val="24"/>
        </w:rPr>
        <w:t>parto</w:t>
      </w:r>
    </w:p>
    <w:p>
      <w:pPr>
        <w:pStyle w:val="Heading5"/>
        <w:spacing w:before="232"/>
      </w:pPr>
      <w:r>
        <w:rPr>
          <w:color w:val="231F1F"/>
          <w:spacing w:val="-2"/>
        </w:rPr>
        <w:t>Duración</w:t>
      </w:r>
    </w:p>
    <w:p>
      <w:pPr>
        <w:pStyle w:val="ListParagraph"/>
        <w:numPr>
          <w:ilvl w:val="0"/>
          <w:numId w:val="101"/>
        </w:numPr>
        <w:tabs>
          <w:tab w:pos="952" w:val="left" w:leader="none"/>
          <w:tab w:pos="955" w:val="left" w:leader="none"/>
        </w:tabs>
        <w:spacing w:line="254" w:lineRule="auto" w:before="200" w:after="0"/>
        <w:ind w:left="955" w:right="245" w:hanging="220"/>
        <w:jc w:val="both"/>
        <w:rPr>
          <w:sz w:val="22"/>
        </w:rPr>
      </w:pPr>
      <w:r>
        <w:rPr>
          <w:color w:val="231F1F"/>
          <w:sz w:val="22"/>
        </w:rPr>
        <w:t>Estudios sobre la influencia de la prolongación de la fase de expulsivo sobre el suelo </w:t>
      </w:r>
      <w:r>
        <w:rPr>
          <w:color w:val="231F1F"/>
          <w:spacing w:val="-2"/>
          <w:sz w:val="22"/>
        </w:rPr>
        <w:t>pélvico.</w:t>
      </w:r>
    </w:p>
    <w:p>
      <w:pPr>
        <w:pStyle w:val="BodyText"/>
        <w:spacing w:before="26"/>
      </w:pPr>
    </w:p>
    <w:p>
      <w:pPr>
        <w:spacing w:before="0"/>
        <w:ind w:left="283" w:right="0" w:firstLine="0"/>
        <w:jc w:val="left"/>
        <w:rPr>
          <w:rFonts w:ascii="Arial MT"/>
          <w:sz w:val="24"/>
        </w:rPr>
      </w:pPr>
      <w:r>
        <w:rPr>
          <w:rFonts w:ascii="Arial MT"/>
          <w:color w:val="231F1F"/>
          <w:sz w:val="24"/>
        </w:rPr>
        <w:t>Tercera</w:t>
      </w:r>
      <w:r>
        <w:rPr>
          <w:rFonts w:ascii="Arial MT"/>
          <w:color w:val="231F1F"/>
          <w:spacing w:val="16"/>
          <w:sz w:val="24"/>
        </w:rPr>
        <w:t> </w:t>
      </w:r>
      <w:r>
        <w:rPr>
          <w:rFonts w:ascii="Arial MT"/>
          <w:color w:val="231F1F"/>
          <w:sz w:val="24"/>
        </w:rPr>
        <w:t>etapa</w:t>
      </w:r>
      <w:r>
        <w:rPr>
          <w:rFonts w:ascii="Arial MT"/>
          <w:color w:val="231F1F"/>
          <w:spacing w:val="15"/>
          <w:sz w:val="24"/>
        </w:rPr>
        <w:t> </w:t>
      </w:r>
      <w:r>
        <w:rPr>
          <w:rFonts w:ascii="Arial MT"/>
          <w:color w:val="231F1F"/>
          <w:sz w:val="24"/>
        </w:rPr>
        <w:t>del</w:t>
      </w:r>
      <w:r>
        <w:rPr>
          <w:rFonts w:ascii="Arial MT"/>
          <w:color w:val="231F1F"/>
          <w:spacing w:val="15"/>
          <w:sz w:val="24"/>
        </w:rPr>
        <w:t> </w:t>
      </w:r>
      <w:r>
        <w:rPr>
          <w:rFonts w:ascii="Arial MT"/>
          <w:color w:val="231F1F"/>
          <w:spacing w:val="-4"/>
          <w:sz w:val="24"/>
        </w:rPr>
        <w:t>Parto</w:t>
      </w:r>
    </w:p>
    <w:p>
      <w:pPr>
        <w:pStyle w:val="Heading5"/>
        <w:spacing w:before="228"/>
      </w:pPr>
      <w:r>
        <w:rPr>
          <w:color w:val="231F1F"/>
        </w:rPr>
        <w:t>Manejo</w:t>
      </w:r>
      <w:r>
        <w:rPr>
          <w:color w:val="231F1F"/>
          <w:spacing w:val="-4"/>
        </w:rPr>
        <w:t> </w:t>
      </w:r>
      <w:r>
        <w:rPr>
          <w:color w:val="231F1F"/>
        </w:rPr>
        <w:t>del</w:t>
      </w:r>
      <w:r>
        <w:rPr>
          <w:color w:val="231F1F"/>
          <w:spacing w:val="-3"/>
        </w:rPr>
        <w:t> </w:t>
      </w:r>
      <w:r>
        <w:rPr>
          <w:color w:val="231F1F"/>
          <w:spacing w:val="-2"/>
        </w:rPr>
        <w:t>alumbramiento</w:t>
      </w:r>
    </w:p>
    <w:p>
      <w:pPr>
        <w:pStyle w:val="ListParagraph"/>
        <w:numPr>
          <w:ilvl w:val="0"/>
          <w:numId w:val="101"/>
        </w:numPr>
        <w:tabs>
          <w:tab w:pos="955" w:val="left" w:leader="none"/>
        </w:tabs>
        <w:spacing w:line="254" w:lineRule="auto" w:before="200" w:after="0"/>
        <w:ind w:left="955" w:right="234" w:hanging="219"/>
        <w:jc w:val="both"/>
        <w:rPr>
          <w:sz w:val="22"/>
        </w:rPr>
      </w:pPr>
      <w:r>
        <w:rPr>
          <w:color w:val="231F1F"/>
          <w:sz w:val="22"/>
        </w:rPr>
        <w:t>Se</w:t>
      </w:r>
      <w:r>
        <w:rPr>
          <w:color w:val="231F1F"/>
          <w:spacing w:val="40"/>
          <w:sz w:val="22"/>
        </w:rPr>
        <w:t> </w:t>
      </w:r>
      <w:r>
        <w:rPr>
          <w:color w:val="231F1F"/>
          <w:sz w:val="22"/>
        </w:rPr>
        <w:t>proponen</w:t>
      </w:r>
      <w:r>
        <w:rPr>
          <w:color w:val="231F1F"/>
          <w:spacing w:val="40"/>
          <w:sz w:val="22"/>
        </w:rPr>
        <w:t> </w:t>
      </w:r>
      <w:r>
        <w:rPr>
          <w:color w:val="231F1F"/>
          <w:sz w:val="22"/>
        </w:rPr>
        <w:t>nuevas</w:t>
      </w:r>
      <w:r>
        <w:rPr>
          <w:color w:val="231F1F"/>
          <w:spacing w:val="40"/>
          <w:sz w:val="22"/>
        </w:rPr>
        <w:t> </w:t>
      </w:r>
      <w:r>
        <w:rPr>
          <w:color w:val="231F1F"/>
          <w:sz w:val="22"/>
        </w:rPr>
        <w:t>investigaciones</w:t>
      </w:r>
      <w:r>
        <w:rPr>
          <w:color w:val="231F1F"/>
          <w:spacing w:val="40"/>
          <w:sz w:val="22"/>
        </w:rPr>
        <w:t> </w:t>
      </w:r>
      <w:r>
        <w:rPr>
          <w:color w:val="231F1F"/>
          <w:sz w:val="22"/>
        </w:rPr>
        <w:t>sobre</w:t>
      </w:r>
      <w:r>
        <w:rPr>
          <w:color w:val="231F1F"/>
          <w:spacing w:val="40"/>
          <w:sz w:val="22"/>
        </w:rPr>
        <w:t> </w:t>
      </w:r>
      <w:r>
        <w:rPr>
          <w:color w:val="231F1F"/>
          <w:sz w:val="22"/>
        </w:rPr>
        <w:t>el</w:t>
      </w:r>
      <w:r>
        <w:rPr>
          <w:color w:val="231F1F"/>
          <w:spacing w:val="40"/>
          <w:sz w:val="22"/>
        </w:rPr>
        <w:t> </w:t>
      </w:r>
      <w:r>
        <w:rPr>
          <w:color w:val="231F1F"/>
          <w:sz w:val="22"/>
        </w:rPr>
        <w:t>momento</w:t>
      </w:r>
      <w:r>
        <w:rPr>
          <w:color w:val="231F1F"/>
          <w:spacing w:val="40"/>
          <w:sz w:val="22"/>
        </w:rPr>
        <w:t> </w:t>
      </w:r>
      <w:r>
        <w:rPr>
          <w:color w:val="231F1F"/>
          <w:sz w:val="22"/>
        </w:rPr>
        <w:t>del</w:t>
      </w:r>
      <w:r>
        <w:rPr>
          <w:color w:val="231F1F"/>
          <w:spacing w:val="40"/>
          <w:sz w:val="22"/>
        </w:rPr>
        <w:t> </w:t>
      </w:r>
      <w:r>
        <w:rPr>
          <w:color w:val="231F1F"/>
          <w:sz w:val="22"/>
        </w:rPr>
        <w:t>pinzamiento</w:t>
      </w:r>
      <w:r>
        <w:rPr>
          <w:color w:val="231F1F"/>
          <w:spacing w:val="40"/>
          <w:sz w:val="22"/>
        </w:rPr>
        <w:t> </w:t>
      </w:r>
      <w:r>
        <w:rPr>
          <w:color w:val="231F1F"/>
          <w:sz w:val="22"/>
        </w:rPr>
        <w:t>del</w:t>
      </w:r>
      <w:r>
        <w:rPr>
          <w:color w:val="231F1F"/>
          <w:spacing w:val="40"/>
          <w:sz w:val="22"/>
        </w:rPr>
        <w:t> </w:t>
      </w:r>
      <w:r>
        <w:rPr>
          <w:color w:val="231F1F"/>
          <w:sz w:val="22"/>
        </w:rPr>
        <w:t>cordón y sus efectos en la madre y el niño.</w:t>
      </w:r>
    </w:p>
    <w:p>
      <w:pPr>
        <w:pStyle w:val="ListParagraph"/>
        <w:spacing w:after="0" w:line="254" w:lineRule="auto"/>
        <w:jc w:val="both"/>
        <w:rPr>
          <w:sz w:val="22"/>
        </w:rPr>
        <w:sectPr>
          <w:pgSz w:w="11900" w:h="16840"/>
          <w:pgMar w:header="0" w:footer="622" w:top="1520" w:bottom="820" w:left="1417" w:right="1559"/>
        </w:sectPr>
      </w:pPr>
    </w:p>
    <w:p>
      <w:pPr>
        <w:pStyle w:val="Heading5"/>
        <w:spacing w:before="82"/>
      </w:pPr>
      <w:r>
        <w:rPr>
          <w:color w:val="231F1F"/>
        </w:rPr>
        <w:t>Utilización</w:t>
      </w:r>
      <w:r>
        <w:rPr>
          <w:color w:val="231F1F"/>
          <w:spacing w:val="-6"/>
        </w:rPr>
        <w:t> </w:t>
      </w:r>
      <w:r>
        <w:rPr>
          <w:color w:val="231F1F"/>
        </w:rPr>
        <w:t>de</w:t>
      </w:r>
      <w:r>
        <w:rPr>
          <w:color w:val="231F1F"/>
          <w:spacing w:val="-7"/>
        </w:rPr>
        <w:t> </w:t>
      </w:r>
      <w:r>
        <w:rPr>
          <w:color w:val="231F1F"/>
          <w:spacing w:val="-2"/>
        </w:rPr>
        <w:t>uterotónicos</w:t>
      </w:r>
    </w:p>
    <w:p>
      <w:pPr>
        <w:pStyle w:val="ListParagraph"/>
        <w:numPr>
          <w:ilvl w:val="0"/>
          <w:numId w:val="101"/>
        </w:numPr>
        <w:tabs>
          <w:tab w:pos="956" w:val="left" w:leader="none"/>
        </w:tabs>
        <w:spacing w:line="244" w:lineRule="auto" w:before="219" w:after="0"/>
        <w:ind w:left="956" w:right="124" w:hanging="220"/>
        <w:jc w:val="both"/>
        <w:rPr>
          <w:sz w:val="22"/>
        </w:rPr>
      </w:pPr>
      <w:r>
        <w:rPr>
          <w:color w:val="231F1F"/>
          <w:w w:val="105"/>
          <w:sz w:val="22"/>
        </w:rPr>
        <w:t>Se identifica la necesidad de investigar la efectividad de la utilización de la carbeto- cina</w:t>
      </w:r>
      <w:r>
        <w:rPr>
          <w:color w:val="231F1F"/>
          <w:spacing w:val="40"/>
          <w:w w:val="105"/>
          <w:sz w:val="22"/>
        </w:rPr>
        <w:t> </w:t>
      </w:r>
      <w:r>
        <w:rPr>
          <w:color w:val="231F1F"/>
          <w:w w:val="105"/>
          <w:sz w:val="22"/>
        </w:rPr>
        <w:t>durante</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alumbramiento</w:t>
      </w:r>
      <w:r>
        <w:rPr>
          <w:color w:val="231F1F"/>
          <w:spacing w:val="40"/>
          <w:w w:val="105"/>
          <w:sz w:val="22"/>
        </w:rPr>
        <w:t> </w:t>
      </w:r>
      <w:r>
        <w:rPr>
          <w:color w:val="231F1F"/>
          <w:w w:val="105"/>
          <w:sz w:val="22"/>
        </w:rPr>
        <w:t>dirigido</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mujeres</w:t>
      </w:r>
      <w:r>
        <w:rPr>
          <w:color w:val="231F1F"/>
          <w:spacing w:val="40"/>
          <w:w w:val="105"/>
          <w:sz w:val="22"/>
        </w:rPr>
        <w:t> </w:t>
      </w:r>
      <w:r>
        <w:rPr>
          <w:color w:val="231F1F"/>
          <w:w w:val="105"/>
          <w:sz w:val="22"/>
        </w:rPr>
        <w:t>con</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bajo</w:t>
      </w:r>
      <w:r>
        <w:rPr>
          <w:color w:val="231F1F"/>
          <w:spacing w:val="40"/>
          <w:w w:val="105"/>
          <w:sz w:val="22"/>
        </w:rPr>
        <w:t> </w:t>
      </w:r>
      <w:r>
        <w:rPr>
          <w:color w:val="231F1F"/>
          <w:w w:val="105"/>
          <w:sz w:val="22"/>
        </w:rPr>
        <w:t>riesgo.</w:t>
      </w:r>
    </w:p>
    <w:p>
      <w:pPr>
        <w:pStyle w:val="BodyText"/>
        <w:spacing w:before="32"/>
      </w:pPr>
    </w:p>
    <w:p>
      <w:pPr>
        <w:pStyle w:val="Heading5"/>
      </w:pPr>
      <w:r>
        <w:rPr>
          <w:color w:val="231F1F"/>
        </w:rPr>
        <w:t>Dosis</w:t>
      </w:r>
      <w:r>
        <w:rPr>
          <w:color w:val="231F1F"/>
          <w:spacing w:val="-10"/>
        </w:rPr>
        <w:t> </w:t>
      </w:r>
      <w:r>
        <w:rPr>
          <w:color w:val="231F1F"/>
        </w:rPr>
        <w:t>de</w:t>
      </w:r>
      <w:r>
        <w:rPr>
          <w:color w:val="231F1F"/>
          <w:spacing w:val="-5"/>
        </w:rPr>
        <w:t> </w:t>
      </w:r>
      <w:r>
        <w:rPr>
          <w:color w:val="231F1F"/>
        </w:rPr>
        <w:t>oxitocina</w:t>
      </w:r>
      <w:r>
        <w:rPr>
          <w:color w:val="231F1F"/>
          <w:spacing w:val="-3"/>
        </w:rPr>
        <w:t> </w:t>
      </w:r>
      <w:r>
        <w:rPr>
          <w:color w:val="231F1F"/>
        </w:rPr>
        <w:t>para</w:t>
      </w:r>
      <w:r>
        <w:rPr>
          <w:color w:val="231F1F"/>
          <w:spacing w:val="-4"/>
        </w:rPr>
        <w:t> </w:t>
      </w:r>
      <w:r>
        <w:rPr>
          <w:color w:val="231F1F"/>
        </w:rPr>
        <w:t>el</w:t>
      </w:r>
      <w:r>
        <w:rPr>
          <w:color w:val="231F1F"/>
          <w:spacing w:val="-4"/>
        </w:rPr>
        <w:t> </w:t>
      </w:r>
      <w:r>
        <w:rPr>
          <w:color w:val="231F1F"/>
        </w:rPr>
        <w:t>alumbramiento</w:t>
      </w:r>
      <w:r>
        <w:rPr>
          <w:color w:val="231F1F"/>
          <w:spacing w:val="-4"/>
        </w:rPr>
        <w:t> </w:t>
      </w:r>
      <w:r>
        <w:rPr>
          <w:color w:val="231F1F"/>
          <w:spacing w:val="-2"/>
        </w:rPr>
        <w:t>dirigido</w:t>
      </w:r>
    </w:p>
    <w:p>
      <w:pPr>
        <w:pStyle w:val="ListParagraph"/>
        <w:numPr>
          <w:ilvl w:val="0"/>
          <w:numId w:val="101"/>
        </w:numPr>
        <w:tabs>
          <w:tab w:pos="952" w:val="left" w:leader="none"/>
          <w:tab w:pos="956" w:val="left" w:leader="none"/>
        </w:tabs>
        <w:spacing w:line="261" w:lineRule="auto" w:before="224" w:after="0"/>
        <w:ind w:left="956" w:right="121" w:hanging="221"/>
        <w:jc w:val="both"/>
        <w:rPr>
          <w:sz w:val="22"/>
        </w:rPr>
      </w:pPr>
      <w:r>
        <w:rPr>
          <w:color w:val="231F1F"/>
          <w:sz w:val="22"/>
        </w:rPr>
        <w:t>Es</w:t>
      </w:r>
      <w:r>
        <w:rPr>
          <w:color w:val="231F1F"/>
          <w:spacing w:val="24"/>
          <w:sz w:val="22"/>
        </w:rPr>
        <w:t> </w:t>
      </w:r>
      <w:r>
        <w:rPr>
          <w:color w:val="231F1F"/>
          <w:sz w:val="22"/>
        </w:rPr>
        <w:t>necesario</w:t>
      </w:r>
      <w:r>
        <w:rPr>
          <w:color w:val="231F1F"/>
          <w:spacing w:val="24"/>
          <w:sz w:val="22"/>
        </w:rPr>
        <w:t> </w:t>
      </w:r>
      <w:r>
        <w:rPr>
          <w:color w:val="231F1F"/>
          <w:sz w:val="22"/>
        </w:rPr>
        <w:t>realizar</w:t>
      </w:r>
      <w:r>
        <w:rPr>
          <w:color w:val="231F1F"/>
          <w:spacing w:val="25"/>
          <w:sz w:val="22"/>
        </w:rPr>
        <w:t> </w:t>
      </w:r>
      <w:r>
        <w:rPr>
          <w:color w:val="231F1F"/>
          <w:sz w:val="22"/>
        </w:rPr>
        <w:t>estudios</w:t>
      </w:r>
      <w:r>
        <w:rPr>
          <w:color w:val="231F1F"/>
          <w:spacing w:val="24"/>
          <w:sz w:val="22"/>
        </w:rPr>
        <w:t> </w:t>
      </w:r>
      <w:r>
        <w:rPr>
          <w:color w:val="231F1F"/>
          <w:sz w:val="22"/>
        </w:rPr>
        <w:t>que</w:t>
      </w:r>
      <w:r>
        <w:rPr>
          <w:color w:val="231F1F"/>
          <w:spacing w:val="24"/>
          <w:sz w:val="22"/>
        </w:rPr>
        <w:t> </w:t>
      </w:r>
      <w:r>
        <w:rPr>
          <w:color w:val="231F1F"/>
          <w:sz w:val="22"/>
        </w:rPr>
        <w:t>comparen</w:t>
      </w:r>
      <w:r>
        <w:rPr>
          <w:color w:val="231F1F"/>
          <w:spacing w:val="24"/>
          <w:sz w:val="22"/>
        </w:rPr>
        <w:t> </w:t>
      </w:r>
      <w:r>
        <w:rPr>
          <w:color w:val="231F1F"/>
          <w:sz w:val="22"/>
        </w:rPr>
        <w:t>el</w:t>
      </w:r>
      <w:r>
        <w:rPr>
          <w:color w:val="231F1F"/>
          <w:spacing w:val="24"/>
          <w:sz w:val="22"/>
        </w:rPr>
        <w:t> </w:t>
      </w:r>
      <w:r>
        <w:rPr>
          <w:color w:val="231F1F"/>
          <w:sz w:val="22"/>
        </w:rPr>
        <w:t>uso</w:t>
      </w:r>
      <w:r>
        <w:rPr>
          <w:color w:val="231F1F"/>
          <w:spacing w:val="24"/>
          <w:sz w:val="22"/>
        </w:rPr>
        <w:t> </w:t>
      </w:r>
      <w:r>
        <w:rPr>
          <w:color w:val="231F1F"/>
          <w:sz w:val="22"/>
        </w:rPr>
        <w:t>de</w:t>
      </w:r>
      <w:r>
        <w:rPr>
          <w:color w:val="231F1F"/>
          <w:spacing w:val="24"/>
          <w:sz w:val="22"/>
        </w:rPr>
        <w:t> </w:t>
      </w:r>
      <w:r>
        <w:rPr>
          <w:color w:val="231F1F"/>
          <w:sz w:val="22"/>
        </w:rPr>
        <w:t>oxitocina</w:t>
      </w:r>
      <w:r>
        <w:rPr>
          <w:color w:val="231F1F"/>
          <w:spacing w:val="24"/>
          <w:sz w:val="22"/>
        </w:rPr>
        <w:t> </w:t>
      </w:r>
      <w:r>
        <w:rPr>
          <w:color w:val="231F1F"/>
          <w:sz w:val="22"/>
        </w:rPr>
        <w:t>2-3</w:t>
      </w:r>
      <w:r>
        <w:rPr>
          <w:color w:val="231F1F"/>
          <w:spacing w:val="24"/>
          <w:sz w:val="22"/>
        </w:rPr>
        <w:t> </w:t>
      </w:r>
      <w:r>
        <w:rPr>
          <w:color w:val="231F1F"/>
          <w:sz w:val="22"/>
        </w:rPr>
        <w:t>UI</w:t>
      </w:r>
      <w:r>
        <w:rPr>
          <w:color w:val="231F1F"/>
          <w:spacing w:val="24"/>
          <w:sz w:val="22"/>
        </w:rPr>
        <w:t> </w:t>
      </w:r>
      <w:r>
        <w:rPr>
          <w:color w:val="231F1F"/>
          <w:sz w:val="22"/>
        </w:rPr>
        <w:t>vs</w:t>
      </w:r>
      <w:r>
        <w:rPr>
          <w:color w:val="231F1F"/>
          <w:spacing w:val="24"/>
          <w:sz w:val="22"/>
        </w:rPr>
        <w:t> </w:t>
      </w:r>
      <w:r>
        <w:rPr>
          <w:color w:val="231F1F"/>
          <w:sz w:val="22"/>
        </w:rPr>
        <w:t>5</w:t>
      </w:r>
      <w:r>
        <w:rPr>
          <w:color w:val="231F1F"/>
          <w:spacing w:val="24"/>
          <w:sz w:val="22"/>
        </w:rPr>
        <w:t> </w:t>
      </w:r>
      <w:r>
        <w:rPr>
          <w:color w:val="231F1F"/>
          <w:sz w:val="22"/>
        </w:rPr>
        <w:t>UI-10UI y</w:t>
      </w:r>
      <w:r>
        <w:rPr>
          <w:color w:val="231F1F"/>
          <w:spacing w:val="36"/>
          <w:sz w:val="22"/>
        </w:rPr>
        <w:t> </w:t>
      </w:r>
      <w:r>
        <w:rPr>
          <w:color w:val="231F1F"/>
          <w:sz w:val="22"/>
        </w:rPr>
        <w:t>estudios</w:t>
      </w:r>
      <w:r>
        <w:rPr>
          <w:color w:val="231F1F"/>
          <w:spacing w:val="36"/>
          <w:sz w:val="22"/>
        </w:rPr>
        <w:t> </w:t>
      </w:r>
      <w:r>
        <w:rPr>
          <w:color w:val="231F1F"/>
          <w:sz w:val="22"/>
        </w:rPr>
        <w:t>que</w:t>
      </w:r>
      <w:r>
        <w:rPr>
          <w:color w:val="231F1F"/>
          <w:spacing w:val="36"/>
          <w:sz w:val="22"/>
        </w:rPr>
        <w:t> </w:t>
      </w:r>
      <w:r>
        <w:rPr>
          <w:color w:val="231F1F"/>
          <w:sz w:val="22"/>
        </w:rPr>
        <w:t>investiguen</w:t>
      </w:r>
      <w:r>
        <w:rPr>
          <w:color w:val="231F1F"/>
          <w:spacing w:val="37"/>
          <w:sz w:val="22"/>
        </w:rPr>
        <w:t> </w:t>
      </w:r>
      <w:r>
        <w:rPr>
          <w:color w:val="231F1F"/>
          <w:sz w:val="22"/>
        </w:rPr>
        <w:t>los</w:t>
      </w:r>
      <w:r>
        <w:rPr>
          <w:color w:val="231F1F"/>
          <w:spacing w:val="36"/>
          <w:sz w:val="22"/>
        </w:rPr>
        <w:t> </w:t>
      </w:r>
      <w:r>
        <w:rPr>
          <w:color w:val="231F1F"/>
          <w:sz w:val="22"/>
        </w:rPr>
        <w:t>efectos</w:t>
      </w:r>
      <w:r>
        <w:rPr>
          <w:color w:val="231F1F"/>
          <w:spacing w:val="36"/>
          <w:sz w:val="22"/>
        </w:rPr>
        <w:t> </w:t>
      </w:r>
      <w:r>
        <w:rPr>
          <w:color w:val="231F1F"/>
          <w:sz w:val="22"/>
        </w:rPr>
        <w:t>del</w:t>
      </w:r>
      <w:r>
        <w:rPr>
          <w:color w:val="231F1F"/>
          <w:spacing w:val="36"/>
          <w:sz w:val="22"/>
        </w:rPr>
        <w:t> </w:t>
      </w:r>
      <w:r>
        <w:rPr>
          <w:color w:val="231F1F"/>
          <w:sz w:val="22"/>
        </w:rPr>
        <w:t>modo</w:t>
      </w:r>
      <w:r>
        <w:rPr>
          <w:color w:val="231F1F"/>
          <w:spacing w:val="36"/>
          <w:sz w:val="22"/>
        </w:rPr>
        <w:t> </w:t>
      </w:r>
      <w:r>
        <w:rPr>
          <w:color w:val="231F1F"/>
          <w:sz w:val="22"/>
        </w:rPr>
        <w:t>de</w:t>
      </w:r>
      <w:r>
        <w:rPr>
          <w:color w:val="231F1F"/>
          <w:spacing w:val="36"/>
          <w:sz w:val="22"/>
        </w:rPr>
        <w:t> </w:t>
      </w:r>
      <w:r>
        <w:rPr>
          <w:color w:val="231F1F"/>
          <w:sz w:val="22"/>
        </w:rPr>
        <w:t>administración</w:t>
      </w:r>
      <w:r>
        <w:rPr>
          <w:color w:val="231F1F"/>
          <w:spacing w:val="35"/>
          <w:sz w:val="22"/>
        </w:rPr>
        <w:t> </w:t>
      </w:r>
      <w:r>
        <w:rPr>
          <w:color w:val="231F1F"/>
          <w:sz w:val="22"/>
        </w:rPr>
        <w:t>rápida</w:t>
      </w:r>
      <w:r>
        <w:rPr>
          <w:color w:val="231F1F"/>
          <w:spacing w:val="36"/>
          <w:sz w:val="22"/>
        </w:rPr>
        <w:t> </w:t>
      </w:r>
      <w:r>
        <w:rPr>
          <w:color w:val="231F1F"/>
          <w:sz w:val="22"/>
        </w:rPr>
        <w:t>o</w:t>
      </w:r>
      <w:r>
        <w:rPr>
          <w:color w:val="231F1F"/>
          <w:spacing w:val="36"/>
          <w:sz w:val="22"/>
        </w:rPr>
        <w:t> </w:t>
      </w:r>
      <w:r>
        <w:rPr>
          <w:color w:val="231F1F"/>
          <w:sz w:val="22"/>
        </w:rPr>
        <w:t>lenta</w:t>
      </w:r>
      <w:r>
        <w:rPr>
          <w:color w:val="231F1F"/>
          <w:spacing w:val="36"/>
          <w:sz w:val="22"/>
        </w:rPr>
        <w:t> </w:t>
      </w:r>
      <w:r>
        <w:rPr>
          <w:color w:val="231F1F"/>
          <w:sz w:val="22"/>
        </w:rPr>
        <w:t>en los</w:t>
      </w:r>
      <w:r>
        <w:rPr>
          <w:color w:val="231F1F"/>
          <w:spacing w:val="40"/>
          <w:sz w:val="22"/>
        </w:rPr>
        <w:t> </w:t>
      </w:r>
      <w:r>
        <w:rPr>
          <w:color w:val="231F1F"/>
          <w:sz w:val="22"/>
        </w:rPr>
        <w:t>resultados</w:t>
      </w:r>
      <w:r>
        <w:rPr>
          <w:color w:val="231F1F"/>
          <w:spacing w:val="40"/>
          <w:sz w:val="22"/>
        </w:rPr>
        <w:t> </w:t>
      </w:r>
      <w:r>
        <w:rPr>
          <w:color w:val="231F1F"/>
          <w:sz w:val="22"/>
        </w:rPr>
        <w:t>maternos</w:t>
      </w:r>
      <w:r>
        <w:rPr>
          <w:color w:val="231F1F"/>
          <w:spacing w:val="40"/>
          <w:sz w:val="22"/>
        </w:rPr>
        <w:t> </w:t>
      </w:r>
      <w:r>
        <w:rPr>
          <w:color w:val="231F1F"/>
          <w:sz w:val="22"/>
        </w:rPr>
        <w:t>y</w:t>
      </w:r>
      <w:r>
        <w:rPr>
          <w:color w:val="231F1F"/>
          <w:spacing w:val="40"/>
          <w:sz w:val="22"/>
        </w:rPr>
        <w:t> </w:t>
      </w:r>
      <w:r>
        <w:rPr>
          <w:color w:val="231F1F"/>
          <w:sz w:val="22"/>
        </w:rPr>
        <w:t>neonatales.</w:t>
      </w:r>
    </w:p>
    <w:p>
      <w:pPr>
        <w:pStyle w:val="BodyText"/>
        <w:spacing w:before="123"/>
      </w:pPr>
    </w:p>
    <w:p>
      <w:pPr>
        <w:spacing w:before="1"/>
        <w:ind w:left="283" w:right="0" w:firstLine="0"/>
        <w:jc w:val="left"/>
        <w:rPr>
          <w:rFonts w:ascii="Arial MT" w:hAnsi="Arial MT"/>
          <w:sz w:val="24"/>
        </w:rPr>
      </w:pPr>
      <w:r>
        <w:rPr>
          <w:rFonts w:ascii="Arial MT" w:hAnsi="Arial MT"/>
          <w:color w:val="231F1F"/>
          <w:w w:val="105"/>
          <w:sz w:val="24"/>
        </w:rPr>
        <w:t>Cuidados</w:t>
      </w:r>
      <w:r>
        <w:rPr>
          <w:rFonts w:ascii="Arial MT" w:hAnsi="Arial MT"/>
          <w:color w:val="231F1F"/>
          <w:spacing w:val="-12"/>
          <w:w w:val="105"/>
          <w:sz w:val="24"/>
        </w:rPr>
        <w:t> </w:t>
      </w:r>
      <w:r>
        <w:rPr>
          <w:rFonts w:ascii="Arial MT" w:hAnsi="Arial MT"/>
          <w:color w:val="231F1F"/>
          <w:w w:val="105"/>
          <w:sz w:val="24"/>
        </w:rPr>
        <w:t>del</w:t>
      </w:r>
      <w:r>
        <w:rPr>
          <w:rFonts w:ascii="Arial MT" w:hAnsi="Arial MT"/>
          <w:color w:val="231F1F"/>
          <w:spacing w:val="-14"/>
          <w:w w:val="105"/>
          <w:sz w:val="24"/>
        </w:rPr>
        <w:t> </w:t>
      </w:r>
      <w:r>
        <w:rPr>
          <w:rFonts w:ascii="Arial MT" w:hAnsi="Arial MT"/>
          <w:color w:val="231F1F"/>
          <w:w w:val="105"/>
          <w:sz w:val="24"/>
        </w:rPr>
        <w:t>recién</w:t>
      </w:r>
      <w:r>
        <w:rPr>
          <w:rFonts w:ascii="Arial MT" w:hAnsi="Arial MT"/>
          <w:color w:val="231F1F"/>
          <w:spacing w:val="-12"/>
          <w:w w:val="105"/>
          <w:sz w:val="24"/>
        </w:rPr>
        <w:t> </w:t>
      </w:r>
      <w:r>
        <w:rPr>
          <w:rFonts w:ascii="Arial MT" w:hAnsi="Arial MT"/>
          <w:color w:val="231F1F"/>
          <w:spacing w:val="-2"/>
          <w:w w:val="105"/>
          <w:sz w:val="24"/>
        </w:rPr>
        <w:t>nacido</w:t>
      </w:r>
    </w:p>
    <w:p>
      <w:pPr>
        <w:pStyle w:val="Heading5"/>
        <w:spacing w:before="170"/>
      </w:pPr>
      <w:r>
        <w:rPr>
          <w:color w:val="231F1F"/>
        </w:rPr>
        <w:t>Pinzamiento</w:t>
      </w:r>
      <w:r>
        <w:rPr>
          <w:color w:val="231F1F"/>
          <w:spacing w:val="-4"/>
        </w:rPr>
        <w:t> </w:t>
      </w:r>
      <w:r>
        <w:rPr>
          <w:color w:val="231F1F"/>
        </w:rPr>
        <w:t>del</w:t>
      </w:r>
      <w:r>
        <w:rPr>
          <w:color w:val="231F1F"/>
          <w:spacing w:val="-4"/>
        </w:rPr>
        <w:t> </w:t>
      </w:r>
      <w:r>
        <w:rPr>
          <w:color w:val="231F1F"/>
        </w:rPr>
        <w:t>cordón</w:t>
      </w:r>
      <w:r>
        <w:rPr>
          <w:color w:val="231F1F"/>
          <w:spacing w:val="-2"/>
        </w:rPr>
        <w:t> umbilical</w:t>
      </w:r>
    </w:p>
    <w:p>
      <w:pPr>
        <w:pStyle w:val="ListParagraph"/>
        <w:numPr>
          <w:ilvl w:val="1"/>
          <w:numId w:val="101"/>
        </w:numPr>
        <w:tabs>
          <w:tab w:pos="1047" w:val="left" w:leader="none"/>
          <w:tab w:pos="1089" w:val="left" w:leader="none"/>
        </w:tabs>
        <w:spacing w:line="268" w:lineRule="auto" w:before="229" w:after="0"/>
        <w:ind w:left="1089" w:right="169" w:hanging="260"/>
        <w:jc w:val="left"/>
        <w:rPr>
          <w:sz w:val="22"/>
        </w:rPr>
      </w:pPr>
      <w:r>
        <w:rPr>
          <w:color w:val="231F1F"/>
          <w:sz w:val="22"/>
        </w:rPr>
        <w:t>Se</w:t>
      </w:r>
      <w:r>
        <w:rPr>
          <w:color w:val="231F1F"/>
          <w:spacing w:val="33"/>
          <w:sz w:val="22"/>
        </w:rPr>
        <w:t> </w:t>
      </w:r>
      <w:r>
        <w:rPr>
          <w:color w:val="231F1F"/>
          <w:sz w:val="22"/>
        </w:rPr>
        <w:t>precisan</w:t>
      </w:r>
      <w:r>
        <w:rPr>
          <w:color w:val="231F1F"/>
          <w:spacing w:val="33"/>
          <w:sz w:val="22"/>
        </w:rPr>
        <w:t> </w:t>
      </w:r>
      <w:r>
        <w:rPr>
          <w:color w:val="231F1F"/>
          <w:sz w:val="22"/>
        </w:rPr>
        <w:t>nuevos</w:t>
      </w:r>
      <w:r>
        <w:rPr>
          <w:color w:val="231F1F"/>
          <w:spacing w:val="33"/>
          <w:sz w:val="22"/>
        </w:rPr>
        <w:t> </w:t>
      </w:r>
      <w:r>
        <w:rPr>
          <w:color w:val="231F1F"/>
          <w:sz w:val="22"/>
        </w:rPr>
        <w:t>estudios</w:t>
      </w:r>
      <w:r>
        <w:rPr>
          <w:color w:val="231F1F"/>
          <w:spacing w:val="33"/>
          <w:sz w:val="22"/>
        </w:rPr>
        <w:t> </w:t>
      </w:r>
      <w:r>
        <w:rPr>
          <w:color w:val="231F1F"/>
          <w:sz w:val="22"/>
        </w:rPr>
        <w:t>para</w:t>
      </w:r>
      <w:r>
        <w:rPr>
          <w:color w:val="231F1F"/>
          <w:spacing w:val="33"/>
          <w:sz w:val="22"/>
        </w:rPr>
        <w:t> </w:t>
      </w:r>
      <w:r>
        <w:rPr>
          <w:color w:val="231F1F"/>
          <w:sz w:val="22"/>
        </w:rPr>
        <w:t>dilucidar</w:t>
      </w:r>
      <w:r>
        <w:rPr>
          <w:color w:val="231F1F"/>
          <w:spacing w:val="33"/>
          <w:sz w:val="22"/>
        </w:rPr>
        <w:t> </w:t>
      </w:r>
      <w:r>
        <w:rPr>
          <w:color w:val="231F1F"/>
          <w:sz w:val="22"/>
        </w:rPr>
        <w:t>el</w:t>
      </w:r>
      <w:r>
        <w:rPr>
          <w:color w:val="231F1F"/>
          <w:spacing w:val="33"/>
          <w:sz w:val="22"/>
        </w:rPr>
        <w:t> </w:t>
      </w:r>
      <w:r>
        <w:rPr>
          <w:color w:val="231F1F"/>
          <w:sz w:val="22"/>
        </w:rPr>
        <w:t>tiempo</w:t>
      </w:r>
      <w:r>
        <w:rPr>
          <w:color w:val="231F1F"/>
          <w:spacing w:val="33"/>
          <w:sz w:val="22"/>
        </w:rPr>
        <w:t> </w:t>
      </w:r>
      <w:r>
        <w:rPr>
          <w:color w:val="231F1F"/>
          <w:sz w:val="22"/>
        </w:rPr>
        <w:t>adecuado</w:t>
      </w:r>
      <w:r>
        <w:rPr>
          <w:color w:val="231F1F"/>
          <w:spacing w:val="33"/>
          <w:sz w:val="22"/>
        </w:rPr>
        <w:t> </w:t>
      </w:r>
      <w:r>
        <w:rPr>
          <w:color w:val="231F1F"/>
          <w:sz w:val="22"/>
        </w:rPr>
        <w:t>del</w:t>
      </w:r>
      <w:r>
        <w:rPr>
          <w:color w:val="231F1F"/>
          <w:spacing w:val="33"/>
          <w:sz w:val="22"/>
        </w:rPr>
        <w:t> </w:t>
      </w:r>
      <w:r>
        <w:rPr>
          <w:color w:val="231F1F"/>
          <w:sz w:val="22"/>
        </w:rPr>
        <w:t>pinzamiento</w:t>
      </w:r>
      <w:r>
        <w:rPr>
          <w:color w:val="231F1F"/>
          <w:spacing w:val="33"/>
          <w:sz w:val="22"/>
        </w:rPr>
        <w:t> </w:t>
      </w:r>
      <w:r>
        <w:rPr>
          <w:color w:val="231F1F"/>
          <w:sz w:val="22"/>
        </w:rPr>
        <w:t>(1', 2’,</w:t>
      </w:r>
      <w:r>
        <w:rPr>
          <w:color w:val="231F1F"/>
          <w:spacing w:val="14"/>
          <w:sz w:val="22"/>
        </w:rPr>
        <w:t> </w:t>
      </w:r>
      <w:r>
        <w:rPr>
          <w:color w:val="231F1F"/>
          <w:sz w:val="22"/>
        </w:rPr>
        <w:t>tras</w:t>
      </w:r>
      <w:r>
        <w:rPr>
          <w:color w:val="231F1F"/>
          <w:spacing w:val="14"/>
          <w:sz w:val="22"/>
        </w:rPr>
        <w:t> </w:t>
      </w:r>
      <w:r>
        <w:rPr>
          <w:color w:val="231F1F"/>
          <w:sz w:val="22"/>
        </w:rPr>
        <w:t>respiración</w:t>
      </w:r>
      <w:r>
        <w:rPr>
          <w:color w:val="231F1F"/>
          <w:spacing w:val="17"/>
          <w:sz w:val="22"/>
        </w:rPr>
        <w:t> </w:t>
      </w:r>
      <w:r>
        <w:rPr>
          <w:color w:val="231F1F"/>
          <w:sz w:val="22"/>
        </w:rPr>
        <w:t>o</w:t>
      </w:r>
      <w:r>
        <w:rPr>
          <w:color w:val="231F1F"/>
          <w:spacing w:val="14"/>
          <w:sz w:val="22"/>
        </w:rPr>
        <w:t> </w:t>
      </w:r>
      <w:r>
        <w:rPr>
          <w:color w:val="231F1F"/>
          <w:sz w:val="22"/>
        </w:rPr>
        <w:t>tras</w:t>
      </w:r>
      <w:r>
        <w:rPr>
          <w:color w:val="231F1F"/>
          <w:spacing w:val="15"/>
          <w:sz w:val="22"/>
        </w:rPr>
        <w:t> </w:t>
      </w:r>
      <w:r>
        <w:rPr>
          <w:color w:val="231F1F"/>
          <w:sz w:val="22"/>
        </w:rPr>
        <w:t>latido</w:t>
      </w:r>
      <w:r>
        <w:rPr>
          <w:color w:val="231F1F"/>
          <w:spacing w:val="14"/>
          <w:sz w:val="22"/>
        </w:rPr>
        <w:t> </w:t>
      </w:r>
      <w:r>
        <w:rPr>
          <w:color w:val="231F1F"/>
          <w:sz w:val="22"/>
        </w:rPr>
        <w:t>y</w:t>
      </w:r>
      <w:r>
        <w:rPr>
          <w:color w:val="231F1F"/>
          <w:spacing w:val="15"/>
          <w:sz w:val="22"/>
        </w:rPr>
        <w:t> </w:t>
      </w:r>
      <w:r>
        <w:rPr>
          <w:color w:val="231F1F"/>
          <w:sz w:val="22"/>
        </w:rPr>
        <w:t>el</w:t>
      </w:r>
      <w:r>
        <w:rPr>
          <w:color w:val="231F1F"/>
          <w:spacing w:val="14"/>
          <w:sz w:val="22"/>
        </w:rPr>
        <w:t> </w:t>
      </w:r>
      <w:r>
        <w:rPr>
          <w:color w:val="231F1F"/>
          <w:sz w:val="22"/>
        </w:rPr>
        <w:t>balance</w:t>
      </w:r>
      <w:r>
        <w:rPr>
          <w:color w:val="231F1F"/>
          <w:spacing w:val="14"/>
          <w:sz w:val="22"/>
        </w:rPr>
        <w:t> </w:t>
      </w:r>
      <w:r>
        <w:rPr>
          <w:color w:val="231F1F"/>
          <w:sz w:val="22"/>
        </w:rPr>
        <w:t>riesgo-beneficio</w:t>
      </w:r>
      <w:r>
        <w:rPr>
          <w:color w:val="231F1F"/>
          <w:spacing w:val="15"/>
          <w:sz w:val="22"/>
        </w:rPr>
        <w:t> </w:t>
      </w:r>
      <w:r>
        <w:rPr>
          <w:color w:val="231F1F"/>
          <w:sz w:val="22"/>
        </w:rPr>
        <w:t>del</w:t>
      </w:r>
      <w:r>
        <w:rPr>
          <w:color w:val="231F1F"/>
          <w:spacing w:val="14"/>
          <w:sz w:val="22"/>
        </w:rPr>
        <w:t> </w:t>
      </w:r>
      <w:r>
        <w:rPr>
          <w:color w:val="231F1F"/>
          <w:sz w:val="22"/>
        </w:rPr>
        <w:t>niño</w:t>
      </w:r>
      <w:r>
        <w:rPr>
          <w:color w:val="231F1F"/>
          <w:spacing w:val="15"/>
          <w:sz w:val="22"/>
        </w:rPr>
        <w:t> </w:t>
      </w:r>
      <w:r>
        <w:rPr>
          <w:color w:val="231F1F"/>
          <w:sz w:val="22"/>
        </w:rPr>
        <w:t>y</w:t>
      </w:r>
      <w:r>
        <w:rPr>
          <w:color w:val="231F1F"/>
          <w:spacing w:val="14"/>
          <w:sz w:val="22"/>
        </w:rPr>
        <w:t> </w:t>
      </w:r>
      <w:r>
        <w:rPr>
          <w:color w:val="231F1F"/>
          <w:sz w:val="22"/>
        </w:rPr>
        <w:t>de</w:t>
      </w:r>
      <w:r>
        <w:rPr>
          <w:color w:val="231F1F"/>
          <w:spacing w:val="15"/>
          <w:sz w:val="22"/>
        </w:rPr>
        <w:t> </w:t>
      </w:r>
      <w:r>
        <w:rPr>
          <w:color w:val="231F1F"/>
          <w:sz w:val="22"/>
        </w:rPr>
        <w:t>la</w:t>
      </w:r>
      <w:r>
        <w:rPr>
          <w:color w:val="231F1F"/>
          <w:spacing w:val="14"/>
          <w:sz w:val="22"/>
        </w:rPr>
        <w:t> </w:t>
      </w:r>
      <w:r>
        <w:rPr>
          <w:color w:val="231F1F"/>
          <w:sz w:val="22"/>
        </w:rPr>
        <w:t>madre.</w:t>
      </w:r>
    </w:p>
    <w:p>
      <w:pPr>
        <w:pStyle w:val="Heading5"/>
        <w:spacing w:before="191"/>
      </w:pPr>
      <w:r>
        <w:rPr>
          <w:color w:val="231F1F"/>
        </w:rPr>
        <w:t>Lactancia</w:t>
      </w:r>
      <w:r>
        <w:rPr>
          <w:color w:val="231F1F"/>
          <w:spacing w:val="-14"/>
        </w:rPr>
        <w:t> </w:t>
      </w:r>
      <w:r>
        <w:rPr>
          <w:color w:val="231F1F"/>
          <w:spacing w:val="-2"/>
        </w:rPr>
        <w:t>materna</w:t>
      </w:r>
    </w:p>
    <w:p>
      <w:pPr>
        <w:pStyle w:val="ListParagraph"/>
        <w:numPr>
          <w:ilvl w:val="0"/>
          <w:numId w:val="101"/>
        </w:numPr>
        <w:tabs>
          <w:tab w:pos="956" w:val="left" w:leader="none"/>
        </w:tabs>
        <w:spacing w:line="249" w:lineRule="auto" w:before="219" w:after="0"/>
        <w:ind w:left="956" w:right="115" w:hanging="221"/>
        <w:jc w:val="both"/>
        <w:rPr>
          <w:sz w:val="22"/>
        </w:rPr>
      </w:pPr>
      <w:r>
        <w:rPr>
          <w:color w:val="231F1F"/>
          <w:w w:val="105"/>
          <w:sz w:val="22"/>
        </w:rPr>
        <w:t>Futuras</w:t>
      </w:r>
      <w:r>
        <w:rPr>
          <w:color w:val="231F1F"/>
          <w:w w:val="105"/>
          <w:sz w:val="22"/>
        </w:rPr>
        <w:t> investigaciones</w:t>
      </w:r>
      <w:r>
        <w:rPr>
          <w:color w:val="231F1F"/>
          <w:w w:val="105"/>
          <w:sz w:val="22"/>
        </w:rPr>
        <w:t> que</w:t>
      </w:r>
      <w:r>
        <w:rPr>
          <w:color w:val="231F1F"/>
          <w:w w:val="105"/>
          <w:sz w:val="22"/>
        </w:rPr>
        <w:t> estudien</w:t>
      </w:r>
      <w:r>
        <w:rPr>
          <w:color w:val="231F1F"/>
          <w:w w:val="105"/>
          <w:sz w:val="22"/>
        </w:rPr>
        <w:t> variables</w:t>
      </w:r>
      <w:r>
        <w:rPr>
          <w:color w:val="231F1F"/>
          <w:w w:val="105"/>
          <w:sz w:val="22"/>
        </w:rPr>
        <w:t> de</w:t>
      </w:r>
      <w:r>
        <w:rPr>
          <w:color w:val="231F1F"/>
          <w:w w:val="105"/>
          <w:sz w:val="22"/>
        </w:rPr>
        <w:t> resultados</w:t>
      </w:r>
      <w:r>
        <w:rPr>
          <w:color w:val="231F1F"/>
          <w:w w:val="105"/>
          <w:sz w:val="22"/>
        </w:rPr>
        <w:t> tales</w:t>
      </w:r>
      <w:r>
        <w:rPr>
          <w:color w:val="231F1F"/>
          <w:w w:val="105"/>
          <w:sz w:val="22"/>
        </w:rPr>
        <w:t> como</w:t>
      </w:r>
      <w:r>
        <w:rPr>
          <w:color w:val="231F1F"/>
          <w:w w:val="105"/>
          <w:sz w:val="22"/>
        </w:rPr>
        <w:t> duración</w:t>
      </w:r>
      <w:r>
        <w:rPr>
          <w:color w:val="231F1F"/>
          <w:spacing w:val="80"/>
          <w:w w:val="105"/>
          <w:sz w:val="22"/>
        </w:rPr>
        <w:t> </w:t>
      </w:r>
      <w:r>
        <w:rPr>
          <w:color w:val="231F1F"/>
          <w:w w:val="105"/>
          <w:sz w:val="22"/>
        </w:rPr>
        <w:t>del</w:t>
      </w:r>
      <w:r>
        <w:rPr>
          <w:color w:val="231F1F"/>
          <w:w w:val="105"/>
          <w:sz w:val="22"/>
        </w:rPr>
        <w:t> periodo</w:t>
      </w:r>
      <w:r>
        <w:rPr>
          <w:color w:val="231F1F"/>
          <w:w w:val="105"/>
          <w:sz w:val="22"/>
        </w:rPr>
        <w:t> de</w:t>
      </w:r>
      <w:r>
        <w:rPr>
          <w:color w:val="231F1F"/>
          <w:w w:val="105"/>
          <w:sz w:val="22"/>
        </w:rPr>
        <w:t> alumbramiento,</w:t>
      </w:r>
      <w:r>
        <w:rPr>
          <w:color w:val="231F1F"/>
          <w:w w:val="105"/>
          <w:sz w:val="22"/>
        </w:rPr>
        <w:t> necesidad</w:t>
      </w:r>
      <w:r>
        <w:rPr>
          <w:color w:val="231F1F"/>
          <w:w w:val="105"/>
          <w:sz w:val="22"/>
        </w:rPr>
        <w:t> de</w:t>
      </w:r>
      <w:r>
        <w:rPr>
          <w:color w:val="231F1F"/>
          <w:w w:val="105"/>
          <w:sz w:val="22"/>
        </w:rPr>
        <w:t> oxitocina</w:t>
      </w:r>
      <w:r>
        <w:rPr>
          <w:color w:val="231F1F"/>
          <w:w w:val="105"/>
          <w:sz w:val="22"/>
        </w:rPr>
        <w:t> terapéutica,</w:t>
      </w:r>
      <w:r>
        <w:rPr>
          <w:color w:val="231F1F"/>
          <w:w w:val="105"/>
          <w:sz w:val="22"/>
        </w:rPr>
        <w:t> tasa</w:t>
      </w:r>
      <w:r>
        <w:rPr>
          <w:color w:val="231F1F"/>
          <w:w w:val="105"/>
          <w:sz w:val="22"/>
        </w:rPr>
        <w:t> de</w:t>
      </w:r>
      <w:r>
        <w:rPr>
          <w:color w:val="231F1F"/>
          <w:w w:val="105"/>
          <w:sz w:val="22"/>
        </w:rPr>
        <w:t> extrac- ciones manuales de placenta, hemorragias, tasas de lactancia materna a corto y largo plazo y vínculo madre-hijo.</w:t>
      </w:r>
    </w:p>
    <w:p>
      <w:pPr>
        <w:pStyle w:val="BodyText"/>
        <w:spacing w:before="39"/>
      </w:pPr>
    </w:p>
    <w:p>
      <w:pPr>
        <w:pStyle w:val="Heading4"/>
      </w:pPr>
      <w:r>
        <w:rPr>
          <w:color w:val="231F1F"/>
        </w:rPr>
        <w:t>Producto</w:t>
      </w:r>
      <w:r>
        <w:rPr>
          <w:color w:val="231F1F"/>
          <w:spacing w:val="32"/>
        </w:rPr>
        <w:t> </w:t>
      </w:r>
      <w:r>
        <w:rPr>
          <w:color w:val="231F1F"/>
        </w:rPr>
        <w:t>más</w:t>
      </w:r>
      <w:r>
        <w:rPr>
          <w:color w:val="231F1F"/>
          <w:spacing w:val="34"/>
        </w:rPr>
        <w:t> </w:t>
      </w:r>
      <w:r>
        <w:rPr>
          <w:color w:val="231F1F"/>
        </w:rPr>
        <w:t>eficaz</w:t>
      </w:r>
      <w:r>
        <w:rPr>
          <w:color w:val="231F1F"/>
          <w:spacing w:val="34"/>
        </w:rPr>
        <w:t> </w:t>
      </w:r>
      <w:r>
        <w:rPr>
          <w:color w:val="231F1F"/>
        </w:rPr>
        <w:t>para</w:t>
      </w:r>
      <w:r>
        <w:rPr>
          <w:color w:val="231F1F"/>
          <w:spacing w:val="35"/>
        </w:rPr>
        <w:t> </w:t>
      </w:r>
      <w:r>
        <w:rPr>
          <w:color w:val="231F1F"/>
        </w:rPr>
        <w:t>la</w:t>
      </w:r>
      <w:r>
        <w:rPr>
          <w:color w:val="231F1F"/>
          <w:spacing w:val="34"/>
        </w:rPr>
        <w:t> </w:t>
      </w:r>
      <w:r>
        <w:rPr>
          <w:color w:val="231F1F"/>
        </w:rPr>
        <w:t>profilaxis</w:t>
      </w:r>
      <w:r>
        <w:rPr>
          <w:color w:val="231F1F"/>
          <w:spacing w:val="34"/>
        </w:rPr>
        <w:t> </w:t>
      </w:r>
      <w:r>
        <w:rPr>
          <w:color w:val="231F1F"/>
        </w:rPr>
        <w:t>oftálmica</w:t>
      </w:r>
      <w:r>
        <w:rPr>
          <w:color w:val="231F1F"/>
          <w:spacing w:val="34"/>
        </w:rPr>
        <w:t> </w:t>
      </w:r>
      <w:r>
        <w:rPr>
          <w:color w:val="231F1F"/>
        </w:rPr>
        <w:t>del</w:t>
      </w:r>
      <w:r>
        <w:rPr>
          <w:color w:val="231F1F"/>
          <w:spacing w:val="33"/>
        </w:rPr>
        <w:t> </w:t>
      </w:r>
      <w:r>
        <w:rPr>
          <w:color w:val="231F1F"/>
          <w:spacing w:val="-5"/>
        </w:rPr>
        <w:t>RN</w:t>
      </w:r>
    </w:p>
    <w:p>
      <w:pPr>
        <w:pStyle w:val="ListParagraph"/>
        <w:numPr>
          <w:ilvl w:val="1"/>
          <w:numId w:val="101"/>
        </w:numPr>
        <w:tabs>
          <w:tab w:pos="1072" w:val="left" w:leader="none"/>
        </w:tabs>
        <w:spacing w:line="240" w:lineRule="auto" w:before="214" w:after="0"/>
        <w:ind w:left="1072" w:right="0" w:hanging="217"/>
        <w:jc w:val="both"/>
        <w:rPr>
          <w:sz w:val="22"/>
        </w:rPr>
      </w:pPr>
      <w:r>
        <w:rPr>
          <w:color w:val="231F1F"/>
          <w:sz w:val="22"/>
        </w:rPr>
        <w:t>Se</w:t>
      </w:r>
      <w:r>
        <w:rPr>
          <w:color w:val="231F1F"/>
          <w:spacing w:val="11"/>
          <w:sz w:val="22"/>
        </w:rPr>
        <w:t> </w:t>
      </w:r>
      <w:r>
        <w:rPr>
          <w:color w:val="231F1F"/>
          <w:sz w:val="22"/>
        </w:rPr>
        <w:t>necesitarían</w:t>
      </w:r>
      <w:r>
        <w:rPr>
          <w:color w:val="231F1F"/>
          <w:spacing w:val="14"/>
          <w:sz w:val="22"/>
        </w:rPr>
        <w:t> </w:t>
      </w:r>
      <w:r>
        <w:rPr>
          <w:color w:val="231F1F"/>
          <w:sz w:val="22"/>
        </w:rPr>
        <w:t>estudios</w:t>
      </w:r>
      <w:r>
        <w:rPr>
          <w:color w:val="231F1F"/>
          <w:spacing w:val="15"/>
          <w:sz w:val="22"/>
        </w:rPr>
        <w:t> </w:t>
      </w:r>
      <w:r>
        <w:rPr>
          <w:color w:val="231F1F"/>
          <w:sz w:val="22"/>
        </w:rPr>
        <w:t>de</w:t>
      </w:r>
      <w:r>
        <w:rPr>
          <w:color w:val="231F1F"/>
          <w:spacing w:val="13"/>
          <w:sz w:val="22"/>
        </w:rPr>
        <w:t> </w:t>
      </w:r>
      <w:r>
        <w:rPr>
          <w:color w:val="231F1F"/>
          <w:sz w:val="22"/>
        </w:rPr>
        <w:t>alta</w:t>
      </w:r>
      <w:r>
        <w:rPr>
          <w:color w:val="231F1F"/>
          <w:spacing w:val="14"/>
          <w:sz w:val="22"/>
        </w:rPr>
        <w:t> </w:t>
      </w:r>
      <w:r>
        <w:rPr>
          <w:color w:val="231F1F"/>
          <w:sz w:val="22"/>
        </w:rPr>
        <w:t>calidad</w:t>
      </w:r>
      <w:r>
        <w:rPr>
          <w:color w:val="231F1F"/>
          <w:spacing w:val="15"/>
          <w:sz w:val="22"/>
        </w:rPr>
        <w:t> </w:t>
      </w:r>
      <w:r>
        <w:rPr>
          <w:color w:val="231F1F"/>
          <w:sz w:val="22"/>
        </w:rPr>
        <w:t>para</w:t>
      </w:r>
      <w:r>
        <w:rPr>
          <w:color w:val="231F1F"/>
          <w:spacing w:val="14"/>
          <w:sz w:val="22"/>
        </w:rPr>
        <w:t> </w:t>
      </w:r>
      <w:r>
        <w:rPr>
          <w:color w:val="231F1F"/>
          <w:sz w:val="22"/>
        </w:rPr>
        <w:t>establecer</w:t>
      </w:r>
      <w:r>
        <w:rPr>
          <w:color w:val="231F1F"/>
          <w:spacing w:val="14"/>
          <w:sz w:val="22"/>
        </w:rPr>
        <w:t> </w:t>
      </w:r>
      <w:r>
        <w:rPr>
          <w:color w:val="231F1F"/>
          <w:sz w:val="22"/>
        </w:rPr>
        <w:t>recomendaciones</w:t>
      </w:r>
      <w:r>
        <w:rPr>
          <w:color w:val="231F1F"/>
          <w:spacing w:val="16"/>
          <w:sz w:val="22"/>
        </w:rPr>
        <w:t> </w:t>
      </w:r>
      <w:r>
        <w:rPr>
          <w:color w:val="231F1F"/>
          <w:sz w:val="22"/>
        </w:rPr>
        <w:t>más</w:t>
      </w:r>
      <w:r>
        <w:rPr>
          <w:color w:val="231F1F"/>
          <w:spacing w:val="15"/>
          <w:sz w:val="22"/>
        </w:rPr>
        <w:t> </w:t>
      </w:r>
      <w:r>
        <w:rPr>
          <w:color w:val="231F1F"/>
          <w:spacing w:val="-2"/>
          <w:sz w:val="22"/>
        </w:rPr>
        <w:t>firmes.</w:t>
      </w:r>
    </w:p>
    <w:p>
      <w:pPr>
        <w:pStyle w:val="BodyText"/>
        <w:spacing w:before="160"/>
      </w:pPr>
    </w:p>
    <w:p>
      <w:pPr>
        <w:spacing w:before="1"/>
        <w:ind w:left="283" w:right="0" w:firstLine="0"/>
        <w:jc w:val="left"/>
        <w:rPr>
          <w:rFonts w:ascii="Arial MT"/>
          <w:sz w:val="24"/>
        </w:rPr>
      </w:pPr>
      <w:r>
        <w:rPr>
          <w:rFonts w:ascii="Arial MT"/>
          <w:color w:val="231F1F"/>
          <w:w w:val="105"/>
          <w:sz w:val="24"/>
        </w:rPr>
        <w:t>Alivio</w:t>
      </w:r>
      <w:r>
        <w:rPr>
          <w:rFonts w:ascii="Arial MT"/>
          <w:color w:val="231F1F"/>
          <w:spacing w:val="-9"/>
          <w:w w:val="105"/>
          <w:sz w:val="24"/>
        </w:rPr>
        <w:t> </w:t>
      </w:r>
      <w:r>
        <w:rPr>
          <w:rFonts w:ascii="Arial MT"/>
          <w:color w:val="231F1F"/>
          <w:w w:val="105"/>
          <w:sz w:val="24"/>
        </w:rPr>
        <w:t>del</w:t>
      </w:r>
      <w:r>
        <w:rPr>
          <w:rFonts w:ascii="Arial MT"/>
          <w:color w:val="231F1F"/>
          <w:spacing w:val="-10"/>
          <w:w w:val="105"/>
          <w:sz w:val="24"/>
        </w:rPr>
        <w:t> </w:t>
      </w:r>
      <w:r>
        <w:rPr>
          <w:rFonts w:ascii="Arial MT"/>
          <w:color w:val="231F1F"/>
          <w:w w:val="105"/>
          <w:sz w:val="24"/>
        </w:rPr>
        <w:t>dolor</w:t>
      </w:r>
      <w:r>
        <w:rPr>
          <w:rFonts w:ascii="Arial MT"/>
          <w:color w:val="231F1F"/>
          <w:spacing w:val="-8"/>
          <w:w w:val="105"/>
          <w:sz w:val="24"/>
        </w:rPr>
        <w:t> </w:t>
      </w:r>
      <w:r>
        <w:rPr>
          <w:rFonts w:ascii="Arial MT"/>
          <w:color w:val="231F1F"/>
          <w:w w:val="105"/>
          <w:sz w:val="24"/>
        </w:rPr>
        <w:t>durante</w:t>
      </w:r>
      <w:r>
        <w:rPr>
          <w:rFonts w:ascii="Arial MT"/>
          <w:color w:val="231F1F"/>
          <w:spacing w:val="-8"/>
          <w:w w:val="105"/>
          <w:sz w:val="24"/>
        </w:rPr>
        <w:t> </w:t>
      </w:r>
      <w:r>
        <w:rPr>
          <w:rFonts w:ascii="Arial MT"/>
          <w:color w:val="231F1F"/>
          <w:w w:val="105"/>
          <w:sz w:val="24"/>
        </w:rPr>
        <w:t>el</w:t>
      </w:r>
      <w:r>
        <w:rPr>
          <w:rFonts w:ascii="Arial MT"/>
          <w:color w:val="231F1F"/>
          <w:spacing w:val="-8"/>
          <w:w w:val="105"/>
          <w:sz w:val="24"/>
        </w:rPr>
        <w:t> </w:t>
      </w:r>
      <w:r>
        <w:rPr>
          <w:rFonts w:ascii="Arial MT"/>
          <w:color w:val="231F1F"/>
          <w:spacing w:val="-2"/>
          <w:w w:val="105"/>
          <w:sz w:val="24"/>
        </w:rPr>
        <w:t>parto</w:t>
      </w:r>
    </w:p>
    <w:p>
      <w:pPr>
        <w:pStyle w:val="Heading5"/>
        <w:spacing w:before="170"/>
      </w:pPr>
      <w:r>
        <w:rPr>
          <w:color w:val="231F1F"/>
        </w:rPr>
        <w:t>Dolor,</w:t>
      </w:r>
      <w:r>
        <w:rPr>
          <w:color w:val="231F1F"/>
          <w:spacing w:val="-15"/>
        </w:rPr>
        <w:t> </w:t>
      </w:r>
      <w:r>
        <w:rPr>
          <w:color w:val="231F1F"/>
        </w:rPr>
        <w:t>analgesia</w:t>
      </w:r>
      <w:r>
        <w:rPr>
          <w:color w:val="231F1F"/>
          <w:spacing w:val="-14"/>
        </w:rPr>
        <w:t> </w:t>
      </w:r>
      <w:r>
        <w:rPr>
          <w:color w:val="231F1F"/>
        </w:rPr>
        <w:t>y</w:t>
      </w:r>
      <w:r>
        <w:rPr>
          <w:color w:val="231F1F"/>
          <w:spacing w:val="-13"/>
        </w:rPr>
        <w:t> </w:t>
      </w:r>
      <w:r>
        <w:rPr>
          <w:color w:val="231F1F"/>
        </w:rPr>
        <w:t>satisfacción</w:t>
      </w:r>
      <w:r>
        <w:rPr>
          <w:color w:val="231F1F"/>
          <w:spacing w:val="-12"/>
        </w:rPr>
        <w:t> </w:t>
      </w:r>
      <w:r>
        <w:rPr>
          <w:color w:val="231F1F"/>
          <w:spacing w:val="-2"/>
        </w:rPr>
        <w:t>materna</w:t>
      </w:r>
    </w:p>
    <w:p>
      <w:pPr>
        <w:pStyle w:val="ListParagraph"/>
        <w:numPr>
          <w:ilvl w:val="0"/>
          <w:numId w:val="101"/>
        </w:numPr>
        <w:tabs>
          <w:tab w:pos="954" w:val="left" w:leader="none"/>
          <w:tab w:pos="956" w:val="left" w:leader="none"/>
        </w:tabs>
        <w:spacing w:line="244" w:lineRule="auto" w:before="214" w:after="0"/>
        <w:ind w:left="956" w:right="113" w:hanging="221"/>
        <w:jc w:val="both"/>
        <w:rPr>
          <w:sz w:val="22"/>
        </w:rPr>
      </w:pPr>
      <w:r>
        <w:rPr>
          <w:color w:val="231F1F"/>
          <w:w w:val="110"/>
          <w:sz w:val="22"/>
        </w:rPr>
        <w:t>Son necesarios nuevos estudios que investiguen los factores relacionados con la satisfacción, que incluyan resultados sobre el bienestar emocional y psicológico materno. Así como, un método sólido de evaluación de la satisfacción materna.</w:t>
      </w:r>
    </w:p>
    <w:p>
      <w:pPr>
        <w:pStyle w:val="ListParagraph"/>
        <w:numPr>
          <w:ilvl w:val="0"/>
          <w:numId w:val="101"/>
        </w:numPr>
        <w:tabs>
          <w:tab w:pos="953" w:val="left" w:leader="none"/>
        </w:tabs>
        <w:spacing w:line="240" w:lineRule="auto" w:before="143" w:after="0"/>
        <w:ind w:left="953" w:right="0" w:hanging="218"/>
        <w:jc w:val="both"/>
        <w:rPr>
          <w:sz w:val="22"/>
        </w:rPr>
      </w:pPr>
      <w:r>
        <w:rPr>
          <w:color w:val="231F1F"/>
          <w:sz w:val="22"/>
        </w:rPr>
        <w:t>Estudios</w:t>
      </w:r>
      <w:r>
        <w:rPr>
          <w:color w:val="231F1F"/>
          <w:spacing w:val="43"/>
          <w:sz w:val="22"/>
        </w:rPr>
        <w:t> </w:t>
      </w:r>
      <w:r>
        <w:rPr>
          <w:color w:val="231F1F"/>
          <w:sz w:val="22"/>
        </w:rPr>
        <w:t>que</w:t>
      </w:r>
      <w:r>
        <w:rPr>
          <w:color w:val="231F1F"/>
          <w:spacing w:val="44"/>
          <w:sz w:val="22"/>
        </w:rPr>
        <w:t> </w:t>
      </w:r>
      <w:r>
        <w:rPr>
          <w:color w:val="231F1F"/>
          <w:sz w:val="22"/>
        </w:rPr>
        <w:t>evalúen</w:t>
      </w:r>
      <w:r>
        <w:rPr>
          <w:color w:val="231F1F"/>
          <w:spacing w:val="46"/>
          <w:sz w:val="22"/>
        </w:rPr>
        <w:t> </w:t>
      </w:r>
      <w:r>
        <w:rPr>
          <w:color w:val="231F1F"/>
          <w:sz w:val="22"/>
        </w:rPr>
        <w:t>los</w:t>
      </w:r>
      <w:r>
        <w:rPr>
          <w:color w:val="231F1F"/>
          <w:spacing w:val="44"/>
          <w:sz w:val="22"/>
        </w:rPr>
        <w:t> </w:t>
      </w:r>
      <w:r>
        <w:rPr>
          <w:color w:val="231F1F"/>
          <w:sz w:val="22"/>
        </w:rPr>
        <w:t>diferentes</w:t>
      </w:r>
      <w:r>
        <w:rPr>
          <w:color w:val="231F1F"/>
          <w:spacing w:val="44"/>
          <w:sz w:val="22"/>
        </w:rPr>
        <w:t> </w:t>
      </w:r>
      <w:r>
        <w:rPr>
          <w:color w:val="231F1F"/>
          <w:sz w:val="22"/>
        </w:rPr>
        <w:t>modelos</w:t>
      </w:r>
      <w:r>
        <w:rPr>
          <w:color w:val="231F1F"/>
          <w:spacing w:val="44"/>
          <w:sz w:val="22"/>
        </w:rPr>
        <w:t> </w:t>
      </w:r>
      <w:r>
        <w:rPr>
          <w:color w:val="231F1F"/>
          <w:sz w:val="22"/>
        </w:rPr>
        <w:t>de</w:t>
      </w:r>
      <w:r>
        <w:rPr>
          <w:color w:val="231F1F"/>
          <w:spacing w:val="46"/>
          <w:sz w:val="22"/>
        </w:rPr>
        <w:t> </w:t>
      </w:r>
      <w:r>
        <w:rPr>
          <w:color w:val="231F1F"/>
          <w:sz w:val="22"/>
        </w:rPr>
        <w:t>preparación</w:t>
      </w:r>
      <w:r>
        <w:rPr>
          <w:color w:val="231F1F"/>
          <w:spacing w:val="44"/>
          <w:sz w:val="22"/>
        </w:rPr>
        <w:t> </w:t>
      </w:r>
      <w:r>
        <w:rPr>
          <w:color w:val="231F1F"/>
          <w:spacing w:val="-2"/>
          <w:sz w:val="22"/>
        </w:rPr>
        <w:t>preparto.</w:t>
      </w:r>
    </w:p>
    <w:p>
      <w:pPr>
        <w:pStyle w:val="BodyText"/>
        <w:spacing w:before="40"/>
      </w:pPr>
    </w:p>
    <w:p>
      <w:pPr>
        <w:pStyle w:val="Heading5"/>
        <w:spacing w:before="1"/>
      </w:pPr>
      <w:r>
        <w:rPr>
          <w:color w:val="231F1F"/>
        </w:rPr>
        <w:t>Inmersión</w:t>
      </w:r>
      <w:r>
        <w:rPr>
          <w:color w:val="231F1F"/>
          <w:spacing w:val="-11"/>
        </w:rPr>
        <w:t> </w:t>
      </w:r>
      <w:r>
        <w:rPr>
          <w:color w:val="231F1F"/>
        </w:rPr>
        <w:t>en</w:t>
      </w:r>
      <w:r>
        <w:rPr>
          <w:color w:val="231F1F"/>
          <w:spacing w:val="-11"/>
        </w:rPr>
        <w:t> </w:t>
      </w:r>
      <w:r>
        <w:rPr>
          <w:color w:val="231F1F"/>
          <w:spacing w:val="-4"/>
        </w:rPr>
        <w:t>agua</w:t>
      </w:r>
    </w:p>
    <w:p>
      <w:pPr>
        <w:pStyle w:val="ListParagraph"/>
        <w:numPr>
          <w:ilvl w:val="0"/>
          <w:numId w:val="101"/>
        </w:numPr>
        <w:tabs>
          <w:tab w:pos="955" w:val="left" w:leader="none"/>
        </w:tabs>
        <w:spacing w:line="237" w:lineRule="auto" w:before="216" w:after="0"/>
        <w:ind w:left="955" w:right="125" w:hanging="220"/>
        <w:jc w:val="both"/>
        <w:rPr>
          <w:sz w:val="22"/>
        </w:rPr>
      </w:pPr>
      <w:r>
        <w:rPr>
          <w:color w:val="231F1F"/>
          <w:w w:val="105"/>
          <w:sz w:val="22"/>
        </w:rPr>
        <w:t>Se necesitan nuevas investigaciones sobre la eficacia y el modo más idóneo de uti- lización de la inmersión en agua caliente para el alivio del dolor</w:t>
      </w:r>
    </w:p>
    <w:p>
      <w:pPr>
        <w:pStyle w:val="BodyText"/>
        <w:spacing w:before="35"/>
      </w:pPr>
    </w:p>
    <w:p>
      <w:pPr>
        <w:pStyle w:val="Heading5"/>
      </w:pPr>
      <w:r>
        <w:rPr>
          <w:color w:val="231F1F"/>
        </w:rPr>
        <w:t>Inyección</w:t>
      </w:r>
      <w:r>
        <w:rPr>
          <w:color w:val="231F1F"/>
          <w:spacing w:val="-7"/>
        </w:rPr>
        <w:t> </w:t>
      </w:r>
      <w:r>
        <w:rPr>
          <w:color w:val="231F1F"/>
        </w:rPr>
        <w:t>de</w:t>
      </w:r>
      <w:r>
        <w:rPr>
          <w:color w:val="231F1F"/>
          <w:spacing w:val="-7"/>
        </w:rPr>
        <w:t> </w:t>
      </w:r>
      <w:r>
        <w:rPr>
          <w:color w:val="231F1F"/>
        </w:rPr>
        <w:t>agua</w:t>
      </w:r>
      <w:r>
        <w:rPr>
          <w:color w:val="231F1F"/>
          <w:spacing w:val="-7"/>
        </w:rPr>
        <w:t> </w:t>
      </w:r>
      <w:r>
        <w:rPr>
          <w:color w:val="231F1F"/>
          <w:spacing w:val="-2"/>
        </w:rPr>
        <w:t>estéril</w:t>
      </w:r>
    </w:p>
    <w:p>
      <w:pPr>
        <w:pStyle w:val="ListParagraph"/>
        <w:numPr>
          <w:ilvl w:val="0"/>
          <w:numId w:val="101"/>
        </w:numPr>
        <w:tabs>
          <w:tab w:pos="955" w:val="left" w:leader="none"/>
        </w:tabs>
        <w:spacing w:line="244" w:lineRule="auto" w:before="210" w:after="0"/>
        <w:ind w:left="955" w:right="123" w:hanging="220"/>
        <w:jc w:val="both"/>
        <w:rPr>
          <w:sz w:val="22"/>
        </w:rPr>
      </w:pPr>
      <w:r>
        <w:rPr>
          <w:color w:val="231F1F"/>
          <w:w w:val="105"/>
          <w:sz w:val="22"/>
        </w:rPr>
        <w:t>Se necesitan investigaciones adicionales sobre el efecto de dosis repetidas, de varia- ciones</w:t>
      </w:r>
      <w:r>
        <w:rPr>
          <w:color w:val="231F1F"/>
          <w:w w:val="105"/>
          <w:sz w:val="22"/>
        </w:rPr>
        <w:t> en</w:t>
      </w:r>
      <w:r>
        <w:rPr>
          <w:color w:val="231F1F"/>
          <w:w w:val="105"/>
          <w:sz w:val="22"/>
        </w:rPr>
        <w:t> la</w:t>
      </w:r>
      <w:r>
        <w:rPr>
          <w:color w:val="231F1F"/>
          <w:w w:val="105"/>
          <w:sz w:val="22"/>
        </w:rPr>
        <w:t> dosis,</w:t>
      </w:r>
      <w:r>
        <w:rPr>
          <w:color w:val="231F1F"/>
          <w:w w:val="105"/>
          <w:sz w:val="22"/>
        </w:rPr>
        <w:t> número</w:t>
      </w:r>
      <w:r>
        <w:rPr>
          <w:color w:val="231F1F"/>
          <w:w w:val="105"/>
          <w:sz w:val="22"/>
        </w:rPr>
        <w:t> y</w:t>
      </w:r>
      <w:r>
        <w:rPr>
          <w:color w:val="231F1F"/>
          <w:w w:val="105"/>
          <w:sz w:val="22"/>
        </w:rPr>
        <w:t> localizaciones</w:t>
      </w:r>
      <w:r>
        <w:rPr>
          <w:color w:val="231F1F"/>
          <w:w w:val="105"/>
          <w:sz w:val="22"/>
        </w:rPr>
        <w:t> de</w:t>
      </w:r>
      <w:r>
        <w:rPr>
          <w:color w:val="231F1F"/>
          <w:w w:val="105"/>
          <w:sz w:val="22"/>
        </w:rPr>
        <w:t> las</w:t>
      </w:r>
      <w:r>
        <w:rPr>
          <w:color w:val="231F1F"/>
          <w:w w:val="105"/>
          <w:sz w:val="22"/>
        </w:rPr>
        <w:t> inyecciones</w:t>
      </w:r>
      <w:r>
        <w:rPr>
          <w:color w:val="231F1F"/>
          <w:w w:val="105"/>
          <w:sz w:val="22"/>
        </w:rPr>
        <w:t> y</w:t>
      </w:r>
      <w:r>
        <w:rPr>
          <w:color w:val="231F1F"/>
          <w:w w:val="105"/>
          <w:sz w:val="22"/>
        </w:rPr>
        <w:t> la</w:t>
      </w:r>
      <w:r>
        <w:rPr>
          <w:color w:val="231F1F"/>
          <w:w w:val="105"/>
          <w:sz w:val="22"/>
        </w:rPr>
        <w:t> posibilidad</w:t>
      </w:r>
      <w:r>
        <w:rPr>
          <w:color w:val="231F1F"/>
          <w:w w:val="105"/>
          <w:sz w:val="22"/>
        </w:rPr>
        <w:t> de disminuir el dolor de su aplicación.</w:t>
      </w:r>
    </w:p>
    <w:p>
      <w:pPr>
        <w:pStyle w:val="ListParagraph"/>
        <w:spacing w:after="0" w:line="244" w:lineRule="auto"/>
        <w:jc w:val="both"/>
        <w:rPr>
          <w:sz w:val="22"/>
        </w:rPr>
        <w:sectPr>
          <w:pgSz w:w="11900" w:h="16840"/>
          <w:pgMar w:header="0" w:footer="622" w:top="1560" w:bottom="820" w:left="1417" w:right="1559"/>
        </w:sectPr>
      </w:pPr>
    </w:p>
    <w:p>
      <w:pPr>
        <w:pStyle w:val="Heading5"/>
        <w:spacing w:before="82"/>
      </w:pPr>
      <w:r>
        <w:rPr>
          <w:color w:val="231F1F"/>
        </w:rPr>
        <w:t>Óxido</w:t>
      </w:r>
      <w:r>
        <w:rPr>
          <w:color w:val="231F1F"/>
          <w:spacing w:val="-1"/>
        </w:rPr>
        <w:t> </w:t>
      </w:r>
      <w:r>
        <w:rPr>
          <w:color w:val="231F1F"/>
          <w:spacing w:val="-2"/>
        </w:rPr>
        <w:t>nitroso</w:t>
      </w:r>
    </w:p>
    <w:p>
      <w:pPr>
        <w:pStyle w:val="ListParagraph"/>
        <w:numPr>
          <w:ilvl w:val="0"/>
          <w:numId w:val="101"/>
        </w:numPr>
        <w:tabs>
          <w:tab w:pos="953" w:val="left" w:leader="none"/>
        </w:tabs>
        <w:spacing w:line="240" w:lineRule="auto" w:before="204" w:after="0"/>
        <w:ind w:left="953" w:right="0" w:hanging="218"/>
        <w:jc w:val="left"/>
        <w:rPr>
          <w:sz w:val="22"/>
        </w:rPr>
      </w:pPr>
      <w:r>
        <w:rPr>
          <w:color w:val="231F1F"/>
          <w:w w:val="105"/>
          <w:sz w:val="22"/>
        </w:rPr>
        <w:t>Estudios</w:t>
      </w:r>
      <w:r>
        <w:rPr>
          <w:color w:val="231F1F"/>
          <w:spacing w:val="-3"/>
          <w:w w:val="105"/>
          <w:sz w:val="22"/>
        </w:rPr>
        <w:t> </w:t>
      </w:r>
      <w:r>
        <w:rPr>
          <w:color w:val="231F1F"/>
          <w:w w:val="105"/>
          <w:sz w:val="22"/>
        </w:rPr>
        <w:t>que</w:t>
      </w:r>
      <w:r>
        <w:rPr>
          <w:color w:val="231F1F"/>
          <w:spacing w:val="-3"/>
          <w:w w:val="105"/>
          <w:sz w:val="22"/>
        </w:rPr>
        <w:t> </w:t>
      </w:r>
      <w:r>
        <w:rPr>
          <w:color w:val="231F1F"/>
          <w:w w:val="105"/>
          <w:sz w:val="22"/>
        </w:rPr>
        <w:t>evalúen</w:t>
      </w:r>
      <w:r>
        <w:rPr>
          <w:color w:val="231F1F"/>
          <w:spacing w:val="-1"/>
          <w:w w:val="105"/>
          <w:sz w:val="22"/>
        </w:rPr>
        <w:t> </w:t>
      </w:r>
      <w:r>
        <w:rPr>
          <w:color w:val="231F1F"/>
          <w:w w:val="105"/>
          <w:sz w:val="22"/>
        </w:rPr>
        <w:t>el</w:t>
      </w:r>
      <w:r>
        <w:rPr>
          <w:color w:val="231F1F"/>
          <w:spacing w:val="-4"/>
          <w:w w:val="105"/>
          <w:sz w:val="22"/>
        </w:rPr>
        <w:t> </w:t>
      </w:r>
      <w:r>
        <w:rPr>
          <w:color w:val="231F1F"/>
          <w:w w:val="105"/>
          <w:sz w:val="22"/>
        </w:rPr>
        <w:t>efecto del</w:t>
      </w:r>
      <w:r>
        <w:rPr>
          <w:color w:val="231F1F"/>
          <w:spacing w:val="-3"/>
          <w:w w:val="105"/>
          <w:sz w:val="22"/>
        </w:rPr>
        <w:t> </w:t>
      </w:r>
      <w:r>
        <w:rPr>
          <w:b/>
          <w:color w:val="231F1F"/>
          <w:w w:val="105"/>
          <w:sz w:val="22"/>
        </w:rPr>
        <w:t>óxido</w:t>
      </w:r>
      <w:r>
        <w:rPr>
          <w:b/>
          <w:color w:val="231F1F"/>
          <w:spacing w:val="-3"/>
          <w:w w:val="105"/>
          <w:sz w:val="22"/>
        </w:rPr>
        <w:t> </w:t>
      </w:r>
      <w:r>
        <w:rPr>
          <w:b/>
          <w:color w:val="231F1F"/>
          <w:w w:val="105"/>
          <w:sz w:val="22"/>
        </w:rPr>
        <w:t>nitroso</w:t>
      </w:r>
      <w:r>
        <w:rPr>
          <w:b/>
          <w:color w:val="231F1F"/>
          <w:spacing w:val="-2"/>
          <w:w w:val="105"/>
          <w:sz w:val="22"/>
        </w:rPr>
        <w:t> </w:t>
      </w:r>
      <w:r>
        <w:rPr>
          <w:color w:val="231F1F"/>
          <w:w w:val="105"/>
          <w:sz w:val="22"/>
        </w:rPr>
        <w:t>en</w:t>
      </w:r>
      <w:r>
        <w:rPr>
          <w:color w:val="231F1F"/>
          <w:spacing w:val="-2"/>
          <w:w w:val="105"/>
          <w:sz w:val="22"/>
        </w:rPr>
        <w:t> </w:t>
      </w:r>
      <w:r>
        <w:rPr>
          <w:color w:val="231F1F"/>
          <w:w w:val="105"/>
          <w:sz w:val="22"/>
        </w:rPr>
        <w:t>la</w:t>
      </w:r>
      <w:r>
        <w:rPr>
          <w:color w:val="231F1F"/>
          <w:spacing w:val="-1"/>
          <w:w w:val="105"/>
          <w:sz w:val="22"/>
        </w:rPr>
        <w:t> </w:t>
      </w:r>
      <w:r>
        <w:rPr>
          <w:color w:val="231F1F"/>
          <w:w w:val="105"/>
          <w:sz w:val="22"/>
        </w:rPr>
        <w:t>lactancia</w:t>
      </w:r>
      <w:r>
        <w:rPr>
          <w:color w:val="231F1F"/>
          <w:spacing w:val="-3"/>
          <w:w w:val="105"/>
          <w:sz w:val="22"/>
        </w:rPr>
        <w:t> </w:t>
      </w:r>
      <w:r>
        <w:rPr>
          <w:color w:val="231F1F"/>
          <w:spacing w:val="-2"/>
          <w:w w:val="105"/>
          <w:sz w:val="22"/>
        </w:rPr>
        <w:t>materna.</w:t>
      </w:r>
    </w:p>
    <w:p>
      <w:pPr>
        <w:pStyle w:val="BodyText"/>
        <w:spacing w:before="180"/>
      </w:pPr>
    </w:p>
    <w:p>
      <w:pPr>
        <w:pStyle w:val="Heading5"/>
      </w:pPr>
      <w:r>
        <w:rPr>
          <w:color w:val="231F1F"/>
        </w:rPr>
        <w:t>Efectividad</w:t>
      </w:r>
      <w:r>
        <w:rPr>
          <w:color w:val="231F1F"/>
          <w:spacing w:val="-16"/>
        </w:rPr>
        <w:t> </w:t>
      </w:r>
      <w:r>
        <w:rPr>
          <w:color w:val="231F1F"/>
        </w:rPr>
        <w:t>técnicas</w:t>
      </w:r>
      <w:r>
        <w:rPr>
          <w:color w:val="231F1F"/>
          <w:spacing w:val="-10"/>
        </w:rPr>
        <w:t> </w:t>
      </w:r>
      <w:r>
        <w:rPr>
          <w:color w:val="231F1F"/>
        </w:rPr>
        <w:t>analgésicas</w:t>
      </w:r>
      <w:r>
        <w:rPr>
          <w:color w:val="231F1F"/>
          <w:spacing w:val="-10"/>
        </w:rPr>
        <w:t> </w:t>
      </w:r>
      <w:r>
        <w:rPr>
          <w:color w:val="231F1F"/>
        </w:rPr>
        <w:t>no</w:t>
      </w:r>
      <w:r>
        <w:rPr>
          <w:color w:val="231F1F"/>
          <w:spacing w:val="-12"/>
        </w:rPr>
        <w:t> </w:t>
      </w:r>
      <w:r>
        <w:rPr>
          <w:color w:val="231F1F"/>
          <w:spacing w:val="-2"/>
        </w:rPr>
        <w:t>farmacológicas</w:t>
      </w:r>
    </w:p>
    <w:p>
      <w:pPr>
        <w:pStyle w:val="ListParagraph"/>
        <w:numPr>
          <w:ilvl w:val="0"/>
          <w:numId w:val="101"/>
        </w:numPr>
        <w:tabs>
          <w:tab w:pos="955" w:val="left" w:leader="none"/>
        </w:tabs>
        <w:spacing w:line="240" w:lineRule="auto" w:before="210" w:after="0"/>
        <w:ind w:left="955" w:right="125" w:hanging="220"/>
        <w:jc w:val="both"/>
        <w:rPr>
          <w:sz w:val="22"/>
        </w:rPr>
      </w:pPr>
      <w:r>
        <w:rPr>
          <w:color w:val="231F1F"/>
          <w:w w:val="105"/>
          <w:sz w:val="22"/>
        </w:rPr>
        <w:t>Estudios que comparen la efectividad de las técnicas neuroaxiales vs técnicas anal- gésicas no farmacológicas.</w:t>
      </w:r>
    </w:p>
    <w:p>
      <w:pPr>
        <w:pStyle w:val="BodyText"/>
        <w:spacing w:before="171"/>
      </w:pPr>
    </w:p>
    <w:p>
      <w:pPr>
        <w:pStyle w:val="Heading5"/>
      </w:pPr>
      <w:r>
        <w:rPr>
          <w:color w:val="231F1F"/>
          <w:spacing w:val="-2"/>
        </w:rPr>
        <w:t>Requisitos</w:t>
      </w:r>
      <w:r>
        <w:rPr>
          <w:color w:val="231F1F"/>
          <w:spacing w:val="-8"/>
        </w:rPr>
        <w:t> </w:t>
      </w:r>
      <w:r>
        <w:rPr>
          <w:color w:val="231F1F"/>
          <w:spacing w:val="-2"/>
        </w:rPr>
        <w:t>previos</w:t>
      </w:r>
      <w:r>
        <w:rPr>
          <w:color w:val="231F1F"/>
          <w:spacing w:val="-5"/>
        </w:rPr>
        <w:t> </w:t>
      </w:r>
      <w:r>
        <w:rPr>
          <w:color w:val="231F1F"/>
          <w:spacing w:val="-2"/>
        </w:rPr>
        <w:t>a</w:t>
      </w:r>
      <w:r>
        <w:rPr>
          <w:color w:val="231F1F"/>
          <w:spacing w:val="-5"/>
        </w:rPr>
        <w:t> </w:t>
      </w:r>
      <w:r>
        <w:rPr>
          <w:color w:val="231F1F"/>
          <w:spacing w:val="-2"/>
        </w:rPr>
        <w:t>la</w:t>
      </w:r>
      <w:r>
        <w:rPr>
          <w:color w:val="231F1F"/>
          <w:spacing w:val="-6"/>
        </w:rPr>
        <w:t> </w:t>
      </w:r>
      <w:r>
        <w:rPr>
          <w:color w:val="231F1F"/>
          <w:spacing w:val="-2"/>
        </w:rPr>
        <w:t>analgesia</w:t>
      </w:r>
      <w:r>
        <w:rPr>
          <w:color w:val="231F1F"/>
          <w:spacing w:val="-6"/>
        </w:rPr>
        <w:t> </w:t>
      </w:r>
      <w:r>
        <w:rPr>
          <w:color w:val="231F1F"/>
          <w:spacing w:val="-2"/>
        </w:rPr>
        <w:t>neuroaxial</w:t>
      </w:r>
    </w:p>
    <w:p>
      <w:pPr>
        <w:pStyle w:val="ListParagraph"/>
        <w:numPr>
          <w:ilvl w:val="0"/>
          <w:numId w:val="101"/>
        </w:numPr>
        <w:tabs>
          <w:tab w:pos="955" w:val="left" w:leader="none"/>
        </w:tabs>
        <w:spacing w:line="244" w:lineRule="auto" w:before="210" w:after="0"/>
        <w:ind w:left="955" w:right="125" w:hanging="220"/>
        <w:jc w:val="both"/>
        <w:rPr>
          <w:sz w:val="22"/>
        </w:rPr>
      </w:pPr>
      <w:r>
        <w:rPr>
          <w:color w:val="231F1F"/>
          <w:w w:val="105"/>
          <w:sz w:val="22"/>
        </w:rPr>
        <w:t>Estudios</w:t>
      </w:r>
      <w:r>
        <w:rPr>
          <w:color w:val="231F1F"/>
          <w:w w:val="105"/>
          <w:sz w:val="22"/>
        </w:rPr>
        <w:t> que</w:t>
      </w:r>
      <w:r>
        <w:rPr>
          <w:color w:val="231F1F"/>
          <w:w w:val="105"/>
          <w:sz w:val="22"/>
        </w:rPr>
        <w:t> evalúen</w:t>
      </w:r>
      <w:r>
        <w:rPr>
          <w:color w:val="231F1F"/>
          <w:w w:val="105"/>
          <w:sz w:val="22"/>
        </w:rPr>
        <w:t> la</w:t>
      </w:r>
      <w:r>
        <w:rPr>
          <w:color w:val="231F1F"/>
          <w:w w:val="105"/>
          <w:sz w:val="22"/>
        </w:rPr>
        <w:t> efectividad</w:t>
      </w:r>
      <w:r>
        <w:rPr>
          <w:color w:val="231F1F"/>
          <w:w w:val="105"/>
          <w:sz w:val="22"/>
        </w:rPr>
        <w:t> de</w:t>
      </w:r>
      <w:r>
        <w:rPr>
          <w:color w:val="231F1F"/>
          <w:w w:val="105"/>
          <w:sz w:val="22"/>
        </w:rPr>
        <w:t> estudios</w:t>
      </w:r>
      <w:r>
        <w:rPr>
          <w:color w:val="231F1F"/>
          <w:w w:val="105"/>
          <w:sz w:val="22"/>
        </w:rPr>
        <w:t> de</w:t>
      </w:r>
      <w:r>
        <w:rPr>
          <w:color w:val="231F1F"/>
          <w:w w:val="105"/>
          <w:sz w:val="22"/>
        </w:rPr>
        <w:t> coagulación</w:t>
      </w:r>
      <w:r>
        <w:rPr>
          <w:color w:val="231F1F"/>
          <w:w w:val="105"/>
          <w:sz w:val="22"/>
        </w:rPr>
        <w:t> y</w:t>
      </w:r>
      <w:r>
        <w:rPr>
          <w:color w:val="231F1F"/>
          <w:w w:val="105"/>
          <w:sz w:val="22"/>
        </w:rPr>
        <w:t> de</w:t>
      </w:r>
      <w:r>
        <w:rPr>
          <w:color w:val="231F1F"/>
          <w:w w:val="105"/>
          <w:sz w:val="22"/>
        </w:rPr>
        <w:t> recuento</w:t>
      </w:r>
      <w:r>
        <w:rPr>
          <w:color w:val="231F1F"/>
          <w:w w:val="105"/>
          <w:sz w:val="22"/>
        </w:rPr>
        <w:t> pla- </w:t>
      </w:r>
      <w:r>
        <w:rPr>
          <w:color w:val="231F1F"/>
          <w:spacing w:val="-2"/>
          <w:w w:val="105"/>
          <w:sz w:val="22"/>
        </w:rPr>
        <w:t>quetario</w:t>
      </w:r>
    </w:p>
    <w:p>
      <w:pPr>
        <w:pStyle w:val="BodyText"/>
        <w:spacing w:before="161"/>
      </w:pPr>
    </w:p>
    <w:p>
      <w:pPr>
        <w:pStyle w:val="Heading5"/>
      </w:pPr>
      <w:r>
        <w:rPr>
          <w:color w:val="231F1F"/>
        </w:rPr>
        <w:t>Precarga</w:t>
      </w:r>
      <w:r>
        <w:rPr>
          <w:color w:val="231F1F"/>
          <w:spacing w:val="-19"/>
        </w:rPr>
        <w:t> </w:t>
      </w:r>
      <w:r>
        <w:rPr>
          <w:color w:val="231F1F"/>
        </w:rPr>
        <w:t>de</w:t>
      </w:r>
      <w:r>
        <w:rPr>
          <w:color w:val="231F1F"/>
          <w:spacing w:val="-17"/>
        </w:rPr>
        <w:t> </w:t>
      </w:r>
      <w:r>
        <w:rPr>
          <w:color w:val="231F1F"/>
        </w:rPr>
        <w:t>soluciones</w:t>
      </w:r>
      <w:r>
        <w:rPr>
          <w:color w:val="231F1F"/>
          <w:spacing w:val="-16"/>
        </w:rPr>
        <w:t> </w:t>
      </w:r>
      <w:r>
        <w:rPr>
          <w:color w:val="231F1F"/>
        </w:rPr>
        <w:t>intravenosas</w:t>
      </w:r>
      <w:r>
        <w:rPr>
          <w:color w:val="231F1F"/>
          <w:spacing w:val="-14"/>
        </w:rPr>
        <w:t> </w:t>
      </w:r>
      <w:r>
        <w:rPr>
          <w:color w:val="231F1F"/>
        </w:rPr>
        <w:t>previo</w:t>
      </w:r>
      <w:r>
        <w:rPr>
          <w:color w:val="231F1F"/>
          <w:spacing w:val="-16"/>
        </w:rPr>
        <w:t> </w:t>
      </w:r>
      <w:r>
        <w:rPr>
          <w:color w:val="231F1F"/>
        </w:rPr>
        <w:t>a</w:t>
      </w:r>
      <w:r>
        <w:rPr>
          <w:color w:val="231F1F"/>
          <w:spacing w:val="-15"/>
        </w:rPr>
        <w:t> </w:t>
      </w:r>
      <w:r>
        <w:rPr>
          <w:color w:val="231F1F"/>
        </w:rPr>
        <w:t>la</w:t>
      </w:r>
      <w:r>
        <w:rPr>
          <w:color w:val="231F1F"/>
          <w:spacing w:val="-15"/>
        </w:rPr>
        <w:t> </w:t>
      </w:r>
      <w:r>
        <w:rPr>
          <w:color w:val="231F1F"/>
        </w:rPr>
        <w:t>analgesia</w:t>
      </w:r>
      <w:r>
        <w:rPr>
          <w:color w:val="231F1F"/>
          <w:spacing w:val="-16"/>
        </w:rPr>
        <w:t> </w:t>
      </w:r>
      <w:r>
        <w:rPr>
          <w:color w:val="231F1F"/>
          <w:spacing w:val="-2"/>
        </w:rPr>
        <w:t>Neuroaxial</w:t>
      </w:r>
    </w:p>
    <w:p>
      <w:pPr>
        <w:pStyle w:val="ListParagraph"/>
        <w:numPr>
          <w:ilvl w:val="0"/>
          <w:numId w:val="101"/>
        </w:numPr>
        <w:tabs>
          <w:tab w:pos="955" w:val="left" w:leader="none"/>
        </w:tabs>
        <w:spacing w:line="244" w:lineRule="auto" w:before="210" w:after="0"/>
        <w:ind w:left="955" w:right="123" w:hanging="220"/>
        <w:jc w:val="both"/>
        <w:rPr>
          <w:sz w:val="22"/>
        </w:rPr>
      </w:pPr>
      <w:r>
        <w:rPr>
          <w:color w:val="231F1F"/>
          <w:w w:val="110"/>
          <w:sz w:val="22"/>
        </w:rPr>
        <w:t>Estudios</w:t>
      </w:r>
      <w:r>
        <w:rPr>
          <w:color w:val="231F1F"/>
          <w:spacing w:val="-16"/>
          <w:w w:val="110"/>
          <w:sz w:val="22"/>
        </w:rPr>
        <w:t> </w:t>
      </w:r>
      <w:r>
        <w:rPr>
          <w:color w:val="231F1F"/>
          <w:w w:val="110"/>
          <w:sz w:val="22"/>
        </w:rPr>
        <w:t>con</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número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muestra</w:t>
      </w:r>
      <w:r>
        <w:rPr>
          <w:color w:val="231F1F"/>
          <w:spacing w:val="-15"/>
          <w:w w:val="110"/>
          <w:sz w:val="22"/>
        </w:rPr>
        <w:t> </w:t>
      </w:r>
      <w:r>
        <w:rPr>
          <w:color w:val="231F1F"/>
          <w:w w:val="110"/>
          <w:sz w:val="22"/>
        </w:rPr>
        <w:t>adecuado</w:t>
      </w:r>
      <w:r>
        <w:rPr>
          <w:color w:val="231F1F"/>
          <w:spacing w:val="-15"/>
          <w:w w:val="110"/>
          <w:sz w:val="22"/>
        </w:rPr>
        <w:t> </w:t>
      </w:r>
      <w:r>
        <w:rPr>
          <w:color w:val="231F1F"/>
          <w:w w:val="110"/>
          <w:sz w:val="22"/>
        </w:rPr>
        <w:t>para</w:t>
      </w:r>
      <w:r>
        <w:rPr>
          <w:color w:val="231F1F"/>
          <w:spacing w:val="-15"/>
          <w:w w:val="110"/>
          <w:sz w:val="22"/>
        </w:rPr>
        <w:t> </w:t>
      </w:r>
      <w:r>
        <w:rPr>
          <w:color w:val="231F1F"/>
          <w:w w:val="110"/>
          <w:sz w:val="22"/>
        </w:rPr>
        <w:t>evaluar</w:t>
      </w:r>
      <w:r>
        <w:rPr>
          <w:color w:val="231F1F"/>
          <w:spacing w:val="-16"/>
          <w:w w:val="110"/>
          <w:sz w:val="22"/>
        </w:rPr>
        <w:t> </w:t>
      </w:r>
      <w:r>
        <w:rPr>
          <w:color w:val="231F1F"/>
          <w:w w:val="110"/>
          <w:sz w:val="22"/>
        </w:rPr>
        <w:t>si</w:t>
      </w:r>
      <w:r>
        <w:rPr>
          <w:color w:val="231F1F"/>
          <w:spacing w:val="-15"/>
          <w:w w:val="110"/>
          <w:sz w:val="22"/>
        </w:rPr>
        <w:t> </w:t>
      </w:r>
      <w:r>
        <w:rPr>
          <w:color w:val="231F1F"/>
          <w:w w:val="110"/>
          <w:sz w:val="22"/>
        </w:rPr>
        <w:t>cambios</w:t>
      </w:r>
      <w:r>
        <w:rPr>
          <w:color w:val="231F1F"/>
          <w:spacing w:val="-15"/>
          <w:w w:val="110"/>
          <w:sz w:val="22"/>
        </w:rPr>
        <w:t> </w:t>
      </w:r>
      <w:r>
        <w:rPr>
          <w:color w:val="231F1F"/>
          <w:w w:val="110"/>
          <w:sz w:val="22"/>
        </w:rPr>
        <w:t>más</w:t>
      </w:r>
      <w:r>
        <w:rPr>
          <w:color w:val="231F1F"/>
          <w:spacing w:val="-15"/>
          <w:w w:val="110"/>
          <w:sz w:val="22"/>
        </w:rPr>
        <w:t> </w:t>
      </w:r>
      <w:r>
        <w:rPr>
          <w:color w:val="231F1F"/>
          <w:w w:val="110"/>
          <w:sz w:val="22"/>
        </w:rPr>
        <w:t>modes- tos</w:t>
      </w:r>
      <w:r>
        <w:rPr>
          <w:color w:val="231F1F"/>
          <w:spacing w:val="-16"/>
          <w:w w:val="110"/>
          <w:sz w:val="22"/>
        </w:rPr>
        <w:t> </w:t>
      </w:r>
      <w:r>
        <w:rPr>
          <w:color w:val="231F1F"/>
          <w:w w:val="110"/>
          <w:sz w:val="22"/>
        </w:rPr>
        <w:t>en</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tensión</w:t>
      </w:r>
      <w:r>
        <w:rPr>
          <w:color w:val="231F1F"/>
          <w:spacing w:val="-15"/>
          <w:w w:val="110"/>
          <w:sz w:val="22"/>
        </w:rPr>
        <w:t> </w:t>
      </w:r>
      <w:r>
        <w:rPr>
          <w:color w:val="231F1F"/>
          <w:w w:val="110"/>
          <w:sz w:val="22"/>
        </w:rPr>
        <w:t>arterial</w:t>
      </w:r>
      <w:r>
        <w:rPr>
          <w:color w:val="231F1F"/>
          <w:spacing w:val="-15"/>
          <w:w w:val="110"/>
          <w:sz w:val="22"/>
        </w:rPr>
        <w:t> </w:t>
      </w:r>
      <w:r>
        <w:rPr>
          <w:color w:val="231F1F"/>
          <w:w w:val="110"/>
          <w:sz w:val="22"/>
        </w:rPr>
        <w:t>(&lt;</w:t>
      </w:r>
      <w:r>
        <w:rPr>
          <w:color w:val="231F1F"/>
          <w:spacing w:val="-15"/>
          <w:w w:val="110"/>
          <w:sz w:val="22"/>
        </w:rPr>
        <w:t> </w:t>
      </w:r>
      <w:r>
        <w:rPr>
          <w:color w:val="231F1F"/>
          <w:w w:val="110"/>
          <w:sz w:val="22"/>
        </w:rPr>
        <w:t>20%)</w:t>
      </w:r>
      <w:r>
        <w:rPr>
          <w:color w:val="231F1F"/>
          <w:spacing w:val="-15"/>
          <w:w w:val="110"/>
          <w:sz w:val="22"/>
        </w:rPr>
        <w:t> </w:t>
      </w:r>
      <w:r>
        <w:rPr>
          <w:color w:val="231F1F"/>
          <w:w w:val="110"/>
          <w:sz w:val="22"/>
        </w:rPr>
        <w:t>pueden</w:t>
      </w:r>
      <w:r>
        <w:rPr>
          <w:color w:val="231F1F"/>
          <w:spacing w:val="-15"/>
          <w:w w:val="110"/>
          <w:sz w:val="22"/>
        </w:rPr>
        <w:t> </w:t>
      </w:r>
      <w:r>
        <w:rPr>
          <w:color w:val="231F1F"/>
          <w:w w:val="110"/>
          <w:sz w:val="22"/>
        </w:rPr>
        <w:t>comprometer</w:t>
      </w:r>
      <w:r>
        <w:rPr>
          <w:color w:val="231F1F"/>
          <w:spacing w:val="-16"/>
          <w:w w:val="110"/>
          <w:sz w:val="22"/>
        </w:rPr>
        <w:t> </w:t>
      </w:r>
      <w:r>
        <w:rPr>
          <w:color w:val="231F1F"/>
          <w:w w:val="110"/>
          <w:sz w:val="22"/>
        </w:rPr>
        <w:t>el</w:t>
      </w:r>
      <w:r>
        <w:rPr>
          <w:color w:val="231F1F"/>
          <w:spacing w:val="-15"/>
          <w:w w:val="110"/>
          <w:sz w:val="22"/>
        </w:rPr>
        <w:t> </w:t>
      </w:r>
      <w:r>
        <w:rPr>
          <w:color w:val="231F1F"/>
          <w:w w:val="110"/>
          <w:sz w:val="22"/>
        </w:rPr>
        <w:t>flujo</w:t>
      </w:r>
      <w:r>
        <w:rPr>
          <w:color w:val="231F1F"/>
          <w:spacing w:val="-15"/>
          <w:w w:val="110"/>
          <w:sz w:val="22"/>
        </w:rPr>
        <w:t> </w:t>
      </w:r>
      <w:r>
        <w:rPr>
          <w:color w:val="231F1F"/>
          <w:w w:val="110"/>
          <w:sz w:val="22"/>
        </w:rPr>
        <w:t>placentario</w:t>
      </w:r>
      <w:r>
        <w:rPr>
          <w:color w:val="231F1F"/>
          <w:spacing w:val="-15"/>
          <w:w w:val="110"/>
          <w:sz w:val="22"/>
        </w:rPr>
        <w:t> </w:t>
      </w:r>
      <w:r>
        <w:rPr>
          <w:color w:val="231F1F"/>
          <w:w w:val="110"/>
          <w:sz w:val="22"/>
        </w:rPr>
        <w:t>y</w:t>
      </w:r>
      <w:r>
        <w:rPr>
          <w:color w:val="231F1F"/>
          <w:spacing w:val="-15"/>
          <w:w w:val="110"/>
          <w:sz w:val="22"/>
        </w:rPr>
        <w:t> </w:t>
      </w:r>
      <w:r>
        <w:rPr>
          <w:color w:val="231F1F"/>
          <w:w w:val="110"/>
          <w:sz w:val="22"/>
        </w:rPr>
        <w:t>alterar la FCF.</w:t>
      </w:r>
    </w:p>
    <w:p>
      <w:pPr>
        <w:pStyle w:val="BodyText"/>
        <w:spacing w:before="167"/>
      </w:pPr>
    </w:p>
    <w:p>
      <w:pPr>
        <w:pStyle w:val="Heading5"/>
      </w:pPr>
      <w:r>
        <w:rPr>
          <w:color w:val="231F1F"/>
        </w:rPr>
        <w:t>Cuando</w:t>
      </w:r>
      <w:r>
        <w:rPr>
          <w:color w:val="231F1F"/>
          <w:spacing w:val="-12"/>
        </w:rPr>
        <w:t> </w:t>
      </w:r>
      <w:r>
        <w:rPr>
          <w:color w:val="231F1F"/>
        </w:rPr>
        <w:t>se</w:t>
      </w:r>
      <w:r>
        <w:rPr>
          <w:color w:val="231F1F"/>
          <w:spacing w:val="-9"/>
        </w:rPr>
        <w:t> </w:t>
      </w:r>
      <w:r>
        <w:rPr>
          <w:color w:val="231F1F"/>
        </w:rPr>
        <w:t>utilizan</w:t>
      </w:r>
      <w:r>
        <w:rPr>
          <w:color w:val="231F1F"/>
          <w:spacing w:val="-8"/>
        </w:rPr>
        <w:t> </w:t>
      </w:r>
      <w:r>
        <w:rPr>
          <w:color w:val="231F1F"/>
          <w:spacing w:val="-2"/>
        </w:rPr>
        <w:t>opioides</w:t>
      </w:r>
    </w:p>
    <w:p>
      <w:pPr>
        <w:pStyle w:val="ListParagraph"/>
        <w:numPr>
          <w:ilvl w:val="0"/>
          <w:numId w:val="101"/>
        </w:numPr>
        <w:tabs>
          <w:tab w:pos="954" w:val="left" w:leader="none"/>
          <w:tab w:pos="956" w:val="left" w:leader="none"/>
        </w:tabs>
        <w:spacing w:line="240" w:lineRule="auto" w:before="205" w:after="0"/>
        <w:ind w:left="956" w:right="124" w:hanging="221"/>
        <w:jc w:val="both"/>
        <w:rPr>
          <w:sz w:val="22"/>
        </w:rPr>
      </w:pPr>
      <w:r>
        <w:rPr>
          <w:color w:val="231F1F"/>
          <w:spacing w:val="-2"/>
          <w:w w:val="110"/>
          <w:sz w:val="22"/>
        </w:rPr>
        <w:t>Estudios</w:t>
      </w:r>
      <w:r>
        <w:rPr>
          <w:color w:val="231F1F"/>
          <w:spacing w:val="-8"/>
          <w:w w:val="110"/>
          <w:sz w:val="22"/>
        </w:rPr>
        <w:t> </w:t>
      </w:r>
      <w:r>
        <w:rPr>
          <w:color w:val="231F1F"/>
          <w:spacing w:val="-2"/>
          <w:w w:val="110"/>
          <w:sz w:val="22"/>
        </w:rPr>
        <w:t>que</w:t>
      </w:r>
      <w:r>
        <w:rPr>
          <w:color w:val="231F1F"/>
          <w:spacing w:val="-8"/>
          <w:w w:val="110"/>
          <w:sz w:val="22"/>
        </w:rPr>
        <w:t> </w:t>
      </w:r>
      <w:r>
        <w:rPr>
          <w:color w:val="231F1F"/>
          <w:spacing w:val="-2"/>
          <w:w w:val="110"/>
          <w:sz w:val="22"/>
        </w:rPr>
        <w:t>evalúen</w:t>
      </w:r>
      <w:r>
        <w:rPr>
          <w:color w:val="231F1F"/>
          <w:spacing w:val="-8"/>
          <w:w w:val="110"/>
          <w:sz w:val="22"/>
        </w:rPr>
        <w:t> </w:t>
      </w:r>
      <w:r>
        <w:rPr>
          <w:color w:val="231F1F"/>
          <w:spacing w:val="-2"/>
          <w:w w:val="110"/>
          <w:sz w:val="22"/>
        </w:rPr>
        <w:t>el</w:t>
      </w:r>
      <w:r>
        <w:rPr>
          <w:color w:val="231F1F"/>
          <w:spacing w:val="-8"/>
          <w:w w:val="110"/>
          <w:sz w:val="22"/>
        </w:rPr>
        <w:t> </w:t>
      </w:r>
      <w:r>
        <w:rPr>
          <w:color w:val="231F1F"/>
          <w:spacing w:val="-2"/>
          <w:w w:val="110"/>
          <w:sz w:val="22"/>
        </w:rPr>
        <w:t>efecto</w:t>
      </w:r>
      <w:r>
        <w:rPr>
          <w:color w:val="231F1F"/>
          <w:spacing w:val="-8"/>
          <w:w w:val="110"/>
          <w:sz w:val="22"/>
        </w:rPr>
        <w:t> </w:t>
      </w:r>
      <w:r>
        <w:rPr>
          <w:color w:val="231F1F"/>
          <w:spacing w:val="-2"/>
          <w:w w:val="110"/>
          <w:sz w:val="22"/>
        </w:rPr>
        <w:t>del</w:t>
      </w:r>
      <w:r>
        <w:rPr>
          <w:color w:val="231F1F"/>
          <w:spacing w:val="-9"/>
          <w:w w:val="110"/>
          <w:sz w:val="22"/>
        </w:rPr>
        <w:t> </w:t>
      </w:r>
      <w:r>
        <w:rPr>
          <w:color w:val="231F1F"/>
          <w:spacing w:val="-2"/>
          <w:w w:val="110"/>
          <w:sz w:val="22"/>
        </w:rPr>
        <w:t>uso</w:t>
      </w:r>
      <w:r>
        <w:rPr>
          <w:color w:val="231F1F"/>
          <w:spacing w:val="-8"/>
          <w:w w:val="110"/>
          <w:sz w:val="22"/>
        </w:rPr>
        <w:t> </w:t>
      </w:r>
      <w:r>
        <w:rPr>
          <w:color w:val="231F1F"/>
          <w:spacing w:val="-2"/>
          <w:w w:val="110"/>
          <w:sz w:val="22"/>
        </w:rPr>
        <w:t>de</w:t>
      </w:r>
      <w:r>
        <w:rPr>
          <w:color w:val="231F1F"/>
          <w:spacing w:val="-8"/>
          <w:w w:val="110"/>
          <w:sz w:val="22"/>
        </w:rPr>
        <w:t> </w:t>
      </w:r>
      <w:r>
        <w:rPr>
          <w:b/>
          <w:color w:val="231F1F"/>
          <w:spacing w:val="-2"/>
          <w:w w:val="110"/>
          <w:sz w:val="22"/>
        </w:rPr>
        <w:t>opioides</w:t>
      </w:r>
      <w:r>
        <w:rPr>
          <w:b/>
          <w:color w:val="231F1F"/>
          <w:spacing w:val="-8"/>
          <w:w w:val="110"/>
          <w:sz w:val="22"/>
        </w:rPr>
        <w:t> </w:t>
      </w:r>
      <w:r>
        <w:rPr>
          <w:color w:val="231F1F"/>
          <w:spacing w:val="-2"/>
          <w:w w:val="110"/>
          <w:sz w:val="22"/>
        </w:rPr>
        <w:t>en</w:t>
      </w:r>
      <w:r>
        <w:rPr>
          <w:color w:val="231F1F"/>
          <w:spacing w:val="-8"/>
          <w:w w:val="110"/>
          <w:sz w:val="22"/>
        </w:rPr>
        <w:t> </w:t>
      </w:r>
      <w:r>
        <w:rPr>
          <w:color w:val="231F1F"/>
          <w:spacing w:val="-2"/>
          <w:w w:val="110"/>
          <w:sz w:val="22"/>
        </w:rPr>
        <w:t>la</w:t>
      </w:r>
      <w:r>
        <w:rPr>
          <w:color w:val="231F1F"/>
          <w:spacing w:val="-8"/>
          <w:w w:val="110"/>
          <w:sz w:val="22"/>
        </w:rPr>
        <w:t> </w:t>
      </w:r>
      <w:r>
        <w:rPr>
          <w:color w:val="231F1F"/>
          <w:spacing w:val="-2"/>
          <w:w w:val="110"/>
          <w:sz w:val="22"/>
        </w:rPr>
        <w:t>analgesia</w:t>
      </w:r>
      <w:r>
        <w:rPr>
          <w:color w:val="231F1F"/>
          <w:spacing w:val="-7"/>
          <w:w w:val="110"/>
          <w:sz w:val="22"/>
        </w:rPr>
        <w:t> </w:t>
      </w:r>
      <w:r>
        <w:rPr>
          <w:color w:val="231F1F"/>
          <w:spacing w:val="-2"/>
          <w:w w:val="110"/>
          <w:sz w:val="22"/>
        </w:rPr>
        <w:t>neuroaxial</w:t>
      </w:r>
      <w:r>
        <w:rPr>
          <w:color w:val="231F1F"/>
          <w:spacing w:val="-9"/>
          <w:w w:val="110"/>
          <w:sz w:val="22"/>
        </w:rPr>
        <w:t> </w:t>
      </w:r>
      <w:r>
        <w:rPr>
          <w:color w:val="231F1F"/>
          <w:spacing w:val="-2"/>
          <w:w w:val="110"/>
          <w:sz w:val="22"/>
        </w:rPr>
        <w:t>sobre </w:t>
      </w:r>
      <w:r>
        <w:rPr>
          <w:color w:val="231F1F"/>
          <w:w w:val="110"/>
          <w:sz w:val="22"/>
        </w:rPr>
        <w:t>la lactancia materna.</w:t>
      </w:r>
    </w:p>
    <w:p>
      <w:pPr>
        <w:pStyle w:val="BodyText"/>
        <w:spacing w:before="171"/>
      </w:pPr>
    </w:p>
    <w:p>
      <w:pPr>
        <w:spacing w:before="1"/>
        <w:ind w:left="283" w:right="0" w:firstLine="0"/>
        <w:jc w:val="left"/>
        <w:rPr>
          <w:rFonts w:ascii="Arial MT" w:hAnsi="Arial MT"/>
          <w:sz w:val="24"/>
        </w:rPr>
      </w:pPr>
      <w:r>
        <w:rPr>
          <w:rFonts w:ascii="Arial MT" w:hAnsi="Arial MT"/>
          <w:color w:val="231F1F"/>
          <w:w w:val="105"/>
          <w:sz w:val="24"/>
        </w:rPr>
        <w:t>Monitorización</w:t>
      </w:r>
      <w:r>
        <w:rPr>
          <w:rFonts w:ascii="Arial MT" w:hAnsi="Arial MT"/>
          <w:color w:val="231F1F"/>
          <w:spacing w:val="-1"/>
          <w:w w:val="105"/>
          <w:sz w:val="24"/>
        </w:rPr>
        <w:t> </w:t>
      </w:r>
      <w:r>
        <w:rPr>
          <w:rFonts w:ascii="Arial MT" w:hAnsi="Arial MT"/>
          <w:color w:val="231F1F"/>
          <w:spacing w:val="-4"/>
          <w:w w:val="105"/>
          <w:sz w:val="24"/>
        </w:rPr>
        <w:t>fetal</w:t>
      </w:r>
    </w:p>
    <w:p>
      <w:pPr>
        <w:pStyle w:val="ListParagraph"/>
        <w:numPr>
          <w:ilvl w:val="0"/>
          <w:numId w:val="101"/>
        </w:numPr>
        <w:tabs>
          <w:tab w:pos="952" w:val="left" w:leader="none"/>
          <w:tab w:pos="956" w:val="left" w:leader="none"/>
        </w:tabs>
        <w:spacing w:line="244" w:lineRule="auto" w:before="214" w:after="0"/>
        <w:ind w:left="956" w:right="122" w:hanging="221"/>
        <w:jc w:val="both"/>
        <w:rPr>
          <w:sz w:val="22"/>
        </w:rPr>
      </w:pPr>
      <w:r>
        <w:rPr>
          <w:color w:val="231F1F"/>
          <w:w w:val="105"/>
          <w:sz w:val="22"/>
        </w:rPr>
        <w:t>Se recomienda realizar estudios adicionales para valorar la utilidad de los </w:t>
      </w:r>
      <w:r>
        <w:rPr>
          <w:i/>
          <w:color w:val="231F1F"/>
          <w:w w:val="105"/>
          <w:sz w:val="22"/>
        </w:rPr>
        <w:t>métodos complementarios a la cardiotocografía </w:t>
      </w:r>
      <w:r>
        <w:rPr>
          <w:color w:val="231F1F"/>
          <w:w w:val="105"/>
          <w:sz w:val="22"/>
        </w:rPr>
        <w:t>(pH</w:t>
      </w:r>
      <w:r>
        <w:rPr>
          <w:color w:val="231F1F"/>
          <w:w w:val="105"/>
          <w:sz w:val="22"/>
        </w:rPr>
        <w:t> fetal,</w:t>
      </w:r>
      <w:r>
        <w:rPr>
          <w:color w:val="231F1F"/>
          <w:w w:val="105"/>
          <w:sz w:val="22"/>
        </w:rPr>
        <w:t> Pulsioximetría,</w:t>
      </w:r>
      <w:r>
        <w:rPr>
          <w:color w:val="231F1F"/>
          <w:w w:val="105"/>
          <w:sz w:val="22"/>
        </w:rPr>
        <w:t> segmento</w:t>
      </w:r>
      <w:r>
        <w:rPr>
          <w:color w:val="231F1F"/>
          <w:w w:val="105"/>
          <w:sz w:val="22"/>
        </w:rPr>
        <w:t> ST</w:t>
      </w:r>
      <w:r>
        <w:rPr>
          <w:color w:val="231F1F"/>
          <w:w w:val="105"/>
          <w:sz w:val="22"/>
        </w:rPr>
        <w:t> del ECG) para la evaluación del bienestar fetal.</w:t>
      </w:r>
    </w:p>
    <w:p>
      <w:pPr>
        <w:pStyle w:val="ListParagraph"/>
        <w:numPr>
          <w:ilvl w:val="0"/>
          <w:numId w:val="101"/>
        </w:numPr>
        <w:tabs>
          <w:tab w:pos="955" w:val="left" w:leader="none"/>
        </w:tabs>
        <w:spacing w:line="254" w:lineRule="auto" w:before="138" w:after="0"/>
        <w:ind w:left="955" w:right="231" w:hanging="219"/>
        <w:jc w:val="both"/>
        <w:rPr>
          <w:sz w:val="22"/>
        </w:rPr>
      </w:pPr>
      <w:r>
        <w:rPr>
          <w:color w:val="231F1F"/>
          <w:w w:val="105"/>
          <w:sz w:val="22"/>
        </w:rPr>
        <w:t>Se</w:t>
      </w:r>
      <w:r>
        <w:rPr>
          <w:color w:val="231F1F"/>
          <w:w w:val="105"/>
          <w:sz w:val="22"/>
        </w:rPr>
        <w:t> recomienda</w:t>
      </w:r>
      <w:r>
        <w:rPr>
          <w:color w:val="231F1F"/>
          <w:w w:val="105"/>
          <w:sz w:val="22"/>
        </w:rPr>
        <w:t> realizar</w:t>
      </w:r>
      <w:r>
        <w:rPr>
          <w:color w:val="231F1F"/>
          <w:w w:val="105"/>
          <w:sz w:val="22"/>
        </w:rPr>
        <w:t> seguimiento</w:t>
      </w:r>
      <w:r>
        <w:rPr>
          <w:color w:val="231F1F"/>
          <w:w w:val="105"/>
          <w:sz w:val="22"/>
        </w:rPr>
        <w:t> a</w:t>
      </w:r>
      <w:r>
        <w:rPr>
          <w:color w:val="231F1F"/>
          <w:w w:val="105"/>
          <w:sz w:val="22"/>
        </w:rPr>
        <w:t> largo</w:t>
      </w:r>
      <w:r>
        <w:rPr>
          <w:color w:val="231F1F"/>
          <w:w w:val="105"/>
          <w:sz w:val="22"/>
        </w:rPr>
        <w:t> plazo</w:t>
      </w:r>
      <w:r>
        <w:rPr>
          <w:color w:val="231F1F"/>
          <w:w w:val="105"/>
          <w:sz w:val="22"/>
        </w:rPr>
        <w:t> del</w:t>
      </w:r>
      <w:r>
        <w:rPr>
          <w:color w:val="231F1F"/>
          <w:w w:val="105"/>
          <w:sz w:val="22"/>
        </w:rPr>
        <w:t> impacto</w:t>
      </w:r>
      <w:r>
        <w:rPr>
          <w:color w:val="231F1F"/>
          <w:w w:val="105"/>
          <w:sz w:val="22"/>
        </w:rPr>
        <w:t> que</w:t>
      </w:r>
      <w:r>
        <w:rPr>
          <w:color w:val="231F1F"/>
          <w:w w:val="105"/>
          <w:sz w:val="22"/>
        </w:rPr>
        <w:t> AI</w:t>
      </w:r>
      <w:r>
        <w:rPr>
          <w:color w:val="231F1F"/>
          <w:w w:val="105"/>
          <w:sz w:val="22"/>
        </w:rPr>
        <w:t> y</w:t>
      </w:r>
      <w:r>
        <w:rPr>
          <w:color w:val="231F1F"/>
          <w:w w:val="105"/>
          <w:sz w:val="22"/>
        </w:rPr>
        <w:t> la</w:t>
      </w:r>
      <w:r>
        <w:rPr>
          <w:color w:val="231F1F"/>
          <w:w w:val="105"/>
          <w:sz w:val="22"/>
        </w:rPr>
        <w:t> MFE continua tienen en los resultados neuropsicológicos en el recién nacido.</w:t>
      </w:r>
    </w:p>
    <w:p>
      <w:pPr>
        <w:pStyle w:val="ListParagraph"/>
        <w:numPr>
          <w:ilvl w:val="0"/>
          <w:numId w:val="101"/>
        </w:numPr>
        <w:tabs>
          <w:tab w:pos="952" w:val="left" w:leader="none"/>
          <w:tab w:pos="956" w:val="left" w:leader="none"/>
        </w:tabs>
        <w:spacing w:line="244" w:lineRule="auto" w:before="145" w:after="0"/>
        <w:ind w:left="956" w:right="118" w:hanging="221"/>
        <w:jc w:val="both"/>
        <w:rPr>
          <w:sz w:val="22"/>
        </w:rPr>
      </w:pPr>
      <w:r>
        <w:rPr>
          <w:color w:val="231F1F"/>
          <w:w w:val="105"/>
          <w:sz w:val="22"/>
        </w:rPr>
        <w:t>El análisis computerizado de la frecuencia cardiaca fetal está comenzando a mostrar resultados</w:t>
      </w:r>
      <w:r>
        <w:rPr>
          <w:color w:val="231F1F"/>
          <w:w w:val="105"/>
          <w:sz w:val="22"/>
        </w:rPr>
        <w:t> prometedores,</w:t>
      </w:r>
      <w:r>
        <w:rPr>
          <w:color w:val="231F1F"/>
          <w:w w:val="105"/>
          <w:sz w:val="22"/>
        </w:rPr>
        <w:t> que</w:t>
      </w:r>
      <w:r>
        <w:rPr>
          <w:color w:val="231F1F"/>
          <w:w w:val="105"/>
          <w:sz w:val="22"/>
        </w:rPr>
        <w:t> deberán</w:t>
      </w:r>
      <w:r>
        <w:rPr>
          <w:color w:val="231F1F"/>
          <w:w w:val="105"/>
          <w:sz w:val="22"/>
        </w:rPr>
        <w:t> ser</w:t>
      </w:r>
      <w:r>
        <w:rPr>
          <w:color w:val="231F1F"/>
          <w:w w:val="105"/>
          <w:sz w:val="22"/>
        </w:rPr>
        <w:t> tenidos</w:t>
      </w:r>
      <w:r>
        <w:rPr>
          <w:color w:val="231F1F"/>
          <w:w w:val="105"/>
          <w:sz w:val="22"/>
        </w:rPr>
        <w:t> en</w:t>
      </w:r>
      <w:r>
        <w:rPr>
          <w:color w:val="231F1F"/>
          <w:w w:val="105"/>
          <w:sz w:val="22"/>
        </w:rPr>
        <w:t> cuenta</w:t>
      </w:r>
      <w:r>
        <w:rPr>
          <w:color w:val="231F1F"/>
          <w:w w:val="105"/>
          <w:sz w:val="22"/>
        </w:rPr>
        <w:t> dentro</w:t>
      </w:r>
      <w:r>
        <w:rPr>
          <w:color w:val="231F1F"/>
          <w:w w:val="105"/>
          <w:sz w:val="22"/>
        </w:rPr>
        <w:t> de</w:t>
      </w:r>
      <w:r>
        <w:rPr>
          <w:color w:val="231F1F"/>
          <w:w w:val="105"/>
          <w:sz w:val="22"/>
        </w:rPr>
        <w:t> los</w:t>
      </w:r>
      <w:r>
        <w:rPr>
          <w:color w:val="231F1F"/>
          <w:w w:val="105"/>
          <w:sz w:val="22"/>
        </w:rPr>
        <w:t> nuevos desarrollos de la investigación.</w:t>
      </w:r>
    </w:p>
    <w:p>
      <w:pPr>
        <w:pStyle w:val="ListParagraph"/>
        <w:numPr>
          <w:ilvl w:val="0"/>
          <w:numId w:val="101"/>
        </w:numPr>
        <w:tabs>
          <w:tab w:pos="956" w:val="left" w:leader="none"/>
        </w:tabs>
        <w:spacing w:line="254" w:lineRule="auto" w:before="143" w:after="0"/>
        <w:ind w:left="956" w:right="118" w:hanging="221"/>
        <w:jc w:val="both"/>
        <w:rPr>
          <w:sz w:val="22"/>
        </w:rPr>
      </w:pPr>
      <w:r>
        <w:rPr>
          <w:color w:val="231F1F"/>
          <w:w w:val="110"/>
          <w:sz w:val="22"/>
        </w:rPr>
        <w:t>Se</w:t>
      </w:r>
      <w:r>
        <w:rPr>
          <w:color w:val="231F1F"/>
          <w:spacing w:val="-4"/>
          <w:w w:val="110"/>
          <w:sz w:val="22"/>
        </w:rPr>
        <w:t> </w:t>
      </w:r>
      <w:r>
        <w:rPr>
          <w:color w:val="231F1F"/>
          <w:w w:val="110"/>
          <w:sz w:val="22"/>
        </w:rPr>
        <w:t>necesitan</w:t>
      </w:r>
      <w:r>
        <w:rPr>
          <w:color w:val="231F1F"/>
          <w:spacing w:val="-4"/>
          <w:w w:val="110"/>
          <w:sz w:val="22"/>
        </w:rPr>
        <w:t> </w:t>
      </w:r>
      <w:r>
        <w:rPr>
          <w:color w:val="231F1F"/>
          <w:w w:val="110"/>
          <w:sz w:val="22"/>
        </w:rPr>
        <w:t>estudios</w:t>
      </w:r>
      <w:r>
        <w:rPr>
          <w:color w:val="231F1F"/>
          <w:spacing w:val="-4"/>
          <w:w w:val="110"/>
          <w:sz w:val="22"/>
        </w:rPr>
        <w:t> </w:t>
      </w:r>
      <w:r>
        <w:rPr>
          <w:color w:val="231F1F"/>
          <w:w w:val="110"/>
          <w:sz w:val="22"/>
        </w:rPr>
        <w:t>que</w:t>
      </w:r>
      <w:r>
        <w:rPr>
          <w:color w:val="231F1F"/>
          <w:spacing w:val="-4"/>
          <w:w w:val="110"/>
          <w:sz w:val="22"/>
        </w:rPr>
        <w:t> </w:t>
      </w:r>
      <w:r>
        <w:rPr>
          <w:color w:val="231F1F"/>
          <w:w w:val="110"/>
          <w:sz w:val="22"/>
        </w:rPr>
        <w:t>estimen</w:t>
      </w:r>
      <w:r>
        <w:rPr>
          <w:color w:val="231F1F"/>
          <w:spacing w:val="-4"/>
          <w:w w:val="110"/>
          <w:sz w:val="22"/>
        </w:rPr>
        <w:t> </w:t>
      </w:r>
      <w:r>
        <w:rPr>
          <w:color w:val="231F1F"/>
          <w:w w:val="110"/>
          <w:sz w:val="22"/>
        </w:rPr>
        <w:t>el</w:t>
      </w:r>
      <w:r>
        <w:rPr>
          <w:color w:val="231F1F"/>
          <w:spacing w:val="-5"/>
          <w:w w:val="110"/>
          <w:sz w:val="22"/>
        </w:rPr>
        <w:t> </w:t>
      </w:r>
      <w:r>
        <w:rPr>
          <w:color w:val="231F1F"/>
          <w:w w:val="110"/>
          <w:sz w:val="22"/>
        </w:rPr>
        <w:t>valor</w:t>
      </w:r>
      <w:r>
        <w:rPr>
          <w:color w:val="231F1F"/>
          <w:spacing w:val="-5"/>
          <w:w w:val="110"/>
          <w:sz w:val="22"/>
        </w:rPr>
        <w:t> </w:t>
      </w:r>
      <w:r>
        <w:rPr>
          <w:color w:val="231F1F"/>
          <w:w w:val="110"/>
          <w:sz w:val="22"/>
        </w:rPr>
        <w:t>predictivo</w:t>
      </w:r>
      <w:r>
        <w:rPr>
          <w:color w:val="231F1F"/>
          <w:spacing w:val="-4"/>
          <w:w w:val="110"/>
          <w:sz w:val="22"/>
        </w:rPr>
        <w:t> </w:t>
      </w:r>
      <w:r>
        <w:rPr>
          <w:color w:val="231F1F"/>
          <w:w w:val="110"/>
          <w:sz w:val="22"/>
        </w:rPr>
        <w:t>de</w:t>
      </w:r>
      <w:r>
        <w:rPr>
          <w:color w:val="231F1F"/>
          <w:spacing w:val="-4"/>
          <w:w w:val="110"/>
          <w:sz w:val="22"/>
        </w:rPr>
        <w:t> </w:t>
      </w:r>
      <w:r>
        <w:rPr>
          <w:color w:val="231F1F"/>
          <w:w w:val="110"/>
          <w:sz w:val="22"/>
        </w:rPr>
        <w:t>las</w:t>
      </w:r>
      <w:r>
        <w:rPr>
          <w:color w:val="231F1F"/>
          <w:spacing w:val="-4"/>
          <w:w w:val="110"/>
          <w:sz w:val="22"/>
        </w:rPr>
        <w:t> </w:t>
      </w:r>
      <w:r>
        <w:rPr>
          <w:color w:val="231F1F"/>
          <w:w w:val="110"/>
          <w:sz w:val="22"/>
        </w:rPr>
        <w:t>clasificaciones</w:t>
      </w:r>
      <w:r>
        <w:rPr>
          <w:color w:val="231F1F"/>
          <w:spacing w:val="-4"/>
          <w:w w:val="110"/>
          <w:sz w:val="22"/>
        </w:rPr>
        <w:t> </w:t>
      </w:r>
      <w:r>
        <w:rPr>
          <w:color w:val="231F1F"/>
          <w:w w:val="110"/>
          <w:sz w:val="22"/>
        </w:rPr>
        <w:t>de</w:t>
      </w:r>
      <w:r>
        <w:rPr>
          <w:color w:val="231F1F"/>
          <w:spacing w:val="-4"/>
          <w:w w:val="110"/>
          <w:sz w:val="22"/>
        </w:rPr>
        <w:t> </w:t>
      </w:r>
      <w:r>
        <w:rPr>
          <w:color w:val="231F1F"/>
          <w:w w:val="110"/>
          <w:sz w:val="22"/>
        </w:rPr>
        <w:t>los registros</w:t>
      </w:r>
      <w:r>
        <w:rPr>
          <w:color w:val="231F1F"/>
          <w:spacing w:val="-1"/>
          <w:w w:val="110"/>
          <w:sz w:val="22"/>
        </w:rPr>
        <w:t> </w:t>
      </w:r>
      <w:r>
        <w:rPr>
          <w:color w:val="231F1F"/>
          <w:w w:val="110"/>
          <w:sz w:val="22"/>
        </w:rPr>
        <w:t>de</w:t>
      </w:r>
      <w:r>
        <w:rPr>
          <w:color w:val="231F1F"/>
          <w:spacing w:val="-2"/>
          <w:w w:val="110"/>
          <w:sz w:val="22"/>
        </w:rPr>
        <w:t> </w:t>
      </w:r>
      <w:r>
        <w:rPr>
          <w:color w:val="231F1F"/>
          <w:w w:val="110"/>
          <w:sz w:val="22"/>
        </w:rPr>
        <w:t>frecuencia</w:t>
      </w:r>
      <w:r>
        <w:rPr>
          <w:color w:val="231F1F"/>
          <w:spacing w:val="-1"/>
          <w:w w:val="110"/>
          <w:sz w:val="22"/>
        </w:rPr>
        <w:t> </w:t>
      </w:r>
      <w:r>
        <w:rPr>
          <w:color w:val="231F1F"/>
          <w:w w:val="110"/>
          <w:sz w:val="22"/>
        </w:rPr>
        <w:t>cardiaca</w:t>
      </w:r>
      <w:r>
        <w:rPr>
          <w:color w:val="231F1F"/>
          <w:spacing w:val="-1"/>
          <w:w w:val="110"/>
          <w:sz w:val="22"/>
        </w:rPr>
        <w:t> </w:t>
      </w:r>
      <w:r>
        <w:rPr>
          <w:color w:val="231F1F"/>
          <w:w w:val="110"/>
          <w:sz w:val="22"/>
        </w:rPr>
        <w:t>fetal</w:t>
      </w:r>
      <w:r>
        <w:rPr>
          <w:color w:val="231F1F"/>
          <w:spacing w:val="-2"/>
          <w:w w:val="110"/>
          <w:sz w:val="22"/>
        </w:rPr>
        <w:t> </w:t>
      </w:r>
      <w:r>
        <w:rPr>
          <w:color w:val="231F1F"/>
          <w:w w:val="110"/>
          <w:sz w:val="22"/>
        </w:rPr>
        <w:t>en</w:t>
      </w:r>
      <w:r>
        <w:rPr>
          <w:color w:val="231F1F"/>
          <w:spacing w:val="-1"/>
          <w:w w:val="110"/>
          <w:sz w:val="22"/>
        </w:rPr>
        <w:t> </w:t>
      </w:r>
      <w:r>
        <w:rPr>
          <w:color w:val="231F1F"/>
          <w:w w:val="110"/>
          <w:sz w:val="22"/>
        </w:rPr>
        <w:t>los</w:t>
      </w:r>
      <w:r>
        <w:rPr>
          <w:color w:val="231F1F"/>
          <w:spacing w:val="-2"/>
          <w:w w:val="110"/>
          <w:sz w:val="22"/>
        </w:rPr>
        <w:t> </w:t>
      </w:r>
      <w:r>
        <w:rPr>
          <w:color w:val="231F1F"/>
          <w:w w:val="110"/>
          <w:sz w:val="22"/>
        </w:rPr>
        <w:t>resultados</w:t>
      </w:r>
      <w:r>
        <w:rPr>
          <w:color w:val="231F1F"/>
          <w:spacing w:val="-2"/>
          <w:w w:val="110"/>
          <w:sz w:val="22"/>
        </w:rPr>
        <w:t> </w:t>
      </w:r>
      <w:r>
        <w:rPr>
          <w:color w:val="231F1F"/>
          <w:w w:val="110"/>
          <w:sz w:val="22"/>
        </w:rPr>
        <w:t>neonatales.</w:t>
      </w:r>
      <w:r>
        <w:rPr>
          <w:color w:val="231F1F"/>
          <w:spacing w:val="-3"/>
          <w:w w:val="110"/>
          <w:sz w:val="22"/>
        </w:rPr>
        <w:t> </w:t>
      </w:r>
      <w:r>
        <w:rPr>
          <w:color w:val="231F1F"/>
          <w:w w:val="110"/>
          <w:sz w:val="22"/>
        </w:rPr>
        <w:t>A</w:t>
      </w:r>
      <w:r>
        <w:rPr>
          <w:color w:val="231F1F"/>
          <w:spacing w:val="-1"/>
          <w:w w:val="110"/>
          <w:sz w:val="22"/>
        </w:rPr>
        <w:t> </w:t>
      </w:r>
      <w:r>
        <w:rPr>
          <w:color w:val="231F1F"/>
          <w:w w:val="110"/>
          <w:sz w:val="22"/>
        </w:rPr>
        <w:t>partir</w:t>
      </w:r>
      <w:r>
        <w:rPr>
          <w:color w:val="231F1F"/>
          <w:spacing w:val="-2"/>
          <w:w w:val="110"/>
          <w:sz w:val="22"/>
        </w:rPr>
        <w:t> </w:t>
      </w:r>
      <w:r>
        <w:rPr>
          <w:color w:val="231F1F"/>
          <w:w w:val="110"/>
          <w:sz w:val="22"/>
        </w:rPr>
        <w:t>de</w:t>
      </w:r>
      <w:r>
        <w:rPr>
          <w:color w:val="231F1F"/>
          <w:spacing w:val="-2"/>
          <w:w w:val="110"/>
          <w:sz w:val="22"/>
        </w:rPr>
        <w:t> </w:t>
      </w:r>
      <w:r>
        <w:rPr>
          <w:color w:val="231F1F"/>
          <w:w w:val="110"/>
          <w:sz w:val="22"/>
        </w:rPr>
        <w:t>ahí </w:t>
      </w:r>
      <w:r>
        <w:rPr>
          <w:color w:val="231F1F"/>
          <w:sz w:val="22"/>
        </w:rPr>
        <w:t>se deberían diseñar estudios que pongan a prueba la utilización de una categorización </w:t>
      </w:r>
      <w:r>
        <w:rPr>
          <w:color w:val="231F1F"/>
          <w:w w:val="110"/>
          <w:sz w:val="22"/>
        </w:rPr>
        <w:t>homogénea para mejorar la efectividad de la cardiotocografía.</w:t>
      </w:r>
    </w:p>
    <w:p>
      <w:pPr>
        <w:pStyle w:val="ListParagraph"/>
        <w:spacing w:after="0" w:line="254" w:lineRule="auto"/>
        <w:jc w:val="both"/>
        <w:rPr>
          <w:sz w:val="22"/>
        </w:rPr>
        <w:sectPr>
          <w:pgSz w:w="11900" w:h="16840"/>
          <w:pgMar w:header="0" w:footer="622" w:top="1560" w:bottom="820" w:left="1417" w:right="1559"/>
        </w:sectPr>
      </w:pPr>
    </w:p>
    <w:p>
      <w:pPr>
        <w:pStyle w:val="BodyText"/>
        <w:spacing w:before="4"/>
        <w:rPr>
          <w:sz w:val="17"/>
        </w:rPr>
      </w:pPr>
    </w:p>
    <w:p>
      <w:pPr>
        <w:pStyle w:val="BodyText"/>
        <w:spacing w:after="0"/>
        <w:rPr>
          <w:sz w:val="17"/>
        </w:rPr>
        <w:sectPr>
          <w:footerReference w:type="even" r:id="rId60"/>
          <w:pgSz w:w="11900" w:h="16840"/>
          <w:pgMar w:header="0" w:footer="0" w:top="1940" w:bottom="280" w:left="1417" w:right="1559"/>
        </w:sectPr>
      </w:pPr>
    </w:p>
    <w:p>
      <w:pPr>
        <w:pStyle w:val="Heading1"/>
        <w:spacing w:before="64"/>
      </w:pPr>
      <w:bookmarkStart w:name="_TOC_250011" w:id="45"/>
      <w:bookmarkEnd w:id="45"/>
      <w:r>
        <w:rPr>
          <w:color w:val="231F1F"/>
          <w:spacing w:val="-2"/>
          <w:w w:val="110"/>
        </w:rPr>
        <w:t>Anexos</w:t>
      </w:r>
    </w:p>
    <w:p>
      <w:pPr>
        <w:pStyle w:val="BodyText"/>
        <w:spacing w:before="128"/>
        <w:rPr>
          <w:sz w:val="50"/>
        </w:rPr>
      </w:pPr>
    </w:p>
    <w:p>
      <w:pPr>
        <w:pStyle w:val="Heading2"/>
        <w:spacing w:before="0"/>
        <w:ind w:left="282" w:firstLine="0"/>
      </w:pPr>
      <w:bookmarkStart w:name="_TOC_250010" w:id="46"/>
      <w:r>
        <w:rPr>
          <w:color w:val="231F1F"/>
        </w:rPr>
        <w:t>Anexo</w:t>
      </w:r>
      <w:r>
        <w:rPr>
          <w:color w:val="231F1F"/>
          <w:spacing w:val="37"/>
        </w:rPr>
        <w:t> </w:t>
      </w:r>
      <w:r>
        <w:rPr>
          <w:color w:val="231F1F"/>
        </w:rPr>
        <w:t>1.</w:t>
      </w:r>
      <w:r>
        <w:rPr>
          <w:color w:val="231F1F"/>
          <w:spacing w:val="33"/>
        </w:rPr>
        <w:t> </w:t>
      </w:r>
      <w:bookmarkEnd w:id="46"/>
      <w:r>
        <w:rPr>
          <w:color w:val="231F1F"/>
          <w:spacing w:val="-2"/>
        </w:rPr>
        <w:t>Abreviaturas</w:t>
      </w:r>
    </w:p>
    <w:p>
      <w:pPr>
        <w:pStyle w:val="BodyText"/>
        <w:spacing w:before="37"/>
        <w:rPr>
          <w:sz w:val="36"/>
        </w:rPr>
      </w:pPr>
    </w:p>
    <w:p>
      <w:pPr>
        <w:pStyle w:val="BodyText"/>
        <w:tabs>
          <w:tab w:pos="1704" w:val="left" w:leader="none"/>
        </w:tabs>
        <w:ind w:left="288"/>
      </w:pPr>
      <w:r>
        <w:rPr>
          <w:b/>
          <w:color w:val="231F1F"/>
          <w:spacing w:val="-2"/>
          <w:w w:val="105"/>
        </w:rPr>
        <w:t>AGREE:</w:t>
      </w:r>
      <w:r>
        <w:rPr>
          <w:b/>
          <w:color w:val="231F1F"/>
        </w:rPr>
        <w:tab/>
      </w:r>
      <w:r>
        <w:rPr>
          <w:color w:val="231F1F"/>
          <w:w w:val="105"/>
        </w:rPr>
        <w:t>Appraisal</w:t>
      </w:r>
      <w:r>
        <w:rPr>
          <w:color w:val="231F1F"/>
          <w:spacing w:val="11"/>
          <w:w w:val="105"/>
        </w:rPr>
        <w:t> </w:t>
      </w:r>
      <w:r>
        <w:rPr>
          <w:color w:val="231F1F"/>
          <w:w w:val="105"/>
        </w:rPr>
        <w:t>of</w:t>
      </w:r>
      <w:r>
        <w:rPr>
          <w:color w:val="231F1F"/>
          <w:spacing w:val="13"/>
          <w:w w:val="105"/>
        </w:rPr>
        <w:t> </w:t>
      </w:r>
      <w:r>
        <w:rPr>
          <w:color w:val="231F1F"/>
          <w:w w:val="105"/>
        </w:rPr>
        <w:t>Guidelines,</w:t>
      </w:r>
      <w:r>
        <w:rPr>
          <w:color w:val="231F1F"/>
          <w:spacing w:val="13"/>
          <w:w w:val="105"/>
        </w:rPr>
        <w:t> </w:t>
      </w:r>
      <w:r>
        <w:rPr>
          <w:color w:val="231F1F"/>
          <w:w w:val="105"/>
        </w:rPr>
        <w:t>Research</w:t>
      </w:r>
      <w:r>
        <w:rPr>
          <w:color w:val="231F1F"/>
          <w:spacing w:val="14"/>
          <w:w w:val="105"/>
        </w:rPr>
        <w:t> </w:t>
      </w:r>
      <w:r>
        <w:rPr>
          <w:color w:val="231F1F"/>
          <w:w w:val="105"/>
        </w:rPr>
        <w:t>and</w:t>
      </w:r>
      <w:r>
        <w:rPr>
          <w:color w:val="231F1F"/>
          <w:spacing w:val="13"/>
          <w:w w:val="105"/>
        </w:rPr>
        <w:t> </w:t>
      </w:r>
      <w:r>
        <w:rPr>
          <w:color w:val="231F1F"/>
          <w:w w:val="105"/>
        </w:rPr>
        <w:t>Evaluation</w:t>
      </w:r>
      <w:r>
        <w:rPr>
          <w:color w:val="231F1F"/>
          <w:spacing w:val="12"/>
          <w:w w:val="105"/>
        </w:rPr>
        <w:t> </w:t>
      </w:r>
      <w:r>
        <w:rPr>
          <w:color w:val="231F1F"/>
          <w:w w:val="105"/>
        </w:rPr>
        <w:t>for</w:t>
      </w:r>
      <w:r>
        <w:rPr>
          <w:color w:val="231F1F"/>
          <w:spacing w:val="13"/>
          <w:w w:val="105"/>
        </w:rPr>
        <w:t> </w:t>
      </w:r>
      <w:r>
        <w:rPr>
          <w:color w:val="231F1F"/>
          <w:spacing w:val="-2"/>
          <w:w w:val="105"/>
        </w:rPr>
        <w:t>Europe</w:t>
      </w:r>
    </w:p>
    <w:p>
      <w:pPr>
        <w:pStyle w:val="BodyText"/>
        <w:tabs>
          <w:tab w:pos="1704" w:val="left" w:leader="none"/>
        </w:tabs>
        <w:spacing w:before="73"/>
        <w:ind w:left="287"/>
        <w:rPr>
          <w:position w:val="1"/>
        </w:rPr>
      </w:pPr>
      <w:r>
        <w:rPr>
          <w:b/>
          <w:color w:val="231F1F"/>
          <w:spacing w:val="-5"/>
          <w:w w:val="105"/>
        </w:rPr>
        <w:t>AI</w:t>
      </w:r>
      <w:r>
        <w:rPr>
          <w:color w:val="231F1F"/>
          <w:spacing w:val="-5"/>
          <w:w w:val="105"/>
        </w:rPr>
        <w:t>:</w:t>
      </w:r>
      <w:r>
        <w:rPr>
          <w:color w:val="231F1F"/>
        </w:rPr>
        <w:tab/>
      </w:r>
      <w:r>
        <w:rPr>
          <w:color w:val="231F1F"/>
          <w:w w:val="105"/>
          <w:position w:val="1"/>
        </w:rPr>
        <w:t>Auscultación</w:t>
      </w:r>
      <w:r>
        <w:rPr>
          <w:color w:val="231F1F"/>
          <w:spacing w:val="7"/>
          <w:w w:val="105"/>
          <w:position w:val="1"/>
        </w:rPr>
        <w:t> </w:t>
      </w:r>
      <w:r>
        <w:rPr>
          <w:color w:val="231F1F"/>
          <w:spacing w:val="-2"/>
          <w:w w:val="105"/>
          <w:position w:val="1"/>
        </w:rPr>
        <w:t>intermitente</w:t>
      </w:r>
    </w:p>
    <w:p>
      <w:pPr>
        <w:tabs>
          <w:tab w:pos="1704" w:val="left" w:leader="none"/>
        </w:tabs>
        <w:spacing w:before="64"/>
        <w:ind w:left="287" w:right="0" w:firstLine="0"/>
        <w:jc w:val="left"/>
        <w:rPr>
          <w:position w:val="1"/>
          <w:sz w:val="22"/>
        </w:rPr>
      </w:pPr>
      <w:r>
        <w:rPr>
          <w:b/>
          <w:color w:val="231F1F"/>
          <w:spacing w:val="-4"/>
          <w:w w:val="105"/>
          <w:sz w:val="22"/>
        </w:rPr>
        <w:t>CTG:</w:t>
      </w:r>
      <w:r>
        <w:rPr>
          <w:b/>
          <w:color w:val="231F1F"/>
          <w:sz w:val="22"/>
        </w:rPr>
        <w:tab/>
      </w:r>
      <w:r>
        <w:rPr>
          <w:color w:val="231F1F"/>
          <w:spacing w:val="-2"/>
          <w:w w:val="105"/>
          <w:position w:val="1"/>
          <w:sz w:val="22"/>
        </w:rPr>
        <w:t>Cardiotocografía</w:t>
      </w:r>
    </w:p>
    <w:p>
      <w:pPr>
        <w:pStyle w:val="BodyText"/>
        <w:tabs>
          <w:tab w:pos="1704" w:val="left" w:leader="none"/>
        </w:tabs>
        <w:spacing w:before="64"/>
        <w:ind w:left="288"/>
      </w:pPr>
      <w:r>
        <w:rPr>
          <w:b/>
          <w:color w:val="231F1F"/>
          <w:spacing w:val="-4"/>
          <w:w w:val="105"/>
        </w:rPr>
        <w:t>DMP</w:t>
      </w:r>
      <w:r>
        <w:rPr>
          <w:color w:val="231F1F"/>
          <w:spacing w:val="-4"/>
          <w:w w:val="105"/>
        </w:rPr>
        <w:t>:</w:t>
      </w:r>
      <w:r>
        <w:rPr>
          <w:color w:val="231F1F"/>
        </w:rPr>
        <w:tab/>
      </w:r>
      <w:r>
        <w:rPr>
          <w:color w:val="231F1F"/>
          <w:w w:val="105"/>
        </w:rPr>
        <w:t>Diferencia</w:t>
      </w:r>
      <w:r>
        <w:rPr>
          <w:color w:val="231F1F"/>
          <w:spacing w:val="5"/>
          <w:w w:val="105"/>
        </w:rPr>
        <w:t> </w:t>
      </w:r>
      <w:r>
        <w:rPr>
          <w:color w:val="231F1F"/>
          <w:w w:val="105"/>
        </w:rPr>
        <w:t>de</w:t>
      </w:r>
      <w:r>
        <w:rPr>
          <w:color w:val="231F1F"/>
          <w:spacing w:val="7"/>
          <w:w w:val="105"/>
        </w:rPr>
        <w:t> </w:t>
      </w:r>
      <w:r>
        <w:rPr>
          <w:color w:val="231F1F"/>
          <w:w w:val="105"/>
        </w:rPr>
        <w:t>medias</w:t>
      </w:r>
      <w:r>
        <w:rPr>
          <w:color w:val="231F1F"/>
          <w:spacing w:val="9"/>
          <w:w w:val="105"/>
        </w:rPr>
        <w:t> </w:t>
      </w:r>
      <w:r>
        <w:rPr>
          <w:color w:val="231F1F"/>
          <w:spacing w:val="-2"/>
          <w:w w:val="105"/>
        </w:rPr>
        <w:t>ponderadas</w:t>
      </w:r>
    </w:p>
    <w:p>
      <w:pPr>
        <w:pStyle w:val="BodyText"/>
        <w:tabs>
          <w:tab w:pos="1704" w:val="left" w:leader="none"/>
        </w:tabs>
        <w:spacing w:before="73"/>
        <w:ind w:left="287"/>
      </w:pPr>
      <w:r>
        <w:rPr>
          <w:b/>
          <w:color w:val="231F1F"/>
          <w:spacing w:val="-5"/>
          <w:w w:val="105"/>
        </w:rPr>
        <w:t>DE:</w:t>
      </w:r>
      <w:r>
        <w:rPr>
          <w:b/>
          <w:color w:val="231F1F"/>
        </w:rPr>
        <w:tab/>
      </w:r>
      <w:r>
        <w:rPr>
          <w:color w:val="231F1F"/>
          <w:w w:val="105"/>
        </w:rPr>
        <w:t>Desviación</w:t>
      </w:r>
      <w:r>
        <w:rPr>
          <w:color w:val="231F1F"/>
          <w:spacing w:val="-5"/>
          <w:w w:val="105"/>
        </w:rPr>
        <w:t> </w:t>
      </w:r>
      <w:r>
        <w:rPr>
          <w:color w:val="231F1F"/>
          <w:spacing w:val="-2"/>
          <w:w w:val="105"/>
        </w:rPr>
        <w:t>estandar</w:t>
      </w:r>
    </w:p>
    <w:p>
      <w:pPr>
        <w:pStyle w:val="BodyText"/>
        <w:tabs>
          <w:tab w:pos="1704" w:val="left" w:leader="none"/>
        </w:tabs>
        <w:spacing w:before="83"/>
        <w:ind w:left="287"/>
      </w:pPr>
      <w:r>
        <w:rPr>
          <w:b/>
          <w:color w:val="231F1F"/>
          <w:spacing w:val="-4"/>
          <w:position w:val="1"/>
        </w:rPr>
        <w:t>ECA:</w:t>
      </w:r>
      <w:r>
        <w:rPr>
          <w:b/>
          <w:color w:val="231F1F"/>
          <w:position w:val="1"/>
        </w:rPr>
        <w:tab/>
      </w:r>
      <w:r>
        <w:rPr>
          <w:color w:val="231F1F"/>
        </w:rPr>
        <w:t>Ensayo</w:t>
      </w:r>
      <w:r>
        <w:rPr>
          <w:color w:val="231F1F"/>
          <w:spacing w:val="23"/>
        </w:rPr>
        <w:t> </w:t>
      </w:r>
      <w:r>
        <w:rPr>
          <w:color w:val="231F1F"/>
        </w:rPr>
        <w:t>clínico</w:t>
      </w:r>
      <w:r>
        <w:rPr>
          <w:color w:val="231F1F"/>
          <w:spacing w:val="29"/>
        </w:rPr>
        <w:t> </w:t>
      </w:r>
      <w:r>
        <w:rPr>
          <w:color w:val="231F1F"/>
          <w:spacing w:val="-2"/>
        </w:rPr>
        <w:t>aleatorizado</w:t>
      </w:r>
    </w:p>
    <w:p>
      <w:pPr>
        <w:pStyle w:val="BodyText"/>
        <w:tabs>
          <w:tab w:pos="1704" w:val="left" w:leader="none"/>
        </w:tabs>
        <w:spacing w:before="87"/>
        <w:ind w:left="287"/>
      </w:pPr>
      <w:r>
        <w:rPr>
          <w:b/>
          <w:color w:val="231F1F"/>
          <w:spacing w:val="-4"/>
        </w:rPr>
        <w:t>ECC</w:t>
      </w:r>
      <w:r>
        <w:rPr>
          <w:color w:val="231F1F"/>
          <w:spacing w:val="-4"/>
        </w:rPr>
        <w:t>:</w:t>
      </w:r>
      <w:r>
        <w:rPr>
          <w:color w:val="231F1F"/>
        </w:rPr>
        <w:tab/>
        <w:t>Ensayo</w:t>
      </w:r>
      <w:r>
        <w:rPr>
          <w:color w:val="231F1F"/>
          <w:spacing w:val="27"/>
        </w:rPr>
        <w:t> </w:t>
      </w:r>
      <w:r>
        <w:rPr>
          <w:color w:val="231F1F"/>
        </w:rPr>
        <w:t>clínico</w:t>
      </w:r>
      <w:r>
        <w:rPr>
          <w:color w:val="231F1F"/>
          <w:spacing w:val="29"/>
        </w:rPr>
        <w:t> </w:t>
      </w:r>
      <w:r>
        <w:rPr>
          <w:color w:val="231F1F"/>
          <w:spacing w:val="-2"/>
        </w:rPr>
        <w:t>controlado</w:t>
      </w:r>
    </w:p>
    <w:p>
      <w:pPr>
        <w:pStyle w:val="BodyText"/>
        <w:tabs>
          <w:tab w:pos="1704" w:val="left" w:leader="none"/>
        </w:tabs>
        <w:spacing w:line="319" w:lineRule="auto" w:before="83"/>
        <w:ind w:left="287" w:right="4702"/>
        <w:jc w:val="both"/>
      </w:pPr>
      <w:r>
        <w:rPr>
          <w:b/>
          <w:color w:val="231F1F"/>
          <w:spacing w:val="-4"/>
        </w:rPr>
        <w:t>EEC:</w:t>
      </w:r>
      <w:r>
        <w:rPr>
          <w:b/>
          <w:color w:val="231F1F"/>
        </w:rPr>
        <w:tab/>
      </w:r>
      <w:r>
        <w:rPr>
          <w:color w:val="231F1F"/>
        </w:rPr>
        <w:t>Espinal-epidural combinada </w:t>
      </w:r>
      <w:r>
        <w:rPr>
          <w:b/>
          <w:color w:val="231F1F"/>
          <w:spacing w:val="-2"/>
        </w:rPr>
        <w:t>EE.UU.:</w:t>
      </w:r>
      <w:r>
        <w:rPr>
          <w:b/>
          <w:color w:val="231F1F"/>
        </w:rPr>
        <w:tab/>
      </w:r>
      <w:r>
        <w:rPr>
          <w:color w:val="231F1F"/>
        </w:rPr>
        <w:t>Estados Unidos de América </w:t>
      </w:r>
      <w:r>
        <w:rPr>
          <w:b/>
          <w:color w:val="231F1F"/>
          <w:spacing w:val="-4"/>
        </w:rPr>
        <w:t>FCF:</w:t>
      </w:r>
      <w:r>
        <w:rPr>
          <w:b/>
          <w:color w:val="231F1F"/>
        </w:rPr>
        <w:tab/>
      </w:r>
      <w:r>
        <w:rPr>
          <w:color w:val="231F1F"/>
        </w:rPr>
        <w:t>Frecuencia</w:t>
      </w:r>
      <w:r>
        <w:rPr>
          <w:color w:val="231F1F"/>
          <w:spacing w:val="40"/>
        </w:rPr>
        <w:t> </w:t>
      </w:r>
      <w:r>
        <w:rPr>
          <w:color w:val="231F1F"/>
        </w:rPr>
        <w:t>cardíaca</w:t>
      </w:r>
      <w:r>
        <w:rPr>
          <w:color w:val="231F1F"/>
          <w:spacing w:val="40"/>
        </w:rPr>
        <w:t> </w:t>
      </w:r>
      <w:r>
        <w:rPr>
          <w:color w:val="231F1F"/>
        </w:rPr>
        <w:t>fetal</w:t>
      </w:r>
    </w:p>
    <w:p>
      <w:pPr>
        <w:pStyle w:val="BodyText"/>
        <w:tabs>
          <w:tab w:pos="1704" w:val="left" w:leader="none"/>
        </w:tabs>
        <w:spacing w:line="242" w:lineRule="exact"/>
        <w:ind w:left="288"/>
        <w:jc w:val="both"/>
        <w:rPr>
          <w:position w:val="1"/>
        </w:rPr>
      </w:pPr>
      <w:r>
        <w:rPr>
          <w:b/>
          <w:color w:val="231F1F"/>
          <w:spacing w:val="-4"/>
          <w:w w:val="110"/>
        </w:rPr>
        <w:t>GPC:</w:t>
      </w:r>
      <w:r>
        <w:rPr>
          <w:b/>
          <w:color w:val="231F1F"/>
        </w:rPr>
        <w:tab/>
      </w:r>
      <w:r>
        <w:rPr>
          <w:color w:val="231F1F"/>
          <w:w w:val="110"/>
          <w:position w:val="1"/>
        </w:rPr>
        <w:t>Guía</w:t>
      </w:r>
      <w:r>
        <w:rPr>
          <w:color w:val="231F1F"/>
          <w:spacing w:val="-15"/>
          <w:w w:val="110"/>
          <w:position w:val="1"/>
        </w:rPr>
        <w:t> </w:t>
      </w:r>
      <w:r>
        <w:rPr>
          <w:color w:val="231F1F"/>
          <w:w w:val="110"/>
          <w:position w:val="1"/>
        </w:rPr>
        <w:t>de</w:t>
      </w:r>
      <w:r>
        <w:rPr>
          <w:color w:val="231F1F"/>
          <w:spacing w:val="-12"/>
          <w:w w:val="110"/>
          <w:position w:val="1"/>
        </w:rPr>
        <w:t> </w:t>
      </w:r>
      <w:r>
        <w:rPr>
          <w:color w:val="231F1F"/>
          <w:w w:val="110"/>
          <w:position w:val="1"/>
        </w:rPr>
        <w:t>práctica</w:t>
      </w:r>
      <w:r>
        <w:rPr>
          <w:color w:val="231F1F"/>
          <w:spacing w:val="-12"/>
          <w:w w:val="110"/>
          <w:position w:val="1"/>
        </w:rPr>
        <w:t> </w:t>
      </w:r>
      <w:r>
        <w:rPr>
          <w:color w:val="231F1F"/>
          <w:spacing w:val="-2"/>
          <w:w w:val="110"/>
          <w:position w:val="1"/>
        </w:rPr>
        <w:t>clínica</w:t>
      </w:r>
    </w:p>
    <w:p>
      <w:pPr>
        <w:tabs>
          <w:tab w:pos="1704" w:val="left" w:leader="none"/>
        </w:tabs>
        <w:spacing w:before="69"/>
        <w:ind w:left="287" w:right="0" w:firstLine="0"/>
        <w:jc w:val="left"/>
        <w:rPr>
          <w:sz w:val="22"/>
        </w:rPr>
      </w:pPr>
      <w:r>
        <w:rPr>
          <w:b/>
          <w:color w:val="231F1F"/>
          <w:spacing w:val="-4"/>
          <w:w w:val="105"/>
          <w:sz w:val="22"/>
        </w:rPr>
        <w:t>HPP:</w:t>
      </w:r>
      <w:r>
        <w:rPr>
          <w:b/>
          <w:color w:val="231F1F"/>
          <w:sz w:val="22"/>
        </w:rPr>
        <w:tab/>
      </w:r>
      <w:r>
        <w:rPr>
          <w:color w:val="231F1F"/>
          <w:w w:val="105"/>
          <w:sz w:val="22"/>
        </w:rPr>
        <w:t>Hemorragia</w:t>
      </w:r>
      <w:r>
        <w:rPr>
          <w:color w:val="231F1F"/>
          <w:spacing w:val="29"/>
          <w:w w:val="105"/>
          <w:sz w:val="22"/>
        </w:rPr>
        <w:t> </w:t>
      </w:r>
      <w:r>
        <w:rPr>
          <w:color w:val="231F1F"/>
          <w:spacing w:val="-2"/>
          <w:w w:val="105"/>
          <w:sz w:val="22"/>
        </w:rPr>
        <w:t>posparto</w:t>
      </w:r>
    </w:p>
    <w:p>
      <w:pPr>
        <w:pStyle w:val="BodyText"/>
        <w:tabs>
          <w:tab w:pos="1704" w:val="left" w:leader="none"/>
        </w:tabs>
        <w:spacing w:before="73"/>
        <w:ind w:left="288"/>
        <w:rPr>
          <w:position w:val="1"/>
        </w:rPr>
      </w:pPr>
      <w:r>
        <w:rPr>
          <w:b/>
          <w:color w:val="231F1F"/>
          <w:spacing w:val="-5"/>
          <w:w w:val="110"/>
        </w:rPr>
        <w:t>IC:</w:t>
      </w:r>
      <w:r>
        <w:rPr>
          <w:b/>
          <w:color w:val="231F1F"/>
        </w:rPr>
        <w:tab/>
      </w:r>
      <w:r>
        <w:rPr>
          <w:color w:val="231F1F"/>
          <w:w w:val="110"/>
          <w:position w:val="1"/>
        </w:rPr>
        <w:t>Intervalo</w:t>
      </w:r>
      <w:r>
        <w:rPr>
          <w:color w:val="231F1F"/>
          <w:spacing w:val="-13"/>
          <w:w w:val="110"/>
          <w:position w:val="1"/>
        </w:rPr>
        <w:t> </w:t>
      </w:r>
      <w:r>
        <w:rPr>
          <w:color w:val="231F1F"/>
          <w:w w:val="110"/>
          <w:position w:val="1"/>
        </w:rPr>
        <w:t>de</w:t>
      </w:r>
      <w:r>
        <w:rPr>
          <w:color w:val="231F1F"/>
          <w:spacing w:val="-14"/>
          <w:w w:val="110"/>
          <w:position w:val="1"/>
        </w:rPr>
        <w:t> </w:t>
      </w:r>
      <w:r>
        <w:rPr>
          <w:color w:val="231F1F"/>
          <w:spacing w:val="-2"/>
          <w:w w:val="110"/>
          <w:position w:val="1"/>
        </w:rPr>
        <w:t>confianza</w:t>
      </w:r>
    </w:p>
    <w:p>
      <w:pPr>
        <w:tabs>
          <w:tab w:pos="1704" w:val="left" w:leader="none"/>
        </w:tabs>
        <w:spacing w:before="68"/>
        <w:ind w:left="287" w:right="0" w:firstLine="0"/>
        <w:jc w:val="left"/>
        <w:rPr>
          <w:position w:val="1"/>
          <w:sz w:val="22"/>
        </w:rPr>
      </w:pPr>
      <w:r>
        <w:rPr>
          <w:b/>
          <w:color w:val="231F1F"/>
          <w:spacing w:val="-5"/>
          <w:w w:val="105"/>
          <w:sz w:val="22"/>
        </w:rPr>
        <w:t>IM:</w:t>
      </w:r>
      <w:r>
        <w:rPr>
          <w:b/>
          <w:color w:val="231F1F"/>
          <w:sz w:val="22"/>
        </w:rPr>
        <w:tab/>
      </w:r>
      <w:r>
        <w:rPr>
          <w:color w:val="231F1F"/>
          <w:spacing w:val="-2"/>
          <w:w w:val="105"/>
          <w:position w:val="1"/>
          <w:sz w:val="22"/>
        </w:rPr>
        <w:t>Intramuscular</w:t>
      </w:r>
    </w:p>
    <w:p>
      <w:pPr>
        <w:tabs>
          <w:tab w:pos="1704" w:val="left" w:leader="none"/>
        </w:tabs>
        <w:spacing w:before="64"/>
        <w:ind w:left="287" w:right="0" w:firstLine="0"/>
        <w:jc w:val="left"/>
        <w:rPr>
          <w:position w:val="1"/>
          <w:sz w:val="22"/>
        </w:rPr>
      </w:pPr>
      <w:r>
        <w:rPr>
          <w:b/>
          <w:color w:val="231F1F"/>
          <w:spacing w:val="-5"/>
          <w:w w:val="105"/>
          <w:sz w:val="22"/>
        </w:rPr>
        <w:t>IV:</w:t>
      </w:r>
      <w:r>
        <w:rPr>
          <w:b/>
          <w:color w:val="231F1F"/>
          <w:sz w:val="22"/>
        </w:rPr>
        <w:tab/>
      </w:r>
      <w:r>
        <w:rPr>
          <w:color w:val="231F1F"/>
          <w:spacing w:val="-2"/>
          <w:w w:val="105"/>
          <w:position w:val="1"/>
          <w:sz w:val="22"/>
        </w:rPr>
        <w:t>Intravenoso</w:t>
      </w:r>
    </w:p>
    <w:p>
      <w:pPr>
        <w:tabs>
          <w:tab w:pos="1704" w:val="left" w:leader="none"/>
        </w:tabs>
        <w:spacing w:before="63"/>
        <w:ind w:left="287" w:right="0" w:firstLine="0"/>
        <w:jc w:val="left"/>
        <w:rPr>
          <w:position w:val="1"/>
          <w:sz w:val="22"/>
        </w:rPr>
      </w:pPr>
      <w:r>
        <w:rPr>
          <w:b/>
          <w:color w:val="231F1F"/>
          <w:spacing w:val="-5"/>
          <w:w w:val="105"/>
          <w:sz w:val="22"/>
        </w:rPr>
        <w:t>LS:</w:t>
      </w:r>
      <w:r>
        <w:rPr>
          <w:b/>
          <w:color w:val="231F1F"/>
          <w:sz w:val="22"/>
        </w:rPr>
        <w:tab/>
      </w:r>
      <w:r>
        <w:rPr>
          <w:color w:val="231F1F"/>
          <w:w w:val="105"/>
          <w:position w:val="1"/>
          <w:sz w:val="22"/>
        </w:rPr>
        <w:t>Límite</w:t>
      </w:r>
      <w:r>
        <w:rPr>
          <w:color w:val="231F1F"/>
          <w:spacing w:val="2"/>
          <w:w w:val="105"/>
          <w:position w:val="1"/>
          <w:sz w:val="22"/>
        </w:rPr>
        <w:t> </w:t>
      </w:r>
      <w:r>
        <w:rPr>
          <w:color w:val="231F1F"/>
          <w:spacing w:val="-2"/>
          <w:w w:val="105"/>
          <w:position w:val="1"/>
          <w:sz w:val="22"/>
        </w:rPr>
        <w:t>superior</w:t>
      </w:r>
    </w:p>
    <w:p>
      <w:pPr>
        <w:pStyle w:val="BodyText"/>
        <w:tabs>
          <w:tab w:pos="1704" w:val="left" w:leader="none"/>
        </w:tabs>
        <w:spacing w:before="83"/>
        <w:ind w:left="287"/>
      </w:pPr>
      <w:r>
        <w:rPr>
          <w:b/>
          <w:color w:val="231F1F"/>
          <w:spacing w:val="-4"/>
        </w:rPr>
        <w:t>MEF:</w:t>
      </w:r>
      <w:r>
        <w:rPr>
          <w:b/>
          <w:color w:val="231F1F"/>
        </w:rPr>
        <w:tab/>
      </w:r>
      <w:r>
        <w:rPr>
          <w:color w:val="231F1F"/>
        </w:rPr>
        <w:t>Monitorización</w:t>
      </w:r>
      <w:r>
        <w:rPr>
          <w:color w:val="231F1F"/>
          <w:spacing w:val="66"/>
        </w:rPr>
        <w:t> </w:t>
      </w:r>
      <w:r>
        <w:rPr>
          <w:color w:val="231F1F"/>
        </w:rPr>
        <w:t>electrónica</w:t>
      </w:r>
      <w:r>
        <w:rPr>
          <w:color w:val="231F1F"/>
          <w:spacing w:val="68"/>
        </w:rPr>
        <w:t> </w:t>
      </w:r>
      <w:r>
        <w:rPr>
          <w:color w:val="231F1F"/>
          <w:spacing w:val="-2"/>
        </w:rPr>
        <w:t>fetal</w:t>
      </w:r>
    </w:p>
    <w:p>
      <w:pPr>
        <w:pStyle w:val="BodyText"/>
        <w:tabs>
          <w:tab w:pos="1704" w:val="left" w:leader="none"/>
        </w:tabs>
        <w:spacing w:line="319" w:lineRule="auto" w:before="83"/>
        <w:ind w:left="287" w:right="3157"/>
      </w:pPr>
      <w:r>
        <w:rPr>
          <w:b/>
          <w:color w:val="231F1F"/>
          <w:spacing w:val="-2"/>
        </w:rPr>
        <w:t>MEFC:</w:t>
      </w:r>
      <w:r>
        <w:rPr>
          <w:b/>
          <w:color w:val="231F1F"/>
        </w:rPr>
        <w:tab/>
      </w:r>
      <w:r>
        <w:rPr>
          <w:color w:val="231F1F"/>
        </w:rPr>
        <w:t>Monitorización</w:t>
      </w:r>
      <w:r>
        <w:rPr>
          <w:color w:val="231F1F"/>
          <w:spacing w:val="40"/>
        </w:rPr>
        <w:t> </w:t>
      </w:r>
      <w:r>
        <w:rPr>
          <w:color w:val="231F1F"/>
        </w:rPr>
        <w:t>electrónica</w:t>
      </w:r>
      <w:r>
        <w:rPr>
          <w:color w:val="231F1F"/>
          <w:spacing w:val="40"/>
        </w:rPr>
        <w:t> </w:t>
      </w:r>
      <w:r>
        <w:rPr>
          <w:color w:val="231F1F"/>
        </w:rPr>
        <w:t>fetal</w:t>
      </w:r>
      <w:r>
        <w:rPr>
          <w:color w:val="231F1F"/>
          <w:spacing w:val="40"/>
        </w:rPr>
        <w:t> </w:t>
      </w:r>
      <w:r>
        <w:rPr>
          <w:color w:val="231F1F"/>
        </w:rPr>
        <w:t>continua </w:t>
      </w:r>
      <w:r>
        <w:rPr>
          <w:b/>
          <w:color w:val="231F1F"/>
          <w:spacing w:val="-2"/>
        </w:rPr>
        <w:t>MEFI</w:t>
      </w:r>
      <w:r>
        <w:rPr>
          <w:color w:val="231F1F"/>
          <w:spacing w:val="-2"/>
        </w:rPr>
        <w:t>:</w:t>
      </w:r>
      <w:r>
        <w:rPr>
          <w:color w:val="231F1F"/>
        </w:rPr>
        <w:tab/>
        <w:t>Monitorización</w:t>
      </w:r>
      <w:r>
        <w:rPr>
          <w:color w:val="231F1F"/>
          <w:spacing w:val="27"/>
        </w:rPr>
        <w:t> </w:t>
      </w:r>
      <w:r>
        <w:rPr>
          <w:color w:val="231F1F"/>
        </w:rPr>
        <w:t>electrónica</w:t>
      </w:r>
      <w:r>
        <w:rPr>
          <w:color w:val="231F1F"/>
          <w:spacing w:val="27"/>
        </w:rPr>
        <w:t> </w:t>
      </w:r>
      <w:r>
        <w:rPr>
          <w:color w:val="231F1F"/>
        </w:rPr>
        <w:t>fetal</w:t>
      </w:r>
      <w:r>
        <w:rPr>
          <w:color w:val="231F1F"/>
          <w:spacing w:val="27"/>
        </w:rPr>
        <w:t> </w:t>
      </w:r>
      <w:r>
        <w:rPr>
          <w:color w:val="231F1F"/>
        </w:rPr>
        <w:t>intermitente </w:t>
      </w:r>
      <w:r>
        <w:rPr>
          <w:b/>
          <w:color w:val="231F1F"/>
          <w:spacing w:val="-4"/>
        </w:rPr>
        <w:t>NE:</w:t>
      </w:r>
      <w:r>
        <w:rPr>
          <w:b/>
          <w:color w:val="231F1F"/>
        </w:rPr>
        <w:tab/>
      </w:r>
      <w:r>
        <w:rPr>
          <w:color w:val="231F1F"/>
        </w:rPr>
        <w:t>Nivel de evidencia</w:t>
      </w:r>
    </w:p>
    <w:p>
      <w:pPr>
        <w:pStyle w:val="BodyText"/>
        <w:tabs>
          <w:tab w:pos="1704" w:val="left" w:leader="none"/>
        </w:tabs>
        <w:spacing w:line="247" w:lineRule="exact"/>
        <w:ind w:left="288"/>
        <w:rPr>
          <w:position w:val="1"/>
        </w:rPr>
      </w:pPr>
      <w:r>
        <w:rPr>
          <w:b/>
          <w:color w:val="231F1F"/>
          <w:spacing w:val="-4"/>
          <w:w w:val="110"/>
        </w:rPr>
        <w:t>NHS:</w:t>
      </w:r>
      <w:r>
        <w:rPr>
          <w:b/>
          <w:color w:val="231F1F"/>
        </w:rPr>
        <w:tab/>
      </w:r>
      <w:r>
        <w:rPr>
          <w:color w:val="231F1F"/>
          <w:w w:val="105"/>
          <w:position w:val="1"/>
        </w:rPr>
        <w:t>National</w:t>
      </w:r>
      <w:r>
        <w:rPr>
          <w:color w:val="231F1F"/>
          <w:spacing w:val="20"/>
          <w:w w:val="105"/>
          <w:position w:val="1"/>
        </w:rPr>
        <w:t> </w:t>
      </w:r>
      <w:r>
        <w:rPr>
          <w:color w:val="231F1F"/>
          <w:w w:val="105"/>
          <w:position w:val="1"/>
        </w:rPr>
        <w:t>Health</w:t>
      </w:r>
      <w:r>
        <w:rPr>
          <w:color w:val="231F1F"/>
          <w:spacing w:val="24"/>
          <w:w w:val="105"/>
          <w:position w:val="1"/>
        </w:rPr>
        <w:t> </w:t>
      </w:r>
      <w:r>
        <w:rPr>
          <w:color w:val="231F1F"/>
          <w:spacing w:val="-2"/>
          <w:w w:val="105"/>
          <w:position w:val="1"/>
        </w:rPr>
        <w:t>Service</w:t>
      </w:r>
    </w:p>
    <w:p>
      <w:pPr>
        <w:tabs>
          <w:tab w:pos="1704" w:val="left" w:leader="none"/>
        </w:tabs>
        <w:spacing w:line="319" w:lineRule="auto" w:before="78"/>
        <w:ind w:left="287" w:right="2004" w:firstLine="0"/>
        <w:jc w:val="left"/>
        <w:rPr>
          <w:sz w:val="22"/>
        </w:rPr>
      </w:pPr>
      <w:r>
        <w:rPr>
          <w:b/>
          <w:color w:val="231F1F"/>
          <w:spacing w:val="-2"/>
          <w:sz w:val="22"/>
        </w:rPr>
        <w:t>NICE:</w:t>
      </w:r>
      <w:r>
        <w:rPr>
          <w:b/>
          <w:color w:val="231F1F"/>
          <w:sz w:val="22"/>
        </w:rPr>
        <w:tab/>
      </w:r>
      <w:r>
        <w:rPr>
          <w:i/>
          <w:color w:val="231F1F"/>
          <w:position w:val="1"/>
          <w:sz w:val="22"/>
        </w:rPr>
        <w:t>National</w:t>
      </w:r>
      <w:r>
        <w:rPr>
          <w:i/>
          <w:color w:val="231F1F"/>
          <w:spacing w:val="40"/>
          <w:position w:val="1"/>
          <w:sz w:val="22"/>
        </w:rPr>
        <w:t> </w:t>
      </w:r>
      <w:r>
        <w:rPr>
          <w:i/>
          <w:color w:val="231F1F"/>
          <w:position w:val="1"/>
          <w:sz w:val="22"/>
        </w:rPr>
        <w:t>Institute</w:t>
      </w:r>
      <w:r>
        <w:rPr>
          <w:i/>
          <w:color w:val="231F1F"/>
          <w:spacing w:val="40"/>
          <w:position w:val="1"/>
          <w:sz w:val="22"/>
        </w:rPr>
        <w:t> </w:t>
      </w:r>
      <w:r>
        <w:rPr>
          <w:i/>
          <w:color w:val="231F1F"/>
          <w:position w:val="1"/>
          <w:sz w:val="22"/>
        </w:rPr>
        <w:t>for</w:t>
      </w:r>
      <w:r>
        <w:rPr>
          <w:i/>
          <w:color w:val="231F1F"/>
          <w:spacing w:val="40"/>
          <w:position w:val="1"/>
          <w:sz w:val="22"/>
        </w:rPr>
        <w:t> </w:t>
      </w:r>
      <w:r>
        <w:rPr>
          <w:i/>
          <w:color w:val="231F1F"/>
          <w:position w:val="1"/>
          <w:sz w:val="22"/>
        </w:rPr>
        <w:t>Health</w:t>
      </w:r>
      <w:r>
        <w:rPr>
          <w:i/>
          <w:color w:val="231F1F"/>
          <w:spacing w:val="40"/>
          <w:position w:val="1"/>
          <w:sz w:val="22"/>
        </w:rPr>
        <w:t> </w:t>
      </w:r>
      <w:r>
        <w:rPr>
          <w:i/>
          <w:color w:val="231F1F"/>
          <w:position w:val="1"/>
          <w:sz w:val="22"/>
        </w:rPr>
        <w:t>and</w:t>
      </w:r>
      <w:r>
        <w:rPr>
          <w:i/>
          <w:color w:val="231F1F"/>
          <w:spacing w:val="40"/>
          <w:position w:val="1"/>
          <w:sz w:val="22"/>
        </w:rPr>
        <w:t> </w:t>
      </w:r>
      <w:r>
        <w:rPr>
          <w:i/>
          <w:color w:val="231F1F"/>
          <w:position w:val="1"/>
          <w:sz w:val="22"/>
        </w:rPr>
        <w:t>Clinical</w:t>
      </w:r>
      <w:r>
        <w:rPr>
          <w:i/>
          <w:color w:val="231F1F"/>
          <w:spacing w:val="40"/>
          <w:position w:val="1"/>
          <w:sz w:val="22"/>
        </w:rPr>
        <w:t> </w:t>
      </w:r>
      <w:r>
        <w:rPr>
          <w:i/>
          <w:color w:val="231F1F"/>
          <w:position w:val="1"/>
          <w:sz w:val="22"/>
        </w:rPr>
        <w:t>Excellence </w:t>
      </w:r>
      <w:r>
        <w:rPr>
          <w:b/>
          <w:color w:val="231F1F"/>
          <w:spacing w:val="-2"/>
          <w:sz w:val="22"/>
        </w:rPr>
        <w:t>PICO:</w:t>
      </w:r>
      <w:r>
        <w:rPr>
          <w:b/>
          <w:color w:val="231F1F"/>
          <w:sz w:val="22"/>
        </w:rPr>
        <w:tab/>
      </w:r>
      <w:r>
        <w:rPr>
          <w:color w:val="231F1F"/>
          <w:sz w:val="22"/>
        </w:rPr>
        <w:t>Paciente/Intervención/Comparación/Outcome</w:t>
      </w:r>
      <w:r>
        <w:rPr>
          <w:color w:val="231F1F"/>
          <w:spacing w:val="22"/>
          <w:sz w:val="22"/>
        </w:rPr>
        <w:t> </w:t>
      </w:r>
      <w:r>
        <w:rPr>
          <w:color w:val="231F1F"/>
          <w:sz w:val="22"/>
        </w:rPr>
        <w:t>o</w:t>
      </w:r>
      <w:r>
        <w:rPr>
          <w:color w:val="231F1F"/>
          <w:spacing w:val="22"/>
          <w:sz w:val="22"/>
        </w:rPr>
        <w:t> </w:t>
      </w:r>
      <w:r>
        <w:rPr>
          <w:color w:val="231F1F"/>
          <w:sz w:val="22"/>
        </w:rPr>
        <w:t>Resultado </w:t>
      </w:r>
      <w:r>
        <w:rPr>
          <w:b/>
          <w:color w:val="231F1F"/>
          <w:spacing w:val="-4"/>
          <w:sz w:val="22"/>
        </w:rPr>
        <w:t>OMS:</w:t>
      </w:r>
      <w:r>
        <w:rPr>
          <w:b/>
          <w:color w:val="231F1F"/>
          <w:sz w:val="22"/>
        </w:rPr>
        <w:tab/>
      </w:r>
      <w:r>
        <w:rPr>
          <w:color w:val="231F1F"/>
          <w:sz w:val="22"/>
        </w:rPr>
        <w:t>Organización</w:t>
      </w:r>
      <w:r>
        <w:rPr>
          <w:color w:val="231F1F"/>
          <w:spacing w:val="40"/>
          <w:sz w:val="22"/>
        </w:rPr>
        <w:t> </w:t>
      </w:r>
      <w:r>
        <w:rPr>
          <w:color w:val="231F1F"/>
          <w:sz w:val="22"/>
        </w:rPr>
        <w:t>Mundial</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Salud</w:t>
      </w:r>
    </w:p>
    <w:p>
      <w:pPr>
        <w:tabs>
          <w:tab w:pos="1704" w:val="left" w:leader="none"/>
        </w:tabs>
        <w:spacing w:line="247" w:lineRule="exact" w:before="0"/>
        <w:ind w:left="287" w:right="0" w:firstLine="0"/>
        <w:jc w:val="left"/>
        <w:rPr>
          <w:i/>
          <w:position w:val="1"/>
          <w:sz w:val="22"/>
        </w:rPr>
      </w:pPr>
      <w:r>
        <w:rPr>
          <w:b/>
          <w:color w:val="231F1F"/>
          <w:spacing w:val="-5"/>
          <w:w w:val="105"/>
          <w:sz w:val="22"/>
        </w:rPr>
        <w:t>OR:</w:t>
      </w:r>
      <w:r>
        <w:rPr>
          <w:b/>
          <w:color w:val="231F1F"/>
          <w:sz w:val="22"/>
        </w:rPr>
        <w:tab/>
      </w:r>
      <w:r>
        <w:rPr>
          <w:i/>
          <w:color w:val="231F1F"/>
          <w:w w:val="105"/>
          <w:position w:val="1"/>
          <w:sz w:val="22"/>
        </w:rPr>
        <w:t>Odds</w:t>
      </w:r>
      <w:r>
        <w:rPr>
          <w:i/>
          <w:color w:val="231F1F"/>
          <w:spacing w:val="12"/>
          <w:w w:val="105"/>
          <w:position w:val="1"/>
          <w:sz w:val="22"/>
        </w:rPr>
        <w:t> </w:t>
      </w:r>
      <w:r>
        <w:rPr>
          <w:i/>
          <w:color w:val="231F1F"/>
          <w:spacing w:val="-2"/>
          <w:w w:val="105"/>
          <w:position w:val="1"/>
          <w:sz w:val="22"/>
        </w:rPr>
        <w:t>ratios</w:t>
      </w:r>
    </w:p>
    <w:p>
      <w:pPr>
        <w:pStyle w:val="BodyText"/>
        <w:tabs>
          <w:tab w:pos="1704" w:val="left" w:leader="none"/>
        </w:tabs>
        <w:spacing w:before="69"/>
        <w:ind w:left="288"/>
      </w:pPr>
      <w:r>
        <w:rPr>
          <w:b/>
          <w:color w:val="231F1F"/>
          <w:spacing w:val="-2"/>
          <w:w w:val="110"/>
        </w:rPr>
        <w:t>PCEA:</w:t>
      </w:r>
      <w:r>
        <w:rPr>
          <w:b/>
          <w:color w:val="231F1F"/>
        </w:rPr>
        <w:tab/>
      </w:r>
      <w:r>
        <w:rPr>
          <w:color w:val="231F1F"/>
          <w:w w:val="105"/>
        </w:rPr>
        <w:t>Analgesia</w:t>
      </w:r>
      <w:r>
        <w:rPr>
          <w:color w:val="231F1F"/>
          <w:spacing w:val="15"/>
          <w:w w:val="105"/>
        </w:rPr>
        <w:t> </w:t>
      </w:r>
      <w:r>
        <w:rPr>
          <w:color w:val="231F1F"/>
          <w:w w:val="105"/>
        </w:rPr>
        <w:t>epidural</w:t>
      </w:r>
      <w:r>
        <w:rPr>
          <w:color w:val="231F1F"/>
          <w:spacing w:val="18"/>
          <w:w w:val="105"/>
        </w:rPr>
        <w:t> </w:t>
      </w:r>
      <w:r>
        <w:rPr>
          <w:color w:val="231F1F"/>
          <w:w w:val="105"/>
        </w:rPr>
        <w:t>controlada</w:t>
      </w:r>
      <w:r>
        <w:rPr>
          <w:color w:val="231F1F"/>
          <w:spacing w:val="17"/>
          <w:w w:val="105"/>
        </w:rPr>
        <w:t> </w:t>
      </w:r>
      <w:r>
        <w:rPr>
          <w:color w:val="231F1F"/>
          <w:w w:val="105"/>
        </w:rPr>
        <w:t>por</w:t>
      </w:r>
      <w:r>
        <w:rPr>
          <w:color w:val="231F1F"/>
          <w:spacing w:val="16"/>
          <w:w w:val="105"/>
        </w:rPr>
        <w:t> </w:t>
      </w:r>
      <w:r>
        <w:rPr>
          <w:color w:val="231F1F"/>
          <w:spacing w:val="-2"/>
          <w:w w:val="105"/>
        </w:rPr>
        <w:t>paciente</w:t>
      </w:r>
    </w:p>
    <w:p>
      <w:pPr>
        <w:pStyle w:val="BodyText"/>
        <w:tabs>
          <w:tab w:pos="1704" w:val="left" w:leader="none"/>
        </w:tabs>
        <w:spacing w:before="73"/>
        <w:ind w:left="287"/>
        <w:rPr>
          <w:position w:val="1"/>
        </w:rPr>
      </w:pPr>
      <w:r>
        <w:rPr>
          <w:b/>
          <w:color w:val="231F1F"/>
          <w:spacing w:val="-2"/>
          <w:w w:val="105"/>
        </w:rPr>
        <w:t>RCTG:</w:t>
      </w:r>
      <w:r>
        <w:rPr>
          <w:b/>
          <w:color w:val="231F1F"/>
        </w:rPr>
        <w:tab/>
      </w:r>
      <w:r>
        <w:rPr>
          <w:color w:val="231F1F"/>
          <w:w w:val="105"/>
          <w:position w:val="1"/>
        </w:rPr>
        <w:t>Registro</w:t>
      </w:r>
      <w:r>
        <w:rPr>
          <w:color w:val="231F1F"/>
          <w:spacing w:val="13"/>
          <w:w w:val="105"/>
          <w:position w:val="1"/>
        </w:rPr>
        <w:t> </w:t>
      </w:r>
      <w:r>
        <w:rPr>
          <w:color w:val="231F1F"/>
          <w:spacing w:val="-2"/>
          <w:w w:val="105"/>
          <w:position w:val="1"/>
        </w:rPr>
        <w:t>cardiotocográfioco</w:t>
      </w:r>
    </w:p>
    <w:p>
      <w:pPr>
        <w:tabs>
          <w:tab w:pos="1704" w:val="left" w:leader="none"/>
        </w:tabs>
        <w:spacing w:before="63"/>
        <w:ind w:left="287" w:right="0" w:firstLine="0"/>
        <w:jc w:val="left"/>
        <w:rPr>
          <w:position w:val="1"/>
          <w:sz w:val="22"/>
        </w:rPr>
      </w:pPr>
      <w:r>
        <w:rPr>
          <w:b/>
          <w:color w:val="231F1F"/>
          <w:spacing w:val="-5"/>
          <w:w w:val="105"/>
          <w:sz w:val="22"/>
        </w:rPr>
        <w:t>RN:</w:t>
      </w:r>
      <w:r>
        <w:rPr>
          <w:b/>
          <w:color w:val="231F1F"/>
          <w:sz w:val="22"/>
        </w:rPr>
        <w:tab/>
      </w:r>
      <w:r>
        <w:rPr>
          <w:color w:val="231F1F"/>
          <w:w w:val="105"/>
          <w:position w:val="1"/>
          <w:sz w:val="22"/>
        </w:rPr>
        <w:t>Recién</w:t>
      </w:r>
      <w:r>
        <w:rPr>
          <w:color w:val="231F1F"/>
          <w:spacing w:val="16"/>
          <w:w w:val="105"/>
          <w:position w:val="1"/>
          <w:sz w:val="22"/>
        </w:rPr>
        <w:t> </w:t>
      </w:r>
      <w:r>
        <w:rPr>
          <w:color w:val="231F1F"/>
          <w:spacing w:val="-2"/>
          <w:w w:val="105"/>
          <w:position w:val="1"/>
          <w:sz w:val="22"/>
        </w:rPr>
        <w:t>nacido</w:t>
      </w:r>
    </w:p>
    <w:p>
      <w:pPr>
        <w:pStyle w:val="BodyText"/>
        <w:tabs>
          <w:tab w:pos="1704" w:val="left" w:leader="none"/>
        </w:tabs>
        <w:spacing w:before="63"/>
        <w:ind w:left="288"/>
        <w:rPr>
          <w:position w:val="1"/>
        </w:rPr>
      </w:pPr>
      <w:r>
        <w:rPr>
          <w:b/>
          <w:color w:val="231F1F"/>
          <w:spacing w:val="-5"/>
          <w:w w:val="105"/>
        </w:rPr>
        <w:t>RR:</w:t>
      </w:r>
      <w:r>
        <w:rPr>
          <w:b/>
          <w:color w:val="231F1F"/>
        </w:rPr>
        <w:tab/>
      </w:r>
      <w:r>
        <w:rPr>
          <w:color w:val="231F1F"/>
          <w:w w:val="105"/>
          <w:position w:val="1"/>
        </w:rPr>
        <w:t>Riesgo</w:t>
      </w:r>
      <w:r>
        <w:rPr>
          <w:color w:val="231F1F"/>
          <w:spacing w:val="10"/>
          <w:w w:val="105"/>
          <w:position w:val="1"/>
        </w:rPr>
        <w:t> </w:t>
      </w:r>
      <w:r>
        <w:rPr>
          <w:color w:val="231F1F"/>
          <w:w w:val="105"/>
          <w:position w:val="1"/>
        </w:rPr>
        <w:t>relativo=razón</w:t>
      </w:r>
      <w:r>
        <w:rPr>
          <w:color w:val="231F1F"/>
          <w:spacing w:val="13"/>
          <w:w w:val="105"/>
          <w:position w:val="1"/>
        </w:rPr>
        <w:t> </w:t>
      </w:r>
      <w:r>
        <w:rPr>
          <w:color w:val="231F1F"/>
          <w:w w:val="105"/>
          <w:position w:val="1"/>
        </w:rPr>
        <w:t>de</w:t>
      </w:r>
      <w:r>
        <w:rPr>
          <w:color w:val="231F1F"/>
          <w:spacing w:val="12"/>
          <w:w w:val="105"/>
          <w:position w:val="1"/>
        </w:rPr>
        <w:t> </w:t>
      </w:r>
      <w:r>
        <w:rPr>
          <w:color w:val="231F1F"/>
          <w:spacing w:val="-2"/>
          <w:w w:val="105"/>
          <w:position w:val="1"/>
        </w:rPr>
        <w:t>Riesgo</w:t>
      </w:r>
    </w:p>
    <w:p>
      <w:pPr>
        <w:pStyle w:val="BodyText"/>
        <w:tabs>
          <w:tab w:pos="1704" w:val="left" w:leader="none"/>
        </w:tabs>
        <w:spacing w:before="64"/>
        <w:ind w:left="287"/>
        <w:rPr>
          <w:position w:val="1"/>
        </w:rPr>
      </w:pPr>
      <w:r>
        <w:rPr>
          <w:b/>
          <w:color w:val="231F1F"/>
          <w:spacing w:val="-5"/>
          <w:w w:val="105"/>
        </w:rPr>
        <w:t>RS:</w:t>
      </w:r>
      <w:r>
        <w:rPr>
          <w:b/>
          <w:color w:val="231F1F"/>
        </w:rPr>
        <w:tab/>
      </w:r>
      <w:r>
        <w:rPr>
          <w:color w:val="231F1F"/>
          <w:w w:val="105"/>
          <w:position w:val="1"/>
        </w:rPr>
        <w:t>Revisión</w:t>
      </w:r>
      <w:r>
        <w:rPr>
          <w:color w:val="231F1F"/>
          <w:spacing w:val="-6"/>
          <w:w w:val="105"/>
          <w:position w:val="1"/>
        </w:rPr>
        <w:t> </w:t>
      </w:r>
      <w:r>
        <w:rPr>
          <w:color w:val="231F1F"/>
          <w:spacing w:val="-2"/>
          <w:w w:val="105"/>
          <w:position w:val="1"/>
        </w:rPr>
        <w:t>sistemática</w:t>
      </w:r>
    </w:p>
    <w:p>
      <w:pPr>
        <w:pStyle w:val="BodyText"/>
        <w:tabs>
          <w:tab w:pos="1704" w:val="left" w:leader="none"/>
        </w:tabs>
        <w:spacing w:before="73"/>
        <w:ind w:left="287"/>
        <w:rPr>
          <w:position w:val="1"/>
        </w:rPr>
      </w:pPr>
      <w:r>
        <w:rPr>
          <w:b/>
          <w:color w:val="231F1F"/>
          <w:spacing w:val="-3"/>
        </w:rPr>
        <w:t>RS-</w:t>
      </w:r>
      <w:r>
        <w:rPr>
          <w:b/>
          <w:color w:val="231F1F"/>
          <w:spacing w:val="-5"/>
        </w:rPr>
        <w:t>MA:</w:t>
      </w:r>
      <w:r>
        <w:rPr>
          <w:b/>
          <w:color w:val="231F1F"/>
        </w:rPr>
        <w:tab/>
      </w:r>
      <w:r>
        <w:rPr>
          <w:color w:val="231F1F"/>
          <w:position w:val="1"/>
        </w:rPr>
        <w:t>Revisión</w:t>
      </w:r>
      <w:r>
        <w:rPr>
          <w:color w:val="231F1F"/>
          <w:spacing w:val="60"/>
          <w:w w:val="150"/>
          <w:position w:val="1"/>
        </w:rPr>
        <w:t> </w:t>
      </w:r>
      <w:r>
        <w:rPr>
          <w:color w:val="231F1F"/>
          <w:position w:val="1"/>
        </w:rPr>
        <w:t>sistemática-</w:t>
      </w:r>
      <w:r>
        <w:rPr>
          <w:color w:val="231F1F"/>
          <w:spacing w:val="-2"/>
          <w:position w:val="1"/>
        </w:rPr>
        <w:t>metanaálisis</w:t>
      </w:r>
    </w:p>
    <w:p>
      <w:pPr>
        <w:pStyle w:val="BodyText"/>
        <w:tabs>
          <w:tab w:pos="1704" w:val="left" w:leader="none"/>
        </w:tabs>
        <w:spacing w:before="59"/>
        <w:ind w:left="287"/>
      </w:pPr>
      <w:r>
        <w:rPr>
          <w:b/>
          <w:color w:val="231F1F"/>
          <w:spacing w:val="-5"/>
          <w:w w:val="105"/>
        </w:rPr>
        <w:t>SD:</w:t>
      </w:r>
      <w:r>
        <w:rPr>
          <w:b/>
          <w:color w:val="231F1F"/>
        </w:rPr>
        <w:tab/>
      </w:r>
      <w:r>
        <w:rPr>
          <w:color w:val="231F1F"/>
          <w:w w:val="105"/>
        </w:rPr>
        <w:t>Desviación</w:t>
      </w:r>
      <w:r>
        <w:rPr>
          <w:color w:val="231F1F"/>
          <w:spacing w:val="-5"/>
          <w:w w:val="105"/>
        </w:rPr>
        <w:t> </w:t>
      </w:r>
      <w:r>
        <w:rPr>
          <w:color w:val="231F1F"/>
          <w:spacing w:val="-2"/>
          <w:w w:val="105"/>
        </w:rPr>
        <w:t>estándar</w:t>
      </w:r>
    </w:p>
    <w:p>
      <w:pPr>
        <w:pStyle w:val="BodyText"/>
        <w:spacing w:after="0"/>
        <w:sectPr>
          <w:footerReference w:type="default" r:id="rId61"/>
          <w:footerReference w:type="even" r:id="rId62"/>
          <w:pgSz w:w="11900" w:h="16840"/>
          <w:pgMar w:header="0" w:footer="622" w:top="1480" w:bottom="820" w:left="1417" w:right="1559"/>
          <w:pgNumType w:start="267"/>
        </w:sectPr>
      </w:pPr>
    </w:p>
    <w:p>
      <w:pPr>
        <w:pStyle w:val="BodyText"/>
        <w:tabs>
          <w:tab w:pos="1702" w:val="left" w:leader="none"/>
        </w:tabs>
        <w:spacing w:before="72"/>
        <w:ind w:left="287"/>
      </w:pPr>
      <w:r>
        <w:rPr>
          <w:b/>
          <w:color w:val="231F1F"/>
          <w:spacing w:val="-2"/>
        </w:rPr>
        <w:t>SEGO:</w:t>
      </w:r>
      <w:r>
        <w:rPr>
          <w:b/>
          <w:color w:val="231F1F"/>
        </w:rPr>
        <w:tab/>
      </w:r>
      <w:r>
        <w:rPr>
          <w:color w:val="231F1F"/>
        </w:rPr>
        <w:t>Sociedad</w:t>
      </w:r>
      <w:r>
        <w:rPr>
          <w:color w:val="231F1F"/>
          <w:spacing w:val="31"/>
        </w:rPr>
        <w:t> </w:t>
      </w:r>
      <w:r>
        <w:rPr>
          <w:color w:val="231F1F"/>
        </w:rPr>
        <w:t>Española</w:t>
      </w:r>
      <w:r>
        <w:rPr>
          <w:color w:val="231F1F"/>
          <w:spacing w:val="31"/>
        </w:rPr>
        <w:t> </w:t>
      </w:r>
      <w:r>
        <w:rPr>
          <w:color w:val="231F1F"/>
        </w:rPr>
        <w:t>de</w:t>
      </w:r>
      <w:r>
        <w:rPr>
          <w:color w:val="231F1F"/>
          <w:spacing w:val="31"/>
        </w:rPr>
        <w:t> </w:t>
      </w:r>
      <w:r>
        <w:rPr>
          <w:color w:val="231F1F"/>
        </w:rPr>
        <w:t>Ginecología</w:t>
      </w:r>
      <w:r>
        <w:rPr>
          <w:color w:val="231F1F"/>
          <w:spacing w:val="31"/>
        </w:rPr>
        <w:t> </w:t>
      </w:r>
      <w:r>
        <w:rPr>
          <w:color w:val="231F1F"/>
        </w:rPr>
        <w:t>y</w:t>
      </w:r>
      <w:r>
        <w:rPr>
          <w:color w:val="231F1F"/>
          <w:spacing w:val="31"/>
        </w:rPr>
        <w:t> </w:t>
      </w:r>
      <w:r>
        <w:rPr>
          <w:color w:val="231F1F"/>
          <w:spacing w:val="-2"/>
        </w:rPr>
        <w:t>Obstetricia</w:t>
      </w:r>
    </w:p>
    <w:p>
      <w:pPr>
        <w:tabs>
          <w:tab w:pos="1702" w:val="left" w:leader="none"/>
        </w:tabs>
        <w:spacing w:before="78"/>
        <w:ind w:left="287" w:right="0" w:firstLine="0"/>
        <w:jc w:val="left"/>
        <w:rPr>
          <w:i/>
          <w:position w:val="1"/>
          <w:sz w:val="22"/>
        </w:rPr>
      </w:pPr>
      <w:r>
        <w:rPr>
          <w:b/>
          <w:color w:val="231F1F"/>
          <w:spacing w:val="-2"/>
          <w:sz w:val="22"/>
        </w:rPr>
        <w:t>SIGN:</w:t>
      </w:r>
      <w:r>
        <w:rPr>
          <w:b/>
          <w:color w:val="231F1F"/>
          <w:sz w:val="22"/>
        </w:rPr>
        <w:tab/>
      </w:r>
      <w:r>
        <w:rPr>
          <w:i/>
          <w:color w:val="231F1F"/>
          <w:position w:val="1"/>
          <w:sz w:val="22"/>
        </w:rPr>
        <w:t>Scottish</w:t>
      </w:r>
      <w:r>
        <w:rPr>
          <w:i/>
          <w:color w:val="231F1F"/>
          <w:spacing w:val="6"/>
          <w:position w:val="1"/>
          <w:sz w:val="22"/>
        </w:rPr>
        <w:t> </w:t>
      </w:r>
      <w:r>
        <w:rPr>
          <w:i/>
          <w:color w:val="231F1F"/>
          <w:position w:val="1"/>
          <w:sz w:val="22"/>
        </w:rPr>
        <w:t>Intercollegiate</w:t>
      </w:r>
      <w:r>
        <w:rPr>
          <w:i/>
          <w:color w:val="231F1F"/>
          <w:spacing w:val="9"/>
          <w:position w:val="1"/>
          <w:sz w:val="22"/>
        </w:rPr>
        <w:t> </w:t>
      </w:r>
      <w:r>
        <w:rPr>
          <w:i/>
          <w:color w:val="231F1F"/>
          <w:position w:val="1"/>
          <w:sz w:val="22"/>
        </w:rPr>
        <w:t>Guidelines</w:t>
      </w:r>
      <w:r>
        <w:rPr>
          <w:i/>
          <w:color w:val="231F1F"/>
          <w:spacing w:val="8"/>
          <w:position w:val="1"/>
          <w:sz w:val="22"/>
        </w:rPr>
        <w:t> </w:t>
      </w:r>
      <w:r>
        <w:rPr>
          <w:i/>
          <w:color w:val="231F1F"/>
          <w:spacing w:val="-2"/>
          <w:position w:val="1"/>
          <w:sz w:val="22"/>
        </w:rPr>
        <w:t>Network</w:t>
      </w:r>
    </w:p>
    <w:p>
      <w:pPr>
        <w:pStyle w:val="BodyText"/>
        <w:tabs>
          <w:tab w:pos="1702" w:val="left" w:leader="none"/>
        </w:tabs>
        <w:spacing w:before="78"/>
        <w:ind w:left="287"/>
      </w:pPr>
      <w:r>
        <w:rPr>
          <w:b/>
          <w:color w:val="231F1F"/>
          <w:spacing w:val="-4"/>
        </w:rPr>
        <w:t>SNS:</w:t>
      </w:r>
      <w:r>
        <w:rPr>
          <w:b/>
          <w:color w:val="231F1F"/>
        </w:rPr>
        <w:tab/>
      </w:r>
      <w:r>
        <w:rPr>
          <w:color w:val="231F1F"/>
        </w:rPr>
        <w:t>Sistema</w:t>
      </w:r>
      <w:r>
        <w:rPr>
          <w:color w:val="231F1F"/>
          <w:spacing w:val="32"/>
        </w:rPr>
        <w:t> </w:t>
      </w:r>
      <w:r>
        <w:rPr>
          <w:color w:val="231F1F"/>
        </w:rPr>
        <w:t>Nacional</w:t>
      </w:r>
      <w:r>
        <w:rPr>
          <w:color w:val="231F1F"/>
          <w:spacing w:val="34"/>
        </w:rPr>
        <w:t> </w:t>
      </w:r>
      <w:r>
        <w:rPr>
          <w:color w:val="231F1F"/>
        </w:rPr>
        <w:t>de</w:t>
      </w:r>
      <w:r>
        <w:rPr>
          <w:color w:val="231F1F"/>
          <w:spacing w:val="35"/>
        </w:rPr>
        <w:t> </w:t>
      </w:r>
      <w:r>
        <w:rPr>
          <w:color w:val="231F1F"/>
          <w:spacing w:val="-2"/>
        </w:rPr>
        <w:t>Salud</w:t>
      </w:r>
    </w:p>
    <w:p>
      <w:pPr>
        <w:pStyle w:val="BodyText"/>
        <w:tabs>
          <w:tab w:pos="1702" w:val="left" w:leader="none"/>
        </w:tabs>
        <w:spacing w:line="307" w:lineRule="auto" w:before="68"/>
        <w:ind w:left="287" w:right="3183"/>
      </w:pPr>
      <w:r>
        <w:rPr>
          <w:b/>
          <w:color w:val="231F1F"/>
          <w:spacing w:val="-4"/>
          <w:w w:val="105"/>
        </w:rPr>
        <w:t>SPSS:</w:t>
      </w:r>
      <w:r>
        <w:rPr>
          <w:b/>
          <w:color w:val="231F1F"/>
        </w:rPr>
        <w:tab/>
      </w:r>
      <w:r>
        <w:rPr>
          <w:color w:val="231F1F"/>
          <w:w w:val="105"/>
          <w:position w:val="1"/>
        </w:rPr>
        <w:t>Statistical Package for the Social Sciencies </w:t>
      </w:r>
      <w:r>
        <w:rPr>
          <w:b/>
          <w:color w:val="231F1F"/>
          <w:spacing w:val="-2"/>
        </w:rPr>
        <w:t>TENS:</w:t>
      </w:r>
      <w:r>
        <w:rPr>
          <w:b/>
          <w:color w:val="231F1F"/>
        </w:rPr>
        <w:tab/>
      </w:r>
      <w:r>
        <w:rPr>
          <w:color w:val="231F1F"/>
        </w:rPr>
        <w:t>Estimulación</w:t>
      </w:r>
      <w:r>
        <w:rPr>
          <w:color w:val="231F1F"/>
          <w:spacing w:val="27"/>
        </w:rPr>
        <w:t> </w:t>
      </w:r>
      <w:r>
        <w:rPr>
          <w:color w:val="231F1F"/>
        </w:rPr>
        <w:t>nerviosa</w:t>
      </w:r>
      <w:r>
        <w:rPr>
          <w:color w:val="231F1F"/>
          <w:spacing w:val="27"/>
        </w:rPr>
        <w:t> </w:t>
      </w:r>
      <w:r>
        <w:rPr>
          <w:color w:val="231F1F"/>
        </w:rPr>
        <w:t>eléctrica</w:t>
      </w:r>
      <w:r>
        <w:rPr>
          <w:color w:val="231F1F"/>
          <w:spacing w:val="27"/>
        </w:rPr>
        <w:t> </w:t>
      </w:r>
      <w:r>
        <w:rPr>
          <w:color w:val="231F1F"/>
        </w:rPr>
        <w:t>transcutánea </w:t>
      </w:r>
      <w:r>
        <w:rPr>
          <w:b/>
          <w:color w:val="231F1F"/>
          <w:spacing w:val="-4"/>
          <w:w w:val="105"/>
        </w:rPr>
        <w:t>UCI:</w:t>
      </w:r>
      <w:r>
        <w:rPr>
          <w:b/>
          <w:color w:val="231F1F"/>
        </w:rPr>
        <w:tab/>
      </w:r>
      <w:r>
        <w:rPr>
          <w:color w:val="231F1F"/>
          <w:w w:val="105"/>
        </w:rPr>
        <w:t>Unidad de cuidados intensivos</w:t>
      </w:r>
    </w:p>
    <w:p>
      <w:pPr>
        <w:pStyle w:val="BodyText"/>
        <w:spacing w:after="0" w:line="307" w:lineRule="auto"/>
        <w:sectPr>
          <w:pgSz w:w="11900" w:h="16840"/>
          <w:pgMar w:header="0" w:footer="622" w:top="1580" w:bottom="820" w:left="1417" w:right="1559"/>
        </w:sectPr>
      </w:pPr>
    </w:p>
    <w:p>
      <w:pPr>
        <w:pStyle w:val="Heading2"/>
        <w:spacing w:before="73"/>
        <w:ind w:left="282" w:firstLine="0"/>
      </w:pPr>
      <w:bookmarkStart w:name="_TOC_250009" w:id="47"/>
      <w:r>
        <w:rPr>
          <w:color w:val="231F1F"/>
        </w:rPr>
        <w:t>Anexo</w:t>
      </w:r>
      <w:r>
        <w:rPr>
          <w:color w:val="231F1F"/>
          <w:spacing w:val="24"/>
        </w:rPr>
        <w:t> </w:t>
      </w:r>
      <w:r>
        <w:rPr>
          <w:color w:val="231F1F"/>
        </w:rPr>
        <w:t>2.</w:t>
      </w:r>
      <w:r>
        <w:rPr>
          <w:color w:val="231F1F"/>
          <w:spacing w:val="22"/>
        </w:rPr>
        <w:t>  </w:t>
      </w:r>
      <w:bookmarkEnd w:id="47"/>
      <w:r>
        <w:rPr>
          <w:color w:val="231F1F"/>
          <w:spacing w:val="-2"/>
        </w:rPr>
        <w:t>Glosario</w:t>
      </w:r>
    </w:p>
    <w:p>
      <w:pPr>
        <w:pStyle w:val="BodyText"/>
        <w:spacing w:before="42"/>
        <w:rPr>
          <w:sz w:val="36"/>
        </w:rPr>
      </w:pPr>
    </w:p>
    <w:p>
      <w:pPr>
        <w:pStyle w:val="BodyText"/>
        <w:spacing w:line="244" w:lineRule="auto"/>
        <w:ind w:left="283" w:right="125" w:firstLine="453"/>
        <w:jc w:val="both"/>
      </w:pPr>
      <w:r>
        <w:rPr>
          <w:b/>
          <w:color w:val="231F1F"/>
          <w:w w:val="110"/>
        </w:rPr>
        <w:t>Acompañamiento:</w:t>
      </w:r>
      <w:r>
        <w:rPr>
          <w:b/>
          <w:color w:val="231F1F"/>
          <w:spacing w:val="-16"/>
          <w:w w:val="110"/>
        </w:rPr>
        <w:t> </w:t>
      </w:r>
      <w:r>
        <w:rPr>
          <w:color w:val="231F1F"/>
          <w:w w:val="110"/>
        </w:rPr>
        <w:t>Presencia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5"/>
          <w:w w:val="110"/>
        </w:rPr>
        <w:t> </w:t>
      </w:r>
      <w:r>
        <w:rPr>
          <w:color w:val="231F1F"/>
          <w:w w:val="110"/>
        </w:rPr>
        <w:t>persona</w:t>
      </w:r>
      <w:r>
        <w:rPr>
          <w:color w:val="231F1F"/>
          <w:spacing w:val="-15"/>
          <w:w w:val="110"/>
        </w:rPr>
        <w:t> </w:t>
      </w:r>
      <w:r>
        <w:rPr>
          <w:color w:val="231F1F"/>
          <w:w w:val="110"/>
        </w:rPr>
        <w:t>elegida</w:t>
      </w:r>
      <w:r>
        <w:rPr>
          <w:color w:val="231F1F"/>
          <w:spacing w:val="-15"/>
          <w:w w:val="110"/>
        </w:rPr>
        <w:t> </w:t>
      </w:r>
      <w:r>
        <w:rPr>
          <w:color w:val="231F1F"/>
          <w:w w:val="110"/>
        </w:rPr>
        <w:t>por</w:t>
      </w:r>
      <w:r>
        <w:rPr>
          <w:color w:val="231F1F"/>
          <w:spacing w:val="-15"/>
          <w:w w:val="110"/>
        </w:rPr>
        <w:t> </w:t>
      </w:r>
      <w:r>
        <w:rPr>
          <w:color w:val="231F1F"/>
          <w:w w:val="110"/>
        </w:rPr>
        <w:t>la</w:t>
      </w:r>
      <w:r>
        <w:rPr>
          <w:color w:val="231F1F"/>
          <w:spacing w:val="-15"/>
          <w:w w:val="110"/>
        </w:rPr>
        <w:t> </w:t>
      </w:r>
      <w:r>
        <w:rPr>
          <w:color w:val="231F1F"/>
          <w:w w:val="110"/>
        </w:rPr>
        <w:t>mujer</w:t>
      </w:r>
      <w:r>
        <w:rPr>
          <w:color w:val="231F1F"/>
          <w:spacing w:val="-16"/>
          <w:w w:val="110"/>
        </w:rPr>
        <w:t> </w:t>
      </w:r>
      <w:r>
        <w:rPr>
          <w:color w:val="231F1F"/>
          <w:w w:val="110"/>
        </w:rPr>
        <w:t>durante</w:t>
      </w:r>
      <w:r>
        <w:rPr>
          <w:color w:val="231F1F"/>
          <w:spacing w:val="-15"/>
          <w:w w:val="110"/>
        </w:rPr>
        <w:t> </w:t>
      </w:r>
      <w:r>
        <w:rPr>
          <w:color w:val="231F1F"/>
          <w:w w:val="110"/>
        </w:rPr>
        <w:t>todo</w:t>
      </w:r>
      <w:r>
        <w:rPr>
          <w:color w:val="231F1F"/>
          <w:spacing w:val="-15"/>
          <w:w w:val="110"/>
        </w:rPr>
        <w:t> </w:t>
      </w:r>
      <w:r>
        <w:rPr>
          <w:color w:val="231F1F"/>
          <w:w w:val="110"/>
        </w:rPr>
        <w:t>el</w:t>
      </w:r>
      <w:r>
        <w:rPr>
          <w:color w:val="231F1F"/>
          <w:spacing w:val="-15"/>
          <w:w w:val="110"/>
        </w:rPr>
        <w:t> </w:t>
      </w:r>
      <w:r>
        <w:rPr>
          <w:color w:val="231F1F"/>
          <w:w w:val="110"/>
        </w:rPr>
        <w:t>pro- ceso</w:t>
      </w:r>
      <w:r>
        <w:rPr>
          <w:color w:val="231F1F"/>
          <w:spacing w:val="-4"/>
          <w:w w:val="110"/>
        </w:rPr>
        <w:t> </w:t>
      </w:r>
      <w:r>
        <w:rPr>
          <w:color w:val="231F1F"/>
          <w:w w:val="110"/>
        </w:rPr>
        <w:t>de</w:t>
      </w:r>
      <w:r>
        <w:rPr>
          <w:color w:val="231F1F"/>
          <w:spacing w:val="-5"/>
          <w:w w:val="110"/>
        </w:rPr>
        <w:t> </w:t>
      </w:r>
      <w:r>
        <w:rPr>
          <w:color w:val="231F1F"/>
          <w:w w:val="110"/>
        </w:rPr>
        <w:t>parto</w:t>
      </w:r>
      <w:r>
        <w:rPr>
          <w:color w:val="231F1F"/>
          <w:spacing w:val="-5"/>
          <w:w w:val="110"/>
        </w:rPr>
        <w:t> </w:t>
      </w:r>
      <w:r>
        <w:rPr>
          <w:color w:val="231F1F"/>
          <w:w w:val="110"/>
        </w:rPr>
        <w:t>y</w:t>
      </w:r>
      <w:r>
        <w:rPr>
          <w:color w:val="231F1F"/>
          <w:spacing w:val="-5"/>
          <w:w w:val="110"/>
        </w:rPr>
        <w:t> </w:t>
      </w:r>
      <w:r>
        <w:rPr>
          <w:color w:val="231F1F"/>
          <w:w w:val="110"/>
        </w:rPr>
        <w:t>nacimiento</w:t>
      </w:r>
      <w:r>
        <w:rPr>
          <w:color w:val="231F1F"/>
          <w:spacing w:val="-5"/>
          <w:w w:val="110"/>
        </w:rPr>
        <w:t> </w:t>
      </w:r>
      <w:r>
        <w:rPr>
          <w:color w:val="231F1F"/>
          <w:w w:val="110"/>
        </w:rPr>
        <w:t>desde</w:t>
      </w:r>
      <w:r>
        <w:rPr>
          <w:color w:val="231F1F"/>
          <w:spacing w:val="-5"/>
          <w:w w:val="110"/>
        </w:rPr>
        <w:t> </w:t>
      </w:r>
      <w:r>
        <w:rPr>
          <w:color w:val="231F1F"/>
          <w:w w:val="110"/>
        </w:rPr>
        <w:t>el</w:t>
      </w:r>
      <w:r>
        <w:rPr>
          <w:color w:val="231F1F"/>
          <w:spacing w:val="-5"/>
          <w:w w:val="110"/>
        </w:rPr>
        <w:t> </w:t>
      </w:r>
      <w:r>
        <w:rPr>
          <w:color w:val="231F1F"/>
          <w:w w:val="110"/>
        </w:rPr>
        <w:t>ingreso</w:t>
      </w:r>
      <w:r>
        <w:rPr>
          <w:color w:val="231F1F"/>
          <w:spacing w:val="-5"/>
          <w:w w:val="110"/>
        </w:rPr>
        <w:t> </w:t>
      </w:r>
      <w:r>
        <w:rPr>
          <w:color w:val="231F1F"/>
          <w:w w:val="110"/>
        </w:rPr>
        <w:t>en</w:t>
      </w:r>
      <w:r>
        <w:rPr>
          <w:color w:val="231F1F"/>
          <w:spacing w:val="-5"/>
          <w:w w:val="110"/>
        </w:rPr>
        <w:t> </w:t>
      </w:r>
      <w:r>
        <w:rPr>
          <w:color w:val="231F1F"/>
          <w:w w:val="110"/>
        </w:rPr>
        <w:t>la</w:t>
      </w:r>
      <w:r>
        <w:rPr>
          <w:color w:val="231F1F"/>
          <w:spacing w:val="-5"/>
          <w:w w:val="110"/>
        </w:rPr>
        <w:t> </w:t>
      </w:r>
      <w:r>
        <w:rPr>
          <w:color w:val="231F1F"/>
          <w:w w:val="110"/>
        </w:rPr>
        <w:t>maternidad</w:t>
      </w:r>
      <w:r>
        <w:rPr>
          <w:color w:val="231F1F"/>
          <w:spacing w:val="-4"/>
          <w:w w:val="110"/>
        </w:rPr>
        <w:t> </w:t>
      </w:r>
      <w:r>
        <w:rPr>
          <w:color w:val="231F1F"/>
          <w:w w:val="110"/>
        </w:rPr>
        <w:t>hospitalaria</w:t>
      </w:r>
      <w:r>
        <w:rPr>
          <w:color w:val="231F1F"/>
          <w:spacing w:val="-5"/>
          <w:w w:val="110"/>
        </w:rPr>
        <w:t> </w:t>
      </w:r>
      <w:r>
        <w:rPr>
          <w:color w:val="231F1F"/>
          <w:w w:val="110"/>
        </w:rPr>
        <w:t>(familiar,</w:t>
      </w:r>
      <w:r>
        <w:rPr>
          <w:color w:val="231F1F"/>
          <w:spacing w:val="-5"/>
          <w:w w:val="110"/>
        </w:rPr>
        <w:t> </w:t>
      </w:r>
      <w:r>
        <w:rPr>
          <w:color w:val="231F1F"/>
          <w:w w:val="110"/>
        </w:rPr>
        <w:t>cón- yuge, persona de confianza,…)</w:t>
      </w:r>
    </w:p>
    <w:p>
      <w:pPr>
        <w:pStyle w:val="BodyText"/>
        <w:spacing w:line="244" w:lineRule="auto" w:before="124"/>
        <w:ind w:left="283" w:right="121" w:firstLine="453"/>
        <w:jc w:val="both"/>
      </w:pPr>
      <w:r>
        <w:rPr>
          <w:b/>
          <w:color w:val="231F1F"/>
          <w:w w:val="105"/>
        </w:rPr>
        <w:t>Amnioscopia</w:t>
      </w:r>
      <w:r>
        <w:rPr>
          <w:color w:val="231F1F"/>
          <w:w w:val="105"/>
        </w:rPr>
        <w:t>:</w:t>
      </w:r>
      <w:r>
        <w:rPr>
          <w:color w:val="231F1F"/>
          <w:spacing w:val="-15"/>
          <w:w w:val="105"/>
        </w:rPr>
        <w:t> </w:t>
      </w:r>
      <w:r>
        <w:rPr>
          <w:color w:val="231F1F"/>
          <w:w w:val="105"/>
        </w:rPr>
        <w:t>Observación</w:t>
      </w:r>
      <w:r>
        <w:rPr>
          <w:color w:val="231F1F"/>
          <w:spacing w:val="-14"/>
          <w:w w:val="105"/>
        </w:rPr>
        <w:t> </w:t>
      </w:r>
      <w:r>
        <w:rPr>
          <w:color w:val="231F1F"/>
          <w:w w:val="105"/>
        </w:rPr>
        <w:t>directa</w:t>
      </w:r>
      <w:r>
        <w:rPr>
          <w:color w:val="231F1F"/>
          <w:spacing w:val="-15"/>
          <w:w w:val="105"/>
        </w:rPr>
        <w:t> </w:t>
      </w:r>
      <w:r>
        <w:rPr>
          <w:color w:val="231F1F"/>
          <w:w w:val="105"/>
        </w:rPr>
        <w:t>del</w:t>
      </w:r>
      <w:r>
        <w:rPr>
          <w:color w:val="231F1F"/>
          <w:spacing w:val="-14"/>
          <w:w w:val="105"/>
        </w:rPr>
        <w:t> </w:t>
      </w:r>
      <w:r>
        <w:rPr>
          <w:color w:val="231F1F"/>
          <w:w w:val="105"/>
        </w:rPr>
        <w:t>color</w:t>
      </w:r>
      <w:r>
        <w:rPr>
          <w:color w:val="231F1F"/>
          <w:spacing w:val="-14"/>
          <w:w w:val="105"/>
        </w:rPr>
        <w:t> </w:t>
      </w:r>
      <w:r>
        <w:rPr>
          <w:color w:val="231F1F"/>
          <w:w w:val="105"/>
        </w:rPr>
        <w:t>y</w:t>
      </w:r>
      <w:r>
        <w:rPr>
          <w:color w:val="231F1F"/>
          <w:spacing w:val="-14"/>
          <w:w w:val="105"/>
        </w:rPr>
        <w:t> </w:t>
      </w:r>
      <w:r>
        <w:rPr>
          <w:color w:val="231F1F"/>
          <w:w w:val="105"/>
        </w:rPr>
        <w:t>cantidad</w:t>
      </w:r>
      <w:r>
        <w:rPr>
          <w:color w:val="231F1F"/>
          <w:spacing w:val="-14"/>
          <w:w w:val="105"/>
        </w:rPr>
        <w:t> </w:t>
      </w:r>
      <w:r>
        <w:rPr>
          <w:color w:val="231F1F"/>
          <w:w w:val="105"/>
        </w:rPr>
        <w:t>del</w:t>
      </w:r>
      <w:r>
        <w:rPr>
          <w:color w:val="231F1F"/>
          <w:spacing w:val="-15"/>
          <w:w w:val="105"/>
        </w:rPr>
        <w:t> </w:t>
      </w:r>
      <w:r>
        <w:rPr>
          <w:color w:val="231F1F"/>
          <w:w w:val="105"/>
        </w:rPr>
        <w:t>líquido</w:t>
      </w:r>
      <w:r>
        <w:rPr>
          <w:color w:val="231F1F"/>
          <w:spacing w:val="-13"/>
          <w:w w:val="105"/>
        </w:rPr>
        <w:t> </w:t>
      </w:r>
      <w:r>
        <w:rPr>
          <w:color w:val="231F1F"/>
          <w:w w:val="105"/>
        </w:rPr>
        <w:t>amniótico</w:t>
      </w:r>
      <w:r>
        <w:rPr>
          <w:color w:val="231F1F"/>
          <w:spacing w:val="-14"/>
          <w:w w:val="105"/>
        </w:rPr>
        <w:t> </w:t>
      </w:r>
      <w:r>
        <w:rPr>
          <w:color w:val="231F1F"/>
          <w:w w:val="105"/>
        </w:rPr>
        <w:t>por</w:t>
      </w:r>
      <w:r>
        <w:rPr>
          <w:color w:val="231F1F"/>
          <w:spacing w:val="-15"/>
          <w:w w:val="105"/>
        </w:rPr>
        <w:t> </w:t>
      </w:r>
      <w:r>
        <w:rPr>
          <w:color w:val="231F1F"/>
          <w:w w:val="105"/>
        </w:rPr>
        <w:t>medio del amnioscopio.</w:t>
      </w:r>
    </w:p>
    <w:p>
      <w:pPr>
        <w:spacing w:before="141"/>
        <w:ind w:left="736" w:right="0" w:firstLine="0"/>
        <w:jc w:val="both"/>
        <w:rPr>
          <w:sz w:val="22"/>
        </w:rPr>
      </w:pPr>
      <w:r>
        <w:rPr>
          <w:b/>
          <w:color w:val="231F1F"/>
          <w:sz w:val="22"/>
        </w:rPr>
        <w:t>Analgesia</w:t>
      </w:r>
      <w:r>
        <w:rPr>
          <w:b/>
          <w:color w:val="231F1F"/>
          <w:spacing w:val="38"/>
          <w:sz w:val="22"/>
        </w:rPr>
        <w:t> </w:t>
      </w:r>
      <w:r>
        <w:rPr>
          <w:b/>
          <w:color w:val="231F1F"/>
          <w:sz w:val="22"/>
        </w:rPr>
        <w:t>combinada</w:t>
      </w:r>
      <w:r>
        <w:rPr>
          <w:b/>
          <w:i/>
          <w:color w:val="231F1F"/>
          <w:sz w:val="22"/>
        </w:rPr>
        <w:t>:</w:t>
      </w:r>
      <w:r>
        <w:rPr>
          <w:b/>
          <w:i/>
          <w:color w:val="231F1F"/>
          <w:spacing w:val="52"/>
          <w:sz w:val="22"/>
        </w:rPr>
        <w:t> </w:t>
      </w:r>
      <w:r>
        <w:rPr>
          <w:color w:val="231F1F"/>
          <w:sz w:val="22"/>
        </w:rPr>
        <w:t>Analgesia</w:t>
      </w:r>
      <w:r>
        <w:rPr>
          <w:color w:val="231F1F"/>
          <w:spacing w:val="42"/>
          <w:sz w:val="22"/>
        </w:rPr>
        <w:t> </w:t>
      </w:r>
      <w:r>
        <w:rPr>
          <w:color w:val="231F1F"/>
          <w:sz w:val="22"/>
        </w:rPr>
        <w:t>intradural+analgesia</w:t>
      </w:r>
      <w:r>
        <w:rPr>
          <w:color w:val="231F1F"/>
          <w:spacing w:val="44"/>
          <w:sz w:val="22"/>
        </w:rPr>
        <w:t> </w:t>
      </w:r>
      <w:r>
        <w:rPr>
          <w:color w:val="231F1F"/>
          <w:spacing w:val="-2"/>
          <w:sz w:val="22"/>
        </w:rPr>
        <w:t>epidural</w:t>
      </w:r>
    </w:p>
    <w:p>
      <w:pPr>
        <w:pStyle w:val="BodyText"/>
        <w:spacing w:line="244" w:lineRule="auto" w:before="141"/>
        <w:ind w:left="283" w:right="122" w:firstLine="453"/>
        <w:jc w:val="both"/>
      </w:pPr>
      <w:r>
        <w:rPr>
          <w:b/>
          <w:color w:val="231F1F"/>
          <w:w w:val="105"/>
        </w:rPr>
        <w:t>Analgesia epidural: </w:t>
      </w:r>
      <w:r>
        <w:rPr>
          <w:color w:val="231F1F"/>
          <w:w w:val="105"/>
        </w:rPr>
        <w:t>Tipo de analgesia neuroaxial en la que se introduce el anestésico en</w:t>
      </w:r>
      <w:r>
        <w:rPr>
          <w:color w:val="231F1F"/>
          <w:spacing w:val="40"/>
          <w:w w:val="105"/>
        </w:rPr>
        <w:t> </w:t>
      </w:r>
      <w:r>
        <w:rPr>
          <w:color w:val="231F1F"/>
          <w:w w:val="105"/>
        </w:rPr>
        <w:t>las</w:t>
      </w:r>
      <w:r>
        <w:rPr>
          <w:color w:val="231F1F"/>
          <w:spacing w:val="40"/>
          <w:w w:val="105"/>
        </w:rPr>
        <w:t> </w:t>
      </w:r>
      <w:r>
        <w:rPr>
          <w:color w:val="231F1F"/>
          <w:w w:val="105"/>
        </w:rPr>
        <w:t>proximidades</w:t>
      </w:r>
      <w:r>
        <w:rPr>
          <w:color w:val="231F1F"/>
          <w:spacing w:val="40"/>
          <w:w w:val="105"/>
        </w:rPr>
        <w:t> </w:t>
      </w:r>
      <w:r>
        <w:rPr>
          <w:color w:val="231F1F"/>
          <w:w w:val="105"/>
        </w:rPr>
        <w:t>de</w:t>
      </w:r>
      <w:r>
        <w:rPr>
          <w:color w:val="231F1F"/>
          <w:spacing w:val="40"/>
          <w:w w:val="105"/>
        </w:rPr>
        <w:t> </w:t>
      </w:r>
      <w:r>
        <w:rPr>
          <w:color w:val="231F1F"/>
          <w:w w:val="105"/>
        </w:rPr>
        <w:t>la</w:t>
      </w:r>
      <w:r>
        <w:rPr>
          <w:color w:val="231F1F"/>
          <w:spacing w:val="40"/>
          <w:w w:val="105"/>
        </w:rPr>
        <w:t> </w:t>
      </w:r>
      <w:r>
        <w:rPr>
          <w:color w:val="231F1F"/>
          <w:w w:val="105"/>
        </w:rPr>
        <w:t>médula</w:t>
      </w:r>
      <w:r>
        <w:rPr>
          <w:color w:val="231F1F"/>
          <w:spacing w:val="40"/>
          <w:w w:val="105"/>
        </w:rPr>
        <w:t> </w:t>
      </w:r>
      <w:r>
        <w:rPr>
          <w:color w:val="231F1F"/>
          <w:w w:val="105"/>
        </w:rPr>
        <w:t>(espacio</w:t>
      </w:r>
      <w:r>
        <w:rPr>
          <w:color w:val="231F1F"/>
          <w:spacing w:val="40"/>
          <w:w w:val="105"/>
        </w:rPr>
        <w:t> </w:t>
      </w:r>
      <w:r>
        <w:rPr>
          <w:color w:val="231F1F"/>
          <w:w w:val="105"/>
        </w:rPr>
        <w:t>epidural),</w:t>
      </w:r>
      <w:r>
        <w:rPr>
          <w:color w:val="231F1F"/>
          <w:spacing w:val="40"/>
          <w:w w:val="105"/>
        </w:rPr>
        <w:t> </w:t>
      </w:r>
      <w:r>
        <w:rPr>
          <w:color w:val="231F1F"/>
          <w:w w:val="105"/>
        </w:rPr>
        <w:t>sin</w:t>
      </w:r>
      <w:r>
        <w:rPr>
          <w:color w:val="231F1F"/>
          <w:spacing w:val="40"/>
          <w:w w:val="105"/>
        </w:rPr>
        <w:t> </w:t>
      </w:r>
      <w:r>
        <w:rPr>
          <w:color w:val="231F1F"/>
          <w:w w:val="105"/>
        </w:rPr>
        <w:t>perforar</w:t>
      </w:r>
      <w:r>
        <w:rPr>
          <w:color w:val="231F1F"/>
          <w:spacing w:val="40"/>
          <w:w w:val="105"/>
        </w:rPr>
        <w:t> </w:t>
      </w:r>
      <w:r>
        <w:rPr>
          <w:color w:val="231F1F"/>
          <w:w w:val="105"/>
        </w:rPr>
        <w:t>la</w:t>
      </w:r>
      <w:r>
        <w:rPr>
          <w:color w:val="231F1F"/>
          <w:spacing w:val="40"/>
          <w:w w:val="105"/>
        </w:rPr>
        <w:t> </w:t>
      </w:r>
      <w:r>
        <w:rPr>
          <w:color w:val="231F1F"/>
          <w:w w:val="105"/>
        </w:rPr>
        <w:t>duramadre.</w:t>
      </w:r>
    </w:p>
    <w:p>
      <w:pPr>
        <w:pStyle w:val="BodyText"/>
        <w:spacing w:line="247" w:lineRule="auto" w:before="146"/>
        <w:ind w:left="283" w:right="118" w:firstLine="453"/>
        <w:jc w:val="both"/>
      </w:pPr>
      <w:r>
        <w:rPr>
          <w:b/>
          <w:color w:val="231F1F"/>
        </w:rPr>
        <w:t>Analgesia epidural ambulante=Walking-epidural (WE): </w:t>
      </w:r>
      <w:r>
        <w:rPr>
          <w:color w:val="231F1F"/>
        </w:rPr>
        <w:t>Se denomina Walking epidu- </w:t>
      </w:r>
      <w:r>
        <w:rPr>
          <w:color w:val="231F1F"/>
          <w:w w:val="105"/>
        </w:rPr>
        <w:t>ral a la técnica analgésica que permite a la embarazada mantener su movilidad durante la primera fase del parto, al mismo tiempo que se mantiene una buena calidad analgésica. La epidural</w:t>
      </w:r>
      <w:r>
        <w:rPr>
          <w:color w:val="231F1F"/>
          <w:w w:val="105"/>
        </w:rPr>
        <w:t> ambulante</w:t>
      </w:r>
      <w:r>
        <w:rPr>
          <w:color w:val="231F1F"/>
          <w:w w:val="105"/>
        </w:rPr>
        <w:t> consiste</w:t>
      </w:r>
      <w:r>
        <w:rPr>
          <w:color w:val="231F1F"/>
          <w:w w:val="105"/>
        </w:rPr>
        <w:t> básicamente</w:t>
      </w:r>
      <w:r>
        <w:rPr>
          <w:color w:val="231F1F"/>
          <w:w w:val="105"/>
        </w:rPr>
        <w:t> en</w:t>
      </w:r>
      <w:r>
        <w:rPr>
          <w:color w:val="231F1F"/>
          <w:w w:val="105"/>
        </w:rPr>
        <w:t> reducir</w:t>
      </w:r>
      <w:r>
        <w:rPr>
          <w:color w:val="231F1F"/>
          <w:w w:val="105"/>
        </w:rPr>
        <w:t> la</w:t>
      </w:r>
      <w:r>
        <w:rPr>
          <w:color w:val="231F1F"/>
          <w:w w:val="105"/>
        </w:rPr>
        <w:t> cantidad</w:t>
      </w:r>
      <w:r>
        <w:rPr>
          <w:color w:val="231F1F"/>
          <w:w w:val="105"/>
        </w:rPr>
        <w:t> de</w:t>
      </w:r>
      <w:r>
        <w:rPr>
          <w:color w:val="231F1F"/>
          <w:w w:val="105"/>
        </w:rPr>
        <w:t> anestésico</w:t>
      </w:r>
      <w:r>
        <w:rPr>
          <w:color w:val="231F1F"/>
          <w:w w:val="105"/>
        </w:rPr>
        <w:t> neuroaxial, usando para ello</w:t>
      </w:r>
      <w:r>
        <w:rPr>
          <w:color w:val="231F1F"/>
          <w:spacing w:val="30"/>
          <w:w w:val="105"/>
        </w:rPr>
        <w:t> </w:t>
      </w:r>
      <w:r>
        <w:rPr>
          <w:color w:val="231F1F"/>
          <w:w w:val="105"/>
        </w:rPr>
        <w:t>los</w:t>
      </w:r>
      <w:r>
        <w:rPr>
          <w:color w:val="231F1F"/>
          <w:spacing w:val="31"/>
          <w:w w:val="105"/>
        </w:rPr>
        <w:t> </w:t>
      </w:r>
      <w:r>
        <w:rPr>
          <w:color w:val="231F1F"/>
          <w:w w:val="105"/>
        </w:rPr>
        <w:t>anestésicos</w:t>
      </w:r>
      <w:r>
        <w:rPr>
          <w:color w:val="231F1F"/>
          <w:spacing w:val="31"/>
          <w:w w:val="105"/>
        </w:rPr>
        <w:t> </w:t>
      </w:r>
      <w:r>
        <w:rPr>
          <w:color w:val="231F1F"/>
          <w:w w:val="105"/>
        </w:rPr>
        <w:t>locales a</w:t>
      </w:r>
      <w:r>
        <w:rPr>
          <w:color w:val="231F1F"/>
          <w:spacing w:val="30"/>
          <w:w w:val="105"/>
        </w:rPr>
        <w:t> </w:t>
      </w:r>
      <w:r>
        <w:rPr>
          <w:color w:val="231F1F"/>
          <w:w w:val="105"/>
        </w:rPr>
        <w:t>bajas concentraciones</w:t>
      </w:r>
      <w:r>
        <w:rPr>
          <w:color w:val="231F1F"/>
          <w:spacing w:val="30"/>
          <w:w w:val="105"/>
        </w:rPr>
        <w:t> </w:t>
      </w:r>
      <w:r>
        <w:rPr>
          <w:color w:val="231F1F"/>
          <w:w w:val="105"/>
        </w:rPr>
        <w:t>y</w:t>
      </w:r>
      <w:r>
        <w:rPr>
          <w:color w:val="231F1F"/>
          <w:spacing w:val="31"/>
          <w:w w:val="105"/>
        </w:rPr>
        <w:t> </w:t>
      </w:r>
      <w:r>
        <w:rPr>
          <w:color w:val="231F1F"/>
          <w:w w:val="105"/>
        </w:rPr>
        <w:t>asociándoles</w:t>
      </w:r>
      <w:r>
        <w:rPr>
          <w:color w:val="231F1F"/>
          <w:spacing w:val="31"/>
          <w:w w:val="105"/>
        </w:rPr>
        <w:t> </w:t>
      </w:r>
      <w:r>
        <w:rPr>
          <w:color w:val="231F1F"/>
          <w:w w:val="105"/>
        </w:rPr>
        <w:t>opioides, de</w:t>
      </w:r>
      <w:r>
        <w:rPr>
          <w:color w:val="231F1F"/>
          <w:spacing w:val="20"/>
          <w:w w:val="105"/>
        </w:rPr>
        <w:t> </w:t>
      </w:r>
      <w:r>
        <w:rPr>
          <w:color w:val="231F1F"/>
          <w:w w:val="105"/>
        </w:rPr>
        <w:t>tal</w:t>
      </w:r>
      <w:r>
        <w:rPr>
          <w:color w:val="231F1F"/>
          <w:spacing w:val="20"/>
          <w:w w:val="105"/>
        </w:rPr>
        <w:t> </w:t>
      </w:r>
      <w:r>
        <w:rPr>
          <w:color w:val="231F1F"/>
          <w:w w:val="105"/>
        </w:rPr>
        <w:t>modo</w:t>
      </w:r>
      <w:r>
        <w:rPr>
          <w:color w:val="231F1F"/>
          <w:spacing w:val="20"/>
          <w:w w:val="105"/>
        </w:rPr>
        <w:t> </w:t>
      </w:r>
      <w:r>
        <w:rPr>
          <w:color w:val="231F1F"/>
          <w:w w:val="105"/>
        </w:rPr>
        <w:t>que</w:t>
      </w:r>
      <w:r>
        <w:rPr>
          <w:color w:val="231F1F"/>
          <w:spacing w:val="20"/>
          <w:w w:val="105"/>
        </w:rPr>
        <w:t> </w:t>
      </w:r>
      <w:r>
        <w:rPr>
          <w:color w:val="231F1F"/>
          <w:w w:val="105"/>
        </w:rPr>
        <w:t>sólo</w:t>
      </w:r>
      <w:r>
        <w:rPr>
          <w:color w:val="231F1F"/>
          <w:spacing w:val="20"/>
          <w:w w:val="105"/>
        </w:rPr>
        <w:t> </w:t>
      </w:r>
      <w:r>
        <w:rPr>
          <w:color w:val="231F1F"/>
          <w:w w:val="105"/>
        </w:rPr>
        <w:t>las</w:t>
      </w:r>
      <w:r>
        <w:rPr>
          <w:color w:val="231F1F"/>
          <w:spacing w:val="20"/>
          <w:w w:val="105"/>
        </w:rPr>
        <w:t> </w:t>
      </w:r>
      <w:r>
        <w:rPr>
          <w:color w:val="231F1F"/>
          <w:w w:val="105"/>
        </w:rPr>
        <w:t>fibras</w:t>
      </w:r>
      <w:r>
        <w:rPr>
          <w:color w:val="231F1F"/>
          <w:spacing w:val="21"/>
          <w:w w:val="105"/>
        </w:rPr>
        <w:t> </w:t>
      </w:r>
      <w:r>
        <w:rPr>
          <w:color w:val="231F1F"/>
          <w:w w:val="105"/>
        </w:rPr>
        <w:t>sensitivas</w:t>
      </w:r>
      <w:r>
        <w:rPr>
          <w:color w:val="231F1F"/>
          <w:spacing w:val="20"/>
          <w:w w:val="105"/>
        </w:rPr>
        <w:t> </w:t>
      </w:r>
      <w:r>
        <w:rPr>
          <w:color w:val="231F1F"/>
          <w:w w:val="105"/>
        </w:rPr>
        <w:t>se</w:t>
      </w:r>
      <w:r>
        <w:rPr>
          <w:color w:val="231F1F"/>
          <w:spacing w:val="20"/>
          <w:w w:val="105"/>
        </w:rPr>
        <w:t> </w:t>
      </w:r>
      <w:r>
        <w:rPr>
          <w:color w:val="231F1F"/>
          <w:w w:val="105"/>
        </w:rPr>
        <w:t>bloqueen,</w:t>
      </w:r>
      <w:r>
        <w:rPr>
          <w:color w:val="231F1F"/>
          <w:spacing w:val="20"/>
          <w:w w:val="105"/>
        </w:rPr>
        <w:t> </w:t>
      </w:r>
      <w:r>
        <w:rPr>
          <w:color w:val="231F1F"/>
          <w:w w:val="105"/>
        </w:rPr>
        <w:t>manteniendo</w:t>
      </w:r>
      <w:r>
        <w:rPr>
          <w:color w:val="231F1F"/>
          <w:spacing w:val="20"/>
          <w:w w:val="105"/>
        </w:rPr>
        <w:t> </w:t>
      </w:r>
      <w:r>
        <w:rPr>
          <w:color w:val="231F1F"/>
          <w:w w:val="105"/>
        </w:rPr>
        <w:t>la</w:t>
      </w:r>
      <w:r>
        <w:rPr>
          <w:color w:val="231F1F"/>
          <w:spacing w:val="20"/>
          <w:w w:val="105"/>
        </w:rPr>
        <w:t> </w:t>
      </w:r>
      <w:r>
        <w:rPr>
          <w:color w:val="231F1F"/>
          <w:w w:val="105"/>
        </w:rPr>
        <w:t>calidad</w:t>
      </w:r>
      <w:r>
        <w:rPr>
          <w:color w:val="231F1F"/>
          <w:spacing w:val="21"/>
          <w:w w:val="105"/>
        </w:rPr>
        <w:t> </w:t>
      </w:r>
      <w:r>
        <w:rPr>
          <w:color w:val="231F1F"/>
          <w:w w:val="105"/>
        </w:rPr>
        <w:t>analgésica y conserven su función las motoras, las que controlan el movimiento.</w:t>
      </w:r>
    </w:p>
    <w:p>
      <w:pPr>
        <w:pStyle w:val="BodyText"/>
        <w:spacing w:line="247" w:lineRule="auto" w:before="115"/>
        <w:ind w:left="283" w:right="123" w:firstLine="453"/>
        <w:jc w:val="both"/>
      </w:pPr>
      <w:r>
        <w:rPr>
          <w:b/>
          <w:color w:val="231F1F"/>
          <w:w w:val="105"/>
        </w:rPr>
        <w:t>Analgesia intradural</w:t>
      </w:r>
      <w:r>
        <w:rPr>
          <w:b/>
          <w:i/>
          <w:color w:val="231F1F"/>
          <w:w w:val="105"/>
        </w:rPr>
        <w:t>: </w:t>
      </w:r>
      <w:r>
        <w:rPr>
          <w:color w:val="231F1F"/>
          <w:w w:val="105"/>
        </w:rPr>
        <w:t>Es un tipo de analgesia neuroaxial en la que se perforan la du- ramadre</w:t>
      </w:r>
      <w:r>
        <w:rPr>
          <w:color w:val="231F1F"/>
          <w:w w:val="105"/>
        </w:rPr>
        <w:t> y</w:t>
      </w:r>
      <w:r>
        <w:rPr>
          <w:color w:val="231F1F"/>
          <w:w w:val="105"/>
        </w:rPr>
        <w:t> aracnoides,</w:t>
      </w:r>
      <w:r>
        <w:rPr>
          <w:color w:val="231F1F"/>
          <w:w w:val="105"/>
        </w:rPr>
        <w:t> y</w:t>
      </w:r>
      <w:r>
        <w:rPr>
          <w:color w:val="231F1F"/>
          <w:w w:val="105"/>
        </w:rPr>
        <w:t> se</w:t>
      </w:r>
      <w:r>
        <w:rPr>
          <w:color w:val="231F1F"/>
          <w:w w:val="105"/>
        </w:rPr>
        <w:t> introduce</w:t>
      </w:r>
      <w:r>
        <w:rPr>
          <w:color w:val="231F1F"/>
          <w:w w:val="105"/>
        </w:rPr>
        <w:t> el</w:t>
      </w:r>
      <w:r>
        <w:rPr>
          <w:color w:val="231F1F"/>
          <w:w w:val="105"/>
        </w:rPr>
        <w:t> anestésico</w:t>
      </w:r>
      <w:r>
        <w:rPr>
          <w:color w:val="231F1F"/>
          <w:w w:val="105"/>
        </w:rPr>
        <w:t> en</w:t>
      </w:r>
      <w:r>
        <w:rPr>
          <w:color w:val="231F1F"/>
          <w:w w:val="105"/>
        </w:rPr>
        <w:t> el</w:t>
      </w:r>
      <w:r>
        <w:rPr>
          <w:color w:val="231F1F"/>
          <w:w w:val="105"/>
        </w:rPr>
        <w:t> espacio</w:t>
      </w:r>
      <w:r>
        <w:rPr>
          <w:color w:val="231F1F"/>
          <w:w w:val="105"/>
        </w:rPr>
        <w:t> subaracnoideo</w:t>
      </w:r>
      <w:r>
        <w:rPr>
          <w:color w:val="231F1F"/>
          <w:w w:val="105"/>
        </w:rPr>
        <w:t> mezclán- dose con el líquido cefalorraquídeo.</w:t>
      </w:r>
    </w:p>
    <w:p>
      <w:pPr>
        <w:spacing w:before="131"/>
        <w:ind w:left="283" w:right="124" w:firstLine="453"/>
        <w:jc w:val="both"/>
        <w:rPr>
          <w:sz w:val="22"/>
        </w:rPr>
      </w:pPr>
      <w:r>
        <w:rPr>
          <w:b/>
          <w:color w:val="231F1F"/>
          <w:sz w:val="22"/>
        </w:rPr>
        <w:t>Analgesia</w:t>
      </w:r>
      <w:r>
        <w:rPr>
          <w:b/>
          <w:color w:val="231F1F"/>
          <w:spacing w:val="40"/>
          <w:sz w:val="22"/>
        </w:rPr>
        <w:t> </w:t>
      </w:r>
      <w:r>
        <w:rPr>
          <w:b/>
          <w:color w:val="231F1F"/>
          <w:sz w:val="22"/>
        </w:rPr>
        <w:t>neuroaxial:</w:t>
      </w:r>
      <w:r>
        <w:rPr>
          <w:b/>
          <w:color w:val="231F1F"/>
          <w:spacing w:val="40"/>
          <w:sz w:val="22"/>
        </w:rPr>
        <w:t> </w:t>
      </w:r>
      <w:r>
        <w:rPr>
          <w:color w:val="231F1F"/>
          <w:sz w:val="22"/>
        </w:rPr>
        <w:t>Analgesia</w:t>
      </w:r>
      <w:r>
        <w:rPr>
          <w:color w:val="231F1F"/>
          <w:spacing w:val="40"/>
          <w:sz w:val="22"/>
        </w:rPr>
        <w:t> </w:t>
      </w:r>
      <w:r>
        <w:rPr>
          <w:color w:val="231F1F"/>
          <w:sz w:val="22"/>
        </w:rPr>
        <w:t>provocada</w:t>
      </w:r>
      <w:r>
        <w:rPr>
          <w:color w:val="231F1F"/>
          <w:spacing w:val="40"/>
          <w:sz w:val="22"/>
        </w:rPr>
        <w:t> </w:t>
      </w:r>
      <w:r>
        <w:rPr>
          <w:color w:val="231F1F"/>
          <w:sz w:val="22"/>
        </w:rPr>
        <w:t>por</w:t>
      </w:r>
      <w:r>
        <w:rPr>
          <w:color w:val="231F1F"/>
          <w:spacing w:val="40"/>
          <w:sz w:val="22"/>
        </w:rPr>
        <w:t> </w:t>
      </w:r>
      <w:r>
        <w:rPr>
          <w:color w:val="231F1F"/>
          <w:sz w:val="22"/>
        </w:rPr>
        <w:t>bloqueo</w:t>
      </w:r>
      <w:r>
        <w:rPr>
          <w:color w:val="231F1F"/>
          <w:spacing w:val="40"/>
          <w:sz w:val="22"/>
        </w:rPr>
        <w:t> </w:t>
      </w:r>
      <w:r>
        <w:rPr>
          <w:color w:val="231F1F"/>
          <w:sz w:val="22"/>
        </w:rPr>
        <w:t>del</w:t>
      </w:r>
      <w:r>
        <w:rPr>
          <w:color w:val="231F1F"/>
          <w:spacing w:val="40"/>
          <w:sz w:val="22"/>
        </w:rPr>
        <w:t> </w:t>
      </w:r>
      <w:r>
        <w:rPr>
          <w:color w:val="231F1F"/>
          <w:sz w:val="22"/>
        </w:rPr>
        <w:t>impulso</w:t>
      </w:r>
      <w:r>
        <w:rPr>
          <w:color w:val="231F1F"/>
          <w:spacing w:val="40"/>
          <w:sz w:val="22"/>
        </w:rPr>
        <w:t> </w:t>
      </w:r>
      <w:r>
        <w:rPr>
          <w:color w:val="231F1F"/>
          <w:sz w:val="22"/>
        </w:rPr>
        <w:t>doloroso</w:t>
      </w:r>
      <w:r>
        <w:rPr>
          <w:color w:val="231F1F"/>
          <w:spacing w:val="40"/>
          <w:sz w:val="22"/>
        </w:rPr>
        <w:t> </w:t>
      </w:r>
      <w:r>
        <w:rPr>
          <w:color w:val="231F1F"/>
          <w:sz w:val="22"/>
        </w:rPr>
        <w:t>en</w:t>
      </w:r>
      <w:r>
        <w:rPr>
          <w:color w:val="231F1F"/>
          <w:spacing w:val="40"/>
          <w:sz w:val="22"/>
        </w:rPr>
        <w:t> </w:t>
      </w:r>
      <w:r>
        <w:rPr>
          <w:color w:val="231F1F"/>
          <w:sz w:val="22"/>
        </w:rPr>
        <w:t>el nivel</w:t>
      </w:r>
      <w:r>
        <w:rPr>
          <w:color w:val="231F1F"/>
          <w:spacing w:val="40"/>
          <w:sz w:val="22"/>
        </w:rPr>
        <w:t> </w:t>
      </w:r>
      <w:r>
        <w:rPr>
          <w:color w:val="231F1F"/>
          <w:sz w:val="22"/>
        </w:rPr>
        <w:t>de</w:t>
      </w:r>
      <w:r>
        <w:rPr>
          <w:color w:val="231F1F"/>
          <w:spacing w:val="40"/>
          <w:sz w:val="22"/>
        </w:rPr>
        <w:t> </w:t>
      </w:r>
      <w:r>
        <w:rPr>
          <w:color w:val="231F1F"/>
          <w:sz w:val="22"/>
        </w:rPr>
        <w:t>la</w:t>
      </w:r>
      <w:r>
        <w:rPr>
          <w:color w:val="231F1F"/>
          <w:spacing w:val="40"/>
          <w:sz w:val="22"/>
        </w:rPr>
        <w:t> </w:t>
      </w:r>
      <w:r>
        <w:rPr>
          <w:color w:val="231F1F"/>
          <w:sz w:val="22"/>
        </w:rPr>
        <w:t>médula</w:t>
      </w:r>
      <w:r>
        <w:rPr>
          <w:color w:val="231F1F"/>
          <w:spacing w:val="40"/>
          <w:sz w:val="22"/>
        </w:rPr>
        <w:t> </w:t>
      </w:r>
      <w:r>
        <w:rPr>
          <w:color w:val="231F1F"/>
          <w:sz w:val="22"/>
        </w:rPr>
        <w:t>espinal.</w:t>
      </w:r>
    </w:p>
    <w:p>
      <w:pPr>
        <w:pStyle w:val="BodyText"/>
        <w:spacing w:line="259" w:lineRule="auto" w:before="146"/>
        <w:ind w:left="283" w:right="123" w:firstLine="453"/>
        <w:jc w:val="both"/>
      </w:pPr>
      <w:r>
        <w:rPr>
          <w:b/>
          <w:color w:val="231F1F"/>
        </w:rPr>
        <w:t>Auscultación intermitente: </w:t>
      </w:r>
      <w:r>
        <w:rPr>
          <w:color w:val="231F1F"/>
        </w:rPr>
        <w:t>Auscultación de la frecuencia cardiaca fetal mediante es- tetoscopio</w:t>
      </w:r>
      <w:r>
        <w:rPr>
          <w:color w:val="231F1F"/>
          <w:spacing w:val="40"/>
        </w:rPr>
        <w:t> </w:t>
      </w:r>
      <w:r>
        <w:rPr>
          <w:color w:val="231F1F"/>
        </w:rPr>
        <w:t>de</w:t>
      </w:r>
      <w:r>
        <w:rPr>
          <w:color w:val="231F1F"/>
          <w:spacing w:val="40"/>
        </w:rPr>
        <w:t> </w:t>
      </w:r>
      <w:r>
        <w:rPr>
          <w:color w:val="231F1F"/>
        </w:rPr>
        <w:t>Pinard</w:t>
      </w:r>
      <w:r>
        <w:rPr>
          <w:color w:val="231F1F"/>
          <w:spacing w:val="40"/>
        </w:rPr>
        <w:t> </w:t>
      </w:r>
      <w:r>
        <w:rPr>
          <w:color w:val="231F1F"/>
        </w:rPr>
        <w:t>o</w:t>
      </w:r>
      <w:r>
        <w:rPr>
          <w:color w:val="231F1F"/>
          <w:spacing w:val="40"/>
        </w:rPr>
        <w:t> </w:t>
      </w:r>
      <w:r>
        <w:rPr>
          <w:color w:val="231F1F"/>
        </w:rPr>
        <w:t>mediante</w:t>
      </w:r>
      <w:r>
        <w:rPr>
          <w:color w:val="231F1F"/>
          <w:spacing w:val="40"/>
        </w:rPr>
        <w:t> </w:t>
      </w:r>
      <w:r>
        <w:rPr>
          <w:color w:val="231F1F"/>
        </w:rPr>
        <w:t>Doppler,</w:t>
      </w:r>
      <w:r>
        <w:rPr>
          <w:color w:val="231F1F"/>
          <w:spacing w:val="40"/>
        </w:rPr>
        <w:t> </w:t>
      </w:r>
      <w:r>
        <w:rPr>
          <w:color w:val="231F1F"/>
        </w:rPr>
        <w:t>durante</w:t>
      </w:r>
      <w:r>
        <w:rPr>
          <w:color w:val="231F1F"/>
          <w:spacing w:val="40"/>
        </w:rPr>
        <w:t> </w:t>
      </w:r>
      <w:r>
        <w:rPr>
          <w:color w:val="231F1F"/>
        </w:rPr>
        <w:t>1</w:t>
      </w:r>
      <w:r>
        <w:rPr>
          <w:color w:val="231F1F"/>
          <w:spacing w:val="40"/>
        </w:rPr>
        <w:t> </w:t>
      </w:r>
      <w:r>
        <w:rPr>
          <w:color w:val="231F1F"/>
        </w:rPr>
        <w:t>minuto</w:t>
      </w:r>
      <w:r>
        <w:rPr>
          <w:color w:val="231F1F"/>
          <w:spacing w:val="40"/>
        </w:rPr>
        <w:t> </w:t>
      </w:r>
      <w:r>
        <w:rPr>
          <w:color w:val="231F1F"/>
        </w:rPr>
        <w:t>después</w:t>
      </w:r>
      <w:r>
        <w:rPr>
          <w:color w:val="231F1F"/>
          <w:spacing w:val="40"/>
        </w:rPr>
        <w:t> </w:t>
      </w:r>
      <w:r>
        <w:rPr>
          <w:color w:val="231F1F"/>
        </w:rPr>
        <w:t>de</w:t>
      </w:r>
      <w:r>
        <w:rPr>
          <w:color w:val="231F1F"/>
          <w:spacing w:val="40"/>
        </w:rPr>
        <w:t> </w:t>
      </w:r>
      <w:r>
        <w:rPr>
          <w:color w:val="231F1F"/>
        </w:rPr>
        <w:t>una</w:t>
      </w:r>
      <w:r>
        <w:rPr>
          <w:color w:val="231F1F"/>
          <w:spacing w:val="40"/>
        </w:rPr>
        <w:t> </w:t>
      </w:r>
      <w:r>
        <w:rPr>
          <w:color w:val="231F1F"/>
        </w:rPr>
        <w:t>contracción, cada</w:t>
      </w:r>
      <w:r>
        <w:rPr>
          <w:color w:val="231F1F"/>
          <w:spacing w:val="25"/>
        </w:rPr>
        <w:t> </w:t>
      </w:r>
      <w:r>
        <w:rPr>
          <w:color w:val="231F1F"/>
        </w:rPr>
        <w:t>15-30</w:t>
      </w:r>
      <w:r>
        <w:rPr>
          <w:color w:val="231F1F"/>
          <w:spacing w:val="25"/>
        </w:rPr>
        <w:t> </w:t>
      </w:r>
      <w:r>
        <w:rPr>
          <w:color w:val="231F1F"/>
        </w:rPr>
        <w:t>minutos</w:t>
      </w:r>
      <w:r>
        <w:rPr>
          <w:color w:val="231F1F"/>
          <w:spacing w:val="25"/>
        </w:rPr>
        <w:t> </w:t>
      </w:r>
      <w:r>
        <w:rPr>
          <w:color w:val="231F1F"/>
        </w:rPr>
        <w:t>durante</w:t>
      </w:r>
      <w:r>
        <w:rPr>
          <w:color w:val="231F1F"/>
          <w:spacing w:val="25"/>
        </w:rPr>
        <w:t> </w:t>
      </w:r>
      <w:r>
        <w:rPr>
          <w:color w:val="231F1F"/>
        </w:rPr>
        <w:t>la</w:t>
      </w:r>
      <w:r>
        <w:rPr>
          <w:color w:val="231F1F"/>
          <w:spacing w:val="25"/>
        </w:rPr>
        <w:t> </w:t>
      </w:r>
      <w:r>
        <w:rPr>
          <w:color w:val="231F1F"/>
        </w:rPr>
        <w:t>fase</w:t>
      </w:r>
      <w:r>
        <w:rPr>
          <w:color w:val="231F1F"/>
          <w:spacing w:val="25"/>
        </w:rPr>
        <w:t> </w:t>
      </w:r>
      <w:r>
        <w:rPr>
          <w:color w:val="231F1F"/>
        </w:rPr>
        <w:t>activa</w:t>
      </w:r>
      <w:r>
        <w:rPr>
          <w:color w:val="231F1F"/>
          <w:spacing w:val="25"/>
        </w:rPr>
        <w:t> </w:t>
      </w:r>
      <w:r>
        <w:rPr>
          <w:color w:val="231F1F"/>
        </w:rPr>
        <w:t>de</w:t>
      </w:r>
      <w:r>
        <w:rPr>
          <w:color w:val="231F1F"/>
          <w:spacing w:val="25"/>
        </w:rPr>
        <w:t> </w:t>
      </w:r>
      <w:r>
        <w:rPr>
          <w:color w:val="231F1F"/>
        </w:rPr>
        <w:t>la</w:t>
      </w:r>
      <w:r>
        <w:rPr>
          <w:color w:val="231F1F"/>
          <w:spacing w:val="25"/>
        </w:rPr>
        <w:t> </w:t>
      </w:r>
      <w:r>
        <w:rPr>
          <w:color w:val="231F1F"/>
        </w:rPr>
        <w:t>primera</w:t>
      </w:r>
      <w:r>
        <w:rPr>
          <w:color w:val="231F1F"/>
          <w:spacing w:val="25"/>
        </w:rPr>
        <w:t> </w:t>
      </w:r>
      <w:r>
        <w:rPr>
          <w:color w:val="231F1F"/>
        </w:rPr>
        <w:t>etapa</w:t>
      </w:r>
      <w:r>
        <w:rPr>
          <w:color w:val="231F1F"/>
          <w:spacing w:val="25"/>
        </w:rPr>
        <w:t> </w:t>
      </w:r>
      <w:r>
        <w:rPr>
          <w:color w:val="231F1F"/>
        </w:rPr>
        <w:t>del</w:t>
      </w:r>
      <w:r>
        <w:rPr>
          <w:color w:val="231F1F"/>
          <w:spacing w:val="25"/>
        </w:rPr>
        <w:t> </w:t>
      </w:r>
      <w:r>
        <w:rPr>
          <w:color w:val="231F1F"/>
        </w:rPr>
        <w:t>parto</w:t>
      </w:r>
      <w:r>
        <w:rPr>
          <w:color w:val="231F1F"/>
          <w:spacing w:val="25"/>
        </w:rPr>
        <w:t> </w:t>
      </w:r>
      <w:r>
        <w:rPr>
          <w:color w:val="231F1F"/>
        </w:rPr>
        <w:t>y</w:t>
      </w:r>
      <w:r>
        <w:rPr>
          <w:color w:val="231F1F"/>
          <w:spacing w:val="25"/>
        </w:rPr>
        <w:t> </w:t>
      </w:r>
      <w:r>
        <w:rPr>
          <w:color w:val="231F1F"/>
        </w:rPr>
        <w:t>cada</w:t>
      </w:r>
      <w:r>
        <w:rPr>
          <w:color w:val="231F1F"/>
          <w:spacing w:val="25"/>
        </w:rPr>
        <w:t> </w:t>
      </w:r>
      <w:r>
        <w:rPr>
          <w:color w:val="231F1F"/>
        </w:rPr>
        <w:t>5-15</w:t>
      </w:r>
      <w:r>
        <w:rPr>
          <w:color w:val="231F1F"/>
          <w:spacing w:val="25"/>
        </w:rPr>
        <w:t> </w:t>
      </w:r>
      <w:r>
        <w:rPr>
          <w:color w:val="231F1F"/>
        </w:rPr>
        <w:t>minutos en</w:t>
      </w:r>
      <w:r>
        <w:rPr>
          <w:color w:val="231F1F"/>
          <w:spacing w:val="40"/>
        </w:rPr>
        <w:t> </w:t>
      </w:r>
      <w:r>
        <w:rPr>
          <w:color w:val="231F1F"/>
        </w:rPr>
        <w:t>la</w:t>
      </w:r>
      <w:r>
        <w:rPr>
          <w:color w:val="231F1F"/>
          <w:spacing w:val="40"/>
        </w:rPr>
        <w:t> </w:t>
      </w:r>
      <w:r>
        <w:rPr>
          <w:color w:val="231F1F"/>
        </w:rPr>
        <w:t>segunda</w:t>
      </w:r>
      <w:r>
        <w:rPr>
          <w:color w:val="231F1F"/>
          <w:spacing w:val="40"/>
        </w:rPr>
        <w:t> </w:t>
      </w:r>
      <w:r>
        <w:rPr>
          <w:color w:val="231F1F"/>
        </w:rPr>
        <w:t>etapa</w:t>
      </w:r>
      <w:r>
        <w:rPr>
          <w:color w:val="231F1F"/>
          <w:spacing w:val="40"/>
        </w:rPr>
        <w:t> </w:t>
      </w:r>
      <w:r>
        <w:rPr>
          <w:color w:val="231F1F"/>
        </w:rPr>
        <w:t>del</w:t>
      </w:r>
      <w:r>
        <w:rPr>
          <w:color w:val="231F1F"/>
          <w:spacing w:val="40"/>
        </w:rPr>
        <w:t> </w:t>
      </w:r>
      <w:r>
        <w:rPr>
          <w:color w:val="231F1F"/>
        </w:rPr>
        <w:t>parto.</w:t>
      </w:r>
    </w:p>
    <w:p>
      <w:pPr>
        <w:pStyle w:val="BodyText"/>
        <w:spacing w:line="244" w:lineRule="auto" w:before="122"/>
        <w:ind w:left="283" w:right="121" w:firstLine="453"/>
        <w:jc w:val="both"/>
      </w:pPr>
      <w:r>
        <w:rPr>
          <w:b/>
          <w:color w:val="231F1F"/>
          <w:w w:val="105"/>
        </w:rPr>
        <w:t>Bebidas</w:t>
      </w:r>
      <w:r>
        <w:rPr>
          <w:b/>
          <w:color w:val="231F1F"/>
          <w:spacing w:val="-3"/>
          <w:w w:val="105"/>
        </w:rPr>
        <w:t> </w:t>
      </w:r>
      <w:r>
        <w:rPr>
          <w:b/>
          <w:color w:val="231F1F"/>
          <w:w w:val="105"/>
        </w:rPr>
        <w:t>isotónicas</w:t>
      </w:r>
      <w:r>
        <w:rPr>
          <w:color w:val="231F1F"/>
          <w:w w:val="105"/>
        </w:rPr>
        <w:t>:</w:t>
      </w:r>
      <w:r>
        <w:rPr>
          <w:color w:val="231F1F"/>
          <w:spacing w:val="-3"/>
          <w:w w:val="105"/>
        </w:rPr>
        <w:t> </w:t>
      </w:r>
      <w:r>
        <w:rPr>
          <w:color w:val="231F1F"/>
          <w:w w:val="105"/>
        </w:rPr>
        <w:t>Bebidas</w:t>
      </w:r>
      <w:r>
        <w:rPr>
          <w:color w:val="231F1F"/>
          <w:spacing w:val="-3"/>
          <w:w w:val="105"/>
        </w:rPr>
        <w:t> </w:t>
      </w:r>
      <w:r>
        <w:rPr>
          <w:color w:val="231F1F"/>
          <w:w w:val="105"/>
        </w:rPr>
        <w:t>con</w:t>
      </w:r>
      <w:r>
        <w:rPr>
          <w:color w:val="231F1F"/>
          <w:spacing w:val="-3"/>
          <w:w w:val="105"/>
        </w:rPr>
        <w:t> </w:t>
      </w:r>
      <w:r>
        <w:rPr>
          <w:color w:val="231F1F"/>
          <w:w w:val="105"/>
        </w:rPr>
        <w:t>gran</w:t>
      </w:r>
      <w:r>
        <w:rPr>
          <w:color w:val="231F1F"/>
          <w:spacing w:val="-3"/>
          <w:w w:val="105"/>
        </w:rPr>
        <w:t> </w:t>
      </w:r>
      <w:r>
        <w:rPr>
          <w:color w:val="231F1F"/>
          <w:w w:val="105"/>
        </w:rPr>
        <w:t>capacidad</w:t>
      </w:r>
      <w:r>
        <w:rPr>
          <w:color w:val="231F1F"/>
          <w:spacing w:val="-3"/>
          <w:w w:val="105"/>
        </w:rPr>
        <w:t> </w:t>
      </w:r>
      <w:r>
        <w:rPr>
          <w:color w:val="231F1F"/>
          <w:w w:val="105"/>
        </w:rPr>
        <w:t>de</w:t>
      </w:r>
      <w:r>
        <w:rPr>
          <w:color w:val="231F1F"/>
          <w:spacing w:val="-3"/>
          <w:w w:val="105"/>
        </w:rPr>
        <w:t> </w:t>
      </w:r>
      <w:r>
        <w:rPr>
          <w:color w:val="231F1F"/>
          <w:w w:val="105"/>
        </w:rPr>
        <w:t>rehidratación.</w:t>
      </w:r>
      <w:r>
        <w:rPr>
          <w:color w:val="231F1F"/>
          <w:spacing w:val="-2"/>
          <w:w w:val="105"/>
        </w:rPr>
        <w:t> </w:t>
      </w:r>
      <w:r>
        <w:rPr>
          <w:color w:val="231F1F"/>
          <w:w w:val="105"/>
        </w:rPr>
        <w:t>Incluyen</w:t>
      </w:r>
      <w:r>
        <w:rPr>
          <w:color w:val="231F1F"/>
          <w:spacing w:val="-2"/>
          <w:w w:val="105"/>
        </w:rPr>
        <w:t> </w:t>
      </w:r>
      <w:r>
        <w:rPr>
          <w:color w:val="231F1F"/>
          <w:w w:val="105"/>
        </w:rPr>
        <w:t>en</w:t>
      </w:r>
      <w:r>
        <w:rPr>
          <w:color w:val="231F1F"/>
          <w:spacing w:val="-3"/>
          <w:w w:val="105"/>
        </w:rPr>
        <w:t> </w:t>
      </w:r>
      <w:r>
        <w:rPr>
          <w:color w:val="231F1F"/>
          <w:w w:val="105"/>
        </w:rPr>
        <w:t>su</w:t>
      </w:r>
      <w:r>
        <w:rPr>
          <w:color w:val="231F1F"/>
          <w:spacing w:val="-3"/>
          <w:w w:val="105"/>
        </w:rPr>
        <w:t> </w:t>
      </w:r>
      <w:r>
        <w:rPr>
          <w:color w:val="231F1F"/>
          <w:w w:val="105"/>
        </w:rPr>
        <w:t>com- posición</w:t>
      </w:r>
      <w:r>
        <w:rPr>
          <w:color w:val="231F1F"/>
          <w:w w:val="105"/>
        </w:rPr>
        <w:t> bajas</w:t>
      </w:r>
      <w:r>
        <w:rPr>
          <w:color w:val="231F1F"/>
          <w:w w:val="105"/>
        </w:rPr>
        <w:t> dosis</w:t>
      </w:r>
      <w:r>
        <w:rPr>
          <w:color w:val="231F1F"/>
          <w:w w:val="105"/>
        </w:rPr>
        <w:t> de</w:t>
      </w:r>
      <w:r>
        <w:rPr>
          <w:color w:val="231F1F"/>
          <w:w w:val="105"/>
        </w:rPr>
        <w:t> sodio,</w:t>
      </w:r>
      <w:r>
        <w:rPr>
          <w:color w:val="231F1F"/>
          <w:w w:val="105"/>
        </w:rPr>
        <w:t> normalmente</w:t>
      </w:r>
      <w:r>
        <w:rPr>
          <w:color w:val="231F1F"/>
          <w:w w:val="105"/>
        </w:rPr>
        <w:t> en</w:t>
      </w:r>
      <w:r>
        <w:rPr>
          <w:color w:val="231F1F"/>
          <w:w w:val="105"/>
        </w:rPr>
        <w:t> forma</w:t>
      </w:r>
      <w:r>
        <w:rPr>
          <w:color w:val="231F1F"/>
          <w:w w:val="105"/>
        </w:rPr>
        <w:t> de</w:t>
      </w:r>
      <w:r>
        <w:rPr>
          <w:color w:val="231F1F"/>
          <w:w w:val="105"/>
        </w:rPr>
        <w:t> cloruro</w:t>
      </w:r>
      <w:r>
        <w:rPr>
          <w:color w:val="231F1F"/>
          <w:w w:val="105"/>
        </w:rPr>
        <w:t> de</w:t>
      </w:r>
      <w:r>
        <w:rPr>
          <w:color w:val="231F1F"/>
          <w:w w:val="105"/>
        </w:rPr>
        <w:t> sodio</w:t>
      </w:r>
      <w:r>
        <w:rPr>
          <w:color w:val="231F1F"/>
          <w:w w:val="105"/>
        </w:rPr>
        <w:t> o</w:t>
      </w:r>
      <w:r>
        <w:rPr>
          <w:color w:val="231F1F"/>
          <w:w w:val="105"/>
        </w:rPr>
        <w:t> bicarbonato sódico,</w:t>
      </w:r>
      <w:r>
        <w:rPr>
          <w:color w:val="231F1F"/>
          <w:spacing w:val="40"/>
          <w:w w:val="105"/>
        </w:rPr>
        <w:t> </w:t>
      </w:r>
      <w:r>
        <w:rPr>
          <w:color w:val="231F1F"/>
          <w:w w:val="105"/>
        </w:rPr>
        <w:t>azúcar</w:t>
      </w:r>
      <w:r>
        <w:rPr>
          <w:color w:val="231F1F"/>
          <w:spacing w:val="40"/>
          <w:w w:val="105"/>
        </w:rPr>
        <w:t> </w:t>
      </w:r>
      <w:r>
        <w:rPr>
          <w:color w:val="231F1F"/>
          <w:w w:val="105"/>
        </w:rPr>
        <w:t>o</w:t>
      </w:r>
      <w:r>
        <w:rPr>
          <w:color w:val="231F1F"/>
          <w:spacing w:val="40"/>
          <w:w w:val="105"/>
        </w:rPr>
        <w:t> </w:t>
      </w:r>
      <w:r>
        <w:rPr>
          <w:color w:val="231F1F"/>
          <w:w w:val="105"/>
        </w:rPr>
        <w:t>glucosa</w:t>
      </w:r>
      <w:r>
        <w:rPr>
          <w:color w:val="231F1F"/>
          <w:spacing w:val="40"/>
          <w:w w:val="105"/>
        </w:rPr>
        <w:t> </w:t>
      </w:r>
      <w:r>
        <w:rPr>
          <w:color w:val="231F1F"/>
          <w:w w:val="105"/>
        </w:rPr>
        <w:t>y,</w:t>
      </w:r>
      <w:r>
        <w:rPr>
          <w:color w:val="231F1F"/>
          <w:spacing w:val="40"/>
          <w:w w:val="105"/>
        </w:rPr>
        <w:t> </w:t>
      </w:r>
      <w:r>
        <w:rPr>
          <w:color w:val="231F1F"/>
          <w:w w:val="105"/>
        </w:rPr>
        <w:t>habitualmente,</w:t>
      </w:r>
      <w:r>
        <w:rPr>
          <w:color w:val="231F1F"/>
          <w:spacing w:val="40"/>
          <w:w w:val="105"/>
        </w:rPr>
        <w:t> </w:t>
      </w:r>
      <w:r>
        <w:rPr>
          <w:color w:val="231F1F"/>
          <w:w w:val="105"/>
        </w:rPr>
        <w:t>potasio</w:t>
      </w:r>
      <w:r>
        <w:rPr>
          <w:color w:val="231F1F"/>
          <w:spacing w:val="40"/>
          <w:w w:val="105"/>
        </w:rPr>
        <w:t> </w:t>
      </w:r>
      <w:r>
        <w:rPr>
          <w:color w:val="231F1F"/>
          <w:w w:val="105"/>
        </w:rPr>
        <w:t>y</w:t>
      </w:r>
      <w:r>
        <w:rPr>
          <w:color w:val="231F1F"/>
          <w:spacing w:val="40"/>
          <w:w w:val="105"/>
        </w:rPr>
        <w:t> </w:t>
      </w:r>
      <w:r>
        <w:rPr>
          <w:color w:val="231F1F"/>
          <w:w w:val="105"/>
        </w:rPr>
        <w:t>otros</w:t>
      </w:r>
      <w:r>
        <w:rPr>
          <w:color w:val="231F1F"/>
          <w:spacing w:val="40"/>
          <w:w w:val="105"/>
        </w:rPr>
        <w:t> </w:t>
      </w:r>
      <w:r>
        <w:rPr>
          <w:color w:val="231F1F"/>
          <w:w w:val="105"/>
        </w:rPr>
        <w:t>minerales.</w:t>
      </w:r>
    </w:p>
    <w:p>
      <w:pPr>
        <w:spacing w:before="128"/>
        <w:ind w:left="736" w:right="0" w:firstLine="0"/>
        <w:jc w:val="both"/>
        <w:rPr>
          <w:sz w:val="22"/>
        </w:rPr>
      </w:pPr>
      <w:r>
        <w:rPr>
          <w:b/>
          <w:color w:val="231F1F"/>
          <w:sz w:val="22"/>
        </w:rPr>
        <w:t>Bradicardia</w:t>
      </w:r>
      <w:r>
        <w:rPr>
          <w:b/>
          <w:color w:val="231F1F"/>
          <w:spacing w:val="12"/>
          <w:sz w:val="22"/>
        </w:rPr>
        <w:t> </w:t>
      </w:r>
      <w:r>
        <w:rPr>
          <w:b/>
          <w:color w:val="231F1F"/>
          <w:sz w:val="22"/>
        </w:rPr>
        <w:t>neonatal:</w:t>
      </w:r>
      <w:r>
        <w:rPr>
          <w:b/>
          <w:color w:val="231F1F"/>
          <w:spacing w:val="12"/>
          <w:sz w:val="22"/>
        </w:rPr>
        <w:t> </w:t>
      </w:r>
      <w:r>
        <w:rPr>
          <w:color w:val="231F1F"/>
          <w:sz w:val="22"/>
        </w:rPr>
        <w:t>Frecuencia</w:t>
      </w:r>
      <w:r>
        <w:rPr>
          <w:color w:val="231F1F"/>
          <w:spacing w:val="12"/>
          <w:sz w:val="22"/>
        </w:rPr>
        <w:t> </w:t>
      </w:r>
      <w:r>
        <w:rPr>
          <w:color w:val="231F1F"/>
          <w:sz w:val="22"/>
        </w:rPr>
        <w:t>cardiaca</w:t>
      </w:r>
      <w:r>
        <w:rPr>
          <w:color w:val="231F1F"/>
          <w:spacing w:val="15"/>
          <w:sz w:val="22"/>
        </w:rPr>
        <w:t> </w:t>
      </w:r>
      <w:r>
        <w:rPr>
          <w:color w:val="231F1F"/>
          <w:sz w:val="22"/>
        </w:rPr>
        <w:t>menor</w:t>
      </w:r>
      <w:r>
        <w:rPr>
          <w:color w:val="231F1F"/>
          <w:spacing w:val="12"/>
          <w:sz w:val="22"/>
        </w:rPr>
        <w:t> </w:t>
      </w:r>
      <w:r>
        <w:rPr>
          <w:color w:val="231F1F"/>
          <w:sz w:val="22"/>
        </w:rPr>
        <w:t>de</w:t>
      </w:r>
      <w:r>
        <w:rPr>
          <w:color w:val="231F1F"/>
          <w:spacing w:val="15"/>
          <w:sz w:val="22"/>
        </w:rPr>
        <w:t> </w:t>
      </w:r>
      <w:r>
        <w:rPr>
          <w:color w:val="231F1F"/>
          <w:sz w:val="22"/>
        </w:rPr>
        <w:t>100</w:t>
      </w:r>
      <w:r>
        <w:rPr>
          <w:color w:val="231F1F"/>
          <w:spacing w:val="15"/>
          <w:sz w:val="22"/>
        </w:rPr>
        <w:t> </w:t>
      </w:r>
      <w:r>
        <w:rPr>
          <w:color w:val="231F1F"/>
          <w:spacing w:val="-4"/>
          <w:sz w:val="22"/>
        </w:rPr>
        <w:t>lpm.</w:t>
      </w:r>
    </w:p>
    <w:p>
      <w:pPr>
        <w:pStyle w:val="BodyText"/>
        <w:spacing w:line="244" w:lineRule="auto" w:before="136"/>
        <w:ind w:left="283" w:right="124" w:firstLine="453"/>
        <w:jc w:val="both"/>
      </w:pPr>
      <w:r>
        <w:rPr>
          <w:b/>
          <w:color w:val="231F1F"/>
          <w:spacing w:val="-2"/>
          <w:w w:val="110"/>
        </w:rPr>
        <w:t>Cardiotocografía:</w:t>
      </w:r>
      <w:r>
        <w:rPr>
          <w:b/>
          <w:color w:val="231F1F"/>
          <w:spacing w:val="-5"/>
          <w:w w:val="110"/>
        </w:rPr>
        <w:t> </w:t>
      </w:r>
      <w:r>
        <w:rPr>
          <w:color w:val="231F1F"/>
          <w:spacing w:val="-2"/>
          <w:w w:val="110"/>
        </w:rPr>
        <w:t>La</w:t>
      </w:r>
      <w:r>
        <w:rPr>
          <w:color w:val="231F1F"/>
          <w:spacing w:val="-4"/>
          <w:w w:val="110"/>
        </w:rPr>
        <w:t> </w:t>
      </w:r>
      <w:r>
        <w:rPr>
          <w:color w:val="231F1F"/>
          <w:spacing w:val="-2"/>
          <w:w w:val="110"/>
        </w:rPr>
        <w:t>cardiotocografía</w:t>
      </w:r>
      <w:r>
        <w:rPr>
          <w:color w:val="231F1F"/>
          <w:spacing w:val="-4"/>
          <w:w w:val="110"/>
        </w:rPr>
        <w:t> </w:t>
      </w:r>
      <w:r>
        <w:rPr>
          <w:color w:val="231F1F"/>
          <w:spacing w:val="-2"/>
          <w:w w:val="110"/>
        </w:rPr>
        <w:t>es</w:t>
      </w:r>
      <w:r>
        <w:rPr>
          <w:color w:val="231F1F"/>
          <w:spacing w:val="-5"/>
          <w:w w:val="110"/>
        </w:rPr>
        <w:t> </w:t>
      </w:r>
      <w:r>
        <w:rPr>
          <w:color w:val="231F1F"/>
          <w:spacing w:val="-2"/>
          <w:w w:val="110"/>
        </w:rPr>
        <w:t>una</w:t>
      </w:r>
      <w:r>
        <w:rPr>
          <w:color w:val="231F1F"/>
          <w:spacing w:val="-5"/>
          <w:w w:val="110"/>
        </w:rPr>
        <w:t> </w:t>
      </w:r>
      <w:r>
        <w:rPr>
          <w:color w:val="231F1F"/>
          <w:spacing w:val="-2"/>
          <w:w w:val="110"/>
        </w:rPr>
        <w:t>forma</w:t>
      </w:r>
      <w:r>
        <w:rPr>
          <w:color w:val="231F1F"/>
          <w:spacing w:val="-4"/>
          <w:w w:val="110"/>
        </w:rPr>
        <w:t> </w:t>
      </w:r>
      <w:r>
        <w:rPr>
          <w:color w:val="231F1F"/>
          <w:spacing w:val="-2"/>
          <w:w w:val="110"/>
        </w:rPr>
        <w:t>de</w:t>
      </w:r>
      <w:r>
        <w:rPr>
          <w:color w:val="231F1F"/>
          <w:spacing w:val="-4"/>
          <w:w w:val="110"/>
        </w:rPr>
        <w:t> </w:t>
      </w:r>
      <w:r>
        <w:rPr>
          <w:color w:val="231F1F"/>
          <w:spacing w:val="-2"/>
          <w:w w:val="110"/>
        </w:rPr>
        <w:t>evaluación</w:t>
      </w:r>
      <w:r>
        <w:rPr>
          <w:color w:val="231F1F"/>
          <w:spacing w:val="-4"/>
          <w:w w:val="110"/>
        </w:rPr>
        <w:t> </w:t>
      </w:r>
      <w:r>
        <w:rPr>
          <w:color w:val="231F1F"/>
          <w:spacing w:val="-2"/>
          <w:w w:val="110"/>
        </w:rPr>
        <w:t>fetal</w:t>
      </w:r>
      <w:r>
        <w:rPr>
          <w:color w:val="231F1F"/>
          <w:spacing w:val="-5"/>
          <w:w w:val="110"/>
        </w:rPr>
        <w:t> </w:t>
      </w:r>
      <w:r>
        <w:rPr>
          <w:color w:val="231F1F"/>
          <w:spacing w:val="-2"/>
          <w:w w:val="110"/>
        </w:rPr>
        <w:t>que</w:t>
      </w:r>
      <w:r>
        <w:rPr>
          <w:color w:val="231F1F"/>
          <w:spacing w:val="-4"/>
          <w:w w:val="110"/>
        </w:rPr>
        <w:t> </w:t>
      </w:r>
      <w:r>
        <w:rPr>
          <w:color w:val="231F1F"/>
          <w:spacing w:val="-2"/>
          <w:w w:val="110"/>
        </w:rPr>
        <w:t>registra </w:t>
      </w:r>
      <w:r>
        <w:rPr>
          <w:color w:val="231F1F"/>
          <w:w w:val="110"/>
        </w:rPr>
        <w:t>simultáneamente</w:t>
      </w:r>
      <w:r>
        <w:rPr>
          <w:color w:val="231F1F"/>
          <w:spacing w:val="-15"/>
          <w:w w:val="110"/>
        </w:rPr>
        <w:t> </w:t>
      </w:r>
      <w:r>
        <w:rPr>
          <w:color w:val="231F1F"/>
          <w:w w:val="110"/>
        </w:rPr>
        <w:t>la</w:t>
      </w:r>
      <w:r>
        <w:rPr>
          <w:color w:val="231F1F"/>
          <w:spacing w:val="-15"/>
          <w:w w:val="110"/>
        </w:rPr>
        <w:t> </w:t>
      </w:r>
      <w:r>
        <w:rPr>
          <w:color w:val="231F1F"/>
          <w:w w:val="110"/>
        </w:rPr>
        <w:t>frecuencia</w:t>
      </w:r>
      <w:r>
        <w:rPr>
          <w:color w:val="231F1F"/>
          <w:spacing w:val="-15"/>
          <w:w w:val="110"/>
        </w:rPr>
        <w:t> </w:t>
      </w:r>
      <w:r>
        <w:rPr>
          <w:color w:val="231F1F"/>
          <w:w w:val="110"/>
        </w:rPr>
        <w:t>cardíaca</w:t>
      </w:r>
      <w:r>
        <w:rPr>
          <w:color w:val="231F1F"/>
          <w:spacing w:val="-15"/>
          <w:w w:val="110"/>
        </w:rPr>
        <w:t> </w:t>
      </w:r>
      <w:r>
        <w:rPr>
          <w:color w:val="231F1F"/>
          <w:w w:val="110"/>
        </w:rPr>
        <w:t>fetal,</w:t>
      </w:r>
      <w:r>
        <w:rPr>
          <w:color w:val="231F1F"/>
          <w:spacing w:val="-15"/>
          <w:w w:val="110"/>
        </w:rPr>
        <w:t> </w:t>
      </w:r>
      <w:r>
        <w:rPr>
          <w:color w:val="231F1F"/>
          <w:w w:val="110"/>
        </w:rPr>
        <w:t>los</w:t>
      </w:r>
      <w:r>
        <w:rPr>
          <w:color w:val="231F1F"/>
          <w:spacing w:val="-15"/>
          <w:w w:val="110"/>
        </w:rPr>
        <w:t> </w:t>
      </w:r>
      <w:r>
        <w:rPr>
          <w:color w:val="231F1F"/>
          <w:w w:val="110"/>
        </w:rPr>
        <w:t>movimientos</w:t>
      </w:r>
      <w:r>
        <w:rPr>
          <w:color w:val="231F1F"/>
          <w:spacing w:val="-15"/>
          <w:w w:val="110"/>
        </w:rPr>
        <w:t> </w:t>
      </w:r>
      <w:r>
        <w:rPr>
          <w:color w:val="231F1F"/>
          <w:w w:val="110"/>
        </w:rPr>
        <w:t>fetales</w:t>
      </w:r>
      <w:r>
        <w:rPr>
          <w:color w:val="231F1F"/>
          <w:spacing w:val="-15"/>
          <w:w w:val="110"/>
        </w:rPr>
        <w:t> </w:t>
      </w:r>
      <w:r>
        <w:rPr>
          <w:color w:val="231F1F"/>
          <w:w w:val="110"/>
        </w:rPr>
        <w:t>y</w:t>
      </w:r>
      <w:r>
        <w:rPr>
          <w:color w:val="231F1F"/>
          <w:spacing w:val="-15"/>
          <w:w w:val="110"/>
        </w:rPr>
        <w:t> </w:t>
      </w:r>
      <w:r>
        <w:rPr>
          <w:color w:val="231F1F"/>
          <w:w w:val="110"/>
        </w:rPr>
        <w:t>las</w:t>
      </w:r>
      <w:r>
        <w:rPr>
          <w:color w:val="231F1F"/>
          <w:spacing w:val="-15"/>
          <w:w w:val="110"/>
        </w:rPr>
        <w:t> </w:t>
      </w:r>
      <w:r>
        <w:rPr>
          <w:color w:val="231F1F"/>
          <w:w w:val="110"/>
        </w:rPr>
        <w:t>contracciones uterinas.</w:t>
      </w:r>
      <w:r>
        <w:rPr>
          <w:color w:val="231F1F"/>
          <w:spacing w:val="-7"/>
          <w:w w:val="110"/>
        </w:rPr>
        <w:t> </w:t>
      </w:r>
      <w:r>
        <w:rPr>
          <w:color w:val="231F1F"/>
          <w:w w:val="110"/>
        </w:rPr>
        <w:t>El</w:t>
      </w:r>
      <w:r>
        <w:rPr>
          <w:color w:val="231F1F"/>
          <w:spacing w:val="-7"/>
          <w:w w:val="110"/>
        </w:rPr>
        <w:t> </w:t>
      </w:r>
      <w:r>
        <w:rPr>
          <w:color w:val="231F1F"/>
          <w:w w:val="110"/>
        </w:rPr>
        <w:t>procedimiento</w:t>
      </w:r>
      <w:r>
        <w:rPr>
          <w:color w:val="231F1F"/>
          <w:spacing w:val="-7"/>
          <w:w w:val="110"/>
        </w:rPr>
        <w:t> </w:t>
      </w:r>
      <w:r>
        <w:rPr>
          <w:color w:val="231F1F"/>
          <w:w w:val="110"/>
        </w:rPr>
        <w:t>se</w:t>
      </w:r>
      <w:r>
        <w:rPr>
          <w:color w:val="231F1F"/>
          <w:spacing w:val="-7"/>
          <w:w w:val="110"/>
        </w:rPr>
        <w:t> </w:t>
      </w:r>
      <w:r>
        <w:rPr>
          <w:color w:val="231F1F"/>
          <w:w w:val="110"/>
        </w:rPr>
        <w:t>puede</w:t>
      </w:r>
      <w:r>
        <w:rPr>
          <w:color w:val="231F1F"/>
          <w:spacing w:val="-7"/>
          <w:w w:val="110"/>
        </w:rPr>
        <w:t> </w:t>
      </w:r>
      <w:r>
        <w:rPr>
          <w:color w:val="231F1F"/>
          <w:w w:val="110"/>
        </w:rPr>
        <w:t>hacer</w:t>
      </w:r>
      <w:r>
        <w:rPr>
          <w:color w:val="231F1F"/>
          <w:spacing w:val="-7"/>
          <w:w w:val="110"/>
        </w:rPr>
        <w:t> </w:t>
      </w:r>
      <w:r>
        <w:rPr>
          <w:color w:val="231F1F"/>
          <w:w w:val="110"/>
        </w:rPr>
        <w:t>a</w:t>
      </w:r>
      <w:r>
        <w:rPr>
          <w:color w:val="231F1F"/>
          <w:spacing w:val="-7"/>
          <w:w w:val="110"/>
        </w:rPr>
        <w:t> </w:t>
      </w:r>
      <w:r>
        <w:rPr>
          <w:color w:val="231F1F"/>
          <w:w w:val="110"/>
        </w:rPr>
        <w:t>través</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piel</w:t>
      </w:r>
      <w:r>
        <w:rPr>
          <w:color w:val="231F1F"/>
          <w:spacing w:val="-7"/>
          <w:w w:val="110"/>
        </w:rPr>
        <w:t> </w:t>
      </w:r>
      <w:r>
        <w:rPr>
          <w:color w:val="231F1F"/>
          <w:w w:val="110"/>
        </w:rPr>
        <w:t>(cardiotocografía</w:t>
      </w:r>
      <w:r>
        <w:rPr>
          <w:color w:val="231F1F"/>
          <w:spacing w:val="-6"/>
          <w:w w:val="110"/>
        </w:rPr>
        <w:t> </w:t>
      </w:r>
      <w:r>
        <w:rPr>
          <w:color w:val="231F1F"/>
          <w:w w:val="110"/>
        </w:rPr>
        <w:t>externa)</w:t>
      </w:r>
      <w:r>
        <w:rPr>
          <w:color w:val="231F1F"/>
          <w:spacing w:val="-7"/>
          <w:w w:val="110"/>
        </w:rPr>
        <w:t> </w:t>
      </w:r>
      <w:r>
        <w:rPr>
          <w:color w:val="231F1F"/>
          <w:w w:val="110"/>
        </w:rPr>
        <w:t>o mediante la colocación de un electrodo directamente sobre el cuero cabelludo del feto a través del cuello uterino (cardiotocografía interna).</w:t>
      </w:r>
    </w:p>
    <w:p>
      <w:pPr>
        <w:pStyle w:val="BodyText"/>
        <w:spacing w:line="244" w:lineRule="auto" w:before="121"/>
        <w:ind w:left="283" w:right="126" w:firstLine="453"/>
        <w:jc w:val="both"/>
      </w:pPr>
      <w:r>
        <w:rPr>
          <w:b/>
          <w:color w:val="231F1F"/>
          <w:w w:val="105"/>
        </w:rPr>
        <w:t>Categorización:</w:t>
      </w:r>
      <w:r>
        <w:rPr>
          <w:b/>
          <w:color w:val="231F1F"/>
          <w:spacing w:val="-9"/>
          <w:w w:val="105"/>
        </w:rPr>
        <w:t> </w:t>
      </w:r>
      <w:r>
        <w:rPr>
          <w:color w:val="231F1F"/>
          <w:w w:val="105"/>
        </w:rPr>
        <w:t>Procedimiento</w:t>
      </w:r>
      <w:r>
        <w:rPr>
          <w:color w:val="231F1F"/>
          <w:spacing w:val="-10"/>
          <w:w w:val="105"/>
        </w:rPr>
        <w:t> </w:t>
      </w:r>
      <w:r>
        <w:rPr>
          <w:color w:val="231F1F"/>
          <w:w w:val="105"/>
        </w:rPr>
        <w:t>de</w:t>
      </w:r>
      <w:r>
        <w:rPr>
          <w:color w:val="231F1F"/>
          <w:spacing w:val="-10"/>
          <w:w w:val="105"/>
        </w:rPr>
        <w:t> </w:t>
      </w:r>
      <w:r>
        <w:rPr>
          <w:color w:val="231F1F"/>
          <w:w w:val="105"/>
        </w:rPr>
        <w:t>clasificación</w:t>
      </w:r>
      <w:r>
        <w:rPr>
          <w:color w:val="231F1F"/>
          <w:spacing w:val="-9"/>
          <w:w w:val="105"/>
        </w:rPr>
        <w:t> </w:t>
      </w:r>
      <w:r>
        <w:rPr>
          <w:color w:val="231F1F"/>
          <w:w w:val="105"/>
        </w:rPr>
        <w:t>de</w:t>
      </w:r>
      <w:r>
        <w:rPr>
          <w:color w:val="231F1F"/>
          <w:spacing w:val="-10"/>
          <w:w w:val="105"/>
        </w:rPr>
        <w:t> </w:t>
      </w:r>
      <w:r>
        <w:rPr>
          <w:color w:val="231F1F"/>
          <w:w w:val="105"/>
        </w:rPr>
        <w:t>los</w:t>
      </w:r>
      <w:r>
        <w:rPr>
          <w:color w:val="231F1F"/>
          <w:spacing w:val="-10"/>
          <w:w w:val="105"/>
        </w:rPr>
        <w:t> </w:t>
      </w:r>
      <w:r>
        <w:rPr>
          <w:color w:val="231F1F"/>
          <w:w w:val="105"/>
        </w:rPr>
        <w:t>registros</w:t>
      </w:r>
      <w:r>
        <w:rPr>
          <w:color w:val="231F1F"/>
          <w:spacing w:val="-9"/>
          <w:w w:val="105"/>
        </w:rPr>
        <w:t> </w:t>
      </w:r>
      <w:r>
        <w:rPr>
          <w:color w:val="231F1F"/>
          <w:w w:val="105"/>
        </w:rPr>
        <w:t>cardiotocográficos</w:t>
      </w:r>
      <w:r>
        <w:rPr>
          <w:color w:val="231F1F"/>
          <w:spacing w:val="-9"/>
          <w:w w:val="105"/>
        </w:rPr>
        <w:t> </w:t>
      </w:r>
      <w:r>
        <w:rPr>
          <w:color w:val="231F1F"/>
          <w:w w:val="105"/>
        </w:rPr>
        <w:t>que permiten establecer categorías de riesgo de bienestar fetal.</w:t>
      </w:r>
    </w:p>
    <w:p>
      <w:pPr>
        <w:pStyle w:val="BodyText"/>
        <w:spacing w:line="244" w:lineRule="auto" w:before="146"/>
        <w:ind w:left="283" w:right="123" w:firstLine="453"/>
        <w:jc w:val="both"/>
      </w:pPr>
      <w:r>
        <w:rPr>
          <w:b/>
          <w:color w:val="231F1F"/>
          <w:w w:val="110"/>
        </w:rPr>
        <w:t>Cetosis</w:t>
      </w:r>
      <w:r>
        <w:rPr>
          <w:color w:val="231F1F"/>
          <w:w w:val="110"/>
        </w:rPr>
        <w:t>:</w:t>
      </w:r>
      <w:r>
        <w:rPr>
          <w:color w:val="231F1F"/>
          <w:spacing w:val="-12"/>
          <w:w w:val="110"/>
        </w:rPr>
        <w:t> </w:t>
      </w:r>
      <w:r>
        <w:rPr>
          <w:color w:val="231F1F"/>
          <w:w w:val="110"/>
        </w:rPr>
        <w:t>Situación</w:t>
      </w:r>
      <w:r>
        <w:rPr>
          <w:color w:val="231F1F"/>
          <w:spacing w:val="-12"/>
          <w:w w:val="110"/>
        </w:rPr>
        <w:t> </w:t>
      </w:r>
      <w:r>
        <w:rPr>
          <w:color w:val="231F1F"/>
          <w:w w:val="110"/>
        </w:rPr>
        <w:t>metabólica</w:t>
      </w:r>
      <w:r>
        <w:rPr>
          <w:color w:val="231F1F"/>
          <w:spacing w:val="-11"/>
          <w:w w:val="110"/>
        </w:rPr>
        <w:t> </w:t>
      </w:r>
      <w:r>
        <w:rPr>
          <w:color w:val="231F1F"/>
          <w:w w:val="110"/>
        </w:rPr>
        <w:t>del</w:t>
      </w:r>
      <w:r>
        <w:rPr>
          <w:color w:val="231F1F"/>
          <w:spacing w:val="-12"/>
          <w:w w:val="110"/>
        </w:rPr>
        <w:t> </w:t>
      </w:r>
      <w:r>
        <w:rPr>
          <w:color w:val="231F1F"/>
          <w:w w:val="110"/>
        </w:rPr>
        <w:t>organismo</w:t>
      </w:r>
      <w:r>
        <w:rPr>
          <w:color w:val="231F1F"/>
          <w:spacing w:val="-11"/>
          <w:w w:val="110"/>
        </w:rPr>
        <w:t> </w:t>
      </w:r>
      <w:r>
        <w:rPr>
          <w:color w:val="231F1F"/>
          <w:w w:val="110"/>
        </w:rPr>
        <w:t>originada</w:t>
      </w:r>
      <w:r>
        <w:rPr>
          <w:color w:val="231F1F"/>
          <w:spacing w:val="-11"/>
          <w:w w:val="110"/>
        </w:rPr>
        <w:t> </w:t>
      </w:r>
      <w:r>
        <w:rPr>
          <w:color w:val="231F1F"/>
          <w:w w:val="110"/>
        </w:rPr>
        <w:t>por</w:t>
      </w:r>
      <w:r>
        <w:rPr>
          <w:color w:val="231F1F"/>
          <w:spacing w:val="-11"/>
          <w:w w:val="110"/>
        </w:rPr>
        <w:t> </w:t>
      </w:r>
      <w:r>
        <w:rPr>
          <w:color w:val="231F1F"/>
          <w:w w:val="110"/>
        </w:rPr>
        <w:t>un</w:t>
      </w:r>
      <w:r>
        <w:rPr>
          <w:color w:val="231F1F"/>
          <w:spacing w:val="-11"/>
          <w:w w:val="110"/>
        </w:rPr>
        <w:t> </w:t>
      </w:r>
      <w:r>
        <w:rPr>
          <w:color w:val="231F1F"/>
          <w:w w:val="110"/>
        </w:rPr>
        <w:t>déficit</w:t>
      </w:r>
      <w:r>
        <w:rPr>
          <w:color w:val="231F1F"/>
          <w:spacing w:val="-12"/>
          <w:w w:val="110"/>
        </w:rPr>
        <w:t> </w:t>
      </w:r>
      <w:r>
        <w:rPr>
          <w:color w:val="231F1F"/>
          <w:w w:val="110"/>
        </w:rPr>
        <w:t>en</w:t>
      </w:r>
      <w:r>
        <w:rPr>
          <w:color w:val="231F1F"/>
          <w:spacing w:val="-11"/>
          <w:w w:val="110"/>
        </w:rPr>
        <w:t> </w:t>
      </w:r>
      <w:r>
        <w:rPr>
          <w:color w:val="231F1F"/>
          <w:w w:val="110"/>
        </w:rPr>
        <w:t>el</w:t>
      </w:r>
      <w:r>
        <w:rPr>
          <w:color w:val="231F1F"/>
          <w:spacing w:val="-12"/>
          <w:w w:val="110"/>
        </w:rPr>
        <w:t> </w:t>
      </w:r>
      <w:r>
        <w:rPr>
          <w:color w:val="231F1F"/>
          <w:w w:val="110"/>
        </w:rPr>
        <w:t>aporte</w:t>
      </w:r>
      <w:r>
        <w:rPr>
          <w:color w:val="231F1F"/>
          <w:spacing w:val="-11"/>
          <w:w w:val="110"/>
        </w:rPr>
        <w:t> </w:t>
      </w:r>
      <w:r>
        <w:rPr>
          <w:color w:val="231F1F"/>
          <w:w w:val="110"/>
        </w:rPr>
        <w:t>de carbohidratos,</w:t>
      </w:r>
      <w:r>
        <w:rPr>
          <w:color w:val="231F1F"/>
          <w:spacing w:val="-6"/>
          <w:w w:val="110"/>
        </w:rPr>
        <w:t> </w:t>
      </w:r>
      <w:r>
        <w:rPr>
          <w:color w:val="231F1F"/>
          <w:w w:val="110"/>
        </w:rPr>
        <w:t>lo</w:t>
      </w:r>
      <w:r>
        <w:rPr>
          <w:color w:val="231F1F"/>
          <w:spacing w:val="-6"/>
          <w:w w:val="110"/>
        </w:rPr>
        <w:t> </w:t>
      </w:r>
      <w:r>
        <w:rPr>
          <w:color w:val="231F1F"/>
          <w:w w:val="110"/>
        </w:rPr>
        <w:t>que</w:t>
      </w:r>
      <w:r>
        <w:rPr>
          <w:color w:val="231F1F"/>
          <w:spacing w:val="-6"/>
          <w:w w:val="110"/>
        </w:rPr>
        <w:t> </w:t>
      </w:r>
      <w:r>
        <w:rPr>
          <w:color w:val="231F1F"/>
          <w:w w:val="110"/>
        </w:rPr>
        <w:t>induce</w:t>
      </w:r>
      <w:r>
        <w:rPr>
          <w:color w:val="231F1F"/>
          <w:spacing w:val="-6"/>
          <w:w w:val="110"/>
        </w:rPr>
        <w:t> </w:t>
      </w:r>
      <w:r>
        <w:rPr>
          <w:color w:val="231F1F"/>
          <w:w w:val="110"/>
        </w:rPr>
        <w:t>el</w:t>
      </w:r>
      <w:r>
        <w:rPr>
          <w:color w:val="231F1F"/>
          <w:spacing w:val="-6"/>
          <w:w w:val="110"/>
        </w:rPr>
        <w:t> </w:t>
      </w:r>
      <w:r>
        <w:rPr>
          <w:color w:val="231F1F"/>
          <w:w w:val="110"/>
        </w:rPr>
        <w:t>catabolismo</w:t>
      </w:r>
      <w:r>
        <w:rPr>
          <w:color w:val="231F1F"/>
          <w:spacing w:val="-6"/>
          <w:w w:val="110"/>
        </w:rPr>
        <w:t> </w:t>
      </w:r>
      <w:r>
        <w:rPr>
          <w:color w:val="231F1F"/>
          <w:w w:val="110"/>
        </w:rPr>
        <w:t>de</w:t>
      </w:r>
      <w:r>
        <w:rPr>
          <w:color w:val="231F1F"/>
          <w:spacing w:val="-6"/>
          <w:w w:val="110"/>
        </w:rPr>
        <w:t> </w:t>
      </w:r>
      <w:r>
        <w:rPr>
          <w:color w:val="231F1F"/>
          <w:w w:val="110"/>
        </w:rPr>
        <w:t>las</w:t>
      </w:r>
      <w:r>
        <w:rPr>
          <w:color w:val="231F1F"/>
          <w:spacing w:val="-6"/>
          <w:w w:val="110"/>
        </w:rPr>
        <w:t> </w:t>
      </w:r>
      <w:r>
        <w:rPr>
          <w:color w:val="231F1F"/>
          <w:w w:val="110"/>
        </w:rPr>
        <w:t>grasas,</w:t>
      </w:r>
      <w:r>
        <w:rPr>
          <w:color w:val="231F1F"/>
          <w:spacing w:val="-6"/>
          <w:w w:val="110"/>
        </w:rPr>
        <w:t> </w:t>
      </w:r>
      <w:r>
        <w:rPr>
          <w:color w:val="231F1F"/>
          <w:w w:val="110"/>
        </w:rPr>
        <w:t>a</w:t>
      </w:r>
      <w:r>
        <w:rPr>
          <w:color w:val="231F1F"/>
          <w:spacing w:val="-6"/>
          <w:w w:val="110"/>
        </w:rPr>
        <w:t> </w:t>
      </w:r>
      <w:r>
        <w:rPr>
          <w:color w:val="231F1F"/>
          <w:w w:val="110"/>
        </w:rPr>
        <w:t>fin</w:t>
      </w:r>
      <w:r>
        <w:rPr>
          <w:color w:val="231F1F"/>
          <w:spacing w:val="-6"/>
          <w:w w:val="110"/>
        </w:rPr>
        <w:t> </w:t>
      </w:r>
      <w:r>
        <w:rPr>
          <w:color w:val="231F1F"/>
          <w:w w:val="110"/>
        </w:rPr>
        <w:t>de</w:t>
      </w:r>
      <w:r>
        <w:rPr>
          <w:color w:val="231F1F"/>
          <w:spacing w:val="-6"/>
          <w:w w:val="110"/>
        </w:rPr>
        <w:t> </w:t>
      </w:r>
      <w:r>
        <w:rPr>
          <w:color w:val="231F1F"/>
          <w:w w:val="110"/>
        </w:rPr>
        <w:t>obtener</w:t>
      </w:r>
      <w:r>
        <w:rPr>
          <w:color w:val="231F1F"/>
          <w:spacing w:val="-6"/>
          <w:w w:val="110"/>
        </w:rPr>
        <w:t> </w:t>
      </w:r>
      <w:r>
        <w:rPr>
          <w:color w:val="231F1F"/>
          <w:w w:val="110"/>
        </w:rPr>
        <w:t>energía,</w:t>
      </w:r>
      <w:r>
        <w:rPr>
          <w:color w:val="231F1F"/>
          <w:spacing w:val="-6"/>
          <w:w w:val="110"/>
        </w:rPr>
        <w:t> </w:t>
      </w:r>
      <w:r>
        <w:rPr>
          <w:color w:val="231F1F"/>
          <w:w w:val="110"/>
        </w:rPr>
        <w:t>gene- rando unos compuestos denominados cuerpos cetónicos.</w:t>
      </w:r>
    </w:p>
    <w:p>
      <w:pPr>
        <w:pStyle w:val="BodyText"/>
        <w:spacing w:after="0" w:line="244" w:lineRule="auto"/>
        <w:jc w:val="both"/>
        <w:sectPr>
          <w:pgSz w:w="11900" w:h="16840"/>
          <w:pgMar w:header="0" w:footer="622" w:top="1520" w:bottom="820" w:left="1417" w:right="1559"/>
        </w:sectPr>
      </w:pPr>
    </w:p>
    <w:p>
      <w:pPr>
        <w:spacing w:before="73"/>
        <w:ind w:left="736" w:right="0" w:firstLine="0"/>
        <w:jc w:val="left"/>
        <w:rPr>
          <w:sz w:val="22"/>
        </w:rPr>
      </w:pPr>
      <w:r>
        <w:rPr>
          <w:b/>
          <w:color w:val="231F1F"/>
          <w:w w:val="105"/>
          <w:sz w:val="22"/>
        </w:rPr>
        <w:t>Corioamnionitis:</w:t>
      </w:r>
      <w:r>
        <w:rPr>
          <w:b/>
          <w:color w:val="231F1F"/>
          <w:spacing w:val="8"/>
          <w:w w:val="105"/>
          <w:sz w:val="22"/>
        </w:rPr>
        <w:t> </w:t>
      </w:r>
      <w:r>
        <w:rPr>
          <w:color w:val="231F1F"/>
          <w:w w:val="105"/>
          <w:sz w:val="22"/>
        </w:rPr>
        <w:t>Infección</w:t>
      </w:r>
      <w:r>
        <w:rPr>
          <w:color w:val="231F1F"/>
          <w:spacing w:val="10"/>
          <w:w w:val="105"/>
          <w:sz w:val="22"/>
        </w:rPr>
        <w:t> </w:t>
      </w:r>
      <w:r>
        <w:rPr>
          <w:color w:val="231F1F"/>
          <w:w w:val="105"/>
          <w:sz w:val="22"/>
        </w:rPr>
        <w:t>de</w:t>
      </w:r>
      <w:r>
        <w:rPr>
          <w:color w:val="231F1F"/>
          <w:spacing w:val="6"/>
          <w:w w:val="105"/>
          <w:sz w:val="22"/>
        </w:rPr>
        <w:t> </w:t>
      </w:r>
      <w:r>
        <w:rPr>
          <w:color w:val="231F1F"/>
          <w:w w:val="105"/>
          <w:sz w:val="22"/>
        </w:rPr>
        <w:t>las</w:t>
      </w:r>
      <w:r>
        <w:rPr>
          <w:color w:val="231F1F"/>
          <w:spacing w:val="7"/>
          <w:w w:val="105"/>
          <w:sz w:val="22"/>
        </w:rPr>
        <w:t> </w:t>
      </w:r>
      <w:r>
        <w:rPr>
          <w:color w:val="231F1F"/>
          <w:w w:val="105"/>
          <w:sz w:val="22"/>
        </w:rPr>
        <w:t>membranas</w:t>
      </w:r>
      <w:r>
        <w:rPr>
          <w:color w:val="231F1F"/>
          <w:spacing w:val="10"/>
          <w:w w:val="105"/>
          <w:sz w:val="22"/>
        </w:rPr>
        <w:t> </w:t>
      </w:r>
      <w:r>
        <w:rPr>
          <w:color w:val="231F1F"/>
          <w:w w:val="105"/>
          <w:sz w:val="22"/>
        </w:rPr>
        <w:t>placentarias</w:t>
      </w:r>
      <w:r>
        <w:rPr>
          <w:color w:val="231F1F"/>
          <w:spacing w:val="6"/>
          <w:w w:val="105"/>
          <w:sz w:val="22"/>
        </w:rPr>
        <w:t> </w:t>
      </w:r>
      <w:r>
        <w:rPr>
          <w:color w:val="231F1F"/>
          <w:w w:val="105"/>
          <w:sz w:val="22"/>
        </w:rPr>
        <w:t>y</w:t>
      </w:r>
      <w:r>
        <w:rPr>
          <w:color w:val="231F1F"/>
          <w:spacing w:val="10"/>
          <w:w w:val="105"/>
          <w:sz w:val="22"/>
        </w:rPr>
        <w:t> </w:t>
      </w:r>
      <w:r>
        <w:rPr>
          <w:color w:val="231F1F"/>
          <w:w w:val="105"/>
          <w:sz w:val="22"/>
        </w:rPr>
        <w:t>del</w:t>
      </w:r>
      <w:r>
        <w:rPr>
          <w:color w:val="231F1F"/>
          <w:spacing w:val="7"/>
          <w:w w:val="105"/>
          <w:sz w:val="22"/>
        </w:rPr>
        <w:t> </w:t>
      </w:r>
      <w:r>
        <w:rPr>
          <w:color w:val="231F1F"/>
          <w:w w:val="105"/>
          <w:sz w:val="22"/>
        </w:rPr>
        <w:t>líquido</w:t>
      </w:r>
      <w:r>
        <w:rPr>
          <w:color w:val="231F1F"/>
          <w:spacing w:val="8"/>
          <w:w w:val="105"/>
          <w:sz w:val="22"/>
        </w:rPr>
        <w:t> </w:t>
      </w:r>
      <w:r>
        <w:rPr>
          <w:color w:val="231F1F"/>
          <w:spacing w:val="-2"/>
          <w:w w:val="105"/>
          <w:sz w:val="22"/>
        </w:rPr>
        <w:t>amniótico.</w:t>
      </w:r>
    </w:p>
    <w:p>
      <w:pPr>
        <w:pStyle w:val="BodyText"/>
        <w:spacing w:before="25"/>
        <w:ind w:left="283"/>
      </w:pPr>
      <w:r>
        <w:rPr>
          <w:color w:val="231F1F"/>
        </w:rPr>
        <w:t>También</w:t>
      </w:r>
      <w:r>
        <w:rPr>
          <w:color w:val="231F1F"/>
          <w:spacing w:val="39"/>
        </w:rPr>
        <w:t> </w:t>
      </w:r>
      <w:r>
        <w:rPr>
          <w:color w:val="231F1F"/>
        </w:rPr>
        <w:t>se</w:t>
      </w:r>
      <w:r>
        <w:rPr>
          <w:color w:val="231F1F"/>
          <w:spacing w:val="42"/>
        </w:rPr>
        <w:t> </w:t>
      </w:r>
      <w:r>
        <w:rPr>
          <w:color w:val="231F1F"/>
        </w:rPr>
        <w:t>denomina</w:t>
      </w:r>
      <w:r>
        <w:rPr>
          <w:color w:val="231F1F"/>
          <w:spacing w:val="42"/>
        </w:rPr>
        <w:t> </w:t>
      </w:r>
      <w:r>
        <w:rPr>
          <w:color w:val="231F1F"/>
        </w:rPr>
        <w:t>infección</w:t>
      </w:r>
      <w:r>
        <w:rPr>
          <w:color w:val="231F1F"/>
          <w:spacing w:val="44"/>
        </w:rPr>
        <w:t> </w:t>
      </w:r>
      <w:r>
        <w:rPr>
          <w:color w:val="231F1F"/>
        </w:rPr>
        <w:t>intraamniótica</w:t>
      </w:r>
      <w:r>
        <w:rPr>
          <w:color w:val="231F1F"/>
          <w:spacing w:val="44"/>
        </w:rPr>
        <w:t> </w:t>
      </w:r>
      <w:r>
        <w:rPr>
          <w:color w:val="231F1F"/>
        </w:rPr>
        <w:t>o</w:t>
      </w:r>
      <w:r>
        <w:rPr>
          <w:color w:val="231F1F"/>
          <w:spacing w:val="44"/>
        </w:rPr>
        <w:t> </w:t>
      </w:r>
      <w:r>
        <w:rPr>
          <w:color w:val="231F1F"/>
          <w:spacing w:val="-2"/>
        </w:rPr>
        <w:t>amnionitis.</w:t>
      </w:r>
    </w:p>
    <w:p>
      <w:pPr>
        <w:pStyle w:val="BodyText"/>
        <w:spacing w:line="244" w:lineRule="auto" w:before="146"/>
        <w:ind w:left="283" w:right="120" w:firstLine="453"/>
        <w:jc w:val="both"/>
      </w:pPr>
      <w:r>
        <w:rPr>
          <w:b/>
          <w:color w:val="231F1F"/>
          <w:w w:val="110"/>
        </w:rPr>
        <w:t>Cochane Library</w:t>
      </w:r>
      <w:r>
        <w:rPr>
          <w:color w:val="231F1F"/>
          <w:w w:val="110"/>
        </w:rPr>
        <w:t>: Base de datos sobre efectividad producida por la Colaboración Cochrane,</w:t>
      </w:r>
      <w:r>
        <w:rPr>
          <w:color w:val="231F1F"/>
          <w:spacing w:val="-16"/>
          <w:w w:val="110"/>
        </w:rPr>
        <w:t> </w:t>
      </w:r>
      <w:r>
        <w:rPr>
          <w:color w:val="231F1F"/>
          <w:w w:val="110"/>
        </w:rPr>
        <w:t>compuesta</w:t>
      </w:r>
      <w:r>
        <w:rPr>
          <w:color w:val="231F1F"/>
          <w:spacing w:val="-15"/>
          <w:w w:val="110"/>
        </w:rPr>
        <w:t> </w:t>
      </w:r>
      <w:r>
        <w:rPr>
          <w:color w:val="231F1F"/>
          <w:w w:val="110"/>
        </w:rPr>
        <w:t>entre</w:t>
      </w:r>
      <w:r>
        <w:rPr>
          <w:color w:val="231F1F"/>
          <w:spacing w:val="-14"/>
          <w:w w:val="110"/>
        </w:rPr>
        <w:t> </w:t>
      </w:r>
      <w:r>
        <w:rPr>
          <w:color w:val="231F1F"/>
          <w:w w:val="110"/>
        </w:rPr>
        <w:t>otras</w:t>
      </w:r>
      <w:r>
        <w:rPr>
          <w:color w:val="231F1F"/>
          <w:spacing w:val="-15"/>
          <w:w w:val="110"/>
        </w:rPr>
        <w:t> </w:t>
      </w:r>
      <w:r>
        <w:rPr>
          <w:color w:val="231F1F"/>
          <w:w w:val="110"/>
        </w:rPr>
        <w:t>por</w:t>
      </w:r>
      <w:r>
        <w:rPr>
          <w:color w:val="231F1F"/>
          <w:spacing w:val="-15"/>
          <w:w w:val="110"/>
        </w:rPr>
        <w:t> </w:t>
      </w:r>
      <w:r>
        <w:rPr>
          <w:color w:val="231F1F"/>
          <w:w w:val="110"/>
        </w:rPr>
        <w:t>las</w:t>
      </w:r>
      <w:r>
        <w:rPr>
          <w:color w:val="231F1F"/>
          <w:spacing w:val="-15"/>
          <w:w w:val="110"/>
        </w:rPr>
        <w:t> </w:t>
      </w:r>
      <w:r>
        <w:rPr>
          <w:color w:val="231F1F"/>
          <w:w w:val="110"/>
        </w:rPr>
        <w:t>revisiones</w:t>
      </w:r>
      <w:r>
        <w:rPr>
          <w:color w:val="231F1F"/>
          <w:spacing w:val="-15"/>
          <w:w w:val="110"/>
        </w:rPr>
        <w:t> </w:t>
      </w:r>
      <w:r>
        <w:rPr>
          <w:color w:val="231F1F"/>
          <w:w w:val="110"/>
        </w:rPr>
        <w:t>sistemáticas</w:t>
      </w:r>
      <w:r>
        <w:rPr>
          <w:color w:val="231F1F"/>
          <w:spacing w:val="-15"/>
          <w:w w:val="110"/>
        </w:rPr>
        <w:t> </w:t>
      </w:r>
      <w:r>
        <w:rPr>
          <w:color w:val="231F1F"/>
          <w:w w:val="110"/>
        </w:rPr>
        <w:t>originales</w:t>
      </w:r>
      <w:r>
        <w:rPr>
          <w:color w:val="231F1F"/>
          <w:spacing w:val="-15"/>
          <w:w w:val="110"/>
        </w:rPr>
        <w:t> </w:t>
      </w:r>
      <w:r>
        <w:rPr>
          <w:color w:val="231F1F"/>
          <w:w w:val="110"/>
        </w:rPr>
        <w:t>de</w:t>
      </w:r>
      <w:r>
        <w:rPr>
          <w:color w:val="231F1F"/>
          <w:spacing w:val="-15"/>
          <w:w w:val="110"/>
        </w:rPr>
        <w:t> </w:t>
      </w:r>
      <w:r>
        <w:rPr>
          <w:color w:val="231F1F"/>
          <w:w w:val="110"/>
        </w:rPr>
        <w:t>esta</w:t>
      </w:r>
      <w:r>
        <w:rPr>
          <w:color w:val="231F1F"/>
          <w:spacing w:val="-15"/>
          <w:w w:val="110"/>
        </w:rPr>
        <w:t> </w:t>
      </w:r>
      <w:r>
        <w:rPr>
          <w:color w:val="231F1F"/>
          <w:w w:val="110"/>
        </w:rPr>
        <w:t>organi- </w:t>
      </w:r>
      <w:r>
        <w:rPr>
          <w:color w:val="231F1F"/>
          <w:spacing w:val="-2"/>
          <w:w w:val="110"/>
        </w:rPr>
        <w:t>zación.</w:t>
      </w:r>
    </w:p>
    <w:p>
      <w:pPr>
        <w:pStyle w:val="BodyText"/>
        <w:spacing w:line="244" w:lineRule="auto" w:before="133"/>
        <w:ind w:left="283" w:right="125" w:firstLine="453"/>
        <w:jc w:val="both"/>
      </w:pPr>
      <w:r>
        <w:rPr>
          <w:b/>
          <w:color w:val="231F1F"/>
          <w:w w:val="110"/>
        </w:rPr>
        <w:t>Decisión</w:t>
      </w:r>
      <w:r>
        <w:rPr>
          <w:b/>
          <w:color w:val="231F1F"/>
          <w:spacing w:val="-16"/>
          <w:w w:val="110"/>
        </w:rPr>
        <w:t> </w:t>
      </w:r>
      <w:r>
        <w:rPr>
          <w:b/>
          <w:color w:val="231F1F"/>
          <w:w w:val="110"/>
        </w:rPr>
        <w:t>informada</w:t>
      </w:r>
      <w:r>
        <w:rPr>
          <w:color w:val="231F1F"/>
          <w:w w:val="110"/>
        </w:rPr>
        <w:t>:</w:t>
      </w:r>
      <w:r>
        <w:rPr>
          <w:color w:val="231F1F"/>
          <w:spacing w:val="-15"/>
          <w:w w:val="110"/>
        </w:rPr>
        <w:t> </w:t>
      </w:r>
      <w:r>
        <w:rPr>
          <w:color w:val="231F1F"/>
          <w:w w:val="110"/>
        </w:rPr>
        <w:t>Es</w:t>
      </w:r>
      <w:r>
        <w:rPr>
          <w:color w:val="231F1F"/>
          <w:spacing w:val="-15"/>
          <w:w w:val="110"/>
        </w:rPr>
        <w:t> </w:t>
      </w:r>
      <w:r>
        <w:rPr>
          <w:color w:val="231F1F"/>
          <w:w w:val="110"/>
        </w:rPr>
        <w:t>la</w:t>
      </w:r>
      <w:r>
        <w:rPr>
          <w:color w:val="231F1F"/>
          <w:spacing w:val="-15"/>
          <w:w w:val="110"/>
        </w:rPr>
        <w:t> </w:t>
      </w:r>
      <w:r>
        <w:rPr>
          <w:color w:val="231F1F"/>
          <w:w w:val="110"/>
        </w:rPr>
        <w:t>capacidad</w:t>
      </w:r>
      <w:r>
        <w:rPr>
          <w:color w:val="231F1F"/>
          <w:spacing w:val="-15"/>
          <w:w w:val="110"/>
        </w:rPr>
        <w:t> </w:t>
      </w:r>
      <w:r>
        <w:rPr>
          <w:color w:val="231F1F"/>
          <w:w w:val="110"/>
        </w:rPr>
        <w:t>de</w:t>
      </w:r>
      <w:r>
        <w:rPr>
          <w:color w:val="231F1F"/>
          <w:spacing w:val="-15"/>
          <w:w w:val="110"/>
        </w:rPr>
        <w:t> </w:t>
      </w:r>
      <w:r>
        <w:rPr>
          <w:color w:val="231F1F"/>
          <w:w w:val="110"/>
        </w:rPr>
        <w:t>decidir</w:t>
      </w:r>
      <w:r>
        <w:rPr>
          <w:color w:val="231F1F"/>
          <w:spacing w:val="-15"/>
          <w:w w:val="110"/>
        </w:rPr>
        <w:t> </w:t>
      </w:r>
      <w:r>
        <w:rPr>
          <w:color w:val="231F1F"/>
          <w:w w:val="110"/>
        </w:rPr>
        <w:t>sobre</w:t>
      </w:r>
      <w:r>
        <w:rPr>
          <w:color w:val="231F1F"/>
          <w:spacing w:val="-15"/>
          <w:w w:val="110"/>
        </w:rPr>
        <w:t> </w:t>
      </w:r>
      <w:r>
        <w:rPr>
          <w:color w:val="231F1F"/>
          <w:w w:val="110"/>
        </w:rPr>
        <w:t>un</w:t>
      </w:r>
      <w:r>
        <w:rPr>
          <w:color w:val="231F1F"/>
          <w:spacing w:val="-16"/>
          <w:w w:val="110"/>
        </w:rPr>
        <w:t> </w:t>
      </w:r>
      <w:r>
        <w:rPr>
          <w:color w:val="231F1F"/>
          <w:w w:val="110"/>
        </w:rPr>
        <w:t>procedimiento</w:t>
      </w:r>
      <w:r>
        <w:rPr>
          <w:color w:val="231F1F"/>
          <w:spacing w:val="-15"/>
          <w:w w:val="110"/>
        </w:rPr>
        <w:t> </w:t>
      </w:r>
      <w:r>
        <w:rPr>
          <w:color w:val="231F1F"/>
          <w:w w:val="110"/>
        </w:rPr>
        <w:t>o</w:t>
      </w:r>
      <w:r>
        <w:rPr>
          <w:color w:val="231F1F"/>
          <w:spacing w:val="-15"/>
          <w:w w:val="110"/>
        </w:rPr>
        <w:t> </w:t>
      </w:r>
      <w:r>
        <w:rPr>
          <w:color w:val="231F1F"/>
          <w:w w:val="110"/>
        </w:rPr>
        <w:t>acción</w:t>
      </w:r>
      <w:r>
        <w:rPr>
          <w:color w:val="231F1F"/>
          <w:spacing w:val="-15"/>
          <w:w w:val="110"/>
        </w:rPr>
        <w:t> </w:t>
      </w:r>
      <w:r>
        <w:rPr>
          <w:color w:val="231F1F"/>
          <w:w w:val="110"/>
        </w:rPr>
        <w:t>te- rapéutica después de haber recibido una información veraz y comprensible.</w:t>
      </w:r>
    </w:p>
    <w:p>
      <w:pPr>
        <w:pStyle w:val="BodyText"/>
        <w:spacing w:line="244" w:lineRule="auto" w:before="136"/>
        <w:ind w:left="283" w:right="122" w:firstLine="453"/>
        <w:jc w:val="both"/>
      </w:pPr>
      <w:r>
        <w:rPr>
          <w:b/>
          <w:color w:val="231F1F"/>
          <w:w w:val="110"/>
        </w:rPr>
        <w:t>Dehiscencia:</w:t>
      </w:r>
      <w:r>
        <w:rPr>
          <w:b/>
          <w:color w:val="231F1F"/>
          <w:spacing w:val="-7"/>
          <w:w w:val="110"/>
        </w:rPr>
        <w:t> </w:t>
      </w:r>
      <w:r>
        <w:rPr>
          <w:color w:val="231F1F"/>
          <w:w w:val="110"/>
        </w:rPr>
        <w:t>Separación</w:t>
      </w:r>
      <w:r>
        <w:rPr>
          <w:color w:val="231F1F"/>
          <w:spacing w:val="-6"/>
          <w:w w:val="110"/>
        </w:rPr>
        <w:t> </w:t>
      </w:r>
      <w:r>
        <w:rPr>
          <w:color w:val="231F1F"/>
          <w:w w:val="110"/>
        </w:rPr>
        <w:t>de</w:t>
      </w:r>
      <w:r>
        <w:rPr>
          <w:color w:val="231F1F"/>
          <w:spacing w:val="-6"/>
          <w:w w:val="110"/>
        </w:rPr>
        <w:t> </w:t>
      </w:r>
      <w:r>
        <w:rPr>
          <w:color w:val="231F1F"/>
          <w:w w:val="110"/>
        </w:rPr>
        <w:t>los</w:t>
      </w:r>
      <w:r>
        <w:rPr>
          <w:color w:val="231F1F"/>
          <w:spacing w:val="-7"/>
          <w:w w:val="110"/>
        </w:rPr>
        <w:t> </w:t>
      </w:r>
      <w:r>
        <w:rPr>
          <w:color w:val="231F1F"/>
          <w:w w:val="110"/>
        </w:rPr>
        <w:t>bordes</w:t>
      </w:r>
      <w:r>
        <w:rPr>
          <w:color w:val="231F1F"/>
          <w:spacing w:val="-7"/>
          <w:w w:val="110"/>
        </w:rPr>
        <w:t> </w:t>
      </w:r>
      <w:r>
        <w:rPr>
          <w:color w:val="231F1F"/>
          <w:w w:val="110"/>
        </w:rPr>
        <w:t>de</w:t>
      </w:r>
      <w:r>
        <w:rPr>
          <w:color w:val="231F1F"/>
          <w:spacing w:val="-6"/>
          <w:w w:val="110"/>
        </w:rPr>
        <w:t> </w:t>
      </w:r>
      <w:r>
        <w:rPr>
          <w:color w:val="231F1F"/>
          <w:w w:val="110"/>
        </w:rPr>
        <w:t>una</w:t>
      </w:r>
      <w:r>
        <w:rPr>
          <w:color w:val="231F1F"/>
          <w:spacing w:val="-6"/>
          <w:w w:val="110"/>
        </w:rPr>
        <w:t> </w:t>
      </w:r>
      <w:r>
        <w:rPr>
          <w:color w:val="231F1F"/>
          <w:w w:val="110"/>
        </w:rPr>
        <w:t>herida</w:t>
      </w:r>
      <w:r>
        <w:rPr>
          <w:color w:val="231F1F"/>
          <w:spacing w:val="-7"/>
          <w:w w:val="110"/>
        </w:rPr>
        <w:t> </w:t>
      </w:r>
      <w:r>
        <w:rPr>
          <w:color w:val="231F1F"/>
          <w:w w:val="110"/>
        </w:rPr>
        <w:t>quirúrgica</w:t>
      </w:r>
      <w:r>
        <w:rPr>
          <w:color w:val="231F1F"/>
          <w:spacing w:val="-7"/>
          <w:w w:val="110"/>
        </w:rPr>
        <w:t> </w:t>
      </w:r>
      <w:r>
        <w:rPr>
          <w:color w:val="231F1F"/>
          <w:w w:val="110"/>
        </w:rPr>
        <w:t>suturada</w:t>
      </w:r>
      <w:r>
        <w:rPr>
          <w:color w:val="231F1F"/>
          <w:spacing w:val="-7"/>
          <w:w w:val="110"/>
        </w:rPr>
        <w:t> </w:t>
      </w:r>
      <w:r>
        <w:rPr>
          <w:color w:val="231F1F"/>
          <w:w w:val="110"/>
        </w:rPr>
        <w:t>en</w:t>
      </w:r>
      <w:r>
        <w:rPr>
          <w:color w:val="231F1F"/>
          <w:spacing w:val="-6"/>
          <w:w w:val="110"/>
        </w:rPr>
        <w:t> </w:t>
      </w:r>
      <w:r>
        <w:rPr>
          <w:color w:val="231F1F"/>
          <w:w w:val="110"/>
        </w:rPr>
        <w:t>más</w:t>
      </w:r>
      <w:r>
        <w:rPr>
          <w:color w:val="231F1F"/>
          <w:spacing w:val="-7"/>
          <w:w w:val="110"/>
        </w:rPr>
        <w:t> </w:t>
      </w:r>
      <w:r>
        <w:rPr>
          <w:color w:val="231F1F"/>
          <w:w w:val="110"/>
        </w:rPr>
        <w:t>de 0,5 cm.</w:t>
      </w:r>
    </w:p>
    <w:p>
      <w:pPr>
        <w:spacing w:line="254" w:lineRule="auto" w:before="161"/>
        <w:ind w:left="283" w:right="119" w:firstLine="453"/>
        <w:jc w:val="both"/>
        <w:rPr>
          <w:sz w:val="22"/>
        </w:rPr>
      </w:pPr>
      <w:r>
        <w:rPr>
          <w:b/>
          <w:color w:val="231F1F"/>
          <w:sz w:val="22"/>
        </w:rPr>
        <w:t>Desgarro</w:t>
      </w:r>
      <w:r>
        <w:rPr>
          <w:b/>
          <w:color w:val="231F1F"/>
          <w:spacing w:val="23"/>
          <w:sz w:val="22"/>
        </w:rPr>
        <w:t> </w:t>
      </w:r>
      <w:r>
        <w:rPr>
          <w:b/>
          <w:color w:val="231F1F"/>
          <w:sz w:val="22"/>
        </w:rPr>
        <w:t>perineal</w:t>
      </w:r>
      <w:r>
        <w:rPr>
          <w:b/>
          <w:color w:val="231F1F"/>
          <w:spacing w:val="24"/>
          <w:sz w:val="22"/>
        </w:rPr>
        <w:t> </w:t>
      </w:r>
      <w:r>
        <w:rPr>
          <w:b/>
          <w:color w:val="231F1F"/>
          <w:sz w:val="22"/>
        </w:rPr>
        <w:t>grado</w:t>
      </w:r>
      <w:r>
        <w:rPr>
          <w:b/>
          <w:color w:val="231F1F"/>
          <w:spacing w:val="24"/>
          <w:sz w:val="22"/>
        </w:rPr>
        <w:t> </w:t>
      </w:r>
      <w:r>
        <w:rPr>
          <w:b/>
          <w:color w:val="231F1F"/>
          <w:sz w:val="22"/>
        </w:rPr>
        <w:t>I:</w:t>
      </w:r>
      <w:r>
        <w:rPr>
          <w:b/>
          <w:color w:val="231F1F"/>
          <w:spacing w:val="23"/>
          <w:sz w:val="22"/>
        </w:rPr>
        <w:t> </w:t>
      </w:r>
      <w:r>
        <w:rPr>
          <w:color w:val="231F1F"/>
          <w:sz w:val="22"/>
        </w:rPr>
        <w:t>Desgarro</w:t>
      </w:r>
      <w:r>
        <w:rPr>
          <w:color w:val="231F1F"/>
          <w:spacing w:val="23"/>
          <w:sz w:val="22"/>
        </w:rPr>
        <w:t> </w:t>
      </w:r>
      <w:r>
        <w:rPr>
          <w:color w:val="231F1F"/>
          <w:sz w:val="22"/>
        </w:rPr>
        <w:t>que</w:t>
      </w:r>
      <w:r>
        <w:rPr>
          <w:color w:val="231F1F"/>
          <w:spacing w:val="24"/>
          <w:sz w:val="22"/>
        </w:rPr>
        <w:t> </w:t>
      </w:r>
      <w:r>
        <w:rPr>
          <w:color w:val="231F1F"/>
          <w:sz w:val="22"/>
        </w:rPr>
        <w:t>afecta</w:t>
      </w:r>
      <w:r>
        <w:rPr>
          <w:color w:val="231F1F"/>
          <w:spacing w:val="23"/>
          <w:sz w:val="22"/>
        </w:rPr>
        <w:t> </w:t>
      </w:r>
      <w:r>
        <w:rPr>
          <w:color w:val="231F1F"/>
          <w:sz w:val="22"/>
        </w:rPr>
        <w:t>a</w:t>
      </w:r>
      <w:r>
        <w:rPr>
          <w:color w:val="231F1F"/>
          <w:spacing w:val="24"/>
          <w:sz w:val="22"/>
        </w:rPr>
        <w:t> </w:t>
      </w:r>
      <w:r>
        <w:rPr>
          <w:color w:val="231F1F"/>
          <w:sz w:val="22"/>
        </w:rPr>
        <w:t>la</w:t>
      </w:r>
      <w:r>
        <w:rPr>
          <w:color w:val="231F1F"/>
          <w:spacing w:val="24"/>
          <w:sz w:val="22"/>
        </w:rPr>
        <w:t> </w:t>
      </w:r>
      <w:r>
        <w:rPr>
          <w:color w:val="231F1F"/>
          <w:sz w:val="22"/>
        </w:rPr>
        <w:t>horquilla</w:t>
      </w:r>
      <w:r>
        <w:rPr>
          <w:color w:val="231F1F"/>
          <w:spacing w:val="23"/>
          <w:sz w:val="22"/>
        </w:rPr>
        <w:t> </w:t>
      </w:r>
      <w:r>
        <w:rPr>
          <w:color w:val="231F1F"/>
          <w:sz w:val="22"/>
        </w:rPr>
        <w:t>perineal,</w:t>
      </w:r>
      <w:r>
        <w:rPr>
          <w:color w:val="231F1F"/>
          <w:spacing w:val="23"/>
          <w:sz w:val="22"/>
        </w:rPr>
        <w:t> </w:t>
      </w:r>
      <w:r>
        <w:rPr>
          <w:color w:val="231F1F"/>
          <w:sz w:val="22"/>
        </w:rPr>
        <w:t>la</w:t>
      </w:r>
      <w:r>
        <w:rPr>
          <w:color w:val="231F1F"/>
          <w:spacing w:val="24"/>
          <w:sz w:val="22"/>
        </w:rPr>
        <w:t> </w:t>
      </w:r>
      <w:r>
        <w:rPr>
          <w:color w:val="231F1F"/>
          <w:sz w:val="22"/>
        </w:rPr>
        <w:t>piel</w:t>
      </w:r>
      <w:r>
        <w:rPr>
          <w:color w:val="231F1F"/>
          <w:spacing w:val="24"/>
          <w:sz w:val="22"/>
        </w:rPr>
        <w:t> </w:t>
      </w:r>
      <w:r>
        <w:rPr>
          <w:color w:val="231F1F"/>
          <w:sz w:val="22"/>
        </w:rPr>
        <w:t>perineal y la mucosa vaginal.</w:t>
      </w:r>
    </w:p>
    <w:p>
      <w:pPr>
        <w:pStyle w:val="BodyText"/>
        <w:spacing w:line="244" w:lineRule="auto" w:before="136"/>
        <w:ind w:left="283" w:right="122" w:firstLine="453"/>
        <w:jc w:val="both"/>
      </w:pPr>
      <w:r>
        <w:rPr>
          <w:b/>
          <w:color w:val="231F1F"/>
          <w:w w:val="105"/>
        </w:rPr>
        <w:t>Desgarro</w:t>
      </w:r>
      <w:r>
        <w:rPr>
          <w:b/>
          <w:color w:val="231F1F"/>
          <w:spacing w:val="-6"/>
          <w:w w:val="105"/>
        </w:rPr>
        <w:t> </w:t>
      </w:r>
      <w:r>
        <w:rPr>
          <w:b/>
          <w:color w:val="231F1F"/>
          <w:w w:val="105"/>
        </w:rPr>
        <w:t>perineal</w:t>
      </w:r>
      <w:r>
        <w:rPr>
          <w:b/>
          <w:color w:val="231F1F"/>
          <w:spacing w:val="-6"/>
          <w:w w:val="105"/>
        </w:rPr>
        <w:t> </w:t>
      </w:r>
      <w:r>
        <w:rPr>
          <w:b/>
          <w:color w:val="231F1F"/>
          <w:w w:val="105"/>
        </w:rPr>
        <w:t>grado</w:t>
      </w:r>
      <w:r>
        <w:rPr>
          <w:b/>
          <w:color w:val="231F1F"/>
          <w:spacing w:val="-6"/>
          <w:w w:val="105"/>
        </w:rPr>
        <w:t> </w:t>
      </w:r>
      <w:r>
        <w:rPr>
          <w:b/>
          <w:color w:val="231F1F"/>
          <w:w w:val="105"/>
        </w:rPr>
        <w:t>II:</w:t>
      </w:r>
      <w:r>
        <w:rPr>
          <w:b/>
          <w:color w:val="231F1F"/>
          <w:spacing w:val="-6"/>
          <w:w w:val="105"/>
        </w:rPr>
        <w:t> </w:t>
      </w:r>
      <w:r>
        <w:rPr>
          <w:color w:val="231F1F"/>
          <w:w w:val="105"/>
        </w:rPr>
        <w:t>Afecta,</w:t>
      </w:r>
      <w:r>
        <w:rPr>
          <w:color w:val="231F1F"/>
          <w:spacing w:val="-6"/>
          <w:w w:val="105"/>
        </w:rPr>
        <w:t> </w:t>
      </w:r>
      <w:r>
        <w:rPr>
          <w:color w:val="231F1F"/>
          <w:w w:val="105"/>
        </w:rPr>
        <w:t>además</w:t>
      </w:r>
      <w:r>
        <w:rPr>
          <w:color w:val="231F1F"/>
          <w:spacing w:val="-5"/>
          <w:w w:val="105"/>
        </w:rPr>
        <w:t> </w:t>
      </w:r>
      <w:r>
        <w:rPr>
          <w:color w:val="231F1F"/>
          <w:w w:val="105"/>
        </w:rPr>
        <w:t>de</w:t>
      </w:r>
      <w:r>
        <w:rPr>
          <w:color w:val="231F1F"/>
          <w:spacing w:val="-6"/>
          <w:w w:val="105"/>
        </w:rPr>
        <w:t> </w:t>
      </w:r>
      <w:r>
        <w:rPr>
          <w:color w:val="231F1F"/>
          <w:w w:val="105"/>
        </w:rPr>
        <w:t>lo</w:t>
      </w:r>
      <w:r>
        <w:rPr>
          <w:color w:val="231F1F"/>
          <w:spacing w:val="-5"/>
          <w:w w:val="105"/>
        </w:rPr>
        <w:t> </w:t>
      </w:r>
      <w:r>
        <w:rPr>
          <w:color w:val="231F1F"/>
          <w:w w:val="105"/>
        </w:rPr>
        <w:t>descrito</w:t>
      </w:r>
      <w:r>
        <w:rPr>
          <w:color w:val="231F1F"/>
          <w:spacing w:val="-6"/>
          <w:w w:val="105"/>
        </w:rPr>
        <w:t> </w:t>
      </w:r>
      <w:r>
        <w:rPr>
          <w:color w:val="231F1F"/>
          <w:w w:val="105"/>
        </w:rPr>
        <w:t>anteriormente,</w:t>
      </w:r>
      <w:r>
        <w:rPr>
          <w:color w:val="231F1F"/>
          <w:spacing w:val="-5"/>
          <w:w w:val="105"/>
        </w:rPr>
        <w:t> </w:t>
      </w:r>
      <w:r>
        <w:rPr>
          <w:color w:val="231F1F"/>
          <w:w w:val="105"/>
        </w:rPr>
        <w:t>a</w:t>
      </w:r>
      <w:r>
        <w:rPr>
          <w:color w:val="231F1F"/>
          <w:spacing w:val="-6"/>
          <w:w w:val="105"/>
        </w:rPr>
        <w:t> </w:t>
      </w:r>
      <w:r>
        <w:rPr>
          <w:color w:val="231F1F"/>
          <w:w w:val="105"/>
        </w:rPr>
        <w:t>la</w:t>
      </w:r>
      <w:r>
        <w:rPr>
          <w:color w:val="231F1F"/>
          <w:spacing w:val="-6"/>
          <w:w w:val="105"/>
        </w:rPr>
        <w:t> </w:t>
      </w:r>
      <w:r>
        <w:rPr>
          <w:color w:val="231F1F"/>
          <w:w w:val="105"/>
        </w:rPr>
        <w:t>piel</w:t>
      </w:r>
      <w:r>
        <w:rPr>
          <w:color w:val="231F1F"/>
          <w:spacing w:val="-6"/>
          <w:w w:val="105"/>
        </w:rPr>
        <w:t> </w:t>
      </w:r>
      <w:r>
        <w:rPr>
          <w:color w:val="231F1F"/>
          <w:w w:val="105"/>
        </w:rPr>
        <w:t>y</w:t>
      </w:r>
      <w:r>
        <w:rPr>
          <w:color w:val="231F1F"/>
          <w:spacing w:val="-6"/>
          <w:w w:val="105"/>
        </w:rPr>
        <w:t> </w:t>
      </w:r>
      <w:r>
        <w:rPr>
          <w:color w:val="231F1F"/>
          <w:w w:val="105"/>
        </w:rPr>
        <w:t>la mucosa,</w:t>
      </w:r>
      <w:r>
        <w:rPr>
          <w:color w:val="231F1F"/>
          <w:spacing w:val="40"/>
          <w:w w:val="105"/>
        </w:rPr>
        <w:t> </w:t>
      </w:r>
      <w:r>
        <w:rPr>
          <w:color w:val="231F1F"/>
          <w:w w:val="105"/>
        </w:rPr>
        <w:t>la</w:t>
      </w:r>
      <w:r>
        <w:rPr>
          <w:color w:val="231F1F"/>
          <w:spacing w:val="40"/>
          <w:w w:val="105"/>
        </w:rPr>
        <w:t> </w:t>
      </w:r>
      <w:r>
        <w:rPr>
          <w:color w:val="231F1F"/>
          <w:w w:val="105"/>
        </w:rPr>
        <w:t>aponeurosis</w:t>
      </w:r>
      <w:r>
        <w:rPr>
          <w:color w:val="231F1F"/>
          <w:spacing w:val="40"/>
          <w:w w:val="105"/>
        </w:rPr>
        <w:t> </w:t>
      </w:r>
      <w:r>
        <w:rPr>
          <w:color w:val="231F1F"/>
          <w:w w:val="105"/>
        </w:rPr>
        <w:t>y</w:t>
      </w:r>
      <w:r>
        <w:rPr>
          <w:color w:val="231F1F"/>
          <w:spacing w:val="40"/>
          <w:w w:val="105"/>
        </w:rPr>
        <w:t> </w:t>
      </w:r>
      <w:r>
        <w:rPr>
          <w:color w:val="231F1F"/>
          <w:w w:val="105"/>
        </w:rPr>
        <w:t>los</w:t>
      </w:r>
      <w:r>
        <w:rPr>
          <w:color w:val="231F1F"/>
          <w:spacing w:val="40"/>
          <w:w w:val="105"/>
        </w:rPr>
        <w:t> </w:t>
      </w:r>
      <w:r>
        <w:rPr>
          <w:color w:val="231F1F"/>
          <w:w w:val="105"/>
        </w:rPr>
        <w:t>músculos</w:t>
      </w:r>
      <w:r>
        <w:rPr>
          <w:color w:val="231F1F"/>
          <w:spacing w:val="40"/>
          <w:w w:val="105"/>
        </w:rPr>
        <w:t> </w:t>
      </w:r>
      <w:r>
        <w:rPr>
          <w:color w:val="231F1F"/>
          <w:w w:val="105"/>
        </w:rPr>
        <w:t>del</w:t>
      </w:r>
      <w:r>
        <w:rPr>
          <w:color w:val="231F1F"/>
          <w:spacing w:val="40"/>
          <w:w w:val="105"/>
        </w:rPr>
        <w:t> </w:t>
      </w:r>
      <w:r>
        <w:rPr>
          <w:color w:val="231F1F"/>
          <w:w w:val="105"/>
        </w:rPr>
        <w:t>periné,</w:t>
      </w:r>
      <w:r>
        <w:rPr>
          <w:color w:val="231F1F"/>
          <w:spacing w:val="40"/>
          <w:w w:val="105"/>
        </w:rPr>
        <w:t> </w:t>
      </w:r>
      <w:r>
        <w:rPr>
          <w:color w:val="231F1F"/>
          <w:w w:val="105"/>
        </w:rPr>
        <w:t>sin</w:t>
      </w:r>
      <w:r>
        <w:rPr>
          <w:color w:val="231F1F"/>
          <w:spacing w:val="40"/>
          <w:w w:val="105"/>
        </w:rPr>
        <w:t> </w:t>
      </w:r>
      <w:r>
        <w:rPr>
          <w:color w:val="231F1F"/>
          <w:w w:val="105"/>
        </w:rPr>
        <w:t>llegar</w:t>
      </w:r>
      <w:r>
        <w:rPr>
          <w:color w:val="231F1F"/>
          <w:spacing w:val="40"/>
          <w:w w:val="105"/>
        </w:rPr>
        <w:t> </w:t>
      </w:r>
      <w:r>
        <w:rPr>
          <w:color w:val="231F1F"/>
          <w:w w:val="105"/>
        </w:rPr>
        <w:t>al</w:t>
      </w:r>
      <w:r>
        <w:rPr>
          <w:color w:val="231F1F"/>
          <w:spacing w:val="40"/>
          <w:w w:val="105"/>
        </w:rPr>
        <w:t> </w:t>
      </w:r>
      <w:r>
        <w:rPr>
          <w:color w:val="231F1F"/>
          <w:w w:val="105"/>
        </w:rPr>
        <w:t>esfínter</w:t>
      </w:r>
      <w:r>
        <w:rPr>
          <w:color w:val="231F1F"/>
          <w:spacing w:val="40"/>
          <w:w w:val="105"/>
        </w:rPr>
        <w:t> </w:t>
      </w:r>
      <w:r>
        <w:rPr>
          <w:color w:val="231F1F"/>
          <w:w w:val="105"/>
        </w:rPr>
        <w:t>anal.</w:t>
      </w:r>
    </w:p>
    <w:p>
      <w:pPr>
        <w:spacing w:before="127"/>
        <w:ind w:left="736" w:right="0" w:firstLine="0"/>
        <w:jc w:val="left"/>
        <w:rPr>
          <w:sz w:val="22"/>
        </w:rPr>
      </w:pPr>
      <w:r>
        <w:rPr>
          <w:b/>
          <w:color w:val="231F1F"/>
          <w:w w:val="105"/>
          <w:sz w:val="22"/>
        </w:rPr>
        <w:t>Desgarro</w:t>
      </w:r>
      <w:r>
        <w:rPr>
          <w:b/>
          <w:color w:val="231F1F"/>
          <w:spacing w:val="-13"/>
          <w:w w:val="105"/>
          <w:sz w:val="22"/>
        </w:rPr>
        <w:t> </w:t>
      </w:r>
      <w:r>
        <w:rPr>
          <w:b/>
          <w:color w:val="231F1F"/>
          <w:w w:val="105"/>
          <w:sz w:val="22"/>
        </w:rPr>
        <w:t>perineal</w:t>
      </w:r>
      <w:r>
        <w:rPr>
          <w:b/>
          <w:color w:val="231F1F"/>
          <w:spacing w:val="-12"/>
          <w:w w:val="105"/>
          <w:sz w:val="22"/>
        </w:rPr>
        <w:t> </w:t>
      </w:r>
      <w:r>
        <w:rPr>
          <w:b/>
          <w:color w:val="231F1F"/>
          <w:w w:val="105"/>
          <w:sz w:val="22"/>
        </w:rPr>
        <w:t>grado</w:t>
      </w:r>
      <w:r>
        <w:rPr>
          <w:b/>
          <w:color w:val="231F1F"/>
          <w:spacing w:val="-9"/>
          <w:w w:val="105"/>
          <w:sz w:val="22"/>
        </w:rPr>
        <w:t> </w:t>
      </w:r>
      <w:r>
        <w:rPr>
          <w:b/>
          <w:color w:val="231F1F"/>
          <w:w w:val="105"/>
          <w:sz w:val="22"/>
        </w:rPr>
        <w:t>III:</w:t>
      </w:r>
      <w:r>
        <w:rPr>
          <w:b/>
          <w:color w:val="231F1F"/>
          <w:spacing w:val="-12"/>
          <w:w w:val="105"/>
          <w:sz w:val="22"/>
        </w:rPr>
        <w:t> </w:t>
      </w:r>
      <w:r>
        <w:rPr>
          <w:color w:val="231F1F"/>
          <w:w w:val="105"/>
          <w:sz w:val="22"/>
        </w:rPr>
        <w:t>Se</w:t>
      </w:r>
      <w:r>
        <w:rPr>
          <w:color w:val="231F1F"/>
          <w:spacing w:val="-11"/>
          <w:w w:val="105"/>
          <w:sz w:val="22"/>
        </w:rPr>
        <w:t> </w:t>
      </w:r>
      <w:r>
        <w:rPr>
          <w:color w:val="231F1F"/>
          <w:w w:val="105"/>
          <w:sz w:val="22"/>
        </w:rPr>
        <w:t>extiende</w:t>
      </w:r>
      <w:r>
        <w:rPr>
          <w:color w:val="231F1F"/>
          <w:spacing w:val="-9"/>
          <w:w w:val="105"/>
          <w:sz w:val="22"/>
        </w:rPr>
        <w:t> </w:t>
      </w:r>
      <w:r>
        <w:rPr>
          <w:color w:val="231F1F"/>
          <w:w w:val="105"/>
          <w:sz w:val="22"/>
        </w:rPr>
        <w:t>a</w:t>
      </w:r>
      <w:r>
        <w:rPr>
          <w:color w:val="231F1F"/>
          <w:spacing w:val="-11"/>
          <w:w w:val="105"/>
          <w:sz w:val="22"/>
        </w:rPr>
        <w:t> </w:t>
      </w:r>
      <w:r>
        <w:rPr>
          <w:color w:val="231F1F"/>
          <w:w w:val="105"/>
          <w:sz w:val="22"/>
        </w:rPr>
        <w:t>todo</w:t>
      </w:r>
      <w:r>
        <w:rPr>
          <w:color w:val="231F1F"/>
          <w:spacing w:val="-10"/>
          <w:w w:val="105"/>
          <w:sz w:val="22"/>
        </w:rPr>
        <w:t> </w:t>
      </w:r>
      <w:r>
        <w:rPr>
          <w:color w:val="231F1F"/>
          <w:w w:val="105"/>
          <w:sz w:val="22"/>
        </w:rPr>
        <w:t>lo</w:t>
      </w:r>
      <w:r>
        <w:rPr>
          <w:color w:val="231F1F"/>
          <w:spacing w:val="-9"/>
          <w:w w:val="105"/>
          <w:sz w:val="22"/>
        </w:rPr>
        <w:t> </w:t>
      </w:r>
      <w:r>
        <w:rPr>
          <w:color w:val="231F1F"/>
          <w:w w:val="105"/>
          <w:sz w:val="22"/>
        </w:rPr>
        <w:t>anterior</w:t>
      </w:r>
      <w:r>
        <w:rPr>
          <w:color w:val="231F1F"/>
          <w:spacing w:val="-10"/>
          <w:w w:val="105"/>
          <w:sz w:val="22"/>
        </w:rPr>
        <w:t> </w:t>
      </w:r>
      <w:r>
        <w:rPr>
          <w:color w:val="231F1F"/>
          <w:w w:val="105"/>
          <w:sz w:val="22"/>
        </w:rPr>
        <w:t>y</w:t>
      </w:r>
      <w:r>
        <w:rPr>
          <w:color w:val="231F1F"/>
          <w:spacing w:val="-9"/>
          <w:w w:val="105"/>
          <w:sz w:val="22"/>
        </w:rPr>
        <w:t> </w:t>
      </w:r>
      <w:r>
        <w:rPr>
          <w:color w:val="231F1F"/>
          <w:w w:val="105"/>
          <w:sz w:val="22"/>
        </w:rPr>
        <w:t>al</w:t>
      </w:r>
      <w:r>
        <w:rPr>
          <w:color w:val="231F1F"/>
          <w:spacing w:val="-13"/>
          <w:w w:val="105"/>
          <w:sz w:val="22"/>
        </w:rPr>
        <w:t> </w:t>
      </w:r>
      <w:r>
        <w:rPr>
          <w:color w:val="231F1F"/>
          <w:w w:val="105"/>
          <w:sz w:val="22"/>
        </w:rPr>
        <w:t>esfínter</w:t>
      </w:r>
      <w:r>
        <w:rPr>
          <w:color w:val="231F1F"/>
          <w:spacing w:val="-9"/>
          <w:w w:val="105"/>
          <w:sz w:val="22"/>
        </w:rPr>
        <w:t> </w:t>
      </w:r>
      <w:r>
        <w:rPr>
          <w:color w:val="231F1F"/>
          <w:spacing w:val="-2"/>
          <w:w w:val="105"/>
          <w:sz w:val="22"/>
        </w:rPr>
        <w:t>rectal.</w:t>
      </w:r>
    </w:p>
    <w:p>
      <w:pPr>
        <w:spacing w:before="150"/>
        <w:ind w:left="283" w:right="124" w:firstLine="453"/>
        <w:jc w:val="both"/>
        <w:rPr>
          <w:sz w:val="22"/>
        </w:rPr>
      </w:pPr>
      <w:r>
        <w:rPr>
          <w:b/>
          <w:color w:val="231F1F"/>
          <w:w w:val="105"/>
          <w:sz w:val="22"/>
        </w:rPr>
        <w:t>Desgarro</w:t>
      </w:r>
      <w:r>
        <w:rPr>
          <w:b/>
          <w:color w:val="231F1F"/>
          <w:spacing w:val="-4"/>
          <w:w w:val="105"/>
          <w:sz w:val="22"/>
        </w:rPr>
        <w:t> </w:t>
      </w:r>
      <w:r>
        <w:rPr>
          <w:b/>
          <w:color w:val="231F1F"/>
          <w:w w:val="105"/>
          <w:sz w:val="22"/>
        </w:rPr>
        <w:t>perineal</w:t>
      </w:r>
      <w:r>
        <w:rPr>
          <w:b/>
          <w:color w:val="231F1F"/>
          <w:spacing w:val="-4"/>
          <w:w w:val="105"/>
          <w:sz w:val="22"/>
        </w:rPr>
        <w:t> </w:t>
      </w:r>
      <w:r>
        <w:rPr>
          <w:b/>
          <w:color w:val="231F1F"/>
          <w:w w:val="105"/>
          <w:sz w:val="22"/>
        </w:rPr>
        <w:t>grado</w:t>
      </w:r>
      <w:r>
        <w:rPr>
          <w:b/>
          <w:color w:val="231F1F"/>
          <w:spacing w:val="-4"/>
          <w:w w:val="105"/>
          <w:sz w:val="22"/>
        </w:rPr>
        <w:t> </w:t>
      </w:r>
      <w:r>
        <w:rPr>
          <w:b/>
          <w:color w:val="231F1F"/>
          <w:w w:val="105"/>
          <w:sz w:val="22"/>
        </w:rPr>
        <w:t>IV:</w:t>
      </w:r>
      <w:r>
        <w:rPr>
          <w:b/>
          <w:color w:val="231F1F"/>
          <w:spacing w:val="-4"/>
          <w:w w:val="105"/>
          <w:sz w:val="22"/>
        </w:rPr>
        <w:t> </w:t>
      </w:r>
      <w:r>
        <w:rPr>
          <w:color w:val="231F1F"/>
          <w:w w:val="105"/>
          <w:sz w:val="22"/>
        </w:rPr>
        <w:t>Incluye</w:t>
      </w:r>
      <w:r>
        <w:rPr>
          <w:color w:val="231F1F"/>
          <w:spacing w:val="-4"/>
          <w:w w:val="105"/>
          <w:sz w:val="22"/>
        </w:rPr>
        <w:t> </w:t>
      </w:r>
      <w:r>
        <w:rPr>
          <w:color w:val="231F1F"/>
          <w:w w:val="105"/>
          <w:sz w:val="22"/>
        </w:rPr>
        <w:t>extensión</w:t>
      </w:r>
      <w:r>
        <w:rPr>
          <w:color w:val="231F1F"/>
          <w:spacing w:val="-3"/>
          <w:w w:val="105"/>
          <w:sz w:val="22"/>
        </w:rPr>
        <w:t> </w:t>
      </w:r>
      <w:r>
        <w:rPr>
          <w:color w:val="231F1F"/>
          <w:w w:val="105"/>
          <w:sz w:val="22"/>
        </w:rPr>
        <w:t>a</w:t>
      </w:r>
      <w:r>
        <w:rPr>
          <w:color w:val="231F1F"/>
          <w:spacing w:val="-4"/>
          <w:w w:val="105"/>
          <w:sz w:val="22"/>
        </w:rPr>
        <w:t> </w:t>
      </w:r>
      <w:r>
        <w:rPr>
          <w:color w:val="231F1F"/>
          <w:w w:val="105"/>
          <w:sz w:val="22"/>
        </w:rPr>
        <w:t>mucosa</w:t>
      </w:r>
      <w:r>
        <w:rPr>
          <w:color w:val="231F1F"/>
          <w:spacing w:val="-4"/>
          <w:w w:val="105"/>
          <w:sz w:val="22"/>
        </w:rPr>
        <w:t> </w:t>
      </w:r>
      <w:r>
        <w:rPr>
          <w:color w:val="231F1F"/>
          <w:w w:val="105"/>
          <w:sz w:val="22"/>
        </w:rPr>
        <w:t>rectal,</w:t>
      </w:r>
      <w:r>
        <w:rPr>
          <w:color w:val="231F1F"/>
          <w:spacing w:val="-4"/>
          <w:w w:val="105"/>
          <w:sz w:val="22"/>
        </w:rPr>
        <w:t> </w:t>
      </w:r>
      <w:r>
        <w:rPr>
          <w:color w:val="231F1F"/>
          <w:w w:val="105"/>
          <w:sz w:val="22"/>
        </w:rPr>
        <w:t>y</w:t>
      </w:r>
      <w:r>
        <w:rPr>
          <w:color w:val="231F1F"/>
          <w:spacing w:val="-4"/>
          <w:w w:val="105"/>
          <w:sz w:val="22"/>
        </w:rPr>
        <w:t> </w:t>
      </w:r>
      <w:r>
        <w:rPr>
          <w:color w:val="231F1F"/>
          <w:w w:val="105"/>
          <w:sz w:val="22"/>
        </w:rPr>
        <w:t>llega</w:t>
      </w:r>
      <w:r>
        <w:rPr>
          <w:color w:val="231F1F"/>
          <w:spacing w:val="-4"/>
          <w:w w:val="105"/>
          <w:sz w:val="22"/>
        </w:rPr>
        <w:t> </w:t>
      </w:r>
      <w:r>
        <w:rPr>
          <w:color w:val="231F1F"/>
          <w:w w:val="105"/>
          <w:sz w:val="22"/>
        </w:rPr>
        <w:t>a</w:t>
      </w:r>
      <w:r>
        <w:rPr>
          <w:color w:val="231F1F"/>
          <w:spacing w:val="-4"/>
          <w:w w:val="105"/>
          <w:sz w:val="22"/>
        </w:rPr>
        <w:t> </w:t>
      </w:r>
      <w:r>
        <w:rPr>
          <w:color w:val="231F1F"/>
          <w:w w:val="105"/>
          <w:sz w:val="22"/>
        </w:rPr>
        <w:t>dejar</w:t>
      </w:r>
      <w:r>
        <w:rPr>
          <w:color w:val="231F1F"/>
          <w:spacing w:val="-4"/>
          <w:w w:val="105"/>
          <w:sz w:val="22"/>
        </w:rPr>
        <w:t> </w:t>
      </w:r>
      <w:r>
        <w:rPr>
          <w:color w:val="231F1F"/>
          <w:w w:val="105"/>
          <w:sz w:val="22"/>
        </w:rPr>
        <w:t>descu- bierta la luz del recto.</w:t>
      </w:r>
    </w:p>
    <w:p>
      <w:pPr>
        <w:pStyle w:val="BodyText"/>
        <w:spacing w:before="142"/>
        <w:ind w:left="737"/>
      </w:pPr>
      <w:r>
        <w:rPr>
          <w:b/>
          <w:color w:val="231F1F"/>
          <w:spacing w:val="2"/>
        </w:rPr>
        <w:t>Distocia:</w:t>
      </w:r>
      <w:r>
        <w:rPr>
          <w:b/>
          <w:color w:val="231F1F"/>
          <w:spacing w:val="30"/>
        </w:rPr>
        <w:t> </w:t>
      </w:r>
      <w:r>
        <w:rPr>
          <w:color w:val="231F1F"/>
          <w:spacing w:val="2"/>
        </w:rPr>
        <w:t>Parto</w:t>
      </w:r>
      <w:r>
        <w:rPr>
          <w:color w:val="231F1F"/>
          <w:spacing w:val="33"/>
        </w:rPr>
        <w:t> </w:t>
      </w:r>
      <w:r>
        <w:rPr>
          <w:color w:val="231F1F"/>
          <w:spacing w:val="2"/>
        </w:rPr>
        <w:t>o</w:t>
      </w:r>
      <w:r>
        <w:rPr>
          <w:color w:val="231F1F"/>
          <w:spacing w:val="32"/>
        </w:rPr>
        <w:t> </w:t>
      </w:r>
      <w:r>
        <w:rPr>
          <w:color w:val="231F1F"/>
          <w:spacing w:val="2"/>
        </w:rPr>
        <w:t>alumbramiento</w:t>
      </w:r>
      <w:r>
        <w:rPr>
          <w:color w:val="231F1F"/>
          <w:spacing w:val="33"/>
        </w:rPr>
        <w:t> </w:t>
      </w:r>
      <w:r>
        <w:rPr>
          <w:color w:val="231F1F"/>
          <w:spacing w:val="2"/>
        </w:rPr>
        <w:t>que</w:t>
      </w:r>
      <w:r>
        <w:rPr>
          <w:color w:val="231F1F"/>
          <w:spacing w:val="34"/>
        </w:rPr>
        <w:t> </w:t>
      </w:r>
      <w:r>
        <w:rPr>
          <w:color w:val="231F1F"/>
          <w:spacing w:val="2"/>
        </w:rPr>
        <w:t>procede</w:t>
      </w:r>
      <w:r>
        <w:rPr>
          <w:color w:val="231F1F"/>
          <w:spacing w:val="31"/>
        </w:rPr>
        <w:t> </w:t>
      </w:r>
      <w:r>
        <w:rPr>
          <w:color w:val="231F1F"/>
          <w:spacing w:val="2"/>
        </w:rPr>
        <w:t>de</w:t>
      </w:r>
      <w:r>
        <w:rPr>
          <w:color w:val="231F1F"/>
          <w:spacing w:val="34"/>
        </w:rPr>
        <w:t> </w:t>
      </w:r>
      <w:r>
        <w:rPr>
          <w:color w:val="231F1F"/>
          <w:spacing w:val="2"/>
        </w:rPr>
        <w:t>manera</w:t>
      </w:r>
      <w:r>
        <w:rPr>
          <w:color w:val="231F1F"/>
          <w:spacing w:val="33"/>
        </w:rPr>
        <w:t> </w:t>
      </w:r>
      <w:r>
        <w:rPr>
          <w:color w:val="231F1F"/>
          <w:spacing w:val="2"/>
        </w:rPr>
        <w:t>anormal</w:t>
      </w:r>
      <w:r>
        <w:rPr>
          <w:color w:val="231F1F"/>
          <w:spacing w:val="32"/>
        </w:rPr>
        <w:t> </w:t>
      </w:r>
      <w:r>
        <w:rPr>
          <w:color w:val="231F1F"/>
          <w:spacing w:val="2"/>
        </w:rPr>
        <w:t>o</w:t>
      </w:r>
      <w:r>
        <w:rPr>
          <w:color w:val="231F1F"/>
          <w:spacing w:val="33"/>
        </w:rPr>
        <w:t> </w:t>
      </w:r>
      <w:r>
        <w:rPr>
          <w:color w:val="231F1F"/>
          <w:spacing w:val="-2"/>
        </w:rPr>
        <w:t>difícil</w:t>
      </w:r>
    </w:p>
    <w:p>
      <w:pPr>
        <w:pStyle w:val="BodyText"/>
        <w:spacing w:line="247" w:lineRule="auto" w:before="155"/>
        <w:ind w:left="283" w:right="121" w:firstLine="453"/>
        <w:jc w:val="both"/>
      </w:pPr>
      <w:r>
        <w:rPr>
          <w:b/>
          <w:color w:val="231F1F"/>
          <w:spacing w:val="-2"/>
          <w:w w:val="110"/>
        </w:rPr>
        <w:t>Dispareunia:</w:t>
      </w:r>
      <w:r>
        <w:rPr>
          <w:b/>
          <w:color w:val="231F1F"/>
          <w:spacing w:val="-8"/>
          <w:w w:val="110"/>
        </w:rPr>
        <w:t> </w:t>
      </w:r>
      <w:r>
        <w:rPr>
          <w:color w:val="231F1F"/>
          <w:spacing w:val="-2"/>
          <w:w w:val="110"/>
        </w:rPr>
        <w:t>La</w:t>
      </w:r>
      <w:r>
        <w:rPr>
          <w:color w:val="231F1F"/>
          <w:spacing w:val="-8"/>
          <w:w w:val="110"/>
        </w:rPr>
        <w:t> </w:t>
      </w:r>
      <w:r>
        <w:rPr>
          <w:color w:val="231F1F"/>
          <w:spacing w:val="-2"/>
          <w:w w:val="110"/>
        </w:rPr>
        <w:t>dispareunia</w:t>
      </w:r>
      <w:r>
        <w:rPr>
          <w:color w:val="231F1F"/>
          <w:spacing w:val="-8"/>
          <w:w w:val="110"/>
        </w:rPr>
        <w:t> </w:t>
      </w:r>
      <w:r>
        <w:rPr>
          <w:color w:val="231F1F"/>
          <w:spacing w:val="-2"/>
          <w:w w:val="110"/>
        </w:rPr>
        <w:t>o</w:t>
      </w:r>
      <w:r>
        <w:rPr>
          <w:color w:val="231F1F"/>
          <w:spacing w:val="-8"/>
          <w:w w:val="110"/>
        </w:rPr>
        <w:t> </w:t>
      </w:r>
      <w:r>
        <w:rPr>
          <w:color w:val="231F1F"/>
          <w:spacing w:val="-2"/>
          <w:w w:val="110"/>
        </w:rPr>
        <w:t>coitalgia</w:t>
      </w:r>
      <w:r>
        <w:rPr>
          <w:color w:val="231F1F"/>
          <w:spacing w:val="-8"/>
          <w:w w:val="110"/>
        </w:rPr>
        <w:t> </w:t>
      </w:r>
      <w:r>
        <w:rPr>
          <w:color w:val="231F1F"/>
          <w:spacing w:val="-2"/>
          <w:w w:val="110"/>
        </w:rPr>
        <w:t>es</w:t>
      </w:r>
      <w:r>
        <w:rPr>
          <w:color w:val="231F1F"/>
          <w:spacing w:val="-8"/>
          <w:w w:val="110"/>
        </w:rPr>
        <w:t> </w:t>
      </w:r>
      <w:r>
        <w:rPr>
          <w:color w:val="231F1F"/>
          <w:spacing w:val="-2"/>
          <w:w w:val="110"/>
        </w:rPr>
        <w:t>la</w:t>
      </w:r>
      <w:r>
        <w:rPr>
          <w:color w:val="231F1F"/>
          <w:spacing w:val="-8"/>
          <w:w w:val="110"/>
        </w:rPr>
        <w:t> </w:t>
      </w:r>
      <w:r>
        <w:rPr>
          <w:color w:val="231F1F"/>
          <w:spacing w:val="-2"/>
          <w:w w:val="110"/>
        </w:rPr>
        <w:t>relación</w:t>
      </w:r>
      <w:r>
        <w:rPr>
          <w:color w:val="231F1F"/>
          <w:spacing w:val="-8"/>
          <w:w w:val="110"/>
        </w:rPr>
        <w:t> </w:t>
      </w:r>
      <w:r>
        <w:rPr>
          <w:color w:val="231F1F"/>
          <w:spacing w:val="-2"/>
          <w:w w:val="110"/>
        </w:rPr>
        <w:t>sexual</w:t>
      </w:r>
      <w:r>
        <w:rPr>
          <w:color w:val="231F1F"/>
          <w:spacing w:val="-8"/>
          <w:w w:val="110"/>
        </w:rPr>
        <w:t> </w:t>
      </w:r>
      <w:r>
        <w:rPr>
          <w:color w:val="231F1F"/>
          <w:spacing w:val="-2"/>
          <w:w w:val="110"/>
        </w:rPr>
        <w:t>dolorosa.</w:t>
      </w:r>
      <w:r>
        <w:rPr>
          <w:color w:val="231F1F"/>
          <w:spacing w:val="-8"/>
          <w:w w:val="110"/>
        </w:rPr>
        <w:t> </w:t>
      </w:r>
      <w:r>
        <w:rPr>
          <w:color w:val="231F1F"/>
          <w:spacing w:val="-2"/>
          <w:w w:val="110"/>
        </w:rPr>
        <w:t>Abarca</w:t>
      </w:r>
      <w:r>
        <w:rPr>
          <w:color w:val="231F1F"/>
          <w:spacing w:val="-8"/>
          <w:w w:val="110"/>
        </w:rPr>
        <w:t> </w:t>
      </w:r>
      <w:r>
        <w:rPr>
          <w:color w:val="231F1F"/>
          <w:spacing w:val="-2"/>
          <w:w w:val="110"/>
        </w:rPr>
        <w:t>desde </w:t>
      </w:r>
      <w:r>
        <w:rPr>
          <w:color w:val="231F1F"/>
          <w:w w:val="110"/>
        </w:rPr>
        <w:t>la irritación vaginal poscoital hasta un profundo dolor. Se define como dolor o molestia antes,</w:t>
      </w:r>
      <w:r>
        <w:rPr>
          <w:color w:val="231F1F"/>
          <w:spacing w:val="-9"/>
          <w:w w:val="110"/>
        </w:rPr>
        <w:t> </w:t>
      </w:r>
      <w:r>
        <w:rPr>
          <w:color w:val="231F1F"/>
          <w:w w:val="110"/>
        </w:rPr>
        <w:t>después</w:t>
      </w:r>
      <w:r>
        <w:rPr>
          <w:color w:val="231F1F"/>
          <w:spacing w:val="-9"/>
          <w:w w:val="110"/>
        </w:rPr>
        <w:t> </w:t>
      </w:r>
      <w:r>
        <w:rPr>
          <w:color w:val="231F1F"/>
          <w:w w:val="110"/>
        </w:rPr>
        <w:t>o</w:t>
      </w:r>
      <w:r>
        <w:rPr>
          <w:color w:val="231F1F"/>
          <w:spacing w:val="-8"/>
          <w:w w:val="110"/>
        </w:rPr>
        <w:t> </w:t>
      </w:r>
      <w:r>
        <w:rPr>
          <w:color w:val="231F1F"/>
          <w:w w:val="110"/>
        </w:rPr>
        <w:t>durante</w:t>
      </w:r>
      <w:r>
        <w:rPr>
          <w:color w:val="231F1F"/>
          <w:spacing w:val="-9"/>
          <w:w w:val="110"/>
        </w:rPr>
        <w:t> </w:t>
      </w:r>
      <w:r>
        <w:rPr>
          <w:color w:val="231F1F"/>
          <w:w w:val="110"/>
        </w:rPr>
        <w:t>la</w:t>
      </w:r>
      <w:r>
        <w:rPr>
          <w:color w:val="231F1F"/>
          <w:spacing w:val="-9"/>
          <w:w w:val="110"/>
        </w:rPr>
        <w:t> </w:t>
      </w:r>
      <w:r>
        <w:rPr>
          <w:color w:val="231F1F"/>
          <w:w w:val="110"/>
        </w:rPr>
        <w:t>relación</w:t>
      </w:r>
      <w:r>
        <w:rPr>
          <w:color w:val="231F1F"/>
          <w:spacing w:val="-8"/>
          <w:w w:val="110"/>
        </w:rPr>
        <w:t> </w:t>
      </w:r>
      <w:r>
        <w:rPr>
          <w:color w:val="231F1F"/>
          <w:w w:val="110"/>
        </w:rPr>
        <w:t>sexual.</w:t>
      </w:r>
      <w:r>
        <w:rPr>
          <w:color w:val="231F1F"/>
          <w:spacing w:val="-10"/>
          <w:w w:val="110"/>
        </w:rPr>
        <w:t> </w:t>
      </w:r>
      <w:r>
        <w:rPr>
          <w:color w:val="231F1F"/>
          <w:w w:val="110"/>
        </w:rPr>
        <w:t>El</w:t>
      </w:r>
      <w:r>
        <w:rPr>
          <w:color w:val="231F1F"/>
          <w:spacing w:val="-9"/>
          <w:w w:val="110"/>
        </w:rPr>
        <w:t> </w:t>
      </w:r>
      <w:r>
        <w:rPr>
          <w:color w:val="231F1F"/>
          <w:w w:val="110"/>
        </w:rPr>
        <w:t>dolor</w:t>
      </w:r>
      <w:r>
        <w:rPr>
          <w:color w:val="231F1F"/>
          <w:spacing w:val="-9"/>
          <w:w w:val="110"/>
        </w:rPr>
        <w:t> </w:t>
      </w:r>
      <w:r>
        <w:rPr>
          <w:color w:val="231F1F"/>
          <w:w w:val="110"/>
        </w:rPr>
        <w:t>en</w:t>
      </w:r>
      <w:r>
        <w:rPr>
          <w:color w:val="231F1F"/>
          <w:spacing w:val="-8"/>
          <w:w w:val="110"/>
        </w:rPr>
        <w:t> </w:t>
      </w:r>
      <w:r>
        <w:rPr>
          <w:color w:val="231F1F"/>
          <w:w w:val="110"/>
        </w:rPr>
        <w:t>las</w:t>
      </w:r>
      <w:r>
        <w:rPr>
          <w:color w:val="231F1F"/>
          <w:spacing w:val="-9"/>
          <w:w w:val="110"/>
        </w:rPr>
        <w:t> </w:t>
      </w:r>
      <w:r>
        <w:rPr>
          <w:color w:val="231F1F"/>
          <w:w w:val="110"/>
        </w:rPr>
        <w:t>mujeres</w:t>
      </w:r>
      <w:r>
        <w:rPr>
          <w:color w:val="231F1F"/>
          <w:spacing w:val="-8"/>
          <w:w w:val="110"/>
        </w:rPr>
        <w:t> </w:t>
      </w:r>
      <w:r>
        <w:rPr>
          <w:color w:val="231F1F"/>
          <w:w w:val="110"/>
        </w:rPr>
        <w:t>puede</w:t>
      </w:r>
      <w:r>
        <w:rPr>
          <w:color w:val="231F1F"/>
          <w:spacing w:val="-9"/>
          <w:w w:val="110"/>
        </w:rPr>
        <w:t> </w:t>
      </w:r>
      <w:r>
        <w:rPr>
          <w:color w:val="231F1F"/>
          <w:w w:val="110"/>
        </w:rPr>
        <w:t>implicar</w:t>
      </w:r>
      <w:r>
        <w:rPr>
          <w:color w:val="231F1F"/>
          <w:spacing w:val="-9"/>
          <w:w w:val="110"/>
        </w:rPr>
        <w:t> </w:t>
      </w:r>
      <w:r>
        <w:rPr>
          <w:color w:val="231F1F"/>
          <w:w w:val="110"/>
        </w:rPr>
        <w:t>ardor, quemadura,</w:t>
      </w:r>
      <w:r>
        <w:rPr>
          <w:color w:val="231F1F"/>
          <w:spacing w:val="-4"/>
          <w:w w:val="110"/>
        </w:rPr>
        <w:t> </w:t>
      </w:r>
      <w:r>
        <w:rPr>
          <w:color w:val="231F1F"/>
          <w:w w:val="110"/>
        </w:rPr>
        <w:t>contracción</w:t>
      </w:r>
      <w:r>
        <w:rPr>
          <w:color w:val="231F1F"/>
          <w:spacing w:val="-3"/>
          <w:w w:val="110"/>
        </w:rPr>
        <w:t> </w:t>
      </w:r>
      <w:r>
        <w:rPr>
          <w:color w:val="231F1F"/>
          <w:w w:val="110"/>
        </w:rPr>
        <w:t>o</w:t>
      </w:r>
      <w:r>
        <w:rPr>
          <w:color w:val="231F1F"/>
          <w:spacing w:val="-3"/>
          <w:w w:val="110"/>
        </w:rPr>
        <w:t> </w:t>
      </w:r>
      <w:r>
        <w:rPr>
          <w:color w:val="231F1F"/>
          <w:w w:val="110"/>
        </w:rPr>
        <w:t>dolor</w:t>
      </w:r>
      <w:r>
        <w:rPr>
          <w:color w:val="231F1F"/>
          <w:spacing w:val="-3"/>
          <w:w w:val="110"/>
        </w:rPr>
        <w:t> </w:t>
      </w:r>
      <w:r>
        <w:rPr>
          <w:color w:val="231F1F"/>
          <w:w w:val="110"/>
        </w:rPr>
        <w:t>cortante,</w:t>
      </w:r>
      <w:r>
        <w:rPr>
          <w:color w:val="231F1F"/>
          <w:spacing w:val="-3"/>
          <w:w w:val="110"/>
        </w:rPr>
        <w:t> </w:t>
      </w:r>
      <w:r>
        <w:rPr>
          <w:color w:val="231F1F"/>
          <w:w w:val="110"/>
        </w:rPr>
        <w:t>que</w:t>
      </w:r>
      <w:r>
        <w:rPr>
          <w:color w:val="231F1F"/>
          <w:spacing w:val="-3"/>
          <w:w w:val="110"/>
        </w:rPr>
        <w:t> </w:t>
      </w:r>
      <w:r>
        <w:rPr>
          <w:color w:val="231F1F"/>
          <w:w w:val="110"/>
        </w:rPr>
        <w:t>puede</w:t>
      </w:r>
      <w:r>
        <w:rPr>
          <w:color w:val="231F1F"/>
          <w:spacing w:val="-3"/>
          <w:w w:val="110"/>
        </w:rPr>
        <w:t> </w:t>
      </w:r>
      <w:r>
        <w:rPr>
          <w:color w:val="231F1F"/>
          <w:w w:val="110"/>
        </w:rPr>
        <w:t>localizarse</w:t>
      </w:r>
      <w:r>
        <w:rPr>
          <w:color w:val="231F1F"/>
          <w:spacing w:val="-2"/>
          <w:w w:val="110"/>
        </w:rPr>
        <w:t> </w:t>
      </w:r>
      <w:r>
        <w:rPr>
          <w:color w:val="231F1F"/>
          <w:w w:val="110"/>
        </w:rPr>
        <w:t>en</w:t>
      </w:r>
      <w:r>
        <w:rPr>
          <w:color w:val="231F1F"/>
          <w:spacing w:val="-3"/>
          <w:w w:val="110"/>
        </w:rPr>
        <w:t> </w:t>
      </w:r>
      <w:r>
        <w:rPr>
          <w:color w:val="231F1F"/>
          <w:w w:val="110"/>
        </w:rPr>
        <w:t>la</w:t>
      </w:r>
      <w:r>
        <w:rPr>
          <w:color w:val="231F1F"/>
          <w:spacing w:val="-3"/>
          <w:w w:val="110"/>
        </w:rPr>
        <w:t> </w:t>
      </w:r>
      <w:r>
        <w:rPr>
          <w:color w:val="231F1F"/>
          <w:w w:val="110"/>
        </w:rPr>
        <w:t>parte</w:t>
      </w:r>
      <w:r>
        <w:rPr>
          <w:color w:val="231F1F"/>
          <w:spacing w:val="-3"/>
          <w:w w:val="110"/>
        </w:rPr>
        <w:t> </w:t>
      </w:r>
      <w:r>
        <w:rPr>
          <w:color w:val="231F1F"/>
          <w:w w:val="110"/>
        </w:rPr>
        <w:t>interior</w:t>
      </w:r>
      <w:r>
        <w:rPr>
          <w:color w:val="231F1F"/>
          <w:spacing w:val="-3"/>
          <w:w w:val="110"/>
        </w:rPr>
        <w:t> </w:t>
      </w:r>
      <w:r>
        <w:rPr>
          <w:color w:val="231F1F"/>
          <w:w w:val="110"/>
        </w:rPr>
        <w:t>o</w:t>
      </w:r>
      <w:r>
        <w:rPr>
          <w:color w:val="231F1F"/>
          <w:spacing w:val="-3"/>
          <w:w w:val="110"/>
        </w:rPr>
        <w:t> </w:t>
      </w:r>
      <w:r>
        <w:rPr>
          <w:color w:val="231F1F"/>
          <w:w w:val="110"/>
        </w:rPr>
        <w:t>ex- terior de la vagina, en la región pélvica o en el abdomen.</w:t>
      </w:r>
    </w:p>
    <w:p>
      <w:pPr>
        <w:pStyle w:val="BodyText"/>
        <w:spacing w:line="244" w:lineRule="auto" w:before="128"/>
        <w:ind w:left="283" w:right="125" w:firstLine="453"/>
        <w:jc w:val="both"/>
      </w:pPr>
      <w:r>
        <w:rPr>
          <w:b/>
          <w:color w:val="231F1F"/>
          <w:w w:val="105"/>
        </w:rPr>
        <w:t>Distrés</w:t>
      </w:r>
      <w:r>
        <w:rPr>
          <w:b/>
          <w:color w:val="231F1F"/>
          <w:spacing w:val="-3"/>
          <w:w w:val="105"/>
        </w:rPr>
        <w:t> </w:t>
      </w:r>
      <w:r>
        <w:rPr>
          <w:b/>
          <w:color w:val="231F1F"/>
          <w:w w:val="105"/>
        </w:rPr>
        <w:t>respiratorio</w:t>
      </w:r>
      <w:r>
        <w:rPr>
          <w:color w:val="231F1F"/>
          <w:w w:val="105"/>
        </w:rPr>
        <w:t>:</w:t>
      </w:r>
      <w:r>
        <w:rPr>
          <w:color w:val="231F1F"/>
          <w:spacing w:val="-3"/>
          <w:w w:val="105"/>
        </w:rPr>
        <w:t> </w:t>
      </w:r>
      <w:r>
        <w:rPr>
          <w:color w:val="231F1F"/>
          <w:w w:val="105"/>
        </w:rPr>
        <w:t>Situación</w:t>
      </w:r>
      <w:r>
        <w:rPr>
          <w:color w:val="231F1F"/>
          <w:spacing w:val="-4"/>
          <w:w w:val="105"/>
        </w:rPr>
        <w:t> </w:t>
      </w:r>
      <w:r>
        <w:rPr>
          <w:color w:val="231F1F"/>
          <w:w w:val="105"/>
        </w:rPr>
        <w:t>de</w:t>
      </w:r>
      <w:r>
        <w:rPr>
          <w:color w:val="231F1F"/>
          <w:spacing w:val="-3"/>
          <w:w w:val="105"/>
        </w:rPr>
        <w:t> </w:t>
      </w:r>
      <w:r>
        <w:rPr>
          <w:color w:val="231F1F"/>
          <w:w w:val="105"/>
        </w:rPr>
        <w:t>inestabilidad</w:t>
      </w:r>
      <w:r>
        <w:rPr>
          <w:color w:val="231F1F"/>
          <w:spacing w:val="-3"/>
          <w:w w:val="105"/>
        </w:rPr>
        <w:t> </w:t>
      </w:r>
      <w:r>
        <w:rPr>
          <w:color w:val="231F1F"/>
          <w:w w:val="105"/>
        </w:rPr>
        <w:t>respiratoria</w:t>
      </w:r>
      <w:r>
        <w:rPr>
          <w:color w:val="231F1F"/>
          <w:spacing w:val="-2"/>
          <w:w w:val="105"/>
        </w:rPr>
        <w:t> </w:t>
      </w:r>
      <w:r>
        <w:rPr>
          <w:color w:val="231F1F"/>
          <w:w w:val="105"/>
        </w:rPr>
        <w:t>que</w:t>
      </w:r>
      <w:r>
        <w:rPr>
          <w:color w:val="231F1F"/>
          <w:spacing w:val="-3"/>
          <w:w w:val="105"/>
        </w:rPr>
        <w:t> </w:t>
      </w:r>
      <w:r>
        <w:rPr>
          <w:color w:val="231F1F"/>
          <w:w w:val="105"/>
        </w:rPr>
        <w:t>ocasione</w:t>
      </w:r>
      <w:r>
        <w:rPr>
          <w:color w:val="231F1F"/>
          <w:spacing w:val="-4"/>
          <w:w w:val="105"/>
        </w:rPr>
        <w:t> </w:t>
      </w:r>
      <w:r>
        <w:rPr>
          <w:color w:val="231F1F"/>
          <w:w w:val="105"/>
        </w:rPr>
        <w:t>necesidad</w:t>
      </w:r>
      <w:r>
        <w:rPr>
          <w:color w:val="231F1F"/>
          <w:spacing w:val="-4"/>
          <w:w w:val="105"/>
        </w:rPr>
        <w:t> </w:t>
      </w:r>
      <w:r>
        <w:rPr>
          <w:color w:val="231F1F"/>
          <w:w w:val="105"/>
        </w:rPr>
        <w:t>de vigilancia</w:t>
      </w:r>
      <w:r>
        <w:rPr>
          <w:color w:val="231F1F"/>
          <w:spacing w:val="-14"/>
          <w:w w:val="105"/>
        </w:rPr>
        <w:t> </w:t>
      </w:r>
      <w:r>
        <w:rPr>
          <w:color w:val="231F1F"/>
          <w:w w:val="105"/>
        </w:rPr>
        <w:t>especial,</w:t>
      </w:r>
      <w:r>
        <w:rPr>
          <w:color w:val="231F1F"/>
          <w:spacing w:val="-13"/>
          <w:w w:val="105"/>
        </w:rPr>
        <w:t> </w:t>
      </w:r>
      <w:r>
        <w:rPr>
          <w:color w:val="231F1F"/>
          <w:w w:val="105"/>
        </w:rPr>
        <w:t>monitorización,</w:t>
      </w:r>
      <w:r>
        <w:rPr>
          <w:color w:val="231F1F"/>
          <w:spacing w:val="-14"/>
          <w:w w:val="105"/>
        </w:rPr>
        <w:t> </w:t>
      </w:r>
      <w:r>
        <w:rPr>
          <w:color w:val="231F1F"/>
          <w:w w:val="105"/>
        </w:rPr>
        <w:t>oxígenoterapia</w:t>
      </w:r>
      <w:r>
        <w:rPr>
          <w:color w:val="231F1F"/>
          <w:spacing w:val="-14"/>
          <w:w w:val="105"/>
        </w:rPr>
        <w:t> </w:t>
      </w:r>
      <w:r>
        <w:rPr>
          <w:color w:val="231F1F"/>
          <w:w w:val="105"/>
        </w:rPr>
        <w:t>o</w:t>
      </w:r>
      <w:r>
        <w:rPr>
          <w:color w:val="231F1F"/>
          <w:spacing w:val="-12"/>
          <w:w w:val="105"/>
        </w:rPr>
        <w:t> </w:t>
      </w:r>
      <w:r>
        <w:rPr>
          <w:color w:val="231F1F"/>
          <w:w w:val="105"/>
        </w:rPr>
        <w:t>ingreso</w:t>
      </w:r>
      <w:r>
        <w:rPr>
          <w:color w:val="231F1F"/>
          <w:spacing w:val="-14"/>
          <w:w w:val="105"/>
        </w:rPr>
        <w:t> </w:t>
      </w:r>
      <w:r>
        <w:rPr>
          <w:color w:val="231F1F"/>
          <w:w w:val="105"/>
        </w:rPr>
        <w:t>para</w:t>
      </w:r>
      <w:r>
        <w:rPr>
          <w:color w:val="231F1F"/>
          <w:spacing w:val="-14"/>
          <w:w w:val="105"/>
        </w:rPr>
        <w:t> </w:t>
      </w:r>
      <w:r>
        <w:rPr>
          <w:color w:val="231F1F"/>
          <w:w w:val="105"/>
        </w:rPr>
        <w:t>observación</w:t>
      </w:r>
      <w:r>
        <w:rPr>
          <w:color w:val="231F1F"/>
          <w:spacing w:val="-14"/>
          <w:w w:val="105"/>
        </w:rPr>
        <w:t> </w:t>
      </w:r>
      <w:r>
        <w:rPr>
          <w:color w:val="231F1F"/>
          <w:w w:val="105"/>
        </w:rPr>
        <w:t>o</w:t>
      </w:r>
      <w:r>
        <w:rPr>
          <w:color w:val="231F1F"/>
          <w:spacing w:val="-12"/>
          <w:w w:val="105"/>
        </w:rPr>
        <w:t> </w:t>
      </w:r>
      <w:r>
        <w:rPr>
          <w:color w:val="231F1F"/>
          <w:w w:val="105"/>
        </w:rPr>
        <w:t>tratamiento.</w:t>
      </w:r>
    </w:p>
    <w:p>
      <w:pPr>
        <w:spacing w:line="244" w:lineRule="auto" w:before="136"/>
        <w:ind w:left="283" w:right="125" w:firstLine="453"/>
        <w:jc w:val="both"/>
        <w:rPr>
          <w:sz w:val="22"/>
        </w:rPr>
      </w:pPr>
      <w:r>
        <w:rPr>
          <w:b/>
          <w:color w:val="231F1F"/>
          <w:w w:val="105"/>
          <w:sz w:val="22"/>
        </w:rPr>
        <w:t>Dosis</w:t>
      </w:r>
      <w:r>
        <w:rPr>
          <w:b/>
          <w:color w:val="231F1F"/>
          <w:spacing w:val="-10"/>
          <w:w w:val="105"/>
          <w:sz w:val="22"/>
        </w:rPr>
        <w:t> </w:t>
      </w:r>
      <w:r>
        <w:rPr>
          <w:b/>
          <w:color w:val="231F1F"/>
          <w:w w:val="105"/>
          <w:sz w:val="22"/>
        </w:rPr>
        <w:t>perineal</w:t>
      </w:r>
      <w:r>
        <w:rPr>
          <w:b/>
          <w:color w:val="231F1F"/>
          <w:spacing w:val="-11"/>
          <w:w w:val="105"/>
          <w:sz w:val="22"/>
        </w:rPr>
        <w:t> </w:t>
      </w:r>
      <w:r>
        <w:rPr>
          <w:b/>
          <w:color w:val="231F1F"/>
          <w:w w:val="105"/>
          <w:sz w:val="22"/>
        </w:rPr>
        <w:t>-</w:t>
      </w:r>
      <w:r>
        <w:rPr>
          <w:b/>
          <w:color w:val="231F1F"/>
          <w:spacing w:val="-11"/>
          <w:w w:val="105"/>
          <w:sz w:val="22"/>
        </w:rPr>
        <w:t> </w:t>
      </w:r>
      <w:r>
        <w:rPr>
          <w:b/>
          <w:color w:val="231F1F"/>
          <w:w w:val="105"/>
          <w:sz w:val="22"/>
        </w:rPr>
        <w:t>altas</w:t>
      </w:r>
      <w:r>
        <w:rPr>
          <w:b/>
          <w:color w:val="231F1F"/>
          <w:spacing w:val="-10"/>
          <w:w w:val="105"/>
          <w:sz w:val="22"/>
        </w:rPr>
        <w:t> </w:t>
      </w:r>
      <w:r>
        <w:rPr>
          <w:b/>
          <w:color w:val="231F1F"/>
          <w:w w:val="105"/>
          <w:sz w:val="22"/>
        </w:rPr>
        <w:t>concentraciones:</w:t>
      </w:r>
      <w:r>
        <w:rPr>
          <w:b/>
          <w:color w:val="231F1F"/>
          <w:spacing w:val="-9"/>
          <w:w w:val="105"/>
          <w:sz w:val="22"/>
        </w:rPr>
        <w:t> </w:t>
      </w:r>
      <w:r>
        <w:rPr>
          <w:color w:val="231F1F"/>
          <w:w w:val="105"/>
          <w:sz w:val="22"/>
        </w:rPr>
        <w:t>Bupivacaína-levobupivacaína</w:t>
      </w:r>
      <w:r>
        <w:rPr>
          <w:color w:val="231F1F"/>
          <w:spacing w:val="-11"/>
          <w:w w:val="105"/>
          <w:sz w:val="22"/>
        </w:rPr>
        <w:t> </w:t>
      </w:r>
      <w:r>
        <w:rPr>
          <w:color w:val="231F1F"/>
          <w:w w:val="105"/>
          <w:sz w:val="22"/>
        </w:rPr>
        <w:t>0,25%</w:t>
      </w:r>
      <w:r>
        <w:rPr>
          <w:color w:val="231F1F"/>
          <w:spacing w:val="-10"/>
          <w:w w:val="105"/>
          <w:sz w:val="22"/>
        </w:rPr>
        <w:t> </w:t>
      </w:r>
      <w:r>
        <w:rPr>
          <w:color w:val="231F1F"/>
          <w:w w:val="105"/>
          <w:sz w:val="22"/>
        </w:rPr>
        <w:t>o</w:t>
      </w:r>
      <w:r>
        <w:rPr>
          <w:color w:val="231F1F"/>
          <w:spacing w:val="-10"/>
          <w:w w:val="105"/>
          <w:sz w:val="22"/>
        </w:rPr>
        <w:t> </w:t>
      </w:r>
      <w:r>
        <w:rPr>
          <w:color w:val="231F1F"/>
          <w:w w:val="105"/>
          <w:sz w:val="22"/>
        </w:rPr>
        <w:t>mayor; ropivacaína 0,2% o mayor y lidocaína 1,5% o mayor.</w:t>
      </w:r>
    </w:p>
    <w:p>
      <w:pPr>
        <w:pStyle w:val="BodyText"/>
        <w:spacing w:line="244" w:lineRule="auto" w:before="142"/>
        <w:ind w:left="283" w:right="120" w:firstLine="453"/>
        <w:jc w:val="both"/>
      </w:pPr>
      <w:r>
        <w:rPr>
          <w:b/>
          <w:color w:val="231F1F"/>
          <w:w w:val="105"/>
        </w:rPr>
        <w:t>Doula:</w:t>
      </w:r>
      <w:r>
        <w:rPr>
          <w:b/>
          <w:color w:val="231F1F"/>
          <w:spacing w:val="-1"/>
          <w:w w:val="105"/>
        </w:rPr>
        <w:t> </w:t>
      </w:r>
      <w:r>
        <w:rPr>
          <w:color w:val="231F1F"/>
          <w:w w:val="105"/>
        </w:rPr>
        <w:t>Las</w:t>
      </w:r>
      <w:r>
        <w:rPr>
          <w:color w:val="231F1F"/>
          <w:spacing w:val="-1"/>
          <w:w w:val="105"/>
        </w:rPr>
        <w:t> </w:t>
      </w:r>
      <w:r>
        <w:rPr>
          <w:color w:val="231F1F"/>
          <w:w w:val="105"/>
        </w:rPr>
        <w:t>doulas</w:t>
      </w:r>
      <w:r>
        <w:rPr>
          <w:color w:val="231F1F"/>
          <w:spacing w:val="-1"/>
          <w:w w:val="105"/>
        </w:rPr>
        <w:t> </w:t>
      </w:r>
      <w:r>
        <w:rPr>
          <w:color w:val="231F1F"/>
          <w:w w:val="105"/>
        </w:rPr>
        <w:t>son</w:t>
      </w:r>
      <w:r>
        <w:rPr>
          <w:color w:val="231F1F"/>
          <w:spacing w:val="-1"/>
          <w:w w:val="105"/>
        </w:rPr>
        <w:t> </w:t>
      </w:r>
      <w:r>
        <w:rPr>
          <w:color w:val="231F1F"/>
          <w:w w:val="105"/>
        </w:rPr>
        <w:t>mujeres,</w:t>
      </w:r>
      <w:r>
        <w:rPr>
          <w:color w:val="231F1F"/>
          <w:spacing w:val="-1"/>
          <w:w w:val="105"/>
        </w:rPr>
        <w:t> </w:t>
      </w:r>
      <w:r>
        <w:rPr>
          <w:color w:val="231F1F"/>
          <w:w w:val="105"/>
        </w:rPr>
        <w:t>en</w:t>
      </w:r>
      <w:r>
        <w:rPr>
          <w:color w:val="231F1F"/>
          <w:spacing w:val="-1"/>
          <w:w w:val="105"/>
        </w:rPr>
        <w:t> </w:t>
      </w:r>
      <w:r>
        <w:rPr>
          <w:color w:val="231F1F"/>
          <w:w w:val="105"/>
        </w:rPr>
        <w:t>su</w:t>
      </w:r>
      <w:r>
        <w:rPr>
          <w:color w:val="231F1F"/>
          <w:spacing w:val="-1"/>
          <w:w w:val="105"/>
        </w:rPr>
        <w:t> </w:t>
      </w:r>
      <w:r>
        <w:rPr>
          <w:color w:val="231F1F"/>
          <w:w w:val="105"/>
        </w:rPr>
        <w:t>mayoría</w:t>
      </w:r>
      <w:r>
        <w:rPr>
          <w:color w:val="231F1F"/>
          <w:spacing w:val="-1"/>
          <w:w w:val="105"/>
        </w:rPr>
        <w:t> </w:t>
      </w:r>
      <w:r>
        <w:rPr>
          <w:color w:val="231F1F"/>
          <w:w w:val="105"/>
        </w:rPr>
        <w:t>madres,</w:t>
      </w:r>
      <w:r>
        <w:rPr>
          <w:color w:val="231F1F"/>
          <w:spacing w:val="-1"/>
          <w:w w:val="105"/>
        </w:rPr>
        <w:t> </w:t>
      </w:r>
      <w:r>
        <w:rPr>
          <w:color w:val="231F1F"/>
          <w:w w:val="105"/>
        </w:rPr>
        <w:t>que</w:t>
      </w:r>
      <w:r>
        <w:rPr>
          <w:color w:val="231F1F"/>
          <w:spacing w:val="-1"/>
          <w:w w:val="105"/>
        </w:rPr>
        <w:t> </w:t>
      </w:r>
      <w:r>
        <w:rPr>
          <w:color w:val="231F1F"/>
          <w:w w:val="105"/>
        </w:rPr>
        <w:t>acompañan</w:t>
      </w:r>
      <w:r>
        <w:rPr>
          <w:color w:val="231F1F"/>
          <w:spacing w:val="-1"/>
          <w:w w:val="105"/>
        </w:rPr>
        <w:t> </w:t>
      </w:r>
      <w:r>
        <w:rPr>
          <w:color w:val="231F1F"/>
          <w:w w:val="105"/>
        </w:rPr>
        <w:t>a</w:t>
      </w:r>
      <w:r>
        <w:rPr>
          <w:color w:val="231F1F"/>
          <w:spacing w:val="-1"/>
          <w:w w:val="105"/>
        </w:rPr>
        <w:t> </w:t>
      </w:r>
      <w:r>
        <w:rPr>
          <w:color w:val="231F1F"/>
          <w:w w:val="105"/>
        </w:rPr>
        <w:t>otras</w:t>
      </w:r>
      <w:r>
        <w:rPr>
          <w:color w:val="231F1F"/>
          <w:spacing w:val="-1"/>
          <w:w w:val="105"/>
        </w:rPr>
        <w:t> </w:t>
      </w:r>
      <w:r>
        <w:rPr>
          <w:color w:val="231F1F"/>
          <w:w w:val="105"/>
        </w:rPr>
        <w:t>mujeres durante</w:t>
      </w:r>
      <w:r>
        <w:rPr>
          <w:color w:val="231F1F"/>
          <w:spacing w:val="26"/>
          <w:w w:val="105"/>
        </w:rPr>
        <w:t> </w:t>
      </w:r>
      <w:r>
        <w:rPr>
          <w:color w:val="231F1F"/>
          <w:w w:val="105"/>
        </w:rPr>
        <w:t>la</w:t>
      </w:r>
      <w:r>
        <w:rPr>
          <w:color w:val="231F1F"/>
          <w:spacing w:val="27"/>
          <w:w w:val="105"/>
        </w:rPr>
        <w:t> </w:t>
      </w:r>
      <w:r>
        <w:rPr>
          <w:color w:val="231F1F"/>
          <w:w w:val="105"/>
        </w:rPr>
        <w:t>gestación,</w:t>
      </w:r>
      <w:r>
        <w:rPr>
          <w:color w:val="231F1F"/>
          <w:spacing w:val="24"/>
          <w:w w:val="105"/>
        </w:rPr>
        <w:t> </w:t>
      </w:r>
      <w:r>
        <w:rPr>
          <w:color w:val="231F1F"/>
          <w:w w:val="105"/>
        </w:rPr>
        <w:t>parto</w:t>
      </w:r>
      <w:r>
        <w:rPr>
          <w:color w:val="231F1F"/>
          <w:spacing w:val="26"/>
          <w:w w:val="105"/>
        </w:rPr>
        <w:t> </w:t>
      </w:r>
      <w:r>
        <w:rPr>
          <w:color w:val="231F1F"/>
          <w:w w:val="105"/>
        </w:rPr>
        <w:t>y</w:t>
      </w:r>
      <w:r>
        <w:rPr>
          <w:color w:val="231F1F"/>
          <w:spacing w:val="27"/>
          <w:w w:val="105"/>
        </w:rPr>
        <w:t> </w:t>
      </w:r>
      <w:r>
        <w:rPr>
          <w:color w:val="231F1F"/>
          <w:w w:val="105"/>
        </w:rPr>
        <w:t>puerperio,</w:t>
      </w:r>
      <w:r>
        <w:rPr>
          <w:color w:val="231F1F"/>
          <w:spacing w:val="24"/>
          <w:w w:val="105"/>
        </w:rPr>
        <w:t> </w:t>
      </w:r>
      <w:r>
        <w:rPr>
          <w:color w:val="231F1F"/>
          <w:w w:val="105"/>
        </w:rPr>
        <w:t>ofreciendo</w:t>
      </w:r>
      <w:r>
        <w:rPr>
          <w:color w:val="231F1F"/>
          <w:spacing w:val="26"/>
          <w:w w:val="105"/>
        </w:rPr>
        <w:t> </w:t>
      </w:r>
      <w:r>
        <w:rPr>
          <w:color w:val="231F1F"/>
          <w:w w:val="105"/>
        </w:rPr>
        <w:t>soporte,</w:t>
      </w:r>
      <w:r>
        <w:rPr>
          <w:color w:val="231F1F"/>
          <w:spacing w:val="24"/>
          <w:w w:val="105"/>
        </w:rPr>
        <w:t> </w:t>
      </w:r>
      <w:r>
        <w:rPr>
          <w:color w:val="231F1F"/>
          <w:w w:val="105"/>
        </w:rPr>
        <w:t>tanto</w:t>
      </w:r>
      <w:r>
        <w:rPr>
          <w:color w:val="231F1F"/>
          <w:spacing w:val="26"/>
          <w:w w:val="105"/>
        </w:rPr>
        <w:t> </w:t>
      </w:r>
      <w:r>
        <w:rPr>
          <w:color w:val="231F1F"/>
          <w:w w:val="105"/>
        </w:rPr>
        <w:t>físico</w:t>
      </w:r>
      <w:r>
        <w:rPr>
          <w:color w:val="231F1F"/>
          <w:spacing w:val="27"/>
          <w:w w:val="105"/>
        </w:rPr>
        <w:t> </w:t>
      </w:r>
      <w:r>
        <w:rPr>
          <w:color w:val="231F1F"/>
          <w:w w:val="105"/>
        </w:rPr>
        <w:t>como</w:t>
      </w:r>
      <w:r>
        <w:rPr>
          <w:color w:val="231F1F"/>
          <w:spacing w:val="27"/>
          <w:w w:val="105"/>
        </w:rPr>
        <w:t> </w:t>
      </w:r>
      <w:r>
        <w:rPr>
          <w:color w:val="231F1F"/>
          <w:w w:val="105"/>
        </w:rPr>
        <w:t>emocional.</w:t>
      </w:r>
    </w:p>
    <w:p>
      <w:pPr>
        <w:pStyle w:val="BodyText"/>
        <w:spacing w:line="244" w:lineRule="auto" w:before="137"/>
        <w:ind w:left="283" w:right="120" w:firstLine="453"/>
        <w:jc w:val="both"/>
      </w:pPr>
      <w:r>
        <w:rPr>
          <w:b/>
          <w:color w:val="231F1F"/>
          <w:w w:val="105"/>
        </w:rPr>
        <w:t>Embase</w:t>
      </w:r>
      <w:r>
        <w:rPr>
          <w:color w:val="231F1F"/>
          <w:w w:val="105"/>
        </w:rPr>
        <w:t>:</w:t>
      </w:r>
      <w:r>
        <w:rPr>
          <w:color w:val="231F1F"/>
          <w:w w:val="105"/>
        </w:rPr>
        <w:t> Base</w:t>
      </w:r>
      <w:r>
        <w:rPr>
          <w:color w:val="231F1F"/>
          <w:w w:val="105"/>
        </w:rPr>
        <w:t> de</w:t>
      </w:r>
      <w:r>
        <w:rPr>
          <w:color w:val="231F1F"/>
          <w:w w:val="105"/>
        </w:rPr>
        <w:t> datos</w:t>
      </w:r>
      <w:r>
        <w:rPr>
          <w:color w:val="231F1F"/>
          <w:w w:val="105"/>
        </w:rPr>
        <w:t> europea</w:t>
      </w:r>
      <w:r>
        <w:rPr>
          <w:color w:val="231F1F"/>
          <w:w w:val="105"/>
        </w:rPr>
        <w:t> (holandesa)</w:t>
      </w:r>
      <w:r>
        <w:rPr>
          <w:color w:val="231F1F"/>
          <w:w w:val="105"/>
        </w:rPr>
        <w:t> producida</w:t>
      </w:r>
      <w:r>
        <w:rPr>
          <w:color w:val="231F1F"/>
          <w:w w:val="105"/>
        </w:rPr>
        <w:t> por</w:t>
      </w:r>
      <w:r>
        <w:rPr>
          <w:color w:val="231F1F"/>
          <w:w w:val="105"/>
        </w:rPr>
        <w:t> Excerpta</w:t>
      </w:r>
      <w:r>
        <w:rPr>
          <w:color w:val="231F1F"/>
          <w:w w:val="105"/>
        </w:rPr>
        <w:t> Médica</w:t>
      </w:r>
      <w:r>
        <w:rPr>
          <w:color w:val="231F1F"/>
          <w:w w:val="105"/>
        </w:rPr>
        <w:t> con contenido de medicina clínica y farmacología.</w:t>
      </w:r>
    </w:p>
    <w:p>
      <w:pPr>
        <w:spacing w:before="132"/>
        <w:ind w:left="736" w:right="0" w:firstLine="0"/>
        <w:jc w:val="left"/>
        <w:rPr>
          <w:sz w:val="22"/>
        </w:rPr>
      </w:pPr>
      <w:r>
        <w:rPr>
          <w:b/>
          <w:color w:val="231F1F"/>
          <w:sz w:val="22"/>
        </w:rPr>
        <w:t>Encopresis</w:t>
      </w:r>
      <w:r>
        <w:rPr>
          <w:color w:val="231F1F"/>
          <w:sz w:val="22"/>
        </w:rPr>
        <w:t>:</w:t>
      </w:r>
      <w:r>
        <w:rPr>
          <w:color w:val="231F1F"/>
          <w:spacing w:val="34"/>
          <w:sz w:val="22"/>
        </w:rPr>
        <w:t> </w:t>
      </w:r>
      <w:r>
        <w:rPr>
          <w:color w:val="231F1F"/>
          <w:sz w:val="22"/>
        </w:rPr>
        <w:t>Incontinencia</w:t>
      </w:r>
      <w:r>
        <w:rPr>
          <w:color w:val="231F1F"/>
          <w:spacing w:val="37"/>
          <w:sz w:val="22"/>
        </w:rPr>
        <w:t> </w:t>
      </w:r>
      <w:r>
        <w:rPr>
          <w:color w:val="231F1F"/>
          <w:spacing w:val="-2"/>
          <w:sz w:val="22"/>
        </w:rPr>
        <w:t>fecal.</w:t>
      </w:r>
    </w:p>
    <w:p>
      <w:pPr>
        <w:spacing w:line="244" w:lineRule="auto" w:before="150"/>
        <w:ind w:left="283" w:right="125" w:firstLine="453"/>
        <w:jc w:val="both"/>
        <w:rPr>
          <w:sz w:val="22"/>
        </w:rPr>
      </w:pPr>
      <w:r>
        <w:rPr>
          <w:b/>
          <w:color w:val="231F1F"/>
          <w:w w:val="105"/>
          <w:sz w:val="22"/>
        </w:rPr>
        <w:t>Enfermedad</w:t>
      </w:r>
      <w:r>
        <w:rPr>
          <w:b/>
          <w:color w:val="231F1F"/>
          <w:spacing w:val="-7"/>
          <w:w w:val="105"/>
          <w:sz w:val="22"/>
        </w:rPr>
        <w:t> </w:t>
      </w:r>
      <w:r>
        <w:rPr>
          <w:b/>
          <w:color w:val="231F1F"/>
          <w:w w:val="105"/>
          <w:sz w:val="22"/>
        </w:rPr>
        <w:t>hemorrágica</w:t>
      </w:r>
      <w:r>
        <w:rPr>
          <w:b/>
          <w:color w:val="231F1F"/>
          <w:spacing w:val="-7"/>
          <w:w w:val="105"/>
          <w:sz w:val="22"/>
        </w:rPr>
        <w:t> </w:t>
      </w:r>
      <w:r>
        <w:rPr>
          <w:b/>
          <w:color w:val="231F1F"/>
          <w:w w:val="105"/>
          <w:sz w:val="22"/>
        </w:rPr>
        <w:t>precoz</w:t>
      </w:r>
      <w:r>
        <w:rPr>
          <w:b/>
          <w:color w:val="231F1F"/>
          <w:spacing w:val="-7"/>
          <w:w w:val="105"/>
          <w:sz w:val="22"/>
        </w:rPr>
        <w:t> </w:t>
      </w:r>
      <w:r>
        <w:rPr>
          <w:b/>
          <w:color w:val="231F1F"/>
          <w:w w:val="105"/>
          <w:sz w:val="22"/>
        </w:rPr>
        <w:t>por</w:t>
      </w:r>
      <w:r>
        <w:rPr>
          <w:b/>
          <w:color w:val="231F1F"/>
          <w:spacing w:val="-7"/>
          <w:w w:val="105"/>
          <w:sz w:val="22"/>
        </w:rPr>
        <w:t> </w:t>
      </w:r>
      <w:r>
        <w:rPr>
          <w:b/>
          <w:color w:val="231F1F"/>
          <w:w w:val="105"/>
          <w:sz w:val="22"/>
        </w:rPr>
        <w:t>déficit</w:t>
      </w:r>
      <w:r>
        <w:rPr>
          <w:b/>
          <w:color w:val="231F1F"/>
          <w:spacing w:val="-7"/>
          <w:w w:val="105"/>
          <w:sz w:val="22"/>
        </w:rPr>
        <w:t> </w:t>
      </w:r>
      <w:r>
        <w:rPr>
          <w:b/>
          <w:color w:val="231F1F"/>
          <w:w w:val="105"/>
          <w:sz w:val="22"/>
        </w:rPr>
        <w:t>de</w:t>
      </w:r>
      <w:r>
        <w:rPr>
          <w:b/>
          <w:color w:val="231F1F"/>
          <w:spacing w:val="-7"/>
          <w:w w:val="105"/>
          <w:sz w:val="22"/>
        </w:rPr>
        <w:t> </w:t>
      </w:r>
      <w:r>
        <w:rPr>
          <w:b/>
          <w:color w:val="231F1F"/>
          <w:w w:val="105"/>
          <w:sz w:val="22"/>
        </w:rPr>
        <w:t>vitamina</w:t>
      </w:r>
      <w:r>
        <w:rPr>
          <w:b/>
          <w:color w:val="231F1F"/>
          <w:spacing w:val="-7"/>
          <w:w w:val="105"/>
          <w:sz w:val="22"/>
        </w:rPr>
        <w:t> </w:t>
      </w:r>
      <w:r>
        <w:rPr>
          <w:b/>
          <w:color w:val="231F1F"/>
          <w:w w:val="105"/>
          <w:sz w:val="22"/>
        </w:rPr>
        <w:t>K:</w:t>
      </w:r>
      <w:r>
        <w:rPr>
          <w:b/>
          <w:color w:val="231F1F"/>
          <w:spacing w:val="-7"/>
          <w:w w:val="105"/>
          <w:sz w:val="22"/>
        </w:rPr>
        <w:t> </w:t>
      </w:r>
      <w:r>
        <w:rPr>
          <w:color w:val="231F1F"/>
          <w:w w:val="105"/>
          <w:sz w:val="22"/>
        </w:rPr>
        <w:t>Abarca</w:t>
      </w:r>
      <w:r>
        <w:rPr>
          <w:color w:val="231F1F"/>
          <w:spacing w:val="-7"/>
          <w:w w:val="105"/>
          <w:sz w:val="22"/>
        </w:rPr>
        <w:t> </w:t>
      </w:r>
      <w:r>
        <w:rPr>
          <w:color w:val="231F1F"/>
          <w:w w:val="105"/>
          <w:sz w:val="22"/>
        </w:rPr>
        <w:t>los</w:t>
      </w:r>
      <w:r>
        <w:rPr>
          <w:color w:val="231F1F"/>
          <w:spacing w:val="-7"/>
          <w:w w:val="105"/>
          <w:sz w:val="22"/>
        </w:rPr>
        <w:t> </w:t>
      </w:r>
      <w:r>
        <w:rPr>
          <w:color w:val="231F1F"/>
          <w:w w:val="105"/>
          <w:sz w:val="22"/>
        </w:rPr>
        <w:t>15</w:t>
      </w:r>
      <w:r>
        <w:rPr>
          <w:color w:val="231F1F"/>
          <w:spacing w:val="-7"/>
          <w:w w:val="105"/>
          <w:sz w:val="22"/>
        </w:rPr>
        <w:t> </w:t>
      </w:r>
      <w:r>
        <w:rPr>
          <w:color w:val="231F1F"/>
          <w:w w:val="105"/>
          <w:sz w:val="22"/>
        </w:rPr>
        <w:t>primeros días de vida.</w:t>
      </w:r>
    </w:p>
    <w:p>
      <w:pPr>
        <w:spacing w:line="264" w:lineRule="auto" w:before="156"/>
        <w:ind w:left="283" w:right="125" w:firstLine="453"/>
        <w:jc w:val="both"/>
        <w:rPr>
          <w:sz w:val="22"/>
        </w:rPr>
      </w:pPr>
      <w:r>
        <w:rPr>
          <w:b/>
          <w:color w:val="231F1F"/>
          <w:sz w:val="22"/>
        </w:rPr>
        <w:t>Enfermedad hemorrágica tardía por déficit de vitamina K</w:t>
      </w:r>
      <w:r>
        <w:rPr>
          <w:color w:val="231F1F"/>
          <w:sz w:val="22"/>
        </w:rPr>
        <w:t>: Comprende desde las 2 semanas</w:t>
      </w:r>
      <w:r>
        <w:rPr>
          <w:color w:val="231F1F"/>
          <w:spacing w:val="40"/>
          <w:sz w:val="22"/>
        </w:rPr>
        <w:t> </w:t>
      </w:r>
      <w:r>
        <w:rPr>
          <w:color w:val="231F1F"/>
          <w:sz w:val="22"/>
        </w:rPr>
        <w:t>hasta</w:t>
      </w:r>
      <w:r>
        <w:rPr>
          <w:color w:val="231F1F"/>
          <w:spacing w:val="40"/>
          <w:sz w:val="22"/>
        </w:rPr>
        <w:t> </w:t>
      </w:r>
      <w:r>
        <w:rPr>
          <w:color w:val="231F1F"/>
          <w:sz w:val="22"/>
        </w:rPr>
        <w:t>2-3</w:t>
      </w:r>
      <w:r>
        <w:rPr>
          <w:color w:val="231F1F"/>
          <w:spacing w:val="40"/>
          <w:sz w:val="22"/>
        </w:rPr>
        <w:t> </w:t>
      </w:r>
      <w:r>
        <w:rPr>
          <w:color w:val="231F1F"/>
          <w:sz w:val="22"/>
        </w:rPr>
        <w:t>meses</w:t>
      </w:r>
      <w:r>
        <w:rPr>
          <w:color w:val="231F1F"/>
          <w:spacing w:val="40"/>
          <w:sz w:val="22"/>
        </w:rPr>
        <w:t> </w:t>
      </w:r>
      <w:r>
        <w:rPr>
          <w:color w:val="231F1F"/>
          <w:sz w:val="22"/>
        </w:rPr>
        <w:t>y</w:t>
      </w:r>
      <w:r>
        <w:rPr>
          <w:color w:val="231F1F"/>
          <w:spacing w:val="40"/>
          <w:sz w:val="22"/>
        </w:rPr>
        <w:t> </w:t>
      </w:r>
      <w:r>
        <w:rPr>
          <w:color w:val="231F1F"/>
          <w:sz w:val="22"/>
        </w:rPr>
        <w:t>se</w:t>
      </w:r>
      <w:r>
        <w:rPr>
          <w:color w:val="231F1F"/>
          <w:spacing w:val="40"/>
          <w:sz w:val="22"/>
        </w:rPr>
        <w:t> </w:t>
      </w:r>
      <w:r>
        <w:rPr>
          <w:color w:val="231F1F"/>
          <w:sz w:val="22"/>
        </w:rPr>
        <w:t>refiere</w:t>
      </w:r>
      <w:r>
        <w:rPr>
          <w:color w:val="231F1F"/>
          <w:spacing w:val="40"/>
          <w:sz w:val="22"/>
        </w:rPr>
        <w:t> </w:t>
      </w:r>
      <w:r>
        <w:rPr>
          <w:color w:val="231F1F"/>
          <w:sz w:val="22"/>
        </w:rPr>
        <w:t>a</w:t>
      </w:r>
      <w:r>
        <w:rPr>
          <w:color w:val="231F1F"/>
          <w:spacing w:val="40"/>
          <w:sz w:val="22"/>
        </w:rPr>
        <w:t> </w:t>
      </w:r>
      <w:r>
        <w:rPr>
          <w:color w:val="231F1F"/>
          <w:sz w:val="22"/>
        </w:rPr>
        <w:t>sujetos</w:t>
      </w:r>
      <w:r>
        <w:rPr>
          <w:color w:val="231F1F"/>
          <w:spacing w:val="40"/>
          <w:sz w:val="22"/>
        </w:rPr>
        <w:t> </w:t>
      </w:r>
      <w:r>
        <w:rPr>
          <w:color w:val="231F1F"/>
          <w:sz w:val="22"/>
        </w:rPr>
        <w:t>por</w:t>
      </w:r>
      <w:r>
        <w:rPr>
          <w:color w:val="231F1F"/>
          <w:spacing w:val="40"/>
          <w:sz w:val="22"/>
        </w:rPr>
        <w:t> </w:t>
      </w:r>
      <w:r>
        <w:rPr>
          <w:color w:val="231F1F"/>
          <w:sz w:val="22"/>
        </w:rPr>
        <w:t>lo</w:t>
      </w:r>
      <w:r>
        <w:rPr>
          <w:color w:val="231F1F"/>
          <w:spacing w:val="40"/>
          <w:sz w:val="22"/>
        </w:rPr>
        <w:t> </w:t>
      </w:r>
      <w:r>
        <w:rPr>
          <w:color w:val="231F1F"/>
          <w:sz w:val="22"/>
        </w:rPr>
        <w:t>demás</w:t>
      </w:r>
      <w:r>
        <w:rPr>
          <w:color w:val="231F1F"/>
          <w:spacing w:val="40"/>
          <w:sz w:val="22"/>
        </w:rPr>
        <w:t> </w:t>
      </w:r>
      <w:r>
        <w:rPr>
          <w:color w:val="231F1F"/>
          <w:sz w:val="22"/>
        </w:rPr>
        <w:t>sanos</w:t>
      </w:r>
    </w:p>
    <w:p>
      <w:pPr>
        <w:pStyle w:val="BodyText"/>
        <w:spacing w:line="244" w:lineRule="auto" w:before="125"/>
        <w:ind w:left="283" w:right="117" w:firstLine="453"/>
        <w:jc w:val="both"/>
      </w:pPr>
      <w:r>
        <w:rPr>
          <w:b/>
          <w:color w:val="231F1F"/>
          <w:w w:val="105"/>
        </w:rPr>
        <w:t>Ensayo clínico aleatorizado (ECA): </w:t>
      </w:r>
      <w:r>
        <w:rPr>
          <w:color w:val="231F1F"/>
          <w:w w:val="105"/>
        </w:rPr>
        <w:t>Es un diseño de estudio en el que los sujetos son aleatoriamente</w:t>
      </w:r>
      <w:r>
        <w:rPr>
          <w:color w:val="231F1F"/>
          <w:spacing w:val="40"/>
          <w:w w:val="105"/>
        </w:rPr>
        <w:t> </w:t>
      </w:r>
      <w:r>
        <w:rPr>
          <w:color w:val="231F1F"/>
          <w:w w:val="105"/>
        </w:rPr>
        <w:t>asignados</w:t>
      </w:r>
      <w:r>
        <w:rPr>
          <w:color w:val="231F1F"/>
          <w:spacing w:val="40"/>
          <w:w w:val="105"/>
        </w:rPr>
        <w:t> </w:t>
      </w:r>
      <w:r>
        <w:rPr>
          <w:color w:val="231F1F"/>
          <w:w w:val="105"/>
        </w:rPr>
        <w:t>a</w:t>
      </w:r>
      <w:r>
        <w:rPr>
          <w:color w:val="231F1F"/>
          <w:spacing w:val="40"/>
          <w:w w:val="105"/>
        </w:rPr>
        <w:t> </w:t>
      </w:r>
      <w:r>
        <w:rPr>
          <w:color w:val="231F1F"/>
          <w:w w:val="105"/>
        </w:rPr>
        <w:t>dos</w:t>
      </w:r>
      <w:r>
        <w:rPr>
          <w:color w:val="231F1F"/>
          <w:spacing w:val="40"/>
          <w:w w:val="105"/>
        </w:rPr>
        <w:t> </w:t>
      </w:r>
      <w:r>
        <w:rPr>
          <w:color w:val="231F1F"/>
          <w:w w:val="105"/>
        </w:rPr>
        <w:t>grupos:</w:t>
      </w:r>
      <w:r>
        <w:rPr>
          <w:color w:val="231F1F"/>
          <w:spacing w:val="40"/>
          <w:w w:val="105"/>
        </w:rPr>
        <w:t> </w:t>
      </w:r>
      <w:r>
        <w:rPr>
          <w:color w:val="231F1F"/>
          <w:w w:val="105"/>
        </w:rPr>
        <w:t>uno</w:t>
      </w:r>
      <w:r>
        <w:rPr>
          <w:color w:val="231F1F"/>
          <w:spacing w:val="40"/>
          <w:w w:val="105"/>
        </w:rPr>
        <w:t> </w:t>
      </w:r>
      <w:r>
        <w:rPr>
          <w:color w:val="231F1F"/>
          <w:w w:val="105"/>
        </w:rPr>
        <w:t>(grupo</w:t>
      </w:r>
      <w:r>
        <w:rPr>
          <w:color w:val="231F1F"/>
          <w:spacing w:val="40"/>
          <w:w w:val="105"/>
        </w:rPr>
        <w:t> </w:t>
      </w:r>
      <w:r>
        <w:rPr>
          <w:color w:val="231F1F"/>
          <w:w w:val="105"/>
        </w:rPr>
        <w:t>experimental)</w:t>
      </w:r>
      <w:r>
        <w:rPr>
          <w:color w:val="231F1F"/>
          <w:spacing w:val="40"/>
          <w:w w:val="105"/>
        </w:rPr>
        <w:t> </w:t>
      </w:r>
      <w:r>
        <w:rPr>
          <w:color w:val="231F1F"/>
          <w:w w:val="105"/>
        </w:rPr>
        <w:t>recibe</w:t>
      </w:r>
      <w:r>
        <w:rPr>
          <w:color w:val="231F1F"/>
          <w:spacing w:val="40"/>
          <w:w w:val="105"/>
        </w:rPr>
        <w:t> </w:t>
      </w:r>
      <w:r>
        <w:rPr>
          <w:color w:val="231F1F"/>
          <w:w w:val="105"/>
        </w:rPr>
        <w:t>el</w:t>
      </w:r>
      <w:r>
        <w:rPr>
          <w:color w:val="231F1F"/>
          <w:spacing w:val="40"/>
          <w:w w:val="105"/>
        </w:rPr>
        <w:t> </w:t>
      </w:r>
      <w:r>
        <w:rPr>
          <w:color w:val="231F1F"/>
          <w:w w:val="105"/>
        </w:rPr>
        <w:t>tratamiento que</w:t>
      </w:r>
      <w:r>
        <w:rPr>
          <w:color w:val="231F1F"/>
          <w:spacing w:val="37"/>
          <w:w w:val="105"/>
        </w:rPr>
        <w:t> </w:t>
      </w:r>
      <w:r>
        <w:rPr>
          <w:color w:val="231F1F"/>
          <w:w w:val="105"/>
        </w:rPr>
        <w:t>se</w:t>
      </w:r>
      <w:r>
        <w:rPr>
          <w:color w:val="231F1F"/>
          <w:spacing w:val="38"/>
          <w:w w:val="105"/>
        </w:rPr>
        <w:t> </w:t>
      </w:r>
      <w:r>
        <w:rPr>
          <w:color w:val="231F1F"/>
          <w:w w:val="105"/>
        </w:rPr>
        <w:t>está</w:t>
      </w:r>
      <w:r>
        <w:rPr>
          <w:color w:val="231F1F"/>
          <w:spacing w:val="39"/>
          <w:w w:val="105"/>
        </w:rPr>
        <w:t> </w:t>
      </w:r>
      <w:r>
        <w:rPr>
          <w:color w:val="231F1F"/>
          <w:w w:val="105"/>
        </w:rPr>
        <w:t>probando</w:t>
      </w:r>
      <w:r>
        <w:rPr>
          <w:color w:val="231F1F"/>
          <w:spacing w:val="38"/>
          <w:w w:val="105"/>
        </w:rPr>
        <w:t> </w:t>
      </w:r>
      <w:r>
        <w:rPr>
          <w:color w:val="231F1F"/>
          <w:w w:val="105"/>
        </w:rPr>
        <w:t>y</w:t>
      </w:r>
      <w:r>
        <w:rPr>
          <w:color w:val="231F1F"/>
          <w:spacing w:val="39"/>
          <w:w w:val="105"/>
        </w:rPr>
        <w:t> </w:t>
      </w:r>
      <w:r>
        <w:rPr>
          <w:color w:val="231F1F"/>
          <w:w w:val="105"/>
        </w:rPr>
        <w:t>el</w:t>
      </w:r>
      <w:r>
        <w:rPr>
          <w:color w:val="231F1F"/>
          <w:spacing w:val="37"/>
          <w:w w:val="105"/>
        </w:rPr>
        <w:t> </w:t>
      </w:r>
      <w:r>
        <w:rPr>
          <w:color w:val="231F1F"/>
          <w:w w:val="105"/>
        </w:rPr>
        <w:t>otro</w:t>
      </w:r>
      <w:r>
        <w:rPr>
          <w:color w:val="231F1F"/>
          <w:spacing w:val="38"/>
          <w:w w:val="105"/>
        </w:rPr>
        <w:t> </w:t>
      </w:r>
      <w:r>
        <w:rPr>
          <w:color w:val="231F1F"/>
          <w:w w:val="105"/>
        </w:rPr>
        <w:t>(grupo</w:t>
      </w:r>
      <w:r>
        <w:rPr>
          <w:color w:val="231F1F"/>
          <w:spacing w:val="39"/>
          <w:w w:val="105"/>
        </w:rPr>
        <w:t> </w:t>
      </w:r>
      <w:r>
        <w:rPr>
          <w:color w:val="231F1F"/>
          <w:w w:val="105"/>
        </w:rPr>
        <w:t>de</w:t>
      </w:r>
      <w:r>
        <w:rPr>
          <w:color w:val="231F1F"/>
          <w:spacing w:val="38"/>
          <w:w w:val="105"/>
        </w:rPr>
        <w:t> </w:t>
      </w:r>
      <w:r>
        <w:rPr>
          <w:color w:val="231F1F"/>
          <w:w w:val="105"/>
        </w:rPr>
        <w:t>comparación</w:t>
      </w:r>
      <w:r>
        <w:rPr>
          <w:color w:val="231F1F"/>
          <w:spacing w:val="39"/>
          <w:w w:val="105"/>
        </w:rPr>
        <w:t> </w:t>
      </w:r>
      <w:r>
        <w:rPr>
          <w:color w:val="231F1F"/>
          <w:w w:val="105"/>
        </w:rPr>
        <w:t>o</w:t>
      </w:r>
      <w:r>
        <w:rPr>
          <w:color w:val="231F1F"/>
          <w:spacing w:val="38"/>
          <w:w w:val="105"/>
        </w:rPr>
        <w:t> </w:t>
      </w:r>
      <w:r>
        <w:rPr>
          <w:color w:val="231F1F"/>
          <w:w w:val="105"/>
        </w:rPr>
        <w:t>control)</w:t>
      </w:r>
      <w:r>
        <w:rPr>
          <w:color w:val="231F1F"/>
          <w:spacing w:val="39"/>
          <w:w w:val="105"/>
        </w:rPr>
        <w:t> </w:t>
      </w:r>
      <w:r>
        <w:rPr>
          <w:color w:val="231F1F"/>
          <w:w w:val="105"/>
        </w:rPr>
        <w:t>recibe</w:t>
      </w:r>
      <w:r>
        <w:rPr>
          <w:color w:val="231F1F"/>
          <w:spacing w:val="39"/>
          <w:w w:val="105"/>
        </w:rPr>
        <w:t> </w:t>
      </w:r>
      <w:r>
        <w:rPr>
          <w:color w:val="231F1F"/>
          <w:w w:val="105"/>
        </w:rPr>
        <w:t>un</w:t>
      </w:r>
      <w:r>
        <w:rPr>
          <w:color w:val="231F1F"/>
          <w:spacing w:val="39"/>
          <w:w w:val="105"/>
        </w:rPr>
        <w:t> </w:t>
      </w:r>
      <w:r>
        <w:rPr>
          <w:color w:val="231F1F"/>
          <w:w w:val="105"/>
        </w:rPr>
        <w:t>tratamiento</w:t>
      </w:r>
    </w:p>
    <w:p>
      <w:pPr>
        <w:pStyle w:val="BodyText"/>
        <w:spacing w:after="0" w:line="244" w:lineRule="auto"/>
        <w:jc w:val="both"/>
        <w:sectPr>
          <w:pgSz w:w="11900" w:h="16840"/>
          <w:pgMar w:header="0" w:footer="622" w:top="1560" w:bottom="820" w:left="1417" w:right="1559"/>
        </w:sectPr>
      </w:pPr>
    </w:p>
    <w:p>
      <w:pPr>
        <w:pStyle w:val="BodyText"/>
        <w:spacing w:line="244" w:lineRule="auto" w:before="73"/>
        <w:ind w:left="283"/>
      </w:pPr>
      <w:r>
        <w:rPr>
          <w:color w:val="231F1F"/>
          <w:w w:val="110"/>
        </w:rPr>
        <w:t>estándar</w:t>
      </w:r>
      <w:r>
        <w:rPr>
          <w:color w:val="231F1F"/>
          <w:spacing w:val="-16"/>
          <w:w w:val="110"/>
        </w:rPr>
        <w:t> </w:t>
      </w:r>
      <w:r>
        <w:rPr>
          <w:color w:val="231F1F"/>
          <w:w w:val="110"/>
        </w:rPr>
        <w:t>(o</w:t>
      </w:r>
      <w:r>
        <w:rPr>
          <w:color w:val="231F1F"/>
          <w:spacing w:val="-15"/>
          <w:w w:val="110"/>
        </w:rPr>
        <w:t> </w:t>
      </w:r>
      <w:r>
        <w:rPr>
          <w:color w:val="231F1F"/>
          <w:w w:val="110"/>
        </w:rPr>
        <w:t>a</w:t>
      </w:r>
      <w:r>
        <w:rPr>
          <w:color w:val="231F1F"/>
          <w:spacing w:val="-15"/>
          <w:w w:val="110"/>
        </w:rPr>
        <w:t> </w:t>
      </w:r>
      <w:r>
        <w:rPr>
          <w:color w:val="231F1F"/>
          <w:w w:val="110"/>
        </w:rPr>
        <w:t>veces</w:t>
      </w:r>
      <w:r>
        <w:rPr>
          <w:color w:val="231F1F"/>
          <w:spacing w:val="-15"/>
          <w:w w:val="110"/>
        </w:rPr>
        <w:t> </w:t>
      </w:r>
      <w:r>
        <w:rPr>
          <w:color w:val="231F1F"/>
          <w:w w:val="110"/>
        </w:rPr>
        <w:t>un</w:t>
      </w:r>
      <w:r>
        <w:rPr>
          <w:color w:val="231F1F"/>
          <w:spacing w:val="-15"/>
          <w:w w:val="110"/>
        </w:rPr>
        <w:t> </w:t>
      </w:r>
      <w:r>
        <w:rPr>
          <w:color w:val="231F1F"/>
          <w:w w:val="110"/>
        </w:rPr>
        <w:t>placebo).</w:t>
      </w:r>
      <w:r>
        <w:rPr>
          <w:color w:val="231F1F"/>
          <w:spacing w:val="-15"/>
          <w:w w:val="110"/>
        </w:rPr>
        <w:t> </w:t>
      </w:r>
      <w:r>
        <w:rPr>
          <w:color w:val="231F1F"/>
          <w:w w:val="110"/>
        </w:rPr>
        <w:t>Los</w:t>
      </w:r>
      <w:r>
        <w:rPr>
          <w:color w:val="231F1F"/>
          <w:spacing w:val="-15"/>
          <w:w w:val="110"/>
        </w:rPr>
        <w:t> </w:t>
      </w:r>
      <w:r>
        <w:rPr>
          <w:color w:val="231F1F"/>
          <w:w w:val="110"/>
        </w:rPr>
        <w:t>dos</w:t>
      </w:r>
      <w:r>
        <w:rPr>
          <w:color w:val="231F1F"/>
          <w:spacing w:val="-15"/>
          <w:w w:val="110"/>
        </w:rPr>
        <w:t> </w:t>
      </w:r>
      <w:r>
        <w:rPr>
          <w:color w:val="231F1F"/>
          <w:w w:val="110"/>
        </w:rPr>
        <w:t>grupos</w:t>
      </w:r>
      <w:r>
        <w:rPr>
          <w:color w:val="231F1F"/>
          <w:spacing w:val="-16"/>
          <w:w w:val="110"/>
        </w:rPr>
        <w:t> </w:t>
      </w:r>
      <w:r>
        <w:rPr>
          <w:color w:val="231F1F"/>
          <w:w w:val="110"/>
        </w:rPr>
        <w:t>son</w:t>
      </w:r>
      <w:r>
        <w:rPr>
          <w:color w:val="231F1F"/>
          <w:spacing w:val="-14"/>
          <w:w w:val="110"/>
        </w:rPr>
        <w:t> </w:t>
      </w:r>
      <w:r>
        <w:rPr>
          <w:color w:val="231F1F"/>
          <w:w w:val="110"/>
        </w:rPr>
        <w:t>seguidos</w:t>
      </w:r>
      <w:r>
        <w:rPr>
          <w:color w:val="231F1F"/>
          <w:spacing w:val="-16"/>
          <w:w w:val="110"/>
        </w:rPr>
        <w:t> </w:t>
      </w:r>
      <w:r>
        <w:rPr>
          <w:color w:val="231F1F"/>
          <w:w w:val="110"/>
        </w:rPr>
        <w:t>para</w:t>
      </w:r>
      <w:r>
        <w:rPr>
          <w:color w:val="231F1F"/>
          <w:spacing w:val="-14"/>
          <w:w w:val="110"/>
        </w:rPr>
        <w:t> </w:t>
      </w:r>
      <w:r>
        <w:rPr>
          <w:color w:val="231F1F"/>
          <w:w w:val="110"/>
        </w:rPr>
        <w:t>observar</w:t>
      </w:r>
      <w:r>
        <w:rPr>
          <w:color w:val="231F1F"/>
          <w:spacing w:val="-15"/>
          <w:w w:val="110"/>
        </w:rPr>
        <w:t> </w:t>
      </w:r>
      <w:r>
        <w:rPr>
          <w:color w:val="231F1F"/>
          <w:w w:val="110"/>
        </w:rPr>
        <w:t>cualquier</w:t>
      </w:r>
      <w:r>
        <w:rPr>
          <w:color w:val="231F1F"/>
          <w:spacing w:val="-15"/>
          <w:w w:val="110"/>
        </w:rPr>
        <w:t> </w:t>
      </w:r>
      <w:r>
        <w:rPr>
          <w:color w:val="231F1F"/>
          <w:w w:val="110"/>
        </w:rPr>
        <w:t>di- ferencia en los resultados. Así se evalúa la eficacia del tratamiento.</w:t>
      </w:r>
    </w:p>
    <w:p>
      <w:pPr>
        <w:pStyle w:val="BodyText"/>
        <w:spacing w:line="244" w:lineRule="auto" w:before="160"/>
        <w:ind w:left="283" w:right="123" w:firstLine="453"/>
        <w:jc w:val="both"/>
      </w:pPr>
      <w:r>
        <w:rPr>
          <w:b/>
          <w:color w:val="231F1F"/>
          <w:w w:val="110"/>
        </w:rPr>
        <w:t>Episiotomía</w:t>
      </w:r>
      <w:r>
        <w:rPr>
          <w:color w:val="231F1F"/>
          <w:w w:val="110"/>
        </w:rPr>
        <w:t>:</w:t>
      </w:r>
      <w:r>
        <w:rPr>
          <w:color w:val="231F1F"/>
          <w:spacing w:val="-16"/>
          <w:w w:val="110"/>
        </w:rPr>
        <w:t> </w:t>
      </w:r>
      <w:r>
        <w:rPr>
          <w:color w:val="231F1F"/>
          <w:w w:val="110"/>
        </w:rPr>
        <w:t>Realización</w:t>
      </w:r>
      <w:r>
        <w:rPr>
          <w:color w:val="231F1F"/>
          <w:spacing w:val="-14"/>
          <w:w w:val="110"/>
        </w:rPr>
        <w:t> </w:t>
      </w:r>
      <w:r>
        <w:rPr>
          <w:color w:val="231F1F"/>
          <w:w w:val="110"/>
        </w:rPr>
        <w:t>de</w:t>
      </w:r>
      <w:r>
        <w:rPr>
          <w:color w:val="231F1F"/>
          <w:spacing w:val="-15"/>
          <w:w w:val="110"/>
        </w:rPr>
        <w:t> </w:t>
      </w:r>
      <w:r>
        <w:rPr>
          <w:color w:val="231F1F"/>
          <w:w w:val="110"/>
        </w:rPr>
        <w:t>una</w:t>
      </w:r>
      <w:r>
        <w:rPr>
          <w:color w:val="231F1F"/>
          <w:spacing w:val="-15"/>
          <w:w w:val="110"/>
        </w:rPr>
        <w:t> </w:t>
      </w:r>
      <w:r>
        <w:rPr>
          <w:color w:val="231F1F"/>
          <w:w w:val="110"/>
        </w:rPr>
        <w:t>incisión</w:t>
      </w:r>
      <w:r>
        <w:rPr>
          <w:color w:val="231F1F"/>
          <w:spacing w:val="-15"/>
          <w:w w:val="110"/>
        </w:rPr>
        <w:t> </w:t>
      </w:r>
      <w:r>
        <w:rPr>
          <w:color w:val="231F1F"/>
          <w:w w:val="110"/>
        </w:rPr>
        <w:t>quirúrgica</w:t>
      </w:r>
      <w:r>
        <w:rPr>
          <w:color w:val="231F1F"/>
          <w:spacing w:val="-15"/>
          <w:w w:val="110"/>
        </w:rPr>
        <w:t> </w:t>
      </w:r>
      <w:r>
        <w:rPr>
          <w:color w:val="231F1F"/>
          <w:w w:val="110"/>
        </w:rPr>
        <w:t>en</w:t>
      </w:r>
      <w:r>
        <w:rPr>
          <w:color w:val="231F1F"/>
          <w:spacing w:val="-15"/>
          <w:w w:val="110"/>
        </w:rPr>
        <w:t> </w:t>
      </w:r>
      <w:r>
        <w:rPr>
          <w:color w:val="231F1F"/>
          <w:w w:val="110"/>
        </w:rPr>
        <w:t>la</w:t>
      </w:r>
      <w:r>
        <w:rPr>
          <w:color w:val="231F1F"/>
          <w:spacing w:val="-15"/>
          <w:w w:val="110"/>
        </w:rPr>
        <w:t> </w:t>
      </w:r>
      <w:r>
        <w:rPr>
          <w:color w:val="231F1F"/>
          <w:w w:val="110"/>
        </w:rPr>
        <w:t>zona</w:t>
      </w:r>
      <w:r>
        <w:rPr>
          <w:color w:val="231F1F"/>
          <w:spacing w:val="-15"/>
          <w:w w:val="110"/>
        </w:rPr>
        <w:t> </w:t>
      </w:r>
      <w:r>
        <w:rPr>
          <w:color w:val="231F1F"/>
          <w:w w:val="110"/>
        </w:rPr>
        <w:t>del</w:t>
      </w:r>
      <w:r>
        <w:rPr>
          <w:color w:val="231F1F"/>
          <w:spacing w:val="-15"/>
          <w:w w:val="110"/>
        </w:rPr>
        <w:t> </w:t>
      </w:r>
      <w:r>
        <w:rPr>
          <w:color w:val="231F1F"/>
          <w:w w:val="110"/>
        </w:rPr>
        <w:t>periné</w:t>
      </w:r>
      <w:r>
        <w:rPr>
          <w:color w:val="231F1F"/>
          <w:spacing w:val="-15"/>
          <w:w w:val="110"/>
        </w:rPr>
        <w:t> </w:t>
      </w:r>
      <w:r>
        <w:rPr>
          <w:color w:val="231F1F"/>
          <w:w w:val="110"/>
        </w:rPr>
        <w:t>femenino, que</w:t>
      </w:r>
      <w:r>
        <w:rPr>
          <w:color w:val="231F1F"/>
          <w:spacing w:val="-9"/>
          <w:w w:val="110"/>
        </w:rPr>
        <w:t> </w:t>
      </w:r>
      <w:r>
        <w:rPr>
          <w:color w:val="231F1F"/>
          <w:w w:val="110"/>
        </w:rPr>
        <w:t>comprende</w:t>
      </w:r>
      <w:r>
        <w:rPr>
          <w:color w:val="231F1F"/>
          <w:spacing w:val="-8"/>
          <w:w w:val="110"/>
        </w:rPr>
        <w:t> </w:t>
      </w:r>
      <w:r>
        <w:rPr>
          <w:color w:val="231F1F"/>
          <w:w w:val="110"/>
        </w:rPr>
        <w:t>piel,</w:t>
      </w:r>
      <w:r>
        <w:rPr>
          <w:color w:val="231F1F"/>
          <w:spacing w:val="-9"/>
          <w:w w:val="110"/>
        </w:rPr>
        <w:t> </w:t>
      </w:r>
      <w:r>
        <w:rPr>
          <w:color w:val="231F1F"/>
          <w:w w:val="110"/>
        </w:rPr>
        <w:t>plano</w:t>
      </w:r>
      <w:r>
        <w:rPr>
          <w:color w:val="231F1F"/>
          <w:spacing w:val="-8"/>
          <w:w w:val="110"/>
        </w:rPr>
        <w:t> </w:t>
      </w:r>
      <w:r>
        <w:rPr>
          <w:color w:val="231F1F"/>
          <w:w w:val="110"/>
        </w:rPr>
        <w:t>muscular</w:t>
      </w:r>
      <w:r>
        <w:rPr>
          <w:color w:val="231F1F"/>
          <w:spacing w:val="-9"/>
          <w:w w:val="110"/>
        </w:rPr>
        <w:t> </w:t>
      </w:r>
      <w:r>
        <w:rPr>
          <w:color w:val="231F1F"/>
          <w:w w:val="110"/>
        </w:rPr>
        <w:t>y</w:t>
      </w:r>
      <w:r>
        <w:rPr>
          <w:color w:val="231F1F"/>
          <w:spacing w:val="-8"/>
          <w:w w:val="110"/>
        </w:rPr>
        <w:t> </w:t>
      </w:r>
      <w:r>
        <w:rPr>
          <w:color w:val="231F1F"/>
          <w:w w:val="110"/>
        </w:rPr>
        <w:t>mucosa</w:t>
      </w:r>
      <w:r>
        <w:rPr>
          <w:color w:val="231F1F"/>
          <w:spacing w:val="-8"/>
          <w:w w:val="110"/>
        </w:rPr>
        <w:t> </w:t>
      </w:r>
      <w:r>
        <w:rPr>
          <w:color w:val="231F1F"/>
          <w:w w:val="110"/>
        </w:rPr>
        <w:t>vaginal,</w:t>
      </w:r>
      <w:r>
        <w:rPr>
          <w:color w:val="231F1F"/>
          <w:spacing w:val="-9"/>
          <w:w w:val="110"/>
        </w:rPr>
        <w:t> </w:t>
      </w:r>
      <w:r>
        <w:rPr>
          <w:color w:val="231F1F"/>
          <w:w w:val="110"/>
        </w:rPr>
        <w:t>cuya</w:t>
      </w:r>
      <w:r>
        <w:rPr>
          <w:color w:val="231F1F"/>
          <w:spacing w:val="-8"/>
          <w:w w:val="110"/>
        </w:rPr>
        <w:t> </w:t>
      </w:r>
      <w:r>
        <w:rPr>
          <w:color w:val="231F1F"/>
          <w:w w:val="110"/>
        </w:rPr>
        <w:t>finalidad</w:t>
      </w:r>
      <w:r>
        <w:rPr>
          <w:color w:val="231F1F"/>
          <w:spacing w:val="-8"/>
          <w:w w:val="110"/>
        </w:rPr>
        <w:t> </w:t>
      </w:r>
      <w:r>
        <w:rPr>
          <w:color w:val="231F1F"/>
          <w:w w:val="110"/>
        </w:rPr>
        <w:t>es</w:t>
      </w:r>
      <w:r>
        <w:rPr>
          <w:color w:val="231F1F"/>
          <w:spacing w:val="-9"/>
          <w:w w:val="110"/>
        </w:rPr>
        <w:t> </w:t>
      </w:r>
      <w:r>
        <w:rPr>
          <w:color w:val="231F1F"/>
          <w:w w:val="110"/>
        </w:rPr>
        <w:t>la</w:t>
      </w:r>
      <w:r>
        <w:rPr>
          <w:color w:val="231F1F"/>
          <w:spacing w:val="-8"/>
          <w:w w:val="110"/>
        </w:rPr>
        <w:t> </w:t>
      </w:r>
      <w:r>
        <w:rPr>
          <w:color w:val="231F1F"/>
          <w:w w:val="110"/>
        </w:rPr>
        <w:t>de</w:t>
      </w:r>
      <w:r>
        <w:rPr>
          <w:color w:val="231F1F"/>
          <w:spacing w:val="-8"/>
          <w:w w:val="110"/>
        </w:rPr>
        <w:t> </w:t>
      </w:r>
      <w:r>
        <w:rPr>
          <w:color w:val="231F1F"/>
          <w:w w:val="110"/>
        </w:rPr>
        <w:t>ampliar</w:t>
      </w:r>
      <w:r>
        <w:rPr>
          <w:color w:val="231F1F"/>
          <w:spacing w:val="-9"/>
          <w:w w:val="110"/>
        </w:rPr>
        <w:t> </w:t>
      </w:r>
      <w:r>
        <w:rPr>
          <w:color w:val="231F1F"/>
          <w:w w:val="110"/>
        </w:rPr>
        <w:t>el canal «blando» para abreviar el parto y ayudar a la salida del feto.</w:t>
      </w:r>
    </w:p>
    <w:p>
      <w:pPr>
        <w:pStyle w:val="BodyText"/>
        <w:spacing w:line="254" w:lineRule="auto" w:before="177"/>
        <w:ind w:left="283" w:right="122" w:firstLine="453"/>
        <w:jc w:val="both"/>
      </w:pPr>
      <w:r>
        <w:rPr>
          <w:b/>
          <w:color w:val="231F1F"/>
        </w:rPr>
        <w:t>Especificidad:</w:t>
      </w:r>
      <w:r>
        <w:rPr>
          <w:b/>
          <w:color w:val="231F1F"/>
          <w:spacing w:val="40"/>
        </w:rPr>
        <w:t> </w:t>
      </w:r>
      <w:r>
        <w:rPr>
          <w:color w:val="231F1F"/>
        </w:rPr>
        <w:t>Probabilidad</w:t>
      </w:r>
      <w:r>
        <w:rPr>
          <w:color w:val="231F1F"/>
          <w:spacing w:val="40"/>
        </w:rPr>
        <w:t> </w:t>
      </w:r>
      <w:r>
        <w:rPr>
          <w:color w:val="231F1F"/>
        </w:rPr>
        <w:t>de</w:t>
      </w:r>
      <w:r>
        <w:rPr>
          <w:color w:val="231F1F"/>
          <w:spacing w:val="40"/>
        </w:rPr>
        <w:t> </w:t>
      </w:r>
      <w:r>
        <w:rPr>
          <w:color w:val="231F1F"/>
        </w:rPr>
        <w:t>que</w:t>
      </w:r>
      <w:r>
        <w:rPr>
          <w:color w:val="231F1F"/>
          <w:spacing w:val="40"/>
        </w:rPr>
        <w:t> </w:t>
      </w:r>
      <w:r>
        <w:rPr>
          <w:color w:val="231F1F"/>
        </w:rPr>
        <w:t>una</w:t>
      </w:r>
      <w:r>
        <w:rPr>
          <w:color w:val="231F1F"/>
          <w:spacing w:val="40"/>
        </w:rPr>
        <w:t> </w:t>
      </w:r>
      <w:r>
        <w:rPr>
          <w:color w:val="231F1F"/>
        </w:rPr>
        <w:t>medida</w:t>
      </w:r>
      <w:r>
        <w:rPr>
          <w:color w:val="231F1F"/>
          <w:spacing w:val="40"/>
        </w:rPr>
        <w:t> </w:t>
      </w:r>
      <w:r>
        <w:rPr>
          <w:color w:val="231F1F"/>
        </w:rPr>
        <w:t>clasifique</w:t>
      </w:r>
      <w:r>
        <w:rPr>
          <w:color w:val="231F1F"/>
          <w:spacing w:val="40"/>
        </w:rPr>
        <w:t> </w:t>
      </w:r>
      <w:r>
        <w:rPr>
          <w:color w:val="231F1F"/>
        </w:rPr>
        <w:t>correctamente</w:t>
      </w:r>
      <w:r>
        <w:rPr>
          <w:color w:val="231F1F"/>
          <w:spacing w:val="40"/>
        </w:rPr>
        <w:t> </w:t>
      </w:r>
      <w:r>
        <w:rPr>
          <w:color w:val="231F1F"/>
        </w:rPr>
        <w:t>a</w:t>
      </w:r>
      <w:r>
        <w:rPr>
          <w:color w:val="231F1F"/>
          <w:spacing w:val="40"/>
        </w:rPr>
        <w:t> </w:t>
      </w:r>
      <w:r>
        <w:rPr>
          <w:color w:val="231F1F"/>
        </w:rPr>
        <w:t>una</w:t>
      </w:r>
      <w:r>
        <w:rPr>
          <w:color w:val="231F1F"/>
          <w:spacing w:val="40"/>
        </w:rPr>
        <w:t> </w:t>
      </w:r>
      <w:r>
        <w:rPr>
          <w:color w:val="231F1F"/>
        </w:rPr>
        <w:t>perso- na sana.</w:t>
      </w:r>
    </w:p>
    <w:p>
      <w:pPr>
        <w:pStyle w:val="BodyText"/>
        <w:spacing w:line="247" w:lineRule="auto" w:before="150"/>
        <w:ind w:left="283" w:right="120" w:firstLine="453"/>
        <w:jc w:val="both"/>
      </w:pPr>
      <w:r>
        <w:rPr>
          <w:b/>
          <w:color w:val="231F1F"/>
          <w:w w:val="105"/>
        </w:rPr>
        <w:t>Estimulación</w:t>
      </w:r>
      <w:r>
        <w:rPr>
          <w:b/>
          <w:color w:val="231F1F"/>
          <w:spacing w:val="-4"/>
          <w:w w:val="105"/>
        </w:rPr>
        <w:t> </w:t>
      </w:r>
      <w:r>
        <w:rPr>
          <w:b/>
          <w:color w:val="231F1F"/>
          <w:w w:val="105"/>
        </w:rPr>
        <w:t>de</w:t>
      </w:r>
      <w:r>
        <w:rPr>
          <w:b/>
          <w:color w:val="231F1F"/>
          <w:spacing w:val="-3"/>
          <w:w w:val="105"/>
        </w:rPr>
        <w:t> </w:t>
      </w:r>
      <w:r>
        <w:rPr>
          <w:b/>
          <w:color w:val="231F1F"/>
          <w:w w:val="105"/>
        </w:rPr>
        <w:t>la</w:t>
      </w:r>
      <w:r>
        <w:rPr>
          <w:b/>
          <w:color w:val="231F1F"/>
          <w:spacing w:val="-3"/>
          <w:w w:val="105"/>
        </w:rPr>
        <w:t> </w:t>
      </w:r>
      <w:r>
        <w:rPr>
          <w:b/>
          <w:color w:val="231F1F"/>
          <w:w w:val="105"/>
        </w:rPr>
        <w:t>calota</w:t>
      </w:r>
      <w:r>
        <w:rPr>
          <w:b/>
          <w:color w:val="231F1F"/>
          <w:spacing w:val="-3"/>
          <w:w w:val="105"/>
        </w:rPr>
        <w:t> </w:t>
      </w:r>
      <w:r>
        <w:rPr>
          <w:b/>
          <w:color w:val="231F1F"/>
          <w:w w:val="105"/>
        </w:rPr>
        <w:t>fetal:</w:t>
      </w:r>
      <w:r>
        <w:rPr>
          <w:b/>
          <w:color w:val="231F1F"/>
          <w:spacing w:val="-3"/>
          <w:w w:val="105"/>
        </w:rPr>
        <w:t> </w:t>
      </w:r>
      <w:r>
        <w:rPr>
          <w:color w:val="231F1F"/>
          <w:w w:val="105"/>
        </w:rPr>
        <w:t>Técnica</w:t>
      </w:r>
      <w:r>
        <w:rPr>
          <w:color w:val="231F1F"/>
          <w:spacing w:val="-4"/>
          <w:w w:val="105"/>
        </w:rPr>
        <w:t> </w:t>
      </w:r>
      <w:r>
        <w:rPr>
          <w:color w:val="231F1F"/>
          <w:w w:val="105"/>
        </w:rPr>
        <w:t>mediante</w:t>
      </w:r>
      <w:r>
        <w:rPr>
          <w:color w:val="231F1F"/>
          <w:spacing w:val="-4"/>
          <w:w w:val="105"/>
        </w:rPr>
        <w:t> </w:t>
      </w:r>
      <w:r>
        <w:rPr>
          <w:color w:val="231F1F"/>
          <w:w w:val="105"/>
        </w:rPr>
        <w:t>la</w:t>
      </w:r>
      <w:r>
        <w:rPr>
          <w:color w:val="231F1F"/>
          <w:spacing w:val="-3"/>
          <w:w w:val="105"/>
        </w:rPr>
        <w:t> </w:t>
      </w:r>
      <w:r>
        <w:rPr>
          <w:color w:val="231F1F"/>
          <w:w w:val="105"/>
        </w:rPr>
        <w:t>cual</w:t>
      </w:r>
      <w:r>
        <w:rPr>
          <w:color w:val="231F1F"/>
          <w:spacing w:val="-3"/>
          <w:w w:val="105"/>
        </w:rPr>
        <w:t> </w:t>
      </w:r>
      <w:r>
        <w:rPr>
          <w:color w:val="231F1F"/>
          <w:w w:val="105"/>
        </w:rPr>
        <w:t>se</w:t>
      </w:r>
      <w:r>
        <w:rPr>
          <w:color w:val="231F1F"/>
          <w:spacing w:val="-3"/>
          <w:w w:val="105"/>
        </w:rPr>
        <w:t> </w:t>
      </w:r>
      <w:r>
        <w:rPr>
          <w:color w:val="231F1F"/>
          <w:w w:val="105"/>
        </w:rPr>
        <w:t>procede</w:t>
      </w:r>
      <w:r>
        <w:rPr>
          <w:color w:val="231F1F"/>
          <w:spacing w:val="-4"/>
          <w:w w:val="105"/>
        </w:rPr>
        <w:t> </w:t>
      </w:r>
      <w:r>
        <w:rPr>
          <w:color w:val="231F1F"/>
          <w:w w:val="105"/>
        </w:rPr>
        <w:t>a</w:t>
      </w:r>
      <w:r>
        <w:rPr>
          <w:color w:val="231F1F"/>
          <w:spacing w:val="-3"/>
          <w:w w:val="105"/>
        </w:rPr>
        <w:t> </w:t>
      </w:r>
      <w:r>
        <w:rPr>
          <w:color w:val="231F1F"/>
          <w:w w:val="105"/>
        </w:rPr>
        <w:t>la</w:t>
      </w:r>
      <w:r>
        <w:rPr>
          <w:color w:val="231F1F"/>
          <w:spacing w:val="-3"/>
          <w:w w:val="105"/>
        </w:rPr>
        <w:t> </w:t>
      </w:r>
      <w:r>
        <w:rPr>
          <w:color w:val="231F1F"/>
          <w:w w:val="105"/>
        </w:rPr>
        <w:t>estimulación fetal mediante la presión sobre la calota fetal durante un tacto vaginal o por punción de la calota</w:t>
      </w:r>
      <w:r>
        <w:rPr>
          <w:color w:val="231F1F"/>
          <w:spacing w:val="21"/>
          <w:w w:val="105"/>
        </w:rPr>
        <w:t> </w:t>
      </w:r>
      <w:r>
        <w:rPr>
          <w:color w:val="231F1F"/>
          <w:w w:val="105"/>
        </w:rPr>
        <w:t>fetal.</w:t>
      </w:r>
      <w:r>
        <w:rPr>
          <w:color w:val="231F1F"/>
          <w:spacing w:val="21"/>
          <w:w w:val="105"/>
        </w:rPr>
        <w:t> </w:t>
      </w:r>
      <w:r>
        <w:rPr>
          <w:color w:val="231F1F"/>
          <w:w w:val="105"/>
        </w:rPr>
        <w:t>Se</w:t>
      </w:r>
      <w:r>
        <w:rPr>
          <w:color w:val="231F1F"/>
          <w:spacing w:val="20"/>
          <w:w w:val="105"/>
        </w:rPr>
        <w:t> </w:t>
      </w:r>
      <w:r>
        <w:rPr>
          <w:color w:val="231F1F"/>
          <w:w w:val="105"/>
        </w:rPr>
        <w:t>considera</w:t>
      </w:r>
      <w:r>
        <w:rPr>
          <w:color w:val="231F1F"/>
          <w:spacing w:val="21"/>
          <w:w w:val="105"/>
        </w:rPr>
        <w:t> </w:t>
      </w:r>
      <w:r>
        <w:rPr>
          <w:color w:val="231F1F"/>
          <w:w w:val="105"/>
        </w:rPr>
        <w:t>que</w:t>
      </w:r>
      <w:r>
        <w:rPr>
          <w:color w:val="231F1F"/>
          <w:spacing w:val="20"/>
          <w:w w:val="105"/>
        </w:rPr>
        <w:t> </w:t>
      </w:r>
      <w:r>
        <w:rPr>
          <w:color w:val="231F1F"/>
          <w:w w:val="105"/>
        </w:rPr>
        <w:t>el</w:t>
      </w:r>
      <w:r>
        <w:rPr>
          <w:color w:val="231F1F"/>
          <w:spacing w:val="20"/>
          <w:w w:val="105"/>
        </w:rPr>
        <w:t> </w:t>
      </w:r>
      <w:r>
        <w:rPr>
          <w:color w:val="231F1F"/>
          <w:w w:val="105"/>
        </w:rPr>
        <w:t>test</w:t>
      </w:r>
      <w:r>
        <w:rPr>
          <w:color w:val="231F1F"/>
          <w:spacing w:val="20"/>
          <w:w w:val="105"/>
        </w:rPr>
        <w:t> </w:t>
      </w:r>
      <w:r>
        <w:rPr>
          <w:color w:val="231F1F"/>
          <w:w w:val="105"/>
        </w:rPr>
        <w:t>es</w:t>
      </w:r>
      <w:r>
        <w:rPr>
          <w:color w:val="231F1F"/>
          <w:spacing w:val="21"/>
          <w:w w:val="105"/>
        </w:rPr>
        <w:t> </w:t>
      </w:r>
      <w:r>
        <w:rPr>
          <w:color w:val="231F1F"/>
          <w:w w:val="105"/>
        </w:rPr>
        <w:t>negativo</w:t>
      </w:r>
      <w:r>
        <w:rPr>
          <w:color w:val="231F1F"/>
          <w:spacing w:val="20"/>
          <w:w w:val="105"/>
        </w:rPr>
        <w:t> </w:t>
      </w:r>
      <w:r>
        <w:rPr>
          <w:color w:val="231F1F"/>
          <w:w w:val="105"/>
        </w:rPr>
        <w:t>si</w:t>
      </w:r>
      <w:r>
        <w:rPr>
          <w:color w:val="231F1F"/>
          <w:spacing w:val="20"/>
          <w:w w:val="105"/>
        </w:rPr>
        <w:t> </w:t>
      </w:r>
      <w:r>
        <w:rPr>
          <w:color w:val="231F1F"/>
          <w:w w:val="105"/>
        </w:rPr>
        <w:t>se</w:t>
      </w:r>
      <w:r>
        <w:rPr>
          <w:color w:val="231F1F"/>
          <w:spacing w:val="20"/>
          <w:w w:val="105"/>
        </w:rPr>
        <w:t> </w:t>
      </w:r>
      <w:r>
        <w:rPr>
          <w:color w:val="231F1F"/>
          <w:w w:val="105"/>
        </w:rPr>
        <w:t>produce,</w:t>
      </w:r>
      <w:r>
        <w:rPr>
          <w:color w:val="231F1F"/>
          <w:spacing w:val="20"/>
          <w:w w:val="105"/>
        </w:rPr>
        <w:t> </w:t>
      </w:r>
      <w:r>
        <w:rPr>
          <w:color w:val="231F1F"/>
          <w:w w:val="105"/>
        </w:rPr>
        <w:t>al</w:t>
      </w:r>
      <w:r>
        <w:rPr>
          <w:color w:val="231F1F"/>
          <w:spacing w:val="20"/>
          <w:w w:val="105"/>
        </w:rPr>
        <w:t> </w:t>
      </w:r>
      <w:r>
        <w:rPr>
          <w:color w:val="231F1F"/>
          <w:w w:val="105"/>
        </w:rPr>
        <w:t>menos,</w:t>
      </w:r>
      <w:r>
        <w:rPr>
          <w:color w:val="231F1F"/>
          <w:spacing w:val="20"/>
          <w:w w:val="105"/>
        </w:rPr>
        <w:t> </w:t>
      </w:r>
      <w:r>
        <w:rPr>
          <w:color w:val="231F1F"/>
          <w:w w:val="105"/>
        </w:rPr>
        <w:t>una</w:t>
      </w:r>
      <w:r>
        <w:rPr>
          <w:color w:val="231F1F"/>
          <w:spacing w:val="20"/>
          <w:w w:val="105"/>
        </w:rPr>
        <w:t> </w:t>
      </w:r>
      <w:r>
        <w:rPr>
          <w:color w:val="231F1F"/>
          <w:w w:val="105"/>
        </w:rPr>
        <w:t>aceleración de la FCF de al menos 15 latidos por minuto y 15 segundos de duración. El test positivo se define como ausencia de aceleración de la FCF o aceleración de menos de 15 latidos por minuto o menos de 15 segundos de duración.</w:t>
      </w:r>
    </w:p>
    <w:p>
      <w:pPr>
        <w:pStyle w:val="BodyText"/>
        <w:spacing w:line="244" w:lineRule="auto" w:before="155"/>
        <w:ind w:left="283" w:right="123" w:firstLine="453"/>
        <w:jc w:val="both"/>
      </w:pPr>
      <w:r>
        <w:rPr>
          <w:b/>
          <w:color w:val="231F1F"/>
          <w:w w:val="105"/>
        </w:rPr>
        <w:t>Estrés post-traumático</w:t>
      </w:r>
      <w:r>
        <w:rPr>
          <w:color w:val="231F1F"/>
          <w:w w:val="105"/>
        </w:rPr>
        <w:t>: Es una respuesta tardía o diferida a un acontecimiento estre- sante</w:t>
      </w:r>
      <w:r>
        <w:rPr>
          <w:color w:val="231F1F"/>
          <w:w w:val="105"/>
        </w:rPr>
        <w:t> o</w:t>
      </w:r>
      <w:r>
        <w:rPr>
          <w:color w:val="231F1F"/>
          <w:w w:val="105"/>
        </w:rPr>
        <w:t> a</w:t>
      </w:r>
      <w:r>
        <w:rPr>
          <w:color w:val="231F1F"/>
          <w:w w:val="105"/>
        </w:rPr>
        <w:t> una</w:t>
      </w:r>
      <w:r>
        <w:rPr>
          <w:color w:val="231F1F"/>
          <w:w w:val="105"/>
        </w:rPr>
        <w:t> situación</w:t>
      </w:r>
      <w:r>
        <w:rPr>
          <w:color w:val="231F1F"/>
          <w:w w:val="105"/>
        </w:rPr>
        <w:t> excepcionalmente</w:t>
      </w:r>
      <w:r>
        <w:rPr>
          <w:color w:val="231F1F"/>
          <w:w w:val="105"/>
        </w:rPr>
        <w:t> amenazante</w:t>
      </w:r>
      <w:r>
        <w:rPr>
          <w:color w:val="231F1F"/>
          <w:w w:val="105"/>
        </w:rPr>
        <w:t> o</w:t>
      </w:r>
      <w:r>
        <w:rPr>
          <w:color w:val="231F1F"/>
          <w:w w:val="105"/>
        </w:rPr>
        <w:t> catastrófica,</w:t>
      </w:r>
      <w:r>
        <w:rPr>
          <w:color w:val="231F1F"/>
          <w:w w:val="105"/>
        </w:rPr>
        <w:t> que</w:t>
      </w:r>
      <w:r>
        <w:rPr>
          <w:color w:val="231F1F"/>
          <w:w w:val="105"/>
        </w:rPr>
        <w:t> causaría</w:t>
      </w:r>
      <w:r>
        <w:rPr>
          <w:color w:val="231F1F"/>
          <w:w w:val="105"/>
        </w:rPr>
        <w:t> por</w:t>
      </w:r>
      <w:r>
        <w:rPr>
          <w:color w:val="231F1F"/>
          <w:w w:val="105"/>
        </w:rPr>
        <w:t> sí mismo</w:t>
      </w:r>
      <w:r>
        <w:rPr>
          <w:color w:val="231F1F"/>
          <w:spacing w:val="40"/>
          <w:w w:val="105"/>
        </w:rPr>
        <w:t> </w:t>
      </w:r>
      <w:r>
        <w:rPr>
          <w:color w:val="231F1F"/>
          <w:w w:val="105"/>
        </w:rPr>
        <w:t>malestar</w:t>
      </w:r>
      <w:r>
        <w:rPr>
          <w:color w:val="231F1F"/>
          <w:spacing w:val="40"/>
          <w:w w:val="105"/>
        </w:rPr>
        <w:t> </w:t>
      </w:r>
      <w:r>
        <w:rPr>
          <w:color w:val="231F1F"/>
          <w:w w:val="105"/>
        </w:rPr>
        <w:t>generalizado</w:t>
      </w:r>
      <w:r>
        <w:rPr>
          <w:color w:val="231F1F"/>
          <w:spacing w:val="40"/>
          <w:w w:val="105"/>
        </w:rPr>
        <w:t> </w:t>
      </w:r>
      <w:r>
        <w:rPr>
          <w:color w:val="231F1F"/>
          <w:w w:val="105"/>
        </w:rPr>
        <w:t>en</w:t>
      </w:r>
      <w:r>
        <w:rPr>
          <w:color w:val="231F1F"/>
          <w:spacing w:val="40"/>
          <w:w w:val="105"/>
        </w:rPr>
        <w:t> </w:t>
      </w:r>
      <w:r>
        <w:rPr>
          <w:color w:val="231F1F"/>
          <w:w w:val="105"/>
        </w:rPr>
        <w:t>casi</w:t>
      </w:r>
      <w:r>
        <w:rPr>
          <w:color w:val="231F1F"/>
          <w:spacing w:val="40"/>
          <w:w w:val="105"/>
        </w:rPr>
        <w:t> </w:t>
      </w:r>
      <w:r>
        <w:rPr>
          <w:color w:val="231F1F"/>
          <w:w w:val="105"/>
        </w:rPr>
        <w:t>cualquier</w:t>
      </w:r>
      <w:r>
        <w:rPr>
          <w:color w:val="231F1F"/>
          <w:spacing w:val="40"/>
          <w:w w:val="105"/>
        </w:rPr>
        <w:t> </w:t>
      </w:r>
      <w:r>
        <w:rPr>
          <w:color w:val="231F1F"/>
          <w:w w:val="105"/>
        </w:rPr>
        <w:t>persona.</w:t>
      </w:r>
    </w:p>
    <w:p>
      <w:pPr>
        <w:pStyle w:val="BodyText"/>
        <w:spacing w:line="249" w:lineRule="auto" w:before="166"/>
        <w:ind w:left="283" w:right="120" w:firstLine="453"/>
        <w:jc w:val="both"/>
      </w:pPr>
      <w:r>
        <w:rPr>
          <w:b/>
          <w:color w:val="231F1F"/>
          <w:spacing w:val="-2"/>
          <w:w w:val="105"/>
        </w:rPr>
        <w:t>Estudio</w:t>
      </w:r>
      <w:r>
        <w:rPr>
          <w:b/>
          <w:color w:val="231F1F"/>
          <w:spacing w:val="-9"/>
          <w:w w:val="105"/>
        </w:rPr>
        <w:t> </w:t>
      </w:r>
      <w:r>
        <w:rPr>
          <w:b/>
          <w:color w:val="231F1F"/>
          <w:spacing w:val="-2"/>
          <w:w w:val="105"/>
        </w:rPr>
        <w:t>de</w:t>
      </w:r>
      <w:r>
        <w:rPr>
          <w:b/>
          <w:color w:val="231F1F"/>
          <w:spacing w:val="-9"/>
          <w:w w:val="105"/>
        </w:rPr>
        <w:t> </w:t>
      </w:r>
      <w:r>
        <w:rPr>
          <w:b/>
          <w:color w:val="231F1F"/>
          <w:spacing w:val="-2"/>
          <w:w w:val="105"/>
        </w:rPr>
        <w:t>casos-control</w:t>
      </w:r>
      <w:r>
        <w:rPr>
          <w:color w:val="231F1F"/>
          <w:spacing w:val="-2"/>
          <w:w w:val="105"/>
        </w:rPr>
        <w:t>:</w:t>
      </w:r>
      <w:r>
        <w:rPr>
          <w:color w:val="231F1F"/>
          <w:spacing w:val="-9"/>
          <w:w w:val="105"/>
        </w:rPr>
        <w:t> </w:t>
      </w:r>
      <w:r>
        <w:rPr>
          <w:color w:val="231F1F"/>
          <w:spacing w:val="-2"/>
          <w:w w:val="105"/>
        </w:rPr>
        <w:t>Estudio</w:t>
      </w:r>
      <w:r>
        <w:rPr>
          <w:color w:val="231F1F"/>
          <w:spacing w:val="-9"/>
          <w:w w:val="105"/>
        </w:rPr>
        <w:t> </w:t>
      </w:r>
      <w:r>
        <w:rPr>
          <w:color w:val="231F1F"/>
          <w:spacing w:val="-2"/>
          <w:w w:val="105"/>
        </w:rPr>
        <w:t>que</w:t>
      </w:r>
      <w:r>
        <w:rPr>
          <w:color w:val="231F1F"/>
          <w:spacing w:val="-9"/>
          <w:w w:val="105"/>
        </w:rPr>
        <w:t> </w:t>
      </w:r>
      <w:r>
        <w:rPr>
          <w:color w:val="231F1F"/>
          <w:spacing w:val="-2"/>
          <w:w w:val="105"/>
        </w:rPr>
        <w:t>identifica</w:t>
      </w:r>
      <w:r>
        <w:rPr>
          <w:color w:val="231F1F"/>
          <w:spacing w:val="-9"/>
          <w:w w:val="105"/>
        </w:rPr>
        <w:t> </w:t>
      </w:r>
      <w:r>
        <w:rPr>
          <w:color w:val="231F1F"/>
          <w:spacing w:val="-2"/>
          <w:w w:val="105"/>
        </w:rPr>
        <w:t>a</w:t>
      </w:r>
      <w:r>
        <w:rPr>
          <w:color w:val="231F1F"/>
          <w:spacing w:val="-9"/>
          <w:w w:val="105"/>
        </w:rPr>
        <w:t> </w:t>
      </w:r>
      <w:r>
        <w:rPr>
          <w:color w:val="231F1F"/>
          <w:spacing w:val="-2"/>
          <w:w w:val="105"/>
        </w:rPr>
        <w:t>personas</w:t>
      </w:r>
      <w:r>
        <w:rPr>
          <w:color w:val="231F1F"/>
          <w:spacing w:val="-9"/>
          <w:w w:val="105"/>
        </w:rPr>
        <w:t> </w:t>
      </w:r>
      <w:r>
        <w:rPr>
          <w:color w:val="231F1F"/>
          <w:spacing w:val="-2"/>
          <w:w w:val="105"/>
        </w:rPr>
        <w:t>con</w:t>
      </w:r>
      <w:r>
        <w:rPr>
          <w:color w:val="231F1F"/>
          <w:spacing w:val="-9"/>
          <w:w w:val="105"/>
        </w:rPr>
        <w:t> </w:t>
      </w:r>
      <w:r>
        <w:rPr>
          <w:color w:val="231F1F"/>
          <w:spacing w:val="-2"/>
          <w:w w:val="105"/>
        </w:rPr>
        <w:t>una</w:t>
      </w:r>
      <w:r>
        <w:rPr>
          <w:color w:val="231F1F"/>
          <w:spacing w:val="-9"/>
          <w:w w:val="105"/>
        </w:rPr>
        <w:t> </w:t>
      </w:r>
      <w:r>
        <w:rPr>
          <w:color w:val="231F1F"/>
          <w:spacing w:val="-2"/>
          <w:w w:val="105"/>
        </w:rPr>
        <w:t>enfermedad</w:t>
      </w:r>
      <w:r>
        <w:rPr>
          <w:color w:val="231F1F"/>
          <w:spacing w:val="-9"/>
          <w:w w:val="105"/>
        </w:rPr>
        <w:t> </w:t>
      </w:r>
      <w:r>
        <w:rPr>
          <w:color w:val="231F1F"/>
          <w:spacing w:val="-2"/>
          <w:w w:val="105"/>
        </w:rPr>
        <w:t>(casos), </w:t>
      </w:r>
      <w:r>
        <w:rPr>
          <w:color w:val="231F1F"/>
          <w:w w:val="105"/>
        </w:rPr>
        <w:t>por</w:t>
      </w:r>
      <w:r>
        <w:rPr>
          <w:color w:val="231F1F"/>
          <w:spacing w:val="25"/>
          <w:w w:val="105"/>
        </w:rPr>
        <w:t> </w:t>
      </w:r>
      <w:r>
        <w:rPr>
          <w:color w:val="231F1F"/>
          <w:w w:val="105"/>
        </w:rPr>
        <w:t>ejemplo</w:t>
      </w:r>
      <w:r>
        <w:rPr>
          <w:color w:val="231F1F"/>
          <w:spacing w:val="25"/>
          <w:w w:val="105"/>
        </w:rPr>
        <w:t> </w:t>
      </w:r>
      <w:r>
        <w:rPr>
          <w:color w:val="231F1F"/>
          <w:w w:val="105"/>
        </w:rPr>
        <w:t>cáncer</w:t>
      </w:r>
      <w:r>
        <w:rPr>
          <w:color w:val="231F1F"/>
          <w:spacing w:val="25"/>
          <w:w w:val="105"/>
        </w:rPr>
        <w:t> </w:t>
      </w:r>
      <w:r>
        <w:rPr>
          <w:color w:val="231F1F"/>
          <w:w w:val="105"/>
        </w:rPr>
        <w:t>de</w:t>
      </w:r>
      <w:r>
        <w:rPr>
          <w:color w:val="231F1F"/>
          <w:spacing w:val="25"/>
          <w:w w:val="105"/>
        </w:rPr>
        <w:t> </w:t>
      </w:r>
      <w:r>
        <w:rPr>
          <w:color w:val="231F1F"/>
          <w:w w:val="105"/>
        </w:rPr>
        <w:t>pulmón,</w:t>
      </w:r>
      <w:r>
        <w:rPr>
          <w:color w:val="231F1F"/>
          <w:spacing w:val="25"/>
          <w:w w:val="105"/>
        </w:rPr>
        <w:t> </w:t>
      </w:r>
      <w:r>
        <w:rPr>
          <w:color w:val="231F1F"/>
          <w:w w:val="105"/>
        </w:rPr>
        <w:t>y</w:t>
      </w:r>
      <w:r>
        <w:rPr>
          <w:color w:val="231F1F"/>
          <w:spacing w:val="24"/>
          <w:w w:val="105"/>
        </w:rPr>
        <w:t> </w:t>
      </w:r>
      <w:r>
        <w:rPr>
          <w:color w:val="231F1F"/>
          <w:w w:val="105"/>
        </w:rPr>
        <w:t>los</w:t>
      </w:r>
      <w:r>
        <w:rPr>
          <w:color w:val="231F1F"/>
          <w:spacing w:val="25"/>
          <w:w w:val="105"/>
        </w:rPr>
        <w:t> </w:t>
      </w:r>
      <w:r>
        <w:rPr>
          <w:color w:val="231F1F"/>
          <w:w w:val="105"/>
        </w:rPr>
        <w:t>compara</w:t>
      </w:r>
      <w:r>
        <w:rPr>
          <w:color w:val="231F1F"/>
          <w:spacing w:val="25"/>
          <w:w w:val="105"/>
        </w:rPr>
        <w:t> </w:t>
      </w:r>
      <w:r>
        <w:rPr>
          <w:color w:val="231F1F"/>
          <w:w w:val="105"/>
        </w:rPr>
        <w:t>con</w:t>
      </w:r>
      <w:r>
        <w:rPr>
          <w:color w:val="231F1F"/>
          <w:spacing w:val="25"/>
          <w:w w:val="105"/>
        </w:rPr>
        <w:t> </w:t>
      </w:r>
      <w:r>
        <w:rPr>
          <w:color w:val="231F1F"/>
          <w:w w:val="105"/>
        </w:rPr>
        <w:t>un</w:t>
      </w:r>
      <w:r>
        <w:rPr>
          <w:color w:val="231F1F"/>
          <w:spacing w:val="25"/>
          <w:w w:val="105"/>
        </w:rPr>
        <w:t> </w:t>
      </w:r>
      <w:r>
        <w:rPr>
          <w:color w:val="231F1F"/>
          <w:w w:val="105"/>
        </w:rPr>
        <w:t>grupo</w:t>
      </w:r>
      <w:r>
        <w:rPr>
          <w:color w:val="231F1F"/>
          <w:spacing w:val="25"/>
          <w:w w:val="105"/>
        </w:rPr>
        <w:t> </w:t>
      </w:r>
      <w:r>
        <w:rPr>
          <w:color w:val="231F1F"/>
          <w:w w:val="105"/>
        </w:rPr>
        <w:t>sin</w:t>
      </w:r>
      <w:r>
        <w:rPr>
          <w:color w:val="231F1F"/>
          <w:spacing w:val="25"/>
          <w:w w:val="105"/>
        </w:rPr>
        <w:t> </w:t>
      </w:r>
      <w:r>
        <w:rPr>
          <w:color w:val="231F1F"/>
          <w:w w:val="105"/>
        </w:rPr>
        <w:t>la</w:t>
      </w:r>
      <w:r>
        <w:rPr>
          <w:color w:val="231F1F"/>
          <w:spacing w:val="25"/>
          <w:w w:val="105"/>
        </w:rPr>
        <w:t> </w:t>
      </w:r>
      <w:r>
        <w:rPr>
          <w:color w:val="231F1F"/>
          <w:w w:val="105"/>
        </w:rPr>
        <w:t>enfermedad</w:t>
      </w:r>
      <w:r>
        <w:rPr>
          <w:color w:val="231F1F"/>
          <w:spacing w:val="25"/>
          <w:w w:val="105"/>
        </w:rPr>
        <w:t> </w:t>
      </w:r>
      <w:r>
        <w:rPr>
          <w:color w:val="231F1F"/>
          <w:w w:val="105"/>
        </w:rPr>
        <w:t>(control). La relación entre uno o varios factores (por ejemplo el tabaco) relacionados con la enfer- medad se examina comparando la frecuencia de exposición a éste u otros factores entre los casos y los controles.</w:t>
      </w:r>
    </w:p>
    <w:p>
      <w:pPr>
        <w:pStyle w:val="BodyText"/>
        <w:spacing w:line="244" w:lineRule="auto" w:before="159"/>
        <w:ind w:left="283" w:right="121" w:firstLine="453"/>
        <w:jc w:val="both"/>
      </w:pPr>
      <w:r>
        <w:rPr>
          <w:b/>
          <w:color w:val="231F1F"/>
          <w:w w:val="105"/>
        </w:rPr>
        <w:t>Estudio de cohortes</w:t>
      </w:r>
      <w:r>
        <w:rPr>
          <w:color w:val="231F1F"/>
          <w:w w:val="105"/>
        </w:rPr>
        <w:t>: Consiste en el seguimiento de una o más cohortes de individuos que</w:t>
      </w:r>
      <w:r>
        <w:rPr>
          <w:color w:val="231F1F"/>
          <w:w w:val="105"/>
        </w:rPr>
        <w:t> presenta</w:t>
      </w:r>
      <w:r>
        <w:rPr>
          <w:color w:val="231F1F"/>
          <w:w w:val="105"/>
        </w:rPr>
        <w:t> diferentes</w:t>
      </w:r>
      <w:r>
        <w:rPr>
          <w:color w:val="231F1F"/>
          <w:w w:val="105"/>
        </w:rPr>
        <w:t> grados</w:t>
      </w:r>
      <w:r>
        <w:rPr>
          <w:color w:val="231F1F"/>
          <w:w w:val="105"/>
        </w:rPr>
        <w:t> de</w:t>
      </w:r>
      <w:r>
        <w:rPr>
          <w:color w:val="231F1F"/>
          <w:w w:val="105"/>
        </w:rPr>
        <w:t> exposición</w:t>
      </w:r>
      <w:r>
        <w:rPr>
          <w:color w:val="231F1F"/>
          <w:w w:val="105"/>
        </w:rPr>
        <w:t> a</w:t>
      </w:r>
      <w:r>
        <w:rPr>
          <w:color w:val="231F1F"/>
          <w:w w:val="105"/>
        </w:rPr>
        <w:t> un</w:t>
      </w:r>
      <w:r>
        <w:rPr>
          <w:color w:val="231F1F"/>
          <w:w w:val="105"/>
        </w:rPr>
        <w:t> factor</w:t>
      </w:r>
      <w:r>
        <w:rPr>
          <w:color w:val="231F1F"/>
          <w:w w:val="105"/>
        </w:rPr>
        <w:t> de</w:t>
      </w:r>
      <w:r>
        <w:rPr>
          <w:color w:val="231F1F"/>
          <w:w w:val="105"/>
        </w:rPr>
        <w:t> riesgo</w:t>
      </w:r>
      <w:r>
        <w:rPr>
          <w:color w:val="231F1F"/>
          <w:w w:val="105"/>
        </w:rPr>
        <w:t> en</w:t>
      </w:r>
      <w:r>
        <w:rPr>
          <w:color w:val="231F1F"/>
          <w:w w:val="105"/>
        </w:rPr>
        <w:t> quienes</w:t>
      </w:r>
      <w:r>
        <w:rPr>
          <w:color w:val="231F1F"/>
          <w:w w:val="105"/>
        </w:rPr>
        <w:t> se</w:t>
      </w:r>
      <w:r>
        <w:rPr>
          <w:color w:val="231F1F"/>
          <w:w w:val="105"/>
        </w:rPr>
        <w:t> mide</w:t>
      </w:r>
      <w:r>
        <w:rPr>
          <w:color w:val="231F1F"/>
          <w:w w:val="105"/>
        </w:rPr>
        <w:t> la aparición de la enfermedad o condición en estudio.</w:t>
      </w:r>
    </w:p>
    <w:p>
      <w:pPr>
        <w:pStyle w:val="BodyText"/>
        <w:spacing w:line="247" w:lineRule="auto" w:before="176"/>
        <w:ind w:left="283" w:right="121" w:firstLine="453"/>
        <w:jc w:val="both"/>
      </w:pPr>
      <w:r>
        <w:rPr>
          <w:b/>
          <w:color w:val="231F1F"/>
        </w:rPr>
        <w:t>Estudio Transversal</w:t>
      </w:r>
      <w:r>
        <w:rPr>
          <w:color w:val="231F1F"/>
        </w:rPr>
        <w:t>: Es aquél que describe la frecuencia de un evento o de una expo- </w:t>
      </w:r>
      <w:r>
        <w:rPr>
          <w:color w:val="231F1F"/>
          <w:w w:val="110"/>
        </w:rPr>
        <w:t>sición</w:t>
      </w:r>
      <w:r>
        <w:rPr>
          <w:color w:val="231F1F"/>
          <w:spacing w:val="-10"/>
          <w:w w:val="110"/>
        </w:rPr>
        <w:t> </w:t>
      </w:r>
      <w:r>
        <w:rPr>
          <w:color w:val="231F1F"/>
          <w:w w:val="110"/>
        </w:rPr>
        <w:t>en</w:t>
      </w:r>
      <w:r>
        <w:rPr>
          <w:color w:val="231F1F"/>
          <w:spacing w:val="-9"/>
          <w:w w:val="110"/>
        </w:rPr>
        <w:t> </w:t>
      </w:r>
      <w:r>
        <w:rPr>
          <w:color w:val="231F1F"/>
          <w:w w:val="110"/>
        </w:rPr>
        <w:t>un</w:t>
      </w:r>
      <w:r>
        <w:rPr>
          <w:color w:val="231F1F"/>
          <w:spacing w:val="-9"/>
          <w:w w:val="110"/>
        </w:rPr>
        <w:t> </w:t>
      </w:r>
      <w:r>
        <w:rPr>
          <w:color w:val="231F1F"/>
          <w:w w:val="110"/>
        </w:rPr>
        <w:t>momento</w:t>
      </w:r>
      <w:r>
        <w:rPr>
          <w:color w:val="231F1F"/>
          <w:spacing w:val="-9"/>
          <w:w w:val="110"/>
        </w:rPr>
        <w:t> </w:t>
      </w:r>
      <w:r>
        <w:rPr>
          <w:color w:val="231F1F"/>
          <w:w w:val="110"/>
        </w:rPr>
        <w:t>determinado</w:t>
      </w:r>
      <w:r>
        <w:rPr>
          <w:color w:val="231F1F"/>
          <w:spacing w:val="-10"/>
          <w:w w:val="110"/>
        </w:rPr>
        <w:t> </w:t>
      </w:r>
      <w:r>
        <w:rPr>
          <w:color w:val="231F1F"/>
          <w:w w:val="110"/>
        </w:rPr>
        <w:t>(medición</w:t>
      </w:r>
      <w:r>
        <w:rPr>
          <w:color w:val="231F1F"/>
          <w:spacing w:val="-9"/>
          <w:w w:val="110"/>
        </w:rPr>
        <w:t> </w:t>
      </w:r>
      <w:r>
        <w:rPr>
          <w:color w:val="231F1F"/>
          <w:w w:val="110"/>
        </w:rPr>
        <w:t>única).</w:t>
      </w:r>
      <w:r>
        <w:rPr>
          <w:color w:val="231F1F"/>
          <w:spacing w:val="-10"/>
          <w:w w:val="110"/>
        </w:rPr>
        <w:t> </w:t>
      </w:r>
      <w:r>
        <w:rPr>
          <w:color w:val="231F1F"/>
          <w:w w:val="110"/>
        </w:rPr>
        <w:t>Permite</w:t>
      </w:r>
      <w:r>
        <w:rPr>
          <w:color w:val="231F1F"/>
          <w:spacing w:val="-10"/>
          <w:w w:val="110"/>
        </w:rPr>
        <w:t> </w:t>
      </w:r>
      <w:r>
        <w:rPr>
          <w:color w:val="231F1F"/>
          <w:w w:val="110"/>
        </w:rPr>
        <w:t>examinar</w:t>
      </w:r>
      <w:r>
        <w:rPr>
          <w:color w:val="231F1F"/>
          <w:spacing w:val="-10"/>
          <w:w w:val="110"/>
        </w:rPr>
        <w:t> </w:t>
      </w:r>
      <w:r>
        <w:rPr>
          <w:color w:val="231F1F"/>
          <w:w w:val="110"/>
        </w:rPr>
        <w:t>la</w:t>
      </w:r>
      <w:r>
        <w:rPr>
          <w:color w:val="231F1F"/>
          <w:spacing w:val="-9"/>
          <w:w w:val="110"/>
        </w:rPr>
        <w:t> </w:t>
      </w:r>
      <w:r>
        <w:rPr>
          <w:color w:val="231F1F"/>
          <w:w w:val="110"/>
        </w:rPr>
        <w:t>relación</w:t>
      </w:r>
      <w:r>
        <w:rPr>
          <w:color w:val="231F1F"/>
          <w:spacing w:val="-9"/>
          <w:w w:val="110"/>
        </w:rPr>
        <w:t> </w:t>
      </w:r>
      <w:r>
        <w:rPr>
          <w:color w:val="231F1F"/>
          <w:w w:val="110"/>
        </w:rPr>
        <w:t>entre un</w:t>
      </w:r>
      <w:r>
        <w:rPr>
          <w:color w:val="231F1F"/>
          <w:spacing w:val="-16"/>
          <w:w w:val="110"/>
        </w:rPr>
        <w:t> </w:t>
      </w:r>
      <w:r>
        <w:rPr>
          <w:color w:val="231F1F"/>
          <w:w w:val="110"/>
        </w:rPr>
        <w:t>factor</w:t>
      </w:r>
      <w:r>
        <w:rPr>
          <w:color w:val="231F1F"/>
          <w:spacing w:val="-15"/>
          <w:w w:val="110"/>
        </w:rPr>
        <w:t> </w:t>
      </w:r>
      <w:r>
        <w:rPr>
          <w:color w:val="231F1F"/>
          <w:w w:val="110"/>
        </w:rPr>
        <w:t>de</w:t>
      </w:r>
      <w:r>
        <w:rPr>
          <w:color w:val="231F1F"/>
          <w:spacing w:val="-15"/>
          <w:w w:val="110"/>
        </w:rPr>
        <w:t> </w:t>
      </w:r>
      <w:r>
        <w:rPr>
          <w:color w:val="231F1F"/>
          <w:w w:val="110"/>
        </w:rPr>
        <w:t>riesgo</w:t>
      </w:r>
      <w:r>
        <w:rPr>
          <w:color w:val="231F1F"/>
          <w:spacing w:val="-15"/>
          <w:w w:val="110"/>
        </w:rPr>
        <w:t> </w:t>
      </w:r>
      <w:r>
        <w:rPr>
          <w:color w:val="231F1F"/>
          <w:w w:val="110"/>
        </w:rPr>
        <w:t>(o</w:t>
      </w:r>
      <w:r>
        <w:rPr>
          <w:color w:val="231F1F"/>
          <w:spacing w:val="-15"/>
          <w:w w:val="110"/>
        </w:rPr>
        <w:t> </w:t>
      </w:r>
      <w:r>
        <w:rPr>
          <w:color w:val="231F1F"/>
          <w:w w:val="110"/>
        </w:rPr>
        <w:t>exposición)</w:t>
      </w:r>
      <w:r>
        <w:rPr>
          <w:color w:val="231F1F"/>
          <w:spacing w:val="-15"/>
          <w:w w:val="110"/>
        </w:rPr>
        <w:t> </w:t>
      </w:r>
      <w:r>
        <w:rPr>
          <w:color w:val="231F1F"/>
          <w:w w:val="110"/>
        </w:rPr>
        <w:t>y</w:t>
      </w:r>
      <w:r>
        <w:rPr>
          <w:color w:val="231F1F"/>
          <w:spacing w:val="-15"/>
          <w:w w:val="110"/>
        </w:rPr>
        <w:t> </w:t>
      </w:r>
      <w:r>
        <w:rPr>
          <w:color w:val="231F1F"/>
          <w:w w:val="110"/>
        </w:rPr>
        <w:t>un</w:t>
      </w:r>
      <w:r>
        <w:rPr>
          <w:color w:val="231F1F"/>
          <w:spacing w:val="-15"/>
          <w:w w:val="110"/>
        </w:rPr>
        <w:t> </w:t>
      </w:r>
      <w:r>
        <w:rPr>
          <w:color w:val="231F1F"/>
          <w:w w:val="110"/>
        </w:rPr>
        <w:t>efecto</w:t>
      </w:r>
      <w:r>
        <w:rPr>
          <w:color w:val="231F1F"/>
          <w:spacing w:val="-16"/>
          <w:w w:val="110"/>
        </w:rPr>
        <w:t> </w:t>
      </w:r>
      <w:r>
        <w:rPr>
          <w:color w:val="231F1F"/>
          <w:w w:val="110"/>
        </w:rPr>
        <w:t>(o</w:t>
      </w:r>
      <w:r>
        <w:rPr>
          <w:color w:val="231F1F"/>
          <w:spacing w:val="-15"/>
          <w:w w:val="110"/>
        </w:rPr>
        <w:t> </w:t>
      </w:r>
      <w:r>
        <w:rPr>
          <w:color w:val="231F1F"/>
          <w:w w:val="110"/>
        </w:rPr>
        <w:t>resultado)</w:t>
      </w:r>
      <w:r>
        <w:rPr>
          <w:color w:val="231F1F"/>
          <w:spacing w:val="-15"/>
          <w:w w:val="110"/>
        </w:rPr>
        <w:t> </w:t>
      </w:r>
      <w:r>
        <w:rPr>
          <w:color w:val="231F1F"/>
          <w:w w:val="110"/>
        </w:rPr>
        <w:t>en</w:t>
      </w:r>
      <w:r>
        <w:rPr>
          <w:color w:val="231F1F"/>
          <w:spacing w:val="-15"/>
          <w:w w:val="110"/>
        </w:rPr>
        <w:t> </w:t>
      </w:r>
      <w:r>
        <w:rPr>
          <w:color w:val="231F1F"/>
          <w:w w:val="110"/>
        </w:rPr>
        <w:t>una</w:t>
      </w:r>
      <w:r>
        <w:rPr>
          <w:color w:val="231F1F"/>
          <w:spacing w:val="-15"/>
          <w:w w:val="110"/>
        </w:rPr>
        <w:t> </w:t>
      </w:r>
      <w:r>
        <w:rPr>
          <w:color w:val="231F1F"/>
          <w:w w:val="110"/>
        </w:rPr>
        <w:t>población</w:t>
      </w:r>
      <w:r>
        <w:rPr>
          <w:color w:val="231F1F"/>
          <w:spacing w:val="-15"/>
          <w:w w:val="110"/>
        </w:rPr>
        <w:t> </w:t>
      </w:r>
      <w:r>
        <w:rPr>
          <w:color w:val="231F1F"/>
          <w:w w:val="110"/>
        </w:rPr>
        <w:t>definida</w:t>
      </w:r>
      <w:r>
        <w:rPr>
          <w:color w:val="231F1F"/>
          <w:spacing w:val="-15"/>
          <w:w w:val="110"/>
        </w:rPr>
        <w:t> </w:t>
      </w:r>
      <w:r>
        <w:rPr>
          <w:color w:val="231F1F"/>
          <w:w w:val="110"/>
        </w:rPr>
        <w:t>y</w:t>
      </w:r>
      <w:r>
        <w:rPr>
          <w:color w:val="231F1F"/>
          <w:spacing w:val="-15"/>
          <w:w w:val="110"/>
        </w:rPr>
        <w:t> </w:t>
      </w:r>
      <w:r>
        <w:rPr>
          <w:color w:val="231F1F"/>
          <w:w w:val="110"/>
        </w:rPr>
        <w:t>en un momento determinado (un corte). Llamados también estudios de prevalencia.</w:t>
      </w:r>
    </w:p>
    <w:p>
      <w:pPr>
        <w:spacing w:before="158"/>
        <w:ind w:left="736" w:right="0" w:firstLine="0"/>
        <w:jc w:val="left"/>
        <w:rPr>
          <w:sz w:val="22"/>
        </w:rPr>
      </w:pPr>
      <w:r>
        <w:rPr>
          <w:b/>
          <w:color w:val="231F1F"/>
          <w:sz w:val="22"/>
        </w:rPr>
        <w:t>Hiperdinamia</w:t>
      </w:r>
      <w:r>
        <w:rPr>
          <w:b/>
          <w:color w:val="231F1F"/>
          <w:spacing w:val="11"/>
          <w:sz w:val="22"/>
        </w:rPr>
        <w:t> </w:t>
      </w:r>
      <w:r>
        <w:rPr>
          <w:b/>
          <w:color w:val="231F1F"/>
          <w:sz w:val="22"/>
        </w:rPr>
        <w:t>uterina:</w:t>
      </w:r>
      <w:r>
        <w:rPr>
          <w:b/>
          <w:color w:val="231F1F"/>
          <w:spacing w:val="14"/>
          <w:sz w:val="22"/>
        </w:rPr>
        <w:t> </w:t>
      </w:r>
      <w:r>
        <w:rPr>
          <w:color w:val="231F1F"/>
          <w:sz w:val="22"/>
        </w:rPr>
        <w:t>Contracciones</w:t>
      </w:r>
      <w:r>
        <w:rPr>
          <w:color w:val="231F1F"/>
          <w:spacing w:val="14"/>
          <w:sz w:val="22"/>
        </w:rPr>
        <w:t> </w:t>
      </w:r>
      <w:r>
        <w:rPr>
          <w:color w:val="231F1F"/>
          <w:sz w:val="22"/>
        </w:rPr>
        <w:t>intensas</w:t>
      </w:r>
      <w:r>
        <w:rPr>
          <w:color w:val="231F1F"/>
          <w:spacing w:val="14"/>
          <w:sz w:val="22"/>
        </w:rPr>
        <w:t> </w:t>
      </w:r>
      <w:r>
        <w:rPr>
          <w:color w:val="231F1F"/>
          <w:sz w:val="22"/>
        </w:rPr>
        <w:t>del</w:t>
      </w:r>
      <w:r>
        <w:rPr>
          <w:color w:val="231F1F"/>
          <w:spacing w:val="15"/>
          <w:sz w:val="22"/>
        </w:rPr>
        <w:t> </w:t>
      </w:r>
      <w:r>
        <w:rPr>
          <w:color w:val="231F1F"/>
          <w:spacing w:val="-2"/>
          <w:sz w:val="22"/>
        </w:rPr>
        <w:t>útero.</w:t>
      </w:r>
    </w:p>
    <w:p>
      <w:pPr>
        <w:pStyle w:val="BodyText"/>
        <w:spacing w:before="174"/>
        <w:ind w:left="283" w:right="117" w:firstLine="453"/>
        <w:jc w:val="both"/>
      </w:pPr>
      <w:r>
        <w:rPr>
          <w:b/>
          <w:color w:val="231F1F"/>
          <w:w w:val="105"/>
        </w:rPr>
        <w:t>Índice</w:t>
      </w:r>
      <w:r>
        <w:rPr>
          <w:b/>
          <w:color w:val="231F1F"/>
          <w:w w:val="105"/>
        </w:rPr>
        <w:t> kappa:</w:t>
      </w:r>
      <w:r>
        <w:rPr>
          <w:b/>
          <w:color w:val="231F1F"/>
          <w:w w:val="105"/>
        </w:rPr>
        <w:t> </w:t>
      </w:r>
      <w:r>
        <w:rPr>
          <w:color w:val="231F1F"/>
          <w:w w:val="105"/>
        </w:rPr>
        <w:t>proporción</w:t>
      </w:r>
      <w:r>
        <w:rPr>
          <w:color w:val="231F1F"/>
          <w:w w:val="105"/>
        </w:rPr>
        <w:t> del</w:t>
      </w:r>
      <w:r>
        <w:rPr>
          <w:color w:val="231F1F"/>
          <w:w w:val="105"/>
        </w:rPr>
        <w:t> acuerdo</w:t>
      </w:r>
      <w:r>
        <w:rPr>
          <w:color w:val="231F1F"/>
          <w:w w:val="105"/>
        </w:rPr>
        <w:t> potencial</w:t>
      </w:r>
      <w:r>
        <w:rPr>
          <w:color w:val="231F1F"/>
          <w:w w:val="105"/>
        </w:rPr>
        <w:t> por</w:t>
      </w:r>
      <w:r>
        <w:rPr>
          <w:color w:val="231F1F"/>
          <w:w w:val="105"/>
        </w:rPr>
        <w:t> encima</w:t>
      </w:r>
      <w:r>
        <w:rPr>
          <w:color w:val="231F1F"/>
          <w:w w:val="105"/>
        </w:rPr>
        <w:t> del</w:t>
      </w:r>
      <w:r>
        <w:rPr>
          <w:color w:val="231F1F"/>
          <w:w w:val="105"/>
        </w:rPr>
        <w:t> azar</w:t>
      </w:r>
      <w:r>
        <w:rPr>
          <w:color w:val="231F1F"/>
          <w:w w:val="105"/>
        </w:rPr>
        <w:t> que</w:t>
      </w:r>
      <w:r>
        <w:rPr>
          <w:color w:val="231F1F"/>
          <w:w w:val="105"/>
        </w:rPr>
        <w:t> obtienen distintas mediciones de un mismo hecho.</w:t>
      </w:r>
    </w:p>
    <w:p>
      <w:pPr>
        <w:pStyle w:val="BodyText"/>
        <w:spacing w:line="249" w:lineRule="auto" w:before="171"/>
        <w:ind w:left="283" w:right="121" w:firstLine="453"/>
        <w:jc w:val="both"/>
      </w:pPr>
      <w:r>
        <w:rPr>
          <w:b/>
          <w:color w:val="231F1F"/>
          <w:w w:val="105"/>
        </w:rPr>
        <w:t>Intervalo de confianza (IC)</w:t>
      </w:r>
      <w:r>
        <w:rPr>
          <w:color w:val="231F1F"/>
          <w:w w:val="105"/>
        </w:rPr>
        <w:t>: Es el intervalo dentro del que se encuentra la verdadera magnitud del efecto (nunca conocida exactamente) con un grado prefijado de seguridad o confianza. A menudo se habla de “intervalo de confianza al 95%” (o “límites de confianza al 95%”). Quiere decir que dentro de ese intervalo se encontraría el verdadero valor en el 95% los casos.</w:t>
      </w:r>
    </w:p>
    <w:p>
      <w:pPr>
        <w:pStyle w:val="BodyText"/>
        <w:spacing w:line="249" w:lineRule="auto" w:before="163"/>
        <w:ind w:left="283" w:right="118" w:firstLine="453"/>
        <w:jc w:val="both"/>
      </w:pPr>
      <w:r>
        <w:rPr>
          <w:b/>
          <w:color w:val="231F1F"/>
          <w:w w:val="105"/>
        </w:rPr>
        <w:t>Investigación cualitativa</w:t>
      </w:r>
      <w:r>
        <w:rPr>
          <w:color w:val="231F1F"/>
          <w:w w:val="105"/>
        </w:rPr>
        <w:t>: Es una metodología que comprende una pluralidad de co- rrientes</w:t>
      </w:r>
      <w:r>
        <w:rPr>
          <w:color w:val="231F1F"/>
          <w:w w:val="105"/>
        </w:rPr>
        <w:t> teóricas,</w:t>
      </w:r>
      <w:r>
        <w:rPr>
          <w:color w:val="231F1F"/>
          <w:w w:val="105"/>
        </w:rPr>
        <w:t> métodos</w:t>
      </w:r>
      <w:r>
        <w:rPr>
          <w:color w:val="231F1F"/>
          <w:w w:val="105"/>
        </w:rPr>
        <w:t> y</w:t>
      </w:r>
      <w:r>
        <w:rPr>
          <w:color w:val="231F1F"/>
          <w:w w:val="105"/>
        </w:rPr>
        <w:t> técnicas,</w:t>
      </w:r>
      <w:r>
        <w:rPr>
          <w:color w:val="231F1F"/>
          <w:w w:val="105"/>
        </w:rPr>
        <w:t> y</w:t>
      </w:r>
      <w:r>
        <w:rPr>
          <w:color w:val="231F1F"/>
          <w:w w:val="105"/>
        </w:rPr>
        <w:t> se</w:t>
      </w:r>
      <w:r>
        <w:rPr>
          <w:color w:val="231F1F"/>
          <w:w w:val="105"/>
        </w:rPr>
        <w:t> caracteriza</w:t>
      </w:r>
      <w:r>
        <w:rPr>
          <w:color w:val="231F1F"/>
          <w:w w:val="105"/>
        </w:rPr>
        <w:t> por</w:t>
      </w:r>
      <w:r>
        <w:rPr>
          <w:color w:val="231F1F"/>
          <w:w w:val="105"/>
        </w:rPr>
        <w:t> estudiar</w:t>
      </w:r>
      <w:r>
        <w:rPr>
          <w:color w:val="231F1F"/>
          <w:w w:val="105"/>
        </w:rPr>
        <w:t> los</w:t>
      </w:r>
      <w:r>
        <w:rPr>
          <w:color w:val="231F1F"/>
          <w:w w:val="105"/>
        </w:rPr>
        <w:t> fenómenos</w:t>
      </w:r>
      <w:r>
        <w:rPr>
          <w:color w:val="231F1F"/>
          <w:w w:val="105"/>
        </w:rPr>
        <w:t> en</w:t>
      </w:r>
      <w:r>
        <w:rPr>
          <w:color w:val="231F1F"/>
          <w:w w:val="105"/>
        </w:rPr>
        <w:t> su contexto</w:t>
      </w:r>
      <w:r>
        <w:rPr>
          <w:color w:val="231F1F"/>
          <w:spacing w:val="23"/>
          <w:w w:val="105"/>
        </w:rPr>
        <w:t> </w:t>
      </w:r>
      <w:r>
        <w:rPr>
          <w:color w:val="231F1F"/>
          <w:w w:val="105"/>
        </w:rPr>
        <w:t>natural,</w:t>
      </w:r>
      <w:r>
        <w:rPr>
          <w:color w:val="231F1F"/>
          <w:spacing w:val="22"/>
          <w:w w:val="105"/>
        </w:rPr>
        <w:t> </w:t>
      </w:r>
      <w:r>
        <w:rPr>
          <w:color w:val="231F1F"/>
          <w:w w:val="105"/>
        </w:rPr>
        <w:t>intentado</w:t>
      </w:r>
      <w:r>
        <w:rPr>
          <w:color w:val="231F1F"/>
          <w:spacing w:val="23"/>
          <w:w w:val="105"/>
        </w:rPr>
        <w:t> </w:t>
      </w:r>
      <w:r>
        <w:rPr>
          <w:color w:val="231F1F"/>
          <w:w w:val="105"/>
        </w:rPr>
        <w:t>encontrar</w:t>
      </w:r>
      <w:r>
        <w:rPr>
          <w:color w:val="231F1F"/>
          <w:spacing w:val="23"/>
          <w:w w:val="105"/>
        </w:rPr>
        <w:t> </w:t>
      </w:r>
      <w:r>
        <w:rPr>
          <w:color w:val="231F1F"/>
          <w:w w:val="105"/>
        </w:rPr>
        <w:t>el</w:t>
      </w:r>
      <w:r>
        <w:rPr>
          <w:color w:val="231F1F"/>
          <w:spacing w:val="22"/>
          <w:w w:val="105"/>
        </w:rPr>
        <w:t> </w:t>
      </w:r>
      <w:r>
        <w:rPr>
          <w:color w:val="231F1F"/>
          <w:w w:val="105"/>
        </w:rPr>
        <w:t>sentido</w:t>
      </w:r>
      <w:r>
        <w:rPr>
          <w:color w:val="231F1F"/>
          <w:spacing w:val="22"/>
          <w:w w:val="105"/>
        </w:rPr>
        <w:t> </w:t>
      </w:r>
      <w:r>
        <w:rPr>
          <w:color w:val="231F1F"/>
          <w:w w:val="105"/>
        </w:rPr>
        <w:t>o</w:t>
      </w:r>
      <w:r>
        <w:rPr>
          <w:color w:val="231F1F"/>
          <w:spacing w:val="23"/>
          <w:w w:val="105"/>
        </w:rPr>
        <w:t> </w:t>
      </w:r>
      <w:r>
        <w:rPr>
          <w:color w:val="231F1F"/>
          <w:w w:val="105"/>
        </w:rPr>
        <w:t>la</w:t>
      </w:r>
      <w:r>
        <w:rPr>
          <w:color w:val="231F1F"/>
          <w:spacing w:val="23"/>
          <w:w w:val="105"/>
        </w:rPr>
        <w:t> </w:t>
      </w:r>
      <w:r>
        <w:rPr>
          <w:color w:val="231F1F"/>
          <w:w w:val="105"/>
        </w:rPr>
        <w:t>interpretación</w:t>
      </w:r>
      <w:r>
        <w:rPr>
          <w:color w:val="231F1F"/>
          <w:spacing w:val="22"/>
          <w:w w:val="105"/>
        </w:rPr>
        <w:t> </w:t>
      </w:r>
      <w:r>
        <w:rPr>
          <w:color w:val="231F1F"/>
          <w:w w:val="105"/>
        </w:rPr>
        <w:t>de</w:t>
      </w:r>
      <w:r>
        <w:rPr>
          <w:color w:val="231F1F"/>
          <w:spacing w:val="22"/>
          <w:w w:val="105"/>
        </w:rPr>
        <w:t> </w:t>
      </w:r>
      <w:r>
        <w:rPr>
          <w:color w:val="231F1F"/>
          <w:w w:val="105"/>
        </w:rPr>
        <w:t>los</w:t>
      </w:r>
      <w:r>
        <w:rPr>
          <w:color w:val="231F1F"/>
          <w:spacing w:val="22"/>
          <w:w w:val="105"/>
        </w:rPr>
        <w:t> </w:t>
      </w:r>
      <w:r>
        <w:rPr>
          <w:color w:val="231F1F"/>
          <w:w w:val="105"/>
        </w:rPr>
        <w:t>mismos</w:t>
      </w:r>
      <w:r>
        <w:rPr>
          <w:color w:val="231F1F"/>
          <w:spacing w:val="22"/>
          <w:w w:val="105"/>
        </w:rPr>
        <w:t> </w:t>
      </w:r>
      <w:r>
        <w:rPr>
          <w:color w:val="231F1F"/>
          <w:w w:val="105"/>
        </w:rPr>
        <w:t>a</w:t>
      </w:r>
      <w:r>
        <w:rPr>
          <w:color w:val="231F1F"/>
          <w:spacing w:val="23"/>
          <w:w w:val="105"/>
        </w:rPr>
        <w:t> </w:t>
      </w:r>
      <w:r>
        <w:rPr>
          <w:color w:val="231F1F"/>
          <w:w w:val="105"/>
        </w:rPr>
        <w:t>partir de los significados que las personas les conceden. Para ello se sirve de los materiales empí-</w:t>
      </w:r>
    </w:p>
    <w:p>
      <w:pPr>
        <w:pStyle w:val="BodyText"/>
        <w:spacing w:after="0" w:line="249" w:lineRule="auto"/>
        <w:jc w:val="both"/>
        <w:sectPr>
          <w:pgSz w:w="11900" w:h="16840"/>
          <w:pgMar w:header="0" w:footer="622" w:top="1560" w:bottom="820" w:left="1417" w:right="1559"/>
        </w:sectPr>
      </w:pPr>
    </w:p>
    <w:p>
      <w:pPr>
        <w:pStyle w:val="BodyText"/>
        <w:spacing w:line="244" w:lineRule="auto" w:before="73"/>
        <w:ind w:left="283"/>
      </w:pPr>
      <w:r>
        <w:rPr>
          <w:color w:val="231F1F"/>
          <w:w w:val="110"/>
        </w:rPr>
        <w:t>ricos</w:t>
      </w:r>
      <w:r>
        <w:rPr>
          <w:color w:val="231F1F"/>
          <w:spacing w:val="-12"/>
          <w:w w:val="110"/>
        </w:rPr>
        <w:t> </w:t>
      </w:r>
      <w:r>
        <w:rPr>
          <w:color w:val="231F1F"/>
          <w:w w:val="110"/>
        </w:rPr>
        <w:t>(entrevistas,</w:t>
      </w:r>
      <w:r>
        <w:rPr>
          <w:color w:val="231F1F"/>
          <w:spacing w:val="-12"/>
          <w:w w:val="110"/>
        </w:rPr>
        <w:t> </w:t>
      </w:r>
      <w:r>
        <w:rPr>
          <w:color w:val="231F1F"/>
          <w:w w:val="110"/>
        </w:rPr>
        <w:t>observaciones,</w:t>
      </w:r>
      <w:r>
        <w:rPr>
          <w:color w:val="231F1F"/>
          <w:spacing w:val="-13"/>
          <w:w w:val="110"/>
        </w:rPr>
        <w:t> </w:t>
      </w:r>
      <w:r>
        <w:rPr>
          <w:color w:val="231F1F"/>
          <w:w w:val="110"/>
        </w:rPr>
        <w:t>textos,</w:t>
      </w:r>
      <w:r>
        <w:rPr>
          <w:color w:val="231F1F"/>
          <w:spacing w:val="-13"/>
          <w:w w:val="110"/>
        </w:rPr>
        <w:t> </w:t>
      </w:r>
      <w:r>
        <w:rPr>
          <w:color w:val="231F1F"/>
          <w:w w:val="110"/>
        </w:rPr>
        <w:t>etc.)</w:t>
      </w:r>
      <w:r>
        <w:rPr>
          <w:color w:val="231F1F"/>
          <w:spacing w:val="-12"/>
          <w:w w:val="110"/>
        </w:rPr>
        <w:t> </w:t>
      </w:r>
      <w:r>
        <w:rPr>
          <w:color w:val="231F1F"/>
          <w:w w:val="110"/>
        </w:rPr>
        <w:t>que</w:t>
      </w:r>
      <w:r>
        <w:rPr>
          <w:color w:val="231F1F"/>
          <w:spacing w:val="-12"/>
          <w:w w:val="110"/>
        </w:rPr>
        <w:t> </w:t>
      </w:r>
      <w:r>
        <w:rPr>
          <w:color w:val="231F1F"/>
          <w:w w:val="110"/>
        </w:rPr>
        <w:t>mejor</w:t>
      </w:r>
      <w:r>
        <w:rPr>
          <w:color w:val="231F1F"/>
          <w:spacing w:val="-12"/>
          <w:w w:val="110"/>
        </w:rPr>
        <w:t> </w:t>
      </w:r>
      <w:r>
        <w:rPr>
          <w:color w:val="231F1F"/>
          <w:w w:val="110"/>
        </w:rPr>
        <w:t>puedan</w:t>
      </w:r>
      <w:r>
        <w:rPr>
          <w:color w:val="231F1F"/>
          <w:spacing w:val="-12"/>
          <w:w w:val="110"/>
        </w:rPr>
        <w:t> </w:t>
      </w:r>
      <w:r>
        <w:rPr>
          <w:color w:val="231F1F"/>
          <w:w w:val="110"/>
        </w:rPr>
        <w:t>describir</w:t>
      </w:r>
      <w:r>
        <w:rPr>
          <w:color w:val="231F1F"/>
          <w:spacing w:val="-12"/>
          <w:w w:val="110"/>
        </w:rPr>
        <w:t> </w:t>
      </w:r>
      <w:r>
        <w:rPr>
          <w:color w:val="231F1F"/>
          <w:w w:val="110"/>
        </w:rPr>
        <w:t>las</w:t>
      </w:r>
      <w:r>
        <w:rPr>
          <w:color w:val="231F1F"/>
          <w:spacing w:val="-12"/>
          <w:w w:val="110"/>
        </w:rPr>
        <w:t> </w:t>
      </w:r>
      <w:r>
        <w:rPr>
          <w:color w:val="231F1F"/>
          <w:w w:val="110"/>
        </w:rPr>
        <w:t>situaciones tanto rutinarias como problemáticas, y lo que significan en las vidas de los individuos.</w:t>
      </w:r>
    </w:p>
    <w:p>
      <w:pPr>
        <w:pStyle w:val="BodyText"/>
        <w:spacing w:line="259" w:lineRule="auto" w:before="156"/>
        <w:ind w:left="283" w:right="130" w:firstLine="453"/>
        <w:jc w:val="both"/>
      </w:pPr>
      <w:r>
        <w:rPr>
          <w:b/>
          <w:color w:val="231F1F"/>
        </w:rPr>
        <w:t>Líquidos claros</w:t>
      </w:r>
      <w:r>
        <w:rPr>
          <w:color w:val="231F1F"/>
        </w:rPr>
        <w:t>: Agua, zumos de frutas sin pulpa, bebidas carbonatadas, café y té sin leche,</w:t>
      </w:r>
      <w:r>
        <w:rPr>
          <w:color w:val="231F1F"/>
          <w:spacing w:val="40"/>
        </w:rPr>
        <w:t> </w:t>
      </w:r>
      <w:r>
        <w:rPr>
          <w:color w:val="231F1F"/>
        </w:rPr>
        <w:t>bebidas</w:t>
      </w:r>
      <w:r>
        <w:rPr>
          <w:color w:val="231F1F"/>
          <w:spacing w:val="40"/>
        </w:rPr>
        <w:t> </w:t>
      </w:r>
      <w:r>
        <w:rPr>
          <w:color w:val="231F1F"/>
        </w:rPr>
        <w:t>energéticas</w:t>
      </w:r>
    </w:p>
    <w:p>
      <w:pPr>
        <w:pStyle w:val="BodyText"/>
        <w:spacing w:before="120"/>
        <w:ind w:left="283" w:right="122" w:firstLine="453"/>
        <w:jc w:val="both"/>
      </w:pPr>
      <w:r>
        <w:rPr>
          <w:b/>
          <w:color w:val="231F1F"/>
          <w:w w:val="105"/>
        </w:rPr>
        <w:t>Litotomía: </w:t>
      </w:r>
      <w:r>
        <w:rPr>
          <w:color w:val="231F1F"/>
          <w:w w:val="105"/>
        </w:rPr>
        <w:t>Posición en la que la mujer es colocada en decúbito supino con las caderas y rodillas flexionadas y los muslos en abducción y rotación externa.</w:t>
      </w:r>
    </w:p>
    <w:p>
      <w:pPr>
        <w:pStyle w:val="BodyText"/>
        <w:spacing w:line="244" w:lineRule="auto" w:before="142"/>
        <w:ind w:left="283" w:right="125" w:firstLine="453"/>
        <w:jc w:val="both"/>
      </w:pPr>
      <w:r>
        <w:rPr>
          <w:b/>
          <w:color w:val="231F1F"/>
          <w:w w:val="105"/>
        </w:rPr>
        <w:t>Manejo activo del alumbramiento</w:t>
      </w:r>
      <w:r>
        <w:rPr>
          <w:color w:val="231F1F"/>
          <w:w w:val="105"/>
        </w:rPr>
        <w:t>: Comprende la administración profiláctica de ute- rotónicos, la tracción controlada del cordón umbilical y el masaje uterino tras la expulsión de la placenta.</w:t>
      </w:r>
    </w:p>
    <w:p>
      <w:pPr>
        <w:spacing w:line="244" w:lineRule="auto" w:before="148"/>
        <w:ind w:left="283" w:right="122" w:firstLine="453"/>
        <w:jc w:val="both"/>
        <w:rPr>
          <w:sz w:val="22"/>
        </w:rPr>
      </w:pPr>
      <w:r>
        <w:rPr>
          <w:b/>
          <w:color w:val="231F1F"/>
          <w:w w:val="105"/>
          <w:sz w:val="22"/>
        </w:rPr>
        <w:t>Manejo</w:t>
      </w:r>
      <w:r>
        <w:rPr>
          <w:b/>
          <w:color w:val="231F1F"/>
          <w:spacing w:val="-14"/>
          <w:w w:val="105"/>
          <w:sz w:val="22"/>
        </w:rPr>
        <w:t> </w:t>
      </w:r>
      <w:r>
        <w:rPr>
          <w:b/>
          <w:color w:val="231F1F"/>
          <w:w w:val="105"/>
          <w:sz w:val="22"/>
        </w:rPr>
        <w:t>fisiológico</w:t>
      </w:r>
      <w:r>
        <w:rPr>
          <w:b/>
          <w:color w:val="231F1F"/>
          <w:spacing w:val="-13"/>
          <w:w w:val="105"/>
          <w:sz w:val="22"/>
        </w:rPr>
        <w:t> </w:t>
      </w:r>
      <w:r>
        <w:rPr>
          <w:b/>
          <w:color w:val="231F1F"/>
          <w:w w:val="105"/>
          <w:sz w:val="22"/>
        </w:rPr>
        <w:t>del</w:t>
      </w:r>
      <w:r>
        <w:rPr>
          <w:b/>
          <w:color w:val="231F1F"/>
          <w:spacing w:val="-14"/>
          <w:w w:val="105"/>
          <w:sz w:val="22"/>
        </w:rPr>
        <w:t> </w:t>
      </w:r>
      <w:r>
        <w:rPr>
          <w:b/>
          <w:color w:val="231F1F"/>
          <w:w w:val="105"/>
          <w:sz w:val="22"/>
        </w:rPr>
        <w:t>alumbramiento:</w:t>
      </w:r>
      <w:r>
        <w:rPr>
          <w:b/>
          <w:color w:val="231F1F"/>
          <w:spacing w:val="-15"/>
          <w:w w:val="105"/>
          <w:sz w:val="22"/>
        </w:rPr>
        <w:t> </w:t>
      </w:r>
      <w:r>
        <w:rPr>
          <w:color w:val="231F1F"/>
          <w:w w:val="105"/>
          <w:sz w:val="22"/>
        </w:rPr>
        <w:t>Manejo</w:t>
      </w:r>
      <w:r>
        <w:rPr>
          <w:color w:val="231F1F"/>
          <w:spacing w:val="-14"/>
          <w:w w:val="105"/>
          <w:sz w:val="22"/>
        </w:rPr>
        <w:t> </w:t>
      </w:r>
      <w:r>
        <w:rPr>
          <w:color w:val="231F1F"/>
          <w:w w:val="105"/>
          <w:sz w:val="22"/>
        </w:rPr>
        <w:t>del</w:t>
      </w:r>
      <w:r>
        <w:rPr>
          <w:color w:val="231F1F"/>
          <w:spacing w:val="-14"/>
          <w:w w:val="105"/>
          <w:sz w:val="22"/>
        </w:rPr>
        <w:t> </w:t>
      </w:r>
      <w:r>
        <w:rPr>
          <w:color w:val="231F1F"/>
          <w:w w:val="105"/>
          <w:sz w:val="22"/>
        </w:rPr>
        <w:t>alumbramiento</w:t>
      </w:r>
      <w:r>
        <w:rPr>
          <w:color w:val="231F1F"/>
          <w:spacing w:val="-14"/>
          <w:w w:val="105"/>
          <w:sz w:val="22"/>
        </w:rPr>
        <w:t> </w:t>
      </w:r>
      <w:r>
        <w:rPr>
          <w:color w:val="231F1F"/>
          <w:w w:val="105"/>
          <w:sz w:val="22"/>
        </w:rPr>
        <w:t>sin</w:t>
      </w:r>
      <w:r>
        <w:rPr>
          <w:color w:val="231F1F"/>
          <w:spacing w:val="-14"/>
          <w:w w:val="105"/>
          <w:sz w:val="22"/>
        </w:rPr>
        <w:t> </w:t>
      </w:r>
      <w:r>
        <w:rPr>
          <w:color w:val="231F1F"/>
          <w:w w:val="105"/>
          <w:sz w:val="22"/>
        </w:rPr>
        <w:t>administración de</w:t>
      </w:r>
      <w:r>
        <w:rPr>
          <w:color w:val="231F1F"/>
          <w:spacing w:val="40"/>
          <w:w w:val="105"/>
          <w:sz w:val="22"/>
        </w:rPr>
        <w:t> </w:t>
      </w:r>
      <w:r>
        <w:rPr>
          <w:color w:val="231F1F"/>
          <w:w w:val="105"/>
          <w:sz w:val="22"/>
        </w:rPr>
        <w:t>uterotónicos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expulsión</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placenta</w:t>
      </w:r>
      <w:r>
        <w:rPr>
          <w:color w:val="231F1F"/>
          <w:spacing w:val="40"/>
          <w:w w:val="105"/>
          <w:sz w:val="22"/>
        </w:rPr>
        <w:t> </w:t>
      </w:r>
      <w:r>
        <w:rPr>
          <w:color w:val="231F1F"/>
          <w:w w:val="105"/>
          <w:sz w:val="22"/>
        </w:rPr>
        <w:t>por</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gravedad</w:t>
      </w:r>
      <w:r>
        <w:rPr>
          <w:color w:val="231F1F"/>
          <w:spacing w:val="40"/>
          <w:w w:val="105"/>
          <w:sz w:val="22"/>
        </w:rPr>
        <w:t> </w:t>
      </w:r>
      <w:r>
        <w:rPr>
          <w:color w:val="231F1F"/>
          <w:w w:val="105"/>
          <w:sz w:val="22"/>
        </w:rPr>
        <w:t>y</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pujo</w:t>
      </w:r>
      <w:r>
        <w:rPr>
          <w:color w:val="231F1F"/>
          <w:spacing w:val="40"/>
          <w:w w:val="105"/>
          <w:sz w:val="22"/>
        </w:rPr>
        <w:t> </w:t>
      </w:r>
      <w:r>
        <w:rPr>
          <w:color w:val="231F1F"/>
          <w:w w:val="105"/>
          <w:sz w:val="22"/>
        </w:rPr>
        <w:t>materno.</w:t>
      </w:r>
    </w:p>
    <w:p>
      <w:pPr>
        <w:pStyle w:val="BodyText"/>
        <w:spacing w:line="244" w:lineRule="auto" w:before="146"/>
        <w:ind w:left="283" w:right="124" w:firstLine="453"/>
        <w:jc w:val="both"/>
      </w:pPr>
      <w:r>
        <w:rPr>
          <w:b/>
          <w:color w:val="231F1F"/>
          <w:spacing w:val="-2"/>
          <w:w w:val="110"/>
        </w:rPr>
        <w:t>Maniobra</w:t>
      </w:r>
      <w:r>
        <w:rPr>
          <w:b/>
          <w:color w:val="231F1F"/>
          <w:spacing w:val="-9"/>
          <w:w w:val="110"/>
        </w:rPr>
        <w:t> </w:t>
      </w:r>
      <w:r>
        <w:rPr>
          <w:b/>
          <w:color w:val="231F1F"/>
          <w:spacing w:val="-2"/>
          <w:w w:val="110"/>
        </w:rPr>
        <w:t>de</w:t>
      </w:r>
      <w:r>
        <w:rPr>
          <w:b/>
          <w:color w:val="231F1F"/>
          <w:spacing w:val="-9"/>
          <w:w w:val="110"/>
        </w:rPr>
        <w:t> </w:t>
      </w:r>
      <w:r>
        <w:rPr>
          <w:b/>
          <w:color w:val="231F1F"/>
          <w:spacing w:val="-2"/>
          <w:w w:val="110"/>
        </w:rPr>
        <w:t>Kristeller</w:t>
      </w:r>
      <w:r>
        <w:rPr>
          <w:color w:val="231F1F"/>
          <w:spacing w:val="-2"/>
          <w:w w:val="110"/>
        </w:rPr>
        <w:t>:</w:t>
      </w:r>
      <w:r>
        <w:rPr>
          <w:color w:val="231F1F"/>
          <w:spacing w:val="-9"/>
          <w:w w:val="110"/>
        </w:rPr>
        <w:t> </w:t>
      </w:r>
      <w:r>
        <w:rPr>
          <w:color w:val="231F1F"/>
          <w:spacing w:val="-2"/>
          <w:w w:val="110"/>
        </w:rPr>
        <w:t>La</w:t>
      </w:r>
      <w:r>
        <w:rPr>
          <w:color w:val="231F1F"/>
          <w:spacing w:val="-9"/>
          <w:w w:val="110"/>
        </w:rPr>
        <w:t> </w:t>
      </w:r>
      <w:r>
        <w:rPr>
          <w:color w:val="231F1F"/>
          <w:spacing w:val="-2"/>
          <w:w w:val="110"/>
        </w:rPr>
        <w:t>maniobra</w:t>
      </w:r>
      <w:r>
        <w:rPr>
          <w:color w:val="231F1F"/>
          <w:spacing w:val="-9"/>
          <w:w w:val="110"/>
        </w:rPr>
        <w:t> </w:t>
      </w:r>
      <w:r>
        <w:rPr>
          <w:color w:val="231F1F"/>
          <w:spacing w:val="-2"/>
          <w:w w:val="110"/>
        </w:rPr>
        <w:t>de</w:t>
      </w:r>
      <w:r>
        <w:rPr>
          <w:color w:val="231F1F"/>
          <w:spacing w:val="-9"/>
          <w:w w:val="110"/>
        </w:rPr>
        <w:t> </w:t>
      </w:r>
      <w:r>
        <w:rPr>
          <w:color w:val="231F1F"/>
          <w:spacing w:val="-2"/>
          <w:w w:val="110"/>
        </w:rPr>
        <w:t>kristeller</w:t>
      </w:r>
      <w:r>
        <w:rPr>
          <w:color w:val="231F1F"/>
          <w:spacing w:val="-9"/>
          <w:w w:val="110"/>
        </w:rPr>
        <w:t> </w:t>
      </w:r>
      <w:r>
        <w:rPr>
          <w:color w:val="231F1F"/>
          <w:spacing w:val="-2"/>
          <w:w w:val="110"/>
        </w:rPr>
        <w:t>consiste</w:t>
      </w:r>
      <w:r>
        <w:rPr>
          <w:color w:val="231F1F"/>
          <w:spacing w:val="-9"/>
          <w:w w:val="110"/>
        </w:rPr>
        <w:t> </w:t>
      </w:r>
      <w:r>
        <w:rPr>
          <w:color w:val="231F1F"/>
          <w:spacing w:val="-2"/>
          <w:w w:val="110"/>
        </w:rPr>
        <w:t>en</w:t>
      </w:r>
      <w:r>
        <w:rPr>
          <w:color w:val="231F1F"/>
          <w:spacing w:val="-9"/>
          <w:w w:val="110"/>
        </w:rPr>
        <w:t> </w:t>
      </w:r>
      <w:r>
        <w:rPr>
          <w:color w:val="231F1F"/>
          <w:spacing w:val="-2"/>
          <w:w w:val="110"/>
        </w:rPr>
        <w:t>presionar</w:t>
      </w:r>
      <w:r>
        <w:rPr>
          <w:color w:val="231F1F"/>
          <w:spacing w:val="-9"/>
          <w:w w:val="110"/>
        </w:rPr>
        <w:t> </w:t>
      </w:r>
      <w:r>
        <w:rPr>
          <w:color w:val="231F1F"/>
          <w:spacing w:val="-2"/>
          <w:w w:val="110"/>
        </w:rPr>
        <w:t>el</w:t>
      </w:r>
      <w:r>
        <w:rPr>
          <w:color w:val="231F1F"/>
          <w:spacing w:val="-9"/>
          <w:w w:val="110"/>
        </w:rPr>
        <w:t> </w:t>
      </w:r>
      <w:r>
        <w:rPr>
          <w:color w:val="231F1F"/>
          <w:spacing w:val="-2"/>
          <w:w w:val="110"/>
        </w:rPr>
        <w:t>fondo</w:t>
      </w:r>
      <w:r>
        <w:rPr>
          <w:color w:val="231F1F"/>
          <w:spacing w:val="-9"/>
          <w:w w:val="110"/>
        </w:rPr>
        <w:t> </w:t>
      </w:r>
      <w:r>
        <w:rPr>
          <w:color w:val="231F1F"/>
          <w:spacing w:val="-2"/>
          <w:w w:val="110"/>
        </w:rPr>
        <w:t>del </w:t>
      </w:r>
      <w:r>
        <w:rPr>
          <w:color w:val="231F1F"/>
          <w:w w:val="110"/>
        </w:rPr>
        <w:t>útero</w:t>
      </w:r>
      <w:r>
        <w:rPr>
          <w:color w:val="231F1F"/>
          <w:spacing w:val="-5"/>
          <w:w w:val="110"/>
        </w:rPr>
        <w:t> </w:t>
      </w:r>
      <w:r>
        <w:rPr>
          <w:color w:val="231F1F"/>
          <w:w w:val="110"/>
        </w:rPr>
        <w:t>durante</w:t>
      </w:r>
      <w:r>
        <w:rPr>
          <w:color w:val="231F1F"/>
          <w:spacing w:val="-5"/>
          <w:w w:val="110"/>
        </w:rPr>
        <w:t> </w:t>
      </w:r>
      <w:r>
        <w:rPr>
          <w:color w:val="231F1F"/>
          <w:w w:val="110"/>
        </w:rPr>
        <w:t>5</w:t>
      </w:r>
      <w:r>
        <w:rPr>
          <w:color w:val="231F1F"/>
          <w:spacing w:val="-5"/>
          <w:w w:val="110"/>
        </w:rPr>
        <w:t> </w:t>
      </w:r>
      <w:r>
        <w:rPr>
          <w:color w:val="231F1F"/>
          <w:w w:val="110"/>
        </w:rPr>
        <w:t>a</w:t>
      </w:r>
      <w:r>
        <w:rPr>
          <w:color w:val="231F1F"/>
          <w:spacing w:val="-5"/>
          <w:w w:val="110"/>
        </w:rPr>
        <w:t> </w:t>
      </w:r>
      <w:r>
        <w:rPr>
          <w:color w:val="231F1F"/>
          <w:w w:val="110"/>
        </w:rPr>
        <w:t>8</w:t>
      </w:r>
      <w:r>
        <w:rPr>
          <w:color w:val="231F1F"/>
          <w:spacing w:val="-5"/>
          <w:w w:val="110"/>
        </w:rPr>
        <w:t> </w:t>
      </w:r>
      <w:r>
        <w:rPr>
          <w:color w:val="231F1F"/>
          <w:w w:val="110"/>
        </w:rPr>
        <w:t>segundos,</w:t>
      </w:r>
      <w:r>
        <w:rPr>
          <w:color w:val="231F1F"/>
          <w:spacing w:val="-6"/>
          <w:w w:val="110"/>
        </w:rPr>
        <w:t> </w:t>
      </w:r>
      <w:r>
        <w:rPr>
          <w:color w:val="231F1F"/>
          <w:w w:val="110"/>
        </w:rPr>
        <w:t>sincrónicamente</w:t>
      </w:r>
      <w:r>
        <w:rPr>
          <w:color w:val="231F1F"/>
          <w:spacing w:val="-6"/>
          <w:w w:val="110"/>
        </w:rPr>
        <w:t> </w:t>
      </w:r>
      <w:r>
        <w:rPr>
          <w:color w:val="231F1F"/>
          <w:w w:val="110"/>
        </w:rPr>
        <w:t>con</w:t>
      </w:r>
      <w:r>
        <w:rPr>
          <w:color w:val="231F1F"/>
          <w:spacing w:val="-5"/>
          <w:w w:val="110"/>
        </w:rPr>
        <w:t> </w:t>
      </w:r>
      <w:r>
        <w:rPr>
          <w:color w:val="231F1F"/>
          <w:w w:val="110"/>
        </w:rPr>
        <w:t>la</w:t>
      </w:r>
      <w:r>
        <w:rPr>
          <w:color w:val="231F1F"/>
          <w:spacing w:val="-5"/>
          <w:w w:val="110"/>
        </w:rPr>
        <w:t> </w:t>
      </w:r>
      <w:r>
        <w:rPr>
          <w:color w:val="231F1F"/>
          <w:w w:val="110"/>
        </w:rPr>
        <w:t>contracción</w:t>
      </w:r>
      <w:r>
        <w:rPr>
          <w:color w:val="231F1F"/>
          <w:spacing w:val="-5"/>
          <w:w w:val="110"/>
        </w:rPr>
        <w:t> </w:t>
      </w:r>
      <w:r>
        <w:rPr>
          <w:color w:val="231F1F"/>
          <w:w w:val="110"/>
        </w:rPr>
        <w:t>uterina,</w:t>
      </w:r>
      <w:r>
        <w:rPr>
          <w:color w:val="231F1F"/>
          <w:spacing w:val="-6"/>
          <w:w w:val="110"/>
        </w:rPr>
        <w:t> </w:t>
      </w:r>
      <w:r>
        <w:rPr>
          <w:color w:val="231F1F"/>
          <w:w w:val="110"/>
        </w:rPr>
        <w:t>con</w:t>
      </w:r>
      <w:r>
        <w:rPr>
          <w:color w:val="231F1F"/>
          <w:spacing w:val="-5"/>
          <w:w w:val="110"/>
        </w:rPr>
        <w:t> </w:t>
      </w:r>
      <w:r>
        <w:rPr>
          <w:color w:val="231F1F"/>
          <w:w w:val="110"/>
        </w:rPr>
        <w:t>una</w:t>
      </w:r>
      <w:r>
        <w:rPr>
          <w:color w:val="231F1F"/>
          <w:spacing w:val="-5"/>
          <w:w w:val="110"/>
        </w:rPr>
        <w:t> </w:t>
      </w:r>
      <w:r>
        <w:rPr>
          <w:color w:val="231F1F"/>
          <w:w w:val="110"/>
        </w:rPr>
        <w:t>pausa de</w:t>
      </w:r>
      <w:r>
        <w:rPr>
          <w:color w:val="231F1F"/>
          <w:spacing w:val="-7"/>
          <w:w w:val="110"/>
        </w:rPr>
        <w:t> </w:t>
      </w:r>
      <w:r>
        <w:rPr>
          <w:color w:val="231F1F"/>
          <w:w w:val="110"/>
        </w:rPr>
        <w:t>0,5</w:t>
      </w:r>
      <w:r>
        <w:rPr>
          <w:color w:val="231F1F"/>
          <w:spacing w:val="-7"/>
          <w:w w:val="110"/>
        </w:rPr>
        <w:t> </w:t>
      </w:r>
      <w:r>
        <w:rPr>
          <w:color w:val="231F1F"/>
          <w:w w:val="110"/>
        </w:rPr>
        <w:t>a</w:t>
      </w:r>
      <w:r>
        <w:rPr>
          <w:color w:val="231F1F"/>
          <w:spacing w:val="-7"/>
          <w:w w:val="110"/>
        </w:rPr>
        <w:t> </w:t>
      </w:r>
      <w:r>
        <w:rPr>
          <w:color w:val="231F1F"/>
          <w:w w:val="110"/>
        </w:rPr>
        <w:t>3</w:t>
      </w:r>
      <w:r>
        <w:rPr>
          <w:color w:val="231F1F"/>
          <w:spacing w:val="-7"/>
          <w:w w:val="110"/>
        </w:rPr>
        <w:t> </w:t>
      </w:r>
      <w:r>
        <w:rPr>
          <w:color w:val="231F1F"/>
          <w:w w:val="110"/>
        </w:rPr>
        <w:t>minutos,</w:t>
      </w:r>
      <w:r>
        <w:rPr>
          <w:color w:val="231F1F"/>
          <w:spacing w:val="-9"/>
          <w:w w:val="110"/>
        </w:rPr>
        <w:t> </w:t>
      </w:r>
      <w:r>
        <w:rPr>
          <w:color w:val="231F1F"/>
          <w:w w:val="110"/>
        </w:rPr>
        <w:t>con</w:t>
      </w:r>
      <w:r>
        <w:rPr>
          <w:color w:val="231F1F"/>
          <w:spacing w:val="-7"/>
          <w:w w:val="110"/>
        </w:rPr>
        <w:t> </w:t>
      </w:r>
      <w:r>
        <w:rPr>
          <w:color w:val="231F1F"/>
          <w:w w:val="110"/>
        </w:rPr>
        <w:t>el</w:t>
      </w:r>
      <w:r>
        <w:rPr>
          <w:color w:val="231F1F"/>
          <w:spacing w:val="-7"/>
          <w:w w:val="110"/>
        </w:rPr>
        <w:t> </w:t>
      </w:r>
      <w:r>
        <w:rPr>
          <w:color w:val="231F1F"/>
          <w:w w:val="110"/>
        </w:rPr>
        <w:t>fin</w:t>
      </w:r>
      <w:r>
        <w:rPr>
          <w:color w:val="231F1F"/>
          <w:spacing w:val="-7"/>
          <w:w w:val="110"/>
        </w:rPr>
        <w:t> </w:t>
      </w:r>
      <w:r>
        <w:rPr>
          <w:color w:val="231F1F"/>
          <w:w w:val="110"/>
        </w:rPr>
        <w:t>de</w:t>
      </w:r>
      <w:r>
        <w:rPr>
          <w:color w:val="231F1F"/>
          <w:spacing w:val="-7"/>
          <w:w w:val="110"/>
        </w:rPr>
        <w:t> </w:t>
      </w:r>
      <w:r>
        <w:rPr>
          <w:color w:val="231F1F"/>
          <w:w w:val="110"/>
        </w:rPr>
        <w:t>facilitar</w:t>
      </w:r>
      <w:r>
        <w:rPr>
          <w:color w:val="231F1F"/>
          <w:spacing w:val="-7"/>
          <w:w w:val="110"/>
        </w:rPr>
        <w:t> </w:t>
      </w:r>
      <w:r>
        <w:rPr>
          <w:color w:val="231F1F"/>
          <w:w w:val="110"/>
        </w:rPr>
        <w:t>el</w:t>
      </w:r>
      <w:r>
        <w:rPr>
          <w:color w:val="231F1F"/>
          <w:spacing w:val="-7"/>
          <w:w w:val="110"/>
        </w:rPr>
        <w:t> </w:t>
      </w:r>
      <w:r>
        <w:rPr>
          <w:color w:val="231F1F"/>
          <w:w w:val="110"/>
        </w:rPr>
        <w:t>avance</w:t>
      </w:r>
      <w:r>
        <w:rPr>
          <w:color w:val="231F1F"/>
          <w:spacing w:val="-7"/>
          <w:w w:val="110"/>
        </w:rPr>
        <w:t> </w:t>
      </w:r>
      <w:r>
        <w:rPr>
          <w:color w:val="231F1F"/>
          <w:w w:val="110"/>
        </w:rPr>
        <w:t>final</w:t>
      </w:r>
      <w:r>
        <w:rPr>
          <w:color w:val="231F1F"/>
          <w:spacing w:val="-7"/>
          <w:w w:val="110"/>
        </w:rPr>
        <w:t> </w:t>
      </w:r>
      <w:r>
        <w:rPr>
          <w:color w:val="231F1F"/>
          <w:w w:val="110"/>
        </w:rPr>
        <w:t>y</w:t>
      </w:r>
      <w:r>
        <w:rPr>
          <w:color w:val="231F1F"/>
          <w:spacing w:val="-7"/>
          <w:w w:val="110"/>
        </w:rPr>
        <w:t> </w:t>
      </w:r>
      <w:r>
        <w:rPr>
          <w:color w:val="231F1F"/>
          <w:w w:val="110"/>
        </w:rPr>
        <w:t>la</w:t>
      </w:r>
      <w:r>
        <w:rPr>
          <w:color w:val="231F1F"/>
          <w:spacing w:val="-7"/>
          <w:w w:val="110"/>
        </w:rPr>
        <w:t> </w:t>
      </w:r>
      <w:r>
        <w:rPr>
          <w:color w:val="231F1F"/>
          <w:w w:val="110"/>
        </w:rPr>
        <w:t>expulsión</w:t>
      </w:r>
      <w:r>
        <w:rPr>
          <w:color w:val="231F1F"/>
          <w:spacing w:val="-7"/>
          <w:w w:val="110"/>
        </w:rPr>
        <w:t> </w:t>
      </w:r>
      <w:r>
        <w:rPr>
          <w:color w:val="231F1F"/>
          <w:w w:val="110"/>
        </w:rPr>
        <w:t>de</w:t>
      </w:r>
      <w:r>
        <w:rPr>
          <w:color w:val="231F1F"/>
          <w:spacing w:val="-7"/>
          <w:w w:val="110"/>
        </w:rPr>
        <w:t> </w:t>
      </w:r>
      <w:r>
        <w:rPr>
          <w:color w:val="231F1F"/>
          <w:w w:val="110"/>
        </w:rPr>
        <w:t>la</w:t>
      </w:r>
      <w:r>
        <w:rPr>
          <w:color w:val="231F1F"/>
          <w:spacing w:val="-7"/>
          <w:w w:val="110"/>
        </w:rPr>
        <w:t> </w:t>
      </w:r>
      <w:r>
        <w:rPr>
          <w:color w:val="231F1F"/>
          <w:w w:val="110"/>
        </w:rPr>
        <w:t>cabeza</w:t>
      </w:r>
      <w:r>
        <w:rPr>
          <w:color w:val="231F1F"/>
          <w:spacing w:val="-7"/>
          <w:w w:val="110"/>
        </w:rPr>
        <w:t> </w:t>
      </w:r>
      <w:r>
        <w:rPr>
          <w:color w:val="231F1F"/>
          <w:w w:val="110"/>
        </w:rPr>
        <w:t>fetal.</w:t>
      </w:r>
    </w:p>
    <w:p>
      <w:pPr>
        <w:pStyle w:val="BodyText"/>
        <w:spacing w:line="244" w:lineRule="auto" w:before="138"/>
        <w:ind w:left="283" w:right="121" w:firstLine="453"/>
        <w:jc w:val="both"/>
      </w:pPr>
      <w:r>
        <w:rPr>
          <w:b/>
          <w:color w:val="231F1F"/>
          <w:w w:val="105"/>
        </w:rPr>
        <w:t>Masaje</w:t>
      </w:r>
      <w:r>
        <w:rPr>
          <w:b/>
          <w:color w:val="231F1F"/>
          <w:w w:val="105"/>
        </w:rPr>
        <w:t> perineal</w:t>
      </w:r>
      <w:r>
        <w:rPr>
          <w:color w:val="231F1F"/>
          <w:w w:val="105"/>
        </w:rPr>
        <w:t>:</w:t>
      </w:r>
      <w:r>
        <w:rPr>
          <w:color w:val="231F1F"/>
          <w:w w:val="105"/>
        </w:rPr>
        <w:t> Movimiento</w:t>
      </w:r>
      <w:r>
        <w:rPr>
          <w:color w:val="231F1F"/>
          <w:w w:val="105"/>
        </w:rPr>
        <w:t> de</w:t>
      </w:r>
      <w:r>
        <w:rPr>
          <w:color w:val="231F1F"/>
          <w:w w:val="105"/>
        </w:rPr>
        <w:t> vaivén</w:t>
      </w:r>
      <w:r>
        <w:rPr>
          <w:color w:val="231F1F"/>
          <w:w w:val="105"/>
        </w:rPr>
        <w:t> acompañado</w:t>
      </w:r>
      <w:r>
        <w:rPr>
          <w:color w:val="231F1F"/>
          <w:w w:val="105"/>
        </w:rPr>
        <w:t> de</w:t>
      </w:r>
      <w:r>
        <w:rPr>
          <w:color w:val="231F1F"/>
          <w:w w:val="105"/>
        </w:rPr>
        <w:t> presión</w:t>
      </w:r>
      <w:r>
        <w:rPr>
          <w:color w:val="231F1F"/>
          <w:w w:val="105"/>
        </w:rPr>
        <w:t> sobre</w:t>
      </w:r>
      <w:r>
        <w:rPr>
          <w:color w:val="231F1F"/>
          <w:w w:val="105"/>
        </w:rPr>
        <w:t> la</w:t>
      </w:r>
      <w:r>
        <w:rPr>
          <w:color w:val="231F1F"/>
          <w:w w:val="105"/>
        </w:rPr>
        <w:t> horquilla </w:t>
      </w:r>
      <w:r>
        <w:rPr>
          <w:color w:val="231F1F"/>
          <w:spacing w:val="-2"/>
          <w:w w:val="105"/>
        </w:rPr>
        <w:t>vulvar.</w:t>
      </w:r>
    </w:p>
    <w:p>
      <w:pPr>
        <w:pStyle w:val="BodyText"/>
        <w:spacing w:line="244" w:lineRule="auto" w:before="142"/>
        <w:ind w:left="283" w:right="114" w:firstLine="453"/>
        <w:jc w:val="both"/>
      </w:pPr>
      <w:r>
        <w:rPr>
          <w:b/>
          <w:color w:val="231F1F"/>
          <w:w w:val="105"/>
        </w:rPr>
        <w:t>Medline</w:t>
      </w:r>
      <w:r>
        <w:rPr>
          <w:color w:val="231F1F"/>
          <w:w w:val="105"/>
        </w:rPr>
        <w:t>: Base de datos predominantemente clínica producida por la National Library of</w:t>
      </w:r>
      <w:r>
        <w:rPr>
          <w:color w:val="231F1F"/>
          <w:spacing w:val="40"/>
          <w:w w:val="105"/>
        </w:rPr>
        <w:t> </w:t>
      </w:r>
      <w:r>
        <w:rPr>
          <w:color w:val="231F1F"/>
          <w:w w:val="105"/>
        </w:rPr>
        <w:t>Medicine</w:t>
      </w:r>
      <w:r>
        <w:rPr>
          <w:color w:val="231F1F"/>
          <w:spacing w:val="40"/>
          <w:w w:val="105"/>
        </w:rPr>
        <w:t> </w:t>
      </w:r>
      <w:r>
        <w:rPr>
          <w:color w:val="231F1F"/>
          <w:w w:val="105"/>
        </w:rPr>
        <w:t>de</w:t>
      </w:r>
      <w:r>
        <w:rPr>
          <w:color w:val="231F1F"/>
          <w:spacing w:val="40"/>
          <w:w w:val="105"/>
        </w:rPr>
        <w:t> </w:t>
      </w:r>
      <w:r>
        <w:rPr>
          <w:color w:val="231F1F"/>
          <w:w w:val="105"/>
        </w:rPr>
        <w:t>EEUU</w:t>
      </w:r>
      <w:r>
        <w:rPr>
          <w:color w:val="231F1F"/>
          <w:spacing w:val="40"/>
          <w:w w:val="105"/>
        </w:rPr>
        <w:t> </w:t>
      </w:r>
      <w:r>
        <w:rPr>
          <w:color w:val="231F1F"/>
          <w:w w:val="105"/>
        </w:rPr>
        <w:t>disponible</w:t>
      </w:r>
      <w:r>
        <w:rPr>
          <w:color w:val="231F1F"/>
          <w:spacing w:val="40"/>
          <w:w w:val="105"/>
        </w:rPr>
        <w:t> </w:t>
      </w:r>
      <w:r>
        <w:rPr>
          <w:color w:val="231F1F"/>
          <w:w w:val="105"/>
        </w:rPr>
        <w:t>en</w:t>
      </w:r>
      <w:r>
        <w:rPr>
          <w:color w:val="231F1F"/>
          <w:spacing w:val="40"/>
          <w:w w:val="105"/>
        </w:rPr>
        <w:t> </w:t>
      </w:r>
      <w:r>
        <w:rPr>
          <w:color w:val="231F1F"/>
          <w:w w:val="105"/>
        </w:rPr>
        <w:t>CD-Rom</w:t>
      </w:r>
      <w:r>
        <w:rPr>
          <w:color w:val="231F1F"/>
          <w:spacing w:val="40"/>
          <w:w w:val="105"/>
        </w:rPr>
        <w:t> </w:t>
      </w:r>
      <w:r>
        <w:rPr>
          <w:color w:val="231F1F"/>
          <w:w w:val="105"/>
        </w:rPr>
        <w:t>e</w:t>
      </w:r>
      <w:r>
        <w:rPr>
          <w:color w:val="231F1F"/>
          <w:spacing w:val="40"/>
          <w:w w:val="105"/>
        </w:rPr>
        <w:t> </w:t>
      </w:r>
      <w:r>
        <w:rPr>
          <w:color w:val="231F1F"/>
          <w:w w:val="105"/>
        </w:rPr>
        <w:t>Internet</w:t>
      </w:r>
      <w:r>
        <w:rPr>
          <w:color w:val="231F1F"/>
          <w:spacing w:val="40"/>
          <w:w w:val="105"/>
        </w:rPr>
        <w:t> </w:t>
      </w:r>
      <w:r>
        <w:rPr>
          <w:color w:val="231F1F"/>
          <w:w w:val="105"/>
        </w:rPr>
        <w:t>(PubMed).</w:t>
      </w:r>
    </w:p>
    <w:p>
      <w:pPr>
        <w:pStyle w:val="BodyText"/>
        <w:spacing w:line="247" w:lineRule="auto" w:before="136"/>
        <w:ind w:left="283" w:right="124" w:firstLine="453"/>
        <w:jc w:val="both"/>
      </w:pPr>
      <w:r>
        <w:rPr>
          <w:b/>
          <w:color w:val="231F1F"/>
          <w:w w:val="105"/>
        </w:rPr>
        <w:t>Metaanálisis</w:t>
      </w:r>
      <w:r>
        <w:rPr>
          <w:color w:val="231F1F"/>
          <w:w w:val="105"/>
        </w:rPr>
        <w:t>:</w:t>
      </w:r>
      <w:r>
        <w:rPr>
          <w:color w:val="231F1F"/>
          <w:w w:val="105"/>
        </w:rPr>
        <w:t> Es</w:t>
      </w:r>
      <w:r>
        <w:rPr>
          <w:color w:val="231F1F"/>
          <w:w w:val="105"/>
        </w:rPr>
        <w:t> una</w:t>
      </w:r>
      <w:r>
        <w:rPr>
          <w:color w:val="231F1F"/>
          <w:w w:val="105"/>
        </w:rPr>
        <w:t> técnica</w:t>
      </w:r>
      <w:r>
        <w:rPr>
          <w:color w:val="231F1F"/>
          <w:w w:val="105"/>
        </w:rPr>
        <w:t> estadística</w:t>
      </w:r>
      <w:r>
        <w:rPr>
          <w:color w:val="231F1F"/>
          <w:w w:val="105"/>
        </w:rPr>
        <w:t> que</w:t>
      </w:r>
      <w:r>
        <w:rPr>
          <w:color w:val="231F1F"/>
          <w:w w:val="105"/>
        </w:rPr>
        <w:t> permite</w:t>
      </w:r>
      <w:r>
        <w:rPr>
          <w:color w:val="231F1F"/>
          <w:w w:val="105"/>
        </w:rPr>
        <w:t> integrar</w:t>
      </w:r>
      <w:r>
        <w:rPr>
          <w:color w:val="231F1F"/>
          <w:w w:val="105"/>
        </w:rPr>
        <w:t> los</w:t>
      </w:r>
      <w:r>
        <w:rPr>
          <w:color w:val="231F1F"/>
          <w:w w:val="105"/>
        </w:rPr>
        <w:t> resultados</w:t>
      </w:r>
      <w:r>
        <w:rPr>
          <w:color w:val="231F1F"/>
          <w:w w:val="105"/>
        </w:rPr>
        <w:t> de</w:t>
      </w:r>
      <w:r>
        <w:rPr>
          <w:color w:val="231F1F"/>
          <w:w w:val="105"/>
        </w:rPr>
        <w:t> dife- rentes estudios (estudios de test diagnósticos, ensayos clínicos, estudios de cohortes, etc.)</w:t>
      </w:r>
      <w:r>
        <w:rPr>
          <w:color w:val="231F1F"/>
          <w:spacing w:val="40"/>
          <w:w w:val="105"/>
        </w:rPr>
        <w:t> </w:t>
      </w:r>
      <w:r>
        <w:rPr>
          <w:color w:val="231F1F"/>
          <w:w w:val="105"/>
        </w:rPr>
        <w:t>en</w:t>
      </w:r>
      <w:r>
        <w:rPr>
          <w:color w:val="231F1F"/>
          <w:spacing w:val="40"/>
          <w:w w:val="105"/>
        </w:rPr>
        <w:t> </w:t>
      </w:r>
      <w:r>
        <w:rPr>
          <w:color w:val="231F1F"/>
          <w:w w:val="105"/>
        </w:rPr>
        <w:t>un</w:t>
      </w:r>
      <w:r>
        <w:rPr>
          <w:color w:val="231F1F"/>
          <w:spacing w:val="40"/>
          <w:w w:val="105"/>
        </w:rPr>
        <w:t> </w:t>
      </w:r>
      <w:r>
        <w:rPr>
          <w:color w:val="231F1F"/>
          <w:w w:val="105"/>
        </w:rPr>
        <w:t>único</w:t>
      </w:r>
      <w:r>
        <w:rPr>
          <w:color w:val="231F1F"/>
          <w:spacing w:val="40"/>
          <w:w w:val="105"/>
        </w:rPr>
        <w:t> </w:t>
      </w:r>
      <w:r>
        <w:rPr>
          <w:color w:val="231F1F"/>
          <w:w w:val="105"/>
        </w:rPr>
        <w:t>estimador,</w:t>
      </w:r>
      <w:r>
        <w:rPr>
          <w:color w:val="231F1F"/>
          <w:spacing w:val="40"/>
          <w:w w:val="105"/>
        </w:rPr>
        <w:t> </w:t>
      </w:r>
      <w:r>
        <w:rPr>
          <w:color w:val="231F1F"/>
          <w:w w:val="105"/>
        </w:rPr>
        <w:t>dando</w:t>
      </w:r>
      <w:r>
        <w:rPr>
          <w:color w:val="231F1F"/>
          <w:spacing w:val="40"/>
          <w:w w:val="105"/>
        </w:rPr>
        <w:t> </w:t>
      </w:r>
      <w:r>
        <w:rPr>
          <w:color w:val="231F1F"/>
          <w:w w:val="105"/>
        </w:rPr>
        <w:t>más</w:t>
      </w:r>
      <w:r>
        <w:rPr>
          <w:color w:val="231F1F"/>
          <w:spacing w:val="40"/>
          <w:w w:val="105"/>
        </w:rPr>
        <w:t> </w:t>
      </w:r>
      <w:r>
        <w:rPr>
          <w:color w:val="231F1F"/>
          <w:w w:val="105"/>
        </w:rPr>
        <w:t>peso</w:t>
      </w:r>
      <w:r>
        <w:rPr>
          <w:color w:val="231F1F"/>
          <w:spacing w:val="40"/>
          <w:w w:val="105"/>
        </w:rPr>
        <w:t> </w:t>
      </w:r>
      <w:r>
        <w:rPr>
          <w:color w:val="231F1F"/>
          <w:w w:val="105"/>
        </w:rPr>
        <w:t>a</w:t>
      </w:r>
      <w:r>
        <w:rPr>
          <w:color w:val="231F1F"/>
          <w:spacing w:val="40"/>
          <w:w w:val="105"/>
        </w:rPr>
        <w:t> </w:t>
      </w:r>
      <w:r>
        <w:rPr>
          <w:color w:val="231F1F"/>
          <w:w w:val="105"/>
        </w:rPr>
        <w:t>los</w:t>
      </w:r>
      <w:r>
        <w:rPr>
          <w:color w:val="231F1F"/>
          <w:spacing w:val="40"/>
          <w:w w:val="105"/>
        </w:rPr>
        <w:t> </w:t>
      </w:r>
      <w:r>
        <w:rPr>
          <w:color w:val="231F1F"/>
          <w:w w:val="105"/>
        </w:rPr>
        <w:t>resultados</w:t>
      </w:r>
      <w:r>
        <w:rPr>
          <w:color w:val="231F1F"/>
          <w:spacing w:val="40"/>
          <w:w w:val="105"/>
        </w:rPr>
        <w:t> </w:t>
      </w:r>
      <w:r>
        <w:rPr>
          <w:color w:val="231F1F"/>
          <w:w w:val="105"/>
        </w:rPr>
        <w:t>de</w:t>
      </w:r>
      <w:r>
        <w:rPr>
          <w:color w:val="231F1F"/>
          <w:spacing w:val="40"/>
          <w:w w:val="105"/>
        </w:rPr>
        <w:t> </w:t>
      </w:r>
      <w:r>
        <w:rPr>
          <w:color w:val="231F1F"/>
          <w:w w:val="105"/>
        </w:rPr>
        <w:t>los</w:t>
      </w:r>
      <w:r>
        <w:rPr>
          <w:color w:val="231F1F"/>
          <w:spacing w:val="40"/>
          <w:w w:val="105"/>
        </w:rPr>
        <w:t> </w:t>
      </w:r>
      <w:r>
        <w:rPr>
          <w:color w:val="231F1F"/>
          <w:w w:val="105"/>
        </w:rPr>
        <w:t>estudios</w:t>
      </w:r>
      <w:r>
        <w:rPr>
          <w:color w:val="231F1F"/>
          <w:spacing w:val="40"/>
          <w:w w:val="105"/>
        </w:rPr>
        <w:t> </w:t>
      </w:r>
      <w:r>
        <w:rPr>
          <w:color w:val="231F1F"/>
          <w:w w:val="105"/>
        </w:rPr>
        <w:t>más</w:t>
      </w:r>
      <w:r>
        <w:rPr>
          <w:color w:val="231F1F"/>
          <w:spacing w:val="40"/>
          <w:w w:val="105"/>
        </w:rPr>
        <w:t> </w:t>
      </w:r>
      <w:r>
        <w:rPr>
          <w:color w:val="231F1F"/>
          <w:w w:val="105"/>
        </w:rPr>
        <w:t>grandes.</w:t>
      </w:r>
    </w:p>
    <w:p>
      <w:pPr>
        <w:pStyle w:val="BodyText"/>
        <w:spacing w:line="244" w:lineRule="auto" w:before="135"/>
        <w:ind w:left="283" w:right="124" w:firstLine="453"/>
        <w:jc w:val="both"/>
      </w:pPr>
      <w:r>
        <w:rPr>
          <w:b/>
          <w:color w:val="231F1F"/>
          <w:w w:val="105"/>
        </w:rPr>
        <w:t>Monitorización electrónica fetal intermitente: </w:t>
      </w:r>
      <w:r>
        <w:rPr>
          <w:color w:val="231F1F"/>
          <w:w w:val="105"/>
        </w:rPr>
        <w:t>Registro cardiotocográfico de la fre- cuencia cardiaca fetal por un periodo de 15-30 minutos cada 2 horas con auscultación in- termitente</w:t>
      </w:r>
      <w:r>
        <w:rPr>
          <w:color w:val="231F1F"/>
          <w:spacing w:val="40"/>
          <w:w w:val="105"/>
        </w:rPr>
        <w:t> </w:t>
      </w:r>
      <w:r>
        <w:rPr>
          <w:color w:val="231F1F"/>
          <w:w w:val="105"/>
        </w:rPr>
        <w:t>cada</w:t>
      </w:r>
      <w:r>
        <w:rPr>
          <w:color w:val="231F1F"/>
          <w:spacing w:val="40"/>
          <w:w w:val="105"/>
        </w:rPr>
        <w:t> </w:t>
      </w:r>
      <w:r>
        <w:rPr>
          <w:color w:val="231F1F"/>
          <w:w w:val="105"/>
        </w:rPr>
        <w:t>15-30</w:t>
      </w:r>
      <w:r>
        <w:rPr>
          <w:color w:val="231F1F"/>
          <w:spacing w:val="40"/>
          <w:w w:val="105"/>
        </w:rPr>
        <w:t> </w:t>
      </w:r>
      <w:r>
        <w:rPr>
          <w:color w:val="231F1F"/>
          <w:w w:val="105"/>
        </w:rPr>
        <w:t>minutos</w:t>
      </w:r>
      <w:r>
        <w:rPr>
          <w:color w:val="231F1F"/>
          <w:spacing w:val="40"/>
          <w:w w:val="105"/>
        </w:rPr>
        <w:t> </w:t>
      </w:r>
      <w:r>
        <w:rPr>
          <w:color w:val="231F1F"/>
          <w:w w:val="105"/>
        </w:rPr>
        <w:t>entre</w:t>
      </w:r>
      <w:r>
        <w:rPr>
          <w:color w:val="231F1F"/>
          <w:spacing w:val="40"/>
          <w:w w:val="105"/>
        </w:rPr>
        <w:t> </w:t>
      </w:r>
      <w:r>
        <w:rPr>
          <w:color w:val="231F1F"/>
          <w:w w:val="105"/>
        </w:rPr>
        <w:t>los</w:t>
      </w:r>
      <w:r>
        <w:rPr>
          <w:color w:val="231F1F"/>
          <w:spacing w:val="40"/>
          <w:w w:val="105"/>
        </w:rPr>
        <w:t> </w:t>
      </w:r>
      <w:r>
        <w:rPr>
          <w:color w:val="231F1F"/>
          <w:w w:val="105"/>
        </w:rPr>
        <w:t>periodos</w:t>
      </w:r>
      <w:r>
        <w:rPr>
          <w:color w:val="231F1F"/>
          <w:spacing w:val="40"/>
          <w:w w:val="105"/>
        </w:rPr>
        <w:t> </w:t>
      </w:r>
      <w:r>
        <w:rPr>
          <w:color w:val="231F1F"/>
          <w:w w:val="105"/>
        </w:rPr>
        <w:t>de</w:t>
      </w:r>
      <w:r>
        <w:rPr>
          <w:color w:val="231F1F"/>
          <w:spacing w:val="40"/>
          <w:w w:val="105"/>
        </w:rPr>
        <w:t> </w:t>
      </w:r>
      <w:r>
        <w:rPr>
          <w:color w:val="231F1F"/>
          <w:w w:val="105"/>
        </w:rPr>
        <w:t>monitorización</w:t>
      </w:r>
      <w:r>
        <w:rPr>
          <w:color w:val="231F1F"/>
          <w:spacing w:val="40"/>
          <w:w w:val="105"/>
        </w:rPr>
        <w:t> </w:t>
      </w:r>
      <w:r>
        <w:rPr>
          <w:color w:val="231F1F"/>
          <w:w w:val="105"/>
        </w:rPr>
        <w:t>electrónica.</w:t>
      </w:r>
    </w:p>
    <w:p>
      <w:pPr>
        <w:pStyle w:val="BodyText"/>
        <w:spacing w:line="244" w:lineRule="auto" w:before="134"/>
        <w:ind w:left="284" w:right="120" w:firstLine="453"/>
        <w:jc w:val="both"/>
      </w:pPr>
      <w:r>
        <w:rPr>
          <w:b/>
          <w:color w:val="231F1F"/>
          <w:w w:val="110"/>
        </w:rPr>
        <w:t>Morbilidad</w:t>
      </w:r>
      <w:r>
        <w:rPr>
          <w:color w:val="231F1F"/>
          <w:w w:val="110"/>
        </w:rPr>
        <w:t>: Enfermedad o frecuencia en que se presenta una enfermedad en una </w:t>
      </w:r>
      <w:r>
        <w:rPr>
          <w:color w:val="231F1F"/>
          <w:spacing w:val="-2"/>
          <w:w w:val="110"/>
        </w:rPr>
        <w:t>población.</w:t>
      </w:r>
    </w:p>
    <w:p>
      <w:pPr>
        <w:pStyle w:val="BodyText"/>
        <w:spacing w:line="244" w:lineRule="auto" w:before="136"/>
        <w:ind w:left="284" w:right="122" w:firstLine="453"/>
        <w:jc w:val="both"/>
      </w:pPr>
      <w:r>
        <w:rPr>
          <w:b/>
          <w:color w:val="231F1F"/>
          <w:w w:val="110"/>
        </w:rPr>
        <w:t>Mortalidad</w:t>
      </w:r>
      <w:r>
        <w:rPr>
          <w:color w:val="231F1F"/>
          <w:w w:val="110"/>
        </w:rPr>
        <w:t>: Tasa de defunciones o el número de defunciones por una enfermedad determinada en un grupo de personas y un período determinado.</w:t>
      </w:r>
    </w:p>
    <w:p>
      <w:pPr>
        <w:pStyle w:val="BodyText"/>
        <w:spacing w:line="244" w:lineRule="auto" w:before="151"/>
        <w:ind w:left="284" w:right="123" w:firstLine="453"/>
        <w:jc w:val="both"/>
      </w:pPr>
      <w:r>
        <w:rPr>
          <w:b/>
          <w:color w:val="231F1F"/>
        </w:rPr>
        <w:t>NICE (National Institute for Clinical Excellence): </w:t>
      </w:r>
      <w:r>
        <w:rPr>
          <w:color w:val="231F1F"/>
        </w:rPr>
        <w:t>Forma parte del NHS (“National </w:t>
      </w:r>
      <w:r>
        <w:rPr>
          <w:color w:val="231F1F"/>
          <w:w w:val="110"/>
        </w:rPr>
        <w:t>Health Service”</w:t>
      </w:r>
      <w:r>
        <w:rPr>
          <w:color w:val="231F1F"/>
          <w:spacing w:val="-1"/>
          <w:w w:val="110"/>
        </w:rPr>
        <w:t> </w:t>
      </w:r>
      <w:r>
        <w:rPr>
          <w:color w:val="231F1F"/>
          <w:w w:val="110"/>
        </w:rPr>
        <w:t>de</w:t>
      </w:r>
      <w:r>
        <w:rPr>
          <w:color w:val="231F1F"/>
          <w:spacing w:val="-1"/>
          <w:w w:val="110"/>
        </w:rPr>
        <w:t> </w:t>
      </w:r>
      <w:r>
        <w:rPr>
          <w:color w:val="231F1F"/>
          <w:w w:val="110"/>
        </w:rPr>
        <w:t>Inglaterra).</w:t>
      </w:r>
      <w:r>
        <w:rPr>
          <w:color w:val="231F1F"/>
          <w:spacing w:val="-1"/>
          <w:w w:val="110"/>
        </w:rPr>
        <w:t> </w:t>
      </w:r>
      <w:r>
        <w:rPr>
          <w:color w:val="231F1F"/>
          <w:w w:val="110"/>
        </w:rPr>
        <w:t>Su papel</w:t>
      </w:r>
      <w:r>
        <w:rPr>
          <w:color w:val="231F1F"/>
          <w:spacing w:val="-1"/>
          <w:w w:val="110"/>
        </w:rPr>
        <w:t> </w:t>
      </w:r>
      <w:r>
        <w:rPr>
          <w:color w:val="231F1F"/>
          <w:w w:val="110"/>
        </w:rPr>
        <w:t>es</w:t>
      </w:r>
      <w:r>
        <w:rPr>
          <w:color w:val="231F1F"/>
          <w:spacing w:val="-1"/>
          <w:w w:val="110"/>
        </w:rPr>
        <w:t> </w:t>
      </w:r>
      <w:r>
        <w:rPr>
          <w:color w:val="231F1F"/>
          <w:w w:val="110"/>
        </w:rPr>
        <w:t>proveer</w:t>
      </w:r>
      <w:r>
        <w:rPr>
          <w:color w:val="231F1F"/>
          <w:spacing w:val="-1"/>
          <w:w w:val="110"/>
        </w:rPr>
        <w:t> </w:t>
      </w:r>
      <w:r>
        <w:rPr>
          <w:color w:val="231F1F"/>
          <w:w w:val="110"/>
        </w:rPr>
        <w:t>a</w:t>
      </w:r>
      <w:r>
        <w:rPr>
          <w:color w:val="231F1F"/>
          <w:spacing w:val="-1"/>
          <w:w w:val="110"/>
        </w:rPr>
        <w:t> </w:t>
      </w:r>
      <w:r>
        <w:rPr>
          <w:color w:val="231F1F"/>
          <w:w w:val="110"/>
        </w:rPr>
        <w:t>médicos,</w:t>
      </w:r>
      <w:r>
        <w:rPr>
          <w:color w:val="231F1F"/>
          <w:spacing w:val="-1"/>
          <w:w w:val="110"/>
        </w:rPr>
        <w:t> </w:t>
      </w:r>
      <w:r>
        <w:rPr>
          <w:color w:val="231F1F"/>
          <w:w w:val="110"/>
        </w:rPr>
        <w:t>pacientes</w:t>
      </w:r>
      <w:r>
        <w:rPr>
          <w:color w:val="231F1F"/>
          <w:spacing w:val="-1"/>
          <w:w w:val="110"/>
        </w:rPr>
        <w:t> </w:t>
      </w:r>
      <w:r>
        <w:rPr>
          <w:color w:val="231F1F"/>
          <w:w w:val="110"/>
        </w:rPr>
        <w:t>y al</w:t>
      </w:r>
      <w:r>
        <w:rPr>
          <w:color w:val="231F1F"/>
          <w:spacing w:val="-1"/>
          <w:w w:val="110"/>
        </w:rPr>
        <w:t> </w:t>
      </w:r>
      <w:r>
        <w:rPr>
          <w:color w:val="231F1F"/>
          <w:w w:val="110"/>
        </w:rPr>
        <w:t>público</w:t>
      </w:r>
      <w:r>
        <w:rPr>
          <w:color w:val="231F1F"/>
          <w:spacing w:val="-1"/>
          <w:w w:val="110"/>
        </w:rPr>
        <w:t> </w:t>
      </w:r>
      <w:r>
        <w:rPr>
          <w:color w:val="231F1F"/>
          <w:w w:val="110"/>
        </w:rPr>
        <w:t>en general</w:t>
      </w:r>
      <w:r>
        <w:rPr>
          <w:color w:val="231F1F"/>
          <w:spacing w:val="-3"/>
          <w:w w:val="110"/>
        </w:rPr>
        <w:t> </w:t>
      </w:r>
      <w:r>
        <w:rPr>
          <w:color w:val="231F1F"/>
          <w:w w:val="110"/>
        </w:rPr>
        <w:t>de</w:t>
      </w:r>
      <w:r>
        <w:rPr>
          <w:color w:val="231F1F"/>
          <w:spacing w:val="-1"/>
          <w:w w:val="110"/>
        </w:rPr>
        <w:t> </w:t>
      </w:r>
      <w:r>
        <w:rPr>
          <w:color w:val="231F1F"/>
          <w:w w:val="110"/>
        </w:rPr>
        <w:t>la</w:t>
      </w:r>
      <w:r>
        <w:rPr>
          <w:color w:val="231F1F"/>
          <w:spacing w:val="-1"/>
          <w:w w:val="110"/>
        </w:rPr>
        <w:t> </w:t>
      </w:r>
      <w:r>
        <w:rPr>
          <w:color w:val="231F1F"/>
          <w:w w:val="110"/>
        </w:rPr>
        <w:t>mejor</w:t>
      </w:r>
      <w:r>
        <w:rPr>
          <w:color w:val="231F1F"/>
          <w:spacing w:val="-1"/>
          <w:w w:val="110"/>
        </w:rPr>
        <w:t> </w:t>
      </w:r>
      <w:r>
        <w:rPr>
          <w:color w:val="231F1F"/>
          <w:w w:val="110"/>
        </w:rPr>
        <w:t>evidencia</w:t>
      </w:r>
      <w:r>
        <w:rPr>
          <w:color w:val="231F1F"/>
          <w:spacing w:val="-1"/>
          <w:w w:val="110"/>
        </w:rPr>
        <w:t> </w:t>
      </w:r>
      <w:r>
        <w:rPr>
          <w:color w:val="231F1F"/>
          <w:w w:val="110"/>
        </w:rPr>
        <w:t>disponible,</w:t>
      </w:r>
      <w:r>
        <w:rPr>
          <w:color w:val="231F1F"/>
          <w:spacing w:val="-3"/>
          <w:w w:val="110"/>
        </w:rPr>
        <w:t> </w:t>
      </w:r>
      <w:r>
        <w:rPr>
          <w:color w:val="231F1F"/>
          <w:w w:val="110"/>
        </w:rPr>
        <w:t>fundamentalmente</w:t>
      </w:r>
      <w:r>
        <w:rPr>
          <w:color w:val="231F1F"/>
          <w:spacing w:val="-1"/>
          <w:w w:val="110"/>
        </w:rPr>
        <w:t> </w:t>
      </w:r>
      <w:r>
        <w:rPr>
          <w:color w:val="231F1F"/>
          <w:w w:val="110"/>
        </w:rPr>
        <w:t>en</w:t>
      </w:r>
      <w:r>
        <w:rPr>
          <w:color w:val="231F1F"/>
          <w:spacing w:val="-1"/>
          <w:w w:val="110"/>
        </w:rPr>
        <w:t> </w:t>
      </w:r>
      <w:r>
        <w:rPr>
          <w:color w:val="231F1F"/>
          <w:w w:val="110"/>
        </w:rPr>
        <w:t>forma</w:t>
      </w:r>
      <w:r>
        <w:rPr>
          <w:color w:val="231F1F"/>
          <w:spacing w:val="-1"/>
          <w:w w:val="110"/>
        </w:rPr>
        <w:t> </w:t>
      </w:r>
      <w:r>
        <w:rPr>
          <w:color w:val="231F1F"/>
          <w:w w:val="110"/>
        </w:rPr>
        <w:t>de</w:t>
      </w:r>
      <w:r>
        <w:rPr>
          <w:color w:val="231F1F"/>
          <w:spacing w:val="-1"/>
          <w:w w:val="110"/>
        </w:rPr>
        <w:t> </w:t>
      </w:r>
      <w:r>
        <w:rPr>
          <w:color w:val="231F1F"/>
          <w:w w:val="110"/>
        </w:rPr>
        <w:t>guías</w:t>
      </w:r>
      <w:r>
        <w:rPr>
          <w:color w:val="231F1F"/>
          <w:spacing w:val="-1"/>
          <w:w w:val="110"/>
        </w:rPr>
        <w:t> </w:t>
      </w:r>
      <w:r>
        <w:rPr>
          <w:color w:val="231F1F"/>
          <w:w w:val="110"/>
        </w:rPr>
        <w:t>clínicas.</w:t>
      </w:r>
    </w:p>
    <w:p>
      <w:pPr>
        <w:pStyle w:val="BodyText"/>
        <w:spacing w:before="158"/>
        <w:ind w:left="737"/>
      </w:pPr>
      <w:r>
        <w:rPr>
          <w:b/>
          <w:color w:val="231F1F"/>
        </w:rPr>
        <w:t>Nulípara:</w:t>
      </w:r>
      <w:r>
        <w:rPr>
          <w:b/>
          <w:color w:val="231F1F"/>
          <w:spacing w:val="18"/>
        </w:rPr>
        <w:t> </w:t>
      </w:r>
      <w:r>
        <w:rPr>
          <w:color w:val="231F1F"/>
        </w:rPr>
        <w:t>Mujer</w:t>
      </w:r>
      <w:r>
        <w:rPr>
          <w:color w:val="231F1F"/>
          <w:spacing w:val="18"/>
        </w:rPr>
        <w:t> </w:t>
      </w:r>
      <w:r>
        <w:rPr>
          <w:color w:val="231F1F"/>
        </w:rPr>
        <w:t>que</w:t>
      </w:r>
      <w:r>
        <w:rPr>
          <w:color w:val="231F1F"/>
          <w:spacing w:val="18"/>
        </w:rPr>
        <w:t> </w:t>
      </w:r>
      <w:r>
        <w:rPr>
          <w:color w:val="231F1F"/>
        </w:rPr>
        <w:t>no</w:t>
      </w:r>
      <w:r>
        <w:rPr>
          <w:color w:val="231F1F"/>
          <w:spacing w:val="19"/>
        </w:rPr>
        <w:t> </w:t>
      </w:r>
      <w:r>
        <w:rPr>
          <w:color w:val="231F1F"/>
        </w:rPr>
        <w:t>ha</w:t>
      </w:r>
      <w:r>
        <w:rPr>
          <w:color w:val="231F1F"/>
          <w:spacing w:val="19"/>
        </w:rPr>
        <w:t> </w:t>
      </w:r>
      <w:r>
        <w:rPr>
          <w:color w:val="231F1F"/>
        </w:rPr>
        <w:t>dado</w:t>
      </w:r>
      <w:r>
        <w:rPr>
          <w:color w:val="231F1F"/>
          <w:spacing w:val="19"/>
        </w:rPr>
        <w:t> </w:t>
      </w:r>
      <w:r>
        <w:rPr>
          <w:color w:val="231F1F"/>
        </w:rPr>
        <w:t>a</w:t>
      </w:r>
      <w:r>
        <w:rPr>
          <w:color w:val="231F1F"/>
          <w:spacing w:val="18"/>
        </w:rPr>
        <w:t> </w:t>
      </w:r>
      <w:r>
        <w:rPr>
          <w:color w:val="231F1F"/>
        </w:rPr>
        <w:t>luz</w:t>
      </w:r>
      <w:r>
        <w:rPr>
          <w:color w:val="231F1F"/>
          <w:spacing w:val="18"/>
        </w:rPr>
        <w:t> </w:t>
      </w:r>
      <w:r>
        <w:rPr>
          <w:color w:val="231F1F"/>
        </w:rPr>
        <w:t>a</w:t>
      </w:r>
      <w:r>
        <w:rPr>
          <w:color w:val="231F1F"/>
          <w:spacing w:val="20"/>
        </w:rPr>
        <w:t> </w:t>
      </w:r>
      <w:r>
        <w:rPr>
          <w:color w:val="231F1F"/>
        </w:rPr>
        <w:t>un</w:t>
      </w:r>
      <w:r>
        <w:rPr>
          <w:color w:val="231F1F"/>
          <w:spacing w:val="18"/>
        </w:rPr>
        <w:t> </w:t>
      </w:r>
      <w:r>
        <w:rPr>
          <w:color w:val="231F1F"/>
        </w:rPr>
        <w:t>lactante</w:t>
      </w:r>
      <w:r>
        <w:rPr>
          <w:color w:val="231F1F"/>
          <w:spacing w:val="20"/>
        </w:rPr>
        <w:t> </w:t>
      </w:r>
      <w:r>
        <w:rPr>
          <w:color w:val="231F1F"/>
        </w:rPr>
        <w:t>viable</w:t>
      </w:r>
      <w:r>
        <w:rPr>
          <w:color w:val="231F1F"/>
          <w:spacing w:val="19"/>
        </w:rPr>
        <w:t> </w:t>
      </w:r>
      <w:r>
        <w:rPr>
          <w:color w:val="231F1F"/>
        </w:rPr>
        <w:t>con</w:t>
      </w:r>
      <w:r>
        <w:rPr>
          <w:color w:val="231F1F"/>
          <w:spacing w:val="20"/>
        </w:rPr>
        <w:t> </w:t>
      </w:r>
      <w:r>
        <w:rPr>
          <w:color w:val="231F1F"/>
          <w:spacing w:val="-2"/>
        </w:rPr>
        <w:t>anterioridad.</w:t>
      </w:r>
    </w:p>
    <w:p>
      <w:pPr>
        <w:pStyle w:val="BodyText"/>
        <w:spacing w:line="244" w:lineRule="auto" w:before="145"/>
        <w:ind w:left="284" w:right="120" w:firstLine="453"/>
        <w:jc w:val="both"/>
      </w:pPr>
      <w:r>
        <w:rPr>
          <w:b/>
          <w:color w:val="231F1F"/>
          <w:w w:val="110"/>
        </w:rPr>
        <w:t>Oxitocina terapéutica: </w:t>
      </w:r>
      <w:r>
        <w:rPr>
          <w:color w:val="231F1F"/>
          <w:w w:val="110"/>
        </w:rPr>
        <w:t>La empleada como tratamiento de una posible hemorragia debido</w:t>
      </w:r>
      <w:r>
        <w:rPr>
          <w:color w:val="231F1F"/>
          <w:spacing w:val="-6"/>
          <w:w w:val="110"/>
        </w:rPr>
        <w:t> </w:t>
      </w:r>
      <w:r>
        <w:rPr>
          <w:color w:val="231F1F"/>
          <w:w w:val="110"/>
        </w:rPr>
        <w:t>a</w:t>
      </w:r>
      <w:r>
        <w:rPr>
          <w:color w:val="231F1F"/>
          <w:spacing w:val="-6"/>
          <w:w w:val="110"/>
        </w:rPr>
        <w:t> </w:t>
      </w:r>
      <w:r>
        <w:rPr>
          <w:color w:val="231F1F"/>
          <w:w w:val="110"/>
        </w:rPr>
        <w:t>un</w:t>
      </w:r>
      <w:r>
        <w:rPr>
          <w:color w:val="231F1F"/>
          <w:spacing w:val="-6"/>
          <w:w w:val="110"/>
        </w:rPr>
        <w:t> </w:t>
      </w:r>
      <w:r>
        <w:rPr>
          <w:color w:val="231F1F"/>
          <w:w w:val="110"/>
        </w:rPr>
        <w:t>problema</w:t>
      </w:r>
      <w:r>
        <w:rPr>
          <w:color w:val="231F1F"/>
          <w:spacing w:val="-6"/>
          <w:w w:val="110"/>
        </w:rPr>
        <w:t> </w:t>
      </w:r>
      <w:r>
        <w:rPr>
          <w:color w:val="231F1F"/>
          <w:w w:val="110"/>
        </w:rPr>
        <w:t>del</w:t>
      </w:r>
      <w:r>
        <w:rPr>
          <w:color w:val="231F1F"/>
          <w:spacing w:val="-6"/>
          <w:w w:val="110"/>
        </w:rPr>
        <w:t> </w:t>
      </w:r>
      <w:r>
        <w:rPr>
          <w:color w:val="231F1F"/>
          <w:w w:val="110"/>
        </w:rPr>
        <w:t>alumbramiento</w:t>
      </w:r>
      <w:r>
        <w:rPr>
          <w:color w:val="231F1F"/>
          <w:spacing w:val="-6"/>
          <w:w w:val="110"/>
        </w:rPr>
        <w:t> </w:t>
      </w:r>
      <w:r>
        <w:rPr>
          <w:color w:val="231F1F"/>
          <w:w w:val="110"/>
        </w:rPr>
        <w:t>(no</w:t>
      </w:r>
      <w:r>
        <w:rPr>
          <w:color w:val="231F1F"/>
          <w:spacing w:val="-6"/>
          <w:w w:val="110"/>
        </w:rPr>
        <w:t> </w:t>
      </w:r>
      <w:r>
        <w:rPr>
          <w:color w:val="231F1F"/>
          <w:w w:val="110"/>
        </w:rPr>
        <w:t>como</w:t>
      </w:r>
      <w:r>
        <w:rPr>
          <w:color w:val="231F1F"/>
          <w:spacing w:val="-6"/>
          <w:w w:val="110"/>
        </w:rPr>
        <w:t> </w:t>
      </w:r>
      <w:r>
        <w:rPr>
          <w:color w:val="231F1F"/>
          <w:w w:val="110"/>
        </w:rPr>
        <w:t>producto</w:t>
      </w:r>
      <w:r>
        <w:rPr>
          <w:color w:val="231F1F"/>
          <w:spacing w:val="-6"/>
          <w:w w:val="110"/>
        </w:rPr>
        <w:t> </w:t>
      </w:r>
      <w:r>
        <w:rPr>
          <w:color w:val="231F1F"/>
          <w:w w:val="110"/>
        </w:rPr>
        <w:t>dirigido</w:t>
      </w:r>
      <w:r>
        <w:rPr>
          <w:color w:val="231F1F"/>
          <w:spacing w:val="-6"/>
          <w:w w:val="110"/>
        </w:rPr>
        <w:t> </w:t>
      </w:r>
      <w:r>
        <w:rPr>
          <w:color w:val="231F1F"/>
          <w:w w:val="110"/>
        </w:rPr>
        <w:t>a</w:t>
      </w:r>
      <w:r>
        <w:rPr>
          <w:color w:val="231F1F"/>
          <w:spacing w:val="-6"/>
          <w:w w:val="110"/>
        </w:rPr>
        <w:t> </w:t>
      </w:r>
      <w:r>
        <w:rPr>
          <w:color w:val="231F1F"/>
          <w:w w:val="110"/>
        </w:rPr>
        <w:t>facilitar</w:t>
      </w:r>
      <w:r>
        <w:rPr>
          <w:color w:val="231F1F"/>
          <w:spacing w:val="-6"/>
          <w:w w:val="110"/>
        </w:rPr>
        <w:t> </w:t>
      </w:r>
      <w:r>
        <w:rPr>
          <w:color w:val="231F1F"/>
          <w:w w:val="110"/>
        </w:rPr>
        <w:t>el</w:t>
      </w:r>
      <w:r>
        <w:rPr>
          <w:color w:val="231F1F"/>
          <w:spacing w:val="-6"/>
          <w:w w:val="110"/>
        </w:rPr>
        <w:t> </w:t>
      </w:r>
      <w:r>
        <w:rPr>
          <w:color w:val="231F1F"/>
          <w:w w:val="110"/>
        </w:rPr>
        <w:t>alum- bramiento dirigido).</w:t>
      </w:r>
    </w:p>
    <w:p>
      <w:pPr>
        <w:pStyle w:val="BodyText"/>
        <w:spacing w:line="249" w:lineRule="auto" w:before="143"/>
        <w:ind w:left="284" w:right="119" w:firstLine="453"/>
        <w:jc w:val="both"/>
      </w:pPr>
      <w:r>
        <w:rPr>
          <w:b/>
          <w:color w:val="231F1F"/>
          <w:w w:val="105"/>
        </w:rPr>
        <w:t>Partograma: </w:t>
      </w:r>
      <w:r>
        <w:rPr>
          <w:color w:val="231F1F"/>
          <w:w w:val="105"/>
        </w:rPr>
        <w:t>Representación visual gráfica de los valores y eventos relacionados con el curso del trabajo de parto. La línea de acción se dibuja a la derecha de la línea que mues- tra</w:t>
      </w:r>
      <w:r>
        <w:rPr>
          <w:color w:val="231F1F"/>
          <w:spacing w:val="18"/>
          <w:w w:val="105"/>
        </w:rPr>
        <w:t> </w:t>
      </w:r>
      <w:r>
        <w:rPr>
          <w:color w:val="231F1F"/>
          <w:w w:val="105"/>
        </w:rPr>
        <w:t>el</w:t>
      </w:r>
      <w:r>
        <w:rPr>
          <w:color w:val="231F1F"/>
          <w:spacing w:val="18"/>
          <w:w w:val="105"/>
        </w:rPr>
        <w:t> </w:t>
      </w:r>
      <w:r>
        <w:rPr>
          <w:color w:val="231F1F"/>
          <w:w w:val="105"/>
        </w:rPr>
        <w:t>progreso</w:t>
      </w:r>
      <w:r>
        <w:rPr>
          <w:color w:val="231F1F"/>
          <w:spacing w:val="18"/>
          <w:w w:val="105"/>
        </w:rPr>
        <w:t> </w:t>
      </w:r>
      <w:r>
        <w:rPr>
          <w:color w:val="231F1F"/>
          <w:w w:val="105"/>
        </w:rPr>
        <w:t>de</w:t>
      </w:r>
      <w:r>
        <w:rPr>
          <w:color w:val="231F1F"/>
          <w:spacing w:val="18"/>
          <w:w w:val="105"/>
        </w:rPr>
        <w:t> </w:t>
      </w:r>
      <w:r>
        <w:rPr>
          <w:color w:val="231F1F"/>
          <w:w w:val="105"/>
        </w:rPr>
        <w:t>la</w:t>
      </w:r>
      <w:r>
        <w:rPr>
          <w:color w:val="231F1F"/>
          <w:spacing w:val="18"/>
          <w:w w:val="105"/>
        </w:rPr>
        <w:t> </w:t>
      </w:r>
      <w:r>
        <w:rPr>
          <w:color w:val="231F1F"/>
          <w:w w:val="105"/>
        </w:rPr>
        <w:t>dilatación</w:t>
      </w:r>
      <w:r>
        <w:rPr>
          <w:color w:val="231F1F"/>
          <w:spacing w:val="18"/>
          <w:w w:val="105"/>
        </w:rPr>
        <w:t> </w:t>
      </w:r>
      <w:r>
        <w:rPr>
          <w:color w:val="231F1F"/>
          <w:w w:val="105"/>
        </w:rPr>
        <w:t>cervical,</w:t>
      </w:r>
      <w:r>
        <w:rPr>
          <w:color w:val="231F1F"/>
          <w:spacing w:val="18"/>
          <w:w w:val="105"/>
        </w:rPr>
        <w:t> </w:t>
      </w:r>
      <w:r>
        <w:rPr>
          <w:color w:val="231F1F"/>
          <w:w w:val="105"/>
        </w:rPr>
        <w:t>a</w:t>
      </w:r>
      <w:r>
        <w:rPr>
          <w:color w:val="231F1F"/>
          <w:spacing w:val="18"/>
          <w:w w:val="105"/>
        </w:rPr>
        <w:t> </w:t>
      </w:r>
      <w:r>
        <w:rPr>
          <w:color w:val="231F1F"/>
          <w:w w:val="105"/>
        </w:rPr>
        <w:t>un</w:t>
      </w:r>
      <w:r>
        <w:rPr>
          <w:color w:val="231F1F"/>
          <w:spacing w:val="19"/>
          <w:w w:val="105"/>
        </w:rPr>
        <w:t> </w:t>
      </w:r>
      <w:r>
        <w:rPr>
          <w:color w:val="231F1F"/>
          <w:w w:val="105"/>
        </w:rPr>
        <w:t>ritmo</w:t>
      </w:r>
      <w:r>
        <w:rPr>
          <w:color w:val="231F1F"/>
          <w:spacing w:val="19"/>
          <w:w w:val="105"/>
        </w:rPr>
        <w:t> </w:t>
      </w:r>
      <w:r>
        <w:rPr>
          <w:color w:val="231F1F"/>
          <w:w w:val="105"/>
        </w:rPr>
        <w:t>de</w:t>
      </w:r>
      <w:r>
        <w:rPr>
          <w:color w:val="231F1F"/>
          <w:spacing w:val="18"/>
          <w:w w:val="105"/>
        </w:rPr>
        <w:t> </w:t>
      </w:r>
      <w:r>
        <w:rPr>
          <w:color w:val="231F1F"/>
          <w:w w:val="105"/>
        </w:rPr>
        <w:t>1cm</w:t>
      </w:r>
      <w:r>
        <w:rPr>
          <w:color w:val="231F1F"/>
          <w:spacing w:val="18"/>
          <w:w w:val="105"/>
        </w:rPr>
        <w:t> </w:t>
      </w:r>
      <w:r>
        <w:rPr>
          <w:color w:val="231F1F"/>
          <w:w w:val="105"/>
        </w:rPr>
        <w:t>por</w:t>
      </w:r>
      <w:r>
        <w:rPr>
          <w:color w:val="231F1F"/>
          <w:spacing w:val="18"/>
          <w:w w:val="105"/>
        </w:rPr>
        <w:t> </w:t>
      </w:r>
      <w:r>
        <w:rPr>
          <w:color w:val="231F1F"/>
          <w:w w:val="105"/>
        </w:rPr>
        <w:t>hora.</w:t>
      </w:r>
      <w:r>
        <w:rPr>
          <w:color w:val="231F1F"/>
          <w:spacing w:val="18"/>
          <w:w w:val="105"/>
        </w:rPr>
        <w:t> </w:t>
      </w:r>
      <w:r>
        <w:rPr>
          <w:color w:val="231F1F"/>
          <w:w w:val="105"/>
        </w:rPr>
        <w:t>Una</w:t>
      </w:r>
      <w:r>
        <w:rPr>
          <w:color w:val="231F1F"/>
          <w:spacing w:val="18"/>
          <w:w w:val="105"/>
        </w:rPr>
        <w:t> </w:t>
      </w:r>
      <w:r>
        <w:rPr>
          <w:color w:val="231F1F"/>
          <w:w w:val="105"/>
        </w:rPr>
        <w:t>línea</w:t>
      </w:r>
      <w:r>
        <w:rPr>
          <w:color w:val="231F1F"/>
          <w:spacing w:val="18"/>
          <w:w w:val="105"/>
        </w:rPr>
        <w:t> </w:t>
      </w:r>
      <w:r>
        <w:rPr>
          <w:color w:val="231F1F"/>
          <w:w w:val="105"/>
        </w:rPr>
        <w:t>de</w:t>
      </w:r>
      <w:r>
        <w:rPr>
          <w:color w:val="231F1F"/>
          <w:spacing w:val="18"/>
          <w:w w:val="105"/>
        </w:rPr>
        <w:t> </w:t>
      </w:r>
      <w:r>
        <w:rPr>
          <w:color w:val="231F1F"/>
          <w:w w:val="105"/>
        </w:rPr>
        <w:t>acción de 2 horas está desplazada 2 horas a la derecha de la línea de progreso y, si el progreso se</w:t>
      </w:r>
    </w:p>
    <w:p>
      <w:pPr>
        <w:pStyle w:val="BodyText"/>
        <w:spacing w:after="0" w:line="249" w:lineRule="auto"/>
        <w:jc w:val="both"/>
        <w:sectPr>
          <w:pgSz w:w="11900" w:h="16840"/>
          <w:pgMar w:header="0" w:footer="622" w:top="1560" w:bottom="820" w:left="1417" w:right="1559"/>
        </w:sectPr>
      </w:pPr>
    </w:p>
    <w:p>
      <w:pPr>
        <w:pStyle w:val="BodyText"/>
        <w:spacing w:line="244" w:lineRule="auto" w:before="73"/>
        <w:ind w:left="283"/>
      </w:pPr>
      <w:r>
        <w:rPr>
          <w:color w:val="231F1F"/>
          <w:w w:val="110"/>
        </w:rPr>
        <w:t>ralentiza</w:t>
      </w:r>
      <w:r>
        <w:rPr>
          <w:color w:val="231F1F"/>
          <w:spacing w:val="-6"/>
          <w:w w:val="110"/>
        </w:rPr>
        <w:t> </w:t>
      </w:r>
      <w:r>
        <w:rPr>
          <w:color w:val="231F1F"/>
          <w:w w:val="110"/>
        </w:rPr>
        <w:t>de</w:t>
      </w:r>
      <w:r>
        <w:rPr>
          <w:color w:val="231F1F"/>
          <w:spacing w:val="-6"/>
          <w:w w:val="110"/>
        </w:rPr>
        <w:t> </w:t>
      </w:r>
      <w:r>
        <w:rPr>
          <w:color w:val="231F1F"/>
          <w:w w:val="110"/>
        </w:rPr>
        <w:t>manera</w:t>
      </w:r>
      <w:r>
        <w:rPr>
          <w:color w:val="231F1F"/>
          <w:spacing w:val="-6"/>
          <w:w w:val="110"/>
        </w:rPr>
        <w:t> </w:t>
      </w:r>
      <w:r>
        <w:rPr>
          <w:color w:val="231F1F"/>
          <w:w w:val="110"/>
        </w:rPr>
        <w:t>que</w:t>
      </w:r>
      <w:r>
        <w:rPr>
          <w:color w:val="231F1F"/>
          <w:spacing w:val="-6"/>
          <w:w w:val="110"/>
        </w:rPr>
        <w:t> </w:t>
      </w:r>
      <w:r>
        <w:rPr>
          <w:color w:val="231F1F"/>
          <w:w w:val="110"/>
        </w:rPr>
        <w:t>la</w:t>
      </w:r>
      <w:r>
        <w:rPr>
          <w:color w:val="231F1F"/>
          <w:spacing w:val="-6"/>
          <w:w w:val="110"/>
        </w:rPr>
        <w:t> </w:t>
      </w:r>
      <w:r>
        <w:rPr>
          <w:color w:val="231F1F"/>
          <w:w w:val="110"/>
        </w:rPr>
        <w:t>línea</w:t>
      </w:r>
      <w:r>
        <w:rPr>
          <w:color w:val="231F1F"/>
          <w:spacing w:val="-6"/>
          <w:w w:val="110"/>
        </w:rPr>
        <w:t> </w:t>
      </w:r>
      <w:r>
        <w:rPr>
          <w:color w:val="231F1F"/>
          <w:w w:val="110"/>
        </w:rPr>
        <w:t>cruza</w:t>
      </w:r>
      <w:r>
        <w:rPr>
          <w:color w:val="231F1F"/>
          <w:spacing w:val="-6"/>
          <w:w w:val="110"/>
        </w:rPr>
        <w:t> </w:t>
      </w:r>
      <w:r>
        <w:rPr>
          <w:color w:val="231F1F"/>
          <w:w w:val="110"/>
        </w:rPr>
        <w:t>la</w:t>
      </w:r>
      <w:r>
        <w:rPr>
          <w:color w:val="231F1F"/>
          <w:spacing w:val="-6"/>
          <w:w w:val="110"/>
        </w:rPr>
        <w:t> </w:t>
      </w:r>
      <w:r>
        <w:rPr>
          <w:color w:val="231F1F"/>
          <w:w w:val="110"/>
        </w:rPr>
        <w:t>línea</w:t>
      </w:r>
      <w:r>
        <w:rPr>
          <w:color w:val="231F1F"/>
          <w:spacing w:val="-6"/>
          <w:w w:val="110"/>
        </w:rPr>
        <w:t> </w:t>
      </w:r>
      <w:r>
        <w:rPr>
          <w:color w:val="231F1F"/>
          <w:w w:val="110"/>
        </w:rPr>
        <w:t>de</w:t>
      </w:r>
      <w:r>
        <w:rPr>
          <w:color w:val="231F1F"/>
          <w:spacing w:val="-6"/>
          <w:w w:val="110"/>
        </w:rPr>
        <w:t> </w:t>
      </w:r>
      <w:r>
        <w:rPr>
          <w:color w:val="231F1F"/>
          <w:w w:val="110"/>
        </w:rPr>
        <w:t>acción,</w:t>
      </w:r>
      <w:r>
        <w:rPr>
          <w:color w:val="231F1F"/>
          <w:spacing w:val="-7"/>
          <w:w w:val="110"/>
        </w:rPr>
        <w:t> </w:t>
      </w:r>
      <w:r>
        <w:rPr>
          <w:color w:val="231F1F"/>
          <w:w w:val="110"/>
        </w:rPr>
        <w:t>se</w:t>
      </w:r>
      <w:r>
        <w:rPr>
          <w:color w:val="231F1F"/>
          <w:spacing w:val="-6"/>
          <w:w w:val="110"/>
        </w:rPr>
        <w:t> </w:t>
      </w:r>
      <w:r>
        <w:rPr>
          <w:color w:val="231F1F"/>
          <w:w w:val="110"/>
        </w:rPr>
        <w:t>establece</w:t>
      </w:r>
      <w:r>
        <w:rPr>
          <w:color w:val="231F1F"/>
          <w:spacing w:val="-6"/>
          <w:w w:val="110"/>
        </w:rPr>
        <w:t> </w:t>
      </w:r>
      <w:r>
        <w:rPr>
          <w:color w:val="231F1F"/>
          <w:w w:val="110"/>
        </w:rPr>
        <w:t>el</w:t>
      </w:r>
      <w:r>
        <w:rPr>
          <w:color w:val="231F1F"/>
          <w:spacing w:val="-7"/>
          <w:w w:val="110"/>
        </w:rPr>
        <w:t> </w:t>
      </w:r>
      <w:r>
        <w:rPr>
          <w:color w:val="231F1F"/>
          <w:w w:val="110"/>
        </w:rPr>
        <w:t>diagnóstico</w:t>
      </w:r>
      <w:r>
        <w:rPr>
          <w:color w:val="231F1F"/>
          <w:spacing w:val="-6"/>
          <w:w w:val="110"/>
        </w:rPr>
        <w:t> </w:t>
      </w:r>
      <w:r>
        <w:rPr>
          <w:color w:val="231F1F"/>
          <w:w w:val="110"/>
        </w:rPr>
        <w:t>de retardo de la dilatación.</w:t>
      </w:r>
    </w:p>
    <w:p>
      <w:pPr>
        <w:pStyle w:val="BodyText"/>
        <w:spacing w:line="249" w:lineRule="auto" w:before="170"/>
        <w:ind w:left="283" w:right="117" w:firstLine="453"/>
        <w:jc w:val="both"/>
      </w:pPr>
      <w:r>
        <w:rPr>
          <w:b/>
          <w:color w:val="231F1F"/>
        </w:rPr>
        <w:t>Placebo</w:t>
      </w:r>
      <w:r>
        <w:rPr>
          <w:color w:val="231F1F"/>
        </w:rPr>
        <w:t>:</w:t>
      </w:r>
      <w:r>
        <w:rPr>
          <w:color w:val="231F1F"/>
          <w:spacing w:val="40"/>
        </w:rPr>
        <w:t> </w:t>
      </w:r>
      <w:r>
        <w:rPr>
          <w:color w:val="231F1F"/>
        </w:rPr>
        <w:t>Una</w:t>
      </w:r>
      <w:r>
        <w:rPr>
          <w:color w:val="231F1F"/>
          <w:spacing w:val="40"/>
        </w:rPr>
        <w:t> </w:t>
      </w:r>
      <w:r>
        <w:rPr>
          <w:color w:val="231F1F"/>
        </w:rPr>
        <w:t>sustancia</w:t>
      </w:r>
      <w:r>
        <w:rPr>
          <w:color w:val="231F1F"/>
          <w:spacing w:val="40"/>
        </w:rPr>
        <w:t> </w:t>
      </w:r>
      <w:r>
        <w:rPr>
          <w:color w:val="231F1F"/>
        </w:rPr>
        <w:t>administrada</w:t>
      </w:r>
      <w:r>
        <w:rPr>
          <w:color w:val="231F1F"/>
          <w:spacing w:val="40"/>
        </w:rPr>
        <w:t> </w:t>
      </w:r>
      <w:r>
        <w:rPr>
          <w:color w:val="231F1F"/>
        </w:rPr>
        <w:t>al</w:t>
      </w:r>
      <w:r>
        <w:rPr>
          <w:color w:val="231F1F"/>
          <w:spacing w:val="40"/>
        </w:rPr>
        <w:t> </w:t>
      </w:r>
      <w:r>
        <w:rPr>
          <w:color w:val="231F1F"/>
        </w:rPr>
        <w:t>grupo</w:t>
      </w:r>
      <w:r>
        <w:rPr>
          <w:color w:val="231F1F"/>
          <w:spacing w:val="40"/>
        </w:rPr>
        <w:t> </w:t>
      </w:r>
      <w:r>
        <w:rPr>
          <w:color w:val="231F1F"/>
        </w:rPr>
        <w:t>control</w:t>
      </w:r>
      <w:r>
        <w:rPr>
          <w:color w:val="231F1F"/>
          <w:spacing w:val="40"/>
        </w:rPr>
        <w:t> </w:t>
      </w:r>
      <w:r>
        <w:rPr>
          <w:color w:val="231F1F"/>
        </w:rPr>
        <w:t>de</w:t>
      </w:r>
      <w:r>
        <w:rPr>
          <w:color w:val="231F1F"/>
          <w:spacing w:val="40"/>
        </w:rPr>
        <w:t> </w:t>
      </w:r>
      <w:r>
        <w:rPr>
          <w:color w:val="231F1F"/>
        </w:rPr>
        <w:t>un</w:t>
      </w:r>
      <w:r>
        <w:rPr>
          <w:color w:val="231F1F"/>
          <w:spacing w:val="40"/>
        </w:rPr>
        <w:t> </w:t>
      </w:r>
      <w:r>
        <w:rPr>
          <w:color w:val="231F1F"/>
        </w:rPr>
        <w:t>ensayo</w:t>
      </w:r>
      <w:r>
        <w:rPr>
          <w:color w:val="231F1F"/>
          <w:spacing w:val="40"/>
        </w:rPr>
        <w:t> </w:t>
      </w:r>
      <w:r>
        <w:rPr>
          <w:color w:val="231F1F"/>
        </w:rPr>
        <w:t>clínico,</w:t>
      </w:r>
      <w:r>
        <w:rPr>
          <w:color w:val="231F1F"/>
          <w:spacing w:val="40"/>
        </w:rPr>
        <w:t> </w:t>
      </w:r>
      <w:r>
        <w:rPr>
          <w:color w:val="231F1F"/>
        </w:rPr>
        <w:t>idealmen- </w:t>
      </w:r>
      <w:r>
        <w:rPr>
          <w:color w:val="231F1F"/>
          <w:spacing w:val="-2"/>
          <w:w w:val="110"/>
        </w:rPr>
        <w:t>te</w:t>
      </w:r>
      <w:r>
        <w:rPr>
          <w:color w:val="231F1F"/>
          <w:spacing w:val="-10"/>
          <w:w w:val="110"/>
        </w:rPr>
        <w:t> </w:t>
      </w:r>
      <w:r>
        <w:rPr>
          <w:color w:val="231F1F"/>
          <w:spacing w:val="-2"/>
          <w:w w:val="110"/>
        </w:rPr>
        <w:t>idéntica</w:t>
      </w:r>
      <w:r>
        <w:rPr>
          <w:color w:val="231F1F"/>
          <w:spacing w:val="-10"/>
          <w:w w:val="110"/>
        </w:rPr>
        <w:t> </w:t>
      </w:r>
      <w:r>
        <w:rPr>
          <w:color w:val="231F1F"/>
          <w:spacing w:val="-2"/>
          <w:w w:val="110"/>
        </w:rPr>
        <w:t>en</w:t>
      </w:r>
      <w:r>
        <w:rPr>
          <w:color w:val="231F1F"/>
          <w:spacing w:val="-10"/>
          <w:w w:val="110"/>
        </w:rPr>
        <w:t> </w:t>
      </w:r>
      <w:r>
        <w:rPr>
          <w:color w:val="231F1F"/>
          <w:spacing w:val="-2"/>
          <w:w w:val="110"/>
        </w:rPr>
        <w:t>apariencia</w:t>
      </w:r>
      <w:r>
        <w:rPr>
          <w:color w:val="231F1F"/>
          <w:spacing w:val="-10"/>
          <w:w w:val="110"/>
        </w:rPr>
        <w:t> </w:t>
      </w:r>
      <w:r>
        <w:rPr>
          <w:color w:val="231F1F"/>
          <w:spacing w:val="-2"/>
          <w:w w:val="110"/>
        </w:rPr>
        <w:t>y</w:t>
      </w:r>
      <w:r>
        <w:rPr>
          <w:color w:val="231F1F"/>
          <w:spacing w:val="-10"/>
          <w:w w:val="110"/>
        </w:rPr>
        <w:t> </w:t>
      </w:r>
      <w:r>
        <w:rPr>
          <w:color w:val="231F1F"/>
          <w:spacing w:val="-2"/>
          <w:w w:val="110"/>
        </w:rPr>
        <w:t>sabor</w:t>
      </w:r>
      <w:r>
        <w:rPr>
          <w:color w:val="231F1F"/>
          <w:spacing w:val="-10"/>
          <w:w w:val="110"/>
        </w:rPr>
        <w:t> </w:t>
      </w:r>
      <w:r>
        <w:rPr>
          <w:color w:val="231F1F"/>
          <w:spacing w:val="-2"/>
          <w:w w:val="110"/>
        </w:rPr>
        <w:t>al</w:t>
      </w:r>
      <w:r>
        <w:rPr>
          <w:color w:val="231F1F"/>
          <w:spacing w:val="-10"/>
          <w:w w:val="110"/>
        </w:rPr>
        <w:t> </w:t>
      </w:r>
      <w:r>
        <w:rPr>
          <w:color w:val="231F1F"/>
          <w:spacing w:val="-2"/>
          <w:w w:val="110"/>
        </w:rPr>
        <w:t>tratamiento</w:t>
      </w:r>
      <w:r>
        <w:rPr>
          <w:color w:val="231F1F"/>
          <w:spacing w:val="-10"/>
          <w:w w:val="110"/>
        </w:rPr>
        <w:t> </w:t>
      </w:r>
      <w:r>
        <w:rPr>
          <w:color w:val="231F1F"/>
          <w:spacing w:val="-2"/>
          <w:w w:val="110"/>
        </w:rPr>
        <w:t>experimental,</w:t>
      </w:r>
      <w:r>
        <w:rPr>
          <w:color w:val="231F1F"/>
          <w:spacing w:val="-10"/>
          <w:w w:val="110"/>
        </w:rPr>
        <w:t> </w:t>
      </w:r>
      <w:r>
        <w:rPr>
          <w:color w:val="231F1F"/>
          <w:spacing w:val="-2"/>
          <w:w w:val="110"/>
        </w:rPr>
        <w:t>de</w:t>
      </w:r>
      <w:r>
        <w:rPr>
          <w:color w:val="231F1F"/>
          <w:spacing w:val="-10"/>
          <w:w w:val="110"/>
        </w:rPr>
        <w:t> </w:t>
      </w:r>
      <w:r>
        <w:rPr>
          <w:color w:val="231F1F"/>
          <w:spacing w:val="-2"/>
          <w:w w:val="110"/>
        </w:rPr>
        <w:t>la</w:t>
      </w:r>
      <w:r>
        <w:rPr>
          <w:color w:val="231F1F"/>
          <w:spacing w:val="-10"/>
          <w:w w:val="110"/>
        </w:rPr>
        <w:t> </w:t>
      </w:r>
      <w:r>
        <w:rPr>
          <w:color w:val="231F1F"/>
          <w:spacing w:val="-2"/>
          <w:w w:val="110"/>
        </w:rPr>
        <w:t>que</w:t>
      </w:r>
      <w:r>
        <w:rPr>
          <w:color w:val="231F1F"/>
          <w:spacing w:val="-10"/>
          <w:w w:val="110"/>
        </w:rPr>
        <w:t> </w:t>
      </w:r>
      <w:r>
        <w:rPr>
          <w:color w:val="231F1F"/>
          <w:spacing w:val="-2"/>
          <w:w w:val="110"/>
        </w:rPr>
        <w:t>se</w:t>
      </w:r>
      <w:r>
        <w:rPr>
          <w:color w:val="231F1F"/>
          <w:spacing w:val="-10"/>
          <w:w w:val="110"/>
        </w:rPr>
        <w:t> </w:t>
      </w:r>
      <w:r>
        <w:rPr>
          <w:color w:val="231F1F"/>
          <w:spacing w:val="-2"/>
          <w:w w:val="110"/>
        </w:rPr>
        <w:t>cree</w:t>
      </w:r>
      <w:r>
        <w:rPr>
          <w:color w:val="231F1F"/>
          <w:spacing w:val="-10"/>
          <w:w w:val="110"/>
        </w:rPr>
        <w:t> </w:t>
      </w:r>
      <w:r>
        <w:rPr>
          <w:color w:val="231F1F"/>
          <w:spacing w:val="-2"/>
          <w:w w:val="110"/>
        </w:rPr>
        <w:t>que</w:t>
      </w:r>
      <w:r>
        <w:rPr>
          <w:color w:val="231F1F"/>
          <w:spacing w:val="-10"/>
          <w:w w:val="110"/>
        </w:rPr>
        <w:t> </w:t>
      </w:r>
      <w:r>
        <w:rPr>
          <w:color w:val="231F1F"/>
          <w:spacing w:val="-2"/>
          <w:w w:val="110"/>
        </w:rPr>
        <w:t>no</w:t>
      </w:r>
      <w:r>
        <w:rPr>
          <w:color w:val="231F1F"/>
          <w:spacing w:val="-10"/>
          <w:w w:val="110"/>
        </w:rPr>
        <w:t> </w:t>
      </w:r>
      <w:r>
        <w:rPr>
          <w:color w:val="231F1F"/>
          <w:spacing w:val="-2"/>
          <w:w w:val="110"/>
        </w:rPr>
        <w:t>tiene </w:t>
      </w:r>
      <w:r>
        <w:rPr>
          <w:color w:val="231F1F"/>
          <w:w w:val="110"/>
        </w:rPr>
        <w:t>ningún efecto específico para aquella enfermedad. En el contexto de intervenciones no farmacológicas al placebo se denomina habitualmente como tratamiento simulado.</w:t>
      </w:r>
    </w:p>
    <w:p>
      <w:pPr>
        <w:spacing w:line="244" w:lineRule="auto" w:before="138"/>
        <w:ind w:left="283" w:right="121" w:firstLine="453"/>
        <w:jc w:val="both"/>
        <w:rPr>
          <w:sz w:val="22"/>
        </w:rPr>
      </w:pPr>
      <w:r>
        <w:rPr>
          <w:b/>
          <w:color w:val="231F1F"/>
          <w:w w:val="105"/>
          <w:sz w:val="22"/>
        </w:rPr>
        <w:t>Profilaxis neonatal con vitamina K</w:t>
      </w:r>
      <w:r>
        <w:rPr>
          <w:color w:val="231F1F"/>
          <w:w w:val="105"/>
          <w:sz w:val="22"/>
        </w:rPr>
        <w:t>: Enfermedad hemorrágica precoz por déficit de vitamina K: abarca los 15 primeros días de vida.</w:t>
      </w:r>
    </w:p>
    <w:p>
      <w:pPr>
        <w:pStyle w:val="BodyText"/>
        <w:spacing w:line="244" w:lineRule="auto" w:before="156"/>
        <w:ind w:left="283" w:right="124" w:firstLine="453"/>
        <w:jc w:val="both"/>
      </w:pPr>
      <w:r>
        <w:rPr>
          <w:b/>
          <w:color w:val="231F1F"/>
          <w:w w:val="110"/>
        </w:rPr>
        <w:t>Pujo:</w:t>
      </w:r>
      <w:r>
        <w:rPr>
          <w:b/>
          <w:color w:val="231F1F"/>
          <w:spacing w:val="-4"/>
          <w:w w:val="110"/>
        </w:rPr>
        <w:t> </w:t>
      </w:r>
      <w:r>
        <w:rPr>
          <w:color w:val="231F1F"/>
          <w:w w:val="110"/>
        </w:rPr>
        <w:t>Fuerza</w:t>
      </w:r>
      <w:r>
        <w:rPr>
          <w:color w:val="231F1F"/>
          <w:spacing w:val="-5"/>
          <w:w w:val="110"/>
        </w:rPr>
        <w:t> </w:t>
      </w:r>
      <w:r>
        <w:rPr>
          <w:color w:val="231F1F"/>
          <w:w w:val="110"/>
        </w:rPr>
        <w:t>que</w:t>
      </w:r>
      <w:r>
        <w:rPr>
          <w:color w:val="231F1F"/>
          <w:spacing w:val="-5"/>
          <w:w w:val="110"/>
        </w:rPr>
        <w:t> </w:t>
      </w:r>
      <w:r>
        <w:rPr>
          <w:color w:val="231F1F"/>
          <w:w w:val="110"/>
        </w:rPr>
        <w:t>se</w:t>
      </w:r>
      <w:r>
        <w:rPr>
          <w:color w:val="231F1F"/>
          <w:spacing w:val="-5"/>
          <w:w w:val="110"/>
        </w:rPr>
        <w:t> </w:t>
      </w:r>
      <w:r>
        <w:rPr>
          <w:color w:val="231F1F"/>
          <w:w w:val="110"/>
        </w:rPr>
        <w:t>suma</w:t>
      </w:r>
      <w:r>
        <w:rPr>
          <w:color w:val="231F1F"/>
          <w:spacing w:val="-5"/>
          <w:w w:val="110"/>
        </w:rPr>
        <w:t> </w:t>
      </w:r>
      <w:r>
        <w:rPr>
          <w:color w:val="231F1F"/>
          <w:w w:val="110"/>
        </w:rPr>
        <w:t>a</w:t>
      </w:r>
      <w:r>
        <w:rPr>
          <w:color w:val="231F1F"/>
          <w:spacing w:val="-5"/>
          <w:w w:val="110"/>
        </w:rPr>
        <w:t> </w:t>
      </w:r>
      <w:r>
        <w:rPr>
          <w:color w:val="231F1F"/>
          <w:w w:val="110"/>
        </w:rPr>
        <w:t>la</w:t>
      </w:r>
      <w:r>
        <w:rPr>
          <w:color w:val="231F1F"/>
          <w:spacing w:val="-5"/>
          <w:w w:val="110"/>
        </w:rPr>
        <w:t> </w:t>
      </w:r>
      <w:r>
        <w:rPr>
          <w:color w:val="231F1F"/>
          <w:w w:val="110"/>
        </w:rPr>
        <w:t>que</w:t>
      </w:r>
      <w:r>
        <w:rPr>
          <w:color w:val="231F1F"/>
          <w:spacing w:val="-5"/>
          <w:w w:val="110"/>
        </w:rPr>
        <w:t> </w:t>
      </w:r>
      <w:r>
        <w:rPr>
          <w:color w:val="231F1F"/>
          <w:w w:val="110"/>
        </w:rPr>
        <w:t>realiza</w:t>
      </w:r>
      <w:r>
        <w:rPr>
          <w:color w:val="231F1F"/>
          <w:spacing w:val="-4"/>
          <w:w w:val="110"/>
        </w:rPr>
        <w:t> </w:t>
      </w:r>
      <w:r>
        <w:rPr>
          <w:color w:val="231F1F"/>
          <w:w w:val="110"/>
        </w:rPr>
        <w:t>el</w:t>
      </w:r>
      <w:r>
        <w:rPr>
          <w:color w:val="231F1F"/>
          <w:spacing w:val="-5"/>
          <w:w w:val="110"/>
        </w:rPr>
        <w:t> </w:t>
      </w:r>
      <w:r>
        <w:rPr>
          <w:color w:val="231F1F"/>
          <w:w w:val="110"/>
        </w:rPr>
        <w:t>músculo</w:t>
      </w:r>
      <w:r>
        <w:rPr>
          <w:color w:val="231F1F"/>
          <w:spacing w:val="-5"/>
          <w:w w:val="110"/>
        </w:rPr>
        <w:t> </w:t>
      </w:r>
      <w:r>
        <w:rPr>
          <w:color w:val="231F1F"/>
          <w:w w:val="110"/>
        </w:rPr>
        <w:t>uterino</w:t>
      </w:r>
      <w:r>
        <w:rPr>
          <w:color w:val="231F1F"/>
          <w:spacing w:val="-5"/>
          <w:w w:val="110"/>
        </w:rPr>
        <w:t> </w:t>
      </w:r>
      <w:r>
        <w:rPr>
          <w:color w:val="231F1F"/>
          <w:w w:val="110"/>
        </w:rPr>
        <w:t>al</w:t>
      </w:r>
      <w:r>
        <w:rPr>
          <w:color w:val="231F1F"/>
          <w:spacing w:val="-5"/>
          <w:w w:val="110"/>
        </w:rPr>
        <w:t> </w:t>
      </w:r>
      <w:r>
        <w:rPr>
          <w:color w:val="231F1F"/>
          <w:w w:val="110"/>
        </w:rPr>
        <w:t>contraerse</w:t>
      </w:r>
      <w:r>
        <w:rPr>
          <w:color w:val="231F1F"/>
          <w:spacing w:val="-4"/>
          <w:w w:val="110"/>
        </w:rPr>
        <w:t> </w:t>
      </w:r>
      <w:r>
        <w:rPr>
          <w:color w:val="231F1F"/>
          <w:w w:val="110"/>
        </w:rPr>
        <w:t>para</w:t>
      </w:r>
      <w:r>
        <w:rPr>
          <w:color w:val="231F1F"/>
          <w:spacing w:val="-5"/>
          <w:w w:val="110"/>
        </w:rPr>
        <w:t> </w:t>
      </w:r>
      <w:r>
        <w:rPr>
          <w:color w:val="231F1F"/>
          <w:w w:val="110"/>
        </w:rPr>
        <w:t>que esta sea más efectiva.</w:t>
      </w:r>
    </w:p>
    <w:p>
      <w:pPr>
        <w:spacing w:before="165"/>
        <w:ind w:left="736" w:right="0" w:firstLine="0"/>
        <w:jc w:val="left"/>
        <w:rPr>
          <w:sz w:val="22"/>
        </w:rPr>
      </w:pPr>
      <w:r>
        <w:rPr>
          <w:b/>
          <w:color w:val="231F1F"/>
          <w:sz w:val="22"/>
        </w:rPr>
        <w:t>Pujos</w:t>
      </w:r>
      <w:r>
        <w:rPr>
          <w:b/>
          <w:color w:val="231F1F"/>
          <w:spacing w:val="21"/>
          <w:sz w:val="22"/>
        </w:rPr>
        <w:t> </w:t>
      </w:r>
      <w:r>
        <w:rPr>
          <w:b/>
          <w:color w:val="231F1F"/>
          <w:sz w:val="22"/>
        </w:rPr>
        <w:t>dirigidos:</w:t>
      </w:r>
      <w:r>
        <w:rPr>
          <w:b/>
          <w:color w:val="231F1F"/>
          <w:spacing w:val="24"/>
          <w:sz w:val="22"/>
        </w:rPr>
        <w:t> </w:t>
      </w:r>
      <w:r>
        <w:rPr>
          <w:color w:val="231F1F"/>
          <w:sz w:val="22"/>
        </w:rPr>
        <w:t>Dirigiendo</w:t>
      </w:r>
      <w:r>
        <w:rPr>
          <w:color w:val="231F1F"/>
          <w:spacing w:val="24"/>
          <w:sz w:val="22"/>
        </w:rPr>
        <w:t> </w:t>
      </w:r>
      <w:r>
        <w:rPr>
          <w:color w:val="231F1F"/>
          <w:sz w:val="22"/>
        </w:rPr>
        <w:t>la</w:t>
      </w:r>
      <w:r>
        <w:rPr>
          <w:color w:val="231F1F"/>
          <w:spacing w:val="24"/>
          <w:sz w:val="22"/>
        </w:rPr>
        <w:t> </w:t>
      </w:r>
      <w:r>
        <w:rPr>
          <w:color w:val="231F1F"/>
          <w:sz w:val="22"/>
        </w:rPr>
        <w:t>forma</w:t>
      </w:r>
      <w:r>
        <w:rPr>
          <w:color w:val="231F1F"/>
          <w:spacing w:val="24"/>
          <w:sz w:val="22"/>
        </w:rPr>
        <w:t> </w:t>
      </w:r>
      <w:r>
        <w:rPr>
          <w:color w:val="231F1F"/>
          <w:sz w:val="22"/>
        </w:rPr>
        <w:t>y</w:t>
      </w:r>
      <w:r>
        <w:rPr>
          <w:color w:val="231F1F"/>
          <w:spacing w:val="26"/>
          <w:sz w:val="22"/>
        </w:rPr>
        <w:t> </w:t>
      </w:r>
      <w:r>
        <w:rPr>
          <w:color w:val="231F1F"/>
          <w:sz w:val="22"/>
        </w:rPr>
        <w:t>el</w:t>
      </w:r>
      <w:r>
        <w:rPr>
          <w:color w:val="231F1F"/>
          <w:spacing w:val="23"/>
          <w:sz w:val="22"/>
        </w:rPr>
        <w:t> </w:t>
      </w:r>
      <w:r>
        <w:rPr>
          <w:color w:val="231F1F"/>
          <w:sz w:val="22"/>
        </w:rPr>
        <w:t>momento</w:t>
      </w:r>
      <w:r>
        <w:rPr>
          <w:color w:val="231F1F"/>
          <w:spacing w:val="24"/>
          <w:sz w:val="22"/>
        </w:rPr>
        <w:t> </w:t>
      </w:r>
      <w:r>
        <w:rPr>
          <w:color w:val="231F1F"/>
          <w:sz w:val="22"/>
        </w:rPr>
        <w:t>de</w:t>
      </w:r>
      <w:r>
        <w:rPr>
          <w:color w:val="231F1F"/>
          <w:spacing w:val="24"/>
          <w:sz w:val="22"/>
        </w:rPr>
        <w:t> </w:t>
      </w:r>
      <w:r>
        <w:rPr>
          <w:color w:val="231F1F"/>
          <w:sz w:val="22"/>
        </w:rPr>
        <w:t>pujar</w:t>
      </w:r>
      <w:r>
        <w:rPr>
          <w:color w:val="231F1F"/>
          <w:spacing w:val="24"/>
          <w:sz w:val="22"/>
        </w:rPr>
        <w:t> </w:t>
      </w:r>
      <w:r>
        <w:rPr>
          <w:color w:val="231F1F"/>
          <w:sz w:val="22"/>
        </w:rPr>
        <w:t>durante</w:t>
      </w:r>
      <w:r>
        <w:rPr>
          <w:color w:val="231F1F"/>
          <w:spacing w:val="24"/>
          <w:sz w:val="22"/>
        </w:rPr>
        <w:t> </w:t>
      </w:r>
      <w:r>
        <w:rPr>
          <w:color w:val="231F1F"/>
          <w:sz w:val="22"/>
        </w:rPr>
        <w:t>el</w:t>
      </w:r>
      <w:r>
        <w:rPr>
          <w:color w:val="231F1F"/>
          <w:spacing w:val="26"/>
          <w:sz w:val="22"/>
        </w:rPr>
        <w:t> </w:t>
      </w:r>
      <w:r>
        <w:rPr>
          <w:color w:val="231F1F"/>
          <w:spacing w:val="-2"/>
          <w:sz w:val="22"/>
        </w:rPr>
        <w:t>parto.</w:t>
      </w:r>
    </w:p>
    <w:p>
      <w:pPr>
        <w:spacing w:before="160"/>
        <w:ind w:left="736" w:right="0" w:firstLine="0"/>
        <w:jc w:val="left"/>
        <w:rPr>
          <w:sz w:val="22"/>
        </w:rPr>
      </w:pPr>
      <w:r>
        <w:rPr>
          <w:b/>
          <w:color w:val="231F1F"/>
          <w:w w:val="105"/>
          <w:sz w:val="22"/>
        </w:rPr>
        <w:t>Pujos</w:t>
      </w:r>
      <w:r>
        <w:rPr>
          <w:b/>
          <w:color w:val="231F1F"/>
          <w:spacing w:val="-12"/>
          <w:w w:val="105"/>
          <w:sz w:val="22"/>
        </w:rPr>
        <w:t> </w:t>
      </w:r>
      <w:r>
        <w:rPr>
          <w:b/>
          <w:color w:val="231F1F"/>
          <w:w w:val="105"/>
          <w:sz w:val="22"/>
        </w:rPr>
        <w:t>espontáneos:</w:t>
      </w:r>
      <w:r>
        <w:rPr>
          <w:b/>
          <w:color w:val="231F1F"/>
          <w:spacing w:val="-9"/>
          <w:w w:val="105"/>
          <w:sz w:val="22"/>
        </w:rPr>
        <w:t> </w:t>
      </w:r>
      <w:r>
        <w:rPr>
          <w:color w:val="231F1F"/>
          <w:w w:val="105"/>
          <w:sz w:val="22"/>
        </w:rPr>
        <w:t>Instintivos,</w:t>
      </w:r>
      <w:r>
        <w:rPr>
          <w:color w:val="231F1F"/>
          <w:spacing w:val="-9"/>
          <w:w w:val="105"/>
          <w:sz w:val="22"/>
        </w:rPr>
        <w:t> </w:t>
      </w:r>
      <w:r>
        <w:rPr>
          <w:color w:val="231F1F"/>
          <w:w w:val="105"/>
          <w:sz w:val="22"/>
        </w:rPr>
        <w:t>sin</w:t>
      </w:r>
      <w:r>
        <w:rPr>
          <w:color w:val="231F1F"/>
          <w:spacing w:val="-10"/>
          <w:w w:val="105"/>
          <w:sz w:val="22"/>
        </w:rPr>
        <w:t> </w:t>
      </w:r>
      <w:r>
        <w:rPr>
          <w:color w:val="231F1F"/>
          <w:w w:val="105"/>
          <w:sz w:val="22"/>
        </w:rPr>
        <w:t>decir</w:t>
      </w:r>
      <w:r>
        <w:rPr>
          <w:color w:val="231F1F"/>
          <w:spacing w:val="-11"/>
          <w:w w:val="105"/>
          <w:sz w:val="22"/>
        </w:rPr>
        <w:t> </w:t>
      </w:r>
      <w:r>
        <w:rPr>
          <w:color w:val="231F1F"/>
          <w:w w:val="105"/>
          <w:sz w:val="22"/>
        </w:rPr>
        <w:t>ni</w:t>
      </w:r>
      <w:r>
        <w:rPr>
          <w:color w:val="231F1F"/>
          <w:spacing w:val="-12"/>
          <w:w w:val="105"/>
          <w:sz w:val="22"/>
        </w:rPr>
        <w:t> </w:t>
      </w:r>
      <w:r>
        <w:rPr>
          <w:color w:val="231F1F"/>
          <w:w w:val="105"/>
          <w:sz w:val="22"/>
        </w:rPr>
        <w:t>cómo</w:t>
      </w:r>
      <w:r>
        <w:rPr>
          <w:color w:val="231F1F"/>
          <w:spacing w:val="-12"/>
          <w:w w:val="105"/>
          <w:sz w:val="22"/>
        </w:rPr>
        <w:t> </w:t>
      </w:r>
      <w:r>
        <w:rPr>
          <w:color w:val="231F1F"/>
          <w:w w:val="105"/>
          <w:sz w:val="22"/>
        </w:rPr>
        <w:t>ni</w:t>
      </w:r>
      <w:r>
        <w:rPr>
          <w:color w:val="231F1F"/>
          <w:spacing w:val="-10"/>
          <w:w w:val="105"/>
          <w:sz w:val="22"/>
        </w:rPr>
        <w:t> </w:t>
      </w:r>
      <w:r>
        <w:rPr>
          <w:color w:val="231F1F"/>
          <w:w w:val="105"/>
          <w:sz w:val="22"/>
        </w:rPr>
        <w:t>cuándo</w:t>
      </w:r>
      <w:r>
        <w:rPr>
          <w:color w:val="231F1F"/>
          <w:spacing w:val="-9"/>
          <w:w w:val="105"/>
          <w:sz w:val="22"/>
        </w:rPr>
        <w:t> </w:t>
      </w:r>
      <w:r>
        <w:rPr>
          <w:color w:val="231F1F"/>
          <w:spacing w:val="-2"/>
          <w:w w:val="105"/>
          <w:sz w:val="22"/>
        </w:rPr>
        <w:t>realizarlos.</w:t>
      </w:r>
    </w:p>
    <w:p>
      <w:pPr>
        <w:spacing w:before="184"/>
        <w:ind w:left="736" w:right="0" w:firstLine="0"/>
        <w:jc w:val="left"/>
        <w:rPr>
          <w:sz w:val="22"/>
        </w:rPr>
      </w:pPr>
      <w:r>
        <w:rPr>
          <w:b/>
          <w:color w:val="231F1F"/>
          <w:sz w:val="22"/>
        </w:rPr>
        <w:t>Pujos</w:t>
      </w:r>
      <w:r>
        <w:rPr>
          <w:b/>
          <w:color w:val="231F1F"/>
          <w:spacing w:val="33"/>
          <w:sz w:val="22"/>
        </w:rPr>
        <w:t> </w:t>
      </w:r>
      <w:r>
        <w:rPr>
          <w:b/>
          <w:color w:val="231F1F"/>
          <w:sz w:val="22"/>
        </w:rPr>
        <w:t>inmediatos:</w:t>
      </w:r>
      <w:r>
        <w:rPr>
          <w:b/>
          <w:color w:val="231F1F"/>
          <w:spacing w:val="37"/>
          <w:sz w:val="22"/>
        </w:rPr>
        <w:t> </w:t>
      </w:r>
      <w:r>
        <w:rPr>
          <w:color w:val="231F1F"/>
          <w:sz w:val="22"/>
        </w:rPr>
        <w:t>Inmediatamente</w:t>
      </w:r>
      <w:r>
        <w:rPr>
          <w:color w:val="231F1F"/>
          <w:spacing w:val="35"/>
          <w:sz w:val="22"/>
        </w:rPr>
        <w:t> </w:t>
      </w:r>
      <w:r>
        <w:rPr>
          <w:color w:val="231F1F"/>
          <w:sz w:val="22"/>
        </w:rPr>
        <w:t>después</w:t>
      </w:r>
      <w:r>
        <w:rPr>
          <w:color w:val="231F1F"/>
          <w:spacing w:val="36"/>
          <w:sz w:val="22"/>
        </w:rPr>
        <w:t> </w:t>
      </w:r>
      <w:r>
        <w:rPr>
          <w:color w:val="231F1F"/>
          <w:sz w:val="22"/>
        </w:rPr>
        <w:t>de</w:t>
      </w:r>
      <w:r>
        <w:rPr>
          <w:color w:val="231F1F"/>
          <w:spacing w:val="35"/>
          <w:sz w:val="22"/>
        </w:rPr>
        <w:t> </w:t>
      </w:r>
      <w:r>
        <w:rPr>
          <w:color w:val="231F1F"/>
          <w:sz w:val="22"/>
        </w:rPr>
        <w:t>alcanzar</w:t>
      </w:r>
      <w:r>
        <w:rPr>
          <w:color w:val="231F1F"/>
          <w:spacing w:val="33"/>
          <w:sz w:val="22"/>
        </w:rPr>
        <w:t> </w:t>
      </w:r>
      <w:r>
        <w:rPr>
          <w:color w:val="231F1F"/>
          <w:sz w:val="22"/>
        </w:rPr>
        <w:t>la</w:t>
      </w:r>
      <w:r>
        <w:rPr>
          <w:color w:val="231F1F"/>
          <w:spacing w:val="36"/>
          <w:sz w:val="22"/>
        </w:rPr>
        <w:t> </w:t>
      </w:r>
      <w:r>
        <w:rPr>
          <w:color w:val="231F1F"/>
          <w:sz w:val="22"/>
        </w:rPr>
        <w:t>dilatación</w:t>
      </w:r>
      <w:r>
        <w:rPr>
          <w:color w:val="231F1F"/>
          <w:spacing w:val="35"/>
          <w:sz w:val="22"/>
        </w:rPr>
        <w:t> </w:t>
      </w:r>
      <w:r>
        <w:rPr>
          <w:color w:val="231F1F"/>
          <w:spacing w:val="-2"/>
          <w:sz w:val="22"/>
        </w:rPr>
        <w:t>completa.</w:t>
      </w:r>
    </w:p>
    <w:p>
      <w:pPr>
        <w:pStyle w:val="BodyText"/>
        <w:spacing w:line="254" w:lineRule="auto" w:before="179"/>
        <w:ind w:left="283" w:right="123" w:firstLine="453"/>
        <w:jc w:val="both"/>
      </w:pPr>
      <w:r>
        <w:rPr>
          <w:b/>
          <w:color w:val="231F1F"/>
        </w:rPr>
        <w:t>Pujos</w:t>
      </w:r>
      <w:r>
        <w:rPr>
          <w:b/>
          <w:color w:val="231F1F"/>
          <w:spacing w:val="28"/>
        </w:rPr>
        <w:t> </w:t>
      </w:r>
      <w:r>
        <w:rPr>
          <w:b/>
          <w:color w:val="231F1F"/>
        </w:rPr>
        <w:t>retrasados:</w:t>
      </w:r>
      <w:r>
        <w:rPr>
          <w:b/>
          <w:color w:val="231F1F"/>
          <w:spacing w:val="28"/>
        </w:rPr>
        <w:t> </w:t>
      </w:r>
      <w:r>
        <w:rPr>
          <w:color w:val="231F1F"/>
        </w:rPr>
        <w:t>Hasta</w:t>
      </w:r>
      <w:r>
        <w:rPr>
          <w:color w:val="231F1F"/>
          <w:spacing w:val="28"/>
        </w:rPr>
        <w:t> </w:t>
      </w:r>
      <w:r>
        <w:rPr>
          <w:color w:val="231F1F"/>
        </w:rPr>
        <w:t>que</w:t>
      </w:r>
      <w:r>
        <w:rPr>
          <w:color w:val="231F1F"/>
          <w:spacing w:val="28"/>
        </w:rPr>
        <w:t> </w:t>
      </w:r>
      <w:r>
        <w:rPr>
          <w:color w:val="231F1F"/>
        </w:rPr>
        <w:t>la</w:t>
      </w:r>
      <w:r>
        <w:rPr>
          <w:color w:val="231F1F"/>
          <w:spacing w:val="28"/>
        </w:rPr>
        <w:t> </w:t>
      </w:r>
      <w:r>
        <w:rPr>
          <w:color w:val="231F1F"/>
        </w:rPr>
        <w:t>mujer</w:t>
      </w:r>
      <w:r>
        <w:rPr>
          <w:color w:val="231F1F"/>
          <w:spacing w:val="29"/>
        </w:rPr>
        <w:t> </w:t>
      </w:r>
      <w:r>
        <w:rPr>
          <w:color w:val="231F1F"/>
        </w:rPr>
        <w:t>sienta</w:t>
      </w:r>
      <w:r>
        <w:rPr>
          <w:color w:val="231F1F"/>
          <w:spacing w:val="28"/>
        </w:rPr>
        <w:t> </w:t>
      </w:r>
      <w:r>
        <w:rPr>
          <w:color w:val="231F1F"/>
        </w:rPr>
        <w:t>ganas</w:t>
      </w:r>
      <w:r>
        <w:rPr>
          <w:color w:val="231F1F"/>
          <w:spacing w:val="29"/>
        </w:rPr>
        <w:t> </w:t>
      </w:r>
      <w:r>
        <w:rPr>
          <w:color w:val="231F1F"/>
        </w:rPr>
        <w:t>de</w:t>
      </w:r>
      <w:r>
        <w:rPr>
          <w:color w:val="231F1F"/>
          <w:spacing w:val="28"/>
        </w:rPr>
        <w:t> </w:t>
      </w:r>
      <w:r>
        <w:rPr>
          <w:color w:val="231F1F"/>
        </w:rPr>
        <w:t>pujar</w:t>
      </w:r>
      <w:r>
        <w:rPr>
          <w:color w:val="231F1F"/>
          <w:spacing w:val="28"/>
        </w:rPr>
        <w:t> </w:t>
      </w:r>
      <w:r>
        <w:rPr>
          <w:color w:val="231F1F"/>
        </w:rPr>
        <w:t>o</w:t>
      </w:r>
      <w:r>
        <w:rPr>
          <w:color w:val="231F1F"/>
          <w:spacing w:val="28"/>
        </w:rPr>
        <w:t> </w:t>
      </w:r>
      <w:r>
        <w:rPr>
          <w:color w:val="231F1F"/>
        </w:rPr>
        <w:t>la</w:t>
      </w:r>
      <w:r>
        <w:rPr>
          <w:color w:val="231F1F"/>
          <w:spacing w:val="28"/>
        </w:rPr>
        <w:t> </w:t>
      </w:r>
      <w:r>
        <w:rPr>
          <w:color w:val="231F1F"/>
        </w:rPr>
        <w:t>cabeza</w:t>
      </w:r>
      <w:r>
        <w:rPr>
          <w:color w:val="231F1F"/>
          <w:spacing w:val="28"/>
        </w:rPr>
        <w:t> </w:t>
      </w:r>
      <w:r>
        <w:rPr>
          <w:color w:val="231F1F"/>
        </w:rPr>
        <w:t>del</w:t>
      </w:r>
      <w:r>
        <w:rPr>
          <w:color w:val="231F1F"/>
          <w:spacing w:val="28"/>
        </w:rPr>
        <w:t> </w:t>
      </w:r>
      <w:r>
        <w:rPr>
          <w:color w:val="231F1F"/>
        </w:rPr>
        <w:t>feto</w:t>
      </w:r>
      <w:r>
        <w:rPr>
          <w:color w:val="231F1F"/>
          <w:spacing w:val="28"/>
        </w:rPr>
        <w:t> </w:t>
      </w:r>
      <w:r>
        <w:rPr>
          <w:color w:val="231F1F"/>
        </w:rPr>
        <w:t>llegue al suelo pélvico.</w:t>
      </w:r>
    </w:p>
    <w:p>
      <w:pPr>
        <w:spacing w:before="141"/>
        <w:ind w:left="736" w:right="0" w:firstLine="0"/>
        <w:jc w:val="left"/>
        <w:rPr>
          <w:sz w:val="22"/>
        </w:rPr>
      </w:pPr>
      <w:r>
        <w:rPr>
          <w:b/>
          <w:color w:val="231F1F"/>
          <w:w w:val="105"/>
          <w:sz w:val="22"/>
        </w:rPr>
        <w:t>Rasurado</w:t>
      </w:r>
      <w:r>
        <w:rPr>
          <w:b/>
          <w:color w:val="231F1F"/>
          <w:spacing w:val="-9"/>
          <w:w w:val="105"/>
          <w:sz w:val="22"/>
        </w:rPr>
        <w:t> </w:t>
      </w:r>
      <w:r>
        <w:rPr>
          <w:b/>
          <w:color w:val="231F1F"/>
          <w:w w:val="105"/>
          <w:sz w:val="22"/>
        </w:rPr>
        <w:t>perineal:</w:t>
      </w:r>
      <w:r>
        <w:rPr>
          <w:b/>
          <w:color w:val="231F1F"/>
          <w:spacing w:val="-8"/>
          <w:w w:val="105"/>
          <w:sz w:val="22"/>
        </w:rPr>
        <w:t> </w:t>
      </w:r>
      <w:r>
        <w:rPr>
          <w:color w:val="231F1F"/>
          <w:w w:val="105"/>
          <w:sz w:val="22"/>
        </w:rPr>
        <w:t>Práctica</w:t>
      </w:r>
      <w:r>
        <w:rPr>
          <w:color w:val="231F1F"/>
          <w:spacing w:val="-9"/>
          <w:w w:val="105"/>
          <w:sz w:val="22"/>
        </w:rPr>
        <w:t> </w:t>
      </w:r>
      <w:r>
        <w:rPr>
          <w:color w:val="231F1F"/>
          <w:w w:val="105"/>
          <w:sz w:val="22"/>
        </w:rPr>
        <w:t>de</w:t>
      </w:r>
      <w:r>
        <w:rPr>
          <w:color w:val="231F1F"/>
          <w:spacing w:val="-8"/>
          <w:w w:val="105"/>
          <w:sz w:val="22"/>
        </w:rPr>
        <w:t> </w:t>
      </w:r>
      <w:r>
        <w:rPr>
          <w:color w:val="231F1F"/>
          <w:w w:val="105"/>
          <w:sz w:val="22"/>
        </w:rPr>
        <w:t>eliminar</w:t>
      </w:r>
      <w:r>
        <w:rPr>
          <w:color w:val="231F1F"/>
          <w:spacing w:val="-8"/>
          <w:w w:val="105"/>
          <w:sz w:val="22"/>
        </w:rPr>
        <w:t> </w:t>
      </w:r>
      <w:r>
        <w:rPr>
          <w:color w:val="231F1F"/>
          <w:w w:val="105"/>
          <w:sz w:val="22"/>
        </w:rPr>
        <w:t>el</w:t>
      </w:r>
      <w:r>
        <w:rPr>
          <w:color w:val="231F1F"/>
          <w:spacing w:val="-9"/>
          <w:w w:val="105"/>
          <w:sz w:val="22"/>
        </w:rPr>
        <w:t> </w:t>
      </w:r>
      <w:r>
        <w:rPr>
          <w:color w:val="231F1F"/>
          <w:w w:val="105"/>
          <w:sz w:val="22"/>
        </w:rPr>
        <w:t>vello</w:t>
      </w:r>
      <w:r>
        <w:rPr>
          <w:color w:val="231F1F"/>
          <w:spacing w:val="-8"/>
          <w:w w:val="105"/>
          <w:sz w:val="22"/>
        </w:rPr>
        <w:t> </w:t>
      </w:r>
      <w:r>
        <w:rPr>
          <w:color w:val="231F1F"/>
          <w:w w:val="105"/>
          <w:sz w:val="22"/>
        </w:rPr>
        <w:t>del</w:t>
      </w:r>
      <w:r>
        <w:rPr>
          <w:color w:val="231F1F"/>
          <w:spacing w:val="-8"/>
          <w:w w:val="105"/>
          <w:sz w:val="22"/>
        </w:rPr>
        <w:t> </w:t>
      </w:r>
      <w:r>
        <w:rPr>
          <w:color w:val="231F1F"/>
          <w:w w:val="105"/>
          <w:sz w:val="22"/>
        </w:rPr>
        <w:t>periné</w:t>
      </w:r>
      <w:r>
        <w:rPr>
          <w:color w:val="231F1F"/>
          <w:spacing w:val="-10"/>
          <w:w w:val="105"/>
          <w:sz w:val="22"/>
        </w:rPr>
        <w:t> </w:t>
      </w:r>
      <w:r>
        <w:rPr>
          <w:color w:val="231F1F"/>
          <w:w w:val="105"/>
          <w:sz w:val="22"/>
        </w:rPr>
        <w:t>usando</w:t>
      </w:r>
      <w:r>
        <w:rPr>
          <w:color w:val="231F1F"/>
          <w:spacing w:val="-7"/>
          <w:w w:val="105"/>
          <w:sz w:val="22"/>
        </w:rPr>
        <w:t> </w:t>
      </w:r>
      <w:r>
        <w:rPr>
          <w:color w:val="231F1F"/>
          <w:w w:val="105"/>
          <w:sz w:val="22"/>
        </w:rPr>
        <w:t>una</w:t>
      </w:r>
      <w:r>
        <w:rPr>
          <w:color w:val="231F1F"/>
          <w:spacing w:val="-9"/>
          <w:w w:val="105"/>
          <w:sz w:val="22"/>
        </w:rPr>
        <w:t> </w:t>
      </w:r>
      <w:r>
        <w:rPr>
          <w:color w:val="231F1F"/>
          <w:spacing w:val="-2"/>
          <w:w w:val="105"/>
          <w:sz w:val="22"/>
        </w:rPr>
        <w:t>cuchilla.</w:t>
      </w:r>
    </w:p>
    <w:p>
      <w:pPr>
        <w:pStyle w:val="BodyText"/>
        <w:spacing w:line="249" w:lineRule="auto" w:before="169"/>
        <w:ind w:left="283" w:right="124" w:firstLine="453"/>
        <w:jc w:val="both"/>
      </w:pPr>
      <w:r>
        <w:rPr>
          <w:b/>
          <w:color w:val="231F1F"/>
          <w:w w:val="105"/>
        </w:rPr>
        <w:t>Régimen moderno de analgesia neuroaxial </w:t>
      </w:r>
      <w:r>
        <w:rPr>
          <w:color w:val="231F1F"/>
          <w:w w:val="105"/>
        </w:rPr>
        <w:t>(régimen a </w:t>
      </w:r>
      <w:r>
        <w:rPr>
          <w:b/>
          <w:color w:val="231F1F"/>
          <w:w w:val="105"/>
        </w:rPr>
        <w:t>bajas dosis</w:t>
      </w:r>
      <w:r>
        <w:rPr>
          <w:color w:val="231F1F"/>
          <w:w w:val="105"/>
        </w:rPr>
        <w:t>): Analgesia neu- roaxial</w:t>
      </w:r>
      <w:r>
        <w:rPr>
          <w:color w:val="231F1F"/>
          <w:spacing w:val="-10"/>
          <w:w w:val="105"/>
        </w:rPr>
        <w:t> </w:t>
      </w:r>
      <w:r>
        <w:rPr>
          <w:color w:val="231F1F"/>
          <w:w w:val="105"/>
        </w:rPr>
        <w:t>que</w:t>
      </w:r>
      <w:r>
        <w:rPr>
          <w:color w:val="231F1F"/>
          <w:spacing w:val="-11"/>
          <w:w w:val="105"/>
        </w:rPr>
        <w:t> </w:t>
      </w:r>
      <w:r>
        <w:rPr>
          <w:color w:val="231F1F"/>
          <w:w w:val="105"/>
        </w:rPr>
        <w:t>utiliza</w:t>
      </w:r>
      <w:r>
        <w:rPr>
          <w:color w:val="231F1F"/>
          <w:spacing w:val="-11"/>
          <w:w w:val="105"/>
        </w:rPr>
        <w:t> </w:t>
      </w:r>
      <w:r>
        <w:rPr>
          <w:color w:val="231F1F"/>
          <w:w w:val="105"/>
        </w:rPr>
        <w:t>anestésicos</w:t>
      </w:r>
      <w:r>
        <w:rPr>
          <w:color w:val="231F1F"/>
          <w:spacing w:val="-10"/>
          <w:w w:val="105"/>
        </w:rPr>
        <w:t> </w:t>
      </w:r>
      <w:r>
        <w:rPr>
          <w:color w:val="231F1F"/>
          <w:w w:val="105"/>
        </w:rPr>
        <w:t>neuroaxiales</w:t>
      </w:r>
      <w:r>
        <w:rPr>
          <w:color w:val="231F1F"/>
          <w:spacing w:val="-11"/>
          <w:w w:val="105"/>
        </w:rPr>
        <w:t> </w:t>
      </w:r>
      <w:r>
        <w:rPr>
          <w:color w:val="231F1F"/>
          <w:w w:val="105"/>
        </w:rPr>
        <w:t>(ej.:</w:t>
      </w:r>
      <w:r>
        <w:rPr>
          <w:color w:val="231F1F"/>
          <w:spacing w:val="-11"/>
          <w:w w:val="105"/>
        </w:rPr>
        <w:t> </w:t>
      </w:r>
      <w:r>
        <w:rPr>
          <w:color w:val="231F1F"/>
          <w:w w:val="105"/>
        </w:rPr>
        <w:t>bupivacaína)</w:t>
      </w:r>
      <w:r>
        <w:rPr>
          <w:color w:val="231F1F"/>
          <w:spacing w:val="-11"/>
          <w:w w:val="105"/>
        </w:rPr>
        <w:t> </w:t>
      </w:r>
      <w:r>
        <w:rPr>
          <w:color w:val="231F1F"/>
          <w:w w:val="105"/>
        </w:rPr>
        <w:t>en</w:t>
      </w:r>
      <w:r>
        <w:rPr>
          <w:color w:val="231F1F"/>
          <w:spacing w:val="-10"/>
          <w:w w:val="105"/>
        </w:rPr>
        <w:t> </w:t>
      </w:r>
      <w:r>
        <w:rPr>
          <w:color w:val="231F1F"/>
          <w:w w:val="105"/>
        </w:rPr>
        <w:t>una</w:t>
      </w:r>
      <w:r>
        <w:rPr>
          <w:color w:val="231F1F"/>
          <w:spacing w:val="-11"/>
          <w:w w:val="105"/>
        </w:rPr>
        <w:t> </w:t>
      </w:r>
      <w:r>
        <w:rPr>
          <w:color w:val="231F1F"/>
          <w:w w:val="105"/>
        </w:rPr>
        <w:t>concentración</w:t>
      </w:r>
      <w:r>
        <w:rPr>
          <w:color w:val="231F1F"/>
          <w:spacing w:val="-10"/>
          <w:w w:val="105"/>
        </w:rPr>
        <w:t> </w:t>
      </w:r>
      <w:r>
        <w:rPr>
          <w:color w:val="231F1F"/>
          <w:w w:val="105"/>
        </w:rPr>
        <w:t>&lt;</w:t>
      </w:r>
      <w:r>
        <w:rPr>
          <w:color w:val="231F1F"/>
          <w:spacing w:val="-10"/>
          <w:w w:val="105"/>
        </w:rPr>
        <w:t> </w:t>
      </w:r>
      <w:r>
        <w:rPr>
          <w:color w:val="231F1F"/>
          <w:w w:val="105"/>
        </w:rPr>
        <w:t>0.25%, generalmente asociado a opioides. La cual se puede instaurar como epidural o como com- binada (intradural-epidural).</w:t>
      </w:r>
    </w:p>
    <w:p>
      <w:pPr>
        <w:spacing w:line="244" w:lineRule="auto" w:before="148"/>
        <w:ind w:left="283" w:right="125" w:firstLine="453"/>
        <w:jc w:val="both"/>
        <w:rPr>
          <w:sz w:val="22"/>
        </w:rPr>
      </w:pPr>
      <w:r>
        <w:rPr>
          <w:b/>
          <w:color w:val="231F1F"/>
          <w:w w:val="105"/>
          <w:sz w:val="22"/>
        </w:rPr>
        <w:t>Régimen tradicional </w:t>
      </w:r>
      <w:r>
        <w:rPr>
          <w:color w:val="231F1F"/>
          <w:w w:val="105"/>
          <w:sz w:val="22"/>
        </w:rPr>
        <w:t>(régimen a </w:t>
      </w:r>
      <w:r>
        <w:rPr>
          <w:b/>
          <w:color w:val="231F1F"/>
          <w:w w:val="105"/>
          <w:sz w:val="22"/>
        </w:rPr>
        <w:t>altas dosis</w:t>
      </w:r>
      <w:r>
        <w:rPr>
          <w:color w:val="231F1F"/>
          <w:w w:val="105"/>
          <w:sz w:val="22"/>
        </w:rPr>
        <w:t>): Analgesia realizada con anestésicos lo- cales (ej.: bupivacaína) en una concentración ≥0.25%.</w:t>
      </w:r>
    </w:p>
    <w:p>
      <w:pPr>
        <w:pStyle w:val="BodyText"/>
        <w:spacing w:line="244" w:lineRule="auto" w:before="165"/>
        <w:ind w:left="283" w:right="124" w:firstLine="453"/>
        <w:jc w:val="both"/>
      </w:pPr>
      <w:r>
        <w:rPr>
          <w:b/>
          <w:color w:val="231F1F"/>
          <w:w w:val="105"/>
        </w:rPr>
        <w:t>Retraso diagnóstico</w:t>
      </w:r>
      <w:r>
        <w:rPr>
          <w:color w:val="231F1F"/>
          <w:w w:val="105"/>
        </w:rPr>
        <w:t>: Posibilidad de que pase desapercibida una atresia (rectal o eso- fágica)</w:t>
      </w:r>
      <w:r>
        <w:rPr>
          <w:color w:val="231F1F"/>
          <w:spacing w:val="40"/>
          <w:w w:val="105"/>
        </w:rPr>
        <w:t> </w:t>
      </w:r>
      <w:r>
        <w:rPr>
          <w:color w:val="231F1F"/>
          <w:w w:val="105"/>
        </w:rPr>
        <w:t>produciéndose</w:t>
      </w:r>
      <w:r>
        <w:rPr>
          <w:color w:val="231F1F"/>
          <w:spacing w:val="40"/>
          <w:w w:val="105"/>
        </w:rPr>
        <w:t> </w:t>
      </w:r>
      <w:r>
        <w:rPr>
          <w:color w:val="231F1F"/>
          <w:w w:val="105"/>
        </w:rPr>
        <w:t>un</w:t>
      </w:r>
      <w:r>
        <w:rPr>
          <w:color w:val="231F1F"/>
          <w:spacing w:val="40"/>
          <w:w w:val="105"/>
        </w:rPr>
        <w:t> </w:t>
      </w:r>
      <w:r>
        <w:rPr>
          <w:color w:val="231F1F"/>
          <w:w w:val="105"/>
        </w:rPr>
        <w:t>retraso</w:t>
      </w:r>
      <w:r>
        <w:rPr>
          <w:color w:val="231F1F"/>
          <w:spacing w:val="40"/>
          <w:w w:val="105"/>
        </w:rPr>
        <w:t> </w:t>
      </w:r>
      <w:r>
        <w:rPr>
          <w:color w:val="231F1F"/>
          <w:w w:val="105"/>
        </w:rPr>
        <w:t>indebido</w:t>
      </w:r>
      <w:r>
        <w:rPr>
          <w:color w:val="231F1F"/>
          <w:spacing w:val="40"/>
          <w:w w:val="105"/>
        </w:rPr>
        <w:t> </w:t>
      </w:r>
      <w:r>
        <w:rPr>
          <w:color w:val="231F1F"/>
          <w:w w:val="105"/>
        </w:rPr>
        <w:t>en</w:t>
      </w:r>
      <w:r>
        <w:rPr>
          <w:color w:val="231F1F"/>
          <w:spacing w:val="40"/>
          <w:w w:val="105"/>
        </w:rPr>
        <w:t> </w:t>
      </w:r>
      <w:r>
        <w:rPr>
          <w:color w:val="231F1F"/>
          <w:w w:val="105"/>
        </w:rPr>
        <w:t>su</w:t>
      </w:r>
      <w:r>
        <w:rPr>
          <w:color w:val="231F1F"/>
          <w:spacing w:val="40"/>
          <w:w w:val="105"/>
        </w:rPr>
        <w:t> </w:t>
      </w:r>
      <w:r>
        <w:rPr>
          <w:color w:val="231F1F"/>
          <w:w w:val="105"/>
        </w:rPr>
        <w:t>tratamiento.</w:t>
      </w:r>
    </w:p>
    <w:p>
      <w:pPr>
        <w:pStyle w:val="BodyText"/>
        <w:spacing w:line="244" w:lineRule="auto" w:before="151"/>
        <w:ind w:left="283" w:right="122" w:firstLine="453"/>
        <w:jc w:val="both"/>
      </w:pPr>
      <w:r>
        <w:rPr>
          <w:b/>
          <w:color w:val="231F1F"/>
          <w:w w:val="110"/>
        </w:rPr>
        <w:t>Revisión</w:t>
      </w:r>
      <w:r>
        <w:rPr>
          <w:b/>
          <w:color w:val="231F1F"/>
          <w:spacing w:val="-7"/>
          <w:w w:val="110"/>
        </w:rPr>
        <w:t> </w:t>
      </w:r>
      <w:r>
        <w:rPr>
          <w:b/>
          <w:color w:val="231F1F"/>
          <w:w w:val="110"/>
        </w:rPr>
        <w:t>sistemática</w:t>
      </w:r>
      <w:r>
        <w:rPr>
          <w:b/>
          <w:color w:val="231F1F"/>
          <w:spacing w:val="-8"/>
          <w:w w:val="110"/>
        </w:rPr>
        <w:t> </w:t>
      </w:r>
      <w:r>
        <w:rPr>
          <w:b/>
          <w:color w:val="231F1F"/>
          <w:w w:val="110"/>
        </w:rPr>
        <w:t>(RS):</w:t>
      </w:r>
      <w:r>
        <w:rPr>
          <w:b/>
          <w:color w:val="231F1F"/>
          <w:spacing w:val="-7"/>
          <w:w w:val="110"/>
        </w:rPr>
        <w:t> </w:t>
      </w:r>
      <w:r>
        <w:rPr>
          <w:color w:val="231F1F"/>
          <w:w w:val="110"/>
        </w:rPr>
        <w:t>Es</w:t>
      </w:r>
      <w:r>
        <w:rPr>
          <w:color w:val="231F1F"/>
          <w:spacing w:val="-7"/>
          <w:w w:val="110"/>
        </w:rPr>
        <w:t> </w:t>
      </w:r>
      <w:r>
        <w:rPr>
          <w:color w:val="231F1F"/>
          <w:w w:val="110"/>
        </w:rPr>
        <w:t>una</w:t>
      </w:r>
      <w:r>
        <w:rPr>
          <w:color w:val="231F1F"/>
          <w:spacing w:val="-7"/>
          <w:w w:val="110"/>
        </w:rPr>
        <w:t> </w:t>
      </w:r>
      <w:r>
        <w:rPr>
          <w:color w:val="231F1F"/>
          <w:w w:val="110"/>
        </w:rPr>
        <w:t>revisión</w:t>
      </w:r>
      <w:r>
        <w:rPr>
          <w:color w:val="231F1F"/>
          <w:spacing w:val="-7"/>
          <w:w w:val="110"/>
        </w:rPr>
        <w:t> </w:t>
      </w:r>
      <w:r>
        <w:rPr>
          <w:color w:val="231F1F"/>
          <w:w w:val="110"/>
        </w:rPr>
        <w:t>en</w:t>
      </w:r>
      <w:r>
        <w:rPr>
          <w:color w:val="231F1F"/>
          <w:spacing w:val="-7"/>
          <w:w w:val="110"/>
        </w:rPr>
        <w:t> </w:t>
      </w:r>
      <w:r>
        <w:rPr>
          <w:color w:val="231F1F"/>
          <w:w w:val="110"/>
        </w:rPr>
        <w:t>la</w:t>
      </w:r>
      <w:r>
        <w:rPr>
          <w:color w:val="231F1F"/>
          <w:spacing w:val="-7"/>
          <w:w w:val="110"/>
        </w:rPr>
        <w:t> </w:t>
      </w:r>
      <w:r>
        <w:rPr>
          <w:color w:val="231F1F"/>
          <w:w w:val="110"/>
        </w:rPr>
        <w:t>que</w:t>
      </w:r>
      <w:r>
        <w:rPr>
          <w:color w:val="231F1F"/>
          <w:spacing w:val="-7"/>
          <w:w w:val="110"/>
        </w:rPr>
        <w:t> </w:t>
      </w:r>
      <w:r>
        <w:rPr>
          <w:color w:val="231F1F"/>
          <w:w w:val="110"/>
        </w:rPr>
        <w:t>la</w:t>
      </w:r>
      <w:r>
        <w:rPr>
          <w:color w:val="231F1F"/>
          <w:spacing w:val="-7"/>
          <w:w w:val="110"/>
        </w:rPr>
        <w:t> </w:t>
      </w:r>
      <w:r>
        <w:rPr>
          <w:color w:val="231F1F"/>
          <w:w w:val="110"/>
        </w:rPr>
        <w:t>evidencia</w:t>
      </w:r>
      <w:r>
        <w:rPr>
          <w:color w:val="231F1F"/>
          <w:spacing w:val="-7"/>
          <w:w w:val="110"/>
        </w:rPr>
        <w:t> </w:t>
      </w:r>
      <w:r>
        <w:rPr>
          <w:color w:val="231F1F"/>
          <w:w w:val="110"/>
        </w:rPr>
        <w:t>sobre</w:t>
      </w:r>
      <w:r>
        <w:rPr>
          <w:color w:val="231F1F"/>
          <w:spacing w:val="-7"/>
          <w:w w:val="110"/>
        </w:rPr>
        <w:t> </w:t>
      </w:r>
      <w:r>
        <w:rPr>
          <w:color w:val="231F1F"/>
          <w:w w:val="110"/>
        </w:rPr>
        <w:t>un</w:t>
      </w:r>
      <w:r>
        <w:rPr>
          <w:color w:val="231F1F"/>
          <w:spacing w:val="-7"/>
          <w:w w:val="110"/>
        </w:rPr>
        <w:t> </w:t>
      </w:r>
      <w:r>
        <w:rPr>
          <w:color w:val="231F1F"/>
          <w:w w:val="110"/>
        </w:rPr>
        <w:t>tema</w:t>
      </w:r>
      <w:r>
        <w:rPr>
          <w:color w:val="231F1F"/>
          <w:spacing w:val="-7"/>
          <w:w w:val="110"/>
        </w:rPr>
        <w:t> </w:t>
      </w:r>
      <w:r>
        <w:rPr>
          <w:color w:val="231F1F"/>
          <w:w w:val="110"/>
        </w:rPr>
        <w:t>ha sido</w:t>
      </w:r>
      <w:r>
        <w:rPr>
          <w:color w:val="231F1F"/>
          <w:spacing w:val="-7"/>
          <w:w w:val="110"/>
        </w:rPr>
        <w:t> </w:t>
      </w:r>
      <w:r>
        <w:rPr>
          <w:color w:val="231F1F"/>
          <w:w w:val="110"/>
        </w:rPr>
        <w:t>sistemáticamente</w:t>
      </w:r>
      <w:r>
        <w:rPr>
          <w:color w:val="231F1F"/>
          <w:spacing w:val="-8"/>
          <w:w w:val="110"/>
        </w:rPr>
        <w:t> </w:t>
      </w:r>
      <w:r>
        <w:rPr>
          <w:color w:val="231F1F"/>
          <w:w w:val="110"/>
        </w:rPr>
        <w:t>identificada,</w:t>
      </w:r>
      <w:r>
        <w:rPr>
          <w:color w:val="231F1F"/>
          <w:spacing w:val="-7"/>
          <w:w w:val="110"/>
        </w:rPr>
        <w:t> </w:t>
      </w:r>
      <w:r>
        <w:rPr>
          <w:color w:val="231F1F"/>
          <w:w w:val="110"/>
        </w:rPr>
        <w:t>evaluada</w:t>
      </w:r>
      <w:r>
        <w:rPr>
          <w:color w:val="231F1F"/>
          <w:spacing w:val="-7"/>
          <w:w w:val="110"/>
        </w:rPr>
        <w:t> </w:t>
      </w:r>
      <w:r>
        <w:rPr>
          <w:color w:val="231F1F"/>
          <w:w w:val="110"/>
        </w:rPr>
        <w:t>y</w:t>
      </w:r>
      <w:r>
        <w:rPr>
          <w:color w:val="231F1F"/>
          <w:spacing w:val="-7"/>
          <w:w w:val="110"/>
        </w:rPr>
        <w:t> </w:t>
      </w:r>
      <w:r>
        <w:rPr>
          <w:color w:val="231F1F"/>
          <w:w w:val="110"/>
        </w:rPr>
        <w:t>resumida</w:t>
      </w:r>
      <w:r>
        <w:rPr>
          <w:color w:val="231F1F"/>
          <w:spacing w:val="-7"/>
          <w:w w:val="110"/>
        </w:rPr>
        <w:t> </w:t>
      </w:r>
      <w:r>
        <w:rPr>
          <w:color w:val="231F1F"/>
          <w:w w:val="110"/>
        </w:rPr>
        <w:t>de</w:t>
      </w:r>
      <w:r>
        <w:rPr>
          <w:color w:val="231F1F"/>
          <w:spacing w:val="-7"/>
          <w:w w:val="110"/>
        </w:rPr>
        <w:t> </w:t>
      </w:r>
      <w:r>
        <w:rPr>
          <w:color w:val="231F1F"/>
          <w:w w:val="110"/>
        </w:rPr>
        <w:t>acuerdo</w:t>
      </w:r>
      <w:r>
        <w:rPr>
          <w:color w:val="231F1F"/>
          <w:spacing w:val="-6"/>
          <w:w w:val="110"/>
        </w:rPr>
        <w:t> </w:t>
      </w:r>
      <w:r>
        <w:rPr>
          <w:color w:val="231F1F"/>
          <w:w w:val="110"/>
        </w:rPr>
        <w:t>a</w:t>
      </w:r>
      <w:r>
        <w:rPr>
          <w:color w:val="231F1F"/>
          <w:spacing w:val="-7"/>
          <w:w w:val="110"/>
        </w:rPr>
        <w:t> </w:t>
      </w:r>
      <w:r>
        <w:rPr>
          <w:color w:val="231F1F"/>
          <w:w w:val="110"/>
        </w:rPr>
        <w:t>unos</w:t>
      </w:r>
      <w:r>
        <w:rPr>
          <w:color w:val="231F1F"/>
          <w:spacing w:val="-7"/>
          <w:w w:val="110"/>
        </w:rPr>
        <w:t> </w:t>
      </w:r>
      <w:r>
        <w:rPr>
          <w:color w:val="231F1F"/>
          <w:w w:val="110"/>
        </w:rPr>
        <w:t>criterios</w:t>
      </w:r>
      <w:r>
        <w:rPr>
          <w:color w:val="231F1F"/>
          <w:spacing w:val="-7"/>
          <w:w w:val="110"/>
        </w:rPr>
        <w:t> </w:t>
      </w:r>
      <w:r>
        <w:rPr>
          <w:color w:val="231F1F"/>
          <w:w w:val="110"/>
        </w:rPr>
        <w:t>pre- determinados. Puede incluir o no el metaanálisis.</w:t>
      </w:r>
    </w:p>
    <w:p>
      <w:pPr>
        <w:spacing w:before="172"/>
        <w:ind w:left="736" w:right="0" w:firstLine="0"/>
        <w:jc w:val="left"/>
        <w:rPr>
          <w:sz w:val="22"/>
        </w:rPr>
      </w:pPr>
      <w:r>
        <w:rPr>
          <w:b/>
          <w:color w:val="231F1F"/>
          <w:sz w:val="22"/>
        </w:rPr>
        <w:t>Series</w:t>
      </w:r>
      <w:r>
        <w:rPr>
          <w:b/>
          <w:color w:val="231F1F"/>
          <w:spacing w:val="12"/>
          <w:sz w:val="22"/>
        </w:rPr>
        <w:t> </w:t>
      </w:r>
      <w:r>
        <w:rPr>
          <w:b/>
          <w:color w:val="231F1F"/>
          <w:sz w:val="22"/>
        </w:rPr>
        <w:t>de</w:t>
      </w:r>
      <w:r>
        <w:rPr>
          <w:b/>
          <w:color w:val="231F1F"/>
          <w:spacing w:val="15"/>
          <w:sz w:val="22"/>
        </w:rPr>
        <w:t> </w:t>
      </w:r>
      <w:r>
        <w:rPr>
          <w:b/>
          <w:color w:val="231F1F"/>
          <w:sz w:val="22"/>
        </w:rPr>
        <w:t>Casos:</w:t>
      </w:r>
      <w:r>
        <w:rPr>
          <w:b/>
          <w:color w:val="231F1F"/>
          <w:spacing w:val="17"/>
          <w:sz w:val="22"/>
        </w:rPr>
        <w:t> </w:t>
      </w:r>
      <w:r>
        <w:rPr>
          <w:color w:val="231F1F"/>
          <w:sz w:val="22"/>
        </w:rPr>
        <w:t>Análisis</w:t>
      </w:r>
      <w:r>
        <w:rPr>
          <w:color w:val="231F1F"/>
          <w:spacing w:val="14"/>
          <w:sz w:val="22"/>
        </w:rPr>
        <w:t> </w:t>
      </w:r>
      <w:r>
        <w:rPr>
          <w:color w:val="231F1F"/>
          <w:sz w:val="22"/>
        </w:rPr>
        <w:t>de</w:t>
      </w:r>
      <w:r>
        <w:rPr>
          <w:color w:val="231F1F"/>
          <w:spacing w:val="17"/>
          <w:sz w:val="22"/>
        </w:rPr>
        <w:t> </w:t>
      </w:r>
      <w:r>
        <w:rPr>
          <w:color w:val="231F1F"/>
          <w:sz w:val="22"/>
        </w:rPr>
        <w:t>series</w:t>
      </w:r>
      <w:r>
        <w:rPr>
          <w:color w:val="231F1F"/>
          <w:spacing w:val="15"/>
          <w:sz w:val="22"/>
        </w:rPr>
        <w:t> </w:t>
      </w:r>
      <w:r>
        <w:rPr>
          <w:color w:val="231F1F"/>
          <w:sz w:val="22"/>
        </w:rPr>
        <w:t>de</w:t>
      </w:r>
      <w:r>
        <w:rPr>
          <w:color w:val="231F1F"/>
          <w:spacing w:val="14"/>
          <w:sz w:val="22"/>
        </w:rPr>
        <w:t> </w:t>
      </w:r>
      <w:r>
        <w:rPr>
          <w:color w:val="231F1F"/>
          <w:sz w:val="22"/>
        </w:rPr>
        <w:t>pacientes</w:t>
      </w:r>
      <w:r>
        <w:rPr>
          <w:color w:val="231F1F"/>
          <w:spacing w:val="17"/>
          <w:sz w:val="22"/>
        </w:rPr>
        <w:t> </w:t>
      </w:r>
      <w:r>
        <w:rPr>
          <w:color w:val="231F1F"/>
          <w:sz w:val="22"/>
        </w:rPr>
        <w:t>con</w:t>
      </w:r>
      <w:r>
        <w:rPr>
          <w:color w:val="231F1F"/>
          <w:spacing w:val="15"/>
          <w:sz w:val="22"/>
        </w:rPr>
        <w:t> </w:t>
      </w:r>
      <w:r>
        <w:rPr>
          <w:color w:val="231F1F"/>
          <w:sz w:val="22"/>
        </w:rPr>
        <w:t>la</w:t>
      </w:r>
      <w:r>
        <w:rPr>
          <w:color w:val="231F1F"/>
          <w:spacing w:val="17"/>
          <w:sz w:val="22"/>
        </w:rPr>
        <w:t> </w:t>
      </w:r>
      <w:r>
        <w:rPr>
          <w:color w:val="231F1F"/>
          <w:spacing w:val="-2"/>
          <w:sz w:val="22"/>
        </w:rPr>
        <w:t>enfermedad.</w:t>
      </w:r>
    </w:p>
    <w:p>
      <w:pPr>
        <w:spacing w:line="244" w:lineRule="auto" w:before="160"/>
        <w:ind w:left="283" w:right="116" w:firstLine="453"/>
        <w:jc w:val="both"/>
        <w:rPr>
          <w:sz w:val="22"/>
        </w:rPr>
      </w:pPr>
      <w:r>
        <w:rPr>
          <w:b/>
          <w:color w:val="231F1F"/>
          <w:w w:val="105"/>
          <w:sz w:val="22"/>
        </w:rPr>
        <w:t>SIGN</w:t>
      </w:r>
      <w:r>
        <w:rPr>
          <w:b/>
          <w:color w:val="231F1F"/>
          <w:spacing w:val="-5"/>
          <w:w w:val="105"/>
          <w:sz w:val="22"/>
        </w:rPr>
        <w:t> </w:t>
      </w:r>
      <w:r>
        <w:rPr>
          <w:b/>
          <w:color w:val="231F1F"/>
          <w:w w:val="105"/>
          <w:sz w:val="22"/>
        </w:rPr>
        <w:t>(Scottish</w:t>
      </w:r>
      <w:r>
        <w:rPr>
          <w:b/>
          <w:color w:val="231F1F"/>
          <w:spacing w:val="-5"/>
          <w:w w:val="105"/>
          <w:sz w:val="22"/>
        </w:rPr>
        <w:t> </w:t>
      </w:r>
      <w:r>
        <w:rPr>
          <w:b/>
          <w:color w:val="231F1F"/>
          <w:w w:val="105"/>
          <w:sz w:val="22"/>
        </w:rPr>
        <w:t>Intercollegiate</w:t>
      </w:r>
      <w:r>
        <w:rPr>
          <w:b/>
          <w:color w:val="231F1F"/>
          <w:spacing w:val="-6"/>
          <w:w w:val="105"/>
          <w:sz w:val="22"/>
        </w:rPr>
        <w:t> </w:t>
      </w:r>
      <w:r>
        <w:rPr>
          <w:b/>
          <w:color w:val="231F1F"/>
          <w:w w:val="105"/>
          <w:sz w:val="22"/>
        </w:rPr>
        <w:t>Guidelines</w:t>
      </w:r>
      <w:r>
        <w:rPr>
          <w:b/>
          <w:color w:val="231F1F"/>
          <w:spacing w:val="-5"/>
          <w:w w:val="105"/>
          <w:sz w:val="22"/>
        </w:rPr>
        <w:t> </w:t>
      </w:r>
      <w:r>
        <w:rPr>
          <w:b/>
          <w:color w:val="231F1F"/>
          <w:w w:val="105"/>
          <w:sz w:val="22"/>
        </w:rPr>
        <w:t>Network)</w:t>
      </w:r>
      <w:r>
        <w:rPr>
          <w:color w:val="231F1F"/>
          <w:w w:val="105"/>
          <w:sz w:val="22"/>
        </w:rPr>
        <w:t>:</w:t>
      </w:r>
      <w:r>
        <w:rPr>
          <w:color w:val="231F1F"/>
          <w:spacing w:val="-5"/>
          <w:w w:val="105"/>
          <w:sz w:val="22"/>
        </w:rPr>
        <w:t> </w:t>
      </w:r>
      <w:r>
        <w:rPr>
          <w:color w:val="231F1F"/>
          <w:w w:val="105"/>
          <w:sz w:val="22"/>
        </w:rPr>
        <w:t>Agencia</w:t>
      </w:r>
      <w:r>
        <w:rPr>
          <w:color w:val="231F1F"/>
          <w:spacing w:val="-5"/>
          <w:w w:val="105"/>
          <w:sz w:val="22"/>
        </w:rPr>
        <w:t> </w:t>
      </w:r>
      <w:r>
        <w:rPr>
          <w:color w:val="231F1F"/>
          <w:w w:val="105"/>
          <w:sz w:val="22"/>
        </w:rPr>
        <w:t>escocesa</w:t>
      </w:r>
      <w:r>
        <w:rPr>
          <w:color w:val="231F1F"/>
          <w:spacing w:val="-5"/>
          <w:w w:val="105"/>
          <w:sz w:val="22"/>
        </w:rPr>
        <w:t> </w:t>
      </w:r>
      <w:r>
        <w:rPr>
          <w:color w:val="231F1F"/>
          <w:w w:val="105"/>
          <w:sz w:val="22"/>
        </w:rPr>
        <w:t>mutidiscipli- naria</w:t>
      </w:r>
      <w:r>
        <w:rPr>
          <w:color w:val="231F1F"/>
          <w:w w:val="105"/>
          <w:sz w:val="22"/>
        </w:rPr>
        <w:t> que</w:t>
      </w:r>
      <w:r>
        <w:rPr>
          <w:color w:val="231F1F"/>
          <w:w w:val="105"/>
          <w:sz w:val="22"/>
        </w:rPr>
        <w:t> elabora</w:t>
      </w:r>
      <w:r>
        <w:rPr>
          <w:color w:val="231F1F"/>
          <w:w w:val="105"/>
          <w:sz w:val="22"/>
        </w:rPr>
        <w:t> guías</w:t>
      </w:r>
      <w:r>
        <w:rPr>
          <w:color w:val="231F1F"/>
          <w:w w:val="105"/>
          <w:sz w:val="22"/>
        </w:rPr>
        <w:t> de</w:t>
      </w:r>
      <w:r>
        <w:rPr>
          <w:color w:val="231F1F"/>
          <w:w w:val="105"/>
          <w:sz w:val="22"/>
        </w:rPr>
        <w:t> práctica</w:t>
      </w:r>
      <w:r>
        <w:rPr>
          <w:color w:val="231F1F"/>
          <w:w w:val="105"/>
          <w:sz w:val="22"/>
        </w:rPr>
        <w:t> clínica</w:t>
      </w:r>
      <w:r>
        <w:rPr>
          <w:color w:val="231F1F"/>
          <w:w w:val="105"/>
          <w:sz w:val="22"/>
        </w:rPr>
        <w:t> basadas</w:t>
      </w:r>
      <w:r>
        <w:rPr>
          <w:color w:val="231F1F"/>
          <w:w w:val="105"/>
          <w:sz w:val="22"/>
        </w:rPr>
        <w:t> en</w:t>
      </w:r>
      <w:r>
        <w:rPr>
          <w:color w:val="231F1F"/>
          <w:w w:val="105"/>
          <w:sz w:val="22"/>
        </w:rPr>
        <w:t> la</w:t>
      </w:r>
      <w:r>
        <w:rPr>
          <w:color w:val="231F1F"/>
          <w:w w:val="105"/>
          <w:sz w:val="22"/>
        </w:rPr>
        <w:t> evidencia</w:t>
      </w:r>
      <w:r>
        <w:rPr>
          <w:color w:val="231F1F"/>
          <w:w w:val="105"/>
          <w:sz w:val="22"/>
        </w:rPr>
        <w:t> así</w:t>
      </w:r>
      <w:r>
        <w:rPr>
          <w:color w:val="231F1F"/>
          <w:w w:val="105"/>
          <w:sz w:val="22"/>
        </w:rPr>
        <w:t> como</w:t>
      </w:r>
      <w:r>
        <w:rPr>
          <w:color w:val="231F1F"/>
          <w:w w:val="105"/>
          <w:sz w:val="22"/>
        </w:rPr>
        <w:t> documentos metodológicos sobre el diseño de las mismas</w:t>
      </w:r>
    </w:p>
    <w:p>
      <w:pPr>
        <w:spacing w:before="162"/>
        <w:ind w:left="736" w:right="0" w:firstLine="0"/>
        <w:jc w:val="left"/>
        <w:rPr>
          <w:sz w:val="22"/>
        </w:rPr>
      </w:pPr>
      <w:r>
        <w:rPr>
          <w:b/>
          <w:color w:val="231F1F"/>
          <w:sz w:val="22"/>
        </w:rPr>
        <w:t>Soluciones</w:t>
      </w:r>
      <w:r>
        <w:rPr>
          <w:b/>
          <w:color w:val="231F1F"/>
          <w:spacing w:val="13"/>
          <w:sz w:val="22"/>
        </w:rPr>
        <w:t> </w:t>
      </w:r>
      <w:r>
        <w:rPr>
          <w:b/>
          <w:color w:val="231F1F"/>
          <w:sz w:val="22"/>
        </w:rPr>
        <w:t>de</w:t>
      </w:r>
      <w:r>
        <w:rPr>
          <w:b/>
          <w:color w:val="231F1F"/>
          <w:spacing w:val="14"/>
          <w:sz w:val="22"/>
        </w:rPr>
        <w:t> </w:t>
      </w:r>
      <w:r>
        <w:rPr>
          <w:b/>
          <w:color w:val="231F1F"/>
          <w:sz w:val="22"/>
        </w:rPr>
        <w:t>carbohidratos</w:t>
      </w:r>
      <w:r>
        <w:rPr>
          <w:color w:val="231F1F"/>
          <w:sz w:val="22"/>
        </w:rPr>
        <w:t>:</w:t>
      </w:r>
      <w:r>
        <w:rPr>
          <w:color w:val="231F1F"/>
          <w:spacing w:val="16"/>
          <w:sz w:val="22"/>
        </w:rPr>
        <w:t> </w:t>
      </w:r>
      <w:r>
        <w:rPr>
          <w:color w:val="231F1F"/>
          <w:sz w:val="22"/>
        </w:rPr>
        <w:t>En</w:t>
      </w:r>
      <w:r>
        <w:rPr>
          <w:color w:val="231F1F"/>
          <w:spacing w:val="15"/>
          <w:sz w:val="22"/>
        </w:rPr>
        <w:t> </w:t>
      </w:r>
      <w:r>
        <w:rPr>
          <w:color w:val="231F1F"/>
          <w:sz w:val="22"/>
        </w:rPr>
        <w:t>general,</w:t>
      </w:r>
      <w:r>
        <w:rPr>
          <w:color w:val="231F1F"/>
          <w:spacing w:val="16"/>
          <w:sz w:val="22"/>
        </w:rPr>
        <w:t> </w:t>
      </w:r>
      <w:r>
        <w:rPr>
          <w:color w:val="231F1F"/>
          <w:sz w:val="22"/>
        </w:rPr>
        <w:t>soluciones</w:t>
      </w:r>
      <w:r>
        <w:rPr>
          <w:color w:val="231F1F"/>
          <w:spacing w:val="15"/>
          <w:sz w:val="22"/>
        </w:rPr>
        <w:t> </w:t>
      </w:r>
      <w:r>
        <w:rPr>
          <w:color w:val="231F1F"/>
          <w:spacing w:val="-2"/>
          <w:sz w:val="22"/>
        </w:rPr>
        <w:t>azucaradas.</w:t>
      </w:r>
    </w:p>
    <w:p>
      <w:pPr>
        <w:pStyle w:val="BodyText"/>
        <w:spacing w:before="159"/>
        <w:ind w:left="736"/>
      </w:pPr>
      <w:r>
        <w:rPr>
          <w:b/>
          <w:color w:val="231F1F"/>
          <w:w w:val="105"/>
        </w:rPr>
        <w:t>STAN</w:t>
      </w:r>
      <w:r>
        <w:rPr>
          <w:color w:val="231F1F"/>
          <w:w w:val="105"/>
        </w:rPr>
        <w:t>:</w:t>
      </w:r>
      <w:r>
        <w:rPr>
          <w:color w:val="231F1F"/>
          <w:spacing w:val="-3"/>
          <w:w w:val="105"/>
        </w:rPr>
        <w:t> </w:t>
      </w:r>
      <w:r>
        <w:rPr>
          <w:color w:val="231F1F"/>
          <w:w w:val="105"/>
        </w:rPr>
        <w:t>Análisis</w:t>
      </w:r>
      <w:r>
        <w:rPr>
          <w:color w:val="231F1F"/>
          <w:spacing w:val="2"/>
          <w:w w:val="105"/>
        </w:rPr>
        <w:t> </w:t>
      </w:r>
      <w:r>
        <w:rPr>
          <w:color w:val="231F1F"/>
          <w:w w:val="105"/>
        </w:rPr>
        <w:t>del</w:t>
      </w:r>
      <w:r>
        <w:rPr>
          <w:color w:val="231F1F"/>
          <w:spacing w:val="-2"/>
          <w:w w:val="105"/>
        </w:rPr>
        <w:t> </w:t>
      </w:r>
      <w:r>
        <w:rPr>
          <w:color w:val="231F1F"/>
          <w:w w:val="105"/>
        </w:rPr>
        <w:t>segmento</w:t>
      </w:r>
      <w:r>
        <w:rPr>
          <w:color w:val="231F1F"/>
          <w:spacing w:val="-1"/>
          <w:w w:val="105"/>
        </w:rPr>
        <w:t> </w:t>
      </w:r>
      <w:r>
        <w:rPr>
          <w:color w:val="231F1F"/>
          <w:w w:val="105"/>
        </w:rPr>
        <w:t>ST del electrocardiograma </w:t>
      </w:r>
      <w:r>
        <w:rPr>
          <w:color w:val="231F1F"/>
          <w:spacing w:val="-2"/>
          <w:w w:val="105"/>
        </w:rPr>
        <w:t>fetal.</w:t>
      </w:r>
    </w:p>
    <w:p>
      <w:pPr>
        <w:pStyle w:val="BodyText"/>
        <w:spacing w:line="252" w:lineRule="auto" w:before="160"/>
        <w:ind w:left="283" w:right="120" w:firstLine="453"/>
        <w:jc w:val="both"/>
      </w:pPr>
      <w:r>
        <w:rPr>
          <w:b/>
          <w:color w:val="231F1F"/>
          <w:w w:val="105"/>
        </w:rPr>
        <w:t>TENS:</w:t>
      </w:r>
      <w:r>
        <w:rPr>
          <w:b/>
          <w:color w:val="231F1F"/>
          <w:w w:val="105"/>
        </w:rPr>
        <w:t> </w:t>
      </w:r>
      <w:r>
        <w:rPr>
          <w:color w:val="231F1F"/>
          <w:w w:val="105"/>
        </w:rPr>
        <w:t>La</w:t>
      </w:r>
      <w:r>
        <w:rPr>
          <w:color w:val="231F1F"/>
          <w:w w:val="105"/>
        </w:rPr>
        <w:t> estimulación</w:t>
      </w:r>
      <w:r>
        <w:rPr>
          <w:color w:val="231F1F"/>
          <w:w w:val="105"/>
        </w:rPr>
        <w:t> eléctrica</w:t>
      </w:r>
      <w:r>
        <w:rPr>
          <w:color w:val="231F1F"/>
          <w:w w:val="105"/>
        </w:rPr>
        <w:t> nerviosa</w:t>
      </w:r>
      <w:r>
        <w:rPr>
          <w:color w:val="231F1F"/>
          <w:w w:val="105"/>
        </w:rPr>
        <w:t> transcutánea</w:t>
      </w:r>
      <w:r>
        <w:rPr>
          <w:color w:val="231F1F"/>
          <w:w w:val="105"/>
        </w:rPr>
        <w:t> es</w:t>
      </w:r>
      <w:r>
        <w:rPr>
          <w:color w:val="231F1F"/>
          <w:w w:val="105"/>
        </w:rPr>
        <w:t> una</w:t>
      </w:r>
      <w:r>
        <w:rPr>
          <w:color w:val="231F1F"/>
          <w:w w:val="105"/>
        </w:rPr>
        <w:t> técnica</w:t>
      </w:r>
      <w:r>
        <w:rPr>
          <w:color w:val="231F1F"/>
          <w:w w:val="105"/>
        </w:rPr>
        <w:t> analgésica</w:t>
      </w:r>
      <w:r>
        <w:rPr>
          <w:color w:val="231F1F"/>
          <w:w w:val="105"/>
        </w:rPr>
        <w:t> no invasiva basada en la estimulación electrica de fibras nerviosas aferentes a traves de la piel mediante la aplicación de unos electrodos. Su modo de acción se basa en el freno del im- pulso doloroso en la médula espinal, la liberación de endorfinas, la participacion en meca-</w:t>
      </w:r>
    </w:p>
    <w:p>
      <w:pPr>
        <w:pStyle w:val="BodyText"/>
        <w:spacing w:after="0" w:line="252" w:lineRule="auto"/>
        <w:jc w:val="both"/>
        <w:sectPr>
          <w:pgSz w:w="11900" w:h="16840"/>
          <w:pgMar w:header="0" w:footer="622" w:top="1560" w:bottom="820" w:left="1417" w:right="1559"/>
        </w:sectPr>
      </w:pPr>
    </w:p>
    <w:p>
      <w:pPr>
        <w:pStyle w:val="BodyText"/>
        <w:spacing w:line="244" w:lineRule="auto" w:before="73"/>
        <w:ind w:left="283"/>
      </w:pPr>
      <w:r>
        <w:rPr>
          <w:color w:val="231F1F"/>
          <w:w w:val="110"/>
        </w:rPr>
        <w:t>nismos</w:t>
      </w:r>
      <w:r>
        <w:rPr>
          <w:color w:val="231F1F"/>
          <w:spacing w:val="-6"/>
          <w:w w:val="110"/>
        </w:rPr>
        <w:t> </w:t>
      </w:r>
      <w:r>
        <w:rPr>
          <w:color w:val="231F1F"/>
          <w:w w:val="110"/>
        </w:rPr>
        <w:t>centrales</w:t>
      </w:r>
      <w:r>
        <w:rPr>
          <w:color w:val="231F1F"/>
          <w:spacing w:val="-6"/>
          <w:w w:val="110"/>
        </w:rPr>
        <w:t> </w:t>
      </w:r>
      <w:r>
        <w:rPr>
          <w:color w:val="231F1F"/>
          <w:w w:val="110"/>
        </w:rPr>
        <w:t>y</w:t>
      </w:r>
      <w:r>
        <w:rPr>
          <w:color w:val="231F1F"/>
          <w:spacing w:val="-6"/>
          <w:w w:val="110"/>
        </w:rPr>
        <w:t> </w:t>
      </w:r>
      <w:r>
        <w:rPr>
          <w:color w:val="231F1F"/>
          <w:w w:val="110"/>
        </w:rPr>
        <w:t>el</w:t>
      </w:r>
      <w:r>
        <w:rPr>
          <w:color w:val="231F1F"/>
          <w:spacing w:val="-6"/>
          <w:w w:val="110"/>
        </w:rPr>
        <w:t> </w:t>
      </w:r>
      <w:r>
        <w:rPr>
          <w:color w:val="231F1F"/>
          <w:w w:val="110"/>
        </w:rPr>
        <w:t>bloqueo</w:t>
      </w:r>
      <w:r>
        <w:rPr>
          <w:color w:val="231F1F"/>
          <w:spacing w:val="-6"/>
          <w:w w:val="110"/>
        </w:rPr>
        <w:t> </w:t>
      </w:r>
      <w:r>
        <w:rPr>
          <w:color w:val="231F1F"/>
          <w:w w:val="110"/>
        </w:rPr>
        <w:t>nervioso</w:t>
      </w:r>
      <w:r>
        <w:rPr>
          <w:color w:val="231F1F"/>
          <w:spacing w:val="-6"/>
          <w:w w:val="110"/>
        </w:rPr>
        <w:t> </w:t>
      </w:r>
      <w:r>
        <w:rPr>
          <w:color w:val="231F1F"/>
          <w:w w:val="110"/>
        </w:rPr>
        <w:t>periférico.</w:t>
      </w:r>
      <w:r>
        <w:rPr>
          <w:color w:val="231F1F"/>
          <w:spacing w:val="-8"/>
          <w:w w:val="110"/>
        </w:rPr>
        <w:t> </w:t>
      </w:r>
      <w:r>
        <w:rPr>
          <w:color w:val="231F1F"/>
          <w:w w:val="110"/>
        </w:rPr>
        <w:t>Se</w:t>
      </w:r>
      <w:r>
        <w:rPr>
          <w:color w:val="231F1F"/>
          <w:spacing w:val="-6"/>
          <w:w w:val="110"/>
        </w:rPr>
        <w:t> </w:t>
      </w:r>
      <w:r>
        <w:rPr>
          <w:color w:val="231F1F"/>
          <w:w w:val="110"/>
        </w:rPr>
        <w:t>trata</w:t>
      </w:r>
      <w:r>
        <w:rPr>
          <w:color w:val="231F1F"/>
          <w:spacing w:val="-6"/>
          <w:w w:val="110"/>
        </w:rPr>
        <w:t> </w:t>
      </w:r>
      <w:r>
        <w:rPr>
          <w:color w:val="231F1F"/>
          <w:w w:val="110"/>
        </w:rPr>
        <w:t>de</w:t>
      </w:r>
      <w:r>
        <w:rPr>
          <w:color w:val="231F1F"/>
          <w:spacing w:val="-6"/>
          <w:w w:val="110"/>
        </w:rPr>
        <w:t> </w:t>
      </w:r>
      <w:r>
        <w:rPr>
          <w:color w:val="231F1F"/>
          <w:w w:val="110"/>
        </w:rPr>
        <w:t>un</w:t>
      </w:r>
      <w:r>
        <w:rPr>
          <w:color w:val="231F1F"/>
          <w:spacing w:val="-6"/>
          <w:w w:val="110"/>
        </w:rPr>
        <w:t> </w:t>
      </w:r>
      <w:r>
        <w:rPr>
          <w:color w:val="231F1F"/>
          <w:w w:val="110"/>
        </w:rPr>
        <w:t>metodo</w:t>
      </w:r>
      <w:r>
        <w:rPr>
          <w:color w:val="231F1F"/>
          <w:spacing w:val="-6"/>
          <w:w w:val="110"/>
        </w:rPr>
        <w:t> </w:t>
      </w:r>
      <w:r>
        <w:rPr>
          <w:color w:val="231F1F"/>
          <w:w w:val="110"/>
        </w:rPr>
        <w:t>sencillo</w:t>
      </w:r>
      <w:r>
        <w:rPr>
          <w:color w:val="231F1F"/>
          <w:spacing w:val="-6"/>
          <w:w w:val="110"/>
        </w:rPr>
        <w:t> </w:t>
      </w:r>
      <w:r>
        <w:rPr>
          <w:color w:val="231F1F"/>
          <w:w w:val="110"/>
        </w:rPr>
        <w:t>y</w:t>
      </w:r>
      <w:r>
        <w:rPr>
          <w:color w:val="231F1F"/>
          <w:spacing w:val="-6"/>
          <w:w w:val="110"/>
        </w:rPr>
        <w:t> </w:t>
      </w:r>
      <w:r>
        <w:rPr>
          <w:color w:val="231F1F"/>
          <w:w w:val="110"/>
        </w:rPr>
        <w:t>con pocos efectos secundarios por lo que se ha estudiado su uso en analgesia obstétrica.</w:t>
      </w:r>
    </w:p>
    <w:p>
      <w:pPr>
        <w:spacing w:before="156"/>
        <w:ind w:left="736" w:right="0" w:firstLine="0"/>
        <w:jc w:val="left"/>
        <w:rPr>
          <w:b/>
          <w:sz w:val="22"/>
        </w:rPr>
      </w:pPr>
      <w:r>
        <w:rPr>
          <w:b/>
          <w:color w:val="231F1F"/>
          <w:sz w:val="22"/>
        </w:rPr>
        <w:t>Tipos</w:t>
      </w:r>
      <w:r>
        <w:rPr>
          <w:b/>
          <w:color w:val="231F1F"/>
          <w:spacing w:val="-2"/>
          <w:sz w:val="22"/>
        </w:rPr>
        <w:t> </w:t>
      </w:r>
      <w:r>
        <w:rPr>
          <w:b/>
          <w:color w:val="231F1F"/>
          <w:sz w:val="22"/>
        </w:rPr>
        <w:t>de Material de </w:t>
      </w:r>
      <w:r>
        <w:rPr>
          <w:b/>
          <w:color w:val="231F1F"/>
          <w:spacing w:val="-2"/>
          <w:sz w:val="22"/>
        </w:rPr>
        <w:t>Sutura:</w:t>
      </w:r>
    </w:p>
    <w:p>
      <w:pPr>
        <w:pStyle w:val="BodyText"/>
        <w:spacing w:line="244" w:lineRule="auto" w:before="155"/>
        <w:ind w:left="283" w:right="125" w:firstLine="453"/>
        <w:jc w:val="both"/>
      </w:pPr>
      <w:r>
        <w:rPr>
          <w:color w:val="231F1F"/>
          <w:w w:val="110"/>
        </w:rPr>
        <w:t>* ABSORBIBLES: Materiales que pueden ser degradados por el tejido en el sitio donde</w:t>
      </w:r>
      <w:r>
        <w:rPr>
          <w:color w:val="231F1F"/>
          <w:spacing w:val="-15"/>
          <w:w w:val="110"/>
        </w:rPr>
        <w:t> </w:t>
      </w:r>
      <w:r>
        <w:rPr>
          <w:color w:val="231F1F"/>
          <w:w w:val="110"/>
        </w:rPr>
        <w:t>se</w:t>
      </w:r>
      <w:r>
        <w:rPr>
          <w:color w:val="231F1F"/>
          <w:spacing w:val="-15"/>
          <w:w w:val="110"/>
        </w:rPr>
        <w:t> </w:t>
      </w:r>
      <w:r>
        <w:rPr>
          <w:color w:val="231F1F"/>
          <w:w w:val="110"/>
        </w:rPr>
        <w:t>coloca.</w:t>
      </w:r>
      <w:r>
        <w:rPr>
          <w:color w:val="231F1F"/>
          <w:spacing w:val="-15"/>
          <w:w w:val="110"/>
        </w:rPr>
        <w:t> </w:t>
      </w:r>
      <w:r>
        <w:rPr>
          <w:color w:val="231F1F"/>
          <w:w w:val="110"/>
        </w:rPr>
        <w:t>La</w:t>
      </w:r>
      <w:r>
        <w:rPr>
          <w:color w:val="231F1F"/>
          <w:spacing w:val="-14"/>
          <w:w w:val="110"/>
        </w:rPr>
        <w:t> </w:t>
      </w:r>
      <w:r>
        <w:rPr>
          <w:color w:val="231F1F"/>
          <w:w w:val="110"/>
        </w:rPr>
        <w:t>absorción</w:t>
      </w:r>
      <w:r>
        <w:rPr>
          <w:color w:val="231F1F"/>
          <w:spacing w:val="-14"/>
          <w:w w:val="110"/>
        </w:rPr>
        <w:t> </w:t>
      </w:r>
      <w:r>
        <w:rPr>
          <w:color w:val="231F1F"/>
          <w:w w:val="110"/>
        </w:rPr>
        <w:t>depende</w:t>
      </w:r>
      <w:r>
        <w:rPr>
          <w:color w:val="231F1F"/>
          <w:spacing w:val="-15"/>
          <w:w w:val="110"/>
        </w:rPr>
        <w:t> </w:t>
      </w:r>
      <w:r>
        <w:rPr>
          <w:color w:val="231F1F"/>
          <w:w w:val="110"/>
        </w:rPr>
        <w:t>del</w:t>
      </w:r>
      <w:r>
        <w:rPr>
          <w:color w:val="231F1F"/>
          <w:spacing w:val="-15"/>
          <w:w w:val="110"/>
        </w:rPr>
        <w:t> </w:t>
      </w:r>
      <w:r>
        <w:rPr>
          <w:color w:val="231F1F"/>
          <w:w w:val="110"/>
        </w:rPr>
        <w:t>tejido,</w:t>
      </w:r>
      <w:r>
        <w:rPr>
          <w:color w:val="231F1F"/>
          <w:spacing w:val="-15"/>
          <w:w w:val="110"/>
        </w:rPr>
        <w:t> </w:t>
      </w:r>
      <w:r>
        <w:rPr>
          <w:color w:val="231F1F"/>
          <w:w w:val="110"/>
        </w:rPr>
        <w:t>del</w:t>
      </w:r>
      <w:r>
        <w:rPr>
          <w:color w:val="231F1F"/>
          <w:spacing w:val="-15"/>
          <w:w w:val="110"/>
        </w:rPr>
        <w:t> </w:t>
      </w:r>
      <w:r>
        <w:rPr>
          <w:color w:val="231F1F"/>
          <w:w w:val="110"/>
        </w:rPr>
        <w:t>tipo</w:t>
      </w:r>
      <w:r>
        <w:rPr>
          <w:color w:val="231F1F"/>
          <w:spacing w:val="-14"/>
          <w:w w:val="110"/>
        </w:rPr>
        <w:t> </w:t>
      </w:r>
      <w:r>
        <w:rPr>
          <w:color w:val="231F1F"/>
          <w:w w:val="110"/>
        </w:rPr>
        <w:t>de</w:t>
      </w:r>
      <w:r>
        <w:rPr>
          <w:color w:val="231F1F"/>
          <w:spacing w:val="-15"/>
          <w:w w:val="110"/>
        </w:rPr>
        <w:t> </w:t>
      </w:r>
      <w:r>
        <w:rPr>
          <w:color w:val="231F1F"/>
          <w:w w:val="110"/>
        </w:rPr>
        <w:t>sutura,</w:t>
      </w:r>
      <w:r>
        <w:rPr>
          <w:color w:val="231F1F"/>
          <w:spacing w:val="-15"/>
          <w:w w:val="110"/>
        </w:rPr>
        <w:t> </w:t>
      </w:r>
      <w:r>
        <w:rPr>
          <w:color w:val="231F1F"/>
          <w:w w:val="110"/>
        </w:rPr>
        <w:t>de</w:t>
      </w:r>
      <w:r>
        <w:rPr>
          <w:color w:val="231F1F"/>
          <w:spacing w:val="-15"/>
          <w:w w:val="110"/>
        </w:rPr>
        <w:t> </w:t>
      </w:r>
      <w:r>
        <w:rPr>
          <w:color w:val="231F1F"/>
          <w:w w:val="110"/>
        </w:rPr>
        <w:t>la</w:t>
      </w:r>
      <w:r>
        <w:rPr>
          <w:color w:val="231F1F"/>
          <w:spacing w:val="-14"/>
          <w:w w:val="110"/>
        </w:rPr>
        <w:t> </w:t>
      </w:r>
      <w:r>
        <w:rPr>
          <w:color w:val="231F1F"/>
          <w:w w:val="110"/>
        </w:rPr>
        <w:t>edad</w:t>
      </w:r>
      <w:r>
        <w:rPr>
          <w:color w:val="231F1F"/>
          <w:spacing w:val="-14"/>
          <w:w w:val="110"/>
        </w:rPr>
        <w:t> </w:t>
      </w:r>
      <w:r>
        <w:rPr>
          <w:color w:val="231F1F"/>
          <w:w w:val="110"/>
        </w:rPr>
        <w:t>y</w:t>
      </w:r>
      <w:r>
        <w:rPr>
          <w:color w:val="231F1F"/>
          <w:spacing w:val="-14"/>
          <w:w w:val="110"/>
        </w:rPr>
        <w:t> </w:t>
      </w:r>
      <w:r>
        <w:rPr>
          <w:color w:val="231F1F"/>
          <w:w w:val="110"/>
        </w:rPr>
        <w:t>del</w:t>
      </w:r>
      <w:r>
        <w:rPr>
          <w:color w:val="231F1F"/>
          <w:spacing w:val="-15"/>
          <w:w w:val="110"/>
        </w:rPr>
        <w:t> </w:t>
      </w:r>
      <w:r>
        <w:rPr>
          <w:color w:val="231F1F"/>
          <w:w w:val="110"/>
        </w:rPr>
        <w:t>esta- do general del paciente. Existe una variedad de suturas:</w:t>
      </w:r>
    </w:p>
    <w:p>
      <w:pPr>
        <w:pStyle w:val="BodyText"/>
        <w:spacing w:before="138"/>
        <w:ind w:left="736"/>
      </w:pPr>
      <w:r>
        <w:rPr>
          <w:color w:val="231F1F"/>
          <w:w w:val="110"/>
        </w:rPr>
        <w:t>NO</w:t>
      </w:r>
      <w:r>
        <w:rPr>
          <w:color w:val="231F1F"/>
          <w:spacing w:val="-7"/>
          <w:w w:val="110"/>
        </w:rPr>
        <w:t> </w:t>
      </w:r>
      <w:r>
        <w:rPr>
          <w:color w:val="231F1F"/>
          <w:spacing w:val="-2"/>
          <w:w w:val="110"/>
        </w:rPr>
        <w:t>SINTÉTICAS</w:t>
      </w:r>
    </w:p>
    <w:p>
      <w:pPr>
        <w:pStyle w:val="BodyText"/>
        <w:spacing w:line="244" w:lineRule="auto" w:before="150"/>
        <w:ind w:left="283" w:right="122" w:firstLine="453"/>
        <w:jc w:val="both"/>
      </w:pPr>
      <w:r>
        <w:rPr>
          <w:b/>
          <w:i/>
          <w:color w:val="231F1F"/>
          <w:w w:val="110"/>
        </w:rPr>
        <w:t>Catgut</w:t>
      </w:r>
      <w:r>
        <w:rPr>
          <w:color w:val="231F1F"/>
          <w:w w:val="110"/>
        </w:rPr>
        <w:t>. Elaborado de colágeno. Puede ser simple y cromado. Se utilizan en tejidos que</w:t>
      </w:r>
      <w:r>
        <w:rPr>
          <w:color w:val="231F1F"/>
          <w:spacing w:val="-10"/>
          <w:w w:val="110"/>
        </w:rPr>
        <w:t> </w:t>
      </w:r>
      <w:r>
        <w:rPr>
          <w:color w:val="231F1F"/>
          <w:w w:val="110"/>
        </w:rPr>
        <w:t>cicatrizan</w:t>
      </w:r>
      <w:r>
        <w:rPr>
          <w:color w:val="231F1F"/>
          <w:spacing w:val="-10"/>
          <w:w w:val="110"/>
        </w:rPr>
        <w:t> </w:t>
      </w:r>
      <w:r>
        <w:rPr>
          <w:color w:val="231F1F"/>
          <w:w w:val="110"/>
        </w:rPr>
        <w:t>rápido.</w:t>
      </w:r>
      <w:r>
        <w:rPr>
          <w:color w:val="231F1F"/>
          <w:spacing w:val="-10"/>
          <w:w w:val="110"/>
        </w:rPr>
        <w:t> </w:t>
      </w:r>
      <w:r>
        <w:rPr>
          <w:color w:val="231F1F"/>
          <w:w w:val="110"/>
        </w:rPr>
        <w:t>Es</w:t>
      </w:r>
      <w:r>
        <w:rPr>
          <w:color w:val="231F1F"/>
          <w:spacing w:val="-10"/>
          <w:w w:val="110"/>
        </w:rPr>
        <w:t> </w:t>
      </w:r>
      <w:r>
        <w:rPr>
          <w:color w:val="231F1F"/>
          <w:w w:val="110"/>
        </w:rPr>
        <w:t>ampliamente</w:t>
      </w:r>
      <w:r>
        <w:rPr>
          <w:color w:val="231F1F"/>
          <w:spacing w:val="-12"/>
          <w:w w:val="110"/>
        </w:rPr>
        <w:t> </w:t>
      </w:r>
      <w:r>
        <w:rPr>
          <w:color w:val="231F1F"/>
          <w:w w:val="110"/>
        </w:rPr>
        <w:t>utilizada</w:t>
      </w:r>
      <w:r>
        <w:rPr>
          <w:color w:val="231F1F"/>
          <w:spacing w:val="-10"/>
          <w:w w:val="110"/>
        </w:rPr>
        <w:t> </w:t>
      </w:r>
      <w:r>
        <w:rPr>
          <w:color w:val="231F1F"/>
          <w:w w:val="110"/>
        </w:rPr>
        <w:t>en</w:t>
      </w:r>
      <w:r>
        <w:rPr>
          <w:color w:val="231F1F"/>
          <w:spacing w:val="-10"/>
          <w:w w:val="110"/>
        </w:rPr>
        <w:t> </w:t>
      </w:r>
      <w:r>
        <w:rPr>
          <w:color w:val="231F1F"/>
          <w:w w:val="110"/>
        </w:rPr>
        <w:t>cirugía</w:t>
      </w:r>
      <w:r>
        <w:rPr>
          <w:color w:val="231F1F"/>
          <w:spacing w:val="-10"/>
          <w:w w:val="110"/>
        </w:rPr>
        <w:t> </w:t>
      </w:r>
      <w:r>
        <w:rPr>
          <w:color w:val="231F1F"/>
          <w:w w:val="110"/>
        </w:rPr>
        <w:t>ginecológica</w:t>
      </w:r>
      <w:r>
        <w:rPr>
          <w:color w:val="231F1F"/>
          <w:spacing w:val="-12"/>
          <w:w w:val="110"/>
        </w:rPr>
        <w:t> </w:t>
      </w:r>
      <w:r>
        <w:rPr>
          <w:color w:val="231F1F"/>
          <w:w w:val="110"/>
        </w:rPr>
        <w:t>y</w:t>
      </w:r>
      <w:r>
        <w:rPr>
          <w:color w:val="231F1F"/>
          <w:spacing w:val="-10"/>
          <w:w w:val="110"/>
        </w:rPr>
        <w:t> </w:t>
      </w:r>
      <w:r>
        <w:rPr>
          <w:color w:val="231F1F"/>
          <w:w w:val="110"/>
        </w:rPr>
        <w:t>genitourinaria.</w:t>
      </w:r>
    </w:p>
    <w:p>
      <w:pPr>
        <w:pStyle w:val="BodyText"/>
        <w:spacing w:before="160"/>
        <w:ind w:left="736"/>
      </w:pPr>
      <w:r>
        <w:rPr>
          <w:color w:val="231F1F"/>
        </w:rPr>
        <w:t>SINTÉTICAS</w:t>
      </w:r>
      <w:r>
        <w:rPr>
          <w:color w:val="231F1F"/>
          <w:spacing w:val="66"/>
          <w:w w:val="150"/>
        </w:rPr>
        <w:t> </w:t>
      </w:r>
      <w:r>
        <w:rPr>
          <w:color w:val="231F1F"/>
          <w:spacing w:val="-2"/>
        </w:rPr>
        <w:t>ABSORBIBLES</w:t>
      </w:r>
    </w:p>
    <w:p>
      <w:pPr>
        <w:pStyle w:val="BodyText"/>
        <w:spacing w:line="249" w:lineRule="auto" w:before="151"/>
        <w:ind w:left="283" w:right="123" w:firstLine="453"/>
        <w:jc w:val="both"/>
      </w:pPr>
      <w:r>
        <w:rPr>
          <w:color w:val="231F1F"/>
          <w:w w:val="105"/>
        </w:rPr>
        <w:t>Están</w:t>
      </w:r>
      <w:r>
        <w:rPr>
          <w:color w:val="231F1F"/>
          <w:w w:val="105"/>
        </w:rPr>
        <w:t> hechos</w:t>
      </w:r>
      <w:r>
        <w:rPr>
          <w:color w:val="231F1F"/>
          <w:w w:val="105"/>
        </w:rPr>
        <w:t> de</w:t>
      </w:r>
      <w:r>
        <w:rPr>
          <w:color w:val="231F1F"/>
          <w:w w:val="105"/>
        </w:rPr>
        <w:t> polímeros</w:t>
      </w:r>
      <w:r>
        <w:rPr>
          <w:color w:val="231F1F"/>
          <w:w w:val="105"/>
        </w:rPr>
        <w:t> sintéticos.</w:t>
      </w:r>
      <w:r>
        <w:rPr>
          <w:color w:val="231F1F"/>
          <w:w w:val="105"/>
        </w:rPr>
        <w:t> Producen</w:t>
      </w:r>
      <w:r>
        <w:rPr>
          <w:color w:val="231F1F"/>
          <w:w w:val="105"/>
        </w:rPr>
        <w:t> menor</w:t>
      </w:r>
      <w:r>
        <w:rPr>
          <w:color w:val="231F1F"/>
          <w:w w:val="105"/>
        </w:rPr>
        <w:t> reacción</w:t>
      </w:r>
      <w:r>
        <w:rPr>
          <w:color w:val="231F1F"/>
          <w:w w:val="105"/>
        </w:rPr>
        <w:t> inflamatoria,</w:t>
      </w:r>
      <w:r>
        <w:rPr>
          <w:color w:val="231F1F"/>
          <w:w w:val="105"/>
        </w:rPr>
        <w:t> son</w:t>
      </w:r>
      <w:r>
        <w:rPr>
          <w:color w:val="231F1F"/>
          <w:w w:val="105"/>
        </w:rPr>
        <w:t> de más</w:t>
      </w:r>
      <w:r>
        <w:rPr>
          <w:color w:val="231F1F"/>
          <w:spacing w:val="-2"/>
          <w:w w:val="105"/>
        </w:rPr>
        <w:t> </w:t>
      </w:r>
      <w:r>
        <w:rPr>
          <w:color w:val="231F1F"/>
          <w:w w:val="105"/>
        </w:rPr>
        <w:t>fácil</w:t>
      </w:r>
      <w:r>
        <w:rPr>
          <w:color w:val="231F1F"/>
          <w:spacing w:val="-3"/>
          <w:w w:val="105"/>
        </w:rPr>
        <w:t> </w:t>
      </w:r>
      <w:r>
        <w:rPr>
          <w:color w:val="231F1F"/>
          <w:w w:val="105"/>
        </w:rPr>
        <w:t>manejo</w:t>
      </w:r>
      <w:r>
        <w:rPr>
          <w:color w:val="231F1F"/>
          <w:spacing w:val="-3"/>
          <w:w w:val="105"/>
        </w:rPr>
        <w:t> </w:t>
      </w:r>
      <w:r>
        <w:rPr>
          <w:color w:val="231F1F"/>
          <w:w w:val="105"/>
        </w:rPr>
        <w:t>y</w:t>
      </w:r>
      <w:r>
        <w:rPr>
          <w:color w:val="231F1F"/>
          <w:spacing w:val="-2"/>
          <w:w w:val="105"/>
        </w:rPr>
        <w:t> </w:t>
      </w:r>
      <w:r>
        <w:rPr>
          <w:color w:val="231F1F"/>
          <w:w w:val="105"/>
        </w:rPr>
        <w:t>tienen</w:t>
      </w:r>
      <w:r>
        <w:rPr>
          <w:color w:val="231F1F"/>
          <w:spacing w:val="-3"/>
          <w:w w:val="105"/>
        </w:rPr>
        <w:t> </w:t>
      </w:r>
      <w:r>
        <w:rPr>
          <w:color w:val="231F1F"/>
          <w:w w:val="105"/>
        </w:rPr>
        <w:t>mayor</w:t>
      </w:r>
      <w:r>
        <w:rPr>
          <w:color w:val="231F1F"/>
          <w:spacing w:val="-3"/>
          <w:w w:val="105"/>
        </w:rPr>
        <w:t> </w:t>
      </w:r>
      <w:r>
        <w:rPr>
          <w:color w:val="231F1F"/>
          <w:w w:val="105"/>
        </w:rPr>
        <w:t>resistencia</w:t>
      </w:r>
      <w:r>
        <w:rPr>
          <w:color w:val="231F1F"/>
          <w:spacing w:val="-2"/>
          <w:w w:val="105"/>
        </w:rPr>
        <w:t> </w:t>
      </w:r>
      <w:r>
        <w:rPr>
          <w:color w:val="231F1F"/>
          <w:w w:val="105"/>
        </w:rPr>
        <w:t>a</w:t>
      </w:r>
      <w:r>
        <w:rPr>
          <w:color w:val="231F1F"/>
          <w:spacing w:val="-3"/>
          <w:w w:val="105"/>
        </w:rPr>
        <w:t> </w:t>
      </w:r>
      <w:r>
        <w:rPr>
          <w:color w:val="231F1F"/>
          <w:w w:val="105"/>
        </w:rPr>
        <w:t>la</w:t>
      </w:r>
      <w:r>
        <w:rPr>
          <w:color w:val="231F1F"/>
          <w:spacing w:val="-2"/>
          <w:w w:val="105"/>
        </w:rPr>
        <w:t> </w:t>
      </w:r>
      <w:r>
        <w:rPr>
          <w:color w:val="231F1F"/>
          <w:w w:val="105"/>
        </w:rPr>
        <w:t>tensión.</w:t>
      </w:r>
      <w:r>
        <w:rPr>
          <w:color w:val="231F1F"/>
          <w:spacing w:val="-3"/>
          <w:w w:val="105"/>
        </w:rPr>
        <w:t> </w:t>
      </w:r>
      <w:r>
        <w:rPr>
          <w:b/>
          <w:i/>
          <w:color w:val="231F1F"/>
          <w:w w:val="105"/>
        </w:rPr>
        <w:t>Dexon</w:t>
      </w:r>
      <w:r>
        <w:rPr>
          <w:b/>
          <w:color w:val="231F1F"/>
          <w:w w:val="105"/>
          <w:position w:val="7"/>
          <w:sz w:val="12"/>
        </w:rPr>
        <w:t>®</w:t>
      </w:r>
      <w:r>
        <w:rPr>
          <w:color w:val="231F1F"/>
          <w:w w:val="105"/>
        </w:rPr>
        <w:t>:</w:t>
      </w:r>
      <w:r>
        <w:rPr>
          <w:color w:val="231F1F"/>
          <w:spacing w:val="-3"/>
          <w:w w:val="105"/>
        </w:rPr>
        <w:t> </w:t>
      </w:r>
      <w:r>
        <w:rPr>
          <w:color w:val="231F1F"/>
          <w:w w:val="105"/>
        </w:rPr>
        <w:t>Es</w:t>
      </w:r>
      <w:r>
        <w:rPr>
          <w:color w:val="231F1F"/>
          <w:spacing w:val="-2"/>
          <w:w w:val="105"/>
        </w:rPr>
        <w:t> </w:t>
      </w:r>
      <w:r>
        <w:rPr>
          <w:color w:val="231F1F"/>
          <w:w w:val="105"/>
        </w:rPr>
        <w:t>un</w:t>
      </w:r>
      <w:r>
        <w:rPr>
          <w:color w:val="231F1F"/>
          <w:spacing w:val="-2"/>
          <w:w w:val="105"/>
        </w:rPr>
        <w:t> </w:t>
      </w:r>
      <w:r>
        <w:rPr>
          <w:color w:val="231F1F"/>
          <w:w w:val="105"/>
        </w:rPr>
        <w:t>polímero</w:t>
      </w:r>
      <w:r>
        <w:rPr>
          <w:color w:val="231F1F"/>
          <w:spacing w:val="-2"/>
          <w:w w:val="105"/>
        </w:rPr>
        <w:t> </w:t>
      </w:r>
      <w:r>
        <w:rPr>
          <w:color w:val="231F1F"/>
          <w:w w:val="105"/>
        </w:rPr>
        <w:t>y</w:t>
      </w:r>
      <w:r>
        <w:rPr>
          <w:color w:val="231F1F"/>
          <w:spacing w:val="-2"/>
          <w:w w:val="105"/>
        </w:rPr>
        <w:t> </w:t>
      </w:r>
      <w:r>
        <w:rPr>
          <w:b/>
          <w:i/>
          <w:color w:val="231F1F"/>
          <w:w w:val="105"/>
        </w:rPr>
        <w:t>Vicryl</w:t>
      </w:r>
      <w:r>
        <w:rPr>
          <w:b/>
          <w:color w:val="231F1F"/>
          <w:w w:val="105"/>
          <w:position w:val="7"/>
          <w:sz w:val="12"/>
        </w:rPr>
        <w:t>®</w:t>
      </w:r>
      <w:r>
        <w:rPr>
          <w:color w:val="231F1F"/>
          <w:w w:val="105"/>
        </w:rPr>
        <w:t>: Ácido láctico o lactato</w:t>
      </w:r>
    </w:p>
    <w:p>
      <w:pPr>
        <w:pStyle w:val="BodyText"/>
        <w:spacing w:after="0" w:line="249" w:lineRule="auto"/>
        <w:jc w:val="both"/>
        <w:sectPr>
          <w:pgSz w:w="11900" w:h="16840"/>
          <w:pgMar w:header="0" w:footer="622" w:top="1560" w:bottom="820" w:left="1417" w:right="1559"/>
        </w:sectPr>
      </w:pPr>
    </w:p>
    <w:p>
      <w:pPr>
        <w:pStyle w:val="Heading2"/>
        <w:spacing w:line="242" w:lineRule="auto" w:before="68"/>
        <w:ind w:left="1891" w:hanging="1609"/>
      </w:pPr>
      <w:bookmarkStart w:name="_TOC_250008" w:id="48"/>
      <w:r>
        <w:rPr>
          <w:color w:val="231F1F"/>
        </w:rPr>
        <w:t>Anexo</w:t>
      </w:r>
      <w:r>
        <w:rPr>
          <w:color w:val="231F1F"/>
          <w:spacing w:val="-6"/>
        </w:rPr>
        <w:t> </w:t>
      </w:r>
      <w:r>
        <w:rPr>
          <w:color w:val="231F1F"/>
        </w:rPr>
        <w:t>3.</w:t>
      </w:r>
      <w:r>
        <w:rPr>
          <w:color w:val="231F1F"/>
          <w:spacing w:val="31"/>
        </w:rPr>
        <w:t> </w:t>
      </w:r>
      <w:r>
        <w:rPr>
          <w:color w:val="231F1F"/>
        </w:rPr>
        <w:t>Comunicación</w:t>
      </w:r>
      <w:r>
        <w:rPr>
          <w:color w:val="231F1F"/>
          <w:spacing w:val="-6"/>
        </w:rPr>
        <w:t> </w:t>
      </w:r>
      <w:r>
        <w:rPr>
          <w:color w:val="231F1F"/>
        </w:rPr>
        <w:t>eficaz</w:t>
      </w:r>
      <w:r>
        <w:rPr>
          <w:color w:val="231F1F"/>
          <w:spacing w:val="-7"/>
        </w:rPr>
        <w:t> </w:t>
      </w:r>
      <w:r>
        <w:rPr>
          <w:color w:val="231F1F"/>
        </w:rPr>
        <w:t>entre</w:t>
      </w:r>
      <w:r>
        <w:rPr>
          <w:color w:val="231F1F"/>
          <w:spacing w:val="-7"/>
        </w:rPr>
        <w:t> </w:t>
      </w:r>
      <w:r>
        <w:rPr>
          <w:color w:val="231F1F"/>
        </w:rPr>
        <w:t>profesionales</w:t>
      </w:r>
      <w:r>
        <w:rPr>
          <w:color w:val="231F1F"/>
          <w:spacing w:val="-6"/>
        </w:rPr>
        <w:t> </w:t>
      </w:r>
      <w:bookmarkEnd w:id="48"/>
      <w:r>
        <w:rPr>
          <w:color w:val="231F1F"/>
        </w:rPr>
        <w:t>y mujeres de parto</w:t>
      </w:r>
    </w:p>
    <w:p>
      <w:pPr>
        <w:pStyle w:val="BodyText"/>
        <w:spacing w:line="244" w:lineRule="auto" w:before="341"/>
        <w:ind w:left="283"/>
      </w:pPr>
      <w:r>
        <w:rPr>
          <w:color w:val="231F1F"/>
        </w:rPr>
        <w:t>Para</w:t>
      </w:r>
      <w:r>
        <w:rPr>
          <w:color w:val="231F1F"/>
          <w:spacing w:val="31"/>
        </w:rPr>
        <w:t> </w:t>
      </w:r>
      <w:r>
        <w:rPr>
          <w:color w:val="231F1F"/>
        </w:rPr>
        <w:t>establecer</w:t>
      </w:r>
      <w:r>
        <w:rPr>
          <w:color w:val="231F1F"/>
          <w:spacing w:val="33"/>
        </w:rPr>
        <w:t> </w:t>
      </w:r>
      <w:r>
        <w:rPr>
          <w:color w:val="231F1F"/>
        </w:rPr>
        <w:t>una</w:t>
      </w:r>
      <w:r>
        <w:rPr>
          <w:color w:val="231F1F"/>
          <w:spacing w:val="33"/>
        </w:rPr>
        <w:t> </w:t>
      </w:r>
      <w:r>
        <w:rPr>
          <w:color w:val="231F1F"/>
        </w:rPr>
        <w:t>comunicación</w:t>
      </w:r>
      <w:r>
        <w:rPr>
          <w:color w:val="231F1F"/>
          <w:spacing w:val="33"/>
        </w:rPr>
        <w:t> </w:t>
      </w:r>
      <w:r>
        <w:rPr>
          <w:color w:val="231F1F"/>
        </w:rPr>
        <w:t>eficaz</w:t>
      </w:r>
      <w:r>
        <w:rPr>
          <w:color w:val="231F1F"/>
          <w:spacing w:val="33"/>
        </w:rPr>
        <w:t> </w:t>
      </w:r>
      <w:r>
        <w:rPr>
          <w:color w:val="231F1F"/>
        </w:rPr>
        <w:t>han</w:t>
      </w:r>
      <w:r>
        <w:rPr>
          <w:color w:val="231F1F"/>
          <w:spacing w:val="33"/>
        </w:rPr>
        <w:t> </w:t>
      </w:r>
      <w:r>
        <w:rPr>
          <w:color w:val="231F1F"/>
        </w:rPr>
        <w:t>demostrado</w:t>
      </w:r>
      <w:r>
        <w:rPr>
          <w:color w:val="231F1F"/>
          <w:spacing w:val="33"/>
        </w:rPr>
        <w:t> </w:t>
      </w:r>
      <w:r>
        <w:rPr>
          <w:color w:val="231F1F"/>
        </w:rPr>
        <w:t>su</w:t>
      </w:r>
      <w:r>
        <w:rPr>
          <w:color w:val="231F1F"/>
          <w:spacing w:val="33"/>
        </w:rPr>
        <w:t> </w:t>
      </w:r>
      <w:r>
        <w:rPr>
          <w:color w:val="231F1F"/>
        </w:rPr>
        <w:t>utilidad</w:t>
      </w:r>
      <w:r>
        <w:rPr>
          <w:color w:val="231F1F"/>
          <w:spacing w:val="31"/>
        </w:rPr>
        <w:t> </w:t>
      </w:r>
      <w:r>
        <w:rPr>
          <w:color w:val="231F1F"/>
        </w:rPr>
        <w:t>y</w:t>
      </w:r>
      <w:r>
        <w:rPr>
          <w:color w:val="231F1F"/>
          <w:spacing w:val="33"/>
        </w:rPr>
        <w:t> </w:t>
      </w:r>
      <w:r>
        <w:rPr>
          <w:color w:val="231F1F"/>
        </w:rPr>
        <w:t>ser</w:t>
      </w:r>
      <w:r>
        <w:rPr>
          <w:color w:val="231F1F"/>
          <w:spacing w:val="31"/>
        </w:rPr>
        <w:t> </w:t>
      </w:r>
      <w:r>
        <w:rPr>
          <w:color w:val="231F1F"/>
        </w:rPr>
        <w:t>muy</w:t>
      </w:r>
      <w:r>
        <w:rPr>
          <w:color w:val="231F1F"/>
          <w:spacing w:val="33"/>
        </w:rPr>
        <w:t> </w:t>
      </w:r>
      <w:r>
        <w:rPr>
          <w:color w:val="231F1F"/>
        </w:rPr>
        <w:t>bien</w:t>
      </w:r>
      <w:r>
        <w:rPr>
          <w:color w:val="231F1F"/>
          <w:spacing w:val="33"/>
        </w:rPr>
        <w:t> </w:t>
      </w:r>
      <w:r>
        <w:rPr>
          <w:color w:val="231F1F"/>
        </w:rPr>
        <w:t>valo- </w:t>
      </w:r>
      <w:r>
        <w:rPr>
          <w:color w:val="231F1F"/>
          <w:w w:val="110"/>
        </w:rPr>
        <w:t>rados las siguientes actitudes y comportamientos:</w:t>
      </w:r>
    </w:p>
    <w:p>
      <w:pPr>
        <w:pStyle w:val="ListParagraph"/>
        <w:numPr>
          <w:ilvl w:val="0"/>
          <w:numId w:val="102"/>
        </w:numPr>
        <w:tabs>
          <w:tab w:pos="953" w:val="left" w:leader="none"/>
        </w:tabs>
        <w:spacing w:line="240" w:lineRule="auto" w:before="179" w:after="0"/>
        <w:ind w:left="953" w:right="0" w:hanging="218"/>
        <w:jc w:val="left"/>
        <w:rPr>
          <w:sz w:val="22"/>
        </w:rPr>
      </w:pPr>
      <w:r>
        <w:rPr>
          <w:color w:val="231F1F"/>
          <w:sz w:val="22"/>
        </w:rPr>
        <w:t>Dar</w:t>
      </w:r>
      <w:r>
        <w:rPr>
          <w:color w:val="231F1F"/>
          <w:spacing w:val="26"/>
          <w:sz w:val="22"/>
        </w:rPr>
        <w:t> </w:t>
      </w:r>
      <w:r>
        <w:rPr>
          <w:color w:val="231F1F"/>
          <w:sz w:val="22"/>
        </w:rPr>
        <w:t>la</w:t>
      </w:r>
      <w:r>
        <w:rPr>
          <w:color w:val="231F1F"/>
          <w:spacing w:val="27"/>
          <w:sz w:val="22"/>
        </w:rPr>
        <w:t> </w:t>
      </w:r>
      <w:r>
        <w:rPr>
          <w:color w:val="231F1F"/>
          <w:sz w:val="22"/>
        </w:rPr>
        <w:t>bienvenida</w:t>
      </w:r>
      <w:r>
        <w:rPr>
          <w:color w:val="231F1F"/>
          <w:spacing w:val="27"/>
          <w:sz w:val="22"/>
        </w:rPr>
        <w:t> </w:t>
      </w:r>
      <w:r>
        <w:rPr>
          <w:color w:val="231F1F"/>
          <w:sz w:val="22"/>
        </w:rPr>
        <w:t>con</w:t>
      </w:r>
      <w:r>
        <w:rPr>
          <w:color w:val="231F1F"/>
          <w:spacing w:val="29"/>
          <w:sz w:val="22"/>
        </w:rPr>
        <w:t> </w:t>
      </w:r>
      <w:r>
        <w:rPr>
          <w:color w:val="231F1F"/>
          <w:sz w:val="22"/>
        </w:rPr>
        <w:t>una</w:t>
      </w:r>
      <w:r>
        <w:rPr>
          <w:color w:val="231F1F"/>
          <w:spacing w:val="27"/>
          <w:sz w:val="22"/>
        </w:rPr>
        <w:t> </w:t>
      </w:r>
      <w:r>
        <w:rPr>
          <w:color w:val="231F1F"/>
          <w:sz w:val="22"/>
        </w:rPr>
        <w:t>sonrisa</w:t>
      </w:r>
      <w:r>
        <w:rPr>
          <w:color w:val="231F1F"/>
          <w:spacing w:val="28"/>
          <w:sz w:val="22"/>
        </w:rPr>
        <w:t> </w:t>
      </w:r>
      <w:r>
        <w:rPr>
          <w:color w:val="231F1F"/>
          <w:sz w:val="22"/>
        </w:rPr>
        <w:t>y</w:t>
      </w:r>
      <w:r>
        <w:rPr>
          <w:color w:val="231F1F"/>
          <w:spacing w:val="27"/>
          <w:sz w:val="22"/>
        </w:rPr>
        <w:t> </w:t>
      </w:r>
      <w:r>
        <w:rPr>
          <w:color w:val="231F1F"/>
          <w:sz w:val="22"/>
        </w:rPr>
        <w:t>un</w:t>
      </w:r>
      <w:r>
        <w:rPr>
          <w:color w:val="231F1F"/>
          <w:spacing w:val="29"/>
          <w:sz w:val="22"/>
        </w:rPr>
        <w:t> </w:t>
      </w:r>
      <w:r>
        <w:rPr>
          <w:color w:val="231F1F"/>
          <w:sz w:val="22"/>
        </w:rPr>
        <w:t>saludo</w:t>
      </w:r>
      <w:r>
        <w:rPr>
          <w:color w:val="231F1F"/>
          <w:spacing w:val="27"/>
          <w:sz w:val="22"/>
        </w:rPr>
        <w:t> </w:t>
      </w:r>
      <w:r>
        <w:rPr>
          <w:color w:val="231F1F"/>
          <w:spacing w:val="-2"/>
          <w:sz w:val="22"/>
        </w:rPr>
        <w:t>personal.</w:t>
      </w:r>
    </w:p>
    <w:p>
      <w:pPr>
        <w:pStyle w:val="ListParagraph"/>
        <w:numPr>
          <w:ilvl w:val="0"/>
          <w:numId w:val="102"/>
        </w:numPr>
        <w:tabs>
          <w:tab w:pos="956" w:val="left" w:leader="none"/>
        </w:tabs>
        <w:spacing w:line="244" w:lineRule="auto" w:before="175" w:after="0"/>
        <w:ind w:left="956" w:right="182" w:hanging="220"/>
        <w:jc w:val="both"/>
        <w:rPr>
          <w:sz w:val="22"/>
        </w:rPr>
      </w:pPr>
      <w:r>
        <w:rPr>
          <w:color w:val="231F1F"/>
          <w:w w:val="105"/>
          <w:sz w:val="22"/>
        </w:rPr>
        <w:t>Comprobar si existen barreras lingüísticas, presentarse y explicar el papel que se va a desempeñar en la atención a la mujer</w:t>
      </w:r>
    </w:p>
    <w:p>
      <w:pPr>
        <w:pStyle w:val="ListParagraph"/>
        <w:numPr>
          <w:ilvl w:val="0"/>
          <w:numId w:val="102"/>
        </w:numPr>
        <w:tabs>
          <w:tab w:pos="954" w:val="left" w:leader="none"/>
          <w:tab w:pos="956" w:val="left" w:leader="none"/>
        </w:tabs>
        <w:spacing w:line="244" w:lineRule="auto" w:before="180" w:after="0"/>
        <w:ind w:left="956" w:right="126" w:hanging="221"/>
        <w:jc w:val="both"/>
        <w:rPr>
          <w:sz w:val="22"/>
        </w:rPr>
      </w:pPr>
      <w:r>
        <w:rPr>
          <w:color w:val="231F1F"/>
          <w:w w:val="110"/>
          <w:sz w:val="22"/>
        </w:rPr>
        <w:t>Adoptar</w:t>
      </w:r>
      <w:r>
        <w:rPr>
          <w:color w:val="231F1F"/>
          <w:spacing w:val="-14"/>
          <w:w w:val="110"/>
          <w:sz w:val="22"/>
        </w:rPr>
        <w:t> </w:t>
      </w:r>
      <w:r>
        <w:rPr>
          <w:color w:val="231F1F"/>
          <w:w w:val="110"/>
          <w:sz w:val="22"/>
        </w:rPr>
        <w:t>unas</w:t>
      </w:r>
      <w:r>
        <w:rPr>
          <w:color w:val="231F1F"/>
          <w:spacing w:val="-14"/>
          <w:w w:val="110"/>
          <w:sz w:val="22"/>
        </w:rPr>
        <w:t> </w:t>
      </w:r>
      <w:r>
        <w:rPr>
          <w:color w:val="231F1F"/>
          <w:w w:val="110"/>
          <w:sz w:val="22"/>
        </w:rPr>
        <w:t>maneras</w:t>
      </w:r>
      <w:r>
        <w:rPr>
          <w:color w:val="231F1F"/>
          <w:spacing w:val="-13"/>
          <w:w w:val="110"/>
          <w:sz w:val="22"/>
        </w:rPr>
        <w:t> </w:t>
      </w:r>
      <w:r>
        <w:rPr>
          <w:color w:val="231F1F"/>
          <w:w w:val="110"/>
          <w:sz w:val="22"/>
        </w:rPr>
        <w:t>tranquilas</w:t>
      </w:r>
      <w:r>
        <w:rPr>
          <w:color w:val="231F1F"/>
          <w:spacing w:val="-14"/>
          <w:w w:val="110"/>
          <w:sz w:val="22"/>
        </w:rPr>
        <w:t> </w:t>
      </w:r>
      <w:r>
        <w:rPr>
          <w:color w:val="231F1F"/>
          <w:w w:val="110"/>
          <w:sz w:val="22"/>
        </w:rPr>
        <w:t>y</w:t>
      </w:r>
      <w:r>
        <w:rPr>
          <w:color w:val="231F1F"/>
          <w:spacing w:val="-13"/>
          <w:w w:val="110"/>
          <w:sz w:val="22"/>
        </w:rPr>
        <w:t> </w:t>
      </w:r>
      <w:r>
        <w:rPr>
          <w:color w:val="231F1F"/>
          <w:w w:val="110"/>
          <w:sz w:val="22"/>
        </w:rPr>
        <w:t>transmitir</w:t>
      </w:r>
      <w:r>
        <w:rPr>
          <w:color w:val="231F1F"/>
          <w:spacing w:val="-14"/>
          <w:w w:val="110"/>
          <w:sz w:val="22"/>
        </w:rPr>
        <w:t> </w:t>
      </w:r>
      <w:r>
        <w:rPr>
          <w:color w:val="231F1F"/>
          <w:w w:val="110"/>
          <w:sz w:val="22"/>
        </w:rPr>
        <w:t>seguridad</w:t>
      </w:r>
      <w:r>
        <w:rPr>
          <w:color w:val="231F1F"/>
          <w:spacing w:val="-14"/>
          <w:w w:val="110"/>
          <w:sz w:val="22"/>
        </w:rPr>
        <w:t> </w:t>
      </w:r>
      <w:r>
        <w:rPr>
          <w:color w:val="231F1F"/>
          <w:w w:val="110"/>
          <w:sz w:val="22"/>
        </w:rPr>
        <w:t>y</w:t>
      </w:r>
      <w:r>
        <w:rPr>
          <w:color w:val="231F1F"/>
          <w:spacing w:val="-13"/>
          <w:w w:val="110"/>
          <w:sz w:val="22"/>
        </w:rPr>
        <w:t> </w:t>
      </w:r>
      <w:r>
        <w:rPr>
          <w:color w:val="231F1F"/>
          <w:w w:val="110"/>
          <w:sz w:val="22"/>
        </w:rPr>
        <w:t>confianza,</w:t>
      </w:r>
      <w:r>
        <w:rPr>
          <w:color w:val="231F1F"/>
          <w:spacing w:val="-14"/>
          <w:w w:val="110"/>
          <w:sz w:val="22"/>
        </w:rPr>
        <w:t> </w:t>
      </w:r>
      <w:r>
        <w:rPr>
          <w:color w:val="231F1F"/>
          <w:w w:val="110"/>
          <w:sz w:val="22"/>
        </w:rPr>
        <w:t>lo</w:t>
      </w:r>
      <w:r>
        <w:rPr>
          <w:color w:val="231F1F"/>
          <w:spacing w:val="-13"/>
          <w:w w:val="110"/>
          <w:sz w:val="22"/>
        </w:rPr>
        <w:t> </w:t>
      </w:r>
      <w:r>
        <w:rPr>
          <w:color w:val="231F1F"/>
          <w:w w:val="110"/>
          <w:sz w:val="22"/>
        </w:rPr>
        <w:t>que</w:t>
      </w:r>
      <w:r>
        <w:rPr>
          <w:color w:val="231F1F"/>
          <w:spacing w:val="-14"/>
          <w:w w:val="110"/>
          <w:sz w:val="22"/>
        </w:rPr>
        <w:t> </w:t>
      </w:r>
      <w:r>
        <w:rPr>
          <w:color w:val="231F1F"/>
          <w:w w:val="110"/>
          <w:sz w:val="22"/>
        </w:rPr>
        <w:t>dismi- nuirá la ansiedad, el miedo y el estrés que experimentan muchas mujeres.</w:t>
      </w:r>
    </w:p>
    <w:p>
      <w:pPr>
        <w:pStyle w:val="ListParagraph"/>
        <w:numPr>
          <w:ilvl w:val="0"/>
          <w:numId w:val="102"/>
        </w:numPr>
        <w:tabs>
          <w:tab w:pos="955" w:val="left" w:leader="none"/>
        </w:tabs>
        <w:spacing w:line="244" w:lineRule="auto" w:before="170" w:after="0"/>
        <w:ind w:left="955" w:right="119" w:hanging="220"/>
        <w:jc w:val="both"/>
        <w:rPr>
          <w:sz w:val="22"/>
        </w:rPr>
      </w:pPr>
      <w:r>
        <w:rPr>
          <w:color w:val="231F1F"/>
          <w:w w:val="105"/>
          <w:sz w:val="22"/>
        </w:rPr>
        <w:t>Considerar</w:t>
      </w:r>
      <w:r>
        <w:rPr>
          <w:color w:val="231F1F"/>
          <w:w w:val="105"/>
          <w:sz w:val="22"/>
        </w:rPr>
        <w:t> la</w:t>
      </w:r>
      <w:r>
        <w:rPr>
          <w:color w:val="231F1F"/>
          <w:w w:val="105"/>
          <w:sz w:val="22"/>
        </w:rPr>
        <w:t> habitación</w:t>
      </w:r>
      <w:r>
        <w:rPr>
          <w:color w:val="231F1F"/>
          <w:w w:val="105"/>
          <w:sz w:val="22"/>
        </w:rPr>
        <w:t> como</w:t>
      </w:r>
      <w:r>
        <w:rPr>
          <w:color w:val="231F1F"/>
          <w:w w:val="105"/>
          <w:sz w:val="22"/>
        </w:rPr>
        <w:t> un</w:t>
      </w:r>
      <w:r>
        <w:rPr>
          <w:color w:val="231F1F"/>
          <w:w w:val="105"/>
          <w:sz w:val="22"/>
        </w:rPr>
        <w:t> espacio</w:t>
      </w:r>
      <w:r>
        <w:rPr>
          <w:color w:val="231F1F"/>
          <w:w w:val="105"/>
          <w:sz w:val="22"/>
        </w:rPr>
        <w:t> personal</w:t>
      </w:r>
      <w:r>
        <w:rPr>
          <w:color w:val="231F1F"/>
          <w:w w:val="105"/>
          <w:sz w:val="22"/>
        </w:rPr>
        <w:t> y</w:t>
      </w:r>
      <w:r>
        <w:rPr>
          <w:color w:val="231F1F"/>
          <w:w w:val="105"/>
          <w:sz w:val="22"/>
        </w:rPr>
        <w:t> privado.</w:t>
      </w:r>
      <w:r>
        <w:rPr>
          <w:color w:val="231F1F"/>
          <w:w w:val="105"/>
          <w:sz w:val="22"/>
        </w:rPr>
        <w:t> Llamar</w:t>
      </w:r>
      <w:r>
        <w:rPr>
          <w:color w:val="231F1F"/>
          <w:w w:val="105"/>
          <w:sz w:val="22"/>
        </w:rPr>
        <w:t> y</w:t>
      </w:r>
      <w:r>
        <w:rPr>
          <w:color w:val="231F1F"/>
          <w:w w:val="105"/>
          <w:sz w:val="22"/>
        </w:rPr>
        <w:t> esperar respuesta antes de entrar en ella e indicar al resto de personal que haga lo mismo. Evitar en todo momento la presencia de personal innecesario. Animar a la mujer a adaptar</w:t>
      </w:r>
      <w:r>
        <w:rPr>
          <w:color w:val="231F1F"/>
          <w:w w:val="105"/>
          <w:sz w:val="22"/>
        </w:rPr>
        <w:t> el</w:t>
      </w:r>
      <w:r>
        <w:rPr>
          <w:color w:val="231F1F"/>
          <w:w w:val="105"/>
          <w:sz w:val="22"/>
        </w:rPr>
        <w:t> ambiente</w:t>
      </w:r>
      <w:r>
        <w:rPr>
          <w:color w:val="231F1F"/>
          <w:w w:val="105"/>
          <w:sz w:val="22"/>
        </w:rPr>
        <w:t> de</w:t>
      </w:r>
      <w:r>
        <w:rPr>
          <w:color w:val="231F1F"/>
          <w:w w:val="105"/>
          <w:sz w:val="22"/>
        </w:rPr>
        <w:t> su</w:t>
      </w:r>
      <w:r>
        <w:rPr>
          <w:color w:val="231F1F"/>
          <w:w w:val="105"/>
          <w:sz w:val="22"/>
        </w:rPr>
        <w:t> habitación</w:t>
      </w:r>
      <w:r>
        <w:rPr>
          <w:color w:val="231F1F"/>
          <w:w w:val="105"/>
          <w:sz w:val="22"/>
        </w:rPr>
        <w:t> a</w:t>
      </w:r>
      <w:r>
        <w:rPr>
          <w:color w:val="231F1F"/>
          <w:w w:val="105"/>
          <w:sz w:val="22"/>
        </w:rPr>
        <w:t> sus</w:t>
      </w:r>
      <w:r>
        <w:rPr>
          <w:color w:val="231F1F"/>
          <w:w w:val="105"/>
          <w:sz w:val="22"/>
        </w:rPr>
        <w:t> necesidades</w:t>
      </w:r>
      <w:r>
        <w:rPr>
          <w:color w:val="231F1F"/>
          <w:w w:val="105"/>
          <w:sz w:val="22"/>
        </w:rPr>
        <w:t> individuales,</w:t>
      </w:r>
      <w:r>
        <w:rPr>
          <w:color w:val="231F1F"/>
          <w:w w:val="105"/>
          <w:sz w:val="22"/>
        </w:rPr>
        <w:t> grado</w:t>
      </w:r>
      <w:r>
        <w:rPr>
          <w:color w:val="231F1F"/>
          <w:w w:val="105"/>
          <w:sz w:val="22"/>
        </w:rPr>
        <w:t> de</w:t>
      </w:r>
      <w:r>
        <w:rPr>
          <w:color w:val="231F1F"/>
          <w:w w:val="105"/>
          <w:sz w:val="22"/>
        </w:rPr>
        <w:t> pe- numbra, temperatura, música, objetos personales, etc.</w:t>
      </w:r>
    </w:p>
    <w:p>
      <w:pPr>
        <w:pStyle w:val="ListParagraph"/>
        <w:numPr>
          <w:ilvl w:val="0"/>
          <w:numId w:val="102"/>
        </w:numPr>
        <w:tabs>
          <w:tab w:pos="956" w:val="left" w:leader="none"/>
        </w:tabs>
        <w:spacing w:line="244" w:lineRule="auto" w:before="179" w:after="0"/>
        <w:ind w:left="956" w:right="116" w:hanging="222"/>
        <w:jc w:val="both"/>
        <w:rPr>
          <w:sz w:val="22"/>
        </w:rPr>
      </w:pPr>
      <w:r>
        <w:rPr>
          <w:color w:val="231F1F"/>
          <w:w w:val="105"/>
          <w:sz w:val="22"/>
        </w:rPr>
        <w:t>Utilizar</w:t>
      </w:r>
      <w:r>
        <w:rPr>
          <w:color w:val="231F1F"/>
          <w:w w:val="105"/>
          <w:sz w:val="22"/>
        </w:rPr>
        <w:t> preguntas</w:t>
      </w:r>
      <w:r>
        <w:rPr>
          <w:color w:val="231F1F"/>
          <w:w w:val="105"/>
          <w:sz w:val="22"/>
        </w:rPr>
        <w:t> abiertas</w:t>
      </w:r>
      <w:r>
        <w:rPr>
          <w:color w:val="231F1F"/>
          <w:w w:val="105"/>
          <w:sz w:val="22"/>
        </w:rPr>
        <w:t> y</w:t>
      </w:r>
      <w:r>
        <w:rPr>
          <w:color w:val="231F1F"/>
          <w:w w:val="105"/>
          <w:sz w:val="22"/>
        </w:rPr>
        <w:t> no</w:t>
      </w:r>
      <w:r>
        <w:rPr>
          <w:color w:val="231F1F"/>
          <w:w w:val="105"/>
          <w:sz w:val="22"/>
        </w:rPr>
        <w:t> dirigidas</w:t>
      </w:r>
      <w:r>
        <w:rPr>
          <w:color w:val="231F1F"/>
          <w:w w:val="105"/>
          <w:sz w:val="22"/>
        </w:rPr>
        <w:t> para</w:t>
      </w:r>
      <w:r>
        <w:rPr>
          <w:color w:val="231F1F"/>
          <w:w w:val="105"/>
          <w:sz w:val="22"/>
        </w:rPr>
        <w:t> conocer</w:t>
      </w:r>
      <w:r>
        <w:rPr>
          <w:color w:val="231F1F"/>
          <w:w w:val="105"/>
          <w:sz w:val="22"/>
        </w:rPr>
        <w:t> cómo</w:t>
      </w:r>
      <w:r>
        <w:rPr>
          <w:color w:val="231F1F"/>
          <w:w w:val="105"/>
          <w:sz w:val="22"/>
        </w:rPr>
        <w:t> se</w:t>
      </w:r>
      <w:r>
        <w:rPr>
          <w:color w:val="231F1F"/>
          <w:w w:val="105"/>
          <w:sz w:val="22"/>
        </w:rPr>
        <w:t> siente</w:t>
      </w:r>
      <w:r>
        <w:rPr>
          <w:color w:val="231F1F"/>
          <w:w w:val="105"/>
          <w:sz w:val="22"/>
        </w:rPr>
        <w:t> la</w:t>
      </w:r>
      <w:r>
        <w:rPr>
          <w:color w:val="231F1F"/>
          <w:w w:val="105"/>
          <w:sz w:val="22"/>
        </w:rPr>
        <w:t> mujer, conocer sus necesidades y qué puede contribuir a su comodidad y bienestar y si algo le</w:t>
      </w:r>
      <w:r>
        <w:rPr>
          <w:color w:val="231F1F"/>
          <w:w w:val="105"/>
          <w:sz w:val="22"/>
        </w:rPr>
        <w:t> angustia</w:t>
      </w:r>
      <w:r>
        <w:rPr>
          <w:color w:val="231F1F"/>
          <w:w w:val="105"/>
          <w:sz w:val="22"/>
        </w:rPr>
        <w:t> o</w:t>
      </w:r>
      <w:r>
        <w:rPr>
          <w:color w:val="231F1F"/>
          <w:w w:val="105"/>
          <w:sz w:val="22"/>
        </w:rPr>
        <w:t> le</w:t>
      </w:r>
      <w:r>
        <w:rPr>
          <w:color w:val="231F1F"/>
          <w:w w:val="105"/>
          <w:sz w:val="22"/>
        </w:rPr>
        <w:t> preocupa</w:t>
      </w:r>
      <w:r>
        <w:rPr>
          <w:color w:val="231F1F"/>
          <w:w w:val="105"/>
          <w:sz w:val="22"/>
        </w:rPr>
        <w:t> en</w:t>
      </w:r>
      <w:r>
        <w:rPr>
          <w:color w:val="231F1F"/>
          <w:w w:val="105"/>
          <w:sz w:val="22"/>
        </w:rPr>
        <w:t> especial.</w:t>
      </w:r>
      <w:r>
        <w:rPr>
          <w:color w:val="231F1F"/>
          <w:w w:val="105"/>
          <w:sz w:val="22"/>
        </w:rPr>
        <w:t> Si</w:t>
      </w:r>
      <w:r>
        <w:rPr>
          <w:color w:val="231F1F"/>
          <w:w w:val="105"/>
          <w:sz w:val="22"/>
        </w:rPr>
        <w:t> la</w:t>
      </w:r>
      <w:r>
        <w:rPr>
          <w:color w:val="231F1F"/>
          <w:w w:val="105"/>
          <w:sz w:val="22"/>
        </w:rPr>
        <w:t> mujer</w:t>
      </w:r>
      <w:r>
        <w:rPr>
          <w:color w:val="231F1F"/>
          <w:w w:val="105"/>
          <w:sz w:val="22"/>
        </w:rPr>
        <w:t> tiene</w:t>
      </w:r>
      <w:r>
        <w:rPr>
          <w:color w:val="231F1F"/>
          <w:w w:val="105"/>
          <w:sz w:val="22"/>
        </w:rPr>
        <w:t> un</w:t>
      </w:r>
      <w:r>
        <w:rPr>
          <w:color w:val="231F1F"/>
          <w:w w:val="105"/>
          <w:sz w:val="22"/>
        </w:rPr>
        <w:t> plan</w:t>
      </w:r>
      <w:r>
        <w:rPr>
          <w:color w:val="231F1F"/>
          <w:w w:val="105"/>
          <w:sz w:val="22"/>
        </w:rPr>
        <w:t> concreto</w:t>
      </w:r>
      <w:r>
        <w:rPr>
          <w:color w:val="231F1F"/>
          <w:w w:val="105"/>
          <w:sz w:val="22"/>
        </w:rPr>
        <w:t> sobre</w:t>
      </w:r>
      <w:r>
        <w:rPr>
          <w:color w:val="231F1F"/>
          <w:w w:val="105"/>
          <w:sz w:val="22"/>
        </w:rPr>
        <w:t> el parto,</w:t>
      </w:r>
      <w:r>
        <w:rPr>
          <w:color w:val="231F1F"/>
          <w:w w:val="105"/>
          <w:sz w:val="22"/>
        </w:rPr>
        <w:t> comentarlo</w:t>
      </w:r>
      <w:r>
        <w:rPr>
          <w:color w:val="231F1F"/>
          <w:w w:val="105"/>
          <w:sz w:val="22"/>
        </w:rPr>
        <w:t> con</w:t>
      </w:r>
      <w:r>
        <w:rPr>
          <w:color w:val="231F1F"/>
          <w:w w:val="105"/>
          <w:sz w:val="22"/>
        </w:rPr>
        <w:t> ella.</w:t>
      </w:r>
      <w:r>
        <w:rPr>
          <w:color w:val="231F1F"/>
          <w:w w:val="105"/>
          <w:sz w:val="22"/>
        </w:rPr>
        <w:t> En</w:t>
      </w:r>
      <w:r>
        <w:rPr>
          <w:color w:val="231F1F"/>
          <w:w w:val="105"/>
          <w:sz w:val="22"/>
        </w:rPr>
        <w:t> todos</w:t>
      </w:r>
      <w:r>
        <w:rPr>
          <w:color w:val="231F1F"/>
          <w:w w:val="105"/>
          <w:sz w:val="22"/>
        </w:rPr>
        <w:t> los</w:t>
      </w:r>
      <w:r>
        <w:rPr>
          <w:color w:val="231F1F"/>
          <w:w w:val="105"/>
          <w:sz w:val="22"/>
        </w:rPr>
        <w:t> casos</w:t>
      </w:r>
      <w:r>
        <w:rPr>
          <w:color w:val="231F1F"/>
          <w:w w:val="105"/>
          <w:sz w:val="22"/>
        </w:rPr>
        <w:t> es</w:t>
      </w:r>
      <w:r>
        <w:rPr>
          <w:color w:val="231F1F"/>
          <w:w w:val="105"/>
          <w:sz w:val="22"/>
        </w:rPr>
        <w:t> muy</w:t>
      </w:r>
      <w:r>
        <w:rPr>
          <w:color w:val="231F1F"/>
          <w:w w:val="105"/>
          <w:sz w:val="22"/>
        </w:rPr>
        <w:t> importante</w:t>
      </w:r>
      <w:r>
        <w:rPr>
          <w:color w:val="231F1F"/>
          <w:w w:val="105"/>
          <w:sz w:val="22"/>
        </w:rPr>
        <w:t> conocer</w:t>
      </w:r>
      <w:r>
        <w:rPr>
          <w:color w:val="231F1F"/>
          <w:w w:val="105"/>
          <w:sz w:val="22"/>
        </w:rPr>
        <w:t> las</w:t>
      </w:r>
      <w:r>
        <w:rPr>
          <w:color w:val="231F1F"/>
          <w:w w:val="105"/>
          <w:sz w:val="22"/>
        </w:rPr>
        <w:t> ex- pectativas</w:t>
      </w:r>
      <w:r>
        <w:rPr>
          <w:color w:val="231F1F"/>
          <w:w w:val="105"/>
          <w:sz w:val="22"/>
        </w:rPr>
        <w:t> de</w:t>
      </w:r>
      <w:r>
        <w:rPr>
          <w:color w:val="231F1F"/>
          <w:w w:val="105"/>
          <w:sz w:val="22"/>
        </w:rPr>
        <w:t> la</w:t>
      </w:r>
      <w:r>
        <w:rPr>
          <w:color w:val="231F1F"/>
          <w:w w:val="105"/>
          <w:sz w:val="22"/>
        </w:rPr>
        <w:t> mujer</w:t>
      </w:r>
      <w:r>
        <w:rPr>
          <w:color w:val="231F1F"/>
          <w:w w:val="105"/>
          <w:sz w:val="22"/>
        </w:rPr>
        <w:t> sobre</w:t>
      </w:r>
      <w:r>
        <w:rPr>
          <w:color w:val="231F1F"/>
          <w:w w:val="105"/>
          <w:sz w:val="22"/>
        </w:rPr>
        <w:t> el</w:t>
      </w:r>
      <w:r>
        <w:rPr>
          <w:color w:val="231F1F"/>
          <w:w w:val="105"/>
          <w:sz w:val="22"/>
        </w:rPr>
        <w:t> desarrollo</w:t>
      </w:r>
      <w:r>
        <w:rPr>
          <w:color w:val="231F1F"/>
          <w:w w:val="105"/>
          <w:sz w:val="22"/>
        </w:rPr>
        <w:t> de</w:t>
      </w:r>
      <w:r>
        <w:rPr>
          <w:color w:val="231F1F"/>
          <w:w w:val="105"/>
          <w:sz w:val="22"/>
        </w:rPr>
        <w:t> su</w:t>
      </w:r>
      <w:r>
        <w:rPr>
          <w:color w:val="231F1F"/>
          <w:w w:val="105"/>
          <w:sz w:val="22"/>
        </w:rPr>
        <w:t> parto</w:t>
      </w:r>
      <w:r>
        <w:rPr>
          <w:color w:val="231F1F"/>
          <w:w w:val="105"/>
          <w:sz w:val="22"/>
        </w:rPr>
        <w:t> y</w:t>
      </w:r>
      <w:r>
        <w:rPr>
          <w:color w:val="231F1F"/>
          <w:w w:val="105"/>
          <w:sz w:val="22"/>
        </w:rPr>
        <w:t> el</w:t>
      </w:r>
      <w:r>
        <w:rPr>
          <w:color w:val="231F1F"/>
          <w:w w:val="105"/>
          <w:sz w:val="22"/>
        </w:rPr>
        <w:t> nacimiento</w:t>
      </w:r>
      <w:r>
        <w:rPr>
          <w:color w:val="231F1F"/>
          <w:w w:val="105"/>
          <w:sz w:val="22"/>
        </w:rPr>
        <w:t> del</w:t>
      </w:r>
      <w:r>
        <w:rPr>
          <w:color w:val="231F1F"/>
          <w:w w:val="105"/>
          <w:sz w:val="22"/>
        </w:rPr>
        <w:t> bebé. Favorecer su libertad de movimientos y de expresión emocional, la ingesta de líqui- dos, y respetar su necesidad de no sentirse observada ni enjuiciada.</w:t>
      </w:r>
    </w:p>
    <w:p>
      <w:pPr>
        <w:pStyle w:val="ListParagraph"/>
        <w:numPr>
          <w:ilvl w:val="0"/>
          <w:numId w:val="102"/>
        </w:numPr>
        <w:tabs>
          <w:tab w:pos="954" w:val="left" w:leader="none"/>
          <w:tab w:pos="956" w:val="left" w:leader="none"/>
        </w:tabs>
        <w:spacing w:line="247" w:lineRule="auto" w:before="171" w:after="0"/>
        <w:ind w:left="956" w:right="125" w:hanging="221"/>
        <w:jc w:val="both"/>
        <w:rPr>
          <w:sz w:val="22"/>
        </w:rPr>
      </w:pPr>
      <w:r>
        <w:rPr>
          <w:color w:val="231F1F"/>
          <w:spacing w:val="-2"/>
          <w:w w:val="110"/>
          <w:sz w:val="22"/>
        </w:rPr>
        <w:t>Ofrecer</w:t>
      </w:r>
      <w:r>
        <w:rPr>
          <w:color w:val="231F1F"/>
          <w:spacing w:val="-10"/>
          <w:w w:val="110"/>
          <w:sz w:val="22"/>
        </w:rPr>
        <w:t> </w:t>
      </w:r>
      <w:r>
        <w:rPr>
          <w:color w:val="231F1F"/>
          <w:spacing w:val="-2"/>
          <w:w w:val="110"/>
          <w:sz w:val="22"/>
        </w:rPr>
        <w:t>información</w:t>
      </w:r>
      <w:r>
        <w:rPr>
          <w:color w:val="231F1F"/>
          <w:spacing w:val="-10"/>
          <w:w w:val="110"/>
          <w:sz w:val="22"/>
        </w:rPr>
        <w:t> </w:t>
      </w:r>
      <w:r>
        <w:rPr>
          <w:color w:val="231F1F"/>
          <w:spacing w:val="-2"/>
          <w:w w:val="110"/>
          <w:sz w:val="22"/>
        </w:rPr>
        <w:t>comprensible</w:t>
      </w:r>
      <w:r>
        <w:rPr>
          <w:color w:val="231F1F"/>
          <w:spacing w:val="-10"/>
          <w:w w:val="110"/>
          <w:sz w:val="22"/>
        </w:rPr>
        <w:t> </w:t>
      </w:r>
      <w:r>
        <w:rPr>
          <w:color w:val="231F1F"/>
          <w:spacing w:val="-2"/>
          <w:w w:val="110"/>
          <w:sz w:val="22"/>
        </w:rPr>
        <w:t>y</w:t>
      </w:r>
      <w:r>
        <w:rPr>
          <w:color w:val="231F1F"/>
          <w:spacing w:val="-10"/>
          <w:w w:val="110"/>
          <w:sz w:val="22"/>
        </w:rPr>
        <w:t> </w:t>
      </w:r>
      <w:r>
        <w:rPr>
          <w:color w:val="231F1F"/>
          <w:spacing w:val="-2"/>
          <w:w w:val="110"/>
          <w:sz w:val="22"/>
        </w:rPr>
        <w:t>pertinente,</w:t>
      </w:r>
      <w:r>
        <w:rPr>
          <w:color w:val="231F1F"/>
          <w:spacing w:val="-11"/>
          <w:w w:val="110"/>
          <w:sz w:val="22"/>
        </w:rPr>
        <w:t> </w:t>
      </w:r>
      <w:r>
        <w:rPr>
          <w:color w:val="231F1F"/>
          <w:spacing w:val="-2"/>
          <w:w w:val="110"/>
          <w:sz w:val="22"/>
        </w:rPr>
        <w:t>disipar</w:t>
      </w:r>
      <w:r>
        <w:rPr>
          <w:color w:val="231F1F"/>
          <w:spacing w:val="-10"/>
          <w:w w:val="110"/>
          <w:sz w:val="22"/>
        </w:rPr>
        <w:t> </w:t>
      </w:r>
      <w:r>
        <w:rPr>
          <w:color w:val="231F1F"/>
          <w:spacing w:val="-2"/>
          <w:w w:val="110"/>
          <w:sz w:val="22"/>
        </w:rPr>
        <w:t>ideas</w:t>
      </w:r>
      <w:r>
        <w:rPr>
          <w:color w:val="231F1F"/>
          <w:spacing w:val="-10"/>
          <w:w w:val="110"/>
          <w:sz w:val="22"/>
        </w:rPr>
        <w:t> </w:t>
      </w:r>
      <w:r>
        <w:rPr>
          <w:color w:val="231F1F"/>
          <w:spacing w:val="-2"/>
          <w:w w:val="110"/>
          <w:sz w:val="22"/>
        </w:rPr>
        <w:t>erróneas</w:t>
      </w:r>
      <w:r>
        <w:rPr>
          <w:color w:val="231F1F"/>
          <w:spacing w:val="-9"/>
          <w:w w:val="110"/>
          <w:sz w:val="22"/>
        </w:rPr>
        <w:t> </w:t>
      </w:r>
      <w:r>
        <w:rPr>
          <w:color w:val="231F1F"/>
          <w:spacing w:val="-2"/>
          <w:w w:val="110"/>
          <w:sz w:val="22"/>
        </w:rPr>
        <w:t>y</w:t>
      </w:r>
      <w:r>
        <w:rPr>
          <w:color w:val="231F1F"/>
          <w:spacing w:val="-10"/>
          <w:w w:val="110"/>
          <w:sz w:val="22"/>
        </w:rPr>
        <w:t> </w:t>
      </w:r>
      <w:r>
        <w:rPr>
          <w:color w:val="231F1F"/>
          <w:spacing w:val="-2"/>
          <w:w w:val="110"/>
          <w:sz w:val="22"/>
        </w:rPr>
        <w:t>mostrar</w:t>
      </w:r>
      <w:r>
        <w:rPr>
          <w:color w:val="231F1F"/>
          <w:spacing w:val="-10"/>
          <w:w w:val="110"/>
          <w:sz w:val="22"/>
        </w:rPr>
        <w:t> </w:t>
      </w:r>
      <w:r>
        <w:rPr>
          <w:color w:val="231F1F"/>
          <w:spacing w:val="-2"/>
          <w:w w:val="110"/>
          <w:sz w:val="22"/>
        </w:rPr>
        <w:t>en </w:t>
      </w:r>
      <w:r>
        <w:rPr>
          <w:color w:val="231F1F"/>
          <w:w w:val="110"/>
          <w:sz w:val="22"/>
        </w:rPr>
        <w:t>todo momento apoyo, comprensión y confianza en la capacidad de la mujer de afrontar</w:t>
      </w:r>
      <w:r>
        <w:rPr>
          <w:color w:val="231F1F"/>
          <w:spacing w:val="-16"/>
          <w:w w:val="110"/>
          <w:sz w:val="22"/>
        </w:rPr>
        <w:t> </w:t>
      </w:r>
      <w:r>
        <w:rPr>
          <w:color w:val="231F1F"/>
          <w:w w:val="110"/>
          <w:sz w:val="22"/>
        </w:rPr>
        <w:t>el</w:t>
      </w:r>
      <w:r>
        <w:rPr>
          <w:color w:val="231F1F"/>
          <w:spacing w:val="-15"/>
          <w:w w:val="110"/>
          <w:sz w:val="22"/>
        </w:rPr>
        <w:t> </w:t>
      </w:r>
      <w:r>
        <w:rPr>
          <w:color w:val="231F1F"/>
          <w:w w:val="110"/>
          <w:sz w:val="22"/>
        </w:rPr>
        <w:t>parto.</w:t>
      </w:r>
      <w:r>
        <w:rPr>
          <w:color w:val="231F1F"/>
          <w:spacing w:val="-15"/>
          <w:w w:val="110"/>
          <w:sz w:val="22"/>
        </w:rPr>
        <w:t> </w:t>
      </w:r>
      <w:r>
        <w:rPr>
          <w:color w:val="231F1F"/>
          <w:w w:val="110"/>
          <w:sz w:val="22"/>
        </w:rPr>
        <w:t>Conviene</w:t>
      </w:r>
      <w:r>
        <w:rPr>
          <w:color w:val="231F1F"/>
          <w:spacing w:val="-15"/>
          <w:w w:val="110"/>
          <w:sz w:val="22"/>
        </w:rPr>
        <w:t> </w:t>
      </w:r>
      <w:r>
        <w:rPr>
          <w:color w:val="231F1F"/>
          <w:w w:val="110"/>
          <w:sz w:val="22"/>
        </w:rPr>
        <w:t>evaluar</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conocimiento</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la</w:t>
      </w:r>
      <w:r>
        <w:rPr>
          <w:color w:val="231F1F"/>
          <w:spacing w:val="-16"/>
          <w:w w:val="110"/>
          <w:sz w:val="22"/>
        </w:rPr>
        <w:t> </w:t>
      </w:r>
      <w:r>
        <w:rPr>
          <w:color w:val="231F1F"/>
          <w:w w:val="110"/>
          <w:sz w:val="22"/>
        </w:rPr>
        <w:t>mujer</w:t>
      </w:r>
      <w:r>
        <w:rPr>
          <w:color w:val="231F1F"/>
          <w:spacing w:val="-15"/>
          <w:w w:val="110"/>
          <w:sz w:val="22"/>
        </w:rPr>
        <w:t> </w:t>
      </w:r>
      <w:r>
        <w:rPr>
          <w:color w:val="231F1F"/>
          <w:w w:val="110"/>
          <w:sz w:val="22"/>
        </w:rPr>
        <w:t>tiene</w:t>
      </w:r>
      <w:r>
        <w:rPr>
          <w:color w:val="231F1F"/>
          <w:spacing w:val="-15"/>
          <w:w w:val="110"/>
          <w:sz w:val="22"/>
        </w:rPr>
        <w:t> </w:t>
      </w:r>
      <w:r>
        <w:rPr>
          <w:color w:val="231F1F"/>
          <w:w w:val="110"/>
          <w:sz w:val="22"/>
        </w:rPr>
        <w:t>sobre</w:t>
      </w:r>
      <w:r>
        <w:rPr>
          <w:color w:val="231F1F"/>
          <w:spacing w:val="-15"/>
          <w:w w:val="110"/>
          <w:sz w:val="22"/>
        </w:rPr>
        <w:t> </w:t>
      </w:r>
      <w:r>
        <w:rPr>
          <w:color w:val="231F1F"/>
          <w:w w:val="110"/>
          <w:sz w:val="22"/>
        </w:rPr>
        <w:t>méto- dos</w:t>
      </w:r>
      <w:r>
        <w:rPr>
          <w:color w:val="231F1F"/>
          <w:spacing w:val="-8"/>
          <w:w w:val="110"/>
          <w:sz w:val="22"/>
        </w:rPr>
        <w:t> </w:t>
      </w:r>
      <w:r>
        <w:rPr>
          <w:color w:val="231F1F"/>
          <w:w w:val="110"/>
          <w:sz w:val="22"/>
        </w:rPr>
        <w:t>de</w:t>
      </w:r>
      <w:r>
        <w:rPr>
          <w:color w:val="231F1F"/>
          <w:spacing w:val="-8"/>
          <w:w w:val="110"/>
          <w:sz w:val="22"/>
        </w:rPr>
        <w:t> </w:t>
      </w:r>
      <w:r>
        <w:rPr>
          <w:color w:val="231F1F"/>
          <w:w w:val="110"/>
          <w:sz w:val="22"/>
        </w:rPr>
        <w:t>alivio</w:t>
      </w:r>
      <w:r>
        <w:rPr>
          <w:color w:val="231F1F"/>
          <w:spacing w:val="-8"/>
          <w:w w:val="110"/>
          <w:sz w:val="22"/>
        </w:rPr>
        <w:t> </w:t>
      </w:r>
      <w:r>
        <w:rPr>
          <w:color w:val="231F1F"/>
          <w:w w:val="110"/>
          <w:sz w:val="22"/>
        </w:rPr>
        <w:t>del</w:t>
      </w:r>
      <w:r>
        <w:rPr>
          <w:color w:val="231F1F"/>
          <w:spacing w:val="-9"/>
          <w:w w:val="110"/>
          <w:sz w:val="22"/>
        </w:rPr>
        <w:t> </w:t>
      </w:r>
      <w:r>
        <w:rPr>
          <w:color w:val="231F1F"/>
          <w:w w:val="110"/>
          <w:sz w:val="22"/>
        </w:rPr>
        <w:t>dolor</w:t>
      </w:r>
      <w:r>
        <w:rPr>
          <w:color w:val="231F1F"/>
          <w:spacing w:val="-9"/>
          <w:w w:val="110"/>
          <w:sz w:val="22"/>
        </w:rPr>
        <w:t> </w:t>
      </w:r>
      <w:r>
        <w:rPr>
          <w:color w:val="231F1F"/>
          <w:w w:val="110"/>
          <w:sz w:val="22"/>
        </w:rPr>
        <w:t>para</w:t>
      </w:r>
      <w:r>
        <w:rPr>
          <w:color w:val="231F1F"/>
          <w:spacing w:val="-8"/>
          <w:w w:val="110"/>
          <w:sz w:val="22"/>
        </w:rPr>
        <w:t> </w:t>
      </w:r>
      <w:r>
        <w:rPr>
          <w:color w:val="231F1F"/>
          <w:w w:val="110"/>
          <w:sz w:val="22"/>
        </w:rPr>
        <w:t>poder</w:t>
      </w:r>
      <w:r>
        <w:rPr>
          <w:color w:val="231F1F"/>
          <w:spacing w:val="-9"/>
          <w:w w:val="110"/>
          <w:sz w:val="22"/>
        </w:rPr>
        <w:t> </w:t>
      </w:r>
      <w:r>
        <w:rPr>
          <w:color w:val="231F1F"/>
          <w:w w:val="110"/>
          <w:sz w:val="22"/>
        </w:rPr>
        <w:t>proporcionar</w:t>
      </w:r>
      <w:r>
        <w:rPr>
          <w:color w:val="231F1F"/>
          <w:spacing w:val="-9"/>
          <w:w w:val="110"/>
          <w:sz w:val="22"/>
        </w:rPr>
        <w:t> </w:t>
      </w:r>
      <w:r>
        <w:rPr>
          <w:color w:val="231F1F"/>
          <w:w w:val="110"/>
          <w:sz w:val="22"/>
        </w:rPr>
        <w:t>la</w:t>
      </w:r>
      <w:r>
        <w:rPr>
          <w:color w:val="231F1F"/>
          <w:spacing w:val="-8"/>
          <w:w w:val="110"/>
          <w:sz w:val="22"/>
        </w:rPr>
        <w:t> </w:t>
      </w:r>
      <w:r>
        <w:rPr>
          <w:color w:val="231F1F"/>
          <w:w w:val="110"/>
          <w:sz w:val="22"/>
        </w:rPr>
        <w:t>información</w:t>
      </w:r>
      <w:r>
        <w:rPr>
          <w:color w:val="231F1F"/>
          <w:spacing w:val="-8"/>
          <w:w w:val="110"/>
          <w:sz w:val="22"/>
        </w:rPr>
        <w:t> </w:t>
      </w:r>
      <w:r>
        <w:rPr>
          <w:color w:val="231F1F"/>
          <w:w w:val="110"/>
          <w:sz w:val="22"/>
        </w:rPr>
        <w:t>y</w:t>
      </w:r>
      <w:r>
        <w:rPr>
          <w:color w:val="231F1F"/>
          <w:spacing w:val="-8"/>
          <w:w w:val="110"/>
          <w:sz w:val="22"/>
        </w:rPr>
        <w:t> </w:t>
      </w:r>
      <w:r>
        <w:rPr>
          <w:color w:val="231F1F"/>
          <w:w w:val="110"/>
          <w:sz w:val="22"/>
        </w:rPr>
        <w:t>el</w:t>
      </w:r>
      <w:r>
        <w:rPr>
          <w:color w:val="231F1F"/>
          <w:spacing w:val="-9"/>
          <w:w w:val="110"/>
          <w:sz w:val="22"/>
        </w:rPr>
        <w:t> </w:t>
      </w:r>
      <w:r>
        <w:rPr>
          <w:color w:val="231F1F"/>
          <w:w w:val="110"/>
          <w:sz w:val="22"/>
        </w:rPr>
        <w:t>asesoramiento que le permita la elección de los que mejor se adapten a ella.</w:t>
      </w:r>
    </w:p>
    <w:p>
      <w:pPr>
        <w:pStyle w:val="ListParagraph"/>
        <w:numPr>
          <w:ilvl w:val="0"/>
          <w:numId w:val="102"/>
        </w:numPr>
        <w:tabs>
          <w:tab w:pos="955" w:val="left" w:leader="none"/>
        </w:tabs>
        <w:spacing w:line="249" w:lineRule="auto" w:before="175" w:after="0"/>
        <w:ind w:left="955" w:right="214" w:hanging="219"/>
        <w:jc w:val="both"/>
        <w:rPr>
          <w:sz w:val="22"/>
        </w:rPr>
      </w:pPr>
      <w:r>
        <w:rPr>
          <w:color w:val="231F1F"/>
          <w:sz w:val="22"/>
        </w:rPr>
        <w:t>Centrar</w:t>
      </w:r>
      <w:r>
        <w:rPr>
          <w:color w:val="231F1F"/>
          <w:spacing w:val="26"/>
          <w:sz w:val="22"/>
        </w:rPr>
        <w:t> </w:t>
      </w:r>
      <w:r>
        <w:rPr>
          <w:color w:val="231F1F"/>
          <w:sz w:val="22"/>
        </w:rPr>
        <w:t>la</w:t>
      </w:r>
      <w:r>
        <w:rPr>
          <w:color w:val="231F1F"/>
          <w:spacing w:val="27"/>
          <w:sz w:val="22"/>
        </w:rPr>
        <w:t> </w:t>
      </w:r>
      <w:r>
        <w:rPr>
          <w:color w:val="231F1F"/>
          <w:sz w:val="22"/>
        </w:rPr>
        <w:t>atención</w:t>
      </w:r>
      <w:r>
        <w:rPr>
          <w:color w:val="231F1F"/>
          <w:spacing w:val="26"/>
          <w:sz w:val="22"/>
        </w:rPr>
        <w:t> </w:t>
      </w:r>
      <w:r>
        <w:rPr>
          <w:color w:val="231F1F"/>
          <w:sz w:val="22"/>
        </w:rPr>
        <w:t>de</w:t>
      </w:r>
      <w:r>
        <w:rPr>
          <w:color w:val="231F1F"/>
          <w:spacing w:val="27"/>
          <w:sz w:val="22"/>
        </w:rPr>
        <w:t> </w:t>
      </w:r>
      <w:r>
        <w:rPr>
          <w:color w:val="231F1F"/>
          <w:sz w:val="22"/>
        </w:rPr>
        <w:t>los</w:t>
      </w:r>
      <w:r>
        <w:rPr>
          <w:color w:val="231F1F"/>
          <w:spacing w:val="27"/>
          <w:sz w:val="22"/>
        </w:rPr>
        <w:t> </w:t>
      </w:r>
      <w:r>
        <w:rPr>
          <w:color w:val="231F1F"/>
          <w:sz w:val="22"/>
        </w:rPr>
        <w:t>profesionales</w:t>
      </w:r>
      <w:r>
        <w:rPr>
          <w:color w:val="231F1F"/>
          <w:spacing w:val="26"/>
          <w:sz w:val="22"/>
        </w:rPr>
        <w:t> </w:t>
      </w:r>
      <w:r>
        <w:rPr>
          <w:color w:val="231F1F"/>
          <w:sz w:val="22"/>
        </w:rPr>
        <w:t>en</w:t>
      </w:r>
      <w:r>
        <w:rPr>
          <w:color w:val="231F1F"/>
          <w:spacing w:val="26"/>
          <w:sz w:val="22"/>
        </w:rPr>
        <w:t> </w:t>
      </w:r>
      <w:r>
        <w:rPr>
          <w:color w:val="231F1F"/>
          <w:sz w:val="22"/>
        </w:rPr>
        <w:t>la</w:t>
      </w:r>
      <w:r>
        <w:rPr>
          <w:color w:val="231F1F"/>
          <w:spacing w:val="27"/>
          <w:sz w:val="22"/>
        </w:rPr>
        <w:t> </w:t>
      </w:r>
      <w:r>
        <w:rPr>
          <w:color w:val="231F1F"/>
          <w:sz w:val="22"/>
        </w:rPr>
        <w:t>mujer</w:t>
      </w:r>
      <w:r>
        <w:rPr>
          <w:color w:val="231F1F"/>
          <w:spacing w:val="27"/>
          <w:sz w:val="22"/>
        </w:rPr>
        <w:t> </w:t>
      </w:r>
      <w:r>
        <w:rPr>
          <w:color w:val="231F1F"/>
          <w:sz w:val="22"/>
        </w:rPr>
        <w:t>y</w:t>
      </w:r>
      <w:r>
        <w:rPr>
          <w:color w:val="231F1F"/>
          <w:spacing w:val="27"/>
          <w:sz w:val="22"/>
        </w:rPr>
        <w:t> </w:t>
      </w:r>
      <w:r>
        <w:rPr>
          <w:color w:val="231F1F"/>
          <w:sz w:val="22"/>
        </w:rPr>
        <w:t>no</w:t>
      </w:r>
      <w:r>
        <w:rPr>
          <w:color w:val="231F1F"/>
          <w:spacing w:val="27"/>
          <w:sz w:val="22"/>
        </w:rPr>
        <w:t> </w:t>
      </w:r>
      <w:r>
        <w:rPr>
          <w:color w:val="231F1F"/>
          <w:sz w:val="22"/>
        </w:rPr>
        <w:t>en</w:t>
      </w:r>
      <w:r>
        <w:rPr>
          <w:color w:val="231F1F"/>
          <w:spacing w:val="27"/>
          <w:sz w:val="22"/>
        </w:rPr>
        <w:t> </w:t>
      </w:r>
      <w:r>
        <w:rPr>
          <w:color w:val="231F1F"/>
          <w:sz w:val="22"/>
        </w:rPr>
        <w:t>el</w:t>
      </w:r>
      <w:r>
        <w:rPr>
          <w:color w:val="231F1F"/>
          <w:spacing w:val="27"/>
          <w:sz w:val="22"/>
        </w:rPr>
        <w:t> </w:t>
      </w:r>
      <w:r>
        <w:rPr>
          <w:color w:val="231F1F"/>
          <w:sz w:val="22"/>
        </w:rPr>
        <w:t>cardiotocógrafo</w:t>
      </w:r>
      <w:r>
        <w:rPr>
          <w:color w:val="231F1F"/>
          <w:spacing w:val="26"/>
          <w:sz w:val="22"/>
        </w:rPr>
        <w:t> </w:t>
      </w:r>
      <w:r>
        <w:rPr>
          <w:color w:val="231F1F"/>
          <w:sz w:val="22"/>
        </w:rPr>
        <w:t>o</w:t>
      </w:r>
      <w:r>
        <w:rPr>
          <w:color w:val="231F1F"/>
          <w:spacing w:val="27"/>
          <w:sz w:val="22"/>
        </w:rPr>
        <w:t> </w:t>
      </w:r>
      <w:r>
        <w:rPr>
          <w:color w:val="231F1F"/>
          <w:sz w:val="22"/>
        </w:rPr>
        <w:t>en la documentación clínica.</w:t>
      </w:r>
    </w:p>
    <w:p>
      <w:pPr>
        <w:pStyle w:val="ListParagraph"/>
        <w:numPr>
          <w:ilvl w:val="0"/>
          <w:numId w:val="102"/>
        </w:numPr>
        <w:tabs>
          <w:tab w:pos="955" w:val="left" w:leader="none"/>
        </w:tabs>
        <w:spacing w:line="252" w:lineRule="auto" w:before="175" w:after="0"/>
        <w:ind w:left="955" w:right="123" w:hanging="221"/>
        <w:jc w:val="both"/>
        <w:rPr>
          <w:sz w:val="22"/>
        </w:rPr>
      </w:pPr>
      <w:r>
        <w:rPr>
          <w:color w:val="231F1F"/>
          <w:w w:val="105"/>
          <w:sz w:val="22"/>
        </w:rPr>
        <w:t>Obtener</w:t>
      </w:r>
      <w:r>
        <w:rPr>
          <w:color w:val="231F1F"/>
          <w:w w:val="105"/>
          <w:sz w:val="22"/>
        </w:rPr>
        <w:t> el</w:t>
      </w:r>
      <w:r>
        <w:rPr>
          <w:color w:val="231F1F"/>
          <w:w w:val="105"/>
          <w:sz w:val="22"/>
        </w:rPr>
        <w:t> consentimiento</w:t>
      </w:r>
      <w:r>
        <w:rPr>
          <w:color w:val="231F1F"/>
          <w:w w:val="105"/>
          <w:sz w:val="22"/>
        </w:rPr>
        <w:t> verbal</w:t>
      </w:r>
      <w:r>
        <w:rPr>
          <w:color w:val="231F1F"/>
          <w:w w:val="105"/>
          <w:sz w:val="22"/>
        </w:rPr>
        <w:t> de</w:t>
      </w:r>
      <w:r>
        <w:rPr>
          <w:color w:val="231F1F"/>
          <w:w w:val="105"/>
          <w:sz w:val="22"/>
        </w:rPr>
        <w:t> la</w:t>
      </w:r>
      <w:r>
        <w:rPr>
          <w:color w:val="231F1F"/>
          <w:w w:val="105"/>
          <w:sz w:val="22"/>
        </w:rPr>
        <w:t> mujer</w:t>
      </w:r>
      <w:r>
        <w:rPr>
          <w:color w:val="231F1F"/>
          <w:w w:val="105"/>
          <w:sz w:val="22"/>
        </w:rPr>
        <w:t> antes</w:t>
      </w:r>
      <w:r>
        <w:rPr>
          <w:color w:val="231F1F"/>
          <w:w w:val="105"/>
          <w:sz w:val="22"/>
        </w:rPr>
        <w:t> de</w:t>
      </w:r>
      <w:r>
        <w:rPr>
          <w:color w:val="231F1F"/>
          <w:w w:val="105"/>
          <w:sz w:val="22"/>
        </w:rPr>
        <w:t> realizar</w:t>
      </w:r>
      <w:r>
        <w:rPr>
          <w:color w:val="231F1F"/>
          <w:w w:val="105"/>
          <w:sz w:val="22"/>
        </w:rPr>
        <w:t> cualquier</w:t>
      </w:r>
      <w:r>
        <w:rPr>
          <w:color w:val="231F1F"/>
          <w:w w:val="105"/>
          <w:sz w:val="22"/>
        </w:rPr>
        <w:t> procedi- miento</w:t>
      </w:r>
      <w:r>
        <w:rPr>
          <w:color w:val="231F1F"/>
          <w:spacing w:val="-3"/>
          <w:w w:val="105"/>
          <w:sz w:val="22"/>
        </w:rPr>
        <w:t> </w:t>
      </w:r>
      <w:r>
        <w:rPr>
          <w:color w:val="231F1F"/>
          <w:w w:val="105"/>
          <w:sz w:val="22"/>
        </w:rPr>
        <w:t>o</w:t>
      </w:r>
      <w:r>
        <w:rPr>
          <w:color w:val="231F1F"/>
          <w:spacing w:val="-3"/>
          <w:w w:val="105"/>
          <w:sz w:val="22"/>
        </w:rPr>
        <w:t> </w:t>
      </w:r>
      <w:r>
        <w:rPr>
          <w:color w:val="231F1F"/>
          <w:w w:val="105"/>
          <w:sz w:val="22"/>
        </w:rPr>
        <w:t>examen,</w:t>
      </w:r>
      <w:r>
        <w:rPr>
          <w:color w:val="231F1F"/>
          <w:spacing w:val="-3"/>
          <w:w w:val="105"/>
          <w:sz w:val="22"/>
        </w:rPr>
        <w:t> </w:t>
      </w:r>
      <w:r>
        <w:rPr>
          <w:color w:val="231F1F"/>
          <w:w w:val="105"/>
          <w:sz w:val="22"/>
        </w:rPr>
        <w:t>y</w:t>
      </w:r>
      <w:r>
        <w:rPr>
          <w:color w:val="231F1F"/>
          <w:spacing w:val="-3"/>
          <w:w w:val="105"/>
          <w:sz w:val="22"/>
        </w:rPr>
        <w:t> </w:t>
      </w:r>
      <w:r>
        <w:rPr>
          <w:color w:val="231F1F"/>
          <w:w w:val="105"/>
          <w:sz w:val="22"/>
        </w:rPr>
        <w:t>explicar</w:t>
      </w:r>
      <w:r>
        <w:rPr>
          <w:color w:val="231F1F"/>
          <w:spacing w:val="-3"/>
          <w:w w:val="105"/>
          <w:sz w:val="22"/>
        </w:rPr>
        <w:t> </w:t>
      </w:r>
      <w:r>
        <w:rPr>
          <w:color w:val="231F1F"/>
          <w:w w:val="105"/>
          <w:sz w:val="22"/>
        </w:rPr>
        <w:t>y</w:t>
      </w:r>
      <w:r>
        <w:rPr>
          <w:color w:val="231F1F"/>
          <w:spacing w:val="-3"/>
          <w:w w:val="105"/>
          <w:sz w:val="22"/>
        </w:rPr>
        <w:t> </w:t>
      </w:r>
      <w:r>
        <w:rPr>
          <w:color w:val="231F1F"/>
          <w:w w:val="105"/>
          <w:sz w:val="22"/>
        </w:rPr>
        <w:t>solicitar</w:t>
      </w:r>
      <w:r>
        <w:rPr>
          <w:color w:val="231F1F"/>
          <w:spacing w:val="-3"/>
          <w:w w:val="105"/>
          <w:sz w:val="22"/>
        </w:rPr>
        <w:t> </w:t>
      </w:r>
      <w:r>
        <w:rPr>
          <w:color w:val="231F1F"/>
          <w:w w:val="105"/>
          <w:sz w:val="22"/>
        </w:rPr>
        <w:t>su</w:t>
      </w:r>
      <w:r>
        <w:rPr>
          <w:color w:val="231F1F"/>
          <w:spacing w:val="-3"/>
          <w:w w:val="105"/>
          <w:sz w:val="22"/>
        </w:rPr>
        <w:t> </w:t>
      </w:r>
      <w:r>
        <w:rPr>
          <w:color w:val="231F1F"/>
          <w:w w:val="105"/>
          <w:sz w:val="22"/>
        </w:rPr>
        <w:t>permiso</w:t>
      </w:r>
      <w:r>
        <w:rPr>
          <w:color w:val="231F1F"/>
          <w:spacing w:val="-3"/>
          <w:w w:val="105"/>
          <w:sz w:val="22"/>
        </w:rPr>
        <w:t> </w:t>
      </w:r>
      <w:r>
        <w:rPr>
          <w:color w:val="231F1F"/>
          <w:w w:val="105"/>
          <w:sz w:val="22"/>
        </w:rPr>
        <w:t>si</w:t>
      </w:r>
      <w:r>
        <w:rPr>
          <w:color w:val="231F1F"/>
          <w:spacing w:val="-3"/>
          <w:w w:val="105"/>
          <w:sz w:val="22"/>
        </w:rPr>
        <w:t> </w:t>
      </w:r>
      <w:r>
        <w:rPr>
          <w:color w:val="231F1F"/>
          <w:w w:val="105"/>
          <w:sz w:val="22"/>
        </w:rPr>
        <w:t>le</w:t>
      </w:r>
      <w:r>
        <w:rPr>
          <w:color w:val="231F1F"/>
          <w:spacing w:val="-3"/>
          <w:w w:val="105"/>
          <w:sz w:val="22"/>
        </w:rPr>
        <w:t> </w:t>
      </w:r>
      <w:r>
        <w:rPr>
          <w:color w:val="231F1F"/>
          <w:w w:val="105"/>
          <w:sz w:val="22"/>
        </w:rPr>
        <w:t>proponemos</w:t>
      </w:r>
      <w:r>
        <w:rPr>
          <w:color w:val="231F1F"/>
          <w:spacing w:val="-3"/>
          <w:w w:val="105"/>
          <w:sz w:val="22"/>
        </w:rPr>
        <w:t> </w:t>
      </w:r>
      <w:r>
        <w:rPr>
          <w:color w:val="231F1F"/>
          <w:w w:val="105"/>
          <w:sz w:val="22"/>
        </w:rPr>
        <w:t>una</w:t>
      </w:r>
      <w:r>
        <w:rPr>
          <w:color w:val="231F1F"/>
          <w:spacing w:val="-3"/>
          <w:w w:val="105"/>
          <w:sz w:val="22"/>
        </w:rPr>
        <w:t> </w:t>
      </w:r>
      <w:r>
        <w:rPr>
          <w:color w:val="231F1F"/>
          <w:w w:val="105"/>
          <w:sz w:val="22"/>
        </w:rPr>
        <w:t>exploración con fines docentes o ésta va a ser repetida por profesionales en formación. Solicitar permiso</w:t>
      </w:r>
      <w:r>
        <w:rPr>
          <w:color w:val="231F1F"/>
          <w:spacing w:val="40"/>
          <w:w w:val="105"/>
          <w:sz w:val="22"/>
        </w:rPr>
        <w:t> </w:t>
      </w:r>
      <w:r>
        <w:rPr>
          <w:color w:val="231F1F"/>
          <w:w w:val="105"/>
          <w:sz w:val="22"/>
        </w:rPr>
        <w:t>para</w:t>
      </w:r>
      <w:r>
        <w:rPr>
          <w:color w:val="231F1F"/>
          <w:spacing w:val="40"/>
          <w:w w:val="105"/>
          <w:sz w:val="22"/>
        </w:rPr>
        <w:t> </w:t>
      </w:r>
      <w:r>
        <w:rPr>
          <w:color w:val="231F1F"/>
          <w:w w:val="105"/>
          <w:sz w:val="22"/>
        </w:rPr>
        <w:t>la</w:t>
      </w:r>
      <w:r>
        <w:rPr>
          <w:color w:val="231F1F"/>
          <w:spacing w:val="40"/>
          <w:w w:val="105"/>
          <w:sz w:val="22"/>
        </w:rPr>
        <w:t> </w:t>
      </w:r>
      <w:r>
        <w:rPr>
          <w:color w:val="231F1F"/>
          <w:w w:val="105"/>
          <w:sz w:val="22"/>
        </w:rPr>
        <w:t>permanencia</w:t>
      </w:r>
      <w:r>
        <w:rPr>
          <w:color w:val="231F1F"/>
          <w:spacing w:val="40"/>
          <w:w w:val="105"/>
          <w:sz w:val="22"/>
        </w:rPr>
        <w:t> </w:t>
      </w:r>
      <w:r>
        <w:rPr>
          <w:color w:val="231F1F"/>
          <w:w w:val="105"/>
          <w:sz w:val="22"/>
        </w:rPr>
        <w:t>durante</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parto</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personal</w:t>
      </w:r>
      <w:r>
        <w:rPr>
          <w:color w:val="231F1F"/>
          <w:spacing w:val="40"/>
          <w:w w:val="105"/>
          <w:sz w:val="22"/>
        </w:rPr>
        <w:t> </w:t>
      </w:r>
      <w:r>
        <w:rPr>
          <w:color w:val="231F1F"/>
          <w:w w:val="105"/>
          <w:sz w:val="22"/>
        </w:rPr>
        <w:t>en</w:t>
      </w:r>
      <w:r>
        <w:rPr>
          <w:color w:val="231F1F"/>
          <w:spacing w:val="40"/>
          <w:w w:val="105"/>
          <w:sz w:val="22"/>
        </w:rPr>
        <w:t> </w:t>
      </w:r>
      <w:r>
        <w:rPr>
          <w:color w:val="231F1F"/>
          <w:w w:val="105"/>
          <w:sz w:val="22"/>
        </w:rPr>
        <w:t>formación.</w:t>
      </w:r>
    </w:p>
    <w:p>
      <w:pPr>
        <w:pStyle w:val="ListParagraph"/>
        <w:numPr>
          <w:ilvl w:val="0"/>
          <w:numId w:val="102"/>
        </w:numPr>
        <w:tabs>
          <w:tab w:pos="955" w:val="left" w:leader="none"/>
        </w:tabs>
        <w:spacing w:line="247" w:lineRule="auto" w:before="161" w:after="0"/>
        <w:ind w:left="955" w:right="119" w:hanging="221"/>
        <w:jc w:val="both"/>
        <w:rPr>
          <w:sz w:val="22"/>
        </w:rPr>
      </w:pPr>
      <w:r>
        <w:rPr>
          <w:color w:val="231F1F"/>
          <w:w w:val="105"/>
          <w:sz w:val="22"/>
        </w:rPr>
        <w:t>Ayudar</w:t>
      </w:r>
      <w:r>
        <w:rPr>
          <w:color w:val="231F1F"/>
          <w:w w:val="105"/>
          <w:sz w:val="22"/>
        </w:rPr>
        <w:t> a</w:t>
      </w:r>
      <w:r>
        <w:rPr>
          <w:color w:val="231F1F"/>
          <w:w w:val="105"/>
          <w:sz w:val="22"/>
        </w:rPr>
        <w:t> la</w:t>
      </w:r>
      <w:r>
        <w:rPr>
          <w:color w:val="231F1F"/>
          <w:w w:val="105"/>
          <w:sz w:val="22"/>
        </w:rPr>
        <w:t> persona</w:t>
      </w:r>
      <w:r>
        <w:rPr>
          <w:color w:val="231F1F"/>
          <w:w w:val="105"/>
          <w:sz w:val="22"/>
        </w:rPr>
        <w:t> acompañante</w:t>
      </w:r>
      <w:r>
        <w:rPr>
          <w:color w:val="231F1F"/>
          <w:w w:val="105"/>
          <w:sz w:val="22"/>
        </w:rPr>
        <w:t> a</w:t>
      </w:r>
      <w:r>
        <w:rPr>
          <w:color w:val="231F1F"/>
          <w:w w:val="105"/>
          <w:sz w:val="22"/>
        </w:rPr>
        <w:t> que</w:t>
      </w:r>
      <w:r>
        <w:rPr>
          <w:color w:val="231F1F"/>
          <w:w w:val="105"/>
          <w:sz w:val="22"/>
        </w:rPr>
        <w:t> con</w:t>
      </w:r>
      <w:r>
        <w:rPr>
          <w:color w:val="231F1F"/>
          <w:w w:val="105"/>
          <w:sz w:val="22"/>
        </w:rPr>
        <w:t> serenidad,</w:t>
      </w:r>
      <w:r>
        <w:rPr>
          <w:color w:val="231F1F"/>
          <w:w w:val="105"/>
          <w:sz w:val="22"/>
        </w:rPr>
        <w:t> discreción</w:t>
      </w:r>
      <w:r>
        <w:rPr>
          <w:color w:val="231F1F"/>
          <w:w w:val="105"/>
          <w:sz w:val="22"/>
        </w:rPr>
        <w:t> y</w:t>
      </w:r>
      <w:r>
        <w:rPr>
          <w:color w:val="231F1F"/>
          <w:w w:val="105"/>
          <w:sz w:val="22"/>
        </w:rPr>
        <w:t> confianza</w:t>
      </w:r>
      <w:r>
        <w:rPr>
          <w:color w:val="231F1F"/>
          <w:w w:val="105"/>
          <w:sz w:val="22"/>
        </w:rPr>
        <w:t> en</w:t>
      </w:r>
      <w:r>
        <w:rPr>
          <w:color w:val="231F1F"/>
          <w:spacing w:val="80"/>
          <w:w w:val="150"/>
          <w:sz w:val="22"/>
        </w:rPr>
        <w:t> </w:t>
      </w:r>
      <w:r>
        <w:rPr>
          <w:color w:val="231F1F"/>
          <w:w w:val="105"/>
          <w:sz w:val="22"/>
        </w:rPr>
        <w:t>las posibilidades de la mujer, muestren una total disponibilidad hacia ella, así como el máximo respeto a sus decisiones. Enseñar a procurar confort y a practicar masa-</w:t>
      </w:r>
      <w:r>
        <w:rPr>
          <w:color w:val="231F1F"/>
          <w:spacing w:val="40"/>
          <w:w w:val="105"/>
          <w:sz w:val="22"/>
        </w:rPr>
        <w:t> </w:t>
      </w:r>
      <w:r>
        <w:rPr>
          <w:color w:val="231F1F"/>
          <w:w w:val="105"/>
          <w:sz w:val="22"/>
        </w:rPr>
        <w:t>je para alivio del dolor, si la mujer lo reclama.</w:t>
      </w:r>
    </w:p>
    <w:p>
      <w:pPr>
        <w:pStyle w:val="ListParagraph"/>
        <w:numPr>
          <w:ilvl w:val="1"/>
          <w:numId w:val="102"/>
        </w:numPr>
        <w:tabs>
          <w:tab w:pos="1019" w:val="left" w:leader="none"/>
        </w:tabs>
        <w:spacing w:line="244" w:lineRule="auto" w:before="168" w:after="0"/>
        <w:ind w:left="1019" w:right="123" w:hanging="165"/>
        <w:jc w:val="both"/>
        <w:rPr>
          <w:sz w:val="22"/>
        </w:rPr>
      </w:pPr>
      <w:r>
        <w:rPr>
          <w:color w:val="231F1F"/>
          <w:w w:val="105"/>
          <w:sz w:val="22"/>
        </w:rPr>
        <w:t>Informar</w:t>
      </w:r>
      <w:r>
        <w:rPr>
          <w:color w:val="231F1F"/>
          <w:spacing w:val="30"/>
          <w:w w:val="105"/>
          <w:sz w:val="22"/>
        </w:rPr>
        <w:t> </w:t>
      </w:r>
      <w:r>
        <w:rPr>
          <w:color w:val="231F1F"/>
          <w:w w:val="105"/>
          <w:sz w:val="22"/>
        </w:rPr>
        <w:t>a</w:t>
      </w:r>
      <w:r>
        <w:rPr>
          <w:color w:val="231F1F"/>
          <w:spacing w:val="-1"/>
          <w:w w:val="105"/>
          <w:sz w:val="22"/>
        </w:rPr>
        <w:t> </w:t>
      </w:r>
      <w:r>
        <w:rPr>
          <w:color w:val="231F1F"/>
          <w:w w:val="105"/>
          <w:sz w:val="22"/>
        </w:rPr>
        <w:t>la</w:t>
      </w:r>
      <w:r>
        <w:rPr>
          <w:color w:val="231F1F"/>
          <w:spacing w:val="-1"/>
          <w:w w:val="105"/>
          <w:sz w:val="22"/>
        </w:rPr>
        <w:t> </w:t>
      </w:r>
      <w:r>
        <w:rPr>
          <w:color w:val="231F1F"/>
          <w:w w:val="105"/>
          <w:sz w:val="22"/>
        </w:rPr>
        <w:t>mujer</w:t>
      </w:r>
      <w:r>
        <w:rPr>
          <w:color w:val="231F1F"/>
          <w:spacing w:val="-2"/>
          <w:w w:val="105"/>
          <w:sz w:val="22"/>
        </w:rPr>
        <w:t> </w:t>
      </w:r>
      <w:r>
        <w:rPr>
          <w:color w:val="231F1F"/>
          <w:w w:val="105"/>
          <w:sz w:val="22"/>
        </w:rPr>
        <w:t>y</w:t>
      </w:r>
      <w:r>
        <w:rPr>
          <w:color w:val="231F1F"/>
          <w:spacing w:val="-1"/>
          <w:w w:val="105"/>
          <w:sz w:val="22"/>
        </w:rPr>
        <w:t> </w:t>
      </w:r>
      <w:r>
        <w:rPr>
          <w:color w:val="231F1F"/>
          <w:w w:val="105"/>
          <w:sz w:val="22"/>
        </w:rPr>
        <w:t>a</w:t>
      </w:r>
      <w:r>
        <w:rPr>
          <w:color w:val="231F1F"/>
          <w:spacing w:val="-1"/>
          <w:w w:val="105"/>
          <w:sz w:val="22"/>
        </w:rPr>
        <w:t> </w:t>
      </w:r>
      <w:r>
        <w:rPr>
          <w:color w:val="231F1F"/>
          <w:w w:val="105"/>
          <w:sz w:val="22"/>
        </w:rPr>
        <w:t>la</w:t>
      </w:r>
      <w:r>
        <w:rPr>
          <w:color w:val="231F1F"/>
          <w:spacing w:val="-1"/>
          <w:w w:val="105"/>
          <w:sz w:val="22"/>
        </w:rPr>
        <w:t> </w:t>
      </w:r>
      <w:r>
        <w:rPr>
          <w:color w:val="231F1F"/>
          <w:w w:val="105"/>
          <w:sz w:val="22"/>
        </w:rPr>
        <w:t>persona</w:t>
      </w:r>
      <w:r>
        <w:rPr>
          <w:color w:val="231F1F"/>
          <w:spacing w:val="-2"/>
          <w:w w:val="105"/>
          <w:sz w:val="22"/>
        </w:rPr>
        <w:t> </w:t>
      </w:r>
      <w:r>
        <w:rPr>
          <w:color w:val="231F1F"/>
          <w:w w:val="105"/>
          <w:sz w:val="22"/>
        </w:rPr>
        <w:t>acompañante,</w:t>
      </w:r>
      <w:r>
        <w:rPr>
          <w:color w:val="231F1F"/>
          <w:spacing w:val="-1"/>
          <w:w w:val="105"/>
          <w:sz w:val="22"/>
        </w:rPr>
        <w:t> </w:t>
      </w:r>
      <w:r>
        <w:rPr>
          <w:color w:val="231F1F"/>
          <w:w w:val="105"/>
          <w:sz w:val="22"/>
        </w:rPr>
        <w:t>al</w:t>
      </w:r>
      <w:r>
        <w:rPr>
          <w:color w:val="231F1F"/>
          <w:spacing w:val="-2"/>
          <w:w w:val="105"/>
          <w:sz w:val="22"/>
        </w:rPr>
        <w:t> </w:t>
      </w:r>
      <w:r>
        <w:rPr>
          <w:color w:val="231F1F"/>
          <w:w w:val="105"/>
          <w:sz w:val="22"/>
        </w:rPr>
        <w:t>salir</w:t>
      </w:r>
      <w:r>
        <w:rPr>
          <w:color w:val="231F1F"/>
          <w:spacing w:val="-2"/>
          <w:w w:val="105"/>
          <w:sz w:val="22"/>
        </w:rPr>
        <w:t> </w:t>
      </w:r>
      <w:r>
        <w:rPr>
          <w:color w:val="231F1F"/>
          <w:w w:val="105"/>
          <w:sz w:val="22"/>
        </w:rPr>
        <w:t>de</w:t>
      </w:r>
      <w:r>
        <w:rPr>
          <w:color w:val="231F1F"/>
          <w:spacing w:val="-2"/>
          <w:w w:val="105"/>
          <w:sz w:val="22"/>
        </w:rPr>
        <w:t> </w:t>
      </w:r>
      <w:r>
        <w:rPr>
          <w:color w:val="231F1F"/>
          <w:w w:val="105"/>
          <w:sz w:val="22"/>
        </w:rPr>
        <w:t>la</w:t>
      </w:r>
      <w:r>
        <w:rPr>
          <w:color w:val="231F1F"/>
          <w:spacing w:val="-1"/>
          <w:w w:val="105"/>
          <w:sz w:val="22"/>
        </w:rPr>
        <w:t> </w:t>
      </w:r>
      <w:r>
        <w:rPr>
          <w:color w:val="231F1F"/>
          <w:w w:val="105"/>
          <w:sz w:val="22"/>
        </w:rPr>
        <w:t>habitación,</w:t>
      </w:r>
      <w:r>
        <w:rPr>
          <w:color w:val="231F1F"/>
          <w:spacing w:val="-1"/>
          <w:w w:val="105"/>
          <w:sz w:val="22"/>
        </w:rPr>
        <w:t> </w:t>
      </w:r>
      <w:r>
        <w:rPr>
          <w:color w:val="231F1F"/>
          <w:w w:val="105"/>
          <w:sz w:val="22"/>
        </w:rPr>
        <w:t>de</w:t>
      </w:r>
      <w:r>
        <w:rPr>
          <w:color w:val="231F1F"/>
          <w:spacing w:val="-1"/>
          <w:w w:val="105"/>
          <w:sz w:val="22"/>
        </w:rPr>
        <w:t> </w:t>
      </w:r>
      <w:r>
        <w:rPr>
          <w:color w:val="231F1F"/>
          <w:w w:val="105"/>
          <w:sz w:val="22"/>
        </w:rPr>
        <w:t>cuando se volverá, así como de cualquier cambio de profesional o de que se ha reclamado</w:t>
      </w:r>
    </w:p>
    <w:p>
      <w:pPr>
        <w:pStyle w:val="ListParagraph"/>
        <w:spacing w:after="0" w:line="244" w:lineRule="auto"/>
        <w:jc w:val="both"/>
        <w:rPr>
          <w:sz w:val="22"/>
        </w:rPr>
        <w:sectPr>
          <w:pgSz w:w="11900" w:h="16840"/>
          <w:pgMar w:header="0" w:footer="622" w:top="1540" w:bottom="820" w:left="1417" w:right="1559"/>
        </w:sectPr>
      </w:pPr>
    </w:p>
    <w:p>
      <w:pPr>
        <w:pStyle w:val="BodyText"/>
        <w:spacing w:line="244" w:lineRule="auto" w:before="73"/>
        <w:ind w:left="956"/>
      </w:pPr>
      <w:r>
        <w:rPr>
          <w:color w:val="231F1F"/>
          <w:w w:val="110"/>
        </w:rPr>
        <w:t>la</w:t>
      </w:r>
      <w:r>
        <w:rPr>
          <w:color w:val="231F1F"/>
          <w:spacing w:val="-9"/>
          <w:w w:val="110"/>
        </w:rPr>
        <w:t> </w:t>
      </w:r>
      <w:r>
        <w:rPr>
          <w:color w:val="231F1F"/>
          <w:w w:val="110"/>
        </w:rPr>
        <w:t>intervención</w:t>
      </w:r>
      <w:r>
        <w:rPr>
          <w:color w:val="231F1F"/>
          <w:spacing w:val="-9"/>
          <w:w w:val="110"/>
        </w:rPr>
        <w:t> </w:t>
      </w:r>
      <w:r>
        <w:rPr>
          <w:color w:val="231F1F"/>
          <w:w w:val="110"/>
        </w:rPr>
        <w:t>de</w:t>
      </w:r>
      <w:r>
        <w:rPr>
          <w:color w:val="231F1F"/>
          <w:spacing w:val="-9"/>
          <w:w w:val="110"/>
        </w:rPr>
        <w:t> </w:t>
      </w:r>
      <w:r>
        <w:rPr>
          <w:color w:val="231F1F"/>
          <w:w w:val="110"/>
        </w:rPr>
        <w:t>otros</w:t>
      </w:r>
      <w:r>
        <w:rPr>
          <w:color w:val="231F1F"/>
          <w:spacing w:val="-9"/>
          <w:w w:val="110"/>
        </w:rPr>
        <w:t> </w:t>
      </w:r>
      <w:r>
        <w:rPr>
          <w:color w:val="231F1F"/>
          <w:w w:val="110"/>
        </w:rPr>
        <w:t>especialistas.</w:t>
      </w:r>
      <w:r>
        <w:rPr>
          <w:color w:val="231F1F"/>
          <w:spacing w:val="-9"/>
          <w:w w:val="110"/>
        </w:rPr>
        <w:t> </w:t>
      </w:r>
      <w:r>
        <w:rPr>
          <w:color w:val="231F1F"/>
          <w:w w:val="110"/>
        </w:rPr>
        <w:t>Estos</w:t>
      </w:r>
      <w:r>
        <w:rPr>
          <w:color w:val="231F1F"/>
          <w:spacing w:val="-9"/>
          <w:w w:val="110"/>
        </w:rPr>
        <w:t> </w:t>
      </w:r>
      <w:r>
        <w:rPr>
          <w:color w:val="231F1F"/>
          <w:w w:val="110"/>
        </w:rPr>
        <w:t>deberán</w:t>
      </w:r>
      <w:r>
        <w:rPr>
          <w:color w:val="231F1F"/>
          <w:spacing w:val="-9"/>
          <w:w w:val="110"/>
        </w:rPr>
        <w:t> </w:t>
      </w:r>
      <w:r>
        <w:rPr>
          <w:color w:val="231F1F"/>
          <w:w w:val="110"/>
        </w:rPr>
        <w:t>presentarse</w:t>
      </w:r>
      <w:r>
        <w:rPr>
          <w:color w:val="231F1F"/>
          <w:spacing w:val="-9"/>
          <w:w w:val="110"/>
        </w:rPr>
        <w:t> </w:t>
      </w:r>
      <w:r>
        <w:rPr>
          <w:color w:val="231F1F"/>
          <w:w w:val="110"/>
        </w:rPr>
        <w:t>y</w:t>
      </w:r>
      <w:r>
        <w:rPr>
          <w:color w:val="231F1F"/>
          <w:spacing w:val="-9"/>
          <w:w w:val="110"/>
        </w:rPr>
        <w:t> </w:t>
      </w:r>
      <w:r>
        <w:rPr>
          <w:color w:val="231F1F"/>
          <w:w w:val="110"/>
        </w:rPr>
        <w:t>explicar</w:t>
      </w:r>
      <w:r>
        <w:rPr>
          <w:color w:val="231F1F"/>
          <w:spacing w:val="-9"/>
          <w:w w:val="110"/>
        </w:rPr>
        <w:t> </w:t>
      </w:r>
      <w:r>
        <w:rPr>
          <w:color w:val="231F1F"/>
          <w:w w:val="110"/>
        </w:rPr>
        <w:t>el</w:t>
      </w:r>
      <w:r>
        <w:rPr>
          <w:color w:val="231F1F"/>
          <w:spacing w:val="-9"/>
          <w:w w:val="110"/>
        </w:rPr>
        <w:t> </w:t>
      </w:r>
      <w:r>
        <w:rPr>
          <w:color w:val="231F1F"/>
          <w:w w:val="110"/>
        </w:rPr>
        <w:t>por qué de su concurso.</w:t>
      </w:r>
    </w:p>
    <w:p>
      <w:pPr>
        <w:pStyle w:val="ListParagraph"/>
        <w:numPr>
          <w:ilvl w:val="0"/>
          <w:numId w:val="102"/>
        </w:numPr>
        <w:tabs>
          <w:tab w:pos="954" w:val="left" w:leader="none"/>
          <w:tab w:pos="957" w:val="left" w:leader="none"/>
        </w:tabs>
        <w:spacing w:line="244" w:lineRule="auto" w:before="141" w:after="0"/>
        <w:ind w:left="957" w:right="211" w:hanging="221"/>
        <w:jc w:val="left"/>
        <w:rPr>
          <w:sz w:val="22"/>
        </w:rPr>
      </w:pPr>
      <w:r>
        <w:rPr>
          <w:color w:val="231F1F"/>
          <w:sz w:val="22"/>
        </w:rPr>
        <w:t>Procurar</w:t>
      </w:r>
      <w:r>
        <w:rPr>
          <w:color w:val="231F1F"/>
          <w:spacing w:val="31"/>
          <w:sz w:val="22"/>
        </w:rPr>
        <w:t> </w:t>
      </w:r>
      <w:r>
        <w:rPr>
          <w:color w:val="231F1F"/>
          <w:sz w:val="22"/>
        </w:rPr>
        <w:t>un</w:t>
      </w:r>
      <w:r>
        <w:rPr>
          <w:color w:val="231F1F"/>
          <w:spacing w:val="32"/>
          <w:sz w:val="22"/>
        </w:rPr>
        <w:t> </w:t>
      </w:r>
      <w:r>
        <w:rPr>
          <w:color w:val="231F1F"/>
          <w:sz w:val="22"/>
        </w:rPr>
        <w:t>ambiente</w:t>
      </w:r>
      <w:r>
        <w:rPr>
          <w:color w:val="231F1F"/>
          <w:spacing w:val="32"/>
          <w:sz w:val="22"/>
        </w:rPr>
        <w:t> </w:t>
      </w:r>
      <w:r>
        <w:rPr>
          <w:color w:val="231F1F"/>
          <w:sz w:val="22"/>
        </w:rPr>
        <w:t>tranquilo</w:t>
      </w:r>
      <w:r>
        <w:rPr>
          <w:color w:val="231F1F"/>
          <w:spacing w:val="32"/>
          <w:sz w:val="22"/>
        </w:rPr>
        <w:t> </w:t>
      </w:r>
      <w:r>
        <w:rPr>
          <w:color w:val="231F1F"/>
          <w:sz w:val="22"/>
        </w:rPr>
        <w:t>y</w:t>
      </w:r>
      <w:r>
        <w:rPr>
          <w:color w:val="231F1F"/>
          <w:spacing w:val="32"/>
          <w:sz w:val="22"/>
        </w:rPr>
        <w:t> </w:t>
      </w:r>
      <w:r>
        <w:rPr>
          <w:color w:val="231F1F"/>
          <w:sz w:val="22"/>
        </w:rPr>
        <w:t>silencioso,</w:t>
      </w:r>
      <w:r>
        <w:rPr>
          <w:color w:val="231F1F"/>
          <w:spacing w:val="31"/>
          <w:sz w:val="22"/>
        </w:rPr>
        <w:t> </w:t>
      </w:r>
      <w:r>
        <w:rPr>
          <w:color w:val="231F1F"/>
          <w:sz w:val="22"/>
        </w:rPr>
        <w:t>respetando</w:t>
      </w:r>
      <w:r>
        <w:rPr>
          <w:color w:val="231F1F"/>
          <w:spacing w:val="32"/>
          <w:sz w:val="22"/>
        </w:rPr>
        <w:t> </w:t>
      </w:r>
      <w:r>
        <w:rPr>
          <w:color w:val="231F1F"/>
          <w:sz w:val="22"/>
        </w:rPr>
        <w:t>la</w:t>
      </w:r>
      <w:r>
        <w:rPr>
          <w:color w:val="231F1F"/>
          <w:spacing w:val="32"/>
          <w:sz w:val="22"/>
        </w:rPr>
        <w:t> </w:t>
      </w:r>
      <w:r>
        <w:rPr>
          <w:color w:val="231F1F"/>
          <w:sz w:val="22"/>
        </w:rPr>
        <w:t>privacidad</w:t>
      </w:r>
      <w:r>
        <w:rPr>
          <w:color w:val="231F1F"/>
          <w:spacing w:val="31"/>
          <w:sz w:val="22"/>
        </w:rPr>
        <w:t> </w:t>
      </w:r>
      <w:r>
        <w:rPr>
          <w:color w:val="231F1F"/>
          <w:sz w:val="22"/>
        </w:rPr>
        <w:t>y</w:t>
      </w:r>
      <w:r>
        <w:rPr>
          <w:color w:val="231F1F"/>
          <w:spacing w:val="32"/>
          <w:sz w:val="22"/>
        </w:rPr>
        <w:t> </w:t>
      </w:r>
      <w:r>
        <w:rPr>
          <w:color w:val="231F1F"/>
          <w:sz w:val="22"/>
        </w:rPr>
        <w:t>necesidad</w:t>
      </w:r>
      <w:r>
        <w:rPr>
          <w:color w:val="231F1F"/>
          <w:spacing w:val="40"/>
          <w:w w:val="110"/>
          <w:sz w:val="22"/>
        </w:rPr>
        <w:t> </w:t>
      </w:r>
      <w:r>
        <w:rPr>
          <w:color w:val="231F1F"/>
          <w:w w:val="110"/>
          <w:sz w:val="22"/>
        </w:rPr>
        <w:t>de aislamiento y concentración que tenga cada mujer.</w:t>
      </w:r>
    </w:p>
    <w:p>
      <w:pPr>
        <w:pStyle w:val="ListParagraph"/>
        <w:spacing w:after="0" w:line="244" w:lineRule="auto"/>
        <w:jc w:val="left"/>
        <w:rPr>
          <w:sz w:val="22"/>
        </w:rPr>
        <w:sectPr>
          <w:pgSz w:w="11900" w:h="16840"/>
          <w:pgMar w:header="0" w:footer="622" w:top="1560" w:bottom="820" w:left="1417" w:right="1559"/>
        </w:sectPr>
      </w:pPr>
    </w:p>
    <w:p>
      <w:pPr>
        <w:pStyle w:val="Heading2"/>
        <w:spacing w:before="73"/>
        <w:ind w:left="282" w:firstLine="0"/>
      </w:pPr>
      <w:bookmarkStart w:name="_TOC_250007" w:id="49"/>
      <w:r>
        <w:rPr>
          <w:color w:val="231F1F"/>
        </w:rPr>
        <w:t>Anexo</w:t>
      </w:r>
      <w:r>
        <w:rPr>
          <w:color w:val="231F1F"/>
          <w:spacing w:val="24"/>
        </w:rPr>
        <w:t> </w:t>
      </w:r>
      <w:r>
        <w:rPr>
          <w:color w:val="231F1F"/>
        </w:rPr>
        <w:t>4.</w:t>
      </w:r>
      <w:r>
        <w:rPr>
          <w:color w:val="231F1F"/>
          <w:spacing w:val="22"/>
        </w:rPr>
        <w:t>  </w:t>
      </w:r>
      <w:bookmarkEnd w:id="49"/>
      <w:r>
        <w:rPr>
          <w:color w:val="231F1F"/>
          <w:spacing w:val="-2"/>
        </w:rPr>
        <w:t>Partograma</w:t>
      </w:r>
    </w:p>
    <w:p>
      <w:pPr>
        <w:pStyle w:val="BodyText"/>
        <w:spacing w:before="44"/>
        <w:rPr>
          <w:sz w:val="20"/>
        </w:rPr>
      </w:pPr>
      <w:r>
        <w:rPr>
          <w:sz w:val="20"/>
        </w:rPr>
        <mc:AlternateContent>
          <mc:Choice Requires="wps">
            <w:drawing>
              <wp:anchor distT="0" distB="0" distL="0" distR="0" allowOverlap="1" layoutInCell="1" locked="0" behindDoc="1" simplePos="0" relativeHeight="487660032">
                <wp:simplePos x="0" y="0"/>
                <wp:positionH relativeFrom="page">
                  <wp:posOffset>1076325</wp:posOffset>
                </wp:positionH>
                <wp:positionV relativeFrom="paragraph">
                  <wp:posOffset>189252</wp:posOffset>
                </wp:positionV>
                <wp:extent cx="5406390" cy="4822190"/>
                <wp:effectExtent l="0" t="0" r="0" b="0"/>
                <wp:wrapTopAndBottom/>
                <wp:docPr id="264" name="Group 264"/>
                <wp:cNvGraphicFramePr>
                  <a:graphicFrameLocks/>
                </wp:cNvGraphicFramePr>
                <a:graphic>
                  <a:graphicData uri="http://schemas.microsoft.com/office/word/2010/wordprocessingGroup">
                    <wpg:wgp>
                      <wpg:cNvPr id="264" name="Group 264"/>
                      <wpg:cNvGrpSpPr/>
                      <wpg:grpSpPr>
                        <a:xfrm>
                          <a:off x="0" y="0"/>
                          <a:ext cx="5406390" cy="4822190"/>
                          <a:chExt cx="5406390" cy="4822190"/>
                        </a:xfrm>
                      </wpg:grpSpPr>
                      <pic:pic>
                        <pic:nvPicPr>
                          <pic:cNvPr id="265" name="Image 265"/>
                          <pic:cNvPicPr/>
                        </pic:nvPicPr>
                        <pic:blipFill>
                          <a:blip r:embed="rId63" cstate="print"/>
                          <a:stretch>
                            <a:fillRect/>
                          </a:stretch>
                        </pic:blipFill>
                        <pic:spPr>
                          <a:xfrm>
                            <a:off x="368528" y="335419"/>
                            <a:ext cx="4749800" cy="4252315"/>
                          </a:xfrm>
                          <a:prstGeom prst="rect">
                            <a:avLst/>
                          </a:prstGeom>
                        </pic:spPr>
                      </pic:pic>
                      <wps:wsp>
                        <wps:cNvPr id="266" name="Graphic 266"/>
                        <wps:cNvSpPr/>
                        <wps:spPr>
                          <a:xfrm>
                            <a:off x="3175" y="3175"/>
                            <a:ext cx="5400040" cy="4815840"/>
                          </a:xfrm>
                          <a:custGeom>
                            <a:avLst/>
                            <a:gdLst/>
                            <a:ahLst/>
                            <a:cxnLst/>
                            <a:rect l="l" t="t" r="r" b="b"/>
                            <a:pathLst>
                              <a:path w="5400040" h="4815840">
                                <a:moveTo>
                                  <a:pt x="0" y="0"/>
                                </a:moveTo>
                                <a:lnTo>
                                  <a:pt x="5400003" y="0"/>
                                </a:lnTo>
                                <a:lnTo>
                                  <a:pt x="5400003" y="4815252"/>
                                </a:lnTo>
                                <a:lnTo>
                                  <a:pt x="0" y="4815252"/>
                                </a:lnTo>
                                <a:lnTo>
                                  <a:pt x="0" y="0"/>
                                </a:lnTo>
                                <a:close/>
                              </a:path>
                            </a:pathLst>
                          </a:custGeom>
                          <a:ln w="6350">
                            <a:solidFill>
                              <a:srgbClr val="A300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75pt;margin-top:14.901757pt;width:425.7pt;height:379.7pt;mso-position-horizontal-relative:page;mso-position-vertical-relative:paragraph;z-index:-15656448;mso-wrap-distance-left:0;mso-wrap-distance-right:0" id="docshapegroup211" coordorigin="1695,298" coordsize="8514,7594">
                <v:shape style="position:absolute;left:2275;top:826;width:7480;height:6697" type="#_x0000_t75" id="docshape212" stroked="false">
                  <v:imagedata r:id="rId63" o:title=""/>
                </v:shape>
                <v:rect style="position:absolute;left:1700;top:303;width:8504;height:7584" id="docshape213" filled="false" stroked="true" strokeweight=".5pt" strokecolor="#a30046">
                  <v:stroke dashstyle="solid"/>
                </v:rect>
                <w10:wrap type="topAndBottom"/>
              </v:group>
            </w:pict>
          </mc:Fallback>
        </mc:AlternateContent>
      </w:r>
    </w:p>
    <w:p>
      <w:pPr>
        <w:pStyle w:val="BodyText"/>
        <w:spacing w:after="0"/>
        <w:rPr>
          <w:sz w:val="20"/>
        </w:rPr>
        <w:sectPr>
          <w:pgSz w:w="11900" w:h="16840"/>
          <w:pgMar w:header="0" w:footer="622" w:top="1520" w:bottom="820" w:left="1417" w:right="1559"/>
        </w:sectPr>
      </w:pPr>
    </w:p>
    <w:p>
      <w:pPr>
        <w:spacing w:before="82"/>
        <w:ind w:left="283" w:right="0" w:firstLine="0"/>
        <w:jc w:val="left"/>
        <w:rPr>
          <w:rFonts w:ascii="Arial"/>
          <w:b/>
          <w:sz w:val="24"/>
        </w:rPr>
      </w:pPr>
      <w:r>
        <w:rPr>
          <w:rFonts w:ascii="Arial"/>
          <w:b/>
          <w:color w:val="231F1F"/>
          <w:sz w:val="24"/>
        </w:rPr>
        <w:t>Ejemplo:</w:t>
      </w:r>
      <w:r>
        <w:rPr>
          <w:rFonts w:ascii="Arial"/>
          <w:b/>
          <w:color w:val="231F1F"/>
          <w:spacing w:val="-3"/>
          <w:sz w:val="24"/>
        </w:rPr>
        <w:t> </w:t>
      </w:r>
      <w:r>
        <w:rPr>
          <w:rFonts w:ascii="Arial"/>
          <w:b/>
          <w:color w:val="231F1F"/>
          <w:sz w:val="24"/>
        </w:rPr>
        <w:t>Registro</w:t>
      </w:r>
      <w:r>
        <w:rPr>
          <w:rFonts w:ascii="Arial"/>
          <w:b/>
          <w:color w:val="231F1F"/>
          <w:spacing w:val="-1"/>
          <w:sz w:val="24"/>
        </w:rPr>
        <w:t> </w:t>
      </w:r>
      <w:r>
        <w:rPr>
          <w:rFonts w:ascii="Arial"/>
          <w:b/>
          <w:color w:val="231F1F"/>
          <w:sz w:val="24"/>
        </w:rPr>
        <w:t>en</w:t>
      </w:r>
      <w:r>
        <w:rPr>
          <w:rFonts w:ascii="Arial"/>
          <w:b/>
          <w:color w:val="231F1F"/>
          <w:spacing w:val="-1"/>
          <w:sz w:val="24"/>
        </w:rPr>
        <w:t> </w:t>
      </w:r>
      <w:r>
        <w:rPr>
          <w:rFonts w:ascii="Arial"/>
          <w:b/>
          <w:color w:val="231F1F"/>
          <w:spacing w:val="-2"/>
          <w:sz w:val="24"/>
        </w:rPr>
        <w:t>partograma</w:t>
      </w:r>
    </w:p>
    <w:p>
      <w:pPr>
        <w:pStyle w:val="BodyText"/>
        <w:spacing w:before="11"/>
        <w:rPr>
          <w:rFonts w:ascii="Arial"/>
          <w:b/>
          <w:sz w:val="14"/>
        </w:rPr>
      </w:pPr>
      <w:r>
        <w:rPr>
          <w:rFonts w:ascii="Arial"/>
          <w:b/>
          <w:sz w:val="14"/>
        </w:rPr>
        <mc:AlternateContent>
          <mc:Choice Requires="wps">
            <w:drawing>
              <wp:anchor distT="0" distB="0" distL="0" distR="0" allowOverlap="1" layoutInCell="1" locked="0" behindDoc="1" simplePos="0" relativeHeight="487660544">
                <wp:simplePos x="0" y="0"/>
                <wp:positionH relativeFrom="page">
                  <wp:posOffset>1079500</wp:posOffset>
                </wp:positionH>
                <wp:positionV relativeFrom="paragraph">
                  <wp:posOffset>124474</wp:posOffset>
                </wp:positionV>
                <wp:extent cx="5415915" cy="4122420"/>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5415915" cy="4122420"/>
                          <a:chExt cx="5415915" cy="4122420"/>
                        </a:xfrm>
                      </wpg:grpSpPr>
                      <pic:pic>
                        <pic:nvPicPr>
                          <pic:cNvPr id="268" name="Image 268"/>
                          <pic:cNvPicPr/>
                        </pic:nvPicPr>
                        <pic:blipFill>
                          <a:blip r:embed="rId64" cstate="print"/>
                          <a:stretch>
                            <a:fillRect/>
                          </a:stretch>
                        </pic:blipFill>
                        <pic:spPr>
                          <a:xfrm>
                            <a:off x="601332" y="106718"/>
                            <a:ext cx="4074033" cy="3899230"/>
                          </a:xfrm>
                          <a:prstGeom prst="rect">
                            <a:avLst/>
                          </a:prstGeom>
                        </pic:spPr>
                      </pic:pic>
                      <wps:wsp>
                        <wps:cNvPr id="269" name="Graphic 269"/>
                        <wps:cNvSpPr/>
                        <wps:spPr>
                          <a:xfrm>
                            <a:off x="3175" y="3175"/>
                            <a:ext cx="5409565" cy="4116070"/>
                          </a:xfrm>
                          <a:custGeom>
                            <a:avLst/>
                            <a:gdLst/>
                            <a:ahLst/>
                            <a:cxnLst/>
                            <a:rect l="l" t="t" r="r" b="b"/>
                            <a:pathLst>
                              <a:path w="5409565" h="4116070">
                                <a:moveTo>
                                  <a:pt x="0" y="0"/>
                                </a:moveTo>
                                <a:lnTo>
                                  <a:pt x="5409563" y="0"/>
                                </a:lnTo>
                                <a:lnTo>
                                  <a:pt x="5409563" y="4116022"/>
                                </a:lnTo>
                                <a:lnTo>
                                  <a:pt x="0" y="4116022"/>
                                </a:lnTo>
                                <a:lnTo>
                                  <a:pt x="0" y="0"/>
                                </a:lnTo>
                                <a:close/>
                              </a:path>
                            </a:pathLst>
                          </a:custGeom>
                          <a:ln w="6350">
                            <a:solidFill>
                              <a:srgbClr val="A300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pt;margin-top:9.801171pt;width:426.45pt;height:324.6pt;mso-position-horizontal-relative:page;mso-position-vertical-relative:paragraph;z-index:-15655936;mso-wrap-distance-left:0;mso-wrap-distance-right:0" id="docshapegroup214" coordorigin="1700,196" coordsize="8529,6492">
                <v:shape style="position:absolute;left:2646;top:364;width:6416;height:6141" type="#_x0000_t75" id="docshape215" stroked="false">
                  <v:imagedata r:id="rId64" o:title=""/>
                </v:shape>
                <v:rect style="position:absolute;left:1705;top:201;width:8519;height:6482" id="docshape216" filled="false" stroked="true" strokeweight=".5pt" strokecolor="#a30046">
                  <v:stroke dashstyle="solid"/>
                </v:rect>
                <w10:wrap type="topAndBottom"/>
              </v:group>
            </w:pict>
          </mc:Fallback>
        </mc:AlternateContent>
      </w:r>
    </w:p>
    <w:p>
      <w:pPr>
        <w:pStyle w:val="BodyText"/>
        <w:spacing w:after="0"/>
        <w:rPr>
          <w:rFonts w:ascii="Arial"/>
          <w:b/>
          <w:sz w:val="14"/>
        </w:rPr>
        <w:sectPr>
          <w:pgSz w:w="11900" w:h="16840"/>
          <w:pgMar w:header="0" w:footer="622" w:top="1560" w:bottom="820" w:left="1417" w:right="1559"/>
        </w:sectPr>
      </w:pPr>
    </w:p>
    <w:p>
      <w:pPr>
        <w:pStyle w:val="Heading2"/>
        <w:spacing w:line="232" w:lineRule="auto" w:before="83"/>
        <w:ind w:left="1890" w:right="754" w:hanging="1609"/>
      </w:pPr>
      <w:bookmarkStart w:name="_TOC_250006" w:id="50"/>
      <w:r>
        <w:rPr>
          <w:color w:val="231F1F"/>
        </w:rPr>
        <w:t>Anexo 5.</w:t>
      </w:r>
      <w:r>
        <w:rPr>
          <w:color w:val="231F1F"/>
          <w:spacing w:val="40"/>
        </w:rPr>
        <w:t> </w:t>
      </w:r>
      <w:r>
        <w:rPr>
          <w:color w:val="231F1F"/>
        </w:rPr>
        <w:t>Algoritmo de diagnóstico de prolongación</w:t>
      </w:r>
      <w:r>
        <w:rPr>
          <w:color w:val="231F1F"/>
          <w:spacing w:val="80"/>
          <w:w w:val="150"/>
        </w:rPr>
        <w:t> </w:t>
      </w:r>
      <w:bookmarkEnd w:id="50"/>
      <w:r>
        <w:rPr>
          <w:color w:val="231F1F"/>
        </w:rPr>
        <w:t>de la primera etapa del parto</w:t>
      </w:r>
    </w:p>
    <w:p>
      <w:pPr>
        <w:pStyle w:val="BodyText"/>
        <w:spacing w:before="49"/>
        <w:rPr>
          <w:sz w:val="20"/>
        </w:rPr>
      </w:pPr>
      <w:r>
        <w:rPr>
          <w:sz w:val="20"/>
        </w:rPr>
        <mc:AlternateContent>
          <mc:Choice Requires="wps">
            <w:drawing>
              <wp:anchor distT="0" distB="0" distL="0" distR="0" allowOverlap="1" layoutInCell="1" locked="0" behindDoc="1" simplePos="0" relativeHeight="487661056">
                <wp:simplePos x="0" y="0"/>
                <wp:positionH relativeFrom="page">
                  <wp:posOffset>1079500</wp:posOffset>
                </wp:positionH>
                <wp:positionV relativeFrom="paragraph">
                  <wp:posOffset>192981</wp:posOffset>
                </wp:positionV>
                <wp:extent cx="5406390" cy="7223125"/>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5406390" cy="7223125"/>
                          <a:chExt cx="5406390" cy="7223125"/>
                        </a:xfrm>
                      </wpg:grpSpPr>
                      <wps:wsp>
                        <wps:cNvPr id="271" name="Graphic 271"/>
                        <wps:cNvSpPr/>
                        <wps:spPr>
                          <a:xfrm>
                            <a:off x="307098" y="2882493"/>
                            <a:ext cx="1153795" cy="1064260"/>
                          </a:xfrm>
                          <a:custGeom>
                            <a:avLst/>
                            <a:gdLst/>
                            <a:ahLst/>
                            <a:cxnLst/>
                            <a:rect l="l" t="t" r="r" b="b"/>
                            <a:pathLst>
                              <a:path w="1153795" h="1064260">
                                <a:moveTo>
                                  <a:pt x="1016419" y="0"/>
                                </a:moveTo>
                                <a:lnTo>
                                  <a:pt x="137159" y="0"/>
                                </a:lnTo>
                                <a:lnTo>
                                  <a:pt x="93814" y="6997"/>
                                </a:lnTo>
                                <a:lnTo>
                                  <a:pt x="56159" y="26466"/>
                                </a:lnTo>
                                <a:lnTo>
                                  <a:pt x="26466" y="56146"/>
                                </a:lnTo>
                                <a:lnTo>
                                  <a:pt x="6997" y="93802"/>
                                </a:lnTo>
                                <a:lnTo>
                                  <a:pt x="0" y="137147"/>
                                </a:lnTo>
                                <a:lnTo>
                                  <a:pt x="0" y="926604"/>
                                </a:lnTo>
                                <a:lnTo>
                                  <a:pt x="6997" y="969949"/>
                                </a:lnTo>
                                <a:lnTo>
                                  <a:pt x="26466" y="1007592"/>
                                </a:lnTo>
                                <a:lnTo>
                                  <a:pt x="56159" y="1037285"/>
                                </a:lnTo>
                                <a:lnTo>
                                  <a:pt x="93814" y="1056754"/>
                                </a:lnTo>
                                <a:lnTo>
                                  <a:pt x="137159" y="1063739"/>
                                </a:lnTo>
                                <a:lnTo>
                                  <a:pt x="1016419" y="1063739"/>
                                </a:lnTo>
                                <a:lnTo>
                                  <a:pt x="1059764" y="1056754"/>
                                </a:lnTo>
                                <a:lnTo>
                                  <a:pt x="1097419" y="1037285"/>
                                </a:lnTo>
                                <a:lnTo>
                                  <a:pt x="1127112" y="1007592"/>
                                </a:lnTo>
                                <a:lnTo>
                                  <a:pt x="1146581" y="969949"/>
                                </a:lnTo>
                                <a:lnTo>
                                  <a:pt x="1153579" y="926604"/>
                                </a:lnTo>
                                <a:lnTo>
                                  <a:pt x="1153579" y="137147"/>
                                </a:lnTo>
                                <a:lnTo>
                                  <a:pt x="1146581" y="93802"/>
                                </a:lnTo>
                                <a:lnTo>
                                  <a:pt x="1127112" y="56146"/>
                                </a:lnTo>
                                <a:lnTo>
                                  <a:pt x="1097419" y="26466"/>
                                </a:lnTo>
                                <a:lnTo>
                                  <a:pt x="1059764" y="6997"/>
                                </a:lnTo>
                                <a:lnTo>
                                  <a:pt x="1016419" y="0"/>
                                </a:lnTo>
                                <a:close/>
                              </a:path>
                            </a:pathLst>
                          </a:custGeom>
                          <a:solidFill>
                            <a:srgbClr val="B34160"/>
                          </a:solidFill>
                        </wps:spPr>
                        <wps:bodyPr wrap="square" lIns="0" tIns="0" rIns="0" bIns="0" rtlCol="0">
                          <a:prstTxWarp prst="textNoShape">
                            <a:avLst/>
                          </a:prstTxWarp>
                          <a:noAutofit/>
                        </wps:bodyPr>
                      </wps:wsp>
                      <wps:wsp>
                        <wps:cNvPr id="272" name="Graphic 272"/>
                        <wps:cNvSpPr/>
                        <wps:spPr>
                          <a:xfrm>
                            <a:off x="307098" y="2882493"/>
                            <a:ext cx="1153795" cy="1064260"/>
                          </a:xfrm>
                          <a:custGeom>
                            <a:avLst/>
                            <a:gdLst/>
                            <a:ahLst/>
                            <a:cxnLst/>
                            <a:rect l="l" t="t" r="r" b="b"/>
                            <a:pathLst>
                              <a:path w="1153795" h="1064260">
                                <a:moveTo>
                                  <a:pt x="1153580" y="926599"/>
                                </a:moveTo>
                                <a:lnTo>
                                  <a:pt x="1146580" y="969945"/>
                                </a:lnTo>
                                <a:lnTo>
                                  <a:pt x="1127110" y="1007590"/>
                                </a:lnTo>
                                <a:lnTo>
                                  <a:pt x="1097420" y="1037280"/>
                                </a:lnTo>
                                <a:lnTo>
                                  <a:pt x="1059770" y="1056760"/>
                                </a:lnTo>
                                <a:lnTo>
                                  <a:pt x="1016420" y="1063750"/>
                                </a:lnTo>
                                <a:lnTo>
                                  <a:pt x="137159" y="1063750"/>
                                </a:lnTo>
                                <a:lnTo>
                                  <a:pt x="93810" y="1056760"/>
                                </a:lnTo>
                                <a:lnTo>
                                  <a:pt x="56158" y="1037280"/>
                                </a:lnTo>
                                <a:lnTo>
                                  <a:pt x="26466" y="1007590"/>
                                </a:lnTo>
                                <a:lnTo>
                                  <a:pt x="6993" y="969945"/>
                                </a:lnTo>
                                <a:lnTo>
                                  <a:pt x="0" y="926599"/>
                                </a:lnTo>
                                <a:lnTo>
                                  <a:pt x="0" y="137147"/>
                                </a:lnTo>
                                <a:lnTo>
                                  <a:pt x="6993" y="93801"/>
                                </a:lnTo>
                                <a:lnTo>
                                  <a:pt x="26466" y="56153"/>
                                </a:lnTo>
                                <a:lnTo>
                                  <a:pt x="56158" y="26463"/>
                                </a:lnTo>
                                <a:lnTo>
                                  <a:pt x="93810" y="6992"/>
                                </a:lnTo>
                                <a:lnTo>
                                  <a:pt x="137159" y="0"/>
                                </a:lnTo>
                                <a:lnTo>
                                  <a:pt x="1016420" y="0"/>
                                </a:lnTo>
                                <a:lnTo>
                                  <a:pt x="1059770" y="6992"/>
                                </a:lnTo>
                                <a:lnTo>
                                  <a:pt x="1097420" y="26463"/>
                                </a:lnTo>
                                <a:lnTo>
                                  <a:pt x="1127110" y="56153"/>
                                </a:lnTo>
                                <a:lnTo>
                                  <a:pt x="1146580" y="93801"/>
                                </a:lnTo>
                                <a:lnTo>
                                  <a:pt x="1153580" y="137147"/>
                                </a:lnTo>
                                <a:lnTo>
                                  <a:pt x="1153580" y="926599"/>
                                </a:lnTo>
                                <a:close/>
                              </a:path>
                            </a:pathLst>
                          </a:custGeom>
                          <a:ln w="3429">
                            <a:solidFill>
                              <a:srgbClr val="231F1F"/>
                            </a:solidFill>
                            <a:prstDash val="solid"/>
                          </a:ln>
                        </wps:spPr>
                        <wps:bodyPr wrap="square" lIns="0" tIns="0" rIns="0" bIns="0" rtlCol="0">
                          <a:prstTxWarp prst="textNoShape">
                            <a:avLst/>
                          </a:prstTxWarp>
                          <a:noAutofit/>
                        </wps:bodyPr>
                      </wps:wsp>
                      <wps:wsp>
                        <wps:cNvPr id="273" name="Graphic 273"/>
                        <wps:cNvSpPr/>
                        <wps:spPr>
                          <a:xfrm>
                            <a:off x="3981005" y="223240"/>
                            <a:ext cx="1120140" cy="513080"/>
                          </a:xfrm>
                          <a:custGeom>
                            <a:avLst/>
                            <a:gdLst/>
                            <a:ahLst/>
                            <a:cxnLst/>
                            <a:rect l="l" t="t" r="r" b="b"/>
                            <a:pathLst>
                              <a:path w="1120140" h="513080">
                                <a:moveTo>
                                  <a:pt x="982738" y="0"/>
                                </a:moveTo>
                                <a:lnTo>
                                  <a:pt x="137160" y="0"/>
                                </a:lnTo>
                                <a:lnTo>
                                  <a:pt x="93814" y="6997"/>
                                </a:lnTo>
                                <a:lnTo>
                                  <a:pt x="56159" y="26466"/>
                                </a:lnTo>
                                <a:lnTo>
                                  <a:pt x="26466" y="56159"/>
                                </a:lnTo>
                                <a:lnTo>
                                  <a:pt x="6997" y="93802"/>
                                </a:lnTo>
                                <a:lnTo>
                                  <a:pt x="0" y="137147"/>
                                </a:lnTo>
                                <a:lnTo>
                                  <a:pt x="0" y="375793"/>
                                </a:lnTo>
                                <a:lnTo>
                                  <a:pt x="6997" y="419138"/>
                                </a:lnTo>
                                <a:lnTo>
                                  <a:pt x="26466" y="456780"/>
                                </a:lnTo>
                                <a:lnTo>
                                  <a:pt x="56159" y="486473"/>
                                </a:lnTo>
                                <a:lnTo>
                                  <a:pt x="93814" y="505942"/>
                                </a:lnTo>
                                <a:lnTo>
                                  <a:pt x="137160" y="512940"/>
                                </a:lnTo>
                                <a:lnTo>
                                  <a:pt x="982738" y="512940"/>
                                </a:lnTo>
                                <a:lnTo>
                                  <a:pt x="1026083" y="505942"/>
                                </a:lnTo>
                                <a:lnTo>
                                  <a:pt x="1063739" y="486473"/>
                                </a:lnTo>
                                <a:lnTo>
                                  <a:pt x="1093431" y="456780"/>
                                </a:lnTo>
                                <a:lnTo>
                                  <a:pt x="1112901" y="419138"/>
                                </a:lnTo>
                                <a:lnTo>
                                  <a:pt x="1119898" y="375793"/>
                                </a:lnTo>
                                <a:lnTo>
                                  <a:pt x="1119898" y="137147"/>
                                </a:lnTo>
                                <a:lnTo>
                                  <a:pt x="1112901" y="93802"/>
                                </a:lnTo>
                                <a:lnTo>
                                  <a:pt x="1093431" y="56159"/>
                                </a:lnTo>
                                <a:lnTo>
                                  <a:pt x="1063739" y="26466"/>
                                </a:lnTo>
                                <a:lnTo>
                                  <a:pt x="1026083" y="6997"/>
                                </a:lnTo>
                                <a:lnTo>
                                  <a:pt x="982738" y="0"/>
                                </a:lnTo>
                                <a:close/>
                              </a:path>
                            </a:pathLst>
                          </a:custGeom>
                          <a:solidFill>
                            <a:srgbClr val="B34160"/>
                          </a:solidFill>
                        </wps:spPr>
                        <wps:bodyPr wrap="square" lIns="0" tIns="0" rIns="0" bIns="0" rtlCol="0">
                          <a:prstTxWarp prst="textNoShape">
                            <a:avLst/>
                          </a:prstTxWarp>
                          <a:noAutofit/>
                        </wps:bodyPr>
                      </wps:wsp>
                      <wps:wsp>
                        <wps:cNvPr id="274" name="Graphic 274"/>
                        <wps:cNvSpPr/>
                        <wps:spPr>
                          <a:xfrm>
                            <a:off x="3981005" y="223240"/>
                            <a:ext cx="1120140" cy="513080"/>
                          </a:xfrm>
                          <a:custGeom>
                            <a:avLst/>
                            <a:gdLst/>
                            <a:ahLst/>
                            <a:cxnLst/>
                            <a:rect l="l" t="t" r="r" b="b"/>
                            <a:pathLst>
                              <a:path w="1120140" h="513080">
                                <a:moveTo>
                                  <a:pt x="1119900" y="375785"/>
                                </a:moveTo>
                                <a:lnTo>
                                  <a:pt x="1112910" y="419131"/>
                                </a:lnTo>
                                <a:lnTo>
                                  <a:pt x="1093430" y="456779"/>
                                </a:lnTo>
                                <a:lnTo>
                                  <a:pt x="1063740" y="486469"/>
                                </a:lnTo>
                                <a:lnTo>
                                  <a:pt x="1026090" y="505941"/>
                                </a:lnTo>
                                <a:lnTo>
                                  <a:pt x="982738" y="512933"/>
                                </a:lnTo>
                                <a:lnTo>
                                  <a:pt x="137159" y="512933"/>
                                </a:lnTo>
                                <a:lnTo>
                                  <a:pt x="93810" y="505941"/>
                                </a:lnTo>
                                <a:lnTo>
                                  <a:pt x="56158" y="486469"/>
                                </a:lnTo>
                                <a:lnTo>
                                  <a:pt x="26466" y="456779"/>
                                </a:lnTo>
                                <a:lnTo>
                                  <a:pt x="6993" y="419131"/>
                                </a:lnTo>
                                <a:lnTo>
                                  <a:pt x="0" y="375785"/>
                                </a:lnTo>
                                <a:lnTo>
                                  <a:pt x="0" y="137147"/>
                                </a:lnTo>
                                <a:lnTo>
                                  <a:pt x="6993" y="93801"/>
                                </a:lnTo>
                                <a:lnTo>
                                  <a:pt x="26466" y="56153"/>
                                </a:lnTo>
                                <a:lnTo>
                                  <a:pt x="56158" y="26463"/>
                                </a:lnTo>
                                <a:lnTo>
                                  <a:pt x="93810" y="6992"/>
                                </a:lnTo>
                                <a:lnTo>
                                  <a:pt x="137159" y="0"/>
                                </a:lnTo>
                                <a:lnTo>
                                  <a:pt x="982738" y="0"/>
                                </a:lnTo>
                                <a:lnTo>
                                  <a:pt x="1026090" y="6992"/>
                                </a:lnTo>
                                <a:lnTo>
                                  <a:pt x="1063740" y="26463"/>
                                </a:lnTo>
                                <a:lnTo>
                                  <a:pt x="1093430" y="56153"/>
                                </a:lnTo>
                                <a:lnTo>
                                  <a:pt x="1112910" y="93801"/>
                                </a:lnTo>
                                <a:lnTo>
                                  <a:pt x="1119900" y="137147"/>
                                </a:lnTo>
                                <a:lnTo>
                                  <a:pt x="1119900" y="375785"/>
                                </a:lnTo>
                                <a:close/>
                              </a:path>
                            </a:pathLst>
                          </a:custGeom>
                          <a:ln w="3429">
                            <a:solidFill>
                              <a:srgbClr val="231F1F"/>
                            </a:solidFill>
                            <a:prstDash val="solid"/>
                          </a:ln>
                        </wps:spPr>
                        <wps:bodyPr wrap="square" lIns="0" tIns="0" rIns="0" bIns="0" rtlCol="0">
                          <a:prstTxWarp prst="textNoShape">
                            <a:avLst/>
                          </a:prstTxWarp>
                          <a:noAutofit/>
                        </wps:bodyPr>
                      </wps:wsp>
                      <wps:wsp>
                        <wps:cNvPr id="275" name="Graphic 275"/>
                        <wps:cNvSpPr/>
                        <wps:spPr>
                          <a:xfrm>
                            <a:off x="3906532" y="4443590"/>
                            <a:ext cx="1132205" cy="2245995"/>
                          </a:xfrm>
                          <a:custGeom>
                            <a:avLst/>
                            <a:gdLst/>
                            <a:ahLst/>
                            <a:cxnLst/>
                            <a:rect l="l" t="t" r="r" b="b"/>
                            <a:pathLst>
                              <a:path w="1132205" h="2245995">
                                <a:moveTo>
                                  <a:pt x="994600" y="0"/>
                                </a:moveTo>
                                <a:lnTo>
                                  <a:pt x="137160" y="0"/>
                                </a:lnTo>
                                <a:lnTo>
                                  <a:pt x="93802" y="6997"/>
                                </a:lnTo>
                                <a:lnTo>
                                  <a:pt x="56146" y="26466"/>
                                </a:lnTo>
                                <a:lnTo>
                                  <a:pt x="26466" y="56159"/>
                                </a:lnTo>
                                <a:lnTo>
                                  <a:pt x="6985" y="93802"/>
                                </a:lnTo>
                                <a:lnTo>
                                  <a:pt x="0" y="137147"/>
                                </a:lnTo>
                                <a:lnTo>
                                  <a:pt x="0" y="2108466"/>
                                </a:lnTo>
                                <a:lnTo>
                                  <a:pt x="6985" y="2151811"/>
                                </a:lnTo>
                                <a:lnTo>
                                  <a:pt x="26466" y="2189454"/>
                                </a:lnTo>
                                <a:lnTo>
                                  <a:pt x="56146" y="2219147"/>
                                </a:lnTo>
                                <a:lnTo>
                                  <a:pt x="93802" y="2238616"/>
                                </a:lnTo>
                                <a:lnTo>
                                  <a:pt x="137160" y="2245614"/>
                                </a:lnTo>
                                <a:lnTo>
                                  <a:pt x="994600" y="2245614"/>
                                </a:lnTo>
                                <a:lnTo>
                                  <a:pt x="1037945" y="2238616"/>
                                </a:lnTo>
                                <a:lnTo>
                                  <a:pt x="1075601" y="2219147"/>
                                </a:lnTo>
                                <a:lnTo>
                                  <a:pt x="1105293" y="2189454"/>
                                </a:lnTo>
                                <a:lnTo>
                                  <a:pt x="1124762" y="2151811"/>
                                </a:lnTo>
                                <a:lnTo>
                                  <a:pt x="1131760" y="2108466"/>
                                </a:lnTo>
                                <a:lnTo>
                                  <a:pt x="1131760" y="137147"/>
                                </a:lnTo>
                                <a:lnTo>
                                  <a:pt x="1124762" y="93802"/>
                                </a:lnTo>
                                <a:lnTo>
                                  <a:pt x="1105293" y="56159"/>
                                </a:lnTo>
                                <a:lnTo>
                                  <a:pt x="1075601" y="26466"/>
                                </a:lnTo>
                                <a:lnTo>
                                  <a:pt x="1037945" y="6997"/>
                                </a:lnTo>
                                <a:lnTo>
                                  <a:pt x="994600" y="0"/>
                                </a:lnTo>
                                <a:close/>
                              </a:path>
                            </a:pathLst>
                          </a:custGeom>
                          <a:solidFill>
                            <a:srgbClr val="B34160"/>
                          </a:solidFill>
                        </wps:spPr>
                        <wps:bodyPr wrap="square" lIns="0" tIns="0" rIns="0" bIns="0" rtlCol="0">
                          <a:prstTxWarp prst="textNoShape">
                            <a:avLst/>
                          </a:prstTxWarp>
                          <a:noAutofit/>
                        </wps:bodyPr>
                      </wps:wsp>
                      <wps:wsp>
                        <wps:cNvPr id="276" name="Graphic 276"/>
                        <wps:cNvSpPr/>
                        <wps:spPr>
                          <a:xfrm>
                            <a:off x="3906532" y="4443590"/>
                            <a:ext cx="1132205" cy="2245995"/>
                          </a:xfrm>
                          <a:custGeom>
                            <a:avLst/>
                            <a:gdLst/>
                            <a:ahLst/>
                            <a:cxnLst/>
                            <a:rect l="l" t="t" r="r" b="b"/>
                            <a:pathLst>
                              <a:path w="1132205" h="2245995">
                                <a:moveTo>
                                  <a:pt x="1131760" y="2108461"/>
                                </a:moveTo>
                                <a:lnTo>
                                  <a:pt x="1124770" y="2151801"/>
                                </a:lnTo>
                                <a:lnTo>
                                  <a:pt x="1105290" y="2189451"/>
                                </a:lnTo>
                                <a:lnTo>
                                  <a:pt x="1075600" y="2219141"/>
                                </a:lnTo>
                                <a:lnTo>
                                  <a:pt x="1037950" y="2238611"/>
                                </a:lnTo>
                                <a:lnTo>
                                  <a:pt x="994600" y="2245611"/>
                                </a:lnTo>
                                <a:lnTo>
                                  <a:pt x="137160" y="2245611"/>
                                </a:lnTo>
                                <a:lnTo>
                                  <a:pt x="93805" y="2238611"/>
                                </a:lnTo>
                                <a:lnTo>
                                  <a:pt x="56153" y="2219141"/>
                                </a:lnTo>
                                <a:lnTo>
                                  <a:pt x="26462" y="2189451"/>
                                </a:lnTo>
                                <a:lnTo>
                                  <a:pt x="6992" y="2151801"/>
                                </a:lnTo>
                                <a:lnTo>
                                  <a:pt x="0" y="2108461"/>
                                </a:lnTo>
                                <a:lnTo>
                                  <a:pt x="0" y="137147"/>
                                </a:lnTo>
                                <a:lnTo>
                                  <a:pt x="6992" y="93801"/>
                                </a:lnTo>
                                <a:lnTo>
                                  <a:pt x="26462" y="56153"/>
                                </a:lnTo>
                                <a:lnTo>
                                  <a:pt x="56153" y="26463"/>
                                </a:lnTo>
                                <a:lnTo>
                                  <a:pt x="93805" y="6992"/>
                                </a:lnTo>
                                <a:lnTo>
                                  <a:pt x="137160" y="0"/>
                                </a:lnTo>
                                <a:lnTo>
                                  <a:pt x="994600" y="0"/>
                                </a:lnTo>
                                <a:lnTo>
                                  <a:pt x="1037950" y="6992"/>
                                </a:lnTo>
                                <a:lnTo>
                                  <a:pt x="1075600" y="26463"/>
                                </a:lnTo>
                                <a:lnTo>
                                  <a:pt x="1105290" y="56153"/>
                                </a:lnTo>
                                <a:lnTo>
                                  <a:pt x="1124770" y="93801"/>
                                </a:lnTo>
                                <a:lnTo>
                                  <a:pt x="1131760" y="137147"/>
                                </a:lnTo>
                                <a:lnTo>
                                  <a:pt x="1131760" y="2108461"/>
                                </a:lnTo>
                                <a:close/>
                              </a:path>
                            </a:pathLst>
                          </a:custGeom>
                          <a:ln w="3429">
                            <a:solidFill>
                              <a:srgbClr val="231F1F"/>
                            </a:solidFill>
                            <a:prstDash val="solid"/>
                          </a:ln>
                        </wps:spPr>
                        <wps:bodyPr wrap="square" lIns="0" tIns="0" rIns="0" bIns="0" rtlCol="0">
                          <a:prstTxWarp prst="textNoShape">
                            <a:avLst/>
                          </a:prstTxWarp>
                          <a:noAutofit/>
                        </wps:bodyPr>
                      </wps:wsp>
                      <wps:wsp>
                        <wps:cNvPr id="277" name="Graphic 277"/>
                        <wps:cNvSpPr/>
                        <wps:spPr>
                          <a:xfrm>
                            <a:off x="1312113" y="397535"/>
                            <a:ext cx="2594610" cy="234315"/>
                          </a:xfrm>
                          <a:custGeom>
                            <a:avLst/>
                            <a:gdLst/>
                            <a:ahLst/>
                            <a:cxnLst/>
                            <a:rect l="l" t="t" r="r" b="b"/>
                            <a:pathLst>
                              <a:path w="2594610" h="234315">
                                <a:moveTo>
                                  <a:pt x="2477452" y="0"/>
                                </a:moveTo>
                                <a:lnTo>
                                  <a:pt x="117157" y="0"/>
                                </a:lnTo>
                                <a:lnTo>
                                  <a:pt x="71551" y="9207"/>
                                </a:lnTo>
                                <a:lnTo>
                                  <a:pt x="34315" y="34315"/>
                                </a:lnTo>
                                <a:lnTo>
                                  <a:pt x="9207" y="71551"/>
                                </a:lnTo>
                                <a:lnTo>
                                  <a:pt x="0" y="117144"/>
                                </a:lnTo>
                                <a:lnTo>
                                  <a:pt x="9207" y="162750"/>
                                </a:lnTo>
                                <a:lnTo>
                                  <a:pt x="34315" y="199986"/>
                                </a:lnTo>
                                <a:lnTo>
                                  <a:pt x="71551" y="225094"/>
                                </a:lnTo>
                                <a:lnTo>
                                  <a:pt x="117157" y="234289"/>
                                </a:lnTo>
                                <a:lnTo>
                                  <a:pt x="2477452" y="234289"/>
                                </a:lnTo>
                                <a:lnTo>
                                  <a:pt x="2523058" y="225094"/>
                                </a:lnTo>
                                <a:lnTo>
                                  <a:pt x="2560294" y="199986"/>
                                </a:lnTo>
                                <a:lnTo>
                                  <a:pt x="2585402" y="162750"/>
                                </a:lnTo>
                                <a:lnTo>
                                  <a:pt x="2594610" y="117144"/>
                                </a:lnTo>
                                <a:lnTo>
                                  <a:pt x="2585402" y="71551"/>
                                </a:lnTo>
                                <a:lnTo>
                                  <a:pt x="2560294" y="34315"/>
                                </a:lnTo>
                                <a:lnTo>
                                  <a:pt x="2523058" y="9207"/>
                                </a:lnTo>
                                <a:lnTo>
                                  <a:pt x="2477452" y="0"/>
                                </a:lnTo>
                                <a:close/>
                              </a:path>
                            </a:pathLst>
                          </a:custGeom>
                          <a:solidFill>
                            <a:srgbClr val="D1D3D4"/>
                          </a:solidFill>
                        </wps:spPr>
                        <wps:bodyPr wrap="square" lIns="0" tIns="0" rIns="0" bIns="0" rtlCol="0">
                          <a:prstTxWarp prst="textNoShape">
                            <a:avLst/>
                          </a:prstTxWarp>
                          <a:noAutofit/>
                        </wps:bodyPr>
                      </wps:wsp>
                      <wps:wsp>
                        <wps:cNvPr id="278" name="Graphic 278"/>
                        <wps:cNvSpPr/>
                        <wps:spPr>
                          <a:xfrm>
                            <a:off x="1312113" y="397535"/>
                            <a:ext cx="2594610" cy="234315"/>
                          </a:xfrm>
                          <a:custGeom>
                            <a:avLst/>
                            <a:gdLst/>
                            <a:ahLst/>
                            <a:cxnLst/>
                            <a:rect l="l" t="t" r="r" b="b"/>
                            <a:pathLst>
                              <a:path w="2594610" h="234315">
                                <a:moveTo>
                                  <a:pt x="2594611" y="117147"/>
                                </a:moveTo>
                                <a:lnTo>
                                  <a:pt x="2585401" y="162746"/>
                                </a:lnTo>
                                <a:lnTo>
                                  <a:pt x="2560301" y="199983"/>
                                </a:lnTo>
                                <a:lnTo>
                                  <a:pt x="2523061" y="225088"/>
                                </a:lnTo>
                                <a:lnTo>
                                  <a:pt x="2477451" y="234294"/>
                                </a:lnTo>
                                <a:lnTo>
                                  <a:pt x="117157" y="234294"/>
                                </a:lnTo>
                                <a:lnTo>
                                  <a:pt x="71553" y="225088"/>
                                </a:lnTo>
                                <a:lnTo>
                                  <a:pt x="34313" y="199983"/>
                                </a:lnTo>
                                <a:lnTo>
                                  <a:pt x="9206" y="162746"/>
                                </a:lnTo>
                                <a:lnTo>
                                  <a:pt x="0" y="117147"/>
                                </a:lnTo>
                                <a:lnTo>
                                  <a:pt x="9206" y="71546"/>
                                </a:lnTo>
                                <a:lnTo>
                                  <a:pt x="34313" y="34309"/>
                                </a:lnTo>
                                <a:lnTo>
                                  <a:pt x="71553" y="9205"/>
                                </a:lnTo>
                                <a:lnTo>
                                  <a:pt x="117157" y="0"/>
                                </a:lnTo>
                                <a:lnTo>
                                  <a:pt x="2477451" y="0"/>
                                </a:lnTo>
                                <a:lnTo>
                                  <a:pt x="2523061" y="9205"/>
                                </a:lnTo>
                                <a:lnTo>
                                  <a:pt x="2560301" y="34309"/>
                                </a:lnTo>
                                <a:lnTo>
                                  <a:pt x="2585401" y="71546"/>
                                </a:lnTo>
                                <a:lnTo>
                                  <a:pt x="2594611" y="117147"/>
                                </a:lnTo>
                                <a:close/>
                              </a:path>
                            </a:pathLst>
                          </a:custGeom>
                          <a:ln w="3429">
                            <a:solidFill>
                              <a:srgbClr val="231F1F"/>
                            </a:solidFill>
                            <a:prstDash val="solid"/>
                          </a:ln>
                        </wps:spPr>
                        <wps:bodyPr wrap="square" lIns="0" tIns="0" rIns="0" bIns="0" rtlCol="0">
                          <a:prstTxWarp prst="textNoShape">
                            <a:avLst/>
                          </a:prstTxWarp>
                          <a:noAutofit/>
                        </wps:bodyPr>
                      </wps:wsp>
                      <wps:wsp>
                        <wps:cNvPr id="279" name="Graphic 279"/>
                        <wps:cNvSpPr/>
                        <wps:spPr>
                          <a:xfrm>
                            <a:off x="333222" y="1372552"/>
                            <a:ext cx="993140" cy="285750"/>
                          </a:xfrm>
                          <a:custGeom>
                            <a:avLst/>
                            <a:gdLst/>
                            <a:ahLst/>
                            <a:cxnLst/>
                            <a:rect l="l" t="t" r="r" b="b"/>
                            <a:pathLst>
                              <a:path w="993140" h="285750">
                                <a:moveTo>
                                  <a:pt x="855878" y="0"/>
                                </a:moveTo>
                                <a:lnTo>
                                  <a:pt x="137159" y="0"/>
                                </a:lnTo>
                                <a:lnTo>
                                  <a:pt x="93814" y="6997"/>
                                </a:lnTo>
                                <a:lnTo>
                                  <a:pt x="56159" y="26466"/>
                                </a:lnTo>
                                <a:lnTo>
                                  <a:pt x="26466" y="56159"/>
                                </a:lnTo>
                                <a:lnTo>
                                  <a:pt x="6997" y="93802"/>
                                </a:lnTo>
                                <a:lnTo>
                                  <a:pt x="0" y="137147"/>
                                </a:lnTo>
                                <a:lnTo>
                                  <a:pt x="0" y="148120"/>
                                </a:lnTo>
                                <a:lnTo>
                                  <a:pt x="6997" y="191465"/>
                                </a:lnTo>
                                <a:lnTo>
                                  <a:pt x="26466" y="229120"/>
                                </a:lnTo>
                                <a:lnTo>
                                  <a:pt x="56159" y="258813"/>
                                </a:lnTo>
                                <a:lnTo>
                                  <a:pt x="93814" y="278282"/>
                                </a:lnTo>
                                <a:lnTo>
                                  <a:pt x="137159" y="285267"/>
                                </a:lnTo>
                                <a:lnTo>
                                  <a:pt x="855878" y="285267"/>
                                </a:lnTo>
                                <a:lnTo>
                                  <a:pt x="899223" y="278282"/>
                                </a:lnTo>
                                <a:lnTo>
                                  <a:pt x="936879" y="258813"/>
                                </a:lnTo>
                                <a:lnTo>
                                  <a:pt x="966571" y="229120"/>
                                </a:lnTo>
                                <a:lnTo>
                                  <a:pt x="986040" y="191465"/>
                                </a:lnTo>
                                <a:lnTo>
                                  <a:pt x="993038" y="148120"/>
                                </a:lnTo>
                                <a:lnTo>
                                  <a:pt x="993038" y="137147"/>
                                </a:lnTo>
                                <a:lnTo>
                                  <a:pt x="986040" y="93802"/>
                                </a:lnTo>
                                <a:lnTo>
                                  <a:pt x="966571" y="56159"/>
                                </a:lnTo>
                                <a:lnTo>
                                  <a:pt x="936879" y="26466"/>
                                </a:lnTo>
                                <a:lnTo>
                                  <a:pt x="899223" y="6997"/>
                                </a:lnTo>
                                <a:lnTo>
                                  <a:pt x="855878" y="0"/>
                                </a:lnTo>
                                <a:close/>
                              </a:path>
                            </a:pathLst>
                          </a:custGeom>
                          <a:solidFill>
                            <a:srgbClr val="D1D3D4"/>
                          </a:solidFill>
                        </wps:spPr>
                        <wps:bodyPr wrap="square" lIns="0" tIns="0" rIns="0" bIns="0" rtlCol="0">
                          <a:prstTxWarp prst="textNoShape">
                            <a:avLst/>
                          </a:prstTxWarp>
                          <a:noAutofit/>
                        </wps:bodyPr>
                      </wps:wsp>
                      <wps:wsp>
                        <wps:cNvPr id="280" name="Graphic 280"/>
                        <wps:cNvSpPr/>
                        <wps:spPr>
                          <a:xfrm>
                            <a:off x="333222" y="1372552"/>
                            <a:ext cx="993140" cy="285750"/>
                          </a:xfrm>
                          <a:custGeom>
                            <a:avLst/>
                            <a:gdLst/>
                            <a:ahLst/>
                            <a:cxnLst/>
                            <a:rect l="l" t="t" r="r" b="b"/>
                            <a:pathLst>
                              <a:path w="993140" h="285750">
                                <a:moveTo>
                                  <a:pt x="993038" y="148119"/>
                                </a:moveTo>
                                <a:lnTo>
                                  <a:pt x="986045" y="191465"/>
                                </a:lnTo>
                                <a:lnTo>
                                  <a:pt x="966572" y="229114"/>
                                </a:lnTo>
                                <a:lnTo>
                                  <a:pt x="936879" y="258803"/>
                                </a:lnTo>
                                <a:lnTo>
                                  <a:pt x="899228" y="278275"/>
                                </a:lnTo>
                                <a:lnTo>
                                  <a:pt x="855878" y="285267"/>
                                </a:lnTo>
                                <a:lnTo>
                                  <a:pt x="137160" y="285267"/>
                                </a:lnTo>
                                <a:lnTo>
                                  <a:pt x="93810" y="278275"/>
                                </a:lnTo>
                                <a:lnTo>
                                  <a:pt x="56158" y="258803"/>
                                </a:lnTo>
                                <a:lnTo>
                                  <a:pt x="26466" y="229114"/>
                                </a:lnTo>
                                <a:lnTo>
                                  <a:pt x="6993" y="191465"/>
                                </a:lnTo>
                                <a:lnTo>
                                  <a:pt x="0" y="148119"/>
                                </a:lnTo>
                                <a:lnTo>
                                  <a:pt x="0" y="137147"/>
                                </a:lnTo>
                                <a:lnTo>
                                  <a:pt x="6993" y="93801"/>
                                </a:lnTo>
                                <a:lnTo>
                                  <a:pt x="26466" y="56153"/>
                                </a:lnTo>
                                <a:lnTo>
                                  <a:pt x="56158" y="26463"/>
                                </a:lnTo>
                                <a:lnTo>
                                  <a:pt x="93810" y="6992"/>
                                </a:lnTo>
                                <a:lnTo>
                                  <a:pt x="137160" y="0"/>
                                </a:lnTo>
                                <a:lnTo>
                                  <a:pt x="855878" y="0"/>
                                </a:lnTo>
                                <a:lnTo>
                                  <a:pt x="899228" y="6992"/>
                                </a:lnTo>
                                <a:lnTo>
                                  <a:pt x="936879" y="26463"/>
                                </a:lnTo>
                                <a:lnTo>
                                  <a:pt x="966572" y="56153"/>
                                </a:lnTo>
                                <a:lnTo>
                                  <a:pt x="986045" y="93801"/>
                                </a:lnTo>
                                <a:lnTo>
                                  <a:pt x="993038" y="137147"/>
                                </a:lnTo>
                                <a:lnTo>
                                  <a:pt x="993038" y="148119"/>
                                </a:lnTo>
                                <a:close/>
                              </a:path>
                            </a:pathLst>
                          </a:custGeom>
                          <a:ln w="3429">
                            <a:solidFill>
                              <a:srgbClr val="231F1F"/>
                            </a:solidFill>
                            <a:prstDash val="solid"/>
                          </a:ln>
                        </wps:spPr>
                        <wps:bodyPr wrap="square" lIns="0" tIns="0" rIns="0" bIns="0" rtlCol="0">
                          <a:prstTxWarp prst="textNoShape">
                            <a:avLst/>
                          </a:prstTxWarp>
                          <a:noAutofit/>
                        </wps:bodyPr>
                      </wps:wsp>
                      <wps:wsp>
                        <wps:cNvPr id="281" name="Graphic 281"/>
                        <wps:cNvSpPr/>
                        <wps:spPr>
                          <a:xfrm>
                            <a:off x="1660944" y="1334160"/>
                            <a:ext cx="2080260" cy="880744"/>
                          </a:xfrm>
                          <a:custGeom>
                            <a:avLst/>
                            <a:gdLst/>
                            <a:ahLst/>
                            <a:cxnLst/>
                            <a:rect l="l" t="t" r="r" b="b"/>
                            <a:pathLst>
                              <a:path w="2080260" h="880744">
                                <a:moveTo>
                                  <a:pt x="1942884" y="0"/>
                                </a:moveTo>
                                <a:lnTo>
                                  <a:pt x="137160" y="0"/>
                                </a:lnTo>
                                <a:lnTo>
                                  <a:pt x="93802" y="6984"/>
                                </a:lnTo>
                                <a:lnTo>
                                  <a:pt x="56146" y="26454"/>
                                </a:lnTo>
                                <a:lnTo>
                                  <a:pt x="26466" y="56146"/>
                                </a:lnTo>
                                <a:lnTo>
                                  <a:pt x="6985" y="93802"/>
                                </a:lnTo>
                                <a:lnTo>
                                  <a:pt x="0" y="137147"/>
                                </a:lnTo>
                                <a:lnTo>
                                  <a:pt x="0" y="743445"/>
                                </a:lnTo>
                                <a:lnTo>
                                  <a:pt x="6985" y="786790"/>
                                </a:lnTo>
                                <a:lnTo>
                                  <a:pt x="26466" y="824433"/>
                                </a:lnTo>
                                <a:lnTo>
                                  <a:pt x="56146" y="854125"/>
                                </a:lnTo>
                                <a:lnTo>
                                  <a:pt x="93802" y="873594"/>
                                </a:lnTo>
                                <a:lnTo>
                                  <a:pt x="137160" y="880592"/>
                                </a:lnTo>
                                <a:lnTo>
                                  <a:pt x="1942884" y="880592"/>
                                </a:lnTo>
                                <a:lnTo>
                                  <a:pt x="1986229" y="873594"/>
                                </a:lnTo>
                                <a:lnTo>
                                  <a:pt x="2023884" y="854125"/>
                                </a:lnTo>
                                <a:lnTo>
                                  <a:pt x="2053577" y="824433"/>
                                </a:lnTo>
                                <a:lnTo>
                                  <a:pt x="2073046" y="786790"/>
                                </a:lnTo>
                                <a:lnTo>
                                  <a:pt x="2080044" y="743445"/>
                                </a:lnTo>
                                <a:lnTo>
                                  <a:pt x="2080044" y="137147"/>
                                </a:lnTo>
                                <a:lnTo>
                                  <a:pt x="2073046" y="93802"/>
                                </a:lnTo>
                                <a:lnTo>
                                  <a:pt x="2053577" y="56146"/>
                                </a:lnTo>
                                <a:lnTo>
                                  <a:pt x="2023884" y="26454"/>
                                </a:lnTo>
                                <a:lnTo>
                                  <a:pt x="1986229" y="6984"/>
                                </a:lnTo>
                                <a:lnTo>
                                  <a:pt x="1942884" y="0"/>
                                </a:lnTo>
                                <a:close/>
                              </a:path>
                            </a:pathLst>
                          </a:custGeom>
                          <a:solidFill>
                            <a:srgbClr val="D1D3D4"/>
                          </a:solidFill>
                        </wps:spPr>
                        <wps:bodyPr wrap="square" lIns="0" tIns="0" rIns="0" bIns="0" rtlCol="0">
                          <a:prstTxWarp prst="textNoShape">
                            <a:avLst/>
                          </a:prstTxWarp>
                          <a:noAutofit/>
                        </wps:bodyPr>
                      </wps:wsp>
                      <wps:wsp>
                        <wps:cNvPr id="282" name="Graphic 282"/>
                        <wps:cNvSpPr/>
                        <wps:spPr>
                          <a:xfrm>
                            <a:off x="1660944" y="1334160"/>
                            <a:ext cx="2080260" cy="880744"/>
                          </a:xfrm>
                          <a:custGeom>
                            <a:avLst/>
                            <a:gdLst/>
                            <a:ahLst/>
                            <a:cxnLst/>
                            <a:rect l="l" t="t" r="r" b="b"/>
                            <a:pathLst>
                              <a:path w="2080260" h="880744">
                                <a:moveTo>
                                  <a:pt x="2080041" y="743443"/>
                                </a:moveTo>
                                <a:lnTo>
                                  <a:pt x="2073051" y="786789"/>
                                </a:lnTo>
                                <a:lnTo>
                                  <a:pt x="2053581" y="824438"/>
                                </a:lnTo>
                                <a:lnTo>
                                  <a:pt x="2023881" y="854127"/>
                                </a:lnTo>
                                <a:lnTo>
                                  <a:pt x="1986231" y="873599"/>
                                </a:lnTo>
                                <a:lnTo>
                                  <a:pt x="1942881" y="880591"/>
                                </a:lnTo>
                                <a:lnTo>
                                  <a:pt x="137159" y="880591"/>
                                </a:lnTo>
                                <a:lnTo>
                                  <a:pt x="93805" y="873599"/>
                                </a:lnTo>
                                <a:lnTo>
                                  <a:pt x="56153" y="854127"/>
                                </a:lnTo>
                                <a:lnTo>
                                  <a:pt x="26462" y="824438"/>
                                </a:lnTo>
                                <a:lnTo>
                                  <a:pt x="6992" y="786789"/>
                                </a:lnTo>
                                <a:lnTo>
                                  <a:pt x="0" y="743443"/>
                                </a:lnTo>
                                <a:lnTo>
                                  <a:pt x="0" y="137147"/>
                                </a:lnTo>
                                <a:lnTo>
                                  <a:pt x="6992" y="93801"/>
                                </a:lnTo>
                                <a:lnTo>
                                  <a:pt x="26462" y="56153"/>
                                </a:lnTo>
                                <a:lnTo>
                                  <a:pt x="56153" y="26463"/>
                                </a:lnTo>
                                <a:lnTo>
                                  <a:pt x="93805" y="6992"/>
                                </a:lnTo>
                                <a:lnTo>
                                  <a:pt x="137159" y="0"/>
                                </a:lnTo>
                                <a:lnTo>
                                  <a:pt x="1942881" y="0"/>
                                </a:lnTo>
                                <a:lnTo>
                                  <a:pt x="1986231" y="6992"/>
                                </a:lnTo>
                                <a:lnTo>
                                  <a:pt x="2023881" y="26463"/>
                                </a:lnTo>
                                <a:lnTo>
                                  <a:pt x="2053581" y="56153"/>
                                </a:lnTo>
                                <a:lnTo>
                                  <a:pt x="2073051" y="93801"/>
                                </a:lnTo>
                                <a:lnTo>
                                  <a:pt x="2080041" y="137147"/>
                                </a:lnTo>
                                <a:lnTo>
                                  <a:pt x="2080041" y="743443"/>
                                </a:lnTo>
                                <a:close/>
                              </a:path>
                            </a:pathLst>
                          </a:custGeom>
                          <a:ln w="3429">
                            <a:solidFill>
                              <a:srgbClr val="231F1F"/>
                            </a:solidFill>
                            <a:prstDash val="solid"/>
                          </a:ln>
                        </wps:spPr>
                        <wps:bodyPr wrap="square" lIns="0" tIns="0" rIns="0" bIns="0" rtlCol="0">
                          <a:prstTxWarp prst="textNoShape">
                            <a:avLst/>
                          </a:prstTxWarp>
                          <a:noAutofit/>
                        </wps:bodyPr>
                      </wps:wsp>
                      <wps:wsp>
                        <wps:cNvPr id="283" name="Graphic 283"/>
                        <wps:cNvSpPr/>
                        <wps:spPr>
                          <a:xfrm>
                            <a:off x="4058500" y="1369809"/>
                            <a:ext cx="1008380" cy="399415"/>
                          </a:xfrm>
                          <a:custGeom>
                            <a:avLst/>
                            <a:gdLst/>
                            <a:ahLst/>
                            <a:cxnLst/>
                            <a:rect l="l" t="t" r="r" b="b"/>
                            <a:pathLst>
                              <a:path w="1008380" h="399415">
                                <a:moveTo>
                                  <a:pt x="871207" y="0"/>
                                </a:moveTo>
                                <a:lnTo>
                                  <a:pt x="137160" y="0"/>
                                </a:lnTo>
                                <a:lnTo>
                                  <a:pt x="93802" y="6997"/>
                                </a:lnTo>
                                <a:lnTo>
                                  <a:pt x="56146" y="26466"/>
                                </a:lnTo>
                                <a:lnTo>
                                  <a:pt x="26466" y="56159"/>
                                </a:lnTo>
                                <a:lnTo>
                                  <a:pt x="6985" y="93802"/>
                                </a:lnTo>
                                <a:lnTo>
                                  <a:pt x="0" y="137147"/>
                                </a:lnTo>
                                <a:lnTo>
                                  <a:pt x="0" y="262064"/>
                                </a:lnTo>
                                <a:lnTo>
                                  <a:pt x="6985" y="305409"/>
                                </a:lnTo>
                                <a:lnTo>
                                  <a:pt x="26466" y="343052"/>
                                </a:lnTo>
                                <a:lnTo>
                                  <a:pt x="56146" y="372744"/>
                                </a:lnTo>
                                <a:lnTo>
                                  <a:pt x="93802" y="392214"/>
                                </a:lnTo>
                                <a:lnTo>
                                  <a:pt x="137160" y="399211"/>
                                </a:lnTo>
                                <a:lnTo>
                                  <a:pt x="871207" y="399211"/>
                                </a:lnTo>
                                <a:lnTo>
                                  <a:pt x="914552" y="392214"/>
                                </a:lnTo>
                                <a:lnTo>
                                  <a:pt x="952207" y="372744"/>
                                </a:lnTo>
                                <a:lnTo>
                                  <a:pt x="981900" y="343052"/>
                                </a:lnTo>
                                <a:lnTo>
                                  <a:pt x="1001369" y="305409"/>
                                </a:lnTo>
                                <a:lnTo>
                                  <a:pt x="1008367" y="262064"/>
                                </a:lnTo>
                                <a:lnTo>
                                  <a:pt x="1008367" y="137147"/>
                                </a:lnTo>
                                <a:lnTo>
                                  <a:pt x="1001369" y="93802"/>
                                </a:lnTo>
                                <a:lnTo>
                                  <a:pt x="981900" y="56159"/>
                                </a:lnTo>
                                <a:lnTo>
                                  <a:pt x="952207" y="26466"/>
                                </a:lnTo>
                                <a:lnTo>
                                  <a:pt x="914552" y="6997"/>
                                </a:lnTo>
                                <a:lnTo>
                                  <a:pt x="871207" y="0"/>
                                </a:lnTo>
                                <a:close/>
                              </a:path>
                            </a:pathLst>
                          </a:custGeom>
                          <a:solidFill>
                            <a:srgbClr val="D1D3D4"/>
                          </a:solidFill>
                        </wps:spPr>
                        <wps:bodyPr wrap="square" lIns="0" tIns="0" rIns="0" bIns="0" rtlCol="0">
                          <a:prstTxWarp prst="textNoShape">
                            <a:avLst/>
                          </a:prstTxWarp>
                          <a:noAutofit/>
                        </wps:bodyPr>
                      </wps:wsp>
                      <wps:wsp>
                        <wps:cNvPr id="284" name="Graphic 284"/>
                        <wps:cNvSpPr/>
                        <wps:spPr>
                          <a:xfrm>
                            <a:off x="4058500" y="1369809"/>
                            <a:ext cx="1008380" cy="399415"/>
                          </a:xfrm>
                          <a:custGeom>
                            <a:avLst/>
                            <a:gdLst/>
                            <a:ahLst/>
                            <a:cxnLst/>
                            <a:rect l="l" t="t" r="r" b="b"/>
                            <a:pathLst>
                              <a:path w="1008380" h="399415">
                                <a:moveTo>
                                  <a:pt x="1008370" y="262054"/>
                                </a:moveTo>
                                <a:lnTo>
                                  <a:pt x="1001370" y="305400"/>
                                </a:lnTo>
                                <a:lnTo>
                                  <a:pt x="981900" y="343048"/>
                                </a:lnTo>
                                <a:lnTo>
                                  <a:pt x="952208" y="372737"/>
                                </a:lnTo>
                                <a:lnTo>
                                  <a:pt x="914557" y="392209"/>
                                </a:lnTo>
                                <a:lnTo>
                                  <a:pt x="871207" y="399202"/>
                                </a:lnTo>
                                <a:lnTo>
                                  <a:pt x="137159" y="399202"/>
                                </a:lnTo>
                                <a:lnTo>
                                  <a:pt x="93805" y="392209"/>
                                </a:lnTo>
                                <a:lnTo>
                                  <a:pt x="56153" y="372737"/>
                                </a:lnTo>
                                <a:lnTo>
                                  <a:pt x="26462" y="343048"/>
                                </a:lnTo>
                                <a:lnTo>
                                  <a:pt x="6992" y="305400"/>
                                </a:lnTo>
                                <a:lnTo>
                                  <a:pt x="0" y="262054"/>
                                </a:lnTo>
                                <a:lnTo>
                                  <a:pt x="0" y="137147"/>
                                </a:lnTo>
                                <a:lnTo>
                                  <a:pt x="6992" y="93801"/>
                                </a:lnTo>
                                <a:lnTo>
                                  <a:pt x="26462" y="56153"/>
                                </a:lnTo>
                                <a:lnTo>
                                  <a:pt x="56153" y="26463"/>
                                </a:lnTo>
                                <a:lnTo>
                                  <a:pt x="93805" y="6992"/>
                                </a:lnTo>
                                <a:lnTo>
                                  <a:pt x="137159" y="0"/>
                                </a:lnTo>
                                <a:lnTo>
                                  <a:pt x="871207" y="0"/>
                                </a:lnTo>
                                <a:lnTo>
                                  <a:pt x="914557" y="6992"/>
                                </a:lnTo>
                                <a:lnTo>
                                  <a:pt x="952208" y="26463"/>
                                </a:lnTo>
                                <a:lnTo>
                                  <a:pt x="981900" y="56153"/>
                                </a:lnTo>
                                <a:lnTo>
                                  <a:pt x="1001370" y="93801"/>
                                </a:lnTo>
                                <a:lnTo>
                                  <a:pt x="1008370" y="137147"/>
                                </a:lnTo>
                                <a:lnTo>
                                  <a:pt x="1008370" y="262054"/>
                                </a:lnTo>
                                <a:close/>
                              </a:path>
                            </a:pathLst>
                          </a:custGeom>
                          <a:ln w="3429">
                            <a:solidFill>
                              <a:srgbClr val="231F1F"/>
                            </a:solidFill>
                            <a:prstDash val="solid"/>
                          </a:ln>
                        </wps:spPr>
                        <wps:bodyPr wrap="square" lIns="0" tIns="0" rIns="0" bIns="0" rtlCol="0">
                          <a:prstTxWarp prst="textNoShape">
                            <a:avLst/>
                          </a:prstTxWarp>
                          <a:noAutofit/>
                        </wps:bodyPr>
                      </wps:wsp>
                      <wps:wsp>
                        <wps:cNvPr id="285" name="Graphic 285"/>
                        <wps:cNvSpPr/>
                        <wps:spPr>
                          <a:xfrm>
                            <a:off x="2127275" y="2368245"/>
                            <a:ext cx="1158240" cy="173355"/>
                          </a:xfrm>
                          <a:custGeom>
                            <a:avLst/>
                            <a:gdLst/>
                            <a:ahLst/>
                            <a:cxnLst/>
                            <a:rect l="l" t="t" r="r" b="b"/>
                            <a:pathLst>
                              <a:path w="1158240" h="173355">
                                <a:moveTo>
                                  <a:pt x="1071219" y="0"/>
                                </a:moveTo>
                                <a:lnTo>
                                  <a:pt x="86398" y="0"/>
                                </a:lnTo>
                                <a:lnTo>
                                  <a:pt x="52768" y="6794"/>
                                </a:lnTo>
                                <a:lnTo>
                                  <a:pt x="25311" y="25311"/>
                                </a:lnTo>
                                <a:lnTo>
                                  <a:pt x="6781" y="52781"/>
                                </a:lnTo>
                                <a:lnTo>
                                  <a:pt x="0" y="86410"/>
                                </a:lnTo>
                                <a:lnTo>
                                  <a:pt x="6781" y="120040"/>
                                </a:lnTo>
                                <a:lnTo>
                                  <a:pt x="25311" y="147510"/>
                                </a:lnTo>
                                <a:lnTo>
                                  <a:pt x="52768" y="166027"/>
                                </a:lnTo>
                                <a:lnTo>
                                  <a:pt x="86398" y="172808"/>
                                </a:lnTo>
                                <a:lnTo>
                                  <a:pt x="1071219" y="172808"/>
                                </a:lnTo>
                                <a:lnTo>
                                  <a:pt x="1104849" y="166027"/>
                                </a:lnTo>
                                <a:lnTo>
                                  <a:pt x="1132319" y="147510"/>
                                </a:lnTo>
                                <a:lnTo>
                                  <a:pt x="1150835" y="120040"/>
                                </a:lnTo>
                                <a:lnTo>
                                  <a:pt x="1157630" y="86410"/>
                                </a:lnTo>
                                <a:lnTo>
                                  <a:pt x="1150835" y="52781"/>
                                </a:lnTo>
                                <a:lnTo>
                                  <a:pt x="1132319" y="25311"/>
                                </a:lnTo>
                                <a:lnTo>
                                  <a:pt x="1104849" y="6794"/>
                                </a:lnTo>
                                <a:lnTo>
                                  <a:pt x="1071219" y="0"/>
                                </a:lnTo>
                                <a:close/>
                              </a:path>
                            </a:pathLst>
                          </a:custGeom>
                          <a:solidFill>
                            <a:srgbClr val="D1D3D4"/>
                          </a:solidFill>
                        </wps:spPr>
                        <wps:bodyPr wrap="square" lIns="0" tIns="0" rIns="0" bIns="0" rtlCol="0">
                          <a:prstTxWarp prst="textNoShape">
                            <a:avLst/>
                          </a:prstTxWarp>
                          <a:noAutofit/>
                        </wps:bodyPr>
                      </wps:wsp>
                      <wps:wsp>
                        <wps:cNvPr id="286" name="Graphic 286"/>
                        <wps:cNvSpPr/>
                        <wps:spPr>
                          <a:xfrm>
                            <a:off x="2127275" y="2368245"/>
                            <a:ext cx="1158240" cy="173355"/>
                          </a:xfrm>
                          <a:custGeom>
                            <a:avLst/>
                            <a:gdLst/>
                            <a:ahLst/>
                            <a:cxnLst/>
                            <a:rect l="l" t="t" r="r" b="b"/>
                            <a:pathLst>
                              <a:path w="1158240" h="173355">
                                <a:moveTo>
                                  <a:pt x="1157630" y="86402"/>
                                </a:moveTo>
                                <a:lnTo>
                                  <a:pt x="1150840" y="120037"/>
                                </a:lnTo>
                                <a:lnTo>
                                  <a:pt x="1132320" y="147500"/>
                                </a:lnTo>
                                <a:lnTo>
                                  <a:pt x="1104850" y="166017"/>
                                </a:lnTo>
                                <a:lnTo>
                                  <a:pt x="1071220" y="172806"/>
                                </a:lnTo>
                                <a:lnTo>
                                  <a:pt x="86398" y="172806"/>
                                </a:lnTo>
                                <a:lnTo>
                                  <a:pt x="52769" y="166017"/>
                                </a:lnTo>
                                <a:lnTo>
                                  <a:pt x="25306" y="147500"/>
                                </a:lnTo>
                                <a:lnTo>
                                  <a:pt x="6789" y="120037"/>
                                </a:lnTo>
                                <a:lnTo>
                                  <a:pt x="0" y="86402"/>
                                </a:lnTo>
                                <a:lnTo>
                                  <a:pt x="6789" y="52774"/>
                                </a:lnTo>
                                <a:lnTo>
                                  <a:pt x="25306" y="25309"/>
                                </a:lnTo>
                                <a:lnTo>
                                  <a:pt x="52769" y="6790"/>
                                </a:lnTo>
                                <a:lnTo>
                                  <a:pt x="86398" y="0"/>
                                </a:lnTo>
                                <a:lnTo>
                                  <a:pt x="1071220" y="0"/>
                                </a:lnTo>
                                <a:lnTo>
                                  <a:pt x="1104850" y="6790"/>
                                </a:lnTo>
                                <a:lnTo>
                                  <a:pt x="1132320" y="25309"/>
                                </a:lnTo>
                                <a:lnTo>
                                  <a:pt x="1150840" y="52774"/>
                                </a:lnTo>
                                <a:lnTo>
                                  <a:pt x="1157630" y="86402"/>
                                </a:lnTo>
                                <a:close/>
                              </a:path>
                            </a:pathLst>
                          </a:custGeom>
                          <a:ln w="3428">
                            <a:solidFill>
                              <a:srgbClr val="231F1F"/>
                            </a:solidFill>
                            <a:prstDash val="solid"/>
                          </a:ln>
                        </wps:spPr>
                        <wps:bodyPr wrap="square" lIns="0" tIns="0" rIns="0" bIns="0" rtlCol="0">
                          <a:prstTxWarp prst="textNoShape">
                            <a:avLst/>
                          </a:prstTxWarp>
                          <a:noAutofit/>
                        </wps:bodyPr>
                      </wps:wsp>
                      <wps:wsp>
                        <wps:cNvPr id="287" name="Graphic 287"/>
                        <wps:cNvSpPr/>
                        <wps:spPr>
                          <a:xfrm>
                            <a:off x="1885873" y="2829064"/>
                            <a:ext cx="414655" cy="208915"/>
                          </a:xfrm>
                          <a:custGeom>
                            <a:avLst/>
                            <a:gdLst/>
                            <a:ahLst/>
                            <a:cxnLst/>
                            <a:rect l="l" t="t" r="r" b="b"/>
                            <a:pathLst>
                              <a:path w="414655" h="208915">
                                <a:moveTo>
                                  <a:pt x="310197" y="0"/>
                                </a:moveTo>
                                <a:lnTo>
                                  <a:pt x="104444" y="0"/>
                                </a:lnTo>
                                <a:lnTo>
                                  <a:pt x="63779" y="8216"/>
                                </a:lnTo>
                                <a:lnTo>
                                  <a:pt x="30581" y="30594"/>
                                </a:lnTo>
                                <a:lnTo>
                                  <a:pt x="8204" y="63792"/>
                                </a:lnTo>
                                <a:lnTo>
                                  <a:pt x="0" y="104444"/>
                                </a:lnTo>
                                <a:lnTo>
                                  <a:pt x="8204" y="145084"/>
                                </a:lnTo>
                                <a:lnTo>
                                  <a:pt x="30581" y="178282"/>
                                </a:lnTo>
                                <a:lnTo>
                                  <a:pt x="63779" y="200672"/>
                                </a:lnTo>
                                <a:lnTo>
                                  <a:pt x="104444" y="208876"/>
                                </a:lnTo>
                                <a:lnTo>
                                  <a:pt x="310197" y="208876"/>
                                </a:lnTo>
                                <a:lnTo>
                                  <a:pt x="350837" y="200672"/>
                                </a:lnTo>
                                <a:lnTo>
                                  <a:pt x="384035" y="178282"/>
                                </a:lnTo>
                                <a:lnTo>
                                  <a:pt x="406425" y="145084"/>
                                </a:lnTo>
                                <a:lnTo>
                                  <a:pt x="414629" y="104444"/>
                                </a:lnTo>
                                <a:lnTo>
                                  <a:pt x="406425" y="63792"/>
                                </a:lnTo>
                                <a:lnTo>
                                  <a:pt x="384035" y="30594"/>
                                </a:lnTo>
                                <a:lnTo>
                                  <a:pt x="350837" y="8216"/>
                                </a:lnTo>
                                <a:lnTo>
                                  <a:pt x="310197" y="0"/>
                                </a:lnTo>
                                <a:close/>
                              </a:path>
                            </a:pathLst>
                          </a:custGeom>
                          <a:solidFill>
                            <a:srgbClr val="D1D3D4"/>
                          </a:solidFill>
                        </wps:spPr>
                        <wps:bodyPr wrap="square" lIns="0" tIns="0" rIns="0" bIns="0" rtlCol="0">
                          <a:prstTxWarp prst="textNoShape">
                            <a:avLst/>
                          </a:prstTxWarp>
                          <a:noAutofit/>
                        </wps:bodyPr>
                      </wps:wsp>
                      <wps:wsp>
                        <wps:cNvPr id="288" name="Graphic 288"/>
                        <wps:cNvSpPr/>
                        <wps:spPr>
                          <a:xfrm>
                            <a:off x="1885873" y="2829064"/>
                            <a:ext cx="414655" cy="208915"/>
                          </a:xfrm>
                          <a:custGeom>
                            <a:avLst/>
                            <a:gdLst/>
                            <a:ahLst/>
                            <a:cxnLst/>
                            <a:rect l="l" t="t" r="r" b="b"/>
                            <a:pathLst>
                              <a:path w="414655" h="208915">
                                <a:moveTo>
                                  <a:pt x="414629" y="104435"/>
                                </a:moveTo>
                                <a:lnTo>
                                  <a:pt x="406422" y="145082"/>
                                </a:lnTo>
                                <a:lnTo>
                                  <a:pt x="384040" y="178278"/>
                                </a:lnTo>
                                <a:lnTo>
                                  <a:pt x="350844" y="200663"/>
                                </a:lnTo>
                                <a:lnTo>
                                  <a:pt x="310197" y="208871"/>
                                </a:lnTo>
                                <a:lnTo>
                                  <a:pt x="104444" y="208871"/>
                                </a:lnTo>
                                <a:lnTo>
                                  <a:pt x="63784" y="200663"/>
                                </a:lnTo>
                                <a:lnTo>
                                  <a:pt x="30586" y="178278"/>
                                </a:lnTo>
                                <a:lnTo>
                                  <a:pt x="8205" y="145082"/>
                                </a:lnTo>
                                <a:lnTo>
                                  <a:pt x="0" y="104435"/>
                                </a:lnTo>
                                <a:lnTo>
                                  <a:pt x="8205" y="63784"/>
                                </a:lnTo>
                                <a:lnTo>
                                  <a:pt x="30586" y="30588"/>
                                </a:lnTo>
                                <a:lnTo>
                                  <a:pt x="63784" y="8206"/>
                                </a:lnTo>
                                <a:lnTo>
                                  <a:pt x="104444" y="0"/>
                                </a:lnTo>
                                <a:lnTo>
                                  <a:pt x="310197" y="0"/>
                                </a:lnTo>
                                <a:lnTo>
                                  <a:pt x="350844" y="8206"/>
                                </a:lnTo>
                                <a:lnTo>
                                  <a:pt x="384040" y="30588"/>
                                </a:lnTo>
                                <a:lnTo>
                                  <a:pt x="406422" y="63784"/>
                                </a:lnTo>
                                <a:lnTo>
                                  <a:pt x="414629" y="104435"/>
                                </a:lnTo>
                                <a:close/>
                              </a:path>
                            </a:pathLst>
                          </a:custGeom>
                          <a:ln w="3429">
                            <a:solidFill>
                              <a:srgbClr val="231F1F"/>
                            </a:solidFill>
                            <a:prstDash val="solid"/>
                          </a:ln>
                        </wps:spPr>
                        <wps:bodyPr wrap="square" lIns="0" tIns="0" rIns="0" bIns="0" rtlCol="0">
                          <a:prstTxWarp prst="textNoShape">
                            <a:avLst/>
                          </a:prstTxWarp>
                          <a:noAutofit/>
                        </wps:bodyPr>
                      </wps:wsp>
                      <wps:wsp>
                        <wps:cNvPr id="289" name="Graphic 289"/>
                        <wps:cNvSpPr/>
                        <wps:spPr>
                          <a:xfrm>
                            <a:off x="3084652" y="2829051"/>
                            <a:ext cx="416559" cy="197485"/>
                          </a:xfrm>
                          <a:custGeom>
                            <a:avLst/>
                            <a:gdLst/>
                            <a:ahLst/>
                            <a:cxnLst/>
                            <a:rect l="l" t="t" r="r" b="b"/>
                            <a:pathLst>
                              <a:path w="416559" h="197485">
                                <a:moveTo>
                                  <a:pt x="317969" y="0"/>
                                </a:moveTo>
                                <a:lnTo>
                                  <a:pt x="98501" y="0"/>
                                </a:lnTo>
                                <a:lnTo>
                                  <a:pt x="60159" y="7747"/>
                                </a:lnTo>
                                <a:lnTo>
                                  <a:pt x="28854" y="28854"/>
                                </a:lnTo>
                                <a:lnTo>
                                  <a:pt x="7734" y="60159"/>
                                </a:lnTo>
                                <a:lnTo>
                                  <a:pt x="0" y="98501"/>
                                </a:lnTo>
                                <a:lnTo>
                                  <a:pt x="7734" y="136829"/>
                                </a:lnTo>
                                <a:lnTo>
                                  <a:pt x="28854" y="168135"/>
                                </a:lnTo>
                                <a:lnTo>
                                  <a:pt x="60159" y="189242"/>
                                </a:lnTo>
                                <a:lnTo>
                                  <a:pt x="98501" y="196989"/>
                                </a:lnTo>
                                <a:lnTo>
                                  <a:pt x="317969" y="196989"/>
                                </a:lnTo>
                                <a:lnTo>
                                  <a:pt x="356311" y="189242"/>
                                </a:lnTo>
                                <a:lnTo>
                                  <a:pt x="387603" y="168135"/>
                                </a:lnTo>
                                <a:lnTo>
                                  <a:pt x="408711" y="136829"/>
                                </a:lnTo>
                                <a:lnTo>
                                  <a:pt x="416458" y="98501"/>
                                </a:lnTo>
                                <a:lnTo>
                                  <a:pt x="408711" y="60159"/>
                                </a:lnTo>
                                <a:lnTo>
                                  <a:pt x="387603" y="28854"/>
                                </a:lnTo>
                                <a:lnTo>
                                  <a:pt x="356311" y="7747"/>
                                </a:lnTo>
                                <a:lnTo>
                                  <a:pt x="317969" y="0"/>
                                </a:lnTo>
                                <a:close/>
                              </a:path>
                            </a:pathLst>
                          </a:custGeom>
                          <a:solidFill>
                            <a:srgbClr val="D1D3D4"/>
                          </a:solidFill>
                        </wps:spPr>
                        <wps:bodyPr wrap="square" lIns="0" tIns="0" rIns="0" bIns="0" rtlCol="0">
                          <a:prstTxWarp prst="textNoShape">
                            <a:avLst/>
                          </a:prstTxWarp>
                          <a:noAutofit/>
                        </wps:bodyPr>
                      </wps:wsp>
                      <wps:wsp>
                        <wps:cNvPr id="290" name="Graphic 290"/>
                        <wps:cNvSpPr/>
                        <wps:spPr>
                          <a:xfrm>
                            <a:off x="3084652" y="2829051"/>
                            <a:ext cx="416559" cy="197485"/>
                          </a:xfrm>
                          <a:custGeom>
                            <a:avLst/>
                            <a:gdLst/>
                            <a:ahLst/>
                            <a:cxnLst/>
                            <a:rect l="l" t="t" r="r" b="b"/>
                            <a:pathLst>
                              <a:path w="416559" h="197485">
                                <a:moveTo>
                                  <a:pt x="416458" y="98492"/>
                                </a:moveTo>
                                <a:lnTo>
                                  <a:pt x="408718" y="136827"/>
                                </a:lnTo>
                                <a:lnTo>
                                  <a:pt x="387611" y="168135"/>
                                </a:lnTo>
                                <a:lnTo>
                                  <a:pt x="356306" y="189244"/>
                                </a:lnTo>
                                <a:lnTo>
                                  <a:pt x="317969" y="196985"/>
                                </a:lnTo>
                                <a:lnTo>
                                  <a:pt x="98501" y="196985"/>
                                </a:lnTo>
                                <a:lnTo>
                                  <a:pt x="60162" y="189244"/>
                                </a:lnTo>
                                <a:lnTo>
                                  <a:pt x="28852" y="168135"/>
                                </a:lnTo>
                                <a:lnTo>
                                  <a:pt x="7741" y="136827"/>
                                </a:lnTo>
                                <a:lnTo>
                                  <a:pt x="0" y="98492"/>
                                </a:lnTo>
                                <a:lnTo>
                                  <a:pt x="7741" y="60156"/>
                                </a:lnTo>
                                <a:lnTo>
                                  <a:pt x="28852" y="28849"/>
                                </a:lnTo>
                                <a:lnTo>
                                  <a:pt x="60162" y="7740"/>
                                </a:lnTo>
                                <a:lnTo>
                                  <a:pt x="98501" y="0"/>
                                </a:lnTo>
                                <a:lnTo>
                                  <a:pt x="317969" y="0"/>
                                </a:lnTo>
                                <a:lnTo>
                                  <a:pt x="356306" y="7740"/>
                                </a:lnTo>
                                <a:lnTo>
                                  <a:pt x="387611" y="28849"/>
                                </a:lnTo>
                                <a:lnTo>
                                  <a:pt x="408718" y="60156"/>
                                </a:lnTo>
                                <a:lnTo>
                                  <a:pt x="416458" y="98492"/>
                                </a:lnTo>
                                <a:close/>
                              </a:path>
                            </a:pathLst>
                          </a:custGeom>
                          <a:ln w="3429">
                            <a:solidFill>
                              <a:srgbClr val="231F1F"/>
                            </a:solidFill>
                            <a:prstDash val="solid"/>
                          </a:ln>
                        </wps:spPr>
                        <wps:bodyPr wrap="square" lIns="0" tIns="0" rIns="0" bIns="0" rtlCol="0">
                          <a:prstTxWarp prst="textNoShape">
                            <a:avLst/>
                          </a:prstTxWarp>
                          <a:noAutofit/>
                        </wps:bodyPr>
                      </wps:wsp>
                      <wps:wsp>
                        <wps:cNvPr id="291" name="Graphic 291"/>
                        <wps:cNvSpPr/>
                        <wps:spPr>
                          <a:xfrm>
                            <a:off x="1792604" y="3325545"/>
                            <a:ext cx="581660" cy="175895"/>
                          </a:xfrm>
                          <a:custGeom>
                            <a:avLst/>
                            <a:gdLst/>
                            <a:ahLst/>
                            <a:cxnLst/>
                            <a:rect l="l" t="t" r="r" b="b"/>
                            <a:pathLst>
                              <a:path w="581660" h="175895">
                                <a:moveTo>
                                  <a:pt x="493775" y="0"/>
                                </a:moveTo>
                                <a:lnTo>
                                  <a:pt x="87782" y="0"/>
                                </a:lnTo>
                                <a:lnTo>
                                  <a:pt x="53619" y="6896"/>
                                </a:lnTo>
                                <a:lnTo>
                                  <a:pt x="25704" y="25704"/>
                                </a:lnTo>
                                <a:lnTo>
                                  <a:pt x="6896" y="53606"/>
                                </a:lnTo>
                                <a:lnTo>
                                  <a:pt x="0" y="87769"/>
                                </a:lnTo>
                                <a:lnTo>
                                  <a:pt x="6896" y="121932"/>
                                </a:lnTo>
                                <a:lnTo>
                                  <a:pt x="25704" y="149834"/>
                                </a:lnTo>
                                <a:lnTo>
                                  <a:pt x="53619" y="168656"/>
                                </a:lnTo>
                                <a:lnTo>
                                  <a:pt x="87782" y="175552"/>
                                </a:lnTo>
                                <a:lnTo>
                                  <a:pt x="493775" y="175552"/>
                                </a:lnTo>
                                <a:lnTo>
                                  <a:pt x="527951" y="168656"/>
                                </a:lnTo>
                                <a:lnTo>
                                  <a:pt x="555853" y="149834"/>
                                </a:lnTo>
                                <a:lnTo>
                                  <a:pt x="574662" y="121932"/>
                                </a:lnTo>
                                <a:lnTo>
                                  <a:pt x="581558" y="87769"/>
                                </a:lnTo>
                                <a:lnTo>
                                  <a:pt x="574662" y="53606"/>
                                </a:lnTo>
                                <a:lnTo>
                                  <a:pt x="555853" y="25704"/>
                                </a:lnTo>
                                <a:lnTo>
                                  <a:pt x="527951" y="6896"/>
                                </a:lnTo>
                                <a:lnTo>
                                  <a:pt x="493775" y="0"/>
                                </a:lnTo>
                                <a:close/>
                              </a:path>
                            </a:pathLst>
                          </a:custGeom>
                          <a:solidFill>
                            <a:srgbClr val="D1D3D4"/>
                          </a:solidFill>
                        </wps:spPr>
                        <wps:bodyPr wrap="square" lIns="0" tIns="0" rIns="0" bIns="0" rtlCol="0">
                          <a:prstTxWarp prst="textNoShape">
                            <a:avLst/>
                          </a:prstTxWarp>
                          <a:noAutofit/>
                        </wps:bodyPr>
                      </wps:wsp>
                      <wps:wsp>
                        <wps:cNvPr id="292" name="Graphic 292"/>
                        <wps:cNvSpPr/>
                        <wps:spPr>
                          <a:xfrm>
                            <a:off x="1792604" y="3325545"/>
                            <a:ext cx="581660" cy="175895"/>
                          </a:xfrm>
                          <a:custGeom>
                            <a:avLst/>
                            <a:gdLst/>
                            <a:ahLst/>
                            <a:cxnLst/>
                            <a:rect l="l" t="t" r="r" b="b"/>
                            <a:pathLst>
                              <a:path w="581660" h="175895">
                                <a:moveTo>
                                  <a:pt x="581558" y="87774"/>
                                </a:moveTo>
                                <a:lnTo>
                                  <a:pt x="574661" y="121939"/>
                                </a:lnTo>
                                <a:lnTo>
                                  <a:pt x="555850" y="149839"/>
                                </a:lnTo>
                                <a:lnTo>
                                  <a:pt x="527948" y="168651"/>
                                </a:lnTo>
                                <a:lnTo>
                                  <a:pt x="493776" y="175549"/>
                                </a:lnTo>
                                <a:lnTo>
                                  <a:pt x="87782" y="175549"/>
                                </a:lnTo>
                                <a:lnTo>
                                  <a:pt x="53615" y="168651"/>
                                </a:lnTo>
                                <a:lnTo>
                                  <a:pt x="25712" y="149839"/>
                                </a:lnTo>
                                <a:lnTo>
                                  <a:pt x="6899" y="121939"/>
                                </a:lnTo>
                                <a:lnTo>
                                  <a:pt x="0" y="87774"/>
                                </a:lnTo>
                                <a:lnTo>
                                  <a:pt x="6899" y="53610"/>
                                </a:lnTo>
                                <a:lnTo>
                                  <a:pt x="25712" y="25709"/>
                                </a:lnTo>
                                <a:lnTo>
                                  <a:pt x="53615" y="6898"/>
                                </a:lnTo>
                                <a:lnTo>
                                  <a:pt x="87782" y="0"/>
                                </a:lnTo>
                                <a:lnTo>
                                  <a:pt x="493776" y="0"/>
                                </a:lnTo>
                                <a:lnTo>
                                  <a:pt x="527948" y="6898"/>
                                </a:lnTo>
                                <a:lnTo>
                                  <a:pt x="555850" y="25709"/>
                                </a:lnTo>
                                <a:lnTo>
                                  <a:pt x="574661" y="53610"/>
                                </a:lnTo>
                                <a:lnTo>
                                  <a:pt x="581558" y="87774"/>
                                </a:lnTo>
                                <a:close/>
                              </a:path>
                            </a:pathLst>
                          </a:custGeom>
                          <a:ln w="3429">
                            <a:solidFill>
                              <a:srgbClr val="231F1F"/>
                            </a:solidFill>
                            <a:prstDash val="solid"/>
                          </a:ln>
                        </wps:spPr>
                        <wps:bodyPr wrap="square" lIns="0" tIns="0" rIns="0" bIns="0" rtlCol="0">
                          <a:prstTxWarp prst="textNoShape">
                            <a:avLst/>
                          </a:prstTxWarp>
                          <a:noAutofit/>
                        </wps:bodyPr>
                      </wps:wsp>
                      <wps:wsp>
                        <wps:cNvPr id="293" name="Graphic 293"/>
                        <wps:cNvSpPr/>
                        <wps:spPr>
                          <a:xfrm>
                            <a:off x="1597850" y="3931742"/>
                            <a:ext cx="996315" cy="277495"/>
                          </a:xfrm>
                          <a:custGeom>
                            <a:avLst/>
                            <a:gdLst/>
                            <a:ahLst/>
                            <a:cxnLst/>
                            <a:rect l="l" t="t" r="r" b="b"/>
                            <a:pathLst>
                              <a:path w="996315" h="277495">
                                <a:moveTo>
                                  <a:pt x="858608" y="0"/>
                                </a:moveTo>
                                <a:lnTo>
                                  <a:pt x="137160" y="0"/>
                                </a:lnTo>
                                <a:lnTo>
                                  <a:pt x="93802" y="6985"/>
                                </a:lnTo>
                                <a:lnTo>
                                  <a:pt x="56146" y="26466"/>
                                </a:lnTo>
                                <a:lnTo>
                                  <a:pt x="26466" y="56146"/>
                                </a:lnTo>
                                <a:lnTo>
                                  <a:pt x="6985" y="93802"/>
                                </a:lnTo>
                                <a:lnTo>
                                  <a:pt x="0" y="137147"/>
                                </a:lnTo>
                                <a:lnTo>
                                  <a:pt x="0" y="139877"/>
                                </a:lnTo>
                                <a:lnTo>
                                  <a:pt x="6985" y="183222"/>
                                </a:lnTo>
                                <a:lnTo>
                                  <a:pt x="26466" y="220865"/>
                                </a:lnTo>
                                <a:lnTo>
                                  <a:pt x="56146" y="250558"/>
                                </a:lnTo>
                                <a:lnTo>
                                  <a:pt x="93802" y="270027"/>
                                </a:lnTo>
                                <a:lnTo>
                                  <a:pt x="137160" y="277025"/>
                                </a:lnTo>
                                <a:lnTo>
                                  <a:pt x="858608" y="277025"/>
                                </a:lnTo>
                                <a:lnTo>
                                  <a:pt x="901953" y="270027"/>
                                </a:lnTo>
                                <a:lnTo>
                                  <a:pt x="939609" y="250558"/>
                                </a:lnTo>
                                <a:lnTo>
                                  <a:pt x="969302" y="220865"/>
                                </a:lnTo>
                                <a:lnTo>
                                  <a:pt x="988771" y="183222"/>
                                </a:lnTo>
                                <a:lnTo>
                                  <a:pt x="995768" y="139877"/>
                                </a:lnTo>
                                <a:lnTo>
                                  <a:pt x="995768" y="137147"/>
                                </a:lnTo>
                                <a:lnTo>
                                  <a:pt x="988771" y="93802"/>
                                </a:lnTo>
                                <a:lnTo>
                                  <a:pt x="969302" y="56146"/>
                                </a:lnTo>
                                <a:lnTo>
                                  <a:pt x="939609" y="26466"/>
                                </a:lnTo>
                                <a:lnTo>
                                  <a:pt x="901953" y="6985"/>
                                </a:lnTo>
                                <a:lnTo>
                                  <a:pt x="858608" y="0"/>
                                </a:lnTo>
                                <a:close/>
                              </a:path>
                            </a:pathLst>
                          </a:custGeom>
                          <a:solidFill>
                            <a:srgbClr val="D1D3D4"/>
                          </a:solidFill>
                        </wps:spPr>
                        <wps:bodyPr wrap="square" lIns="0" tIns="0" rIns="0" bIns="0" rtlCol="0">
                          <a:prstTxWarp prst="textNoShape">
                            <a:avLst/>
                          </a:prstTxWarp>
                          <a:noAutofit/>
                        </wps:bodyPr>
                      </wps:wsp>
                      <wps:wsp>
                        <wps:cNvPr id="294" name="Graphic 294"/>
                        <wps:cNvSpPr/>
                        <wps:spPr>
                          <a:xfrm>
                            <a:off x="1597850" y="3931742"/>
                            <a:ext cx="996315" cy="277495"/>
                          </a:xfrm>
                          <a:custGeom>
                            <a:avLst/>
                            <a:gdLst/>
                            <a:ahLst/>
                            <a:cxnLst/>
                            <a:rect l="l" t="t" r="r" b="b"/>
                            <a:pathLst>
                              <a:path w="996315" h="277495">
                                <a:moveTo>
                                  <a:pt x="995768" y="139878"/>
                                </a:moveTo>
                                <a:lnTo>
                                  <a:pt x="988775" y="183224"/>
                                </a:lnTo>
                                <a:lnTo>
                                  <a:pt x="969302" y="220872"/>
                                </a:lnTo>
                                <a:lnTo>
                                  <a:pt x="939610" y="250562"/>
                                </a:lnTo>
                                <a:lnTo>
                                  <a:pt x="901958" y="270034"/>
                                </a:lnTo>
                                <a:lnTo>
                                  <a:pt x="858608" y="277026"/>
                                </a:lnTo>
                                <a:lnTo>
                                  <a:pt x="137159" y="277026"/>
                                </a:lnTo>
                                <a:lnTo>
                                  <a:pt x="93805" y="270034"/>
                                </a:lnTo>
                                <a:lnTo>
                                  <a:pt x="56153" y="250562"/>
                                </a:lnTo>
                                <a:lnTo>
                                  <a:pt x="26462" y="220872"/>
                                </a:lnTo>
                                <a:lnTo>
                                  <a:pt x="6992" y="183224"/>
                                </a:lnTo>
                                <a:lnTo>
                                  <a:pt x="0" y="139878"/>
                                </a:lnTo>
                                <a:lnTo>
                                  <a:pt x="0" y="137147"/>
                                </a:lnTo>
                                <a:lnTo>
                                  <a:pt x="6992" y="93801"/>
                                </a:lnTo>
                                <a:lnTo>
                                  <a:pt x="26462" y="56153"/>
                                </a:lnTo>
                                <a:lnTo>
                                  <a:pt x="56153" y="26463"/>
                                </a:lnTo>
                                <a:lnTo>
                                  <a:pt x="93805" y="6992"/>
                                </a:lnTo>
                                <a:lnTo>
                                  <a:pt x="137159" y="0"/>
                                </a:lnTo>
                                <a:lnTo>
                                  <a:pt x="858608" y="0"/>
                                </a:lnTo>
                                <a:lnTo>
                                  <a:pt x="901958" y="6992"/>
                                </a:lnTo>
                                <a:lnTo>
                                  <a:pt x="939610" y="26463"/>
                                </a:lnTo>
                                <a:lnTo>
                                  <a:pt x="969302" y="56153"/>
                                </a:lnTo>
                                <a:lnTo>
                                  <a:pt x="988775" y="93801"/>
                                </a:lnTo>
                                <a:lnTo>
                                  <a:pt x="995768" y="137147"/>
                                </a:lnTo>
                                <a:lnTo>
                                  <a:pt x="995768" y="139878"/>
                                </a:lnTo>
                                <a:close/>
                              </a:path>
                            </a:pathLst>
                          </a:custGeom>
                          <a:ln w="3429">
                            <a:solidFill>
                              <a:srgbClr val="231F1F"/>
                            </a:solidFill>
                            <a:prstDash val="solid"/>
                          </a:ln>
                        </wps:spPr>
                        <wps:bodyPr wrap="square" lIns="0" tIns="0" rIns="0" bIns="0" rtlCol="0">
                          <a:prstTxWarp prst="textNoShape">
                            <a:avLst/>
                          </a:prstTxWarp>
                          <a:noAutofit/>
                        </wps:bodyPr>
                      </wps:wsp>
                      <wps:wsp>
                        <wps:cNvPr id="295" name="Graphic 295"/>
                        <wps:cNvSpPr/>
                        <wps:spPr>
                          <a:xfrm>
                            <a:off x="1046454" y="4644897"/>
                            <a:ext cx="814705" cy="274320"/>
                          </a:xfrm>
                          <a:custGeom>
                            <a:avLst/>
                            <a:gdLst/>
                            <a:ahLst/>
                            <a:cxnLst/>
                            <a:rect l="l" t="t" r="r" b="b"/>
                            <a:pathLst>
                              <a:path w="814705" h="274320">
                                <a:moveTo>
                                  <a:pt x="677138" y="0"/>
                                </a:moveTo>
                                <a:lnTo>
                                  <a:pt x="137160" y="0"/>
                                </a:lnTo>
                                <a:lnTo>
                                  <a:pt x="93814" y="6985"/>
                                </a:lnTo>
                                <a:lnTo>
                                  <a:pt x="56159" y="26466"/>
                                </a:lnTo>
                                <a:lnTo>
                                  <a:pt x="26466" y="56146"/>
                                </a:lnTo>
                                <a:lnTo>
                                  <a:pt x="6997" y="93802"/>
                                </a:lnTo>
                                <a:lnTo>
                                  <a:pt x="0" y="137147"/>
                                </a:lnTo>
                                <a:lnTo>
                                  <a:pt x="6997" y="180492"/>
                                </a:lnTo>
                                <a:lnTo>
                                  <a:pt x="26466" y="218135"/>
                                </a:lnTo>
                                <a:lnTo>
                                  <a:pt x="56159" y="247827"/>
                                </a:lnTo>
                                <a:lnTo>
                                  <a:pt x="93814" y="267296"/>
                                </a:lnTo>
                                <a:lnTo>
                                  <a:pt x="137160" y="274294"/>
                                </a:lnTo>
                                <a:lnTo>
                                  <a:pt x="677138" y="274294"/>
                                </a:lnTo>
                                <a:lnTo>
                                  <a:pt x="720483" y="267296"/>
                                </a:lnTo>
                                <a:lnTo>
                                  <a:pt x="758139" y="247827"/>
                                </a:lnTo>
                                <a:lnTo>
                                  <a:pt x="787831" y="218135"/>
                                </a:lnTo>
                                <a:lnTo>
                                  <a:pt x="807300" y="180492"/>
                                </a:lnTo>
                                <a:lnTo>
                                  <a:pt x="814298" y="137147"/>
                                </a:lnTo>
                                <a:lnTo>
                                  <a:pt x="807300" y="93802"/>
                                </a:lnTo>
                                <a:lnTo>
                                  <a:pt x="787831" y="56146"/>
                                </a:lnTo>
                                <a:lnTo>
                                  <a:pt x="758139" y="26466"/>
                                </a:lnTo>
                                <a:lnTo>
                                  <a:pt x="720483" y="6985"/>
                                </a:lnTo>
                                <a:lnTo>
                                  <a:pt x="677138" y="0"/>
                                </a:lnTo>
                                <a:close/>
                              </a:path>
                            </a:pathLst>
                          </a:custGeom>
                          <a:solidFill>
                            <a:srgbClr val="D1D3D4"/>
                          </a:solidFill>
                        </wps:spPr>
                        <wps:bodyPr wrap="square" lIns="0" tIns="0" rIns="0" bIns="0" rtlCol="0">
                          <a:prstTxWarp prst="textNoShape">
                            <a:avLst/>
                          </a:prstTxWarp>
                          <a:noAutofit/>
                        </wps:bodyPr>
                      </wps:wsp>
                      <wps:wsp>
                        <wps:cNvPr id="296" name="Graphic 296"/>
                        <wps:cNvSpPr/>
                        <wps:spPr>
                          <a:xfrm>
                            <a:off x="1046454" y="4644897"/>
                            <a:ext cx="814705" cy="274320"/>
                          </a:xfrm>
                          <a:custGeom>
                            <a:avLst/>
                            <a:gdLst/>
                            <a:ahLst/>
                            <a:cxnLst/>
                            <a:rect l="l" t="t" r="r" b="b"/>
                            <a:pathLst>
                              <a:path w="814705" h="274320">
                                <a:moveTo>
                                  <a:pt x="814298" y="137148"/>
                                </a:moveTo>
                                <a:lnTo>
                                  <a:pt x="807305" y="180493"/>
                                </a:lnTo>
                                <a:lnTo>
                                  <a:pt x="787832" y="218142"/>
                                </a:lnTo>
                                <a:lnTo>
                                  <a:pt x="758139" y="247831"/>
                                </a:lnTo>
                                <a:lnTo>
                                  <a:pt x="720488" y="267303"/>
                                </a:lnTo>
                                <a:lnTo>
                                  <a:pt x="677138" y="274296"/>
                                </a:lnTo>
                                <a:lnTo>
                                  <a:pt x="137159" y="274296"/>
                                </a:lnTo>
                                <a:lnTo>
                                  <a:pt x="93810" y="267303"/>
                                </a:lnTo>
                                <a:lnTo>
                                  <a:pt x="56158" y="247831"/>
                                </a:lnTo>
                                <a:lnTo>
                                  <a:pt x="26466" y="218142"/>
                                </a:lnTo>
                                <a:lnTo>
                                  <a:pt x="6993" y="180493"/>
                                </a:lnTo>
                                <a:lnTo>
                                  <a:pt x="0" y="137148"/>
                                </a:lnTo>
                                <a:lnTo>
                                  <a:pt x="6993" y="93801"/>
                                </a:lnTo>
                                <a:lnTo>
                                  <a:pt x="26466" y="56153"/>
                                </a:lnTo>
                                <a:lnTo>
                                  <a:pt x="56158" y="26463"/>
                                </a:lnTo>
                                <a:lnTo>
                                  <a:pt x="93810" y="6992"/>
                                </a:lnTo>
                                <a:lnTo>
                                  <a:pt x="137159" y="0"/>
                                </a:lnTo>
                                <a:lnTo>
                                  <a:pt x="677138" y="0"/>
                                </a:lnTo>
                                <a:lnTo>
                                  <a:pt x="720488" y="6992"/>
                                </a:lnTo>
                                <a:lnTo>
                                  <a:pt x="758139" y="26463"/>
                                </a:lnTo>
                                <a:lnTo>
                                  <a:pt x="787832" y="56153"/>
                                </a:lnTo>
                                <a:lnTo>
                                  <a:pt x="807305" y="93801"/>
                                </a:lnTo>
                                <a:lnTo>
                                  <a:pt x="814298" y="137148"/>
                                </a:lnTo>
                                <a:close/>
                              </a:path>
                            </a:pathLst>
                          </a:custGeom>
                          <a:ln w="3428">
                            <a:solidFill>
                              <a:srgbClr val="231F1F"/>
                            </a:solidFill>
                            <a:prstDash val="solid"/>
                          </a:ln>
                        </wps:spPr>
                        <wps:bodyPr wrap="square" lIns="0" tIns="0" rIns="0" bIns="0" rtlCol="0">
                          <a:prstTxWarp prst="textNoShape">
                            <a:avLst/>
                          </a:prstTxWarp>
                          <a:noAutofit/>
                        </wps:bodyPr>
                      </wps:wsp>
                      <wps:wsp>
                        <wps:cNvPr id="297" name="Graphic 297"/>
                        <wps:cNvSpPr/>
                        <wps:spPr>
                          <a:xfrm>
                            <a:off x="2300097" y="4639424"/>
                            <a:ext cx="801370" cy="156845"/>
                          </a:xfrm>
                          <a:custGeom>
                            <a:avLst/>
                            <a:gdLst/>
                            <a:ahLst/>
                            <a:cxnLst/>
                            <a:rect l="l" t="t" r="r" b="b"/>
                            <a:pathLst>
                              <a:path w="801370" h="156845">
                                <a:moveTo>
                                  <a:pt x="722833" y="0"/>
                                </a:moveTo>
                                <a:lnTo>
                                  <a:pt x="78181" y="0"/>
                                </a:lnTo>
                                <a:lnTo>
                                  <a:pt x="47751" y="6146"/>
                                </a:lnTo>
                                <a:lnTo>
                                  <a:pt x="22898" y="22898"/>
                                </a:lnTo>
                                <a:lnTo>
                                  <a:pt x="6146" y="47751"/>
                                </a:lnTo>
                                <a:lnTo>
                                  <a:pt x="0" y="78168"/>
                                </a:lnTo>
                                <a:lnTo>
                                  <a:pt x="6146" y="108597"/>
                                </a:lnTo>
                                <a:lnTo>
                                  <a:pt x="22898" y="133438"/>
                                </a:lnTo>
                                <a:lnTo>
                                  <a:pt x="47751" y="150202"/>
                                </a:lnTo>
                                <a:lnTo>
                                  <a:pt x="78181" y="156349"/>
                                </a:lnTo>
                                <a:lnTo>
                                  <a:pt x="722833" y="156349"/>
                                </a:lnTo>
                                <a:lnTo>
                                  <a:pt x="753262" y="150202"/>
                                </a:lnTo>
                                <a:lnTo>
                                  <a:pt x="778116" y="133438"/>
                                </a:lnTo>
                                <a:lnTo>
                                  <a:pt x="794867" y="108597"/>
                                </a:lnTo>
                                <a:lnTo>
                                  <a:pt x="801014" y="78168"/>
                                </a:lnTo>
                                <a:lnTo>
                                  <a:pt x="794867" y="47751"/>
                                </a:lnTo>
                                <a:lnTo>
                                  <a:pt x="778116" y="22898"/>
                                </a:lnTo>
                                <a:lnTo>
                                  <a:pt x="753262" y="6146"/>
                                </a:lnTo>
                                <a:lnTo>
                                  <a:pt x="722833" y="0"/>
                                </a:lnTo>
                                <a:close/>
                              </a:path>
                            </a:pathLst>
                          </a:custGeom>
                          <a:solidFill>
                            <a:srgbClr val="D1D3D4"/>
                          </a:solidFill>
                        </wps:spPr>
                        <wps:bodyPr wrap="square" lIns="0" tIns="0" rIns="0" bIns="0" rtlCol="0">
                          <a:prstTxWarp prst="textNoShape">
                            <a:avLst/>
                          </a:prstTxWarp>
                          <a:noAutofit/>
                        </wps:bodyPr>
                      </wps:wsp>
                      <wps:wsp>
                        <wps:cNvPr id="298" name="Graphic 298"/>
                        <wps:cNvSpPr/>
                        <wps:spPr>
                          <a:xfrm>
                            <a:off x="2300097" y="4639424"/>
                            <a:ext cx="801370" cy="156845"/>
                          </a:xfrm>
                          <a:custGeom>
                            <a:avLst/>
                            <a:gdLst/>
                            <a:ahLst/>
                            <a:cxnLst/>
                            <a:rect l="l" t="t" r="r" b="b"/>
                            <a:pathLst>
                              <a:path w="801370" h="156845">
                                <a:moveTo>
                                  <a:pt x="801014" y="78174"/>
                                </a:moveTo>
                                <a:lnTo>
                                  <a:pt x="794868" y="108598"/>
                                </a:lnTo>
                                <a:lnTo>
                                  <a:pt x="778111" y="133447"/>
                                </a:lnTo>
                                <a:lnTo>
                                  <a:pt x="753260" y="150203"/>
                                </a:lnTo>
                                <a:lnTo>
                                  <a:pt x="722833" y="156348"/>
                                </a:lnTo>
                                <a:lnTo>
                                  <a:pt x="78181" y="156348"/>
                                </a:lnTo>
                                <a:lnTo>
                                  <a:pt x="47748" y="150203"/>
                                </a:lnTo>
                                <a:lnTo>
                                  <a:pt x="22898" y="133447"/>
                                </a:lnTo>
                                <a:lnTo>
                                  <a:pt x="6143" y="108598"/>
                                </a:lnTo>
                                <a:lnTo>
                                  <a:pt x="0" y="78174"/>
                                </a:lnTo>
                                <a:lnTo>
                                  <a:pt x="6143" y="47749"/>
                                </a:lnTo>
                                <a:lnTo>
                                  <a:pt x="22898" y="22900"/>
                                </a:lnTo>
                                <a:lnTo>
                                  <a:pt x="47748" y="6144"/>
                                </a:lnTo>
                                <a:lnTo>
                                  <a:pt x="78181" y="0"/>
                                </a:lnTo>
                                <a:lnTo>
                                  <a:pt x="722833" y="0"/>
                                </a:lnTo>
                                <a:lnTo>
                                  <a:pt x="753260" y="6144"/>
                                </a:lnTo>
                                <a:lnTo>
                                  <a:pt x="778111" y="22900"/>
                                </a:lnTo>
                                <a:lnTo>
                                  <a:pt x="794868" y="47749"/>
                                </a:lnTo>
                                <a:lnTo>
                                  <a:pt x="801014" y="78174"/>
                                </a:lnTo>
                                <a:close/>
                              </a:path>
                            </a:pathLst>
                          </a:custGeom>
                          <a:ln w="3429">
                            <a:solidFill>
                              <a:srgbClr val="231F1F"/>
                            </a:solidFill>
                            <a:prstDash val="solid"/>
                          </a:ln>
                        </wps:spPr>
                        <wps:bodyPr wrap="square" lIns="0" tIns="0" rIns="0" bIns="0" rtlCol="0">
                          <a:prstTxWarp prst="textNoShape">
                            <a:avLst/>
                          </a:prstTxWarp>
                          <a:noAutofit/>
                        </wps:bodyPr>
                      </wps:wsp>
                      <wps:wsp>
                        <wps:cNvPr id="299" name="Graphic 299"/>
                        <wps:cNvSpPr/>
                        <wps:spPr>
                          <a:xfrm>
                            <a:off x="2843250" y="5344350"/>
                            <a:ext cx="897255" cy="173355"/>
                          </a:xfrm>
                          <a:custGeom>
                            <a:avLst/>
                            <a:gdLst/>
                            <a:ahLst/>
                            <a:cxnLst/>
                            <a:rect l="l" t="t" r="r" b="b"/>
                            <a:pathLst>
                              <a:path w="897255" h="173355">
                                <a:moveTo>
                                  <a:pt x="810615" y="0"/>
                                </a:moveTo>
                                <a:lnTo>
                                  <a:pt x="86398" y="0"/>
                                </a:lnTo>
                                <a:lnTo>
                                  <a:pt x="52768" y="6794"/>
                                </a:lnTo>
                                <a:lnTo>
                                  <a:pt x="25298" y="25311"/>
                                </a:lnTo>
                                <a:lnTo>
                                  <a:pt x="6781" y="52768"/>
                                </a:lnTo>
                                <a:lnTo>
                                  <a:pt x="0" y="86398"/>
                                </a:lnTo>
                                <a:lnTo>
                                  <a:pt x="6781" y="120040"/>
                                </a:lnTo>
                                <a:lnTo>
                                  <a:pt x="25298" y="147510"/>
                                </a:lnTo>
                                <a:lnTo>
                                  <a:pt x="52768" y="166027"/>
                                </a:lnTo>
                                <a:lnTo>
                                  <a:pt x="86398" y="172821"/>
                                </a:lnTo>
                                <a:lnTo>
                                  <a:pt x="810615" y="172821"/>
                                </a:lnTo>
                                <a:lnTo>
                                  <a:pt x="844245" y="166027"/>
                                </a:lnTo>
                                <a:lnTo>
                                  <a:pt x="871715" y="147510"/>
                                </a:lnTo>
                                <a:lnTo>
                                  <a:pt x="890231" y="120040"/>
                                </a:lnTo>
                                <a:lnTo>
                                  <a:pt x="897026" y="86398"/>
                                </a:lnTo>
                                <a:lnTo>
                                  <a:pt x="890231" y="52768"/>
                                </a:lnTo>
                                <a:lnTo>
                                  <a:pt x="871715" y="25311"/>
                                </a:lnTo>
                                <a:lnTo>
                                  <a:pt x="844245" y="6794"/>
                                </a:lnTo>
                                <a:lnTo>
                                  <a:pt x="810615" y="0"/>
                                </a:lnTo>
                                <a:close/>
                              </a:path>
                            </a:pathLst>
                          </a:custGeom>
                          <a:solidFill>
                            <a:srgbClr val="D1D3D4"/>
                          </a:solidFill>
                        </wps:spPr>
                        <wps:bodyPr wrap="square" lIns="0" tIns="0" rIns="0" bIns="0" rtlCol="0">
                          <a:prstTxWarp prst="textNoShape">
                            <a:avLst/>
                          </a:prstTxWarp>
                          <a:noAutofit/>
                        </wps:bodyPr>
                      </wps:wsp>
                      <wps:wsp>
                        <wps:cNvPr id="300" name="Graphic 300"/>
                        <wps:cNvSpPr/>
                        <wps:spPr>
                          <a:xfrm>
                            <a:off x="2843250" y="5344350"/>
                            <a:ext cx="897255" cy="173355"/>
                          </a:xfrm>
                          <a:custGeom>
                            <a:avLst/>
                            <a:gdLst/>
                            <a:ahLst/>
                            <a:cxnLst/>
                            <a:rect l="l" t="t" r="r" b="b"/>
                            <a:pathLst>
                              <a:path w="897255" h="173355">
                                <a:moveTo>
                                  <a:pt x="897026" y="86402"/>
                                </a:moveTo>
                                <a:lnTo>
                                  <a:pt x="890234" y="120039"/>
                                </a:lnTo>
                                <a:lnTo>
                                  <a:pt x="871713" y="147507"/>
                                </a:lnTo>
                                <a:lnTo>
                                  <a:pt x="844246" y="166028"/>
                                </a:lnTo>
                                <a:lnTo>
                                  <a:pt x="810615" y="172819"/>
                                </a:lnTo>
                                <a:lnTo>
                                  <a:pt x="86398" y="172819"/>
                                </a:lnTo>
                                <a:lnTo>
                                  <a:pt x="52769" y="166028"/>
                                </a:lnTo>
                                <a:lnTo>
                                  <a:pt x="25306" y="147507"/>
                                </a:lnTo>
                                <a:lnTo>
                                  <a:pt x="6789" y="120039"/>
                                </a:lnTo>
                                <a:lnTo>
                                  <a:pt x="0" y="86402"/>
                                </a:lnTo>
                                <a:lnTo>
                                  <a:pt x="6789" y="52769"/>
                                </a:lnTo>
                                <a:lnTo>
                                  <a:pt x="25306" y="25304"/>
                                </a:lnTo>
                                <a:lnTo>
                                  <a:pt x="52769" y="6789"/>
                                </a:lnTo>
                                <a:lnTo>
                                  <a:pt x="86398" y="0"/>
                                </a:lnTo>
                                <a:lnTo>
                                  <a:pt x="810615" y="0"/>
                                </a:lnTo>
                                <a:lnTo>
                                  <a:pt x="844246" y="6789"/>
                                </a:lnTo>
                                <a:lnTo>
                                  <a:pt x="871713" y="25304"/>
                                </a:lnTo>
                                <a:lnTo>
                                  <a:pt x="890234" y="52769"/>
                                </a:lnTo>
                                <a:lnTo>
                                  <a:pt x="897026" y="86402"/>
                                </a:lnTo>
                                <a:close/>
                              </a:path>
                            </a:pathLst>
                          </a:custGeom>
                          <a:ln w="3429">
                            <a:solidFill>
                              <a:srgbClr val="231F1F"/>
                            </a:solidFill>
                            <a:prstDash val="solid"/>
                          </a:ln>
                        </wps:spPr>
                        <wps:bodyPr wrap="square" lIns="0" tIns="0" rIns="0" bIns="0" rtlCol="0">
                          <a:prstTxWarp prst="textNoShape">
                            <a:avLst/>
                          </a:prstTxWarp>
                          <a:noAutofit/>
                        </wps:bodyPr>
                      </wps:wsp>
                      <wps:wsp>
                        <wps:cNvPr id="301" name="Graphic 301"/>
                        <wps:cNvSpPr/>
                        <wps:spPr>
                          <a:xfrm>
                            <a:off x="346265" y="6005410"/>
                            <a:ext cx="3266440" cy="287020"/>
                          </a:xfrm>
                          <a:custGeom>
                            <a:avLst/>
                            <a:gdLst/>
                            <a:ahLst/>
                            <a:cxnLst/>
                            <a:rect l="l" t="t" r="r" b="b"/>
                            <a:pathLst>
                              <a:path w="3266440" h="287020">
                                <a:moveTo>
                                  <a:pt x="3129127" y="0"/>
                                </a:moveTo>
                                <a:lnTo>
                                  <a:pt x="137159" y="0"/>
                                </a:lnTo>
                                <a:lnTo>
                                  <a:pt x="93814" y="6997"/>
                                </a:lnTo>
                                <a:lnTo>
                                  <a:pt x="56159" y="26466"/>
                                </a:lnTo>
                                <a:lnTo>
                                  <a:pt x="26466" y="56159"/>
                                </a:lnTo>
                                <a:lnTo>
                                  <a:pt x="6997" y="93802"/>
                                </a:lnTo>
                                <a:lnTo>
                                  <a:pt x="0" y="137160"/>
                                </a:lnTo>
                                <a:lnTo>
                                  <a:pt x="0" y="149313"/>
                                </a:lnTo>
                                <a:lnTo>
                                  <a:pt x="6997" y="192659"/>
                                </a:lnTo>
                                <a:lnTo>
                                  <a:pt x="26466" y="230314"/>
                                </a:lnTo>
                                <a:lnTo>
                                  <a:pt x="56159" y="260007"/>
                                </a:lnTo>
                                <a:lnTo>
                                  <a:pt x="93814" y="279476"/>
                                </a:lnTo>
                                <a:lnTo>
                                  <a:pt x="137159" y="286461"/>
                                </a:lnTo>
                                <a:lnTo>
                                  <a:pt x="3129127" y="286461"/>
                                </a:lnTo>
                                <a:lnTo>
                                  <a:pt x="3172472" y="279476"/>
                                </a:lnTo>
                                <a:lnTo>
                                  <a:pt x="3210128" y="260007"/>
                                </a:lnTo>
                                <a:lnTo>
                                  <a:pt x="3239820" y="230314"/>
                                </a:lnTo>
                                <a:lnTo>
                                  <a:pt x="3259289" y="192659"/>
                                </a:lnTo>
                                <a:lnTo>
                                  <a:pt x="3266287" y="149313"/>
                                </a:lnTo>
                                <a:lnTo>
                                  <a:pt x="3266287" y="137160"/>
                                </a:lnTo>
                                <a:lnTo>
                                  <a:pt x="3259289" y="93802"/>
                                </a:lnTo>
                                <a:lnTo>
                                  <a:pt x="3239820" y="56159"/>
                                </a:lnTo>
                                <a:lnTo>
                                  <a:pt x="3210128" y="26466"/>
                                </a:lnTo>
                                <a:lnTo>
                                  <a:pt x="3172472" y="6997"/>
                                </a:lnTo>
                                <a:lnTo>
                                  <a:pt x="3129127" y="0"/>
                                </a:lnTo>
                                <a:close/>
                              </a:path>
                            </a:pathLst>
                          </a:custGeom>
                          <a:solidFill>
                            <a:srgbClr val="D1D3D4"/>
                          </a:solidFill>
                        </wps:spPr>
                        <wps:bodyPr wrap="square" lIns="0" tIns="0" rIns="0" bIns="0" rtlCol="0">
                          <a:prstTxWarp prst="textNoShape">
                            <a:avLst/>
                          </a:prstTxWarp>
                          <a:noAutofit/>
                        </wps:bodyPr>
                      </wps:wsp>
                      <wps:wsp>
                        <wps:cNvPr id="302" name="Graphic 302"/>
                        <wps:cNvSpPr/>
                        <wps:spPr>
                          <a:xfrm>
                            <a:off x="346265" y="6005410"/>
                            <a:ext cx="3266440" cy="287020"/>
                          </a:xfrm>
                          <a:custGeom>
                            <a:avLst/>
                            <a:gdLst/>
                            <a:ahLst/>
                            <a:cxnLst/>
                            <a:rect l="l" t="t" r="r" b="b"/>
                            <a:pathLst>
                              <a:path w="3266440" h="287020">
                                <a:moveTo>
                                  <a:pt x="3266291" y="149313"/>
                                </a:moveTo>
                                <a:lnTo>
                                  <a:pt x="3259291" y="192659"/>
                                </a:lnTo>
                                <a:lnTo>
                                  <a:pt x="3239821" y="230307"/>
                                </a:lnTo>
                                <a:lnTo>
                                  <a:pt x="3210131" y="259997"/>
                                </a:lnTo>
                                <a:lnTo>
                                  <a:pt x="3172481" y="279469"/>
                                </a:lnTo>
                                <a:lnTo>
                                  <a:pt x="3129131" y="286461"/>
                                </a:lnTo>
                                <a:lnTo>
                                  <a:pt x="137159" y="286461"/>
                                </a:lnTo>
                                <a:lnTo>
                                  <a:pt x="93810" y="279469"/>
                                </a:lnTo>
                                <a:lnTo>
                                  <a:pt x="56158" y="259997"/>
                                </a:lnTo>
                                <a:lnTo>
                                  <a:pt x="26466" y="230307"/>
                                </a:lnTo>
                                <a:lnTo>
                                  <a:pt x="6993" y="192659"/>
                                </a:lnTo>
                                <a:lnTo>
                                  <a:pt x="0" y="149313"/>
                                </a:lnTo>
                                <a:lnTo>
                                  <a:pt x="0" y="137148"/>
                                </a:lnTo>
                                <a:lnTo>
                                  <a:pt x="6993" y="93796"/>
                                </a:lnTo>
                                <a:lnTo>
                                  <a:pt x="26466" y="56148"/>
                                </a:lnTo>
                                <a:lnTo>
                                  <a:pt x="56158" y="26459"/>
                                </a:lnTo>
                                <a:lnTo>
                                  <a:pt x="93810" y="6991"/>
                                </a:lnTo>
                                <a:lnTo>
                                  <a:pt x="137159" y="0"/>
                                </a:lnTo>
                                <a:lnTo>
                                  <a:pt x="3129131" y="0"/>
                                </a:lnTo>
                                <a:lnTo>
                                  <a:pt x="3172481" y="6991"/>
                                </a:lnTo>
                                <a:lnTo>
                                  <a:pt x="3210131" y="26459"/>
                                </a:lnTo>
                                <a:lnTo>
                                  <a:pt x="3239821" y="56148"/>
                                </a:lnTo>
                                <a:lnTo>
                                  <a:pt x="3259291" y="93796"/>
                                </a:lnTo>
                                <a:lnTo>
                                  <a:pt x="3266291" y="137148"/>
                                </a:lnTo>
                                <a:lnTo>
                                  <a:pt x="3266291" y="149313"/>
                                </a:lnTo>
                                <a:close/>
                              </a:path>
                            </a:pathLst>
                          </a:custGeom>
                          <a:ln w="3428">
                            <a:solidFill>
                              <a:srgbClr val="231F1F"/>
                            </a:solidFill>
                            <a:prstDash val="solid"/>
                          </a:ln>
                        </wps:spPr>
                        <wps:bodyPr wrap="square" lIns="0" tIns="0" rIns="0" bIns="0" rtlCol="0">
                          <a:prstTxWarp prst="textNoShape">
                            <a:avLst/>
                          </a:prstTxWarp>
                          <a:noAutofit/>
                        </wps:bodyPr>
                      </wps:wsp>
                      <wps:wsp>
                        <wps:cNvPr id="303" name="Graphic 303"/>
                        <wps:cNvSpPr/>
                        <wps:spPr>
                          <a:xfrm>
                            <a:off x="2603703" y="6645871"/>
                            <a:ext cx="988694" cy="322580"/>
                          </a:xfrm>
                          <a:custGeom>
                            <a:avLst/>
                            <a:gdLst/>
                            <a:ahLst/>
                            <a:cxnLst/>
                            <a:rect l="l" t="t" r="r" b="b"/>
                            <a:pathLst>
                              <a:path w="988694" h="322580">
                                <a:moveTo>
                                  <a:pt x="851534" y="0"/>
                                </a:moveTo>
                                <a:lnTo>
                                  <a:pt x="137159" y="0"/>
                                </a:lnTo>
                                <a:lnTo>
                                  <a:pt x="93814" y="6984"/>
                                </a:lnTo>
                                <a:lnTo>
                                  <a:pt x="56159" y="26454"/>
                                </a:lnTo>
                                <a:lnTo>
                                  <a:pt x="26466" y="56146"/>
                                </a:lnTo>
                                <a:lnTo>
                                  <a:pt x="6997" y="93802"/>
                                </a:lnTo>
                                <a:lnTo>
                                  <a:pt x="0" y="137147"/>
                                </a:lnTo>
                                <a:lnTo>
                                  <a:pt x="0" y="185178"/>
                                </a:lnTo>
                                <a:lnTo>
                                  <a:pt x="6997" y="228523"/>
                                </a:lnTo>
                                <a:lnTo>
                                  <a:pt x="26466" y="266166"/>
                                </a:lnTo>
                                <a:lnTo>
                                  <a:pt x="56159" y="295859"/>
                                </a:lnTo>
                                <a:lnTo>
                                  <a:pt x="93814" y="315328"/>
                                </a:lnTo>
                                <a:lnTo>
                                  <a:pt x="137159" y="322325"/>
                                </a:lnTo>
                                <a:lnTo>
                                  <a:pt x="851534" y="322325"/>
                                </a:lnTo>
                                <a:lnTo>
                                  <a:pt x="894880" y="315328"/>
                                </a:lnTo>
                                <a:lnTo>
                                  <a:pt x="932535" y="295859"/>
                                </a:lnTo>
                                <a:lnTo>
                                  <a:pt x="962228" y="266166"/>
                                </a:lnTo>
                                <a:lnTo>
                                  <a:pt x="981697" y="228523"/>
                                </a:lnTo>
                                <a:lnTo>
                                  <a:pt x="988694" y="185178"/>
                                </a:lnTo>
                                <a:lnTo>
                                  <a:pt x="988694" y="137147"/>
                                </a:lnTo>
                                <a:lnTo>
                                  <a:pt x="981697" y="93802"/>
                                </a:lnTo>
                                <a:lnTo>
                                  <a:pt x="962228" y="56146"/>
                                </a:lnTo>
                                <a:lnTo>
                                  <a:pt x="932535" y="26454"/>
                                </a:lnTo>
                                <a:lnTo>
                                  <a:pt x="894880" y="6984"/>
                                </a:lnTo>
                                <a:lnTo>
                                  <a:pt x="851534" y="0"/>
                                </a:lnTo>
                                <a:close/>
                              </a:path>
                            </a:pathLst>
                          </a:custGeom>
                          <a:solidFill>
                            <a:srgbClr val="D1D3D4"/>
                          </a:solidFill>
                        </wps:spPr>
                        <wps:bodyPr wrap="square" lIns="0" tIns="0" rIns="0" bIns="0" rtlCol="0">
                          <a:prstTxWarp prst="textNoShape">
                            <a:avLst/>
                          </a:prstTxWarp>
                          <a:noAutofit/>
                        </wps:bodyPr>
                      </wps:wsp>
                      <wps:wsp>
                        <wps:cNvPr id="304" name="Graphic 304"/>
                        <wps:cNvSpPr/>
                        <wps:spPr>
                          <a:xfrm>
                            <a:off x="2603703" y="6645871"/>
                            <a:ext cx="988694" cy="322580"/>
                          </a:xfrm>
                          <a:custGeom>
                            <a:avLst/>
                            <a:gdLst/>
                            <a:ahLst/>
                            <a:cxnLst/>
                            <a:rect l="l" t="t" r="r" b="b"/>
                            <a:pathLst>
                              <a:path w="988694" h="322580">
                                <a:moveTo>
                                  <a:pt x="988694" y="185175"/>
                                </a:moveTo>
                                <a:lnTo>
                                  <a:pt x="981701" y="228521"/>
                                </a:lnTo>
                                <a:lnTo>
                                  <a:pt x="962228" y="266169"/>
                                </a:lnTo>
                                <a:lnTo>
                                  <a:pt x="932536" y="295859"/>
                                </a:lnTo>
                                <a:lnTo>
                                  <a:pt x="894884" y="315331"/>
                                </a:lnTo>
                                <a:lnTo>
                                  <a:pt x="851534" y="322323"/>
                                </a:lnTo>
                                <a:lnTo>
                                  <a:pt x="137159" y="322323"/>
                                </a:lnTo>
                                <a:lnTo>
                                  <a:pt x="93810" y="315331"/>
                                </a:lnTo>
                                <a:lnTo>
                                  <a:pt x="56158" y="295859"/>
                                </a:lnTo>
                                <a:lnTo>
                                  <a:pt x="26466" y="266169"/>
                                </a:lnTo>
                                <a:lnTo>
                                  <a:pt x="6993" y="228521"/>
                                </a:lnTo>
                                <a:lnTo>
                                  <a:pt x="0" y="185175"/>
                                </a:lnTo>
                                <a:lnTo>
                                  <a:pt x="0" y="137147"/>
                                </a:lnTo>
                                <a:lnTo>
                                  <a:pt x="6993" y="93796"/>
                                </a:lnTo>
                                <a:lnTo>
                                  <a:pt x="26466" y="56148"/>
                                </a:lnTo>
                                <a:lnTo>
                                  <a:pt x="56158" y="26459"/>
                                </a:lnTo>
                                <a:lnTo>
                                  <a:pt x="93810" y="6991"/>
                                </a:lnTo>
                                <a:lnTo>
                                  <a:pt x="137159" y="0"/>
                                </a:lnTo>
                                <a:lnTo>
                                  <a:pt x="851534" y="0"/>
                                </a:lnTo>
                                <a:lnTo>
                                  <a:pt x="894884" y="6991"/>
                                </a:lnTo>
                                <a:lnTo>
                                  <a:pt x="932536" y="26459"/>
                                </a:lnTo>
                                <a:lnTo>
                                  <a:pt x="962228" y="56148"/>
                                </a:lnTo>
                                <a:lnTo>
                                  <a:pt x="981701" y="93796"/>
                                </a:lnTo>
                                <a:lnTo>
                                  <a:pt x="988694" y="137147"/>
                                </a:lnTo>
                                <a:lnTo>
                                  <a:pt x="988694" y="185175"/>
                                </a:lnTo>
                                <a:close/>
                              </a:path>
                            </a:pathLst>
                          </a:custGeom>
                          <a:ln w="3429">
                            <a:solidFill>
                              <a:srgbClr val="231F1F"/>
                            </a:solidFill>
                            <a:prstDash val="solid"/>
                          </a:ln>
                        </wps:spPr>
                        <wps:bodyPr wrap="square" lIns="0" tIns="0" rIns="0" bIns="0" rtlCol="0">
                          <a:prstTxWarp prst="textNoShape">
                            <a:avLst/>
                          </a:prstTxWarp>
                          <a:noAutofit/>
                        </wps:bodyPr>
                      </wps:wsp>
                      <wps:wsp>
                        <wps:cNvPr id="305" name="Graphic 305"/>
                        <wps:cNvSpPr/>
                        <wps:spPr>
                          <a:xfrm>
                            <a:off x="308533" y="6630809"/>
                            <a:ext cx="946785" cy="435609"/>
                          </a:xfrm>
                          <a:custGeom>
                            <a:avLst/>
                            <a:gdLst/>
                            <a:ahLst/>
                            <a:cxnLst/>
                            <a:rect l="l" t="t" r="r" b="b"/>
                            <a:pathLst>
                              <a:path w="946785" h="435609">
                                <a:moveTo>
                                  <a:pt x="809244" y="0"/>
                                </a:moveTo>
                                <a:lnTo>
                                  <a:pt x="137159" y="0"/>
                                </a:lnTo>
                                <a:lnTo>
                                  <a:pt x="93802" y="6997"/>
                                </a:lnTo>
                                <a:lnTo>
                                  <a:pt x="56146" y="26466"/>
                                </a:lnTo>
                                <a:lnTo>
                                  <a:pt x="26466" y="56159"/>
                                </a:lnTo>
                                <a:lnTo>
                                  <a:pt x="6997" y="93802"/>
                                </a:lnTo>
                                <a:lnTo>
                                  <a:pt x="0" y="137147"/>
                                </a:lnTo>
                                <a:lnTo>
                                  <a:pt x="0" y="298399"/>
                                </a:lnTo>
                                <a:lnTo>
                                  <a:pt x="6997" y="341744"/>
                                </a:lnTo>
                                <a:lnTo>
                                  <a:pt x="26466" y="379387"/>
                                </a:lnTo>
                                <a:lnTo>
                                  <a:pt x="56146" y="409079"/>
                                </a:lnTo>
                                <a:lnTo>
                                  <a:pt x="93802" y="428548"/>
                                </a:lnTo>
                                <a:lnTo>
                                  <a:pt x="137159" y="435546"/>
                                </a:lnTo>
                                <a:lnTo>
                                  <a:pt x="809244" y="435546"/>
                                </a:lnTo>
                                <a:lnTo>
                                  <a:pt x="852589" y="428548"/>
                                </a:lnTo>
                                <a:lnTo>
                                  <a:pt x="890244" y="409079"/>
                                </a:lnTo>
                                <a:lnTo>
                                  <a:pt x="919937" y="379387"/>
                                </a:lnTo>
                                <a:lnTo>
                                  <a:pt x="939406" y="341744"/>
                                </a:lnTo>
                                <a:lnTo>
                                  <a:pt x="946404" y="298399"/>
                                </a:lnTo>
                                <a:lnTo>
                                  <a:pt x="946404" y="137147"/>
                                </a:lnTo>
                                <a:lnTo>
                                  <a:pt x="939406" y="93802"/>
                                </a:lnTo>
                                <a:lnTo>
                                  <a:pt x="919937" y="56159"/>
                                </a:lnTo>
                                <a:lnTo>
                                  <a:pt x="890244" y="26466"/>
                                </a:lnTo>
                                <a:lnTo>
                                  <a:pt x="852589" y="6997"/>
                                </a:lnTo>
                                <a:lnTo>
                                  <a:pt x="809244" y="0"/>
                                </a:lnTo>
                                <a:close/>
                              </a:path>
                            </a:pathLst>
                          </a:custGeom>
                          <a:solidFill>
                            <a:srgbClr val="D1D3D4"/>
                          </a:solidFill>
                        </wps:spPr>
                        <wps:bodyPr wrap="square" lIns="0" tIns="0" rIns="0" bIns="0" rtlCol="0">
                          <a:prstTxWarp prst="textNoShape">
                            <a:avLst/>
                          </a:prstTxWarp>
                          <a:noAutofit/>
                        </wps:bodyPr>
                      </wps:wsp>
                      <wps:wsp>
                        <wps:cNvPr id="306" name="Graphic 306"/>
                        <wps:cNvSpPr/>
                        <wps:spPr>
                          <a:xfrm>
                            <a:off x="308533" y="6630809"/>
                            <a:ext cx="946785" cy="435609"/>
                          </a:xfrm>
                          <a:custGeom>
                            <a:avLst/>
                            <a:gdLst/>
                            <a:ahLst/>
                            <a:cxnLst/>
                            <a:rect l="l" t="t" r="r" b="b"/>
                            <a:pathLst>
                              <a:path w="946785" h="435609">
                                <a:moveTo>
                                  <a:pt x="946404" y="298398"/>
                                </a:moveTo>
                                <a:lnTo>
                                  <a:pt x="939410" y="341744"/>
                                </a:lnTo>
                                <a:lnTo>
                                  <a:pt x="919937" y="379392"/>
                                </a:lnTo>
                                <a:lnTo>
                                  <a:pt x="890245" y="409082"/>
                                </a:lnTo>
                                <a:lnTo>
                                  <a:pt x="852593" y="428554"/>
                                </a:lnTo>
                                <a:lnTo>
                                  <a:pt x="809244" y="435546"/>
                                </a:lnTo>
                                <a:lnTo>
                                  <a:pt x="137160" y="435546"/>
                                </a:lnTo>
                                <a:lnTo>
                                  <a:pt x="93805" y="428554"/>
                                </a:lnTo>
                                <a:lnTo>
                                  <a:pt x="56153" y="409082"/>
                                </a:lnTo>
                                <a:lnTo>
                                  <a:pt x="26462" y="379392"/>
                                </a:lnTo>
                                <a:lnTo>
                                  <a:pt x="6992" y="341744"/>
                                </a:lnTo>
                                <a:lnTo>
                                  <a:pt x="0" y="298398"/>
                                </a:lnTo>
                                <a:lnTo>
                                  <a:pt x="0" y="137148"/>
                                </a:lnTo>
                                <a:lnTo>
                                  <a:pt x="6992" y="93801"/>
                                </a:lnTo>
                                <a:lnTo>
                                  <a:pt x="26462" y="56153"/>
                                </a:lnTo>
                                <a:lnTo>
                                  <a:pt x="56153" y="26463"/>
                                </a:lnTo>
                                <a:lnTo>
                                  <a:pt x="93805" y="6992"/>
                                </a:lnTo>
                                <a:lnTo>
                                  <a:pt x="137160" y="0"/>
                                </a:lnTo>
                                <a:lnTo>
                                  <a:pt x="809244" y="0"/>
                                </a:lnTo>
                                <a:lnTo>
                                  <a:pt x="852593" y="6992"/>
                                </a:lnTo>
                                <a:lnTo>
                                  <a:pt x="890245" y="26463"/>
                                </a:lnTo>
                                <a:lnTo>
                                  <a:pt x="919937" y="56153"/>
                                </a:lnTo>
                                <a:lnTo>
                                  <a:pt x="939410" y="93801"/>
                                </a:lnTo>
                                <a:lnTo>
                                  <a:pt x="946404" y="137148"/>
                                </a:lnTo>
                                <a:lnTo>
                                  <a:pt x="946404" y="298398"/>
                                </a:lnTo>
                                <a:close/>
                              </a:path>
                            </a:pathLst>
                          </a:custGeom>
                          <a:ln w="3429">
                            <a:solidFill>
                              <a:srgbClr val="231F1F"/>
                            </a:solidFill>
                            <a:prstDash val="solid"/>
                          </a:ln>
                        </wps:spPr>
                        <wps:bodyPr wrap="square" lIns="0" tIns="0" rIns="0" bIns="0" rtlCol="0">
                          <a:prstTxWarp prst="textNoShape">
                            <a:avLst/>
                          </a:prstTxWarp>
                          <a:noAutofit/>
                        </wps:bodyPr>
                      </wps:wsp>
                      <wps:wsp>
                        <wps:cNvPr id="307" name="Graphic 307"/>
                        <wps:cNvSpPr/>
                        <wps:spPr>
                          <a:xfrm>
                            <a:off x="814895" y="514680"/>
                            <a:ext cx="3745865" cy="1946910"/>
                          </a:xfrm>
                          <a:custGeom>
                            <a:avLst/>
                            <a:gdLst/>
                            <a:ahLst/>
                            <a:cxnLst/>
                            <a:rect l="l" t="t" r="r" b="b"/>
                            <a:pathLst>
                              <a:path w="3745865" h="1946910">
                                <a:moveTo>
                                  <a:pt x="3091831" y="0"/>
                                </a:moveTo>
                                <a:lnTo>
                                  <a:pt x="3166121" y="0"/>
                                </a:lnTo>
                              </a:path>
                              <a:path w="3745865" h="1946910">
                                <a:moveTo>
                                  <a:pt x="9359" y="484817"/>
                                </a:moveTo>
                                <a:lnTo>
                                  <a:pt x="3745602" y="484817"/>
                                </a:lnTo>
                              </a:path>
                              <a:path w="3745865" h="1946910">
                                <a:moveTo>
                                  <a:pt x="0" y="1143140"/>
                                </a:moveTo>
                                <a:lnTo>
                                  <a:pt x="0" y="1946831"/>
                                </a:lnTo>
                              </a:path>
                              <a:path w="3745865" h="1946910">
                                <a:moveTo>
                                  <a:pt x="5714" y="480475"/>
                                </a:moveTo>
                                <a:lnTo>
                                  <a:pt x="5714" y="730528"/>
                                </a:lnTo>
                              </a:path>
                            </a:pathLst>
                          </a:custGeom>
                          <a:ln w="3429">
                            <a:solidFill>
                              <a:srgbClr val="231F1F"/>
                            </a:solidFill>
                            <a:prstDash val="solid"/>
                          </a:ln>
                        </wps:spPr>
                        <wps:bodyPr wrap="square" lIns="0" tIns="0" rIns="0" bIns="0" rtlCol="0">
                          <a:prstTxWarp prst="textNoShape">
                            <a:avLst/>
                          </a:prstTxWarp>
                          <a:noAutofit/>
                        </wps:bodyPr>
                      </wps:wsp>
                      <wps:wsp>
                        <wps:cNvPr id="308" name="Graphic 308"/>
                        <wps:cNvSpPr/>
                        <wps:spPr>
                          <a:xfrm>
                            <a:off x="800925" y="1231620"/>
                            <a:ext cx="40005" cy="74930"/>
                          </a:xfrm>
                          <a:custGeom>
                            <a:avLst/>
                            <a:gdLst/>
                            <a:ahLst/>
                            <a:cxnLst/>
                            <a:rect l="l" t="t" r="r" b="b"/>
                            <a:pathLst>
                              <a:path w="40005" h="74930">
                                <a:moveTo>
                                  <a:pt x="39839" y="0"/>
                                </a:moveTo>
                                <a:lnTo>
                                  <a:pt x="0" y="0"/>
                                </a:lnTo>
                                <a:lnTo>
                                  <a:pt x="19926" y="74345"/>
                                </a:lnTo>
                                <a:lnTo>
                                  <a:pt x="39839" y="0"/>
                                </a:lnTo>
                                <a:close/>
                              </a:path>
                            </a:pathLst>
                          </a:custGeom>
                          <a:solidFill>
                            <a:srgbClr val="231F1F"/>
                          </a:solidFill>
                        </wps:spPr>
                        <wps:bodyPr wrap="square" lIns="0" tIns="0" rIns="0" bIns="0" rtlCol="0">
                          <a:prstTxWarp prst="textNoShape">
                            <a:avLst/>
                          </a:prstTxWarp>
                          <a:noAutofit/>
                        </wps:bodyPr>
                      </wps:wsp>
                      <wps:wsp>
                        <wps:cNvPr id="309" name="Graphic 309"/>
                        <wps:cNvSpPr/>
                        <wps:spPr>
                          <a:xfrm>
                            <a:off x="2686888" y="626351"/>
                            <a:ext cx="1270" cy="576580"/>
                          </a:xfrm>
                          <a:custGeom>
                            <a:avLst/>
                            <a:gdLst/>
                            <a:ahLst/>
                            <a:cxnLst/>
                            <a:rect l="l" t="t" r="r" b="b"/>
                            <a:pathLst>
                              <a:path w="0" h="576580">
                                <a:moveTo>
                                  <a:pt x="0" y="0"/>
                                </a:moveTo>
                                <a:lnTo>
                                  <a:pt x="0" y="575982"/>
                                </a:lnTo>
                              </a:path>
                            </a:pathLst>
                          </a:custGeom>
                          <a:ln w="3429">
                            <a:solidFill>
                              <a:srgbClr val="231F1F"/>
                            </a:solidFill>
                            <a:prstDash val="solid"/>
                          </a:ln>
                        </wps:spPr>
                        <wps:bodyPr wrap="square" lIns="0" tIns="0" rIns="0" bIns="0" rtlCol="0">
                          <a:prstTxWarp prst="textNoShape">
                            <a:avLst/>
                          </a:prstTxWarp>
                          <a:noAutofit/>
                        </wps:bodyPr>
                      </wps:wsp>
                      <wps:wsp>
                        <wps:cNvPr id="310" name="Graphic 310"/>
                        <wps:cNvSpPr/>
                        <wps:spPr>
                          <a:xfrm>
                            <a:off x="2667215" y="1188745"/>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11" name="Graphic 311"/>
                        <wps:cNvSpPr/>
                        <wps:spPr>
                          <a:xfrm>
                            <a:off x="4565446" y="998816"/>
                            <a:ext cx="1270" cy="272415"/>
                          </a:xfrm>
                          <a:custGeom>
                            <a:avLst/>
                            <a:gdLst/>
                            <a:ahLst/>
                            <a:cxnLst/>
                            <a:rect l="l" t="t" r="r" b="b"/>
                            <a:pathLst>
                              <a:path w="0" h="272415">
                                <a:moveTo>
                                  <a:pt x="0" y="0"/>
                                </a:moveTo>
                                <a:lnTo>
                                  <a:pt x="0" y="272251"/>
                                </a:lnTo>
                              </a:path>
                            </a:pathLst>
                          </a:custGeom>
                          <a:ln w="3429">
                            <a:solidFill>
                              <a:srgbClr val="231F1F"/>
                            </a:solidFill>
                            <a:prstDash val="solid"/>
                          </a:ln>
                        </wps:spPr>
                        <wps:bodyPr wrap="square" lIns="0" tIns="0" rIns="0" bIns="0" rtlCol="0">
                          <a:prstTxWarp prst="textNoShape">
                            <a:avLst/>
                          </a:prstTxWarp>
                          <a:noAutofit/>
                        </wps:bodyPr>
                      </wps:wsp>
                      <wps:wsp>
                        <wps:cNvPr id="312" name="Graphic 312"/>
                        <wps:cNvSpPr/>
                        <wps:spPr>
                          <a:xfrm>
                            <a:off x="4545761" y="1257477"/>
                            <a:ext cx="40005" cy="74930"/>
                          </a:xfrm>
                          <a:custGeom>
                            <a:avLst/>
                            <a:gdLst/>
                            <a:ahLst/>
                            <a:cxnLst/>
                            <a:rect l="l" t="t" r="r" b="b"/>
                            <a:pathLst>
                              <a:path w="40005" h="74930">
                                <a:moveTo>
                                  <a:pt x="39839" y="0"/>
                                </a:moveTo>
                                <a:lnTo>
                                  <a:pt x="0" y="0"/>
                                </a:lnTo>
                                <a:lnTo>
                                  <a:pt x="19926" y="74345"/>
                                </a:lnTo>
                                <a:lnTo>
                                  <a:pt x="39839" y="0"/>
                                </a:lnTo>
                                <a:close/>
                              </a:path>
                            </a:pathLst>
                          </a:custGeom>
                          <a:solidFill>
                            <a:srgbClr val="231F1F"/>
                          </a:solidFill>
                        </wps:spPr>
                        <wps:bodyPr wrap="square" lIns="0" tIns="0" rIns="0" bIns="0" rtlCol="0">
                          <a:prstTxWarp prst="textNoShape">
                            <a:avLst/>
                          </a:prstTxWarp>
                          <a:noAutofit/>
                        </wps:bodyPr>
                      </wps:wsp>
                      <wps:wsp>
                        <wps:cNvPr id="313" name="Graphic 313"/>
                        <wps:cNvSpPr/>
                        <wps:spPr>
                          <a:xfrm>
                            <a:off x="803478" y="2461501"/>
                            <a:ext cx="1137285" cy="1270"/>
                          </a:xfrm>
                          <a:custGeom>
                            <a:avLst/>
                            <a:gdLst/>
                            <a:ahLst/>
                            <a:cxnLst/>
                            <a:rect l="l" t="t" r="r" b="b"/>
                            <a:pathLst>
                              <a:path w="1137285" h="0">
                                <a:moveTo>
                                  <a:pt x="0" y="0"/>
                                </a:moveTo>
                                <a:lnTo>
                                  <a:pt x="1137290" y="0"/>
                                </a:lnTo>
                              </a:path>
                            </a:pathLst>
                          </a:custGeom>
                          <a:ln w="3429">
                            <a:solidFill>
                              <a:srgbClr val="231F1F"/>
                            </a:solidFill>
                            <a:prstDash val="solid"/>
                          </a:ln>
                        </wps:spPr>
                        <wps:bodyPr wrap="square" lIns="0" tIns="0" rIns="0" bIns="0" rtlCol="0">
                          <a:prstTxWarp prst="textNoShape">
                            <a:avLst/>
                          </a:prstTxWarp>
                          <a:noAutofit/>
                        </wps:bodyPr>
                      </wps:wsp>
                      <wps:wsp>
                        <wps:cNvPr id="314" name="Graphic 314"/>
                        <wps:cNvSpPr/>
                        <wps:spPr>
                          <a:xfrm>
                            <a:off x="1927174" y="2441346"/>
                            <a:ext cx="74930" cy="40005"/>
                          </a:xfrm>
                          <a:custGeom>
                            <a:avLst/>
                            <a:gdLst/>
                            <a:ahLst/>
                            <a:cxnLst/>
                            <a:rect l="l" t="t" r="r" b="b"/>
                            <a:pathLst>
                              <a:path w="74930" h="40005">
                                <a:moveTo>
                                  <a:pt x="0" y="0"/>
                                </a:moveTo>
                                <a:lnTo>
                                  <a:pt x="0" y="39839"/>
                                </a:lnTo>
                                <a:lnTo>
                                  <a:pt x="74345" y="19913"/>
                                </a:lnTo>
                                <a:lnTo>
                                  <a:pt x="0" y="0"/>
                                </a:lnTo>
                                <a:close/>
                              </a:path>
                            </a:pathLst>
                          </a:custGeom>
                          <a:solidFill>
                            <a:srgbClr val="231F1F"/>
                          </a:solidFill>
                        </wps:spPr>
                        <wps:bodyPr wrap="square" lIns="0" tIns="0" rIns="0" bIns="0" rtlCol="0">
                          <a:prstTxWarp prst="textNoShape">
                            <a:avLst/>
                          </a:prstTxWarp>
                          <a:noAutofit/>
                        </wps:bodyPr>
                      </wps:wsp>
                      <wps:wsp>
                        <wps:cNvPr id="315" name="Graphic 315"/>
                        <wps:cNvSpPr/>
                        <wps:spPr>
                          <a:xfrm>
                            <a:off x="3472383" y="1769021"/>
                            <a:ext cx="1088390" cy="692785"/>
                          </a:xfrm>
                          <a:custGeom>
                            <a:avLst/>
                            <a:gdLst/>
                            <a:ahLst/>
                            <a:cxnLst/>
                            <a:rect l="l" t="t" r="r" b="b"/>
                            <a:pathLst>
                              <a:path w="1088390" h="692785">
                                <a:moveTo>
                                  <a:pt x="1088110" y="0"/>
                                </a:moveTo>
                                <a:lnTo>
                                  <a:pt x="1088110" y="692495"/>
                                </a:lnTo>
                              </a:path>
                              <a:path w="1088390" h="692785">
                                <a:moveTo>
                                  <a:pt x="1088110" y="692482"/>
                                </a:moveTo>
                                <a:lnTo>
                                  <a:pt x="0" y="692482"/>
                                </a:lnTo>
                              </a:path>
                            </a:pathLst>
                          </a:custGeom>
                          <a:ln w="3429">
                            <a:solidFill>
                              <a:srgbClr val="231F1F"/>
                            </a:solidFill>
                            <a:prstDash val="solid"/>
                          </a:ln>
                        </wps:spPr>
                        <wps:bodyPr wrap="square" lIns="0" tIns="0" rIns="0" bIns="0" rtlCol="0">
                          <a:prstTxWarp prst="textNoShape">
                            <a:avLst/>
                          </a:prstTxWarp>
                          <a:noAutofit/>
                        </wps:bodyPr>
                      </wps:wsp>
                      <wps:wsp>
                        <wps:cNvPr id="316" name="Graphic 316"/>
                        <wps:cNvSpPr/>
                        <wps:spPr>
                          <a:xfrm>
                            <a:off x="3411613" y="2441829"/>
                            <a:ext cx="74930" cy="40005"/>
                          </a:xfrm>
                          <a:custGeom>
                            <a:avLst/>
                            <a:gdLst/>
                            <a:ahLst/>
                            <a:cxnLst/>
                            <a:rect l="l" t="t" r="r" b="b"/>
                            <a:pathLst>
                              <a:path w="74930" h="40005">
                                <a:moveTo>
                                  <a:pt x="74345" y="0"/>
                                </a:moveTo>
                                <a:lnTo>
                                  <a:pt x="0" y="19926"/>
                                </a:lnTo>
                                <a:lnTo>
                                  <a:pt x="74345" y="39839"/>
                                </a:lnTo>
                                <a:lnTo>
                                  <a:pt x="74345" y="0"/>
                                </a:lnTo>
                                <a:close/>
                              </a:path>
                            </a:pathLst>
                          </a:custGeom>
                          <a:solidFill>
                            <a:srgbClr val="231F1F"/>
                          </a:solidFill>
                        </wps:spPr>
                        <wps:bodyPr wrap="square" lIns="0" tIns="0" rIns="0" bIns="0" rtlCol="0">
                          <a:prstTxWarp prst="textNoShape">
                            <a:avLst/>
                          </a:prstTxWarp>
                          <a:noAutofit/>
                        </wps:bodyPr>
                      </wps:wsp>
                      <wps:wsp>
                        <wps:cNvPr id="317" name="Graphic 317"/>
                        <wps:cNvSpPr/>
                        <wps:spPr>
                          <a:xfrm>
                            <a:off x="2088870" y="2541041"/>
                            <a:ext cx="1196340" cy="192405"/>
                          </a:xfrm>
                          <a:custGeom>
                            <a:avLst/>
                            <a:gdLst/>
                            <a:ahLst/>
                            <a:cxnLst/>
                            <a:rect l="l" t="t" r="r" b="b"/>
                            <a:pathLst>
                              <a:path w="1196340" h="192405">
                                <a:moveTo>
                                  <a:pt x="611987" y="0"/>
                                </a:moveTo>
                                <a:lnTo>
                                  <a:pt x="611987" y="142633"/>
                                </a:lnTo>
                              </a:path>
                              <a:path w="1196340" h="192405">
                                <a:moveTo>
                                  <a:pt x="0" y="142646"/>
                                </a:moveTo>
                                <a:lnTo>
                                  <a:pt x="1196030" y="142646"/>
                                </a:lnTo>
                              </a:path>
                              <a:path w="1196340" h="192405">
                                <a:moveTo>
                                  <a:pt x="0" y="142646"/>
                                </a:moveTo>
                                <a:lnTo>
                                  <a:pt x="0" y="192019"/>
                                </a:lnTo>
                              </a:path>
                            </a:pathLst>
                          </a:custGeom>
                          <a:ln w="3429">
                            <a:solidFill>
                              <a:srgbClr val="231F1F"/>
                            </a:solidFill>
                            <a:prstDash val="solid"/>
                          </a:ln>
                        </wps:spPr>
                        <wps:bodyPr wrap="square" lIns="0" tIns="0" rIns="0" bIns="0" rtlCol="0">
                          <a:prstTxWarp prst="textNoShape">
                            <a:avLst/>
                          </a:prstTxWarp>
                          <a:noAutofit/>
                        </wps:bodyPr>
                      </wps:wsp>
                      <wps:wsp>
                        <wps:cNvPr id="318" name="Graphic 318"/>
                        <wps:cNvSpPr/>
                        <wps:spPr>
                          <a:xfrm>
                            <a:off x="2069198" y="2719476"/>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19" name="Graphic 319"/>
                        <wps:cNvSpPr/>
                        <wps:spPr>
                          <a:xfrm>
                            <a:off x="3284931" y="3026041"/>
                            <a:ext cx="1270" cy="2103120"/>
                          </a:xfrm>
                          <a:custGeom>
                            <a:avLst/>
                            <a:gdLst/>
                            <a:ahLst/>
                            <a:cxnLst/>
                            <a:rect l="l" t="t" r="r" b="b"/>
                            <a:pathLst>
                              <a:path w="0" h="2103120">
                                <a:moveTo>
                                  <a:pt x="0" y="0"/>
                                </a:moveTo>
                                <a:lnTo>
                                  <a:pt x="0" y="2103091"/>
                                </a:lnTo>
                              </a:path>
                            </a:pathLst>
                          </a:custGeom>
                          <a:ln w="3429">
                            <a:solidFill>
                              <a:srgbClr val="231F1F"/>
                            </a:solidFill>
                            <a:prstDash val="solid"/>
                          </a:ln>
                        </wps:spPr>
                        <wps:bodyPr wrap="square" lIns="0" tIns="0" rIns="0" bIns="0" rtlCol="0">
                          <a:prstTxWarp prst="textNoShape">
                            <a:avLst/>
                          </a:prstTxWarp>
                          <a:noAutofit/>
                        </wps:bodyPr>
                      </wps:wsp>
                      <wps:wsp>
                        <wps:cNvPr id="320" name="Graphic 320"/>
                        <wps:cNvSpPr/>
                        <wps:spPr>
                          <a:xfrm>
                            <a:off x="3265258" y="5115547"/>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21" name="Graphic 321"/>
                        <wps:cNvSpPr/>
                        <wps:spPr>
                          <a:xfrm>
                            <a:off x="2088870" y="3037928"/>
                            <a:ext cx="1270" cy="131445"/>
                          </a:xfrm>
                          <a:custGeom>
                            <a:avLst/>
                            <a:gdLst/>
                            <a:ahLst/>
                            <a:cxnLst/>
                            <a:rect l="l" t="t" r="r" b="b"/>
                            <a:pathLst>
                              <a:path w="0" h="131445">
                                <a:moveTo>
                                  <a:pt x="0" y="0"/>
                                </a:moveTo>
                                <a:lnTo>
                                  <a:pt x="0" y="131140"/>
                                </a:lnTo>
                              </a:path>
                            </a:pathLst>
                          </a:custGeom>
                          <a:ln w="3429">
                            <a:solidFill>
                              <a:srgbClr val="231F1F"/>
                            </a:solidFill>
                            <a:prstDash val="solid"/>
                          </a:ln>
                        </wps:spPr>
                        <wps:bodyPr wrap="square" lIns="0" tIns="0" rIns="0" bIns="0" rtlCol="0">
                          <a:prstTxWarp prst="textNoShape">
                            <a:avLst/>
                          </a:prstTxWarp>
                          <a:noAutofit/>
                        </wps:bodyPr>
                      </wps:wsp>
                      <wps:wsp>
                        <wps:cNvPr id="322" name="Graphic 322"/>
                        <wps:cNvSpPr/>
                        <wps:spPr>
                          <a:xfrm>
                            <a:off x="2069198" y="3155480"/>
                            <a:ext cx="40005" cy="74930"/>
                          </a:xfrm>
                          <a:custGeom>
                            <a:avLst/>
                            <a:gdLst/>
                            <a:ahLst/>
                            <a:cxnLst/>
                            <a:rect l="l" t="t" r="r" b="b"/>
                            <a:pathLst>
                              <a:path w="40005" h="74930">
                                <a:moveTo>
                                  <a:pt x="39839" y="0"/>
                                </a:moveTo>
                                <a:lnTo>
                                  <a:pt x="0" y="0"/>
                                </a:lnTo>
                                <a:lnTo>
                                  <a:pt x="19926" y="74345"/>
                                </a:lnTo>
                                <a:lnTo>
                                  <a:pt x="39839" y="0"/>
                                </a:lnTo>
                                <a:close/>
                              </a:path>
                            </a:pathLst>
                          </a:custGeom>
                          <a:solidFill>
                            <a:srgbClr val="231F1F"/>
                          </a:solidFill>
                        </wps:spPr>
                        <wps:bodyPr wrap="square" lIns="0" tIns="0" rIns="0" bIns="0" rtlCol="0">
                          <a:prstTxWarp prst="textNoShape">
                            <a:avLst/>
                          </a:prstTxWarp>
                          <a:noAutofit/>
                        </wps:bodyPr>
                      </wps:wsp>
                      <wps:wsp>
                        <wps:cNvPr id="323" name="Graphic 323"/>
                        <wps:cNvSpPr/>
                        <wps:spPr>
                          <a:xfrm>
                            <a:off x="2095055" y="3501085"/>
                            <a:ext cx="1270" cy="234315"/>
                          </a:xfrm>
                          <a:custGeom>
                            <a:avLst/>
                            <a:gdLst/>
                            <a:ahLst/>
                            <a:cxnLst/>
                            <a:rect l="l" t="t" r="r" b="b"/>
                            <a:pathLst>
                              <a:path w="0" h="234315">
                                <a:moveTo>
                                  <a:pt x="0" y="0"/>
                                </a:moveTo>
                                <a:lnTo>
                                  <a:pt x="0" y="233709"/>
                                </a:lnTo>
                              </a:path>
                            </a:pathLst>
                          </a:custGeom>
                          <a:ln w="3429">
                            <a:solidFill>
                              <a:srgbClr val="231F1F"/>
                            </a:solidFill>
                            <a:prstDash val="solid"/>
                          </a:ln>
                        </wps:spPr>
                        <wps:bodyPr wrap="square" lIns="0" tIns="0" rIns="0" bIns="0" rtlCol="0">
                          <a:prstTxWarp prst="textNoShape">
                            <a:avLst/>
                          </a:prstTxWarp>
                          <a:noAutofit/>
                        </wps:bodyPr>
                      </wps:wsp>
                      <wps:wsp>
                        <wps:cNvPr id="324" name="Graphic 324"/>
                        <wps:cNvSpPr/>
                        <wps:spPr>
                          <a:xfrm>
                            <a:off x="2075383" y="3721214"/>
                            <a:ext cx="40005" cy="74930"/>
                          </a:xfrm>
                          <a:custGeom>
                            <a:avLst/>
                            <a:gdLst/>
                            <a:ahLst/>
                            <a:cxnLst/>
                            <a:rect l="l" t="t" r="r" b="b"/>
                            <a:pathLst>
                              <a:path w="40005" h="74930">
                                <a:moveTo>
                                  <a:pt x="39839" y="0"/>
                                </a:moveTo>
                                <a:lnTo>
                                  <a:pt x="0" y="0"/>
                                </a:lnTo>
                                <a:lnTo>
                                  <a:pt x="19926" y="74345"/>
                                </a:lnTo>
                                <a:lnTo>
                                  <a:pt x="39839" y="0"/>
                                </a:lnTo>
                                <a:close/>
                              </a:path>
                            </a:pathLst>
                          </a:custGeom>
                          <a:solidFill>
                            <a:srgbClr val="231F1F"/>
                          </a:solidFill>
                        </wps:spPr>
                        <wps:bodyPr wrap="square" lIns="0" tIns="0" rIns="0" bIns="0" rtlCol="0">
                          <a:prstTxWarp prst="textNoShape">
                            <a:avLst/>
                          </a:prstTxWarp>
                          <a:noAutofit/>
                        </wps:bodyPr>
                      </wps:wsp>
                      <wps:wsp>
                        <wps:cNvPr id="325" name="Graphic 325"/>
                        <wps:cNvSpPr/>
                        <wps:spPr>
                          <a:xfrm>
                            <a:off x="1444231" y="4208767"/>
                            <a:ext cx="1254125" cy="335280"/>
                          </a:xfrm>
                          <a:custGeom>
                            <a:avLst/>
                            <a:gdLst/>
                            <a:ahLst/>
                            <a:cxnLst/>
                            <a:rect l="l" t="t" r="r" b="b"/>
                            <a:pathLst>
                              <a:path w="1254125" h="335280">
                                <a:moveTo>
                                  <a:pt x="644639" y="0"/>
                                </a:moveTo>
                                <a:lnTo>
                                  <a:pt x="644639" y="211208"/>
                                </a:lnTo>
                              </a:path>
                              <a:path w="1254125" h="335280">
                                <a:moveTo>
                                  <a:pt x="0" y="211221"/>
                                </a:moveTo>
                                <a:lnTo>
                                  <a:pt x="1253640" y="211221"/>
                                </a:lnTo>
                              </a:path>
                              <a:path w="1254125" h="335280">
                                <a:moveTo>
                                  <a:pt x="1253630" y="211221"/>
                                </a:moveTo>
                                <a:lnTo>
                                  <a:pt x="1253630" y="334654"/>
                                </a:lnTo>
                              </a:path>
                            </a:pathLst>
                          </a:custGeom>
                          <a:ln w="3429">
                            <a:solidFill>
                              <a:srgbClr val="231F1F"/>
                            </a:solidFill>
                            <a:prstDash val="solid"/>
                          </a:ln>
                        </wps:spPr>
                        <wps:bodyPr wrap="square" lIns="0" tIns="0" rIns="0" bIns="0" rtlCol="0">
                          <a:prstTxWarp prst="textNoShape">
                            <a:avLst/>
                          </a:prstTxWarp>
                          <a:noAutofit/>
                        </wps:bodyPr>
                      </wps:wsp>
                      <wps:wsp>
                        <wps:cNvPr id="326" name="Graphic 326"/>
                        <wps:cNvSpPr/>
                        <wps:spPr>
                          <a:xfrm>
                            <a:off x="2678188" y="4529835"/>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27" name="Graphic 327"/>
                        <wps:cNvSpPr/>
                        <wps:spPr>
                          <a:xfrm>
                            <a:off x="1444231" y="4419980"/>
                            <a:ext cx="1270" cy="97790"/>
                          </a:xfrm>
                          <a:custGeom>
                            <a:avLst/>
                            <a:gdLst/>
                            <a:ahLst/>
                            <a:cxnLst/>
                            <a:rect l="l" t="t" r="r" b="b"/>
                            <a:pathLst>
                              <a:path w="0" h="97790">
                                <a:moveTo>
                                  <a:pt x="0" y="0"/>
                                </a:moveTo>
                                <a:lnTo>
                                  <a:pt x="0" y="97704"/>
                                </a:lnTo>
                              </a:path>
                            </a:pathLst>
                          </a:custGeom>
                          <a:ln w="3429">
                            <a:solidFill>
                              <a:srgbClr val="231F1F"/>
                            </a:solidFill>
                            <a:prstDash val="solid"/>
                          </a:ln>
                        </wps:spPr>
                        <wps:bodyPr wrap="square" lIns="0" tIns="0" rIns="0" bIns="0" rtlCol="0">
                          <a:prstTxWarp prst="textNoShape">
                            <a:avLst/>
                          </a:prstTxWarp>
                          <a:noAutofit/>
                        </wps:bodyPr>
                      </wps:wsp>
                      <wps:wsp>
                        <wps:cNvPr id="328" name="Graphic 328"/>
                        <wps:cNvSpPr/>
                        <wps:spPr>
                          <a:xfrm>
                            <a:off x="1424546" y="4504105"/>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29" name="Graphic 329"/>
                        <wps:cNvSpPr/>
                        <wps:spPr>
                          <a:xfrm>
                            <a:off x="2697860" y="4812233"/>
                            <a:ext cx="38735" cy="620395"/>
                          </a:xfrm>
                          <a:custGeom>
                            <a:avLst/>
                            <a:gdLst/>
                            <a:ahLst/>
                            <a:cxnLst/>
                            <a:rect l="l" t="t" r="r" b="b"/>
                            <a:pathLst>
                              <a:path w="38735" h="620395">
                                <a:moveTo>
                                  <a:pt x="0" y="0"/>
                                </a:moveTo>
                                <a:lnTo>
                                  <a:pt x="0" y="619896"/>
                                </a:lnTo>
                              </a:path>
                              <a:path w="38735" h="620395">
                                <a:moveTo>
                                  <a:pt x="0" y="619896"/>
                                </a:moveTo>
                                <a:lnTo>
                                  <a:pt x="38404" y="619896"/>
                                </a:lnTo>
                              </a:path>
                            </a:pathLst>
                          </a:custGeom>
                          <a:ln w="3429">
                            <a:solidFill>
                              <a:srgbClr val="231F1F"/>
                            </a:solidFill>
                            <a:prstDash val="solid"/>
                          </a:ln>
                        </wps:spPr>
                        <wps:bodyPr wrap="square" lIns="0" tIns="0" rIns="0" bIns="0" rtlCol="0">
                          <a:prstTxWarp prst="textNoShape">
                            <a:avLst/>
                          </a:prstTxWarp>
                          <a:noAutofit/>
                        </wps:bodyPr>
                      </wps:wsp>
                      <wps:wsp>
                        <wps:cNvPr id="330" name="Graphic 330"/>
                        <wps:cNvSpPr/>
                        <wps:spPr>
                          <a:xfrm>
                            <a:off x="2722689" y="5411965"/>
                            <a:ext cx="74930" cy="40005"/>
                          </a:xfrm>
                          <a:custGeom>
                            <a:avLst/>
                            <a:gdLst/>
                            <a:ahLst/>
                            <a:cxnLst/>
                            <a:rect l="l" t="t" r="r" b="b"/>
                            <a:pathLst>
                              <a:path w="74930" h="40005">
                                <a:moveTo>
                                  <a:pt x="0" y="0"/>
                                </a:moveTo>
                                <a:lnTo>
                                  <a:pt x="0" y="39839"/>
                                </a:lnTo>
                                <a:lnTo>
                                  <a:pt x="74345" y="19913"/>
                                </a:lnTo>
                                <a:lnTo>
                                  <a:pt x="0" y="0"/>
                                </a:lnTo>
                                <a:close/>
                              </a:path>
                            </a:pathLst>
                          </a:custGeom>
                          <a:solidFill>
                            <a:srgbClr val="231F1F"/>
                          </a:solidFill>
                        </wps:spPr>
                        <wps:bodyPr wrap="square" lIns="0" tIns="0" rIns="0" bIns="0" rtlCol="0">
                          <a:prstTxWarp prst="textNoShape">
                            <a:avLst/>
                          </a:prstTxWarp>
                          <a:noAutofit/>
                        </wps:bodyPr>
                      </wps:wsp>
                      <wps:wsp>
                        <wps:cNvPr id="331" name="Graphic 331"/>
                        <wps:cNvSpPr/>
                        <wps:spPr>
                          <a:xfrm>
                            <a:off x="1918792" y="5422531"/>
                            <a:ext cx="1988185" cy="426720"/>
                          </a:xfrm>
                          <a:custGeom>
                            <a:avLst/>
                            <a:gdLst/>
                            <a:ahLst/>
                            <a:cxnLst/>
                            <a:rect l="l" t="t" r="r" b="b"/>
                            <a:pathLst>
                              <a:path w="1988185" h="426720">
                                <a:moveTo>
                                  <a:pt x="1829711" y="0"/>
                                </a:moveTo>
                                <a:lnTo>
                                  <a:pt x="1987741" y="0"/>
                                </a:lnTo>
                              </a:path>
                              <a:path w="1988185" h="426720">
                                <a:moveTo>
                                  <a:pt x="1376430" y="106620"/>
                                </a:moveTo>
                                <a:lnTo>
                                  <a:pt x="1376430" y="341498"/>
                                </a:lnTo>
                              </a:path>
                              <a:path w="1988185" h="426720">
                                <a:moveTo>
                                  <a:pt x="1359280" y="341485"/>
                                </a:moveTo>
                                <a:lnTo>
                                  <a:pt x="12" y="341485"/>
                                </a:lnTo>
                              </a:path>
                              <a:path w="1988185" h="426720">
                                <a:moveTo>
                                  <a:pt x="0" y="341485"/>
                                </a:moveTo>
                                <a:lnTo>
                                  <a:pt x="0" y="426619"/>
                                </a:lnTo>
                              </a:path>
                            </a:pathLst>
                          </a:custGeom>
                          <a:ln w="3429">
                            <a:solidFill>
                              <a:srgbClr val="231F1F"/>
                            </a:solidFill>
                            <a:prstDash val="solid"/>
                          </a:ln>
                        </wps:spPr>
                        <wps:bodyPr wrap="square" lIns="0" tIns="0" rIns="0" bIns="0" rtlCol="0">
                          <a:prstTxWarp prst="textNoShape">
                            <a:avLst/>
                          </a:prstTxWarp>
                          <a:noAutofit/>
                        </wps:bodyPr>
                      </wps:wsp>
                      <wps:wsp>
                        <wps:cNvPr id="332" name="Graphic 332"/>
                        <wps:cNvSpPr/>
                        <wps:spPr>
                          <a:xfrm>
                            <a:off x="1899119" y="5835586"/>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33" name="Graphic 333"/>
                        <wps:cNvSpPr/>
                        <wps:spPr>
                          <a:xfrm>
                            <a:off x="752932" y="6306324"/>
                            <a:ext cx="2334895" cy="242570"/>
                          </a:xfrm>
                          <a:custGeom>
                            <a:avLst/>
                            <a:gdLst/>
                            <a:ahLst/>
                            <a:cxnLst/>
                            <a:rect l="l" t="t" r="r" b="b"/>
                            <a:pathLst>
                              <a:path w="2334895" h="242570">
                                <a:moveTo>
                                  <a:pt x="1165860" y="0"/>
                                </a:moveTo>
                                <a:lnTo>
                                  <a:pt x="1165860" y="151675"/>
                                </a:lnTo>
                              </a:path>
                              <a:path w="2334895" h="242570">
                                <a:moveTo>
                                  <a:pt x="2334461" y="151675"/>
                                </a:moveTo>
                                <a:lnTo>
                                  <a:pt x="0" y="151675"/>
                                </a:lnTo>
                              </a:path>
                              <a:path w="2334895" h="242570">
                                <a:moveTo>
                                  <a:pt x="0" y="151675"/>
                                </a:moveTo>
                                <a:lnTo>
                                  <a:pt x="0" y="242434"/>
                                </a:lnTo>
                              </a:path>
                            </a:pathLst>
                          </a:custGeom>
                          <a:ln w="3429">
                            <a:solidFill>
                              <a:srgbClr val="231F1F"/>
                            </a:solidFill>
                            <a:prstDash val="solid"/>
                          </a:ln>
                        </wps:spPr>
                        <wps:bodyPr wrap="square" lIns="0" tIns="0" rIns="0" bIns="0" rtlCol="0">
                          <a:prstTxWarp prst="textNoShape">
                            <a:avLst/>
                          </a:prstTxWarp>
                          <a:noAutofit/>
                        </wps:bodyPr>
                      </wps:wsp>
                      <wps:wsp>
                        <wps:cNvPr id="334" name="Graphic 334"/>
                        <wps:cNvSpPr/>
                        <wps:spPr>
                          <a:xfrm>
                            <a:off x="733259" y="6535191"/>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35" name="Graphic 335"/>
                        <wps:cNvSpPr/>
                        <wps:spPr>
                          <a:xfrm>
                            <a:off x="3087395" y="6458000"/>
                            <a:ext cx="1270" cy="82550"/>
                          </a:xfrm>
                          <a:custGeom>
                            <a:avLst/>
                            <a:gdLst/>
                            <a:ahLst/>
                            <a:cxnLst/>
                            <a:rect l="l" t="t" r="r" b="b"/>
                            <a:pathLst>
                              <a:path w="0" h="82550">
                                <a:moveTo>
                                  <a:pt x="0" y="0"/>
                                </a:moveTo>
                                <a:lnTo>
                                  <a:pt x="0" y="82276"/>
                                </a:lnTo>
                              </a:path>
                            </a:pathLst>
                          </a:custGeom>
                          <a:ln w="3429">
                            <a:solidFill>
                              <a:srgbClr val="231F1F"/>
                            </a:solidFill>
                            <a:prstDash val="solid"/>
                          </a:ln>
                        </wps:spPr>
                        <wps:bodyPr wrap="square" lIns="0" tIns="0" rIns="0" bIns="0" rtlCol="0">
                          <a:prstTxWarp prst="textNoShape">
                            <a:avLst/>
                          </a:prstTxWarp>
                          <a:noAutofit/>
                        </wps:bodyPr>
                      </wps:wsp>
                      <wps:wsp>
                        <wps:cNvPr id="336" name="Graphic 336"/>
                        <wps:cNvSpPr/>
                        <wps:spPr>
                          <a:xfrm>
                            <a:off x="3067723" y="6526707"/>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37" name="Graphic 337"/>
                        <wps:cNvSpPr/>
                        <wps:spPr>
                          <a:xfrm>
                            <a:off x="3284905" y="2683687"/>
                            <a:ext cx="1270" cy="79375"/>
                          </a:xfrm>
                          <a:custGeom>
                            <a:avLst/>
                            <a:gdLst/>
                            <a:ahLst/>
                            <a:cxnLst/>
                            <a:rect l="l" t="t" r="r" b="b"/>
                            <a:pathLst>
                              <a:path w="0" h="79375">
                                <a:moveTo>
                                  <a:pt x="0" y="0"/>
                                </a:moveTo>
                                <a:lnTo>
                                  <a:pt x="0" y="79126"/>
                                </a:lnTo>
                              </a:path>
                            </a:pathLst>
                          </a:custGeom>
                          <a:ln w="3429">
                            <a:solidFill>
                              <a:srgbClr val="231F1F"/>
                            </a:solidFill>
                            <a:prstDash val="solid"/>
                          </a:ln>
                        </wps:spPr>
                        <wps:bodyPr wrap="square" lIns="0" tIns="0" rIns="0" bIns="0" rtlCol="0">
                          <a:prstTxWarp prst="textNoShape">
                            <a:avLst/>
                          </a:prstTxWarp>
                          <a:noAutofit/>
                        </wps:bodyPr>
                      </wps:wsp>
                      <wps:wsp>
                        <wps:cNvPr id="338" name="Graphic 338"/>
                        <wps:cNvSpPr/>
                        <wps:spPr>
                          <a:xfrm>
                            <a:off x="3265233" y="2749232"/>
                            <a:ext cx="40005" cy="74930"/>
                          </a:xfrm>
                          <a:custGeom>
                            <a:avLst/>
                            <a:gdLst/>
                            <a:ahLst/>
                            <a:cxnLst/>
                            <a:rect l="l" t="t" r="r" b="b"/>
                            <a:pathLst>
                              <a:path w="40005" h="74930">
                                <a:moveTo>
                                  <a:pt x="39839" y="0"/>
                                </a:moveTo>
                                <a:lnTo>
                                  <a:pt x="0" y="0"/>
                                </a:lnTo>
                                <a:lnTo>
                                  <a:pt x="19926" y="74333"/>
                                </a:lnTo>
                                <a:lnTo>
                                  <a:pt x="39839" y="0"/>
                                </a:lnTo>
                                <a:close/>
                              </a:path>
                            </a:pathLst>
                          </a:custGeom>
                          <a:solidFill>
                            <a:srgbClr val="231F1F"/>
                          </a:solidFill>
                        </wps:spPr>
                        <wps:bodyPr wrap="square" lIns="0" tIns="0" rIns="0" bIns="0" rtlCol="0">
                          <a:prstTxWarp prst="textNoShape">
                            <a:avLst/>
                          </a:prstTxWarp>
                          <a:noAutofit/>
                        </wps:bodyPr>
                      </wps:wsp>
                      <wps:wsp>
                        <wps:cNvPr id="339" name="Graphic 339"/>
                        <wps:cNvSpPr/>
                        <wps:spPr>
                          <a:xfrm>
                            <a:off x="3175" y="3175"/>
                            <a:ext cx="5400040" cy="7216775"/>
                          </a:xfrm>
                          <a:custGeom>
                            <a:avLst/>
                            <a:gdLst/>
                            <a:ahLst/>
                            <a:cxnLst/>
                            <a:rect l="l" t="t" r="r" b="b"/>
                            <a:pathLst>
                              <a:path w="5400040" h="7216775">
                                <a:moveTo>
                                  <a:pt x="0" y="0"/>
                                </a:moveTo>
                                <a:lnTo>
                                  <a:pt x="5400003" y="0"/>
                                </a:lnTo>
                                <a:lnTo>
                                  <a:pt x="5400003" y="7216174"/>
                                </a:lnTo>
                                <a:lnTo>
                                  <a:pt x="0" y="7216174"/>
                                </a:lnTo>
                                <a:lnTo>
                                  <a:pt x="0" y="0"/>
                                </a:lnTo>
                                <a:close/>
                              </a:path>
                            </a:pathLst>
                          </a:custGeom>
                          <a:ln w="6350">
                            <a:solidFill>
                              <a:srgbClr val="A30046"/>
                            </a:solidFill>
                            <a:prstDash val="solid"/>
                          </a:ln>
                        </wps:spPr>
                        <wps:bodyPr wrap="square" lIns="0" tIns="0" rIns="0" bIns="0" rtlCol="0">
                          <a:prstTxWarp prst="textNoShape">
                            <a:avLst/>
                          </a:prstTxWarp>
                          <a:noAutofit/>
                        </wps:bodyPr>
                      </wps:wsp>
                      <pic:pic>
                        <pic:nvPicPr>
                          <pic:cNvPr id="340" name="Image 340"/>
                          <pic:cNvPicPr/>
                        </pic:nvPicPr>
                        <pic:blipFill>
                          <a:blip r:embed="rId65" cstate="print"/>
                          <a:stretch>
                            <a:fillRect/>
                          </a:stretch>
                        </pic:blipFill>
                        <pic:spPr>
                          <a:xfrm>
                            <a:off x="430326" y="6701625"/>
                            <a:ext cx="655485" cy="82142"/>
                          </a:xfrm>
                          <a:prstGeom prst="rect">
                            <a:avLst/>
                          </a:prstGeom>
                        </pic:spPr>
                      </pic:pic>
                      <pic:pic>
                        <pic:nvPicPr>
                          <pic:cNvPr id="341" name="Image 341"/>
                          <pic:cNvPicPr/>
                        </pic:nvPicPr>
                        <pic:blipFill>
                          <a:blip r:embed="rId66" cstate="print"/>
                          <a:stretch>
                            <a:fillRect/>
                          </a:stretch>
                        </pic:blipFill>
                        <pic:spPr>
                          <a:xfrm>
                            <a:off x="2777286" y="6689433"/>
                            <a:ext cx="655485" cy="82142"/>
                          </a:xfrm>
                          <a:prstGeom prst="rect">
                            <a:avLst/>
                          </a:prstGeom>
                        </pic:spPr>
                      </pic:pic>
                      <pic:pic>
                        <pic:nvPicPr>
                          <pic:cNvPr id="342" name="Image 342"/>
                          <pic:cNvPicPr/>
                        </pic:nvPicPr>
                        <pic:blipFill>
                          <a:blip r:embed="rId67" cstate="print"/>
                          <a:stretch>
                            <a:fillRect/>
                          </a:stretch>
                        </pic:blipFill>
                        <pic:spPr>
                          <a:xfrm>
                            <a:off x="3964800" y="6070955"/>
                            <a:ext cx="874420" cy="503212"/>
                          </a:xfrm>
                          <a:prstGeom prst="rect">
                            <a:avLst/>
                          </a:prstGeom>
                        </pic:spPr>
                      </pic:pic>
                      <pic:pic>
                        <pic:nvPicPr>
                          <pic:cNvPr id="343" name="Image 343"/>
                          <pic:cNvPicPr/>
                        </pic:nvPicPr>
                        <pic:blipFill>
                          <a:blip r:embed="rId68" cstate="print"/>
                          <a:stretch>
                            <a:fillRect/>
                          </a:stretch>
                        </pic:blipFill>
                        <pic:spPr>
                          <a:xfrm>
                            <a:off x="845032" y="6076709"/>
                            <a:ext cx="1856828" cy="82219"/>
                          </a:xfrm>
                          <a:prstGeom prst="rect">
                            <a:avLst/>
                          </a:prstGeom>
                        </pic:spPr>
                      </pic:pic>
                      <pic:pic>
                        <pic:nvPicPr>
                          <pic:cNvPr id="344" name="Image 344"/>
                          <pic:cNvPicPr/>
                        </pic:nvPicPr>
                        <pic:blipFill>
                          <a:blip r:embed="rId69" cstate="print"/>
                          <a:stretch>
                            <a:fillRect/>
                          </a:stretch>
                        </pic:blipFill>
                        <pic:spPr>
                          <a:xfrm>
                            <a:off x="1172806" y="6186437"/>
                            <a:ext cx="1215223" cy="64654"/>
                          </a:xfrm>
                          <a:prstGeom prst="rect">
                            <a:avLst/>
                          </a:prstGeom>
                        </pic:spPr>
                      </pic:pic>
                      <pic:pic>
                        <pic:nvPicPr>
                          <pic:cNvPr id="345" name="Image 345"/>
                          <pic:cNvPicPr/>
                        </pic:nvPicPr>
                        <pic:blipFill>
                          <a:blip r:embed="rId70" cstate="print"/>
                          <a:stretch>
                            <a:fillRect/>
                          </a:stretch>
                        </pic:blipFill>
                        <pic:spPr>
                          <a:xfrm>
                            <a:off x="3968292" y="4533646"/>
                            <a:ext cx="928241" cy="411137"/>
                          </a:xfrm>
                          <a:prstGeom prst="rect">
                            <a:avLst/>
                          </a:prstGeom>
                        </pic:spPr>
                      </pic:pic>
                      <pic:pic>
                        <pic:nvPicPr>
                          <pic:cNvPr id="346" name="Image 346"/>
                          <pic:cNvPicPr/>
                        </pic:nvPicPr>
                        <pic:blipFill>
                          <a:blip r:embed="rId71" cstate="print"/>
                          <a:stretch>
                            <a:fillRect/>
                          </a:stretch>
                        </pic:blipFill>
                        <pic:spPr>
                          <a:xfrm>
                            <a:off x="3968457" y="4973677"/>
                            <a:ext cx="891400" cy="390447"/>
                          </a:xfrm>
                          <a:prstGeom prst="rect">
                            <a:avLst/>
                          </a:prstGeom>
                        </pic:spPr>
                      </pic:pic>
                      <pic:pic>
                        <pic:nvPicPr>
                          <pic:cNvPr id="347" name="Image 347"/>
                          <pic:cNvPicPr/>
                        </pic:nvPicPr>
                        <pic:blipFill>
                          <a:blip r:embed="rId72" cstate="print"/>
                          <a:stretch>
                            <a:fillRect/>
                          </a:stretch>
                        </pic:blipFill>
                        <pic:spPr>
                          <a:xfrm>
                            <a:off x="3968457" y="5624829"/>
                            <a:ext cx="980414" cy="281838"/>
                          </a:xfrm>
                          <a:prstGeom prst="rect">
                            <a:avLst/>
                          </a:prstGeom>
                        </pic:spPr>
                      </pic:pic>
                      <pic:pic>
                        <pic:nvPicPr>
                          <pic:cNvPr id="348" name="Image 348"/>
                          <pic:cNvPicPr/>
                        </pic:nvPicPr>
                        <pic:blipFill>
                          <a:blip r:embed="rId73" cstate="print"/>
                          <a:stretch>
                            <a:fillRect/>
                          </a:stretch>
                        </pic:blipFill>
                        <pic:spPr>
                          <a:xfrm>
                            <a:off x="3022968" y="5400396"/>
                            <a:ext cx="456131" cy="64312"/>
                          </a:xfrm>
                          <a:prstGeom prst="rect">
                            <a:avLst/>
                          </a:prstGeom>
                        </pic:spPr>
                      </pic:pic>
                      <pic:pic>
                        <pic:nvPicPr>
                          <pic:cNvPr id="349" name="Image 349"/>
                          <pic:cNvPicPr/>
                        </pic:nvPicPr>
                        <pic:blipFill>
                          <a:blip r:embed="rId74" cstate="print"/>
                          <a:stretch>
                            <a:fillRect/>
                          </a:stretch>
                        </pic:blipFill>
                        <pic:spPr>
                          <a:xfrm>
                            <a:off x="2399334" y="4690211"/>
                            <a:ext cx="358000" cy="81876"/>
                          </a:xfrm>
                          <a:prstGeom prst="rect">
                            <a:avLst/>
                          </a:prstGeom>
                        </pic:spPr>
                      </pic:pic>
                      <wps:wsp>
                        <wps:cNvPr id="350" name="Graphic 350"/>
                        <wps:cNvSpPr/>
                        <wps:spPr>
                          <a:xfrm>
                            <a:off x="2787396" y="4689957"/>
                            <a:ext cx="109220" cy="64135"/>
                          </a:xfrm>
                          <a:custGeom>
                            <a:avLst/>
                            <a:gdLst/>
                            <a:ahLst/>
                            <a:cxnLst/>
                            <a:rect l="l" t="t" r="r" b="b"/>
                            <a:pathLst>
                              <a:path w="109220" h="64135">
                                <a:moveTo>
                                  <a:pt x="44005" y="10909"/>
                                </a:moveTo>
                                <a:lnTo>
                                  <a:pt x="0" y="28613"/>
                                </a:lnTo>
                                <a:lnTo>
                                  <a:pt x="0" y="35864"/>
                                </a:lnTo>
                                <a:lnTo>
                                  <a:pt x="44005" y="53771"/>
                                </a:lnTo>
                                <a:lnTo>
                                  <a:pt x="44005" y="46050"/>
                                </a:lnTo>
                                <a:lnTo>
                                  <a:pt x="9105" y="32283"/>
                                </a:lnTo>
                                <a:lnTo>
                                  <a:pt x="44005" y="18643"/>
                                </a:lnTo>
                                <a:lnTo>
                                  <a:pt x="44005" y="10909"/>
                                </a:lnTo>
                                <a:close/>
                              </a:path>
                              <a:path w="109220" h="64135">
                                <a:moveTo>
                                  <a:pt x="108750" y="0"/>
                                </a:moveTo>
                                <a:lnTo>
                                  <a:pt x="103492" y="0"/>
                                </a:lnTo>
                                <a:lnTo>
                                  <a:pt x="102069" y="2730"/>
                                </a:lnTo>
                                <a:lnTo>
                                  <a:pt x="99656" y="5549"/>
                                </a:lnTo>
                                <a:lnTo>
                                  <a:pt x="92824" y="11353"/>
                                </a:lnTo>
                                <a:lnTo>
                                  <a:pt x="88836" y="13830"/>
                                </a:lnTo>
                                <a:lnTo>
                                  <a:pt x="84277" y="15875"/>
                                </a:lnTo>
                                <a:lnTo>
                                  <a:pt x="84277" y="23380"/>
                                </a:lnTo>
                                <a:lnTo>
                                  <a:pt x="100584" y="14020"/>
                                </a:lnTo>
                                <a:lnTo>
                                  <a:pt x="100584" y="63525"/>
                                </a:lnTo>
                                <a:lnTo>
                                  <a:pt x="108750" y="63525"/>
                                </a:lnTo>
                                <a:lnTo>
                                  <a:pt x="108750" y="0"/>
                                </a:lnTo>
                                <a:close/>
                              </a:path>
                            </a:pathLst>
                          </a:custGeom>
                          <a:solidFill>
                            <a:srgbClr val="231F1F"/>
                          </a:solidFill>
                        </wps:spPr>
                        <wps:bodyPr wrap="square" lIns="0" tIns="0" rIns="0" bIns="0" rtlCol="0">
                          <a:prstTxWarp prst="textNoShape">
                            <a:avLst/>
                          </a:prstTxWarp>
                          <a:noAutofit/>
                        </wps:bodyPr>
                      </wps:wsp>
                      <pic:pic>
                        <pic:nvPicPr>
                          <pic:cNvPr id="351" name="Image 351"/>
                          <pic:cNvPicPr/>
                        </pic:nvPicPr>
                        <pic:blipFill>
                          <a:blip r:embed="rId75" cstate="print"/>
                          <a:stretch>
                            <a:fillRect/>
                          </a:stretch>
                        </pic:blipFill>
                        <pic:spPr>
                          <a:xfrm>
                            <a:off x="1281683" y="4702404"/>
                            <a:ext cx="360083" cy="174039"/>
                          </a:xfrm>
                          <a:prstGeom prst="rect">
                            <a:avLst/>
                          </a:prstGeom>
                        </pic:spPr>
                      </pic:pic>
                      <pic:pic>
                        <pic:nvPicPr>
                          <pic:cNvPr id="352" name="Image 352"/>
                          <pic:cNvPicPr/>
                        </pic:nvPicPr>
                        <pic:blipFill>
                          <a:blip r:embed="rId76" cstate="print"/>
                          <a:stretch>
                            <a:fillRect/>
                          </a:stretch>
                        </pic:blipFill>
                        <pic:spPr>
                          <a:xfrm>
                            <a:off x="1771561" y="3995268"/>
                            <a:ext cx="605523" cy="191603"/>
                          </a:xfrm>
                          <a:prstGeom prst="rect">
                            <a:avLst/>
                          </a:prstGeom>
                        </pic:spPr>
                      </pic:pic>
                      <pic:pic>
                        <pic:nvPicPr>
                          <pic:cNvPr id="353" name="Image 353"/>
                          <pic:cNvPicPr/>
                        </pic:nvPicPr>
                        <pic:blipFill>
                          <a:blip r:embed="rId77" cstate="print"/>
                          <a:stretch>
                            <a:fillRect/>
                          </a:stretch>
                        </pic:blipFill>
                        <pic:spPr>
                          <a:xfrm>
                            <a:off x="1864728" y="3397859"/>
                            <a:ext cx="411619" cy="64312"/>
                          </a:xfrm>
                          <a:prstGeom prst="rect">
                            <a:avLst/>
                          </a:prstGeom>
                        </pic:spPr>
                      </pic:pic>
                      <pic:pic>
                        <pic:nvPicPr>
                          <pic:cNvPr id="354" name="Image 354"/>
                          <pic:cNvPicPr/>
                        </pic:nvPicPr>
                        <pic:blipFill>
                          <a:blip r:embed="rId78" cstate="print"/>
                          <a:stretch>
                            <a:fillRect/>
                          </a:stretch>
                        </pic:blipFill>
                        <pic:spPr>
                          <a:xfrm>
                            <a:off x="429120" y="3019907"/>
                            <a:ext cx="904786" cy="410019"/>
                          </a:xfrm>
                          <a:prstGeom prst="rect">
                            <a:avLst/>
                          </a:prstGeom>
                        </pic:spPr>
                      </pic:pic>
                      <pic:pic>
                        <pic:nvPicPr>
                          <pic:cNvPr id="355" name="Image 355"/>
                          <pic:cNvPicPr/>
                        </pic:nvPicPr>
                        <pic:blipFill>
                          <a:blip r:embed="rId79" cstate="print"/>
                          <a:stretch>
                            <a:fillRect/>
                          </a:stretch>
                        </pic:blipFill>
                        <pic:spPr>
                          <a:xfrm>
                            <a:off x="2320264" y="2434692"/>
                            <a:ext cx="738327" cy="64312"/>
                          </a:xfrm>
                          <a:prstGeom prst="rect">
                            <a:avLst/>
                          </a:prstGeom>
                        </pic:spPr>
                      </pic:pic>
                      <pic:pic>
                        <pic:nvPicPr>
                          <pic:cNvPr id="356" name="Image 356"/>
                          <pic:cNvPicPr/>
                        </pic:nvPicPr>
                        <pic:blipFill>
                          <a:blip r:embed="rId80" cstate="print"/>
                          <a:stretch>
                            <a:fillRect/>
                          </a:stretch>
                        </pic:blipFill>
                        <pic:spPr>
                          <a:xfrm>
                            <a:off x="4166146" y="1422413"/>
                            <a:ext cx="832218" cy="301674"/>
                          </a:xfrm>
                          <a:prstGeom prst="rect">
                            <a:avLst/>
                          </a:prstGeom>
                        </pic:spPr>
                      </pic:pic>
                      <pic:pic>
                        <pic:nvPicPr>
                          <pic:cNvPr id="357" name="Image 357"/>
                          <pic:cNvPicPr/>
                        </pic:nvPicPr>
                        <pic:blipFill>
                          <a:blip r:embed="rId81" cstate="print"/>
                          <a:stretch>
                            <a:fillRect/>
                          </a:stretch>
                        </pic:blipFill>
                        <pic:spPr>
                          <a:xfrm>
                            <a:off x="1767458" y="1510068"/>
                            <a:ext cx="1599945" cy="284848"/>
                          </a:xfrm>
                          <a:prstGeom prst="rect">
                            <a:avLst/>
                          </a:prstGeom>
                        </pic:spPr>
                      </pic:pic>
                      <pic:pic>
                        <pic:nvPicPr>
                          <pic:cNvPr id="358" name="Image 358"/>
                          <pic:cNvPicPr/>
                        </pic:nvPicPr>
                        <pic:blipFill>
                          <a:blip r:embed="rId82" cstate="print"/>
                          <a:stretch>
                            <a:fillRect/>
                          </a:stretch>
                        </pic:blipFill>
                        <pic:spPr>
                          <a:xfrm>
                            <a:off x="1771446" y="1839990"/>
                            <a:ext cx="1482737" cy="284110"/>
                          </a:xfrm>
                          <a:prstGeom prst="rect">
                            <a:avLst/>
                          </a:prstGeom>
                        </pic:spPr>
                      </pic:pic>
                      <pic:pic>
                        <pic:nvPicPr>
                          <pic:cNvPr id="359" name="Image 359"/>
                          <pic:cNvPicPr/>
                        </pic:nvPicPr>
                        <pic:blipFill>
                          <a:blip r:embed="rId83" cstate="print"/>
                          <a:stretch>
                            <a:fillRect/>
                          </a:stretch>
                        </pic:blipFill>
                        <pic:spPr>
                          <a:xfrm>
                            <a:off x="411098" y="1428509"/>
                            <a:ext cx="832129" cy="174382"/>
                          </a:xfrm>
                          <a:prstGeom prst="rect">
                            <a:avLst/>
                          </a:prstGeom>
                        </pic:spPr>
                      </pic:pic>
                      <pic:pic>
                        <pic:nvPicPr>
                          <pic:cNvPr id="360" name="Image 360"/>
                          <pic:cNvPicPr/>
                        </pic:nvPicPr>
                        <pic:blipFill>
                          <a:blip r:embed="rId84" cstate="print"/>
                          <a:stretch>
                            <a:fillRect/>
                          </a:stretch>
                        </pic:blipFill>
                        <pic:spPr>
                          <a:xfrm>
                            <a:off x="4082199" y="275590"/>
                            <a:ext cx="912469" cy="192722"/>
                          </a:xfrm>
                          <a:prstGeom prst="rect">
                            <a:avLst/>
                          </a:prstGeom>
                        </pic:spPr>
                      </pic:pic>
                      <pic:pic>
                        <pic:nvPicPr>
                          <pic:cNvPr id="361" name="Image 361"/>
                          <pic:cNvPicPr/>
                        </pic:nvPicPr>
                        <pic:blipFill>
                          <a:blip r:embed="rId85" cstate="print"/>
                          <a:stretch>
                            <a:fillRect/>
                          </a:stretch>
                        </pic:blipFill>
                        <pic:spPr>
                          <a:xfrm>
                            <a:off x="4081233" y="495820"/>
                            <a:ext cx="909739" cy="190906"/>
                          </a:xfrm>
                          <a:prstGeom prst="rect">
                            <a:avLst/>
                          </a:prstGeom>
                        </pic:spPr>
                      </pic:pic>
                      <pic:pic>
                        <pic:nvPicPr>
                          <pic:cNvPr id="362" name="Image 362"/>
                          <pic:cNvPicPr/>
                        </pic:nvPicPr>
                        <pic:blipFill>
                          <a:blip r:embed="rId86" cstate="print"/>
                          <a:stretch>
                            <a:fillRect/>
                          </a:stretch>
                        </pic:blipFill>
                        <pic:spPr>
                          <a:xfrm>
                            <a:off x="1399590" y="489725"/>
                            <a:ext cx="2348344" cy="82219"/>
                          </a:xfrm>
                          <a:prstGeom prst="rect">
                            <a:avLst/>
                          </a:prstGeom>
                        </pic:spPr>
                      </pic:pic>
                      <wps:wsp>
                        <wps:cNvPr id="363" name="Textbox 363"/>
                        <wps:cNvSpPr txBox="1"/>
                        <wps:spPr>
                          <a:xfrm>
                            <a:off x="334772" y="175389"/>
                            <a:ext cx="2077085" cy="112395"/>
                          </a:xfrm>
                          <a:prstGeom prst="rect">
                            <a:avLst/>
                          </a:prstGeom>
                        </wps:spPr>
                        <wps:txbx>
                          <w:txbxContent>
                            <w:p>
                              <w:pPr>
                                <w:spacing w:line="177" w:lineRule="exact" w:before="0"/>
                                <w:ind w:left="0" w:right="0" w:firstLine="0"/>
                                <w:jc w:val="left"/>
                                <w:rPr>
                                  <w:rFonts w:ascii="Arial" w:hAnsi="Arial"/>
                                  <w:b/>
                                  <w:sz w:val="16"/>
                                </w:rPr>
                              </w:pPr>
                              <w:r>
                                <w:rPr>
                                  <w:rFonts w:ascii="Arial" w:hAnsi="Arial"/>
                                  <w:b/>
                                  <w:color w:val="231F1F"/>
                                  <w:sz w:val="16"/>
                                </w:rPr>
                                <w:t>Prolongación</w:t>
                              </w:r>
                              <w:r>
                                <w:rPr>
                                  <w:rFonts w:ascii="Arial" w:hAnsi="Arial"/>
                                  <w:b/>
                                  <w:color w:val="231F1F"/>
                                  <w:spacing w:val="1"/>
                                  <w:sz w:val="16"/>
                                </w:rPr>
                                <w:t> </w:t>
                              </w:r>
                              <w:r>
                                <w:rPr>
                                  <w:rFonts w:ascii="Arial" w:hAnsi="Arial"/>
                                  <w:b/>
                                  <w:color w:val="231F1F"/>
                                  <w:sz w:val="16"/>
                                </w:rPr>
                                <w:t>de la primera etapa</w:t>
                              </w:r>
                              <w:r>
                                <w:rPr>
                                  <w:rFonts w:ascii="Arial" w:hAnsi="Arial"/>
                                  <w:b/>
                                  <w:color w:val="231F1F"/>
                                  <w:spacing w:val="-5"/>
                                  <w:sz w:val="16"/>
                                </w:rPr>
                                <w:t> </w:t>
                              </w:r>
                              <w:r>
                                <w:rPr>
                                  <w:rFonts w:ascii="Arial" w:hAnsi="Arial"/>
                                  <w:b/>
                                  <w:color w:val="231F1F"/>
                                  <w:sz w:val="16"/>
                                </w:rPr>
                                <w:t>del</w:t>
                              </w:r>
                              <w:r>
                                <w:rPr>
                                  <w:rFonts w:ascii="Arial" w:hAnsi="Arial"/>
                                  <w:b/>
                                  <w:color w:val="231F1F"/>
                                  <w:spacing w:val="1"/>
                                  <w:sz w:val="16"/>
                                </w:rPr>
                                <w:t> </w:t>
                              </w:r>
                              <w:r>
                                <w:rPr>
                                  <w:rFonts w:ascii="Arial" w:hAnsi="Arial"/>
                                  <w:b/>
                                  <w:color w:val="231F1F"/>
                                  <w:spacing w:val="-2"/>
                                  <w:sz w:val="16"/>
                                </w:rPr>
                                <w:t>parto</w:t>
                              </w:r>
                            </w:p>
                          </w:txbxContent>
                        </wps:txbx>
                        <wps:bodyPr wrap="square" lIns="0" tIns="0" rIns="0" bIns="0" rtlCol="0">
                          <a:noAutofit/>
                        </wps:bodyPr>
                      </wps:wsp>
                      <wps:wsp>
                        <wps:cNvPr id="364" name="Textbox 364"/>
                        <wps:cNvSpPr txBox="1"/>
                        <wps:spPr>
                          <a:xfrm>
                            <a:off x="1764283" y="1384291"/>
                            <a:ext cx="808990" cy="99060"/>
                          </a:xfrm>
                          <a:prstGeom prst="rect">
                            <a:avLst/>
                          </a:prstGeom>
                        </wps:spPr>
                        <wps:txbx>
                          <w:txbxContent>
                            <w:p>
                              <w:pPr>
                                <w:spacing w:line="156" w:lineRule="exact" w:before="0"/>
                                <w:ind w:left="0" w:right="0" w:firstLine="0"/>
                                <w:jc w:val="left"/>
                                <w:rPr>
                                  <w:rFonts w:ascii="Arial MT" w:hAnsi="Arial MT"/>
                                  <w:sz w:val="14"/>
                                </w:rPr>
                              </w:pPr>
                              <w:r>
                                <w:rPr>
                                  <w:rFonts w:ascii="Arial MT" w:hAnsi="Arial MT"/>
                                  <w:color w:val="231F1F"/>
                                  <w:sz w:val="14"/>
                                </w:rPr>
                                <w:t>Considerar</w:t>
                              </w:r>
                              <w:r>
                                <w:rPr>
                                  <w:rFonts w:ascii="Arial MT" w:hAnsi="Arial MT"/>
                                  <w:color w:val="231F1F"/>
                                  <w:spacing w:val="-7"/>
                                  <w:sz w:val="14"/>
                                </w:rPr>
                                <w:t> </w:t>
                              </w:r>
                              <w:r>
                                <w:rPr>
                                  <w:rFonts w:ascii="Arial MT" w:hAnsi="Arial MT"/>
                                  <w:color w:val="231F1F"/>
                                  <w:spacing w:val="-2"/>
                                  <w:sz w:val="14"/>
                                </w:rPr>
                                <w:t>también:</w:t>
                              </w:r>
                            </w:p>
                          </w:txbxContent>
                        </wps:txbx>
                        <wps:bodyPr wrap="square" lIns="0" tIns="0" rIns="0" bIns="0" rtlCol="0">
                          <a:noAutofit/>
                        </wps:bodyPr>
                      </wps:wsp>
                      <wps:wsp>
                        <wps:cNvPr id="365" name="Textbox 365"/>
                        <wps:cNvSpPr txBox="1"/>
                        <wps:spPr>
                          <a:xfrm>
                            <a:off x="1922779" y="2877811"/>
                            <a:ext cx="284480" cy="99060"/>
                          </a:xfrm>
                          <a:prstGeom prst="rect">
                            <a:avLst/>
                          </a:prstGeom>
                        </wps:spPr>
                        <wps:txbx>
                          <w:txbxContent>
                            <w:p>
                              <w:pPr>
                                <w:spacing w:line="156" w:lineRule="exact" w:before="0"/>
                                <w:ind w:left="0" w:right="0" w:firstLine="0"/>
                                <w:jc w:val="left"/>
                                <w:rPr>
                                  <w:rFonts w:ascii="Arial MT" w:hAnsi="Arial MT"/>
                                  <w:sz w:val="14"/>
                                </w:rPr>
                              </w:pPr>
                              <w:r>
                                <w:rPr>
                                  <w:rFonts w:ascii="Arial MT" w:hAnsi="Arial MT"/>
                                  <w:color w:val="231F1F"/>
                                  <w:spacing w:val="-2"/>
                                  <w:sz w:val="14"/>
                                </w:rPr>
                                <w:t>Íntegra</w:t>
                              </w:r>
                            </w:p>
                          </w:txbxContent>
                        </wps:txbx>
                        <wps:bodyPr wrap="square" lIns="0" tIns="0" rIns="0" bIns="0" rtlCol="0">
                          <a:noAutofit/>
                        </wps:bodyPr>
                      </wps:wsp>
                      <wps:wsp>
                        <wps:cNvPr id="366" name="Textbox 366"/>
                        <wps:cNvSpPr txBox="1"/>
                        <wps:spPr>
                          <a:xfrm>
                            <a:off x="3178555" y="2877811"/>
                            <a:ext cx="189865" cy="99060"/>
                          </a:xfrm>
                          <a:prstGeom prst="rect">
                            <a:avLst/>
                          </a:prstGeom>
                        </wps:spPr>
                        <wps:txbx>
                          <w:txbxContent>
                            <w:p>
                              <w:pPr>
                                <w:spacing w:line="156" w:lineRule="exact" w:before="0"/>
                                <w:ind w:left="0" w:right="0" w:firstLine="0"/>
                                <w:jc w:val="left"/>
                                <w:rPr>
                                  <w:rFonts w:ascii="Arial MT"/>
                                  <w:sz w:val="14"/>
                                </w:rPr>
                              </w:pPr>
                              <w:r>
                                <w:rPr>
                                  <w:rFonts w:ascii="Arial MT"/>
                                  <w:color w:val="231F1F"/>
                                  <w:spacing w:val="-4"/>
                                  <w:sz w:val="14"/>
                                </w:rPr>
                                <w:t>Rota</w:t>
                              </w:r>
                            </w:p>
                          </w:txbxContent>
                        </wps:txbx>
                        <wps:bodyPr wrap="square" lIns="0" tIns="0" rIns="0" bIns="0" rtlCol="0">
                          <a:noAutofit/>
                        </wps:bodyPr>
                      </wps:wsp>
                      <wps:wsp>
                        <wps:cNvPr id="367" name="Textbox 367"/>
                        <wps:cNvSpPr txBox="1"/>
                        <wps:spPr>
                          <a:xfrm>
                            <a:off x="429259" y="3444738"/>
                            <a:ext cx="956310" cy="315595"/>
                          </a:xfrm>
                          <a:prstGeom prst="rect">
                            <a:avLst/>
                          </a:prstGeom>
                        </wps:spPr>
                        <wps:txbx>
                          <w:txbxContent>
                            <w:p>
                              <w:pPr>
                                <w:spacing w:line="254" w:lineRule="auto" w:before="0"/>
                                <w:ind w:left="0" w:right="18" w:firstLine="0"/>
                                <w:jc w:val="left"/>
                                <w:rPr>
                                  <w:rFonts w:ascii="Arial MT" w:hAnsi="Arial MT"/>
                                  <w:sz w:val="14"/>
                                </w:rPr>
                              </w:pPr>
                              <w:r>
                                <w:rPr>
                                  <w:rFonts w:ascii="Arial MT" w:hAnsi="Arial MT"/>
                                  <w:color w:val="FFFFFF"/>
                                  <w:sz w:val="14"/>
                                </w:rPr>
                                <w:t>Puede hacer que las</w:t>
                              </w:r>
                              <w:r>
                                <w:rPr>
                                  <w:rFonts w:ascii="Arial MT" w:hAnsi="Arial MT"/>
                                  <w:color w:val="FFFFFF"/>
                                  <w:spacing w:val="40"/>
                                  <w:sz w:val="14"/>
                                </w:rPr>
                                <w:t> </w:t>
                              </w:r>
                              <w:r>
                                <w:rPr>
                                  <w:rFonts w:ascii="Arial MT" w:hAnsi="Arial MT"/>
                                  <w:color w:val="FFFFFF"/>
                                  <w:spacing w:val="-2"/>
                                  <w:sz w:val="14"/>
                                </w:rPr>
                                <w:t>contracciones</w:t>
                              </w:r>
                              <w:r>
                                <w:rPr>
                                  <w:rFonts w:ascii="Arial MT" w:hAnsi="Arial MT"/>
                                  <w:color w:val="FFFFFF"/>
                                  <w:spacing w:val="-8"/>
                                  <w:sz w:val="14"/>
                                </w:rPr>
                                <w:t> </w:t>
                              </w:r>
                              <w:r>
                                <w:rPr>
                                  <w:rFonts w:ascii="Arial MT" w:hAnsi="Arial MT"/>
                                  <w:color w:val="FFFFFF"/>
                                  <w:spacing w:val="-2"/>
                                  <w:sz w:val="14"/>
                                </w:rPr>
                                <w:t>sean</w:t>
                              </w:r>
                              <w:r>
                                <w:rPr>
                                  <w:rFonts w:ascii="Arial MT" w:hAnsi="Arial MT"/>
                                  <w:color w:val="FFFFFF"/>
                                  <w:spacing w:val="-11"/>
                                  <w:sz w:val="14"/>
                                </w:rPr>
                                <w:t> </w:t>
                              </w:r>
                              <w:r>
                                <w:rPr>
                                  <w:rFonts w:ascii="Arial MT" w:hAnsi="Arial MT"/>
                                  <w:color w:val="FFFFFF"/>
                                  <w:spacing w:val="-2"/>
                                  <w:sz w:val="14"/>
                                </w:rPr>
                                <w:t>más</w:t>
                              </w:r>
                              <w:r>
                                <w:rPr>
                                  <w:rFonts w:ascii="Arial MT" w:hAnsi="Arial MT"/>
                                  <w:color w:val="FFFFFF"/>
                                  <w:spacing w:val="40"/>
                                  <w:sz w:val="14"/>
                                </w:rPr>
                                <w:t> </w:t>
                              </w:r>
                              <w:r>
                                <w:rPr>
                                  <w:rFonts w:ascii="Arial MT" w:hAnsi="Arial MT"/>
                                  <w:color w:val="FFFFFF"/>
                                  <w:sz w:val="14"/>
                                </w:rPr>
                                <w:t>intensas y dolorosas.</w:t>
                              </w:r>
                            </w:p>
                          </w:txbxContent>
                        </wps:txbx>
                        <wps:bodyPr wrap="square" lIns="0" tIns="0" rIns="0" bIns="0" rtlCol="0">
                          <a:noAutofit/>
                        </wps:bodyPr>
                      </wps:wsp>
                      <wps:wsp>
                        <wps:cNvPr id="368" name="Textbox 368"/>
                        <wps:cNvSpPr txBox="1"/>
                        <wps:spPr>
                          <a:xfrm>
                            <a:off x="3964940" y="5392411"/>
                            <a:ext cx="994410" cy="99060"/>
                          </a:xfrm>
                          <a:prstGeom prst="rect">
                            <a:avLst/>
                          </a:prstGeom>
                        </wps:spPr>
                        <wps:txbx>
                          <w:txbxContent>
                            <w:p>
                              <w:pPr>
                                <w:spacing w:line="156" w:lineRule="exact" w:before="0"/>
                                <w:ind w:left="0" w:right="0" w:firstLine="0"/>
                                <w:jc w:val="left"/>
                                <w:rPr>
                                  <w:rFonts w:ascii="Arial MT"/>
                                  <w:sz w:val="14"/>
                                </w:rPr>
                              </w:pPr>
                              <w:r>
                                <w:rPr>
                                  <w:rFonts w:ascii="Arial MT"/>
                                  <w:color w:val="FFFFFF"/>
                                  <w:sz w:val="14"/>
                                </w:rPr>
                                <w:t>La</w:t>
                              </w:r>
                              <w:r>
                                <w:rPr>
                                  <w:rFonts w:ascii="Arial MT"/>
                                  <w:color w:val="FFFFFF"/>
                                  <w:spacing w:val="-6"/>
                                  <w:sz w:val="14"/>
                                </w:rPr>
                                <w:t> </w:t>
                              </w:r>
                              <w:r>
                                <w:rPr>
                                  <w:rFonts w:ascii="Arial MT"/>
                                  <w:color w:val="FFFFFF"/>
                                  <w:sz w:val="14"/>
                                </w:rPr>
                                <w:t>MCFCF</w:t>
                              </w:r>
                              <w:r>
                                <w:rPr>
                                  <w:rFonts w:ascii="Arial MT"/>
                                  <w:color w:val="FFFFFF"/>
                                  <w:spacing w:val="-3"/>
                                  <w:sz w:val="14"/>
                                </w:rPr>
                                <w:t> </w:t>
                              </w:r>
                              <w:r>
                                <w:rPr>
                                  <w:rFonts w:ascii="Arial MT"/>
                                  <w:color w:val="FFFFFF"/>
                                  <w:sz w:val="14"/>
                                </w:rPr>
                                <w:t>es</w:t>
                              </w:r>
                              <w:r>
                                <w:rPr>
                                  <w:rFonts w:ascii="Arial MT"/>
                                  <w:color w:val="FFFFFF"/>
                                  <w:spacing w:val="3"/>
                                  <w:sz w:val="14"/>
                                </w:rPr>
                                <w:t> </w:t>
                              </w:r>
                              <w:r>
                                <w:rPr>
                                  <w:rFonts w:ascii="Arial MT"/>
                                  <w:color w:val="FFFFFF"/>
                                  <w:spacing w:val="-2"/>
                                  <w:sz w:val="14"/>
                                </w:rPr>
                                <w:t>necesaria.</w:t>
                              </w:r>
                            </w:p>
                          </w:txbxContent>
                        </wps:txbx>
                        <wps:bodyPr wrap="square" lIns="0" tIns="0" rIns="0" bIns="0" rtlCol="0">
                          <a:noAutofit/>
                        </wps:bodyPr>
                      </wps:wsp>
                      <wps:wsp>
                        <wps:cNvPr id="369" name="Textbox 369"/>
                        <wps:cNvSpPr txBox="1"/>
                        <wps:spPr>
                          <a:xfrm>
                            <a:off x="365252" y="6809730"/>
                            <a:ext cx="775970" cy="208915"/>
                          </a:xfrm>
                          <a:prstGeom prst="rect">
                            <a:avLst/>
                          </a:prstGeom>
                        </wps:spPr>
                        <wps:txbx>
                          <w:txbxContent>
                            <w:p>
                              <w:pPr>
                                <w:spacing w:line="256" w:lineRule="auto" w:before="0"/>
                                <w:ind w:left="206" w:right="18" w:hanging="207"/>
                                <w:jc w:val="left"/>
                                <w:rPr>
                                  <w:rFonts w:ascii="Arial MT" w:hAnsi="Arial MT"/>
                                  <w:sz w:val="14"/>
                                </w:rPr>
                              </w:pPr>
                              <w:r>
                                <w:rPr>
                                  <w:rFonts w:ascii="Arial MT" w:hAnsi="Arial MT"/>
                                  <w:color w:val="231F1F"/>
                                  <w:spacing w:val="-2"/>
                                  <w:sz w:val="14"/>
                                </w:rPr>
                                <w:t>Exploración</w:t>
                              </w:r>
                              <w:r>
                                <w:rPr>
                                  <w:rFonts w:ascii="Arial MT" w:hAnsi="Arial MT"/>
                                  <w:color w:val="231F1F"/>
                                  <w:spacing w:val="-14"/>
                                  <w:sz w:val="14"/>
                                </w:rPr>
                                <w:t> </w:t>
                              </w:r>
                              <w:r>
                                <w:rPr>
                                  <w:rFonts w:ascii="Arial MT" w:hAnsi="Arial MT"/>
                                  <w:color w:val="231F1F"/>
                                  <w:spacing w:val="-2"/>
                                  <w:sz w:val="14"/>
                                </w:rPr>
                                <w:t>vaginal</w:t>
                              </w:r>
                              <w:r>
                                <w:rPr>
                                  <w:rFonts w:ascii="Arial MT" w:hAnsi="Arial MT"/>
                                  <w:color w:val="231F1F"/>
                                  <w:spacing w:val="40"/>
                                  <w:sz w:val="14"/>
                                </w:rPr>
                                <w:t> </w:t>
                              </w:r>
                              <w:r>
                                <w:rPr>
                                  <w:rFonts w:ascii="Arial MT" w:hAnsi="Arial MT"/>
                                  <w:color w:val="231F1F"/>
                                  <w:sz w:val="14"/>
                                </w:rPr>
                                <w:t>cada 4 horas</w:t>
                              </w:r>
                            </w:p>
                          </w:txbxContent>
                        </wps:txbx>
                        <wps:bodyPr wrap="square" lIns="0" tIns="0" rIns="0" bIns="0" rtlCol="0">
                          <a:noAutofit/>
                        </wps:bodyPr>
                      </wps:wsp>
                      <wps:wsp>
                        <wps:cNvPr id="370" name="Textbox 370"/>
                        <wps:cNvSpPr txBox="1"/>
                        <wps:spPr>
                          <a:xfrm>
                            <a:off x="2712211" y="6791442"/>
                            <a:ext cx="768985" cy="99060"/>
                          </a:xfrm>
                          <a:prstGeom prst="rect">
                            <a:avLst/>
                          </a:prstGeom>
                        </wps:spPr>
                        <wps:txbx>
                          <w:txbxContent>
                            <w:p>
                              <w:pPr>
                                <w:spacing w:line="156" w:lineRule="exact" w:before="0"/>
                                <w:ind w:left="0" w:right="0" w:firstLine="0"/>
                                <w:jc w:val="left"/>
                                <w:rPr>
                                  <w:rFonts w:ascii="Arial MT" w:hAnsi="Arial MT"/>
                                  <w:sz w:val="14"/>
                                </w:rPr>
                              </w:pPr>
                              <w:r>
                                <w:rPr>
                                  <w:rFonts w:ascii="Arial MT" w:hAnsi="Arial MT"/>
                                  <w:color w:val="231F1F"/>
                                  <w:spacing w:val="-2"/>
                                  <w:sz w:val="14"/>
                                </w:rPr>
                                <w:t>Considerar</w:t>
                              </w:r>
                              <w:r>
                                <w:rPr>
                                  <w:rFonts w:ascii="Arial MT" w:hAnsi="Arial MT"/>
                                  <w:color w:val="231F1F"/>
                                  <w:spacing w:val="-6"/>
                                  <w:sz w:val="14"/>
                                </w:rPr>
                                <w:t> </w:t>
                              </w:r>
                              <w:r>
                                <w:rPr>
                                  <w:rFonts w:ascii="Arial MT" w:hAnsi="Arial MT"/>
                                  <w:color w:val="231F1F"/>
                                  <w:spacing w:val="-2"/>
                                  <w:sz w:val="14"/>
                                </w:rPr>
                                <w:t>cesárea</w:t>
                              </w:r>
                            </w:p>
                          </w:txbxContent>
                        </wps:txbx>
                        <wps:bodyPr wrap="square" lIns="0" tIns="0" rIns="0" bIns="0" rtlCol="0">
                          <a:noAutofit/>
                        </wps:bodyPr>
                      </wps:wsp>
                    </wpg:wgp>
                  </a:graphicData>
                </a:graphic>
              </wp:anchor>
            </w:drawing>
          </mc:Choice>
          <mc:Fallback>
            <w:pict>
              <v:group style="position:absolute;margin-left:85pt;margin-top:15.19541pt;width:425.7pt;height:568.75pt;mso-position-horizontal-relative:page;mso-position-vertical-relative:paragraph;z-index:-15655424;mso-wrap-distance-left:0;mso-wrap-distance-right:0" id="docshapegroup217" coordorigin="1700,304" coordsize="8514,11375">
                <v:shape style="position:absolute;left:2183;top:4843;width:1817;height:1676" id="docshape218" coordorigin="2184,4843" coordsize="1817,1676" path="m3784,4843l2400,4843,2331,4854,2272,4885,2225,4932,2195,4991,2184,5059,2184,6302,2195,6371,2225,6430,2272,6477,2331,6507,2400,6518,3784,6518,3853,6507,3912,6477,3959,6430,3989,6371,4000,6302,4000,5059,3989,4991,3959,4932,3912,4885,3853,4854,3784,4843xe" filled="true" fillcolor="#b34160" stroked="false">
                  <v:path arrowok="t"/>
                  <v:fill type="solid"/>
                </v:shape>
                <v:shape style="position:absolute;left:2183;top:4843;width:1817;height:1676" id="docshape219" coordorigin="2184,4843" coordsize="1817,1676" path="m4000,6302l3989,6371,3959,6430,3912,6477,3853,6507,3784,6518,2400,6518,2331,6507,2272,6477,2225,6430,2195,6371,2184,6302,2184,5059,2195,4991,2225,4932,2272,4885,2331,4854,2400,4843,3784,4843,3853,4854,3912,4885,3959,4932,3989,4991,4000,5059,4000,6302xe" filled="false" stroked="true" strokeweight=".27pt" strokecolor="#231f1f">
                  <v:path arrowok="t"/>
                  <v:stroke dashstyle="solid"/>
                </v:shape>
                <v:shape style="position:absolute;left:7969;top:655;width:1764;height:808" id="docshape220" coordorigin="7969,655" coordsize="1764,808" path="m9517,655l8185,655,8117,666,8058,697,8011,744,7980,803,7969,871,7969,1247,7980,1316,8011,1375,8058,1422,8117,1452,8185,1463,9517,1463,9585,1452,9644,1422,9691,1375,9722,1316,9733,1247,9733,871,9722,803,9691,744,9644,697,9585,666,9517,655xe" filled="true" fillcolor="#b34160" stroked="false">
                  <v:path arrowok="t"/>
                  <v:fill type="solid"/>
                </v:shape>
                <v:shape style="position:absolute;left:7969;top:655;width:1764;height:808" id="docshape221" coordorigin="7969,655" coordsize="1764,808" path="m9733,1247l9722,1316,9691,1375,9644,1422,9585,1452,9517,1463,8185,1463,8117,1452,8058,1422,8011,1375,7980,1316,7969,1247,7969,871,7980,803,8011,744,8058,697,8117,666,8185,655,9517,655,9585,666,9644,697,9691,744,9722,803,9733,871,9733,1247xe" filled="false" stroked="true" strokeweight=".27pt" strokecolor="#231f1f">
                  <v:path arrowok="t"/>
                  <v:stroke dashstyle="solid"/>
                </v:shape>
                <v:shape style="position:absolute;left:7852;top:7301;width:1783;height:3537" id="docshape222" coordorigin="7852,7302" coordsize="1783,3537" path="m9418,7302l8068,7302,8000,7313,7940,7343,7894,7390,7863,7449,7852,7518,7852,10622,7863,10690,7894,10750,7940,10796,8000,10827,8068,10838,9418,10838,9487,10827,9546,10796,9593,10750,9623,10690,9634,10622,9634,7518,9623,7449,9593,7390,9546,7343,9487,7313,9418,7302xe" filled="true" fillcolor="#b34160" stroked="false">
                  <v:path arrowok="t"/>
                  <v:fill type="solid"/>
                </v:shape>
                <v:shape style="position:absolute;left:7852;top:7301;width:1783;height:3537" id="docshape223" coordorigin="7852,7302" coordsize="1783,3537" path="m9634,10622l9623,10690,9593,10750,9546,10796,9487,10827,9418,10838,8068,10838,8000,10827,7940,10796,7894,10750,7863,10690,7852,10622,7852,7518,7863,7449,7894,7390,7940,7343,8000,7313,8068,7302,9418,7302,9487,7313,9546,7343,9593,7390,9623,7449,9634,7518,9634,10622xe" filled="false" stroked="true" strokeweight=".27pt" strokecolor="#231f1f">
                  <v:path arrowok="t"/>
                  <v:stroke dashstyle="solid"/>
                </v:shape>
                <v:shape style="position:absolute;left:3766;top:929;width:4086;height:369" id="docshape224" coordorigin="3766,930" coordsize="4086,369" path="m7668,930l3951,930,3879,944,3820,984,3781,1043,3766,1114,3781,1186,3820,1245,3879,1284,3951,1299,7668,1299,7740,1284,7798,1245,7838,1186,7852,1114,7838,1043,7798,984,7740,944,7668,930xe" filled="true" fillcolor="#d1d3d4" stroked="false">
                  <v:path arrowok="t"/>
                  <v:fill type="solid"/>
                </v:shape>
                <v:shape style="position:absolute;left:3766;top:929;width:4086;height:369" id="docshape225" coordorigin="3766,930" coordsize="4086,369" path="m7852,1114l7838,1186,7798,1245,7740,1284,7668,1299,3951,1299,3879,1284,3820,1245,3781,1186,3766,1114,3781,1043,3820,984,3879,944,3951,930,7668,930,7740,944,7798,984,7838,1043,7852,1114xe" filled="false" stroked="true" strokeweight=".27pt" strokecolor="#231f1f">
                  <v:path arrowok="t"/>
                  <v:stroke dashstyle="solid"/>
                </v:shape>
                <v:shape style="position:absolute;left:2224;top:2465;width:1564;height:450" id="docshape226" coordorigin="2225,2465" coordsize="1564,450" path="m3573,2465l2441,2465,2373,2476,2313,2507,2266,2554,2236,2613,2225,2681,2225,2699,2236,2767,2266,2826,2313,2873,2373,2904,2441,2915,3573,2915,3641,2904,3700,2873,3747,2826,3778,2767,3789,2699,3789,2681,3778,2613,3747,2554,3700,2507,3641,2476,3573,2465xe" filled="true" fillcolor="#d1d3d4" stroked="false">
                  <v:path arrowok="t"/>
                  <v:fill type="solid"/>
                </v:shape>
                <v:shape style="position:absolute;left:2224;top:2465;width:1564;height:450" id="docshape227" coordorigin="2225,2465" coordsize="1564,450" path="m3789,2699l3778,2767,3747,2826,3700,2873,3641,2904,3573,2915,2441,2915,2372,2904,2313,2873,2266,2826,2236,2767,2225,2699,2225,2681,2236,2613,2266,2554,2313,2507,2372,2476,2441,2465,3573,2465,3641,2476,3700,2507,3747,2554,3778,2613,3789,2681,3789,2699xe" filled="false" stroked="true" strokeweight=".27pt" strokecolor="#231f1f">
                  <v:path arrowok="t"/>
                  <v:stroke dashstyle="solid"/>
                </v:shape>
                <v:shape style="position:absolute;left:4315;top:2404;width:3276;height:1387" id="docshape228" coordorigin="4316,2405" coordsize="3276,1387" path="m7375,2405l4532,2405,4463,2416,4404,2447,4357,2493,4327,2553,4316,2621,4316,3576,4327,3644,4357,3703,4404,3750,4463,3781,4532,3792,7375,3792,7444,3781,7503,3750,7550,3703,7580,3644,7591,3576,7591,2621,7580,2553,7550,2493,7503,2447,7444,2416,7375,2405xe" filled="true" fillcolor="#d1d3d4" stroked="false">
                  <v:path arrowok="t"/>
                  <v:fill type="solid"/>
                </v:shape>
                <v:shape style="position:absolute;left:4315;top:2404;width:3276;height:1387" id="docshape229" coordorigin="4316,2405" coordsize="3276,1387" path="m7591,3576l7580,3644,7550,3703,7503,3750,7444,3781,7375,3792,4532,3792,4463,3781,4404,3750,4357,3703,4327,3644,4316,3576,4316,2621,4327,2553,4357,2493,4404,2447,4463,2416,4532,2405,7375,2405,7444,2416,7503,2447,7550,2493,7580,2553,7591,2621,7591,3576xe" filled="false" stroked="true" strokeweight=".27pt" strokecolor="#231f1f">
                  <v:path arrowok="t"/>
                  <v:stroke dashstyle="solid"/>
                </v:shape>
                <v:shape style="position:absolute;left:8091;top:2461;width:1588;height:629" id="docshape230" coordorigin="8091,2461" coordsize="1588,629" path="m9463,2461l8307,2461,8239,2472,8180,2503,8133,2550,8102,2609,8091,2677,8091,2874,8102,2942,8133,3001,8180,3048,8239,3079,8307,3090,9463,3090,9532,3079,9591,3048,9638,3001,9668,2942,9679,2874,9679,2677,9668,2609,9638,2550,9591,2503,9532,2472,9463,2461xe" filled="true" fillcolor="#d1d3d4" stroked="false">
                  <v:path arrowok="t"/>
                  <v:fill type="solid"/>
                </v:shape>
                <v:shape style="position:absolute;left:8091;top:2461;width:1588;height:629" id="docshape231" coordorigin="8091,2461" coordsize="1588,629" path="m9679,2874l9668,2942,9638,3001,9591,3048,9532,3079,9463,3090,8307,3090,8239,3079,8180,3048,8133,3001,8102,2942,8091,2874,8091,2677,8102,2609,8133,2550,8180,2503,8239,2472,8307,2461,9463,2461,9532,2472,9591,2503,9638,2550,9668,2609,9679,2677,9679,2874xe" filled="false" stroked="true" strokeweight=".27pt" strokecolor="#231f1f">
                  <v:path arrowok="t"/>
                  <v:stroke dashstyle="solid"/>
                </v:shape>
                <v:shape style="position:absolute;left:5050;top:4033;width:1824;height:273" id="docshape232" coordorigin="5050,4033" coordsize="1824,273" path="m6737,4033l5186,4033,5133,4044,5090,4073,5061,4117,5050,4170,5061,4222,5090,4266,5133,4295,5186,4306,6737,4306,6790,4295,6833,4266,6862,4222,6873,4170,6862,4117,6833,4073,6790,4044,6737,4033xe" filled="true" fillcolor="#d1d3d4" stroked="false">
                  <v:path arrowok="t"/>
                  <v:fill type="solid"/>
                </v:shape>
                <v:shape style="position:absolute;left:5050;top:4033;width:1824;height:273" id="docshape233" coordorigin="5050,4033" coordsize="1824,273" path="m6873,4169l6862,4222,6833,4266,6790,4295,6737,4306,5186,4306,5133,4295,5090,4266,5061,4222,5050,4169,5061,4117,5090,4073,5133,4044,5186,4033,6737,4033,6790,4044,6833,4073,6862,4117,6873,4169xe" filled="false" stroked="true" strokeweight=".269921pt" strokecolor="#231f1f">
                  <v:path arrowok="t"/>
                  <v:stroke dashstyle="solid"/>
                </v:shape>
                <v:shape style="position:absolute;left:4669;top:4759;width:653;height:329" id="docshape234" coordorigin="4670,4759" coordsize="653,329" path="m5158,4759l4834,4759,4770,4772,4718,4807,4683,4860,4670,4924,4683,4988,4718,5040,4770,5075,4834,5088,5158,5088,5222,5075,5275,5040,5310,4988,5323,4924,5310,4860,5275,4807,5222,4772,5158,4759xe" filled="true" fillcolor="#d1d3d4" stroked="false">
                  <v:path arrowok="t"/>
                  <v:fill type="solid"/>
                </v:shape>
                <v:shape style="position:absolute;left:4669;top:4759;width:653;height:329" id="docshape235" coordorigin="4670,4759" coordsize="653,329" path="m5323,4924l5310,4988,5275,5040,5222,5075,5158,5088,4834,5088,4770,5075,4718,5040,4683,4988,4670,4924,4683,4860,4718,4807,4770,4772,4834,4759,5158,4759,5222,4772,5275,4807,5310,4860,5323,4924xe" filled="false" stroked="true" strokeweight=".27pt" strokecolor="#231f1f">
                  <v:path arrowok="t"/>
                  <v:stroke dashstyle="solid"/>
                </v:shape>
                <v:shape style="position:absolute;left:6557;top:4759;width:656;height:311" id="docshape236" coordorigin="6558,4759" coordsize="656,311" path="m7058,4759l6713,4759,6652,4771,6603,4805,6570,4854,6558,4914,6570,4975,6603,5024,6652,5057,6713,5069,7058,5069,7119,5057,7168,5024,7201,4975,7214,4914,7201,4854,7168,4805,7119,4771,7058,4759xe" filled="true" fillcolor="#d1d3d4" stroked="false">
                  <v:path arrowok="t"/>
                  <v:fill type="solid"/>
                </v:shape>
                <v:shape style="position:absolute;left:6557;top:4759;width:656;height:311" id="docshape237" coordorigin="6558,4759" coordsize="656,311" path="m7214,4914l7201,4975,7168,5024,7119,5057,7058,5069,6713,5069,6652,5057,6603,5024,6570,4975,6558,4914,6570,4854,6603,4805,6652,4771,6713,4759,7058,4759,7119,4771,7168,4805,7201,4854,7214,4914xe" filled="false" stroked="true" strokeweight=".27pt" strokecolor="#231f1f">
                  <v:path arrowok="t"/>
                  <v:stroke dashstyle="solid"/>
                </v:shape>
                <v:shape style="position:absolute;left:4523;top:5540;width:916;height:277" id="docshape238" coordorigin="4523,5541" coordsize="916,277" path="m5301,5541l4661,5541,4607,5552,4563,5581,4534,5625,4523,5679,4534,5733,4563,5777,4607,5807,4661,5817,5301,5817,5354,5807,5398,5777,5428,5733,5439,5679,5428,5625,5398,5581,5354,5552,5301,5541xe" filled="true" fillcolor="#d1d3d4" stroked="false">
                  <v:path arrowok="t"/>
                  <v:fill type="solid"/>
                </v:shape>
                <v:shape style="position:absolute;left:4523;top:5540;width:916;height:277" id="docshape239" coordorigin="4523,5541" coordsize="916,277" path="m5439,5679l5428,5733,5398,5777,5354,5807,5301,5817,4661,5817,4607,5807,4563,5777,4534,5733,4523,5679,4534,5625,4563,5581,4607,5552,4661,5541,5301,5541,5354,5552,5398,5581,5428,5625,5439,5679xe" filled="false" stroked="true" strokeweight=".27pt" strokecolor="#231f1f">
                  <v:path arrowok="t"/>
                  <v:stroke dashstyle="solid"/>
                </v:shape>
                <v:shape style="position:absolute;left:4216;top:6495;width:1569;height:437" id="docshape240" coordorigin="4216,6496" coordsize="1569,437" path="m5568,6496l4432,6496,4364,6507,4305,6537,4258,6584,4227,6643,4216,6712,4216,6716,4227,6784,4258,6843,4305,6890,4364,6921,4432,6932,5568,6932,5637,6921,5696,6890,5743,6843,5773,6784,5784,6716,5784,6712,5773,6643,5743,6584,5696,6537,5637,6507,5568,6496xe" filled="true" fillcolor="#d1d3d4" stroked="false">
                  <v:path arrowok="t"/>
                  <v:fill type="solid"/>
                </v:shape>
                <v:shape style="position:absolute;left:4216;top:6495;width:1569;height:437" id="docshape241" coordorigin="4216,6496" coordsize="1569,437" path="m5784,6716l5773,6784,5743,6843,5696,6890,5637,6921,5568,6932,4432,6932,4364,6921,4305,6890,4258,6843,4227,6784,4216,6716,4216,6712,4227,6643,4258,6584,4305,6537,4364,6507,4432,6496,5568,6496,5637,6507,5696,6537,5743,6584,5773,6643,5784,6712,5784,6716xe" filled="false" stroked="true" strokeweight=".27pt" strokecolor="#231f1f">
                  <v:path arrowok="t"/>
                  <v:stroke dashstyle="solid"/>
                </v:shape>
                <v:shape style="position:absolute;left:3347;top:7618;width:1283;height:432" id="docshape242" coordorigin="3348,7619" coordsize="1283,432" path="m4414,7619l3564,7619,3496,7630,3436,7660,3390,7707,3359,7766,3348,7835,3359,7903,3390,7962,3436,8009,3496,8040,3564,8051,4414,8051,4483,8040,4542,8009,4589,7962,4619,7903,4630,7835,4619,7766,4589,7707,4542,7660,4483,7630,4414,7619xe" filled="true" fillcolor="#d1d3d4" stroked="false">
                  <v:path arrowok="t"/>
                  <v:fill type="solid"/>
                </v:shape>
                <v:shape style="position:absolute;left:3347;top:7618;width:1283;height:432" id="docshape243" coordorigin="3348,7619" coordsize="1283,432" path="m4630,7835l4619,7903,4589,7962,4542,8009,4483,8040,4414,8051,3564,8051,3496,8040,3436,8009,3390,7962,3359,7903,3348,7835,3359,7766,3390,7707,3436,7660,3496,7630,3564,7619,4414,7619,4483,7630,4542,7660,4589,7707,4619,7766,4630,7835xe" filled="false" stroked="true" strokeweight=".269921pt" strokecolor="#231f1f">
                  <v:path arrowok="t"/>
                  <v:stroke dashstyle="solid"/>
                </v:shape>
                <v:shape style="position:absolute;left:5322;top:7610;width:1262;height:247" id="docshape244" coordorigin="5322,7610" coordsize="1262,247" path="m6461,7610l5445,7610,5397,7620,5358,7646,5332,7685,5322,7733,5332,7781,5358,7820,5397,7847,5445,7856,6461,7856,6508,7847,6548,7820,6574,7781,6584,7733,6574,7685,6548,7646,6508,7620,6461,7610xe" filled="true" fillcolor="#d1d3d4" stroked="false">
                  <v:path arrowok="t"/>
                  <v:fill type="solid"/>
                </v:shape>
                <v:shape style="position:absolute;left:5322;top:7610;width:1262;height:247" id="docshape245" coordorigin="5322,7610" coordsize="1262,247" path="m6584,7733l6574,7781,6548,7820,6508,7847,6461,7856,5445,7856,5397,7847,5358,7820,5332,7781,5322,7733,5332,7685,5358,7646,5397,7620,5445,7610,6461,7610,6508,7620,6548,7646,6574,7685,6584,7733xe" filled="false" stroked="true" strokeweight=".27pt" strokecolor="#231f1f">
                  <v:path arrowok="t"/>
                  <v:stroke dashstyle="solid"/>
                </v:shape>
                <v:shape style="position:absolute;left:6177;top:8720;width:1413;height:273" id="docshape246" coordorigin="6178,8720" coordsize="1413,273" path="m7454,8720l6314,8720,6261,8731,6217,8760,6188,8803,6178,8856,6188,8909,6217,8953,6261,8982,6314,8992,7454,8992,7507,8982,7550,8953,7580,8909,7590,8856,7580,8803,7550,8760,7507,8731,7454,8720xe" filled="true" fillcolor="#d1d3d4" stroked="false">
                  <v:path arrowok="t"/>
                  <v:fill type="solid"/>
                </v:shape>
                <v:shape style="position:absolute;left:6177;top:8720;width:1413;height:273" id="docshape247" coordorigin="6178,8720" coordsize="1413,273" path="m7590,8856l7580,8909,7550,8953,7507,8982,7454,8992,6314,8992,6261,8982,6217,8953,6188,8909,6178,8856,6188,8803,6217,8760,6261,8731,6314,8720,7454,8720,7507,8731,7550,8760,7580,8803,7590,8856xe" filled="false" stroked="true" strokeweight=".27pt" strokecolor="#231f1f">
                  <v:path arrowok="t"/>
                  <v:stroke dashstyle="solid"/>
                </v:shape>
                <v:shape style="position:absolute;left:2245;top:9761;width:5144;height:452" id="docshape248" coordorigin="2245,9761" coordsize="5144,452" path="m7173,9761l2461,9761,2393,9772,2334,9803,2287,9850,2256,9909,2245,9977,2245,9996,2256,10065,2287,10124,2334,10171,2393,10201,2461,10212,7173,10212,7241,10201,7301,10171,7347,10124,7378,10065,7389,9996,7389,9977,7378,9909,7347,9850,7301,9803,7241,9772,7173,9761xe" filled="true" fillcolor="#d1d3d4" stroked="false">
                  <v:path arrowok="t"/>
                  <v:fill type="solid"/>
                </v:shape>
                <v:shape style="position:absolute;left:2245;top:9761;width:5144;height:452" id="docshape249" coordorigin="2245,9761" coordsize="5144,452" path="m7389,9996l7378,10065,7347,10124,7301,10171,7241,10201,7173,10212,2461,10212,2393,10201,2334,10171,2287,10124,2256,10065,2245,9996,2245,9977,2256,9909,2287,9850,2334,9803,2393,9772,2461,9761,7173,9761,7241,9772,7301,9803,7347,9850,7378,9909,7389,9977,7389,9996xe" filled="false" stroked="true" strokeweight=".269921pt" strokecolor="#231f1f">
                  <v:path arrowok="t"/>
                  <v:stroke dashstyle="solid"/>
                </v:shape>
                <v:shape style="position:absolute;left:5800;top:10769;width:1557;height:508" id="docshape250" coordorigin="5800,10770" coordsize="1557,508" path="m7141,10770l6016,10770,5948,10781,5889,10812,5842,10858,5811,10918,5800,10986,5800,11061,5811,11130,5842,11189,5889,11236,5948,11266,6016,11277,7141,11277,7210,11266,7269,11236,7316,11189,7346,11130,7357,11061,7357,10986,7346,10918,7316,10858,7269,10812,7210,10781,7141,10770xe" filled="true" fillcolor="#d1d3d4" stroked="false">
                  <v:path arrowok="t"/>
                  <v:fill type="solid"/>
                </v:shape>
                <v:shape style="position:absolute;left:5800;top:10769;width:1557;height:508" id="docshape251" coordorigin="5800,10770" coordsize="1557,508" path="m7357,11061l7346,11130,7316,11189,7269,11236,7210,11266,7141,11277,6016,11277,5948,11266,5889,11236,5842,11189,5811,11130,5800,11061,5800,10986,5811,10918,5842,10858,5889,10812,5948,10781,6016,10770,7141,10770,7210,10781,7269,10812,7316,10858,7346,10918,7357,10986,7357,11061xe" filled="false" stroked="true" strokeweight=".27pt" strokecolor="#231f1f">
                  <v:path arrowok="t"/>
                  <v:stroke dashstyle="solid"/>
                </v:shape>
                <v:shape style="position:absolute;left:2185;top:10746;width:1491;height:686" id="docshape252" coordorigin="2186,10746" coordsize="1491,686" path="m3460,10746l2402,10746,2334,10757,2274,10788,2228,10835,2197,10894,2186,10962,2186,11216,2197,11284,2228,11344,2274,11390,2334,11421,2402,11432,3460,11432,3529,11421,3588,11390,3635,11344,3665,11284,3676,11216,3676,10962,3665,10894,3635,10835,3588,10788,3529,10757,3460,10746xe" filled="true" fillcolor="#d1d3d4" stroked="false">
                  <v:path arrowok="t"/>
                  <v:fill type="solid"/>
                </v:shape>
                <v:shape style="position:absolute;left:2185;top:10746;width:1491;height:686" id="docshape253" coordorigin="2186,10746" coordsize="1491,686" path="m3676,11216l3665,11284,3635,11344,3588,11390,3529,11421,3460,11432,2402,11432,2334,11421,2274,11390,2228,11344,2197,11284,2186,11216,2186,10962,2197,10894,2228,10835,2274,10788,2334,10757,2402,10746,3460,10746,3529,10757,3588,10788,3635,10835,3665,10894,3676,10962,3676,11216xe" filled="false" stroked="true" strokeweight=".27pt" strokecolor="#231f1f">
                  <v:path arrowok="t"/>
                  <v:stroke dashstyle="solid"/>
                </v:shape>
                <v:shape style="position:absolute;left:2983;top:1114;width:5899;height:3066" id="docshape254" coordorigin="2983,1114" coordsize="5899,3066" path="m7852,1114l7969,1114m2998,1878l8882,1878m2983,2915l2983,4180m2992,1871l2992,2265e" filled="false" stroked="true" strokeweight=".27pt" strokecolor="#231f1f">
                  <v:path arrowok="t"/>
                  <v:stroke dashstyle="solid"/>
                </v:shape>
                <v:shape style="position:absolute;left:2961;top:2243;width:63;height:118" id="docshape255" coordorigin="2961,2243" coordsize="63,118" path="m3024,2243l2961,2243,2993,2361,3024,2243xe" filled="true" fillcolor="#231f1f" stroked="false">
                  <v:path arrowok="t"/>
                  <v:fill type="solid"/>
                </v:shape>
                <v:line style="position:absolute" from="5931,1290" to="5931,2197" stroked="true" strokeweight=".27pt" strokecolor="#231f1f">
                  <v:stroke dashstyle="solid"/>
                </v:line>
                <v:shape style="position:absolute;left:5900;top:2175;width:63;height:118" id="docshape256" coordorigin="5900,2176" coordsize="63,118" path="m5963,2176l5900,2176,5932,2293,5963,2176xe" filled="true" fillcolor="#231f1f" stroked="false">
                  <v:path arrowok="t"/>
                  <v:fill type="solid"/>
                </v:shape>
                <v:line style="position:absolute" from="8890,1877" to="8890,2306" stroked="true" strokeweight=".27pt" strokecolor="#231f1f">
                  <v:stroke dashstyle="solid"/>
                </v:line>
                <v:shape style="position:absolute;left:8858;top:2284;width:63;height:118" id="docshape257" coordorigin="8859,2284" coordsize="63,118" path="m8921,2284l8859,2284,8890,2401,8921,2284xe" filled="true" fillcolor="#231f1f" stroked="false">
                  <v:path arrowok="t"/>
                  <v:fill type="solid"/>
                </v:shape>
                <v:line style="position:absolute" from="2965,4180" to="4756,4180" stroked="true" strokeweight=".27pt" strokecolor="#231f1f">
                  <v:stroke dashstyle="solid"/>
                </v:line>
                <v:shape style="position:absolute;left:4734;top:4148;width:118;height:63" id="docshape258" coordorigin="4735,4149" coordsize="118,63" path="m4735,4149l4735,4211,4852,4180,4735,4149xe" filled="true" fillcolor="#231f1f" stroked="false">
                  <v:path arrowok="t"/>
                  <v:fill type="solid"/>
                </v:shape>
                <v:shape style="position:absolute;left:7168;top:3089;width:1714;height:1091" id="docshape259" coordorigin="7168,3090" coordsize="1714,1091" path="m8882,3090l8882,4180m8882,4180l7168,4180e" filled="false" stroked="true" strokeweight=".27pt" strokecolor="#231f1f">
                  <v:path arrowok="t"/>
                  <v:stroke dashstyle="solid"/>
                </v:shape>
                <v:shape style="position:absolute;left:7072;top:4149;width:118;height:63" id="docshape260" coordorigin="7073,4149" coordsize="118,63" path="m7190,4149l7073,4181,7190,4212,7190,4149xe" filled="true" fillcolor="#231f1f" stroked="false">
                  <v:path arrowok="t"/>
                  <v:fill type="solid"/>
                </v:shape>
                <v:shape style="position:absolute;left:4989;top:4305;width:1884;height:303" id="docshape261" coordorigin="4990,4306" coordsize="1884,303" path="m5953,4306l5953,4530m4990,4530l6873,4530m4990,4530l4990,4608e" filled="false" stroked="true" strokeweight=".27pt" strokecolor="#231f1f">
                  <v:path arrowok="t"/>
                  <v:stroke dashstyle="solid"/>
                </v:shape>
                <v:shape style="position:absolute;left:4958;top:4586;width:63;height:118" id="docshape262" coordorigin="4959,4587" coordsize="63,118" path="m5021,4587l4959,4587,4990,4704,5021,4587xe" filled="true" fillcolor="#231f1f" stroked="false">
                  <v:path arrowok="t"/>
                  <v:fill type="solid"/>
                </v:shape>
                <v:line style="position:absolute" from="6873,5069" to="6873,8381" stroked="true" strokeweight=".27pt" strokecolor="#231f1f">
                  <v:stroke dashstyle="solid"/>
                </v:line>
                <v:shape style="position:absolute;left:6842;top:8359;width:63;height:118" id="docshape263" coordorigin="6842,8360" coordsize="63,118" path="m6905,8360l6842,8360,6874,8477,6905,8360xe" filled="true" fillcolor="#231f1f" stroked="false">
                  <v:path arrowok="t"/>
                  <v:fill type="solid"/>
                </v:shape>
                <v:line style="position:absolute" from="4990,5088" to="4990,5295" stroked="true" strokeweight=".27pt" strokecolor="#231f1f">
                  <v:stroke dashstyle="solid"/>
                </v:line>
                <v:shape style="position:absolute;left:4958;top:5273;width:63;height:118" id="docshape264" coordorigin="4959,5273" coordsize="63,118" path="m5021,5273l4959,5273,4990,5390,5021,5273xe" filled="true" fillcolor="#231f1f" stroked="false">
                  <v:path arrowok="t"/>
                  <v:fill type="solid"/>
                </v:shape>
                <v:line style="position:absolute" from="4999,5817" to="4999,6185" stroked="true" strokeweight=".27pt" strokecolor="#231f1f">
                  <v:stroke dashstyle="solid"/>
                </v:line>
                <v:shape style="position:absolute;left:4968;top:6164;width:63;height:118" id="docshape265" coordorigin="4968,6164" coordsize="63,118" path="m5031,6164l4968,6164,5000,6281,5031,6164xe" filled="true" fillcolor="#231f1f" stroked="false">
                  <v:path arrowok="t"/>
                  <v:fill type="solid"/>
                </v:shape>
                <v:shape style="position:absolute;left:3974;top:6931;width:1975;height:528" id="docshape266" coordorigin="3974,6932" coordsize="1975,528" path="m4990,6932l4990,7264m3974,7265l5949,7265m5949,7265l5949,7459e" filled="false" stroked="true" strokeweight=".27pt" strokecolor="#231f1f">
                  <v:path arrowok="t"/>
                  <v:stroke dashstyle="solid"/>
                </v:shape>
                <v:shape style="position:absolute;left:5917;top:7437;width:63;height:118" id="docshape267" coordorigin="5918,7438" coordsize="63,118" path="m5980,7438l5918,7438,5949,7555,5980,7438xe" filled="true" fillcolor="#231f1f" stroked="false">
                  <v:path arrowok="t"/>
                  <v:fill type="solid"/>
                </v:shape>
                <v:line style="position:absolute" from="3974,7265" to="3974,7418" stroked="true" strokeweight=".27pt" strokecolor="#231f1f">
                  <v:stroke dashstyle="solid"/>
                </v:line>
                <v:shape style="position:absolute;left:3943;top:7396;width:63;height:118" id="docshape268" coordorigin="3943,7397" coordsize="63,118" path="m4006,7397l3943,7397,3975,7514,4006,7397xe" filled="true" fillcolor="#231f1f" stroked="false">
                  <v:path arrowok="t"/>
                  <v:fill type="solid"/>
                </v:shape>
                <v:shape style="position:absolute;left:5948;top:7882;width:61;height:977" id="docshape269" coordorigin="5949,7882" coordsize="61,977" path="m5949,7882l5949,8858m5949,8858l6009,8858e" filled="false" stroked="true" strokeweight=".27pt" strokecolor="#231f1f">
                  <v:path arrowok="t"/>
                  <v:stroke dashstyle="solid"/>
                </v:shape>
                <v:shape style="position:absolute;left:5987;top:8826;width:118;height:63" id="docshape270" coordorigin="5988,8827" coordsize="118,63" path="m5988,8827l5988,8889,6105,8858,5988,8827xe" filled="true" fillcolor="#231f1f" stroked="false">
                  <v:path arrowok="t"/>
                  <v:fill type="solid"/>
                </v:shape>
                <v:shape style="position:absolute;left:4721;top:8843;width:3131;height:672" id="docshape271" coordorigin="4722,8843" coordsize="3131,672" path="m7603,8843l7852,8843m6889,9011l6889,9381m6862,9381l4722,9381m4722,9381l4722,9515e" filled="false" stroked="true" strokeweight=".27pt" strokecolor="#231f1f">
                  <v:path arrowok="t"/>
                  <v:stroke dashstyle="solid"/>
                </v:shape>
                <v:shape style="position:absolute;left:4690;top:9493;width:63;height:118" id="docshape272" coordorigin="4691,9494" coordsize="63,118" path="m4753,9494l4691,9494,4722,9611,4753,9494xe" filled="true" fillcolor="#231f1f" stroked="false">
                  <v:path arrowok="t"/>
                  <v:fill type="solid"/>
                </v:shape>
                <v:shape style="position:absolute;left:2885;top:10235;width:3677;height:382" id="docshape273" coordorigin="2886,10235" coordsize="3677,382" path="m4722,10235l4722,10474m6562,10474l2886,10474m2886,10474l2886,10617e" filled="false" stroked="true" strokeweight=".27pt" strokecolor="#231f1f">
                  <v:path arrowok="t"/>
                  <v:stroke dashstyle="solid"/>
                </v:shape>
                <v:shape style="position:absolute;left:2854;top:10595;width:63;height:118" id="docshape274" coordorigin="2855,10596" coordsize="63,118" path="m2917,10596l2855,10596,2886,10713,2917,10596xe" filled="true" fillcolor="#231f1f" stroked="false">
                  <v:path arrowok="t"/>
                  <v:fill type="solid"/>
                </v:shape>
                <v:line style="position:absolute" from="6562,10474" to="6562,10604" stroked="true" strokeweight=".27pt" strokecolor="#231f1f">
                  <v:stroke dashstyle="solid"/>
                </v:line>
                <v:shape style="position:absolute;left:6531;top:10582;width:63;height:118" id="docshape275" coordorigin="6531,10582" coordsize="63,118" path="m6594,10582l6531,10582,6562,10699,6594,10582xe" filled="true" fillcolor="#231f1f" stroked="false">
                  <v:path arrowok="t"/>
                  <v:fill type="solid"/>
                </v:shape>
                <v:line style="position:absolute" from="6873,4530" to="6873,4655" stroked="true" strokeweight=".27pt" strokecolor="#231f1f">
                  <v:stroke dashstyle="solid"/>
                </v:line>
                <v:shape style="position:absolute;left:6842;top:4633;width:63;height:118" id="docshape276" coordorigin="6842,4633" coordsize="63,118" path="m6905,4633l6842,4633,6873,4750,6905,4633xe" filled="true" fillcolor="#231f1f" stroked="false">
                  <v:path arrowok="t"/>
                  <v:fill type="solid"/>
                </v:shape>
                <v:rect style="position:absolute;left:1705;top:308;width:8504;height:11365" id="docshape277" filled="false" stroked="true" strokeweight=".5pt" strokecolor="#a30046">
                  <v:stroke dashstyle="solid"/>
                </v:rect>
                <v:shape style="position:absolute;left:2377;top:10857;width:1033;height:130" type="#_x0000_t75" id="docshape278" stroked="false">
                  <v:imagedata r:id="rId65" o:title=""/>
                </v:shape>
                <v:shape style="position:absolute;left:6073;top:10838;width:1033;height:130" type="#_x0000_t75" id="docshape279" stroked="false">
                  <v:imagedata r:id="rId66" o:title=""/>
                </v:shape>
                <v:shape style="position:absolute;left:7943;top:9864;width:1378;height:793" type="#_x0000_t75" id="docshape280" stroked="false">
                  <v:imagedata r:id="rId67" o:title=""/>
                </v:shape>
                <v:shape style="position:absolute;left:3030;top:9873;width:2925;height:130" type="#_x0000_t75" id="docshape281" stroked="false">
                  <v:imagedata r:id="rId68" o:title=""/>
                </v:shape>
                <v:shape style="position:absolute;left:3546;top:10046;width:1914;height:102" type="#_x0000_t75" id="docshape282" stroked="false">
                  <v:imagedata r:id="rId69" o:title=""/>
                </v:shape>
                <v:shape style="position:absolute;left:7949;top:7443;width:1462;height:648" type="#_x0000_t75" id="docshape283" stroked="false">
                  <v:imagedata r:id="rId70" o:title=""/>
                </v:shape>
                <v:shape style="position:absolute;left:7949;top:8136;width:1404;height:615" type="#_x0000_t75" id="docshape284" stroked="false">
                  <v:imagedata r:id="rId71" o:title=""/>
                </v:shape>
                <v:shape style="position:absolute;left:7949;top:9161;width:1544;height:444" type="#_x0000_t75" id="docshape285" stroked="false">
                  <v:imagedata r:id="rId72" o:title=""/>
                </v:shape>
                <v:shape style="position:absolute;left:6460;top:8808;width:719;height:102" type="#_x0000_t75" id="docshape286" stroked="false">
                  <v:imagedata r:id="rId73" o:title=""/>
                </v:shape>
                <v:shape style="position:absolute;left:5478;top:7690;width:564;height:129" type="#_x0000_t75" id="docshape287" stroked="false">
                  <v:imagedata r:id="rId74" o:title=""/>
                </v:shape>
                <v:shape style="position:absolute;left:6089;top:7689;width:172;height:101" id="docshape288" coordorigin="6090,7690" coordsize="172,101" path="m6159,7707l6090,7735,6090,7746,6159,7774,6159,7762,6104,7741,6159,7719,6159,7707xm6261,7690l6253,7690,6250,7694,6247,7698,6236,7708,6230,7711,6222,7715,6222,7726,6248,7712,6248,7790,6261,7790,6261,7690xe" filled="true" fillcolor="#231f1f" stroked="false">
                  <v:path arrowok="t"/>
                  <v:fill type="solid"/>
                </v:shape>
                <v:shape style="position:absolute;left:3718;top:7709;width:568;height:275" type="#_x0000_t75" id="docshape289" stroked="false">
                  <v:imagedata r:id="rId75" o:title=""/>
                </v:shape>
                <v:shape style="position:absolute;left:4489;top:6595;width:954;height:302" type="#_x0000_t75" id="docshape290" stroked="false">
                  <v:imagedata r:id="rId76" o:title=""/>
                </v:shape>
                <v:shape style="position:absolute;left:4636;top:5654;width:649;height:102" type="#_x0000_t75" id="docshape291" stroked="false">
                  <v:imagedata r:id="rId77" o:title=""/>
                </v:shape>
                <v:shape style="position:absolute;left:2375;top:5059;width:1425;height:646" type="#_x0000_t75" id="docshape292" stroked="false">
                  <v:imagedata r:id="rId78" o:title=""/>
                </v:shape>
                <v:shape style="position:absolute;left:5353;top:4138;width:1163;height:102" type="#_x0000_t75" id="docshape293" stroked="false">
                  <v:imagedata r:id="rId79" o:title=""/>
                </v:shape>
                <v:shape style="position:absolute;left:8260;top:2543;width:1311;height:476" type="#_x0000_t75" id="docshape294" stroked="false">
                  <v:imagedata r:id="rId80" o:title=""/>
                </v:shape>
                <v:shape style="position:absolute;left:4483;top:2681;width:2520;height:449" type="#_x0000_t75" id="docshape295" stroked="false">
                  <v:imagedata r:id="rId81" o:title=""/>
                </v:shape>
                <v:shape style="position:absolute;left:4489;top:3201;width:2336;height:448" type="#_x0000_t75" id="docshape296" stroked="false">
                  <v:imagedata r:id="rId82" o:title=""/>
                </v:shape>
                <v:shape style="position:absolute;left:2347;top:2553;width:1311;height:275" type="#_x0000_t75" id="docshape297" stroked="false">
                  <v:imagedata r:id="rId83" o:title=""/>
                </v:shape>
                <v:shape style="position:absolute;left:8128;top:737;width:1437;height:304" type="#_x0000_t75" id="docshape298" stroked="false">
                  <v:imagedata r:id="rId84" o:title=""/>
                </v:shape>
                <v:shape style="position:absolute;left:8127;top:1084;width:1433;height:301" type="#_x0000_t75" id="docshape299" stroked="false">
                  <v:imagedata r:id="rId85" o:title=""/>
                </v:shape>
                <v:shape style="position:absolute;left:3904;top:1075;width:3699;height:130" type="#_x0000_t75" id="docshape300" stroked="false">
                  <v:imagedata r:id="rId86" o:title=""/>
                </v:shape>
                <v:shape style="position:absolute;left:2227;top:580;width:3271;height:177" type="#_x0000_t202" id="docshape301" filled="false" stroked="false">
                  <v:textbox inset="0,0,0,0">
                    <w:txbxContent>
                      <w:p>
                        <w:pPr>
                          <w:spacing w:line="177" w:lineRule="exact" w:before="0"/>
                          <w:ind w:left="0" w:right="0" w:firstLine="0"/>
                          <w:jc w:val="left"/>
                          <w:rPr>
                            <w:rFonts w:ascii="Arial" w:hAnsi="Arial"/>
                            <w:b/>
                            <w:sz w:val="16"/>
                          </w:rPr>
                        </w:pPr>
                        <w:r>
                          <w:rPr>
                            <w:rFonts w:ascii="Arial" w:hAnsi="Arial"/>
                            <w:b/>
                            <w:color w:val="231F1F"/>
                            <w:sz w:val="16"/>
                          </w:rPr>
                          <w:t>Prolongación</w:t>
                        </w:r>
                        <w:r>
                          <w:rPr>
                            <w:rFonts w:ascii="Arial" w:hAnsi="Arial"/>
                            <w:b/>
                            <w:color w:val="231F1F"/>
                            <w:spacing w:val="1"/>
                            <w:sz w:val="16"/>
                          </w:rPr>
                          <w:t> </w:t>
                        </w:r>
                        <w:r>
                          <w:rPr>
                            <w:rFonts w:ascii="Arial" w:hAnsi="Arial"/>
                            <w:b/>
                            <w:color w:val="231F1F"/>
                            <w:sz w:val="16"/>
                          </w:rPr>
                          <w:t>de la primera etapa</w:t>
                        </w:r>
                        <w:r>
                          <w:rPr>
                            <w:rFonts w:ascii="Arial" w:hAnsi="Arial"/>
                            <w:b/>
                            <w:color w:val="231F1F"/>
                            <w:spacing w:val="-5"/>
                            <w:sz w:val="16"/>
                          </w:rPr>
                          <w:t> </w:t>
                        </w:r>
                        <w:r>
                          <w:rPr>
                            <w:rFonts w:ascii="Arial" w:hAnsi="Arial"/>
                            <w:b/>
                            <w:color w:val="231F1F"/>
                            <w:sz w:val="16"/>
                          </w:rPr>
                          <w:t>del</w:t>
                        </w:r>
                        <w:r>
                          <w:rPr>
                            <w:rFonts w:ascii="Arial" w:hAnsi="Arial"/>
                            <w:b/>
                            <w:color w:val="231F1F"/>
                            <w:spacing w:val="1"/>
                            <w:sz w:val="16"/>
                          </w:rPr>
                          <w:t> </w:t>
                        </w:r>
                        <w:r>
                          <w:rPr>
                            <w:rFonts w:ascii="Arial" w:hAnsi="Arial"/>
                            <w:b/>
                            <w:color w:val="231F1F"/>
                            <w:spacing w:val="-2"/>
                            <w:sz w:val="16"/>
                          </w:rPr>
                          <w:t>parto</w:t>
                        </w:r>
                      </w:p>
                    </w:txbxContent>
                  </v:textbox>
                  <w10:wrap type="none"/>
                </v:shape>
                <v:shape style="position:absolute;left:4478;top:2483;width:1274;height:156" type="#_x0000_t202" id="docshape302" filled="false" stroked="false">
                  <v:textbox inset="0,0,0,0">
                    <w:txbxContent>
                      <w:p>
                        <w:pPr>
                          <w:spacing w:line="156" w:lineRule="exact" w:before="0"/>
                          <w:ind w:left="0" w:right="0" w:firstLine="0"/>
                          <w:jc w:val="left"/>
                          <w:rPr>
                            <w:rFonts w:ascii="Arial MT" w:hAnsi="Arial MT"/>
                            <w:sz w:val="14"/>
                          </w:rPr>
                        </w:pPr>
                        <w:r>
                          <w:rPr>
                            <w:rFonts w:ascii="Arial MT" w:hAnsi="Arial MT"/>
                            <w:color w:val="231F1F"/>
                            <w:sz w:val="14"/>
                          </w:rPr>
                          <w:t>Considerar</w:t>
                        </w:r>
                        <w:r>
                          <w:rPr>
                            <w:rFonts w:ascii="Arial MT" w:hAnsi="Arial MT"/>
                            <w:color w:val="231F1F"/>
                            <w:spacing w:val="-7"/>
                            <w:sz w:val="14"/>
                          </w:rPr>
                          <w:t> </w:t>
                        </w:r>
                        <w:r>
                          <w:rPr>
                            <w:rFonts w:ascii="Arial MT" w:hAnsi="Arial MT"/>
                            <w:color w:val="231F1F"/>
                            <w:spacing w:val="-2"/>
                            <w:sz w:val="14"/>
                          </w:rPr>
                          <w:t>también:</w:t>
                        </w:r>
                      </w:p>
                    </w:txbxContent>
                  </v:textbox>
                  <w10:wrap type="none"/>
                </v:shape>
                <v:shape style="position:absolute;left:4728;top:4835;width:448;height:156" type="#_x0000_t202" id="docshape303" filled="false" stroked="false">
                  <v:textbox inset="0,0,0,0">
                    <w:txbxContent>
                      <w:p>
                        <w:pPr>
                          <w:spacing w:line="156" w:lineRule="exact" w:before="0"/>
                          <w:ind w:left="0" w:right="0" w:firstLine="0"/>
                          <w:jc w:val="left"/>
                          <w:rPr>
                            <w:rFonts w:ascii="Arial MT" w:hAnsi="Arial MT"/>
                            <w:sz w:val="14"/>
                          </w:rPr>
                        </w:pPr>
                        <w:r>
                          <w:rPr>
                            <w:rFonts w:ascii="Arial MT" w:hAnsi="Arial MT"/>
                            <w:color w:val="231F1F"/>
                            <w:spacing w:val="-2"/>
                            <w:sz w:val="14"/>
                          </w:rPr>
                          <w:t>Íntegra</w:t>
                        </w:r>
                      </w:p>
                    </w:txbxContent>
                  </v:textbox>
                  <w10:wrap type="none"/>
                </v:shape>
                <v:shape style="position:absolute;left:6705;top:4835;width:299;height:156" type="#_x0000_t202" id="docshape304" filled="false" stroked="false">
                  <v:textbox inset="0,0,0,0">
                    <w:txbxContent>
                      <w:p>
                        <w:pPr>
                          <w:spacing w:line="156" w:lineRule="exact" w:before="0"/>
                          <w:ind w:left="0" w:right="0" w:firstLine="0"/>
                          <w:jc w:val="left"/>
                          <w:rPr>
                            <w:rFonts w:ascii="Arial MT"/>
                            <w:sz w:val="14"/>
                          </w:rPr>
                        </w:pPr>
                        <w:r>
                          <w:rPr>
                            <w:rFonts w:ascii="Arial MT"/>
                            <w:color w:val="231F1F"/>
                            <w:spacing w:val="-4"/>
                            <w:sz w:val="14"/>
                          </w:rPr>
                          <w:t>Rota</w:t>
                        </w:r>
                      </w:p>
                    </w:txbxContent>
                  </v:textbox>
                  <w10:wrap type="none"/>
                </v:shape>
                <v:shape style="position:absolute;left:2376;top:5728;width:1506;height:497" type="#_x0000_t202" id="docshape305" filled="false" stroked="false">
                  <v:textbox inset="0,0,0,0">
                    <w:txbxContent>
                      <w:p>
                        <w:pPr>
                          <w:spacing w:line="254" w:lineRule="auto" w:before="0"/>
                          <w:ind w:left="0" w:right="18" w:firstLine="0"/>
                          <w:jc w:val="left"/>
                          <w:rPr>
                            <w:rFonts w:ascii="Arial MT" w:hAnsi="Arial MT"/>
                            <w:sz w:val="14"/>
                          </w:rPr>
                        </w:pPr>
                        <w:r>
                          <w:rPr>
                            <w:rFonts w:ascii="Arial MT" w:hAnsi="Arial MT"/>
                            <w:color w:val="FFFFFF"/>
                            <w:sz w:val="14"/>
                          </w:rPr>
                          <w:t>Puede hacer que las</w:t>
                        </w:r>
                        <w:r>
                          <w:rPr>
                            <w:rFonts w:ascii="Arial MT" w:hAnsi="Arial MT"/>
                            <w:color w:val="FFFFFF"/>
                            <w:spacing w:val="40"/>
                            <w:sz w:val="14"/>
                          </w:rPr>
                          <w:t> </w:t>
                        </w:r>
                        <w:r>
                          <w:rPr>
                            <w:rFonts w:ascii="Arial MT" w:hAnsi="Arial MT"/>
                            <w:color w:val="FFFFFF"/>
                            <w:spacing w:val="-2"/>
                            <w:sz w:val="14"/>
                          </w:rPr>
                          <w:t>contracciones</w:t>
                        </w:r>
                        <w:r>
                          <w:rPr>
                            <w:rFonts w:ascii="Arial MT" w:hAnsi="Arial MT"/>
                            <w:color w:val="FFFFFF"/>
                            <w:spacing w:val="-8"/>
                            <w:sz w:val="14"/>
                          </w:rPr>
                          <w:t> </w:t>
                        </w:r>
                        <w:r>
                          <w:rPr>
                            <w:rFonts w:ascii="Arial MT" w:hAnsi="Arial MT"/>
                            <w:color w:val="FFFFFF"/>
                            <w:spacing w:val="-2"/>
                            <w:sz w:val="14"/>
                          </w:rPr>
                          <w:t>sean</w:t>
                        </w:r>
                        <w:r>
                          <w:rPr>
                            <w:rFonts w:ascii="Arial MT" w:hAnsi="Arial MT"/>
                            <w:color w:val="FFFFFF"/>
                            <w:spacing w:val="-11"/>
                            <w:sz w:val="14"/>
                          </w:rPr>
                          <w:t> </w:t>
                        </w:r>
                        <w:r>
                          <w:rPr>
                            <w:rFonts w:ascii="Arial MT" w:hAnsi="Arial MT"/>
                            <w:color w:val="FFFFFF"/>
                            <w:spacing w:val="-2"/>
                            <w:sz w:val="14"/>
                          </w:rPr>
                          <w:t>más</w:t>
                        </w:r>
                        <w:r>
                          <w:rPr>
                            <w:rFonts w:ascii="Arial MT" w:hAnsi="Arial MT"/>
                            <w:color w:val="FFFFFF"/>
                            <w:spacing w:val="40"/>
                            <w:sz w:val="14"/>
                          </w:rPr>
                          <w:t> </w:t>
                        </w:r>
                        <w:r>
                          <w:rPr>
                            <w:rFonts w:ascii="Arial MT" w:hAnsi="Arial MT"/>
                            <w:color w:val="FFFFFF"/>
                            <w:sz w:val="14"/>
                          </w:rPr>
                          <w:t>intensas y dolorosas.</w:t>
                        </w:r>
                      </w:p>
                    </w:txbxContent>
                  </v:textbox>
                  <w10:wrap type="none"/>
                </v:shape>
                <v:shape style="position:absolute;left:7944;top:8795;width:1566;height:156" type="#_x0000_t202" id="docshape306" filled="false" stroked="false">
                  <v:textbox inset="0,0,0,0">
                    <w:txbxContent>
                      <w:p>
                        <w:pPr>
                          <w:spacing w:line="156" w:lineRule="exact" w:before="0"/>
                          <w:ind w:left="0" w:right="0" w:firstLine="0"/>
                          <w:jc w:val="left"/>
                          <w:rPr>
                            <w:rFonts w:ascii="Arial MT"/>
                            <w:sz w:val="14"/>
                          </w:rPr>
                        </w:pPr>
                        <w:r>
                          <w:rPr>
                            <w:rFonts w:ascii="Arial MT"/>
                            <w:color w:val="FFFFFF"/>
                            <w:sz w:val="14"/>
                          </w:rPr>
                          <w:t>La</w:t>
                        </w:r>
                        <w:r>
                          <w:rPr>
                            <w:rFonts w:ascii="Arial MT"/>
                            <w:color w:val="FFFFFF"/>
                            <w:spacing w:val="-6"/>
                            <w:sz w:val="14"/>
                          </w:rPr>
                          <w:t> </w:t>
                        </w:r>
                        <w:r>
                          <w:rPr>
                            <w:rFonts w:ascii="Arial MT"/>
                            <w:color w:val="FFFFFF"/>
                            <w:sz w:val="14"/>
                          </w:rPr>
                          <w:t>MCFCF</w:t>
                        </w:r>
                        <w:r>
                          <w:rPr>
                            <w:rFonts w:ascii="Arial MT"/>
                            <w:color w:val="FFFFFF"/>
                            <w:spacing w:val="-3"/>
                            <w:sz w:val="14"/>
                          </w:rPr>
                          <w:t> </w:t>
                        </w:r>
                        <w:r>
                          <w:rPr>
                            <w:rFonts w:ascii="Arial MT"/>
                            <w:color w:val="FFFFFF"/>
                            <w:sz w:val="14"/>
                          </w:rPr>
                          <w:t>es</w:t>
                        </w:r>
                        <w:r>
                          <w:rPr>
                            <w:rFonts w:ascii="Arial MT"/>
                            <w:color w:val="FFFFFF"/>
                            <w:spacing w:val="3"/>
                            <w:sz w:val="14"/>
                          </w:rPr>
                          <w:t> </w:t>
                        </w:r>
                        <w:r>
                          <w:rPr>
                            <w:rFonts w:ascii="Arial MT"/>
                            <w:color w:val="FFFFFF"/>
                            <w:spacing w:val="-2"/>
                            <w:sz w:val="14"/>
                          </w:rPr>
                          <w:t>necesaria.</w:t>
                        </w:r>
                      </w:p>
                    </w:txbxContent>
                  </v:textbox>
                  <w10:wrap type="none"/>
                </v:shape>
                <v:shape style="position:absolute;left:2275;top:11027;width:1222;height:329" type="#_x0000_t202" id="docshape307" filled="false" stroked="false">
                  <v:textbox inset="0,0,0,0">
                    <w:txbxContent>
                      <w:p>
                        <w:pPr>
                          <w:spacing w:line="256" w:lineRule="auto" w:before="0"/>
                          <w:ind w:left="206" w:right="18" w:hanging="207"/>
                          <w:jc w:val="left"/>
                          <w:rPr>
                            <w:rFonts w:ascii="Arial MT" w:hAnsi="Arial MT"/>
                            <w:sz w:val="14"/>
                          </w:rPr>
                        </w:pPr>
                        <w:r>
                          <w:rPr>
                            <w:rFonts w:ascii="Arial MT" w:hAnsi="Arial MT"/>
                            <w:color w:val="231F1F"/>
                            <w:spacing w:val="-2"/>
                            <w:sz w:val="14"/>
                          </w:rPr>
                          <w:t>Exploración</w:t>
                        </w:r>
                        <w:r>
                          <w:rPr>
                            <w:rFonts w:ascii="Arial MT" w:hAnsi="Arial MT"/>
                            <w:color w:val="231F1F"/>
                            <w:spacing w:val="-14"/>
                            <w:sz w:val="14"/>
                          </w:rPr>
                          <w:t> </w:t>
                        </w:r>
                        <w:r>
                          <w:rPr>
                            <w:rFonts w:ascii="Arial MT" w:hAnsi="Arial MT"/>
                            <w:color w:val="231F1F"/>
                            <w:spacing w:val="-2"/>
                            <w:sz w:val="14"/>
                          </w:rPr>
                          <w:t>vaginal</w:t>
                        </w:r>
                        <w:r>
                          <w:rPr>
                            <w:rFonts w:ascii="Arial MT" w:hAnsi="Arial MT"/>
                            <w:color w:val="231F1F"/>
                            <w:spacing w:val="40"/>
                            <w:sz w:val="14"/>
                          </w:rPr>
                          <w:t> </w:t>
                        </w:r>
                        <w:r>
                          <w:rPr>
                            <w:rFonts w:ascii="Arial MT" w:hAnsi="Arial MT"/>
                            <w:color w:val="231F1F"/>
                            <w:sz w:val="14"/>
                          </w:rPr>
                          <w:t>cada 4 horas</w:t>
                        </w:r>
                      </w:p>
                    </w:txbxContent>
                  </v:textbox>
                  <w10:wrap type="none"/>
                </v:shape>
                <v:shape style="position:absolute;left:5971;top:10999;width:1211;height:156" type="#_x0000_t202" id="docshape308" filled="false" stroked="false">
                  <v:textbox inset="0,0,0,0">
                    <w:txbxContent>
                      <w:p>
                        <w:pPr>
                          <w:spacing w:line="156" w:lineRule="exact" w:before="0"/>
                          <w:ind w:left="0" w:right="0" w:firstLine="0"/>
                          <w:jc w:val="left"/>
                          <w:rPr>
                            <w:rFonts w:ascii="Arial MT" w:hAnsi="Arial MT"/>
                            <w:sz w:val="14"/>
                          </w:rPr>
                        </w:pPr>
                        <w:r>
                          <w:rPr>
                            <w:rFonts w:ascii="Arial MT" w:hAnsi="Arial MT"/>
                            <w:color w:val="231F1F"/>
                            <w:spacing w:val="-2"/>
                            <w:sz w:val="14"/>
                          </w:rPr>
                          <w:t>Considerar</w:t>
                        </w:r>
                        <w:r>
                          <w:rPr>
                            <w:rFonts w:ascii="Arial MT" w:hAnsi="Arial MT"/>
                            <w:color w:val="231F1F"/>
                            <w:spacing w:val="-6"/>
                            <w:sz w:val="14"/>
                          </w:rPr>
                          <w:t> </w:t>
                        </w:r>
                        <w:r>
                          <w:rPr>
                            <w:rFonts w:ascii="Arial MT" w:hAnsi="Arial MT"/>
                            <w:color w:val="231F1F"/>
                            <w:spacing w:val="-2"/>
                            <w:sz w:val="14"/>
                          </w:rPr>
                          <w:t>cesárea</w:t>
                        </w:r>
                      </w:p>
                    </w:txbxContent>
                  </v:textbox>
                  <w10:wrap type="none"/>
                </v:shape>
                <w10:wrap type="topAndBottom"/>
              </v:group>
            </w:pict>
          </mc:Fallback>
        </mc:AlternateContent>
      </w:r>
    </w:p>
    <w:p>
      <w:pPr>
        <w:pStyle w:val="BodyText"/>
        <w:spacing w:before="187"/>
        <w:ind w:left="283"/>
      </w:pPr>
      <w:r>
        <w:rPr>
          <w:color w:val="231F1F"/>
        </w:rPr>
        <w:t>MCFCF</w:t>
      </w:r>
      <w:r>
        <w:rPr>
          <w:color w:val="231F1F"/>
          <w:spacing w:val="41"/>
        </w:rPr>
        <w:t> </w:t>
      </w:r>
      <w:r>
        <w:rPr>
          <w:color w:val="231F1F"/>
        </w:rPr>
        <w:t>monitorización</w:t>
      </w:r>
      <w:r>
        <w:rPr>
          <w:color w:val="231F1F"/>
          <w:spacing w:val="42"/>
        </w:rPr>
        <w:t> </w:t>
      </w:r>
      <w:r>
        <w:rPr>
          <w:color w:val="231F1F"/>
        </w:rPr>
        <w:t>continua</w:t>
      </w:r>
      <w:r>
        <w:rPr>
          <w:color w:val="231F1F"/>
          <w:spacing w:val="43"/>
        </w:rPr>
        <w:t> </w:t>
      </w:r>
      <w:r>
        <w:rPr>
          <w:color w:val="231F1F"/>
        </w:rPr>
        <w:t>de</w:t>
      </w:r>
      <w:r>
        <w:rPr>
          <w:color w:val="231F1F"/>
          <w:spacing w:val="43"/>
        </w:rPr>
        <w:t> </w:t>
      </w:r>
      <w:r>
        <w:rPr>
          <w:color w:val="231F1F"/>
        </w:rPr>
        <w:t>la</w:t>
      </w:r>
      <w:r>
        <w:rPr>
          <w:color w:val="231F1F"/>
          <w:spacing w:val="43"/>
        </w:rPr>
        <w:t> </w:t>
      </w:r>
      <w:r>
        <w:rPr>
          <w:color w:val="231F1F"/>
        </w:rPr>
        <w:t>frecuencia</w:t>
      </w:r>
      <w:r>
        <w:rPr>
          <w:color w:val="231F1F"/>
          <w:spacing w:val="45"/>
        </w:rPr>
        <w:t> </w:t>
      </w:r>
      <w:r>
        <w:rPr>
          <w:color w:val="231F1F"/>
        </w:rPr>
        <w:t>cardiaca</w:t>
      </w:r>
      <w:r>
        <w:rPr>
          <w:color w:val="231F1F"/>
          <w:spacing w:val="44"/>
        </w:rPr>
        <w:t> </w:t>
      </w:r>
      <w:r>
        <w:rPr>
          <w:color w:val="231F1F"/>
          <w:spacing w:val="-2"/>
        </w:rPr>
        <w:t>fetal</w:t>
      </w:r>
    </w:p>
    <w:p>
      <w:pPr>
        <w:pStyle w:val="BodyText"/>
        <w:spacing w:after="0"/>
        <w:sectPr>
          <w:pgSz w:w="11900" w:h="16840"/>
          <w:pgMar w:header="0" w:footer="622" w:top="1520" w:bottom="820" w:left="1417" w:right="1559"/>
        </w:sectPr>
      </w:pPr>
    </w:p>
    <w:p>
      <w:pPr>
        <w:pStyle w:val="Heading2"/>
        <w:spacing w:line="232" w:lineRule="auto" w:before="83"/>
        <w:ind w:left="1890" w:right="515" w:hanging="1609"/>
      </w:pPr>
      <w:bookmarkStart w:name="_TOC_250005" w:id="51"/>
      <w:r>
        <w:rPr>
          <w:color w:val="231F1F"/>
        </w:rPr>
        <w:t>Anexo</w:t>
      </w:r>
      <w:r>
        <w:rPr>
          <w:color w:val="231F1F"/>
          <w:spacing w:val="35"/>
        </w:rPr>
        <w:t> </w:t>
      </w:r>
      <w:r>
        <w:rPr>
          <w:color w:val="231F1F"/>
        </w:rPr>
        <w:t>6.</w:t>
      </w:r>
      <w:r>
        <w:rPr>
          <w:color w:val="231F1F"/>
          <w:spacing w:val="80"/>
        </w:rPr>
        <w:t> </w:t>
      </w:r>
      <w:r>
        <w:rPr>
          <w:color w:val="231F1F"/>
        </w:rPr>
        <w:t>Duración</w:t>
      </w:r>
      <w:r>
        <w:rPr>
          <w:color w:val="231F1F"/>
          <w:spacing w:val="35"/>
        </w:rPr>
        <w:t> </w:t>
      </w:r>
      <w:r>
        <w:rPr>
          <w:color w:val="231F1F"/>
        </w:rPr>
        <w:t>de</w:t>
      </w:r>
      <w:r>
        <w:rPr>
          <w:color w:val="231F1F"/>
          <w:spacing w:val="35"/>
        </w:rPr>
        <w:t> </w:t>
      </w:r>
      <w:r>
        <w:rPr>
          <w:color w:val="231F1F"/>
        </w:rPr>
        <w:t>la</w:t>
      </w:r>
      <w:r>
        <w:rPr>
          <w:color w:val="231F1F"/>
          <w:spacing w:val="35"/>
        </w:rPr>
        <w:t> </w:t>
      </w:r>
      <w:r>
        <w:rPr>
          <w:color w:val="231F1F"/>
        </w:rPr>
        <w:t>segunda</w:t>
      </w:r>
      <w:r>
        <w:rPr>
          <w:color w:val="231F1F"/>
          <w:spacing w:val="35"/>
        </w:rPr>
        <w:t> </w:t>
      </w:r>
      <w:r>
        <w:rPr>
          <w:color w:val="231F1F"/>
        </w:rPr>
        <w:t>etapa</w:t>
      </w:r>
      <w:r>
        <w:rPr>
          <w:color w:val="231F1F"/>
          <w:spacing w:val="35"/>
        </w:rPr>
        <w:t> </w:t>
      </w:r>
      <w:r>
        <w:rPr>
          <w:color w:val="231F1F"/>
        </w:rPr>
        <w:t>del</w:t>
      </w:r>
      <w:r>
        <w:rPr>
          <w:color w:val="231F1F"/>
          <w:spacing w:val="33"/>
        </w:rPr>
        <w:t> </w:t>
      </w:r>
      <w:r>
        <w:rPr>
          <w:color w:val="231F1F"/>
        </w:rPr>
        <w:t>parto</w:t>
      </w:r>
      <w:r>
        <w:rPr>
          <w:color w:val="231F1F"/>
          <w:spacing w:val="35"/>
        </w:rPr>
        <w:t> </w:t>
      </w:r>
      <w:bookmarkEnd w:id="51"/>
      <w:r>
        <w:rPr>
          <w:color w:val="231F1F"/>
        </w:rPr>
        <w:t>con y sin analgesia neuroaxial</w:t>
      </w:r>
    </w:p>
    <w:p>
      <w:pPr>
        <w:pStyle w:val="BodyText"/>
        <w:spacing w:before="49"/>
        <w:rPr>
          <w:sz w:val="20"/>
        </w:rPr>
      </w:pPr>
      <w:r>
        <w:rPr>
          <w:sz w:val="20"/>
        </w:rPr>
        <mc:AlternateContent>
          <mc:Choice Requires="wps">
            <w:drawing>
              <wp:anchor distT="0" distB="0" distL="0" distR="0" allowOverlap="1" layoutInCell="1" locked="0" behindDoc="1" simplePos="0" relativeHeight="487661568">
                <wp:simplePos x="0" y="0"/>
                <wp:positionH relativeFrom="page">
                  <wp:posOffset>1079500</wp:posOffset>
                </wp:positionH>
                <wp:positionV relativeFrom="paragraph">
                  <wp:posOffset>192981</wp:posOffset>
                </wp:positionV>
                <wp:extent cx="5406390" cy="2284730"/>
                <wp:effectExtent l="0" t="0" r="0" b="0"/>
                <wp:wrapTopAndBottom/>
                <wp:docPr id="371" name="Group 371"/>
                <wp:cNvGraphicFramePr>
                  <a:graphicFrameLocks/>
                </wp:cNvGraphicFramePr>
                <a:graphic>
                  <a:graphicData uri="http://schemas.microsoft.com/office/word/2010/wordprocessingGroup">
                    <wpg:wgp>
                      <wpg:cNvPr id="371" name="Group 371"/>
                      <wpg:cNvGrpSpPr/>
                      <wpg:grpSpPr>
                        <a:xfrm>
                          <a:off x="0" y="0"/>
                          <a:ext cx="5406390" cy="2284730"/>
                          <a:chExt cx="5406390" cy="2284730"/>
                        </a:xfrm>
                      </wpg:grpSpPr>
                      <wps:wsp>
                        <wps:cNvPr id="372" name="Graphic 372"/>
                        <wps:cNvSpPr/>
                        <wps:spPr>
                          <a:xfrm>
                            <a:off x="1978799" y="1551546"/>
                            <a:ext cx="3309620" cy="100330"/>
                          </a:xfrm>
                          <a:custGeom>
                            <a:avLst/>
                            <a:gdLst/>
                            <a:ahLst/>
                            <a:cxnLst/>
                            <a:rect l="l" t="t" r="r" b="b"/>
                            <a:pathLst>
                              <a:path w="3309620" h="100330">
                                <a:moveTo>
                                  <a:pt x="0" y="482"/>
                                </a:moveTo>
                                <a:lnTo>
                                  <a:pt x="3309061" y="482"/>
                                </a:lnTo>
                              </a:path>
                              <a:path w="3309620" h="100330">
                                <a:moveTo>
                                  <a:pt x="818946" y="0"/>
                                </a:moveTo>
                                <a:lnTo>
                                  <a:pt x="818946" y="97040"/>
                                </a:lnTo>
                              </a:path>
                              <a:path w="3309620" h="100330">
                                <a:moveTo>
                                  <a:pt x="1617080" y="990"/>
                                </a:moveTo>
                                <a:lnTo>
                                  <a:pt x="1617080" y="98031"/>
                                </a:lnTo>
                              </a:path>
                              <a:path w="3309620" h="100330">
                                <a:moveTo>
                                  <a:pt x="2398391" y="2984"/>
                                </a:moveTo>
                                <a:lnTo>
                                  <a:pt x="2398391" y="100025"/>
                                </a:lnTo>
                              </a:path>
                              <a:path w="3309620" h="100330">
                                <a:moveTo>
                                  <a:pt x="3166831" y="1981"/>
                                </a:moveTo>
                                <a:lnTo>
                                  <a:pt x="3166831" y="99021"/>
                                </a:lnTo>
                              </a:path>
                            </a:pathLst>
                          </a:custGeom>
                          <a:ln w="6350">
                            <a:solidFill>
                              <a:srgbClr val="231F1F"/>
                            </a:solidFill>
                            <a:prstDash val="solid"/>
                          </a:ln>
                        </wps:spPr>
                        <wps:bodyPr wrap="square" lIns="0" tIns="0" rIns="0" bIns="0" rtlCol="0">
                          <a:prstTxWarp prst="textNoShape">
                            <a:avLst/>
                          </a:prstTxWarp>
                          <a:noAutofit/>
                        </wps:bodyPr>
                      </wps:wsp>
                      <wps:wsp>
                        <wps:cNvPr id="373" name="Graphic 373"/>
                        <wps:cNvSpPr/>
                        <wps:spPr>
                          <a:xfrm>
                            <a:off x="1981034" y="278790"/>
                            <a:ext cx="1606550" cy="155575"/>
                          </a:xfrm>
                          <a:custGeom>
                            <a:avLst/>
                            <a:gdLst/>
                            <a:ahLst/>
                            <a:cxnLst/>
                            <a:rect l="l" t="t" r="r" b="b"/>
                            <a:pathLst>
                              <a:path w="1606550" h="155575">
                                <a:moveTo>
                                  <a:pt x="1606549" y="0"/>
                                </a:moveTo>
                                <a:lnTo>
                                  <a:pt x="0" y="0"/>
                                </a:lnTo>
                                <a:lnTo>
                                  <a:pt x="0" y="155575"/>
                                </a:lnTo>
                                <a:lnTo>
                                  <a:pt x="1606549" y="155575"/>
                                </a:lnTo>
                                <a:lnTo>
                                  <a:pt x="1606549" y="0"/>
                                </a:lnTo>
                                <a:close/>
                              </a:path>
                            </a:pathLst>
                          </a:custGeom>
                          <a:solidFill>
                            <a:srgbClr val="E8C3C8"/>
                          </a:solidFill>
                        </wps:spPr>
                        <wps:bodyPr wrap="square" lIns="0" tIns="0" rIns="0" bIns="0" rtlCol="0">
                          <a:prstTxWarp prst="textNoShape">
                            <a:avLst/>
                          </a:prstTxWarp>
                          <a:noAutofit/>
                        </wps:bodyPr>
                      </wps:wsp>
                      <wps:wsp>
                        <wps:cNvPr id="374" name="Graphic 374"/>
                        <wps:cNvSpPr/>
                        <wps:spPr>
                          <a:xfrm>
                            <a:off x="1981034" y="278790"/>
                            <a:ext cx="1606550" cy="155575"/>
                          </a:xfrm>
                          <a:custGeom>
                            <a:avLst/>
                            <a:gdLst/>
                            <a:ahLst/>
                            <a:cxnLst/>
                            <a:rect l="l" t="t" r="r" b="b"/>
                            <a:pathLst>
                              <a:path w="1606550" h="155575">
                                <a:moveTo>
                                  <a:pt x="0" y="0"/>
                                </a:moveTo>
                                <a:lnTo>
                                  <a:pt x="1606550" y="0"/>
                                </a:lnTo>
                                <a:lnTo>
                                  <a:pt x="1606550"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75" name="Graphic 375"/>
                        <wps:cNvSpPr/>
                        <wps:spPr>
                          <a:xfrm>
                            <a:off x="3587572" y="278790"/>
                            <a:ext cx="1593850" cy="155575"/>
                          </a:xfrm>
                          <a:custGeom>
                            <a:avLst/>
                            <a:gdLst/>
                            <a:ahLst/>
                            <a:cxnLst/>
                            <a:rect l="l" t="t" r="r" b="b"/>
                            <a:pathLst>
                              <a:path w="1593850" h="155575">
                                <a:moveTo>
                                  <a:pt x="1593850" y="0"/>
                                </a:moveTo>
                                <a:lnTo>
                                  <a:pt x="0" y="0"/>
                                </a:lnTo>
                                <a:lnTo>
                                  <a:pt x="0" y="155575"/>
                                </a:lnTo>
                                <a:lnTo>
                                  <a:pt x="1593850" y="155575"/>
                                </a:lnTo>
                                <a:lnTo>
                                  <a:pt x="1593850" y="0"/>
                                </a:lnTo>
                                <a:close/>
                              </a:path>
                            </a:pathLst>
                          </a:custGeom>
                          <a:solidFill>
                            <a:srgbClr val="B34160"/>
                          </a:solidFill>
                        </wps:spPr>
                        <wps:bodyPr wrap="square" lIns="0" tIns="0" rIns="0" bIns="0" rtlCol="0">
                          <a:prstTxWarp prst="textNoShape">
                            <a:avLst/>
                          </a:prstTxWarp>
                          <a:noAutofit/>
                        </wps:bodyPr>
                      </wps:wsp>
                      <wps:wsp>
                        <wps:cNvPr id="376" name="Graphic 376"/>
                        <wps:cNvSpPr/>
                        <wps:spPr>
                          <a:xfrm>
                            <a:off x="3587572" y="278790"/>
                            <a:ext cx="1593850" cy="155575"/>
                          </a:xfrm>
                          <a:custGeom>
                            <a:avLst/>
                            <a:gdLst/>
                            <a:ahLst/>
                            <a:cxnLst/>
                            <a:rect l="l" t="t" r="r" b="b"/>
                            <a:pathLst>
                              <a:path w="1593850" h="155575">
                                <a:moveTo>
                                  <a:pt x="0" y="0"/>
                                </a:moveTo>
                                <a:lnTo>
                                  <a:pt x="1593850" y="0"/>
                                </a:lnTo>
                                <a:lnTo>
                                  <a:pt x="1593850"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77" name="Graphic 377"/>
                        <wps:cNvSpPr/>
                        <wps:spPr>
                          <a:xfrm>
                            <a:off x="1981034" y="582002"/>
                            <a:ext cx="1606550" cy="155575"/>
                          </a:xfrm>
                          <a:custGeom>
                            <a:avLst/>
                            <a:gdLst/>
                            <a:ahLst/>
                            <a:cxnLst/>
                            <a:rect l="l" t="t" r="r" b="b"/>
                            <a:pathLst>
                              <a:path w="1606550" h="155575">
                                <a:moveTo>
                                  <a:pt x="1606549" y="0"/>
                                </a:moveTo>
                                <a:lnTo>
                                  <a:pt x="0" y="0"/>
                                </a:lnTo>
                                <a:lnTo>
                                  <a:pt x="0" y="155575"/>
                                </a:lnTo>
                                <a:lnTo>
                                  <a:pt x="1606549" y="155575"/>
                                </a:lnTo>
                                <a:lnTo>
                                  <a:pt x="1606549" y="0"/>
                                </a:lnTo>
                                <a:close/>
                              </a:path>
                            </a:pathLst>
                          </a:custGeom>
                          <a:solidFill>
                            <a:srgbClr val="E8C3C8"/>
                          </a:solidFill>
                        </wps:spPr>
                        <wps:bodyPr wrap="square" lIns="0" tIns="0" rIns="0" bIns="0" rtlCol="0">
                          <a:prstTxWarp prst="textNoShape">
                            <a:avLst/>
                          </a:prstTxWarp>
                          <a:noAutofit/>
                        </wps:bodyPr>
                      </wps:wsp>
                      <wps:wsp>
                        <wps:cNvPr id="378" name="Graphic 378"/>
                        <wps:cNvSpPr/>
                        <wps:spPr>
                          <a:xfrm>
                            <a:off x="1981034" y="582002"/>
                            <a:ext cx="1606550" cy="155575"/>
                          </a:xfrm>
                          <a:custGeom>
                            <a:avLst/>
                            <a:gdLst/>
                            <a:ahLst/>
                            <a:cxnLst/>
                            <a:rect l="l" t="t" r="r" b="b"/>
                            <a:pathLst>
                              <a:path w="1606550" h="155575">
                                <a:moveTo>
                                  <a:pt x="0" y="0"/>
                                </a:moveTo>
                                <a:lnTo>
                                  <a:pt x="1606550" y="0"/>
                                </a:lnTo>
                                <a:lnTo>
                                  <a:pt x="1606550"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79" name="Graphic 379"/>
                        <wps:cNvSpPr/>
                        <wps:spPr>
                          <a:xfrm>
                            <a:off x="3587572" y="582002"/>
                            <a:ext cx="808355" cy="155575"/>
                          </a:xfrm>
                          <a:custGeom>
                            <a:avLst/>
                            <a:gdLst/>
                            <a:ahLst/>
                            <a:cxnLst/>
                            <a:rect l="l" t="t" r="r" b="b"/>
                            <a:pathLst>
                              <a:path w="808355" h="155575">
                                <a:moveTo>
                                  <a:pt x="808037" y="0"/>
                                </a:moveTo>
                                <a:lnTo>
                                  <a:pt x="0" y="0"/>
                                </a:lnTo>
                                <a:lnTo>
                                  <a:pt x="0" y="155575"/>
                                </a:lnTo>
                                <a:lnTo>
                                  <a:pt x="808037" y="155575"/>
                                </a:lnTo>
                                <a:lnTo>
                                  <a:pt x="808037" y="0"/>
                                </a:lnTo>
                                <a:close/>
                              </a:path>
                            </a:pathLst>
                          </a:custGeom>
                          <a:solidFill>
                            <a:srgbClr val="B34160"/>
                          </a:solidFill>
                        </wps:spPr>
                        <wps:bodyPr wrap="square" lIns="0" tIns="0" rIns="0" bIns="0" rtlCol="0">
                          <a:prstTxWarp prst="textNoShape">
                            <a:avLst/>
                          </a:prstTxWarp>
                          <a:noAutofit/>
                        </wps:bodyPr>
                      </wps:wsp>
                      <wps:wsp>
                        <wps:cNvPr id="380" name="Graphic 380"/>
                        <wps:cNvSpPr/>
                        <wps:spPr>
                          <a:xfrm>
                            <a:off x="3587572" y="582002"/>
                            <a:ext cx="808355" cy="155575"/>
                          </a:xfrm>
                          <a:custGeom>
                            <a:avLst/>
                            <a:gdLst/>
                            <a:ahLst/>
                            <a:cxnLst/>
                            <a:rect l="l" t="t" r="r" b="b"/>
                            <a:pathLst>
                              <a:path w="808355" h="155575">
                                <a:moveTo>
                                  <a:pt x="0" y="0"/>
                                </a:moveTo>
                                <a:lnTo>
                                  <a:pt x="808037" y="0"/>
                                </a:lnTo>
                                <a:lnTo>
                                  <a:pt x="808037"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81" name="Graphic 381"/>
                        <wps:cNvSpPr/>
                        <wps:spPr>
                          <a:xfrm>
                            <a:off x="1981034" y="878865"/>
                            <a:ext cx="1606550" cy="155575"/>
                          </a:xfrm>
                          <a:custGeom>
                            <a:avLst/>
                            <a:gdLst/>
                            <a:ahLst/>
                            <a:cxnLst/>
                            <a:rect l="l" t="t" r="r" b="b"/>
                            <a:pathLst>
                              <a:path w="1606550" h="155575">
                                <a:moveTo>
                                  <a:pt x="1606549" y="0"/>
                                </a:moveTo>
                                <a:lnTo>
                                  <a:pt x="0" y="0"/>
                                </a:lnTo>
                                <a:lnTo>
                                  <a:pt x="0" y="155575"/>
                                </a:lnTo>
                                <a:lnTo>
                                  <a:pt x="1606549" y="155575"/>
                                </a:lnTo>
                                <a:lnTo>
                                  <a:pt x="1606549" y="0"/>
                                </a:lnTo>
                                <a:close/>
                              </a:path>
                            </a:pathLst>
                          </a:custGeom>
                          <a:solidFill>
                            <a:srgbClr val="E8C3C8"/>
                          </a:solidFill>
                        </wps:spPr>
                        <wps:bodyPr wrap="square" lIns="0" tIns="0" rIns="0" bIns="0" rtlCol="0">
                          <a:prstTxWarp prst="textNoShape">
                            <a:avLst/>
                          </a:prstTxWarp>
                          <a:noAutofit/>
                        </wps:bodyPr>
                      </wps:wsp>
                      <wps:wsp>
                        <wps:cNvPr id="382" name="Graphic 382"/>
                        <wps:cNvSpPr/>
                        <wps:spPr>
                          <a:xfrm>
                            <a:off x="1981034" y="878865"/>
                            <a:ext cx="1606550" cy="155575"/>
                          </a:xfrm>
                          <a:custGeom>
                            <a:avLst/>
                            <a:gdLst/>
                            <a:ahLst/>
                            <a:cxnLst/>
                            <a:rect l="l" t="t" r="r" b="b"/>
                            <a:pathLst>
                              <a:path w="1606550" h="155575">
                                <a:moveTo>
                                  <a:pt x="0" y="0"/>
                                </a:moveTo>
                                <a:lnTo>
                                  <a:pt x="1606550" y="0"/>
                                </a:lnTo>
                                <a:lnTo>
                                  <a:pt x="1606550"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83" name="Graphic 383"/>
                        <wps:cNvSpPr/>
                        <wps:spPr>
                          <a:xfrm>
                            <a:off x="3587572" y="878865"/>
                            <a:ext cx="808355" cy="155575"/>
                          </a:xfrm>
                          <a:custGeom>
                            <a:avLst/>
                            <a:gdLst/>
                            <a:ahLst/>
                            <a:cxnLst/>
                            <a:rect l="l" t="t" r="r" b="b"/>
                            <a:pathLst>
                              <a:path w="808355" h="155575">
                                <a:moveTo>
                                  <a:pt x="808037" y="0"/>
                                </a:moveTo>
                                <a:lnTo>
                                  <a:pt x="0" y="0"/>
                                </a:lnTo>
                                <a:lnTo>
                                  <a:pt x="0" y="155575"/>
                                </a:lnTo>
                                <a:lnTo>
                                  <a:pt x="808037" y="155575"/>
                                </a:lnTo>
                                <a:lnTo>
                                  <a:pt x="808037" y="0"/>
                                </a:lnTo>
                                <a:close/>
                              </a:path>
                            </a:pathLst>
                          </a:custGeom>
                          <a:solidFill>
                            <a:srgbClr val="B34160"/>
                          </a:solidFill>
                        </wps:spPr>
                        <wps:bodyPr wrap="square" lIns="0" tIns="0" rIns="0" bIns="0" rtlCol="0">
                          <a:prstTxWarp prst="textNoShape">
                            <a:avLst/>
                          </a:prstTxWarp>
                          <a:noAutofit/>
                        </wps:bodyPr>
                      </wps:wsp>
                      <wps:wsp>
                        <wps:cNvPr id="384" name="Graphic 384"/>
                        <wps:cNvSpPr/>
                        <wps:spPr>
                          <a:xfrm>
                            <a:off x="3587572" y="878865"/>
                            <a:ext cx="808355" cy="155575"/>
                          </a:xfrm>
                          <a:custGeom>
                            <a:avLst/>
                            <a:gdLst/>
                            <a:ahLst/>
                            <a:cxnLst/>
                            <a:rect l="l" t="t" r="r" b="b"/>
                            <a:pathLst>
                              <a:path w="808355" h="155575">
                                <a:moveTo>
                                  <a:pt x="0" y="0"/>
                                </a:moveTo>
                                <a:lnTo>
                                  <a:pt x="808037" y="0"/>
                                </a:lnTo>
                                <a:lnTo>
                                  <a:pt x="808037"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85" name="Graphic 385"/>
                        <wps:cNvSpPr/>
                        <wps:spPr>
                          <a:xfrm>
                            <a:off x="1981034" y="1185252"/>
                            <a:ext cx="811530" cy="155575"/>
                          </a:xfrm>
                          <a:custGeom>
                            <a:avLst/>
                            <a:gdLst/>
                            <a:ahLst/>
                            <a:cxnLst/>
                            <a:rect l="l" t="t" r="r" b="b"/>
                            <a:pathLst>
                              <a:path w="811530" h="155575">
                                <a:moveTo>
                                  <a:pt x="811212" y="0"/>
                                </a:moveTo>
                                <a:lnTo>
                                  <a:pt x="0" y="0"/>
                                </a:lnTo>
                                <a:lnTo>
                                  <a:pt x="0" y="155575"/>
                                </a:lnTo>
                                <a:lnTo>
                                  <a:pt x="811212" y="155575"/>
                                </a:lnTo>
                                <a:lnTo>
                                  <a:pt x="811212" y="0"/>
                                </a:lnTo>
                                <a:close/>
                              </a:path>
                            </a:pathLst>
                          </a:custGeom>
                          <a:solidFill>
                            <a:srgbClr val="E8C3C8"/>
                          </a:solidFill>
                        </wps:spPr>
                        <wps:bodyPr wrap="square" lIns="0" tIns="0" rIns="0" bIns="0" rtlCol="0">
                          <a:prstTxWarp prst="textNoShape">
                            <a:avLst/>
                          </a:prstTxWarp>
                          <a:noAutofit/>
                        </wps:bodyPr>
                      </wps:wsp>
                      <wps:wsp>
                        <wps:cNvPr id="386" name="Graphic 386"/>
                        <wps:cNvSpPr/>
                        <wps:spPr>
                          <a:xfrm>
                            <a:off x="1981034" y="1185252"/>
                            <a:ext cx="811530" cy="155575"/>
                          </a:xfrm>
                          <a:custGeom>
                            <a:avLst/>
                            <a:gdLst/>
                            <a:ahLst/>
                            <a:cxnLst/>
                            <a:rect l="l" t="t" r="r" b="b"/>
                            <a:pathLst>
                              <a:path w="811530" h="155575">
                                <a:moveTo>
                                  <a:pt x="0" y="0"/>
                                </a:moveTo>
                                <a:lnTo>
                                  <a:pt x="811212" y="0"/>
                                </a:lnTo>
                                <a:lnTo>
                                  <a:pt x="811212"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87" name="Graphic 387"/>
                        <wps:cNvSpPr/>
                        <wps:spPr>
                          <a:xfrm>
                            <a:off x="2792234" y="1185252"/>
                            <a:ext cx="809625" cy="155575"/>
                          </a:xfrm>
                          <a:custGeom>
                            <a:avLst/>
                            <a:gdLst/>
                            <a:ahLst/>
                            <a:cxnLst/>
                            <a:rect l="l" t="t" r="r" b="b"/>
                            <a:pathLst>
                              <a:path w="809625" h="155575">
                                <a:moveTo>
                                  <a:pt x="809625" y="0"/>
                                </a:moveTo>
                                <a:lnTo>
                                  <a:pt x="0" y="0"/>
                                </a:lnTo>
                                <a:lnTo>
                                  <a:pt x="0" y="155575"/>
                                </a:lnTo>
                                <a:lnTo>
                                  <a:pt x="809625" y="155575"/>
                                </a:lnTo>
                                <a:lnTo>
                                  <a:pt x="809625" y="0"/>
                                </a:lnTo>
                                <a:close/>
                              </a:path>
                            </a:pathLst>
                          </a:custGeom>
                          <a:solidFill>
                            <a:srgbClr val="B34160"/>
                          </a:solidFill>
                        </wps:spPr>
                        <wps:bodyPr wrap="square" lIns="0" tIns="0" rIns="0" bIns="0" rtlCol="0">
                          <a:prstTxWarp prst="textNoShape">
                            <a:avLst/>
                          </a:prstTxWarp>
                          <a:noAutofit/>
                        </wps:bodyPr>
                      </wps:wsp>
                      <wps:wsp>
                        <wps:cNvPr id="388" name="Graphic 388"/>
                        <wps:cNvSpPr/>
                        <wps:spPr>
                          <a:xfrm>
                            <a:off x="2792234" y="1185252"/>
                            <a:ext cx="809625" cy="155575"/>
                          </a:xfrm>
                          <a:custGeom>
                            <a:avLst/>
                            <a:gdLst/>
                            <a:ahLst/>
                            <a:cxnLst/>
                            <a:rect l="l" t="t" r="r" b="b"/>
                            <a:pathLst>
                              <a:path w="809625" h="155575">
                                <a:moveTo>
                                  <a:pt x="0" y="0"/>
                                </a:moveTo>
                                <a:lnTo>
                                  <a:pt x="809625" y="0"/>
                                </a:lnTo>
                                <a:lnTo>
                                  <a:pt x="809625" y="155575"/>
                                </a:lnTo>
                                <a:lnTo>
                                  <a:pt x="0" y="155575"/>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89" name="Graphic 389"/>
                        <wps:cNvSpPr/>
                        <wps:spPr>
                          <a:xfrm>
                            <a:off x="1981022" y="236181"/>
                            <a:ext cx="1270" cy="1412875"/>
                          </a:xfrm>
                          <a:custGeom>
                            <a:avLst/>
                            <a:gdLst/>
                            <a:ahLst/>
                            <a:cxnLst/>
                            <a:rect l="l" t="t" r="r" b="b"/>
                            <a:pathLst>
                              <a:path w="0" h="1412875">
                                <a:moveTo>
                                  <a:pt x="0" y="0"/>
                                </a:moveTo>
                                <a:lnTo>
                                  <a:pt x="0" y="1412300"/>
                                </a:lnTo>
                              </a:path>
                            </a:pathLst>
                          </a:custGeom>
                          <a:ln w="6350">
                            <a:solidFill>
                              <a:srgbClr val="231F1F"/>
                            </a:solidFill>
                            <a:prstDash val="solid"/>
                          </a:ln>
                        </wps:spPr>
                        <wps:bodyPr wrap="square" lIns="0" tIns="0" rIns="0" bIns="0" rtlCol="0">
                          <a:prstTxWarp prst="textNoShape">
                            <a:avLst/>
                          </a:prstTxWarp>
                          <a:noAutofit/>
                        </wps:bodyPr>
                      </wps:wsp>
                      <wps:wsp>
                        <wps:cNvPr id="390" name="Graphic 390"/>
                        <wps:cNvSpPr/>
                        <wps:spPr>
                          <a:xfrm>
                            <a:off x="143789" y="1760423"/>
                            <a:ext cx="108585" cy="108585"/>
                          </a:xfrm>
                          <a:custGeom>
                            <a:avLst/>
                            <a:gdLst/>
                            <a:ahLst/>
                            <a:cxnLst/>
                            <a:rect l="l" t="t" r="r" b="b"/>
                            <a:pathLst>
                              <a:path w="108585" h="108585">
                                <a:moveTo>
                                  <a:pt x="108000" y="0"/>
                                </a:moveTo>
                                <a:lnTo>
                                  <a:pt x="0" y="0"/>
                                </a:lnTo>
                                <a:lnTo>
                                  <a:pt x="0" y="108000"/>
                                </a:lnTo>
                                <a:lnTo>
                                  <a:pt x="108000" y="108000"/>
                                </a:lnTo>
                                <a:lnTo>
                                  <a:pt x="108000" y="0"/>
                                </a:lnTo>
                                <a:close/>
                              </a:path>
                            </a:pathLst>
                          </a:custGeom>
                          <a:solidFill>
                            <a:srgbClr val="E8C3C8"/>
                          </a:solidFill>
                        </wps:spPr>
                        <wps:bodyPr wrap="square" lIns="0" tIns="0" rIns="0" bIns="0" rtlCol="0">
                          <a:prstTxWarp prst="textNoShape">
                            <a:avLst/>
                          </a:prstTxWarp>
                          <a:noAutofit/>
                        </wps:bodyPr>
                      </wps:wsp>
                      <wps:wsp>
                        <wps:cNvPr id="391" name="Graphic 391"/>
                        <wps:cNvSpPr/>
                        <wps:spPr>
                          <a:xfrm>
                            <a:off x="143789" y="1760423"/>
                            <a:ext cx="108585" cy="108585"/>
                          </a:xfrm>
                          <a:custGeom>
                            <a:avLst/>
                            <a:gdLst/>
                            <a:ahLst/>
                            <a:cxnLst/>
                            <a:rect l="l" t="t" r="r" b="b"/>
                            <a:pathLst>
                              <a:path w="108585" h="108585">
                                <a:moveTo>
                                  <a:pt x="0" y="0"/>
                                </a:moveTo>
                                <a:lnTo>
                                  <a:pt x="108000" y="0"/>
                                </a:lnTo>
                                <a:lnTo>
                                  <a:pt x="108000" y="108000"/>
                                </a:lnTo>
                                <a:lnTo>
                                  <a:pt x="0" y="108000"/>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92" name="Graphic 392"/>
                        <wps:cNvSpPr/>
                        <wps:spPr>
                          <a:xfrm>
                            <a:off x="143789" y="1925523"/>
                            <a:ext cx="108585" cy="108585"/>
                          </a:xfrm>
                          <a:custGeom>
                            <a:avLst/>
                            <a:gdLst/>
                            <a:ahLst/>
                            <a:cxnLst/>
                            <a:rect l="l" t="t" r="r" b="b"/>
                            <a:pathLst>
                              <a:path w="108585" h="108585">
                                <a:moveTo>
                                  <a:pt x="108000" y="0"/>
                                </a:moveTo>
                                <a:lnTo>
                                  <a:pt x="0" y="0"/>
                                </a:lnTo>
                                <a:lnTo>
                                  <a:pt x="0" y="108000"/>
                                </a:lnTo>
                                <a:lnTo>
                                  <a:pt x="108000" y="108000"/>
                                </a:lnTo>
                                <a:lnTo>
                                  <a:pt x="108000" y="0"/>
                                </a:lnTo>
                                <a:close/>
                              </a:path>
                            </a:pathLst>
                          </a:custGeom>
                          <a:solidFill>
                            <a:srgbClr val="B34160"/>
                          </a:solidFill>
                        </wps:spPr>
                        <wps:bodyPr wrap="square" lIns="0" tIns="0" rIns="0" bIns="0" rtlCol="0">
                          <a:prstTxWarp prst="textNoShape">
                            <a:avLst/>
                          </a:prstTxWarp>
                          <a:noAutofit/>
                        </wps:bodyPr>
                      </wps:wsp>
                      <wps:wsp>
                        <wps:cNvPr id="393" name="Graphic 393"/>
                        <wps:cNvSpPr/>
                        <wps:spPr>
                          <a:xfrm>
                            <a:off x="143789" y="1925523"/>
                            <a:ext cx="108585" cy="108585"/>
                          </a:xfrm>
                          <a:custGeom>
                            <a:avLst/>
                            <a:gdLst/>
                            <a:ahLst/>
                            <a:cxnLst/>
                            <a:rect l="l" t="t" r="r" b="b"/>
                            <a:pathLst>
                              <a:path w="108585" h="108585">
                                <a:moveTo>
                                  <a:pt x="0" y="0"/>
                                </a:moveTo>
                                <a:lnTo>
                                  <a:pt x="108000" y="0"/>
                                </a:lnTo>
                                <a:lnTo>
                                  <a:pt x="108000" y="108000"/>
                                </a:lnTo>
                                <a:lnTo>
                                  <a:pt x="0" y="108000"/>
                                </a:lnTo>
                                <a:lnTo>
                                  <a:pt x="0" y="0"/>
                                </a:lnTo>
                                <a:close/>
                              </a:path>
                            </a:pathLst>
                          </a:custGeom>
                          <a:ln w="3175">
                            <a:solidFill>
                              <a:srgbClr val="231F1F"/>
                            </a:solidFill>
                            <a:prstDash val="solid"/>
                          </a:ln>
                        </wps:spPr>
                        <wps:bodyPr wrap="square" lIns="0" tIns="0" rIns="0" bIns="0" rtlCol="0">
                          <a:prstTxWarp prst="textNoShape">
                            <a:avLst/>
                          </a:prstTxWarp>
                          <a:noAutofit/>
                        </wps:bodyPr>
                      </wps:wsp>
                      <wps:wsp>
                        <wps:cNvPr id="394" name="Graphic 394"/>
                        <wps:cNvSpPr/>
                        <wps:spPr>
                          <a:xfrm>
                            <a:off x="3175" y="3175"/>
                            <a:ext cx="5400040" cy="2278380"/>
                          </a:xfrm>
                          <a:custGeom>
                            <a:avLst/>
                            <a:gdLst/>
                            <a:ahLst/>
                            <a:cxnLst/>
                            <a:rect l="l" t="t" r="r" b="b"/>
                            <a:pathLst>
                              <a:path w="5400040" h="2278380">
                                <a:moveTo>
                                  <a:pt x="0" y="0"/>
                                </a:moveTo>
                                <a:lnTo>
                                  <a:pt x="5400003" y="0"/>
                                </a:lnTo>
                                <a:lnTo>
                                  <a:pt x="5400003" y="2278381"/>
                                </a:lnTo>
                                <a:lnTo>
                                  <a:pt x="0" y="2278381"/>
                                </a:lnTo>
                                <a:lnTo>
                                  <a:pt x="0" y="0"/>
                                </a:lnTo>
                                <a:close/>
                              </a:path>
                            </a:pathLst>
                          </a:custGeom>
                          <a:ln w="6350">
                            <a:solidFill>
                              <a:srgbClr val="A30046"/>
                            </a:solidFill>
                            <a:prstDash val="solid"/>
                          </a:ln>
                        </wps:spPr>
                        <wps:bodyPr wrap="square" lIns="0" tIns="0" rIns="0" bIns="0" rtlCol="0">
                          <a:prstTxWarp prst="textNoShape">
                            <a:avLst/>
                          </a:prstTxWarp>
                          <a:noAutofit/>
                        </wps:bodyPr>
                      </wps:wsp>
                      <wps:wsp>
                        <wps:cNvPr id="395" name="Textbox 395"/>
                        <wps:cNvSpPr txBox="1"/>
                        <wps:spPr>
                          <a:xfrm>
                            <a:off x="1776476" y="1815214"/>
                            <a:ext cx="434975" cy="234315"/>
                          </a:xfrm>
                          <a:prstGeom prst="rect">
                            <a:avLst/>
                          </a:prstGeom>
                        </wps:spPr>
                        <wps:txbx>
                          <w:txbxContent>
                            <w:p>
                              <w:pPr>
                                <w:spacing w:line="249" w:lineRule="auto" w:before="0"/>
                                <w:ind w:left="19" w:right="18" w:hanging="20"/>
                                <w:jc w:val="left"/>
                                <w:rPr>
                                  <w:rFonts w:ascii="Arial MT" w:hAnsi="Arial MT"/>
                                  <w:sz w:val="16"/>
                                </w:rPr>
                              </w:pPr>
                              <w:r>
                                <w:rPr>
                                  <w:rFonts w:ascii="Arial MT" w:hAnsi="Arial MT"/>
                                  <w:color w:val="231F1F"/>
                                  <w:spacing w:val="-6"/>
                                  <w:sz w:val="16"/>
                                </w:rPr>
                                <w:t>Dilatación</w:t>
                              </w:r>
                              <w:r>
                                <w:rPr>
                                  <w:rFonts w:ascii="Arial MT" w:hAnsi="Arial MT"/>
                                  <w:color w:val="231F1F"/>
                                  <w:spacing w:val="-2"/>
                                  <w:sz w:val="16"/>
                                </w:rPr>
                                <w:t> completa</w:t>
                              </w:r>
                            </w:p>
                          </w:txbxContent>
                        </wps:txbx>
                        <wps:bodyPr wrap="square" lIns="0" tIns="0" rIns="0" bIns="0" rtlCol="0">
                          <a:noAutofit/>
                        </wps:bodyPr>
                      </wps:wsp>
                      <wps:wsp>
                        <wps:cNvPr id="396" name="Textbox 396"/>
                        <wps:cNvSpPr txBox="1"/>
                        <wps:spPr>
                          <a:xfrm>
                            <a:off x="5080508" y="1684149"/>
                            <a:ext cx="116839"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4h</w:t>
                              </w:r>
                            </w:p>
                          </w:txbxContent>
                        </wps:txbx>
                        <wps:bodyPr wrap="square" lIns="0" tIns="0" rIns="0" bIns="0" rtlCol="0">
                          <a:noAutofit/>
                        </wps:bodyPr>
                      </wps:wsp>
                      <wps:wsp>
                        <wps:cNvPr id="397" name="Textbox 397"/>
                        <wps:cNvSpPr txBox="1"/>
                        <wps:spPr>
                          <a:xfrm>
                            <a:off x="4297171" y="1684149"/>
                            <a:ext cx="116839"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3h</w:t>
                              </w:r>
                            </w:p>
                          </w:txbxContent>
                        </wps:txbx>
                        <wps:bodyPr wrap="square" lIns="0" tIns="0" rIns="0" bIns="0" rtlCol="0">
                          <a:noAutofit/>
                        </wps:bodyPr>
                      </wps:wsp>
                      <wps:wsp>
                        <wps:cNvPr id="398" name="Textbox 398"/>
                        <wps:cNvSpPr txBox="1"/>
                        <wps:spPr>
                          <a:xfrm>
                            <a:off x="3504691" y="1684149"/>
                            <a:ext cx="116839"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2h</w:t>
                              </w:r>
                            </w:p>
                          </w:txbxContent>
                        </wps:txbx>
                        <wps:bodyPr wrap="square" lIns="0" tIns="0" rIns="0" bIns="0" rtlCol="0">
                          <a:noAutofit/>
                        </wps:bodyPr>
                      </wps:wsp>
                      <wps:wsp>
                        <wps:cNvPr id="399" name="Textbox 399"/>
                        <wps:cNvSpPr txBox="1"/>
                        <wps:spPr>
                          <a:xfrm>
                            <a:off x="2712211" y="1684149"/>
                            <a:ext cx="116839"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1h</w:t>
                              </w:r>
                            </w:p>
                          </w:txbxContent>
                        </wps:txbx>
                        <wps:bodyPr wrap="square" lIns="0" tIns="0" rIns="0" bIns="0" rtlCol="0">
                          <a:noAutofit/>
                        </wps:bodyPr>
                      </wps:wsp>
                      <wps:wsp>
                        <wps:cNvPr id="400" name="Textbox 400"/>
                        <wps:cNvSpPr txBox="1"/>
                        <wps:spPr>
                          <a:xfrm>
                            <a:off x="307340" y="1754253"/>
                            <a:ext cx="631825" cy="274320"/>
                          </a:xfrm>
                          <a:prstGeom prst="rect">
                            <a:avLst/>
                          </a:prstGeom>
                        </wps:spPr>
                        <wps:txbx>
                          <w:txbxContent>
                            <w:p>
                              <w:pPr>
                                <w:spacing w:line="177" w:lineRule="exact" w:before="0"/>
                                <w:ind w:left="0" w:right="0" w:firstLine="0"/>
                                <w:jc w:val="left"/>
                                <w:rPr>
                                  <w:rFonts w:ascii="Arial MT"/>
                                  <w:sz w:val="16"/>
                                </w:rPr>
                              </w:pPr>
                              <w:r>
                                <w:rPr>
                                  <w:rFonts w:ascii="Arial MT"/>
                                  <w:color w:val="231F1F"/>
                                  <w:spacing w:val="-7"/>
                                  <w:sz w:val="16"/>
                                </w:rPr>
                                <w:t>FASE</w:t>
                              </w:r>
                              <w:r>
                                <w:rPr>
                                  <w:rFonts w:ascii="Arial MT"/>
                                  <w:color w:val="231F1F"/>
                                  <w:spacing w:val="-5"/>
                                  <w:sz w:val="16"/>
                                </w:rPr>
                                <w:t> PASIVA</w:t>
                              </w:r>
                            </w:p>
                            <w:p>
                              <w:pPr>
                                <w:spacing w:line="184" w:lineRule="exact" w:before="70"/>
                                <w:ind w:left="0" w:right="0" w:firstLine="0"/>
                                <w:jc w:val="left"/>
                                <w:rPr>
                                  <w:rFonts w:ascii="Arial MT"/>
                                  <w:sz w:val="16"/>
                                </w:rPr>
                              </w:pPr>
                              <w:r>
                                <w:rPr>
                                  <w:rFonts w:ascii="Arial MT"/>
                                  <w:color w:val="231F1F"/>
                                  <w:spacing w:val="-7"/>
                                  <w:sz w:val="16"/>
                                </w:rPr>
                                <w:t>FASE</w:t>
                              </w:r>
                              <w:r>
                                <w:rPr>
                                  <w:rFonts w:ascii="Arial MT"/>
                                  <w:color w:val="231F1F"/>
                                  <w:spacing w:val="-5"/>
                                  <w:sz w:val="16"/>
                                </w:rPr>
                                <w:t> ACTIVA</w:t>
                              </w:r>
                            </w:p>
                          </w:txbxContent>
                        </wps:txbx>
                        <wps:bodyPr wrap="square" lIns="0" tIns="0" rIns="0" bIns="0" rtlCol="0">
                          <a:noAutofit/>
                        </wps:bodyPr>
                      </wps:wsp>
                      <wps:wsp>
                        <wps:cNvPr id="401" name="Textbox 401"/>
                        <wps:cNvSpPr txBox="1"/>
                        <wps:spPr>
                          <a:xfrm>
                            <a:off x="1041908" y="1208661"/>
                            <a:ext cx="565785"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2"/>
                                  <w:sz w:val="16"/>
                                </w:rPr>
                                <w:t>SIN</w:t>
                              </w:r>
                              <w:r>
                                <w:rPr>
                                  <w:rFonts w:ascii="Arial MT"/>
                                  <w:color w:val="231F1F"/>
                                  <w:spacing w:val="-10"/>
                                  <w:sz w:val="16"/>
                                </w:rPr>
                                <w:t> </w:t>
                              </w:r>
                              <w:r>
                                <w:rPr>
                                  <w:rFonts w:ascii="Arial MT"/>
                                  <w:color w:val="231F1F"/>
                                  <w:spacing w:val="-2"/>
                                  <w:sz w:val="16"/>
                                </w:rPr>
                                <w:t>Epidural</w:t>
                              </w:r>
                            </w:p>
                          </w:txbxContent>
                        </wps:txbx>
                        <wps:bodyPr wrap="square" lIns="0" tIns="0" rIns="0" bIns="0" rtlCol="0">
                          <a:noAutofit/>
                        </wps:bodyPr>
                      </wps:wsp>
                      <wps:wsp>
                        <wps:cNvPr id="402" name="Textbox 402"/>
                        <wps:cNvSpPr txBox="1"/>
                        <wps:spPr>
                          <a:xfrm>
                            <a:off x="142747" y="1044069"/>
                            <a:ext cx="631825"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MULTIPARAS</w:t>
                              </w:r>
                            </w:p>
                          </w:txbxContent>
                        </wps:txbx>
                        <wps:bodyPr wrap="square" lIns="0" tIns="0" rIns="0" bIns="0" rtlCol="0">
                          <a:noAutofit/>
                        </wps:bodyPr>
                      </wps:wsp>
                      <wps:wsp>
                        <wps:cNvPr id="403" name="Textbox 403"/>
                        <wps:cNvSpPr txBox="1"/>
                        <wps:spPr>
                          <a:xfrm>
                            <a:off x="1041908" y="602109"/>
                            <a:ext cx="623570" cy="4171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2"/>
                                  <w:sz w:val="16"/>
                                </w:rPr>
                                <w:t>SIN</w:t>
                              </w:r>
                              <w:r>
                                <w:rPr>
                                  <w:rFonts w:ascii="Arial MT"/>
                                  <w:color w:val="231F1F"/>
                                  <w:spacing w:val="-10"/>
                                  <w:sz w:val="16"/>
                                </w:rPr>
                                <w:t> </w:t>
                              </w:r>
                              <w:r>
                                <w:rPr>
                                  <w:rFonts w:ascii="Arial MT"/>
                                  <w:color w:val="231F1F"/>
                                  <w:spacing w:val="-2"/>
                                  <w:sz w:val="16"/>
                                </w:rPr>
                                <w:t>Epidural</w:t>
                              </w:r>
                            </w:p>
                            <w:p>
                              <w:pPr>
                                <w:spacing w:line="240" w:lineRule="auto" w:before="112"/>
                                <w:rPr>
                                  <w:rFonts w:ascii="Arial MT"/>
                                  <w:sz w:val="16"/>
                                </w:rPr>
                              </w:pPr>
                            </w:p>
                            <w:p>
                              <w:pPr>
                                <w:spacing w:line="184" w:lineRule="exact" w:before="0"/>
                                <w:ind w:left="0" w:right="0" w:firstLine="0"/>
                                <w:jc w:val="left"/>
                                <w:rPr>
                                  <w:rFonts w:ascii="Arial MT"/>
                                  <w:sz w:val="16"/>
                                </w:rPr>
                              </w:pPr>
                              <w:r>
                                <w:rPr>
                                  <w:rFonts w:ascii="Arial MT"/>
                                  <w:color w:val="231F1F"/>
                                  <w:spacing w:val="-2"/>
                                  <w:sz w:val="16"/>
                                </w:rPr>
                                <w:t>CON</w:t>
                              </w:r>
                              <w:r>
                                <w:rPr>
                                  <w:rFonts w:ascii="Arial MT"/>
                                  <w:color w:val="231F1F"/>
                                  <w:spacing w:val="-8"/>
                                  <w:sz w:val="16"/>
                                </w:rPr>
                                <w:t> </w:t>
                              </w:r>
                              <w:r>
                                <w:rPr>
                                  <w:rFonts w:ascii="Arial MT"/>
                                  <w:color w:val="231F1F"/>
                                  <w:spacing w:val="-2"/>
                                  <w:sz w:val="16"/>
                                </w:rPr>
                                <w:t>Epidural</w:t>
                              </w:r>
                            </w:p>
                          </w:txbxContent>
                        </wps:txbx>
                        <wps:bodyPr wrap="square" lIns="0" tIns="0" rIns="0" bIns="0" rtlCol="0">
                          <a:noAutofit/>
                        </wps:bodyPr>
                      </wps:wsp>
                      <wps:wsp>
                        <wps:cNvPr id="404" name="Textbox 404"/>
                        <wps:cNvSpPr txBox="1"/>
                        <wps:spPr>
                          <a:xfrm>
                            <a:off x="142747" y="449709"/>
                            <a:ext cx="561340"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5"/>
                                  <w:sz w:val="16"/>
                                </w:rPr>
                                <w:t>NULIPARAS</w:t>
                              </w:r>
                            </w:p>
                          </w:txbxContent>
                        </wps:txbx>
                        <wps:bodyPr wrap="square" lIns="0" tIns="0" rIns="0" bIns="0" rtlCol="0">
                          <a:noAutofit/>
                        </wps:bodyPr>
                      </wps:wsp>
                      <wps:wsp>
                        <wps:cNvPr id="405" name="Textbox 405"/>
                        <wps:cNvSpPr txBox="1"/>
                        <wps:spPr>
                          <a:xfrm>
                            <a:off x="1041908" y="309501"/>
                            <a:ext cx="623570" cy="112395"/>
                          </a:xfrm>
                          <a:prstGeom prst="rect">
                            <a:avLst/>
                          </a:prstGeom>
                        </wps:spPr>
                        <wps:txbx>
                          <w:txbxContent>
                            <w:p>
                              <w:pPr>
                                <w:spacing w:line="177" w:lineRule="exact" w:before="0"/>
                                <w:ind w:left="0" w:right="0" w:firstLine="0"/>
                                <w:jc w:val="left"/>
                                <w:rPr>
                                  <w:rFonts w:ascii="Arial MT"/>
                                  <w:sz w:val="16"/>
                                </w:rPr>
                              </w:pPr>
                              <w:r>
                                <w:rPr>
                                  <w:rFonts w:ascii="Arial MT"/>
                                  <w:color w:val="231F1F"/>
                                  <w:spacing w:val="-2"/>
                                  <w:sz w:val="16"/>
                                </w:rPr>
                                <w:t>CON</w:t>
                              </w:r>
                              <w:r>
                                <w:rPr>
                                  <w:rFonts w:ascii="Arial MT"/>
                                  <w:color w:val="231F1F"/>
                                  <w:spacing w:val="-8"/>
                                  <w:sz w:val="16"/>
                                </w:rPr>
                                <w:t> </w:t>
                              </w:r>
                              <w:r>
                                <w:rPr>
                                  <w:rFonts w:ascii="Arial MT"/>
                                  <w:color w:val="231F1F"/>
                                  <w:spacing w:val="-2"/>
                                  <w:sz w:val="16"/>
                                </w:rPr>
                                <w:t>Epidural</w:t>
                              </w:r>
                            </w:p>
                          </w:txbxContent>
                        </wps:txbx>
                        <wps:bodyPr wrap="square" lIns="0" tIns="0" rIns="0" bIns="0" rtlCol="0">
                          <a:noAutofit/>
                        </wps:bodyPr>
                      </wps:wsp>
                    </wpg:wgp>
                  </a:graphicData>
                </a:graphic>
              </wp:anchor>
            </w:drawing>
          </mc:Choice>
          <mc:Fallback>
            <w:pict>
              <v:group style="position:absolute;margin-left:85pt;margin-top:15.19541pt;width:425.7pt;height:179.9pt;mso-position-horizontal-relative:page;mso-position-vertical-relative:paragraph;z-index:-15654912;mso-wrap-distance-left:0;mso-wrap-distance-right:0" id="docshapegroup309" coordorigin="1700,304" coordsize="8514,3598">
                <v:shape style="position:absolute;left:4816;top:2747;width:5212;height:158" id="docshape310" coordorigin="4816,2747" coordsize="5212,158" path="m4816,2748l10027,2748m6106,2747l6106,2900m7363,2749l7363,2902m8593,2752l8593,2905m9803,2750l9803,2903e" filled="false" stroked="true" strokeweight=".5pt" strokecolor="#231f1f">
                  <v:path arrowok="t"/>
                  <v:stroke dashstyle="solid"/>
                </v:shape>
                <v:rect style="position:absolute;left:4819;top:742;width:2530;height:245" id="docshape311" filled="true" fillcolor="#e8c3c8" stroked="false">
                  <v:fill type="solid"/>
                </v:rect>
                <v:rect style="position:absolute;left:4819;top:742;width:2530;height:245" id="docshape312" filled="false" stroked="true" strokeweight=".25pt" strokecolor="#231f1f">
                  <v:stroke dashstyle="solid"/>
                </v:rect>
                <v:rect style="position:absolute;left:7349;top:742;width:2510;height:245" id="docshape313" filled="true" fillcolor="#b34160" stroked="false">
                  <v:fill type="solid"/>
                </v:rect>
                <v:rect style="position:absolute;left:7349;top:742;width:2510;height:245" id="docshape314" filled="false" stroked="true" strokeweight=".25pt" strokecolor="#231f1f">
                  <v:stroke dashstyle="solid"/>
                </v:rect>
                <v:rect style="position:absolute;left:4819;top:1220;width:2530;height:245" id="docshape315" filled="true" fillcolor="#e8c3c8" stroked="false">
                  <v:fill type="solid"/>
                </v:rect>
                <v:rect style="position:absolute;left:4819;top:1220;width:2530;height:245" id="docshape316" filled="false" stroked="true" strokeweight=".25pt" strokecolor="#231f1f">
                  <v:stroke dashstyle="solid"/>
                </v:rect>
                <v:rect style="position:absolute;left:7349;top:1220;width:1273;height:245" id="docshape317" filled="true" fillcolor="#b34160" stroked="false">
                  <v:fill type="solid"/>
                </v:rect>
                <v:rect style="position:absolute;left:7349;top:1220;width:1273;height:245" id="docshape318" filled="false" stroked="true" strokeweight=".25pt" strokecolor="#231f1f">
                  <v:stroke dashstyle="solid"/>
                </v:rect>
                <v:rect style="position:absolute;left:4819;top:1687;width:2530;height:245" id="docshape319" filled="true" fillcolor="#e8c3c8" stroked="false">
                  <v:fill type="solid"/>
                </v:rect>
                <v:rect style="position:absolute;left:4819;top:1687;width:2530;height:245" id="docshape320" filled="false" stroked="true" strokeweight=".25pt" strokecolor="#231f1f">
                  <v:stroke dashstyle="solid"/>
                </v:rect>
                <v:rect style="position:absolute;left:7349;top:1687;width:1273;height:245" id="docshape321" filled="true" fillcolor="#b34160" stroked="false">
                  <v:fill type="solid"/>
                </v:rect>
                <v:rect style="position:absolute;left:7349;top:1687;width:1273;height:245" id="docshape322" filled="false" stroked="true" strokeweight=".25pt" strokecolor="#231f1f">
                  <v:stroke dashstyle="solid"/>
                </v:rect>
                <v:rect style="position:absolute;left:4819;top:2170;width:1278;height:245" id="docshape323" filled="true" fillcolor="#e8c3c8" stroked="false">
                  <v:fill type="solid"/>
                </v:rect>
                <v:rect style="position:absolute;left:4819;top:2170;width:1278;height:245" id="docshape324" filled="false" stroked="true" strokeweight=".25pt" strokecolor="#231f1f">
                  <v:stroke dashstyle="solid"/>
                </v:rect>
                <v:rect style="position:absolute;left:6097;top:2170;width:1275;height:245" id="docshape325" filled="true" fillcolor="#b34160" stroked="false">
                  <v:fill type="solid"/>
                </v:rect>
                <v:rect style="position:absolute;left:6097;top:2170;width:1275;height:245" id="docshape326" filled="false" stroked="true" strokeweight=".25pt" strokecolor="#231f1f">
                  <v:stroke dashstyle="solid"/>
                </v:rect>
                <v:line style="position:absolute" from="4820,676" to="4820,2900" stroked="true" strokeweight=".5pt" strokecolor="#231f1f">
                  <v:stroke dashstyle="solid"/>
                </v:line>
                <v:rect style="position:absolute;left:1926;top:3076;width:171;height:171" id="docshape327" filled="true" fillcolor="#e8c3c8" stroked="false">
                  <v:fill type="solid"/>
                </v:rect>
                <v:rect style="position:absolute;left:1926;top:3076;width:171;height:171" id="docshape328" filled="false" stroked="true" strokeweight=".25pt" strokecolor="#231f1f">
                  <v:stroke dashstyle="solid"/>
                </v:rect>
                <v:rect style="position:absolute;left:1926;top:3336;width:171;height:171" id="docshape329" filled="true" fillcolor="#b34160" stroked="false">
                  <v:fill type="solid"/>
                </v:rect>
                <v:rect style="position:absolute;left:1926;top:3336;width:171;height:171" id="docshape330" filled="false" stroked="true" strokeweight=".25pt" strokecolor="#231f1f">
                  <v:stroke dashstyle="solid"/>
                </v:rect>
                <v:rect style="position:absolute;left:1705;top:308;width:8504;height:3588" id="docshape331" filled="false" stroked="true" strokeweight=".5pt" strokecolor="#a30046">
                  <v:stroke dashstyle="solid"/>
                </v:rect>
                <v:shape style="position:absolute;left:4497;top:3162;width:685;height:369" type="#_x0000_t202" id="docshape332" filled="false" stroked="false">
                  <v:textbox inset="0,0,0,0">
                    <w:txbxContent>
                      <w:p>
                        <w:pPr>
                          <w:spacing w:line="249" w:lineRule="auto" w:before="0"/>
                          <w:ind w:left="19" w:right="18" w:hanging="20"/>
                          <w:jc w:val="left"/>
                          <w:rPr>
                            <w:rFonts w:ascii="Arial MT" w:hAnsi="Arial MT"/>
                            <w:sz w:val="16"/>
                          </w:rPr>
                        </w:pPr>
                        <w:r>
                          <w:rPr>
                            <w:rFonts w:ascii="Arial MT" w:hAnsi="Arial MT"/>
                            <w:color w:val="231F1F"/>
                            <w:spacing w:val="-6"/>
                            <w:sz w:val="16"/>
                          </w:rPr>
                          <w:t>Dilatación</w:t>
                        </w:r>
                        <w:r>
                          <w:rPr>
                            <w:rFonts w:ascii="Arial MT" w:hAnsi="Arial MT"/>
                            <w:color w:val="231F1F"/>
                            <w:spacing w:val="-2"/>
                            <w:sz w:val="16"/>
                          </w:rPr>
                          <w:t> completa</w:t>
                        </w:r>
                      </w:p>
                    </w:txbxContent>
                  </v:textbox>
                  <w10:wrap type="none"/>
                </v:shape>
                <v:shape style="position:absolute;left:9700;top:2956;width:184;height:177" type="#_x0000_t202" id="docshape333"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4h</w:t>
                        </w:r>
                      </w:p>
                    </w:txbxContent>
                  </v:textbox>
                  <w10:wrap type="none"/>
                </v:shape>
                <v:shape style="position:absolute;left:8467;top:2956;width:184;height:177" type="#_x0000_t202" id="docshape334"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3h</w:t>
                        </w:r>
                      </w:p>
                    </w:txbxContent>
                  </v:textbox>
                  <w10:wrap type="none"/>
                </v:shape>
                <v:shape style="position:absolute;left:7219;top:2956;width:184;height:177" type="#_x0000_t202" id="docshape335"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2h</w:t>
                        </w:r>
                      </w:p>
                    </w:txbxContent>
                  </v:textbox>
                  <w10:wrap type="none"/>
                </v:shape>
                <v:shape style="position:absolute;left:5971;top:2956;width:184;height:177" type="#_x0000_t202" id="docshape336"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1h</w:t>
                        </w:r>
                      </w:p>
                    </w:txbxContent>
                  </v:textbox>
                  <w10:wrap type="none"/>
                </v:shape>
                <v:shape style="position:absolute;left:2184;top:3066;width:995;height:432" type="#_x0000_t202" id="docshape337" filled="false" stroked="false">
                  <v:textbox inset="0,0,0,0">
                    <w:txbxContent>
                      <w:p>
                        <w:pPr>
                          <w:spacing w:line="177" w:lineRule="exact" w:before="0"/>
                          <w:ind w:left="0" w:right="0" w:firstLine="0"/>
                          <w:jc w:val="left"/>
                          <w:rPr>
                            <w:rFonts w:ascii="Arial MT"/>
                            <w:sz w:val="16"/>
                          </w:rPr>
                        </w:pPr>
                        <w:r>
                          <w:rPr>
                            <w:rFonts w:ascii="Arial MT"/>
                            <w:color w:val="231F1F"/>
                            <w:spacing w:val="-7"/>
                            <w:sz w:val="16"/>
                          </w:rPr>
                          <w:t>FASE</w:t>
                        </w:r>
                        <w:r>
                          <w:rPr>
                            <w:rFonts w:ascii="Arial MT"/>
                            <w:color w:val="231F1F"/>
                            <w:spacing w:val="-5"/>
                            <w:sz w:val="16"/>
                          </w:rPr>
                          <w:t> PASIVA</w:t>
                        </w:r>
                      </w:p>
                      <w:p>
                        <w:pPr>
                          <w:spacing w:line="184" w:lineRule="exact" w:before="70"/>
                          <w:ind w:left="0" w:right="0" w:firstLine="0"/>
                          <w:jc w:val="left"/>
                          <w:rPr>
                            <w:rFonts w:ascii="Arial MT"/>
                            <w:sz w:val="16"/>
                          </w:rPr>
                        </w:pPr>
                        <w:r>
                          <w:rPr>
                            <w:rFonts w:ascii="Arial MT"/>
                            <w:color w:val="231F1F"/>
                            <w:spacing w:val="-7"/>
                            <w:sz w:val="16"/>
                          </w:rPr>
                          <w:t>FASE</w:t>
                        </w:r>
                        <w:r>
                          <w:rPr>
                            <w:rFonts w:ascii="Arial MT"/>
                            <w:color w:val="231F1F"/>
                            <w:spacing w:val="-5"/>
                            <w:sz w:val="16"/>
                          </w:rPr>
                          <w:t> ACTIVA</w:t>
                        </w:r>
                      </w:p>
                    </w:txbxContent>
                  </v:textbox>
                  <w10:wrap type="none"/>
                </v:shape>
                <v:shape style="position:absolute;left:3340;top:2207;width:891;height:177" type="#_x0000_t202" id="docshape338" filled="false" stroked="false">
                  <v:textbox inset="0,0,0,0">
                    <w:txbxContent>
                      <w:p>
                        <w:pPr>
                          <w:spacing w:line="177" w:lineRule="exact" w:before="0"/>
                          <w:ind w:left="0" w:right="0" w:firstLine="0"/>
                          <w:jc w:val="left"/>
                          <w:rPr>
                            <w:rFonts w:ascii="Arial MT"/>
                            <w:sz w:val="16"/>
                          </w:rPr>
                        </w:pPr>
                        <w:r>
                          <w:rPr>
                            <w:rFonts w:ascii="Arial MT"/>
                            <w:color w:val="231F1F"/>
                            <w:spacing w:val="-2"/>
                            <w:sz w:val="16"/>
                          </w:rPr>
                          <w:t>SIN</w:t>
                        </w:r>
                        <w:r>
                          <w:rPr>
                            <w:rFonts w:ascii="Arial MT"/>
                            <w:color w:val="231F1F"/>
                            <w:spacing w:val="-10"/>
                            <w:sz w:val="16"/>
                          </w:rPr>
                          <w:t> </w:t>
                        </w:r>
                        <w:r>
                          <w:rPr>
                            <w:rFonts w:ascii="Arial MT"/>
                            <w:color w:val="231F1F"/>
                            <w:spacing w:val="-2"/>
                            <w:sz w:val="16"/>
                          </w:rPr>
                          <w:t>Epidural</w:t>
                        </w:r>
                      </w:p>
                    </w:txbxContent>
                  </v:textbox>
                  <w10:wrap type="none"/>
                </v:shape>
                <v:shape style="position:absolute;left:1924;top:1948;width:995;height:177" type="#_x0000_t202" id="docshape339"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MULTIPARAS</w:t>
                        </w:r>
                      </w:p>
                    </w:txbxContent>
                  </v:textbox>
                  <w10:wrap type="none"/>
                </v:shape>
                <v:shape style="position:absolute;left:3340;top:1252;width:982;height:657" type="#_x0000_t202" id="docshape340" filled="false" stroked="false">
                  <v:textbox inset="0,0,0,0">
                    <w:txbxContent>
                      <w:p>
                        <w:pPr>
                          <w:spacing w:line="177" w:lineRule="exact" w:before="0"/>
                          <w:ind w:left="0" w:right="0" w:firstLine="0"/>
                          <w:jc w:val="left"/>
                          <w:rPr>
                            <w:rFonts w:ascii="Arial MT"/>
                            <w:sz w:val="16"/>
                          </w:rPr>
                        </w:pPr>
                        <w:r>
                          <w:rPr>
                            <w:rFonts w:ascii="Arial MT"/>
                            <w:color w:val="231F1F"/>
                            <w:spacing w:val="-2"/>
                            <w:sz w:val="16"/>
                          </w:rPr>
                          <w:t>SIN</w:t>
                        </w:r>
                        <w:r>
                          <w:rPr>
                            <w:rFonts w:ascii="Arial MT"/>
                            <w:color w:val="231F1F"/>
                            <w:spacing w:val="-10"/>
                            <w:sz w:val="16"/>
                          </w:rPr>
                          <w:t> </w:t>
                        </w:r>
                        <w:r>
                          <w:rPr>
                            <w:rFonts w:ascii="Arial MT"/>
                            <w:color w:val="231F1F"/>
                            <w:spacing w:val="-2"/>
                            <w:sz w:val="16"/>
                          </w:rPr>
                          <w:t>Epidural</w:t>
                        </w:r>
                      </w:p>
                      <w:p>
                        <w:pPr>
                          <w:spacing w:line="240" w:lineRule="auto" w:before="112"/>
                          <w:rPr>
                            <w:rFonts w:ascii="Arial MT"/>
                            <w:sz w:val="16"/>
                          </w:rPr>
                        </w:pPr>
                      </w:p>
                      <w:p>
                        <w:pPr>
                          <w:spacing w:line="184" w:lineRule="exact" w:before="0"/>
                          <w:ind w:left="0" w:right="0" w:firstLine="0"/>
                          <w:jc w:val="left"/>
                          <w:rPr>
                            <w:rFonts w:ascii="Arial MT"/>
                            <w:sz w:val="16"/>
                          </w:rPr>
                        </w:pPr>
                        <w:r>
                          <w:rPr>
                            <w:rFonts w:ascii="Arial MT"/>
                            <w:color w:val="231F1F"/>
                            <w:spacing w:val="-2"/>
                            <w:sz w:val="16"/>
                          </w:rPr>
                          <w:t>CON</w:t>
                        </w:r>
                        <w:r>
                          <w:rPr>
                            <w:rFonts w:ascii="Arial MT"/>
                            <w:color w:val="231F1F"/>
                            <w:spacing w:val="-8"/>
                            <w:sz w:val="16"/>
                          </w:rPr>
                          <w:t> </w:t>
                        </w:r>
                        <w:r>
                          <w:rPr>
                            <w:rFonts w:ascii="Arial MT"/>
                            <w:color w:val="231F1F"/>
                            <w:spacing w:val="-2"/>
                            <w:sz w:val="16"/>
                          </w:rPr>
                          <w:t>Epidural</w:t>
                        </w:r>
                      </w:p>
                    </w:txbxContent>
                  </v:textbox>
                  <w10:wrap type="none"/>
                </v:shape>
                <v:shape style="position:absolute;left:1924;top:1012;width:884;height:177" type="#_x0000_t202" id="docshape341" filled="false" stroked="false">
                  <v:textbox inset="0,0,0,0">
                    <w:txbxContent>
                      <w:p>
                        <w:pPr>
                          <w:spacing w:line="177" w:lineRule="exact" w:before="0"/>
                          <w:ind w:left="0" w:right="0" w:firstLine="0"/>
                          <w:jc w:val="left"/>
                          <w:rPr>
                            <w:rFonts w:ascii="Arial MT"/>
                            <w:sz w:val="16"/>
                          </w:rPr>
                        </w:pPr>
                        <w:r>
                          <w:rPr>
                            <w:rFonts w:ascii="Arial MT"/>
                            <w:color w:val="231F1F"/>
                            <w:spacing w:val="-5"/>
                            <w:sz w:val="16"/>
                          </w:rPr>
                          <w:t>NULIPARAS</w:t>
                        </w:r>
                      </w:p>
                    </w:txbxContent>
                  </v:textbox>
                  <w10:wrap type="none"/>
                </v:shape>
                <v:shape style="position:absolute;left:3340;top:791;width:982;height:177" type="#_x0000_t202" id="docshape342" filled="false" stroked="false">
                  <v:textbox inset="0,0,0,0">
                    <w:txbxContent>
                      <w:p>
                        <w:pPr>
                          <w:spacing w:line="177" w:lineRule="exact" w:before="0"/>
                          <w:ind w:left="0" w:right="0" w:firstLine="0"/>
                          <w:jc w:val="left"/>
                          <w:rPr>
                            <w:rFonts w:ascii="Arial MT"/>
                            <w:sz w:val="16"/>
                          </w:rPr>
                        </w:pPr>
                        <w:r>
                          <w:rPr>
                            <w:rFonts w:ascii="Arial MT"/>
                            <w:color w:val="231F1F"/>
                            <w:spacing w:val="-2"/>
                            <w:sz w:val="16"/>
                          </w:rPr>
                          <w:t>CON</w:t>
                        </w:r>
                        <w:r>
                          <w:rPr>
                            <w:rFonts w:ascii="Arial MT"/>
                            <w:color w:val="231F1F"/>
                            <w:spacing w:val="-8"/>
                            <w:sz w:val="16"/>
                          </w:rPr>
                          <w:t> </w:t>
                        </w:r>
                        <w:r>
                          <w:rPr>
                            <w:rFonts w:ascii="Arial MT"/>
                            <w:color w:val="231F1F"/>
                            <w:spacing w:val="-2"/>
                            <w:sz w:val="16"/>
                          </w:rPr>
                          <w:t>Epidural</w:t>
                        </w:r>
                      </w:p>
                    </w:txbxContent>
                  </v:textbox>
                  <w10:wrap type="none"/>
                </v:shape>
                <w10:wrap type="topAndBottom"/>
              </v:group>
            </w:pict>
          </mc:Fallback>
        </mc:AlternateContent>
      </w:r>
    </w:p>
    <w:p>
      <w:pPr>
        <w:pStyle w:val="BodyText"/>
        <w:spacing w:before="129"/>
        <w:rPr>
          <w:sz w:val="20"/>
        </w:rPr>
      </w:pPr>
    </w:p>
    <w:tbl>
      <w:tblPr>
        <w:tblW w:w="0" w:type="auto"/>
        <w:jc w:val="left"/>
        <w:tblInd w:w="309"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1330"/>
        <w:gridCol w:w="1728"/>
        <w:gridCol w:w="1733"/>
        <w:gridCol w:w="1728"/>
        <w:gridCol w:w="1982"/>
      </w:tblGrid>
      <w:tr>
        <w:trPr>
          <w:trHeight w:val="383" w:hRule="atLeast"/>
        </w:trPr>
        <w:tc>
          <w:tcPr>
            <w:tcW w:w="3058" w:type="dxa"/>
            <w:gridSpan w:val="2"/>
            <w:vMerge w:val="restart"/>
            <w:tcBorders>
              <w:top w:val="nil"/>
              <w:left w:val="nil"/>
            </w:tcBorders>
          </w:tcPr>
          <w:p>
            <w:pPr>
              <w:pStyle w:val="TableParagraph"/>
              <w:ind w:left="0"/>
              <w:rPr>
                <w:sz w:val="20"/>
              </w:rPr>
            </w:pPr>
          </w:p>
        </w:tc>
        <w:tc>
          <w:tcPr>
            <w:tcW w:w="5443" w:type="dxa"/>
            <w:gridSpan w:val="3"/>
            <w:shd w:val="clear" w:color="auto" w:fill="E8C3C8"/>
          </w:tcPr>
          <w:p>
            <w:pPr>
              <w:pStyle w:val="TableParagraph"/>
              <w:spacing w:before="80"/>
              <w:ind w:left="1091"/>
              <w:rPr>
                <w:rFonts w:ascii="Arial MT" w:hAnsi="Arial MT"/>
                <w:sz w:val="18"/>
              </w:rPr>
            </w:pPr>
            <w:r>
              <w:rPr>
                <w:rFonts w:ascii="Arial MT" w:hAnsi="Arial MT"/>
                <w:color w:val="231F1F"/>
                <w:sz w:val="18"/>
              </w:rPr>
              <w:t>Duración</w:t>
            </w:r>
            <w:r>
              <w:rPr>
                <w:rFonts w:ascii="Arial MT" w:hAnsi="Arial MT"/>
                <w:color w:val="231F1F"/>
                <w:spacing w:val="6"/>
                <w:sz w:val="18"/>
              </w:rPr>
              <w:t> </w:t>
            </w:r>
            <w:r>
              <w:rPr>
                <w:rFonts w:ascii="Arial MT" w:hAnsi="Arial MT"/>
                <w:color w:val="231F1F"/>
                <w:sz w:val="18"/>
              </w:rPr>
              <w:t>de</w:t>
            </w:r>
            <w:r>
              <w:rPr>
                <w:rFonts w:ascii="Arial MT" w:hAnsi="Arial MT"/>
                <w:color w:val="231F1F"/>
                <w:spacing w:val="8"/>
                <w:sz w:val="18"/>
              </w:rPr>
              <w:t> </w:t>
            </w:r>
            <w:r>
              <w:rPr>
                <w:rFonts w:ascii="Arial MT" w:hAnsi="Arial MT"/>
                <w:color w:val="231F1F"/>
                <w:sz w:val="18"/>
              </w:rPr>
              <w:t>la</w:t>
            </w:r>
            <w:r>
              <w:rPr>
                <w:rFonts w:ascii="Arial MT" w:hAnsi="Arial MT"/>
                <w:color w:val="231F1F"/>
                <w:spacing w:val="8"/>
                <w:sz w:val="18"/>
              </w:rPr>
              <w:t> </w:t>
            </w:r>
            <w:r>
              <w:rPr>
                <w:rFonts w:ascii="Arial MT" w:hAnsi="Arial MT"/>
                <w:color w:val="231F1F"/>
                <w:sz w:val="18"/>
              </w:rPr>
              <w:t>segunda</w:t>
            </w:r>
            <w:r>
              <w:rPr>
                <w:rFonts w:ascii="Arial MT" w:hAnsi="Arial MT"/>
                <w:color w:val="231F1F"/>
                <w:spacing w:val="7"/>
                <w:sz w:val="18"/>
              </w:rPr>
              <w:t> </w:t>
            </w:r>
            <w:r>
              <w:rPr>
                <w:rFonts w:ascii="Arial MT" w:hAnsi="Arial MT"/>
                <w:color w:val="231F1F"/>
                <w:sz w:val="18"/>
              </w:rPr>
              <w:t>etapa</w:t>
            </w:r>
            <w:r>
              <w:rPr>
                <w:rFonts w:ascii="Arial MT" w:hAnsi="Arial MT"/>
                <w:color w:val="231F1F"/>
                <w:spacing w:val="9"/>
                <w:sz w:val="18"/>
              </w:rPr>
              <w:t> </w:t>
            </w:r>
            <w:r>
              <w:rPr>
                <w:rFonts w:ascii="Arial MT" w:hAnsi="Arial MT"/>
                <w:color w:val="231F1F"/>
                <w:sz w:val="18"/>
              </w:rPr>
              <w:t>del</w:t>
            </w:r>
            <w:r>
              <w:rPr>
                <w:rFonts w:ascii="Arial MT" w:hAnsi="Arial MT"/>
                <w:color w:val="231F1F"/>
                <w:spacing w:val="5"/>
                <w:sz w:val="18"/>
              </w:rPr>
              <w:t> </w:t>
            </w:r>
            <w:r>
              <w:rPr>
                <w:rFonts w:ascii="Arial MT" w:hAnsi="Arial MT"/>
                <w:color w:val="231F1F"/>
                <w:spacing w:val="-4"/>
                <w:sz w:val="18"/>
              </w:rPr>
              <w:t>parto</w:t>
            </w:r>
          </w:p>
        </w:tc>
      </w:tr>
      <w:tr>
        <w:trPr>
          <w:trHeight w:val="388" w:hRule="atLeast"/>
        </w:trPr>
        <w:tc>
          <w:tcPr>
            <w:tcW w:w="3058" w:type="dxa"/>
            <w:gridSpan w:val="2"/>
            <w:vMerge/>
            <w:tcBorders>
              <w:top w:val="nil"/>
              <w:left w:val="nil"/>
            </w:tcBorders>
          </w:tcPr>
          <w:p>
            <w:pPr>
              <w:rPr>
                <w:sz w:val="2"/>
                <w:szCs w:val="2"/>
              </w:rPr>
            </w:pPr>
          </w:p>
        </w:tc>
        <w:tc>
          <w:tcPr>
            <w:tcW w:w="1733" w:type="dxa"/>
            <w:shd w:val="clear" w:color="auto" w:fill="E8C3C8"/>
          </w:tcPr>
          <w:p>
            <w:pPr>
              <w:pStyle w:val="TableParagraph"/>
              <w:spacing w:before="80"/>
              <w:ind w:left="54" w:right="17"/>
              <w:jc w:val="center"/>
              <w:rPr>
                <w:rFonts w:ascii="Arial MT"/>
                <w:sz w:val="18"/>
              </w:rPr>
            </w:pPr>
            <w:r>
              <w:rPr>
                <w:rFonts w:ascii="Arial MT"/>
                <w:color w:val="231F1F"/>
                <w:sz w:val="18"/>
              </w:rPr>
              <w:t>Fase</w:t>
            </w:r>
            <w:r>
              <w:rPr>
                <w:rFonts w:ascii="Arial MT"/>
                <w:color w:val="231F1F"/>
                <w:spacing w:val="-8"/>
                <w:sz w:val="18"/>
              </w:rPr>
              <w:t> </w:t>
            </w:r>
            <w:r>
              <w:rPr>
                <w:rFonts w:ascii="Arial MT"/>
                <w:color w:val="231F1F"/>
                <w:spacing w:val="-2"/>
                <w:sz w:val="18"/>
              </w:rPr>
              <w:t>Pasiva</w:t>
            </w:r>
          </w:p>
        </w:tc>
        <w:tc>
          <w:tcPr>
            <w:tcW w:w="1728" w:type="dxa"/>
            <w:shd w:val="clear" w:color="auto" w:fill="E8C3C8"/>
          </w:tcPr>
          <w:p>
            <w:pPr>
              <w:pStyle w:val="TableParagraph"/>
              <w:spacing w:before="80"/>
              <w:ind w:left="48" w:right="16"/>
              <w:jc w:val="center"/>
              <w:rPr>
                <w:rFonts w:ascii="Arial MT"/>
                <w:sz w:val="18"/>
              </w:rPr>
            </w:pPr>
            <w:r>
              <w:rPr>
                <w:rFonts w:ascii="Arial MT"/>
                <w:color w:val="231F1F"/>
                <w:sz w:val="18"/>
              </w:rPr>
              <w:t>Fase</w:t>
            </w:r>
            <w:r>
              <w:rPr>
                <w:rFonts w:ascii="Arial MT"/>
                <w:color w:val="231F1F"/>
                <w:spacing w:val="-8"/>
                <w:sz w:val="18"/>
              </w:rPr>
              <w:t> </w:t>
            </w:r>
            <w:r>
              <w:rPr>
                <w:rFonts w:ascii="Arial MT"/>
                <w:color w:val="231F1F"/>
                <w:spacing w:val="-2"/>
                <w:sz w:val="18"/>
              </w:rPr>
              <w:t>Activa</w:t>
            </w:r>
          </w:p>
        </w:tc>
        <w:tc>
          <w:tcPr>
            <w:tcW w:w="1982" w:type="dxa"/>
            <w:shd w:val="clear" w:color="auto" w:fill="E8C3C8"/>
          </w:tcPr>
          <w:p>
            <w:pPr>
              <w:pStyle w:val="TableParagraph"/>
              <w:spacing w:before="80"/>
              <w:ind w:left="60" w:right="17"/>
              <w:jc w:val="center"/>
              <w:rPr>
                <w:rFonts w:ascii="Arial MT"/>
                <w:sz w:val="18"/>
              </w:rPr>
            </w:pPr>
            <w:r>
              <w:rPr>
                <w:rFonts w:ascii="Arial MT"/>
                <w:color w:val="231F1F"/>
                <w:spacing w:val="-4"/>
                <w:sz w:val="18"/>
              </w:rPr>
              <w:t>TOTAL</w:t>
            </w:r>
            <w:r>
              <w:rPr>
                <w:rFonts w:ascii="Arial MT"/>
                <w:color w:val="231F1F"/>
                <w:spacing w:val="-2"/>
                <w:sz w:val="18"/>
              </w:rPr>
              <w:t> Expulsivo</w:t>
            </w:r>
          </w:p>
        </w:tc>
      </w:tr>
      <w:tr>
        <w:trPr>
          <w:trHeight w:val="388" w:hRule="atLeast"/>
        </w:trPr>
        <w:tc>
          <w:tcPr>
            <w:tcW w:w="1330" w:type="dxa"/>
            <w:vMerge w:val="restart"/>
          </w:tcPr>
          <w:p>
            <w:pPr>
              <w:pStyle w:val="TableParagraph"/>
              <w:spacing w:before="75"/>
              <w:ind w:left="0"/>
              <w:rPr>
                <w:sz w:val="18"/>
              </w:rPr>
            </w:pPr>
          </w:p>
          <w:p>
            <w:pPr>
              <w:pStyle w:val="TableParagraph"/>
              <w:ind w:left="126"/>
              <w:rPr>
                <w:rFonts w:ascii="Arial MT" w:hAnsi="Arial MT"/>
                <w:sz w:val="18"/>
              </w:rPr>
            </w:pPr>
            <w:r>
              <w:rPr>
                <w:rFonts w:ascii="Arial MT" w:hAnsi="Arial MT"/>
                <w:color w:val="231F1F"/>
                <w:spacing w:val="-2"/>
                <w:sz w:val="18"/>
              </w:rPr>
              <w:t>Nulíparas</w:t>
            </w:r>
          </w:p>
        </w:tc>
        <w:tc>
          <w:tcPr>
            <w:tcW w:w="1728" w:type="dxa"/>
          </w:tcPr>
          <w:p>
            <w:pPr>
              <w:pStyle w:val="TableParagraph"/>
              <w:spacing w:before="80"/>
              <w:ind w:left="125"/>
              <w:rPr>
                <w:rFonts w:ascii="Arial MT"/>
                <w:sz w:val="18"/>
              </w:rPr>
            </w:pPr>
            <w:r>
              <w:rPr>
                <w:rFonts w:ascii="Arial MT"/>
                <w:color w:val="231F1F"/>
                <w:spacing w:val="-2"/>
                <w:sz w:val="18"/>
              </w:rPr>
              <w:t>Con</w:t>
            </w:r>
            <w:r>
              <w:rPr>
                <w:rFonts w:ascii="Arial MT"/>
                <w:color w:val="231F1F"/>
                <w:spacing w:val="-10"/>
                <w:sz w:val="18"/>
              </w:rPr>
              <w:t> </w:t>
            </w:r>
            <w:r>
              <w:rPr>
                <w:rFonts w:ascii="Arial MT"/>
                <w:color w:val="231F1F"/>
                <w:spacing w:val="-2"/>
                <w:sz w:val="18"/>
              </w:rPr>
              <w:t>epidural</w:t>
            </w:r>
          </w:p>
        </w:tc>
        <w:tc>
          <w:tcPr>
            <w:tcW w:w="1733" w:type="dxa"/>
          </w:tcPr>
          <w:p>
            <w:pPr>
              <w:pStyle w:val="TableParagraph"/>
              <w:spacing w:before="80"/>
              <w:ind w:left="54"/>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10"/>
                <w:sz w:val="18"/>
              </w:rPr>
              <w:t>h</w:t>
            </w:r>
          </w:p>
        </w:tc>
        <w:tc>
          <w:tcPr>
            <w:tcW w:w="1728" w:type="dxa"/>
          </w:tcPr>
          <w:p>
            <w:pPr>
              <w:pStyle w:val="TableParagraph"/>
              <w:spacing w:before="80"/>
              <w:ind w:left="48"/>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10"/>
                <w:sz w:val="18"/>
              </w:rPr>
              <w:t>h</w:t>
            </w:r>
          </w:p>
        </w:tc>
        <w:tc>
          <w:tcPr>
            <w:tcW w:w="1982" w:type="dxa"/>
          </w:tcPr>
          <w:p>
            <w:pPr>
              <w:pStyle w:val="TableParagraph"/>
              <w:spacing w:before="80"/>
              <w:ind w:left="60" w:right="1"/>
              <w:jc w:val="center"/>
              <w:rPr>
                <w:rFonts w:ascii="Arial MT"/>
                <w:sz w:val="18"/>
              </w:rPr>
            </w:pPr>
            <w:r>
              <w:rPr>
                <w:rFonts w:ascii="Arial MT"/>
                <w:color w:val="231F1F"/>
                <w:sz w:val="18"/>
              </w:rPr>
              <w:t>4</w:t>
            </w:r>
            <w:r>
              <w:rPr>
                <w:rFonts w:ascii="Arial MT"/>
                <w:color w:val="231F1F"/>
                <w:spacing w:val="-5"/>
                <w:sz w:val="18"/>
              </w:rPr>
              <w:t> </w:t>
            </w:r>
            <w:r>
              <w:rPr>
                <w:rFonts w:ascii="Arial MT"/>
                <w:color w:val="231F1F"/>
                <w:spacing w:val="-10"/>
                <w:sz w:val="18"/>
              </w:rPr>
              <w:t>h</w:t>
            </w:r>
          </w:p>
        </w:tc>
      </w:tr>
      <w:tr>
        <w:trPr>
          <w:trHeight w:val="383" w:hRule="atLeast"/>
        </w:trPr>
        <w:tc>
          <w:tcPr>
            <w:tcW w:w="1330" w:type="dxa"/>
            <w:vMerge/>
            <w:tcBorders>
              <w:top w:val="nil"/>
            </w:tcBorders>
          </w:tcPr>
          <w:p>
            <w:pPr>
              <w:rPr>
                <w:sz w:val="2"/>
                <w:szCs w:val="2"/>
              </w:rPr>
            </w:pPr>
          </w:p>
        </w:tc>
        <w:tc>
          <w:tcPr>
            <w:tcW w:w="1728" w:type="dxa"/>
          </w:tcPr>
          <w:p>
            <w:pPr>
              <w:pStyle w:val="TableParagraph"/>
              <w:spacing w:before="80"/>
              <w:ind w:left="125"/>
              <w:rPr>
                <w:rFonts w:ascii="Arial MT"/>
                <w:sz w:val="18"/>
              </w:rPr>
            </w:pPr>
            <w:r>
              <w:rPr>
                <w:rFonts w:ascii="Arial MT"/>
                <w:color w:val="231F1F"/>
                <w:spacing w:val="-4"/>
                <w:sz w:val="18"/>
              </w:rPr>
              <w:t>Sin</w:t>
            </w:r>
            <w:r>
              <w:rPr>
                <w:rFonts w:ascii="Arial MT"/>
                <w:color w:val="231F1F"/>
                <w:spacing w:val="-13"/>
                <w:sz w:val="18"/>
              </w:rPr>
              <w:t> </w:t>
            </w:r>
            <w:r>
              <w:rPr>
                <w:rFonts w:ascii="Arial MT"/>
                <w:color w:val="231F1F"/>
                <w:spacing w:val="-2"/>
                <w:sz w:val="18"/>
              </w:rPr>
              <w:t>epidural</w:t>
            </w:r>
          </w:p>
        </w:tc>
        <w:tc>
          <w:tcPr>
            <w:tcW w:w="1733" w:type="dxa"/>
          </w:tcPr>
          <w:p>
            <w:pPr>
              <w:pStyle w:val="TableParagraph"/>
              <w:spacing w:before="80"/>
              <w:ind w:left="54"/>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10"/>
                <w:sz w:val="18"/>
              </w:rPr>
              <w:t>h</w:t>
            </w:r>
          </w:p>
        </w:tc>
        <w:tc>
          <w:tcPr>
            <w:tcW w:w="1728" w:type="dxa"/>
          </w:tcPr>
          <w:p>
            <w:pPr>
              <w:pStyle w:val="TableParagraph"/>
              <w:spacing w:before="80"/>
              <w:ind w:left="48"/>
              <w:jc w:val="center"/>
              <w:rPr>
                <w:rFonts w:ascii="Arial MT"/>
                <w:sz w:val="18"/>
              </w:rPr>
            </w:pPr>
            <w:r>
              <w:rPr>
                <w:rFonts w:ascii="Arial MT"/>
                <w:color w:val="231F1F"/>
                <w:sz w:val="18"/>
              </w:rPr>
              <w:t>1</w:t>
            </w:r>
            <w:r>
              <w:rPr>
                <w:rFonts w:ascii="Arial MT"/>
                <w:color w:val="231F1F"/>
                <w:spacing w:val="-5"/>
                <w:sz w:val="18"/>
              </w:rPr>
              <w:t> </w:t>
            </w:r>
            <w:r>
              <w:rPr>
                <w:rFonts w:ascii="Arial MT"/>
                <w:color w:val="231F1F"/>
                <w:spacing w:val="-10"/>
                <w:sz w:val="18"/>
              </w:rPr>
              <w:t>h</w:t>
            </w:r>
          </w:p>
        </w:tc>
        <w:tc>
          <w:tcPr>
            <w:tcW w:w="1982" w:type="dxa"/>
          </w:tcPr>
          <w:p>
            <w:pPr>
              <w:pStyle w:val="TableParagraph"/>
              <w:spacing w:before="80"/>
              <w:ind w:left="60" w:right="1"/>
              <w:jc w:val="center"/>
              <w:rPr>
                <w:rFonts w:ascii="Arial MT"/>
                <w:sz w:val="18"/>
              </w:rPr>
            </w:pPr>
            <w:r>
              <w:rPr>
                <w:rFonts w:ascii="Arial MT"/>
                <w:color w:val="231F1F"/>
                <w:sz w:val="18"/>
              </w:rPr>
              <w:t>3</w:t>
            </w:r>
            <w:r>
              <w:rPr>
                <w:rFonts w:ascii="Arial MT"/>
                <w:color w:val="231F1F"/>
                <w:spacing w:val="-5"/>
                <w:sz w:val="18"/>
              </w:rPr>
              <w:t> </w:t>
            </w:r>
            <w:r>
              <w:rPr>
                <w:rFonts w:ascii="Arial MT"/>
                <w:color w:val="231F1F"/>
                <w:spacing w:val="-10"/>
                <w:sz w:val="18"/>
              </w:rPr>
              <w:t>h</w:t>
            </w:r>
          </w:p>
        </w:tc>
      </w:tr>
      <w:tr>
        <w:trPr>
          <w:trHeight w:val="388" w:hRule="atLeast"/>
        </w:trPr>
        <w:tc>
          <w:tcPr>
            <w:tcW w:w="1330" w:type="dxa"/>
            <w:vMerge w:val="restart"/>
          </w:tcPr>
          <w:p>
            <w:pPr>
              <w:pStyle w:val="TableParagraph"/>
              <w:spacing w:before="75"/>
              <w:ind w:left="0"/>
              <w:rPr>
                <w:sz w:val="18"/>
              </w:rPr>
            </w:pPr>
          </w:p>
          <w:p>
            <w:pPr>
              <w:pStyle w:val="TableParagraph"/>
              <w:ind w:left="126"/>
              <w:rPr>
                <w:rFonts w:ascii="Arial MT" w:hAnsi="Arial MT"/>
                <w:sz w:val="18"/>
              </w:rPr>
            </w:pPr>
            <w:r>
              <w:rPr>
                <w:rFonts w:ascii="Arial MT" w:hAnsi="Arial MT"/>
                <w:color w:val="231F1F"/>
                <w:spacing w:val="-2"/>
                <w:sz w:val="18"/>
              </w:rPr>
              <w:t>Multíparas</w:t>
            </w:r>
          </w:p>
        </w:tc>
        <w:tc>
          <w:tcPr>
            <w:tcW w:w="1728" w:type="dxa"/>
          </w:tcPr>
          <w:p>
            <w:pPr>
              <w:pStyle w:val="TableParagraph"/>
              <w:spacing w:before="85"/>
              <w:ind w:left="125"/>
              <w:rPr>
                <w:rFonts w:ascii="Arial MT"/>
                <w:sz w:val="18"/>
              </w:rPr>
            </w:pPr>
            <w:r>
              <w:rPr>
                <w:rFonts w:ascii="Arial MT"/>
                <w:color w:val="231F1F"/>
                <w:spacing w:val="-2"/>
                <w:sz w:val="18"/>
              </w:rPr>
              <w:t>Con</w:t>
            </w:r>
            <w:r>
              <w:rPr>
                <w:rFonts w:ascii="Arial MT"/>
                <w:color w:val="231F1F"/>
                <w:spacing w:val="-10"/>
                <w:sz w:val="18"/>
              </w:rPr>
              <w:t> </w:t>
            </w:r>
            <w:r>
              <w:rPr>
                <w:rFonts w:ascii="Arial MT"/>
                <w:color w:val="231F1F"/>
                <w:spacing w:val="-2"/>
                <w:sz w:val="18"/>
              </w:rPr>
              <w:t>epidural</w:t>
            </w:r>
          </w:p>
        </w:tc>
        <w:tc>
          <w:tcPr>
            <w:tcW w:w="1733" w:type="dxa"/>
          </w:tcPr>
          <w:p>
            <w:pPr>
              <w:pStyle w:val="TableParagraph"/>
              <w:spacing w:before="85"/>
              <w:ind w:left="54"/>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10"/>
                <w:sz w:val="18"/>
              </w:rPr>
              <w:t>h</w:t>
            </w:r>
          </w:p>
        </w:tc>
        <w:tc>
          <w:tcPr>
            <w:tcW w:w="1728" w:type="dxa"/>
          </w:tcPr>
          <w:p>
            <w:pPr>
              <w:pStyle w:val="TableParagraph"/>
              <w:spacing w:before="85"/>
              <w:ind w:left="48"/>
              <w:jc w:val="center"/>
              <w:rPr>
                <w:rFonts w:ascii="Arial MT"/>
                <w:sz w:val="18"/>
              </w:rPr>
            </w:pPr>
            <w:r>
              <w:rPr>
                <w:rFonts w:ascii="Arial MT"/>
                <w:color w:val="231F1F"/>
                <w:sz w:val="18"/>
              </w:rPr>
              <w:t>1</w:t>
            </w:r>
            <w:r>
              <w:rPr>
                <w:rFonts w:ascii="Arial MT"/>
                <w:color w:val="231F1F"/>
                <w:spacing w:val="-5"/>
                <w:sz w:val="18"/>
              </w:rPr>
              <w:t> </w:t>
            </w:r>
            <w:r>
              <w:rPr>
                <w:rFonts w:ascii="Arial MT"/>
                <w:color w:val="231F1F"/>
                <w:spacing w:val="-10"/>
                <w:sz w:val="18"/>
              </w:rPr>
              <w:t>h</w:t>
            </w:r>
          </w:p>
        </w:tc>
        <w:tc>
          <w:tcPr>
            <w:tcW w:w="1982" w:type="dxa"/>
          </w:tcPr>
          <w:p>
            <w:pPr>
              <w:pStyle w:val="TableParagraph"/>
              <w:spacing w:before="85"/>
              <w:ind w:left="60" w:right="1"/>
              <w:jc w:val="center"/>
              <w:rPr>
                <w:rFonts w:ascii="Arial MT"/>
                <w:sz w:val="18"/>
              </w:rPr>
            </w:pPr>
            <w:r>
              <w:rPr>
                <w:rFonts w:ascii="Arial MT"/>
                <w:color w:val="231F1F"/>
                <w:sz w:val="18"/>
              </w:rPr>
              <w:t>3</w:t>
            </w:r>
            <w:r>
              <w:rPr>
                <w:rFonts w:ascii="Arial MT"/>
                <w:color w:val="231F1F"/>
                <w:spacing w:val="-5"/>
                <w:sz w:val="18"/>
              </w:rPr>
              <w:t> </w:t>
            </w:r>
            <w:r>
              <w:rPr>
                <w:rFonts w:ascii="Arial MT"/>
                <w:color w:val="231F1F"/>
                <w:spacing w:val="-10"/>
                <w:sz w:val="18"/>
              </w:rPr>
              <w:t>h</w:t>
            </w:r>
          </w:p>
        </w:tc>
      </w:tr>
      <w:tr>
        <w:trPr>
          <w:trHeight w:val="388" w:hRule="atLeast"/>
        </w:trPr>
        <w:tc>
          <w:tcPr>
            <w:tcW w:w="1330" w:type="dxa"/>
            <w:vMerge/>
            <w:tcBorders>
              <w:top w:val="nil"/>
            </w:tcBorders>
          </w:tcPr>
          <w:p>
            <w:pPr>
              <w:rPr>
                <w:sz w:val="2"/>
                <w:szCs w:val="2"/>
              </w:rPr>
            </w:pPr>
          </w:p>
        </w:tc>
        <w:tc>
          <w:tcPr>
            <w:tcW w:w="1728" w:type="dxa"/>
          </w:tcPr>
          <w:p>
            <w:pPr>
              <w:pStyle w:val="TableParagraph"/>
              <w:spacing w:before="80"/>
              <w:ind w:left="125"/>
              <w:rPr>
                <w:rFonts w:ascii="Arial MT"/>
                <w:sz w:val="18"/>
              </w:rPr>
            </w:pPr>
            <w:r>
              <w:rPr>
                <w:rFonts w:ascii="Arial MT"/>
                <w:color w:val="231F1F"/>
                <w:spacing w:val="-4"/>
                <w:sz w:val="18"/>
              </w:rPr>
              <w:t>Sin</w:t>
            </w:r>
            <w:r>
              <w:rPr>
                <w:rFonts w:ascii="Arial MT"/>
                <w:color w:val="231F1F"/>
                <w:spacing w:val="-13"/>
                <w:sz w:val="18"/>
              </w:rPr>
              <w:t> </w:t>
            </w:r>
            <w:r>
              <w:rPr>
                <w:rFonts w:ascii="Arial MT"/>
                <w:color w:val="231F1F"/>
                <w:spacing w:val="-2"/>
                <w:sz w:val="18"/>
              </w:rPr>
              <w:t>epidural</w:t>
            </w:r>
          </w:p>
        </w:tc>
        <w:tc>
          <w:tcPr>
            <w:tcW w:w="1733" w:type="dxa"/>
          </w:tcPr>
          <w:p>
            <w:pPr>
              <w:pStyle w:val="TableParagraph"/>
              <w:spacing w:before="80"/>
              <w:ind w:left="54"/>
              <w:jc w:val="center"/>
              <w:rPr>
                <w:rFonts w:ascii="Arial MT"/>
                <w:sz w:val="18"/>
              </w:rPr>
            </w:pPr>
            <w:r>
              <w:rPr>
                <w:rFonts w:ascii="Arial MT"/>
                <w:color w:val="231F1F"/>
                <w:sz w:val="18"/>
              </w:rPr>
              <w:t>1</w:t>
            </w:r>
            <w:r>
              <w:rPr>
                <w:rFonts w:ascii="Arial MT"/>
                <w:color w:val="231F1F"/>
                <w:spacing w:val="-5"/>
                <w:sz w:val="18"/>
              </w:rPr>
              <w:t> </w:t>
            </w:r>
            <w:r>
              <w:rPr>
                <w:rFonts w:ascii="Arial MT"/>
                <w:color w:val="231F1F"/>
                <w:spacing w:val="-10"/>
                <w:sz w:val="18"/>
              </w:rPr>
              <w:t>h</w:t>
            </w:r>
          </w:p>
        </w:tc>
        <w:tc>
          <w:tcPr>
            <w:tcW w:w="1728" w:type="dxa"/>
          </w:tcPr>
          <w:p>
            <w:pPr>
              <w:pStyle w:val="TableParagraph"/>
              <w:spacing w:before="80"/>
              <w:ind w:left="48"/>
              <w:jc w:val="center"/>
              <w:rPr>
                <w:rFonts w:ascii="Arial MT"/>
                <w:sz w:val="18"/>
              </w:rPr>
            </w:pPr>
            <w:r>
              <w:rPr>
                <w:rFonts w:ascii="Arial MT"/>
                <w:color w:val="231F1F"/>
                <w:sz w:val="18"/>
              </w:rPr>
              <w:t>1</w:t>
            </w:r>
            <w:r>
              <w:rPr>
                <w:rFonts w:ascii="Arial MT"/>
                <w:color w:val="231F1F"/>
                <w:spacing w:val="-5"/>
                <w:sz w:val="18"/>
              </w:rPr>
              <w:t> </w:t>
            </w:r>
            <w:r>
              <w:rPr>
                <w:rFonts w:ascii="Arial MT"/>
                <w:color w:val="231F1F"/>
                <w:spacing w:val="-10"/>
                <w:sz w:val="18"/>
              </w:rPr>
              <w:t>h</w:t>
            </w:r>
          </w:p>
        </w:tc>
        <w:tc>
          <w:tcPr>
            <w:tcW w:w="1982" w:type="dxa"/>
          </w:tcPr>
          <w:p>
            <w:pPr>
              <w:pStyle w:val="TableParagraph"/>
              <w:spacing w:before="80"/>
              <w:ind w:left="60"/>
              <w:jc w:val="center"/>
              <w:rPr>
                <w:rFonts w:ascii="Arial MT"/>
                <w:sz w:val="18"/>
              </w:rPr>
            </w:pPr>
            <w:r>
              <w:rPr>
                <w:rFonts w:ascii="Arial MT"/>
                <w:color w:val="231F1F"/>
                <w:sz w:val="18"/>
              </w:rPr>
              <w:t>2</w:t>
            </w:r>
            <w:r>
              <w:rPr>
                <w:rFonts w:ascii="Arial MT"/>
                <w:color w:val="231F1F"/>
                <w:spacing w:val="-5"/>
                <w:sz w:val="18"/>
              </w:rPr>
              <w:t> </w:t>
            </w:r>
            <w:r>
              <w:rPr>
                <w:rFonts w:ascii="Arial MT"/>
                <w:color w:val="231F1F"/>
                <w:spacing w:val="-10"/>
                <w:sz w:val="18"/>
              </w:rPr>
              <w:t>h</w:t>
            </w:r>
          </w:p>
        </w:tc>
      </w:tr>
    </w:tbl>
    <w:p>
      <w:pPr>
        <w:pStyle w:val="TableParagraph"/>
        <w:spacing w:after="0"/>
        <w:jc w:val="center"/>
        <w:rPr>
          <w:rFonts w:ascii="Arial MT"/>
          <w:sz w:val="18"/>
        </w:rPr>
        <w:sectPr>
          <w:pgSz w:w="11900" w:h="16840"/>
          <w:pgMar w:header="0" w:footer="622" w:top="1520" w:bottom="820" w:left="1417" w:right="1559"/>
        </w:sectPr>
      </w:pPr>
    </w:p>
    <w:p>
      <w:pPr>
        <w:pStyle w:val="Heading2"/>
        <w:spacing w:before="73"/>
        <w:ind w:left="282" w:firstLine="0"/>
      </w:pPr>
      <w:bookmarkStart w:name="_TOC_250004" w:id="52"/>
      <w:r>
        <w:rPr>
          <w:color w:val="231F1F"/>
        </w:rPr>
        <w:t>Anexo</w:t>
      </w:r>
      <w:r>
        <w:rPr>
          <w:color w:val="231F1F"/>
          <w:spacing w:val="28"/>
        </w:rPr>
        <w:t> </w:t>
      </w:r>
      <w:r>
        <w:rPr>
          <w:color w:val="231F1F"/>
        </w:rPr>
        <w:t>7.</w:t>
      </w:r>
      <w:r>
        <w:rPr>
          <w:color w:val="231F1F"/>
          <w:spacing w:val="21"/>
        </w:rPr>
        <w:t>  </w:t>
      </w:r>
      <w:r>
        <w:rPr>
          <w:color w:val="231F1F"/>
        </w:rPr>
        <w:t>Piel</w:t>
      </w:r>
      <w:r>
        <w:rPr>
          <w:color w:val="231F1F"/>
          <w:spacing w:val="25"/>
        </w:rPr>
        <w:t> </w:t>
      </w:r>
      <w:r>
        <w:rPr>
          <w:color w:val="231F1F"/>
        </w:rPr>
        <w:t>con</w:t>
      </w:r>
      <w:r>
        <w:rPr>
          <w:color w:val="231F1F"/>
          <w:spacing w:val="28"/>
        </w:rPr>
        <w:t> </w:t>
      </w:r>
      <w:bookmarkEnd w:id="52"/>
      <w:r>
        <w:rPr>
          <w:color w:val="231F1F"/>
          <w:spacing w:val="-4"/>
        </w:rPr>
        <w:t>Piel</w:t>
      </w:r>
    </w:p>
    <w:p>
      <w:pPr>
        <w:pStyle w:val="BodyText"/>
        <w:spacing w:before="118"/>
        <w:rPr>
          <w:sz w:val="36"/>
        </w:rPr>
      </w:pPr>
    </w:p>
    <w:p>
      <w:pPr>
        <w:spacing w:before="0"/>
        <w:ind w:left="283" w:right="0" w:firstLine="0"/>
        <w:jc w:val="left"/>
        <w:rPr>
          <w:rFonts w:ascii="Arial MT" w:hAnsi="Arial MT"/>
          <w:sz w:val="24"/>
        </w:rPr>
      </w:pPr>
      <w:r>
        <w:rPr>
          <w:rFonts w:ascii="Arial MT" w:hAnsi="Arial MT"/>
          <w:color w:val="231F1F"/>
          <w:w w:val="105"/>
          <w:sz w:val="24"/>
        </w:rPr>
        <w:t>Recién</w:t>
      </w:r>
      <w:r>
        <w:rPr>
          <w:rFonts w:ascii="Arial MT" w:hAnsi="Arial MT"/>
          <w:color w:val="231F1F"/>
          <w:spacing w:val="-11"/>
          <w:w w:val="105"/>
          <w:sz w:val="24"/>
        </w:rPr>
        <w:t> </w:t>
      </w:r>
      <w:r>
        <w:rPr>
          <w:rFonts w:ascii="Arial MT" w:hAnsi="Arial MT"/>
          <w:color w:val="231F1F"/>
          <w:w w:val="105"/>
          <w:sz w:val="24"/>
        </w:rPr>
        <w:t>nacidos</w:t>
      </w:r>
      <w:r>
        <w:rPr>
          <w:rFonts w:ascii="Arial MT" w:hAnsi="Arial MT"/>
          <w:color w:val="231F1F"/>
          <w:spacing w:val="-11"/>
          <w:w w:val="105"/>
          <w:sz w:val="24"/>
        </w:rPr>
        <w:t> </w:t>
      </w:r>
      <w:r>
        <w:rPr>
          <w:rFonts w:ascii="Arial MT" w:hAnsi="Arial MT"/>
          <w:color w:val="231F1F"/>
          <w:w w:val="105"/>
          <w:sz w:val="24"/>
        </w:rPr>
        <w:t>tributarios</w:t>
      </w:r>
      <w:r>
        <w:rPr>
          <w:rFonts w:ascii="Arial MT" w:hAnsi="Arial MT"/>
          <w:color w:val="231F1F"/>
          <w:spacing w:val="-11"/>
          <w:w w:val="105"/>
          <w:sz w:val="24"/>
        </w:rPr>
        <w:t> </w:t>
      </w:r>
      <w:r>
        <w:rPr>
          <w:rFonts w:ascii="Arial MT" w:hAnsi="Arial MT"/>
          <w:color w:val="231F1F"/>
          <w:w w:val="105"/>
          <w:sz w:val="24"/>
        </w:rPr>
        <w:t>del</w:t>
      </w:r>
      <w:r>
        <w:rPr>
          <w:rFonts w:ascii="Arial MT" w:hAnsi="Arial MT"/>
          <w:color w:val="231F1F"/>
          <w:spacing w:val="-11"/>
          <w:w w:val="105"/>
          <w:sz w:val="24"/>
        </w:rPr>
        <w:t> </w:t>
      </w:r>
      <w:r>
        <w:rPr>
          <w:rFonts w:ascii="Arial MT" w:hAnsi="Arial MT"/>
          <w:color w:val="231F1F"/>
          <w:w w:val="105"/>
          <w:sz w:val="24"/>
        </w:rPr>
        <w:t>Contacto</w:t>
      </w:r>
      <w:r>
        <w:rPr>
          <w:rFonts w:ascii="Arial MT" w:hAnsi="Arial MT"/>
          <w:color w:val="231F1F"/>
          <w:spacing w:val="-10"/>
          <w:w w:val="105"/>
          <w:sz w:val="24"/>
        </w:rPr>
        <w:t> </w:t>
      </w:r>
      <w:r>
        <w:rPr>
          <w:rFonts w:ascii="Arial MT" w:hAnsi="Arial MT"/>
          <w:color w:val="231F1F"/>
          <w:w w:val="105"/>
          <w:sz w:val="24"/>
        </w:rPr>
        <w:t>Piel</w:t>
      </w:r>
      <w:r>
        <w:rPr>
          <w:rFonts w:ascii="Arial MT" w:hAnsi="Arial MT"/>
          <w:color w:val="231F1F"/>
          <w:spacing w:val="-12"/>
          <w:w w:val="105"/>
          <w:sz w:val="24"/>
        </w:rPr>
        <w:t> </w:t>
      </w:r>
      <w:r>
        <w:rPr>
          <w:rFonts w:ascii="Arial MT" w:hAnsi="Arial MT"/>
          <w:color w:val="231F1F"/>
          <w:w w:val="105"/>
          <w:sz w:val="24"/>
        </w:rPr>
        <w:t>Con</w:t>
      </w:r>
      <w:r>
        <w:rPr>
          <w:rFonts w:ascii="Arial MT" w:hAnsi="Arial MT"/>
          <w:color w:val="231F1F"/>
          <w:spacing w:val="-9"/>
          <w:w w:val="105"/>
          <w:sz w:val="24"/>
        </w:rPr>
        <w:t> </w:t>
      </w:r>
      <w:r>
        <w:rPr>
          <w:rFonts w:ascii="Arial MT" w:hAnsi="Arial MT"/>
          <w:color w:val="231F1F"/>
          <w:spacing w:val="-2"/>
          <w:w w:val="105"/>
          <w:sz w:val="24"/>
        </w:rPr>
        <w:t>Piel.</w:t>
      </w:r>
    </w:p>
    <w:p>
      <w:pPr>
        <w:pStyle w:val="BodyText"/>
        <w:spacing w:line="244" w:lineRule="auto" w:before="210"/>
        <w:ind w:left="283"/>
      </w:pPr>
      <w:r>
        <w:rPr>
          <w:color w:val="231F1F"/>
          <w:w w:val="105"/>
        </w:rPr>
        <w:t>Puede</w:t>
      </w:r>
      <w:r>
        <w:rPr>
          <w:color w:val="231F1F"/>
          <w:spacing w:val="-8"/>
          <w:w w:val="105"/>
        </w:rPr>
        <w:t> </w:t>
      </w:r>
      <w:r>
        <w:rPr>
          <w:color w:val="231F1F"/>
          <w:w w:val="105"/>
        </w:rPr>
        <w:t>realizarse</w:t>
      </w:r>
      <w:r>
        <w:rPr>
          <w:color w:val="231F1F"/>
          <w:spacing w:val="-7"/>
          <w:w w:val="105"/>
        </w:rPr>
        <w:t> </w:t>
      </w:r>
      <w:r>
        <w:rPr>
          <w:color w:val="231F1F"/>
          <w:w w:val="105"/>
        </w:rPr>
        <w:t>contacto</w:t>
      </w:r>
      <w:r>
        <w:rPr>
          <w:color w:val="231F1F"/>
          <w:spacing w:val="-6"/>
          <w:w w:val="105"/>
        </w:rPr>
        <w:t> </w:t>
      </w:r>
      <w:r>
        <w:rPr>
          <w:color w:val="231F1F"/>
          <w:w w:val="105"/>
        </w:rPr>
        <w:t>piel</w:t>
      </w:r>
      <w:r>
        <w:rPr>
          <w:color w:val="231F1F"/>
          <w:spacing w:val="-8"/>
          <w:w w:val="105"/>
        </w:rPr>
        <w:t> </w:t>
      </w:r>
      <w:r>
        <w:rPr>
          <w:color w:val="231F1F"/>
          <w:w w:val="105"/>
        </w:rPr>
        <w:t>con</w:t>
      </w:r>
      <w:r>
        <w:rPr>
          <w:color w:val="231F1F"/>
          <w:spacing w:val="-6"/>
          <w:w w:val="105"/>
        </w:rPr>
        <w:t> </w:t>
      </w:r>
      <w:r>
        <w:rPr>
          <w:color w:val="231F1F"/>
          <w:w w:val="105"/>
        </w:rPr>
        <w:t>piel</w:t>
      </w:r>
      <w:r>
        <w:rPr>
          <w:color w:val="231F1F"/>
          <w:spacing w:val="-8"/>
          <w:w w:val="105"/>
        </w:rPr>
        <w:t> </w:t>
      </w:r>
      <w:r>
        <w:rPr>
          <w:color w:val="231F1F"/>
          <w:w w:val="105"/>
        </w:rPr>
        <w:t>sin</w:t>
      </w:r>
      <w:r>
        <w:rPr>
          <w:color w:val="231F1F"/>
          <w:spacing w:val="-6"/>
          <w:w w:val="105"/>
        </w:rPr>
        <w:t> </w:t>
      </w:r>
      <w:r>
        <w:rPr>
          <w:color w:val="231F1F"/>
          <w:w w:val="105"/>
        </w:rPr>
        <w:t>restricciones</w:t>
      </w:r>
      <w:r>
        <w:rPr>
          <w:color w:val="231F1F"/>
          <w:spacing w:val="-6"/>
          <w:w w:val="105"/>
        </w:rPr>
        <w:t> </w:t>
      </w:r>
      <w:r>
        <w:rPr>
          <w:color w:val="231F1F"/>
          <w:w w:val="105"/>
        </w:rPr>
        <w:t>y</w:t>
      </w:r>
      <w:r>
        <w:rPr>
          <w:color w:val="231F1F"/>
          <w:spacing w:val="-6"/>
          <w:w w:val="105"/>
        </w:rPr>
        <w:t> </w:t>
      </w:r>
      <w:r>
        <w:rPr>
          <w:color w:val="231F1F"/>
          <w:w w:val="105"/>
        </w:rPr>
        <w:t>siempre</w:t>
      </w:r>
      <w:r>
        <w:rPr>
          <w:color w:val="231F1F"/>
          <w:spacing w:val="-8"/>
          <w:w w:val="105"/>
        </w:rPr>
        <w:t> </w:t>
      </w:r>
      <w:r>
        <w:rPr>
          <w:color w:val="231F1F"/>
          <w:w w:val="105"/>
        </w:rPr>
        <w:t>que</w:t>
      </w:r>
      <w:r>
        <w:rPr>
          <w:color w:val="231F1F"/>
          <w:spacing w:val="-8"/>
          <w:w w:val="105"/>
        </w:rPr>
        <w:t> </w:t>
      </w:r>
      <w:r>
        <w:rPr>
          <w:color w:val="231F1F"/>
          <w:w w:val="105"/>
        </w:rPr>
        <w:t>se</w:t>
      </w:r>
      <w:r>
        <w:rPr>
          <w:color w:val="231F1F"/>
          <w:spacing w:val="-8"/>
          <w:w w:val="105"/>
        </w:rPr>
        <w:t> </w:t>
      </w:r>
      <w:r>
        <w:rPr>
          <w:color w:val="231F1F"/>
          <w:w w:val="105"/>
        </w:rPr>
        <w:t>garantice</w:t>
      </w:r>
      <w:r>
        <w:rPr>
          <w:color w:val="231F1F"/>
          <w:spacing w:val="-8"/>
          <w:w w:val="105"/>
        </w:rPr>
        <w:t> </w:t>
      </w:r>
      <w:r>
        <w:rPr>
          <w:color w:val="231F1F"/>
          <w:w w:val="105"/>
        </w:rPr>
        <w:t>la</w:t>
      </w:r>
      <w:r>
        <w:rPr>
          <w:color w:val="231F1F"/>
          <w:spacing w:val="-7"/>
          <w:w w:val="105"/>
        </w:rPr>
        <w:t> </w:t>
      </w:r>
      <w:r>
        <w:rPr>
          <w:color w:val="231F1F"/>
          <w:w w:val="105"/>
        </w:rPr>
        <w:t>vigi- lancia durante el procedimiento en los siguientes casos:</w:t>
      </w:r>
    </w:p>
    <w:p>
      <w:pPr>
        <w:pStyle w:val="ListParagraph"/>
        <w:numPr>
          <w:ilvl w:val="0"/>
          <w:numId w:val="103"/>
        </w:numPr>
        <w:tabs>
          <w:tab w:pos="953" w:val="left" w:leader="none"/>
        </w:tabs>
        <w:spacing w:line="240" w:lineRule="auto" w:before="137" w:after="0"/>
        <w:ind w:left="953" w:right="0" w:hanging="218"/>
        <w:jc w:val="both"/>
        <w:rPr>
          <w:sz w:val="22"/>
        </w:rPr>
      </w:pPr>
      <w:r>
        <w:rPr>
          <w:color w:val="231F1F"/>
          <w:w w:val="110"/>
          <w:sz w:val="22"/>
        </w:rPr>
        <w:t>RNs</w:t>
      </w:r>
      <w:r>
        <w:rPr>
          <w:color w:val="231F1F"/>
          <w:spacing w:val="-10"/>
          <w:w w:val="110"/>
          <w:sz w:val="22"/>
        </w:rPr>
        <w:t> </w:t>
      </w:r>
      <w:r>
        <w:rPr>
          <w:color w:val="231F1F"/>
          <w:w w:val="110"/>
          <w:sz w:val="22"/>
        </w:rPr>
        <w:t>a</w:t>
      </w:r>
      <w:r>
        <w:rPr>
          <w:color w:val="231F1F"/>
          <w:spacing w:val="-8"/>
          <w:w w:val="110"/>
          <w:sz w:val="22"/>
        </w:rPr>
        <w:t> </w:t>
      </w:r>
      <w:r>
        <w:rPr>
          <w:color w:val="231F1F"/>
          <w:w w:val="110"/>
          <w:sz w:val="22"/>
        </w:rPr>
        <w:t>término</w:t>
      </w:r>
      <w:r>
        <w:rPr>
          <w:color w:val="231F1F"/>
          <w:spacing w:val="-10"/>
          <w:w w:val="110"/>
          <w:sz w:val="22"/>
        </w:rPr>
        <w:t> </w:t>
      </w:r>
      <w:r>
        <w:rPr>
          <w:color w:val="231F1F"/>
          <w:w w:val="110"/>
          <w:sz w:val="22"/>
        </w:rPr>
        <w:t>(o</w:t>
      </w:r>
      <w:r>
        <w:rPr>
          <w:color w:val="231F1F"/>
          <w:spacing w:val="-8"/>
          <w:w w:val="110"/>
          <w:sz w:val="22"/>
        </w:rPr>
        <w:t> </w:t>
      </w:r>
      <w:r>
        <w:rPr>
          <w:color w:val="231F1F"/>
          <w:w w:val="110"/>
          <w:sz w:val="22"/>
        </w:rPr>
        <w:t>en</w:t>
      </w:r>
      <w:r>
        <w:rPr>
          <w:color w:val="231F1F"/>
          <w:spacing w:val="-10"/>
          <w:w w:val="110"/>
          <w:sz w:val="22"/>
        </w:rPr>
        <w:t> </w:t>
      </w:r>
      <w:r>
        <w:rPr>
          <w:color w:val="231F1F"/>
          <w:w w:val="110"/>
          <w:sz w:val="22"/>
        </w:rPr>
        <w:t>el</w:t>
      </w:r>
      <w:r>
        <w:rPr>
          <w:color w:val="231F1F"/>
          <w:spacing w:val="-8"/>
          <w:w w:val="110"/>
          <w:sz w:val="22"/>
        </w:rPr>
        <w:t> </w:t>
      </w:r>
      <w:r>
        <w:rPr>
          <w:color w:val="231F1F"/>
          <w:w w:val="110"/>
          <w:sz w:val="22"/>
        </w:rPr>
        <w:t>pretérmino</w:t>
      </w:r>
      <w:r>
        <w:rPr>
          <w:color w:val="231F1F"/>
          <w:spacing w:val="-10"/>
          <w:w w:val="110"/>
          <w:sz w:val="22"/>
        </w:rPr>
        <w:t> </w:t>
      </w:r>
      <w:r>
        <w:rPr>
          <w:color w:val="231F1F"/>
          <w:spacing w:val="-2"/>
          <w:w w:val="110"/>
          <w:sz w:val="22"/>
        </w:rPr>
        <w:t>tardío)</w:t>
      </w:r>
    </w:p>
    <w:p>
      <w:pPr>
        <w:pStyle w:val="ListParagraph"/>
        <w:numPr>
          <w:ilvl w:val="0"/>
          <w:numId w:val="103"/>
        </w:numPr>
        <w:tabs>
          <w:tab w:pos="953" w:val="left" w:leader="none"/>
        </w:tabs>
        <w:spacing w:line="240" w:lineRule="auto" w:before="155" w:after="0"/>
        <w:ind w:left="953" w:right="0" w:hanging="218"/>
        <w:jc w:val="both"/>
        <w:rPr>
          <w:sz w:val="22"/>
        </w:rPr>
      </w:pPr>
      <w:r>
        <w:rPr>
          <w:color w:val="231F1F"/>
          <w:sz w:val="22"/>
        </w:rPr>
        <w:t>Recién</w:t>
      </w:r>
      <w:r>
        <w:rPr>
          <w:color w:val="231F1F"/>
          <w:spacing w:val="40"/>
          <w:sz w:val="22"/>
        </w:rPr>
        <w:t> </w:t>
      </w:r>
      <w:r>
        <w:rPr>
          <w:color w:val="231F1F"/>
          <w:sz w:val="22"/>
        </w:rPr>
        <w:t>nacidos</w:t>
      </w:r>
      <w:r>
        <w:rPr>
          <w:color w:val="231F1F"/>
          <w:spacing w:val="42"/>
          <w:sz w:val="22"/>
        </w:rPr>
        <w:t> </w:t>
      </w:r>
      <w:r>
        <w:rPr>
          <w:color w:val="231F1F"/>
          <w:sz w:val="22"/>
        </w:rPr>
        <w:t>considerados</w:t>
      </w:r>
      <w:r>
        <w:rPr>
          <w:color w:val="231F1F"/>
          <w:spacing w:val="44"/>
          <w:sz w:val="22"/>
        </w:rPr>
        <w:t> </w:t>
      </w:r>
      <w:r>
        <w:rPr>
          <w:color w:val="231F1F"/>
          <w:sz w:val="22"/>
        </w:rPr>
        <w:t>adecuados</w:t>
      </w:r>
      <w:r>
        <w:rPr>
          <w:color w:val="231F1F"/>
          <w:spacing w:val="44"/>
          <w:sz w:val="22"/>
        </w:rPr>
        <w:t> </w:t>
      </w:r>
      <w:r>
        <w:rPr>
          <w:color w:val="231F1F"/>
          <w:sz w:val="22"/>
        </w:rPr>
        <w:t>para</w:t>
      </w:r>
      <w:r>
        <w:rPr>
          <w:color w:val="231F1F"/>
          <w:spacing w:val="42"/>
          <w:sz w:val="22"/>
        </w:rPr>
        <w:t> </w:t>
      </w:r>
      <w:r>
        <w:rPr>
          <w:color w:val="231F1F"/>
          <w:sz w:val="22"/>
        </w:rPr>
        <w:t>ello</w:t>
      </w:r>
      <w:r>
        <w:rPr>
          <w:color w:val="231F1F"/>
          <w:spacing w:val="42"/>
          <w:sz w:val="22"/>
        </w:rPr>
        <w:t> </w:t>
      </w:r>
      <w:r>
        <w:rPr>
          <w:color w:val="231F1F"/>
          <w:sz w:val="22"/>
        </w:rPr>
        <w:t>por</w:t>
      </w:r>
      <w:r>
        <w:rPr>
          <w:color w:val="231F1F"/>
          <w:spacing w:val="41"/>
          <w:sz w:val="22"/>
        </w:rPr>
        <w:t> </w:t>
      </w:r>
      <w:r>
        <w:rPr>
          <w:color w:val="231F1F"/>
          <w:sz w:val="22"/>
        </w:rPr>
        <w:t>el</w:t>
      </w:r>
      <w:r>
        <w:rPr>
          <w:color w:val="231F1F"/>
          <w:spacing w:val="43"/>
          <w:sz w:val="22"/>
        </w:rPr>
        <w:t> </w:t>
      </w:r>
      <w:r>
        <w:rPr>
          <w:color w:val="231F1F"/>
          <w:sz w:val="22"/>
        </w:rPr>
        <w:t>personal</w:t>
      </w:r>
      <w:r>
        <w:rPr>
          <w:color w:val="231F1F"/>
          <w:spacing w:val="40"/>
          <w:sz w:val="22"/>
        </w:rPr>
        <w:t> </w:t>
      </w:r>
      <w:r>
        <w:rPr>
          <w:color w:val="231F1F"/>
          <w:spacing w:val="-2"/>
          <w:sz w:val="22"/>
        </w:rPr>
        <w:t>competente.</w:t>
      </w:r>
    </w:p>
    <w:p>
      <w:pPr>
        <w:pStyle w:val="BodyText"/>
        <w:spacing w:line="247" w:lineRule="auto" w:before="150"/>
        <w:ind w:left="283" w:right="124" w:firstLine="453"/>
        <w:jc w:val="both"/>
      </w:pPr>
      <w:r>
        <w:rPr>
          <w:color w:val="231F1F"/>
          <w:w w:val="110"/>
        </w:rPr>
        <w:t>Los</w:t>
      </w:r>
      <w:r>
        <w:rPr>
          <w:color w:val="231F1F"/>
          <w:spacing w:val="-15"/>
          <w:w w:val="110"/>
        </w:rPr>
        <w:t> </w:t>
      </w:r>
      <w:r>
        <w:rPr>
          <w:color w:val="231F1F"/>
          <w:w w:val="110"/>
        </w:rPr>
        <w:t>procedimientos</w:t>
      </w:r>
      <w:r>
        <w:rPr>
          <w:color w:val="231F1F"/>
          <w:spacing w:val="-15"/>
          <w:w w:val="110"/>
        </w:rPr>
        <w:t> </w:t>
      </w:r>
      <w:r>
        <w:rPr>
          <w:color w:val="231F1F"/>
          <w:w w:val="110"/>
        </w:rPr>
        <w:t>y</w:t>
      </w:r>
      <w:r>
        <w:rPr>
          <w:color w:val="231F1F"/>
          <w:spacing w:val="-14"/>
          <w:w w:val="110"/>
        </w:rPr>
        <w:t> </w:t>
      </w:r>
      <w:r>
        <w:rPr>
          <w:color w:val="231F1F"/>
          <w:w w:val="110"/>
        </w:rPr>
        <w:t>las</w:t>
      </w:r>
      <w:r>
        <w:rPr>
          <w:color w:val="231F1F"/>
          <w:spacing w:val="-15"/>
          <w:w w:val="110"/>
        </w:rPr>
        <w:t> </w:t>
      </w:r>
      <w:r>
        <w:rPr>
          <w:color w:val="231F1F"/>
          <w:w w:val="110"/>
        </w:rPr>
        <w:t>medidas</w:t>
      </w:r>
      <w:r>
        <w:rPr>
          <w:color w:val="231F1F"/>
          <w:spacing w:val="-15"/>
          <w:w w:val="110"/>
        </w:rPr>
        <w:t> </w:t>
      </w:r>
      <w:r>
        <w:rPr>
          <w:color w:val="231F1F"/>
          <w:w w:val="110"/>
        </w:rPr>
        <w:t>médicas</w:t>
      </w:r>
      <w:r>
        <w:rPr>
          <w:color w:val="231F1F"/>
          <w:spacing w:val="-15"/>
          <w:w w:val="110"/>
        </w:rPr>
        <w:t> </w:t>
      </w:r>
      <w:r>
        <w:rPr>
          <w:color w:val="231F1F"/>
          <w:w w:val="110"/>
        </w:rPr>
        <w:t>no</w:t>
      </w:r>
      <w:r>
        <w:rPr>
          <w:color w:val="231F1F"/>
          <w:spacing w:val="-14"/>
          <w:w w:val="110"/>
        </w:rPr>
        <w:t> </w:t>
      </w:r>
      <w:r>
        <w:rPr>
          <w:color w:val="231F1F"/>
          <w:w w:val="110"/>
        </w:rPr>
        <w:t>urgentes</w:t>
      </w:r>
      <w:r>
        <w:rPr>
          <w:color w:val="231F1F"/>
          <w:spacing w:val="-15"/>
          <w:w w:val="110"/>
        </w:rPr>
        <w:t> </w:t>
      </w:r>
      <w:r>
        <w:rPr>
          <w:color w:val="231F1F"/>
          <w:w w:val="110"/>
        </w:rPr>
        <w:t>no</w:t>
      </w:r>
      <w:r>
        <w:rPr>
          <w:color w:val="231F1F"/>
          <w:spacing w:val="-14"/>
          <w:w w:val="110"/>
        </w:rPr>
        <w:t> </w:t>
      </w:r>
      <w:r>
        <w:rPr>
          <w:color w:val="231F1F"/>
          <w:w w:val="110"/>
        </w:rPr>
        <w:t>deben</w:t>
      </w:r>
      <w:r>
        <w:rPr>
          <w:color w:val="231F1F"/>
          <w:spacing w:val="-15"/>
          <w:w w:val="110"/>
        </w:rPr>
        <w:t> </w:t>
      </w:r>
      <w:r>
        <w:rPr>
          <w:color w:val="231F1F"/>
          <w:w w:val="110"/>
        </w:rPr>
        <w:t>realizarse</w:t>
      </w:r>
      <w:r>
        <w:rPr>
          <w:color w:val="231F1F"/>
          <w:spacing w:val="-15"/>
          <w:w w:val="110"/>
        </w:rPr>
        <w:t> </w:t>
      </w:r>
      <w:r>
        <w:rPr>
          <w:color w:val="231F1F"/>
          <w:w w:val="110"/>
        </w:rPr>
        <w:t>inmedia- tamente</w:t>
      </w:r>
      <w:r>
        <w:rPr>
          <w:color w:val="231F1F"/>
          <w:spacing w:val="-8"/>
          <w:w w:val="110"/>
        </w:rPr>
        <w:t> </w:t>
      </w:r>
      <w:r>
        <w:rPr>
          <w:color w:val="231F1F"/>
          <w:w w:val="110"/>
        </w:rPr>
        <w:t>tras</w:t>
      </w:r>
      <w:r>
        <w:rPr>
          <w:color w:val="231F1F"/>
          <w:spacing w:val="-9"/>
          <w:w w:val="110"/>
        </w:rPr>
        <w:t> </w:t>
      </w:r>
      <w:r>
        <w:rPr>
          <w:color w:val="231F1F"/>
          <w:w w:val="110"/>
        </w:rPr>
        <w:t>el</w:t>
      </w:r>
      <w:r>
        <w:rPr>
          <w:color w:val="231F1F"/>
          <w:spacing w:val="-9"/>
          <w:w w:val="110"/>
        </w:rPr>
        <w:t> </w:t>
      </w:r>
      <w:r>
        <w:rPr>
          <w:color w:val="231F1F"/>
          <w:w w:val="110"/>
        </w:rPr>
        <w:t>parto,</w:t>
      </w:r>
      <w:r>
        <w:rPr>
          <w:color w:val="231F1F"/>
          <w:spacing w:val="-9"/>
          <w:w w:val="110"/>
        </w:rPr>
        <w:t> </w:t>
      </w:r>
      <w:r>
        <w:rPr>
          <w:color w:val="231F1F"/>
          <w:w w:val="110"/>
        </w:rPr>
        <w:t>porque</w:t>
      </w:r>
      <w:r>
        <w:rPr>
          <w:color w:val="231F1F"/>
          <w:spacing w:val="-9"/>
          <w:w w:val="110"/>
        </w:rPr>
        <w:t> </w:t>
      </w:r>
      <w:r>
        <w:rPr>
          <w:color w:val="231F1F"/>
          <w:w w:val="110"/>
        </w:rPr>
        <w:t>son</w:t>
      </w:r>
      <w:r>
        <w:rPr>
          <w:color w:val="231F1F"/>
          <w:spacing w:val="-9"/>
          <w:w w:val="110"/>
        </w:rPr>
        <w:t> </w:t>
      </w:r>
      <w:r>
        <w:rPr>
          <w:color w:val="231F1F"/>
          <w:w w:val="110"/>
        </w:rPr>
        <w:t>maniobras</w:t>
      </w:r>
      <w:r>
        <w:rPr>
          <w:color w:val="231F1F"/>
          <w:spacing w:val="-9"/>
          <w:w w:val="110"/>
        </w:rPr>
        <w:t> </w:t>
      </w:r>
      <w:r>
        <w:rPr>
          <w:color w:val="231F1F"/>
          <w:w w:val="110"/>
        </w:rPr>
        <w:t>demorables</w:t>
      </w:r>
      <w:r>
        <w:rPr>
          <w:color w:val="231F1F"/>
          <w:spacing w:val="-9"/>
          <w:w w:val="110"/>
        </w:rPr>
        <w:t> </w:t>
      </w:r>
      <w:r>
        <w:rPr>
          <w:color w:val="231F1F"/>
          <w:w w:val="110"/>
        </w:rPr>
        <w:t>y</w:t>
      </w:r>
      <w:r>
        <w:rPr>
          <w:color w:val="231F1F"/>
          <w:spacing w:val="-9"/>
          <w:w w:val="110"/>
        </w:rPr>
        <w:t> </w:t>
      </w:r>
      <w:r>
        <w:rPr>
          <w:color w:val="231F1F"/>
          <w:w w:val="110"/>
        </w:rPr>
        <w:t>que</w:t>
      </w:r>
      <w:r>
        <w:rPr>
          <w:color w:val="231F1F"/>
          <w:spacing w:val="-9"/>
          <w:w w:val="110"/>
        </w:rPr>
        <w:t> </w:t>
      </w:r>
      <w:r>
        <w:rPr>
          <w:color w:val="231F1F"/>
          <w:w w:val="110"/>
        </w:rPr>
        <w:t>interfieren</w:t>
      </w:r>
      <w:r>
        <w:rPr>
          <w:color w:val="231F1F"/>
          <w:spacing w:val="-9"/>
          <w:w w:val="110"/>
        </w:rPr>
        <w:t> </w:t>
      </w:r>
      <w:r>
        <w:rPr>
          <w:color w:val="231F1F"/>
          <w:w w:val="110"/>
        </w:rPr>
        <w:t>con</w:t>
      </w:r>
      <w:r>
        <w:rPr>
          <w:color w:val="231F1F"/>
          <w:spacing w:val="-8"/>
          <w:w w:val="110"/>
        </w:rPr>
        <w:t> </w:t>
      </w:r>
      <w:r>
        <w:rPr>
          <w:color w:val="231F1F"/>
          <w:w w:val="110"/>
        </w:rPr>
        <w:t>el</w:t>
      </w:r>
      <w:r>
        <w:rPr>
          <w:color w:val="231F1F"/>
          <w:spacing w:val="-9"/>
          <w:w w:val="110"/>
        </w:rPr>
        <w:t> </w:t>
      </w:r>
      <w:r>
        <w:rPr>
          <w:color w:val="231F1F"/>
          <w:w w:val="110"/>
        </w:rPr>
        <w:t>contacto piel con piel.</w:t>
      </w:r>
    </w:p>
    <w:p>
      <w:pPr>
        <w:pStyle w:val="BodyText"/>
        <w:spacing w:before="164"/>
      </w:pPr>
    </w:p>
    <w:p>
      <w:pPr>
        <w:spacing w:before="1"/>
        <w:ind w:left="283" w:right="0" w:firstLine="0"/>
        <w:jc w:val="left"/>
        <w:rPr>
          <w:rFonts w:ascii="Arial MT"/>
          <w:sz w:val="24"/>
        </w:rPr>
      </w:pPr>
      <w:r>
        <w:rPr>
          <w:rFonts w:ascii="Arial MT"/>
          <w:color w:val="231F1F"/>
          <w:w w:val="105"/>
          <w:sz w:val="24"/>
        </w:rPr>
        <w:t>Procedimiento</w:t>
      </w:r>
      <w:r>
        <w:rPr>
          <w:rFonts w:ascii="Arial MT"/>
          <w:color w:val="231F1F"/>
          <w:spacing w:val="-9"/>
          <w:w w:val="105"/>
          <w:sz w:val="24"/>
        </w:rPr>
        <w:t> </w:t>
      </w:r>
      <w:r>
        <w:rPr>
          <w:rFonts w:ascii="Arial MT"/>
          <w:color w:val="231F1F"/>
          <w:w w:val="105"/>
          <w:sz w:val="24"/>
        </w:rPr>
        <w:t>para</w:t>
      </w:r>
      <w:r>
        <w:rPr>
          <w:rFonts w:ascii="Arial MT"/>
          <w:color w:val="231F1F"/>
          <w:spacing w:val="-9"/>
          <w:w w:val="105"/>
          <w:sz w:val="24"/>
        </w:rPr>
        <w:t> </w:t>
      </w:r>
      <w:r>
        <w:rPr>
          <w:rFonts w:ascii="Arial MT"/>
          <w:color w:val="231F1F"/>
          <w:w w:val="105"/>
          <w:sz w:val="24"/>
        </w:rPr>
        <w:t>realizar</w:t>
      </w:r>
      <w:r>
        <w:rPr>
          <w:rFonts w:ascii="Arial MT"/>
          <w:color w:val="231F1F"/>
          <w:spacing w:val="-9"/>
          <w:w w:val="105"/>
          <w:sz w:val="24"/>
        </w:rPr>
        <w:t> </w:t>
      </w:r>
      <w:r>
        <w:rPr>
          <w:rFonts w:ascii="Arial MT"/>
          <w:color w:val="231F1F"/>
          <w:w w:val="105"/>
          <w:sz w:val="24"/>
        </w:rPr>
        <w:t>contacto</w:t>
      </w:r>
      <w:r>
        <w:rPr>
          <w:rFonts w:ascii="Arial MT"/>
          <w:color w:val="231F1F"/>
          <w:spacing w:val="-8"/>
          <w:w w:val="105"/>
          <w:sz w:val="24"/>
        </w:rPr>
        <w:t> </w:t>
      </w:r>
      <w:r>
        <w:rPr>
          <w:rFonts w:ascii="Arial MT"/>
          <w:color w:val="231F1F"/>
          <w:w w:val="105"/>
          <w:sz w:val="24"/>
        </w:rPr>
        <w:t>piel</w:t>
      </w:r>
      <w:r>
        <w:rPr>
          <w:rFonts w:ascii="Arial MT"/>
          <w:color w:val="231F1F"/>
          <w:spacing w:val="-9"/>
          <w:w w:val="105"/>
          <w:sz w:val="24"/>
        </w:rPr>
        <w:t> </w:t>
      </w:r>
      <w:r>
        <w:rPr>
          <w:rFonts w:ascii="Arial MT"/>
          <w:color w:val="231F1F"/>
          <w:w w:val="105"/>
          <w:sz w:val="24"/>
        </w:rPr>
        <w:t>con</w:t>
      </w:r>
      <w:r>
        <w:rPr>
          <w:rFonts w:ascii="Arial MT"/>
          <w:color w:val="231F1F"/>
          <w:spacing w:val="-9"/>
          <w:w w:val="105"/>
          <w:sz w:val="24"/>
        </w:rPr>
        <w:t> </w:t>
      </w:r>
      <w:r>
        <w:rPr>
          <w:rFonts w:ascii="Arial MT"/>
          <w:color w:val="231F1F"/>
          <w:spacing w:val="-2"/>
          <w:w w:val="105"/>
          <w:sz w:val="24"/>
        </w:rPr>
        <w:t>piel.</w:t>
      </w:r>
    </w:p>
    <w:p>
      <w:pPr>
        <w:pStyle w:val="ListParagraph"/>
        <w:numPr>
          <w:ilvl w:val="0"/>
          <w:numId w:val="103"/>
        </w:numPr>
        <w:tabs>
          <w:tab w:pos="955" w:val="left" w:leader="none"/>
        </w:tabs>
        <w:spacing w:line="249" w:lineRule="auto" w:before="204" w:after="0"/>
        <w:ind w:left="955" w:right="124" w:hanging="220"/>
        <w:jc w:val="both"/>
        <w:rPr>
          <w:sz w:val="22"/>
        </w:rPr>
      </w:pPr>
      <w:r>
        <w:rPr>
          <w:color w:val="231F1F"/>
          <w:w w:val="105"/>
          <w:sz w:val="22"/>
        </w:rPr>
        <w:t>Informar a la madre durante el periodo de dilatación de los beneficios y el procedi- miento</w:t>
      </w:r>
      <w:r>
        <w:rPr>
          <w:color w:val="231F1F"/>
          <w:spacing w:val="-3"/>
          <w:w w:val="105"/>
          <w:sz w:val="22"/>
        </w:rPr>
        <w:t> </w:t>
      </w:r>
      <w:r>
        <w:rPr>
          <w:color w:val="231F1F"/>
          <w:w w:val="105"/>
          <w:sz w:val="22"/>
        </w:rPr>
        <w:t>del</w:t>
      </w:r>
      <w:r>
        <w:rPr>
          <w:color w:val="231F1F"/>
          <w:spacing w:val="-3"/>
          <w:w w:val="105"/>
          <w:sz w:val="22"/>
        </w:rPr>
        <w:t> </w:t>
      </w:r>
      <w:r>
        <w:rPr>
          <w:color w:val="231F1F"/>
          <w:w w:val="105"/>
          <w:sz w:val="22"/>
        </w:rPr>
        <w:t>contacto</w:t>
      </w:r>
      <w:r>
        <w:rPr>
          <w:color w:val="231F1F"/>
          <w:spacing w:val="-3"/>
          <w:w w:val="105"/>
          <w:sz w:val="22"/>
        </w:rPr>
        <w:t> </w:t>
      </w:r>
      <w:r>
        <w:rPr>
          <w:color w:val="231F1F"/>
          <w:w w:val="105"/>
          <w:sz w:val="22"/>
        </w:rPr>
        <w:t>piel</w:t>
      </w:r>
      <w:r>
        <w:rPr>
          <w:color w:val="231F1F"/>
          <w:spacing w:val="-3"/>
          <w:w w:val="105"/>
          <w:sz w:val="22"/>
        </w:rPr>
        <w:t> </w:t>
      </w:r>
      <w:r>
        <w:rPr>
          <w:color w:val="231F1F"/>
          <w:w w:val="105"/>
          <w:sz w:val="22"/>
        </w:rPr>
        <w:t>con</w:t>
      </w:r>
      <w:r>
        <w:rPr>
          <w:color w:val="231F1F"/>
          <w:spacing w:val="-3"/>
          <w:w w:val="105"/>
          <w:sz w:val="22"/>
        </w:rPr>
        <w:t> </w:t>
      </w:r>
      <w:r>
        <w:rPr>
          <w:color w:val="231F1F"/>
          <w:w w:val="105"/>
          <w:sz w:val="22"/>
        </w:rPr>
        <w:t>piel</w:t>
      </w:r>
      <w:r>
        <w:rPr>
          <w:color w:val="231F1F"/>
          <w:spacing w:val="-3"/>
          <w:w w:val="105"/>
          <w:sz w:val="22"/>
        </w:rPr>
        <w:t> </w:t>
      </w:r>
      <w:r>
        <w:rPr>
          <w:color w:val="231F1F"/>
          <w:w w:val="105"/>
          <w:sz w:val="22"/>
        </w:rPr>
        <w:t>y</w:t>
      </w:r>
      <w:r>
        <w:rPr>
          <w:color w:val="231F1F"/>
          <w:spacing w:val="-3"/>
          <w:w w:val="105"/>
          <w:sz w:val="22"/>
        </w:rPr>
        <w:t> </w:t>
      </w:r>
      <w:r>
        <w:rPr>
          <w:color w:val="231F1F"/>
          <w:w w:val="105"/>
          <w:sz w:val="22"/>
        </w:rPr>
        <w:t>la</w:t>
      </w:r>
      <w:r>
        <w:rPr>
          <w:color w:val="231F1F"/>
          <w:spacing w:val="-3"/>
          <w:w w:val="105"/>
          <w:sz w:val="22"/>
        </w:rPr>
        <w:t> </w:t>
      </w:r>
      <w:r>
        <w:rPr>
          <w:color w:val="231F1F"/>
          <w:w w:val="105"/>
          <w:sz w:val="22"/>
        </w:rPr>
        <w:t>posibilidad</w:t>
      </w:r>
      <w:r>
        <w:rPr>
          <w:color w:val="231F1F"/>
          <w:spacing w:val="-3"/>
          <w:w w:val="105"/>
          <w:sz w:val="22"/>
        </w:rPr>
        <w:t> </w:t>
      </w:r>
      <w:r>
        <w:rPr>
          <w:color w:val="231F1F"/>
          <w:w w:val="105"/>
          <w:sz w:val="22"/>
        </w:rPr>
        <w:t>de</w:t>
      </w:r>
      <w:r>
        <w:rPr>
          <w:color w:val="231F1F"/>
          <w:spacing w:val="-3"/>
          <w:w w:val="105"/>
          <w:sz w:val="22"/>
        </w:rPr>
        <w:t> </w:t>
      </w:r>
      <w:r>
        <w:rPr>
          <w:color w:val="231F1F"/>
          <w:w w:val="105"/>
          <w:sz w:val="22"/>
        </w:rPr>
        <w:t>realizarlo</w:t>
      </w:r>
      <w:r>
        <w:rPr>
          <w:color w:val="231F1F"/>
          <w:spacing w:val="-3"/>
          <w:w w:val="105"/>
          <w:sz w:val="22"/>
        </w:rPr>
        <w:t> </w:t>
      </w:r>
      <w:r>
        <w:rPr>
          <w:color w:val="231F1F"/>
          <w:w w:val="105"/>
          <w:sz w:val="22"/>
        </w:rPr>
        <w:t>con</w:t>
      </w:r>
      <w:r>
        <w:rPr>
          <w:color w:val="231F1F"/>
          <w:spacing w:val="-3"/>
          <w:w w:val="105"/>
          <w:sz w:val="22"/>
        </w:rPr>
        <w:t> </w:t>
      </w:r>
      <w:r>
        <w:rPr>
          <w:color w:val="231F1F"/>
          <w:w w:val="105"/>
          <w:sz w:val="22"/>
        </w:rPr>
        <w:t>su</w:t>
      </w:r>
      <w:r>
        <w:rPr>
          <w:color w:val="231F1F"/>
          <w:spacing w:val="-3"/>
          <w:w w:val="105"/>
          <w:sz w:val="22"/>
        </w:rPr>
        <w:t> </w:t>
      </w:r>
      <w:r>
        <w:rPr>
          <w:color w:val="231F1F"/>
          <w:w w:val="105"/>
          <w:sz w:val="22"/>
        </w:rPr>
        <w:t>hijo</w:t>
      </w:r>
      <w:r>
        <w:rPr>
          <w:color w:val="231F1F"/>
          <w:spacing w:val="-3"/>
          <w:w w:val="105"/>
          <w:sz w:val="22"/>
        </w:rPr>
        <w:t> </w:t>
      </w:r>
      <w:r>
        <w:rPr>
          <w:color w:val="231F1F"/>
          <w:w w:val="105"/>
          <w:sz w:val="22"/>
        </w:rPr>
        <w:t>o</w:t>
      </w:r>
      <w:r>
        <w:rPr>
          <w:color w:val="231F1F"/>
          <w:spacing w:val="-3"/>
          <w:w w:val="105"/>
          <w:sz w:val="22"/>
        </w:rPr>
        <w:t> </w:t>
      </w:r>
      <w:r>
        <w:rPr>
          <w:color w:val="231F1F"/>
          <w:w w:val="105"/>
          <w:sz w:val="22"/>
        </w:rPr>
        <w:t>hija</w:t>
      </w:r>
      <w:r>
        <w:rPr>
          <w:color w:val="231F1F"/>
          <w:spacing w:val="-3"/>
          <w:w w:val="105"/>
          <w:sz w:val="22"/>
        </w:rPr>
        <w:t> </w:t>
      </w:r>
      <w:r>
        <w:rPr>
          <w:color w:val="231F1F"/>
          <w:w w:val="105"/>
          <w:sz w:val="22"/>
        </w:rPr>
        <w:t>nada más</w:t>
      </w:r>
      <w:r>
        <w:rPr>
          <w:color w:val="231F1F"/>
          <w:spacing w:val="30"/>
          <w:w w:val="105"/>
          <w:sz w:val="22"/>
        </w:rPr>
        <w:t> </w:t>
      </w:r>
      <w:r>
        <w:rPr>
          <w:color w:val="231F1F"/>
          <w:w w:val="105"/>
          <w:sz w:val="22"/>
        </w:rPr>
        <w:t>nacer.</w:t>
      </w:r>
      <w:r>
        <w:rPr>
          <w:color w:val="231F1F"/>
          <w:spacing w:val="29"/>
          <w:w w:val="105"/>
          <w:sz w:val="22"/>
        </w:rPr>
        <w:t> </w:t>
      </w:r>
      <w:r>
        <w:rPr>
          <w:color w:val="231F1F"/>
          <w:w w:val="105"/>
          <w:sz w:val="22"/>
        </w:rPr>
        <w:t>Responder</w:t>
      </w:r>
      <w:r>
        <w:rPr>
          <w:color w:val="231F1F"/>
          <w:spacing w:val="29"/>
          <w:w w:val="105"/>
          <w:sz w:val="22"/>
        </w:rPr>
        <w:t> </w:t>
      </w:r>
      <w:r>
        <w:rPr>
          <w:color w:val="231F1F"/>
          <w:w w:val="105"/>
          <w:sz w:val="22"/>
        </w:rPr>
        <w:t>a</w:t>
      </w:r>
      <w:r>
        <w:rPr>
          <w:color w:val="231F1F"/>
          <w:spacing w:val="30"/>
          <w:w w:val="105"/>
          <w:sz w:val="22"/>
        </w:rPr>
        <w:t> </w:t>
      </w:r>
      <w:r>
        <w:rPr>
          <w:color w:val="231F1F"/>
          <w:w w:val="105"/>
          <w:sz w:val="22"/>
        </w:rPr>
        <w:t>sus</w:t>
      </w:r>
      <w:r>
        <w:rPr>
          <w:color w:val="231F1F"/>
          <w:spacing w:val="30"/>
          <w:w w:val="105"/>
          <w:sz w:val="22"/>
        </w:rPr>
        <w:t> </w:t>
      </w:r>
      <w:r>
        <w:rPr>
          <w:color w:val="231F1F"/>
          <w:w w:val="105"/>
          <w:sz w:val="22"/>
        </w:rPr>
        <w:t>dudas</w:t>
      </w:r>
      <w:r>
        <w:rPr>
          <w:color w:val="231F1F"/>
          <w:spacing w:val="30"/>
          <w:w w:val="105"/>
          <w:sz w:val="22"/>
        </w:rPr>
        <w:t> </w:t>
      </w:r>
      <w:r>
        <w:rPr>
          <w:color w:val="231F1F"/>
          <w:w w:val="105"/>
          <w:sz w:val="22"/>
        </w:rPr>
        <w:t>y</w:t>
      </w:r>
      <w:r>
        <w:rPr>
          <w:color w:val="231F1F"/>
          <w:spacing w:val="30"/>
          <w:w w:val="105"/>
          <w:sz w:val="22"/>
        </w:rPr>
        <w:t> </w:t>
      </w:r>
      <w:r>
        <w:rPr>
          <w:color w:val="231F1F"/>
          <w:w w:val="105"/>
          <w:sz w:val="22"/>
        </w:rPr>
        <w:t>necesidades</w:t>
      </w:r>
      <w:r>
        <w:rPr>
          <w:color w:val="231F1F"/>
          <w:spacing w:val="30"/>
          <w:w w:val="105"/>
          <w:sz w:val="22"/>
        </w:rPr>
        <w:t> </w:t>
      </w:r>
      <w:r>
        <w:rPr>
          <w:color w:val="231F1F"/>
          <w:w w:val="105"/>
          <w:sz w:val="22"/>
        </w:rPr>
        <w:t>de</w:t>
      </w:r>
      <w:r>
        <w:rPr>
          <w:color w:val="231F1F"/>
          <w:spacing w:val="30"/>
          <w:w w:val="105"/>
          <w:sz w:val="22"/>
        </w:rPr>
        <w:t> </w:t>
      </w:r>
      <w:r>
        <w:rPr>
          <w:color w:val="231F1F"/>
          <w:w w:val="105"/>
          <w:sz w:val="22"/>
        </w:rPr>
        <w:t>forma</w:t>
      </w:r>
      <w:r>
        <w:rPr>
          <w:color w:val="231F1F"/>
          <w:spacing w:val="30"/>
          <w:w w:val="105"/>
          <w:sz w:val="22"/>
        </w:rPr>
        <w:t> </w:t>
      </w:r>
      <w:r>
        <w:rPr>
          <w:color w:val="231F1F"/>
          <w:w w:val="105"/>
          <w:sz w:val="22"/>
        </w:rPr>
        <w:t>individual,</w:t>
      </w:r>
      <w:r>
        <w:rPr>
          <w:color w:val="231F1F"/>
          <w:spacing w:val="30"/>
          <w:w w:val="105"/>
          <w:sz w:val="22"/>
        </w:rPr>
        <w:t> </w:t>
      </w:r>
      <w:r>
        <w:rPr>
          <w:color w:val="231F1F"/>
          <w:w w:val="105"/>
          <w:sz w:val="22"/>
        </w:rPr>
        <w:t>respetando en todo momento su decisión.</w:t>
      </w:r>
    </w:p>
    <w:p>
      <w:pPr>
        <w:pStyle w:val="ListParagraph"/>
        <w:numPr>
          <w:ilvl w:val="0"/>
          <w:numId w:val="103"/>
        </w:numPr>
        <w:tabs>
          <w:tab w:pos="953" w:val="left" w:leader="none"/>
        </w:tabs>
        <w:spacing w:line="240" w:lineRule="auto" w:before="129" w:after="0"/>
        <w:ind w:left="953" w:right="0" w:hanging="218"/>
        <w:jc w:val="both"/>
        <w:rPr>
          <w:sz w:val="22"/>
        </w:rPr>
      </w:pPr>
      <w:r>
        <w:rPr>
          <w:color w:val="231F1F"/>
          <w:w w:val="110"/>
          <w:sz w:val="22"/>
        </w:rPr>
        <w:t>Mantener</w:t>
      </w:r>
      <w:r>
        <w:rPr>
          <w:color w:val="231F1F"/>
          <w:spacing w:val="-15"/>
          <w:w w:val="110"/>
          <w:sz w:val="22"/>
        </w:rPr>
        <w:t> </w:t>
      </w:r>
      <w:r>
        <w:rPr>
          <w:color w:val="231F1F"/>
          <w:w w:val="110"/>
          <w:sz w:val="22"/>
        </w:rPr>
        <w:t>una</w:t>
      </w:r>
      <w:r>
        <w:rPr>
          <w:color w:val="231F1F"/>
          <w:spacing w:val="-13"/>
          <w:w w:val="110"/>
          <w:sz w:val="22"/>
        </w:rPr>
        <w:t> </w:t>
      </w:r>
      <w:r>
        <w:rPr>
          <w:color w:val="231F1F"/>
          <w:w w:val="110"/>
          <w:sz w:val="22"/>
        </w:rPr>
        <w:t>adecuada</w:t>
      </w:r>
      <w:r>
        <w:rPr>
          <w:color w:val="231F1F"/>
          <w:spacing w:val="-13"/>
          <w:w w:val="110"/>
          <w:sz w:val="22"/>
        </w:rPr>
        <w:t> </w:t>
      </w:r>
      <w:r>
        <w:rPr>
          <w:color w:val="231F1F"/>
          <w:w w:val="110"/>
          <w:sz w:val="22"/>
        </w:rPr>
        <w:t>temperatura</w:t>
      </w:r>
      <w:r>
        <w:rPr>
          <w:color w:val="231F1F"/>
          <w:spacing w:val="-12"/>
          <w:w w:val="110"/>
          <w:sz w:val="22"/>
        </w:rPr>
        <w:t> </w:t>
      </w:r>
      <w:r>
        <w:rPr>
          <w:color w:val="231F1F"/>
          <w:w w:val="110"/>
          <w:sz w:val="22"/>
        </w:rPr>
        <w:t>en</w:t>
      </w:r>
      <w:r>
        <w:rPr>
          <w:color w:val="231F1F"/>
          <w:spacing w:val="-12"/>
          <w:w w:val="110"/>
          <w:sz w:val="22"/>
        </w:rPr>
        <w:t> </w:t>
      </w:r>
      <w:r>
        <w:rPr>
          <w:color w:val="231F1F"/>
          <w:w w:val="110"/>
          <w:sz w:val="22"/>
        </w:rPr>
        <w:t>paritorio</w:t>
      </w:r>
      <w:r>
        <w:rPr>
          <w:color w:val="231F1F"/>
          <w:spacing w:val="-12"/>
          <w:w w:val="110"/>
          <w:sz w:val="22"/>
        </w:rPr>
        <w:t> </w:t>
      </w:r>
      <w:r>
        <w:rPr>
          <w:color w:val="231F1F"/>
          <w:w w:val="110"/>
          <w:sz w:val="22"/>
        </w:rPr>
        <w:t>(22-</w:t>
      </w:r>
      <w:r>
        <w:rPr>
          <w:color w:val="231F1F"/>
          <w:spacing w:val="-2"/>
          <w:w w:val="110"/>
          <w:sz w:val="22"/>
        </w:rPr>
        <w:t>24ºC).</w:t>
      </w:r>
    </w:p>
    <w:p>
      <w:pPr>
        <w:pStyle w:val="ListParagraph"/>
        <w:numPr>
          <w:ilvl w:val="0"/>
          <w:numId w:val="103"/>
        </w:numPr>
        <w:tabs>
          <w:tab w:pos="953" w:val="left" w:leader="none"/>
        </w:tabs>
        <w:spacing w:line="240" w:lineRule="auto" w:before="159" w:after="0"/>
        <w:ind w:left="953" w:right="0" w:hanging="218"/>
        <w:jc w:val="both"/>
        <w:rPr>
          <w:sz w:val="22"/>
        </w:rPr>
      </w:pPr>
      <w:r>
        <w:rPr>
          <w:color w:val="231F1F"/>
          <w:sz w:val="22"/>
        </w:rPr>
        <w:t>Preparar</w:t>
      </w:r>
      <w:r>
        <w:rPr>
          <w:color w:val="231F1F"/>
          <w:spacing w:val="43"/>
          <w:sz w:val="22"/>
        </w:rPr>
        <w:t> </w:t>
      </w:r>
      <w:r>
        <w:rPr>
          <w:color w:val="231F1F"/>
          <w:sz w:val="22"/>
        </w:rPr>
        <w:t>paños,</w:t>
      </w:r>
      <w:r>
        <w:rPr>
          <w:color w:val="231F1F"/>
          <w:spacing w:val="43"/>
          <w:sz w:val="22"/>
        </w:rPr>
        <w:t> </w:t>
      </w:r>
      <w:r>
        <w:rPr>
          <w:color w:val="231F1F"/>
          <w:sz w:val="22"/>
        </w:rPr>
        <w:t>muletones,</w:t>
      </w:r>
      <w:r>
        <w:rPr>
          <w:color w:val="231F1F"/>
          <w:spacing w:val="44"/>
          <w:sz w:val="22"/>
        </w:rPr>
        <w:t> </w:t>
      </w:r>
      <w:r>
        <w:rPr>
          <w:color w:val="231F1F"/>
          <w:sz w:val="22"/>
        </w:rPr>
        <w:t>gorros</w:t>
      </w:r>
      <w:r>
        <w:rPr>
          <w:color w:val="231F1F"/>
          <w:spacing w:val="45"/>
          <w:sz w:val="22"/>
        </w:rPr>
        <w:t> </w:t>
      </w:r>
      <w:r>
        <w:rPr>
          <w:color w:val="231F1F"/>
          <w:sz w:val="22"/>
        </w:rPr>
        <w:t>y</w:t>
      </w:r>
      <w:r>
        <w:rPr>
          <w:color w:val="231F1F"/>
          <w:spacing w:val="43"/>
          <w:sz w:val="22"/>
        </w:rPr>
        <w:t> </w:t>
      </w:r>
      <w:r>
        <w:rPr>
          <w:color w:val="231F1F"/>
          <w:sz w:val="22"/>
        </w:rPr>
        <w:t>pañales</w:t>
      </w:r>
      <w:r>
        <w:rPr>
          <w:color w:val="231F1F"/>
          <w:spacing w:val="42"/>
          <w:sz w:val="22"/>
        </w:rPr>
        <w:t> </w:t>
      </w:r>
      <w:r>
        <w:rPr>
          <w:color w:val="231F1F"/>
          <w:spacing w:val="-2"/>
          <w:sz w:val="22"/>
        </w:rPr>
        <w:t>calientes.</w:t>
      </w:r>
    </w:p>
    <w:p>
      <w:pPr>
        <w:pStyle w:val="ListParagraph"/>
        <w:numPr>
          <w:ilvl w:val="0"/>
          <w:numId w:val="103"/>
        </w:numPr>
        <w:tabs>
          <w:tab w:pos="955" w:val="left" w:leader="none"/>
        </w:tabs>
        <w:spacing w:line="244" w:lineRule="auto" w:before="151" w:after="0"/>
        <w:ind w:left="955" w:right="125" w:hanging="219"/>
        <w:jc w:val="both"/>
        <w:rPr>
          <w:sz w:val="22"/>
        </w:rPr>
      </w:pPr>
      <w:r>
        <w:rPr>
          <w:color w:val="231F1F"/>
          <w:w w:val="110"/>
          <w:sz w:val="22"/>
        </w:rPr>
        <w:t>El</w:t>
      </w:r>
      <w:r>
        <w:rPr>
          <w:color w:val="231F1F"/>
          <w:spacing w:val="-16"/>
          <w:w w:val="110"/>
          <w:sz w:val="22"/>
        </w:rPr>
        <w:t> </w:t>
      </w:r>
      <w:r>
        <w:rPr>
          <w:color w:val="231F1F"/>
          <w:w w:val="110"/>
          <w:sz w:val="22"/>
        </w:rPr>
        <w:t>ambiente</w:t>
      </w:r>
      <w:r>
        <w:rPr>
          <w:color w:val="231F1F"/>
          <w:spacing w:val="-15"/>
          <w:w w:val="110"/>
          <w:sz w:val="22"/>
        </w:rPr>
        <w:t> </w:t>
      </w:r>
      <w:r>
        <w:rPr>
          <w:color w:val="231F1F"/>
          <w:w w:val="110"/>
          <w:sz w:val="22"/>
        </w:rPr>
        <w:t>del</w:t>
      </w:r>
      <w:r>
        <w:rPr>
          <w:color w:val="231F1F"/>
          <w:spacing w:val="-15"/>
          <w:w w:val="110"/>
          <w:sz w:val="22"/>
        </w:rPr>
        <w:t> </w:t>
      </w:r>
      <w:r>
        <w:rPr>
          <w:color w:val="231F1F"/>
          <w:w w:val="110"/>
          <w:sz w:val="22"/>
        </w:rPr>
        <w:t>paritorio</w:t>
      </w:r>
      <w:r>
        <w:rPr>
          <w:color w:val="231F1F"/>
          <w:spacing w:val="-15"/>
          <w:w w:val="110"/>
          <w:sz w:val="22"/>
        </w:rPr>
        <w:t> </w:t>
      </w:r>
      <w:r>
        <w:rPr>
          <w:color w:val="231F1F"/>
          <w:w w:val="110"/>
          <w:sz w:val="22"/>
        </w:rPr>
        <w:t>debe</w:t>
      </w:r>
      <w:r>
        <w:rPr>
          <w:color w:val="231F1F"/>
          <w:spacing w:val="-15"/>
          <w:w w:val="110"/>
          <w:sz w:val="22"/>
        </w:rPr>
        <w:t> </w:t>
      </w:r>
      <w:r>
        <w:rPr>
          <w:color w:val="231F1F"/>
          <w:w w:val="110"/>
          <w:sz w:val="22"/>
        </w:rPr>
        <w:t>ser</w:t>
      </w:r>
      <w:r>
        <w:rPr>
          <w:color w:val="231F1F"/>
          <w:spacing w:val="-15"/>
          <w:w w:val="110"/>
          <w:sz w:val="22"/>
        </w:rPr>
        <w:t> </w:t>
      </w:r>
      <w:r>
        <w:rPr>
          <w:color w:val="231F1F"/>
          <w:w w:val="110"/>
          <w:sz w:val="22"/>
        </w:rPr>
        <w:t>silencioso,</w:t>
      </w:r>
      <w:r>
        <w:rPr>
          <w:color w:val="231F1F"/>
          <w:spacing w:val="-15"/>
          <w:w w:val="110"/>
          <w:sz w:val="22"/>
        </w:rPr>
        <w:t> </w:t>
      </w:r>
      <w:r>
        <w:rPr>
          <w:color w:val="231F1F"/>
          <w:w w:val="110"/>
          <w:sz w:val="22"/>
        </w:rPr>
        <w:t>cálido,</w:t>
      </w:r>
      <w:r>
        <w:rPr>
          <w:color w:val="231F1F"/>
          <w:spacing w:val="-15"/>
          <w:w w:val="110"/>
          <w:sz w:val="22"/>
        </w:rPr>
        <w:t> </w:t>
      </w:r>
      <w:r>
        <w:rPr>
          <w:color w:val="231F1F"/>
          <w:w w:val="110"/>
          <w:sz w:val="22"/>
        </w:rPr>
        <w:t>con</w:t>
      </w:r>
      <w:r>
        <w:rPr>
          <w:color w:val="231F1F"/>
          <w:spacing w:val="-16"/>
          <w:w w:val="110"/>
          <w:sz w:val="22"/>
        </w:rPr>
        <w:t> </w:t>
      </w:r>
      <w:r>
        <w:rPr>
          <w:color w:val="231F1F"/>
          <w:w w:val="110"/>
          <w:sz w:val="22"/>
        </w:rPr>
        <w:t>poca</w:t>
      </w:r>
      <w:r>
        <w:rPr>
          <w:color w:val="231F1F"/>
          <w:spacing w:val="-15"/>
          <w:w w:val="110"/>
          <w:sz w:val="22"/>
        </w:rPr>
        <w:t> </w:t>
      </w:r>
      <w:r>
        <w:rPr>
          <w:color w:val="231F1F"/>
          <w:w w:val="110"/>
          <w:sz w:val="22"/>
        </w:rPr>
        <w:t>luz,</w:t>
      </w:r>
      <w:r>
        <w:rPr>
          <w:color w:val="231F1F"/>
          <w:spacing w:val="-15"/>
          <w:w w:val="110"/>
          <w:sz w:val="22"/>
        </w:rPr>
        <w:t> </w:t>
      </w:r>
      <w:r>
        <w:rPr>
          <w:color w:val="231F1F"/>
          <w:w w:val="110"/>
          <w:sz w:val="22"/>
        </w:rPr>
        <w:t>con</w:t>
      </w:r>
      <w:r>
        <w:rPr>
          <w:color w:val="231F1F"/>
          <w:spacing w:val="-15"/>
          <w:w w:val="110"/>
          <w:sz w:val="22"/>
        </w:rPr>
        <w:t> </w:t>
      </w:r>
      <w:r>
        <w:rPr>
          <w:color w:val="231F1F"/>
          <w:w w:val="110"/>
          <w:sz w:val="22"/>
        </w:rPr>
        <w:t>un</w:t>
      </w:r>
      <w:r>
        <w:rPr>
          <w:color w:val="231F1F"/>
          <w:spacing w:val="-15"/>
          <w:w w:val="110"/>
          <w:sz w:val="22"/>
        </w:rPr>
        <w:t> </w:t>
      </w:r>
      <w:r>
        <w:rPr>
          <w:color w:val="231F1F"/>
          <w:w w:val="110"/>
          <w:sz w:val="22"/>
        </w:rPr>
        <w:t>acompa- ñante</w:t>
      </w:r>
      <w:r>
        <w:rPr>
          <w:color w:val="231F1F"/>
          <w:spacing w:val="-15"/>
          <w:w w:val="110"/>
          <w:sz w:val="22"/>
        </w:rPr>
        <w:t> </w:t>
      </w:r>
      <w:r>
        <w:rPr>
          <w:color w:val="231F1F"/>
          <w:w w:val="110"/>
          <w:sz w:val="22"/>
        </w:rPr>
        <w:t>para</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madre</w:t>
      </w:r>
      <w:r>
        <w:rPr>
          <w:color w:val="231F1F"/>
          <w:spacing w:val="-15"/>
          <w:w w:val="110"/>
          <w:sz w:val="22"/>
        </w:rPr>
        <w:t> </w:t>
      </w:r>
      <w:r>
        <w:rPr>
          <w:color w:val="231F1F"/>
          <w:w w:val="110"/>
          <w:sz w:val="22"/>
        </w:rPr>
        <w:t>si</w:t>
      </w:r>
      <w:r>
        <w:rPr>
          <w:color w:val="231F1F"/>
          <w:spacing w:val="-17"/>
          <w:w w:val="110"/>
          <w:sz w:val="22"/>
        </w:rPr>
        <w:t> </w:t>
      </w:r>
      <w:r>
        <w:rPr>
          <w:color w:val="231F1F"/>
          <w:w w:val="110"/>
          <w:sz w:val="22"/>
        </w:rPr>
        <w:t>lo</w:t>
      </w:r>
      <w:r>
        <w:rPr>
          <w:color w:val="231F1F"/>
          <w:spacing w:val="-14"/>
          <w:w w:val="110"/>
          <w:sz w:val="22"/>
        </w:rPr>
        <w:t> </w:t>
      </w:r>
      <w:r>
        <w:rPr>
          <w:color w:val="231F1F"/>
          <w:w w:val="110"/>
          <w:sz w:val="22"/>
        </w:rPr>
        <w:t>desea</w:t>
      </w:r>
      <w:r>
        <w:rPr>
          <w:color w:val="231F1F"/>
          <w:spacing w:val="-15"/>
          <w:w w:val="110"/>
          <w:sz w:val="22"/>
        </w:rPr>
        <w:t> </w:t>
      </w:r>
      <w:r>
        <w:rPr>
          <w:color w:val="231F1F"/>
          <w:w w:val="110"/>
          <w:sz w:val="22"/>
        </w:rPr>
        <w:t>y</w:t>
      </w:r>
      <w:r>
        <w:rPr>
          <w:color w:val="231F1F"/>
          <w:spacing w:val="-15"/>
          <w:w w:val="110"/>
          <w:sz w:val="22"/>
        </w:rPr>
        <w:t> </w:t>
      </w:r>
      <w:r>
        <w:rPr>
          <w:color w:val="231F1F"/>
          <w:w w:val="110"/>
          <w:sz w:val="22"/>
        </w:rPr>
        <w:t>evitando</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exceso</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número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profesionales.</w:t>
      </w:r>
    </w:p>
    <w:p>
      <w:pPr>
        <w:pStyle w:val="ListParagraph"/>
        <w:numPr>
          <w:ilvl w:val="0"/>
          <w:numId w:val="103"/>
        </w:numPr>
        <w:tabs>
          <w:tab w:pos="955" w:val="left" w:leader="none"/>
        </w:tabs>
        <w:spacing w:line="244" w:lineRule="auto" w:before="141" w:after="0"/>
        <w:ind w:left="955" w:right="124" w:hanging="221"/>
        <w:jc w:val="both"/>
        <w:rPr>
          <w:sz w:val="22"/>
        </w:rPr>
      </w:pPr>
      <w:r>
        <w:rPr>
          <w:color w:val="231F1F"/>
          <w:w w:val="110"/>
          <w:sz w:val="22"/>
        </w:rPr>
        <w:t>En</w:t>
      </w:r>
      <w:r>
        <w:rPr>
          <w:color w:val="231F1F"/>
          <w:spacing w:val="-7"/>
          <w:w w:val="110"/>
          <w:sz w:val="22"/>
        </w:rPr>
        <w:t> </w:t>
      </w:r>
      <w:r>
        <w:rPr>
          <w:color w:val="231F1F"/>
          <w:w w:val="110"/>
          <w:sz w:val="22"/>
        </w:rPr>
        <w:t>los</w:t>
      </w:r>
      <w:r>
        <w:rPr>
          <w:color w:val="231F1F"/>
          <w:spacing w:val="-8"/>
          <w:w w:val="110"/>
          <w:sz w:val="22"/>
        </w:rPr>
        <w:t> </w:t>
      </w:r>
      <w:r>
        <w:rPr>
          <w:color w:val="231F1F"/>
          <w:w w:val="110"/>
          <w:sz w:val="22"/>
        </w:rPr>
        <w:t>últimos</w:t>
      </w:r>
      <w:r>
        <w:rPr>
          <w:color w:val="231F1F"/>
          <w:spacing w:val="-7"/>
          <w:w w:val="110"/>
          <w:sz w:val="22"/>
        </w:rPr>
        <w:t> </w:t>
      </w:r>
      <w:r>
        <w:rPr>
          <w:color w:val="231F1F"/>
          <w:w w:val="110"/>
          <w:sz w:val="22"/>
        </w:rPr>
        <w:t>minutos</w:t>
      </w:r>
      <w:r>
        <w:rPr>
          <w:color w:val="231F1F"/>
          <w:spacing w:val="-8"/>
          <w:w w:val="110"/>
          <w:sz w:val="22"/>
        </w:rPr>
        <w:t> </w:t>
      </w:r>
      <w:r>
        <w:rPr>
          <w:color w:val="231F1F"/>
          <w:w w:val="110"/>
          <w:sz w:val="22"/>
        </w:rPr>
        <w:t>del</w:t>
      </w:r>
      <w:r>
        <w:rPr>
          <w:color w:val="231F1F"/>
          <w:spacing w:val="-8"/>
          <w:w w:val="110"/>
          <w:sz w:val="22"/>
        </w:rPr>
        <w:t> </w:t>
      </w:r>
      <w:r>
        <w:rPr>
          <w:color w:val="231F1F"/>
          <w:w w:val="110"/>
          <w:sz w:val="22"/>
        </w:rPr>
        <w:t>expulsivo</w:t>
      </w:r>
      <w:r>
        <w:rPr>
          <w:color w:val="231F1F"/>
          <w:spacing w:val="-7"/>
          <w:w w:val="110"/>
          <w:sz w:val="22"/>
        </w:rPr>
        <w:t> </w:t>
      </w:r>
      <w:r>
        <w:rPr>
          <w:color w:val="231F1F"/>
          <w:w w:val="110"/>
          <w:sz w:val="22"/>
        </w:rPr>
        <w:t>invitar</w:t>
      </w:r>
      <w:r>
        <w:rPr>
          <w:color w:val="231F1F"/>
          <w:spacing w:val="-8"/>
          <w:w w:val="110"/>
          <w:sz w:val="22"/>
        </w:rPr>
        <w:t> </w:t>
      </w:r>
      <w:r>
        <w:rPr>
          <w:color w:val="231F1F"/>
          <w:w w:val="110"/>
          <w:sz w:val="22"/>
        </w:rPr>
        <w:t>a</w:t>
      </w:r>
      <w:r>
        <w:rPr>
          <w:color w:val="231F1F"/>
          <w:spacing w:val="-7"/>
          <w:w w:val="110"/>
          <w:sz w:val="22"/>
        </w:rPr>
        <w:t> </w:t>
      </w:r>
      <w:r>
        <w:rPr>
          <w:color w:val="231F1F"/>
          <w:w w:val="110"/>
          <w:sz w:val="22"/>
        </w:rPr>
        <w:t>la</w:t>
      </w:r>
      <w:r>
        <w:rPr>
          <w:color w:val="231F1F"/>
          <w:spacing w:val="-7"/>
          <w:w w:val="110"/>
          <w:sz w:val="22"/>
        </w:rPr>
        <w:t> </w:t>
      </w:r>
      <w:r>
        <w:rPr>
          <w:color w:val="231F1F"/>
          <w:w w:val="110"/>
          <w:sz w:val="22"/>
        </w:rPr>
        <w:t>madre</w:t>
      </w:r>
      <w:r>
        <w:rPr>
          <w:color w:val="231F1F"/>
          <w:spacing w:val="-7"/>
          <w:w w:val="110"/>
          <w:sz w:val="22"/>
        </w:rPr>
        <w:t> </w:t>
      </w:r>
      <w:r>
        <w:rPr>
          <w:color w:val="231F1F"/>
          <w:w w:val="110"/>
          <w:sz w:val="22"/>
        </w:rPr>
        <w:t>que</w:t>
      </w:r>
      <w:r>
        <w:rPr>
          <w:color w:val="231F1F"/>
          <w:spacing w:val="-8"/>
          <w:w w:val="110"/>
          <w:sz w:val="22"/>
        </w:rPr>
        <w:t> </w:t>
      </w:r>
      <w:r>
        <w:rPr>
          <w:color w:val="231F1F"/>
          <w:w w:val="110"/>
          <w:sz w:val="22"/>
        </w:rPr>
        <w:t>desee</w:t>
      </w:r>
      <w:r>
        <w:rPr>
          <w:color w:val="231F1F"/>
          <w:spacing w:val="-8"/>
          <w:w w:val="110"/>
          <w:sz w:val="22"/>
        </w:rPr>
        <w:t> </w:t>
      </w:r>
      <w:r>
        <w:rPr>
          <w:color w:val="231F1F"/>
          <w:w w:val="110"/>
          <w:sz w:val="22"/>
        </w:rPr>
        <w:t>el</w:t>
      </w:r>
      <w:r>
        <w:rPr>
          <w:color w:val="231F1F"/>
          <w:spacing w:val="-8"/>
          <w:w w:val="110"/>
          <w:sz w:val="22"/>
        </w:rPr>
        <w:t> </w:t>
      </w:r>
      <w:r>
        <w:rPr>
          <w:color w:val="231F1F"/>
          <w:w w:val="110"/>
          <w:sz w:val="22"/>
        </w:rPr>
        <w:t>contacto</w:t>
      </w:r>
      <w:r>
        <w:rPr>
          <w:color w:val="231F1F"/>
          <w:spacing w:val="-8"/>
          <w:w w:val="110"/>
          <w:sz w:val="22"/>
        </w:rPr>
        <w:t> </w:t>
      </w:r>
      <w:r>
        <w:rPr>
          <w:color w:val="231F1F"/>
          <w:w w:val="110"/>
          <w:sz w:val="22"/>
        </w:rPr>
        <w:t>piel con</w:t>
      </w:r>
      <w:r>
        <w:rPr>
          <w:color w:val="231F1F"/>
          <w:spacing w:val="-7"/>
          <w:w w:val="110"/>
          <w:sz w:val="22"/>
        </w:rPr>
        <w:t> </w:t>
      </w:r>
      <w:r>
        <w:rPr>
          <w:color w:val="231F1F"/>
          <w:w w:val="110"/>
          <w:sz w:val="22"/>
        </w:rPr>
        <w:t>piel</w:t>
      </w:r>
      <w:r>
        <w:rPr>
          <w:color w:val="231F1F"/>
          <w:spacing w:val="-8"/>
          <w:w w:val="110"/>
          <w:sz w:val="22"/>
        </w:rPr>
        <w:t> </w:t>
      </w:r>
      <w:r>
        <w:rPr>
          <w:color w:val="231F1F"/>
          <w:w w:val="110"/>
          <w:sz w:val="22"/>
        </w:rPr>
        <w:t>a</w:t>
      </w:r>
      <w:r>
        <w:rPr>
          <w:color w:val="231F1F"/>
          <w:spacing w:val="-7"/>
          <w:w w:val="110"/>
          <w:sz w:val="22"/>
        </w:rPr>
        <w:t> </w:t>
      </w:r>
      <w:r>
        <w:rPr>
          <w:color w:val="231F1F"/>
          <w:w w:val="110"/>
          <w:sz w:val="22"/>
        </w:rPr>
        <w:t>que</w:t>
      </w:r>
      <w:r>
        <w:rPr>
          <w:color w:val="231F1F"/>
          <w:spacing w:val="-7"/>
          <w:w w:val="110"/>
          <w:sz w:val="22"/>
        </w:rPr>
        <w:t> </w:t>
      </w:r>
      <w:r>
        <w:rPr>
          <w:color w:val="231F1F"/>
          <w:w w:val="110"/>
          <w:sz w:val="22"/>
        </w:rPr>
        <w:t>se</w:t>
      </w:r>
      <w:r>
        <w:rPr>
          <w:color w:val="231F1F"/>
          <w:spacing w:val="-7"/>
          <w:w w:val="110"/>
          <w:sz w:val="22"/>
        </w:rPr>
        <w:t> </w:t>
      </w:r>
      <w:r>
        <w:rPr>
          <w:color w:val="231F1F"/>
          <w:w w:val="110"/>
          <w:sz w:val="22"/>
        </w:rPr>
        <w:t>descubra</w:t>
      </w:r>
      <w:r>
        <w:rPr>
          <w:color w:val="231F1F"/>
          <w:spacing w:val="-7"/>
          <w:w w:val="110"/>
          <w:sz w:val="22"/>
        </w:rPr>
        <w:t> </w:t>
      </w:r>
      <w:r>
        <w:rPr>
          <w:color w:val="231F1F"/>
          <w:w w:val="110"/>
          <w:sz w:val="22"/>
        </w:rPr>
        <w:t>el</w:t>
      </w:r>
      <w:r>
        <w:rPr>
          <w:color w:val="231F1F"/>
          <w:spacing w:val="-8"/>
          <w:w w:val="110"/>
          <w:sz w:val="22"/>
        </w:rPr>
        <w:t> </w:t>
      </w:r>
      <w:r>
        <w:rPr>
          <w:color w:val="231F1F"/>
          <w:w w:val="110"/>
          <w:sz w:val="22"/>
        </w:rPr>
        <w:t>abdomen/pecho</w:t>
      </w:r>
      <w:r>
        <w:rPr>
          <w:color w:val="231F1F"/>
          <w:spacing w:val="-7"/>
          <w:w w:val="110"/>
          <w:sz w:val="22"/>
        </w:rPr>
        <w:t> </w:t>
      </w:r>
      <w:r>
        <w:rPr>
          <w:color w:val="231F1F"/>
          <w:w w:val="110"/>
          <w:sz w:val="22"/>
        </w:rPr>
        <w:t>ayudándola</w:t>
      </w:r>
      <w:r>
        <w:rPr>
          <w:color w:val="231F1F"/>
          <w:spacing w:val="-7"/>
          <w:w w:val="110"/>
          <w:sz w:val="22"/>
        </w:rPr>
        <w:t> </w:t>
      </w:r>
      <w:r>
        <w:rPr>
          <w:color w:val="231F1F"/>
          <w:w w:val="110"/>
          <w:sz w:val="22"/>
        </w:rPr>
        <w:t>si</w:t>
      </w:r>
      <w:r>
        <w:rPr>
          <w:color w:val="231F1F"/>
          <w:spacing w:val="-8"/>
          <w:w w:val="110"/>
          <w:sz w:val="22"/>
        </w:rPr>
        <w:t> </w:t>
      </w:r>
      <w:r>
        <w:rPr>
          <w:color w:val="231F1F"/>
          <w:w w:val="110"/>
          <w:sz w:val="22"/>
        </w:rPr>
        <w:t>lo</w:t>
      </w:r>
      <w:r>
        <w:rPr>
          <w:color w:val="231F1F"/>
          <w:spacing w:val="-7"/>
          <w:w w:val="110"/>
          <w:sz w:val="22"/>
        </w:rPr>
        <w:t> </w:t>
      </w:r>
      <w:r>
        <w:rPr>
          <w:color w:val="231F1F"/>
          <w:w w:val="110"/>
          <w:sz w:val="22"/>
        </w:rPr>
        <w:t>necesita</w:t>
      </w:r>
      <w:r>
        <w:rPr>
          <w:color w:val="231F1F"/>
          <w:spacing w:val="-7"/>
          <w:w w:val="110"/>
          <w:sz w:val="22"/>
        </w:rPr>
        <w:t> </w:t>
      </w:r>
      <w:r>
        <w:rPr>
          <w:color w:val="231F1F"/>
          <w:w w:val="110"/>
          <w:sz w:val="22"/>
        </w:rPr>
        <w:t>y</w:t>
      </w:r>
      <w:r>
        <w:rPr>
          <w:color w:val="231F1F"/>
          <w:spacing w:val="-7"/>
          <w:w w:val="110"/>
          <w:sz w:val="22"/>
        </w:rPr>
        <w:t> </w:t>
      </w:r>
      <w:r>
        <w:rPr>
          <w:color w:val="231F1F"/>
          <w:w w:val="110"/>
          <w:sz w:val="22"/>
        </w:rPr>
        <w:t>cubrién- dola con un muletón caliente.</w:t>
      </w:r>
    </w:p>
    <w:p>
      <w:pPr>
        <w:pStyle w:val="ListParagraph"/>
        <w:numPr>
          <w:ilvl w:val="0"/>
          <w:numId w:val="103"/>
        </w:numPr>
        <w:tabs>
          <w:tab w:pos="951" w:val="left" w:leader="none"/>
        </w:tabs>
        <w:spacing w:line="240" w:lineRule="auto" w:before="138" w:after="0"/>
        <w:ind w:left="951" w:right="0" w:hanging="218"/>
        <w:jc w:val="both"/>
        <w:rPr>
          <w:sz w:val="22"/>
        </w:rPr>
      </w:pPr>
      <w:r>
        <w:rPr>
          <w:color w:val="231F1F"/>
          <w:w w:val="110"/>
          <w:sz w:val="22"/>
        </w:rPr>
        <w:t>Retirar</w:t>
      </w:r>
      <w:r>
        <w:rPr>
          <w:color w:val="231F1F"/>
          <w:spacing w:val="-10"/>
          <w:w w:val="110"/>
          <w:sz w:val="22"/>
        </w:rPr>
        <w:t> </w:t>
      </w:r>
      <w:r>
        <w:rPr>
          <w:color w:val="231F1F"/>
          <w:w w:val="110"/>
          <w:sz w:val="22"/>
        </w:rPr>
        <w:t>el</w:t>
      </w:r>
      <w:r>
        <w:rPr>
          <w:color w:val="231F1F"/>
          <w:spacing w:val="-7"/>
          <w:w w:val="110"/>
          <w:sz w:val="22"/>
        </w:rPr>
        <w:t> </w:t>
      </w:r>
      <w:r>
        <w:rPr>
          <w:color w:val="231F1F"/>
          <w:w w:val="110"/>
          <w:sz w:val="22"/>
        </w:rPr>
        <w:t>muletón</w:t>
      </w:r>
      <w:r>
        <w:rPr>
          <w:color w:val="231F1F"/>
          <w:spacing w:val="-8"/>
          <w:w w:val="110"/>
          <w:sz w:val="22"/>
        </w:rPr>
        <w:t> </w:t>
      </w:r>
      <w:r>
        <w:rPr>
          <w:color w:val="231F1F"/>
          <w:w w:val="110"/>
          <w:sz w:val="22"/>
        </w:rPr>
        <w:t>en</w:t>
      </w:r>
      <w:r>
        <w:rPr>
          <w:color w:val="231F1F"/>
          <w:spacing w:val="-9"/>
          <w:w w:val="110"/>
          <w:sz w:val="22"/>
        </w:rPr>
        <w:t> </w:t>
      </w:r>
      <w:r>
        <w:rPr>
          <w:color w:val="231F1F"/>
          <w:w w:val="110"/>
          <w:sz w:val="22"/>
        </w:rPr>
        <w:t>el</w:t>
      </w:r>
      <w:r>
        <w:rPr>
          <w:color w:val="231F1F"/>
          <w:spacing w:val="-8"/>
          <w:w w:val="110"/>
          <w:sz w:val="22"/>
        </w:rPr>
        <w:t> </w:t>
      </w:r>
      <w:r>
        <w:rPr>
          <w:color w:val="231F1F"/>
          <w:w w:val="110"/>
          <w:sz w:val="22"/>
        </w:rPr>
        <w:t>momento</w:t>
      </w:r>
      <w:r>
        <w:rPr>
          <w:color w:val="231F1F"/>
          <w:spacing w:val="-7"/>
          <w:w w:val="110"/>
          <w:sz w:val="22"/>
        </w:rPr>
        <w:t> </w:t>
      </w:r>
      <w:r>
        <w:rPr>
          <w:color w:val="231F1F"/>
          <w:w w:val="110"/>
          <w:sz w:val="22"/>
        </w:rPr>
        <w:t>del</w:t>
      </w:r>
      <w:r>
        <w:rPr>
          <w:color w:val="231F1F"/>
          <w:spacing w:val="-12"/>
          <w:w w:val="110"/>
          <w:sz w:val="22"/>
        </w:rPr>
        <w:t> </w:t>
      </w:r>
      <w:r>
        <w:rPr>
          <w:color w:val="231F1F"/>
          <w:spacing w:val="-2"/>
          <w:w w:val="110"/>
          <w:sz w:val="22"/>
        </w:rPr>
        <w:t>nacimiento.</w:t>
      </w:r>
    </w:p>
    <w:p>
      <w:pPr>
        <w:pStyle w:val="ListParagraph"/>
        <w:numPr>
          <w:ilvl w:val="0"/>
          <w:numId w:val="103"/>
        </w:numPr>
        <w:tabs>
          <w:tab w:pos="954" w:val="left" w:leader="none"/>
        </w:tabs>
        <w:spacing w:line="244" w:lineRule="auto" w:before="150" w:after="0"/>
        <w:ind w:left="954" w:right="125" w:hanging="220"/>
        <w:jc w:val="both"/>
        <w:rPr>
          <w:sz w:val="22"/>
        </w:rPr>
      </w:pPr>
      <w:r>
        <w:rPr>
          <w:color w:val="231F1F"/>
          <w:w w:val="110"/>
          <w:sz w:val="22"/>
        </w:rPr>
        <w:t>Colocar el RN directamente sobre la piel de su madre, secándole suavemente el dorso</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un</w:t>
      </w:r>
      <w:r>
        <w:rPr>
          <w:color w:val="231F1F"/>
          <w:spacing w:val="-14"/>
          <w:w w:val="110"/>
          <w:sz w:val="22"/>
        </w:rPr>
        <w:t> </w:t>
      </w:r>
      <w:r>
        <w:rPr>
          <w:color w:val="231F1F"/>
          <w:w w:val="110"/>
          <w:sz w:val="22"/>
        </w:rPr>
        <w:t>paño</w:t>
      </w:r>
      <w:r>
        <w:rPr>
          <w:color w:val="231F1F"/>
          <w:spacing w:val="-14"/>
          <w:w w:val="110"/>
          <w:sz w:val="22"/>
        </w:rPr>
        <w:t> </w:t>
      </w:r>
      <w:r>
        <w:rPr>
          <w:color w:val="231F1F"/>
          <w:w w:val="110"/>
          <w:sz w:val="22"/>
        </w:rPr>
        <w:t>precalentado,</w:t>
      </w:r>
      <w:r>
        <w:rPr>
          <w:color w:val="231F1F"/>
          <w:spacing w:val="-15"/>
          <w:w w:val="110"/>
          <w:sz w:val="22"/>
        </w:rPr>
        <w:t> </w:t>
      </w:r>
      <w:r>
        <w:rPr>
          <w:color w:val="231F1F"/>
          <w:w w:val="110"/>
          <w:sz w:val="22"/>
        </w:rPr>
        <w:t>comprobando</w:t>
      </w:r>
      <w:r>
        <w:rPr>
          <w:color w:val="231F1F"/>
          <w:spacing w:val="-13"/>
          <w:w w:val="110"/>
          <w:sz w:val="22"/>
        </w:rPr>
        <w:t> </w:t>
      </w:r>
      <w:r>
        <w:rPr>
          <w:color w:val="231F1F"/>
          <w:w w:val="110"/>
          <w:sz w:val="22"/>
        </w:rPr>
        <w:t>que</w:t>
      </w:r>
      <w:r>
        <w:rPr>
          <w:color w:val="231F1F"/>
          <w:spacing w:val="-14"/>
          <w:w w:val="110"/>
          <w:sz w:val="22"/>
        </w:rPr>
        <w:t> </w:t>
      </w:r>
      <w:r>
        <w:rPr>
          <w:color w:val="231F1F"/>
          <w:w w:val="110"/>
          <w:sz w:val="22"/>
        </w:rPr>
        <w:t>respira</w:t>
      </w:r>
      <w:r>
        <w:rPr>
          <w:color w:val="231F1F"/>
          <w:spacing w:val="-14"/>
          <w:w w:val="110"/>
          <w:sz w:val="22"/>
        </w:rPr>
        <w:t> </w:t>
      </w:r>
      <w:r>
        <w:rPr>
          <w:color w:val="231F1F"/>
          <w:w w:val="110"/>
          <w:sz w:val="22"/>
        </w:rPr>
        <w:t>sin</w:t>
      </w:r>
      <w:r>
        <w:rPr>
          <w:color w:val="231F1F"/>
          <w:spacing w:val="-14"/>
          <w:w w:val="110"/>
          <w:sz w:val="22"/>
        </w:rPr>
        <w:t> </w:t>
      </w:r>
      <w:r>
        <w:rPr>
          <w:color w:val="231F1F"/>
          <w:w w:val="110"/>
          <w:sz w:val="22"/>
        </w:rPr>
        <w:t>dificultad,</w:t>
      </w:r>
      <w:r>
        <w:rPr>
          <w:color w:val="231F1F"/>
          <w:spacing w:val="-15"/>
          <w:w w:val="110"/>
          <w:sz w:val="22"/>
        </w:rPr>
        <w:t> </w:t>
      </w:r>
      <w:r>
        <w:rPr>
          <w:color w:val="231F1F"/>
          <w:w w:val="110"/>
          <w:sz w:val="22"/>
        </w:rPr>
        <w:t>con</w:t>
      </w:r>
      <w:r>
        <w:rPr>
          <w:color w:val="231F1F"/>
          <w:spacing w:val="-14"/>
          <w:w w:val="110"/>
          <w:sz w:val="22"/>
        </w:rPr>
        <w:t> </w:t>
      </w:r>
      <w:r>
        <w:rPr>
          <w:color w:val="231F1F"/>
          <w:w w:val="110"/>
          <w:sz w:val="22"/>
        </w:rPr>
        <w:t>bue- nos movimientos torácicos</w:t>
      </w:r>
      <w:r>
        <w:rPr>
          <w:color w:val="231F1F"/>
          <w:spacing w:val="40"/>
          <w:w w:val="110"/>
          <w:sz w:val="22"/>
        </w:rPr>
        <w:t> </w:t>
      </w:r>
      <w:r>
        <w:rPr>
          <w:color w:val="231F1F"/>
          <w:w w:val="110"/>
          <w:sz w:val="22"/>
        </w:rPr>
        <w:t>y que tiene buen tono muscular</w:t>
      </w:r>
    </w:p>
    <w:p>
      <w:pPr>
        <w:pStyle w:val="ListParagraph"/>
        <w:numPr>
          <w:ilvl w:val="0"/>
          <w:numId w:val="103"/>
        </w:numPr>
        <w:tabs>
          <w:tab w:pos="952" w:val="left" w:leader="none"/>
          <w:tab w:pos="955" w:val="left" w:leader="none"/>
        </w:tabs>
        <w:spacing w:line="244" w:lineRule="auto" w:before="143" w:after="0"/>
        <w:ind w:left="955" w:right="152" w:hanging="221"/>
        <w:jc w:val="both"/>
        <w:rPr>
          <w:sz w:val="22"/>
        </w:rPr>
      </w:pPr>
      <w:r>
        <w:rPr>
          <w:color w:val="231F1F"/>
          <w:w w:val="110"/>
          <w:sz w:val="22"/>
        </w:rPr>
        <w:t>Retirar</w:t>
      </w:r>
      <w:r>
        <w:rPr>
          <w:color w:val="231F1F"/>
          <w:spacing w:val="-7"/>
          <w:w w:val="110"/>
          <w:sz w:val="22"/>
        </w:rPr>
        <w:t> </w:t>
      </w:r>
      <w:r>
        <w:rPr>
          <w:color w:val="231F1F"/>
          <w:w w:val="110"/>
          <w:sz w:val="22"/>
        </w:rPr>
        <w:t>el</w:t>
      </w:r>
      <w:r>
        <w:rPr>
          <w:color w:val="231F1F"/>
          <w:spacing w:val="-7"/>
          <w:w w:val="110"/>
          <w:sz w:val="22"/>
        </w:rPr>
        <w:t> </w:t>
      </w:r>
      <w:r>
        <w:rPr>
          <w:color w:val="231F1F"/>
          <w:w w:val="110"/>
          <w:sz w:val="22"/>
        </w:rPr>
        <w:t>paño</w:t>
      </w:r>
      <w:r>
        <w:rPr>
          <w:color w:val="231F1F"/>
          <w:spacing w:val="-6"/>
          <w:w w:val="110"/>
          <w:sz w:val="22"/>
        </w:rPr>
        <w:t> </w:t>
      </w:r>
      <w:r>
        <w:rPr>
          <w:color w:val="231F1F"/>
          <w:w w:val="110"/>
          <w:sz w:val="22"/>
        </w:rPr>
        <w:t>utilizado</w:t>
      </w:r>
      <w:r>
        <w:rPr>
          <w:color w:val="231F1F"/>
          <w:spacing w:val="-6"/>
          <w:w w:val="110"/>
          <w:sz w:val="22"/>
        </w:rPr>
        <w:t> </w:t>
      </w:r>
      <w:r>
        <w:rPr>
          <w:color w:val="231F1F"/>
          <w:w w:val="110"/>
          <w:sz w:val="22"/>
        </w:rPr>
        <w:t>para</w:t>
      </w:r>
      <w:r>
        <w:rPr>
          <w:color w:val="231F1F"/>
          <w:spacing w:val="-7"/>
          <w:w w:val="110"/>
          <w:sz w:val="22"/>
        </w:rPr>
        <w:t> </w:t>
      </w:r>
      <w:r>
        <w:rPr>
          <w:color w:val="231F1F"/>
          <w:w w:val="110"/>
          <w:sz w:val="22"/>
        </w:rPr>
        <w:t>secar</w:t>
      </w:r>
      <w:r>
        <w:rPr>
          <w:color w:val="231F1F"/>
          <w:spacing w:val="-8"/>
          <w:w w:val="110"/>
          <w:sz w:val="22"/>
        </w:rPr>
        <w:t> </w:t>
      </w:r>
      <w:r>
        <w:rPr>
          <w:color w:val="231F1F"/>
          <w:w w:val="110"/>
          <w:sz w:val="22"/>
        </w:rPr>
        <w:t>al</w:t>
      </w:r>
      <w:r>
        <w:rPr>
          <w:color w:val="231F1F"/>
          <w:spacing w:val="-7"/>
          <w:w w:val="110"/>
          <w:sz w:val="22"/>
        </w:rPr>
        <w:t> </w:t>
      </w:r>
      <w:r>
        <w:rPr>
          <w:color w:val="231F1F"/>
          <w:w w:val="110"/>
          <w:sz w:val="22"/>
        </w:rPr>
        <w:t>bebé</w:t>
      </w:r>
      <w:r>
        <w:rPr>
          <w:color w:val="231F1F"/>
          <w:spacing w:val="-7"/>
          <w:w w:val="110"/>
          <w:sz w:val="22"/>
        </w:rPr>
        <w:t> </w:t>
      </w:r>
      <w:r>
        <w:rPr>
          <w:color w:val="231F1F"/>
          <w:w w:val="110"/>
          <w:sz w:val="22"/>
        </w:rPr>
        <w:t>y</w:t>
      </w:r>
      <w:r>
        <w:rPr>
          <w:color w:val="231F1F"/>
          <w:spacing w:val="-6"/>
          <w:w w:val="110"/>
          <w:sz w:val="22"/>
        </w:rPr>
        <w:t> </w:t>
      </w:r>
      <w:r>
        <w:rPr>
          <w:color w:val="231F1F"/>
          <w:w w:val="110"/>
          <w:sz w:val="22"/>
        </w:rPr>
        <w:t>cubrir</w:t>
      </w:r>
      <w:r>
        <w:rPr>
          <w:color w:val="231F1F"/>
          <w:spacing w:val="-7"/>
          <w:w w:val="110"/>
          <w:sz w:val="22"/>
        </w:rPr>
        <w:t> </w:t>
      </w:r>
      <w:r>
        <w:rPr>
          <w:color w:val="231F1F"/>
          <w:w w:val="110"/>
          <w:sz w:val="22"/>
        </w:rPr>
        <w:t>a</w:t>
      </w:r>
      <w:r>
        <w:rPr>
          <w:color w:val="231F1F"/>
          <w:spacing w:val="-6"/>
          <w:w w:val="110"/>
          <w:sz w:val="22"/>
        </w:rPr>
        <w:t> </w:t>
      </w:r>
      <w:r>
        <w:rPr>
          <w:color w:val="231F1F"/>
          <w:w w:val="110"/>
          <w:sz w:val="22"/>
        </w:rPr>
        <w:t>ambos</w:t>
      </w:r>
      <w:r>
        <w:rPr>
          <w:color w:val="231F1F"/>
          <w:spacing w:val="-6"/>
          <w:w w:val="110"/>
          <w:sz w:val="22"/>
        </w:rPr>
        <w:t> </w:t>
      </w:r>
      <w:r>
        <w:rPr>
          <w:color w:val="231F1F"/>
          <w:w w:val="110"/>
          <w:sz w:val="22"/>
        </w:rPr>
        <w:t>con</w:t>
      </w:r>
      <w:r>
        <w:rPr>
          <w:color w:val="231F1F"/>
          <w:spacing w:val="-6"/>
          <w:w w:val="110"/>
          <w:sz w:val="22"/>
        </w:rPr>
        <w:t> </w:t>
      </w:r>
      <w:r>
        <w:rPr>
          <w:color w:val="231F1F"/>
          <w:w w:val="110"/>
          <w:sz w:val="22"/>
        </w:rPr>
        <w:t>un</w:t>
      </w:r>
      <w:r>
        <w:rPr>
          <w:color w:val="231F1F"/>
          <w:spacing w:val="-6"/>
          <w:w w:val="110"/>
          <w:sz w:val="22"/>
        </w:rPr>
        <w:t> </w:t>
      </w:r>
      <w:r>
        <w:rPr>
          <w:color w:val="231F1F"/>
          <w:w w:val="110"/>
          <w:sz w:val="22"/>
        </w:rPr>
        <w:t>muletón</w:t>
      </w:r>
      <w:r>
        <w:rPr>
          <w:color w:val="231F1F"/>
          <w:spacing w:val="-6"/>
          <w:w w:val="110"/>
          <w:sz w:val="22"/>
        </w:rPr>
        <w:t> </w:t>
      </w:r>
      <w:r>
        <w:rPr>
          <w:color w:val="231F1F"/>
          <w:w w:val="110"/>
          <w:sz w:val="22"/>
        </w:rPr>
        <w:t>seco y</w:t>
      </w:r>
      <w:r>
        <w:rPr>
          <w:color w:val="231F1F"/>
          <w:spacing w:val="-16"/>
          <w:w w:val="110"/>
          <w:sz w:val="22"/>
        </w:rPr>
        <w:t> </w:t>
      </w:r>
      <w:r>
        <w:rPr>
          <w:color w:val="231F1F"/>
          <w:w w:val="110"/>
          <w:sz w:val="22"/>
        </w:rPr>
        <w:t>caliente,</w:t>
      </w:r>
      <w:r>
        <w:rPr>
          <w:color w:val="231F1F"/>
          <w:spacing w:val="-15"/>
          <w:w w:val="110"/>
          <w:sz w:val="22"/>
        </w:rPr>
        <w:t> </w:t>
      </w:r>
      <w:r>
        <w:rPr>
          <w:color w:val="231F1F"/>
          <w:w w:val="110"/>
          <w:sz w:val="22"/>
        </w:rPr>
        <w:t>que</w:t>
      </w:r>
      <w:r>
        <w:rPr>
          <w:color w:val="231F1F"/>
          <w:spacing w:val="-16"/>
          <w:w w:val="110"/>
          <w:sz w:val="22"/>
        </w:rPr>
        <w:t> </w:t>
      </w:r>
      <w:r>
        <w:rPr>
          <w:color w:val="231F1F"/>
          <w:w w:val="110"/>
          <w:sz w:val="22"/>
        </w:rPr>
        <w:t>no</w:t>
      </w:r>
      <w:r>
        <w:rPr>
          <w:color w:val="231F1F"/>
          <w:spacing w:val="-15"/>
          <w:w w:val="110"/>
          <w:sz w:val="22"/>
        </w:rPr>
        <w:t> </w:t>
      </w:r>
      <w:r>
        <w:rPr>
          <w:color w:val="231F1F"/>
          <w:w w:val="110"/>
          <w:sz w:val="22"/>
        </w:rPr>
        <w:t>sobrepase</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hombros</w:t>
      </w:r>
      <w:r>
        <w:rPr>
          <w:color w:val="231F1F"/>
          <w:spacing w:val="-15"/>
          <w:w w:val="110"/>
          <w:sz w:val="22"/>
        </w:rPr>
        <w:t> </w:t>
      </w:r>
      <w:r>
        <w:rPr>
          <w:color w:val="231F1F"/>
          <w:w w:val="110"/>
          <w:sz w:val="22"/>
        </w:rPr>
        <w:t>del</w:t>
      </w:r>
      <w:r>
        <w:rPr>
          <w:color w:val="231F1F"/>
          <w:spacing w:val="-16"/>
          <w:w w:val="110"/>
          <w:sz w:val="22"/>
        </w:rPr>
        <w:t> </w:t>
      </w:r>
      <w:r>
        <w:rPr>
          <w:color w:val="231F1F"/>
          <w:w w:val="110"/>
          <w:sz w:val="22"/>
        </w:rPr>
        <w:t>bebé</w:t>
      </w:r>
      <w:r>
        <w:rPr>
          <w:color w:val="231F1F"/>
          <w:spacing w:val="-15"/>
          <w:w w:val="110"/>
          <w:sz w:val="22"/>
        </w:rPr>
        <w:t> </w:t>
      </w:r>
      <w:r>
        <w:rPr>
          <w:color w:val="231F1F"/>
          <w:w w:val="110"/>
          <w:sz w:val="22"/>
        </w:rPr>
        <w:t>para</w:t>
      </w:r>
      <w:r>
        <w:rPr>
          <w:color w:val="231F1F"/>
          <w:spacing w:val="-16"/>
          <w:w w:val="110"/>
          <w:sz w:val="22"/>
        </w:rPr>
        <w:t> </w:t>
      </w:r>
      <w:r>
        <w:rPr>
          <w:color w:val="231F1F"/>
          <w:w w:val="110"/>
          <w:sz w:val="22"/>
        </w:rPr>
        <w:t>permitir</w:t>
      </w:r>
      <w:r>
        <w:rPr>
          <w:color w:val="231F1F"/>
          <w:spacing w:val="-15"/>
          <w:w w:val="110"/>
          <w:sz w:val="22"/>
        </w:rPr>
        <w:t> </w:t>
      </w:r>
      <w:r>
        <w:rPr>
          <w:color w:val="231F1F"/>
          <w:w w:val="110"/>
          <w:sz w:val="22"/>
        </w:rPr>
        <w:t>el</w:t>
      </w:r>
      <w:r>
        <w:rPr>
          <w:color w:val="231F1F"/>
          <w:spacing w:val="-15"/>
          <w:w w:val="110"/>
          <w:sz w:val="22"/>
        </w:rPr>
        <w:t> </w:t>
      </w:r>
      <w:r>
        <w:rPr>
          <w:color w:val="231F1F"/>
          <w:w w:val="110"/>
          <w:sz w:val="22"/>
        </w:rPr>
        <w:t>contacto</w:t>
      </w:r>
      <w:r>
        <w:rPr>
          <w:color w:val="231F1F"/>
          <w:spacing w:val="-15"/>
          <w:w w:val="110"/>
          <w:sz w:val="22"/>
        </w:rPr>
        <w:t> </w:t>
      </w:r>
      <w:r>
        <w:rPr>
          <w:color w:val="231F1F"/>
          <w:w w:val="110"/>
          <w:sz w:val="22"/>
        </w:rPr>
        <w:t>visual.</w:t>
      </w:r>
    </w:p>
    <w:p>
      <w:pPr>
        <w:pStyle w:val="ListParagraph"/>
        <w:numPr>
          <w:ilvl w:val="0"/>
          <w:numId w:val="103"/>
        </w:numPr>
        <w:tabs>
          <w:tab w:pos="951" w:val="left" w:leader="none"/>
        </w:tabs>
        <w:spacing w:line="240" w:lineRule="auto" w:before="141" w:after="0"/>
        <w:ind w:left="951" w:right="0" w:hanging="218"/>
        <w:jc w:val="both"/>
        <w:rPr>
          <w:sz w:val="22"/>
        </w:rPr>
      </w:pPr>
      <w:r>
        <w:rPr>
          <w:color w:val="231F1F"/>
          <w:spacing w:val="2"/>
          <w:sz w:val="22"/>
        </w:rPr>
        <w:t>Colocar</w:t>
      </w:r>
      <w:r>
        <w:rPr>
          <w:color w:val="231F1F"/>
          <w:spacing w:val="29"/>
          <w:sz w:val="22"/>
        </w:rPr>
        <w:t> </w:t>
      </w:r>
      <w:r>
        <w:rPr>
          <w:color w:val="231F1F"/>
          <w:spacing w:val="2"/>
          <w:sz w:val="22"/>
        </w:rPr>
        <w:t>a</w:t>
      </w:r>
      <w:r>
        <w:rPr>
          <w:color w:val="231F1F"/>
          <w:spacing w:val="30"/>
          <w:sz w:val="22"/>
        </w:rPr>
        <w:t> </w:t>
      </w:r>
      <w:r>
        <w:rPr>
          <w:color w:val="231F1F"/>
          <w:spacing w:val="2"/>
          <w:sz w:val="22"/>
        </w:rPr>
        <w:t>la</w:t>
      </w:r>
      <w:r>
        <w:rPr>
          <w:color w:val="231F1F"/>
          <w:spacing w:val="31"/>
          <w:sz w:val="22"/>
        </w:rPr>
        <w:t> </w:t>
      </w:r>
      <w:r>
        <w:rPr>
          <w:color w:val="231F1F"/>
          <w:spacing w:val="2"/>
          <w:sz w:val="22"/>
        </w:rPr>
        <w:t>madre</w:t>
      </w:r>
      <w:r>
        <w:rPr>
          <w:color w:val="231F1F"/>
          <w:spacing w:val="31"/>
          <w:sz w:val="22"/>
        </w:rPr>
        <w:t> </w:t>
      </w:r>
      <w:r>
        <w:rPr>
          <w:color w:val="231F1F"/>
          <w:spacing w:val="2"/>
          <w:sz w:val="22"/>
        </w:rPr>
        <w:t>semiincorporada</w:t>
      </w:r>
      <w:r>
        <w:rPr>
          <w:color w:val="231F1F"/>
          <w:spacing w:val="27"/>
          <w:sz w:val="22"/>
        </w:rPr>
        <w:t> </w:t>
      </w:r>
      <w:r>
        <w:rPr>
          <w:color w:val="231F1F"/>
          <w:spacing w:val="2"/>
          <w:sz w:val="22"/>
        </w:rPr>
        <w:t>abrazando</w:t>
      </w:r>
      <w:r>
        <w:rPr>
          <w:color w:val="231F1F"/>
          <w:spacing w:val="31"/>
          <w:sz w:val="22"/>
        </w:rPr>
        <w:t> </w:t>
      </w:r>
      <w:r>
        <w:rPr>
          <w:color w:val="231F1F"/>
          <w:spacing w:val="2"/>
          <w:sz w:val="22"/>
        </w:rPr>
        <w:t>a</w:t>
      </w:r>
      <w:r>
        <w:rPr>
          <w:color w:val="231F1F"/>
          <w:spacing w:val="29"/>
          <w:sz w:val="22"/>
        </w:rPr>
        <w:t> </w:t>
      </w:r>
      <w:r>
        <w:rPr>
          <w:color w:val="231F1F"/>
          <w:spacing w:val="2"/>
          <w:sz w:val="22"/>
        </w:rPr>
        <w:t>su</w:t>
      </w:r>
      <w:r>
        <w:rPr>
          <w:color w:val="231F1F"/>
          <w:spacing w:val="32"/>
          <w:sz w:val="22"/>
        </w:rPr>
        <w:t> </w:t>
      </w:r>
      <w:r>
        <w:rPr>
          <w:color w:val="231F1F"/>
          <w:spacing w:val="-2"/>
          <w:sz w:val="22"/>
        </w:rPr>
        <w:t>hijo/a.</w:t>
      </w:r>
    </w:p>
    <w:p>
      <w:pPr>
        <w:pStyle w:val="ListParagraph"/>
        <w:numPr>
          <w:ilvl w:val="1"/>
          <w:numId w:val="103"/>
        </w:numPr>
        <w:tabs>
          <w:tab w:pos="1273" w:val="left" w:leader="none"/>
        </w:tabs>
        <w:spacing w:line="240" w:lineRule="auto" w:before="165" w:after="0"/>
        <w:ind w:left="1273" w:right="0" w:hanging="271"/>
        <w:jc w:val="both"/>
        <w:rPr>
          <w:sz w:val="22"/>
        </w:rPr>
      </w:pPr>
      <w:r>
        <w:rPr>
          <w:color w:val="231F1F"/>
          <w:sz w:val="22"/>
        </w:rPr>
        <w:t>Madre</w:t>
      </w:r>
      <w:r>
        <w:rPr>
          <w:color w:val="231F1F"/>
          <w:spacing w:val="25"/>
          <w:sz w:val="22"/>
        </w:rPr>
        <w:t> </w:t>
      </w:r>
      <w:r>
        <w:rPr>
          <w:color w:val="231F1F"/>
          <w:sz w:val="22"/>
        </w:rPr>
        <w:t>próxima</w:t>
      </w:r>
      <w:r>
        <w:rPr>
          <w:color w:val="231F1F"/>
          <w:spacing w:val="28"/>
          <w:sz w:val="22"/>
        </w:rPr>
        <w:t> </w:t>
      </w:r>
      <w:r>
        <w:rPr>
          <w:color w:val="231F1F"/>
          <w:sz w:val="22"/>
        </w:rPr>
        <w:t>a</w:t>
      </w:r>
      <w:r>
        <w:rPr>
          <w:color w:val="231F1F"/>
          <w:spacing w:val="29"/>
          <w:sz w:val="22"/>
        </w:rPr>
        <w:t> </w:t>
      </w:r>
      <w:r>
        <w:rPr>
          <w:color w:val="231F1F"/>
          <w:sz w:val="22"/>
        </w:rPr>
        <w:t>45º</w:t>
      </w:r>
      <w:r>
        <w:rPr>
          <w:color w:val="231F1F"/>
          <w:spacing w:val="28"/>
          <w:sz w:val="22"/>
        </w:rPr>
        <w:t> </w:t>
      </w:r>
      <w:r>
        <w:rPr>
          <w:color w:val="231F1F"/>
          <w:sz w:val="22"/>
        </w:rPr>
        <w:t>con</w:t>
      </w:r>
      <w:r>
        <w:rPr>
          <w:color w:val="231F1F"/>
          <w:spacing w:val="27"/>
          <w:sz w:val="22"/>
        </w:rPr>
        <w:t> </w:t>
      </w:r>
      <w:r>
        <w:rPr>
          <w:color w:val="231F1F"/>
          <w:sz w:val="22"/>
        </w:rPr>
        <w:t>el</w:t>
      </w:r>
      <w:r>
        <w:rPr>
          <w:color w:val="231F1F"/>
          <w:spacing w:val="28"/>
          <w:sz w:val="22"/>
        </w:rPr>
        <w:t> </w:t>
      </w:r>
      <w:r>
        <w:rPr>
          <w:color w:val="231F1F"/>
          <w:sz w:val="22"/>
        </w:rPr>
        <w:t>RN</w:t>
      </w:r>
      <w:r>
        <w:rPr>
          <w:color w:val="231F1F"/>
          <w:spacing w:val="27"/>
          <w:sz w:val="22"/>
        </w:rPr>
        <w:t> </w:t>
      </w:r>
      <w:r>
        <w:rPr>
          <w:color w:val="231F1F"/>
          <w:sz w:val="22"/>
        </w:rPr>
        <w:t>en</w:t>
      </w:r>
      <w:r>
        <w:rPr>
          <w:color w:val="231F1F"/>
          <w:spacing w:val="30"/>
          <w:sz w:val="22"/>
        </w:rPr>
        <w:t> </w:t>
      </w:r>
      <w:r>
        <w:rPr>
          <w:color w:val="231F1F"/>
          <w:sz w:val="22"/>
        </w:rPr>
        <w:t>posición</w:t>
      </w:r>
      <w:r>
        <w:rPr>
          <w:color w:val="231F1F"/>
          <w:spacing w:val="27"/>
          <w:sz w:val="22"/>
        </w:rPr>
        <w:t> </w:t>
      </w:r>
      <w:r>
        <w:rPr>
          <w:color w:val="231F1F"/>
          <w:sz w:val="22"/>
        </w:rPr>
        <w:t>prona</w:t>
      </w:r>
      <w:r>
        <w:rPr>
          <w:color w:val="231F1F"/>
          <w:spacing w:val="28"/>
          <w:sz w:val="22"/>
        </w:rPr>
        <w:t> </w:t>
      </w:r>
      <w:r>
        <w:rPr>
          <w:color w:val="231F1F"/>
          <w:sz w:val="22"/>
        </w:rPr>
        <w:t>entre</w:t>
      </w:r>
      <w:r>
        <w:rPr>
          <w:color w:val="231F1F"/>
          <w:spacing w:val="27"/>
          <w:sz w:val="22"/>
        </w:rPr>
        <w:t> </w:t>
      </w:r>
      <w:r>
        <w:rPr>
          <w:color w:val="231F1F"/>
          <w:sz w:val="22"/>
        </w:rPr>
        <w:t>sus</w:t>
      </w:r>
      <w:r>
        <w:rPr>
          <w:color w:val="231F1F"/>
          <w:spacing w:val="28"/>
          <w:sz w:val="22"/>
        </w:rPr>
        <w:t> </w:t>
      </w:r>
      <w:r>
        <w:rPr>
          <w:color w:val="231F1F"/>
          <w:spacing w:val="-2"/>
          <w:sz w:val="22"/>
        </w:rPr>
        <w:t>pechos.</w:t>
      </w:r>
    </w:p>
    <w:p>
      <w:pPr>
        <w:pStyle w:val="ListParagraph"/>
        <w:numPr>
          <w:ilvl w:val="1"/>
          <w:numId w:val="103"/>
        </w:numPr>
        <w:tabs>
          <w:tab w:pos="1285" w:val="left" w:leader="none"/>
          <w:tab w:pos="1289" w:val="left" w:leader="none"/>
        </w:tabs>
        <w:spacing w:line="259" w:lineRule="auto" w:before="93" w:after="0"/>
        <w:ind w:left="1289" w:right="119" w:hanging="288"/>
        <w:jc w:val="both"/>
        <w:rPr>
          <w:sz w:val="22"/>
        </w:rPr>
      </w:pPr>
      <w:r>
        <w:rPr>
          <w:color w:val="231F1F"/>
          <w:sz w:val="22"/>
        </w:rPr>
        <w:t>RN</w:t>
      </w:r>
      <w:r>
        <w:rPr>
          <w:color w:val="231F1F"/>
          <w:spacing w:val="30"/>
          <w:sz w:val="22"/>
        </w:rPr>
        <w:t> </w:t>
      </w:r>
      <w:r>
        <w:rPr>
          <w:color w:val="231F1F"/>
          <w:sz w:val="22"/>
        </w:rPr>
        <w:t>con</w:t>
      </w:r>
      <w:r>
        <w:rPr>
          <w:color w:val="231F1F"/>
          <w:spacing w:val="30"/>
          <w:sz w:val="22"/>
        </w:rPr>
        <w:t> </w:t>
      </w:r>
      <w:r>
        <w:rPr>
          <w:color w:val="231F1F"/>
          <w:sz w:val="22"/>
        </w:rPr>
        <w:t>las</w:t>
      </w:r>
      <w:r>
        <w:rPr>
          <w:color w:val="231F1F"/>
          <w:spacing w:val="30"/>
          <w:sz w:val="22"/>
        </w:rPr>
        <w:t> </w:t>
      </w:r>
      <w:r>
        <w:rPr>
          <w:color w:val="231F1F"/>
          <w:sz w:val="22"/>
        </w:rPr>
        <w:t>extremidades</w:t>
      </w:r>
      <w:r>
        <w:rPr>
          <w:color w:val="231F1F"/>
          <w:spacing w:val="30"/>
          <w:sz w:val="22"/>
        </w:rPr>
        <w:t> </w:t>
      </w:r>
      <w:r>
        <w:rPr>
          <w:color w:val="231F1F"/>
          <w:sz w:val="22"/>
        </w:rPr>
        <w:t>abiertas</w:t>
      </w:r>
      <w:r>
        <w:rPr>
          <w:color w:val="231F1F"/>
          <w:spacing w:val="30"/>
          <w:sz w:val="22"/>
        </w:rPr>
        <w:t> </w:t>
      </w:r>
      <w:r>
        <w:rPr>
          <w:color w:val="231F1F"/>
          <w:sz w:val="22"/>
        </w:rPr>
        <w:t>y</w:t>
      </w:r>
      <w:r>
        <w:rPr>
          <w:color w:val="231F1F"/>
          <w:spacing w:val="30"/>
          <w:sz w:val="22"/>
        </w:rPr>
        <w:t> </w:t>
      </w:r>
      <w:r>
        <w:rPr>
          <w:color w:val="231F1F"/>
          <w:sz w:val="22"/>
        </w:rPr>
        <w:t>flexionadas</w:t>
      </w:r>
      <w:r>
        <w:rPr>
          <w:color w:val="231F1F"/>
          <w:spacing w:val="31"/>
          <w:sz w:val="22"/>
        </w:rPr>
        <w:t> </w:t>
      </w:r>
      <w:r>
        <w:rPr>
          <w:color w:val="231F1F"/>
          <w:sz w:val="22"/>
        </w:rPr>
        <w:t>y</w:t>
      </w:r>
      <w:r>
        <w:rPr>
          <w:color w:val="231F1F"/>
          <w:spacing w:val="30"/>
          <w:sz w:val="22"/>
        </w:rPr>
        <w:t> </w:t>
      </w:r>
      <w:r>
        <w:rPr>
          <w:color w:val="231F1F"/>
          <w:sz w:val="22"/>
        </w:rPr>
        <w:t>la</w:t>
      </w:r>
      <w:r>
        <w:rPr>
          <w:color w:val="231F1F"/>
          <w:spacing w:val="30"/>
          <w:sz w:val="22"/>
        </w:rPr>
        <w:t> </w:t>
      </w:r>
      <w:r>
        <w:rPr>
          <w:color w:val="231F1F"/>
          <w:sz w:val="22"/>
        </w:rPr>
        <w:t>cabeza</w:t>
      </w:r>
      <w:r>
        <w:rPr>
          <w:color w:val="231F1F"/>
          <w:spacing w:val="30"/>
          <w:sz w:val="22"/>
        </w:rPr>
        <w:t> </w:t>
      </w:r>
      <w:r>
        <w:rPr>
          <w:color w:val="231F1F"/>
          <w:sz w:val="22"/>
        </w:rPr>
        <w:t>ladeada</w:t>
      </w:r>
      <w:r>
        <w:rPr>
          <w:color w:val="231F1F"/>
          <w:spacing w:val="31"/>
          <w:sz w:val="22"/>
        </w:rPr>
        <w:t> </w:t>
      </w:r>
      <w:r>
        <w:rPr>
          <w:color w:val="231F1F"/>
          <w:sz w:val="22"/>
        </w:rPr>
        <w:t>y</w:t>
      </w:r>
      <w:r>
        <w:rPr>
          <w:color w:val="231F1F"/>
          <w:spacing w:val="30"/>
          <w:sz w:val="22"/>
        </w:rPr>
        <w:t> </w:t>
      </w:r>
      <w:r>
        <w:rPr>
          <w:color w:val="231F1F"/>
          <w:sz w:val="22"/>
        </w:rPr>
        <w:t>ligeramen- te</w:t>
      </w:r>
      <w:r>
        <w:rPr>
          <w:color w:val="231F1F"/>
          <w:spacing w:val="40"/>
          <w:sz w:val="22"/>
        </w:rPr>
        <w:t> </w:t>
      </w:r>
      <w:r>
        <w:rPr>
          <w:color w:val="231F1F"/>
          <w:sz w:val="22"/>
        </w:rPr>
        <w:t>extendida,</w:t>
      </w:r>
      <w:r>
        <w:rPr>
          <w:color w:val="231F1F"/>
          <w:spacing w:val="40"/>
          <w:sz w:val="22"/>
        </w:rPr>
        <w:t> </w:t>
      </w:r>
      <w:r>
        <w:rPr>
          <w:color w:val="231F1F"/>
          <w:sz w:val="22"/>
        </w:rPr>
        <w:t>apoyada</w:t>
      </w:r>
      <w:r>
        <w:rPr>
          <w:color w:val="231F1F"/>
          <w:spacing w:val="40"/>
          <w:sz w:val="22"/>
        </w:rPr>
        <w:t> </w:t>
      </w:r>
      <w:r>
        <w:rPr>
          <w:color w:val="231F1F"/>
          <w:sz w:val="22"/>
        </w:rPr>
        <w:t>en</w:t>
      </w:r>
      <w:r>
        <w:rPr>
          <w:color w:val="231F1F"/>
          <w:spacing w:val="40"/>
          <w:sz w:val="22"/>
        </w:rPr>
        <w:t> </w:t>
      </w:r>
      <w:r>
        <w:rPr>
          <w:color w:val="231F1F"/>
          <w:sz w:val="22"/>
        </w:rPr>
        <w:t>el</w:t>
      </w:r>
      <w:r>
        <w:rPr>
          <w:color w:val="231F1F"/>
          <w:spacing w:val="40"/>
          <w:sz w:val="22"/>
        </w:rPr>
        <w:t> </w:t>
      </w:r>
      <w:r>
        <w:rPr>
          <w:color w:val="231F1F"/>
          <w:sz w:val="22"/>
        </w:rPr>
        <w:t>pecho</w:t>
      </w:r>
      <w:r>
        <w:rPr>
          <w:color w:val="231F1F"/>
          <w:spacing w:val="40"/>
          <w:sz w:val="22"/>
        </w:rPr>
        <w:t> </w:t>
      </w:r>
      <w:r>
        <w:rPr>
          <w:color w:val="231F1F"/>
          <w:sz w:val="22"/>
        </w:rPr>
        <w:t>materno,</w:t>
      </w:r>
      <w:r>
        <w:rPr>
          <w:color w:val="231F1F"/>
          <w:spacing w:val="40"/>
          <w:sz w:val="22"/>
        </w:rPr>
        <w:t> </w:t>
      </w:r>
      <w:r>
        <w:rPr>
          <w:color w:val="231F1F"/>
          <w:sz w:val="22"/>
        </w:rPr>
        <w:t>evitando</w:t>
      </w:r>
      <w:r>
        <w:rPr>
          <w:color w:val="231F1F"/>
          <w:spacing w:val="40"/>
          <w:sz w:val="22"/>
        </w:rPr>
        <w:t> </w:t>
      </w:r>
      <w:r>
        <w:rPr>
          <w:color w:val="231F1F"/>
          <w:sz w:val="22"/>
        </w:rPr>
        <w:t>la</w:t>
      </w:r>
      <w:r>
        <w:rPr>
          <w:color w:val="231F1F"/>
          <w:spacing w:val="40"/>
          <w:sz w:val="22"/>
        </w:rPr>
        <w:t> </w:t>
      </w:r>
      <w:r>
        <w:rPr>
          <w:color w:val="231F1F"/>
          <w:sz w:val="22"/>
        </w:rPr>
        <w:t>flexión</w:t>
      </w:r>
      <w:r>
        <w:rPr>
          <w:color w:val="231F1F"/>
          <w:spacing w:val="40"/>
          <w:sz w:val="22"/>
        </w:rPr>
        <w:t> </w:t>
      </w:r>
      <w:r>
        <w:rPr>
          <w:color w:val="231F1F"/>
          <w:sz w:val="22"/>
        </w:rPr>
        <w:t>e</w:t>
      </w:r>
      <w:r>
        <w:rPr>
          <w:color w:val="231F1F"/>
          <w:spacing w:val="40"/>
          <w:sz w:val="22"/>
        </w:rPr>
        <w:t> </w:t>
      </w:r>
      <w:r>
        <w:rPr>
          <w:color w:val="231F1F"/>
          <w:sz w:val="22"/>
        </w:rPr>
        <w:t>hiperextensión del cuello.</w:t>
      </w:r>
    </w:p>
    <w:p>
      <w:pPr>
        <w:pStyle w:val="ListParagraph"/>
        <w:numPr>
          <w:ilvl w:val="0"/>
          <w:numId w:val="103"/>
        </w:numPr>
        <w:tabs>
          <w:tab w:pos="955" w:val="left" w:leader="none"/>
        </w:tabs>
        <w:spacing w:line="249" w:lineRule="auto" w:before="145" w:after="0"/>
        <w:ind w:left="955" w:right="295" w:hanging="220"/>
        <w:jc w:val="left"/>
        <w:rPr>
          <w:sz w:val="22"/>
        </w:rPr>
      </w:pPr>
      <w:r>
        <w:rPr>
          <w:color w:val="231F1F"/>
          <w:sz w:val="22"/>
        </w:rPr>
        <w:t>Favorecer</w:t>
      </w:r>
      <w:r>
        <w:rPr>
          <w:color w:val="231F1F"/>
          <w:spacing w:val="30"/>
          <w:sz w:val="22"/>
        </w:rPr>
        <w:t> </w:t>
      </w:r>
      <w:r>
        <w:rPr>
          <w:color w:val="231F1F"/>
          <w:sz w:val="22"/>
        </w:rPr>
        <w:t>el</w:t>
      </w:r>
      <w:r>
        <w:rPr>
          <w:color w:val="231F1F"/>
          <w:spacing w:val="31"/>
          <w:sz w:val="22"/>
        </w:rPr>
        <w:t> </w:t>
      </w:r>
      <w:r>
        <w:rPr>
          <w:color w:val="231F1F"/>
          <w:sz w:val="22"/>
        </w:rPr>
        <w:t>contacto</w:t>
      </w:r>
      <w:r>
        <w:rPr>
          <w:color w:val="231F1F"/>
          <w:spacing w:val="30"/>
          <w:sz w:val="22"/>
        </w:rPr>
        <w:t> </w:t>
      </w:r>
      <w:r>
        <w:rPr>
          <w:color w:val="231F1F"/>
          <w:sz w:val="22"/>
        </w:rPr>
        <w:t>visual</w:t>
      </w:r>
      <w:r>
        <w:rPr>
          <w:color w:val="231F1F"/>
          <w:spacing w:val="30"/>
          <w:sz w:val="22"/>
        </w:rPr>
        <w:t> </w:t>
      </w:r>
      <w:r>
        <w:rPr>
          <w:color w:val="231F1F"/>
          <w:sz w:val="22"/>
        </w:rPr>
        <w:t>entre</w:t>
      </w:r>
      <w:r>
        <w:rPr>
          <w:color w:val="231F1F"/>
          <w:spacing w:val="30"/>
          <w:sz w:val="22"/>
        </w:rPr>
        <w:t> </w:t>
      </w:r>
      <w:r>
        <w:rPr>
          <w:color w:val="231F1F"/>
          <w:sz w:val="22"/>
        </w:rPr>
        <w:t>madre-hijo/a,</w:t>
      </w:r>
      <w:r>
        <w:rPr>
          <w:color w:val="231F1F"/>
          <w:spacing w:val="30"/>
          <w:sz w:val="22"/>
        </w:rPr>
        <w:t> </w:t>
      </w:r>
      <w:r>
        <w:rPr>
          <w:color w:val="231F1F"/>
          <w:sz w:val="22"/>
        </w:rPr>
        <w:t>para</w:t>
      </w:r>
      <w:r>
        <w:rPr>
          <w:color w:val="231F1F"/>
          <w:spacing w:val="31"/>
          <w:sz w:val="22"/>
        </w:rPr>
        <w:t> </w:t>
      </w:r>
      <w:r>
        <w:rPr>
          <w:color w:val="231F1F"/>
          <w:sz w:val="22"/>
        </w:rPr>
        <w:t>lo</w:t>
      </w:r>
      <w:r>
        <w:rPr>
          <w:color w:val="231F1F"/>
          <w:spacing w:val="31"/>
          <w:sz w:val="22"/>
        </w:rPr>
        <w:t> </w:t>
      </w:r>
      <w:r>
        <w:rPr>
          <w:color w:val="231F1F"/>
          <w:sz w:val="22"/>
        </w:rPr>
        <w:t>cual</w:t>
      </w:r>
      <w:r>
        <w:rPr>
          <w:color w:val="231F1F"/>
          <w:spacing w:val="31"/>
          <w:sz w:val="22"/>
        </w:rPr>
        <w:t> </w:t>
      </w:r>
      <w:r>
        <w:rPr>
          <w:color w:val="231F1F"/>
          <w:sz w:val="22"/>
        </w:rPr>
        <w:t>puede</w:t>
      </w:r>
      <w:r>
        <w:rPr>
          <w:color w:val="231F1F"/>
          <w:spacing w:val="30"/>
          <w:sz w:val="22"/>
        </w:rPr>
        <w:t> </w:t>
      </w:r>
      <w:r>
        <w:rPr>
          <w:color w:val="231F1F"/>
          <w:sz w:val="22"/>
        </w:rPr>
        <w:t>ser</w:t>
      </w:r>
      <w:r>
        <w:rPr>
          <w:color w:val="231F1F"/>
          <w:spacing w:val="31"/>
          <w:sz w:val="22"/>
        </w:rPr>
        <w:t> </w:t>
      </w:r>
      <w:r>
        <w:rPr>
          <w:color w:val="231F1F"/>
          <w:sz w:val="22"/>
        </w:rPr>
        <w:t>conveniente la</w:t>
      </w:r>
      <w:r>
        <w:rPr>
          <w:color w:val="231F1F"/>
          <w:spacing w:val="40"/>
          <w:sz w:val="22"/>
        </w:rPr>
        <w:t> </w:t>
      </w:r>
      <w:r>
        <w:rPr>
          <w:color w:val="231F1F"/>
          <w:sz w:val="22"/>
        </w:rPr>
        <w:t>colocación</w:t>
      </w:r>
      <w:r>
        <w:rPr>
          <w:color w:val="231F1F"/>
          <w:spacing w:val="40"/>
          <w:sz w:val="22"/>
        </w:rPr>
        <w:t> </w:t>
      </w:r>
      <w:r>
        <w:rPr>
          <w:color w:val="231F1F"/>
          <w:sz w:val="22"/>
        </w:rPr>
        <w:t>de</w:t>
      </w:r>
      <w:r>
        <w:rPr>
          <w:color w:val="231F1F"/>
          <w:spacing w:val="40"/>
          <w:sz w:val="22"/>
        </w:rPr>
        <w:t> </w:t>
      </w:r>
      <w:r>
        <w:rPr>
          <w:color w:val="231F1F"/>
          <w:sz w:val="22"/>
        </w:rPr>
        <w:t>una</w:t>
      </w:r>
      <w:r>
        <w:rPr>
          <w:color w:val="231F1F"/>
          <w:spacing w:val="40"/>
          <w:sz w:val="22"/>
        </w:rPr>
        <w:t> </w:t>
      </w:r>
      <w:r>
        <w:rPr>
          <w:color w:val="231F1F"/>
          <w:sz w:val="22"/>
        </w:rPr>
        <w:t>almohada</w:t>
      </w:r>
      <w:r>
        <w:rPr>
          <w:color w:val="231F1F"/>
          <w:spacing w:val="40"/>
          <w:sz w:val="22"/>
        </w:rPr>
        <w:t> </w:t>
      </w:r>
      <w:r>
        <w:rPr>
          <w:color w:val="231F1F"/>
          <w:sz w:val="22"/>
        </w:rPr>
        <w:t>a</w:t>
      </w:r>
      <w:r>
        <w:rPr>
          <w:color w:val="231F1F"/>
          <w:spacing w:val="40"/>
          <w:sz w:val="22"/>
        </w:rPr>
        <w:t> </w:t>
      </w:r>
      <w:r>
        <w:rPr>
          <w:color w:val="231F1F"/>
          <w:sz w:val="22"/>
        </w:rPr>
        <w:t>la</w:t>
      </w:r>
      <w:r>
        <w:rPr>
          <w:color w:val="231F1F"/>
          <w:spacing w:val="40"/>
          <w:sz w:val="22"/>
        </w:rPr>
        <w:t> </w:t>
      </w:r>
      <w:r>
        <w:rPr>
          <w:color w:val="231F1F"/>
          <w:sz w:val="22"/>
        </w:rPr>
        <w:t>madre</w:t>
      </w:r>
    </w:p>
    <w:p>
      <w:pPr>
        <w:pStyle w:val="ListParagraph"/>
        <w:spacing w:after="0" w:line="249" w:lineRule="auto"/>
        <w:jc w:val="left"/>
        <w:rPr>
          <w:sz w:val="22"/>
        </w:rPr>
        <w:sectPr>
          <w:pgSz w:w="11900" w:h="16840"/>
          <w:pgMar w:header="0" w:footer="622" w:top="1520" w:bottom="820" w:left="1417" w:right="1559"/>
        </w:sectPr>
      </w:pPr>
    </w:p>
    <w:p>
      <w:pPr>
        <w:pStyle w:val="ListParagraph"/>
        <w:numPr>
          <w:ilvl w:val="0"/>
          <w:numId w:val="103"/>
        </w:numPr>
        <w:tabs>
          <w:tab w:pos="953" w:val="left" w:leader="none"/>
        </w:tabs>
        <w:spacing w:line="240" w:lineRule="auto" w:before="73" w:after="0"/>
        <w:ind w:left="953" w:right="0" w:hanging="218"/>
        <w:jc w:val="left"/>
        <w:rPr>
          <w:sz w:val="22"/>
        </w:rPr>
      </w:pPr>
      <w:r>
        <w:rPr>
          <w:color w:val="231F1F"/>
          <w:sz w:val="22"/>
        </w:rPr>
        <w:t>Colocar</w:t>
      </w:r>
      <w:r>
        <w:rPr>
          <w:color w:val="231F1F"/>
          <w:spacing w:val="32"/>
          <w:sz w:val="22"/>
        </w:rPr>
        <w:t> </w:t>
      </w:r>
      <w:r>
        <w:rPr>
          <w:color w:val="231F1F"/>
          <w:sz w:val="22"/>
        </w:rPr>
        <w:t>un</w:t>
      </w:r>
      <w:r>
        <w:rPr>
          <w:color w:val="231F1F"/>
          <w:spacing w:val="36"/>
          <w:sz w:val="22"/>
        </w:rPr>
        <w:t> </w:t>
      </w:r>
      <w:r>
        <w:rPr>
          <w:color w:val="231F1F"/>
          <w:sz w:val="22"/>
        </w:rPr>
        <w:t>gorro</w:t>
      </w:r>
      <w:r>
        <w:rPr>
          <w:color w:val="231F1F"/>
          <w:spacing w:val="36"/>
          <w:sz w:val="22"/>
        </w:rPr>
        <w:t> </w:t>
      </w:r>
      <w:r>
        <w:rPr>
          <w:color w:val="231F1F"/>
          <w:sz w:val="22"/>
        </w:rPr>
        <w:t>de</w:t>
      </w:r>
      <w:r>
        <w:rPr>
          <w:color w:val="231F1F"/>
          <w:spacing w:val="32"/>
          <w:sz w:val="22"/>
        </w:rPr>
        <w:t> </w:t>
      </w:r>
      <w:r>
        <w:rPr>
          <w:color w:val="231F1F"/>
          <w:sz w:val="22"/>
        </w:rPr>
        <w:t>algodón</w:t>
      </w:r>
      <w:r>
        <w:rPr>
          <w:color w:val="231F1F"/>
          <w:spacing w:val="36"/>
          <w:sz w:val="22"/>
        </w:rPr>
        <w:t> </w:t>
      </w:r>
      <w:r>
        <w:rPr>
          <w:color w:val="231F1F"/>
          <w:spacing w:val="-2"/>
          <w:sz w:val="22"/>
        </w:rPr>
        <w:t>precalentado</w:t>
      </w:r>
    </w:p>
    <w:p>
      <w:pPr>
        <w:pStyle w:val="ListParagraph"/>
        <w:numPr>
          <w:ilvl w:val="0"/>
          <w:numId w:val="103"/>
        </w:numPr>
        <w:tabs>
          <w:tab w:pos="953" w:val="left" w:leader="none"/>
        </w:tabs>
        <w:spacing w:line="240" w:lineRule="auto" w:before="145" w:after="0"/>
        <w:ind w:left="953" w:right="0" w:hanging="218"/>
        <w:jc w:val="left"/>
        <w:rPr>
          <w:sz w:val="22"/>
        </w:rPr>
      </w:pPr>
      <w:r>
        <w:rPr>
          <w:color w:val="231F1F"/>
          <w:w w:val="110"/>
          <w:sz w:val="22"/>
        </w:rPr>
        <w:t>Realizar</w:t>
      </w:r>
      <w:r>
        <w:rPr>
          <w:color w:val="231F1F"/>
          <w:spacing w:val="-15"/>
          <w:w w:val="110"/>
          <w:sz w:val="22"/>
        </w:rPr>
        <w:t> </w:t>
      </w:r>
      <w:r>
        <w:rPr>
          <w:color w:val="231F1F"/>
          <w:w w:val="110"/>
          <w:sz w:val="22"/>
        </w:rPr>
        <w:t>el</w:t>
      </w:r>
      <w:r>
        <w:rPr>
          <w:color w:val="231F1F"/>
          <w:spacing w:val="-14"/>
          <w:w w:val="110"/>
          <w:sz w:val="22"/>
        </w:rPr>
        <w:t> </w:t>
      </w:r>
      <w:r>
        <w:rPr>
          <w:color w:val="231F1F"/>
          <w:w w:val="110"/>
          <w:sz w:val="22"/>
        </w:rPr>
        <w:t>Test</w:t>
      </w:r>
      <w:r>
        <w:rPr>
          <w:color w:val="231F1F"/>
          <w:spacing w:val="-13"/>
          <w:w w:val="110"/>
          <w:sz w:val="22"/>
        </w:rPr>
        <w:t> </w:t>
      </w:r>
      <w:r>
        <w:rPr>
          <w:color w:val="231F1F"/>
          <w:w w:val="110"/>
          <w:sz w:val="22"/>
        </w:rPr>
        <w:t>de</w:t>
      </w:r>
      <w:r>
        <w:rPr>
          <w:color w:val="231F1F"/>
          <w:spacing w:val="-14"/>
          <w:w w:val="110"/>
          <w:sz w:val="22"/>
        </w:rPr>
        <w:t> </w:t>
      </w:r>
      <w:r>
        <w:rPr>
          <w:color w:val="231F1F"/>
          <w:w w:val="110"/>
          <w:sz w:val="22"/>
        </w:rPr>
        <w:t>Apgar</w:t>
      </w:r>
      <w:r>
        <w:rPr>
          <w:color w:val="231F1F"/>
          <w:spacing w:val="-13"/>
          <w:w w:val="110"/>
          <w:sz w:val="22"/>
        </w:rPr>
        <w:t> </w:t>
      </w:r>
      <w:r>
        <w:rPr>
          <w:color w:val="231F1F"/>
          <w:w w:val="110"/>
          <w:sz w:val="22"/>
        </w:rPr>
        <w:t>al</w:t>
      </w:r>
      <w:r>
        <w:rPr>
          <w:color w:val="231F1F"/>
          <w:spacing w:val="-13"/>
          <w:w w:val="110"/>
          <w:sz w:val="22"/>
        </w:rPr>
        <w:t> </w:t>
      </w:r>
      <w:r>
        <w:rPr>
          <w:color w:val="231F1F"/>
          <w:w w:val="110"/>
          <w:sz w:val="22"/>
        </w:rPr>
        <w:t>minuto</w:t>
      </w:r>
      <w:r>
        <w:rPr>
          <w:color w:val="231F1F"/>
          <w:spacing w:val="-14"/>
          <w:w w:val="110"/>
          <w:sz w:val="22"/>
        </w:rPr>
        <w:t> </w:t>
      </w:r>
      <w:r>
        <w:rPr>
          <w:color w:val="231F1F"/>
          <w:w w:val="110"/>
          <w:sz w:val="22"/>
        </w:rPr>
        <w:t>y</w:t>
      </w:r>
      <w:r>
        <w:rPr>
          <w:color w:val="231F1F"/>
          <w:spacing w:val="-13"/>
          <w:w w:val="110"/>
          <w:sz w:val="22"/>
        </w:rPr>
        <w:t> </w:t>
      </w:r>
      <w:r>
        <w:rPr>
          <w:color w:val="231F1F"/>
          <w:w w:val="110"/>
          <w:sz w:val="22"/>
        </w:rPr>
        <w:t>a</w:t>
      </w:r>
      <w:r>
        <w:rPr>
          <w:color w:val="231F1F"/>
          <w:spacing w:val="-13"/>
          <w:w w:val="110"/>
          <w:sz w:val="22"/>
        </w:rPr>
        <w:t> </w:t>
      </w:r>
      <w:r>
        <w:rPr>
          <w:color w:val="231F1F"/>
          <w:w w:val="110"/>
          <w:sz w:val="22"/>
        </w:rPr>
        <w:t>los</w:t>
      </w:r>
      <w:r>
        <w:rPr>
          <w:color w:val="231F1F"/>
          <w:spacing w:val="-14"/>
          <w:w w:val="110"/>
          <w:sz w:val="22"/>
        </w:rPr>
        <w:t> </w:t>
      </w:r>
      <w:r>
        <w:rPr>
          <w:color w:val="231F1F"/>
          <w:w w:val="110"/>
          <w:sz w:val="22"/>
        </w:rPr>
        <w:t>5</w:t>
      </w:r>
      <w:r>
        <w:rPr>
          <w:color w:val="231F1F"/>
          <w:spacing w:val="-13"/>
          <w:w w:val="110"/>
          <w:sz w:val="22"/>
        </w:rPr>
        <w:t> </w:t>
      </w:r>
      <w:r>
        <w:rPr>
          <w:color w:val="231F1F"/>
          <w:w w:val="110"/>
          <w:sz w:val="22"/>
        </w:rPr>
        <w:t>min</w:t>
      </w:r>
      <w:r>
        <w:rPr>
          <w:color w:val="231F1F"/>
          <w:spacing w:val="-13"/>
          <w:w w:val="110"/>
          <w:sz w:val="22"/>
        </w:rPr>
        <w:t> </w:t>
      </w:r>
      <w:r>
        <w:rPr>
          <w:color w:val="231F1F"/>
          <w:w w:val="110"/>
          <w:sz w:val="22"/>
        </w:rPr>
        <w:t>sobre</w:t>
      </w:r>
      <w:r>
        <w:rPr>
          <w:color w:val="231F1F"/>
          <w:spacing w:val="-14"/>
          <w:w w:val="110"/>
          <w:sz w:val="22"/>
        </w:rPr>
        <w:t> </w:t>
      </w:r>
      <w:r>
        <w:rPr>
          <w:color w:val="231F1F"/>
          <w:w w:val="110"/>
          <w:sz w:val="22"/>
        </w:rPr>
        <w:t>el</w:t>
      </w:r>
      <w:r>
        <w:rPr>
          <w:color w:val="231F1F"/>
          <w:spacing w:val="-13"/>
          <w:w w:val="110"/>
          <w:sz w:val="22"/>
        </w:rPr>
        <w:t> </w:t>
      </w:r>
      <w:r>
        <w:rPr>
          <w:color w:val="231F1F"/>
          <w:w w:val="110"/>
          <w:sz w:val="22"/>
        </w:rPr>
        <w:t>cuerpo</w:t>
      </w:r>
      <w:r>
        <w:rPr>
          <w:color w:val="231F1F"/>
          <w:spacing w:val="-13"/>
          <w:w w:val="110"/>
          <w:sz w:val="22"/>
        </w:rPr>
        <w:t> </w:t>
      </w:r>
      <w:r>
        <w:rPr>
          <w:color w:val="231F1F"/>
          <w:w w:val="110"/>
          <w:sz w:val="22"/>
        </w:rPr>
        <w:t>de</w:t>
      </w:r>
      <w:r>
        <w:rPr>
          <w:color w:val="231F1F"/>
          <w:spacing w:val="-14"/>
          <w:w w:val="110"/>
          <w:sz w:val="22"/>
        </w:rPr>
        <w:t> </w:t>
      </w:r>
      <w:r>
        <w:rPr>
          <w:color w:val="231F1F"/>
          <w:w w:val="110"/>
          <w:sz w:val="22"/>
        </w:rPr>
        <w:t>la</w:t>
      </w:r>
      <w:r>
        <w:rPr>
          <w:color w:val="231F1F"/>
          <w:spacing w:val="-13"/>
          <w:w w:val="110"/>
          <w:sz w:val="22"/>
        </w:rPr>
        <w:t> </w:t>
      </w:r>
      <w:r>
        <w:rPr>
          <w:color w:val="231F1F"/>
          <w:spacing w:val="-2"/>
          <w:w w:val="110"/>
          <w:sz w:val="22"/>
        </w:rPr>
        <w:t>madre.</w:t>
      </w:r>
    </w:p>
    <w:p>
      <w:pPr>
        <w:pStyle w:val="ListParagraph"/>
        <w:numPr>
          <w:ilvl w:val="0"/>
          <w:numId w:val="103"/>
        </w:numPr>
        <w:tabs>
          <w:tab w:pos="953" w:val="left" w:leader="none"/>
        </w:tabs>
        <w:spacing w:line="240" w:lineRule="auto" w:before="150" w:after="0"/>
        <w:ind w:left="953" w:right="0" w:hanging="218"/>
        <w:jc w:val="left"/>
        <w:rPr>
          <w:sz w:val="22"/>
        </w:rPr>
      </w:pPr>
      <w:r>
        <w:rPr>
          <w:color w:val="231F1F"/>
          <w:w w:val="110"/>
          <w:sz w:val="22"/>
        </w:rPr>
        <w:t>Realizar</w:t>
      </w:r>
      <w:r>
        <w:rPr>
          <w:color w:val="231F1F"/>
          <w:spacing w:val="-15"/>
          <w:w w:val="110"/>
          <w:sz w:val="22"/>
        </w:rPr>
        <w:t> </w:t>
      </w:r>
      <w:r>
        <w:rPr>
          <w:color w:val="231F1F"/>
          <w:w w:val="110"/>
          <w:sz w:val="22"/>
        </w:rPr>
        <w:t>pinzamiento</w:t>
      </w:r>
      <w:r>
        <w:rPr>
          <w:color w:val="231F1F"/>
          <w:spacing w:val="-13"/>
          <w:w w:val="110"/>
          <w:sz w:val="22"/>
        </w:rPr>
        <w:t> </w:t>
      </w:r>
      <w:r>
        <w:rPr>
          <w:color w:val="231F1F"/>
          <w:w w:val="110"/>
          <w:sz w:val="22"/>
        </w:rPr>
        <w:t>tardío</w:t>
      </w:r>
      <w:r>
        <w:rPr>
          <w:color w:val="231F1F"/>
          <w:spacing w:val="-13"/>
          <w:w w:val="110"/>
          <w:sz w:val="22"/>
        </w:rPr>
        <w:t> </w:t>
      </w:r>
      <w:r>
        <w:rPr>
          <w:color w:val="231F1F"/>
          <w:w w:val="110"/>
          <w:sz w:val="22"/>
        </w:rPr>
        <w:t>(a</w:t>
      </w:r>
      <w:r>
        <w:rPr>
          <w:color w:val="231F1F"/>
          <w:spacing w:val="-14"/>
          <w:w w:val="110"/>
          <w:sz w:val="22"/>
        </w:rPr>
        <w:t> </w:t>
      </w:r>
      <w:r>
        <w:rPr>
          <w:color w:val="231F1F"/>
          <w:w w:val="110"/>
          <w:sz w:val="22"/>
        </w:rPr>
        <w:t>los</w:t>
      </w:r>
      <w:r>
        <w:rPr>
          <w:color w:val="231F1F"/>
          <w:spacing w:val="-13"/>
          <w:w w:val="110"/>
          <w:sz w:val="22"/>
        </w:rPr>
        <w:t> </w:t>
      </w:r>
      <w:r>
        <w:rPr>
          <w:color w:val="231F1F"/>
          <w:w w:val="110"/>
          <w:sz w:val="22"/>
        </w:rPr>
        <w:t>dos</w:t>
      </w:r>
      <w:r>
        <w:rPr>
          <w:color w:val="231F1F"/>
          <w:spacing w:val="-13"/>
          <w:w w:val="110"/>
          <w:sz w:val="22"/>
        </w:rPr>
        <w:t> </w:t>
      </w:r>
      <w:r>
        <w:rPr>
          <w:color w:val="231F1F"/>
          <w:w w:val="110"/>
          <w:sz w:val="22"/>
        </w:rPr>
        <w:t>minutos</w:t>
      </w:r>
      <w:r>
        <w:rPr>
          <w:color w:val="231F1F"/>
          <w:spacing w:val="-13"/>
          <w:w w:val="110"/>
          <w:sz w:val="22"/>
        </w:rPr>
        <w:t> </w:t>
      </w:r>
      <w:r>
        <w:rPr>
          <w:color w:val="231F1F"/>
          <w:w w:val="110"/>
          <w:sz w:val="22"/>
        </w:rPr>
        <w:t>o</w:t>
      </w:r>
      <w:r>
        <w:rPr>
          <w:color w:val="231F1F"/>
          <w:spacing w:val="-14"/>
          <w:w w:val="110"/>
          <w:sz w:val="22"/>
        </w:rPr>
        <w:t> </w:t>
      </w:r>
      <w:r>
        <w:rPr>
          <w:color w:val="231F1F"/>
          <w:w w:val="110"/>
          <w:sz w:val="22"/>
        </w:rPr>
        <w:t>cuando</w:t>
      </w:r>
      <w:r>
        <w:rPr>
          <w:color w:val="231F1F"/>
          <w:spacing w:val="-13"/>
          <w:w w:val="110"/>
          <w:sz w:val="22"/>
        </w:rPr>
        <w:t> </w:t>
      </w:r>
      <w:r>
        <w:rPr>
          <w:color w:val="231F1F"/>
          <w:w w:val="110"/>
          <w:sz w:val="22"/>
        </w:rPr>
        <w:t>deje</w:t>
      </w:r>
      <w:r>
        <w:rPr>
          <w:color w:val="231F1F"/>
          <w:spacing w:val="-13"/>
          <w:w w:val="110"/>
          <w:sz w:val="22"/>
        </w:rPr>
        <w:t> </w:t>
      </w:r>
      <w:r>
        <w:rPr>
          <w:color w:val="231F1F"/>
          <w:w w:val="110"/>
          <w:sz w:val="22"/>
        </w:rPr>
        <w:t>de</w:t>
      </w:r>
      <w:r>
        <w:rPr>
          <w:color w:val="231F1F"/>
          <w:spacing w:val="-14"/>
          <w:w w:val="110"/>
          <w:sz w:val="22"/>
        </w:rPr>
        <w:t> </w:t>
      </w:r>
      <w:r>
        <w:rPr>
          <w:color w:val="231F1F"/>
          <w:w w:val="110"/>
          <w:sz w:val="22"/>
        </w:rPr>
        <w:t>latir)</w:t>
      </w:r>
      <w:r>
        <w:rPr>
          <w:color w:val="231F1F"/>
          <w:spacing w:val="-13"/>
          <w:w w:val="110"/>
          <w:sz w:val="22"/>
        </w:rPr>
        <w:t> </w:t>
      </w:r>
      <w:r>
        <w:rPr>
          <w:color w:val="231F1F"/>
          <w:w w:val="110"/>
          <w:sz w:val="22"/>
        </w:rPr>
        <w:t>del</w:t>
      </w:r>
      <w:r>
        <w:rPr>
          <w:color w:val="231F1F"/>
          <w:spacing w:val="-15"/>
          <w:w w:val="110"/>
          <w:sz w:val="22"/>
        </w:rPr>
        <w:t> </w:t>
      </w:r>
      <w:r>
        <w:rPr>
          <w:color w:val="231F1F"/>
          <w:spacing w:val="-2"/>
          <w:w w:val="110"/>
          <w:sz w:val="22"/>
        </w:rPr>
        <w:t>cordón.</w:t>
      </w:r>
    </w:p>
    <w:p>
      <w:pPr>
        <w:pStyle w:val="ListParagraph"/>
        <w:numPr>
          <w:ilvl w:val="0"/>
          <w:numId w:val="103"/>
        </w:numPr>
        <w:tabs>
          <w:tab w:pos="953" w:val="left" w:leader="none"/>
        </w:tabs>
        <w:spacing w:line="240" w:lineRule="auto" w:before="155" w:after="0"/>
        <w:ind w:left="953" w:right="0" w:hanging="218"/>
        <w:jc w:val="left"/>
        <w:rPr>
          <w:sz w:val="22"/>
        </w:rPr>
      </w:pPr>
      <w:r>
        <w:rPr>
          <w:color w:val="231F1F"/>
          <w:sz w:val="22"/>
        </w:rPr>
        <w:t>Colocación</w:t>
      </w:r>
      <w:r>
        <w:rPr>
          <w:color w:val="231F1F"/>
          <w:spacing w:val="28"/>
          <w:sz w:val="22"/>
        </w:rPr>
        <w:t> </w:t>
      </w:r>
      <w:r>
        <w:rPr>
          <w:color w:val="231F1F"/>
          <w:sz w:val="22"/>
        </w:rPr>
        <w:t>de</w:t>
      </w:r>
      <w:r>
        <w:rPr>
          <w:color w:val="231F1F"/>
          <w:spacing w:val="28"/>
          <w:sz w:val="22"/>
        </w:rPr>
        <w:t> </w:t>
      </w:r>
      <w:r>
        <w:rPr>
          <w:color w:val="231F1F"/>
          <w:sz w:val="22"/>
        </w:rPr>
        <w:t>pinza</w:t>
      </w:r>
      <w:r>
        <w:rPr>
          <w:color w:val="231F1F"/>
          <w:spacing w:val="29"/>
          <w:sz w:val="22"/>
        </w:rPr>
        <w:t> </w:t>
      </w:r>
      <w:r>
        <w:rPr>
          <w:color w:val="231F1F"/>
          <w:sz w:val="22"/>
        </w:rPr>
        <w:t>en</w:t>
      </w:r>
      <w:r>
        <w:rPr>
          <w:color w:val="231F1F"/>
          <w:spacing w:val="29"/>
          <w:sz w:val="22"/>
        </w:rPr>
        <w:t> </w:t>
      </w:r>
      <w:r>
        <w:rPr>
          <w:color w:val="231F1F"/>
          <w:sz w:val="22"/>
        </w:rPr>
        <w:t>el</w:t>
      </w:r>
      <w:r>
        <w:rPr>
          <w:color w:val="231F1F"/>
          <w:spacing w:val="30"/>
          <w:sz w:val="22"/>
        </w:rPr>
        <w:t> </w:t>
      </w:r>
      <w:r>
        <w:rPr>
          <w:color w:val="231F1F"/>
          <w:sz w:val="22"/>
        </w:rPr>
        <w:t>cordón</w:t>
      </w:r>
      <w:r>
        <w:rPr>
          <w:color w:val="231F1F"/>
          <w:spacing w:val="28"/>
          <w:sz w:val="22"/>
        </w:rPr>
        <w:t> </w:t>
      </w:r>
      <w:r>
        <w:rPr>
          <w:color w:val="231F1F"/>
          <w:sz w:val="22"/>
        </w:rPr>
        <w:t>sin</w:t>
      </w:r>
      <w:r>
        <w:rPr>
          <w:color w:val="231F1F"/>
          <w:spacing w:val="30"/>
          <w:sz w:val="22"/>
        </w:rPr>
        <w:t> </w:t>
      </w:r>
      <w:r>
        <w:rPr>
          <w:color w:val="231F1F"/>
          <w:sz w:val="22"/>
        </w:rPr>
        <w:t>interferir</w:t>
      </w:r>
      <w:r>
        <w:rPr>
          <w:color w:val="231F1F"/>
          <w:spacing w:val="29"/>
          <w:sz w:val="22"/>
        </w:rPr>
        <w:t> </w:t>
      </w:r>
      <w:r>
        <w:rPr>
          <w:color w:val="231F1F"/>
          <w:sz w:val="22"/>
        </w:rPr>
        <w:t>el</w:t>
      </w:r>
      <w:r>
        <w:rPr>
          <w:color w:val="231F1F"/>
          <w:spacing w:val="31"/>
          <w:sz w:val="22"/>
        </w:rPr>
        <w:t> </w:t>
      </w:r>
      <w:r>
        <w:rPr>
          <w:color w:val="231F1F"/>
          <w:sz w:val="22"/>
        </w:rPr>
        <w:t>contacto</w:t>
      </w:r>
      <w:r>
        <w:rPr>
          <w:color w:val="231F1F"/>
          <w:spacing w:val="28"/>
          <w:sz w:val="22"/>
        </w:rPr>
        <w:t> </w:t>
      </w:r>
      <w:r>
        <w:rPr>
          <w:color w:val="231F1F"/>
          <w:sz w:val="22"/>
        </w:rPr>
        <w:t>piel</w:t>
      </w:r>
      <w:r>
        <w:rPr>
          <w:color w:val="231F1F"/>
          <w:spacing w:val="28"/>
          <w:sz w:val="22"/>
        </w:rPr>
        <w:t> </w:t>
      </w:r>
      <w:r>
        <w:rPr>
          <w:color w:val="231F1F"/>
          <w:sz w:val="22"/>
        </w:rPr>
        <w:t>con</w:t>
      </w:r>
      <w:r>
        <w:rPr>
          <w:color w:val="231F1F"/>
          <w:spacing w:val="29"/>
          <w:sz w:val="22"/>
        </w:rPr>
        <w:t> </w:t>
      </w:r>
      <w:r>
        <w:rPr>
          <w:color w:val="231F1F"/>
          <w:spacing w:val="-2"/>
          <w:sz w:val="22"/>
        </w:rPr>
        <w:t>piel.</w:t>
      </w:r>
    </w:p>
    <w:p>
      <w:pPr>
        <w:pStyle w:val="ListParagraph"/>
        <w:numPr>
          <w:ilvl w:val="0"/>
          <w:numId w:val="103"/>
        </w:numPr>
        <w:tabs>
          <w:tab w:pos="955" w:val="left" w:leader="none"/>
        </w:tabs>
        <w:spacing w:line="244" w:lineRule="auto" w:before="151" w:after="0"/>
        <w:ind w:left="955" w:right="205" w:hanging="219"/>
        <w:jc w:val="both"/>
        <w:rPr>
          <w:sz w:val="22"/>
        </w:rPr>
      </w:pPr>
      <w:r>
        <w:rPr>
          <w:color w:val="231F1F"/>
          <w:w w:val="110"/>
          <w:sz w:val="22"/>
        </w:rPr>
        <w:t>Recoger</w:t>
      </w:r>
      <w:r>
        <w:rPr>
          <w:color w:val="231F1F"/>
          <w:w w:val="110"/>
          <w:sz w:val="22"/>
        </w:rPr>
        <w:t> sangre</w:t>
      </w:r>
      <w:r>
        <w:rPr>
          <w:color w:val="231F1F"/>
          <w:w w:val="110"/>
          <w:sz w:val="22"/>
        </w:rPr>
        <w:t> de</w:t>
      </w:r>
      <w:r>
        <w:rPr>
          <w:color w:val="231F1F"/>
          <w:w w:val="110"/>
          <w:sz w:val="22"/>
        </w:rPr>
        <w:t> cordón</w:t>
      </w:r>
      <w:r>
        <w:rPr>
          <w:color w:val="231F1F"/>
          <w:w w:val="110"/>
          <w:sz w:val="22"/>
        </w:rPr>
        <w:t> según</w:t>
      </w:r>
      <w:r>
        <w:rPr>
          <w:color w:val="231F1F"/>
          <w:w w:val="110"/>
          <w:sz w:val="22"/>
        </w:rPr>
        <w:t> el</w:t>
      </w:r>
      <w:r>
        <w:rPr>
          <w:color w:val="231F1F"/>
          <w:w w:val="110"/>
          <w:sz w:val="22"/>
        </w:rPr>
        <w:t> procedimiento</w:t>
      </w:r>
      <w:r>
        <w:rPr>
          <w:color w:val="231F1F"/>
          <w:w w:val="110"/>
          <w:sz w:val="22"/>
        </w:rPr>
        <w:t> habitual</w:t>
      </w:r>
      <w:r>
        <w:rPr>
          <w:color w:val="231F1F"/>
          <w:w w:val="110"/>
          <w:sz w:val="22"/>
        </w:rPr>
        <w:t> (grupo</w:t>
      </w:r>
      <w:r>
        <w:rPr>
          <w:color w:val="231F1F"/>
          <w:w w:val="110"/>
          <w:sz w:val="22"/>
        </w:rPr>
        <w:t> y</w:t>
      </w:r>
      <w:r>
        <w:rPr>
          <w:color w:val="231F1F"/>
          <w:w w:val="110"/>
          <w:sz w:val="22"/>
        </w:rPr>
        <w:t> Rh</w:t>
      </w:r>
      <w:r>
        <w:rPr>
          <w:color w:val="231F1F"/>
          <w:w w:val="110"/>
          <w:sz w:val="22"/>
        </w:rPr>
        <w:t> fetal, </w:t>
      </w:r>
      <w:r>
        <w:rPr>
          <w:color w:val="231F1F"/>
          <w:spacing w:val="-2"/>
          <w:w w:val="110"/>
          <w:sz w:val="22"/>
        </w:rPr>
        <w:t>gases…).</w:t>
      </w:r>
    </w:p>
    <w:p>
      <w:pPr>
        <w:pStyle w:val="ListParagraph"/>
        <w:numPr>
          <w:ilvl w:val="0"/>
          <w:numId w:val="103"/>
        </w:numPr>
        <w:tabs>
          <w:tab w:pos="954" w:val="left" w:leader="none"/>
        </w:tabs>
        <w:spacing w:line="244" w:lineRule="auto" w:before="146" w:after="0"/>
        <w:ind w:left="954" w:right="246" w:hanging="219"/>
        <w:jc w:val="both"/>
        <w:rPr>
          <w:sz w:val="22"/>
        </w:rPr>
      </w:pPr>
      <w:r>
        <w:rPr>
          <w:color w:val="231F1F"/>
          <w:w w:val="110"/>
          <w:sz w:val="22"/>
        </w:rPr>
        <w:t>El contacto piel con piel no debe interferir en la realización del alumbramiento </w:t>
      </w:r>
      <w:r>
        <w:rPr>
          <w:color w:val="231F1F"/>
          <w:spacing w:val="-2"/>
          <w:w w:val="110"/>
          <w:sz w:val="22"/>
        </w:rPr>
        <w:t>dirigido.</w:t>
      </w:r>
    </w:p>
    <w:p>
      <w:pPr>
        <w:pStyle w:val="ListParagraph"/>
        <w:numPr>
          <w:ilvl w:val="0"/>
          <w:numId w:val="103"/>
        </w:numPr>
        <w:tabs>
          <w:tab w:pos="952" w:val="left" w:leader="none"/>
          <w:tab w:pos="955" w:val="left" w:leader="none"/>
        </w:tabs>
        <w:spacing w:line="249" w:lineRule="auto" w:before="141" w:after="0"/>
        <w:ind w:left="955" w:right="169" w:hanging="221"/>
        <w:jc w:val="both"/>
        <w:rPr>
          <w:sz w:val="22"/>
        </w:rPr>
      </w:pPr>
      <w:r>
        <w:rPr>
          <w:color w:val="231F1F"/>
          <w:w w:val="110"/>
          <w:sz w:val="22"/>
        </w:rPr>
        <w:t>Colocar</w:t>
      </w:r>
      <w:r>
        <w:rPr>
          <w:color w:val="231F1F"/>
          <w:spacing w:val="-5"/>
          <w:w w:val="110"/>
          <w:sz w:val="22"/>
        </w:rPr>
        <w:t> </w:t>
      </w:r>
      <w:r>
        <w:rPr>
          <w:color w:val="231F1F"/>
          <w:w w:val="110"/>
          <w:sz w:val="22"/>
        </w:rPr>
        <w:t>un</w:t>
      </w:r>
      <w:r>
        <w:rPr>
          <w:color w:val="231F1F"/>
          <w:spacing w:val="-4"/>
          <w:w w:val="110"/>
          <w:sz w:val="22"/>
        </w:rPr>
        <w:t> </w:t>
      </w:r>
      <w:r>
        <w:rPr>
          <w:color w:val="231F1F"/>
          <w:w w:val="110"/>
          <w:sz w:val="22"/>
        </w:rPr>
        <w:t>pañal</w:t>
      </w:r>
      <w:r>
        <w:rPr>
          <w:color w:val="231F1F"/>
          <w:spacing w:val="-5"/>
          <w:w w:val="110"/>
          <w:sz w:val="22"/>
        </w:rPr>
        <w:t> </w:t>
      </w:r>
      <w:r>
        <w:rPr>
          <w:color w:val="231F1F"/>
          <w:w w:val="110"/>
          <w:sz w:val="22"/>
        </w:rPr>
        <w:t>al</w:t>
      </w:r>
      <w:r>
        <w:rPr>
          <w:color w:val="231F1F"/>
          <w:spacing w:val="-4"/>
          <w:w w:val="110"/>
          <w:sz w:val="22"/>
        </w:rPr>
        <w:t> </w:t>
      </w:r>
      <w:r>
        <w:rPr>
          <w:color w:val="231F1F"/>
          <w:w w:val="110"/>
          <w:sz w:val="22"/>
        </w:rPr>
        <w:t>RN,</w:t>
      </w:r>
      <w:r>
        <w:rPr>
          <w:color w:val="231F1F"/>
          <w:spacing w:val="-5"/>
          <w:w w:val="110"/>
          <w:sz w:val="22"/>
        </w:rPr>
        <w:t> </w:t>
      </w:r>
      <w:r>
        <w:rPr>
          <w:color w:val="231F1F"/>
          <w:w w:val="110"/>
          <w:sz w:val="22"/>
        </w:rPr>
        <w:t>si</w:t>
      </w:r>
      <w:r>
        <w:rPr>
          <w:color w:val="231F1F"/>
          <w:spacing w:val="-5"/>
          <w:w w:val="110"/>
          <w:sz w:val="22"/>
        </w:rPr>
        <w:t> </w:t>
      </w:r>
      <w:r>
        <w:rPr>
          <w:color w:val="231F1F"/>
          <w:w w:val="110"/>
          <w:sz w:val="22"/>
        </w:rPr>
        <w:t>la</w:t>
      </w:r>
      <w:r>
        <w:rPr>
          <w:color w:val="231F1F"/>
          <w:spacing w:val="-4"/>
          <w:w w:val="110"/>
          <w:sz w:val="22"/>
        </w:rPr>
        <w:t> </w:t>
      </w:r>
      <w:r>
        <w:rPr>
          <w:color w:val="231F1F"/>
          <w:w w:val="110"/>
          <w:sz w:val="22"/>
        </w:rPr>
        <w:t>madre</w:t>
      </w:r>
      <w:r>
        <w:rPr>
          <w:color w:val="231F1F"/>
          <w:spacing w:val="-4"/>
          <w:w w:val="110"/>
          <w:sz w:val="22"/>
        </w:rPr>
        <w:t> </w:t>
      </w:r>
      <w:r>
        <w:rPr>
          <w:color w:val="231F1F"/>
          <w:w w:val="110"/>
          <w:sz w:val="22"/>
        </w:rPr>
        <w:t>lo</w:t>
      </w:r>
      <w:r>
        <w:rPr>
          <w:color w:val="231F1F"/>
          <w:spacing w:val="-4"/>
          <w:w w:val="110"/>
          <w:sz w:val="22"/>
        </w:rPr>
        <w:t> </w:t>
      </w:r>
      <w:r>
        <w:rPr>
          <w:color w:val="231F1F"/>
          <w:w w:val="110"/>
          <w:sz w:val="22"/>
        </w:rPr>
        <w:t>desea,</w:t>
      </w:r>
      <w:r>
        <w:rPr>
          <w:color w:val="231F1F"/>
          <w:spacing w:val="-5"/>
          <w:w w:val="110"/>
          <w:sz w:val="22"/>
        </w:rPr>
        <w:t> </w:t>
      </w:r>
      <w:r>
        <w:rPr>
          <w:color w:val="231F1F"/>
          <w:w w:val="110"/>
          <w:sz w:val="22"/>
        </w:rPr>
        <w:t>sin</w:t>
      </w:r>
      <w:r>
        <w:rPr>
          <w:color w:val="231F1F"/>
          <w:spacing w:val="-4"/>
          <w:w w:val="110"/>
          <w:sz w:val="22"/>
        </w:rPr>
        <w:t> </w:t>
      </w:r>
      <w:r>
        <w:rPr>
          <w:color w:val="231F1F"/>
          <w:w w:val="110"/>
          <w:sz w:val="22"/>
        </w:rPr>
        <w:t>interrumpir</w:t>
      </w:r>
      <w:r>
        <w:rPr>
          <w:color w:val="231F1F"/>
          <w:spacing w:val="-5"/>
          <w:w w:val="110"/>
          <w:sz w:val="22"/>
        </w:rPr>
        <w:t> </w:t>
      </w:r>
      <w:r>
        <w:rPr>
          <w:color w:val="231F1F"/>
          <w:w w:val="110"/>
          <w:sz w:val="22"/>
        </w:rPr>
        <w:t>el</w:t>
      </w:r>
      <w:r>
        <w:rPr>
          <w:color w:val="231F1F"/>
          <w:spacing w:val="-4"/>
          <w:w w:val="110"/>
          <w:sz w:val="22"/>
        </w:rPr>
        <w:t> </w:t>
      </w:r>
      <w:r>
        <w:rPr>
          <w:color w:val="231F1F"/>
          <w:w w:val="110"/>
          <w:sz w:val="22"/>
        </w:rPr>
        <w:t>contacto</w:t>
      </w:r>
      <w:r>
        <w:rPr>
          <w:color w:val="231F1F"/>
          <w:spacing w:val="-4"/>
          <w:w w:val="110"/>
          <w:sz w:val="22"/>
        </w:rPr>
        <w:t> </w:t>
      </w:r>
      <w:r>
        <w:rPr>
          <w:color w:val="231F1F"/>
          <w:w w:val="110"/>
          <w:sz w:val="22"/>
        </w:rPr>
        <w:t>piel</w:t>
      </w:r>
      <w:r>
        <w:rPr>
          <w:color w:val="231F1F"/>
          <w:spacing w:val="-5"/>
          <w:w w:val="110"/>
          <w:sz w:val="22"/>
        </w:rPr>
        <w:t> </w:t>
      </w:r>
      <w:r>
        <w:rPr>
          <w:color w:val="231F1F"/>
          <w:w w:val="110"/>
          <w:sz w:val="22"/>
        </w:rPr>
        <w:t>con </w:t>
      </w:r>
      <w:r>
        <w:rPr>
          <w:color w:val="231F1F"/>
          <w:spacing w:val="-4"/>
          <w:w w:val="110"/>
          <w:sz w:val="22"/>
        </w:rPr>
        <w:t>piel</w:t>
      </w:r>
    </w:p>
    <w:p>
      <w:pPr>
        <w:pStyle w:val="ListParagraph"/>
        <w:numPr>
          <w:ilvl w:val="0"/>
          <w:numId w:val="103"/>
        </w:numPr>
        <w:tabs>
          <w:tab w:pos="952" w:val="left" w:leader="none"/>
          <w:tab w:pos="955" w:val="left" w:leader="none"/>
        </w:tabs>
        <w:spacing w:line="244" w:lineRule="auto" w:before="137" w:after="0"/>
        <w:ind w:left="955" w:right="176" w:hanging="221"/>
        <w:jc w:val="both"/>
        <w:rPr>
          <w:sz w:val="22"/>
        </w:rPr>
      </w:pPr>
      <w:r>
        <w:rPr>
          <w:color w:val="231F1F"/>
          <w:w w:val="105"/>
          <w:sz w:val="22"/>
        </w:rPr>
        <w:t>Vigilar, durante todo el proceso, el bienestar de la madre y del RN, evaluando su coloración, respiración y tono muscular.</w:t>
      </w:r>
    </w:p>
    <w:p>
      <w:pPr>
        <w:pStyle w:val="ListParagraph"/>
        <w:numPr>
          <w:ilvl w:val="0"/>
          <w:numId w:val="103"/>
        </w:numPr>
        <w:tabs>
          <w:tab w:pos="953" w:val="left" w:leader="none"/>
          <w:tab w:pos="957" w:val="left" w:leader="none"/>
        </w:tabs>
        <w:spacing w:line="244" w:lineRule="auto" w:before="146" w:after="0"/>
        <w:ind w:left="957" w:right="123" w:hanging="222"/>
        <w:jc w:val="both"/>
        <w:rPr>
          <w:sz w:val="22"/>
        </w:rPr>
      </w:pPr>
      <w:r>
        <w:rPr>
          <w:color w:val="231F1F"/>
          <w:w w:val="110"/>
          <w:sz w:val="22"/>
        </w:rPr>
        <w:t>Acompañar</w:t>
      </w:r>
      <w:r>
        <w:rPr>
          <w:color w:val="231F1F"/>
          <w:spacing w:val="-11"/>
          <w:w w:val="110"/>
          <w:sz w:val="22"/>
        </w:rPr>
        <w:t> </w:t>
      </w:r>
      <w:r>
        <w:rPr>
          <w:color w:val="231F1F"/>
          <w:w w:val="110"/>
          <w:sz w:val="22"/>
        </w:rPr>
        <w:t>a</w:t>
      </w:r>
      <w:r>
        <w:rPr>
          <w:color w:val="231F1F"/>
          <w:spacing w:val="-10"/>
          <w:w w:val="110"/>
          <w:sz w:val="22"/>
        </w:rPr>
        <w:t> </w:t>
      </w:r>
      <w:r>
        <w:rPr>
          <w:color w:val="231F1F"/>
          <w:w w:val="110"/>
          <w:sz w:val="22"/>
        </w:rPr>
        <w:t>la</w:t>
      </w:r>
      <w:r>
        <w:rPr>
          <w:color w:val="231F1F"/>
          <w:spacing w:val="-10"/>
          <w:w w:val="110"/>
          <w:sz w:val="22"/>
        </w:rPr>
        <w:t> </w:t>
      </w:r>
      <w:r>
        <w:rPr>
          <w:color w:val="231F1F"/>
          <w:w w:val="110"/>
          <w:sz w:val="22"/>
        </w:rPr>
        <w:t>madre</w:t>
      </w:r>
      <w:r>
        <w:rPr>
          <w:color w:val="231F1F"/>
          <w:spacing w:val="-10"/>
          <w:w w:val="110"/>
          <w:sz w:val="22"/>
        </w:rPr>
        <w:t> </w:t>
      </w:r>
      <w:r>
        <w:rPr>
          <w:color w:val="231F1F"/>
          <w:w w:val="110"/>
          <w:sz w:val="22"/>
        </w:rPr>
        <w:t>en</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postparto,</w:t>
      </w:r>
      <w:r>
        <w:rPr>
          <w:color w:val="231F1F"/>
          <w:spacing w:val="-11"/>
          <w:w w:val="110"/>
          <w:sz w:val="22"/>
        </w:rPr>
        <w:t> </w:t>
      </w:r>
      <w:r>
        <w:rPr>
          <w:color w:val="231F1F"/>
          <w:w w:val="110"/>
          <w:sz w:val="22"/>
        </w:rPr>
        <w:t>ayudándola</w:t>
      </w:r>
      <w:r>
        <w:rPr>
          <w:color w:val="231F1F"/>
          <w:spacing w:val="-10"/>
          <w:w w:val="110"/>
          <w:sz w:val="22"/>
        </w:rPr>
        <w:t> </w:t>
      </w:r>
      <w:r>
        <w:rPr>
          <w:color w:val="231F1F"/>
          <w:w w:val="110"/>
          <w:sz w:val="22"/>
        </w:rPr>
        <w:t>a</w:t>
      </w:r>
      <w:r>
        <w:rPr>
          <w:color w:val="231F1F"/>
          <w:spacing w:val="-10"/>
          <w:w w:val="110"/>
          <w:sz w:val="22"/>
        </w:rPr>
        <w:t> </w:t>
      </w:r>
      <w:r>
        <w:rPr>
          <w:color w:val="231F1F"/>
          <w:w w:val="110"/>
          <w:sz w:val="22"/>
        </w:rPr>
        <w:t>encontrar</w:t>
      </w:r>
      <w:r>
        <w:rPr>
          <w:color w:val="231F1F"/>
          <w:spacing w:val="-11"/>
          <w:w w:val="110"/>
          <w:sz w:val="22"/>
        </w:rPr>
        <w:t> </w:t>
      </w:r>
      <w:r>
        <w:rPr>
          <w:color w:val="231F1F"/>
          <w:w w:val="110"/>
          <w:sz w:val="22"/>
        </w:rPr>
        <w:t>una</w:t>
      </w:r>
      <w:r>
        <w:rPr>
          <w:color w:val="231F1F"/>
          <w:spacing w:val="-11"/>
          <w:w w:val="110"/>
          <w:sz w:val="22"/>
        </w:rPr>
        <w:t> </w:t>
      </w:r>
      <w:r>
        <w:rPr>
          <w:color w:val="231F1F"/>
          <w:w w:val="110"/>
          <w:sz w:val="22"/>
        </w:rPr>
        <w:t>postura</w:t>
      </w:r>
      <w:r>
        <w:rPr>
          <w:color w:val="231F1F"/>
          <w:spacing w:val="-10"/>
          <w:w w:val="110"/>
          <w:sz w:val="22"/>
        </w:rPr>
        <w:t> </w:t>
      </w:r>
      <w:r>
        <w:rPr>
          <w:color w:val="231F1F"/>
          <w:w w:val="110"/>
          <w:sz w:val="22"/>
        </w:rPr>
        <w:t>cómo- da</w:t>
      </w:r>
      <w:r>
        <w:rPr>
          <w:color w:val="231F1F"/>
          <w:spacing w:val="-3"/>
          <w:w w:val="110"/>
          <w:sz w:val="22"/>
        </w:rPr>
        <w:t> </w:t>
      </w:r>
      <w:r>
        <w:rPr>
          <w:color w:val="231F1F"/>
          <w:w w:val="110"/>
          <w:sz w:val="22"/>
        </w:rPr>
        <w:t>(cama</w:t>
      </w:r>
      <w:r>
        <w:rPr>
          <w:color w:val="231F1F"/>
          <w:spacing w:val="-3"/>
          <w:w w:val="110"/>
          <w:sz w:val="22"/>
        </w:rPr>
        <w:t> </w:t>
      </w:r>
      <w:r>
        <w:rPr>
          <w:color w:val="231F1F"/>
          <w:w w:val="110"/>
          <w:sz w:val="22"/>
        </w:rPr>
        <w:t>45º</w:t>
      </w:r>
      <w:r>
        <w:rPr>
          <w:color w:val="231F1F"/>
          <w:spacing w:val="-3"/>
          <w:w w:val="110"/>
          <w:sz w:val="22"/>
        </w:rPr>
        <w:t> </w:t>
      </w:r>
      <w:r>
        <w:rPr>
          <w:color w:val="231F1F"/>
          <w:w w:val="110"/>
          <w:sz w:val="22"/>
        </w:rPr>
        <w:t>con</w:t>
      </w:r>
      <w:r>
        <w:rPr>
          <w:color w:val="231F1F"/>
          <w:spacing w:val="-2"/>
          <w:w w:val="110"/>
          <w:sz w:val="22"/>
        </w:rPr>
        <w:t> </w:t>
      </w:r>
      <w:r>
        <w:rPr>
          <w:color w:val="231F1F"/>
          <w:w w:val="110"/>
          <w:sz w:val="22"/>
        </w:rPr>
        <w:t>almohada)</w:t>
      </w:r>
      <w:r>
        <w:rPr>
          <w:color w:val="231F1F"/>
          <w:spacing w:val="-3"/>
          <w:w w:val="110"/>
          <w:sz w:val="22"/>
        </w:rPr>
        <w:t> </w:t>
      </w:r>
      <w:r>
        <w:rPr>
          <w:color w:val="231F1F"/>
          <w:w w:val="110"/>
          <w:sz w:val="22"/>
        </w:rPr>
        <w:t>que</w:t>
      </w:r>
      <w:r>
        <w:rPr>
          <w:color w:val="231F1F"/>
          <w:spacing w:val="-3"/>
          <w:w w:val="110"/>
          <w:sz w:val="22"/>
        </w:rPr>
        <w:t> </w:t>
      </w:r>
      <w:r>
        <w:rPr>
          <w:color w:val="231F1F"/>
          <w:w w:val="110"/>
          <w:sz w:val="22"/>
        </w:rPr>
        <w:t>le</w:t>
      </w:r>
      <w:r>
        <w:rPr>
          <w:color w:val="231F1F"/>
          <w:spacing w:val="-3"/>
          <w:w w:val="110"/>
          <w:sz w:val="22"/>
        </w:rPr>
        <w:t> </w:t>
      </w:r>
      <w:r>
        <w:rPr>
          <w:color w:val="231F1F"/>
          <w:w w:val="110"/>
          <w:sz w:val="22"/>
        </w:rPr>
        <w:t>permita</w:t>
      </w:r>
      <w:r>
        <w:rPr>
          <w:color w:val="231F1F"/>
          <w:spacing w:val="-3"/>
          <w:w w:val="110"/>
          <w:sz w:val="22"/>
        </w:rPr>
        <w:t> </w:t>
      </w:r>
      <w:r>
        <w:rPr>
          <w:color w:val="231F1F"/>
          <w:w w:val="110"/>
          <w:sz w:val="22"/>
        </w:rPr>
        <w:t>interaccionar</w:t>
      </w:r>
      <w:r>
        <w:rPr>
          <w:color w:val="231F1F"/>
          <w:spacing w:val="-3"/>
          <w:w w:val="110"/>
          <w:sz w:val="22"/>
        </w:rPr>
        <w:t> </w:t>
      </w:r>
      <w:r>
        <w:rPr>
          <w:color w:val="231F1F"/>
          <w:w w:val="110"/>
          <w:sz w:val="22"/>
        </w:rPr>
        <w:t>y</w:t>
      </w:r>
      <w:r>
        <w:rPr>
          <w:color w:val="231F1F"/>
          <w:spacing w:val="-3"/>
          <w:w w:val="110"/>
          <w:sz w:val="22"/>
        </w:rPr>
        <w:t> </w:t>
      </w:r>
      <w:r>
        <w:rPr>
          <w:color w:val="231F1F"/>
          <w:w w:val="110"/>
          <w:sz w:val="22"/>
        </w:rPr>
        <w:t>mirar</w:t>
      </w:r>
      <w:r>
        <w:rPr>
          <w:color w:val="231F1F"/>
          <w:spacing w:val="-3"/>
          <w:w w:val="110"/>
          <w:sz w:val="22"/>
        </w:rPr>
        <w:t> </w:t>
      </w:r>
      <w:r>
        <w:rPr>
          <w:color w:val="231F1F"/>
          <w:w w:val="110"/>
          <w:sz w:val="22"/>
        </w:rPr>
        <w:t>a</w:t>
      </w:r>
      <w:r>
        <w:rPr>
          <w:color w:val="231F1F"/>
          <w:spacing w:val="-3"/>
          <w:w w:val="110"/>
          <w:sz w:val="22"/>
        </w:rPr>
        <w:t> </w:t>
      </w:r>
      <w:r>
        <w:rPr>
          <w:color w:val="231F1F"/>
          <w:w w:val="110"/>
          <w:sz w:val="22"/>
        </w:rPr>
        <w:t>su</w:t>
      </w:r>
      <w:r>
        <w:rPr>
          <w:color w:val="231F1F"/>
          <w:spacing w:val="-3"/>
          <w:w w:val="110"/>
          <w:sz w:val="22"/>
        </w:rPr>
        <w:t> </w:t>
      </w:r>
      <w:r>
        <w:rPr>
          <w:color w:val="231F1F"/>
          <w:w w:val="110"/>
          <w:sz w:val="22"/>
        </w:rPr>
        <w:t>hijo/a,</w:t>
      </w:r>
      <w:r>
        <w:rPr>
          <w:color w:val="231F1F"/>
          <w:spacing w:val="-3"/>
          <w:w w:val="110"/>
          <w:sz w:val="22"/>
        </w:rPr>
        <w:t> </w:t>
      </w:r>
      <w:r>
        <w:rPr>
          <w:color w:val="231F1F"/>
          <w:w w:val="110"/>
          <w:sz w:val="22"/>
        </w:rPr>
        <w:t>ani- mándola a tocarle y acariciarle, respetando sus deseos y su intimidad.</w:t>
      </w:r>
    </w:p>
    <w:p>
      <w:pPr>
        <w:pStyle w:val="ListParagraph"/>
        <w:numPr>
          <w:ilvl w:val="0"/>
          <w:numId w:val="103"/>
        </w:numPr>
        <w:tabs>
          <w:tab w:pos="953" w:val="left" w:leader="none"/>
        </w:tabs>
        <w:spacing w:line="240" w:lineRule="auto" w:before="138" w:after="0"/>
        <w:ind w:left="953" w:right="0" w:hanging="218"/>
        <w:jc w:val="left"/>
        <w:rPr>
          <w:sz w:val="22"/>
        </w:rPr>
      </w:pPr>
      <w:r>
        <w:rPr>
          <w:color w:val="231F1F"/>
          <w:w w:val="110"/>
          <w:sz w:val="22"/>
        </w:rPr>
        <w:t>Identificar</w:t>
      </w:r>
      <w:r>
        <w:rPr>
          <w:color w:val="231F1F"/>
          <w:spacing w:val="-15"/>
          <w:w w:val="110"/>
          <w:sz w:val="22"/>
        </w:rPr>
        <w:t> </w:t>
      </w:r>
      <w:r>
        <w:rPr>
          <w:color w:val="231F1F"/>
          <w:w w:val="110"/>
          <w:sz w:val="22"/>
        </w:rPr>
        <w:t>al</w:t>
      </w:r>
      <w:r>
        <w:rPr>
          <w:color w:val="231F1F"/>
          <w:spacing w:val="-13"/>
          <w:w w:val="110"/>
          <w:sz w:val="22"/>
        </w:rPr>
        <w:t> </w:t>
      </w:r>
      <w:r>
        <w:rPr>
          <w:color w:val="231F1F"/>
          <w:w w:val="110"/>
          <w:sz w:val="22"/>
        </w:rPr>
        <w:t>RN</w:t>
      </w:r>
      <w:r>
        <w:rPr>
          <w:color w:val="231F1F"/>
          <w:spacing w:val="-13"/>
          <w:w w:val="110"/>
          <w:sz w:val="22"/>
        </w:rPr>
        <w:t> </w:t>
      </w:r>
      <w:r>
        <w:rPr>
          <w:color w:val="231F1F"/>
          <w:w w:val="110"/>
          <w:sz w:val="22"/>
        </w:rPr>
        <w:t>antes</w:t>
      </w:r>
      <w:r>
        <w:rPr>
          <w:color w:val="231F1F"/>
          <w:spacing w:val="-12"/>
          <w:w w:val="110"/>
          <w:sz w:val="22"/>
        </w:rPr>
        <w:t> </w:t>
      </w:r>
      <w:r>
        <w:rPr>
          <w:color w:val="231F1F"/>
          <w:w w:val="110"/>
          <w:sz w:val="22"/>
        </w:rPr>
        <w:t>de</w:t>
      </w:r>
      <w:r>
        <w:rPr>
          <w:color w:val="231F1F"/>
          <w:spacing w:val="-15"/>
          <w:w w:val="110"/>
          <w:sz w:val="22"/>
        </w:rPr>
        <w:t> </w:t>
      </w:r>
      <w:r>
        <w:rPr>
          <w:color w:val="231F1F"/>
          <w:w w:val="110"/>
          <w:sz w:val="22"/>
        </w:rPr>
        <w:t>salir</w:t>
      </w:r>
      <w:r>
        <w:rPr>
          <w:color w:val="231F1F"/>
          <w:spacing w:val="-15"/>
          <w:w w:val="110"/>
          <w:sz w:val="22"/>
        </w:rPr>
        <w:t> </w:t>
      </w:r>
      <w:r>
        <w:rPr>
          <w:color w:val="231F1F"/>
          <w:w w:val="110"/>
          <w:sz w:val="22"/>
        </w:rPr>
        <w:t>de</w:t>
      </w:r>
      <w:r>
        <w:rPr>
          <w:color w:val="231F1F"/>
          <w:spacing w:val="-12"/>
          <w:w w:val="110"/>
          <w:sz w:val="22"/>
        </w:rPr>
        <w:t> </w:t>
      </w:r>
      <w:r>
        <w:rPr>
          <w:color w:val="231F1F"/>
          <w:w w:val="110"/>
          <w:sz w:val="22"/>
        </w:rPr>
        <w:t>la</w:t>
      </w:r>
      <w:r>
        <w:rPr>
          <w:color w:val="231F1F"/>
          <w:spacing w:val="-13"/>
          <w:w w:val="110"/>
          <w:sz w:val="22"/>
        </w:rPr>
        <w:t> </w:t>
      </w:r>
      <w:r>
        <w:rPr>
          <w:color w:val="231F1F"/>
          <w:w w:val="110"/>
          <w:sz w:val="22"/>
        </w:rPr>
        <w:t>sala</w:t>
      </w:r>
      <w:r>
        <w:rPr>
          <w:color w:val="231F1F"/>
          <w:spacing w:val="-15"/>
          <w:w w:val="110"/>
          <w:sz w:val="22"/>
        </w:rPr>
        <w:t> </w:t>
      </w:r>
      <w:r>
        <w:rPr>
          <w:color w:val="231F1F"/>
          <w:w w:val="110"/>
          <w:sz w:val="22"/>
        </w:rPr>
        <w:t>de</w:t>
      </w:r>
      <w:r>
        <w:rPr>
          <w:color w:val="231F1F"/>
          <w:spacing w:val="-12"/>
          <w:w w:val="110"/>
          <w:sz w:val="22"/>
        </w:rPr>
        <w:t> </w:t>
      </w:r>
      <w:r>
        <w:rPr>
          <w:color w:val="231F1F"/>
          <w:spacing w:val="-2"/>
          <w:w w:val="110"/>
          <w:sz w:val="22"/>
        </w:rPr>
        <w:t>partos.</w:t>
      </w:r>
    </w:p>
    <w:p>
      <w:pPr>
        <w:pStyle w:val="ListParagraph"/>
        <w:numPr>
          <w:ilvl w:val="0"/>
          <w:numId w:val="103"/>
        </w:numPr>
        <w:tabs>
          <w:tab w:pos="956" w:val="left" w:leader="none"/>
        </w:tabs>
        <w:spacing w:line="249" w:lineRule="auto" w:before="155" w:after="0"/>
        <w:ind w:left="956" w:right="122" w:hanging="220"/>
        <w:jc w:val="both"/>
        <w:rPr>
          <w:sz w:val="22"/>
        </w:rPr>
      </w:pPr>
      <w:r>
        <w:rPr>
          <w:color w:val="231F1F"/>
          <w:w w:val="105"/>
          <w:sz w:val="22"/>
        </w:rPr>
        <w:t>Permitir,</w:t>
      </w:r>
      <w:r>
        <w:rPr>
          <w:color w:val="231F1F"/>
          <w:w w:val="105"/>
          <w:sz w:val="22"/>
        </w:rPr>
        <w:t> si</w:t>
      </w:r>
      <w:r>
        <w:rPr>
          <w:color w:val="231F1F"/>
          <w:w w:val="105"/>
          <w:sz w:val="22"/>
        </w:rPr>
        <w:t> la</w:t>
      </w:r>
      <w:r>
        <w:rPr>
          <w:color w:val="231F1F"/>
          <w:w w:val="105"/>
          <w:sz w:val="22"/>
        </w:rPr>
        <w:t> madre</w:t>
      </w:r>
      <w:r>
        <w:rPr>
          <w:color w:val="231F1F"/>
          <w:w w:val="105"/>
          <w:sz w:val="22"/>
        </w:rPr>
        <w:t> lo</w:t>
      </w:r>
      <w:r>
        <w:rPr>
          <w:color w:val="231F1F"/>
          <w:w w:val="105"/>
          <w:sz w:val="22"/>
        </w:rPr>
        <w:t> desea,</w:t>
      </w:r>
      <w:r>
        <w:rPr>
          <w:color w:val="231F1F"/>
          <w:w w:val="105"/>
          <w:sz w:val="22"/>
        </w:rPr>
        <w:t> que</w:t>
      </w:r>
      <w:r>
        <w:rPr>
          <w:color w:val="231F1F"/>
          <w:w w:val="105"/>
          <w:sz w:val="22"/>
        </w:rPr>
        <w:t> el</w:t>
      </w:r>
      <w:r>
        <w:rPr>
          <w:color w:val="231F1F"/>
          <w:w w:val="105"/>
          <w:sz w:val="22"/>
        </w:rPr>
        <w:t> RN</w:t>
      </w:r>
      <w:r>
        <w:rPr>
          <w:color w:val="231F1F"/>
          <w:w w:val="105"/>
          <w:sz w:val="22"/>
        </w:rPr>
        <w:t> se</w:t>
      </w:r>
      <w:r>
        <w:rPr>
          <w:color w:val="231F1F"/>
          <w:w w:val="105"/>
          <w:sz w:val="22"/>
        </w:rPr>
        <w:t> agarre</w:t>
      </w:r>
      <w:r>
        <w:rPr>
          <w:color w:val="231F1F"/>
          <w:w w:val="105"/>
          <w:sz w:val="22"/>
        </w:rPr>
        <w:t> al</w:t>
      </w:r>
      <w:r>
        <w:rPr>
          <w:color w:val="231F1F"/>
          <w:w w:val="105"/>
          <w:sz w:val="22"/>
        </w:rPr>
        <w:t> pecho</w:t>
      </w:r>
      <w:r>
        <w:rPr>
          <w:color w:val="231F1F"/>
          <w:w w:val="105"/>
          <w:sz w:val="22"/>
        </w:rPr>
        <w:t> espontáneamente,</w:t>
      </w:r>
      <w:r>
        <w:rPr>
          <w:color w:val="231F1F"/>
          <w:w w:val="105"/>
          <w:sz w:val="22"/>
        </w:rPr>
        <w:t> sin forzar la primera toma, Se puede facilitar el acceso al pecho pero es preferible dejar que realice el agarre espontáneo.</w:t>
      </w:r>
    </w:p>
    <w:p>
      <w:pPr>
        <w:pStyle w:val="ListParagraph"/>
        <w:numPr>
          <w:ilvl w:val="0"/>
          <w:numId w:val="103"/>
        </w:numPr>
        <w:tabs>
          <w:tab w:pos="953" w:val="left" w:leader="none"/>
        </w:tabs>
        <w:spacing w:line="240" w:lineRule="auto" w:before="127" w:after="0"/>
        <w:ind w:left="953" w:right="0" w:hanging="218"/>
        <w:jc w:val="both"/>
        <w:rPr>
          <w:sz w:val="22"/>
        </w:rPr>
      </w:pPr>
      <w:r>
        <w:rPr>
          <w:color w:val="231F1F"/>
          <w:w w:val="110"/>
          <w:sz w:val="22"/>
        </w:rPr>
        <w:t>Mantener</w:t>
      </w:r>
      <w:r>
        <w:rPr>
          <w:color w:val="231F1F"/>
          <w:spacing w:val="32"/>
          <w:w w:val="110"/>
          <w:sz w:val="22"/>
        </w:rPr>
        <w:t> </w:t>
      </w:r>
      <w:r>
        <w:rPr>
          <w:color w:val="231F1F"/>
          <w:w w:val="110"/>
          <w:sz w:val="22"/>
        </w:rPr>
        <w:t>al</w:t>
      </w:r>
      <w:r>
        <w:rPr>
          <w:color w:val="231F1F"/>
          <w:spacing w:val="-13"/>
          <w:w w:val="110"/>
          <w:sz w:val="22"/>
        </w:rPr>
        <w:t> </w:t>
      </w:r>
      <w:r>
        <w:rPr>
          <w:color w:val="231F1F"/>
          <w:w w:val="110"/>
          <w:sz w:val="22"/>
        </w:rPr>
        <w:t>RN</w:t>
      </w:r>
      <w:r>
        <w:rPr>
          <w:color w:val="231F1F"/>
          <w:spacing w:val="-13"/>
          <w:w w:val="110"/>
          <w:sz w:val="22"/>
        </w:rPr>
        <w:t> </w:t>
      </w:r>
      <w:r>
        <w:rPr>
          <w:color w:val="231F1F"/>
          <w:w w:val="110"/>
          <w:sz w:val="22"/>
        </w:rPr>
        <w:t>en</w:t>
      </w:r>
      <w:r>
        <w:rPr>
          <w:color w:val="231F1F"/>
          <w:spacing w:val="-12"/>
          <w:w w:val="110"/>
          <w:sz w:val="22"/>
        </w:rPr>
        <w:t> </w:t>
      </w:r>
      <w:r>
        <w:rPr>
          <w:color w:val="231F1F"/>
          <w:w w:val="110"/>
          <w:sz w:val="22"/>
        </w:rPr>
        <w:t>contacto</w:t>
      </w:r>
      <w:r>
        <w:rPr>
          <w:color w:val="231F1F"/>
          <w:spacing w:val="-12"/>
          <w:w w:val="110"/>
          <w:sz w:val="22"/>
        </w:rPr>
        <w:t> </w:t>
      </w:r>
      <w:r>
        <w:rPr>
          <w:color w:val="231F1F"/>
          <w:w w:val="110"/>
          <w:sz w:val="22"/>
        </w:rPr>
        <w:t>piel</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piel</w:t>
      </w:r>
      <w:r>
        <w:rPr>
          <w:color w:val="231F1F"/>
          <w:spacing w:val="-15"/>
          <w:w w:val="110"/>
          <w:sz w:val="22"/>
        </w:rPr>
        <w:t> </w:t>
      </w:r>
      <w:r>
        <w:rPr>
          <w:color w:val="231F1F"/>
          <w:w w:val="110"/>
          <w:sz w:val="22"/>
        </w:rPr>
        <w:t>mientras</w:t>
      </w:r>
      <w:r>
        <w:rPr>
          <w:color w:val="231F1F"/>
          <w:spacing w:val="-12"/>
          <w:w w:val="110"/>
          <w:sz w:val="22"/>
        </w:rPr>
        <w:t> </w:t>
      </w:r>
      <w:r>
        <w:rPr>
          <w:color w:val="231F1F"/>
          <w:w w:val="110"/>
          <w:sz w:val="22"/>
        </w:rPr>
        <w:t>la</w:t>
      </w:r>
      <w:r>
        <w:rPr>
          <w:color w:val="231F1F"/>
          <w:spacing w:val="-12"/>
          <w:w w:val="110"/>
          <w:sz w:val="22"/>
        </w:rPr>
        <w:t> </w:t>
      </w:r>
      <w:r>
        <w:rPr>
          <w:color w:val="231F1F"/>
          <w:w w:val="110"/>
          <w:sz w:val="22"/>
        </w:rPr>
        <w:t>madre</w:t>
      </w:r>
      <w:r>
        <w:rPr>
          <w:color w:val="231F1F"/>
          <w:spacing w:val="-12"/>
          <w:w w:val="110"/>
          <w:sz w:val="22"/>
        </w:rPr>
        <w:t> </w:t>
      </w:r>
      <w:r>
        <w:rPr>
          <w:color w:val="231F1F"/>
          <w:w w:val="110"/>
          <w:sz w:val="22"/>
        </w:rPr>
        <w:t>pasa</w:t>
      </w:r>
      <w:r>
        <w:rPr>
          <w:color w:val="231F1F"/>
          <w:spacing w:val="-14"/>
          <w:w w:val="110"/>
          <w:sz w:val="22"/>
        </w:rPr>
        <w:t> </w:t>
      </w:r>
      <w:r>
        <w:rPr>
          <w:color w:val="231F1F"/>
          <w:w w:val="110"/>
          <w:sz w:val="22"/>
        </w:rPr>
        <w:t>a</w:t>
      </w:r>
      <w:r>
        <w:rPr>
          <w:color w:val="231F1F"/>
          <w:spacing w:val="-12"/>
          <w:w w:val="110"/>
          <w:sz w:val="22"/>
        </w:rPr>
        <w:t> </w:t>
      </w:r>
      <w:r>
        <w:rPr>
          <w:color w:val="231F1F"/>
          <w:w w:val="110"/>
          <w:sz w:val="22"/>
        </w:rPr>
        <w:t>la</w:t>
      </w:r>
      <w:r>
        <w:rPr>
          <w:color w:val="231F1F"/>
          <w:spacing w:val="-12"/>
          <w:w w:val="110"/>
          <w:sz w:val="22"/>
        </w:rPr>
        <w:t> </w:t>
      </w:r>
      <w:r>
        <w:rPr>
          <w:color w:val="231F1F"/>
          <w:spacing w:val="-2"/>
          <w:w w:val="110"/>
          <w:sz w:val="22"/>
        </w:rPr>
        <w:t>cama.</w:t>
      </w:r>
    </w:p>
    <w:p>
      <w:pPr>
        <w:pStyle w:val="ListParagraph"/>
        <w:numPr>
          <w:ilvl w:val="0"/>
          <w:numId w:val="103"/>
        </w:numPr>
        <w:tabs>
          <w:tab w:pos="957" w:val="left" w:leader="none"/>
        </w:tabs>
        <w:spacing w:line="244" w:lineRule="auto" w:before="155" w:after="0"/>
        <w:ind w:left="957" w:right="181" w:hanging="220"/>
        <w:jc w:val="both"/>
        <w:rPr>
          <w:sz w:val="22"/>
        </w:rPr>
      </w:pPr>
      <w:r>
        <w:rPr>
          <w:color w:val="231F1F"/>
          <w:w w:val="110"/>
          <w:sz w:val="22"/>
        </w:rPr>
        <w:t>Siempre</w:t>
      </w:r>
      <w:r>
        <w:rPr>
          <w:color w:val="231F1F"/>
          <w:spacing w:val="-11"/>
          <w:w w:val="110"/>
          <w:sz w:val="22"/>
        </w:rPr>
        <w:t> </w:t>
      </w:r>
      <w:r>
        <w:rPr>
          <w:color w:val="231F1F"/>
          <w:w w:val="110"/>
          <w:sz w:val="22"/>
        </w:rPr>
        <w:t>que</w:t>
      </w:r>
      <w:r>
        <w:rPr>
          <w:color w:val="231F1F"/>
          <w:spacing w:val="-11"/>
          <w:w w:val="110"/>
          <w:sz w:val="22"/>
        </w:rPr>
        <w:t> </w:t>
      </w:r>
      <w:r>
        <w:rPr>
          <w:color w:val="231F1F"/>
          <w:w w:val="110"/>
          <w:sz w:val="22"/>
        </w:rPr>
        <w:t>sea</w:t>
      </w:r>
      <w:r>
        <w:rPr>
          <w:color w:val="231F1F"/>
          <w:spacing w:val="-11"/>
          <w:w w:val="110"/>
          <w:sz w:val="22"/>
        </w:rPr>
        <w:t> </w:t>
      </w:r>
      <w:r>
        <w:rPr>
          <w:color w:val="231F1F"/>
          <w:w w:val="110"/>
          <w:sz w:val="22"/>
        </w:rPr>
        <w:t>posible</w:t>
      </w:r>
      <w:r>
        <w:rPr>
          <w:color w:val="231F1F"/>
          <w:spacing w:val="-10"/>
          <w:w w:val="110"/>
          <w:sz w:val="22"/>
        </w:rPr>
        <w:t> </w:t>
      </w:r>
      <w:r>
        <w:rPr>
          <w:color w:val="231F1F"/>
          <w:w w:val="110"/>
          <w:sz w:val="22"/>
        </w:rPr>
        <w:t>la</w:t>
      </w:r>
      <w:r>
        <w:rPr>
          <w:color w:val="231F1F"/>
          <w:spacing w:val="-11"/>
          <w:w w:val="110"/>
          <w:sz w:val="22"/>
        </w:rPr>
        <w:t> </w:t>
      </w:r>
      <w:r>
        <w:rPr>
          <w:color w:val="231F1F"/>
          <w:w w:val="110"/>
          <w:sz w:val="22"/>
        </w:rPr>
        <w:t>madre</w:t>
      </w:r>
      <w:r>
        <w:rPr>
          <w:color w:val="231F1F"/>
          <w:spacing w:val="-10"/>
          <w:w w:val="110"/>
          <w:sz w:val="22"/>
        </w:rPr>
        <w:t> </w:t>
      </w:r>
      <w:r>
        <w:rPr>
          <w:color w:val="231F1F"/>
          <w:w w:val="110"/>
          <w:sz w:val="22"/>
        </w:rPr>
        <w:t>y</w:t>
      </w:r>
      <w:r>
        <w:rPr>
          <w:color w:val="231F1F"/>
          <w:spacing w:val="-10"/>
          <w:w w:val="110"/>
          <w:sz w:val="22"/>
        </w:rPr>
        <w:t> </w:t>
      </w:r>
      <w:r>
        <w:rPr>
          <w:color w:val="231F1F"/>
          <w:w w:val="110"/>
          <w:sz w:val="22"/>
        </w:rPr>
        <w:t>el</w:t>
      </w:r>
      <w:r>
        <w:rPr>
          <w:color w:val="231F1F"/>
          <w:spacing w:val="-11"/>
          <w:w w:val="110"/>
          <w:sz w:val="22"/>
        </w:rPr>
        <w:t> </w:t>
      </w:r>
      <w:r>
        <w:rPr>
          <w:color w:val="231F1F"/>
          <w:w w:val="110"/>
          <w:sz w:val="22"/>
        </w:rPr>
        <w:t>RN</w:t>
      </w:r>
      <w:r>
        <w:rPr>
          <w:color w:val="231F1F"/>
          <w:spacing w:val="-10"/>
          <w:w w:val="110"/>
          <w:sz w:val="22"/>
        </w:rPr>
        <w:t> </w:t>
      </w:r>
      <w:r>
        <w:rPr>
          <w:color w:val="231F1F"/>
          <w:w w:val="110"/>
          <w:sz w:val="22"/>
        </w:rPr>
        <w:t>permanecerán</w:t>
      </w:r>
      <w:r>
        <w:rPr>
          <w:color w:val="231F1F"/>
          <w:spacing w:val="-11"/>
          <w:w w:val="110"/>
          <w:sz w:val="22"/>
        </w:rPr>
        <w:t> </w:t>
      </w:r>
      <w:r>
        <w:rPr>
          <w:color w:val="231F1F"/>
          <w:w w:val="110"/>
          <w:sz w:val="22"/>
        </w:rPr>
        <w:t>en</w:t>
      </w:r>
      <w:r>
        <w:rPr>
          <w:color w:val="231F1F"/>
          <w:spacing w:val="-10"/>
          <w:w w:val="110"/>
          <w:sz w:val="22"/>
        </w:rPr>
        <w:t> </w:t>
      </w:r>
      <w:r>
        <w:rPr>
          <w:color w:val="231F1F"/>
          <w:w w:val="110"/>
          <w:sz w:val="22"/>
        </w:rPr>
        <w:t>paritorio</w:t>
      </w:r>
      <w:r>
        <w:rPr>
          <w:color w:val="231F1F"/>
          <w:spacing w:val="-10"/>
          <w:w w:val="110"/>
          <w:sz w:val="22"/>
        </w:rPr>
        <w:t> </w:t>
      </w:r>
      <w:r>
        <w:rPr>
          <w:color w:val="231F1F"/>
          <w:w w:val="110"/>
          <w:sz w:val="22"/>
        </w:rPr>
        <w:t>hasta</w:t>
      </w:r>
      <w:r>
        <w:rPr>
          <w:color w:val="231F1F"/>
          <w:spacing w:val="-10"/>
          <w:w w:val="110"/>
          <w:sz w:val="22"/>
        </w:rPr>
        <w:t> </w:t>
      </w:r>
      <w:r>
        <w:rPr>
          <w:color w:val="231F1F"/>
          <w:w w:val="110"/>
          <w:sz w:val="22"/>
        </w:rPr>
        <w:t>que</w:t>
      </w:r>
      <w:r>
        <w:rPr>
          <w:color w:val="231F1F"/>
          <w:spacing w:val="-11"/>
          <w:w w:val="110"/>
          <w:sz w:val="22"/>
        </w:rPr>
        <w:t> </w:t>
      </w:r>
      <w:r>
        <w:rPr>
          <w:color w:val="231F1F"/>
          <w:w w:val="110"/>
          <w:sz w:val="22"/>
        </w:rPr>
        <w:t>se complete la primera toma anotándose cuándo y cómo se produce.</w:t>
      </w:r>
    </w:p>
    <w:p>
      <w:pPr>
        <w:pStyle w:val="ListParagraph"/>
        <w:numPr>
          <w:ilvl w:val="0"/>
          <w:numId w:val="103"/>
        </w:numPr>
        <w:tabs>
          <w:tab w:pos="956" w:val="left" w:leader="none"/>
        </w:tabs>
        <w:spacing w:line="240" w:lineRule="auto" w:before="147" w:after="0"/>
        <w:ind w:left="956" w:right="298" w:hanging="219"/>
        <w:jc w:val="left"/>
        <w:rPr>
          <w:sz w:val="22"/>
        </w:rPr>
      </w:pPr>
      <w:r>
        <w:rPr>
          <w:color w:val="231F1F"/>
          <w:sz w:val="22"/>
        </w:rPr>
        <w:t>Comprobar</w:t>
      </w:r>
      <w:r>
        <w:rPr>
          <w:color w:val="231F1F"/>
          <w:spacing w:val="29"/>
          <w:sz w:val="22"/>
        </w:rPr>
        <w:t> </w:t>
      </w:r>
      <w:r>
        <w:rPr>
          <w:color w:val="231F1F"/>
          <w:sz w:val="22"/>
        </w:rPr>
        <w:t>el</w:t>
      </w:r>
      <w:r>
        <w:rPr>
          <w:color w:val="231F1F"/>
          <w:spacing w:val="35"/>
          <w:sz w:val="22"/>
        </w:rPr>
        <w:t> </w:t>
      </w:r>
      <w:r>
        <w:rPr>
          <w:color w:val="231F1F"/>
          <w:sz w:val="22"/>
        </w:rPr>
        <w:t>bienestar</w:t>
      </w:r>
      <w:r>
        <w:rPr>
          <w:color w:val="231F1F"/>
          <w:spacing w:val="33"/>
          <w:sz w:val="22"/>
        </w:rPr>
        <w:t> </w:t>
      </w:r>
      <w:r>
        <w:rPr>
          <w:color w:val="231F1F"/>
          <w:sz w:val="22"/>
        </w:rPr>
        <w:t>materno</w:t>
      </w:r>
      <w:r>
        <w:rPr>
          <w:color w:val="231F1F"/>
          <w:spacing w:val="33"/>
          <w:sz w:val="22"/>
        </w:rPr>
        <w:t> </w:t>
      </w:r>
      <w:r>
        <w:rPr>
          <w:color w:val="231F1F"/>
          <w:sz w:val="22"/>
        </w:rPr>
        <w:t>inmediatamente</w:t>
      </w:r>
      <w:r>
        <w:rPr>
          <w:color w:val="231F1F"/>
          <w:spacing w:val="36"/>
          <w:sz w:val="22"/>
        </w:rPr>
        <w:t> </w:t>
      </w:r>
      <w:r>
        <w:rPr>
          <w:color w:val="231F1F"/>
          <w:sz w:val="22"/>
        </w:rPr>
        <w:t>antes</w:t>
      </w:r>
      <w:r>
        <w:rPr>
          <w:color w:val="231F1F"/>
          <w:spacing w:val="33"/>
          <w:sz w:val="22"/>
        </w:rPr>
        <w:t> </w:t>
      </w:r>
      <w:r>
        <w:rPr>
          <w:color w:val="231F1F"/>
          <w:sz w:val="22"/>
        </w:rPr>
        <w:t>de</w:t>
      </w:r>
      <w:r>
        <w:rPr>
          <w:color w:val="231F1F"/>
          <w:spacing w:val="33"/>
          <w:sz w:val="22"/>
        </w:rPr>
        <w:t> </w:t>
      </w:r>
      <w:r>
        <w:rPr>
          <w:color w:val="231F1F"/>
          <w:sz w:val="22"/>
        </w:rPr>
        <w:t>ser</w:t>
      </w:r>
      <w:r>
        <w:rPr>
          <w:color w:val="231F1F"/>
          <w:spacing w:val="29"/>
          <w:sz w:val="22"/>
        </w:rPr>
        <w:t> </w:t>
      </w:r>
      <w:r>
        <w:rPr>
          <w:color w:val="231F1F"/>
          <w:sz w:val="22"/>
        </w:rPr>
        <w:t>dada</w:t>
      </w:r>
      <w:r>
        <w:rPr>
          <w:color w:val="231F1F"/>
          <w:spacing w:val="35"/>
          <w:sz w:val="22"/>
        </w:rPr>
        <w:t> </w:t>
      </w:r>
      <w:r>
        <w:rPr>
          <w:color w:val="231F1F"/>
          <w:sz w:val="22"/>
        </w:rPr>
        <w:t>de</w:t>
      </w:r>
      <w:r>
        <w:rPr>
          <w:color w:val="231F1F"/>
          <w:spacing w:val="33"/>
          <w:sz w:val="22"/>
        </w:rPr>
        <w:t> </w:t>
      </w:r>
      <w:r>
        <w:rPr>
          <w:color w:val="231F1F"/>
          <w:sz w:val="22"/>
        </w:rPr>
        <w:t>alta</w:t>
      </w:r>
      <w:r>
        <w:rPr>
          <w:color w:val="231F1F"/>
          <w:spacing w:val="33"/>
          <w:sz w:val="22"/>
        </w:rPr>
        <w:t> </w:t>
      </w:r>
      <w:r>
        <w:rPr>
          <w:color w:val="231F1F"/>
          <w:sz w:val="22"/>
        </w:rPr>
        <w:t>en</w:t>
      </w:r>
      <w:r>
        <w:rPr>
          <w:color w:val="231F1F"/>
          <w:spacing w:val="33"/>
          <w:sz w:val="22"/>
        </w:rPr>
        <w:t> </w:t>
      </w:r>
      <w:r>
        <w:rPr>
          <w:color w:val="231F1F"/>
          <w:sz w:val="22"/>
        </w:rPr>
        <w:t>Área </w:t>
      </w:r>
      <w:r>
        <w:rPr>
          <w:color w:val="231F1F"/>
          <w:w w:val="110"/>
          <w:sz w:val="22"/>
        </w:rPr>
        <w:t>de Partos.</w:t>
      </w:r>
    </w:p>
    <w:p>
      <w:pPr>
        <w:pStyle w:val="ListParagraph"/>
        <w:spacing w:after="0" w:line="240" w:lineRule="auto"/>
        <w:jc w:val="left"/>
        <w:rPr>
          <w:sz w:val="22"/>
        </w:rPr>
        <w:sectPr>
          <w:pgSz w:w="11900" w:h="16840"/>
          <w:pgMar w:header="0" w:footer="622" w:top="1560" w:bottom="820" w:left="1417" w:right="1559"/>
        </w:sectPr>
      </w:pPr>
    </w:p>
    <w:p>
      <w:pPr>
        <w:pStyle w:val="Heading2"/>
        <w:spacing w:line="242" w:lineRule="auto" w:before="68"/>
        <w:ind w:left="1891" w:right="515" w:hanging="1609"/>
        <w:rPr>
          <w:sz w:val="24"/>
        </w:rPr>
      </w:pPr>
      <w:r>
        <w:rPr>
          <w:color w:val="231F1F"/>
        </w:rPr>
        <w:t>Anexo</w:t>
      </w:r>
      <w:r>
        <w:rPr>
          <w:color w:val="231F1F"/>
          <w:spacing w:val="-5"/>
        </w:rPr>
        <w:t> </w:t>
      </w:r>
      <w:r>
        <w:rPr>
          <w:color w:val="231F1F"/>
        </w:rPr>
        <w:t>8.</w:t>
      </w:r>
      <w:r>
        <w:rPr>
          <w:color w:val="231F1F"/>
          <w:spacing w:val="40"/>
        </w:rPr>
        <w:t> </w:t>
      </w:r>
      <w:r>
        <w:rPr>
          <w:color w:val="231F1F"/>
        </w:rPr>
        <w:t>Aspectos</w:t>
      </w:r>
      <w:r>
        <w:rPr>
          <w:color w:val="231F1F"/>
          <w:spacing w:val="-5"/>
        </w:rPr>
        <w:t> </w:t>
      </w:r>
      <w:r>
        <w:rPr>
          <w:color w:val="231F1F"/>
        </w:rPr>
        <w:t>técnicos</w:t>
      </w:r>
      <w:r>
        <w:rPr>
          <w:color w:val="231F1F"/>
          <w:spacing w:val="-5"/>
        </w:rPr>
        <w:t> </w:t>
      </w:r>
      <w:r>
        <w:rPr>
          <w:color w:val="231F1F"/>
        </w:rPr>
        <w:t>de</w:t>
      </w:r>
      <w:r>
        <w:rPr>
          <w:color w:val="231F1F"/>
          <w:spacing w:val="-6"/>
        </w:rPr>
        <w:t> </w:t>
      </w:r>
      <w:r>
        <w:rPr>
          <w:color w:val="231F1F"/>
        </w:rPr>
        <w:t>utilización</w:t>
      </w:r>
      <w:r>
        <w:rPr>
          <w:color w:val="231F1F"/>
          <w:spacing w:val="-5"/>
        </w:rPr>
        <w:t> </w:t>
      </w:r>
      <w:r>
        <w:rPr>
          <w:color w:val="231F1F"/>
        </w:rPr>
        <w:t>de</w:t>
      </w:r>
      <w:r>
        <w:rPr>
          <w:color w:val="231F1F"/>
          <w:spacing w:val="-6"/>
        </w:rPr>
        <w:t> </w:t>
      </w:r>
      <w:r>
        <w:rPr>
          <w:color w:val="231F1F"/>
        </w:rPr>
        <w:t>óxido nitroso </w:t>
      </w:r>
      <w:r>
        <w:rPr>
          <w:color w:val="231F1F"/>
          <w:sz w:val="24"/>
        </w:rPr>
        <w:t>(375)</w:t>
      </w:r>
    </w:p>
    <w:p>
      <w:pPr>
        <w:pStyle w:val="BodyText"/>
        <w:spacing w:line="244" w:lineRule="auto" w:before="264"/>
        <w:ind w:left="283" w:right="121"/>
        <w:jc w:val="both"/>
      </w:pPr>
      <w:r>
        <w:rPr>
          <w:color w:val="231F1F"/>
          <w:w w:val="105"/>
        </w:rPr>
        <w:t>La administración de óxido nitroso para la analgesia durante el parto requiere conectar los aparatos y equipos a puntos de gas e instruir a las mujeres sobre cómo utilizar el dispositi- vo</w:t>
      </w:r>
      <w:r>
        <w:rPr>
          <w:color w:val="231F1F"/>
          <w:spacing w:val="40"/>
          <w:w w:val="105"/>
        </w:rPr>
        <w:t> </w:t>
      </w:r>
      <w:r>
        <w:rPr>
          <w:color w:val="231F1F"/>
          <w:w w:val="105"/>
        </w:rPr>
        <w:t>para</w:t>
      </w:r>
      <w:r>
        <w:rPr>
          <w:color w:val="231F1F"/>
          <w:spacing w:val="40"/>
          <w:w w:val="105"/>
        </w:rPr>
        <w:t> </w:t>
      </w:r>
      <w:r>
        <w:rPr>
          <w:color w:val="231F1F"/>
          <w:w w:val="105"/>
        </w:rPr>
        <w:t>la</w:t>
      </w:r>
      <w:r>
        <w:rPr>
          <w:color w:val="231F1F"/>
          <w:spacing w:val="40"/>
          <w:w w:val="105"/>
        </w:rPr>
        <w:t> </w:t>
      </w:r>
      <w:r>
        <w:rPr>
          <w:color w:val="231F1F"/>
          <w:w w:val="105"/>
        </w:rPr>
        <w:t>auto-administración</w:t>
      </w:r>
      <w:r>
        <w:rPr>
          <w:color w:val="231F1F"/>
          <w:spacing w:val="40"/>
          <w:w w:val="105"/>
        </w:rPr>
        <w:t> </w:t>
      </w:r>
      <w:r>
        <w:rPr>
          <w:color w:val="231F1F"/>
          <w:w w:val="105"/>
        </w:rPr>
        <w:t>de</w:t>
      </w:r>
      <w:r>
        <w:rPr>
          <w:color w:val="231F1F"/>
          <w:spacing w:val="40"/>
          <w:w w:val="105"/>
        </w:rPr>
        <w:t> </w:t>
      </w:r>
      <w:r>
        <w:rPr>
          <w:color w:val="231F1F"/>
          <w:w w:val="105"/>
        </w:rPr>
        <w:t>analgesia</w:t>
      </w:r>
      <w:r>
        <w:rPr>
          <w:color w:val="231F1F"/>
          <w:spacing w:val="40"/>
          <w:w w:val="105"/>
        </w:rPr>
        <w:t> </w:t>
      </w:r>
      <w:r>
        <w:rPr>
          <w:color w:val="231F1F"/>
          <w:w w:val="105"/>
        </w:rPr>
        <w:t>por</w:t>
      </w:r>
      <w:r>
        <w:rPr>
          <w:color w:val="231F1F"/>
          <w:spacing w:val="40"/>
          <w:w w:val="105"/>
        </w:rPr>
        <w:t> </w:t>
      </w:r>
      <w:r>
        <w:rPr>
          <w:color w:val="231F1F"/>
          <w:w w:val="105"/>
        </w:rPr>
        <w:t>inhalación.</w:t>
      </w:r>
    </w:p>
    <w:p>
      <w:pPr>
        <w:pStyle w:val="BodyText"/>
        <w:spacing w:before="201"/>
      </w:pPr>
    </w:p>
    <w:p>
      <w:pPr>
        <w:spacing w:line="242" w:lineRule="auto" w:before="0"/>
        <w:ind w:left="283" w:right="0" w:firstLine="0"/>
        <w:jc w:val="left"/>
        <w:rPr>
          <w:rFonts w:ascii="Arial MT" w:hAnsi="Arial MT"/>
          <w:sz w:val="24"/>
        </w:rPr>
      </w:pPr>
      <w:r>
        <w:rPr>
          <w:rFonts w:ascii="Arial MT" w:hAnsi="Arial MT"/>
          <w:color w:val="231F1F"/>
          <w:w w:val="105"/>
          <w:sz w:val="24"/>
        </w:rPr>
        <w:t>Procedimiento estandarizado para la administración de óxido nitroso por </w:t>
      </w:r>
      <w:r>
        <w:rPr>
          <w:rFonts w:ascii="Arial MT" w:hAnsi="Arial MT"/>
          <w:color w:val="231F1F"/>
          <w:spacing w:val="-2"/>
          <w:w w:val="105"/>
          <w:sz w:val="24"/>
        </w:rPr>
        <w:t>matronas</w:t>
      </w:r>
    </w:p>
    <w:p>
      <w:pPr>
        <w:pStyle w:val="ListParagraph"/>
        <w:numPr>
          <w:ilvl w:val="0"/>
          <w:numId w:val="104"/>
        </w:numPr>
        <w:tabs>
          <w:tab w:pos="534" w:val="left" w:leader="none"/>
        </w:tabs>
        <w:spacing w:line="240" w:lineRule="auto" w:before="182" w:after="0"/>
        <w:ind w:left="534" w:right="0" w:hanging="251"/>
        <w:jc w:val="left"/>
        <w:rPr>
          <w:rFonts w:ascii="Arial MT"/>
          <w:sz w:val="24"/>
        </w:rPr>
      </w:pPr>
      <w:r>
        <w:rPr>
          <w:rFonts w:ascii="Arial MT"/>
          <w:color w:val="231F1F"/>
          <w:spacing w:val="-2"/>
          <w:w w:val="105"/>
          <w:sz w:val="24"/>
        </w:rPr>
        <w:t>Antecedentes</w:t>
      </w:r>
    </w:p>
    <w:p>
      <w:pPr>
        <w:pStyle w:val="Heading5"/>
        <w:numPr>
          <w:ilvl w:val="1"/>
          <w:numId w:val="104"/>
        </w:numPr>
        <w:tabs>
          <w:tab w:pos="626" w:val="left" w:leader="none"/>
        </w:tabs>
        <w:spacing w:line="240" w:lineRule="auto" w:before="189" w:after="0"/>
        <w:ind w:left="626" w:right="0" w:hanging="345"/>
        <w:jc w:val="left"/>
      </w:pPr>
      <w:r>
        <w:rPr>
          <w:color w:val="231F1F"/>
        </w:rPr>
        <w:t>Establecer el</w:t>
      </w:r>
      <w:r>
        <w:rPr>
          <w:color w:val="231F1F"/>
          <w:spacing w:val="2"/>
        </w:rPr>
        <w:t> </w:t>
      </w:r>
      <w:r>
        <w:rPr>
          <w:color w:val="231F1F"/>
        </w:rPr>
        <w:t>“Procedimiento</w:t>
      </w:r>
      <w:r>
        <w:rPr>
          <w:color w:val="231F1F"/>
          <w:spacing w:val="2"/>
        </w:rPr>
        <w:t> </w:t>
      </w:r>
      <w:r>
        <w:rPr>
          <w:color w:val="231F1F"/>
          <w:spacing w:val="-2"/>
        </w:rPr>
        <w:t>estandarizado”</w:t>
      </w:r>
    </w:p>
    <w:p>
      <w:pPr>
        <w:pStyle w:val="ListParagraph"/>
        <w:numPr>
          <w:ilvl w:val="1"/>
          <w:numId w:val="104"/>
        </w:numPr>
        <w:tabs>
          <w:tab w:pos="632" w:val="left" w:leader="none"/>
        </w:tabs>
        <w:spacing w:line="240" w:lineRule="auto" w:before="190" w:after="0"/>
        <w:ind w:left="632" w:right="0" w:hanging="349"/>
        <w:jc w:val="left"/>
        <w:rPr>
          <w:rFonts w:ascii="Arial" w:hAnsi="Arial"/>
          <w:i/>
          <w:sz w:val="24"/>
        </w:rPr>
      </w:pPr>
      <w:r>
        <w:rPr>
          <w:rFonts w:ascii="Arial" w:hAnsi="Arial"/>
          <w:i/>
          <w:color w:val="231F1F"/>
          <w:spacing w:val="-2"/>
          <w:sz w:val="24"/>
        </w:rPr>
        <w:t>Supervisión</w:t>
      </w:r>
    </w:p>
    <w:p>
      <w:pPr>
        <w:pStyle w:val="BodyText"/>
        <w:spacing w:line="244" w:lineRule="auto" w:before="228"/>
        <w:ind w:left="283" w:right="121"/>
        <w:jc w:val="both"/>
      </w:pPr>
      <w:r>
        <w:rPr>
          <w:color w:val="231F1F"/>
          <w:w w:val="105"/>
        </w:rPr>
        <w:t>Tras un período de formación y supervisión para establecer las competencias, no se reque- rirá</w:t>
      </w:r>
      <w:r>
        <w:rPr>
          <w:color w:val="231F1F"/>
          <w:w w:val="105"/>
        </w:rPr>
        <w:t> supervisión</w:t>
      </w:r>
      <w:r>
        <w:rPr>
          <w:color w:val="231F1F"/>
          <w:w w:val="105"/>
        </w:rPr>
        <w:t> directa</w:t>
      </w:r>
      <w:r>
        <w:rPr>
          <w:color w:val="231F1F"/>
          <w:w w:val="105"/>
        </w:rPr>
        <w:t> continua.</w:t>
      </w:r>
      <w:r>
        <w:rPr>
          <w:color w:val="231F1F"/>
          <w:w w:val="105"/>
        </w:rPr>
        <w:t> Sin</w:t>
      </w:r>
      <w:r>
        <w:rPr>
          <w:color w:val="231F1F"/>
          <w:w w:val="105"/>
        </w:rPr>
        <w:t> embargo,</w:t>
      </w:r>
      <w:r>
        <w:rPr>
          <w:color w:val="231F1F"/>
          <w:w w:val="105"/>
        </w:rPr>
        <w:t> el</w:t>
      </w:r>
      <w:r>
        <w:rPr>
          <w:color w:val="231F1F"/>
          <w:w w:val="105"/>
        </w:rPr>
        <w:t> anestesista</w:t>
      </w:r>
      <w:r>
        <w:rPr>
          <w:color w:val="231F1F"/>
          <w:w w:val="105"/>
        </w:rPr>
        <w:t> debe</w:t>
      </w:r>
      <w:r>
        <w:rPr>
          <w:color w:val="231F1F"/>
          <w:w w:val="105"/>
        </w:rPr>
        <w:t> estar</w:t>
      </w:r>
      <w:r>
        <w:rPr>
          <w:color w:val="231F1F"/>
          <w:w w:val="105"/>
        </w:rPr>
        <w:t> disponible</w:t>
      </w:r>
      <w:r>
        <w:rPr>
          <w:color w:val="231F1F"/>
          <w:w w:val="105"/>
        </w:rPr>
        <w:t> para cualquier consulta o asistencia.</w:t>
      </w:r>
    </w:p>
    <w:p>
      <w:pPr>
        <w:pStyle w:val="BodyText"/>
        <w:spacing w:before="139"/>
      </w:pPr>
    </w:p>
    <w:p>
      <w:pPr>
        <w:pStyle w:val="Heading5"/>
        <w:numPr>
          <w:ilvl w:val="1"/>
          <w:numId w:val="104"/>
        </w:numPr>
        <w:tabs>
          <w:tab w:pos="641" w:val="left" w:leader="none"/>
        </w:tabs>
        <w:spacing w:line="240" w:lineRule="auto" w:before="0" w:after="0"/>
        <w:ind w:left="641" w:right="0" w:hanging="358"/>
        <w:jc w:val="left"/>
      </w:pPr>
      <w:r>
        <w:rPr>
          <w:color w:val="231F1F"/>
          <w:spacing w:val="-2"/>
        </w:rPr>
        <w:t>Indicaciones</w:t>
      </w:r>
    </w:p>
    <w:p>
      <w:pPr>
        <w:pStyle w:val="BodyText"/>
        <w:spacing w:before="214"/>
        <w:ind w:left="283" w:right="115"/>
      </w:pPr>
      <w:r>
        <w:rPr>
          <w:color w:val="231F1F"/>
          <w:w w:val="110"/>
        </w:rPr>
        <w:t>Mujeres</w:t>
      </w:r>
      <w:r>
        <w:rPr>
          <w:color w:val="231F1F"/>
          <w:spacing w:val="-16"/>
          <w:w w:val="110"/>
        </w:rPr>
        <w:t> </w:t>
      </w:r>
      <w:r>
        <w:rPr>
          <w:color w:val="231F1F"/>
          <w:w w:val="110"/>
        </w:rPr>
        <w:t>con</w:t>
      </w:r>
      <w:r>
        <w:rPr>
          <w:color w:val="231F1F"/>
          <w:spacing w:val="-15"/>
          <w:w w:val="110"/>
        </w:rPr>
        <w:t> </w:t>
      </w:r>
      <w:r>
        <w:rPr>
          <w:color w:val="231F1F"/>
          <w:w w:val="110"/>
        </w:rPr>
        <w:t>parto</w:t>
      </w:r>
      <w:r>
        <w:rPr>
          <w:color w:val="231F1F"/>
          <w:spacing w:val="-15"/>
          <w:w w:val="110"/>
        </w:rPr>
        <w:t> </w:t>
      </w:r>
      <w:r>
        <w:rPr>
          <w:color w:val="231F1F"/>
          <w:w w:val="110"/>
        </w:rPr>
        <w:t>doloroso</w:t>
      </w:r>
      <w:r>
        <w:rPr>
          <w:color w:val="231F1F"/>
          <w:spacing w:val="-15"/>
          <w:w w:val="110"/>
        </w:rPr>
        <w:t> </w:t>
      </w:r>
      <w:r>
        <w:rPr>
          <w:color w:val="231F1F"/>
          <w:w w:val="110"/>
        </w:rPr>
        <w:t>o</w:t>
      </w:r>
      <w:r>
        <w:rPr>
          <w:color w:val="231F1F"/>
          <w:spacing w:val="-15"/>
          <w:w w:val="110"/>
        </w:rPr>
        <w:t> </w:t>
      </w:r>
      <w:r>
        <w:rPr>
          <w:color w:val="231F1F"/>
          <w:w w:val="110"/>
        </w:rPr>
        <w:t>con</w:t>
      </w:r>
      <w:r>
        <w:rPr>
          <w:color w:val="231F1F"/>
          <w:spacing w:val="-15"/>
          <w:w w:val="110"/>
        </w:rPr>
        <w:t> </w:t>
      </w:r>
      <w:r>
        <w:rPr>
          <w:color w:val="231F1F"/>
          <w:w w:val="110"/>
        </w:rPr>
        <w:t>dolor</w:t>
      </w:r>
      <w:r>
        <w:rPr>
          <w:color w:val="231F1F"/>
          <w:spacing w:val="-15"/>
          <w:w w:val="110"/>
        </w:rPr>
        <w:t> </w:t>
      </w:r>
      <w:r>
        <w:rPr>
          <w:color w:val="231F1F"/>
          <w:w w:val="110"/>
        </w:rPr>
        <w:t>perineal</w:t>
      </w:r>
      <w:r>
        <w:rPr>
          <w:color w:val="231F1F"/>
          <w:spacing w:val="-15"/>
          <w:w w:val="110"/>
        </w:rPr>
        <w:t> </w:t>
      </w:r>
      <w:r>
        <w:rPr>
          <w:color w:val="231F1F"/>
          <w:w w:val="110"/>
        </w:rPr>
        <w:t>durante</w:t>
      </w:r>
      <w:r>
        <w:rPr>
          <w:color w:val="231F1F"/>
          <w:spacing w:val="-16"/>
          <w:w w:val="110"/>
        </w:rPr>
        <w:t> </w:t>
      </w:r>
      <w:r>
        <w:rPr>
          <w:color w:val="231F1F"/>
          <w:w w:val="110"/>
        </w:rPr>
        <w:t>el</w:t>
      </w:r>
      <w:r>
        <w:rPr>
          <w:color w:val="231F1F"/>
          <w:spacing w:val="-15"/>
          <w:w w:val="110"/>
        </w:rPr>
        <w:t> </w:t>
      </w:r>
      <w:r>
        <w:rPr>
          <w:color w:val="231F1F"/>
          <w:w w:val="110"/>
        </w:rPr>
        <w:t>proceso</w:t>
      </w:r>
      <w:r>
        <w:rPr>
          <w:color w:val="231F1F"/>
          <w:spacing w:val="-15"/>
          <w:w w:val="110"/>
        </w:rPr>
        <w:t> </w:t>
      </w:r>
      <w:r>
        <w:rPr>
          <w:color w:val="231F1F"/>
          <w:w w:val="110"/>
        </w:rPr>
        <w:t>de</w:t>
      </w:r>
      <w:r>
        <w:rPr>
          <w:color w:val="231F1F"/>
          <w:spacing w:val="-15"/>
          <w:w w:val="110"/>
        </w:rPr>
        <w:t> </w:t>
      </w:r>
      <w:r>
        <w:rPr>
          <w:color w:val="231F1F"/>
          <w:w w:val="110"/>
        </w:rPr>
        <w:t>reparación</w:t>
      </w:r>
      <w:r>
        <w:rPr>
          <w:color w:val="231F1F"/>
          <w:spacing w:val="-15"/>
          <w:w w:val="110"/>
        </w:rPr>
        <w:t> </w:t>
      </w:r>
      <w:r>
        <w:rPr>
          <w:color w:val="231F1F"/>
          <w:w w:val="110"/>
        </w:rPr>
        <w:t>después del parto vaginal, que soliciten analgesia con óxido nitroso.</w:t>
      </w:r>
    </w:p>
    <w:p>
      <w:pPr>
        <w:pStyle w:val="BodyText"/>
        <w:spacing w:before="148"/>
      </w:pPr>
    </w:p>
    <w:p>
      <w:pPr>
        <w:pStyle w:val="Heading5"/>
        <w:numPr>
          <w:ilvl w:val="1"/>
          <w:numId w:val="104"/>
        </w:numPr>
        <w:tabs>
          <w:tab w:pos="637" w:val="left" w:leader="none"/>
        </w:tabs>
        <w:spacing w:line="240" w:lineRule="auto" w:before="0" w:after="0"/>
        <w:ind w:left="637" w:right="0" w:hanging="354"/>
        <w:jc w:val="left"/>
      </w:pPr>
      <w:r>
        <w:rPr>
          <w:color w:val="231F1F"/>
        </w:rPr>
        <w:t>Precauciones</w:t>
      </w:r>
      <w:r>
        <w:rPr>
          <w:color w:val="231F1F"/>
          <w:spacing w:val="-4"/>
        </w:rPr>
        <w:t> </w:t>
      </w:r>
      <w:r>
        <w:rPr>
          <w:color w:val="231F1F"/>
        </w:rPr>
        <w:t>/</w:t>
      </w:r>
      <w:r>
        <w:rPr>
          <w:color w:val="231F1F"/>
          <w:spacing w:val="-4"/>
        </w:rPr>
        <w:t> </w:t>
      </w:r>
      <w:r>
        <w:rPr>
          <w:color w:val="231F1F"/>
          <w:spacing w:val="-2"/>
        </w:rPr>
        <w:t>Contraindicaciones</w:t>
      </w:r>
    </w:p>
    <w:p>
      <w:pPr>
        <w:pStyle w:val="BodyText"/>
        <w:spacing w:before="224"/>
        <w:ind w:left="283"/>
      </w:pPr>
      <w:r>
        <w:rPr>
          <w:color w:val="231F1F"/>
        </w:rPr>
        <w:t>Mujeres</w:t>
      </w:r>
      <w:r>
        <w:rPr>
          <w:color w:val="231F1F"/>
          <w:spacing w:val="43"/>
        </w:rPr>
        <w:t> </w:t>
      </w:r>
      <w:r>
        <w:rPr>
          <w:color w:val="231F1F"/>
          <w:spacing w:val="-4"/>
        </w:rPr>
        <w:t>que:</w:t>
      </w:r>
    </w:p>
    <w:p>
      <w:pPr>
        <w:pStyle w:val="ListParagraph"/>
        <w:numPr>
          <w:ilvl w:val="2"/>
          <w:numId w:val="104"/>
        </w:numPr>
        <w:tabs>
          <w:tab w:pos="1072" w:val="left" w:leader="none"/>
        </w:tabs>
        <w:spacing w:line="240" w:lineRule="auto" w:before="164" w:after="0"/>
        <w:ind w:left="1072" w:right="0" w:hanging="336"/>
        <w:jc w:val="left"/>
        <w:rPr>
          <w:sz w:val="22"/>
        </w:rPr>
      </w:pPr>
      <w:r>
        <w:rPr>
          <w:color w:val="231F1F"/>
          <w:w w:val="110"/>
          <w:sz w:val="22"/>
        </w:rPr>
        <w:t>No</w:t>
      </w:r>
      <w:r>
        <w:rPr>
          <w:color w:val="231F1F"/>
          <w:spacing w:val="-12"/>
          <w:w w:val="110"/>
          <w:sz w:val="22"/>
        </w:rPr>
        <w:t> </w:t>
      </w:r>
      <w:r>
        <w:rPr>
          <w:color w:val="231F1F"/>
          <w:w w:val="110"/>
          <w:sz w:val="22"/>
        </w:rPr>
        <w:t>pueden</w:t>
      </w:r>
      <w:r>
        <w:rPr>
          <w:color w:val="231F1F"/>
          <w:spacing w:val="-10"/>
          <w:w w:val="110"/>
          <w:sz w:val="22"/>
        </w:rPr>
        <w:t> </w:t>
      </w:r>
      <w:r>
        <w:rPr>
          <w:color w:val="231F1F"/>
          <w:w w:val="110"/>
          <w:sz w:val="22"/>
        </w:rPr>
        <w:t>sostener</w:t>
      </w:r>
      <w:r>
        <w:rPr>
          <w:color w:val="231F1F"/>
          <w:spacing w:val="-12"/>
          <w:w w:val="110"/>
          <w:sz w:val="22"/>
        </w:rPr>
        <w:t> </w:t>
      </w:r>
      <w:r>
        <w:rPr>
          <w:color w:val="231F1F"/>
          <w:w w:val="110"/>
          <w:sz w:val="22"/>
        </w:rPr>
        <w:t>una</w:t>
      </w:r>
      <w:r>
        <w:rPr>
          <w:color w:val="231F1F"/>
          <w:spacing w:val="-10"/>
          <w:w w:val="110"/>
          <w:sz w:val="22"/>
        </w:rPr>
        <w:t> </w:t>
      </w:r>
      <w:r>
        <w:rPr>
          <w:color w:val="231F1F"/>
          <w:spacing w:val="-2"/>
          <w:w w:val="110"/>
          <w:sz w:val="22"/>
        </w:rPr>
        <w:t>mascarilla</w:t>
      </w:r>
    </w:p>
    <w:p>
      <w:pPr>
        <w:pStyle w:val="ListParagraph"/>
        <w:numPr>
          <w:ilvl w:val="2"/>
          <w:numId w:val="104"/>
        </w:numPr>
        <w:tabs>
          <w:tab w:pos="1072" w:val="left" w:leader="none"/>
        </w:tabs>
        <w:spacing w:line="240" w:lineRule="auto" w:before="141" w:after="0"/>
        <w:ind w:left="1072" w:right="0" w:hanging="336"/>
        <w:jc w:val="left"/>
        <w:rPr>
          <w:sz w:val="22"/>
        </w:rPr>
      </w:pPr>
      <w:r>
        <w:rPr>
          <w:color w:val="231F1F"/>
          <w:sz w:val="22"/>
        </w:rPr>
        <w:t>Tienen</w:t>
      </w:r>
      <w:r>
        <w:rPr>
          <w:color w:val="231F1F"/>
          <w:spacing w:val="34"/>
          <w:sz w:val="22"/>
        </w:rPr>
        <w:t> </w:t>
      </w:r>
      <w:r>
        <w:rPr>
          <w:color w:val="231F1F"/>
          <w:sz w:val="22"/>
        </w:rPr>
        <w:t>deterioro</w:t>
      </w:r>
      <w:r>
        <w:rPr>
          <w:color w:val="231F1F"/>
          <w:spacing w:val="36"/>
          <w:sz w:val="22"/>
        </w:rPr>
        <w:t> </w:t>
      </w:r>
      <w:r>
        <w:rPr>
          <w:color w:val="231F1F"/>
          <w:sz w:val="22"/>
        </w:rPr>
        <w:t>de</w:t>
      </w:r>
      <w:r>
        <w:rPr>
          <w:color w:val="231F1F"/>
          <w:spacing w:val="36"/>
          <w:sz w:val="22"/>
        </w:rPr>
        <w:t> </w:t>
      </w:r>
      <w:r>
        <w:rPr>
          <w:color w:val="231F1F"/>
          <w:sz w:val="22"/>
        </w:rPr>
        <w:t>la</w:t>
      </w:r>
      <w:r>
        <w:rPr>
          <w:color w:val="231F1F"/>
          <w:spacing w:val="36"/>
          <w:sz w:val="22"/>
        </w:rPr>
        <w:t> </w:t>
      </w:r>
      <w:r>
        <w:rPr>
          <w:color w:val="231F1F"/>
          <w:sz w:val="22"/>
        </w:rPr>
        <w:t>conciencia</w:t>
      </w:r>
      <w:r>
        <w:rPr>
          <w:color w:val="231F1F"/>
          <w:spacing w:val="38"/>
          <w:sz w:val="22"/>
        </w:rPr>
        <w:t> </w:t>
      </w:r>
      <w:r>
        <w:rPr>
          <w:color w:val="231F1F"/>
          <w:sz w:val="22"/>
        </w:rPr>
        <w:t>o</w:t>
      </w:r>
      <w:r>
        <w:rPr>
          <w:color w:val="231F1F"/>
          <w:spacing w:val="34"/>
          <w:sz w:val="22"/>
        </w:rPr>
        <w:t> </w:t>
      </w:r>
      <w:r>
        <w:rPr>
          <w:color w:val="231F1F"/>
          <w:spacing w:val="-2"/>
          <w:sz w:val="22"/>
        </w:rPr>
        <w:t>intoxicación</w:t>
      </w:r>
    </w:p>
    <w:p>
      <w:pPr>
        <w:pStyle w:val="ListParagraph"/>
        <w:numPr>
          <w:ilvl w:val="2"/>
          <w:numId w:val="104"/>
        </w:numPr>
        <w:tabs>
          <w:tab w:pos="1072" w:val="left" w:leader="none"/>
        </w:tabs>
        <w:spacing w:line="240" w:lineRule="auto" w:before="141" w:after="0"/>
        <w:ind w:left="1072" w:right="0" w:hanging="336"/>
        <w:jc w:val="left"/>
        <w:rPr>
          <w:sz w:val="22"/>
        </w:rPr>
      </w:pPr>
      <w:r>
        <w:rPr>
          <w:color w:val="231F1F"/>
          <w:sz w:val="22"/>
        </w:rPr>
        <w:t>Han</w:t>
      </w:r>
      <w:r>
        <w:rPr>
          <w:color w:val="231F1F"/>
          <w:spacing w:val="31"/>
          <w:sz w:val="22"/>
        </w:rPr>
        <w:t> </w:t>
      </w:r>
      <w:r>
        <w:rPr>
          <w:color w:val="231F1F"/>
          <w:sz w:val="22"/>
        </w:rPr>
        <w:t>recibido</w:t>
      </w:r>
      <w:r>
        <w:rPr>
          <w:color w:val="231F1F"/>
          <w:spacing w:val="36"/>
          <w:sz w:val="22"/>
        </w:rPr>
        <w:t> </w:t>
      </w:r>
      <w:r>
        <w:rPr>
          <w:color w:val="231F1F"/>
          <w:sz w:val="22"/>
        </w:rPr>
        <w:t>cantidades</w:t>
      </w:r>
      <w:r>
        <w:rPr>
          <w:color w:val="231F1F"/>
          <w:spacing w:val="32"/>
          <w:sz w:val="22"/>
        </w:rPr>
        <w:t> </w:t>
      </w:r>
      <w:r>
        <w:rPr>
          <w:color w:val="231F1F"/>
          <w:sz w:val="22"/>
        </w:rPr>
        <w:t>significativas</w:t>
      </w:r>
      <w:r>
        <w:rPr>
          <w:color w:val="231F1F"/>
          <w:spacing w:val="36"/>
          <w:sz w:val="22"/>
        </w:rPr>
        <w:t> </w:t>
      </w:r>
      <w:r>
        <w:rPr>
          <w:color w:val="231F1F"/>
          <w:sz w:val="22"/>
        </w:rPr>
        <w:t>de</w:t>
      </w:r>
      <w:r>
        <w:rPr>
          <w:color w:val="231F1F"/>
          <w:spacing w:val="33"/>
          <w:sz w:val="22"/>
        </w:rPr>
        <w:t> </w:t>
      </w:r>
      <w:r>
        <w:rPr>
          <w:color w:val="231F1F"/>
          <w:sz w:val="22"/>
        </w:rPr>
        <w:t>opiáceos</w:t>
      </w:r>
      <w:r>
        <w:rPr>
          <w:color w:val="231F1F"/>
          <w:spacing w:val="32"/>
          <w:sz w:val="22"/>
        </w:rPr>
        <w:t> </w:t>
      </w:r>
      <w:r>
        <w:rPr>
          <w:color w:val="231F1F"/>
          <w:sz w:val="22"/>
        </w:rPr>
        <w:t>por</w:t>
      </w:r>
      <w:r>
        <w:rPr>
          <w:color w:val="231F1F"/>
          <w:spacing w:val="34"/>
          <w:sz w:val="22"/>
        </w:rPr>
        <w:t> </w:t>
      </w:r>
      <w:r>
        <w:rPr>
          <w:color w:val="231F1F"/>
          <w:sz w:val="22"/>
        </w:rPr>
        <w:t>vía</w:t>
      </w:r>
      <w:r>
        <w:rPr>
          <w:color w:val="231F1F"/>
          <w:spacing w:val="34"/>
          <w:sz w:val="22"/>
        </w:rPr>
        <w:t> </w:t>
      </w:r>
      <w:r>
        <w:rPr>
          <w:color w:val="231F1F"/>
          <w:spacing w:val="-2"/>
          <w:sz w:val="22"/>
        </w:rPr>
        <w:t>intravenosa</w:t>
      </w:r>
    </w:p>
    <w:p>
      <w:pPr>
        <w:pStyle w:val="ListParagraph"/>
        <w:numPr>
          <w:ilvl w:val="2"/>
          <w:numId w:val="104"/>
        </w:numPr>
        <w:tabs>
          <w:tab w:pos="1072" w:val="left" w:leader="none"/>
        </w:tabs>
        <w:spacing w:line="240" w:lineRule="auto" w:before="140" w:after="0"/>
        <w:ind w:left="1072" w:right="0" w:hanging="336"/>
        <w:jc w:val="left"/>
        <w:rPr>
          <w:sz w:val="22"/>
        </w:rPr>
      </w:pPr>
      <w:r>
        <w:rPr>
          <w:color w:val="231F1F"/>
          <w:sz w:val="22"/>
        </w:rPr>
        <w:t>Con</w:t>
      </w:r>
      <w:r>
        <w:rPr>
          <w:color w:val="231F1F"/>
          <w:spacing w:val="30"/>
          <w:sz w:val="22"/>
        </w:rPr>
        <w:t> </w:t>
      </w:r>
      <w:r>
        <w:rPr>
          <w:color w:val="231F1F"/>
          <w:sz w:val="22"/>
        </w:rPr>
        <w:t>tratamiento</w:t>
      </w:r>
      <w:r>
        <w:rPr>
          <w:color w:val="231F1F"/>
          <w:spacing w:val="33"/>
          <w:sz w:val="22"/>
        </w:rPr>
        <w:t> </w:t>
      </w:r>
      <w:r>
        <w:rPr>
          <w:color w:val="231F1F"/>
          <w:sz w:val="22"/>
        </w:rPr>
        <w:t>de</w:t>
      </w:r>
      <w:r>
        <w:rPr>
          <w:color w:val="231F1F"/>
          <w:spacing w:val="31"/>
          <w:sz w:val="22"/>
        </w:rPr>
        <w:t> </w:t>
      </w:r>
      <w:r>
        <w:rPr>
          <w:color w:val="231F1F"/>
          <w:sz w:val="22"/>
        </w:rPr>
        <w:t>vitamina</w:t>
      </w:r>
      <w:r>
        <w:rPr>
          <w:color w:val="231F1F"/>
          <w:spacing w:val="32"/>
          <w:sz w:val="22"/>
        </w:rPr>
        <w:t> </w:t>
      </w:r>
      <w:r>
        <w:rPr>
          <w:color w:val="231F1F"/>
          <w:sz w:val="22"/>
        </w:rPr>
        <w:t>B12</w:t>
      </w:r>
      <w:r>
        <w:rPr>
          <w:color w:val="231F1F"/>
          <w:spacing w:val="32"/>
          <w:sz w:val="22"/>
        </w:rPr>
        <w:t> </w:t>
      </w:r>
      <w:r>
        <w:rPr>
          <w:color w:val="231F1F"/>
          <w:sz w:val="22"/>
        </w:rPr>
        <w:t>o</w:t>
      </w:r>
      <w:r>
        <w:rPr>
          <w:color w:val="231F1F"/>
          <w:spacing w:val="31"/>
          <w:sz w:val="22"/>
        </w:rPr>
        <w:t> </w:t>
      </w:r>
      <w:r>
        <w:rPr>
          <w:color w:val="231F1F"/>
          <w:sz w:val="22"/>
        </w:rPr>
        <w:t>con</w:t>
      </w:r>
      <w:r>
        <w:rPr>
          <w:color w:val="231F1F"/>
          <w:spacing w:val="33"/>
          <w:sz w:val="22"/>
        </w:rPr>
        <w:t> </w:t>
      </w:r>
      <w:r>
        <w:rPr>
          <w:color w:val="231F1F"/>
          <w:sz w:val="22"/>
        </w:rPr>
        <w:t>déficit</w:t>
      </w:r>
      <w:r>
        <w:rPr>
          <w:color w:val="231F1F"/>
          <w:spacing w:val="30"/>
          <w:sz w:val="22"/>
        </w:rPr>
        <w:t> </w:t>
      </w:r>
      <w:r>
        <w:rPr>
          <w:color w:val="231F1F"/>
          <w:sz w:val="22"/>
        </w:rPr>
        <w:t>de</w:t>
      </w:r>
      <w:r>
        <w:rPr>
          <w:color w:val="231F1F"/>
          <w:spacing w:val="30"/>
          <w:sz w:val="22"/>
        </w:rPr>
        <w:t> </w:t>
      </w:r>
      <w:r>
        <w:rPr>
          <w:color w:val="231F1F"/>
          <w:sz w:val="22"/>
        </w:rPr>
        <w:t>vitamina</w:t>
      </w:r>
      <w:r>
        <w:rPr>
          <w:color w:val="231F1F"/>
          <w:spacing w:val="34"/>
          <w:sz w:val="22"/>
        </w:rPr>
        <w:t> </w:t>
      </w:r>
      <w:r>
        <w:rPr>
          <w:color w:val="231F1F"/>
          <w:spacing w:val="-5"/>
          <w:sz w:val="22"/>
        </w:rPr>
        <w:t>B12</w:t>
      </w:r>
    </w:p>
    <w:p>
      <w:pPr>
        <w:pStyle w:val="ListParagraph"/>
        <w:numPr>
          <w:ilvl w:val="2"/>
          <w:numId w:val="104"/>
        </w:numPr>
        <w:tabs>
          <w:tab w:pos="1072" w:val="left" w:leader="none"/>
        </w:tabs>
        <w:spacing w:line="240" w:lineRule="auto" w:before="141" w:after="0"/>
        <w:ind w:left="1072" w:right="0" w:hanging="336"/>
        <w:jc w:val="left"/>
        <w:rPr>
          <w:sz w:val="22"/>
        </w:rPr>
      </w:pPr>
      <w:r>
        <w:rPr>
          <w:color w:val="231F1F"/>
          <w:w w:val="110"/>
          <w:sz w:val="22"/>
        </w:rPr>
        <w:t>Deterioro</w:t>
      </w:r>
      <w:r>
        <w:rPr>
          <w:color w:val="231F1F"/>
          <w:spacing w:val="-6"/>
          <w:w w:val="110"/>
          <w:sz w:val="22"/>
        </w:rPr>
        <w:t> </w:t>
      </w:r>
      <w:r>
        <w:rPr>
          <w:color w:val="231F1F"/>
          <w:w w:val="110"/>
          <w:sz w:val="22"/>
        </w:rPr>
        <w:t>en</w:t>
      </w:r>
      <w:r>
        <w:rPr>
          <w:color w:val="231F1F"/>
          <w:spacing w:val="-4"/>
          <w:w w:val="110"/>
          <w:sz w:val="22"/>
        </w:rPr>
        <w:t> </w:t>
      </w:r>
      <w:r>
        <w:rPr>
          <w:color w:val="231F1F"/>
          <w:w w:val="110"/>
          <w:sz w:val="22"/>
        </w:rPr>
        <w:t>la</w:t>
      </w:r>
      <w:r>
        <w:rPr>
          <w:color w:val="231F1F"/>
          <w:spacing w:val="-4"/>
          <w:w w:val="110"/>
          <w:sz w:val="22"/>
        </w:rPr>
        <w:t> </w:t>
      </w:r>
      <w:r>
        <w:rPr>
          <w:color w:val="231F1F"/>
          <w:spacing w:val="-2"/>
          <w:w w:val="110"/>
          <w:sz w:val="22"/>
        </w:rPr>
        <w:t>oxigenación</w:t>
      </w:r>
    </w:p>
    <w:p>
      <w:pPr>
        <w:pStyle w:val="ListParagraph"/>
        <w:numPr>
          <w:ilvl w:val="2"/>
          <w:numId w:val="104"/>
        </w:numPr>
        <w:tabs>
          <w:tab w:pos="1072" w:val="left" w:leader="none"/>
        </w:tabs>
        <w:spacing w:line="240" w:lineRule="auto" w:before="141" w:after="0"/>
        <w:ind w:left="1072" w:right="0" w:hanging="336"/>
        <w:jc w:val="left"/>
        <w:rPr>
          <w:sz w:val="22"/>
        </w:rPr>
      </w:pPr>
      <w:r>
        <w:rPr>
          <w:color w:val="231F1F"/>
          <w:w w:val="105"/>
          <w:sz w:val="22"/>
        </w:rPr>
        <w:t>Hemodinámica</w:t>
      </w:r>
      <w:r>
        <w:rPr>
          <w:color w:val="231F1F"/>
          <w:spacing w:val="22"/>
          <w:w w:val="105"/>
          <w:sz w:val="22"/>
        </w:rPr>
        <w:t> </w:t>
      </w:r>
      <w:r>
        <w:rPr>
          <w:color w:val="231F1F"/>
          <w:spacing w:val="-2"/>
          <w:w w:val="105"/>
          <w:sz w:val="22"/>
        </w:rPr>
        <w:t>alterada</w:t>
      </w:r>
    </w:p>
    <w:p>
      <w:pPr>
        <w:pStyle w:val="ListParagraph"/>
        <w:numPr>
          <w:ilvl w:val="2"/>
          <w:numId w:val="104"/>
        </w:numPr>
        <w:tabs>
          <w:tab w:pos="1072" w:val="left" w:leader="none"/>
        </w:tabs>
        <w:spacing w:line="240" w:lineRule="auto" w:before="140" w:after="0"/>
        <w:ind w:left="1072" w:right="0" w:hanging="336"/>
        <w:jc w:val="left"/>
        <w:rPr>
          <w:sz w:val="22"/>
        </w:rPr>
      </w:pPr>
      <w:r>
        <w:rPr>
          <w:color w:val="231F1F"/>
          <w:sz w:val="22"/>
        </w:rPr>
        <w:t>Con</w:t>
      </w:r>
      <w:r>
        <w:rPr>
          <w:color w:val="231F1F"/>
          <w:spacing w:val="40"/>
          <w:sz w:val="22"/>
        </w:rPr>
        <w:t> </w:t>
      </w:r>
      <w:r>
        <w:rPr>
          <w:color w:val="231F1F"/>
          <w:sz w:val="22"/>
        </w:rPr>
        <w:t>compromiso</w:t>
      </w:r>
      <w:r>
        <w:rPr>
          <w:color w:val="231F1F"/>
          <w:spacing w:val="45"/>
          <w:sz w:val="22"/>
        </w:rPr>
        <w:t> </w:t>
      </w:r>
      <w:r>
        <w:rPr>
          <w:color w:val="231F1F"/>
          <w:spacing w:val="-2"/>
          <w:sz w:val="22"/>
        </w:rPr>
        <w:t>fetal</w:t>
      </w:r>
    </w:p>
    <w:p>
      <w:pPr>
        <w:pStyle w:val="ListParagraph"/>
        <w:numPr>
          <w:ilvl w:val="2"/>
          <w:numId w:val="104"/>
        </w:numPr>
        <w:tabs>
          <w:tab w:pos="1072" w:val="left" w:leader="none"/>
          <w:tab w:pos="1076" w:val="left" w:leader="none"/>
        </w:tabs>
        <w:spacing w:line="261" w:lineRule="auto" w:before="141" w:after="0"/>
        <w:ind w:left="1076" w:right="122" w:hanging="341"/>
        <w:jc w:val="both"/>
        <w:rPr>
          <w:sz w:val="22"/>
        </w:rPr>
      </w:pPr>
      <w:r>
        <w:rPr>
          <w:color w:val="231F1F"/>
          <w:sz w:val="22"/>
        </w:rPr>
        <w:t>Con contraindicaciones clínicas como Hipertensión intracraneal, distensión gastro- intestinal,</w:t>
      </w:r>
      <w:r>
        <w:rPr>
          <w:color w:val="231F1F"/>
          <w:spacing w:val="40"/>
          <w:sz w:val="22"/>
        </w:rPr>
        <w:t> </w:t>
      </w:r>
      <w:r>
        <w:rPr>
          <w:color w:val="231F1F"/>
          <w:sz w:val="22"/>
        </w:rPr>
        <w:t>neumotórax,</w:t>
      </w:r>
      <w:r>
        <w:rPr>
          <w:color w:val="231F1F"/>
          <w:spacing w:val="40"/>
          <w:sz w:val="22"/>
        </w:rPr>
        <w:t> </w:t>
      </w:r>
      <w:r>
        <w:rPr>
          <w:color w:val="231F1F"/>
          <w:sz w:val="22"/>
        </w:rPr>
        <w:t>bulla</w:t>
      </w:r>
      <w:r>
        <w:rPr>
          <w:color w:val="231F1F"/>
          <w:spacing w:val="40"/>
          <w:sz w:val="22"/>
        </w:rPr>
        <w:t> </w:t>
      </w:r>
      <w:r>
        <w:rPr>
          <w:color w:val="231F1F"/>
          <w:sz w:val="22"/>
        </w:rPr>
        <w:t>enfisematosa,</w:t>
      </w:r>
      <w:r>
        <w:rPr>
          <w:color w:val="231F1F"/>
          <w:spacing w:val="40"/>
          <w:sz w:val="22"/>
        </w:rPr>
        <w:t> </w:t>
      </w:r>
      <w:r>
        <w:rPr>
          <w:color w:val="231F1F"/>
          <w:sz w:val="22"/>
        </w:rPr>
        <w:t>falta</w:t>
      </w:r>
      <w:r>
        <w:rPr>
          <w:color w:val="231F1F"/>
          <w:spacing w:val="40"/>
          <w:sz w:val="22"/>
        </w:rPr>
        <w:t> </w:t>
      </w:r>
      <w:r>
        <w:rPr>
          <w:color w:val="231F1F"/>
          <w:sz w:val="22"/>
        </w:rPr>
        <w:t>de</w:t>
      </w:r>
      <w:r>
        <w:rPr>
          <w:color w:val="231F1F"/>
          <w:spacing w:val="40"/>
          <w:sz w:val="22"/>
        </w:rPr>
        <w:t> </w:t>
      </w:r>
      <w:r>
        <w:rPr>
          <w:color w:val="231F1F"/>
          <w:sz w:val="22"/>
        </w:rPr>
        <w:t>colaboración</w:t>
      </w:r>
      <w:r>
        <w:rPr>
          <w:color w:val="231F1F"/>
          <w:spacing w:val="40"/>
          <w:sz w:val="22"/>
        </w:rPr>
        <w:t> </w:t>
      </w:r>
      <w:r>
        <w:rPr>
          <w:color w:val="231F1F"/>
          <w:sz w:val="22"/>
        </w:rPr>
        <w:t>o</w:t>
      </w:r>
      <w:r>
        <w:rPr>
          <w:color w:val="231F1F"/>
          <w:spacing w:val="40"/>
          <w:sz w:val="22"/>
        </w:rPr>
        <w:t> </w:t>
      </w:r>
      <w:r>
        <w:rPr>
          <w:color w:val="231F1F"/>
          <w:sz w:val="22"/>
        </w:rPr>
        <w:t>entendimiento del empleo.</w:t>
      </w:r>
    </w:p>
    <w:p>
      <w:pPr>
        <w:pStyle w:val="BodyText"/>
        <w:spacing w:before="128"/>
      </w:pPr>
    </w:p>
    <w:p>
      <w:pPr>
        <w:pStyle w:val="ListParagraph"/>
        <w:numPr>
          <w:ilvl w:val="0"/>
          <w:numId w:val="104"/>
        </w:numPr>
        <w:tabs>
          <w:tab w:pos="601" w:val="left" w:leader="none"/>
        </w:tabs>
        <w:spacing w:line="240" w:lineRule="auto" w:before="1" w:after="0"/>
        <w:ind w:left="601" w:right="0" w:hanging="318"/>
        <w:jc w:val="left"/>
        <w:rPr>
          <w:rFonts w:ascii="Arial MT"/>
          <w:sz w:val="24"/>
        </w:rPr>
      </w:pPr>
      <w:r>
        <w:rPr>
          <w:rFonts w:ascii="Arial MT"/>
          <w:color w:val="231F1F"/>
          <w:spacing w:val="-2"/>
          <w:w w:val="105"/>
          <w:sz w:val="24"/>
        </w:rPr>
        <w:t>Materiales</w:t>
      </w:r>
    </w:p>
    <w:p>
      <w:pPr>
        <w:pStyle w:val="BodyText"/>
        <w:spacing w:before="204"/>
        <w:ind w:left="283"/>
        <w:rPr>
          <w:position w:val="7"/>
          <w:sz w:val="12"/>
        </w:rPr>
      </w:pPr>
      <w:r>
        <w:rPr>
          <w:color w:val="231F1F"/>
        </w:rPr>
        <w:t>Máquina</w:t>
      </w:r>
      <w:r>
        <w:rPr>
          <w:color w:val="231F1F"/>
          <w:spacing w:val="57"/>
        </w:rPr>
        <w:t> </w:t>
      </w:r>
      <w:r>
        <w:rPr>
          <w:color w:val="231F1F"/>
          <w:spacing w:val="-2"/>
        </w:rPr>
        <w:t>kalinox</w:t>
      </w:r>
      <w:r>
        <w:rPr>
          <w:color w:val="231F1F"/>
          <w:spacing w:val="-2"/>
          <w:position w:val="7"/>
          <w:sz w:val="12"/>
        </w:rPr>
        <w:t>®</w:t>
      </w:r>
    </w:p>
    <w:p>
      <w:pPr>
        <w:pStyle w:val="BodyText"/>
        <w:spacing w:after="0"/>
        <w:rPr>
          <w:position w:val="7"/>
          <w:sz w:val="12"/>
        </w:rPr>
        <w:sectPr>
          <w:pgSz w:w="11900" w:h="16840"/>
          <w:pgMar w:header="0" w:footer="622" w:top="1540" w:bottom="820" w:left="1417" w:right="1559"/>
        </w:sectPr>
      </w:pPr>
    </w:p>
    <w:p>
      <w:pPr>
        <w:pStyle w:val="ListParagraph"/>
        <w:numPr>
          <w:ilvl w:val="0"/>
          <w:numId w:val="104"/>
        </w:numPr>
        <w:tabs>
          <w:tab w:pos="666" w:val="left" w:leader="none"/>
        </w:tabs>
        <w:spacing w:line="240" w:lineRule="auto" w:before="82" w:after="0"/>
        <w:ind w:left="666" w:right="0" w:hanging="385"/>
        <w:jc w:val="left"/>
        <w:rPr>
          <w:rFonts w:ascii="Arial MT" w:hAnsi="Arial MT"/>
          <w:sz w:val="24"/>
        </w:rPr>
      </w:pPr>
      <w:r>
        <w:rPr>
          <w:rFonts w:ascii="Arial MT" w:hAnsi="Arial MT"/>
          <w:color w:val="231F1F"/>
          <w:sz w:val="24"/>
        </w:rPr>
        <w:t>Puesta</w:t>
      </w:r>
      <w:r>
        <w:rPr>
          <w:rFonts w:ascii="Arial MT" w:hAnsi="Arial MT"/>
          <w:color w:val="231F1F"/>
          <w:spacing w:val="-22"/>
          <w:sz w:val="24"/>
        </w:rPr>
        <w:t> </w:t>
      </w:r>
      <w:r>
        <w:rPr>
          <w:rFonts w:ascii="Arial MT" w:hAnsi="Arial MT"/>
          <w:color w:val="231F1F"/>
          <w:sz w:val="24"/>
        </w:rPr>
        <w:t>en</w:t>
      </w:r>
      <w:r>
        <w:rPr>
          <w:rFonts w:ascii="Arial MT" w:hAnsi="Arial MT"/>
          <w:color w:val="231F1F"/>
          <w:spacing w:val="-17"/>
          <w:sz w:val="24"/>
        </w:rPr>
        <w:t> </w:t>
      </w:r>
      <w:r>
        <w:rPr>
          <w:rFonts w:ascii="Arial MT" w:hAnsi="Arial MT"/>
          <w:color w:val="231F1F"/>
          <w:sz w:val="24"/>
        </w:rPr>
        <w:t>marcha</w:t>
      </w:r>
      <w:r>
        <w:rPr>
          <w:rFonts w:ascii="Arial MT" w:hAnsi="Arial MT"/>
          <w:color w:val="231F1F"/>
          <w:spacing w:val="-15"/>
          <w:sz w:val="24"/>
        </w:rPr>
        <w:t> </w:t>
      </w:r>
      <w:r>
        <w:rPr>
          <w:rFonts w:ascii="Arial MT" w:hAnsi="Arial MT"/>
          <w:color w:val="231F1F"/>
          <w:sz w:val="24"/>
        </w:rPr>
        <w:t>y</w:t>
      </w:r>
      <w:r>
        <w:rPr>
          <w:rFonts w:ascii="Arial MT" w:hAnsi="Arial MT"/>
          <w:color w:val="231F1F"/>
          <w:spacing w:val="-15"/>
          <w:sz w:val="24"/>
        </w:rPr>
        <w:t> </w:t>
      </w:r>
      <w:r>
        <w:rPr>
          <w:rFonts w:ascii="Arial MT" w:hAnsi="Arial MT"/>
          <w:color w:val="231F1F"/>
          <w:sz w:val="24"/>
        </w:rPr>
        <w:t>administración</w:t>
      </w:r>
      <w:r>
        <w:rPr>
          <w:rFonts w:ascii="Arial MT" w:hAnsi="Arial MT"/>
          <w:color w:val="231F1F"/>
          <w:spacing w:val="-15"/>
          <w:sz w:val="24"/>
        </w:rPr>
        <w:t> </w:t>
      </w:r>
      <w:r>
        <w:rPr>
          <w:rFonts w:ascii="Arial MT" w:hAnsi="Arial MT"/>
          <w:color w:val="231F1F"/>
          <w:sz w:val="24"/>
        </w:rPr>
        <w:t>de</w:t>
      </w:r>
      <w:r>
        <w:rPr>
          <w:rFonts w:ascii="Arial MT" w:hAnsi="Arial MT"/>
          <w:color w:val="231F1F"/>
          <w:spacing w:val="-16"/>
          <w:sz w:val="24"/>
        </w:rPr>
        <w:t> </w:t>
      </w:r>
      <w:r>
        <w:rPr>
          <w:rFonts w:ascii="Arial MT" w:hAnsi="Arial MT"/>
          <w:color w:val="231F1F"/>
          <w:sz w:val="24"/>
        </w:rPr>
        <w:t>óxido</w:t>
      </w:r>
      <w:r>
        <w:rPr>
          <w:rFonts w:ascii="Arial MT" w:hAnsi="Arial MT"/>
          <w:color w:val="231F1F"/>
          <w:spacing w:val="-17"/>
          <w:sz w:val="24"/>
        </w:rPr>
        <w:t> </w:t>
      </w:r>
      <w:r>
        <w:rPr>
          <w:rFonts w:ascii="Arial MT" w:hAnsi="Arial MT"/>
          <w:color w:val="231F1F"/>
          <w:sz w:val="24"/>
        </w:rPr>
        <w:t>nitroso</w:t>
      </w:r>
      <w:r>
        <w:rPr>
          <w:rFonts w:ascii="Arial MT" w:hAnsi="Arial MT"/>
          <w:color w:val="231F1F"/>
          <w:spacing w:val="-15"/>
          <w:sz w:val="24"/>
        </w:rPr>
        <w:t> </w:t>
      </w:r>
      <w:r>
        <w:rPr>
          <w:rFonts w:ascii="Arial MT" w:hAnsi="Arial MT"/>
          <w:color w:val="231F1F"/>
          <w:sz w:val="24"/>
        </w:rPr>
        <w:t>para</w:t>
      </w:r>
      <w:r>
        <w:rPr>
          <w:rFonts w:ascii="Arial MT" w:hAnsi="Arial MT"/>
          <w:color w:val="231F1F"/>
          <w:spacing w:val="-16"/>
          <w:sz w:val="24"/>
        </w:rPr>
        <w:t> </w:t>
      </w:r>
      <w:r>
        <w:rPr>
          <w:rFonts w:ascii="Arial MT" w:hAnsi="Arial MT"/>
          <w:color w:val="231F1F"/>
          <w:sz w:val="24"/>
        </w:rPr>
        <w:t>Mujeres</w:t>
      </w:r>
      <w:r>
        <w:rPr>
          <w:rFonts w:ascii="Arial MT" w:hAnsi="Arial MT"/>
          <w:color w:val="231F1F"/>
          <w:spacing w:val="-15"/>
          <w:sz w:val="24"/>
        </w:rPr>
        <w:t> </w:t>
      </w:r>
      <w:r>
        <w:rPr>
          <w:rFonts w:ascii="Arial MT" w:hAnsi="Arial MT"/>
          <w:color w:val="231F1F"/>
          <w:sz w:val="24"/>
        </w:rPr>
        <w:t>en</w:t>
      </w:r>
      <w:r>
        <w:rPr>
          <w:rFonts w:ascii="Arial MT" w:hAnsi="Arial MT"/>
          <w:color w:val="231F1F"/>
          <w:spacing w:val="-16"/>
          <w:sz w:val="24"/>
        </w:rPr>
        <w:t> </w:t>
      </w:r>
      <w:r>
        <w:rPr>
          <w:rFonts w:ascii="Arial MT" w:hAnsi="Arial MT"/>
          <w:color w:val="231F1F"/>
          <w:sz w:val="24"/>
        </w:rPr>
        <w:t>el</w:t>
      </w:r>
      <w:r>
        <w:rPr>
          <w:rFonts w:ascii="Arial MT" w:hAnsi="Arial MT"/>
          <w:color w:val="231F1F"/>
          <w:spacing w:val="-16"/>
          <w:sz w:val="24"/>
        </w:rPr>
        <w:t> </w:t>
      </w:r>
      <w:r>
        <w:rPr>
          <w:rFonts w:ascii="Arial MT" w:hAnsi="Arial MT"/>
          <w:color w:val="231F1F"/>
          <w:spacing w:val="-2"/>
          <w:sz w:val="24"/>
        </w:rPr>
        <w:t>parto</w:t>
      </w:r>
    </w:p>
    <w:p>
      <w:pPr>
        <w:pStyle w:val="Heading5"/>
        <w:numPr>
          <w:ilvl w:val="1"/>
          <w:numId w:val="104"/>
        </w:numPr>
        <w:tabs>
          <w:tab w:pos="626" w:val="left" w:leader="none"/>
        </w:tabs>
        <w:spacing w:line="240" w:lineRule="auto" w:before="180" w:after="0"/>
        <w:ind w:left="626" w:right="0" w:hanging="345"/>
        <w:jc w:val="left"/>
      </w:pPr>
      <w:r>
        <w:rPr>
          <w:color w:val="231F1F"/>
        </w:rPr>
        <w:t>Pre-evaluación</w:t>
      </w:r>
      <w:r>
        <w:rPr>
          <w:color w:val="231F1F"/>
          <w:spacing w:val="-13"/>
        </w:rPr>
        <w:t> </w:t>
      </w:r>
      <w:r>
        <w:rPr>
          <w:color w:val="231F1F"/>
        </w:rPr>
        <w:t>del</w:t>
      </w:r>
      <w:r>
        <w:rPr>
          <w:color w:val="231F1F"/>
          <w:spacing w:val="-10"/>
        </w:rPr>
        <w:t> </w:t>
      </w:r>
      <w:r>
        <w:rPr>
          <w:color w:val="231F1F"/>
          <w:spacing w:val="-2"/>
        </w:rPr>
        <w:t>tratamiento</w:t>
      </w:r>
    </w:p>
    <w:p>
      <w:pPr>
        <w:pStyle w:val="BodyText"/>
        <w:spacing w:line="247" w:lineRule="auto" w:before="214"/>
        <w:ind w:left="283" w:right="124"/>
        <w:jc w:val="both"/>
      </w:pPr>
      <w:r>
        <w:rPr>
          <w:color w:val="231F1F"/>
          <w:w w:val="105"/>
        </w:rPr>
        <w:t>Evaluación de la idoneidad del usuario (la madre y el feto) y la ausencia de contraindica- ciones. Signos vitales como la presión arterial, frecuencia cardíaca, saturación de oxígeno,</w:t>
      </w:r>
      <w:r>
        <w:rPr>
          <w:color w:val="231F1F"/>
          <w:spacing w:val="40"/>
          <w:w w:val="105"/>
        </w:rPr>
        <w:t> </w:t>
      </w:r>
      <w:r>
        <w:rPr>
          <w:color w:val="231F1F"/>
          <w:w w:val="105"/>
        </w:rPr>
        <w:t>y controlar la frecuencia cardíaca fetal.</w:t>
      </w:r>
    </w:p>
    <w:p>
      <w:pPr>
        <w:pStyle w:val="BodyText"/>
        <w:spacing w:before="83"/>
      </w:pPr>
    </w:p>
    <w:p>
      <w:pPr>
        <w:pStyle w:val="Heading5"/>
        <w:numPr>
          <w:ilvl w:val="1"/>
          <w:numId w:val="104"/>
        </w:numPr>
        <w:tabs>
          <w:tab w:pos="632" w:val="left" w:leader="none"/>
        </w:tabs>
        <w:spacing w:line="240" w:lineRule="auto" w:before="0" w:after="0"/>
        <w:ind w:left="632" w:right="0" w:hanging="349"/>
        <w:jc w:val="left"/>
      </w:pPr>
      <w:r>
        <w:rPr>
          <w:color w:val="231F1F"/>
        </w:rPr>
        <w:t>Puesta</w:t>
      </w:r>
      <w:r>
        <w:rPr>
          <w:color w:val="231F1F"/>
          <w:spacing w:val="-17"/>
        </w:rPr>
        <w:t> </w:t>
      </w:r>
      <w:r>
        <w:rPr>
          <w:color w:val="231F1F"/>
        </w:rPr>
        <w:t>en</w:t>
      </w:r>
      <w:r>
        <w:rPr>
          <w:color w:val="231F1F"/>
          <w:spacing w:val="-17"/>
        </w:rPr>
        <w:t> </w:t>
      </w:r>
      <w:r>
        <w:rPr>
          <w:color w:val="231F1F"/>
        </w:rPr>
        <w:t>Marcha</w:t>
      </w:r>
      <w:r>
        <w:rPr>
          <w:color w:val="231F1F"/>
          <w:spacing w:val="-16"/>
        </w:rPr>
        <w:t> </w:t>
      </w:r>
      <w:r>
        <w:rPr>
          <w:color w:val="231F1F"/>
        </w:rPr>
        <w:t>(si</w:t>
      </w:r>
      <w:r>
        <w:rPr>
          <w:color w:val="231F1F"/>
          <w:spacing w:val="-14"/>
        </w:rPr>
        <w:t> </w:t>
      </w:r>
      <w:r>
        <w:rPr>
          <w:color w:val="231F1F"/>
          <w:spacing w:val="-2"/>
        </w:rPr>
        <w:t>procede)</w:t>
      </w:r>
    </w:p>
    <w:p>
      <w:pPr>
        <w:pStyle w:val="BodyText"/>
        <w:spacing w:before="200"/>
        <w:ind w:left="283"/>
        <w:jc w:val="both"/>
      </w:pPr>
      <w:r>
        <w:rPr>
          <w:color w:val="231F1F"/>
        </w:rPr>
        <w:t>Garantizar</w:t>
      </w:r>
      <w:r>
        <w:rPr>
          <w:color w:val="231F1F"/>
          <w:spacing w:val="37"/>
        </w:rPr>
        <w:t> </w:t>
      </w:r>
      <w:r>
        <w:rPr>
          <w:color w:val="231F1F"/>
        </w:rPr>
        <w:t>que</w:t>
      </w:r>
      <w:r>
        <w:rPr>
          <w:color w:val="231F1F"/>
          <w:spacing w:val="39"/>
        </w:rPr>
        <w:t> </w:t>
      </w:r>
      <w:r>
        <w:rPr>
          <w:color w:val="231F1F"/>
        </w:rPr>
        <w:t>el</w:t>
      </w:r>
      <w:r>
        <w:rPr>
          <w:color w:val="231F1F"/>
          <w:spacing w:val="39"/>
        </w:rPr>
        <w:t> </w:t>
      </w:r>
      <w:r>
        <w:rPr>
          <w:color w:val="231F1F"/>
        </w:rPr>
        <w:t>equipo</w:t>
      </w:r>
      <w:r>
        <w:rPr>
          <w:color w:val="231F1F"/>
          <w:spacing w:val="39"/>
        </w:rPr>
        <w:t> </w:t>
      </w:r>
      <w:r>
        <w:rPr>
          <w:color w:val="231F1F"/>
        </w:rPr>
        <w:t>está</w:t>
      </w:r>
      <w:r>
        <w:rPr>
          <w:color w:val="231F1F"/>
          <w:spacing w:val="37"/>
        </w:rPr>
        <w:t> </w:t>
      </w:r>
      <w:r>
        <w:rPr>
          <w:color w:val="231F1F"/>
        </w:rPr>
        <w:t>conectado</w:t>
      </w:r>
      <w:r>
        <w:rPr>
          <w:color w:val="231F1F"/>
          <w:spacing w:val="39"/>
        </w:rPr>
        <w:t> </w:t>
      </w:r>
      <w:r>
        <w:rPr>
          <w:color w:val="231F1F"/>
        </w:rPr>
        <w:t>y</w:t>
      </w:r>
      <w:r>
        <w:rPr>
          <w:color w:val="231F1F"/>
          <w:spacing w:val="39"/>
        </w:rPr>
        <w:t> </w:t>
      </w:r>
      <w:r>
        <w:rPr>
          <w:color w:val="231F1F"/>
        </w:rPr>
        <w:t>que</w:t>
      </w:r>
      <w:r>
        <w:rPr>
          <w:color w:val="231F1F"/>
          <w:spacing w:val="41"/>
        </w:rPr>
        <w:t> </w:t>
      </w:r>
      <w:r>
        <w:rPr>
          <w:color w:val="231F1F"/>
        </w:rPr>
        <w:t>funciona</w:t>
      </w:r>
      <w:r>
        <w:rPr>
          <w:color w:val="231F1F"/>
          <w:spacing w:val="39"/>
        </w:rPr>
        <w:t> </w:t>
      </w:r>
      <w:r>
        <w:rPr>
          <w:color w:val="231F1F"/>
          <w:spacing w:val="-2"/>
        </w:rPr>
        <w:t>correctamente.</w:t>
      </w:r>
    </w:p>
    <w:p>
      <w:pPr>
        <w:pStyle w:val="BodyText"/>
        <w:spacing w:before="103"/>
      </w:pPr>
    </w:p>
    <w:p>
      <w:pPr>
        <w:pStyle w:val="Heading5"/>
        <w:numPr>
          <w:ilvl w:val="1"/>
          <w:numId w:val="104"/>
        </w:numPr>
        <w:tabs>
          <w:tab w:pos="641" w:val="left" w:leader="none"/>
        </w:tabs>
        <w:spacing w:line="240" w:lineRule="auto" w:before="0" w:after="0"/>
        <w:ind w:left="641" w:right="0" w:hanging="358"/>
        <w:jc w:val="left"/>
      </w:pPr>
      <w:r>
        <w:rPr>
          <w:color w:val="231F1F"/>
        </w:rPr>
        <w:t>Preparación</w:t>
      </w:r>
      <w:r>
        <w:rPr>
          <w:color w:val="231F1F"/>
          <w:spacing w:val="-11"/>
        </w:rPr>
        <w:t> </w:t>
      </w:r>
      <w:r>
        <w:rPr>
          <w:color w:val="231F1F"/>
        </w:rPr>
        <w:t>de</w:t>
      </w:r>
      <w:r>
        <w:rPr>
          <w:color w:val="231F1F"/>
          <w:spacing w:val="-9"/>
        </w:rPr>
        <w:t> </w:t>
      </w:r>
      <w:r>
        <w:rPr>
          <w:color w:val="231F1F"/>
        </w:rPr>
        <w:t>la</w:t>
      </w:r>
      <w:r>
        <w:rPr>
          <w:color w:val="231F1F"/>
          <w:spacing w:val="-10"/>
        </w:rPr>
        <w:t> </w:t>
      </w:r>
      <w:r>
        <w:rPr>
          <w:color w:val="231F1F"/>
          <w:spacing w:val="-4"/>
        </w:rPr>
        <w:t>mujer</w:t>
      </w:r>
    </w:p>
    <w:p>
      <w:pPr>
        <w:pStyle w:val="ListParagraph"/>
        <w:numPr>
          <w:ilvl w:val="2"/>
          <w:numId w:val="104"/>
        </w:numPr>
        <w:tabs>
          <w:tab w:pos="1072" w:val="left" w:leader="none"/>
          <w:tab w:pos="1076" w:val="left" w:leader="none"/>
        </w:tabs>
        <w:spacing w:line="244" w:lineRule="auto" w:before="219" w:after="0"/>
        <w:ind w:left="1076" w:right="124" w:hanging="341"/>
        <w:jc w:val="both"/>
        <w:rPr>
          <w:sz w:val="22"/>
        </w:rPr>
      </w:pPr>
      <w:r>
        <w:rPr>
          <w:color w:val="231F1F"/>
          <w:w w:val="105"/>
          <w:sz w:val="22"/>
        </w:rPr>
        <w:t>Informar a la mujer de su efecto analgésico moderado y posibles efectos secunda- rios:</w:t>
      </w:r>
      <w:r>
        <w:rPr>
          <w:color w:val="231F1F"/>
          <w:spacing w:val="40"/>
          <w:w w:val="105"/>
          <w:sz w:val="22"/>
        </w:rPr>
        <w:t> </w:t>
      </w:r>
      <w:r>
        <w:rPr>
          <w:color w:val="231F1F"/>
          <w:w w:val="105"/>
          <w:sz w:val="22"/>
        </w:rPr>
        <w:t>náuseas,</w:t>
      </w:r>
      <w:r>
        <w:rPr>
          <w:color w:val="231F1F"/>
          <w:spacing w:val="40"/>
          <w:w w:val="105"/>
          <w:sz w:val="22"/>
        </w:rPr>
        <w:t> </w:t>
      </w:r>
      <w:r>
        <w:rPr>
          <w:color w:val="231F1F"/>
          <w:w w:val="105"/>
          <w:sz w:val="22"/>
        </w:rPr>
        <w:t>vómitos,</w:t>
      </w:r>
      <w:r>
        <w:rPr>
          <w:color w:val="231F1F"/>
          <w:spacing w:val="40"/>
          <w:w w:val="105"/>
          <w:sz w:val="22"/>
        </w:rPr>
        <w:t> </w:t>
      </w:r>
      <w:r>
        <w:rPr>
          <w:color w:val="231F1F"/>
          <w:w w:val="105"/>
          <w:sz w:val="22"/>
        </w:rPr>
        <w:t>mareos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alteraciones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recuerdo.</w:t>
      </w:r>
    </w:p>
    <w:p>
      <w:pPr>
        <w:pStyle w:val="ListParagraph"/>
        <w:numPr>
          <w:ilvl w:val="2"/>
          <w:numId w:val="104"/>
        </w:numPr>
        <w:tabs>
          <w:tab w:pos="1072" w:val="left" w:leader="none"/>
          <w:tab w:pos="1076" w:val="left" w:leader="none"/>
        </w:tabs>
        <w:spacing w:line="247" w:lineRule="auto" w:before="161" w:after="0"/>
        <w:ind w:left="1076" w:right="120" w:hanging="341"/>
        <w:jc w:val="both"/>
        <w:rPr>
          <w:sz w:val="22"/>
        </w:rPr>
      </w:pPr>
      <w:r>
        <w:rPr>
          <w:color w:val="231F1F"/>
          <w:spacing w:val="-2"/>
          <w:w w:val="110"/>
          <w:sz w:val="22"/>
        </w:rPr>
        <w:t>Instruir</w:t>
      </w:r>
      <w:r>
        <w:rPr>
          <w:color w:val="231F1F"/>
          <w:spacing w:val="-6"/>
          <w:w w:val="110"/>
          <w:sz w:val="22"/>
        </w:rPr>
        <w:t> </w:t>
      </w:r>
      <w:r>
        <w:rPr>
          <w:color w:val="231F1F"/>
          <w:spacing w:val="-2"/>
          <w:w w:val="110"/>
          <w:sz w:val="22"/>
        </w:rPr>
        <w:t>a</w:t>
      </w:r>
      <w:r>
        <w:rPr>
          <w:color w:val="231F1F"/>
          <w:spacing w:val="-6"/>
          <w:w w:val="110"/>
          <w:sz w:val="22"/>
        </w:rPr>
        <w:t> </w:t>
      </w:r>
      <w:r>
        <w:rPr>
          <w:color w:val="231F1F"/>
          <w:spacing w:val="-2"/>
          <w:w w:val="110"/>
          <w:sz w:val="22"/>
        </w:rPr>
        <w:t>la</w:t>
      </w:r>
      <w:r>
        <w:rPr>
          <w:color w:val="231F1F"/>
          <w:spacing w:val="-6"/>
          <w:w w:val="110"/>
          <w:sz w:val="22"/>
        </w:rPr>
        <w:t> </w:t>
      </w:r>
      <w:r>
        <w:rPr>
          <w:color w:val="231F1F"/>
          <w:spacing w:val="-2"/>
          <w:w w:val="110"/>
          <w:sz w:val="22"/>
        </w:rPr>
        <w:t>mujer</w:t>
      </w:r>
      <w:r>
        <w:rPr>
          <w:color w:val="231F1F"/>
          <w:spacing w:val="-6"/>
          <w:w w:val="110"/>
          <w:sz w:val="22"/>
        </w:rPr>
        <w:t> </w:t>
      </w:r>
      <w:r>
        <w:rPr>
          <w:color w:val="231F1F"/>
          <w:spacing w:val="-2"/>
          <w:w w:val="110"/>
          <w:sz w:val="22"/>
        </w:rPr>
        <w:t>en</w:t>
      </w:r>
      <w:r>
        <w:rPr>
          <w:color w:val="231F1F"/>
          <w:spacing w:val="-6"/>
          <w:w w:val="110"/>
          <w:sz w:val="22"/>
        </w:rPr>
        <w:t> </w:t>
      </w:r>
      <w:r>
        <w:rPr>
          <w:color w:val="231F1F"/>
          <w:spacing w:val="-2"/>
          <w:w w:val="110"/>
          <w:sz w:val="22"/>
        </w:rPr>
        <w:t>la</w:t>
      </w:r>
      <w:r>
        <w:rPr>
          <w:color w:val="231F1F"/>
          <w:spacing w:val="-6"/>
          <w:w w:val="110"/>
          <w:sz w:val="22"/>
        </w:rPr>
        <w:t> </w:t>
      </w:r>
      <w:r>
        <w:rPr>
          <w:color w:val="231F1F"/>
          <w:spacing w:val="-2"/>
          <w:w w:val="110"/>
          <w:sz w:val="22"/>
        </w:rPr>
        <w:t>auto-administración:</w:t>
      </w:r>
      <w:r>
        <w:rPr>
          <w:color w:val="231F1F"/>
          <w:spacing w:val="-7"/>
          <w:w w:val="110"/>
          <w:sz w:val="22"/>
        </w:rPr>
        <w:t> </w:t>
      </w:r>
      <w:r>
        <w:rPr>
          <w:color w:val="231F1F"/>
          <w:spacing w:val="-2"/>
          <w:w w:val="110"/>
          <w:sz w:val="22"/>
        </w:rPr>
        <w:t>cómo</w:t>
      </w:r>
      <w:r>
        <w:rPr>
          <w:color w:val="231F1F"/>
          <w:spacing w:val="-6"/>
          <w:w w:val="110"/>
          <w:sz w:val="22"/>
        </w:rPr>
        <w:t> </w:t>
      </w:r>
      <w:r>
        <w:rPr>
          <w:color w:val="231F1F"/>
          <w:spacing w:val="-2"/>
          <w:w w:val="110"/>
          <w:sz w:val="22"/>
        </w:rPr>
        <w:t>colocar</w:t>
      </w:r>
      <w:r>
        <w:rPr>
          <w:color w:val="231F1F"/>
          <w:spacing w:val="-6"/>
          <w:w w:val="110"/>
          <w:sz w:val="22"/>
        </w:rPr>
        <w:t> </w:t>
      </w:r>
      <w:r>
        <w:rPr>
          <w:color w:val="231F1F"/>
          <w:spacing w:val="-2"/>
          <w:w w:val="110"/>
          <w:sz w:val="22"/>
        </w:rPr>
        <w:t>correctamente</w:t>
      </w:r>
      <w:r>
        <w:rPr>
          <w:color w:val="231F1F"/>
          <w:spacing w:val="-6"/>
          <w:w w:val="110"/>
          <w:sz w:val="22"/>
        </w:rPr>
        <w:t> </w:t>
      </w:r>
      <w:r>
        <w:rPr>
          <w:color w:val="231F1F"/>
          <w:spacing w:val="-2"/>
          <w:w w:val="110"/>
          <w:sz w:val="22"/>
        </w:rPr>
        <w:t>la</w:t>
      </w:r>
      <w:r>
        <w:rPr>
          <w:color w:val="231F1F"/>
          <w:spacing w:val="-6"/>
          <w:w w:val="110"/>
          <w:sz w:val="22"/>
        </w:rPr>
        <w:t> </w:t>
      </w:r>
      <w:r>
        <w:rPr>
          <w:color w:val="231F1F"/>
          <w:spacing w:val="-2"/>
          <w:w w:val="110"/>
          <w:sz w:val="22"/>
        </w:rPr>
        <w:t>más- </w:t>
      </w:r>
      <w:r>
        <w:rPr>
          <w:color w:val="231F1F"/>
          <w:w w:val="110"/>
          <w:sz w:val="22"/>
        </w:rPr>
        <w:t>cara</w:t>
      </w:r>
      <w:r>
        <w:rPr>
          <w:color w:val="231F1F"/>
          <w:spacing w:val="-6"/>
          <w:w w:val="110"/>
          <w:sz w:val="22"/>
        </w:rPr>
        <w:t> </w:t>
      </w:r>
      <w:r>
        <w:rPr>
          <w:color w:val="231F1F"/>
          <w:w w:val="110"/>
          <w:sz w:val="22"/>
        </w:rPr>
        <w:t>para</w:t>
      </w:r>
      <w:r>
        <w:rPr>
          <w:color w:val="231F1F"/>
          <w:spacing w:val="-6"/>
          <w:w w:val="110"/>
          <w:sz w:val="22"/>
        </w:rPr>
        <w:t> </w:t>
      </w:r>
      <w:r>
        <w:rPr>
          <w:color w:val="231F1F"/>
          <w:w w:val="110"/>
          <w:sz w:val="22"/>
        </w:rPr>
        <w:t>crear</w:t>
      </w:r>
      <w:r>
        <w:rPr>
          <w:color w:val="231F1F"/>
          <w:spacing w:val="-6"/>
          <w:w w:val="110"/>
          <w:sz w:val="22"/>
        </w:rPr>
        <w:t> </w:t>
      </w:r>
      <w:r>
        <w:rPr>
          <w:color w:val="231F1F"/>
          <w:w w:val="110"/>
          <w:sz w:val="22"/>
        </w:rPr>
        <w:t>un</w:t>
      </w:r>
      <w:r>
        <w:rPr>
          <w:color w:val="231F1F"/>
          <w:spacing w:val="-6"/>
          <w:w w:val="110"/>
          <w:sz w:val="22"/>
        </w:rPr>
        <w:t> </w:t>
      </w:r>
      <w:r>
        <w:rPr>
          <w:color w:val="231F1F"/>
          <w:w w:val="110"/>
          <w:sz w:val="22"/>
        </w:rPr>
        <w:t>cierre</w:t>
      </w:r>
      <w:r>
        <w:rPr>
          <w:color w:val="231F1F"/>
          <w:spacing w:val="-6"/>
          <w:w w:val="110"/>
          <w:sz w:val="22"/>
        </w:rPr>
        <w:t> </w:t>
      </w:r>
      <w:r>
        <w:rPr>
          <w:color w:val="231F1F"/>
          <w:w w:val="110"/>
          <w:sz w:val="22"/>
        </w:rPr>
        <w:t>hermético</w:t>
      </w:r>
      <w:r>
        <w:rPr>
          <w:color w:val="231F1F"/>
          <w:spacing w:val="-6"/>
          <w:w w:val="110"/>
          <w:sz w:val="22"/>
        </w:rPr>
        <w:t> </w:t>
      </w:r>
      <w:r>
        <w:rPr>
          <w:color w:val="231F1F"/>
          <w:w w:val="110"/>
          <w:sz w:val="22"/>
        </w:rPr>
        <w:t>o</w:t>
      </w:r>
      <w:r>
        <w:rPr>
          <w:color w:val="231F1F"/>
          <w:spacing w:val="-6"/>
          <w:w w:val="110"/>
          <w:sz w:val="22"/>
        </w:rPr>
        <w:t> </w:t>
      </w:r>
      <w:r>
        <w:rPr>
          <w:color w:val="231F1F"/>
          <w:w w:val="110"/>
          <w:sz w:val="22"/>
        </w:rPr>
        <w:t>la</w:t>
      </w:r>
      <w:r>
        <w:rPr>
          <w:color w:val="231F1F"/>
          <w:spacing w:val="-6"/>
          <w:w w:val="110"/>
          <w:sz w:val="22"/>
        </w:rPr>
        <w:t> </w:t>
      </w:r>
      <w:r>
        <w:rPr>
          <w:color w:val="231F1F"/>
          <w:w w:val="110"/>
          <w:sz w:val="22"/>
        </w:rPr>
        <w:t>boquilla</w:t>
      </w:r>
      <w:r>
        <w:rPr>
          <w:color w:val="231F1F"/>
          <w:spacing w:val="-6"/>
          <w:w w:val="110"/>
          <w:sz w:val="22"/>
        </w:rPr>
        <w:t> </w:t>
      </w:r>
      <w:r>
        <w:rPr>
          <w:color w:val="231F1F"/>
          <w:w w:val="110"/>
          <w:sz w:val="22"/>
        </w:rPr>
        <w:t>y</w:t>
      </w:r>
      <w:r>
        <w:rPr>
          <w:color w:val="231F1F"/>
          <w:spacing w:val="-6"/>
          <w:w w:val="110"/>
          <w:sz w:val="22"/>
        </w:rPr>
        <w:t> </w:t>
      </w:r>
      <w:r>
        <w:rPr>
          <w:color w:val="231F1F"/>
          <w:w w:val="110"/>
          <w:sz w:val="22"/>
        </w:rPr>
        <w:t>la</w:t>
      </w:r>
      <w:r>
        <w:rPr>
          <w:color w:val="231F1F"/>
          <w:spacing w:val="-6"/>
          <w:w w:val="110"/>
          <w:sz w:val="22"/>
        </w:rPr>
        <w:t> </w:t>
      </w:r>
      <w:r>
        <w:rPr>
          <w:color w:val="231F1F"/>
          <w:w w:val="110"/>
          <w:sz w:val="22"/>
        </w:rPr>
        <w:t>frecuencia</w:t>
      </w:r>
      <w:r>
        <w:rPr>
          <w:color w:val="231F1F"/>
          <w:spacing w:val="-6"/>
          <w:w w:val="110"/>
          <w:sz w:val="22"/>
        </w:rPr>
        <w:t> </w:t>
      </w:r>
      <w:r>
        <w:rPr>
          <w:color w:val="231F1F"/>
          <w:w w:val="110"/>
          <w:sz w:val="22"/>
        </w:rPr>
        <w:t>respiratoria</w:t>
      </w:r>
      <w:r>
        <w:rPr>
          <w:color w:val="231F1F"/>
          <w:spacing w:val="-5"/>
          <w:w w:val="110"/>
          <w:sz w:val="22"/>
        </w:rPr>
        <w:t> </w:t>
      </w:r>
      <w:r>
        <w:rPr>
          <w:color w:val="231F1F"/>
          <w:w w:val="110"/>
          <w:sz w:val="22"/>
        </w:rPr>
        <w:t>para lograr un efecto analgésico máximo.</w:t>
      </w:r>
    </w:p>
    <w:p>
      <w:pPr>
        <w:pStyle w:val="BodyText"/>
        <w:spacing w:before="20"/>
      </w:pPr>
    </w:p>
    <w:p>
      <w:pPr>
        <w:pStyle w:val="Heading5"/>
        <w:numPr>
          <w:ilvl w:val="1"/>
          <w:numId w:val="104"/>
        </w:numPr>
        <w:tabs>
          <w:tab w:pos="637" w:val="left" w:leader="none"/>
        </w:tabs>
        <w:spacing w:line="240" w:lineRule="auto" w:before="0" w:after="0"/>
        <w:ind w:left="637" w:right="0" w:hanging="354"/>
        <w:jc w:val="left"/>
      </w:pPr>
      <w:r>
        <w:rPr>
          <w:color w:val="231F1F"/>
          <w:spacing w:val="-2"/>
        </w:rPr>
        <w:t>Procedimiento</w:t>
      </w:r>
    </w:p>
    <w:p>
      <w:pPr>
        <w:pStyle w:val="BodyText"/>
        <w:spacing w:line="244" w:lineRule="auto" w:before="219"/>
        <w:ind w:left="283" w:right="119"/>
        <w:jc w:val="both"/>
      </w:pPr>
      <w:r>
        <w:rPr>
          <w:color w:val="231F1F"/>
          <w:w w:val="105"/>
        </w:rPr>
        <w:t>La mujer sujeta la boquilla en la boca o mantiene la máscara sobre la nariz y la boca crean- do</w:t>
      </w:r>
      <w:r>
        <w:rPr>
          <w:color w:val="231F1F"/>
          <w:w w:val="105"/>
        </w:rPr>
        <w:t> un</w:t>
      </w:r>
      <w:r>
        <w:rPr>
          <w:color w:val="231F1F"/>
          <w:w w:val="105"/>
        </w:rPr>
        <w:t> cierre</w:t>
      </w:r>
      <w:r>
        <w:rPr>
          <w:color w:val="231F1F"/>
          <w:w w:val="105"/>
        </w:rPr>
        <w:t> suficientemente</w:t>
      </w:r>
      <w:r>
        <w:rPr>
          <w:color w:val="231F1F"/>
          <w:w w:val="105"/>
        </w:rPr>
        <w:t> hermético</w:t>
      </w:r>
      <w:r>
        <w:rPr>
          <w:color w:val="231F1F"/>
          <w:w w:val="105"/>
        </w:rPr>
        <w:t> como</w:t>
      </w:r>
      <w:r>
        <w:rPr>
          <w:color w:val="231F1F"/>
          <w:w w:val="105"/>
        </w:rPr>
        <w:t> para</w:t>
      </w:r>
      <w:r>
        <w:rPr>
          <w:color w:val="231F1F"/>
          <w:w w:val="105"/>
        </w:rPr>
        <w:t> activar</w:t>
      </w:r>
      <w:r>
        <w:rPr>
          <w:color w:val="231F1F"/>
          <w:w w:val="105"/>
        </w:rPr>
        <w:t> una</w:t>
      </w:r>
      <w:r>
        <w:rPr>
          <w:color w:val="231F1F"/>
          <w:w w:val="105"/>
        </w:rPr>
        <w:t> segunda</w:t>
      </w:r>
      <w:r>
        <w:rPr>
          <w:color w:val="231F1F"/>
          <w:w w:val="105"/>
        </w:rPr>
        <w:t> etapa</w:t>
      </w:r>
      <w:r>
        <w:rPr>
          <w:color w:val="231F1F"/>
          <w:w w:val="105"/>
        </w:rPr>
        <w:t> de</w:t>
      </w:r>
      <w:r>
        <w:rPr>
          <w:color w:val="231F1F"/>
          <w:w w:val="105"/>
        </w:rPr>
        <w:t> apertura</w:t>
      </w:r>
      <w:r>
        <w:rPr>
          <w:color w:val="231F1F"/>
          <w:spacing w:val="80"/>
          <w:w w:val="105"/>
        </w:rPr>
        <w:t> </w:t>
      </w:r>
      <w:r>
        <w:rPr>
          <w:color w:val="231F1F"/>
          <w:w w:val="105"/>
        </w:rPr>
        <w:t>del</w:t>
      </w:r>
      <w:r>
        <w:rPr>
          <w:color w:val="231F1F"/>
          <w:spacing w:val="40"/>
          <w:w w:val="105"/>
        </w:rPr>
        <w:t> </w:t>
      </w:r>
      <w:r>
        <w:rPr>
          <w:color w:val="231F1F"/>
          <w:w w:val="105"/>
        </w:rPr>
        <w:t>regulador</w:t>
      </w:r>
      <w:r>
        <w:rPr>
          <w:color w:val="231F1F"/>
          <w:spacing w:val="40"/>
          <w:w w:val="105"/>
        </w:rPr>
        <w:t> </w:t>
      </w:r>
      <w:r>
        <w:rPr>
          <w:color w:val="231F1F"/>
          <w:w w:val="105"/>
        </w:rPr>
        <w:t>de</w:t>
      </w:r>
      <w:r>
        <w:rPr>
          <w:color w:val="231F1F"/>
          <w:spacing w:val="40"/>
          <w:w w:val="105"/>
        </w:rPr>
        <w:t> </w:t>
      </w:r>
      <w:r>
        <w:rPr>
          <w:color w:val="231F1F"/>
          <w:w w:val="105"/>
        </w:rPr>
        <w:t>flujo</w:t>
      </w:r>
      <w:r>
        <w:rPr>
          <w:color w:val="231F1F"/>
          <w:spacing w:val="40"/>
          <w:w w:val="105"/>
        </w:rPr>
        <w:t> </w:t>
      </w:r>
      <w:r>
        <w:rPr>
          <w:color w:val="231F1F"/>
          <w:w w:val="105"/>
        </w:rPr>
        <w:t>de</w:t>
      </w:r>
      <w:r>
        <w:rPr>
          <w:color w:val="231F1F"/>
          <w:spacing w:val="40"/>
          <w:w w:val="105"/>
        </w:rPr>
        <w:t> </w:t>
      </w:r>
      <w:r>
        <w:rPr>
          <w:color w:val="231F1F"/>
          <w:w w:val="105"/>
        </w:rPr>
        <w:t>óxido</w:t>
      </w:r>
      <w:r>
        <w:rPr>
          <w:color w:val="231F1F"/>
          <w:spacing w:val="40"/>
          <w:w w:val="105"/>
        </w:rPr>
        <w:t> </w:t>
      </w:r>
      <w:r>
        <w:rPr>
          <w:color w:val="231F1F"/>
          <w:w w:val="105"/>
        </w:rPr>
        <w:t>nitroso</w:t>
      </w:r>
      <w:r>
        <w:rPr>
          <w:color w:val="231F1F"/>
          <w:spacing w:val="40"/>
          <w:w w:val="105"/>
        </w:rPr>
        <w:t> </w:t>
      </w:r>
      <w:r>
        <w:rPr>
          <w:color w:val="231F1F"/>
          <w:w w:val="105"/>
        </w:rPr>
        <w:t>(50%)</w:t>
      </w:r>
      <w:r>
        <w:rPr>
          <w:color w:val="231F1F"/>
          <w:spacing w:val="40"/>
          <w:w w:val="105"/>
        </w:rPr>
        <w:t> </w:t>
      </w:r>
      <w:r>
        <w:rPr>
          <w:color w:val="231F1F"/>
          <w:w w:val="105"/>
        </w:rPr>
        <w:t>en</w:t>
      </w:r>
      <w:r>
        <w:rPr>
          <w:color w:val="231F1F"/>
          <w:spacing w:val="40"/>
          <w:w w:val="105"/>
        </w:rPr>
        <w:t> </w:t>
      </w:r>
      <w:r>
        <w:rPr>
          <w:color w:val="231F1F"/>
          <w:w w:val="105"/>
        </w:rPr>
        <w:t>oxígeno</w:t>
      </w:r>
      <w:r>
        <w:rPr>
          <w:color w:val="231F1F"/>
          <w:spacing w:val="40"/>
          <w:w w:val="105"/>
        </w:rPr>
        <w:t> </w:t>
      </w:r>
      <w:r>
        <w:rPr>
          <w:color w:val="231F1F"/>
          <w:w w:val="105"/>
        </w:rPr>
        <w:t>(50%).</w:t>
      </w:r>
    </w:p>
    <w:p>
      <w:pPr>
        <w:pStyle w:val="BodyText"/>
        <w:spacing w:line="249" w:lineRule="auto" w:before="148"/>
        <w:ind w:left="283" w:right="123" w:firstLine="453"/>
        <w:jc w:val="both"/>
      </w:pPr>
      <w:r>
        <w:rPr>
          <w:color w:val="231F1F"/>
          <w:w w:val="105"/>
        </w:rPr>
        <w:t>El</w:t>
      </w:r>
      <w:r>
        <w:rPr>
          <w:color w:val="231F1F"/>
          <w:spacing w:val="18"/>
          <w:w w:val="105"/>
        </w:rPr>
        <w:t> </w:t>
      </w:r>
      <w:r>
        <w:rPr>
          <w:color w:val="231F1F"/>
          <w:w w:val="105"/>
        </w:rPr>
        <w:t>profesional que</w:t>
      </w:r>
      <w:r>
        <w:rPr>
          <w:color w:val="231F1F"/>
          <w:spacing w:val="17"/>
          <w:w w:val="105"/>
        </w:rPr>
        <w:t> </w:t>
      </w:r>
      <w:r>
        <w:rPr>
          <w:color w:val="231F1F"/>
          <w:w w:val="105"/>
        </w:rPr>
        <w:t>este</w:t>
      </w:r>
      <w:r>
        <w:rPr>
          <w:color w:val="231F1F"/>
          <w:spacing w:val="18"/>
          <w:w w:val="105"/>
        </w:rPr>
        <w:t> </w:t>
      </w:r>
      <w:r>
        <w:rPr>
          <w:color w:val="231F1F"/>
          <w:w w:val="105"/>
        </w:rPr>
        <w:t>a</w:t>
      </w:r>
      <w:r>
        <w:rPr>
          <w:color w:val="231F1F"/>
          <w:spacing w:val="18"/>
          <w:w w:val="105"/>
        </w:rPr>
        <w:t> </w:t>
      </w:r>
      <w:r>
        <w:rPr>
          <w:color w:val="231F1F"/>
          <w:w w:val="105"/>
        </w:rPr>
        <w:t>cargo</w:t>
      </w:r>
      <w:r>
        <w:rPr>
          <w:color w:val="231F1F"/>
          <w:spacing w:val="18"/>
          <w:w w:val="105"/>
        </w:rPr>
        <w:t> </w:t>
      </w:r>
      <w:r>
        <w:rPr>
          <w:color w:val="231F1F"/>
          <w:w w:val="105"/>
        </w:rPr>
        <w:t>de</w:t>
      </w:r>
      <w:r>
        <w:rPr>
          <w:color w:val="231F1F"/>
          <w:spacing w:val="18"/>
          <w:w w:val="105"/>
        </w:rPr>
        <w:t> </w:t>
      </w:r>
      <w:r>
        <w:rPr>
          <w:color w:val="231F1F"/>
          <w:w w:val="105"/>
        </w:rPr>
        <w:t>la</w:t>
      </w:r>
      <w:r>
        <w:rPr>
          <w:color w:val="231F1F"/>
          <w:spacing w:val="18"/>
          <w:w w:val="105"/>
        </w:rPr>
        <w:t> </w:t>
      </w:r>
      <w:r>
        <w:rPr>
          <w:color w:val="231F1F"/>
          <w:w w:val="105"/>
        </w:rPr>
        <w:t>atención</w:t>
      </w:r>
      <w:r>
        <w:rPr>
          <w:color w:val="231F1F"/>
          <w:spacing w:val="18"/>
          <w:w w:val="105"/>
        </w:rPr>
        <w:t> </w:t>
      </w:r>
      <w:r>
        <w:rPr>
          <w:color w:val="231F1F"/>
          <w:w w:val="105"/>
        </w:rPr>
        <w:t>será</w:t>
      </w:r>
      <w:r>
        <w:rPr>
          <w:color w:val="231F1F"/>
          <w:spacing w:val="17"/>
          <w:w w:val="105"/>
        </w:rPr>
        <w:t> </w:t>
      </w:r>
      <w:r>
        <w:rPr>
          <w:color w:val="231F1F"/>
          <w:w w:val="105"/>
        </w:rPr>
        <w:t>instruido</w:t>
      </w:r>
      <w:r>
        <w:rPr>
          <w:color w:val="231F1F"/>
          <w:spacing w:val="18"/>
          <w:w w:val="105"/>
        </w:rPr>
        <w:t> </w:t>
      </w:r>
      <w:r>
        <w:rPr>
          <w:color w:val="231F1F"/>
          <w:w w:val="105"/>
        </w:rPr>
        <w:t>y</w:t>
      </w:r>
      <w:r>
        <w:rPr>
          <w:color w:val="231F1F"/>
          <w:spacing w:val="18"/>
          <w:w w:val="105"/>
        </w:rPr>
        <w:t> </w:t>
      </w:r>
      <w:r>
        <w:rPr>
          <w:color w:val="231F1F"/>
          <w:w w:val="105"/>
        </w:rPr>
        <w:t>confirmará</w:t>
      </w:r>
      <w:r>
        <w:rPr>
          <w:color w:val="231F1F"/>
          <w:spacing w:val="18"/>
          <w:w w:val="105"/>
        </w:rPr>
        <w:t> </w:t>
      </w:r>
      <w:r>
        <w:rPr>
          <w:color w:val="231F1F"/>
          <w:w w:val="105"/>
        </w:rPr>
        <w:t>por</w:t>
      </w:r>
      <w:r>
        <w:rPr>
          <w:color w:val="231F1F"/>
          <w:spacing w:val="18"/>
          <w:w w:val="105"/>
        </w:rPr>
        <w:t> </w:t>
      </w:r>
      <w:r>
        <w:rPr>
          <w:color w:val="231F1F"/>
          <w:w w:val="105"/>
        </w:rPr>
        <w:t>escrito la orden de que no se permitirá la administración de opioides adicionales sin la supervisión directa</w:t>
      </w:r>
      <w:r>
        <w:rPr>
          <w:color w:val="231F1F"/>
          <w:w w:val="105"/>
        </w:rPr>
        <w:t> del</w:t>
      </w:r>
      <w:r>
        <w:rPr>
          <w:color w:val="231F1F"/>
          <w:w w:val="105"/>
        </w:rPr>
        <w:t> profesional</w:t>
      </w:r>
      <w:r>
        <w:rPr>
          <w:color w:val="231F1F"/>
          <w:w w:val="105"/>
        </w:rPr>
        <w:t> de</w:t>
      </w:r>
      <w:r>
        <w:rPr>
          <w:color w:val="231F1F"/>
          <w:w w:val="105"/>
        </w:rPr>
        <w:t> anestesia</w:t>
      </w:r>
      <w:r>
        <w:rPr>
          <w:color w:val="231F1F"/>
          <w:w w:val="105"/>
        </w:rPr>
        <w:t> o</w:t>
      </w:r>
      <w:r>
        <w:rPr>
          <w:color w:val="231F1F"/>
          <w:w w:val="105"/>
        </w:rPr>
        <w:t> personal</w:t>
      </w:r>
      <w:r>
        <w:rPr>
          <w:color w:val="231F1F"/>
          <w:w w:val="105"/>
        </w:rPr>
        <w:t> facultativo</w:t>
      </w:r>
      <w:r>
        <w:rPr>
          <w:color w:val="231F1F"/>
          <w:w w:val="105"/>
        </w:rPr>
        <w:t> mientras</w:t>
      </w:r>
      <w:r>
        <w:rPr>
          <w:color w:val="231F1F"/>
          <w:w w:val="105"/>
        </w:rPr>
        <w:t> la</w:t>
      </w:r>
      <w:r>
        <w:rPr>
          <w:color w:val="231F1F"/>
          <w:w w:val="105"/>
        </w:rPr>
        <w:t> mujer</w:t>
      </w:r>
      <w:r>
        <w:rPr>
          <w:color w:val="231F1F"/>
          <w:w w:val="105"/>
        </w:rPr>
        <w:t> continúa</w:t>
      </w:r>
      <w:r>
        <w:rPr>
          <w:color w:val="231F1F"/>
          <w:w w:val="105"/>
        </w:rPr>
        <w:t> uti- lizando la analgesia con óxido nitroso.</w:t>
      </w:r>
    </w:p>
    <w:p>
      <w:pPr>
        <w:pStyle w:val="BodyText"/>
        <w:spacing w:before="81"/>
      </w:pPr>
    </w:p>
    <w:p>
      <w:pPr>
        <w:pStyle w:val="Heading5"/>
        <w:numPr>
          <w:ilvl w:val="1"/>
          <w:numId w:val="104"/>
        </w:numPr>
        <w:tabs>
          <w:tab w:pos="614" w:val="left" w:leader="none"/>
        </w:tabs>
        <w:spacing w:line="240" w:lineRule="auto" w:before="0" w:after="0"/>
        <w:ind w:left="614" w:right="0" w:hanging="331"/>
        <w:jc w:val="left"/>
      </w:pPr>
      <w:r>
        <w:rPr>
          <w:color w:val="231F1F"/>
        </w:rPr>
        <w:t>La</w:t>
      </w:r>
      <w:r>
        <w:rPr>
          <w:color w:val="231F1F"/>
          <w:spacing w:val="-3"/>
        </w:rPr>
        <w:t> </w:t>
      </w:r>
      <w:r>
        <w:rPr>
          <w:color w:val="231F1F"/>
        </w:rPr>
        <w:t>terminación del </w:t>
      </w:r>
      <w:r>
        <w:rPr>
          <w:color w:val="231F1F"/>
          <w:spacing w:val="-2"/>
        </w:rPr>
        <w:t>tratamiento</w:t>
      </w:r>
    </w:p>
    <w:p>
      <w:pPr>
        <w:pStyle w:val="BodyText"/>
        <w:spacing w:before="205"/>
        <w:ind w:left="283" w:right="134"/>
        <w:jc w:val="both"/>
      </w:pPr>
      <w:r>
        <w:rPr>
          <w:color w:val="231F1F"/>
          <w:w w:val="110"/>
        </w:rPr>
        <w:t>El uso de óxido nitroso se interrumpirá cuando la mujer así lo solicite o cuando no sea necesario la analgesia, o cuando aparezcan efectos secundarios indeseables.</w:t>
      </w:r>
    </w:p>
    <w:p>
      <w:pPr>
        <w:pStyle w:val="BodyText"/>
        <w:spacing w:before="90"/>
      </w:pPr>
    </w:p>
    <w:p>
      <w:pPr>
        <w:pStyle w:val="ListParagraph"/>
        <w:numPr>
          <w:ilvl w:val="0"/>
          <w:numId w:val="104"/>
        </w:numPr>
        <w:tabs>
          <w:tab w:pos="681" w:val="left" w:leader="none"/>
        </w:tabs>
        <w:spacing w:line="240" w:lineRule="auto" w:before="0" w:after="0"/>
        <w:ind w:left="681" w:right="0" w:hanging="398"/>
        <w:jc w:val="left"/>
        <w:rPr>
          <w:rFonts w:ascii="Arial MT" w:hAnsi="Arial MT"/>
          <w:sz w:val="24"/>
        </w:rPr>
      </w:pPr>
      <w:r>
        <w:rPr>
          <w:rFonts w:ascii="Arial MT" w:hAnsi="Arial MT"/>
          <w:color w:val="231F1F"/>
          <w:spacing w:val="-2"/>
          <w:w w:val="105"/>
          <w:sz w:val="24"/>
        </w:rPr>
        <w:t>Documentación</w:t>
      </w:r>
    </w:p>
    <w:p>
      <w:pPr>
        <w:pStyle w:val="BodyText"/>
        <w:spacing w:line="247" w:lineRule="auto" w:before="214"/>
        <w:ind w:left="283" w:right="123"/>
        <w:jc w:val="both"/>
      </w:pPr>
      <w:r>
        <w:rPr>
          <w:color w:val="231F1F"/>
          <w:w w:val="105"/>
        </w:rPr>
        <w:t>Las profesionales matronas anotarán en el expediente de la mujer, como parte del progre-</w:t>
      </w:r>
      <w:r>
        <w:rPr>
          <w:color w:val="231F1F"/>
          <w:spacing w:val="40"/>
          <w:w w:val="105"/>
        </w:rPr>
        <w:t> </w:t>
      </w:r>
      <w:r>
        <w:rPr>
          <w:color w:val="231F1F"/>
          <w:w w:val="105"/>
        </w:rPr>
        <w:t>so del parto, la utilización del óxido nitroso, su eficacia y los efectos secundarios o compli- caciones habidas.</w:t>
      </w:r>
    </w:p>
    <w:p>
      <w:pPr>
        <w:pStyle w:val="BodyText"/>
        <w:spacing w:before="88"/>
      </w:pPr>
    </w:p>
    <w:p>
      <w:pPr>
        <w:pStyle w:val="ListParagraph"/>
        <w:numPr>
          <w:ilvl w:val="0"/>
          <w:numId w:val="104"/>
        </w:numPr>
        <w:tabs>
          <w:tab w:pos="614" w:val="left" w:leader="none"/>
        </w:tabs>
        <w:spacing w:line="240" w:lineRule="auto" w:before="0" w:after="0"/>
        <w:ind w:left="614" w:right="0" w:hanging="331"/>
        <w:jc w:val="left"/>
        <w:rPr>
          <w:rFonts w:ascii="Arial MT" w:hAnsi="Arial MT"/>
          <w:sz w:val="24"/>
        </w:rPr>
      </w:pPr>
      <w:r>
        <w:rPr>
          <w:rFonts w:ascii="Arial MT" w:hAnsi="Arial MT"/>
          <w:color w:val="231F1F"/>
          <w:sz w:val="24"/>
        </w:rPr>
        <w:t>Evaluación</w:t>
      </w:r>
      <w:r>
        <w:rPr>
          <w:rFonts w:ascii="Arial MT" w:hAnsi="Arial MT"/>
          <w:color w:val="231F1F"/>
          <w:spacing w:val="18"/>
          <w:sz w:val="24"/>
        </w:rPr>
        <w:t> </w:t>
      </w:r>
      <w:r>
        <w:rPr>
          <w:rFonts w:ascii="Arial MT" w:hAnsi="Arial MT"/>
          <w:color w:val="231F1F"/>
          <w:sz w:val="24"/>
        </w:rPr>
        <w:t>de</w:t>
      </w:r>
      <w:r>
        <w:rPr>
          <w:rFonts w:ascii="Arial MT" w:hAnsi="Arial MT"/>
          <w:color w:val="231F1F"/>
          <w:spacing w:val="20"/>
          <w:sz w:val="24"/>
        </w:rPr>
        <w:t> </w:t>
      </w:r>
      <w:r>
        <w:rPr>
          <w:rFonts w:ascii="Arial MT" w:hAnsi="Arial MT"/>
          <w:color w:val="231F1F"/>
          <w:spacing w:val="-2"/>
          <w:sz w:val="24"/>
        </w:rPr>
        <w:t>Competencias</w:t>
      </w:r>
    </w:p>
    <w:p>
      <w:pPr>
        <w:pStyle w:val="Heading5"/>
        <w:numPr>
          <w:ilvl w:val="1"/>
          <w:numId w:val="104"/>
        </w:numPr>
        <w:tabs>
          <w:tab w:pos="574" w:val="left" w:leader="none"/>
        </w:tabs>
        <w:spacing w:line="240" w:lineRule="auto" w:before="170" w:after="0"/>
        <w:ind w:left="574" w:right="0" w:hanging="291"/>
        <w:jc w:val="left"/>
      </w:pPr>
      <w:r>
        <w:rPr>
          <w:color w:val="231F1F"/>
        </w:rPr>
        <w:t>Competencia</w:t>
      </w:r>
      <w:r>
        <w:rPr>
          <w:color w:val="231F1F"/>
          <w:spacing w:val="10"/>
        </w:rPr>
        <w:t> </w:t>
      </w:r>
      <w:r>
        <w:rPr>
          <w:color w:val="231F1F"/>
          <w:spacing w:val="-2"/>
        </w:rPr>
        <w:t>inicial</w:t>
      </w:r>
    </w:p>
    <w:p>
      <w:pPr>
        <w:pStyle w:val="ListParagraph"/>
        <w:numPr>
          <w:ilvl w:val="2"/>
          <w:numId w:val="104"/>
        </w:numPr>
        <w:tabs>
          <w:tab w:pos="1069" w:val="left" w:leader="none"/>
          <w:tab w:pos="1076" w:val="left" w:leader="none"/>
        </w:tabs>
        <w:spacing w:line="249" w:lineRule="auto" w:before="229" w:after="0"/>
        <w:ind w:left="1076" w:right="116" w:hanging="341"/>
        <w:jc w:val="both"/>
        <w:rPr>
          <w:sz w:val="22"/>
        </w:rPr>
      </w:pPr>
      <w:r>
        <w:rPr>
          <w:color w:val="231F1F"/>
          <w:w w:val="105"/>
          <w:sz w:val="22"/>
        </w:rPr>
        <w:t>Las matronas asistirán a sesiones de formación sobre óxido nitroso proporcionadas por</w:t>
      </w:r>
      <w:r>
        <w:rPr>
          <w:color w:val="231F1F"/>
          <w:spacing w:val="40"/>
          <w:w w:val="105"/>
          <w:sz w:val="22"/>
        </w:rPr>
        <w:t> </w:t>
      </w:r>
      <w:r>
        <w:rPr>
          <w:color w:val="231F1F"/>
          <w:w w:val="105"/>
          <w:sz w:val="22"/>
        </w:rPr>
        <w:t>anestesistas</w:t>
      </w:r>
      <w:r>
        <w:rPr>
          <w:color w:val="231F1F"/>
          <w:spacing w:val="40"/>
          <w:w w:val="105"/>
          <w:sz w:val="22"/>
        </w:rPr>
        <w:t> </w:t>
      </w:r>
      <w:r>
        <w:rPr>
          <w:color w:val="231F1F"/>
          <w:w w:val="105"/>
          <w:sz w:val="22"/>
        </w:rPr>
        <w:t>obstétricos,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tras</w:t>
      </w:r>
      <w:r>
        <w:rPr>
          <w:color w:val="231F1F"/>
          <w:spacing w:val="40"/>
          <w:w w:val="105"/>
          <w:sz w:val="22"/>
        </w:rPr>
        <w:t> </w:t>
      </w:r>
      <w:r>
        <w:rPr>
          <w:color w:val="231F1F"/>
          <w:w w:val="105"/>
          <w:sz w:val="22"/>
        </w:rPr>
        <w:t>las</w:t>
      </w:r>
      <w:r>
        <w:rPr>
          <w:color w:val="231F1F"/>
          <w:spacing w:val="40"/>
          <w:w w:val="105"/>
          <w:sz w:val="22"/>
        </w:rPr>
        <w:t> </w:t>
      </w:r>
      <w:r>
        <w:rPr>
          <w:color w:val="231F1F"/>
          <w:w w:val="105"/>
          <w:sz w:val="22"/>
        </w:rPr>
        <w:t>sesiones</w:t>
      </w:r>
      <w:r>
        <w:rPr>
          <w:color w:val="231F1F"/>
          <w:spacing w:val="40"/>
          <w:w w:val="105"/>
          <w:sz w:val="22"/>
        </w:rPr>
        <w:t> </w:t>
      </w:r>
      <w:r>
        <w:rPr>
          <w:color w:val="231F1F"/>
          <w:w w:val="105"/>
          <w:sz w:val="22"/>
        </w:rPr>
        <w:t>tendrán</w:t>
      </w:r>
      <w:r>
        <w:rPr>
          <w:color w:val="231F1F"/>
          <w:spacing w:val="40"/>
          <w:w w:val="105"/>
          <w:sz w:val="22"/>
        </w:rPr>
        <w:t> </w:t>
      </w:r>
      <w:r>
        <w:rPr>
          <w:color w:val="231F1F"/>
          <w:w w:val="105"/>
          <w:sz w:val="22"/>
        </w:rPr>
        <w:t>que</w:t>
      </w:r>
      <w:r>
        <w:rPr>
          <w:color w:val="231F1F"/>
          <w:spacing w:val="40"/>
          <w:w w:val="105"/>
          <w:sz w:val="22"/>
        </w:rPr>
        <w:t> </w:t>
      </w:r>
      <w:r>
        <w:rPr>
          <w:color w:val="231F1F"/>
          <w:w w:val="105"/>
          <w:sz w:val="22"/>
        </w:rPr>
        <w:t>demostrar:</w:t>
      </w:r>
    </w:p>
    <w:p>
      <w:pPr>
        <w:pStyle w:val="ListParagraph"/>
        <w:spacing w:after="0" w:line="249" w:lineRule="auto"/>
        <w:jc w:val="both"/>
        <w:rPr>
          <w:sz w:val="22"/>
        </w:rPr>
        <w:sectPr>
          <w:pgSz w:w="11900" w:h="16840"/>
          <w:pgMar w:header="0" w:footer="622" w:top="1560" w:bottom="820" w:left="1417" w:right="1559"/>
        </w:sectPr>
      </w:pPr>
    </w:p>
    <w:p>
      <w:pPr>
        <w:pStyle w:val="ListParagraph"/>
        <w:numPr>
          <w:ilvl w:val="3"/>
          <w:numId w:val="104"/>
        </w:numPr>
        <w:tabs>
          <w:tab w:pos="1299" w:val="left" w:leader="none"/>
        </w:tabs>
        <w:spacing w:line="240" w:lineRule="auto" w:before="62" w:after="0"/>
        <w:ind w:left="1299" w:right="0" w:hanging="222"/>
        <w:jc w:val="left"/>
        <w:rPr>
          <w:sz w:val="22"/>
        </w:rPr>
      </w:pPr>
      <w:r>
        <w:rPr>
          <w:color w:val="231F1F"/>
          <w:sz w:val="22"/>
        </w:rPr>
        <w:t>Comprensión</w:t>
      </w:r>
      <w:r>
        <w:rPr>
          <w:color w:val="231F1F"/>
          <w:spacing w:val="36"/>
          <w:sz w:val="22"/>
        </w:rPr>
        <w:t> </w:t>
      </w:r>
      <w:r>
        <w:rPr>
          <w:color w:val="231F1F"/>
          <w:sz w:val="22"/>
        </w:rPr>
        <w:t>de</w:t>
      </w:r>
      <w:r>
        <w:rPr>
          <w:color w:val="231F1F"/>
          <w:spacing w:val="39"/>
          <w:sz w:val="22"/>
        </w:rPr>
        <w:t> </w:t>
      </w:r>
      <w:r>
        <w:rPr>
          <w:color w:val="231F1F"/>
          <w:sz w:val="22"/>
        </w:rPr>
        <w:t>los</w:t>
      </w:r>
      <w:r>
        <w:rPr>
          <w:color w:val="231F1F"/>
          <w:spacing w:val="39"/>
          <w:sz w:val="22"/>
        </w:rPr>
        <w:t> </w:t>
      </w:r>
      <w:r>
        <w:rPr>
          <w:color w:val="231F1F"/>
          <w:spacing w:val="-2"/>
          <w:sz w:val="22"/>
        </w:rPr>
        <w:t>equipos</w:t>
      </w:r>
    </w:p>
    <w:p>
      <w:pPr>
        <w:pStyle w:val="ListParagraph"/>
        <w:numPr>
          <w:ilvl w:val="3"/>
          <w:numId w:val="104"/>
        </w:numPr>
        <w:tabs>
          <w:tab w:pos="1299" w:val="left" w:leader="none"/>
        </w:tabs>
        <w:spacing w:line="240" w:lineRule="auto" w:before="165" w:after="0"/>
        <w:ind w:left="1299" w:right="0" w:hanging="222"/>
        <w:jc w:val="left"/>
        <w:rPr>
          <w:sz w:val="22"/>
        </w:rPr>
      </w:pPr>
      <w:r>
        <w:rPr>
          <w:color w:val="231F1F"/>
          <w:sz w:val="22"/>
        </w:rPr>
        <w:t>Capacidades</w:t>
      </w:r>
      <w:r>
        <w:rPr>
          <w:color w:val="231F1F"/>
          <w:spacing w:val="42"/>
          <w:sz w:val="22"/>
        </w:rPr>
        <w:t> </w:t>
      </w:r>
      <w:r>
        <w:rPr>
          <w:color w:val="231F1F"/>
          <w:sz w:val="22"/>
        </w:rPr>
        <w:t>de</w:t>
      </w:r>
      <w:r>
        <w:rPr>
          <w:color w:val="231F1F"/>
          <w:spacing w:val="46"/>
          <w:sz w:val="22"/>
        </w:rPr>
        <w:t> </w:t>
      </w:r>
      <w:r>
        <w:rPr>
          <w:color w:val="231F1F"/>
          <w:sz w:val="22"/>
        </w:rPr>
        <w:t>configuración</w:t>
      </w:r>
      <w:r>
        <w:rPr>
          <w:color w:val="231F1F"/>
          <w:spacing w:val="46"/>
          <w:sz w:val="22"/>
        </w:rPr>
        <w:t> </w:t>
      </w:r>
      <w:r>
        <w:rPr>
          <w:color w:val="231F1F"/>
          <w:sz w:val="22"/>
        </w:rPr>
        <w:t>adecuada</w:t>
      </w:r>
      <w:r>
        <w:rPr>
          <w:color w:val="231F1F"/>
          <w:spacing w:val="46"/>
          <w:sz w:val="22"/>
        </w:rPr>
        <w:t> </w:t>
      </w:r>
      <w:r>
        <w:rPr>
          <w:color w:val="231F1F"/>
          <w:sz w:val="22"/>
        </w:rPr>
        <w:t>del</w:t>
      </w:r>
      <w:r>
        <w:rPr>
          <w:color w:val="231F1F"/>
          <w:spacing w:val="47"/>
          <w:sz w:val="22"/>
        </w:rPr>
        <w:t> </w:t>
      </w:r>
      <w:r>
        <w:rPr>
          <w:color w:val="231F1F"/>
          <w:spacing w:val="-2"/>
          <w:sz w:val="22"/>
        </w:rPr>
        <w:t>equipo</w:t>
      </w:r>
    </w:p>
    <w:p>
      <w:pPr>
        <w:pStyle w:val="ListParagraph"/>
        <w:numPr>
          <w:ilvl w:val="3"/>
          <w:numId w:val="104"/>
        </w:numPr>
        <w:tabs>
          <w:tab w:pos="1299" w:val="left" w:leader="none"/>
        </w:tabs>
        <w:spacing w:line="374" w:lineRule="auto" w:before="160" w:after="0"/>
        <w:ind w:left="1077" w:right="2489" w:firstLine="0"/>
        <w:jc w:val="left"/>
        <w:rPr>
          <w:sz w:val="22"/>
        </w:rPr>
      </w:pPr>
      <w:r>
        <w:rPr>
          <w:color w:val="231F1F"/>
          <w:w w:val="105"/>
          <w:sz w:val="22"/>
        </w:rPr>
        <w:t>Comprensión de</w:t>
      </w:r>
      <w:r>
        <w:rPr>
          <w:color w:val="231F1F"/>
          <w:w w:val="105"/>
          <w:sz w:val="22"/>
        </w:rPr>
        <w:t> las</w:t>
      </w:r>
      <w:r>
        <w:rPr>
          <w:color w:val="231F1F"/>
          <w:w w:val="105"/>
          <w:sz w:val="22"/>
        </w:rPr>
        <w:t> indicaciones</w:t>
      </w:r>
      <w:r>
        <w:rPr>
          <w:color w:val="231F1F"/>
          <w:w w:val="105"/>
          <w:sz w:val="22"/>
        </w:rPr>
        <w:t> y</w:t>
      </w:r>
      <w:r>
        <w:rPr>
          <w:color w:val="231F1F"/>
          <w:w w:val="105"/>
          <w:sz w:val="22"/>
        </w:rPr>
        <w:t> contraindicaciones d)Conocimientos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posibles</w:t>
      </w:r>
      <w:r>
        <w:rPr>
          <w:color w:val="231F1F"/>
          <w:spacing w:val="40"/>
          <w:w w:val="105"/>
          <w:sz w:val="22"/>
        </w:rPr>
        <w:t> </w:t>
      </w:r>
      <w:r>
        <w:rPr>
          <w:color w:val="231F1F"/>
          <w:w w:val="105"/>
          <w:sz w:val="22"/>
        </w:rPr>
        <w:t>efectos</w:t>
      </w:r>
      <w:r>
        <w:rPr>
          <w:color w:val="231F1F"/>
          <w:spacing w:val="40"/>
          <w:w w:val="105"/>
          <w:sz w:val="22"/>
        </w:rPr>
        <w:t> </w:t>
      </w:r>
      <w:r>
        <w:rPr>
          <w:color w:val="231F1F"/>
          <w:w w:val="105"/>
          <w:sz w:val="22"/>
        </w:rPr>
        <w:t>secundarios</w:t>
      </w:r>
    </w:p>
    <w:p>
      <w:pPr>
        <w:pStyle w:val="BodyText"/>
        <w:spacing w:line="244" w:lineRule="auto"/>
        <w:ind w:left="1303" w:hanging="227"/>
      </w:pPr>
      <w:r>
        <w:rPr>
          <w:color w:val="231F1F"/>
          <w:w w:val="110"/>
        </w:rPr>
        <w:t>e)</w:t>
      </w:r>
      <w:r>
        <w:rPr>
          <w:color w:val="231F1F"/>
          <w:spacing w:val="-4"/>
          <w:w w:val="110"/>
        </w:rPr>
        <w:t> </w:t>
      </w:r>
      <w:r>
        <w:rPr>
          <w:color w:val="231F1F"/>
          <w:w w:val="110"/>
        </w:rPr>
        <w:t>Habilidades</w:t>
      </w:r>
      <w:r>
        <w:rPr>
          <w:color w:val="231F1F"/>
          <w:spacing w:val="-5"/>
          <w:w w:val="110"/>
        </w:rPr>
        <w:t> </w:t>
      </w:r>
      <w:r>
        <w:rPr>
          <w:color w:val="231F1F"/>
          <w:w w:val="110"/>
        </w:rPr>
        <w:t>para</w:t>
      </w:r>
      <w:r>
        <w:rPr>
          <w:color w:val="231F1F"/>
          <w:spacing w:val="-4"/>
          <w:w w:val="110"/>
        </w:rPr>
        <w:t> </w:t>
      </w:r>
      <w:r>
        <w:rPr>
          <w:color w:val="231F1F"/>
          <w:w w:val="110"/>
        </w:rPr>
        <w:t>ofrecer</w:t>
      </w:r>
      <w:r>
        <w:rPr>
          <w:color w:val="231F1F"/>
          <w:spacing w:val="-4"/>
          <w:w w:val="110"/>
        </w:rPr>
        <w:t> </w:t>
      </w:r>
      <w:r>
        <w:rPr>
          <w:color w:val="231F1F"/>
          <w:w w:val="110"/>
        </w:rPr>
        <w:t>el</w:t>
      </w:r>
      <w:r>
        <w:rPr>
          <w:color w:val="231F1F"/>
          <w:spacing w:val="-5"/>
          <w:w w:val="110"/>
        </w:rPr>
        <w:t> </w:t>
      </w:r>
      <w:r>
        <w:rPr>
          <w:color w:val="231F1F"/>
          <w:w w:val="110"/>
        </w:rPr>
        <w:t>consentimiento</w:t>
      </w:r>
      <w:r>
        <w:rPr>
          <w:color w:val="231F1F"/>
          <w:spacing w:val="-4"/>
          <w:w w:val="110"/>
        </w:rPr>
        <w:t> </w:t>
      </w:r>
      <w:r>
        <w:rPr>
          <w:color w:val="231F1F"/>
          <w:w w:val="110"/>
        </w:rPr>
        <w:t>informado</w:t>
      </w:r>
      <w:r>
        <w:rPr>
          <w:color w:val="231F1F"/>
          <w:spacing w:val="-4"/>
          <w:w w:val="110"/>
        </w:rPr>
        <w:t> </w:t>
      </w:r>
      <w:r>
        <w:rPr>
          <w:color w:val="231F1F"/>
          <w:w w:val="110"/>
        </w:rPr>
        <w:t>e</w:t>
      </w:r>
      <w:r>
        <w:rPr>
          <w:color w:val="231F1F"/>
          <w:spacing w:val="-5"/>
          <w:w w:val="110"/>
        </w:rPr>
        <w:t> </w:t>
      </w:r>
      <w:r>
        <w:rPr>
          <w:color w:val="231F1F"/>
          <w:w w:val="110"/>
        </w:rPr>
        <w:t>instrucciones</w:t>
      </w:r>
      <w:r>
        <w:rPr>
          <w:color w:val="231F1F"/>
          <w:spacing w:val="-5"/>
          <w:w w:val="110"/>
        </w:rPr>
        <w:t> </w:t>
      </w:r>
      <w:r>
        <w:rPr>
          <w:color w:val="231F1F"/>
          <w:w w:val="110"/>
        </w:rPr>
        <w:t>a</w:t>
      </w:r>
      <w:r>
        <w:rPr>
          <w:color w:val="231F1F"/>
          <w:spacing w:val="-4"/>
          <w:w w:val="110"/>
        </w:rPr>
        <w:t> </w:t>
      </w:r>
      <w:r>
        <w:rPr>
          <w:color w:val="231F1F"/>
          <w:w w:val="110"/>
        </w:rPr>
        <w:t>los mujeres que soliciten este método de analgesia</w:t>
      </w:r>
    </w:p>
    <w:p>
      <w:pPr>
        <w:pStyle w:val="ListParagraph"/>
        <w:numPr>
          <w:ilvl w:val="2"/>
          <w:numId w:val="104"/>
        </w:numPr>
        <w:tabs>
          <w:tab w:pos="1073" w:val="left" w:leader="none"/>
          <w:tab w:pos="1077" w:val="left" w:leader="none"/>
        </w:tabs>
        <w:spacing w:line="247" w:lineRule="auto" w:before="154" w:after="0"/>
        <w:ind w:left="1077" w:right="122" w:hanging="341"/>
        <w:jc w:val="both"/>
        <w:rPr>
          <w:sz w:val="22"/>
        </w:rPr>
      </w:pPr>
      <w:r>
        <w:rPr>
          <w:color w:val="231F1F"/>
          <w:w w:val="110"/>
          <w:sz w:val="22"/>
        </w:rPr>
        <w:t>Además,</w:t>
      </w:r>
      <w:r>
        <w:rPr>
          <w:color w:val="231F1F"/>
          <w:spacing w:val="-16"/>
          <w:w w:val="110"/>
          <w:sz w:val="22"/>
        </w:rPr>
        <w:t> </w:t>
      </w:r>
      <w:r>
        <w:rPr>
          <w:color w:val="231F1F"/>
          <w:w w:val="110"/>
          <w:sz w:val="22"/>
        </w:rPr>
        <w:t>las</w:t>
      </w:r>
      <w:r>
        <w:rPr>
          <w:color w:val="231F1F"/>
          <w:spacing w:val="-15"/>
          <w:w w:val="110"/>
          <w:sz w:val="22"/>
        </w:rPr>
        <w:t> </w:t>
      </w:r>
      <w:r>
        <w:rPr>
          <w:color w:val="231F1F"/>
          <w:w w:val="110"/>
          <w:sz w:val="22"/>
        </w:rPr>
        <w:t>matronas</w:t>
      </w:r>
      <w:r>
        <w:rPr>
          <w:color w:val="231F1F"/>
          <w:spacing w:val="-15"/>
          <w:w w:val="110"/>
          <w:sz w:val="22"/>
        </w:rPr>
        <w:t> </w:t>
      </w:r>
      <w:r>
        <w:rPr>
          <w:color w:val="231F1F"/>
          <w:w w:val="110"/>
          <w:sz w:val="22"/>
        </w:rPr>
        <w:t>tendrán</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realizar</w:t>
      </w:r>
      <w:r>
        <w:rPr>
          <w:color w:val="231F1F"/>
          <w:spacing w:val="-15"/>
          <w:w w:val="110"/>
          <w:sz w:val="22"/>
        </w:rPr>
        <w:t> </w:t>
      </w:r>
      <w:r>
        <w:rPr>
          <w:color w:val="231F1F"/>
          <w:w w:val="110"/>
          <w:sz w:val="22"/>
        </w:rPr>
        <w:t>tres</w:t>
      </w:r>
      <w:r>
        <w:rPr>
          <w:color w:val="231F1F"/>
          <w:spacing w:val="-15"/>
          <w:w w:val="110"/>
          <w:sz w:val="22"/>
        </w:rPr>
        <w:t> </w:t>
      </w:r>
      <w:r>
        <w:rPr>
          <w:color w:val="231F1F"/>
          <w:w w:val="110"/>
          <w:sz w:val="22"/>
        </w:rPr>
        <w:t>veces</w:t>
      </w:r>
      <w:r>
        <w:rPr>
          <w:color w:val="231F1F"/>
          <w:spacing w:val="-15"/>
          <w:w w:val="110"/>
          <w:sz w:val="22"/>
        </w:rPr>
        <w:t> </w:t>
      </w:r>
      <w:r>
        <w:rPr>
          <w:color w:val="231F1F"/>
          <w:w w:val="110"/>
          <w:sz w:val="22"/>
        </w:rPr>
        <w:t>la</w:t>
      </w:r>
      <w:r>
        <w:rPr>
          <w:color w:val="231F1F"/>
          <w:spacing w:val="-16"/>
          <w:w w:val="110"/>
          <w:sz w:val="22"/>
        </w:rPr>
        <w:t> </w:t>
      </w:r>
      <w:r>
        <w:rPr>
          <w:color w:val="231F1F"/>
          <w:w w:val="110"/>
          <w:sz w:val="22"/>
        </w:rPr>
        <w:t>puesta</w:t>
      </w:r>
      <w:r>
        <w:rPr>
          <w:color w:val="231F1F"/>
          <w:spacing w:val="-15"/>
          <w:w w:val="110"/>
          <w:sz w:val="22"/>
        </w:rPr>
        <w:t> </w:t>
      </w:r>
      <w:r>
        <w:rPr>
          <w:color w:val="231F1F"/>
          <w:w w:val="110"/>
          <w:sz w:val="22"/>
        </w:rPr>
        <w:t>en</w:t>
      </w:r>
      <w:r>
        <w:rPr>
          <w:color w:val="231F1F"/>
          <w:spacing w:val="-15"/>
          <w:w w:val="110"/>
          <w:sz w:val="22"/>
        </w:rPr>
        <w:t> </w:t>
      </w:r>
      <w:r>
        <w:rPr>
          <w:color w:val="231F1F"/>
          <w:w w:val="110"/>
          <w:sz w:val="22"/>
        </w:rPr>
        <w:t>marcha</w:t>
      </w:r>
      <w:r>
        <w:rPr>
          <w:color w:val="231F1F"/>
          <w:spacing w:val="-15"/>
          <w:w w:val="110"/>
          <w:sz w:val="22"/>
        </w:rPr>
        <w:t> </w:t>
      </w:r>
      <w:r>
        <w:rPr>
          <w:color w:val="231F1F"/>
          <w:w w:val="110"/>
          <w:sz w:val="22"/>
        </w:rPr>
        <w:t>y</w:t>
      </w:r>
      <w:r>
        <w:rPr>
          <w:color w:val="231F1F"/>
          <w:spacing w:val="-15"/>
          <w:w w:val="110"/>
          <w:sz w:val="22"/>
        </w:rPr>
        <w:t> </w:t>
      </w:r>
      <w:r>
        <w:rPr>
          <w:color w:val="231F1F"/>
          <w:w w:val="110"/>
          <w:sz w:val="22"/>
        </w:rPr>
        <w:t>admi- nistración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óxido</w:t>
      </w:r>
      <w:r>
        <w:rPr>
          <w:color w:val="231F1F"/>
          <w:spacing w:val="-9"/>
          <w:w w:val="110"/>
          <w:sz w:val="22"/>
        </w:rPr>
        <w:t> </w:t>
      </w:r>
      <w:r>
        <w:rPr>
          <w:color w:val="231F1F"/>
          <w:w w:val="110"/>
          <w:sz w:val="22"/>
        </w:rPr>
        <w:t>nitroso</w:t>
      </w:r>
      <w:r>
        <w:rPr>
          <w:color w:val="231F1F"/>
          <w:spacing w:val="-9"/>
          <w:w w:val="110"/>
          <w:sz w:val="22"/>
        </w:rPr>
        <w:t> </w:t>
      </w:r>
      <w:r>
        <w:rPr>
          <w:color w:val="231F1F"/>
          <w:w w:val="110"/>
          <w:sz w:val="22"/>
        </w:rPr>
        <w:t>a</w:t>
      </w:r>
      <w:r>
        <w:rPr>
          <w:color w:val="231F1F"/>
          <w:spacing w:val="-9"/>
          <w:w w:val="110"/>
          <w:sz w:val="22"/>
        </w:rPr>
        <w:t> </w:t>
      </w:r>
      <w:r>
        <w:rPr>
          <w:color w:val="231F1F"/>
          <w:w w:val="110"/>
          <w:sz w:val="22"/>
        </w:rPr>
        <w:t>las</w:t>
      </w:r>
      <w:r>
        <w:rPr>
          <w:color w:val="231F1F"/>
          <w:spacing w:val="-9"/>
          <w:w w:val="110"/>
          <w:sz w:val="22"/>
        </w:rPr>
        <w:t> </w:t>
      </w:r>
      <w:r>
        <w:rPr>
          <w:color w:val="231F1F"/>
          <w:w w:val="110"/>
          <w:sz w:val="22"/>
        </w:rPr>
        <w:t>mujeres,</w:t>
      </w:r>
      <w:r>
        <w:rPr>
          <w:color w:val="231F1F"/>
          <w:spacing w:val="-9"/>
          <w:w w:val="110"/>
          <w:sz w:val="22"/>
        </w:rPr>
        <w:t> </w:t>
      </w:r>
      <w:r>
        <w:rPr>
          <w:color w:val="231F1F"/>
          <w:w w:val="110"/>
          <w:sz w:val="22"/>
        </w:rPr>
        <w:t>bajo</w:t>
      </w:r>
      <w:r>
        <w:rPr>
          <w:color w:val="231F1F"/>
          <w:spacing w:val="-9"/>
          <w:w w:val="110"/>
          <w:sz w:val="22"/>
        </w:rPr>
        <w:t> </w:t>
      </w:r>
      <w:r>
        <w:rPr>
          <w:color w:val="231F1F"/>
          <w:w w:val="110"/>
          <w:sz w:val="22"/>
        </w:rPr>
        <w:t>la</w:t>
      </w:r>
      <w:r>
        <w:rPr>
          <w:color w:val="231F1F"/>
          <w:spacing w:val="-9"/>
          <w:w w:val="110"/>
          <w:sz w:val="22"/>
        </w:rPr>
        <w:t> </w:t>
      </w:r>
      <w:r>
        <w:rPr>
          <w:color w:val="231F1F"/>
          <w:w w:val="110"/>
          <w:sz w:val="22"/>
        </w:rPr>
        <w:t>observación</w:t>
      </w:r>
      <w:r>
        <w:rPr>
          <w:color w:val="231F1F"/>
          <w:spacing w:val="-9"/>
          <w:w w:val="110"/>
          <w:sz w:val="22"/>
        </w:rPr>
        <w:t> </w:t>
      </w:r>
      <w:r>
        <w:rPr>
          <w:color w:val="231F1F"/>
          <w:w w:val="110"/>
          <w:sz w:val="22"/>
        </w:rPr>
        <w:t>de</w:t>
      </w:r>
      <w:r>
        <w:rPr>
          <w:color w:val="231F1F"/>
          <w:spacing w:val="-9"/>
          <w:w w:val="110"/>
          <w:sz w:val="22"/>
        </w:rPr>
        <w:t> </w:t>
      </w:r>
      <w:r>
        <w:rPr>
          <w:color w:val="231F1F"/>
          <w:w w:val="110"/>
          <w:sz w:val="22"/>
        </w:rPr>
        <w:t>un</w:t>
      </w:r>
      <w:r>
        <w:rPr>
          <w:color w:val="231F1F"/>
          <w:spacing w:val="-9"/>
          <w:w w:val="110"/>
          <w:sz w:val="22"/>
        </w:rPr>
        <w:t> </w:t>
      </w:r>
      <w:r>
        <w:rPr>
          <w:color w:val="231F1F"/>
          <w:w w:val="110"/>
          <w:sz w:val="22"/>
        </w:rPr>
        <w:t>miembro</w:t>
      </w:r>
      <w:r>
        <w:rPr>
          <w:color w:val="231F1F"/>
          <w:spacing w:val="-8"/>
          <w:w w:val="110"/>
          <w:sz w:val="22"/>
        </w:rPr>
        <w:t> </w:t>
      </w:r>
      <w:r>
        <w:rPr>
          <w:color w:val="231F1F"/>
          <w:w w:val="110"/>
          <w:sz w:val="22"/>
        </w:rPr>
        <w:t>del equipo</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anestesia</w:t>
      </w:r>
      <w:r>
        <w:rPr>
          <w:color w:val="231F1F"/>
          <w:spacing w:val="-15"/>
          <w:w w:val="110"/>
          <w:sz w:val="22"/>
        </w:rPr>
        <w:t> </w:t>
      </w:r>
      <w:r>
        <w:rPr>
          <w:color w:val="231F1F"/>
          <w:w w:val="110"/>
          <w:sz w:val="22"/>
        </w:rPr>
        <w:t>o</w:t>
      </w:r>
      <w:r>
        <w:rPr>
          <w:color w:val="231F1F"/>
          <w:spacing w:val="-15"/>
          <w:w w:val="110"/>
          <w:sz w:val="22"/>
        </w:rPr>
        <w:t> </w:t>
      </w:r>
      <w:r>
        <w:rPr>
          <w:color w:val="231F1F"/>
          <w:w w:val="110"/>
          <w:sz w:val="22"/>
        </w:rPr>
        <w:t>personal</w:t>
      </w:r>
      <w:r>
        <w:rPr>
          <w:color w:val="231F1F"/>
          <w:spacing w:val="-15"/>
          <w:w w:val="110"/>
          <w:sz w:val="22"/>
        </w:rPr>
        <w:t> </w:t>
      </w:r>
      <w:r>
        <w:rPr>
          <w:color w:val="231F1F"/>
          <w:w w:val="110"/>
          <w:sz w:val="22"/>
        </w:rPr>
        <w:t>entrenado</w:t>
      </w:r>
      <w:r>
        <w:rPr>
          <w:color w:val="231F1F"/>
          <w:spacing w:val="-15"/>
          <w:w w:val="110"/>
          <w:sz w:val="22"/>
        </w:rPr>
        <w:t> </w:t>
      </w:r>
      <w:r>
        <w:rPr>
          <w:color w:val="231F1F"/>
          <w:w w:val="110"/>
          <w:sz w:val="22"/>
        </w:rPr>
        <w:t>ya</w:t>
      </w:r>
      <w:r>
        <w:rPr>
          <w:color w:val="231F1F"/>
          <w:spacing w:val="-15"/>
          <w:w w:val="110"/>
          <w:sz w:val="22"/>
        </w:rPr>
        <w:t> </w:t>
      </w:r>
      <w:r>
        <w:rPr>
          <w:color w:val="231F1F"/>
          <w:w w:val="110"/>
          <w:sz w:val="22"/>
        </w:rPr>
        <w:t>cualificado</w:t>
      </w:r>
      <w:r>
        <w:rPr>
          <w:color w:val="231F1F"/>
          <w:spacing w:val="-15"/>
          <w:w w:val="110"/>
          <w:sz w:val="22"/>
        </w:rPr>
        <w:t> </w:t>
      </w:r>
      <w:r>
        <w:rPr>
          <w:color w:val="231F1F"/>
          <w:w w:val="110"/>
          <w:sz w:val="22"/>
        </w:rPr>
        <w:t>antes</w:t>
      </w:r>
      <w:r>
        <w:rPr>
          <w:color w:val="231F1F"/>
          <w:spacing w:val="-16"/>
          <w:w w:val="110"/>
          <w:sz w:val="22"/>
        </w:rPr>
        <w:t> </w:t>
      </w:r>
      <w:r>
        <w:rPr>
          <w:color w:val="231F1F"/>
          <w:w w:val="110"/>
          <w:sz w:val="22"/>
        </w:rPr>
        <w:t>de</w:t>
      </w:r>
      <w:r>
        <w:rPr>
          <w:color w:val="231F1F"/>
          <w:spacing w:val="-15"/>
          <w:w w:val="110"/>
          <w:sz w:val="22"/>
        </w:rPr>
        <w:t> </w:t>
      </w:r>
      <w:r>
        <w:rPr>
          <w:color w:val="231F1F"/>
          <w:w w:val="110"/>
          <w:sz w:val="22"/>
        </w:rPr>
        <w:t>que</w:t>
      </w:r>
      <w:r>
        <w:rPr>
          <w:color w:val="231F1F"/>
          <w:spacing w:val="-15"/>
          <w:w w:val="110"/>
          <w:sz w:val="22"/>
        </w:rPr>
        <w:t> </w:t>
      </w:r>
      <w:r>
        <w:rPr>
          <w:color w:val="231F1F"/>
          <w:w w:val="110"/>
          <w:sz w:val="22"/>
        </w:rPr>
        <w:t>se</w:t>
      </w:r>
      <w:r>
        <w:rPr>
          <w:color w:val="231F1F"/>
          <w:spacing w:val="-15"/>
          <w:w w:val="110"/>
          <w:sz w:val="22"/>
        </w:rPr>
        <w:t> </w:t>
      </w:r>
      <w:r>
        <w:rPr>
          <w:color w:val="231F1F"/>
          <w:w w:val="110"/>
          <w:sz w:val="22"/>
        </w:rPr>
        <w:t>considere </w:t>
      </w:r>
      <w:r>
        <w:rPr>
          <w:color w:val="231F1F"/>
          <w:spacing w:val="-2"/>
          <w:w w:val="110"/>
          <w:sz w:val="22"/>
        </w:rPr>
        <w:t>competente.</w:t>
      </w:r>
    </w:p>
    <w:p>
      <w:pPr>
        <w:pStyle w:val="BodyText"/>
        <w:spacing w:before="153"/>
      </w:pPr>
    </w:p>
    <w:p>
      <w:pPr>
        <w:pStyle w:val="Heading5"/>
        <w:numPr>
          <w:ilvl w:val="1"/>
          <w:numId w:val="104"/>
        </w:numPr>
        <w:tabs>
          <w:tab w:pos="579" w:val="left" w:leader="none"/>
        </w:tabs>
        <w:spacing w:line="240" w:lineRule="auto" w:before="0" w:after="0"/>
        <w:ind w:left="579" w:right="0" w:hanging="296"/>
        <w:jc w:val="left"/>
      </w:pPr>
      <w:r>
        <w:rPr>
          <w:color w:val="231F1F"/>
        </w:rPr>
        <w:t>Competencia</w:t>
      </w:r>
      <w:r>
        <w:rPr>
          <w:color w:val="231F1F"/>
          <w:spacing w:val="9"/>
        </w:rPr>
        <w:t> </w:t>
      </w:r>
      <w:r>
        <w:rPr>
          <w:color w:val="231F1F"/>
          <w:spacing w:val="-2"/>
        </w:rPr>
        <w:t>continuada</w:t>
      </w:r>
    </w:p>
    <w:p>
      <w:pPr>
        <w:pStyle w:val="BodyText"/>
        <w:spacing w:line="244" w:lineRule="auto" w:before="215"/>
        <w:ind w:left="283" w:right="124"/>
        <w:jc w:val="both"/>
      </w:pPr>
      <w:r>
        <w:rPr>
          <w:color w:val="231F1F"/>
          <w:w w:val="110"/>
        </w:rPr>
        <w:t>Las</w:t>
      </w:r>
      <w:r>
        <w:rPr>
          <w:color w:val="231F1F"/>
          <w:spacing w:val="-10"/>
          <w:w w:val="110"/>
        </w:rPr>
        <w:t> </w:t>
      </w:r>
      <w:r>
        <w:rPr>
          <w:color w:val="231F1F"/>
          <w:w w:val="110"/>
        </w:rPr>
        <w:t>matronas</w:t>
      </w:r>
      <w:r>
        <w:rPr>
          <w:color w:val="231F1F"/>
          <w:spacing w:val="-9"/>
          <w:w w:val="110"/>
        </w:rPr>
        <w:t> </w:t>
      </w:r>
      <w:r>
        <w:rPr>
          <w:color w:val="231F1F"/>
          <w:w w:val="110"/>
        </w:rPr>
        <w:t>recibirán</w:t>
      </w:r>
      <w:r>
        <w:rPr>
          <w:color w:val="231F1F"/>
          <w:spacing w:val="-9"/>
          <w:w w:val="110"/>
        </w:rPr>
        <w:t> </w:t>
      </w:r>
      <w:r>
        <w:rPr>
          <w:color w:val="231F1F"/>
          <w:w w:val="110"/>
        </w:rPr>
        <w:t>actualizaciones</w:t>
      </w:r>
      <w:r>
        <w:rPr>
          <w:color w:val="231F1F"/>
          <w:spacing w:val="-10"/>
          <w:w w:val="110"/>
        </w:rPr>
        <w:t> </w:t>
      </w:r>
      <w:r>
        <w:rPr>
          <w:color w:val="231F1F"/>
          <w:w w:val="110"/>
        </w:rPr>
        <w:t>en</w:t>
      </w:r>
      <w:r>
        <w:rPr>
          <w:color w:val="231F1F"/>
          <w:spacing w:val="-9"/>
          <w:w w:val="110"/>
        </w:rPr>
        <w:t> </w:t>
      </w:r>
      <w:r>
        <w:rPr>
          <w:color w:val="231F1F"/>
          <w:w w:val="110"/>
        </w:rPr>
        <w:t>el</w:t>
      </w:r>
      <w:r>
        <w:rPr>
          <w:color w:val="231F1F"/>
          <w:spacing w:val="-10"/>
          <w:w w:val="110"/>
        </w:rPr>
        <w:t> </w:t>
      </w:r>
      <w:r>
        <w:rPr>
          <w:color w:val="231F1F"/>
          <w:w w:val="110"/>
        </w:rPr>
        <w:t>uso</w:t>
      </w:r>
      <w:r>
        <w:rPr>
          <w:color w:val="231F1F"/>
          <w:spacing w:val="-9"/>
          <w:w w:val="110"/>
        </w:rPr>
        <w:t> </w:t>
      </w:r>
      <w:r>
        <w:rPr>
          <w:color w:val="231F1F"/>
          <w:w w:val="110"/>
        </w:rPr>
        <w:t>de</w:t>
      </w:r>
      <w:r>
        <w:rPr>
          <w:color w:val="231F1F"/>
          <w:spacing w:val="-9"/>
          <w:w w:val="110"/>
        </w:rPr>
        <w:t> </w:t>
      </w:r>
      <w:r>
        <w:rPr>
          <w:color w:val="231F1F"/>
          <w:w w:val="110"/>
        </w:rPr>
        <w:t>óxido</w:t>
      </w:r>
      <w:r>
        <w:rPr>
          <w:color w:val="231F1F"/>
          <w:spacing w:val="-9"/>
          <w:w w:val="110"/>
        </w:rPr>
        <w:t> </w:t>
      </w:r>
      <w:r>
        <w:rPr>
          <w:color w:val="231F1F"/>
          <w:w w:val="110"/>
        </w:rPr>
        <w:t>nitroso</w:t>
      </w:r>
      <w:r>
        <w:rPr>
          <w:color w:val="231F1F"/>
          <w:spacing w:val="-9"/>
          <w:w w:val="110"/>
        </w:rPr>
        <w:t> </w:t>
      </w:r>
      <w:r>
        <w:rPr>
          <w:color w:val="231F1F"/>
          <w:w w:val="110"/>
        </w:rPr>
        <w:t>por</w:t>
      </w:r>
      <w:r>
        <w:rPr>
          <w:color w:val="231F1F"/>
          <w:spacing w:val="-10"/>
          <w:w w:val="110"/>
        </w:rPr>
        <w:t> </w:t>
      </w:r>
      <w:r>
        <w:rPr>
          <w:color w:val="231F1F"/>
          <w:w w:val="110"/>
        </w:rPr>
        <w:t>parte</w:t>
      </w:r>
      <w:r>
        <w:rPr>
          <w:color w:val="231F1F"/>
          <w:spacing w:val="-10"/>
          <w:w w:val="110"/>
        </w:rPr>
        <w:t> </w:t>
      </w:r>
      <w:r>
        <w:rPr>
          <w:color w:val="231F1F"/>
          <w:w w:val="110"/>
        </w:rPr>
        <w:t>del</w:t>
      </w:r>
      <w:r>
        <w:rPr>
          <w:color w:val="231F1F"/>
          <w:spacing w:val="-10"/>
          <w:w w:val="110"/>
        </w:rPr>
        <w:t> </w:t>
      </w:r>
      <w:r>
        <w:rPr>
          <w:color w:val="231F1F"/>
          <w:w w:val="110"/>
        </w:rPr>
        <w:t>equipo</w:t>
      </w:r>
      <w:r>
        <w:rPr>
          <w:color w:val="231F1F"/>
          <w:spacing w:val="-9"/>
          <w:w w:val="110"/>
        </w:rPr>
        <w:t> </w:t>
      </w:r>
      <w:r>
        <w:rPr>
          <w:color w:val="231F1F"/>
          <w:w w:val="110"/>
        </w:rPr>
        <w:t>de anestesia</w:t>
      </w:r>
      <w:r>
        <w:rPr>
          <w:color w:val="231F1F"/>
          <w:spacing w:val="-14"/>
          <w:w w:val="110"/>
        </w:rPr>
        <w:t> </w:t>
      </w:r>
      <w:r>
        <w:rPr>
          <w:color w:val="231F1F"/>
          <w:w w:val="110"/>
        </w:rPr>
        <w:t>obstétrica</w:t>
      </w:r>
      <w:r>
        <w:rPr>
          <w:color w:val="231F1F"/>
          <w:spacing w:val="-14"/>
          <w:w w:val="110"/>
        </w:rPr>
        <w:t> </w:t>
      </w:r>
      <w:r>
        <w:rPr>
          <w:color w:val="231F1F"/>
          <w:w w:val="110"/>
        </w:rPr>
        <w:t>y</w:t>
      </w:r>
      <w:r>
        <w:rPr>
          <w:color w:val="231F1F"/>
          <w:spacing w:val="-14"/>
          <w:w w:val="110"/>
        </w:rPr>
        <w:t> </w:t>
      </w:r>
      <w:r>
        <w:rPr>
          <w:color w:val="231F1F"/>
          <w:w w:val="110"/>
        </w:rPr>
        <w:t>se</w:t>
      </w:r>
      <w:r>
        <w:rPr>
          <w:color w:val="231F1F"/>
          <w:spacing w:val="-14"/>
          <w:w w:val="110"/>
        </w:rPr>
        <w:t> </w:t>
      </w:r>
      <w:r>
        <w:rPr>
          <w:color w:val="231F1F"/>
          <w:w w:val="110"/>
        </w:rPr>
        <w:t>volverá</w:t>
      </w:r>
      <w:r>
        <w:rPr>
          <w:color w:val="231F1F"/>
          <w:spacing w:val="-14"/>
          <w:w w:val="110"/>
        </w:rPr>
        <w:t> </w:t>
      </w:r>
      <w:r>
        <w:rPr>
          <w:color w:val="231F1F"/>
          <w:w w:val="110"/>
        </w:rPr>
        <w:t>a</w:t>
      </w:r>
      <w:r>
        <w:rPr>
          <w:color w:val="231F1F"/>
          <w:spacing w:val="-14"/>
          <w:w w:val="110"/>
        </w:rPr>
        <w:t> </w:t>
      </w:r>
      <w:r>
        <w:rPr>
          <w:color w:val="231F1F"/>
          <w:w w:val="110"/>
        </w:rPr>
        <w:t>realizar</w:t>
      </w:r>
      <w:r>
        <w:rPr>
          <w:color w:val="231F1F"/>
          <w:spacing w:val="-14"/>
          <w:w w:val="110"/>
        </w:rPr>
        <w:t> </w:t>
      </w:r>
      <w:r>
        <w:rPr>
          <w:color w:val="231F1F"/>
          <w:w w:val="110"/>
        </w:rPr>
        <w:t>evaluaciones</w:t>
      </w:r>
      <w:r>
        <w:rPr>
          <w:color w:val="231F1F"/>
          <w:spacing w:val="-14"/>
          <w:w w:val="110"/>
        </w:rPr>
        <w:t> </w:t>
      </w:r>
      <w:r>
        <w:rPr>
          <w:color w:val="231F1F"/>
          <w:w w:val="110"/>
        </w:rPr>
        <w:t>anuales</w:t>
      </w:r>
      <w:r>
        <w:rPr>
          <w:color w:val="231F1F"/>
          <w:spacing w:val="-14"/>
          <w:w w:val="110"/>
        </w:rPr>
        <w:t> </w:t>
      </w:r>
      <w:r>
        <w:rPr>
          <w:color w:val="231F1F"/>
          <w:w w:val="110"/>
        </w:rPr>
        <w:t>para</w:t>
      </w:r>
      <w:r>
        <w:rPr>
          <w:color w:val="231F1F"/>
          <w:spacing w:val="-14"/>
          <w:w w:val="110"/>
        </w:rPr>
        <w:t> </w:t>
      </w:r>
      <w:r>
        <w:rPr>
          <w:color w:val="231F1F"/>
          <w:w w:val="110"/>
        </w:rPr>
        <w:t>asegurar</w:t>
      </w:r>
      <w:r>
        <w:rPr>
          <w:color w:val="231F1F"/>
          <w:spacing w:val="-14"/>
          <w:w w:val="110"/>
        </w:rPr>
        <w:t> </w:t>
      </w:r>
      <w:r>
        <w:rPr>
          <w:color w:val="231F1F"/>
          <w:w w:val="110"/>
        </w:rPr>
        <w:t>la</w:t>
      </w:r>
      <w:r>
        <w:rPr>
          <w:color w:val="231F1F"/>
          <w:spacing w:val="-14"/>
          <w:w w:val="110"/>
        </w:rPr>
        <w:t> </w:t>
      </w:r>
      <w:r>
        <w:rPr>
          <w:color w:val="231F1F"/>
          <w:w w:val="110"/>
        </w:rPr>
        <w:t>continua </w:t>
      </w:r>
      <w:r>
        <w:rPr>
          <w:color w:val="231F1F"/>
          <w:spacing w:val="-2"/>
          <w:w w:val="110"/>
        </w:rPr>
        <w:t>competencia.</w:t>
      </w:r>
    </w:p>
    <w:p>
      <w:pPr>
        <w:pStyle w:val="BodyText"/>
        <w:spacing w:before="162"/>
      </w:pPr>
    </w:p>
    <w:p>
      <w:pPr>
        <w:spacing w:before="0"/>
        <w:ind w:left="283" w:right="0" w:firstLine="0"/>
        <w:jc w:val="left"/>
        <w:rPr>
          <w:rFonts w:ascii="Arial MT"/>
          <w:sz w:val="24"/>
        </w:rPr>
      </w:pPr>
      <w:r>
        <w:rPr>
          <w:rFonts w:ascii="Arial MT"/>
          <w:color w:val="231F1F"/>
          <w:spacing w:val="-2"/>
          <w:sz w:val="24"/>
        </w:rPr>
        <w:t>REFERENCIAS</w:t>
      </w:r>
    </w:p>
    <w:p>
      <w:pPr>
        <w:pStyle w:val="ListParagraph"/>
        <w:numPr>
          <w:ilvl w:val="2"/>
          <w:numId w:val="104"/>
        </w:numPr>
        <w:tabs>
          <w:tab w:pos="1070" w:val="left" w:leader="none"/>
          <w:tab w:pos="1076" w:val="left" w:leader="none"/>
        </w:tabs>
        <w:spacing w:line="254" w:lineRule="auto" w:before="229" w:after="0"/>
        <w:ind w:left="1076" w:right="510" w:hanging="341"/>
        <w:jc w:val="left"/>
        <w:rPr>
          <w:sz w:val="22"/>
        </w:rPr>
      </w:pPr>
      <w:r>
        <w:rPr>
          <w:color w:val="231F1F"/>
          <w:sz w:val="22"/>
        </w:rPr>
        <w:t>Rosen</w:t>
      </w:r>
      <w:r>
        <w:rPr>
          <w:color w:val="231F1F"/>
          <w:spacing w:val="-6"/>
          <w:sz w:val="22"/>
        </w:rPr>
        <w:t> </w:t>
      </w:r>
      <w:r>
        <w:rPr>
          <w:color w:val="231F1F"/>
          <w:sz w:val="22"/>
        </w:rPr>
        <w:t>MA.</w:t>
      </w:r>
      <w:r>
        <w:rPr>
          <w:color w:val="231F1F"/>
          <w:spacing w:val="-6"/>
          <w:sz w:val="22"/>
        </w:rPr>
        <w:t> </w:t>
      </w:r>
      <w:r>
        <w:rPr>
          <w:i/>
          <w:color w:val="231F1F"/>
          <w:sz w:val="22"/>
        </w:rPr>
        <w:t>Nitrous</w:t>
      </w:r>
      <w:r>
        <w:rPr>
          <w:i/>
          <w:color w:val="231F1F"/>
          <w:spacing w:val="-6"/>
          <w:sz w:val="22"/>
        </w:rPr>
        <w:t> </w:t>
      </w:r>
      <w:r>
        <w:rPr>
          <w:i/>
          <w:color w:val="231F1F"/>
          <w:sz w:val="22"/>
        </w:rPr>
        <w:t>oxide</w:t>
      </w:r>
      <w:r>
        <w:rPr>
          <w:i/>
          <w:color w:val="231F1F"/>
          <w:spacing w:val="-6"/>
          <w:sz w:val="22"/>
        </w:rPr>
        <w:t> </w:t>
      </w:r>
      <w:r>
        <w:rPr>
          <w:i/>
          <w:color w:val="231F1F"/>
          <w:sz w:val="22"/>
        </w:rPr>
        <w:t>for</w:t>
      </w:r>
      <w:r>
        <w:rPr>
          <w:i/>
          <w:color w:val="231F1F"/>
          <w:spacing w:val="-6"/>
          <w:sz w:val="22"/>
        </w:rPr>
        <w:t> </w:t>
      </w:r>
      <w:r>
        <w:rPr>
          <w:i/>
          <w:color w:val="231F1F"/>
          <w:sz w:val="22"/>
        </w:rPr>
        <w:t>relief</w:t>
      </w:r>
      <w:r>
        <w:rPr>
          <w:i/>
          <w:color w:val="231F1F"/>
          <w:spacing w:val="-5"/>
          <w:sz w:val="22"/>
        </w:rPr>
        <w:t> </w:t>
      </w:r>
      <w:r>
        <w:rPr>
          <w:i/>
          <w:color w:val="231F1F"/>
          <w:sz w:val="22"/>
        </w:rPr>
        <w:t>of</w:t>
      </w:r>
      <w:r>
        <w:rPr>
          <w:i/>
          <w:color w:val="231F1F"/>
          <w:spacing w:val="-6"/>
          <w:sz w:val="22"/>
        </w:rPr>
        <w:t> </w:t>
      </w:r>
      <w:r>
        <w:rPr>
          <w:i/>
          <w:color w:val="231F1F"/>
          <w:sz w:val="22"/>
        </w:rPr>
        <w:t>labor</w:t>
      </w:r>
      <w:r>
        <w:rPr>
          <w:i/>
          <w:color w:val="231F1F"/>
          <w:spacing w:val="-5"/>
          <w:sz w:val="22"/>
        </w:rPr>
        <w:t> </w:t>
      </w:r>
      <w:r>
        <w:rPr>
          <w:i/>
          <w:color w:val="231F1F"/>
          <w:sz w:val="22"/>
        </w:rPr>
        <w:t>pain:</w:t>
      </w:r>
      <w:r>
        <w:rPr>
          <w:i/>
          <w:color w:val="231F1F"/>
          <w:spacing w:val="-6"/>
          <w:sz w:val="22"/>
        </w:rPr>
        <w:t> </w:t>
      </w:r>
      <w:r>
        <w:rPr>
          <w:i/>
          <w:color w:val="231F1F"/>
          <w:sz w:val="22"/>
        </w:rPr>
        <w:t>A</w:t>
      </w:r>
      <w:r>
        <w:rPr>
          <w:i/>
          <w:color w:val="231F1F"/>
          <w:spacing w:val="-6"/>
          <w:sz w:val="22"/>
        </w:rPr>
        <w:t> </w:t>
      </w:r>
      <w:r>
        <w:rPr>
          <w:i/>
          <w:color w:val="231F1F"/>
          <w:sz w:val="22"/>
        </w:rPr>
        <w:t>systematic</w:t>
      </w:r>
      <w:r>
        <w:rPr>
          <w:i/>
          <w:color w:val="231F1F"/>
          <w:spacing w:val="-6"/>
          <w:sz w:val="22"/>
        </w:rPr>
        <w:t> </w:t>
      </w:r>
      <w:r>
        <w:rPr>
          <w:i/>
          <w:color w:val="231F1F"/>
          <w:sz w:val="22"/>
        </w:rPr>
        <w:t>review</w:t>
      </w:r>
      <w:r>
        <w:rPr>
          <w:color w:val="231F1F"/>
          <w:sz w:val="22"/>
        </w:rPr>
        <w:t>.</w:t>
      </w:r>
      <w:r>
        <w:rPr>
          <w:color w:val="231F1F"/>
          <w:spacing w:val="-6"/>
          <w:sz w:val="22"/>
        </w:rPr>
        <w:t> </w:t>
      </w:r>
      <w:r>
        <w:rPr>
          <w:color w:val="231F1F"/>
          <w:sz w:val="22"/>
        </w:rPr>
        <w:t>Am</w:t>
      </w:r>
      <w:r>
        <w:rPr>
          <w:color w:val="231F1F"/>
          <w:spacing w:val="-6"/>
          <w:sz w:val="22"/>
        </w:rPr>
        <w:t> </w:t>
      </w:r>
      <w:r>
        <w:rPr>
          <w:color w:val="231F1F"/>
          <w:sz w:val="22"/>
        </w:rPr>
        <w:t>J</w:t>
      </w:r>
      <w:r>
        <w:rPr>
          <w:color w:val="231F1F"/>
          <w:spacing w:val="-6"/>
          <w:sz w:val="22"/>
        </w:rPr>
        <w:t> </w:t>
      </w:r>
      <w:r>
        <w:rPr>
          <w:color w:val="231F1F"/>
          <w:sz w:val="22"/>
        </w:rPr>
        <w:t>Obstet Gynecol 2002; 186 (Suppl 5): S131-59.</w:t>
      </w:r>
    </w:p>
    <w:p>
      <w:pPr>
        <w:pStyle w:val="ListParagraph"/>
        <w:numPr>
          <w:ilvl w:val="2"/>
          <w:numId w:val="104"/>
        </w:numPr>
        <w:tabs>
          <w:tab w:pos="1071" w:val="left" w:leader="none"/>
          <w:tab w:pos="1075" w:val="left" w:leader="none"/>
        </w:tabs>
        <w:spacing w:line="240" w:lineRule="auto" w:before="150" w:after="0"/>
        <w:ind w:left="1075" w:right="289" w:hanging="341"/>
        <w:jc w:val="left"/>
        <w:rPr>
          <w:sz w:val="22"/>
        </w:rPr>
      </w:pPr>
      <w:r>
        <w:rPr>
          <w:color w:val="231F1F"/>
          <w:w w:val="105"/>
          <w:sz w:val="22"/>
        </w:rPr>
        <w:t>Camann</w:t>
      </w:r>
      <w:r>
        <w:rPr>
          <w:color w:val="231F1F"/>
          <w:spacing w:val="-6"/>
          <w:w w:val="105"/>
          <w:sz w:val="22"/>
        </w:rPr>
        <w:t> </w:t>
      </w:r>
      <w:r>
        <w:rPr>
          <w:color w:val="231F1F"/>
          <w:w w:val="105"/>
          <w:sz w:val="22"/>
        </w:rPr>
        <w:t>W,</w:t>
      </w:r>
      <w:r>
        <w:rPr>
          <w:color w:val="231F1F"/>
          <w:spacing w:val="-7"/>
          <w:w w:val="105"/>
          <w:sz w:val="22"/>
        </w:rPr>
        <w:t> </w:t>
      </w:r>
      <w:r>
        <w:rPr>
          <w:color w:val="231F1F"/>
          <w:w w:val="105"/>
          <w:sz w:val="22"/>
        </w:rPr>
        <w:t>Alexander</w:t>
      </w:r>
      <w:r>
        <w:rPr>
          <w:color w:val="231F1F"/>
          <w:spacing w:val="-8"/>
          <w:w w:val="105"/>
          <w:sz w:val="22"/>
        </w:rPr>
        <w:t> </w:t>
      </w:r>
      <w:r>
        <w:rPr>
          <w:color w:val="231F1F"/>
          <w:w w:val="105"/>
          <w:sz w:val="22"/>
        </w:rPr>
        <w:t>K.</w:t>
      </w:r>
      <w:r>
        <w:rPr>
          <w:color w:val="231F1F"/>
          <w:spacing w:val="-8"/>
          <w:w w:val="105"/>
          <w:sz w:val="22"/>
        </w:rPr>
        <w:t> </w:t>
      </w:r>
      <w:r>
        <w:rPr>
          <w:i/>
          <w:color w:val="231F1F"/>
          <w:w w:val="105"/>
          <w:sz w:val="22"/>
        </w:rPr>
        <w:t>Easy</w:t>
      </w:r>
      <w:r>
        <w:rPr>
          <w:i/>
          <w:color w:val="231F1F"/>
          <w:spacing w:val="-8"/>
          <w:w w:val="105"/>
          <w:sz w:val="22"/>
        </w:rPr>
        <w:t> </w:t>
      </w:r>
      <w:r>
        <w:rPr>
          <w:i/>
          <w:color w:val="231F1F"/>
          <w:w w:val="105"/>
          <w:sz w:val="22"/>
        </w:rPr>
        <w:t>labor:</w:t>
      </w:r>
      <w:r>
        <w:rPr>
          <w:i/>
          <w:color w:val="231F1F"/>
          <w:spacing w:val="-8"/>
          <w:w w:val="105"/>
          <w:sz w:val="22"/>
        </w:rPr>
        <w:t> </w:t>
      </w:r>
      <w:r>
        <w:rPr>
          <w:i/>
          <w:color w:val="231F1F"/>
          <w:w w:val="105"/>
          <w:sz w:val="22"/>
        </w:rPr>
        <w:t>Every</w:t>
      </w:r>
      <w:r>
        <w:rPr>
          <w:i/>
          <w:color w:val="231F1F"/>
          <w:spacing w:val="-8"/>
          <w:w w:val="105"/>
          <w:sz w:val="22"/>
        </w:rPr>
        <w:t> </w:t>
      </w:r>
      <w:r>
        <w:rPr>
          <w:i/>
          <w:color w:val="231F1F"/>
          <w:w w:val="105"/>
          <w:sz w:val="22"/>
        </w:rPr>
        <w:t>woman’s</w:t>
      </w:r>
      <w:r>
        <w:rPr>
          <w:i/>
          <w:color w:val="231F1F"/>
          <w:spacing w:val="-8"/>
          <w:w w:val="105"/>
          <w:sz w:val="22"/>
        </w:rPr>
        <w:t> </w:t>
      </w:r>
      <w:r>
        <w:rPr>
          <w:i/>
          <w:color w:val="231F1F"/>
          <w:w w:val="105"/>
          <w:sz w:val="22"/>
        </w:rPr>
        <w:t>guide</w:t>
      </w:r>
      <w:r>
        <w:rPr>
          <w:i/>
          <w:color w:val="231F1F"/>
          <w:spacing w:val="-8"/>
          <w:w w:val="105"/>
          <w:sz w:val="22"/>
        </w:rPr>
        <w:t> </w:t>
      </w:r>
      <w:r>
        <w:rPr>
          <w:i/>
          <w:color w:val="231F1F"/>
          <w:w w:val="105"/>
          <w:sz w:val="22"/>
        </w:rPr>
        <w:t>to</w:t>
      </w:r>
      <w:r>
        <w:rPr>
          <w:i/>
          <w:color w:val="231F1F"/>
          <w:spacing w:val="-8"/>
          <w:w w:val="105"/>
          <w:sz w:val="22"/>
        </w:rPr>
        <w:t> </w:t>
      </w:r>
      <w:r>
        <w:rPr>
          <w:i/>
          <w:color w:val="231F1F"/>
          <w:w w:val="105"/>
          <w:sz w:val="22"/>
        </w:rPr>
        <w:t>choosing</w:t>
      </w:r>
      <w:r>
        <w:rPr>
          <w:i/>
          <w:color w:val="231F1F"/>
          <w:spacing w:val="-8"/>
          <w:w w:val="105"/>
          <w:sz w:val="22"/>
        </w:rPr>
        <w:t> </w:t>
      </w:r>
      <w:r>
        <w:rPr>
          <w:i/>
          <w:color w:val="231F1F"/>
          <w:w w:val="105"/>
          <w:sz w:val="22"/>
        </w:rPr>
        <w:t>less</w:t>
      </w:r>
      <w:r>
        <w:rPr>
          <w:i/>
          <w:color w:val="231F1F"/>
          <w:spacing w:val="-8"/>
          <w:w w:val="105"/>
          <w:sz w:val="22"/>
        </w:rPr>
        <w:t> </w:t>
      </w:r>
      <w:r>
        <w:rPr>
          <w:i/>
          <w:color w:val="231F1F"/>
          <w:w w:val="105"/>
          <w:sz w:val="22"/>
        </w:rPr>
        <w:t>pain and more joy during childbirth. </w:t>
      </w:r>
      <w:r>
        <w:rPr>
          <w:color w:val="231F1F"/>
          <w:w w:val="105"/>
          <w:sz w:val="22"/>
        </w:rPr>
        <w:t>New York: Ballantine Books, 2006.</w:t>
      </w:r>
    </w:p>
    <w:p>
      <w:pPr>
        <w:pStyle w:val="ListParagraph"/>
        <w:numPr>
          <w:ilvl w:val="2"/>
          <w:numId w:val="104"/>
        </w:numPr>
        <w:tabs>
          <w:tab w:pos="1071" w:val="left" w:leader="none"/>
          <w:tab w:pos="1075" w:val="left" w:leader="none"/>
        </w:tabs>
        <w:spacing w:line="249" w:lineRule="auto" w:before="166" w:after="0"/>
        <w:ind w:left="1075" w:right="426" w:hanging="341"/>
        <w:jc w:val="left"/>
        <w:rPr>
          <w:sz w:val="22"/>
        </w:rPr>
      </w:pPr>
      <w:r>
        <w:rPr>
          <w:color w:val="231F1F"/>
          <w:w w:val="105"/>
          <w:sz w:val="22"/>
        </w:rPr>
        <w:t>Leeman</w:t>
      </w:r>
      <w:r>
        <w:rPr>
          <w:color w:val="231F1F"/>
          <w:spacing w:val="-6"/>
          <w:w w:val="105"/>
          <w:sz w:val="22"/>
        </w:rPr>
        <w:t> </w:t>
      </w:r>
      <w:r>
        <w:rPr>
          <w:color w:val="231F1F"/>
          <w:w w:val="105"/>
          <w:sz w:val="22"/>
        </w:rPr>
        <w:t>L,</w:t>
      </w:r>
      <w:r>
        <w:rPr>
          <w:color w:val="231F1F"/>
          <w:spacing w:val="-6"/>
          <w:w w:val="105"/>
          <w:sz w:val="22"/>
        </w:rPr>
        <w:t> </w:t>
      </w:r>
      <w:r>
        <w:rPr>
          <w:color w:val="231F1F"/>
          <w:w w:val="105"/>
          <w:sz w:val="22"/>
        </w:rPr>
        <w:t>Fontaine</w:t>
      </w:r>
      <w:r>
        <w:rPr>
          <w:color w:val="231F1F"/>
          <w:spacing w:val="-7"/>
          <w:w w:val="105"/>
          <w:sz w:val="22"/>
        </w:rPr>
        <w:t> </w:t>
      </w:r>
      <w:r>
        <w:rPr>
          <w:color w:val="231F1F"/>
          <w:w w:val="105"/>
          <w:sz w:val="22"/>
        </w:rPr>
        <w:t>P,</w:t>
      </w:r>
      <w:r>
        <w:rPr>
          <w:color w:val="231F1F"/>
          <w:spacing w:val="-7"/>
          <w:w w:val="105"/>
          <w:sz w:val="22"/>
        </w:rPr>
        <w:t> </w:t>
      </w:r>
      <w:r>
        <w:rPr>
          <w:color w:val="231F1F"/>
          <w:w w:val="105"/>
          <w:sz w:val="22"/>
        </w:rPr>
        <w:t>King</w:t>
      </w:r>
      <w:r>
        <w:rPr>
          <w:color w:val="231F1F"/>
          <w:spacing w:val="-6"/>
          <w:w w:val="105"/>
          <w:sz w:val="22"/>
        </w:rPr>
        <w:t> </w:t>
      </w:r>
      <w:r>
        <w:rPr>
          <w:color w:val="231F1F"/>
          <w:w w:val="105"/>
          <w:sz w:val="22"/>
        </w:rPr>
        <w:t>V,</w:t>
      </w:r>
      <w:r>
        <w:rPr>
          <w:color w:val="231F1F"/>
          <w:spacing w:val="-7"/>
          <w:w w:val="105"/>
          <w:sz w:val="22"/>
        </w:rPr>
        <w:t> </w:t>
      </w:r>
      <w:r>
        <w:rPr>
          <w:color w:val="231F1F"/>
          <w:w w:val="105"/>
          <w:sz w:val="22"/>
        </w:rPr>
        <w:t>Klein</w:t>
      </w:r>
      <w:r>
        <w:rPr>
          <w:color w:val="231F1F"/>
          <w:spacing w:val="-6"/>
          <w:w w:val="105"/>
          <w:sz w:val="22"/>
        </w:rPr>
        <w:t> </w:t>
      </w:r>
      <w:r>
        <w:rPr>
          <w:color w:val="231F1F"/>
          <w:w w:val="105"/>
          <w:sz w:val="22"/>
        </w:rPr>
        <w:t>MC,</w:t>
      </w:r>
      <w:r>
        <w:rPr>
          <w:color w:val="231F1F"/>
          <w:spacing w:val="-7"/>
          <w:w w:val="105"/>
          <w:sz w:val="22"/>
        </w:rPr>
        <w:t> </w:t>
      </w:r>
      <w:r>
        <w:rPr>
          <w:color w:val="231F1F"/>
          <w:w w:val="105"/>
          <w:sz w:val="22"/>
        </w:rPr>
        <w:t>Ratcliffe</w:t>
      </w:r>
      <w:r>
        <w:rPr>
          <w:color w:val="231F1F"/>
          <w:spacing w:val="-6"/>
          <w:w w:val="105"/>
          <w:sz w:val="22"/>
        </w:rPr>
        <w:t> </w:t>
      </w:r>
      <w:r>
        <w:rPr>
          <w:color w:val="231F1F"/>
          <w:w w:val="105"/>
          <w:sz w:val="22"/>
        </w:rPr>
        <w:t>S.</w:t>
      </w:r>
      <w:r>
        <w:rPr>
          <w:color w:val="231F1F"/>
          <w:spacing w:val="-9"/>
          <w:w w:val="105"/>
          <w:sz w:val="22"/>
        </w:rPr>
        <w:t> </w:t>
      </w:r>
      <w:r>
        <w:rPr>
          <w:i/>
          <w:color w:val="231F1F"/>
          <w:w w:val="105"/>
          <w:sz w:val="22"/>
        </w:rPr>
        <w:t>Nature</w:t>
      </w:r>
      <w:r>
        <w:rPr>
          <w:i/>
          <w:color w:val="231F1F"/>
          <w:spacing w:val="-8"/>
          <w:w w:val="105"/>
          <w:sz w:val="22"/>
        </w:rPr>
        <w:t> </w:t>
      </w:r>
      <w:r>
        <w:rPr>
          <w:i/>
          <w:color w:val="231F1F"/>
          <w:w w:val="105"/>
          <w:sz w:val="22"/>
        </w:rPr>
        <w:t>and</w:t>
      </w:r>
      <w:r>
        <w:rPr>
          <w:i/>
          <w:color w:val="231F1F"/>
          <w:spacing w:val="-8"/>
          <w:w w:val="105"/>
          <w:sz w:val="22"/>
        </w:rPr>
        <w:t> </w:t>
      </w:r>
      <w:r>
        <w:rPr>
          <w:i/>
          <w:color w:val="231F1F"/>
          <w:w w:val="105"/>
          <w:sz w:val="22"/>
        </w:rPr>
        <w:t>manage</w:t>
      </w:r>
      <w:r>
        <w:rPr>
          <w:i/>
          <w:color w:val="231F1F"/>
          <w:spacing w:val="-8"/>
          <w:w w:val="105"/>
          <w:sz w:val="22"/>
        </w:rPr>
        <w:t> </w:t>
      </w:r>
      <w:r>
        <w:rPr>
          <w:i/>
          <w:color w:val="231F1F"/>
          <w:w w:val="105"/>
          <w:sz w:val="22"/>
        </w:rPr>
        <w:t>ment of labor pain. </w:t>
      </w:r>
      <w:r>
        <w:rPr>
          <w:color w:val="231F1F"/>
          <w:w w:val="105"/>
          <w:sz w:val="22"/>
        </w:rPr>
        <w:t>Am Fam Physician 2003; 68:1115-20.</w:t>
      </w:r>
    </w:p>
    <w:p>
      <w:pPr>
        <w:pStyle w:val="ListParagraph"/>
        <w:numPr>
          <w:ilvl w:val="2"/>
          <w:numId w:val="104"/>
        </w:numPr>
        <w:tabs>
          <w:tab w:pos="1069" w:val="left" w:leader="none"/>
          <w:tab w:pos="1075" w:val="left" w:leader="none"/>
        </w:tabs>
        <w:spacing w:line="244" w:lineRule="auto" w:before="155" w:after="0"/>
        <w:ind w:left="1075" w:right="196" w:hanging="341"/>
        <w:jc w:val="left"/>
        <w:rPr>
          <w:sz w:val="22"/>
        </w:rPr>
      </w:pPr>
      <w:r>
        <w:rPr>
          <w:color w:val="231F1F"/>
          <w:w w:val="105"/>
          <w:sz w:val="22"/>
        </w:rPr>
        <w:t>Marmor</w:t>
      </w:r>
      <w:r>
        <w:rPr>
          <w:color w:val="231F1F"/>
          <w:spacing w:val="-15"/>
          <w:w w:val="105"/>
          <w:sz w:val="22"/>
        </w:rPr>
        <w:t> </w:t>
      </w:r>
      <w:r>
        <w:rPr>
          <w:color w:val="231F1F"/>
          <w:w w:val="105"/>
          <w:sz w:val="22"/>
        </w:rPr>
        <w:t>TR,</w:t>
      </w:r>
      <w:r>
        <w:rPr>
          <w:color w:val="231F1F"/>
          <w:spacing w:val="-14"/>
          <w:w w:val="105"/>
          <w:sz w:val="22"/>
        </w:rPr>
        <w:t> </w:t>
      </w:r>
      <w:r>
        <w:rPr>
          <w:color w:val="231F1F"/>
          <w:w w:val="105"/>
          <w:sz w:val="22"/>
        </w:rPr>
        <w:t>Krol</w:t>
      </w:r>
      <w:r>
        <w:rPr>
          <w:color w:val="231F1F"/>
          <w:spacing w:val="-15"/>
          <w:w w:val="105"/>
          <w:sz w:val="22"/>
        </w:rPr>
        <w:t> </w:t>
      </w:r>
      <w:r>
        <w:rPr>
          <w:color w:val="231F1F"/>
          <w:w w:val="105"/>
          <w:sz w:val="22"/>
        </w:rPr>
        <w:t>DM.</w:t>
      </w:r>
      <w:r>
        <w:rPr>
          <w:color w:val="231F1F"/>
          <w:spacing w:val="-15"/>
          <w:w w:val="105"/>
          <w:sz w:val="22"/>
        </w:rPr>
        <w:t> </w:t>
      </w:r>
      <w:r>
        <w:rPr>
          <w:i/>
          <w:color w:val="231F1F"/>
          <w:w w:val="105"/>
          <w:sz w:val="22"/>
        </w:rPr>
        <w:t>Labor</w:t>
      </w:r>
      <w:r>
        <w:rPr>
          <w:i/>
          <w:color w:val="231F1F"/>
          <w:spacing w:val="-14"/>
          <w:w w:val="105"/>
          <w:sz w:val="22"/>
        </w:rPr>
        <w:t> </w:t>
      </w:r>
      <w:r>
        <w:rPr>
          <w:i/>
          <w:color w:val="231F1F"/>
          <w:w w:val="105"/>
          <w:sz w:val="22"/>
        </w:rPr>
        <w:t>pain</w:t>
      </w:r>
      <w:r>
        <w:rPr>
          <w:i/>
          <w:color w:val="231F1F"/>
          <w:spacing w:val="-15"/>
          <w:w w:val="105"/>
          <w:sz w:val="22"/>
        </w:rPr>
        <w:t> </w:t>
      </w:r>
      <w:r>
        <w:rPr>
          <w:i/>
          <w:color w:val="231F1F"/>
          <w:w w:val="105"/>
          <w:sz w:val="22"/>
        </w:rPr>
        <w:t>management</w:t>
      </w:r>
      <w:r>
        <w:rPr>
          <w:i/>
          <w:color w:val="231F1F"/>
          <w:spacing w:val="-15"/>
          <w:w w:val="105"/>
          <w:sz w:val="22"/>
        </w:rPr>
        <w:t> </w:t>
      </w:r>
      <w:r>
        <w:rPr>
          <w:i/>
          <w:color w:val="231F1F"/>
          <w:w w:val="105"/>
          <w:sz w:val="22"/>
        </w:rPr>
        <w:t>in</w:t>
      </w:r>
      <w:r>
        <w:rPr>
          <w:i/>
          <w:color w:val="231F1F"/>
          <w:spacing w:val="-15"/>
          <w:w w:val="105"/>
          <w:sz w:val="22"/>
        </w:rPr>
        <w:t> </w:t>
      </w:r>
      <w:r>
        <w:rPr>
          <w:i/>
          <w:color w:val="231F1F"/>
          <w:w w:val="105"/>
          <w:sz w:val="22"/>
        </w:rPr>
        <w:t>the</w:t>
      </w:r>
      <w:r>
        <w:rPr>
          <w:i/>
          <w:color w:val="231F1F"/>
          <w:spacing w:val="-14"/>
          <w:w w:val="105"/>
          <w:sz w:val="22"/>
        </w:rPr>
        <w:t> </w:t>
      </w:r>
      <w:r>
        <w:rPr>
          <w:i/>
          <w:color w:val="231F1F"/>
          <w:w w:val="105"/>
          <w:sz w:val="22"/>
        </w:rPr>
        <w:t>United</w:t>
      </w:r>
      <w:r>
        <w:rPr>
          <w:i/>
          <w:color w:val="231F1F"/>
          <w:spacing w:val="-16"/>
          <w:w w:val="105"/>
          <w:sz w:val="22"/>
        </w:rPr>
        <w:t> </w:t>
      </w:r>
      <w:r>
        <w:rPr>
          <w:i/>
          <w:color w:val="231F1F"/>
          <w:w w:val="105"/>
          <w:sz w:val="22"/>
        </w:rPr>
        <w:t>States:</w:t>
      </w:r>
      <w:r>
        <w:rPr>
          <w:i/>
          <w:color w:val="231F1F"/>
          <w:spacing w:val="-14"/>
          <w:w w:val="105"/>
          <w:sz w:val="22"/>
        </w:rPr>
        <w:t> </w:t>
      </w:r>
      <w:r>
        <w:rPr>
          <w:i/>
          <w:color w:val="231F1F"/>
          <w:w w:val="105"/>
          <w:sz w:val="22"/>
        </w:rPr>
        <w:t>understanding </w:t>
      </w:r>
      <w:r>
        <w:rPr>
          <w:i/>
          <w:color w:val="231F1F"/>
          <w:spacing w:val="-2"/>
          <w:w w:val="105"/>
          <w:sz w:val="22"/>
        </w:rPr>
        <w:t>patterns</w:t>
      </w:r>
      <w:r>
        <w:rPr>
          <w:i/>
          <w:color w:val="231F1F"/>
          <w:spacing w:val="-12"/>
          <w:w w:val="105"/>
          <w:sz w:val="22"/>
        </w:rPr>
        <w:t> </w:t>
      </w:r>
      <w:r>
        <w:rPr>
          <w:i/>
          <w:color w:val="231F1F"/>
          <w:spacing w:val="-2"/>
          <w:w w:val="105"/>
          <w:sz w:val="22"/>
        </w:rPr>
        <w:t>and</w:t>
      </w:r>
      <w:r>
        <w:rPr>
          <w:i/>
          <w:color w:val="231F1F"/>
          <w:spacing w:val="-12"/>
          <w:w w:val="105"/>
          <w:sz w:val="22"/>
        </w:rPr>
        <w:t> </w:t>
      </w:r>
      <w:r>
        <w:rPr>
          <w:i/>
          <w:color w:val="231F1F"/>
          <w:spacing w:val="-2"/>
          <w:w w:val="105"/>
          <w:sz w:val="22"/>
        </w:rPr>
        <w:t>the</w:t>
      </w:r>
      <w:r>
        <w:rPr>
          <w:i/>
          <w:color w:val="231F1F"/>
          <w:spacing w:val="-12"/>
          <w:w w:val="105"/>
          <w:sz w:val="22"/>
        </w:rPr>
        <w:t> </w:t>
      </w:r>
      <w:r>
        <w:rPr>
          <w:i/>
          <w:color w:val="231F1F"/>
          <w:spacing w:val="-2"/>
          <w:w w:val="105"/>
          <w:sz w:val="22"/>
        </w:rPr>
        <w:t>issue</w:t>
      </w:r>
      <w:r>
        <w:rPr>
          <w:i/>
          <w:color w:val="231F1F"/>
          <w:spacing w:val="-11"/>
          <w:w w:val="105"/>
          <w:sz w:val="22"/>
        </w:rPr>
        <w:t> </w:t>
      </w:r>
      <w:r>
        <w:rPr>
          <w:i/>
          <w:color w:val="231F1F"/>
          <w:spacing w:val="-2"/>
          <w:w w:val="105"/>
          <w:sz w:val="22"/>
        </w:rPr>
        <w:t>of</w:t>
      </w:r>
      <w:r>
        <w:rPr>
          <w:i/>
          <w:color w:val="231F1F"/>
          <w:spacing w:val="-12"/>
          <w:w w:val="105"/>
          <w:sz w:val="22"/>
        </w:rPr>
        <w:t> </w:t>
      </w:r>
      <w:r>
        <w:rPr>
          <w:i/>
          <w:color w:val="231F1F"/>
          <w:spacing w:val="-2"/>
          <w:w w:val="105"/>
          <w:sz w:val="22"/>
        </w:rPr>
        <w:t>choice</w:t>
      </w:r>
      <w:r>
        <w:rPr>
          <w:color w:val="231F1F"/>
          <w:spacing w:val="-2"/>
          <w:w w:val="105"/>
          <w:sz w:val="22"/>
        </w:rPr>
        <w:t>.</w:t>
      </w:r>
      <w:r>
        <w:rPr>
          <w:color w:val="231F1F"/>
          <w:spacing w:val="-11"/>
          <w:w w:val="105"/>
          <w:sz w:val="22"/>
        </w:rPr>
        <w:t> </w:t>
      </w:r>
      <w:r>
        <w:rPr>
          <w:color w:val="231F1F"/>
          <w:spacing w:val="-2"/>
          <w:w w:val="105"/>
          <w:sz w:val="22"/>
        </w:rPr>
        <w:t>Am</w:t>
      </w:r>
      <w:r>
        <w:rPr>
          <w:color w:val="231F1F"/>
          <w:spacing w:val="-10"/>
          <w:w w:val="105"/>
          <w:sz w:val="22"/>
        </w:rPr>
        <w:t> </w:t>
      </w:r>
      <w:r>
        <w:rPr>
          <w:color w:val="231F1F"/>
          <w:spacing w:val="-2"/>
          <w:w w:val="105"/>
          <w:sz w:val="22"/>
        </w:rPr>
        <w:t>J</w:t>
      </w:r>
      <w:r>
        <w:rPr>
          <w:color w:val="231F1F"/>
          <w:spacing w:val="-8"/>
          <w:w w:val="105"/>
          <w:sz w:val="22"/>
        </w:rPr>
        <w:t> </w:t>
      </w:r>
      <w:r>
        <w:rPr>
          <w:color w:val="231F1F"/>
          <w:spacing w:val="-2"/>
          <w:w w:val="105"/>
          <w:sz w:val="22"/>
        </w:rPr>
        <w:t>Obstet</w:t>
      </w:r>
      <w:r>
        <w:rPr>
          <w:color w:val="231F1F"/>
          <w:spacing w:val="-12"/>
          <w:w w:val="105"/>
          <w:sz w:val="22"/>
        </w:rPr>
        <w:t> </w:t>
      </w:r>
      <w:r>
        <w:rPr>
          <w:color w:val="231F1F"/>
          <w:spacing w:val="-2"/>
          <w:w w:val="105"/>
          <w:sz w:val="22"/>
        </w:rPr>
        <w:t>Gynecol</w:t>
      </w:r>
      <w:r>
        <w:rPr>
          <w:color w:val="231F1F"/>
          <w:spacing w:val="-12"/>
          <w:w w:val="105"/>
          <w:sz w:val="22"/>
        </w:rPr>
        <w:t> </w:t>
      </w:r>
      <w:r>
        <w:rPr>
          <w:color w:val="231F1F"/>
          <w:spacing w:val="-2"/>
          <w:w w:val="105"/>
          <w:sz w:val="22"/>
        </w:rPr>
        <w:t>2002;</w:t>
      </w:r>
      <w:r>
        <w:rPr>
          <w:color w:val="231F1F"/>
          <w:spacing w:val="-12"/>
          <w:w w:val="105"/>
          <w:sz w:val="22"/>
        </w:rPr>
        <w:t> </w:t>
      </w:r>
      <w:r>
        <w:rPr>
          <w:color w:val="231F1F"/>
          <w:spacing w:val="-2"/>
          <w:w w:val="105"/>
          <w:sz w:val="22"/>
        </w:rPr>
        <w:t>186</w:t>
      </w:r>
      <w:r>
        <w:rPr>
          <w:color w:val="231F1F"/>
          <w:spacing w:val="-8"/>
          <w:w w:val="105"/>
          <w:sz w:val="22"/>
        </w:rPr>
        <w:t> </w:t>
      </w:r>
      <w:r>
        <w:rPr>
          <w:color w:val="231F1F"/>
          <w:spacing w:val="-2"/>
          <w:w w:val="105"/>
          <w:sz w:val="22"/>
        </w:rPr>
        <w:t>(Suppl</w:t>
      </w:r>
      <w:r>
        <w:rPr>
          <w:color w:val="231F1F"/>
          <w:spacing w:val="-10"/>
          <w:w w:val="105"/>
          <w:sz w:val="22"/>
        </w:rPr>
        <w:t> </w:t>
      </w:r>
      <w:r>
        <w:rPr>
          <w:color w:val="231F1F"/>
          <w:spacing w:val="-2"/>
          <w:w w:val="105"/>
          <w:sz w:val="22"/>
        </w:rPr>
        <w:t>5):</w:t>
      </w:r>
      <w:r>
        <w:rPr>
          <w:color w:val="231F1F"/>
          <w:spacing w:val="-12"/>
          <w:w w:val="105"/>
          <w:sz w:val="22"/>
        </w:rPr>
        <w:t> </w:t>
      </w:r>
      <w:r>
        <w:rPr>
          <w:color w:val="231F1F"/>
          <w:spacing w:val="-2"/>
          <w:w w:val="105"/>
          <w:sz w:val="22"/>
        </w:rPr>
        <w:t>S173-80.</w:t>
      </w:r>
    </w:p>
    <w:p>
      <w:pPr>
        <w:pStyle w:val="ListParagraph"/>
        <w:spacing w:after="0" w:line="244" w:lineRule="auto"/>
        <w:jc w:val="left"/>
        <w:rPr>
          <w:sz w:val="22"/>
        </w:rPr>
        <w:sectPr>
          <w:pgSz w:w="11900" w:h="16840"/>
          <w:pgMar w:header="0" w:footer="622" w:top="1580" w:bottom="820" w:left="1417" w:right="1559"/>
        </w:sectPr>
      </w:pPr>
    </w:p>
    <w:p>
      <w:pPr>
        <w:pStyle w:val="Heading2"/>
        <w:spacing w:line="232" w:lineRule="auto" w:before="83"/>
        <w:ind w:left="1890" w:right="238" w:hanging="1609"/>
      </w:pPr>
      <w:bookmarkStart w:name="_TOC_250003" w:id="53"/>
      <w:r>
        <w:rPr>
          <w:color w:val="231F1F"/>
        </w:rPr>
        <w:t>Anexo 9.</w:t>
      </w:r>
      <w:r>
        <w:rPr>
          <w:color w:val="231F1F"/>
          <w:spacing w:val="80"/>
        </w:rPr>
        <w:t> </w:t>
      </w:r>
      <w:r>
        <w:rPr>
          <w:color w:val="231F1F"/>
        </w:rPr>
        <w:t>Información para las mujeres que elijan</w:t>
      </w:r>
      <w:r>
        <w:rPr>
          <w:color w:val="231F1F"/>
          <w:spacing w:val="80"/>
        </w:rPr>
        <w:t> </w:t>
      </w:r>
      <w:bookmarkEnd w:id="53"/>
      <w:r>
        <w:rPr>
          <w:color w:val="231F1F"/>
        </w:rPr>
        <w:t>analgesia neuroaxial</w:t>
      </w:r>
    </w:p>
    <w:p>
      <w:pPr>
        <w:pStyle w:val="BodyText"/>
        <w:spacing w:line="247" w:lineRule="auto" w:before="259"/>
        <w:ind w:left="283" w:right="124"/>
        <w:jc w:val="both"/>
      </w:pPr>
      <w:r>
        <w:rPr>
          <w:color w:val="231F1F"/>
          <w:w w:val="105"/>
        </w:rPr>
        <w:t>Antes de la elección de la epidural, la mujer debe ser informada sobre los riesgos y bene- ficios,</w:t>
      </w:r>
      <w:r>
        <w:rPr>
          <w:color w:val="231F1F"/>
          <w:w w:val="105"/>
        </w:rPr>
        <w:t> y</w:t>
      </w:r>
      <w:r>
        <w:rPr>
          <w:color w:val="231F1F"/>
          <w:w w:val="105"/>
        </w:rPr>
        <w:t> las</w:t>
      </w:r>
      <w:r>
        <w:rPr>
          <w:color w:val="231F1F"/>
          <w:w w:val="105"/>
        </w:rPr>
        <w:t> implicaciones</w:t>
      </w:r>
      <w:r>
        <w:rPr>
          <w:color w:val="231F1F"/>
          <w:w w:val="105"/>
        </w:rPr>
        <w:t> sobre</w:t>
      </w:r>
      <w:r>
        <w:rPr>
          <w:color w:val="231F1F"/>
          <w:w w:val="105"/>
        </w:rPr>
        <w:t> el</w:t>
      </w:r>
      <w:r>
        <w:rPr>
          <w:color w:val="231F1F"/>
          <w:w w:val="105"/>
        </w:rPr>
        <w:t> parto.</w:t>
      </w:r>
      <w:r>
        <w:rPr>
          <w:color w:val="231F1F"/>
          <w:w w:val="105"/>
        </w:rPr>
        <w:t> Esta</w:t>
      </w:r>
      <w:r>
        <w:rPr>
          <w:color w:val="231F1F"/>
          <w:w w:val="105"/>
        </w:rPr>
        <w:t> información</w:t>
      </w:r>
      <w:r>
        <w:rPr>
          <w:color w:val="231F1F"/>
          <w:w w:val="105"/>
        </w:rPr>
        <w:t> sobre</w:t>
      </w:r>
      <w:r>
        <w:rPr>
          <w:color w:val="231F1F"/>
          <w:w w:val="105"/>
        </w:rPr>
        <w:t> la</w:t>
      </w:r>
      <w:r>
        <w:rPr>
          <w:color w:val="231F1F"/>
          <w:w w:val="105"/>
        </w:rPr>
        <w:t> epidural</w:t>
      </w:r>
      <w:r>
        <w:rPr>
          <w:color w:val="231F1F"/>
          <w:w w:val="105"/>
        </w:rPr>
        <w:t> debe</w:t>
      </w:r>
      <w:r>
        <w:rPr>
          <w:color w:val="231F1F"/>
          <w:w w:val="105"/>
        </w:rPr>
        <w:t> incluir </w:t>
      </w:r>
      <w:r>
        <w:rPr>
          <w:color w:val="231F1F"/>
          <w:spacing w:val="-4"/>
          <w:w w:val="105"/>
        </w:rPr>
        <w:t>que:</w:t>
      </w:r>
    </w:p>
    <w:p>
      <w:pPr>
        <w:pStyle w:val="ListParagraph"/>
        <w:numPr>
          <w:ilvl w:val="0"/>
          <w:numId w:val="105"/>
        </w:numPr>
        <w:tabs>
          <w:tab w:pos="953" w:val="left" w:leader="none"/>
        </w:tabs>
        <w:spacing w:line="240" w:lineRule="auto" w:before="149" w:after="0"/>
        <w:ind w:left="953" w:right="0" w:hanging="218"/>
        <w:jc w:val="left"/>
        <w:rPr>
          <w:b/>
          <w:sz w:val="22"/>
        </w:rPr>
      </w:pPr>
      <w:r>
        <w:rPr>
          <w:color w:val="231F1F"/>
          <w:sz w:val="22"/>
        </w:rPr>
        <w:t>Proporciona</w:t>
      </w:r>
      <w:r>
        <w:rPr>
          <w:color w:val="231F1F"/>
          <w:spacing w:val="29"/>
          <w:sz w:val="22"/>
        </w:rPr>
        <w:t> </w:t>
      </w:r>
      <w:r>
        <w:rPr>
          <w:color w:val="231F1F"/>
          <w:sz w:val="22"/>
        </w:rPr>
        <w:t>mayor</w:t>
      </w:r>
      <w:r>
        <w:rPr>
          <w:color w:val="231F1F"/>
          <w:spacing w:val="31"/>
          <w:sz w:val="22"/>
        </w:rPr>
        <w:t> </w:t>
      </w:r>
      <w:r>
        <w:rPr>
          <w:color w:val="231F1F"/>
          <w:sz w:val="22"/>
        </w:rPr>
        <w:t>alivio</w:t>
      </w:r>
      <w:r>
        <w:rPr>
          <w:color w:val="231F1F"/>
          <w:spacing w:val="33"/>
          <w:sz w:val="22"/>
        </w:rPr>
        <w:t> </w:t>
      </w:r>
      <w:r>
        <w:rPr>
          <w:color w:val="231F1F"/>
          <w:sz w:val="22"/>
        </w:rPr>
        <w:t>del</w:t>
      </w:r>
      <w:r>
        <w:rPr>
          <w:color w:val="231F1F"/>
          <w:spacing w:val="31"/>
          <w:sz w:val="22"/>
        </w:rPr>
        <w:t> </w:t>
      </w:r>
      <w:r>
        <w:rPr>
          <w:color w:val="231F1F"/>
          <w:sz w:val="22"/>
        </w:rPr>
        <w:t>dolor</w:t>
      </w:r>
      <w:r>
        <w:rPr>
          <w:color w:val="231F1F"/>
          <w:spacing w:val="31"/>
          <w:sz w:val="22"/>
        </w:rPr>
        <w:t> </w:t>
      </w:r>
      <w:r>
        <w:rPr>
          <w:color w:val="231F1F"/>
          <w:sz w:val="22"/>
        </w:rPr>
        <w:t>que</w:t>
      </w:r>
      <w:r>
        <w:rPr>
          <w:color w:val="231F1F"/>
          <w:spacing w:val="33"/>
          <w:sz w:val="22"/>
        </w:rPr>
        <w:t> </w:t>
      </w:r>
      <w:r>
        <w:rPr>
          <w:color w:val="231F1F"/>
          <w:sz w:val="22"/>
        </w:rPr>
        <w:t>los</w:t>
      </w:r>
      <w:r>
        <w:rPr>
          <w:color w:val="231F1F"/>
          <w:spacing w:val="31"/>
          <w:sz w:val="22"/>
        </w:rPr>
        <w:t> </w:t>
      </w:r>
      <w:r>
        <w:rPr>
          <w:color w:val="231F1F"/>
          <w:sz w:val="22"/>
        </w:rPr>
        <w:t>opioides.</w:t>
      </w:r>
      <w:r>
        <w:rPr>
          <w:color w:val="231F1F"/>
          <w:spacing w:val="33"/>
          <w:sz w:val="22"/>
        </w:rPr>
        <w:t> </w:t>
      </w:r>
      <w:r>
        <w:rPr>
          <w:b/>
          <w:color w:val="231F1F"/>
          <w:spacing w:val="-10"/>
          <w:sz w:val="22"/>
        </w:rPr>
        <w:t>A</w:t>
      </w:r>
    </w:p>
    <w:p>
      <w:pPr>
        <w:pStyle w:val="ListParagraph"/>
        <w:numPr>
          <w:ilvl w:val="0"/>
          <w:numId w:val="105"/>
        </w:numPr>
        <w:tabs>
          <w:tab w:pos="955" w:val="left" w:leader="none"/>
        </w:tabs>
        <w:spacing w:line="244" w:lineRule="auto" w:before="150" w:after="0"/>
        <w:ind w:left="955" w:right="220" w:hanging="219"/>
        <w:jc w:val="left"/>
        <w:rPr>
          <w:b/>
          <w:sz w:val="22"/>
        </w:rPr>
      </w:pPr>
      <w:r>
        <w:rPr>
          <w:color w:val="231F1F"/>
          <w:w w:val="110"/>
          <w:sz w:val="22"/>
        </w:rPr>
        <w:t>No</w:t>
      </w:r>
      <w:r>
        <w:rPr>
          <w:color w:val="231F1F"/>
          <w:spacing w:val="-16"/>
          <w:w w:val="110"/>
          <w:sz w:val="22"/>
        </w:rPr>
        <w:t> </w:t>
      </w:r>
      <w:r>
        <w:rPr>
          <w:color w:val="231F1F"/>
          <w:w w:val="110"/>
          <w:sz w:val="22"/>
        </w:rPr>
        <w:t>está</w:t>
      </w:r>
      <w:r>
        <w:rPr>
          <w:color w:val="231F1F"/>
          <w:spacing w:val="-15"/>
          <w:w w:val="110"/>
          <w:sz w:val="22"/>
        </w:rPr>
        <w:t> </w:t>
      </w:r>
      <w:r>
        <w:rPr>
          <w:color w:val="231F1F"/>
          <w:w w:val="110"/>
          <w:sz w:val="22"/>
        </w:rPr>
        <w:t>asociada</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una</w:t>
      </w:r>
      <w:r>
        <w:rPr>
          <w:color w:val="231F1F"/>
          <w:spacing w:val="-14"/>
          <w:w w:val="110"/>
          <w:sz w:val="22"/>
        </w:rPr>
        <w:t> </w:t>
      </w:r>
      <w:r>
        <w:rPr>
          <w:color w:val="231F1F"/>
          <w:w w:val="110"/>
          <w:sz w:val="22"/>
        </w:rPr>
        <w:t>1ª</w:t>
      </w:r>
      <w:r>
        <w:rPr>
          <w:color w:val="231F1F"/>
          <w:spacing w:val="-16"/>
          <w:w w:val="110"/>
          <w:sz w:val="22"/>
        </w:rPr>
        <w:t> </w:t>
      </w:r>
      <w:r>
        <w:rPr>
          <w:color w:val="231F1F"/>
          <w:w w:val="110"/>
          <w:sz w:val="22"/>
        </w:rPr>
        <w:t>etapa</w:t>
      </w:r>
      <w:r>
        <w:rPr>
          <w:color w:val="231F1F"/>
          <w:spacing w:val="-13"/>
          <w:w w:val="110"/>
          <w:sz w:val="22"/>
        </w:rPr>
        <w:t> </w:t>
      </w:r>
      <w:r>
        <w:rPr>
          <w:color w:val="231F1F"/>
          <w:w w:val="110"/>
          <w:sz w:val="22"/>
        </w:rPr>
        <w:t>del</w:t>
      </w:r>
      <w:r>
        <w:rPr>
          <w:color w:val="231F1F"/>
          <w:spacing w:val="-16"/>
          <w:w w:val="110"/>
          <w:sz w:val="22"/>
        </w:rPr>
        <w:t> </w:t>
      </w:r>
      <w:r>
        <w:rPr>
          <w:color w:val="231F1F"/>
          <w:w w:val="110"/>
          <w:sz w:val="22"/>
        </w:rPr>
        <w:t>parto</w:t>
      </w:r>
      <w:r>
        <w:rPr>
          <w:color w:val="231F1F"/>
          <w:spacing w:val="-13"/>
          <w:w w:val="110"/>
          <w:sz w:val="22"/>
        </w:rPr>
        <w:t> </w:t>
      </w:r>
      <w:r>
        <w:rPr>
          <w:color w:val="231F1F"/>
          <w:w w:val="110"/>
          <w:sz w:val="22"/>
        </w:rPr>
        <w:t>más</w:t>
      </w:r>
      <w:r>
        <w:rPr>
          <w:color w:val="231F1F"/>
          <w:spacing w:val="-14"/>
          <w:w w:val="110"/>
          <w:sz w:val="22"/>
        </w:rPr>
        <w:t> </w:t>
      </w:r>
      <w:r>
        <w:rPr>
          <w:color w:val="231F1F"/>
          <w:w w:val="110"/>
          <w:sz w:val="22"/>
        </w:rPr>
        <w:t>prolongada,</w:t>
      </w:r>
      <w:r>
        <w:rPr>
          <w:color w:val="231F1F"/>
          <w:spacing w:val="-16"/>
          <w:w w:val="110"/>
          <w:sz w:val="22"/>
        </w:rPr>
        <w:t> </w:t>
      </w:r>
      <w:r>
        <w:rPr>
          <w:color w:val="231F1F"/>
          <w:w w:val="110"/>
          <w:sz w:val="22"/>
        </w:rPr>
        <w:t>ni</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mayores</w:t>
      </w:r>
      <w:r>
        <w:rPr>
          <w:color w:val="231F1F"/>
          <w:spacing w:val="-14"/>
          <w:w w:val="110"/>
          <w:sz w:val="22"/>
        </w:rPr>
        <w:t> </w:t>
      </w:r>
      <w:r>
        <w:rPr>
          <w:color w:val="231F1F"/>
          <w:w w:val="110"/>
          <w:sz w:val="22"/>
        </w:rPr>
        <w:t>tasas de cesárea. </w:t>
      </w:r>
      <w:r>
        <w:rPr>
          <w:b/>
          <w:color w:val="231F1F"/>
          <w:w w:val="110"/>
          <w:sz w:val="22"/>
        </w:rPr>
        <w:t>A</w:t>
      </w:r>
    </w:p>
    <w:p>
      <w:pPr>
        <w:pStyle w:val="ListParagraph"/>
        <w:numPr>
          <w:ilvl w:val="0"/>
          <w:numId w:val="105"/>
        </w:numPr>
        <w:tabs>
          <w:tab w:pos="955" w:val="left" w:leader="none"/>
        </w:tabs>
        <w:spacing w:line="254" w:lineRule="auto" w:before="147" w:after="0"/>
        <w:ind w:left="955" w:right="239" w:hanging="220"/>
        <w:jc w:val="left"/>
        <w:rPr>
          <w:b/>
          <w:sz w:val="22"/>
        </w:rPr>
      </w:pPr>
      <w:r>
        <w:rPr>
          <w:color w:val="231F1F"/>
          <w:w w:val="110"/>
          <w:sz w:val="22"/>
        </w:rPr>
        <w:t>Está</w:t>
      </w:r>
      <w:r>
        <w:rPr>
          <w:color w:val="231F1F"/>
          <w:spacing w:val="-4"/>
          <w:w w:val="110"/>
          <w:sz w:val="22"/>
        </w:rPr>
        <w:t> </w:t>
      </w:r>
      <w:r>
        <w:rPr>
          <w:color w:val="231F1F"/>
          <w:w w:val="110"/>
          <w:sz w:val="22"/>
        </w:rPr>
        <w:t>asociada</w:t>
      </w:r>
      <w:r>
        <w:rPr>
          <w:color w:val="231F1F"/>
          <w:spacing w:val="-3"/>
          <w:w w:val="110"/>
          <w:sz w:val="22"/>
        </w:rPr>
        <w:t> </w:t>
      </w:r>
      <w:r>
        <w:rPr>
          <w:color w:val="231F1F"/>
          <w:w w:val="110"/>
          <w:sz w:val="22"/>
        </w:rPr>
        <w:t>con</w:t>
      </w:r>
      <w:r>
        <w:rPr>
          <w:color w:val="231F1F"/>
          <w:spacing w:val="-3"/>
          <w:w w:val="110"/>
          <w:sz w:val="22"/>
        </w:rPr>
        <w:t> </w:t>
      </w:r>
      <w:r>
        <w:rPr>
          <w:color w:val="231F1F"/>
          <w:w w:val="110"/>
          <w:sz w:val="22"/>
        </w:rPr>
        <w:t>una</w:t>
      </w:r>
      <w:r>
        <w:rPr>
          <w:color w:val="231F1F"/>
          <w:spacing w:val="-3"/>
          <w:w w:val="110"/>
          <w:sz w:val="22"/>
        </w:rPr>
        <w:t> </w:t>
      </w:r>
      <w:r>
        <w:rPr>
          <w:color w:val="231F1F"/>
          <w:w w:val="110"/>
          <w:sz w:val="22"/>
        </w:rPr>
        <w:t>2ª</w:t>
      </w:r>
      <w:r>
        <w:rPr>
          <w:color w:val="231F1F"/>
          <w:spacing w:val="-4"/>
          <w:w w:val="110"/>
          <w:sz w:val="22"/>
        </w:rPr>
        <w:t> </w:t>
      </w:r>
      <w:r>
        <w:rPr>
          <w:color w:val="231F1F"/>
          <w:w w:val="110"/>
          <w:sz w:val="22"/>
        </w:rPr>
        <w:t>etapa</w:t>
      </w:r>
      <w:r>
        <w:rPr>
          <w:color w:val="231F1F"/>
          <w:spacing w:val="-3"/>
          <w:w w:val="110"/>
          <w:sz w:val="22"/>
        </w:rPr>
        <w:t> </w:t>
      </w:r>
      <w:r>
        <w:rPr>
          <w:color w:val="231F1F"/>
          <w:w w:val="110"/>
          <w:sz w:val="22"/>
        </w:rPr>
        <w:t>del</w:t>
      </w:r>
      <w:r>
        <w:rPr>
          <w:color w:val="231F1F"/>
          <w:spacing w:val="-4"/>
          <w:w w:val="110"/>
          <w:sz w:val="22"/>
        </w:rPr>
        <w:t> </w:t>
      </w:r>
      <w:r>
        <w:rPr>
          <w:color w:val="231F1F"/>
          <w:w w:val="110"/>
          <w:sz w:val="22"/>
        </w:rPr>
        <w:t>parto</w:t>
      </w:r>
      <w:r>
        <w:rPr>
          <w:color w:val="231F1F"/>
          <w:spacing w:val="-4"/>
          <w:w w:val="110"/>
          <w:sz w:val="22"/>
        </w:rPr>
        <w:t> </w:t>
      </w:r>
      <w:r>
        <w:rPr>
          <w:color w:val="231F1F"/>
          <w:w w:val="110"/>
          <w:sz w:val="22"/>
        </w:rPr>
        <w:t>más</w:t>
      </w:r>
      <w:r>
        <w:rPr>
          <w:color w:val="231F1F"/>
          <w:spacing w:val="-3"/>
          <w:w w:val="110"/>
          <w:sz w:val="22"/>
        </w:rPr>
        <w:t> </w:t>
      </w:r>
      <w:r>
        <w:rPr>
          <w:color w:val="231F1F"/>
          <w:w w:val="110"/>
          <w:sz w:val="22"/>
        </w:rPr>
        <w:t>prolongada,</w:t>
      </w:r>
      <w:r>
        <w:rPr>
          <w:color w:val="231F1F"/>
          <w:spacing w:val="-4"/>
          <w:w w:val="110"/>
          <w:sz w:val="22"/>
        </w:rPr>
        <w:t> </w:t>
      </w:r>
      <w:r>
        <w:rPr>
          <w:color w:val="231F1F"/>
          <w:w w:val="110"/>
          <w:sz w:val="22"/>
        </w:rPr>
        <w:t>y</w:t>
      </w:r>
      <w:r>
        <w:rPr>
          <w:color w:val="231F1F"/>
          <w:spacing w:val="-3"/>
          <w:w w:val="110"/>
          <w:sz w:val="22"/>
        </w:rPr>
        <w:t> </w:t>
      </w:r>
      <w:r>
        <w:rPr>
          <w:color w:val="231F1F"/>
          <w:w w:val="110"/>
          <w:sz w:val="22"/>
        </w:rPr>
        <w:t>con</w:t>
      </w:r>
      <w:r>
        <w:rPr>
          <w:color w:val="231F1F"/>
          <w:spacing w:val="-3"/>
          <w:w w:val="110"/>
          <w:sz w:val="22"/>
        </w:rPr>
        <w:t> </w:t>
      </w:r>
      <w:r>
        <w:rPr>
          <w:color w:val="231F1F"/>
          <w:w w:val="110"/>
          <w:sz w:val="22"/>
        </w:rPr>
        <w:t>mayor</w:t>
      </w:r>
      <w:r>
        <w:rPr>
          <w:color w:val="231F1F"/>
          <w:spacing w:val="-3"/>
          <w:w w:val="110"/>
          <w:sz w:val="22"/>
        </w:rPr>
        <w:t> </w:t>
      </w:r>
      <w:r>
        <w:rPr>
          <w:color w:val="231F1F"/>
          <w:w w:val="110"/>
          <w:sz w:val="22"/>
        </w:rPr>
        <w:t>riesgo</w:t>
      </w:r>
      <w:r>
        <w:rPr>
          <w:color w:val="231F1F"/>
          <w:spacing w:val="-3"/>
          <w:w w:val="110"/>
          <w:sz w:val="22"/>
        </w:rPr>
        <w:t> </w:t>
      </w:r>
      <w:r>
        <w:rPr>
          <w:color w:val="231F1F"/>
          <w:w w:val="110"/>
          <w:sz w:val="22"/>
        </w:rPr>
        <w:t>de parto</w:t>
      </w:r>
      <w:r>
        <w:rPr>
          <w:color w:val="231F1F"/>
          <w:w w:val="110"/>
          <w:sz w:val="22"/>
        </w:rPr>
        <w:t> vaginal</w:t>
      </w:r>
      <w:r>
        <w:rPr>
          <w:color w:val="231F1F"/>
          <w:w w:val="110"/>
          <w:sz w:val="22"/>
        </w:rPr>
        <w:t> instrumental.</w:t>
      </w:r>
      <w:r>
        <w:rPr>
          <w:color w:val="231F1F"/>
          <w:w w:val="110"/>
          <w:sz w:val="22"/>
        </w:rPr>
        <w:t> </w:t>
      </w:r>
      <w:r>
        <w:rPr>
          <w:b/>
          <w:color w:val="231F1F"/>
          <w:w w:val="110"/>
          <w:sz w:val="22"/>
        </w:rPr>
        <w:t>A</w:t>
      </w:r>
    </w:p>
    <w:p>
      <w:pPr>
        <w:pStyle w:val="ListParagraph"/>
        <w:numPr>
          <w:ilvl w:val="0"/>
          <w:numId w:val="105"/>
        </w:numPr>
        <w:tabs>
          <w:tab w:pos="951" w:val="left" w:leader="none"/>
        </w:tabs>
        <w:spacing w:line="240" w:lineRule="auto" w:before="150" w:after="0"/>
        <w:ind w:left="951" w:right="0" w:hanging="218"/>
        <w:jc w:val="left"/>
        <w:rPr>
          <w:sz w:val="22"/>
        </w:rPr>
      </w:pPr>
      <w:r>
        <w:rPr>
          <w:color w:val="231F1F"/>
          <w:sz w:val="22"/>
        </w:rPr>
        <w:t>Obliga</w:t>
      </w:r>
      <w:r>
        <w:rPr>
          <w:color w:val="231F1F"/>
          <w:spacing w:val="32"/>
          <w:sz w:val="22"/>
        </w:rPr>
        <w:t> </w:t>
      </w:r>
      <w:r>
        <w:rPr>
          <w:color w:val="231F1F"/>
          <w:sz w:val="22"/>
        </w:rPr>
        <w:t>a</w:t>
      </w:r>
      <w:r>
        <w:rPr>
          <w:color w:val="231F1F"/>
          <w:spacing w:val="33"/>
          <w:sz w:val="22"/>
        </w:rPr>
        <w:t> </w:t>
      </w:r>
      <w:r>
        <w:rPr>
          <w:color w:val="231F1F"/>
          <w:sz w:val="22"/>
        </w:rPr>
        <w:t>una</w:t>
      </w:r>
      <w:r>
        <w:rPr>
          <w:color w:val="231F1F"/>
          <w:spacing w:val="32"/>
          <w:sz w:val="22"/>
        </w:rPr>
        <w:t> </w:t>
      </w:r>
      <w:r>
        <w:rPr>
          <w:color w:val="231F1F"/>
          <w:sz w:val="22"/>
        </w:rPr>
        <w:t>más</w:t>
      </w:r>
      <w:r>
        <w:rPr>
          <w:color w:val="231F1F"/>
          <w:spacing w:val="33"/>
          <w:sz w:val="22"/>
        </w:rPr>
        <w:t> </w:t>
      </w:r>
      <w:r>
        <w:rPr>
          <w:color w:val="231F1F"/>
          <w:sz w:val="22"/>
        </w:rPr>
        <w:t>intensa</w:t>
      </w:r>
      <w:r>
        <w:rPr>
          <w:color w:val="231F1F"/>
          <w:spacing w:val="32"/>
          <w:sz w:val="22"/>
        </w:rPr>
        <w:t> </w:t>
      </w:r>
      <w:r>
        <w:rPr>
          <w:color w:val="231F1F"/>
          <w:sz w:val="22"/>
        </w:rPr>
        <w:t>monitorización</w:t>
      </w:r>
      <w:r>
        <w:rPr>
          <w:color w:val="231F1F"/>
          <w:spacing w:val="33"/>
          <w:sz w:val="22"/>
        </w:rPr>
        <w:t> </w:t>
      </w:r>
      <w:r>
        <w:rPr>
          <w:color w:val="231F1F"/>
          <w:sz w:val="22"/>
        </w:rPr>
        <w:t>y</w:t>
      </w:r>
      <w:r>
        <w:rPr>
          <w:color w:val="231F1F"/>
          <w:spacing w:val="32"/>
          <w:sz w:val="22"/>
        </w:rPr>
        <w:t> </w:t>
      </w:r>
      <w:r>
        <w:rPr>
          <w:color w:val="231F1F"/>
          <w:sz w:val="22"/>
        </w:rPr>
        <w:t>a</w:t>
      </w:r>
      <w:r>
        <w:rPr>
          <w:color w:val="231F1F"/>
          <w:spacing w:val="33"/>
          <w:sz w:val="22"/>
        </w:rPr>
        <w:t> </w:t>
      </w:r>
      <w:r>
        <w:rPr>
          <w:color w:val="231F1F"/>
          <w:sz w:val="22"/>
        </w:rPr>
        <w:t>procedimientos</w:t>
      </w:r>
      <w:r>
        <w:rPr>
          <w:color w:val="231F1F"/>
          <w:spacing w:val="33"/>
          <w:sz w:val="22"/>
        </w:rPr>
        <w:t> </w:t>
      </w:r>
      <w:r>
        <w:rPr>
          <w:color w:val="231F1F"/>
          <w:sz w:val="22"/>
        </w:rPr>
        <w:t>invasivos.</w:t>
      </w:r>
      <w:r>
        <w:rPr>
          <w:color w:val="231F1F"/>
          <w:spacing w:val="34"/>
          <w:sz w:val="22"/>
        </w:rPr>
        <w:t> </w:t>
      </w:r>
      <w:r>
        <w:rPr>
          <w:color w:val="231F1F"/>
          <w:spacing w:val="-10"/>
          <w:sz w:val="22"/>
        </w:rPr>
        <w:t>{</w:t>
      </w:r>
    </w:p>
    <w:p>
      <w:pPr>
        <w:pStyle w:val="ListParagraph"/>
        <w:numPr>
          <w:ilvl w:val="0"/>
          <w:numId w:val="105"/>
        </w:numPr>
        <w:tabs>
          <w:tab w:pos="951" w:val="left" w:leader="none"/>
        </w:tabs>
        <w:spacing w:line="240" w:lineRule="auto" w:before="160" w:after="0"/>
        <w:ind w:left="951" w:right="0" w:hanging="218"/>
        <w:jc w:val="left"/>
        <w:rPr>
          <w:b/>
          <w:sz w:val="22"/>
        </w:rPr>
      </w:pPr>
      <w:r>
        <w:rPr>
          <w:color w:val="231F1F"/>
          <w:sz w:val="22"/>
        </w:rPr>
        <w:t>No</w:t>
      </w:r>
      <w:r>
        <w:rPr>
          <w:color w:val="231F1F"/>
          <w:spacing w:val="26"/>
          <w:sz w:val="22"/>
        </w:rPr>
        <w:t> </w:t>
      </w:r>
      <w:r>
        <w:rPr>
          <w:color w:val="231F1F"/>
          <w:sz w:val="22"/>
        </w:rPr>
        <w:t>está</w:t>
      </w:r>
      <w:r>
        <w:rPr>
          <w:color w:val="231F1F"/>
          <w:spacing w:val="27"/>
          <w:sz w:val="22"/>
        </w:rPr>
        <w:t> </w:t>
      </w:r>
      <w:r>
        <w:rPr>
          <w:color w:val="231F1F"/>
          <w:sz w:val="22"/>
        </w:rPr>
        <w:t>asociada</w:t>
      </w:r>
      <w:r>
        <w:rPr>
          <w:color w:val="231F1F"/>
          <w:spacing w:val="29"/>
          <w:sz w:val="22"/>
        </w:rPr>
        <w:t> </w:t>
      </w:r>
      <w:r>
        <w:rPr>
          <w:color w:val="231F1F"/>
          <w:sz w:val="22"/>
        </w:rPr>
        <w:t>con</w:t>
      </w:r>
      <w:r>
        <w:rPr>
          <w:color w:val="231F1F"/>
          <w:spacing w:val="26"/>
          <w:sz w:val="22"/>
        </w:rPr>
        <w:t> </w:t>
      </w:r>
      <w:r>
        <w:rPr>
          <w:color w:val="231F1F"/>
          <w:sz w:val="22"/>
        </w:rPr>
        <w:t>dolor</w:t>
      </w:r>
      <w:r>
        <w:rPr>
          <w:color w:val="231F1F"/>
          <w:spacing w:val="29"/>
          <w:sz w:val="22"/>
        </w:rPr>
        <w:t> </w:t>
      </w:r>
      <w:r>
        <w:rPr>
          <w:color w:val="231F1F"/>
          <w:sz w:val="22"/>
        </w:rPr>
        <w:t>de</w:t>
      </w:r>
      <w:r>
        <w:rPr>
          <w:color w:val="231F1F"/>
          <w:spacing w:val="28"/>
          <w:sz w:val="22"/>
        </w:rPr>
        <w:t> </w:t>
      </w:r>
      <w:r>
        <w:rPr>
          <w:color w:val="231F1F"/>
          <w:sz w:val="22"/>
        </w:rPr>
        <w:t>espalda</w:t>
      </w:r>
      <w:r>
        <w:rPr>
          <w:color w:val="231F1F"/>
          <w:spacing w:val="28"/>
          <w:sz w:val="22"/>
        </w:rPr>
        <w:t> </w:t>
      </w:r>
      <w:r>
        <w:rPr>
          <w:color w:val="231F1F"/>
          <w:sz w:val="22"/>
        </w:rPr>
        <w:t>a</w:t>
      </w:r>
      <w:r>
        <w:rPr>
          <w:color w:val="231F1F"/>
          <w:spacing w:val="27"/>
          <w:sz w:val="22"/>
        </w:rPr>
        <w:t> </w:t>
      </w:r>
      <w:r>
        <w:rPr>
          <w:color w:val="231F1F"/>
          <w:sz w:val="22"/>
        </w:rPr>
        <w:t>largo</w:t>
      </w:r>
      <w:r>
        <w:rPr>
          <w:color w:val="231F1F"/>
          <w:spacing w:val="29"/>
          <w:sz w:val="22"/>
        </w:rPr>
        <w:t> </w:t>
      </w:r>
      <w:r>
        <w:rPr>
          <w:color w:val="231F1F"/>
          <w:sz w:val="22"/>
        </w:rPr>
        <w:t>plazo.</w:t>
      </w:r>
      <w:r>
        <w:rPr>
          <w:color w:val="231F1F"/>
          <w:spacing w:val="25"/>
          <w:sz w:val="22"/>
        </w:rPr>
        <w:t> </w:t>
      </w:r>
      <w:r>
        <w:rPr>
          <w:b/>
          <w:color w:val="231F1F"/>
          <w:spacing w:val="-10"/>
          <w:sz w:val="22"/>
        </w:rPr>
        <w:t>A</w:t>
      </w:r>
    </w:p>
    <w:p>
      <w:pPr>
        <w:pStyle w:val="ListParagraph"/>
        <w:spacing w:after="0" w:line="240" w:lineRule="auto"/>
        <w:jc w:val="left"/>
        <w:rPr>
          <w:b/>
          <w:sz w:val="22"/>
        </w:rPr>
        <w:sectPr>
          <w:pgSz w:w="11900" w:h="16840"/>
          <w:pgMar w:header="0" w:footer="622" w:top="1520" w:bottom="820" w:left="1417" w:right="1559"/>
        </w:sectPr>
      </w:pPr>
    </w:p>
    <w:p>
      <w:pPr>
        <w:pStyle w:val="Heading2"/>
        <w:spacing w:before="68"/>
        <w:ind w:left="283" w:firstLine="0"/>
        <w:jc w:val="both"/>
      </w:pPr>
      <w:bookmarkStart w:name="_TOC_250002" w:id="54"/>
      <w:r>
        <w:rPr>
          <w:color w:val="231F1F"/>
        </w:rPr>
        <w:t>Anexo</w:t>
      </w:r>
      <w:r>
        <w:rPr>
          <w:color w:val="231F1F"/>
          <w:spacing w:val="35"/>
        </w:rPr>
        <w:t> </w:t>
      </w:r>
      <w:r>
        <w:rPr>
          <w:color w:val="231F1F"/>
        </w:rPr>
        <w:t>10.</w:t>
      </w:r>
      <w:r>
        <w:rPr>
          <w:color w:val="231F1F"/>
          <w:spacing w:val="33"/>
        </w:rPr>
        <w:t>  </w:t>
      </w:r>
      <w:r>
        <w:rPr>
          <w:color w:val="231F1F"/>
        </w:rPr>
        <w:t>Vigilancia</w:t>
      </w:r>
      <w:r>
        <w:rPr>
          <w:color w:val="231F1F"/>
          <w:spacing w:val="37"/>
        </w:rPr>
        <w:t> </w:t>
      </w:r>
      <w:bookmarkEnd w:id="54"/>
      <w:r>
        <w:rPr>
          <w:color w:val="231F1F"/>
          <w:spacing w:val="-2"/>
        </w:rPr>
        <w:t>materna</w:t>
      </w:r>
    </w:p>
    <w:p>
      <w:pPr>
        <w:pStyle w:val="BodyText"/>
        <w:spacing w:line="244" w:lineRule="auto" w:before="259"/>
        <w:ind w:left="283" w:right="125"/>
        <w:jc w:val="both"/>
      </w:pPr>
      <w:r>
        <w:rPr>
          <w:color w:val="231F1F"/>
          <w:w w:val="110"/>
        </w:rPr>
        <w:t>La</w:t>
      </w:r>
      <w:r>
        <w:rPr>
          <w:color w:val="231F1F"/>
          <w:spacing w:val="-4"/>
          <w:w w:val="110"/>
        </w:rPr>
        <w:t> </w:t>
      </w:r>
      <w:r>
        <w:rPr>
          <w:color w:val="231F1F"/>
          <w:w w:val="110"/>
        </w:rPr>
        <w:t>presión</w:t>
      </w:r>
      <w:r>
        <w:rPr>
          <w:color w:val="231F1F"/>
          <w:spacing w:val="-4"/>
          <w:w w:val="110"/>
        </w:rPr>
        <w:t> </w:t>
      </w:r>
      <w:r>
        <w:rPr>
          <w:color w:val="231F1F"/>
          <w:w w:val="110"/>
        </w:rPr>
        <w:t>sanguínea</w:t>
      </w:r>
      <w:r>
        <w:rPr>
          <w:color w:val="231F1F"/>
          <w:spacing w:val="-4"/>
          <w:w w:val="110"/>
        </w:rPr>
        <w:t> </w:t>
      </w:r>
      <w:r>
        <w:rPr>
          <w:color w:val="231F1F"/>
          <w:w w:val="110"/>
        </w:rPr>
        <w:t>debería</w:t>
      </w:r>
      <w:r>
        <w:rPr>
          <w:color w:val="231F1F"/>
          <w:spacing w:val="-4"/>
          <w:w w:val="110"/>
        </w:rPr>
        <w:t> </w:t>
      </w:r>
      <w:r>
        <w:rPr>
          <w:color w:val="231F1F"/>
          <w:w w:val="110"/>
        </w:rPr>
        <w:t>ser</w:t>
      </w:r>
      <w:r>
        <w:rPr>
          <w:color w:val="231F1F"/>
          <w:spacing w:val="-4"/>
          <w:w w:val="110"/>
        </w:rPr>
        <w:t> </w:t>
      </w:r>
      <w:r>
        <w:rPr>
          <w:color w:val="231F1F"/>
          <w:w w:val="110"/>
        </w:rPr>
        <w:t>medida</w:t>
      </w:r>
      <w:r>
        <w:rPr>
          <w:color w:val="231F1F"/>
          <w:spacing w:val="-4"/>
          <w:w w:val="110"/>
        </w:rPr>
        <w:t> </w:t>
      </w:r>
      <w:r>
        <w:rPr>
          <w:color w:val="231F1F"/>
          <w:w w:val="110"/>
        </w:rPr>
        <w:t>durante</w:t>
      </w:r>
      <w:r>
        <w:rPr>
          <w:color w:val="231F1F"/>
          <w:spacing w:val="-4"/>
          <w:w w:val="110"/>
        </w:rPr>
        <w:t> </w:t>
      </w:r>
      <w:r>
        <w:rPr>
          <w:color w:val="231F1F"/>
          <w:w w:val="110"/>
        </w:rPr>
        <w:t>el</w:t>
      </w:r>
      <w:r>
        <w:rPr>
          <w:color w:val="231F1F"/>
          <w:spacing w:val="-4"/>
          <w:w w:val="110"/>
        </w:rPr>
        <w:t> </w:t>
      </w:r>
      <w:r>
        <w:rPr>
          <w:color w:val="231F1F"/>
          <w:w w:val="110"/>
        </w:rPr>
        <w:t>establecimiento</w:t>
      </w:r>
      <w:r>
        <w:rPr>
          <w:color w:val="231F1F"/>
          <w:spacing w:val="-4"/>
          <w:w w:val="110"/>
        </w:rPr>
        <w:t> </w:t>
      </w:r>
      <w:r>
        <w:rPr>
          <w:color w:val="231F1F"/>
          <w:w w:val="110"/>
        </w:rPr>
        <w:t>de</w:t>
      </w:r>
      <w:r>
        <w:rPr>
          <w:color w:val="231F1F"/>
          <w:spacing w:val="-4"/>
          <w:w w:val="110"/>
        </w:rPr>
        <w:t> </w:t>
      </w:r>
      <w:r>
        <w:rPr>
          <w:color w:val="231F1F"/>
          <w:w w:val="110"/>
        </w:rPr>
        <w:t>la</w:t>
      </w:r>
      <w:r>
        <w:rPr>
          <w:color w:val="231F1F"/>
          <w:spacing w:val="-4"/>
          <w:w w:val="110"/>
        </w:rPr>
        <w:t> </w:t>
      </w:r>
      <w:r>
        <w:rPr>
          <w:color w:val="231F1F"/>
          <w:w w:val="110"/>
        </w:rPr>
        <w:t>analgesia</w:t>
      </w:r>
      <w:r>
        <w:rPr>
          <w:color w:val="231F1F"/>
          <w:spacing w:val="-3"/>
          <w:w w:val="110"/>
        </w:rPr>
        <w:t> </w:t>
      </w:r>
      <w:r>
        <w:rPr>
          <w:color w:val="231F1F"/>
          <w:w w:val="110"/>
        </w:rPr>
        <w:t>neu- roaxial</w:t>
      </w:r>
      <w:r>
        <w:rPr>
          <w:color w:val="231F1F"/>
          <w:spacing w:val="-10"/>
          <w:w w:val="110"/>
        </w:rPr>
        <w:t> </w:t>
      </w:r>
      <w:r>
        <w:rPr>
          <w:color w:val="231F1F"/>
          <w:w w:val="110"/>
        </w:rPr>
        <w:t>cada</w:t>
      </w:r>
      <w:r>
        <w:rPr>
          <w:color w:val="231F1F"/>
          <w:spacing w:val="-10"/>
          <w:w w:val="110"/>
        </w:rPr>
        <w:t> </w:t>
      </w:r>
      <w:r>
        <w:rPr>
          <w:color w:val="231F1F"/>
          <w:w w:val="110"/>
        </w:rPr>
        <w:t>5</w:t>
      </w:r>
      <w:r>
        <w:rPr>
          <w:color w:val="231F1F"/>
          <w:spacing w:val="-10"/>
          <w:w w:val="110"/>
        </w:rPr>
        <w:t> </w:t>
      </w:r>
      <w:r>
        <w:rPr>
          <w:color w:val="231F1F"/>
          <w:w w:val="110"/>
        </w:rPr>
        <w:t>minutos</w:t>
      </w:r>
      <w:r>
        <w:rPr>
          <w:color w:val="231F1F"/>
          <w:spacing w:val="-11"/>
          <w:w w:val="110"/>
        </w:rPr>
        <w:t> </w:t>
      </w:r>
      <w:r>
        <w:rPr>
          <w:color w:val="231F1F"/>
          <w:w w:val="110"/>
        </w:rPr>
        <w:t>durante</w:t>
      </w:r>
      <w:r>
        <w:rPr>
          <w:color w:val="231F1F"/>
          <w:spacing w:val="-11"/>
          <w:w w:val="110"/>
        </w:rPr>
        <w:t> </w:t>
      </w:r>
      <w:r>
        <w:rPr>
          <w:color w:val="231F1F"/>
          <w:w w:val="110"/>
        </w:rPr>
        <w:t>los</w:t>
      </w:r>
      <w:r>
        <w:rPr>
          <w:color w:val="231F1F"/>
          <w:spacing w:val="-11"/>
          <w:w w:val="110"/>
        </w:rPr>
        <w:t> </w:t>
      </w:r>
      <w:r>
        <w:rPr>
          <w:color w:val="231F1F"/>
          <w:w w:val="110"/>
        </w:rPr>
        <w:t>primeros</w:t>
      </w:r>
      <w:r>
        <w:rPr>
          <w:color w:val="231F1F"/>
          <w:spacing w:val="-11"/>
          <w:w w:val="110"/>
        </w:rPr>
        <w:t> </w:t>
      </w:r>
      <w:r>
        <w:rPr>
          <w:color w:val="231F1F"/>
          <w:w w:val="110"/>
        </w:rPr>
        <w:t>15</w:t>
      </w:r>
      <w:r>
        <w:rPr>
          <w:color w:val="231F1F"/>
          <w:spacing w:val="-10"/>
          <w:w w:val="110"/>
        </w:rPr>
        <w:t> </w:t>
      </w:r>
      <w:r>
        <w:rPr>
          <w:color w:val="231F1F"/>
          <w:w w:val="110"/>
        </w:rPr>
        <w:t>minutos</w:t>
      </w:r>
      <w:r>
        <w:rPr>
          <w:color w:val="231F1F"/>
          <w:spacing w:val="-11"/>
          <w:w w:val="110"/>
        </w:rPr>
        <w:t> </w:t>
      </w:r>
      <w:r>
        <w:rPr>
          <w:color w:val="231F1F"/>
          <w:w w:val="110"/>
        </w:rPr>
        <w:t>y</w:t>
      </w:r>
      <w:r>
        <w:rPr>
          <w:color w:val="231F1F"/>
          <w:spacing w:val="-10"/>
          <w:w w:val="110"/>
        </w:rPr>
        <w:t> </w:t>
      </w:r>
      <w:r>
        <w:rPr>
          <w:color w:val="231F1F"/>
          <w:w w:val="110"/>
        </w:rPr>
        <w:t>tras</w:t>
      </w:r>
      <w:r>
        <w:rPr>
          <w:color w:val="231F1F"/>
          <w:spacing w:val="-11"/>
          <w:w w:val="110"/>
        </w:rPr>
        <w:t> </w:t>
      </w:r>
      <w:r>
        <w:rPr>
          <w:color w:val="231F1F"/>
          <w:w w:val="110"/>
        </w:rPr>
        <w:t>cada</w:t>
      </w:r>
      <w:r>
        <w:rPr>
          <w:color w:val="231F1F"/>
          <w:spacing w:val="-10"/>
          <w:w w:val="110"/>
        </w:rPr>
        <w:t> </w:t>
      </w:r>
      <w:r>
        <w:rPr>
          <w:color w:val="231F1F"/>
          <w:w w:val="110"/>
        </w:rPr>
        <w:t>bolo</w:t>
      </w:r>
      <w:r>
        <w:rPr>
          <w:color w:val="231F1F"/>
          <w:spacing w:val="-10"/>
          <w:w w:val="110"/>
        </w:rPr>
        <w:t> </w:t>
      </w:r>
      <w:r>
        <w:rPr>
          <w:color w:val="231F1F"/>
          <w:w w:val="110"/>
        </w:rPr>
        <w:t>cuando</w:t>
      </w:r>
      <w:r>
        <w:rPr>
          <w:color w:val="231F1F"/>
          <w:spacing w:val="-10"/>
          <w:w w:val="110"/>
        </w:rPr>
        <w:t> </w:t>
      </w:r>
      <w:r>
        <w:rPr>
          <w:color w:val="231F1F"/>
          <w:w w:val="110"/>
        </w:rPr>
        <w:t>se</w:t>
      </w:r>
      <w:r>
        <w:rPr>
          <w:color w:val="231F1F"/>
          <w:spacing w:val="-10"/>
          <w:w w:val="110"/>
        </w:rPr>
        <w:t> </w:t>
      </w:r>
      <w:r>
        <w:rPr>
          <w:color w:val="231F1F"/>
          <w:w w:val="110"/>
        </w:rPr>
        <w:t>admi- nistra de forma intermitente.</w:t>
      </w:r>
    </w:p>
    <w:p>
      <w:pPr>
        <w:pStyle w:val="BodyText"/>
        <w:spacing w:line="244" w:lineRule="auto" w:before="138"/>
        <w:ind w:left="283" w:firstLine="453"/>
      </w:pPr>
      <w:r>
        <w:rPr>
          <w:color w:val="231F1F"/>
          <w:w w:val="110"/>
        </w:rPr>
        <w:t>Si</w:t>
      </w:r>
      <w:r>
        <w:rPr>
          <w:color w:val="231F1F"/>
          <w:spacing w:val="-7"/>
          <w:w w:val="110"/>
        </w:rPr>
        <w:t> </w:t>
      </w:r>
      <w:r>
        <w:rPr>
          <w:color w:val="231F1F"/>
          <w:w w:val="110"/>
        </w:rPr>
        <w:t>la</w:t>
      </w:r>
      <w:r>
        <w:rPr>
          <w:color w:val="231F1F"/>
          <w:spacing w:val="-6"/>
          <w:w w:val="110"/>
        </w:rPr>
        <w:t> </w:t>
      </w:r>
      <w:r>
        <w:rPr>
          <w:color w:val="231F1F"/>
          <w:w w:val="110"/>
        </w:rPr>
        <w:t>paciente</w:t>
      </w:r>
      <w:r>
        <w:rPr>
          <w:color w:val="231F1F"/>
          <w:spacing w:val="-6"/>
          <w:w w:val="110"/>
        </w:rPr>
        <w:t> </w:t>
      </w:r>
      <w:r>
        <w:rPr>
          <w:color w:val="231F1F"/>
          <w:w w:val="110"/>
        </w:rPr>
        <w:t>no</w:t>
      </w:r>
      <w:r>
        <w:rPr>
          <w:color w:val="231F1F"/>
          <w:spacing w:val="-6"/>
          <w:w w:val="110"/>
        </w:rPr>
        <w:t> </w:t>
      </w:r>
      <w:r>
        <w:rPr>
          <w:color w:val="231F1F"/>
          <w:w w:val="110"/>
        </w:rPr>
        <w:t>está</w:t>
      </w:r>
      <w:r>
        <w:rPr>
          <w:color w:val="231F1F"/>
          <w:spacing w:val="-6"/>
          <w:w w:val="110"/>
        </w:rPr>
        <w:t> </w:t>
      </w:r>
      <w:r>
        <w:rPr>
          <w:color w:val="231F1F"/>
          <w:w w:val="110"/>
        </w:rPr>
        <w:t>libre</w:t>
      </w:r>
      <w:r>
        <w:rPr>
          <w:color w:val="231F1F"/>
          <w:spacing w:val="-6"/>
          <w:w w:val="110"/>
        </w:rPr>
        <w:t> </w:t>
      </w:r>
      <w:r>
        <w:rPr>
          <w:color w:val="231F1F"/>
          <w:w w:val="110"/>
        </w:rPr>
        <w:t>de</w:t>
      </w:r>
      <w:r>
        <w:rPr>
          <w:color w:val="231F1F"/>
          <w:spacing w:val="-6"/>
          <w:w w:val="110"/>
        </w:rPr>
        <w:t> </w:t>
      </w:r>
      <w:r>
        <w:rPr>
          <w:color w:val="231F1F"/>
          <w:w w:val="110"/>
        </w:rPr>
        <w:t>dolor</w:t>
      </w:r>
      <w:r>
        <w:rPr>
          <w:color w:val="231F1F"/>
          <w:spacing w:val="-6"/>
          <w:w w:val="110"/>
        </w:rPr>
        <w:t> </w:t>
      </w:r>
      <w:r>
        <w:rPr>
          <w:color w:val="231F1F"/>
          <w:w w:val="110"/>
        </w:rPr>
        <w:t>30</w:t>
      </w:r>
      <w:r>
        <w:rPr>
          <w:color w:val="231F1F"/>
          <w:spacing w:val="-6"/>
          <w:w w:val="110"/>
        </w:rPr>
        <w:t> </w:t>
      </w:r>
      <w:r>
        <w:rPr>
          <w:color w:val="231F1F"/>
          <w:w w:val="110"/>
        </w:rPr>
        <w:t>minutos</w:t>
      </w:r>
      <w:r>
        <w:rPr>
          <w:color w:val="231F1F"/>
          <w:spacing w:val="-6"/>
          <w:w w:val="110"/>
        </w:rPr>
        <w:t> </w:t>
      </w:r>
      <w:r>
        <w:rPr>
          <w:color w:val="231F1F"/>
          <w:w w:val="110"/>
        </w:rPr>
        <w:t>después</w:t>
      </w:r>
      <w:r>
        <w:rPr>
          <w:color w:val="231F1F"/>
          <w:spacing w:val="-6"/>
          <w:w w:val="110"/>
        </w:rPr>
        <w:t> </w:t>
      </w:r>
      <w:r>
        <w:rPr>
          <w:color w:val="231F1F"/>
          <w:w w:val="110"/>
        </w:rPr>
        <w:t>de</w:t>
      </w:r>
      <w:r>
        <w:rPr>
          <w:color w:val="231F1F"/>
          <w:spacing w:val="-6"/>
          <w:w w:val="110"/>
        </w:rPr>
        <w:t> </w:t>
      </w:r>
      <w:r>
        <w:rPr>
          <w:color w:val="231F1F"/>
          <w:w w:val="110"/>
        </w:rPr>
        <w:t>cada</w:t>
      </w:r>
      <w:r>
        <w:rPr>
          <w:color w:val="231F1F"/>
          <w:spacing w:val="-6"/>
          <w:w w:val="110"/>
        </w:rPr>
        <w:t> </w:t>
      </w:r>
      <w:r>
        <w:rPr>
          <w:color w:val="231F1F"/>
          <w:w w:val="110"/>
        </w:rPr>
        <w:t>administración</w:t>
      </w:r>
      <w:r>
        <w:rPr>
          <w:color w:val="231F1F"/>
          <w:spacing w:val="-6"/>
          <w:w w:val="110"/>
        </w:rPr>
        <w:t> </w:t>
      </w:r>
      <w:r>
        <w:rPr>
          <w:color w:val="231F1F"/>
          <w:w w:val="110"/>
        </w:rPr>
        <w:t>de anestésico local y/o opioide, el profesional de anestesia debería reevaluarla.</w:t>
      </w:r>
    </w:p>
    <w:p>
      <w:pPr>
        <w:pStyle w:val="BodyText"/>
        <w:spacing w:line="254" w:lineRule="auto" w:before="160"/>
        <w:ind w:left="283" w:right="355" w:firstLine="453"/>
      </w:pPr>
      <w:r>
        <w:rPr>
          <w:color w:val="231F1F"/>
        </w:rPr>
        <w:t>Se deben llevar</w:t>
      </w:r>
      <w:r>
        <w:rPr>
          <w:color w:val="231F1F"/>
          <w:spacing w:val="21"/>
        </w:rPr>
        <w:t> </w:t>
      </w:r>
      <w:r>
        <w:rPr>
          <w:color w:val="231F1F"/>
        </w:rPr>
        <w:t>a cabo evaluaciones horarias del nivel de bloqueo sensorial</w:t>
      </w:r>
      <w:r>
        <w:rPr>
          <w:color w:val="231F1F"/>
          <w:spacing w:val="20"/>
        </w:rPr>
        <w:t> </w:t>
      </w:r>
      <w:r>
        <w:rPr>
          <w:color w:val="231F1F"/>
        </w:rPr>
        <w:t>y del grado</w:t>
      </w:r>
      <w:r>
        <w:rPr>
          <w:color w:val="231F1F"/>
          <w:spacing w:val="80"/>
        </w:rPr>
        <w:t> </w:t>
      </w:r>
      <w:r>
        <w:rPr>
          <w:color w:val="231F1F"/>
        </w:rPr>
        <w:t>de bloqueo motor.</w:t>
      </w:r>
    </w:p>
    <w:p>
      <w:pPr>
        <w:pStyle w:val="BodyText"/>
        <w:spacing w:line="244" w:lineRule="auto" w:before="136"/>
        <w:ind w:left="283" w:right="116" w:firstLine="453"/>
      </w:pPr>
      <w:r>
        <w:rPr>
          <w:color w:val="231F1F"/>
        </w:rPr>
        <w:t>Se</w:t>
      </w:r>
      <w:r>
        <w:rPr>
          <w:color w:val="231F1F"/>
          <w:spacing w:val="26"/>
        </w:rPr>
        <w:t> </w:t>
      </w:r>
      <w:r>
        <w:rPr>
          <w:color w:val="231F1F"/>
        </w:rPr>
        <w:t>recomienda</w:t>
      </w:r>
      <w:r>
        <w:rPr>
          <w:color w:val="231F1F"/>
          <w:spacing w:val="28"/>
        </w:rPr>
        <w:t> </w:t>
      </w:r>
      <w:r>
        <w:rPr>
          <w:color w:val="231F1F"/>
        </w:rPr>
        <w:t>la</w:t>
      </w:r>
      <w:r>
        <w:rPr>
          <w:color w:val="231F1F"/>
          <w:spacing w:val="30"/>
        </w:rPr>
        <w:t> </w:t>
      </w:r>
      <w:r>
        <w:rPr>
          <w:color w:val="231F1F"/>
        </w:rPr>
        <w:t>MEC</w:t>
      </w:r>
      <w:r>
        <w:rPr>
          <w:color w:val="231F1F"/>
          <w:spacing w:val="28"/>
        </w:rPr>
        <w:t> </w:t>
      </w:r>
      <w:r>
        <w:rPr>
          <w:color w:val="231F1F"/>
        </w:rPr>
        <w:t>de</w:t>
      </w:r>
      <w:r>
        <w:rPr>
          <w:color w:val="231F1F"/>
          <w:spacing w:val="28"/>
        </w:rPr>
        <w:t> </w:t>
      </w:r>
      <w:r>
        <w:rPr>
          <w:color w:val="231F1F"/>
        </w:rPr>
        <w:t>la</w:t>
      </w:r>
      <w:r>
        <w:rPr>
          <w:color w:val="231F1F"/>
          <w:spacing w:val="28"/>
        </w:rPr>
        <w:t> </w:t>
      </w:r>
      <w:r>
        <w:rPr>
          <w:color w:val="231F1F"/>
        </w:rPr>
        <w:t>FCF</w:t>
      </w:r>
      <w:r>
        <w:rPr>
          <w:color w:val="231F1F"/>
          <w:spacing w:val="28"/>
        </w:rPr>
        <w:t> </w:t>
      </w:r>
      <w:r>
        <w:rPr>
          <w:color w:val="231F1F"/>
        </w:rPr>
        <w:t>durante</w:t>
      </w:r>
      <w:r>
        <w:rPr>
          <w:color w:val="231F1F"/>
          <w:spacing w:val="28"/>
        </w:rPr>
        <w:t> </w:t>
      </w:r>
      <w:r>
        <w:rPr>
          <w:color w:val="231F1F"/>
        </w:rPr>
        <w:t>los</w:t>
      </w:r>
      <w:r>
        <w:rPr>
          <w:color w:val="231F1F"/>
          <w:spacing w:val="28"/>
        </w:rPr>
        <w:t> </w:t>
      </w:r>
      <w:r>
        <w:rPr>
          <w:color w:val="231F1F"/>
        </w:rPr>
        <w:t>primeros</w:t>
      </w:r>
      <w:r>
        <w:rPr>
          <w:color w:val="231F1F"/>
          <w:spacing w:val="28"/>
        </w:rPr>
        <w:t> </w:t>
      </w:r>
      <w:r>
        <w:rPr>
          <w:color w:val="231F1F"/>
        </w:rPr>
        <w:t>30</w:t>
      </w:r>
      <w:r>
        <w:rPr>
          <w:color w:val="231F1F"/>
          <w:spacing w:val="28"/>
        </w:rPr>
        <w:t> </w:t>
      </w:r>
      <w:r>
        <w:rPr>
          <w:color w:val="231F1F"/>
        </w:rPr>
        <w:t>min</w:t>
      </w:r>
      <w:r>
        <w:rPr>
          <w:color w:val="231F1F"/>
          <w:spacing w:val="28"/>
        </w:rPr>
        <w:t> </w:t>
      </w:r>
      <w:r>
        <w:rPr>
          <w:color w:val="231F1F"/>
        </w:rPr>
        <w:t>del</w:t>
      </w:r>
      <w:r>
        <w:rPr>
          <w:color w:val="231F1F"/>
          <w:spacing w:val="24"/>
        </w:rPr>
        <w:t> </w:t>
      </w:r>
      <w:r>
        <w:rPr>
          <w:color w:val="231F1F"/>
        </w:rPr>
        <w:t>establecimiento</w:t>
      </w:r>
      <w:r>
        <w:rPr>
          <w:color w:val="231F1F"/>
          <w:spacing w:val="30"/>
        </w:rPr>
        <w:t> </w:t>
      </w:r>
      <w:r>
        <w:rPr>
          <w:color w:val="231F1F"/>
        </w:rPr>
        <w:t>de </w:t>
      </w:r>
      <w:r>
        <w:rPr>
          <w:color w:val="231F1F"/>
          <w:w w:val="110"/>
        </w:rPr>
        <w:t>la analgesia neuroaxial y tras la administración de cada siguiente bolo de 10 ml o más.</w:t>
      </w:r>
    </w:p>
    <w:p>
      <w:pPr>
        <w:pStyle w:val="BodyText"/>
        <w:spacing w:after="0" w:line="244" w:lineRule="auto"/>
        <w:sectPr>
          <w:pgSz w:w="11900" w:h="16840"/>
          <w:pgMar w:header="0" w:footer="622" w:top="1540" w:bottom="820" w:left="1417" w:right="1559"/>
        </w:sectPr>
      </w:pPr>
    </w:p>
    <w:p>
      <w:pPr>
        <w:pStyle w:val="Heading2"/>
        <w:tabs>
          <w:tab w:pos="2057" w:val="left" w:leader="none"/>
        </w:tabs>
        <w:spacing w:before="68"/>
        <w:ind w:left="283" w:firstLine="0"/>
      </w:pPr>
      <w:bookmarkStart w:name="_TOC_250001" w:id="55"/>
      <w:r>
        <w:rPr>
          <w:color w:val="231F1F"/>
        </w:rPr>
        <w:t>Anexo</w:t>
      </w:r>
      <w:r>
        <w:rPr>
          <w:color w:val="231F1F"/>
          <w:spacing w:val="31"/>
        </w:rPr>
        <w:t> </w:t>
      </w:r>
      <w:r>
        <w:rPr>
          <w:color w:val="231F1F"/>
          <w:spacing w:val="-5"/>
        </w:rPr>
        <w:t>11.</w:t>
      </w:r>
      <w:r>
        <w:rPr>
          <w:color w:val="231F1F"/>
        </w:rPr>
        <w:tab/>
        <w:t>Técnica</w:t>
      </w:r>
      <w:r>
        <w:rPr>
          <w:color w:val="231F1F"/>
          <w:spacing w:val="17"/>
        </w:rPr>
        <w:t> </w:t>
      </w:r>
      <w:r>
        <w:rPr>
          <w:color w:val="231F1F"/>
        </w:rPr>
        <w:t>de</w:t>
      </w:r>
      <w:r>
        <w:rPr>
          <w:color w:val="231F1F"/>
          <w:spacing w:val="17"/>
        </w:rPr>
        <w:t> </w:t>
      </w:r>
      <w:r>
        <w:rPr>
          <w:color w:val="231F1F"/>
        </w:rPr>
        <w:t>la</w:t>
      </w:r>
      <w:r>
        <w:rPr>
          <w:color w:val="231F1F"/>
          <w:spacing w:val="17"/>
        </w:rPr>
        <w:t> </w:t>
      </w:r>
      <w:r>
        <w:rPr>
          <w:color w:val="231F1F"/>
        </w:rPr>
        <w:t>auscultación</w:t>
      </w:r>
      <w:r>
        <w:rPr>
          <w:color w:val="231F1F"/>
          <w:spacing w:val="18"/>
        </w:rPr>
        <w:t> </w:t>
      </w:r>
      <w:r>
        <w:rPr>
          <w:color w:val="231F1F"/>
        </w:rPr>
        <w:t>fetal</w:t>
      </w:r>
      <w:r>
        <w:rPr>
          <w:color w:val="231F1F"/>
          <w:spacing w:val="16"/>
        </w:rPr>
        <w:t> </w:t>
      </w:r>
      <w:bookmarkEnd w:id="55"/>
      <w:r>
        <w:rPr>
          <w:color w:val="231F1F"/>
          <w:spacing w:val="-2"/>
        </w:rPr>
        <w:t>intermitente</w:t>
      </w:r>
    </w:p>
    <w:p>
      <w:pPr>
        <w:pStyle w:val="ListParagraph"/>
        <w:numPr>
          <w:ilvl w:val="0"/>
          <w:numId w:val="105"/>
        </w:numPr>
        <w:tabs>
          <w:tab w:pos="959" w:val="left" w:leader="none"/>
          <w:tab w:pos="963" w:val="left" w:leader="none"/>
        </w:tabs>
        <w:spacing w:line="244" w:lineRule="auto" w:before="268" w:after="0"/>
        <w:ind w:left="963" w:right="124" w:hanging="228"/>
        <w:jc w:val="both"/>
        <w:rPr>
          <w:sz w:val="22"/>
        </w:rPr>
      </w:pPr>
      <w:r>
        <w:rPr>
          <w:color w:val="231F1F"/>
          <w:w w:val="105"/>
          <w:sz w:val="22"/>
        </w:rPr>
        <w:t>Antes de iniciar cualquier método de monitorización fetal, la mujer deber ser infor- mada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los</w:t>
      </w:r>
      <w:r>
        <w:rPr>
          <w:color w:val="231F1F"/>
          <w:spacing w:val="40"/>
          <w:w w:val="105"/>
          <w:sz w:val="22"/>
        </w:rPr>
        <w:t> </w:t>
      </w:r>
      <w:r>
        <w:rPr>
          <w:color w:val="231F1F"/>
          <w:w w:val="105"/>
          <w:sz w:val="22"/>
        </w:rPr>
        <w:t>beneficios</w:t>
      </w:r>
      <w:r>
        <w:rPr>
          <w:color w:val="231F1F"/>
          <w:spacing w:val="40"/>
          <w:w w:val="105"/>
          <w:sz w:val="22"/>
        </w:rPr>
        <w:t> </w:t>
      </w:r>
      <w:r>
        <w:rPr>
          <w:color w:val="231F1F"/>
          <w:w w:val="105"/>
          <w:sz w:val="22"/>
        </w:rPr>
        <w:t>y</w:t>
      </w:r>
      <w:r>
        <w:rPr>
          <w:color w:val="231F1F"/>
          <w:spacing w:val="40"/>
          <w:w w:val="105"/>
          <w:sz w:val="22"/>
        </w:rPr>
        <w:t> </w:t>
      </w:r>
      <w:r>
        <w:rPr>
          <w:color w:val="231F1F"/>
          <w:w w:val="105"/>
          <w:sz w:val="22"/>
        </w:rPr>
        <w:t>riesgos</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cada</w:t>
      </w:r>
      <w:r>
        <w:rPr>
          <w:color w:val="231F1F"/>
          <w:spacing w:val="40"/>
          <w:w w:val="105"/>
          <w:sz w:val="22"/>
        </w:rPr>
        <w:t> </w:t>
      </w:r>
      <w:r>
        <w:rPr>
          <w:color w:val="231F1F"/>
          <w:w w:val="105"/>
          <w:sz w:val="22"/>
        </w:rPr>
        <w:t>una</w:t>
      </w:r>
      <w:r>
        <w:rPr>
          <w:color w:val="231F1F"/>
          <w:spacing w:val="40"/>
          <w:w w:val="105"/>
          <w:sz w:val="22"/>
        </w:rPr>
        <w:t> </w:t>
      </w:r>
      <w:r>
        <w:rPr>
          <w:color w:val="231F1F"/>
          <w:w w:val="105"/>
          <w:sz w:val="22"/>
        </w:rPr>
        <w:t>de</w:t>
      </w:r>
      <w:r>
        <w:rPr>
          <w:color w:val="231F1F"/>
          <w:spacing w:val="40"/>
          <w:w w:val="105"/>
          <w:sz w:val="22"/>
        </w:rPr>
        <w:t> </w:t>
      </w:r>
      <w:r>
        <w:rPr>
          <w:color w:val="231F1F"/>
          <w:w w:val="105"/>
          <w:sz w:val="22"/>
        </w:rPr>
        <w:t>las</w:t>
      </w:r>
      <w:r>
        <w:rPr>
          <w:color w:val="231F1F"/>
          <w:spacing w:val="40"/>
          <w:w w:val="105"/>
          <w:sz w:val="22"/>
        </w:rPr>
        <w:t> </w:t>
      </w:r>
      <w:r>
        <w:rPr>
          <w:color w:val="231F1F"/>
          <w:w w:val="105"/>
          <w:sz w:val="22"/>
        </w:rPr>
        <w:t>técnicas</w:t>
      </w:r>
    </w:p>
    <w:p>
      <w:pPr>
        <w:pStyle w:val="ListParagraph"/>
        <w:numPr>
          <w:ilvl w:val="0"/>
          <w:numId w:val="105"/>
        </w:numPr>
        <w:tabs>
          <w:tab w:pos="963" w:val="left" w:leader="none"/>
        </w:tabs>
        <w:spacing w:line="240" w:lineRule="auto" w:before="142" w:after="0"/>
        <w:ind w:left="963" w:right="125" w:hanging="227"/>
        <w:jc w:val="both"/>
        <w:rPr>
          <w:sz w:val="22"/>
        </w:rPr>
      </w:pPr>
      <w:r>
        <w:rPr>
          <w:color w:val="231F1F"/>
          <w:w w:val="110"/>
          <w:sz w:val="22"/>
        </w:rPr>
        <w:t>La</w:t>
      </w:r>
      <w:r>
        <w:rPr>
          <w:color w:val="231F1F"/>
          <w:spacing w:val="-12"/>
          <w:w w:val="110"/>
          <w:sz w:val="22"/>
        </w:rPr>
        <w:t> </w:t>
      </w:r>
      <w:r>
        <w:rPr>
          <w:color w:val="231F1F"/>
          <w:w w:val="110"/>
          <w:sz w:val="22"/>
        </w:rPr>
        <w:t>auscultación</w:t>
      </w:r>
      <w:r>
        <w:rPr>
          <w:color w:val="231F1F"/>
          <w:spacing w:val="-12"/>
          <w:w w:val="110"/>
          <w:sz w:val="22"/>
        </w:rPr>
        <w:t> </w:t>
      </w:r>
      <w:r>
        <w:rPr>
          <w:color w:val="231F1F"/>
          <w:w w:val="110"/>
          <w:sz w:val="22"/>
        </w:rPr>
        <w:t>puede</w:t>
      </w:r>
      <w:r>
        <w:rPr>
          <w:color w:val="231F1F"/>
          <w:spacing w:val="-13"/>
          <w:w w:val="110"/>
          <w:sz w:val="22"/>
        </w:rPr>
        <w:t> </w:t>
      </w:r>
      <w:r>
        <w:rPr>
          <w:color w:val="231F1F"/>
          <w:w w:val="110"/>
          <w:sz w:val="22"/>
        </w:rPr>
        <w:t>realizarse</w:t>
      </w:r>
      <w:r>
        <w:rPr>
          <w:color w:val="231F1F"/>
          <w:spacing w:val="-12"/>
          <w:w w:val="110"/>
          <w:sz w:val="22"/>
        </w:rPr>
        <w:t> </w:t>
      </w:r>
      <w:r>
        <w:rPr>
          <w:color w:val="231F1F"/>
          <w:w w:val="110"/>
          <w:sz w:val="22"/>
        </w:rPr>
        <w:t>tanto</w:t>
      </w:r>
      <w:r>
        <w:rPr>
          <w:color w:val="231F1F"/>
          <w:spacing w:val="-12"/>
          <w:w w:val="110"/>
          <w:sz w:val="22"/>
        </w:rPr>
        <w:t> </w:t>
      </w:r>
      <w:r>
        <w:rPr>
          <w:color w:val="231F1F"/>
          <w:w w:val="110"/>
          <w:sz w:val="22"/>
        </w:rPr>
        <w:t>con</w:t>
      </w:r>
      <w:r>
        <w:rPr>
          <w:color w:val="231F1F"/>
          <w:spacing w:val="-12"/>
          <w:w w:val="110"/>
          <w:sz w:val="22"/>
        </w:rPr>
        <w:t> </w:t>
      </w:r>
      <w:r>
        <w:rPr>
          <w:color w:val="231F1F"/>
          <w:w w:val="110"/>
          <w:sz w:val="22"/>
        </w:rPr>
        <w:t>ultrasonido</w:t>
      </w:r>
      <w:r>
        <w:rPr>
          <w:color w:val="231F1F"/>
          <w:spacing w:val="-12"/>
          <w:w w:val="110"/>
          <w:sz w:val="22"/>
        </w:rPr>
        <w:t> </w:t>
      </w:r>
      <w:r>
        <w:rPr>
          <w:color w:val="231F1F"/>
          <w:w w:val="110"/>
          <w:sz w:val="22"/>
        </w:rPr>
        <w:t>Doppler</w:t>
      </w:r>
      <w:r>
        <w:rPr>
          <w:color w:val="231F1F"/>
          <w:spacing w:val="-12"/>
          <w:w w:val="110"/>
          <w:sz w:val="22"/>
        </w:rPr>
        <w:t> </w:t>
      </w:r>
      <w:r>
        <w:rPr>
          <w:color w:val="231F1F"/>
          <w:w w:val="110"/>
          <w:sz w:val="22"/>
        </w:rPr>
        <w:t>como</w:t>
      </w:r>
      <w:r>
        <w:rPr>
          <w:color w:val="231F1F"/>
          <w:spacing w:val="-12"/>
          <w:w w:val="110"/>
          <w:sz w:val="22"/>
        </w:rPr>
        <w:t> </w:t>
      </w:r>
      <w:r>
        <w:rPr>
          <w:color w:val="231F1F"/>
          <w:w w:val="110"/>
          <w:sz w:val="22"/>
        </w:rPr>
        <w:t>con</w:t>
      </w:r>
      <w:r>
        <w:rPr>
          <w:color w:val="231F1F"/>
          <w:spacing w:val="-12"/>
          <w:w w:val="110"/>
          <w:sz w:val="22"/>
        </w:rPr>
        <w:t> </w:t>
      </w:r>
      <w:r>
        <w:rPr>
          <w:color w:val="231F1F"/>
          <w:w w:val="110"/>
          <w:sz w:val="22"/>
        </w:rPr>
        <w:t>estetos- copio de Pinard</w:t>
      </w:r>
    </w:p>
    <w:p>
      <w:pPr>
        <w:pStyle w:val="ListParagraph"/>
        <w:numPr>
          <w:ilvl w:val="0"/>
          <w:numId w:val="105"/>
        </w:numPr>
        <w:tabs>
          <w:tab w:pos="963" w:val="left" w:leader="none"/>
        </w:tabs>
        <w:spacing w:line="244" w:lineRule="auto" w:before="161" w:after="0"/>
        <w:ind w:left="963" w:right="122" w:hanging="227"/>
        <w:jc w:val="both"/>
        <w:rPr>
          <w:sz w:val="22"/>
        </w:rPr>
      </w:pPr>
      <w:r>
        <w:rPr>
          <w:color w:val="231F1F"/>
          <w:w w:val="105"/>
          <w:sz w:val="22"/>
        </w:rPr>
        <w:t>Se recomienda una auscultación cardiaca fetal en la primera evaluación del prepar- to</w:t>
      </w:r>
      <w:r>
        <w:rPr>
          <w:color w:val="231F1F"/>
          <w:spacing w:val="40"/>
          <w:w w:val="105"/>
          <w:sz w:val="22"/>
        </w:rPr>
        <w:t> </w:t>
      </w:r>
      <w:r>
        <w:rPr>
          <w:color w:val="231F1F"/>
          <w:w w:val="105"/>
          <w:sz w:val="22"/>
        </w:rPr>
        <w:t>y</w:t>
      </w:r>
      <w:r>
        <w:rPr>
          <w:color w:val="231F1F"/>
          <w:spacing w:val="40"/>
          <w:w w:val="105"/>
          <w:sz w:val="22"/>
        </w:rPr>
        <w:t> </w:t>
      </w:r>
      <w:r>
        <w:rPr>
          <w:color w:val="231F1F"/>
          <w:w w:val="105"/>
          <w:sz w:val="22"/>
        </w:rPr>
        <w:t>posteriormente</w:t>
      </w:r>
      <w:r>
        <w:rPr>
          <w:color w:val="231F1F"/>
          <w:spacing w:val="40"/>
          <w:w w:val="105"/>
          <w:sz w:val="22"/>
        </w:rPr>
        <w:t> </w:t>
      </w:r>
      <w:r>
        <w:rPr>
          <w:color w:val="231F1F"/>
          <w:w w:val="105"/>
          <w:sz w:val="22"/>
        </w:rPr>
        <w:t>tras</w:t>
      </w:r>
      <w:r>
        <w:rPr>
          <w:color w:val="231F1F"/>
          <w:spacing w:val="40"/>
          <w:w w:val="105"/>
          <w:sz w:val="22"/>
        </w:rPr>
        <w:t> </w:t>
      </w:r>
      <w:r>
        <w:rPr>
          <w:color w:val="231F1F"/>
          <w:w w:val="105"/>
          <w:sz w:val="22"/>
        </w:rPr>
        <w:t>cada</w:t>
      </w:r>
      <w:r>
        <w:rPr>
          <w:color w:val="231F1F"/>
          <w:spacing w:val="40"/>
          <w:w w:val="105"/>
          <w:sz w:val="22"/>
        </w:rPr>
        <w:t> </w:t>
      </w:r>
      <w:r>
        <w:rPr>
          <w:color w:val="231F1F"/>
          <w:w w:val="105"/>
          <w:sz w:val="22"/>
        </w:rPr>
        <w:t>examen</w:t>
      </w:r>
      <w:r>
        <w:rPr>
          <w:color w:val="231F1F"/>
          <w:spacing w:val="40"/>
          <w:w w:val="105"/>
          <w:sz w:val="22"/>
        </w:rPr>
        <w:t> </w:t>
      </w:r>
      <w:r>
        <w:rPr>
          <w:color w:val="231F1F"/>
          <w:w w:val="105"/>
          <w:sz w:val="22"/>
        </w:rPr>
        <w:t>encaminado</w:t>
      </w:r>
      <w:r>
        <w:rPr>
          <w:color w:val="231F1F"/>
          <w:spacing w:val="40"/>
          <w:w w:val="105"/>
          <w:sz w:val="22"/>
        </w:rPr>
        <w:t> </w:t>
      </w:r>
      <w:r>
        <w:rPr>
          <w:color w:val="231F1F"/>
          <w:w w:val="105"/>
          <w:sz w:val="22"/>
        </w:rPr>
        <w:t>a</w:t>
      </w:r>
      <w:r>
        <w:rPr>
          <w:color w:val="231F1F"/>
          <w:spacing w:val="40"/>
          <w:w w:val="105"/>
          <w:sz w:val="22"/>
        </w:rPr>
        <w:t> </w:t>
      </w:r>
      <w:r>
        <w:rPr>
          <w:color w:val="231F1F"/>
          <w:w w:val="105"/>
          <w:sz w:val="22"/>
        </w:rPr>
        <w:t>determinar</w:t>
      </w:r>
      <w:r>
        <w:rPr>
          <w:color w:val="231F1F"/>
          <w:spacing w:val="40"/>
          <w:w w:val="105"/>
          <w:sz w:val="22"/>
        </w:rPr>
        <w:t> </w:t>
      </w:r>
      <w:r>
        <w:rPr>
          <w:color w:val="231F1F"/>
          <w:w w:val="105"/>
          <w:sz w:val="22"/>
        </w:rPr>
        <w:t>si</w:t>
      </w:r>
      <w:r>
        <w:rPr>
          <w:color w:val="231F1F"/>
          <w:spacing w:val="40"/>
          <w:w w:val="105"/>
          <w:sz w:val="22"/>
        </w:rPr>
        <w:t> </w:t>
      </w:r>
      <w:r>
        <w:rPr>
          <w:color w:val="231F1F"/>
          <w:w w:val="105"/>
          <w:sz w:val="22"/>
        </w:rPr>
        <w:t>el</w:t>
      </w:r>
      <w:r>
        <w:rPr>
          <w:color w:val="231F1F"/>
          <w:spacing w:val="40"/>
          <w:w w:val="105"/>
          <w:sz w:val="22"/>
        </w:rPr>
        <w:t> </w:t>
      </w:r>
      <w:r>
        <w:rPr>
          <w:color w:val="231F1F"/>
          <w:w w:val="105"/>
          <w:sz w:val="22"/>
        </w:rPr>
        <w:t>trabajo</w:t>
      </w:r>
      <w:r>
        <w:rPr>
          <w:color w:val="231F1F"/>
          <w:spacing w:val="40"/>
          <w:w w:val="105"/>
          <w:sz w:val="22"/>
        </w:rPr>
        <w:t> </w:t>
      </w:r>
      <w:r>
        <w:rPr>
          <w:color w:val="231F1F"/>
          <w:w w:val="105"/>
          <w:sz w:val="22"/>
        </w:rPr>
        <w:t>de parto se ha establecido.</w:t>
      </w:r>
    </w:p>
    <w:p>
      <w:pPr>
        <w:pStyle w:val="ListParagraph"/>
        <w:numPr>
          <w:ilvl w:val="0"/>
          <w:numId w:val="105"/>
        </w:numPr>
        <w:tabs>
          <w:tab w:pos="960" w:val="left" w:leader="none"/>
          <w:tab w:pos="963" w:val="left" w:leader="none"/>
        </w:tabs>
        <w:spacing w:line="244" w:lineRule="auto" w:before="143" w:after="0"/>
        <w:ind w:left="963" w:right="172" w:hanging="227"/>
        <w:jc w:val="both"/>
        <w:rPr>
          <w:sz w:val="22"/>
        </w:rPr>
      </w:pPr>
      <w:r>
        <w:rPr>
          <w:color w:val="231F1F"/>
          <w:w w:val="110"/>
          <w:sz w:val="22"/>
        </w:rPr>
        <w:t>Durante</w:t>
      </w:r>
      <w:r>
        <w:rPr>
          <w:color w:val="231F1F"/>
          <w:spacing w:val="-14"/>
          <w:w w:val="110"/>
          <w:sz w:val="22"/>
        </w:rPr>
        <w:t> </w:t>
      </w:r>
      <w:r>
        <w:rPr>
          <w:color w:val="231F1F"/>
          <w:w w:val="110"/>
          <w:sz w:val="22"/>
        </w:rPr>
        <w:t>en</w:t>
      </w:r>
      <w:r>
        <w:rPr>
          <w:color w:val="231F1F"/>
          <w:spacing w:val="-13"/>
          <w:w w:val="110"/>
          <w:sz w:val="22"/>
        </w:rPr>
        <w:t> </w:t>
      </w:r>
      <w:r>
        <w:rPr>
          <w:color w:val="231F1F"/>
          <w:w w:val="110"/>
          <w:sz w:val="22"/>
        </w:rPr>
        <w:t>la</w:t>
      </w:r>
      <w:r>
        <w:rPr>
          <w:color w:val="231F1F"/>
          <w:spacing w:val="-14"/>
          <w:w w:val="110"/>
          <w:sz w:val="22"/>
        </w:rPr>
        <w:t> </w:t>
      </w:r>
      <w:r>
        <w:rPr>
          <w:color w:val="231F1F"/>
          <w:w w:val="110"/>
          <w:sz w:val="22"/>
        </w:rPr>
        <w:t>fase</w:t>
      </w:r>
      <w:r>
        <w:rPr>
          <w:color w:val="231F1F"/>
          <w:spacing w:val="-14"/>
          <w:w w:val="110"/>
          <w:sz w:val="22"/>
        </w:rPr>
        <w:t> </w:t>
      </w:r>
      <w:r>
        <w:rPr>
          <w:color w:val="231F1F"/>
          <w:w w:val="110"/>
          <w:sz w:val="22"/>
        </w:rPr>
        <w:t>activa</w:t>
      </w:r>
      <w:r>
        <w:rPr>
          <w:color w:val="231F1F"/>
          <w:spacing w:val="-14"/>
          <w:w w:val="110"/>
          <w:sz w:val="22"/>
        </w:rPr>
        <w:t> </w:t>
      </w:r>
      <w:r>
        <w:rPr>
          <w:color w:val="231F1F"/>
          <w:w w:val="110"/>
          <w:sz w:val="22"/>
        </w:rPr>
        <w:t>del</w:t>
      </w:r>
      <w:r>
        <w:rPr>
          <w:color w:val="231F1F"/>
          <w:spacing w:val="-14"/>
          <w:w w:val="110"/>
          <w:sz w:val="22"/>
        </w:rPr>
        <w:t> </w:t>
      </w:r>
      <w:r>
        <w:rPr>
          <w:color w:val="231F1F"/>
          <w:w w:val="110"/>
          <w:sz w:val="22"/>
        </w:rPr>
        <w:t>parto,</w:t>
      </w:r>
      <w:r>
        <w:rPr>
          <w:color w:val="231F1F"/>
          <w:spacing w:val="-15"/>
          <w:w w:val="110"/>
          <w:sz w:val="22"/>
        </w:rPr>
        <w:t> </w:t>
      </w:r>
      <w:r>
        <w:rPr>
          <w:color w:val="231F1F"/>
          <w:w w:val="110"/>
          <w:sz w:val="22"/>
        </w:rPr>
        <w:t>la</w:t>
      </w:r>
      <w:r>
        <w:rPr>
          <w:color w:val="231F1F"/>
          <w:spacing w:val="-13"/>
          <w:w w:val="110"/>
          <w:sz w:val="22"/>
        </w:rPr>
        <w:t> </w:t>
      </w:r>
      <w:r>
        <w:rPr>
          <w:color w:val="231F1F"/>
          <w:w w:val="110"/>
          <w:sz w:val="22"/>
        </w:rPr>
        <w:t>auscultación</w:t>
      </w:r>
      <w:r>
        <w:rPr>
          <w:color w:val="231F1F"/>
          <w:spacing w:val="-14"/>
          <w:w w:val="110"/>
          <w:sz w:val="22"/>
        </w:rPr>
        <w:t> </w:t>
      </w:r>
      <w:r>
        <w:rPr>
          <w:color w:val="231F1F"/>
          <w:w w:val="110"/>
          <w:sz w:val="22"/>
        </w:rPr>
        <w:t>intermitente</w:t>
      </w:r>
      <w:r>
        <w:rPr>
          <w:color w:val="231F1F"/>
          <w:spacing w:val="-14"/>
          <w:w w:val="110"/>
          <w:sz w:val="22"/>
        </w:rPr>
        <w:t> </w:t>
      </w:r>
      <w:r>
        <w:rPr>
          <w:color w:val="231F1F"/>
          <w:w w:val="110"/>
          <w:sz w:val="22"/>
        </w:rPr>
        <w:t>se</w:t>
      </w:r>
      <w:r>
        <w:rPr>
          <w:color w:val="231F1F"/>
          <w:spacing w:val="-14"/>
          <w:w w:val="110"/>
          <w:sz w:val="22"/>
        </w:rPr>
        <w:t> </w:t>
      </w:r>
      <w:r>
        <w:rPr>
          <w:color w:val="231F1F"/>
          <w:w w:val="110"/>
          <w:sz w:val="22"/>
        </w:rPr>
        <w:t>realiza</w:t>
      </w:r>
      <w:r>
        <w:rPr>
          <w:color w:val="231F1F"/>
          <w:spacing w:val="-14"/>
          <w:w w:val="110"/>
          <w:sz w:val="22"/>
        </w:rPr>
        <w:t> </w:t>
      </w:r>
      <w:r>
        <w:rPr>
          <w:color w:val="231F1F"/>
          <w:w w:val="110"/>
          <w:sz w:val="22"/>
        </w:rPr>
        <w:t>como</w:t>
      </w:r>
      <w:r>
        <w:rPr>
          <w:color w:val="231F1F"/>
          <w:spacing w:val="-14"/>
          <w:w w:val="110"/>
          <w:sz w:val="22"/>
        </w:rPr>
        <w:t> </w:t>
      </w:r>
      <w:r>
        <w:rPr>
          <w:color w:val="231F1F"/>
          <w:w w:val="110"/>
          <w:sz w:val="22"/>
        </w:rPr>
        <w:t>se </w:t>
      </w:r>
      <w:r>
        <w:rPr>
          <w:color w:val="231F1F"/>
          <w:spacing w:val="-2"/>
          <w:w w:val="110"/>
          <w:sz w:val="22"/>
        </w:rPr>
        <w:t>detalla:</w:t>
      </w:r>
    </w:p>
    <w:p>
      <w:pPr>
        <w:pStyle w:val="ListParagraph"/>
        <w:numPr>
          <w:ilvl w:val="1"/>
          <w:numId w:val="105"/>
        </w:numPr>
        <w:tabs>
          <w:tab w:pos="1303" w:val="left" w:leader="none"/>
        </w:tabs>
        <w:spacing w:line="244" w:lineRule="auto" w:before="161" w:after="0"/>
        <w:ind w:left="1303" w:right="121" w:hanging="341"/>
        <w:jc w:val="both"/>
        <w:rPr>
          <w:sz w:val="22"/>
        </w:rPr>
      </w:pPr>
      <w:r>
        <w:rPr>
          <w:color w:val="231F1F"/>
          <w:w w:val="110"/>
          <w:sz w:val="22"/>
        </w:rPr>
        <w:t>El corazón fetal se debe auscultar al menos cada 15 - 30 minutos durante el período</w:t>
      </w:r>
      <w:r>
        <w:rPr>
          <w:color w:val="231F1F"/>
          <w:spacing w:val="-7"/>
          <w:w w:val="110"/>
          <w:sz w:val="22"/>
        </w:rPr>
        <w:t> </w:t>
      </w:r>
      <w:r>
        <w:rPr>
          <w:color w:val="231F1F"/>
          <w:w w:val="110"/>
          <w:sz w:val="22"/>
        </w:rPr>
        <w:t>de</w:t>
      </w:r>
      <w:r>
        <w:rPr>
          <w:color w:val="231F1F"/>
          <w:spacing w:val="-7"/>
          <w:w w:val="110"/>
          <w:sz w:val="22"/>
        </w:rPr>
        <w:t> </w:t>
      </w:r>
      <w:r>
        <w:rPr>
          <w:color w:val="231F1F"/>
          <w:w w:val="110"/>
          <w:sz w:val="22"/>
        </w:rPr>
        <w:t>dilatación</w:t>
      </w:r>
      <w:r>
        <w:rPr>
          <w:color w:val="231F1F"/>
          <w:spacing w:val="-7"/>
          <w:w w:val="110"/>
          <w:sz w:val="22"/>
        </w:rPr>
        <w:t> </w:t>
      </w:r>
      <w:r>
        <w:rPr>
          <w:color w:val="231F1F"/>
          <w:w w:val="110"/>
          <w:sz w:val="22"/>
        </w:rPr>
        <w:t>y</w:t>
      </w:r>
      <w:r>
        <w:rPr>
          <w:color w:val="231F1F"/>
          <w:spacing w:val="-7"/>
          <w:w w:val="110"/>
          <w:sz w:val="22"/>
        </w:rPr>
        <w:t> </w:t>
      </w:r>
      <w:r>
        <w:rPr>
          <w:color w:val="231F1F"/>
          <w:w w:val="110"/>
          <w:sz w:val="22"/>
        </w:rPr>
        <w:t>al</w:t>
      </w:r>
      <w:r>
        <w:rPr>
          <w:color w:val="231F1F"/>
          <w:spacing w:val="-7"/>
          <w:w w:val="110"/>
          <w:sz w:val="22"/>
        </w:rPr>
        <w:t> </w:t>
      </w:r>
      <w:r>
        <w:rPr>
          <w:color w:val="231F1F"/>
          <w:w w:val="110"/>
          <w:sz w:val="22"/>
        </w:rPr>
        <w:t>menos</w:t>
      </w:r>
      <w:r>
        <w:rPr>
          <w:color w:val="231F1F"/>
          <w:spacing w:val="-7"/>
          <w:w w:val="110"/>
          <w:sz w:val="22"/>
        </w:rPr>
        <w:t> </w:t>
      </w:r>
      <w:r>
        <w:rPr>
          <w:color w:val="231F1F"/>
          <w:w w:val="110"/>
          <w:sz w:val="22"/>
        </w:rPr>
        <w:t>cada</w:t>
      </w:r>
      <w:r>
        <w:rPr>
          <w:color w:val="231F1F"/>
          <w:spacing w:val="-7"/>
          <w:w w:val="110"/>
          <w:sz w:val="22"/>
        </w:rPr>
        <w:t> </w:t>
      </w:r>
      <w:r>
        <w:rPr>
          <w:color w:val="231F1F"/>
          <w:w w:val="110"/>
          <w:sz w:val="22"/>
        </w:rPr>
        <w:t>5</w:t>
      </w:r>
      <w:r>
        <w:rPr>
          <w:color w:val="231F1F"/>
          <w:spacing w:val="-7"/>
          <w:w w:val="110"/>
          <w:sz w:val="22"/>
        </w:rPr>
        <w:t> </w:t>
      </w:r>
      <w:r>
        <w:rPr>
          <w:color w:val="231F1F"/>
          <w:w w:val="110"/>
          <w:sz w:val="22"/>
        </w:rPr>
        <w:t>–</w:t>
      </w:r>
      <w:r>
        <w:rPr>
          <w:color w:val="231F1F"/>
          <w:spacing w:val="-7"/>
          <w:w w:val="110"/>
          <w:sz w:val="22"/>
        </w:rPr>
        <w:t> </w:t>
      </w:r>
      <w:r>
        <w:rPr>
          <w:color w:val="231F1F"/>
          <w:w w:val="110"/>
          <w:sz w:val="22"/>
        </w:rPr>
        <w:t>15</w:t>
      </w:r>
      <w:r>
        <w:rPr>
          <w:color w:val="231F1F"/>
          <w:spacing w:val="-7"/>
          <w:w w:val="110"/>
          <w:sz w:val="22"/>
        </w:rPr>
        <w:t> </w:t>
      </w:r>
      <w:r>
        <w:rPr>
          <w:color w:val="231F1F"/>
          <w:w w:val="110"/>
          <w:sz w:val="22"/>
        </w:rPr>
        <w:t>minutos</w:t>
      </w:r>
      <w:r>
        <w:rPr>
          <w:color w:val="231F1F"/>
          <w:spacing w:val="-7"/>
          <w:w w:val="110"/>
          <w:sz w:val="22"/>
        </w:rPr>
        <w:t> </w:t>
      </w:r>
      <w:r>
        <w:rPr>
          <w:color w:val="231F1F"/>
          <w:w w:val="110"/>
          <w:sz w:val="22"/>
        </w:rPr>
        <w:t>en</w:t>
      </w:r>
      <w:r>
        <w:rPr>
          <w:color w:val="231F1F"/>
          <w:spacing w:val="-7"/>
          <w:w w:val="110"/>
          <w:sz w:val="22"/>
        </w:rPr>
        <w:t> </w:t>
      </w:r>
      <w:r>
        <w:rPr>
          <w:color w:val="231F1F"/>
          <w:w w:val="110"/>
          <w:sz w:val="22"/>
        </w:rPr>
        <w:t>el</w:t>
      </w:r>
      <w:r>
        <w:rPr>
          <w:color w:val="231F1F"/>
          <w:spacing w:val="-7"/>
          <w:w w:val="110"/>
          <w:sz w:val="22"/>
        </w:rPr>
        <w:t> </w:t>
      </w:r>
      <w:r>
        <w:rPr>
          <w:color w:val="231F1F"/>
          <w:w w:val="110"/>
          <w:sz w:val="22"/>
        </w:rPr>
        <w:t>periodo</w:t>
      </w:r>
      <w:r>
        <w:rPr>
          <w:color w:val="231F1F"/>
          <w:spacing w:val="-7"/>
          <w:w w:val="110"/>
          <w:sz w:val="22"/>
        </w:rPr>
        <w:t> </w:t>
      </w:r>
      <w:r>
        <w:rPr>
          <w:color w:val="231F1F"/>
          <w:w w:val="110"/>
          <w:sz w:val="22"/>
        </w:rPr>
        <w:t>expulsivo.</w:t>
      </w:r>
    </w:p>
    <w:p>
      <w:pPr>
        <w:pStyle w:val="ListParagraph"/>
        <w:numPr>
          <w:ilvl w:val="1"/>
          <w:numId w:val="105"/>
        </w:numPr>
        <w:tabs>
          <w:tab w:pos="1303" w:val="left" w:leader="none"/>
        </w:tabs>
        <w:spacing w:line="244" w:lineRule="auto" w:before="160" w:after="0"/>
        <w:ind w:left="1303" w:right="126" w:hanging="341"/>
        <w:jc w:val="both"/>
        <w:rPr>
          <w:sz w:val="22"/>
        </w:rPr>
      </w:pPr>
      <w:r>
        <w:rPr>
          <w:color w:val="231F1F"/>
          <w:w w:val="105"/>
          <w:sz w:val="22"/>
        </w:rPr>
        <w:t>La auscultación se llevará a cabo durante 30 – 60 segundos, como mínimo, des- pués de una contracción.</w:t>
      </w:r>
    </w:p>
    <w:p>
      <w:pPr>
        <w:pStyle w:val="ListParagraph"/>
        <w:numPr>
          <w:ilvl w:val="1"/>
          <w:numId w:val="105"/>
        </w:numPr>
        <w:tabs>
          <w:tab w:pos="1303" w:val="left" w:leader="none"/>
        </w:tabs>
        <w:spacing w:line="249" w:lineRule="auto" w:before="161" w:after="0"/>
        <w:ind w:left="1303" w:right="122" w:hanging="341"/>
        <w:jc w:val="both"/>
        <w:rPr>
          <w:sz w:val="22"/>
        </w:rPr>
      </w:pPr>
      <w:r>
        <w:rPr>
          <w:color w:val="231F1F"/>
          <w:w w:val="110"/>
          <w:sz w:val="22"/>
        </w:rPr>
        <w:t>El</w:t>
      </w:r>
      <w:r>
        <w:rPr>
          <w:color w:val="231F1F"/>
          <w:w w:val="110"/>
          <w:sz w:val="22"/>
        </w:rPr>
        <w:t> pulso</w:t>
      </w:r>
      <w:r>
        <w:rPr>
          <w:color w:val="231F1F"/>
          <w:w w:val="110"/>
          <w:sz w:val="22"/>
        </w:rPr>
        <w:t> materno</w:t>
      </w:r>
      <w:r>
        <w:rPr>
          <w:color w:val="231F1F"/>
          <w:w w:val="110"/>
          <w:sz w:val="22"/>
        </w:rPr>
        <w:t> también</w:t>
      </w:r>
      <w:r>
        <w:rPr>
          <w:color w:val="231F1F"/>
          <w:w w:val="110"/>
          <w:sz w:val="22"/>
        </w:rPr>
        <w:t> debe</w:t>
      </w:r>
      <w:r>
        <w:rPr>
          <w:color w:val="231F1F"/>
          <w:w w:val="110"/>
          <w:sz w:val="22"/>
        </w:rPr>
        <w:t> ser</w:t>
      </w:r>
      <w:r>
        <w:rPr>
          <w:color w:val="231F1F"/>
          <w:w w:val="110"/>
          <w:sz w:val="22"/>
        </w:rPr>
        <w:t> conocido</w:t>
      </w:r>
      <w:r>
        <w:rPr>
          <w:color w:val="231F1F"/>
          <w:w w:val="110"/>
          <w:sz w:val="22"/>
        </w:rPr>
        <w:t> para</w:t>
      </w:r>
      <w:r>
        <w:rPr>
          <w:color w:val="231F1F"/>
          <w:w w:val="110"/>
          <w:sz w:val="22"/>
        </w:rPr>
        <w:t> diferenciar</w:t>
      </w:r>
      <w:r>
        <w:rPr>
          <w:color w:val="231F1F"/>
          <w:w w:val="110"/>
          <w:sz w:val="22"/>
        </w:rPr>
        <w:t> entre</w:t>
      </w:r>
      <w:r>
        <w:rPr>
          <w:color w:val="231F1F"/>
          <w:w w:val="110"/>
          <w:sz w:val="22"/>
        </w:rPr>
        <w:t> el</w:t>
      </w:r>
      <w:r>
        <w:rPr>
          <w:color w:val="231F1F"/>
          <w:w w:val="110"/>
          <w:sz w:val="22"/>
        </w:rPr>
        <w:t> ritmo materno y el latido cardiaco fetal.</w:t>
      </w:r>
    </w:p>
    <w:p>
      <w:pPr>
        <w:pStyle w:val="ListParagraph"/>
        <w:numPr>
          <w:ilvl w:val="1"/>
          <w:numId w:val="105"/>
        </w:numPr>
        <w:tabs>
          <w:tab w:pos="1303" w:val="left" w:leader="none"/>
        </w:tabs>
        <w:spacing w:line="249" w:lineRule="auto" w:before="151" w:after="0"/>
        <w:ind w:left="1303" w:right="119" w:hanging="341"/>
        <w:jc w:val="both"/>
        <w:rPr>
          <w:sz w:val="22"/>
        </w:rPr>
      </w:pPr>
      <w:r>
        <w:rPr>
          <w:color w:val="231F1F"/>
          <w:w w:val="105"/>
          <w:sz w:val="22"/>
        </w:rPr>
        <w:t>En</w:t>
      </w:r>
      <w:r>
        <w:rPr>
          <w:color w:val="231F1F"/>
          <w:w w:val="105"/>
          <w:sz w:val="22"/>
        </w:rPr>
        <w:t> el</w:t>
      </w:r>
      <w:r>
        <w:rPr>
          <w:color w:val="231F1F"/>
          <w:w w:val="105"/>
          <w:sz w:val="22"/>
        </w:rPr>
        <w:t> partograma</w:t>
      </w:r>
      <w:r>
        <w:rPr>
          <w:color w:val="231F1F"/>
          <w:w w:val="105"/>
          <w:sz w:val="22"/>
        </w:rPr>
        <w:t> debe</w:t>
      </w:r>
      <w:r>
        <w:rPr>
          <w:color w:val="231F1F"/>
          <w:w w:val="105"/>
          <w:sz w:val="22"/>
        </w:rPr>
        <w:t> registrarse</w:t>
      </w:r>
      <w:r>
        <w:rPr>
          <w:color w:val="231F1F"/>
          <w:w w:val="105"/>
          <w:sz w:val="22"/>
        </w:rPr>
        <w:t> la</w:t>
      </w:r>
      <w:r>
        <w:rPr>
          <w:color w:val="231F1F"/>
          <w:w w:val="105"/>
          <w:sz w:val="22"/>
        </w:rPr>
        <w:t> hora</w:t>
      </w:r>
      <w:r>
        <w:rPr>
          <w:color w:val="231F1F"/>
          <w:w w:val="105"/>
          <w:sz w:val="22"/>
        </w:rPr>
        <w:t> en</w:t>
      </w:r>
      <w:r>
        <w:rPr>
          <w:color w:val="231F1F"/>
          <w:w w:val="105"/>
          <w:sz w:val="22"/>
        </w:rPr>
        <w:t> que</w:t>
      </w:r>
      <w:r>
        <w:rPr>
          <w:color w:val="231F1F"/>
          <w:w w:val="105"/>
          <w:sz w:val="22"/>
        </w:rPr>
        <w:t> se</w:t>
      </w:r>
      <w:r>
        <w:rPr>
          <w:color w:val="231F1F"/>
          <w:w w:val="105"/>
          <w:sz w:val="22"/>
        </w:rPr>
        <w:t> realizó</w:t>
      </w:r>
      <w:r>
        <w:rPr>
          <w:color w:val="231F1F"/>
          <w:w w:val="105"/>
          <w:sz w:val="22"/>
        </w:rPr>
        <w:t> la</w:t>
      </w:r>
      <w:r>
        <w:rPr>
          <w:color w:val="231F1F"/>
          <w:w w:val="105"/>
          <w:sz w:val="22"/>
        </w:rPr>
        <w:t> auscultación,</w:t>
      </w:r>
      <w:r>
        <w:rPr>
          <w:color w:val="231F1F"/>
          <w:w w:val="105"/>
          <w:sz w:val="22"/>
        </w:rPr>
        <w:t> el latido fetal, la presencia o ausencia de aceleraciones y deceleraciones y la dura- ción de la auscultación</w:t>
      </w:r>
    </w:p>
    <w:p>
      <w:pPr>
        <w:pStyle w:val="BodyText"/>
        <w:spacing w:line="244" w:lineRule="auto" w:before="137"/>
        <w:ind w:left="282" w:firstLine="453"/>
      </w:pPr>
      <w:r>
        <w:rPr>
          <w:color w:val="231F1F"/>
          <w:w w:val="110"/>
        </w:rPr>
        <w:t>El</w:t>
      </w:r>
      <w:r>
        <w:rPr>
          <w:color w:val="231F1F"/>
          <w:spacing w:val="-10"/>
          <w:w w:val="110"/>
        </w:rPr>
        <w:t> </w:t>
      </w:r>
      <w:r>
        <w:rPr>
          <w:color w:val="231F1F"/>
          <w:w w:val="110"/>
        </w:rPr>
        <w:t>cambio</w:t>
      </w:r>
      <w:r>
        <w:rPr>
          <w:color w:val="231F1F"/>
          <w:spacing w:val="-9"/>
          <w:w w:val="110"/>
        </w:rPr>
        <w:t> </w:t>
      </w:r>
      <w:r>
        <w:rPr>
          <w:color w:val="231F1F"/>
          <w:w w:val="110"/>
        </w:rPr>
        <w:t>de</w:t>
      </w:r>
      <w:r>
        <w:rPr>
          <w:color w:val="231F1F"/>
          <w:spacing w:val="-9"/>
          <w:w w:val="110"/>
        </w:rPr>
        <w:t> </w:t>
      </w:r>
      <w:r>
        <w:rPr>
          <w:color w:val="231F1F"/>
          <w:w w:val="110"/>
        </w:rPr>
        <w:t>auscultación</w:t>
      </w:r>
      <w:r>
        <w:rPr>
          <w:color w:val="231F1F"/>
          <w:spacing w:val="-9"/>
          <w:w w:val="110"/>
        </w:rPr>
        <w:t> </w:t>
      </w:r>
      <w:r>
        <w:rPr>
          <w:color w:val="231F1F"/>
          <w:w w:val="110"/>
        </w:rPr>
        <w:t>intermitente</w:t>
      </w:r>
      <w:r>
        <w:rPr>
          <w:color w:val="231F1F"/>
          <w:spacing w:val="-9"/>
          <w:w w:val="110"/>
        </w:rPr>
        <w:t> </w:t>
      </w:r>
      <w:r>
        <w:rPr>
          <w:color w:val="231F1F"/>
          <w:w w:val="110"/>
        </w:rPr>
        <w:t>o</w:t>
      </w:r>
      <w:r>
        <w:rPr>
          <w:color w:val="231F1F"/>
          <w:spacing w:val="-9"/>
          <w:w w:val="110"/>
        </w:rPr>
        <w:t> </w:t>
      </w:r>
      <w:r>
        <w:rPr>
          <w:color w:val="231F1F"/>
          <w:w w:val="110"/>
        </w:rPr>
        <w:t>de</w:t>
      </w:r>
      <w:r>
        <w:rPr>
          <w:color w:val="231F1F"/>
          <w:spacing w:val="-9"/>
          <w:w w:val="110"/>
        </w:rPr>
        <w:t> </w:t>
      </w:r>
      <w:r>
        <w:rPr>
          <w:color w:val="231F1F"/>
          <w:w w:val="110"/>
        </w:rPr>
        <w:t>MEFI</w:t>
      </w:r>
      <w:r>
        <w:rPr>
          <w:color w:val="231F1F"/>
          <w:spacing w:val="-10"/>
          <w:w w:val="110"/>
        </w:rPr>
        <w:t> </w:t>
      </w:r>
      <w:r>
        <w:rPr>
          <w:color w:val="231F1F"/>
          <w:w w:val="110"/>
        </w:rPr>
        <w:t>a</w:t>
      </w:r>
      <w:r>
        <w:rPr>
          <w:color w:val="231F1F"/>
          <w:spacing w:val="-9"/>
          <w:w w:val="110"/>
        </w:rPr>
        <w:t> </w:t>
      </w:r>
      <w:r>
        <w:rPr>
          <w:color w:val="231F1F"/>
          <w:w w:val="110"/>
        </w:rPr>
        <w:t>MEFC</w:t>
      </w:r>
      <w:r>
        <w:rPr>
          <w:color w:val="231F1F"/>
          <w:spacing w:val="-9"/>
          <w:w w:val="110"/>
        </w:rPr>
        <w:t> </w:t>
      </w:r>
      <w:r>
        <w:rPr>
          <w:color w:val="231F1F"/>
          <w:w w:val="110"/>
        </w:rPr>
        <w:t>en</w:t>
      </w:r>
      <w:r>
        <w:rPr>
          <w:color w:val="231F1F"/>
          <w:spacing w:val="-9"/>
          <w:w w:val="110"/>
        </w:rPr>
        <w:t> </w:t>
      </w:r>
      <w:r>
        <w:rPr>
          <w:color w:val="231F1F"/>
          <w:w w:val="110"/>
        </w:rPr>
        <w:t>mujeres</w:t>
      </w:r>
      <w:r>
        <w:rPr>
          <w:color w:val="231F1F"/>
          <w:spacing w:val="-9"/>
          <w:w w:val="110"/>
        </w:rPr>
        <w:t> </w:t>
      </w:r>
      <w:r>
        <w:rPr>
          <w:color w:val="231F1F"/>
          <w:w w:val="110"/>
        </w:rPr>
        <w:t>de</w:t>
      </w:r>
      <w:r>
        <w:rPr>
          <w:color w:val="231F1F"/>
          <w:spacing w:val="-9"/>
          <w:w w:val="110"/>
        </w:rPr>
        <w:t> </w:t>
      </w:r>
      <w:r>
        <w:rPr>
          <w:color w:val="231F1F"/>
          <w:w w:val="110"/>
        </w:rPr>
        <w:t>bajo</w:t>
      </w:r>
      <w:r>
        <w:rPr>
          <w:color w:val="231F1F"/>
          <w:spacing w:val="-9"/>
          <w:w w:val="110"/>
        </w:rPr>
        <w:t> </w:t>
      </w:r>
      <w:r>
        <w:rPr>
          <w:color w:val="231F1F"/>
          <w:w w:val="110"/>
        </w:rPr>
        <w:t>ries- go debería realizarse en las siguientes situaciones:</w:t>
      </w:r>
    </w:p>
    <w:p>
      <w:pPr>
        <w:pStyle w:val="ListParagraph"/>
        <w:numPr>
          <w:ilvl w:val="0"/>
          <w:numId w:val="105"/>
        </w:numPr>
        <w:tabs>
          <w:tab w:pos="959" w:val="left" w:leader="none"/>
        </w:tabs>
        <w:spacing w:line="240" w:lineRule="auto" w:before="156" w:after="0"/>
        <w:ind w:left="959" w:right="0" w:hanging="224"/>
        <w:jc w:val="left"/>
        <w:rPr>
          <w:sz w:val="22"/>
        </w:rPr>
      </w:pPr>
      <w:r>
        <w:rPr>
          <w:color w:val="231F1F"/>
          <w:sz w:val="22"/>
        </w:rPr>
        <w:t>Presencia</w:t>
      </w:r>
      <w:r>
        <w:rPr>
          <w:color w:val="231F1F"/>
          <w:spacing w:val="35"/>
          <w:sz w:val="22"/>
        </w:rPr>
        <w:t> </w:t>
      </w:r>
      <w:r>
        <w:rPr>
          <w:color w:val="231F1F"/>
          <w:sz w:val="22"/>
        </w:rPr>
        <w:t>de</w:t>
      </w:r>
      <w:r>
        <w:rPr>
          <w:color w:val="231F1F"/>
          <w:spacing w:val="37"/>
          <w:sz w:val="22"/>
        </w:rPr>
        <w:t> </w:t>
      </w:r>
      <w:r>
        <w:rPr>
          <w:color w:val="231F1F"/>
          <w:sz w:val="22"/>
        </w:rPr>
        <w:t>liquido</w:t>
      </w:r>
      <w:r>
        <w:rPr>
          <w:color w:val="231F1F"/>
          <w:spacing w:val="38"/>
          <w:sz w:val="22"/>
        </w:rPr>
        <w:t> </w:t>
      </w:r>
      <w:r>
        <w:rPr>
          <w:color w:val="231F1F"/>
          <w:sz w:val="22"/>
        </w:rPr>
        <w:t>amniótico</w:t>
      </w:r>
      <w:r>
        <w:rPr>
          <w:color w:val="231F1F"/>
          <w:spacing w:val="39"/>
          <w:sz w:val="22"/>
        </w:rPr>
        <w:t> </w:t>
      </w:r>
      <w:r>
        <w:rPr>
          <w:color w:val="231F1F"/>
          <w:spacing w:val="-2"/>
          <w:sz w:val="22"/>
        </w:rPr>
        <w:t>teñido..</w:t>
      </w:r>
    </w:p>
    <w:p>
      <w:pPr>
        <w:pStyle w:val="ListParagraph"/>
        <w:numPr>
          <w:ilvl w:val="0"/>
          <w:numId w:val="105"/>
        </w:numPr>
        <w:tabs>
          <w:tab w:pos="959" w:val="left" w:leader="none"/>
        </w:tabs>
        <w:spacing w:line="240" w:lineRule="auto" w:before="150" w:after="0"/>
        <w:ind w:left="959" w:right="0" w:hanging="224"/>
        <w:jc w:val="left"/>
        <w:rPr>
          <w:sz w:val="22"/>
        </w:rPr>
      </w:pPr>
      <w:r>
        <w:rPr>
          <w:color w:val="231F1F"/>
          <w:spacing w:val="2"/>
          <w:sz w:val="22"/>
        </w:rPr>
        <w:t>Alteración</w:t>
      </w:r>
      <w:r>
        <w:rPr>
          <w:color w:val="231F1F"/>
          <w:spacing w:val="27"/>
          <w:sz w:val="22"/>
        </w:rPr>
        <w:t> </w:t>
      </w:r>
      <w:r>
        <w:rPr>
          <w:color w:val="231F1F"/>
          <w:spacing w:val="2"/>
          <w:sz w:val="22"/>
        </w:rPr>
        <w:t>del</w:t>
      </w:r>
      <w:r>
        <w:rPr>
          <w:color w:val="231F1F"/>
          <w:spacing w:val="26"/>
          <w:sz w:val="22"/>
        </w:rPr>
        <w:t> </w:t>
      </w:r>
      <w:r>
        <w:rPr>
          <w:color w:val="231F1F"/>
          <w:spacing w:val="2"/>
          <w:sz w:val="22"/>
        </w:rPr>
        <w:t>latido</w:t>
      </w:r>
      <w:r>
        <w:rPr>
          <w:color w:val="231F1F"/>
          <w:spacing w:val="29"/>
          <w:sz w:val="22"/>
        </w:rPr>
        <w:t> </w:t>
      </w:r>
      <w:r>
        <w:rPr>
          <w:color w:val="231F1F"/>
          <w:spacing w:val="2"/>
          <w:sz w:val="22"/>
        </w:rPr>
        <w:t>cardíaco</w:t>
      </w:r>
      <w:r>
        <w:rPr>
          <w:color w:val="231F1F"/>
          <w:spacing w:val="29"/>
          <w:sz w:val="22"/>
        </w:rPr>
        <w:t> </w:t>
      </w:r>
      <w:r>
        <w:rPr>
          <w:color w:val="231F1F"/>
          <w:spacing w:val="2"/>
          <w:sz w:val="22"/>
        </w:rPr>
        <w:t>fetal</w:t>
      </w:r>
      <w:r>
        <w:rPr>
          <w:color w:val="231F1F"/>
          <w:spacing w:val="30"/>
          <w:sz w:val="22"/>
        </w:rPr>
        <w:t> </w:t>
      </w:r>
      <w:r>
        <w:rPr>
          <w:color w:val="231F1F"/>
          <w:spacing w:val="2"/>
          <w:sz w:val="22"/>
        </w:rPr>
        <w:t>por</w:t>
      </w:r>
      <w:r>
        <w:rPr>
          <w:color w:val="231F1F"/>
          <w:spacing w:val="29"/>
          <w:sz w:val="22"/>
        </w:rPr>
        <w:t> </w:t>
      </w:r>
      <w:r>
        <w:rPr>
          <w:color w:val="231F1F"/>
          <w:spacing w:val="-2"/>
          <w:sz w:val="22"/>
        </w:rPr>
        <w:t>auscultación.</w:t>
      </w:r>
    </w:p>
    <w:p>
      <w:pPr>
        <w:pStyle w:val="ListParagraph"/>
        <w:numPr>
          <w:ilvl w:val="0"/>
          <w:numId w:val="105"/>
        </w:numPr>
        <w:tabs>
          <w:tab w:pos="959" w:val="left" w:leader="none"/>
        </w:tabs>
        <w:spacing w:line="240" w:lineRule="auto" w:before="145" w:after="0"/>
        <w:ind w:left="959" w:right="0" w:hanging="224"/>
        <w:jc w:val="left"/>
        <w:rPr>
          <w:sz w:val="22"/>
        </w:rPr>
      </w:pPr>
      <w:r>
        <w:rPr>
          <w:color w:val="231F1F"/>
          <w:w w:val="110"/>
          <w:sz w:val="22"/>
        </w:rPr>
        <w:t>Fiebre</w:t>
      </w:r>
      <w:r>
        <w:rPr>
          <w:color w:val="231F1F"/>
          <w:spacing w:val="-14"/>
          <w:w w:val="110"/>
          <w:sz w:val="22"/>
        </w:rPr>
        <w:t> </w:t>
      </w:r>
      <w:r>
        <w:rPr>
          <w:color w:val="231F1F"/>
          <w:spacing w:val="-2"/>
          <w:w w:val="110"/>
          <w:sz w:val="22"/>
        </w:rPr>
        <w:t>materna.</w:t>
      </w:r>
    </w:p>
    <w:p>
      <w:pPr>
        <w:pStyle w:val="ListParagraph"/>
        <w:numPr>
          <w:ilvl w:val="0"/>
          <w:numId w:val="105"/>
        </w:numPr>
        <w:tabs>
          <w:tab w:pos="959" w:val="left" w:leader="none"/>
        </w:tabs>
        <w:spacing w:line="240" w:lineRule="auto" w:before="150" w:after="0"/>
        <w:ind w:left="959" w:right="0" w:hanging="224"/>
        <w:jc w:val="left"/>
        <w:rPr>
          <w:sz w:val="22"/>
        </w:rPr>
      </w:pPr>
      <w:r>
        <w:rPr>
          <w:color w:val="231F1F"/>
          <w:w w:val="110"/>
          <w:sz w:val="22"/>
        </w:rPr>
        <w:t>Sangrado</w:t>
      </w:r>
      <w:r>
        <w:rPr>
          <w:color w:val="231F1F"/>
          <w:spacing w:val="-13"/>
          <w:w w:val="110"/>
          <w:sz w:val="22"/>
        </w:rPr>
        <w:t> </w:t>
      </w:r>
      <w:r>
        <w:rPr>
          <w:color w:val="231F1F"/>
          <w:w w:val="110"/>
          <w:sz w:val="22"/>
        </w:rPr>
        <w:t>durante</w:t>
      </w:r>
      <w:r>
        <w:rPr>
          <w:color w:val="231F1F"/>
          <w:spacing w:val="-12"/>
          <w:w w:val="110"/>
          <w:sz w:val="22"/>
        </w:rPr>
        <w:t> </w:t>
      </w:r>
      <w:r>
        <w:rPr>
          <w:color w:val="231F1F"/>
          <w:w w:val="110"/>
          <w:sz w:val="22"/>
        </w:rPr>
        <w:t>el</w:t>
      </w:r>
      <w:r>
        <w:rPr>
          <w:color w:val="231F1F"/>
          <w:spacing w:val="-12"/>
          <w:w w:val="110"/>
          <w:sz w:val="22"/>
        </w:rPr>
        <w:t> </w:t>
      </w:r>
      <w:r>
        <w:rPr>
          <w:color w:val="231F1F"/>
          <w:spacing w:val="-2"/>
          <w:w w:val="110"/>
          <w:sz w:val="22"/>
        </w:rPr>
        <w:t>parto.</w:t>
      </w:r>
    </w:p>
    <w:p>
      <w:pPr>
        <w:pStyle w:val="ListParagraph"/>
        <w:numPr>
          <w:ilvl w:val="0"/>
          <w:numId w:val="105"/>
        </w:numPr>
        <w:tabs>
          <w:tab w:pos="959" w:val="left" w:leader="none"/>
        </w:tabs>
        <w:spacing w:line="240" w:lineRule="auto" w:before="151" w:after="0"/>
        <w:ind w:left="959" w:right="0" w:hanging="224"/>
        <w:jc w:val="left"/>
        <w:rPr>
          <w:sz w:val="22"/>
        </w:rPr>
      </w:pPr>
      <w:r>
        <w:rPr>
          <w:color w:val="231F1F"/>
          <w:w w:val="110"/>
          <w:sz w:val="22"/>
        </w:rPr>
        <w:t>Uso</w:t>
      </w:r>
      <w:r>
        <w:rPr>
          <w:color w:val="231F1F"/>
          <w:spacing w:val="-9"/>
          <w:w w:val="110"/>
          <w:sz w:val="22"/>
        </w:rPr>
        <w:t> </w:t>
      </w:r>
      <w:r>
        <w:rPr>
          <w:color w:val="231F1F"/>
          <w:w w:val="110"/>
          <w:sz w:val="22"/>
        </w:rPr>
        <w:t>de</w:t>
      </w:r>
      <w:r>
        <w:rPr>
          <w:color w:val="231F1F"/>
          <w:spacing w:val="-6"/>
          <w:w w:val="110"/>
          <w:sz w:val="22"/>
        </w:rPr>
        <w:t> </w:t>
      </w:r>
      <w:r>
        <w:rPr>
          <w:color w:val="231F1F"/>
          <w:spacing w:val="-2"/>
          <w:w w:val="110"/>
          <w:sz w:val="22"/>
        </w:rPr>
        <w:t>oxitocina.</w:t>
      </w:r>
    </w:p>
    <w:p>
      <w:pPr>
        <w:pStyle w:val="ListParagraph"/>
        <w:numPr>
          <w:ilvl w:val="0"/>
          <w:numId w:val="105"/>
        </w:numPr>
        <w:tabs>
          <w:tab w:pos="959" w:val="left" w:leader="none"/>
        </w:tabs>
        <w:spacing w:line="240" w:lineRule="auto" w:before="150" w:after="0"/>
        <w:ind w:left="959" w:right="0" w:hanging="224"/>
        <w:jc w:val="left"/>
        <w:rPr>
          <w:sz w:val="22"/>
        </w:rPr>
      </w:pPr>
      <w:r>
        <w:rPr>
          <w:color w:val="231F1F"/>
          <w:w w:val="110"/>
          <w:sz w:val="22"/>
        </w:rPr>
        <w:t>Demanda</w:t>
      </w:r>
      <w:r>
        <w:rPr>
          <w:color w:val="231F1F"/>
          <w:spacing w:val="-10"/>
          <w:w w:val="110"/>
          <w:sz w:val="22"/>
        </w:rPr>
        <w:t> </w:t>
      </w:r>
      <w:r>
        <w:rPr>
          <w:color w:val="231F1F"/>
          <w:w w:val="110"/>
          <w:sz w:val="22"/>
        </w:rPr>
        <w:t>de</w:t>
      </w:r>
      <w:r>
        <w:rPr>
          <w:color w:val="231F1F"/>
          <w:spacing w:val="-9"/>
          <w:w w:val="110"/>
          <w:sz w:val="22"/>
        </w:rPr>
        <w:t> </w:t>
      </w:r>
      <w:r>
        <w:rPr>
          <w:color w:val="231F1F"/>
          <w:w w:val="110"/>
          <w:sz w:val="22"/>
        </w:rPr>
        <w:t>la</w:t>
      </w:r>
      <w:r>
        <w:rPr>
          <w:color w:val="231F1F"/>
          <w:spacing w:val="-8"/>
          <w:w w:val="110"/>
          <w:sz w:val="22"/>
        </w:rPr>
        <w:t> </w:t>
      </w:r>
      <w:r>
        <w:rPr>
          <w:color w:val="231F1F"/>
          <w:spacing w:val="-2"/>
          <w:w w:val="110"/>
          <w:sz w:val="22"/>
        </w:rPr>
        <w:t>mujer.</w:t>
      </w:r>
    </w:p>
    <w:p>
      <w:pPr>
        <w:pStyle w:val="ListParagraph"/>
        <w:numPr>
          <w:ilvl w:val="0"/>
          <w:numId w:val="105"/>
        </w:numPr>
        <w:tabs>
          <w:tab w:pos="960" w:val="left" w:leader="none"/>
          <w:tab w:pos="963" w:val="left" w:leader="none"/>
        </w:tabs>
        <w:spacing w:line="254" w:lineRule="auto" w:before="145" w:after="0"/>
        <w:ind w:left="963" w:right="188" w:hanging="227"/>
        <w:jc w:val="both"/>
        <w:rPr>
          <w:sz w:val="22"/>
        </w:rPr>
      </w:pPr>
      <w:r>
        <w:rPr>
          <w:color w:val="231F1F"/>
          <w:w w:val="110"/>
          <w:sz w:val="22"/>
        </w:rPr>
        <w:t>Durante 30 minutos después de establecida la anestesia epidural</w:t>
      </w:r>
      <w:r>
        <w:rPr>
          <w:color w:val="231F1F"/>
          <w:spacing w:val="-1"/>
          <w:w w:val="110"/>
          <w:sz w:val="22"/>
        </w:rPr>
        <w:t> </w:t>
      </w:r>
      <w:r>
        <w:rPr>
          <w:color w:val="231F1F"/>
          <w:w w:val="110"/>
          <w:sz w:val="22"/>
        </w:rPr>
        <w:t>o después de la administración de cada bolo adicional.</w:t>
      </w:r>
    </w:p>
    <w:p>
      <w:pPr>
        <w:pStyle w:val="ListParagraph"/>
        <w:spacing w:after="0" w:line="254" w:lineRule="auto"/>
        <w:jc w:val="both"/>
        <w:rPr>
          <w:sz w:val="22"/>
        </w:rPr>
        <w:sectPr>
          <w:pgSz w:w="11900" w:h="16840"/>
          <w:pgMar w:header="0" w:footer="622" w:top="1540" w:bottom="820" w:left="1417" w:right="1559"/>
        </w:sectPr>
      </w:pPr>
    </w:p>
    <w:p>
      <w:pPr>
        <w:pStyle w:val="Heading2"/>
        <w:spacing w:line="232" w:lineRule="auto" w:before="83"/>
        <w:ind w:left="2071" w:right="515" w:hanging="1790"/>
      </w:pPr>
      <w:bookmarkStart w:name="_TOC_250000" w:id="56"/>
      <w:r>
        <w:rPr>
          <w:color w:val="231F1F"/>
        </w:rPr>
        <w:t>Anexo 12.</w:t>
      </w:r>
      <w:r>
        <w:rPr>
          <w:color w:val="231F1F"/>
          <w:spacing w:val="80"/>
        </w:rPr>
        <w:t> </w:t>
      </w:r>
      <w:r>
        <w:rPr>
          <w:color w:val="231F1F"/>
        </w:rPr>
        <w:t>Algoritmo de decisión según resultados de</w:t>
      </w:r>
      <w:r>
        <w:rPr>
          <w:color w:val="231F1F"/>
          <w:spacing w:val="80"/>
          <w:w w:val="150"/>
        </w:rPr>
        <w:t> </w:t>
      </w:r>
      <w:bookmarkEnd w:id="56"/>
      <w:r>
        <w:rPr>
          <w:color w:val="231F1F"/>
        </w:rPr>
        <w:t>pH fetal</w:t>
      </w:r>
    </w:p>
    <w:p>
      <w:pPr>
        <w:pStyle w:val="BodyText"/>
        <w:spacing w:before="38"/>
        <w:rPr>
          <w:sz w:val="20"/>
        </w:rPr>
      </w:pPr>
      <w:r>
        <w:rPr>
          <w:sz w:val="20"/>
        </w:rPr>
        <mc:AlternateContent>
          <mc:Choice Requires="wps">
            <w:drawing>
              <wp:anchor distT="0" distB="0" distL="0" distR="0" allowOverlap="1" layoutInCell="1" locked="0" behindDoc="1" simplePos="0" relativeHeight="487662080">
                <wp:simplePos x="0" y="0"/>
                <wp:positionH relativeFrom="page">
                  <wp:posOffset>1079499</wp:posOffset>
                </wp:positionH>
                <wp:positionV relativeFrom="paragraph">
                  <wp:posOffset>185408</wp:posOffset>
                </wp:positionV>
                <wp:extent cx="5400040" cy="4946650"/>
                <wp:effectExtent l="0" t="0" r="0" b="0"/>
                <wp:wrapTopAndBottom/>
                <wp:docPr id="406" name="Group 406"/>
                <wp:cNvGraphicFramePr>
                  <a:graphicFrameLocks/>
                </wp:cNvGraphicFramePr>
                <a:graphic>
                  <a:graphicData uri="http://schemas.microsoft.com/office/word/2010/wordprocessingGroup">
                    <wpg:wgp>
                      <wpg:cNvPr id="406" name="Group 406"/>
                      <wpg:cNvGrpSpPr/>
                      <wpg:grpSpPr>
                        <a:xfrm>
                          <a:off x="0" y="0"/>
                          <a:ext cx="5400040" cy="4946650"/>
                          <a:chExt cx="5400040" cy="4946650"/>
                        </a:xfrm>
                      </wpg:grpSpPr>
                      <wps:wsp>
                        <wps:cNvPr id="407" name="Graphic 407"/>
                        <wps:cNvSpPr/>
                        <wps:spPr>
                          <a:xfrm>
                            <a:off x="604266" y="727544"/>
                            <a:ext cx="4123690" cy="3302635"/>
                          </a:xfrm>
                          <a:custGeom>
                            <a:avLst/>
                            <a:gdLst/>
                            <a:ahLst/>
                            <a:cxnLst/>
                            <a:rect l="l" t="t" r="r" b="b"/>
                            <a:pathLst>
                              <a:path w="4123690" h="3302635">
                                <a:moveTo>
                                  <a:pt x="579247" y="0"/>
                                </a:moveTo>
                                <a:lnTo>
                                  <a:pt x="4123102" y="0"/>
                                </a:lnTo>
                              </a:path>
                              <a:path w="4123690" h="3302635">
                                <a:moveTo>
                                  <a:pt x="4103002" y="446506"/>
                                </a:moveTo>
                                <a:lnTo>
                                  <a:pt x="4103002" y="1347560"/>
                                </a:lnTo>
                              </a:path>
                              <a:path w="4123690" h="3302635">
                                <a:moveTo>
                                  <a:pt x="0" y="2964621"/>
                                </a:moveTo>
                                <a:lnTo>
                                  <a:pt x="0" y="3129551"/>
                                </a:lnTo>
                              </a:path>
                              <a:path w="4123690" h="3302635">
                                <a:moveTo>
                                  <a:pt x="0" y="3129551"/>
                                </a:moveTo>
                                <a:lnTo>
                                  <a:pt x="1568790" y="3129551"/>
                                </a:lnTo>
                              </a:path>
                              <a:path w="4123690" h="3302635">
                                <a:moveTo>
                                  <a:pt x="949325" y="3133561"/>
                                </a:moveTo>
                                <a:lnTo>
                                  <a:pt x="953338" y="3133561"/>
                                </a:lnTo>
                              </a:path>
                              <a:path w="4123690" h="3302635">
                                <a:moveTo>
                                  <a:pt x="2650861" y="2759481"/>
                                </a:moveTo>
                                <a:lnTo>
                                  <a:pt x="2650861" y="3302521"/>
                                </a:lnTo>
                              </a:path>
                            </a:pathLst>
                          </a:custGeom>
                          <a:ln w="4762">
                            <a:solidFill>
                              <a:srgbClr val="231F1F"/>
                            </a:solidFill>
                            <a:prstDash val="solid"/>
                          </a:ln>
                        </wps:spPr>
                        <wps:bodyPr wrap="square" lIns="0" tIns="0" rIns="0" bIns="0" rtlCol="0">
                          <a:prstTxWarp prst="textNoShape">
                            <a:avLst/>
                          </a:prstTxWarp>
                          <a:noAutofit/>
                        </wps:bodyPr>
                      </wps:wsp>
                      <wps:wsp>
                        <wps:cNvPr id="408" name="Graphic 408"/>
                        <wps:cNvSpPr/>
                        <wps:spPr>
                          <a:xfrm>
                            <a:off x="3174" y="3174"/>
                            <a:ext cx="5393690" cy="4940300"/>
                          </a:xfrm>
                          <a:custGeom>
                            <a:avLst/>
                            <a:gdLst/>
                            <a:ahLst/>
                            <a:cxnLst/>
                            <a:rect l="l" t="t" r="r" b="b"/>
                            <a:pathLst>
                              <a:path w="5393690" h="4940300">
                                <a:moveTo>
                                  <a:pt x="0" y="0"/>
                                </a:moveTo>
                                <a:lnTo>
                                  <a:pt x="5393693" y="0"/>
                                </a:lnTo>
                                <a:lnTo>
                                  <a:pt x="5393693" y="4940302"/>
                                </a:lnTo>
                                <a:lnTo>
                                  <a:pt x="0" y="4940302"/>
                                </a:lnTo>
                                <a:lnTo>
                                  <a:pt x="0" y="0"/>
                                </a:lnTo>
                                <a:close/>
                              </a:path>
                            </a:pathLst>
                          </a:custGeom>
                          <a:ln w="6349">
                            <a:solidFill>
                              <a:srgbClr val="A30046"/>
                            </a:solidFill>
                            <a:prstDash val="solid"/>
                          </a:ln>
                        </wps:spPr>
                        <wps:bodyPr wrap="square" lIns="0" tIns="0" rIns="0" bIns="0" rtlCol="0">
                          <a:prstTxWarp prst="textNoShape">
                            <a:avLst/>
                          </a:prstTxWarp>
                          <a:noAutofit/>
                        </wps:bodyPr>
                      </wps:wsp>
                      <wps:wsp>
                        <wps:cNvPr id="409" name="Graphic 409"/>
                        <wps:cNvSpPr/>
                        <wps:spPr>
                          <a:xfrm>
                            <a:off x="873786" y="960856"/>
                            <a:ext cx="631825" cy="205740"/>
                          </a:xfrm>
                          <a:custGeom>
                            <a:avLst/>
                            <a:gdLst/>
                            <a:ahLst/>
                            <a:cxnLst/>
                            <a:rect l="l" t="t" r="r" b="b"/>
                            <a:pathLst>
                              <a:path w="631825" h="205740">
                                <a:moveTo>
                                  <a:pt x="528980" y="0"/>
                                </a:moveTo>
                                <a:lnTo>
                                  <a:pt x="102577" y="0"/>
                                </a:lnTo>
                                <a:lnTo>
                                  <a:pt x="62649" y="8064"/>
                                </a:lnTo>
                                <a:lnTo>
                                  <a:pt x="30048" y="30035"/>
                                </a:lnTo>
                                <a:lnTo>
                                  <a:pt x="8064" y="62636"/>
                                </a:lnTo>
                                <a:lnTo>
                                  <a:pt x="0" y="102565"/>
                                </a:lnTo>
                                <a:lnTo>
                                  <a:pt x="8064" y="142481"/>
                                </a:lnTo>
                                <a:lnTo>
                                  <a:pt x="30048" y="175082"/>
                                </a:lnTo>
                                <a:lnTo>
                                  <a:pt x="62649" y="197065"/>
                                </a:lnTo>
                                <a:lnTo>
                                  <a:pt x="102577" y="205130"/>
                                </a:lnTo>
                                <a:lnTo>
                                  <a:pt x="528980" y="205130"/>
                                </a:lnTo>
                                <a:lnTo>
                                  <a:pt x="568896" y="197065"/>
                                </a:lnTo>
                                <a:lnTo>
                                  <a:pt x="601497" y="175082"/>
                                </a:lnTo>
                                <a:lnTo>
                                  <a:pt x="623481" y="142481"/>
                                </a:lnTo>
                                <a:lnTo>
                                  <a:pt x="631545" y="102565"/>
                                </a:lnTo>
                                <a:lnTo>
                                  <a:pt x="623481" y="62636"/>
                                </a:lnTo>
                                <a:lnTo>
                                  <a:pt x="601497" y="30035"/>
                                </a:lnTo>
                                <a:lnTo>
                                  <a:pt x="568896" y="8064"/>
                                </a:lnTo>
                                <a:lnTo>
                                  <a:pt x="528980" y="0"/>
                                </a:lnTo>
                                <a:close/>
                              </a:path>
                            </a:pathLst>
                          </a:custGeom>
                          <a:solidFill>
                            <a:srgbClr val="EFCACC"/>
                          </a:solidFill>
                        </wps:spPr>
                        <wps:bodyPr wrap="square" lIns="0" tIns="0" rIns="0" bIns="0" rtlCol="0">
                          <a:prstTxWarp prst="textNoShape">
                            <a:avLst/>
                          </a:prstTxWarp>
                          <a:noAutofit/>
                        </wps:bodyPr>
                      </wps:wsp>
                      <wps:wsp>
                        <wps:cNvPr id="410" name="Graphic 410"/>
                        <wps:cNvSpPr/>
                        <wps:spPr>
                          <a:xfrm>
                            <a:off x="873786" y="960856"/>
                            <a:ext cx="631825" cy="205740"/>
                          </a:xfrm>
                          <a:custGeom>
                            <a:avLst/>
                            <a:gdLst/>
                            <a:ahLst/>
                            <a:cxnLst/>
                            <a:rect l="l" t="t" r="r" b="b"/>
                            <a:pathLst>
                              <a:path w="631825" h="205740">
                                <a:moveTo>
                                  <a:pt x="631545" y="102565"/>
                                </a:moveTo>
                                <a:lnTo>
                                  <a:pt x="623485" y="142486"/>
                                </a:lnTo>
                                <a:lnTo>
                                  <a:pt x="601503" y="175088"/>
                                </a:lnTo>
                                <a:lnTo>
                                  <a:pt x="568902" y="197069"/>
                                </a:lnTo>
                                <a:lnTo>
                                  <a:pt x="528980" y="205130"/>
                                </a:lnTo>
                                <a:lnTo>
                                  <a:pt x="102577" y="205130"/>
                                </a:lnTo>
                                <a:lnTo>
                                  <a:pt x="62654" y="197069"/>
                                </a:lnTo>
                                <a:lnTo>
                                  <a:pt x="30048" y="175088"/>
                                </a:lnTo>
                                <a:lnTo>
                                  <a:pt x="8062" y="142486"/>
                                </a:lnTo>
                                <a:lnTo>
                                  <a:pt x="0" y="102565"/>
                                </a:lnTo>
                                <a:lnTo>
                                  <a:pt x="8062" y="62643"/>
                                </a:lnTo>
                                <a:lnTo>
                                  <a:pt x="30048" y="30041"/>
                                </a:lnTo>
                                <a:lnTo>
                                  <a:pt x="62654" y="8060"/>
                                </a:lnTo>
                                <a:lnTo>
                                  <a:pt x="102577" y="0"/>
                                </a:lnTo>
                                <a:lnTo>
                                  <a:pt x="528980" y="0"/>
                                </a:lnTo>
                                <a:lnTo>
                                  <a:pt x="568902" y="8060"/>
                                </a:lnTo>
                                <a:lnTo>
                                  <a:pt x="601503" y="30041"/>
                                </a:lnTo>
                                <a:lnTo>
                                  <a:pt x="623485" y="62643"/>
                                </a:lnTo>
                                <a:lnTo>
                                  <a:pt x="631545" y="102565"/>
                                </a:lnTo>
                                <a:close/>
                              </a:path>
                            </a:pathLst>
                          </a:custGeom>
                          <a:ln w="4762">
                            <a:solidFill>
                              <a:srgbClr val="CF4D69"/>
                            </a:solidFill>
                            <a:prstDash val="solid"/>
                          </a:ln>
                        </wps:spPr>
                        <wps:bodyPr wrap="square" lIns="0" tIns="0" rIns="0" bIns="0" rtlCol="0">
                          <a:prstTxWarp prst="textNoShape">
                            <a:avLst/>
                          </a:prstTxWarp>
                          <a:noAutofit/>
                        </wps:bodyPr>
                      </wps:wsp>
                      <wps:wsp>
                        <wps:cNvPr id="411" name="Graphic 411"/>
                        <wps:cNvSpPr/>
                        <wps:spPr>
                          <a:xfrm>
                            <a:off x="1187539" y="1174051"/>
                            <a:ext cx="1270" cy="386715"/>
                          </a:xfrm>
                          <a:custGeom>
                            <a:avLst/>
                            <a:gdLst/>
                            <a:ahLst/>
                            <a:cxnLst/>
                            <a:rect l="l" t="t" r="r" b="b"/>
                            <a:pathLst>
                              <a:path w="0" h="386715">
                                <a:moveTo>
                                  <a:pt x="0" y="0"/>
                                </a:moveTo>
                                <a:lnTo>
                                  <a:pt x="0" y="386168"/>
                                </a:lnTo>
                              </a:path>
                            </a:pathLst>
                          </a:custGeom>
                          <a:ln w="4762">
                            <a:solidFill>
                              <a:srgbClr val="231F1F"/>
                            </a:solidFill>
                            <a:prstDash val="solid"/>
                          </a:ln>
                        </wps:spPr>
                        <wps:bodyPr wrap="square" lIns="0" tIns="0" rIns="0" bIns="0" rtlCol="0">
                          <a:prstTxWarp prst="textNoShape">
                            <a:avLst/>
                          </a:prstTxWarp>
                          <a:noAutofit/>
                        </wps:bodyPr>
                      </wps:wsp>
                      <wps:wsp>
                        <wps:cNvPr id="412" name="Graphic 412"/>
                        <wps:cNvSpPr/>
                        <wps:spPr>
                          <a:xfrm>
                            <a:off x="1160209" y="1541347"/>
                            <a:ext cx="55880" cy="103505"/>
                          </a:xfrm>
                          <a:custGeom>
                            <a:avLst/>
                            <a:gdLst/>
                            <a:ahLst/>
                            <a:cxnLst/>
                            <a:rect l="l" t="t" r="r" b="b"/>
                            <a:pathLst>
                              <a:path w="55880" h="103505">
                                <a:moveTo>
                                  <a:pt x="55333" y="0"/>
                                </a:moveTo>
                                <a:lnTo>
                                  <a:pt x="0" y="0"/>
                                </a:lnTo>
                                <a:lnTo>
                                  <a:pt x="27673" y="103250"/>
                                </a:lnTo>
                                <a:lnTo>
                                  <a:pt x="55333" y="0"/>
                                </a:lnTo>
                                <a:close/>
                              </a:path>
                            </a:pathLst>
                          </a:custGeom>
                          <a:solidFill>
                            <a:srgbClr val="231F1F"/>
                          </a:solidFill>
                        </wps:spPr>
                        <wps:bodyPr wrap="square" lIns="0" tIns="0" rIns="0" bIns="0" rtlCol="0">
                          <a:prstTxWarp prst="textNoShape">
                            <a:avLst/>
                          </a:prstTxWarp>
                          <a:noAutofit/>
                        </wps:bodyPr>
                      </wps:wsp>
                      <wps:wsp>
                        <wps:cNvPr id="413" name="Graphic 413"/>
                        <wps:cNvSpPr/>
                        <wps:spPr>
                          <a:xfrm>
                            <a:off x="1183513" y="727544"/>
                            <a:ext cx="1270" cy="140970"/>
                          </a:xfrm>
                          <a:custGeom>
                            <a:avLst/>
                            <a:gdLst/>
                            <a:ahLst/>
                            <a:cxnLst/>
                            <a:rect l="l" t="t" r="r" b="b"/>
                            <a:pathLst>
                              <a:path w="0" h="140970">
                                <a:moveTo>
                                  <a:pt x="0" y="0"/>
                                </a:moveTo>
                                <a:lnTo>
                                  <a:pt x="0" y="140766"/>
                                </a:lnTo>
                              </a:path>
                            </a:pathLst>
                          </a:custGeom>
                          <a:ln w="4762">
                            <a:solidFill>
                              <a:srgbClr val="231F1F"/>
                            </a:solidFill>
                            <a:prstDash val="solid"/>
                          </a:ln>
                        </wps:spPr>
                        <wps:bodyPr wrap="square" lIns="0" tIns="0" rIns="0" bIns="0" rtlCol="0">
                          <a:prstTxWarp prst="textNoShape">
                            <a:avLst/>
                          </a:prstTxWarp>
                          <a:noAutofit/>
                        </wps:bodyPr>
                      </wps:wsp>
                      <wps:wsp>
                        <wps:cNvPr id="414" name="Graphic 414"/>
                        <wps:cNvSpPr/>
                        <wps:spPr>
                          <a:xfrm>
                            <a:off x="1156183" y="849426"/>
                            <a:ext cx="55880" cy="103505"/>
                          </a:xfrm>
                          <a:custGeom>
                            <a:avLst/>
                            <a:gdLst/>
                            <a:ahLst/>
                            <a:cxnLst/>
                            <a:rect l="l" t="t" r="r" b="b"/>
                            <a:pathLst>
                              <a:path w="55880" h="103505">
                                <a:moveTo>
                                  <a:pt x="55333" y="0"/>
                                </a:moveTo>
                                <a:lnTo>
                                  <a:pt x="0" y="0"/>
                                </a:lnTo>
                                <a:lnTo>
                                  <a:pt x="27673" y="103251"/>
                                </a:lnTo>
                                <a:lnTo>
                                  <a:pt x="55333" y="0"/>
                                </a:lnTo>
                                <a:close/>
                              </a:path>
                            </a:pathLst>
                          </a:custGeom>
                          <a:solidFill>
                            <a:srgbClr val="231F1F"/>
                          </a:solidFill>
                        </wps:spPr>
                        <wps:bodyPr wrap="square" lIns="0" tIns="0" rIns="0" bIns="0" rtlCol="0">
                          <a:prstTxWarp prst="textNoShape">
                            <a:avLst/>
                          </a:prstTxWarp>
                          <a:noAutofit/>
                        </wps:bodyPr>
                      </wps:wsp>
                      <wps:wsp>
                        <wps:cNvPr id="415" name="Graphic 415"/>
                        <wps:cNvSpPr/>
                        <wps:spPr>
                          <a:xfrm>
                            <a:off x="4393527" y="940751"/>
                            <a:ext cx="635635" cy="221615"/>
                          </a:xfrm>
                          <a:custGeom>
                            <a:avLst/>
                            <a:gdLst/>
                            <a:ahLst/>
                            <a:cxnLst/>
                            <a:rect l="l" t="t" r="r" b="b"/>
                            <a:pathLst>
                              <a:path w="635635" h="221615">
                                <a:moveTo>
                                  <a:pt x="524941" y="0"/>
                                </a:moveTo>
                                <a:lnTo>
                                  <a:pt x="110616" y="0"/>
                                </a:lnTo>
                                <a:lnTo>
                                  <a:pt x="67563" y="8686"/>
                                </a:lnTo>
                                <a:lnTo>
                                  <a:pt x="32397" y="32397"/>
                                </a:lnTo>
                                <a:lnTo>
                                  <a:pt x="8686" y="67551"/>
                                </a:lnTo>
                                <a:lnTo>
                                  <a:pt x="0" y="110617"/>
                                </a:lnTo>
                                <a:lnTo>
                                  <a:pt x="8686" y="153670"/>
                                </a:lnTo>
                                <a:lnTo>
                                  <a:pt x="32397" y="188836"/>
                                </a:lnTo>
                                <a:lnTo>
                                  <a:pt x="67563" y="212547"/>
                                </a:lnTo>
                                <a:lnTo>
                                  <a:pt x="110616" y="221234"/>
                                </a:lnTo>
                                <a:lnTo>
                                  <a:pt x="524941" y="221234"/>
                                </a:lnTo>
                                <a:lnTo>
                                  <a:pt x="567994" y="212547"/>
                                </a:lnTo>
                                <a:lnTo>
                                  <a:pt x="603161" y="188836"/>
                                </a:lnTo>
                                <a:lnTo>
                                  <a:pt x="626859" y="153670"/>
                                </a:lnTo>
                                <a:lnTo>
                                  <a:pt x="635558" y="110617"/>
                                </a:lnTo>
                                <a:lnTo>
                                  <a:pt x="626859" y="67551"/>
                                </a:lnTo>
                                <a:lnTo>
                                  <a:pt x="603161" y="32397"/>
                                </a:lnTo>
                                <a:lnTo>
                                  <a:pt x="567994" y="8686"/>
                                </a:lnTo>
                                <a:lnTo>
                                  <a:pt x="524941" y="0"/>
                                </a:lnTo>
                                <a:close/>
                              </a:path>
                            </a:pathLst>
                          </a:custGeom>
                          <a:solidFill>
                            <a:srgbClr val="EFCACC"/>
                          </a:solidFill>
                        </wps:spPr>
                        <wps:bodyPr wrap="square" lIns="0" tIns="0" rIns="0" bIns="0" rtlCol="0">
                          <a:prstTxWarp prst="textNoShape">
                            <a:avLst/>
                          </a:prstTxWarp>
                          <a:noAutofit/>
                        </wps:bodyPr>
                      </wps:wsp>
                      <wps:wsp>
                        <wps:cNvPr id="416" name="Graphic 416"/>
                        <wps:cNvSpPr/>
                        <wps:spPr>
                          <a:xfrm>
                            <a:off x="4393527" y="940751"/>
                            <a:ext cx="635635" cy="221615"/>
                          </a:xfrm>
                          <a:custGeom>
                            <a:avLst/>
                            <a:gdLst/>
                            <a:ahLst/>
                            <a:cxnLst/>
                            <a:rect l="l" t="t" r="r" b="b"/>
                            <a:pathLst>
                              <a:path w="635635" h="221615">
                                <a:moveTo>
                                  <a:pt x="635558" y="110617"/>
                                </a:moveTo>
                                <a:lnTo>
                                  <a:pt x="626865" y="153677"/>
                                </a:lnTo>
                                <a:lnTo>
                                  <a:pt x="603157" y="188837"/>
                                </a:lnTo>
                                <a:lnTo>
                                  <a:pt x="567996" y="212542"/>
                                </a:lnTo>
                                <a:lnTo>
                                  <a:pt x="524941" y="221234"/>
                                </a:lnTo>
                                <a:lnTo>
                                  <a:pt x="110616" y="221234"/>
                                </a:lnTo>
                                <a:lnTo>
                                  <a:pt x="67562" y="212542"/>
                                </a:lnTo>
                                <a:lnTo>
                                  <a:pt x="32400" y="188837"/>
                                </a:lnTo>
                                <a:lnTo>
                                  <a:pt x="8693" y="153677"/>
                                </a:lnTo>
                                <a:lnTo>
                                  <a:pt x="0" y="110617"/>
                                </a:lnTo>
                                <a:lnTo>
                                  <a:pt x="8693" y="67556"/>
                                </a:lnTo>
                                <a:lnTo>
                                  <a:pt x="32400" y="32396"/>
                                </a:lnTo>
                                <a:lnTo>
                                  <a:pt x="67562" y="8691"/>
                                </a:lnTo>
                                <a:lnTo>
                                  <a:pt x="110616" y="0"/>
                                </a:lnTo>
                                <a:lnTo>
                                  <a:pt x="524941" y="0"/>
                                </a:lnTo>
                                <a:lnTo>
                                  <a:pt x="567996" y="8691"/>
                                </a:lnTo>
                                <a:lnTo>
                                  <a:pt x="603157" y="32396"/>
                                </a:lnTo>
                                <a:lnTo>
                                  <a:pt x="626865" y="67556"/>
                                </a:lnTo>
                                <a:lnTo>
                                  <a:pt x="635558" y="110617"/>
                                </a:lnTo>
                                <a:close/>
                              </a:path>
                            </a:pathLst>
                          </a:custGeom>
                          <a:ln w="4762">
                            <a:solidFill>
                              <a:srgbClr val="CF4D69"/>
                            </a:solidFill>
                            <a:prstDash val="solid"/>
                          </a:ln>
                        </wps:spPr>
                        <wps:bodyPr wrap="square" lIns="0" tIns="0" rIns="0" bIns="0" rtlCol="0">
                          <a:prstTxWarp prst="textNoShape">
                            <a:avLst/>
                          </a:prstTxWarp>
                          <a:noAutofit/>
                        </wps:bodyPr>
                      </wps:wsp>
                      <wps:wsp>
                        <wps:cNvPr id="417" name="Graphic 417"/>
                        <wps:cNvSpPr/>
                        <wps:spPr>
                          <a:xfrm>
                            <a:off x="2571306" y="952817"/>
                            <a:ext cx="764540" cy="209550"/>
                          </a:xfrm>
                          <a:custGeom>
                            <a:avLst/>
                            <a:gdLst/>
                            <a:ahLst/>
                            <a:cxnLst/>
                            <a:rect l="l" t="t" r="r" b="b"/>
                            <a:pathLst>
                              <a:path w="764540" h="209550">
                                <a:moveTo>
                                  <a:pt x="659701" y="0"/>
                                </a:moveTo>
                                <a:lnTo>
                                  <a:pt x="104584" y="0"/>
                                </a:lnTo>
                                <a:lnTo>
                                  <a:pt x="63881" y="8216"/>
                                </a:lnTo>
                                <a:lnTo>
                                  <a:pt x="30632" y="30632"/>
                                </a:lnTo>
                                <a:lnTo>
                                  <a:pt x="8216" y="63868"/>
                                </a:lnTo>
                                <a:lnTo>
                                  <a:pt x="0" y="104584"/>
                                </a:lnTo>
                                <a:lnTo>
                                  <a:pt x="8216" y="145287"/>
                                </a:lnTo>
                                <a:lnTo>
                                  <a:pt x="30632" y="178523"/>
                                </a:lnTo>
                                <a:lnTo>
                                  <a:pt x="63881" y="200952"/>
                                </a:lnTo>
                                <a:lnTo>
                                  <a:pt x="104584" y="209169"/>
                                </a:lnTo>
                                <a:lnTo>
                                  <a:pt x="659701" y="209169"/>
                                </a:lnTo>
                                <a:lnTo>
                                  <a:pt x="700417" y="200952"/>
                                </a:lnTo>
                                <a:lnTo>
                                  <a:pt x="733653" y="178523"/>
                                </a:lnTo>
                                <a:lnTo>
                                  <a:pt x="756069" y="145287"/>
                                </a:lnTo>
                                <a:lnTo>
                                  <a:pt x="764286" y="104584"/>
                                </a:lnTo>
                                <a:lnTo>
                                  <a:pt x="756069" y="63868"/>
                                </a:lnTo>
                                <a:lnTo>
                                  <a:pt x="733653" y="30632"/>
                                </a:lnTo>
                                <a:lnTo>
                                  <a:pt x="700417" y="8216"/>
                                </a:lnTo>
                                <a:lnTo>
                                  <a:pt x="659701" y="0"/>
                                </a:lnTo>
                                <a:close/>
                              </a:path>
                            </a:pathLst>
                          </a:custGeom>
                          <a:solidFill>
                            <a:srgbClr val="EFCACC"/>
                          </a:solidFill>
                        </wps:spPr>
                        <wps:bodyPr wrap="square" lIns="0" tIns="0" rIns="0" bIns="0" rtlCol="0">
                          <a:prstTxWarp prst="textNoShape">
                            <a:avLst/>
                          </a:prstTxWarp>
                          <a:noAutofit/>
                        </wps:bodyPr>
                      </wps:wsp>
                      <wps:wsp>
                        <wps:cNvPr id="418" name="Graphic 418"/>
                        <wps:cNvSpPr/>
                        <wps:spPr>
                          <a:xfrm>
                            <a:off x="2571306" y="952817"/>
                            <a:ext cx="764540" cy="209550"/>
                          </a:xfrm>
                          <a:custGeom>
                            <a:avLst/>
                            <a:gdLst/>
                            <a:ahLst/>
                            <a:cxnLst/>
                            <a:rect l="l" t="t" r="r" b="b"/>
                            <a:pathLst>
                              <a:path w="764540" h="209550">
                                <a:moveTo>
                                  <a:pt x="764286" y="104584"/>
                                </a:moveTo>
                                <a:lnTo>
                                  <a:pt x="756068" y="145287"/>
                                </a:lnTo>
                                <a:lnTo>
                                  <a:pt x="733658" y="178531"/>
                                </a:lnTo>
                                <a:lnTo>
                                  <a:pt x="700415" y="200948"/>
                                </a:lnTo>
                                <a:lnTo>
                                  <a:pt x="659701" y="209169"/>
                                </a:lnTo>
                                <a:lnTo>
                                  <a:pt x="104584" y="209169"/>
                                </a:lnTo>
                                <a:lnTo>
                                  <a:pt x="63881" y="200948"/>
                                </a:lnTo>
                                <a:lnTo>
                                  <a:pt x="30637" y="178531"/>
                                </a:lnTo>
                                <a:lnTo>
                                  <a:pt x="8220" y="145287"/>
                                </a:lnTo>
                                <a:lnTo>
                                  <a:pt x="0" y="104584"/>
                                </a:lnTo>
                                <a:lnTo>
                                  <a:pt x="8220" y="63870"/>
                                </a:lnTo>
                                <a:lnTo>
                                  <a:pt x="30637" y="30627"/>
                                </a:lnTo>
                                <a:lnTo>
                                  <a:pt x="63881" y="8217"/>
                                </a:lnTo>
                                <a:lnTo>
                                  <a:pt x="104584" y="0"/>
                                </a:lnTo>
                                <a:lnTo>
                                  <a:pt x="659701" y="0"/>
                                </a:lnTo>
                                <a:lnTo>
                                  <a:pt x="700415" y="8217"/>
                                </a:lnTo>
                                <a:lnTo>
                                  <a:pt x="733658" y="30627"/>
                                </a:lnTo>
                                <a:lnTo>
                                  <a:pt x="756068" y="63870"/>
                                </a:lnTo>
                                <a:lnTo>
                                  <a:pt x="764286" y="104584"/>
                                </a:lnTo>
                                <a:close/>
                              </a:path>
                            </a:pathLst>
                          </a:custGeom>
                          <a:ln w="4762">
                            <a:solidFill>
                              <a:srgbClr val="CF4D69"/>
                            </a:solidFill>
                            <a:prstDash val="solid"/>
                          </a:ln>
                        </wps:spPr>
                        <wps:bodyPr wrap="square" lIns="0" tIns="0" rIns="0" bIns="0" rtlCol="0">
                          <a:prstTxWarp prst="textNoShape">
                            <a:avLst/>
                          </a:prstTxWarp>
                          <a:noAutofit/>
                        </wps:bodyPr>
                      </wps:wsp>
                      <wps:wsp>
                        <wps:cNvPr id="419" name="Graphic 419"/>
                        <wps:cNvSpPr/>
                        <wps:spPr>
                          <a:xfrm>
                            <a:off x="2450618" y="272998"/>
                            <a:ext cx="1010285" cy="237490"/>
                          </a:xfrm>
                          <a:custGeom>
                            <a:avLst/>
                            <a:gdLst/>
                            <a:ahLst/>
                            <a:cxnLst/>
                            <a:rect l="l" t="t" r="r" b="b"/>
                            <a:pathLst>
                              <a:path w="1010285" h="237490">
                                <a:moveTo>
                                  <a:pt x="890993" y="0"/>
                                </a:moveTo>
                                <a:lnTo>
                                  <a:pt x="118656" y="0"/>
                                </a:lnTo>
                                <a:lnTo>
                                  <a:pt x="72466" y="9321"/>
                                </a:lnTo>
                                <a:lnTo>
                                  <a:pt x="34747" y="34759"/>
                                </a:lnTo>
                                <a:lnTo>
                                  <a:pt x="9321" y="72478"/>
                                </a:lnTo>
                                <a:lnTo>
                                  <a:pt x="0" y="118668"/>
                                </a:lnTo>
                                <a:lnTo>
                                  <a:pt x="9321" y="164858"/>
                                </a:lnTo>
                                <a:lnTo>
                                  <a:pt x="34747" y="202577"/>
                                </a:lnTo>
                                <a:lnTo>
                                  <a:pt x="72466" y="228015"/>
                                </a:lnTo>
                                <a:lnTo>
                                  <a:pt x="118656" y="237337"/>
                                </a:lnTo>
                                <a:lnTo>
                                  <a:pt x="890993" y="237337"/>
                                </a:lnTo>
                                <a:lnTo>
                                  <a:pt x="937183" y="228015"/>
                                </a:lnTo>
                                <a:lnTo>
                                  <a:pt x="974902" y="202577"/>
                                </a:lnTo>
                                <a:lnTo>
                                  <a:pt x="1000340" y="164858"/>
                                </a:lnTo>
                                <a:lnTo>
                                  <a:pt x="1009662" y="118668"/>
                                </a:lnTo>
                                <a:lnTo>
                                  <a:pt x="1000340" y="72478"/>
                                </a:lnTo>
                                <a:lnTo>
                                  <a:pt x="974902" y="34759"/>
                                </a:lnTo>
                                <a:lnTo>
                                  <a:pt x="937183" y="9321"/>
                                </a:lnTo>
                                <a:lnTo>
                                  <a:pt x="890993" y="0"/>
                                </a:lnTo>
                                <a:close/>
                              </a:path>
                            </a:pathLst>
                          </a:custGeom>
                          <a:solidFill>
                            <a:srgbClr val="EFCACC"/>
                          </a:solidFill>
                        </wps:spPr>
                        <wps:bodyPr wrap="square" lIns="0" tIns="0" rIns="0" bIns="0" rtlCol="0">
                          <a:prstTxWarp prst="textNoShape">
                            <a:avLst/>
                          </a:prstTxWarp>
                          <a:noAutofit/>
                        </wps:bodyPr>
                      </wps:wsp>
                      <wps:wsp>
                        <wps:cNvPr id="420" name="Graphic 420"/>
                        <wps:cNvSpPr/>
                        <wps:spPr>
                          <a:xfrm>
                            <a:off x="2450618" y="272998"/>
                            <a:ext cx="1010285" cy="237490"/>
                          </a:xfrm>
                          <a:custGeom>
                            <a:avLst/>
                            <a:gdLst/>
                            <a:ahLst/>
                            <a:cxnLst/>
                            <a:rect l="l" t="t" r="r" b="b"/>
                            <a:pathLst>
                              <a:path w="1010285" h="237490">
                                <a:moveTo>
                                  <a:pt x="1009660" y="118668"/>
                                </a:moveTo>
                                <a:lnTo>
                                  <a:pt x="1000340" y="164857"/>
                                </a:lnTo>
                                <a:lnTo>
                                  <a:pt x="974902" y="202577"/>
                                </a:lnTo>
                                <a:lnTo>
                                  <a:pt x="937182" y="228011"/>
                                </a:lnTo>
                                <a:lnTo>
                                  <a:pt x="890993" y="237337"/>
                                </a:lnTo>
                                <a:lnTo>
                                  <a:pt x="118656" y="237337"/>
                                </a:lnTo>
                                <a:lnTo>
                                  <a:pt x="72469" y="228011"/>
                                </a:lnTo>
                                <a:lnTo>
                                  <a:pt x="34753" y="202577"/>
                                </a:lnTo>
                                <a:lnTo>
                                  <a:pt x="9324" y="164857"/>
                                </a:lnTo>
                                <a:lnTo>
                                  <a:pt x="0" y="118668"/>
                                </a:lnTo>
                                <a:lnTo>
                                  <a:pt x="9324" y="72480"/>
                                </a:lnTo>
                                <a:lnTo>
                                  <a:pt x="34753" y="34759"/>
                                </a:lnTo>
                                <a:lnTo>
                                  <a:pt x="72469" y="9326"/>
                                </a:lnTo>
                                <a:lnTo>
                                  <a:pt x="118656" y="0"/>
                                </a:lnTo>
                                <a:lnTo>
                                  <a:pt x="890993" y="0"/>
                                </a:lnTo>
                                <a:lnTo>
                                  <a:pt x="937182" y="9326"/>
                                </a:lnTo>
                                <a:lnTo>
                                  <a:pt x="974902" y="34759"/>
                                </a:lnTo>
                                <a:lnTo>
                                  <a:pt x="1000340" y="72480"/>
                                </a:lnTo>
                                <a:lnTo>
                                  <a:pt x="1009660" y="118668"/>
                                </a:lnTo>
                                <a:close/>
                              </a:path>
                            </a:pathLst>
                          </a:custGeom>
                          <a:ln w="4762">
                            <a:solidFill>
                              <a:srgbClr val="CF4D69"/>
                            </a:solidFill>
                            <a:prstDash val="solid"/>
                          </a:ln>
                        </wps:spPr>
                        <wps:bodyPr wrap="square" lIns="0" tIns="0" rIns="0" bIns="0" rtlCol="0">
                          <a:prstTxWarp prst="textNoShape">
                            <a:avLst/>
                          </a:prstTxWarp>
                          <a:noAutofit/>
                        </wps:bodyPr>
                      </wps:wsp>
                      <wps:wsp>
                        <wps:cNvPr id="421" name="Graphic 421"/>
                        <wps:cNvSpPr/>
                        <wps:spPr>
                          <a:xfrm>
                            <a:off x="4727372" y="727544"/>
                            <a:ext cx="1270" cy="116839"/>
                          </a:xfrm>
                          <a:custGeom>
                            <a:avLst/>
                            <a:gdLst/>
                            <a:ahLst/>
                            <a:cxnLst/>
                            <a:rect l="l" t="t" r="r" b="b"/>
                            <a:pathLst>
                              <a:path w="0" h="116839">
                                <a:moveTo>
                                  <a:pt x="0" y="0"/>
                                </a:moveTo>
                                <a:lnTo>
                                  <a:pt x="0" y="116649"/>
                                </a:lnTo>
                              </a:path>
                            </a:pathLst>
                          </a:custGeom>
                          <a:ln w="4762">
                            <a:solidFill>
                              <a:srgbClr val="231F1F"/>
                            </a:solidFill>
                            <a:prstDash val="solid"/>
                          </a:ln>
                        </wps:spPr>
                        <wps:bodyPr wrap="square" lIns="0" tIns="0" rIns="0" bIns="0" rtlCol="0">
                          <a:prstTxWarp prst="textNoShape">
                            <a:avLst/>
                          </a:prstTxWarp>
                          <a:noAutofit/>
                        </wps:bodyPr>
                      </wps:wsp>
                      <wps:wsp>
                        <wps:cNvPr id="422" name="Graphic 422"/>
                        <wps:cNvSpPr/>
                        <wps:spPr>
                          <a:xfrm>
                            <a:off x="4700042" y="825321"/>
                            <a:ext cx="55880" cy="103505"/>
                          </a:xfrm>
                          <a:custGeom>
                            <a:avLst/>
                            <a:gdLst/>
                            <a:ahLst/>
                            <a:cxnLst/>
                            <a:rect l="l" t="t" r="r" b="b"/>
                            <a:pathLst>
                              <a:path w="55880" h="103505">
                                <a:moveTo>
                                  <a:pt x="55333" y="0"/>
                                </a:moveTo>
                                <a:lnTo>
                                  <a:pt x="0" y="0"/>
                                </a:lnTo>
                                <a:lnTo>
                                  <a:pt x="27673" y="103250"/>
                                </a:lnTo>
                                <a:lnTo>
                                  <a:pt x="55333" y="0"/>
                                </a:lnTo>
                                <a:close/>
                              </a:path>
                            </a:pathLst>
                          </a:custGeom>
                          <a:solidFill>
                            <a:srgbClr val="231F1F"/>
                          </a:solidFill>
                        </wps:spPr>
                        <wps:bodyPr wrap="square" lIns="0" tIns="0" rIns="0" bIns="0" rtlCol="0">
                          <a:prstTxWarp prst="textNoShape">
                            <a:avLst/>
                          </a:prstTxWarp>
                          <a:noAutofit/>
                        </wps:bodyPr>
                      </wps:wsp>
                      <wps:wsp>
                        <wps:cNvPr id="423" name="Graphic 423"/>
                        <wps:cNvSpPr/>
                        <wps:spPr>
                          <a:xfrm>
                            <a:off x="2945397" y="506310"/>
                            <a:ext cx="1270" cy="370205"/>
                          </a:xfrm>
                          <a:custGeom>
                            <a:avLst/>
                            <a:gdLst/>
                            <a:ahLst/>
                            <a:cxnLst/>
                            <a:rect l="l" t="t" r="r" b="b"/>
                            <a:pathLst>
                              <a:path w="0" h="370205">
                                <a:moveTo>
                                  <a:pt x="0" y="0"/>
                                </a:moveTo>
                                <a:lnTo>
                                  <a:pt x="0" y="370078"/>
                                </a:lnTo>
                              </a:path>
                            </a:pathLst>
                          </a:custGeom>
                          <a:ln w="4762">
                            <a:solidFill>
                              <a:srgbClr val="231F1F"/>
                            </a:solidFill>
                            <a:prstDash val="solid"/>
                          </a:ln>
                        </wps:spPr>
                        <wps:bodyPr wrap="square" lIns="0" tIns="0" rIns="0" bIns="0" rtlCol="0">
                          <a:prstTxWarp prst="textNoShape">
                            <a:avLst/>
                          </a:prstTxWarp>
                          <a:noAutofit/>
                        </wps:bodyPr>
                      </wps:wsp>
                      <wps:wsp>
                        <wps:cNvPr id="424" name="Graphic 424"/>
                        <wps:cNvSpPr/>
                        <wps:spPr>
                          <a:xfrm>
                            <a:off x="2918067" y="857503"/>
                            <a:ext cx="55880" cy="103505"/>
                          </a:xfrm>
                          <a:custGeom>
                            <a:avLst/>
                            <a:gdLst/>
                            <a:ahLst/>
                            <a:cxnLst/>
                            <a:rect l="l" t="t" r="r" b="b"/>
                            <a:pathLst>
                              <a:path w="55880" h="103505">
                                <a:moveTo>
                                  <a:pt x="55346" y="0"/>
                                </a:moveTo>
                                <a:lnTo>
                                  <a:pt x="0" y="0"/>
                                </a:lnTo>
                                <a:lnTo>
                                  <a:pt x="27673" y="103250"/>
                                </a:lnTo>
                                <a:lnTo>
                                  <a:pt x="55346" y="0"/>
                                </a:lnTo>
                                <a:close/>
                              </a:path>
                            </a:pathLst>
                          </a:custGeom>
                          <a:solidFill>
                            <a:srgbClr val="231F1F"/>
                          </a:solidFill>
                        </wps:spPr>
                        <wps:bodyPr wrap="square" lIns="0" tIns="0" rIns="0" bIns="0" rtlCol="0">
                          <a:prstTxWarp prst="textNoShape">
                            <a:avLst/>
                          </a:prstTxWarp>
                          <a:noAutofit/>
                        </wps:bodyPr>
                      </wps:wsp>
                      <wps:wsp>
                        <wps:cNvPr id="425" name="Graphic 425"/>
                        <wps:cNvSpPr/>
                        <wps:spPr>
                          <a:xfrm>
                            <a:off x="2945397" y="1165999"/>
                            <a:ext cx="1270" cy="406400"/>
                          </a:xfrm>
                          <a:custGeom>
                            <a:avLst/>
                            <a:gdLst/>
                            <a:ahLst/>
                            <a:cxnLst/>
                            <a:rect l="l" t="t" r="r" b="b"/>
                            <a:pathLst>
                              <a:path w="0" h="406400">
                                <a:moveTo>
                                  <a:pt x="0" y="0"/>
                                </a:moveTo>
                                <a:lnTo>
                                  <a:pt x="0" y="406273"/>
                                </a:lnTo>
                              </a:path>
                            </a:pathLst>
                          </a:custGeom>
                          <a:ln w="4762">
                            <a:solidFill>
                              <a:srgbClr val="231F1F"/>
                            </a:solidFill>
                            <a:prstDash val="solid"/>
                          </a:ln>
                        </wps:spPr>
                        <wps:bodyPr wrap="square" lIns="0" tIns="0" rIns="0" bIns="0" rtlCol="0">
                          <a:prstTxWarp prst="textNoShape">
                            <a:avLst/>
                          </a:prstTxWarp>
                          <a:noAutofit/>
                        </wps:bodyPr>
                      </wps:wsp>
                      <wps:wsp>
                        <wps:cNvPr id="426" name="Graphic 426"/>
                        <wps:cNvSpPr/>
                        <wps:spPr>
                          <a:xfrm>
                            <a:off x="2918067" y="1553400"/>
                            <a:ext cx="55880" cy="103505"/>
                          </a:xfrm>
                          <a:custGeom>
                            <a:avLst/>
                            <a:gdLst/>
                            <a:ahLst/>
                            <a:cxnLst/>
                            <a:rect l="l" t="t" r="r" b="b"/>
                            <a:pathLst>
                              <a:path w="55880" h="103505">
                                <a:moveTo>
                                  <a:pt x="55346" y="0"/>
                                </a:moveTo>
                                <a:lnTo>
                                  <a:pt x="0" y="0"/>
                                </a:lnTo>
                                <a:lnTo>
                                  <a:pt x="27673" y="103250"/>
                                </a:lnTo>
                                <a:lnTo>
                                  <a:pt x="55346" y="0"/>
                                </a:lnTo>
                                <a:close/>
                              </a:path>
                            </a:pathLst>
                          </a:custGeom>
                          <a:solidFill>
                            <a:srgbClr val="231F1F"/>
                          </a:solidFill>
                        </wps:spPr>
                        <wps:bodyPr wrap="square" lIns="0" tIns="0" rIns="0" bIns="0" rtlCol="0">
                          <a:prstTxWarp prst="textNoShape">
                            <a:avLst/>
                          </a:prstTxWarp>
                          <a:noAutofit/>
                        </wps:bodyPr>
                      </wps:wsp>
                      <wps:wsp>
                        <wps:cNvPr id="427" name="Graphic 427"/>
                        <wps:cNvSpPr/>
                        <wps:spPr>
                          <a:xfrm>
                            <a:off x="290513" y="3314051"/>
                            <a:ext cx="643890" cy="370205"/>
                          </a:xfrm>
                          <a:custGeom>
                            <a:avLst/>
                            <a:gdLst/>
                            <a:ahLst/>
                            <a:cxnLst/>
                            <a:rect l="l" t="t" r="r" b="b"/>
                            <a:pathLst>
                              <a:path w="643890" h="370205">
                                <a:moveTo>
                                  <a:pt x="458571" y="0"/>
                                </a:moveTo>
                                <a:lnTo>
                                  <a:pt x="185026" y="0"/>
                                </a:lnTo>
                                <a:lnTo>
                                  <a:pt x="135839" y="6603"/>
                                </a:lnTo>
                                <a:lnTo>
                                  <a:pt x="91643" y="25260"/>
                                </a:lnTo>
                                <a:lnTo>
                                  <a:pt x="54190" y="54190"/>
                                </a:lnTo>
                                <a:lnTo>
                                  <a:pt x="25260" y="91643"/>
                                </a:lnTo>
                                <a:lnTo>
                                  <a:pt x="6603" y="135839"/>
                                </a:lnTo>
                                <a:lnTo>
                                  <a:pt x="0" y="185038"/>
                                </a:lnTo>
                                <a:lnTo>
                                  <a:pt x="6603" y="234226"/>
                                </a:lnTo>
                                <a:lnTo>
                                  <a:pt x="25260" y="278422"/>
                                </a:lnTo>
                                <a:lnTo>
                                  <a:pt x="54190" y="315874"/>
                                </a:lnTo>
                                <a:lnTo>
                                  <a:pt x="91643" y="344804"/>
                                </a:lnTo>
                                <a:lnTo>
                                  <a:pt x="135839" y="363448"/>
                                </a:lnTo>
                                <a:lnTo>
                                  <a:pt x="185026" y="370065"/>
                                </a:lnTo>
                                <a:lnTo>
                                  <a:pt x="458571" y="370065"/>
                                </a:lnTo>
                                <a:lnTo>
                                  <a:pt x="507758" y="363448"/>
                                </a:lnTo>
                                <a:lnTo>
                                  <a:pt x="551967" y="344804"/>
                                </a:lnTo>
                                <a:lnTo>
                                  <a:pt x="589407" y="315874"/>
                                </a:lnTo>
                                <a:lnTo>
                                  <a:pt x="618350" y="278422"/>
                                </a:lnTo>
                                <a:lnTo>
                                  <a:pt x="637006" y="234226"/>
                                </a:lnTo>
                                <a:lnTo>
                                  <a:pt x="643610" y="185038"/>
                                </a:lnTo>
                                <a:lnTo>
                                  <a:pt x="637006" y="135839"/>
                                </a:lnTo>
                                <a:lnTo>
                                  <a:pt x="618350" y="91643"/>
                                </a:lnTo>
                                <a:lnTo>
                                  <a:pt x="589407" y="54190"/>
                                </a:lnTo>
                                <a:lnTo>
                                  <a:pt x="551967" y="25260"/>
                                </a:lnTo>
                                <a:lnTo>
                                  <a:pt x="507758" y="6603"/>
                                </a:lnTo>
                                <a:lnTo>
                                  <a:pt x="458571" y="0"/>
                                </a:lnTo>
                                <a:close/>
                              </a:path>
                            </a:pathLst>
                          </a:custGeom>
                          <a:solidFill>
                            <a:srgbClr val="EFCACC"/>
                          </a:solidFill>
                        </wps:spPr>
                        <wps:bodyPr wrap="square" lIns="0" tIns="0" rIns="0" bIns="0" rtlCol="0">
                          <a:prstTxWarp prst="textNoShape">
                            <a:avLst/>
                          </a:prstTxWarp>
                          <a:noAutofit/>
                        </wps:bodyPr>
                      </wps:wsp>
                      <wps:wsp>
                        <wps:cNvPr id="428" name="Graphic 428"/>
                        <wps:cNvSpPr/>
                        <wps:spPr>
                          <a:xfrm>
                            <a:off x="290513" y="3314051"/>
                            <a:ext cx="643890" cy="370205"/>
                          </a:xfrm>
                          <a:custGeom>
                            <a:avLst/>
                            <a:gdLst/>
                            <a:ahLst/>
                            <a:cxnLst/>
                            <a:rect l="l" t="t" r="r" b="b"/>
                            <a:pathLst>
                              <a:path w="643890" h="370205">
                                <a:moveTo>
                                  <a:pt x="643610" y="185038"/>
                                </a:moveTo>
                                <a:lnTo>
                                  <a:pt x="637001" y="234225"/>
                                </a:lnTo>
                                <a:lnTo>
                                  <a:pt x="618347" y="278423"/>
                                </a:lnTo>
                                <a:lnTo>
                                  <a:pt x="589414" y="315871"/>
                                </a:lnTo>
                                <a:lnTo>
                                  <a:pt x="551965" y="344803"/>
                                </a:lnTo>
                                <a:lnTo>
                                  <a:pt x="507763" y="363455"/>
                                </a:lnTo>
                                <a:lnTo>
                                  <a:pt x="458571" y="370065"/>
                                </a:lnTo>
                                <a:lnTo>
                                  <a:pt x="185026" y="370065"/>
                                </a:lnTo>
                                <a:lnTo>
                                  <a:pt x="135840" y="363455"/>
                                </a:lnTo>
                                <a:lnTo>
                                  <a:pt x="91641" y="344803"/>
                                </a:lnTo>
                                <a:lnTo>
                                  <a:pt x="54194" y="315871"/>
                                </a:lnTo>
                                <a:lnTo>
                                  <a:pt x="25262" y="278423"/>
                                </a:lnTo>
                                <a:lnTo>
                                  <a:pt x="6609" y="234225"/>
                                </a:lnTo>
                                <a:lnTo>
                                  <a:pt x="0" y="185038"/>
                                </a:lnTo>
                                <a:lnTo>
                                  <a:pt x="6609" y="135842"/>
                                </a:lnTo>
                                <a:lnTo>
                                  <a:pt x="25262" y="91639"/>
                                </a:lnTo>
                                <a:lnTo>
                                  <a:pt x="54194" y="54190"/>
                                </a:lnTo>
                                <a:lnTo>
                                  <a:pt x="91641" y="25259"/>
                                </a:lnTo>
                                <a:lnTo>
                                  <a:pt x="135840" y="6608"/>
                                </a:lnTo>
                                <a:lnTo>
                                  <a:pt x="185026" y="0"/>
                                </a:lnTo>
                                <a:lnTo>
                                  <a:pt x="458571" y="0"/>
                                </a:lnTo>
                                <a:lnTo>
                                  <a:pt x="507763" y="6608"/>
                                </a:lnTo>
                                <a:lnTo>
                                  <a:pt x="551965" y="25259"/>
                                </a:lnTo>
                                <a:lnTo>
                                  <a:pt x="589414" y="54190"/>
                                </a:lnTo>
                                <a:lnTo>
                                  <a:pt x="618347" y="91639"/>
                                </a:lnTo>
                                <a:lnTo>
                                  <a:pt x="637001" y="135842"/>
                                </a:lnTo>
                                <a:lnTo>
                                  <a:pt x="643610" y="185038"/>
                                </a:lnTo>
                                <a:close/>
                              </a:path>
                            </a:pathLst>
                          </a:custGeom>
                          <a:ln w="4762">
                            <a:solidFill>
                              <a:srgbClr val="CF4D69"/>
                            </a:solidFill>
                            <a:prstDash val="solid"/>
                          </a:ln>
                        </wps:spPr>
                        <wps:bodyPr wrap="square" lIns="0" tIns="0" rIns="0" bIns="0" rtlCol="0">
                          <a:prstTxWarp prst="textNoShape">
                            <a:avLst/>
                          </a:prstTxWarp>
                          <a:noAutofit/>
                        </wps:bodyPr>
                      </wps:wsp>
                      <wps:wsp>
                        <wps:cNvPr id="429" name="Graphic 429"/>
                        <wps:cNvSpPr/>
                        <wps:spPr>
                          <a:xfrm>
                            <a:off x="1803007" y="3322091"/>
                            <a:ext cx="768350" cy="370205"/>
                          </a:xfrm>
                          <a:custGeom>
                            <a:avLst/>
                            <a:gdLst/>
                            <a:ahLst/>
                            <a:cxnLst/>
                            <a:rect l="l" t="t" r="r" b="b"/>
                            <a:pathLst>
                              <a:path w="768350" h="370205">
                                <a:moveTo>
                                  <a:pt x="583260" y="0"/>
                                </a:moveTo>
                                <a:lnTo>
                                  <a:pt x="185013" y="0"/>
                                </a:lnTo>
                                <a:lnTo>
                                  <a:pt x="135826" y="6604"/>
                                </a:lnTo>
                                <a:lnTo>
                                  <a:pt x="91630" y="25260"/>
                                </a:lnTo>
                                <a:lnTo>
                                  <a:pt x="54190" y="54190"/>
                                </a:lnTo>
                                <a:lnTo>
                                  <a:pt x="25260" y="91643"/>
                                </a:lnTo>
                                <a:lnTo>
                                  <a:pt x="6604" y="135839"/>
                                </a:lnTo>
                                <a:lnTo>
                                  <a:pt x="0" y="185026"/>
                                </a:lnTo>
                                <a:lnTo>
                                  <a:pt x="6604" y="234226"/>
                                </a:lnTo>
                                <a:lnTo>
                                  <a:pt x="25260" y="278422"/>
                                </a:lnTo>
                                <a:lnTo>
                                  <a:pt x="54190" y="315874"/>
                                </a:lnTo>
                                <a:lnTo>
                                  <a:pt x="91630" y="344805"/>
                                </a:lnTo>
                                <a:lnTo>
                                  <a:pt x="135826" y="363448"/>
                                </a:lnTo>
                                <a:lnTo>
                                  <a:pt x="185013" y="370065"/>
                                </a:lnTo>
                                <a:lnTo>
                                  <a:pt x="583260" y="370065"/>
                                </a:lnTo>
                                <a:lnTo>
                                  <a:pt x="632447" y="363448"/>
                                </a:lnTo>
                                <a:lnTo>
                                  <a:pt x="676656" y="344805"/>
                                </a:lnTo>
                                <a:lnTo>
                                  <a:pt x="714108" y="315874"/>
                                </a:lnTo>
                                <a:lnTo>
                                  <a:pt x="743038" y="278422"/>
                                </a:lnTo>
                                <a:lnTo>
                                  <a:pt x="761695" y="234226"/>
                                </a:lnTo>
                                <a:lnTo>
                                  <a:pt x="768299" y="185026"/>
                                </a:lnTo>
                                <a:lnTo>
                                  <a:pt x="761695" y="135839"/>
                                </a:lnTo>
                                <a:lnTo>
                                  <a:pt x="743038" y="91643"/>
                                </a:lnTo>
                                <a:lnTo>
                                  <a:pt x="714108" y="54190"/>
                                </a:lnTo>
                                <a:lnTo>
                                  <a:pt x="676656" y="25260"/>
                                </a:lnTo>
                                <a:lnTo>
                                  <a:pt x="632447" y="6604"/>
                                </a:lnTo>
                                <a:lnTo>
                                  <a:pt x="583260" y="0"/>
                                </a:lnTo>
                                <a:close/>
                              </a:path>
                            </a:pathLst>
                          </a:custGeom>
                          <a:solidFill>
                            <a:srgbClr val="EFCACC"/>
                          </a:solidFill>
                        </wps:spPr>
                        <wps:bodyPr wrap="square" lIns="0" tIns="0" rIns="0" bIns="0" rtlCol="0">
                          <a:prstTxWarp prst="textNoShape">
                            <a:avLst/>
                          </a:prstTxWarp>
                          <a:noAutofit/>
                        </wps:bodyPr>
                      </wps:wsp>
                      <wps:wsp>
                        <wps:cNvPr id="430" name="Graphic 430"/>
                        <wps:cNvSpPr/>
                        <wps:spPr>
                          <a:xfrm>
                            <a:off x="2173059" y="3692168"/>
                            <a:ext cx="1270" cy="165100"/>
                          </a:xfrm>
                          <a:custGeom>
                            <a:avLst/>
                            <a:gdLst/>
                            <a:ahLst/>
                            <a:cxnLst/>
                            <a:rect l="l" t="t" r="r" b="b"/>
                            <a:pathLst>
                              <a:path w="0" h="165100">
                                <a:moveTo>
                                  <a:pt x="0" y="164922"/>
                                </a:moveTo>
                                <a:lnTo>
                                  <a:pt x="0" y="0"/>
                                </a:lnTo>
                              </a:path>
                            </a:pathLst>
                          </a:custGeom>
                          <a:ln w="4762">
                            <a:solidFill>
                              <a:srgbClr val="231F1F"/>
                            </a:solidFill>
                            <a:prstDash val="solid"/>
                          </a:ln>
                        </wps:spPr>
                        <wps:bodyPr wrap="square" lIns="0" tIns="0" rIns="0" bIns="0" rtlCol="0">
                          <a:prstTxWarp prst="textNoShape">
                            <a:avLst/>
                          </a:prstTxWarp>
                          <a:noAutofit/>
                        </wps:bodyPr>
                      </wps:wsp>
                      <wps:wsp>
                        <wps:cNvPr id="431" name="Graphic 431"/>
                        <wps:cNvSpPr/>
                        <wps:spPr>
                          <a:xfrm>
                            <a:off x="1803007" y="3322091"/>
                            <a:ext cx="768350" cy="370205"/>
                          </a:xfrm>
                          <a:custGeom>
                            <a:avLst/>
                            <a:gdLst/>
                            <a:ahLst/>
                            <a:cxnLst/>
                            <a:rect l="l" t="t" r="r" b="b"/>
                            <a:pathLst>
                              <a:path w="768350" h="370205">
                                <a:moveTo>
                                  <a:pt x="768299" y="185026"/>
                                </a:moveTo>
                                <a:lnTo>
                                  <a:pt x="761689" y="234222"/>
                                </a:lnTo>
                                <a:lnTo>
                                  <a:pt x="743036" y="278425"/>
                                </a:lnTo>
                                <a:lnTo>
                                  <a:pt x="714103" y="315874"/>
                                </a:lnTo>
                                <a:lnTo>
                                  <a:pt x="676654" y="344805"/>
                                </a:lnTo>
                                <a:lnTo>
                                  <a:pt x="632451" y="363456"/>
                                </a:lnTo>
                                <a:lnTo>
                                  <a:pt x="583260" y="370065"/>
                                </a:lnTo>
                                <a:lnTo>
                                  <a:pt x="185013" y="370065"/>
                                </a:lnTo>
                                <a:lnTo>
                                  <a:pt x="135828" y="363456"/>
                                </a:lnTo>
                                <a:lnTo>
                                  <a:pt x="91631" y="344805"/>
                                </a:lnTo>
                                <a:lnTo>
                                  <a:pt x="54187" y="315874"/>
                                </a:lnTo>
                                <a:lnTo>
                                  <a:pt x="25258" y="278425"/>
                                </a:lnTo>
                                <a:lnTo>
                                  <a:pt x="6608" y="234222"/>
                                </a:lnTo>
                                <a:lnTo>
                                  <a:pt x="0" y="185026"/>
                                </a:lnTo>
                                <a:lnTo>
                                  <a:pt x="6608" y="135840"/>
                                </a:lnTo>
                                <a:lnTo>
                                  <a:pt x="25258" y="91641"/>
                                </a:lnTo>
                                <a:lnTo>
                                  <a:pt x="54187" y="54194"/>
                                </a:lnTo>
                                <a:lnTo>
                                  <a:pt x="91631" y="25262"/>
                                </a:lnTo>
                                <a:lnTo>
                                  <a:pt x="135828" y="6609"/>
                                </a:lnTo>
                                <a:lnTo>
                                  <a:pt x="185013" y="0"/>
                                </a:lnTo>
                                <a:lnTo>
                                  <a:pt x="583260" y="0"/>
                                </a:lnTo>
                                <a:lnTo>
                                  <a:pt x="632451" y="6609"/>
                                </a:lnTo>
                                <a:lnTo>
                                  <a:pt x="676654" y="25262"/>
                                </a:lnTo>
                                <a:lnTo>
                                  <a:pt x="714103" y="54194"/>
                                </a:lnTo>
                                <a:lnTo>
                                  <a:pt x="743036" y="91641"/>
                                </a:lnTo>
                                <a:lnTo>
                                  <a:pt x="761689" y="135840"/>
                                </a:lnTo>
                                <a:lnTo>
                                  <a:pt x="768299" y="185026"/>
                                </a:lnTo>
                                <a:close/>
                              </a:path>
                            </a:pathLst>
                          </a:custGeom>
                          <a:ln w="4762">
                            <a:solidFill>
                              <a:srgbClr val="CF4D69"/>
                            </a:solidFill>
                            <a:prstDash val="solid"/>
                          </a:ln>
                        </wps:spPr>
                        <wps:bodyPr wrap="square" lIns="0" tIns="0" rIns="0" bIns="0" rtlCol="0">
                          <a:prstTxWarp prst="textNoShape">
                            <a:avLst/>
                          </a:prstTxWarp>
                          <a:noAutofit/>
                        </wps:bodyPr>
                      </wps:wsp>
                      <wps:wsp>
                        <wps:cNvPr id="432" name="Graphic 432"/>
                        <wps:cNvSpPr/>
                        <wps:spPr>
                          <a:xfrm>
                            <a:off x="3407982" y="3301986"/>
                            <a:ext cx="655955" cy="374650"/>
                          </a:xfrm>
                          <a:custGeom>
                            <a:avLst/>
                            <a:gdLst/>
                            <a:ahLst/>
                            <a:cxnLst/>
                            <a:rect l="l" t="t" r="r" b="b"/>
                            <a:pathLst>
                              <a:path w="655955" h="374650">
                                <a:moveTo>
                                  <a:pt x="468642" y="0"/>
                                </a:moveTo>
                                <a:lnTo>
                                  <a:pt x="187045" y="0"/>
                                </a:lnTo>
                                <a:lnTo>
                                  <a:pt x="137325" y="6680"/>
                                </a:lnTo>
                                <a:lnTo>
                                  <a:pt x="92646" y="25526"/>
                                </a:lnTo>
                                <a:lnTo>
                                  <a:pt x="54787" y="54775"/>
                                </a:lnTo>
                                <a:lnTo>
                                  <a:pt x="25539" y="92633"/>
                                </a:lnTo>
                                <a:lnTo>
                                  <a:pt x="6680" y="137312"/>
                                </a:lnTo>
                                <a:lnTo>
                                  <a:pt x="0" y="187032"/>
                                </a:lnTo>
                                <a:lnTo>
                                  <a:pt x="6680" y="236753"/>
                                </a:lnTo>
                                <a:lnTo>
                                  <a:pt x="25539" y="281431"/>
                                </a:lnTo>
                                <a:lnTo>
                                  <a:pt x="54787" y="319290"/>
                                </a:lnTo>
                                <a:lnTo>
                                  <a:pt x="92646" y="348538"/>
                                </a:lnTo>
                                <a:lnTo>
                                  <a:pt x="137325" y="367398"/>
                                </a:lnTo>
                                <a:lnTo>
                                  <a:pt x="187045" y="374078"/>
                                </a:lnTo>
                                <a:lnTo>
                                  <a:pt x="468642" y="374078"/>
                                </a:lnTo>
                                <a:lnTo>
                                  <a:pt x="518363" y="367398"/>
                                </a:lnTo>
                                <a:lnTo>
                                  <a:pt x="563041" y="348538"/>
                                </a:lnTo>
                                <a:lnTo>
                                  <a:pt x="600900" y="319290"/>
                                </a:lnTo>
                                <a:lnTo>
                                  <a:pt x="630148" y="281431"/>
                                </a:lnTo>
                                <a:lnTo>
                                  <a:pt x="649008" y="236753"/>
                                </a:lnTo>
                                <a:lnTo>
                                  <a:pt x="655688" y="187032"/>
                                </a:lnTo>
                                <a:lnTo>
                                  <a:pt x="649008" y="137312"/>
                                </a:lnTo>
                                <a:lnTo>
                                  <a:pt x="630148" y="92633"/>
                                </a:lnTo>
                                <a:lnTo>
                                  <a:pt x="600900" y="54775"/>
                                </a:lnTo>
                                <a:lnTo>
                                  <a:pt x="563041" y="25526"/>
                                </a:lnTo>
                                <a:lnTo>
                                  <a:pt x="518363" y="6680"/>
                                </a:lnTo>
                                <a:lnTo>
                                  <a:pt x="468642" y="0"/>
                                </a:lnTo>
                                <a:close/>
                              </a:path>
                            </a:pathLst>
                          </a:custGeom>
                          <a:solidFill>
                            <a:srgbClr val="EFCACC"/>
                          </a:solidFill>
                        </wps:spPr>
                        <wps:bodyPr wrap="square" lIns="0" tIns="0" rIns="0" bIns="0" rtlCol="0">
                          <a:prstTxWarp prst="textNoShape">
                            <a:avLst/>
                          </a:prstTxWarp>
                          <a:noAutofit/>
                        </wps:bodyPr>
                      </wps:wsp>
                      <wps:wsp>
                        <wps:cNvPr id="433" name="Graphic 433"/>
                        <wps:cNvSpPr/>
                        <wps:spPr>
                          <a:xfrm>
                            <a:off x="3407982" y="3301986"/>
                            <a:ext cx="655955" cy="374650"/>
                          </a:xfrm>
                          <a:custGeom>
                            <a:avLst/>
                            <a:gdLst/>
                            <a:ahLst/>
                            <a:cxnLst/>
                            <a:rect l="l" t="t" r="r" b="b"/>
                            <a:pathLst>
                              <a:path w="655955" h="374650">
                                <a:moveTo>
                                  <a:pt x="655688" y="187032"/>
                                </a:moveTo>
                                <a:lnTo>
                                  <a:pt x="649006" y="236756"/>
                                </a:lnTo>
                                <a:lnTo>
                                  <a:pt x="630150" y="281438"/>
                                </a:lnTo>
                                <a:lnTo>
                                  <a:pt x="600903" y="319293"/>
                                </a:lnTo>
                                <a:lnTo>
                                  <a:pt x="563047" y="348541"/>
                                </a:lnTo>
                                <a:lnTo>
                                  <a:pt x="518366" y="367397"/>
                                </a:lnTo>
                                <a:lnTo>
                                  <a:pt x="468642" y="374078"/>
                                </a:lnTo>
                                <a:lnTo>
                                  <a:pt x="187045" y="374078"/>
                                </a:lnTo>
                                <a:lnTo>
                                  <a:pt x="137326" y="367397"/>
                                </a:lnTo>
                                <a:lnTo>
                                  <a:pt x="92646" y="348541"/>
                                </a:lnTo>
                                <a:lnTo>
                                  <a:pt x="54789" y="319293"/>
                                </a:lnTo>
                                <a:lnTo>
                                  <a:pt x="25540" y="281438"/>
                                </a:lnTo>
                                <a:lnTo>
                                  <a:pt x="6682" y="236756"/>
                                </a:lnTo>
                                <a:lnTo>
                                  <a:pt x="0" y="187032"/>
                                </a:lnTo>
                                <a:lnTo>
                                  <a:pt x="6682" y="137309"/>
                                </a:lnTo>
                                <a:lnTo>
                                  <a:pt x="25540" y="92630"/>
                                </a:lnTo>
                                <a:lnTo>
                                  <a:pt x="54789" y="54778"/>
                                </a:lnTo>
                                <a:lnTo>
                                  <a:pt x="92646" y="25534"/>
                                </a:lnTo>
                                <a:lnTo>
                                  <a:pt x="137326" y="6680"/>
                                </a:lnTo>
                                <a:lnTo>
                                  <a:pt x="187045" y="0"/>
                                </a:lnTo>
                                <a:lnTo>
                                  <a:pt x="468642" y="0"/>
                                </a:lnTo>
                                <a:lnTo>
                                  <a:pt x="518366" y="6680"/>
                                </a:lnTo>
                                <a:lnTo>
                                  <a:pt x="563047" y="25534"/>
                                </a:lnTo>
                                <a:lnTo>
                                  <a:pt x="600903" y="54778"/>
                                </a:lnTo>
                                <a:lnTo>
                                  <a:pt x="630150" y="92630"/>
                                </a:lnTo>
                                <a:lnTo>
                                  <a:pt x="649006" y="137309"/>
                                </a:lnTo>
                                <a:lnTo>
                                  <a:pt x="655688" y="187032"/>
                                </a:lnTo>
                                <a:close/>
                              </a:path>
                            </a:pathLst>
                          </a:custGeom>
                          <a:ln w="4762">
                            <a:solidFill>
                              <a:srgbClr val="CF4D69"/>
                            </a:solidFill>
                            <a:prstDash val="solid"/>
                          </a:ln>
                        </wps:spPr>
                        <wps:bodyPr wrap="square" lIns="0" tIns="0" rIns="0" bIns="0" rtlCol="0">
                          <a:prstTxWarp prst="textNoShape">
                            <a:avLst/>
                          </a:prstTxWarp>
                          <a:noAutofit/>
                        </wps:bodyPr>
                      </wps:wsp>
                      <wps:wsp>
                        <wps:cNvPr id="434" name="Graphic 434"/>
                        <wps:cNvSpPr/>
                        <wps:spPr>
                          <a:xfrm>
                            <a:off x="1678280" y="2638246"/>
                            <a:ext cx="1002030" cy="233679"/>
                          </a:xfrm>
                          <a:custGeom>
                            <a:avLst/>
                            <a:gdLst/>
                            <a:ahLst/>
                            <a:cxnLst/>
                            <a:rect l="l" t="t" r="r" b="b"/>
                            <a:pathLst>
                              <a:path w="1002030" h="233679">
                                <a:moveTo>
                                  <a:pt x="884974" y="0"/>
                                </a:moveTo>
                                <a:lnTo>
                                  <a:pt x="116649" y="0"/>
                                </a:lnTo>
                                <a:lnTo>
                                  <a:pt x="71247" y="9169"/>
                                </a:lnTo>
                                <a:lnTo>
                                  <a:pt x="34162" y="34162"/>
                                </a:lnTo>
                                <a:lnTo>
                                  <a:pt x="9169" y="71247"/>
                                </a:lnTo>
                                <a:lnTo>
                                  <a:pt x="0" y="116662"/>
                                </a:lnTo>
                                <a:lnTo>
                                  <a:pt x="9169" y="162064"/>
                                </a:lnTo>
                                <a:lnTo>
                                  <a:pt x="34162" y="199136"/>
                                </a:lnTo>
                                <a:lnTo>
                                  <a:pt x="71247" y="224142"/>
                                </a:lnTo>
                                <a:lnTo>
                                  <a:pt x="116649" y="233311"/>
                                </a:lnTo>
                                <a:lnTo>
                                  <a:pt x="884974" y="233311"/>
                                </a:lnTo>
                                <a:lnTo>
                                  <a:pt x="930376" y="224142"/>
                                </a:lnTo>
                                <a:lnTo>
                                  <a:pt x="967447" y="199136"/>
                                </a:lnTo>
                                <a:lnTo>
                                  <a:pt x="992454" y="162064"/>
                                </a:lnTo>
                                <a:lnTo>
                                  <a:pt x="1001623" y="116662"/>
                                </a:lnTo>
                                <a:lnTo>
                                  <a:pt x="992454" y="71247"/>
                                </a:lnTo>
                                <a:lnTo>
                                  <a:pt x="967447" y="34162"/>
                                </a:lnTo>
                                <a:lnTo>
                                  <a:pt x="930376" y="9169"/>
                                </a:lnTo>
                                <a:lnTo>
                                  <a:pt x="884974" y="0"/>
                                </a:lnTo>
                                <a:close/>
                              </a:path>
                            </a:pathLst>
                          </a:custGeom>
                          <a:solidFill>
                            <a:srgbClr val="EFCACC"/>
                          </a:solidFill>
                        </wps:spPr>
                        <wps:bodyPr wrap="square" lIns="0" tIns="0" rIns="0" bIns="0" rtlCol="0">
                          <a:prstTxWarp prst="textNoShape">
                            <a:avLst/>
                          </a:prstTxWarp>
                          <a:noAutofit/>
                        </wps:bodyPr>
                      </wps:wsp>
                      <wps:wsp>
                        <wps:cNvPr id="435" name="Graphic 435"/>
                        <wps:cNvSpPr/>
                        <wps:spPr>
                          <a:xfrm>
                            <a:off x="1678280" y="2638246"/>
                            <a:ext cx="1002030" cy="233679"/>
                          </a:xfrm>
                          <a:custGeom>
                            <a:avLst/>
                            <a:gdLst/>
                            <a:ahLst/>
                            <a:cxnLst/>
                            <a:rect l="l" t="t" r="r" b="b"/>
                            <a:pathLst>
                              <a:path w="1002030" h="233679">
                                <a:moveTo>
                                  <a:pt x="1001620" y="116662"/>
                                </a:moveTo>
                                <a:lnTo>
                                  <a:pt x="992455" y="162063"/>
                                </a:lnTo>
                                <a:lnTo>
                                  <a:pt x="967454" y="199142"/>
                                </a:lnTo>
                                <a:lnTo>
                                  <a:pt x="930375" y="224143"/>
                                </a:lnTo>
                                <a:lnTo>
                                  <a:pt x="884974" y="233311"/>
                                </a:lnTo>
                                <a:lnTo>
                                  <a:pt x="116649" y="233311"/>
                                </a:lnTo>
                                <a:lnTo>
                                  <a:pt x="71248" y="224143"/>
                                </a:lnTo>
                                <a:lnTo>
                                  <a:pt x="34169" y="199142"/>
                                </a:lnTo>
                                <a:lnTo>
                                  <a:pt x="9168" y="162063"/>
                                </a:lnTo>
                                <a:lnTo>
                                  <a:pt x="0" y="116662"/>
                                </a:lnTo>
                                <a:lnTo>
                                  <a:pt x="9168" y="71248"/>
                                </a:lnTo>
                                <a:lnTo>
                                  <a:pt x="34169" y="34166"/>
                                </a:lnTo>
                                <a:lnTo>
                                  <a:pt x="71248" y="9166"/>
                                </a:lnTo>
                                <a:lnTo>
                                  <a:pt x="116649" y="0"/>
                                </a:lnTo>
                                <a:lnTo>
                                  <a:pt x="884974" y="0"/>
                                </a:lnTo>
                                <a:lnTo>
                                  <a:pt x="930375" y="9166"/>
                                </a:lnTo>
                                <a:lnTo>
                                  <a:pt x="967454" y="34166"/>
                                </a:lnTo>
                                <a:lnTo>
                                  <a:pt x="992455" y="71248"/>
                                </a:lnTo>
                                <a:lnTo>
                                  <a:pt x="1001620" y="116662"/>
                                </a:lnTo>
                                <a:close/>
                              </a:path>
                            </a:pathLst>
                          </a:custGeom>
                          <a:ln w="4762">
                            <a:solidFill>
                              <a:srgbClr val="CF4D69"/>
                            </a:solidFill>
                            <a:prstDash val="solid"/>
                          </a:ln>
                        </wps:spPr>
                        <wps:bodyPr wrap="square" lIns="0" tIns="0" rIns="0" bIns="0" rtlCol="0">
                          <a:prstTxWarp prst="textNoShape">
                            <a:avLst/>
                          </a:prstTxWarp>
                          <a:noAutofit/>
                        </wps:bodyPr>
                      </wps:wsp>
                      <wps:wsp>
                        <wps:cNvPr id="436" name="Graphic 436"/>
                        <wps:cNvSpPr/>
                        <wps:spPr>
                          <a:xfrm>
                            <a:off x="322695" y="1672843"/>
                            <a:ext cx="1717675" cy="631825"/>
                          </a:xfrm>
                          <a:custGeom>
                            <a:avLst/>
                            <a:gdLst/>
                            <a:ahLst/>
                            <a:cxnLst/>
                            <a:rect l="l" t="t" r="r" b="b"/>
                            <a:pathLst>
                              <a:path w="1717675" h="631825">
                                <a:moveTo>
                                  <a:pt x="1527124" y="0"/>
                                </a:moveTo>
                                <a:lnTo>
                                  <a:pt x="190500" y="0"/>
                                </a:lnTo>
                                <a:lnTo>
                                  <a:pt x="146811" y="5029"/>
                                </a:lnTo>
                                <a:lnTo>
                                  <a:pt x="106718" y="19354"/>
                                </a:lnTo>
                                <a:lnTo>
                                  <a:pt x="71348" y="41846"/>
                                </a:lnTo>
                                <a:lnTo>
                                  <a:pt x="41846" y="71335"/>
                                </a:lnTo>
                                <a:lnTo>
                                  <a:pt x="19367" y="106718"/>
                                </a:lnTo>
                                <a:lnTo>
                                  <a:pt x="5029" y="146812"/>
                                </a:lnTo>
                                <a:lnTo>
                                  <a:pt x="0" y="190500"/>
                                </a:lnTo>
                                <a:lnTo>
                                  <a:pt x="0" y="441032"/>
                                </a:lnTo>
                                <a:lnTo>
                                  <a:pt x="5029" y="484708"/>
                                </a:lnTo>
                                <a:lnTo>
                                  <a:pt x="19367" y="524802"/>
                                </a:lnTo>
                                <a:lnTo>
                                  <a:pt x="41846" y="560184"/>
                                </a:lnTo>
                                <a:lnTo>
                                  <a:pt x="71348" y="589673"/>
                                </a:lnTo>
                                <a:lnTo>
                                  <a:pt x="106718" y="612165"/>
                                </a:lnTo>
                                <a:lnTo>
                                  <a:pt x="146811" y="626503"/>
                                </a:lnTo>
                                <a:lnTo>
                                  <a:pt x="190500" y="631532"/>
                                </a:lnTo>
                                <a:lnTo>
                                  <a:pt x="1527124" y="631532"/>
                                </a:lnTo>
                                <a:lnTo>
                                  <a:pt x="1570799" y="626503"/>
                                </a:lnTo>
                                <a:lnTo>
                                  <a:pt x="1610893" y="612165"/>
                                </a:lnTo>
                                <a:lnTo>
                                  <a:pt x="1646262" y="589673"/>
                                </a:lnTo>
                                <a:lnTo>
                                  <a:pt x="1675764" y="560184"/>
                                </a:lnTo>
                                <a:lnTo>
                                  <a:pt x="1698256" y="524802"/>
                                </a:lnTo>
                                <a:lnTo>
                                  <a:pt x="1712594" y="484708"/>
                                </a:lnTo>
                                <a:lnTo>
                                  <a:pt x="1717624" y="441032"/>
                                </a:lnTo>
                                <a:lnTo>
                                  <a:pt x="1717624" y="190500"/>
                                </a:lnTo>
                                <a:lnTo>
                                  <a:pt x="1712594" y="146812"/>
                                </a:lnTo>
                                <a:lnTo>
                                  <a:pt x="1698256" y="106718"/>
                                </a:lnTo>
                                <a:lnTo>
                                  <a:pt x="1675764" y="71335"/>
                                </a:lnTo>
                                <a:lnTo>
                                  <a:pt x="1646262" y="41846"/>
                                </a:lnTo>
                                <a:lnTo>
                                  <a:pt x="1610893" y="19354"/>
                                </a:lnTo>
                                <a:lnTo>
                                  <a:pt x="1570799" y="5029"/>
                                </a:lnTo>
                                <a:lnTo>
                                  <a:pt x="1527124" y="0"/>
                                </a:lnTo>
                                <a:close/>
                              </a:path>
                            </a:pathLst>
                          </a:custGeom>
                          <a:solidFill>
                            <a:srgbClr val="EFCACC"/>
                          </a:solidFill>
                        </wps:spPr>
                        <wps:bodyPr wrap="square" lIns="0" tIns="0" rIns="0" bIns="0" rtlCol="0">
                          <a:prstTxWarp prst="textNoShape">
                            <a:avLst/>
                          </a:prstTxWarp>
                          <a:noAutofit/>
                        </wps:bodyPr>
                      </wps:wsp>
                      <wps:wsp>
                        <wps:cNvPr id="437" name="Graphic 437"/>
                        <wps:cNvSpPr/>
                        <wps:spPr>
                          <a:xfrm>
                            <a:off x="322695" y="1672843"/>
                            <a:ext cx="1717675" cy="631825"/>
                          </a:xfrm>
                          <a:custGeom>
                            <a:avLst/>
                            <a:gdLst/>
                            <a:ahLst/>
                            <a:cxnLst/>
                            <a:rect l="l" t="t" r="r" b="b"/>
                            <a:pathLst>
                              <a:path w="1717675" h="631825">
                                <a:moveTo>
                                  <a:pt x="1717620" y="441032"/>
                                </a:moveTo>
                                <a:lnTo>
                                  <a:pt x="1712590" y="484711"/>
                                </a:lnTo>
                                <a:lnTo>
                                  <a:pt x="1698260" y="524808"/>
                                </a:lnTo>
                                <a:lnTo>
                                  <a:pt x="1675770" y="560179"/>
                                </a:lnTo>
                                <a:lnTo>
                                  <a:pt x="1646270" y="589681"/>
                                </a:lnTo>
                                <a:lnTo>
                                  <a:pt x="1610900" y="612169"/>
                                </a:lnTo>
                                <a:lnTo>
                                  <a:pt x="1570800" y="626501"/>
                                </a:lnTo>
                                <a:lnTo>
                                  <a:pt x="1527120" y="631532"/>
                                </a:lnTo>
                                <a:lnTo>
                                  <a:pt x="190500" y="631532"/>
                                </a:lnTo>
                                <a:lnTo>
                                  <a:pt x="146817" y="626501"/>
                                </a:lnTo>
                                <a:lnTo>
                                  <a:pt x="106718" y="612169"/>
                                </a:lnTo>
                                <a:lnTo>
                                  <a:pt x="71348" y="589681"/>
                                </a:lnTo>
                                <a:lnTo>
                                  <a:pt x="41847" y="560179"/>
                                </a:lnTo>
                                <a:lnTo>
                                  <a:pt x="19361" y="524808"/>
                                </a:lnTo>
                                <a:lnTo>
                                  <a:pt x="5030" y="484711"/>
                                </a:lnTo>
                                <a:lnTo>
                                  <a:pt x="0" y="441032"/>
                                </a:lnTo>
                                <a:lnTo>
                                  <a:pt x="0" y="190499"/>
                                </a:lnTo>
                                <a:lnTo>
                                  <a:pt x="5030" y="146813"/>
                                </a:lnTo>
                                <a:lnTo>
                                  <a:pt x="19361" y="106713"/>
                                </a:lnTo>
                                <a:lnTo>
                                  <a:pt x="41847" y="71342"/>
                                </a:lnTo>
                                <a:lnTo>
                                  <a:pt x="71348" y="41843"/>
                                </a:lnTo>
                                <a:lnTo>
                                  <a:pt x="106718" y="19358"/>
                                </a:lnTo>
                                <a:lnTo>
                                  <a:pt x="146817" y="5030"/>
                                </a:lnTo>
                                <a:lnTo>
                                  <a:pt x="190500" y="0"/>
                                </a:lnTo>
                                <a:lnTo>
                                  <a:pt x="1527120" y="0"/>
                                </a:lnTo>
                                <a:lnTo>
                                  <a:pt x="1570800" y="5030"/>
                                </a:lnTo>
                                <a:lnTo>
                                  <a:pt x="1610900" y="19358"/>
                                </a:lnTo>
                                <a:lnTo>
                                  <a:pt x="1646270" y="41843"/>
                                </a:lnTo>
                                <a:lnTo>
                                  <a:pt x="1675770" y="71342"/>
                                </a:lnTo>
                                <a:lnTo>
                                  <a:pt x="1698260" y="106713"/>
                                </a:lnTo>
                                <a:lnTo>
                                  <a:pt x="1712590" y="146813"/>
                                </a:lnTo>
                                <a:lnTo>
                                  <a:pt x="1717620" y="190499"/>
                                </a:lnTo>
                                <a:lnTo>
                                  <a:pt x="1717620" y="441032"/>
                                </a:lnTo>
                                <a:close/>
                              </a:path>
                            </a:pathLst>
                          </a:custGeom>
                          <a:ln w="4762">
                            <a:solidFill>
                              <a:srgbClr val="CF4D69"/>
                            </a:solidFill>
                            <a:prstDash val="solid"/>
                          </a:ln>
                        </wps:spPr>
                        <wps:bodyPr wrap="square" lIns="0" tIns="0" rIns="0" bIns="0" rtlCol="0">
                          <a:prstTxWarp prst="textNoShape">
                            <a:avLst/>
                          </a:prstTxWarp>
                          <a:noAutofit/>
                        </wps:bodyPr>
                      </wps:wsp>
                      <wps:wsp>
                        <wps:cNvPr id="438" name="Graphic 438"/>
                        <wps:cNvSpPr/>
                        <wps:spPr>
                          <a:xfrm>
                            <a:off x="2140890" y="1680882"/>
                            <a:ext cx="1681480" cy="611505"/>
                          </a:xfrm>
                          <a:custGeom>
                            <a:avLst/>
                            <a:gdLst/>
                            <a:ahLst/>
                            <a:cxnLst/>
                            <a:rect l="l" t="t" r="r" b="b"/>
                            <a:pathLst>
                              <a:path w="1681480" h="611505">
                                <a:moveTo>
                                  <a:pt x="1490929" y="0"/>
                                </a:moveTo>
                                <a:lnTo>
                                  <a:pt x="190500" y="0"/>
                                </a:lnTo>
                                <a:lnTo>
                                  <a:pt x="146824" y="5029"/>
                                </a:lnTo>
                                <a:lnTo>
                                  <a:pt x="106718" y="19354"/>
                                </a:lnTo>
                                <a:lnTo>
                                  <a:pt x="71348" y="41846"/>
                                </a:lnTo>
                                <a:lnTo>
                                  <a:pt x="41846" y="71348"/>
                                </a:lnTo>
                                <a:lnTo>
                                  <a:pt x="19367" y="106718"/>
                                </a:lnTo>
                                <a:lnTo>
                                  <a:pt x="5029" y="146812"/>
                                </a:lnTo>
                                <a:lnTo>
                                  <a:pt x="0" y="190500"/>
                                </a:lnTo>
                                <a:lnTo>
                                  <a:pt x="0" y="420928"/>
                                </a:lnTo>
                                <a:lnTo>
                                  <a:pt x="5029" y="464604"/>
                                </a:lnTo>
                                <a:lnTo>
                                  <a:pt x="19367" y="504698"/>
                                </a:lnTo>
                                <a:lnTo>
                                  <a:pt x="41846" y="540080"/>
                                </a:lnTo>
                                <a:lnTo>
                                  <a:pt x="71348" y="569582"/>
                                </a:lnTo>
                                <a:lnTo>
                                  <a:pt x="106718" y="592061"/>
                                </a:lnTo>
                                <a:lnTo>
                                  <a:pt x="146824" y="606399"/>
                                </a:lnTo>
                                <a:lnTo>
                                  <a:pt x="190500" y="611428"/>
                                </a:lnTo>
                                <a:lnTo>
                                  <a:pt x="1490929" y="611428"/>
                                </a:lnTo>
                                <a:lnTo>
                                  <a:pt x="1534604" y="606399"/>
                                </a:lnTo>
                                <a:lnTo>
                                  <a:pt x="1574698" y="592061"/>
                                </a:lnTo>
                                <a:lnTo>
                                  <a:pt x="1610067" y="569582"/>
                                </a:lnTo>
                                <a:lnTo>
                                  <a:pt x="1639582" y="540080"/>
                                </a:lnTo>
                                <a:lnTo>
                                  <a:pt x="1662061" y="504698"/>
                                </a:lnTo>
                                <a:lnTo>
                                  <a:pt x="1676400" y="464604"/>
                                </a:lnTo>
                                <a:lnTo>
                                  <a:pt x="1681429" y="420928"/>
                                </a:lnTo>
                                <a:lnTo>
                                  <a:pt x="1681429" y="190500"/>
                                </a:lnTo>
                                <a:lnTo>
                                  <a:pt x="1676400" y="146812"/>
                                </a:lnTo>
                                <a:lnTo>
                                  <a:pt x="1662061" y="106718"/>
                                </a:lnTo>
                                <a:lnTo>
                                  <a:pt x="1639582" y="71348"/>
                                </a:lnTo>
                                <a:lnTo>
                                  <a:pt x="1610067" y="41846"/>
                                </a:lnTo>
                                <a:lnTo>
                                  <a:pt x="1574698" y="19354"/>
                                </a:lnTo>
                                <a:lnTo>
                                  <a:pt x="1534604" y="5029"/>
                                </a:lnTo>
                                <a:lnTo>
                                  <a:pt x="1490929" y="0"/>
                                </a:lnTo>
                                <a:close/>
                              </a:path>
                            </a:pathLst>
                          </a:custGeom>
                          <a:solidFill>
                            <a:srgbClr val="EFCACC"/>
                          </a:solidFill>
                        </wps:spPr>
                        <wps:bodyPr wrap="square" lIns="0" tIns="0" rIns="0" bIns="0" rtlCol="0">
                          <a:prstTxWarp prst="textNoShape">
                            <a:avLst/>
                          </a:prstTxWarp>
                          <a:noAutofit/>
                        </wps:bodyPr>
                      </wps:wsp>
                      <wps:wsp>
                        <wps:cNvPr id="439" name="Graphic 439"/>
                        <wps:cNvSpPr/>
                        <wps:spPr>
                          <a:xfrm>
                            <a:off x="2140890" y="1680882"/>
                            <a:ext cx="1681480" cy="611505"/>
                          </a:xfrm>
                          <a:custGeom>
                            <a:avLst/>
                            <a:gdLst/>
                            <a:ahLst/>
                            <a:cxnLst/>
                            <a:rect l="l" t="t" r="r" b="b"/>
                            <a:pathLst>
                              <a:path w="1681480" h="611505">
                                <a:moveTo>
                                  <a:pt x="1681430" y="420928"/>
                                </a:moveTo>
                                <a:lnTo>
                                  <a:pt x="1676400" y="464607"/>
                                </a:lnTo>
                                <a:lnTo>
                                  <a:pt x="1662060" y="504704"/>
                                </a:lnTo>
                                <a:lnTo>
                                  <a:pt x="1639580" y="540075"/>
                                </a:lnTo>
                                <a:lnTo>
                                  <a:pt x="1610070" y="569577"/>
                                </a:lnTo>
                                <a:lnTo>
                                  <a:pt x="1574700" y="592065"/>
                                </a:lnTo>
                                <a:lnTo>
                                  <a:pt x="1534610" y="606397"/>
                                </a:lnTo>
                                <a:lnTo>
                                  <a:pt x="1490930" y="611428"/>
                                </a:lnTo>
                                <a:lnTo>
                                  <a:pt x="190499" y="611428"/>
                                </a:lnTo>
                                <a:lnTo>
                                  <a:pt x="146821" y="606397"/>
                                </a:lnTo>
                                <a:lnTo>
                                  <a:pt x="106724" y="592065"/>
                                </a:lnTo>
                                <a:lnTo>
                                  <a:pt x="71353" y="569577"/>
                                </a:lnTo>
                                <a:lnTo>
                                  <a:pt x="41851" y="540075"/>
                                </a:lnTo>
                                <a:lnTo>
                                  <a:pt x="19363" y="504704"/>
                                </a:lnTo>
                                <a:lnTo>
                                  <a:pt x="5031" y="464607"/>
                                </a:lnTo>
                                <a:lnTo>
                                  <a:pt x="0" y="420928"/>
                                </a:lnTo>
                                <a:lnTo>
                                  <a:pt x="0" y="190500"/>
                                </a:lnTo>
                                <a:lnTo>
                                  <a:pt x="5031" y="146817"/>
                                </a:lnTo>
                                <a:lnTo>
                                  <a:pt x="19363" y="106718"/>
                                </a:lnTo>
                                <a:lnTo>
                                  <a:pt x="41851" y="71348"/>
                                </a:lnTo>
                                <a:lnTo>
                                  <a:pt x="71353" y="41847"/>
                                </a:lnTo>
                                <a:lnTo>
                                  <a:pt x="106724" y="19361"/>
                                </a:lnTo>
                                <a:lnTo>
                                  <a:pt x="146821" y="5030"/>
                                </a:lnTo>
                                <a:lnTo>
                                  <a:pt x="190499" y="0"/>
                                </a:lnTo>
                                <a:lnTo>
                                  <a:pt x="1490930" y="0"/>
                                </a:lnTo>
                                <a:lnTo>
                                  <a:pt x="1534610" y="5030"/>
                                </a:lnTo>
                                <a:lnTo>
                                  <a:pt x="1574700" y="19361"/>
                                </a:lnTo>
                                <a:lnTo>
                                  <a:pt x="1610070" y="41847"/>
                                </a:lnTo>
                                <a:lnTo>
                                  <a:pt x="1639580" y="71348"/>
                                </a:lnTo>
                                <a:lnTo>
                                  <a:pt x="1662060" y="106718"/>
                                </a:lnTo>
                                <a:lnTo>
                                  <a:pt x="1676400" y="146817"/>
                                </a:lnTo>
                                <a:lnTo>
                                  <a:pt x="1681430" y="190500"/>
                                </a:lnTo>
                                <a:lnTo>
                                  <a:pt x="1681430" y="420928"/>
                                </a:lnTo>
                                <a:close/>
                              </a:path>
                            </a:pathLst>
                          </a:custGeom>
                          <a:ln w="4762">
                            <a:solidFill>
                              <a:srgbClr val="CF4D69"/>
                            </a:solidFill>
                            <a:prstDash val="solid"/>
                          </a:ln>
                        </wps:spPr>
                        <wps:bodyPr wrap="square" lIns="0" tIns="0" rIns="0" bIns="0" rtlCol="0">
                          <a:prstTxWarp prst="textNoShape">
                            <a:avLst/>
                          </a:prstTxWarp>
                          <a:noAutofit/>
                        </wps:bodyPr>
                      </wps:wsp>
                      <wps:wsp>
                        <wps:cNvPr id="440" name="Graphic 440"/>
                        <wps:cNvSpPr/>
                        <wps:spPr>
                          <a:xfrm>
                            <a:off x="4296969" y="2244038"/>
                            <a:ext cx="812800" cy="346075"/>
                          </a:xfrm>
                          <a:custGeom>
                            <a:avLst/>
                            <a:gdLst/>
                            <a:ahLst/>
                            <a:cxnLst/>
                            <a:rect l="l" t="t" r="r" b="b"/>
                            <a:pathLst>
                              <a:path w="812800" h="346075">
                                <a:moveTo>
                                  <a:pt x="639584" y="0"/>
                                </a:moveTo>
                                <a:lnTo>
                                  <a:pt x="172974" y="0"/>
                                </a:lnTo>
                                <a:lnTo>
                                  <a:pt x="126987" y="6172"/>
                                </a:lnTo>
                                <a:lnTo>
                                  <a:pt x="85661" y="23609"/>
                                </a:lnTo>
                                <a:lnTo>
                                  <a:pt x="50660" y="50660"/>
                                </a:lnTo>
                                <a:lnTo>
                                  <a:pt x="23609" y="85661"/>
                                </a:lnTo>
                                <a:lnTo>
                                  <a:pt x="6172" y="126987"/>
                                </a:lnTo>
                                <a:lnTo>
                                  <a:pt x="0" y="172974"/>
                                </a:lnTo>
                                <a:lnTo>
                                  <a:pt x="6172" y="218960"/>
                                </a:lnTo>
                                <a:lnTo>
                                  <a:pt x="23609" y="260286"/>
                                </a:lnTo>
                                <a:lnTo>
                                  <a:pt x="50660" y="295287"/>
                                </a:lnTo>
                                <a:lnTo>
                                  <a:pt x="85661" y="322338"/>
                                </a:lnTo>
                                <a:lnTo>
                                  <a:pt x="126987" y="339763"/>
                                </a:lnTo>
                                <a:lnTo>
                                  <a:pt x="172974" y="345948"/>
                                </a:lnTo>
                                <a:lnTo>
                                  <a:pt x="639584" y="345948"/>
                                </a:lnTo>
                                <a:lnTo>
                                  <a:pt x="685571" y="339763"/>
                                </a:lnTo>
                                <a:lnTo>
                                  <a:pt x="726884" y="322338"/>
                                </a:lnTo>
                                <a:lnTo>
                                  <a:pt x="761898" y="295287"/>
                                </a:lnTo>
                                <a:lnTo>
                                  <a:pt x="788936" y="260286"/>
                                </a:lnTo>
                                <a:lnTo>
                                  <a:pt x="806373" y="218960"/>
                                </a:lnTo>
                                <a:lnTo>
                                  <a:pt x="812558" y="172974"/>
                                </a:lnTo>
                                <a:lnTo>
                                  <a:pt x="806373" y="126987"/>
                                </a:lnTo>
                                <a:lnTo>
                                  <a:pt x="788936" y="85661"/>
                                </a:lnTo>
                                <a:lnTo>
                                  <a:pt x="761898" y="50660"/>
                                </a:lnTo>
                                <a:lnTo>
                                  <a:pt x="726884" y="23609"/>
                                </a:lnTo>
                                <a:lnTo>
                                  <a:pt x="685571" y="6172"/>
                                </a:lnTo>
                                <a:lnTo>
                                  <a:pt x="639584" y="0"/>
                                </a:lnTo>
                                <a:close/>
                              </a:path>
                            </a:pathLst>
                          </a:custGeom>
                          <a:solidFill>
                            <a:srgbClr val="EFCACC"/>
                          </a:solidFill>
                        </wps:spPr>
                        <wps:bodyPr wrap="square" lIns="0" tIns="0" rIns="0" bIns="0" rtlCol="0">
                          <a:prstTxWarp prst="textNoShape">
                            <a:avLst/>
                          </a:prstTxWarp>
                          <a:noAutofit/>
                        </wps:bodyPr>
                      </wps:wsp>
                      <wps:wsp>
                        <wps:cNvPr id="441" name="Graphic 441"/>
                        <wps:cNvSpPr/>
                        <wps:spPr>
                          <a:xfrm>
                            <a:off x="4296969" y="2244038"/>
                            <a:ext cx="812800" cy="346075"/>
                          </a:xfrm>
                          <a:custGeom>
                            <a:avLst/>
                            <a:gdLst/>
                            <a:ahLst/>
                            <a:cxnLst/>
                            <a:rect l="l" t="t" r="r" b="b"/>
                            <a:pathLst>
                              <a:path w="812800" h="346075">
                                <a:moveTo>
                                  <a:pt x="812558" y="172974"/>
                                </a:moveTo>
                                <a:lnTo>
                                  <a:pt x="806379" y="218961"/>
                                </a:lnTo>
                                <a:lnTo>
                                  <a:pt x="788942" y="260282"/>
                                </a:lnTo>
                                <a:lnTo>
                                  <a:pt x="761895" y="295289"/>
                                </a:lnTo>
                                <a:lnTo>
                                  <a:pt x="726887" y="322334"/>
                                </a:lnTo>
                                <a:lnTo>
                                  <a:pt x="685567" y="339769"/>
                                </a:lnTo>
                                <a:lnTo>
                                  <a:pt x="639584" y="345948"/>
                                </a:lnTo>
                                <a:lnTo>
                                  <a:pt x="172973" y="345948"/>
                                </a:lnTo>
                                <a:lnTo>
                                  <a:pt x="126986" y="339769"/>
                                </a:lnTo>
                                <a:lnTo>
                                  <a:pt x="85665" y="322334"/>
                                </a:lnTo>
                                <a:lnTo>
                                  <a:pt x="50658" y="295289"/>
                                </a:lnTo>
                                <a:lnTo>
                                  <a:pt x="23613" y="260282"/>
                                </a:lnTo>
                                <a:lnTo>
                                  <a:pt x="6178" y="218961"/>
                                </a:lnTo>
                                <a:lnTo>
                                  <a:pt x="0" y="172974"/>
                                </a:lnTo>
                                <a:lnTo>
                                  <a:pt x="6178" y="126986"/>
                                </a:lnTo>
                                <a:lnTo>
                                  <a:pt x="23613" y="85665"/>
                                </a:lnTo>
                                <a:lnTo>
                                  <a:pt x="50658" y="50658"/>
                                </a:lnTo>
                                <a:lnTo>
                                  <a:pt x="85665" y="23613"/>
                                </a:lnTo>
                                <a:lnTo>
                                  <a:pt x="126986" y="6178"/>
                                </a:lnTo>
                                <a:lnTo>
                                  <a:pt x="172973" y="0"/>
                                </a:lnTo>
                                <a:lnTo>
                                  <a:pt x="639584" y="0"/>
                                </a:lnTo>
                                <a:lnTo>
                                  <a:pt x="685567" y="6178"/>
                                </a:lnTo>
                                <a:lnTo>
                                  <a:pt x="726887" y="23613"/>
                                </a:lnTo>
                                <a:lnTo>
                                  <a:pt x="761895" y="50658"/>
                                </a:lnTo>
                                <a:lnTo>
                                  <a:pt x="788942" y="85665"/>
                                </a:lnTo>
                                <a:lnTo>
                                  <a:pt x="806379" y="126986"/>
                                </a:lnTo>
                                <a:lnTo>
                                  <a:pt x="812558" y="172974"/>
                                </a:lnTo>
                                <a:close/>
                              </a:path>
                            </a:pathLst>
                          </a:custGeom>
                          <a:ln w="4762">
                            <a:solidFill>
                              <a:srgbClr val="CF4D69"/>
                            </a:solidFill>
                            <a:prstDash val="solid"/>
                          </a:ln>
                        </wps:spPr>
                        <wps:bodyPr wrap="square" lIns="0" tIns="0" rIns="0" bIns="0" rtlCol="0">
                          <a:prstTxWarp prst="textNoShape">
                            <a:avLst/>
                          </a:prstTxWarp>
                          <a:noAutofit/>
                        </wps:bodyPr>
                      </wps:wsp>
                      <wps:wsp>
                        <wps:cNvPr id="442" name="Graphic 442"/>
                        <wps:cNvSpPr/>
                        <wps:spPr>
                          <a:xfrm>
                            <a:off x="1179487" y="2316454"/>
                            <a:ext cx="1770380" cy="245745"/>
                          </a:xfrm>
                          <a:custGeom>
                            <a:avLst/>
                            <a:gdLst/>
                            <a:ahLst/>
                            <a:cxnLst/>
                            <a:rect l="l" t="t" r="r" b="b"/>
                            <a:pathLst>
                              <a:path w="1770380" h="245745">
                                <a:moveTo>
                                  <a:pt x="0" y="0"/>
                                </a:moveTo>
                                <a:lnTo>
                                  <a:pt x="0" y="164922"/>
                                </a:lnTo>
                              </a:path>
                              <a:path w="1770380" h="245745">
                                <a:moveTo>
                                  <a:pt x="0" y="164922"/>
                                </a:moveTo>
                                <a:lnTo>
                                  <a:pt x="1769921" y="164922"/>
                                </a:lnTo>
                              </a:path>
                              <a:path w="1770380" h="245745">
                                <a:moveTo>
                                  <a:pt x="989545" y="160896"/>
                                </a:moveTo>
                                <a:lnTo>
                                  <a:pt x="989545" y="245364"/>
                                </a:lnTo>
                              </a:path>
                            </a:pathLst>
                          </a:custGeom>
                          <a:ln w="4762">
                            <a:solidFill>
                              <a:srgbClr val="231F1F"/>
                            </a:solidFill>
                            <a:prstDash val="solid"/>
                          </a:ln>
                        </wps:spPr>
                        <wps:bodyPr wrap="square" lIns="0" tIns="0" rIns="0" bIns="0" rtlCol="0">
                          <a:prstTxWarp prst="textNoShape">
                            <a:avLst/>
                          </a:prstTxWarp>
                          <a:noAutofit/>
                        </wps:bodyPr>
                      </wps:wsp>
                      <wps:wsp>
                        <wps:cNvPr id="443" name="Graphic 443"/>
                        <wps:cNvSpPr/>
                        <wps:spPr>
                          <a:xfrm>
                            <a:off x="2141690" y="2056230"/>
                            <a:ext cx="2593975" cy="590550"/>
                          </a:xfrm>
                          <a:custGeom>
                            <a:avLst/>
                            <a:gdLst/>
                            <a:ahLst/>
                            <a:cxnLst/>
                            <a:rect l="l" t="t" r="r" b="b"/>
                            <a:pathLst>
                              <a:path w="2593975" h="590550">
                                <a:moveTo>
                                  <a:pt x="55333" y="486740"/>
                                </a:moveTo>
                                <a:lnTo>
                                  <a:pt x="0" y="486740"/>
                                </a:lnTo>
                                <a:lnTo>
                                  <a:pt x="27673" y="589991"/>
                                </a:lnTo>
                                <a:lnTo>
                                  <a:pt x="55333" y="486740"/>
                                </a:lnTo>
                                <a:close/>
                              </a:path>
                              <a:path w="2593975" h="590550">
                                <a:moveTo>
                                  <a:pt x="2593581" y="0"/>
                                </a:moveTo>
                                <a:lnTo>
                                  <a:pt x="2538247" y="0"/>
                                </a:lnTo>
                                <a:lnTo>
                                  <a:pt x="2565920" y="103251"/>
                                </a:lnTo>
                                <a:lnTo>
                                  <a:pt x="2593581" y="0"/>
                                </a:lnTo>
                                <a:close/>
                              </a:path>
                            </a:pathLst>
                          </a:custGeom>
                          <a:solidFill>
                            <a:srgbClr val="231F1F"/>
                          </a:solidFill>
                        </wps:spPr>
                        <wps:bodyPr wrap="square" lIns="0" tIns="0" rIns="0" bIns="0" rtlCol="0">
                          <a:prstTxWarp prst="textNoShape">
                            <a:avLst/>
                          </a:prstTxWarp>
                          <a:noAutofit/>
                        </wps:bodyPr>
                      </wps:wsp>
                      <wps:wsp>
                        <wps:cNvPr id="444" name="Graphic 444"/>
                        <wps:cNvSpPr/>
                        <wps:spPr>
                          <a:xfrm>
                            <a:off x="596214" y="3084765"/>
                            <a:ext cx="3133725" cy="128905"/>
                          </a:xfrm>
                          <a:custGeom>
                            <a:avLst/>
                            <a:gdLst/>
                            <a:ahLst/>
                            <a:cxnLst/>
                            <a:rect l="l" t="t" r="r" b="b"/>
                            <a:pathLst>
                              <a:path w="3133725" h="128905">
                                <a:moveTo>
                                  <a:pt x="0" y="0"/>
                                </a:moveTo>
                                <a:lnTo>
                                  <a:pt x="3133581" y="0"/>
                                </a:lnTo>
                              </a:path>
                              <a:path w="3133725" h="128905">
                                <a:moveTo>
                                  <a:pt x="3133581" y="0"/>
                                </a:moveTo>
                                <a:lnTo>
                                  <a:pt x="3133581" y="128714"/>
                                </a:lnTo>
                              </a:path>
                            </a:pathLst>
                          </a:custGeom>
                          <a:ln w="4762">
                            <a:solidFill>
                              <a:srgbClr val="231F1F"/>
                            </a:solidFill>
                            <a:prstDash val="solid"/>
                          </a:ln>
                        </wps:spPr>
                        <wps:bodyPr wrap="square" lIns="0" tIns="0" rIns="0" bIns="0" rtlCol="0">
                          <a:prstTxWarp prst="textNoShape">
                            <a:avLst/>
                          </a:prstTxWarp>
                          <a:noAutofit/>
                        </wps:bodyPr>
                      </wps:wsp>
                      <wps:wsp>
                        <wps:cNvPr id="445" name="Graphic 445"/>
                        <wps:cNvSpPr/>
                        <wps:spPr>
                          <a:xfrm>
                            <a:off x="3702457" y="3194621"/>
                            <a:ext cx="55880" cy="103505"/>
                          </a:xfrm>
                          <a:custGeom>
                            <a:avLst/>
                            <a:gdLst/>
                            <a:ahLst/>
                            <a:cxnLst/>
                            <a:rect l="l" t="t" r="r" b="b"/>
                            <a:pathLst>
                              <a:path w="55880" h="103505">
                                <a:moveTo>
                                  <a:pt x="55333" y="0"/>
                                </a:moveTo>
                                <a:lnTo>
                                  <a:pt x="0" y="0"/>
                                </a:lnTo>
                                <a:lnTo>
                                  <a:pt x="27673" y="103250"/>
                                </a:lnTo>
                                <a:lnTo>
                                  <a:pt x="55333" y="0"/>
                                </a:lnTo>
                                <a:close/>
                              </a:path>
                            </a:pathLst>
                          </a:custGeom>
                          <a:solidFill>
                            <a:srgbClr val="231F1F"/>
                          </a:solidFill>
                        </wps:spPr>
                        <wps:bodyPr wrap="square" lIns="0" tIns="0" rIns="0" bIns="0" rtlCol="0">
                          <a:prstTxWarp prst="textNoShape">
                            <a:avLst/>
                          </a:prstTxWarp>
                          <a:noAutofit/>
                        </wps:bodyPr>
                      </wps:wsp>
                      <wps:wsp>
                        <wps:cNvPr id="446" name="Graphic 446"/>
                        <wps:cNvSpPr/>
                        <wps:spPr>
                          <a:xfrm>
                            <a:off x="596214" y="3084765"/>
                            <a:ext cx="1270" cy="140970"/>
                          </a:xfrm>
                          <a:custGeom>
                            <a:avLst/>
                            <a:gdLst/>
                            <a:ahLst/>
                            <a:cxnLst/>
                            <a:rect l="l" t="t" r="r" b="b"/>
                            <a:pathLst>
                              <a:path w="0" h="140970">
                                <a:moveTo>
                                  <a:pt x="0" y="0"/>
                                </a:moveTo>
                                <a:lnTo>
                                  <a:pt x="0" y="140779"/>
                                </a:lnTo>
                              </a:path>
                            </a:pathLst>
                          </a:custGeom>
                          <a:ln w="4762">
                            <a:solidFill>
                              <a:srgbClr val="231F1F"/>
                            </a:solidFill>
                            <a:prstDash val="solid"/>
                          </a:ln>
                        </wps:spPr>
                        <wps:bodyPr wrap="square" lIns="0" tIns="0" rIns="0" bIns="0" rtlCol="0">
                          <a:prstTxWarp prst="textNoShape">
                            <a:avLst/>
                          </a:prstTxWarp>
                          <a:noAutofit/>
                        </wps:bodyPr>
                      </wps:wsp>
                      <wps:wsp>
                        <wps:cNvPr id="447" name="Graphic 447"/>
                        <wps:cNvSpPr/>
                        <wps:spPr>
                          <a:xfrm>
                            <a:off x="568884" y="3206686"/>
                            <a:ext cx="55880" cy="103505"/>
                          </a:xfrm>
                          <a:custGeom>
                            <a:avLst/>
                            <a:gdLst/>
                            <a:ahLst/>
                            <a:cxnLst/>
                            <a:rect l="l" t="t" r="r" b="b"/>
                            <a:pathLst>
                              <a:path w="55880" h="103505">
                                <a:moveTo>
                                  <a:pt x="55333" y="0"/>
                                </a:moveTo>
                                <a:lnTo>
                                  <a:pt x="0" y="0"/>
                                </a:lnTo>
                                <a:lnTo>
                                  <a:pt x="27673" y="103250"/>
                                </a:lnTo>
                                <a:lnTo>
                                  <a:pt x="55333" y="0"/>
                                </a:lnTo>
                                <a:close/>
                              </a:path>
                            </a:pathLst>
                          </a:custGeom>
                          <a:solidFill>
                            <a:srgbClr val="231F1F"/>
                          </a:solidFill>
                        </wps:spPr>
                        <wps:bodyPr wrap="square" lIns="0" tIns="0" rIns="0" bIns="0" rtlCol="0">
                          <a:prstTxWarp prst="textNoShape">
                            <a:avLst/>
                          </a:prstTxWarp>
                          <a:noAutofit/>
                        </wps:bodyPr>
                      </wps:wsp>
                      <wps:wsp>
                        <wps:cNvPr id="448" name="Graphic 448"/>
                        <wps:cNvSpPr/>
                        <wps:spPr>
                          <a:xfrm>
                            <a:off x="4063670" y="2742856"/>
                            <a:ext cx="640080" cy="756285"/>
                          </a:xfrm>
                          <a:custGeom>
                            <a:avLst/>
                            <a:gdLst/>
                            <a:ahLst/>
                            <a:cxnLst/>
                            <a:rect l="l" t="t" r="r" b="b"/>
                            <a:pathLst>
                              <a:path w="640080" h="756285">
                                <a:moveTo>
                                  <a:pt x="0" y="746163"/>
                                </a:moveTo>
                                <a:lnTo>
                                  <a:pt x="639571" y="746163"/>
                                </a:lnTo>
                              </a:path>
                              <a:path w="640080" h="756285">
                                <a:moveTo>
                                  <a:pt x="639571" y="756234"/>
                                </a:moveTo>
                                <a:lnTo>
                                  <a:pt x="639571" y="0"/>
                                </a:lnTo>
                              </a:path>
                            </a:pathLst>
                          </a:custGeom>
                          <a:ln w="4762">
                            <a:solidFill>
                              <a:srgbClr val="231F1F"/>
                            </a:solidFill>
                            <a:prstDash val="solid"/>
                          </a:ln>
                        </wps:spPr>
                        <wps:bodyPr wrap="square" lIns="0" tIns="0" rIns="0" bIns="0" rtlCol="0">
                          <a:prstTxWarp prst="textNoShape">
                            <a:avLst/>
                          </a:prstTxWarp>
                          <a:noAutofit/>
                        </wps:bodyPr>
                      </wps:wsp>
                      <wps:wsp>
                        <wps:cNvPr id="449" name="Graphic 449"/>
                        <wps:cNvSpPr/>
                        <wps:spPr>
                          <a:xfrm>
                            <a:off x="4675226" y="2658465"/>
                            <a:ext cx="55880" cy="103505"/>
                          </a:xfrm>
                          <a:custGeom>
                            <a:avLst/>
                            <a:gdLst/>
                            <a:ahLst/>
                            <a:cxnLst/>
                            <a:rect l="l" t="t" r="r" b="b"/>
                            <a:pathLst>
                              <a:path w="55880" h="103505">
                                <a:moveTo>
                                  <a:pt x="27673" y="0"/>
                                </a:moveTo>
                                <a:lnTo>
                                  <a:pt x="0" y="103250"/>
                                </a:lnTo>
                                <a:lnTo>
                                  <a:pt x="55346" y="103250"/>
                                </a:lnTo>
                                <a:lnTo>
                                  <a:pt x="27673" y="0"/>
                                </a:lnTo>
                                <a:close/>
                              </a:path>
                            </a:pathLst>
                          </a:custGeom>
                          <a:solidFill>
                            <a:srgbClr val="231F1F"/>
                          </a:solidFill>
                        </wps:spPr>
                        <wps:bodyPr wrap="square" lIns="0" tIns="0" rIns="0" bIns="0" rtlCol="0">
                          <a:prstTxWarp prst="textNoShape">
                            <a:avLst/>
                          </a:prstTxWarp>
                          <a:noAutofit/>
                        </wps:bodyPr>
                      </wps:wsp>
                      <wps:wsp>
                        <wps:cNvPr id="450" name="Graphic 450"/>
                        <wps:cNvSpPr/>
                        <wps:spPr>
                          <a:xfrm>
                            <a:off x="2160994" y="2871571"/>
                            <a:ext cx="1270" cy="350520"/>
                          </a:xfrm>
                          <a:custGeom>
                            <a:avLst/>
                            <a:gdLst/>
                            <a:ahLst/>
                            <a:cxnLst/>
                            <a:rect l="l" t="t" r="r" b="b"/>
                            <a:pathLst>
                              <a:path w="0" h="350520">
                                <a:moveTo>
                                  <a:pt x="0" y="0"/>
                                </a:moveTo>
                                <a:lnTo>
                                  <a:pt x="0" y="349961"/>
                                </a:lnTo>
                              </a:path>
                            </a:pathLst>
                          </a:custGeom>
                          <a:ln w="4762">
                            <a:solidFill>
                              <a:srgbClr val="231F1F"/>
                            </a:solidFill>
                            <a:prstDash val="solid"/>
                          </a:ln>
                        </wps:spPr>
                        <wps:bodyPr wrap="square" lIns="0" tIns="0" rIns="0" bIns="0" rtlCol="0">
                          <a:prstTxWarp prst="textNoShape">
                            <a:avLst/>
                          </a:prstTxWarp>
                          <a:noAutofit/>
                        </wps:bodyPr>
                      </wps:wsp>
                      <wps:wsp>
                        <wps:cNvPr id="451" name="Graphic 451"/>
                        <wps:cNvSpPr/>
                        <wps:spPr>
                          <a:xfrm>
                            <a:off x="2133664" y="3202672"/>
                            <a:ext cx="55880" cy="103505"/>
                          </a:xfrm>
                          <a:custGeom>
                            <a:avLst/>
                            <a:gdLst/>
                            <a:ahLst/>
                            <a:cxnLst/>
                            <a:rect l="l" t="t" r="r" b="b"/>
                            <a:pathLst>
                              <a:path w="55880" h="103505">
                                <a:moveTo>
                                  <a:pt x="55346" y="0"/>
                                </a:moveTo>
                                <a:lnTo>
                                  <a:pt x="0" y="0"/>
                                </a:lnTo>
                                <a:lnTo>
                                  <a:pt x="27673" y="103250"/>
                                </a:lnTo>
                                <a:lnTo>
                                  <a:pt x="55346" y="0"/>
                                </a:lnTo>
                                <a:close/>
                              </a:path>
                            </a:pathLst>
                          </a:custGeom>
                          <a:solidFill>
                            <a:srgbClr val="231F1F"/>
                          </a:solidFill>
                        </wps:spPr>
                        <wps:bodyPr wrap="square" lIns="0" tIns="0" rIns="0" bIns="0" rtlCol="0">
                          <a:prstTxWarp prst="textNoShape">
                            <a:avLst/>
                          </a:prstTxWarp>
                          <a:noAutofit/>
                        </wps:bodyPr>
                      </wps:wsp>
                      <wps:wsp>
                        <wps:cNvPr id="452" name="Graphic 452"/>
                        <wps:cNvSpPr/>
                        <wps:spPr>
                          <a:xfrm>
                            <a:off x="2949194" y="2304376"/>
                            <a:ext cx="1270" cy="173355"/>
                          </a:xfrm>
                          <a:custGeom>
                            <a:avLst/>
                            <a:gdLst/>
                            <a:ahLst/>
                            <a:cxnLst/>
                            <a:rect l="l" t="t" r="r" b="b"/>
                            <a:pathLst>
                              <a:path w="0" h="173355">
                                <a:moveTo>
                                  <a:pt x="0" y="172974"/>
                                </a:moveTo>
                                <a:lnTo>
                                  <a:pt x="0" y="0"/>
                                </a:lnTo>
                              </a:path>
                            </a:pathLst>
                          </a:custGeom>
                          <a:ln w="4762">
                            <a:solidFill>
                              <a:srgbClr val="231F1F"/>
                            </a:solidFill>
                            <a:prstDash val="solid"/>
                          </a:ln>
                        </wps:spPr>
                        <wps:bodyPr wrap="square" lIns="0" tIns="0" rIns="0" bIns="0" rtlCol="0">
                          <a:prstTxWarp prst="textNoShape">
                            <a:avLst/>
                          </a:prstTxWarp>
                          <a:noAutofit/>
                        </wps:bodyPr>
                      </wps:wsp>
                      <wps:wsp>
                        <wps:cNvPr id="453" name="Graphic 453"/>
                        <wps:cNvSpPr/>
                        <wps:spPr>
                          <a:xfrm>
                            <a:off x="302590" y="4038104"/>
                            <a:ext cx="2550795" cy="635635"/>
                          </a:xfrm>
                          <a:custGeom>
                            <a:avLst/>
                            <a:gdLst/>
                            <a:ahLst/>
                            <a:cxnLst/>
                            <a:rect l="l" t="t" r="r" b="b"/>
                            <a:pathLst>
                              <a:path w="2550795" h="635635">
                                <a:moveTo>
                                  <a:pt x="2359787" y="0"/>
                                </a:moveTo>
                                <a:lnTo>
                                  <a:pt x="190500" y="0"/>
                                </a:lnTo>
                                <a:lnTo>
                                  <a:pt x="146812" y="5029"/>
                                </a:lnTo>
                                <a:lnTo>
                                  <a:pt x="106718" y="19367"/>
                                </a:lnTo>
                                <a:lnTo>
                                  <a:pt x="71348" y="41859"/>
                                </a:lnTo>
                                <a:lnTo>
                                  <a:pt x="41846" y="71361"/>
                                </a:lnTo>
                                <a:lnTo>
                                  <a:pt x="19354" y="106730"/>
                                </a:lnTo>
                                <a:lnTo>
                                  <a:pt x="5029" y="146824"/>
                                </a:lnTo>
                                <a:lnTo>
                                  <a:pt x="0" y="190500"/>
                                </a:lnTo>
                                <a:lnTo>
                                  <a:pt x="0" y="445058"/>
                                </a:lnTo>
                                <a:lnTo>
                                  <a:pt x="5029" y="488734"/>
                                </a:lnTo>
                                <a:lnTo>
                                  <a:pt x="19354" y="528827"/>
                                </a:lnTo>
                                <a:lnTo>
                                  <a:pt x="41846" y="564197"/>
                                </a:lnTo>
                                <a:lnTo>
                                  <a:pt x="71348" y="593699"/>
                                </a:lnTo>
                                <a:lnTo>
                                  <a:pt x="106718" y="616191"/>
                                </a:lnTo>
                                <a:lnTo>
                                  <a:pt x="146812" y="630529"/>
                                </a:lnTo>
                                <a:lnTo>
                                  <a:pt x="190500" y="635558"/>
                                </a:lnTo>
                                <a:lnTo>
                                  <a:pt x="2359787" y="635558"/>
                                </a:lnTo>
                                <a:lnTo>
                                  <a:pt x="2403462" y="630529"/>
                                </a:lnTo>
                                <a:lnTo>
                                  <a:pt x="2443556" y="616191"/>
                                </a:lnTo>
                                <a:lnTo>
                                  <a:pt x="2478925" y="593699"/>
                                </a:lnTo>
                                <a:lnTo>
                                  <a:pt x="2508440" y="564197"/>
                                </a:lnTo>
                                <a:lnTo>
                                  <a:pt x="2530919" y="528827"/>
                                </a:lnTo>
                                <a:lnTo>
                                  <a:pt x="2545257" y="488734"/>
                                </a:lnTo>
                                <a:lnTo>
                                  <a:pt x="2550287" y="445058"/>
                                </a:lnTo>
                                <a:lnTo>
                                  <a:pt x="2550287" y="190500"/>
                                </a:lnTo>
                                <a:lnTo>
                                  <a:pt x="2545257" y="146824"/>
                                </a:lnTo>
                                <a:lnTo>
                                  <a:pt x="2530919" y="106730"/>
                                </a:lnTo>
                                <a:lnTo>
                                  <a:pt x="2508440" y="71361"/>
                                </a:lnTo>
                                <a:lnTo>
                                  <a:pt x="2478925" y="41859"/>
                                </a:lnTo>
                                <a:lnTo>
                                  <a:pt x="2443556" y="19367"/>
                                </a:lnTo>
                                <a:lnTo>
                                  <a:pt x="2403462" y="5029"/>
                                </a:lnTo>
                                <a:lnTo>
                                  <a:pt x="2359787" y="0"/>
                                </a:lnTo>
                                <a:close/>
                              </a:path>
                            </a:pathLst>
                          </a:custGeom>
                          <a:solidFill>
                            <a:srgbClr val="EFCACC"/>
                          </a:solidFill>
                        </wps:spPr>
                        <wps:bodyPr wrap="square" lIns="0" tIns="0" rIns="0" bIns="0" rtlCol="0">
                          <a:prstTxWarp prst="textNoShape">
                            <a:avLst/>
                          </a:prstTxWarp>
                          <a:noAutofit/>
                        </wps:bodyPr>
                      </wps:wsp>
                      <wps:wsp>
                        <wps:cNvPr id="454" name="Graphic 454"/>
                        <wps:cNvSpPr/>
                        <wps:spPr>
                          <a:xfrm>
                            <a:off x="302590" y="4038104"/>
                            <a:ext cx="2550795" cy="635635"/>
                          </a:xfrm>
                          <a:custGeom>
                            <a:avLst/>
                            <a:gdLst/>
                            <a:ahLst/>
                            <a:cxnLst/>
                            <a:rect l="l" t="t" r="r" b="b"/>
                            <a:pathLst>
                              <a:path w="2550795" h="635635">
                                <a:moveTo>
                                  <a:pt x="2550291" y="445058"/>
                                </a:moveTo>
                                <a:lnTo>
                                  <a:pt x="2545251" y="488737"/>
                                </a:lnTo>
                                <a:lnTo>
                                  <a:pt x="2530921" y="528834"/>
                                </a:lnTo>
                                <a:lnTo>
                                  <a:pt x="2508431" y="564205"/>
                                </a:lnTo>
                                <a:lnTo>
                                  <a:pt x="2478931" y="593707"/>
                                </a:lnTo>
                                <a:lnTo>
                                  <a:pt x="2443561" y="616195"/>
                                </a:lnTo>
                                <a:lnTo>
                                  <a:pt x="2403461" y="630527"/>
                                </a:lnTo>
                                <a:lnTo>
                                  <a:pt x="2359791" y="635558"/>
                                </a:lnTo>
                                <a:lnTo>
                                  <a:pt x="190500" y="635558"/>
                                </a:lnTo>
                                <a:lnTo>
                                  <a:pt x="146817" y="630527"/>
                                </a:lnTo>
                                <a:lnTo>
                                  <a:pt x="106718" y="616195"/>
                                </a:lnTo>
                                <a:lnTo>
                                  <a:pt x="71348" y="593707"/>
                                </a:lnTo>
                                <a:lnTo>
                                  <a:pt x="41847" y="564205"/>
                                </a:lnTo>
                                <a:lnTo>
                                  <a:pt x="19361" y="528834"/>
                                </a:lnTo>
                                <a:lnTo>
                                  <a:pt x="5030" y="488737"/>
                                </a:lnTo>
                                <a:lnTo>
                                  <a:pt x="0" y="445058"/>
                                </a:lnTo>
                                <a:lnTo>
                                  <a:pt x="0" y="190499"/>
                                </a:lnTo>
                                <a:lnTo>
                                  <a:pt x="5030" y="146825"/>
                                </a:lnTo>
                                <a:lnTo>
                                  <a:pt x="19361" y="106729"/>
                                </a:lnTo>
                                <a:lnTo>
                                  <a:pt x="41847" y="71358"/>
                                </a:lnTo>
                                <a:lnTo>
                                  <a:pt x="71348" y="41855"/>
                                </a:lnTo>
                                <a:lnTo>
                                  <a:pt x="106718" y="19365"/>
                                </a:lnTo>
                                <a:lnTo>
                                  <a:pt x="146817" y="5032"/>
                                </a:lnTo>
                                <a:lnTo>
                                  <a:pt x="190500" y="0"/>
                                </a:lnTo>
                                <a:lnTo>
                                  <a:pt x="2359791" y="0"/>
                                </a:lnTo>
                                <a:lnTo>
                                  <a:pt x="2403461" y="5032"/>
                                </a:lnTo>
                                <a:lnTo>
                                  <a:pt x="2443561" y="19365"/>
                                </a:lnTo>
                                <a:lnTo>
                                  <a:pt x="2478931" y="41855"/>
                                </a:lnTo>
                                <a:lnTo>
                                  <a:pt x="2508431" y="71358"/>
                                </a:lnTo>
                                <a:lnTo>
                                  <a:pt x="2530921" y="106729"/>
                                </a:lnTo>
                                <a:lnTo>
                                  <a:pt x="2545251" y="146825"/>
                                </a:lnTo>
                                <a:lnTo>
                                  <a:pt x="2550291" y="190499"/>
                                </a:lnTo>
                                <a:lnTo>
                                  <a:pt x="2550291" y="445058"/>
                                </a:lnTo>
                                <a:close/>
                              </a:path>
                            </a:pathLst>
                          </a:custGeom>
                          <a:ln w="4762">
                            <a:solidFill>
                              <a:srgbClr val="CF4D69"/>
                            </a:solidFill>
                            <a:prstDash val="solid"/>
                          </a:ln>
                        </wps:spPr>
                        <wps:bodyPr wrap="square" lIns="0" tIns="0" rIns="0" bIns="0" rtlCol="0">
                          <a:prstTxWarp prst="textNoShape">
                            <a:avLst/>
                          </a:prstTxWarp>
                          <a:noAutofit/>
                        </wps:bodyPr>
                      </wps:wsp>
                      <wps:wsp>
                        <wps:cNvPr id="455" name="Graphic 455"/>
                        <wps:cNvSpPr/>
                        <wps:spPr>
                          <a:xfrm>
                            <a:off x="2941384" y="4146701"/>
                            <a:ext cx="643890" cy="370205"/>
                          </a:xfrm>
                          <a:custGeom>
                            <a:avLst/>
                            <a:gdLst/>
                            <a:ahLst/>
                            <a:cxnLst/>
                            <a:rect l="l" t="t" r="r" b="b"/>
                            <a:pathLst>
                              <a:path w="643890" h="370205">
                                <a:moveTo>
                                  <a:pt x="458558" y="0"/>
                                </a:moveTo>
                                <a:lnTo>
                                  <a:pt x="185038" y="0"/>
                                </a:lnTo>
                                <a:lnTo>
                                  <a:pt x="135851" y="6604"/>
                                </a:lnTo>
                                <a:lnTo>
                                  <a:pt x="91643" y="25260"/>
                                </a:lnTo>
                                <a:lnTo>
                                  <a:pt x="54190" y="54190"/>
                                </a:lnTo>
                                <a:lnTo>
                                  <a:pt x="25260" y="91643"/>
                                </a:lnTo>
                                <a:lnTo>
                                  <a:pt x="6603" y="135839"/>
                                </a:lnTo>
                                <a:lnTo>
                                  <a:pt x="0" y="185038"/>
                                </a:lnTo>
                                <a:lnTo>
                                  <a:pt x="6603" y="234226"/>
                                </a:lnTo>
                                <a:lnTo>
                                  <a:pt x="25260" y="278434"/>
                                </a:lnTo>
                                <a:lnTo>
                                  <a:pt x="54190" y="315887"/>
                                </a:lnTo>
                                <a:lnTo>
                                  <a:pt x="91643" y="344817"/>
                                </a:lnTo>
                                <a:lnTo>
                                  <a:pt x="135851" y="363461"/>
                                </a:lnTo>
                                <a:lnTo>
                                  <a:pt x="185038" y="370077"/>
                                </a:lnTo>
                                <a:lnTo>
                                  <a:pt x="458558" y="370077"/>
                                </a:lnTo>
                                <a:lnTo>
                                  <a:pt x="507745" y="363461"/>
                                </a:lnTo>
                                <a:lnTo>
                                  <a:pt x="551941" y="344817"/>
                                </a:lnTo>
                                <a:lnTo>
                                  <a:pt x="589394" y="315887"/>
                                </a:lnTo>
                                <a:lnTo>
                                  <a:pt x="618324" y="278434"/>
                                </a:lnTo>
                                <a:lnTo>
                                  <a:pt x="636981" y="234226"/>
                                </a:lnTo>
                                <a:lnTo>
                                  <a:pt x="643597" y="185038"/>
                                </a:lnTo>
                                <a:lnTo>
                                  <a:pt x="636981" y="135839"/>
                                </a:lnTo>
                                <a:lnTo>
                                  <a:pt x="618324" y="91643"/>
                                </a:lnTo>
                                <a:lnTo>
                                  <a:pt x="589394" y="54190"/>
                                </a:lnTo>
                                <a:lnTo>
                                  <a:pt x="551941" y="25260"/>
                                </a:lnTo>
                                <a:lnTo>
                                  <a:pt x="507745" y="6604"/>
                                </a:lnTo>
                                <a:lnTo>
                                  <a:pt x="458558" y="0"/>
                                </a:lnTo>
                                <a:close/>
                              </a:path>
                            </a:pathLst>
                          </a:custGeom>
                          <a:solidFill>
                            <a:srgbClr val="EFCACC"/>
                          </a:solidFill>
                        </wps:spPr>
                        <wps:bodyPr wrap="square" lIns="0" tIns="0" rIns="0" bIns="0" rtlCol="0">
                          <a:prstTxWarp prst="textNoShape">
                            <a:avLst/>
                          </a:prstTxWarp>
                          <a:noAutofit/>
                        </wps:bodyPr>
                      </wps:wsp>
                      <wps:wsp>
                        <wps:cNvPr id="456" name="Graphic 456"/>
                        <wps:cNvSpPr/>
                        <wps:spPr>
                          <a:xfrm>
                            <a:off x="2941384" y="4146701"/>
                            <a:ext cx="643890" cy="370205"/>
                          </a:xfrm>
                          <a:custGeom>
                            <a:avLst/>
                            <a:gdLst/>
                            <a:ahLst/>
                            <a:cxnLst/>
                            <a:rect l="l" t="t" r="r" b="b"/>
                            <a:pathLst>
                              <a:path w="643890" h="370205">
                                <a:moveTo>
                                  <a:pt x="643597" y="185038"/>
                                </a:moveTo>
                                <a:lnTo>
                                  <a:pt x="636987" y="234230"/>
                                </a:lnTo>
                                <a:lnTo>
                                  <a:pt x="618332" y="278432"/>
                                </a:lnTo>
                                <a:lnTo>
                                  <a:pt x="589397" y="315882"/>
                                </a:lnTo>
                                <a:lnTo>
                                  <a:pt x="551947" y="344815"/>
                                </a:lnTo>
                                <a:lnTo>
                                  <a:pt x="507746" y="363468"/>
                                </a:lnTo>
                                <a:lnTo>
                                  <a:pt x="458558" y="370077"/>
                                </a:lnTo>
                                <a:lnTo>
                                  <a:pt x="185039" y="370077"/>
                                </a:lnTo>
                                <a:lnTo>
                                  <a:pt x="135847" y="363468"/>
                                </a:lnTo>
                                <a:lnTo>
                                  <a:pt x="91645" y="344815"/>
                                </a:lnTo>
                                <a:lnTo>
                                  <a:pt x="54195" y="315882"/>
                                </a:lnTo>
                                <a:lnTo>
                                  <a:pt x="25262" y="278432"/>
                                </a:lnTo>
                                <a:lnTo>
                                  <a:pt x="6609" y="234230"/>
                                </a:lnTo>
                                <a:lnTo>
                                  <a:pt x="0" y="185038"/>
                                </a:lnTo>
                                <a:lnTo>
                                  <a:pt x="6609" y="135842"/>
                                </a:lnTo>
                                <a:lnTo>
                                  <a:pt x="25262" y="91639"/>
                                </a:lnTo>
                                <a:lnTo>
                                  <a:pt x="54195" y="54190"/>
                                </a:lnTo>
                                <a:lnTo>
                                  <a:pt x="91645" y="25259"/>
                                </a:lnTo>
                                <a:lnTo>
                                  <a:pt x="135847" y="6608"/>
                                </a:lnTo>
                                <a:lnTo>
                                  <a:pt x="185039" y="0"/>
                                </a:lnTo>
                                <a:lnTo>
                                  <a:pt x="458558" y="0"/>
                                </a:lnTo>
                                <a:lnTo>
                                  <a:pt x="507746" y="6608"/>
                                </a:lnTo>
                                <a:lnTo>
                                  <a:pt x="551947" y="25259"/>
                                </a:lnTo>
                                <a:lnTo>
                                  <a:pt x="589397" y="54190"/>
                                </a:lnTo>
                                <a:lnTo>
                                  <a:pt x="618332" y="91639"/>
                                </a:lnTo>
                                <a:lnTo>
                                  <a:pt x="636987" y="135842"/>
                                </a:lnTo>
                                <a:lnTo>
                                  <a:pt x="643597" y="185038"/>
                                </a:lnTo>
                                <a:close/>
                              </a:path>
                            </a:pathLst>
                          </a:custGeom>
                          <a:ln w="4762">
                            <a:solidFill>
                              <a:srgbClr val="CF4D69"/>
                            </a:solidFill>
                            <a:prstDash val="solid"/>
                          </a:ln>
                        </wps:spPr>
                        <wps:bodyPr wrap="square" lIns="0" tIns="0" rIns="0" bIns="0" rtlCol="0">
                          <a:prstTxWarp prst="textNoShape">
                            <a:avLst/>
                          </a:prstTxWarp>
                          <a:noAutofit/>
                        </wps:bodyPr>
                      </wps:wsp>
                      <wps:wsp>
                        <wps:cNvPr id="457" name="Graphic 457"/>
                        <wps:cNvSpPr/>
                        <wps:spPr>
                          <a:xfrm>
                            <a:off x="1557604" y="3861104"/>
                            <a:ext cx="1270" cy="88900"/>
                          </a:xfrm>
                          <a:custGeom>
                            <a:avLst/>
                            <a:gdLst/>
                            <a:ahLst/>
                            <a:cxnLst/>
                            <a:rect l="l" t="t" r="r" b="b"/>
                            <a:pathLst>
                              <a:path w="0" h="88900">
                                <a:moveTo>
                                  <a:pt x="0" y="0"/>
                                </a:moveTo>
                                <a:lnTo>
                                  <a:pt x="0" y="88506"/>
                                </a:lnTo>
                              </a:path>
                            </a:pathLst>
                          </a:custGeom>
                          <a:ln w="4762">
                            <a:solidFill>
                              <a:srgbClr val="231F1F"/>
                            </a:solidFill>
                            <a:prstDash val="solid"/>
                          </a:ln>
                        </wps:spPr>
                        <wps:bodyPr wrap="square" lIns="0" tIns="0" rIns="0" bIns="0" rtlCol="0">
                          <a:prstTxWarp prst="textNoShape">
                            <a:avLst/>
                          </a:prstTxWarp>
                          <a:noAutofit/>
                        </wps:bodyPr>
                      </wps:wsp>
                      <wps:wsp>
                        <wps:cNvPr id="458" name="Graphic 458"/>
                        <wps:cNvSpPr/>
                        <wps:spPr>
                          <a:xfrm>
                            <a:off x="1530274" y="3930763"/>
                            <a:ext cx="1753235" cy="184150"/>
                          </a:xfrm>
                          <a:custGeom>
                            <a:avLst/>
                            <a:gdLst/>
                            <a:ahLst/>
                            <a:cxnLst/>
                            <a:rect l="l" t="t" r="r" b="b"/>
                            <a:pathLst>
                              <a:path w="1753235" h="184150">
                                <a:moveTo>
                                  <a:pt x="55333" y="0"/>
                                </a:moveTo>
                                <a:lnTo>
                                  <a:pt x="0" y="0"/>
                                </a:lnTo>
                                <a:lnTo>
                                  <a:pt x="27673" y="103251"/>
                                </a:lnTo>
                                <a:lnTo>
                                  <a:pt x="55333" y="0"/>
                                </a:lnTo>
                                <a:close/>
                              </a:path>
                              <a:path w="1753235" h="184150">
                                <a:moveTo>
                                  <a:pt x="1752841" y="80429"/>
                                </a:moveTo>
                                <a:lnTo>
                                  <a:pt x="1697507" y="80429"/>
                                </a:lnTo>
                                <a:lnTo>
                                  <a:pt x="1725180" y="183680"/>
                                </a:lnTo>
                                <a:lnTo>
                                  <a:pt x="1752841" y="80429"/>
                                </a:lnTo>
                                <a:close/>
                              </a:path>
                            </a:pathLst>
                          </a:custGeom>
                          <a:solidFill>
                            <a:srgbClr val="231F1F"/>
                          </a:solidFill>
                        </wps:spPr>
                        <wps:bodyPr wrap="square" lIns="0" tIns="0" rIns="0" bIns="0" rtlCol="0">
                          <a:prstTxWarp prst="textNoShape">
                            <a:avLst/>
                          </a:prstTxWarp>
                          <a:noAutofit/>
                        </wps:bodyPr>
                      </wps:wsp>
                      <pic:pic>
                        <pic:nvPicPr>
                          <pic:cNvPr id="459" name="Image 459"/>
                          <pic:cNvPicPr/>
                        </pic:nvPicPr>
                        <pic:blipFill>
                          <a:blip r:embed="rId87" cstate="print"/>
                          <a:stretch>
                            <a:fillRect/>
                          </a:stretch>
                        </pic:blipFill>
                        <pic:spPr>
                          <a:xfrm>
                            <a:off x="1881391" y="3522179"/>
                            <a:ext cx="128497" cy="97561"/>
                          </a:xfrm>
                          <a:prstGeom prst="rect">
                            <a:avLst/>
                          </a:prstGeom>
                        </pic:spPr>
                      </pic:pic>
                      <pic:pic>
                        <pic:nvPicPr>
                          <pic:cNvPr id="460" name="Image 460"/>
                          <pic:cNvPicPr/>
                        </pic:nvPicPr>
                        <pic:blipFill>
                          <a:blip r:embed="rId88" cstate="print"/>
                          <a:stretch>
                            <a:fillRect/>
                          </a:stretch>
                        </pic:blipFill>
                        <pic:spPr>
                          <a:xfrm>
                            <a:off x="2050009" y="3521874"/>
                            <a:ext cx="460005" cy="91769"/>
                          </a:xfrm>
                          <a:prstGeom prst="rect">
                            <a:avLst/>
                          </a:prstGeom>
                        </pic:spPr>
                      </pic:pic>
                      <pic:pic>
                        <pic:nvPicPr>
                          <pic:cNvPr id="461" name="Image 461"/>
                          <pic:cNvPicPr/>
                        </pic:nvPicPr>
                        <pic:blipFill>
                          <a:blip r:embed="rId89" cstate="print"/>
                          <a:stretch>
                            <a:fillRect/>
                          </a:stretch>
                        </pic:blipFill>
                        <pic:spPr>
                          <a:xfrm>
                            <a:off x="3502927" y="3522179"/>
                            <a:ext cx="128497" cy="97561"/>
                          </a:xfrm>
                          <a:prstGeom prst="rect">
                            <a:avLst/>
                          </a:prstGeom>
                        </pic:spPr>
                      </pic:pic>
                      <wps:wsp>
                        <wps:cNvPr id="462" name="Graphic 462"/>
                        <wps:cNvSpPr/>
                        <wps:spPr>
                          <a:xfrm>
                            <a:off x="3675406" y="3535044"/>
                            <a:ext cx="53340" cy="52069"/>
                          </a:xfrm>
                          <a:custGeom>
                            <a:avLst/>
                            <a:gdLst/>
                            <a:ahLst/>
                            <a:cxnLst/>
                            <a:rect l="l" t="t" r="r" b="b"/>
                            <a:pathLst>
                              <a:path w="53340" h="52069">
                                <a:moveTo>
                                  <a:pt x="53111" y="0"/>
                                </a:moveTo>
                                <a:lnTo>
                                  <a:pt x="0" y="21361"/>
                                </a:lnTo>
                                <a:lnTo>
                                  <a:pt x="0" y="30111"/>
                                </a:lnTo>
                                <a:lnTo>
                                  <a:pt x="53111" y="51727"/>
                                </a:lnTo>
                                <a:lnTo>
                                  <a:pt x="53111" y="42405"/>
                                </a:lnTo>
                                <a:lnTo>
                                  <a:pt x="10998" y="25793"/>
                                </a:lnTo>
                                <a:lnTo>
                                  <a:pt x="53111" y="9321"/>
                                </a:lnTo>
                                <a:lnTo>
                                  <a:pt x="53111" y="0"/>
                                </a:lnTo>
                                <a:close/>
                              </a:path>
                            </a:pathLst>
                          </a:custGeom>
                          <a:solidFill>
                            <a:srgbClr val="231F1F"/>
                          </a:solidFill>
                        </wps:spPr>
                        <wps:bodyPr wrap="square" lIns="0" tIns="0" rIns="0" bIns="0" rtlCol="0">
                          <a:prstTxWarp prst="textNoShape">
                            <a:avLst/>
                          </a:prstTxWarp>
                          <a:noAutofit/>
                        </wps:bodyPr>
                      </wps:wsp>
                      <pic:pic>
                        <pic:nvPicPr>
                          <pic:cNvPr id="463" name="Image 463"/>
                          <pic:cNvPicPr/>
                        </pic:nvPicPr>
                        <pic:blipFill>
                          <a:blip r:embed="rId90" cstate="print"/>
                          <a:stretch>
                            <a:fillRect/>
                          </a:stretch>
                        </pic:blipFill>
                        <pic:spPr>
                          <a:xfrm>
                            <a:off x="3772129" y="3521874"/>
                            <a:ext cx="200977" cy="91769"/>
                          </a:xfrm>
                          <a:prstGeom prst="rect">
                            <a:avLst/>
                          </a:prstGeom>
                        </pic:spPr>
                      </pic:pic>
                      <pic:pic>
                        <pic:nvPicPr>
                          <pic:cNvPr id="464" name="Image 464"/>
                          <pic:cNvPicPr/>
                        </pic:nvPicPr>
                        <pic:blipFill>
                          <a:blip r:embed="rId91" cstate="print"/>
                          <a:stretch>
                            <a:fillRect/>
                          </a:stretch>
                        </pic:blipFill>
                        <pic:spPr>
                          <a:xfrm>
                            <a:off x="380937" y="3405936"/>
                            <a:ext cx="426172" cy="220535"/>
                          </a:xfrm>
                          <a:prstGeom prst="rect">
                            <a:avLst/>
                          </a:prstGeom>
                        </pic:spPr>
                      </pic:pic>
                      <pic:pic>
                        <pic:nvPicPr>
                          <pic:cNvPr id="465" name="Image 465"/>
                          <pic:cNvPicPr/>
                        </pic:nvPicPr>
                        <pic:blipFill>
                          <a:blip r:embed="rId92" cstate="print"/>
                          <a:stretch>
                            <a:fillRect/>
                          </a:stretch>
                        </pic:blipFill>
                        <pic:spPr>
                          <a:xfrm>
                            <a:off x="4484383" y="1019771"/>
                            <a:ext cx="128497" cy="97561"/>
                          </a:xfrm>
                          <a:prstGeom prst="rect">
                            <a:avLst/>
                          </a:prstGeom>
                        </pic:spPr>
                      </pic:pic>
                      <wps:wsp>
                        <wps:cNvPr id="466" name="Graphic 466"/>
                        <wps:cNvSpPr/>
                        <wps:spPr>
                          <a:xfrm>
                            <a:off x="4656862" y="1032636"/>
                            <a:ext cx="53340" cy="52069"/>
                          </a:xfrm>
                          <a:custGeom>
                            <a:avLst/>
                            <a:gdLst/>
                            <a:ahLst/>
                            <a:cxnLst/>
                            <a:rect l="l" t="t" r="r" b="b"/>
                            <a:pathLst>
                              <a:path w="53340" h="52069">
                                <a:moveTo>
                                  <a:pt x="53111" y="0"/>
                                </a:moveTo>
                                <a:lnTo>
                                  <a:pt x="0" y="21361"/>
                                </a:lnTo>
                                <a:lnTo>
                                  <a:pt x="0" y="30111"/>
                                </a:lnTo>
                                <a:lnTo>
                                  <a:pt x="53111" y="51727"/>
                                </a:lnTo>
                                <a:lnTo>
                                  <a:pt x="53111" y="42405"/>
                                </a:lnTo>
                                <a:lnTo>
                                  <a:pt x="10998" y="25793"/>
                                </a:lnTo>
                                <a:lnTo>
                                  <a:pt x="53111" y="9321"/>
                                </a:lnTo>
                                <a:lnTo>
                                  <a:pt x="53111" y="0"/>
                                </a:lnTo>
                                <a:close/>
                              </a:path>
                            </a:pathLst>
                          </a:custGeom>
                          <a:solidFill>
                            <a:srgbClr val="231F1F"/>
                          </a:solidFill>
                        </wps:spPr>
                        <wps:bodyPr wrap="square" lIns="0" tIns="0" rIns="0" bIns="0" rtlCol="0">
                          <a:prstTxWarp prst="textNoShape">
                            <a:avLst/>
                          </a:prstTxWarp>
                          <a:noAutofit/>
                        </wps:bodyPr>
                      </wps:wsp>
                      <pic:pic>
                        <pic:nvPicPr>
                          <pic:cNvPr id="467" name="Image 467"/>
                          <pic:cNvPicPr/>
                        </pic:nvPicPr>
                        <pic:blipFill>
                          <a:blip r:embed="rId93" cstate="print"/>
                          <a:stretch>
                            <a:fillRect/>
                          </a:stretch>
                        </pic:blipFill>
                        <pic:spPr>
                          <a:xfrm>
                            <a:off x="4753585" y="1019466"/>
                            <a:ext cx="200977" cy="91769"/>
                          </a:xfrm>
                          <a:prstGeom prst="rect">
                            <a:avLst/>
                          </a:prstGeom>
                        </pic:spPr>
                      </pic:pic>
                      <pic:pic>
                        <pic:nvPicPr>
                          <pic:cNvPr id="468" name="Image 468"/>
                          <pic:cNvPicPr/>
                        </pic:nvPicPr>
                        <pic:blipFill>
                          <a:blip r:embed="rId92" cstate="print"/>
                          <a:stretch>
                            <a:fillRect/>
                          </a:stretch>
                        </pic:blipFill>
                        <pic:spPr>
                          <a:xfrm>
                            <a:off x="2643391" y="1019771"/>
                            <a:ext cx="128497" cy="97561"/>
                          </a:xfrm>
                          <a:prstGeom prst="rect">
                            <a:avLst/>
                          </a:prstGeom>
                        </pic:spPr>
                      </pic:pic>
                      <pic:pic>
                        <pic:nvPicPr>
                          <pic:cNvPr id="469" name="Image 469"/>
                          <pic:cNvPicPr/>
                        </pic:nvPicPr>
                        <pic:blipFill>
                          <a:blip r:embed="rId94" cstate="print"/>
                          <a:stretch>
                            <a:fillRect/>
                          </a:stretch>
                        </pic:blipFill>
                        <pic:spPr>
                          <a:xfrm>
                            <a:off x="2812009" y="1019466"/>
                            <a:ext cx="460005" cy="91769"/>
                          </a:xfrm>
                          <a:prstGeom prst="rect">
                            <a:avLst/>
                          </a:prstGeom>
                        </pic:spPr>
                      </pic:pic>
                      <pic:pic>
                        <pic:nvPicPr>
                          <pic:cNvPr id="470" name="Image 470"/>
                          <pic:cNvPicPr/>
                        </pic:nvPicPr>
                        <pic:blipFill>
                          <a:blip r:embed="rId95" cstate="print"/>
                          <a:stretch>
                            <a:fillRect/>
                          </a:stretch>
                        </pic:blipFill>
                        <pic:spPr>
                          <a:xfrm>
                            <a:off x="988327" y="1025867"/>
                            <a:ext cx="193192" cy="97561"/>
                          </a:xfrm>
                          <a:prstGeom prst="rect">
                            <a:avLst/>
                          </a:prstGeom>
                        </pic:spPr>
                      </pic:pic>
                      <pic:pic>
                        <pic:nvPicPr>
                          <pic:cNvPr id="471" name="Image 471"/>
                          <pic:cNvPicPr/>
                        </pic:nvPicPr>
                        <pic:blipFill>
                          <a:blip r:embed="rId96" cstate="print"/>
                          <a:stretch>
                            <a:fillRect/>
                          </a:stretch>
                        </pic:blipFill>
                        <pic:spPr>
                          <a:xfrm>
                            <a:off x="1224001" y="1025562"/>
                            <a:ext cx="201852" cy="91769"/>
                          </a:xfrm>
                          <a:prstGeom prst="rect">
                            <a:avLst/>
                          </a:prstGeom>
                        </pic:spPr>
                      </pic:pic>
                      <pic:pic>
                        <pic:nvPicPr>
                          <pic:cNvPr id="472" name="Image 472"/>
                          <pic:cNvPicPr/>
                        </pic:nvPicPr>
                        <pic:blipFill>
                          <a:blip r:embed="rId97" cstate="print"/>
                          <a:stretch>
                            <a:fillRect/>
                          </a:stretch>
                        </pic:blipFill>
                        <pic:spPr>
                          <a:xfrm>
                            <a:off x="2512327" y="357060"/>
                            <a:ext cx="881354" cy="100113"/>
                          </a:xfrm>
                          <a:prstGeom prst="rect">
                            <a:avLst/>
                          </a:prstGeom>
                        </pic:spPr>
                      </pic:pic>
                      <wps:wsp>
                        <wps:cNvPr id="473" name="Textbox 473"/>
                        <wps:cNvSpPr txBox="1"/>
                        <wps:spPr>
                          <a:xfrm>
                            <a:off x="465836" y="1742373"/>
                            <a:ext cx="1482090" cy="444500"/>
                          </a:xfrm>
                          <a:prstGeom prst="rect">
                            <a:avLst/>
                          </a:prstGeom>
                        </wps:spPr>
                        <wps:txbx>
                          <w:txbxContent>
                            <w:p>
                              <w:pPr>
                                <w:spacing w:line="247" w:lineRule="auto" w:before="0"/>
                                <w:ind w:left="0" w:right="18" w:firstLine="0"/>
                                <w:jc w:val="center"/>
                                <w:rPr>
                                  <w:rFonts w:ascii="Arial MT" w:hAnsi="Arial MT"/>
                                  <w:sz w:val="15"/>
                                </w:rPr>
                              </w:pPr>
                              <w:r>
                                <w:rPr>
                                  <w:rFonts w:ascii="Arial MT" w:hAnsi="Arial MT"/>
                                  <w:color w:val="231F1F"/>
                                  <w:spacing w:val="-2"/>
                                  <w:sz w:val="15"/>
                                </w:rPr>
                                <w:t>Repetir</w:t>
                              </w:r>
                              <w:r>
                                <w:rPr>
                                  <w:rFonts w:ascii="Arial MT" w:hAnsi="Arial MT"/>
                                  <w:color w:val="231F1F"/>
                                  <w:spacing w:val="-9"/>
                                  <w:sz w:val="15"/>
                                </w:rPr>
                                <w:t> </w:t>
                              </w:r>
                              <w:r>
                                <w:rPr>
                                  <w:rFonts w:ascii="Arial MT" w:hAnsi="Arial MT"/>
                                  <w:color w:val="231F1F"/>
                                  <w:spacing w:val="-2"/>
                                  <w:sz w:val="15"/>
                                </w:rPr>
                                <w:t>el</w:t>
                              </w:r>
                              <w:r>
                                <w:rPr>
                                  <w:rFonts w:ascii="Arial MT" w:hAnsi="Arial MT"/>
                                  <w:color w:val="231F1F"/>
                                  <w:spacing w:val="-7"/>
                                  <w:sz w:val="15"/>
                                </w:rPr>
                                <w:t> </w:t>
                              </w:r>
                              <w:r>
                                <w:rPr>
                                  <w:rFonts w:ascii="Arial MT" w:hAnsi="Arial MT"/>
                                  <w:color w:val="231F1F"/>
                                  <w:spacing w:val="-2"/>
                                  <w:sz w:val="15"/>
                                </w:rPr>
                                <w:t>pH</w:t>
                              </w:r>
                              <w:r>
                                <w:rPr>
                                  <w:rFonts w:ascii="Arial MT" w:hAnsi="Arial MT"/>
                                  <w:color w:val="231F1F"/>
                                  <w:spacing w:val="-9"/>
                                  <w:sz w:val="15"/>
                                </w:rPr>
                                <w:t> </w:t>
                              </w:r>
                              <w:r>
                                <w:rPr>
                                  <w:rFonts w:ascii="Arial MT" w:hAnsi="Arial MT"/>
                                  <w:color w:val="231F1F"/>
                                  <w:spacing w:val="-2"/>
                                  <w:sz w:val="15"/>
                                </w:rPr>
                                <w:t>en</w:t>
                              </w:r>
                              <w:r>
                                <w:rPr>
                                  <w:rFonts w:ascii="Arial MT" w:hAnsi="Arial MT"/>
                                  <w:color w:val="231F1F"/>
                                  <w:spacing w:val="-9"/>
                                  <w:sz w:val="15"/>
                                </w:rPr>
                                <w:t> </w:t>
                              </w:r>
                              <w:r>
                                <w:rPr>
                                  <w:rFonts w:ascii="Arial MT" w:hAnsi="Arial MT"/>
                                  <w:color w:val="231F1F"/>
                                  <w:spacing w:val="-2"/>
                                  <w:sz w:val="15"/>
                                </w:rPr>
                                <w:t>1</w:t>
                              </w:r>
                              <w:r>
                                <w:rPr>
                                  <w:rFonts w:ascii="Arial MT" w:hAnsi="Arial MT"/>
                                  <w:color w:val="231F1F"/>
                                  <w:spacing w:val="-9"/>
                                  <w:sz w:val="15"/>
                                </w:rPr>
                                <w:t> </w:t>
                              </w:r>
                              <w:r>
                                <w:rPr>
                                  <w:rFonts w:ascii="Arial MT" w:hAnsi="Arial MT"/>
                                  <w:color w:val="231F1F"/>
                                  <w:spacing w:val="-2"/>
                                  <w:sz w:val="15"/>
                                </w:rPr>
                                <w:t>hora</w:t>
                              </w:r>
                              <w:r>
                                <w:rPr>
                                  <w:rFonts w:ascii="Arial MT" w:hAnsi="Arial MT"/>
                                  <w:color w:val="231F1F"/>
                                  <w:spacing w:val="-9"/>
                                  <w:sz w:val="15"/>
                                </w:rPr>
                                <w:t> </w:t>
                              </w:r>
                              <w:r>
                                <w:rPr>
                                  <w:rFonts w:ascii="Arial MT" w:hAnsi="Arial MT"/>
                                  <w:color w:val="231F1F"/>
                                  <w:spacing w:val="-2"/>
                                  <w:sz w:val="15"/>
                                </w:rPr>
                                <w:t>si</w:t>
                              </w:r>
                              <w:r>
                                <w:rPr>
                                  <w:rFonts w:ascii="Arial MT" w:hAnsi="Arial MT"/>
                                  <w:color w:val="231F1F"/>
                                  <w:spacing w:val="-7"/>
                                  <w:sz w:val="15"/>
                                </w:rPr>
                                <w:t> </w:t>
                              </w:r>
                              <w:r>
                                <w:rPr>
                                  <w:rFonts w:ascii="Arial MT" w:hAnsi="Arial MT"/>
                                  <w:color w:val="231F1F"/>
                                  <w:spacing w:val="-2"/>
                                  <w:sz w:val="15"/>
                                </w:rPr>
                                <w:t>el</w:t>
                              </w:r>
                              <w:r>
                                <w:rPr>
                                  <w:rFonts w:ascii="Arial MT" w:hAnsi="Arial MT"/>
                                  <w:color w:val="231F1F"/>
                                  <w:spacing w:val="-7"/>
                                  <w:sz w:val="15"/>
                                </w:rPr>
                                <w:t> </w:t>
                              </w:r>
                              <w:r>
                                <w:rPr>
                                  <w:rFonts w:ascii="Arial MT" w:hAnsi="Arial MT"/>
                                  <w:color w:val="231F1F"/>
                                  <w:spacing w:val="-2"/>
                                  <w:sz w:val="15"/>
                                </w:rPr>
                                <w:t>registro</w:t>
                              </w:r>
                              <w:r>
                                <w:rPr>
                                  <w:rFonts w:ascii="Arial MT" w:hAnsi="Arial MT"/>
                                  <w:color w:val="231F1F"/>
                                  <w:sz w:val="15"/>
                                </w:rPr>
                                <w:t> de la FCF continúa patológico o antes si aparecen anomalías adicionales en el trazado</w:t>
                              </w:r>
                            </w:p>
                          </w:txbxContent>
                        </wps:txbx>
                        <wps:bodyPr wrap="square" lIns="0" tIns="0" rIns="0" bIns="0" rtlCol="0">
                          <a:noAutofit/>
                        </wps:bodyPr>
                      </wps:wsp>
                      <wps:wsp>
                        <wps:cNvPr id="474" name="Textbox 474"/>
                        <wps:cNvSpPr txBox="1"/>
                        <wps:spPr>
                          <a:xfrm>
                            <a:off x="2172716" y="1772853"/>
                            <a:ext cx="1586865" cy="447040"/>
                          </a:xfrm>
                          <a:prstGeom prst="rect">
                            <a:avLst/>
                          </a:prstGeom>
                        </wps:spPr>
                        <wps:txbx>
                          <w:txbxContent>
                            <w:p>
                              <w:pPr>
                                <w:spacing w:line="249" w:lineRule="auto" w:before="0"/>
                                <w:ind w:left="0" w:right="18" w:hanging="1"/>
                                <w:jc w:val="center"/>
                                <w:rPr>
                                  <w:rFonts w:ascii="Arial MT" w:hAnsi="Arial MT"/>
                                  <w:sz w:val="15"/>
                                </w:rPr>
                              </w:pPr>
                              <w:r>
                                <w:rPr>
                                  <w:rFonts w:ascii="Arial MT" w:hAnsi="Arial MT"/>
                                  <w:color w:val="231F1F"/>
                                  <w:sz w:val="15"/>
                                </w:rPr>
                                <w:t>Repetir el pH en 30 minutos si el </w:t>
                              </w:r>
                              <w:r>
                                <w:rPr>
                                  <w:rFonts w:ascii="Arial MT" w:hAnsi="Arial MT"/>
                                  <w:color w:val="231F1F"/>
                                  <w:spacing w:val="-2"/>
                                  <w:sz w:val="15"/>
                                </w:rPr>
                                <w:t>registro</w:t>
                              </w:r>
                              <w:r>
                                <w:rPr>
                                  <w:rFonts w:ascii="Arial MT" w:hAnsi="Arial MT"/>
                                  <w:color w:val="231F1F"/>
                                  <w:spacing w:val="-7"/>
                                  <w:sz w:val="15"/>
                                </w:rPr>
                                <w:t> </w:t>
                              </w:r>
                              <w:r>
                                <w:rPr>
                                  <w:rFonts w:ascii="Arial MT" w:hAnsi="Arial MT"/>
                                  <w:color w:val="231F1F"/>
                                  <w:spacing w:val="-2"/>
                                  <w:sz w:val="15"/>
                                </w:rPr>
                                <w:t>de</w:t>
                              </w:r>
                              <w:r>
                                <w:rPr>
                                  <w:rFonts w:ascii="Arial MT" w:hAnsi="Arial MT"/>
                                  <w:color w:val="231F1F"/>
                                  <w:spacing w:val="-7"/>
                                  <w:sz w:val="15"/>
                                </w:rPr>
                                <w:t> </w:t>
                              </w:r>
                              <w:r>
                                <w:rPr>
                                  <w:rFonts w:ascii="Arial MT" w:hAnsi="Arial MT"/>
                                  <w:color w:val="231F1F"/>
                                  <w:spacing w:val="-2"/>
                                  <w:sz w:val="15"/>
                                </w:rPr>
                                <w:t>la</w:t>
                              </w:r>
                              <w:r>
                                <w:rPr>
                                  <w:rFonts w:ascii="Arial MT" w:hAnsi="Arial MT"/>
                                  <w:color w:val="231F1F"/>
                                  <w:spacing w:val="-7"/>
                                  <w:sz w:val="15"/>
                                </w:rPr>
                                <w:t> </w:t>
                              </w:r>
                              <w:r>
                                <w:rPr>
                                  <w:rFonts w:ascii="Arial MT" w:hAnsi="Arial MT"/>
                                  <w:color w:val="231F1F"/>
                                  <w:spacing w:val="-2"/>
                                  <w:sz w:val="15"/>
                                </w:rPr>
                                <w:t>FCF</w:t>
                              </w:r>
                              <w:r>
                                <w:rPr>
                                  <w:rFonts w:ascii="Arial MT" w:hAnsi="Arial MT"/>
                                  <w:color w:val="231F1F"/>
                                  <w:spacing w:val="-4"/>
                                  <w:sz w:val="15"/>
                                </w:rPr>
                                <w:t> </w:t>
                              </w:r>
                              <w:r>
                                <w:rPr>
                                  <w:rFonts w:ascii="Arial MT" w:hAnsi="Arial MT"/>
                                  <w:color w:val="231F1F"/>
                                  <w:spacing w:val="-2"/>
                                  <w:sz w:val="15"/>
                                </w:rPr>
                                <w:t>continúa</w:t>
                              </w:r>
                              <w:r>
                                <w:rPr>
                                  <w:rFonts w:ascii="Arial MT" w:hAnsi="Arial MT"/>
                                  <w:color w:val="231F1F"/>
                                  <w:spacing w:val="-7"/>
                                  <w:sz w:val="15"/>
                                </w:rPr>
                                <w:t> </w:t>
                              </w:r>
                              <w:r>
                                <w:rPr>
                                  <w:rFonts w:ascii="Arial MT" w:hAnsi="Arial MT"/>
                                  <w:color w:val="231F1F"/>
                                  <w:spacing w:val="-2"/>
                                  <w:sz w:val="15"/>
                                </w:rPr>
                                <w:t>patológico</w:t>
                              </w:r>
                              <w:r>
                                <w:rPr>
                                  <w:rFonts w:ascii="Arial MT" w:hAnsi="Arial MT"/>
                                  <w:color w:val="231F1F"/>
                                  <w:sz w:val="15"/>
                                </w:rPr>
                                <w:t> o antes si aparecen anomalías adicionales en el trazado</w:t>
                              </w:r>
                            </w:p>
                          </w:txbxContent>
                        </wps:txbx>
                        <wps:bodyPr wrap="square" lIns="0" tIns="0" rIns="0" bIns="0" rtlCol="0">
                          <a:noAutofit/>
                        </wps:bodyPr>
                      </wps:wsp>
                      <wps:wsp>
                        <wps:cNvPr id="475" name="Textbox 475"/>
                        <wps:cNvSpPr txBox="1"/>
                        <wps:spPr>
                          <a:xfrm>
                            <a:off x="4443476" y="2315397"/>
                            <a:ext cx="525780" cy="221615"/>
                          </a:xfrm>
                          <a:prstGeom prst="rect">
                            <a:avLst/>
                          </a:prstGeom>
                        </wps:spPr>
                        <wps:txbx>
                          <w:txbxContent>
                            <w:p>
                              <w:pPr>
                                <w:spacing w:line="254" w:lineRule="auto" w:before="0"/>
                                <w:ind w:left="0" w:right="18" w:firstLine="38"/>
                                <w:jc w:val="left"/>
                                <w:rPr>
                                  <w:rFonts w:ascii="Arial MT" w:hAnsi="Arial MT"/>
                                  <w:sz w:val="15"/>
                                </w:rPr>
                              </w:pPr>
                              <w:r>
                                <w:rPr>
                                  <w:rFonts w:ascii="Arial MT" w:hAnsi="Arial MT"/>
                                  <w:color w:val="231F1F"/>
                                  <w:spacing w:val="-2"/>
                                  <w:sz w:val="15"/>
                                </w:rPr>
                                <w:t>Extracción</w:t>
                              </w:r>
                              <w:r>
                                <w:rPr>
                                  <w:rFonts w:ascii="Arial MT" w:hAnsi="Arial MT"/>
                                  <w:color w:val="231F1F"/>
                                  <w:sz w:val="15"/>
                                </w:rPr>
                                <w:t> </w:t>
                              </w:r>
                              <w:r>
                                <w:rPr>
                                  <w:rFonts w:ascii="Arial MT" w:hAnsi="Arial MT"/>
                                  <w:color w:val="231F1F"/>
                                  <w:spacing w:val="-4"/>
                                  <w:sz w:val="15"/>
                                </w:rPr>
                                <w:t>fetal</w:t>
                              </w:r>
                              <w:r>
                                <w:rPr>
                                  <w:rFonts w:ascii="Arial MT" w:hAnsi="Arial MT"/>
                                  <w:color w:val="231F1F"/>
                                  <w:spacing w:val="-8"/>
                                  <w:sz w:val="15"/>
                                </w:rPr>
                                <w:t> </w:t>
                              </w:r>
                              <w:r>
                                <w:rPr>
                                  <w:rFonts w:ascii="Arial MT" w:hAnsi="Arial MT"/>
                                  <w:color w:val="231F1F"/>
                                  <w:spacing w:val="-4"/>
                                  <w:sz w:val="15"/>
                                </w:rPr>
                                <w:t>urgente</w:t>
                              </w:r>
                            </w:p>
                          </w:txbxContent>
                        </wps:txbx>
                        <wps:bodyPr wrap="square" lIns="0" tIns="0" rIns="0" bIns="0" rtlCol="0">
                          <a:noAutofit/>
                        </wps:bodyPr>
                      </wps:wsp>
                      <wps:wsp>
                        <wps:cNvPr id="476" name="Textbox 476"/>
                        <wps:cNvSpPr txBox="1"/>
                        <wps:spPr>
                          <a:xfrm>
                            <a:off x="1764284" y="2714685"/>
                            <a:ext cx="771525" cy="106045"/>
                          </a:xfrm>
                          <a:prstGeom prst="rect">
                            <a:avLst/>
                          </a:prstGeom>
                        </wps:spPr>
                        <wps:txbx>
                          <w:txbxContent>
                            <w:p>
                              <w:pPr>
                                <w:spacing w:line="166" w:lineRule="exact" w:before="0"/>
                                <w:ind w:left="0" w:right="0" w:firstLine="0"/>
                                <w:jc w:val="left"/>
                                <w:rPr>
                                  <w:rFonts w:ascii="Arial MT"/>
                                  <w:sz w:val="15"/>
                                </w:rPr>
                              </w:pPr>
                              <w:r>
                                <w:rPr>
                                  <w:rFonts w:ascii="Arial MT"/>
                                  <w:color w:val="231F1F"/>
                                  <w:spacing w:val="-2"/>
                                  <w:sz w:val="15"/>
                                </w:rPr>
                                <w:t>pH</w:t>
                              </w:r>
                              <w:r>
                                <w:rPr>
                                  <w:rFonts w:ascii="Arial MT"/>
                                  <w:color w:val="231F1F"/>
                                  <w:spacing w:val="-7"/>
                                  <w:sz w:val="15"/>
                                </w:rPr>
                                <w:t> </w:t>
                              </w:r>
                              <w:r>
                                <w:rPr>
                                  <w:rFonts w:ascii="Arial MT"/>
                                  <w:color w:val="231F1F"/>
                                  <w:spacing w:val="-2"/>
                                  <w:sz w:val="15"/>
                                </w:rPr>
                                <w:t>en</w:t>
                              </w:r>
                              <w:r>
                                <w:rPr>
                                  <w:rFonts w:ascii="Arial MT"/>
                                  <w:color w:val="231F1F"/>
                                  <w:spacing w:val="-6"/>
                                  <w:sz w:val="15"/>
                                </w:rPr>
                                <w:t> </w:t>
                              </w:r>
                              <w:r>
                                <w:rPr>
                                  <w:rFonts w:ascii="Arial MT"/>
                                  <w:color w:val="231F1F"/>
                                  <w:spacing w:val="-2"/>
                                  <w:sz w:val="15"/>
                                </w:rPr>
                                <w:t>sangre</w:t>
                              </w:r>
                              <w:r>
                                <w:rPr>
                                  <w:rFonts w:ascii="Arial MT"/>
                                  <w:color w:val="231F1F"/>
                                  <w:spacing w:val="-6"/>
                                  <w:sz w:val="15"/>
                                </w:rPr>
                                <w:t> </w:t>
                              </w:r>
                              <w:r>
                                <w:rPr>
                                  <w:rFonts w:ascii="Arial MT"/>
                                  <w:color w:val="231F1F"/>
                                  <w:spacing w:val="-2"/>
                                  <w:sz w:val="15"/>
                                </w:rPr>
                                <w:t>fetal</w:t>
                              </w:r>
                            </w:p>
                          </w:txbxContent>
                        </wps:txbx>
                        <wps:bodyPr wrap="square" lIns="0" tIns="0" rIns="0" bIns="0" rtlCol="0">
                          <a:noAutofit/>
                        </wps:bodyPr>
                      </wps:wsp>
                      <wps:wsp>
                        <wps:cNvPr id="477" name="Textbox 477"/>
                        <wps:cNvSpPr txBox="1"/>
                        <wps:spPr>
                          <a:xfrm>
                            <a:off x="2032508" y="3376100"/>
                            <a:ext cx="1890395" cy="106045"/>
                          </a:xfrm>
                          <a:prstGeom prst="rect">
                            <a:avLst/>
                          </a:prstGeom>
                        </wps:spPr>
                        <wps:txbx>
                          <w:txbxContent>
                            <w:p>
                              <w:pPr>
                                <w:tabs>
                                  <w:tab w:pos="878" w:val="left" w:leader="none"/>
                                  <w:tab w:pos="1924" w:val="left" w:leader="none"/>
                                  <w:tab w:pos="2409" w:val="left" w:leader="none"/>
                                </w:tabs>
                                <w:spacing w:line="166" w:lineRule="exact" w:before="0"/>
                                <w:ind w:left="0" w:right="0" w:firstLine="0"/>
                                <w:jc w:val="left"/>
                                <w:rPr>
                                  <w:rFonts w:ascii="Arial MT"/>
                                  <w:sz w:val="15"/>
                                </w:rPr>
                              </w:pPr>
                              <w:r>
                                <w:rPr>
                                  <w:rFonts w:ascii="Arial MT"/>
                                  <w:color w:val="231F1F"/>
                                  <w:spacing w:val="-2"/>
                                  <w:sz w:val="15"/>
                                </w:rPr>
                                <w:t>Dudoso</w:t>
                              </w:r>
                              <w:r>
                                <w:rPr>
                                  <w:rFonts w:ascii="Arial MT"/>
                                  <w:color w:val="231F1F"/>
                                  <w:sz w:val="15"/>
                                </w:rPr>
                                <w:tab/>
                              </w:r>
                              <w:r>
                                <w:rPr>
                                  <w:color w:val="231F1F"/>
                                  <w:sz w:val="15"/>
                                  <w:u w:val="single" w:color="231F1F"/>
                                </w:rPr>
                                <w:tab/>
                              </w:r>
                              <w:r>
                                <w:rPr>
                                  <w:color w:val="231F1F"/>
                                  <w:sz w:val="15"/>
                                </w:rPr>
                                <w:tab/>
                              </w:r>
                              <w:r>
                                <w:rPr>
                                  <w:rFonts w:ascii="Arial MT"/>
                                  <w:color w:val="231F1F"/>
                                  <w:spacing w:val="-2"/>
                                  <w:sz w:val="15"/>
                                </w:rPr>
                                <w:t>Anormal</w:t>
                              </w:r>
                            </w:p>
                          </w:txbxContent>
                        </wps:txbx>
                        <wps:bodyPr wrap="square" lIns="0" tIns="0" rIns="0" bIns="0" rtlCol="0">
                          <a:noAutofit/>
                        </wps:bodyPr>
                      </wps:wsp>
                      <wps:wsp>
                        <wps:cNvPr id="478" name="Textbox 478"/>
                        <wps:cNvSpPr txBox="1"/>
                        <wps:spPr>
                          <a:xfrm>
                            <a:off x="410972" y="4138100"/>
                            <a:ext cx="2339340" cy="447040"/>
                          </a:xfrm>
                          <a:prstGeom prst="rect">
                            <a:avLst/>
                          </a:prstGeom>
                        </wps:spPr>
                        <wps:txbx>
                          <w:txbxContent>
                            <w:p>
                              <w:pPr>
                                <w:spacing w:line="249" w:lineRule="auto" w:before="0"/>
                                <w:ind w:left="0" w:right="18" w:hanging="10"/>
                                <w:jc w:val="center"/>
                                <w:rPr>
                                  <w:rFonts w:ascii="Arial MT" w:hAnsi="Arial MT"/>
                                  <w:sz w:val="15"/>
                                </w:rPr>
                              </w:pPr>
                              <w:r>
                                <w:rPr>
                                  <w:rFonts w:ascii="Arial MT" w:hAnsi="Arial MT"/>
                                  <w:color w:val="231F1F"/>
                                  <w:sz w:val="15"/>
                                </w:rPr>
                                <w:t>Si el registro de la FCF permanece sin cambios y los resultados</w:t>
                              </w:r>
                              <w:r>
                                <w:rPr>
                                  <w:rFonts w:ascii="Arial MT" w:hAnsi="Arial MT"/>
                                  <w:color w:val="231F1F"/>
                                  <w:spacing w:val="-11"/>
                                  <w:sz w:val="15"/>
                                </w:rPr>
                                <w:t> </w:t>
                              </w:r>
                              <w:r>
                                <w:rPr>
                                  <w:rFonts w:ascii="Arial MT" w:hAnsi="Arial MT"/>
                                  <w:color w:val="231F1F"/>
                                  <w:sz w:val="15"/>
                                </w:rPr>
                                <w:t>del</w:t>
                              </w:r>
                              <w:r>
                                <w:rPr>
                                  <w:rFonts w:ascii="Arial MT" w:hAnsi="Arial MT"/>
                                  <w:color w:val="231F1F"/>
                                  <w:spacing w:val="-10"/>
                                  <w:sz w:val="15"/>
                                </w:rPr>
                                <w:t> </w:t>
                              </w:r>
                              <w:r>
                                <w:rPr>
                                  <w:rFonts w:ascii="Arial MT" w:hAnsi="Arial MT"/>
                                  <w:color w:val="231F1F"/>
                                  <w:sz w:val="15"/>
                                </w:rPr>
                                <w:t>pH</w:t>
                              </w:r>
                              <w:r>
                                <w:rPr>
                                  <w:rFonts w:ascii="Arial MT" w:hAnsi="Arial MT"/>
                                  <w:color w:val="231F1F"/>
                                  <w:spacing w:val="-11"/>
                                  <w:sz w:val="15"/>
                                </w:rPr>
                                <w:t> </w:t>
                              </w:r>
                              <w:r>
                                <w:rPr>
                                  <w:rFonts w:ascii="Arial MT" w:hAnsi="Arial MT"/>
                                  <w:color w:val="231F1F"/>
                                  <w:sz w:val="15"/>
                                </w:rPr>
                                <w:t>fetal</w:t>
                              </w:r>
                              <w:r>
                                <w:rPr>
                                  <w:rFonts w:ascii="Arial MT" w:hAnsi="Arial MT"/>
                                  <w:color w:val="231F1F"/>
                                  <w:spacing w:val="-10"/>
                                  <w:sz w:val="15"/>
                                </w:rPr>
                                <w:t> </w:t>
                              </w:r>
                              <w:r>
                                <w:rPr>
                                  <w:rFonts w:ascii="Arial MT" w:hAnsi="Arial MT"/>
                                  <w:color w:val="231F1F"/>
                                  <w:sz w:val="15"/>
                                </w:rPr>
                                <w:t>son</w:t>
                              </w:r>
                              <w:r>
                                <w:rPr>
                                  <w:rFonts w:ascii="Arial MT" w:hAnsi="Arial MT"/>
                                  <w:color w:val="231F1F"/>
                                  <w:spacing w:val="-11"/>
                                  <w:sz w:val="15"/>
                                </w:rPr>
                                <w:t> </w:t>
                              </w:r>
                              <w:r>
                                <w:rPr>
                                  <w:rFonts w:ascii="Arial MT" w:hAnsi="Arial MT"/>
                                  <w:color w:val="231F1F"/>
                                  <w:sz w:val="15"/>
                                </w:rPr>
                                <w:t>estables,</w:t>
                              </w:r>
                              <w:r>
                                <w:rPr>
                                  <w:rFonts w:ascii="Arial MT" w:hAnsi="Arial MT"/>
                                  <w:color w:val="231F1F"/>
                                  <w:spacing w:val="-10"/>
                                  <w:sz w:val="15"/>
                                </w:rPr>
                                <w:t> </w:t>
                              </w:r>
                              <w:r>
                                <w:rPr>
                                  <w:rFonts w:ascii="Arial MT" w:hAnsi="Arial MT"/>
                                  <w:color w:val="231F1F"/>
                                  <w:sz w:val="15"/>
                                </w:rPr>
                                <w:t>no</w:t>
                              </w:r>
                              <w:r>
                                <w:rPr>
                                  <w:rFonts w:ascii="Arial MT" w:hAnsi="Arial MT"/>
                                  <w:color w:val="231F1F"/>
                                  <w:spacing w:val="-10"/>
                                  <w:sz w:val="15"/>
                                </w:rPr>
                                <w:t> </w:t>
                              </w:r>
                              <w:r>
                                <w:rPr>
                                  <w:rFonts w:ascii="Arial MT" w:hAnsi="Arial MT"/>
                                  <w:color w:val="231F1F"/>
                                  <w:sz w:val="15"/>
                                </w:rPr>
                                <w:t>se</w:t>
                              </w:r>
                              <w:r>
                                <w:rPr>
                                  <w:rFonts w:ascii="Arial MT" w:hAnsi="Arial MT"/>
                                  <w:color w:val="231F1F"/>
                                  <w:spacing w:val="-11"/>
                                  <w:sz w:val="15"/>
                                </w:rPr>
                                <w:t> </w:t>
                              </w:r>
                              <w:r>
                                <w:rPr>
                                  <w:rFonts w:ascii="Arial MT" w:hAnsi="Arial MT"/>
                                  <w:color w:val="231F1F"/>
                                  <w:sz w:val="15"/>
                                </w:rPr>
                                <w:t>debe</w:t>
                              </w:r>
                              <w:r>
                                <w:rPr>
                                  <w:rFonts w:ascii="Arial MT" w:hAnsi="Arial MT"/>
                                  <w:color w:val="231F1F"/>
                                  <w:spacing w:val="-10"/>
                                  <w:sz w:val="15"/>
                                </w:rPr>
                                <w:t> </w:t>
                              </w:r>
                              <w:r>
                                <w:rPr>
                                  <w:rFonts w:ascii="Arial MT" w:hAnsi="Arial MT"/>
                                  <w:color w:val="231F1F"/>
                                  <w:sz w:val="15"/>
                                </w:rPr>
                                <w:t>realizar un tercer pH a menos que aparezcan anomalías adicionales en el trazado</w:t>
                              </w:r>
                            </w:p>
                          </w:txbxContent>
                        </wps:txbx>
                        <wps:bodyPr wrap="square" lIns="0" tIns="0" rIns="0" bIns="0" rtlCol="0">
                          <a:noAutofit/>
                        </wps:bodyPr>
                      </wps:wsp>
                      <wps:wsp>
                        <wps:cNvPr id="479" name="Textbox 479"/>
                        <wps:cNvSpPr txBox="1"/>
                        <wps:spPr>
                          <a:xfrm>
                            <a:off x="3056636" y="4223444"/>
                            <a:ext cx="409575" cy="218440"/>
                          </a:xfrm>
                          <a:prstGeom prst="rect">
                            <a:avLst/>
                          </a:prstGeom>
                        </wps:spPr>
                        <wps:txbx>
                          <w:txbxContent>
                            <w:p>
                              <w:pPr>
                                <w:spacing w:line="247" w:lineRule="auto" w:before="0"/>
                                <w:ind w:left="0" w:right="18" w:firstLine="0"/>
                                <w:jc w:val="left"/>
                                <w:rPr>
                                  <w:rFonts w:ascii="Arial MT"/>
                                  <w:sz w:val="15"/>
                                </w:rPr>
                              </w:pPr>
                              <w:r>
                                <w:rPr>
                                  <w:rFonts w:ascii="Arial MT"/>
                                  <w:color w:val="231F1F"/>
                                  <w:spacing w:val="-6"/>
                                  <w:sz w:val="15"/>
                                </w:rPr>
                                <w:t>Tercer</w:t>
                              </w:r>
                              <w:r>
                                <w:rPr>
                                  <w:rFonts w:ascii="Arial MT"/>
                                  <w:color w:val="231F1F"/>
                                  <w:spacing w:val="-17"/>
                                  <w:sz w:val="15"/>
                                </w:rPr>
                                <w:t> </w:t>
                              </w:r>
                              <w:r>
                                <w:rPr>
                                  <w:rFonts w:ascii="Arial MT"/>
                                  <w:color w:val="231F1F"/>
                                  <w:spacing w:val="-6"/>
                                  <w:sz w:val="15"/>
                                </w:rPr>
                                <w:t>pH</w:t>
                              </w:r>
                              <w:r>
                                <w:rPr>
                                  <w:rFonts w:ascii="Arial MT"/>
                                  <w:color w:val="231F1F"/>
                                  <w:sz w:val="15"/>
                                </w:rPr>
                                <w:t> </w:t>
                              </w:r>
                              <w:r>
                                <w:rPr>
                                  <w:rFonts w:ascii="Arial MT"/>
                                  <w:color w:val="231F1F"/>
                                  <w:spacing w:val="-5"/>
                                  <w:sz w:val="15"/>
                                </w:rPr>
                                <w:t>necesario</w:t>
                              </w:r>
                            </w:p>
                          </w:txbxContent>
                        </wps:txbx>
                        <wps:bodyPr wrap="square" lIns="0" tIns="0" rIns="0" bIns="0" rtlCol="0">
                          <a:noAutofit/>
                        </wps:bodyPr>
                      </wps:wsp>
                    </wpg:wgp>
                  </a:graphicData>
                </a:graphic>
              </wp:anchor>
            </w:drawing>
          </mc:Choice>
          <mc:Fallback>
            <w:pict>
              <v:group style="position:absolute;margin-left:84.999939pt;margin-top:14.599063pt;width:425.2pt;height:389.5pt;mso-position-horizontal-relative:page;mso-position-vertical-relative:paragraph;z-index:-15654400;mso-wrap-distance-left:0;mso-wrap-distance-right:0" id="docshapegroup343" coordorigin="1700,292" coordsize="8504,7790">
                <v:shape style="position:absolute;left:2651;top:1437;width:6494;height:5201" id="docshape344" coordorigin="2652,1438" coordsize="6494,5201" path="m3564,1438l9145,1438m9113,2141l9113,3560m2652,6106l2652,6366m2652,6366l5122,6366m4147,6372l4153,6372m6826,5783l6826,6639e" filled="false" stroked="true" strokeweight=".374961pt" strokecolor="#231f1f">
                  <v:path arrowok="t"/>
                  <v:stroke dashstyle="solid"/>
                </v:shape>
                <v:rect style="position:absolute;left:1705;top:296;width:8494;height:7780" id="docshape345" filled="false" stroked="true" strokeweight=".499922pt" strokecolor="#a30046">
                  <v:stroke dashstyle="solid"/>
                </v:rect>
                <v:shape style="position:absolute;left:3076;top:1805;width:995;height:324" id="docshape346" coordorigin="3076,1805" coordsize="995,324" path="m3909,1805l3238,1805,3175,1818,3123,1852,3089,1904,3076,1967,3089,2030,3123,2081,3175,2115,3238,2128,3909,2128,3972,2115,4023,2081,4058,2030,4071,1967,4058,1904,4023,1852,3972,1818,3909,1805xe" filled="true" fillcolor="#efcacc" stroked="false">
                  <v:path arrowok="t"/>
                  <v:fill type="solid"/>
                </v:shape>
                <v:shape style="position:absolute;left:3076;top:1805;width:995;height:324" id="docshape347" coordorigin="3076,1805" coordsize="995,324" path="m4071,1967l4058,2030,4023,2081,3972,2115,3909,2128,3238,2128,3175,2115,3123,2081,3089,2030,3076,1967,3089,1904,3123,1852,3175,1818,3238,1805,3909,1805,3972,1818,4023,1852,4058,1904,4071,1967xe" filled="false" stroked="true" strokeweight=".374961pt" strokecolor="#cf4d69">
                  <v:path arrowok="t"/>
                  <v:stroke dashstyle="solid"/>
                </v:shape>
                <v:line style="position:absolute" from="3570,2141" to="3570,2749" stroked="true" strokeweight=".374961pt" strokecolor="#231f1f">
                  <v:stroke dashstyle="solid"/>
                </v:line>
                <v:shape style="position:absolute;left:3527;top:2719;width:88;height:163" id="docshape348" coordorigin="3527,2719" coordsize="88,163" path="m3614,2719l3527,2719,3571,2882,3614,2719xe" filled="true" fillcolor="#231f1f" stroked="false">
                  <v:path arrowok="t"/>
                  <v:fill type="solid"/>
                </v:shape>
                <v:line style="position:absolute" from="3564,1438" to="3564,1659" stroked="true" strokeweight=".374961pt" strokecolor="#231f1f">
                  <v:stroke dashstyle="solid"/>
                </v:line>
                <v:shape style="position:absolute;left:3520;top:1629;width:88;height:163" id="docshape349" coordorigin="3521,1630" coordsize="88,163" path="m3608,1630l3521,1630,3564,1792,3608,1630xe" filled="true" fillcolor="#231f1f" stroked="false">
                  <v:path arrowok="t"/>
                  <v:fill type="solid"/>
                </v:shape>
                <v:shape style="position:absolute;left:8618;top:1773;width:1001;height:349" id="docshape350" coordorigin="8619,1773" coordsize="1001,349" path="m9446,1773l8793,1773,8725,1787,8670,1825,8633,1880,8619,1948,8633,2015,8670,2071,8725,2108,8793,2122,9446,2122,9513,2108,9569,2071,9606,2015,9620,1948,9606,1880,9569,1825,9513,1787,9446,1773xe" filled="true" fillcolor="#efcacc" stroked="false">
                  <v:path arrowok="t"/>
                  <v:fill type="solid"/>
                </v:shape>
                <v:shape style="position:absolute;left:8618;top:1773;width:1001;height:349" id="docshape351" coordorigin="8619,1773" coordsize="1001,349" path="m9620,1948l9606,2015,9569,2071,9513,2108,9446,2122,8793,2122,8725,2108,8670,2071,8633,2015,8619,1948,8633,1880,8670,1824,8725,1787,8793,1773,9446,1773,9513,1787,9569,1824,9606,1880,9620,1948xe" filled="false" stroked="true" strokeweight=".374961pt" strokecolor="#cf4d69">
                  <v:path arrowok="t"/>
                  <v:stroke dashstyle="solid"/>
                </v:shape>
                <v:shape style="position:absolute;left:5749;top:1792;width:1204;height:330" id="docshape352" coordorigin="5749,1792" coordsize="1204,330" path="m6788,1792l5914,1792,5850,1805,5798,1841,5762,1893,5749,1957,5762,2021,5798,2074,5850,2109,5914,2122,6788,2122,6852,2109,6905,2074,6940,2021,6953,1957,6940,1893,6905,1841,6852,1805,6788,1792xe" filled="true" fillcolor="#efcacc" stroked="false">
                  <v:path arrowok="t"/>
                  <v:fill type="solid"/>
                </v:shape>
                <v:shape style="position:absolute;left:5749;top:1792;width:1204;height:330" id="docshape353" coordorigin="5749,1792" coordsize="1204,330" path="m6953,1957l6940,2021,6905,2074,6852,2109,6788,2122,5914,2122,5850,2109,5798,2074,5762,2021,5749,1957,5762,1893,5798,1841,5850,1805,5914,1792,6788,1792,6852,1805,6905,1841,6940,1893,6953,1957xe" filled="false" stroked="true" strokeweight=".374961pt" strokecolor="#cf4d69">
                  <v:path arrowok="t"/>
                  <v:stroke dashstyle="solid"/>
                </v:shape>
                <v:shape style="position:absolute;left:5559;top:721;width:1591;height:374" id="docshape354" coordorigin="5559,722" coordsize="1591,374" path="m6962,722l5746,722,5673,737,5614,777,5574,836,5559,909,5574,982,5614,1041,5673,1081,5746,1096,6962,1096,7035,1081,7095,1041,7135,982,7149,909,7135,836,7095,777,7035,737,6962,722xe" filled="true" fillcolor="#efcacc" stroked="false">
                  <v:path arrowok="t"/>
                  <v:fill type="solid"/>
                </v:shape>
                <v:shape style="position:absolute;left:5559;top:721;width:1591;height:374" id="docshape355" coordorigin="5559,722" coordsize="1591,374" path="m7149,909l7135,982,7095,1041,7035,1081,6962,1096,5746,1096,5673,1081,5614,1041,5574,982,5559,909,5574,836,5614,777,5673,737,5746,722,6962,722,7035,737,7095,777,7135,836,7149,909xe" filled="false" stroked="true" strokeweight=".374961pt" strokecolor="#cf4d69">
                  <v:path arrowok="t"/>
                  <v:stroke dashstyle="solid"/>
                </v:shape>
                <v:line style="position:absolute" from="9145,1438" to="9145,1621" stroked="true" strokeweight=".374961pt" strokecolor="#231f1f">
                  <v:stroke dashstyle="solid"/>
                </v:line>
                <v:shape style="position:absolute;left:9101;top:1591;width:88;height:163" id="docshape356" coordorigin="9102,1592" coordsize="88,163" path="m9189,1592l9102,1592,9145,1754,9189,1592xe" filled="true" fillcolor="#231f1f" stroked="false">
                  <v:path arrowok="t"/>
                  <v:fill type="solid"/>
                </v:shape>
                <v:line style="position:absolute" from="6338,1089" to="6338,1672" stroked="true" strokeweight=".374961pt" strokecolor="#231f1f">
                  <v:stroke dashstyle="solid"/>
                </v:line>
                <v:shape style="position:absolute;left:6295;top:1642;width:88;height:163" id="docshape357" coordorigin="6295,1642" coordsize="88,163" path="m6383,1642l6295,1642,6339,1805,6383,1642xe" filled="true" fillcolor="#231f1f" stroked="false">
                  <v:path arrowok="t"/>
                  <v:fill type="solid"/>
                </v:shape>
                <v:line style="position:absolute" from="6338,2128" to="6338,2768" stroked="true" strokeweight=".374961pt" strokecolor="#231f1f">
                  <v:stroke dashstyle="solid"/>
                </v:line>
                <v:shape style="position:absolute;left:6295;top:2738;width:88;height:163" id="docshape358" coordorigin="6295,2738" coordsize="88,163" path="m6383,2738l6295,2738,6339,2901,6383,2738xe" filled="true" fillcolor="#231f1f" stroked="false">
                  <v:path arrowok="t"/>
                  <v:fill type="solid"/>
                </v:shape>
                <v:shape style="position:absolute;left:2157;top:5510;width:1014;height:583" id="docshape359" coordorigin="2158,5511" coordsize="1014,583" path="m2880,5511l2449,5511,2371,5521,2302,5551,2243,5596,2197,5655,2168,5725,2158,5802,2168,5880,2197,5949,2243,6008,2302,6054,2371,6083,2449,6094,2880,6094,2957,6083,3027,6054,3086,6008,3131,5949,3161,5880,3171,5802,3161,5725,3131,5655,3086,5596,3027,5551,2957,5521,2880,5511xe" filled="true" fillcolor="#efcacc" stroked="false">
                  <v:path arrowok="t"/>
                  <v:fill type="solid"/>
                </v:shape>
                <v:shape style="position:absolute;left:2157;top:5510;width:1014;height:583" id="docshape360" coordorigin="2158,5511" coordsize="1014,583" path="m3171,5802l3161,5880,3131,5949,3086,6008,3027,6054,2957,6083,2880,6094,2449,6094,2371,6083,2302,6054,2243,6008,2197,5949,2168,5880,2158,5802,2168,5725,2197,5655,2243,5596,2302,5551,2371,5521,2449,5511,2880,5511,2957,5521,3027,5551,3086,5596,3131,5655,3161,5725,3171,5802xe" filled="false" stroked="true" strokeweight=".374961pt" strokecolor="#cf4d69">
                  <v:path arrowok="t"/>
                  <v:stroke dashstyle="solid"/>
                </v:shape>
                <v:shape style="position:absolute;left:4539;top:5523;width:1210;height:583" id="docshape361" coordorigin="4539,5524" coordsize="1210,583" path="m5458,5524l4831,5524,4753,5534,4684,5563,4625,5609,4579,5668,4550,5738,4539,5815,4550,5892,4579,5962,4625,6021,4684,6067,4753,6096,4831,6106,5458,6106,5535,6096,5605,6067,5664,6021,5710,5962,5739,5892,5749,5815,5739,5738,5710,5668,5664,5609,5605,5563,5535,5534,5458,5524xe" filled="true" fillcolor="#efcacc" stroked="false">
                  <v:path arrowok="t"/>
                  <v:fill type="solid"/>
                </v:shape>
                <v:line style="position:absolute" from="5122,6366" to="5122,6106" stroked="true" strokeweight=".374961pt" strokecolor="#231f1f">
                  <v:stroke dashstyle="solid"/>
                </v:line>
                <v:shape style="position:absolute;left:4539;top:5523;width:1210;height:583" id="docshape362" coordorigin="4539,5524" coordsize="1210,583" path="m5749,5815l5739,5892,5710,5962,5664,6021,5605,6067,5535,6096,5458,6106,4831,6106,4753,6096,4684,6067,4625,6021,4579,5962,4550,5892,4539,5815,4550,5738,4579,5668,4625,5609,4684,5563,4753,5534,4831,5524,5458,5524,5535,5534,5605,5563,5664,5609,5710,5668,5739,5738,5749,5815xe" filled="false" stroked="true" strokeweight=".374961pt" strokecolor="#cf4d69">
                  <v:path arrowok="t"/>
                  <v:stroke dashstyle="solid"/>
                </v:shape>
                <v:shape style="position:absolute;left:7066;top:5491;width:1033;height:590" id="docshape363" coordorigin="7067,5492" coordsize="1033,590" path="m7805,5492l7361,5492,7283,5502,7213,5532,7153,5578,7107,5638,7077,5708,7067,5787,7077,5865,7107,5935,7153,5995,7213,6041,7283,6071,7361,6081,7805,6081,7883,6071,7954,6041,8013,5995,8059,5935,8089,5865,8099,5787,8089,5708,8059,5638,8013,5578,7954,5532,7883,5502,7805,5492xe" filled="true" fillcolor="#efcacc" stroked="false">
                  <v:path arrowok="t"/>
                  <v:fill type="solid"/>
                </v:shape>
                <v:shape style="position:absolute;left:7066;top:5491;width:1033;height:590" id="docshape364" coordorigin="7067,5492" coordsize="1033,590" path="m8099,5786l8089,5865,8059,5935,8013,5995,7954,6041,7883,6071,7805,6081,7361,6081,7283,6071,7213,6041,7153,5995,7107,5935,7077,5865,7067,5786,7077,5708,7107,5638,7153,5578,7213,5532,7283,5502,7361,5492,7805,5492,7883,5502,7954,5532,8013,5578,8059,5638,8089,5708,8099,5786xe" filled="false" stroked="true" strokeweight=".374961pt" strokecolor="#cf4d69">
                  <v:path arrowok="t"/>
                  <v:stroke dashstyle="solid"/>
                </v:shape>
                <v:shape style="position:absolute;left:4342;top:4446;width:1578;height:368" id="docshape365" coordorigin="4343,4447" coordsize="1578,368" path="m5737,4447l4527,4447,4455,4461,4397,4501,4357,4559,4343,4630,4357,4702,4397,4760,4455,4800,4527,4814,5737,4814,5808,4800,5866,4760,5906,4702,5920,4630,5906,4559,5866,4501,5808,4461,5737,4447xe" filled="true" fillcolor="#efcacc" stroked="false">
                  <v:path arrowok="t"/>
                  <v:fill type="solid"/>
                </v:shape>
                <v:shape style="position:absolute;left:4342;top:4446;width:1578;height:368" id="docshape366" coordorigin="4343,4447" coordsize="1578,368" path="m5920,4630l5906,4702,5867,4760,5808,4800,5737,4814,4527,4814,4455,4800,4397,4760,4357,4702,4343,4630,4357,4559,4397,4501,4455,4461,4527,4447,5737,4447,5808,4461,5867,4501,5906,4559,5920,4630xe" filled="false" stroked="true" strokeweight=".374961pt" strokecolor="#cf4d69">
                  <v:path arrowok="t"/>
                  <v:stroke dashstyle="solid"/>
                </v:shape>
                <v:shape style="position:absolute;left:2208;top:2926;width:2705;height:995" id="docshape367" coordorigin="2208,2926" coordsize="2705,995" path="m4613,2926l2508,2926,2439,2934,2376,2957,2321,2992,2274,3039,2239,3094,2216,3158,2208,3226,2208,3621,2216,3690,2239,3753,2274,3809,2321,3855,2376,3890,2439,3913,2508,3921,4613,3921,4682,3913,4745,3890,4801,3855,4847,3809,4883,3753,4905,3690,4913,3621,4913,3226,4905,3158,4883,3094,4847,3039,4801,2992,4745,2957,4682,2934,4613,2926xe" filled="true" fillcolor="#efcacc" stroked="false">
                  <v:path arrowok="t"/>
                  <v:fill type="solid"/>
                </v:shape>
                <v:shape style="position:absolute;left:2208;top:2926;width:2705;height:995" id="docshape368" coordorigin="2208,2926" coordsize="2705,995" path="m4913,3621l4905,3690,4883,3753,4847,3809,4801,3855,4745,3890,4682,3913,4613,3921,2508,3921,2439,3913,2376,3890,2321,3855,2274,3809,2239,3753,2216,3690,2208,3621,2208,3226,2216,3158,2239,3094,2274,3039,2321,2992,2376,2957,2439,2934,2508,2926,4613,2926,4682,2934,4745,2957,4801,2992,4847,3039,4883,3094,4905,3158,4913,3226,4913,3621xe" filled="false" stroked="true" strokeweight=".374961pt" strokecolor="#cf4d69">
                  <v:path arrowok="t"/>
                  <v:stroke dashstyle="solid"/>
                </v:shape>
                <v:shape style="position:absolute;left:5071;top:2939;width:2648;height:963" id="docshape369" coordorigin="5071,2939" coordsize="2648,963" path="m7419,2939l5371,2939,5303,2947,5240,2970,5184,3005,5137,3051,5102,3107,5079,3170,5071,3239,5071,3602,5079,3671,5102,3734,5137,3790,5184,3836,5240,3871,5303,3894,5371,3902,7419,3902,7488,3894,7551,3871,7607,3836,7654,3790,7689,3734,7711,3671,7719,3602,7719,3239,7711,3170,7689,3107,7654,3051,7607,3005,7551,2970,7488,2947,7419,2939xe" filled="true" fillcolor="#efcacc" stroked="false">
                  <v:path arrowok="t"/>
                  <v:fill type="solid"/>
                </v:shape>
                <v:shape style="position:absolute;left:5071;top:2939;width:2648;height:963" id="docshape370" coordorigin="5071,2939" coordsize="2648,963" path="m7719,3602l7711,3671,7689,3734,7653,3790,7607,3836,7551,3871,7488,3894,7419,3902,5371,3902,5303,3894,5240,3871,5184,3836,5137,3790,5102,3734,5079,3671,5071,3602,5071,3239,5079,3170,5102,3107,5137,3051,5184,3005,5240,2970,5303,2947,5371,2939,7419,2939,7488,2947,7551,2970,7607,3005,7653,3051,7689,3107,7711,3170,7719,3239,7719,3602xe" filled="false" stroked="true" strokeweight=".374961pt" strokecolor="#cf4d69">
                  <v:path arrowok="t"/>
                  <v:stroke dashstyle="solid"/>
                </v:shape>
                <v:shape style="position:absolute;left:8466;top:3825;width:1280;height:545" id="docshape371" coordorigin="8467,3826" coordsize="1280,545" path="m9474,3826l8739,3826,8667,3836,8602,3863,8547,3906,8504,3961,8477,4026,8467,4098,8477,4171,8504,4236,8547,4291,8602,4334,8667,4361,8739,4371,9474,4371,9547,4361,9612,4334,9667,4291,9709,4236,9737,4171,9746,4098,9737,4026,9709,3961,9667,3906,9612,3863,9547,3836,9474,3826xe" filled="true" fillcolor="#efcacc" stroked="false">
                  <v:path arrowok="t"/>
                  <v:fill type="solid"/>
                </v:shape>
                <v:shape style="position:absolute;left:8466;top:3825;width:1280;height:545" id="docshape372" coordorigin="8467,3826" coordsize="1280,545" path="m9746,4098l9737,4171,9709,4236,9667,4291,9612,4334,9547,4361,9474,4371,8739,4371,8667,4361,8602,4334,8547,4291,8504,4236,8477,4171,8467,4098,8477,4026,8504,3961,8547,3906,8602,3863,8667,3836,8739,3826,9474,3826,9547,3836,9612,3863,9667,3906,9709,3961,9737,4026,9746,4098xe" filled="false" stroked="true" strokeweight=".374961pt" strokecolor="#cf4d69">
                  <v:path arrowok="t"/>
                  <v:stroke dashstyle="solid"/>
                </v:shape>
                <v:shape style="position:absolute;left:3557;top:3939;width:2788;height:387" id="docshape373" coordorigin="3557,3940" coordsize="2788,387" path="m3557,3940l3557,4200m3557,4200l6345,4200m5116,4193l5116,4326e" filled="false" stroked="true" strokeweight=".374961pt" strokecolor="#231f1f">
                  <v:path arrowok="t"/>
                  <v:stroke dashstyle="solid"/>
                </v:shape>
                <v:shape style="position:absolute;left:5072;top:3530;width:4085;height:930" id="docshape374" coordorigin="5073,3530" coordsize="4085,930" path="m5160,4297l5073,4297,5116,4459,5160,4297xm9157,3530l9070,3530,9114,3693,9157,3530xe" filled="true" fillcolor="#231f1f" stroked="false">
                  <v:path arrowok="t"/>
                  <v:fill type="solid"/>
                </v:shape>
                <v:shape style="position:absolute;left:2638;top:5149;width:4935;height:203" id="docshape375" coordorigin="2639,5150" coordsize="4935,203" path="m2639,5150l7574,5150m7574,5150l7574,5353e" filled="false" stroked="true" strokeweight=".374961pt" strokecolor="#231f1f">
                  <v:path arrowok="t"/>
                  <v:stroke dashstyle="solid"/>
                </v:shape>
                <v:shape style="position:absolute;left:7530;top:5322;width:88;height:163" id="docshape376" coordorigin="7531,5323" coordsize="88,163" path="m7618,5323l7531,5323,7574,5485,7618,5323xe" filled="true" fillcolor="#231f1f" stroked="false">
                  <v:path arrowok="t"/>
                  <v:fill type="solid"/>
                </v:shape>
                <v:line style="position:absolute" from="2639,5150" to="2639,5372" stroked="true" strokeweight=".374961pt" strokecolor="#231f1f">
                  <v:stroke dashstyle="solid"/>
                </v:line>
                <v:shape style="position:absolute;left:2595;top:5341;width:88;height:163" id="docshape377" coordorigin="2596,5342" coordsize="88,163" path="m2683,5342l2596,5342,2639,5504,2683,5342xe" filled="true" fillcolor="#231f1f" stroked="false">
                  <v:path arrowok="t"/>
                  <v:fill type="solid"/>
                </v:shape>
                <v:shape style="position:absolute;left:8099;top:4611;width:1008;height:1191" id="docshape378" coordorigin="8099,4611" coordsize="1008,1191" path="m8099,5787l9107,5787m9107,5802l9107,4611e" filled="false" stroked="true" strokeweight=".374961pt" strokecolor="#231f1f">
                  <v:path arrowok="t"/>
                  <v:stroke dashstyle="solid"/>
                </v:shape>
                <v:shape style="position:absolute;left:9062;top:4478;width:88;height:163" id="docshape379" coordorigin="9063,4479" coordsize="88,163" path="m9106,4479l9063,4641,9150,4641,9106,4479xe" filled="true" fillcolor="#231f1f" stroked="false">
                  <v:path arrowok="t"/>
                  <v:fill type="solid"/>
                </v:shape>
                <v:line style="position:absolute" from="5103,4814" to="5103,5365" stroked="true" strokeweight=".374961pt" strokecolor="#231f1f">
                  <v:stroke dashstyle="solid"/>
                </v:line>
                <v:shape style="position:absolute;left:5060;top:5335;width:88;height:163" id="docshape380" coordorigin="5060,5336" coordsize="88,163" path="m5147,5336l5060,5336,5104,5498,5147,5336xe" filled="true" fillcolor="#231f1f" stroked="false">
                  <v:path arrowok="t"/>
                  <v:fill type="solid"/>
                </v:shape>
                <v:line style="position:absolute" from="6344,4193" to="6344,3921" stroked="true" strokeweight=".374961pt" strokecolor="#231f1f">
                  <v:stroke dashstyle="solid"/>
                </v:line>
                <v:shape style="position:absolute;left:2176;top:6651;width:4017;height:1001" id="docshape381" coordorigin="2177,6651" coordsize="4017,1001" path="m5893,6651l2477,6651,2408,6659,2345,6682,2289,6717,2242,6764,2207,6819,2184,6882,2177,6951,2177,7352,2184,7421,2207,7484,2242,7540,2289,7586,2345,7622,2408,7644,2477,7652,5893,7652,5962,7644,6025,7622,6080,7586,6127,7540,6162,7484,6185,7421,6193,7352,6193,6951,6185,6882,6162,6819,6127,6764,6080,6717,6025,6682,5962,6659,5893,6651xe" filled="true" fillcolor="#efcacc" stroked="false">
                  <v:path arrowok="t"/>
                  <v:fill type="solid"/>
                </v:shape>
                <v:shape style="position:absolute;left:2176;top:6651;width:4017;height:1001" id="docshape382" coordorigin="2177,6651" coordsize="4017,1001" path="m6193,7352l6185,7421,6162,7484,6127,7540,6080,7586,6025,7622,5961,7644,5893,7652,2477,7652,2408,7644,2345,7622,2289,7586,2242,7540,2207,7484,2184,7421,2177,7352,2177,6951,2184,6882,2207,6819,2242,6764,2289,6717,2345,6682,2408,6659,2477,6651,5893,6651,5961,6659,6025,6682,6080,6717,6127,6764,6162,6819,6185,6882,6193,6951,6193,7352xe" filled="false" stroked="true" strokeweight=".374961pt" strokecolor="#cf4d69">
                  <v:path arrowok="t"/>
                  <v:stroke dashstyle="solid"/>
                </v:shape>
                <v:shape style="position:absolute;left:6332;top:6822;width:1014;height:583" id="docshape383" coordorigin="6332,6822" coordsize="1014,583" path="m7054,6822l6623,6822,6546,6833,6476,6862,6417,6908,6372,6967,6342,7036,6332,7114,6342,7191,6372,7261,6417,7320,6476,7365,6546,7395,6623,7405,7054,7405,7132,7395,7201,7365,7260,7320,7306,7261,7335,7191,7346,7114,7335,7036,7306,6967,7260,6908,7201,6862,7132,6833,7054,6822xe" filled="true" fillcolor="#efcacc" stroked="false">
                  <v:path arrowok="t"/>
                  <v:fill type="solid"/>
                </v:shape>
                <v:shape style="position:absolute;left:6332;top:6822;width:1014;height:583" id="docshape384" coordorigin="6332,6822" coordsize="1014,583" path="m7346,7114l7335,7191,7306,7261,7260,7320,7201,7365,7132,7395,7054,7405,6624,7405,6546,7395,6476,7365,6417,7320,6372,7261,6343,7191,6332,7114,6343,7036,6372,6967,6417,6908,6476,6862,6546,6833,6624,6822,7054,6822,7132,6833,7201,6862,7260,6908,7306,6967,7335,7036,7346,7114xe" filled="false" stroked="true" strokeweight=".374961pt" strokecolor="#cf4d69">
                  <v:path arrowok="t"/>
                  <v:stroke dashstyle="solid"/>
                </v:shape>
                <v:line style="position:absolute" from="4153,6372" to="4153,6512" stroked="true" strokeweight=".374961pt" strokecolor="#231f1f">
                  <v:stroke dashstyle="solid"/>
                </v:line>
                <v:shape style="position:absolute;left:4109;top:6482;width:2761;height:290" id="docshape385" coordorigin="4110,6482" coordsize="2761,290" path="m4197,6482l4110,6482,4153,6645,4197,6482xm6870,6609l6783,6609,6827,6771,6870,6609xe" filled="true" fillcolor="#231f1f" stroked="false">
                  <v:path arrowok="t"/>
                  <v:fill type="solid"/>
                </v:shape>
                <v:shape style="position:absolute;left:4662;top:5838;width:203;height:154" type="#_x0000_t75" id="docshape386" stroked="false">
                  <v:imagedata r:id="rId87" o:title=""/>
                </v:shape>
                <v:shape style="position:absolute;left:4928;top:5838;width:725;height:145" type="#_x0000_t75" id="docshape387" stroked="false">
                  <v:imagedata r:id="rId88" o:title=""/>
                </v:shape>
                <v:shape style="position:absolute;left:7216;top:5838;width:203;height:154" type="#_x0000_t75" id="docshape388" stroked="false">
                  <v:imagedata r:id="rId89" o:title=""/>
                </v:shape>
                <v:shape style="position:absolute;left:7488;top:5858;width:84;height:82" id="docshape389" coordorigin="7488,5859" coordsize="84,82" path="m7572,5859l7488,5893,7488,5906,7572,5940,7572,5926,7505,5900,7572,5874,7572,5859xe" filled="true" fillcolor="#231f1f" stroked="false">
                  <v:path arrowok="t"/>
                  <v:fill type="solid"/>
                </v:shape>
                <v:shape style="position:absolute;left:7640;top:5838;width:317;height:145" type="#_x0000_t75" id="docshape390" stroked="false">
                  <v:imagedata r:id="rId90" o:title=""/>
                </v:shape>
                <v:shape style="position:absolute;left:2299;top:5655;width:672;height:348" type="#_x0000_t75" id="docshape391" stroked="false">
                  <v:imagedata r:id="rId91" o:title=""/>
                </v:shape>
                <v:shape style="position:absolute;left:8762;top:1897;width:203;height:154" type="#_x0000_t75" id="docshape392" stroked="false">
                  <v:imagedata r:id="rId92" o:title=""/>
                </v:shape>
                <v:shape style="position:absolute;left:9033;top:1918;width:84;height:82" id="docshape393" coordorigin="9034,1918" coordsize="84,82" path="m9117,1918l9034,1952,9034,1966,9117,2000,9117,1985,9051,1959,9117,1933,9117,1918xe" filled="true" fillcolor="#231f1f" stroked="false">
                  <v:path arrowok="t"/>
                  <v:fill type="solid"/>
                </v:shape>
                <v:shape style="position:absolute;left:9185;top:1897;width:317;height:145" type="#_x0000_t75" id="docshape394" stroked="false">
                  <v:imagedata r:id="rId93" o:title=""/>
                </v:shape>
                <v:shape style="position:absolute;left:5862;top:1897;width:203;height:154" type="#_x0000_t75" id="docshape395" stroked="false">
                  <v:imagedata r:id="rId92" o:title=""/>
                </v:shape>
                <v:shape style="position:absolute;left:6128;top:1897;width:725;height:145" type="#_x0000_t75" id="docshape396" stroked="false">
                  <v:imagedata r:id="rId94" o:title=""/>
                </v:shape>
                <v:shape style="position:absolute;left:3256;top:1907;width:305;height:154" type="#_x0000_t75" id="docshape397" stroked="false">
                  <v:imagedata r:id="rId95" o:title=""/>
                </v:shape>
                <v:shape style="position:absolute;left:3627;top:1907;width:318;height:145" type="#_x0000_t75" id="docshape398" stroked="false">
                  <v:imagedata r:id="rId96" o:title=""/>
                </v:shape>
                <v:shape style="position:absolute;left:5656;top:854;width:1388;height:158" type="#_x0000_t75" id="docshape399" stroked="false">
                  <v:imagedata r:id="rId97" o:title=""/>
                </v:shape>
                <v:shape style="position:absolute;left:2433;top:3035;width:2334;height:700" type="#_x0000_t202" id="docshape400" filled="false" stroked="false">
                  <v:textbox inset="0,0,0,0">
                    <w:txbxContent>
                      <w:p>
                        <w:pPr>
                          <w:spacing w:line="247" w:lineRule="auto" w:before="0"/>
                          <w:ind w:left="0" w:right="18" w:firstLine="0"/>
                          <w:jc w:val="center"/>
                          <w:rPr>
                            <w:rFonts w:ascii="Arial MT" w:hAnsi="Arial MT"/>
                            <w:sz w:val="15"/>
                          </w:rPr>
                        </w:pPr>
                        <w:r>
                          <w:rPr>
                            <w:rFonts w:ascii="Arial MT" w:hAnsi="Arial MT"/>
                            <w:color w:val="231F1F"/>
                            <w:spacing w:val="-2"/>
                            <w:sz w:val="15"/>
                          </w:rPr>
                          <w:t>Repetir</w:t>
                        </w:r>
                        <w:r>
                          <w:rPr>
                            <w:rFonts w:ascii="Arial MT" w:hAnsi="Arial MT"/>
                            <w:color w:val="231F1F"/>
                            <w:spacing w:val="-9"/>
                            <w:sz w:val="15"/>
                          </w:rPr>
                          <w:t> </w:t>
                        </w:r>
                        <w:r>
                          <w:rPr>
                            <w:rFonts w:ascii="Arial MT" w:hAnsi="Arial MT"/>
                            <w:color w:val="231F1F"/>
                            <w:spacing w:val="-2"/>
                            <w:sz w:val="15"/>
                          </w:rPr>
                          <w:t>el</w:t>
                        </w:r>
                        <w:r>
                          <w:rPr>
                            <w:rFonts w:ascii="Arial MT" w:hAnsi="Arial MT"/>
                            <w:color w:val="231F1F"/>
                            <w:spacing w:val="-7"/>
                            <w:sz w:val="15"/>
                          </w:rPr>
                          <w:t> </w:t>
                        </w:r>
                        <w:r>
                          <w:rPr>
                            <w:rFonts w:ascii="Arial MT" w:hAnsi="Arial MT"/>
                            <w:color w:val="231F1F"/>
                            <w:spacing w:val="-2"/>
                            <w:sz w:val="15"/>
                          </w:rPr>
                          <w:t>pH</w:t>
                        </w:r>
                        <w:r>
                          <w:rPr>
                            <w:rFonts w:ascii="Arial MT" w:hAnsi="Arial MT"/>
                            <w:color w:val="231F1F"/>
                            <w:spacing w:val="-9"/>
                            <w:sz w:val="15"/>
                          </w:rPr>
                          <w:t> </w:t>
                        </w:r>
                        <w:r>
                          <w:rPr>
                            <w:rFonts w:ascii="Arial MT" w:hAnsi="Arial MT"/>
                            <w:color w:val="231F1F"/>
                            <w:spacing w:val="-2"/>
                            <w:sz w:val="15"/>
                          </w:rPr>
                          <w:t>en</w:t>
                        </w:r>
                        <w:r>
                          <w:rPr>
                            <w:rFonts w:ascii="Arial MT" w:hAnsi="Arial MT"/>
                            <w:color w:val="231F1F"/>
                            <w:spacing w:val="-9"/>
                            <w:sz w:val="15"/>
                          </w:rPr>
                          <w:t> </w:t>
                        </w:r>
                        <w:r>
                          <w:rPr>
                            <w:rFonts w:ascii="Arial MT" w:hAnsi="Arial MT"/>
                            <w:color w:val="231F1F"/>
                            <w:spacing w:val="-2"/>
                            <w:sz w:val="15"/>
                          </w:rPr>
                          <w:t>1</w:t>
                        </w:r>
                        <w:r>
                          <w:rPr>
                            <w:rFonts w:ascii="Arial MT" w:hAnsi="Arial MT"/>
                            <w:color w:val="231F1F"/>
                            <w:spacing w:val="-9"/>
                            <w:sz w:val="15"/>
                          </w:rPr>
                          <w:t> </w:t>
                        </w:r>
                        <w:r>
                          <w:rPr>
                            <w:rFonts w:ascii="Arial MT" w:hAnsi="Arial MT"/>
                            <w:color w:val="231F1F"/>
                            <w:spacing w:val="-2"/>
                            <w:sz w:val="15"/>
                          </w:rPr>
                          <w:t>hora</w:t>
                        </w:r>
                        <w:r>
                          <w:rPr>
                            <w:rFonts w:ascii="Arial MT" w:hAnsi="Arial MT"/>
                            <w:color w:val="231F1F"/>
                            <w:spacing w:val="-9"/>
                            <w:sz w:val="15"/>
                          </w:rPr>
                          <w:t> </w:t>
                        </w:r>
                        <w:r>
                          <w:rPr>
                            <w:rFonts w:ascii="Arial MT" w:hAnsi="Arial MT"/>
                            <w:color w:val="231F1F"/>
                            <w:spacing w:val="-2"/>
                            <w:sz w:val="15"/>
                          </w:rPr>
                          <w:t>si</w:t>
                        </w:r>
                        <w:r>
                          <w:rPr>
                            <w:rFonts w:ascii="Arial MT" w:hAnsi="Arial MT"/>
                            <w:color w:val="231F1F"/>
                            <w:spacing w:val="-7"/>
                            <w:sz w:val="15"/>
                          </w:rPr>
                          <w:t> </w:t>
                        </w:r>
                        <w:r>
                          <w:rPr>
                            <w:rFonts w:ascii="Arial MT" w:hAnsi="Arial MT"/>
                            <w:color w:val="231F1F"/>
                            <w:spacing w:val="-2"/>
                            <w:sz w:val="15"/>
                          </w:rPr>
                          <w:t>el</w:t>
                        </w:r>
                        <w:r>
                          <w:rPr>
                            <w:rFonts w:ascii="Arial MT" w:hAnsi="Arial MT"/>
                            <w:color w:val="231F1F"/>
                            <w:spacing w:val="-7"/>
                            <w:sz w:val="15"/>
                          </w:rPr>
                          <w:t> </w:t>
                        </w:r>
                        <w:r>
                          <w:rPr>
                            <w:rFonts w:ascii="Arial MT" w:hAnsi="Arial MT"/>
                            <w:color w:val="231F1F"/>
                            <w:spacing w:val="-2"/>
                            <w:sz w:val="15"/>
                          </w:rPr>
                          <w:t>registro</w:t>
                        </w:r>
                        <w:r>
                          <w:rPr>
                            <w:rFonts w:ascii="Arial MT" w:hAnsi="Arial MT"/>
                            <w:color w:val="231F1F"/>
                            <w:sz w:val="15"/>
                          </w:rPr>
                          <w:t> de la FCF continúa patológico o antes si aparecen anomalías adicionales en el trazado</w:t>
                        </w:r>
                      </w:p>
                    </w:txbxContent>
                  </v:textbox>
                  <w10:wrap type="none"/>
                </v:shape>
                <v:shape style="position:absolute;left:5121;top:3083;width:2499;height:704" type="#_x0000_t202" id="docshape401" filled="false" stroked="false">
                  <v:textbox inset="0,0,0,0">
                    <w:txbxContent>
                      <w:p>
                        <w:pPr>
                          <w:spacing w:line="249" w:lineRule="auto" w:before="0"/>
                          <w:ind w:left="0" w:right="18" w:hanging="1"/>
                          <w:jc w:val="center"/>
                          <w:rPr>
                            <w:rFonts w:ascii="Arial MT" w:hAnsi="Arial MT"/>
                            <w:sz w:val="15"/>
                          </w:rPr>
                        </w:pPr>
                        <w:r>
                          <w:rPr>
                            <w:rFonts w:ascii="Arial MT" w:hAnsi="Arial MT"/>
                            <w:color w:val="231F1F"/>
                            <w:sz w:val="15"/>
                          </w:rPr>
                          <w:t>Repetir el pH en 30 minutos si el </w:t>
                        </w:r>
                        <w:r>
                          <w:rPr>
                            <w:rFonts w:ascii="Arial MT" w:hAnsi="Arial MT"/>
                            <w:color w:val="231F1F"/>
                            <w:spacing w:val="-2"/>
                            <w:sz w:val="15"/>
                          </w:rPr>
                          <w:t>registro</w:t>
                        </w:r>
                        <w:r>
                          <w:rPr>
                            <w:rFonts w:ascii="Arial MT" w:hAnsi="Arial MT"/>
                            <w:color w:val="231F1F"/>
                            <w:spacing w:val="-7"/>
                            <w:sz w:val="15"/>
                          </w:rPr>
                          <w:t> </w:t>
                        </w:r>
                        <w:r>
                          <w:rPr>
                            <w:rFonts w:ascii="Arial MT" w:hAnsi="Arial MT"/>
                            <w:color w:val="231F1F"/>
                            <w:spacing w:val="-2"/>
                            <w:sz w:val="15"/>
                          </w:rPr>
                          <w:t>de</w:t>
                        </w:r>
                        <w:r>
                          <w:rPr>
                            <w:rFonts w:ascii="Arial MT" w:hAnsi="Arial MT"/>
                            <w:color w:val="231F1F"/>
                            <w:spacing w:val="-7"/>
                            <w:sz w:val="15"/>
                          </w:rPr>
                          <w:t> </w:t>
                        </w:r>
                        <w:r>
                          <w:rPr>
                            <w:rFonts w:ascii="Arial MT" w:hAnsi="Arial MT"/>
                            <w:color w:val="231F1F"/>
                            <w:spacing w:val="-2"/>
                            <w:sz w:val="15"/>
                          </w:rPr>
                          <w:t>la</w:t>
                        </w:r>
                        <w:r>
                          <w:rPr>
                            <w:rFonts w:ascii="Arial MT" w:hAnsi="Arial MT"/>
                            <w:color w:val="231F1F"/>
                            <w:spacing w:val="-7"/>
                            <w:sz w:val="15"/>
                          </w:rPr>
                          <w:t> </w:t>
                        </w:r>
                        <w:r>
                          <w:rPr>
                            <w:rFonts w:ascii="Arial MT" w:hAnsi="Arial MT"/>
                            <w:color w:val="231F1F"/>
                            <w:spacing w:val="-2"/>
                            <w:sz w:val="15"/>
                          </w:rPr>
                          <w:t>FCF</w:t>
                        </w:r>
                        <w:r>
                          <w:rPr>
                            <w:rFonts w:ascii="Arial MT" w:hAnsi="Arial MT"/>
                            <w:color w:val="231F1F"/>
                            <w:spacing w:val="-4"/>
                            <w:sz w:val="15"/>
                          </w:rPr>
                          <w:t> </w:t>
                        </w:r>
                        <w:r>
                          <w:rPr>
                            <w:rFonts w:ascii="Arial MT" w:hAnsi="Arial MT"/>
                            <w:color w:val="231F1F"/>
                            <w:spacing w:val="-2"/>
                            <w:sz w:val="15"/>
                          </w:rPr>
                          <w:t>continúa</w:t>
                        </w:r>
                        <w:r>
                          <w:rPr>
                            <w:rFonts w:ascii="Arial MT" w:hAnsi="Arial MT"/>
                            <w:color w:val="231F1F"/>
                            <w:spacing w:val="-7"/>
                            <w:sz w:val="15"/>
                          </w:rPr>
                          <w:t> </w:t>
                        </w:r>
                        <w:r>
                          <w:rPr>
                            <w:rFonts w:ascii="Arial MT" w:hAnsi="Arial MT"/>
                            <w:color w:val="231F1F"/>
                            <w:spacing w:val="-2"/>
                            <w:sz w:val="15"/>
                          </w:rPr>
                          <w:t>patológico</w:t>
                        </w:r>
                        <w:r>
                          <w:rPr>
                            <w:rFonts w:ascii="Arial MT" w:hAnsi="Arial MT"/>
                            <w:color w:val="231F1F"/>
                            <w:sz w:val="15"/>
                          </w:rPr>
                          <w:t> o antes si aparecen anomalías adicionales en el trazado</w:t>
                        </w:r>
                      </w:p>
                    </w:txbxContent>
                  </v:textbox>
                  <w10:wrap type="none"/>
                </v:shape>
                <v:shape style="position:absolute;left:8697;top:3938;width:828;height:349" type="#_x0000_t202" id="docshape402" filled="false" stroked="false">
                  <v:textbox inset="0,0,0,0">
                    <w:txbxContent>
                      <w:p>
                        <w:pPr>
                          <w:spacing w:line="254" w:lineRule="auto" w:before="0"/>
                          <w:ind w:left="0" w:right="18" w:firstLine="38"/>
                          <w:jc w:val="left"/>
                          <w:rPr>
                            <w:rFonts w:ascii="Arial MT" w:hAnsi="Arial MT"/>
                            <w:sz w:val="15"/>
                          </w:rPr>
                        </w:pPr>
                        <w:r>
                          <w:rPr>
                            <w:rFonts w:ascii="Arial MT" w:hAnsi="Arial MT"/>
                            <w:color w:val="231F1F"/>
                            <w:spacing w:val="-2"/>
                            <w:sz w:val="15"/>
                          </w:rPr>
                          <w:t>Extracción</w:t>
                        </w:r>
                        <w:r>
                          <w:rPr>
                            <w:rFonts w:ascii="Arial MT" w:hAnsi="Arial MT"/>
                            <w:color w:val="231F1F"/>
                            <w:sz w:val="15"/>
                          </w:rPr>
                          <w:t> </w:t>
                        </w:r>
                        <w:r>
                          <w:rPr>
                            <w:rFonts w:ascii="Arial MT" w:hAnsi="Arial MT"/>
                            <w:color w:val="231F1F"/>
                            <w:spacing w:val="-4"/>
                            <w:sz w:val="15"/>
                          </w:rPr>
                          <w:t>fetal</w:t>
                        </w:r>
                        <w:r>
                          <w:rPr>
                            <w:rFonts w:ascii="Arial MT" w:hAnsi="Arial MT"/>
                            <w:color w:val="231F1F"/>
                            <w:spacing w:val="-8"/>
                            <w:sz w:val="15"/>
                          </w:rPr>
                          <w:t> </w:t>
                        </w:r>
                        <w:r>
                          <w:rPr>
                            <w:rFonts w:ascii="Arial MT" w:hAnsi="Arial MT"/>
                            <w:color w:val="231F1F"/>
                            <w:spacing w:val="-4"/>
                            <w:sz w:val="15"/>
                          </w:rPr>
                          <w:t>urgente</w:t>
                        </w:r>
                      </w:p>
                    </w:txbxContent>
                  </v:textbox>
                  <w10:wrap type="none"/>
                </v:shape>
                <v:shape style="position:absolute;left:4478;top:4567;width:1215;height:167" type="#_x0000_t202" id="docshape403" filled="false" stroked="false">
                  <v:textbox inset="0,0,0,0">
                    <w:txbxContent>
                      <w:p>
                        <w:pPr>
                          <w:spacing w:line="166" w:lineRule="exact" w:before="0"/>
                          <w:ind w:left="0" w:right="0" w:firstLine="0"/>
                          <w:jc w:val="left"/>
                          <w:rPr>
                            <w:rFonts w:ascii="Arial MT"/>
                            <w:sz w:val="15"/>
                          </w:rPr>
                        </w:pPr>
                        <w:r>
                          <w:rPr>
                            <w:rFonts w:ascii="Arial MT"/>
                            <w:color w:val="231F1F"/>
                            <w:spacing w:val="-2"/>
                            <w:sz w:val="15"/>
                          </w:rPr>
                          <w:t>pH</w:t>
                        </w:r>
                        <w:r>
                          <w:rPr>
                            <w:rFonts w:ascii="Arial MT"/>
                            <w:color w:val="231F1F"/>
                            <w:spacing w:val="-7"/>
                            <w:sz w:val="15"/>
                          </w:rPr>
                          <w:t> </w:t>
                        </w:r>
                        <w:r>
                          <w:rPr>
                            <w:rFonts w:ascii="Arial MT"/>
                            <w:color w:val="231F1F"/>
                            <w:spacing w:val="-2"/>
                            <w:sz w:val="15"/>
                          </w:rPr>
                          <w:t>en</w:t>
                        </w:r>
                        <w:r>
                          <w:rPr>
                            <w:rFonts w:ascii="Arial MT"/>
                            <w:color w:val="231F1F"/>
                            <w:spacing w:val="-6"/>
                            <w:sz w:val="15"/>
                          </w:rPr>
                          <w:t> </w:t>
                        </w:r>
                        <w:r>
                          <w:rPr>
                            <w:rFonts w:ascii="Arial MT"/>
                            <w:color w:val="231F1F"/>
                            <w:spacing w:val="-2"/>
                            <w:sz w:val="15"/>
                          </w:rPr>
                          <w:t>sangre</w:t>
                        </w:r>
                        <w:r>
                          <w:rPr>
                            <w:rFonts w:ascii="Arial MT"/>
                            <w:color w:val="231F1F"/>
                            <w:spacing w:val="-6"/>
                            <w:sz w:val="15"/>
                          </w:rPr>
                          <w:t> </w:t>
                        </w:r>
                        <w:r>
                          <w:rPr>
                            <w:rFonts w:ascii="Arial MT"/>
                            <w:color w:val="231F1F"/>
                            <w:spacing w:val="-2"/>
                            <w:sz w:val="15"/>
                          </w:rPr>
                          <w:t>fetal</w:t>
                        </w:r>
                      </w:p>
                    </w:txbxContent>
                  </v:textbox>
                  <w10:wrap type="none"/>
                </v:shape>
                <v:shape style="position:absolute;left:4900;top:5608;width:2977;height:167" type="#_x0000_t202" id="docshape404" filled="false" stroked="false">
                  <v:textbox inset="0,0,0,0">
                    <w:txbxContent>
                      <w:p>
                        <w:pPr>
                          <w:tabs>
                            <w:tab w:pos="878" w:val="left" w:leader="none"/>
                            <w:tab w:pos="1924" w:val="left" w:leader="none"/>
                            <w:tab w:pos="2409" w:val="left" w:leader="none"/>
                          </w:tabs>
                          <w:spacing w:line="166" w:lineRule="exact" w:before="0"/>
                          <w:ind w:left="0" w:right="0" w:firstLine="0"/>
                          <w:jc w:val="left"/>
                          <w:rPr>
                            <w:rFonts w:ascii="Arial MT"/>
                            <w:sz w:val="15"/>
                          </w:rPr>
                        </w:pPr>
                        <w:r>
                          <w:rPr>
                            <w:rFonts w:ascii="Arial MT"/>
                            <w:color w:val="231F1F"/>
                            <w:spacing w:val="-2"/>
                            <w:sz w:val="15"/>
                          </w:rPr>
                          <w:t>Dudoso</w:t>
                        </w:r>
                        <w:r>
                          <w:rPr>
                            <w:rFonts w:ascii="Arial MT"/>
                            <w:color w:val="231F1F"/>
                            <w:sz w:val="15"/>
                          </w:rPr>
                          <w:tab/>
                        </w:r>
                        <w:r>
                          <w:rPr>
                            <w:color w:val="231F1F"/>
                            <w:sz w:val="15"/>
                            <w:u w:val="single" w:color="231F1F"/>
                          </w:rPr>
                          <w:tab/>
                        </w:r>
                        <w:r>
                          <w:rPr>
                            <w:color w:val="231F1F"/>
                            <w:sz w:val="15"/>
                          </w:rPr>
                          <w:tab/>
                        </w:r>
                        <w:r>
                          <w:rPr>
                            <w:rFonts w:ascii="Arial MT"/>
                            <w:color w:val="231F1F"/>
                            <w:spacing w:val="-2"/>
                            <w:sz w:val="15"/>
                          </w:rPr>
                          <w:t>Anormal</w:t>
                        </w:r>
                      </w:p>
                    </w:txbxContent>
                  </v:textbox>
                  <w10:wrap type="none"/>
                </v:shape>
                <v:shape style="position:absolute;left:2347;top:6808;width:3684;height:704" type="#_x0000_t202" id="docshape405" filled="false" stroked="false">
                  <v:textbox inset="0,0,0,0">
                    <w:txbxContent>
                      <w:p>
                        <w:pPr>
                          <w:spacing w:line="249" w:lineRule="auto" w:before="0"/>
                          <w:ind w:left="0" w:right="18" w:hanging="10"/>
                          <w:jc w:val="center"/>
                          <w:rPr>
                            <w:rFonts w:ascii="Arial MT" w:hAnsi="Arial MT"/>
                            <w:sz w:val="15"/>
                          </w:rPr>
                        </w:pPr>
                        <w:r>
                          <w:rPr>
                            <w:rFonts w:ascii="Arial MT" w:hAnsi="Arial MT"/>
                            <w:color w:val="231F1F"/>
                            <w:sz w:val="15"/>
                          </w:rPr>
                          <w:t>Si el registro de la FCF permanece sin cambios y los resultados</w:t>
                        </w:r>
                        <w:r>
                          <w:rPr>
                            <w:rFonts w:ascii="Arial MT" w:hAnsi="Arial MT"/>
                            <w:color w:val="231F1F"/>
                            <w:spacing w:val="-11"/>
                            <w:sz w:val="15"/>
                          </w:rPr>
                          <w:t> </w:t>
                        </w:r>
                        <w:r>
                          <w:rPr>
                            <w:rFonts w:ascii="Arial MT" w:hAnsi="Arial MT"/>
                            <w:color w:val="231F1F"/>
                            <w:sz w:val="15"/>
                          </w:rPr>
                          <w:t>del</w:t>
                        </w:r>
                        <w:r>
                          <w:rPr>
                            <w:rFonts w:ascii="Arial MT" w:hAnsi="Arial MT"/>
                            <w:color w:val="231F1F"/>
                            <w:spacing w:val="-10"/>
                            <w:sz w:val="15"/>
                          </w:rPr>
                          <w:t> </w:t>
                        </w:r>
                        <w:r>
                          <w:rPr>
                            <w:rFonts w:ascii="Arial MT" w:hAnsi="Arial MT"/>
                            <w:color w:val="231F1F"/>
                            <w:sz w:val="15"/>
                          </w:rPr>
                          <w:t>pH</w:t>
                        </w:r>
                        <w:r>
                          <w:rPr>
                            <w:rFonts w:ascii="Arial MT" w:hAnsi="Arial MT"/>
                            <w:color w:val="231F1F"/>
                            <w:spacing w:val="-11"/>
                            <w:sz w:val="15"/>
                          </w:rPr>
                          <w:t> </w:t>
                        </w:r>
                        <w:r>
                          <w:rPr>
                            <w:rFonts w:ascii="Arial MT" w:hAnsi="Arial MT"/>
                            <w:color w:val="231F1F"/>
                            <w:sz w:val="15"/>
                          </w:rPr>
                          <w:t>fetal</w:t>
                        </w:r>
                        <w:r>
                          <w:rPr>
                            <w:rFonts w:ascii="Arial MT" w:hAnsi="Arial MT"/>
                            <w:color w:val="231F1F"/>
                            <w:spacing w:val="-10"/>
                            <w:sz w:val="15"/>
                          </w:rPr>
                          <w:t> </w:t>
                        </w:r>
                        <w:r>
                          <w:rPr>
                            <w:rFonts w:ascii="Arial MT" w:hAnsi="Arial MT"/>
                            <w:color w:val="231F1F"/>
                            <w:sz w:val="15"/>
                          </w:rPr>
                          <w:t>son</w:t>
                        </w:r>
                        <w:r>
                          <w:rPr>
                            <w:rFonts w:ascii="Arial MT" w:hAnsi="Arial MT"/>
                            <w:color w:val="231F1F"/>
                            <w:spacing w:val="-11"/>
                            <w:sz w:val="15"/>
                          </w:rPr>
                          <w:t> </w:t>
                        </w:r>
                        <w:r>
                          <w:rPr>
                            <w:rFonts w:ascii="Arial MT" w:hAnsi="Arial MT"/>
                            <w:color w:val="231F1F"/>
                            <w:sz w:val="15"/>
                          </w:rPr>
                          <w:t>estables,</w:t>
                        </w:r>
                        <w:r>
                          <w:rPr>
                            <w:rFonts w:ascii="Arial MT" w:hAnsi="Arial MT"/>
                            <w:color w:val="231F1F"/>
                            <w:spacing w:val="-10"/>
                            <w:sz w:val="15"/>
                          </w:rPr>
                          <w:t> </w:t>
                        </w:r>
                        <w:r>
                          <w:rPr>
                            <w:rFonts w:ascii="Arial MT" w:hAnsi="Arial MT"/>
                            <w:color w:val="231F1F"/>
                            <w:sz w:val="15"/>
                          </w:rPr>
                          <w:t>no</w:t>
                        </w:r>
                        <w:r>
                          <w:rPr>
                            <w:rFonts w:ascii="Arial MT" w:hAnsi="Arial MT"/>
                            <w:color w:val="231F1F"/>
                            <w:spacing w:val="-10"/>
                            <w:sz w:val="15"/>
                          </w:rPr>
                          <w:t> </w:t>
                        </w:r>
                        <w:r>
                          <w:rPr>
                            <w:rFonts w:ascii="Arial MT" w:hAnsi="Arial MT"/>
                            <w:color w:val="231F1F"/>
                            <w:sz w:val="15"/>
                          </w:rPr>
                          <w:t>se</w:t>
                        </w:r>
                        <w:r>
                          <w:rPr>
                            <w:rFonts w:ascii="Arial MT" w:hAnsi="Arial MT"/>
                            <w:color w:val="231F1F"/>
                            <w:spacing w:val="-11"/>
                            <w:sz w:val="15"/>
                          </w:rPr>
                          <w:t> </w:t>
                        </w:r>
                        <w:r>
                          <w:rPr>
                            <w:rFonts w:ascii="Arial MT" w:hAnsi="Arial MT"/>
                            <w:color w:val="231F1F"/>
                            <w:sz w:val="15"/>
                          </w:rPr>
                          <w:t>debe</w:t>
                        </w:r>
                        <w:r>
                          <w:rPr>
                            <w:rFonts w:ascii="Arial MT" w:hAnsi="Arial MT"/>
                            <w:color w:val="231F1F"/>
                            <w:spacing w:val="-10"/>
                            <w:sz w:val="15"/>
                          </w:rPr>
                          <w:t> </w:t>
                        </w:r>
                        <w:r>
                          <w:rPr>
                            <w:rFonts w:ascii="Arial MT" w:hAnsi="Arial MT"/>
                            <w:color w:val="231F1F"/>
                            <w:sz w:val="15"/>
                          </w:rPr>
                          <w:t>realizar un tercer pH a menos que aparezcan anomalías adicionales en el trazado</w:t>
                        </w:r>
                      </w:p>
                    </w:txbxContent>
                  </v:textbox>
                  <w10:wrap type="none"/>
                </v:shape>
                <v:shape style="position:absolute;left:6513;top:6943;width:645;height:344" type="#_x0000_t202" id="docshape406" filled="false" stroked="false">
                  <v:textbox inset="0,0,0,0">
                    <w:txbxContent>
                      <w:p>
                        <w:pPr>
                          <w:spacing w:line="247" w:lineRule="auto" w:before="0"/>
                          <w:ind w:left="0" w:right="18" w:firstLine="0"/>
                          <w:jc w:val="left"/>
                          <w:rPr>
                            <w:rFonts w:ascii="Arial MT"/>
                            <w:sz w:val="15"/>
                          </w:rPr>
                        </w:pPr>
                        <w:r>
                          <w:rPr>
                            <w:rFonts w:ascii="Arial MT"/>
                            <w:color w:val="231F1F"/>
                            <w:spacing w:val="-6"/>
                            <w:sz w:val="15"/>
                          </w:rPr>
                          <w:t>Tercer</w:t>
                        </w:r>
                        <w:r>
                          <w:rPr>
                            <w:rFonts w:ascii="Arial MT"/>
                            <w:color w:val="231F1F"/>
                            <w:spacing w:val="-17"/>
                            <w:sz w:val="15"/>
                          </w:rPr>
                          <w:t> </w:t>
                        </w:r>
                        <w:r>
                          <w:rPr>
                            <w:rFonts w:ascii="Arial MT"/>
                            <w:color w:val="231F1F"/>
                            <w:spacing w:val="-6"/>
                            <w:sz w:val="15"/>
                          </w:rPr>
                          <w:t>pH</w:t>
                        </w:r>
                        <w:r>
                          <w:rPr>
                            <w:rFonts w:ascii="Arial MT"/>
                            <w:color w:val="231F1F"/>
                            <w:sz w:val="15"/>
                          </w:rPr>
                          <w:t> </w:t>
                        </w:r>
                        <w:r>
                          <w:rPr>
                            <w:rFonts w:ascii="Arial MT"/>
                            <w:color w:val="231F1F"/>
                            <w:spacing w:val="-5"/>
                            <w:sz w:val="15"/>
                          </w:rPr>
                          <w:t>necesario</w:t>
                        </w:r>
                      </w:p>
                    </w:txbxContent>
                  </v:textbox>
                  <w10:wrap type="none"/>
                </v:shape>
                <w10:wrap type="topAndBottom"/>
              </v:group>
            </w:pict>
          </mc:Fallback>
        </mc:AlternateContent>
      </w:r>
    </w:p>
    <w:p>
      <w:pPr>
        <w:pStyle w:val="BodyText"/>
        <w:spacing w:after="0"/>
        <w:rPr>
          <w:sz w:val="20"/>
        </w:rPr>
        <w:sectPr>
          <w:pgSz w:w="11900" w:h="16840"/>
          <w:pgMar w:header="0" w:footer="622" w:top="1520" w:bottom="820" w:left="1417" w:right="1559"/>
        </w:sectPr>
      </w:pPr>
    </w:p>
    <w:p>
      <w:pPr>
        <w:tabs>
          <w:tab w:pos="2097" w:val="left" w:leader="none"/>
        </w:tabs>
        <w:spacing w:before="68"/>
        <w:ind w:left="283" w:right="0" w:firstLine="0"/>
        <w:jc w:val="left"/>
        <w:rPr>
          <w:sz w:val="36"/>
        </w:rPr>
      </w:pPr>
      <w:r>
        <w:rPr>
          <w:color w:val="231F1F"/>
          <w:sz w:val="36"/>
        </w:rPr>
        <w:t>Anexo</w:t>
      </w:r>
      <w:r>
        <w:rPr>
          <w:color w:val="231F1F"/>
          <w:spacing w:val="45"/>
          <w:sz w:val="36"/>
        </w:rPr>
        <w:t> </w:t>
      </w:r>
      <w:r>
        <w:rPr>
          <w:color w:val="231F1F"/>
          <w:spacing w:val="-5"/>
          <w:sz w:val="36"/>
        </w:rPr>
        <w:t>13.</w:t>
      </w:r>
      <w:r>
        <w:rPr>
          <w:color w:val="231F1F"/>
          <w:sz w:val="36"/>
        </w:rPr>
        <w:tab/>
        <w:t>Registros</w:t>
      </w:r>
      <w:r>
        <w:rPr>
          <w:color w:val="231F1F"/>
          <w:spacing w:val="40"/>
          <w:sz w:val="36"/>
        </w:rPr>
        <w:t> </w:t>
      </w:r>
      <w:r>
        <w:rPr>
          <w:color w:val="231F1F"/>
          <w:spacing w:val="-2"/>
          <w:sz w:val="36"/>
        </w:rPr>
        <w:t>cardiotocográficos</w:t>
      </w:r>
    </w:p>
    <w:p>
      <w:pPr>
        <w:pStyle w:val="BodyText"/>
        <w:spacing w:before="118"/>
        <w:rPr>
          <w:sz w:val="36"/>
        </w:rPr>
      </w:pPr>
    </w:p>
    <w:p>
      <w:pPr>
        <w:spacing w:before="0"/>
        <w:ind w:left="283" w:right="0" w:firstLine="0"/>
        <w:jc w:val="left"/>
        <w:rPr>
          <w:rFonts w:ascii="Arial MT" w:hAnsi="Arial MT"/>
          <w:sz w:val="24"/>
        </w:rPr>
      </w:pPr>
      <w:r>
        <w:rPr>
          <w:rFonts w:ascii="Arial MT" w:hAnsi="Arial MT"/>
          <w:color w:val="231F1F"/>
          <w:sz w:val="24"/>
        </w:rPr>
        <w:t>Registro</w:t>
      </w:r>
      <w:r>
        <w:rPr>
          <w:rFonts w:ascii="Arial MT" w:hAnsi="Arial MT"/>
          <w:color w:val="231F1F"/>
          <w:spacing w:val="27"/>
          <w:sz w:val="24"/>
        </w:rPr>
        <w:t> </w:t>
      </w:r>
      <w:r>
        <w:rPr>
          <w:rFonts w:ascii="Arial MT" w:hAnsi="Arial MT"/>
          <w:color w:val="231F1F"/>
          <w:spacing w:val="-2"/>
          <w:sz w:val="24"/>
        </w:rPr>
        <w:t>Cardiotocográfico</w:t>
      </w:r>
    </w:p>
    <w:p>
      <w:pPr>
        <w:pStyle w:val="ListParagraph"/>
        <w:numPr>
          <w:ilvl w:val="0"/>
          <w:numId w:val="105"/>
        </w:numPr>
        <w:tabs>
          <w:tab w:pos="959" w:val="left" w:leader="none"/>
        </w:tabs>
        <w:spacing w:line="240" w:lineRule="auto" w:before="214" w:after="0"/>
        <w:ind w:left="959" w:right="0" w:hanging="224"/>
        <w:jc w:val="left"/>
        <w:rPr>
          <w:sz w:val="22"/>
        </w:rPr>
      </w:pPr>
      <w:r>
        <w:rPr>
          <w:color w:val="231F1F"/>
          <w:sz w:val="22"/>
        </w:rPr>
        <w:t>El</w:t>
      </w:r>
      <w:r>
        <w:rPr>
          <w:color w:val="231F1F"/>
          <w:spacing w:val="37"/>
          <w:sz w:val="22"/>
        </w:rPr>
        <w:t> </w:t>
      </w:r>
      <w:r>
        <w:rPr>
          <w:color w:val="231F1F"/>
          <w:sz w:val="22"/>
        </w:rPr>
        <w:t>cardiotocógrafo</w:t>
      </w:r>
      <w:r>
        <w:rPr>
          <w:color w:val="231F1F"/>
          <w:spacing w:val="40"/>
          <w:sz w:val="22"/>
        </w:rPr>
        <w:t> </w:t>
      </w:r>
      <w:r>
        <w:rPr>
          <w:color w:val="231F1F"/>
          <w:sz w:val="22"/>
        </w:rPr>
        <w:t>debe</w:t>
      </w:r>
      <w:r>
        <w:rPr>
          <w:color w:val="231F1F"/>
          <w:spacing w:val="40"/>
          <w:sz w:val="22"/>
        </w:rPr>
        <w:t> </w:t>
      </w:r>
      <w:r>
        <w:rPr>
          <w:color w:val="231F1F"/>
          <w:sz w:val="22"/>
        </w:rPr>
        <w:t>tener</w:t>
      </w:r>
      <w:r>
        <w:rPr>
          <w:color w:val="231F1F"/>
          <w:spacing w:val="38"/>
          <w:sz w:val="22"/>
        </w:rPr>
        <w:t> </w:t>
      </w:r>
      <w:r>
        <w:rPr>
          <w:color w:val="231F1F"/>
          <w:sz w:val="22"/>
        </w:rPr>
        <w:t>correctamente</w:t>
      </w:r>
      <w:r>
        <w:rPr>
          <w:color w:val="231F1F"/>
          <w:spacing w:val="40"/>
          <w:sz w:val="22"/>
        </w:rPr>
        <w:t> </w:t>
      </w:r>
      <w:r>
        <w:rPr>
          <w:color w:val="231F1F"/>
          <w:sz w:val="22"/>
        </w:rPr>
        <w:t>establecida</w:t>
      </w:r>
      <w:r>
        <w:rPr>
          <w:color w:val="231F1F"/>
          <w:spacing w:val="40"/>
          <w:sz w:val="22"/>
        </w:rPr>
        <w:t> </w:t>
      </w:r>
      <w:r>
        <w:rPr>
          <w:color w:val="231F1F"/>
          <w:sz w:val="22"/>
        </w:rPr>
        <w:t>la</w:t>
      </w:r>
      <w:r>
        <w:rPr>
          <w:color w:val="231F1F"/>
          <w:spacing w:val="38"/>
          <w:sz w:val="22"/>
        </w:rPr>
        <w:t> </w:t>
      </w:r>
      <w:r>
        <w:rPr>
          <w:color w:val="231F1F"/>
          <w:sz w:val="22"/>
        </w:rPr>
        <w:t>fecha</w:t>
      </w:r>
      <w:r>
        <w:rPr>
          <w:color w:val="231F1F"/>
          <w:spacing w:val="40"/>
          <w:sz w:val="22"/>
        </w:rPr>
        <w:t> </w:t>
      </w:r>
      <w:r>
        <w:rPr>
          <w:color w:val="231F1F"/>
          <w:sz w:val="22"/>
        </w:rPr>
        <w:t>y</w:t>
      </w:r>
      <w:r>
        <w:rPr>
          <w:color w:val="231F1F"/>
          <w:spacing w:val="40"/>
          <w:sz w:val="22"/>
        </w:rPr>
        <w:t> </w:t>
      </w:r>
      <w:r>
        <w:rPr>
          <w:color w:val="231F1F"/>
          <w:sz w:val="22"/>
        </w:rPr>
        <w:t>la</w:t>
      </w:r>
      <w:r>
        <w:rPr>
          <w:color w:val="231F1F"/>
          <w:spacing w:val="41"/>
          <w:sz w:val="22"/>
        </w:rPr>
        <w:t> </w:t>
      </w:r>
      <w:r>
        <w:rPr>
          <w:color w:val="231F1F"/>
          <w:spacing w:val="-2"/>
          <w:sz w:val="22"/>
        </w:rPr>
        <w:t>hora.</w:t>
      </w:r>
    </w:p>
    <w:p>
      <w:pPr>
        <w:pStyle w:val="ListParagraph"/>
        <w:numPr>
          <w:ilvl w:val="0"/>
          <w:numId w:val="105"/>
        </w:numPr>
        <w:tabs>
          <w:tab w:pos="960" w:val="left" w:leader="none"/>
          <w:tab w:pos="964" w:val="left" w:leader="none"/>
        </w:tabs>
        <w:spacing w:line="244" w:lineRule="auto" w:before="150" w:after="0"/>
        <w:ind w:left="964" w:right="187" w:hanging="228"/>
        <w:jc w:val="both"/>
        <w:rPr>
          <w:sz w:val="22"/>
        </w:rPr>
      </w:pPr>
      <w:r>
        <w:rPr>
          <w:color w:val="231F1F"/>
          <w:w w:val="110"/>
          <w:sz w:val="22"/>
        </w:rPr>
        <w:t>El registro debe estar correctamente identificado con el nombre de la mujer y la </w:t>
      </w:r>
      <w:r>
        <w:rPr>
          <w:color w:val="231F1F"/>
          <w:spacing w:val="-2"/>
          <w:w w:val="110"/>
          <w:sz w:val="22"/>
        </w:rPr>
        <w:t>fecha.</w:t>
      </w:r>
    </w:p>
    <w:p>
      <w:pPr>
        <w:pStyle w:val="ListParagraph"/>
        <w:numPr>
          <w:ilvl w:val="0"/>
          <w:numId w:val="105"/>
        </w:numPr>
        <w:tabs>
          <w:tab w:pos="960" w:val="left" w:leader="none"/>
          <w:tab w:pos="964" w:val="left" w:leader="none"/>
        </w:tabs>
        <w:spacing w:line="249" w:lineRule="auto" w:before="147" w:after="0"/>
        <w:ind w:left="964" w:right="120" w:hanging="228"/>
        <w:jc w:val="both"/>
        <w:rPr>
          <w:sz w:val="22"/>
        </w:rPr>
      </w:pPr>
      <w:r>
        <w:rPr>
          <w:color w:val="231F1F"/>
          <w:w w:val="110"/>
          <w:sz w:val="22"/>
        </w:rPr>
        <w:t>Cualquier</w:t>
      </w:r>
      <w:r>
        <w:rPr>
          <w:color w:val="231F1F"/>
          <w:spacing w:val="-9"/>
          <w:w w:val="110"/>
          <w:sz w:val="22"/>
        </w:rPr>
        <w:t> </w:t>
      </w:r>
      <w:r>
        <w:rPr>
          <w:color w:val="231F1F"/>
          <w:w w:val="110"/>
          <w:sz w:val="22"/>
        </w:rPr>
        <w:t>acontecimiento</w:t>
      </w:r>
      <w:r>
        <w:rPr>
          <w:color w:val="231F1F"/>
          <w:spacing w:val="-9"/>
          <w:w w:val="110"/>
          <w:sz w:val="22"/>
        </w:rPr>
        <w:t> </w:t>
      </w:r>
      <w:r>
        <w:rPr>
          <w:color w:val="231F1F"/>
          <w:w w:val="110"/>
          <w:sz w:val="22"/>
        </w:rPr>
        <w:t>intraparto</w:t>
      </w:r>
      <w:r>
        <w:rPr>
          <w:color w:val="231F1F"/>
          <w:spacing w:val="-9"/>
          <w:w w:val="110"/>
          <w:sz w:val="22"/>
        </w:rPr>
        <w:t> </w:t>
      </w:r>
      <w:r>
        <w:rPr>
          <w:color w:val="231F1F"/>
          <w:w w:val="110"/>
          <w:sz w:val="22"/>
        </w:rPr>
        <w:t>que</w:t>
      </w:r>
      <w:r>
        <w:rPr>
          <w:color w:val="231F1F"/>
          <w:spacing w:val="-9"/>
          <w:w w:val="110"/>
          <w:sz w:val="22"/>
        </w:rPr>
        <w:t> </w:t>
      </w:r>
      <w:r>
        <w:rPr>
          <w:color w:val="231F1F"/>
          <w:w w:val="110"/>
          <w:sz w:val="22"/>
        </w:rPr>
        <w:t>pueda</w:t>
      </w:r>
      <w:r>
        <w:rPr>
          <w:color w:val="231F1F"/>
          <w:spacing w:val="-9"/>
          <w:w w:val="110"/>
          <w:sz w:val="22"/>
        </w:rPr>
        <w:t> </w:t>
      </w:r>
      <w:r>
        <w:rPr>
          <w:color w:val="231F1F"/>
          <w:w w:val="110"/>
          <w:sz w:val="22"/>
        </w:rPr>
        <w:t>afectar</w:t>
      </w:r>
      <w:r>
        <w:rPr>
          <w:color w:val="231F1F"/>
          <w:spacing w:val="-9"/>
          <w:w w:val="110"/>
          <w:sz w:val="22"/>
        </w:rPr>
        <w:t> </w:t>
      </w:r>
      <w:r>
        <w:rPr>
          <w:color w:val="231F1F"/>
          <w:w w:val="110"/>
          <w:sz w:val="22"/>
        </w:rPr>
        <w:t>a</w:t>
      </w:r>
      <w:r>
        <w:rPr>
          <w:color w:val="231F1F"/>
          <w:spacing w:val="-9"/>
          <w:w w:val="110"/>
          <w:sz w:val="22"/>
        </w:rPr>
        <w:t> </w:t>
      </w:r>
      <w:r>
        <w:rPr>
          <w:color w:val="231F1F"/>
          <w:w w:val="110"/>
          <w:sz w:val="22"/>
        </w:rPr>
        <w:t>la</w:t>
      </w:r>
      <w:r>
        <w:rPr>
          <w:color w:val="231F1F"/>
          <w:spacing w:val="-9"/>
          <w:w w:val="110"/>
          <w:sz w:val="22"/>
        </w:rPr>
        <w:t> </w:t>
      </w:r>
      <w:r>
        <w:rPr>
          <w:color w:val="231F1F"/>
          <w:w w:val="110"/>
          <w:sz w:val="22"/>
        </w:rPr>
        <w:t>FCF</w:t>
      </w:r>
      <w:r>
        <w:rPr>
          <w:color w:val="231F1F"/>
          <w:spacing w:val="-9"/>
          <w:w w:val="110"/>
          <w:sz w:val="22"/>
        </w:rPr>
        <w:t> </w:t>
      </w:r>
      <w:r>
        <w:rPr>
          <w:color w:val="231F1F"/>
          <w:w w:val="110"/>
          <w:sz w:val="22"/>
        </w:rPr>
        <w:t>debe</w:t>
      </w:r>
      <w:r>
        <w:rPr>
          <w:color w:val="231F1F"/>
          <w:spacing w:val="-9"/>
          <w:w w:val="110"/>
          <w:sz w:val="22"/>
        </w:rPr>
        <w:t> </w:t>
      </w:r>
      <w:r>
        <w:rPr>
          <w:color w:val="231F1F"/>
          <w:w w:val="110"/>
          <w:sz w:val="22"/>
        </w:rPr>
        <w:t>ser</w:t>
      </w:r>
      <w:r>
        <w:rPr>
          <w:color w:val="231F1F"/>
          <w:spacing w:val="-10"/>
          <w:w w:val="110"/>
          <w:sz w:val="22"/>
        </w:rPr>
        <w:t> </w:t>
      </w:r>
      <w:r>
        <w:rPr>
          <w:color w:val="231F1F"/>
          <w:w w:val="110"/>
          <w:sz w:val="22"/>
        </w:rPr>
        <w:t>anotado, en</w:t>
      </w:r>
      <w:r>
        <w:rPr>
          <w:color w:val="231F1F"/>
          <w:spacing w:val="-8"/>
          <w:w w:val="110"/>
          <w:sz w:val="22"/>
        </w:rPr>
        <w:t> </w:t>
      </w:r>
      <w:r>
        <w:rPr>
          <w:color w:val="231F1F"/>
          <w:w w:val="110"/>
          <w:sz w:val="22"/>
        </w:rPr>
        <w:t>ese</w:t>
      </w:r>
      <w:r>
        <w:rPr>
          <w:color w:val="231F1F"/>
          <w:spacing w:val="-8"/>
          <w:w w:val="110"/>
          <w:sz w:val="22"/>
        </w:rPr>
        <w:t> </w:t>
      </w:r>
      <w:r>
        <w:rPr>
          <w:color w:val="231F1F"/>
          <w:w w:val="110"/>
          <w:sz w:val="22"/>
        </w:rPr>
        <w:t>momento,</w:t>
      </w:r>
      <w:r>
        <w:rPr>
          <w:color w:val="231F1F"/>
          <w:spacing w:val="-9"/>
          <w:w w:val="110"/>
          <w:sz w:val="22"/>
        </w:rPr>
        <w:t> </w:t>
      </w:r>
      <w:r>
        <w:rPr>
          <w:color w:val="231F1F"/>
          <w:w w:val="110"/>
          <w:sz w:val="22"/>
        </w:rPr>
        <w:t>sobre</w:t>
      </w:r>
      <w:r>
        <w:rPr>
          <w:color w:val="231F1F"/>
          <w:spacing w:val="-8"/>
          <w:w w:val="110"/>
          <w:sz w:val="22"/>
        </w:rPr>
        <w:t> </w:t>
      </w:r>
      <w:r>
        <w:rPr>
          <w:color w:val="231F1F"/>
          <w:w w:val="110"/>
          <w:sz w:val="22"/>
        </w:rPr>
        <w:t>el</w:t>
      </w:r>
      <w:r>
        <w:rPr>
          <w:color w:val="231F1F"/>
          <w:spacing w:val="-8"/>
          <w:w w:val="110"/>
          <w:sz w:val="22"/>
        </w:rPr>
        <w:t> </w:t>
      </w:r>
      <w:r>
        <w:rPr>
          <w:color w:val="231F1F"/>
          <w:w w:val="110"/>
          <w:sz w:val="22"/>
        </w:rPr>
        <w:t>registro,</w:t>
      </w:r>
      <w:r>
        <w:rPr>
          <w:color w:val="231F1F"/>
          <w:spacing w:val="-8"/>
          <w:w w:val="110"/>
          <w:sz w:val="22"/>
        </w:rPr>
        <w:t> </w:t>
      </w:r>
      <w:r>
        <w:rPr>
          <w:color w:val="231F1F"/>
          <w:w w:val="110"/>
          <w:sz w:val="22"/>
        </w:rPr>
        <w:t>debiéndose</w:t>
      </w:r>
      <w:r>
        <w:rPr>
          <w:color w:val="231F1F"/>
          <w:spacing w:val="-8"/>
          <w:w w:val="110"/>
          <w:sz w:val="22"/>
        </w:rPr>
        <w:t> </w:t>
      </w:r>
      <w:r>
        <w:rPr>
          <w:color w:val="231F1F"/>
          <w:w w:val="110"/>
          <w:sz w:val="22"/>
        </w:rPr>
        <w:t>anotar</w:t>
      </w:r>
      <w:r>
        <w:rPr>
          <w:color w:val="231F1F"/>
          <w:spacing w:val="-8"/>
          <w:w w:val="110"/>
          <w:sz w:val="22"/>
        </w:rPr>
        <w:t> </w:t>
      </w:r>
      <w:r>
        <w:rPr>
          <w:color w:val="231F1F"/>
          <w:w w:val="110"/>
          <w:sz w:val="22"/>
        </w:rPr>
        <w:t>la</w:t>
      </w:r>
      <w:r>
        <w:rPr>
          <w:color w:val="231F1F"/>
          <w:spacing w:val="-8"/>
          <w:w w:val="110"/>
          <w:sz w:val="22"/>
        </w:rPr>
        <w:t> </w:t>
      </w:r>
      <w:r>
        <w:rPr>
          <w:color w:val="231F1F"/>
          <w:w w:val="110"/>
          <w:sz w:val="22"/>
        </w:rPr>
        <w:t>fecha</w:t>
      </w:r>
      <w:r>
        <w:rPr>
          <w:color w:val="231F1F"/>
          <w:spacing w:val="-8"/>
          <w:w w:val="110"/>
          <w:sz w:val="22"/>
        </w:rPr>
        <w:t> </w:t>
      </w:r>
      <w:r>
        <w:rPr>
          <w:color w:val="231F1F"/>
          <w:w w:val="110"/>
          <w:sz w:val="22"/>
        </w:rPr>
        <w:t>y</w:t>
      </w:r>
      <w:r>
        <w:rPr>
          <w:color w:val="231F1F"/>
          <w:spacing w:val="-8"/>
          <w:w w:val="110"/>
          <w:sz w:val="22"/>
        </w:rPr>
        <w:t> </w:t>
      </w:r>
      <w:r>
        <w:rPr>
          <w:color w:val="231F1F"/>
          <w:w w:val="110"/>
          <w:sz w:val="22"/>
        </w:rPr>
        <w:t>la</w:t>
      </w:r>
      <w:r>
        <w:rPr>
          <w:color w:val="231F1F"/>
          <w:spacing w:val="-8"/>
          <w:w w:val="110"/>
          <w:sz w:val="22"/>
        </w:rPr>
        <w:t> </w:t>
      </w:r>
      <w:r>
        <w:rPr>
          <w:color w:val="231F1F"/>
          <w:w w:val="110"/>
          <w:sz w:val="22"/>
        </w:rPr>
        <w:t>hora</w:t>
      </w:r>
      <w:r>
        <w:rPr>
          <w:color w:val="231F1F"/>
          <w:spacing w:val="-8"/>
          <w:w w:val="110"/>
          <w:sz w:val="22"/>
        </w:rPr>
        <w:t> </w:t>
      </w:r>
      <w:r>
        <w:rPr>
          <w:color w:val="231F1F"/>
          <w:w w:val="110"/>
          <w:sz w:val="22"/>
        </w:rPr>
        <w:t>en</w:t>
      </w:r>
      <w:r>
        <w:rPr>
          <w:color w:val="231F1F"/>
          <w:spacing w:val="-8"/>
          <w:w w:val="110"/>
          <w:sz w:val="22"/>
        </w:rPr>
        <w:t> </w:t>
      </w:r>
      <w:r>
        <w:rPr>
          <w:color w:val="231F1F"/>
          <w:w w:val="110"/>
          <w:sz w:val="22"/>
        </w:rPr>
        <w:t>que</w:t>
      </w:r>
      <w:r>
        <w:rPr>
          <w:color w:val="231F1F"/>
          <w:spacing w:val="-8"/>
          <w:w w:val="110"/>
          <w:sz w:val="22"/>
        </w:rPr>
        <w:t> </w:t>
      </w:r>
      <w:r>
        <w:rPr>
          <w:color w:val="231F1F"/>
          <w:w w:val="110"/>
          <w:sz w:val="22"/>
        </w:rPr>
        <w:t>su- </w:t>
      </w:r>
      <w:r>
        <w:rPr>
          <w:color w:val="231F1F"/>
          <w:spacing w:val="-2"/>
          <w:w w:val="110"/>
          <w:sz w:val="22"/>
        </w:rPr>
        <w:t>cede</w:t>
      </w:r>
      <w:r>
        <w:rPr>
          <w:color w:val="231F1F"/>
          <w:spacing w:val="-7"/>
          <w:w w:val="110"/>
          <w:sz w:val="22"/>
        </w:rPr>
        <w:t> </w:t>
      </w:r>
      <w:r>
        <w:rPr>
          <w:color w:val="231F1F"/>
          <w:spacing w:val="-2"/>
          <w:w w:val="110"/>
          <w:sz w:val="22"/>
        </w:rPr>
        <w:t>además</w:t>
      </w:r>
      <w:r>
        <w:rPr>
          <w:color w:val="231F1F"/>
          <w:spacing w:val="-7"/>
          <w:w w:val="110"/>
          <w:sz w:val="22"/>
        </w:rPr>
        <w:t> </w:t>
      </w:r>
      <w:r>
        <w:rPr>
          <w:color w:val="231F1F"/>
          <w:spacing w:val="-2"/>
          <w:w w:val="110"/>
          <w:sz w:val="22"/>
        </w:rPr>
        <w:t>de</w:t>
      </w:r>
      <w:r>
        <w:rPr>
          <w:color w:val="231F1F"/>
          <w:spacing w:val="-7"/>
          <w:w w:val="110"/>
          <w:sz w:val="22"/>
        </w:rPr>
        <w:t> </w:t>
      </w:r>
      <w:r>
        <w:rPr>
          <w:color w:val="231F1F"/>
          <w:spacing w:val="-2"/>
          <w:w w:val="110"/>
          <w:sz w:val="22"/>
        </w:rPr>
        <w:t>la</w:t>
      </w:r>
      <w:r>
        <w:rPr>
          <w:color w:val="231F1F"/>
          <w:spacing w:val="-7"/>
          <w:w w:val="110"/>
          <w:sz w:val="22"/>
        </w:rPr>
        <w:t> </w:t>
      </w:r>
      <w:r>
        <w:rPr>
          <w:color w:val="231F1F"/>
          <w:spacing w:val="-2"/>
          <w:w w:val="110"/>
          <w:sz w:val="22"/>
        </w:rPr>
        <w:t>firma</w:t>
      </w:r>
      <w:r>
        <w:rPr>
          <w:color w:val="231F1F"/>
          <w:spacing w:val="-7"/>
          <w:w w:val="110"/>
          <w:sz w:val="22"/>
        </w:rPr>
        <w:t> </w:t>
      </w:r>
      <w:r>
        <w:rPr>
          <w:color w:val="231F1F"/>
          <w:spacing w:val="-2"/>
          <w:w w:val="110"/>
          <w:sz w:val="22"/>
        </w:rPr>
        <w:t>(por</w:t>
      </w:r>
      <w:r>
        <w:rPr>
          <w:color w:val="231F1F"/>
          <w:spacing w:val="-7"/>
          <w:w w:val="110"/>
          <w:sz w:val="22"/>
        </w:rPr>
        <w:t> </w:t>
      </w:r>
      <w:r>
        <w:rPr>
          <w:color w:val="231F1F"/>
          <w:spacing w:val="-2"/>
          <w:w w:val="110"/>
          <w:sz w:val="22"/>
        </w:rPr>
        <w:t>ejemplo,</w:t>
      </w:r>
      <w:r>
        <w:rPr>
          <w:color w:val="231F1F"/>
          <w:spacing w:val="-8"/>
          <w:w w:val="110"/>
          <w:sz w:val="22"/>
        </w:rPr>
        <w:t> </w:t>
      </w:r>
      <w:r>
        <w:rPr>
          <w:color w:val="231F1F"/>
          <w:spacing w:val="-2"/>
          <w:w w:val="110"/>
          <w:sz w:val="22"/>
        </w:rPr>
        <w:t>tacto</w:t>
      </w:r>
      <w:r>
        <w:rPr>
          <w:color w:val="231F1F"/>
          <w:spacing w:val="-7"/>
          <w:w w:val="110"/>
          <w:sz w:val="22"/>
        </w:rPr>
        <w:t> </w:t>
      </w:r>
      <w:r>
        <w:rPr>
          <w:color w:val="231F1F"/>
          <w:spacing w:val="-2"/>
          <w:w w:val="110"/>
          <w:sz w:val="22"/>
        </w:rPr>
        <w:t>vaginal,</w:t>
      </w:r>
      <w:r>
        <w:rPr>
          <w:color w:val="231F1F"/>
          <w:spacing w:val="-8"/>
          <w:w w:val="110"/>
          <w:sz w:val="22"/>
        </w:rPr>
        <w:t> </w:t>
      </w:r>
      <w:r>
        <w:rPr>
          <w:color w:val="231F1F"/>
          <w:spacing w:val="-2"/>
          <w:w w:val="110"/>
          <w:sz w:val="22"/>
        </w:rPr>
        <w:t>microtoma</w:t>
      </w:r>
      <w:r>
        <w:rPr>
          <w:color w:val="231F1F"/>
          <w:spacing w:val="-7"/>
          <w:w w:val="110"/>
          <w:sz w:val="22"/>
        </w:rPr>
        <w:t> </w:t>
      </w:r>
      <w:r>
        <w:rPr>
          <w:color w:val="231F1F"/>
          <w:spacing w:val="-2"/>
          <w:w w:val="110"/>
          <w:sz w:val="22"/>
        </w:rPr>
        <w:t>o</w:t>
      </w:r>
      <w:r>
        <w:rPr>
          <w:color w:val="231F1F"/>
          <w:spacing w:val="-7"/>
          <w:w w:val="110"/>
          <w:sz w:val="22"/>
        </w:rPr>
        <w:t> </w:t>
      </w:r>
      <w:r>
        <w:rPr>
          <w:color w:val="231F1F"/>
          <w:spacing w:val="-2"/>
          <w:w w:val="110"/>
          <w:sz w:val="22"/>
        </w:rPr>
        <w:t>posición</w:t>
      </w:r>
      <w:r>
        <w:rPr>
          <w:color w:val="231F1F"/>
          <w:spacing w:val="-7"/>
          <w:w w:val="110"/>
          <w:sz w:val="22"/>
        </w:rPr>
        <w:t> </w:t>
      </w:r>
      <w:r>
        <w:rPr>
          <w:color w:val="231F1F"/>
          <w:spacing w:val="-2"/>
          <w:w w:val="110"/>
          <w:sz w:val="22"/>
        </w:rPr>
        <w:t>sentada </w:t>
      </w:r>
      <w:r>
        <w:rPr>
          <w:color w:val="231F1F"/>
          <w:w w:val="110"/>
          <w:sz w:val="22"/>
        </w:rPr>
        <w:t>para la epidural).</w:t>
      </w:r>
    </w:p>
    <w:p>
      <w:pPr>
        <w:pStyle w:val="ListParagraph"/>
        <w:numPr>
          <w:ilvl w:val="0"/>
          <w:numId w:val="105"/>
        </w:numPr>
        <w:tabs>
          <w:tab w:pos="961" w:val="left" w:leader="none"/>
          <w:tab w:pos="965" w:val="left" w:leader="none"/>
        </w:tabs>
        <w:spacing w:line="244" w:lineRule="auto" w:before="133" w:after="0"/>
        <w:ind w:left="965" w:right="113" w:hanging="228"/>
        <w:jc w:val="both"/>
        <w:rPr>
          <w:sz w:val="22"/>
        </w:rPr>
      </w:pPr>
      <w:r>
        <w:rPr>
          <w:color w:val="231F1F"/>
          <w:w w:val="105"/>
          <w:sz w:val="22"/>
        </w:rPr>
        <w:t>Cualquier</w:t>
      </w:r>
      <w:r>
        <w:rPr>
          <w:color w:val="231F1F"/>
          <w:w w:val="105"/>
          <w:sz w:val="22"/>
        </w:rPr>
        <w:t> miembro</w:t>
      </w:r>
      <w:r>
        <w:rPr>
          <w:color w:val="231F1F"/>
          <w:w w:val="105"/>
          <w:sz w:val="22"/>
        </w:rPr>
        <w:t> del</w:t>
      </w:r>
      <w:r>
        <w:rPr>
          <w:color w:val="231F1F"/>
          <w:w w:val="105"/>
          <w:sz w:val="22"/>
        </w:rPr>
        <w:t> personal</w:t>
      </w:r>
      <w:r>
        <w:rPr>
          <w:color w:val="231F1F"/>
          <w:w w:val="105"/>
          <w:sz w:val="22"/>
        </w:rPr>
        <w:t> a</w:t>
      </w:r>
      <w:r>
        <w:rPr>
          <w:color w:val="231F1F"/>
          <w:w w:val="105"/>
          <w:sz w:val="22"/>
        </w:rPr>
        <w:t> quien</w:t>
      </w:r>
      <w:r>
        <w:rPr>
          <w:color w:val="231F1F"/>
          <w:w w:val="105"/>
          <w:sz w:val="22"/>
        </w:rPr>
        <w:t> se</w:t>
      </w:r>
      <w:r>
        <w:rPr>
          <w:color w:val="231F1F"/>
          <w:w w:val="105"/>
          <w:sz w:val="22"/>
        </w:rPr>
        <w:t> le</w:t>
      </w:r>
      <w:r>
        <w:rPr>
          <w:color w:val="231F1F"/>
          <w:w w:val="105"/>
          <w:sz w:val="22"/>
        </w:rPr>
        <w:t> pida</w:t>
      </w:r>
      <w:r>
        <w:rPr>
          <w:color w:val="231F1F"/>
          <w:w w:val="105"/>
          <w:sz w:val="22"/>
        </w:rPr>
        <w:t> que</w:t>
      </w:r>
      <w:r>
        <w:rPr>
          <w:color w:val="231F1F"/>
          <w:w w:val="105"/>
          <w:sz w:val="22"/>
        </w:rPr>
        <w:t> proporcione</w:t>
      </w:r>
      <w:r>
        <w:rPr>
          <w:color w:val="231F1F"/>
          <w:w w:val="105"/>
          <w:sz w:val="22"/>
        </w:rPr>
        <w:t> una</w:t>
      </w:r>
      <w:r>
        <w:rPr>
          <w:color w:val="231F1F"/>
          <w:w w:val="105"/>
          <w:sz w:val="22"/>
        </w:rPr>
        <w:t> opinión acerca de un registro, debe anotar sus conclusiones sobre el registro así como en la historia, junto con la fecha, hora y firma.</w:t>
      </w:r>
    </w:p>
    <w:p>
      <w:pPr>
        <w:pStyle w:val="ListParagraph"/>
        <w:numPr>
          <w:ilvl w:val="0"/>
          <w:numId w:val="105"/>
        </w:numPr>
        <w:tabs>
          <w:tab w:pos="961" w:val="left" w:leader="none"/>
        </w:tabs>
        <w:spacing w:line="240" w:lineRule="auto" w:before="138" w:after="0"/>
        <w:ind w:left="961" w:right="0" w:hanging="224"/>
        <w:jc w:val="left"/>
        <w:rPr>
          <w:sz w:val="22"/>
        </w:rPr>
      </w:pPr>
      <w:r>
        <w:rPr>
          <w:color w:val="231F1F"/>
          <w:sz w:val="22"/>
        </w:rPr>
        <w:t>Después</w:t>
      </w:r>
      <w:r>
        <w:rPr>
          <w:color w:val="231F1F"/>
          <w:spacing w:val="29"/>
          <w:sz w:val="22"/>
        </w:rPr>
        <w:t> </w:t>
      </w:r>
      <w:r>
        <w:rPr>
          <w:color w:val="231F1F"/>
          <w:sz w:val="22"/>
        </w:rPr>
        <w:t>del</w:t>
      </w:r>
      <w:r>
        <w:rPr>
          <w:color w:val="231F1F"/>
          <w:spacing w:val="27"/>
          <w:sz w:val="22"/>
        </w:rPr>
        <w:t> </w:t>
      </w:r>
      <w:r>
        <w:rPr>
          <w:color w:val="231F1F"/>
          <w:sz w:val="22"/>
        </w:rPr>
        <w:t>nacimiento</w:t>
      </w:r>
      <w:r>
        <w:rPr>
          <w:color w:val="231F1F"/>
          <w:spacing w:val="31"/>
          <w:sz w:val="22"/>
        </w:rPr>
        <w:t> </w:t>
      </w:r>
      <w:r>
        <w:rPr>
          <w:color w:val="231F1F"/>
          <w:sz w:val="22"/>
        </w:rPr>
        <w:t>se</w:t>
      </w:r>
      <w:r>
        <w:rPr>
          <w:color w:val="231F1F"/>
          <w:spacing w:val="32"/>
          <w:sz w:val="22"/>
        </w:rPr>
        <w:t> </w:t>
      </w:r>
      <w:r>
        <w:rPr>
          <w:color w:val="231F1F"/>
          <w:sz w:val="22"/>
        </w:rPr>
        <w:t>anotará</w:t>
      </w:r>
      <w:r>
        <w:rPr>
          <w:color w:val="231F1F"/>
          <w:spacing w:val="31"/>
          <w:sz w:val="22"/>
        </w:rPr>
        <w:t> </w:t>
      </w:r>
      <w:r>
        <w:rPr>
          <w:color w:val="231F1F"/>
          <w:sz w:val="22"/>
        </w:rPr>
        <w:t>en</w:t>
      </w:r>
      <w:r>
        <w:rPr>
          <w:color w:val="231F1F"/>
          <w:spacing w:val="31"/>
          <w:sz w:val="22"/>
        </w:rPr>
        <w:t> </w:t>
      </w:r>
      <w:r>
        <w:rPr>
          <w:color w:val="231F1F"/>
          <w:sz w:val="22"/>
        </w:rPr>
        <w:t>el</w:t>
      </w:r>
      <w:r>
        <w:rPr>
          <w:color w:val="231F1F"/>
          <w:spacing w:val="32"/>
          <w:sz w:val="22"/>
        </w:rPr>
        <w:t> </w:t>
      </w:r>
      <w:r>
        <w:rPr>
          <w:color w:val="231F1F"/>
          <w:sz w:val="22"/>
        </w:rPr>
        <w:t>registro</w:t>
      </w:r>
      <w:r>
        <w:rPr>
          <w:color w:val="231F1F"/>
          <w:spacing w:val="30"/>
          <w:sz w:val="22"/>
        </w:rPr>
        <w:t> </w:t>
      </w:r>
      <w:r>
        <w:rPr>
          <w:color w:val="231F1F"/>
          <w:sz w:val="22"/>
        </w:rPr>
        <w:t>la</w:t>
      </w:r>
      <w:r>
        <w:rPr>
          <w:color w:val="231F1F"/>
          <w:spacing w:val="31"/>
          <w:sz w:val="22"/>
        </w:rPr>
        <w:t> </w:t>
      </w:r>
      <w:r>
        <w:rPr>
          <w:color w:val="231F1F"/>
          <w:sz w:val="22"/>
        </w:rPr>
        <w:t>fecha,</w:t>
      </w:r>
      <w:r>
        <w:rPr>
          <w:color w:val="231F1F"/>
          <w:spacing w:val="27"/>
          <w:sz w:val="22"/>
        </w:rPr>
        <w:t> </w:t>
      </w:r>
      <w:r>
        <w:rPr>
          <w:color w:val="231F1F"/>
          <w:sz w:val="22"/>
        </w:rPr>
        <w:t>hora</w:t>
      </w:r>
      <w:r>
        <w:rPr>
          <w:color w:val="231F1F"/>
          <w:spacing w:val="31"/>
          <w:sz w:val="22"/>
        </w:rPr>
        <w:t> </w:t>
      </w:r>
      <w:r>
        <w:rPr>
          <w:color w:val="231F1F"/>
          <w:sz w:val="22"/>
        </w:rPr>
        <w:t>y</w:t>
      </w:r>
      <w:r>
        <w:rPr>
          <w:color w:val="231F1F"/>
          <w:spacing w:val="32"/>
          <w:sz w:val="22"/>
        </w:rPr>
        <w:t> </w:t>
      </w:r>
      <w:r>
        <w:rPr>
          <w:color w:val="231F1F"/>
          <w:sz w:val="22"/>
        </w:rPr>
        <w:t>tipo</w:t>
      </w:r>
      <w:r>
        <w:rPr>
          <w:color w:val="231F1F"/>
          <w:spacing w:val="31"/>
          <w:sz w:val="22"/>
        </w:rPr>
        <w:t> </w:t>
      </w:r>
      <w:r>
        <w:rPr>
          <w:color w:val="231F1F"/>
          <w:sz w:val="22"/>
        </w:rPr>
        <w:t>de</w:t>
      </w:r>
      <w:r>
        <w:rPr>
          <w:color w:val="231F1F"/>
          <w:spacing w:val="31"/>
          <w:sz w:val="22"/>
        </w:rPr>
        <w:t> </w:t>
      </w:r>
      <w:r>
        <w:rPr>
          <w:color w:val="231F1F"/>
          <w:spacing w:val="-2"/>
          <w:sz w:val="22"/>
        </w:rPr>
        <w:t>parto.</w:t>
      </w:r>
    </w:p>
    <w:p>
      <w:pPr>
        <w:pStyle w:val="BodyText"/>
        <w:spacing w:before="179"/>
      </w:pPr>
    </w:p>
    <w:p>
      <w:pPr>
        <w:spacing w:before="1"/>
        <w:ind w:left="283" w:right="0" w:firstLine="0"/>
        <w:jc w:val="left"/>
        <w:rPr>
          <w:rFonts w:ascii="Arial MT" w:hAnsi="Arial MT"/>
          <w:sz w:val="24"/>
        </w:rPr>
      </w:pPr>
      <w:r>
        <w:rPr>
          <w:rFonts w:ascii="Arial MT" w:hAnsi="Arial MT"/>
          <w:color w:val="231F1F"/>
          <w:w w:val="105"/>
          <w:sz w:val="24"/>
        </w:rPr>
        <w:t>Clasificación</w:t>
      </w:r>
      <w:r>
        <w:rPr>
          <w:rFonts w:ascii="Arial MT" w:hAnsi="Arial MT"/>
          <w:color w:val="231F1F"/>
          <w:spacing w:val="-13"/>
          <w:w w:val="105"/>
          <w:sz w:val="24"/>
        </w:rPr>
        <w:t> </w:t>
      </w:r>
      <w:r>
        <w:rPr>
          <w:rFonts w:ascii="Arial MT" w:hAnsi="Arial MT"/>
          <w:color w:val="231F1F"/>
          <w:w w:val="105"/>
          <w:sz w:val="24"/>
        </w:rPr>
        <w:t>de</w:t>
      </w:r>
      <w:r>
        <w:rPr>
          <w:rFonts w:ascii="Arial MT" w:hAnsi="Arial MT"/>
          <w:color w:val="231F1F"/>
          <w:spacing w:val="-13"/>
          <w:w w:val="105"/>
          <w:sz w:val="24"/>
        </w:rPr>
        <w:t> </w:t>
      </w:r>
      <w:r>
        <w:rPr>
          <w:rFonts w:ascii="Arial MT" w:hAnsi="Arial MT"/>
          <w:color w:val="231F1F"/>
          <w:w w:val="105"/>
          <w:sz w:val="24"/>
        </w:rPr>
        <w:t>la</w:t>
      </w:r>
      <w:r>
        <w:rPr>
          <w:rFonts w:ascii="Arial MT" w:hAnsi="Arial MT"/>
          <w:color w:val="231F1F"/>
          <w:spacing w:val="-15"/>
          <w:w w:val="105"/>
          <w:sz w:val="24"/>
        </w:rPr>
        <w:t> </w:t>
      </w:r>
      <w:r>
        <w:rPr>
          <w:rFonts w:ascii="Arial MT" w:hAnsi="Arial MT"/>
          <w:color w:val="231F1F"/>
          <w:w w:val="105"/>
          <w:sz w:val="24"/>
        </w:rPr>
        <w:t>CTG</w:t>
      </w:r>
      <w:r>
        <w:rPr>
          <w:rFonts w:ascii="Arial MT" w:hAnsi="Arial MT"/>
          <w:color w:val="231F1F"/>
          <w:spacing w:val="-11"/>
          <w:w w:val="105"/>
          <w:sz w:val="24"/>
        </w:rPr>
        <w:t> </w:t>
      </w:r>
      <w:r>
        <w:rPr>
          <w:rFonts w:ascii="Arial MT" w:hAnsi="Arial MT"/>
          <w:color w:val="231F1F"/>
          <w:w w:val="105"/>
          <w:sz w:val="24"/>
        </w:rPr>
        <w:t>en</w:t>
      </w:r>
      <w:r>
        <w:rPr>
          <w:rFonts w:ascii="Arial MT" w:hAnsi="Arial MT"/>
          <w:color w:val="231F1F"/>
          <w:spacing w:val="-15"/>
          <w:w w:val="105"/>
          <w:sz w:val="24"/>
        </w:rPr>
        <w:t> </w:t>
      </w:r>
      <w:r>
        <w:rPr>
          <w:rFonts w:ascii="Arial MT" w:hAnsi="Arial MT"/>
          <w:color w:val="231F1F"/>
          <w:w w:val="105"/>
          <w:sz w:val="24"/>
        </w:rPr>
        <w:t>función</w:t>
      </w:r>
      <w:r>
        <w:rPr>
          <w:rFonts w:ascii="Arial MT" w:hAnsi="Arial MT"/>
          <w:color w:val="231F1F"/>
          <w:spacing w:val="-13"/>
          <w:w w:val="105"/>
          <w:sz w:val="24"/>
        </w:rPr>
        <w:t> </w:t>
      </w:r>
      <w:r>
        <w:rPr>
          <w:rFonts w:ascii="Arial MT" w:hAnsi="Arial MT"/>
          <w:color w:val="231F1F"/>
          <w:w w:val="105"/>
          <w:sz w:val="24"/>
        </w:rPr>
        <w:t>de</w:t>
      </w:r>
      <w:r>
        <w:rPr>
          <w:rFonts w:ascii="Arial MT" w:hAnsi="Arial MT"/>
          <w:color w:val="231F1F"/>
          <w:spacing w:val="-15"/>
          <w:w w:val="105"/>
          <w:sz w:val="24"/>
        </w:rPr>
        <w:t> </w:t>
      </w:r>
      <w:r>
        <w:rPr>
          <w:rFonts w:ascii="Arial MT" w:hAnsi="Arial MT"/>
          <w:color w:val="231F1F"/>
          <w:w w:val="105"/>
          <w:sz w:val="24"/>
        </w:rPr>
        <w:t>la</w:t>
      </w:r>
      <w:r>
        <w:rPr>
          <w:rFonts w:ascii="Arial MT" w:hAnsi="Arial MT"/>
          <w:color w:val="231F1F"/>
          <w:spacing w:val="-13"/>
          <w:w w:val="105"/>
          <w:sz w:val="24"/>
        </w:rPr>
        <w:t> </w:t>
      </w:r>
      <w:r>
        <w:rPr>
          <w:rFonts w:ascii="Arial MT" w:hAnsi="Arial MT"/>
          <w:color w:val="231F1F"/>
          <w:w w:val="105"/>
          <w:sz w:val="24"/>
        </w:rPr>
        <w:t>frecuencia</w:t>
      </w:r>
      <w:r>
        <w:rPr>
          <w:rFonts w:ascii="Arial MT" w:hAnsi="Arial MT"/>
          <w:color w:val="231F1F"/>
          <w:spacing w:val="-13"/>
          <w:w w:val="105"/>
          <w:sz w:val="24"/>
        </w:rPr>
        <w:t> </w:t>
      </w:r>
      <w:r>
        <w:rPr>
          <w:rFonts w:ascii="Arial MT" w:hAnsi="Arial MT"/>
          <w:color w:val="231F1F"/>
          <w:w w:val="105"/>
          <w:sz w:val="24"/>
        </w:rPr>
        <w:t>cardiaca</w:t>
      </w:r>
      <w:r>
        <w:rPr>
          <w:rFonts w:ascii="Arial MT" w:hAnsi="Arial MT"/>
          <w:color w:val="231F1F"/>
          <w:spacing w:val="-13"/>
          <w:w w:val="105"/>
          <w:sz w:val="24"/>
        </w:rPr>
        <w:t> </w:t>
      </w:r>
      <w:r>
        <w:rPr>
          <w:rFonts w:ascii="Arial MT" w:hAnsi="Arial MT"/>
          <w:color w:val="231F1F"/>
          <w:spacing w:val="-2"/>
          <w:w w:val="105"/>
          <w:sz w:val="24"/>
        </w:rPr>
        <w:t>fetal</w:t>
      </w:r>
    </w:p>
    <w:p>
      <w:pPr>
        <w:pStyle w:val="BodyText"/>
        <w:spacing w:before="8" w:after="1"/>
        <w:rPr>
          <w:rFonts w:ascii="Arial MT"/>
          <w:sz w:val="19"/>
        </w:rPr>
      </w:pPr>
    </w:p>
    <w:tbl>
      <w:tblPr>
        <w:tblW w:w="0" w:type="auto"/>
        <w:jc w:val="left"/>
        <w:tblInd w:w="297" w:type="dxa"/>
        <w:tblBorders>
          <w:top w:val="single" w:sz="4" w:space="0" w:color="A30046"/>
          <w:left w:val="single" w:sz="4" w:space="0" w:color="A30046"/>
          <w:bottom w:val="single" w:sz="4" w:space="0" w:color="A30046"/>
          <w:right w:val="single" w:sz="4" w:space="0" w:color="A30046"/>
          <w:insideH w:val="single" w:sz="4" w:space="0" w:color="A30046"/>
          <w:insideV w:val="single" w:sz="4" w:space="0" w:color="A30046"/>
        </w:tblBorders>
        <w:tblLayout w:type="fixed"/>
        <w:tblCellMar>
          <w:top w:w="0" w:type="dxa"/>
          <w:left w:w="0" w:type="dxa"/>
          <w:bottom w:w="0" w:type="dxa"/>
          <w:right w:w="0" w:type="dxa"/>
        </w:tblCellMar>
        <w:tblLook w:val="01E0"/>
      </w:tblPr>
      <w:tblGrid>
        <w:gridCol w:w="1589"/>
        <w:gridCol w:w="1565"/>
        <w:gridCol w:w="1552"/>
        <w:gridCol w:w="2068"/>
        <w:gridCol w:w="1715"/>
      </w:tblGrid>
      <w:tr>
        <w:trPr>
          <w:trHeight w:val="566" w:hRule="atLeast"/>
        </w:trPr>
        <w:tc>
          <w:tcPr>
            <w:tcW w:w="1589" w:type="dxa"/>
            <w:shd w:val="clear" w:color="auto" w:fill="E8C3C8"/>
          </w:tcPr>
          <w:p>
            <w:pPr>
              <w:pStyle w:val="TableParagraph"/>
              <w:spacing w:before="171"/>
              <w:ind w:left="269"/>
              <w:rPr>
                <w:rFonts w:ascii="Arial MT" w:hAnsi="Arial MT"/>
                <w:sz w:val="18"/>
              </w:rPr>
            </w:pPr>
            <w:r>
              <w:rPr>
                <w:rFonts w:ascii="Arial MT" w:hAnsi="Arial MT"/>
                <w:color w:val="231F1F"/>
                <w:spacing w:val="-2"/>
                <w:sz w:val="18"/>
              </w:rPr>
              <w:t>Clasificación</w:t>
            </w:r>
          </w:p>
        </w:tc>
        <w:tc>
          <w:tcPr>
            <w:tcW w:w="1565" w:type="dxa"/>
            <w:tcBorders>
              <w:right w:val="nil"/>
            </w:tcBorders>
            <w:shd w:val="clear" w:color="auto" w:fill="E8C3C8"/>
          </w:tcPr>
          <w:p>
            <w:pPr>
              <w:pStyle w:val="TableParagraph"/>
              <w:spacing w:line="232" w:lineRule="auto" w:before="76"/>
              <w:ind w:left="233" w:firstLine="105"/>
              <w:rPr>
                <w:rFonts w:ascii="Arial MT"/>
                <w:sz w:val="18"/>
              </w:rPr>
            </w:pPr>
            <w:r>
              <w:rPr>
                <w:rFonts w:ascii="Arial MT"/>
                <w:color w:val="231F1F"/>
                <w:spacing w:val="-2"/>
                <w:sz w:val="18"/>
              </w:rPr>
              <w:t>Frecuencia cardiaca</w:t>
            </w:r>
            <w:r>
              <w:rPr>
                <w:rFonts w:ascii="Arial MT"/>
                <w:color w:val="231F1F"/>
                <w:spacing w:val="-15"/>
                <w:sz w:val="18"/>
              </w:rPr>
              <w:t> </w:t>
            </w:r>
            <w:r>
              <w:rPr>
                <w:rFonts w:ascii="Arial MT"/>
                <w:color w:val="231F1F"/>
                <w:spacing w:val="-2"/>
                <w:sz w:val="18"/>
              </w:rPr>
              <w:t>(l/m)</w:t>
            </w:r>
          </w:p>
        </w:tc>
        <w:tc>
          <w:tcPr>
            <w:tcW w:w="1552" w:type="dxa"/>
            <w:tcBorders>
              <w:left w:val="nil"/>
              <w:right w:val="nil"/>
            </w:tcBorders>
            <w:shd w:val="clear" w:color="auto" w:fill="E8C3C8"/>
          </w:tcPr>
          <w:p>
            <w:pPr>
              <w:pStyle w:val="TableParagraph"/>
              <w:spacing w:line="232" w:lineRule="auto" w:before="76"/>
              <w:ind w:left="637" w:right="22" w:hanging="306"/>
              <w:rPr>
                <w:rFonts w:ascii="Arial MT"/>
                <w:sz w:val="18"/>
              </w:rPr>
            </w:pPr>
            <w:r>
              <w:rPr>
                <w:rFonts w:ascii="Arial MT"/>
                <w:color w:val="231F1F"/>
                <w:spacing w:val="-6"/>
                <w:sz w:val="18"/>
              </w:rPr>
              <w:t>Variabilidad </w:t>
            </w:r>
            <w:r>
              <w:rPr>
                <w:rFonts w:ascii="Arial MT"/>
                <w:color w:val="231F1F"/>
                <w:spacing w:val="-2"/>
                <w:sz w:val="18"/>
              </w:rPr>
              <w:t>(l/m)</w:t>
            </w:r>
          </w:p>
        </w:tc>
        <w:tc>
          <w:tcPr>
            <w:tcW w:w="2068" w:type="dxa"/>
            <w:tcBorders>
              <w:left w:val="nil"/>
              <w:right w:val="nil"/>
            </w:tcBorders>
            <w:shd w:val="clear" w:color="auto" w:fill="E8C3C8"/>
          </w:tcPr>
          <w:p>
            <w:pPr>
              <w:pStyle w:val="TableParagraph"/>
              <w:spacing w:before="171"/>
              <w:ind w:left="342"/>
              <w:rPr>
                <w:rFonts w:ascii="Arial MT"/>
                <w:sz w:val="18"/>
              </w:rPr>
            </w:pPr>
            <w:r>
              <w:rPr>
                <w:rFonts w:ascii="Arial MT"/>
                <w:color w:val="231F1F"/>
                <w:spacing w:val="-2"/>
                <w:sz w:val="18"/>
              </w:rPr>
              <w:t>Desaceleraciones</w:t>
            </w:r>
          </w:p>
        </w:tc>
        <w:tc>
          <w:tcPr>
            <w:tcW w:w="1715" w:type="dxa"/>
            <w:tcBorders>
              <w:left w:val="nil"/>
            </w:tcBorders>
            <w:shd w:val="clear" w:color="auto" w:fill="E8C3C8"/>
          </w:tcPr>
          <w:p>
            <w:pPr>
              <w:pStyle w:val="TableParagraph"/>
              <w:spacing w:before="171"/>
              <w:ind w:left="292"/>
              <w:rPr>
                <w:rFonts w:ascii="Arial MT"/>
                <w:sz w:val="18"/>
              </w:rPr>
            </w:pPr>
            <w:r>
              <w:rPr>
                <w:rFonts w:ascii="Arial MT"/>
                <w:color w:val="231F1F"/>
                <w:spacing w:val="-2"/>
                <w:sz w:val="18"/>
              </w:rPr>
              <w:t>Aceleraciones</w:t>
            </w:r>
          </w:p>
        </w:tc>
      </w:tr>
      <w:tr>
        <w:trPr>
          <w:trHeight w:val="566" w:hRule="atLeast"/>
        </w:trPr>
        <w:tc>
          <w:tcPr>
            <w:tcW w:w="1589" w:type="dxa"/>
          </w:tcPr>
          <w:p>
            <w:pPr>
              <w:pStyle w:val="TableParagraph"/>
              <w:spacing w:line="204" w:lineRule="exact" w:before="71"/>
              <w:rPr>
                <w:rFonts w:ascii="Arial MT"/>
                <w:sz w:val="18"/>
              </w:rPr>
            </w:pPr>
            <w:r>
              <w:rPr>
                <w:rFonts w:ascii="Arial MT"/>
                <w:color w:val="231F1F"/>
                <w:spacing w:val="-5"/>
                <w:sz w:val="18"/>
              </w:rPr>
              <w:t>CTG</w:t>
            </w:r>
          </w:p>
          <w:p>
            <w:pPr>
              <w:pStyle w:val="TableParagraph"/>
              <w:spacing w:line="204" w:lineRule="exact"/>
              <w:rPr>
                <w:rFonts w:ascii="Arial MT"/>
                <w:sz w:val="18"/>
              </w:rPr>
            </w:pPr>
            <w:r>
              <w:rPr>
                <w:rFonts w:ascii="Arial MT"/>
                <w:color w:val="231F1F"/>
                <w:spacing w:val="-2"/>
                <w:sz w:val="18"/>
              </w:rPr>
              <w:t>tranquilizador</w:t>
            </w:r>
          </w:p>
        </w:tc>
        <w:tc>
          <w:tcPr>
            <w:tcW w:w="1565" w:type="dxa"/>
            <w:tcBorders>
              <w:right w:val="nil"/>
            </w:tcBorders>
          </w:tcPr>
          <w:p>
            <w:pPr>
              <w:pStyle w:val="TableParagraph"/>
              <w:spacing w:before="171"/>
              <w:ind w:left="318"/>
              <w:rPr>
                <w:rFonts w:ascii="Arial MT"/>
                <w:sz w:val="18"/>
              </w:rPr>
            </w:pPr>
            <w:r>
              <w:rPr>
                <w:rFonts w:ascii="Arial MT"/>
                <w:color w:val="231F1F"/>
                <w:spacing w:val="-2"/>
                <w:sz w:val="18"/>
              </w:rPr>
              <w:t>110-160</w:t>
            </w:r>
            <w:r>
              <w:rPr>
                <w:rFonts w:ascii="Arial MT"/>
                <w:color w:val="231F1F"/>
                <w:sz w:val="18"/>
              </w:rPr>
              <w:t> </w:t>
            </w:r>
            <w:r>
              <w:rPr>
                <w:rFonts w:ascii="Arial MT"/>
                <w:color w:val="231F1F"/>
                <w:spacing w:val="-5"/>
                <w:sz w:val="18"/>
              </w:rPr>
              <w:t>l/m</w:t>
            </w:r>
          </w:p>
        </w:tc>
        <w:tc>
          <w:tcPr>
            <w:tcW w:w="1552" w:type="dxa"/>
            <w:tcBorders>
              <w:left w:val="nil"/>
              <w:right w:val="nil"/>
            </w:tcBorders>
          </w:tcPr>
          <w:p>
            <w:pPr>
              <w:pStyle w:val="TableParagraph"/>
              <w:spacing w:before="174"/>
              <w:ind w:left="98" w:right="6"/>
              <w:jc w:val="center"/>
              <w:rPr>
                <w:rFonts w:ascii="Arial MT" w:hAnsi="Arial MT"/>
                <w:sz w:val="18"/>
              </w:rPr>
            </w:pPr>
            <w:r>
              <w:rPr>
                <w:rFonts w:ascii="Symbol" w:hAnsi="Symbol"/>
                <w:color w:val="231F1F"/>
                <w:spacing w:val="-5"/>
                <w:sz w:val="18"/>
              </w:rPr>
              <w:t></w:t>
            </w:r>
            <w:r>
              <w:rPr>
                <w:rFonts w:ascii="Arial MT" w:hAnsi="Arial MT"/>
                <w:color w:val="231F1F"/>
                <w:spacing w:val="-5"/>
                <w:sz w:val="18"/>
              </w:rPr>
              <w:t>5</w:t>
            </w:r>
          </w:p>
        </w:tc>
        <w:tc>
          <w:tcPr>
            <w:tcW w:w="2068" w:type="dxa"/>
            <w:tcBorders>
              <w:left w:val="nil"/>
              <w:right w:val="nil"/>
            </w:tcBorders>
          </w:tcPr>
          <w:p>
            <w:pPr>
              <w:pStyle w:val="TableParagraph"/>
              <w:spacing w:before="171"/>
              <w:ind w:left="314"/>
              <w:rPr>
                <w:rFonts w:ascii="Arial MT"/>
                <w:sz w:val="18"/>
              </w:rPr>
            </w:pPr>
            <w:r>
              <w:rPr>
                <w:rFonts w:ascii="Arial MT"/>
                <w:color w:val="231F1F"/>
                <w:spacing w:val="-2"/>
                <w:sz w:val="18"/>
              </w:rPr>
              <w:t>Ninguna</w:t>
            </w:r>
          </w:p>
        </w:tc>
        <w:tc>
          <w:tcPr>
            <w:tcW w:w="1715" w:type="dxa"/>
            <w:tcBorders>
              <w:left w:val="nil"/>
            </w:tcBorders>
          </w:tcPr>
          <w:p>
            <w:pPr>
              <w:pStyle w:val="TableParagraph"/>
              <w:spacing w:before="171"/>
              <w:ind w:left="145"/>
              <w:rPr>
                <w:rFonts w:ascii="Arial MT"/>
                <w:sz w:val="18"/>
              </w:rPr>
            </w:pPr>
            <w:r>
              <w:rPr>
                <w:rFonts w:ascii="Arial MT"/>
                <w:color w:val="231F1F"/>
                <w:spacing w:val="-2"/>
                <w:sz w:val="18"/>
              </w:rPr>
              <w:t>Presentes</w:t>
            </w:r>
          </w:p>
        </w:tc>
      </w:tr>
      <w:tr>
        <w:trPr>
          <w:trHeight w:val="260" w:hRule="atLeast"/>
        </w:trPr>
        <w:tc>
          <w:tcPr>
            <w:tcW w:w="1589" w:type="dxa"/>
            <w:tcBorders>
              <w:bottom w:val="nil"/>
            </w:tcBorders>
          </w:tcPr>
          <w:p>
            <w:pPr>
              <w:pStyle w:val="TableParagraph"/>
              <w:spacing w:line="193" w:lineRule="exact" w:before="47"/>
              <w:rPr>
                <w:rFonts w:ascii="Arial MT"/>
                <w:sz w:val="18"/>
              </w:rPr>
            </w:pPr>
            <w:r>
              <w:rPr>
                <w:rFonts w:ascii="Arial MT"/>
                <w:color w:val="231F1F"/>
                <w:spacing w:val="-5"/>
                <w:sz w:val="18"/>
              </w:rPr>
              <w:t>CTG</w:t>
            </w:r>
          </w:p>
        </w:tc>
        <w:tc>
          <w:tcPr>
            <w:tcW w:w="1565" w:type="dxa"/>
            <w:vMerge w:val="restart"/>
            <w:tcBorders>
              <w:right w:val="nil"/>
            </w:tcBorders>
          </w:tcPr>
          <w:p>
            <w:pPr>
              <w:pStyle w:val="TableParagraph"/>
              <w:spacing w:before="71"/>
              <w:ind w:left="319"/>
              <w:rPr>
                <w:rFonts w:ascii="Arial MT"/>
                <w:sz w:val="18"/>
              </w:rPr>
            </w:pPr>
            <w:r>
              <w:rPr>
                <w:rFonts w:ascii="Arial MT"/>
                <w:color w:val="231F1F"/>
                <w:spacing w:val="-2"/>
                <w:sz w:val="18"/>
              </w:rPr>
              <w:t>100-109</w:t>
            </w:r>
            <w:r>
              <w:rPr>
                <w:rFonts w:ascii="Arial MT"/>
                <w:color w:val="231F1F"/>
                <w:sz w:val="18"/>
              </w:rPr>
              <w:t> </w:t>
            </w:r>
            <w:r>
              <w:rPr>
                <w:rFonts w:ascii="Arial MT"/>
                <w:color w:val="231F1F"/>
                <w:spacing w:val="-5"/>
                <w:sz w:val="18"/>
              </w:rPr>
              <w:t>l/m</w:t>
            </w:r>
          </w:p>
          <w:p>
            <w:pPr>
              <w:pStyle w:val="TableParagraph"/>
              <w:spacing w:before="129"/>
              <w:ind w:left="319"/>
              <w:rPr>
                <w:rFonts w:ascii="Arial MT"/>
                <w:sz w:val="18"/>
              </w:rPr>
            </w:pPr>
            <w:r>
              <w:rPr>
                <w:rFonts w:ascii="Arial MT"/>
                <w:color w:val="231F1F"/>
                <w:spacing w:val="-2"/>
                <w:sz w:val="18"/>
              </w:rPr>
              <w:t>161-180</w:t>
            </w:r>
            <w:r>
              <w:rPr>
                <w:rFonts w:ascii="Arial MT"/>
                <w:color w:val="231F1F"/>
                <w:sz w:val="18"/>
              </w:rPr>
              <w:t> </w:t>
            </w:r>
            <w:r>
              <w:rPr>
                <w:rFonts w:ascii="Arial MT"/>
                <w:color w:val="231F1F"/>
                <w:spacing w:val="-5"/>
                <w:sz w:val="18"/>
              </w:rPr>
              <w:t>l/m</w:t>
            </w:r>
          </w:p>
        </w:tc>
        <w:tc>
          <w:tcPr>
            <w:tcW w:w="1552" w:type="dxa"/>
            <w:vMerge w:val="restart"/>
            <w:tcBorders>
              <w:left w:val="nil"/>
              <w:right w:val="nil"/>
            </w:tcBorders>
          </w:tcPr>
          <w:p>
            <w:pPr>
              <w:pStyle w:val="TableParagraph"/>
              <w:spacing w:line="207" w:lineRule="exact" w:before="66"/>
              <w:ind w:left="98"/>
              <w:jc w:val="center"/>
              <w:rPr>
                <w:rFonts w:ascii="Arial MT"/>
                <w:sz w:val="18"/>
              </w:rPr>
            </w:pPr>
            <w:r>
              <w:rPr>
                <w:rFonts w:ascii="Arial MT"/>
                <w:color w:val="231F1F"/>
                <w:sz w:val="18"/>
              </w:rPr>
              <w:t>&lt;5</w:t>
            </w:r>
            <w:r>
              <w:rPr>
                <w:rFonts w:ascii="Arial MT"/>
                <w:color w:val="231F1F"/>
                <w:spacing w:val="-2"/>
                <w:sz w:val="18"/>
              </w:rPr>
              <w:t> durante</w:t>
            </w:r>
          </w:p>
          <w:p>
            <w:pPr>
              <w:pStyle w:val="TableParagraph"/>
              <w:spacing w:line="207" w:lineRule="exact"/>
              <w:ind w:left="98" w:right="6"/>
              <w:jc w:val="center"/>
              <w:rPr>
                <w:rFonts w:ascii="Arial MT"/>
                <w:sz w:val="18"/>
              </w:rPr>
            </w:pPr>
            <w:r>
              <w:rPr>
                <w:rFonts w:ascii="Arial MT"/>
                <w:color w:val="231F1F"/>
                <w:sz w:val="18"/>
              </w:rPr>
              <w:t>40-90</w:t>
            </w:r>
            <w:r>
              <w:rPr>
                <w:rFonts w:ascii="Arial MT"/>
                <w:color w:val="231F1F"/>
                <w:spacing w:val="-6"/>
                <w:sz w:val="18"/>
              </w:rPr>
              <w:t> </w:t>
            </w:r>
            <w:r>
              <w:rPr>
                <w:rFonts w:ascii="Arial MT"/>
                <w:color w:val="231F1F"/>
                <w:spacing w:val="-2"/>
                <w:sz w:val="18"/>
              </w:rPr>
              <w:t>minutos</w:t>
            </w:r>
          </w:p>
        </w:tc>
        <w:tc>
          <w:tcPr>
            <w:tcW w:w="2068" w:type="dxa"/>
            <w:vMerge w:val="restart"/>
            <w:tcBorders>
              <w:left w:val="nil"/>
              <w:right w:val="nil"/>
            </w:tcBorders>
          </w:tcPr>
          <w:p>
            <w:pPr>
              <w:pStyle w:val="TableParagraph"/>
              <w:numPr>
                <w:ilvl w:val="0"/>
                <w:numId w:val="106"/>
              </w:numPr>
              <w:tabs>
                <w:tab w:pos="309" w:val="left" w:leader="none"/>
                <w:tab w:pos="315" w:val="left" w:leader="none"/>
              </w:tabs>
              <w:spacing w:line="230" w:lineRule="auto" w:before="71" w:after="0"/>
              <w:ind w:left="315" w:right="237" w:hanging="142"/>
              <w:jc w:val="left"/>
              <w:rPr>
                <w:rFonts w:ascii="Arial MT" w:hAnsi="Arial MT"/>
                <w:sz w:val="18"/>
              </w:rPr>
            </w:pPr>
            <w:r>
              <w:rPr>
                <w:rFonts w:ascii="Cambria" w:hAnsi="Cambria"/>
                <w:color w:val="231F1F"/>
                <w:spacing w:val="-2"/>
                <w:sz w:val="18"/>
              </w:rPr>
              <w:t>Deceleraciones</w:t>
            </w:r>
            <w:r>
              <w:rPr>
                <w:rFonts w:ascii="Cambria" w:hAnsi="Cambria"/>
                <w:color w:val="231F1F"/>
                <w:spacing w:val="40"/>
                <w:sz w:val="18"/>
              </w:rPr>
              <w:t> </w:t>
            </w:r>
            <w:r>
              <w:rPr>
                <w:rFonts w:ascii="Cambria" w:hAnsi="Cambria"/>
                <w:color w:val="231F1F"/>
                <w:spacing w:val="-2"/>
                <w:sz w:val="18"/>
              </w:rPr>
              <w:t>variables</w:t>
            </w:r>
            <w:r>
              <w:rPr>
                <w:rFonts w:ascii="Cambria" w:hAnsi="Cambria"/>
                <w:color w:val="231F1F"/>
                <w:spacing w:val="-12"/>
                <w:sz w:val="18"/>
              </w:rPr>
              <w:t> </w:t>
            </w:r>
            <w:r>
              <w:rPr>
                <w:rFonts w:ascii="Cambria" w:hAnsi="Cambria"/>
                <w:color w:val="231F1F"/>
                <w:spacing w:val="-2"/>
                <w:sz w:val="18"/>
              </w:rPr>
              <w:t>típicas</w:t>
            </w:r>
            <w:r>
              <w:rPr>
                <w:rFonts w:ascii="Cambria" w:hAnsi="Cambria"/>
                <w:color w:val="231F1F"/>
                <w:spacing w:val="-11"/>
                <w:sz w:val="18"/>
              </w:rPr>
              <w:t> </w:t>
            </w:r>
            <w:r>
              <w:rPr>
                <w:rFonts w:ascii="Cambria" w:hAnsi="Cambria"/>
                <w:color w:val="231F1F"/>
                <w:spacing w:val="-2"/>
                <w:sz w:val="18"/>
              </w:rPr>
              <w:t>con</w:t>
            </w:r>
            <w:r>
              <w:rPr>
                <w:rFonts w:ascii="Cambria" w:hAnsi="Cambria"/>
                <w:color w:val="231F1F"/>
                <w:spacing w:val="40"/>
                <w:sz w:val="18"/>
              </w:rPr>
              <w:t> </w:t>
            </w:r>
            <w:r>
              <w:rPr>
                <w:rFonts w:ascii="Arial MT" w:hAnsi="Arial MT"/>
                <w:color w:val="231F1F"/>
                <w:sz w:val="18"/>
              </w:rPr>
              <w:t>más del 50% de </w:t>
            </w:r>
            <w:r>
              <w:rPr>
                <w:rFonts w:ascii="Cambria" w:hAnsi="Cambria"/>
                <w:color w:val="231F1F"/>
                <w:spacing w:val="-2"/>
                <w:sz w:val="18"/>
              </w:rPr>
              <w:t>contracciones</w:t>
            </w:r>
            <w:r>
              <w:rPr>
                <w:rFonts w:ascii="Cambria" w:hAnsi="Cambria"/>
                <w:color w:val="231F1F"/>
                <w:spacing w:val="40"/>
                <w:sz w:val="18"/>
              </w:rPr>
              <w:t> </w:t>
            </w:r>
            <w:r>
              <w:rPr>
                <w:rFonts w:ascii="Arial MT" w:hAnsi="Arial MT"/>
                <w:color w:val="231F1F"/>
                <w:sz w:val="18"/>
              </w:rPr>
              <w:t>(durante unos 90 </w:t>
            </w:r>
            <w:r>
              <w:rPr>
                <w:rFonts w:ascii="Arial MT" w:hAnsi="Arial MT"/>
                <w:color w:val="231F1F"/>
                <w:spacing w:val="-2"/>
                <w:sz w:val="18"/>
              </w:rPr>
              <w:t>minutos).</w:t>
            </w:r>
          </w:p>
          <w:p>
            <w:pPr>
              <w:pStyle w:val="TableParagraph"/>
              <w:numPr>
                <w:ilvl w:val="0"/>
                <w:numId w:val="106"/>
              </w:numPr>
              <w:tabs>
                <w:tab w:pos="309" w:val="left" w:leader="none"/>
                <w:tab w:pos="315" w:val="left" w:leader="none"/>
              </w:tabs>
              <w:spacing w:line="228" w:lineRule="auto" w:before="137" w:after="0"/>
              <w:ind w:left="315" w:right="136" w:hanging="143"/>
              <w:jc w:val="left"/>
              <w:rPr>
                <w:rFonts w:ascii="Arial MT" w:hAnsi="Arial MT"/>
                <w:sz w:val="18"/>
              </w:rPr>
            </w:pPr>
            <w:r>
              <w:rPr>
                <w:rFonts w:ascii="Cambria" w:hAnsi="Cambria"/>
                <w:color w:val="231F1F"/>
                <w:spacing w:val="-2"/>
                <w:sz w:val="18"/>
              </w:rPr>
              <w:t>Deceleración</w:t>
            </w:r>
            <w:r>
              <w:rPr>
                <w:rFonts w:ascii="Cambria" w:hAnsi="Cambria"/>
                <w:color w:val="231F1F"/>
                <w:spacing w:val="40"/>
                <w:sz w:val="18"/>
              </w:rPr>
              <w:t> </w:t>
            </w:r>
            <w:r>
              <w:rPr>
                <w:rFonts w:ascii="Cambria" w:hAnsi="Cambria"/>
                <w:color w:val="231F1F"/>
                <w:spacing w:val="-2"/>
                <w:sz w:val="18"/>
              </w:rPr>
              <w:t>prolongada</w:t>
            </w:r>
            <w:r>
              <w:rPr>
                <w:rFonts w:ascii="Cambria" w:hAnsi="Cambria"/>
                <w:color w:val="231F1F"/>
                <w:spacing w:val="-10"/>
                <w:sz w:val="18"/>
              </w:rPr>
              <w:t> </w:t>
            </w:r>
            <w:r>
              <w:rPr>
                <w:rFonts w:ascii="Cambria" w:hAnsi="Cambria"/>
                <w:color w:val="231F1F"/>
                <w:spacing w:val="-2"/>
                <w:sz w:val="18"/>
              </w:rPr>
              <w:t>única</w:t>
            </w:r>
            <w:r>
              <w:rPr>
                <w:rFonts w:ascii="Cambria" w:hAnsi="Cambria"/>
                <w:color w:val="231F1F"/>
                <w:spacing w:val="-11"/>
                <w:sz w:val="18"/>
              </w:rPr>
              <w:t> </w:t>
            </w:r>
            <w:r>
              <w:rPr>
                <w:rFonts w:ascii="Cambria" w:hAnsi="Cambria"/>
                <w:color w:val="231F1F"/>
                <w:spacing w:val="-2"/>
                <w:sz w:val="18"/>
              </w:rPr>
              <w:t>(de</w:t>
            </w:r>
            <w:r>
              <w:rPr>
                <w:rFonts w:ascii="Cambria" w:hAnsi="Cambria"/>
                <w:color w:val="231F1F"/>
                <w:spacing w:val="40"/>
                <w:sz w:val="18"/>
              </w:rPr>
              <w:t> </w:t>
            </w:r>
            <w:r>
              <w:rPr>
                <w:rFonts w:ascii="Arial MT" w:hAnsi="Arial MT"/>
                <w:color w:val="231F1F"/>
                <w:sz w:val="18"/>
              </w:rPr>
              <w:t>hasta 3 minutos).</w:t>
            </w:r>
          </w:p>
        </w:tc>
        <w:tc>
          <w:tcPr>
            <w:tcW w:w="1715" w:type="dxa"/>
            <w:vMerge w:val="restart"/>
            <w:tcBorders>
              <w:left w:val="nil"/>
            </w:tcBorders>
          </w:tcPr>
          <w:p>
            <w:pPr>
              <w:pStyle w:val="TableParagraph"/>
              <w:spacing w:line="230" w:lineRule="auto" w:before="71"/>
              <w:ind w:left="146"/>
              <w:rPr>
                <w:rFonts w:ascii="Cambria"/>
                <w:sz w:val="18"/>
              </w:rPr>
            </w:pPr>
            <w:r>
              <w:rPr>
                <w:rFonts w:ascii="Cambria"/>
                <w:color w:val="231F1F"/>
                <w:sz w:val="18"/>
              </w:rPr>
              <w:t>La ausencia de</w:t>
            </w:r>
            <w:r>
              <w:rPr>
                <w:rFonts w:ascii="Cambria"/>
                <w:color w:val="231F1F"/>
                <w:spacing w:val="40"/>
                <w:sz w:val="18"/>
              </w:rPr>
              <w:t> </w:t>
            </w:r>
            <w:r>
              <w:rPr>
                <w:rFonts w:ascii="Cambria"/>
                <w:color w:val="231F1F"/>
                <w:spacing w:val="-2"/>
                <w:sz w:val="18"/>
              </w:rPr>
              <w:t>aceleraciones</w:t>
            </w:r>
            <w:r>
              <w:rPr>
                <w:rFonts w:ascii="Cambria"/>
                <w:color w:val="231F1F"/>
                <w:spacing w:val="40"/>
                <w:sz w:val="18"/>
              </w:rPr>
              <w:t> </w:t>
            </w:r>
            <w:r>
              <w:rPr>
                <w:rFonts w:ascii="Arial MT"/>
                <w:color w:val="231F1F"/>
                <w:sz w:val="18"/>
              </w:rPr>
              <w:t>transitorias</w:t>
            </w:r>
            <w:r>
              <w:rPr>
                <w:rFonts w:ascii="Arial MT"/>
                <w:color w:val="231F1F"/>
                <w:spacing w:val="-7"/>
                <w:sz w:val="18"/>
              </w:rPr>
              <w:t> </w:t>
            </w:r>
            <w:r>
              <w:rPr>
                <w:rFonts w:ascii="Arial MT"/>
                <w:color w:val="231F1F"/>
                <w:sz w:val="18"/>
              </w:rPr>
              <w:t>en</w:t>
            </w:r>
            <w:r>
              <w:rPr>
                <w:rFonts w:ascii="Arial MT"/>
                <w:color w:val="231F1F"/>
                <w:spacing w:val="-6"/>
                <w:sz w:val="18"/>
              </w:rPr>
              <w:t> </w:t>
            </w:r>
            <w:r>
              <w:rPr>
                <w:rFonts w:ascii="Arial MT"/>
                <w:color w:val="231F1F"/>
                <w:sz w:val="18"/>
              </w:rPr>
              <w:t>un registro, por otra </w:t>
            </w:r>
            <w:r>
              <w:rPr>
                <w:rFonts w:ascii="Arial MT"/>
                <w:color w:val="231F1F"/>
                <w:spacing w:val="-4"/>
                <w:sz w:val="18"/>
              </w:rPr>
              <w:t>parte</w:t>
            </w:r>
            <w:r>
              <w:rPr>
                <w:rFonts w:ascii="Arial MT"/>
                <w:color w:val="231F1F"/>
                <w:spacing w:val="-27"/>
                <w:sz w:val="18"/>
              </w:rPr>
              <w:t> </w:t>
            </w:r>
            <w:r>
              <w:rPr>
                <w:rFonts w:ascii="Arial MT"/>
                <w:color w:val="231F1F"/>
                <w:spacing w:val="-4"/>
                <w:sz w:val="18"/>
              </w:rPr>
              <w:t>normal,</w:t>
            </w:r>
            <w:r>
              <w:rPr>
                <w:rFonts w:ascii="Arial MT"/>
                <w:color w:val="231F1F"/>
                <w:spacing w:val="-18"/>
                <w:sz w:val="18"/>
              </w:rPr>
              <w:t> </w:t>
            </w:r>
            <w:r>
              <w:rPr>
                <w:rFonts w:ascii="Arial MT"/>
                <w:color w:val="231F1F"/>
                <w:spacing w:val="-4"/>
                <w:sz w:val="18"/>
              </w:rPr>
              <w:t>tiene </w:t>
            </w:r>
            <w:r>
              <w:rPr>
                <w:rFonts w:ascii="Cambria"/>
                <w:color w:val="231F1F"/>
                <w:sz w:val="18"/>
              </w:rPr>
              <w:t>un</w:t>
            </w:r>
            <w:r>
              <w:rPr>
                <w:rFonts w:ascii="Cambria"/>
                <w:color w:val="231F1F"/>
                <w:spacing w:val="-10"/>
                <w:sz w:val="18"/>
              </w:rPr>
              <w:t> </w:t>
            </w:r>
            <w:r>
              <w:rPr>
                <w:rFonts w:ascii="Cambria"/>
                <w:color w:val="231F1F"/>
                <w:sz w:val="18"/>
              </w:rPr>
              <w:t>significado</w:t>
            </w:r>
            <w:r>
              <w:rPr>
                <w:rFonts w:ascii="Cambria"/>
                <w:color w:val="231F1F"/>
                <w:spacing w:val="40"/>
                <w:sz w:val="18"/>
              </w:rPr>
              <w:t> </w:t>
            </w:r>
            <w:r>
              <w:rPr>
                <w:rFonts w:ascii="Cambria"/>
                <w:color w:val="231F1F"/>
                <w:spacing w:val="-2"/>
                <w:sz w:val="18"/>
              </w:rPr>
              <w:t>incierto</w:t>
            </w:r>
          </w:p>
        </w:tc>
      </w:tr>
      <w:tr>
        <w:trPr>
          <w:trHeight w:val="1831" w:hRule="atLeast"/>
        </w:trPr>
        <w:tc>
          <w:tcPr>
            <w:tcW w:w="1589" w:type="dxa"/>
            <w:tcBorders>
              <w:top w:val="nil"/>
            </w:tcBorders>
          </w:tcPr>
          <w:p>
            <w:pPr>
              <w:pStyle w:val="TableParagraph"/>
              <w:spacing w:before="2"/>
              <w:rPr>
                <w:rFonts w:ascii="Arial MT"/>
                <w:sz w:val="18"/>
              </w:rPr>
            </w:pPr>
            <w:r>
              <w:rPr>
                <w:rFonts w:ascii="Arial MT"/>
                <w:color w:val="231F1F"/>
                <w:sz w:val="18"/>
              </w:rPr>
              <w:t>no</w:t>
            </w:r>
            <w:r>
              <w:rPr>
                <w:rFonts w:ascii="Arial MT"/>
                <w:color w:val="231F1F"/>
                <w:spacing w:val="-10"/>
                <w:sz w:val="18"/>
              </w:rPr>
              <w:t> </w:t>
            </w:r>
            <w:r>
              <w:rPr>
                <w:rFonts w:ascii="Arial MT"/>
                <w:color w:val="231F1F"/>
                <w:spacing w:val="-2"/>
                <w:sz w:val="18"/>
              </w:rPr>
              <w:t>tranquilizador</w:t>
            </w:r>
          </w:p>
        </w:tc>
        <w:tc>
          <w:tcPr>
            <w:tcW w:w="1565" w:type="dxa"/>
            <w:vMerge/>
            <w:tcBorders>
              <w:top w:val="nil"/>
              <w:right w:val="nil"/>
            </w:tcBorders>
          </w:tcPr>
          <w:p>
            <w:pPr>
              <w:rPr>
                <w:sz w:val="2"/>
                <w:szCs w:val="2"/>
              </w:rPr>
            </w:pPr>
          </w:p>
        </w:tc>
        <w:tc>
          <w:tcPr>
            <w:tcW w:w="1552" w:type="dxa"/>
            <w:vMerge/>
            <w:tcBorders>
              <w:top w:val="nil"/>
              <w:left w:val="nil"/>
              <w:right w:val="nil"/>
            </w:tcBorders>
          </w:tcPr>
          <w:p>
            <w:pPr>
              <w:rPr>
                <w:sz w:val="2"/>
                <w:szCs w:val="2"/>
              </w:rPr>
            </w:pPr>
          </w:p>
        </w:tc>
        <w:tc>
          <w:tcPr>
            <w:tcW w:w="2068" w:type="dxa"/>
            <w:vMerge/>
            <w:tcBorders>
              <w:top w:val="nil"/>
              <w:left w:val="nil"/>
              <w:right w:val="nil"/>
            </w:tcBorders>
          </w:tcPr>
          <w:p>
            <w:pPr>
              <w:rPr>
                <w:sz w:val="2"/>
                <w:szCs w:val="2"/>
              </w:rPr>
            </w:pPr>
          </w:p>
        </w:tc>
        <w:tc>
          <w:tcPr>
            <w:tcW w:w="1715" w:type="dxa"/>
            <w:vMerge/>
            <w:tcBorders>
              <w:top w:val="nil"/>
              <w:left w:val="nil"/>
            </w:tcBorders>
          </w:tcPr>
          <w:p>
            <w:pPr>
              <w:rPr>
                <w:sz w:val="2"/>
                <w:szCs w:val="2"/>
              </w:rPr>
            </w:pPr>
          </w:p>
        </w:tc>
      </w:tr>
      <w:tr>
        <w:trPr>
          <w:trHeight w:val="1820" w:hRule="atLeast"/>
        </w:trPr>
        <w:tc>
          <w:tcPr>
            <w:tcW w:w="1589" w:type="dxa"/>
            <w:tcBorders>
              <w:bottom w:val="nil"/>
            </w:tcBorders>
          </w:tcPr>
          <w:p>
            <w:pPr>
              <w:pStyle w:val="TableParagraph"/>
              <w:spacing w:line="204" w:lineRule="exact" w:before="75"/>
              <w:rPr>
                <w:rFonts w:ascii="Arial MT"/>
                <w:sz w:val="18"/>
              </w:rPr>
            </w:pPr>
            <w:r>
              <w:rPr>
                <w:rFonts w:ascii="Arial MT"/>
                <w:color w:val="231F1F"/>
                <w:spacing w:val="-5"/>
                <w:sz w:val="18"/>
              </w:rPr>
              <w:t>CTG</w:t>
            </w:r>
          </w:p>
          <w:p>
            <w:pPr>
              <w:pStyle w:val="TableParagraph"/>
              <w:spacing w:line="204" w:lineRule="exact"/>
              <w:rPr>
                <w:rFonts w:ascii="Arial MT"/>
                <w:sz w:val="18"/>
              </w:rPr>
            </w:pPr>
            <w:r>
              <w:rPr>
                <w:rFonts w:ascii="Arial MT"/>
                <w:color w:val="231F1F"/>
                <w:spacing w:val="-2"/>
                <w:sz w:val="18"/>
              </w:rPr>
              <w:t>anormal</w:t>
            </w:r>
          </w:p>
        </w:tc>
        <w:tc>
          <w:tcPr>
            <w:tcW w:w="6900" w:type="dxa"/>
            <w:gridSpan w:val="4"/>
            <w:vMerge w:val="restart"/>
          </w:tcPr>
          <w:p>
            <w:pPr>
              <w:pStyle w:val="TableParagraph"/>
              <w:spacing w:line="220" w:lineRule="exact" w:before="58"/>
              <w:rPr>
                <w:rFonts w:ascii="Cambria" w:hAnsi="Cambria"/>
                <w:sz w:val="18"/>
              </w:rPr>
            </w:pPr>
            <w:r>
              <w:rPr>
                <w:rFonts w:ascii="Cambria" w:hAnsi="Cambria"/>
                <w:color w:val="231F1F"/>
                <w:spacing w:val="-2"/>
                <w:position w:val="1"/>
                <w:sz w:val="18"/>
              </w:rPr>
              <w:t>La</w:t>
            </w:r>
            <w:r>
              <w:rPr>
                <w:rFonts w:ascii="Cambria" w:hAnsi="Cambria"/>
                <w:color w:val="231F1F"/>
                <w:position w:val="1"/>
                <w:sz w:val="18"/>
              </w:rPr>
              <w:t> </w:t>
            </w:r>
            <w:r>
              <w:rPr>
                <w:rFonts w:ascii="Cambria" w:hAnsi="Cambria"/>
                <w:color w:val="231F1F"/>
                <w:spacing w:val="-2"/>
                <w:position w:val="1"/>
                <w:sz w:val="18"/>
              </w:rPr>
              <w:t>combinación</w:t>
            </w:r>
            <w:r>
              <w:rPr>
                <w:rFonts w:ascii="Cambria" w:hAnsi="Cambria"/>
                <w:color w:val="231F1F"/>
                <w:spacing w:val="5"/>
                <w:position w:val="1"/>
                <w:sz w:val="18"/>
              </w:rPr>
              <w:t> </w:t>
            </w:r>
            <w:r>
              <w:rPr>
                <w:rFonts w:ascii="Cambria" w:hAnsi="Cambria"/>
                <w:color w:val="231F1F"/>
                <w:spacing w:val="-2"/>
                <w:position w:val="1"/>
                <w:sz w:val="18"/>
              </w:rPr>
              <w:t>de</w:t>
            </w:r>
            <w:r>
              <w:rPr>
                <w:rFonts w:ascii="Cambria" w:hAnsi="Cambria"/>
                <w:color w:val="231F1F"/>
                <w:spacing w:val="43"/>
                <w:position w:val="1"/>
                <w:sz w:val="18"/>
              </w:rPr>
              <w:t> </w:t>
            </w:r>
            <w:r>
              <w:rPr>
                <w:rFonts w:ascii="Cambria" w:hAnsi="Cambria"/>
                <w:color w:val="231F1F"/>
                <w:spacing w:val="-2"/>
                <w:sz w:val="18"/>
              </w:rPr>
              <w:t>varias</w:t>
            </w:r>
            <w:r>
              <w:rPr>
                <w:rFonts w:ascii="Cambria" w:hAnsi="Cambria"/>
                <w:color w:val="231F1F"/>
                <w:spacing w:val="-8"/>
                <w:sz w:val="18"/>
              </w:rPr>
              <w:t> </w:t>
            </w:r>
            <w:r>
              <w:rPr>
                <w:rFonts w:ascii="Cambria" w:hAnsi="Cambria"/>
                <w:color w:val="231F1F"/>
                <w:spacing w:val="-2"/>
                <w:sz w:val="18"/>
              </w:rPr>
              <w:t>observaciones</w:t>
            </w:r>
            <w:r>
              <w:rPr>
                <w:rFonts w:ascii="Cambria" w:hAnsi="Cambria"/>
                <w:color w:val="231F1F"/>
                <w:spacing w:val="-8"/>
                <w:sz w:val="18"/>
              </w:rPr>
              <w:t> </w:t>
            </w:r>
            <w:r>
              <w:rPr>
                <w:rFonts w:ascii="Cambria" w:hAnsi="Cambria"/>
                <w:color w:val="231F1F"/>
                <w:spacing w:val="-2"/>
                <w:sz w:val="18"/>
              </w:rPr>
              <w:t>no</w:t>
            </w:r>
            <w:r>
              <w:rPr>
                <w:rFonts w:ascii="Cambria" w:hAnsi="Cambria"/>
                <w:color w:val="231F1F"/>
                <w:spacing w:val="-7"/>
                <w:sz w:val="18"/>
              </w:rPr>
              <w:t> </w:t>
            </w:r>
            <w:r>
              <w:rPr>
                <w:rFonts w:ascii="Cambria" w:hAnsi="Cambria"/>
                <w:color w:val="231F1F"/>
                <w:spacing w:val="-2"/>
                <w:sz w:val="18"/>
              </w:rPr>
              <w:t>tranquilizadoras</w:t>
            </w:r>
            <w:r>
              <w:rPr>
                <w:rFonts w:ascii="Cambria" w:hAnsi="Cambria"/>
                <w:color w:val="231F1F"/>
                <w:spacing w:val="-6"/>
                <w:sz w:val="18"/>
              </w:rPr>
              <w:t> </w:t>
            </w:r>
            <w:r>
              <w:rPr>
                <w:rFonts w:ascii="Cambria" w:hAnsi="Cambria"/>
                <w:color w:val="231F1F"/>
                <w:spacing w:val="-2"/>
                <w:sz w:val="18"/>
              </w:rPr>
              <w:t>originan</w:t>
            </w:r>
            <w:r>
              <w:rPr>
                <w:rFonts w:ascii="Cambria" w:hAnsi="Cambria"/>
                <w:color w:val="231F1F"/>
                <w:spacing w:val="-7"/>
                <w:sz w:val="18"/>
              </w:rPr>
              <w:t> </w:t>
            </w:r>
            <w:r>
              <w:rPr>
                <w:rFonts w:ascii="Cambria" w:hAnsi="Cambria"/>
                <w:color w:val="231F1F"/>
                <w:spacing w:val="-2"/>
                <w:sz w:val="18"/>
              </w:rPr>
              <w:t>una</w:t>
            </w:r>
            <w:r>
              <w:rPr>
                <w:rFonts w:ascii="Cambria" w:hAnsi="Cambria"/>
                <w:color w:val="231F1F"/>
                <w:spacing w:val="-7"/>
                <w:sz w:val="18"/>
              </w:rPr>
              <w:t> </w:t>
            </w:r>
            <w:r>
              <w:rPr>
                <w:rFonts w:ascii="Cambria" w:hAnsi="Cambria"/>
                <w:color w:val="231F1F"/>
                <w:spacing w:val="-5"/>
                <w:sz w:val="18"/>
              </w:rPr>
              <w:t>CTG</w:t>
            </w:r>
          </w:p>
          <w:p>
            <w:pPr>
              <w:pStyle w:val="TableParagraph"/>
              <w:spacing w:line="206" w:lineRule="exact"/>
              <w:rPr>
                <w:rFonts w:ascii="Arial MT"/>
                <w:sz w:val="18"/>
              </w:rPr>
            </w:pPr>
            <w:r>
              <w:rPr>
                <w:rFonts w:ascii="Arial MT"/>
                <w:color w:val="231F1F"/>
                <w:spacing w:val="-2"/>
                <w:sz w:val="18"/>
              </w:rPr>
              <w:t>anormal</w:t>
            </w:r>
          </w:p>
          <w:p>
            <w:pPr>
              <w:pStyle w:val="TableParagraph"/>
              <w:tabs>
                <w:tab w:pos="1767" w:val="left" w:leader="none"/>
                <w:tab w:pos="3284" w:val="left" w:leader="none"/>
              </w:tabs>
              <w:spacing w:line="206" w:lineRule="exact" w:before="142"/>
              <w:ind w:left="448"/>
              <w:rPr>
                <w:rFonts w:ascii="Cambria" w:hAnsi="Cambria"/>
                <w:sz w:val="18"/>
              </w:rPr>
            </w:pPr>
            <w:r>
              <w:rPr>
                <w:rFonts w:ascii="Arial MT" w:hAnsi="Arial MT"/>
                <w:color w:val="231F1F"/>
                <w:sz w:val="18"/>
              </w:rPr>
              <w:t>&lt;100</w:t>
            </w:r>
            <w:r>
              <w:rPr>
                <w:rFonts w:ascii="Arial MT" w:hAnsi="Arial MT"/>
                <w:color w:val="231F1F"/>
                <w:spacing w:val="-8"/>
                <w:sz w:val="18"/>
              </w:rPr>
              <w:t> </w:t>
            </w:r>
            <w:r>
              <w:rPr>
                <w:rFonts w:ascii="Arial MT" w:hAnsi="Arial MT"/>
                <w:color w:val="231F1F"/>
                <w:spacing w:val="-5"/>
                <w:sz w:val="18"/>
              </w:rPr>
              <w:t>l/m</w:t>
            </w:r>
            <w:r>
              <w:rPr>
                <w:rFonts w:ascii="Arial MT" w:hAnsi="Arial MT"/>
                <w:color w:val="231F1F"/>
                <w:sz w:val="18"/>
              </w:rPr>
              <w:tab/>
            </w:r>
            <w:r>
              <w:rPr>
                <w:rFonts w:ascii="Arial MT" w:hAnsi="Arial MT"/>
                <w:color w:val="231F1F"/>
                <w:spacing w:val="-2"/>
                <w:sz w:val="18"/>
              </w:rPr>
              <w:t>&lt;5</w:t>
            </w:r>
            <w:r>
              <w:rPr>
                <w:rFonts w:ascii="Arial MT" w:hAnsi="Arial MT"/>
                <w:color w:val="231F1F"/>
                <w:spacing w:val="-9"/>
                <w:sz w:val="18"/>
              </w:rPr>
              <w:t> </w:t>
            </w:r>
            <w:r>
              <w:rPr>
                <w:rFonts w:ascii="Arial MT" w:hAnsi="Arial MT"/>
                <w:color w:val="231F1F"/>
                <w:spacing w:val="-2"/>
                <w:sz w:val="18"/>
              </w:rPr>
              <w:t>durante</w:t>
            </w:r>
            <w:r>
              <w:rPr>
                <w:rFonts w:ascii="Arial MT" w:hAnsi="Arial MT"/>
                <w:color w:val="231F1F"/>
                <w:spacing w:val="-6"/>
                <w:sz w:val="18"/>
              </w:rPr>
              <w:t> </w:t>
            </w:r>
            <w:r>
              <w:rPr>
                <w:rFonts w:ascii="Arial MT" w:hAnsi="Arial MT"/>
                <w:color w:val="231F1F"/>
                <w:spacing w:val="-5"/>
                <w:sz w:val="18"/>
              </w:rPr>
              <w:t>más</w:t>
            </w:r>
            <w:r>
              <w:rPr>
                <w:rFonts w:ascii="Arial MT" w:hAnsi="Arial MT"/>
                <w:color w:val="231F1F"/>
                <w:sz w:val="18"/>
              </w:rPr>
              <w:tab/>
            </w:r>
            <w:r>
              <w:rPr>
                <w:rFonts w:ascii="Cambria" w:hAnsi="Cambria"/>
                <w:color w:val="231F1F"/>
                <w:sz w:val="18"/>
              </w:rPr>
              <w:t>•</w:t>
            </w:r>
            <w:r>
              <w:rPr>
                <w:rFonts w:ascii="Cambria" w:hAnsi="Cambria"/>
                <w:color w:val="231F1F"/>
                <w:spacing w:val="16"/>
                <w:sz w:val="18"/>
              </w:rPr>
              <w:t> </w:t>
            </w:r>
            <w:r>
              <w:rPr>
                <w:rFonts w:ascii="Cambria" w:hAnsi="Cambria"/>
                <w:color w:val="231F1F"/>
                <w:spacing w:val="-2"/>
                <w:sz w:val="18"/>
              </w:rPr>
              <w:t>Deceleraciones</w:t>
            </w:r>
          </w:p>
          <w:p>
            <w:pPr>
              <w:pStyle w:val="TableParagraph"/>
              <w:tabs>
                <w:tab w:pos="3449" w:val="left" w:leader="none"/>
              </w:tabs>
              <w:spacing w:line="185" w:lineRule="exact"/>
              <w:ind w:left="1850"/>
              <w:rPr>
                <w:rFonts w:ascii="Cambria" w:hAnsi="Cambria"/>
                <w:sz w:val="18"/>
              </w:rPr>
            </w:pPr>
            <w:r>
              <w:rPr>
                <w:rFonts w:ascii="Arial MT" w:hAnsi="Arial MT"/>
                <w:color w:val="231F1F"/>
                <w:sz w:val="18"/>
              </w:rPr>
              <w:t>de</w:t>
            </w:r>
            <w:r>
              <w:rPr>
                <w:rFonts w:ascii="Arial MT" w:hAnsi="Arial MT"/>
                <w:color w:val="231F1F"/>
                <w:spacing w:val="-9"/>
                <w:sz w:val="18"/>
              </w:rPr>
              <w:t> </w:t>
            </w:r>
            <w:r>
              <w:rPr>
                <w:rFonts w:ascii="Arial MT" w:hAnsi="Arial MT"/>
                <w:color w:val="231F1F"/>
                <w:sz w:val="18"/>
              </w:rPr>
              <w:t>90</w:t>
            </w:r>
            <w:r>
              <w:rPr>
                <w:rFonts w:ascii="Arial MT" w:hAnsi="Arial MT"/>
                <w:color w:val="231F1F"/>
                <w:spacing w:val="-7"/>
                <w:sz w:val="18"/>
              </w:rPr>
              <w:t> </w:t>
            </w:r>
            <w:r>
              <w:rPr>
                <w:rFonts w:ascii="Arial MT" w:hAnsi="Arial MT"/>
                <w:color w:val="231F1F"/>
                <w:spacing w:val="-2"/>
                <w:sz w:val="18"/>
              </w:rPr>
              <w:t>minutos</w:t>
            </w:r>
            <w:r>
              <w:rPr>
                <w:rFonts w:ascii="Arial MT" w:hAnsi="Arial MT"/>
                <w:color w:val="231F1F"/>
                <w:sz w:val="18"/>
              </w:rPr>
              <w:tab/>
            </w:r>
            <w:r>
              <w:rPr>
                <w:rFonts w:ascii="Cambria" w:hAnsi="Cambria"/>
                <w:color w:val="231F1F"/>
                <w:spacing w:val="-2"/>
                <w:sz w:val="18"/>
              </w:rPr>
              <w:t>variables</w:t>
            </w:r>
            <w:r>
              <w:rPr>
                <w:rFonts w:ascii="Cambria" w:hAnsi="Cambria"/>
                <w:color w:val="231F1F"/>
                <w:spacing w:val="-7"/>
                <w:sz w:val="18"/>
              </w:rPr>
              <w:t> </w:t>
            </w:r>
            <w:r>
              <w:rPr>
                <w:rFonts w:ascii="Cambria" w:hAnsi="Cambria"/>
                <w:color w:val="231F1F"/>
                <w:spacing w:val="-2"/>
                <w:sz w:val="18"/>
              </w:rPr>
              <w:t>atípicas</w:t>
            </w:r>
            <w:r>
              <w:rPr>
                <w:rFonts w:ascii="Cambria" w:hAnsi="Cambria"/>
                <w:color w:val="231F1F"/>
                <w:spacing w:val="-6"/>
                <w:sz w:val="18"/>
              </w:rPr>
              <w:t> </w:t>
            </w:r>
            <w:r>
              <w:rPr>
                <w:rFonts w:ascii="Cambria" w:hAnsi="Cambria"/>
                <w:color w:val="231F1F"/>
                <w:spacing w:val="-5"/>
                <w:sz w:val="18"/>
              </w:rPr>
              <w:t>con</w:t>
            </w:r>
          </w:p>
          <w:p>
            <w:pPr>
              <w:pStyle w:val="TableParagraph"/>
              <w:tabs>
                <w:tab w:pos="3424" w:val="left" w:leader="none"/>
              </w:tabs>
              <w:spacing w:line="196" w:lineRule="exact"/>
              <w:ind w:left="448"/>
              <w:rPr>
                <w:rFonts w:ascii="Arial MT" w:hAnsi="Arial MT"/>
                <w:sz w:val="18"/>
              </w:rPr>
            </w:pPr>
            <w:r>
              <w:rPr>
                <w:rFonts w:ascii="Arial MT" w:hAnsi="Arial MT"/>
                <w:color w:val="231F1F"/>
                <w:position w:val="3"/>
                <w:sz w:val="18"/>
              </w:rPr>
              <w:t>&gt;180</w:t>
            </w:r>
            <w:r>
              <w:rPr>
                <w:rFonts w:ascii="Arial MT" w:hAnsi="Arial MT"/>
                <w:color w:val="231F1F"/>
                <w:spacing w:val="-8"/>
                <w:position w:val="3"/>
                <w:sz w:val="18"/>
              </w:rPr>
              <w:t> </w:t>
            </w:r>
            <w:r>
              <w:rPr>
                <w:rFonts w:ascii="Arial MT" w:hAnsi="Arial MT"/>
                <w:color w:val="231F1F"/>
                <w:spacing w:val="-5"/>
                <w:position w:val="3"/>
                <w:sz w:val="18"/>
              </w:rPr>
              <w:t>l/m</w:t>
            </w:r>
            <w:r>
              <w:rPr>
                <w:rFonts w:ascii="Arial MT" w:hAnsi="Arial MT"/>
                <w:color w:val="231F1F"/>
                <w:position w:val="3"/>
                <w:sz w:val="18"/>
              </w:rPr>
              <w:tab/>
            </w:r>
            <w:r>
              <w:rPr>
                <w:rFonts w:ascii="Arial MT" w:hAnsi="Arial MT"/>
                <w:color w:val="231F1F"/>
                <w:spacing w:val="-2"/>
                <w:sz w:val="18"/>
              </w:rPr>
              <w:t>más</w:t>
            </w:r>
            <w:r>
              <w:rPr>
                <w:rFonts w:ascii="Arial MT" w:hAnsi="Arial MT"/>
                <w:color w:val="231F1F"/>
                <w:spacing w:val="-9"/>
                <w:sz w:val="18"/>
              </w:rPr>
              <w:t> </w:t>
            </w:r>
            <w:r>
              <w:rPr>
                <w:rFonts w:ascii="Arial MT" w:hAnsi="Arial MT"/>
                <w:color w:val="231F1F"/>
                <w:spacing w:val="-2"/>
                <w:sz w:val="18"/>
              </w:rPr>
              <w:t>del</w:t>
            </w:r>
            <w:r>
              <w:rPr>
                <w:rFonts w:ascii="Arial MT" w:hAnsi="Arial MT"/>
                <w:color w:val="231F1F"/>
                <w:spacing w:val="-5"/>
                <w:sz w:val="18"/>
              </w:rPr>
              <w:t> </w:t>
            </w:r>
            <w:r>
              <w:rPr>
                <w:rFonts w:ascii="Arial MT" w:hAnsi="Arial MT"/>
                <w:color w:val="231F1F"/>
                <w:spacing w:val="-2"/>
                <w:sz w:val="18"/>
              </w:rPr>
              <w:t>50%</w:t>
            </w:r>
            <w:r>
              <w:rPr>
                <w:rFonts w:ascii="Arial MT" w:hAnsi="Arial MT"/>
                <w:color w:val="231F1F"/>
                <w:spacing w:val="-11"/>
                <w:sz w:val="18"/>
              </w:rPr>
              <w:t> </w:t>
            </w:r>
            <w:r>
              <w:rPr>
                <w:rFonts w:ascii="Arial MT" w:hAnsi="Arial MT"/>
                <w:color w:val="231F1F"/>
                <w:spacing w:val="-2"/>
                <w:sz w:val="18"/>
              </w:rPr>
              <w:t>de</w:t>
            </w:r>
            <w:r>
              <w:rPr>
                <w:rFonts w:ascii="Arial MT" w:hAnsi="Arial MT"/>
                <w:color w:val="231F1F"/>
                <w:spacing w:val="-7"/>
                <w:sz w:val="18"/>
              </w:rPr>
              <w:t> </w:t>
            </w:r>
            <w:r>
              <w:rPr>
                <w:rFonts w:ascii="Arial MT" w:hAnsi="Arial MT"/>
                <w:color w:val="231F1F"/>
                <w:spacing w:val="-5"/>
                <w:sz w:val="18"/>
              </w:rPr>
              <w:t>las</w:t>
            </w:r>
          </w:p>
          <w:p>
            <w:pPr>
              <w:pStyle w:val="TableParagraph"/>
              <w:tabs>
                <w:tab w:pos="3452" w:val="left" w:leader="none"/>
              </w:tabs>
              <w:spacing w:line="255" w:lineRule="exact"/>
              <w:ind w:left="166"/>
              <w:rPr>
                <w:rFonts w:ascii="Cambria" w:hAnsi="Cambria"/>
                <w:position w:val="8"/>
                <w:sz w:val="18"/>
              </w:rPr>
            </w:pPr>
            <w:r>
              <w:rPr>
                <w:rFonts w:ascii="Cambria" w:hAnsi="Cambria"/>
                <w:color w:val="231F1F"/>
                <w:spacing w:val="-2"/>
                <w:sz w:val="18"/>
              </w:rPr>
              <w:t>Patrón</w:t>
            </w:r>
            <w:r>
              <w:rPr>
                <w:rFonts w:ascii="Cambria" w:hAnsi="Cambria"/>
                <w:color w:val="231F1F"/>
                <w:spacing w:val="1"/>
                <w:sz w:val="18"/>
              </w:rPr>
              <w:t> </w:t>
            </w:r>
            <w:r>
              <w:rPr>
                <w:rFonts w:ascii="Cambria" w:hAnsi="Cambria"/>
                <w:color w:val="231F1F"/>
                <w:spacing w:val="-2"/>
                <w:sz w:val="18"/>
              </w:rPr>
              <w:t>sinusoidal</w:t>
            </w:r>
            <w:r>
              <w:rPr>
                <w:rFonts w:ascii="Cambria" w:hAnsi="Cambria"/>
                <w:color w:val="231F1F"/>
                <w:sz w:val="18"/>
              </w:rPr>
              <w:tab/>
            </w:r>
            <w:r>
              <w:rPr>
                <w:rFonts w:ascii="Cambria" w:hAnsi="Cambria"/>
                <w:color w:val="231F1F"/>
                <w:spacing w:val="-2"/>
                <w:position w:val="8"/>
                <w:sz w:val="18"/>
              </w:rPr>
              <w:t>contracciones </w:t>
            </w:r>
            <w:r>
              <w:rPr>
                <w:rFonts w:ascii="Cambria" w:hAnsi="Cambria"/>
                <w:color w:val="231F1F"/>
                <w:spacing w:val="-10"/>
                <w:position w:val="8"/>
                <w:sz w:val="18"/>
              </w:rPr>
              <w:t>o</w:t>
            </w:r>
          </w:p>
          <w:p>
            <w:pPr>
              <w:pStyle w:val="TableParagraph"/>
              <w:tabs>
                <w:tab w:pos="3430" w:val="left" w:leader="none"/>
              </w:tabs>
              <w:spacing w:line="160" w:lineRule="auto" w:before="20"/>
              <w:ind w:left="3442" w:right="1854" w:hanging="3117"/>
              <w:rPr>
                <w:rFonts w:ascii="Cambria" w:hAnsi="Cambria"/>
                <w:sz w:val="18"/>
              </w:rPr>
            </w:pPr>
            <w:r>
              <w:rPr>
                <w:rFonts w:ascii="Symbol" w:hAnsi="Symbol"/>
                <w:color w:val="231F1F"/>
                <w:position w:val="-6"/>
                <w:sz w:val="18"/>
              </w:rPr>
              <w:t></w:t>
            </w:r>
            <w:r>
              <w:rPr>
                <w:rFonts w:ascii="Arial MT" w:hAnsi="Arial MT"/>
                <w:color w:val="231F1F"/>
                <w:position w:val="-6"/>
                <w:sz w:val="18"/>
              </w:rPr>
              <w:t>10</w:t>
            </w:r>
            <w:r>
              <w:rPr>
                <w:rFonts w:ascii="Arial MT" w:hAnsi="Arial MT"/>
                <w:color w:val="231F1F"/>
                <w:spacing w:val="-13"/>
                <w:position w:val="-6"/>
                <w:sz w:val="18"/>
              </w:rPr>
              <w:t> </w:t>
            </w:r>
            <w:r>
              <w:rPr>
                <w:rFonts w:ascii="Arial MT" w:hAnsi="Arial MT"/>
                <w:color w:val="231F1F"/>
                <w:position w:val="-6"/>
                <w:sz w:val="18"/>
              </w:rPr>
              <w:t>minutos</w:t>
              <w:tab/>
            </w:r>
            <w:r>
              <w:rPr>
                <w:rFonts w:ascii="Cambria" w:hAnsi="Cambria"/>
                <w:color w:val="231F1F"/>
                <w:spacing w:val="-2"/>
                <w:sz w:val="18"/>
              </w:rPr>
              <w:t>desaceleraciones</w:t>
            </w:r>
            <w:r>
              <w:rPr>
                <w:rFonts w:ascii="Cambria" w:hAnsi="Cambria"/>
                <w:color w:val="231F1F"/>
                <w:spacing w:val="40"/>
                <w:sz w:val="18"/>
              </w:rPr>
              <w:t> </w:t>
            </w:r>
            <w:r>
              <w:rPr>
                <w:rFonts w:ascii="Cambria" w:hAnsi="Cambria"/>
                <w:color w:val="231F1F"/>
                <w:spacing w:val="-4"/>
                <w:sz w:val="18"/>
              </w:rPr>
              <w:t>tardías</w:t>
            </w:r>
            <w:r>
              <w:rPr>
                <w:rFonts w:ascii="Cambria" w:hAnsi="Cambria"/>
                <w:color w:val="231F1F"/>
                <w:spacing w:val="-15"/>
                <w:sz w:val="18"/>
              </w:rPr>
              <w:t> </w:t>
            </w:r>
            <w:r>
              <w:rPr>
                <w:rFonts w:ascii="Cambria" w:hAnsi="Cambria"/>
                <w:color w:val="231F1F"/>
                <w:spacing w:val="-4"/>
                <w:sz w:val="18"/>
              </w:rPr>
              <w:t>(DIPII),</w:t>
            </w:r>
            <w:r>
              <w:rPr>
                <w:rFonts w:ascii="Cambria" w:hAnsi="Cambria"/>
                <w:color w:val="231F1F"/>
                <w:spacing w:val="-14"/>
                <w:sz w:val="18"/>
              </w:rPr>
              <w:t> </w:t>
            </w:r>
            <w:r>
              <w:rPr>
                <w:rFonts w:ascii="Cambria" w:hAnsi="Cambria"/>
                <w:color w:val="231F1F"/>
                <w:spacing w:val="-4"/>
                <w:sz w:val="18"/>
              </w:rPr>
              <w:t>ambas</w:t>
            </w:r>
          </w:p>
          <w:p>
            <w:pPr>
              <w:pStyle w:val="TableParagraph"/>
              <w:spacing w:line="193" w:lineRule="exact"/>
              <w:ind w:left="3424"/>
              <w:rPr>
                <w:rFonts w:ascii="Arial MT" w:hAnsi="Arial MT"/>
                <w:sz w:val="18"/>
              </w:rPr>
            </w:pPr>
            <w:r>
              <w:rPr>
                <w:rFonts w:ascii="Arial MT" w:hAnsi="Arial MT"/>
                <w:color w:val="231F1F"/>
                <w:spacing w:val="-2"/>
                <w:sz w:val="18"/>
              </w:rPr>
              <w:t>durante</w:t>
            </w:r>
            <w:r>
              <w:rPr>
                <w:rFonts w:ascii="Arial MT" w:hAnsi="Arial MT"/>
                <w:color w:val="231F1F"/>
                <w:spacing w:val="-11"/>
                <w:sz w:val="18"/>
              </w:rPr>
              <w:t> </w:t>
            </w:r>
            <w:r>
              <w:rPr>
                <w:rFonts w:ascii="Arial MT" w:hAnsi="Arial MT"/>
                <w:color w:val="231F1F"/>
                <w:spacing w:val="-2"/>
                <w:sz w:val="18"/>
              </w:rPr>
              <w:t>más</w:t>
            </w:r>
            <w:r>
              <w:rPr>
                <w:rFonts w:ascii="Arial MT" w:hAnsi="Arial MT"/>
                <w:color w:val="231F1F"/>
                <w:spacing w:val="-11"/>
                <w:sz w:val="18"/>
              </w:rPr>
              <w:t> </w:t>
            </w:r>
            <w:r>
              <w:rPr>
                <w:rFonts w:ascii="Arial MT" w:hAnsi="Arial MT"/>
                <w:color w:val="231F1F"/>
                <w:spacing w:val="-2"/>
                <w:sz w:val="18"/>
              </w:rPr>
              <w:t>de</w:t>
            </w:r>
            <w:r>
              <w:rPr>
                <w:rFonts w:ascii="Arial MT" w:hAnsi="Arial MT"/>
                <w:color w:val="231F1F"/>
                <w:spacing w:val="-11"/>
                <w:sz w:val="18"/>
              </w:rPr>
              <w:t> </w:t>
            </w:r>
            <w:r>
              <w:rPr>
                <w:rFonts w:ascii="Arial MT" w:hAnsi="Arial MT"/>
                <w:color w:val="231F1F"/>
                <w:spacing w:val="-5"/>
                <w:sz w:val="18"/>
              </w:rPr>
              <w:t>30</w:t>
            </w:r>
          </w:p>
          <w:p>
            <w:pPr>
              <w:pStyle w:val="TableParagraph"/>
              <w:spacing w:before="9"/>
              <w:ind w:left="3424"/>
              <w:rPr>
                <w:rFonts w:ascii="Arial MT"/>
                <w:sz w:val="18"/>
              </w:rPr>
            </w:pPr>
            <w:r>
              <w:rPr>
                <w:rFonts w:ascii="Arial MT"/>
                <w:color w:val="231F1F"/>
                <w:spacing w:val="-2"/>
                <w:sz w:val="18"/>
              </w:rPr>
              <w:t>minutos.</w:t>
            </w:r>
          </w:p>
          <w:p>
            <w:pPr>
              <w:pStyle w:val="TableParagraph"/>
              <w:numPr>
                <w:ilvl w:val="0"/>
                <w:numId w:val="107"/>
              </w:numPr>
              <w:tabs>
                <w:tab w:pos="3421" w:val="left" w:leader="none"/>
                <w:tab w:pos="3424" w:val="left" w:leader="none"/>
              </w:tabs>
              <w:spacing w:line="230" w:lineRule="auto" w:before="114" w:after="0"/>
              <w:ind w:left="3424" w:right="1920" w:hanging="140"/>
              <w:jc w:val="left"/>
              <w:rPr>
                <w:rFonts w:ascii="Cambria" w:hAnsi="Cambria"/>
                <w:sz w:val="18"/>
              </w:rPr>
            </w:pPr>
            <w:r>
              <w:rPr>
                <w:rFonts w:ascii="Cambria" w:hAnsi="Cambria"/>
                <w:color w:val="231F1F"/>
                <w:spacing w:val="-2"/>
                <w:sz w:val="18"/>
              </w:rPr>
              <w:t>Deceleración</w:t>
            </w:r>
            <w:r>
              <w:rPr>
                <w:rFonts w:ascii="Cambria" w:hAnsi="Cambria"/>
                <w:color w:val="231F1F"/>
                <w:spacing w:val="40"/>
                <w:sz w:val="18"/>
              </w:rPr>
              <w:t> </w:t>
            </w:r>
            <w:r>
              <w:rPr>
                <w:rFonts w:ascii="Cambria" w:hAnsi="Cambria"/>
                <w:color w:val="231F1F"/>
                <w:spacing w:val="-2"/>
                <w:sz w:val="18"/>
              </w:rPr>
              <w:t>prolongada</w:t>
            </w:r>
            <w:r>
              <w:rPr>
                <w:rFonts w:ascii="Cambria" w:hAnsi="Cambria"/>
                <w:color w:val="231F1F"/>
                <w:spacing w:val="-11"/>
                <w:sz w:val="18"/>
              </w:rPr>
              <w:t> </w:t>
            </w:r>
            <w:r>
              <w:rPr>
                <w:rFonts w:ascii="Cambria" w:hAnsi="Cambria"/>
                <w:color w:val="231F1F"/>
                <w:spacing w:val="-2"/>
                <w:sz w:val="18"/>
              </w:rPr>
              <w:t>única</w:t>
            </w:r>
            <w:r>
              <w:rPr>
                <w:rFonts w:ascii="Cambria" w:hAnsi="Cambria"/>
                <w:color w:val="231F1F"/>
                <w:spacing w:val="-12"/>
                <w:sz w:val="18"/>
              </w:rPr>
              <w:t> </w:t>
            </w:r>
            <w:r>
              <w:rPr>
                <w:rFonts w:ascii="Cambria" w:hAnsi="Cambria"/>
                <w:color w:val="231F1F"/>
                <w:spacing w:val="-2"/>
                <w:sz w:val="18"/>
              </w:rPr>
              <w:t>de</w:t>
            </w:r>
          </w:p>
          <w:p>
            <w:pPr>
              <w:pStyle w:val="TableParagraph"/>
              <w:spacing w:before="17"/>
              <w:ind w:left="3424"/>
              <w:rPr>
                <w:rFonts w:ascii="Arial MT"/>
                <w:sz w:val="18"/>
              </w:rPr>
            </w:pPr>
            <w:r>
              <w:rPr>
                <w:rFonts w:ascii="Arial MT"/>
                <w:color w:val="231F1F"/>
                <w:sz w:val="18"/>
              </w:rPr>
              <w:t>&gt;3</w:t>
            </w:r>
            <w:r>
              <w:rPr>
                <w:rFonts w:ascii="Arial MT"/>
                <w:color w:val="231F1F"/>
                <w:spacing w:val="-2"/>
                <w:sz w:val="18"/>
              </w:rPr>
              <w:t> minutos.</w:t>
            </w:r>
          </w:p>
          <w:p>
            <w:pPr>
              <w:pStyle w:val="TableParagraph"/>
              <w:spacing w:before="64"/>
              <w:ind w:left="0"/>
              <w:rPr>
                <w:rFonts w:ascii="Arial MT"/>
                <w:sz w:val="18"/>
              </w:rPr>
            </w:pPr>
          </w:p>
          <w:p>
            <w:pPr>
              <w:pStyle w:val="TableParagraph"/>
              <w:rPr>
                <w:rFonts w:ascii="Cambria"/>
                <w:sz w:val="18"/>
              </w:rPr>
            </w:pPr>
            <w:r>
              <w:rPr>
                <w:rFonts w:ascii="Cambria"/>
                <w:color w:val="231F1F"/>
                <w:sz w:val="18"/>
              </w:rPr>
              <w:t>Ausencia</w:t>
            </w:r>
            <w:r>
              <w:rPr>
                <w:rFonts w:ascii="Cambria"/>
                <w:color w:val="231F1F"/>
                <w:spacing w:val="-10"/>
                <w:sz w:val="18"/>
              </w:rPr>
              <w:t> </w:t>
            </w:r>
            <w:r>
              <w:rPr>
                <w:rFonts w:ascii="Cambria"/>
                <w:color w:val="231F1F"/>
                <w:sz w:val="18"/>
              </w:rPr>
              <w:t>total</w:t>
            </w:r>
            <w:r>
              <w:rPr>
                <w:rFonts w:ascii="Cambria"/>
                <w:color w:val="231F1F"/>
                <w:spacing w:val="-7"/>
                <w:sz w:val="18"/>
              </w:rPr>
              <w:t> </w:t>
            </w:r>
            <w:r>
              <w:rPr>
                <w:rFonts w:ascii="Cambria"/>
                <w:color w:val="231F1F"/>
                <w:sz w:val="18"/>
              </w:rPr>
              <w:t>de</w:t>
            </w:r>
            <w:r>
              <w:rPr>
                <w:rFonts w:ascii="Cambria"/>
                <w:color w:val="231F1F"/>
                <w:spacing w:val="-4"/>
                <w:sz w:val="18"/>
              </w:rPr>
              <w:t> </w:t>
            </w:r>
            <w:r>
              <w:rPr>
                <w:rFonts w:ascii="Cambria"/>
                <w:color w:val="231F1F"/>
                <w:sz w:val="18"/>
              </w:rPr>
              <w:t>v</w:t>
            </w:r>
            <w:r>
              <w:rPr>
                <w:rFonts w:ascii="Cambria"/>
                <w:color w:val="231F1F"/>
                <w:spacing w:val="43"/>
                <w:sz w:val="18"/>
              </w:rPr>
              <w:t> </w:t>
            </w:r>
            <w:r>
              <w:rPr>
                <w:rFonts w:ascii="Cambria"/>
                <w:color w:val="231F1F"/>
                <w:sz w:val="18"/>
              </w:rPr>
              <w:t>riabilidad</w:t>
            </w:r>
            <w:r>
              <w:rPr>
                <w:rFonts w:ascii="Cambria"/>
                <w:color w:val="231F1F"/>
                <w:spacing w:val="-14"/>
                <w:sz w:val="18"/>
              </w:rPr>
              <w:t> </w:t>
            </w:r>
            <w:r>
              <w:rPr>
                <w:rFonts w:ascii="Cambria"/>
                <w:color w:val="231F1F"/>
                <w:sz w:val="18"/>
              </w:rPr>
              <w:t>y</w:t>
            </w:r>
            <w:r>
              <w:rPr>
                <w:rFonts w:ascii="Cambria"/>
                <w:color w:val="231F1F"/>
                <w:spacing w:val="-14"/>
                <w:sz w:val="18"/>
              </w:rPr>
              <w:t> </w:t>
            </w:r>
            <w:r>
              <w:rPr>
                <w:rFonts w:ascii="Cambria"/>
                <w:color w:val="231F1F"/>
                <w:sz w:val="18"/>
              </w:rPr>
              <w:t>reactivi</w:t>
            </w:r>
            <w:r>
              <w:rPr>
                <w:rFonts w:ascii="Cambria"/>
                <w:color w:val="231F1F"/>
                <w:spacing w:val="34"/>
                <w:sz w:val="18"/>
              </w:rPr>
              <w:t> </w:t>
            </w:r>
            <w:r>
              <w:rPr>
                <w:rFonts w:ascii="Cambria"/>
                <w:color w:val="231F1F"/>
                <w:sz w:val="18"/>
              </w:rPr>
              <w:t>ad</w:t>
            </w:r>
            <w:r>
              <w:rPr>
                <w:rFonts w:ascii="Cambria"/>
                <w:color w:val="231F1F"/>
                <w:spacing w:val="2"/>
                <w:sz w:val="18"/>
              </w:rPr>
              <w:t> </w:t>
            </w:r>
            <w:r>
              <w:rPr>
                <w:rFonts w:ascii="Cambria"/>
                <w:color w:val="231F1F"/>
                <w:sz w:val="18"/>
              </w:rPr>
              <w:t>con</w:t>
            </w:r>
            <w:r>
              <w:rPr>
                <w:rFonts w:ascii="Cambria"/>
                <w:color w:val="231F1F"/>
                <w:spacing w:val="2"/>
                <w:sz w:val="18"/>
              </w:rPr>
              <w:t> </w:t>
            </w:r>
            <w:r>
              <w:rPr>
                <w:rFonts w:ascii="Cambria"/>
                <w:color w:val="231F1F"/>
                <w:sz w:val="18"/>
              </w:rPr>
              <w:t>o</w:t>
            </w:r>
            <w:r>
              <w:rPr>
                <w:rFonts w:ascii="Cambria"/>
                <w:color w:val="231F1F"/>
                <w:spacing w:val="2"/>
                <w:sz w:val="18"/>
              </w:rPr>
              <w:t> </w:t>
            </w:r>
            <w:r>
              <w:rPr>
                <w:rFonts w:ascii="Cambria"/>
                <w:color w:val="231F1F"/>
                <w:sz w:val="18"/>
              </w:rPr>
              <w:t>sin</w:t>
            </w:r>
            <w:r>
              <w:rPr>
                <w:rFonts w:ascii="Cambria"/>
                <w:color w:val="231F1F"/>
                <w:spacing w:val="2"/>
                <w:sz w:val="18"/>
              </w:rPr>
              <w:t> </w:t>
            </w:r>
            <w:r>
              <w:rPr>
                <w:rFonts w:ascii="Cambria"/>
                <w:color w:val="231F1F"/>
                <w:sz w:val="18"/>
              </w:rPr>
              <w:t>deceleraciones</w:t>
            </w:r>
            <w:r>
              <w:rPr>
                <w:rFonts w:ascii="Cambria"/>
                <w:color w:val="231F1F"/>
                <w:spacing w:val="2"/>
                <w:sz w:val="18"/>
              </w:rPr>
              <w:t> </w:t>
            </w:r>
            <w:r>
              <w:rPr>
                <w:rFonts w:ascii="Cambria"/>
                <w:color w:val="231F1F"/>
                <w:sz w:val="18"/>
              </w:rPr>
              <w:t>o</w:t>
            </w:r>
            <w:r>
              <w:rPr>
                <w:rFonts w:ascii="Cambria"/>
                <w:color w:val="231F1F"/>
                <w:spacing w:val="1"/>
                <w:sz w:val="18"/>
              </w:rPr>
              <w:t> </w:t>
            </w:r>
            <w:r>
              <w:rPr>
                <w:rFonts w:ascii="Cambria"/>
                <w:color w:val="231F1F"/>
                <w:spacing w:val="-2"/>
                <w:sz w:val="18"/>
              </w:rPr>
              <w:t>bradicardia</w:t>
            </w:r>
          </w:p>
        </w:tc>
      </w:tr>
      <w:tr>
        <w:trPr>
          <w:trHeight w:val="1826" w:hRule="atLeast"/>
        </w:trPr>
        <w:tc>
          <w:tcPr>
            <w:tcW w:w="1589" w:type="dxa"/>
            <w:tcBorders>
              <w:top w:val="nil"/>
            </w:tcBorders>
          </w:tcPr>
          <w:p>
            <w:pPr>
              <w:pStyle w:val="TableParagraph"/>
              <w:ind w:left="0"/>
              <w:rPr>
                <w:rFonts w:ascii="Arial MT"/>
                <w:sz w:val="18"/>
              </w:rPr>
            </w:pPr>
          </w:p>
          <w:p>
            <w:pPr>
              <w:pStyle w:val="TableParagraph"/>
              <w:ind w:left="0"/>
              <w:rPr>
                <w:rFonts w:ascii="Arial MT"/>
                <w:sz w:val="18"/>
              </w:rPr>
            </w:pPr>
          </w:p>
          <w:p>
            <w:pPr>
              <w:pStyle w:val="TableParagraph"/>
              <w:ind w:left="0"/>
              <w:rPr>
                <w:rFonts w:ascii="Arial MT"/>
                <w:sz w:val="18"/>
              </w:rPr>
            </w:pPr>
          </w:p>
          <w:p>
            <w:pPr>
              <w:pStyle w:val="TableParagraph"/>
              <w:ind w:left="0"/>
              <w:rPr>
                <w:rFonts w:ascii="Arial MT"/>
                <w:sz w:val="18"/>
              </w:rPr>
            </w:pPr>
          </w:p>
          <w:p>
            <w:pPr>
              <w:pStyle w:val="TableParagraph"/>
              <w:ind w:left="0"/>
              <w:rPr>
                <w:rFonts w:ascii="Arial MT"/>
                <w:sz w:val="18"/>
              </w:rPr>
            </w:pPr>
          </w:p>
          <w:p>
            <w:pPr>
              <w:pStyle w:val="TableParagraph"/>
              <w:spacing w:before="89"/>
              <w:ind w:left="0"/>
              <w:rPr>
                <w:rFonts w:ascii="Arial MT"/>
                <w:sz w:val="18"/>
              </w:rPr>
            </w:pPr>
          </w:p>
          <w:p>
            <w:pPr>
              <w:pStyle w:val="TableParagraph"/>
              <w:spacing w:line="207" w:lineRule="exact" w:before="1"/>
              <w:rPr>
                <w:rFonts w:ascii="Arial MT"/>
                <w:sz w:val="18"/>
              </w:rPr>
            </w:pPr>
            <w:r>
              <w:rPr>
                <w:rFonts w:ascii="Arial MT"/>
                <w:color w:val="231F1F"/>
                <w:spacing w:val="-5"/>
                <w:sz w:val="18"/>
              </w:rPr>
              <w:t>CTG</w:t>
            </w:r>
          </w:p>
          <w:p>
            <w:pPr>
              <w:pStyle w:val="TableParagraph"/>
              <w:spacing w:line="207" w:lineRule="exact"/>
              <w:rPr>
                <w:rFonts w:ascii="Arial MT"/>
                <w:sz w:val="18"/>
              </w:rPr>
            </w:pPr>
            <w:r>
              <w:rPr>
                <w:rFonts w:ascii="Arial MT"/>
                <w:color w:val="231F1F"/>
                <w:spacing w:val="-2"/>
                <w:sz w:val="18"/>
              </w:rPr>
              <w:t>preterminal</w:t>
            </w:r>
          </w:p>
        </w:tc>
        <w:tc>
          <w:tcPr>
            <w:tcW w:w="6900" w:type="dxa"/>
            <w:gridSpan w:val="4"/>
            <w:vMerge/>
            <w:tcBorders>
              <w:top w:val="nil"/>
            </w:tcBorders>
          </w:tcPr>
          <w:p>
            <w:pPr>
              <w:rPr>
                <w:sz w:val="2"/>
                <w:szCs w:val="2"/>
              </w:rPr>
            </w:pPr>
          </w:p>
        </w:tc>
      </w:tr>
    </w:tbl>
    <w:p>
      <w:pPr>
        <w:spacing w:after="0"/>
        <w:rPr>
          <w:sz w:val="2"/>
          <w:szCs w:val="2"/>
        </w:rPr>
        <w:sectPr>
          <w:pgSz w:w="11900" w:h="16840"/>
          <w:pgMar w:header="0" w:footer="622" w:top="1540" w:bottom="820" w:left="1417" w:right="1559"/>
        </w:sectPr>
      </w:pPr>
    </w:p>
    <w:p>
      <w:pPr>
        <w:spacing w:before="82"/>
        <w:ind w:left="283" w:right="0" w:firstLine="0"/>
        <w:jc w:val="left"/>
        <w:rPr>
          <w:rFonts w:ascii="Arial MT" w:hAnsi="Arial MT"/>
          <w:sz w:val="24"/>
        </w:rPr>
      </w:pPr>
      <w:r>
        <w:rPr>
          <w:rFonts w:ascii="Arial MT" w:hAnsi="Arial MT"/>
          <w:color w:val="231F1F"/>
          <w:w w:val="105"/>
          <w:sz w:val="24"/>
        </w:rPr>
        <w:t>Definición</w:t>
      </w:r>
      <w:r>
        <w:rPr>
          <w:rFonts w:ascii="Arial MT" w:hAnsi="Arial MT"/>
          <w:color w:val="231F1F"/>
          <w:spacing w:val="-7"/>
          <w:w w:val="105"/>
          <w:sz w:val="24"/>
        </w:rPr>
        <w:t> </w:t>
      </w:r>
      <w:r>
        <w:rPr>
          <w:rFonts w:ascii="Arial MT" w:hAnsi="Arial MT"/>
          <w:color w:val="231F1F"/>
          <w:w w:val="105"/>
          <w:sz w:val="24"/>
        </w:rPr>
        <w:t>de</w:t>
      </w:r>
      <w:r>
        <w:rPr>
          <w:rFonts w:ascii="Arial MT" w:hAnsi="Arial MT"/>
          <w:color w:val="231F1F"/>
          <w:spacing w:val="-9"/>
          <w:w w:val="105"/>
          <w:sz w:val="24"/>
        </w:rPr>
        <w:t> </w:t>
      </w:r>
      <w:r>
        <w:rPr>
          <w:rFonts w:ascii="Arial MT" w:hAnsi="Arial MT"/>
          <w:color w:val="231F1F"/>
          <w:w w:val="105"/>
          <w:sz w:val="24"/>
        </w:rPr>
        <w:t>las</w:t>
      </w:r>
      <w:r>
        <w:rPr>
          <w:rFonts w:ascii="Arial MT" w:hAnsi="Arial MT"/>
          <w:color w:val="231F1F"/>
          <w:spacing w:val="-9"/>
          <w:w w:val="105"/>
          <w:sz w:val="24"/>
        </w:rPr>
        <w:t> </w:t>
      </w:r>
      <w:r>
        <w:rPr>
          <w:rFonts w:ascii="Arial MT" w:hAnsi="Arial MT"/>
          <w:color w:val="231F1F"/>
          <w:w w:val="105"/>
          <w:sz w:val="24"/>
        </w:rPr>
        <w:t>categorias</w:t>
      </w:r>
      <w:r>
        <w:rPr>
          <w:rFonts w:ascii="Arial MT" w:hAnsi="Arial MT"/>
          <w:color w:val="231F1F"/>
          <w:spacing w:val="-9"/>
          <w:w w:val="105"/>
          <w:sz w:val="24"/>
        </w:rPr>
        <w:t> </w:t>
      </w:r>
      <w:r>
        <w:rPr>
          <w:rFonts w:ascii="Arial MT" w:hAnsi="Arial MT"/>
          <w:color w:val="231F1F"/>
          <w:w w:val="105"/>
          <w:sz w:val="24"/>
        </w:rPr>
        <w:t>del</w:t>
      </w:r>
      <w:r>
        <w:rPr>
          <w:rFonts w:ascii="Arial MT" w:hAnsi="Arial MT"/>
          <w:color w:val="231F1F"/>
          <w:spacing w:val="-9"/>
          <w:w w:val="105"/>
          <w:sz w:val="24"/>
        </w:rPr>
        <w:t> </w:t>
      </w:r>
      <w:r>
        <w:rPr>
          <w:rFonts w:ascii="Arial MT" w:hAnsi="Arial MT"/>
          <w:color w:val="231F1F"/>
          <w:w w:val="105"/>
          <w:sz w:val="24"/>
        </w:rPr>
        <w:t>registro</w:t>
      </w:r>
      <w:r>
        <w:rPr>
          <w:rFonts w:ascii="Arial MT" w:hAnsi="Arial MT"/>
          <w:color w:val="231F1F"/>
          <w:spacing w:val="-9"/>
          <w:w w:val="105"/>
          <w:sz w:val="24"/>
        </w:rPr>
        <w:t> </w:t>
      </w:r>
      <w:r>
        <w:rPr>
          <w:rFonts w:ascii="Arial MT" w:hAnsi="Arial MT"/>
          <w:color w:val="231F1F"/>
          <w:spacing w:val="-2"/>
          <w:w w:val="105"/>
          <w:sz w:val="24"/>
        </w:rPr>
        <w:t>cardiotocográfico</w:t>
      </w:r>
    </w:p>
    <w:p>
      <w:pPr>
        <w:pStyle w:val="ListParagraph"/>
        <w:numPr>
          <w:ilvl w:val="0"/>
          <w:numId w:val="105"/>
        </w:numPr>
        <w:tabs>
          <w:tab w:pos="962" w:val="left" w:leader="none"/>
        </w:tabs>
        <w:spacing w:line="244" w:lineRule="auto" w:before="209" w:after="0"/>
        <w:ind w:left="962" w:right="253" w:hanging="226"/>
        <w:jc w:val="both"/>
        <w:rPr>
          <w:sz w:val="22"/>
        </w:rPr>
      </w:pPr>
      <w:r>
        <w:rPr>
          <w:color w:val="231F1F"/>
          <w:w w:val="105"/>
          <w:sz w:val="22"/>
        </w:rPr>
        <w:t>Registro</w:t>
      </w:r>
      <w:r>
        <w:rPr>
          <w:color w:val="231F1F"/>
          <w:spacing w:val="-12"/>
          <w:w w:val="105"/>
          <w:sz w:val="22"/>
        </w:rPr>
        <w:t> </w:t>
      </w:r>
      <w:r>
        <w:rPr>
          <w:color w:val="231F1F"/>
          <w:w w:val="105"/>
          <w:sz w:val="22"/>
        </w:rPr>
        <w:t>Normal:</w:t>
      </w:r>
      <w:r>
        <w:rPr>
          <w:color w:val="231F1F"/>
          <w:spacing w:val="-12"/>
          <w:w w:val="105"/>
          <w:sz w:val="22"/>
        </w:rPr>
        <w:t> </w:t>
      </w:r>
      <w:r>
        <w:rPr>
          <w:color w:val="231F1F"/>
          <w:w w:val="105"/>
          <w:sz w:val="22"/>
        </w:rPr>
        <w:t>Registro</w:t>
      </w:r>
      <w:r>
        <w:rPr>
          <w:color w:val="231F1F"/>
          <w:spacing w:val="-12"/>
          <w:w w:val="105"/>
          <w:sz w:val="22"/>
        </w:rPr>
        <w:t> </w:t>
      </w:r>
      <w:r>
        <w:rPr>
          <w:color w:val="231F1F"/>
          <w:w w:val="105"/>
          <w:sz w:val="22"/>
        </w:rPr>
        <w:t>de</w:t>
      </w:r>
      <w:r>
        <w:rPr>
          <w:color w:val="231F1F"/>
          <w:spacing w:val="-11"/>
          <w:w w:val="105"/>
          <w:sz w:val="22"/>
        </w:rPr>
        <w:t> </w:t>
      </w:r>
      <w:r>
        <w:rPr>
          <w:color w:val="231F1F"/>
          <w:w w:val="105"/>
          <w:sz w:val="22"/>
        </w:rPr>
        <w:t>la</w:t>
      </w:r>
      <w:r>
        <w:rPr>
          <w:color w:val="231F1F"/>
          <w:spacing w:val="-11"/>
          <w:w w:val="105"/>
          <w:sz w:val="22"/>
        </w:rPr>
        <w:t> </w:t>
      </w:r>
      <w:r>
        <w:rPr>
          <w:color w:val="231F1F"/>
          <w:w w:val="105"/>
          <w:sz w:val="22"/>
        </w:rPr>
        <w:t>FCF</w:t>
      </w:r>
      <w:r>
        <w:rPr>
          <w:color w:val="231F1F"/>
          <w:spacing w:val="-10"/>
          <w:w w:val="105"/>
          <w:sz w:val="22"/>
        </w:rPr>
        <w:t> </w:t>
      </w:r>
      <w:r>
        <w:rPr>
          <w:color w:val="231F1F"/>
          <w:w w:val="105"/>
          <w:sz w:val="22"/>
        </w:rPr>
        <w:t>con</w:t>
      </w:r>
      <w:r>
        <w:rPr>
          <w:color w:val="231F1F"/>
          <w:spacing w:val="-11"/>
          <w:w w:val="105"/>
          <w:sz w:val="22"/>
        </w:rPr>
        <w:t> </w:t>
      </w:r>
      <w:r>
        <w:rPr>
          <w:color w:val="231F1F"/>
          <w:w w:val="105"/>
          <w:sz w:val="22"/>
        </w:rPr>
        <w:t>los</w:t>
      </w:r>
      <w:r>
        <w:rPr>
          <w:color w:val="231F1F"/>
          <w:spacing w:val="-11"/>
          <w:w w:val="105"/>
          <w:sz w:val="22"/>
        </w:rPr>
        <w:t> </w:t>
      </w:r>
      <w:r>
        <w:rPr>
          <w:color w:val="231F1F"/>
          <w:w w:val="105"/>
          <w:sz w:val="22"/>
        </w:rPr>
        <w:t>4</w:t>
      </w:r>
      <w:r>
        <w:rPr>
          <w:color w:val="231F1F"/>
          <w:spacing w:val="-11"/>
          <w:w w:val="105"/>
          <w:sz w:val="22"/>
        </w:rPr>
        <w:t> </w:t>
      </w:r>
      <w:r>
        <w:rPr>
          <w:color w:val="231F1F"/>
          <w:w w:val="105"/>
          <w:sz w:val="22"/>
        </w:rPr>
        <w:t>criterios</w:t>
      </w:r>
      <w:r>
        <w:rPr>
          <w:color w:val="231F1F"/>
          <w:spacing w:val="-10"/>
          <w:w w:val="105"/>
          <w:sz w:val="22"/>
        </w:rPr>
        <w:t> </w:t>
      </w:r>
      <w:r>
        <w:rPr>
          <w:color w:val="231F1F"/>
          <w:w w:val="105"/>
          <w:sz w:val="22"/>
        </w:rPr>
        <w:t>de</w:t>
      </w:r>
      <w:r>
        <w:rPr>
          <w:color w:val="231F1F"/>
          <w:spacing w:val="-11"/>
          <w:w w:val="105"/>
          <w:sz w:val="22"/>
        </w:rPr>
        <w:t> </w:t>
      </w:r>
      <w:r>
        <w:rPr>
          <w:color w:val="231F1F"/>
          <w:w w:val="105"/>
          <w:sz w:val="22"/>
        </w:rPr>
        <w:t>lectura</w:t>
      </w:r>
      <w:r>
        <w:rPr>
          <w:color w:val="231F1F"/>
          <w:spacing w:val="-12"/>
          <w:w w:val="105"/>
          <w:sz w:val="22"/>
        </w:rPr>
        <w:t> </w:t>
      </w:r>
      <w:r>
        <w:rPr>
          <w:color w:val="231F1F"/>
          <w:w w:val="105"/>
          <w:sz w:val="22"/>
        </w:rPr>
        <w:t>clasificados</w:t>
      </w:r>
      <w:r>
        <w:rPr>
          <w:color w:val="231F1F"/>
          <w:spacing w:val="-10"/>
          <w:w w:val="105"/>
          <w:sz w:val="22"/>
        </w:rPr>
        <w:t> </w:t>
      </w:r>
      <w:r>
        <w:rPr>
          <w:color w:val="231F1F"/>
          <w:w w:val="105"/>
          <w:sz w:val="22"/>
        </w:rPr>
        <w:t>como </w:t>
      </w:r>
      <w:r>
        <w:rPr>
          <w:color w:val="231F1F"/>
          <w:spacing w:val="-2"/>
          <w:w w:val="105"/>
          <w:sz w:val="22"/>
        </w:rPr>
        <w:t>tranquilizadores.</w:t>
      </w:r>
    </w:p>
    <w:p>
      <w:pPr>
        <w:pStyle w:val="ListParagraph"/>
        <w:numPr>
          <w:ilvl w:val="0"/>
          <w:numId w:val="105"/>
        </w:numPr>
        <w:tabs>
          <w:tab w:pos="961" w:val="left" w:leader="none"/>
        </w:tabs>
        <w:spacing w:line="244" w:lineRule="auto" w:before="146" w:after="0"/>
        <w:ind w:left="961" w:right="182" w:hanging="227"/>
        <w:jc w:val="both"/>
        <w:rPr>
          <w:sz w:val="22"/>
        </w:rPr>
      </w:pPr>
      <w:r>
        <w:rPr>
          <w:color w:val="231F1F"/>
          <w:w w:val="110"/>
          <w:sz w:val="22"/>
        </w:rPr>
        <w:t>Registro</w:t>
      </w:r>
      <w:r>
        <w:rPr>
          <w:color w:val="231F1F"/>
          <w:spacing w:val="-11"/>
          <w:w w:val="110"/>
          <w:sz w:val="22"/>
        </w:rPr>
        <w:t> </w:t>
      </w:r>
      <w:r>
        <w:rPr>
          <w:color w:val="231F1F"/>
          <w:w w:val="110"/>
          <w:sz w:val="22"/>
        </w:rPr>
        <w:t>Sospechoso:</w:t>
      </w:r>
      <w:r>
        <w:rPr>
          <w:color w:val="231F1F"/>
          <w:spacing w:val="-12"/>
          <w:w w:val="110"/>
          <w:sz w:val="22"/>
        </w:rPr>
        <w:t> </w:t>
      </w:r>
      <w:r>
        <w:rPr>
          <w:color w:val="231F1F"/>
          <w:w w:val="110"/>
          <w:sz w:val="22"/>
        </w:rPr>
        <w:t>Registro</w:t>
      </w:r>
      <w:r>
        <w:rPr>
          <w:color w:val="231F1F"/>
          <w:spacing w:val="-11"/>
          <w:w w:val="110"/>
          <w:sz w:val="22"/>
        </w:rPr>
        <w:t> </w:t>
      </w:r>
      <w:r>
        <w:rPr>
          <w:color w:val="231F1F"/>
          <w:w w:val="110"/>
          <w:sz w:val="22"/>
        </w:rPr>
        <w:t>de</w:t>
      </w:r>
      <w:r>
        <w:rPr>
          <w:color w:val="231F1F"/>
          <w:spacing w:val="-11"/>
          <w:w w:val="110"/>
          <w:sz w:val="22"/>
        </w:rPr>
        <w:t> </w:t>
      </w:r>
      <w:r>
        <w:rPr>
          <w:color w:val="231F1F"/>
          <w:w w:val="110"/>
          <w:sz w:val="22"/>
        </w:rPr>
        <w:t>la</w:t>
      </w:r>
      <w:r>
        <w:rPr>
          <w:color w:val="231F1F"/>
          <w:spacing w:val="-11"/>
          <w:w w:val="110"/>
          <w:sz w:val="22"/>
        </w:rPr>
        <w:t> </w:t>
      </w:r>
      <w:r>
        <w:rPr>
          <w:color w:val="231F1F"/>
          <w:w w:val="110"/>
          <w:sz w:val="22"/>
        </w:rPr>
        <w:t>FCF</w:t>
      </w:r>
      <w:r>
        <w:rPr>
          <w:color w:val="231F1F"/>
          <w:spacing w:val="-11"/>
          <w:w w:val="110"/>
          <w:sz w:val="22"/>
        </w:rPr>
        <w:t> </w:t>
      </w:r>
      <w:r>
        <w:rPr>
          <w:color w:val="231F1F"/>
          <w:w w:val="110"/>
          <w:sz w:val="22"/>
        </w:rPr>
        <w:t>con</w:t>
      </w:r>
      <w:r>
        <w:rPr>
          <w:color w:val="231F1F"/>
          <w:spacing w:val="-11"/>
          <w:w w:val="110"/>
          <w:sz w:val="22"/>
        </w:rPr>
        <w:t> </w:t>
      </w:r>
      <w:r>
        <w:rPr>
          <w:color w:val="231F1F"/>
          <w:w w:val="110"/>
          <w:sz w:val="22"/>
        </w:rPr>
        <w:t>1</w:t>
      </w:r>
      <w:r>
        <w:rPr>
          <w:color w:val="231F1F"/>
          <w:spacing w:val="-11"/>
          <w:w w:val="110"/>
          <w:sz w:val="22"/>
        </w:rPr>
        <w:t> </w:t>
      </w:r>
      <w:r>
        <w:rPr>
          <w:color w:val="231F1F"/>
          <w:w w:val="110"/>
          <w:sz w:val="22"/>
        </w:rPr>
        <w:t>criterio</w:t>
      </w:r>
      <w:r>
        <w:rPr>
          <w:color w:val="231F1F"/>
          <w:spacing w:val="-11"/>
          <w:w w:val="110"/>
          <w:sz w:val="22"/>
        </w:rPr>
        <w:t> </w:t>
      </w:r>
      <w:r>
        <w:rPr>
          <w:color w:val="231F1F"/>
          <w:w w:val="110"/>
          <w:sz w:val="22"/>
        </w:rPr>
        <w:t>clasificado</w:t>
      </w:r>
      <w:r>
        <w:rPr>
          <w:color w:val="231F1F"/>
          <w:spacing w:val="-11"/>
          <w:w w:val="110"/>
          <w:sz w:val="22"/>
        </w:rPr>
        <w:t> </w:t>
      </w:r>
      <w:r>
        <w:rPr>
          <w:color w:val="231F1F"/>
          <w:w w:val="110"/>
          <w:sz w:val="22"/>
        </w:rPr>
        <w:t>como</w:t>
      </w:r>
      <w:r>
        <w:rPr>
          <w:color w:val="231F1F"/>
          <w:spacing w:val="-11"/>
          <w:w w:val="110"/>
          <w:sz w:val="22"/>
        </w:rPr>
        <w:t> </w:t>
      </w:r>
      <w:r>
        <w:rPr>
          <w:color w:val="231F1F"/>
          <w:w w:val="110"/>
          <w:sz w:val="22"/>
        </w:rPr>
        <w:t>no</w:t>
      </w:r>
      <w:r>
        <w:rPr>
          <w:color w:val="231F1F"/>
          <w:spacing w:val="-11"/>
          <w:w w:val="110"/>
          <w:sz w:val="22"/>
        </w:rPr>
        <w:t> </w:t>
      </w:r>
      <w:r>
        <w:rPr>
          <w:color w:val="231F1F"/>
          <w:w w:val="110"/>
          <w:sz w:val="22"/>
        </w:rPr>
        <w:t>tran- quilizador y el resto tranquilizadores.</w:t>
      </w:r>
    </w:p>
    <w:p>
      <w:pPr>
        <w:pStyle w:val="ListParagraph"/>
        <w:numPr>
          <w:ilvl w:val="0"/>
          <w:numId w:val="105"/>
        </w:numPr>
        <w:tabs>
          <w:tab w:pos="961" w:val="left" w:leader="none"/>
        </w:tabs>
        <w:spacing w:line="254" w:lineRule="auto" w:before="156" w:after="0"/>
        <w:ind w:left="961" w:right="194" w:hanging="226"/>
        <w:jc w:val="both"/>
        <w:rPr>
          <w:sz w:val="22"/>
        </w:rPr>
      </w:pPr>
      <w:r>
        <w:rPr>
          <w:color w:val="231F1F"/>
          <w:sz w:val="22"/>
        </w:rPr>
        <w:t>Registro</w:t>
      </w:r>
      <w:r>
        <w:rPr>
          <w:color w:val="231F1F"/>
          <w:spacing w:val="30"/>
          <w:sz w:val="22"/>
        </w:rPr>
        <w:t> </w:t>
      </w:r>
      <w:r>
        <w:rPr>
          <w:color w:val="231F1F"/>
          <w:sz w:val="22"/>
        </w:rPr>
        <w:t>Patológico:</w:t>
      </w:r>
      <w:r>
        <w:rPr>
          <w:color w:val="231F1F"/>
          <w:spacing w:val="30"/>
          <w:sz w:val="22"/>
        </w:rPr>
        <w:t> </w:t>
      </w:r>
      <w:r>
        <w:rPr>
          <w:color w:val="231F1F"/>
          <w:sz w:val="22"/>
        </w:rPr>
        <w:t>Registro</w:t>
      </w:r>
      <w:r>
        <w:rPr>
          <w:color w:val="231F1F"/>
          <w:spacing w:val="30"/>
          <w:sz w:val="22"/>
        </w:rPr>
        <w:t> </w:t>
      </w:r>
      <w:r>
        <w:rPr>
          <w:color w:val="231F1F"/>
          <w:sz w:val="22"/>
        </w:rPr>
        <w:t>de</w:t>
      </w:r>
      <w:r>
        <w:rPr>
          <w:color w:val="231F1F"/>
          <w:spacing w:val="30"/>
          <w:sz w:val="22"/>
        </w:rPr>
        <w:t> </w:t>
      </w:r>
      <w:r>
        <w:rPr>
          <w:color w:val="231F1F"/>
          <w:sz w:val="22"/>
        </w:rPr>
        <w:t>la</w:t>
      </w:r>
      <w:r>
        <w:rPr>
          <w:color w:val="231F1F"/>
          <w:spacing w:val="30"/>
          <w:sz w:val="22"/>
        </w:rPr>
        <w:t> </w:t>
      </w:r>
      <w:r>
        <w:rPr>
          <w:color w:val="231F1F"/>
          <w:sz w:val="22"/>
        </w:rPr>
        <w:t>FCF</w:t>
      </w:r>
      <w:r>
        <w:rPr>
          <w:color w:val="231F1F"/>
          <w:spacing w:val="30"/>
          <w:sz w:val="22"/>
        </w:rPr>
        <w:t> </w:t>
      </w:r>
      <w:r>
        <w:rPr>
          <w:color w:val="231F1F"/>
          <w:sz w:val="22"/>
        </w:rPr>
        <w:t>con</w:t>
      </w:r>
      <w:r>
        <w:rPr>
          <w:color w:val="231F1F"/>
          <w:spacing w:val="30"/>
          <w:sz w:val="22"/>
        </w:rPr>
        <w:t> </w:t>
      </w:r>
      <w:r>
        <w:rPr>
          <w:color w:val="231F1F"/>
          <w:sz w:val="22"/>
        </w:rPr>
        <w:t>2</w:t>
      </w:r>
      <w:r>
        <w:rPr>
          <w:color w:val="231F1F"/>
          <w:spacing w:val="30"/>
          <w:sz w:val="22"/>
        </w:rPr>
        <w:t> </w:t>
      </w:r>
      <w:r>
        <w:rPr>
          <w:color w:val="231F1F"/>
          <w:sz w:val="22"/>
        </w:rPr>
        <w:t>ó</w:t>
      </w:r>
      <w:r>
        <w:rPr>
          <w:color w:val="231F1F"/>
          <w:spacing w:val="30"/>
          <w:sz w:val="22"/>
        </w:rPr>
        <w:t> </w:t>
      </w:r>
      <w:r>
        <w:rPr>
          <w:color w:val="231F1F"/>
          <w:sz w:val="22"/>
        </w:rPr>
        <w:t>más</w:t>
      </w:r>
      <w:r>
        <w:rPr>
          <w:color w:val="231F1F"/>
          <w:spacing w:val="30"/>
          <w:sz w:val="22"/>
        </w:rPr>
        <w:t> </w:t>
      </w:r>
      <w:r>
        <w:rPr>
          <w:color w:val="231F1F"/>
          <w:sz w:val="22"/>
        </w:rPr>
        <w:t>criterios</w:t>
      </w:r>
      <w:r>
        <w:rPr>
          <w:color w:val="231F1F"/>
          <w:spacing w:val="30"/>
          <w:sz w:val="22"/>
        </w:rPr>
        <w:t> </w:t>
      </w:r>
      <w:r>
        <w:rPr>
          <w:color w:val="231F1F"/>
          <w:sz w:val="22"/>
        </w:rPr>
        <w:t>no</w:t>
      </w:r>
      <w:r>
        <w:rPr>
          <w:color w:val="231F1F"/>
          <w:spacing w:val="30"/>
          <w:sz w:val="22"/>
        </w:rPr>
        <w:t> </w:t>
      </w:r>
      <w:r>
        <w:rPr>
          <w:color w:val="231F1F"/>
          <w:sz w:val="22"/>
        </w:rPr>
        <w:t>tranquilizadores</w:t>
      </w:r>
      <w:r>
        <w:rPr>
          <w:color w:val="231F1F"/>
          <w:spacing w:val="31"/>
          <w:sz w:val="22"/>
        </w:rPr>
        <w:t> </w:t>
      </w:r>
      <w:r>
        <w:rPr>
          <w:color w:val="231F1F"/>
          <w:sz w:val="22"/>
        </w:rPr>
        <w:t>o 1 o más clasificado como anormal.</w:t>
      </w:r>
    </w:p>
    <w:p>
      <w:pPr>
        <w:pStyle w:val="BodyText"/>
        <w:spacing w:before="161"/>
      </w:pPr>
    </w:p>
    <w:p>
      <w:pPr>
        <w:spacing w:before="0"/>
        <w:ind w:left="283" w:right="0" w:firstLine="0"/>
        <w:jc w:val="left"/>
        <w:rPr>
          <w:rFonts w:ascii="Arial MT" w:hAnsi="Arial MT"/>
          <w:sz w:val="24"/>
        </w:rPr>
      </w:pPr>
      <w:r>
        <w:rPr>
          <w:rFonts w:ascii="Arial MT" w:hAnsi="Arial MT"/>
          <w:color w:val="231F1F"/>
          <w:w w:val="105"/>
          <w:sz w:val="24"/>
        </w:rPr>
        <w:t>Información</w:t>
      </w:r>
      <w:r>
        <w:rPr>
          <w:rFonts w:ascii="Arial MT" w:hAnsi="Arial MT"/>
          <w:color w:val="231F1F"/>
          <w:spacing w:val="-10"/>
          <w:w w:val="105"/>
          <w:sz w:val="24"/>
        </w:rPr>
        <w:t> </w:t>
      </w:r>
      <w:r>
        <w:rPr>
          <w:rFonts w:ascii="Arial MT" w:hAnsi="Arial MT"/>
          <w:color w:val="231F1F"/>
          <w:w w:val="105"/>
          <w:sz w:val="24"/>
        </w:rPr>
        <w:t>ampliada</w:t>
      </w:r>
      <w:r>
        <w:rPr>
          <w:rFonts w:ascii="Arial MT" w:hAnsi="Arial MT"/>
          <w:color w:val="231F1F"/>
          <w:spacing w:val="-10"/>
          <w:w w:val="105"/>
          <w:sz w:val="24"/>
        </w:rPr>
        <w:t> </w:t>
      </w:r>
      <w:r>
        <w:rPr>
          <w:rFonts w:ascii="Arial MT" w:hAnsi="Arial MT"/>
          <w:color w:val="231F1F"/>
          <w:w w:val="105"/>
          <w:sz w:val="24"/>
        </w:rPr>
        <w:t>acerca</w:t>
      </w:r>
      <w:r>
        <w:rPr>
          <w:rFonts w:ascii="Arial MT" w:hAnsi="Arial MT"/>
          <w:color w:val="231F1F"/>
          <w:spacing w:val="-9"/>
          <w:w w:val="105"/>
          <w:sz w:val="24"/>
        </w:rPr>
        <w:t> </w:t>
      </w:r>
      <w:r>
        <w:rPr>
          <w:rFonts w:ascii="Arial MT" w:hAnsi="Arial MT"/>
          <w:color w:val="231F1F"/>
          <w:w w:val="105"/>
          <w:sz w:val="24"/>
        </w:rPr>
        <w:t>de</w:t>
      </w:r>
      <w:r>
        <w:rPr>
          <w:rFonts w:ascii="Arial MT" w:hAnsi="Arial MT"/>
          <w:color w:val="231F1F"/>
          <w:spacing w:val="-10"/>
          <w:w w:val="105"/>
          <w:sz w:val="24"/>
        </w:rPr>
        <w:t> </w:t>
      </w:r>
      <w:r>
        <w:rPr>
          <w:rFonts w:ascii="Arial MT" w:hAnsi="Arial MT"/>
          <w:color w:val="231F1F"/>
          <w:w w:val="105"/>
          <w:sz w:val="24"/>
        </w:rPr>
        <w:t>la</w:t>
      </w:r>
      <w:r>
        <w:rPr>
          <w:rFonts w:ascii="Arial MT" w:hAnsi="Arial MT"/>
          <w:color w:val="231F1F"/>
          <w:spacing w:val="-9"/>
          <w:w w:val="105"/>
          <w:sz w:val="24"/>
        </w:rPr>
        <w:t> </w:t>
      </w:r>
      <w:r>
        <w:rPr>
          <w:rFonts w:ascii="Arial MT" w:hAnsi="Arial MT"/>
          <w:color w:val="231F1F"/>
          <w:w w:val="105"/>
          <w:sz w:val="24"/>
        </w:rPr>
        <w:t>clasificación</w:t>
      </w:r>
      <w:r>
        <w:rPr>
          <w:rFonts w:ascii="Arial MT" w:hAnsi="Arial MT"/>
          <w:color w:val="231F1F"/>
          <w:spacing w:val="-10"/>
          <w:w w:val="105"/>
          <w:sz w:val="24"/>
        </w:rPr>
        <w:t> </w:t>
      </w:r>
      <w:r>
        <w:rPr>
          <w:rFonts w:ascii="Arial MT" w:hAnsi="Arial MT"/>
          <w:color w:val="231F1F"/>
          <w:w w:val="105"/>
          <w:sz w:val="24"/>
        </w:rPr>
        <w:t>de</w:t>
      </w:r>
      <w:r>
        <w:rPr>
          <w:rFonts w:ascii="Arial MT" w:hAnsi="Arial MT"/>
          <w:color w:val="231F1F"/>
          <w:spacing w:val="-9"/>
          <w:w w:val="105"/>
          <w:sz w:val="24"/>
        </w:rPr>
        <w:t> </w:t>
      </w:r>
      <w:r>
        <w:rPr>
          <w:rFonts w:ascii="Arial MT" w:hAnsi="Arial MT"/>
          <w:color w:val="231F1F"/>
          <w:w w:val="105"/>
          <w:sz w:val="24"/>
        </w:rPr>
        <w:t>los</w:t>
      </w:r>
      <w:r>
        <w:rPr>
          <w:rFonts w:ascii="Arial MT" w:hAnsi="Arial MT"/>
          <w:color w:val="231F1F"/>
          <w:spacing w:val="-10"/>
          <w:w w:val="105"/>
          <w:sz w:val="24"/>
        </w:rPr>
        <w:t> </w:t>
      </w:r>
      <w:r>
        <w:rPr>
          <w:rFonts w:ascii="Arial MT" w:hAnsi="Arial MT"/>
          <w:color w:val="231F1F"/>
          <w:w w:val="105"/>
          <w:sz w:val="24"/>
        </w:rPr>
        <w:t>registros</w:t>
      </w:r>
      <w:r>
        <w:rPr>
          <w:rFonts w:ascii="Arial MT" w:hAnsi="Arial MT"/>
          <w:color w:val="231F1F"/>
          <w:spacing w:val="-9"/>
          <w:w w:val="105"/>
          <w:sz w:val="24"/>
        </w:rPr>
        <w:t> </w:t>
      </w:r>
      <w:r>
        <w:rPr>
          <w:rFonts w:ascii="Arial MT" w:hAnsi="Arial MT"/>
          <w:color w:val="231F1F"/>
          <w:w w:val="105"/>
          <w:sz w:val="24"/>
        </w:rPr>
        <w:t>de</w:t>
      </w:r>
      <w:r>
        <w:rPr>
          <w:rFonts w:ascii="Arial MT" w:hAnsi="Arial MT"/>
          <w:color w:val="231F1F"/>
          <w:spacing w:val="-10"/>
          <w:w w:val="105"/>
          <w:sz w:val="24"/>
        </w:rPr>
        <w:t> </w:t>
      </w:r>
      <w:r>
        <w:rPr>
          <w:rFonts w:ascii="Arial MT" w:hAnsi="Arial MT"/>
          <w:color w:val="231F1F"/>
          <w:w w:val="105"/>
          <w:sz w:val="24"/>
        </w:rPr>
        <w:t>la</w:t>
      </w:r>
      <w:r>
        <w:rPr>
          <w:rFonts w:ascii="Arial MT" w:hAnsi="Arial MT"/>
          <w:color w:val="231F1F"/>
          <w:spacing w:val="-10"/>
          <w:w w:val="105"/>
          <w:sz w:val="24"/>
        </w:rPr>
        <w:t> </w:t>
      </w:r>
      <w:r>
        <w:rPr>
          <w:rFonts w:ascii="Arial MT" w:hAnsi="Arial MT"/>
          <w:color w:val="231F1F"/>
          <w:spacing w:val="-5"/>
          <w:w w:val="105"/>
          <w:sz w:val="24"/>
        </w:rPr>
        <w:t>FCF</w:t>
      </w:r>
    </w:p>
    <w:p>
      <w:pPr>
        <w:pStyle w:val="ListParagraph"/>
        <w:numPr>
          <w:ilvl w:val="0"/>
          <w:numId w:val="105"/>
        </w:numPr>
        <w:tabs>
          <w:tab w:pos="960" w:val="left" w:leader="none"/>
          <w:tab w:pos="964" w:val="left" w:leader="none"/>
        </w:tabs>
        <w:spacing w:line="240" w:lineRule="auto" w:before="214" w:after="0"/>
        <w:ind w:left="964" w:right="171" w:hanging="228"/>
        <w:jc w:val="both"/>
        <w:rPr>
          <w:sz w:val="22"/>
        </w:rPr>
      </w:pPr>
      <w:r>
        <w:rPr>
          <w:color w:val="231F1F"/>
          <w:w w:val="110"/>
          <w:sz w:val="22"/>
        </w:rPr>
        <w:t>Un</w:t>
      </w:r>
      <w:r>
        <w:rPr>
          <w:color w:val="231F1F"/>
          <w:spacing w:val="-10"/>
          <w:w w:val="110"/>
          <w:sz w:val="22"/>
        </w:rPr>
        <w:t> </w:t>
      </w:r>
      <w:r>
        <w:rPr>
          <w:color w:val="231F1F"/>
          <w:w w:val="110"/>
          <w:sz w:val="22"/>
        </w:rPr>
        <w:t>trazado</w:t>
      </w:r>
      <w:r>
        <w:rPr>
          <w:color w:val="231F1F"/>
          <w:spacing w:val="-10"/>
          <w:w w:val="110"/>
          <w:sz w:val="22"/>
        </w:rPr>
        <w:t> </w:t>
      </w:r>
      <w:r>
        <w:rPr>
          <w:color w:val="231F1F"/>
          <w:w w:val="110"/>
          <w:sz w:val="22"/>
        </w:rPr>
        <w:t>de</w:t>
      </w:r>
      <w:r>
        <w:rPr>
          <w:color w:val="231F1F"/>
          <w:spacing w:val="-10"/>
          <w:w w:val="110"/>
          <w:sz w:val="22"/>
        </w:rPr>
        <w:t> </w:t>
      </w:r>
      <w:r>
        <w:rPr>
          <w:color w:val="231F1F"/>
          <w:w w:val="110"/>
          <w:sz w:val="22"/>
        </w:rPr>
        <w:t>FCF</w:t>
      </w:r>
      <w:r>
        <w:rPr>
          <w:color w:val="231F1F"/>
          <w:spacing w:val="-10"/>
          <w:w w:val="110"/>
          <w:sz w:val="22"/>
        </w:rPr>
        <w:t> </w:t>
      </w:r>
      <w:r>
        <w:rPr>
          <w:color w:val="231F1F"/>
          <w:w w:val="110"/>
          <w:sz w:val="22"/>
        </w:rPr>
        <w:t>con</w:t>
      </w:r>
      <w:r>
        <w:rPr>
          <w:color w:val="231F1F"/>
          <w:spacing w:val="-10"/>
          <w:w w:val="110"/>
          <w:sz w:val="22"/>
        </w:rPr>
        <w:t> </w:t>
      </w:r>
      <w:r>
        <w:rPr>
          <w:color w:val="231F1F"/>
          <w:w w:val="110"/>
          <w:sz w:val="22"/>
        </w:rPr>
        <w:t>variabilidad</w:t>
      </w:r>
      <w:r>
        <w:rPr>
          <w:color w:val="231F1F"/>
          <w:spacing w:val="-10"/>
          <w:w w:val="110"/>
          <w:sz w:val="22"/>
        </w:rPr>
        <w:t> </w:t>
      </w:r>
      <w:r>
        <w:rPr>
          <w:color w:val="231F1F"/>
          <w:w w:val="110"/>
          <w:sz w:val="22"/>
        </w:rPr>
        <w:t>reducida</w:t>
      </w:r>
      <w:r>
        <w:rPr>
          <w:color w:val="231F1F"/>
          <w:spacing w:val="-10"/>
          <w:w w:val="110"/>
          <w:sz w:val="22"/>
        </w:rPr>
        <w:t> </w:t>
      </w:r>
      <w:r>
        <w:rPr>
          <w:color w:val="231F1F"/>
          <w:w w:val="110"/>
          <w:sz w:val="22"/>
        </w:rPr>
        <w:t>y</w:t>
      </w:r>
      <w:r>
        <w:rPr>
          <w:color w:val="231F1F"/>
          <w:spacing w:val="-10"/>
          <w:w w:val="110"/>
          <w:sz w:val="22"/>
        </w:rPr>
        <w:t> </w:t>
      </w:r>
      <w:r>
        <w:rPr>
          <w:color w:val="231F1F"/>
          <w:w w:val="110"/>
          <w:sz w:val="22"/>
        </w:rPr>
        <w:t>aceleraciones</w:t>
      </w:r>
      <w:r>
        <w:rPr>
          <w:color w:val="231F1F"/>
          <w:spacing w:val="-10"/>
          <w:w w:val="110"/>
          <w:sz w:val="22"/>
        </w:rPr>
        <w:t> </w:t>
      </w:r>
      <w:r>
        <w:rPr>
          <w:color w:val="231F1F"/>
          <w:w w:val="110"/>
          <w:sz w:val="22"/>
        </w:rPr>
        <w:t>repetidas</w:t>
      </w:r>
      <w:r>
        <w:rPr>
          <w:color w:val="231F1F"/>
          <w:spacing w:val="-10"/>
          <w:w w:val="110"/>
          <w:sz w:val="22"/>
        </w:rPr>
        <w:t> </w:t>
      </w:r>
      <w:r>
        <w:rPr>
          <w:color w:val="231F1F"/>
          <w:w w:val="110"/>
          <w:sz w:val="22"/>
        </w:rPr>
        <w:t>debe</w:t>
      </w:r>
      <w:r>
        <w:rPr>
          <w:color w:val="231F1F"/>
          <w:spacing w:val="-10"/>
          <w:w w:val="110"/>
          <w:sz w:val="22"/>
        </w:rPr>
        <w:t> </w:t>
      </w:r>
      <w:r>
        <w:rPr>
          <w:color w:val="231F1F"/>
          <w:w w:val="110"/>
          <w:sz w:val="22"/>
        </w:rPr>
        <w:t>con- siderarse tranquilizador.</w:t>
      </w:r>
    </w:p>
    <w:p>
      <w:pPr>
        <w:pStyle w:val="ListParagraph"/>
        <w:numPr>
          <w:ilvl w:val="0"/>
          <w:numId w:val="105"/>
        </w:numPr>
        <w:tabs>
          <w:tab w:pos="959" w:val="left" w:leader="none"/>
        </w:tabs>
        <w:spacing w:line="240" w:lineRule="auto" w:before="157" w:after="0"/>
        <w:ind w:left="959" w:right="0" w:hanging="224"/>
        <w:jc w:val="left"/>
        <w:rPr>
          <w:sz w:val="22"/>
        </w:rPr>
      </w:pPr>
      <w:r>
        <w:rPr>
          <w:color w:val="231F1F"/>
          <w:sz w:val="22"/>
        </w:rPr>
        <w:t>Las</w:t>
      </w:r>
      <w:r>
        <w:rPr>
          <w:color w:val="231F1F"/>
          <w:spacing w:val="19"/>
          <w:sz w:val="22"/>
        </w:rPr>
        <w:t> </w:t>
      </w:r>
      <w:r>
        <w:rPr>
          <w:color w:val="231F1F"/>
          <w:sz w:val="22"/>
        </w:rPr>
        <w:t>deceleraciones</w:t>
      </w:r>
      <w:r>
        <w:rPr>
          <w:color w:val="231F1F"/>
          <w:spacing w:val="21"/>
          <w:sz w:val="22"/>
        </w:rPr>
        <w:t> </w:t>
      </w:r>
      <w:r>
        <w:rPr>
          <w:color w:val="231F1F"/>
          <w:sz w:val="22"/>
        </w:rPr>
        <w:t>precoces</w:t>
      </w:r>
      <w:r>
        <w:rPr>
          <w:color w:val="231F1F"/>
          <w:spacing w:val="21"/>
          <w:sz w:val="22"/>
        </w:rPr>
        <w:t> </w:t>
      </w:r>
      <w:r>
        <w:rPr>
          <w:color w:val="231F1F"/>
          <w:sz w:val="22"/>
        </w:rPr>
        <w:t>son</w:t>
      </w:r>
      <w:r>
        <w:rPr>
          <w:color w:val="231F1F"/>
          <w:spacing w:val="21"/>
          <w:sz w:val="22"/>
        </w:rPr>
        <w:t> </w:t>
      </w:r>
      <w:r>
        <w:rPr>
          <w:color w:val="231F1F"/>
          <w:sz w:val="22"/>
        </w:rPr>
        <w:t>raras</w:t>
      </w:r>
      <w:r>
        <w:rPr>
          <w:color w:val="231F1F"/>
          <w:spacing w:val="21"/>
          <w:sz w:val="22"/>
        </w:rPr>
        <w:t> </w:t>
      </w:r>
      <w:r>
        <w:rPr>
          <w:color w:val="231F1F"/>
          <w:sz w:val="22"/>
        </w:rPr>
        <w:t>y</w:t>
      </w:r>
      <w:r>
        <w:rPr>
          <w:color w:val="231F1F"/>
          <w:spacing w:val="23"/>
          <w:sz w:val="22"/>
        </w:rPr>
        <w:t> </w:t>
      </w:r>
      <w:r>
        <w:rPr>
          <w:color w:val="231F1F"/>
          <w:sz w:val="22"/>
        </w:rPr>
        <w:t>benignas</w:t>
      </w:r>
      <w:r>
        <w:rPr>
          <w:color w:val="231F1F"/>
          <w:spacing w:val="21"/>
          <w:sz w:val="22"/>
        </w:rPr>
        <w:t> </w:t>
      </w:r>
      <w:r>
        <w:rPr>
          <w:color w:val="231F1F"/>
          <w:sz w:val="22"/>
        </w:rPr>
        <w:t>y,</w:t>
      </w:r>
      <w:r>
        <w:rPr>
          <w:color w:val="231F1F"/>
          <w:spacing w:val="21"/>
          <w:sz w:val="22"/>
        </w:rPr>
        <w:t> </w:t>
      </w:r>
      <w:r>
        <w:rPr>
          <w:color w:val="231F1F"/>
          <w:sz w:val="22"/>
        </w:rPr>
        <w:t>por</w:t>
      </w:r>
      <w:r>
        <w:rPr>
          <w:color w:val="231F1F"/>
          <w:spacing w:val="21"/>
          <w:sz w:val="22"/>
        </w:rPr>
        <w:t> </w:t>
      </w:r>
      <w:r>
        <w:rPr>
          <w:color w:val="231F1F"/>
          <w:sz w:val="22"/>
        </w:rPr>
        <w:t>tanto,</w:t>
      </w:r>
      <w:r>
        <w:rPr>
          <w:color w:val="231F1F"/>
          <w:spacing w:val="23"/>
          <w:sz w:val="22"/>
        </w:rPr>
        <w:t> </w:t>
      </w:r>
      <w:r>
        <w:rPr>
          <w:color w:val="231F1F"/>
          <w:sz w:val="22"/>
        </w:rPr>
        <w:t>no</w:t>
      </w:r>
      <w:r>
        <w:rPr>
          <w:color w:val="231F1F"/>
          <w:spacing w:val="21"/>
          <w:sz w:val="22"/>
        </w:rPr>
        <w:t> </w:t>
      </w:r>
      <w:r>
        <w:rPr>
          <w:color w:val="231F1F"/>
          <w:sz w:val="22"/>
        </w:rPr>
        <w:t>son</w:t>
      </w:r>
      <w:r>
        <w:rPr>
          <w:color w:val="231F1F"/>
          <w:spacing w:val="23"/>
          <w:sz w:val="22"/>
        </w:rPr>
        <w:t> </w:t>
      </w:r>
      <w:r>
        <w:rPr>
          <w:color w:val="231F1F"/>
          <w:spacing w:val="-2"/>
          <w:sz w:val="22"/>
        </w:rPr>
        <w:t>significativas.</w:t>
      </w:r>
    </w:p>
    <w:p>
      <w:pPr>
        <w:pStyle w:val="ListParagraph"/>
        <w:numPr>
          <w:ilvl w:val="0"/>
          <w:numId w:val="105"/>
        </w:numPr>
        <w:tabs>
          <w:tab w:pos="961" w:val="left" w:leader="none"/>
        </w:tabs>
        <w:spacing w:line="240" w:lineRule="auto" w:before="145" w:after="0"/>
        <w:ind w:left="961" w:right="0" w:hanging="224"/>
        <w:jc w:val="left"/>
        <w:rPr>
          <w:sz w:val="22"/>
        </w:rPr>
      </w:pPr>
      <w:r>
        <w:rPr>
          <w:color w:val="231F1F"/>
          <w:w w:val="110"/>
          <w:sz w:val="22"/>
        </w:rPr>
        <w:t>La</w:t>
      </w:r>
      <w:r>
        <w:rPr>
          <w:color w:val="231F1F"/>
          <w:spacing w:val="-15"/>
          <w:w w:val="110"/>
          <w:sz w:val="22"/>
        </w:rPr>
        <w:t> </w:t>
      </w:r>
      <w:r>
        <w:rPr>
          <w:color w:val="231F1F"/>
          <w:w w:val="110"/>
          <w:sz w:val="22"/>
        </w:rPr>
        <w:t>mayoría</w:t>
      </w:r>
      <w:r>
        <w:rPr>
          <w:color w:val="231F1F"/>
          <w:spacing w:val="-13"/>
          <w:w w:val="110"/>
          <w:sz w:val="22"/>
        </w:rPr>
        <w:t> </w:t>
      </w:r>
      <w:r>
        <w:rPr>
          <w:color w:val="231F1F"/>
          <w:w w:val="110"/>
          <w:sz w:val="22"/>
        </w:rPr>
        <w:t>de</w:t>
      </w:r>
      <w:r>
        <w:rPr>
          <w:color w:val="231F1F"/>
          <w:spacing w:val="-13"/>
          <w:w w:val="110"/>
          <w:sz w:val="22"/>
        </w:rPr>
        <w:t> </w:t>
      </w:r>
      <w:r>
        <w:rPr>
          <w:color w:val="231F1F"/>
          <w:w w:val="110"/>
          <w:sz w:val="22"/>
        </w:rPr>
        <w:t>las</w:t>
      </w:r>
      <w:r>
        <w:rPr>
          <w:color w:val="231F1F"/>
          <w:spacing w:val="-13"/>
          <w:w w:val="110"/>
          <w:sz w:val="22"/>
        </w:rPr>
        <w:t> </w:t>
      </w:r>
      <w:r>
        <w:rPr>
          <w:color w:val="231F1F"/>
          <w:w w:val="110"/>
          <w:sz w:val="22"/>
        </w:rPr>
        <w:t>deceleraciones</w:t>
      </w:r>
      <w:r>
        <w:rPr>
          <w:color w:val="231F1F"/>
          <w:spacing w:val="-16"/>
          <w:w w:val="110"/>
          <w:sz w:val="22"/>
        </w:rPr>
        <w:t> </w:t>
      </w:r>
      <w:r>
        <w:rPr>
          <w:color w:val="231F1F"/>
          <w:w w:val="110"/>
          <w:sz w:val="22"/>
        </w:rPr>
        <w:t>que</w:t>
      </w:r>
      <w:r>
        <w:rPr>
          <w:color w:val="231F1F"/>
          <w:spacing w:val="-12"/>
          <w:w w:val="110"/>
          <w:sz w:val="22"/>
        </w:rPr>
        <w:t> </w:t>
      </w:r>
      <w:r>
        <w:rPr>
          <w:color w:val="231F1F"/>
          <w:w w:val="110"/>
          <w:sz w:val="22"/>
        </w:rPr>
        <w:t>tienen</w:t>
      </w:r>
      <w:r>
        <w:rPr>
          <w:color w:val="231F1F"/>
          <w:spacing w:val="-14"/>
          <w:w w:val="110"/>
          <w:sz w:val="22"/>
        </w:rPr>
        <w:t> </w:t>
      </w:r>
      <w:r>
        <w:rPr>
          <w:color w:val="231F1F"/>
          <w:w w:val="110"/>
          <w:sz w:val="22"/>
        </w:rPr>
        <w:t>lugar</w:t>
      </w:r>
      <w:r>
        <w:rPr>
          <w:color w:val="231F1F"/>
          <w:spacing w:val="-13"/>
          <w:w w:val="110"/>
          <w:sz w:val="22"/>
        </w:rPr>
        <w:t> </w:t>
      </w:r>
      <w:r>
        <w:rPr>
          <w:color w:val="231F1F"/>
          <w:w w:val="110"/>
          <w:sz w:val="22"/>
        </w:rPr>
        <w:t>durante</w:t>
      </w:r>
      <w:r>
        <w:rPr>
          <w:color w:val="231F1F"/>
          <w:spacing w:val="-12"/>
          <w:w w:val="110"/>
          <w:sz w:val="22"/>
        </w:rPr>
        <w:t> </w:t>
      </w:r>
      <w:r>
        <w:rPr>
          <w:color w:val="231F1F"/>
          <w:w w:val="110"/>
          <w:sz w:val="22"/>
        </w:rPr>
        <w:t>el</w:t>
      </w:r>
      <w:r>
        <w:rPr>
          <w:color w:val="231F1F"/>
          <w:spacing w:val="-14"/>
          <w:w w:val="110"/>
          <w:sz w:val="22"/>
        </w:rPr>
        <w:t> </w:t>
      </w:r>
      <w:r>
        <w:rPr>
          <w:color w:val="231F1F"/>
          <w:w w:val="110"/>
          <w:sz w:val="22"/>
        </w:rPr>
        <w:t>parto</w:t>
      </w:r>
      <w:r>
        <w:rPr>
          <w:color w:val="231F1F"/>
          <w:spacing w:val="-14"/>
          <w:w w:val="110"/>
          <w:sz w:val="22"/>
        </w:rPr>
        <w:t> </w:t>
      </w:r>
      <w:r>
        <w:rPr>
          <w:color w:val="231F1F"/>
          <w:w w:val="110"/>
          <w:sz w:val="22"/>
        </w:rPr>
        <w:t>son</w:t>
      </w:r>
      <w:r>
        <w:rPr>
          <w:color w:val="231F1F"/>
          <w:spacing w:val="-12"/>
          <w:w w:val="110"/>
          <w:sz w:val="22"/>
        </w:rPr>
        <w:t> </w:t>
      </w:r>
      <w:r>
        <w:rPr>
          <w:color w:val="231F1F"/>
          <w:spacing w:val="-2"/>
          <w:w w:val="110"/>
          <w:sz w:val="22"/>
        </w:rPr>
        <w:t>variables.</w:t>
      </w:r>
    </w:p>
    <w:p>
      <w:pPr>
        <w:pStyle w:val="ListParagraph"/>
        <w:numPr>
          <w:ilvl w:val="0"/>
          <w:numId w:val="105"/>
        </w:numPr>
        <w:tabs>
          <w:tab w:pos="964" w:val="left" w:leader="none"/>
        </w:tabs>
        <w:spacing w:line="244" w:lineRule="auto" w:before="145" w:after="0"/>
        <w:ind w:left="964" w:right="121" w:hanging="227"/>
        <w:jc w:val="both"/>
        <w:rPr>
          <w:sz w:val="22"/>
        </w:rPr>
      </w:pPr>
      <w:r>
        <w:rPr>
          <w:color w:val="231F1F"/>
          <w:w w:val="110"/>
          <w:sz w:val="22"/>
        </w:rPr>
        <w:t>Una</w:t>
      </w:r>
      <w:r>
        <w:rPr>
          <w:color w:val="231F1F"/>
          <w:spacing w:val="-7"/>
          <w:w w:val="110"/>
          <w:sz w:val="22"/>
        </w:rPr>
        <w:t> </w:t>
      </w:r>
      <w:r>
        <w:rPr>
          <w:color w:val="231F1F"/>
          <w:w w:val="110"/>
          <w:sz w:val="22"/>
        </w:rPr>
        <w:t>bradicardia</w:t>
      </w:r>
      <w:r>
        <w:rPr>
          <w:color w:val="231F1F"/>
          <w:spacing w:val="-7"/>
          <w:w w:val="110"/>
          <w:sz w:val="22"/>
        </w:rPr>
        <w:t> </w:t>
      </w:r>
      <w:r>
        <w:rPr>
          <w:color w:val="231F1F"/>
          <w:w w:val="110"/>
          <w:sz w:val="22"/>
        </w:rPr>
        <w:t>fetal</w:t>
      </w:r>
      <w:r>
        <w:rPr>
          <w:color w:val="231F1F"/>
          <w:spacing w:val="-7"/>
          <w:w w:val="110"/>
          <w:sz w:val="22"/>
        </w:rPr>
        <w:t> </w:t>
      </w:r>
      <w:r>
        <w:rPr>
          <w:color w:val="231F1F"/>
          <w:w w:val="110"/>
          <w:sz w:val="22"/>
        </w:rPr>
        <w:t>de</w:t>
      </w:r>
      <w:r>
        <w:rPr>
          <w:color w:val="231F1F"/>
          <w:spacing w:val="-7"/>
          <w:w w:val="110"/>
          <w:sz w:val="22"/>
        </w:rPr>
        <w:t> </w:t>
      </w:r>
      <w:r>
        <w:rPr>
          <w:color w:val="231F1F"/>
          <w:w w:val="110"/>
          <w:sz w:val="22"/>
        </w:rPr>
        <w:t>más</w:t>
      </w:r>
      <w:r>
        <w:rPr>
          <w:color w:val="231F1F"/>
          <w:spacing w:val="-7"/>
          <w:w w:val="110"/>
          <w:sz w:val="22"/>
        </w:rPr>
        <w:t> </w:t>
      </w:r>
      <w:r>
        <w:rPr>
          <w:color w:val="231F1F"/>
          <w:w w:val="110"/>
          <w:sz w:val="22"/>
        </w:rPr>
        <w:t>de</w:t>
      </w:r>
      <w:r>
        <w:rPr>
          <w:color w:val="231F1F"/>
          <w:spacing w:val="-7"/>
          <w:w w:val="110"/>
          <w:sz w:val="22"/>
        </w:rPr>
        <w:t> </w:t>
      </w:r>
      <w:r>
        <w:rPr>
          <w:color w:val="231F1F"/>
          <w:w w:val="110"/>
          <w:sz w:val="22"/>
        </w:rPr>
        <w:t>3</w:t>
      </w:r>
      <w:r>
        <w:rPr>
          <w:color w:val="231F1F"/>
          <w:spacing w:val="-7"/>
          <w:w w:val="110"/>
          <w:sz w:val="22"/>
        </w:rPr>
        <w:t> </w:t>
      </w:r>
      <w:r>
        <w:rPr>
          <w:color w:val="231F1F"/>
          <w:w w:val="110"/>
          <w:sz w:val="22"/>
        </w:rPr>
        <w:t>minutos</w:t>
      </w:r>
      <w:r>
        <w:rPr>
          <w:color w:val="231F1F"/>
          <w:spacing w:val="-7"/>
          <w:w w:val="110"/>
          <w:sz w:val="22"/>
        </w:rPr>
        <w:t> </w:t>
      </w:r>
      <w:r>
        <w:rPr>
          <w:color w:val="231F1F"/>
          <w:w w:val="110"/>
          <w:sz w:val="22"/>
        </w:rPr>
        <w:t>requiere</w:t>
      </w:r>
      <w:r>
        <w:rPr>
          <w:color w:val="231F1F"/>
          <w:spacing w:val="-6"/>
          <w:w w:val="110"/>
          <w:sz w:val="22"/>
        </w:rPr>
        <w:t> </w:t>
      </w:r>
      <w:r>
        <w:rPr>
          <w:color w:val="231F1F"/>
          <w:w w:val="110"/>
          <w:sz w:val="22"/>
        </w:rPr>
        <w:t>medidas</w:t>
      </w:r>
      <w:r>
        <w:rPr>
          <w:color w:val="231F1F"/>
          <w:spacing w:val="-7"/>
          <w:w w:val="110"/>
          <w:sz w:val="22"/>
        </w:rPr>
        <w:t> </w:t>
      </w:r>
      <w:r>
        <w:rPr>
          <w:color w:val="231F1F"/>
          <w:w w:val="110"/>
          <w:sz w:val="22"/>
        </w:rPr>
        <w:t>urgentes</w:t>
      </w:r>
      <w:r>
        <w:rPr>
          <w:color w:val="231F1F"/>
          <w:spacing w:val="-7"/>
          <w:w w:val="110"/>
          <w:sz w:val="22"/>
        </w:rPr>
        <w:t> </w:t>
      </w:r>
      <w:r>
        <w:rPr>
          <w:color w:val="231F1F"/>
          <w:w w:val="110"/>
          <w:sz w:val="22"/>
        </w:rPr>
        <w:t>e</w:t>
      </w:r>
      <w:r>
        <w:rPr>
          <w:color w:val="231F1F"/>
          <w:spacing w:val="-7"/>
          <w:w w:val="110"/>
          <w:sz w:val="22"/>
        </w:rPr>
        <w:t> </w:t>
      </w:r>
      <w:r>
        <w:rPr>
          <w:color w:val="231F1F"/>
          <w:w w:val="110"/>
          <w:sz w:val="22"/>
        </w:rPr>
        <w:t>iniciar</w:t>
      </w:r>
      <w:r>
        <w:rPr>
          <w:color w:val="231F1F"/>
          <w:spacing w:val="-7"/>
          <w:w w:val="110"/>
          <w:sz w:val="22"/>
        </w:rPr>
        <w:t> </w:t>
      </w:r>
      <w:r>
        <w:rPr>
          <w:color w:val="231F1F"/>
          <w:w w:val="110"/>
          <w:sz w:val="22"/>
        </w:rPr>
        <w:t>los preparativos</w:t>
      </w:r>
      <w:r>
        <w:rPr>
          <w:color w:val="231F1F"/>
          <w:spacing w:val="-6"/>
          <w:w w:val="110"/>
          <w:sz w:val="22"/>
        </w:rPr>
        <w:t> </w:t>
      </w:r>
      <w:r>
        <w:rPr>
          <w:color w:val="231F1F"/>
          <w:w w:val="110"/>
          <w:sz w:val="22"/>
        </w:rPr>
        <w:t>para</w:t>
      </w:r>
      <w:r>
        <w:rPr>
          <w:color w:val="231F1F"/>
          <w:spacing w:val="-5"/>
          <w:w w:val="110"/>
          <w:sz w:val="22"/>
        </w:rPr>
        <w:t> </w:t>
      </w:r>
      <w:r>
        <w:rPr>
          <w:color w:val="231F1F"/>
          <w:w w:val="110"/>
          <w:sz w:val="22"/>
        </w:rPr>
        <w:t>la</w:t>
      </w:r>
      <w:r>
        <w:rPr>
          <w:color w:val="231F1F"/>
          <w:spacing w:val="-5"/>
          <w:w w:val="110"/>
          <w:sz w:val="22"/>
        </w:rPr>
        <w:t> </w:t>
      </w:r>
      <w:r>
        <w:rPr>
          <w:color w:val="231F1F"/>
          <w:w w:val="110"/>
          <w:sz w:val="22"/>
        </w:rPr>
        <w:t>rápida</w:t>
      </w:r>
      <w:r>
        <w:rPr>
          <w:color w:val="231F1F"/>
          <w:spacing w:val="-5"/>
          <w:w w:val="110"/>
          <w:sz w:val="22"/>
        </w:rPr>
        <w:t> </w:t>
      </w:r>
      <w:r>
        <w:rPr>
          <w:color w:val="231F1F"/>
          <w:w w:val="110"/>
          <w:sz w:val="22"/>
        </w:rPr>
        <w:t>extracción</w:t>
      </w:r>
      <w:r>
        <w:rPr>
          <w:color w:val="231F1F"/>
          <w:spacing w:val="-5"/>
          <w:w w:val="110"/>
          <w:sz w:val="22"/>
        </w:rPr>
        <w:t> </w:t>
      </w:r>
      <w:r>
        <w:rPr>
          <w:color w:val="231F1F"/>
          <w:w w:val="110"/>
          <w:sz w:val="22"/>
        </w:rPr>
        <w:t>del</w:t>
      </w:r>
      <w:r>
        <w:rPr>
          <w:color w:val="231F1F"/>
          <w:spacing w:val="-6"/>
          <w:w w:val="110"/>
          <w:sz w:val="22"/>
        </w:rPr>
        <w:t> </w:t>
      </w:r>
      <w:r>
        <w:rPr>
          <w:color w:val="231F1F"/>
          <w:w w:val="110"/>
          <w:sz w:val="22"/>
        </w:rPr>
        <w:t>feto,</w:t>
      </w:r>
      <w:r>
        <w:rPr>
          <w:color w:val="231F1F"/>
          <w:spacing w:val="-6"/>
          <w:w w:val="110"/>
          <w:sz w:val="22"/>
        </w:rPr>
        <w:t> </w:t>
      </w:r>
      <w:r>
        <w:rPr>
          <w:color w:val="231F1F"/>
          <w:w w:val="110"/>
          <w:sz w:val="22"/>
        </w:rPr>
        <w:t>la</w:t>
      </w:r>
      <w:r>
        <w:rPr>
          <w:color w:val="231F1F"/>
          <w:spacing w:val="-5"/>
          <w:w w:val="110"/>
          <w:sz w:val="22"/>
        </w:rPr>
        <w:t> </w:t>
      </w:r>
      <w:r>
        <w:rPr>
          <w:color w:val="231F1F"/>
          <w:w w:val="110"/>
          <w:sz w:val="22"/>
        </w:rPr>
        <w:t>cual</w:t>
      </w:r>
      <w:r>
        <w:rPr>
          <w:color w:val="231F1F"/>
          <w:spacing w:val="-6"/>
          <w:w w:val="110"/>
          <w:sz w:val="22"/>
        </w:rPr>
        <w:t> </w:t>
      </w:r>
      <w:r>
        <w:rPr>
          <w:color w:val="231F1F"/>
          <w:w w:val="110"/>
          <w:sz w:val="22"/>
        </w:rPr>
        <w:t>debe</w:t>
      </w:r>
      <w:r>
        <w:rPr>
          <w:color w:val="231F1F"/>
          <w:spacing w:val="-6"/>
          <w:w w:val="110"/>
          <w:sz w:val="22"/>
        </w:rPr>
        <w:t> </w:t>
      </w:r>
      <w:r>
        <w:rPr>
          <w:color w:val="231F1F"/>
          <w:w w:val="110"/>
          <w:sz w:val="22"/>
        </w:rPr>
        <w:t>llevarse</w:t>
      </w:r>
      <w:r>
        <w:rPr>
          <w:color w:val="231F1F"/>
          <w:spacing w:val="-5"/>
          <w:w w:val="110"/>
          <w:sz w:val="22"/>
        </w:rPr>
        <w:t> </w:t>
      </w:r>
      <w:r>
        <w:rPr>
          <w:color w:val="231F1F"/>
          <w:w w:val="110"/>
          <w:sz w:val="22"/>
        </w:rPr>
        <w:t>a</w:t>
      </w:r>
      <w:r>
        <w:rPr>
          <w:color w:val="231F1F"/>
          <w:spacing w:val="-5"/>
          <w:w w:val="110"/>
          <w:sz w:val="22"/>
        </w:rPr>
        <w:t> </w:t>
      </w:r>
      <w:r>
        <w:rPr>
          <w:color w:val="231F1F"/>
          <w:w w:val="110"/>
          <w:sz w:val="22"/>
        </w:rPr>
        <w:t>efecto</w:t>
      </w:r>
      <w:r>
        <w:rPr>
          <w:color w:val="231F1F"/>
          <w:spacing w:val="-5"/>
          <w:w w:val="110"/>
          <w:sz w:val="22"/>
        </w:rPr>
        <w:t> </w:t>
      </w:r>
      <w:r>
        <w:rPr>
          <w:color w:val="231F1F"/>
          <w:w w:val="110"/>
          <w:sz w:val="22"/>
        </w:rPr>
        <w:t>si</w:t>
      </w:r>
      <w:r>
        <w:rPr>
          <w:color w:val="231F1F"/>
          <w:spacing w:val="-6"/>
          <w:w w:val="110"/>
          <w:sz w:val="22"/>
        </w:rPr>
        <w:t> </w:t>
      </w:r>
      <w:r>
        <w:rPr>
          <w:color w:val="231F1F"/>
          <w:w w:val="110"/>
          <w:sz w:val="22"/>
        </w:rPr>
        <w:t>no se</w:t>
      </w:r>
      <w:r>
        <w:rPr>
          <w:color w:val="231F1F"/>
          <w:spacing w:val="-1"/>
          <w:w w:val="110"/>
          <w:sz w:val="22"/>
        </w:rPr>
        <w:t> </w:t>
      </w:r>
      <w:r>
        <w:rPr>
          <w:color w:val="231F1F"/>
          <w:w w:val="110"/>
          <w:sz w:val="22"/>
        </w:rPr>
        <w:t>ha</w:t>
      </w:r>
      <w:r>
        <w:rPr>
          <w:color w:val="231F1F"/>
          <w:spacing w:val="-1"/>
          <w:w w:val="110"/>
          <w:sz w:val="22"/>
        </w:rPr>
        <w:t> </w:t>
      </w:r>
      <w:r>
        <w:rPr>
          <w:color w:val="231F1F"/>
          <w:w w:val="110"/>
          <w:sz w:val="22"/>
        </w:rPr>
        <w:t>obtenido</w:t>
      </w:r>
      <w:r>
        <w:rPr>
          <w:color w:val="231F1F"/>
          <w:spacing w:val="-1"/>
          <w:w w:val="110"/>
          <w:sz w:val="22"/>
        </w:rPr>
        <w:t> </w:t>
      </w:r>
      <w:r>
        <w:rPr>
          <w:color w:val="231F1F"/>
          <w:w w:val="110"/>
          <w:sz w:val="22"/>
        </w:rPr>
        <w:t>la recuperación fetal</w:t>
      </w:r>
      <w:r>
        <w:rPr>
          <w:color w:val="231F1F"/>
          <w:spacing w:val="-1"/>
          <w:w w:val="110"/>
          <w:sz w:val="22"/>
        </w:rPr>
        <w:t> </w:t>
      </w:r>
      <w:r>
        <w:rPr>
          <w:color w:val="231F1F"/>
          <w:w w:val="110"/>
          <w:sz w:val="22"/>
        </w:rPr>
        <w:t>en 9 minutos.</w:t>
      </w:r>
      <w:r>
        <w:rPr>
          <w:color w:val="231F1F"/>
          <w:spacing w:val="-1"/>
          <w:w w:val="110"/>
          <w:sz w:val="22"/>
        </w:rPr>
        <w:t> </w:t>
      </w:r>
      <w:r>
        <w:rPr>
          <w:color w:val="231F1F"/>
          <w:w w:val="110"/>
          <w:sz w:val="22"/>
        </w:rPr>
        <w:t>Si</w:t>
      </w:r>
      <w:r>
        <w:rPr>
          <w:color w:val="231F1F"/>
          <w:spacing w:val="-1"/>
          <w:w w:val="110"/>
          <w:sz w:val="22"/>
        </w:rPr>
        <w:t> </w:t>
      </w:r>
      <w:r>
        <w:rPr>
          <w:color w:val="231F1F"/>
          <w:w w:val="110"/>
          <w:sz w:val="22"/>
        </w:rPr>
        <w:t>la FCF se</w:t>
      </w:r>
      <w:r>
        <w:rPr>
          <w:color w:val="231F1F"/>
          <w:spacing w:val="-1"/>
          <w:w w:val="110"/>
          <w:sz w:val="22"/>
        </w:rPr>
        <w:t> </w:t>
      </w:r>
      <w:r>
        <w:rPr>
          <w:color w:val="231F1F"/>
          <w:w w:val="110"/>
          <w:sz w:val="22"/>
        </w:rPr>
        <w:t>recupera antes</w:t>
      </w:r>
      <w:r>
        <w:rPr>
          <w:color w:val="231F1F"/>
          <w:spacing w:val="-1"/>
          <w:w w:val="110"/>
          <w:sz w:val="22"/>
        </w:rPr>
        <w:t> </w:t>
      </w:r>
      <w:r>
        <w:rPr>
          <w:color w:val="231F1F"/>
          <w:w w:val="110"/>
          <w:sz w:val="22"/>
        </w:rPr>
        <w:t>de los 9 minutos la decisión de extracción fetal debe ser reconsiderada.</w:t>
      </w:r>
    </w:p>
    <w:p>
      <w:pPr>
        <w:pStyle w:val="ListParagraph"/>
        <w:numPr>
          <w:ilvl w:val="0"/>
          <w:numId w:val="105"/>
        </w:numPr>
        <w:tabs>
          <w:tab w:pos="960" w:val="left" w:leader="none"/>
          <w:tab w:pos="964" w:val="left" w:leader="none"/>
        </w:tabs>
        <w:spacing w:line="249" w:lineRule="auto" w:before="144" w:after="0"/>
        <w:ind w:left="964" w:right="114" w:hanging="228"/>
        <w:jc w:val="both"/>
        <w:rPr>
          <w:sz w:val="22"/>
        </w:rPr>
      </w:pPr>
      <w:r>
        <w:rPr>
          <w:color w:val="231F1F"/>
          <w:w w:val="105"/>
          <w:sz w:val="22"/>
        </w:rPr>
        <w:t>Una taquicardia fetal de 160-180 lpm, en donde están presentes aceleraciones y sin ningún</w:t>
      </w:r>
      <w:r>
        <w:rPr>
          <w:color w:val="231F1F"/>
          <w:w w:val="105"/>
          <w:sz w:val="22"/>
        </w:rPr>
        <w:t> otro</w:t>
      </w:r>
      <w:r>
        <w:rPr>
          <w:color w:val="231F1F"/>
          <w:w w:val="105"/>
          <w:sz w:val="22"/>
        </w:rPr>
        <w:t> parámetro</w:t>
      </w:r>
      <w:r>
        <w:rPr>
          <w:color w:val="231F1F"/>
          <w:w w:val="105"/>
          <w:sz w:val="22"/>
        </w:rPr>
        <w:t> adverso,</w:t>
      </w:r>
      <w:r>
        <w:rPr>
          <w:color w:val="231F1F"/>
          <w:w w:val="105"/>
          <w:sz w:val="22"/>
        </w:rPr>
        <w:t> no</w:t>
      </w:r>
      <w:r>
        <w:rPr>
          <w:color w:val="231F1F"/>
          <w:w w:val="105"/>
          <w:sz w:val="22"/>
        </w:rPr>
        <w:t> debe</w:t>
      </w:r>
      <w:r>
        <w:rPr>
          <w:color w:val="231F1F"/>
          <w:w w:val="105"/>
          <w:sz w:val="22"/>
        </w:rPr>
        <w:t> ser</w:t>
      </w:r>
      <w:r>
        <w:rPr>
          <w:color w:val="231F1F"/>
          <w:w w:val="105"/>
          <w:sz w:val="22"/>
        </w:rPr>
        <w:t> considerada</w:t>
      </w:r>
      <w:r>
        <w:rPr>
          <w:color w:val="231F1F"/>
          <w:w w:val="105"/>
          <w:sz w:val="22"/>
        </w:rPr>
        <w:t> como</w:t>
      </w:r>
      <w:r>
        <w:rPr>
          <w:color w:val="231F1F"/>
          <w:w w:val="105"/>
          <w:sz w:val="22"/>
        </w:rPr>
        <w:t> sospechosa.</w:t>
      </w:r>
      <w:r>
        <w:rPr>
          <w:color w:val="231F1F"/>
          <w:w w:val="105"/>
          <w:sz w:val="22"/>
        </w:rPr>
        <w:t> Sin embargo,</w:t>
      </w:r>
      <w:r>
        <w:rPr>
          <w:color w:val="231F1F"/>
          <w:w w:val="105"/>
          <w:sz w:val="22"/>
        </w:rPr>
        <w:t> un</w:t>
      </w:r>
      <w:r>
        <w:rPr>
          <w:color w:val="231F1F"/>
          <w:w w:val="105"/>
          <w:sz w:val="22"/>
        </w:rPr>
        <w:t> aumento</w:t>
      </w:r>
      <w:r>
        <w:rPr>
          <w:color w:val="231F1F"/>
          <w:w w:val="105"/>
          <w:sz w:val="22"/>
        </w:rPr>
        <w:t> de</w:t>
      </w:r>
      <w:r>
        <w:rPr>
          <w:color w:val="231F1F"/>
          <w:w w:val="105"/>
          <w:sz w:val="22"/>
        </w:rPr>
        <w:t> la</w:t>
      </w:r>
      <w:r>
        <w:rPr>
          <w:color w:val="231F1F"/>
          <w:w w:val="105"/>
          <w:sz w:val="22"/>
        </w:rPr>
        <w:t> frecuencia</w:t>
      </w:r>
      <w:r>
        <w:rPr>
          <w:color w:val="231F1F"/>
          <w:w w:val="105"/>
          <w:sz w:val="22"/>
        </w:rPr>
        <w:t> cardíaca</w:t>
      </w:r>
      <w:r>
        <w:rPr>
          <w:color w:val="231F1F"/>
          <w:w w:val="105"/>
          <w:sz w:val="22"/>
        </w:rPr>
        <w:t> basal,</w:t>
      </w:r>
      <w:r>
        <w:rPr>
          <w:color w:val="231F1F"/>
          <w:w w:val="105"/>
          <w:sz w:val="22"/>
        </w:rPr>
        <w:t> incluso</w:t>
      </w:r>
      <w:r>
        <w:rPr>
          <w:color w:val="231F1F"/>
          <w:w w:val="105"/>
          <w:sz w:val="22"/>
        </w:rPr>
        <w:t> dentro</w:t>
      </w:r>
      <w:r>
        <w:rPr>
          <w:color w:val="231F1F"/>
          <w:w w:val="105"/>
          <w:sz w:val="22"/>
        </w:rPr>
        <w:t> del</w:t>
      </w:r>
      <w:r>
        <w:rPr>
          <w:color w:val="231F1F"/>
          <w:w w:val="105"/>
          <w:sz w:val="22"/>
        </w:rPr>
        <w:t> rango normal, con otras características anormales o no tranquilizadoras debe aumentar la </w:t>
      </w:r>
      <w:r>
        <w:rPr>
          <w:color w:val="231F1F"/>
          <w:spacing w:val="-2"/>
          <w:w w:val="105"/>
          <w:sz w:val="22"/>
        </w:rPr>
        <w:t>vigilancia.</w:t>
      </w:r>
    </w:p>
    <w:p>
      <w:pPr>
        <w:pStyle w:val="ListParagraph"/>
        <w:numPr>
          <w:ilvl w:val="0"/>
          <w:numId w:val="105"/>
        </w:numPr>
        <w:tabs>
          <w:tab w:pos="962" w:val="left" w:leader="none"/>
          <w:tab w:pos="965" w:val="left" w:leader="none"/>
        </w:tabs>
        <w:spacing w:line="259" w:lineRule="auto" w:before="139" w:after="0"/>
        <w:ind w:left="965" w:right="251" w:hanging="227"/>
        <w:jc w:val="left"/>
        <w:rPr>
          <w:sz w:val="22"/>
        </w:rPr>
      </w:pPr>
      <w:r>
        <w:rPr>
          <w:color w:val="231F1F"/>
          <w:sz w:val="22"/>
        </w:rPr>
        <w:t>En</w:t>
      </w:r>
      <w:r>
        <w:rPr>
          <w:color w:val="231F1F"/>
          <w:spacing w:val="39"/>
          <w:sz w:val="22"/>
        </w:rPr>
        <w:t> </w:t>
      </w:r>
      <w:r>
        <w:rPr>
          <w:color w:val="231F1F"/>
          <w:sz w:val="22"/>
        </w:rPr>
        <w:t>mujeres</w:t>
      </w:r>
      <w:r>
        <w:rPr>
          <w:color w:val="231F1F"/>
          <w:spacing w:val="39"/>
          <w:sz w:val="22"/>
        </w:rPr>
        <w:t> </w:t>
      </w:r>
      <w:r>
        <w:rPr>
          <w:color w:val="231F1F"/>
          <w:sz w:val="22"/>
        </w:rPr>
        <w:t>con</w:t>
      </w:r>
      <w:r>
        <w:rPr>
          <w:color w:val="231F1F"/>
          <w:spacing w:val="39"/>
          <w:sz w:val="22"/>
        </w:rPr>
        <w:t> </w:t>
      </w:r>
      <w:r>
        <w:rPr>
          <w:color w:val="231F1F"/>
          <w:sz w:val="22"/>
        </w:rPr>
        <w:t>monitorización</w:t>
      </w:r>
      <w:r>
        <w:rPr>
          <w:color w:val="231F1F"/>
          <w:spacing w:val="39"/>
          <w:sz w:val="22"/>
        </w:rPr>
        <w:t> </w:t>
      </w:r>
      <w:r>
        <w:rPr>
          <w:color w:val="231F1F"/>
          <w:sz w:val="22"/>
        </w:rPr>
        <w:t>continua,</w:t>
      </w:r>
      <w:r>
        <w:rPr>
          <w:color w:val="231F1F"/>
          <w:spacing w:val="39"/>
          <w:sz w:val="22"/>
        </w:rPr>
        <w:t> </w:t>
      </w:r>
      <w:r>
        <w:rPr>
          <w:color w:val="231F1F"/>
          <w:sz w:val="22"/>
        </w:rPr>
        <w:t>cada</w:t>
      </w:r>
      <w:r>
        <w:rPr>
          <w:color w:val="231F1F"/>
          <w:spacing w:val="39"/>
          <w:sz w:val="22"/>
        </w:rPr>
        <w:t> </w:t>
      </w:r>
      <w:r>
        <w:rPr>
          <w:color w:val="231F1F"/>
          <w:sz w:val="22"/>
        </w:rPr>
        <w:t>hora</w:t>
      </w:r>
      <w:r>
        <w:rPr>
          <w:color w:val="231F1F"/>
          <w:spacing w:val="39"/>
          <w:sz w:val="22"/>
        </w:rPr>
        <w:t> </w:t>
      </w:r>
      <w:r>
        <w:rPr>
          <w:color w:val="231F1F"/>
          <w:sz w:val="22"/>
        </w:rPr>
        <w:t>debe</w:t>
      </w:r>
      <w:r>
        <w:rPr>
          <w:color w:val="231F1F"/>
          <w:spacing w:val="39"/>
          <w:sz w:val="22"/>
        </w:rPr>
        <w:t> </w:t>
      </w:r>
      <w:r>
        <w:rPr>
          <w:color w:val="231F1F"/>
          <w:sz w:val="22"/>
        </w:rPr>
        <w:t>realizarse</w:t>
      </w:r>
      <w:r>
        <w:rPr>
          <w:color w:val="231F1F"/>
          <w:spacing w:val="39"/>
          <w:sz w:val="22"/>
        </w:rPr>
        <w:t> </w:t>
      </w:r>
      <w:r>
        <w:rPr>
          <w:color w:val="231F1F"/>
          <w:sz w:val="22"/>
        </w:rPr>
        <w:t>una</w:t>
      </w:r>
      <w:r>
        <w:rPr>
          <w:color w:val="231F1F"/>
          <w:spacing w:val="39"/>
          <w:sz w:val="22"/>
        </w:rPr>
        <w:t> </w:t>
      </w:r>
      <w:r>
        <w:rPr>
          <w:color w:val="231F1F"/>
          <w:sz w:val="22"/>
        </w:rPr>
        <w:t>evaluación sistemática,</w:t>
      </w:r>
      <w:r>
        <w:rPr>
          <w:color w:val="231F1F"/>
          <w:spacing w:val="40"/>
          <w:sz w:val="22"/>
        </w:rPr>
        <w:t> </w:t>
      </w:r>
      <w:r>
        <w:rPr>
          <w:color w:val="231F1F"/>
          <w:sz w:val="22"/>
        </w:rPr>
        <w:t>documentada</w:t>
      </w:r>
      <w:r>
        <w:rPr>
          <w:color w:val="231F1F"/>
          <w:spacing w:val="40"/>
          <w:sz w:val="22"/>
        </w:rPr>
        <w:t> </w:t>
      </w:r>
      <w:r>
        <w:rPr>
          <w:color w:val="231F1F"/>
          <w:sz w:val="22"/>
        </w:rPr>
        <w:t>sobre</w:t>
      </w:r>
      <w:r>
        <w:rPr>
          <w:color w:val="231F1F"/>
          <w:spacing w:val="40"/>
          <w:sz w:val="22"/>
        </w:rPr>
        <w:t> </w:t>
      </w:r>
      <w:r>
        <w:rPr>
          <w:color w:val="231F1F"/>
          <w:sz w:val="22"/>
        </w:rPr>
        <w:t>la</w:t>
      </w:r>
      <w:r>
        <w:rPr>
          <w:color w:val="231F1F"/>
          <w:spacing w:val="40"/>
          <w:sz w:val="22"/>
        </w:rPr>
        <w:t> </w:t>
      </w:r>
      <w:r>
        <w:rPr>
          <w:color w:val="231F1F"/>
          <w:sz w:val="22"/>
        </w:rPr>
        <w:t>base</w:t>
      </w:r>
      <w:r>
        <w:rPr>
          <w:color w:val="231F1F"/>
          <w:spacing w:val="40"/>
          <w:sz w:val="22"/>
        </w:rPr>
        <w:t> </w:t>
      </w:r>
      <w:r>
        <w:rPr>
          <w:color w:val="231F1F"/>
          <w:sz w:val="22"/>
        </w:rPr>
        <w:t>de</w:t>
      </w:r>
      <w:r>
        <w:rPr>
          <w:color w:val="231F1F"/>
          <w:spacing w:val="40"/>
          <w:sz w:val="22"/>
        </w:rPr>
        <w:t> </w:t>
      </w:r>
      <w:r>
        <w:rPr>
          <w:color w:val="231F1F"/>
          <w:sz w:val="22"/>
        </w:rPr>
        <w:t>estas</w:t>
      </w:r>
      <w:r>
        <w:rPr>
          <w:color w:val="231F1F"/>
          <w:spacing w:val="40"/>
          <w:sz w:val="22"/>
        </w:rPr>
        <w:t> </w:t>
      </w:r>
      <w:r>
        <w:rPr>
          <w:color w:val="231F1F"/>
          <w:sz w:val="22"/>
        </w:rPr>
        <w:t>definiciones</w:t>
      </w:r>
      <w:r>
        <w:rPr>
          <w:color w:val="231F1F"/>
          <w:spacing w:val="40"/>
          <w:sz w:val="22"/>
        </w:rPr>
        <w:t> </w:t>
      </w:r>
      <w:r>
        <w:rPr>
          <w:color w:val="231F1F"/>
          <w:sz w:val="22"/>
        </w:rPr>
        <w:t>y</w:t>
      </w:r>
      <w:r>
        <w:rPr>
          <w:color w:val="231F1F"/>
          <w:spacing w:val="40"/>
          <w:sz w:val="22"/>
        </w:rPr>
        <w:t> </w:t>
      </w:r>
      <w:r>
        <w:rPr>
          <w:color w:val="231F1F"/>
          <w:sz w:val="22"/>
        </w:rPr>
        <w:t>clasificaciones.</w:t>
      </w:r>
    </w:p>
    <w:p>
      <w:pPr>
        <w:pStyle w:val="ListParagraph"/>
        <w:numPr>
          <w:ilvl w:val="0"/>
          <w:numId w:val="105"/>
        </w:numPr>
        <w:tabs>
          <w:tab w:pos="961" w:val="left" w:leader="none"/>
        </w:tabs>
        <w:spacing w:line="240" w:lineRule="auto" w:before="121" w:after="0"/>
        <w:ind w:left="961" w:right="0" w:hanging="224"/>
        <w:jc w:val="left"/>
        <w:rPr>
          <w:sz w:val="22"/>
        </w:rPr>
      </w:pPr>
      <w:r>
        <w:rPr>
          <w:color w:val="231F1F"/>
          <w:w w:val="110"/>
          <w:sz w:val="22"/>
        </w:rPr>
        <w:t>En</w:t>
      </w:r>
      <w:r>
        <w:rPr>
          <w:color w:val="231F1F"/>
          <w:spacing w:val="-13"/>
          <w:w w:val="110"/>
          <w:sz w:val="22"/>
        </w:rPr>
        <w:t> </w:t>
      </w:r>
      <w:r>
        <w:rPr>
          <w:color w:val="231F1F"/>
          <w:w w:val="110"/>
          <w:sz w:val="22"/>
        </w:rPr>
        <w:t>presencia</w:t>
      </w:r>
      <w:r>
        <w:rPr>
          <w:color w:val="231F1F"/>
          <w:spacing w:val="-11"/>
          <w:w w:val="110"/>
          <w:sz w:val="22"/>
        </w:rPr>
        <w:t> </w:t>
      </w:r>
      <w:r>
        <w:rPr>
          <w:color w:val="231F1F"/>
          <w:w w:val="110"/>
          <w:sz w:val="22"/>
        </w:rPr>
        <w:t>de</w:t>
      </w:r>
      <w:r>
        <w:rPr>
          <w:color w:val="231F1F"/>
          <w:spacing w:val="-13"/>
          <w:w w:val="110"/>
          <w:sz w:val="22"/>
        </w:rPr>
        <w:t> </w:t>
      </w:r>
      <w:r>
        <w:rPr>
          <w:color w:val="231F1F"/>
          <w:w w:val="110"/>
          <w:sz w:val="22"/>
        </w:rPr>
        <w:t>patrones</w:t>
      </w:r>
      <w:r>
        <w:rPr>
          <w:color w:val="231F1F"/>
          <w:spacing w:val="-11"/>
          <w:w w:val="110"/>
          <w:sz w:val="22"/>
        </w:rPr>
        <w:t> </w:t>
      </w:r>
      <w:r>
        <w:rPr>
          <w:color w:val="231F1F"/>
          <w:w w:val="110"/>
          <w:sz w:val="22"/>
        </w:rPr>
        <w:t>anormales</w:t>
      </w:r>
      <w:r>
        <w:rPr>
          <w:color w:val="231F1F"/>
          <w:spacing w:val="-11"/>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1"/>
          <w:w w:val="110"/>
          <w:sz w:val="22"/>
        </w:rPr>
        <w:t> </w:t>
      </w:r>
      <w:r>
        <w:rPr>
          <w:color w:val="231F1F"/>
          <w:w w:val="110"/>
          <w:sz w:val="22"/>
        </w:rPr>
        <w:t>FCF</w:t>
      </w:r>
      <w:r>
        <w:rPr>
          <w:color w:val="231F1F"/>
          <w:spacing w:val="-12"/>
          <w:w w:val="110"/>
          <w:sz w:val="22"/>
        </w:rPr>
        <w:t> </w:t>
      </w:r>
      <w:r>
        <w:rPr>
          <w:color w:val="231F1F"/>
          <w:w w:val="110"/>
          <w:sz w:val="22"/>
        </w:rPr>
        <w:t>se</w:t>
      </w:r>
      <w:r>
        <w:rPr>
          <w:color w:val="231F1F"/>
          <w:spacing w:val="-11"/>
          <w:w w:val="110"/>
          <w:sz w:val="22"/>
        </w:rPr>
        <w:t> </w:t>
      </w:r>
      <w:r>
        <w:rPr>
          <w:color w:val="231F1F"/>
          <w:w w:val="110"/>
          <w:sz w:val="22"/>
        </w:rPr>
        <w:t>debe</w:t>
      </w:r>
      <w:r>
        <w:rPr>
          <w:color w:val="231F1F"/>
          <w:spacing w:val="-11"/>
          <w:w w:val="110"/>
          <w:sz w:val="22"/>
        </w:rPr>
        <w:t> </w:t>
      </w:r>
      <w:r>
        <w:rPr>
          <w:color w:val="231F1F"/>
          <w:spacing w:val="-2"/>
          <w:w w:val="110"/>
          <w:sz w:val="22"/>
        </w:rPr>
        <w:t>valorar:</w:t>
      </w:r>
    </w:p>
    <w:p>
      <w:pPr>
        <w:pStyle w:val="ListParagraph"/>
        <w:numPr>
          <w:ilvl w:val="0"/>
          <w:numId w:val="108"/>
        </w:numPr>
        <w:tabs>
          <w:tab w:pos="1300" w:val="left" w:leader="none"/>
        </w:tabs>
        <w:spacing w:line="240" w:lineRule="auto" w:before="160" w:after="0"/>
        <w:ind w:left="1300" w:right="0" w:hanging="336"/>
        <w:jc w:val="left"/>
        <w:rPr>
          <w:sz w:val="22"/>
        </w:rPr>
      </w:pPr>
      <w:r>
        <w:rPr>
          <w:color w:val="231F1F"/>
          <w:sz w:val="22"/>
        </w:rPr>
        <w:t>Cambio</w:t>
      </w:r>
      <w:r>
        <w:rPr>
          <w:color w:val="231F1F"/>
          <w:spacing w:val="-6"/>
          <w:sz w:val="22"/>
        </w:rPr>
        <w:t> </w:t>
      </w:r>
      <w:r>
        <w:rPr>
          <w:color w:val="231F1F"/>
          <w:sz w:val="22"/>
        </w:rPr>
        <w:t>de</w:t>
      </w:r>
      <w:r>
        <w:rPr>
          <w:color w:val="231F1F"/>
          <w:spacing w:val="-3"/>
          <w:sz w:val="22"/>
        </w:rPr>
        <w:t> </w:t>
      </w:r>
      <w:r>
        <w:rPr>
          <w:color w:val="231F1F"/>
          <w:sz w:val="22"/>
        </w:rPr>
        <w:t>posición</w:t>
      </w:r>
      <w:r>
        <w:rPr>
          <w:color w:val="231F1F"/>
          <w:spacing w:val="-2"/>
          <w:sz w:val="22"/>
        </w:rPr>
        <w:t> </w:t>
      </w:r>
      <w:r>
        <w:rPr>
          <w:color w:val="231F1F"/>
          <w:sz w:val="22"/>
        </w:rPr>
        <w:t>materna</w:t>
      </w:r>
      <w:r>
        <w:rPr>
          <w:color w:val="231F1F"/>
          <w:spacing w:val="-3"/>
          <w:sz w:val="22"/>
        </w:rPr>
        <w:t> </w:t>
      </w:r>
      <w:r>
        <w:rPr>
          <w:color w:val="231F1F"/>
          <w:sz w:val="22"/>
        </w:rPr>
        <w:t>a</w:t>
      </w:r>
      <w:r>
        <w:rPr>
          <w:color w:val="231F1F"/>
          <w:spacing w:val="-2"/>
          <w:sz w:val="22"/>
        </w:rPr>
        <w:t> </w:t>
      </w:r>
      <w:r>
        <w:rPr>
          <w:color w:val="231F1F"/>
          <w:sz w:val="22"/>
        </w:rPr>
        <w:t>decúbito</w:t>
      </w:r>
      <w:r>
        <w:rPr>
          <w:color w:val="231F1F"/>
          <w:spacing w:val="-3"/>
          <w:sz w:val="22"/>
        </w:rPr>
        <w:t> </w:t>
      </w:r>
      <w:r>
        <w:rPr>
          <w:color w:val="231F1F"/>
          <w:sz w:val="22"/>
        </w:rPr>
        <w:t>lateral,</w:t>
      </w:r>
      <w:r>
        <w:rPr>
          <w:color w:val="231F1F"/>
          <w:spacing w:val="-2"/>
          <w:sz w:val="22"/>
        </w:rPr>
        <w:t> </w:t>
      </w:r>
      <w:r>
        <w:rPr>
          <w:color w:val="231F1F"/>
          <w:sz w:val="22"/>
        </w:rPr>
        <w:t>preferiblemente</w:t>
      </w:r>
      <w:r>
        <w:rPr>
          <w:color w:val="231F1F"/>
          <w:spacing w:val="-2"/>
          <w:sz w:val="22"/>
        </w:rPr>
        <w:t> </w:t>
      </w:r>
      <w:r>
        <w:rPr>
          <w:color w:val="231F1F"/>
          <w:sz w:val="22"/>
        </w:rPr>
        <w:t>sobre</w:t>
      </w:r>
      <w:r>
        <w:rPr>
          <w:color w:val="231F1F"/>
          <w:spacing w:val="-2"/>
          <w:sz w:val="22"/>
        </w:rPr>
        <w:t> </w:t>
      </w:r>
      <w:r>
        <w:rPr>
          <w:color w:val="231F1F"/>
          <w:sz w:val="22"/>
        </w:rPr>
        <w:t>el</w:t>
      </w:r>
      <w:r>
        <w:rPr>
          <w:color w:val="231F1F"/>
          <w:spacing w:val="-3"/>
          <w:sz w:val="22"/>
        </w:rPr>
        <w:t> </w:t>
      </w:r>
      <w:r>
        <w:rPr>
          <w:color w:val="231F1F"/>
          <w:spacing w:val="-2"/>
          <w:sz w:val="22"/>
        </w:rPr>
        <w:t>izquierdo.</w:t>
      </w:r>
    </w:p>
    <w:p>
      <w:pPr>
        <w:pStyle w:val="ListParagraph"/>
        <w:numPr>
          <w:ilvl w:val="0"/>
          <w:numId w:val="108"/>
        </w:numPr>
        <w:tabs>
          <w:tab w:pos="1299" w:val="left" w:leader="none"/>
          <w:tab w:pos="1305" w:val="left" w:leader="none"/>
        </w:tabs>
        <w:spacing w:line="244" w:lineRule="auto" w:before="164" w:after="0"/>
        <w:ind w:left="1305" w:right="122" w:hanging="341"/>
        <w:jc w:val="both"/>
        <w:rPr>
          <w:sz w:val="22"/>
        </w:rPr>
      </w:pPr>
      <w:r>
        <w:rPr>
          <w:color w:val="231F1F"/>
          <w:w w:val="105"/>
          <w:sz w:val="22"/>
        </w:rPr>
        <w:t>Examen vaginal para descartar prolapso de cordón o evolución rápida del parto. En</w:t>
      </w:r>
      <w:r>
        <w:rPr>
          <w:color w:val="231F1F"/>
          <w:w w:val="105"/>
          <w:sz w:val="22"/>
        </w:rPr>
        <w:t> este</w:t>
      </w:r>
      <w:r>
        <w:rPr>
          <w:color w:val="231F1F"/>
          <w:w w:val="105"/>
          <w:sz w:val="22"/>
        </w:rPr>
        <w:t> momento</w:t>
      </w:r>
      <w:r>
        <w:rPr>
          <w:color w:val="231F1F"/>
          <w:w w:val="105"/>
          <w:sz w:val="22"/>
        </w:rPr>
        <w:t> podría</w:t>
      </w:r>
      <w:r>
        <w:rPr>
          <w:color w:val="231F1F"/>
          <w:w w:val="105"/>
          <w:sz w:val="22"/>
        </w:rPr>
        <w:t> procederse</w:t>
      </w:r>
      <w:r>
        <w:rPr>
          <w:color w:val="231F1F"/>
          <w:w w:val="105"/>
          <w:sz w:val="22"/>
        </w:rPr>
        <w:t> a</w:t>
      </w:r>
      <w:r>
        <w:rPr>
          <w:color w:val="231F1F"/>
          <w:w w:val="105"/>
          <w:sz w:val="22"/>
        </w:rPr>
        <w:t> la</w:t>
      </w:r>
      <w:r>
        <w:rPr>
          <w:color w:val="231F1F"/>
          <w:w w:val="105"/>
          <w:sz w:val="22"/>
        </w:rPr>
        <w:t> estimulación</w:t>
      </w:r>
      <w:r>
        <w:rPr>
          <w:color w:val="231F1F"/>
          <w:w w:val="105"/>
          <w:sz w:val="22"/>
        </w:rPr>
        <w:t> de</w:t>
      </w:r>
      <w:r>
        <w:rPr>
          <w:color w:val="231F1F"/>
          <w:w w:val="105"/>
          <w:sz w:val="22"/>
        </w:rPr>
        <w:t> la</w:t>
      </w:r>
      <w:r>
        <w:rPr>
          <w:color w:val="231F1F"/>
          <w:w w:val="105"/>
          <w:sz w:val="22"/>
        </w:rPr>
        <w:t> calota</w:t>
      </w:r>
      <w:r>
        <w:rPr>
          <w:color w:val="231F1F"/>
          <w:w w:val="105"/>
          <w:sz w:val="22"/>
        </w:rPr>
        <w:t> fetal</w:t>
      </w:r>
      <w:r>
        <w:rPr>
          <w:color w:val="231F1F"/>
          <w:w w:val="105"/>
          <w:sz w:val="22"/>
        </w:rPr>
        <w:t> como método diagnóstico complementario.</w:t>
      </w:r>
    </w:p>
    <w:p>
      <w:pPr>
        <w:pStyle w:val="ListParagraph"/>
        <w:numPr>
          <w:ilvl w:val="0"/>
          <w:numId w:val="108"/>
        </w:numPr>
        <w:tabs>
          <w:tab w:pos="1300" w:val="left" w:leader="none"/>
          <w:tab w:pos="1304" w:val="left" w:leader="none"/>
        </w:tabs>
        <w:spacing w:line="249" w:lineRule="auto" w:before="162" w:after="0"/>
        <w:ind w:left="1304" w:right="119" w:hanging="341"/>
        <w:jc w:val="both"/>
        <w:rPr>
          <w:sz w:val="22"/>
        </w:rPr>
      </w:pPr>
      <w:r>
        <w:rPr>
          <w:color w:val="231F1F"/>
          <w:w w:val="105"/>
          <w:sz w:val="22"/>
        </w:rPr>
        <w:t>En caso de mujeres en las que se esté administrando oxitocina: en presencia de un trazado sospechoso de la FCF se debe consultar con el obstetra. Si el trazado de</w:t>
      </w:r>
      <w:r>
        <w:rPr>
          <w:color w:val="231F1F"/>
          <w:spacing w:val="-8"/>
          <w:w w:val="105"/>
          <w:sz w:val="22"/>
        </w:rPr>
        <w:t> </w:t>
      </w:r>
      <w:r>
        <w:rPr>
          <w:color w:val="231F1F"/>
          <w:w w:val="105"/>
          <w:sz w:val="22"/>
        </w:rPr>
        <w:t>la</w:t>
      </w:r>
      <w:r>
        <w:rPr>
          <w:color w:val="231F1F"/>
          <w:spacing w:val="-8"/>
          <w:w w:val="105"/>
          <w:sz w:val="22"/>
        </w:rPr>
        <w:t> </w:t>
      </w:r>
      <w:r>
        <w:rPr>
          <w:color w:val="231F1F"/>
          <w:w w:val="105"/>
          <w:sz w:val="22"/>
        </w:rPr>
        <w:t>FCF</w:t>
      </w:r>
      <w:r>
        <w:rPr>
          <w:color w:val="231F1F"/>
          <w:spacing w:val="-8"/>
          <w:w w:val="105"/>
          <w:sz w:val="22"/>
        </w:rPr>
        <w:t> </w:t>
      </w:r>
      <w:r>
        <w:rPr>
          <w:color w:val="231F1F"/>
          <w:w w:val="105"/>
          <w:sz w:val="22"/>
        </w:rPr>
        <w:t>se</w:t>
      </w:r>
      <w:r>
        <w:rPr>
          <w:color w:val="231F1F"/>
          <w:spacing w:val="-8"/>
          <w:w w:val="105"/>
          <w:sz w:val="22"/>
        </w:rPr>
        <w:t> </w:t>
      </w:r>
      <w:r>
        <w:rPr>
          <w:color w:val="231F1F"/>
          <w:w w:val="105"/>
          <w:sz w:val="22"/>
        </w:rPr>
        <w:t>clasifica</w:t>
      </w:r>
      <w:r>
        <w:rPr>
          <w:color w:val="231F1F"/>
          <w:spacing w:val="-8"/>
          <w:w w:val="105"/>
          <w:sz w:val="22"/>
        </w:rPr>
        <w:t> </w:t>
      </w:r>
      <w:r>
        <w:rPr>
          <w:color w:val="231F1F"/>
          <w:w w:val="105"/>
          <w:sz w:val="22"/>
        </w:rPr>
        <w:t>como</w:t>
      </w:r>
      <w:r>
        <w:rPr>
          <w:color w:val="231F1F"/>
          <w:spacing w:val="-8"/>
          <w:w w:val="105"/>
          <w:sz w:val="22"/>
        </w:rPr>
        <w:t> </w:t>
      </w:r>
      <w:r>
        <w:rPr>
          <w:color w:val="231F1F"/>
          <w:w w:val="105"/>
          <w:sz w:val="22"/>
        </w:rPr>
        <w:t>patológico,</w:t>
      </w:r>
      <w:r>
        <w:rPr>
          <w:color w:val="231F1F"/>
          <w:spacing w:val="-8"/>
          <w:w w:val="105"/>
          <w:sz w:val="22"/>
        </w:rPr>
        <w:t> </w:t>
      </w:r>
      <w:r>
        <w:rPr>
          <w:color w:val="231F1F"/>
          <w:w w:val="105"/>
          <w:sz w:val="22"/>
        </w:rPr>
        <w:t>se</w:t>
      </w:r>
      <w:r>
        <w:rPr>
          <w:color w:val="231F1F"/>
          <w:spacing w:val="-8"/>
          <w:w w:val="105"/>
          <w:sz w:val="22"/>
        </w:rPr>
        <w:t> </w:t>
      </w:r>
      <w:r>
        <w:rPr>
          <w:color w:val="231F1F"/>
          <w:w w:val="105"/>
          <w:sz w:val="22"/>
        </w:rPr>
        <w:t>debe</w:t>
      </w:r>
      <w:r>
        <w:rPr>
          <w:color w:val="231F1F"/>
          <w:spacing w:val="-8"/>
          <w:w w:val="105"/>
          <w:sz w:val="22"/>
        </w:rPr>
        <w:t> </w:t>
      </w:r>
      <w:r>
        <w:rPr>
          <w:color w:val="231F1F"/>
          <w:w w:val="105"/>
          <w:sz w:val="22"/>
        </w:rPr>
        <w:t>suspender</w:t>
      </w:r>
      <w:r>
        <w:rPr>
          <w:color w:val="231F1F"/>
          <w:spacing w:val="-8"/>
          <w:w w:val="105"/>
          <w:sz w:val="22"/>
        </w:rPr>
        <w:t> </w:t>
      </w:r>
      <w:r>
        <w:rPr>
          <w:color w:val="231F1F"/>
          <w:w w:val="105"/>
          <w:sz w:val="22"/>
        </w:rPr>
        <w:t>la</w:t>
      </w:r>
      <w:r>
        <w:rPr>
          <w:color w:val="231F1F"/>
          <w:spacing w:val="-8"/>
          <w:w w:val="105"/>
          <w:sz w:val="22"/>
        </w:rPr>
        <w:t> </w:t>
      </w:r>
      <w:r>
        <w:rPr>
          <w:color w:val="231F1F"/>
          <w:w w:val="105"/>
          <w:sz w:val="22"/>
        </w:rPr>
        <w:t>oxitocina</w:t>
      </w:r>
      <w:r>
        <w:rPr>
          <w:color w:val="231F1F"/>
          <w:spacing w:val="-9"/>
          <w:w w:val="105"/>
          <w:sz w:val="22"/>
        </w:rPr>
        <w:t> </w:t>
      </w:r>
      <w:r>
        <w:rPr>
          <w:color w:val="231F1F"/>
          <w:w w:val="105"/>
          <w:sz w:val="22"/>
        </w:rPr>
        <w:t>y</w:t>
      </w:r>
      <w:r>
        <w:rPr>
          <w:color w:val="231F1F"/>
          <w:spacing w:val="-8"/>
          <w:w w:val="105"/>
          <w:sz w:val="22"/>
        </w:rPr>
        <w:t> </w:t>
      </w:r>
      <w:r>
        <w:rPr>
          <w:color w:val="231F1F"/>
          <w:w w:val="105"/>
          <w:sz w:val="22"/>
        </w:rPr>
        <w:t>proceder a</w:t>
      </w:r>
      <w:r>
        <w:rPr>
          <w:color w:val="231F1F"/>
          <w:w w:val="105"/>
          <w:sz w:val="22"/>
        </w:rPr>
        <w:t> una</w:t>
      </w:r>
      <w:r>
        <w:rPr>
          <w:color w:val="231F1F"/>
          <w:w w:val="105"/>
          <w:sz w:val="22"/>
        </w:rPr>
        <w:t> evaluación</w:t>
      </w:r>
      <w:r>
        <w:rPr>
          <w:color w:val="231F1F"/>
          <w:w w:val="105"/>
          <w:sz w:val="22"/>
        </w:rPr>
        <w:t> completa</w:t>
      </w:r>
      <w:r>
        <w:rPr>
          <w:color w:val="231F1F"/>
          <w:w w:val="105"/>
          <w:sz w:val="22"/>
        </w:rPr>
        <w:t> de</w:t>
      </w:r>
      <w:r>
        <w:rPr>
          <w:color w:val="231F1F"/>
          <w:w w:val="105"/>
          <w:sz w:val="22"/>
        </w:rPr>
        <w:t> la</w:t>
      </w:r>
      <w:r>
        <w:rPr>
          <w:color w:val="231F1F"/>
          <w:w w:val="105"/>
          <w:sz w:val="22"/>
        </w:rPr>
        <w:t> condición</w:t>
      </w:r>
      <w:r>
        <w:rPr>
          <w:color w:val="231F1F"/>
          <w:w w:val="105"/>
          <w:sz w:val="22"/>
        </w:rPr>
        <w:t> del</w:t>
      </w:r>
      <w:r>
        <w:rPr>
          <w:color w:val="231F1F"/>
          <w:w w:val="105"/>
          <w:sz w:val="22"/>
        </w:rPr>
        <w:t> feto</w:t>
      </w:r>
      <w:r>
        <w:rPr>
          <w:color w:val="231F1F"/>
          <w:w w:val="105"/>
          <w:sz w:val="22"/>
        </w:rPr>
        <w:t> por</w:t>
      </w:r>
      <w:r>
        <w:rPr>
          <w:color w:val="231F1F"/>
          <w:w w:val="105"/>
          <w:sz w:val="22"/>
        </w:rPr>
        <w:t> un</w:t>
      </w:r>
      <w:r>
        <w:rPr>
          <w:color w:val="231F1F"/>
          <w:w w:val="105"/>
          <w:sz w:val="22"/>
        </w:rPr>
        <w:t> obstetra</w:t>
      </w:r>
      <w:r>
        <w:rPr>
          <w:color w:val="231F1F"/>
          <w:w w:val="105"/>
          <w:sz w:val="22"/>
        </w:rPr>
        <w:t> antes</w:t>
      </w:r>
      <w:r>
        <w:rPr>
          <w:color w:val="231F1F"/>
          <w:w w:val="105"/>
          <w:sz w:val="22"/>
        </w:rPr>
        <w:t> de reanudar la oxitocina.</w:t>
      </w:r>
    </w:p>
    <w:p>
      <w:pPr>
        <w:pStyle w:val="ListParagraph"/>
        <w:numPr>
          <w:ilvl w:val="0"/>
          <w:numId w:val="108"/>
        </w:numPr>
        <w:tabs>
          <w:tab w:pos="1301" w:val="left" w:leader="none"/>
          <w:tab w:pos="1305" w:val="left" w:leader="none"/>
        </w:tabs>
        <w:spacing w:line="244" w:lineRule="auto" w:before="149" w:after="0"/>
        <w:ind w:left="1305" w:right="112" w:hanging="341"/>
        <w:jc w:val="both"/>
        <w:rPr>
          <w:sz w:val="22"/>
        </w:rPr>
      </w:pPr>
      <w:r>
        <w:rPr>
          <w:color w:val="231F1F"/>
          <w:w w:val="110"/>
          <w:sz w:val="22"/>
        </w:rPr>
        <w:t>Monitorización</w:t>
      </w:r>
      <w:r>
        <w:rPr>
          <w:color w:val="231F1F"/>
          <w:w w:val="110"/>
          <w:sz w:val="22"/>
        </w:rPr>
        <w:t> de</w:t>
      </w:r>
      <w:r>
        <w:rPr>
          <w:color w:val="231F1F"/>
          <w:w w:val="110"/>
          <w:sz w:val="22"/>
        </w:rPr>
        <w:t> la</w:t>
      </w:r>
      <w:r>
        <w:rPr>
          <w:color w:val="231F1F"/>
          <w:w w:val="110"/>
          <w:sz w:val="22"/>
        </w:rPr>
        <w:t> presión</w:t>
      </w:r>
      <w:r>
        <w:rPr>
          <w:color w:val="231F1F"/>
          <w:w w:val="110"/>
          <w:sz w:val="22"/>
        </w:rPr>
        <w:t> sanguínea</w:t>
      </w:r>
      <w:r>
        <w:rPr>
          <w:color w:val="231F1F"/>
          <w:w w:val="110"/>
          <w:sz w:val="22"/>
        </w:rPr>
        <w:t> materna</w:t>
      </w:r>
      <w:r>
        <w:rPr>
          <w:color w:val="231F1F"/>
          <w:w w:val="110"/>
          <w:sz w:val="22"/>
        </w:rPr>
        <w:t> para</w:t>
      </w:r>
      <w:r>
        <w:rPr>
          <w:color w:val="231F1F"/>
          <w:w w:val="110"/>
          <w:sz w:val="22"/>
        </w:rPr>
        <w:t> descartar</w:t>
      </w:r>
      <w:r>
        <w:rPr>
          <w:color w:val="231F1F"/>
          <w:w w:val="110"/>
          <w:sz w:val="22"/>
        </w:rPr>
        <w:t> hipotensión </w:t>
      </w:r>
      <w:r>
        <w:rPr>
          <w:color w:val="231F1F"/>
          <w:spacing w:val="-2"/>
          <w:w w:val="110"/>
          <w:sz w:val="22"/>
        </w:rPr>
        <w:t>materna.</w:t>
      </w:r>
    </w:p>
    <w:p>
      <w:pPr>
        <w:pStyle w:val="ListParagraph"/>
        <w:numPr>
          <w:ilvl w:val="0"/>
          <w:numId w:val="108"/>
        </w:numPr>
        <w:tabs>
          <w:tab w:pos="1301" w:val="left" w:leader="none"/>
          <w:tab w:pos="1305" w:val="left" w:leader="none"/>
        </w:tabs>
        <w:spacing w:line="244" w:lineRule="auto" w:before="160" w:after="0"/>
        <w:ind w:left="1305" w:right="123" w:hanging="341"/>
        <w:jc w:val="both"/>
        <w:rPr>
          <w:sz w:val="22"/>
        </w:rPr>
      </w:pPr>
      <w:r>
        <w:rPr>
          <w:color w:val="231F1F"/>
          <w:w w:val="110"/>
          <w:sz w:val="22"/>
        </w:rPr>
        <w:t>Si el patrón anormal está asociado a hiperdinamia no secundaria a oxitocina debe considerarse la utilización de tocolíticos.</w:t>
      </w:r>
    </w:p>
    <w:p>
      <w:pPr>
        <w:pStyle w:val="ListParagraph"/>
        <w:spacing w:after="0" w:line="244" w:lineRule="auto"/>
        <w:jc w:val="both"/>
        <w:rPr>
          <w:sz w:val="22"/>
        </w:rPr>
        <w:sectPr>
          <w:pgSz w:w="11900" w:h="16840"/>
          <w:pgMar w:header="0" w:footer="622" w:top="1560" w:bottom="820" w:left="1417" w:right="1559"/>
        </w:sectPr>
      </w:pPr>
    </w:p>
    <w:p>
      <w:pPr>
        <w:pStyle w:val="ListParagraph"/>
        <w:numPr>
          <w:ilvl w:val="0"/>
          <w:numId w:val="108"/>
        </w:numPr>
        <w:tabs>
          <w:tab w:pos="1299" w:val="left" w:leader="none"/>
          <w:tab w:pos="1303" w:val="left" w:leader="none"/>
        </w:tabs>
        <w:spacing w:line="247" w:lineRule="auto" w:before="72" w:after="0"/>
        <w:ind w:left="1303" w:right="121" w:hanging="341"/>
        <w:jc w:val="both"/>
        <w:rPr>
          <w:sz w:val="22"/>
        </w:rPr>
      </w:pPr>
      <w:r>
        <w:rPr>
          <w:color w:val="231F1F"/>
          <w:w w:val="110"/>
          <w:sz w:val="22"/>
        </w:rPr>
        <w:t>El</w:t>
      </w:r>
      <w:r>
        <w:rPr>
          <w:color w:val="231F1F"/>
          <w:spacing w:val="-7"/>
          <w:w w:val="110"/>
          <w:sz w:val="22"/>
        </w:rPr>
        <w:t> </w:t>
      </w:r>
      <w:r>
        <w:rPr>
          <w:color w:val="231F1F"/>
          <w:w w:val="110"/>
          <w:sz w:val="22"/>
        </w:rPr>
        <w:t>uso</w:t>
      </w:r>
      <w:r>
        <w:rPr>
          <w:color w:val="231F1F"/>
          <w:spacing w:val="-6"/>
          <w:w w:val="110"/>
          <w:sz w:val="22"/>
        </w:rPr>
        <w:t> </w:t>
      </w:r>
      <w:r>
        <w:rPr>
          <w:color w:val="231F1F"/>
          <w:w w:val="110"/>
          <w:sz w:val="22"/>
        </w:rPr>
        <w:t>prolongado</w:t>
      </w:r>
      <w:r>
        <w:rPr>
          <w:color w:val="231F1F"/>
          <w:spacing w:val="-6"/>
          <w:w w:val="110"/>
          <w:sz w:val="22"/>
        </w:rPr>
        <w:t> </w:t>
      </w:r>
      <w:r>
        <w:rPr>
          <w:color w:val="231F1F"/>
          <w:w w:val="110"/>
          <w:sz w:val="22"/>
        </w:rPr>
        <w:t>de</w:t>
      </w:r>
      <w:r>
        <w:rPr>
          <w:color w:val="231F1F"/>
          <w:spacing w:val="-6"/>
          <w:w w:val="110"/>
          <w:sz w:val="22"/>
        </w:rPr>
        <w:t> </w:t>
      </w:r>
      <w:r>
        <w:rPr>
          <w:color w:val="231F1F"/>
          <w:w w:val="110"/>
          <w:sz w:val="22"/>
        </w:rPr>
        <w:t>la</w:t>
      </w:r>
      <w:r>
        <w:rPr>
          <w:color w:val="231F1F"/>
          <w:spacing w:val="-6"/>
          <w:w w:val="110"/>
          <w:sz w:val="22"/>
        </w:rPr>
        <w:t> </w:t>
      </w:r>
      <w:r>
        <w:rPr>
          <w:color w:val="231F1F"/>
          <w:w w:val="110"/>
          <w:sz w:val="22"/>
        </w:rPr>
        <w:t>oxigenoterapia</w:t>
      </w:r>
      <w:r>
        <w:rPr>
          <w:color w:val="231F1F"/>
          <w:spacing w:val="-7"/>
          <w:w w:val="110"/>
          <w:sz w:val="22"/>
        </w:rPr>
        <w:t> </w:t>
      </w:r>
      <w:r>
        <w:rPr>
          <w:color w:val="231F1F"/>
          <w:w w:val="110"/>
          <w:sz w:val="22"/>
        </w:rPr>
        <w:t>en</w:t>
      </w:r>
      <w:r>
        <w:rPr>
          <w:color w:val="231F1F"/>
          <w:spacing w:val="-6"/>
          <w:w w:val="110"/>
          <w:sz w:val="22"/>
        </w:rPr>
        <w:t> </w:t>
      </w:r>
      <w:r>
        <w:rPr>
          <w:color w:val="231F1F"/>
          <w:w w:val="110"/>
          <w:sz w:val="22"/>
        </w:rPr>
        <w:t>la</w:t>
      </w:r>
      <w:r>
        <w:rPr>
          <w:color w:val="231F1F"/>
          <w:spacing w:val="-6"/>
          <w:w w:val="110"/>
          <w:sz w:val="22"/>
        </w:rPr>
        <w:t> </w:t>
      </w:r>
      <w:r>
        <w:rPr>
          <w:color w:val="231F1F"/>
          <w:w w:val="110"/>
          <w:sz w:val="22"/>
        </w:rPr>
        <w:t>madre</w:t>
      </w:r>
      <w:r>
        <w:rPr>
          <w:color w:val="231F1F"/>
          <w:spacing w:val="-6"/>
          <w:w w:val="110"/>
          <w:sz w:val="22"/>
        </w:rPr>
        <w:t> </w:t>
      </w:r>
      <w:r>
        <w:rPr>
          <w:color w:val="231F1F"/>
          <w:w w:val="110"/>
          <w:sz w:val="22"/>
        </w:rPr>
        <w:t>puede</w:t>
      </w:r>
      <w:r>
        <w:rPr>
          <w:color w:val="231F1F"/>
          <w:spacing w:val="-7"/>
          <w:w w:val="110"/>
          <w:sz w:val="22"/>
        </w:rPr>
        <w:t> </w:t>
      </w:r>
      <w:r>
        <w:rPr>
          <w:color w:val="231F1F"/>
          <w:w w:val="110"/>
          <w:sz w:val="22"/>
        </w:rPr>
        <w:t>ser</w:t>
      </w:r>
      <w:r>
        <w:rPr>
          <w:color w:val="231F1F"/>
          <w:spacing w:val="-7"/>
          <w:w w:val="110"/>
          <w:sz w:val="22"/>
        </w:rPr>
        <w:t> </w:t>
      </w:r>
      <w:r>
        <w:rPr>
          <w:color w:val="231F1F"/>
          <w:w w:val="110"/>
          <w:sz w:val="22"/>
        </w:rPr>
        <w:t>perjudicial</w:t>
      </w:r>
      <w:r>
        <w:rPr>
          <w:color w:val="231F1F"/>
          <w:spacing w:val="-7"/>
          <w:w w:val="110"/>
          <w:sz w:val="22"/>
        </w:rPr>
        <w:t> </w:t>
      </w:r>
      <w:r>
        <w:rPr>
          <w:color w:val="231F1F"/>
          <w:w w:val="110"/>
          <w:sz w:val="22"/>
        </w:rPr>
        <w:t>para el</w:t>
      </w:r>
      <w:r>
        <w:rPr>
          <w:color w:val="231F1F"/>
          <w:spacing w:val="-16"/>
          <w:w w:val="110"/>
          <w:sz w:val="22"/>
        </w:rPr>
        <w:t> </w:t>
      </w:r>
      <w:r>
        <w:rPr>
          <w:color w:val="231F1F"/>
          <w:w w:val="110"/>
          <w:sz w:val="22"/>
        </w:rPr>
        <w:t>feto</w:t>
      </w:r>
      <w:r>
        <w:rPr>
          <w:color w:val="231F1F"/>
          <w:spacing w:val="-15"/>
          <w:w w:val="110"/>
          <w:sz w:val="22"/>
        </w:rPr>
        <w:t> </w:t>
      </w:r>
      <w:r>
        <w:rPr>
          <w:color w:val="231F1F"/>
          <w:w w:val="110"/>
          <w:sz w:val="22"/>
        </w:rPr>
        <w:t>y</w:t>
      </w:r>
      <w:r>
        <w:rPr>
          <w:color w:val="231F1F"/>
          <w:spacing w:val="-15"/>
          <w:w w:val="110"/>
          <w:sz w:val="22"/>
        </w:rPr>
        <w:t> </w:t>
      </w:r>
      <w:r>
        <w:rPr>
          <w:color w:val="231F1F"/>
          <w:w w:val="110"/>
          <w:sz w:val="22"/>
        </w:rPr>
        <w:t>debe</w:t>
      </w:r>
      <w:r>
        <w:rPr>
          <w:color w:val="231F1F"/>
          <w:spacing w:val="-15"/>
          <w:w w:val="110"/>
          <w:sz w:val="22"/>
        </w:rPr>
        <w:t> </w:t>
      </w:r>
      <w:r>
        <w:rPr>
          <w:color w:val="231F1F"/>
          <w:w w:val="110"/>
          <w:sz w:val="22"/>
        </w:rPr>
        <w:t>evitarse.</w:t>
      </w:r>
      <w:r>
        <w:rPr>
          <w:color w:val="231F1F"/>
          <w:spacing w:val="-15"/>
          <w:w w:val="110"/>
          <w:sz w:val="22"/>
        </w:rPr>
        <w:t> </w:t>
      </w:r>
      <w:r>
        <w:rPr>
          <w:color w:val="231F1F"/>
          <w:w w:val="110"/>
          <w:sz w:val="22"/>
        </w:rPr>
        <w:t>No</w:t>
      </w:r>
      <w:r>
        <w:rPr>
          <w:color w:val="231F1F"/>
          <w:spacing w:val="-15"/>
          <w:w w:val="110"/>
          <w:sz w:val="22"/>
        </w:rPr>
        <w:t> </w:t>
      </w:r>
      <w:r>
        <w:rPr>
          <w:color w:val="231F1F"/>
          <w:w w:val="110"/>
          <w:sz w:val="22"/>
        </w:rPr>
        <w:t>hay</w:t>
      </w:r>
      <w:r>
        <w:rPr>
          <w:color w:val="231F1F"/>
          <w:spacing w:val="-15"/>
          <w:w w:val="110"/>
          <w:sz w:val="22"/>
        </w:rPr>
        <w:t> </w:t>
      </w:r>
      <w:r>
        <w:rPr>
          <w:color w:val="231F1F"/>
          <w:w w:val="110"/>
          <w:sz w:val="22"/>
        </w:rPr>
        <w:t>estudios</w:t>
      </w:r>
      <w:r>
        <w:rPr>
          <w:color w:val="231F1F"/>
          <w:spacing w:val="-15"/>
          <w:w w:val="110"/>
          <w:sz w:val="22"/>
        </w:rPr>
        <w:t> </w:t>
      </w:r>
      <w:r>
        <w:rPr>
          <w:color w:val="231F1F"/>
          <w:w w:val="110"/>
          <w:sz w:val="22"/>
        </w:rPr>
        <w:t>que</w:t>
      </w:r>
      <w:r>
        <w:rPr>
          <w:color w:val="231F1F"/>
          <w:spacing w:val="-16"/>
          <w:w w:val="110"/>
          <w:sz w:val="22"/>
        </w:rPr>
        <w:t> </w:t>
      </w:r>
      <w:r>
        <w:rPr>
          <w:color w:val="231F1F"/>
          <w:w w:val="110"/>
          <w:sz w:val="22"/>
        </w:rPr>
        <w:t>evalúen</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beneficios</w:t>
      </w:r>
      <w:r>
        <w:rPr>
          <w:color w:val="231F1F"/>
          <w:spacing w:val="-15"/>
          <w:w w:val="110"/>
          <w:sz w:val="22"/>
        </w:rPr>
        <w:t> </w:t>
      </w:r>
      <w:r>
        <w:rPr>
          <w:color w:val="231F1F"/>
          <w:w w:val="110"/>
          <w:sz w:val="22"/>
        </w:rPr>
        <w:t>o</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riesgos asociados</w:t>
      </w:r>
      <w:r>
        <w:rPr>
          <w:color w:val="231F1F"/>
          <w:spacing w:val="-14"/>
          <w:w w:val="110"/>
          <w:sz w:val="22"/>
        </w:rPr>
        <w:t> </w:t>
      </w:r>
      <w:r>
        <w:rPr>
          <w:color w:val="231F1F"/>
          <w:w w:val="110"/>
          <w:sz w:val="22"/>
        </w:rPr>
        <w:t>con</w:t>
      </w:r>
      <w:r>
        <w:rPr>
          <w:color w:val="231F1F"/>
          <w:spacing w:val="-14"/>
          <w:w w:val="110"/>
          <w:sz w:val="22"/>
        </w:rPr>
        <w:t> </w:t>
      </w:r>
      <w:r>
        <w:rPr>
          <w:color w:val="231F1F"/>
          <w:w w:val="110"/>
          <w:sz w:val="22"/>
        </w:rPr>
        <w:t>el</w:t>
      </w:r>
      <w:r>
        <w:rPr>
          <w:color w:val="231F1F"/>
          <w:spacing w:val="-15"/>
          <w:w w:val="110"/>
          <w:sz w:val="22"/>
        </w:rPr>
        <w:t> </w:t>
      </w:r>
      <w:r>
        <w:rPr>
          <w:color w:val="231F1F"/>
          <w:w w:val="110"/>
          <w:sz w:val="22"/>
        </w:rPr>
        <w:t>uso</w:t>
      </w:r>
      <w:r>
        <w:rPr>
          <w:color w:val="231F1F"/>
          <w:spacing w:val="-15"/>
          <w:w w:val="110"/>
          <w:sz w:val="22"/>
        </w:rPr>
        <w:t> </w:t>
      </w:r>
      <w:r>
        <w:rPr>
          <w:color w:val="231F1F"/>
          <w:w w:val="110"/>
          <w:sz w:val="22"/>
        </w:rPr>
        <w:t>a</w:t>
      </w:r>
      <w:r>
        <w:rPr>
          <w:color w:val="231F1F"/>
          <w:spacing w:val="-15"/>
          <w:w w:val="110"/>
          <w:sz w:val="22"/>
        </w:rPr>
        <w:t> </w:t>
      </w:r>
      <w:r>
        <w:rPr>
          <w:color w:val="231F1F"/>
          <w:w w:val="110"/>
          <w:sz w:val="22"/>
        </w:rPr>
        <w:t>corto</w:t>
      </w:r>
      <w:r>
        <w:rPr>
          <w:color w:val="231F1F"/>
          <w:spacing w:val="-15"/>
          <w:w w:val="110"/>
          <w:sz w:val="22"/>
        </w:rPr>
        <w:t> </w:t>
      </w:r>
      <w:r>
        <w:rPr>
          <w:color w:val="231F1F"/>
          <w:w w:val="110"/>
          <w:sz w:val="22"/>
        </w:rPr>
        <w:t>plazo</w:t>
      </w:r>
      <w:r>
        <w:rPr>
          <w:color w:val="231F1F"/>
          <w:spacing w:val="-15"/>
          <w:w w:val="110"/>
          <w:sz w:val="22"/>
        </w:rPr>
        <w:t> </w:t>
      </w:r>
      <w:r>
        <w:rPr>
          <w:color w:val="231F1F"/>
          <w:w w:val="110"/>
          <w:sz w:val="22"/>
        </w:rPr>
        <w:t>de</w:t>
      </w:r>
      <w:r>
        <w:rPr>
          <w:color w:val="231F1F"/>
          <w:spacing w:val="-15"/>
          <w:w w:val="110"/>
          <w:sz w:val="22"/>
        </w:rPr>
        <w:t> </w:t>
      </w:r>
      <w:r>
        <w:rPr>
          <w:color w:val="231F1F"/>
          <w:w w:val="110"/>
          <w:sz w:val="22"/>
        </w:rPr>
        <w:t>la</w:t>
      </w:r>
      <w:r>
        <w:rPr>
          <w:color w:val="231F1F"/>
          <w:spacing w:val="-15"/>
          <w:w w:val="110"/>
          <w:sz w:val="22"/>
        </w:rPr>
        <w:t> </w:t>
      </w:r>
      <w:r>
        <w:rPr>
          <w:color w:val="231F1F"/>
          <w:w w:val="110"/>
          <w:sz w:val="22"/>
        </w:rPr>
        <w:t>oxigenoterapia</w:t>
      </w:r>
      <w:r>
        <w:rPr>
          <w:color w:val="231F1F"/>
          <w:spacing w:val="-15"/>
          <w:w w:val="110"/>
          <w:sz w:val="22"/>
        </w:rPr>
        <w:t> </w:t>
      </w:r>
      <w:r>
        <w:rPr>
          <w:color w:val="231F1F"/>
          <w:w w:val="110"/>
          <w:sz w:val="22"/>
        </w:rPr>
        <w:t>materna</w:t>
      </w:r>
      <w:r>
        <w:rPr>
          <w:color w:val="231F1F"/>
          <w:spacing w:val="-14"/>
          <w:w w:val="110"/>
          <w:sz w:val="22"/>
        </w:rPr>
        <w:t> </w:t>
      </w:r>
      <w:r>
        <w:rPr>
          <w:color w:val="231F1F"/>
          <w:w w:val="110"/>
          <w:sz w:val="22"/>
        </w:rPr>
        <w:t>en</w:t>
      </w:r>
      <w:r>
        <w:rPr>
          <w:color w:val="231F1F"/>
          <w:spacing w:val="-15"/>
          <w:w w:val="110"/>
          <w:sz w:val="22"/>
        </w:rPr>
        <w:t> </w:t>
      </w:r>
      <w:r>
        <w:rPr>
          <w:color w:val="231F1F"/>
          <w:w w:val="110"/>
          <w:sz w:val="22"/>
        </w:rPr>
        <w:t>los</w:t>
      </w:r>
      <w:r>
        <w:rPr>
          <w:color w:val="231F1F"/>
          <w:spacing w:val="-15"/>
          <w:w w:val="110"/>
          <w:sz w:val="22"/>
        </w:rPr>
        <w:t> </w:t>
      </w:r>
      <w:r>
        <w:rPr>
          <w:color w:val="231F1F"/>
          <w:w w:val="110"/>
          <w:sz w:val="22"/>
        </w:rPr>
        <w:t>casos</w:t>
      </w:r>
      <w:r>
        <w:rPr>
          <w:color w:val="231F1F"/>
          <w:spacing w:val="-15"/>
          <w:w w:val="110"/>
          <w:sz w:val="22"/>
        </w:rPr>
        <w:t> </w:t>
      </w:r>
      <w:r>
        <w:rPr>
          <w:color w:val="231F1F"/>
          <w:w w:val="110"/>
          <w:sz w:val="22"/>
        </w:rPr>
        <w:t>de presunto compromiso fetal.</w:t>
      </w:r>
    </w:p>
    <w:p>
      <w:pPr>
        <w:pStyle w:val="BodyText"/>
        <w:spacing w:before="158"/>
      </w:pPr>
    </w:p>
    <w:p>
      <w:pPr>
        <w:spacing w:before="1"/>
        <w:ind w:left="283" w:right="0" w:firstLine="0"/>
        <w:jc w:val="left"/>
        <w:rPr>
          <w:rFonts w:ascii="Arial MT" w:hAnsi="Arial MT"/>
          <w:sz w:val="24"/>
        </w:rPr>
      </w:pPr>
      <w:r>
        <w:rPr>
          <w:rFonts w:ascii="Arial MT" w:hAnsi="Arial MT"/>
          <w:color w:val="231F1F"/>
          <w:sz w:val="24"/>
        </w:rPr>
        <w:t>Características</w:t>
      </w:r>
      <w:r>
        <w:rPr>
          <w:rFonts w:ascii="Arial MT" w:hAnsi="Arial MT"/>
          <w:color w:val="231F1F"/>
          <w:spacing w:val="27"/>
          <w:sz w:val="24"/>
        </w:rPr>
        <w:t> </w:t>
      </w:r>
      <w:r>
        <w:rPr>
          <w:rFonts w:ascii="Arial MT" w:hAnsi="Arial MT"/>
          <w:color w:val="231F1F"/>
          <w:sz w:val="24"/>
        </w:rPr>
        <w:t>de</w:t>
      </w:r>
      <w:r>
        <w:rPr>
          <w:rFonts w:ascii="Arial MT" w:hAnsi="Arial MT"/>
          <w:color w:val="231F1F"/>
          <w:spacing w:val="30"/>
          <w:sz w:val="24"/>
        </w:rPr>
        <w:t> </w:t>
      </w:r>
      <w:r>
        <w:rPr>
          <w:rFonts w:ascii="Arial MT" w:hAnsi="Arial MT"/>
          <w:color w:val="231F1F"/>
          <w:sz w:val="24"/>
        </w:rPr>
        <w:t>las</w:t>
      </w:r>
      <w:r>
        <w:rPr>
          <w:rFonts w:ascii="Arial MT" w:hAnsi="Arial MT"/>
          <w:color w:val="231F1F"/>
          <w:spacing w:val="29"/>
          <w:sz w:val="24"/>
        </w:rPr>
        <w:t> </w:t>
      </w:r>
      <w:r>
        <w:rPr>
          <w:rFonts w:ascii="Arial MT" w:hAnsi="Arial MT"/>
          <w:color w:val="231F1F"/>
          <w:sz w:val="24"/>
        </w:rPr>
        <w:t>deceleraciones</w:t>
      </w:r>
      <w:r>
        <w:rPr>
          <w:rFonts w:ascii="Arial MT" w:hAnsi="Arial MT"/>
          <w:color w:val="231F1F"/>
          <w:spacing w:val="31"/>
          <w:sz w:val="24"/>
        </w:rPr>
        <w:t> </w:t>
      </w:r>
      <w:r>
        <w:rPr>
          <w:rFonts w:ascii="Arial MT" w:hAnsi="Arial MT"/>
          <w:color w:val="231F1F"/>
          <w:sz w:val="24"/>
        </w:rPr>
        <w:t>variables</w:t>
      </w:r>
      <w:r>
        <w:rPr>
          <w:rFonts w:ascii="Arial MT" w:hAnsi="Arial MT"/>
          <w:color w:val="231F1F"/>
          <w:spacing w:val="30"/>
          <w:sz w:val="24"/>
        </w:rPr>
        <w:t> </w:t>
      </w:r>
      <w:r>
        <w:rPr>
          <w:rFonts w:ascii="Arial MT" w:hAnsi="Arial MT"/>
          <w:color w:val="231F1F"/>
          <w:spacing w:val="-2"/>
          <w:sz w:val="24"/>
        </w:rPr>
        <w:t>atípicas</w:t>
      </w:r>
    </w:p>
    <w:p>
      <w:pPr>
        <w:pStyle w:val="BodyText"/>
        <w:spacing w:before="209"/>
        <w:ind w:left="283" w:firstLine="453"/>
      </w:pPr>
      <w:r>
        <w:rPr>
          <w:color w:val="231F1F"/>
          <w:w w:val="105"/>
        </w:rPr>
        <w:t>Las</w:t>
      </w:r>
      <w:r>
        <w:rPr>
          <w:color w:val="231F1F"/>
          <w:spacing w:val="-7"/>
          <w:w w:val="105"/>
        </w:rPr>
        <w:t> </w:t>
      </w:r>
      <w:r>
        <w:rPr>
          <w:color w:val="231F1F"/>
          <w:w w:val="105"/>
        </w:rPr>
        <w:t>deceleraciones</w:t>
      </w:r>
      <w:r>
        <w:rPr>
          <w:color w:val="231F1F"/>
          <w:spacing w:val="-8"/>
          <w:w w:val="105"/>
        </w:rPr>
        <w:t> </w:t>
      </w:r>
      <w:r>
        <w:rPr>
          <w:color w:val="231F1F"/>
          <w:w w:val="105"/>
        </w:rPr>
        <w:t>variables</w:t>
      </w:r>
      <w:r>
        <w:rPr>
          <w:color w:val="231F1F"/>
          <w:spacing w:val="-8"/>
          <w:w w:val="105"/>
        </w:rPr>
        <w:t> </w:t>
      </w:r>
      <w:r>
        <w:rPr>
          <w:color w:val="231F1F"/>
          <w:w w:val="105"/>
        </w:rPr>
        <w:t>atípicas</w:t>
      </w:r>
      <w:r>
        <w:rPr>
          <w:color w:val="231F1F"/>
          <w:spacing w:val="-7"/>
          <w:w w:val="105"/>
        </w:rPr>
        <w:t> </w:t>
      </w:r>
      <w:r>
        <w:rPr>
          <w:color w:val="231F1F"/>
          <w:w w:val="105"/>
        </w:rPr>
        <w:t>se</w:t>
      </w:r>
      <w:r>
        <w:rPr>
          <w:color w:val="231F1F"/>
          <w:spacing w:val="-8"/>
          <w:w w:val="105"/>
        </w:rPr>
        <w:t> </w:t>
      </w:r>
      <w:r>
        <w:rPr>
          <w:color w:val="231F1F"/>
          <w:w w:val="105"/>
        </w:rPr>
        <w:t>definen</w:t>
      </w:r>
      <w:r>
        <w:rPr>
          <w:color w:val="231F1F"/>
          <w:spacing w:val="-8"/>
          <w:w w:val="105"/>
        </w:rPr>
        <w:t> </w:t>
      </w:r>
      <w:r>
        <w:rPr>
          <w:color w:val="231F1F"/>
          <w:w w:val="105"/>
        </w:rPr>
        <w:t>por</w:t>
      </w:r>
      <w:r>
        <w:rPr>
          <w:color w:val="231F1F"/>
          <w:spacing w:val="-8"/>
          <w:w w:val="105"/>
        </w:rPr>
        <w:t> </w:t>
      </w:r>
      <w:r>
        <w:rPr>
          <w:color w:val="231F1F"/>
          <w:w w:val="105"/>
        </w:rPr>
        <w:t>presentar</w:t>
      </w:r>
      <w:r>
        <w:rPr>
          <w:color w:val="231F1F"/>
          <w:spacing w:val="-8"/>
          <w:w w:val="105"/>
        </w:rPr>
        <w:t> </w:t>
      </w:r>
      <w:r>
        <w:rPr>
          <w:color w:val="231F1F"/>
          <w:w w:val="105"/>
        </w:rPr>
        <w:t>una</w:t>
      </w:r>
      <w:r>
        <w:rPr>
          <w:color w:val="231F1F"/>
          <w:spacing w:val="-8"/>
          <w:w w:val="105"/>
        </w:rPr>
        <w:t> </w:t>
      </w:r>
      <w:r>
        <w:rPr>
          <w:color w:val="231F1F"/>
          <w:w w:val="105"/>
        </w:rPr>
        <w:t>o</w:t>
      </w:r>
      <w:r>
        <w:rPr>
          <w:color w:val="231F1F"/>
          <w:spacing w:val="-7"/>
          <w:w w:val="105"/>
        </w:rPr>
        <w:t> </w:t>
      </w:r>
      <w:r>
        <w:rPr>
          <w:color w:val="231F1F"/>
          <w:w w:val="105"/>
        </w:rPr>
        <w:t>varias</w:t>
      </w:r>
      <w:r>
        <w:rPr>
          <w:color w:val="231F1F"/>
          <w:spacing w:val="-8"/>
          <w:w w:val="105"/>
        </w:rPr>
        <w:t> </w:t>
      </w:r>
      <w:r>
        <w:rPr>
          <w:color w:val="231F1F"/>
          <w:w w:val="105"/>
        </w:rPr>
        <w:t>de</w:t>
      </w:r>
      <w:r>
        <w:rPr>
          <w:color w:val="231F1F"/>
          <w:spacing w:val="-8"/>
          <w:w w:val="105"/>
        </w:rPr>
        <w:t> </w:t>
      </w:r>
      <w:r>
        <w:rPr>
          <w:color w:val="231F1F"/>
          <w:w w:val="105"/>
        </w:rPr>
        <w:t>las</w:t>
      </w:r>
      <w:r>
        <w:rPr>
          <w:color w:val="231F1F"/>
          <w:spacing w:val="-8"/>
          <w:w w:val="105"/>
        </w:rPr>
        <w:t> </w:t>
      </w:r>
      <w:r>
        <w:rPr>
          <w:color w:val="231F1F"/>
          <w:w w:val="105"/>
        </w:rPr>
        <w:t>si- guientes características:</w:t>
      </w:r>
    </w:p>
    <w:p>
      <w:pPr>
        <w:pStyle w:val="ListParagraph"/>
        <w:numPr>
          <w:ilvl w:val="0"/>
          <w:numId w:val="105"/>
        </w:numPr>
        <w:tabs>
          <w:tab w:pos="959" w:val="left" w:leader="none"/>
        </w:tabs>
        <w:spacing w:line="240" w:lineRule="auto" w:before="156" w:after="0"/>
        <w:ind w:left="959" w:right="0" w:hanging="224"/>
        <w:jc w:val="left"/>
        <w:rPr>
          <w:sz w:val="22"/>
        </w:rPr>
      </w:pPr>
      <w:r>
        <w:rPr>
          <w:color w:val="231F1F"/>
          <w:sz w:val="22"/>
        </w:rPr>
        <w:t>Pérdida</w:t>
      </w:r>
      <w:r>
        <w:rPr>
          <w:color w:val="231F1F"/>
          <w:spacing w:val="34"/>
          <w:sz w:val="22"/>
        </w:rPr>
        <w:t> </w:t>
      </w:r>
      <w:r>
        <w:rPr>
          <w:color w:val="231F1F"/>
          <w:sz w:val="22"/>
        </w:rPr>
        <w:t>del</w:t>
      </w:r>
      <w:r>
        <w:rPr>
          <w:color w:val="231F1F"/>
          <w:spacing w:val="36"/>
          <w:sz w:val="22"/>
        </w:rPr>
        <w:t> </w:t>
      </w:r>
      <w:r>
        <w:rPr>
          <w:color w:val="231F1F"/>
          <w:sz w:val="22"/>
        </w:rPr>
        <w:t>ascenso</w:t>
      </w:r>
      <w:r>
        <w:rPr>
          <w:color w:val="231F1F"/>
          <w:spacing w:val="37"/>
          <w:sz w:val="22"/>
        </w:rPr>
        <w:t> </w:t>
      </w:r>
      <w:r>
        <w:rPr>
          <w:color w:val="231F1F"/>
          <w:sz w:val="22"/>
        </w:rPr>
        <w:t>transitorio</w:t>
      </w:r>
      <w:r>
        <w:rPr>
          <w:color w:val="231F1F"/>
          <w:spacing w:val="36"/>
          <w:sz w:val="22"/>
        </w:rPr>
        <w:t> </w:t>
      </w:r>
      <w:r>
        <w:rPr>
          <w:color w:val="231F1F"/>
          <w:sz w:val="22"/>
        </w:rPr>
        <w:t>inicial</w:t>
      </w:r>
      <w:r>
        <w:rPr>
          <w:color w:val="231F1F"/>
          <w:spacing w:val="38"/>
          <w:sz w:val="22"/>
        </w:rPr>
        <w:t> </w:t>
      </w:r>
      <w:r>
        <w:rPr>
          <w:color w:val="231F1F"/>
          <w:spacing w:val="-2"/>
          <w:sz w:val="22"/>
        </w:rPr>
        <w:t>(Primario).</w:t>
      </w:r>
    </w:p>
    <w:p>
      <w:pPr>
        <w:pStyle w:val="ListParagraph"/>
        <w:numPr>
          <w:ilvl w:val="0"/>
          <w:numId w:val="105"/>
        </w:numPr>
        <w:tabs>
          <w:tab w:pos="959" w:val="left" w:leader="none"/>
        </w:tabs>
        <w:spacing w:line="240" w:lineRule="auto" w:before="151" w:after="0"/>
        <w:ind w:left="959" w:right="0" w:hanging="224"/>
        <w:jc w:val="left"/>
        <w:rPr>
          <w:sz w:val="22"/>
        </w:rPr>
      </w:pPr>
      <w:r>
        <w:rPr>
          <w:color w:val="231F1F"/>
          <w:w w:val="110"/>
          <w:sz w:val="22"/>
        </w:rPr>
        <w:t>Retorno</w:t>
      </w:r>
      <w:r>
        <w:rPr>
          <w:color w:val="231F1F"/>
          <w:spacing w:val="-9"/>
          <w:w w:val="110"/>
          <w:sz w:val="22"/>
        </w:rPr>
        <w:t> </w:t>
      </w:r>
      <w:r>
        <w:rPr>
          <w:color w:val="231F1F"/>
          <w:w w:val="110"/>
          <w:sz w:val="22"/>
        </w:rPr>
        <w:t>lento</w:t>
      </w:r>
      <w:r>
        <w:rPr>
          <w:color w:val="231F1F"/>
          <w:spacing w:val="-8"/>
          <w:w w:val="110"/>
          <w:sz w:val="22"/>
        </w:rPr>
        <w:t> </w:t>
      </w:r>
      <w:r>
        <w:rPr>
          <w:color w:val="231F1F"/>
          <w:w w:val="110"/>
          <w:sz w:val="22"/>
        </w:rPr>
        <w:t>a</w:t>
      </w:r>
      <w:r>
        <w:rPr>
          <w:color w:val="231F1F"/>
          <w:spacing w:val="-7"/>
          <w:w w:val="110"/>
          <w:sz w:val="22"/>
        </w:rPr>
        <w:t> </w:t>
      </w:r>
      <w:r>
        <w:rPr>
          <w:color w:val="231F1F"/>
          <w:w w:val="110"/>
          <w:sz w:val="22"/>
        </w:rPr>
        <w:t>la</w:t>
      </w:r>
      <w:r>
        <w:rPr>
          <w:color w:val="231F1F"/>
          <w:spacing w:val="-8"/>
          <w:w w:val="110"/>
          <w:sz w:val="22"/>
        </w:rPr>
        <w:t> </w:t>
      </w:r>
      <w:r>
        <w:rPr>
          <w:color w:val="231F1F"/>
          <w:w w:val="110"/>
          <w:sz w:val="22"/>
        </w:rPr>
        <w:t>FCF</w:t>
      </w:r>
      <w:r>
        <w:rPr>
          <w:color w:val="231F1F"/>
          <w:spacing w:val="-8"/>
          <w:w w:val="110"/>
          <w:sz w:val="22"/>
        </w:rPr>
        <w:t> </w:t>
      </w:r>
      <w:r>
        <w:rPr>
          <w:color w:val="231F1F"/>
          <w:w w:val="110"/>
          <w:sz w:val="22"/>
        </w:rPr>
        <w:t>de</w:t>
      </w:r>
      <w:r>
        <w:rPr>
          <w:color w:val="231F1F"/>
          <w:spacing w:val="-7"/>
          <w:w w:val="110"/>
          <w:sz w:val="22"/>
        </w:rPr>
        <w:t> </w:t>
      </w:r>
      <w:r>
        <w:rPr>
          <w:color w:val="231F1F"/>
          <w:w w:val="110"/>
          <w:sz w:val="22"/>
        </w:rPr>
        <w:t>la</w:t>
      </w:r>
      <w:r>
        <w:rPr>
          <w:color w:val="231F1F"/>
          <w:spacing w:val="-8"/>
          <w:w w:val="110"/>
          <w:sz w:val="22"/>
        </w:rPr>
        <w:t> </w:t>
      </w:r>
      <w:r>
        <w:rPr>
          <w:color w:val="231F1F"/>
          <w:w w:val="110"/>
          <w:sz w:val="22"/>
        </w:rPr>
        <w:t>línea</w:t>
      </w:r>
      <w:r>
        <w:rPr>
          <w:color w:val="231F1F"/>
          <w:spacing w:val="-7"/>
          <w:w w:val="110"/>
          <w:sz w:val="22"/>
        </w:rPr>
        <w:t> </w:t>
      </w:r>
      <w:r>
        <w:rPr>
          <w:color w:val="231F1F"/>
          <w:w w:val="110"/>
          <w:sz w:val="22"/>
        </w:rPr>
        <w:t>de</w:t>
      </w:r>
      <w:r>
        <w:rPr>
          <w:color w:val="231F1F"/>
          <w:spacing w:val="-8"/>
          <w:w w:val="110"/>
          <w:sz w:val="22"/>
        </w:rPr>
        <w:t> </w:t>
      </w:r>
      <w:r>
        <w:rPr>
          <w:color w:val="231F1F"/>
          <w:spacing w:val="-2"/>
          <w:w w:val="110"/>
          <w:sz w:val="22"/>
        </w:rPr>
        <w:t>base.</w:t>
      </w:r>
    </w:p>
    <w:p>
      <w:pPr>
        <w:pStyle w:val="ListParagraph"/>
        <w:numPr>
          <w:ilvl w:val="0"/>
          <w:numId w:val="105"/>
        </w:numPr>
        <w:tabs>
          <w:tab w:pos="959" w:val="left" w:leader="none"/>
        </w:tabs>
        <w:spacing w:line="240" w:lineRule="auto" w:before="164" w:after="0"/>
        <w:ind w:left="959" w:right="0" w:hanging="224"/>
        <w:jc w:val="left"/>
        <w:rPr>
          <w:sz w:val="22"/>
        </w:rPr>
      </w:pPr>
      <w:r>
        <w:rPr>
          <w:color w:val="231F1F"/>
          <w:sz w:val="22"/>
        </w:rPr>
        <w:t>Pérdida</w:t>
      </w:r>
      <w:r>
        <w:rPr>
          <w:color w:val="231F1F"/>
          <w:spacing w:val="44"/>
          <w:sz w:val="22"/>
        </w:rPr>
        <w:t> </w:t>
      </w:r>
      <w:r>
        <w:rPr>
          <w:color w:val="231F1F"/>
          <w:sz w:val="22"/>
        </w:rPr>
        <w:t>del</w:t>
      </w:r>
      <w:r>
        <w:rPr>
          <w:color w:val="231F1F"/>
          <w:spacing w:val="45"/>
          <w:sz w:val="22"/>
        </w:rPr>
        <w:t> </w:t>
      </w:r>
      <w:r>
        <w:rPr>
          <w:color w:val="231F1F"/>
          <w:sz w:val="22"/>
        </w:rPr>
        <w:t>ascenso</w:t>
      </w:r>
      <w:r>
        <w:rPr>
          <w:color w:val="231F1F"/>
          <w:spacing w:val="50"/>
          <w:sz w:val="22"/>
        </w:rPr>
        <w:t> </w:t>
      </w:r>
      <w:r>
        <w:rPr>
          <w:color w:val="231F1F"/>
          <w:sz w:val="22"/>
        </w:rPr>
        <w:t>transitorio</w:t>
      </w:r>
      <w:r>
        <w:rPr>
          <w:color w:val="231F1F"/>
          <w:spacing w:val="45"/>
          <w:sz w:val="22"/>
        </w:rPr>
        <w:t> </w:t>
      </w:r>
      <w:r>
        <w:rPr>
          <w:color w:val="231F1F"/>
          <w:spacing w:val="-2"/>
          <w:sz w:val="22"/>
        </w:rPr>
        <w:t>secundario.</w:t>
      </w:r>
    </w:p>
    <w:p>
      <w:pPr>
        <w:pStyle w:val="ListParagraph"/>
        <w:numPr>
          <w:ilvl w:val="0"/>
          <w:numId w:val="105"/>
        </w:numPr>
        <w:tabs>
          <w:tab w:pos="959" w:val="left" w:leader="none"/>
        </w:tabs>
        <w:spacing w:line="240" w:lineRule="auto" w:before="155" w:after="0"/>
        <w:ind w:left="959" w:right="0" w:hanging="224"/>
        <w:jc w:val="left"/>
        <w:rPr>
          <w:sz w:val="22"/>
        </w:rPr>
      </w:pPr>
      <w:r>
        <w:rPr>
          <w:color w:val="231F1F"/>
          <w:sz w:val="22"/>
        </w:rPr>
        <w:t>Ascenso</w:t>
      </w:r>
      <w:r>
        <w:rPr>
          <w:color w:val="231F1F"/>
          <w:spacing w:val="61"/>
          <w:sz w:val="22"/>
        </w:rPr>
        <w:t> </w:t>
      </w:r>
      <w:r>
        <w:rPr>
          <w:color w:val="231F1F"/>
          <w:sz w:val="22"/>
        </w:rPr>
        <w:t>transitorio</w:t>
      </w:r>
      <w:r>
        <w:rPr>
          <w:color w:val="231F1F"/>
          <w:spacing w:val="63"/>
          <w:sz w:val="22"/>
        </w:rPr>
        <w:t> </w:t>
      </w:r>
      <w:r>
        <w:rPr>
          <w:color w:val="231F1F"/>
          <w:sz w:val="22"/>
        </w:rPr>
        <w:t>secundario</w:t>
      </w:r>
      <w:r>
        <w:rPr>
          <w:color w:val="231F1F"/>
          <w:spacing w:val="65"/>
          <w:sz w:val="22"/>
        </w:rPr>
        <w:t> </w:t>
      </w:r>
      <w:r>
        <w:rPr>
          <w:color w:val="231F1F"/>
          <w:spacing w:val="-2"/>
          <w:sz w:val="22"/>
        </w:rPr>
        <w:t>prolongado.</w:t>
      </w:r>
    </w:p>
    <w:p>
      <w:pPr>
        <w:pStyle w:val="ListParagraph"/>
        <w:numPr>
          <w:ilvl w:val="0"/>
          <w:numId w:val="105"/>
        </w:numPr>
        <w:tabs>
          <w:tab w:pos="959" w:val="left" w:leader="none"/>
        </w:tabs>
        <w:spacing w:line="240" w:lineRule="auto" w:before="150" w:after="0"/>
        <w:ind w:left="959" w:right="0" w:hanging="224"/>
        <w:jc w:val="left"/>
        <w:rPr>
          <w:sz w:val="22"/>
        </w:rPr>
      </w:pPr>
      <w:r>
        <w:rPr>
          <w:color w:val="231F1F"/>
          <w:w w:val="105"/>
          <w:sz w:val="22"/>
        </w:rPr>
        <w:t>Deceleración</w:t>
      </w:r>
      <w:r>
        <w:rPr>
          <w:color w:val="231F1F"/>
          <w:spacing w:val="17"/>
          <w:w w:val="105"/>
          <w:sz w:val="22"/>
        </w:rPr>
        <w:t> </w:t>
      </w:r>
      <w:r>
        <w:rPr>
          <w:color w:val="231F1F"/>
          <w:spacing w:val="-2"/>
          <w:w w:val="105"/>
          <w:sz w:val="22"/>
        </w:rPr>
        <w:t>bifásica.</w:t>
      </w:r>
    </w:p>
    <w:p>
      <w:pPr>
        <w:pStyle w:val="ListParagraph"/>
        <w:numPr>
          <w:ilvl w:val="0"/>
          <w:numId w:val="105"/>
        </w:numPr>
        <w:tabs>
          <w:tab w:pos="959" w:val="left" w:leader="none"/>
        </w:tabs>
        <w:spacing w:line="240" w:lineRule="auto" w:before="146" w:after="0"/>
        <w:ind w:left="959" w:right="0" w:hanging="224"/>
        <w:jc w:val="left"/>
        <w:rPr>
          <w:sz w:val="22"/>
        </w:rPr>
      </w:pPr>
      <w:r>
        <w:rPr>
          <w:color w:val="231F1F"/>
          <w:w w:val="110"/>
          <w:sz w:val="22"/>
        </w:rPr>
        <w:t>Pérdida</w:t>
      </w:r>
      <w:r>
        <w:rPr>
          <w:color w:val="231F1F"/>
          <w:spacing w:val="-14"/>
          <w:w w:val="110"/>
          <w:sz w:val="22"/>
        </w:rPr>
        <w:t> </w:t>
      </w:r>
      <w:r>
        <w:rPr>
          <w:color w:val="231F1F"/>
          <w:w w:val="110"/>
          <w:sz w:val="22"/>
        </w:rPr>
        <w:t>de</w:t>
      </w:r>
      <w:r>
        <w:rPr>
          <w:color w:val="231F1F"/>
          <w:spacing w:val="-13"/>
          <w:w w:val="110"/>
          <w:sz w:val="22"/>
        </w:rPr>
        <w:t> </w:t>
      </w:r>
      <w:r>
        <w:rPr>
          <w:color w:val="231F1F"/>
          <w:w w:val="110"/>
          <w:sz w:val="22"/>
        </w:rPr>
        <w:t>la</w:t>
      </w:r>
      <w:r>
        <w:rPr>
          <w:color w:val="231F1F"/>
          <w:spacing w:val="-13"/>
          <w:w w:val="110"/>
          <w:sz w:val="22"/>
        </w:rPr>
        <w:t> </w:t>
      </w:r>
      <w:r>
        <w:rPr>
          <w:color w:val="231F1F"/>
          <w:w w:val="110"/>
          <w:sz w:val="22"/>
        </w:rPr>
        <w:t>variabilidad</w:t>
      </w:r>
      <w:r>
        <w:rPr>
          <w:color w:val="231F1F"/>
          <w:spacing w:val="-14"/>
          <w:w w:val="110"/>
          <w:sz w:val="22"/>
        </w:rPr>
        <w:t> </w:t>
      </w:r>
      <w:r>
        <w:rPr>
          <w:color w:val="231F1F"/>
          <w:w w:val="110"/>
          <w:sz w:val="22"/>
        </w:rPr>
        <w:t>durante</w:t>
      </w:r>
      <w:r>
        <w:rPr>
          <w:color w:val="231F1F"/>
          <w:spacing w:val="-13"/>
          <w:w w:val="110"/>
          <w:sz w:val="22"/>
        </w:rPr>
        <w:t> </w:t>
      </w:r>
      <w:r>
        <w:rPr>
          <w:color w:val="231F1F"/>
          <w:w w:val="110"/>
          <w:sz w:val="22"/>
        </w:rPr>
        <w:t>la</w:t>
      </w:r>
      <w:r>
        <w:rPr>
          <w:color w:val="231F1F"/>
          <w:spacing w:val="-13"/>
          <w:w w:val="110"/>
          <w:sz w:val="22"/>
        </w:rPr>
        <w:t> </w:t>
      </w:r>
      <w:r>
        <w:rPr>
          <w:color w:val="231F1F"/>
          <w:spacing w:val="-2"/>
          <w:w w:val="110"/>
          <w:sz w:val="22"/>
        </w:rPr>
        <w:t>deceleración.</w:t>
      </w:r>
    </w:p>
    <w:p>
      <w:pPr>
        <w:pStyle w:val="ListParagraph"/>
        <w:numPr>
          <w:ilvl w:val="0"/>
          <w:numId w:val="105"/>
        </w:numPr>
        <w:tabs>
          <w:tab w:pos="959" w:val="left" w:leader="none"/>
        </w:tabs>
        <w:spacing w:line="240" w:lineRule="auto" w:before="150" w:after="0"/>
        <w:ind w:left="959" w:right="0" w:hanging="224"/>
        <w:jc w:val="left"/>
        <w:rPr>
          <w:sz w:val="22"/>
        </w:rPr>
      </w:pPr>
      <w:r>
        <w:rPr>
          <w:color w:val="231F1F"/>
          <w:sz w:val="22"/>
        </w:rPr>
        <w:t>Continuación</w:t>
      </w:r>
      <w:r>
        <w:rPr>
          <w:color w:val="231F1F"/>
          <w:spacing w:val="30"/>
          <w:sz w:val="22"/>
        </w:rPr>
        <w:t> </w:t>
      </w:r>
      <w:r>
        <w:rPr>
          <w:color w:val="231F1F"/>
          <w:sz w:val="22"/>
        </w:rPr>
        <w:t>posterior</w:t>
      </w:r>
      <w:r>
        <w:rPr>
          <w:color w:val="231F1F"/>
          <w:spacing w:val="32"/>
          <w:sz w:val="22"/>
        </w:rPr>
        <w:t> </w:t>
      </w:r>
      <w:r>
        <w:rPr>
          <w:color w:val="231F1F"/>
          <w:sz w:val="22"/>
        </w:rPr>
        <w:t>de</w:t>
      </w:r>
      <w:r>
        <w:rPr>
          <w:color w:val="231F1F"/>
          <w:spacing w:val="31"/>
          <w:sz w:val="22"/>
        </w:rPr>
        <w:t> </w:t>
      </w:r>
      <w:r>
        <w:rPr>
          <w:color w:val="231F1F"/>
          <w:sz w:val="22"/>
        </w:rPr>
        <w:t>la</w:t>
      </w:r>
      <w:r>
        <w:rPr>
          <w:color w:val="231F1F"/>
          <w:spacing w:val="32"/>
          <w:sz w:val="22"/>
        </w:rPr>
        <w:t> </w:t>
      </w:r>
      <w:r>
        <w:rPr>
          <w:color w:val="231F1F"/>
          <w:sz w:val="22"/>
        </w:rPr>
        <w:t>línea</w:t>
      </w:r>
      <w:r>
        <w:rPr>
          <w:color w:val="231F1F"/>
          <w:spacing w:val="32"/>
          <w:sz w:val="22"/>
        </w:rPr>
        <w:t> </w:t>
      </w:r>
      <w:r>
        <w:rPr>
          <w:color w:val="231F1F"/>
          <w:sz w:val="22"/>
        </w:rPr>
        <w:t>de</w:t>
      </w:r>
      <w:r>
        <w:rPr>
          <w:color w:val="231F1F"/>
          <w:spacing w:val="31"/>
          <w:sz w:val="22"/>
        </w:rPr>
        <w:t> </w:t>
      </w:r>
      <w:r>
        <w:rPr>
          <w:color w:val="231F1F"/>
          <w:sz w:val="22"/>
        </w:rPr>
        <w:t>base</w:t>
      </w:r>
      <w:r>
        <w:rPr>
          <w:color w:val="231F1F"/>
          <w:spacing w:val="32"/>
          <w:sz w:val="22"/>
        </w:rPr>
        <w:t> </w:t>
      </w:r>
      <w:r>
        <w:rPr>
          <w:color w:val="231F1F"/>
          <w:sz w:val="22"/>
        </w:rPr>
        <w:t>a</w:t>
      </w:r>
      <w:r>
        <w:rPr>
          <w:color w:val="231F1F"/>
          <w:spacing w:val="31"/>
          <w:sz w:val="22"/>
        </w:rPr>
        <w:t> </w:t>
      </w:r>
      <w:r>
        <w:rPr>
          <w:color w:val="231F1F"/>
          <w:sz w:val="22"/>
        </w:rPr>
        <w:t>un</w:t>
      </w:r>
      <w:r>
        <w:rPr>
          <w:color w:val="231F1F"/>
          <w:spacing w:val="32"/>
          <w:sz w:val="22"/>
        </w:rPr>
        <w:t> </w:t>
      </w:r>
      <w:r>
        <w:rPr>
          <w:color w:val="231F1F"/>
          <w:sz w:val="22"/>
        </w:rPr>
        <w:t>nivel</w:t>
      </w:r>
      <w:r>
        <w:rPr>
          <w:color w:val="231F1F"/>
          <w:spacing w:val="28"/>
          <w:sz w:val="22"/>
        </w:rPr>
        <w:t> </w:t>
      </w:r>
      <w:r>
        <w:rPr>
          <w:color w:val="231F1F"/>
          <w:sz w:val="22"/>
        </w:rPr>
        <w:t>más</w:t>
      </w:r>
      <w:r>
        <w:rPr>
          <w:color w:val="231F1F"/>
          <w:spacing w:val="31"/>
          <w:sz w:val="22"/>
        </w:rPr>
        <w:t> </w:t>
      </w:r>
      <w:r>
        <w:rPr>
          <w:color w:val="231F1F"/>
          <w:spacing w:val="-4"/>
          <w:sz w:val="22"/>
        </w:rPr>
        <w:t>bajo</w:t>
      </w:r>
    </w:p>
    <w:p>
      <w:pPr>
        <w:pStyle w:val="ListParagraph"/>
        <w:spacing w:after="0" w:line="240" w:lineRule="auto"/>
        <w:jc w:val="left"/>
        <w:rPr>
          <w:sz w:val="22"/>
        </w:rPr>
        <w:sectPr>
          <w:pgSz w:w="11900" w:h="16840"/>
          <w:pgMar w:header="0" w:footer="622" w:top="1580" w:bottom="820" w:left="1417" w:right="1559"/>
        </w:sectPr>
      </w:pPr>
    </w:p>
    <w:p>
      <w:pPr>
        <w:pStyle w:val="Heading2"/>
        <w:spacing w:before="73"/>
        <w:ind w:left="282" w:firstLine="0"/>
      </w:pPr>
      <w:r>
        <w:rPr>
          <w:color w:val="231F1F"/>
        </w:rPr>
        <w:t>Anexo</w:t>
      </w:r>
      <w:r>
        <w:rPr>
          <w:color w:val="231F1F"/>
          <w:spacing w:val="45"/>
        </w:rPr>
        <w:t> </w:t>
      </w:r>
      <w:r>
        <w:rPr>
          <w:color w:val="231F1F"/>
        </w:rPr>
        <w:t>14.</w:t>
      </w:r>
      <w:r>
        <w:rPr>
          <w:color w:val="231F1F"/>
          <w:spacing w:val="38"/>
        </w:rPr>
        <w:t>  </w:t>
      </w:r>
      <w:r>
        <w:rPr>
          <w:color w:val="231F1F"/>
        </w:rPr>
        <w:t>Declaración</w:t>
      </w:r>
      <w:r>
        <w:rPr>
          <w:color w:val="231F1F"/>
          <w:spacing w:val="47"/>
        </w:rPr>
        <w:t> </w:t>
      </w:r>
      <w:r>
        <w:rPr>
          <w:color w:val="231F1F"/>
        </w:rPr>
        <w:t>de</w:t>
      </w:r>
      <w:r>
        <w:rPr>
          <w:color w:val="231F1F"/>
          <w:spacing w:val="48"/>
        </w:rPr>
        <w:t> </w:t>
      </w:r>
      <w:r>
        <w:rPr>
          <w:color w:val="231F1F"/>
          <w:spacing w:val="-2"/>
        </w:rPr>
        <w:t>interés</w:t>
      </w:r>
    </w:p>
    <w:p>
      <w:pPr>
        <w:pStyle w:val="BodyText"/>
        <w:spacing w:before="274"/>
        <w:ind w:left="283"/>
      </w:pPr>
      <w:r>
        <w:rPr>
          <w:color w:val="231F1F"/>
        </w:rPr>
        <w:t>Han</w:t>
      </w:r>
      <w:r>
        <w:rPr>
          <w:color w:val="231F1F"/>
          <w:spacing w:val="29"/>
        </w:rPr>
        <w:t> </w:t>
      </w:r>
      <w:r>
        <w:rPr>
          <w:color w:val="231F1F"/>
        </w:rPr>
        <w:t>declarado</w:t>
      </w:r>
      <w:r>
        <w:rPr>
          <w:color w:val="231F1F"/>
          <w:spacing w:val="33"/>
        </w:rPr>
        <w:t> </w:t>
      </w:r>
      <w:r>
        <w:rPr>
          <w:color w:val="231F1F"/>
        </w:rPr>
        <w:t>ausencia</w:t>
      </w:r>
      <w:r>
        <w:rPr>
          <w:color w:val="231F1F"/>
          <w:spacing w:val="33"/>
        </w:rPr>
        <w:t> </w:t>
      </w:r>
      <w:r>
        <w:rPr>
          <w:color w:val="231F1F"/>
        </w:rPr>
        <w:t>de</w:t>
      </w:r>
      <w:r>
        <w:rPr>
          <w:color w:val="231F1F"/>
          <w:spacing w:val="33"/>
        </w:rPr>
        <w:t> </w:t>
      </w:r>
      <w:r>
        <w:rPr>
          <w:color w:val="231F1F"/>
        </w:rPr>
        <w:t>conflictos</w:t>
      </w:r>
      <w:r>
        <w:rPr>
          <w:color w:val="231F1F"/>
          <w:spacing w:val="33"/>
        </w:rPr>
        <w:t> </w:t>
      </w:r>
      <w:r>
        <w:rPr>
          <w:color w:val="231F1F"/>
        </w:rPr>
        <w:t>de</w:t>
      </w:r>
      <w:r>
        <w:rPr>
          <w:color w:val="231F1F"/>
          <w:spacing w:val="33"/>
        </w:rPr>
        <w:t> </w:t>
      </w:r>
      <w:r>
        <w:rPr>
          <w:color w:val="231F1F"/>
        </w:rPr>
        <w:t>interés</w:t>
      </w:r>
      <w:r>
        <w:rPr>
          <w:color w:val="231F1F"/>
          <w:spacing w:val="34"/>
        </w:rPr>
        <w:t> </w:t>
      </w:r>
      <w:r>
        <w:rPr>
          <w:color w:val="231F1F"/>
        </w:rPr>
        <w:t>las</w:t>
      </w:r>
      <w:r>
        <w:rPr>
          <w:color w:val="231F1F"/>
          <w:spacing w:val="33"/>
        </w:rPr>
        <w:t> </w:t>
      </w:r>
      <w:r>
        <w:rPr>
          <w:color w:val="231F1F"/>
        </w:rPr>
        <w:t>siguientes</w:t>
      </w:r>
      <w:r>
        <w:rPr>
          <w:color w:val="231F1F"/>
          <w:spacing w:val="35"/>
        </w:rPr>
        <w:t> </w:t>
      </w:r>
      <w:r>
        <w:rPr>
          <w:color w:val="231F1F"/>
          <w:spacing w:val="-2"/>
        </w:rPr>
        <w:t>personas:</w:t>
      </w:r>
    </w:p>
    <w:p>
      <w:pPr>
        <w:pStyle w:val="BodyText"/>
        <w:spacing w:line="247" w:lineRule="auto" w:before="150"/>
        <w:ind w:left="283" w:right="111" w:firstLine="453"/>
        <w:jc w:val="both"/>
      </w:pPr>
      <w:r>
        <w:rPr>
          <w:color w:val="231F1F"/>
          <w:w w:val="110"/>
        </w:rPr>
        <w:t>Idoia</w:t>
      </w:r>
      <w:r>
        <w:rPr>
          <w:color w:val="231F1F"/>
          <w:spacing w:val="-8"/>
          <w:w w:val="110"/>
        </w:rPr>
        <w:t> </w:t>
      </w:r>
      <w:r>
        <w:rPr>
          <w:color w:val="231F1F"/>
          <w:w w:val="110"/>
        </w:rPr>
        <w:t>Armendariz</w:t>
      </w:r>
      <w:r>
        <w:rPr>
          <w:color w:val="231F1F"/>
          <w:spacing w:val="-9"/>
          <w:w w:val="110"/>
        </w:rPr>
        <w:t> </w:t>
      </w:r>
      <w:r>
        <w:rPr>
          <w:color w:val="231F1F"/>
          <w:w w:val="110"/>
        </w:rPr>
        <w:t>Mántaras,</w:t>
      </w:r>
      <w:r>
        <w:rPr>
          <w:color w:val="231F1F"/>
          <w:spacing w:val="-11"/>
          <w:w w:val="110"/>
        </w:rPr>
        <w:t> </w:t>
      </w:r>
      <w:r>
        <w:rPr>
          <w:color w:val="231F1F"/>
          <w:w w:val="110"/>
        </w:rPr>
        <w:t>Gerardo</w:t>
      </w:r>
      <w:r>
        <w:rPr>
          <w:color w:val="231F1F"/>
          <w:spacing w:val="-9"/>
          <w:w w:val="110"/>
        </w:rPr>
        <w:t> </w:t>
      </w:r>
      <w:r>
        <w:rPr>
          <w:color w:val="231F1F"/>
          <w:w w:val="110"/>
        </w:rPr>
        <w:t>Atienza</w:t>
      </w:r>
      <w:r>
        <w:rPr>
          <w:color w:val="231F1F"/>
          <w:spacing w:val="-9"/>
          <w:w w:val="110"/>
        </w:rPr>
        <w:t> </w:t>
      </w:r>
      <w:r>
        <w:rPr>
          <w:color w:val="231F1F"/>
          <w:w w:val="110"/>
        </w:rPr>
        <w:t>Merino,</w:t>
      </w:r>
      <w:r>
        <w:rPr>
          <w:color w:val="231F1F"/>
          <w:spacing w:val="-10"/>
          <w:w w:val="110"/>
        </w:rPr>
        <w:t> </w:t>
      </w:r>
      <w:r>
        <w:rPr>
          <w:color w:val="231F1F"/>
          <w:w w:val="110"/>
        </w:rPr>
        <w:t>M.ª</w:t>
      </w:r>
      <w:r>
        <w:rPr>
          <w:color w:val="231F1F"/>
          <w:spacing w:val="-10"/>
          <w:w w:val="110"/>
        </w:rPr>
        <w:t> </w:t>
      </w:r>
      <w:r>
        <w:rPr>
          <w:color w:val="231F1F"/>
          <w:w w:val="110"/>
        </w:rPr>
        <w:t>Pilar</w:t>
      </w:r>
      <w:r>
        <w:rPr>
          <w:color w:val="231F1F"/>
          <w:spacing w:val="-9"/>
          <w:w w:val="110"/>
        </w:rPr>
        <w:t> </w:t>
      </w:r>
      <w:r>
        <w:rPr>
          <w:color w:val="231F1F"/>
          <w:w w:val="110"/>
        </w:rPr>
        <w:t>de</w:t>
      </w:r>
      <w:r>
        <w:rPr>
          <w:color w:val="231F1F"/>
          <w:spacing w:val="-9"/>
          <w:w w:val="110"/>
        </w:rPr>
        <w:t> </w:t>
      </w:r>
      <w:r>
        <w:rPr>
          <w:color w:val="231F1F"/>
          <w:w w:val="110"/>
        </w:rPr>
        <w:t>la</w:t>
      </w:r>
      <w:r>
        <w:rPr>
          <w:color w:val="231F1F"/>
          <w:spacing w:val="-9"/>
          <w:w w:val="110"/>
        </w:rPr>
        <w:t> </w:t>
      </w:r>
      <w:r>
        <w:rPr>
          <w:color w:val="231F1F"/>
          <w:w w:val="110"/>
        </w:rPr>
        <w:t>Cueva</w:t>
      </w:r>
      <w:r>
        <w:rPr>
          <w:color w:val="231F1F"/>
          <w:spacing w:val="-9"/>
          <w:w w:val="110"/>
        </w:rPr>
        <w:t> </w:t>
      </w:r>
      <w:r>
        <w:rPr>
          <w:color w:val="231F1F"/>
          <w:w w:val="110"/>
        </w:rPr>
        <w:t>Barrao, Jose</w:t>
      </w:r>
      <w:r>
        <w:rPr>
          <w:color w:val="231F1F"/>
          <w:w w:val="110"/>
        </w:rPr>
        <w:t> Luis</w:t>
      </w:r>
      <w:r>
        <w:rPr>
          <w:color w:val="231F1F"/>
          <w:w w:val="110"/>
        </w:rPr>
        <w:t> de</w:t>
      </w:r>
      <w:r>
        <w:rPr>
          <w:color w:val="231F1F"/>
          <w:w w:val="110"/>
        </w:rPr>
        <w:t> Pablo</w:t>
      </w:r>
      <w:r>
        <w:rPr>
          <w:color w:val="231F1F"/>
          <w:w w:val="110"/>
        </w:rPr>
        <w:t> Lozano,Itziar</w:t>
      </w:r>
      <w:r>
        <w:rPr>
          <w:color w:val="231F1F"/>
          <w:w w:val="110"/>
        </w:rPr>
        <w:t> Etxeandia</w:t>
      </w:r>
      <w:r>
        <w:rPr>
          <w:color w:val="231F1F"/>
          <w:w w:val="110"/>
        </w:rPr>
        <w:t> Ikobaltzeta,</w:t>
      </w:r>
      <w:r>
        <w:rPr>
          <w:color w:val="231F1F"/>
          <w:w w:val="110"/>
        </w:rPr>
        <w:t> Marian</w:t>
      </w:r>
      <w:r>
        <w:rPr>
          <w:color w:val="231F1F"/>
          <w:w w:val="110"/>
        </w:rPr>
        <w:t> Fernández</w:t>
      </w:r>
      <w:r>
        <w:rPr>
          <w:color w:val="231F1F"/>
          <w:w w:val="110"/>
        </w:rPr>
        <w:t> Bao,</w:t>
      </w:r>
      <w:r>
        <w:rPr>
          <w:color w:val="231F1F"/>
          <w:w w:val="110"/>
        </w:rPr>
        <w:t> Luis Fernández-Llebrez</w:t>
      </w:r>
      <w:r>
        <w:rPr>
          <w:color w:val="231F1F"/>
          <w:spacing w:val="-15"/>
          <w:w w:val="110"/>
        </w:rPr>
        <w:t> </w:t>
      </w:r>
      <w:r>
        <w:rPr>
          <w:color w:val="231F1F"/>
          <w:w w:val="110"/>
        </w:rPr>
        <w:t>del</w:t>
      </w:r>
      <w:r>
        <w:rPr>
          <w:color w:val="231F1F"/>
          <w:spacing w:val="-14"/>
          <w:w w:val="110"/>
        </w:rPr>
        <w:t> </w:t>
      </w:r>
      <w:r>
        <w:rPr>
          <w:color w:val="231F1F"/>
          <w:w w:val="110"/>
        </w:rPr>
        <w:t>Rey,</w:t>
      </w:r>
      <w:r>
        <w:rPr>
          <w:color w:val="231F1F"/>
          <w:spacing w:val="-15"/>
          <w:w w:val="110"/>
        </w:rPr>
        <w:t> </w:t>
      </w:r>
      <w:r>
        <w:rPr>
          <w:color w:val="231F1F"/>
          <w:w w:val="110"/>
        </w:rPr>
        <w:t>Isabel</w:t>
      </w:r>
      <w:r>
        <w:rPr>
          <w:color w:val="231F1F"/>
          <w:spacing w:val="-15"/>
          <w:w w:val="110"/>
        </w:rPr>
        <w:t> </w:t>
      </w:r>
      <w:r>
        <w:rPr>
          <w:color w:val="231F1F"/>
          <w:w w:val="110"/>
        </w:rPr>
        <w:t>Fernandez</w:t>
      </w:r>
      <w:r>
        <w:rPr>
          <w:color w:val="231F1F"/>
          <w:spacing w:val="-15"/>
          <w:w w:val="110"/>
        </w:rPr>
        <w:t> </w:t>
      </w:r>
      <w:r>
        <w:rPr>
          <w:color w:val="231F1F"/>
          <w:w w:val="110"/>
        </w:rPr>
        <w:t>del</w:t>
      </w:r>
      <w:r>
        <w:rPr>
          <w:color w:val="231F1F"/>
          <w:spacing w:val="-15"/>
          <w:w w:val="110"/>
        </w:rPr>
        <w:t> </w:t>
      </w:r>
      <w:r>
        <w:rPr>
          <w:color w:val="231F1F"/>
          <w:w w:val="110"/>
        </w:rPr>
        <w:t>Castillo</w:t>
      </w:r>
      <w:r>
        <w:rPr>
          <w:color w:val="231F1F"/>
          <w:spacing w:val="-15"/>
          <w:w w:val="110"/>
        </w:rPr>
        <w:t> </w:t>
      </w:r>
      <w:r>
        <w:rPr>
          <w:color w:val="231F1F"/>
          <w:w w:val="110"/>
        </w:rPr>
        <w:t>Sainz,</w:t>
      </w:r>
      <w:r>
        <w:rPr>
          <w:color w:val="231F1F"/>
          <w:spacing w:val="-15"/>
          <w:w w:val="110"/>
        </w:rPr>
        <w:t> </w:t>
      </w:r>
      <w:r>
        <w:rPr>
          <w:color w:val="231F1F"/>
          <w:w w:val="110"/>
        </w:rPr>
        <w:t>Rosario</w:t>
      </w:r>
      <w:r>
        <w:rPr>
          <w:color w:val="231F1F"/>
          <w:spacing w:val="-14"/>
          <w:w w:val="110"/>
        </w:rPr>
        <w:t> </w:t>
      </w:r>
      <w:r>
        <w:rPr>
          <w:color w:val="231F1F"/>
          <w:w w:val="110"/>
        </w:rPr>
        <w:t>Fernández</w:t>
      </w:r>
      <w:r>
        <w:rPr>
          <w:color w:val="231F1F"/>
          <w:spacing w:val="-15"/>
          <w:w w:val="110"/>
        </w:rPr>
        <w:t> </w:t>
      </w:r>
      <w:r>
        <w:rPr>
          <w:color w:val="231F1F"/>
          <w:w w:val="110"/>
        </w:rPr>
        <w:t>Fon- tanill,</w:t>
      </w:r>
      <w:r>
        <w:rPr>
          <w:color w:val="231F1F"/>
          <w:spacing w:val="-10"/>
          <w:w w:val="110"/>
        </w:rPr>
        <w:t> </w:t>
      </w:r>
      <w:r>
        <w:rPr>
          <w:color w:val="231F1F"/>
          <w:w w:val="110"/>
        </w:rPr>
        <w:t>Manuel</w:t>
      </w:r>
      <w:r>
        <w:rPr>
          <w:color w:val="231F1F"/>
          <w:spacing w:val="-11"/>
          <w:w w:val="110"/>
        </w:rPr>
        <w:t> </w:t>
      </w:r>
      <w:r>
        <w:rPr>
          <w:color w:val="231F1F"/>
          <w:w w:val="110"/>
        </w:rPr>
        <w:t>Fillol</w:t>
      </w:r>
      <w:r>
        <w:rPr>
          <w:color w:val="231F1F"/>
          <w:spacing w:val="-10"/>
          <w:w w:val="110"/>
        </w:rPr>
        <w:t> </w:t>
      </w:r>
      <w:r>
        <w:rPr>
          <w:color w:val="231F1F"/>
          <w:w w:val="110"/>
        </w:rPr>
        <w:t>Crespo,</w:t>
      </w:r>
      <w:r>
        <w:rPr>
          <w:color w:val="231F1F"/>
          <w:spacing w:val="-10"/>
          <w:w w:val="110"/>
        </w:rPr>
        <w:t> </w:t>
      </w:r>
      <w:r>
        <w:rPr>
          <w:color w:val="231F1F"/>
          <w:w w:val="110"/>
        </w:rPr>
        <w:t>José</w:t>
      </w:r>
      <w:r>
        <w:rPr>
          <w:color w:val="231F1F"/>
          <w:spacing w:val="-9"/>
          <w:w w:val="110"/>
        </w:rPr>
        <w:t> </w:t>
      </w:r>
      <w:r>
        <w:rPr>
          <w:color w:val="231F1F"/>
          <w:w w:val="110"/>
        </w:rPr>
        <w:t>Manuel</w:t>
      </w:r>
      <w:r>
        <w:rPr>
          <w:color w:val="231F1F"/>
          <w:spacing w:val="-11"/>
          <w:w w:val="110"/>
        </w:rPr>
        <w:t> </w:t>
      </w:r>
      <w:r>
        <w:rPr>
          <w:color w:val="231F1F"/>
          <w:w w:val="110"/>
        </w:rPr>
        <w:t>García</w:t>
      </w:r>
      <w:r>
        <w:rPr>
          <w:color w:val="231F1F"/>
          <w:spacing w:val="-9"/>
          <w:w w:val="110"/>
        </w:rPr>
        <w:t> </w:t>
      </w:r>
      <w:r>
        <w:rPr>
          <w:color w:val="231F1F"/>
          <w:w w:val="110"/>
        </w:rPr>
        <w:t>Adanez,</w:t>
      </w:r>
      <w:r>
        <w:rPr>
          <w:color w:val="231F1F"/>
          <w:spacing w:val="-10"/>
          <w:w w:val="110"/>
        </w:rPr>
        <w:t> </w:t>
      </w:r>
      <w:r>
        <w:rPr>
          <w:color w:val="231F1F"/>
          <w:w w:val="110"/>
        </w:rPr>
        <w:t>José</w:t>
      </w:r>
      <w:r>
        <w:rPr>
          <w:color w:val="231F1F"/>
          <w:spacing w:val="-9"/>
          <w:w w:val="110"/>
        </w:rPr>
        <w:t> </w:t>
      </w:r>
      <w:r>
        <w:rPr>
          <w:color w:val="231F1F"/>
          <w:w w:val="110"/>
        </w:rPr>
        <w:t>Ángel</w:t>
      </w:r>
      <w:r>
        <w:rPr>
          <w:color w:val="231F1F"/>
          <w:spacing w:val="-10"/>
          <w:w w:val="110"/>
        </w:rPr>
        <w:t> </w:t>
      </w:r>
      <w:r>
        <w:rPr>
          <w:color w:val="231F1F"/>
          <w:w w:val="110"/>
        </w:rPr>
        <w:t>García</w:t>
      </w:r>
      <w:r>
        <w:rPr>
          <w:color w:val="231F1F"/>
          <w:spacing w:val="-9"/>
          <w:w w:val="110"/>
        </w:rPr>
        <w:t> </w:t>
      </w:r>
      <w:r>
        <w:rPr>
          <w:color w:val="231F1F"/>
          <w:w w:val="110"/>
        </w:rPr>
        <w:t>Hernández, Blanca</w:t>
      </w:r>
      <w:r>
        <w:rPr>
          <w:color w:val="231F1F"/>
          <w:spacing w:val="-11"/>
          <w:w w:val="110"/>
        </w:rPr>
        <w:t> </w:t>
      </w:r>
      <w:r>
        <w:rPr>
          <w:color w:val="231F1F"/>
          <w:w w:val="110"/>
        </w:rPr>
        <w:t>Herrera</w:t>
      </w:r>
      <w:r>
        <w:rPr>
          <w:color w:val="231F1F"/>
          <w:spacing w:val="-12"/>
          <w:w w:val="110"/>
        </w:rPr>
        <w:t> </w:t>
      </w:r>
      <w:r>
        <w:rPr>
          <w:color w:val="231F1F"/>
          <w:w w:val="110"/>
        </w:rPr>
        <w:t>Cabrerizo,</w:t>
      </w:r>
      <w:r>
        <w:rPr>
          <w:color w:val="231F1F"/>
          <w:spacing w:val="-12"/>
          <w:w w:val="110"/>
        </w:rPr>
        <w:t> </w:t>
      </w:r>
      <w:r>
        <w:rPr>
          <w:color w:val="231F1F"/>
          <w:w w:val="110"/>
        </w:rPr>
        <w:t>Raquel</w:t>
      </w:r>
      <w:r>
        <w:rPr>
          <w:color w:val="231F1F"/>
          <w:spacing w:val="-12"/>
          <w:w w:val="110"/>
        </w:rPr>
        <w:t> </w:t>
      </w:r>
      <w:r>
        <w:rPr>
          <w:color w:val="231F1F"/>
          <w:w w:val="110"/>
        </w:rPr>
        <w:t>Jiménez</w:t>
      </w:r>
      <w:r>
        <w:rPr>
          <w:color w:val="231F1F"/>
          <w:spacing w:val="-12"/>
          <w:w w:val="110"/>
        </w:rPr>
        <w:t> </w:t>
      </w:r>
      <w:r>
        <w:rPr>
          <w:color w:val="231F1F"/>
          <w:w w:val="110"/>
        </w:rPr>
        <w:t>Calahorra,</w:t>
      </w:r>
      <w:r>
        <w:rPr>
          <w:color w:val="231F1F"/>
          <w:spacing w:val="-12"/>
          <w:w w:val="110"/>
        </w:rPr>
        <w:t> </w:t>
      </w:r>
      <w:r>
        <w:rPr>
          <w:color w:val="231F1F"/>
          <w:w w:val="110"/>
        </w:rPr>
        <w:t>María</w:t>
      </w:r>
      <w:r>
        <w:rPr>
          <w:color w:val="231F1F"/>
          <w:spacing w:val="-12"/>
          <w:w w:val="110"/>
        </w:rPr>
        <w:t> </w:t>
      </w:r>
      <w:r>
        <w:rPr>
          <w:color w:val="231F1F"/>
          <w:w w:val="110"/>
        </w:rPr>
        <w:t>del</w:t>
      </w:r>
      <w:r>
        <w:rPr>
          <w:color w:val="231F1F"/>
          <w:spacing w:val="-12"/>
          <w:w w:val="110"/>
        </w:rPr>
        <w:t> </w:t>
      </w:r>
      <w:r>
        <w:rPr>
          <w:color w:val="231F1F"/>
          <w:w w:val="110"/>
        </w:rPr>
        <w:t>Carmen</w:t>
      </w:r>
      <w:r>
        <w:rPr>
          <w:color w:val="231F1F"/>
          <w:spacing w:val="-11"/>
          <w:w w:val="110"/>
        </w:rPr>
        <w:t> </w:t>
      </w:r>
      <w:r>
        <w:rPr>
          <w:color w:val="231F1F"/>
          <w:w w:val="110"/>
        </w:rPr>
        <w:t>Maceira</w:t>
      </w:r>
      <w:r>
        <w:rPr>
          <w:color w:val="231F1F"/>
          <w:spacing w:val="-12"/>
          <w:w w:val="110"/>
        </w:rPr>
        <w:t> </w:t>
      </w:r>
      <w:r>
        <w:rPr>
          <w:color w:val="231F1F"/>
          <w:w w:val="110"/>
        </w:rPr>
        <w:t>Rozas, Juan</w:t>
      </w:r>
      <w:r>
        <w:rPr>
          <w:color w:val="231F1F"/>
          <w:spacing w:val="-1"/>
          <w:w w:val="110"/>
        </w:rPr>
        <w:t> </w:t>
      </w:r>
      <w:r>
        <w:rPr>
          <w:color w:val="231F1F"/>
          <w:w w:val="110"/>
        </w:rPr>
        <w:t>Carlos</w:t>
      </w:r>
      <w:r>
        <w:rPr>
          <w:color w:val="231F1F"/>
          <w:spacing w:val="-2"/>
          <w:w w:val="110"/>
        </w:rPr>
        <w:t> </w:t>
      </w:r>
      <w:r>
        <w:rPr>
          <w:color w:val="231F1F"/>
          <w:w w:val="110"/>
        </w:rPr>
        <w:t>Melchor</w:t>
      </w:r>
      <w:r>
        <w:rPr>
          <w:color w:val="231F1F"/>
          <w:spacing w:val="-2"/>
          <w:w w:val="110"/>
        </w:rPr>
        <w:t> </w:t>
      </w:r>
      <w:r>
        <w:rPr>
          <w:color w:val="231F1F"/>
          <w:w w:val="110"/>
        </w:rPr>
        <w:t>Marcos,</w:t>
      </w:r>
      <w:r>
        <w:rPr>
          <w:color w:val="231F1F"/>
          <w:spacing w:val="-3"/>
          <w:w w:val="110"/>
        </w:rPr>
        <w:t> </w:t>
      </w:r>
      <w:r>
        <w:rPr>
          <w:color w:val="231F1F"/>
          <w:w w:val="110"/>
        </w:rPr>
        <w:t>Juan</w:t>
      </w:r>
      <w:r>
        <w:rPr>
          <w:color w:val="231F1F"/>
          <w:spacing w:val="-1"/>
          <w:w w:val="110"/>
        </w:rPr>
        <w:t> </w:t>
      </w:r>
      <w:r>
        <w:rPr>
          <w:color w:val="231F1F"/>
          <w:w w:val="110"/>
        </w:rPr>
        <w:t>Manuel</w:t>
      </w:r>
      <w:r>
        <w:rPr>
          <w:color w:val="231F1F"/>
          <w:spacing w:val="-3"/>
          <w:w w:val="110"/>
        </w:rPr>
        <w:t> </w:t>
      </w:r>
      <w:r>
        <w:rPr>
          <w:color w:val="231F1F"/>
          <w:w w:val="110"/>
        </w:rPr>
        <w:t>Odriozala</w:t>
      </w:r>
      <w:r>
        <w:rPr>
          <w:color w:val="231F1F"/>
          <w:spacing w:val="-1"/>
          <w:w w:val="110"/>
        </w:rPr>
        <w:t> </w:t>
      </w:r>
      <w:r>
        <w:rPr>
          <w:color w:val="231F1F"/>
          <w:w w:val="110"/>
        </w:rPr>
        <w:t>Feu,</w:t>
      </w:r>
      <w:r>
        <w:rPr>
          <w:color w:val="231F1F"/>
          <w:spacing w:val="-2"/>
          <w:w w:val="110"/>
        </w:rPr>
        <w:t> </w:t>
      </w:r>
      <w:r>
        <w:rPr>
          <w:color w:val="231F1F"/>
          <w:w w:val="110"/>
        </w:rPr>
        <w:t>José</w:t>
      </w:r>
      <w:r>
        <w:rPr>
          <w:color w:val="231F1F"/>
          <w:spacing w:val="-1"/>
          <w:w w:val="110"/>
        </w:rPr>
        <w:t> </w:t>
      </w:r>
      <w:r>
        <w:rPr>
          <w:color w:val="231F1F"/>
          <w:w w:val="110"/>
        </w:rPr>
        <w:t>María</w:t>
      </w:r>
      <w:r>
        <w:rPr>
          <w:color w:val="231F1F"/>
          <w:spacing w:val="-2"/>
          <w:w w:val="110"/>
        </w:rPr>
        <w:t> </w:t>
      </w:r>
      <w:r>
        <w:rPr>
          <w:color w:val="231F1F"/>
          <w:w w:val="110"/>
        </w:rPr>
        <w:t>Paricio</w:t>
      </w:r>
      <w:r>
        <w:rPr>
          <w:color w:val="231F1F"/>
          <w:spacing w:val="-1"/>
          <w:w w:val="110"/>
        </w:rPr>
        <w:t> </w:t>
      </w:r>
      <w:r>
        <w:rPr>
          <w:color w:val="231F1F"/>
          <w:w w:val="110"/>
        </w:rPr>
        <w:t>Talayero, </w:t>
      </w:r>
      <w:r>
        <w:rPr>
          <w:color w:val="231F1F"/>
          <w:spacing w:val="-2"/>
          <w:w w:val="110"/>
        </w:rPr>
        <w:t>Yolanda</w:t>
      </w:r>
      <w:r>
        <w:rPr>
          <w:color w:val="231F1F"/>
          <w:spacing w:val="-10"/>
          <w:w w:val="110"/>
        </w:rPr>
        <w:t> </w:t>
      </w:r>
      <w:r>
        <w:rPr>
          <w:color w:val="231F1F"/>
          <w:spacing w:val="-2"/>
          <w:w w:val="110"/>
        </w:rPr>
        <w:t>Olivares</w:t>
      </w:r>
      <w:r>
        <w:rPr>
          <w:color w:val="231F1F"/>
          <w:spacing w:val="-11"/>
          <w:w w:val="110"/>
        </w:rPr>
        <w:t> </w:t>
      </w:r>
      <w:r>
        <w:rPr>
          <w:color w:val="231F1F"/>
          <w:spacing w:val="-2"/>
          <w:w w:val="110"/>
        </w:rPr>
        <w:t>Saralegui,</w:t>
      </w:r>
      <w:r>
        <w:rPr>
          <w:color w:val="231F1F"/>
          <w:spacing w:val="-11"/>
          <w:w w:val="110"/>
        </w:rPr>
        <w:t> </w:t>
      </w:r>
      <w:r>
        <w:rPr>
          <w:color w:val="231F1F"/>
          <w:spacing w:val="-2"/>
          <w:w w:val="110"/>
        </w:rPr>
        <w:t>Alberto</w:t>
      </w:r>
      <w:r>
        <w:rPr>
          <w:color w:val="231F1F"/>
          <w:spacing w:val="-11"/>
          <w:w w:val="110"/>
        </w:rPr>
        <w:t> </w:t>
      </w:r>
      <w:r>
        <w:rPr>
          <w:color w:val="231F1F"/>
          <w:spacing w:val="-2"/>
          <w:w w:val="110"/>
        </w:rPr>
        <w:t>Puertas</w:t>
      </w:r>
      <w:r>
        <w:rPr>
          <w:color w:val="231F1F"/>
          <w:spacing w:val="-11"/>
          <w:w w:val="110"/>
        </w:rPr>
        <w:t> </w:t>
      </w:r>
      <w:r>
        <w:rPr>
          <w:color w:val="231F1F"/>
          <w:spacing w:val="-2"/>
          <w:w w:val="110"/>
        </w:rPr>
        <w:t>Prieto,</w:t>
      </w:r>
      <w:r>
        <w:rPr>
          <w:color w:val="231F1F"/>
          <w:spacing w:val="-11"/>
          <w:w w:val="110"/>
        </w:rPr>
        <w:t> </w:t>
      </w:r>
      <w:r>
        <w:rPr>
          <w:color w:val="231F1F"/>
          <w:spacing w:val="-2"/>
          <w:w w:val="110"/>
        </w:rPr>
        <w:t>Charo</w:t>
      </w:r>
      <w:r>
        <w:rPr>
          <w:color w:val="231F1F"/>
          <w:spacing w:val="-10"/>
          <w:w w:val="110"/>
        </w:rPr>
        <w:t> </w:t>
      </w:r>
      <w:r>
        <w:rPr>
          <w:color w:val="231F1F"/>
          <w:spacing w:val="-2"/>
          <w:w w:val="110"/>
        </w:rPr>
        <w:t>Quintana</w:t>
      </w:r>
      <w:r>
        <w:rPr>
          <w:color w:val="231F1F"/>
          <w:spacing w:val="-11"/>
          <w:w w:val="110"/>
        </w:rPr>
        <w:t> </w:t>
      </w:r>
      <w:r>
        <w:rPr>
          <w:color w:val="231F1F"/>
          <w:spacing w:val="-2"/>
          <w:w w:val="110"/>
        </w:rPr>
        <w:t>Pantaleón,</w:t>
      </w:r>
      <w:r>
        <w:rPr>
          <w:color w:val="231F1F"/>
          <w:spacing w:val="-11"/>
          <w:w w:val="110"/>
        </w:rPr>
        <w:t> </w:t>
      </w:r>
      <w:r>
        <w:rPr>
          <w:color w:val="231F1F"/>
          <w:spacing w:val="-2"/>
          <w:w w:val="110"/>
        </w:rPr>
        <w:t>Rosa</w:t>
      </w:r>
      <w:r>
        <w:rPr>
          <w:color w:val="231F1F"/>
          <w:spacing w:val="-10"/>
          <w:w w:val="110"/>
        </w:rPr>
        <w:t> </w:t>
      </w:r>
      <w:r>
        <w:rPr>
          <w:color w:val="231F1F"/>
          <w:spacing w:val="-2"/>
          <w:w w:val="110"/>
        </w:rPr>
        <w:t>Rico </w:t>
      </w:r>
      <w:r>
        <w:rPr>
          <w:color w:val="231F1F"/>
          <w:w w:val="110"/>
        </w:rPr>
        <w:t>Iturrioz,</w:t>
      </w:r>
      <w:r>
        <w:rPr>
          <w:color w:val="231F1F"/>
          <w:spacing w:val="-16"/>
          <w:w w:val="110"/>
        </w:rPr>
        <w:t> </w:t>
      </w:r>
      <w:r>
        <w:rPr>
          <w:color w:val="231F1F"/>
          <w:w w:val="110"/>
        </w:rPr>
        <w:t>Justino</w:t>
      </w:r>
      <w:r>
        <w:rPr>
          <w:color w:val="231F1F"/>
          <w:spacing w:val="-15"/>
          <w:w w:val="110"/>
        </w:rPr>
        <w:t> </w:t>
      </w:r>
      <w:r>
        <w:rPr>
          <w:color w:val="231F1F"/>
          <w:w w:val="110"/>
        </w:rPr>
        <w:t>Rodríguez</w:t>
      </w:r>
      <w:r>
        <w:rPr>
          <w:color w:val="231F1F"/>
          <w:spacing w:val="-15"/>
          <w:w w:val="110"/>
        </w:rPr>
        <w:t> </w:t>
      </w:r>
      <w:r>
        <w:rPr>
          <w:color w:val="231F1F"/>
          <w:w w:val="110"/>
        </w:rPr>
        <w:t>Alarcón,</w:t>
      </w:r>
      <w:r>
        <w:rPr>
          <w:color w:val="231F1F"/>
          <w:spacing w:val="-15"/>
          <w:w w:val="110"/>
        </w:rPr>
        <w:t> </w:t>
      </w:r>
      <w:r>
        <w:rPr>
          <w:color w:val="231F1F"/>
          <w:w w:val="110"/>
        </w:rPr>
        <w:t>Ángel</w:t>
      </w:r>
      <w:r>
        <w:rPr>
          <w:color w:val="231F1F"/>
          <w:spacing w:val="-15"/>
          <w:w w:val="110"/>
        </w:rPr>
        <w:t> </w:t>
      </w:r>
      <w:r>
        <w:rPr>
          <w:color w:val="231F1F"/>
          <w:w w:val="110"/>
        </w:rPr>
        <w:t>Salgado</w:t>
      </w:r>
      <w:r>
        <w:rPr>
          <w:color w:val="231F1F"/>
          <w:spacing w:val="-15"/>
          <w:w w:val="110"/>
        </w:rPr>
        <w:t> </w:t>
      </w:r>
      <w:r>
        <w:rPr>
          <w:color w:val="231F1F"/>
          <w:w w:val="110"/>
        </w:rPr>
        <w:t>Barreira,</w:t>
      </w:r>
      <w:r>
        <w:rPr>
          <w:color w:val="231F1F"/>
          <w:spacing w:val="-15"/>
          <w:w w:val="110"/>
        </w:rPr>
        <w:t> </w:t>
      </w:r>
      <w:r>
        <w:rPr>
          <w:color w:val="231F1F"/>
          <w:w w:val="110"/>
        </w:rPr>
        <w:t>Marta</w:t>
      </w:r>
      <w:r>
        <w:rPr>
          <w:color w:val="231F1F"/>
          <w:spacing w:val="-15"/>
          <w:w w:val="110"/>
        </w:rPr>
        <w:t> </w:t>
      </w:r>
      <w:r>
        <w:rPr>
          <w:color w:val="231F1F"/>
          <w:w w:val="110"/>
        </w:rPr>
        <w:t>Sancha</w:t>
      </w:r>
      <w:r>
        <w:rPr>
          <w:color w:val="231F1F"/>
          <w:spacing w:val="-16"/>
          <w:w w:val="110"/>
        </w:rPr>
        <w:t> </w:t>
      </w:r>
      <w:r>
        <w:rPr>
          <w:color w:val="231F1F"/>
          <w:w w:val="110"/>
        </w:rPr>
        <w:t>Naranjo,</w:t>
      </w:r>
      <w:r>
        <w:rPr>
          <w:color w:val="231F1F"/>
          <w:spacing w:val="-15"/>
          <w:w w:val="110"/>
        </w:rPr>
        <w:t> </w:t>
      </w:r>
      <w:r>
        <w:rPr>
          <w:color w:val="231F1F"/>
          <w:w w:val="110"/>
        </w:rPr>
        <w:t>Oli- via Santiago Soriana, Rafael Ucieda Somoza.</w:t>
      </w:r>
    </w:p>
    <w:p>
      <w:pPr>
        <w:pStyle w:val="BodyText"/>
        <w:spacing w:after="0" w:line="247" w:lineRule="auto"/>
        <w:jc w:val="both"/>
        <w:sectPr>
          <w:pgSz w:w="11900" w:h="16840"/>
          <w:pgMar w:header="0" w:footer="622" w:top="1520" w:bottom="820" w:left="1417" w:right="1559"/>
        </w:sectPr>
      </w:pPr>
    </w:p>
    <w:p>
      <w:pPr>
        <w:pStyle w:val="BodyText"/>
        <w:spacing w:before="4"/>
        <w:rPr>
          <w:sz w:val="17"/>
        </w:rPr>
      </w:pPr>
    </w:p>
    <w:p>
      <w:pPr>
        <w:pStyle w:val="BodyText"/>
        <w:spacing w:after="0"/>
        <w:rPr>
          <w:sz w:val="17"/>
        </w:rPr>
        <w:sectPr>
          <w:footerReference w:type="even" r:id="rId98"/>
          <w:pgSz w:w="11900" w:h="16840"/>
          <w:pgMar w:header="0" w:footer="0" w:top="1940" w:bottom="280" w:left="1417" w:right="1559"/>
        </w:sectPr>
      </w:pPr>
    </w:p>
    <w:p>
      <w:pPr>
        <w:pStyle w:val="Heading2"/>
        <w:spacing w:before="68"/>
        <w:ind w:left="283" w:firstLine="0"/>
      </w:pPr>
      <w:r>
        <w:rPr>
          <w:color w:val="231F1F"/>
          <w:spacing w:val="-2"/>
        </w:rPr>
        <w:t>Bibliografía</w:t>
      </w:r>
    </w:p>
    <w:p>
      <w:pPr>
        <w:pStyle w:val="BodyText"/>
        <w:spacing w:before="111"/>
        <w:rPr>
          <w:sz w:val="36"/>
        </w:rPr>
      </w:pPr>
    </w:p>
    <w:p>
      <w:pPr>
        <w:pStyle w:val="ListParagraph"/>
        <w:numPr>
          <w:ilvl w:val="0"/>
          <w:numId w:val="109"/>
        </w:numPr>
        <w:tabs>
          <w:tab w:pos="793" w:val="left" w:leader="none"/>
        </w:tabs>
        <w:spacing w:line="230" w:lineRule="auto" w:before="0" w:after="0"/>
        <w:ind w:left="793" w:right="123" w:hanging="411"/>
        <w:jc w:val="both"/>
        <w:rPr>
          <w:sz w:val="20"/>
        </w:rPr>
      </w:pPr>
      <w:r>
        <w:rPr>
          <w:color w:val="231F1F"/>
          <w:w w:val="105"/>
          <w:sz w:val="20"/>
        </w:rPr>
        <w:t>Scottish</w:t>
      </w:r>
      <w:r>
        <w:rPr>
          <w:color w:val="231F1F"/>
          <w:w w:val="105"/>
          <w:sz w:val="20"/>
        </w:rPr>
        <w:t> Intercollegiate</w:t>
      </w:r>
      <w:r>
        <w:rPr>
          <w:color w:val="231F1F"/>
          <w:w w:val="105"/>
          <w:sz w:val="20"/>
        </w:rPr>
        <w:t> Guidelines</w:t>
      </w:r>
      <w:r>
        <w:rPr>
          <w:color w:val="231F1F"/>
          <w:w w:val="105"/>
          <w:sz w:val="20"/>
        </w:rPr>
        <w:t> Network.</w:t>
      </w:r>
      <w:r>
        <w:rPr>
          <w:color w:val="231F1F"/>
          <w:w w:val="105"/>
          <w:sz w:val="20"/>
        </w:rPr>
        <w:t> Sign</w:t>
      </w:r>
      <w:r>
        <w:rPr>
          <w:color w:val="231F1F"/>
          <w:w w:val="105"/>
          <w:sz w:val="20"/>
        </w:rPr>
        <w:t> 50:</w:t>
      </w:r>
      <w:r>
        <w:rPr>
          <w:color w:val="231F1F"/>
          <w:w w:val="105"/>
          <w:sz w:val="20"/>
        </w:rPr>
        <w:t> A</w:t>
      </w:r>
      <w:r>
        <w:rPr>
          <w:color w:val="231F1F"/>
          <w:w w:val="105"/>
          <w:sz w:val="20"/>
        </w:rPr>
        <w:t> guideline</w:t>
      </w:r>
      <w:r>
        <w:rPr>
          <w:color w:val="231F1F"/>
          <w:w w:val="105"/>
          <w:sz w:val="20"/>
        </w:rPr>
        <w:t> developers´</w:t>
      </w:r>
      <w:r>
        <w:rPr>
          <w:color w:val="231F1F"/>
          <w:w w:val="105"/>
          <w:sz w:val="20"/>
        </w:rPr>
        <w:t> handbook [Monografía en Internet]. Edinburgh: Scottish Intercollegiate Guidelines Network. Disponible en: </w:t>
      </w:r>
      <w:hyperlink r:id="rId101">
        <w:r>
          <w:rPr>
            <w:color w:val="A30046"/>
            <w:w w:val="105"/>
            <w:sz w:val="20"/>
          </w:rPr>
          <w:t>http://www</w:t>
        </w:r>
      </w:hyperlink>
      <w:r>
        <w:rPr>
          <w:color w:val="A30046"/>
          <w:w w:val="105"/>
          <w:sz w:val="20"/>
        </w:rPr>
        <w:t> sign ac uk/guidelines/fulltext/50/index.html </w:t>
      </w:r>
      <w:r>
        <w:rPr>
          <w:color w:val="231F1F"/>
          <w:w w:val="105"/>
          <w:sz w:val="20"/>
        </w:rPr>
        <w:t>2008.</w:t>
      </w:r>
    </w:p>
    <w:p>
      <w:pPr>
        <w:pStyle w:val="ListParagraph"/>
        <w:numPr>
          <w:ilvl w:val="0"/>
          <w:numId w:val="109"/>
        </w:numPr>
        <w:tabs>
          <w:tab w:pos="793" w:val="left" w:leader="none"/>
        </w:tabs>
        <w:spacing w:line="230" w:lineRule="auto" w:before="168" w:after="0"/>
        <w:ind w:left="793" w:right="119" w:hanging="411"/>
        <w:jc w:val="both"/>
        <w:rPr>
          <w:sz w:val="20"/>
        </w:rPr>
      </w:pPr>
      <w:r>
        <w:rPr>
          <w:color w:val="231F1F"/>
          <w:w w:val="105"/>
          <w:sz w:val="20"/>
        </w:rPr>
        <w:t>Grupo de trabajo sobre GPC. Elaboración de Guías de Práctica Clínica en el Sistema Nacional de</w:t>
      </w:r>
      <w:r>
        <w:rPr>
          <w:color w:val="231F1F"/>
          <w:w w:val="105"/>
          <w:sz w:val="20"/>
        </w:rPr>
        <w:t> Salud.</w:t>
      </w:r>
      <w:r>
        <w:rPr>
          <w:color w:val="231F1F"/>
          <w:w w:val="105"/>
          <w:sz w:val="20"/>
        </w:rPr>
        <w:t> Manual</w:t>
      </w:r>
      <w:r>
        <w:rPr>
          <w:color w:val="231F1F"/>
          <w:w w:val="105"/>
          <w:sz w:val="20"/>
        </w:rPr>
        <w:t> Metodológico.</w:t>
      </w:r>
      <w:r>
        <w:rPr>
          <w:color w:val="231F1F"/>
          <w:w w:val="105"/>
          <w:sz w:val="20"/>
        </w:rPr>
        <w:t> Madrid:</w:t>
      </w:r>
      <w:r>
        <w:rPr>
          <w:color w:val="231F1F"/>
          <w:w w:val="105"/>
          <w:sz w:val="20"/>
        </w:rPr>
        <w:t> Plan</w:t>
      </w:r>
      <w:r>
        <w:rPr>
          <w:color w:val="231F1F"/>
          <w:w w:val="105"/>
          <w:sz w:val="20"/>
        </w:rPr>
        <w:t> Nacional</w:t>
      </w:r>
      <w:r>
        <w:rPr>
          <w:color w:val="231F1F"/>
          <w:w w:val="105"/>
          <w:sz w:val="20"/>
        </w:rPr>
        <w:t> para</w:t>
      </w:r>
      <w:r>
        <w:rPr>
          <w:color w:val="231F1F"/>
          <w:w w:val="105"/>
          <w:sz w:val="20"/>
        </w:rPr>
        <w:t> el</w:t>
      </w:r>
      <w:r>
        <w:rPr>
          <w:color w:val="231F1F"/>
          <w:w w:val="105"/>
          <w:sz w:val="20"/>
        </w:rPr>
        <w:t> SNS</w:t>
      </w:r>
      <w:r>
        <w:rPr>
          <w:color w:val="231F1F"/>
          <w:w w:val="105"/>
          <w:sz w:val="20"/>
        </w:rPr>
        <w:t> del</w:t>
      </w:r>
      <w:r>
        <w:rPr>
          <w:color w:val="231F1F"/>
          <w:w w:val="105"/>
          <w:sz w:val="20"/>
        </w:rPr>
        <w:t> MSC.</w:t>
      </w:r>
      <w:r>
        <w:rPr>
          <w:color w:val="231F1F"/>
          <w:w w:val="105"/>
          <w:sz w:val="20"/>
        </w:rPr>
        <w:t> Instituto Aragonés de Ciencias de la Salud-I+CS 2007;Guías de Práctica Clínica en el SNS: I+CS N.º </w:t>
      </w:r>
      <w:r>
        <w:rPr>
          <w:color w:val="231F1F"/>
          <w:spacing w:val="-2"/>
          <w:w w:val="105"/>
          <w:sz w:val="20"/>
        </w:rPr>
        <w:t>2006/01.</w:t>
      </w:r>
    </w:p>
    <w:p>
      <w:pPr>
        <w:pStyle w:val="ListParagraph"/>
        <w:numPr>
          <w:ilvl w:val="0"/>
          <w:numId w:val="109"/>
        </w:numPr>
        <w:tabs>
          <w:tab w:pos="793" w:val="left" w:leader="none"/>
        </w:tabs>
        <w:spacing w:line="230" w:lineRule="auto" w:before="173" w:after="0"/>
        <w:ind w:left="793" w:right="111" w:hanging="411"/>
        <w:jc w:val="both"/>
        <w:rPr>
          <w:sz w:val="20"/>
        </w:rPr>
      </w:pPr>
      <w:r>
        <w:rPr>
          <w:color w:val="231F1F"/>
          <w:w w:val="105"/>
          <w:sz w:val="20"/>
        </w:rPr>
        <w:t>National</w:t>
      </w:r>
      <w:r>
        <w:rPr>
          <w:color w:val="231F1F"/>
          <w:w w:val="105"/>
          <w:sz w:val="20"/>
        </w:rPr>
        <w:t> Institute</w:t>
      </w:r>
      <w:r>
        <w:rPr>
          <w:color w:val="231F1F"/>
          <w:w w:val="105"/>
          <w:sz w:val="20"/>
        </w:rPr>
        <w:t> for</w:t>
      </w:r>
      <w:r>
        <w:rPr>
          <w:color w:val="231F1F"/>
          <w:w w:val="105"/>
          <w:sz w:val="20"/>
        </w:rPr>
        <w:t> Clinical</w:t>
      </w:r>
      <w:r>
        <w:rPr>
          <w:color w:val="231F1F"/>
          <w:w w:val="105"/>
          <w:sz w:val="20"/>
        </w:rPr>
        <w:t> Excellence.</w:t>
      </w:r>
      <w:r>
        <w:rPr>
          <w:color w:val="231F1F"/>
          <w:w w:val="105"/>
          <w:sz w:val="20"/>
        </w:rPr>
        <w:t> The</w:t>
      </w:r>
      <w:r>
        <w:rPr>
          <w:color w:val="231F1F"/>
          <w:w w:val="105"/>
          <w:sz w:val="20"/>
        </w:rPr>
        <w:t> guidelines</w:t>
      </w:r>
      <w:r>
        <w:rPr>
          <w:color w:val="231F1F"/>
          <w:w w:val="105"/>
          <w:sz w:val="20"/>
        </w:rPr>
        <w:t> manual.[monografía</w:t>
      </w:r>
      <w:r>
        <w:rPr>
          <w:color w:val="231F1F"/>
          <w:w w:val="105"/>
          <w:sz w:val="20"/>
        </w:rPr>
        <w:t> en</w:t>
      </w:r>
      <w:r>
        <w:rPr>
          <w:color w:val="231F1F"/>
          <w:w w:val="105"/>
          <w:sz w:val="20"/>
        </w:rPr>
        <w:t> Internet]. London: NICE: 2004;National Institute for Clinical Excellence,13-4-2007[acceso 15-5-2008]; Disponible en: </w:t>
      </w:r>
      <w:hyperlink r:id="rId102">
        <w:r>
          <w:rPr>
            <w:color w:val="A30046"/>
            <w:w w:val="105"/>
            <w:sz w:val="20"/>
          </w:rPr>
          <w:t>http://www.nice.org.uk/page.aspx?o=422950</w:t>
        </w:r>
        <w:r>
          <w:rPr>
            <w:color w:val="231F1F"/>
            <w:w w:val="105"/>
            <w:sz w:val="20"/>
          </w:rPr>
          <w:t>.</w:t>
        </w:r>
      </w:hyperlink>
    </w:p>
    <w:p>
      <w:pPr>
        <w:pStyle w:val="ListParagraph"/>
        <w:numPr>
          <w:ilvl w:val="0"/>
          <w:numId w:val="109"/>
        </w:numPr>
        <w:tabs>
          <w:tab w:pos="791" w:val="left" w:leader="none"/>
        </w:tabs>
        <w:spacing w:line="237" w:lineRule="auto" w:before="162" w:after="0"/>
        <w:ind w:left="791" w:right="117" w:hanging="411"/>
        <w:jc w:val="both"/>
        <w:rPr>
          <w:sz w:val="20"/>
        </w:rPr>
      </w:pPr>
      <w:r>
        <w:rPr>
          <w:color w:val="231F1F"/>
          <w:w w:val="110"/>
          <w:sz w:val="20"/>
        </w:rPr>
        <w:t>World</w:t>
      </w:r>
      <w:r>
        <w:rPr>
          <w:color w:val="231F1F"/>
          <w:w w:val="110"/>
          <w:sz w:val="20"/>
        </w:rPr>
        <w:t> Health</w:t>
      </w:r>
      <w:r>
        <w:rPr>
          <w:color w:val="231F1F"/>
          <w:w w:val="110"/>
          <w:sz w:val="20"/>
        </w:rPr>
        <w:t> Organization.</w:t>
      </w:r>
      <w:r>
        <w:rPr>
          <w:color w:val="231F1F"/>
          <w:w w:val="110"/>
          <w:sz w:val="20"/>
        </w:rPr>
        <w:t> Maternal</w:t>
      </w:r>
      <w:r>
        <w:rPr>
          <w:color w:val="231F1F"/>
          <w:w w:val="110"/>
          <w:sz w:val="20"/>
        </w:rPr>
        <w:t> and</w:t>
      </w:r>
      <w:r>
        <w:rPr>
          <w:color w:val="231F1F"/>
          <w:w w:val="110"/>
          <w:sz w:val="20"/>
        </w:rPr>
        <w:t> newborn</w:t>
      </w:r>
      <w:r>
        <w:rPr>
          <w:color w:val="231F1F"/>
          <w:w w:val="110"/>
          <w:sz w:val="20"/>
        </w:rPr>
        <w:t> haelth/safe</w:t>
      </w:r>
      <w:r>
        <w:rPr>
          <w:color w:val="231F1F"/>
          <w:w w:val="110"/>
          <w:sz w:val="20"/>
        </w:rPr>
        <w:t> motherhood</w:t>
      </w:r>
      <w:r>
        <w:rPr>
          <w:color w:val="231F1F"/>
          <w:w w:val="110"/>
          <w:sz w:val="20"/>
        </w:rPr>
        <w:t> division</w:t>
      </w:r>
      <w:r>
        <w:rPr>
          <w:color w:val="231F1F"/>
          <w:w w:val="110"/>
          <w:sz w:val="20"/>
        </w:rPr>
        <w:t> of reproductive</w:t>
      </w:r>
      <w:r>
        <w:rPr>
          <w:color w:val="231F1F"/>
          <w:spacing w:val="-12"/>
          <w:w w:val="110"/>
          <w:sz w:val="20"/>
        </w:rPr>
        <w:t> </w:t>
      </w:r>
      <w:r>
        <w:rPr>
          <w:color w:val="231F1F"/>
          <w:w w:val="110"/>
          <w:sz w:val="20"/>
        </w:rPr>
        <w:t>health.</w:t>
      </w:r>
      <w:r>
        <w:rPr>
          <w:color w:val="231F1F"/>
          <w:spacing w:val="-12"/>
          <w:w w:val="110"/>
          <w:sz w:val="20"/>
        </w:rPr>
        <w:t> </w:t>
      </w:r>
      <w:r>
        <w:rPr>
          <w:color w:val="231F1F"/>
          <w:w w:val="110"/>
          <w:sz w:val="20"/>
        </w:rPr>
        <w:t>Care</w:t>
      </w:r>
      <w:r>
        <w:rPr>
          <w:color w:val="231F1F"/>
          <w:spacing w:val="-12"/>
          <w:w w:val="110"/>
          <w:sz w:val="20"/>
        </w:rPr>
        <w:t> </w:t>
      </w:r>
      <w:r>
        <w:rPr>
          <w:color w:val="231F1F"/>
          <w:w w:val="110"/>
          <w:sz w:val="20"/>
        </w:rPr>
        <w:t>in</w:t>
      </w:r>
      <w:r>
        <w:rPr>
          <w:color w:val="231F1F"/>
          <w:spacing w:val="-13"/>
          <w:w w:val="110"/>
          <w:sz w:val="20"/>
        </w:rPr>
        <w:t> </w:t>
      </w:r>
      <w:r>
        <w:rPr>
          <w:color w:val="231F1F"/>
          <w:w w:val="110"/>
          <w:sz w:val="20"/>
        </w:rPr>
        <w:t>Normal</w:t>
      </w:r>
      <w:r>
        <w:rPr>
          <w:color w:val="231F1F"/>
          <w:spacing w:val="-12"/>
          <w:w w:val="110"/>
          <w:sz w:val="20"/>
        </w:rPr>
        <w:t> </w:t>
      </w:r>
      <w:r>
        <w:rPr>
          <w:color w:val="231F1F"/>
          <w:w w:val="110"/>
          <w:sz w:val="20"/>
        </w:rPr>
        <w:t>Birth:</w:t>
      </w:r>
      <w:r>
        <w:rPr>
          <w:color w:val="231F1F"/>
          <w:spacing w:val="-12"/>
          <w:w w:val="110"/>
          <w:sz w:val="20"/>
        </w:rPr>
        <w:t> </w:t>
      </w:r>
      <w:r>
        <w:rPr>
          <w:color w:val="231F1F"/>
          <w:w w:val="110"/>
          <w:sz w:val="20"/>
        </w:rPr>
        <w:t>a</w:t>
      </w:r>
      <w:r>
        <w:rPr>
          <w:color w:val="231F1F"/>
          <w:spacing w:val="-11"/>
          <w:w w:val="110"/>
          <w:sz w:val="20"/>
        </w:rPr>
        <w:t> </w:t>
      </w:r>
      <w:r>
        <w:rPr>
          <w:color w:val="231F1F"/>
          <w:w w:val="110"/>
          <w:sz w:val="20"/>
        </w:rPr>
        <w:t>practical</w:t>
      </w:r>
      <w:r>
        <w:rPr>
          <w:color w:val="231F1F"/>
          <w:spacing w:val="-11"/>
          <w:w w:val="110"/>
          <w:sz w:val="20"/>
        </w:rPr>
        <w:t> </w:t>
      </w:r>
      <w:r>
        <w:rPr>
          <w:color w:val="231F1F"/>
          <w:w w:val="110"/>
          <w:sz w:val="20"/>
        </w:rPr>
        <w:t>guide.</w:t>
      </w:r>
      <w:r>
        <w:rPr>
          <w:color w:val="231F1F"/>
          <w:spacing w:val="-12"/>
          <w:w w:val="110"/>
          <w:sz w:val="20"/>
        </w:rPr>
        <w:t> </w:t>
      </w:r>
      <w:r>
        <w:rPr>
          <w:color w:val="231F1F"/>
          <w:w w:val="110"/>
          <w:sz w:val="20"/>
        </w:rPr>
        <w:t>Report</w:t>
      </w:r>
      <w:r>
        <w:rPr>
          <w:color w:val="231F1F"/>
          <w:spacing w:val="-11"/>
          <w:w w:val="110"/>
          <w:sz w:val="20"/>
        </w:rPr>
        <w:t> </w:t>
      </w:r>
      <w:r>
        <w:rPr>
          <w:color w:val="231F1F"/>
          <w:w w:val="110"/>
          <w:sz w:val="20"/>
        </w:rPr>
        <w:t>of</w:t>
      </w:r>
      <w:r>
        <w:rPr>
          <w:color w:val="231F1F"/>
          <w:spacing w:val="-11"/>
          <w:w w:val="110"/>
          <w:sz w:val="20"/>
        </w:rPr>
        <w:t> </w:t>
      </w:r>
      <w:r>
        <w:rPr>
          <w:color w:val="231F1F"/>
          <w:w w:val="110"/>
          <w:sz w:val="20"/>
        </w:rPr>
        <w:t>a</w:t>
      </w:r>
      <w:r>
        <w:rPr>
          <w:color w:val="231F1F"/>
          <w:spacing w:val="-12"/>
          <w:w w:val="110"/>
          <w:sz w:val="20"/>
        </w:rPr>
        <w:t> </w:t>
      </w:r>
      <w:r>
        <w:rPr>
          <w:color w:val="231F1F"/>
          <w:w w:val="110"/>
          <w:sz w:val="20"/>
        </w:rPr>
        <w:t>Technical</w:t>
      </w:r>
      <w:r>
        <w:rPr>
          <w:color w:val="231F1F"/>
          <w:spacing w:val="-12"/>
          <w:w w:val="110"/>
          <w:sz w:val="20"/>
        </w:rPr>
        <w:t> </w:t>
      </w:r>
      <w:r>
        <w:rPr>
          <w:color w:val="231F1F"/>
          <w:w w:val="110"/>
          <w:sz w:val="20"/>
        </w:rPr>
        <w:t>Working Group.</w:t>
      </w:r>
      <w:r>
        <w:rPr>
          <w:color w:val="231F1F"/>
          <w:w w:val="110"/>
          <w:sz w:val="20"/>
        </w:rPr>
        <w:t> Ginebra</w:t>
      </w:r>
      <w:r>
        <w:rPr>
          <w:color w:val="231F1F"/>
          <w:w w:val="110"/>
          <w:sz w:val="20"/>
        </w:rPr>
        <w:t> 1996;[Citado</w:t>
      </w:r>
      <w:r>
        <w:rPr>
          <w:color w:val="231F1F"/>
          <w:w w:val="110"/>
          <w:sz w:val="20"/>
        </w:rPr>
        <w:t> 12</w:t>
      </w:r>
      <w:r>
        <w:rPr>
          <w:color w:val="231F1F"/>
          <w:w w:val="110"/>
          <w:sz w:val="20"/>
        </w:rPr>
        <w:t> feb</w:t>
      </w:r>
      <w:r>
        <w:rPr>
          <w:color w:val="231F1F"/>
          <w:w w:val="110"/>
          <w:sz w:val="20"/>
        </w:rPr>
        <w:t> 2008].disponible</w:t>
      </w:r>
      <w:r>
        <w:rPr>
          <w:color w:val="231F1F"/>
          <w:w w:val="110"/>
          <w:sz w:val="20"/>
        </w:rPr>
        <w:t> en:</w:t>
      </w:r>
      <w:r>
        <w:rPr>
          <w:color w:val="231F1F"/>
          <w:w w:val="110"/>
          <w:sz w:val="20"/>
        </w:rPr>
        <w:t> </w:t>
      </w:r>
      <w:hyperlink r:id="rId103">
        <w:r>
          <w:rPr>
            <w:color w:val="A30046"/>
            <w:w w:val="110"/>
            <w:sz w:val="20"/>
          </w:rPr>
          <w:t>http://www.who.int/making_</w:t>
        </w:r>
      </w:hyperlink>
      <w:r>
        <w:rPr>
          <w:color w:val="A30046"/>
          <w:w w:val="110"/>
          <w:sz w:val="20"/>
        </w:rPr>
        <w:t> </w:t>
      </w:r>
      <w:r>
        <w:rPr>
          <w:color w:val="A30046"/>
          <w:spacing w:val="-2"/>
          <w:sz w:val="20"/>
        </w:rPr>
        <w:t>pregnancy_safer/publications/archived_publications/care_in_normal_birth_practical_guide.</w:t>
      </w:r>
    </w:p>
    <w:p>
      <w:pPr>
        <w:spacing w:line="225" w:lineRule="exact" w:before="0"/>
        <w:ind w:left="791" w:right="0" w:firstLine="0"/>
        <w:jc w:val="left"/>
        <w:rPr>
          <w:sz w:val="20"/>
        </w:rPr>
      </w:pPr>
      <w:r>
        <w:rPr>
          <w:color w:val="A30046"/>
          <w:spacing w:val="-4"/>
          <w:w w:val="110"/>
          <w:sz w:val="20"/>
        </w:rPr>
        <w:t>pdf</w:t>
      </w:r>
      <w:r>
        <w:rPr>
          <w:color w:val="231F1F"/>
          <w:spacing w:val="-4"/>
          <w:w w:val="110"/>
          <w:sz w:val="20"/>
        </w:rPr>
        <w:t>.</w:t>
      </w:r>
    </w:p>
    <w:p>
      <w:pPr>
        <w:pStyle w:val="ListParagraph"/>
        <w:numPr>
          <w:ilvl w:val="0"/>
          <w:numId w:val="109"/>
        </w:numPr>
        <w:tabs>
          <w:tab w:pos="793" w:val="left" w:leader="none"/>
        </w:tabs>
        <w:spacing w:line="230" w:lineRule="auto" w:before="171" w:after="0"/>
        <w:ind w:left="793" w:right="111" w:hanging="411"/>
        <w:jc w:val="both"/>
        <w:rPr>
          <w:sz w:val="20"/>
        </w:rPr>
      </w:pPr>
      <w:r>
        <w:rPr>
          <w:color w:val="231F1F"/>
          <w:w w:val="105"/>
          <w:sz w:val="20"/>
        </w:rPr>
        <w:t>Minsterio de Sanidad y Consumo; Observatorio de Salud de la Mujer y del Sistema Nacional de Salud.Estrategia de atención al parto normal en el Sistema Nacional de Salud.[monografía de</w:t>
      </w:r>
      <w:r>
        <w:rPr>
          <w:color w:val="231F1F"/>
          <w:w w:val="105"/>
          <w:sz w:val="20"/>
        </w:rPr>
        <w:t> Internet}.</w:t>
      </w:r>
      <w:r>
        <w:rPr>
          <w:color w:val="231F1F"/>
          <w:w w:val="105"/>
          <w:sz w:val="20"/>
        </w:rPr>
        <w:t> Madrid:</w:t>
      </w:r>
      <w:r>
        <w:rPr>
          <w:color w:val="231F1F"/>
          <w:w w:val="105"/>
          <w:sz w:val="20"/>
        </w:rPr>
        <w:t> Ministerio</w:t>
      </w:r>
      <w:r>
        <w:rPr>
          <w:color w:val="231F1F"/>
          <w:w w:val="105"/>
          <w:sz w:val="20"/>
        </w:rPr>
        <w:t> de</w:t>
      </w:r>
      <w:r>
        <w:rPr>
          <w:color w:val="231F1F"/>
          <w:w w:val="105"/>
          <w:sz w:val="20"/>
        </w:rPr>
        <w:t> Sanidad</w:t>
      </w:r>
      <w:r>
        <w:rPr>
          <w:color w:val="231F1F"/>
          <w:w w:val="105"/>
          <w:sz w:val="20"/>
        </w:rPr>
        <w:t> y</w:t>
      </w:r>
      <w:r>
        <w:rPr>
          <w:color w:val="231F1F"/>
          <w:w w:val="105"/>
          <w:sz w:val="20"/>
        </w:rPr>
        <w:t> Consumo</w:t>
      </w:r>
      <w:r>
        <w:rPr>
          <w:color w:val="231F1F"/>
          <w:w w:val="105"/>
          <w:sz w:val="20"/>
        </w:rPr>
        <w:t> 2008;[acceso</w:t>
      </w:r>
      <w:r>
        <w:rPr>
          <w:color w:val="231F1F"/>
          <w:w w:val="105"/>
          <w:sz w:val="20"/>
        </w:rPr>
        <w:t> abril</w:t>
      </w:r>
      <w:r>
        <w:rPr>
          <w:color w:val="231F1F"/>
          <w:w w:val="105"/>
          <w:sz w:val="20"/>
        </w:rPr>
        <w:t> de</w:t>
      </w:r>
      <w:r>
        <w:rPr>
          <w:color w:val="231F1F"/>
          <w:w w:val="105"/>
          <w:sz w:val="20"/>
        </w:rPr>
        <w:t> 2008}. Disponible</w:t>
      </w:r>
      <w:r>
        <w:rPr>
          <w:color w:val="231F1F"/>
          <w:w w:val="105"/>
          <w:sz w:val="20"/>
        </w:rPr>
        <w:t> en:</w:t>
      </w:r>
      <w:r>
        <w:rPr>
          <w:color w:val="231F1F"/>
          <w:w w:val="105"/>
          <w:sz w:val="20"/>
        </w:rPr>
        <w:t> </w:t>
      </w:r>
      <w:hyperlink r:id="rId104">
        <w:r>
          <w:rPr>
            <w:color w:val="A30046"/>
            <w:w w:val="105"/>
            <w:sz w:val="20"/>
          </w:rPr>
          <w:t>www.msc.es/organización/sns/planCalidadSNS/pf/excencia/atenciónParto/</w:t>
        </w:r>
      </w:hyperlink>
      <w:r>
        <w:rPr>
          <w:color w:val="A30046"/>
          <w:w w:val="105"/>
          <w:sz w:val="20"/>
        </w:rPr>
        <w:t> </w:t>
      </w:r>
      <w:r>
        <w:rPr>
          <w:color w:val="A30046"/>
          <w:spacing w:val="-2"/>
          <w:w w:val="105"/>
          <w:sz w:val="20"/>
        </w:rPr>
        <w:t>estrategiaPartoEnero2008.pdf</w:t>
      </w:r>
      <w:r>
        <w:rPr>
          <w:color w:val="231F1F"/>
          <w:spacing w:val="-2"/>
          <w:w w:val="105"/>
          <w:sz w:val="20"/>
        </w:rPr>
        <w:t>.</w:t>
      </w:r>
    </w:p>
    <w:p>
      <w:pPr>
        <w:pStyle w:val="ListParagraph"/>
        <w:numPr>
          <w:ilvl w:val="0"/>
          <w:numId w:val="109"/>
        </w:numPr>
        <w:tabs>
          <w:tab w:pos="791" w:val="left" w:leader="none"/>
        </w:tabs>
        <w:spacing w:line="240" w:lineRule="auto" w:before="161" w:after="0"/>
        <w:ind w:left="791" w:right="0" w:hanging="408"/>
        <w:jc w:val="left"/>
        <w:rPr>
          <w:sz w:val="20"/>
        </w:rPr>
      </w:pPr>
      <w:r>
        <w:rPr>
          <w:color w:val="231F1F"/>
          <w:spacing w:val="-4"/>
          <w:w w:val="110"/>
          <w:sz w:val="20"/>
        </w:rPr>
        <w:t>ADAPTE.</w:t>
      </w:r>
      <w:r>
        <w:rPr>
          <w:color w:val="231F1F"/>
          <w:spacing w:val="-10"/>
          <w:w w:val="110"/>
          <w:sz w:val="20"/>
        </w:rPr>
        <w:t> </w:t>
      </w:r>
      <w:r>
        <w:rPr>
          <w:color w:val="231F1F"/>
          <w:spacing w:val="-4"/>
          <w:w w:val="110"/>
          <w:sz w:val="20"/>
        </w:rPr>
        <w:t>Manual</w:t>
      </w:r>
      <w:r>
        <w:rPr>
          <w:color w:val="231F1F"/>
          <w:spacing w:val="-6"/>
          <w:w w:val="110"/>
          <w:sz w:val="20"/>
        </w:rPr>
        <w:t> </w:t>
      </w:r>
      <w:r>
        <w:rPr>
          <w:color w:val="231F1F"/>
          <w:spacing w:val="-4"/>
          <w:w w:val="110"/>
          <w:sz w:val="20"/>
        </w:rPr>
        <w:t>for</w:t>
      </w:r>
      <w:r>
        <w:rPr>
          <w:color w:val="231F1F"/>
          <w:spacing w:val="-2"/>
          <w:w w:val="110"/>
          <w:sz w:val="20"/>
        </w:rPr>
        <w:t> </w:t>
      </w:r>
      <w:r>
        <w:rPr>
          <w:color w:val="231F1F"/>
          <w:spacing w:val="-4"/>
          <w:w w:val="110"/>
          <w:sz w:val="20"/>
        </w:rPr>
        <w:t>Guideline</w:t>
      </w:r>
      <w:r>
        <w:rPr>
          <w:color w:val="231F1F"/>
          <w:spacing w:val="-10"/>
          <w:w w:val="110"/>
          <w:sz w:val="20"/>
        </w:rPr>
        <w:t> </w:t>
      </w:r>
      <w:r>
        <w:rPr>
          <w:color w:val="231F1F"/>
          <w:spacing w:val="-4"/>
          <w:w w:val="110"/>
          <w:sz w:val="20"/>
        </w:rPr>
        <w:t>Adaptation.</w:t>
      </w:r>
      <w:r>
        <w:rPr>
          <w:color w:val="231F1F"/>
          <w:spacing w:val="-24"/>
          <w:w w:val="110"/>
          <w:sz w:val="20"/>
        </w:rPr>
        <w:t> </w:t>
      </w:r>
      <w:r>
        <w:rPr>
          <w:color w:val="231F1F"/>
          <w:spacing w:val="-4"/>
          <w:w w:val="110"/>
          <w:sz w:val="20"/>
        </w:rPr>
        <w:t>Version</w:t>
      </w:r>
      <w:r>
        <w:rPr>
          <w:color w:val="231F1F"/>
          <w:spacing w:val="1"/>
          <w:w w:val="110"/>
          <w:sz w:val="20"/>
        </w:rPr>
        <w:t> </w:t>
      </w:r>
      <w:r>
        <w:rPr>
          <w:color w:val="231F1F"/>
          <w:spacing w:val="-4"/>
          <w:w w:val="110"/>
          <w:sz w:val="20"/>
        </w:rPr>
        <w:t>1</w:t>
      </w:r>
      <w:r>
        <w:rPr>
          <w:color w:val="231F1F"/>
          <w:spacing w:val="2"/>
          <w:w w:val="110"/>
          <w:sz w:val="20"/>
        </w:rPr>
        <w:t> </w:t>
      </w:r>
      <w:r>
        <w:rPr>
          <w:color w:val="231F1F"/>
          <w:spacing w:val="-4"/>
          <w:w w:val="110"/>
          <w:sz w:val="20"/>
        </w:rPr>
        <w:t>0</w:t>
      </w:r>
      <w:r>
        <w:rPr>
          <w:color w:val="231F1F"/>
          <w:w w:val="110"/>
          <w:sz w:val="20"/>
        </w:rPr>
        <w:t> </w:t>
      </w:r>
      <w:r>
        <w:rPr>
          <w:color w:val="231F1F"/>
          <w:spacing w:val="-4"/>
          <w:w w:val="110"/>
          <w:sz w:val="20"/>
        </w:rPr>
        <w:t>2007;ADAPTE</w:t>
      </w:r>
      <w:r>
        <w:rPr>
          <w:color w:val="231F1F"/>
          <w:spacing w:val="3"/>
          <w:w w:val="110"/>
          <w:sz w:val="20"/>
        </w:rPr>
        <w:t> </w:t>
      </w:r>
      <w:r>
        <w:rPr>
          <w:color w:val="231F1F"/>
          <w:spacing w:val="-4"/>
          <w:w w:val="110"/>
          <w:sz w:val="20"/>
        </w:rPr>
        <w:t>Collaboration.</w:t>
      </w:r>
    </w:p>
    <w:p>
      <w:pPr>
        <w:pStyle w:val="ListParagraph"/>
        <w:numPr>
          <w:ilvl w:val="0"/>
          <w:numId w:val="109"/>
        </w:numPr>
        <w:tabs>
          <w:tab w:pos="791" w:val="left" w:leader="none"/>
        </w:tabs>
        <w:spacing w:line="228" w:lineRule="auto" w:before="173" w:after="0"/>
        <w:ind w:left="791" w:right="120" w:hanging="412"/>
        <w:jc w:val="both"/>
        <w:rPr>
          <w:sz w:val="20"/>
        </w:rPr>
      </w:pPr>
      <w:r>
        <w:rPr>
          <w:color w:val="231F1F"/>
          <w:sz w:val="20"/>
        </w:rPr>
        <w:t>Etxeberria, A.; Rotaeche, R.; Lekue, I.; Callén, B.; Merino, M.; Villar, M. et al. Descripción de la </w:t>
      </w:r>
      <w:r>
        <w:rPr>
          <w:color w:val="231F1F"/>
          <w:spacing w:val="-2"/>
          <w:w w:val="110"/>
          <w:sz w:val="20"/>
        </w:rPr>
        <w:t>metodología</w:t>
      </w:r>
      <w:r>
        <w:rPr>
          <w:color w:val="231F1F"/>
          <w:spacing w:val="-3"/>
          <w:w w:val="110"/>
          <w:sz w:val="20"/>
        </w:rPr>
        <w:t> </w:t>
      </w:r>
      <w:r>
        <w:rPr>
          <w:color w:val="231F1F"/>
          <w:spacing w:val="-2"/>
          <w:w w:val="110"/>
          <w:sz w:val="20"/>
        </w:rPr>
        <w:t>de</w:t>
      </w:r>
      <w:r>
        <w:rPr>
          <w:color w:val="231F1F"/>
          <w:spacing w:val="-4"/>
          <w:w w:val="110"/>
          <w:sz w:val="20"/>
        </w:rPr>
        <w:t> </w:t>
      </w:r>
      <w:r>
        <w:rPr>
          <w:color w:val="231F1F"/>
          <w:spacing w:val="-2"/>
          <w:w w:val="110"/>
          <w:sz w:val="20"/>
        </w:rPr>
        <w:t>elaboración-adaptación-actualización</w:t>
      </w:r>
      <w:r>
        <w:rPr>
          <w:color w:val="231F1F"/>
          <w:spacing w:val="-5"/>
          <w:w w:val="110"/>
          <w:sz w:val="20"/>
        </w:rPr>
        <w:t> </w:t>
      </w:r>
      <w:r>
        <w:rPr>
          <w:color w:val="231F1F"/>
          <w:spacing w:val="-2"/>
          <w:w w:val="110"/>
          <w:sz w:val="20"/>
        </w:rPr>
        <w:t>empleada</w:t>
      </w:r>
      <w:r>
        <w:rPr>
          <w:color w:val="231F1F"/>
          <w:spacing w:val="-4"/>
          <w:w w:val="110"/>
          <w:sz w:val="20"/>
        </w:rPr>
        <w:t> </w:t>
      </w:r>
      <w:r>
        <w:rPr>
          <w:color w:val="231F1F"/>
          <w:spacing w:val="-2"/>
          <w:w w:val="110"/>
          <w:sz w:val="20"/>
        </w:rPr>
        <w:t>en</w:t>
      </w:r>
      <w:r>
        <w:rPr>
          <w:color w:val="231F1F"/>
          <w:spacing w:val="-4"/>
          <w:w w:val="110"/>
          <w:sz w:val="20"/>
        </w:rPr>
        <w:t> </w:t>
      </w:r>
      <w:r>
        <w:rPr>
          <w:color w:val="231F1F"/>
          <w:spacing w:val="-2"/>
          <w:w w:val="110"/>
          <w:sz w:val="20"/>
        </w:rPr>
        <w:t>la</w:t>
      </w:r>
      <w:r>
        <w:rPr>
          <w:color w:val="231F1F"/>
          <w:spacing w:val="-4"/>
          <w:w w:val="110"/>
          <w:sz w:val="20"/>
        </w:rPr>
        <w:t> </w:t>
      </w:r>
      <w:r>
        <w:rPr>
          <w:color w:val="231F1F"/>
          <w:spacing w:val="-2"/>
          <w:w w:val="110"/>
          <w:sz w:val="20"/>
        </w:rPr>
        <w:t>guía</w:t>
      </w:r>
      <w:r>
        <w:rPr>
          <w:color w:val="231F1F"/>
          <w:spacing w:val="-4"/>
          <w:w w:val="110"/>
          <w:sz w:val="20"/>
        </w:rPr>
        <w:t> </w:t>
      </w:r>
      <w:r>
        <w:rPr>
          <w:color w:val="231F1F"/>
          <w:spacing w:val="-2"/>
          <w:w w:val="110"/>
          <w:sz w:val="20"/>
        </w:rPr>
        <w:t>de</w:t>
      </w:r>
      <w:r>
        <w:rPr>
          <w:color w:val="231F1F"/>
          <w:spacing w:val="-4"/>
          <w:w w:val="110"/>
          <w:sz w:val="20"/>
        </w:rPr>
        <w:t> </w:t>
      </w:r>
      <w:r>
        <w:rPr>
          <w:color w:val="231F1F"/>
          <w:spacing w:val="-2"/>
          <w:w w:val="110"/>
          <w:sz w:val="20"/>
        </w:rPr>
        <w:t>práctica</w:t>
      </w:r>
      <w:r>
        <w:rPr>
          <w:color w:val="231F1F"/>
          <w:spacing w:val="-3"/>
          <w:w w:val="110"/>
          <w:sz w:val="20"/>
        </w:rPr>
        <w:t> </w:t>
      </w:r>
      <w:r>
        <w:rPr>
          <w:color w:val="231F1F"/>
          <w:spacing w:val="-2"/>
          <w:w w:val="110"/>
          <w:sz w:val="20"/>
        </w:rPr>
        <w:t>clínica </w:t>
      </w:r>
      <w:r>
        <w:rPr>
          <w:color w:val="231F1F"/>
          <w:w w:val="110"/>
          <w:sz w:val="20"/>
        </w:rPr>
        <w:t>sobre</w:t>
      </w:r>
      <w:r>
        <w:rPr>
          <w:color w:val="231F1F"/>
          <w:spacing w:val="-14"/>
          <w:w w:val="110"/>
          <w:sz w:val="20"/>
        </w:rPr>
        <w:t> </w:t>
      </w:r>
      <w:r>
        <w:rPr>
          <w:color w:val="231F1F"/>
          <w:w w:val="110"/>
          <w:sz w:val="20"/>
        </w:rPr>
        <w:t>asma</w:t>
      </w:r>
      <w:r>
        <w:rPr>
          <w:color w:val="231F1F"/>
          <w:spacing w:val="-14"/>
          <w:w w:val="110"/>
          <w:sz w:val="20"/>
        </w:rPr>
        <w:t> </w:t>
      </w:r>
      <w:r>
        <w:rPr>
          <w:color w:val="231F1F"/>
          <w:w w:val="110"/>
          <w:sz w:val="20"/>
        </w:rPr>
        <w:t>de</w:t>
      </w:r>
      <w:r>
        <w:rPr>
          <w:color w:val="231F1F"/>
          <w:spacing w:val="-14"/>
          <w:w w:val="110"/>
          <w:sz w:val="20"/>
        </w:rPr>
        <w:t> </w:t>
      </w:r>
      <w:r>
        <w:rPr>
          <w:color w:val="231F1F"/>
          <w:w w:val="110"/>
          <w:sz w:val="20"/>
        </w:rPr>
        <w:t>la</w:t>
      </w:r>
      <w:r>
        <w:rPr>
          <w:color w:val="231F1F"/>
          <w:spacing w:val="-13"/>
          <w:w w:val="110"/>
          <w:sz w:val="20"/>
        </w:rPr>
        <w:t> </w:t>
      </w:r>
      <w:r>
        <w:rPr>
          <w:color w:val="231F1F"/>
          <w:w w:val="110"/>
          <w:sz w:val="20"/>
        </w:rPr>
        <w:t>Comunidad</w:t>
      </w:r>
      <w:r>
        <w:rPr>
          <w:color w:val="231F1F"/>
          <w:spacing w:val="-14"/>
          <w:w w:val="110"/>
          <w:sz w:val="20"/>
        </w:rPr>
        <w:t> </w:t>
      </w:r>
      <w:r>
        <w:rPr>
          <w:color w:val="231F1F"/>
          <w:w w:val="110"/>
          <w:sz w:val="20"/>
        </w:rPr>
        <w:t>Autónoma</w:t>
      </w:r>
      <w:r>
        <w:rPr>
          <w:color w:val="231F1F"/>
          <w:spacing w:val="-14"/>
          <w:w w:val="110"/>
          <w:sz w:val="20"/>
        </w:rPr>
        <w:t> </w:t>
      </w:r>
      <w:r>
        <w:rPr>
          <w:color w:val="231F1F"/>
          <w:w w:val="110"/>
          <w:sz w:val="20"/>
        </w:rPr>
        <w:t>del</w:t>
      </w:r>
      <w:r>
        <w:rPr>
          <w:color w:val="231F1F"/>
          <w:spacing w:val="-14"/>
          <w:w w:val="110"/>
          <w:sz w:val="20"/>
        </w:rPr>
        <w:t> </w:t>
      </w:r>
      <w:r>
        <w:rPr>
          <w:color w:val="231F1F"/>
          <w:w w:val="110"/>
          <w:sz w:val="20"/>
        </w:rPr>
        <w:t>País</w:t>
      </w:r>
      <w:r>
        <w:rPr>
          <w:color w:val="231F1F"/>
          <w:spacing w:val="-13"/>
          <w:w w:val="110"/>
          <w:sz w:val="20"/>
        </w:rPr>
        <w:t> </w:t>
      </w:r>
      <w:r>
        <w:rPr>
          <w:color w:val="231F1F"/>
          <w:w w:val="110"/>
          <w:sz w:val="20"/>
        </w:rPr>
        <w:t>Vasco.</w:t>
      </w:r>
      <w:r>
        <w:rPr>
          <w:color w:val="231F1F"/>
          <w:spacing w:val="-14"/>
          <w:w w:val="110"/>
          <w:sz w:val="20"/>
        </w:rPr>
        <w:t> </w:t>
      </w:r>
      <w:r>
        <w:rPr>
          <w:color w:val="231F1F"/>
          <w:w w:val="110"/>
          <w:sz w:val="20"/>
        </w:rPr>
        <w:t>Investigación</w:t>
      </w:r>
      <w:r>
        <w:rPr>
          <w:color w:val="231F1F"/>
          <w:spacing w:val="-14"/>
          <w:w w:val="110"/>
          <w:sz w:val="20"/>
        </w:rPr>
        <w:t> </w:t>
      </w:r>
      <w:r>
        <w:rPr>
          <w:color w:val="231F1F"/>
          <w:w w:val="110"/>
          <w:sz w:val="20"/>
        </w:rPr>
        <w:t>Comisionada</w:t>
      </w:r>
      <w:r>
        <w:rPr>
          <w:color w:val="231F1F"/>
          <w:spacing w:val="-14"/>
          <w:w w:val="110"/>
          <w:sz w:val="20"/>
        </w:rPr>
        <w:t> </w:t>
      </w:r>
      <w:r>
        <w:rPr>
          <w:color w:val="231F1F"/>
          <w:w w:val="110"/>
          <w:sz w:val="20"/>
        </w:rPr>
        <w:t>Vitoria- Gasteiz Departamento de Sanidad, Gobierno Vasco 2005;Informe n.º: Osteba D-05-03.</w:t>
      </w:r>
    </w:p>
    <w:p>
      <w:pPr>
        <w:pStyle w:val="ListParagraph"/>
        <w:numPr>
          <w:ilvl w:val="0"/>
          <w:numId w:val="109"/>
        </w:numPr>
        <w:tabs>
          <w:tab w:pos="791" w:val="left" w:leader="none"/>
        </w:tabs>
        <w:spacing w:line="240" w:lineRule="auto" w:before="163" w:after="0"/>
        <w:ind w:left="791" w:right="120" w:hanging="411"/>
        <w:jc w:val="both"/>
        <w:rPr>
          <w:sz w:val="20"/>
        </w:rPr>
      </w:pPr>
      <w:r>
        <w:rPr>
          <w:color w:val="231F1F"/>
          <w:w w:val="110"/>
          <w:sz w:val="20"/>
        </w:rPr>
        <w:t>Maceiras Rozas MC, Salgado Barreira A, Atienza Merino G. La asistencia al parto de las </w:t>
      </w:r>
      <w:r>
        <w:rPr>
          <w:color w:val="231F1F"/>
          <w:spacing w:val="-2"/>
          <w:w w:val="110"/>
          <w:sz w:val="20"/>
        </w:rPr>
        <w:t>mujeres</w:t>
      </w:r>
      <w:r>
        <w:rPr>
          <w:color w:val="231F1F"/>
          <w:spacing w:val="-9"/>
          <w:w w:val="110"/>
          <w:sz w:val="20"/>
        </w:rPr>
        <w:t> </w:t>
      </w:r>
      <w:r>
        <w:rPr>
          <w:color w:val="231F1F"/>
          <w:spacing w:val="-2"/>
          <w:w w:val="110"/>
          <w:sz w:val="20"/>
        </w:rPr>
        <w:t>sanas:</w:t>
      </w:r>
      <w:r>
        <w:rPr>
          <w:color w:val="231F1F"/>
          <w:spacing w:val="-9"/>
          <w:w w:val="110"/>
          <w:sz w:val="20"/>
        </w:rPr>
        <w:t> </w:t>
      </w:r>
      <w:r>
        <w:rPr>
          <w:color w:val="231F1F"/>
          <w:spacing w:val="-2"/>
          <w:w w:val="110"/>
          <w:sz w:val="20"/>
        </w:rPr>
        <w:t>estudio</w:t>
      </w:r>
      <w:r>
        <w:rPr>
          <w:color w:val="231F1F"/>
          <w:spacing w:val="-9"/>
          <w:w w:val="110"/>
          <w:sz w:val="20"/>
        </w:rPr>
        <w:t> </w:t>
      </w:r>
      <w:r>
        <w:rPr>
          <w:color w:val="231F1F"/>
          <w:spacing w:val="-2"/>
          <w:w w:val="110"/>
          <w:sz w:val="20"/>
        </w:rPr>
        <w:t>de</w:t>
      </w:r>
      <w:r>
        <w:rPr>
          <w:color w:val="231F1F"/>
          <w:spacing w:val="-9"/>
          <w:w w:val="110"/>
          <w:sz w:val="20"/>
        </w:rPr>
        <w:t> </w:t>
      </w:r>
      <w:r>
        <w:rPr>
          <w:color w:val="231F1F"/>
          <w:spacing w:val="-2"/>
          <w:w w:val="110"/>
          <w:sz w:val="20"/>
        </w:rPr>
        <w:t>variabilidad</w:t>
      </w:r>
      <w:r>
        <w:rPr>
          <w:color w:val="231F1F"/>
          <w:spacing w:val="-9"/>
          <w:w w:val="110"/>
          <w:sz w:val="20"/>
        </w:rPr>
        <w:t> </w:t>
      </w:r>
      <w:r>
        <w:rPr>
          <w:color w:val="231F1F"/>
          <w:spacing w:val="-2"/>
          <w:w w:val="110"/>
          <w:sz w:val="20"/>
        </w:rPr>
        <w:t>y</w:t>
      </w:r>
      <w:r>
        <w:rPr>
          <w:color w:val="231F1F"/>
          <w:spacing w:val="-9"/>
          <w:w w:val="110"/>
          <w:sz w:val="20"/>
        </w:rPr>
        <w:t> </w:t>
      </w:r>
      <w:r>
        <w:rPr>
          <w:color w:val="231F1F"/>
          <w:spacing w:val="-2"/>
          <w:w w:val="110"/>
          <w:sz w:val="20"/>
        </w:rPr>
        <w:t>revisión</w:t>
      </w:r>
      <w:r>
        <w:rPr>
          <w:color w:val="231F1F"/>
          <w:spacing w:val="-9"/>
          <w:w w:val="110"/>
          <w:sz w:val="20"/>
        </w:rPr>
        <w:t> </w:t>
      </w:r>
      <w:r>
        <w:rPr>
          <w:color w:val="231F1F"/>
          <w:spacing w:val="-2"/>
          <w:w w:val="110"/>
          <w:sz w:val="20"/>
        </w:rPr>
        <w:t>sistemática.</w:t>
      </w:r>
      <w:r>
        <w:rPr>
          <w:color w:val="231F1F"/>
          <w:spacing w:val="-9"/>
          <w:w w:val="110"/>
          <w:sz w:val="20"/>
        </w:rPr>
        <w:t> </w:t>
      </w:r>
      <w:r>
        <w:rPr>
          <w:color w:val="231F1F"/>
          <w:spacing w:val="-2"/>
          <w:w w:val="110"/>
          <w:sz w:val="20"/>
        </w:rPr>
        <w:t>Madrid:</w:t>
      </w:r>
      <w:r>
        <w:rPr>
          <w:color w:val="231F1F"/>
          <w:spacing w:val="-9"/>
          <w:w w:val="110"/>
          <w:sz w:val="20"/>
        </w:rPr>
        <w:t> </w:t>
      </w:r>
      <w:r>
        <w:rPr>
          <w:color w:val="231F1F"/>
          <w:spacing w:val="-2"/>
          <w:w w:val="110"/>
          <w:sz w:val="20"/>
        </w:rPr>
        <w:t>Ministerio</w:t>
      </w:r>
      <w:r>
        <w:rPr>
          <w:color w:val="231F1F"/>
          <w:spacing w:val="-9"/>
          <w:w w:val="110"/>
          <w:sz w:val="20"/>
        </w:rPr>
        <w:t> </w:t>
      </w:r>
      <w:r>
        <w:rPr>
          <w:color w:val="231F1F"/>
          <w:spacing w:val="-2"/>
          <w:w w:val="110"/>
          <w:sz w:val="20"/>
        </w:rPr>
        <w:t>de</w:t>
      </w:r>
      <w:r>
        <w:rPr>
          <w:color w:val="231F1F"/>
          <w:spacing w:val="-9"/>
          <w:w w:val="110"/>
          <w:sz w:val="20"/>
        </w:rPr>
        <w:t> </w:t>
      </w:r>
      <w:r>
        <w:rPr>
          <w:color w:val="231F1F"/>
          <w:spacing w:val="-2"/>
          <w:w w:val="110"/>
          <w:sz w:val="20"/>
        </w:rPr>
        <w:t>Ciencia</w:t>
      </w:r>
      <w:r>
        <w:rPr>
          <w:color w:val="231F1F"/>
          <w:spacing w:val="-9"/>
          <w:w w:val="110"/>
          <w:sz w:val="20"/>
        </w:rPr>
        <w:t> </w:t>
      </w:r>
      <w:r>
        <w:rPr>
          <w:color w:val="231F1F"/>
          <w:spacing w:val="-2"/>
          <w:w w:val="110"/>
          <w:sz w:val="20"/>
        </w:rPr>
        <w:t>e </w:t>
      </w:r>
      <w:r>
        <w:rPr>
          <w:color w:val="231F1F"/>
          <w:w w:val="110"/>
          <w:sz w:val="20"/>
        </w:rPr>
        <w:t>Innnovación. Avalia-t 2007;/03.</w:t>
      </w:r>
    </w:p>
    <w:p>
      <w:pPr>
        <w:pStyle w:val="ListParagraph"/>
        <w:numPr>
          <w:ilvl w:val="0"/>
          <w:numId w:val="109"/>
        </w:numPr>
        <w:tabs>
          <w:tab w:pos="792" w:val="left" w:leader="none"/>
        </w:tabs>
        <w:spacing w:line="230" w:lineRule="auto" w:before="167" w:after="0"/>
        <w:ind w:left="792" w:right="125" w:hanging="411"/>
        <w:jc w:val="both"/>
        <w:rPr>
          <w:sz w:val="20"/>
        </w:rPr>
      </w:pPr>
      <w:r>
        <w:rPr>
          <w:color w:val="231F1F"/>
          <w:w w:val="105"/>
          <w:sz w:val="20"/>
        </w:rPr>
        <w:t>Oxford</w:t>
      </w:r>
      <w:r>
        <w:rPr>
          <w:color w:val="231F1F"/>
          <w:spacing w:val="-12"/>
          <w:w w:val="105"/>
          <w:sz w:val="20"/>
        </w:rPr>
        <w:t> </w:t>
      </w:r>
      <w:r>
        <w:rPr>
          <w:color w:val="231F1F"/>
          <w:w w:val="105"/>
          <w:sz w:val="20"/>
        </w:rPr>
        <w:t>Centre</w:t>
      </w:r>
      <w:r>
        <w:rPr>
          <w:color w:val="231F1F"/>
          <w:spacing w:val="-11"/>
          <w:w w:val="105"/>
          <w:sz w:val="20"/>
        </w:rPr>
        <w:t> </w:t>
      </w:r>
      <w:r>
        <w:rPr>
          <w:color w:val="231F1F"/>
          <w:w w:val="105"/>
          <w:sz w:val="20"/>
        </w:rPr>
        <w:t>for</w:t>
      </w:r>
      <w:r>
        <w:rPr>
          <w:color w:val="231F1F"/>
          <w:spacing w:val="-11"/>
          <w:w w:val="105"/>
          <w:sz w:val="20"/>
        </w:rPr>
        <w:t> </w:t>
      </w:r>
      <w:r>
        <w:rPr>
          <w:color w:val="231F1F"/>
          <w:w w:val="105"/>
          <w:sz w:val="20"/>
        </w:rPr>
        <w:t>Evidence-based</w:t>
      </w:r>
      <w:r>
        <w:rPr>
          <w:color w:val="231F1F"/>
          <w:spacing w:val="-11"/>
          <w:w w:val="105"/>
          <w:sz w:val="20"/>
        </w:rPr>
        <w:t> </w:t>
      </w:r>
      <w:r>
        <w:rPr>
          <w:color w:val="231F1F"/>
          <w:w w:val="105"/>
          <w:sz w:val="20"/>
        </w:rPr>
        <w:t>Medicine</w:t>
      </w:r>
      <w:r>
        <w:rPr>
          <w:color w:val="231F1F"/>
          <w:spacing w:val="-11"/>
          <w:w w:val="105"/>
          <w:sz w:val="20"/>
        </w:rPr>
        <w:t> </w:t>
      </w:r>
      <w:r>
        <w:rPr>
          <w:color w:val="231F1F"/>
          <w:w w:val="105"/>
          <w:sz w:val="20"/>
        </w:rPr>
        <w:t>[sitio</w:t>
      </w:r>
      <w:r>
        <w:rPr>
          <w:color w:val="231F1F"/>
          <w:spacing w:val="-11"/>
          <w:w w:val="105"/>
          <w:sz w:val="20"/>
        </w:rPr>
        <w:t> </w:t>
      </w:r>
      <w:r>
        <w:rPr>
          <w:color w:val="231F1F"/>
          <w:w w:val="105"/>
          <w:sz w:val="20"/>
        </w:rPr>
        <w:t>web].Oxford.</w:t>
      </w:r>
      <w:r>
        <w:rPr>
          <w:color w:val="231F1F"/>
          <w:spacing w:val="-12"/>
          <w:w w:val="105"/>
          <w:sz w:val="20"/>
        </w:rPr>
        <w:t> </w:t>
      </w:r>
      <w:r>
        <w:rPr>
          <w:color w:val="231F1F"/>
          <w:w w:val="105"/>
          <w:sz w:val="20"/>
        </w:rPr>
        <w:t>Levels</w:t>
      </w:r>
      <w:r>
        <w:rPr>
          <w:color w:val="231F1F"/>
          <w:spacing w:val="-10"/>
          <w:w w:val="105"/>
          <w:sz w:val="20"/>
        </w:rPr>
        <w:t> </w:t>
      </w:r>
      <w:r>
        <w:rPr>
          <w:color w:val="231F1F"/>
          <w:w w:val="105"/>
          <w:sz w:val="20"/>
        </w:rPr>
        <w:t>of</w:t>
      </w:r>
      <w:r>
        <w:rPr>
          <w:color w:val="231F1F"/>
          <w:spacing w:val="-11"/>
          <w:w w:val="105"/>
          <w:sz w:val="20"/>
        </w:rPr>
        <w:t> </w:t>
      </w:r>
      <w:r>
        <w:rPr>
          <w:color w:val="231F1F"/>
          <w:w w:val="105"/>
          <w:sz w:val="20"/>
        </w:rPr>
        <w:t>Evidence</w:t>
      </w:r>
      <w:r>
        <w:rPr>
          <w:color w:val="231F1F"/>
          <w:spacing w:val="-11"/>
          <w:w w:val="105"/>
          <w:sz w:val="20"/>
        </w:rPr>
        <w:t> </w:t>
      </w:r>
      <w:r>
        <w:rPr>
          <w:color w:val="231F1F"/>
          <w:w w:val="105"/>
          <w:sz w:val="20"/>
        </w:rPr>
        <w:t>and</w:t>
      </w:r>
      <w:r>
        <w:rPr>
          <w:color w:val="231F1F"/>
          <w:spacing w:val="-11"/>
          <w:w w:val="105"/>
          <w:sz w:val="20"/>
        </w:rPr>
        <w:t> </w:t>
      </w:r>
      <w:r>
        <w:rPr>
          <w:color w:val="231F1F"/>
          <w:w w:val="105"/>
          <w:sz w:val="20"/>
        </w:rPr>
        <w:t>Grades of Recommendation. Disponible en: </w:t>
      </w:r>
      <w:hyperlink r:id="rId101">
        <w:r>
          <w:rPr>
            <w:color w:val="A30046"/>
            <w:w w:val="105"/>
            <w:sz w:val="20"/>
          </w:rPr>
          <w:t>http://www</w:t>
        </w:r>
      </w:hyperlink>
      <w:r>
        <w:rPr>
          <w:color w:val="A30046"/>
          <w:w w:val="105"/>
          <w:sz w:val="20"/>
        </w:rPr>
        <w:t> cebm net/index aspx?o=1047 2001</w:t>
      </w:r>
      <w:r>
        <w:rPr>
          <w:color w:val="231F1F"/>
          <w:w w:val="105"/>
          <w:sz w:val="20"/>
        </w:rPr>
        <w:t>.</w:t>
      </w:r>
    </w:p>
    <w:p>
      <w:pPr>
        <w:pStyle w:val="ListParagraph"/>
        <w:numPr>
          <w:ilvl w:val="0"/>
          <w:numId w:val="109"/>
        </w:numPr>
        <w:tabs>
          <w:tab w:pos="791" w:val="left" w:leader="none"/>
        </w:tabs>
        <w:spacing w:line="230" w:lineRule="auto" w:before="168" w:after="0"/>
        <w:ind w:left="791" w:right="126" w:hanging="511"/>
        <w:jc w:val="both"/>
        <w:rPr>
          <w:sz w:val="20"/>
        </w:rPr>
      </w:pPr>
      <w:r>
        <w:rPr>
          <w:color w:val="231F1F"/>
          <w:spacing w:val="-2"/>
          <w:w w:val="110"/>
          <w:sz w:val="20"/>
        </w:rPr>
        <w:t>National</w:t>
      </w:r>
      <w:r>
        <w:rPr>
          <w:color w:val="231F1F"/>
          <w:spacing w:val="-6"/>
          <w:w w:val="110"/>
          <w:sz w:val="20"/>
        </w:rPr>
        <w:t> </w:t>
      </w:r>
      <w:r>
        <w:rPr>
          <w:color w:val="231F1F"/>
          <w:spacing w:val="-2"/>
          <w:w w:val="110"/>
          <w:sz w:val="20"/>
        </w:rPr>
        <w:t>Collaborating</w:t>
      </w:r>
      <w:r>
        <w:rPr>
          <w:color w:val="231F1F"/>
          <w:spacing w:val="-4"/>
          <w:w w:val="110"/>
          <w:sz w:val="20"/>
        </w:rPr>
        <w:t> </w:t>
      </w:r>
      <w:r>
        <w:rPr>
          <w:color w:val="231F1F"/>
          <w:spacing w:val="-2"/>
          <w:w w:val="110"/>
          <w:sz w:val="20"/>
        </w:rPr>
        <w:t>Centre</w:t>
      </w:r>
      <w:r>
        <w:rPr>
          <w:color w:val="231F1F"/>
          <w:spacing w:val="-4"/>
          <w:w w:val="110"/>
          <w:sz w:val="20"/>
        </w:rPr>
        <w:t> </w:t>
      </w:r>
      <w:r>
        <w:rPr>
          <w:color w:val="231F1F"/>
          <w:spacing w:val="-2"/>
          <w:w w:val="110"/>
          <w:sz w:val="20"/>
        </w:rPr>
        <w:t>for</w:t>
      </w:r>
      <w:r>
        <w:rPr>
          <w:color w:val="231F1F"/>
          <w:spacing w:val="-7"/>
          <w:w w:val="110"/>
          <w:sz w:val="20"/>
        </w:rPr>
        <w:t> </w:t>
      </w:r>
      <w:r>
        <w:rPr>
          <w:color w:val="231F1F"/>
          <w:spacing w:val="-2"/>
          <w:w w:val="110"/>
          <w:sz w:val="20"/>
        </w:rPr>
        <w:t>Women´s</w:t>
      </w:r>
      <w:r>
        <w:rPr>
          <w:color w:val="231F1F"/>
          <w:spacing w:val="-4"/>
          <w:w w:val="110"/>
          <w:sz w:val="20"/>
        </w:rPr>
        <w:t> </w:t>
      </w:r>
      <w:r>
        <w:rPr>
          <w:color w:val="231F1F"/>
          <w:spacing w:val="-2"/>
          <w:w w:val="110"/>
          <w:sz w:val="20"/>
        </w:rPr>
        <w:t>and</w:t>
      </w:r>
      <w:r>
        <w:rPr>
          <w:color w:val="231F1F"/>
          <w:spacing w:val="-4"/>
          <w:w w:val="110"/>
          <w:sz w:val="20"/>
        </w:rPr>
        <w:t> </w:t>
      </w:r>
      <w:r>
        <w:rPr>
          <w:color w:val="231F1F"/>
          <w:spacing w:val="-2"/>
          <w:w w:val="110"/>
          <w:sz w:val="20"/>
        </w:rPr>
        <w:t>Children´s</w:t>
      </w:r>
      <w:r>
        <w:rPr>
          <w:color w:val="231F1F"/>
          <w:spacing w:val="-4"/>
          <w:w w:val="110"/>
          <w:sz w:val="20"/>
        </w:rPr>
        <w:t> </w:t>
      </w:r>
      <w:r>
        <w:rPr>
          <w:color w:val="231F1F"/>
          <w:spacing w:val="-2"/>
          <w:w w:val="110"/>
          <w:sz w:val="20"/>
        </w:rPr>
        <w:t>Health.</w:t>
      </w:r>
      <w:r>
        <w:rPr>
          <w:color w:val="231F1F"/>
          <w:spacing w:val="-7"/>
          <w:w w:val="110"/>
          <w:sz w:val="20"/>
        </w:rPr>
        <w:t> </w:t>
      </w:r>
      <w:r>
        <w:rPr>
          <w:color w:val="231F1F"/>
          <w:spacing w:val="-2"/>
          <w:w w:val="110"/>
          <w:sz w:val="20"/>
        </w:rPr>
        <w:t>Intrapartum</w:t>
      </w:r>
      <w:r>
        <w:rPr>
          <w:color w:val="231F1F"/>
          <w:spacing w:val="-4"/>
          <w:w w:val="110"/>
          <w:sz w:val="20"/>
        </w:rPr>
        <w:t> </w:t>
      </w:r>
      <w:r>
        <w:rPr>
          <w:color w:val="231F1F"/>
          <w:spacing w:val="-2"/>
          <w:w w:val="110"/>
          <w:sz w:val="20"/>
        </w:rPr>
        <w:t>care:</w:t>
      </w:r>
      <w:r>
        <w:rPr>
          <w:color w:val="231F1F"/>
          <w:spacing w:val="-6"/>
          <w:w w:val="110"/>
          <w:sz w:val="20"/>
        </w:rPr>
        <w:t> </w:t>
      </w:r>
      <w:r>
        <w:rPr>
          <w:color w:val="231F1F"/>
          <w:spacing w:val="-2"/>
          <w:w w:val="110"/>
          <w:sz w:val="20"/>
        </w:rPr>
        <w:t>care</w:t>
      </w:r>
      <w:r>
        <w:rPr>
          <w:color w:val="231F1F"/>
          <w:spacing w:val="-4"/>
          <w:w w:val="110"/>
          <w:sz w:val="20"/>
        </w:rPr>
        <w:t> </w:t>
      </w:r>
      <w:r>
        <w:rPr>
          <w:color w:val="231F1F"/>
          <w:spacing w:val="-2"/>
          <w:w w:val="110"/>
          <w:sz w:val="20"/>
        </w:rPr>
        <w:t>of </w:t>
      </w:r>
      <w:r>
        <w:rPr>
          <w:color w:val="231F1F"/>
          <w:w w:val="110"/>
          <w:sz w:val="20"/>
        </w:rPr>
        <w:t>healthy women and their babies during childbirth. Clinical Guideline 2007.</w:t>
      </w:r>
    </w:p>
    <w:p>
      <w:pPr>
        <w:pStyle w:val="ListParagraph"/>
        <w:numPr>
          <w:ilvl w:val="0"/>
          <w:numId w:val="109"/>
        </w:numPr>
        <w:tabs>
          <w:tab w:pos="793" w:val="left" w:leader="none"/>
        </w:tabs>
        <w:spacing w:line="230" w:lineRule="auto" w:before="168" w:after="0"/>
        <w:ind w:left="793" w:right="122" w:hanging="511"/>
        <w:jc w:val="both"/>
        <w:rPr>
          <w:sz w:val="20"/>
        </w:rPr>
      </w:pPr>
      <w:r>
        <w:rPr>
          <w:color w:val="231F1F"/>
          <w:w w:val="105"/>
          <w:sz w:val="20"/>
        </w:rPr>
        <w:t>Hodnett</w:t>
      </w:r>
      <w:r>
        <w:rPr>
          <w:color w:val="231F1F"/>
          <w:w w:val="105"/>
          <w:sz w:val="20"/>
        </w:rPr>
        <w:t> ED.</w:t>
      </w:r>
      <w:r>
        <w:rPr>
          <w:color w:val="231F1F"/>
          <w:w w:val="105"/>
          <w:sz w:val="20"/>
        </w:rPr>
        <w:t> Pain</w:t>
      </w:r>
      <w:r>
        <w:rPr>
          <w:color w:val="231F1F"/>
          <w:w w:val="105"/>
          <w:sz w:val="20"/>
        </w:rPr>
        <w:t> and</w:t>
      </w:r>
      <w:r>
        <w:rPr>
          <w:color w:val="231F1F"/>
          <w:w w:val="105"/>
          <w:sz w:val="20"/>
        </w:rPr>
        <w:t> women’s</w:t>
      </w:r>
      <w:r>
        <w:rPr>
          <w:color w:val="231F1F"/>
          <w:w w:val="105"/>
          <w:sz w:val="20"/>
        </w:rPr>
        <w:t> satisfaction</w:t>
      </w:r>
      <w:r>
        <w:rPr>
          <w:color w:val="231F1F"/>
          <w:w w:val="105"/>
          <w:sz w:val="20"/>
        </w:rPr>
        <w:t> with</w:t>
      </w:r>
      <w:r>
        <w:rPr>
          <w:color w:val="231F1F"/>
          <w:w w:val="105"/>
          <w:sz w:val="20"/>
        </w:rPr>
        <w:t> the</w:t>
      </w:r>
      <w:r>
        <w:rPr>
          <w:color w:val="231F1F"/>
          <w:w w:val="105"/>
          <w:sz w:val="20"/>
        </w:rPr>
        <w:t> experience</w:t>
      </w:r>
      <w:r>
        <w:rPr>
          <w:color w:val="231F1F"/>
          <w:w w:val="105"/>
          <w:sz w:val="20"/>
        </w:rPr>
        <w:t> of</w:t>
      </w:r>
      <w:r>
        <w:rPr>
          <w:color w:val="231F1F"/>
          <w:w w:val="105"/>
          <w:sz w:val="20"/>
        </w:rPr>
        <w:t> childbirth:</w:t>
      </w:r>
      <w:r>
        <w:rPr>
          <w:color w:val="231F1F"/>
          <w:w w:val="105"/>
          <w:sz w:val="20"/>
        </w:rPr>
        <w:t> A</w:t>
      </w:r>
      <w:r>
        <w:rPr>
          <w:color w:val="231F1F"/>
          <w:w w:val="105"/>
          <w:sz w:val="20"/>
        </w:rPr>
        <w:t> systematic review. Am J Obstet Gynecol 2002;186(5 SUPPL.).</w:t>
      </w:r>
    </w:p>
    <w:p>
      <w:pPr>
        <w:pStyle w:val="ListParagraph"/>
        <w:numPr>
          <w:ilvl w:val="0"/>
          <w:numId w:val="109"/>
        </w:numPr>
        <w:tabs>
          <w:tab w:pos="793" w:val="left" w:leader="none"/>
        </w:tabs>
        <w:spacing w:line="232" w:lineRule="auto" w:before="162" w:after="0"/>
        <w:ind w:left="793" w:right="112" w:hanging="511"/>
        <w:jc w:val="both"/>
        <w:rPr>
          <w:sz w:val="20"/>
        </w:rPr>
      </w:pPr>
      <w:r>
        <w:rPr>
          <w:color w:val="231F1F"/>
          <w:w w:val="105"/>
          <w:sz w:val="20"/>
        </w:rPr>
        <w:t>Hatem M, Sandall J, Devane D, Soltani H, Gates S. Midwife-led versus other models of care for</w:t>
      </w:r>
      <w:r>
        <w:rPr>
          <w:color w:val="231F1F"/>
          <w:w w:val="105"/>
          <w:sz w:val="20"/>
        </w:rPr>
        <w:t> childbearing</w:t>
      </w:r>
      <w:r>
        <w:rPr>
          <w:color w:val="231F1F"/>
          <w:w w:val="105"/>
          <w:sz w:val="20"/>
        </w:rPr>
        <w:t> women.</w:t>
      </w:r>
      <w:r>
        <w:rPr>
          <w:color w:val="231F1F"/>
          <w:w w:val="105"/>
          <w:sz w:val="20"/>
        </w:rPr>
        <w:t> Cochrane</w:t>
      </w:r>
      <w:r>
        <w:rPr>
          <w:color w:val="231F1F"/>
          <w:w w:val="105"/>
          <w:sz w:val="20"/>
        </w:rPr>
        <w:t> Database</w:t>
      </w:r>
      <w:r>
        <w:rPr>
          <w:color w:val="231F1F"/>
          <w:w w:val="105"/>
          <w:sz w:val="20"/>
        </w:rPr>
        <w:t> Syst</w:t>
      </w:r>
      <w:r>
        <w:rPr>
          <w:color w:val="231F1F"/>
          <w:w w:val="105"/>
          <w:sz w:val="20"/>
        </w:rPr>
        <w:t> Rev</w:t>
      </w:r>
      <w:r>
        <w:rPr>
          <w:color w:val="231F1F"/>
          <w:w w:val="105"/>
          <w:sz w:val="20"/>
        </w:rPr>
        <w:t> 2008;(Issue</w:t>
      </w:r>
      <w:r>
        <w:rPr>
          <w:color w:val="231F1F"/>
          <w:w w:val="105"/>
          <w:sz w:val="20"/>
        </w:rPr>
        <w:t> 4.</w:t>
      </w:r>
      <w:r>
        <w:rPr>
          <w:color w:val="231F1F"/>
          <w:w w:val="105"/>
          <w:sz w:val="20"/>
        </w:rPr>
        <w:t> Art.</w:t>
      </w:r>
      <w:r>
        <w:rPr>
          <w:color w:val="231F1F"/>
          <w:w w:val="105"/>
          <w:sz w:val="20"/>
        </w:rPr>
        <w:t> No.:</w:t>
      </w:r>
      <w:r>
        <w:rPr>
          <w:color w:val="231F1F"/>
          <w:w w:val="105"/>
          <w:sz w:val="20"/>
        </w:rPr>
        <w:t> CD004667. DOI:</w:t>
      </w:r>
      <w:r>
        <w:rPr>
          <w:color w:val="231F1F"/>
          <w:spacing w:val="-16"/>
          <w:w w:val="105"/>
          <w:sz w:val="20"/>
        </w:rPr>
        <w:t> </w:t>
      </w:r>
      <w:r>
        <w:rPr>
          <w:color w:val="231F1F"/>
          <w:w w:val="105"/>
          <w:sz w:val="20"/>
        </w:rPr>
        <w:t>10.1002/14651858.CD004667.pub2).</w:t>
      </w:r>
    </w:p>
    <w:p>
      <w:pPr>
        <w:pStyle w:val="ListParagraph"/>
        <w:numPr>
          <w:ilvl w:val="0"/>
          <w:numId w:val="109"/>
        </w:numPr>
        <w:tabs>
          <w:tab w:pos="791" w:val="left" w:leader="none"/>
        </w:tabs>
        <w:spacing w:line="230" w:lineRule="auto" w:before="168" w:after="0"/>
        <w:ind w:left="791" w:right="107" w:hanging="511"/>
        <w:jc w:val="both"/>
        <w:rPr>
          <w:sz w:val="20"/>
        </w:rPr>
      </w:pPr>
      <w:r>
        <w:rPr>
          <w:color w:val="231F1F"/>
          <w:w w:val="110"/>
          <w:sz w:val="20"/>
        </w:rPr>
        <w:t>Hodnett</w:t>
      </w:r>
      <w:r>
        <w:rPr>
          <w:color w:val="231F1F"/>
          <w:w w:val="110"/>
          <w:sz w:val="20"/>
        </w:rPr>
        <w:t> ED,</w:t>
      </w:r>
      <w:r>
        <w:rPr>
          <w:color w:val="231F1F"/>
          <w:w w:val="110"/>
          <w:sz w:val="20"/>
        </w:rPr>
        <w:t> Gates</w:t>
      </w:r>
      <w:r>
        <w:rPr>
          <w:color w:val="231F1F"/>
          <w:w w:val="110"/>
          <w:sz w:val="20"/>
        </w:rPr>
        <w:t> S,</w:t>
      </w:r>
      <w:r>
        <w:rPr>
          <w:color w:val="231F1F"/>
          <w:w w:val="110"/>
          <w:sz w:val="20"/>
        </w:rPr>
        <w:t> Hofmeyr</w:t>
      </w:r>
      <w:r>
        <w:rPr>
          <w:color w:val="231F1F"/>
          <w:w w:val="110"/>
          <w:sz w:val="20"/>
        </w:rPr>
        <w:t> GJ,</w:t>
      </w:r>
      <w:r>
        <w:rPr>
          <w:color w:val="231F1F"/>
          <w:w w:val="110"/>
          <w:sz w:val="20"/>
        </w:rPr>
        <w:t> Sakala</w:t>
      </w:r>
      <w:r>
        <w:rPr>
          <w:color w:val="231F1F"/>
          <w:w w:val="110"/>
          <w:sz w:val="20"/>
        </w:rPr>
        <w:t> C.</w:t>
      </w:r>
      <w:r>
        <w:rPr>
          <w:color w:val="231F1F"/>
          <w:w w:val="110"/>
          <w:sz w:val="20"/>
        </w:rPr>
        <w:t> Continuous</w:t>
      </w:r>
      <w:r>
        <w:rPr>
          <w:color w:val="231F1F"/>
          <w:w w:val="110"/>
          <w:sz w:val="20"/>
        </w:rPr>
        <w:t> support</w:t>
      </w:r>
      <w:r>
        <w:rPr>
          <w:color w:val="231F1F"/>
          <w:w w:val="110"/>
          <w:sz w:val="20"/>
        </w:rPr>
        <w:t> for</w:t>
      </w:r>
      <w:r>
        <w:rPr>
          <w:color w:val="231F1F"/>
          <w:w w:val="110"/>
          <w:sz w:val="20"/>
        </w:rPr>
        <w:t> women</w:t>
      </w:r>
      <w:r>
        <w:rPr>
          <w:color w:val="231F1F"/>
          <w:w w:val="110"/>
          <w:sz w:val="20"/>
        </w:rPr>
        <w:t> during childbirth.</w:t>
      </w:r>
      <w:r>
        <w:rPr>
          <w:color w:val="231F1F"/>
          <w:w w:val="110"/>
          <w:sz w:val="20"/>
        </w:rPr>
        <w:t> Cochrane</w:t>
      </w:r>
      <w:r>
        <w:rPr>
          <w:color w:val="231F1F"/>
          <w:w w:val="110"/>
          <w:sz w:val="20"/>
        </w:rPr>
        <w:t> Review</w:t>
      </w:r>
      <w:r>
        <w:rPr>
          <w:color w:val="231F1F"/>
          <w:w w:val="110"/>
          <w:sz w:val="20"/>
        </w:rPr>
        <w:t> In:</w:t>
      </w:r>
      <w:r>
        <w:rPr>
          <w:color w:val="231F1F"/>
          <w:w w:val="110"/>
          <w:sz w:val="20"/>
        </w:rPr>
        <w:t> Cochran</w:t>
      </w:r>
      <w:r>
        <w:rPr>
          <w:color w:val="231F1F"/>
          <w:w w:val="110"/>
          <w:sz w:val="20"/>
        </w:rPr>
        <w:t> Database</w:t>
      </w:r>
      <w:r>
        <w:rPr>
          <w:color w:val="231F1F"/>
          <w:w w:val="110"/>
          <w:sz w:val="20"/>
        </w:rPr>
        <w:t> of</w:t>
      </w:r>
      <w:r>
        <w:rPr>
          <w:color w:val="231F1F"/>
          <w:w w:val="110"/>
          <w:sz w:val="20"/>
        </w:rPr>
        <w:t> Systematic</w:t>
      </w:r>
      <w:r>
        <w:rPr>
          <w:color w:val="231F1F"/>
          <w:w w:val="110"/>
          <w:sz w:val="20"/>
        </w:rPr>
        <w:t> Reviews</w:t>
      </w:r>
      <w:r>
        <w:rPr>
          <w:color w:val="231F1F"/>
          <w:w w:val="110"/>
          <w:sz w:val="20"/>
        </w:rPr>
        <w:t> 2004;Oxford: Update Software.</w:t>
      </w:r>
    </w:p>
    <w:p>
      <w:pPr>
        <w:pStyle w:val="ListParagraph"/>
        <w:numPr>
          <w:ilvl w:val="0"/>
          <w:numId w:val="109"/>
        </w:numPr>
        <w:tabs>
          <w:tab w:pos="792" w:val="left" w:leader="none"/>
        </w:tabs>
        <w:spacing w:line="235" w:lineRule="auto" w:before="164" w:after="0"/>
        <w:ind w:left="792" w:right="112" w:hanging="511"/>
        <w:jc w:val="both"/>
        <w:rPr>
          <w:sz w:val="20"/>
        </w:rPr>
      </w:pPr>
      <w:r>
        <w:rPr>
          <w:color w:val="231F1F"/>
          <w:w w:val="105"/>
          <w:sz w:val="20"/>
        </w:rPr>
        <w:t>Hodnett</w:t>
      </w:r>
      <w:r>
        <w:rPr>
          <w:color w:val="231F1F"/>
          <w:spacing w:val="-3"/>
          <w:w w:val="105"/>
          <w:sz w:val="20"/>
        </w:rPr>
        <w:t> </w:t>
      </w:r>
      <w:r>
        <w:rPr>
          <w:color w:val="231F1F"/>
          <w:w w:val="105"/>
          <w:sz w:val="20"/>
        </w:rPr>
        <w:t>ED,</w:t>
      </w:r>
      <w:r>
        <w:rPr>
          <w:color w:val="231F1F"/>
          <w:spacing w:val="-3"/>
          <w:w w:val="105"/>
          <w:sz w:val="20"/>
        </w:rPr>
        <w:t> </w:t>
      </w:r>
      <w:r>
        <w:rPr>
          <w:color w:val="231F1F"/>
          <w:w w:val="105"/>
          <w:sz w:val="20"/>
        </w:rPr>
        <w:t>Gates</w:t>
      </w:r>
      <w:r>
        <w:rPr>
          <w:color w:val="231F1F"/>
          <w:spacing w:val="-3"/>
          <w:w w:val="105"/>
          <w:sz w:val="20"/>
        </w:rPr>
        <w:t> </w:t>
      </w:r>
      <w:r>
        <w:rPr>
          <w:color w:val="231F1F"/>
          <w:w w:val="105"/>
          <w:sz w:val="20"/>
        </w:rPr>
        <w:t>S,</w:t>
      </w:r>
      <w:r>
        <w:rPr>
          <w:color w:val="231F1F"/>
          <w:spacing w:val="-3"/>
          <w:w w:val="105"/>
          <w:sz w:val="20"/>
        </w:rPr>
        <w:t> </w:t>
      </w:r>
      <w:r>
        <w:rPr>
          <w:color w:val="231F1F"/>
          <w:w w:val="105"/>
          <w:sz w:val="20"/>
        </w:rPr>
        <w:t>Hofmeyr</w:t>
      </w:r>
      <w:r>
        <w:rPr>
          <w:color w:val="231F1F"/>
          <w:spacing w:val="-3"/>
          <w:w w:val="105"/>
          <w:sz w:val="20"/>
        </w:rPr>
        <w:t> </w:t>
      </w:r>
      <w:r>
        <w:rPr>
          <w:color w:val="231F1F"/>
          <w:w w:val="105"/>
          <w:sz w:val="20"/>
        </w:rPr>
        <w:t>GJ,</w:t>
      </w:r>
      <w:r>
        <w:rPr>
          <w:color w:val="231F1F"/>
          <w:spacing w:val="-3"/>
          <w:w w:val="105"/>
          <w:sz w:val="20"/>
        </w:rPr>
        <w:t> </w:t>
      </w:r>
      <w:r>
        <w:rPr>
          <w:color w:val="231F1F"/>
          <w:w w:val="105"/>
          <w:sz w:val="20"/>
        </w:rPr>
        <w:t>Sakala</w:t>
      </w:r>
      <w:r>
        <w:rPr>
          <w:color w:val="231F1F"/>
          <w:spacing w:val="-4"/>
          <w:w w:val="105"/>
          <w:sz w:val="20"/>
        </w:rPr>
        <w:t> </w:t>
      </w:r>
      <w:r>
        <w:rPr>
          <w:color w:val="231F1F"/>
          <w:w w:val="105"/>
          <w:sz w:val="20"/>
        </w:rPr>
        <w:t>C.Apoyo</w:t>
      </w:r>
      <w:r>
        <w:rPr>
          <w:color w:val="231F1F"/>
          <w:spacing w:val="-4"/>
          <w:w w:val="105"/>
          <w:sz w:val="20"/>
        </w:rPr>
        <w:t> </w:t>
      </w:r>
      <w:r>
        <w:rPr>
          <w:color w:val="231F1F"/>
          <w:w w:val="105"/>
          <w:sz w:val="20"/>
        </w:rPr>
        <w:t>continuo</w:t>
      </w:r>
      <w:r>
        <w:rPr>
          <w:color w:val="231F1F"/>
          <w:spacing w:val="-4"/>
          <w:w w:val="105"/>
          <w:sz w:val="20"/>
        </w:rPr>
        <w:t> </w:t>
      </w:r>
      <w:r>
        <w:rPr>
          <w:color w:val="231F1F"/>
          <w:w w:val="105"/>
          <w:sz w:val="20"/>
        </w:rPr>
        <w:t>para</w:t>
      </w:r>
      <w:r>
        <w:rPr>
          <w:color w:val="231F1F"/>
          <w:spacing w:val="-3"/>
          <w:w w:val="105"/>
          <w:sz w:val="20"/>
        </w:rPr>
        <w:t> </w:t>
      </w:r>
      <w:r>
        <w:rPr>
          <w:color w:val="231F1F"/>
          <w:w w:val="105"/>
          <w:sz w:val="20"/>
        </w:rPr>
        <w:t>las</w:t>
      </w:r>
      <w:r>
        <w:rPr>
          <w:color w:val="231F1F"/>
          <w:spacing w:val="-3"/>
          <w:w w:val="105"/>
          <w:sz w:val="20"/>
        </w:rPr>
        <w:t> </w:t>
      </w:r>
      <w:r>
        <w:rPr>
          <w:color w:val="231F1F"/>
          <w:w w:val="105"/>
          <w:sz w:val="20"/>
        </w:rPr>
        <w:t>mujeres</w:t>
      </w:r>
      <w:r>
        <w:rPr>
          <w:color w:val="231F1F"/>
          <w:spacing w:val="-3"/>
          <w:w w:val="105"/>
          <w:sz w:val="20"/>
        </w:rPr>
        <w:t> </w:t>
      </w:r>
      <w:r>
        <w:rPr>
          <w:color w:val="231F1F"/>
          <w:w w:val="105"/>
          <w:sz w:val="20"/>
        </w:rPr>
        <w:t>durante</w:t>
      </w:r>
      <w:r>
        <w:rPr>
          <w:color w:val="231F1F"/>
          <w:spacing w:val="-4"/>
          <w:w w:val="105"/>
          <w:sz w:val="20"/>
        </w:rPr>
        <w:t> </w:t>
      </w:r>
      <w:r>
        <w:rPr>
          <w:color w:val="231F1F"/>
          <w:w w:val="105"/>
          <w:sz w:val="20"/>
        </w:rPr>
        <w:t>el</w:t>
      </w:r>
      <w:r>
        <w:rPr>
          <w:color w:val="231F1F"/>
          <w:spacing w:val="-3"/>
          <w:w w:val="105"/>
          <w:sz w:val="20"/>
        </w:rPr>
        <w:t> </w:t>
      </w:r>
      <w:r>
        <w:rPr>
          <w:color w:val="231F1F"/>
          <w:w w:val="105"/>
          <w:sz w:val="20"/>
        </w:rPr>
        <w:t>parto. (Revisión</w:t>
      </w:r>
      <w:r>
        <w:rPr>
          <w:color w:val="231F1F"/>
          <w:spacing w:val="40"/>
          <w:w w:val="105"/>
          <w:sz w:val="20"/>
        </w:rPr>
        <w:t> </w:t>
      </w:r>
      <w:r>
        <w:rPr>
          <w:color w:val="231F1F"/>
          <w:w w:val="105"/>
          <w:sz w:val="20"/>
        </w:rPr>
        <w:t>Cochranae</w:t>
      </w:r>
      <w:r>
        <w:rPr>
          <w:color w:val="231F1F"/>
          <w:spacing w:val="40"/>
          <w:w w:val="105"/>
          <w:sz w:val="20"/>
        </w:rPr>
        <w:t> </w:t>
      </w:r>
      <w:r>
        <w:rPr>
          <w:color w:val="231F1F"/>
          <w:w w:val="105"/>
          <w:sz w:val="20"/>
        </w:rPr>
        <w:t>traducida)</w:t>
      </w:r>
      <w:r>
        <w:rPr>
          <w:color w:val="231F1F"/>
          <w:spacing w:val="40"/>
          <w:w w:val="105"/>
          <w:sz w:val="20"/>
        </w:rPr>
        <w:t> </w:t>
      </w:r>
      <w:r>
        <w:rPr>
          <w:color w:val="231F1F"/>
          <w:w w:val="105"/>
          <w:sz w:val="20"/>
        </w:rPr>
        <w:t>En:La</w:t>
      </w:r>
      <w:r>
        <w:rPr>
          <w:color w:val="231F1F"/>
          <w:spacing w:val="40"/>
          <w:w w:val="105"/>
          <w:sz w:val="20"/>
        </w:rPr>
        <w:t> </w:t>
      </w:r>
      <w:r>
        <w:rPr>
          <w:color w:val="231F1F"/>
          <w:w w:val="105"/>
          <w:sz w:val="20"/>
        </w:rPr>
        <w:t>Biblioteca</w:t>
      </w:r>
      <w:r>
        <w:rPr>
          <w:color w:val="231F1F"/>
          <w:spacing w:val="40"/>
          <w:w w:val="105"/>
          <w:sz w:val="20"/>
        </w:rPr>
        <w:t> </w:t>
      </w:r>
      <w:r>
        <w:rPr>
          <w:color w:val="231F1F"/>
          <w:w w:val="105"/>
          <w:sz w:val="20"/>
        </w:rPr>
        <w:t>Cochrane</w:t>
      </w:r>
      <w:r>
        <w:rPr>
          <w:color w:val="231F1F"/>
          <w:spacing w:val="40"/>
          <w:w w:val="105"/>
          <w:sz w:val="20"/>
        </w:rPr>
        <w:t> </w:t>
      </w:r>
      <w:r>
        <w:rPr>
          <w:color w:val="231F1F"/>
          <w:w w:val="105"/>
          <w:sz w:val="20"/>
        </w:rPr>
        <w:t>Plus,</w:t>
      </w:r>
      <w:r>
        <w:rPr>
          <w:color w:val="231F1F"/>
          <w:spacing w:val="34"/>
          <w:w w:val="105"/>
          <w:sz w:val="20"/>
        </w:rPr>
        <w:t> </w:t>
      </w:r>
      <w:r>
        <w:rPr>
          <w:color w:val="231F1F"/>
          <w:w w:val="105"/>
          <w:sz w:val="20"/>
        </w:rPr>
        <w:t>2008</w:t>
      </w:r>
      <w:r>
        <w:rPr>
          <w:color w:val="231F1F"/>
          <w:spacing w:val="40"/>
          <w:w w:val="105"/>
          <w:sz w:val="20"/>
        </w:rPr>
        <w:t> </w:t>
      </w:r>
      <w:r>
        <w:rPr>
          <w:color w:val="231F1F"/>
          <w:w w:val="105"/>
          <w:sz w:val="20"/>
        </w:rPr>
        <w:t>Número</w:t>
      </w:r>
      <w:r>
        <w:rPr>
          <w:color w:val="231F1F"/>
          <w:spacing w:val="40"/>
          <w:w w:val="105"/>
          <w:sz w:val="20"/>
        </w:rPr>
        <w:t> </w:t>
      </w:r>
      <w:r>
        <w:rPr>
          <w:color w:val="231F1F"/>
          <w:w w:val="105"/>
          <w:sz w:val="20"/>
        </w:rPr>
        <w:t>1,</w:t>
      </w:r>
      <w:r>
        <w:rPr>
          <w:color w:val="231F1F"/>
          <w:spacing w:val="32"/>
          <w:w w:val="105"/>
          <w:sz w:val="20"/>
        </w:rPr>
        <w:t> </w:t>
      </w:r>
      <w:r>
        <w:rPr>
          <w:color w:val="231F1F"/>
          <w:w w:val="105"/>
          <w:sz w:val="20"/>
        </w:rPr>
        <w:t>2008;1.</w:t>
      </w:r>
    </w:p>
    <w:p>
      <w:pPr>
        <w:pStyle w:val="ListParagraph"/>
        <w:spacing w:after="0" w:line="235" w:lineRule="auto"/>
        <w:jc w:val="both"/>
        <w:rPr>
          <w:sz w:val="20"/>
        </w:rPr>
        <w:sectPr>
          <w:footerReference w:type="default" r:id="rId99"/>
          <w:footerReference w:type="even" r:id="rId100"/>
          <w:pgSz w:w="11900" w:h="16840"/>
          <w:pgMar w:header="0" w:footer="622" w:top="1540" w:bottom="820" w:left="1417" w:right="1559"/>
          <w:pgNumType w:start="295"/>
        </w:sectPr>
      </w:pPr>
    </w:p>
    <w:p>
      <w:pPr>
        <w:spacing w:line="230" w:lineRule="auto" w:before="84"/>
        <w:ind w:left="793" w:right="115" w:firstLine="0"/>
        <w:jc w:val="left"/>
        <w:rPr>
          <w:sz w:val="20"/>
        </w:rPr>
      </w:pPr>
      <w:r>
        <w:rPr>
          <w:color w:val="231F1F"/>
          <w:w w:val="105"/>
          <w:sz w:val="20"/>
        </w:rPr>
        <w:t>Oxford:</w:t>
      </w:r>
      <w:r>
        <w:rPr>
          <w:color w:val="231F1F"/>
          <w:spacing w:val="-10"/>
          <w:w w:val="105"/>
          <w:sz w:val="20"/>
        </w:rPr>
        <w:t> </w:t>
      </w:r>
      <w:r>
        <w:rPr>
          <w:color w:val="231F1F"/>
          <w:w w:val="105"/>
          <w:sz w:val="20"/>
        </w:rPr>
        <w:t>Update</w:t>
      </w:r>
      <w:r>
        <w:rPr>
          <w:color w:val="231F1F"/>
          <w:spacing w:val="-11"/>
          <w:w w:val="105"/>
          <w:sz w:val="20"/>
        </w:rPr>
        <w:t> </w:t>
      </w:r>
      <w:r>
        <w:rPr>
          <w:color w:val="231F1F"/>
          <w:w w:val="105"/>
          <w:sz w:val="20"/>
        </w:rPr>
        <w:t>software</w:t>
      </w:r>
      <w:r>
        <w:rPr>
          <w:color w:val="231F1F"/>
          <w:spacing w:val="-10"/>
          <w:w w:val="105"/>
          <w:sz w:val="20"/>
        </w:rPr>
        <w:t> </w:t>
      </w:r>
      <w:r>
        <w:rPr>
          <w:color w:val="231F1F"/>
          <w:w w:val="105"/>
          <w:sz w:val="20"/>
        </w:rPr>
        <w:t>Ltd.</w:t>
      </w:r>
      <w:r>
        <w:rPr>
          <w:color w:val="231F1F"/>
          <w:spacing w:val="-10"/>
          <w:w w:val="105"/>
          <w:sz w:val="20"/>
        </w:rPr>
        <w:t> </w:t>
      </w:r>
      <w:r>
        <w:rPr>
          <w:color w:val="231F1F"/>
          <w:w w:val="105"/>
          <w:sz w:val="20"/>
        </w:rPr>
        <w:t>Disponible</w:t>
      </w:r>
      <w:r>
        <w:rPr>
          <w:color w:val="231F1F"/>
          <w:spacing w:val="-11"/>
          <w:w w:val="105"/>
          <w:sz w:val="20"/>
        </w:rPr>
        <w:t> </w:t>
      </w:r>
      <w:r>
        <w:rPr>
          <w:color w:val="231F1F"/>
          <w:w w:val="105"/>
          <w:sz w:val="20"/>
        </w:rPr>
        <w:t>en:</w:t>
      </w:r>
      <w:r>
        <w:rPr>
          <w:color w:val="231F1F"/>
          <w:spacing w:val="-11"/>
          <w:w w:val="105"/>
          <w:sz w:val="20"/>
        </w:rPr>
        <w:t> </w:t>
      </w:r>
      <w:hyperlink r:id="rId105">
        <w:r>
          <w:rPr>
            <w:color w:val="A30046"/>
            <w:w w:val="105"/>
            <w:sz w:val="20"/>
          </w:rPr>
          <w:t>http://www.update-software.com</w:t>
        </w:r>
      </w:hyperlink>
      <w:r>
        <w:rPr>
          <w:color w:val="A30046"/>
          <w:spacing w:val="-12"/>
          <w:w w:val="105"/>
          <w:sz w:val="20"/>
        </w:rPr>
        <w:t> </w:t>
      </w:r>
      <w:r>
        <w:rPr>
          <w:color w:val="231F1F"/>
          <w:w w:val="105"/>
          <w:sz w:val="20"/>
        </w:rPr>
        <w:t>(Traducida</w:t>
      </w:r>
      <w:r>
        <w:rPr>
          <w:color w:val="231F1F"/>
          <w:spacing w:val="-11"/>
          <w:w w:val="105"/>
          <w:sz w:val="20"/>
        </w:rPr>
        <w:t> </w:t>
      </w:r>
      <w:r>
        <w:rPr>
          <w:color w:val="231F1F"/>
          <w:w w:val="105"/>
          <w:sz w:val="20"/>
        </w:rPr>
        <w:t>de The Cochrane Library, 2008 Issue 1. Chichester,UK: John Wiley &amp;Sons,Ltd).</w:t>
      </w:r>
    </w:p>
    <w:p>
      <w:pPr>
        <w:pStyle w:val="ListParagraph"/>
        <w:numPr>
          <w:ilvl w:val="0"/>
          <w:numId w:val="109"/>
        </w:numPr>
        <w:tabs>
          <w:tab w:pos="791" w:val="left" w:leader="none"/>
        </w:tabs>
        <w:spacing w:line="225" w:lineRule="auto" w:before="167" w:after="0"/>
        <w:ind w:left="791" w:right="175" w:hanging="511"/>
        <w:jc w:val="both"/>
        <w:rPr>
          <w:sz w:val="20"/>
        </w:rPr>
      </w:pPr>
      <w:r>
        <w:rPr>
          <w:color w:val="231F1F"/>
          <w:spacing w:val="-2"/>
          <w:w w:val="110"/>
          <w:sz w:val="20"/>
        </w:rPr>
        <w:t>Scrutton</w:t>
      </w:r>
      <w:r>
        <w:rPr>
          <w:color w:val="231F1F"/>
          <w:spacing w:val="-12"/>
          <w:w w:val="110"/>
          <w:sz w:val="20"/>
        </w:rPr>
        <w:t> </w:t>
      </w:r>
      <w:r>
        <w:rPr>
          <w:color w:val="231F1F"/>
          <w:spacing w:val="-2"/>
          <w:w w:val="110"/>
          <w:sz w:val="20"/>
        </w:rPr>
        <w:t>MJ,</w:t>
      </w:r>
      <w:r>
        <w:rPr>
          <w:color w:val="231F1F"/>
          <w:spacing w:val="-12"/>
          <w:w w:val="110"/>
          <w:sz w:val="20"/>
        </w:rPr>
        <w:t> </w:t>
      </w:r>
      <w:r>
        <w:rPr>
          <w:color w:val="231F1F"/>
          <w:spacing w:val="-2"/>
          <w:w w:val="110"/>
          <w:sz w:val="20"/>
        </w:rPr>
        <w:t>Metcalfe</w:t>
      </w:r>
      <w:r>
        <w:rPr>
          <w:color w:val="231F1F"/>
          <w:spacing w:val="-12"/>
          <w:w w:val="110"/>
          <w:sz w:val="20"/>
        </w:rPr>
        <w:t> </w:t>
      </w:r>
      <w:r>
        <w:rPr>
          <w:color w:val="231F1F"/>
          <w:spacing w:val="-2"/>
          <w:w w:val="110"/>
          <w:sz w:val="20"/>
        </w:rPr>
        <w:t>GA,</w:t>
      </w:r>
      <w:r>
        <w:rPr>
          <w:color w:val="231F1F"/>
          <w:spacing w:val="-11"/>
          <w:w w:val="110"/>
          <w:sz w:val="20"/>
        </w:rPr>
        <w:t> </w:t>
      </w:r>
      <w:r>
        <w:rPr>
          <w:color w:val="231F1F"/>
          <w:spacing w:val="-2"/>
          <w:w w:val="110"/>
          <w:sz w:val="20"/>
        </w:rPr>
        <w:t>Lowy</w:t>
      </w:r>
      <w:r>
        <w:rPr>
          <w:color w:val="231F1F"/>
          <w:spacing w:val="-12"/>
          <w:w w:val="110"/>
          <w:sz w:val="20"/>
        </w:rPr>
        <w:t> </w:t>
      </w:r>
      <w:r>
        <w:rPr>
          <w:color w:val="231F1F"/>
          <w:spacing w:val="-2"/>
          <w:w w:val="110"/>
          <w:sz w:val="20"/>
        </w:rPr>
        <w:t>C.</w:t>
      </w:r>
      <w:r>
        <w:rPr>
          <w:color w:val="231F1F"/>
          <w:spacing w:val="-12"/>
          <w:w w:val="110"/>
          <w:sz w:val="20"/>
        </w:rPr>
        <w:t> </w:t>
      </w:r>
      <w:r>
        <w:rPr>
          <w:color w:val="231F1F"/>
          <w:spacing w:val="-2"/>
          <w:w w:val="110"/>
          <w:sz w:val="20"/>
        </w:rPr>
        <w:t>Eating</w:t>
      </w:r>
      <w:r>
        <w:rPr>
          <w:color w:val="231F1F"/>
          <w:spacing w:val="-12"/>
          <w:w w:val="110"/>
          <w:sz w:val="20"/>
        </w:rPr>
        <w:t> </w:t>
      </w:r>
      <w:r>
        <w:rPr>
          <w:color w:val="231F1F"/>
          <w:spacing w:val="-2"/>
          <w:w w:val="110"/>
          <w:sz w:val="20"/>
        </w:rPr>
        <w:t>in</w:t>
      </w:r>
      <w:r>
        <w:rPr>
          <w:color w:val="231F1F"/>
          <w:spacing w:val="-11"/>
          <w:w w:val="110"/>
          <w:sz w:val="20"/>
        </w:rPr>
        <w:t> </w:t>
      </w:r>
      <w:r>
        <w:rPr>
          <w:color w:val="231F1F"/>
          <w:spacing w:val="-2"/>
          <w:w w:val="110"/>
          <w:sz w:val="20"/>
        </w:rPr>
        <w:t>labour:</w:t>
      </w:r>
      <w:r>
        <w:rPr>
          <w:color w:val="231F1F"/>
          <w:spacing w:val="-12"/>
          <w:w w:val="110"/>
          <w:sz w:val="20"/>
        </w:rPr>
        <w:t> </w:t>
      </w:r>
      <w:r>
        <w:rPr>
          <w:color w:val="231F1F"/>
          <w:spacing w:val="-2"/>
          <w:w w:val="110"/>
          <w:sz w:val="20"/>
        </w:rPr>
        <w:t>a</w:t>
      </w:r>
      <w:r>
        <w:rPr>
          <w:color w:val="231F1F"/>
          <w:spacing w:val="-12"/>
          <w:w w:val="110"/>
          <w:sz w:val="20"/>
        </w:rPr>
        <w:t> </w:t>
      </w:r>
      <w:r>
        <w:rPr>
          <w:color w:val="231F1F"/>
          <w:spacing w:val="-2"/>
          <w:w w:val="110"/>
          <w:sz w:val="20"/>
        </w:rPr>
        <w:t>randomised</w:t>
      </w:r>
      <w:r>
        <w:rPr>
          <w:color w:val="231F1F"/>
          <w:spacing w:val="-12"/>
          <w:w w:val="110"/>
          <w:sz w:val="20"/>
        </w:rPr>
        <w:t> </w:t>
      </w:r>
      <w:r>
        <w:rPr>
          <w:color w:val="231F1F"/>
          <w:spacing w:val="-2"/>
          <w:w w:val="110"/>
          <w:sz w:val="20"/>
        </w:rPr>
        <w:t>controlled</w:t>
      </w:r>
      <w:r>
        <w:rPr>
          <w:color w:val="231F1F"/>
          <w:spacing w:val="-11"/>
          <w:w w:val="110"/>
          <w:sz w:val="20"/>
        </w:rPr>
        <w:t> </w:t>
      </w:r>
      <w:r>
        <w:rPr>
          <w:color w:val="231F1F"/>
          <w:spacing w:val="-2"/>
          <w:w w:val="110"/>
          <w:sz w:val="20"/>
        </w:rPr>
        <w:t>trial</w:t>
      </w:r>
      <w:r>
        <w:rPr>
          <w:color w:val="231F1F"/>
          <w:spacing w:val="-10"/>
          <w:w w:val="110"/>
          <w:sz w:val="20"/>
        </w:rPr>
        <w:t> </w:t>
      </w:r>
      <w:r>
        <w:rPr>
          <w:color w:val="231F1F"/>
          <w:spacing w:val="-2"/>
          <w:w w:val="110"/>
          <w:sz w:val="20"/>
        </w:rPr>
        <w:t>assessing </w:t>
      </w:r>
      <w:r>
        <w:rPr>
          <w:color w:val="231F1F"/>
          <w:w w:val="110"/>
          <w:sz w:val="20"/>
        </w:rPr>
        <w:t>the risks and benefits. Anaesthesia 1999;54(4):329-34.</w:t>
      </w:r>
    </w:p>
    <w:p>
      <w:pPr>
        <w:pStyle w:val="ListParagraph"/>
        <w:numPr>
          <w:ilvl w:val="0"/>
          <w:numId w:val="109"/>
        </w:numPr>
        <w:tabs>
          <w:tab w:pos="793" w:val="left" w:leader="none"/>
        </w:tabs>
        <w:spacing w:line="232" w:lineRule="auto" w:before="162" w:after="0"/>
        <w:ind w:left="793" w:right="122" w:hanging="511"/>
        <w:jc w:val="both"/>
        <w:rPr>
          <w:sz w:val="20"/>
        </w:rPr>
      </w:pPr>
      <w:r>
        <w:rPr>
          <w:color w:val="231F1F"/>
          <w:w w:val="105"/>
          <w:sz w:val="20"/>
        </w:rPr>
        <w:t>American</w:t>
      </w:r>
      <w:r>
        <w:rPr>
          <w:color w:val="231F1F"/>
          <w:spacing w:val="-7"/>
          <w:w w:val="105"/>
          <w:sz w:val="20"/>
        </w:rPr>
        <w:t> </w:t>
      </w:r>
      <w:r>
        <w:rPr>
          <w:color w:val="231F1F"/>
          <w:w w:val="105"/>
          <w:sz w:val="20"/>
        </w:rPr>
        <w:t>Society</w:t>
      </w:r>
      <w:r>
        <w:rPr>
          <w:color w:val="231F1F"/>
          <w:spacing w:val="-4"/>
          <w:w w:val="105"/>
          <w:sz w:val="20"/>
        </w:rPr>
        <w:t> </w:t>
      </w:r>
      <w:r>
        <w:rPr>
          <w:color w:val="231F1F"/>
          <w:w w:val="105"/>
          <w:sz w:val="20"/>
        </w:rPr>
        <w:t>of</w:t>
      </w:r>
      <w:r>
        <w:rPr>
          <w:color w:val="231F1F"/>
          <w:spacing w:val="-7"/>
          <w:w w:val="105"/>
          <w:sz w:val="20"/>
        </w:rPr>
        <w:t> </w:t>
      </w:r>
      <w:r>
        <w:rPr>
          <w:color w:val="231F1F"/>
          <w:w w:val="105"/>
          <w:sz w:val="20"/>
        </w:rPr>
        <w:t>Anesthesiologists</w:t>
      </w:r>
      <w:r>
        <w:rPr>
          <w:color w:val="231F1F"/>
          <w:spacing w:val="-7"/>
          <w:w w:val="105"/>
          <w:sz w:val="20"/>
        </w:rPr>
        <w:t> </w:t>
      </w:r>
      <w:r>
        <w:rPr>
          <w:color w:val="231F1F"/>
          <w:w w:val="105"/>
          <w:sz w:val="20"/>
        </w:rPr>
        <w:t>Task</w:t>
      </w:r>
      <w:r>
        <w:rPr>
          <w:color w:val="231F1F"/>
          <w:spacing w:val="-4"/>
          <w:w w:val="105"/>
          <w:sz w:val="20"/>
        </w:rPr>
        <w:t> </w:t>
      </w:r>
      <w:r>
        <w:rPr>
          <w:color w:val="231F1F"/>
          <w:w w:val="105"/>
          <w:sz w:val="20"/>
        </w:rPr>
        <w:t>Force</w:t>
      </w:r>
      <w:r>
        <w:rPr>
          <w:color w:val="231F1F"/>
          <w:spacing w:val="-4"/>
          <w:w w:val="105"/>
          <w:sz w:val="20"/>
        </w:rPr>
        <w:t> </w:t>
      </w:r>
      <w:r>
        <w:rPr>
          <w:color w:val="231F1F"/>
          <w:w w:val="105"/>
          <w:sz w:val="20"/>
        </w:rPr>
        <w:t>on</w:t>
      </w:r>
      <w:r>
        <w:rPr>
          <w:color w:val="231F1F"/>
          <w:spacing w:val="-4"/>
          <w:w w:val="105"/>
          <w:sz w:val="20"/>
        </w:rPr>
        <w:t> </w:t>
      </w:r>
      <w:r>
        <w:rPr>
          <w:color w:val="231F1F"/>
          <w:w w:val="105"/>
          <w:sz w:val="20"/>
        </w:rPr>
        <w:t>Obstetric</w:t>
      </w:r>
      <w:r>
        <w:rPr>
          <w:color w:val="231F1F"/>
          <w:spacing w:val="-7"/>
          <w:w w:val="105"/>
          <w:sz w:val="20"/>
        </w:rPr>
        <w:t> </w:t>
      </w:r>
      <w:r>
        <w:rPr>
          <w:color w:val="231F1F"/>
          <w:w w:val="105"/>
          <w:sz w:val="20"/>
        </w:rPr>
        <w:t>Anesthesia.</w:t>
      </w:r>
      <w:r>
        <w:rPr>
          <w:color w:val="231F1F"/>
          <w:spacing w:val="-7"/>
          <w:w w:val="105"/>
          <w:sz w:val="20"/>
        </w:rPr>
        <w:t> </w:t>
      </w:r>
      <w:r>
        <w:rPr>
          <w:color w:val="231F1F"/>
          <w:w w:val="105"/>
          <w:sz w:val="20"/>
        </w:rPr>
        <w:t>Practice</w:t>
      </w:r>
      <w:r>
        <w:rPr>
          <w:color w:val="231F1F"/>
          <w:spacing w:val="-4"/>
          <w:w w:val="105"/>
          <w:sz w:val="20"/>
        </w:rPr>
        <w:t> </w:t>
      </w:r>
      <w:r>
        <w:rPr>
          <w:color w:val="231F1F"/>
          <w:w w:val="105"/>
          <w:sz w:val="20"/>
        </w:rPr>
        <w:t>guidelines for</w:t>
      </w:r>
      <w:r>
        <w:rPr>
          <w:color w:val="231F1F"/>
          <w:spacing w:val="40"/>
          <w:w w:val="105"/>
          <w:sz w:val="20"/>
        </w:rPr>
        <w:t> </w:t>
      </w:r>
      <w:r>
        <w:rPr>
          <w:color w:val="231F1F"/>
          <w:w w:val="105"/>
          <w:sz w:val="20"/>
        </w:rPr>
        <w:t>obstetric</w:t>
      </w:r>
      <w:r>
        <w:rPr>
          <w:color w:val="231F1F"/>
          <w:spacing w:val="40"/>
          <w:w w:val="105"/>
          <w:sz w:val="20"/>
        </w:rPr>
        <w:t> </w:t>
      </w:r>
      <w:r>
        <w:rPr>
          <w:color w:val="231F1F"/>
          <w:w w:val="105"/>
          <w:sz w:val="20"/>
        </w:rPr>
        <w:t>anesthesia:</w:t>
      </w:r>
      <w:r>
        <w:rPr>
          <w:color w:val="231F1F"/>
          <w:w w:val="105"/>
          <w:sz w:val="20"/>
        </w:rPr>
        <w:t> An</w:t>
      </w:r>
      <w:r>
        <w:rPr>
          <w:color w:val="231F1F"/>
          <w:spacing w:val="40"/>
          <w:w w:val="105"/>
          <w:sz w:val="20"/>
        </w:rPr>
        <w:t> </w:t>
      </w:r>
      <w:r>
        <w:rPr>
          <w:color w:val="231F1F"/>
          <w:w w:val="105"/>
          <w:sz w:val="20"/>
        </w:rPr>
        <w:t>updated</w:t>
      </w:r>
      <w:r>
        <w:rPr>
          <w:color w:val="231F1F"/>
          <w:spacing w:val="40"/>
          <w:w w:val="105"/>
          <w:sz w:val="20"/>
        </w:rPr>
        <w:t> </w:t>
      </w:r>
      <w:r>
        <w:rPr>
          <w:color w:val="231F1F"/>
          <w:w w:val="105"/>
          <w:sz w:val="20"/>
        </w:rPr>
        <w:t>report</w:t>
      </w:r>
      <w:r>
        <w:rPr>
          <w:color w:val="231F1F"/>
          <w:spacing w:val="40"/>
          <w:w w:val="105"/>
          <w:sz w:val="20"/>
        </w:rPr>
        <w:t> </w:t>
      </w:r>
      <w:r>
        <w:rPr>
          <w:color w:val="231F1F"/>
          <w:w w:val="105"/>
          <w:sz w:val="20"/>
        </w:rPr>
        <w:t>by</w:t>
      </w:r>
      <w:r>
        <w:rPr>
          <w:color w:val="231F1F"/>
          <w:spacing w:val="40"/>
          <w:w w:val="105"/>
          <w:sz w:val="20"/>
        </w:rPr>
        <w:t> </w:t>
      </w:r>
      <w:r>
        <w:rPr>
          <w:color w:val="231F1F"/>
          <w:w w:val="105"/>
          <w:sz w:val="20"/>
        </w:rPr>
        <w:t>the</w:t>
      </w:r>
      <w:r>
        <w:rPr>
          <w:color w:val="231F1F"/>
          <w:w w:val="105"/>
          <w:sz w:val="20"/>
        </w:rPr>
        <w:t> American</w:t>
      </w:r>
      <w:r>
        <w:rPr>
          <w:color w:val="231F1F"/>
          <w:spacing w:val="40"/>
          <w:w w:val="105"/>
          <w:sz w:val="20"/>
        </w:rPr>
        <w:t> </w:t>
      </w:r>
      <w:r>
        <w:rPr>
          <w:color w:val="231F1F"/>
          <w:w w:val="105"/>
          <w:sz w:val="20"/>
        </w:rPr>
        <w:t>Society</w:t>
      </w:r>
      <w:r>
        <w:rPr>
          <w:color w:val="231F1F"/>
          <w:spacing w:val="40"/>
          <w:w w:val="105"/>
          <w:sz w:val="20"/>
        </w:rPr>
        <w:t> </w:t>
      </w:r>
      <w:r>
        <w:rPr>
          <w:color w:val="231F1F"/>
          <w:w w:val="105"/>
          <w:sz w:val="20"/>
        </w:rPr>
        <w:t>of</w:t>
      </w:r>
      <w:r>
        <w:rPr>
          <w:color w:val="231F1F"/>
          <w:w w:val="105"/>
          <w:sz w:val="20"/>
        </w:rPr>
        <w:t> Anesthesiologists Task Force on obstetric anesthesia. Anesthesiology 2007;106(4):843-63.</w:t>
      </w:r>
    </w:p>
    <w:p>
      <w:pPr>
        <w:pStyle w:val="ListParagraph"/>
        <w:numPr>
          <w:ilvl w:val="0"/>
          <w:numId w:val="109"/>
        </w:numPr>
        <w:tabs>
          <w:tab w:pos="791" w:val="left" w:leader="none"/>
        </w:tabs>
        <w:spacing w:line="230" w:lineRule="auto" w:before="163" w:after="0"/>
        <w:ind w:left="791" w:right="116" w:hanging="511"/>
        <w:jc w:val="both"/>
        <w:rPr>
          <w:sz w:val="20"/>
        </w:rPr>
      </w:pPr>
      <w:r>
        <w:rPr>
          <w:color w:val="231F1F"/>
          <w:w w:val="110"/>
          <w:sz w:val="20"/>
        </w:rPr>
        <w:t>O´Sullivan G, Liu B, Hart D, Seed P, Shennan A. Effect of food intake during labour on obstetrics outcome: randomised controlled trial. BMJ 2009;338-b784.</w:t>
      </w:r>
    </w:p>
    <w:p>
      <w:pPr>
        <w:pStyle w:val="ListParagraph"/>
        <w:numPr>
          <w:ilvl w:val="0"/>
          <w:numId w:val="109"/>
        </w:numPr>
        <w:tabs>
          <w:tab w:pos="793" w:val="left" w:leader="none"/>
        </w:tabs>
        <w:spacing w:line="230" w:lineRule="auto" w:before="159" w:after="0"/>
        <w:ind w:left="793" w:right="122" w:hanging="511"/>
        <w:jc w:val="both"/>
        <w:rPr>
          <w:sz w:val="20"/>
        </w:rPr>
      </w:pPr>
      <w:r>
        <w:rPr>
          <w:color w:val="231F1F"/>
          <w:w w:val="105"/>
          <w:sz w:val="20"/>
        </w:rPr>
        <w:t>Singata</w:t>
      </w:r>
      <w:r>
        <w:rPr>
          <w:color w:val="231F1F"/>
          <w:spacing w:val="-4"/>
          <w:w w:val="105"/>
          <w:sz w:val="20"/>
        </w:rPr>
        <w:t> </w:t>
      </w:r>
      <w:r>
        <w:rPr>
          <w:color w:val="231F1F"/>
          <w:w w:val="105"/>
          <w:sz w:val="20"/>
        </w:rPr>
        <w:t>M,Tranmer</w:t>
      </w:r>
      <w:r>
        <w:rPr>
          <w:color w:val="231F1F"/>
          <w:spacing w:val="-2"/>
          <w:w w:val="105"/>
          <w:sz w:val="20"/>
        </w:rPr>
        <w:t> </w:t>
      </w:r>
      <w:r>
        <w:rPr>
          <w:color w:val="231F1F"/>
          <w:w w:val="105"/>
          <w:sz w:val="20"/>
        </w:rPr>
        <w:t>J,</w:t>
      </w:r>
      <w:r>
        <w:rPr>
          <w:color w:val="231F1F"/>
          <w:spacing w:val="-5"/>
          <w:w w:val="105"/>
          <w:sz w:val="20"/>
        </w:rPr>
        <w:t> </w:t>
      </w:r>
      <w:r>
        <w:rPr>
          <w:color w:val="231F1F"/>
          <w:w w:val="105"/>
          <w:sz w:val="20"/>
        </w:rPr>
        <w:t>Gyte</w:t>
      </w:r>
      <w:r>
        <w:rPr>
          <w:color w:val="231F1F"/>
          <w:spacing w:val="-2"/>
          <w:w w:val="105"/>
          <w:sz w:val="20"/>
        </w:rPr>
        <w:t> </w:t>
      </w:r>
      <w:r>
        <w:rPr>
          <w:color w:val="231F1F"/>
          <w:w w:val="105"/>
          <w:sz w:val="20"/>
        </w:rPr>
        <w:t>GM.</w:t>
      </w:r>
      <w:r>
        <w:rPr>
          <w:color w:val="231F1F"/>
          <w:spacing w:val="-5"/>
          <w:w w:val="105"/>
          <w:sz w:val="20"/>
        </w:rPr>
        <w:t> </w:t>
      </w:r>
      <w:r>
        <w:rPr>
          <w:color w:val="231F1F"/>
          <w:w w:val="105"/>
          <w:sz w:val="20"/>
        </w:rPr>
        <w:t>Restricting</w:t>
      </w:r>
      <w:r>
        <w:rPr>
          <w:color w:val="231F1F"/>
          <w:spacing w:val="-2"/>
          <w:w w:val="105"/>
          <w:sz w:val="20"/>
        </w:rPr>
        <w:t> </w:t>
      </w:r>
      <w:r>
        <w:rPr>
          <w:color w:val="231F1F"/>
          <w:w w:val="105"/>
          <w:sz w:val="20"/>
        </w:rPr>
        <w:t>oral</w:t>
      </w:r>
      <w:r>
        <w:rPr>
          <w:color w:val="231F1F"/>
          <w:spacing w:val="-2"/>
          <w:w w:val="105"/>
          <w:sz w:val="20"/>
        </w:rPr>
        <w:t> </w:t>
      </w:r>
      <w:r>
        <w:rPr>
          <w:color w:val="231F1F"/>
          <w:w w:val="105"/>
          <w:sz w:val="20"/>
        </w:rPr>
        <w:t>fluid</w:t>
      </w:r>
      <w:r>
        <w:rPr>
          <w:color w:val="231F1F"/>
          <w:spacing w:val="-2"/>
          <w:w w:val="105"/>
          <w:sz w:val="20"/>
        </w:rPr>
        <w:t> </w:t>
      </w:r>
      <w:r>
        <w:rPr>
          <w:color w:val="231F1F"/>
          <w:w w:val="105"/>
          <w:sz w:val="20"/>
        </w:rPr>
        <w:t>and</w:t>
      </w:r>
      <w:r>
        <w:rPr>
          <w:color w:val="231F1F"/>
          <w:spacing w:val="-2"/>
          <w:w w:val="105"/>
          <w:sz w:val="20"/>
        </w:rPr>
        <w:t> </w:t>
      </w:r>
      <w:r>
        <w:rPr>
          <w:color w:val="231F1F"/>
          <w:w w:val="105"/>
          <w:sz w:val="20"/>
        </w:rPr>
        <w:t>food</w:t>
      </w:r>
      <w:r>
        <w:rPr>
          <w:color w:val="231F1F"/>
          <w:spacing w:val="-2"/>
          <w:w w:val="105"/>
          <w:sz w:val="20"/>
        </w:rPr>
        <w:t> </w:t>
      </w:r>
      <w:r>
        <w:rPr>
          <w:color w:val="231F1F"/>
          <w:w w:val="105"/>
          <w:sz w:val="20"/>
        </w:rPr>
        <w:t>intake</w:t>
      </w:r>
      <w:r>
        <w:rPr>
          <w:color w:val="231F1F"/>
          <w:spacing w:val="-2"/>
          <w:w w:val="105"/>
          <w:sz w:val="20"/>
        </w:rPr>
        <w:t> </w:t>
      </w:r>
      <w:r>
        <w:rPr>
          <w:color w:val="231F1F"/>
          <w:w w:val="105"/>
          <w:sz w:val="20"/>
        </w:rPr>
        <w:t>during</w:t>
      </w:r>
      <w:r>
        <w:rPr>
          <w:color w:val="231F1F"/>
          <w:spacing w:val="-2"/>
          <w:w w:val="105"/>
          <w:sz w:val="20"/>
        </w:rPr>
        <w:t> </w:t>
      </w:r>
      <w:r>
        <w:rPr>
          <w:color w:val="231F1F"/>
          <w:w w:val="105"/>
          <w:sz w:val="20"/>
        </w:rPr>
        <w:t>labour.</w:t>
      </w:r>
      <w:r>
        <w:rPr>
          <w:color w:val="231F1F"/>
          <w:spacing w:val="-5"/>
          <w:w w:val="105"/>
          <w:sz w:val="20"/>
        </w:rPr>
        <w:t> </w:t>
      </w:r>
      <w:r>
        <w:rPr>
          <w:color w:val="231F1F"/>
          <w:w w:val="105"/>
          <w:sz w:val="20"/>
        </w:rPr>
        <w:t>Cochrane Database Syst Rev 2010;(1):CD003930.</w:t>
      </w:r>
    </w:p>
    <w:p>
      <w:pPr>
        <w:pStyle w:val="ListParagraph"/>
        <w:numPr>
          <w:ilvl w:val="0"/>
          <w:numId w:val="109"/>
        </w:numPr>
        <w:tabs>
          <w:tab w:pos="793" w:val="left" w:leader="none"/>
        </w:tabs>
        <w:spacing w:line="249" w:lineRule="auto" w:before="156" w:after="0"/>
        <w:ind w:left="793" w:right="152" w:hanging="511"/>
        <w:jc w:val="both"/>
        <w:rPr>
          <w:sz w:val="20"/>
        </w:rPr>
      </w:pPr>
      <w:r>
        <w:rPr>
          <w:color w:val="231F1F"/>
          <w:sz w:val="20"/>
        </w:rPr>
        <w:t>Scheepers HC, Thans MCJ, De Jong PA, et.al. A double-blind, randomised, placebo controlled study on the influence of carbohydrate solution intake during labour. BJOG 2002;109(2):178-81.</w:t>
      </w:r>
    </w:p>
    <w:p>
      <w:pPr>
        <w:pStyle w:val="ListParagraph"/>
        <w:numPr>
          <w:ilvl w:val="0"/>
          <w:numId w:val="109"/>
        </w:numPr>
        <w:tabs>
          <w:tab w:pos="791" w:val="left" w:leader="none"/>
        </w:tabs>
        <w:spacing w:line="232" w:lineRule="auto" w:before="146" w:after="0"/>
        <w:ind w:left="791" w:right="118" w:hanging="511"/>
        <w:jc w:val="both"/>
        <w:rPr>
          <w:sz w:val="20"/>
        </w:rPr>
      </w:pPr>
      <w:r>
        <w:rPr>
          <w:color w:val="231F1F"/>
          <w:spacing w:val="-2"/>
          <w:w w:val="110"/>
          <w:sz w:val="20"/>
        </w:rPr>
        <w:t>Scheepers</w:t>
      </w:r>
      <w:r>
        <w:rPr>
          <w:color w:val="231F1F"/>
          <w:spacing w:val="-7"/>
          <w:w w:val="110"/>
          <w:sz w:val="20"/>
        </w:rPr>
        <w:t> </w:t>
      </w:r>
      <w:r>
        <w:rPr>
          <w:color w:val="231F1F"/>
          <w:spacing w:val="-2"/>
          <w:w w:val="110"/>
          <w:sz w:val="20"/>
        </w:rPr>
        <w:t>HC,</w:t>
      </w:r>
      <w:r>
        <w:rPr>
          <w:color w:val="231F1F"/>
          <w:spacing w:val="-7"/>
          <w:w w:val="110"/>
          <w:sz w:val="20"/>
        </w:rPr>
        <w:t> </w:t>
      </w:r>
      <w:r>
        <w:rPr>
          <w:color w:val="231F1F"/>
          <w:spacing w:val="-2"/>
          <w:w w:val="110"/>
          <w:sz w:val="20"/>
        </w:rPr>
        <w:t>De</w:t>
      </w:r>
      <w:r>
        <w:rPr>
          <w:color w:val="231F1F"/>
          <w:spacing w:val="-5"/>
          <w:w w:val="110"/>
          <w:sz w:val="20"/>
        </w:rPr>
        <w:t> </w:t>
      </w:r>
      <w:r>
        <w:rPr>
          <w:color w:val="231F1F"/>
          <w:spacing w:val="-2"/>
          <w:w w:val="110"/>
          <w:sz w:val="20"/>
        </w:rPr>
        <w:t>Jong</w:t>
      </w:r>
      <w:r>
        <w:rPr>
          <w:color w:val="231F1F"/>
          <w:spacing w:val="-4"/>
          <w:w w:val="110"/>
          <w:sz w:val="20"/>
        </w:rPr>
        <w:t> </w:t>
      </w:r>
      <w:r>
        <w:rPr>
          <w:color w:val="231F1F"/>
          <w:spacing w:val="-2"/>
          <w:w w:val="110"/>
          <w:sz w:val="20"/>
        </w:rPr>
        <w:t>PA,</w:t>
      </w:r>
      <w:r>
        <w:rPr>
          <w:color w:val="231F1F"/>
          <w:spacing w:val="-7"/>
          <w:w w:val="110"/>
          <w:sz w:val="20"/>
        </w:rPr>
        <w:t> </w:t>
      </w:r>
      <w:r>
        <w:rPr>
          <w:color w:val="231F1F"/>
          <w:spacing w:val="-2"/>
          <w:w w:val="110"/>
          <w:sz w:val="20"/>
        </w:rPr>
        <w:t>Essed</w:t>
      </w:r>
      <w:r>
        <w:rPr>
          <w:color w:val="231F1F"/>
          <w:spacing w:val="-5"/>
          <w:w w:val="110"/>
          <w:sz w:val="20"/>
        </w:rPr>
        <w:t> </w:t>
      </w:r>
      <w:r>
        <w:rPr>
          <w:color w:val="231F1F"/>
          <w:spacing w:val="-2"/>
          <w:w w:val="110"/>
          <w:sz w:val="20"/>
        </w:rPr>
        <w:t>GG,</w:t>
      </w:r>
      <w:r>
        <w:rPr>
          <w:color w:val="231F1F"/>
          <w:spacing w:val="-7"/>
          <w:w w:val="110"/>
          <w:sz w:val="20"/>
        </w:rPr>
        <w:t> </w:t>
      </w:r>
      <w:r>
        <w:rPr>
          <w:color w:val="231F1F"/>
          <w:spacing w:val="-2"/>
          <w:w w:val="110"/>
          <w:sz w:val="20"/>
        </w:rPr>
        <w:t>et.al.</w:t>
      </w:r>
      <w:r>
        <w:rPr>
          <w:color w:val="231F1F"/>
          <w:spacing w:val="-7"/>
          <w:w w:val="110"/>
          <w:sz w:val="20"/>
        </w:rPr>
        <w:t> </w:t>
      </w:r>
      <w:r>
        <w:rPr>
          <w:color w:val="231F1F"/>
          <w:spacing w:val="-2"/>
          <w:w w:val="110"/>
          <w:sz w:val="20"/>
        </w:rPr>
        <w:t>Carbohydrate</w:t>
      </w:r>
      <w:r>
        <w:rPr>
          <w:color w:val="231F1F"/>
          <w:spacing w:val="-5"/>
          <w:w w:val="110"/>
          <w:sz w:val="20"/>
        </w:rPr>
        <w:t> </w:t>
      </w:r>
      <w:r>
        <w:rPr>
          <w:color w:val="231F1F"/>
          <w:spacing w:val="-2"/>
          <w:w w:val="110"/>
          <w:sz w:val="20"/>
        </w:rPr>
        <w:t>solution</w:t>
      </w:r>
      <w:r>
        <w:rPr>
          <w:color w:val="231F1F"/>
          <w:spacing w:val="-4"/>
          <w:w w:val="110"/>
          <w:sz w:val="20"/>
        </w:rPr>
        <w:t> </w:t>
      </w:r>
      <w:r>
        <w:rPr>
          <w:color w:val="231F1F"/>
          <w:spacing w:val="-2"/>
          <w:w w:val="110"/>
          <w:sz w:val="20"/>
        </w:rPr>
        <w:t>intake</w:t>
      </w:r>
      <w:r>
        <w:rPr>
          <w:color w:val="231F1F"/>
          <w:spacing w:val="-4"/>
          <w:w w:val="110"/>
          <w:sz w:val="20"/>
        </w:rPr>
        <w:t> </w:t>
      </w:r>
      <w:r>
        <w:rPr>
          <w:color w:val="231F1F"/>
          <w:spacing w:val="-2"/>
          <w:w w:val="110"/>
          <w:sz w:val="20"/>
        </w:rPr>
        <w:t>during</w:t>
      </w:r>
      <w:r>
        <w:rPr>
          <w:color w:val="231F1F"/>
          <w:spacing w:val="-5"/>
          <w:w w:val="110"/>
          <w:sz w:val="20"/>
        </w:rPr>
        <w:t> </w:t>
      </w:r>
      <w:r>
        <w:rPr>
          <w:color w:val="231F1F"/>
          <w:spacing w:val="-2"/>
          <w:w w:val="110"/>
          <w:sz w:val="20"/>
        </w:rPr>
        <w:t>labour</w:t>
      </w:r>
      <w:r>
        <w:rPr>
          <w:color w:val="231F1F"/>
          <w:spacing w:val="-4"/>
          <w:w w:val="110"/>
          <w:sz w:val="20"/>
        </w:rPr>
        <w:t> </w:t>
      </w:r>
      <w:r>
        <w:rPr>
          <w:color w:val="231F1F"/>
          <w:spacing w:val="-2"/>
          <w:w w:val="110"/>
          <w:sz w:val="20"/>
        </w:rPr>
        <w:t>just </w:t>
      </w:r>
      <w:r>
        <w:rPr>
          <w:color w:val="231F1F"/>
          <w:w w:val="110"/>
          <w:sz w:val="20"/>
        </w:rPr>
        <w:t>before the start of the second stage: a double-blind study on metabolic effects and clinical outcome. BJOG 2004;111(12):1382-7.</w:t>
      </w:r>
    </w:p>
    <w:p>
      <w:pPr>
        <w:pStyle w:val="ListParagraph"/>
        <w:numPr>
          <w:ilvl w:val="0"/>
          <w:numId w:val="109"/>
        </w:numPr>
        <w:tabs>
          <w:tab w:pos="792" w:val="left" w:leader="none"/>
        </w:tabs>
        <w:spacing w:line="230" w:lineRule="auto" w:before="163" w:after="0"/>
        <w:ind w:left="792" w:right="125" w:hanging="511"/>
        <w:jc w:val="both"/>
        <w:rPr>
          <w:sz w:val="20"/>
        </w:rPr>
      </w:pPr>
      <w:r>
        <w:rPr>
          <w:color w:val="231F1F"/>
          <w:w w:val="105"/>
          <w:sz w:val="20"/>
        </w:rPr>
        <w:t>Scheepers</w:t>
      </w:r>
      <w:r>
        <w:rPr>
          <w:color w:val="231F1F"/>
          <w:spacing w:val="-2"/>
          <w:w w:val="105"/>
          <w:sz w:val="20"/>
        </w:rPr>
        <w:t> </w:t>
      </w:r>
      <w:r>
        <w:rPr>
          <w:color w:val="231F1F"/>
          <w:w w:val="105"/>
          <w:sz w:val="20"/>
        </w:rPr>
        <w:t>HC,</w:t>
      </w:r>
      <w:r>
        <w:rPr>
          <w:color w:val="231F1F"/>
          <w:spacing w:val="-4"/>
          <w:w w:val="105"/>
          <w:sz w:val="20"/>
        </w:rPr>
        <w:t> </w:t>
      </w:r>
      <w:r>
        <w:rPr>
          <w:color w:val="231F1F"/>
          <w:w w:val="105"/>
          <w:sz w:val="20"/>
        </w:rPr>
        <w:t>Thans</w:t>
      </w:r>
      <w:r>
        <w:rPr>
          <w:color w:val="231F1F"/>
          <w:spacing w:val="-2"/>
          <w:w w:val="105"/>
          <w:sz w:val="20"/>
        </w:rPr>
        <w:t> </w:t>
      </w:r>
      <w:r>
        <w:rPr>
          <w:color w:val="231F1F"/>
          <w:w w:val="105"/>
          <w:sz w:val="20"/>
        </w:rPr>
        <w:t>MC,</w:t>
      </w:r>
      <w:r>
        <w:rPr>
          <w:color w:val="231F1F"/>
          <w:spacing w:val="-2"/>
          <w:w w:val="105"/>
          <w:sz w:val="20"/>
        </w:rPr>
        <w:t> </w:t>
      </w:r>
      <w:r>
        <w:rPr>
          <w:color w:val="231F1F"/>
          <w:w w:val="105"/>
          <w:sz w:val="20"/>
        </w:rPr>
        <w:t>De</w:t>
      </w:r>
      <w:r>
        <w:rPr>
          <w:color w:val="231F1F"/>
          <w:spacing w:val="-3"/>
          <w:w w:val="105"/>
          <w:sz w:val="20"/>
        </w:rPr>
        <w:t> </w:t>
      </w:r>
      <w:r>
        <w:rPr>
          <w:color w:val="231F1F"/>
          <w:w w:val="105"/>
          <w:sz w:val="20"/>
        </w:rPr>
        <w:t>Jong</w:t>
      </w:r>
      <w:r>
        <w:rPr>
          <w:color w:val="231F1F"/>
          <w:spacing w:val="-3"/>
          <w:w w:val="105"/>
          <w:sz w:val="20"/>
        </w:rPr>
        <w:t> </w:t>
      </w:r>
      <w:r>
        <w:rPr>
          <w:color w:val="231F1F"/>
          <w:w w:val="105"/>
          <w:sz w:val="20"/>
        </w:rPr>
        <w:t>PA,</w:t>
      </w:r>
      <w:r>
        <w:rPr>
          <w:color w:val="231F1F"/>
          <w:spacing w:val="-2"/>
          <w:w w:val="105"/>
          <w:sz w:val="20"/>
        </w:rPr>
        <w:t> </w:t>
      </w:r>
      <w:r>
        <w:rPr>
          <w:color w:val="231F1F"/>
          <w:w w:val="105"/>
          <w:sz w:val="20"/>
        </w:rPr>
        <w:t>et</w:t>
      </w:r>
      <w:r>
        <w:rPr>
          <w:color w:val="231F1F"/>
          <w:spacing w:val="-2"/>
          <w:w w:val="105"/>
          <w:sz w:val="20"/>
        </w:rPr>
        <w:t> </w:t>
      </w:r>
      <w:r>
        <w:rPr>
          <w:color w:val="231F1F"/>
          <w:w w:val="105"/>
          <w:sz w:val="20"/>
        </w:rPr>
        <w:t>al.</w:t>
      </w:r>
      <w:r>
        <w:rPr>
          <w:color w:val="231F1F"/>
          <w:spacing w:val="-4"/>
          <w:w w:val="105"/>
          <w:sz w:val="20"/>
        </w:rPr>
        <w:t> </w:t>
      </w:r>
      <w:r>
        <w:rPr>
          <w:color w:val="231F1F"/>
          <w:w w:val="105"/>
          <w:sz w:val="20"/>
        </w:rPr>
        <w:t>The</w:t>
      </w:r>
      <w:r>
        <w:rPr>
          <w:color w:val="231F1F"/>
          <w:spacing w:val="-3"/>
          <w:w w:val="105"/>
          <w:sz w:val="20"/>
        </w:rPr>
        <w:t> </w:t>
      </w:r>
      <w:r>
        <w:rPr>
          <w:color w:val="231F1F"/>
          <w:w w:val="105"/>
          <w:sz w:val="20"/>
        </w:rPr>
        <w:t>effects</w:t>
      </w:r>
      <w:r>
        <w:rPr>
          <w:color w:val="231F1F"/>
          <w:spacing w:val="-2"/>
          <w:w w:val="105"/>
          <w:sz w:val="20"/>
        </w:rPr>
        <w:t> </w:t>
      </w:r>
      <w:r>
        <w:rPr>
          <w:color w:val="231F1F"/>
          <w:w w:val="105"/>
          <w:sz w:val="20"/>
        </w:rPr>
        <w:t>of</w:t>
      </w:r>
      <w:r>
        <w:rPr>
          <w:color w:val="231F1F"/>
          <w:spacing w:val="-2"/>
          <w:w w:val="105"/>
          <w:sz w:val="20"/>
        </w:rPr>
        <w:t> </w:t>
      </w:r>
      <w:r>
        <w:rPr>
          <w:color w:val="231F1F"/>
          <w:w w:val="105"/>
          <w:sz w:val="20"/>
        </w:rPr>
        <w:t>oral</w:t>
      </w:r>
      <w:r>
        <w:rPr>
          <w:color w:val="231F1F"/>
          <w:spacing w:val="-2"/>
          <w:w w:val="105"/>
          <w:sz w:val="20"/>
        </w:rPr>
        <w:t> </w:t>
      </w:r>
      <w:r>
        <w:rPr>
          <w:color w:val="231F1F"/>
          <w:w w:val="105"/>
          <w:sz w:val="20"/>
        </w:rPr>
        <w:t>carboydrate</w:t>
      </w:r>
      <w:r>
        <w:rPr>
          <w:color w:val="231F1F"/>
          <w:spacing w:val="-3"/>
          <w:w w:val="105"/>
          <w:sz w:val="20"/>
        </w:rPr>
        <w:t> </w:t>
      </w:r>
      <w:r>
        <w:rPr>
          <w:color w:val="231F1F"/>
          <w:w w:val="105"/>
          <w:sz w:val="20"/>
        </w:rPr>
        <w:t>administration</w:t>
      </w:r>
      <w:r>
        <w:rPr>
          <w:color w:val="231F1F"/>
          <w:spacing w:val="-3"/>
          <w:w w:val="105"/>
          <w:sz w:val="20"/>
        </w:rPr>
        <w:t> </w:t>
      </w:r>
      <w:r>
        <w:rPr>
          <w:color w:val="231F1F"/>
          <w:w w:val="105"/>
          <w:sz w:val="20"/>
        </w:rPr>
        <w:t>on fetal acid base balance. J Perinat Med 2002;30(5):400-4.</w:t>
      </w:r>
    </w:p>
    <w:p>
      <w:pPr>
        <w:pStyle w:val="ListParagraph"/>
        <w:numPr>
          <w:ilvl w:val="0"/>
          <w:numId w:val="109"/>
        </w:numPr>
        <w:tabs>
          <w:tab w:pos="793" w:val="left" w:leader="none"/>
        </w:tabs>
        <w:spacing w:line="225" w:lineRule="auto" w:before="167" w:after="0"/>
        <w:ind w:left="793" w:right="312" w:hanging="511"/>
        <w:jc w:val="left"/>
        <w:rPr>
          <w:sz w:val="20"/>
        </w:rPr>
      </w:pPr>
      <w:r>
        <w:rPr>
          <w:color w:val="231F1F"/>
          <w:w w:val="105"/>
          <w:sz w:val="20"/>
        </w:rPr>
        <w:t>Kubli</w:t>
      </w:r>
      <w:r>
        <w:rPr>
          <w:color w:val="231F1F"/>
          <w:spacing w:val="-3"/>
          <w:w w:val="105"/>
          <w:sz w:val="20"/>
        </w:rPr>
        <w:t> </w:t>
      </w:r>
      <w:r>
        <w:rPr>
          <w:color w:val="231F1F"/>
          <w:w w:val="105"/>
          <w:sz w:val="20"/>
        </w:rPr>
        <w:t>M,</w:t>
      </w:r>
      <w:r>
        <w:rPr>
          <w:color w:val="231F1F"/>
          <w:spacing w:val="-3"/>
          <w:w w:val="105"/>
          <w:sz w:val="20"/>
        </w:rPr>
        <w:t> </w:t>
      </w:r>
      <w:r>
        <w:rPr>
          <w:color w:val="231F1F"/>
          <w:w w:val="105"/>
          <w:sz w:val="20"/>
        </w:rPr>
        <w:t>Scrutton</w:t>
      </w:r>
      <w:r>
        <w:rPr>
          <w:color w:val="231F1F"/>
          <w:spacing w:val="-3"/>
          <w:w w:val="105"/>
          <w:sz w:val="20"/>
        </w:rPr>
        <w:t> </w:t>
      </w:r>
      <w:r>
        <w:rPr>
          <w:color w:val="231F1F"/>
          <w:w w:val="105"/>
          <w:sz w:val="20"/>
        </w:rPr>
        <w:t>MJ,</w:t>
      </w:r>
      <w:r>
        <w:rPr>
          <w:color w:val="231F1F"/>
          <w:spacing w:val="-3"/>
          <w:w w:val="105"/>
          <w:sz w:val="20"/>
        </w:rPr>
        <w:t> </w:t>
      </w:r>
      <w:r>
        <w:rPr>
          <w:color w:val="231F1F"/>
          <w:w w:val="105"/>
          <w:sz w:val="20"/>
        </w:rPr>
        <w:t>Seed</w:t>
      </w:r>
      <w:r>
        <w:rPr>
          <w:color w:val="231F1F"/>
          <w:spacing w:val="-3"/>
          <w:w w:val="105"/>
          <w:sz w:val="20"/>
        </w:rPr>
        <w:t> </w:t>
      </w:r>
      <w:r>
        <w:rPr>
          <w:color w:val="231F1F"/>
          <w:w w:val="105"/>
          <w:sz w:val="20"/>
        </w:rPr>
        <w:t>PT,</w:t>
      </w:r>
      <w:r>
        <w:rPr>
          <w:color w:val="231F1F"/>
          <w:spacing w:val="-3"/>
          <w:w w:val="105"/>
          <w:sz w:val="20"/>
        </w:rPr>
        <w:t> </w:t>
      </w:r>
      <w:r>
        <w:rPr>
          <w:color w:val="231F1F"/>
          <w:w w:val="105"/>
          <w:sz w:val="20"/>
        </w:rPr>
        <w:t>et</w:t>
      </w:r>
      <w:r>
        <w:rPr>
          <w:color w:val="231F1F"/>
          <w:spacing w:val="-3"/>
          <w:w w:val="105"/>
          <w:sz w:val="20"/>
        </w:rPr>
        <w:t> </w:t>
      </w:r>
      <w:r>
        <w:rPr>
          <w:color w:val="231F1F"/>
          <w:w w:val="105"/>
          <w:sz w:val="20"/>
        </w:rPr>
        <w:t>al.</w:t>
      </w:r>
      <w:r>
        <w:rPr>
          <w:color w:val="231F1F"/>
          <w:spacing w:val="-3"/>
          <w:w w:val="105"/>
          <w:sz w:val="20"/>
        </w:rPr>
        <w:t> </w:t>
      </w:r>
      <w:r>
        <w:rPr>
          <w:color w:val="231F1F"/>
          <w:w w:val="105"/>
          <w:sz w:val="20"/>
        </w:rPr>
        <w:t>An</w:t>
      </w:r>
      <w:r>
        <w:rPr>
          <w:color w:val="231F1F"/>
          <w:spacing w:val="-3"/>
          <w:w w:val="105"/>
          <w:sz w:val="20"/>
        </w:rPr>
        <w:t> </w:t>
      </w:r>
      <w:r>
        <w:rPr>
          <w:color w:val="231F1F"/>
          <w:w w:val="105"/>
          <w:sz w:val="20"/>
        </w:rPr>
        <w:t>evaluation</w:t>
      </w:r>
      <w:r>
        <w:rPr>
          <w:color w:val="231F1F"/>
          <w:spacing w:val="-3"/>
          <w:w w:val="105"/>
          <w:sz w:val="20"/>
        </w:rPr>
        <w:t> </w:t>
      </w:r>
      <w:r>
        <w:rPr>
          <w:color w:val="231F1F"/>
          <w:w w:val="105"/>
          <w:sz w:val="20"/>
        </w:rPr>
        <w:t>of</w:t>
      </w:r>
      <w:r>
        <w:rPr>
          <w:color w:val="231F1F"/>
          <w:spacing w:val="-3"/>
          <w:w w:val="105"/>
          <w:sz w:val="20"/>
        </w:rPr>
        <w:t> </w:t>
      </w:r>
      <w:r>
        <w:rPr>
          <w:color w:val="231F1F"/>
          <w:w w:val="105"/>
          <w:sz w:val="20"/>
        </w:rPr>
        <w:t>isotonic</w:t>
      </w:r>
      <w:r>
        <w:rPr>
          <w:color w:val="231F1F"/>
          <w:spacing w:val="-3"/>
          <w:w w:val="105"/>
          <w:sz w:val="20"/>
        </w:rPr>
        <w:t> </w:t>
      </w:r>
      <w:r>
        <w:rPr>
          <w:color w:val="231F1F"/>
          <w:w w:val="105"/>
          <w:sz w:val="20"/>
        </w:rPr>
        <w:t>“sports</w:t>
      </w:r>
      <w:r>
        <w:rPr>
          <w:color w:val="231F1F"/>
          <w:spacing w:val="-3"/>
          <w:w w:val="105"/>
          <w:sz w:val="20"/>
        </w:rPr>
        <w:t> </w:t>
      </w:r>
      <w:r>
        <w:rPr>
          <w:color w:val="231F1F"/>
          <w:w w:val="105"/>
          <w:sz w:val="20"/>
        </w:rPr>
        <w:t>drinks”</w:t>
      </w:r>
      <w:r>
        <w:rPr>
          <w:color w:val="231F1F"/>
          <w:spacing w:val="-3"/>
          <w:w w:val="105"/>
          <w:sz w:val="20"/>
        </w:rPr>
        <w:t> </w:t>
      </w:r>
      <w:r>
        <w:rPr>
          <w:color w:val="231F1F"/>
          <w:w w:val="105"/>
          <w:sz w:val="20"/>
        </w:rPr>
        <w:t>during</w:t>
      </w:r>
      <w:r>
        <w:rPr>
          <w:color w:val="231F1F"/>
          <w:spacing w:val="-3"/>
          <w:w w:val="105"/>
          <w:sz w:val="20"/>
        </w:rPr>
        <w:t> </w:t>
      </w:r>
      <w:r>
        <w:rPr>
          <w:color w:val="231F1F"/>
          <w:w w:val="105"/>
          <w:sz w:val="20"/>
        </w:rPr>
        <w:t>labor. Anesth Analg 2002;94(2):404-8.</w:t>
      </w:r>
    </w:p>
    <w:p>
      <w:pPr>
        <w:pStyle w:val="ListParagraph"/>
        <w:numPr>
          <w:ilvl w:val="0"/>
          <w:numId w:val="109"/>
        </w:numPr>
        <w:tabs>
          <w:tab w:pos="791" w:val="left" w:leader="none"/>
        </w:tabs>
        <w:spacing w:line="240" w:lineRule="auto" w:before="157" w:after="0"/>
        <w:ind w:left="791" w:right="0" w:hanging="508"/>
        <w:jc w:val="left"/>
        <w:rPr>
          <w:sz w:val="20"/>
        </w:rPr>
      </w:pPr>
      <w:r>
        <w:rPr>
          <w:color w:val="231F1F"/>
          <w:spacing w:val="-2"/>
          <w:w w:val="105"/>
          <w:sz w:val="20"/>
        </w:rPr>
        <w:t>Kilpatrick</w:t>
      </w:r>
      <w:r>
        <w:rPr>
          <w:color w:val="231F1F"/>
          <w:spacing w:val="-9"/>
          <w:w w:val="105"/>
          <w:sz w:val="20"/>
        </w:rPr>
        <w:t> </w:t>
      </w:r>
      <w:r>
        <w:rPr>
          <w:color w:val="231F1F"/>
          <w:spacing w:val="-2"/>
          <w:w w:val="105"/>
          <w:sz w:val="20"/>
        </w:rPr>
        <w:t>SJ,</w:t>
      </w:r>
      <w:r>
        <w:rPr>
          <w:color w:val="231F1F"/>
          <w:spacing w:val="-5"/>
          <w:w w:val="105"/>
          <w:sz w:val="20"/>
        </w:rPr>
        <w:t> </w:t>
      </w:r>
      <w:r>
        <w:rPr>
          <w:color w:val="231F1F"/>
          <w:spacing w:val="-2"/>
          <w:w w:val="105"/>
          <w:sz w:val="20"/>
        </w:rPr>
        <w:t>Laros</w:t>
      </w:r>
      <w:r>
        <w:rPr>
          <w:color w:val="231F1F"/>
          <w:spacing w:val="-6"/>
          <w:w w:val="105"/>
          <w:sz w:val="20"/>
        </w:rPr>
        <w:t> </w:t>
      </w:r>
      <w:r>
        <w:rPr>
          <w:color w:val="231F1F"/>
          <w:spacing w:val="-2"/>
          <w:w w:val="105"/>
          <w:sz w:val="20"/>
        </w:rPr>
        <w:t>RK.</w:t>
      </w:r>
      <w:r>
        <w:rPr>
          <w:color w:val="231F1F"/>
          <w:spacing w:val="-6"/>
          <w:w w:val="105"/>
          <w:sz w:val="20"/>
        </w:rPr>
        <w:t> </w:t>
      </w:r>
      <w:r>
        <w:rPr>
          <w:color w:val="231F1F"/>
          <w:spacing w:val="-2"/>
          <w:w w:val="105"/>
          <w:sz w:val="20"/>
        </w:rPr>
        <w:t>Characteristics</w:t>
      </w:r>
      <w:r>
        <w:rPr>
          <w:color w:val="231F1F"/>
          <w:spacing w:val="-6"/>
          <w:w w:val="105"/>
          <w:sz w:val="20"/>
        </w:rPr>
        <w:t> </w:t>
      </w:r>
      <w:r>
        <w:rPr>
          <w:color w:val="231F1F"/>
          <w:spacing w:val="-2"/>
          <w:w w:val="105"/>
          <w:sz w:val="20"/>
        </w:rPr>
        <w:t>of</w:t>
      </w:r>
      <w:r>
        <w:rPr>
          <w:color w:val="231F1F"/>
          <w:spacing w:val="-3"/>
          <w:w w:val="105"/>
          <w:sz w:val="20"/>
        </w:rPr>
        <w:t> </w:t>
      </w:r>
      <w:r>
        <w:rPr>
          <w:color w:val="231F1F"/>
          <w:spacing w:val="-2"/>
          <w:w w:val="105"/>
          <w:sz w:val="20"/>
        </w:rPr>
        <w:t>normal</w:t>
      </w:r>
      <w:r>
        <w:rPr>
          <w:color w:val="231F1F"/>
          <w:w w:val="105"/>
          <w:sz w:val="20"/>
        </w:rPr>
        <w:t> </w:t>
      </w:r>
      <w:r>
        <w:rPr>
          <w:color w:val="231F1F"/>
          <w:spacing w:val="-2"/>
          <w:w w:val="105"/>
          <w:sz w:val="20"/>
        </w:rPr>
        <w:t>labor.</w:t>
      </w:r>
      <w:r>
        <w:rPr>
          <w:color w:val="231F1F"/>
          <w:spacing w:val="-6"/>
          <w:w w:val="105"/>
          <w:sz w:val="20"/>
        </w:rPr>
        <w:t> </w:t>
      </w:r>
      <w:r>
        <w:rPr>
          <w:color w:val="231F1F"/>
          <w:spacing w:val="-2"/>
          <w:w w:val="105"/>
          <w:sz w:val="20"/>
        </w:rPr>
        <w:t>Obstet</w:t>
      </w:r>
      <w:r>
        <w:rPr>
          <w:color w:val="231F1F"/>
          <w:spacing w:val="2"/>
          <w:w w:val="105"/>
          <w:sz w:val="20"/>
        </w:rPr>
        <w:t> </w:t>
      </w:r>
      <w:r>
        <w:rPr>
          <w:color w:val="231F1F"/>
          <w:spacing w:val="-2"/>
          <w:w w:val="105"/>
          <w:sz w:val="20"/>
        </w:rPr>
        <w:t>Gynecol</w:t>
      </w:r>
      <w:r>
        <w:rPr>
          <w:color w:val="231F1F"/>
          <w:w w:val="105"/>
          <w:sz w:val="20"/>
        </w:rPr>
        <w:t> </w:t>
      </w:r>
      <w:r>
        <w:rPr>
          <w:color w:val="231F1F"/>
          <w:spacing w:val="-2"/>
          <w:w w:val="105"/>
          <w:sz w:val="20"/>
        </w:rPr>
        <w:t>1989;741:85-7.</w:t>
      </w:r>
      <w:r>
        <w:rPr>
          <w:color w:val="231F1F"/>
          <w:spacing w:val="-6"/>
          <w:w w:val="105"/>
          <w:sz w:val="20"/>
        </w:rPr>
        <w:t> </w:t>
      </w:r>
      <w:r>
        <w:rPr>
          <w:color w:val="231F1F"/>
          <w:spacing w:val="-4"/>
          <w:w w:val="105"/>
          <w:sz w:val="20"/>
        </w:rPr>
        <w:t>NE3.</w:t>
      </w:r>
    </w:p>
    <w:p>
      <w:pPr>
        <w:pStyle w:val="ListParagraph"/>
        <w:numPr>
          <w:ilvl w:val="0"/>
          <w:numId w:val="109"/>
        </w:numPr>
        <w:tabs>
          <w:tab w:pos="791" w:val="left" w:leader="none"/>
        </w:tabs>
        <w:spacing w:line="230" w:lineRule="auto" w:before="161" w:after="0"/>
        <w:ind w:left="791" w:right="120" w:hanging="511"/>
        <w:jc w:val="left"/>
        <w:rPr>
          <w:sz w:val="20"/>
        </w:rPr>
      </w:pPr>
      <w:r>
        <w:rPr>
          <w:color w:val="231F1F"/>
          <w:w w:val="110"/>
          <w:sz w:val="20"/>
        </w:rPr>
        <w:t>Chelmow D, Kilpatrick SJ, Laros RK, Jr. Maternal and neonatal outcomes after prolonged latent phase. Obstet Gynecol 1993;814:486-91 NE3.</w:t>
      </w:r>
    </w:p>
    <w:p>
      <w:pPr>
        <w:pStyle w:val="ListParagraph"/>
        <w:numPr>
          <w:ilvl w:val="0"/>
          <w:numId w:val="109"/>
        </w:numPr>
        <w:tabs>
          <w:tab w:pos="791" w:val="left" w:leader="none"/>
        </w:tabs>
        <w:spacing w:line="240" w:lineRule="auto" w:before="151" w:after="0"/>
        <w:ind w:left="791" w:right="0" w:hanging="508"/>
        <w:jc w:val="left"/>
        <w:rPr>
          <w:sz w:val="20"/>
        </w:rPr>
      </w:pPr>
      <w:r>
        <w:rPr>
          <w:color w:val="231F1F"/>
          <w:sz w:val="20"/>
        </w:rPr>
        <w:t>Friedman</w:t>
      </w:r>
      <w:r>
        <w:rPr>
          <w:color w:val="231F1F"/>
          <w:spacing w:val="18"/>
          <w:sz w:val="20"/>
        </w:rPr>
        <w:t> </w:t>
      </w:r>
      <w:r>
        <w:rPr>
          <w:color w:val="231F1F"/>
          <w:sz w:val="20"/>
        </w:rPr>
        <w:t>EA.</w:t>
      </w:r>
      <w:r>
        <w:rPr>
          <w:color w:val="231F1F"/>
          <w:spacing w:val="-11"/>
          <w:sz w:val="20"/>
        </w:rPr>
        <w:t> </w:t>
      </w:r>
      <w:r>
        <w:rPr>
          <w:color w:val="231F1F"/>
          <w:sz w:val="20"/>
        </w:rPr>
        <w:t>The</w:t>
      </w:r>
      <w:r>
        <w:rPr>
          <w:color w:val="231F1F"/>
          <w:spacing w:val="21"/>
          <w:sz w:val="20"/>
        </w:rPr>
        <w:t> </w:t>
      </w:r>
      <w:r>
        <w:rPr>
          <w:color w:val="231F1F"/>
          <w:sz w:val="20"/>
        </w:rPr>
        <w:t>graphic</w:t>
      </w:r>
      <w:r>
        <w:rPr>
          <w:color w:val="231F1F"/>
          <w:spacing w:val="21"/>
          <w:sz w:val="20"/>
        </w:rPr>
        <w:t> </w:t>
      </w:r>
      <w:r>
        <w:rPr>
          <w:color w:val="231F1F"/>
          <w:sz w:val="20"/>
        </w:rPr>
        <w:t>analysis</w:t>
      </w:r>
      <w:r>
        <w:rPr>
          <w:color w:val="231F1F"/>
          <w:spacing w:val="20"/>
          <w:sz w:val="20"/>
        </w:rPr>
        <w:t> </w:t>
      </w:r>
      <w:r>
        <w:rPr>
          <w:color w:val="231F1F"/>
          <w:sz w:val="20"/>
        </w:rPr>
        <w:t>of</w:t>
      </w:r>
      <w:r>
        <w:rPr>
          <w:color w:val="231F1F"/>
          <w:spacing w:val="23"/>
          <w:sz w:val="20"/>
        </w:rPr>
        <w:t> </w:t>
      </w:r>
      <w:r>
        <w:rPr>
          <w:color w:val="231F1F"/>
          <w:sz w:val="20"/>
        </w:rPr>
        <w:t>labor.</w:t>
      </w:r>
      <w:r>
        <w:rPr>
          <w:color w:val="231F1F"/>
          <w:spacing w:val="-13"/>
          <w:sz w:val="20"/>
        </w:rPr>
        <w:t> </w:t>
      </w:r>
      <w:r>
        <w:rPr>
          <w:color w:val="231F1F"/>
          <w:sz w:val="20"/>
        </w:rPr>
        <w:t>Am</w:t>
      </w:r>
      <w:r>
        <w:rPr>
          <w:color w:val="231F1F"/>
          <w:spacing w:val="21"/>
          <w:sz w:val="20"/>
        </w:rPr>
        <w:t> </w:t>
      </w:r>
      <w:r>
        <w:rPr>
          <w:color w:val="231F1F"/>
          <w:sz w:val="20"/>
        </w:rPr>
        <w:t>J</w:t>
      </w:r>
      <w:r>
        <w:rPr>
          <w:color w:val="231F1F"/>
          <w:spacing w:val="20"/>
          <w:sz w:val="20"/>
        </w:rPr>
        <w:t> </w:t>
      </w:r>
      <w:r>
        <w:rPr>
          <w:color w:val="231F1F"/>
          <w:sz w:val="20"/>
        </w:rPr>
        <w:t>Obstet</w:t>
      </w:r>
      <w:r>
        <w:rPr>
          <w:color w:val="231F1F"/>
          <w:spacing w:val="21"/>
          <w:sz w:val="20"/>
        </w:rPr>
        <w:t> </w:t>
      </w:r>
      <w:r>
        <w:rPr>
          <w:color w:val="231F1F"/>
          <w:sz w:val="20"/>
        </w:rPr>
        <w:t>Gynecol</w:t>
      </w:r>
      <w:r>
        <w:rPr>
          <w:color w:val="231F1F"/>
          <w:spacing w:val="21"/>
          <w:sz w:val="20"/>
        </w:rPr>
        <w:t> </w:t>
      </w:r>
      <w:r>
        <w:rPr>
          <w:color w:val="231F1F"/>
          <w:sz w:val="20"/>
        </w:rPr>
        <w:t>1954;686:1568-75</w:t>
      </w:r>
      <w:r>
        <w:rPr>
          <w:color w:val="231F1F"/>
          <w:spacing w:val="22"/>
          <w:sz w:val="20"/>
        </w:rPr>
        <w:t> </w:t>
      </w:r>
      <w:r>
        <w:rPr>
          <w:color w:val="231F1F"/>
          <w:spacing w:val="-4"/>
          <w:sz w:val="20"/>
        </w:rPr>
        <w:t>NE3.</w:t>
      </w:r>
    </w:p>
    <w:p>
      <w:pPr>
        <w:pStyle w:val="ListParagraph"/>
        <w:numPr>
          <w:ilvl w:val="0"/>
          <w:numId w:val="109"/>
        </w:numPr>
        <w:tabs>
          <w:tab w:pos="792" w:val="left" w:leader="none"/>
        </w:tabs>
        <w:spacing w:line="230" w:lineRule="auto" w:before="162" w:after="0"/>
        <w:ind w:left="792" w:right="124" w:hanging="511"/>
        <w:jc w:val="left"/>
        <w:rPr>
          <w:sz w:val="20"/>
        </w:rPr>
      </w:pPr>
      <w:r>
        <w:rPr>
          <w:color w:val="231F1F"/>
          <w:w w:val="105"/>
          <w:sz w:val="20"/>
        </w:rPr>
        <w:t>Gross MM,</w:t>
      </w:r>
      <w:r>
        <w:rPr>
          <w:color w:val="231F1F"/>
          <w:spacing w:val="-3"/>
          <w:w w:val="105"/>
          <w:sz w:val="20"/>
        </w:rPr>
        <w:t> </w:t>
      </w:r>
      <w:r>
        <w:rPr>
          <w:color w:val="231F1F"/>
          <w:w w:val="105"/>
          <w:sz w:val="20"/>
        </w:rPr>
        <w:t>Drobnic S,</w:t>
      </w:r>
      <w:r>
        <w:rPr>
          <w:color w:val="231F1F"/>
          <w:spacing w:val="-3"/>
          <w:w w:val="105"/>
          <w:sz w:val="20"/>
        </w:rPr>
        <w:t> </w:t>
      </w:r>
      <w:r>
        <w:rPr>
          <w:color w:val="231F1F"/>
          <w:w w:val="105"/>
          <w:sz w:val="20"/>
        </w:rPr>
        <w:t>Keirse MJN.</w:t>
      </w:r>
      <w:r>
        <w:rPr>
          <w:color w:val="231F1F"/>
          <w:spacing w:val="-3"/>
          <w:w w:val="105"/>
          <w:sz w:val="20"/>
        </w:rPr>
        <w:t> </w:t>
      </w:r>
      <w:r>
        <w:rPr>
          <w:color w:val="231F1F"/>
          <w:w w:val="105"/>
          <w:sz w:val="20"/>
        </w:rPr>
        <w:t>Influence of fixed and time-dependent factors on duration of normal first stage labor. Birth 2005;321:27-33 NE3.</w:t>
      </w:r>
    </w:p>
    <w:p>
      <w:pPr>
        <w:pStyle w:val="ListParagraph"/>
        <w:numPr>
          <w:ilvl w:val="0"/>
          <w:numId w:val="109"/>
        </w:numPr>
        <w:tabs>
          <w:tab w:pos="791" w:val="left" w:leader="none"/>
        </w:tabs>
        <w:spacing w:line="240" w:lineRule="auto" w:before="160" w:after="0"/>
        <w:ind w:left="791" w:right="0" w:hanging="508"/>
        <w:jc w:val="left"/>
        <w:rPr>
          <w:sz w:val="20"/>
        </w:rPr>
      </w:pPr>
      <w:r>
        <w:rPr>
          <w:color w:val="231F1F"/>
          <w:sz w:val="20"/>
        </w:rPr>
        <w:t>Chamberlain</w:t>
      </w:r>
      <w:r>
        <w:rPr>
          <w:color w:val="231F1F"/>
          <w:spacing w:val="29"/>
          <w:sz w:val="20"/>
        </w:rPr>
        <w:t> </w:t>
      </w:r>
      <w:r>
        <w:rPr>
          <w:color w:val="231F1F"/>
          <w:sz w:val="20"/>
        </w:rPr>
        <w:t>G,</w:t>
      </w:r>
      <w:r>
        <w:rPr>
          <w:color w:val="231F1F"/>
          <w:spacing w:val="12"/>
          <w:sz w:val="20"/>
        </w:rPr>
        <w:t> </w:t>
      </w:r>
      <w:r>
        <w:rPr>
          <w:color w:val="231F1F"/>
          <w:sz w:val="20"/>
        </w:rPr>
        <w:t>Steer</w:t>
      </w:r>
      <w:r>
        <w:rPr>
          <w:color w:val="231F1F"/>
          <w:spacing w:val="29"/>
          <w:sz w:val="20"/>
        </w:rPr>
        <w:t> </w:t>
      </w:r>
      <w:r>
        <w:rPr>
          <w:color w:val="231F1F"/>
          <w:sz w:val="20"/>
        </w:rPr>
        <w:t>P.</w:t>
      </w:r>
      <w:r>
        <w:rPr>
          <w:color w:val="231F1F"/>
          <w:spacing w:val="-5"/>
          <w:sz w:val="20"/>
        </w:rPr>
        <w:t> </w:t>
      </w:r>
      <w:r>
        <w:rPr>
          <w:color w:val="231F1F"/>
          <w:sz w:val="20"/>
        </w:rPr>
        <w:t>Turnbull´s</w:t>
      </w:r>
      <w:r>
        <w:rPr>
          <w:color w:val="231F1F"/>
          <w:spacing w:val="30"/>
          <w:sz w:val="20"/>
        </w:rPr>
        <w:t> </w:t>
      </w:r>
      <w:r>
        <w:rPr>
          <w:color w:val="231F1F"/>
          <w:sz w:val="20"/>
        </w:rPr>
        <w:t>Obstetrics.</w:t>
      </w:r>
      <w:r>
        <w:rPr>
          <w:color w:val="231F1F"/>
          <w:spacing w:val="12"/>
          <w:sz w:val="20"/>
        </w:rPr>
        <w:t> </w:t>
      </w:r>
      <w:r>
        <w:rPr>
          <w:color w:val="231F1F"/>
          <w:sz w:val="20"/>
        </w:rPr>
        <w:t>3rd</w:t>
      </w:r>
      <w:r>
        <w:rPr>
          <w:color w:val="231F1F"/>
          <w:spacing w:val="30"/>
          <w:sz w:val="20"/>
        </w:rPr>
        <w:t> </w:t>
      </w:r>
      <w:r>
        <w:rPr>
          <w:color w:val="231F1F"/>
          <w:sz w:val="20"/>
        </w:rPr>
        <w:t>ed.</w:t>
      </w:r>
      <w:r>
        <w:rPr>
          <w:color w:val="231F1F"/>
          <w:spacing w:val="11"/>
          <w:sz w:val="20"/>
        </w:rPr>
        <w:t> </w:t>
      </w:r>
      <w:r>
        <w:rPr>
          <w:color w:val="231F1F"/>
          <w:sz w:val="20"/>
        </w:rPr>
        <w:t>London:</w:t>
      </w:r>
      <w:r>
        <w:rPr>
          <w:color w:val="231F1F"/>
          <w:spacing w:val="13"/>
          <w:sz w:val="20"/>
        </w:rPr>
        <w:t> </w:t>
      </w:r>
      <w:r>
        <w:rPr>
          <w:color w:val="231F1F"/>
          <w:sz w:val="20"/>
        </w:rPr>
        <w:t>Harcourt</w:t>
      </w:r>
      <w:r>
        <w:rPr>
          <w:color w:val="231F1F"/>
          <w:spacing w:val="31"/>
          <w:sz w:val="20"/>
        </w:rPr>
        <w:t> </w:t>
      </w:r>
      <w:r>
        <w:rPr>
          <w:color w:val="231F1F"/>
          <w:spacing w:val="-2"/>
          <w:sz w:val="20"/>
        </w:rPr>
        <w:t>2001.</w:t>
      </w:r>
    </w:p>
    <w:p>
      <w:pPr>
        <w:pStyle w:val="ListParagraph"/>
        <w:numPr>
          <w:ilvl w:val="0"/>
          <w:numId w:val="109"/>
        </w:numPr>
        <w:tabs>
          <w:tab w:pos="793" w:val="left" w:leader="none"/>
        </w:tabs>
        <w:spacing w:line="225" w:lineRule="auto" w:before="165" w:after="0"/>
        <w:ind w:left="793" w:right="385" w:hanging="511"/>
        <w:jc w:val="left"/>
        <w:rPr>
          <w:sz w:val="20"/>
        </w:rPr>
      </w:pPr>
      <w:r>
        <w:rPr>
          <w:color w:val="231F1F"/>
          <w:w w:val="105"/>
          <w:sz w:val="20"/>
        </w:rPr>
        <w:t>Albers</w:t>
      </w:r>
      <w:r>
        <w:rPr>
          <w:color w:val="231F1F"/>
          <w:spacing w:val="-3"/>
          <w:w w:val="105"/>
          <w:sz w:val="20"/>
        </w:rPr>
        <w:t> </w:t>
      </w:r>
      <w:r>
        <w:rPr>
          <w:color w:val="231F1F"/>
          <w:w w:val="105"/>
          <w:sz w:val="20"/>
        </w:rPr>
        <w:t>LL,</w:t>
      </w:r>
      <w:r>
        <w:rPr>
          <w:color w:val="231F1F"/>
          <w:spacing w:val="-3"/>
          <w:w w:val="105"/>
          <w:sz w:val="20"/>
        </w:rPr>
        <w:t> </w:t>
      </w:r>
      <w:r>
        <w:rPr>
          <w:color w:val="231F1F"/>
          <w:w w:val="105"/>
          <w:sz w:val="20"/>
        </w:rPr>
        <w:t>Schiff</w:t>
      </w:r>
      <w:r>
        <w:rPr>
          <w:color w:val="231F1F"/>
          <w:spacing w:val="-3"/>
          <w:w w:val="105"/>
          <w:sz w:val="20"/>
        </w:rPr>
        <w:t> </w:t>
      </w:r>
      <w:r>
        <w:rPr>
          <w:color w:val="231F1F"/>
          <w:w w:val="105"/>
          <w:sz w:val="20"/>
        </w:rPr>
        <w:t>M,</w:t>
      </w:r>
      <w:r>
        <w:rPr>
          <w:color w:val="231F1F"/>
          <w:spacing w:val="-3"/>
          <w:w w:val="105"/>
          <w:sz w:val="20"/>
        </w:rPr>
        <w:t> </w:t>
      </w:r>
      <w:r>
        <w:rPr>
          <w:color w:val="231F1F"/>
          <w:w w:val="105"/>
          <w:sz w:val="20"/>
        </w:rPr>
        <w:t>Gorwoda</w:t>
      </w:r>
      <w:r>
        <w:rPr>
          <w:color w:val="231F1F"/>
          <w:spacing w:val="-4"/>
          <w:w w:val="105"/>
          <w:sz w:val="20"/>
        </w:rPr>
        <w:t> </w:t>
      </w:r>
      <w:r>
        <w:rPr>
          <w:color w:val="231F1F"/>
          <w:w w:val="105"/>
          <w:sz w:val="20"/>
        </w:rPr>
        <w:t>JG.</w:t>
      </w:r>
      <w:r>
        <w:rPr>
          <w:color w:val="231F1F"/>
          <w:spacing w:val="-3"/>
          <w:w w:val="105"/>
          <w:sz w:val="20"/>
        </w:rPr>
        <w:t> </w:t>
      </w:r>
      <w:r>
        <w:rPr>
          <w:color w:val="231F1F"/>
          <w:w w:val="105"/>
          <w:sz w:val="20"/>
        </w:rPr>
        <w:t>The</w:t>
      </w:r>
      <w:r>
        <w:rPr>
          <w:color w:val="231F1F"/>
          <w:spacing w:val="-4"/>
          <w:w w:val="105"/>
          <w:sz w:val="20"/>
        </w:rPr>
        <w:t> </w:t>
      </w:r>
      <w:r>
        <w:rPr>
          <w:color w:val="231F1F"/>
          <w:w w:val="105"/>
          <w:sz w:val="20"/>
        </w:rPr>
        <w:t>length</w:t>
      </w:r>
      <w:r>
        <w:rPr>
          <w:color w:val="231F1F"/>
          <w:spacing w:val="-4"/>
          <w:w w:val="105"/>
          <w:sz w:val="20"/>
        </w:rPr>
        <w:t> </w:t>
      </w:r>
      <w:r>
        <w:rPr>
          <w:color w:val="231F1F"/>
          <w:w w:val="105"/>
          <w:sz w:val="20"/>
        </w:rPr>
        <w:t>of</w:t>
      </w:r>
      <w:r>
        <w:rPr>
          <w:color w:val="231F1F"/>
          <w:spacing w:val="-3"/>
          <w:w w:val="105"/>
          <w:sz w:val="20"/>
        </w:rPr>
        <w:t> </w:t>
      </w:r>
      <w:r>
        <w:rPr>
          <w:color w:val="231F1F"/>
          <w:w w:val="105"/>
          <w:sz w:val="20"/>
        </w:rPr>
        <w:t>active</w:t>
      </w:r>
      <w:r>
        <w:rPr>
          <w:color w:val="231F1F"/>
          <w:spacing w:val="-4"/>
          <w:w w:val="105"/>
          <w:sz w:val="20"/>
        </w:rPr>
        <w:t> </w:t>
      </w:r>
      <w:r>
        <w:rPr>
          <w:color w:val="231F1F"/>
          <w:w w:val="105"/>
          <w:sz w:val="20"/>
        </w:rPr>
        <w:t>labor</w:t>
      </w:r>
      <w:r>
        <w:rPr>
          <w:color w:val="231F1F"/>
          <w:spacing w:val="-3"/>
          <w:w w:val="105"/>
          <w:sz w:val="20"/>
        </w:rPr>
        <w:t> </w:t>
      </w:r>
      <w:r>
        <w:rPr>
          <w:color w:val="231F1F"/>
          <w:w w:val="105"/>
          <w:sz w:val="20"/>
        </w:rPr>
        <w:t>in</w:t>
      </w:r>
      <w:r>
        <w:rPr>
          <w:color w:val="231F1F"/>
          <w:spacing w:val="-4"/>
          <w:w w:val="105"/>
          <w:sz w:val="20"/>
        </w:rPr>
        <w:t> </w:t>
      </w:r>
      <w:r>
        <w:rPr>
          <w:color w:val="231F1F"/>
          <w:w w:val="105"/>
          <w:sz w:val="20"/>
        </w:rPr>
        <w:t>normal</w:t>
      </w:r>
      <w:r>
        <w:rPr>
          <w:color w:val="231F1F"/>
          <w:spacing w:val="-3"/>
          <w:w w:val="105"/>
          <w:sz w:val="20"/>
        </w:rPr>
        <w:t> </w:t>
      </w:r>
      <w:r>
        <w:rPr>
          <w:color w:val="231F1F"/>
          <w:w w:val="105"/>
          <w:sz w:val="20"/>
        </w:rPr>
        <w:t>pregnancies.</w:t>
      </w:r>
      <w:r>
        <w:rPr>
          <w:color w:val="231F1F"/>
          <w:spacing w:val="-3"/>
          <w:w w:val="105"/>
          <w:sz w:val="20"/>
        </w:rPr>
        <w:t> </w:t>
      </w:r>
      <w:r>
        <w:rPr>
          <w:color w:val="231F1F"/>
          <w:w w:val="105"/>
          <w:sz w:val="20"/>
        </w:rPr>
        <w:t>Obstet Gynecol 1996;873:355-9. NE3.</w:t>
      </w:r>
    </w:p>
    <w:p>
      <w:pPr>
        <w:pStyle w:val="ListParagraph"/>
        <w:numPr>
          <w:ilvl w:val="0"/>
          <w:numId w:val="109"/>
        </w:numPr>
        <w:tabs>
          <w:tab w:pos="791" w:val="left" w:leader="none"/>
        </w:tabs>
        <w:spacing w:line="240" w:lineRule="auto" w:before="157" w:after="0"/>
        <w:ind w:left="791" w:right="0" w:hanging="508"/>
        <w:jc w:val="left"/>
        <w:rPr>
          <w:sz w:val="20"/>
        </w:rPr>
      </w:pPr>
      <w:r>
        <w:rPr>
          <w:color w:val="231F1F"/>
          <w:sz w:val="20"/>
        </w:rPr>
        <w:t>Albers</w:t>
      </w:r>
      <w:r>
        <w:rPr>
          <w:color w:val="231F1F"/>
          <w:spacing w:val="15"/>
          <w:sz w:val="20"/>
        </w:rPr>
        <w:t> </w:t>
      </w:r>
      <w:r>
        <w:rPr>
          <w:color w:val="231F1F"/>
          <w:sz w:val="20"/>
        </w:rPr>
        <w:t>LL.</w:t>
      </w:r>
      <w:r>
        <w:rPr>
          <w:color w:val="231F1F"/>
          <w:spacing w:val="-12"/>
          <w:sz w:val="20"/>
        </w:rPr>
        <w:t> </w:t>
      </w:r>
      <w:r>
        <w:rPr>
          <w:color w:val="231F1F"/>
          <w:sz w:val="20"/>
        </w:rPr>
        <w:t>The</w:t>
      </w:r>
      <w:r>
        <w:rPr>
          <w:color w:val="231F1F"/>
          <w:spacing w:val="19"/>
          <w:sz w:val="20"/>
        </w:rPr>
        <w:t> </w:t>
      </w:r>
      <w:r>
        <w:rPr>
          <w:color w:val="231F1F"/>
          <w:sz w:val="20"/>
        </w:rPr>
        <w:t>duration</w:t>
      </w:r>
      <w:r>
        <w:rPr>
          <w:color w:val="231F1F"/>
          <w:spacing w:val="18"/>
          <w:sz w:val="20"/>
        </w:rPr>
        <w:t> </w:t>
      </w:r>
      <w:r>
        <w:rPr>
          <w:color w:val="231F1F"/>
          <w:sz w:val="20"/>
        </w:rPr>
        <w:t>of</w:t>
      </w:r>
      <w:r>
        <w:rPr>
          <w:color w:val="231F1F"/>
          <w:spacing w:val="19"/>
          <w:sz w:val="20"/>
        </w:rPr>
        <w:t> </w:t>
      </w:r>
      <w:r>
        <w:rPr>
          <w:color w:val="231F1F"/>
          <w:sz w:val="20"/>
        </w:rPr>
        <w:t>labor</w:t>
      </w:r>
      <w:r>
        <w:rPr>
          <w:color w:val="231F1F"/>
          <w:spacing w:val="20"/>
          <w:sz w:val="20"/>
        </w:rPr>
        <w:t> </w:t>
      </w:r>
      <w:r>
        <w:rPr>
          <w:color w:val="231F1F"/>
          <w:sz w:val="20"/>
        </w:rPr>
        <w:t>in</w:t>
      </w:r>
      <w:r>
        <w:rPr>
          <w:color w:val="231F1F"/>
          <w:spacing w:val="17"/>
          <w:sz w:val="20"/>
        </w:rPr>
        <w:t> </w:t>
      </w:r>
      <w:r>
        <w:rPr>
          <w:color w:val="231F1F"/>
          <w:sz w:val="20"/>
        </w:rPr>
        <w:t>healthy</w:t>
      </w:r>
      <w:r>
        <w:rPr>
          <w:color w:val="231F1F"/>
          <w:spacing w:val="20"/>
          <w:sz w:val="20"/>
        </w:rPr>
        <w:t> </w:t>
      </w:r>
      <w:r>
        <w:rPr>
          <w:color w:val="231F1F"/>
          <w:sz w:val="20"/>
        </w:rPr>
        <w:t>women.</w:t>
      </w:r>
      <w:r>
        <w:rPr>
          <w:color w:val="231F1F"/>
          <w:spacing w:val="3"/>
          <w:sz w:val="20"/>
        </w:rPr>
        <w:t> </w:t>
      </w:r>
      <w:r>
        <w:rPr>
          <w:color w:val="231F1F"/>
          <w:sz w:val="20"/>
        </w:rPr>
        <w:t>J</w:t>
      </w:r>
      <w:r>
        <w:rPr>
          <w:color w:val="231F1F"/>
          <w:spacing w:val="18"/>
          <w:sz w:val="20"/>
        </w:rPr>
        <w:t> </w:t>
      </w:r>
      <w:r>
        <w:rPr>
          <w:color w:val="231F1F"/>
          <w:sz w:val="20"/>
        </w:rPr>
        <w:t>Perinatol</w:t>
      </w:r>
      <w:r>
        <w:rPr>
          <w:color w:val="231F1F"/>
          <w:spacing w:val="20"/>
          <w:sz w:val="20"/>
        </w:rPr>
        <w:t> </w:t>
      </w:r>
      <w:r>
        <w:rPr>
          <w:color w:val="231F1F"/>
          <w:sz w:val="20"/>
        </w:rPr>
        <w:t>1999;192:114-19.</w:t>
      </w:r>
      <w:r>
        <w:rPr>
          <w:color w:val="231F1F"/>
          <w:spacing w:val="3"/>
          <w:sz w:val="20"/>
        </w:rPr>
        <w:t> </w:t>
      </w:r>
      <w:r>
        <w:rPr>
          <w:color w:val="231F1F"/>
          <w:spacing w:val="-4"/>
          <w:sz w:val="20"/>
        </w:rPr>
        <w:t>NE3.</w:t>
      </w:r>
    </w:p>
    <w:p>
      <w:pPr>
        <w:pStyle w:val="ListParagraph"/>
        <w:numPr>
          <w:ilvl w:val="0"/>
          <w:numId w:val="109"/>
        </w:numPr>
        <w:tabs>
          <w:tab w:pos="791" w:val="left" w:leader="none"/>
        </w:tabs>
        <w:spacing w:line="225" w:lineRule="auto" w:before="165" w:after="0"/>
        <w:ind w:left="791" w:right="162" w:hanging="511"/>
        <w:jc w:val="left"/>
        <w:rPr>
          <w:sz w:val="20"/>
        </w:rPr>
      </w:pPr>
      <w:r>
        <w:rPr>
          <w:color w:val="231F1F"/>
          <w:w w:val="110"/>
          <w:sz w:val="20"/>
        </w:rPr>
        <w:t>Zhang</w:t>
      </w:r>
      <w:r>
        <w:rPr>
          <w:color w:val="231F1F"/>
          <w:spacing w:val="-15"/>
          <w:w w:val="110"/>
          <w:sz w:val="20"/>
        </w:rPr>
        <w:t> </w:t>
      </w:r>
      <w:r>
        <w:rPr>
          <w:color w:val="231F1F"/>
          <w:w w:val="110"/>
          <w:sz w:val="20"/>
        </w:rPr>
        <w:t>J,</w:t>
      </w:r>
      <w:r>
        <w:rPr>
          <w:color w:val="231F1F"/>
          <w:spacing w:val="-15"/>
          <w:w w:val="110"/>
          <w:sz w:val="20"/>
        </w:rPr>
        <w:t> </w:t>
      </w:r>
      <w:r>
        <w:rPr>
          <w:color w:val="231F1F"/>
          <w:w w:val="110"/>
          <w:sz w:val="20"/>
        </w:rPr>
        <w:t>Troendle</w:t>
      </w:r>
      <w:r>
        <w:rPr>
          <w:color w:val="231F1F"/>
          <w:spacing w:val="-15"/>
          <w:w w:val="110"/>
          <w:sz w:val="20"/>
        </w:rPr>
        <w:t> </w:t>
      </w:r>
      <w:r>
        <w:rPr>
          <w:color w:val="231F1F"/>
          <w:w w:val="110"/>
          <w:sz w:val="20"/>
        </w:rPr>
        <w:t>JF,</w:t>
      </w:r>
      <w:r>
        <w:rPr>
          <w:color w:val="231F1F"/>
          <w:spacing w:val="-14"/>
          <w:w w:val="110"/>
          <w:sz w:val="20"/>
        </w:rPr>
        <w:t> </w:t>
      </w:r>
      <w:r>
        <w:rPr>
          <w:color w:val="231F1F"/>
          <w:w w:val="110"/>
          <w:sz w:val="20"/>
        </w:rPr>
        <w:t>Yancey</w:t>
      </w:r>
      <w:r>
        <w:rPr>
          <w:color w:val="231F1F"/>
          <w:spacing w:val="-15"/>
          <w:w w:val="110"/>
          <w:sz w:val="20"/>
        </w:rPr>
        <w:t> </w:t>
      </w:r>
      <w:r>
        <w:rPr>
          <w:color w:val="231F1F"/>
          <w:w w:val="110"/>
          <w:sz w:val="20"/>
        </w:rPr>
        <w:t>MK.</w:t>
      </w:r>
      <w:r>
        <w:rPr>
          <w:color w:val="231F1F"/>
          <w:spacing w:val="-15"/>
          <w:w w:val="110"/>
          <w:sz w:val="20"/>
        </w:rPr>
        <w:t> </w:t>
      </w:r>
      <w:r>
        <w:rPr>
          <w:color w:val="231F1F"/>
          <w:w w:val="110"/>
          <w:sz w:val="20"/>
        </w:rPr>
        <w:t>Reassessing</w:t>
      </w:r>
      <w:r>
        <w:rPr>
          <w:color w:val="231F1F"/>
          <w:spacing w:val="-15"/>
          <w:w w:val="110"/>
          <w:sz w:val="20"/>
        </w:rPr>
        <w:t> </w:t>
      </w:r>
      <w:r>
        <w:rPr>
          <w:color w:val="231F1F"/>
          <w:w w:val="110"/>
          <w:sz w:val="20"/>
        </w:rPr>
        <w:t>the</w:t>
      </w:r>
      <w:r>
        <w:rPr>
          <w:color w:val="231F1F"/>
          <w:spacing w:val="-14"/>
          <w:w w:val="110"/>
          <w:sz w:val="20"/>
        </w:rPr>
        <w:t> </w:t>
      </w:r>
      <w:r>
        <w:rPr>
          <w:color w:val="231F1F"/>
          <w:w w:val="110"/>
          <w:sz w:val="20"/>
        </w:rPr>
        <w:t>labor</w:t>
      </w:r>
      <w:r>
        <w:rPr>
          <w:color w:val="231F1F"/>
          <w:spacing w:val="-15"/>
          <w:w w:val="110"/>
          <w:sz w:val="20"/>
        </w:rPr>
        <w:t> </w:t>
      </w:r>
      <w:r>
        <w:rPr>
          <w:color w:val="231F1F"/>
          <w:w w:val="110"/>
          <w:sz w:val="20"/>
        </w:rPr>
        <w:t>curve</w:t>
      </w:r>
      <w:r>
        <w:rPr>
          <w:color w:val="231F1F"/>
          <w:spacing w:val="-15"/>
          <w:w w:val="110"/>
          <w:sz w:val="20"/>
        </w:rPr>
        <w:t> </w:t>
      </w:r>
      <w:r>
        <w:rPr>
          <w:color w:val="231F1F"/>
          <w:w w:val="110"/>
          <w:sz w:val="20"/>
        </w:rPr>
        <w:t>in</w:t>
      </w:r>
      <w:r>
        <w:rPr>
          <w:color w:val="231F1F"/>
          <w:spacing w:val="-15"/>
          <w:w w:val="110"/>
          <w:sz w:val="20"/>
        </w:rPr>
        <w:t> </w:t>
      </w:r>
      <w:r>
        <w:rPr>
          <w:color w:val="231F1F"/>
          <w:w w:val="110"/>
          <w:sz w:val="20"/>
        </w:rPr>
        <w:t>nulliparous</w:t>
      </w:r>
      <w:r>
        <w:rPr>
          <w:color w:val="231F1F"/>
          <w:spacing w:val="-14"/>
          <w:w w:val="110"/>
          <w:sz w:val="20"/>
        </w:rPr>
        <w:t> </w:t>
      </w:r>
      <w:r>
        <w:rPr>
          <w:color w:val="231F1F"/>
          <w:w w:val="110"/>
          <w:sz w:val="20"/>
        </w:rPr>
        <w:t>women.</w:t>
      </w:r>
      <w:r>
        <w:rPr>
          <w:color w:val="231F1F"/>
          <w:spacing w:val="-15"/>
          <w:w w:val="110"/>
          <w:sz w:val="20"/>
        </w:rPr>
        <w:t> </w:t>
      </w:r>
      <w:r>
        <w:rPr>
          <w:color w:val="231F1F"/>
          <w:w w:val="110"/>
          <w:sz w:val="20"/>
        </w:rPr>
        <w:t>Am</w:t>
      </w:r>
      <w:r>
        <w:rPr>
          <w:color w:val="231F1F"/>
          <w:spacing w:val="-15"/>
          <w:w w:val="110"/>
          <w:sz w:val="20"/>
        </w:rPr>
        <w:t> </w:t>
      </w:r>
      <w:r>
        <w:rPr>
          <w:color w:val="231F1F"/>
          <w:w w:val="110"/>
          <w:sz w:val="20"/>
        </w:rPr>
        <w:t>J Obstet Gynecol 2002;1874:824-8 NE3.</w:t>
      </w:r>
    </w:p>
    <w:p>
      <w:pPr>
        <w:pStyle w:val="ListParagraph"/>
        <w:numPr>
          <w:ilvl w:val="0"/>
          <w:numId w:val="109"/>
        </w:numPr>
        <w:tabs>
          <w:tab w:pos="791" w:val="left" w:leader="none"/>
        </w:tabs>
        <w:spacing w:line="230" w:lineRule="auto" w:before="164" w:after="0"/>
        <w:ind w:left="791" w:right="124" w:hanging="511"/>
        <w:jc w:val="both"/>
        <w:rPr>
          <w:sz w:val="20"/>
        </w:rPr>
      </w:pPr>
      <w:r>
        <w:rPr>
          <w:color w:val="231F1F"/>
          <w:w w:val="110"/>
          <w:sz w:val="20"/>
        </w:rPr>
        <w:t>Lavender T, Hart A, Walkinshaw S, et al. Progress of first stage of labour for multiparous women:</w:t>
      </w:r>
      <w:r>
        <w:rPr>
          <w:color w:val="231F1F"/>
          <w:spacing w:val="-7"/>
          <w:w w:val="110"/>
          <w:sz w:val="20"/>
        </w:rPr>
        <w:t> </w:t>
      </w:r>
      <w:r>
        <w:rPr>
          <w:color w:val="231F1F"/>
          <w:w w:val="110"/>
          <w:sz w:val="20"/>
        </w:rPr>
        <w:t>an</w:t>
      </w:r>
      <w:r>
        <w:rPr>
          <w:color w:val="231F1F"/>
          <w:spacing w:val="-5"/>
          <w:w w:val="110"/>
          <w:sz w:val="20"/>
        </w:rPr>
        <w:t> </w:t>
      </w:r>
      <w:r>
        <w:rPr>
          <w:color w:val="231F1F"/>
          <w:w w:val="110"/>
          <w:sz w:val="20"/>
        </w:rPr>
        <w:t>observational</w:t>
      </w:r>
      <w:r>
        <w:rPr>
          <w:color w:val="231F1F"/>
          <w:spacing w:val="-5"/>
          <w:w w:val="110"/>
          <w:sz w:val="20"/>
        </w:rPr>
        <w:t> </w:t>
      </w:r>
      <w:r>
        <w:rPr>
          <w:color w:val="231F1F"/>
          <w:w w:val="110"/>
          <w:sz w:val="20"/>
        </w:rPr>
        <w:t>study.</w:t>
      </w:r>
      <w:r>
        <w:rPr>
          <w:color w:val="231F1F"/>
          <w:spacing w:val="-8"/>
          <w:w w:val="110"/>
          <w:sz w:val="20"/>
        </w:rPr>
        <w:t> </w:t>
      </w:r>
      <w:r>
        <w:rPr>
          <w:color w:val="231F1F"/>
          <w:w w:val="110"/>
          <w:sz w:val="20"/>
        </w:rPr>
        <w:t>BJOG:</w:t>
      </w:r>
      <w:r>
        <w:rPr>
          <w:color w:val="231F1F"/>
          <w:spacing w:val="-7"/>
          <w:w w:val="110"/>
          <w:sz w:val="20"/>
        </w:rPr>
        <w:t> </w:t>
      </w:r>
      <w:r>
        <w:rPr>
          <w:color w:val="231F1F"/>
          <w:w w:val="110"/>
          <w:sz w:val="20"/>
        </w:rPr>
        <w:t>an</w:t>
      </w:r>
      <w:r>
        <w:rPr>
          <w:color w:val="231F1F"/>
          <w:spacing w:val="-5"/>
          <w:w w:val="110"/>
          <w:sz w:val="20"/>
        </w:rPr>
        <w:t> </w:t>
      </w:r>
      <w:r>
        <w:rPr>
          <w:color w:val="231F1F"/>
          <w:w w:val="110"/>
          <w:sz w:val="20"/>
        </w:rPr>
        <w:t>international</w:t>
      </w:r>
      <w:r>
        <w:rPr>
          <w:color w:val="231F1F"/>
          <w:spacing w:val="-4"/>
          <w:w w:val="110"/>
          <w:sz w:val="20"/>
        </w:rPr>
        <w:t> </w:t>
      </w:r>
      <w:r>
        <w:rPr>
          <w:color w:val="231F1F"/>
          <w:w w:val="110"/>
          <w:sz w:val="20"/>
        </w:rPr>
        <w:t>journal</w:t>
      </w:r>
      <w:r>
        <w:rPr>
          <w:color w:val="231F1F"/>
          <w:spacing w:val="-5"/>
          <w:w w:val="110"/>
          <w:sz w:val="20"/>
        </w:rPr>
        <w:t> </w:t>
      </w:r>
      <w:r>
        <w:rPr>
          <w:color w:val="231F1F"/>
          <w:w w:val="110"/>
          <w:sz w:val="20"/>
        </w:rPr>
        <w:t>of</w:t>
      </w:r>
      <w:r>
        <w:rPr>
          <w:color w:val="231F1F"/>
          <w:spacing w:val="-5"/>
          <w:w w:val="110"/>
          <w:sz w:val="20"/>
        </w:rPr>
        <w:t> </w:t>
      </w:r>
      <w:r>
        <w:rPr>
          <w:color w:val="231F1F"/>
          <w:w w:val="110"/>
          <w:sz w:val="20"/>
        </w:rPr>
        <w:t>obstetric</w:t>
      </w:r>
      <w:r>
        <w:rPr>
          <w:color w:val="231F1F"/>
          <w:spacing w:val="-5"/>
          <w:w w:val="110"/>
          <w:sz w:val="20"/>
        </w:rPr>
        <w:t> </w:t>
      </w:r>
      <w:r>
        <w:rPr>
          <w:color w:val="231F1F"/>
          <w:w w:val="110"/>
          <w:sz w:val="20"/>
        </w:rPr>
        <w:t>&amp;</w:t>
      </w:r>
      <w:r>
        <w:rPr>
          <w:color w:val="231F1F"/>
          <w:spacing w:val="-6"/>
          <w:w w:val="110"/>
          <w:sz w:val="20"/>
        </w:rPr>
        <w:t> </w:t>
      </w:r>
      <w:r>
        <w:rPr>
          <w:color w:val="231F1F"/>
          <w:w w:val="110"/>
          <w:sz w:val="20"/>
        </w:rPr>
        <w:t>gynaecology </w:t>
      </w:r>
      <w:r>
        <w:rPr>
          <w:color w:val="231F1F"/>
          <w:spacing w:val="-2"/>
          <w:w w:val="110"/>
          <w:sz w:val="20"/>
        </w:rPr>
        <w:t>2005;11212:1663-5.</w:t>
      </w:r>
    </w:p>
    <w:p>
      <w:pPr>
        <w:pStyle w:val="ListParagraph"/>
        <w:numPr>
          <w:ilvl w:val="0"/>
          <w:numId w:val="109"/>
        </w:numPr>
        <w:tabs>
          <w:tab w:pos="791" w:val="left" w:leader="none"/>
        </w:tabs>
        <w:spacing w:line="240" w:lineRule="auto" w:before="156" w:after="0"/>
        <w:ind w:left="791" w:right="119" w:hanging="511"/>
        <w:jc w:val="left"/>
        <w:rPr>
          <w:sz w:val="20"/>
        </w:rPr>
      </w:pPr>
      <w:r>
        <w:rPr>
          <w:color w:val="231F1F"/>
          <w:sz w:val="20"/>
        </w:rPr>
        <w:t>McNiven</w:t>
      </w:r>
      <w:r>
        <w:rPr>
          <w:color w:val="231F1F"/>
          <w:spacing w:val="29"/>
          <w:sz w:val="20"/>
        </w:rPr>
        <w:t> </w:t>
      </w:r>
      <w:r>
        <w:rPr>
          <w:color w:val="231F1F"/>
          <w:sz w:val="20"/>
        </w:rPr>
        <w:t>PS,</w:t>
      </w:r>
      <w:r>
        <w:rPr>
          <w:color w:val="231F1F"/>
          <w:spacing w:val="30"/>
          <w:sz w:val="20"/>
        </w:rPr>
        <w:t> </w:t>
      </w:r>
      <w:r>
        <w:rPr>
          <w:color w:val="231F1F"/>
          <w:sz w:val="20"/>
        </w:rPr>
        <w:t>Wiliams</w:t>
      </w:r>
      <w:r>
        <w:rPr>
          <w:color w:val="231F1F"/>
          <w:spacing w:val="29"/>
          <w:sz w:val="20"/>
        </w:rPr>
        <w:t> </w:t>
      </w:r>
      <w:r>
        <w:rPr>
          <w:color w:val="231F1F"/>
          <w:sz w:val="20"/>
        </w:rPr>
        <w:t>JI,</w:t>
      </w:r>
      <w:r>
        <w:rPr>
          <w:color w:val="231F1F"/>
          <w:spacing w:val="30"/>
          <w:sz w:val="20"/>
        </w:rPr>
        <w:t> </w:t>
      </w:r>
      <w:r>
        <w:rPr>
          <w:color w:val="231F1F"/>
          <w:sz w:val="20"/>
        </w:rPr>
        <w:t>Hodnett</w:t>
      </w:r>
      <w:r>
        <w:rPr>
          <w:color w:val="231F1F"/>
          <w:spacing w:val="30"/>
          <w:sz w:val="20"/>
        </w:rPr>
        <w:t> </w:t>
      </w:r>
      <w:r>
        <w:rPr>
          <w:color w:val="231F1F"/>
          <w:sz w:val="20"/>
        </w:rPr>
        <w:t>E,</w:t>
      </w:r>
      <w:r>
        <w:rPr>
          <w:color w:val="231F1F"/>
          <w:spacing w:val="30"/>
          <w:sz w:val="20"/>
        </w:rPr>
        <w:t> </w:t>
      </w:r>
      <w:r>
        <w:rPr>
          <w:color w:val="231F1F"/>
          <w:sz w:val="20"/>
        </w:rPr>
        <w:t>et</w:t>
      </w:r>
      <w:r>
        <w:rPr>
          <w:color w:val="231F1F"/>
          <w:spacing w:val="30"/>
          <w:sz w:val="20"/>
        </w:rPr>
        <w:t> </w:t>
      </w:r>
      <w:r>
        <w:rPr>
          <w:color w:val="231F1F"/>
          <w:sz w:val="20"/>
        </w:rPr>
        <w:t>al.</w:t>
      </w:r>
      <w:r>
        <w:rPr>
          <w:color w:val="231F1F"/>
          <w:spacing w:val="30"/>
          <w:sz w:val="20"/>
        </w:rPr>
        <w:t> </w:t>
      </w:r>
      <w:r>
        <w:rPr>
          <w:color w:val="231F1F"/>
          <w:sz w:val="20"/>
        </w:rPr>
        <w:t>An</w:t>
      </w:r>
      <w:r>
        <w:rPr>
          <w:color w:val="231F1F"/>
          <w:spacing w:val="29"/>
          <w:sz w:val="20"/>
        </w:rPr>
        <w:t> </w:t>
      </w:r>
      <w:r>
        <w:rPr>
          <w:color w:val="231F1F"/>
          <w:sz w:val="20"/>
        </w:rPr>
        <w:t>early</w:t>
      </w:r>
      <w:r>
        <w:rPr>
          <w:color w:val="231F1F"/>
          <w:spacing w:val="29"/>
          <w:sz w:val="20"/>
        </w:rPr>
        <w:t> </w:t>
      </w:r>
      <w:r>
        <w:rPr>
          <w:color w:val="231F1F"/>
          <w:sz w:val="20"/>
        </w:rPr>
        <w:t>labour</w:t>
      </w:r>
      <w:r>
        <w:rPr>
          <w:color w:val="231F1F"/>
          <w:spacing w:val="29"/>
          <w:sz w:val="20"/>
        </w:rPr>
        <w:t> </w:t>
      </w:r>
      <w:r>
        <w:rPr>
          <w:color w:val="231F1F"/>
          <w:sz w:val="20"/>
        </w:rPr>
        <w:t>assessment</w:t>
      </w:r>
      <w:r>
        <w:rPr>
          <w:color w:val="231F1F"/>
          <w:spacing w:val="30"/>
          <w:sz w:val="20"/>
        </w:rPr>
        <w:t> </w:t>
      </w:r>
      <w:r>
        <w:rPr>
          <w:color w:val="231F1F"/>
          <w:sz w:val="20"/>
        </w:rPr>
        <w:t>program:</w:t>
      </w:r>
      <w:r>
        <w:rPr>
          <w:color w:val="231F1F"/>
          <w:spacing w:val="30"/>
          <w:sz w:val="20"/>
        </w:rPr>
        <w:t> </w:t>
      </w:r>
      <w:r>
        <w:rPr>
          <w:color w:val="231F1F"/>
          <w:sz w:val="20"/>
        </w:rPr>
        <w:t>a</w:t>
      </w:r>
      <w:r>
        <w:rPr>
          <w:color w:val="231F1F"/>
          <w:spacing w:val="29"/>
          <w:sz w:val="20"/>
        </w:rPr>
        <w:t> </w:t>
      </w:r>
      <w:r>
        <w:rPr>
          <w:color w:val="231F1F"/>
          <w:sz w:val="20"/>
        </w:rPr>
        <w:t>randomised controlled</w:t>
      </w:r>
      <w:r>
        <w:rPr>
          <w:color w:val="231F1F"/>
          <w:spacing w:val="40"/>
          <w:sz w:val="20"/>
        </w:rPr>
        <w:t> </w:t>
      </w:r>
      <w:r>
        <w:rPr>
          <w:color w:val="231F1F"/>
          <w:sz w:val="20"/>
        </w:rPr>
        <w:t>trial. Birth</w:t>
      </w:r>
      <w:r>
        <w:rPr>
          <w:color w:val="231F1F"/>
          <w:spacing w:val="40"/>
          <w:sz w:val="20"/>
        </w:rPr>
        <w:t> </w:t>
      </w:r>
      <w:r>
        <w:rPr>
          <w:color w:val="231F1F"/>
          <w:sz w:val="20"/>
        </w:rPr>
        <w:t>1998;251:5-10.</w:t>
      </w:r>
    </w:p>
    <w:p>
      <w:pPr>
        <w:pStyle w:val="ListParagraph"/>
        <w:numPr>
          <w:ilvl w:val="0"/>
          <w:numId w:val="109"/>
        </w:numPr>
        <w:tabs>
          <w:tab w:pos="791" w:val="left" w:leader="none"/>
        </w:tabs>
        <w:spacing w:line="225" w:lineRule="auto" w:before="165" w:after="0"/>
        <w:ind w:left="791" w:right="170" w:hanging="511"/>
        <w:jc w:val="left"/>
        <w:rPr>
          <w:sz w:val="20"/>
        </w:rPr>
      </w:pPr>
      <w:r>
        <w:rPr>
          <w:color w:val="231F1F"/>
          <w:spacing w:val="-2"/>
          <w:w w:val="110"/>
          <w:sz w:val="20"/>
        </w:rPr>
        <w:t>Holmes</w:t>
      </w:r>
      <w:r>
        <w:rPr>
          <w:color w:val="231F1F"/>
          <w:spacing w:val="-14"/>
          <w:w w:val="110"/>
          <w:sz w:val="20"/>
        </w:rPr>
        <w:t> </w:t>
      </w:r>
      <w:r>
        <w:rPr>
          <w:color w:val="231F1F"/>
          <w:spacing w:val="-2"/>
          <w:w w:val="110"/>
          <w:sz w:val="20"/>
        </w:rPr>
        <w:t>P,</w:t>
      </w:r>
      <w:r>
        <w:rPr>
          <w:color w:val="231F1F"/>
          <w:spacing w:val="-14"/>
          <w:w w:val="110"/>
          <w:sz w:val="20"/>
        </w:rPr>
        <w:t> </w:t>
      </w:r>
      <w:r>
        <w:rPr>
          <w:color w:val="231F1F"/>
          <w:spacing w:val="-2"/>
          <w:w w:val="110"/>
          <w:sz w:val="20"/>
        </w:rPr>
        <w:t>Oppenheimer</w:t>
      </w:r>
      <w:r>
        <w:rPr>
          <w:color w:val="231F1F"/>
          <w:spacing w:val="-14"/>
          <w:w w:val="110"/>
          <w:sz w:val="20"/>
        </w:rPr>
        <w:t> </w:t>
      </w:r>
      <w:r>
        <w:rPr>
          <w:color w:val="231F1F"/>
          <w:spacing w:val="-2"/>
          <w:w w:val="110"/>
          <w:sz w:val="20"/>
        </w:rPr>
        <w:t>LW,</w:t>
      </w:r>
      <w:r>
        <w:rPr>
          <w:color w:val="231F1F"/>
          <w:spacing w:val="-13"/>
          <w:w w:val="110"/>
          <w:sz w:val="20"/>
        </w:rPr>
        <w:t> </w:t>
      </w:r>
      <w:r>
        <w:rPr>
          <w:color w:val="231F1F"/>
          <w:spacing w:val="-2"/>
          <w:w w:val="110"/>
          <w:sz w:val="20"/>
        </w:rPr>
        <w:t>Wen</w:t>
      </w:r>
      <w:r>
        <w:rPr>
          <w:color w:val="231F1F"/>
          <w:spacing w:val="-14"/>
          <w:w w:val="110"/>
          <w:sz w:val="20"/>
        </w:rPr>
        <w:t> </w:t>
      </w:r>
      <w:r>
        <w:rPr>
          <w:color w:val="231F1F"/>
          <w:spacing w:val="-2"/>
          <w:w w:val="110"/>
          <w:sz w:val="20"/>
        </w:rPr>
        <w:t>SW.</w:t>
      </w:r>
      <w:r>
        <w:rPr>
          <w:color w:val="231F1F"/>
          <w:spacing w:val="-14"/>
          <w:w w:val="110"/>
          <w:sz w:val="20"/>
        </w:rPr>
        <w:t> </w:t>
      </w:r>
      <w:r>
        <w:rPr>
          <w:color w:val="231F1F"/>
          <w:spacing w:val="-2"/>
          <w:w w:val="110"/>
          <w:sz w:val="20"/>
        </w:rPr>
        <w:t>The</w:t>
      </w:r>
      <w:r>
        <w:rPr>
          <w:color w:val="231F1F"/>
          <w:spacing w:val="-14"/>
          <w:w w:val="110"/>
          <w:sz w:val="20"/>
        </w:rPr>
        <w:t> </w:t>
      </w:r>
      <w:r>
        <w:rPr>
          <w:color w:val="231F1F"/>
          <w:spacing w:val="-2"/>
          <w:w w:val="110"/>
          <w:sz w:val="20"/>
        </w:rPr>
        <w:t>relationship</w:t>
      </w:r>
      <w:r>
        <w:rPr>
          <w:color w:val="231F1F"/>
          <w:spacing w:val="-12"/>
          <w:w w:val="110"/>
          <w:sz w:val="20"/>
        </w:rPr>
        <w:t> </w:t>
      </w:r>
      <w:r>
        <w:rPr>
          <w:color w:val="231F1F"/>
          <w:spacing w:val="-2"/>
          <w:w w:val="110"/>
          <w:sz w:val="20"/>
        </w:rPr>
        <w:t>between</w:t>
      </w:r>
      <w:r>
        <w:rPr>
          <w:color w:val="231F1F"/>
          <w:spacing w:val="-11"/>
          <w:w w:val="110"/>
          <w:sz w:val="20"/>
        </w:rPr>
        <w:t> </w:t>
      </w:r>
      <w:r>
        <w:rPr>
          <w:color w:val="231F1F"/>
          <w:spacing w:val="-2"/>
          <w:w w:val="110"/>
          <w:sz w:val="20"/>
        </w:rPr>
        <w:t>cervical</w:t>
      </w:r>
      <w:r>
        <w:rPr>
          <w:color w:val="231F1F"/>
          <w:spacing w:val="-11"/>
          <w:w w:val="110"/>
          <w:sz w:val="20"/>
        </w:rPr>
        <w:t> </w:t>
      </w:r>
      <w:r>
        <w:rPr>
          <w:color w:val="231F1F"/>
          <w:spacing w:val="-2"/>
          <w:w w:val="110"/>
          <w:sz w:val="20"/>
        </w:rPr>
        <w:t>dilatation</w:t>
      </w:r>
      <w:r>
        <w:rPr>
          <w:color w:val="231F1F"/>
          <w:spacing w:val="-11"/>
          <w:w w:val="110"/>
          <w:sz w:val="20"/>
        </w:rPr>
        <w:t> </w:t>
      </w:r>
      <w:r>
        <w:rPr>
          <w:color w:val="231F1F"/>
          <w:spacing w:val="-2"/>
          <w:w w:val="110"/>
          <w:sz w:val="20"/>
        </w:rPr>
        <w:t>at</w:t>
      </w:r>
      <w:r>
        <w:rPr>
          <w:color w:val="231F1F"/>
          <w:spacing w:val="-12"/>
          <w:w w:val="110"/>
          <w:sz w:val="20"/>
        </w:rPr>
        <w:t> </w:t>
      </w:r>
      <w:r>
        <w:rPr>
          <w:color w:val="231F1F"/>
          <w:spacing w:val="-2"/>
          <w:w w:val="110"/>
          <w:sz w:val="20"/>
        </w:rPr>
        <w:t>initial </w:t>
      </w:r>
      <w:r>
        <w:rPr>
          <w:color w:val="231F1F"/>
          <w:w w:val="110"/>
          <w:sz w:val="20"/>
        </w:rPr>
        <w:t>presentation in labour and subsequent intervention. BJOG 2001;10811:1120-4.</w:t>
      </w:r>
    </w:p>
    <w:p>
      <w:pPr>
        <w:pStyle w:val="ListParagraph"/>
        <w:numPr>
          <w:ilvl w:val="0"/>
          <w:numId w:val="109"/>
        </w:numPr>
        <w:tabs>
          <w:tab w:pos="793" w:val="left" w:leader="none"/>
        </w:tabs>
        <w:spacing w:line="230" w:lineRule="auto" w:before="169" w:after="0"/>
        <w:ind w:left="793" w:right="122" w:hanging="511"/>
        <w:jc w:val="both"/>
        <w:rPr>
          <w:sz w:val="20"/>
        </w:rPr>
      </w:pPr>
      <w:r>
        <w:rPr>
          <w:color w:val="231F1F"/>
          <w:w w:val="105"/>
          <w:sz w:val="20"/>
        </w:rPr>
        <w:t>Klein MC, Kelly A, Kaczorowski J, et al. The effect of family physician timing of maternal admission on procedures in labour and maternal and infant morbidity. J Obstet Gynaecol Can </w:t>
      </w:r>
      <w:r>
        <w:rPr>
          <w:color w:val="231F1F"/>
          <w:spacing w:val="-2"/>
          <w:w w:val="105"/>
          <w:sz w:val="20"/>
        </w:rPr>
        <w:t>2004;267:641-5.</w:t>
      </w:r>
    </w:p>
    <w:p>
      <w:pPr>
        <w:pStyle w:val="ListParagraph"/>
        <w:spacing w:after="0" w:line="230" w:lineRule="auto"/>
        <w:jc w:val="both"/>
        <w:rPr>
          <w:sz w:val="20"/>
        </w:rPr>
        <w:sectPr>
          <w:pgSz w:w="11900" w:h="16840"/>
          <w:pgMar w:header="0" w:footer="622" w:top="1560" w:bottom="820" w:left="1417" w:right="1559"/>
        </w:sectPr>
      </w:pPr>
    </w:p>
    <w:p>
      <w:pPr>
        <w:pStyle w:val="ListParagraph"/>
        <w:numPr>
          <w:ilvl w:val="0"/>
          <w:numId w:val="109"/>
        </w:numPr>
        <w:tabs>
          <w:tab w:pos="791" w:val="left" w:leader="none"/>
        </w:tabs>
        <w:spacing w:line="225" w:lineRule="auto" w:before="87" w:after="0"/>
        <w:ind w:left="791" w:right="121" w:hanging="511"/>
        <w:jc w:val="both"/>
        <w:rPr>
          <w:sz w:val="20"/>
        </w:rPr>
      </w:pPr>
      <w:r>
        <w:rPr>
          <w:color w:val="231F1F"/>
          <w:w w:val="110"/>
          <w:sz w:val="20"/>
        </w:rPr>
        <w:t>Bailit</w:t>
      </w:r>
      <w:r>
        <w:rPr>
          <w:color w:val="231F1F"/>
          <w:spacing w:val="-1"/>
          <w:w w:val="110"/>
          <w:sz w:val="20"/>
        </w:rPr>
        <w:t> </w:t>
      </w:r>
      <w:r>
        <w:rPr>
          <w:color w:val="231F1F"/>
          <w:w w:val="110"/>
          <w:sz w:val="20"/>
        </w:rPr>
        <w:t>JL,</w:t>
      </w:r>
      <w:r>
        <w:rPr>
          <w:color w:val="231F1F"/>
          <w:spacing w:val="-2"/>
          <w:w w:val="110"/>
          <w:sz w:val="20"/>
        </w:rPr>
        <w:t> </w:t>
      </w:r>
      <w:r>
        <w:rPr>
          <w:color w:val="231F1F"/>
          <w:w w:val="110"/>
          <w:sz w:val="20"/>
        </w:rPr>
        <w:t>Dierker</w:t>
      </w:r>
      <w:r>
        <w:rPr>
          <w:color w:val="231F1F"/>
          <w:spacing w:val="-1"/>
          <w:w w:val="110"/>
          <w:sz w:val="20"/>
        </w:rPr>
        <w:t> </w:t>
      </w:r>
      <w:r>
        <w:rPr>
          <w:color w:val="231F1F"/>
          <w:w w:val="110"/>
          <w:sz w:val="20"/>
        </w:rPr>
        <w:t>L,</w:t>
      </w:r>
      <w:r>
        <w:rPr>
          <w:color w:val="231F1F"/>
          <w:spacing w:val="-1"/>
          <w:w w:val="110"/>
          <w:sz w:val="20"/>
        </w:rPr>
        <w:t> </w:t>
      </w:r>
      <w:r>
        <w:rPr>
          <w:color w:val="231F1F"/>
          <w:w w:val="110"/>
          <w:sz w:val="20"/>
        </w:rPr>
        <w:t>Blanchard</w:t>
      </w:r>
      <w:r>
        <w:rPr>
          <w:color w:val="231F1F"/>
          <w:spacing w:val="-1"/>
          <w:w w:val="110"/>
          <w:sz w:val="20"/>
        </w:rPr>
        <w:t> </w:t>
      </w:r>
      <w:r>
        <w:rPr>
          <w:color w:val="231F1F"/>
          <w:w w:val="110"/>
          <w:sz w:val="20"/>
        </w:rPr>
        <w:t>MH,</w:t>
      </w:r>
      <w:r>
        <w:rPr>
          <w:color w:val="231F1F"/>
          <w:spacing w:val="-2"/>
          <w:w w:val="110"/>
          <w:sz w:val="20"/>
        </w:rPr>
        <w:t> </w:t>
      </w:r>
      <w:r>
        <w:rPr>
          <w:color w:val="231F1F"/>
          <w:w w:val="110"/>
          <w:sz w:val="20"/>
        </w:rPr>
        <w:t>et</w:t>
      </w:r>
      <w:r>
        <w:rPr>
          <w:color w:val="231F1F"/>
          <w:spacing w:val="-1"/>
          <w:w w:val="110"/>
          <w:sz w:val="20"/>
        </w:rPr>
        <w:t> </w:t>
      </w:r>
      <w:r>
        <w:rPr>
          <w:color w:val="231F1F"/>
          <w:w w:val="110"/>
          <w:sz w:val="20"/>
        </w:rPr>
        <w:t>al.</w:t>
      </w:r>
      <w:r>
        <w:rPr>
          <w:color w:val="231F1F"/>
          <w:spacing w:val="-2"/>
          <w:w w:val="110"/>
          <w:sz w:val="20"/>
        </w:rPr>
        <w:t> </w:t>
      </w:r>
      <w:r>
        <w:rPr>
          <w:color w:val="231F1F"/>
          <w:w w:val="110"/>
          <w:sz w:val="20"/>
        </w:rPr>
        <w:t>Outcomes</w:t>
      </w:r>
      <w:r>
        <w:rPr>
          <w:color w:val="231F1F"/>
          <w:spacing w:val="-1"/>
          <w:w w:val="110"/>
          <w:sz w:val="20"/>
        </w:rPr>
        <w:t> </w:t>
      </w:r>
      <w:r>
        <w:rPr>
          <w:color w:val="231F1F"/>
          <w:w w:val="110"/>
          <w:sz w:val="20"/>
        </w:rPr>
        <w:t>of</w:t>
      </w:r>
      <w:r>
        <w:rPr>
          <w:color w:val="231F1F"/>
          <w:spacing w:val="-1"/>
          <w:w w:val="110"/>
          <w:sz w:val="20"/>
        </w:rPr>
        <w:t> </w:t>
      </w:r>
      <w:r>
        <w:rPr>
          <w:color w:val="231F1F"/>
          <w:w w:val="110"/>
          <w:sz w:val="20"/>
        </w:rPr>
        <w:t>women</w:t>
      </w:r>
      <w:r>
        <w:rPr>
          <w:color w:val="231F1F"/>
          <w:spacing w:val="-1"/>
          <w:w w:val="110"/>
          <w:sz w:val="20"/>
        </w:rPr>
        <w:t> </w:t>
      </w:r>
      <w:r>
        <w:rPr>
          <w:color w:val="231F1F"/>
          <w:w w:val="110"/>
          <w:sz w:val="20"/>
        </w:rPr>
        <w:t>presenting</w:t>
      </w:r>
      <w:r>
        <w:rPr>
          <w:color w:val="231F1F"/>
          <w:spacing w:val="-1"/>
          <w:w w:val="110"/>
          <w:sz w:val="20"/>
        </w:rPr>
        <w:t> </w:t>
      </w:r>
      <w:r>
        <w:rPr>
          <w:color w:val="231F1F"/>
          <w:w w:val="110"/>
          <w:sz w:val="20"/>
        </w:rPr>
        <w:t>in</w:t>
      </w:r>
      <w:r>
        <w:rPr>
          <w:color w:val="231F1F"/>
          <w:spacing w:val="-1"/>
          <w:w w:val="110"/>
          <w:sz w:val="20"/>
        </w:rPr>
        <w:t> </w:t>
      </w:r>
      <w:r>
        <w:rPr>
          <w:color w:val="231F1F"/>
          <w:w w:val="110"/>
          <w:sz w:val="20"/>
        </w:rPr>
        <w:t>active</w:t>
      </w:r>
      <w:r>
        <w:rPr>
          <w:color w:val="231F1F"/>
          <w:spacing w:val="-1"/>
          <w:w w:val="110"/>
          <w:sz w:val="20"/>
        </w:rPr>
        <w:t> </w:t>
      </w:r>
      <w:r>
        <w:rPr>
          <w:color w:val="231F1F"/>
          <w:w w:val="110"/>
          <w:sz w:val="20"/>
        </w:rPr>
        <w:t>versus latent phase os spontaneus labor. Obstet Gynecol 2005;1051:77-9.</w:t>
      </w:r>
    </w:p>
    <w:p>
      <w:pPr>
        <w:pStyle w:val="ListParagraph"/>
        <w:numPr>
          <w:ilvl w:val="0"/>
          <w:numId w:val="109"/>
        </w:numPr>
        <w:tabs>
          <w:tab w:pos="791" w:val="left" w:leader="none"/>
        </w:tabs>
        <w:spacing w:line="230" w:lineRule="auto" w:before="164" w:after="0"/>
        <w:ind w:left="791" w:right="124" w:hanging="511"/>
        <w:jc w:val="both"/>
        <w:rPr>
          <w:sz w:val="20"/>
        </w:rPr>
      </w:pPr>
      <w:r>
        <w:rPr>
          <w:color w:val="231F1F"/>
          <w:w w:val="110"/>
          <w:sz w:val="20"/>
        </w:rPr>
        <w:t>Janssen</w:t>
      </w:r>
      <w:r>
        <w:rPr>
          <w:color w:val="231F1F"/>
          <w:spacing w:val="-12"/>
          <w:w w:val="110"/>
          <w:sz w:val="20"/>
        </w:rPr>
        <w:t> </w:t>
      </w:r>
      <w:r>
        <w:rPr>
          <w:color w:val="231F1F"/>
          <w:w w:val="110"/>
          <w:sz w:val="20"/>
        </w:rPr>
        <w:t>PA,</w:t>
      </w:r>
      <w:r>
        <w:rPr>
          <w:color w:val="231F1F"/>
          <w:spacing w:val="-13"/>
          <w:w w:val="110"/>
          <w:sz w:val="20"/>
        </w:rPr>
        <w:t> </w:t>
      </w:r>
      <w:r>
        <w:rPr>
          <w:color w:val="231F1F"/>
          <w:w w:val="110"/>
          <w:sz w:val="20"/>
        </w:rPr>
        <w:t>Iker</w:t>
      </w:r>
      <w:r>
        <w:rPr>
          <w:color w:val="231F1F"/>
          <w:spacing w:val="-12"/>
          <w:w w:val="110"/>
          <w:sz w:val="20"/>
        </w:rPr>
        <w:t> </w:t>
      </w:r>
      <w:r>
        <w:rPr>
          <w:color w:val="231F1F"/>
          <w:w w:val="110"/>
          <w:sz w:val="20"/>
        </w:rPr>
        <w:t>CE,</w:t>
      </w:r>
      <w:r>
        <w:rPr>
          <w:color w:val="231F1F"/>
          <w:spacing w:val="-12"/>
          <w:w w:val="110"/>
          <w:sz w:val="20"/>
        </w:rPr>
        <w:t> </w:t>
      </w:r>
      <w:r>
        <w:rPr>
          <w:color w:val="231F1F"/>
          <w:w w:val="110"/>
          <w:sz w:val="20"/>
        </w:rPr>
        <w:t>Carty</w:t>
      </w:r>
      <w:r>
        <w:rPr>
          <w:color w:val="231F1F"/>
          <w:spacing w:val="-12"/>
          <w:w w:val="110"/>
          <w:sz w:val="20"/>
        </w:rPr>
        <w:t> </w:t>
      </w:r>
      <w:r>
        <w:rPr>
          <w:color w:val="231F1F"/>
          <w:w w:val="110"/>
          <w:sz w:val="20"/>
        </w:rPr>
        <w:t>EA.</w:t>
      </w:r>
      <w:r>
        <w:rPr>
          <w:color w:val="231F1F"/>
          <w:spacing w:val="-13"/>
          <w:w w:val="110"/>
          <w:sz w:val="20"/>
        </w:rPr>
        <w:t> </w:t>
      </w:r>
      <w:r>
        <w:rPr>
          <w:color w:val="231F1F"/>
          <w:w w:val="110"/>
          <w:sz w:val="20"/>
        </w:rPr>
        <w:t>Early</w:t>
      </w:r>
      <w:r>
        <w:rPr>
          <w:color w:val="231F1F"/>
          <w:spacing w:val="-12"/>
          <w:w w:val="110"/>
          <w:sz w:val="20"/>
        </w:rPr>
        <w:t> </w:t>
      </w:r>
      <w:r>
        <w:rPr>
          <w:color w:val="231F1F"/>
          <w:w w:val="110"/>
          <w:sz w:val="20"/>
        </w:rPr>
        <w:t>labour</w:t>
      </w:r>
      <w:r>
        <w:rPr>
          <w:color w:val="231F1F"/>
          <w:spacing w:val="-12"/>
          <w:w w:val="110"/>
          <w:sz w:val="20"/>
        </w:rPr>
        <w:t> </w:t>
      </w:r>
      <w:r>
        <w:rPr>
          <w:color w:val="231F1F"/>
          <w:w w:val="110"/>
          <w:sz w:val="20"/>
        </w:rPr>
        <w:t>assessment</w:t>
      </w:r>
      <w:r>
        <w:rPr>
          <w:color w:val="231F1F"/>
          <w:spacing w:val="-12"/>
          <w:w w:val="110"/>
          <w:sz w:val="20"/>
        </w:rPr>
        <w:t> </w:t>
      </w:r>
      <w:r>
        <w:rPr>
          <w:color w:val="231F1F"/>
          <w:w w:val="110"/>
          <w:sz w:val="20"/>
        </w:rPr>
        <w:t>and</w:t>
      </w:r>
      <w:r>
        <w:rPr>
          <w:color w:val="231F1F"/>
          <w:spacing w:val="-12"/>
          <w:w w:val="110"/>
          <w:sz w:val="20"/>
        </w:rPr>
        <w:t> </w:t>
      </w:r>
      <w:r>
        <w:rPr>
          <w:color w:val="231F1F"/>
          <w:w w:val="110"/>
          <w:sz w:val="20"/>
        </w:rPr>
        <w:t>support</w:t>
      </w:r>
      <w:r>
        <w:rPr>
          <w:color w:val="231F1F"/>
          <w:spacing w:val="-12"/>
          <w:w w:val="110"/>
          <w:sz w:val="20"/>
        </w:rPr>
        <w:t> </w:t>
      </w:r>
      <w:r>
        <w:rPr>
          <w:color w:val="231F1F"/>
          <w:w w:val="110"/>
          <w:sz w:val="20"/>
        </w:rPr>
        <w:t>at</w:t>
      </w:r>
      <w:r>
        <w:rPr>
          <w:color w:val="231F1F"/>
          <w:spacing w:val="-12"/>
          <w:w w:val="110"/>
          <w:sz w:val="20"/>
        </w:rPr>
        <w:t> </w:t>
      </w:r>
      <w:r>
        <w:rPr>
          <w:color w:val="231F1F"/>
          <w:w w:val="110"/>
          <w:sz w:val="20"/>
        </w:rPr>
        <w:t>home:</w:t>
      </w:r>
      <w:r>
        <w:rPr>
          <w:color w:val="231F1F"/>
          <w:spacing w:val="-12"/>
          <w:w w:val="110"/>
          <w:sz w:val="20"/>
        </w:rPr>
        <w:t> </w:t>
      </w:r>
      <w:r>
        <w:rPr>
          <w:color w:val="231F1F"/>
          <w:w w:val="110"/>
          <w:sz w:val="20"/>
        </w:rPr>
        <w:t>a</w:t>
      </w:r>
      <w:r>
        <w:rPr>
          <w:color w:val="231F1F"/>
          <w:spacing w:val="-12"/>
          <w:w w:val="110"/>
          <w:sz w:val="20"/>
        </w:rPr>
        <w:t> </w:t>
      </w:r>
      <w:r>
        <w:rPr>
          <w:color w:val="231F1F"/>
          <w:w w:val="110"/>
          <w:sz w:val="20"/>
        </w:rPr>
        <w:t>randomised controlled trial. J Obstet Gynaecol Can 2003;259:734-41.</w:t>
      </w:r>
    </w:p>
    <w:p>
      <w:pPr>
        <w:pStyle w:val="ListParagraph"/>
        <w:numPr>
          <w:ilvl w:val="0"/>
          <w:numId w:val="109"/>
        </w:numPr>
        <w:tabs>
          <w:tab w:pos="791" w:val="left" w:leader="none"/>
        </w:tabs>
        <w:spacing w:line="240" w:lineRule="auto" w:before="156" w:after="0"/>
        <w:ind w:left="791" w:right="116" w:hanging="511"/>
        <w:jc w:val="both"/>
        <w:rPr>
          <w:sz w:val="20"/>
        </w:rPr>
      </w:pPr>
      <w:r>
        <w:rPr>
          <w:color w:val="231F1F"/>
          <w:sz w:val="20"/>
        </w:rPr>
        <w:t>Grupo de trabajo. Maternidades Hospitalarias. Estándares y Recomendaciones. Ministerio de Sanidad</w:t>
      </w:r>
      <w:r>
        <w:rPr>
          <w:color w:val="231F1F"/>
          <w:spacing w:val="40"/>
          <w:sz w:val="20"/>
        </w:rPr>
        <w:t> </w:t>
      </w:r>
      <w:r>
        <w:rPr>
          <w:color w:val="231F1F"/>
          <w:sz w:val="20"/>
        </w:rPr>
        <w:t>y</w:t>
      </w:r>
      <w:r>
        <w:rPr>
          <w:color w:val="231F1F"/>
          <w:spacing w:val="40"/>
          <w:sz w:val="20"/>
        </w:rPr>
        <w:t> </w:t>
      </w:r>
      <w:r>
        <w:rPr>
          <w:color w:val="231F1F"/>
          <w:sz w:val="20"/>
        </w:rPr>
        <w:t>Politica</w:t>
      </w:r>
      <w:r>
        <w:rPr>
          <w:color w:val="231F1F"/>
          <w:spacing w:val="40"/>
          <w:sz w:val="20"/>
        </w:rPr>
        <w:t> </w:t>
      </w:r>
      <w:r>
        <w:rPr>
          <w:color w:val="231F1F"/>
          <w:sz w:val="20"/>
        </w:rPr>
        <w:t>Social</w:t>
      </w:r>
      <w:r>
        <w:rPr>
          <w:color w:val="231F1F"/>
          <w:spacing w:val="40"/>
          <w:sz w:val="20"/>
        </w:rPr>
        <w:t> </w:t>
      </w:r>
      <w:r>
        <w:rPr>
          <w:color w:val="231F1F"/>
          <w:sz w:val="20"/>
        </w:rPr>
        <w:t>2009.</w:t>
      </w:r>
    </w:p>
    <w:p>
      <w:pPr>
        <w:pStyle w:val="ListParagraph"/>
        <w:numPr>
          <w:ilvl w:val="0"/>
          <w:numId w:val="109"/>
        </w:numPr>
        <w:tabs>
          <w:tab w:pos="791" w:val="left" w:leader="none"/>
        </w:tabs>
        <w:spacing w:line="240" w:lineRule="auto" w:before="159" w:after="0"/>
        <w:ind w:left="791" w:right="123" w:hanging="511"/>
        <w:jc w:val="both"/>
        <w:rPr>
          <w:sz w:val="20"/>
        </w:rPr>
      </w:pPr>
      <w:r>
        <w:rPr>
          <w:color w:val="231F1F"/>
          <w:sz w:val="20"/>
        </w:rPr>
        <w:t>[Sociedad</w:t>
      </w:r>
      <w:r>
        <w:rPr>
          <w:color w:val="231F1F"/>
          <w:spacing w:val="40"/>
          <w:sz w:val="20"/>
        </w:rPr>
        <w:t> </w:t>
      </w:r>
      <w:r>
        <w:rPr>
          <w:color w:val="231F1F"/>
          <w:sz w:val="20"/>
        </w:rPr>
        <w:t>Española</w:t>
      </w:r>
      <w:r>
        <w:rPr>
          <w:color w:val="231F1F"/>
          <w:spacing w:val="40"/>
          <w:sz w:val="20"/>
        </w:rPr>
        <w:t> </w:t>
      </w:r>
      <w:r>
        <w:rPr>
          <w:color w:val="231F1F"/>
          <w:sz w:val="20"/>
        </w:rPr>
        <w:t>de</w:t>
      </w:r>
      <w:r>
        <w:rPr>
          <w:color w:val="231F1F"/>
          <w:spacing w:val="40"/>
          <w:sz w:val="20"/>
        </w:rPr>
        <w:t> </w:t>
      </w:r>
      <w:r>
        <w:rPr>
          <w:color w:val="231F1F"/>
          <w:sz w:val="20"/>
        </w:rPr>
        <w:t>Ginecología</w:t>
      </w:r>
      <w:r>
        <w:rPr>
          <w:color w:val="231F1F"/>
          <w:spacing w:val="40"/>
          <w:sz w:val="20"/>
        </w:rPr>
        <w:t> </w:t>
      </w:r>
      <w:r>
        <w:rPr>
          <w:color w:val="231F1F"/>
          <w:sz w:val="20"/>
        </w:rPr>
        <w:t>y</w:t>
      </w:r>
      <w:r>
        <w:rPr>
          <w:color w:val="231F1F"/>
          <w:spacing w:val="40"/>
          <w:sz w:val="20"/>
        </w:rPr>
        <w:t> </w:t>
      </w:r>
      <w:r>
        <w:rPr>
          <w:color w:val="231F1F"/>
          <w:sz w:val="20"/>
        </w:rPr>
        <w:t>Obstetricia</w:t>
      </w:r>
      <w:r>
        <w:rPr>
          <w:color w:val="231F1F"/>
          <w:spacing w:val="40"/>
          <w:sz w:val="20"/>
        </w:rPr>
        <w:t> </w:t>
      </w:r>
      <w:r>
        <w:rPr>
          <w:color w:val="231F1F"/>
          <w:sz w:val="20"/>
        </w:rPr>
        <w:t>SEGO.</w:t>
      </w:r>
      <w:r>
        <w:rPr>
          <w:color w:val="231F1F"/>
          <w:spacing w:val="36"/>
          <w:sz w:val="20"/>
        </w:rPr>
        <w:t> </w:t>
      </w:r>
      <w:r>
        <w:rPr>
          <w:color w:val="231F1F"/>
          <w:sz w:val="20"/>
        </w:rPr>
        <w:t>Recomendaciones</w:t>
      </w:r>
      <w:r>
        <w:rPr>
          <w:color w:val="231F1F"/>
          <w:spacing w:val="40"/>
          <w:sz w:val="20"/>
        </w:rPr>
        <w:t> </w:t>
      </w:r>
      <w:r>
        <w:rPr>
          <w:color w:val="231F1F"/>
          <w:sz w:val="20"/>
        </w:rPr>
        <w:t>sobre</w:t>
      </w:r>
      <w:r>
        <w:rPr>
          <w:color w:val="231F1F"/>
          <w:spacing w:val="40"/>
          <w:sz w:val="20"/>
        </w:rPr>
        <w:t> </w:t>
      </w:r>
      <w:r>
        <w:rPr>
          <w:color w:val="231F1F"/>
          <w:sz w:val="20"/>
        </w:rPr>
        <w:t>la</w:t>
      </w:r>
      <w:r>
        <w:rPr>
          <w:color w:val="231F1F"/>
          <w:spacing w:val="40"/>
          <w:sz w:val="20"/>
        </w:rPr>
        <w:t> </w:t>
      </w:r>
      <w:r>
        <w:rPr>
          <w:color w:val="231F1F"/>
          <w:sz w:val="20"/>
        </w:rPr>
        <w:t>asistencia al parto 2008;[citado 29 sep 2008]; Disponible en: </w:t>
      </w:r>
      <w:hyperlink r:id="rId106">
        <w:r>
          <w:rPr>
            <w:color w:val="A30046"/>
            <w:sz w:val="20"/>
          </w:rPr>
          <w:t>http://www.hvn.es/servicios_asistenciales/</w:t>
        </w:r>
      </w:hyperlink>
      <w:r>
        <w:rPr>
          <w:color w:val="A30046"/>
          <w:sz w:val="20"/>
        </w:rPr>
        <w:t> </w:t>
      </w:r>
      <w:r>
        <w:rPr>
          <w:color w:val="A30046"/>
          <w:spacing w:val="-2"/>
          <w:sz w:val="20"/>
        </w:rPr>
        <w:t>ginecologia/documentos/partos/Protocolo_SEGO_Parto_normal.pdf</w:t>
      </w:r>
      <w:r>
        <w:rPr>
          <w:color w:val="231F1F"/>
          <w:spacing w:val="-2"/>
          <w:sz w:val="20"/>
        </w:rPr>
        <w:t>.</w:t>
      </w:r>
    </w:p>
    <w:p>
      <w:pPr>
        <w:pStyle w:val="ListParagraph"/>
        <w:numPr>
          <w:ilvl w:val="0"/>
          <w:numId w:val="109"/>
        </w:numPr>
        <w:tabs>
          <w:tab w:pos="793" w:val="left" w:leader="none"/>
        </w:tabs>
        <w:spacing w:line="230" w:lineRule="auto" w:before="163" w:after="0"/>
        <w:ind w:left="793" w:right="123" w:hanging="511"/>
        <w:jc w:val="both"/>
        <w:rPr>
          <w:sz w:val="20"/>
        </w:rPr>
      </w:pPr>
      <w:r>
        <w:rPr>
          <w:color w:val="231F1F"/>
          <w:w w:val="105"/>
          <w:sz w:val="20"/>
        </w:rPr>
        <w:t>Poulain</w:t>
      </w:r>
      <w:r>
        <w:rPr>
          <w:color w:val="231F1F"/>
          <w:spacing w:val="-9"/>
          <w:w w:val="105"/>
          <w:sz w:val="20"/>
        </w:rPr>
        <w:t> </w:t>
      </w:r>
      <w:r>
        <w:rPr>
          <w:color w:val="231F1F"/>
          <w:w w:val="105"/>
          <w:sz w:val="20"/>
        </w:rPr>
        <w:t>P,</w:t>
      </w:r>
      <w:r>
        <w:rPr>
          <w:color w:val="231F1F"/>
          <w:spacing w:val="-8"/>
          <w:w w:val="105"/>
          <w:sz w:val="20"/>
        </w:rPr>
        <w:t> </w:t>
      </w:r>
      <w:r>
        <w:rPr>
          <w:color w:val="231F1F"/>
          <w:w w:val="105"/>
          <w:sz w:val="20"/>
        </w:rPr>
        <w:t>Mercier</w:t>
      </w:r>
      <w:r>
        <w:rPr>
          <w:color w:val="231F1F"/>
          <w:spacing w:val="-7"/>
          <w:w w:val="105"/>
          <w:sz w:val="20"/>
        </w:rPr>
        <w:t> </w:t>
      </w:r>
      <w:r>
        <w:rPr>
          <w:color w:val="231F1F"/>
          <w:w w:val="105"/>
          <w:sz w:val="20"/>
        </w:rPr>
        <w:t>C.</w:t>
      </w:r>
      <w:r>
        <w:rPr>
          <w:color w:val="231F1F"/>
          <w:spacing w:val="-8"/>
          <w:w w:val="105"/>
          <w:sz w:val="20"/>
        </w:rPr>
        <w:t> </w:t>
      </w:r>
      <w:r>
        <w:rPr>
          <w:color w:val="231F1F"/>
          <w:w w:val="105"/>
          <w:sz w:val="20"/>
        </w:rPr>
        <w:t>Fetal</w:t>
      </w:r>
      <w:r>
        <w:rPr>
          <w:color w:val="231F1F"/>
          <w:spacing w:val="-6"/>
          <w:w w:val="105"/>
          <w:sz w:val="20"/>
        </w:rPr>
        <w:t> </w:t>
      </w:r>
      <w:r>
        <w:rPr>
          <w:color w:val="231F1F"/>
          <w:w w:val="105"/>
          <w:sz w:val="20"/>
        </w:rPr>
        <w:t>assessment</w:t>
      </w:r>
      <w:r>
        <w:rPr>
          <w:color w:val="231F1F"/>
          <w:spacing w:val="-6"/>
          <w:w w:val="105"/>
          <w:sz w:val="20"/>
        </w:rPr>
        <w:t> </w:t>
      </w:r>
      <w:r>
        <w:rPr>
          <w:color w:val="231F1F"/>
          <w:w w:val="105"/>
          <w:sz w:val="20"/>
        </w:rPr>
        <w:t>of</w:t>
      </w:r>
      <w:r>
        <w:rPr>
          <w:color w:val="231F1F"/>
          <w:spacing w:val="-6"/>
          <w:w w:val="105"/>
          <w:sz w:val="20"/>
        </w:rPr>
        <w:t> </w:t>
      </w:r>
      <w:r>
        <w:rPr>
          <w:color w:val="231F1F"/>
          <w:w w:val="105"/>
          <w:sz w:val="20"/>
        </w:rPr>
        <w:t>the</w:t>
      </w:r>
      <w:r>
        <w:rPr>
          <w:color w:val="231F1F"/>
          <w:spacing w:val="-7"/>
          <w:w w:val="105"/>
          <w:sz w:val="20"/>
        </w:rPr>
        <w:t> </w:t>
      </w:r>
      <w:r>
        <w:rPr>
          <w:color w:val="231F1F"/>
          <w:w w:val="105"/>
          <w:sz w:val="20"/>
        </w:rPr>
        <w:t>labor</w:t>
      </w:r>
      <w:r>
        <w:rPr>
          <w:color w:val="231F1F"/>
          <w:spacing w:val="-6"/>
          <w:w w:val="105"/>
          <w:sz w:val="20"/>
        </w:rPr>
        <w:t> </w:t>
      </w:r>
      <w:r>
        <w:rPr>
          <w:color w:val="231F1F"/>
          <w:w w:val="105"/>
          <w:sz w:val="20"/>
        </w:rPr>
        <w:t>admission</w:t>
      </w:r>
      <w:r>
        <w:rPr>
          <w:color w:val="231F1F"/>
          <w:spacing w:val="-7"/>
          <w:w w:val="105"/>
          <w:sz w:val="20"/>
        </w:rPr>
        <w:t> </w:t>
      </w:r>
      <w:r>
        <w:rPr>
          <w:color w:val="231F1F"/>
          <w:w w:val="105"/>
          <w:sz w:val="20"/>
        </w:rPr>
        <w:t>in</w:t>
      </w:r>
      <w:r>
        <w:rPr>
          <w:color w:val="231F1F"/>
          <w:spacing w:val="-7"/>
          <w:w w:val="105"/>
          <w:sz w:val="20"/>
        </w:rPr>
        <w:t> </w:t>
      </w:r>
      <w:r>
        <w:rPr>
          <w:color w:val="231F1F"/>
          <w:w w:val="105"/>
          <w:sz w:val="20"/>
        </w:rPr>
        <w:t>low</w:t>
      </w:r>
      <w:r>
        <w:rPr>
          <w:color w:val="231F1F"/>
          <w:spacing w:val="-7"/>
          <w:w w:val="105"/>
          <w:sz w:val="20"/>
        </w:rPr>
        <w:t> </w:t>
      </w:r>
      <w:r>
        <w:rPr>
          <w:color w:val="231F1F"/>
          <w:w w:val="105"/>
          <w:sz w:val="20"/>
        </w:rPr>
        <w:t>risk</w:t>
      </w:r>
      <w:r>
        <w:rPr>
          <w:color w:val="231F1F"/>
          <w:spacing w:val="-7"/>
          <w:w w:val="105"/>
          <w:sz w:val="20"/>
        </w:rPr>
        <w:t> </w:t>
      </w:r>
      <w:r>
        <w:rPr>
          <w:color w:val="231F1F"/>
          <w:w w:val="105"/>
          <w:sz w:val="20"/>
        </w:rPr>
        <w:t>pregnacies.</w:t>
      </w:r>
      <w:r>
        <w:rPr>
          <w:color w:val="231F1F"/>
          <w:spacing w:val="-8"/>
          <w:w w:val="105"/>
          <w:sz w:val="20"/>
        </w:rPr>
        <w:t> </w:t>
      </w:r>
      <w:r>
        <w:rPr>
          <w:color w:val="231F1F"/>
          <w:w w:val="105"/>
          <w:sz w:val="20"/>
        </w:rPr>
        <w:t>J</w:t>
      </w:r>
      <w:r>
        <w:rPr>
          <w:color w:val="231F1F"/>
          <w:spacing w:val="-6"/>
          <w:w w:val="105"/>
          <w:sz w:val="20"/>
        </w:rPr>
        <w:t> </w:t>
      </w:r>
      <w:r>
        <w:rPr>
          <w:color w:val="231F1F"/>
          <w:w w:val="105"/>
          <w:sz w:val="20"/>
        </w:rPr>
        <w:t>Gynecol Obstet Biol Reprod Paris 2008;37(suppl1):S16-22.</w:t>
      </w:r>
    </w:p>
    <w:p>
      <w:pPr>
        <w:pStyle w:val="ListParagraph"/>
        <w:numPr>
          <w:ilvl w:val="0"/>
          <w:numId w:val="109"/>
        </w:numPr>
        <w:tabs>
          <w:tab w:pos="793" w:val="left" w:leader="none"/>
        </w:tabs>
        <w:spacing w:line="225" w:lineRule="auto" w:before="167" w:after="0"/>
        <w:ind w:left="793" w:right="122" w:hanging="511"/>
        <w:jc w:val="both"/>
        <w:rPr>
          <w:sz w:val="20"/>
        </w:rPr>
      </w:pPr>
      <w:r>
        <w:rPr>
          <w:color w:val="231F1F"/>
          <w:w w:val="105"/>
          <w:sz w:val="20"/>
        </w:rPr>
        <w:t>Levran</w:t>
      </w:r>
      <w:r>
        <w:rPr>
          <w:color w:val="231F1F"/>
          <w:spacing w:val="-6"/>
          <w:w w:val="105"/>
          <w:sz w:val="20"/>
        </w:rPr>
        <w:t> </w:t>
      </w:r>
      <w:r>
        <w:rPr>
          <w:color w:val="231F1F"/>
          <w:w w:val="105"/>
          <w:sz w:val="20"/>
        </w:rPr>
        <w:t>D,</w:t>
      </w:r>
      <w:r>
        <w:rPr>
          <w:color w:val="231F1F"/>
          <w:spacing w:val="-5"/>
          <w:w w:val="105"/>
          <w:sz w:val="20"/>
        </w:rPr>
        <w:t> </w:t>
      </w:r>
      <w:r>
        <w:rPr>
          <w:color w:val="231F1F"/>
          <w:w w:val="105"/>
          <w:sz w:val="20"/>
        </w:rPr>
        <w:t>Shoham</w:t>
      </w:r>
      <w:r>
        <w:rPr>
          <w:color w:val="231F1F"/>
          <w:spacing w:val="-3"/>
          <w:w w:val="105"/>
          <w:sz w:val="20"/>
        </w:rPr>
        <w:t> </w:t>
      </w:r>
      <w:r>
        <w:rPr>
          <w:color w:val="231F1F"/>
          <w:w w:val="105"/>
          <w:sz w:val="20"/>
        </w:rPr>
        <w:t>Z,</w:t>
      </w:r>
      <w:r>
        <w:rPr>
          <w:color w:val="231F1F"/>
          <w:spacing w:val="-5"/>
          <w:w w:val="105"/>
          <w:sz w:val="20"/>
        </w:rPr>
        <w:t> </w:t>
      </w:r>
      <w:r>
        <w:rPr>
          <w:color w:val="231F1F"/>
          <w:w w:val="105"/>
          <w:sz w:val="20"/>
        </w:rPr>
        <w:t>Geranek</w:t>
      </w:r>
      <w:r>
        <w:rPr>
          <w:color w:val="231F1F"/>
          <w:spacing w:val="-3"/>
          <w:w w:val="105"/>
          <w:sz w:val="20"/>
        </w:rPr>
        <w:t> </w:t>
      </w:r>
      <w:r>
        <w:rPr>
          <w:color w:val="231F1F"/>
          <w:w w:val="105"/>
          <w:sz w:val="20"/>
        </w:rPr>
        <w:t>M,</w:t>
      </w:r>
      <w:r>
        <w:rPr>
          <w:color w:val="231F1F"/>
          <w:spacing w:val="-5"/>
          <w:w w:val="105"/>
          <w:sz w:val="20"/>
        </w:rPr>
        <w:t> </w:t>
      </w:r>
      <w:r>
        <w:rPr>
          <w:color w:val="231F1F"/>
          <w:w w:val="105"/>
          <w:sz w:val="20"/>
        </w:rPr>
        <w:t>Greenwald</w:t>
      </w:r>
      <w:r>
        <w:rPr>
          <w:color w:val="231F1F"/>
          <w:spacing w:val="-3"/>
          <w:w w:val="105"/>
          <w:sz w:val="20"/>
        </w:rPr>
        <w:t> </w:t>
      </w:r>
      <w:r>
        <w:rPr>
          <w:color w:val="231F1F"/>
          <w:w w:val="105"/>
          <w:sz w:val="20"/>
        </w:rPr>
        <w:t>M,</w:t>
      </w:r>
      <w:r>
        <w:rPr>
          <w:color w:val="231F1F"/>
          <w:spacing w:val="-5"/>
          <w:w w:val="105"/>
          <w:sz w:val="20"/>
        </w:rPr>
        <w:t> </w:t>
      </w:r>
      <w:r>
        <w:rPr>
          <w:color w:val="231F1F"/>
          <w:w w:val="105"/>
          <w:sz w:val="20"/>
        </w:rPr>
        <w:t>Mashiach</w:t>
      </w:r>
      <w:r>
        <w:rPr>
          <w:color w:val="231F1F"/>
          <w:spacing w:val="-3"/>
          <w:w w:val="105"/>
          <w:sz w:val="20"/>
        </w:rPr>
        <w:t> </w:t>
      </w:r>
      <w:r>
        <w:rPr>
          <w:color w:val="231F1F"/>
          <w:w w:val="105"/>
          <w:sz w:val="20"/>
        </w:rPr>
        <w:t>S.</w:t>
      </w:r>
      <w:r>
        <w:rPr>
          <w:color w:val="231F1F"/>
          <w:spacing w:val="-6"/>
          <w:w w:val="105"/>
          <w:sz w:val="20"/>
        </w:rPr>
        <w:t> </w:t>
      </w:r>
      <w:r>
        <w:rPr>
          <w:color w:val="231F1F"/>
          <w:w w:val="105"/>
          <w:sz w:val="20"/>
        </w:rPr>
        <w:t>The</w:t>
      </w:r>
      <w:r>
        <w:rPr>
          <w:color w:val="231F1F"/>
          <w:spacing w:val="-2"/>
          <w:w w:val="105"/>
          <w:sz w:val="20"/>
        </w:rPr>
        <w:t> </w:t>
      </w:r>
      <w:r>
        <w:rPr>
          <w:color w:val="231F1F"/>
          <w:w w:val="105"/>
          <w:sz w:val="20"/>
        </w:rPr>
        <w:t>evalue</w:t>
      </w:r>
      <w:r>
        <w:rPr>
          <w:color w:val="231F1F"/>
          <w:spacing w:val="-3"/>
          <w:w w:val="105"/>
          <w:sz w:val="20"/>
        </w:rPr>
        <w:t> </w:t>
      </w:r>
      <w:r>
        <w:rPr>
          <w:color w:val="231F1F"/>
          <w:w w:val="105"/>
          <w:sz w:val="20"/>
        </w:rPr>
        <w:t>of</w:t>
      </w:r>
      <w:r>
        <w:rPr>
          <w:color w:val="231F1F"/>
          <w:spacing w:val="-2"/>
          <w:w w:val="105"/>
          <w:sz w:val="20"/>
        </w:rPr>
        <w:t> </w:t>
      </w:r>
      <w:r>
        <w:rPr>
          <w:color w:val="231F1F"/>
          <w:w w:val="105"/>
          <w:sz w:val="20"/>
        </w:rPr>
        <w:t>amnioscopy.</w:t>
      </w:r>
      <w:r>
        <w:rPr>
          <w:color w:val="231F1F"/>
          <w:spacing w:val="-6"/>
          <w:w w:val="105"/>
          <w:sz w:val="20"/>
        </w:rPr>
        <w:t> </w:t>
      </w:r>
      <w:r>
        <w:rPr>
          <w:color w:val="231F1F"/>
          <w:w w:val="105"/>
          <w:sz w:val="20"/>
        </w:rPr>
        <w:t>Aust N Z J Obstet Gynaecol 1988;284:271-4.</w:t>
      </w:r>
    </w:p>
    <w:p>
      <w:pPr>
        <w:pStyle w:val="ListParagraph"/>
        <w:numPr>
          <w:ilvl w:val="0"/>
          <w:numId w:val="109"/>
        </w:numPr>
        <w:tabs>
          <w:tab w:pos="793" w:val="left" w:leader="none"/>
        </w:tabs>
        <w:spacing w:line="235" w:lineRule="auto" w:before="160" w:after="0"/>
        <w:ind w:left="793" w:right="125" w:hanging="511"/>
        <w:jc w:val="both"/>
        <w:rPr>
          <w:sz w:val="20"/>
        </w:rPr>
      </w:pPr>
      <w:r>
        <w:rPr>
          <w:color w:val="231F1F"/>
          <w:w w:val="105"/>
          <w:sz w:val="20"/>
        </w:rPr>
        <w:t>Locatelli</w:t>
      </w:r>
      <w:r>
        <w:rPr>
          <w:color w:val="231F1F"/>
          <w:spacing w:val="-6"/>
          <w:w w:val="105"/>
          <w:sz w:val="20"/>
        </w:rPr>
        <w:t> </w:t>
      </w:r>
      <w:r>
        <w:rPr>
          <w:color w:val="231F1F"/>
          <w:w w:val="105"/>
          <w:sz w:val="20"/>
        </w:rPr>
        <w:t>A,</w:t>
      </w:r>
      <w:r>
        <w:rPr>
          <w:color w:val="231F1F"/>
          <w:spacing w:val="-6"/>
          <w:w w:val="105"/>
          <w:sz w:val="20"/>
        </w:rPr>
        <w:t> </w:t>
      </w:r>
      <w:r>
        <w:rPr>
          <w:color w:val="231F1F"/>
          <w:w w:val="105"/>
          <w:sz w:val="20"/>
        </w:rPr>
        <w:t>Regalia</w:t>
      </w:r>
      <w:r>
        <w:rPr>
          <w:color w:val="231F1F"/>
          <w:spacing w:val="-6"/>
          <w:w w:val="105"/>
          <w:sz w:val="20"/>
        </w:rPr>
        <w:t> </w:t>
      </w:r>
      <w:r>
        <w:rPr>
          <w:color w:val="231F1F"/>
          <w:w w:val="105"/>
          <w:sz w:val="20"/>
        </w:rPr>
        <w:t>AL,</w:t>
      </w:r>
      <w:r>
        <w:rPr>
          <w:color w:val="231F1F"/>
          <w:spacing w:val="-5"/>
          <w:w w:val="105"/>
          <w:sz w:val="20"/>
        </w:rPr>
        <w:t> </w:t>
      </w:r>
      <w:r>
        <w:rPr>
          <w:color w:val="231F1F"/>
          <w:w w:val="105"/>
          <w:sz w:val="20"/>
        </w:rPr>
        <w:t>Patregnani</w:t>
      </w:r>
      <w:r>
        <w:rPr>
          <w:color w:val="231F1F"/>
          <w:spacing w:val="-3"/>
          <w:w w:val="105"/>
          <w:sz w:val="20"/>
        </w:rPr>
        <w:t> </w:t>
      </w:r>
      <w:r>
        <w:rPr>
          <w:color w:val="231F1F"/>
          <w:w w:val="105"/>
          <w:sz w:val="20"/>
        </w:rPr>
        <w:t>C,</w:t>
      </w:r>
      <w:r>
        <w:rPr>
          <w:color w:val="231F1F"/>
          <w:spacing w:val="-5"/>
          <w:w w:val="105"/>
          <w:sz w:val="20"/>
        </w:rPr>
        <w:t> </w:t>
      </w:r>
      <w:r>
        <w:rPr>
          <w:color w:val="231F1F"/>
          <w:w w:val="105"/>
          <w:sz w:val="20"/>
        </w:rPr>
        <w:t>Ratti</w:t>
      </w:r>
      <w:r>
        <w:rPr>
          <w:color w:val="231F1F"/>
          <w:spacing w:val="-3"/>
          <w:w w:val="105"/>
          <w:sz w:val="20"/>
        </w:rPr>
        <w:t> </w:t>
      </w:r>
      <w:r>
        <w:rPr>
          <w:color w:val="231F1F"/>
          <w:w w:val="105"/>
          <w:sz w:val="20"/>
        </w:rPr>
        <w:t>M,</w:t>
      </w:r>
      <w:r>
        <w:rPr>
          <w:color w:val="231F1F"/>
          <w:spacing w:val="-6"/>
          <w:w w:val="105"/>
          <w:sz w:val="20"/>
        </w:rPr>
        <w:t> </w:t>
      </w:r>
      <w:r>
        <w:rPr>
          <w:color w:val="231F1F"/>
          <w:w w:val="105"/>
          <w:sz w:val="20"/>
        </w:rPr>
        <w:t>Toso</w:t>
      </w:r>
      <w:r>
        <w:rPr>
          <w:color w:val="231F1F"/>
          <w:spacing w:val="-3"/>
          <w:w w:val="105"/>
          <w:sz w:val="20"/>
        </w:rPr>
        <w:t> </w:t>
      </w:r>
      <w:r>
        <w:rPr>
          <w:color w:val="231F1F"/>
          <w:w w:val="105"/>
          <w:sz w:val="20"/>
        </w:rPr>
        <w:t>L,</w:t>
      </w:r>
      <w:r>
        <w:rPr>
          <w:color w:val="231F1F"/>
          <w:spacing w:val="-5"/>
          <w:w w:val="105"/>
          <w:sz w:val="20"/>
        </w:rPr>
        <w:t> </w:t>
      </w:r>
      <w:r>
        <w:rPr>
          <w:color w:val="231F1F"/>
          <w:w w:val="105"/>
          <w:sz w:val="20"/>
        </w:rPr>
        <w:t>Ghidini</w:t>
      </w:r>
      <w:r>
        <w:rPr>
          <w:color w:val="231F1F"/>
          <w:spacing w:val="-5"/>
          <w:w w:val="105"/>
          <w:sz w:val="20"/>
        </w:rPr>
        <w:t> </w:t>
      </w:r>
      <w:r>
        <w:rPr>
          <w:color w:val="231F1F"/>
          <w:w w:val="105"/>
          <w:sz w:val="20"/>
        </w:rPr>
        <w:t>A.</w:t>
      </w:r>
      <w:r>
        <w:rPr>
          <w:color w:val="231F1F"/>
          <w:spacing w:val="-5"/>
          <w:w w:val="105"/>
          <w:sz w:val="20"/>
        </w:rPr>
        <w:t> </w:t>
      </w:r>
      <w:r>
        <w:rPr>
          <w:color w:val="231F1F"/>
          <w:w w:val="105"/>
          <w:sz w:val="20"/>
        </w:rPr>
        <w:t>Prognostic</w:t>
      </w:r>
      <w:r>
        <w:rPr>
          <w:color w:val="231F1F"/>
          <w:spacing w:val="-3"/>
          <w:w w:val="105"/>
          <w:sz w:val="20"/>
        </w:rPr>
        <w:t> </w:t>
      </w:r>
      <w:r>
        <w:rPr>
          <w:color w:val="231F1F"/>
          <w:w w:val="105"/>
          <w:sz w:val="20"/>
        </w:rPr>
        <w:t>value</w:t>
      </w:r>
      <w:r>
        <w:rPr>
          <w:color w:val="231F1F"/>
          <w:spacing w:val="-3"/>
          <w:w w:val="105"/>
          <w:sz w:val="20"/>
        </w:rPr>
        <w:t> </w:t>
      </w:r>
      <w:r>
        <w:rPr>
          <w:color w:val="231F1F"/>
          <w:w w:val="105"/>
          <w:sz w:val="20"/>
        </w:rPr>
        <w:t>of</w:t>
      </w:r>
      <w:r>
        <w:rPr>
          <w:color w:val="231F1F"/>
          <w:spacing w:val="-3"/>
          <w:w w:val="105"/>
          <w:sz w:val="20"/>
        </w:rPr>
        <w:t> </w:t>
      </w:r>
      <w:r>
        <w:rPr>
          <w:color w:val="231F1F"/>
          <w:w w:val="105"/>
          <w:sz w:val="20"/>
        </w:rPr>
        <w:t>change in amniotic fluid color during labor. Fetal Diagn Ther 2005;201:5-9.</w:t>
      </w:r>
    </w:p>
    <w:p>
      <w:pPr>
        <w:pStyle w:val="ListParagraph"/>
        <w:numPr>
          <w:ilvl w:val="0"/>
          <w:numId w:val="109"/>
        </w:numPr>
        <w:tabs>
          <w:tab w:pos="791" w:val="left" w:leader="none"/>
        </w:tabs>
        <w:spacing w:line="237" w:lineRule="auto" w:before="157" w:after="0"/>
        <w:ind w:left="791" w:right="124" w:hanging="511"/>
        <w:jc w:val="both"/>
        <w:rPr>
          <w:sz w:val="20"/>
        </w:rPr>
      </w:pPr>
      <w:r>
        <w:rPr>
          <w:color w:val="231F1F"/>
          <w:w w:val="110"/>
          <w:sz w:val="20"/>
        </w:rPr>
        <w:t>Blix</w:t>
      </w:r>
      <w:r>
        <w:rPr>
          <w:color w:val="231F1F"/>
          <w:spacing w:val="-6"/>
          <w:w w:val="110"/>
          <w:sz w:val="20"/>
        </w:rPr>
        <w:t> </w:t>
      </w:r>
      <w:r>
        <w:rPr>
          <w:color w:val="231F1F"/>
          <w:w w:val="110"/>
          <w:sz w:val="20"/>
        </w:rPr>
        <w:t>E,</w:t>
      </w:r>
      <w:r>
        <w:rPr>
          <w:color w:val="231F1F"/>
          <w:spacing w:val="-7"/>
          <w:w w:val="110"/>
          <w:sz w:val="20"/>
        </w:rPr>
        <w:t> </w:t>
      </w:r>
      <w:r>
        <w:rPr>
          <w:color w:val="231F1F"/>
          <w:w w:val="110"/>
          <w:sz w:val="20"/>
        </w:rPr>
        <w:t>Reiner</w:t>
      </w:r>
      <w:r>
        <w:rPr>
          <w:color w:val="231F1F"/>
          <w:spacing w:val="-5"/>
          <w:w w:val="110"/>
          <w:sz w:val="20"/>
        </w:rPr>
        <w:t> </w:t>
      </w:r>
      <w:r>
        <w:rPr>
          <w:color w:val="231F1F"/>
          <w:w w:val="110"/>
          <w:sz w:val="20"/>
        </w:rPr>
        <w:t>LM,</w:t>
      </w:r>
      <w:r>
        <w:rPr>
          <w:color w:val="231F1F"/>
          <w:spacing w:val="-7"/>
          <w:w w:val="110"/>
          <w:sz w:val="20"/>
        </w:rPr>
        <w:t> </w:t>
      </w:r>
      <w:r>
        <w:rPr>
          <w:color w:val="231F1F"/>
          <w:w w:val="110"/>
          <w:sz w:val="20"/>
        </w:rPr>
        <w:t>Klovining</w:t>
      </w:r>
      <w:r>
        <w:rPr>
          <w:color w:val="231F1F"/>
          <w:spacing w:val="-8"/>
          <w:w w:val="110"/>
          <w:sz w:val="20"/>
        </w:rPr>
        <w:t> </w:t>
      </w:r>
      <w:r>
        <w:rPr>
          <w:color w:val="231F1F"/>
          <w:w w:val="110"/>
          <w:sz w:val="20"/>
        </w:rPr>
        <w:t>A,</w:t>
      </w:r>
      <w:r>
        <w:rPr>
          <w:color w:val="231F1F"/>
          <w:spacing w:val="-7"/>
          <w:w w:val="110"/>
          <w:sz w:val="20"/>
        </w:rPr>
        <w:t> </w:t>
      </w:r>
      <w:r>
        <w:rPr>
          <w:color w:val="231F1F"/>
          <w:w w:val="110"/>
          <w:sz w:val="20"/>
        </w:rPr>
        <w:t>et.al.</w:t>
      </w:r>
      <w:r>
        <w:rPr>
          <w:color w:val="231F1F"/>
          <w:spacing w:val="-8"/>
          <w:w w:val="110"/>
          <w:sz w:val="20"/>
        </w:rPr>
        <w:t> </w:t>
      </w:r>
      <w:r>
        <w:rPr>
          <w:color w:val="231F1F"/>
          <w:w w:val="110"/>
          <w:sz w:val="20"/>
        </w:rPr>
        <w:t>Prognostic</w:t>
      </w:r>
      <w:r>
        <w:rPr>
          <w:color w:val="231F1F"/>
          <w:spacing w:val="-4"/>
          <w:w w:val="110"/>
          <w:sz w:val="20"/>
        </w:rPr>
        <w:t> </w:t>
      </w:r>
      <w:r>
        <w:rPr>
          <w:color w:val="231F1F"/>
          <w:w w:val="110"/>
          <w:sz w:val="20"/>
        </w:rPr>
        <w:t>value</w:t>
      </w:r>
      <w:r>
        <w:rPr>
          <w:color w:val="231F1F"/>
          <w:spacing w:val="-5"/>
          <w:w w:val="110"/>
          <w:sz w:val="20"/>
        </w:rPr>
        <w:t> </w:t>
      </w:r>
      <w:r>
        <w:rPr>
          <w:color w:val="231F1F"/>
          <w:w w:val="110"/>
          <w:sz w:val="20"/>
        </w:rPr>
        <w:t>of</w:t>
      </w:r>
      <w:r>
        <w:rPr>
          <w:color w:val="231F1F"/>
          <w:spacing w:val="-5"/>
          <w:w w:val="110"/>
          <w:sz w:val="20"/>
        </w:rPr>
        <w:t> </w:t>
      </w:r>
      <w:r>
        <w:rPr>
          <w:color w:val="231F1F"/>
          <w:w w:val="110"/>
          <w:sz w:val="20"/>
        </w:rPr>
        <w:t>the</w:t>
      </w:r>
      <w:r>
        <w:rPr>
          <w:color w:val="231F1F"/>
          <w:spacing w:val="-5"/>
          <w:w w:val="110"/>
          <w:sz w:val="20"/>
        </w:rPr>
        <w:t> </w:t>
      </w:r>
      <w:r>
        <w:rPr>
          <w:color w:val="231F1F"/>
          <w:w w:val="110"/>
          <w:sz w:val="20"/>
        </w:rPr>
        <w:t>labour</w:t>
      </w:r>
      <w:r>
        <w:rPr>
          <w:color w:val="231F1F"/>
          <w:spacing w:val="-5"/>
          <w:w w:val="110"/>
          <w:sz w:val="20"/>
        </w:rPr>
        <w:t> </w:t>
      </w:r>
      <w:r>
        <w:rPr>
          <w:color w:val="231F1F"/>
          <w:w w:val="110"/>
          <w:sz w:val="20"/>
        </w:rPr>
        <w:t>admission</w:t>
      </w:r>
      <w:r>
        <w:rPr>
          <w:color w:val="231F1F"/>
          <w:spacing w:val="-6"/>
          <w:w w:val="110"/>
          <w:sz w:val="20"/>
        </w:rPr>
        <w:t> </w:t>
      </w:r>
      <w:r>
        <w:rPr>
          <w:color w:val="231F1F"/>
          <w:w w:val="110"/>
          <w:sz w:val="20"/>
        </w:rPr>
        <w:t>test</w:t>
      </w:r>
      <w:r>
        <w:rPr>
          <w:color w:val="231F1F"/>
          <w:spacing w:val="-5"/>
          <w:w w:val="110"/>
          <w:sz w:val="20"/>
        </w:rPr>
        <w:t> </w:t>
      </w:r>
      <w:r>
        <w:rPr>
          <w:color w:val="231F1F"/>
          <w:w w:val="110"/>
          <w:sz w:val="20"/>
        </w:rPr>
        <w:t>and</w:t>
      </w:r>
      <w:r>
        <w:rPr>
          <w:color w:val="231F1F"/>
          <w:spacing w:val="-5"/>
          <w:w w:val="110"/>
          <w:sz w:val="20"/>
        </w:rPr>
        <w:t> </w:t>
      </w:r>
      <w:r>
        <w:rPr>
          <w:color w:val="231F1F"/>
          <w:w w:val="110"/>
          <w:sz w:val="20"/>
        </w:rPr>
        <w:t>its effectiveness</w:t>
      </w:r>
      <w:r>
        <w:rPr>
          <w:color w:val="231F1F"/>
          <w:spacing w:val="-12"/>
          <w:w w:val="110"/>
          <w:sz w:val="20"/>
        </w:rPr>
        <w:t> </w:t>
      </w:r>
      <w:r>
        <w:rPr>
          <w:color w:val="231F1F"/>
          <w:w w:val="110"/>
          <w:sz w:val="20"/>
        </w:rPr>
        <w:t>compared</w:t>
      </w:r>
      <w:r>
        <w:rPr>
          <w:color w:val="231F1F"/>
          <w:spacing w:val="-12"/>
          <w:w w:val="110"/>
          <w:sz w:val="20"/>
        </w:rPr>
        <w:t> </w:t>
      </w:r>
      <w:r>
        <w:rPr>
          <w:color w:val="231F1F"/>
          <w:w w:val="110"/>
          <w:sz w:val="20"/>
        </w:rPr>
        <w:t>with</w:t>
      </w:r>
      <w:r>
        <w:rPr>
          <w:color w:val="231F1F"/>
          <w:spacing w:val="-12"/>
          <w:w w:val="110"/>
          <w:sz w:val="20"/>
        </w:rPr>
        <w:t> </w:t>
      </w:r>
      <w:r>
        <w:rPr>
          <w:color w:val="231F1F"/>
          <w:w w:val="110"/>
          <w:sz w:val="20"/>
        </w:rPr>
        <w:t>auscultation</w:t>
      </w:r>
      <w:r>
        <w:rPr>
          <w:color w:val="231F1F"/>
          <w:spacing w:val="-12"/>
          <w:w w:val="110"/>
          <w:sz w:val="20"/>
        </w:rPr>
        <w:t> </w:t>
      </w:r>
      <w:r>
        <w:rPr>
          <w:color w:val="231F1F"/>
          <w:w w:val="110"/>
          <w:sz w:val="20"/>
        </w:rPr>
        <w:t>only:</w:t>
      </w:r>
      <w:r>
        <w:rPr>
          <w:color w:val="231F1F"/>
          <w:spacing w:val="-12"/>
          <w:w w:val="110"/>
          <w:sz w:val="20"/>
        </w:rPr>
        <w:t> </w:t>
      </w:r>
      <w:r>
        <w:rPr>
          <w:color w:val="231F1F"/>
          <w:w w:val="110"/>
          <w:sz w:val="20"/>
        </w:rPr>
        <w:t>a</w:t>
      </w:r>
      <w:r>
        <w:rPr>
          <w:color w:val="231F1F"/>
          <w:spacing w:val="-11"/>
          <w:w w:val="110"/>
          <w:sz w:val="20"/>
        </w:rPr>
        <w:t> </w:t>
      </w:r>
      <w:r>
        <w:rPr>
          <w:color w:val="231F1F"/>
          <w:w w:val="110"/>
          <w:sz w:val="20"/>
        </w:rPr>
        <w:t>systematic</w:t>
      </w:r>
      <w:r>
        <w:rPr>
          <w:color w:val="231F1F"/>
          <w:spacing w:val="-11"/>
          <w:w w:val="110"/>
          <w:sz w:val="20"/>
        </w:rPr>
        <w:t> </w:t>
      </w:r>
      <w:r>
        <w:rPr>
          <w:color w:val="231F1F"/>
          <w:w w:val="110"/>
          <w:sz w:val="20"/>
        </w:rPr>
        <w:t>review.</w:t>
      </w:r>
      <w:r>
        <w:rPr>
          <w:color w:val="231F1F"/>
          <w:spacing w:val="-11"/>
          <w:w w:val="110"/>
          <w:sz w:val="20"/>
        </w:rPr>
        <w:t> </w:t>
      </w:r>
      <w:r>
        <w:rPr>
          <w:color w:val="231F1F"/>
          <w:w w:val="110"/>
          <w:sz w:val="20"/>
        </w:rPr>
        <w:t>BJOG:</w:t>
      </w:r>
      <w:r>
        <w:rPr>
          <w:color w:val="231F1F"/>
          <w:spacing w:val="-12"/>
          <w:w w:val="110"/>
          <w:sz w:val="20"/>
        </w:rPr>
        <w:t> </w:t>
      </w:r>
      <w:r>
        <w:rPr>
          <w:color w:val="231F1F"/>
          <w:w w:val="110"/>
          <w:sz w:val="20"/>
        </w:rPr>
        <w:t>an</w:t>
      </w:r>
      <w:r>
        <w:rPr>
          <w:color w:val="231F1F"/>
          <w:spacing w:val="-11"/>
          <w:w w:val="110"/>
          <w:sz w:val="20"/>
        </w:rPr>
        <w:t> </w:t>
      </w:r>
      <w:r>
        <w:rPr>
          <w:color w:val="231F1F"/>
          <w:w w:val="110"/>
          <w:sz w:val="20"/>
        </w:rPr>
        <w:t>international </w:t>
      </w:r>
      <w:r>
        <w:rPr>
          <w:color w:val="231F1F"/>
          <w:sz w:val="20"/>
        </w:rPr>
        <w:t>journal of obstetric &amp; gynaecology 2005;11212:1595-604.</w:t>
      </w:r>
    </w:p>
    <w:p>
      <w:pPr>
        <w:pStyle w:val="ListParagraph"/>
        <w:numPr>
          <w:ilvl w:val="0"/>
          <w:numId w:val="109"/>
        </w:numPr>
        <w:tabs>
          <w:tab w:pos="793" w:val="left" w:leader="none"/>
        </w:tabs>
        <w:spacing w:line="230" w:lineRule="auto" w:before="162" w:after="0"/>
        <w:ind w:left="793" w:right="110" w:hanging="511"/>
        <w:jc w:val="both"/>
        <w:rPr>
          <w:sz w:val="20"/>
        </w:rPr>
      </w:pPr>
      <w:r>
        <w:rPr>
          <w:color w:val="231F1F"/>
          <w:w w:val="105"/>
          <w:sz w:val="20"/>
        </w:rPr>
        <w:t>Reveiz</w:t>
      </w:r>
      <w:r>
        <w:rPr>
          <w:color w:val="231F1F"/>
          <w:w w:val="105"/>
          <w:sz w:val="20"/>
        </w:rPr>
        <w:t> LGH,</w:t>
      </w:r>
      <w:r>
        <w:rPr>
          <w:color w:val="231F1F"/>
          <w:w w:val="105"/>
          <w:sz w:val="20"/>
        </w:rPr>
        <w:t> Cuervo</w:t>
      </w:r>
      <w:r>
        <w:rPr>
          <w:color w:val="231F1F"/>
          <w:w w:val="105"/>
          <w:sz w:val="20"/>
        </w:rPr>
        <w:t> LG.</w:t>
      </w:r>
      <w:r>
        <w:rPr>
          <w:color w:val="231F1F"/>
          <w:w w:val="105"/>
          <w:sz w:val="20"/>
        </w:rPr>
        <w:t> Enemas</w:t>
      </w:r>
      <w:r>
        <w:rPr>
          <w:color w:val="231F1F"/>
          <w:w w:val="105"/>
          <w:sz w:val="20"/>
        </w:rPr>
        <w:t> durante</w:t>
      </w:r>
      <w:r>
        <w:rPr>
          <w:color w:val="231F1F"/>
          <w:w w:val="105"/>
          <w:sz w:val="20"/>
        </w:rPr>
        <w:t> el</w:t>
      </w:r>
      <w:r>
        <w:rPr>
          <w:color w:val="231F1F"/>
          <w:w w:val="105"/>
          <w:sz w:val="20"/>
        </w:rPr>
        <w:t> trabajo</w:t>
      </w:r>
      <w:r>
        <w:rPr>
          <w:color w:val="231F1F"/>
          <w:w w:val="105"/>
          <w:sz w:val="20"/>
        </w:rPr>
        <w:t> de</w:t>
      </w:r>
      <w:r>
        <w:rPr>
          <w:color w:val="231F1F"/>
          <w:w w:val="105"/>
          <w:sz w:val="20"/>
        </w:rPr>
        <w:t> parto</w:t>
      </w:r>
      <w:r>
        <w:rPr>
          <w:color w:val="231F1F"/>
          <w:w w:val="105"/>
          <w:sz w:val="20"/>
        </w:rPr>
        <w:t> Revisión</w:t>
      </w:r>
      <w:r>
        <w:rPr>
          <w:color w:val="231F1F"/>
          <w:w w:val="105"/>
          <w:sz w:val="20"/>
        </w:rPr>
        <w:t> Cochrane</w:t>
      </w:r>
      <w:r>
        <w:rPr>
          <w:color w:val="231F1F"/>
          <w:w w:val="105"/>
          <w:sz w:val="20"/>
        </w:rPr>
        <w:t> traducida.</w:t>
      </w:r>
      <w:r>
        <w:rPr>
          <w:color w:val="231F1F"/>
          <w:spacing w:val="40"/>
          <w:w w:val="105"/>
          <w:sz w:val="20"/>
        </w:rPr>
        <w:t> </w:t>
      </w:r>
      <w:r>
        <w:rPr>
          <w:color w:val="231F1F"/>
          <w:w w:val="105"/>
          <w:sz w:val="20"/>
        </w:rPr>
        <w:t>En:</w:t>
      </w:r>
      <w:r>
        <w:rPr>
          <w:color w:val="231F1F"/>
          <w:w w:val="105"/>
          <w:sz w:val="20"/>
        </w:rPr>
        <w:t> La</w:t>
      </w:r>
      <w:r>
        <w:rPr>
          <w:color w:val="231F1F"/>
          <w:w w:val="105"/>
          <w:sz w:val="20"/>
        </w:rPr>
        <w:t> Biblioteca</w:t>
      </w:r>
      <w:r>
        <w:rPr>
          <w:color w:val="231F1F"/>
          <w:w w:val="105"/>
          <w:sz w:val="20"/>
        </w:rPr>
        <w:t> Chchrane</w:t>
      </w:r>
      <w:r>
        <w:rPr>
          <w:color w:val="231F1F"/>
          <w:w w:val="105"/>
          <w:sz w:val="20"/>
        </w:rPr>
        <w:t> Plus,</w:t>
      </w:r>
      <w:r>
        <w:rPr>
          <w:color w:val="231F1F"/>
          <w:w w:val="105"/>
          <w:sz w:val="20"/>
        </w:rPr>
        <w:t> 2008;Número</w:t>
      </w:r>
      <w:r>
        <w:rPr>
          <w:color w:val="231F1F"/>
          <w:w w:val="105"/>
          <w:sz w:val="20"/>
        </w:rPr>
        <w:t> 1.Oxford:</w:t>
      </w:r>
      <w:r>
        <w:rPr>
          <w:color w:val="231F1F"/>
          <w:w w:val="105"/>
          <w:sz w:val="20"/>
        </w:rPr>
        <w:t> Update</w:t>
      </w:r>
      <w:r>
        <w:rPr>
          <w:color w:val="231F1F"/>
          <w:w w:val="105"/>
          <w:sz w:val="20"/>
        </w:rPr>
        <w:t> Software</w:t>
      </w:r>
      <w:r>
        <w:rPr>
          <w:color w:val="231F1F"/>
          <w:w w:val="105"/>
          <w:sz w:val="20"/>
        </w:rPr>
        <w:t> Ltd.</w:t>
      </w:r>
      <w:r>
        <w:rPr>
          <w:color w:val="231F1F"/>
          <w:w w:val="105"/>
          <w:sz w:val="20"/>
        </w:rPr>
        <w:t> Disponible</w:t>
      </w:r>
      <w:r>
        <w:rPr>
          <w:color w:val="231F1F"/>
          <w:spacing w:val="40"/>
          <w:w w:val="105"/>
          <w:sz w:val="20"/>
        </w:rPr>
        <w:t> </w:t>
      </w:r>
      <w:r>
        <w:rPr>
          <w:color w:val="231F1F"/>
          <w:w w:val="105"/>
          <w:sz w:val="20"/>
        </w:rPr>
        <w:t>en:</w:t>
      </w:r>
      <w:r>
        <w:rPr>
          <w:color w:val="231F1F"/>
          <w:w w:val="105"/>
          <w:sz w:val="20"/>
        </w:rPr>
        <w:t> </w:t>
      </w:r>
      <w:hyperlink r:id="rId105">
        <w:r>
          <w:rPr>
            <w:color w:val="A30046"/>
            <w:w w:val="105"/>
            <w:sz w:val="20"/>
          </w:rPr>
          <w:t>http://www.update-software.com</w:t>
        </w:r>
        <w:r>
          <w:rPr>
            <w:color w:val="231F1F"/>
            <w:w w:val="105"/>
            <w:sz w:val="20"/>
          </w:rPr>
          <w:t>.</w:t>
        </w:r>
      </w:hyperlink>
      <w:r>
        <w:rPr>
          <w:color w:val="231F1F"/>
          <w:w w:val="105"/>
          <w:sz w:val="20"/>
        </w:rPr>
        <w:t> Traducida</w:t>
      </w:r>
      <w:r>
        <w:rPr>
          <w:color w:val="231F1F"/>
          <w:w w:val="105"/>
          <w:sz w:val="20"/>
        </w:rPr>
        <w:t> de</w:t>
      </w:r>
      <w:r>
        <w:rPr>
          <w:color w:val="231F1F"/>
          <w:w w:val="105"/>
          <w:sz w:val="20"/>
        </w:rPr>
        <w:t> The</w:t>
      </w:r>
      <w:r>
        <w:rPr>
          <w:color w:val="231F1F"/>
          <w:w w:val="105"/>
          <w:sz w:val="20"/>
        </w:rPr>
        <w:t> Cochrane</w:t>
      </w:r>
      <w:r>
        <w:rPr>
          <w:color w:val="231F1F"/>
          <w:w w:val="105"/>
          <w:sz w:val="20"/>
        </w:rPr>
        <w:t> Library,</w:t>
      </w:r>
      <w:r>
        <w:rPr>
          <w:color w:val="231F1F"/>
          <w:w w:val="105"/>
          <w:sz w:val="20"/>
        </w:rPr>
        <w:t> 2008</w:t>
      </w:r>
      <w:r>
        <w:rPr>
          <w:color w:val="231F1F"/>
          <w:w w:val="105"/>
          <w:sz w:val="20"/>
        </w:rPr>
        <w:t> Issue</w:t>
      </w:r>
      <w:r>
        <w:rPr>
          <w:color w:val="231F1F"/>
          <w:w w:val="105"/>
          <w:sz w:val="20"/>
        </w:rPr>
        <w:t> 1. Chichester, UK: John Wiley&amp; Sons, Ltd.</w:t>
      </w:r>
    </w:p>
    <w:p>
      <w:pPr>
        <w:pStyle w:val="ListParagraph"/>
        <w:numPr>
          <w:ilvl w:val="0"/>
          <w:numId w:val="109"/>
        </w:numPr>
        <w:tabs>
          <w:tab w:pos="793" w:val="left" w:leader="none"/>
        </w:tabs>
        <w:spacing w:line="240" w:lineRule="auto" w:before="156" w:after="0"/>
        <w:ind w:left="793" w:right="113" w:hanging="511"/>
        <w:jc w:val="both"/>
        <w:rPr>
          <w:sz w:val="20"/>
        </w:rPr>
      </w:pPr>
      <w:r>
        <w:rPr>
          <w:color w:val="231F1F"/>
          <w:w w:val="105"/>
          <w:sz w:val="20"/>
        </w:rPr>
        <w:t>Cuervo LG, Bernal Mdel P, Mendoza N. Effects of high volume saline enemas vs no enema during</w:t>
      </w:r>
      <w:r>
        <w:rPr>
          <w:color w:val="231F1F"/>
          <w:spacing w:val="-8"/>
          <w:w w:val="105"/>
          <w:sz w:val="20"/>
        </w:rPr>
        <w:t> </w:t>
      </w:r>
      <w:r>
        <w:rPr>
          <w:color w:val="231F1F"/>
          <w:w w:val="105"/>
          <w:sz w:val="20"/>
        </w:rPr>
        <w:t>labour--The</w:t>
      </w:r>
      <w:r>
        <w:rPr>
          <w:color w:val="231F1F"/>
          <w:spacing w:val="-6"/>
          <w:w w:val="105"/>
          <w:sz w:val="20"/>
        </w:rPr>
        <w:t> </w:t>
      </w:r>
      <w:r>
        <w:rPr>
          <w:color w:val="231F1F"/>
          <w:w w:val="105"/>
          <w:sz w:val="20"/>
        </w:rPr>
        <w:t>N-Ma</w:t>
      </w:r>
      <w:r>
        <w:rPr>
          <w:color w:val="231F1F"/>
          <w:spacing w:val="-6"/>
          <w:w w:val="105"/>
          <w:sz w:val="20"/>
        </w:rPr>
        <w:t> </w:t>
      </w:r>
      <w:r>
        <w:rPr>
          <w:color w:val="231F1F"/>
          <w:w w:val="105"/>
          <w:sz w:val="20"/>
        </w:rPr>
        <w:t>Randomised</w:t>
      </w:r>
      <w:r>
        <w:rPr>
          <w:color w:val="231F1F"/>
          <w:spacing w:val="-7"/>
          <w:w w:val="105"/>
          <w:sz w:val="20"/>
        </w:rPr>
        <w:t> </w:t>
      </w:r>
      <w:r>
        <w:rPr>
          <w:color w:val="231F1F"/>
          <w:w w:val="105"/>
          <w:sz w:val="20"/>
        </w:rPr>
        <w:t>Controlled</w:t>
      </w:r>
      <w:r>
        <w:rPr>
          <w:color w:val="231F1F"/>
          <w:spacing w:val="-16"/>
          <w:w w:val="105"/>
          <w:sz w:val="20"/>
        </w:rPr>
        <w:t> </w:t>
      </w:r>
      <w:r>
        <w:rPr>
          <w:color w:val="231F1F"/>
          <w:w w:val="105"/>
          <w:sz w:val="20"/>
        </w:rPr>
        <w:t>Trial.</w:t>
      </w:r>
      <w:r>
        <w:rPr>
          <w:color w:val="231F1F"/>
          <w:spacing w:val="-13"/>
          <w:w w:val="105"/>
          <w:sz w:val="20"/>
        </w:rPr>
        <w:t> </w:t>
      </w:r>
      <w:r>
        <w:rPr>
          <w:color w:val="231F1F"/>
          <w:w w:val="105"/>
          <w:sz w:val="20"/>
        </w:rPr>
        <w:t>BMC</w:t>
      </w:r>
      <w:r>
        <w:rPr>
          <w:color w:val="231F1F"/>
          <w:spacing w:val="-7"/>
          <w:w w:val="105"/>
          <w:sz w:val="20"/>
        </w:rPr>
        <w:t> </w:t>
      </w:r>
      <w:r>
        <w:rPr>
          <w:color w:val="231F1F"/>
          <w:w w:val="105"/>
          <w:sz w:val="20"/>
        </w:rPr>
        <w:t>Pregnancy</w:t>
      </w:r>
      <w:r>
        <w:rPr>
          <w:color w:val="231F1F"/>
          <w:spacing w:val="-7"/>
          <w:w w:val="105"/>
          <w:sz w:val="20"/>
        </w:rPr>
        <w:t> </w:t>
      </w:r>
      <w:r>
        <w:rPr>
          <w:color w:val="231F1F"/>
          <w:w w:val="105"/>
          <w:sz w:val="20"/>
        </w:rPr>
        <w:t>Childbirth</w:t>
      </w:r>
      <w:r>
        <w:rPr>
          <w:color w:val="231F1F"/>
          <w:spacing w:val="-7"/>
          <w:w w:val="105"/>
          <w:sz w:val="20"/>
        </w:rPr>
        <w:t> </w:t>
      </w:r>
      <w:r>
        <w:rPr>
          <w:color w:val="231F1F"/>
          <w:w w:val="105"/>
          <w:sz w:val="20"/>
        </w:rPr>
        <w:t>2006;6(8).</w:t>
      </w:r>
    </w:p>
    <w:p>
      <w:pPr>
        <w:pStyle w:val="ListParagraph"/>
        <w:numPr>
          <w:ilvl w:val="0"/>
          <w:numId w:val="109"/>
        </w:numPr>
        <w:tabs>
          <w:tab w:pos="793" w:val="left" w:leader="none"/>
        </w:tabs>
        <w:spacing w:line="232" w:lineRule="auto" w:before="155" w:after="0"/>
        <w:ind w:left="793" w:right="121" w:hanging="511"/>
        <w:jc w:val="both"/>
        <w:rPr>
          <w:sz w:val="20"/>
        </w:rPr>
      </w:pPr>
      <w:r>
        <w:rPr>
          <w:color w:val="231F1F"/>
          <w:w w:val="105"/>
          <w:sz w:val="20"/>
        </w:rPr>
        <w:t>Basevi V, Lavender T. Rasurado perineal sistemático en el ingreso a la sala de partos Revisión Cochrane</w:t>
      </w:r>
      <w:r>
        <w:rPr>
          <w:color w:val="231F1F"/>
          <w:w w:val="105"/>
          <w:sz w:val="20"/>
        </w:rPr>
        <w:t> traducida.</w:t>
      </w:r>
      <w:r>
        <w:rPr>
          <w:color w:val="231F1F"/>
          <w:w w:val="105"/>
          <w:sz w:val="20"/>
        </w:rPr>
        <w:t> En:</w:t>
      </w:r>
      <w:r>
        <w:rPr>
          <w:color w:val="231F1F"/>
          <w:w w:val="105"/>
          <w:sz w:val="20"/>
        </w:rPr>
        <w:t> La</w:t>
      </w:r>
      <w:r>
        <w:rPr>
          <w:color w:val="231F1F"/>
          <w:w w:val="105"/>
          <w:sz w:val="20"/>
        </w:rPr>
        <w:t> Biblioteca</w:t>
      </w:r>
      <w:r>
        <w:rPr>
          <w:color w:val="231F1F"/>
          <w:w w:val="105"/>
          <w:sz w:val="20"/>
        </w:rPr>
        <w:t> Cochrane</w:t>
      </w:r>
      <w:r>
        <w:rPr>
          <w:color w:val="231F1F"/>
          <w:w w:val="105"/>
          <w:sz w:val="20"/>
        </w:rPr>
        <w:t> Plus,2008</w:t>
      </w:r>
      <w:r>
        <w:rPr>
          <w:color w:val="231F1F"/>
          <w:w w:val="105"/>
          <w:sz w:val="20"/>
        </w:rPr>
        <w:t> Número</w:t>
      </w:r>
      <w:r>
        <w:rPr>
          <w:color w:val="231F1F"/>
          <w:w w:val="105"/>
          <w:sz w:val="20"/>
        </w:rPr>
        <w:t> 2</w:t>
      </w:r>
      <w:r>
        <w:rPr>
          <w:color w:val="231F1F"/>
          <w:w w:val="105"/>
          <w:sz w:val="20"/>
        </w:rPr>
        <w:t> Oxford:</w:t>
      </w:r>
      <w:r>
        <w:rPr>
          <w:color w:val="231F1F"/>
          <w:w w:val="105"/>
          <w:sz w:val="20"/>
        </w:rPr>
        <w:t> Update Software</w:t>
      </w:r>
      <w:r>
        <w:rPr>
          <w:color w:val="231F1F"/>
          <w:w w:val="105"/>
          <w:sz w:val="20"/>
        </w:rPr>
        <w:t> Ltd</w:t>
      </w:r>
      <w:r>
        <w:rPr>
          <w:color w:val="231F1F"/>
          <w:w w:val="105"/>
          <w:sz w:val="20"/>
        </w:rPr>
        <w:t> Disponible</w:t>
      </w:r>
      <w:r>
        <w:rPr>
          <w:color w:val="231F1F"/>
          <w:w w:val="105"/>
          <w:sz w:val="20"/>
        </w:rPr>
        <w:t> a:</w:t>
      </w:r>
      <w:r>
        <w:rPr>
          <w:color w:val="231F1F"/>
          <w:w w:val="105"/>
          <w:sz w:val="20"/>
        </w:rPr>
        <w:t> </w:t>
      </w:r>
      <w:hyperlink r:id="rId105">
        <w:r>
          <w:rPr>
            <w:color w:val="A30046"/>
            <w:w w:val="105"/>
            <w:sz w:val="20"/>
          </w:rPr>
          <w:t>http://www.update-software.com</w:t>
        </w:r>
      </w:hyperlink>
      <w:r>
        <w:rPr>
          <w:color w:val="A30046"/>
          <w:w w:val="105"/>
          <w:sz w:val="20"/>
        </w:rPr>
        <w:t> </w:t>
      </w:r>
      <w:r>
        <w:rPr>
          <w:color w:val="231F1F"/>
          <w:w w:val="105"/>
          <w:sz w:val="20"/>
        </w:rPr>
        <w:t>Traducida</w:t>
      </w:r>
      <w:r>
        <w:rPr>
          <w:color w:val="231F1F"/>
          <w:w w:val="105"/>
          <w:sz w:val="20"/>
        </w:rPr>
        <w:t> de</w:t>
      </w:r>
      <w:r>
        <w:rPr>
          <w:color w:val="231F1F"/>
          <w:w w:val="105"/>
          <w:sz w:val="20"/>
        </w:rPr>
        <w:t> The</w:t>
      </w:r>
      <w:r>
        <w:rPr>
          <w:color w:val="231F1F"/>
          <w:w w:val="105"/>
          <w:sz w:val="20"/>
        </w:rPr>
        <w:t> Cochrane Library, 2008;Issue 2. Chichester,UK: John Wiley &amp; Sons, Ltd.</w:t>
      </w:r>
    </w:p>
    <w:p>
      <w:pPr>
        <w:pStyle w:val="ListParagraph"/>
        <w:numPr>
          <w:ilvl w:val="0"/>
          <w:numId w:val="109"/>
        </w:numPr>
        <w:tabs>
          <w:tab w:pos="791" w:val="left" w:leader="none"/>
        </w:tabs>
        <w:spacing w:line="240" w:lineRule="auto" w:before="154" w:after="0"/>
        <w:ind w:left="791" w:right="109" w:hanging="511"/>
        <w:jc w:val="both"/>
        <w:rPr>
          <w:sz w:val="20"/>
        </w:rPr>
      </w:pPr>
      <w:r>
        <w:rPr>
          <w:color w:val="231F1F"/>
          <w:sz w:val="20"/>
        </w:rPr>
        <w:t>Hodnett E, Gates S, Hofmeyr GJ, Sakala C. Continuous support for women during childbirth. Cochrane</w:t>
      </w:r>
      <w:r>
        <w:rPr>
          <w:color w:val="231F1F"/>
          <w:spacing w:val="40"/>
          <w:sz w:val="20"/>
        </w:rPr>
        <w:t> </w:t>
      </w:r>
      <w:r>
        <w:rPr>
          <w:color w:val="231F1F"/>
          <w:sz w:val="20"/>
        </w:rPr>
        <w:t>Database</w:t>
      </w:r>
      <w:r>
        <w:rPr>
          <w:color w:val="231F1F"/>
          <w:spacing w:val="40"/>
          <w:sz w:val="20"/>
        </w:rPr>
        <w:t> </w:t>
      </w:r>
      <w:r>
        <w:rPr>
          <w:color w:val="231F1F"/>
          <w:sz w:val="20"/>
        </w:rPr>
        <w:t>Syst</w:t>
      </w:r>
      <w:r>
        <w:rPr>
          <w:color w:val="231F1F"/>
          <w:spacing w:val="40"/>
          <w:sz w:val="20"/>
        </w:rPr>
        <w:t> </w:t>
      </w:r>
      <w:r>
        <w:rPr>
          <w:color w:val="231F1F"/>
          <w:sz w:val="20"/>
        </w:rPr>
        <w:t>Rev</w:t>
      </w:r>
      <w:r>
        <w:rPr>
          <w:color w:val="231F1F"/>
          <w:spacing w:val="40"/>
          <w:sz w:val="20"/>
        </w:rPr>
        <w:t> </w:t>
      </w:r>
      <w:r>
        <w:rPr>
          <w:color w:val="231F1F"/>
          <w:sz w:val="20"/>
        </w:rPr>
        <w:t>2007;(3).</w:t>
      </w:r>
    </w:p>
    <w:p>
      <w:pPr>
        <w:pStyle w:val="ListParagraph"/>
        <w:numPr>
          <w:ilvl w:val="0"/>
          <w:numId w:val="109"/>
        </w:numPr>
        <w:tabs>
          <w:tab w:pos="793" w:val="left" w:leader="none"/>
        </w:tabs>
        <w:spacing w:line="225" w:lineRule="auto" w:before="165" w:after="0"/>
        <w:ind w:left="793" w:right="129" w:hanging="511"/>
        <w:jc w:val="both"/>
        <w:rPr>
          <w:sz w:val="20"/>
        </w:rPr>
      </w:pPr>
      <w:r>
        <w:rPr>
          <w:color w:val="231F1F"/>
          <w:w w:val="105"/>
          <w:sz w:val="20"/>
        </w:rPr>
        <w:t>Simkin PP, O´Hara M. Nonpharmacologic relief of pain during labor: systematic reviews of five methods. Am J Obstet Gynecol 2002;186(5 Suppl):S131-S159.</w:t>
      </w:r>
    </w:p>
    <w:p>
      <w:pPr>
        <w:pStyle w:val="ListParagraph"/>
        <w:numPr>
          <w:ilvl w:val="0"/>
          <w:numId w:val="109"/>
        </w:numPr>
        <w:tabs>
          <w:tab w:pos="793" w:val="left" w:leader="none"/>
        </w:tabs>
        <w:spacing w:line="230" w:lineRule="auto" w:before="164" w:after="0"/>
        <w:ind w:left="793" w:right="122" w:hanging="511"/>
        <w:jc w:val="both"/>
        <w:rPr>
          <w:sz w:val="20"/>
        </w:rPr>
      </w:pPr>
      <w:r>
        <w:rPr>
          <w:color w:val="231F1F"/>
          <w:w w:val="105"/>
          <w:sz w:val="20"/>
        </w:rPr>
        <w:t>Bloom SL, Mclntire DD, Kelly MA, et al. Lack of effect of walking on labor and delivery. N Engl J Med 1998;3392:76-9.</w:t>
      </w:r>
    </w:p>
    <w:p>
      <w:pPr>
        <w:pStyle w:val="ListParagraph"/>
        <w:numPr>
          <w:ilvl w:val="0"/>
          <w:numId w:val="109"/>
        </w:numPr>
        <w:tabs>
          <w:tab w:pos="791" w:val="left" w:leader="none"/>
        </w:tabs>
        <w:spacing w:line="225" w:lineRule="auto" w:before="167" w:after="0"/>
        <w:ind w:left="791" w:right="116" w:hanging="511"/>
        <w:jc w:val="both"/>
        <w:rPr>
          <w:sz w:val="20"/>
        </w:rPr>
      </w:pPr>
      <w:r>
        <w:rPr>
          <w:color w:val="231F1F"/>
          <w:w w:val="110"/>
          <w:sz w:val="20"/>
        </w:rPr>
        <w:t>MacLennan AH, Crowther C, Derham R. Does the option to ambulate during spontaneus labour confer any advantage or disadvantage? J Matern Fetal Investig 1994;31:43-8.</w:t>
      </w:r>
    </w:p>
    <w:p>
      <w:pPr>
        <w:pStyle w:val="ListParagraph"/>
        <w:numPr>
          <w:ilvl w:val="0"/>
          <w:numId w:val="109"/>
        </w:numPr>
        <w:tabs>
          <w:tab w:pos="791" w:val="left" w:leader="none"/>
        </w:tabs>
        <w:spacing w:line="240" w:lineRule="auto" w:before="161" w:after="0"/>
        <w:ind w:left="791" w:right="124" w:hanging="511"/>
        <w:jc w:val="both"/>
        <w:rPr>
          <w:sz w:val="20"/>
        </w:rPr>
      </w:pPr>
      <w:r>
        <w:rPr>
          <w:color w:val="231F1F"/>
          <w:sz w:val="20"/>
        </w:rPr>
        <w:t>Molina FJ, Sola PA, Lopez E, et al. Pain in the first stage of labor: relationship with the patient´s position. J Pain Symptom Manage 1997;132:98-103.</w:t>
      </w:r>
    </w:p>
    <w:p>
      <w:pPr>
        <w:pStyle w:val="ListParagraph"/>
        <w:numPr>
          <w:ilvl w:val="0"/>
          <w:numId w:val="109"/>
        </w:numPr>
        <w:tabs>
          <w:tab w:pos="793" w:val="left" w:leader="none"/>
        </w:tabs>
        <w:spacing w:line="230" w:lineRule="auto" w:before="162" w:after="0"/>
        <w:ind w:left="793" w:right="119" w:hanging="511"/>
        <w:jc w:val="both"/>
        <w:rPr>
          <w:sz w:val="20"/>
        </w:rPr>
      </w:pPr>
      <w:r>
        <w:rPr>
          <w:color w:val="231F1F"/>
          <w:w w:val="105"/>
          <w:sz w:val="20"/>
        </w:rPr>
        <w:t>Andrews</w:t>
      </w:r>
      <w:r>
        <w:rPr>
          <w:color w:val="231F1F"/>
          <w:w w:val="105"/>
          <w:sz w:val="20"/>
        </w:rPr>
        <w:t> CM,</w:t>
      </w:r>
      <w:r>
        <w:rPr>
          <w:color w:val="231F1F"/>
          <w:w w:val="105"/>
          <w:sz w:val="20"/>
        </w:rPr>
        <w:t> Chrzanowski</w:t>
      </w:r>
      <w:r>
        <w:rPr>
          <w:color w:val="231F1F"/>
          <w:w w:val="105"/>
          <w:sz w:val="20"/>
        </w:rPr>
        <w:t> M.</w:t>
      </w:r>
      <w:r>
        <w:rPr>
          <w:color w:val="231F1F"/>
          <w:w w:val="105"/>
          <w:sz w:val="20"/>
        </w:rPr>
        <w:t> Maternal</w:t>
      </w:r>
      <w:r>
        <w:rPr>
          <w:color w:val="231F1F"/>
          <w:w w:val="105"/>
          <w:sz w:val="20"/>
        </w:rPr>
        <w:t> position,</w:t>
      </w:r>
      <w:r>
        <w:rPr>
          <w:color w:val="231F1F"/>
          <w:w w:val="105"/>
          <w:sz w:val="20"/>
        </w:rPr>
        <w:t> labor,</w:t>
      </w:r>
      <w:r>
        <w:rPr>
          <w:color w:val="231F1F"/>
          <w:w w:val="105"/>
          <w:sz w:val="20"/>
        </w:rPr>
        <w:t> and</w:t>
      </w:r>
      <w:r>
        <w:rPr>
          <w:color w:val="231F1F"/>
          <w:w w:val="105"/>
          <w:sz w:val="20"/>
        </w:rPr>
        <w:t> comfort.</w:t>
      </w:r>
      <w:r>
        <w:rPr>
          <w:color w:val="231F1F"/>
          <w:w w:val="105"/>
          <w:sz w:val="20"/>
        </w:rPr>
        <w:t> Appl</w:t>
      </w:r>
      <w:r>
        <w:rPr>
          <w:color w:val="231F1F"/>
          <w:w w:val="105"/>
          <w:sz w:val="20"/>
        </w:rPr>
        <w:t> Nurs</w:t>
      </w:r>
      <w:r>
        <w:rPr>
          <w:color w:val="231F1F"/>
          <w:w w:val="105"/>
          <w:sz w:val="20"/>
        </w:rPr>
        <w:t> Res </w:t>
      </w:r>
      <w:r>
        <w:rPr>
          <w:color w:val="231F1F"/>
          <w:spacing w:val="-2"/>
          <w:w w:val="105"/>
          <w:sz w:val="20"/>
        </w:rPr>
        <w:t>1990;31:7-13.</w:t>
      </w:r>
    </w:p>
    <w:p>
      <w:pPr>
        <w:pStyle w:val="ListParagraph"/>
        <w:numPr>
          <w:ilvl w:val="0"/>
          <w:numId w:val="109"/>
        </w:numPr>
        <w:tabs>
          <w:tab w:pos="791" w:val="left" w:leader="none"/>
        </w:tabs>
        <w:spacing w:line="240" w:lineRule="auto" w:before="151" w:after="0"/>
        <w:ind w:left="791" w:right="0" w:hanging="508"/>
        <w:jc w:val="left"/>
        <w:rPr>
          <w:sz w:val="20"/>
        </w:rPr>
      </w:pPr>
      <w:r>
        <w:rPr>
          <w:color w:val="231F1F"/>
          <w:spacing w:val="-2"/>
          <w:w w:val="105"/>
          <w:sz w:val="20"/>
        </w:rPr>
        <w:t>Flynn</w:t>
      </w:r>
      <w:r>
        <w:rPr>
          <w:color w:val="231F1F"/>
          <w:spacing w:val="-16"/>
          <w:w w:val="105"/>
          <w:sz w:val="20"/>
        </w:rPr>
        <w:t> </w:t>
      </w:r>
      <w:r>
        <w:rPr>
          <w:color w:val="231F1F"/>
          <w:spacing w:val="-2"/>
          <w:w w:val="105"/>
          <w:sz w:val="20"/>
        </w:rPr>
        <w:t>AM,</w:t>
      </w:r>
      <w:r>
        <w:rPr>
          <w:color w:val="231F1F"/>
          <w:spacing w:val="-11"/>
          <w:w w:val="105"/>
          <w:sz w:val="20"/>
        </w:rPr>
        <w:t> </w:t>
      </w:r>
      <w:r>
        <w:rPr>
          <w:color w:val="231F1F"/>
          <w:spacing w:val="-2"/>
          <w:w w:val="105"/>
          <w:sz w:val="20"/>
        </w:rPr>
        <w:t>Kelly</w:t>
      </w:r>
      <w:r>
        <w:rPr>
          <w:color w:val="231F1F"/>
          <w:spacing w:val="-11"/>
          <w:w w:val="105"/>
          <w:sz w:val="20"/>
        </w:rPr>
        <w:t> </w:t>
      </w:r>
      <w:r>
        <w:rPr>
          <w:color w:val="231F1F"/>
          <w:spacing w:val="-2"/>
          <w:w w:val="105"/>
          <w:sz w:val="20"/>
        </w:rPr>
        <w:t>J,</w:t>
      </w:r>
      <w:r>
        <w:rPr>
          <w:color w:val="231F1F"/>
          <w:spacing w:val="-11"/>
          <w:w w:val="105"/>
          <w:sz w:val="20"/>
        </w:rPr>
        <w:t> </w:t>
      </w:r>
      <w:r>
        <w:rPr>
          <w:color w:val="231F1F"/>
          <w:spacing w:val="-2"/>
          <w:w w:val="105"/>
          <w:sz w:val="20"/>
        </w:rPr>
        <w:t>Hollins</w:t>
      </w:r>
      <w:r>
        <w:rPr>
          <w:color w:val="231F1F"/>
          <w:spacing w:val="-11"/>
          <w:w w:val="105"/>
          <w:sz w:val="20"/>
        </w:rPr>
        <w:t> </w:t>
      </w:r>
      <w:r>
        <w:rPr>
          <w:color w:val="231F1F"/>
          <w:spacing w:val="-2"/>
          <w:w w:val="105"/>
          <w:sz w:val="20"/>
        </w:rPr>
        <w:t>G,</w:t>
      </w:r>
      <w:r>
        <w:rPr>
          <w:color w:val="231F1F"/>
          <w:spacing w:val="-12"/>
          <w:w w:val="105"/>
          <w:sz w:val="20"/>
        </w:rPr>
        <w:t> </w:t>
      </w:r>
      <w:r>
        <w:rPr>
          <w:color w:val="231F1F"/>
          <w:spacing w:val="-2"/>
          <w:w w:val="105"/>
          <w:sz w:val="20"/>
        </w:rPr>
        <w:t>et.al.</w:t>
      </w:r>
      <w:r>
        <w:rPr>
          <w:color w:val="231F1F"/>
          <w:spacing w:val="-23"/>
          <w:w w:val="105"/>
          <w:sz w:val="20"/>
        </w:rPr>
        <w:t> </w:t>
      </w:r>
      <w:r>
        <w:rPr>
          <w:color w:val="231F1F"/>
          <w:spacing w:val="-2"/>
          <w:w w:val="105"/>
          <w:sz w:val="20"/>
        </w:rPr>
        <w:t>Ambulation</w:t>
      </w:r>
      <w:r>
        <w:rPr>
          <w:color w:val="231F1F"/>
          <w:spacing w:val="-11"/>
          <w:w w:val="105"/>
          <w:sz w:val="20"/>
        </w:rPr>
        <w:t> </w:t>
      </w:r>
      <w:r>
        <w:rPr>
          <w:color w:val="231F1F"/>
          <w:spacing w:val="-2"/>
          <w:w w:val="105"/>
          <w:sz w:val="20"/>
        </w:rPr>
        <w:t>in</w:t>
      </w:r>
      <w:r>
        <w:rPr>
          <w:color w:val="231F1F"/>
          <w:spacing w:val="-5"/>
          <w:w w:val="105"/>
          <w:sz w:val="20"/>
        </w:rPr>
        <w:t> </w:t>
      </w:r>
      <w:r>
        <w:rPr>
          <w:color w:val="231F1F"/>
          <w:spacing w:val="-2"/>
          <w:w w:val="105"/>
          <w:sz w:val="20"/>
        </w:rPr>
        <w:t>labour.</w:t>
      </w:r>
      <w:r>
        <w:rPr>
          <w:color w:val="231F1F"/>
          <w:spacing w:val="-12"/>
          <w:w w:val="105"/>
          <w:sz w:val="20"/>
        </w:rPr>
        <w:t> </w:t>
      </w:r>
      <w:r>
        <w:rPr>
          <w:color w:val="231F1F"/>
          <w:spacing w:val="-2"/>
          <w:w w:val="105"/>
          <w:sz w:val="20"/>
        </w:rPr>
        <w:t>BMJ 1978;26137:591-</w:t>
      </w:r>
      <w:r>
        <w:rPr>
          <w:color w:val="231F1F"/>
          <w:spacing w:val="-5"/>
          <w:w w:val="105"/>
          <w:sz w:val="20"/>
        </w:rPr>
        <w:t>3.</w:t>
      </w:r>
    </w:p>
    <w:p>
      <w:pPr>
        <w:pStyle w:val="ListParagraph"/>
        <w:numPr>
          <w:ilvl w:val="0"/>
          <w:numId w:val="109"/>
        </w:numPr>
        <w:tabs>
          <w:tab w:pos="792" w:val="left" w:leader="none"/>
        </w:tabs>
        <w:spacing w:line="230" w:lineRule="auto" w:before="162" w:after="0"/>
        <w:ind w:left="792" w:right="123" w:hanging="511"/>
        <w:jc w:val="both"/>
        <w:rPr>
          <w:sz w:val="20"/>
        </w:rPr>
      </w:pPr>
      <w:r>
        <w:rPr>
          <w:color w:val="231F1F"/>
          <w:w w:val="105"/>
          <w:sz w:val="20"/>
        </w:rPr>
        <w:t>Roberts CL, Algert CS, Olive E. Impact of first-stage ambulation on mode of delibery among women with epidural analgesia. Aust N Z J Obstet Gynaecol 2004;446:489-94.</w:t>
      </w:r>
    </w:p>
    <w:p>
      <w:pPr>
        <w:pStyle w:val="ListParagraph"/>
        <w:spacing w:after="0" w:line="230" w:lineRule="auto"/>
        <w:jc w:val="both"/>
        <w:rPr>
          <w:sz w:val="20"/>
        </w:rPr>
        <w:sectPr>
          <w:pgSz w:w="11900" w:h="16840"/>
          <w:pgMar w:header="0" w:footer="622" w:top="1580" w:bottom="820" w:left="1417" w:right="1559"/>
        </w:sectPr>
      </w:pPr>
    </w:p>
    <w:p>
      <w:pPr>
        <w:pStyle w:val="ListParagraph"/>
        <w:numPr>
          <w:ilvl w:val="0"/>
          <w:numId w:val="109"/>
        </w:numPr>
        <w:tabs>
          <w:tab w:pos="792" w:val="left" w:leader="none"/>
        </w:tabs>
        <w:spacing w:line="230" w:lineRule="auto" w:before="84" w:after="0"/>
        <w:ind w:left="792" w:right="174" w:hanging="511"/>
        <w:jc w:val="both"/>
        <w:rPr>
          <w:sz w:val="20"/>
        </w:rPr>
      </w:pPr>
      <w:r>
        <w:rPr>
          <w:color w:val="231F1F"/>
          <w:w w:val="105"/>
          <w:sz w:val="20"/>
        </w:rPr>
        <w:t>Souza</w:t>
      </w:r>
      <w:r>
        <w:rPr>
          <w:color w:val="231F1F"/>
          <w:spacing w:val="-2"/>
          <w:w w:val="105"/>
          <w:sz w:val="20"/>
        </w:rPr>
        <w:t> </w:t>
      </w:r>
      <w:r>
        <w:rPr>
          <w:color w:val="231F1F"/>
          <w:w w:val="105"/>
          <w:sz w:val="20"/>
        </w:rPr>
        <w:t>JP, Miquelutti MA, Cecatti JG, Makuch</w:t>
      </w:r>
      <w:r>
        <w:rPr>
          <w:color w:val="231F1F"/>
          <w:spacing w:val="-2"/>
          <w:w w:val="105"/>
          <w:sz w:val="20"/>
        </w:rPr>
        <w:t> </w:t>
      </w:r>
      <w:r>
        <w:rPr>
          <w:color w:val="231F1F"/>
          <w:w w:val="105"/>
          <w:sz w:val="20"/>
        </w:rPr>
        <w:t>MY. Maternal position</w:t>
      </w:r>
      <w:r>
        <w:rPr>
          <w:color w:val="231F1F"/>
          <w:spacing w:val="-2"/>
          <w:w w:val="105"/>
          <w:sz w:val="20"/>
        </w:rPr>
        <w:t> </w:t>
      </w:r>
      <w:r>
        <w:rPr>
          <w:color w:val="231F1F"/>
          <w:w w:val="105"/>
          <w:sz w:val="20"/>
        </w:rPr>
        <w:t>during</w:t>
      </w:r>
      <w:r>
        <w:rPr>
          <w:color w:val="231F1F"/>
          <w:spacing w:val="-2"/>
          <w:w w:val="105"/>
          <w:sz w:val="20"/>
        </w:rPr>
        <w:t> </w:t>
      </w:r>
      <w:r>
        <w:rPr>
          <w:color w:val="231F1F"/>
          <w:w w:val="105"/>
          <w:sz w:val="20"/>
        </w:rPr>
        <w:t>the</w:t>
      </w:r>
      <w:r>
        <w:rPr>
          <w:color w:val="231F1F"/>
          <w:spacing w:val="-1"/>
          <w:w w:val="105"/>
          <w:sz w:val="20"/>
        </w:rPr>
        <w:t> </w:t>
      </w:r>
      <w:r>
        <w:rPr>
          <w:color w:val="231F1F"/>
          <w:w w:val="105"/>
          <w:sz w:val="20"/>
        </w:rPr>
        <w:t>first stage</w:t>
      </w:r>
      <w:r>
        <w:rPr>
          <w:color w:val="231F1F"/>
          <w:spacing w:val="-2"/>
          <w:w w:val="105"/>
          <w:sz w:val="20"/>
        </w:rPr>
        <w:t> </w:t>
      </w:r>
      <w:r>
        <w:rPr>
          <w:color w:val="231F1F"/>
          <w:w w:val="105"/>
          <w:sz w:val="20"/>
        </w:rPr>
        <w:t>of labor: A systematic review. Reproductive Health 2006;310.</w:t>
      </w:r>
    </w:p>
    <w:p>
      <w:pPr>
        <w:pStyle w:val="ListParagraph"/>
        <w:numPr>
          <w:ilvl w:val="0"/>
          <w:numId w:val="109"/>
        </w:numPr>
        <w:tabs>
          <w:tab w:pos="793" w:val="left" w:leader="none"/>
        </w:tabs>
        <w:spacing w:line="240" w:lineRule="auto" w:before="112" w:after="0"/>
        <w:ind w:left="793" w:right="165" w:hanging="511"/>
        <w:jc w:val="both"/>
        <w:rPr>
          <w:sz w:val="20"/>
        </w:rPr>
      </w:pPr>
      <w:r>
        <w:rPr>
          <w:color w:val="231F1F"/>
          <w:w w:val="105"/>
          <w:sz w:val="20"/>
        </w:rPr>
        <w:t>Cammu</w:t>
      </w:r>
      <w:r>
        <w:rPr>
          <w:color w:val="231F1F"/>
          <w:w w:val="105"/>
          <w:sz w:val="20"/>
        </w:rPr>
        <w:t> H,</w:t>
      </w:r>
      <w:r>
        <w:rPr>
          <w:color w:val="231F1F"/>
          <w:w w:val="105"/>
          <w:sz w:val="20"/>
        </w:rPr>
        <w:t> Van</w:t>
      </w:r>
      <w:r>
        <w:rPr>
          <w:color w:val="231F1F"/>
          <w:w w:val="105"/>
          <w:sz w:val="20"/>
        </w:rPr>
        <w:t> Eeckhout</w:t>
      </w:r>
      <w:r>
        <w:rPr>
          <w:color w:val="231F1F"/>
          <w:w w:val="105"/>
          <w:sz w:val="20"/>
        </w:rPr>
        <w:t> E.</w:t>
      </w:r>
      <w:r>
        <w:rPr>
          <w:color w:val="231F1F"/>
          <w:w w:val="105"/>
          <w:sz w:val="20"/>
        </w:rPr>
        <w:t> A</w:t>
      </w:r>
      <w:r>
        <w:rPr>
          <w:color w:val="231F1F"/>
          <w:w w:val="105"/>
          <w:sz w:val="20"/>
        </w:rPr>
        <w:t> randomised</w:t>
      </w:r>
      <w:r>
        <w:rPr>
          <w:color w:val="231F1F"/>
          <w:w w:val="105"/>
          <w:sz w:val="20"/>
        </w:rPr>
        <w:t> controlled</w:t>
      </w:r>
      <w:r>
        <w:rPr>
          <w:color w:val="231F1F"/>
          <w:w w:val="105"/>
          <w:sz w:val="20"/>
        </w:rPr>
        <w:t> trial</w:t>
      </w:r>
      <w:r>
        <w:rPr>
          <w:color w:val="231F1F"/>
          <w:w w:val="105"/>
          <w:sz w:val="20"/>
        </w:rPr>
        <w:t> of</w:t>
      </w:r>
      <w:r>
        <w:rPr>
          <w:color w:val="231F1F"/>
          <w:w w:val="105"/>
          <w:sz w:val="20"/>
        </w:rPr>
        <w:t> early</w:t>
      </w:r>
      <w:r>
        <w:rPr>
          <w:color w:val="231F1F"/>
          <w:w w:val="105"/>
          <w:sz w:val="20"/>
        </w:rPr>
        <w:t> versus</w:t>
      </w:r>
      <w:r>
        <w:rPr>
          <w:color w:val="231F1F"/>
          <w:w w:val="105"/>
          <w:sz w:val="20"/>
        </w:rPr>
        <w:t> delayed</w:t>
      </w:r>
      <w:r>
        <w:rPr>
          <w:color w:val="231F1F"/>
          <w:w w:val="105"/>
          <w:sz w:val="20"/>
        </w:rPr>
        <w:t> use</w:t>
      </w:r>
      <w:r>
        <w:rPr>
          <w:color w:val="231F1F"/>
          <w:w w:val="105"/>
          <w:sz w:val="20"/>
        </w:rPr>
        <w:t> of amniotomy</w:t>
      </w:r>
      <w:r>
        <w:rPr>
          <w:color w:val="231F1F"/>
          <w:spacing w:val="-14"/>
          <w:w w:val="105"/>
          <w:sz w:val="20"/>
        </w:rPr>
        <w:t> </w:t>
      </w:r>
      <w:r>
        <w:rPr>
          <w:color w:val="231F1F"/>
          <w:w w:val="105"/>
          <w:sz w:val="20"/>
        </w:rPr>
        <w:t>and</w:t>
      </w:r>
      <w:r>
        <w:rPr>
          <w:color w:val="231F1F"/>
          <w:spacing w:val="-13"/>
          <w:w w:val="105"/>
          <w:sz w:val="20"/>
        </w:rPr>
        <w:t> </w:t>
      </w:r>
      <w:r>
        <w:rPr>
          <w:color w:val="231F1F"/>
          <w:w w:val="105"/>
          <w:sz w:val="20"/>
        </w:rPr>
        <w:t>oxytocin</w:t>
      </w:r>
      <w:r>
        <w:rPr>
          <w:color w:val="231F1F"/>
          <w:spacing w:val="-13"/>
          <w:w w:val="105"/>
          <w:sz w:val="20"/>
        </w:rPr>
        <w:t> </w:t>
      </w:r>
      <w:r>
        <w:rPr>
          <w:color w:val="231F1F"/>
          <w:w w:val="105"/>
          <w:sz w:val="20"/>
        </w:rPr>
        <w:t>infusion</w:t>
      </w:r>
      <w:r>
        <w:rPr>
          <w:color w:val="231F1F"/>
          <w:spacing w:val="-13"/>
          <w:w w:val="105"/>
          <w:sz w:val="20"/>
        </w:rPr>
        <w:t> </w:t>
      </w:r>
      <w:r>
        <w:rPr>
          <w:color w:val="231F1F"/>
          <w:w w:val="105"/>
          <w:sz w:val="20"/>
        </w:rPr>
        <w:t>in</w:t>
      </w:r>
      <w:r>
        <w:rPr>
          <w:color w:val="231F1F"/>
          <w:spacing w:val="-13"/>
          <w:w w:val="105"/>
          <w:sz w:val="20"/>
        </w:rPr>
        <w:t> </w:t>
      </w:r>
      <w:r>
        <w:rPr>
          <w:color w:val="231F1F"/>
          <w:w w:val="105"/>
          <w:sz w:val="20"/>
        </w:rPr>
        <w:t>nulliparous</w:t>
      </w:r>
      <w:r>
        <w:rPr>
          <w:color w:val="231F1F"/>
          <w:spacing w:val="-13"/>
          <w:w w:val="105"/>
          <w:sz w:val="20"/>
        </w:rPr>
        <w:t> </w:t>
      </w:r>
      <w:r>
        <w:rPr>
          <w:color w:val="231F1F"/>
          <w:w w:val="105"/>
          <w:sz w:val="20"/>
        </w:rPr>
        <w:t>labour.</w:t>
      </w:r>
      <w:r>
        <w:rPr>
          <w:color w:val="231F1F"/>
          <w:spacing w:val="-16"/>
          <w:w w:val="105"/>
          <w:sz w:val="20"/>
        </w:rPr>
        <w:t> </w:t>
      </w:r>
      <w:r>
        <w:rPr>
          <w:color w:val="231F1F"/>
          <w:w w:val="105"/>
          <w:sz w:val="20"/>
        </w:rPr>
        <w:t>Br</w:t>
      </w:r>
      <w:r>
        <w:rPr>
          <w:color w:val="231F1F"/>
          <w:spacing w:val="-13"/>
          <w:w w:val="105"/>
          <w:sz w:val="20"/>
        </w:rPr>
        <w:t> </w:t>
      </w:r>
      <w:r>
        <w:rPr>
          <w:color w:val="231F1F"/>
          <w:w w:val="105"/>
          <w:sz w:val="20"/>
        </w:rPr>
        <w:t>J</w:t>
      </w:r>
      <w:r>
        <w:rPr>
          <w:color w:val="231F1F"/>
          <w:spacing w:val="-13"/>
          <w:w w:val="105"/>
          <w:sz w:val="20"/>
        </w:rPr>
        <w:t> </w:t>
      </w:r>
      <w:r>
        <w:rPr>
          <w:color w:val="231F1F"/>
          <w:w w:val="105"/>
          <w:sz w:val="20"/>
        </w:rPr>
        <w:t>Obstet</w:t>
      </w:r>
      <w:r>
        <w:rPr>
          <w:color w:val="231F1F"/>
          <w:spacing w:val="-13"/>
          <w:w w:val="105"/>
          <w:sz w:val="20"/>
        </w:rPr>
        <w:t> </w:t>
      </w:r>
      <w:r>
        <w:rPr>
          <w:color w:val="231F1F"/>
          <w:w w:val="105"/>
          <w:sz w:val="20"/>
        </w:rPr>
        <w:t>Gynaecol</w:t>
      </w:r>
      <w:r>
        <w:rPr>
          <w:color w:val="231F1F"/>
          <w:spacing w:val="-13"/>
          <w:w w:val="105"/>
          <w:sz w:val="20"/>
        </w:rPr>
        <w:t> </w:t>
      </w:r>
      <w:r>
        <w:rPr>
          <w:color w:val="231F1F"/>
          <w:w w:val="105"/>
          <w:sz w:val="20"/>
        </w:rPr>
        <w:t>1996;1034:313-8.</w:t>
      </w:r>
    </w:p>
    <w:p>
      <w:pPr>
        <w:pStyle w:val="ListParagraph"/>
        <w:numPr>
          <w:ilvl w:val="0"/>
          <w:numId w:val="109"/>
        </w:numPr>
        <w:tabs>
          <w:tab w:pos="791" w:val="left" w:leader="none"/>
        </w:tabs>
        <w:spacing w:line="230" w:lineRule="auto" w:before="124" w:after="0"/>
        <w:ind w:left="791" w:right="234" w:hanging="511"/>
        <w:jc w:val="both"/>
        <w:rPr>
          <w:sz w:val="20"/>
        </w:rPr>
      </w:pPr>
      <w:r>
        <w:rPr>
          <w:color w:val="231F1F"/>
          <w:w w:val="110"/>
          <w:sz w:val="20"/>
        </w:rPr>
        <w:t>Lopez-Zeno</w:t>
      </w:r>
      <w:r>
        <w:rPr>
          <w:color w:val="231F1F"/>
          <w:spacing w:val="-3"/>
          <w:w w:val="110"/>
          <w:sz w:val="20"/>
        </w:rPr>
        <w:t> </w:t>
      </w:r>
      <w:r>
        <w:rPr>
          <w:color w:val="231F1F"/>
          <w:w w:val="110"/>
          <w:sz w:val="20"/>
        </w:rPr>
        <w:t>JA,</w:t>
      </w:r>
      <w:r>
        <w:rPr>
          <w:color w:val="231F1F"/>
          <w:spacing w:val="-3"/>
          <w:w w:val="110"/>
          <w:sz w:val="20"/>
        </w:rPr>
        <w:t> </w:t>
      </w:r>
      <w:r>
        <w:rPr>
          <w:color w:val="231F1F"/>
          <w:w w:val="110"/>
          <w:sz w:val="20"/>
        </w:rPr>
        <w:t>Peaceman</w:t>
      </w:r>
      <w:r>
        <w:rPr>
          <w:color w:val="231F1F"/>
          <w:spacing w:val="-3"/>
          <w:w w:val="110"/>
          <w:sz w:val="20"/>
        </w:rPr>
        <w:t> </w:t>
      </w:r>
      <w:r>
        <w:rPr>
          <w:color w:val="231F1F"/>
          <w:w w:val="110"/>
          <w:sz w:val="20"/>
        </w:rPr>
        <w:t>AM,</w:t>
      </w:r>
      <w:r>
        <w:rPr>
          <w:color w:val="231F1F"/>
          <w:spacing w:val="-3"/>
          <w:w w:val="110"/>
          <w:sz w:val="20"/>
        </w:rPr>
        <w:t> </w:t>
      </w:r>
      <w:r>
        <w:rPr>
          <w:color w:val="231F1F"/>
          <w:w w:val="110"/>
          <w:sz w:val="20"/>
        </w:rPr>
        <w:t>Adashek</w:t>
      </w:r>
      <w:r>
        <w:rPr>
          <w:color w:val="231F1F"/>
          <w:spacing w:val="-3"/>
          <w:w w:val="110"/>
          <w:sz w:val="20"/>
        </w:rPr>
        <w:t> </w:t>
      </w:r>
      <w:r>
        <w:rPr>
          <w:color w:val="231F1F"/>
          <w:w w:val="110"/>
          <w:sz w:val="20"/>
        </w:rPr>
        <w:t>JA,</w:t>
      </w:r>
      <w:r>
        <w:rPr>
          <w:color w:val="231F1F"/>
          <w:spacing w:val="-3"/>
          <w:w w:val="110"/>
          <w:sz w:val="20"/>
        </w:rPr>
        <w:t> </w:t>
      </w:r>
      <w:r>
        <w:rPr>
          <w:color w:val="231F1F"/>
          <w:w w:val="110"/>
          <w:sz w:val="20"/>
        </w:rPr>
        <w:t>et.al.</w:t>
      </w:r>
      <w:r>
        <w:rPr>
          <w:color w:val="231F1F"/>
          <w:spacing w:val="-3"/>
          <w:w w:val="110"/>
          <w:sz w:val="20"/>
        </w:rPr>
        <w:t> </w:t>
      </w:r>
      <w:r>
        <w:rPr>
          <w:color w:val="231F1F"/>
          <w:w w:val="110"/>
          <w:sz w:val="20"/>
        </w:rPr>
        <w:t>A</w:t>
      </w:r>
      <w:r>
        <w:rPr>
          <w:color w:val="231F1F"/>
          <w:spacing w:val="-3"/>
          <w:w w:val="110"/>
          <w:sz w:val="20"/>
        </w:rPr>
        <w:t> </w:t>
      </w:r>
      <w:r>
        <w:rPr>
          <w:color w:val="231F1F"/>
          <w:w w:val="110"/>
          <w:sz w:val="20"/>
        </w:rPr>
        <w:t>controlled</w:t>
      </w:r>
      <w:r>
        <w:rPr>
          <w:color w:val="231F1F"/>
          <w:spacing w:val="-3"/>
          <w:w w:val="110"/>
          <w:sz w:val="20"/>
        </w:rPr>
        <w:t> </w:t>
      </w:r>
      <w:r>
        <w:rPr>
          <w:color w:val="231F1F"/>
          <w:w w:val="110"/>
          <w:sz w:val="20"/>
        </w:rPr>
        <w:t>trial</w:t>
      </w:r>
      <w:r>
        <w:rPr>
          <w:color w:val="231F1F"/>
          <w:spacing w:val="-3"/>
          <w:w w:val="110"/>
          <w:sz w:val="20"/>
        </w:rPr>
        <w:t> </w:t>
      </w:r>
      <w:r>
        <w:rPr>
          <w:color w:val="231F1F"/>
          <w:w w:val="110"/>
          <w:sz w:val="20"/>
        </w:rPr>
        <w:t>of</w:t>
      </w:r>
      <w:r>
        <w:rPr>
          <w:color w:val="231F1F"/>
          <w:spacing w:val="-3"/>
          <w:w w:val="110"/>
          <w:sz w:val="20"/>
        </w:rPr>
        <w:t> </w:t>
      </w:r>
      <w:r>
        <w:rPr>
          <w:color w:val="231F1F"/>
          <w:w w:val="110"/>
          <w:sz w:val="20"/>
        </w:rPr>
        <w:t>a</w:t>
      </w:r>
      <w:r>
        <w:rPr>
          <w:color w:val="231F1F"/>
          <w:spacing w:val="-3"/>
          <w:w w:val="110"/>
          <w:sz w:val="20"/>
        </w:rPr>
        <w:t> </w:t>
      </w:r>
      <w:r>
        <w:rPr>
          <w:color w:val="231F1F"/>
          <w:w w:val="110"/>
          <w:sz w:val="20"/>
        </w:rPr>
        <w:t>program</w:t>
      </w:r>
      <w:r>
        <w:rPr>
          <w:color w:val="231F1F"/>
          <w:spacing w:val="-3"/>
          <w:w w:val="110"/>
          <w:sz w:val="20"/>
        </w:rPr>
        <w:t> </w:t>
      </w:r>
      <w:r>
        <w:rPr>
          <w:color w:val="231F1F"/>
          <w:w w:val="110"/>
          <w:sz w:val="20"/>
        </w:rPr>
        <w:t>for</w:t>
      </w:r>
      <w:r>
        <w:rPr>
          <w:color w:val="231F1F"/>
          <w:spacing w:val="-3"/>
          <w:w w:val="110"/>
          <w:sz w:val="20"/>
        </w:rPr>
        <w:t> </w:t>
      </w:r>
      <w:r>
        <w:rPr>
          <w:color w:val="231F1F"/>
          <w:w w:val="110"/>
          <w:sz w:val="20"/>
        </w:rPr>
        <w:t>the active management of labor. N Engl J Med 1992;3267:450-4.</w:t>
      </w:r>
    </w:p>
    <w:p>
      <w:pPr>
        <w:pStyle w:val="ListParagraph"/>
        <w:numPr>
          <w:ilvl w:val="0"/>
          <w:numId w:val="109"/>
        </w:numPr>
        <w:tabs>
          <w:tab w:pos="791" w:val="left" w:leader="none"/>
        </w:tabs>
        <w:spacing w:line="230" w:lineRule="auto" w:before="125" w:after="0"/>
        <w:ind w:left="791" w:right="121" w:hanging="511"/>
        <w:jc w:val="both"/>
        <w:rPr>
          <w:sz w:val="20"/>
        </w:rPr>
      </w:pPr>
      <w:r>
        <w:rPr>
          <w:color w:val="231F1F"/>
          <w:w w:val="110"/>
          <w:sz w:val="20"/>
        </w:rPr>
        <w:t>Cohen GR,</w:t>
      </w:r>
      <w:r>
        <w:rPr>
          <w:color w:val="231F1F"/>
          <w:spacing w:val="-2"/>
          <w:w w:val="110"/>
          <w:sz w:val="20"/>
        </w:rPr>
        <w:t> </w:t>
      </w:r>
      <w:r>
        <w:rPr>
          <w:color w:val="231F1F"/>
          <w:w w:val="110"/>
          <w:sz w:val="20"/>
        </w:rPr>
        <w:t>O´Brien</w:t>
      </w:r>
      <w:r>
        <w:rPr>
          <w:color w:val="231F1F"/>
          <w:spacing w:val="-1"/>
          <w:w w:val="110"/>
          <w:sz w:val="20"/>
        </w:rPr>
        <w:t> </w:t>
      </w:r>
      <w:r>
        <w:rPr>
          <w:color w:val="231F1F"/>
          <w:w w:val="110"/>
          <w:sz w:val="20"/>
        </w:rPr>
        <w:t>WF,</w:t>
      </w:r>
      <w:r>
        <w:rPr>
          <w:color w:val="231F1F"/>
          <w:spacing w:val="-1"/>
          <w:w w:val="110"/>
          <w:sz w:val="20"/>
        </w:rPr>
        <w:t> </w:t>
      </w:r>
      <w:r>
        <w:rPr>
          <w:color w:val="231F1F"/>
          <w:w w:val="110"/>
          <w:sz w:val="20"/>
        </w:rPr>
        <w:t>Lewis L,</w:t>
      </w:r>
      <w:r>
        <w:rPr>
          <w:color w:val="231F1F"/>
          <w:spacing w:val="-2"/>
          <w:w w:val="110"/>
          <w:sz w:val="20"/>
        </w:rPr>
        <w:t> </w:t>
      </w:r>
      <w:r>
        <w:rPr>
          <w:color w:val="231F1F"/>
          <w:w w:val="110"/>
          <w:sz w:val="20"/>
        </w:rPr>
        <w:t>et al.</w:t>
      </w:r>
      <w:r>
        <w:rPr>
          <w:color w:val="231F1F"/>
          <w:spacing w:val="-4"/>
          <w:w w:val="110"/>
          <w:sz w:val="20"/>
        </w:rPr>
        <w:t> </w:t>
      </w:r>
      <w:r>
        <w:rPr>
          <w:color w:val="231F1F"/>
          <w:w w:val="110"/>
          <w:sz w:val="20"/>
        </w:rPr>
        <w:t>A prospective randomized study of the aggressive management of early labor.</w:t>
      </w:r>
      <w:r>
        <w:rPr>
          <w:color w:val="231F1F"/>
          <w:spacing w:val="-7"/>
          <w:w w:val="110"/>
          <w:sz w:val="20"/>
        </w:rPr>
        <w:t> </w:t>
      </w:r>
      <w:r>
        <w:rPr>
          <w:color w:val="231F1F"/>
          <w:w w:val="110"/>
          <w:sz w:val="20"/>
        </w:rPr>
        <w:t>Am J Obstet Gynecol 1987;1575:1174-7.</w:t>
      </w:r>
    </w:p>
    <w:p>
      <w:pPr>
        <w:pStyle w:val="ListParagraph"/>
        <w:numPr>
          <w:ilvl w:val="0"/>
          <w:numId w:val="109"/>
        </w:numPr>
        <w:tabs>
          <w:tab w:pos="793" w:val="left" w:leader="none"/>
        </w:tabs>
        <w:spacing w:line="232" w:lineRule="auto" w:before="118" w:after="0"/>
        <w:ind w:left="793" w:right="121" w:hanging="511"/>
        <w:jc w:val="both"/>
        <w:rPr>
          <w:sz w:val="20"/>
        </w:rPr>
      </w:pPr>
      <w:r>
        <w:rPr>
          <w:color w:val="231F1F"/>
          <w:w w:val="105"/>
          <w:sz w:val="20"/>
        </w:rPr>
        <w:t>Smyth RM, Aldred SK, Markham C. Amniotomía para acortar el trabajo de parto espontáneo revisión</w:t>
      </w:r>
      <w:r>
        <w:rPr>
          <w:color w:val="231F1F"/>
          <w:w w:val="105"/>
          <w:sz w:val="20"/>
        </w:rPr>
        <w:t> Cochrane</w:t>
      </w:r>
      <w:r>
        <w:rPr>
          <w:color w:val="231F1F"/>
          <w:w w:val="105"/>
          <w:sz w:val="20"/>
        </w:rPr>
        <w:t> traducida. En:</w:t>
      </w:r>
      <w:r>
        <w:rPr>
          <w:color w:val="231F1F"/>
          <w:w w:val="105"/>
          <w:sz w:val="20"/>
        </w:rPr>
        <w:t> la</w:t>
      </w:r>
      <w:r>
        <w:rPr>
          <w:color w:val="231F1F"/>
          <w:w w:val="105"/>
          <w:sz w:val="20"/>
        </w:rPr>
        <w:t> Biblioteca</w:t>
      </w:r>
      <w:r>
        <w:rPr>
          <w:color w:val="231F1F"/>
          <w:w w:val="105"/>
          <w:sz w:val="20"/>
        </w:rPr>
        <w:t> Cochrane</w:t>
      </w:r>
      <w:r>
        <w:rPr>
          <w:color w:val="231F1F"/>
          <w:w w:val="105"/>
          <w:sz w:val="20"/>
        </w:rPr>
        <w:t> Plus. Número</w:t>
      </w:r>
      <w:r>
        <w:rPr>
          <w:color w:val="231F1F"/>
          <w:w w:val="105"/>
          <w:sz w:val="20"/>
        </w:rPr>
        <w:t> 1</w:t>
      </w:r>
      <w:r>
        <w:rPr>
          <w:color w:val="231F1F"/>
          <w:w w:val="105"/>
          <w:sz w:val="20"/>
        </w:rPr>
        <w:t> Oxford:</w:t>
      </w:r>
      <w:r>
        <w:rPr>
          <w:color w:val="231F1F"/>
          <w:w w:val="105"/>
          <w:sz w:val="20"/>
        </w:rPr>
        <w:t> Update Software</w:t>
      </w:r>
      <w:r>
        <w:rPr>
          <w:color w:val="231F1F"/>
          <w:w w:val="105"/>
          <w:sz w:val="20"/>
        </w:rPr>
        <w:t> Ltd</w:t>
      </w:r>
      <w:r>
        <w:rPr>
          <w:color w:val="231F1F"/>
          <w:w w:val="105"/>
          <w:sz w:val="20"/>
        </w:rPr>
        <w:t> Disponible</w:t>
      </w:r>
      <w:r>
        <w:rPr>
          <w:color w:val="231F1F"/>
          <w:w w:val="105"/>
          <w:sz w:val="20"/>
        </w:rPr>
        <w:t> en:</w:t>
      </w:r>
      <w:r>
        <w:rPr>
          <w:color w:val="231F1F"/>
          <w:w w:val="105"/>
          <w:sz w:val="20"/>
        </w:rPr>
        <w:t> </w:t>
      </w:r>
      <w:hyperlink r:id="rId105">
        <w:r>
          <w:rPr>
            <w:color w:val="A30046"/>
            <w:w w:val="105"/>
            <w:sz w:val="20"/>
          </w:rPr>
          <w:t>http://www.update-software.com</w:t>
        </w:r>
      </w:hyperlink>
      <w:r>
        <w:rPr>
          <w:color w:val="A30046"/>
          <w:w w:val="105"/>
          <w:sz w:val="20"/>
        </w:rPr>
        <w:t> </w:t>
      </w:r>
      <w:r>
        <w:rPr>
          <w:color w:val="231F1F"/>
          <w:w w:val="105"/>
          <w:sz w:val="20"/>
        </w:rPr>
        <w:t>Traducida</w:t>
      </w:r>
      <w:r>
        <w:rPr>
          <w:color w:val="231F1F"/>
          <w:w w:val="105"/>
          <w:sz w:val="20"/>
        </w:rPr>
        <w:t> de</w:t>
      </w:r>
      <w:r>
        <w:rPr>
          <w:color w:val="231F1F"/>
          <w:w w:val="105"/>
          <w:sz w:val="20"/>
        </w:rPr>
        <w:t> The</w:t>
      </w:r>
      <w:r>
        <w:rPr>
          <w:color w:val="231F1F"/>
          <w:w w:val="105"/>
          <w:sz w:val="20"/>
        </w:rPr>
        <w:t> Cochrane Library 2008;Issue 1.Chichester, UK: John Wiley&amp;Sons, Ltd.</w:t>
      </w:r>
    </w:p>
    <w:p>
      <w:pPr>
        <w:pStyle w:val="ListParagraph"/>
        <w:numPr>
          <w:ilvl w:val="0"/>
          <w:numId w:val="109"/>
        </w:numPr>
        <w:tabs>
          <w:tab w:pos="791" w:val="left" w:leader="none"/>
        </w:tabs>
        <w:spacing w:line="232" w:lineRule="auto" w:before="120" w:after="0"/>
        <w:ind w:left="791" w:right="111" w:hanging="511"/>
        <w:jc w:val="both"/>
        <w:rPr>
          <w:sz w:val="20"/>
        </w:rPr>
      </w:pPr>
      <w:r>
        <w:rPr>
          <w:color w:val="231F1F"/>
          <w:w w:val="110"/>
          <w:sz w:val="20"/>
        </w:rPr>
        <w:t>Lumbiganon P, Thinkhamrop J, Thinkhamrop B, Tolosa JE. Vaginal chlorhexidine during labour</w:t>
      </w:r>
      <w:r>
        <w:rPr>
          <w:color w:val="231F1F"/>
          <w:spacing w:val="-14"/>
          <w:w w:val="110"/>
          <w:sz w:val="20"/>
        </w:rPr>
        <w:t> </w:t>
      </w:r>
      <w:r>
        <w:rPr>
          <w:color w:val="231F1F"/>
          <w:w w:val="110"/>
          <w:sz w:val="20"/>
        </w:rPr>
        <w:t>for</w:t>
      </w:r>
      <w:r>
        <w:rPr>
          <w:color w:val="231F1F"/>
          <w:spacing w:val="-14"/>
          <w:w w:val="110"/>
          <w:sz w:val="20"/>
        </w:rPr>
        <w:t> </w:t>
      </w:r>
      <w:r>
        <w:rPr>
          <w:color w:val="231F1F"/>
          <w:w w:val="110"/>
          <w:sz w:val="20"/>
        </w:rPr>
        <w:t>preventing</w:t>
      </w:r>
      <w:r>
        <w:rPr>
          <w:color w:val="231F1F"/>
          <w:spacing w:val="-14"/>
          <w:w w:val="110"/>
          <w:sz w:val="20"/>
        </w:rPr>
        <w:t> </w:t>
      </w:r>
      <w:r>
        <w:rPr>
          <w:color w:val="231F1F"/>
          <w:w w:val="110"/>
          <w:sz w:val="20"/>
        </w:rPr>
        <w:t>maternal</w:t>
      </w:r>
      <w:r>
        <w:rPr>
          <w:color w:val="231F1F"/>
          <w:spacing w:val="-13"/>
          <w:w w:val="110"/>
          <w:sz w:val="20"/>
        </w:rPr>
        <w:t> </w:t>
      </w:r>
      <w:r>
        <w:rPr>
          <w:color w:val="231F1F"/>
          <w:w w:val="110"/>
          <w:sz w:val="20"/>
        </w:rPr>
        <w:t>and</w:t>
      </w:r>
      <w:r>
        <w:rPr>
          <w:color w:val="231F1F"/>
          <w:spacing w:val="-14"/>
          <w:w w:val="110"/>
          <w:sz w:val="20"/>
        </w:rPr>
        <w:t> </w:t>
      </w:r>
      <w:r>
        <w:rPr>
          <w:color w:val="231F1F"/>
          <w:w w:val="110"/>
          <w:sz w:val="20"/>
        </w:rPr>
        <w:t>neonatal</w:t>
      </w:r>
      <w:r>
        <w:rPr>
          <w:color w:val="231F1F"/>
          <w:spacing w:val="-14"/>
          <w:w w:val="110"/>
          <w:sz w:val="20"/>
        </w:rPr>
        <w:t> </w:t>
      </w:r>
      <w:r>
        <w:rPr>
          <w:color w:val="231F1F"/>
          <w:w w:val="110"/>
          <w:sz w:val="20"/>
        </w:rPr>
        <w:t>infections</w:t>
      </w:r>
      <w:r>
        <w:rPr>
          <w:color w:val="231F1F"/>
          <w:spacing w:val="-14"/>
          <w:w w:val="110"/>
          <w:sz w:val="20"/>
        </w:rPr>
        <w:t> </w:t>
      </w:r>
      <w:r>
        <w:rPr>
          <w:color w:val="231F1F"/>
          <w:w w:val="110"/>
          <w:sz w:val="20"/>
        </w:rPr>
        <w:t>excluding</w:t>
      </w:r>
      <w:r>
        <w:rPr>
          <w:color w:val="231F1F"/>
          <w:spacing w:val="-13"/>
          <w:w w:val="110"/>
          <w:sz w:val="20"/>
        </w:rPr>
        <w:t> </w:t>
      </w:r>
      <w:r>
        <w:rPr>
          <w:color w:val="231F1F"/>
          <w:w w:val="110"/>
          <w:sz w:val="20"/>
        </w:rPr>
        <w:t>Group</w:t>
      </w:r>
      <w:r>
        <w:rPr>
          <w:color w:val="231F1F"/>
          <w:spacing w:val="-14"/>
          <w:w w:val="110"/>
          <w:sz w:val="20"/>
        </w:rPr>
        <w:t> </w:t>
      </w:r>
      <w:r>
        <w:rPr>
          <w:color w:val="231F1F"/>
          <w:w w:val="110"/>
          <w:sz w:val="20"/>
        </w:rPr>
        <w:t>B</w:t>
      </w:r>
      <w:r>
        <w:rPr>
          <w:color w:val="231F1F"/>
          <w:spacing w:val="-14"/>
          <w:w w:val="110"/>
          <w:sz w:val="20"/>
        </w:rPr>
        <w:t> </w:t>
      </w:r>
      <w:r>
        <w:rPr>
          <w:color w:val="231F1F"/>
          <w:w w:val="110"/>
          <w:sz w:val="20"/>
        </w:rPr>
        <w:t>Streptococcal</w:t>
      </w:r>
      <w:r>
        <w:rPr>
          <w:color w:val="231F1F"/>
          <w:spacing w:val="-14"/>
          <w:w w:val="110"/>
          <w:sz w:val="20"/>
        </w:rPr>
        <w:t> </w:t>
      </w:r>
      <w:r>
        <w:rPr>
          <w:color w:val="231F1F"/>
          <w:w w:val="110"/>
          <w:sz w:val="20"/>
        </w:rPr>
        <w:t>and HIV.</w:t>
      </w:r>
      <w:r>
        <w:rPr>
          <w:color w:val="231F1F"/>
          <w:spacing w:val="-14"/>
          <w:w w:val="110"/>
          <w:sz w:val="20"/>
        </w:rPr>
        <w:t> </w:t>
      </w:r>
      <w:r>
        <w:rPr>
          <w:color w:val="231F1F"/>
          <w:w w:val="110"/>
          <w:sz w:val="20"/>
        </w:rPr>
        <w:t>Cochrane</w:t>
      </w:r>
      <w:r>
        <w:rPr>
          <w:color w:val="231F1F"/>
          <w:spacing w:val="-14"/>
          <w:w w:val="110"/>
          <w:sz w:val="20"/>
        </w:rPr>
        <w:t> </w:t>
      </w:r>
      <w:r>
        <w:rPr>
          <w:color w:val="231F1F"/>
          <w:w w:val="110"/>
          <w:sz w:val="20"/>
        </w:rPr>
        <w:t>Review</w:t>
      </w:r>
      <w:r>
        <w:rPr>
          <w:color w:val="231F1F"/>
          <w:spacing w:val="-14"/>
          <w:w w:val="110"/>
          <w:sz w:val="20"/>
        </w:rPr>
        <w:t> </w:t>
      </w:r>
      <w:r>
        <w:rPr>
          <w:color w:val="231F1F"/>
          <w:w w:val="110"/>
          <w:sz w:val="20"/>
        </w:rPr>
        <w:t>In:</w:t>
      </w:r>
      <w:r>
        <w:rPr>
          <w:color w:val="231F1F"/>
          <w:spacing w:val="-13"/>
          <w:w w:val="110"/>
          <w:sz w:val="20"/>
        </w:rPr>
        <w:t> </w:t>
      </w:r>
      <w:r>
        <w:rPr>
          <w:color w:val="231F1F"/>
          <w:w w:val="110"/>
          <w:sz w:val="20"/>
        </w:rPr>
        <w:t>Cochran</w:t>
      </w:r>
      <w:r>
        <w:rPr>
          <w:color w:val="231F1F"/>
          <w:spacing w:val="-14"/>
          <w:w w:val="110"/>
          <w:sz w:val="20"/>
        </w:rPr>
        <w:t> </w:t>
      </w:r>
      <w:r>
        <w:rPr>
          <w:color w:val="231F1F"/>
          <w:w w:val="110"/>
          <w:sz w:val="20"/>
        </w:rPr>
        <w:t>Database</w:t>
      </w:r>
      <w:r>
        <w:rPr>
          <w:color w:val="231F1F"/>
          <w:spacing w:val="-14"/>
          <w:w w:val="110"/>
          <w:sz w:val="20"/>
        </w:rPr>
        <w:t> </w:t>
      </w:r>
      <w:r>
        <w:rPr>
          <w:color w:val="231F1F"/>
          <w:w w:val="110"/>
          <w:sz w:val="20"/>
        </w:rPr>
        <w:t>of</w:t>
      </w:r>
      <w:r>
        <w:rPr>
          <w:color w:val="231F1F"/>
          <w:spacing w:val="-14"/>
          <w:w w:val="110"/>
          <w:sz w:val="20"/>
        </w:rPr>
        <w:t> </w:t>
      </w:r>
      <w:r>
        <w:rPr>
          <w:color w:val="231F1F"/>
          <w:w w:val="110"/>
          <w:sz w:val="20"/>
        </w:rPr>
        <w:t>Systematic</w:t>
      </w:r>
      <w:r>
        <w:rPr>
          <w:color w:val="231F1F"/>
          <w:spacing w:val="-13"/>
          <w:w w:val="110"/>
          <w:sz w:val="20"/>
        </w:rPr>
        <w:t> </w:t>
      </w:r>
      <w:r>
        <w:rPr>
          <w:color w:val="231F1F"/>
          <w:w w:val="110"/>
          <w:sz w:val="20"/>
        </w:rPr>
        <w:t>Reviews,</w:t>
      </w:r>
      <w:r>
        <w:rPr>
          <w:color w:val="231F1F"/>
          <w:spacing w:val="-14"/>
          <w:w w:val="110"/>
          <w:sz w:val="20"/>
        </w:rPr>
        <w:t> </w:t>
      </w:r>
      <w:r>
        <w:rPr>
          <w:color w:val="231F1F"/>
          <w:w w:val="110"/>
          <w:sz w:val="20"/>
        </w:rPr>
        <w:t>Issue</w:t>
      </w:r>
      <w:r>
        <w:rPr>
          <w:color w:val="231F1F"/>
          <w:spacing w:val="-14"/>
          <w:w w:val="110"/>
          <w:sz w:val="20"/>
        </w:rPr>
        <w:t> </w:t>
      </w:r>
      <w:r>
        <w:rPr>
          <w:color w:val="231F1F"/>
          <w:w w:val="110"/>
          <w:sz w:val="20"/>
        </w:rPr>
        <w:t>1,</w:t>
      </w:r>
      <w:r>
        <w:rPr>
          <w:color w:val="231F1F"/>
          <w:spacing w:val="-14"/>
          <w:w w:val="110"/>
          <w:sz w:val="20"/>
        </w:rPr>
        <w:t> </w:t>
      </w:r>
      <w:r>
        <w:rPr>
          <w:color w:val="231F1F"/>
          <w:w w:val="110"/>
          <w:sz w:val="20"/>
        </w:rPr>
        <w:t>2005;Oxford: Update Software.</w:t>
      </w:r>
    </w:p>
    <w:p>
      <w:pPr>
        <w:pStyle w:val="ListParagraph"/>
        <w:numPr>
          <w:ilvl w:val="0"/>
          <w:numId w:val="109"/>
        </w:numPr>
        <w:tabs>
          <w:tab w:pos="791" w:val="left" w:leader="none"/>
        </w:tabs>
        <w:spacing w:line="240" w:lineRule="auto" w:before="115" w:after="0"/>
        <w:ind w:left="791" w:right="115" w:hanging="511"/>
        <w:jc w:val="both"/>
        <w:rPr>
          <w:sz w:val="20"/>
        </w:rPr>
      </w:pPr>
      <w:r>
        <w:rPr>
          <w:color w:val="231F1F"/>
          <w:sz w:val="20"/>
        </w:rPr>
        <w:t>Keane</w:t>
      </w:r>
      <w:r>
        <w:rPr>
          <w:color w:val="231F1F"/>
          <w:spacing w:val="38"/>
          <w:sz w:val="20"/>
        </w:rPr>
        <w:t> </w:t>
      </w:r>
      <w:r>
        <w:rPr>
          <w:color w:val="231F1F"/>
          <w:sz w:val="20"/>
        </w:rPr>
        <w:t>HE,</w:t>
      </w:r>
      <w:r>
        <w:rPr>
          <w:color w:val="231F1F"/>
          <w:spacing w:val="28"/>
          <w:sz w:val="20"/>
        </w:rPr>
        <w:t> </w:t>
      </w:r>
      <w:r>
        <w:rPr>
          <w:color w:val="231F1F"/>
          <w:sz w:val="20"/>
        </w:rPr>
        <w:t>Thornton</w:t>
      </w:r>
      <w:r>
        <w:rPr>
          <w:color w:val="231F1F"/>
          <w:spacing w:val="38"/>
          <w:sz w:val="20"/>
        </w:rPr>
        <w:t> </w:t>
      </w:r>
      <w:r>
        <w:rPr>
          <w:color w:val="231F1F"/>
          <w:sz w:val="20"/>
        </w:rPr>
        <w:t>JG.</w:t>
      </w:r>
      <w:r>
        <w:rPr>
          <w:color w:val="231F1F"/>
          <w:spacing w:val="28"/>
          <w:sz w:val="20"/>
        </w:rPr>
        <w:t> </w:t>
      </w:r>
      <w:r>
        <w:rPr>
          <w:color w:val="231F1F"/>
          <w:sz w:val="20"/>
        </w:rPr>
        <w:t>A</w:t>
      </w:r>
      <w:r>
        <w:rPr>
          <w:color w:val="231F1F"/>
          <w:spacing w:val="37"/>
          <w:sz w:val="20"/>
        </w:rPr>
        <w:t> </w:t>
      </w:r>
      <w:r>
        <w:rPr>
          <w:color w:val="231F1F"/>
          <w:sz w:val="20"/>
        </w:rPr>
        <w:t>trial</w:t>
      </w:r>
      <w:r>
        <w:rPr>
          <w:color w:val="231F1F"/>
          <w:spacing w:val="39"/>
          <w:sz w:val="20"/>
        </w:rPr>
        <w:t> </w:t>
      </w:r>
      <w:r>
        <w:rPr>
          <w:color w:val="231F1F"/>
          <w:sz w:val="20"/>
        </w:rPr>
        <w:t>of</w:t>
      </w:r>
      <w:r>
        <w:rPr>
          <w:color w:val="231F1F"/>
          <w:spacing w:val="39"/>
          <w:sz w:val="20"/>
        </w:rPr>
        <w:t> </w:t>
      </w:r>
      <w:r>
        <w:rPr>
          <w:color w:val="231F1F"/>
          <w:sz w:val="20"/>
        </w:rPr>
        <w:t>cetrimide/chlorhexidine</w:t>
      </w:r>
      <w:r>
        <w:rPr>
          <w:color w:val="231F1F"/>
          <w:spacing w:val="38"/>
          <w:sz w:val="20"/>
        </w:rPr>
        <w:t> </w:t>
      </w:r>
      <w:r>
        <w:rPr>
          <w:color w:val="231F1F"/>
          <w:sz w:val="20"/>
        </w:rPr>
        <w:t>or</w:t>
      </w:r>
      <w:r>
        <w:rPr>
          <w:color w:val="231F1F"/>
          <w:spacing w:val="39"/>
          <w:sz w:val="20"/>
        </w:rPr>
        <w:t> </w:t>
      </w:r>
      <w:r>
        <w:rPr>
          <w:color w:val="231F1F"/>
          <w:sz w:val="20"/>
        </w:rPr>
        <w:t>tap</w:t>
      </w:r>
      <w:r>
        <w:rPr>
          <w:color w:val="231F1F"/>
          <w:spacing w:val="38"/>
          <w:sz w:val="20"/>
        </w:rPr>
        <w:t> </w:t>
      </w:r>
      <w:r>
        <w:rPr>
          <w:color w:val="231F1F"/>
          <w:sz w:val="20"/>
        </w:rPr>
        <w:t>water</w:t>
      </w:r>
      <w:r>
        <w:rPr>
          <w:color w:val="231F1F"/>
          <w:spacing w:val="39"/>
          <w:sz w:val="20"/>
        </w:rPr>
        <w:t> </w:t>
      </w:r>
      <w:r>
        <w:rPr>
          <w:color w:val="231F1F"/>
          <w:sz w:val="20"/>
        </w:rPr>
        <w:t>for</w:t>
      </w:r>
      <w:r>
        <w:rPr>
          <w:color w:val="231F1F"/>
          <w:spacing w:val="38"/>
          <w:sz w:val="20"/>
        </w:rPr>
        <w:t> </w:t>
      </w:r>
      <w:r>
        <w:rPr>
          <w:color w:val="231F1F"/>
          <w:sz w:val="20"/>
        </w:rPr>
        <w:t>perineal</w:t>
      </w:r>
      <w:r>
        <w:rPr>
          <w:color w:val="231F1F"/>
          <w:spacing w:val="39"/>
          <w:sz w:val="20"/>
        </w:rPr>
        <w:t> </w:t>
      </w:r>
      <w:r>
        <w:rPr>
          <w:color w:val="231F1F"/>
          <w:sz w:val="20"/>
        </w:rPr>
        <w:t>cleaning. Br J Midwifery 1998;61:34-7.</w:t>
      </w:r>
    </w:p>
    <w:p>
      <w:pPr>
        <w:pStyle w:val="ListParagraph"/>
        <w:numPr>
          <w:ilvl w:val="0"/>
          <w:numId w:val="109"/>
        </w:numPr>
        <w:tabs>
          <w:tab w:pos="791" w:val="left" w:leader="none"/>
        </w:tabs>
        <w:spacing w:line="228" w:lineRule="auto" w:before="125" w:after="0"/>
        <w:ind w:left="791" w:right="108" w:hanging="511"/>
        <w:jc w:val="both"/>
        <w:rPr>
          <w:sz w:val="20"/>
        </w:rPr>
      </w:pPr>
      <w:r>
        <w:rPr>
          <w:color w:val="231F1F"/>
          <w:spacing w:val="-2"/>
          <w:w w:val="110"/>
          <w:sz w:val="20"/>
        </w:rPr>
        <w:t>Anonymous.</w:t>
      </w:r>
      <w:r>
        <w:rPr>
          <w:color w:val="231F1F"/>
          <w:spacing w:val="-6"/>
          <w:w w:val="110"/>
          <w:sz w:val="20"/>
        </w:rPr>
        <w:t> </w:t>
      </w:r>
      <w:r>
        <w:rPr>
          <w:color w:val="231F1F"/>
          <w:spacing w:val="-2"/>
          <w:w w:val="110"/>
          <w:sz w:val="20"/>
        </w:rPr>
        <w:t>World</w:t>
      </w:r>
      <w:r>
        <w:rPr>
          <w:color w:val="231F1F"/>
          <w:spacing w:val="-6"/>
          <w:w w:val="110"/>
          <w:sz w:val="20"/>
        </w:rPr>
        <w:t> </w:t>
      </w:r>
      <w:r>
        <w:rPr>
          <w:color w:val="231F1F"/>
          <w:spacing w:val="-2"/>
          <w:w w:val="110"/>
          <w:sz w:val="20"/>
        </w:rPr>
        <w:t>Health</w:t>
      </w:r>
      <w:r>
        <w:rPr>
          <w:color w:val="231F1F"/>
          <w:spacing w:val="-6"/>
          <w:w w:val="110"/>
          <w:sz w:val="20"/>
        </w:rPr>
        <w:t> </w:t>
      </w:r>
      <w:r>
        <w:rPr>
          <w:color w:val="231F1F"/>
          <w:spacing w:val="-2"/>
          <w:w w:val="110"/>
          <w:sz w:val="20"/>
        </w:rPr>
        <w:t>Organization</w:t>
      </w:r>
      <w:r>
        <w:rPr>
          <w:color w:val="231F1F"/>
          <w:spacing w:val="-5"/>
          <w:w w:val="110"/>
          <w:sz w:val="20"/>
        </w:rPr>
        <w:t> </w:t>
      </w:r>
      <w:r>
        <w:rPr>
          <w:color w:val="231F1F"/>
          <w:spacing w:val="-2"/>
          <w:w w:val="110"/>
          <w:sz w:val="20"/>
        </w:rPr>
        <w:t>partograph</w:t>
      </w:r>
      <w:r>
        <w:rPr>
          <w:color w:val="231F1F"/>
          <w:spacing w:val="-3"/>
          <w:w w:val="110"/>
          <w:sz w:val="20"/>
        </w:rPr>
        <w:t> </w:t>
      </w:r>
      <w:r>
        <w:rPr>
          <w:color w:val="231F1F"/>
          <w:spacing w:val="-2"/>
          <w:w w:val="110"/>
          <w:sz w:val="20"/>
        </w:rPr>
        <w:t>in</w:t>
      </w:r>
      <w:r>
        <w:rPr>
          <w:color w:val="231F1F"/>
          <w:spacing w:val="-3"/>
          <w:w w:val="110"/>
          <w:sz w:val="20"/>
        </w:rPr>
        <w:t> </w:t>
      </w:r>
      <w:r>
        <w:rPr>
          <w:color w:val="231F1F"/>
          <w:spacing w:val="-2"/>
          <w:w w:val="110"/>
          <w:sz w:val="20"/>
        </w:rPr>
        <w:t>management of labour.</w:t>
      </w:r>
      <w:r>
        <w:rPr>
          <w:color w:val="231F1F"/>
          <w:spacing w:val="-5"/>
          <w:w w:val="110"/>
          <w:sz w:val="20"/>
        </w:rPr>
        <w:t> </w:t>
      </w:r>
      <w:r>
        <w:rPr>
          <w:color w:val="231F1F"/>
          <w:spacing w:val="-2"/>
          <w:w w:val="110"/>
          <w:sz w:val="20"/>
        </w:rPr>
        <w:t>World</w:t>
      </w:r>
      <w:r>
        <w:rPr>
          <w:color w:val="231F1F"/>
          <w:spacing w:val="-3"/>
          <w:w w:val="110"/>
          <w:sz w:val="20"/>
        </w:rPr>
        <w:t> </w:t>
      </w:r>
      <w:r>
        <w:rPr>
          <w:color w:val="231F1F"/>
          <w:spacing w:val="-2"/>
          <w:w w:val="110"/>
          <w:sz w:val="20"/>
        </w:rPr>
        <w:t>Health </w:t>
      </w:r>
      <w:r>
        <w:rPr>
          <w:color w:val="231F1F"/>
          <w:w w:val="110"/>
          <w:sz w:val="20"/>
        </w:rPr>
        <w:t>Organization Maternal Health and Safe Motherhood Programme Lancet 1994;343(8910): </w:t>
      </w:r>
      <w:r>
        <w:rPr>
          <w:color w:val="231F1F"/>
          <w:spacing w:val="-2"/>
          <w:w w:val="110"/>
          <w:sz w:val="20"/>
        </w:rPr>
        <w:t>1399-404.</w:t>
      </w:r>
    </w:p>
    <w:p>
      <w:pPr>
        <w:pStyle w:val="ListParagraph"/>
        <w:numPr>
          <w:ilvl w:val="0"/>
          <w:numId w:val="109"/>
        </w:numPr>
        <w:tabs>
          <w:tab w:pos="793" w:val="left" w:leader="none"/>
        </w:tabs>
        <w:spacing w:line="230" w:lineRule="auto" w:before="126" w:after="0"/>
        <w:ind w:left="793" w:right="126" w:hanging="511"/>
        <w:jc w:val="both"/>
        <w:rPr>
          <w:sz w:val="20"/>
        </w:rPr>
      </w:pPr>
      <w:r>
        <w:rPr>
          <w:color w:val="231F1F"/>
          <w:w w:val="105"/>
          <w:sz w:val="20"/>
        </w:rPr>
        <w:t>Lavender</w:t>
      </w:r>
      <w:r>
        <w:rPr>
          <w:color w:val="231F1F"/>
          <w:spacing w:val="-6"/>
          <w:w w:val="105"/>
          <w:sz w:val="20"/>
        </w:rPr>
        <w:t> </w:t>
      </w:r>
      <w:r>
        <w:rPr>
          <w:color w:val="231F1F"/>
          <w:w w:val="105"/>
          <w:sz w:val="20"/>
        </w:rPr>
        <w:t>T,</w:t>
      </w:r>
      <w:r>
        <w:rPr>
          <w:color w:val="231F1F"/>
          <w:spacing w:val="-6"/>
          <w:w w:val="105"/>
          <w:sz w:val="20"/>
        </w:rPr>
        <w:t> </w:t>
      </w:r>
      <w:r>
        <w:rPr>
          <w:color w:val="231F1F"/>
          <w:w w:val="105"/>
          <w:sz w:val="20"/>
        </w:rPr>
        <w:t>Alfirevic</w:t>
      </w:r>
      <w:r>
        <w:rPr>
          <w:color w:val="231F1F"/>
          <w:spacing w:val="-6"/>
          <w:w w:val="105"/>
          <w:sz w:val="20"/>
        </w:rPr>
        <w:t> </w:t>
      </w:r>
      <w:r>
        <w:rPr>
          <w:color w:val="231F1F"/>
          <w:w w:val="105"/>
          <w:sz w:val="20"/>
        </w:rPr>
        <w:t>Z,</w:t>
      </w:r>
      <w:r>
        <w:rPr>
          <w:color w:val="231F1F"/>
          <w:spacing w:val="-6"/>
          <w:w w:val="105"/>
          <w:sz w:val="20"/>
        </w:rPr>
        <w:t> </w:t>
      </w:r>
      <w:r>
        <w:rPr>
          <w:color w:val="231F1F"/>
          <w:w w:val="105"/>
          <w:sz w:val="20"/>
        </w:rPr>
        <w:t>Walkinshaw</w:t>
      </w:r>
      <w:r>
        <w:rPr>
          <w:color w:val="231F1F"/>
          <w:spacing w:val="-4"/>
          <w:w w:val="105"/>
          <w:sz w:val="20"/>
        </w:rPr>
        <w:t> </w:t>
      </w:r>
      <w:r>
        <w:rPr>
          <w:color w:val="231F1F"/>
          <w:w w:val="105"/>
          <w:sz w:val="20"/>
        </w:rPr>
        <w:t>S.</w:t>
      </w:r>
      <w:r>
        <w:rPr>
          <w:color w:val="231F1F"/>
          <w:spacing w:val="-6"/>
          <w:w w:val="105"/>
          <w:sz w:val="20"/>
        </w:rPr>
        <w:t> </w:t>
      </w:r>
      <w:r>
        <w:rPr>
          <w:color w:val="231F1F"/>
          <w:w w:val="105"/>
          <w:sz w:val="20"/>
        </w:rPr>
        <w:t>Partogram</w:t>
      </w:r>
      <w:r>
        <w:rPr>
          <w:color w:val="231F1F"/>
          <w:spacing w:val="-4"/>
          <w:w w:val="105"/>
          <w:sz w:val="20"/>
        </w:rPr>
        <w:t> </w:t>
      </w:r>
      <w:r>
        <w:rPr>
          <w:color w:val="231F1F"/>
          <w:w w:val="105"/>
          <w:sz w:val="20"/>
        </w:rPr>
        <w:t>action</w:t>
      </w:r>
      <w:r>
        <w:rPr>
          <w:color w:val="231F1F"/>
          <w:spacing w:val="-3"/>
          <w:w w:val="105"/>
          <w:sz w:val="20"/>
        </w:rPr>
        <w:t> </w:t>
      </w:r>
      <w:r>
        <w:rPr>
          <w:color w:val="231F1F"/>
          <w:w w:val="105"/>
          <w:sz w:val="20"/>
        </w:rPr>
        <w:t>line</w:t>
      </w:r>
      <w:r>
        <w:rPr>
          <w:color w:val="231F1F"/>
          <w:spacing w:val="-3"/>
          <w:w w:val="105"/>
          <w:sz w:val="20"/>
        </w:rPr>
        <w:t> </w:t>
      </w:r>
      <w:r>
        <w:rPr>
          <w:color w:val="231F1F"/>
          <w:w w:val="105"/>
          <w:sz w:val="20"/>
        </w:rPr>
        <w:t>study:</w:t>
      </w:r>
      <w:r>
        <w:rPr>
          <w:color w:val="231F1F"/>
          <w:spacing w:val="-5"/>
          <w:w w:val="105"/>
          <w:sz w:val="20"/>
        </w:rPr>
        <w:t> </w:t>
      </w:r>
      <w:r>
        <w:rPr>
          <w:color w:val="231F1F"/>
          <w:w w:val="105"/>
          <w:sz w:val="20"/>
        </w:rPr>
        <w:t>a</w:t>
      </w:r>
      <w:r>
        <w:rPr>
          <w:color w:val="231F1F"/>
          <w:spacing w:val="-3"/>
          <w:w w:val="105"/>
          <w:sz w:val="20"/>
        </w:rPr>
        <w:t> </w:t>
      </w:r>
      <w:r>
        <w:rPr>
          <w:color w:val="231F1F"/>
          <w:w w:val="105"/>
          <w:sz w:val="20"/>
        </w:rPr>
        <w:t>randomised</w:t>
      </w:r>
      <w:r>
        <w:rPr>
          <w:color w:val="231F1F"/>
          <w:spacing w:val="-3"/>
          <w:w w:val="105"/>
          <w:sz w:val="20"/>
        </w:rPr>
        <w:t> </w:t>
      </w:r>
      <w:r>
        <w:rPr>
          <w:color w:val="231F1F"/>
          <w:w w:val="105"/>
          <w:sz w:val="20"/>
        </w:rPr>
        <w:t>trial.</w:t>
      </w:r>
      <w:r>
        <w:rPr>
          <w:color w:val="231F1F"/>
          <w:spacing w:val="-5"/>
          <w:w w:val="105"/>
          <w:sz w:val="20"/>
        </w:rPr>
        <w:t> </w:t>
      </w:r>
      <w:r>
        <w:rPr>
          <w:color w:val="231F1F"/>
          <w:w w:val="105"/>
          <w:sz w:val="20"/>
        </w:rPr>
        <w:t>BJOG </w:t>
      </w:r>
      <w:r>
        <w:rPr>
          <w:color w:val="231F1F"/>
          <w:spacing w:val="-2"/>
          <w:w w:val="105"/>
          <w:sz w:val="20"/>
        </w:rPr>
        <w:t>1998;1059:976-80.</w:t>
      </w:r>
    </w:p>
    <w:p>
      <w:pPr>
        <w:pStyle w:val="ListParagraph"/>
        <w:numPr>
          <w:ilvl w:val="0"/>
          <w:numId w:val="109"/>
        </w:numPr>
        <w:tabs>
          <w:tab w:pos="791" w:val="left" w:leader="none"/>
        </w:tabs>
        <w:spacing w:line="230" w:lineRule="auto" w:before="124" w:after="0"/>
        <w:ind w:left="791" w:right="111" w:hanging="511"/>
        <w:jc w:val="both"/>
        <w:rPr>
          <w:sz w:val="20"/>
        </w:rPr>
      </w:pPr>
      <w:r>
        <w:rPr>
          <w:color w:val="231F1F"/>
          <w:spacing w:val="-2"/>
          <w:w w:val="110"/>
          <w:sz w:val="20"/>
        </w:rPr>
        <w:t>Pattinson</w:t>
      </w:r>
      <w:r>
        <w:rPr>
          <w:color w:val="231F1F"/>
          <w:spacing w:val="-7"/>
          <w:w w:val="110"/>
          <w:sz w:val="20"/>
        </w:rPr>
        <w:t> </w:t>
      </w:r>
      <w:r>
        <w:rPr>
          <w:color w:val="231F1F"/>
          <w:spacing w:val="-2"/>
          <w:w w:val="110"/>
          <w:sz w:val="20"/>
        </w:rPr>
        <w:t>RC,</w:t>
      </w:r>
      <w:r>
        <w:rPr>
          <w:color w:val="231F1F"/>
          <w:spacing w:val="-6"/>
          <w:w w:val="110"/>
          <w:sz w:val="20"/>
        </w:rPr>
        <w:t> </w:t>
      </w:r>
      <w:r>
        <w:rPr>
          <w:color w:val="231F1F"/>
          <w:spacing w:val="-2"/>
          <w:w w:val="110"/>
          <w:sz w:val="20"/>
        </w:rPr>
        <w:t>Howarth</w:t>
      </w:r>
      <w:r>
        <w:rPr>
          <w:color w:val="231F1F"/>
          <w:spacing w:val="-5"/>
          <w:w w:val="110"/>
          <w:sz w:val="20"/>
        </w:rPr>
        <w:t> </w:t>
      </w:r>
      <w:r>
        <w:rPr>
          <w:color w:val="231F1F"/>
          <w:spacing w:val="-2"/>
          <w:w w:val="110"/>
          <w:sz w:val="20"/>
        </w:rPr>
        <w:t>GR,</w:t>
      </w:r>
      <w:r>
        <w:rPr>
          <w:color w:val="231F1F"/>
          <w:spacing w:val="-7"/>
          <w:w w:val="110"/>
          <w:sz w:val="20"/>
        </w:rPr>
        <w:t> </w:t>
      </w:r>
      <w:r>
        <w:rPr>
          <w:color w:val="231F1F"/>
          <w:spacing w:val="-2"/>
          <w:w w:val="110"/>
          <w:sz w:val="20"/>
        </w:rPr>
        <w:t>Mdluli</w:t>
      </w:r>
      <w:r>
        <w:rPr>
          <w:color w:val="231F1F"/>
          <w:spacing w:val="-7"/>
          <w:w w:val="110"/>
          <w:sz w:val="20"/>
        </w:rPr>
        <w:t> </w:t>
      </w:r>
      <w:r>
        <w:rPr>
          <w:color w:val="231F1F"/>
          <w:spacing w:val="-2"/>
          <w:w w:val="110"/>
          <w:sz w:val="20"/>
        </w:rPr>
        <w:t>W,</w:t>
      </w:r>
      <w:r>
        <w:rPr>
          <w:color w:val="231F1F"/>
          <w:spacing w:val="-7"/>
          <w:w w:val="110"/>
          <w:sz w:val="20"/>
        </w:rPr>
        <w:t> </w:t>
      </w:r>
      <w:r>
        <w:rPr>
          <w:color w:val="231F1F"/>
          <w:spacing w:val="-2"/>
          <w:w w:val="110"/>
          <w:sz w:val="20"/>
        </w:rPr>
        <w:t>et</w:t>
      </w:r>
      <w:r>
        <w:rPr>
          <w:color w:val="231F1F"/>
          <w:spacing w:val="-4"/>
          <w:w w:val="110"/>
          <w:sz w:val="20"/>
        </w:rPr>
        <w:t> </w:t>
      </w:r>
      <w:r>
        <w:rPr>
          <w:color w:val="231F1F"/>
          <w:spacing w:val="-2"/>
          <w:w w:val="110"/>
          <w:sz w:val="20"/>
        </w:rPr>
        <w:t>al.</w:t>
      </w:r>
      <w:r>
        <w:rPr>
          <w:color w:val="231F1F"/>
          <w:spacing w:val="-7"/>
          <w:w w:val="110"/>
          <w:sz w:val="20"/>
        </w:rPr>
        <w:t> </w:t>
      </w:r>
      <w:r>
        <w:rPr>
          <w:color w:val="231F1F"/>
          <w:spacing w:val="-2"/>
          <w:w w:val="110"/>
          <w:sz w:val="20"/>
        </w:rPr>
        <w:t>Aggressive</w:t>
      </w:r>
      <w:r>
        <w:rPr>
          <w:color w:val="231F1F"/>
          <w:spacing w:val="-5"/>
          <w:w w:val="110"/>
          <w:sz w:val="20"/>
        </w:rPr>
        <w:t> </w:t>
      </w:r>
      <w:r>
        <w:rPr>
          <w:color w:val="231F1F"/>
          <w:spacing w:val="-2"/>
          <w:w w:val="110"/>
          <w:sz w:val="20"/>
        </w:rPr>
        <w:t>or</w:t>
      </w:r>
      <w:r>
        <w:rPr>
          <w:color w:val="231F1F"/>
          <w:spacing w:val="-4"/>
          <w:w w:val="110"/>
          <w:sz w:val="20"/>
        </w:rPr>
        <w:t> </w:t>
      </w:r>
      <w:r>
        <w:rPr>
          <w:color w:val="231F1F"/>
          <w:spacing w:val="-2"/>
          <w:w w:val="110"/>
          <w:sz w:val="20"/>
        </w:rPr>
        <w:t>expectant</w:t>
      </w:r>
      <w:r>
        <w:rPr>
          <w:color w:val="231F1F"/>
          <w:spacing w:val="-5"/>
          <w:w w:val="110"/>
          <w:sz w:val="20"/>
        </w:rPr>
        <w:t> </w:t>
      </w:r>
      <w:r>
        <w:rPr>
          <w:color w:val="231F1F"/>
          <w:spacing w:val="-2"/>
          <w:w w:val="110"/>
          <w:sz w:val="20"/>
        </w:rPr>
        <w:t>management</w:t>
      </w:r>
      <w:r>
        <w:rPr>
          <w:color w:val="231F1F"/>
          <w:spacing w:val="-4"/>
          <w:w w:val="110"/>
          <w:sz w:val="20"/>
        </w:rPr>
        <w:t> </w:t>
      </w:r>
      <w:r>
        <w:rPr>
          <w:color w:val="231F1F"/>
          <w:spacing w:val="-2"/>
          <w:w w:val="110"/>
          <w:sz w:val="20"/>
        </w:rPr>
        <w:t>of</w:t>
      </w:r>
      <w:r>
        <w:rPr>
          <w:color w:val="231F1F"/>
          <w:spacing w:val="-4"/>
          <w:w w:val="110"/>
          <w:sz w:val="20"/>
        </w:rPr>
        <w:t> </w:t>
      </w:r>
      <w:r>
        <w:rPr>
          <w:color w:val="231F1F"/>
          <w:spacing w:val="-2"/>
          <w:w w:val="110"/>
          <w:sz w:val="20"/>
        </w:rPr>
        <w:t>labour: </w:t>
      </w:r>
      <w:r>
        <w:rPr>
          <w:color w:val="231F1F"/>
          <w:w w:val="110"/>
          <w:sz w:val="20"/>
        </w:rPr>
        <w:t>a randomised clinical trial. BJOG 2003;1105:457-61.</w:t>
      </w:r>
    </w:p>
    <w:p>
      <w:pPr>
        <w:pStyle w:val="ListParagraph"/>
        <w:numPr>
          <w:ilvl w:val="0"/>
          <w:numId w:val="109"/>
        </w:numPr>
        <w:tabs>
          <w:tab w:pos="791" w:val="left" w:leader="none"/>
        </w:tabs>
        <w:spacing w:line="230" w:lineRule="auto" w:before="125" w:after="0"/>
        <w:ind w:left="791" w:right="126" w:hanging="511"/>
        <w:jc w:val="both"/>
        <w:rPr>
          <w:sz w:val="20"/>
        </w:rPr>
      </w:pPr>
      <w:r>
        <w:rPr>
          <w:color w:val="231F1F"/>
          <w:w w:val="110"/>
          <w:sz w:val="20"/>
        </w:rPr>
        <w:t>Lavender</w:t>
      </w:r>
      <w:r>
        <w:rPr>
          <w:color w:val="231F1F"/>
          <w:spacing w:val="-1"/>
          <w:w w:val="110"/>
          <w:sz w:val="20"/>
        </w:rPr>
        <w:t> </w:t>
      </w:r>
      <w:r>
        <w:rPr>
          <w:color w:val="231F1F"/>
          <w:w w:val="110"/>
          <w:sz w:val="20"/>
        </w:rPr>
        <w:t>T,</w:t>
      </w:r>
      <w:r>
        <w:rPr>
          <w:color w:val="231F1F"/>
          <w:spacing w:val="-3"/>
          <w:w w:val="110"/>
          <w:sz w:val="20"/>
        </w:rPr>
        <w:t> </w:t>
      </w:r>
      <w:r>
        <w:rPr>
          <w:color w:val="231F1F"/>
          <w:w w:val="110"/>
          <w:sz w:val="20"/>
        </w:rPr>
        <w:t>Alfirevic Z,</w:t>
      </w:r>
      <w:r>
        <w:rPr>
          <w:color w:val="231F1F"/>
          <w:spacing w:val="-3"/>
          <w:w w:val="110"/>
          <w:sz w:val="20"/>
        </w:rPr>
        <w:t> </w:t>
      </w:r>
      <w:r>
        <w:rPr>
          <w:color w:val="231F1F"/>
          <w:w w:val="110"/>
          <w:sz w:val="20"/>
        </w:rPr>
        <w:t>Walkinshaw</w:t>
      </w:r>
      <w:r>
        <w:rPr>
          <w:color w:val="231F1F"/>
          <w:spacing w:val="-1"/>
          <w:w w:val="110"/>
          <w:sz w:val="20"/>
        </w:rPr>
        <w:t> </w:t>
      </w:r>
      <w:r>
        <w:rPr>
          <w:color w:val="231F1F"/>
          <w:w w:val="110"/>
          <w:sz w:val="20"/>
        </w:rPr>
        <w:t>S.</w:t>
      </w:r>
      <w:r>
        <w:rPr>
          <w:color w:val="231F1F"/>
          <w:spacing w:val="-2"/>
          <w:w w:val="110"/>
          <w:sz w:val="20"/>
        </w:rPr>
        <w:t> </w:t>
      </w:r>
      <w:r>
        <w:rPr>
          <w:color w:val="231F1F"/>
          <w:w w:val="110"/>
          <w:sz w:val="20"/>
        </w:rPr>
        <w:t>Effect of different partogram</w:t>
      </w:r>
      <w:r>
        <w:rPr>
          <w:color w:val="231F1F"/>
          <w:spacing w:val="-1"/>
          <w:w w:val="110"/>
          <w:sz w:val="20"/>
        </w:rPr>
        <w:t> </w:t>
      </w:r>
      <w:r>
        <w:rPr>
          <w:color w:val="231F1F"/>
          <w:w w:val="110"/>
          <w:sz w:val="20"/>
        </w:rPr>
        <w:t>action lines on birth outcomes:</w:t>
      </w:r>
      <w:r>
        <w:rPr>
          <w:color w:val="231F1F"/>
          <w:spacing w:val="-5"/>
          <w:w w:val="110"/>
          <w:sz w:val="20"/>
        </w:rPr>
        <w:t> </w:t>
      </w:r>
      <w:r>
        <w:rPr>
          <w:color w:val="231F1F"/>
          <w:w w:val="110"/>
          <w:sz w:val="20"/>
        </w:rPr>
        <w:t>A randomized controlled trial. Obstet Gynecol 2006;1082:295-302.</w:t>
      </w:r>
    </w:p>
    <w:p>
      <w:pPr>
        <w:pStyle w:val="ListParagraph"/>
        <w:numPr>
          <w:ilvl w:val="0"/>
          <w:numId w:val="109"/>
        </w:numPr>
        <w:tabs>
          <w:tab w:pos="791" w:val="left" w:leader="none"/>
        </w:tabs>
        <w:spacing w:line="225" w:lineRule="auto" w:before="134" w:after="0"/>
        <w:ind w:left="791" w:right="111" w:hanging="511"/>
        <w:jc w:val="both"/>
        <w:rPr>
          <w:sz w:val="20"/>
        </w:rPr>
      </w:pPr>
      <w:r>
        <w:rPr>
          <w:color w:val="231F1F"/>
          <w:w w:val="110"/>
          <w:sz w:val="20"/>
        </w:rPr>
        <w:t>National</w:t>
      </w:r>
      <w:r>
        <w:rPr>
          <w:color w:val="231F1F"/>
          <w:w w:val="110"/>
          <w:sz w:val="20"/>
        </w:rPr>
        <w:t> Collaborating</w:t>
      </w:r>
      <w:r>
        <w:rPr>
          <w:color w:val="231F1F"/>
          <w:w w:val="110"/>
          <w:sz w:val="20"/>
        </w:rPr>
        <w:t> Centre</w:t>
      </w:r>
      <w:r>
        <w:rPr>
          <w:color w:val="231F1F"/>
          <w:w w:val="110"/>
          <w:sz w:val="20"/>
        </w:rPr>
        <w:t> for</w:t>
      </w:r>
      <w:r>
        <w:rPr>
          <w:color w:val="231F1F"/>
          <w:w w:val="110"/>
          <w:sz w:val="20"/>
        </w:rPr>
        <w:t> Women´s</w:t>
      </w:r>
      <w:r>
        <w:rPr>
          <w:color w:val="231F1F"/>
          <w:w w:val="110"/>
          <w:sz w:val="20"/>
        </w:rPr>
        <w:t> and</w:t>
      </w:r>
      <w:r>
        <w:rPr>
          <w:color w:val="231F1F"/>
          <w:w w:val="110"/>
          <w:sz w:val="20"/>
        </w:rPr>
        <w:t> Children´s</w:t>
      </w:r>
      <w:r>
        <w:rPr>
          <w:color w:val="231F1F"/>
          <w:w w:val="110"/>
          <w:sz w:val="20"/>
        </w:rPr>
        <w:t> Health.</w:t>
      </w:r>
      <w:r>
        <w:rPr>
          <w:color w:val="231F1F"/>
          <w:w w:val="110"/>
          <w:sz w:val="20"/>
        </w:rPr>
        <w:t> Caesarean</w:t>
      </w:r>
      <w:r>
        <w:rPr>
          <w:color w:val="231F1F"/>
          <w:w w:val="110"/>
          <w:sz w:val="20"/>
        </w:rPr>
        <w:t> Section. Clinical Guideline London: RCOG Press 2004.</w:t>
      </w:r>
    </w:p>
    <w:p>
      <w:pPr>
        <w:pStyle w:val="ListParagraph"/>
        <w:numPr>
          <w:ilvl w:val="0"/>
          <w:numId w:val="109"/>
        </w:numPr>
        <w:tabs>
          <w:tab w:pos="793" w:val="left" w:leader="none"/>
        </w:tabs>
        <w:spacing w:line="230" w:lineRule="auto" w:before="125" w:after="0"/>
        <w:ind w:left="793" w:right="167" w:hanging="511"/>
        <w:jc w:val="left"/>
        <w:rPr>
          <w:sz w:val="20"/>
        </w:rPr>
      </w:pPr>
      <w:r>
        <w:rPr>
          <w:color w:val="231F1F"/>
          <w:w w:val="105"/>
          <w:sz w:val="20"/>
        </w:rPr>
        <w:t>Lavender</w:t>
      </w:r>
      <w:r>
        <w:rPr>
          <w:color w:val="231F1F"/>
          <w:spacing w:val="-5"/>
          <w:w w:val="105"/>
          <w:sz w:val="20"/>
        </w:rPr>
        <w:t> </w:t>
      </w:r>
      <w:r>
        <w:rPr>
          <w:color w:val="231F1F"/>
          <w:w w:val="105"/>
          <w:sz w:val="20"/>
        </w:rPr>
        <w:t>T,</w:t>
      </w:r>
      <w:r>
        <w:rPr>
          <w:color w:val="231F1F"/>
          <w:spacing w:val="-5"/>
          <w:w w:val="105"/>
          <w:sz w:val="20"/>
        </w:rPr>
        <w:t> </w:t>
      </w:r>
      <w:r>
        <w:rPr>
          <w:color w:val="231F1F"/>
          <w:w w:val="105"/>
          <w:sz w:val="20"/>
        </w:rPr>
        <w:t>Hart</w:t>
      </w:r>
      <w:r>
        <w:rPr>
          <w:color w:val="231F1F"/>
          <w:spacing w:val="-6"/>
          <w:w w:val="105"/>
          <w:sz w:val="20"/>
        </w:rPr>
        <w:t> </w:t>
      </w:r>
      <w:r>
        <w:rPr>
          <w:color w:val="231F1F"/>
          <w:w w:val="105"/>
          <w:sz w:val="20"/>
        </w:rPr>
        <w:t>A,</w:t>
      </w:r>
      <w:r>
        <w:rPr>
          <w:color w:val="231F1F"/>
          <w:spacing w:val="-5"/>
          <w:w w:val="105"/>
          <w:sz w:val="20"/>
        </w:rPr>
        <w:t> </w:t>
      </w:r>
      <w:r>
        <w:rPr>
          <w:color w:val="231F1F"/>
          <w:w w:val="105"/>
          <w:sz w:val="20"/>
        </w:rPr>
        <w:t>Smyth</w:t>
      </w:r>
      <w:r>
        <w:rPr>
          <w:color w:val="231F1F"/>
          <w:spacing w:val="-3"/>
          <w:w w:val="105"/>
          <w:sz w:val="20"/>
        </w:rPr>
        <w:t> </w:t>
      </w:r>
      <w:r>
        <w:rPr>
          <w:color w:val="231F1F"/>
          <w:w w:val="105"/>
          <w:sz w:val="20"/>
        </w:rPr>
        <w:t>RMD.</w:t>
      </w:r>
      <w:r>
        <w:rPr>
          <w:color w:val="231F1F"/>
          <w:spacing w:val="-5"/>
          <w:w w:val="105"/>
          <w:sz w:val="20"/>
        </w:rPr>
        <w:t> </w:t>
      </w:r>
      <w:r>
        <w:rPr>
          <w:color w:val="231F1F"/>
          <w:w w:val="105"/>
          <w:sz w:val="20"/>
        </w:rPr>
        <w:t>Effect</w:t>
      </w:r>
      <w:r>
        <w:rPr>
          <w:color w:val="231F1F"/>
          <w:spacing w:val="-2"/>
          <w:w w:val="105"/>
          <w:sz w:val="20"/>
        </w:rPr>
        <w:t> </w:t>
      </w:r>
      <w:r>
        <w:rPr>
          <w:color w:val="231F1F"/>
          <w:w w:val="105"/>
          <w:sz w:val="20"/>
        </w:rPr>
        <w:t>of</w:t>
      </w:r>
      <w:r>
        <w:rPr>
          <w:color w:val="231F1F"/>
          <w:spacing w:val="-2"/>
          <w:w w:val="105"/>
          <w:sz w:val="20"/>
        </w:rPr>
        <w:t> </w:t>
      </w:r>
      <w:r>
        <w:rPr>
          <w:color w:val="231F1F"/>
          <w:w w:val="105"/>
          <w:sz w:val="20"/>
        </w:rPr>
        <w:t>different</w:t>
      </w:r>
      <w:r>
        <w:rPr>
          <w:color w:val="231F1F"/>
          <w:spacing w:val="-2"/>
          <w:w w:val="105"/>
          <w:sz w:val="20"/>
        </w:rPr>
        <w:t> </w:t>
      </w:r>
      <w:r>
        <w:rPr>
          <w:color w:val="231F1F"/>
          <w:w w:val="105"/>
          <w:sz w:val="20"/>
        </w:rPr>
        <w:t>partogram</w:t>
      </w:r>
      <w:r>
        <w:rPr>
          <w:color w:val="231F1F"/>
          <w:spacing w:val="-3"/>
          <w:w w:val="105"/>
          <w:sz w:val="20"/>
        </w:rPr>
        <w:t> </w:t>
      </w:r>
      <w:r>
        <w:rPr>
          <w:color w:val="231F1F"/>
          <w:w w:val="105"/>
          <w:sz w:val="20"/>
        </w:rPr>
        <w:t>action</w:t>
      </w:r>
      <w:r>
        <w:rPr>
          <w:color w:val="231F1F"/>
          <w:spacing w:val="-2"/>
          <w:w w:val="105"/>
          <w:sz w:val="20"/>
        </w:rPr>
        <w:t> </w:t>
      </w:r>
      <w:r>
        <w:rPr>
          <w:color w:val="231F1F"/>
          <w:w w:val="105"/>
          <w:sz w:val="20"/>
        </w:rPr>
        <w:t>lines</w:t>
      </w:r>
      <w:r>
        <w:rPr>
          <w:color w:val="231F1F"/>
          <w:spacing w:val="-2"/>
          <w:w w:val="105"/>
          <w:sz w:val="20"/>
        </w:rPr>
        <w:t> </w:t>
      </w:r>
      <w:r>
        <w:rPr>
          <w:color w:val="231F1F"/>
          <w:w w:val="105"/>
          <w:sz w:val="20"/>
        </w:rPr>
        <w:t>on</w:t>
      </w:r>
      <w:r>
        <w:rPr>
          <w:color w:val="231F1F"/>
          <w:spacing w:val="-2"/>
          <w:w w:val="105"/>
          <w:sz w:val="20"/>
        </w:rPr>
        <w:t> </w:t>
      </w:r>
      <w:r>
        <w:rPr>
          <w:color w:val="231F1F"/>
          <w:w w:val="105"/>
          <w:sz w:val="20"/>
        </w:rPr>
        <w:t>birth</w:t>
      </w:r>
      <w:r>
        <w:rPr>
          <w:color w:val="231F1F"/>
          <w:spacing w:val="-2"/>
          <w:w w:val="105"/>
          <w:sz w:val="20"/>
        </w:rPr>
        <w:t> </w:t>
      </w:r>
      <w:r>
        <w:rPr>
          <w:color w:val="231F1F"/>
          <w:w w:val="105"/>
          <w:sz w:val="20"/>
        </w:rPr>
        <w:t>outcomes for</w:t>
      </w:r>
      <w:r>
        <w:rPr>
          <w:color w:val="231F1F"/>
          <w:spacing w:val="-12"/>
          <w:w w:val="105"/>
          <w:sz w:val="20"/>
        </w:rPr>
        <w:t> </w:t>
      </w:r>
      <w:r>
        <w:rPr>
          <w:color w:val="231F1F"/>
          <w:w w:val="105"/>
          <w:sz w:val="20"/>
        </w:rPr>
        <w:t>women</w:t>
      </w:r>
      <w:r>
        <w:rPr>
          <w:color w:val="231F1F"/>
          <w:spacing w:val="-9"/>
          <w:w w:val="105"/>
          <w:sz w:val="20"/>
        </w:rPr>
        <w:t> </w:t>
      </w:r>
      <w:r>
        <w:rPr>
          <w:color w:val="231F1F"/>
          <w:w w:val="105"/>
          <w:sz w:val="20"/>
        </w:rPr>
        <w:t>in</w:t>
      </w:r>
      <w:r>
        <w:rPr>
          <w:color w:val="231F1F"/>
          <w:spacing w:val="-9"/>
          <w:w w:val="105"/>
          <w:sz w:val="20"/>
        </w:rPr>
        <w:t> </w:t>
      </w:r>
      <w:r>
        <w:rPr>
          <w:color w:val="231F1F"/>
          <w:w w:val="105"/>
          <w:sz w:val="20"/>
        </w:rPr>
        <w:t>spontaneous</w:t>
      </w:r>
      <w:r>
        <w:rPr>
          <w:color w:val="231F1F"/>
          <w:spacing w:val="-8"/>
          <w:w w:val="105"/>
          <w:sz w:val="20"/>
        </w:rPr>
        <w:t> </w:t>
      </w:r>
      <w:r>
        <w:rPr>
          <w:color w:val="231F1F"/>
          <w:w w:val="105"/>
          <w:sz w:val="20"/>
        </w:rPr>
        <w:t>labour</w:t>
      </w:r>
      <w:r>
        <w:rPr>
          <w:color w:val="231F1F"/>
          <w:spacing w:val="-8"/>
          <w:w w:val="105"/>
          <w:sz w:val="20"/>
        </w:rPr>
        <w:t> </w:t>
      </w:r>
      <w:r>
        <w:rPr>
          <w:color w:val="231F1F"/>
          <w:w w:val="105"/>
          <w:sz w:val="20"/>
        </w:rPr>
        <w:t>at</w:t>
      </w:r>
      <w:r>
        <w:rPr>
          <w:color w:val="231F1F"/>
          <w:spacing w:val="-8"/>
          <w:w w:val="105"/>
          <w:sz w:val="20"/>
        </w:rPr>
        <w:t> </w:t>
      </w:r>
      <w:r>
        <w:rPr>
          <w:color w:val="231F1F"/>
          <w:w w:val="105"/>
          <w:sz w:val="20"/>
        </w:rPr>
        <w:t>term.</w:t>
      </w:r>
      <w:r>
        <w:rPr>
          <w:color w:val="231F1F"/>
          <w:spacing w:val="-12"/>
          <w:w w:val="105"/>
          <w:sz w:val="20"/>
        </w:rPr>
        <w:t> </w:t>
      </w:r>
      <w:r>
        <w:rPr>
          <w:color w:val="231F1F"/>
          <w:w w:val="105"/>
          <w:sz w:val="20"/>
        </w:rPr>
        <w:t>Cochran</w:t>
      </w:r>
      <w:r>
        <w:rPr>
          <w:color w:val="231F1F"/>
          <w:spacing w:val="-9"/>
          <w:w w:val="105"/>
          <w:sz w:val="20"/>
        </w:rPr>
        <w:t> </w:t>
      </w:r>
      <w:r>
        <w:rPr>
          <w:color w:val="231F1F"/>
          <w:w w:val="105"/>
          <w:sz w:val="20"/>
        </w:rPr>
        <w:t>Database</w:t>
      </w:r>
      <w:r>
        <w:rPr>
          <w:color w:val="231F1F"/>
          <w:spacing w:val="-9"/>
          <w:w w:val="105"/>
          <w:sz w:val="20"/>
        </w:rPr>
        <w:t> </w:t>
      </w:r>
      <w:r>
        <w:rPr>
          <w:color w:val="231F1F"/>
          <w:w w:val="105"/>
          <w:sz w:val="20"/>
        </w:rPr>
        <w:t>of</w:t>
      </w:r>
      <w:r>
        <w:rPr>
          <w:color w:val="231F1F"/>
          <w:spacing w:val="-8"/>
          <w:w w:val="105"/>
          <w:sz w:val="20"/>
        </w:rPr>
        <w:t> </w:t>
      </w:r>
      <w:r>
        <w:rPr>
          <w:color w:val="231F1F"/>
          <w:w w:val="105"/>
          <w:sz w:val="20"/>
        </w:rPr>
        <w:t>Systematic</w:t>
      </w:r>
      <w:r>
        <w:rPr>
          <w:color w:val="231F1F"/>
          <w:spacing w:val="-8"/>
          <w:w w:val="105"/>
          <w:sz w:val="20"/>
        </w:rPr>
        <w:t> </w:t>
      </w:r>
      <w:r>
        <w:rPr>
          <w:color w:val="231F1F"/>
          <w:w w:val="105"/>
          <w:sz w:val="20"/>
        </w:rPr>
        <w:t>Reviews</w:t>
      </w:r>
      <w:r>
        <w:rPr>
          <w:color w:val="231F1F"/>
          <w:spacing w:val="-8"/>
          <w:w w:val="105"/>
          <w:sz w:val="20"/>
        </w:rPr>
        <w:t> </w:t>
      </w:r>
      <w:r>
        <w:rPr>
          <w:color w:val="231F1F"/>
          <w:w w:val="105"/>
          <w:sz w:val="20"/>
        </w:rPr>
        <w:t>2008;Issue</w:t>
      </w:r>
    </w:p>
    <w:p>
      <w:pPr>
        <w:spacing w:line="223" w:lineRule="exact" w:before="0"/>
        <w:ind w:left="793" w:right="0" w:firstLine="0"/>
        <w:jc w:val="left"/>
        <w:rPr>
          <w:sz w:val="20"/>
        </w:rPr>
      </w:pPr>
      <w:r>
        <w:rPr>
          <w:color w:val="231F1F"/>
          <w:spacing w:val="-2"/>
          <w:w w:val="105"/>
          <w:sz w:val="20"/>
        </w:rPr>
        <w:t>4.Art.No.:CD005461.DOI:10.1002/14651858.CD005461.pub2.</w:t>
      </w:r>
    </w:p>
    <w:p>
      <w:pPr>
        <w:pStyle w:val="ListParagraph"/>
        <w:numPr>
          <w:ilvl w:val="0"/>
          <w:numId w:val="109"/>
        </w:numPr>
        <w:tabs>
          <w:tab w:pos="791" w:val="left" w:leader="none"/>
        </w:tabs>
        <w:spacing w:line="240" w:lineRule="auto" w:before="116" w:after="0"/>
        <w:ind w:left="791" w:right="0" w:hanging="508"/>
        <w:jc w:val="left"/>
        <w:rPr>
          <w:sz w:val="20"/>
        </w:rPr>
      </w:pPr>
      <w:r>
        <w:rPr>
          <w:color w:val="231F1F"/>
          <w:sz w:val="20"/>
        </w:rPr>
        <w:t>Yonekura</w:t>
      </w:r>
      <w:r>
        <w:rPr>
          <w:color w:val="231F1F"/>
          <w:spacing w:val="23"/>
          <w:sz w:val="20"/>
        </w:rPr>
        <w:t> </w:t>
      </w:r>
      <w:r>
        <w:rPr>
          <w:color w:val="231F1F"/>
          <w:sz w:val="20"/>
        </w:rPr>
        <w:t>ML.</w:t>
      </w:r>
      <w:r>
        <w:rPr>
          <w:color w:val="231F1F"/>
          <w:spacing w:val="10"/>
          <w:sz w:val="20"/>
        </w:rPr>
        <w:t> </w:t>
      </w:r>
      <w:r>
        <w:rPr>
          <w:color w:val="231F1F"/>
          <w:sz w:val="20"/>
        </w:rPr>
        <w:t>Risk</w:t>
      </w:r>
      <w:r>
        <w:rPr>
          <w:color w:val="231F1F"/>
          <w:spacing w:val="29"/>
          <w:sz w:val="20"/>
        </w:rPr>
        <w:t> </w:t>
      </w:r>
      <w:r>
        <w:rPr>
          <w:color w:val="231F1F"/>
          <w:sz w:val="20"/>
        </w:rPr>
        <w:t>factors</w:t>
      </w:r>
      <w:r>
        <w:rPr>
          <w:color w:val="231F1F"/>
          <w:spacing w:val="28"/>
          <w:sz w:val="20"/>
        </w:rPr>
        <w:t> </w:t>
      </w:r>
      <w:r>
        <w:rPr>
          <w:color w:val="231F1F"/>
          <w:sz w:val="20"/>
        </w:rPr>
        <w:t>for</w:t>
      </w:r>
      <w:r>
        <w:rPr>
          <w:color w:val="231F1F"/>
          <w:spacing w:val="27"/>
          <w:sz w:val="20"/>
        </w:rPr>
        <w:t> </w:t>
      </w:r>
      <w:r>
        <w:rPr>
          <w:color w:val="231F1F"/>
          <w:sz w:val="20"/>
        </w:rPr>
        <w:t>postcesarean</w:t>
      </w:r>
      <w:r>
        <w:rPr>
          <w:color w:val="231F1F"/>
          <w:spacing w:val="30"/>
          <w:sz w:val="20"/>
        </w:rPr>
        <w:t> </w:t>
      </w:r>
      <w:r>
        <w:rPr>
          <w:color w:val="231F1F"/>
          <w:sz w:val="20"/>
        </w:rPr>
        <w:t>endomyometritis.</w:t>
      </w:r>
      <w:r>
        <w:rPr>
          <w:color w:val="231F1F"/>
          <w:spacing w:val="-9"/>
          <w:sz w:val="20"/>
        </w:rPr>
        <w:t> </w:t>
      </w:r>
      <w:r>
        <w:rPr>
          <w:color w:val="231F1F"/>
          <w:sz w:val="20"/>
        </w:rPr>
        <w:t>Am</w:t>
      </w:r>
      <w:r>
        <w:rPr>
          <w:color w:val="231F1F"/>
          <w:spacing w:val="27"/>
          <w:sz w:val="20"/>
        </w:rPr>
        <w:t> </w:t>
      </w:r>
      <w:r>
        <w:rPr>
          <w:color w:val="231F1F"/>
          <w:sz w:val="20"/>
        </w:rPr>
        <w:t>J</w:t>
      </w:r>
      <w:r>
        <w:rPr>
          <w:color w:val="231F1F"/>
          <w:spacing w:val="28"/>
          <w:sz w:val="20"/>
        </w:rPr>
        <w:t> </w:t>
      </w:r>
      <w:r>
        <w:rPr>
          <w:color w:val="231F1F"/>
          <w:sz w:val="20"/>
        </w:rPr>
        <w:t>Med</w:t>
      </w:r>
      <w:r>
        <w:rPr>
          <w:color w:val="231F1F"/>
          <w:spacing w:val="29"/>
          <w:sz w:val="20"/>
        </w:rPr>
        <w:t> </w:t>
      </w:r>
      <w:r>
        <w:rPr>
          <w:color w:val="231F1F"/>
          <w:sz w:val="20"/>
        </w:rPr>
        <w:t>1985;786B:177-</w:t>
      </w:r>
      <w:r>
        <w:rPr>
          <w:color w:val="231F1F"/>
          <w:spacing w:val="-5"/>
          <w:sz w:val="20"/>
        </w:rPr>
        <w:t>87.</w:t>
      </w:r>
    </w:p>
    <w:p>
      <w:pPr>
        <w:pStyle w:val="ListParagraph"/>
        <w:numPr>
          <w:ilvl w:val="0"/>
          <w:numId w:val="109"/>
        </w:numPr>
        <w:tabs>
          <w:tab w:pos="793" w:val="left" w:leader="none"/>
        </w:tabs>
        <w:spacing w:line="230" w:lineRule="auto" w:before="123" w:after="0"/>
        <w:ind w:left="793" w:right="115" w:hanging="511"/>
        <w:jc w:val="left"/>
        <w:rPr>
          <w:sz w:val="20"/>
        </w:rPr>
      </w:pPr>
      <w:r>
        <w:rPr>
          <w:color w:val="231F1F"/>
          <w:w w:val="105"/>
          <w:sz w:val="20"/>
        </w:rPr>
        <w:t>Dare</w:t>
      </w:r>
      <w:r>
        <w:rPr>
          <w:color w:val="231F1F"/>
          <w:spacing w:val="31"/>
          <w:w w:val="105"/>
          <w:sz w:val="20"/>
        </w:rPr>
        <w:t> </w:t>
      </w:r>
      <w:r>
        <w:rPr>
          <w:color w:val="231F1F"/>
          <w:w w:val="105"/>
          <w:sz w:val="20"/>
        </w:rPr>
        <w:t>FO,</w:t>
      </w:r>
      <w:r>
        <w:rPr>
          <w:color w:val="231F1F"/>
          <w:spacing w:val="32"/>
          <w:w w:val="105"/>
          <w:sz w:val="20"/>
        </w:rPr>
        <w:t> </w:t>
      </w:r>
      <w:r>
        <w:rPr>
          <w:color w:val="231F1F"/>
          <w:w w:val="105"/>
          <w:sz w:val="20"/>
        </w:rPr>
        <w:t>Bako</w:t>
      </w:r>
      <w:r>
        <w:rPr>
          <w:color w:val="231F1F"/>
          <w:spacing w:val="31"/>
          <w:w w:val="105"/>
          <w:sz w:val="20"/>
        </w:rPr>
        <w:t> </w:t>
      </w:r>
      <w:r>
        <w:rPr>
          <w:color w:val="231F1F"/>
          <w:w w:val="105"/>
          <w:sz w:val="20"/>
        </w:rPr>
        <w:t>AU,</w:t>
      </w:r>
      <w:r>
        <w:rPr>
          <w:color w:val="231F1F"/>
          <w:spacing w:val="32"/>
          <w:w w:val="105"/>
          <w:sz w:val="20"/>
        </w:rPr>
        <w:t> </w:t>
      </w:r>
      <w:r>
        <w:rPr>
          <w:color w:val="231F1F"/>
          <w:w w:val="105"/>
          <w:sz w:val="20"/>
        </w:rPr>
        <w:t>Ezechi</w:t>
      </w:r>
      <w:r>
        <w:rPr>
          <w:color w:val="231F1F"/>
          <w:spacing w:val="31"/>
          <w:w w:val="105"/>
          <w:sz w:val="20"/>
        </w:rPr>
        <w:t> </w:t>
      </w:r>
      <w:r>
        <w:rPr>
          <w:color w:val="231F1F"/>
          <w:w w:val="105"/>
          <w:sz w:val="20"/>
        </w:rPr>
        <w:t>OC.</w:t>
      </w:r>
      <w:r>
        <w:rPr>
          <w:color w:val="231F1F"/>
          <w:spacing w:val="32"/>
          <w:w w:val="105"/>
          <w:sz w:val="20"/>
        </w:rPr>
        <w:t> </w:t>
      </w:r>
      <w:r>
        <w:rPr>
          <w:color w:val="231F1F"/>
          <w:w w:val="105"/>
          <w:sz w:val="20"/>
        </w:rPr>
        <w:t>Puerperal</w:t>
      </w:r>
      <w:r>
        <w:rPr>
          <w:color w:val="231F1F"/>
          <w:spacing w:val="31"/>
          <w:w w:val="105"/>
          <w:sz w:val="20"/>
        </w:rPr>
        <w:t> </w:t>
      </w:r>
      <w:r>
        <w:rPr>
          <w:color w:val="231F1F"/>
          <w:w w:val="105"/>
          <w:sz w:val="20"/>
        </w:rPr>
        <w:t>sepsis:</w:t>
      </w:r>
      <w:r>
        <w:rPr>
          <w:color w:val="231F1F"/>
          <w:spacing w:val="31"/>
          <w:w w:val="105"/>
          <w:sz w:val="20"/>
        </w:rPr>
        <w:t> </w:t>
      </w:r>
      <w:r>
        <w:rPr>
          <w:color w:val="231F1F"/>
          <w:w w:val="105"/>
          <w:sz w:val="20"/>
        </w:rPr>
        <w:t>a</w:t>
      </w:r>
      <w:r>
        <w:rPr>
          <w:color w:val="231F1F"/>
          <w:spacing w:val="31"/>
          <w:w w:val="105"/>
          <w:sz w:val="20"/>
        </w:rPr>
        <w:t> </w:t>
      </w:r>
      <w:r>
        <w:rPr>
          <w:color w:val="231F1F"/>
          <w:w w:val="105"/>
          <w:sz w:val="20"/>
        </w:rPr>
        <w:t>preventable</w:t>
      </w:r>
      <w:r>
        <w:rPr>
          <w:color w:val="231F1F"/>
          <w:spacing w:val="31"/>
          <w:w w:val="105"/>
          <w:sz w:val="20"/>
        </w:rPr>
        <w:t> </w:t>
      </w:r>
      <w:r>
        <w:rPr>
          <w:color w:val="231F1F"/>
          <w:w w:val="105"/>
          <w:sz w:val="20"/>
        </w:rPr>
        <w:t>post-partum</w:t>
      </w:r>
      <w:r>
        <w:rPr>
          <w:color w:val="231F1F"/>
          <w:spacing w:val="31"/>
          <w:w w:val="105"/>
          <w:sz w:val="20"/>
        </w:rPr>
        <w:t> </w:t>
      </w:r>
      <w:r>
        <w:rPr>
          <w:color w:val="231F1F"/>
          <w:w w:val="105"/>
          <w:sz w:val="20"/>
        </w:rPr>
        <w:t>complication. Trop Doct 1998;282:92-5.</w:t>
      </w:r>
    </w:p>
    <w:p>
      <w:pPr>
        <w:pStyle w:val="ListParagraph"/>
        <w:numPr>
          <w:ilvl w:val="0"/>
          <w:numId w:val="109"/>
        </w:numPr>
        <w:tabs>
          <w:tab w:pos="791" w:val="left" w:leader="none"/>
        </w:tabs>
        <w:spacing w:line="230" w:lineRule="auto" w:before="125" w:after="0"/>
        <w:ind w:left="791" w:right="118" w:hanging="511"/>
        <w:jc w:val="left"/>
        <w:rPr>
          <w:sz w:val="20"/>
        </w:rPr>
      </w:pPr>
      <w:r>
        <w:rPr>
          <w:color w:val="231F1F"/>
          <w:spacing w:val="-2"/>
          <w:w w:val="110"/>
          <w:sz w:val="20"/>
        </w:rPr>
        <w:t>Abukhalil</w:t>
      </w:r>
      <w:r>
        <w:rPr>
          <w:color w:val="231F1F"/>
          <w:spacing w:val="-8"/>
          <w:w w:val="110"/>
          <w:sz w:val="20"/>
        </w:rPr>
        <w:t> </w:t>
      </w:r>
      <w:r>
        <w:rPr>
          <w:color w:val="231F1F"/>
          <w:spacing w:val="-2"/>
          <w:w w:val="110"/>
          <w:sz w:val="20"/>
        </w:rPr>
        <w:t>IH,</w:t>
      </w:r>
      <w:r>
        <w:rPr>
          <w:color w:val="231F1F"/>
          <w:spacing w:val="-8"/>
          <w:w w:val="110"/>
          <w:sz w:val="20"/>
        </w:rPr>
        <w:t> </w:t>
      </w:r>
      <w:r>
        <w:rPr>
          <w:color w:val="231F1F"/>
          <w:spacing w:val="-2"/>
          <w:w w:val="110"/>
          <w:sz w:val="20"/>
        </w:rPr>
        <w:t>Kilby</w:t>
      </w:r>
      <w:r>
        <w:rPr>
          <w:color w:val="231F1F"/>
          <w:spacing w:val="-9"/>
          <w:w w:val="110"/>
          <w:sz w:val="20"/>
        </w:rPr>
        <w:t> </w:t>
      </w:r>
      <w:r>
        <w:rPr>
          <w:color w:val="231F1F"/>
          <w:spacing w:val="-2"/>
          <w:w w:val="110"/>
          <w:sz w:val="20"/>
        </w:rPr>
        <w:t>MD,</w:t>
      </w:r>
      <w:r>
        <w:rPr>
          <w:color w:val="231F1F"/>
          <w:spacing w:val="-8"/>
          <w:w w:val="110"/>
          <w:sz w:val="20"/>
        </w:rPr>
        <w:t> </w:t>
      </w:r>
      <w:r>
        <w:rPr>
          <w:color w:val="231F1F"/>
          <w:spacing w:val="-2"/>
          <w:w w:val="110"/>
          <w:sz w:val="20"/>
        </w:rPr>
        <w:t>Aiken</w:t>
      </w:r>
      <w:r>
        <w:rPr>
          <w:color w:val="231F1F"/>
          <w:spacing w:val="-8"/>
          <w:w w:val="110"/>
          <w:sz w:val="20"/>
        </w:rPr>
        <w:t> </w:t>
      </w:r>
      <w:r>
        <w:rPr>
          <w:color w:val="231F1F"/>
          <w:spacing w:val="-2"/>
          <w:w w:val="110"/>
          <w:sz w:val="20"/>
        </w:rPr>
        <w:t>J,</w:t>
      </w:r>
      <w:r>
        <w:rPr>
          <w:color w:val="231F1F"/>
          <w:spacing w:val="-8"/>
          <w:w w:val="110"/>
          <w:sz w:val="20"/>
        </w:rPr>
        <w:t> </w:t>
      </w:r>
      <w:r>
        <w:rPr>
          <w:color w:val="231F1F"/>
          <w:spacing w:val="-2"/>
          <w:w w:val="110"/>
          <w:sz w:val="20"/>
        </w:rPr>
        <w:t>et</w:t>
      </w:r>
      <w:r>
        <w:rPr>
          <w:color w:val="231F1F"/>
          <w:spacing w:val="-6"/>
          <w:w w:val="110"/>
          <w:sz w:val="20"/>
        </w:rPr>
        <w:t> </w:t>
      </w:r>
      <w:r>
        <w:rPr>
          <w:color w:val="231F1F"/>
          <w:spacing w:val="-2"/>
          <w:w w:val="110"/>
          <w:sz w:val="20"/>
        </w:rPr>
        <w:t>al.</w:t>
      </w:r>
      <w:r>
        <w:rPr>
          <w:color w:val="231F1F"/>
          <w:spacing w:val="-8"/>
          <w:w w:val="110"/>
          <w:sz w:val="20"/>
        </w:rPr>
        <w:t> </w:t>
      </w:r>
      <w:r>
        <w:rPr>
          <w:color w:val="231F1F"/>
          <w:spacing w:val="-2"/>
          <w:w w:val="110"/>
          <w:sz w:val="20"/>
        </w:rPr>
        <w:t>Can</w:t>
      </w:r>
      <w:r>
        <w:rPr>
          <w:color w:val="231F1F"/>
          <w:spacing w:val="-6"/>
          <w:w w:val="110"/>
          <w:sz w:val="20"/>
        </w:rPr>
        <w:t> </w:t>
      </w:r>
      <w:r>
        <w:rPr>
          <w:color w:val="231F1F"/>
          <w:spacing w:val="-2"/>
          <w:w w:val="110"/>
          <w:sz w:val="20"/>
        </w:rPr>
        <w:t>the</w:t>
      </w:r>
      <w:r>
        <w:rPr>
          <w:color w:val="231F1F"/>
          <w:spacing w:val="-6"/>
          <w:w w:val="110"/>
          <w:sz w:val="20"/>
        </w:rPr>
        <w:t> </w:t>
      </w:r>
      <w:r>
        <w:rPr>
          <w:color w:val="231F1F"/>
          <w:spacing w:val="-2"/>
          <w:w w:val="110"/>
          <w:sz w:val="20"/>
        </w:rPr>
        <w:t>frequency</w:t>
      </w:r>
      <w:r>
        <w:rPr>
          <w:color w:val="231F1F"/>
          <w:spacing w:val="-6"/>
          <w:w w:val="110"/>
          <w:sz w:val="20"/>
        </w:rPr>
        <w:t> </w:t>
      </w:r>
      <w:r>
        <w:rPr>
          <w:color w:val="231F1F"/>
          <w:spacing w:val="-2"/>
          <w:w w:val="110"/>
          <w:sz w:val="20"/>
        </w:rPr>
        <w:t>of</w:t>
      </w:r>
      <w:r>
        <w:rPr>
          <w:color w:val="231F1F"/>
          <w:spacing w:val="-6"/>
          <w:w w:val="110"/>
          <w:sz w:val="20"/>
        </w:rPr>
        <w:t> </w:t>
      </w:r>
      <w:r>
        <w:rPr>
          <w:color w:val="231F1F"/>
          <w:spacing w:val="-2"/>
          <w:w w:val="110"/>
          <w:sz w:val="20"/>
        </w:rPr>
        <w:t>vaginal</w:t>
      </w:r>
      <w:r>
        <w:rPr>
          <w:color w:val="231F1F"/>
          <w:spacing w:val="-6"/>
          <w:w w:val="110"/>
          <w:sz w:val="20"/>
        </w:rPr>
        <w:t> </w:t>
      </w:r>
      <w:r>
        <w:rPr>
          <w:color w:val="231F1F"/>
          <w:spacing w:val="-2"/>
          <w:w w:val="110"/>
          <w:sz w:val="20"/>
        </w:rPr>
        <w:t>examinations</w:t>
      </w:r>
      <w:r>
        <w:rPr>
          <w:color w:val="231F1F"/>
          <w:spacing w:val="-7"/>
          <w:w w:val="110"/>
          <w:sz w:val="20"/>
        </w:rPr>
        <w:t> </w:t>
      </w:r>
      <w:r>
        <w:rPr>
          <w:color w:val="231F1F"/>
          <w:spacing w:val="-2"/>
          <w:w w:val="110"/>
          <w:sz w:val="20"/>
        </w:rPr>
        <w:t>influence </w:t>
      </w:r>
      <w:r>
        <w:rPr>
          <w:color w:val="231F1F"/>
          <w:w w:val="110"/>
          <w:sz w:val="20"/>
        </w:rPr>
        <w:t>the</w:t>
      </w:r>
      <w:r>
        <w:rPr>
          <w:color w:val="231F1F"/>
          <w:spacing w:val="-5"/>
          <w:w w:val="110"/>
          <w:sz w:val="20"/>
        </w:rPr>
        <w:t> </w:t>
      </w:r>
      <w:r>
        <w:rPr>
          <w:color w:val="231F1F"/>
          <w:w w:val="110"/>
          <w:sz w:val="20"/>
        </w:rPr>
        <w:t>duration</w:t>
      </w:r>
      <w:r>
        <w:rPr>
          <w:color w:val="231F1F"/>
          <w:spacing w:val="-4"/>
          <w:w w:val="110"/>
          <w:sz w:val="20"/>
        </w:rPr>
        <w:t> </w:t>
      </w:r>
      <w:r>
        <w:rPr>
          <w:color w:val="231F1F"/>
          <w:w w:val="110"/>
          <w:sz w:val="20"/>
        </w:rPr>
        <w:t>of</w:t>
      </w:r>
      <w:r>
        <w:rPr>
          <w:color w:val="231F1F"/>
          <w:spacing w:val="-4"/>
          <w:w w:val="110"/>
          <w:sz w:val="20"/>
        </w:rPr>
        <w:t> </w:t>
      </w:r>
      <w:r>
        <w:rPr>
          <w:color w:val="231F1F"/>
          <w:w w:val="110"/>
          <w:sz w:val="20"/>
        </w:rPr>
        <w:t>labour?</w:t>
      </w:r>
      <w:r>
        <w:rPr>
          <w:color w:val="231F1F"/>
          <w:spacing w:val="-15"/>
          <w:w w:val="110"/>
          <w:sz w:val="20"/>
        </w:rPr>
        <w:t> </w:t>
      </w:r>
      <w:r>
        <w:rPr>
          <w:color w:val="231F1F"/>
          <w:w w:val="110"/>
          <w:sz w:val="20"/>
        </w:rPr>
        <w:t>A</w:t>
      </w:r>
      <w:r>
        <w:rPr>
          <w:color w:val="231F1F"/>
          <w:spacing w:val="-4"/>
          <w:w w:val="110"/>
          <w:sz w:val="20"/>
        </w:rPr>
        <w:t> </w:t>
      </w:r>
      <w:r>
        <w:rPr>
          <w:color w:val="231F1F"/>
          <w:w w:val="110"/>
          <w:sz w:val="20"/>
        </w:rPr>
        <w:t>prospective</w:t>
      </w:r>
      <w:r>
        <w:rPr>
          <w:color w:val="231F1F"/>
          <w:spacing w:val="-4"/>
          <w:w w:val="110"/>
          <w:sz w:val="20"/>
        </w:rPr>
        <w:t> </w:t>
      </w:r>
      <w:r>
        <w:rPr>
          <w:color w:val="231F1F"/>
          <w:w w:val="110"/>
          <w:sz w:val="20"/>
        </w:rPr>
        <w:t>randomised</w:t>
      </w:r>
      <w:r>
        <w:rPr>
          <w:color w:val="231F1F"/>
          <w:spacing w:val="-4"/>
          <w:w w:val="110"/>
          <w:sz w:val="20"/>
        </w:rPr>
        <w:t> </w:t>
      </w:r>
      <w:r>
        <w:rPr>
          <w:color w:val="231F1F"/>
          <w:w w:val="110"/>
          <w:sz w:val="20"/>
        </w:rPr>
        <w:t>study.</w:t>
      </w:r>
      <w:r>
        <w:rPr>
          <w:color w:val="231F1F"/>
          <w:spacing w:val="-15"/>
          <w:w w:val="110"/>
          <w:sz w:val="20"/>
        </w:rPr>
        <w:t> </w:t>
      </w:r>
      <w:r>
        <w:rPr>
          <w:color w:val="231F1F"/>
          <w:w w:val="110"/>
          <w:sz w:val="20"/>
        </w:rPr>
        <w:t>J</w:t>
      </w:r>
      <w:r>
        <w:rPr>
          <w:color w:val="231F1F"/>
          <w:spacing w:val="-4"/>
          <w:w w:val="110"/>
          <w:sz w:val="20"/>
        </w:rPr>
        <w:t> </w:t>
      </w:r>
      <w:r>
        <w:rPr>
          <w:color w:val="231F1F"/>
          <w:w w:val="110"/>
          <w:sz w:val="20"/>
        </w:rPr>
        <w:t>Obstet</w:t>
      </w:r>
      <w:r>
        <w:rPr>
          <w:color w:val="231F1F"/>
          <w:spacing w:val="-4"/>
          <w:w w:val="110"/>
          <w:sz w:val="20"/>
        </w:rPr>
        <w:t> </w:t>
      </w:r>
      <w:r>
        <w:rPr>
          <w:color w:val="231F1F"/>
          <w:w w:val="110"/>
          <w:sz w:val="20"/>
        </w:rPr>
        <w:t>Gynaecol</w:t>
      </w:r>
      <w:r>
        <w:rPr>
          <w:color w:val="231F1F"/>
          <w:spacing w:val="-4"/>
          <w:w w:val="110"/>
          <w:sz w:val="20"/>
        </w:rPr>
        <w:t> </w:t>
      </w:r>
      <w:r>
        <w:rPr>
          <w:color w:val="231F1F"/>
          <w:w w:val="110"/>
          <w:sz w:val="20"/>
        </w:rPr>
        <w:t>1996;161:22-5.</w:t>
      </w:r>
    </w:p>
    <w:p>
      <w:pPr>
        <w:pStyle w:val="ListParagraph"/>
        <w:numPr>
          <w:ilvl w:val="0"/>
          <w:numId w:val="109"/>
        </w:numPr>
        <w:tabs>
          <w:tab w:pos="793" w:val="left" w:leader="none"/>
        </w:tabs>
        <w:spacing w:line="230" w:lineRule="auto" w:before="124" w:after="0"/>
        <w:ind w:left="793" w:right="123" w:hanging="511"/>
        <w:jc w:val="left"/>
        <w:rPr>
          <w:sz w:val="20"/>
        </w:rPr>
      </w:pPr>
      <w:r>
        <w:rPr>
          <w:color w:val="231F1F"/>
          <w:w w:val="105"/>
          <w:sz w:val="20"/>
        </w:rPr>
        <w:t>Ahlden</w:t>
      </w:r>
      <w:r>
        <w:rPr>
          <w:color w:val="231F1F"/>
          <w:spacing w:val="-1"/>
          <w:w w:val="105"/>
          <w:sz w:val="20"/>
        </w:rPr>
        <w:t> </w:t>
      </w:r>
      <w:r>
        <w:rPr>
          <w:color w:val="231F1F"/>
          <w:w w:val="105"/>
          <w:sz w:val="20"/>
        </w:rPr>
        <w:t>S,</w:t>
      </w:r>
      <w:r>
        <w:rPr>
          <w:color w:val="231F1F"/>
          <w:spacing w:val="-3"/>
          <w:w w:val="105"/>
          <w:sz w:val="20"/>
        </w:rPr>
        <w:t> </w:t>
      </w:r>
      <w:r>
        <w:rPr>
          <w:color w:val="231F1F"/>
          <w:w w:val="105"/>
          <w:sz w:val="20"/>
        </w:rPr>
        <w:t>Andersch B,</w:t>
      </w:r>
      <w:r>
        <w:rPr>
          <w:color w:val="231F1F"/>
          <w:spacing w:val="-2"/>
          <w:w w:val="105"/>
          <w:sz w:val="20"/>
        </w:rPr>
        <w:t> </w:t>
      </w:r>
      <w:r>
        <w:rPr>
          <w:color w:val="231F1F"/>
          <w:w w:val="105"/>
          <w:sz w:val="20"/>
        </w:rPr>
        <w:t>Stigsson L,</w:t>
      </w:r>
      <w:r>
        <w:rPr>
          <w:color w:val="231F1F"/>
          <w:spacing w:val="-2"/>
          <w:w w:val="105"/>
          <w:sz w:val="20"/>
        </w:rPr>
        <w:t> </w:t>
      </w:r>
      <w:r>
        <w:rPr>
          <w:color w:val="231F1F"/>
          <w:w w:val="105"/>
          <w:sz w:val="20"/>
        </w:rPr>
        <w:t>et al.</w:t>
      </w:r>
      <w:r>
        <w:rPr>
          <w:color w:val="231F1F"/>
          <w:spacing w:val="-2"/>
          <w:w w:val="105"/>
          <w:sz w:val="20"/>
        </w:rPr>
        <w:t> </w:t>
      </w:r>
      <w:r>
        <w:rPr>
          <w:color w:val="231F1F"/>
          <w:w w:val="105"/>
          <w:sz w:val="20"/>
        </w:rPr>
        <w:t>Prediction of sepsis neonatorum</w:t>
      </w:r>
      <w:r>
        <w:rPr>
          <w:color w:val="231F1F"/>
          <w:spacing w:val="-1"/>
          <w:w w:val="105"/>
          <w:sz w:val="20"/>
        </w:rPr>
        <w:t> </w:t>
      </w:r>
      <w:r>
        <w:rPr>
          <w:color w:val="231F1F"/>
          <w:w w:val="105"/>
          <w:sz w:val="20"/>
        </w:rPr>
        <w:t>following a full-term pregnancy. Gynecol Obstet Invest 1988;253:181-5.</w:t>
      </w:r>
    </w:p>
    <w:p>
      <w:pPr>
        <w:pStyle w:val="ListParagraph"/>
        <w:numPr>
          <w:ilvl w:val="0"/>
          <w:numId w:val="109"/>
        </w:numPr>
        <w:tabs>
          <w:tab w:pos="791" w:val="left" w:leader="none"/>
        </w:tabs>
        <w:spacing w:line="228" w:lineRule="auto" w:before="127" w:after="0"/>
        <w:ind w:left="791" w:right="118" w:hanging="511"/>
        <w:jc w:val="both"/>
        <w:rPr>
          <w:sz w:val="20"/>
        </w:rPr>
      </w:pPr>
      <w:r>
        <w:rPr>
          <w:color w:val="231F1F"/>
          <w:w w:val="110"/>
          <w:sz w:val="20"/>
        </w:rPr>
        <w:t>Seaward</w:t>
      </w:r>
      <w:r>
        <w:rPr>
          <w:color w:val="231F1F"/>
          <w:spacing w:val="-12"/>
          <w:w w:val="110"/>
          <w:sz w:val="20"/>
        </w:rPr>
        <w:t> </w:t>
      </w:r>
      <w:r>
        <w:rPr>
          <w:color w:val="231F1F"/>
          <w:w w:val="110"/>
          <w:sz w:val="20"/>
        </w:rPr>
        <w:t>PG,</w:t>
      </w:r>
      <w:r>
        <w:rPr>
          <w:color w:val="231F1F"/>
          <w:spacing w:val="-11"/>
          <w:w w:val="110"/>
          <w:sz w:val="20"/>
        </w:rPr>
        <w:t> </w:t>
      </w:r>
      <w:r>
        <w:rPr>
          <w:color w:val="231F1F"/>
          <w:w w:val="110"/>
          <w:sz w:val="20"/>
        </w:rPr>
        <w:t>Hannah</w:t>
      </w:r>
      <w:r>
        <w:rPr>
          <w:color w:val="231F1F"/>
          <w:spacing w:val="-12"/>
          <w:w w:val="110"/>
          <w:sz w:val="20"/>
        </w:rPr>
        <w:t> </w:t>
      </w:r>
      <w:r>
        <w:rPr>
          <w:color w:val="231F1F"/>
          <w:w w:val="110"/>
          <w:sz w:val="20"/>
        </w:rPr>
        <w:t>ME,</w:t>
      </w:r>
      <w:r>
        <w:rPr>
          <w:color w:val="231F1F"/>
          <w:spacing w:val="-11"/>
          <w:w w:val="110"/>
          <w:sz w:val="20"/>
        </w:rPr>
        <w:t> </w:t>
      </w:r>
      <w:r>
        <w:rPr>
          <w:color w:val="231F1F"/>
          <w:w w:val="110"/>
          <w:sz w:val="20"/>
        </w:rPr>
        <w:t>Myhr</w:t>
      </w:r>
      <w:r>
        <w:rPr>
          <w:color w:val="231F1F"/>
          <w:spacing w:val="-12"/>
          <w:w w:val="110"/>
          <w:sz w:val="20"/>
        </w:rPr>
        <w:t> </w:t>
      </w:r>
      <w:r>
        <w:rPr>
          <w:color w:val="231F1F"/>
          <w:w w:val="110"/>
          <w:sz w:val="20"/>
        </w:rPr>
        <w:t>TL,</w:t>
      </w:r>
      <w:r>
        <w:rPr>
          <w:color w:val="231F1F"/>
          <w:spacing w:val="-12"/>
          <w:w w:val="110"/>
          <w:sz w:val="20"/>
        </w:rPr>
        <w:t> </w:t>
      </w:r>
      <w:r>
        <w:rPr>
          <w:color w:val="231F1F"/>
          <w:w w:val="110"/>
          <w:sz w:val="20"/>
        </w:rPr>
        <w:t>et.al.</w:t>
      </w:r>
      <w:r>
        <w:rPr>
          <w:color w:val="231F1F"/>
          <w:spacing w:val="-12"/>
          <w:w w:val="110"/>
          <w:sz w:val="20"/>
        </w:rPr>
        <w:t> </w:t>
      </w:r>
      <w:r>
        <w:rPr>
          <w:color w:val="231F1F"/>
          <w:w w:val="110"/>
          <w:sz w:val="20"/>
        </w:rPr>
        <w:t>International</w:t>
      </w:r>
      <w:r>
        <w:rPr>
          <w:color w:val="231F1F"/>
          <w:spacing w:val="-9"/>
          <w:w w:val="110"/>
          <w:sz w:val="20"/>
        </w:rPr>
        <w:t> </w:t>
      </w:r>
      <w:r>
        <w:rPr>
          <w:color w:val="231F1F"/>
          <w:w w:val="110"/>
          <w:sz w:val="20"/>
        </w:rPr>
        <w:t>Multicentre</w:t>
      </w:r>
      <w:r>
        <w:rPr>
          <w:color w:val="231F1F"/>
          <w:spacing w:val="-12"/>
          <w:w w:val="110"/>
          <w:sz w:val="20"/>
        </w:rPr>
        <w:t> </w:t>
      </w:r>
      <w:r>
        <w:rPr>
          <w:color w:val="231F1F"/>
          <w:w w:val="110"/>
          <w:sz w:val="20"/>
        </w:rPr>
        <w:t>Term</w:t>
      </w:r>
      <w:r>
        <w:rPr>
          <w:color w:val="231F1F"/>
          <w:spacing w:val="-10"/>
          <w:w w:val="110"/>
          <w:sz w:val="20"/>
        </w:rPr>
        <w:t> </w:t>
      </w:r>
      <w:r>
        <w:rPr>
          <w:color w:val="231F1F"/>
          <w:w w:val="110"/>
          <w:sz w:val="20"/>
        </w:rPr>
        <w:t>Prelabor</w:t>
      </w:r>
      <w:r>
        <w:rPr>
          <w:color w:val="231F1F"/>
          <w:spacing w:val="-10"/>
          <w:w w:val="110"/>
          <w:sz w:val="20"/>
        </w:rPr>
        <w:t> </w:t>
      </w:r>
      <w:r>
        <w:rPr>
          <w:color w:val="231F1F"/>
          <w:w w:val="110"/>
          <w:sz w:val="20"/>
        </w:rPr>
        <w:t>Rupture of Membranes Study: evaluation of predictors of clinical chorioamnionitis and postpartum fever</w:t>
      </w:r>
      <w:r>
        <w:rPr>
          <w:color w:val="231F1F"/>
          <w:w w:val="110"/>
          <w:sz w:val="20"/>
        </w:rPr>
        <w:t> in</w:t>
      </w:r>
      <w:r>
        <w:rPr>
          <w:color w:val="231F1F"/>
          <w:w w:val="110"/>
          <w:sz w:val="20"/>
        </w:rPr>
        <w:t> patients</w:t>
      </w:r>
      <w:r>
        <w:rPr>
          <w:color w:val="231F1F"/>
          <w:w w:val="110"/>
          <w:sz w:val="20"/>
        </w:rPr>
        <w:t> with</w:t>
      </w:r>
      <w:r>
        <w:rPr>
          <w:color w:val="231F1F"/>
          <w:w w:val="110"/>
          <w:sz w:val="20"/>
        </w:rPr>
        <w:t> prelabor</w:t>
      </w:r>
      <w:r>
        <w:rPr>
          <w:color w:val="231F1F"/>
          <w:w w:val="110"/>
          <w:sz w:val="20"/>
        </w:rPr>
        <w:t> rupture</w:t>
      </w:r>
      <w:r>
        <w:rPr>
          <w:color w:val="231F1F"/>
          <w:w w:val="110"/>
          <w:sz w:val="20"/>
        </w:rPr>
        <w:t> of</w:t>
      </w:r>
      <w:r>
        <w:rPr>
          <w:color w:val="231F1F"/>
          <w:w w:val="110"/>
          <w:sz w:val="20"/>
        </w:rPr>
        <w:t> membranes</w:t>
      </w:r>
      <w:r>
        <w:rPr>
          <w:color w:val="231F1F"/>
          <w:w w:val="110"/>
          <w:sz w:val="20"/>
        </w:rPr>
        <w:t> at</w:t>
      </w:r>
      <w:r>
        <w:rPr>
          <w:color w:val="231F1F"/>
          <w:w w:val="110"/>
          <w:sz w:val="20"/>
        </w:rPr>
        <w:t> term.</w:t>
      </w:r>
      <w:r>
        <w:rPr>
          <w:color w:val="231F1F"/>
          <w:w w:val="110"/>
          <w:sz w:val="20"/>
        </w:rPr>
        <w:t> Am</w:t>
      </w:r>
      <w:r>
        <w:rPr>
          <w:color w:val="231F1F"/>
          <w:w w:val="110"/>
          <w:sz w:val="20"/>
        </w:rPr>
        <w:t> J</w:t>
      </w:r>
      <w:r>
        <w:rPr>
          <w:color w:val="231F1F"/>
          <w:w w:val="110"/>
          <w:sz w:val="20"/>
        </w:rPr>
        <w:t> Obstet</w:t>
      </w:r>
      <w:r>
        <w:rPr>
          <w:color w:val="231F1F"/>
          <w:w w:val="110"/>
          <w:sz w:val="20"/>
        </w:rPr>
        <w:t> Gynecol </w:t>
      </w:r>
      <w:r>
        <w:rPr>
          <w:color w:val="231F1F"/>
          <w:spacing w:val="-2"/>
          <w:w w:val="110"/>
          <w:sz w:val="20"/>
        </w:rPr>
        <w:t>1997;1775:1024-9.</w:t>
      </w:r>
    </w:p>
    <w:p>
      <w:pPr>
        <w:pStyle w:val="ListParagraph"/>
        <w:numPr>
          <w:ilvl w:val="0"/>
          <w:numId w:val="109"/>
        </w:numPr>
        <w:tabs>
          <w:tab w:pos="792" w:val="left" w:leader="none"/>
        </w:tabs>
        <w:spacing w:line="232" w:lineRule="auto" w:before="131" w:after="0"/>
        <w:ind w:left="792" w:right="111" w:hanging="511"/>
        <w:jc w:val="both"/>
        <w:rPr>
          <w:sz w:val="20"/>
        </w:rPr>
      </w:pPr>
      <w:r>
        <w:rPr>
          <w:color w:val="231F1F"/>
          <w:w w:val="105"/>
          <w:sz w:val="20"/>
        </w:rPr>
        <w:t>Hannah</w:t>
      </w:r>
      <w:r>
        <w:rPr>
          <w:color w:val="231F1F"/>
          <w:w w:val="105"/>
          <w:sz w:val="20"/>
        </w:rPr>
        <w:t> ME,</w:t>
      </w:r>
      <w:r>
        <w:rPr>
          <w:color w:val="231F1F"/>
          <w:w w:val="105"/>
          <w:sz w:val="20"/>
        </w:rPr>
        <w:t> Hodnett</w:t>
      </w:r>
      <w:r>
        <w:rPr>
          <w:color w:val="231F1F"/>
          <w:spacing w:val="40"/>
          <w:w w:val="105"/>
          <w:sz w:val="20"/>
        </w:rPr>
        <w:t> </w:t>
      </w:r>
      <w:r>
        <w:rPr>
          <w:color w:val="231F1F"/>
          <w:w w:val="105"/>
          <w:sz w:val="20"/>
        </w:rPr>
        <w:t>ED,</w:t>
      </w:r>
      <w:r>
        <w:rPr>
          <w:color w:val="231F1F"/>
          <w:w w:val="105"/>
          <w:sz w:val="20"/>
        </w:rPr>
        <w:t> Willan</w:t>
      </w:r>
      <w:r>
        <w:rPr>
          <w:color w:val="231F1F"/>
          <w:w w:val="105"/>
          <w:sz w:val="20"/>
        </w:rPr>
        <w:t> A,</w:t>
      </w:r>
      <w:r>
        <w:rPr>
          <w:color w:val="231F1F"/>
          <w:w w:val="105"/>
          <w:sz w:val="20"/>
        </w:rPr>
        <w:t> et</w:t>
      </w:r>
      <w:r>
        <w:rPr>
          <w:color w:val="231F1F"/>
          <w:spacing w:val="40"/>
          <w:w w:val="105"/>
          <w:sz w:val="20"/>
        </w:rPr>
        <w:t> </w:t>
      </w:r>
      <w:r>
        <w:rPr>
          <w:color w:val="231F1F"/>
          <w:w w:val="105"/>
          <w:sz w:val="20"/>
        </w:rPr>
        <w:t>al.</w:t>
      </w:r>
      <w:r>
        <w:rPr>
          <w:color w:val="231F1F"/>
          <w:w w:val="105"/>
          <w:sz w:val="20"/>
        </w:rPr>
        <w:t> Prelabor</w:t>
      </w:r>
      <w:r>
        <w:rPr>
          <w:color w:val="231F1F"/>
          <w:w w:val="105"/>
          <w:sz w:val="20"/>
        </w:rPr>
        <w:t> rupture</w:t>
      </w:r>
      <w:r>
        <w:rPr>
          <w:color w:val="231F1F"/>
          <w:w w:val="105"/>
          <w:sz w:val="20"/>
        </w:rPr>
        <w:t> of</w:t>
      </w:r>
      <w:r>
        <w:rPr>
          <w:color w:val="231F1F"/>
          <w:w w:val="105"/>
          <w:sz w:val="20"/>
        </w:rPr>
        <w:t> the</w:t>
      </w:r>
      <w:r>
        <w:rPr>
          <w:color w:val="231F1F"/>
          <w:w w:val="105"/>
          <w:sz w:val="20"/>
        </w:rPr>
        <w:t> membranes</w:t>
      </w:r>
      <w:r>
        <w:rPr>
          <w:color w:val="231F1F"/>
          <w:w w:val="105"/>
          <w:sz w:val="20"/>
        </w:rPr>
        <w:t> at</w:t>
      </w:r>
      <w:r>
        <w:rPr>
          <w:color w:val="231F1F"/>
          <w:spacing w:val="40"/>
          <w:w w:val="105"/>
          <w:sz w:val="20"/>
        </w:rPr>
        <w:t> </w:t>
      </w:r>
      <w:r>
        <w:rPr>
          <w:color w:val="231F1F"/>
          <w:w w:val="105"/>
          <w:sz w:val="20"/>
        </w:rPr>
        <w:t>term: expctant management at home or in hospital? The TermPROM Study Group. Obstet Gynecol </w:t>
      </w:r>
      <w:r>
        <w:rPr>
          <w:color w:val="231F1F"/>
          <w:spacing w:val="-2"/>
          <w:w w:val="105"/>
          <w:sz w:val="20"/>
        </w:rPr>
        <w:t>2000;964:533-8.</w:t>
      </w:r>
    </w:p>
    <w:p>
      <w:pPr>
        <w:pStyle w:val="ListParagraph"/>
        <w:spacing w:after="0" w:line="232" w:lineRule="auto"/>
        <w:jc w:val="both"/>
        <w:rPr>
          <w:sz w:val="20"/>
        </w:rPr>
        <w:sectPr>
          <w:pgSz w:w="11900" w:h="16840"/>
          <w:pgMar w:header="0" w:footer="622" w:top="1580" w:bottom="820" w:left="1417" w:right="1559"/>
        </w:sectPr>
      </w:pPr>
    </w:p>
    <w:p>
      <w:pPr>
        <w:pStyle w:val="ListParagraph"/>
        <w:numPr>
          <w:ilvl w:val="0"/>
          <w:numId w:val="109"/>
        </w:numPr>
        <w:tabs>
          <w:tab w:pos="791" w:val="left" w:leader="none"/>
        </w:tabs>
        <w:spacing w:line="228" w:lineRule="auto" w:before="86" w:after="0"/>
        <w:ind w:left="791" w:right="110" w:hanging="511"/>
        <w:jc w:val="both"/>
        <w:rPr>
          <w:sz w:val="20"/>
        </w:rPr>
      </w:pPr>
      <w:r>
        <w:rPr>
          <w:color w:val="231F1F"/>
          <w:w w:val="110"/>
          <w:sz w:val="20"/>
        </w:rPr>
        <w:t>Ezra</w:t>
      </w:r>
      <w:r>
        <w:rPr>
          <w:color w:val="231F1F"/>
          <w:spacing w:val="-13"/>
          <w:w w:val="110"/>
          <w:sz w:val="20"/>
        </w:rPr>
        <w:t> </w:t>
      </w:r>
      <w:r>
        <w:rPr>
          <w:color w:val="231F1F"/>
          <w:w w:val="110"/>
          <w:sz w:val="20"/>
        </w:rPr>
        <w:t>Y,</w:t>
      </w:r>
      <w:r>
        <w:rPr>
          <w:color w:val="231F1F"/>
          <w:spacing w:val="-13"/>
          <w:w w:val="110"/>
          <w:sz w:val="20"/>
        </w:rPr>
        <w:t> </w:t>
      </w:r>
      <w:r>
        <w:rPr>
          <w:color w:val="231F1F"/>
          <w:w w:val="110"/>
          <w:sz w:val="20"/>
        </w:rPr>
        <w:t>Michaelson-Cohen</w:t>
      </w:r>
      <w:r>
        <w:rPr>
          <w:color w:val="231F1F"/>
          <w:spacing w:val="-13"/>
          <w:w w:val="110"/>
          <w:sz w:val="20"/>
        </w:rPr>
        <w:t> </w:t>
      </w:r>
      <w:r>
        <w:rPr>
          <w:color w:val="231F1F"/>
          <w:w w:val="110"/>
          <w:sz w:val="20"/>
        </w:rPr>
        <w:t>R,</w:t>
      </w:r>
      <w:r>
        <w:rPr>
          <w:color w:val="231F1F"/>
          <w:spacing w:val="-13"/>
          <w:w w:val="110"/>
          <w:sz w:val="20"/>
        </w:rPr>
        <w:t> </w:t>
      </w:r>
      <w:r>
        <w:rPr>
          <w:color w:val="231F1F"/>
          <w:w w:val="110"/>
          <w:sz w:val="20"/>
        </w:rPr>
        <w:t>Abramov</w:t>
      </w:r>
      <w:r>
        <w:rPr>
          <w:color w:val="231F1F"/>
          <w:spacing w:val="-13"/>
          <w:w w:val="110"/>
          <w:sz w:val="20"/>
        </w:rPr>
        <w:t> </w:t>
      </w:r>
      <w:r>
        <w:rPr>
          <w:color w:val="231F1F"/>
          <w:w w:val="110"/>
          <w:sz w:val="20"/>
        </w:rPr>
        <w:t>Y,</w:t>
      </w:r>
      <w:r>
        <w:rPr>
          <w:color w:val="231F1F"/>
          <w:spacing w:val="-13"/>
          <w:w w:val="110"/>
          <w:sz w:val="20"/>
        </w:rPr>
        <w:t> </w:t>
      </w:r>
      <w:r>
        <w:rPr>
          <w:color w:val="231F1F"/>
          <w:w w:val="110"/>
          <w:sz w:val="20"/>
        </w:rPr>
        <w:t>et</w:t>
      </w:r>
      <w:r>
        <w:rPr>
          <w:color w:val="231F1F"/>
          <w:spacing w:val="-13"/>
          <w:w w:val="110"/>
          <w:sz w:val="20"/>
        </w:rPr>
        <w:t> </w:t>
      </w:r>
      <w:r>
        <w:rPr>
          <w:color w:val="231F1F"/>
          <w:w w:val="110"/>
          <w:sz w:val="20"/>
        </w:rPr>
        <w:t>al.</w:t>
      </w:r>
      <w:r>
        <w:rPr>
          <w:color w:val="231F1F"/>
          <w:spacing w:val="-13"/>
          <w:w w:val="110"/>
          <w:sz w:val="20"/>
        </w:rPr>
        <w:t> </w:t>
      </w:r>
      <w:r>
        <w:rPr>
          <w:color w:val="231F1F"/>
          <w:w w:val="110"/>
          <w:sz w:val="20"/>
        </w:rPr>
        <w:t>Prelabor</w:t>
      </w:r>
      <w:r>
        <w:rPr>
          <w:color w:val="231F1F"/>
          <w:spacing w:val="-13"/>
          <w:w w:val="110"/>
          <w:sz w:val="20"/>
        </w:rPr>
        <w:t> </w:t>
      </w:r>
      <w:r>
        <w:rPr>
          <w:color w:val="231F1F"/>
          <w:w w:val="110"/>
          <w:sz w:val="20"/>
        </w:rPr>
        <w:t>rupture</w:t>
      </w:r>
      <w:r>
        <w:rPr>
          <w:color w:val="231F1F"/>
          <w:spacing w:val="-13"/>
          <w:w w:val="110"/>
          <w:sz w:val="20"/>
        </w:rPr>
        <w:t> </w:t>
      </w:r>
      <w:r>
        <w:rPr>
          <w:color w:val="231F1F"/>
          <w:w w:val="110"/>
          <w:sz w:val="20"/>
        </w:rPr>
        <w:t>of</w:t>
      </w:r>
      <w:r>
        <w:rPr>
          <w:color w:val="231F1F"/>
          <w:spacing w:val="-13"/>
          <w:w w:val="110"/>
          <w:sz w:val="20"/>
        </w:rPr>
        <w:t> </w:t>
      </w:r>
      <w:r>
        <w:rPr>
          <w:color w:val="231F1F"/>
          <w:w w:val="110"/>
          <w:sz w:val="20"/>
        </w:rPr>
        <w:t>the</w:t>
      </w:r>
      <w:r>
        <w:rPr>
          <w:color w:val="231F1F"/>
          <w:spacing w:val="-12"/>
          <w:w w:val="110"/>
          <w:sz w:val="20"/>
        </w:rPr>
        <w:t> </w:t>
      </w:r>
      <w:r>
        <w:rPr>
          <w:color w:val="231F1F"/>
          <w:w w:val="110"/>
          <w:sz w:val="20"/>
        </w:rPr>
        <w:t>membranes</w:t>
      </w:r>
      <w:r>
        <w:rPr>
          <w:color w:val="231F1F"/>
          <w:spacing w:val="-12"/>
          <w:w w:val="110"/>
          <w:sz w:val="20"/>
        </w:rPr>
        <w:t> </w:t>
      </w:r>
      <w:r>
        <w:rPr>
          <w:color w:val="231F1F"/>
          <w:w w:val="110"/>
          <w:sz w:val="20"/>
        </w:rPr>
        <w:t>at</w:t>
      </w:r>
      <w:r>
        <w:rPr>
          <w:color w:val="231F1F"/>
          <w:spacing w:val="-12"/>
          <w:w w:val="110"/>
          <w:sz w:val="20"/>
        </w:rPr>
        <w:t> </w:t>
      </w:r>
      <w:r>
        <w:rPr>
          <w:color w:val="231F1F"/>
          <w:w w:val="110"/>
          <w:sz w:val="20"/>
        </w:rPr>
        <w:t>term: When</w:t>
      </w:r>
      <w:r>
        <w:rPr>
          <w:color w:val="231F1F"/>
          <w:w w:val="110"/>
          <w:sz w:val="20"/>
        </w:rPr>
        <w:t> to</w:t>
      </w:r>
      <w:r>
        <w:rPr>
          <w:color w:val="231F1F"/>
          <w:w w:val="110"/>
          <w:sz w:val="20"/>
        </w:rPr>
        <w:t> induce</w:t>
      </w:r>
      <w:r>
        <w:rPr>
          <w:color w:val="231F1F"/>
          <w:w w:val="110"/>
          <w:sz w:val="20"/>
        </w:rPr>
        <w:t> labor?</w:t>
      </w:r>
      <w:r>
        <w:rPr>
          <w:color w:val="231F1F"/>
          <w:w w:val="110"/>
          <w:sz w:val="20"/>
        </w:rPr>
        <w:t> European</w:t>
      </w:r>
      <w:r>
        <w:rPr>
          <w:color w:val="231F1F"/>
          <w:w w:val="110"/>
          <w:sz w:val="20"/>
        </w:rPr>
        <w:t> Journal</w:t>
      </w:r>
      <w:r>
        <w:rPr>
          <w:color w:val="231F1F"/>
          <w:w w:val="110"/>
          <w:sz w:val="20"/>
        </w:rPr>
        <w:t> of</w:t>
      </w:r>
      <w:r>
        <w:rPr>
          <w:color w:val="231F1F"/>
          <w:w w:val="110"/>
          <w:sz w:val="20"/>
        </w:rPr>
        <w:t> Obstetrics.</w:t>
      </w:r>
      <w:r>
        <w:rPr>
          <w:color w:val="231F1F"/>
          <w:w w:val="110"/>
          <w:sz w:val="20"/>
        </w:rPr>
        <w:t> Gynecology</w:t>
      </w:r>
      <w:r>
        <w:rPr>
          <w:color w:val="231F1F"/>
          <w:w w:val="110"/>
          <w:sz w:val="20"/>
        </w:rPr>
        <w:t> and</w:t>
      </w:r>
      <w:r>
        <w:rPr>
          <w:color w:val="231F1F"/>
          <w:w w:val="110"/>
          <w:sz w:val="20"/>
        </w:rPr>
        <w:t> Reproductive Biology</w:t>
      </w:r>
      <w:r>
        <w:rPr>
          <w:color w:val="231F1F"/>
          <w:spacing w:val="-16"/>
          <w:w w:val="110"/>
          <w:sz w:val="20"/>
        </w:rPr>
        <w:t> </w:t>
      </w:r>
      <w:r>
        <w:rPr>
          <w:color w:val="231F1F"/>
          <w:w w:val="110"/>
          <w:sz w:val="20"/>
        </w:rPr>
        <w:t>2004;1151:23-7.</w:t>
      </w:r>
    </w:p>
    <w:p>
      <w:pPr>
        <w:pStyle w:val="ListParagraph"/>
        <w:numPr>
          <w:ilvl w:val="0"/>
          <w:numId w:val="109"/>
        </w:numPr>
        <w:tabs>
          <w:tab w:pos="791" w:val="left" w:leader="none"/>
        </w:tabs>
        <w:spacing w:line="230" w:lineRule="auto" w:before="139" w:after="0"/>
        <w:ind w:left="791" w:right="109" w:hanging="511"/>
        <w:jc w:val="both"/>
        <w:rPr>
          <w:sz w:val="20"/>
        </w:rPr>
      </w:pPr>
      <w:r>
        <w:rPr>
          <w:color w:val="231F1F"/>
          <w:w w:val="110"/>
          <w:sz w:val="20"/>
        </w:rPr>
        <w:t>Seaward</w:t>
      </w:r>
      <w:r>
        <w:rPr>
          <w:color w:val="231F1F"/>
          <w:w w:val="110"/>
          <w:sz w:val="20"/>
        </w:rPr>
        <w:t> PG,</w:t>
      </w:r>
      <w:r>
        <w:rPr>
          <w:color w:val="231F1F"/>
          <w:w w:val="110"/>
          <w:sz w:val="20"/>
        </w:rPr>
        <w:t> Hannah</w:t>
      </w:r>
      <w:r>
        <w:rPr>
          <w:color w:val="231F1F"/>
          <w:w w:val="110"/>
          <w:sz w:val="20"/>
        </w:rPr>
        <w:t> ME,</w:t>
      </w:r>
      <w:r>
        <w:rPr>
          <w:color w:val="231F1F"/>
          <w:w w:val="110"/>
          <w:sz w:val="20"/>
        </w:rPr>
        <w:t> Myhr</w:t>
      </w:r>
      <w:r>
        <w:rPr>
          <w:color w:val="231F1F"/>
          <w:w w:val="110"/>
          <w:sz w:val="20"/>
        </w:rPr>
        <w:t> TL,</w:t>
      </w:r>
      <w:r>
        <w:rPr>
          <w:color w:val="231F1F"/>
          <w:w w:val="110"/>
          <w:sz w:val="20"/>
        </w:rPr>
        <w:t> et</w:t>
      </w:r>
      <w:r>
        <w:rPr>
          <w:color w:val="231F1F"/>
          <w:w w:val="110"/>
          <w:sz w:val="20"/>
        </w:rPr>
        <w:t> al.</w:t>
      </w:r>
      <w:r>
        <w:rPr>
          <w:color w:val="231F1F"/>
          <w:w w:val="110"/>
          <w:sz w:val="20"/>
        </w:rPr>
        <w:t> International</w:t>
      </w:r>
      <w:r>
        <w:rPr>
          <w:color w:val="231F1F"/>
          <w:w w:val="110"/>
          <w:sz w:val="20"/>
        </w:rPr>
        <w:t> multicenter</w:t>
      </w:r>
      <w:r>
        <w:rPr>
          <w:color w:val="231F1F"/>
          <w:w w:val="110"/>
          <w:sz w:val="20"/>
        </w:rPr>
        <w:t> term</w:t>
      </w:r>
      <w:r>
        <w:rPr>
          <w:color w:val="231F1F"/>
          <w:w w:val="110"/>
          <w:sz w:val="20"/>
        </w:rPr>
        <w:t> PROM</w:t>
      </w:r>
      <w:r>
        <w:rPr>
          <w:color w:val="231F1F"/>
          <w:w w:val="110"/>
          <w:sz w:val="20"/>
        </w:rPr>
        <w:t> study: evaluación</w:t>
      </w:r>
      <w:r>
        <w:rPr>
          <w:color w:val="231F1F"/>
          <w:w w:val="110"/>
          <w:sz w:val="20"/>
        </w:rPr>
        <w:t> of</w:t>
      </w:r>
      <w:r>
        <w:rPr>
          <w:color w:val="231F1F"/>
          <w:w w:val="110"/>
          <w:sz w:val="20"/>
        </w:rPr>
        <w:t> predictors</w:t>
      </w:r>
      <w:r>
        <w:rPr>
          <w:color w:val="231F1F"/>
          <w:w w:val="110"/>
          <w:sz w:val="20"/>
        </w:rPr>
        <w:t> of</w:t>
      </w:r>
      <w:r>
        <w:rPr>
          <w:color w:val="231F1F"/>
          <w:w w:val="110"/>
          <w:sz w:val="20"/>
        </w:rPr>
        <w:t> neonatal</w:t>
      </w:r>
      <w:r>
        <w:rPr>
          <w:color w:val="231F1F"/>
          <w:w w:val="110"/>
          <w:sz w:val="20"/>
        </w:rPr>
        <w:t> infection</w:t>
      </w:r>
      <w:r>
        <w:rPr>
          <w:color w:val="231F1F"/>
          <w:w w:val="110"/>
          <w:sz w:val="20"/>
        </w:rPr>
        <w:t> in</w:t>
      </w:r>
      <w:r>
        <w:rPr>
          <w:color w:val="231F1F"/>
          <w:w w:val="110"/>
          <w:sz w:val="20"/>
        </w:rPr>
        <w:t> infants</w:t>
      </w:r>
      <w:r>
        <w:rPr>
          <w:color w:val="231F1F"/>
          <w:w w:val="110"/>
          <w:sz w:val="20"/>
        </w:rPr>
        <w:t> born</w:t>
      </w:r>
      <w:r>
        <w:rPr>
          <w:color w:val="231F1F"/>
          <w:w w:val="110"/>
          <w:sz w:val="20"/>
        </w:rPr>
        <w:t> to</w:t>
      </w:r>
      <w:r>
        <w:rPr>
          <w:color w:val="231F1F"/>
          <w:w w:val="110"/>
          <w:sz w:val="20"/>
        </w:rPr>
        <w:t> patients</w:t>
      </w:r>
      <w:r>
        <w:rPr>
          <w:color w:val="231F1F"/>
          <w:w w:val="110"/>
          <w:sz w:val="20"/>
        </w:rPr>
        <w:t> with</w:t>
      </w:r>
      <w:r>
        <w:rPr>
          <w:color w:val="231F1F"/>
          <w:w w:val="110"/>
          <w:sz w:val="20"/>
        </w:rPr>
        <w:t> premature rupture of membranes at term. Premature Rupture of the Membranes American Journal of Obstetrics and Gynecology 1998;179(3 Pt 1):635-9.</w:t>
      </w:r>
    </w:p>
    <w:p>
      <w:pPr>
        <w:pStyle w:val="ListParagraph"/>
        <w:numPr>
          <w:ilvl w:val="0"/>
          <w:numId w:val="109"/>
        </w:numPr>
        <w:tabs>
          <w:tab w:pos="792" w:val="left" w:leader="none"/>
        </w:tabs>
        <w:spacing w:line="232" w:lineRule="auto" w:before="142" w:after="0"/>
        <w:ind w:left="792" w:right="112" w:hanging="511"/>
        <w:jc w:val="both"/>
        <w:rPr>
          <w:sz w:val="20"/>
        </w:rPr>
      </w:pPr>
      <w:r>
        <w:rPr>
          <w:color w:val="231F1F"/>
          <w:w w:val="105"/>
          <w:sz w:val="20"/>
        </w:rPr>
        <w:t>Fraser</w:t>
      </w:r>
      <w:r>
        <w:rPr>
          <w:color w:val="231F1F"/>
          <w:w w:val="105"/>
          <w:sz w:val="20"/>
        </w:rPr>
        <w:t> WD,</w:t>
      </w:r>
      <w:r>
        <w:rPr>
          <w:color w:val="231F1F"/>
          <w:w w:val="105"/>
          <w:sz w:val="20"/>
        </w:rPr>
        <w:t> Turcot</w:t>
      </w:r>
      <w:r>
        <w:rPr>
          <w:color w:val="231F1F"/>
          <w:w w:val="105"/>
          <w:sz w:val="20"/>
        </w:rPr>
        <w:t> L,</w:t>
      </w:r>
      <w:r>
        <w:rPr>
          <w:color w:val="231F1F"/>
          <w:w w:val="105"/>
          <w:sz w:val="20"/>
        </w:rPr>
        <w:t> Krauss</w:t>
      </w:r>
      <w:r>
        <w:rPr>
          <w:color w:val="231F1F"/>
          <w:w w:val="105"/>
          <w:sz w:val="20"/>
        </w:rPr>
        <w:t> I,</w:t>
      </w:r>
      <w:r>
        <w:rPr>
          <w:color w:val="231F1F"/>
          <w:w w:val="105"/>
          <w:sz w:val="20"/>
        </w:rPr>
        <w:t> Brisson-Carrol</w:t>
      </w:r>
      <w:r>
        <w:rPr>
          <w:color w:val="231F1F"/>
          <w:w w:val="105"/>
          <w:sz w:val="20"/>
        </w:rPr>
        <w:t> G.</w:t>
      </w:r>
      <w:r>
        <w:rPr>
          <w:color w:val="231F1F"/>
          <w:w w:val="105"/>
          <w:sz w:val="20"/>
        </w:rPr>
        <w:t> Amniotomy</w:t>
      </w:r>
      <w:r>
        <w:rPr>
          <w:color w:val="231F1F"/>
          <w:w w:val="105"/>
          <w:sz w:val="20"/>
        </w:rPr>
        <w:t> for</w:t>
      </w:r>
      <w:r>
        <w:rPr>
          <w:color w:val="231F1F"/>
          <w:w w:val="105"/>
          <w:sz w:val="20"/>
        </w:rPr>
        <w:t> shortening</w:t>
      </w:r>
      <w:r>
        <w:rPr>
          <w:color w:val="231F1F"/>
          <w:w w:val="105"/>
          <w:sz w:val="20"/>
        </w:rPr>
        <w:t> spontaneous labour. Cochrane Review In: Cochran Database of Systematic Reviews, Issue 2, 2005;Oxford: Update Software.</w:t>
      </w:r>
    </w:p>
    <w:p>
      <w:pPr>
        <w:pStyle w:val="ListParagraph"/>
        <w:numPr>
          <w:ilvl w:val="0"/>
          <w:numId w:val="109"/>
        </w:numPr>
        <w:tabs>
          <w:tab w:pos="791" w:val="left" w:leader="none"/>
        </w:tabs>
        <w:spacing w:line="235" w:lineRule="auto" w:before="136" w:after="0"/>
        <w:ind w:left="791" w:right="124" w:hanging="511"/>
        <w:jc w:val="both"/>
        <w:rPr>
          <w:sz w:val="20"/>
        </w:rPr>
      </w:pPr>
      <w:r>
        <w:rPr>
          <w:color w:val="231F1F"/>
          <w:w w:val="110"/>
          <w:sz w:val="20"/>
        </w:rPr>
        <w:t>Rouse DJ, McCullough C, Wren Al, et al. Active-phase labor arrest: a randomized trial of chorioamnion management. Obstet Gynecol 1994;836:937-40.</w:t>
      </w:r>
    </w:p>
    <w:p>
      <w:pPr>
        <w:pStyle w:val="ListParagraph"/>
        <w:numPr>
          <w:ilvl w:val="0"/>
          <w:numId w:val="109"/>
        </w:numPr>
        <w:tabs>
          <w:tab w:pos="791" w:val="left" w:leader="none"/>
        </w:tabs>
        <w:spacing w:line="230" w:lineRule="auto" w:before="133" w:after="0"/>
        <w:ind w:left="791" w:right="111" w:hanging="511"/>
        <w:jc w:val="both"/>
        <w:rPr>
          <w:sz w:val="20"/>
        </w:rPr>
      </w:pPr>
      <w:r>
        <w:rPr>
          <w:color w:val="231F1F"/>
          <w:w w:val="110"/>
          <w:sz w:val="20"/>
        </w:rPr>
        <w:t>Cardozo</w:t>
      </w:r>
      <w:r>
        <w:rPr>
          <w:color w:val="231F1F"/>
          <w:spacing w:val="-16"/>
          <w:w w:val="110"/>
          <w:sz w:val="20"/>
        </w:rPr>
        <w:t> </w:t>
      </w:r>
      <w:r>
        <w:rPr>
          <w:color w:val="231F1F"/>
          <w:w w:val="110"/>
          <w:sz w:val="20"/>
        </w:rPr>
        <w:t>L,</w:t>
      </w:r>
      <w:r>
        <w:rPr>
          <w:color w:val="231F1F"/>
          <w:spacing w:val="-14"/>
          <w:w w:val="110"/>
          <w:sz w:val="20"/>
        </w:rPr>
        <w:t> </w:t>
      </w:r>
      <w:r>
        <w:rPr>
          <w:color w:val="231F1F"/>
          <w:w w:val="110"/>
          <w:sz w:val="20"/>
        </w:rPr>
        <w:t>Pearce</w:t>
      </w:r>
      <w:r>
        <w:rPr>
          <w:color w:val="231F1F"/>
          <w:spacing w:val="-14"/>
          <w:w w:val="110"/>
          <w:sz w:val="20"/>
        </w:rPr>
        <w:t> </w:t>
      </w:r>
      <w:r>
        <w:rPr>
          <w:color w:val="231F1F"/>
          <w:w w:val="110"/>
          <w:sz w:val="20"/>
        </w:rPr>
        <w:t>JM.</w:t>
      </w:r>
      <w:r>
        <w:rPr>
          <w:color w:val="231F1F"/>
          <w:spacing w:val="-13"/>
          <w:w w:val="110"/>
          <w:sz w:val="20"/>
        </w:rPr>
        <w:t> </w:t>
      </w:r>
      <w:r>
        <w:rPr>
          <w:color w:val="231F1F"/>
          <w:w w:val="110"/>
          <w:sz w:val="20"/>
        </w:rPr>
        <w:t>Oxytocin</w:t>
      </w:r>
      <w:r>
        <w:rPr>
          <w:color w:val="231F1F"/>
          <w:spacing w:val="-14"/>
          <w:w w:val="110"/>
          <w:sz w:val="20"/>
        </w:rPr>
        <w:t> </w:t>
      </w:r>
      <w:r>
        <w:rPr>
          <w:color w:val="231F1F"/>
          <w:w w:val="110"/>
          <w:sz w:val="20"/>
        </w:rPr>
        <w:t>in</w:t>
      </w:r>
      <w:r>
        <w:rPr>
          <w:color w:val="231F1F"/>
          <w:spacing w:val="-14"/>
          <w:w w:val="110"/>
          <w:sz w:val="20"/>
        </w:rPr>
        <w:t> </w:t>
      </w:r>
      <w:r>
        <w:rPr>
          <w:color w:val="231F1F"/>
          <w:w w:val="110"/>
          <w:sz w:val="20"/>
        </w:rPr>
        <w:t>active-phase</w:t>
      </w:r>
      <w:r>
        <w:rPr>
          <w:color w:val="231F1F"/>
          <w:spacing w:val="-14"/>
          <w:w w:val="110"/>
          <w:sz w:val="20"/>
        </w:rPr>
        <w:t> </w:t>
      </w:r>
      <w:r>
        <w:rPr>
          <w:color w:val="231F1F"/>
          <w:w w:val="110"/>
          <w:sz w:val="20"/>
        </w:rPr>
        <w:t>abnormalities</w:t>
      </w:r>
      <w:r>
        <w:rPr>
          <w:color w:val="231F1F"/>
          <w:spacing w:val="-13"/>
          <w:w w:val="110"/>
          <w:sz w:val="20"/>
        </w:rPr>
        <w:t> </w:t>
      </w:r>
      <w:r>
        <w:rPr>
          <w:color w:val="231F1F"/>
          <w:w w:val="110"/>
          <w:sz w:val="20"/>
        </w:rPr>
        <w:t>of</w:t>
      </w:r>
      <w:r>
        <w:rPr>
          <w:color w:val="231F1F"/>
          <w:spacing w:val="-14"/>
          <w:w w:val="110"/>
          <w:sz w:val="20"/>
        </w:rPr>
        <w:t> </w:t>
      </w:r>
      <w:r>
        <w:rPr>
          <w:color w:val="231F1F"/>
          <w:w w:val="110"/>
          <w:sz w:val="20"/>
        </w:rPr>
        <w:t>labor:</w:t>
      </w:r>
      <w:r>
        <w:rPr>
          <w:color w:val="231F1F"/>
          <w:spacing w:val="-14"/>
          <w:w w:val="110"/>
          <w:sz w:val="20"/>
        </w:rPr>
        <w:t> </w:t>
      </w:r>
      <w:r>
        <w:rPr>
          <w:color w:val="231F1F"/>
          <w:w w:val="110"/>
          <w:sz w:val="20"/>
        </w:rPr>
        <w:t>a</w:t>
      </w:r>
      <w:r>
        <w:rPr>
          <w:color w:val="231F1F"/>
          <w:spacing w:val="-14"/>
          <w:w w:val="110"/>
          <w:sz w:val="20"/>
        </w:rPr>
        <w:t> </w:t>
      </w:r>
      <w:r>
        <w:rPr>
          <w:color w:val="231F1F"/>
          <w:w w:val="110"/>
          <w:sz w:val="20"/>
        </w:rPr>
        <w:t>randomized</w:t>
      </w:r>
      <w:r>
        <w:rPr>
          <w:color w:val="231F1F"/>
          <w:spacing w:val="-13"/>
          <w:w w:val="110"/>
          <w:sz w:val="20"/>
        </w:rPr>
        <w:t> </w:t>
      </w:r>
      <w:r>
        <w:rPr>
          <w:color w:val="231F1F"/>
          <w:w w:val="110"/>
          <w:sz w:val="20"/>
        </w:rPr>
        <w:t>study. Obstet Gynecol 1990;752:152-7.</w:t>
      </w:r>
    </w:p>
    <w:p>
      <w:pPr>
        <w:pStyle w:val="ListParagraph"/>
        <w:numPr>
          <w:ilvl w:val="0"/>
          <w:numId w:val="109"/>
        </w:numPr>
        <w:tabs>
          <w:tab w:pos="791" w:val="left" w:leader="none"/>
        </w:tabs>
        <w:spacing w:line="230" w:lineRule="auto" w:before="140" w:after="0"/>
        <w:ind w:left="791" w:right="111" w:hanging="511"/>
        <w:jc w:val="both"/>
        <w:rPr>
          <w:sz w:val="20"/>
        </w:rPr>
      </w:pPr>
      <w:r>
        <w:rPr>
          <w:color w:val="231F1F"/>
          <w:w w:val="110"/>
          <w:sz w:val="20"/>
        </w:rPr>
        <w:t>Bidgood KA, Steer PJ. A randomized control study of oxytocin augmentation of labour.1. Obstertric outcome. BJOG 1987;282:92-5.</w:t>
      </w:r>
    </w:p>
    <w:p>
      <w:pPr>
        <w:pStyle w:val="ListParagraph"/>
        <w:numPr>
          <w:ilvl w:val="0"/>
          <w:numId w:val="109"/>
        </w:numPr>
        <w:tabs>
          <w:tab w:pos="793" w:val="left" w:leader="none"/>
        </w:tabs>
        <w:spacing w:line="225" w:lineRule="auto" w:before="142" w:after="0"/>
        <w:ind w:left="793" w:right="121" w:hanging="511"/>
        <w:jc w:val="both"/>
        <w:rPr>
          <w:sz w:val="20"/>
        </w:rPr>
      </w:pPr>
      <w:r>
        <w:rPr>
          <w:color w:val="231F1F"/>
          <w:w w:val="105"/>
          <w:sz w:val="20"/>
        </w:rPr>
        <w:t>Blanch G, Lanvedre T, Walkinshaw S, et al. Dysfunctional labour: A randomised trial. BJOG </w:t>
      </w:r>
      <w:r>
        <w:rPr>
          <w:color w:val="231F1F"/>
          <w:spacing w:val="-2"/>
          <w:w w:val="105"/>
          <w:sz w:val="20"/>
        </w:rPr>
        <w:t>1998;1051:117-20.</w:t>
      </w:r>
    </w:p>
    <w:p>
      <w:pPr>
        <w:pStyle w:val="ListParagraph"/>
        <w:numPr>
          <w:ilvl w:val="0"/>
          <w:numId w:val="109"/>
        </w:numPr>
        <w:tabs>
          <w:tab w:pos="788" w:val="left" w:leader="none"/>
          <w:tab w:pos="792" w:val="left" w:leader="none"/>
        </w:tabs>
        <w:spacing w:line="235" w:lineRule="auto" w:before="137" w:after="0"/>
        <w:ind w:left="792" w:right="126" w:hanging="511"/>
        <w:jc w:val="both"/>
        <w:rPr>
          <w:sz w:val="20"/>
        </w:rPr>
      </w:pPr>
      <w:r>
        <w:rPr>
          <w:color w:val="231F1F"/>
          <w:w w:val="105"/>
          <w:sz w:val="20"/>
        </w:rPr>
        <w:t>Xenakis</w:t>
      </w:r>
      <w:r>
        <w:rPr>
          <w:color w:val="231F1F"/>
          <w:spacing w:val="-13"/>
          <w:w w:val="105"/>
          <w:sz w:val="20"/>
        </w:rPr>
        <w:t> </w:t>
      </w:r>
      <w:r>
        <w:rPr>
          <w:color w:val="231F1F"/>
          <w:w w:val="105"/>
          <w:sz w:val="20"/>
        </w:rPr>
        <w:t>EM,</w:t>
      </w:r>
      <w:r>
        <w:rPr>
          <w:color w:val="231F1F"/>
          <w:spacing w:val="-13"/>
          <w:w w:val="105"/>
          <w:sz w:val="20"/>
        </w:rPr>
        <w:t> </w:t>
      </w:r>
      <w:r>
        <w:rPr>
          <w:color w:val="231F1F"/>
          <w:w w:val="105"/>
          <w:sz w:val="20"/>
        </w:rPr>
        <w:t>Langer</w:t>
      </w:r>
      <w:r>
        <w:rPr>
          <w:color w:val="231F1F"/>
          <w:spacing w:val="-13"/>
          <w:w w:val="105"/>
          <w:sz w:val="20"/>
        </w:rPr>
        <w:t> </w:t>
      </w:r>
      <w:r>
        <w:rPr>
          <w:color w:val="231F1F"/>
          <w:w w:val="105"/>
          <w:sz w:val="20"/>
        </w:rPr>
        <w:t>O,</w:t>
      </w:r>
      <w:r>
        <w:rPr>
          <w:color w:val="231F1F"/>
          <w:spacing w:val="-13"/>
          <w:w w:val="105"/>
          <w:sz w:val="20"/>
        </w:rPr>
        <w:t> </w:t>
      </w:r>
      <w:r>
        <w:rPr>
          <w:color w:val="231F1F"/>
          <w:w w:val="105"/>
          <w:sz w:val="20"/>
        </w:rPr>
        <w:t>Piper</w:t>
      </w:r>
      <w:r>
        <w:rPr>
          <w:color w:val="231F1F"/>
          <w:spacing w:val="-13"/>
          <w:w w:val="105"/>
          <w:sz w:val="20"/>
        </w:rPr>
        <w:t> </w:t>
      </w:r>
      <w:r>
        <w:rPr>
          <w:color w:val="231F1F"/>
          <w:w w:val="105"/>
          <w:sz w:val="20"/>
        </w:rPr>
        <w:t>JM,</w:t>
      </w:r>
      <w:r>
        <w:rPr>
          <w:color w:val="231F1F"/>
          <w:spacing w:val="-13"/>
          <w:w w:val="105"/>
          <w:sz w:val="20"/>
        </w:rPr>
        <w:t> </w:t>
      </w:r>
      <w:r>
        <w:rPr>
          <w:color w:val="231F1F"/>
          <w:w w:val="105"/>
          <w:sz w:val="20"/>
        </w:rPr>
        <w:t>Conway</w:t>
      </w:r>
      <w:r>
        <w:rPr>
          <w:color w:val="231F1F"/>
          <w:spacing w:val="-13"/>
          <w:w w:val="105"/>
          <w:sz w:val="20"/>
        </w:rPr>
        <w:t> </w:t>
      </w:r>
      <w:r>
        <w:rPr>
          <w:color w:val="231F1F"/>
          <w:w w:val="105"/>
          <w:sz w:val="20"/>
        </w:rPr>
        <w:t>D,</w:t>
      </w:r>
      <w:r>
        <w:rPr>
          <w:color w:val="231F1F"/>
          <w:spacing w:val="-13"/>
          <w:w w:val="105"/>
          <w:sz w:val="20"/>
        </w:rPr>
        <w:t> </w:t>
      </w:r>
      <w:r>
        <w:rPr>
          <w:color w:val="231F1F"/>
          <w:w w:val="105"/>
          <w:sz w:val="20"/>
        </w:rPr>
        <w:t>Berkus</w:t>
      </w:r>
      <w:r>
        <w:rPr>
          <w:color w:val="231F1F"/>
          <w:spacing w:val="-13"/>
          <w:w w:val="105"/>
          <w:sz w:val="20"/>
        </w:rPr>
        <w:t> </w:t>
      </w:r>
      <w:r>
        <w:rPr>
          <w:color w:val="231F1F"/>
          <w:w w:val="105"/>
          <w:sz w:val="20"/>
        </w:rPr>
        <w:t>MD.</w:t>
      </w:r>
      <w:r>
        <w:rPr>
          <w:color w:val="231F1F"/>
          <w:spacing w:val="-13"/>
          <w:w w:val="105"/>
          <w:sz w:val="20"/>
        </w:rPr>
        <w:t> </w:t>
      </w:r>
      <w:r>
        <w:rPr>
          <w:color w:val="231F1F"/>
          <w:w w:val="105"/>
          <w:sz w:val="20"/>
        </w:rPr>
        <w:t>Low-dose</w:t>
      </w:r>
      <w:r>
        <w:rPr>
          <w:color w:val="231F1F"/>
          <w:spacing w:val="-13"/>
          <w:w w:val="105"/>
          <w:sz w:val="20"/>
        </w:rPr>
        <w:t> </w:t>
      </w:r>
      <w:r>
        <w:rPr>
          <w:color w:val="231F1F"/>
          <w:w w:val="105"/>
          <w:sz w:val="20"/>
        </w:rPr>
        <w:t>versus</w:t>
      </w:r>
      <w:r>
        <w:rPr>
          <w:color w:val="231F1F"/>
          <w:spacing w:val="-12"/>
          <w:w w:val="105"/>
          <w:sz w:val="20"/>
        </w:rPr>
        <w:t> </w:t>
      </w:r>
      <w:r>
        <w:rPr>
          <w:color w:val="231F1F"/>
          <w:w w:val="105"/>
          <w:sz w:val="20"/>
        </w:rPr>
        <w:t>high-dose</w:t>
      </w:r>
      <w:r>
        <w:rPr>
          <w:color w:val="231F1F"/>
          <w:spacing w:val="-13"/>
          <w:w w:val="105"/>
          <w:sz w:val="20"/>
        </w:rPr>
        <w:t> </w:t>
      </w:r>
      <w:r>
        <w:rPr>
          <w:color w:val="231F1F"/>
          <w:w w:val="105"/>
          <w:sz w:val="20"/>
        </w:rPr>
        <w:t>oxytocin augmentation of labor a randomized trial.</w:t>
      </w:r>
      <w:r>
        <w:rPr>
          <w:color w:val="231F1F"/>
          <w:spacing w:val="-26"/>
          <w:w w:val="105"/>
          <w:sz w:val="20"/>
        </w:rPr>
        <w:t> </w:t>
      </w:r>
      <w:r>
        <w:rPr>
          <w:color w:val="231F1F"/>
          <w:w w:val="105"/>
          <w:sz w:val="20"/>
        </w:rPr>
        <w:t>Am J Obstet Gynecol 1995;173(6):1874-8.</w:t>
      </w:r>
    </w:p>
    <w:p>
      <w:pPr>
        <w:pStyle w:val="ListParagraph"/>
        <w:numPr>
          <w:ilvl w:val="0"/>
          <w:numId w:val="109"/>
        </w:numPr>
        <w:tabs>
          <w:tab w:pos="791" w:val="left" w:leader="none"/>
        </w:tabs>
        <w:spacing w:line="230" w:lineRule="auto" w:before="138" w:after="0"/>
        <w:ind w:left="791" w:right="124" w:hanging="511"/>
        <w:jc w:val="both"/>
        <w:rPr>
          <w:sz w:val="20"/>
        </w:rPr>
      </w:pPr>
      <w:r>
        <w:rPr>
          <w:color w:val="231F1F"/>
          <w:w w:val="110"/>
          <w:sz w:val="20"/>
        </w:rPr>
        <w:t>Jamal</w:t>
      </w:r>
      <w:r>
        <w:rPr>
          <w:color w:val="231F1F"/>
          <w:spacing w:val="-8"/>
          <w:w w:val="110"/>
          <w:sz w:val="20"/>
        </w:rPr>
        <w:t> </w:t>
      </w:r>
      <w:r>
        <w:rPr>
          <w:color w:val="231F1F"/>
          <w:w w:val="110"/>
          <w:sz w:val="20"/>
        </w:rPr>
        <w:t>A,</w:t>
      </w:r>
      <w:r>
        <w:rPr>
          <w:color w:val="231F1F"/>
          <w:spacing w:val="-8"/>
          <w:w w:val="110"/>
          <w:sz w:val="20"/>
        </w:rPr>
        <w:t> </w:t>
      </w:r>
      <w:r>
        <w:rPr>
          <w:color w:val="231F1F"/>
          <w:w w:val="110"/>
          <w:sz w:val="20"/>
        </w:rPr>
        <w:t>Kalantari</w:t>
      </w:r>
      <w:r>
        <w:rPr>
          <w:color w:val="231F1F"/>
          <w:spacing w:val="-6"/>
          <w:w w:val="110"/>
          <w:sz w:val="20"/>
        </w:rPr>
        <w:t> </w:t>
      </w:r>
      <w:r>
        <w:rPr>
          <w:color w:val="231F1F"/>
          <w:w w:val="110"/>
          <w:sz w:val="20"/>
        </w:rPr>
        <w:t>R.</w:t>
      </w:r>
      <w:r>
        <w:rPr>
          <w:color w:val="231F1F"/>
          <w:spacing w:val="-8"/>
          <w:w w:val="110"/>
          <w:sz w:val="20"/>
        </w:rPr>
        <w:t> </w:t>
      </w:r>
      <w:r>
        <w:rPr>
          <w:color w:val="231F1F"/>
          <w:w w:val="110"/>
          <w:sz w:val="20"/>
        </w:rPr>
        <w:t>High</w:t>
      </w:r>
      <w:r>
        <w:rPr>
          <w:color w:val="231F1F"/>
          <w:spacing w:val="-6"/>
          <w:w w:val="110"/>
          <w:sz w:val="20"/>
        </w:rPr>
        <w:t> </w:t>
      </w:r>
      <w:r>
        <w:rPr>
          <w:color w:val="231F1F"/>
          <w:w w:val="110"/>
          <w:sz w:val="20"/>
        </w:rPr>
        <w:t>and</w:t>
      </w:r>
      <w:r>
        <w:rPr>
          <w:color w:val="231F1F"/>
          <w:spacing w:val="-6"/>
          <w:w w:val="110"/>
          <w:sz w:val="20"/>
        </w:rPr>
        <w:t> </w:t>
      </w:r>
      <w:r>
        <w:rPr>
          <w:color w:val="231F1F"/>
          <w:w w:val="110"/>
          <w:sz w:val="20"/>
        </w:rPr>
        <w:t>low</w:t>
      </w:r>
      <w:r>
        <w:rPr>
          <w:color w:val="231F1F"/>
          <w:spacing w:val="-6"/>
          <w:w w:val="110"/>
          <w:sz w:val="20"/>
        </w:rPr>
        <w:t> </w:t>
      </w:r>
      <w:r>
        <w:rPr>
          <w:color w:val="231F1F"/>
          <w:w w:val="110"/>
          <w:sz w:val="20"/>
        </w:rPr>
        <w:t>dose</w:t>
      </w:r>
      <w:r>
        <w:rPr>
          <w:color w:val="231F1F"/>
          <w:spacing w:val="-6"/>
          <w:w w:val="110"/>
          <w:sz w:val="20"/>
        </w:rPr>
        <w:t> </w:t>
      </w:r>
      <w:r>
        <w:rPr>
          <w:color w:val="231F1F"/>
          <w:w w:val="110"/>
          <w:sz w:val="20"/>
        </w:rPr>
        <w:t>oxytocin</w:t>
      </w:r>
      <w:r>
        <w:rPr>
          <w:color w:val="231F1F"/>
          <w:spacing w:val="-6"/>
          <w:w w:val="110"/>
          <w:sz w:val="20"/>
        </w:rPr>
        <w:t> </w:t>
      </w:r>
      <w:r>
        <w:rPr>
          <w:color w:val="231F1F"/>
          <w:w w:val="110"/>
          <w:sz w:val="20"/>
        </w:rPr>
        <w:t>in</w:t>
      </w:r>
      <w:r>
        <w:rPr>
          <w:color w:val="231F1F"/>
          <w:spacing w:val="-6"/>
          <w:w w:val="110"/>
          <w:sz w:val="20"/>
        </w:rPr>
        <w:t> </w:t>
      </w:r>
      <w:r>
        <w:rPr>
          <w:color w:val="231F1F"/>
          <w:w w:val="110"/>
          <w:sz w:val="20"/>
        </w:rPr>
        <w:t>augmentation</w:t>
      </w:r>
      <w:r>
        <w:rPr>
          <w:color w:val="231F1F"/>
          <w:spacing w:val="-7"/>
          <w:w w:val="110"/>
          <w:sz w:val="20"/>
        </w:rPr>
        <w:t> </w:t>
      </w:r>
      <w:r>
        <w:rPr>
          <w:color w:val="231F1F"/>
          <w:w w:val="110"/>
          <w:sz w:val="20"/>
        </w:rPr>
        <w:t>of</w:t>
      </w:r>
      <w:r>
        <w:rPr>
          <w:color w:val="231F1F"/>
          <w:spacing w:val="-6"/>
          <w:w w:val="110"/>
          <w:sz w:val="20"/>
        </w:rPr>
        <w:t> </w:t>
      </w:r>
      <w:r>
        <w:rPr>
          <w:color w:val="231F1F"/>
          <w:w w:val="110"/>
          <w:sz w:val="20"/>
        </w:rPr>
        <w:t>labor.</w:t>
      </w:r>
      <w:r>
        <w:rPr>
          <w:color w:val="231F1F"/>
          <w:spacing w:val="-8"/>
          <w:w w:val="110"/>
          <w:sz w:val="20"/>
        </w:rPr>
        <w:t> </w:t>
      </w:r>
      <w:r>
        <w:rPr>
          <w:color w:val="231F1F"/>
          <w:w w:val="110"/>
          <w:sz w:val="20"/>
        </w:rPr>
        <w:t>Int</w:t>
      </w:r>
      <w:r>
        <w:rPr>
          <w:color w:val="231F1F"/>
          <w:spacing w:val="-6"/>
          <w:w w:val="110"/>
          <w:sz w:val="20"/>
        </w:rPr>
        <w:t> </w:t>
      </w:r>
      <w:r>
        <w:rPr>
          <w:color w:val="231F1F"/>
          <w:w w:val="110"/>
          <w:sz w:val="20"/>
        </w:rPr>
        <w:t>J</w:t>
      </w:r>
      <w:r>
        <w:rPr>
          <w:color w:val="231F1F"/>
          <w:spacing w:val="-6"/>
          <w:w w:val="110"/>
          <w:sz w:val="20"/>
        </w:rPr>
        <w:t> </w:t>
      </w:r>
      <w:r>
        <w:rPr>
          <w:color w:val="231F1F"/>
          <w:w w:val="110"/>
          <w:sz w:val="20"/>
        </w:rPr>
        <w:t>Gynaecol Obstet 2004;87(1):6-8.</w:t>
      </w:r>
    </w:p>
    <w:p>
      <w:pPr>
        <w:pStyle w:val="ListParagraph"/>
        <w:numPr>
          <w:ilvl w:val="0"/>
          <w:numId w:val="109"/>
        </w:numPr>
        <w:tabs>
          <w:tab w:pos="793" w:val="left" w:leader="none"/>
        </w:tabs>
        <w:spacing w:line="228" w:lineRule="auto" w:before="141" w:after="0"/>
        <w:ind w:left="793" w:right="122" w:hanging="511"/>
        <w:jc w:val="both"/>
        <w:rPr>
          <w:sz w:val="20"/>
        </w:rPr>
      </w:pPr>
      <w:r>
        <w:rPr>
          <w:color w:val="231F1F"/>
          <w:w w:val="105"/>
          <w:sz w:val="20"/>
        </w:rPr>
        <w:t>Majoko F.</w:t>
      </w:r>
      <w:r>
        <w:rPr>
          <w:color w:val="231F1F"/>
          <w:w w:val="105"/>
          <w:sz w:val="20"/>
        </w:rPr>
        <w:t> Effectiveness and safety of</w:t>
      </w:r>
      <w:r>
        <w:rPr>
          <w:color w:val="231F1F"/>
          <w:w w:val="105"/>
          <w:sz w:val="20"/>
        </w:rPr>
        <w:t> high dose oxytocin for</w:t>
      </w:r>
      <w:r>
        <w:rPr>
          <w:color w:val="231F1F"/>
          <w:w w:val="105"/>
          <w:sz w:val="20"/>
        </w:rPr>
        <w:t> augmentation of</w:t>
      </w:r>
      <w:r>
        <w:rPr>
          <w:color w:val="231F1F"/>
          <w:w w:val="105"/>
          <w:sz w:val="20"/>
        </w:rPr>
        <w:t> labour</w:t>
      </w:r>
      <w:r>
        <w:rPr>
          <w:color w:val="231F1F"/>
          <w:w w:val="105"/>
          <w:sz w:val="20"/>
        </w:rPr>
        <w:t> in nulliparous women. [ Erratum appears in Cent Afr J Med 2002; 48(5-6): 74]. Cent Afr J Med </w:t>
      </w:r>
      <w:r>
        <w:rPr>
          <w:color w:val="231F1F"/>
          <w:spacing w:val="-2"/>
          <w:w w:val="105"/>
          <w:sz w:val="20"/>
        </w:rPr>
        <w:t>2001;47(11-12):247-50.</w:t>
      </w:r>
    </w:p>
    <w:p>
      <w:pPr>
        <w:pStyle w:val="ListParagraph"/>
        <w:numPr>
          <w:ilvl w:val="0"/>
          <w:numId w:val="109"/>
        </w:numPr>
        <w:tabs>
          <w:tab w:pos="793" w:val="left" w:leader="none"/>
        </w:tabs>
        <w:spacing w:line="230" w:lineRule="auto" w:before="140" w:after="0"/>
        <w:ind w:left="793" w:right="123" w:hanging="511"/>
        <w:jc w:val="both"/>
        <w:rPr>
          <w:sz w:val="20"/>
        </w:rPr>
      </w:pPr>
      <w:r>
        <w:rPr>
          <w:color w:val="231F1F"/>
          <w:w w:val="105"/>
          <w:sz w:val="20"/>
        </w:rPr>
        <w:t>Satin</w:t>
      </w:r>
      <w:r>
        <w:rPr>
          <w:color w:val="231F1F"/>
          <w:w w:val="105"/>
          <w:sz w:val="20"/>
        </w:rPr>
        <w:t> AJ,</w:t>
      </w:r>
      <w:r>
        <w:rPr>
          <w:color w:val="231F1F"/>
          <w:w w:val="105"/>
          <w:sz w:val="20"/>
        </w:rPr>
        <w:t> Leveno</w:t>
      </w:r>
      <w:r>
        <w:rPr>
          <w:color w:val="231F1F"/>
          <w:w w:val="105"/>
          <w:sz w:val="20"/>
        </w:rPr>
        <w:t> KJ,</w:t>
      </w:r>
      <w:r>
        <w:rPr>
          <w:color w:val="231F1F"/>
          <w:w w:val="105"/>
          <w:sz w:val="20"/>
        </w:rPr>
        <w:t> Sherman</w:t>
      </w:r>
      <w:r>
        <w:rPr>
          <w:color w:val="231F1F"/>
          <w:w w:val="105"/>
          <w:sz w:val="20"/>
        </w:rPr>
        <w:t> L,</w:t>
      </w:r>
      <w:r>
        <w:rPr>
          <w:color w:val="231F1F"/>
          <w:w w:val="105"/>
          <w:sz w:val="20"/>
        </w:rPr>
        <w:t> et</w:t>
      </w:r>
      <w:r>
        <w:rPr>
          <w:color w:val="231F1F"/>
          <w:w w:val="105"/>
          <w:sz w:val="20"/>
        </w:rPr>
        <w:t> al.</w:t>
      </w:r>
      <w:r>
        <w:rPr>
          <w:color w:val="231F1F"/>
          <w:w w:val="105"/>
          <w:sz w:val="20"/>
        </w:rPr>
        <w:t> High-dose</w:t>
      </w:r>
      <w:r>
        <w:rPr>
          <w:color w:val="231F1F"/>
          <w:w w:val="105"/>
          <w:sz w:val="20"/>
        </w:rPr>
        <w:t> oxytocin:</w:t>
      </w:r>
      <w:r>
        <w:rPr>
          <w:color w:val="231F1F"/>
          <w:w w:val="105"/>
          <w:sz w:val="20"/>
        </w:rPr>
        <w:t> 20-versus</w:t>
      </w:r>
      <w:r>
        <w:rPr>
          <w:color w:val="231F1F"/>
          <w:w w:val="105"/>
          <w:sz w:val="20"/>
        </w:rPr>
        <w:t> 40-minute</w:t>
      </w:r>
      <w:r>
        <w:rPr>
          <w:color w:val="231F1F"/>
          <w:w w:val="105"/>
          <w:sz w:val="20"/>
        </w:rPr>
        <w:t> dosage interval. Obstet Gynecol 1994;83(2):234-8.</w:t>
      </w:r>
    </w:p>
    <w:p>
      <w:pPr>
        <w:pStyle w:val="ListParagraph"/>
        <w:numPr>
          <w:ilvl w:val="0"/>
          <w:numId w:val="109"/>
        </w:numPr>
        <w:tabs>
          <w:tab w:pos="793" w:val="left" w:leader="none"/>
        </w:tabs>
        <w:spacing w:line="240" w:lineRule="auto" w:before="132" w:after="0"/>
        <w:ind w:left="793" w:right="124" w:hanging="511"/>
        <w:jc w:val="both"/>
        <w:rPr>
          <w:sz w:val="20"/>
        </w:rPr>
      </w:pPr>
      <w:r>
        <w:rPr>
          <w:color w:val="231F1F"/>
          <w:w w:val="105"/>
          <w:sz w:val="20"/>
        </w:rPr>
        <w:t>Lazor LZ, Philipson EH, Ingardia CJ, et al. A randomized comparison of 15- and 40- minute dosing protocols for labor augmentation and induction. Obstet Gynecol 1993;82(6):1009-12.</w:t>
      </w:r>
    </w:p>
    <w:p>
      <w:pPr>
        <w:pStyle w:val="ListParagraph"/>
        <w:numPr>
          <w:ilvl w:val="0"/>
          <w:numId w:val="109"/>
        </w:numPr>
        <w:tabs>
          <w:tab w:pos="791" w:val="left" w:leader="none"/>
        </w:tabs>
        <w:spacing w:line="225" w:lineRule="auto" w:before="141" w:after="0"/>
        <w:ind w:left="791" w:right="124" w:hanging="511"/>
        <w:jc w:val="both"/>
        <w:rPr>
          <w:sz w:val="20"/>
        </w:rPr>
      </w:pPr>
      <w:r>
        <w:rPr>
          <w:color w:val="231F1F"/>
          <w:spacing w:val="-2"/>
          <w:w w:val="110"/>
          <w:sz w:val="20"/>
        </w:rPr>
        <w:t>Cummiskey</w:t>
      </w:r>
      <w:r>
        <w:rPr>
          <w:color w:val="231F1F"/>
          <w:spacing w:val="-9"/>
          <w:w w:val="110"/>
          <w:sz w:val="20"/>
        </w:rPr>
        <w:t> </w:t>
      </w:r>
      <w:r>
        <w:rPr>
          <w:color w:val="231F1F"/>
          <w:spacing w:val="-2"/>
          <w:w w:val="110"/>
          <w:sz w:val="20"/>
        </w:rPr>
        <w:t>KC,</w:t>
      </w:r>
      <w:r>
        <w:rPr>
          <w:color w:val="231F1F"/>
          <w:spacing w:val="-8"/>
          <w:w w:val="110"/>
          <w:sz w:val="20"/>
        </w:rPr>
        <w:t> </w:t>
      </w:r>
      <w:r>
        <w:rPr>
          <w:color w:val="231F1F"/>
          <w:spacing w:val="-2"/>
          <w:w w:val="110"/>
          <w:sz w:val="20"/>
        </w:rPr>
        <w:t>Gall</w:t>
      </w:r>
      <w:r>
        <w:rPr>
          <w:color w:val="231F1F"/>
          <w:spacing w:val="-9"/>
          <w:w w:val="110"/>
          <w:sz w:val="20"/>
        </w:rPr>
        <w:t> </w:t>
      </w:r>
      <w:r>
        <w:rPr>
          <w:color w:val="231F1F"/>
          <w:spacing w:val="-2"/>
          <w:w w:val="110"/>
          <w:sz w:val="20"/>
        </w:rPr>
        <w:t>SA,</w:t>
      </w:r>
      <w:r>
        <w:rPr>
          <w:color w:val="231F1F"/>
          <w:spacing w:val="-8"/>
          <w:w w:val="110"/>
          <w:sz w:val="20"/>
        </w:rPr>
        <w:t> </w:t>
      </w:r>
      <w:r>
        <w:rPr>
          <w:color w:val="231F1F"/>
          <w:spacing w:val="-2"/>
          <w:w w:val="110"/>
          <w:sz w:val="20"/>
        </w:rPr>
        <w:t>Yusoff</w:t>
      </w:r>
      <w:r>
        <w:rPr>
          <w:color w:val="231F1F"/>
          <w:spacing w:val="-8"/>
          <w:w w:val="110"/>
          <w:sz w:val="20"/>
        </w:rPr>
        <w:t> </w:t>
      </w:r>
      <w:r>
        <w:rPr>
          <w:color w:val="231F1F"/>
          <w:spacing w:val="-2"/>
          <w:w w:val="110"/>
          <w:sz w:val="20"/>
        </w:rPr>
        <w:t>DM.</w:t>
      </w:r>
      <w:r>
        <w:rPr>
          <w:color w:val="231F1F"/>
          <w:spacing w:val="-8"/>
          <w:w w:val="110"/>
          <w:sz w:val="20"/>
        </w:rPr>
        <w:t> </w:t>
      </w:r>
      <w:r>
        <w:rPr>
          <w:color w:val="231F1F"/>
          <w:spacing w:val="-2"/>
          <w:w w:val="110"/>
          <w:sz w:val="20"/>
        </w:rPr>
        <w:t>Pulsatile</w:t>
      </w:r>
      <w:r>
        <w:rPr>
          <w:color w:val="231F1F"/>
          <w:spacing w:val="-7"/>
          <w:w w:val="110"/>
          <w:sz w:val="20"/>
        </w:rPr>
        <w:t> </w:t>
      </w:r>
      <w:r>
        <w:rPr>
          <w:color w:val="231F1F"/>
          <w:spacing w:val="-2"/>
          <w:w w:val="110"/>
          <w:sz w:val="20"/>
        </w:rPr>
        <w:t>administration</w:t>
      </w:r>
      <w:r>
        <w:rPr>
          <w:color w:val="231F1F"/>
          <w:spacing w:val="-8"/>
          <w:w w:val="110"/>
          <w:sz w:val="20"/>
        </w:rPr>
        <w:t> </w:t>
      </w:r>
      <w:r>
        <w:rPr>
          <w:color w:val="231F1F"/>
          <w:spacing w:val="-2"/>
          <w:w w:val="110"/>
          <w:sz w:val="20"/>
        </w:rPr>
        <w:t>of</w:t>
      </w:r>
      <w:r>
        <w:rPr>
          <w:color w:val="231F1F"/>
          <w:spacing w:val="-6"/>
          <w:w w:val="110"/>
          <w:sz w:val="20"/>
        </w:rPr>
        <w:t> </w:t>
      </w:r>
      <w:r>
        <w:rPr>
          <w:color w:val="231F1F"/>
          <w:spacing w:val="-2"/>
          <w:w w:val="110"/>
          <w:sz w:val="20"/>
        </w:rPr>
        <w:t>oxytocin</w:t>
      </w:r>
      <w:r>
        <w:rPr>
          <w:color w:val="231F1F"/>
          <w:spacing w:val="-7"/>
          <w:w w:val="110"/>
          <w:sz w:val="20"/>
        </w:rPr>
        <w:t> </w:t>
      </w:r>
      <w:r>
        <w:rPr>
          <w:color w:val="231F1F"/>
          <w:spacing w:val="-2"/>
          <w:w w:val="110"/>
          <w:sz w:val="20"/>
        </w:rPr>
        <w:t>for</w:t>
      </w:r>
      <w:r>
        <w:rPr>
          <w:color w:val="231F1F"/>
          <w:spacing w:val="-6"/>
          <w:w w:val="110"/>
          <w:sz w:val="20"/>
        </w:rPr>
        <w:t> </w:t>
      </w:r>
      <w:r>
        <w:rPr>
          <w:color w:val="231F1F"/>
          <w:spacing w:val="-2"/>
          <w:w w:val="110"/>
          <w:sz w:val="20"/>
        </w:rPr>
        <w:t>augmentation </w:t>
      </w:r>
      <w:r>
        <w:rPr>
          <w:color w:val="231F1F"/>
          <w:w w:val="110"/>
          <w:sz w:val="20"/>
        </w:rPr>
        <w:t>of labor. Obstet Gynecol 1989;74(6):869-72.</w:t>
      </w:r>
    </w:p>
    <w:p>
      <w:pPr>
        <w:pStyle w:val="ListParagraph"/>
        <w:numPr>
          <w:ilvl w:val="0"/>
          <w:numId w:val="109"/>
        </w:numPr>
        <w:tabs>
          <w:tab w:pos="791" w:val="left" w:leader="none"/>
        </w:tabs>
        <w:spacing w:line="232" w:lineRule="auto" w:before="138" w:after="0"/>
        <w:ind w:left="791" w:right="121" w:hanging="511"/>
        <w:jc w:val="both"/>
        <w:rPr>
          <w:sz w:val="20"/>
        </w:rPr>
      </w:pPr>
      <w:r>
        <w:rPr>
          <w:color w:val="231F1F"/>
          <w:w w:val="110"/>
          <w:sz w:val="20"/>
        </w:rPr>
        <w:t>Arulkumaran S, Yang M, Ingemarsson PS, et al. Augmentation of labour: does oxytocin titration</w:t>
      </w:r>
      <w:r>
        <w:rPr>
          <w:color w:val="231F1F"/>
          <w:spacing w:val="-4"/>
          <w:w w:val="110"/>
          <w:sz w:val="20"/>
        </w:rPr>
        <w:t> </w:t>
      </w:r>
      <w:r>
        <w:rPr>
          <w:color w:val="231F1F"/>
          <w:w w:val="110"/>
          <w:sz w:val="20"/>
        </w:rPr>
        <w:t>to</w:t>
      </w:r>
      <w:r>
        <w:rPr>
          <w:color w:val="231F1F"/>
          <w:spacing w:val="-4"/>
          <w:w w:val="110"/>
          <w:sz w:val="20"/>
        </w:rPr>
        <w:t> </w:t>
      </w:r>
      <w:r>
        <w:rPr>
          <w:color w:val="231F1F"/>
          <w:w w:val="110"/>
          <w:sz w:val="20"/>
        </w:rPr>
        <w:t>archieve</w:t>
      </w:r>
      <w:r>
        <w:rPr>
          <w:color w:val="231F1F"/>
          <w:spacing w:val="-4"/>
          <w:w w:val="110"/>
          <w:sz w:val="20"/>
        </w:rPr>
        <w:t> </w:t>
      </w:r>
      <w:r>
        <w:rPr>
          <w:color w:val="231F1F"/>
          <w:w w:val="110"/>
          <w:sz w:val="20"/>
        </w:rPr>
        <w:t>preset</w:t>
      </w:r>
      <w:r>
        <w:rPr>
          <w:color w:val="231F1F"/>
          <w:spacing w:val="-4"/>
          <w:w w:val="110"/>
          <w:sz w:val="20"/>
        </w:rPr>
        <w:t> </w:t>
      </w:r>
      <w:r>
        <w:rPr>
          <w:color w:val="231F1F"/>
          <w:w w:val="110"/>
          <w:sz w:val="20"/>
        </w:rPr>
        <w:t>active</w:t>
      </w:r>
      <w:r>
        <w:rPr>
          <w:color w:val="231F1F"/>
          <w:spacing w:val="-4"/>
          <w:w w:val="110"/>
          <w:sz w:val="20"/>
        </w:rPr>
        <w:t> </w:t>
      </w:r>
      <w:r>
        <w:rPr>
          <w:color w:val="231F1F"/>
          <w:w w:val="110"/>
          <w:sz w:val="20"/>
        </w:rPr>
        <w:t>contraction</w:t>
      </w:r>
      <w:r>
        <w:rPr>
          <w:color w:val="231F1F"/>
          <w:spacing w:val="-4"/>
          <w:w w:val="110"/>
          <w:sz w:val="20"/>
        </w:rPr>
        <w:t> </w:t>
      </w:r>
      <w:r>
        <w:rPr>
          <w:color w:val="231F1F"/>
          <w:w w:val="110"/>
          <w:sz w:val="20"/>
        </w:rPr>
        <w:t>area</w:t>
      </w:r>
      <w:r>
        <w:rPr>
          <w:color w:val="231F1F"/>
          <w:spacing w:val="-4"/>
          <w:w w:val="110"/>
          <w:sz w:val="20"/>
        </w:rPr>
        <w:t> </w:t>
      </w:r>
      <w:r>
        <w:rPr>
          <w:color w:val="231F1F"/>
          <w:w w:val="110"/>
          <w:sz w:val="20"/>
        </w:rPr>
        <w:t>values</w:t>
      </w:r>
      <w:r>
        <w:rPr>
          <w:color w:val="231F1F"/>
          <w:spacing w:val="-4"/>
          <w:w w:val="110"/>
          <w:sz w:val="20"/>
        </w:rPr>
        <w:t> </w:t>
      </w:r>
      <w:r>
        <w:rPr>
          <w:color w:val="231F1F"/>
          <w:w w:val="110"/>
          <w:sz w:val="20"/>
        </w:rPr>
        <w:t>produce</w:t>
      </w:r>
      <w:r>
        <w:rPr>
          <w:color w:val="231F1F"/>
          <w:spacing w:val="-4"/>
          <w:w w:val="110"/>
          <w:sz w:val="20"/>
        </w:rPr>
        <w:t> </w:t>
      </w:r>
      <w:r>
        <w:rPr>
          <w:color w:val="231F1F"/>
          <w:w w:val="110"/>
          <w:sz w:val="20"/>
        </w:rPr>
        <w:t>better</w:t>
      </w:r>
      <w:r>
        <w:rPr>
          <w:color w:val="231F1F"/>
          <w:spacing w:val="-4"/>
          <w:w w:val="110"/>
          <w:sz w:val="20"/>
        </w:rPr>
        <w:t> </w:t>
      </w:r>
      <w:r>
        <w:rPr>
          <w:color w:val="231F1F"/>
          <w:w w:val="110"/>
          <w:sz w:val="20"/>
        </w:rPr>
        <w:t>obstetric</w:t>
      </w:r>
      <w:r>
        <w:rPr>
          <w:color w:val="231F1F"/>
          <w:spacing w:val="-4"/>
          <w:w w:val="110"/>
          <w:sz w:val="20"/>
        </w:rPr>
        <w:t> </w:t>
      </w:r>
      <w:r>
        <w:rPr>
          <w:color w:val="231F1F"/>
          <w:w w:val="110"/>
          <w:sz w:val="20"/>
        </w:rPr>
        <w:t>outcome? Asia Oceania J Obstet Gynaecol 1989;15(4):333-7.</w:t>
      </w:r>
    </w:p>
    <w:p>
      <w:pPr>
        <w:pStyle w:val="ListParagraph"/>
        <w:numPr>
          <w:ilvl w:val="0"/>
          <w:numId w:val="109"/>
        </w:numPr>
        <w:tabs>
          <w:tab w:pos="793" w:val="left" w:leader="none"/>
        </w:tabs>
        <w:spacing w:line="230" w:lineRule="auto" w:before="139" w:after="0"/>
        <w:ind w:left="793" w:right="124" w:hanging="511"/>
        <w:jc w:val="both"/>
        <w:rPr>
          <w:sz w:val="20"/>
        </w:rPr>
      </w:pPr>
      <w:r>
        <w:rPr>
          <w:color w:val="231F1F"/>
          <w:w w:val="105"/>
          <w:sz w:val="20"/>
        </w:rPr>
        <w:t>Smyth RM,Alldred SK, Markham C. Amniotomy for shortering spontaneus labour. Cochrane Database Syst Rev 2007;(4):Art.No.: CD 006167. DOI: 10.1002114651858.CS006167.pub 2.</w:t>
      </w:r>
    </w:p>
    <w:p>
      <w:pPr>
        <w:pStyle w:val="ListParagraph"/>
        <w:numPr>
          <w:ilvl w:val="0"/>
          <w:numId w:val="109"/>
        </w:numPr>
        <w:tabs>
          <w:tab w:pos="791" w:val="left" w:leader="none"/>
        </w:tabs>
        <w:spacing w:line="230" w:lineRule="auto" w:before="135" w:after="0"/>
        <w:ind w:left="791" w:right="123" w:hanging="511"/>
        <w:jc w:val="both"/>
        <w:rPr>
          <w:sz w:val="20"/>
        </w:rPr>
      </w:pPr>
      <w:r>
        <w:rPr>
          <w:color w:val="231F1F"/>
          <w:w w:val="110"/>
          <w:sz w:val="20"/>
        </w:rPr>
        <w:t>Merrill</w:t>
      </w:r>
      <w:r>
        <w:rPr>
          <w:color w:val="231F1F"/>
          <w:w w:val="110"/>
          <w:sz w:val="20"/>
        </w:rPr>
        <w:t> DC,</w:t>
      </w:r>
      <w:r>
        <w:rPr>
          <w:color w:val="231F1F"/>
          <w:w w:val="110"/>
          <w:sz w:val="20"/>
        </w:rPr>
        <w:t> Zlatnik</w:t>
      </w:r>
      <w:r>
        <w:rPr>
          <w:color w:val="231F1F"/>
          <w:w w:val="110"/>
          <w:sz w:val="20"/>
        </w:rPr>
        <w:t> FJ.</w:t>
      </w:r>
      <w:r>
        <w:rPr>
          <w:color w:val="231F1F"/>
          <w:w w:val="110"/>
          <w:sz w:val="20"/>
        </w:rPr>
        <w:t> Randomized,</w:t>
      </w:r>
      <w:r>
        <w:rPr>
          <w:color w:val="231F1F"/>
          <w:w w:val="110"/>
          <w:sz w:val="20"/>
        </w:rPr>
        <w:t> double-masked</w:t>
      </w:r>
      <w:r>
        <w:rPr>
          <w:color w:val="231F1F"/>
          <w:w w:val="110"/>
          <w:sz w:val="20"/>
        </w:rPr>
        <w:t> comparison</w:t>
      </w:r>
      <w:r>
        <w:rPr>
          <w:color w:val="231F1F"/>
          <w:w w:val="110"/>
          <w:sz w:val="20"/>
        </w:rPr>
        <w:t> of</w:t>
      </w:r>
      <w:r>
        <w:rPr>
          <w:color w:val="231F1F"/>
          <w:w w:val="110"/>
          <w:sz w:val="20"/>
        </w:rPr>
        <w:t> oxytocin</w:t>
      </w:r>
      <w:r>
        <w:rPr>
          <w:color w:val="231F1F"/>
          <w:w w:val="110"/>
          <w:sz w:val="20"/>
        </w:rPr>
        <w:t> dosage</w:t>
      </w:r>
      <w:r>
        <w:rPr>
          <w:color w:val="231F1F"/>
          <w:w w:val="110"/>
          <w:sz w:val="20"/>
        </w:rPr>
        <w:t> in induction and augmentation of labor. Obstet Gynecol 1999;94(3):455-63.</w:t>
      </w:r>
    </w:p>
    <w:p>
      <w:pPr>
        <w:pStyle w:val="ListParagraph"/>
        <w:numPr>
          <w:ilvl w:val="0"/>
          <w:numId w:val="109"/>
        </w:numPr>
        <w:tabs>
          <w:tab w:pos="793" w:val="left" w:leader="none"/>
        </w:tabs>
        <w:spacing w:line="230" w:lineRule="auto" w:before="139" w:after="0"/>
        <w:ind w:left="793" w:right="113" w:hanging="511"/>
        <w:jc w:val="both"/>
        <w:rPr>
          <w:sz w:val="20"/>
        </w:rPr>
      </w:pPr>
      <w:r>
        <w:rPr>
          <w:color w:val="231F1F"/>
          <w:w w:val="105"/>
          <w:sz w:val="20"/>
        </w:rPr>
        <w:t>American</w:t>
      </w:r>
      <w:r>
        <w:rPr>
          <w:color w:val="231F1F"/>
          <w:spacing w:val="-4"/>
          <w:w w:val="105"/>
          <w:sz w:val="20"/>
        </w:rPr>
        <w:t> </w:t>
      </w:r>
      <w:r>
        <w:rPr>
          <w:color w:val="231F1F"/>
          <w:w w:val="105"/>
          <w:sz w:val="20"/>
        </w:rPr>
        <w:t>College</w:t>
      </w:r>
      <w:r>
        <w:rPr>
          <w:color w:val="231F1F"/>
          <w:spacing w:val="-2"/>
          <w:w w:val="105"/>
          <w:sz w:val="20"/>
        </w:rPr>
        <w:t> </w:t>
      </w:r>
      <w:r>
        <w:rPr>
          <w:color w:val="231F1F"/>
          <w:w w:val="105"/>
          <w:sz w:val="20"/>
        </w:rPr>
        <w:t>of</w:t>
      </w:r>
      <w:r>
        <w:rPr>
          <w:color w:val="231F1F"/>
          <w:spacing w:val="-2"/>
          <w:w w:val="105"/>
          <w:sz w:val="20"/>
        </w:rPr>
        <w:t> </w:t>
      </w:r>
      <w:r>
        <w:rPr>
          <w:color w:val="231F1F"/>
          <w:w w:val="105"/>
          <w:sz w:val="20"/>
        </w:rPr>
        <w:t>Obstetricians</w:t>
      </w:r>
      <w:r>
        <w:rPr>
          <w:color w:val="231F1F"/>
          <w:spacing w:val="-2"/>
          <w:w w:val="105"/>
          <w:sz w:val="20"/>
        </w:rPr>
        <w:t> </w:t>
      </w:r>
      <w:r>
        <w:rPr>
          <w:color w:val="231F1F"/>
          <w:w w:val="105"/>
          <w:sz w:val="20"/>
        </w:rPr>
        <w:t>and</w:t>
      </w:r>
      <w:r>
        <w:rPr>
          <w:color w:val="231F1F"/>
          <w:spacing w:val="-2"/>
          <w:w w:val="105"/>
          <w:sz w:val="20"/>
        </w:rPr>
        <w:t> </w:t>
      </w:r>
      <w:r>
        <w:rPr>
          <w:color w:val="231F1F"/>
          <w:w w:val="105"/>
          <w:sz w:val="20"/>
        </w:rPr>
        <w:t>Gynecologists.</w:t>
      </w:r>
      <w:r>
        <w:rPr>
          <w:color w:val="231F1F"/>
          <w:spacing w:val="-5"/>
          <w:w w:val="105"/>
          <w:sz w:val="20"/>
        </w:rPr>
        <w:t> </w:t>
      </w:r>
      <w:r>
        <w:rPr>
          <w:color w:val="231F1F"/>
          <w:w w:val="105"/>
          <w:sz w:val="20"/>
        </w:rPr>
        <w:t>Operative</w:t>
      </w:r>
      <w:r>
        <w:rPr>
          <w:color w:val="231F1F"/>
          <w:spacing w:val="-2"/>
          <w:w w:val="105"/>
          <w:sz w:val="20"/>
        </w:rPr>
        <w:t> </w:t>
      </w:r>
      <w:r>
        <w:rPr>
          <w:color w:val="231F1F"/>
          <w:w w:val="105"/>
          <w:sz w:val="20"/>
        </w:rPr>
        <w:t>vaginal</w:t>
      </w:r>
      <w:r>
        <w:rPr>
          <w:color w:val="231F1F"/>
          <w:spacing w:val="-2"/>
          <w:w w:val="105"/>
          <w:sz w:val="20"/>
        </w:rPr>
        <w:t> </w:t>
      </w:r>
      <w:r>
        <w:rPr>
          <w:color w:val="231F1F"/>
          <w:w w:val="105"/>
          <w:sz w:val="20"/>
        </w:rPr>
        <w:t>delivery.Washington, DC: The College 2000;ACOG practice bulletin no.: 17.</w:t>
      </w:r>
    </w:p>
    <w:p>
      <w:pPr>
        <w:pStyle w:val="ListParagraph"/>
        <w:numPr>
          <w:ilvl w:val="0"/>
          <w:numId w:val="109"/>
        </w:numPr>
        <w:tabs>
          <w:tab w:pos="787" w:val="left" w:leader="none"/>
          <w:tab w:pos="792" w:val="left" w:leader="none"/>
        </w:tabs>
        <w:spacing w:line="230" w:lineRule="auto" w:before="139" w:after="0"/>
        <w:ind w:left="792" w:right="124" w:hanging="511"/>
        <w:jc w:val="both"/>
        <w:rPr>
          <w:sz w:val="20"/>
        </w:rPr>
      </w:pPr>
      <w:r>
        <w:rPr>
          <w:color w:val="231F1F"/>
          <w:w w:val="105"/>
          <w:sz w:val="20"/>
        </w:rPr>
        <w:t>Cheng YW, Hopkins LM, Caughey AB. How long is too long: Does a prolonged second stage of labor in nulliparous women affect maternal and neonatal outcomes? Am J Obstet Gynecol </w:t>
      </w:r>
      <w:r>
        <w:rPr>
          <w:color w:val="231F1F"/>
          <w:spacing w:val="-2"/>
          <w:w w:val="105"/>
          <w:sz w:val="20"/>
        </w:rPr>
        <w:t>2004;191(3):933-8.</w:t>
      </w:r>
    </w:p>
    <w:p>
      <w:pPr>
        <w:pStyle w:val="ListParagraph"/>
        <w:numPr>
          <w:ilvl w:val="0"/>
          <w:numId w:val="109"/>
        </w:numPr>
        <w:tabs>
          <w:tab w:pos="791" w:val="left" w:leader="none"/>
        </w:tabs>
        <w:spacing w:line="230" w:lineRule="auto" w:before="139" w:after="0"/>
        <w:ind w:left="791" w:right="122" w:hanging="511"/>
        <w:jc w:val="both"/>
        <w:rPr>
          <w:sz w:val="20"/>
        </w:rPr>
      </w:pPr>
      <w:r>
        <w:rPr>
          <w:color w:val="231F1F"/>
          <w:w w:val="110"/>
          <w:sz w:val="20"/>
        </w:rPr>
        <w:t>Myles</w:t>
      </w:r>
      <w:r>
        <w:rPr>
          <w:color w:val="231F1F"/>
          <w:spacing w:val="-14"/>
          <w:w w:val="110"/>
          <w:sz w:val="20"/>
        </w:rPr>
        <w:t> </w:t>
      </w:r>
      <w:r>
        <w:rPr>
          <w:color w:val="231F1F"/>
          <w:w w:val="110"/>
          <w:sz w:val="20"/>
        </w:rPr>
        <w:t>TD,</w:t>
      </w:r>
      <w:r>
        <w:rPr>
          <w:color w:val="231F1F"/>
          <w:spacing w:val="-14"/>
          <w:w w:val="110"/>
          <w:sz w:val="20"/>
        </w:rPr>
        <w:t> </w:t>
      </w:r>
      <w:r>
        <w:rPr>
          <w:color w:val="231F1F"/>
          <w:w w:val="110"/>
          <w:sz w:val="20"/>
        </w:rPr>
        <w:t>Santolaya</w:t>
      </w:r>
      <w:r>
        <w:rPr>
          <w:color w:val="231F1F"/>
          <w:spacing w:val="-14"/>
          <w:w w:val="110"/>
          <w:sz w:val="20"/>
        </w:rPr>
        <w:t> </w:t>
      </w:r>
      <w:r>
        <w:rPr>
          <w:color w:val="231F1F"/>
          <w:w w:val="110"/>
          <w:sz w:val="20"/>
        </w:rPr>
        <w:t>J.</w:t>
      </w:r>
      <w:r>
        <w:rPr>
          <w:color w:val="231F1F"/>
          <w:spacing w:val="-13"/>
          <w:w w:val="110"/>
          <w:sz w:val="20"/>
        </w:rPr>
        <w:t> </w:t>
      </w:r>
      <w:r>
        <w:rPr>
          <w:color w:val="231F1F"/>
          <w:w w:val="110"/>
          <w:sz w:val="20"/>
        </w:rPr>
        <w:t>Maternal</w:t>
      </w:r>
      <w:r>
        <w:rPr>
          <w:color w:val="231F1F"/>
          <w:spacing w:val="-14"/>
          <w:w w:val="110"/>
          <w:sz w:val="20"/>
        </w:rPr>
        <w:t> </w:t>
      </w:r>
      <w:r>
        <w:rPr>
          <w:color w:val="231F1F"/>
          <w:w w:val="110"/>
          <w:sz w:val="20"/>
        </w:rPr>
        <w:t>and</w:t>
      </w:r>
      <w:r>
        <w:rPr>
          <w:color w:val="231F1F"/>
          <w:spacing w:val="-14"/>
          <w:w w:val="110"/>
          <w:sz w:val="20"/>
        </w:rPr>
        <w:t> </w:t>
      </w:r>
      <w:r>
        <w:rPr>
          <w:color w:val="231F1F"/>
          <w:w w:val="110"/>
          <w:sz w:val="20"/>
        </w:rPr>
        <w:t>neonatal</w:t>
      </w:r>
      <w:r>
        <w:rPr>
          <w:color w:val="231F1F"/>
          <w:spacing w:val="-14"/>
          <w:w w:val="110"/>
          <w:sz w:val="20"/>
        </w:rPr>
        <w:t> </w:t>
      </w:r>
      <w:r>
        <w:rPr>
          <w:color w:val="231F1F"/>
          <w:w w:val="110"/>
          <w:sz w:val="20"/>
        </w:rPr>
        <w:t>outcomes</w:t>
      </w:r>
      <w:r>
        <w:rPr>
          <w:color w:val="231F1F"/>
          <w:spacing w:val="-13"/>
          <w:w w:val="110"/>
          <w:sz w:val="20"/>
        </w:rPr>
        <w:t> </w:t>
      </w:r>
      <w:r>
        <w:rPr>
          <w:color w:val="231F1F"/>
          <w:w w:val="110"/>
          <w:sz w:val="20"/>
        </w:rPr>
        <w:t>in</w:t>
      </w:r>
      <w:r>
        <w:rPr>
          <w:color w:val="231F1F"/>
          <w:spacing w:val="-14"/>
          <w:w w:val="110"/>
          <w:sz w:val="20"/>
        </w:rPr>
        <w:t> </w:t>
      </w:r>
      <w:r>
        <w:rPr>
          <w:color w:val="231F1F"/>
          <w:w w:val="110"/>
          <w:sz w:val="20"/>
        </w:rPr>
        <w:t>patients</w:t>
      </w:r>
      <w:r>
        <w:rPr>
          <w:color w:val="231F1F"/>
          <w:spacing w:val="-14"/>
          <w:w w:val="110"/>
          <w:sz w:val="20"/>
        </w:rPr>
        <w:t> </w:t>
      </w:r>
      <w:r>
        <w:rPr>
          <w:color w:val="231F1F"/>
          <w:w w:val="110"/>
          <w:sz w:val="20"/>
        </w:rPr>
        <w:t>with</w:t>
      </w:r>
      <w:r>
        <w:rPr>
          <w:color w:val="231F1F"/>
          <w:spacing w:val="-14"/>
          <w:w w:val="110"/>
          <w:sz w:val="20"/>
        </w:rPr>
        <w:t> </w:t>
      </w:r>
      <w:r>
        <w:rPr>
          <w:color w:val="231F1F"/>
          <w:w w:val="110"/>
          <w:sz w:val="20"/>
        </w:rPr>
        <w:t>a</w:t>
      </w:r>
      <w:r>
        <w:rPr>
          <w:color w:val="231F1F"/>
          <w:spacing w:val="-13"/>
          <w:w w:val="110"/>
          <w:sz w:val="20"/>
        </w:rPr>
        <w:t> </w:t>
      </w:r>
      <w:r>
        <w:rPr>
          <w:color w:val="231F1F"/>
          <w:w w:val="110"/>
          <w:sz w:val="20"/>
        </w:rPr>
        <w:t>prolonged</w:t>
      </w:r>
      <w:r>
        <w:rPr>
          <w:color w:val="231F1F"/>
          <w:spacing w:val="-14"/>
          <w:w w:val="110"/>
          <w:sz w:val="20"/>
        </w:rPr>
        <w:t> </w:t>
      </w:r>
      <w:r>
        <w:rPr>
          <w:color w:val="231F1F"/>
          <w:w w:val="110"/>
          <w:sz w:val="20"/>
        </w:rPr>
        <w:t>second stage of labor. Obstet Gynecol 2003;102(1):52-8.</w:t>
      </w:r>
    </w:p>
    <w:p>
      <w:pPr>
        <w:pStyle w:val="ListParagraph"/>
        <w:spacing w:after="0" w:line="230" w:lineRule="auto"/>
        <w:jc w:val="both"/>
        <w:rPr>
          <w:sz w:val="20"/>
        </w:rPr>
        <w:sectPr>
          <w:pgSz w:w="11900" w:h="16840"/>
          <w:pgMar w:header="0" w:footer="622" w:top="1580" w:bottom="820" w:left="1417" w:right="1559"/>
        </w:sectPr>
      </w:pPr>
    </w:p>
    <w:p>
      <w:pPr>
        <w:pStyle w:val="ListParagraph"/>
        <w:numPr>
          <w:ilvl w:val="0"/>
          <w:numId w:val="109"/>
        </w:numPr>
        <w:tabs>
          <w:tab w:pos="791" w:val="left" w:leader="none"/>
        </w:tabs>
        <w:spacing w:line="225" w:lineRule="auto" w:before="87" w:after="0"/>
        <w:ind w:left="791" w:right="124" w:hanging="511"/>
        <w:jc w:val="both"/>
        <w:rPr>
          <w:sz w:val="20"/>
        </w:rPr>
      </w:pPr>
      <w:r>
        <w:rPr>
          <w:color w:val="231F1F"/>
          <w:w w:val="110"/>
          <w:sz w:val="20"/>
        </w:rPr>
        <w:t>Janni</w:t>
      </w:r>
      <w:r>
        <w:rPr>
          <w:color w:val="231F1F"/>
          <w:spacing w:val="-14"/>
          <w:w w:val="110"/>
          <w:sz w:val="20"/>
        </w:rPr>
        <w:t> </w:t>
      </w:r>
      <w:r>
        <w:rPr>
          <w:color w:val="231F1F"/>
          <w:w w:val="110"/>
          <w:sz w:val="20"/>
        </w:rPr>
        <w:t>W,</w:t>
      </w:r>
      <w:r>
        <w:rPr>
          <w:color w:val="231F1F"/>
          <w:spacing w:val="-14"/>
          <w:w w:val="110"/>
          <w:sz w:val="20"/>
        </w:rPr>
        <w:t> </w:t>
      </w:r>
      <w:r>
        <w:rPr>
          <w:color w:val="231F1F"/>
          <w:w w:val="110"/>
          <w:sz w:val="20"/>
        </w:rPr>
        <w:t>Schiessl</w:t>
      </w:r>
      <w:r>
        <w:rPr>
          <w:color w:val="231F1F"/>
          <w:spacing w:val="-14"/>
          <w:w w:val="110"/>
          <w:sz w:val="20"/>
        </w:rPr>
        <w:t> </w:t>
      </w:r>
      <w:r>
        <w:rPr>
          <w:color w:val="231F1F"/>
          <w:w w:val="110"/>
          <w:sz w:val="20"/>
        </w:rPr>
        <w:t>B,</w:t>
      </w:r>
      <w:r>
        <w:rPr>
          <w:color w:val="231F1F"/>
          <w:spacing w:val="-13"/>
          <w:w w:val="110"/>
          <w:sz w:val="20"/>
        </w:rPr>
        <w:t> </w:t>
      </w:r>
      <w:r>
        <w:rPr>
          <w:color w:val="231F1F"/>
          <w:w w:val="110"/>
          <w:sz w:val="20"/>
        </w:rPr>
        <w:t>Peschers</w:t>
      </w:r>
      <w:r>
        <w:rPr>
          <w:color w:val="231F1F"/>
          <w:spacing w:val="-14"/>
          <w:w w:val="110"/>
          <w:sz w:val="20"/>
        </w:rPr>
        <w:t> </w:t>
      </w:r>
      <w:r>
        <w:rPr>
          <w:color w:val="231F1F"/>
          <w:w w:val="110"/>
          <w:sz w:val="20"/>
        </w:rPr>
        <w:t>U,</w:t>
      </w:r>
      <w:r>
        <w:rPr>
          <w:color w:val="231F1F"/>
          <w:spacing w:val="-14"/>
          <w:w w:val="110"/>
          <w:sz w:val="20"/>
        </w:rPr>
        <w:t> </w:t>
      </w:r>
      <w:r>
        <w:rPr>
          <w:color w:val="231F1F"/>
          <w:w w:val="110"/>
          <w:sz w:val="20"/>
        </w:rPr>
        <w:t>et.al.</w:t>
      </w:r>
      <w:r>
        <w:rPr>
          <w:color w:val="231F1F"/>
          <w:spacing w:val="-13"/>
          <w:w w:val="110"/>
          <w:sz w:val="20"/>
        </w:rPr>
        <w:t> </w:t>
      </w:r>
      <w:r>
        <w:rPr>
          <w:color w:val="231F1F"/>
          <w:w w:val="110"/>
          <w:sz w:val="20"/>
        </w:rPr>
        <w:t>The</w:t>
      </w:r>
      <w:r>
        <w:rPr>
          <w:color w:val="231F1F"/>
          <w:spacing w:val="-14"/>
          <w:w w:val="110"/>
          <w:sz w:val="20"/>
        </w:rPr>
        <w:t> </w:t>
      </w:r>
      <w:r>
        <w:rPr>
          <w:color w:val="231F1F"/>
          <w:w w:val="110"/>
          <w:sz w:val="20"/>
        </w:rPr>
        <w:t>prognostic</w:t>
      </w:r>
      <w:r>
        <w:rPr>
          <w:color w:val="231F1F"/>
          <w:spacing w:val="-14"/>
          <w:w w:val="110"/>
          <w:sz w:val="20"/>
        </w:rPr>
        <w:t> </w:t>
      </w:r>
      <w:r>
        <w:rPr>
          <w:color w:val="231F1F"/>
          <w:w w:val="110"/>
          <w:sz w:val="20"/>
        </w:rPr>
        <w:t>impact</w:t>
      </w:r>
      <w:r>
        <w:rPr>
          <w:color w:val="231F1F"/>
          <w:spacing w:val="-14"/>
          <w:w w:val="110"/>
          <w:sz w:val="20"/>
        </w:rPr>
        <w:t> </w:t>
      </w:r>
      <w:r>
        <w:rPr>
          <w:color w:val="231F1F"/>
          <w:w w:val="110"/>
          <w:sz w:val="20"/>
        </w:rPr>
        <w:t>of</w:t>
      </w:r>
      <w:r>
        <w:rPr>
          <w:color w:val="231F1F"/>
          <w:spacing w:val="-13"/>
          <w:w w:val="110"/>
          <w:sz w:val="20"/>
        </w:rPr>
        <w:t> </w:t>
      </w:r>
      <w:r>
        <w:rPr>
          <w:color w:val="231F1F"/>
          <w:w w:val="110"/>
          <w:sz w:val="20"/>
        </w:rPr>
        <w:t>a</w:t>
      </w:r>
      <w:r>
        <w:rPr>
          <w:color w:val="231F1F"/>
          <w:spacing w:val="-14"/>
          <w:w w:val="110"/>
          <w:sz w:val="20"/>
        </w:rPr>
        <w:t> </w:t>
      </w:r>
      <w:r>
        <w:rPr>
          <w:color w:val="231F1F"/>
          <w:w w:val="110"/>
          <w:sz w:val="20"/>
        </w:rPr>
        <w:t>prolonged</w:t>
      </w:r>
      <w:r>
        <w:rPr>
          <w:color w:val="231F1F"/>
          <w:spacing w:val="-14"/>
          <w:w w:val="110"/>
          <w:sz w:val="20"/>
        </w:rPr>
        <w:t> </w:t>
      </w:r>
      <w:r>
        <w:rPr>
          <w:color w:val="231F1F"/>
          <w:w w:val="110"/>
          <w:sz w:val="20"/>
        </w:rPr>
        <w:t>second</w:t>
      </w:r>
      <w:r>
        <w:rPr>
          <w:color w:val="231F1F"/>
          <w:spacing w:val="-14"/>
          <w:w w:val="110"/>
          <w:sz w:val="20"/>
        </w:rPr>
        <w:t> </w:t>
      </w:r>
      <w:r>
        <w:rPr>
          <w:color w:val="231F1F"/>
          <w:w w:val="110"/>
          <w:sz w:val="20"/>
        </w:rPr>
        <w:t>stage</w:t>
      </w:r>
      <w:r>
        <w:rPr>
          <w:color w:val="231F1F"/>
          <w:spacing w:val="-13"/>
          <w:w w:val="110"/>
          <w:sz w:val="20"/>
        </w:rPr>
        <w:t> </w:t>
      </w:r>
      <w:r>
        <w:rPr>
          <w:color w:val="231F1F"/>
          <w:w w:val="110"/>
          <w:sz w:val="20"/>
        </w:rPr>
        <w:t>of labor on maternal and fetal outcome.</w:t>
      </w:r>
      <w:r>
        <w:rPr>
          <w:color w:val="231F1F"/>
          <w:spacing w:val="-13"/>
          <w:w w:val="110"/>
          <w:sz w:val="20"/>
        </w:rPr>
        <w:t> </w:t>
      </w:r>
      <w:r>
        <w:rPr>
          <w:color w:val="231F1F"/>
          <w:w w:val="110"/>
          <w:sz w:val="20"/>
        </w:rPr>
        <w:t>Acta Obstet Gynecol Scand 2002;81(3):214-21.</w:t>
      </w:r>
    </w:p>
    <w:p>
      <w:pPr>
        <w:pStyle w:val="ListParagraph"/>
        <w:numPr>
          <w:ilvl w:val="0"/>
          <w:numId w:val="109"/>
        </w:numPr>
        <w:tabs>
          <w:tab w:pos="791" w:val="left" w:leader="none"/>
        </w:tabs>
        <w:spacing w:line="230" w:lineRule="auto" w:before="140" w:after="0"/>
        <w:ind w:left="791" w:right="118" w:hanging="511"/>
        <w:jc w:val="both"/>
        <w:rPr>
          <w:sz w:val="20"/>
        </w:rPr>
      </w:pPr>
      <w:r>
        <w:rPr>
          <w:color w:val="231F1F"/>
          <w:spacing w:val="-2"/>
          <w:w w:val="110"/>
          <w:sz w:val="20"/>
        </w:rPr>
        <w:t>Kuo</w:t>
      </w:r>
      <w:r>
        <w:rPr>
          <w:color w:val="231F1F"/>
          <w:spacing w:val="-10"/>
          <w:w w:val="110"/>
          <w:sz w:val="20"/>
        </w:rPr>
        <w:t> </w:t>
      </w:r>
      <w:r>
        <w:rPr>
          <w:color w:val="231F1F"/>
          <w:spacing w:val="-2"/>
          <w:w w:val="110"/>
          <w:sz w:val="20"/>
        </w:rPr>
        <w:t>YC,</w:t>
      </w:r>
      <w:r>
        <w:rPr>
          <w:color w:val="231F1F"/>
          <w:spacing w:val="-9"/>
          <w:w w:val="110"/>
          <w:sz w:val="20"/>
        </w:rPr>
        <w:t> </w:t>
      </w:r>
      <w:r>
        <w:rPr>
          <w:color w:val="231F1F"/>
          <w:spacing w:val="-2"/>
          <w:w w:val="110"/>
          <w:sz w:val="20"/>
        </w:rPr>
        <w:t>Chen</w:t>
      </w:r>
      <w:r>
        <w:rPr>
          <w:color w:val="231F1F"/>
          <w:spacing w:val="-10"/>
          <w:w w:val="110"/>
          <w:sz w:val="20"/>
        </w:rPr>
        <w:t> </w:t>
      </w:r>
      <w:r>
        <w:rPr>
          <w:color w:val="231F1F"/>
          <w:spacing w:val="-2"/>
          <w:w w:val="110"/>
          <w:sz w:val="20"/>
        </w:rPr>
        <w:t>CP,</w:t>
      </w:r>
      <w:r>
        <w:rPr>
          <w:color w:val="231F1F"/>
          <w:spacing w:val="-9"/>
          <w:w w:val="110"/>
          <w:sz w:val="20"/>
        </w:rPr>
        <w:t> </w:t>
      </w:r>
      <w:r>
        <w:rPr>
          <w:color w:val="231F1F"/>
          <w:spacing w:val="-2"/>
          <w:w w:val="110"/>
          <w:sz w:val="20"/>
        </w:rPr>
        <w:t>Wang</w:t>
      </w:r>
      <w:r>
        <w:rPr>
          <w:color w:val="231F1F"/>
          <w:spacing w:val="-10"/>
          <w:w w:val="110"/>
          <w:sz w:val="20"/>
        </w:rPr>
        <w:t> </w:t>
      </w:r>
      <w:r>
        <w:rPr>
          <w:color w:val="231F1F"/>
          <w:spacing w:val="-2"/>
          <w:w w:val="110"/>
          <w:sz w:val="20"/>
        </w:rPr>
        <w:t>KG.</w:t>
      </w:r>
      <w:r>
        <w:rPr>
          <w:color w:val="231F1F"/>
          <w:spacing w:val="-9"/>
          <w:w w:val="110"/>
          <w:sz w:val="20"/>
        </w:rPr>
        <w:t> </w:t>
      </w:r>
      <w:r>
        <w:rPr>
          <w:color w:val="231F1F"/>
          <w:spacing w:val="-2"/>
          <w:w w:val="110"/>
          <w:sz w:val="20"/>
        </w:rPr>
        <w:t>Factors</w:t>
      </w:r>
      <w:r>
        <w:rPr>
          <w:color w:val="231F1F"/>
          <w:spacing w:val="-10"/>
          <w:w w:val="110"/>
          <w:sz w:val="20"/>
        </w:rPr>
        <w:t> </w:t>
      </w:r>
      <w:r>
        <w:rPr>
          <w:color w:val="231F1F"/>
          <w:spacing w:val="-2"/>
          <w:w w:val="110"/>
          <w:sz w:val="20"/>
        </w:rPr>
        <w:t>influencing</w:t>
      </w:r>
      <w:r>
        <w:rPr>
          <w:color w:val="231F1F"/>
          <w:spacing w:val="-9"/>
          <w:w w:val="110"/>
          <w:sz w:val="20"/>
        </w:rPr>
        <w:t> </w:t>
      </w:r>
      <w:r>
        <w:rPr>
          <w:color w:val="231F1F"/>
          <w:spacing w:val="-2"/>
          <w:w w:val="110"/>
          <w:sz w:val="20"/>
        </w:rPr>
        <w:t>the</w:t>
      </w:r>
      <w:r>
        <w:rPr>
          <w:color w:val="231F1F"/>
          <w:spacing w:val="-8"/>
          <w:w w:val="110"/>
          <w:sz w:val="20"/>
        </w:rPr>
        <w:t> </w:t>
      </w:r>
      <w:r>
        <w:rPr>
          <w:color w:val="231F1F"/>
          <w:spacing w:val="-2"/>
          <w:w w:val="110"/>
          <w:sz w:val="20"/>
        </w:rPr>
        <w:t>prolonged</w:t>
      </w:r>
      <w:r>
        <w:rPr>
          <w:color w:val="231F1F"/>
          <w:spacing w:val="-8"/>
          <w:w w:val="110"/>
          <w:sz w:val="20"/>
        </w:rPr>
        <w:t> </w:t>
      </w:r>
      <w:r>
        <w:rPr>
          <w:color w:val="231F1F"/>
          <w:spacing w:val="-2"/>
          <w:w w:val="110"/>
          <w:sz w:val="20"/>
        </w:rPr>
        <w:t>second</w:t>
      </w:r>
      <w:r>
        <w:rPr>
          <w:color w:val="231F1F"/>
          <w:spacing w:val="-8"/>
          <w:w w:val="110"/>
          <w:sz w:val="20"/>
        </w:rPr>
        <w:t> </w:t>
      </w:r>
      <w:r>
        <w:rPr>
          <w:color w:val="231F1F"/>
          <w:spacing w:val="-2"/>
          <w:w w:val="110"/>
          <w:sz w:val="20"/>
        </w:rPr>
        <w:t>stage</w:t>
      </w:r>
      <w:r>
        <w:rPr>
          <w:color w:val="231F1F"/>
          <w:spacing w:val="-7"/>
          <w:w w:val="110"/>
          <w:sz w:val="20"/>
        </w:rPr>
        <w:t> </w:t>
      </w:r>
      <w:r>
        <w:rPr>
          <w:color w:val="231F1F"/>
          <w:spacing w:val="-2"/>
          <w:w w:val="110"/>
          <w:sz w:val="20"/>
        </w:rPr>
        <w:t>and</w:t>
      </w:r>
      <w:r>
        <w:rPr>
          <w:color w:val="231F1F"/>
          <w:spacing w:val="-8"/>
          <w:w w:val="110"/>
          <w:sz w:val="20"/>
        </w:rPr>
        <w:t> </w:t>
      </w:r>
      <w:r>
        <w:rPr>
          <w:color w:val="231F1F"/>
          <w:spacing w:val="-2"/>
          <w:w w:val="110"/>
          <w:sz w:val="20"/>
        </w:rPr>
        <w:t>the</w:t>
      </w:r>
      <w:r>
        <w:rPr>
          <w:color w:val="231F1F"/>
          <w:spacing w:val="-8"/>
          <w:w w:val="110"/>
          <w:sz w:val="20"/>
        </w:rPr>
        <w:t> </w:t>
      </w:r>
      <w:r>
        <w:rPr>
          <w:color w:val="231F1F"/>
          <w:spacing w:val="-2"/>
          <w:w w:val="110"/>
          <w:sz w:val="20"/>
        </w:rPr>
        <w:t>effects </w:t>
      </w:r>
      <w:r>
        <w:rPr>
          <w:color w:val="231F1F"/>
          <w:w w:val="110"/>
          <w:sz w:val="20"/>
        </w:rPr>
        <w:t>on perinatal and maternal outcomes. J Obstet Gynaecol Res 1996;22(3):253-7.</w:t>
      </w:r>
    </w:p>
    <w:p>
      <w:pPr>
        <w:pStyle w:val="ListParagraph"/>
        <w:numPr>
          <w:ilvl w:val="0"/>
          <w:numId w:val="109"/>
        </w:numPr>
        <w:tabs>
          <w:tab w:pos="791" w:val="left" w:leader="none"/>
        </w:tabs>
        <w:spacing w:line="230" w:lineRule="auto" w:before="140" w:after="0"/>
        <w:ind w:left="791" w:right="123" w:hanging="511"/>
        <w:jc w:val="both"/>
        <w:rPr>
          <w:sz w:val="20"/>
        </w:rPr>
      </w:pPr>
      <w:r>
        <w:rPr>
          <w:color w:val="231F1F"/>
          <w:w w:val="110"/>
          <w:sz w:val="20"/>
        </w:rPr>
        <w:t>Van</w:t>
      </w:r>
      <w:r>
        <w:rPr>
          <w:color w:val="231F1F"/>
          <w:w w:val="110"/>
          <w:sz w:val="20"/>
        </w:rPr>
        <w:t> Kessel</w:t>
      </w:r>
      <w:r>
        <w:rPr>
          <w:color w:val="231F1F"/>
          <w:w w:val="110"/>
          <w:sz w:val="20"/>
        </w:rPr>
        <w:t> K,</w:t>
      </w:r>
      <w:r>
        <w:rPr>
          <w:color w:val="231F1F"/>
          <w:w w:val="110"/>
          <w:sz w:val="20"/>
        </w:rPr>
        <w:t> Reed</w:t>
      </w:r>
      <w:r>
        <w:rPr>
          <w:color w:val="231F1F"/>
          <w:w w:val="110"/>
          <w:sz w:val="20"/>
        </w:rPr>
        <w:t> S,</w:t>
      </w:r>
      <w:r>
        <w:rPr>
          <w:color w:val="231F1F"/>
          <w:w w:val="110"/>
          <w:sz w:val="20"/>
        </w:rPr>
        <w:t> Newton</w:t>
      </w:r>
      <w:r>
        <w:rPr>
          <w:color w:val="231F1F"/>
          <w:w w:val="110"/>
          <w:sz w:val="20"/>
        </w:rPr>
        <w:t> K,</w:t>
      </w:r>
      <w:r>
        <w:rPr>
          <w:color w:val="231F1F"/>
          <w:w w:val="110"/>
          <w:sz w:val="20"/>
        </w:rPr>
        <w:t> et</w:t>
      </w:r>
      <w:r>
        <w:rPr>
          <w:color w:val="231F1F"/>
          <w:w w:val="110"/>
          <w:sz w:val="20"/>
        </w:rPr>
        <w:t> al.</w:t>
      </w:r>
      <w:r>
        <w:rPr>
          <w:color w:val="231F1F"/>
          <w:w w:val="110"/>
          <w:sz w:val="20"/>
        </w:rPr>
        <w:t> The</w:t>
      </w:r>
      <w:r>
        <w:rPr>
          <w:color w:val="231F1F"/>
          <w:w w:val="110"/>
          <w:sz w:val="20"/>
        </w:rPr>
        <w:t> second</w:t>
      </w:r>
      <w:r>
        <w:rPr>
          <w:color w:val="231F1F"/>
          <w:w w:val="110"/>
          <w:sz w:val="20"/>
        </w:rPr>
        <w:t> stage</w:t>
      </w:r>
      <w:r>
        <w:rPr>
          <w:color w:val="231F1F"/>
          <w:w w:val="110"/>
          <w:sz w:val="20"/>
        </w:rPr>
        <w:t> of</w:t>
      </w:r>
      <w:r>
        <w:rPr>
          <w:color w:val="231F1F"/>
          <w:w w:val="110"/>
          <w:sz w:val="20"/>
        </w:rPr>
        <w:t> labor</w:t>
      </w:r>
      <w:r>
        <w:rPr>
          <w:color w:val="231F1F"/>
          <w:w w:val="110"/>
          <w:sz w:val="20"/>
        </w:rPr>
        <w:t> and</w:t>
      </w:r>
      <w:r>
        <w:rPr>
          <w:color w:val="231F1F"/>
          <w:w w:val="110"/>
          <w:sz w:val="20"/>
        </w:rPr>
        <w:t> stress</w:t>
      </w:r>
      <w:r>
        <w:rPr>
          <w:color w:val="231F1F"/>
          <w:w w:val="110"/>
          <w:sz w:val="20"/>
        </w:rPr>
        <w:t> urinary incontinence. Am J Obstet Gynecol 2001;184(7):1571-5.</w:t>
      </w:r>
    </w:p>
    <w:p>
      <w:pPr>
        <w:pStyle w:val="ListParagraph"/>
        <w:numPr>
          <w:ilvl w:val="0"/>
          <w:numId w:val="109"/>
        </w:numPr>
        <w:tabs>
          <w:tab w:pos="793" w:val="left" w:leader="none"/>
        </w:tabs>
        <w:spacing w:line="230" w:lineRule="auto" w:before="139" w:after="0"/>
        <w:ind w:left="793" w:right="122" w:hanging="511"/>
        <w:jc w:val="both"/>
        <w:rPr>
          <w:sz w:val="20"/>
        </w:rPr>
      </w:pPr>
      <w:r>
        <w:rPr>
          <w:color w:val="231F1F"/>
          <w:w w:val="105"/>
          <w:sz w:val="20"/>
        </w:rPr>
        <w:t>Menticoglou SM, Manning F, Harman C, et al. Perinatal outcome in relation to second-stage duration. Am J Obstet Gynecol 1995;173(3 Part 1):906-12.</w:t>
      </w:r>
    </w:p>
    <w:p>
      <w:pPr>
        <w:pStyle w:val="ListParagraph"/>
        <w:numPr>
          <w:ilvl w:val="0"/>
          <w:numId w:val="109"/>
        </w:numPr>
        <w:tabs>
          <w:tab w:pos="791" w:val="left" w:leader="none"/>
        </w:tabs>
        <w:spacing w:line="230" w:lineRule="auto" w:before="139" w:after="0"/>
        <w:ind w:left="791" w:right="119" w:hanging="511"/>
        <w:jc w:val="both"/>
        <w:rPr>
          <w:sz w:val="20"/>
        </w:rPr>
      </w:pPr>
      <w:r>
        <w:rPr>
          <w:color w:val="231F1F"/>
          <w:spacing w:val="-2"/>
          <w:w w:val="110"/>
          <w:sz w:val="20"/>
        </w:rPr>
        <w:t>Saunders</w:t>
      </w:r>
      <w:r>
        <w:rPr>
          <w:color w:val="231F1F"/>
          <w:spacing w:val="-7"/>
          <w:w w:val="110"/>
          <w:sz w:val="20"/>
        </w:rPr>
        <w:t> </w:t>
      </w:r>
      <w:r>
        <w:rPr>
          <w:color w:val="231F1F"/>
          <w:spacing w:val="-2"/>
          <w:w w:val="110"/>
          <w:sz w:val="20"/>
        </w:rPr>
        <w:t>NS,</w:t>
      </w:r>
      <w:r>
        <w:rPr>
          <w:color w:val="231F1F"/>
          <w:spacing w:val="-7"/>
          <w:w w:val="110"/>
          <w:sz w:val="20"/>
        </w:rPr>
        <w:t> </w:t>
      </w:r>
      <w:r>
        <w:rPr>
          <w:color w:val="231F1F"/>
          <w:spacing w:val="-2"/>
          <w:w w:val="110"/>
          <w:sz w:val="20"/>
        </w:rPr>
        <w:t>Paterson</w:t>
      </w:r>
      <w:r>
        <w:rPr>
          <w:color w:val="231F1F"/>
          <w:spacing w:val="-8"/>
          <w:w w:val="110"/>
          <w:sz w:val="20"/>
        </w:rPr>
        <w:t> </w:t>
      </w:r>
      <w:r>
        <w:rPr>
          <w:color w:val="231F1F"/>
          <w:spacing w:val="-2"/>
          <w:w w:val="110"/>
          <w:sz w:val="20"/>
        </w:rPr>
        <w:t>CM,</w:t>
      </w:r>
      <w:r>
        <w:rPr>
          <w:color w:val="231F1F"/>
          <w:spacing w:val="-6"/>
          <w:w w:val="110"/>
          <w:sz w:val="20"/>
        </w:rPr>
        <w:t> </w:t>
      </w:r>
      <w:r>
        <w:rPr>
          <w:color w:val="231F1F"/>
          <w:spacing w:val="-2"/>
          <w:w w:val="110"/>
          <w:sz w:val="20"/>
        </w:rPr>
        <w:t>Wadsworth</w:t>
      </w:r>
      <w:r>
        <w:rPr>
          <w:color w:val="231F1F"/>
          <w:spacing w:val="-6"/>
          <w:w w:val="110"/>
          <w:sz w:val="20"/>
        </w:rPr>
        <w:t> </w:t>
      </w:r>
      <w:r>
        <w:rPr>
          <w:color w:val="231F1F"/>
          <w:spacing w:val="-2"/>
          <w:w w:val="110"/>
          <w:sz w:val="20"/>
        </w:rPr>
        <w:t>J.</w:t>
      </w:r>
      <w:r>
        <w:rPr>
          <w:color w:val="231F1F"/>
          <w:spacing w:val="-7"/>
          <w:w w:val="110"/>
          <w:sz w:val="20"/>
        </w:rPr>
        <w:t> </w:t>
      </w:r>
      <w:r>
        <w:rPr>
          <w:color w:val="231F1F"/>
          <w:spacing w:val="-2"/>
          <w:w w:val="110"/>
          <w:sz w:val="20"/>
        </w:rPr>
        <w:t>Neonatal</w:t>
      </w:r>
      <w:r>
        <w:rPr>
          <w:color w:val="231F1F"/>
          <w:spacing w:val="-5"/>
          <w:w w:val="110"/>
          <w:sz w:val="20"/>
        </w:rPr>
        <w:t> </w:t>
      </w:r>
      <w:r>
        <w:rPr>
          <w:color w:val="231F1F"/>
          <w:spacing w:val="-2"/>
          <w:w w:val="110"/>
          <w:sz w:val="20"/>
        </w:rPr>
        <w:t>and</w:t>
      </w:r>
      <w:r>
        <w:rPr>
          <w:color w:val="231F1F"/>
          <w:spacing w:val="-5"/>
          <w:w w:val="110"/>
          <w:sz w:val="20"/>
        </w:rPr>
        <w:t> </w:t>
      </w:r>
      <w:r>
        <w:rPr>
          <w:color w:val="231F1F"/>
          <w:spacing w:val="-2"/>
          <w:w w:val="110"/>
          <w:sz w:val="20"/>
        </w:rPr>
        <w:t>maternal</w:t>
      </w:r>
      <w:r>
        <w:rPr>
          <w:color w:val="231F1F"/>
          <w:spacing w:val="-4"/>
          <w:w w:val="110"/>
          <w:sz w:val="20"/>
        </w:rPr>
        <w:t> </w:t>
      </w:r>
      <w:r>
        <w:rPr>
          <w:color w:val="231F1F"/>
          <w:spacing w:val="-2"/>
          <w:w w:val="110"/>
          <w:sz w:val="20"/>
        </w:rPr>
        <w:t>morbidity</w:t>
      </w:r>
      <w:r>
        <w:rPr>
          <w:color w:val="231F1F"/>
          <w:spacing w:val="-5"/>
          <w:w w:val="110"/>
          <w:sz w:val="20"/>
        </w:rPr>
        <w:t> </w:t>
      </w:r>
      <w:r>
        <w:rPr>
          <w:color w:val="231F1F"/>
          <w:spacing w:val="-2"/>
          <w:w w:val="110"/>
          <w:sz w:val="20"/>
        </w:rPr>
        <w:t>in</w:t>
      </w:r>
      <w:r>
        <w:rPr>
          <w:color w:val="231F1F"/>
          <w:spacing w:val="-5"/>
          <w:w w:val="110"/>
          <w:sz w:val="20"/>
        </w:rPr>
        <w:t> </w:t>
      </w:r>
      <w:r>
        <w:rPr>
          <w:color w:val="231F1F"/>
          <w:spacing w:val="-2"/>
          <w:w w:val="110"/>
          <w:sz w:val="20"/>
        </w:rPr>
        <w:t>relation</w:t>
      </w:r>
      <w:r>
        <w:rPr>
          <w:color w:val="231F1F"/>
          <w:spacing w:val="-5"/>
          <w:w w:val="110"/>
          <w:sz w:val="20"/>
        </w:rPr>
        <w:t> </w:t>
      </w:r>
      <w:r>
        <w:rPr>
          <w:color w:val="231F1F"/>
          <w:spacing w:val="-2"/>
          <w:w w:val="110"/>
          <w:sz w:val="20"/>
        </w:rPr>
        <w:t>to</w:t>
      </w:r>
      <w:r>
        <w:rPr>
          <w:color w:val="231F1F"/>
          <w:spacing w:val="-5"/>
          <w:w w:val="110"/>
          <w:sz w:val="20"/>
        </w:rPr>
        <w:t> </w:t>
      </w:r>
      <w:r>
        <w:rPr>
          <w:color w:val="231F1F"/>
          <w:spacing w:val="-2"/>
          <w:w w:val="110"/>
          <w:sz w:val="20"/>
        </w:rPr>
        <w:t>the </w:t>
      </w:r>
      <w:r>
        <w:rPr>
          <w:color w:val="231F1F"/>
          <w:w w:val="110"/>
          <w:sz w:val="20"/>
        </w:rPr>
        <w:t>length of the second stage of labour. BJOG 1992;99(5):381-5.</w:t>
      </w:r>
    </w:p>
    <w:p>
      <w:pPr>
        <w:pStyle w:val="ListParagraph"/>
        <w:numPr>
          <w:ilvl w:val="0"/>
          <w:numId w:val="109"/>
        </w:numPr>
        <w:tabs>
          <w:tab w:pos="793" w:val="left" w:leader="none"/>
        </w:tabs>
        <w:spacing w:line="230" w:lineRule="auto" w:before="139" w:after="0"/>
        <w:ind w:left="793" w:right="123" w:hanging="511"/>
        <w:jc w:val="both"/>
        <w:rPr>
          <w:sz w:val="20"/>
        </w:rPr>
      </w:pPr>
      <w:r>
        <w:rPr>
          <w:color w:val="231F1F"/>
          <w:w w:val="105"/>
          <w:sz w:val="20"/>
        </w:rPr>
        <w:t>Paterson</w:t>
      </w:r>
      <w:r>
        <w:rPr>
          <w:color w:val="231F1F"/>
          <w:spacing w:val="26"/>
          <w:w w:val="105"/>
          <w:sz w:val="20"/>
        </w:rPr>
        <w:t> </w:t>
      </w:r>
      <w:r>
        <w:rPr>
          <w:color w:val="231F1F"/>
          <w:w w:val="105"/>
          <w:sz w:val="20"/>
        </w:rPr>
        <w:t>CM, Saunders</w:t>
      </w:r>
      <w:r>
        <w:rPr>
          <w:color w:val="231F1F"/>
          <w:spacing w:val="26"/>
          <w:w w:val="105"/>
          <w:sz w:val="20"/>
        </w:rPr>
        <w:t> </w:t>
      </w:r>
      <w:r>
        <w:rPr>
          <w:color w:val="231F1F"/>
          <w:w w:val="105"/>
          <w:sz w:val="20"/>
        </w:rPr>
        <w:t>NS, Wadsworth</w:t>
      </w:r>
      <w:r>
        <w:rPr>
          <w:color w:val="231F1F"/>
          <w:spacing w:val="25"/>
          <w:w w:val="105"/>
          <w:sz w:val="20"/>
        </w:rPr>
        <w:t> </w:t>
      </w:r>
      <w:r>
        <w:rPr>
          <w:color w:val="231F1F"/>
          <w:w w:val="105"/>
          <w:sz w:val="20"/>
        </w:rPr>
        <w:t>J. The</w:t>
      </w:r>
      <w:r>
        <w:rPr>
          <w:color w:val="231F1F"/>
          <w:spacing w:val="26"/>
          <w:w w:val="105"/>
          <w:sz w:val="20"/>
        </w:rPr>
        <w:t> </w:t>
      </w:r>
      <w:r>
        <w:rPr>
          <w:color w:val="231F1F"/>
          <w:w w:val="105"/>
          <w:sz w:val="20"/>
        </w:rPr>
        <w:t>characteristics</w:t>
      </w:r>
      <w:r>
        <w:rPr>
          <w:color w:val="231F1F"/>
          <w:spacing w:val="26"/>
          <w:w w:val="105"/>
          <w:sz w:val="20"/>
        </w:rPr>
        <w:t> </w:t>
      </w:r>
      <w:r>
        <w:rPr>
          <w:color w:val="231F1F"/>
          <w:w w:val="105"/>
          <w:sz w:val="20"/>
        </w:rPr>
        <w:t>of</w:t>
      </w:r>
      <w:r>
        <w:rPr>
          <w:color w:val="231F1F"/>
          <w:spacing w:val="26"/>
          <w:w w:val="105"/>
          <w:sz w:val="20"/>
        </w:rPr>
        <w:t> </w:t>
      </w:r>
      <w:r>
        <w:rPr>
          <w:color w:val="231F1F"/>
          <w:w w:val="105"/>
          <w:sz w:val="20"/>
        </w:rPr>
        <w:t>the</w:t>
      </w:r>
      <w:r>
        <w:rPr>
          <w:color w:val="231F1F"/>
          <w:spacing w:val="26"/>
          <w:w w:val="105"/>
          <w:sz w:val="20"/>
        </w:rPr>
        <w:t> </w:t>
      </w:r>
      <w:r>
        <w:rPr>
          <w:color w:val="231F1F"/>
          <w:w w:val="105"/>
          <w:sz w:val="20"/>
        </w:rPr>
        <w:t>second</w:t>
      </w:r>
      <w:r>
        <w:rPr>
          <w:color w:val="231F1F"/>
          <w:spacing w:val="26"/>
          <w:w w:val="105"/>
          <w:sz w:val="20"/>
        </w:rPr>
        <w:t> </w:t>
      </w:r>
      <w:r>
        <w:rPr>
          <w:color w:val="231F1F"/>
          <w:w w:val="105"/>
          <w:sz w:val="20"/>
        </w:rPr>
        <w:t>stage</w:t>
      </w:r>
      <w:r>
        <w:rPr>
          <w:color w:val="231F1F"/>
          <w:spacing w:val="26"/>
          <w:w w:val="105"/>
          <w:sz w:val="20"/>
        </w:rPr>
        <w:t> </w:t>
      </w:r>
      <w:r>
        <w:rPr>
          <w:color w:val="231F1F"/>
          <w:w w:val="105"/>
          <w:sz w:val="20"/>
        </w:rPr>
        <w:t>of</w:t>
      </w:r>
      <w:r>
        <w:rPr>
          <w:color w:val="231F1F"/>
          <w:spacing w:val="26"/>
          <w:w w:val="105"/>
          <w:sz w:val="20"/>
        </w:rPr>
        <w:t> </w:t>
      </w:r>
      <w:r>
        <w:rPr>
          <w:color w:val="231F1F"/>
          <w:w w:val="105"/>
          <w:sz w:val="20"/>
        </w:rPr>
        <w:t>labour in</w:t>
      </w:r>
      <w:r>
        <w:rPr>
          <w:color w:val="231F1F"/>
          <w:w w:val="105"/>
          <w:sz w:val="20"/>
        </w:rPr>
        <w:t> 25,069</w:t>
      </w:r>
      <w:r>
        <w:rPr>
          <w:color w:val="231F1F"/>
          <w:w w:val="105"/>
          <w:sz w:val="20"/>
        </w:rPr>
        <w:t> singleton</w:t>
      </w:r>
      <w:r>
        <w:rPr>
          <w:color w:val="231F1F"/>
          <w:w w:val="105"/>
          <w:sz w:val="20"/>
        </w:rPr>
        <w:t> deliveries</w:t>
      </w:r>
      <w:r>
        <w:rPr>
          <w:color w:val="231F1F"/>
          <w:w w:val="105"/>
          <w:sz w:val="20"/>
        </w:rPr>
        <w:t> in</w:t>
      </w:r>
      <w:r>
        <w:rPr>
          <w:color w:val="231F1F"/>
          <w:w w:val="105"/>
          <w:sz w:val="20"/>
        </w:rPr>
        <w:t> the</w:t>
      </w:r>
      <w:r>
        <w:rPr>
          <w:color w:val="231F1F"/>
          <w:w w:val="105"/>
          <w:sz w:val="20"/>
        </w:rPr>
        <w:t> North</w:t>
      </w:r>
      <w:r>
        <w:rPr>
          <w:color w:val="231F1F"/>
          <w:w w:val="105"/>
          <w:sz w:val="20"/>
        </w:rPr>
        <w:t> West</w:t>
      </w:r>
      <w:r>
        <w:rPr>
          <w:color w:val="231F1F"/>
          <w:w w:val="105"/>
          <w:sz w:val="20"/>
        </w:rPr>
        <w:t> Thames</w:t>
      </w:r>
      <w:r>
        <w:rPr>
          <w:color w:val="231F1F"/>
          <w:w w:val="105"/>
          <w:sz w:val="20"/>
        </w:rPr>
        <w:t> Health</w:t>
      </w:r>
      <w:r>
        <w:rPr>
          <w:color w:val="231F1F"/>
          <w:w w:val="105"/>
          <w:sz w:val="20"/>
        </w:rPr>
        <w:t> Region,</w:t>
      </w:r>
      <w:r>
        <w:rPr>
          <w:color w:val="231F1F"/>
          <w:w w:val="105"/>
          <w:sz w:val="20"/>
        </w:rPr>
        <w:t> 1988.</w:t>
      </w:r>
      <w:r>
        <w:rPr>
          <w:color w:val="231F1F"/>
          <w:w w:val="105"/>
          <w:sz w:val="20"/>
        </w:rPr>
        <w:t> BJOG </w:t>
      </w:r>
      <w:r>
        <w:rPr>
          <w:color w:val="231F1F"/>
          <w:spacing w:val="-2"/>
          <w:w w:val="105"/>
          <w:sz w:val="20"/>
        </w:rPr>
        <w:t>1992;99(5):377-80.</w:t>
      </w:r>
    </w:p>
    <w:p>
      <w:pPr>
        <w:pStyle w:val="ListParagraph"/>
        <w:numPr>
          <w:ilvl w:val="0"/>
          <w:numId w:val="109"/>
        </w:numPr>
        <w:tabs>
          <w:tab w:pos="792" w:val="left" w:leader="none"/>
        </w:tabs>
        <w:spacing w:line="235" w:lineRule="auto" w:before="136" w:after="0"/>
        <w:ind w:left="792" w:right="112" w:hanging="511"/>
        <w:jc w:val="both"/>
        <w:rPr>
          <w:sz w:val="20"/>
        </w:rPr>
      </w:pPr>
      <w:r>
        <w:rPr>
          <w:color w:val="231F1F"/>
          <w:w w:val="105"/>
          <w:sz w:val="20"/>
        </w:rPr>
        <w:t>Moon JM,</w:t>
      </w:r>
      <w:r>
        <w:rPr>
          <w:color w:val="231F1F"/>
          <w:spacing w:val="-1"/>
          <w:w w:val="105"/>
          <w:sz w:val="20"/>
        </w:rPr>
        <w:t> </w:t>
      </w:r>
      <w:r>
        <w:rPr>
          <w:color w:val="231F1F"/>
          <w:w w:val="105"/>
          <w:sz w:val="20"/>
        </w:rPr>
        <w:t>Smith CV,</w:t>
      </w:r>
      <w:r>
        <w:rPr>
          <w:color w:val="231F1F"/>
          <w:spacing w:val="-1"/>
          <w:w w:val="105"/>
          <w:sz w:val="20"/>
        </w:rPr>
        <w:t> </w:t>
      </w:r>
      <w:r>
        <w:rPr>
          <w:color w:val="231F1F"/>
          <w:w w:val="105"/>
          <w:sz w:val="20"/>
        </w:rPr>
        <w:t>Rayburn</w:t>
      </w:r>
      <w:r>
        <w:rPr>
          <w:color w:val="231F1F"/>
          <w:spacing w:val="-2"/>
          <w:w w:val="105"/>
          <w:sz w:val="20"/>
        </w:rPr>
        <w:t> </w:t>
      </w:r>
      <w:r>
        <w:rPr>
          <w:color w:val="231F1F"/>
          <w:w w:val="105"/>
          <w:sz w:val="20"/>
        </w:rPr>
        <w:t>WF.</w:t>
      </w:r>
      <w:r>
        <w:rPr>
          <w:color w:val="231F1F"/>
          <w:spacing w:val="-1"/>
          <w:w w:val="105"/>
          <w:sz w:val="20"/>
        </w:rPr>
        <w:t> </w:t>
      </w:r>
      <w:r>
        <w:rPr>
          <w:color w:val="231F1F"/>
          <w:w w:val="105"/>
          <w:sz w:val="20"/>
        </w:rPr>
        <w:t>Perinatal outcome after a prolonged second stage of labor. J Reprod Med 1990;35(3):229-31.</w:t>
      </w:r>
    </w:p>
    <w:p>
      <w:pPr>
        <w:pStyle w:val="ListParagraph"/>
        <w:numPr>
          <w:ilvl w:val="0"/>
          <w:numId w:val="109"/>
        </w:numPr>
        <w:tabs>
          <w:tab w:pos="792" w:val="left" w:leader="none"/>
        </w:tabs>
        <w:spacing w:line="235" w:lineRule="auto" w:before="130" w:after="0"/>
        <w:ind w:left="792" w:right="120" w:hanging="511"/>
        <w:jc w:val="both"/>
        <w:rPr>
          <w:sz w:val="20"/>
        </w:rPr>
      </w:pPr>
      <w:r>
        <w:rPr>
          <w:color w:val="231F1F"/>
          <w:w w:val="105"/>
          <w:sz w:val="20"/>
        </w:rPr>
        <w:t>Lederman</w:t>
      </w:r>
      <w:r>
        <w:rPr>
          <w:color w:val="231F1F"/>
          <w:w w:val="105"/>
          <w:sz w:val="20"/>
        </w:rPr>
        <w:t> RP,</w:t>
      </w:r>
      <w:r>
        <w:rPr>
          <w:color w:val="231F1F"/>
          <w:w w:val="105"/>
          <w:sz w:val="20"/>
        </w:rPr>
        <w:t> Lederman</w:t>
      </w:r>
      <w:r>
        <w:rPr>
          <w:color w:val="231F1F"/>
          <w:w w:val="105"/>
          <w:sz w:val="20"/>
        </w:rPr>
        <w:t> E,</w:t>
      </w:r>
      <w:r>
        <w:rPr>
          <w:color w:val="231F1F"/>
          <w:w w:val="105"/>
          <w:sz w:val="20"/>
        </w:rPr>
        <w:t> Work</w:t>
      </w:r>
      <w:r>
        <w:rPr>
          <w:color w:val="231F1F"/>
          <w:w w:val="105"/>
          <w:sz w:val="20"/>
        </w:rPr>
        <w:t> BJ,</w:t>
      </w:r>
      <w:r>
        <w:rPr>
          <w:color w:val="231F1F"/>
          <w:w w:val="105"/>
          <w:sz w:val="20"/>
        </w:rPr>
        <w:t> et</w:t>
      </w:r>
      <w:r>
        <w:rPr>
          <w:color w:val="231F1F"/>
          <w:w w:val="105"/>
          <w:sz w:val="20"/>
        </w:rPr>
        <w:t> al.</w:t>
      </w:r>
      <w:r>
        <w:rPr>
          <w:color w:val="231F1F"/>
          <w:w w:val="105"/>
          <w:sz w:val="20"/>
        </w:rPr>
        <w:t> The</w:t>
      </w:r>
      <w:r>
        <w:rPr>
          <w:color w:val="231F1F"/>
          <w:w w:val="105"/>
          <w:sz w:val="20"/>
        </w:rPr>
        <w:t> relationship</w:t>
      </w:r>
      <w:r>
        <w:rPr>
          <w:color w:val="231F1F"/>
          <w:w w:val="105"/>
          <w:sz w:val="20"/>
        </w:rPr>
        <w:t> of</w:t>
      </w:r>
      <w:r>
        <w:rPr>
          <w:color w:val="231F1F"/>
          <w:w w:val="105"/>
          <w:sz w:val="20"/>
        </w:rPr>
        <w:t> maternal</w:t>
      </w:r>
      <w:r>
        <w:rPr>
          <w:color w:val="231F1F"/>
          <w:w w:val="105"/>
          <w:sz w:val="20"/>
        </w:rPr>
        <w:t> anxiety,</w:t>
      </w:r>
      <w:r>
        <w:rPr>
          <w:color w:val="231F1F"/>
          <w:w w:val="105"/>
          <w:sz w:val="20"/>
        </w:rPr>
        <w:t> plasma catecholamines,</w:t>
      </w:r>
      <w:r>
        <w:rPr>
          <w:color w:val="231F1F"/>
          <w:spacing w:val="-13"/>
          <w:w w:val="105"/>
          <w:sz w:val="20"/>
        </w:rPr>
        <w:t> </w:t>
      </w:r>
      <w:r>
        <w:rPr>
          <w:color w:val="231F1F"/>
          <w:w w:val="105"/>
          <w:sz w:val="20"/>
        </w:rPr>
        <w:t>and</w:t>
      </w:r>
      <w:r>
        <w:rPr>
          <w:color w:val="231F1F"/>
          <w:spacing w:val="-13"/>
          <w:w w:val="105"/>
          <w:sz w:val="20"/>
        </w:rPr>
        <w:t> </w:t>
      </w:r>
      <w:r>
        <w:rPr>
          <w:color w:val="231F1F"/>
          <w:w w:val="105"/>
          <w:sz w:val="20"/>
        </w:rPr>
        <w:t>plasma</w:t>
      </w:r>
      <w:r>
        <w:rPr>
          <w:color w:val="231F1F"/>
          <w:spacing w:val="-13"/>
          <w:w w:val="105"/>
          <w:sz w:val="20"/>
        </w:rPr>
        <w:t> </w:t>
      </w:r>
      <w:r>
        <w:rPr>
          <w:color w:val="231F1F"/>
          <w:w w:val="105"/>
          <w:sz w:val="20"/>
        </w:rPr>
        <w:t>cortisol</w:t>
      </w:r>
      <w:r>
        <w:rPr>
          <w:color w:val="231F1F"/>
          <w:spacing w:val="-13"/>
          <w:w w:val="105"/>
          <w:sz w:val="20"/>
        </w:rPr>
        <w:t> </w:t>
      </w:r>
      <w:r>
        <w:rPr>
          <w:color w:val="231F1F"/>
          <w:w w:val="105"/>
          <w:sz w:val="20"/>
        </w:rPr>
        <w:t>to</w:t>
      </w:r>
      <w:r>
        <w:rPr>
          <w:color w:val="231F1F"/>
          <w:spacing w:val="-13"/>
          <w:w w:val="105"/>
          <w:sz w:val="20"/>
        </w:rPr>
        <w:t> </w:t>
      </w:r>
      <w:r>
        <w:rPr>
          <w:color w:val="231F1F"/>
          <w:w w:val="105"/>
          <w:sz w:val="20"/>
        </w:rPr>
        <w:t>progress</w:t>
      </w:r>
      <w:r>
        <w:rPr>
          <w:color w:val="231F1F"/>
          <w:spacing w:val="-13"/>
          <w:w w:val="105"/>
          <w:sz w:val="20"/>
        </w:rPr>
        <w:t> </w:t>
      </w:r>
      <w:r>
        <w:rPr>
          <w:color w:val="231F1F"/>
          <w:w w:val="105"/>
          <w:sz w:val="20"/>
        </w:rPr>
        <w:t>in</w:t>
      </w:r>
      <w:r>
        <w:rPr>
          <w:color w:val="231F1F"/>
          <w:spacing w:val="-13"/>
          <w:w w:val="105"/>
          <w:sz w:val="20"/>
        </w:rPr>
        <w:t> </w:t>
      </w:r>
      <w:r>
        <w:rPr>
          <w:color w:val="231F1F"/>
          <w:w w:val="105"/>
          <w:sz w:val="20"/>
        </w:rPr>
        <w:t>labor.Am</w:t>
      </w:r>
      <w:r>
        <w:rPr>
          <w:color w:val="231F1F"/>
          <w:spacing w:val="-13"/>
          <w:w w:val="105"/>
          <w:sz w:val="20"/>
        </w:rPr>
        <w:t> </w:t>
      </w:r>
      <w:r>
        <w:rPr>
          <w:color w:val="231F1F"/>
          <w:w w:val="105"/>
          <w:sz w:val="20"/>
        </w:rPr>
        <w:t>J</w:t>
      </w:r>
      <w:r>
        <w:rPr>
          <w:color w:val="231F1F"/>
          <w:spacing w:val="-13"/>
          <w:w w:val="105"/>
          <w:sz w:val="20"/>
        </w:rPr>
        <w:t> </w:t>
      </w:r>
      <w:r>
        <w:rPr>
          <w:color w:val="231F1F"/>
          <w:w w:val="105"/>
          <w:sz w:val="20"/>
        </w:rPr>
        <w:t>Obstet</w:t>
      </w:r>
      <w:r>
        <w:rPr>
          <w:color w:val="231F1F"/>
          <w:spacing w:val="-13"/>
          <w:w w:val="105"/>
          <w:sz w:val="20"/>
        </w:rPr>
        <w:t> </w:t>
      </w:r>
      <w:r>
        <w:rPr>
          <w:color w:val="231F1F"/>
          <w:w w:val="105"/>
          <w:sz w:val="20"/>
        </w:rPr>
        <w:t>Gynecol</w:t>
      </w:r>
      <w:r>
        <w:rPr>
          <w:color w:val="231F1F"/>
          <w:spacing w:val="-13"/>
          <w:w w:val="105"/>
          <w:sz w:val="20"/>
        </w:rPr>
        <w:t> </w:t>
      </w:r>
      <w:r>
        <w:rPr>
          <w:color w:val="231F1F"/>
          <w:w w:val="105"/>
          <w:sz w:val="20"/>
        </w:rPr>
        <w:t>1978;132(5):495- </w:t>
      </w:r>
      <w:r>
        <w:rPr>
          <w:color w:val="231F1F"/>
          <w:spacing w:val="-4"/>
          <w:w w:val="105"/>
          <w:sz w:val="20"/>
        </w:rPr>
        <w:t>500.</w:t>
      </w:r>
    </w:p>
    <w:p>
      <w:pPr>
        <w:pStyle w:val="ListParagraph"/>
        <w:numPr>
          <w:ilvl w:val="0"/>
          <w:numId w:val="109"/>
        </w:numPr>
        <w:tabs>
          <w:tab w:pos="787" w:val="left" w:leader="none"/>
          <w:tab w:pos="791" w:val="left" w:leader="none"/>
        </w:tabs>
        <w:spacing w:line="235" w:lineRule="auto" w:before="130" w:after="0"/>
        <w:ind w:left="791" w:right="124" w:hanging="511"/>
        <w:jc w:val="both"/>
        <w:rPr>
          <w:sz w:val="20"/>
        </w:rPr>
      </w:pPr>
      <w:r>
        <w:rPr>
          <w:color w:val="231F1F"/>
          <w:w w:val="110"/>
          <w:sz w:val="20"/>
        </w:rPr>
        <w:t>Cohen</w:t>
      </w:r>
      <w:r>
        <w:rPr>
          <w:color w:val="231F1F"/>
          <w:w w:val="110"/>
          <w:sz w:val="20"/>
        </w:rPr>
        <w:t> WR.</w:t>
      </w:r>
      <w:r>
        <w:rPr>
          <w:color w:val="231F1F"/>
          <w:w w:val="110"/>
          <w:sz w:val="20"/>
        </w:rPr>
        <w:t> Influence</w:t>
      </w:r>
      <w:r>
        <w:rPr>
          <w:color w:val="231F1F"/>
          <w:w w:val="110"/>
          <w:sz w:val="20"/>
        </w:rPr>
        <w:t> of</w:t>
      </w:r>
      <w:r>
        <w:rPr>
          <w:color w:val="231F1F"/>
          <w:w w:val="110"/>
          <w:sz w:val="20"/>
        </w:rPr>
        <w:t> the</w:t>
      </w:r>
      <w:r>
        <w:rPr>
          <w:color w:val="231F1F"/>
          <w:w w:val="110"/>
          <w:sz w:val="20"/>
        </w:rPr>
        <w:t> duration</w:t>
      </w:r>
      <w:r>
        <w:rPr>
          <w:color w:val="231F1F"/>
          <w:w w:val="110"/>
          <w:sz w:val="20"/>
        </w:rPr>
        <w:t> of</w:t>
      </w:r>
      <w:r>
        <w:rPr>
          <w:color w:val="231F1F"/>
          <w:w w:val="110"/>
          <w:sz w:val="20"/>
        </w:rPr>
        <w:t> second</w:t>
      </w:r>
      <w:r>
        <w:rPr>
          <w:color w:val="231F1F"/>
          <w:w w:val="110"/>
          <w:sz w:val="20"/>
        </w:rPr>
        <w:t> stage</w:t>
      </w:r>
      <w:r>
        <w:rPr>
          <w:color w:val="231F1F"/>
          <w:w w:val="110"/>
          <w:sz w:val="20"/>
        </w:rPr>
        <w:t> labor</w:t>
      </w:r>
      <w:r>
        <w:rPr>
          <w:color w:val="231F1F"/>
          <w:w w:val="110"/>
          <w:sz w:val="20"/>
        </w:rPr>
        <w:t> on</w:t>
      </w:r>
      <w:r>
        <w:rPr>
          <w:color w:val="231F1F"/>
          <w:w w:val="110"/>
          <w:sz w:val="20"/>
        </w:rPr>
        <w:t> perinatal</w:t>
      </w:r>
      <w:r>
        <w:rPr>
          <w:color w:val="231F1F"/>
          <w:w w:val="110"/>
          <w:sz w:val="20"/>
        </w:rPr>
        <w:t> outcome</w:t>
      </w:r>
      <w:r>
        <w:rPr>
          <w:color w:val="231F1F"/>
          <w:w w:val="110"/>
          <w:sz w:val="20"/>
        </w:rPr>
        <w:t> and puerperal morbidity. Obstet Gynecol 1977;49(3):266-9.</w:t>
      </w:r>
    </w:p>
    <w:p>
      <w:pPr>
        <w:pStyle w:val="ListParagraph"/>
        <w:numPr>
          <w:ilvl w:val="0"/>
          <w:numId w:val="109"/>
        </w:numPr>
        <w:tabs>
          <w:tab w:pos="787" w:val="left" w:leader="none"/>
          <w:tab w:pos="791" w:val="left" w:leader="none"/>
        </w:tabs>
        <w:spacing w:line="225" w:lineRule="auto" w:before="142" w:after="0"/>
        <w:ind w:left="791" w:right="114" w:hanging="511"/>
        <w:jc w:val="both"/>
        <w:rPr>
          <w:sz w:val="20"/>
        </w:rPr>
      </w:pPr>
      <w:r>
        <w:rPr>
          <w:color w:val="231F1F"/>
          <w:w w:val="110"/>
          <w:sz w:val="20"/>
        </w:rPr>
        <w:t>Sharma</w:t>
      </w:r>
      <w:r>
        <w:rPr>
          <w:color w:val="231F1F"/>
          <w:spacing w:val="-11"/>
          <w:w w:val="110"/>
          <w:sz w:val="20"/>
        </w:rPr>
        <w:t> </w:t>
      </w:r>
      <w:r>
        <w:rPr>
          <w:color w:val="231F1F"/>
          <w:w w:val="110"/>
          <w:sz w:val="20"/>
        </w:rPr>
        <w:t>V,</w:t>
      </w:r>
      <w:r>
        <w:rPr>
          <w:color w:val="231F1F"/>
          <w:spacing w:val="-11"/>
          <w:w w:val="110"/>
          <w:sz w:val="20"/>
        </w:rPr>
        <w:t> </w:t>
      </w:r>
      <w:r>
        <w:rPr>
          <w:color w:val="231F1F"/>
          <w:w w:val="110"/>
          <w:sz w:val="20"/>
        </w:rPr>
        <w:t>Smith</w:t>
      </w:r>
      <w:r>
        <w:rPr>
          <w:color w:val="231F1F"/>
          <w:spacing w:val="-11"/>
          <w:w w:val="110"/>
          <w:sz w:val="20"/>
        </w:rPr>
        <w:t> </w:t>
      </w:r>
      <w:r>
        <w:rPr>
          <w:color w:val="231F1F"/>
          <w:w w:val="110"/>
          <w:sz w:val="20"/>
        </w:rPr>
        <w:t>A,</w:t>
      </w:r>
      <w:r>
        <w:rPr>
          <w:color w:val="231F1F"/>
          <w:spacing w:val="-10"/>
          <w:w w:val="110"/>
          <w:sz w:val="20"/>
        </w:rPr>
        <w:t> </w:t>
      </w:r>
      <w:r>
        <w:rPr>
          <w:color w:val="231F1F"/>
          <w:w w:val="110"/>
          <w:sz w:val="20"/>
        </w:rPr>
        <w:t>Khan</w:t>
      </w:r>
      <w:r>
        <w:rPr>
          <w:color w:val="231F1F"/>
          <w:spacing w:val="-11"/>
          <w:w w:val="110"/>
          <w:sz w:val="20"/>
        </w:rPr>
        <w:t> </w:t>
      </w:r>
      <w:r>
        <w:rPr>
          <w:color w:val="231F1F"/>
          <w:w w:val="110"/>
          <w:sz w:val="20"/>
        </w:rPr>
        <w:t>M.</w:t>
      </w:r>
      <w:r>
        <w:rPr>
          <w:color w:val="231F1F"/>
          <w:spacing w:val="-11"/>
          <w:w w:val="110"/>
          <w:sz w:val="20"/>
        </w:rPr>
        <w:t> </w:t>
      </w:r>
      <w:r>
        <w:rPr>
          <w:color w:val="231F1F"/>
          <w:w w:val="110"/>
          <w:sz w:val="20"/>
        </w:rPr>
        <w:t>The</w:t>
      </w:r>
      <w:r>
        <w:rPr>
          <w:color w:val="231F1F"/>
          <w:spacing w:val="-11"/>
          <w:w w:val="110"/>
          <w:sz w:val="20"/>
        </w:rPr>
        <w:t> </w:t>
      </w:r>
      <w:r>
        <w:rPr>
          <w:color w:val="231F1F"/>
          <w:w w:val="110"/>
          <w:sz w:val="20"/>
        </w:rPr>
        <w:t>relationship</w:t>
      </w:r>
      <w:r>
        <w:rPr>
          <w:color w:val="231F1F"/>
          <w:spacing w:val="-9"/>
          <w:w w:val="110"/>
          <w:sz w:val="20"/>
        </w:rPr>
        <w:t> </w:t>
      </w:r>
      <w:r>
        <w:rPr>
          <w:color w:val="231F1F"/>
          <w:w w:val="110"/>
          <w:sz w:val="20"/>
        </w:rPr>
        <w:t>between</w:t>
      </w:r>
      <w:r>
        <w:rPr>
          <w:color w:val="231F1F"/>
          <w:spacing w:val="-9"/>
          <w:w w:val="110"/>
          <w:sz w:val="20"/>
        </w:rPr>
        <w:t> </w:t>
      </w:r>
      <w:r>
        <w:rPr>
          <w:color w:val="231F1F"/>
          <w:w w:val="110"/>
          <w:sz w:val="20"/>
        </w:rPr>
        <w:t>duration</w:t>
      </w:r>
      <w:r>
        <w:rPr>
          <w:color w:val="231F1F"/>
          <w:spacing w:val="-10"/>
          <w:w w:val="110"/>
          <w:sz w:val="20"/>
        </w:rPr>
        <w:t> </w:t>
      </w:r>
      <w:r>
        <w:rPr>
          <w:color w:val="231F1F"/>
          <w:w w:val="110"/>
          <w:sz w:val="20"/>
        </w:rPr>
        <w:t>of</w:t>
      </w:r>
      <w:r>
        <w:rPr>
          <w:color w:val="231F1F"/>
          <w:spacing w:val="-9"/>
          <w:w w:val="110"/>
          <w:sz w:val="20"/>
        </w:rPr>
        <w:t> </w:t>
      </w:r>
      <w:r>
        <w:rPr>
          <w:color w:val="231F1F"/>
          <w:w w:val="110"/>
          <w:sz w:val="20"/>
        </w:rPr>
        <w:t>labour,</w:t>
      </w:r>
      <w:r>
        <w:rPr>
          <w:color w:val="231F1F"/>
          <w:spacing w:val="-11"/>
          <w:w w:val="110"/>
          <w:sz w:val="20"/>
        </w:rPr>
        <w:t> </w:t>
      </w:r>
      <w:r>
        <w:rPr>
          <w:color w:val="231F1F"/>
          <w:w w:val="110"/>
          <w:sz w:val="20"/>
        </w:rPr>
        <w:t>time</w:t>
      </w:r>
      <w:r>
        <w:rPr>
          <w:color w:val="231F1F"/>
          <w:spacing w:val="-9"/>
          <w:w w:val="110"/>
          <w:sz w:val="20"/>
        </w:rPr>
        <w:t> </w:t>
      </w:r>
      <w:r>
        <w:rPr>
          <w:color w:val="231F1F"/>
          <w:w w:val="110"/>
          <w:sz w:val="20"/>
        </w:rPr>
        <w:t>of</w:t>
      </w:r>
      <w:r>
        <w:rPr>
          <w:color w:val="231F1F"/>
          <w:spacing w:val="-9"/>
          <w:w w:val="110"/>
          <w:sz w:val="20"/>
        </w:rPr>
        <w:t> </w:t>
      </w:r>
      <w:r>
        <w:rPr>
          <w:color w:val="231F1F"/>
          <w:w w:val="110"/>
          <w:sz w:val="20"/>
        </w:rPr>
        <w:t>delibery, and puerperal psychosis. J Affect Disord 2004;83(2-3):215-20.</w:t>
      </w:r>
    </w:p>
    <w:p>
      <w:pPr>
        <w:pStyle w:val="ListParagraph"/>
        <w:numPr>
          <w:ilvl w:val="0"/>
          <w:numId w:val="109"/>
        </w:numPr>
        <w:tabs>
          <w:tab w:pos="789" w:val="left" w:leader="none"/>
          <w:tab w:pos="793" w:val="left" w:leader="none"/>
        </w:tabs>
        <w:spacing w:line="230" w:lineRule="auto" w:before="140" w:after="0"/>
        <w:ind w:left="793" w:right="121" w:hanging="511"/>
        <w:jc w:val="both"/>
        <w:rPr>
          <w:sz w:val="20"/>
        </w:rPr>
      </w:pPr>
      <w:r>
        <w:rPr>
          <w:color w:val="231F1F"/>
          <w:w w:val="105"/>
          <w:sz w:val="20"/>
        </w:rPr>
        <w:t>Mahon TR, Chazotte C, Cohen WR. Short labor: characteristics and outcome. Obstet Gynecol </w:t>
      </w:r>
      <w:r>
        <w:rPr>
          <w:color w:val="231F1F"/>
          <w:spacing w:val="-2"/>
          <w:w w:val="105"/>
          <w:sz w:val="20"/>
        </w:rPr>
        <w:t>1994;84(1):47-51.</w:t>
      </w:r>
    </w:p>
    <w:p>
      <w:pPr>
        <w:pStyle w:val="ListParagraph"/>
        <w:numPr>
          <w:ilvl w:val="0"/>
          <w:numId w:val="109"/>
        </w:numPr>
        <w:tabs>
          <w:tab w:pos="789" w:val="left" w:leader="none"/>
          <w:tab w:pos="793" w:val="left" w:leader="none"/>
        </w:tabs>
        <w:spacing w:line="230" w:lineRule="auto" w:before="140" w:after="0"/>
        <w:ind w:left="793" w:right="124" w:hanging="511"/>
        <w:jc w:val="both"/>
        <w:rPr>
          <w:sz w:val="20"/>
        </w:rPr>
      </w:pPr>
      <w:r>
        <w:rPr>
          <w:color w:val="231F1F"/>
          <w:w w:val="105"/>
          <w:sz w:val="20"/>
        </w:rPr>
        <w:t>Abitbol</w:t>
      </w:r>
      <w:r>
        <w:rPr>
          <w:color w:val="231F1F"/>
          <w:w w:val="105"/>
          <w:sz w:val="20"/>
        </w:rPr>
        <w:t> MM,</w:t>
      </w:r>
      <w:r>
        <w:rPr>
          <w:color w:val="231F1F"/>
          <w:w w:val="105"/>
          <w:sz w:val="20"/>
        </w:rPr>
        <w:t> Castillo</w:t>
      </w:r>
      <w:r>
        <w:rPr>
          <w:color w:val="231F1F"/>
          <w:w w:val="105"/>
          <w:sz w:val="20"/>
        </w:rPr>
        <w:t> I,</w:t>
      </w:r>
      <w:r>
        <w:rPr>
          <w:color w:val="231F1F"/>
          <w:w w:val="105"/>
          <w:sz w:val="20"/>
        </w:rPr>
        <w:t> Udom-Rice</w:t>
      </w:r>
      <w:r>
        <w:rPr>
          <w:color w:val="231F1F"/>
          <w:w w:val="105"/>
          <w:sz w:val="20"/>
        </w:rPr>
        <w:t> I,</w:t>
      </w:r>
      <w:r>
        <w:rPr>
          <w:color w:val="231F1F"/>
          <w:w w:val="105"/>
          <w:sz w:val="20"/>
        </w:rPr>
        <w:t> et</w:t>
      </w:r>
      <w:r>
        <w:rPr>
          <w:color w:val="231F1F"/>
          <w:w w:val="105"/>
          <w:sz w:val="20"/>
        </w:rPr>
        <w:t> al.</w:t>
      </w:r>
      <w:r>
        <w:rPr>
          <w:color w:val="231F1F"/>
          <w:w w:val="105"/>
          <w:sz w:val="20"/>
        </w:rPr>
        <w:t> Maternal</w:t>
      </w:r>
      <w:r>
        <w:rPr>
          <w:color w:val="231F1F"/>
          <w:w w:val="105"/>
          <w:sz w:val="20"/>
        </w:rPr>
        <w:t> complications</w:t>
      </w:r>
      <w:r>
        <w:rPr>
          <w:color w:val="231F1F"/>
          <w:w w:val="105"/>
          <w:sz w:val="20"/>
        </w:rPr>
        <w:t> following</w:t>
      </w:r>
      <w:r>
        <w:rPr>
          <w:color w:val="231F1F"/>
          <w:w w:val="105"/>
          <w:sz w:val="20"/>
        </w:rPr>
        <w:t> prolonged</w:t>
      </w:r>
      <w:r>
        <w:rPr>
          <w:color w:val="231F1F"/>
          <w:w w:val="105"/>
          <w:sz w:val="20"/>
        </w:rPr>
        <w:t> or arrested labor. J Matern Fetal Investig 1994;4(1):9-13.</w:t>
      </w:r>
    </w:p>
    <w:p>
      <w:pPr>
        <w:pStyle w:val="ListParagraph"/>
        <w:numPr>
          <w:ilvl w:val="0"/>
          <w:numId w:val="109"/>
        </w:numPr>
        <w:tabs>
          <w:tab w:pos="787" w:val="left" w:leader="none"/>
          <w:tab w:pos="791" w:val="left" w:leader="none"/>
        </w:tabs>
        <w:spacing w:line="225" w:lineRule="auto" w:before="142" w:after="0"/>
        <w:ind w:left="791" w:right="118" w:hanging="511"/>
        <w:jc w:val="both"/>
        <w:rPr>
          <w:sz w:val="20"/>
        </w:rPr>
      </w:pPr>
      <w:r>
        <w:rPr>
          <w:color w:val="231F1F"/>
          <w:w w:val="110"/>
          <w:sz w:val="20"/>
        </w:rPr>
        <w:t>Altman</w:t>
      </w:r>
      <w:r>
        <w:rPr>
          <w:color w:val="231F1F"/>
          <w:w w:val="110"/>
          <w:sz w:val="20"/>
        </w:rPr>
        <w:t> MR,</w:t>
      </w:r>
      <w:r>
        <w:rPr>
          <w:color w:val="231F1F"/>
          <w:w w:val="110"/>
          <w:sz w:val="20"/>
        </w:rPr>
        <w:t> Lydon-Rochelle</w:t>
      </w:r>
      <w:r>
        <w:rPr>
          <w:color w:val="231F1F"/>
          <w:w w:val="110"/>
          <w:sz w:val="20"/>
        </w:rPr>
        <w:t> MT.</w:t>
      </w:r>
      <w:r>
        <w:rPr>
          <w:color w:val="231F1F"/>
          <w:w w:val="110"/>
          <w:sz w:val="20"/>
        </w:rPr>
        <w:t> Prolonged</w:t>
      </w:r>
      <w:r>
        <w:rPr>
          <w:color w:val="231F1F"/>
          <w:w w:val="110"/>
          <w:sz w:val="20"/>
        </w:rPr>
        <w:t> second</w:t>
      </w:r>
      <w:r>
        <w:rPr>
          <w:color w:val="231F1F"/>
          <w:w w:val="110"/>
          <w:sz w:val="20"/>
        </w:rPr>
        <w:t> stage</w:t>
      </w:r>
      <w:r>
        <w:rPr>
          <w:color w:val="231F1F"/>
          <w:w w:val="110"/>
          <w:sz w:val="20"/>
        </w:rPr>
        <w:t> of</w:t>
      </w:r>
      <w:r>
        <w:rPr>
          <w:color w:val="231F1F"/>
          <w:w w:val="110"/>
          <w:sz w:val="20"/>
        </w:rPr>
        <w:t> labor</w:t>
      </w:r>
      <w:r>
        <w:rPr>
          <w:color w:val="231F1F"/>
          <w:w w:val="110"/>
          <w:sz w:val="20"/>
        </w:rPr>
        <w:t> and</w:t>
      </w:r>
      <w:r>
        <w:rPr>
          <w:color w:val="231F1F"/>
          <w:w w:val="110"/>
          <w:sz w:val="20"/>
        </w:rPr>
        <w:t> risk</w:t>
      </w:r>
      <w:r>
        <w:rPr>
          <w:color w:val="231F1F"/>
          <w:w w:val="110"/>
          <w:sz w:val="20"/>
        </w:rPr>
        <w:t> of</w:t>
      </w:r>
      <w:r>
        <w:rPr>
          <w:color w:val="231F1F"/>
          <w:w w:val="110"/>
          <w:sz w:val="20"/>
        </w:rPr>
        <w:t> adverse maternal and perinatal outcomes: a systematic review. Birth 2006;33(4):315-22.</w:t>
      </w:r>
    </w:p>
    <w:p>
      <w:pPr>
        <w:pStyle w:val="ListParagraph"/>
        <w:numPr>
          <w:ilvl w:val="0"/>
          <w:numId w:val="109"/>
        </w:numPr>
        <w:tabs>
          <w:tab w:pos="788" w:val="left" w:leader="none"/>
          <w:tab w:pos="792" w:val="left" w:leader="none"/>
        </w:tabs>
        <w:spacing w:line="232" w:lineRule="auto" w:before="143" w:after="0"/>
        <w:ind w:left="792" w:right="122" w:hanging="511"/>
        <w:jc w:val="both"/>
        <w:rPr>
          <w:sz w:val="20"/>
        </w:rPr>
      </w:pPr>
      <w:r>
        <w:rPr>
          <w:color w:val="231F1F"/>
          <w:w w:val="105"/>
          <w:sz w:val="20"/>
        </w:rPr>
        <w:t>Sprague</w:t>
      </w:r>
      <w:r>
        <w:rPr>
          <w:color w:val="231F1F"/>
          <w:w w:val="105"/>
          <w:sz w:val="20"/>
        </w:rPr>
        <w:t> AE,</w:t>
      </w:r>
      <w:r>
        <w:rPr>
          <w:color w:val="231F1F"/>
          <w:w w:val="105"/>
          <w:sz w:val="20"/>
        </w:rPr>
        <w:t> Oppenheimer</w:t>
      </w:r>
      <w:r>
        <w:rPr>
          <w:color w:val="231F1F"/>
          <w:w w:val="105"/>
          <w:sz w:val="20"/>
        </w:rPr>
        <w:t> L,</w:t>
      </w:r>
      <w:r>
        <w:rPr>
          <w:color w:val="231F1F"/>
          <w:w w:val="105"/>
          <w:sz w:val="20"/>
        </w:rPr>
        <w:t> McCabe</w:t>
      </w:r>
      <w:r>
        <w:rPr>
          <w:color w:val="231F1F"/>
          <w:w w:val="105"/>
          <w:sz w:val="20"/>
        </w:rPr>
        <w:t> L,</w:t>
      </w:r>
      <w:r>
        <w:rPr>
          <w:color w:val="231F1F"/>
          <w:w w:val="105"/>
          <w:sz w:val="20"/>
        </w:rPr>
        <w:t> Brownlee</w:t>
      </w:r>
      <w:r>
        <w:rPr>
          <w:color w:val="231F1F"/>
          <w:w w:val="105"/>
          <w:sz w:val="20"/>
        </w:rPr>
        <w:t> J,</w:t>
      </w:r>
      <w:r>
        <w:rPr>
          <w:color w:val="231F1F"/>
          <w:w w:val="105"/>
          <w:sz w:val="20"/>
        </w:rPr>
        <w:t> Graham</w:t>
      </w:r>
      <w:r>
        <w:rPr>
          <w:color w:val="231F1F"/>
          <w:w w:val="105"/>
          <w:sz w:val="20"/>
        </w:rPr>
        <w:t> ID,</w:t>
      </w:r>
      <w:r>
        <w:rPr>
          <w:color w:val="231F1F"/>
          <w:w w:val="105"/>
          <w:sz w:val="20"/>
        </w:rPr>
        <w:t> Davies</w:t>
      </w:r>
      <w:r>
        <w:rPr>
          <w:color w:val="231F1F"/>
          <w:w w:val="105"/>
          <w:sz w:val="20"/>
        </w:rPr>
        <w:t> B.</w:t>
      </w:r>
      <w:r>
        <w:rPr>
          <w:color w:val="231F1F"/>
          <w:w w:val="105"/>
          <w:sz w:val="20"/>
        </w:rPr>
        <w:t> The</w:t>
      </w:r>
      <w:r>
        <w:rPr>
          <w:color w:val="231F1F"/>
          <w:w w:val="105"/>
          <w:sz w:val="20"/>
        </w:rPr>
        <w:t> Ottawa Hospital´s Clinical Practice Guideline for the Second Stage of Labour. J Obstet Gynaecol Can </w:t>
      </w:r>
      <w:r>
        <w:rPr>
          <w:color w:val="231F1F"/>
          <w:spacing w:val="-2"/>
          <w:w w:val="105"/>
          <w:sz w:val="20"/>
        </w:rPr>
        <w:t>2006;28(9):769-79.</w:t>
      </w:r>
    </w:p>
    <w:p>
      <w:pPr>
        <w:pStyle w:val="ListParagraph"/>
        <w:numPr>
          <w:ilvl w:val="0"/>
          <w:numId w:val="109"/>
        </w:numPr>
        <w:tabs>
          <w:tab w:pos="787" w:val="left" w:leader="none"/>
          <w:tab w:pos="791" w:val="left" w:leader="none"/>
        </w:tabs>
        <w:spacing w:line="232" w:lineRule="auto" w:before="133" w:after="0"/>
        <w:ind w:left="791" w:right="122" w:hanging="511"/>
        <w:jc w:val="both"/>
        <w:rPr>
          <w:sz w:val="20"/>
        </w:rPr>
      </w:pPr>
      <w:r>
        <w:rPr>
          <w:color w:val="231F1F"/>
          <w:w w:val="110"/>
          <w:sz w:val="20"/>
        </w:rPr>
        <w:t>Mayberry</w:t>
      </w:r>
      <w:r>
        <w:rPr>
          <w:color w:val="231F1F"/>
          <w:spacing w:val="-12"/>
          <w:w w:val="110"/>
          <w:sz w:val="20"/>
        </w:rPr>
        <w:t> </w:t>
      </w:r>
      <w:r>
        <w:rPr>
          <w:color w:val="231F1F"/>
          <w:w w:val="110"/>
          <w:sz w:val="20"/>
        </w:rPr>
        <w:t>LJ,</w:t>
      </w:r>
      <w:r>
        <w:rPr>
          <w:color w:val="231F1F"/>
          <w:spacing w:val="-11"/>
          <w:w w:val="110"/>
          <w:sz w:val="20"/>
        </w:rPr>
        <w:t> </w:t>
      </w:r>
      <w:r>
        <w:rPr>
          <w:color w:val="231F1F"/>
          <w:w w:val="110"/>
          <w:sz w:val="20"/>
        </w:rPr>
        <w:t>Wood</w:t>
      </w:r>
      <w:r>
        <w:rPr>
          <w:color w:val="231F1F"/>
          <w:spacing w:val="-12"/>
          <w:w w:val="110"/>
          <w:sz w:val="20"/>
        </w:rPr>
        <w:t> </w:t>
      </w:r>
      <w:r>
        <w:rPr>
          <w:color w:val="231F1F"/>
          <w:w w:val="110"/>
          <w:sz w:val="20"/>
        </w:rPr>
        <w:t>S,</w:t>
      </w:r>
      <w:r>
        <w:rPr>
          <w:color w:val="231F1F"/>
          <w:spacing w:val="-11"/>
          <w:w w:val="110"/>
          <w:sz w:val="20"/>
        </w:rPr>
        <w:t> </w:t>
      </w:r>
      <w:r>
        <w:rPr>
          <w:color w:val="231F1F"/>
          <w:w w:val="110"/>
          <w:sz w:val="20"/>
        </w:rPr>
        <w:t>Strange</w:t>
      </w:r>
      <w:r>
        <w:rPr>
          <w:color w:val="231F1F"/>
          <w:spacing w:val="-12"/>
          <w:w w:val="110"/>
          <w:sz w:val="20"/>
        </w:rPr>
        <w:t> </w:t>
      </w:r>
      <w:r>
        <w:rPr>
          <w:color w:val="231F1F"/>
          <w:w w:val="110"/>
          <w:sz w:val="20"/>
        </w:rPr>
        <w:t>L,</w:t>
      </w:r>
      <w:r>
        <w:rPr>
          <w:color w:val="231F1F"/>
          <w:spacing w:val="-11"/>
          <w:w w:val="110"/>
          <w:sz w:val="20"/>
        </w:rPr>
        <w:t> </w:t>
      </w:r>
      <w:r>
        <w:rPr>
          <w:color w:val="231F1F"/>
          <w:w w:val="110"/>
          <w:sz w:val="20"/>
        </w:rPr>
        <w:t>Lee</w:t>
      </w:r>
      <w:r>
        <w:rPr>
          <w:color w:val="231F1F"/>
          <w:spacing w:val="-10"/>
          <w:w w:val="110"/>
          <w:sz w:val="20"/>
        </w:rPr>
        <w:t> </w:t>
      </w:r>
      <w:r>
        <w:rPr>
          <w:color w:val="231F1F"/>
          <w:w w:val="110"/>
          <w:sz w:val="20"/>
        </w:rPr>
        <w:t>L,</w:t>
      </w:r>
      <w:r>
        <w:rPr>
          <w:color w:val="231F1F"/>
          <w:spacing w:val="-11"/>
          <w:w w:val="110"/>
          <w:sz w:val="20"/>
        </w:rPr>
        <w:t> </w:t>
      </w:r>
      <w:r>
        <w:rPr>
          <w:color w:val="231F1F"/>
          <w:w w:val="110"/>
          <w:sz w:val="20"/>
        </w:rPr>
        <w:t>Heisler</w:t>
      </w:r>
      <w:r>
        <w:rPr>
          <w:color w:val="231F1F"/>
          <w:spacing w:val="-10"/>
          <w:w w:val="110"/>
          <w:sz w:val="20"/>
        </w:rPr>
        <w:t> </w:t>
      </w:r>
      <w:r>
        <w:rPr>
          <w:color w:val="231F1F"/>
          <w:w w:val="110"/>
          <w:sz w:val="20"/>
        </w:rPr>
        <w:t>D,</w:t>
      </w:r>
      <w:r>
        <w:rPr>
          <w:color w:val="231F1F"/>
          <w:spacing w:val="-11"/>
          <w:w w:val="110"/>
          <w:sz w:val="20"/>
        </w:rPr>
        <w:t> </w:t>
      </w:r>
      <w:r>
        <w:rPr>
          <w:color w:val="231F1F"/>
          <w:w w:val="110"/>
          <w:sz w:val="20"/>
        </w:rPr>
        <w:t>Neilsen-Smith</w:t>
      </w:r>
      <w:r>
        <w:rPr>
          <w:color w:val="231F1F"/>
          <w:spacing w:val="-10"/>
          <w:w w:val="110"/>
          <w:sz w:val="20"/>
        </w:rPr>
        <w:t> </w:t>
      </w:r>
      <w:r>
        <w:rPr>
          <w:color w:val="231F1F"/>
          <w:w w:val="110"/>
          <w:sz w:val="20"/>
        </w:rPr>
        <w:t>K.</w:t>
      </w:r>
      <w:r>
        <w:rPr>
          <w:color w:val="231F1F"/>
          <w:spacing w:val="-11"/>
          <w:w w:val="110"/>
          <w:sz w:val="20"/>
        </w:rPr>
        <w:t> </w:t>
      </w:r>
      <w:r>
        <w:rPr>
          <w:color w:val="231F1F"/>
          <w:w w:val="110"/>
          <w:sz w:val="20"/>
        </w:rPr>
        <w:t>Second</w:t>
      </w:r>
      <w:r>
        <w:rPr>
          <w:color w:val="231F1F"/>
          <w:spacing w:val="-10"/>
          <w:w w:val="110"/>
          <w:sz w:val="20"/>
        </w:rPr>
        <w:t> </w:t>
      </w:r>
      <w:r>
        <w:rPr>
          <w:color w:val="231F1F"/>
          <w:w w:val="110"/>
          <w:sz w:val="20"/>
        </w:rPr>
        <w:t>stage</w:t>
      </w:r>
      <w:r>
        <w:rPr>
          <w:color w:val="231F1F"/>
          <w:spacing w:val="-11"/>
          <w:w w:val="110"/>
          <w:sz w:val="20"/>
        </w:rPr>
        <w:t> </w:t>
      </w:r>
      <w:r>
        <w:rPr>
          <w:color w:val="231F1F"/>
          <w:w w:val="110"/>
          <w:sz w:val="20"/>
        </w:rPr>
        <w:t>of</w:t>
      </w:r>
      <w:r>
        <w:rPr>
          <w:color w:val="231F1F"/>
          <w:spacing w:val="-10"/>
          <w:w w:val="110"/>
          <w:sz w:val="20"/>
        </w:rPr>
        <w:t> </w:t>
      </w:r>
      <w:r>
        <w:rPr>
          <w:color w:val="231F1F"/>
          <w:w w:val="110"/>
          <w:sz w:val="20"/>
        </w:rPr>
        <w:t>labor management:</w:t>
      </w:r>
      <w:r>
        <w:rPr>
          <w:color w:val="231F1F"/>
          <w:spacing w:val="-7"/>
          <w:w w:val="110"/>
          <w:sz w:val="20"/>
        </w:rPr>
        <w:t> </w:t>
      </w:r>
      <w:r>
        <w:rPr>
          <w:color w:val="231F1F"/>
          <w:w w:val="110"/>
          <w:sz w:val="20"/>
        </w:rPr>
        <w:t>promotion</w:t>
      </w:r>
      <w:r>
        <w:rPr>
          <w:color w:val="231F1F"/>
          <w:spacing w:val="-6"/>
          <w:w w:val="110"/>
          <w:sz w:val="20"/>
        </w:rPr>
        <w:t> </w:t>
      </w:r>
      <w:r>
        <w:rPr>
          <w:color w:val="231F1F"/>
          <w:w w:val="110"/>
          <w:sz w:val="20"/>
        </w:rPr>
        <w:t>of</w:t>
      </w:r>
      <w:r>
        <w:rPr>
          <w:color w:val="231F1F"/>
          <w:spacing w:val="-6"/>
          <w:w w:val="110"/>
          <w:sz w:val="20"/>
        </w:rPr>
        <w:t> </w:t>
      </w:r>
      <w:r>
        <w:rPr>
          <w:color w:val="231F1F"/>
          <w:w w:val="110"/>
          <w:sz w:val="20"/>
        </w:rPr>
        <w:t>evidence-based</w:t>
      </w:r>
      <w:r>
        <w:rPr>
          <w:color w:val="231F1F"/>
          <w:spacing w:val="-5"/>
          <w:w w:val="110"/>
          <w:sz w:val="20"/>
        </w:rPr>
        <w:t> </w:t>
      </w:r>
      <w:r>
        <w:rPr>
          <w:color w:val="231F1F"/>
          <w:w w:val="110"/>
          <w:sz w:val="20"/>
        </w:rPr>
        <w:t>practice</w:t>
      </w:r>
      <w:r>
        <w:rPr>
          <w:color w:val="231F1F"/>
          <w:spacing w:val="-6"/>
          <w:w w:val="110"/>
          <w:sz w:val="20"/>
        </w:rPr>
        <w:t> </w:t>
      </w:r>
      <w:r>
        <w:rPr>
          <w:color w:val="231F1F"/>
          <w:w w:val="110"/>
          <w:sz w:val="20"/>
        </w:rPr>
        <w:t>and</w:t>
      </w:r>
      <w:r>
        <w:rPr>
          <w:color w:val="231F1F"/>
          <w:spacing w:val="-6"/>
          <w:w w:val="110"/>
          <w:sz w:val="20"/>
        </w:rPr>
        <w:t> </w:t>
      </w:r>
      <w:r>
        <w:rPr>
          <w:color w:val="231F1F"/>
          <w:w w:val="110"/>
          <w:sz w:val="20"/>
        </w:rPr>
        <w:t>a</w:t>
      </w:r>
      <w:r>
        <w:rPr>
          <w:color w:val="231F1F"/>
          <w:spacing w:val="-6"/>
          <w:w w:val="110"/>
          <w:sz w:val="20"/>
        </w:rPr>
        <w:t> </w:t>
      </w:r>
      <w:r>
        <w:rPr>
          <w:color w:val="231F1F"/>
          <w:w w:val="110"/>
          <w:sz w:val="20"/>
        </w:rPr>
        <w:t>collaborative</w:t>
      </w:r>
      <w:r>
        <w:rPr>
          <w:color w:val="231F1F"/>
          <w:spacing w:val="-6"/>
          <w:w w:val="110"/>
          <w:sz w:val="20"/>
        </w:rPr>
        <w:t> </w:t>
      </w:r>
      <w:r>
        <w:rPr>
          <w:color w:val="231F1F"/>
          <w:w w:val="110"/>
          <w:sz w:val="20"/>
        </w:rPr>
        <w:t>approach</w:t>
      </w:r>
      <w:r>
        <w:rPr>
          <w:color w:val="231F1F"/>
          <w:spacing w:val="-6"/>
          <w:w w:val="110"/>
          <w:sz w:val="20"/>
        </w:rPr>
        <w:t> </w:t>
      </w:r>
      <w:r>
        <w:rPr>
          <w:color w:val="231F1F"/>
          <w:w w:val="110"/>
          <w:sz w:val="20"/>
        </w:rPr>
        <w:t>to</w:t>
      </w:r>
      <w:r>
        <w:rPr>
          <w:color w:val="231F1F"/>
          <w:spacing w:val="-6"/>
          <w:w w:val="110"/>
          <w:sz w:val="20"/>
        </w:rPr>
        <w:t> </w:t>
      </w:r>
      <w:r>
        <w:rPr>
          <w:color w:val="231F1F"/>
          <w:w w:val="110"/>
          <w:sz w:val="20"/>
        </w:rPr>
        <w:t>patient care. AWHONN 2000;1-30.</w:t>
      </w:r>
    </w:p>
    <w:p>
      <w:pPr>
        <w:pStyle w:val="ListParagraph"/>
        <w:numPr>
          <w:ilvl w:val="0"/>
          <w:numId w:val="109"/>
        </w:numPr>
        <w:tabs>
          <w:tab w:pos="789" w:val="left" w:leader="none"/>
          <w:tab w:pos="793" w:val="left" w:leader="none"/>
        </w:tabs>
        <w:spacing w:line="230" w:lineRule="auto" w:before="139" w:after="0"/>
        <w:ind w:left="793" w:right="122" w:hanging="511"/>
        <w:jc w:val="both"/>
        <w:rPr>
          <w:sz w:val="20"/>
        </w:rPr>
      </w:pPr>
      <w:r>
        <w:rPr>
          <w:color w:val="231F1F"/>
          <w:w w:val="105"/>
          <w:sz w:val="20"/>
        </w:rPr>
        <w:t>Society</w:t>
      </w:r>
      <w:r>
        <w:rPr>
          <w:color w:val="231F1F"/>
          <w:w w:val="105"/>
          <w:sz w:val="20"/>
        </w:rPr>
        <w:t> of</w:t>
      </w:r>
      <w:r>
        <w:rPr>
          <w:color w:val="231F1F"/>
          <w:w w:val="105"/>
          <w:sz w:val="20"/>
        </w:rPr>
        <w:t> Obstetricians</w:t>
      </w:r>
      <w:r>
        <w:rPr>
          <w:color w:val="231F1F"/>
          <w:w w:val="105"/>
          <w:sz w:val="20"/>
        </w:rPr>
        <w:t> and</w:t>
      </w:r>
      <w:r>
        <w:rPr>
          <w:color w:val="231F1F"/>
          <w:w w:val="105"/>
          <w:sz w:val="20"/>
        </w:rPr>
        <w:t> Gynaecologists</w:t>
      </w:r>
      <w:r>
        <w:rPr>
          <w:color w:val="231F1F"/>
          <w:w w:val="105"/>
          <w:sz w:val="20"/>
        </w:rPr>
        <w:t> of</w:t>
      </w:r>
      <w:r>
        <w:rPr>
          <w:color w:val="231F1F"/>
          <w:w w:val="105"/>
          <w:sz w:val="20"/>
        </w:rPr>
        <w:t> Canada.</w:t>
      </w:r>
      <w:r>
        <w:rPr>
          <w:color w:val="231F1F"/>
          <w:w w:val="105"/>
          <w:sz w:val="20"/>
        </w:rPr>
        <w:t> Second</w:t>
      </w:r>
      <w:r>
        <w:rPr>
          <w:color w:val="231F1F"/>
          <w:w w:val="105"/>
          <w:sz w:val="20"/>
        </w:rPr>
        <w:t> stage</w:t>
      </w:r>
      <w:r>
        <w:rPr>
          <w:color w:val="231F1F"/>
          <w:w w:val="105"/>
          <w:sz w:val="20"/>
        </w:rPr>
        <w:t> of</w:t>
      </w:r>
      <w:r>
        <w:rPr>
          <w:color w:val="231F1F"/>
          <w:w w:val="105"/>
          <w:sz w:val="20"/>
        </w:rPr>
        <w:t> labour.</w:t>
      </w:r>
      <w:r>
        <w:rPr>
          <w:color w:val="231F1F"/>
          <w:w w:val="105"/>
          <w:sz w:val="20"/>
        </w:rPr>
        <w:t> Healthy beginnings:</w:t>
      </w:r>
      <w:r>
        <w:rPr>
          <w:color w:val="231F1F"/>
          <w:w w:val="105"/>
          <w:sz w:val="20"/>
        </w:rPr>
        <w:t> Guidelines</w:t>
      </w:r>
      <w:r>
        <w:rPr>
          <w:color w:val="231F1F"/>
          <w:w w:val="105"/>
          <w:sz w:val="20"/>
        </w:rPr>
        <w:t> for</w:t>
      </w:r>
      <w:r>
        <w:rPr>
          <w:color w:val="231F1F"/>
          <w:w w:val="105"/>
          <w:sz w:val="20"/>
        </w:rPr>
        <w:t> care</w:t>
      </w:r>
      <w:r>
        <w:rPr>
          <w:color w:val="231F1F"/>
          <w:w w:val="105"/>
          <w:sz w:val="20"/>
        </w:rPr>
        <w:t> during</w:t>
      </w:r>
      <w:r>
        <w:rPr>
          <w:color w:val="231F1F"/>
          <w:w w:val="105"/>
          <w:sz w:val="20"/>
        </w:rPr>
        <w:t> pregnancy</w:t>
      </w:r>
      <w:r>
        <w:rPr>
          <w:color w:val="231F1F"/>
          <w:w w:val="105"/>
          <w:sz w:val="20"/>
        </w:rPr>
        <w:t> and</w:t>
      </w:r>
      <w:r>
        <w:rPr>
          <w:color w:val="231F1F"/>
          <w:w w:val="105"/>
          <w:sz w:val="20"/>
        </w:rPr>
        <w:t> childbirth.</w:t>
      </w:r>
      <w:r>
        <w:rPr>
          <w:color w:val="231F1F"/>
          <w:w w:val="105"/>
          <w:sz w:val="20"/>
        </w:rPr>
        <w:t> SOGC</w:t>
      </w:r>
      <w:r>
        <w:rPr>
          <w:color w:val="231F1F"/>
          <w:w w:val="105"/>
          <w:sz w:val="20"/>
        </w:rPr>
        <w:t> Clinical</w:t>
      </w:r>
      <w:r>
        <w:rPr>
          <w:color w:val="231F1F"/>
          <w:w w:val="105"/>
          <w:sz w:val="20"/>
        </w:rPr>
        <w:t> Practice Guidelines. J Soc Obstet Gynaecol Can 1998;20:52-8.</w:t>
      </w:r>
    </w:p>
    <w:p>
      <w:pPr>
        <w:pStyle w:val="ListParagraph"/>
        <w:numPr>
          <w:ilvl w:val="0"/>
          <w:numId w:val="109"/>
        </w:numPr>
        <w:tabs>
          <w:tab w:pos="788" w:val="left" w:leader="none"/>
          <w:tab w:pos="792" w:val="left" w:leader="none"/>
        </w:tabs>
        <w:spacing w:line="235" w:lineRule="auto" w:before="135" w:after="0"/>
        <w:ind w:left="792" w:right="121" w:hanging="511"/>
        <w:jc w:val="both"/>
        <w:rPr>
          <w:sz w:val="20"/>
        </w:rPr>
      </w:pPr>
      <w:r>
        <w:rPr>
          <w:color w:val="231F1F"/>
          <w:w w:val="105"/>
          <w:sz w:val="20"/>
        </w:rPr>
        <w:t>National</w:t>
      </w:r>
      <w:r>
        <w:rPr>
          <w:color w:val="231F1F"/>
          <w:w w:val="105"/>
          <w:sz w:val="20"/>
        </w:rPr>
        <w:t> Institute</w:t>
      </w:r>
      <w:r>
        <w:rPr>
          <w:color w:val="231F1F"/>
          <w:w w:val="105"/>
          <w:sz w:val="20"/>
        </w:rPr>
        <w:t> for</w:t>
      </w:r>
      <w:r>
        <w:rPr>
          <w:color w:val="231F1F"/>
          <w:w w:val="105"/>
          <w:sz w:val="20"/>
        </w:rPr>
        <w:t> Clinical</w:t>
      </w:r>
      <w:r>
        <w:rPr>
          <w:color w:val="231F1F"/>
          <w:w w:val="105"/>
          <w:sz w:val="20"/>
        </w:rPr>
        <w:t> Excellence.</w:t>
      </w:r>
      <w:r>
        <w:rPr>
          <w:color w:val="231F1F"/>
          <w:w w:val="105"/>
          <w:sz w:val="20"/>
        </w:rPr>
        <w:t> Infection</w:t>
      </w:r>
      <w:r>
        <w:rPr>
          <w:color w:val="231F1F"/>
          <w:w w:val="105"/>
          <w:sz w:val="20"/>
        </w:rPr>
        <w:t> Control:</w:t>
      </w:r>
      <w:r>
        <w:rPr>
          <w:color w:val="231F1F"/>
          <w:w w:val="105"/>
          <w:sz w:val="20"/>
        </w:rPr>
        <w:t> Prevention</w:t>
      </w:r>
      <w:r>
        <w:rPr>
          <w:color w:val="231F1F"/>
          <w:w w:val="105"/>
          <w:sz w:val="20"/>
        </w:rPr>
        <w:t> of</w:t>
      </w:r>
      <w:r>
        <w:rPr>
          <w:color w:val="231F1F"/>
          <w:w w:val="105"/>
          <w:sz w:val="20"/>
        </w:rPr>
        <w:t> Healthcare- Associated Infection in Primary and Community Care. London: National Institute for Clinical Excellence:</w:t>
      </w:r>
      <w:r>
        <w:rPr>
          <w:color w:val="231F1F"/>
          <w:spacing w:val="-16"/>
          <w:w w:val="105"/>
          <w:sz w:val="20"/>
        </w:rPr>
        <w:t> </w:t>
      </w:r>
      <w:r>
        <w:rPr>
          <w:color w:val="231F1F"/>
          <w:w w:val="105"/>
          <w:sz w:val="20"/>
        </w:rPr>
        <w:t>2003.</w:t>
      </w:r>
    </w:p>
    <w:p>
      <w:pPr>
        <w:pStyle w:val="ListParagraph"/>
        <w:numPr>
          <w:ilvl w:val="0"/>
          <w:numId w:val="109"/>
        </w:numPr>
        <w:tabs>
          <w:tab w:pos="787" w:val="left" w:leader="none"/>
          <w:tab w:pos="791" w:val="left" w:leader="none"/>
        </w:tabs>
        <w:spacing w:line="225" w:lineRule="auto" w:before="143" w:after="0"/>
        <w:ind w:left="791" w:right="122" w:hanging="511"/>
        <w:jc w:val="both"/>
        <w:rPr>
          <w:sz w:val="20"/>
        </w:rPr>
      </w:pPr>
      <w:r>
        <w:rPr>
          <w:color w:val="231F1F"/>
          <w:w w:val="110"/>
          <w:sz w:val="20"/>
        </w:rPr>
        <w:t>Ryan MAK,</w:t>
      </w:r>
      <w:r>
        <w:rPr>
          <w:color w:val="231F1F"/>
          <w:spacing w:val="-1"/>
          <w:w w:val="110"/>
          <w:sz w:val="20"/>
        </w:rPr>
        <w:t> </w:t>
      </w:r>
      <w:r>
        <w:rPr>
          <w:color w:val="231F1F"/>
          <w:w w:val="110"/>
          <w:sz w:val="20"/>
        </w:rPr>
        <w:t>Christian RS,</w:t>
      </w:r>
      <w:r>
        <w:rPr>
          <w:color w:val="231F1F"/>
          <w:spacing w:val="-3"/>
          <w:w w:val="110"/>
          <w:sz w:val="20"/>
        </w:rPr>
        <w:t> </w:t>
      </w:r>
      <w:r>
        <w:rPr>
          <w:color w:val="231F1F"/>
          <w:w w:val="110"/>
          <w:sz w:val="20"/>
        </w:rPr>
        <w:t>Wohlrabe J.</w:t>
      </w:r>
      <w:r>
        <w:rPr>
          <w:color w:val="231F1F"/>
          <w:spacing w:val="-1"/>
          <w:w w:val="110"/>
          <w:sz w:val="20"/>
        </w:rPr>
        <w:t> </w:t>
      </w:r>
      <w:r>
        <w:rPr>
          <w:color w:val="231F1F"/>
          <w:w w:val="110"/>
          <w:sz w:val="20"/>
        </w:rPr>
        <w:t>Handwashing and respiratory illness among young adults in military training.</w:t>
      </w:r>
      <w:r>
        <w:rPr>
          <w:color w:val="231F1F"/>
          <w:spacing w:val="-14"/>
          <w:w w:val="110"/>
          <w:sz w:val="20"/>
        </w:rPr>
        <w:t> </w:t>
      </w:r>
      <w:r>
        <w:rPr>
          <w:color w:val="231F1F"/>
          <w:w w:val="110"/>
          <w:sz w:val="20"/>
        </w:rPr>
        <w:t>American Journal of Preventative Medicine 2001;21(2):79-83.</w:t>
      </w:r>
    </w:p>
    <w:p>
      <w:pPr>
        <w:pStyle w:val="ListParagraph"/>
        <w:numPr>
          <w:ilvl w:val="0"/>
          <w:numId w:val="109"/>
        </w:numPr>
        <w:tabs>
          <w:tab w:pos="787" w:val="left" w:leader="none"/>
          <w:tab w:pos="791" w:val="left" w:leader="none"/>
        </w:tabs>
        <w:spacing w:line="232" w:lineRule="auto" w:before="138" w:after="0"/>
        <w:ind w:left="791" w:right="123" w:hanging="511"/>
        <w:jc w:val="both"/>
        <w:rPr>
          <w:sz w:val="20"/>
        </w:rPr>
      </w:pPr>
      <w:r>
        <w:rPr>
          <w:color w:val="231F1F"/>
          <w:spacing w:val="-2"/>
          <w:w w:val="110"/>
          <w:sz w:val="20"/>
        </w:rPr>
        <w:t>Fendler</w:t>
      </w:r>
      <w:r>
        <w:rPr>
          <w:color w:val="231F1F"/>
          <w:spacing w:val="-10"/>
          <w:w w:val="110"/>
          <w:sz w:val="20"/>
        </w:rPr>
        <w:t> </w:t>
      </w:r>
      <w:r>
        <w:rPr>
          <w:color w:val="231F1F"/>
          <w:spacing w:val="-2"/>
          <w:w w:val="110"/>
          <w:sz w:val="20"/>
        </w:rPr>
        <w:t>EJ,</w:t>
      </w:r>
      <w:r>
        <w:rPr>
          <w:color w:val="231F1F"/>
          <w:spacing w:val="-10"/>
          <w:w w:val="110"/>
          <w:sz w:val="20"/>
        </w:rPr>
        <w:t> </w:t>
      </w:r>
      <w:r>
        <w:rPr>
          <w:color w:val="231F1F"/>
          <w:spacing w:val="-2"/>
          <w:w w:val="110"/>
          <w:sz w:val="20"/>
        </w:rPr>
        <w:t>Ali</w:t>
      </w:r>
      <w:r>
        <w:rPr>
          <w:color w:val="231F1F"/>
          <w:spacing w:val="-10"/>
          <w:w w:val="110"/>
          <w:sz w:val="20"/>
        </w:rPr>
        <w:t> </w:t>
      </w:r>
      <w:r>
        <w:rPr>
          <w:color w:val="231F1F"/>
          <w:spacing w:val="-2"/>
          <w:w w:val="110"/>
          <w:sz w:val="20"/>
        </w:rPr>
        <w:t>Y,</w:t>
      </w:r>
      <w:r>
        <w:rPr>
          <w:color w:val="231F1F"/>
          <w:spacing w:val="-10"/>
          <w:w w:val="110"/>
          <w:sz w:val="20"/>
        </w:rPr>
        <w:t> </w:t>
      </w:r>
      <w:r>
        <w:rPr>
          <w:color w:val="231F1F"/>
          <w:spacing w:val="-2"/>
          <w:w w:val="110"/>
          <w:sz w:val="20"/>
        </w:rPr>
        <w:t>Hammond</w:t>
      </w:r>
      <w:r>
        <w:rPr>
          <w:color w:val="231F1F"/>
          <w:spacing w:val="-11"/>
          <w:w w:val="110"/>
          <w:sz w:val="20"/>
        </w:rPr>
        <w:t> </w:t>
      </w:r>
      <w:r>
        <w:rPr>
          <w:color w:val="231F1F"/>
          <w:spacing w:val="-2"/>
          <w:w w:val="110"/>
          <w:sz w:val="20"/>
        </w:rPr>
        <w:t>BS,</w:t>
      </w:r>
      <w:r>
        <w:rPr>
          <w:color w:val="231F1F"/>
          <w:spacing w:val="-10"/>
          <w:w w:val="110"/>
          <w:sz w:val="20"/>
        </w:rPr>
        <w:t> </w:t>
      </w:r>
      <w:r>
        <w:rPr>
          <w:color w:val="231F1F"/>
          <w:spacing w:val="-2"/>
          <w:w w:val="110"/>
          <w:sz w:val="20"/>
        </w:rPr>
        <w:t>Lyons</w:t>
      </w:r>
      <w:r>
        <w:rPr>
          <w:color w:val="231F1F"/>
          <w:spacing w:val="-10"/>
          <w:w w:val="110"/>
          <w:sz w:val="20"/>
        </w:rPr>
        <w:t> </w:t>
      </w:r>
      <w:r>
        <w:rPr>
          <w:color w:val="231F1F"/>
          <w:spacing w:val="-2"/>
          <w:w w:val="110"/>
          <w:sz w:val="20"/>
        </w:rPr>
        <w:t>MK,</w:t>
      </w:r>
      <w:r>
        <w:rPr>
          <w:color w:val="231F1F"/>
          <w:spacing w:val="-10"/>
          <w:w w:val="110"/>
          <w:sz w:val="20"/>
        </w:rPr>
        <w:t> </w:t>
      </w:r>
      <w:r>
        <w:rPr>
          <w:color w:val="231F1F"/>
          <w:spacing w:val="-2"/>
          <w:w w:val="110"/>
          <w:sz w:val="20"/>
        </w:rPr>
        <w:t>Kelley</w:t>
      </w:r>
      <w:r>
        <w:rPr>
          <w:color w:val="231F1F"/>
          <w:spacing w:val="-11"/>
          <w:w w:val="110"/>
          <w:sz w:val="20"/>
        </w:rPr>
        <w:t> </w:t>
      </w:r>
      <w:r>
        <w:rPr>
          <w:color w:val="231F1F"/>
          <w:spacing w:val="-2"/>
          <w:w w:val="110"/>
          <w:sz w:val="20"/>
        </w:rPr>
        <w:t>MB,</w:t>
      </w:r>
      <w:r>
        <w:rPr>
          <w:color w:val="231F1F"/>
          <w:spacing w:val="-10"/>
          <w:w w:val="110"/>
          <w:sz w:val="20"/>
        </w:rPr>
        <w:t> </w:t>
      </w:r>
      <w:r>
        <w:rPr>
          <w:color w:val="231F1F"/>
          <w:spacing w:val="-2"/>
          <w:w w:val="110"/>
          <w:sz w:val="20"/>
        </w:rPr>
        <w:t>Vowell</w:t>
      </w:r>
      <w:r>
        <w:rPr>
          <w:color w:val="231F1F"/>
          <w:spacing w:val="-10"/>
          <w:w w:val="110"/>
          <w:sz w:val="20"/>
        </w:rPr>
        <w:t> </w:t>
      </w:r>
      <w:r>
        <w:rPr>
          <w:color w:val="231F1F"/>
          <w:spacing w:val="-2"/>
          <w:w w:val="110"/>
          <w:sz w:val="20"/>
        </w:rPr>
        <w:t>NA.</w:t>
      </w:r>
      <w:r>
        <w:rPr>
          <w:color w:val="231F1F"/>
          <w:spacing w:val="-10"/>
          <w:w w:val="110"/>
          <w:sz w:val="20"/>
        </w:rPr>
        <w:t> </w:t>
      </w:r>
      <w:r>
        <w:rPr>
          <w:color w:val="231F1F"/>
          <w:spacing w:val="-2"/>
          <w:w w:val="110"/>
          <w:sz w:val="20"/>
        </w:rPr>
        <w:t>The</w:t>
      </w:r>
      <w:r>
        <w:rPr>
          <w:color w:val="231F1F"/>
          <w:spacing w:val="-9"/>
          <w:w w:val="110"/>
          <w:sz w:val="20"/>
        </w:rPr>
        <w:t> </w:t>
      </w:r>
      <w:r>
        <w:rPr>
          <w:color w:val="231F1F"/>
          <w:spacing w:val="-2"/>
          <w:w w:val="110"/>
          <w:sz w:val="20"/>
        </w:rPr>
        <w:t>impact</w:t>
      </w:r>
      <w:r>
        <w:rPr>
          <w:color w:val="231F1F"/>
          <w:spacing w:val="-8"/>
          <w:w w:val="110"/>
          <w:sz w:val="20"/>
        </w:rPr>
        <w:t> </w:t>
      </w:r>
      <w:r>
        <w:rPr>
          <w:color w:val="231F1F"/>
          <w:spacing w:val="-2"/>
          <w:w w:val="110"/>
          <w:sz w:val="20"/>
        </w:rPr>
        <w:t>of</w:t>
      </w:r>
      <w:r>
        <w:rPr>
          <w:color w:val="231F1F"/>
          <w:spacing w:val="-9"/>
          <w:w w:val="110"/>
          <w:sz w:val="20"/>
        </w:rPr>
        <w:t> </w:t>
      </w:r>
      <w:r>
        <w:rPr>
          <w:color w:val="231F1F"/>
          <w:spacing w:val="-2"/>
          <w:w w:val="110"/>
          <w:sz w:val="20"/>
        </w:rPr>
        <w:t>alcohol </w:t>
      </w:r>
      <w:r>
        <w:rPr>
          <w:color w:val="231F1F"/>
          <w:w w:val="110"/>
          <w:sz w:val="20"/>
        </w:rPr>
        <w:t>hand</w:t>
      </w:r>
      <w:r>
        <w:rPr>
          <w:color w:val="231F1F"/>
          <w:w w:val="110"/>
          <w:sz w:val="20"/>
        </w:rPr>
        <w:t> sanitizer</w:t>
      </w:r>
      <w:r>
        <w:rPr>
          <w:color w:val="231F1F"/>
          <w:w w:val="110"/>
          <w:sz w:val="20"/>
        </w:rPr>
        <w:t> use</w:t>
      </w:r>
      <w:r>
        <w:rPr>
          <w:color w:val="231F1F"/>
          <w:w w:val="110"/>
          <w:sz w:val="20"/>
        </w:rPr>
        <w:t> on</w:t>
      </w:r>
      <w:r>
        <w:rPr>
          <w:color w:val="231F1F"/>
          <w:w w:val="110"/>
          <w:sz w:val="20"/>
        </w:rPr>
        <w:t> infection</w:t>
      </w:r>
      <w:r>
        <w:rPr>
          <w:color w:val="231F1F"/>
          <w:w w:val="110"/>
          <w:sz w:val="20"/>
        </w:rPr>
        <w:t> rates</w:t>
      </w:r>
      <w:r>
        <w:rPr>
          <w:color w:val="231F1F"/>
          <w:w w:val="110"/>
          <w:sz w:val="20"/>
        </w:rPr>
        <w:t> in</w:t>
      </w:r>
      <w:r>
        <w:rPr>
          <w:color w:val="231F1F"/>
          <w:w w:val="110"/>
          <w:sz w:val="20"/>
        </w:rPr>
        <w:t> an</w:t>
      </w:r>
      <w:r>
        <w:rPr>
          <w:color w:val="231F1F"/>
          <w:w w:val="110"/>
          <w:sz w:val="20"/>
        </w:rPr>
        <w:t> extended</w:t>
      </w:r>
      <w:r>
        <w:rPr>
          <w:color w:val="231F1F"/>
          <w:w w:val="110"/>
          <w:sz w:val="20"/>
        </w:rPr>
        <w:t> care</w:t>
      </w:r>
      <w:r>
        <w:rPr>
          <w:color w:val="231F1F"/>
          <w:w w:val="110"/>
          <w:sz w:val="20"/>
        </w:rPr>
        <w:t> facility.</w:t>
      </w:r>
      <w:r>
        <w:rPr>
          <w:color w:val="231F1F"/>
          <w:w w:val="110"/>
          <w:sz w:val="20"/>
        </w:rPr>
        <w:t> Am</w:t>
      </w:r>
      <w:r>
        <w:rPr>
          <w:color w:val="231F1F"/>
          <w:w w:val="110"/>
          <w:sz w:val="20"/>
        </w:rPr>
        <w:t> J</w:t>
      </w:r>
      <w:r>
        <w:rPr>
          <w:color w:val="231F1F"/>
          <w:w w:val="110"/>
          <w:sz w:val="20"/>
        </w:rPr>
        <w:t> Infect</w:t>
      </w:r>
      <w:r>
        <w:rPr>
          <w:color w:val="231F1F"/>
          <w:w w:val="110"/>
          <w:sz w:val="20"/>
        </w:rPr>
        <w:t> Control </w:t>
      </w:r>
      <w:r>
        <w:rPr>
          <w:color w:val="231F1F"/>
          <w:spacing w:val="-2"/>
          <w:w w:val="110"/>
          <w:sz w:val="20"/>
        </w:rPr>
        <w:t>2002;30(4):226-33.</w:t>
      </w:r>
    </w:p>
    <w:p>
      <w:pPr>
        <w:pStyle w:val="ListParagraph"/>
        <w:spacing w:after="0" w:line="232" w:lineRule="auto"/>
        <w:jc w:val="both"/>
        <w:rPr>
          <w:sz w:val="20"/>
        </w:rPr>
        <w:sectPr>
          <w:pgSz w:w="11900" w:h="16840"/>
          <w:pgMar w:header="0" w:footer="622" w:top="1580" w:bottom="820" w:left="1417" w:right="1559"/>
        </w:sectPr>
      </w:pPr>
    </w:p>
    <w:p>
      <w:pPr>
        <w:pStyle w:val="ListParagraph"/>
        <w:numPr>
          <w:ilvl w:val="0"/>
          <w:numId w:val="109"/>
        </w:numPr>
        <w:tabs>
          <w:tab w:pos="793" w:val="left" w:leader="none"/>
          <w:tab w:pos="797" w:val="left" w:leader="none"/>
        </w:tabs>
        <w:spacing w:line="223" w:lineRule="auto" w:before="95" w:after="0"/>
        <w:ind w:left="797" w:right="121" w:hanging="509"/>
        <w:jc w:val="both"/>
        <w:rPr>
          <w:sz w:val="20"/>
        </w:rPr>
      </w:pPr>
      <w:r>
        <w:rPr>
          <w:color w:val="231F1F"/>
          <w:w w:val="110"/>
          <w:position w:val="1"/>
          <w:sz w:val="20"/>
        </w:rPr>
        <w:t>Gould</w:t>
      </w:r>
      <w:r>
        <w:rPr>
          <w:color w:val="231F1F"/>
          <w:spacing w:val="-13"/>
          <w:w w:val="110"/>
          <w:position w:val="1"/>
          <w:sz w:val="20"/>
        </w:rPr>
        <w:t> </w:t>
      </w:r>
      <w:r>
        <w:rPr>
          <w:color w:val="231F1F"/>
          <w:w w:val="110"/>
          <w:position w:val="1"/>
          <w:sz w:val="20"/>
        </w:rPr>
        <w:t>D,</w:t>
      </w:r>
      <w:r>
        <w:rPr>
          <w:color w:val="231F1F"/>
          <w:spacing w:val="-12"/>
          <w:w w:val="110"/>
          <w:position w:val="1"/>
          <w:sz w:val="20"/>
        </w:rPr>
        <w:t> </w:t>
      </w:r>
      <w:r>
        <w:rPr>
          <w:color w:val="231F1F"/>
          <w:w w:val="110"/>
          <w:position w:val="1"/>
          <w:sz w:val="20"/>
        </w:rPr>
        <w:t>Gammon</w:t>
      </w:r>
      <w:r>
        <w:rPr>
          <w:color w:val="231F1F"/>
          <w:spacing w:val="-13"/>
          <w:w w:val="110"/>
          <w:position w:val="1"/>
          <w:sz w:val="20"/>
        </w:rPr>
        <w:t> </w:t>
      </w:r>
      <w:r>
        <w:rPr>
          <w:color w:val="231F1F"/>
          <w:w w:val="110"/>
          <w:position w:val="1"/>
          <w:sz w:val="20"/>
        </w:rPr>
        <w:t>J,</w:t>
      </w:r>
      <w:r>
        <w:rPr>
          <w:color w:val="231F1F"/>
          <w:spacing w:val="-12"/>
          <w:w w:val="110"/>
          <w:position w:val="1"/>
          <w:sz w:val="20"/>
        </w:rPr>
        <w:t> </w:t>
      </w:r>
      <w:r>
        <w:rPr>
          <w:color w:val="231F1F"/>
          <w:w w:val="110"/>
          <w:position w:val="1"/>
          <w:sz w:val="20"/>
        </w:rPr>
        <w:t>Donnelly</w:t>
      </w:r>
      <w:r>
        <w:rPr>
          <w:color w:val="231F1F"/>
          <w:spacing w:val="-13"/>
          <w:w w:val="110"/>
          <w:position w:val="1"/>
          <w:sz w:val="20"/>
        </w:rPr>
        <w:t> </w:t>
      </w:r>
      <w:r>
        <w:rPr>
          <w:color w:val="231F1F"/>
          <w:w w:val="110"/>
          <w:position w:val="1"/>
          <w:sz w:val="20"/>
        </w:rPr>
        <w:t>M,</w:t>
      </w:r>
      <w:r>
        <w:rPr>
          <w:color w:val="231F1F"/>
          <w:spacing w:val="-12"/>
          <w:w w:val="110"/>
          <w:position w:val="1"/>
          <w:sz w:val="20"/>
        </w:rPr>
        <w:t> </w:t>
      </w:r>
      <w:r>
        <w:rPr>
          <w:color w:val="231F1F"/>
          <w:w w:val="110"/>
          <w:position w:val="1"/>
          <w:sz w:val="20"/>
        </w:rPr>
        <w:t>Batiste</w:t>
      </w:r>
      <w:r>
        <w:rPr>
          <w:color w:val="231F1F"/>
          <w:spacing w:val="-13"/>
          <w:w w:val="110"/>
          <w:position w:val="1"/>
          <w:sz w:val="20"/>
        </w:rPr>
        <w:t> </w:t>
      </w:r>
      <w:r>
        <w:rPr>
          <w:color w:val="231F1F"/>
          <w:w w:val="110"/>
          <w:position w:val="1"/>
          <w:sz w:val="20"/>
        </w:rPr>
        <w:t>L,</w:t>
      </w:r>
      <w:r>
        <w:rPr>
          <w:color w:val="231F1F"/>
          <w:spacing w:val="-12"/>
          <w:w w:val="110"/>
          <w:position w:val="1"/>
          <w:sz w:val="20"/>
        </w:rPr>
        <w:t> </w:t>
      </w:r>
      <w:r>
        <w:rPr>
          <w:color w:val="231F1F"/>
          <w:w w:val="110"/>
          <w:position w:val="1"/>
          <w:sz w:val="20"/>
        </w:rPr>
        <w:t>Ball</w:t>
      </w:r>
      <w:r>
        <w:rPr>
          <w:color w:val="231F1F"/>
          <w:spacing w:val="-12"/>
          <w:w w:val="110"/>
          <w:position w:val="1"/>
          <w:sz w:val="20"/>
        </w:rPr>
        <w:t> </w:t>
      </w:r>
      <w:r>
        <w:rPr>
          <w:color w:val="231F1F"/>
          <w:w w:val="110"/>
          <w:position w:val="1"/>
          <w:sz w:val="20"/>
        </w:rPr>
        <w:t>E,</w:t>
      </w:r>
      <w:r>
        <w:rPr>
          <w:color w:val="231F1F"/>
          <w:spacing w:val="-12"/>
          <w:w w:val="110"/>
          <w:position w:val="1"/>
          <w:sz w:val="20"/>
        </w:rPr>
        <w:t> </w:t>
      </w:r>
      <w:r>
        <w:rPr>
          <w:color w:val="231F1F"/>
          <w:w w:val="110"/>
          <w:position w:val="1"/>
          <w:sz w:val="20"/>
        </w:rPr>
        <w:t>De</w:t>
      </w:r>
      <w:r>
        <w:rPr>
          <w:color w:val="231F1F"/>
          <w:spacing w:val="-12"/>
          <w:w w:val="110"/>
          <w:position w:val="1"/>
          <w:sz w:val="20"/>
        </w:rPr>
        <w:t> </w:t>
      </w:r>
      <w:r>
        <w:rPr>
          <w:color w:val="231F1F"/>
          <w:w w:val="110"/>
          <w:position w:val="1"/>
          <w:sz w:val="20"/>
        </w:rPr>
        <w:t>Melo</w:t>
      </w:r>
      <w:r>
        <w:rPr>
          <w:color w:val="231F1F"/>
          <w:spacing w:val="-13"/>
          <w:w w:val="110"/>
          <w:position w:val="1"/>
          <w:sz w:val="20"/>
        </w:rPr>
        <w:t> </w:t>
      </w:r>
      <w:r>
        <w:rPr>
          <w:color w:val="231F1F"/>
          <w:w w:val="110"/>
          <w:position w:val="1"/>
          <w:sz w:val="20"/>
        </w:rPr>
        <w:t>AMSC,</w:t>
      </w:r>
      <w:r>
        <w:rPr>
          <w:color w:val="231F1F"/>
          <w:spacing w:val="-12"/>
          <w:w w:val="110"/>
          <w:position w:val="1"/>
          <w:sz w:val="20"/>
        </w:rPr>
        <w:t> </w:t>
      </w:r>
      <w:r>
        <w:rPr>
          <w:color w:val="231F1F"/>
          <w:w w:val="110"/>
          <w:position w:val="1"/>
          <w:sz w:val="20"/>
        </w:rPr>
        <w:t>et</w:t>
      </w:r>
      <w:r>
        <w:rPr>
          <w:color w:val="231F1F"/>
          <w:spacing w:val="-11"/>
          <w:w w:val="110"/>
          <w:position w:val="1"/>
          <w:sz w:val="20"/>
        </w:rPr>
        <w:t> </w:t>
      </w:r>
      <w:r>
        <w:rPr>
          <w:color w:val="231F1F"/>
          <w:w w:val="110"/>
          <w:position w:val="1"/>
          <w:sz w:val="20"/>
        </w:rPr>
        <w:t>al.</w:t>
      </w:r>
      <w:r>
        <w:rPr>
          <w:color w:val="231F1F"/>
          <w:spacing w:val="-13"/>
          <w:w w:val="110"/>
          <w:position w:val="1"/>
          <w:sz w:val="20"/>
        </w:rPr>
        <w:t> </w:t>
      </w:r>
      <w:r>
        <w:rPr>
          <w:color w:val="231F1F"/>
          <w:w w:val="110"/>
          <w:position w:val="1"/>
          <w:sz w:val="20"/>
        </w:rPr>
        <w:t>Improving</w:t>
      </w:r>
      <w:r>
        <w:rPr>
          <w:color w:val="231F1F"/>
          <w:spacing w:val="-11"/>
          <w:w w:val="110"/>
          <w:position w:val="1"/>
          <w:sz w:val="20"/>
        </w:rPr>
        <w:t> </w:t>
      </w:r>
      <w:r>
        <w:rPr>
          <w:color w:val="231F1F"/>
          <w:w w:val="110"/>
          <w:position w:val="1"/>
          <w:sz w:val="20"/>
        </w:rPr>
        <w:t>hand </w:t>
      </w:r>
      <w:r>
        <w:rPr>
          <w:color w:val="231F1F"/>
          <w:spacing w:val="-2"/>
          <w:w w:val="110"/>
          <w:sz w:val="20"/>
        </w:rPr>
        <w:t>hygiene</w:t>
      </w:r>
      <w:r>
        <w:rPr>
          <w:color w:val="231F1F"/>
          <w:spacing w:val="-9"/>
          <w:w w:val="110"/>
          <w:sz w:val="20"/>
        </w:rPr>
        <w:t> </w:t>
      </w:r>
      <w:r>
        <w:rPr>
          <w:color w:val="231F1F"/>
          <w:spacing w:val="-2"/>
          <w:w w:val="110"/>
          <w:sz w:val="20"/>
        </w:rPr>
        <w:t>in</w:t>
      </w:r>
      <w:r>
        <w:rPr>
          <w:color w:val="231F1F"/>
          <w:spacing w:val="-8"/>
          <w:w w:val="110"/>
          <w:sz w:val="20"/>
        </w:rPr>
        <w:t> </w:t>
      </w:r>
      <w:r>
        <w:rPr>
          <w:color w:val="231F1F"/>
          <w:spacing w:val="-2"/>
          <w:w w:val="110"/>
          <w:sz w:val="20"/>
        </w:rPr>
        <w:t>community</w:t>
      </w:r>
      <w:r>
        <w:rPr>
          <w:color w:val="231F1F"/>
          <w:spacing w:val="-7"/>
          <w:w w:val="110"/>
          <w:sz w:val="20"/>
        </w:rPr>
        <w:t> </w:t>
      </w:r>
      <w:r>
        <w:rPr>
          <w:color w:val="231F1F"/>
          <w:spacing w:val="-2"/>
          <w:w w:val="110"/>
          <w:sz w:val="20"/>
        </w:rPr>
        <w:t>healthcare</w:t>
      </w:r>
      <w:r>
        <w:rPr>
          <w:color w:val="231F1F"/>
          <w:spacing w:val="-6"/>
          <w:w w:val="110"/>
          <w:sz w:val="20"/>
        </w:rPr>
        <w:t> </w:t>
      </w:r>
      <w:r>
        <w:rPr>
          <w:color w:val="231F1F"/>
          <w:spacing w:val="-2"/>
          <w:w w:val="110"/>
          <w:sz w:val="20"/>
        </w:rPr>
        <w:t>settings:</w:t>
      </w:r>
      <w:r>
        <w:rPr>
          <w:color w:val="231F1F"/>
          <w:spacing w:val="-8"/>
          <w:w w:val="110"/>
          <w:sz w:val="20"/>
        </w:rPr>
        <w:t> </w:t>
      </w:r>
      <w:r>
        <w:rPr>
          <w:color w:val="231F1F"/>
          <w:spacing w:val="-2"/>
          <w:w w:val="110"/>
          <w:sz w:val="20"/>
        </w:rPr>
        <w:t>the</w:t>
      </w:r>
      <w:r>
        <w:rPr>
          <w:color w:val="231F1F"/>
          <w:spacing w:val="-6"/>
          <w:w w:val="110"/>
          <w:sz w:val="20"/>
        </w:rPr>
        <w:t> </w:t>
      </w:r>
      <w:r>
        <w:rPr>
          <w:color w:val="231F1F"/>
          <w:spacing w:val="-2"/>
          <w:w w:val="110"/>
          <w:sz w:val="20"/>
        </w:rPr>
        <w:t>impact</w:t>
      </w:r>
      <w:r>
        <w:rPr>
          <w:color w:val="231F1F"/>
          <w:spacing w:val="-6"/>
          <w:w w:val="110"/>
          <w:sz w:val="20"/>
        </w:rPr>
        <w:t> </w:t>
      </w:r>
      <w:r>
        <w:rPr>
          <w:color w:val="231F1F"/>
          <w:spacing w:val="-2"/>
          <w:w w:val="110"/>
          <w:sz w:val="20"/>
        </w:rPr>
        <w:t>of</w:t>
      </w:r>
      <w:r>
        <w:rPr>
          <w:color w:val="231F1F"/>
          <w:spacing w:val="-6"/>
          <w:w w:val="110"/>
          <w:sz w:val="20"/>
        </w:rPr>
        <w:t> </w:t>
      </w:r>
      <w:r>
        <w:rPr>
          <w:color w:val="231F1F"/>
          <w:spacing w:val="-2"/>
          <w:w w:val="110"/>
          <w:sz w:val="20"/>
        </w:rPr>
        <w:t>research</w:t>
      </w:r>
      <w:r>
        <w:rPr>
          <w:color w:val="231F1F"/>
          <w:spacing w:val="-7"/>
          <w:w w:val="110"/>
          <w:sz w:val="20"/>
        </w:rPr>
        <w:t> </w:t>
      </w:r>
      <w:r>
        <w:rPr>
          <w:color w:val="231F1F"/>
          <w:spacing w:val="-2"/>
          <w:w w:val="110"/>
          <w:sz w:val="20"/>
        </w:rPr>
        <w:t>and</w:t>
      </w:r>
      <w:r>
        <w:rPr>
          <w:color w:val="231F1F"/>
          <w:spacing w:val="-7"/>
          <w:w w:val="110"/>
          <w:sz w:val="20"/>
        </w:rPr>
        <w:t> </w:t>
      </w:r>
      <w:r>
        <w:rPr>
          <w:color w:val="231F1F"/>
          <w:spacing w:val="-2"/>
          <w:w w:val="110"/>
          <w:sz w:val="20"/>
        </w:rPr>
        <w:t>clinical</w:t>
      </w:r>
      <w:r>
        <w:rPr>
          <w:color w:val="231F1F"/>
          <w:spacing w:val="-7"/>
          <w:w w:val="110"/>
          <w:sz w:val="20"/>
        </w:rPr>
        <w:t> </w:t>
      </w:r>
      <w:r>
        <w:rPr>
          <w:color w:val="231F1F"/>
          <w:spacing w:val="-2"/>
          <w:w w:val="110"/>
          <w:sz w:val="20"/>
        </w:rPr>
        <w:t>collaboration.</w:t>
      </w:r>
      <w:r>
        <w:rPr>
          <w:color w:val="231F1F"/>
          <w:spacing w:val="-10"/>
          <w:w w:val="110"/>
          <w:sz w:val="20"/>
        </w:rPr>
        <w:t> </w:t>
      </w:r>
      <w:r>
        <w:rPr>
          <w:color w:val="231F1F"/>
          <w:spacing w:val="-2"/>
          <w:w w:val="110"/>
          <w:sz w:val="20"/>
        </w:rPr>
        <w:t>J </w:t>
      </w:r>
      <w:r>
        <w:rPr>
          <w:color w:val="231F1F"/>
          <w:w w:val="110"/>
          <w:sz w:val="20"/>
        </w:rPr>
        <w:t>Clin Nurs 2000;9(1):95-102.</w:t>
      </w:r>
    </w:p>
    <w:p>
      <w:pPr>
        <w:pStyle w:val="ListParagraph"/>
        <w:numPr>
          <w:ilvl w:val="0"/>
          <w:numId w:val="109"/>
        </w:numPr>
        <w:tabs>
          <w:tab w:pos="793" w:val="left" w:leader="none"/>
          <w:tab w:pos="797" w:val="left" w:leader="none"/>
        </w:tabs>
        <w:spacing w:line="220" w:lineRule="auto" w:before="186" w:after="0"/>
        <w:ind w:left="797" w:right="169" w:hanging="502"/>
        <w:jc w:val="both"/>
        <w:rPr>
          <w:sz w:val="20"/>
        </w:rPr>
      </w:pPr>
      <w:r>
        <w:rPr>
          <w:color w:val="231F1F"/>
          <w:spacing w:val="-4"/>
          <w:w w:val="110"/>
          <w:sz w:val="20"/>
        </w:rPr>
        <w:t>Pittet</w:t>
      </w:r>
      <w:r>
        <w:rPr>
          <w:color w:val="231F1F"/>
          <w:spacing w:val="-7"/>
          <w:w w:val="110"/>
          <w:sz w:val="20"/>
        </w:rPr>
        <w:t> </w:t>
      </w:r>
      <w:r>
        <w:rPr>
          <w:color w:val="231F1F"/>
          <w:spacing w:val="-4"/>
          <w:w w:val="110"/>
          <w:sz w:val="20"/>
        </w:rPr>
        <w:t>D,</w:t>
      </w:r>
      <w:r>
        <w:rPr>
          <w:color w:val="231F1F"/>
          <w:spacing w:val="-7"/>
          <w:w w:val="110"/>
          <w:sz w:val="20"/>
        </w:rPr>
        <w:t> </w:t>
      </w:r>
      <w:r>
        <w:rPr>
          <w:color w:val="231F1F"/>
          <w:spacing w:val="-4"/>
          <w:w w:val="110"/>
          <w:sz w:val="20"/>
        </w:rPr>
        <w:t>Dharan</w:t>
      </w:r>
      <w:r>
        <w:rPr>
          <w:color w:val="231F1F"/>
          <w:spacing w:val="-5"/>
          <w:w w:val="110"/>
          <w:sz w:val="20"/>
        </w:rPr>
        <w:t> </w:t>
      </w:r>
      <w:r>
        <w:rPr>
          <w:color w:val="231F1F"/>
          <w:spacing w:val="-4"/>
          <w:w w:val="110"/>
          <w:sz w:val="20"/>
        </w:rPr>
        <w:t>S,</w:t>
      </w:r>
      <w:r>
        <w:rPr>
          <w:color w:val="231F1F"/>
          <w:spacing w:val="-7"/>
          <w:w w:val="110"/>
          <w:sz w:val="20"/>
        </w:rPr>
        <w:t> </w:t>
      </w:r>
      <w:r>
        <w:rPr>
          <w:color w:val="231F1F"/>
          <w:spacing w:val="-4"/>
          <w:w w:val="110"/>
          <w:sz w:val="20"/>
        </w:rPr>
        <w:t>Touveneau S,</w:t>
      </w:r>
      <w:r>
        <w:rPr>
          <w:color w:val="231F1F"/>
          <w:spacing w:val="-6"/>
          <w:w w:val="110"/>
          <w:sz w:val="20"/>
        </w:rPr>
        <w:t> </w:t>
      </w:r>
      <w:r>
        <w:rPr>
          <w:color w:val="231F1F"/>
          <w:spacing w:val="-4"/>
          <w:w w:val="110"/>
          <w:sz w:val="20"/>
        </w:rPr>
        <w:t>Sauvan</w:t>
      </w:r>
      <w:r>
        <w:rPr>
          <w:color w:val="231F1F"/>
          <w:spacing w:val="-6"/>
          <w:w w:val="110"/>
          <w:sz w:val="20"/>
        </w:rPr>
        <w:t> </w:t>
      </w:r>
      <w:r>
        <w:rPr>
          <w:color w:val="231F1F"/>
          <w:spacing w:val="-4"/>
          <w:w w:val="110"/>
          <w:sz w:val="20"/>
        </w:rPr>
        <w:t>V,</w:t>
      </w:r>
      <w:r>
        <w:rPr>
          <w:color w:val="231F1F"/>
          <w:spacing w:val="-6"/>
          <w:w w:val="110"/>
          <w:sz w:val="20"/>
        </w:rPr>
        <w:t> </w:t>
      </w:r>
      <w:r>
        <w:rPr>
          <w:color w:val="231F1F"/>
          <w:spacing w:val="-4"/>
          <w:w w:val="110"/>
          <w:sz w:val="20"/>
        </w:rPr>
        <w:t>Perneger</w:t>
      </w:r>
      <w:r>
        <w:rPr>
          <w:color w:val="231F1F"/>
          <w:spacing w:val="-6"/>
          <w:w w:val="110"/>
          <w:sz w:val="20"/>
        </w:rPr>
        <w:t> </w:t>
      </w:r>
      <w:r>
        <w:rPr>
          <w:color w:val="231F1F"/>
          <w:spacing w:val="-4"/>
          <w:w w:val="110"/>
          <w:sz w:val="20"/>
        </w:rPr>
        <w:t>T.</w:t>
      </w:r>
      <w:r>
        <w:rPr>
          <w:color w:val="231F1F"/>
          <w:spacing w:val="-6"/>
          <w:w w:val="110"/>
          <w:sz w:val="20"/>
        </w:rPr>
        <w:t> </w:t>
      </w:r>
      <w:r>
        <w:rPr>
          <w:color w:val="231F1F"/>
          <w:spacing w:val="-4"/>
          <w:w w:val="110"/>
          <w:sz w:val="20"/>
        </w:rPr>
        <w:t>Bacterial contamination of the hands </w:t>
      </w:r>
      <w:r>
        <w:rPr>
          <w:color w:val="231F1F"/>
          <w:w w:val="110"/>
          <w:sz w:val="20"/>
        </w:rPr>
        <w:t>of hospital staff during routine patient care.</w:t>
      </w:r>
      <w:r>
        <w:rPr>
          <w:color w:val="231F1F"/>
          <w:spacing w:val="-15"/>
          <w:w w:val="110"/>
          <w:sz w:val="20"/>
        </w:rPr>
        <w:t> </w:t>
      </w:r>
      <w:r>
        <w:rPr>
          <w:color w:val="231F1F"/>
          <w:w w:val="110"/>
          <w:sz w:val="20"/>
        </w:rPr>
        <w:t>Arch Intern Med 1999;159(8):821-6.</w:t>
      </w:r>
    </w:p>
    <w:p>
      <w:pPr>
        <w:pStyle w:val="ListParagraph"/>
        <w:numPr>
          <w:ilvl w:val="0"/>
          <w:numId w:val="109"/>
        </w:numPr>
        <w:tabs>
          <w:tab w:pos="793" w:val="left" w:leader="none"/>
          <w:tab w:pos="797" w:val="left" w:leader="none"/>
        </w:tabs>
        <w:spacing w:line="223" w:lineRule="auto" w:before="165" w:after="0"/>
        <w:ind w:left="797" w:right="122" w:hanging="502"/>
        <w:jc w:val="both"/>
        <w:rPr>
          <w:sz w:val="20"/>
        </w:rPr>
      </w:pPr>
      <w:r>
        <w:rPr>
          <w:color w:val="231F1F"/>
          <w:w w:val="110"/>
          <w:position w:val="1"/>
          <w:sz w:val="20"/>
        </w:rPr>
        <w:t>Boyce</w:t>
      </w:r>
      <w:r>
        <w:rPr>
          <w:color w:val="231F1F"/>
          <w:spacing w:val="-10"/>
          <w:w w:val="110"/>
          <w:position w:val="1"/>
          <w:sz w:val="20"/>
        </w:rPr>
        <w:t> </w:t>
      </w:r>
      <w:r>
        <w:rPr>
          <w:color w:val="231F1F"/>
          <w:w w:val="110"/>
          <w:position w:val="1"/>
          <w:sz w:val="20"/>
        </w:rPr>
        <w:t>JM,</w:t>
      </w:r>
      <w:r>
        <w:rPr>
          <w:color w:val="231F1F"/>
          <w:spacing w:val="-10"/>
          <w:w w:val="110"/>
          <w:position w:val="1"/>
          <w:sz w:val="20"/>
        </w:rPr>
        <w:t> </w:t>
      </w:r>
      <w:r>
        <w:rPr>
          <w:color w:val="231F1F"/>
          <w:w w:val="110"/>
          <w:position w:val="1"/>
          <w:sz w:val="20"/>
        </w:rPr>
        <w:t>Pittet</w:t>
      </w:r>
      <w:r>
        <w:rPr>
          <w:color w:val="231F1F"/>
          <w:spacing w:val="-8"/>
          <w:w w:val="110"/>
          <w:position w:val="1"/>
          <w:sz w:val="20"/>
        </w:rPr>
        <w:t> </w:t>
      </w:r>
      <w:r>
        <w:rPr>
          <w:color w:val="231F1F"/>
          <w:w w:val="110"/>
          <w:position w:val="1"/>
          <w:sz w:val="20"/>
        </w:rPr>
        <w:t>D.</w:t>
      </w:r>
      <w:r>
        <w:rPr>
          <w:color w:val="231F1F"/>
          <w:spacing w:val="-10"/>
          <w:w w:val="110"/>
          <w:position w:val="1"/>
          <w:sz w:val="20"/>
        </w:rPr>
        <w:t> </w:t>
      </w:r>
      <w:r>
        <w:rPr>
          <w:color w:val="231F1F"/>
          <w:w w:val="110"/>
          <w:position w:val="1"/>
          <w:sz w:val="20"/>
        </w:rPr>
        <w:t>Guideline</w:t>
      </w:r>
      <w:r>
        <w:rPr>
          <w:color w:val="231F1F"/>
          <w:spacing w:val="-9"/>
          <w:w w:val="110"/>
          <w:position w:val="1"/>
          <w:sz w:val="20"/>
        </w:rPr>
        <w:t> </w:t>
      </w:r>
      <w:r>
        <w:rPr>
          <w:color w:val="231F1F"/>
          <w:w w:val="110"/>
          <w:position w:val="1"/>
          <w:sz w:val="20"/>
        </w:rPr>
        <w:t>for</w:t>
      </w:r>
      <w:r>
        <w:rPr>
          <w:color w:val="231F1F"/>
          <w:spacing w:val="-8"/>
          <w:w w:val="110"/>
          <w:position w:val="1"/>
          <w:sz w:val="20"/>
        </w:rPr>
        <w:t> </w:t>
      </w:r>
      <w:r>
        <w:rPr>
          <w:color w:val="231F1F"/>
          <w:w w:val="110"/>
          <w:position w:val="1"/>
          <w:sz w:val="20"/>
        </w:rPr>
        <w:t>Hand</w:t>
      </w:r>
      <w:r>
        <w:rPr>
          <w:color w:val="231F1F"/>
          <w:spacing w:val="-8"/>
          <w:w w:val="110"/>
          <w:position w:val="1"/>
          <w:sz w:val="20"/>
        </w:rPr>
        <w:t> </w:t>
      </w:r>
      <w:r>
        <w:rPr>
          <w:color w:val="231F1F"/>
          <w:w w:val="110"/>
          <w:position w:val="1"/>
          <w:sz w:val="20"/>
        </w:rPr>
        <w:t>Hygiene</w:t>
      </w:r>
      <w:r>
        <w:rPr>
          <w:color w:val="231F1F"/>
          <w:spacing w:val="-8"/>
          <w:w w:val="110"/>
          <w:position w:val="1"/>
          <w:sz w:val="20"/>
        </w:rPr>
        <w:t> </w:t>
      </w:r>
      <w:r>
        <w:rPr>
          <w:color w:val="231F1F"/>
          <w:w w:val="110"/>
          <w:position w:val="1"/>
          <w:sz w:val="20"/>
        </w:rPr>
        <w:t>in</w:t>
      </w:r>
      <w:r>
        <w:rPr>
          <w:color w:val="231F1F"/>
          <w:spacing w:val="-8"/>
          <w:w w:val="110"/>
          <w:position w:val="1"/>
          <w:sz w:val="20"/>
        </w:rPr>
        <w:t> </w:t>
      </w:r>
      <w:r>
        <w:rPr>
          <w:color w:val="231F1F"/>
          <w:w w:val="110"/>
          <w:position w:val="1"/>
          <w:sz w:val="20"/>
        </w:rPr>
        <w:t>Healthcare</w:t>
      </w:r>
      <w:r>
        <w:rPr>
          <w:color w:val="231F1F"/>
          <w:spacing w:val="-8"/>
          <w:w w:val="110"/>
          <w:position w:val="1"/>
          <w:sz w:val="20"/>
        </w:rPr>
        <w:t> </w:t>
      </w:r>
      <w:r>
        <w:rPr>
          <w:color w:val="231F1F"/>
          <w:w w:val="110"/>
          <w:position w:val="1"/>
          <w:sz w:val="20"/>
        </w:rPr>
        <w:t>Settings:</w:t>
      </w:r>
      <w:r>
        <w:rPr>
          <w:color w:val="231F1F"/>
          <w:spacing w:val="-9"/>
          <w:w w:val="110"/>
          <w:position w:val="1"/>
          <w:sz w:val="20"/>
        </w:rPr>
        <w:t> </w:t>
      </w:r>
      <w:r>
        <w:rPr>
          <w:color w:val="231F1F"/>
          <w:w w:val="110"/>
          <w:position w:val="1"/>
          <w:sz w:val="20"/>
        </w:rPr>
        <w:t>Recommendations </w:t>
      </w:r>
      <w:r>
        <w:rPr>
          <w:color w:val="231F1F"/>
          <w:w w:val="110"/>
          <w:sz w:val="20"/>
        </w:rPr>
        <w:t>of</w:t>
      </w:r>
      <w:r>
        <w:rPr>
          <w:color w:val="231F1F"/>
          <w:spacing w:val="-5"/>
          <w:w w:val="110"/>
          <w:sz w:val="20"/>
        </w:rPr>
        <w:t> </w:t>
      </w:r>
      <w:r>
        <w:rPr>
          <w:color w:val="231F1F"/>
          <w:w w:val="110"/>
          <w:sz w:val="20"/>
        </w:rPr>
        <w:t>the</w:t>
      </w:r>
      <w:r>
        <w:rPr>
          <w:color w:val="231F1F"/>
          <w:spacing w:val="-5"/>
          <w:w w:val="110"/>
          <w:sz w:val="20"/>
        </w:rPr>
        <w:t> </w:t>
      </w:r>
      <w:r>
        <w:rPr>
          <w:color w:val="231F1F"/>
          <w:w w:val="110"/>
          <w:sz w:val="20"/>
        </w:rPr>
        <w:t>Healthcare</w:t>
      </w:r>
      <w:r>
        <w:rPr>
          <w:color w:val="231F1F"/>
          <w:spacing w:val="-5"/>
          <w:w w:val="110"/>
          <w:sz w:val="20"/>
        </w:rPr>
        <w:t> </w:t>
      </w:r>
      <w:r>
        <w:rPr>
          <w:color w:val="231F1F"/>
          <w:w w:val="110"/>
          <w:sz w:val="20"/>
        </w:rPr>
        <w:t>Infection</w:t>
      </w:r>
      <w:r>
        <w:rPr>
          <w:color w:val="231F1F"/>
          <w:spacing w:val="-5"/>
          <w:w w:val="110"/>
          <w:sz w:val="20"/>
        </w:rPr>
        <w:t> </w:t>
      </w:r>
      <w:r>
        <w:rPr>
          <w:color w:val="231F1F"/>
          <w:w w:val="110"/>
          <w:sz w:val="20"/>
        </w:rPr>
        <w:t>Control</w:t>
      </w:r>
      <w:r>
        <w:rPr>
          <w:color w:val="231F1F"/>
          <w:spacing w:val="-5"/>
          <w:w w:val="110"/>
          <w:sz w:val="20"/>
        </w:rPr>
        <w:t> </w:t>
      </w:r>
      <w:r>
        <w:rPr>
          <w:color w:val="231F1F"/>
          <w:w w:val="110"/>
          <w:sz w:val="20"/>
        </w:rPr>
        <w:t>Practice</w:t>
      </w:r>
      <w:r>
        <w:rPr>
          <w:color w:val="231F1F"/>
          <w:spacing w:val="-7"/>
          <w:w w:val="110"/>
          <w:sz w:val="20"/>
        </w:rPr>
        <w:t> </w:t>
      </w:r>
      <w:r>
        <w:rPr>
          <w:color w:val="231F1F"/>
          <w:w w:val="110"/>
          <w:sz w:val="20"/>
        </w:rPr>
        <w:t>Advisory</w:t>
      </w:r>
      <w:r>
        <w:rPr>
          <w:color w:val="231F1F"/>
          <w:spacing w:val="-5"/>
          <w:w w:val="110"/>
          <w:sz w:val="20"/>
        </w:rPr>
        <w:t> </w:t>
      </w:r>
      <w:r>
        <w:rPr>
          <w:color w:val="231F1F"/>
          <w:w w:val="110"/>
          <w:sz w:val="20"/>
        </w:rPr>
        <w:t>Committee</w:t>
      </w:r>
      <w:r>
        <w:rPr>
          <w:color w:val="231F1F"/>
          <w:spacing w:val="-6"/>
          <w:w w:val="110"/>
          <w:sz w:val="20"/>
        </w:rPr>
        <w:t> </w:t>
      </w:r>
      <w:r>
        <w:rPr>
          <w:color w:val="231F1F"/>
          <w:w w:val="110"/>
          <w:sz w:val="20"/>
        </w:rPr>
        <w:t>and</w:t>
      </w:r>
      <w:r>
        <w:rPr>
          <w:color w:val="231F1F"/>
          <w:spacing w:val="-5"/>
          <w:w w:val="110"/>
          <w:sz w:val="20"/>
        </w:rPr>
        <w:t> </w:t>
      </w:r>
      <w:r>
        <w:rPr>
          <w:color w:val="231F1F"/>
          <w:w w:val="110"/>
          <w:sz w:val="20"/>
        </w:rPr>
        <w:t>the</w:t>
      </w:r>
      <w:r>
        <w:rPr>
          <w:color w:val="231F1F"/>
          <w:spacing w:val="-5"/>
          <w:w w:val="110"/>
          <w:sz w:val="20"/>
        </w:rPr>
        <w:t> </w:t>
      </w:r>
      <w:r>
        <w:rPr>
          <w:color w:val="231F1F"/>
          <w:w w:val="110"/>
          <w:sz w:val="20"/>
        </w:rPr>
        <w:t>HICPAC/SHEA/ APIC/IDSA. Hygiene Task Force 2002;58p.</w:t>
      </w:r>
    </w:p>
    <w:p>
      <w:pPr>
        <w:pStyle w:val="ListParagraph"/>
        <w:numPr>
          <w:ilvl w:val="0"/>
          <w:numId w:val="109"/>
        </w:numPr>
        <w:tabs>
          <w:tab w:pos="794" w:val="left" w:leader="none"/>
          <w:tab w:pos="798" w:val="left" w:leader="none"/>
        </w:tabs>
        <w:spacing w:line="211" w:lineRule="auto" w:before="183" w:after="0"/>
        <w:ind w:left="798" w:right="365" w:hanging="505"/>
        <w:jc w:val="both"/>
        <w:rPr>
          <w:sz w:val="20"/>
        </w:rPr>
      </w:pPr>
      <w:r>
        <w:rPr>
          <w:color w:val="231F1F"/>
          <w:w w:val="105"/>
          <w:position w:val="1"/>
          <w:sz w:val="20"/>
        </w:rPr>
        <w:t>Canada</w:t>
      </w:r>
      <w:r>
        <w:rPr>
          <w:color w:val="231F1F"/>
          <w:w w:val="105"/>
          <w:position w:val="1"/>
          <w:sz w:val="20"/>
        </w:rPr>
        <w:t> Communicable</w:t>
      </w:r>
      <w:r>
        <w:rPr>
          <w:color w:val="231F1F"/>
          <w:w w:val="105"/>
          <w:position w:val="1"/>
          <w:sz w:val="20"/>
        </w:rPr>
        <w:t> Disease</w:t>
      </w:r>
      <w:r>
        <w:rPr>
          <w:color w:val="231F1F"/>
          <w:w w:val="105"/>
          <w:position w:val="1"/>
          <w:sz w:val="20"/>
        </w:rPr>
        <w:t> Report</w:t>
      </w:r>
      <w:r>
        <w:rPr>
          <w:color w:val="231F1F"/>
          <w:w w:val="105"/>
          <w:position w:val="1"/>
          <w:sz w:val="20"/>
        </w:rPr>
        <w:t> Supplement.</w:t>
      </w:r>
      <w:r>
        <w:rPr>
          <w:color w:val="231F1F"/>
          <w:w w:val="105"/>
          <w:position w:val="1"/>
          <w:sz w:val="20"/>
        </w:rPr>
        <w:t> Infection</w:t>
      </w:r>
      <w:r>
        <w:rPr>
          <w:color w:val="231F1F"/>
          <w:w w:val="105"/>
          <w:position w:val="1"/>
          <w:sz w:val="20"/>
        </w:rPr>
        <w:t> Control</w:t>
      </w:r>
      <w:r>
        <w:rPr>
          <w:color w:val="231F1F"/>
          <w:w w:val="105"/>
          <w:position w:val="1"/>
          <w:sz w:val="20"/>
        </w:rPr>
        <w:t> Guidelines:</w:t>
      </w:r>
      <w:r>
        <w:rPr>
          <w:color w:val="231F1F"/>
          <w:w w:val="105"/>
          <w:position w:val="1"/>
          <w:sz w:val="20"/>
        </w:rPr>
        <w:t> Hand </w:t>
      </w:r>
      <w:r>
        <w:rPr>
          <w:color w:val="231F1F"/>
          <w:w w:val="105"/>
          <w:sz w:val="20"/>
        </w:rPr>
        <w:t>washing,cleaning,disinfection and sterilization in health care 1998;24(S8).</w:t>
      </w:r>
    </w:p>
    <w:p>
      <w:pPr>
        <w:pStyle w:val="ListParagraph"/>
        <w:numPr>
          <w:ilvl w:val="0"/>
          <w:numId w:val="109"/>
        </w:numPr>
        <w:tabs>
          <w:tab w:pos="795" w:val="left" w:leader="none"/>
        </w:tabs>
        <w:spacing w:line="240" w:lineRule="auto" w:before="164" w:after="0"/>
        <w:ind w:left="795" w:right="0" w:hanging="502"/>
        <w:jc w:val="left"/>
        <w:rPr>
          <w:sz w:val="20"/>
        </w:rPr>
      </w:pPr>
      <w:r>
        <w:rPr>
          <w:color w:val="231F1F"/>
          <w:w w:val="105"/>
          <w:sz w:val="20"/>
        </w:rPr>
        <w:t>Infection</w:t>
      </w:r>
      <w:r>
        <w:rPr>
          <w:color w:val="231F1F"/>
          <w:spacing w:val="4"/>
          <w:w w:val="105"/>
          <w:sz w:val="20"/>
        </w:rPr>
        <w:t> </w:t>
      </w:r>
      <w:r>
        <w:rPr>
          <w:color w:val="231F1F"/>
          <w:w w:val="105"/>
          <w:sz w:val="20"/>
        </w:rPr>
        <w:t>Control</w:t>
      </w:r>
      <w:r>
        <w:rPr>
          <w:color w:val="231F1F"/>
          <w:spacing w:val="8"/>
          <w:w w:val="105"/>
          <w:sz w:val="20"/>
        </w:rPr>
        <w:t> </w:t>
      </w:r>
      <w:r>
        <w:rPr>
          <w:color w:val="231F1F"/>
          <w:w w:val="105"/>
          <w:sz w:val="20"/>
        </w:rPr>
        <w:t>Nurses</w:t>
      </w:r>
      <w:r>
        <w:rPr>
          <w:color w:val="231F1F"/>
          <w:spacing w:val="-6"/>
          <w:w w:val="105"/>
          <w:sz w:val="20"/>
        </w:rPr>
        <w:t> </w:t>
      </w:r>
      <w:r>
        <w:rPr>
          <w:color w:val="231F1F"/>
          <w:w w:val="105"/>
          <w:sz w:val="20"/>
        </w:rPr>
        <w:t>Association.</w:t>
      </w:r>
      <w:r>
        <w:rPr>
          <w:color w:val="231F1F"/>
          <w:spacing w:val="-5"/>
          <w:w w:val="105"/>
          <w:sz w:val="20"/>
        </w:rPr>
        <w:t> </w:t>
      </w:r>
      <w:r>
        <w:rPr>
          <w:color w:val="231F1F"/>
          <w:w w:val="105"/>
          <w:sz w:val="20"/>
        </w:rPr>
        <w:t>Guidelines</w:t>
      </w:r>
      <w:r>
        <w:rPr>
          <w:color w:val="231F1F"/>
          <w:spacing w:val="5"/>
          <w:w w:val="105"/>
          <w:sz w:val="20"/>
        </w:rPr>
        <w:t> </w:t>
      </w:r>
      <w:r>
        <w:rPr>
          <w:color w:val="231F1F"/>
          <w:w w:val="105"/>
          <w:sz w:val="20"/>
        </w:rPr>
        <w:t>for</w:t>
      </w:r>
      <w:r>
        <w:rPr>
          <w:color w:val="231F1F"/>
          <w:spacing w:val="8"/>
          <w:w w:val="105"/>
          <w:sz w:val="20"/>
        </w:rPr>
        <w:t> </w:t>
      </w:r>
      <w:r>
        <w:rPr>
          <w:color w:val="231F1F"/>
          <w:w w:val="105"/>
          <w:sz w:val="20"/>
        </w:rPr>
        <w:t>Hands</w:t>
      </w:r>
      <w:r>
        <w:rPr>
          <w:color w:val="231F1F"/>
          <w:spacing w:val="9"/>
          <w:w w:val="105"/>
          <w:sz w:val="20"/>
        </w:rPr>
        <w:t> </w:t>
      </w:r>
      <w:r>
        <w:rPr>
          <w:color w:val="231F1F"/>
          <w:w w:val="105"/>
          <w:sz w:val="20"/>
        </w:rPr>
        <w:t>Hygiene</w:t>
      </w:r>
      <w:r>
        <w:rPr>
          <w:color w:val="231F1F"/>
          <w:spacing w:val="6"/>
          <w:w w:val="105"/>
          <w:sz w:val="20"/>
        </w:rPr>
        <w:t> </w:t>
      </w:r>
      <w:r>
        <w:rPr>
          <w:color w:val="231F1F"/>
          <w:spacing w:val="-2"/>
          <w:w w:val="105"/>
          <w:sz w:val="20"/>
        </w:rPr>
        <w:t>2002.</w:t>
      </w:r>
    </w:p>
    <w:p>
      <w:pPr>
        <w:pStyle w:val="ListParagraph"/>
        <w:numPr>
          <w:ilvl w:val="0"/>
          <w:numId w:val="109"/>
        </w:numPr>
        <w:tabs>
          <w:tab w:pos="793" w:val="left" w:leader="none"/>
          <w:tab w:pos="797" w:val="left" w:leader="none"/>
        </w:tabs>
        <w:spacing w:line="232" w:lineRule="auto" w:before="150" w:after="0"/>
        <w:ind w:left="797" w:right="122" w:hanging="505"/>
        <w:jc w:val="both"/>
        <w:rPr>
          <w:sz w:val="20"/>
        </w:rPr>
      </w:pPr>
      <w:r>
        <w:rPr>
          <w:color w:val="231F1F"/>
          <w:w w:val="110"/>
          <w:sz w:val="20"/>
        </w:rPr>
        <w:t>Pratt</w:t>
      </w:r>
      <w:r>
        <w:rPr>
          <w:color w:val="231F1F"/>
          <w:spacing w:val="-7"/>
          <w:w w:val="110"/>
          <w:sz w:val="20"/>
        </w:rPr>
        <w:t> </w:t>
      </w:r>
      <w:r>
        <w:rPr>
          <w:color w:val="231F1F"/>
          <w:w w:val="110"/>
          <w:sz w:val="20"/>
        </w:rPr>
        <w:t>RJ,</w:t>
      </w:r>
      <w:r>
        <w:rPr>
          <w:color w:val="231F1F"/>
          <w:spacing w:val="-7"/>
          <w:w w:val="110"/>
          <w:sz w:val="20"/>
        </w:rPr>
        <w:t> </w:t>
      </w:r>
      <w:r>
        <w:rPr>
          <w:color w:val="231F1F"/>
          <w:w w:val="110"/>
          <w:sz w:val="20"/>
        </w:rPr>
        <w:t>Pellowe</w:t>
      </w:r>
      <w:r>
        <w:rPr>
          <w:color w:val="231F1F"/>
          <w:spacing w:val="-5"/>
          <w:w w:val="110"/>
          <w:sz w:val="20"/>
        </w:rPr>
        <w:t> </w:t>
      </w:r>
      <w:r>
        <w:rPr>
          <w:color w:val="231F1F"/>
          <w:w w:val="110"/>
          <w:sz w:val="20"/>
        </w:rPr>
        <w:t>C,</w:t>
      </w:r>
      <w:r>
        <w:rPr>
          <w:color w:val="231F1F"/>
          <w:spacing w:val="-7"/>
          <w:w w:val="110"/>
          <w:sz w:val="20"/>
        </w:rPr>
        <w:t> </w:t>
      </w:r>
      <w:r>
        <w:rPr>
          <w:color w:val="231F1F"/>
          <w:w w:val="110"/>
          <w:sz w:val="20"/>
        </w:rPr>
        <w:t>Loveday</w:t>
      </w:r>
      <w:r>
        <w:rPr>
          <w:color w:val="231F1F"/>
          <w:spacing w:val="-5"/>
          <w:w w:val="110"/>
          <w:sz w:val="20"/>
        </w:rPr>
        <w:t> </w:t>
      </w:r>
      <w:r>
        <w:rPr>
          <w:color w:val="231F1F"/>
          <w:w w:val="110"/>
          <w:sz w:val="20"/>
        </w:rPr>
        <w:t>HP,</w:t>
      </w:r>
      <w:r>
        <w:rPr>
          <w:color w:val="231F1F"/>
          <w:spacing w:val="-7"/>
          <w:w w:val="110"/>
          <w:sz w:val="20"/>
        </w:rPr>
        <w:t> </w:t>
      </w:r>
      <w:r>
        <w:rPr>
          <w:color w:val="231F1F"/>
          <w:w w:val="110"/>
          <w:sz w:val="20"/>
        </w:rPr>
        <w:t>Robinson</w:t>
      </w:r>
      <w:r>
        <w:rPr>
          <w:color w:val="231F1F"/>
          <w:spacing w:val="-6"/>
          <w:w w:val="110"/>
          <w:sz w:val="20"/>
        </w:rPr>
        <w:t> </w:t>
      </w:r>
      <w:r>
        <w:rPr>
          <w:color w:val="231F1F"/>
          <w:w w:val="110"/>
          <w:sz w:val="20"/>
        </w:rPr>
        <w:t>N,</w:t>
      </w:r>
      <w:r>
        <w:rPr>
          <w:color w:val="231F1F"/>
          <w:spacing w:val="-7"/>
          <w:w w:val="110"/>
          <w:sz w:val="20"/>
        </w:rPr>
        <w:t> </w:t>
      </w:r>
      <w:r>
        <w:rPr>
          <w:color w:val="231F1F"/>
          <w:w w:val="110"/>
          <w:sz w:val="20"/>
        </w:rPr>
        <w:t>epic</w:t>
      </w:r>
      <w:r>
        <w:rPr>
          <w:color w:val="231F1F"/>
          <w:spacing w:val="-5"/>
          <w:w w:val="110"/>
          <w:sz w:val="20"/>
        </w:rPr>
        <w:t> </w:t>
      </w:r>
      <w:r>
        <w:rPr>
          <w:color w:val="231F1F"/>
          <w:w w:val="110"/>
          <w:sz w:val="20"/>
        </w:rPr>
        <w:t>phase</w:t>
      </w:r>
      <w:r>
        <w:rPr>
          <w:color w:val="231F1F"/>
          <w:spacing w:val="-5"/>
          <w:w w:val="110"/>
          <w:sz w:val="20"/>
        </w:rPr>
        <w:t> </w:t>
      </w:r>
      <w:r>
        <w:rPr>
          <w:color w:val="231F1F"/>
          <w:w w:val="110"/>
          <w:sz w:val="20"/>
        </w:rPr>
        <w:t>1.</w:t>
      </w:r>
      <w:r>
        <w:rPr>
          <w:color w:val="231F1F"/>
          <w:spacing w:val="-8"/>
          <w:w w:val="110"/>
          <w:sz w:val="20"/>
        </w:rPr>
        <w:t> </w:t>
      </w:r>
      <w:r>
        <w:rPr>
          <w:color w:val="231F1F"/>
          <w:w w:val="110"/>
          <w:sz w:val="20"/>
        </w:rPr>
        <w:t>The</w:t>
      </w:r>
      <w:r>
        <w:rPr>
          <w:color w:val="231F1F"/>
          <w:spacing w:val="-5"/>
          <w:w w:val="110"/>
          <w:sz w:val="20"/>
        </w:rPr>
        <w:t> </w:t>
      </w:r>
      <w:r>
        <w:rPr>
          <w:color w:val="231F1F"/>
          <w:w w:val="110"/>
          <w:sz w:val="20"/>
        </w:rPr>
        <w:t>Development</w:t>
      </w:r>
      <w:r>
        <w:rPr>
          <w:color w:val="231F1F"/>
          <w:spacing w:val="-5"/>
          <w:w w:val="110"/>
          <w:sz w:val="20"/>
        </w:rPr>
        <w:t> </w:t>
      </w:r>
      <w:r>
        <w:rPr>
          <w:color w:val="231F1F"/>
          <w:w w:val="110"/>
          <w:sz w:val="20"/>
        </w:rPr>
        <w:t>of</w:t>
      </w:r>
      <w:r>
        <w:rPr>
          <w:color w:val="231F1F"/>
          <w:spacing w:val="-5"/>
          <w:w w:val="110"/>
          <w:sz w:val="20"/>
        </w:rPr>
        <w:t> </w:t>
      </w:r>
      <w:r>
        <w:rPr>
          <w:color w:val="231F1F"/>
          <w:w w:val="110"/>
          <w:sz w:val="20"/>
        </w:rPr>
        <w:t>National </w:t>
      </w:r>
      <w:r>
        <w:rPr>
          <w:color w:val="231F1F"/>
          <w:spacing w:val="-2"/>
          <w:w w:val="110"/>
          <w:sz w:val="20"/>
        </w:rPr>
        <w:t>Evidence-based</w:t>
      </w:r>
      <w:r>
        <w:rPr>
          <w:color w:val="231F1F"/>
          <w:spacing w:val="-4"/>
          <w:w w:val="110"/>
          <w:sz w:val="20"/>
        </w:rPr>
        <w:t> </w:t>
      </w:r>
      <w:r>
        <w:rPr>
          <w:color w:val="231F1F"/>
          <w:spacing w:val="-2"/>
          <w:w w:val="110"/>
          <w:sz w:val="20"/>
        </w:rPr>
        <w:t>Guidelines</w:t>
      </w:r>
      <w:r>
        <w:rPr>
          <w:color w:val="231F1F"/>
          <w:spacing w:val="-5"/>
          <w:w w:val="110"/>
          <w:sz w:val="20"/>
        </w:rPr>
        <w:t> </w:t>
      </w:r>
      <w:r>
        <w:rPr>
          <w:color w:val="231F1F"/>
          <w:spacing w:val="-2"/>
          <w:w w:val="110"/>
          <w:sz w:val="20"/>
        </w:rPr>
        <w:t>for</w:t>
      </w:r>
      <w:r>
        <w:rPr>
          <w:color w:val="231F1F"/>
          <w:spacing w:val="-4"/>
          <w:w w:val="110"/>
          <w:sz w:val="20"/>
        </w:rPr>
        <w:t> </w:t>
      </w:r>
      <w:r>
        <w:rPr>
          <w:color w:val="231F1F"/>
          <w:spacing w:val="-2"/>
          <w:w w:val="110"/>
          <w:sz w:val="20"/>
        </w:rPr>
        <w:t>Preventing</w:t>
      </w:r>
      <w:r>
        <w:rPr>
          <w:color w:val="231F1F"/>
          <w:spacing w:val="-5"/>
          <w:w w:val="110"/>
          <w:sz w:val="20"/>
        </w:rPr>
        <w:t> </w:t>
      </w:r>
      <w:r>
        <w:rPr>
          <w:color w:val="231F1F"/>
          <w:spacing w:val="-2"/>
          <w:w w:val="110"/>
          <w:sz w:val="20"/>
        </w:rPr>
        <w:t>Hospital-acquired</w:t>
      </w:r>
      <w:r>
        <w:rPr>
          <w:color w:val="231F1F"/>
          <w:spacing w:val="-5"/>
          <w:w w:val="110"/>
          <w:sz w:val="20"/>
        </w:rPr>
        <w:t> </w:t>
      </w:r>
      <w:r>
        <w:rPr>
          <w:color w:val="231F1F"/>
          <w:spacing w:val="-2"/>
          <w:w w:val="110"/>
          <w:sz w:val="20"/>
        </w:rPr>
        <w:t>Infections</w:t>
      </w:r>
      <w:r>
        <w:rPr>
          <w:color w:val="231F1F"/>
          <w:spacing w:val="-4"/>
          <w:w w:val="110"/>
          <w:sz w:val="20"/>
        </w:rPr>
        <w:t> </w:t>
      </w:r>
      <w:r>
        <w:rPr>
          <w:color w:val="231F1F"/>
          <w:spacing w:val="-2"/>
          <w:w w:val="110"/>
          <w:sz w:val="20"/>
        </w:rPr>
        <w:t>in</w:t>
      </w:r>
      <w:r>
        <w:rPr>
          <w:color w:val="231F1F"/>
          <w:spacing w:val="-5"/>
          <w:w w:val="110"/>
          <w:sz w:val="20"/>
        </w:rPr>
        <w:t> </w:t>
      </w:r>
      <w:r>
        <w:rPr>
          <w:color w:val="231F1F"/>
          <w:spacing w:val="-2"/>
          <w:w w:val="110"/>
          <w:sz w:val="20"/>
        </w:rPr>
        <w:t>England-Standard </w:t>
      </w:r>
      <w:r>
        <w:rPr>
          <w:color w:val="231F1F"/>
          <w:w w:val="110"/>
          <w:sz w:val="20"/>
        </w:rPr>
        <w:t>Principles:</w:t>
      </w:r>
      <w:r>
        <w:rPr>
          <w:color w:val="231F1F"/>
          <w:spacing w:val="-13"/>
          <w:w w:val="110"/>
          <w:sz w:val="20"/>
        </w:rPr>
        <w:t> </w:t>
      </w:r>
      <w:r>
        <w:rPr>
          <w:color w:val="231F1F"/>
          <w:w w:val="110"/>
          <w:sz w:val="20"/>
        </w:rPr>
        <w:t>Technical Report. London:</w:t>
      </w:r>
      <w:r>
        <w:rPr>
          <w:color w:val="231F1F"/>
          <w:spacing w:val="-10"/>
          <w:w w:val="110"/>
          <w:sz w:val="20"/>
        </w:rPr>
        <w:t> </w:t>
      </w:r>
      <w:r>
        <w:rPr>
          <w:color w:val="231F1F"/>
          <w:w w:val="110"/>
          <w:sz w:val="20"/>
        </w:rPr>
        <w:t>Thames Valley University 2000;191p.</w:t>
      </w:r>
    </w:p>
    <w:p>
      <w:pPr>
        <w:pStyle w:val="ListParagraph"/>
        <w:numPr>
          <w:ilvl w:val="0"/>
          <w:numId w:val="109"/>
        </w:numPr>
        <w:tabs>
          <w:tab w:pos="793" w:val="left" w:leader="none"/>
          <w:tab w:pos="797" w:val="left" w:leader="none"/>
        </w:tabs>
        <w:spacing w:line="220" w:lineRule="auto" w:before="165" w:after="0"/>
        <w:ind w:left="797" w:right="121" w:hanging="524"/>
        <w:jc w:val="both"/>
        <w:rPr>
          <w:sz w:val="20"/>
        </w:rPr>
      </w:pPr>
      <w:r>
        <w:rPr>
          <w:color w:val="231F1F"/>
          <w:w w:val="110"/>
          <w:position w:val="1"/>
          <w:sz w:val="20"/>
        </w:rPr>
        <w:t>Garner JS. The Hospital Infection Control Practices Advisory Committee: Guidelines for </w:t>
      </w:r>
      <w:r>
        <w:rPr>
          <w:color w:val="231F1F"/>
          <w:w w:val="110"/>
          <w:sz w:val="20"/>
        </w:rPr>
        <w:t>Isolation</w:t>
      </w:r>
      <w:r>
        <w:rPr>
          <w:color w:val="231F1F"/>
          <w:spacing w:val="-4"/>
          <w:w w:val="110"/>
          <w:sz w:val="20"/>
        </w:rPr>
        <w:t> </w:t>
      </w:r>
      <w:r>
        <w:rPr>
          <w:color w:val="231F1F"/>
          <w:w w:val="110"/>
          <w:sz w:val="20"/>
        </w:rPr>
        <w:t>Precaution</w:t>
      </w:r>
      <w:r>
        <w:rPr>
          <w:color w:val="231F1F"/>
          <w:spacing w:val="-4"/>
          <w:w w:val="110"/>
          <w:sz w:val="20"/>
        </w:rPr>
        <w:t> </w:t>
      </w:r>
      <w:r>
        <w:rPr>
          <w:color w:val="231F1F"/>
          <w:w w:val="110"/>
          <w:sz w:val="20"/>
        </w:rPr>
        <w:t>in</w:t>
      </w:r>
      <w:r>
        <w:rPr>
          <w:color w:val="231F1F"/>
          <w:spacing w:val="-4"/>
          <w:w w:val="110"/>
          <w:sz w:val="20"/>
        </w:rPr>
        <w:t> </w:t>
      </w:r>
      <w:r>
        <w:rPr>
          <w:color w:val="231F1F"/>
          <w:w w:val="110"/>
          <w:sz w:val="20"/>
        </w:rPr>
        <w:t>Hospitals.</w:t>
      </w:r>
      <w:r>
        <w:rPr>
          <w:color w:val="231F1F"/>
          <w:spacing w:val="-6"/>
          <w:w w:val="110"/>
          <w:sz w:val="20"/>
        </w:rPr>
        <w:t> </w:t>
      </w:r>
      <w:r>
        <w:rPr>
          <w:color w:val="231F1F"/>
          <w:w w:val="110"/>
          <w:sz w:val="20"/>
        </w:rPr>
        <w:t>Infection</w:t>
      </w:r>
      <w:r>
        <w:rPr>
          <w:color w:val="231F1F"/>
          <w:spacing w:val="-4"/>
          <w:w w:val="110"/>
          <w:sz w:val="20"/>
        </w:rPr>
        <w:t> </w:t>
      </w:r>
      <w:r>
        <w:rPr>
          <w:color w:val="231F1F"/>
          <w:w w:val="110"/>
          <w:sz w:val="20"/>
        </w:rPr>
        <w:t>Control</w:t>
      </w:r>
      <w:r>
        <w:rPr>
          <w:color w:val="231F1F"/>
          <w:spacing w:val="-4"/>
          <w:w w:val="110"/>
          <w:sz w:val="20"/>
        </w:rPr>
        <w:t> </w:t>
      </w:r>
      <w:r>
        <w:rPr>
          <w:color w:val="231F1F"/>
          <w:w w:val="110"/>
          <w:sz w:val="20"/>
        </w:rPr>
        <w:t>Hospital</w:t>
      </w:r>
      <w:r>
        <w:rPr>
          <w:color w:val="231F1F"/>
          <w:spacing w:val="-4"/>
          <w:w w:val="110"/>
          <w:sz w:val="20"/>
        </w:rPr>
        <w:t> </w:t>
      </w:r>
      <w:r>
        <w:rPr>
          <w:color w:val="231F1F"/>
          <w:w w:val="110"/>
          <w:sz w:val="20"/>
        </w:rPr>
        <w:t>Epidemiology</w:t>
      </w:r>
      <w:r>
        <w:rPr>
          <w:color w:val="231F1F"/>
          <w:spacing w:val="-4"/>
          <w:w w:val="110"/>
          <w:sz w:val="20"/>
        </w:rPr>
        <w:t> </w:t>
      </w:r>
      <w:r>
        <w:rPr>
          <w:color w:val="231F1F"/>
          <w:w w:val="110"/>
          <w:sz w:val="20"/>
        </w:rPr>
        <w:t>1996;17(1):53- </w:t>
      </w:r>
      <w:r>
        <w:rPr>
          <w:color w:val="231F1F"/>
          <w:spacing w:val="-4"/>
          <w:w w:val="110"/>
          <w:sz w:val="20"/>
        </w:rPr>
        <w:t>80.</w:t>
      </w:r>
    </w:p>
    <w:p>
      <w:pPr>
        <w:pStyle w:val="ListParagraph"/>
        <w:numPr>
          <w:ilvl w:val="0"/>
          <w:numId w:val="109"/>
        </w:numPr>
        <w:tabs>
          <w:tab w:pos="794" w:val="left" w:leader="none"/>
          <w:tab w:pos="798" w:val="left" w:leader="none"/>
        </w:tabs>
        <w:spacing w:line="211" w:lineRule="auto" w:before="183" w:after="0"/>
        <w:ind w:left="798" w:right="304" w:hanging="505"/>
        <w:jc w:val="both"/>
        <w:rPr>
          <w:sz w:val="20"/>
        </w:rPr>
      </w:pPr>
      <w:r>
        <w:rPr>
          <w:color w:val="231F1F"/>
          <w:w w:val="105"/>
          <w:position w:val="1"/>
          <w:sz w:val="20"/>
        </w:rPr>
        <w:t>Clark L, Smith W, Young L. Protective Clothing; Principles and Guidance. London: ICNA </w:t>
      </w:r>
      <w:r>
        <w:rPr>
          <w:color w:val="231F1F"/>
          <w:spacing w:val="-2"/>
          <w:w w:val="105"/>
          <w:sz w:val="20"/>
        </w:rPr>
        <w:t>2002;39p.</w:t>
      </w:r>
    </w:p>
    <w:p>
      <w:pPr>
        <w:pStyle w:val="ListParagraph"/>
        <w:numPr>
          <w:ilvl w:val="0"/>
          <w:numId w:val="109"/>
        </w:numPr>
        <w:tabs>
          <w:tab w:pos="793" w:val="left" w:leader="none"/>
          <w:tab w:pos="797" w:val="left" w:leader="none"/>
        </w:tabs>
        <w:spacing w:line="211" w:lineRule="auto" w:before="176" w:after="0"/>
        <w:ind w:left="797" w:right="175" w:hanging="505"/>
        <w:jc w:val="both"/>
        <w:rPr>
          <w:sz w:val="20"/>
        </w:rPr>
      </w:pPr>
      <w:r>
        <w:rPr>
          <w:color w:val="231F1F"/>
          <w:spacing w:val="-2"/>
          <w:w w:val="110"/>
          <w:position w:val="1"/>
          <w:sz w:val="20"/>
        </w:rPr>
        <w:t>Godin</w:t>
      </w:r>
      <w:r>
        <w:rPr>
          <w:color w:val="231F1F"/>
          <w:spacing w:val="-12"/>
          <w:w w:val="110"/>
          <w:position w:val="1"/>
          <w:sz w:val="20"/>
        </w:rPr>
        <w:t> </w:t>
      </w:r>
      <w:r>
        <w:rPr>
          <w:color w:val="231F1F"/>
          <w:spacing w:val="-2"/>
          <w:w w:val="110"/>
          <w:position w:val="1"/>
          <w:sz w:val="20"/>
        </w:rPr>
        <w:t>G,</w:t>
      </w:r>
      <w:r>
        <w:rPr>
          <w:color w:val="231F1F"/>
          <w:spacing w:val="-12"/>
          <w:w w:val="110"/>
          <w:position w:val="1"/>
          <w:sz w:val="20"/>
        </w:rPr>
        <w:t> </w:t>
      </w:r>
      <w:r>
        <w:rPr>
          <w:color w:val="231F1F"/>
          <w:spacing w:val="-2"/>
          <w:w w:val="110"/>
          <w:position w:val="1"/>
          <w:sz w:val="20"/>
        </w:rPr>
        <w:t>Naccache</w:t>
      </w:r>
      <w:r>
        <w:rPr>
          <w:color w:val="231F1F"/>
          <w:spacing w:val="-12"/>
          <w:w w:val="110"/>
          <w:position w:val="1"/>
          <w:sz w:val="20"/>
        </w:rPr>
        <w:t> </w:t>
      </w:r>
      <w:r>
        <w:rPr>
          <w:color w:val="231F1F"/>
          <w:spacing w:val="-2"/>
          <w:w w:val="110"/>
          <w:position w:val="1"/>
          <w:sz w:val="20"/>
        </w:rPr>
        <w:t>H,</w:t>
      </w:r>
      <w:r>
        <w:rPr>
          <w:color w:val="231F1F"/>
          <w:spacing w:val="-11"/>
          <w:w w:val="110"/>
          <w:position w:val="1"/>
          <w:sz w:val="20"/>
        </w:rPr>
        <w:t> </w:t>
      </w:r>
      <w:r>
        <w:rPr>
          <w:color w:val="231F1F"/>
          <w:spacing w:val="-2"/>
          <w:w w:val="110"/>
          <w:position w:val="1"/>
          <w:sz w:val="20"/>
        </w:rPr>
        <w:t>Fortin</w:t>
      </w:r>
      <w:r>
        <w:rPr>
          <w:color w:val="231F1F"/>
          <w:spacing w:val="-12"/>
          <w:w w:val="110"/>
          <w:position w:val="1"/>
          <w:sz w:val="20"/>
        </w:rPr>
        <w:t> </w:t>
      </w:r>
      <w:r>
        <w:rPr>
          <w:color w:val="231F1F"/>
          <w:spacing w:val="-2"/>
          <w:w w:val="110"/>
          <w:position w:val="1"/>
          <w:sz w:val="20"/>
        </w:rPr>
        <w:t>C.</w:t>
      </w:r>
      <w:r>
        <w:rPr>
          <w:color w:val="231F1F"/>
          <w:spacing w:val="-12"/>
          <w:w w:val="110"/>
          <w:position w:val="1"/>
          <w:sz w:val="20"/>
        </w:rPr>
        <w:t> </w:t>
      </w:r>
      <w:r>
        <w:rPr>
          <w:color w:val="231F1F"/>
          <w:spacing w:val="-2"/>
          <w:w w:val="110"/>
          <w:position w:val="1"/>
          <w:sz w:val="20"/>
        </w:rPr>
        <w:t>Understanding</w:t>
      </w:r>
      <w:r>
        <w:rPr>
          <w:color w:val="231F1F"/>
          <w:spacing w:val="-12"/>
          <w:w w:val="110"/>
          <w:position w:val="1"/>
          <w:sz w:val="20"/>
        </w:rPr>
        <w:t> </w:t>
      </w:r>
      <w:r>
        <w:rPr>
          <w:color w:val="231F1F"/>
          <w:spacing w:val="-2"/>
          <w:w w:val="110"/>
          <w:position w:val="1"/>
          <w:sz w:val="20"/>
        </w:rPr>
        <w:t>physicians</w:t>
      </w:r>
      <w:r>
        <w:rPr>
          <w:color w:val="231F1F"/>
          <w:spacing w:val="-11"/>
          <w:w w:val="110"/>
          <w:position w:val="1"/>
          <w:sz w:val="20"/>
        </w:rPr>
        <w:t> </w:t>
      </w:r>
      <w:r>
        <w:rPr>
          <w:color w:val="231F1F"/>
          <w:spacing w:val="-2"/>
          <w:w w:val="110"/>
          <w:position w:val="1"/>
          <w:sz w:val="20"/>
        </w:rPr>
        <w:t>intention</w:t>
      </w:r>
      <w:r>
        <w:rPr>
          <w:color w:val="231F1F"/>
          <w:spacing w:val="-12"/>
          <w:w w:val="110"/>
          <w:position w:val="1"/>
          <w:sz w:val="20"/>
        </w:rPr>
        <w:t> </w:t>
      </w:r>
      <w:r>
        <w:rPr>
          <w:color w:val="231F1F"/>
          <w:spacing w:val="-2"/>
          <w:w w:val="110"/>
          <w:position w:val="1"/>
          <w:sz w:val="20"/>
        </w:rPr>
        <w:t>to</w:t>
      </w:r>
      <w:r>
        <w:rPr>
          <w:color w:val="231F1F"/>
          <w:spacing w:val="-11"/>
          <w:w w:val="110"/>
          <w:position w:val="1"/>
          <w:sz w:val="20"/>
        </w:rPr>
        <w:t> </w:t>
      </w:r>
      <w:r>
        <w:rPr>
          <w:color w:val="231F1F"/>
          <w:spacing w:val="-2"/>
          <w:w w:val="110"/>
          <w:position w:val="1"/>
          <w:sz w:val="20"/>
        </w:rPr>
        <w:t>use</w:t>
      </w:r>
      <w:r>
        <w:rPr>
          <w:color w:val="231F1F"/>
          <w:spacing w:val="-12"/>
          <w:w w:val="110"/>
          <w:position w:val="1"/>
          <w:sz w:val="20"/>
        </w:rPr>
        <w:t> </w:t>
      </w:r>
      <w:r>
        <w:rPr>
          <w:color w:val="231F1F"/>
          <w:spacing w:val="-2"/>
          <w:w w:val="110"/>
          <w:position w:val="1"/>
          <w:sz w:val="20"/>
        </w:rPr>
        <w:t>a</w:t>
      </w:r>
      <w:r>
        <w:rPr>
          <w:color w:val="231F1F"/>
          <w:spacing w:val="-12"/>
          <w:w w:val="110"/>
          <w:position w:val="1"/>
          <w:sz w:val="20"/>
        </w:rPr>
        <w:t> </w:t>
      </w:r>
      <w:r>
        <w:rPr>
          <w:color w:val="231F1F"/>
          <w:spacing w:val="-2"/>
          <w:w w:val="110"/>
          <w:position w:val="1"/>
          <w:sz w:val="20"/>
        </w:rPr>
        <w:t>simple</w:t>
      </w:r>
      <w:r>
        <w:rPr>
          <w:color w:val="231F1F"/>
          <w:spacing w:val="-12"/>
          <w:w w:val="110"/>
          <w:position w:val="1"/>
          <w:sz w:val="20"/>
        </w:rPr>
        <w:t> </w:t>
      </w:r>
      <w:r>
        <w:rPr>
          <w:color w:val="231F1F"/>
          <w:spacing w:val="-2"/>
          <w:w w:val="110"/>
          <w:position w:val="1"/>
          <w:sz w:val="20"/>
        </w:rPr>
        <w:t>infection </w:t>
      </w:r>
      <w:r>
        <w:rPr>
          <w:color w:val="231F1F"/>
          <w:w w:val="110"/>
          <w:sz w:val="20"/>
        </w:rPr>
        <w:t>control measure:</w:t>
      </w:r>
      <w:r>
        <w:rPr>
          <w:color w:val="231F1F"/>
          <w:spacing w:val="-20"/>
          <w:w w:val="110"/>
          <w:sz w:val="20"/>
        </w:rPr>
        <w:t> </w:t>
      </w:r>
      <w:r>
        <w:rPr>
          <w:color w:val="231F1F"/>
          <w:w w:val="110"/>
          <w:sz w:val="20"/>
        </w:rPr>
        <w:t>Wearing gloves.</w:t>
      </w:r>
      <w:r>
        <w:rPr>
          <w:color w:val="231F1F"/>
          <w:spacing w:val="-20"/>
          <w:w w:val="110"/>
          <w:sz w:val="20"/>
        </w:rPr>
        <w:t> </w:t>
      </w:r>
      <w:r>
        <w:rPr>
          <w:color w:val="231F1F"/>
          <w:w w:val="110"/>
          <w:sz w:val="20"/>
        </w:rPr>
        <w:t>Am J Infect Control 1998;26(4):413-7.</w:t>
      </w:r>
    </w:p>
    <w:p>
      <w:pPr>
        <w:pStyle w:val="ListParagraph"/>
        <w:numPr>
          <w:ilvl w:val="0"/>
          <w:numId w:val="109"/>
        </w:numPr>
        <w:tabs>
          <w:tab w:pos="793" w:val="left" w:leader="none"/>
          <w:tab w:pos="797" w:val="left" w:leader="none"/>
        </w:tabs>
        <w:spacing w:line="220" w:lineRule="auto" w:before="188" w:after="0"/>
        <w:ind w:left="797" w:right="218" w:hanging="502"/>
        <w:jc w:val="both"/>
        <w:rPr>
          <w:sz w:val="20"/>
        </w:rPr>
      </w:pPr>
      <w:r>
        <w:rPr>
          <w:color w:val="231F1F"/>
          <w:w w:val="110"/>
          <w:sz w:val="20"/>
        </w:rPr>
        <w:t>Kearns HPO, Burke FJT, Cheung S-W. Cross-infection control in dental practice in the Republic of Ireland. Int Dent J 2001;51(17):22.</w:t>
      </w:r>
    </w:p>
    <w:p>
      <w:pPr>
        <w:pStyle w:val="ListParagraph"/>
        <w:numPr>
          <w:ilvl w:val="0"/>
          <w:numId w:val="109"/>
        </w:numPr>
        <w:tabs>
          <w:tab w:pos="793" w:val="left" w:leader="none"/>
          <w:tab w:pos="797" w:val="left" w:leader="none"/>
        </w:tabs>
        <w:spacing w:line="220" w:lineRule="auto" w:before="167" w:after="0"/>
        <w:ind w:left="797" w:right="116" w:hanging="509"/>
        <w:jc w:val="both"/>
        <w:rPr>
          <w:sz w:val="20"/>
        </w:rPr>
      </w:pPr>
      <w:r>
        <w:rPr>
          <w:color w:val="231F1F"/>
          <w:w w:val="110"/>
          <w:position w:val="1"/>
          <w:sz w:val="20"/>
        </w:rPr>
        <w:t>Expert</w:t>
      </w:r>
      <w:r>
        <w:rPr>
          <w:color w:val="231F1F"/>
          <w:w w:val="110"/>
          <w:position w:val="1"/>
          <w:sz w:val="20"/>
        </w:rPr>
        <w:t> Advisory</w:t>
      </w:r>
      <w:r>
        <w:rPr>
          <w:color w:val="231F1F"/>
          <w:w w:val="110"/>
          <w:position w:val="1"/>
          <w:sz w:val="20"/>
        </w:rPr>
        <w:t> Group</w:t>
      </w:r>
      <w:r>
        <w:rPr>
          <w:color w:val="231F1F"/>
          <w:w w:val="110"/>
          <w:position w:val="1"/>
          <w:sz w:val="20"/>
        </w:rPr>
        <w:t> on</w:t>
      </w:r>
      <w:r>
        <w:rPr>
          <w:color w:val="231F1F"/>
          <w:w w:val="110"/>
          <w:position w:val="1"/>
          <w:sz w:val="20"/>
        </w:rPr>
        <w:t> AIDS</w:t>
      </w:r>
      <w:r>
        <w:rPr>
          <w:color w:val="231F1F"/>
          <w:w w:val="110"/>
          <w:position w:val="1"/>
          <w:sz w:val="20"/>
        </w:rPr>
        <w:t> and</w:t>
      </w:r>
      <w:r>
        <w:rPr>
          <w:color w:val="231F1F"/>
          <w:w w:val="110"/>
          <w:position w:val="1"/>
          <w:sz w:val="20"/>
        </w:rPr>
        <w:t> the</w:t>
      </w:r>
      <w:r>
        <w:rPr>
          <w:color w:val="231F1F"/>
          <w:w w:val="110"/>
          <w:position w:val="1"/>
          <w:sz w:val="20"/>
        </w:rPr>
        <w:t> Advisory</w:t>
      </w:r>
      <w:r>
        <w:rPr>
          <w:color w:val="231F1F"/>
          <w:w w:val="110"/>
          <w:position w:val="1"/>
          <w:sz w:val="20"/>
        </w:rPr>
        <w:t> Group</w:t>
      </w:r>
      <w:r>
        <w:rPr>
          <w:color w:val="231F1F"/>
          <w:w w:val="110"/>
          <w:position w:val="1"/>
          <w:sz w:val="20"/>
        </w:rPr>
        <w:t> on</w:t>
      </w:r>
      <w:r>
        <w:rPr>
          <w:color w:val="231F1F"/>
          <w:w w:val="110"/>
          <w:position w:val="1"/>
          <w:sz w:val="20"/>
        </w:rPr>
        <w:t> Hepatitis.</w:t>
      </w:r>
      <w:r>
        <w:rPr>
          <w:color w:val="231F1F"/>
          <w:w w:val="110"/>
          <w:position w:val="1"/>
          <w:sz w:val="20"/>
        </w:rPr>
        <w:t> Guidance</w:t>
      </w:r>
      <w:r>
        <w:rPr>
          <w:color w:val="231F1F"/>
          <w:w w:val="110"/>
          <w:position w:val="1"/>
          <w:sz w:val="20"/>
        </w:rPr>
        <w:t> for </w:t>
      </w:r>
      <w:r>
        <w:rPr>
          <w:color w:val="231F1F"/>
          <w:w w:val="110"/>
          <w:sz w:val="20"/>
        </w:rPr>
        <w:t>clinical</w:t>
      </w:r>
      <w:r>
        <w:rPr>
          <w:color w:val="231F1F"/>
          <w:spacing w:val="-11"/>
          <w:w w:val="110"/>
          <w:sz w:val="20"/>
        </w:rPr>
        <w:t> </w:t>
      </w:r>
      <w:r>
        <w:rPr>
          <w:color w:val="231F1F"/>
          <w:w w:val="110"/>
          <w:sz w:val="20"/>
        </w:rPr>
        <w:t>health</w:t>
      </w:r>
      <w:r>
        <w:rPr>
          <w:color w:val="231F1F"/>
          <w:spacing w:val="-10"/>
          <w:w w:val="110"/>
          <w:sz w:val="20"/>
        </w:rPr>
        <w:t> </w:t>
      </w:r>
      <w:r>
        <w:rPr>
          <w:color w:val="231F1F"/>
          <w:w w:val="110"/>
          <w:sz w:val="20"/>
        </w:rPr>
        <w:t>care</w:t>
      </w:r>
      <w:r>
        <w:rPr>
          <w:color w:val="231F1F"/>
          <w:spacing w:val="-10"/>
          <w:w w:val="110"/>
          <w:sz w:val="20"/>
        </w:rPr>
        <w:t> </w:t>
      </w:r>
      <w:r>
        <w:rPr>
          <w:color w:val="231F1F"/>
          <w:w w:val="110"/>
          <w:sz w:val="20"/>
        </w:rPr>
        <w:t>workers:</w:t>
      </w:r>
      <w:r>
        <w:rPr>
          <w:color w:val="231F1F"/>
          <w:spacing w:val="-10"/>
          <w:w w:val="110"/>
          <w:sz w:val="20"/>
        </w:rPr>
        <w:t> </w:t>
      </w:r>
      <w:r>
        <w:rPr>
          <w:color w:val="231F1F"/>
          <w:w w:val="110"/>
          <w:sz w:val="20"/>
        </w:rPr>
        <w:t>Protection</w:t>
      </w:r>
      <w:r>
        <w:rPr>
          <w:color w:val="231F1F"/>
          <w:spacing w:val="-10"/>
          <w:w w:val="110"/>
          <w:sz w:val="20"/>
        </w:rPr>
        <w:t> </w:t>
      </w:r>
      <w:r>
        <w:rPr>
          <w:color w:val="231F1F"/>
          <w:w w:val="110"/>
          <w:sz w:val="20"/>
        </w:rPr>
        <w:t>against</w:t>
      </w:r>
      <w:r>
        <w:rPr>
          <w:color w:val="231F1F"/>
          <w:spacing w:val="-10"/>
          <w:w w:val="110"/>
          <w:sz w:val="20"/>
        </w:rPr>
        <w:t> </w:t>
      </w:r>
      <w:r>
        <w:rPr>
          <w:color w:val="231F1F"/>
          <w:w w:val="110"/>
          <w:sz w:val="20"/>
        </w:rPr>
        <w:t>infection</w:t>
      </w:r>
      <w:r>
        <w:rPr>
          <w:color w:val="231F1F"/>
          <w:spacing w:val="-10"/>
          <w:w w:val="110"/>
          <w:sz w:val="20"/>
        </w:rPr>
        <w:t> </w:t>
      </w:r>
      <w:r>
        <w:rPr>
          <w:color w:val="231F1F"/>
          <w:w w:val="110"/>
          <w:sz w:val="20"/>
        </w:rPr>
        <w:t>with</w:t>
      </w:r>
      <w:r>
        <w:rPr>
          <w:color w:val="231F1F"/>
          <w:spacing w:val="-10"/>
          <w:w w:val="110"/>
          <w:sz w:val="20"/>
        </w:rPr>
        <w:t> </w:t>
      </w:r>
      <w:r>
        <w:rPr>
          <w:color w:val="231F1F"/>
          <w:w w:val="110"/>
          <w:sz w:val="20"/>
        </w:rPr>
        <w:t>blood-borne</w:t>
      </w:r>
      <w:r>
        <w:rPr>
          <w:color w:val="231F1F"/>
          <w:spacing w:val="-10"/>
          <w:w w:val="110"/>
          <w:sz w:val="20"/>
        </w:rPr>
        <w:t> </w:t>
      </w:r>
      <w:r>
        <w:rPr>
          <w:color w:val="231F1F"/>
          <w:w w:val="110"/>
          <w:sz w:val="20"/>
        </w:rPr>
        <w:t>viruses.</w:t>
      </w:r>
      <w:r>
        <w:rPr>
          <w:color w:val="231F1F"/>
          <w:spacing w:val="-11"/>
          <w:w w:val="110"/>
          <w:sz w:val="20"/>
        </w:rPr>
        <w:t> </w:t>
      </w:r>
      <w:r>
        <w:rPr>
          <w:color w:val="231F1F"/>
          <w:w w:val="110"/>
          <w:sz w:val="20"/>
        </w:rPr>
        <w:t>London: Departament of Health 1998;46p.</w:t>
      </w:r>
    </w:p>
    <w:p>
      <w:pPr>
        <w:pStyle w:val="ListParagraph"/>
        <w:numPr>
          <w:ilvl w:val="0"/>
          <w:numId w:val="109"/>
        </w:numPr>
        <w:tabs>
          <w:tab w:pos="793" w:val="left" w:leader="none"/>
          <w:tab w:pos="797" w:val="left" w:leader="none"/>
        </w:tabs>
        <w:spacing w:line="211" w:lineRule="auto" w:before="188" w:after="0"/>
        <w:ind w:left="797" w:right="170" w:hanging="502"/>
        <w:jc w:val="both"/>
        <w:rPr>
          <w:sz w:val="20"/>
        </w:rPr>
      </w:pPr>
      <w:r>
        <w:rPr>
          <w:color w:val="231F1F"/>
          <w:w w:val="110"/>
          <w:position w:val="1"/>
          <w:sz w:val="20"/>
        </w:rPr>
        <w:t>Centers</w:t>
      </w:r>
      <w:r>
        <w:rPr>
          <w:color w:val="231F1F"/>
          <w:spacing w:val="-4"/>
          <w:w w:val="110"/>
          <w:position w:val="1"/>
          <w:sz w:val="20"/>
        </w:rPr>
        <w:t> </w:t>
      </w:r>
      <w:r>
        <w:rPr>
          <w:color w:val="231F1F"/>
          <w:w w:val="110"/>
          <w:position w:val="1"/>
          <w:sz w:val="20"/>
        </w:rPr>
        <w:t>for</w:t>
      </w:r>
      <w:r>
        <w:rPr>
          <w:color w:val="231F1F"/>
          <w:spacing w:val="-4"/>
          <w:w w:val="110"/>
          <w:position w:val="1"/>
          <w:sz w:val="20"/>
        </w:rPr>
        <w:t> </w:t>
      </w:r>
      <w:r>
        <w:rPr>
          <w:color w:val="231F1F"/>
          <w:w w:val="110"/>
          <w:position w:val="1"/>
          <w:sz w:val="20"/>
        </w:rPr>
        <w:t>Disease</w:t>
      </w:r>
      <w:r>
        <w:rPr>
          <w:color w:val="231F1F"/>
          <w:spacing w:val="-4"/>
          <w:w w:val="110"/>
          <w:position w:val="1"/>
          <w:sz w:val="20"/>
        </w:rPr>
        <w:t> </w:t>
      </w:r>
      <w:r>
        <w:rPr>
          <w:color w:val="231F1F"/>
          <w:w w:val="110"/>
          <w:position w:val="1"/>
          <w:sz w:val="20"/>
        </w:rPr>
        <w:t>Control</w:t>
      </w:r>
      <w:r>
        <w:rPr>
          <w:color w:val="231F1F"/>
          <w:spacing w:val="-4"/>
          <w:w w:val="110"/>
          <w:position w:val="1"/>
          <w:sz w:val="20"/>
        </w:rPr>
        <w:t> </w:t>
      </w:r>
      <w:r>
        <w:rPr>
          <w:color w:val="231F1F"/>
          <w:w w:val="110"/>
          <w:position w:val="1"/>
          <w:sz w:val="20"/>
        </w:rPr>
        <w:t>Update.</w:t>
      </w:r>
      <w:r>
        <w:rPr>
          <w:color w:val="231F1F"/>
          <w:spacing w:val="-9"/>
          <w:w w:val="110"/>
          <w:position w:val="1"/>
          <w:sz w:val="20"/>
        </w:rPr>
        <w:t> </w:t>
      </w:r>
      <w:r>
        <w:rPr>
          <w:color w:val="231F1F"/>
          <w:w w:val="110"/>
          <w:position w:val="1"/>
          <w:sz w:val="20"/>
        </w:rPr>
        <w:t>Recommendation</w:t>
      </w:r>
      <w:r>
        <w:rPr>
          <w:color w:val="231F1F"/>
          <w:spacing w:val="-4"/>
          <w:w w:val="110"/>
          <w:position w:val="1"/>
          <w:sz w:val="20"/>
        </w:rPr>
        <w:t> </w:t>
      </w:r>
      <w:r>
        <w:rPr>
          <w:color w:val="231F1F"/>
          <w:w w:val="110"/>
          <w:position w:val="1"/>
          <w:sz w:val="20"/>
        </w:rPr>
        <w:t>for</w:t>
      </w:r>
      <w:r>
        <w:rPr>
          <w:color w:val="231F1F"/>
          <w:spacing w:val="-3"/>
          <w:w w:val="110"/>
          <w:position w:val="1"/>
          <w:sz w:val="20"/>
        </w:rPr>
        <w:t> </w:t>
      </w:r>
      <w:r>
        <w:rPr>
          <w:color w:val="231F1F"/>
          <w:w w:val="110"/>
          <w:position w:val="1"/>
          <w:sz w:val="20"/>
        </w:rPr>
        <w:t>prevention</w:t>
      </w:r>
      <w:r>
        <w:rPr>
          <w:color w:val="231F1F"/>
          <w:spacing w:val="-4"/>
          <w:w w:val="110"/>
          <w:position w:val="1"/>
          <w:sz w:val="20"/>
        </w:rPr>
        <w:t> </w:t>
      </w:r>
      <w:r>
        <w:rPr>
          <w:color w:val="231F1F"/>
          <w:w w:val="110"/>
          <w:position w:val="1"/>
          <w:sz w:val="20"/>
        </w:rPr>
        <w:t>of</w:t>
      </w:r>
      <w:r>
        <w:rPr>
          <w:color w:val="231F1F"/>
          <w:spacing w:val="-4"/>
          <w:w w:val="110"/>
          <w:position w:val="1"/>
          <w:sz w:val="20"/>
        </w:rPr>
        <w:t> </w:t>
      </w:r>
      <w:r>
        <w:rPr>
          <w:color w:val="231F1F"/>
          <w:w w:val="110"/>
          <w:position w:val="1"/>
          <w:sz w:val="20"/>
        </w:rPr>
        <w:t>HIV</w:t>
      </w:r>
      <w:r>
        <w:rPr>
          <w:color w:val="231F1F"/>
          <w:spacing w:val="-4"/>
          <w:w w:val="110"/>
          <w:position w:val="1"/>
          <w:sz w:val="20"/>
        </w:rPr>
        <w:t> </w:t>
      </w:r>
      <w:r>
        <w:rPr>
          <w:color w:val="231F1F"/>
          <w:w w:val="110"/>
          <w:position w:val="1"/>
          <w:sz w:val="20"/>
        </w:rPr>
        <w:t>transmission </w:t>
      </w:r>
      <w:r>
        <w:rPr>
          <w:color w:val="231F1F"/>
          <w:w w:val="110"/>
          <w:sz w:val="20"/>
        </w:rPr>
        <w:t>in health care settings. Morbidity and Mortality Weekly Report 1987;37:24.</w:t>
      </w:r>
    </w:p>
    <w:p>
      <w:pPr>
        <w:pStyle w:val="ListParagraph"/>
        <w:numPr>
          <w:ilvl w:val="0"/>
          <w:numId w:val="109"/>
        </w:numPr>
        <w:tabs>
          <w:tab w:pos="794" w:val="left" w:leader="none"/>
          <w:tab w:pos="798" w:val="left" w:leader="none"/>
        </w:tabs>
        <w:spacing w:line="223" w:lineRule="auto" w:before="166" w:after="0"/>
        <w:ind w:left="798" w:right="123" w:hanging="502"/>
        <w:jc w:val="both"/>
        <w:rPr>
          <w:sz w:val="20"/>
        </w:rPr>
      </w:pPr>
      <w:r>
        <w:rPr>
          <w:color w:val="231F1F"/>
          <w:w w:val="105"/>
          <w:position w:val="1"/>
          <w:sz w:val="20"/>
        </w:rPr>
        <w:t>Pratt</w:t>
      </w:r>
      <w:r>
        <w:rPr>
          <w:color w:val="231F1F"/>
          <w:w w:val="105"/>
          <w:position w:val="1"/>
          <w:sz w:val="20"/>
        </w:rPr>
        <w:t> RJ,</w:t>
      </w:r>
      <w:r>
        <w:rPr>
          <w:color w:val="231F1F"/>
          <w:w w:val="105"/>
          <w:position w:val="1"/>
          <w:sz w:val="20"/>
        </w:rPr>
        <w:t> Pellowe</w:t>
      </w:r>
      <w:r>
        <w:rPr>
          <w:color w:val="231F1F"/>
          <w:w w:val="105"/>
          <w:position w:val="1"/>
          <w:sz w:val="20"/>
        </w:rPr>
        <w:t> C,</w:t>
      </w:r>
      <w:r>
        <w:rPr>
          <w:color w:val="231F1F"/>
          <w:w w:val="105"/>
          <w:position w:val="1"/>
          <w:sz w:val="20"/>
        </w:rPr>
        <w:t> Loveday</w:t>
      </w:r>
      <w:r>
        <w:rPr>
          <w:color w:val="231F1F"/>
          <w:w w:val="105"/>
          <w:position w:val="1"/>
          <w:sz w:val="20"/>
        </w:rPr>
        <w:t> HP,</w:t>
      </w:r>
      <w:r>
        <w:rPr>
          <w:color w:val="231F1F"/>
          <w:w w:val="105"/>
          <w:position w:val="1"/>
          <w:sz w:val="20"/>
        </w:rPr>
        <w:t> Robinson</w:t>
      </w:r>
      <w:r>
        <w:rPr>
          <w:color w:val="231F1F"/>
          <w:w w:val="105"/>
          <w:position w:val="1"/>
          <w:sz w:val="20"/>
        </w:rPr>
        <w:t> N,</w:t>
      </w:r>
      <w:r>
        <w:rPr>
          <w:color w:val="231F1F"/>
          <w:w w:val="105"/>
          <w:position w:val="1"/>
          <w:sz w:val="20"/>
        </w:rPr>
        <w:t> Smith</w:t>
      </w:r>
      <w:r>
        <w:rPr>
          <w:color w:val="231F1F"/>
          <w:w w:val="105"/>
          <w:position w:val="1"/>
          <w:sz w:val="20"/>
        </w:rPr>
        <w:t> GW,</w:t>
      </w:r>
      <w:r>
        <w:rPr>
          <w:color w:val="231F1F"/>
          <w:w w:val="105"/>
          <w:position w:val="1"/>
          <w:sz w:val="20"/>
        </w:rPr>
        <w:t> and</w:t>
      </w:r>
      <w:r>
        <w:rPr>
          <w:color w:val="231F1F"/>
          <w:w w:val="105"/>
          <w:position w:val="1"/>
          <w:sz w:val="20"/>
        </w:rPr>
        <w:t> the</w:t>
      </w:r>
      <w:r>
        <w:rPr>
          <w:color w:val="231F1F"/>
          <w:w w:val="105"/>
          <w:position w:val="1"/>
          <w:sz w:val="20"/>
        </w:rPr>
        <w:t> guideline</w:t>
      </w:r>
      <w:r>
        <w:rPr>
          <w:color w:val="231F1F"/>
          <w:w w:val="105"/>
          <w:position w:val="1"/>
          <w:sz w:val="20"/>
        </w:rPr>
        <w:t> development </w:t>
      </w:r>
      <w:r>
        <w:rPr>
          <w:color w:val="231F1F"/>
          <w:w w:val="105"/>
          <w:sz w:val="20"/>
        </w:rPr>
        <w:t>team,</w:t>
      </w:r>
      <w:r>
        <w:rPr>
          <w:color w:val="231F1F"/>
          <w:w w:val="105"/>
          <w:sz w:val="20"/>
        </w:rPr>
        <w:t> et</w:t>
      </w:r>
      <w:r>
        <w:rPr>
          <w:color w:val="231F1F"/>
          <w:w w:val="105"/>
          <w:sz w:val="20"/>
        </w:rPr>
        <w:t> al.</w:t>
      </w:r>
      <w:r>
        <w:rPr>
          <w:color w:val="231F1F"/>
          <w:w w:val="105"/>
          <w:sz w:val="20"/>
        </w:rPr>
        <w:t> The</w:t>
      </w:r>
      <w:r>
        <w:rPr>
          <w:color w:val="231F1F"/>
          <w:w w:val="105"/>
          <w:sz w:val="20"/>
        </w:rPr>
        <w:t> epic</w:t>
      </w:r>
      <w:r>
        <w:rPr>
          <w:color w:val="231F1F"/>
          <w:w w:val="105"/>
          <w:sz w:val="20"/>
        </w:rPr>
        <w:t> project:</w:t>
      </w:r>
      <w:r>
        <w:rPr>
          <w:color w:val="231F1F"/>
          <w:w w:val="105"/>
          <w:sz w:val="20"/>
        </w:rPr>
        <w:t> Developing</w:t>
      </w:r>
      <w:r>
        <w:rPr>
          <w:color w:val="231F1F"/>
          <w:w w:val="105"/>
          <w:sz w:val="20"/>
        </w:rPr>
        <w:t> national</w:t>
      </w:r>
      <w:r>
        <w:rPr>
          <w:color w:val="231F1F"/>
          <w:w w:val="105"/>
          <w:sz w:val="20"/>
        </w:rPr>
        <w:t> evidencebased</w:t>
      </w:r>
      <w:r>
        <w:rPr>
          <w:color w:val="231F1F"/>
          <w:w w:val="105"/>
          <w:sz w:val="20"/>
        </w:rPr>
        <w:t> guidelines</w:t>
      </w:r>
      <w:r>
        <w:rPr>
          <w:color w:val="231F1F"/>
          <w:w w:val="105"/>
          <w:sz w:val="20"/>
        </w:rPr>
        <w:t> for</w:t>
      </w:r>
      <w:r>
        <w:rPr>
          <w:color w:val="231F1F"/>
          <w:w w:val="105"/>
          <w:sz w:val="20"/>
        </w:rPr>
        <w:t> preventing healthcare-associated</w:t>
      </w:r>
      <w:r>
        <w:rPr>
          <w:color w:val="231F1F"/>
          <w:w w:val="105"/>
          <w:sz w:val="20"/>
        </w:rPr>
        <w:t> infections.Phase</w:t>
      </w:r>
      <w:r>
        <w:rPr>
          <w:color w:val="231F1F"/>
          <w:w w:val="105"/>
          <w:sz w:val="20"/>
        </w:rPr>
        <w:t> 1:</w:t>
      </w:r>
      <w:r>
        <w:rPr>
          <w:color w:val="231F1F"/>
          <w:w w:val="105"/>
          <w:sz w:val="20"/>
        </w:rPr>
        <w:t> Guidelines</w:t>
      </w:r>
      <w:r>
        <w:rPr>
          <w:color w:val="231F1F"/>
          <w:w w:val="105"/>
          <w:sz w:val="20"/>
        </w:rPr>
        <w:t> for</w:t>
      </w:r>
      <w:r>
        <w:rPr>
          <w:color w:val="231F1F"/>
          <w:w w:val="105"/>
          <w:sz w:val="20"/>
        </w:rPr>
        <w:t> preventing</w:t>
      </w:r>
      <w:r>
        <w:rPr>
          <w:color w:val="231F1F"/>
          <w:w w:val="105"/>
          <w:sz w:val="20"/>
        </w:rPr>
        <w:t> hospital-acquired infections. J Hosp Infect 2001;47(Supplement):S1-S82.</w:t>
      </w:r>
    </w:p>
    <w:p>
      <w:pPr>
        <w:pStyle w:val="ListParagraph"/>
        <w:numPr>
          <w:ilvl w:val="0"/>
          <w:numId w:val="109"/>
        </w:numPr>
        <w:tabs>
          <w:tab w:pos="793" w:val="left" w:leader="none"/>
          <w:tab w:pos="797" w:val="left" w:leader="none"/>
        </w:tabs>
        <w:spacing w:line="228" w:lineRule="auto" w:before="207" w:after="0"/>
        <w:ind w:left="797" w:right="123" w:hanging="502"/>
        <w:jc w:val="both"/>
        <w:rPr>
          <w:sz w:val="20"/>
        </w:rPr>
      </w:pPr>
      <w:r>
        <w:rPr>
          <w:color w:val="231F1F"/>
          <w:sz w:val="20"/>
        </w:rPr>
        <w:t>Kovavisarach</w:t>
      </w:r>
      <w:r>
        <w:rPr>
          <w:color w:val="231F1F"/>
          <w:spacing w:val="37"/>
          <w:sz w:val="20"/>
        </w:rPr>
        <w:t> </w:t>
      </w:r>
      <w:r>
        <w:rPr>
          <w:color w:val="231F1F"/>
          <w:sz w:val="20"/>
        </w:rPr>
        <w:t>E,</w:t>
      </w:r>
      <w:r>
        <w:rPr>
          <w:color w:val="231F1F"/>
          <w:spacing w:val="32"/>
          <w:sz w:val="20"/>
        </w:rPr>
        <w:t> </w:t>
      </w:r>
      <w:r>
        <w:rPr>
          <w:color w:val="231F1F"/>
          <w:sz w:val="20"/>
        </w:rPr>
        <w:t>Jaravechson</w:t>
      </w:r>
      <w:r>
        <w:rPr>
          <w:color w:val="231F1F"/>
          <w:spacing w:val="38"/>
          <w:sz w:val="20"/>
        </w:rPr>
        <w:t> </w:t>
      </w:r>
      <w:r>
        <w:rPr>
          <w:color w:val="231F1F"/>
          <w:sz w:val="20"/>
        </w:rPr>
        <w:t>S.</w:t>
      </w:r>
      <w:r>
        <w:rPr>
          <w:color w:val="231F1F"/>
          <w:spacing w:val="32"/>
          <w:sz w:val="20"/>
        </w:rPr>
        <w:t> </w:t>
      </w:r>
      <w:r>
        <w:rPr>
          <w:color w:val="231F1F"/>
          <w:sz w:val="20"/>
        </w:rPr>
        <w:t>Comparison</w:t>
      </w:r>
      <w:r>
        <w:rPr>
          <w:color w:val="231F1F"/>
          <w:spacing w:val="37"/>
          <w:sz w:val="20"/>
        </w:rPr>
        <w:t> </w:t>
      </w:r>
      <w:r>
        <w:rPr>
          <w:color w:val="231F1F"/>
          <w:sz w:val="20"/>
        </w:rPr>
        <w:t>of</w:t>
      </w:r>
      <w:r>
        <w:rPr>
          <w:color w:val="231F1F"/>
          <w:spacing w:val="38"/>
          <w:sz w:val="20"/>
        </w:rPr>
        <w:t> </w:t>
      </w:r>
      <w:r>
        <w:rPr>
          <w:color w:val="231F1F"/>
          <w:sz w:val="20"/>
        </w:rPr>
        <w:t>perforation</w:t>
      </w:r>
      <w:r>
        <w:rPr>
          <w:color w:val="231F1F"/>
          <w:spacing w:val="38"/>
          <w:sz w:val="20"/>
        </w:rPr>
        <w:t> </w:t>
      </w:r>
      <w:r>
        <w:rPr>
          <w:color w:val="231F1F"/>
          <w:sz w:val="20"/>
        </w:rPr>
        <w:t>between</w:t>
      </w:r>
      <w:r>
        <w:rPr>
          <w:color w:val="231F1F"/>
          <w:spacing w:val="38"/>
          <w:sz w:val="20"/>
        </w:rPr>
        <w:t> </w:t>
      </w:r>
      <w:r>
        <w:rPr>
          <w:color w:val="231F1F"/>
          <w:sz w:val="20"/>
        </w:rPr>
        <w:t>single</w:t>
      </w:r>
      <w:r>
        <w:rPr>
          <w:color w:val="231F1F"/>
          <w:spacing w:val="37"/>
          <w:sz w:val="20"/>
        </w:rPr>
        <w:t> </w:t>
      </w:r>
      <w:r>
        <w:rPr>
          <w:color w:val="231F1F"/>
          <w:sz w:val="20"/>
        </w:rPr>
        <w:t>and</w:t>
      </w:r>
      <w:r>
        <w:rPr>
          <w:color w:val="231F1F"/>
          <w:spacing w:val="37"/>
          <w:sz w:val="20"/>
        </w:rPr>
        <w:t> </w:t>
      </w:r>
      <w:r>
        <w:rPr>
          <w:color w:val="231F1F"/>
          <w:sz w:val="20"/>
        </w:rPr>
        <w:t>double-gloving </w:t>
      </w:r>
      <w:r>
        <w:rPr>
          <w:color w:val="231F1F"/>
          <w:w w:val="110"/>
          <w:sz w:val="20"/>
        </w:rPr>
        <w:t>in perineorrhaphy after vaginal delivery: a randomized controlled trial. Aust N Z J Obstet Gynaecol 1998;38(1):58-60.</w:t>
      </w:r>
    </w:p>
    <w:p>
      <w:pPr>
        <w:pStyle w:val="ListParagraph"/>
        <w:numPr>
          <w:ilvl w:val="0"/>
          <w:numId w:val="109"/>
        </w:numPr>
        <w:tabs>
          <w:tab w:pos="793" w:val="left" w:leader="none"/>
          <w:tab w:pos="797" w:val="left" w:leader="none"/>
        </w:tabs>
        <w:spacing w:line="220" w:lineRule="auto" w:before="165" w:after="0"/>
        <w:ind w:left="797" w:right="119" w:hanging="502"/>
        <w:jc w:val="both"/>
        <w:rPr>
          <w:sz w:val="20"/>
        </w:rPr>
      </w:pPr>
      <w:r>
        <w:rPr>
          <w:color w:val="231F1F"/>
          <w:w w:val="110"/>
          <w:position w:val="1"/>
          <w:sz w:val="20"/>
        </w:rPr>
        <w:t>Punyatanasakchai P, Chittacharoen A, Ayudhya NI. Randomized controlled trial of glove </w:t>
      </w:r>
      <w:r>
        <w:rPr>
          <w:color w:val="231F1F"/>
          <w:spacing w:val="-2"/>
          <w:w w:val="110"/>
          <w:sz w:val="20"/>
        </w:rPr>
        <w:t>perforation</w:t>
      </w:r>
      <w:r>
        <w:rPr>
          <w:color w:val="231F1F"/>
          <w:spacing w:val="-3"/>
          <w:w w:val="110"/>
          <w:sz w:val="20"/>
        </w:rPr>
        <w:t> </w:t>
      </w:r>
      <w:r>
        <w:rPr>
          <w:color w:val="231F1F"/>
          <w:spacing w:val="-2"/>
          <w:w w:val="110"/>
          <w:sz w:val="20"/>
        </w:rPr>
        <w:t>in</w:t>
      </w:r>
      <w:r>
        <w:rPr>
          <w:color w:val="231F1F"/>
          <w:spacing w:val="-3"/>
          <w:w w:val="110"/>
          <w:sz w:val="20"/>
        </w:rPr>
        <w:t> </w:t>
      </w:r>
      <w:r>
        <w:rPr>
          <w:color w:val="231F1F"/>
          <w:spacing w:val="-2"/>
          <w:w w:val="110"/>
          <w:sz w:val="20"/>
        </w:rPr>
        <w:t>single-and</w:t>
      </w:r>
      <w:r>
        <w:rPr>
          <w:color w:val="231F1F"/>
          <w:spacing w:val="-3"/>
          <w:w w:val="110"/>
          <w:sz w:val="20"/>
        </w:rPr>
        <w:t> </w:t>
      </w:r>
      <w:r>
        <w:rPr>
          <w:color w:val="231F1F"/>
          <w:spacing w:val="-2"/>
          <w:w w:val="110"/>
          <w:sz w:val="20"/>
        </w:rPr>
        <w:t>double-gloving</w:t>
      </w:r>
      <w:r>
        <w:rPr>
          <w:color w:val="231F1F"/>
          <w:spacing w:val="-3"/>
          <w:w w:val="110"/>
          <w:sz w:val="20"/>
        </w:rPr>
        <w:t> </w:t>
      </w:r>
      <w:r>
        <w:rPr>
          <w:color w:val="231F1F"/>
          <w:spacing w:val="-2"/>
          <w:w w:val="110"/>
          <w:sz w:val="20"/>
        </w:rPr>
        <w:t>in</w:t>
      </w:r>
      <w:r>
        <w:rPr>
          <w:color w:val="231F1F"/>
          <w:spacing w:val="-3"/>
          <w:w w:val="110"/>
          <w:sz w:val="20"/>
        </w:rPr>
        <w:t> </w:t>
      </w:r>
      <w:r>
        <w:rPr>
          <w:color w:val="231F1F"/>
          <w:spacing w:val="-2"/>
          <w:w w:val="110"/>
          <w:sz w:val="20"/>
        </w:rPr>
        <w:t>episiotomy</w:t>
      </w:r>
      <w:r>
        <w:rPr>
          <w:color w:val="231F1F"/>
          <w:spacing w:val="-4"/>
          <w:w w:val="110"/>
          <w:sz w:val="20"/>
        </w:rPr>
        <w:t> </w:t>
      </w:r>
      <w:r>
        <w:rPr>
          <w:color w:val="231F1F"/>
          <w:spacing w:val="-2"/>
          <w:w w:val="110"/>
          <w:sz w:val="20"/>
        </w:rPr>
        <w:t>repair</w:t>
      </w:r>
      <w:r>
        <w:rPr>
          <w:color w:val="231F1F"/>
          <w:spacing w:val="-3"/>
          <w:w w:val="110"/>
          <w:sz w:val="20"/>
        </w:rPr>
        <w:t> </w:t>
      </w:r>
      <w:r>
        <w:rPr>
          <w:color w:val="231F1F"/>
          <w:spacing w:val="-2"/>
          <w:w w:val="110"/>
          <w:sz w:val="20"/>
        </w:rPr>
        <w:t>after</w:t>
      </w:r>
      <w:r>
        <w:rPr>
          <w:color w:val="231F1F"/>
          <w:spacing w:val="-3"/>
          <w:w w:val="110"/>
          <w:sz w:val="20"/>
        </w:rPr>
        <w:t> </w:t>
      </w:r>
      <w:r>
        <w:rPr>
          <w:color w:val="231F1F"/>
          <w:spacing w:val="-2"/>
          <w:w w:val="110"/>
          <w:sz w:val="20"/>
        </w:rPr>
        <w:t>vaginal</w:t>
      </w:r>
      <w:r>
        <w:rPr>
          <w:color w:val="231F1F"/>
          <w:spacing w:val="-3"/>
          <w:w w:val="110"/>
          <w:sz w:val="20"/>
        </w:rPr>
        <w:t> </w:t>
      </w:r>
      <w:r>
        <w:rPr>
          <w:color w:val="231F1F"/>
          <w:spacing w:val="-2"/>
          <w:w w:val="110"/>
          <w:sz w:val="20"/>
        </w:rPr>
        <w:t>delivery.</w:t>
      </w:r>
      <w:r>
        <w:rPr>
          <w:color w:val="231F1F"/>
          <w:spacing w:val="-5"/>
          <w:w w:val="110"/>
          <w:sz w:val="20"/>
        </w:rPr>
        <w:t> </w:t>
      </w:r>
      <w:r>
        <w:rPr>
          <w:color w:val="231F1F"/>
          <w:spacing w:val="-2"/>
          <w:w w:val="110"/>
          <w:sz w:val="20"/>
        </w:rPr>
        <w:t>J</w:t>
      </w:r>
      <w:r>
        <w:rPr>
          <w:color w:val="231F1F"/>
          <w:spacing w:val="-3"/>
          <w:w w:val="110"/>
          <w:sz w:val="20"/>
        </w:rPr>
        <w:t> </w:t>
      </w:r>
      <w:r>
        <w:rPr>
          <w:color w:val="231F1F"/>
          <w:spacing w:val="-2"/>
          <w:w w:val="110"/>
          <w:sz w:val="20"/>
        </w:rPr>
        <w:t>Obstet </w:t>
      </w:r>
      <w:r>
        <w:rPr>
          <w:color w:val="231F1F"/>
          <w:w w:val="110"/>
          <w:sz w:val="20"/>
        </w:rPr>
        <w:t>Gynaecol Res 2004;30(5):354-7.</w:t>
      </w:r>
    </w:p>
    <w:p>
      <w:pPr>
        <w:pStyle w:val="ListParagraph"/>
        <w:numPr>
          <w:ilvl w:val="0"/>
          <w:numId w:val="109"/>
        </w:numPr>
        <w:tabs>
          <w:tab w:pos="794" w:val="left" w:leader="none"/>
        </w:tabs>
        <w:spacing w:line="240" w:lineRule="auto" w:before="186" w:after="0"/>
        <w:ind w:left="794" w:right="0" w:hanging="498"/>
        <w:jc w:val="left"/>
        <w:rPr>
          <w:sz w:val="20"/>
        </w:rPr>
      </w:pPr>
      <w:r>
        <w:rPr>
          <w:color w:val="231F1F"/>
          <w:sz w:val="20"/>
        </w:rPr>
        <w:t>Engelmann</w:t>
      </w:r>
      <w:r>
        <w:rPr>
          <w:color w:val="231F1F"/>
          <w:spacing w:val="26"/>
          <w:sz w:val="20"/>
        </w:rPr>
        <w:t> </w:t>
      </w:r>
      <w:r>
        <w:rPr>
          <w:color w:val="231F1F"/>
          <w:sz w:val="20"/>
        </w:rPr>
        <w:t>GJ.</w:t>
      </w:r>
      <w:r>
        <w:rPr>
          <w:color w:val="231F1F"/>
          <w:spacing w:val="13"/>
          <w:sz w:val="20"/>
        </w:rPr>
        <w:t> </w:t>
      </w:r>
      <w:r>
        <w:rPr>
          <w:color w:val="231F1F"/>
          <w:sz w:val="20"/>
        </w:rPr>
        <w:t>Labor</w:t>
      </w:r>
      <w:r>
        <w:rPr>
          <w:color w:val="231F1F"/>
          <w:spacing w:val="31"/>
          <w:sz w:val="20"/>
        </w:rPr>
        <w:t> </w:t>
      </w:r>
      <w:r>
        <w:rPr>
          <w:color w:val="231F1F"/>
          <w:sz w:val="20"/>
        </w:rPr>
        <w:t>among</w:t>
      </w:r>
      <w:r>
        <w:rPr>
          <w:color w:val="231F1F"/>
          <w:spacing w:val="31"/>
          <w:sz w:val="20"/>
        </w:rPr>
        <w:t> </w:t>
      </w:r>
      <w:r>
        <w:rPr>
          <w:color w:val="231F1F"/>
          <w:sz w:val="20"/>
        </w:rPr>
        <w:t>primitive</w:t>
      </w:r>
      <w:r>
        <w:rPr>
          <w:color w:val="231F1F"/>
          <w:spacing w:val="29"/>
          <w:sz w:val="20"/>
        </w:rPr>
        <w:t> </w:t>
      </w:r>
      <w:r>
        <w:rPr>
          <w:color w:val="231F1F"/>
          <w:sz w:val="20"/>
        </w:rPr>
        <w:t>peoples.</w:t>
      </w:r>
      <w:r>
        <w:rPr>
          <w:color w:val="231F1F"/>
          <w:spacing w:val="14"/>
          <w:sz w:val="20"/>
        </w:rPr>
        <w:t> </w:t>
      </w:r>
      <w:r>
        <w:rPr>
          <w:color w:val="231F1F"/>
          <w:sz w:val="20"/>
        </w:rPr>
        <w:t>St</w:t>
      </w:r>
      <w:r>
        <w:rPr>
          <w:color w:val="231F1F"/>
          <w:spacing w:val="31"/>
          <w:sz w:val="20"/>
        </w:rPr>
        <w:t> </w:t>
      </w:r>
      <w:r>
        <w:rPr>
          <w:color w:val="231F1F"/>
          <w:sz w:val="20"/>
        </w:rPr>
        <w:t>Louis:</w:t>
      </w:r>
      <w:r>
        <w:rPr>
          <w:color w:val="231F1F"/>
          <w:spacing w:val="12"/>
          <w:sz w:val="20"/>
        </w:rPr>
        <w:t> </w:t>
      </w:r>
      <w:r>
        <w:rPr>
          <w:color w:val="231F1F"/>
          <w:sz w:val="20"/>
        </w:rPr>
        <w:t>JH</w:t>
      </w:r>
      <w:r>
        <w:rPr>
          <w:color w:val="231F1F"/>
          <w:spacing w:val="29"/>
          <w:sz w:val="20"/>
        </w:rPr>
        <w:t> </w:t>
      </w:r>
      <w:r>
        <w:rPr>
          <w:color w:val="231F1F"/>
          <w:sz w:val="20"/>
        </w:rPr>
        <w:t>Chambers,</w:t>
      </w:r>
      <w:r>
        <w:rPr>
          <w:color w:val="231F1F"/>
          <w:spacing w:val="14"/>
          <w:sz w:val="20"/>
        </w:rPr>
        <w:t> </w:t>
      </w:r>
      <w:r>
        <w:rPr>
          <w:color w:val="231F1F"/>
          <w:spacing w:val="-2"/>
          <w:sz w:val="20"/>
        </w:rPr>
        <w:t>1882.</w:t>
      </w:r>
    </w:p>
    <w:p>
      <w:pPr>
        <w:pStyle w:val="ListParagraph"/>
        <w:numPr>
          <w:ilvl w:val="0"/>
          <w:numId w:val="109"/>
        </w:numPr>
        <w:tabs>
          <w:tab w:pos="794" w:val="left" w:leader="none"/>
          <w:tab w:pos="798" w:val="left" w:leader="none"/>
        </w:tabs>
        <w:spacing w:line="223" w:lineRule="auto" w:before="143" w:after="0"/>
        <w:ind w:left="798" w:right="112" w:hanging="522"/>
        <w:jc w:val="both"/>
        <w:rPr>
          <w:sz w:val="20"/>
        </w:rPr>
      </w:pPr>
      <w:r>
        <w:rPr>
          <w:color w:val="231F1F"/>
          <w:w w:val="105"/>
          <w:position w:val="1"/>
          <w:sz w:val="20"/>
        </w:rPr>
        <w:t>Gupta</w:t>
      </w:r>
      <w:r>
        <w:rPr>
          <w:color w:val="231F1F"/>
          <w:w w:val="105"/>
          <w:position w:val="1"/>
          <w:sz w:val="20"/>
        </w:rPr>
        <w:t> JK,</w:t>
      </w:r>
      <w:r>
        <w:rPr>
          <w:color w:val="231F1F"/>
          <w:w w:val="105"/>
          <w:position w:val="1"/>
          <w:sz w:val="20"/>
        </w:rPr>
        <w:t> Hofmeyr</w:t>
      </w:r>
      <w:r>
        <w:rPr>
          <w:color w:val="231F1F"/>
          <w:w w:val="105"/>
          <w:position w:val="1"/>
          <w:sz w:val="20"/>
        </w:rPr>
        <w:t> GJ.</w:t>
      </w:r>
      <w:r>
        <w:rPr>
          <w:color w:val="231F1F"/>
          <w:w w:val="105"/>
          <w:position w:val="1"/>
          <w:sz w:val="20"/>
        </w:rPr>
        <w:t> Posistion</w:t>
      </w:r>
      <w:r>
        <w:rPr>
          <w:color w:val="231F1F"/>
          <w:w w:val="105"/>
          <w:position w:val="1"/>
          <w:sz w:val="20"/>
        </w:rPr>
        <w:t> in</w:t>
      </w:r>
      <w:r>
        <w:rPr>
          <w:color w:val="231F1F"/>
          <w:w w:val="105"/>
          <w:position w:val="1"/>
          <w:sz w:val="20"/>
        </w:rPr>
        <w:t> the</w:t>
      </w:r>
      <w:r>
        <w:rPr>
          <w:color w:val="231F1F"/>
          <w:w w:val="105"/>
          <w:position w:val="1"/>
          <w:sz w:val="20"/>
        </w:rPr>
        <w:t> second</w:t>
      </w:r>
      <w:r>
        <w:rPr>
          <w:color w:val="231F1F"/>
          <w:w w:val="105"/>
          <w:position w:val="1"/>
          <w:sz w:val="20"/>
        </w:rPr>
        <w:t> stage</w:t>
      </w:r>
      <w:r>
        <w:rPr>
          <w:color w:val="231F1F"/>
          <w:w w:val="105"/>
          <w:position w:val="1"/>
          <w:sz w:val="20"/>
        </w:rPr>
        <w:t> of</w:t>
      </w:r>
      <w:r>
        <w:rPr>
          <w:color w:val="231F1F"/>
          <w:w w:val="105"/>
          <w:position w:val="1"/>
          <w:sz w:val="20"/>
        </w:rPr>
        <w:t> labour</w:t>
      </w:r>
      <w:r>
        <w:rPr>
          <w:color w:val="231F1F"/>
          <w:w w:val="105"/>
          <w:position w:val="1"/>
          <w:sz w:val="20"/>
        </w:rPr>
        <w:t> for</w:t>
      </w:r>
      <w:r>
        <w:rPr>
          <w:color w:val="231F1F"/>
          <w:w w:val="105"/>
          <w:position w:val="1"/>
          <w:sz w:val="20"/>
        </w:rPr>
        <w:t> women</w:t>
      </w:r>
      <w:r>
        <w:rPr>
          <w:color w:val="231F1F"/>
          <w:w w:val="105"/>
          <w:position w:val="1"/>
          <w:sz w:val="20"/>
        </w:rPr>
        <w:t> without</w:t>
      </w:r>
      <w:r>
        <w:rPr>
          <w:color w:val="231F1F"/>
          <w:w w:val="105"/>
          <w:position w:val="1"/>
          <w:sz w:val="20"/>
        </w:rPr>
        <w:t> epidural </w:t>
      </w:r>
      <w:r>
        <w:rPr>
          <w:color w:val="231F1F"/>
          <w:w w:val="105"/>
          <w:sz w:val="20"/>
        </w:rPr>
        <w:t>anaesthesia. (Cochrane Review) In: Cochrane Database of Systematic Reviews, 2005;Oxford: Update Software.</w:t>
      </w:r>
    </w:p>
    <w:p>
      <w:pPr>
        <w:pStyle w:val="ListParagraph"/>
        <w:numPr>
          <w:ilvl w:val="0"/>
          <w:numId w:val="109"/>
        </w:numPr>
        <w:tabs>
          <w:tab w:pos="793" w:val="left" w:leader="none"/>
          <w:tab w:pos="797" w:val="left" w:leader="none"/>
        </w:tabs>
        <w:spacing w:line="216" w:lineRule="auto" w:before="170" w:after="0"/>
        <w:ind w:left="797" w:right="170" w:hanging="502"/>
        <w:jc w:val="both"/>
        <w:rPr>
          <w:sz w:val="20"/>
        </w:rPr>
      </w:pPr>
      <w:r>
        <w:rPr>
          <w:color w:val="231F1F"/>
          <w:w w:val="110"/>
          <w:position w:val="1"/>
          <w:sz w:val="20"/>
        </w:rPr>
        <w:t>Stremler</w:t>
      </w:r>
      <w:r>
        <w:rPr>
          <w:color w:val="231F1F"/>
          <w:spacing w:val="-16"/>
          <w:w w:val="110"/>
          <w:position w:val="1"/>
          <w:sz w:val="20"/>
        </w:rPr>
        <w:t> </w:t>
      </w:r>
      <w:r>
        <w:rPr>
          <w:color w:val="231F1F"/>
          <w:w w:val="110"/>
          <w:position w:val="1"/>
          <w:sz w:val="20"/>
        </w:rPr>
        <w:t>R,</w:t>
      </w:r>
      <w:r>
        <w:rPr>
          <w:color w:val="231F1F"/>
          <w:spacing w:val="-14"/>
          <w:w w:val="110"/>
          <w:position w:val="1"/>
          <w:sz w:val="20"/>
        </w:rPr>
        <w:t> </w:t>
      </w:r>
      <w:r>
        <w:rPr>
          <w:color w:val="231F1F"/>
          <w:w w:val="110"/>
          <w:position w:val="1"/>
          <w:sz w:val="20"/>
        </w:rPr>
        <w:t>Hodnett</w:t>
      </w:r>
      <w:r>
        <w:rPr>
          <w:color w:val="231F1F"/>
          <w:spacing w:val="-14"/>
          <w:w w:val="110"/>
          <w:position w:val="1"/>
          <w:sz w:val="20"/>
        </w:rPr>
        <w:t> </w:t>
      </w:r>
      <w:r>
        <w:rPr>
          <w:color w:val="231F1F"/>
          <w:w w:val="110"/>
          <w:position w:val="1"/>
          <w:sz w:val="20"/>
        </w:rPr>
        <w:t>ED,</w:t>
      </w:r>
      <w:r>
        <w:rPr>
          <w:color w:val="231F1F"/>
          <w:spacing w:val="-13"/>
          <w:w w:val="110"/>
          <w:position w:val="1"/>
          <w:sz w:val="20"/>
        </w:rPr>
        <w:t> </w:t>
      </w:r>
      <w:r>
        <w:rPr>
          <w:color w:val="231F1F"/>
          <w:w w:val="110"/>
          <w:position w:val="1"/>
          <w:sz w:val="20"/>
        </w:rPr>
        <w:t>Petryshen</w:t>
      </w:r>
      <w:r>
        <w:rPr>
          <w:color w:val="231F1F"/>
          <w:spacing w:val="-14"/>
          <w:w w:val="110"/>
          <w:position w:val="1"/>
          <w:sz w:val="20"/>
        </w:rPr>
        <w:t> </w:t>
      </w:r>
      <w:r>
        <w:rPr>
          <w:color w:val="231F1F"/>
          <w:w w:val="110"/>
          <w:position w:val="1"/>
          <w:sz w:val="20"/>
        </w:rPr>
        <w:t>P,</w:t>
      </w:r>
      <w:r>
        <w:rPr>
          <w:color w:val="231F1F"/>
          <w:spacing w:val="-14"/>
          <w:w w:val="110"/>
          <w:position w:val="1"/>
          <w:sz w:val="20"/>
        </w:rPr>
        <w:t> </w:t>
      </w:r>
      <w:r>
        <w:rPr>
          <w:color w:val="231F1F"/>
          <w:w w:val="110"/>
          <w:position w:val="1"/>
          <w:sz w:val="20"/>
        </w:rPr>
        <w:t>et</w:t>
      </w:r>
      <w:r>
        <w:rPr>
          <w:color w:val="231F1F"/>
          <w:spacing w:val="-14"/>
          <w:w w:val="110"/>
          <w:position w:val="1"/>
          <w:sz w:val="20"/>
        </w:rPr>
        <w:t> </w:t>
      </w:r>
      <w:r>
        <w:rPr>
          <w:color w:val="231F1F"/>
          <w:w w:val="110"/>
          <w:position w:val="1"/>
          <w:sz w:val="20"/>
        </w:rPr>
        <w:t>al.</w:t>
      </w:r>
      <w:r>
        <w:rPr>
          <w:color w:val="231F1F"/>
          <w:spacing w:val="-13"/>
          <w:w w:val="110"/>
          <w:position w:val="1"/>
          <w:sz w:val="20"/>
        </w:rPr>
        <w:t> </w:t>
      </w:r>
      <w:r>
        <w:rPr>
          <w:color w:val="231F1F"/>
          <w:w w:val="110"/>
          <w:position w:val="1"/>
          <w:sz w:val="20"/>
        </w:rPr>
        <w:t>Randomized</w:t>
      </w:r>
      <w:r>
        <w:rPr>
          <w:color w:val="231F1F"/>
          <w:spacing w:val="-14"/>
          <w:w w:val="110"/>
          <w:position w:val="1"/>
          <w:sz w:val="20"/>
        </w:rPr>
        <w:t> </w:t>
      </w:r>
      <w:r>
        <w:rPr>
          <w:color w:val="231F1F"/>
          <w:w w:val="110"/>
          <w:position w:val="1"/>
          <w:sz w:val="20"/>
        </w:rPr>
        <w:t>controlled</w:t>
      </w:r>
      <w:r>
        <w:rPr>
          <w:color w:val="231F1F"/>
          <w:spacing w:val="-14"/>
          <w:w w:val="110"/>
          <w:position w:val="1"/>
          <w:sz w:val="20"/>
        </w:rPr>
        <w:t> </w:t>
      </w:r>
      <w:r>
        <w:rPr>
          <w:color w:val="231F1F"/>
          <w:w w:val="110"/>
          <w:position w:val="1"/>
          <w:sz w:val="20"/>
        </w:rPr>
        <w:t>trial</w:t>
      </w:r>
      <w:r>
        <w:rPr>
          <w:color w:val="231F1F"/>
          <w:spacing w:val="-14"/>
          <w:w w:val="110"/>
          <w:position w:val="1"/>
          <w:sz w:val="20"/>
        </w:rPr>
        <w:t> </w:t>
      </w:r>
      <w:r>
        <w:rPr>
          <w:color w:val="231F1F"/>
          <w:w w:val="110"/>
          <w:position w:val="1"/>
          <w:sz w:val="20"/>
        </w:rPr>
        <w:t>of</w:t>
      </w:r>
      <w:r>
        <w:rPr>
          <w:color w:val="231F1F"/>
          <w:spacing w:val="-13"/>
          <w:w w:val="110"/>
          <w:position w:val="1"/>
          <w:sz w:val="20"/>
        </w:rPr>
        <w:t> </w:t>
      </w:r>
      <w:r>
        <w:rPr>
          <w:color w:val="231F1F"/>
          <w:w w:val="110"/>
          <w:position w:val="1"/>
          <w:sz w:val="20"/>
        </w:rPr>
        <w:t>hands-and-knees </w:t>
      </w:r>
      <w:r>
        <w:rPr>
          <w:color w:val="231F1F"/>
          <w:w w:val="110"/>
          <w:sz w:val="20"/>
        </w:rPr>
        <w:t>positioning for occipitoposterior position in labor. Birth 2005;32(4):243-51.</w:t>
      </w:r>
    </w:p>
    <w:p>
      <w:pPr>
        <w:pStyle w:val="ListParagraph"/>
        <w:spacing w:after="0" w:line="216" w:lineRule="auto"/>
        <w:jc w:val="both"/>
        <w:rPr>
          <w:sz w:val="20"/>
        </w:rPr>
        <w:sectPr>
          <w:pgSz w:w="11900" w:h="16840"/>
          <w:pgMar w:header="0" w:footer="622" w:top="1540" w:bottom="820" w:left="1417" w:right="1559"/>
        </w:sectPr>
      </w:pPr>
    </w:p>
    <w:p>
      <w:pPr>
        <w:pStyle w:val="ListParagraph"/>
        <w:numPr>
          <w:ilvl w:val="0"/>
          <w:numId w:val="109"/>
        </w:numPr>
        <w:tabs>
          <w:tab w:pos="793" w:val="left" w:leader="none"/>
          <w:tab w:pos="797" w:val="left" w:leader="none"/>
        </w:tabs>
        <w:spacing w:line="211" w:lineRule="auto" w:before="89" w:after="0"/>
        <w:ind w:left="797" w:right="173" w:hanging="510"/>
        <w:jc w:val="both"/>
        <w:rPr>
          <w:sz w:val="20"/>
        </w:rPr>
      </w:pPr>
      <w:r>
        <w:rPr>
          <w:color w:val="231F1F"/>
          <w:spacing w:val="-2"/>
          <w:w w:val="105"/>
          <w:position w:val="1"/>
          <w:sz w:val="20"/>
        </w:rPr>
        <w:t>Ragnar</w:t>
      </w:r>
      <w:r>
        <w:rPr>
          <w:color w:val="231F1F"/>
          <w:spacing w:val="-8"/>
          <w:w w:val="105"/>
          <w:position w:val="1"/>
          <w:sz w:val="20"/>
        </w:rPr>
        <w:t> </w:t>
      </w:r>
      <w:r>
        <w:rPr>
          <w:color w:val="231F1F"/>
          <w:spacing w:val="-2"/>
          <w:w w:val="105"/>
          <w:position w:val="1"/>
          <w:sz w:val="20"/>
        </w:rPr>
        <w:t>I,Altman</w:t>
      </w:r>
      <w:r>
        <w:rPr>
          <w:color w:val="231F1F"/>
          <w:spacing w:val="-7"/>
          <w:w w:val="105"/>
          <w:position w:val="1"/>
          <w:sz w:val="20"/>
        </w:rPr>
        <w:t> </w:t>
      </w:r>
      <w:r>
        <w:rPr>
          <w:color w:val="231F1F"/>
          <w:spacing w:val="-2"/>
          <w:w w:val="105"/>
          <w:position w:val="1"/>
          <w:sz w:val="20"/>
        </w:rPr>
        <w:t>D,Tyden</w:t>
      </w:r>
      <w:r>
        <w:rPr>
          <w:color w:val="231F1F"/>
          <w:spacing w:val="-12"/>
          <w:w w:val="105"/>
          <w:position w:val="1"/>
          <w:sz w:val="20"/>
        </w:rPr>
        <w:t> </w:t>
      </w:r>
      <w:r>
        <w:rPr>
          <w:color w:val="231F1F"/>
          <w:spacing w:val="-2"/>
          <w:w w:val="105"/>
          <w:position w:val="1"/>
          <w:sz w:val="20"/>
        </w:rPr>
        <w:t>T,</w:t>
      </w:r>
      <w:r>
        <w:rPr>
          <w:color w:val="231F1F"/>
          <w:spacing w:val="-10"/>
          <w:w w:val="105"/>
          <w:position w:val="1"/>
          <w:sz w:val="20"/>
        </w:rPr>
        <w:t> </w:t>
      </w:r>
      <w:r>
        <w:rPr>
          <w:color w:val="231F1F"/>
          <w:spacing w:val="-2"/>
          <w:w w:val="105"/>
          <w:position w:val="1"/>
          <w:sz w:val="20"/>
        </w:rPr>
        <w:t>et</w:t>
      </w:r>
      <w:r>
        <w:rPr>
          <w:color w:val="231F1F"/>
          <w:spacing w:val="-7"/>
          <w:w w:val="105"/>
          <w:position w:val="1"/>
          <w:sz w:val="20"/>
        </w:rPr>
        <w:t> </w:t>
      </w:r>
      <w:r>
        <w:rPr>
          <w:color w:val="231F1F"/>
          <w:spacing w:val="-2"/>
          <w:w w:val="105"/>
          <w:position w:val="1"/>
          <w:sz w:val="20"/>
        </w:rPr>
        <w:t>al.</w:t>
      </w:r>
      <w:r>
        <w:rPr>
          <w:color w:val="231F1F"/>
          <w:spacing w:val="-11"/>
          <w:w w:val="105"/>
          <w:position w:val="1"/>
          <w:sz w:val="20"/>
        </w:rPr>
        <w:t> </w:t>
      </w:r>
      <w:r>
        <w:rPr>
          <w:color w:val="231F1F"/>
          <w:spacing w:val="-2"/>
          <w:w w:val="105"/>
          <w:position w:val="1"/>
          <w:sz w:val="20"/>
        </w:rPr>
        <w:t>Comparison</w:t>
      </w:r>
      <w:r>
        <w:rPr>
          <w:color w:val="231F1F"/>
          <w:spacing w:val="-7"/>
          <w:w w:val="105"/>
          <w:position w:val="1"/>
          <w:sz w:val="20"/>
        </w:rPr>
        <w:t> </w:t>
      </w:r>
      <w:r>
        <w:rPr>
          <w:color w:val="231F1F"/>
          <w:spacing w:val="-2"/>
          <w:w w:val="105"/>
          <w:position w:val="1"/>
          <w:sz w:val="20"/>
        </w:rPr>
        <w:t>of</w:t>
      </w:r>
      <w:r>
        <w:rPr>
          <w:color w:val="231F1F"/>
          <w:spacing w:val="-7"/>
          <w:w w:val="105"/>
          <w:position w:val="1"/>
          <w:sz w:val="20"/>
        </w:rPr>
        <w:t> </w:t>
      </w:r>
      <w:r>
        <w:rPr>
          <w:color w:val="231F1F"/>
          <w:spacing w:val="-2"/>
          <w:w w:val="105"/>
          <w:position w:val="1"/>
          <w:sz w:val="20"/>
        </w:rPr>
        <w:t>the</w:t>
      </w:r>
      <w:r>
        <w:rPr>
          <w:color w:val="231F1F"/>
          <w:spacing w:val="-7"/>
          <w:w w:val="105"/>
          <w:position w:val="1"/>
          <w:sz w:val="20"/>
        </w:rPr>
        <w:t> </w:t>
      </w:r>
      <w:r>
        <w:rPr>
          <w:color w:val="231F1F"/>
          <w:spacing w:val="-2"/>
          <w:w w:val="105"/>
          <w:position w:val="1"/>
          <w:sz w:val="20"/>
        </w:rPr>
        <w:t>maternal</w:t>
      </w:r>
      <w:r>
        <w:rPr>
          <w:color w:val="231F1F"/>
          <w:spacing w:val="-7"/>
          <w:w w:val="105"/>
          <w:position w:val="1"/>
          <w:sz w:val="20"/>
        </w:rPr>
        <w:t> </w:t>
      </w:r>
      <w:r>
        <w:rPr>
          <w:color w:val="231F1F"/>
          <w:spacing w:val="-2"/>
          <w:w w:val="105"/>
          <w:position w:val="1"/>
          <w:sz w:val="20"/>
        </w:rPr>
        <w:t>experience</w:t>
      </w:r>
      <w:r>
        <w:rPr>
          <w:color w:val="231F1F"/>
          <w:spacing w:val="-7"/>
          <w:w w:val="105"/>
          <w:position w:val="1"/>
          <w:sz w:val="20"/>
        </w:rPr>
        <w:t> </w:t>
      </w:r>
      <w:r>
        <w:rPr>
          <w:color w:val="231F1F"/>
          <w:spacing w:val="-2"/>
          <w:w w:val="105"/>
          <w:position w:val="1"/>
          <w:sz w:val="20"/>
        </w:rPr>
        <w:t>and</w:t>
      </w:r>
      <w:r>
        <w:rPr>
          <w:color w:val="231F1F"/>
          <w:spacing w:val="-7"/>
          <w:w w:val="105"/>
          <w:position w:val="1"/>
          <w:sz w:val="20"/>
        </w:rPr>
        <w:t> </w:t>
      </w:r>
      <w:r>
        <w:rPr>
          <w:color w:val="231F1F"/>
          <w:spacing w:val="-2"/>
          <w:w w:val="105"/>
          <w:position w:val="1"/>
          <w:sz w:val="20"/>
        </w:rPr>
        <w:t>duration</w:t>
      </w:r>
      <w:r>
        <w:rPr>
          <w:color w:val="231F1F"/>
          <w:spacing w:val="-7"/>
          <w:w w:val="105"/>
          <w:position w:val="1"/>
          <w:sz w:val="20"/>
        </w:rPr>
        <w:t> </w:t>
      </w:r>
      <w:r>
        <w:rPr>
          <w:color w:val="231F1F"/>
          <w:spacing w:val="-2"/>
          <w:w w:val="105"/>
          <w:position w:val="1"/>
          <w:sz w:val="20"/>
        </w:rPr>
        <w:t>of</w:t>
      </w:r>
      <w:r>
        <w:rPr>
          <w:color w:val="231F1F"/>
          <w:spacing w:val="-7"/>
          <w:w w:val="105"/>
          <w:position w:val="1"/>
          <w:sz w:val="20"/>
        </w:rPr>
        <w:t> </w:t>
      </w:r>
      <w:r>
        <w:rPr>
          <w:color w:val="231F1F"/>
          <w:spacing w:val="-2"/>
          <w:w w:val="105"/>
          <w:position w:val="1"/>
          <w:sz w:val="20"/>
        </w:rPr>
        <w:t>labour </w:t>
      </w:r>
      <w:r>
        <w:rPr>
          <w:color w:val="231F1F"/>
          <w:w w:val="105"/>
          <w:sz w:val="20"/>
        </w:rPr>
        <w:t>in two upright delibery positions-A randomised controlled trial.</w:t>
      </w:r>
      <w:r>
        <w:rPr>
          <w:color w:val="231F1F"/>
          <w:spacing w:val="-8"/>
          <w:w w:val="105"/>
          <w:sz w:val="20"/>
        </w:rPr>
        <w:t> </w:t>
      </w:r>
      <w:r>
        <w:rPr>
          <w:color w:val="231F1F"/>
          <w:w w:val="105"/>
          <w:sz w:val="20"/>
        </w:rPr>
        <w:t>BJOG 2006;113(2):65-70.</w:t>
      </w:r>
    </w:p>
    <w:p>
      <w:pPr>
        <w:pStyle w:val="ListParagraph"/>
        <w:numPr>
          <w:ilvl w:val="0"/>
          <w:numId w:val="109"/>
        </w:numPr>
        <w:tabs>
          <w:tab w:pos="793" w:val="left" w:leader="none"/>
          <w:tab w:pos="797" w:val="left" w:leader="none"/>
        </w:tabs>
        <w:spacing w:line="225" w:lineRule="auto" w:before="165" w:after="0"/>
        <w:ind w:left="797" w:right="121" w:hanging="502"/>
        <w:jc w:val="both"/>
        <w:rPr>
          <w:sz w:val="20"/>
        </w:rPr>
      </w:pPr>
      <w:r>
        <w:rPr>
          <w:color w:val="231F1F"/>
          <w:spacing w:val="-2"/>
          <w:w w:val="110"/>
          <w:sz w:val="20"/>
        </w:rPr>
        <w:t>Roberts</w:t>
      </w:r>
      <w:r>
        <w:rPr>
          <w:color w:val="231F1F"/>
          <w:spacing w:val="-7"/>
          <w:w w:val="110"/>
          <w:sz w:val="20"/>
        </w:rPr>
        <w:t> </w:t>
      </w:r>
      <w:r>
        <w:rPr>
          <w:color w:val="231F1F"/>
          <w:spacing w:val="-2"/>
          <w:w w:val="110"/>
          <w:sz w:val="20"/>
        </w:rPr>
        <w:t>CL,</w:t>
      </w:r>
      <w:r>
        <w:rPr>
          <w:color w:val="231F1F"/>
          <w:spacing w:val="-6"/>
          <w:w w:val="110"/>
          <w:sz w:val="20"/>
        </w:rPr>
        <w:t> </w:t>
      </w:r>
      <w:r>
        <w:rPr>
          <w:color w:val="231F1F"/>
          <w:spacing w:val="-2"/>
          <w:w w:val="110"/>
          <w:sz w:val="20"/>
        </w:rPr>
        <w:t>Algert</w:t>
      </w:r>
      <w:r>
        <w:rPr>
          <w:color w:val="231F1F"/>
          <w:spacing w:val="-7"/>
          <w:w w:val="110"/>
          <w:sz w:val="20"/>
        </w:rPr>
        <w:t> </w:t>
      </w:r>
      <w:r>
        <w:rPr>
          <w:color w:val="231F1F"/>
          <w:spacing w:val="-2"/>
          <w:w w:val="110"/>
          <w:sz w:val="20"/>
        </w:rPr>
        <w:t>CS,</w:t>
      </w:r>
      <w:r>
        <w:rPr>
          <w:color w:val="231F1F"/>
          <w:spacing w:val="-6"/>
          <w:w w:val="110"/>
          <w:sz w:val="20"/>
        </w:rPr>
        <w:t> </w:t>
      </w:r>
      <w:r>
        <w:rPr>
          <w:color w:val="231F1F"/>
          <w:spacing w:val="-2"/>
          <w:w w:val="110"/>
          <w:sz w:val="20"/>
        </w:rPr>
        <w:t>Cameron</w:t>
      </w:r>
      <w:r>
        <w:rPr>
          <w:color w:val="231F1F"/>
          <w:spacing w:val="-7"/>
          <w:w w:val="110"/>
          <w:sz w:val="20"/>
        </w:rPr>
        <w:t> </w:t>
      </w:r>
      <w:r>
        <w:rPr>
          <w:color w:val="231F1F"/>
          <w:spacing w:val="-2"/>
          <w:w w:val="110"/>
          <w:sz w:val="20"/>
        </w:rPr>
        <w:t>CA,</w:t>
      </w:r>
      <w:r>
        <w:rPr>
          <w:color w:val="231F1F"/>
          <w:spacing w:val="-7"/>
          <w:w w:val="110"/>
          <w:sz w:val="20"/>
        </w:rPr>
        <w:t> </w:t>
      </w:r>
      <w:r>
        <w:rPr>
          <w:color w:val="231F1F"/>
          <w:spacing w:val="-2"/>
          <w:w w:val="110"/>
          <w:sz w:val="20"/>
        </w:rPr>
        <w:t>Torvaldsen</w:t>
      </w:r>
      <w:r>
        <w:rPr>
          <w:color w:val="231F1F"/>
          <w:spacing w:val="-4"/>
          <w:w w:val="110"/>
          <w:sz w:val="20"/>
        </w:rPr>
        <w:t> </w:t>
      </w:r>
      <w:r>
        <w:rPr>
          <w:color w:val="231F1F"/>
          <w:spacing w:val="-2"/>
          <w:w w:val="110"/>
          <w:sz w:val="20"/>
        </w:rPr>
        <w:t>S.</w:t>
      </w:r>
      <w:r>
        <w:rPr>
          <w:color w:val="231F1F"/>
          <w:spacing w:val="-6"/>
          <w:w w:val="110"/>
          <w:sz w:val="20"/>
        </w:rPr>
        <w:t> </w:t>
      </w:r>
      <w:r>
        <w:rPr>
          <w:color w:val="231F1F"/>
          <w:spacing w:val="-2"/>
          <w:w w:val="110"/>
          <w:sz w:val="20"/>
        </w:rPr>
        <w:t>A</w:t>
      </w:r>
      <w:r>
        <w:rPr>
          <w:color w:val="231F1F"/>
          <w:spacing w:val="-5"/>
          <w:w w:val="110"/>
          <w:sz w:val="20"/>
        </w:rPr>
        <w:t> </w:t>
      </w:r>
      <w:r>
        <w:rPr>
          <w:color w:val="231F1F"/>
          <w:spacing w:val="-2"/>
          <w:w w:val="110"/>
          <w:sz w:val="20"/>
        </w:rPr>
        <w:t>meta-analysis</w:t>
      </w:r>
      <w:r>
        <w:rPr>
          <w:color w:val="231F1F"/>
          <w:spacing w:val="-5"/>
          <w:w w:val="110"/>
          <w:sz w:val="20"/>
        </w:rPr>
        <w:t> </w:t>
      </w:r>
      <w:r>
        <w:rPr>
          <w:color w:val="231F1F"/>
          <w:spacing w:val="-2"/>
          <w:w w:val="110"/>
          <w:sz w:val="20"/>
        </w:rPr>
        <w:t>of</w:t>
      </w:r>
      <w:r>
        <w:rPr>
          <w:color w:val="231F1F"/>
          <w:spacing w:val="-4"/>
          <w:w w:val="110"/>
          <w:sz w:val="20"/>
        </w:rPr>
        <w:t> </w:t>
      </w:r>
      <w:r>
        <w:rPr>
          <w:color w:val="231F1F"/>
          <w:spacing w:val="-2"/>
          <w:w w:val="110"/>
          <w:sz w:val="20"/>
        </w:rPr>
        <w:t>upright</w:t>
      </w:r>
      <w:r>
        <w:rPr>
          <w:color w:val="231F1F"/>
          <w:spacing w:val="-4"/>
          <w:w w:val="110"/>
          <w:sz w:val="20"/>
        </w:rPr>
        <w:t> </w:t>
      </w:r>
      <w:r>
        <w:rPr>
          <w:color w:val="231F1F"/>
          <w:spacing w:val="-2"/>
          <w:w w:val="110"/>
          <w:sz w:val="20"/>
        </w:rPr>
        <w:t>posistions</w:t>
      </w:r>
      <w:r>
        <w:rPr>
          <w:color w:val="231F1F"/>
          <w:spacing w:val="-5"/>
          <w:w w:val="110"/>
          <w:sz w:val="20"/>
        </w:rPr>
        <w:t> </w:t>
      </w:r>
      <w:r>
        <w:rPr>
          <w:color w:val="231F1F"/>
          <w:spacing w:val="-2"/>
          <w:w w:val="110"/>
          <w:sz w:val="20"/>
        </w:rPr>
        <w:t>in </w:t>
      </w:r>
      <w:r>
        <w:rPr>
          <w:color w:val="231F1F"/>
          <w:w w:val="110"/>
          <w:sz w:val="20"/>
        </w:rPr>
        <w:t>the second stage to reduce instrumental deliveries in women with epidural analgesia. Acta Obstet Gynecol Scand 2005;84(8):794-8.</w:t>
      </w:r>
    </w:p>
    <w:p>
      <w:pPr>
        <w:pStyle w:val="ListParagraph"/>
        <w:numPr>
          <w:ilvl w:val="0"/>
          <w:numId w:val="109"/>
        </w:numPr>
        <w:tabs>
          <w:tab w:pos="793" w:val="left" w:leader="none"/>
          <w:tab w:pos="797" w:val="left" w:leader="none"/>
        </w:tabs>
        <w:spacing w:line="223" w:lineRule="auto" w:before="155" w:after="0"/>
        <w:ind w:left="797" w:right="121" w:hanging="509"/>
        <w:jc w:val="both"/>
        <w:rPr>
          <w:sz w:val="20"/>
        </w:rPr>
      </w:pPr>
      <w:r>
        <w:rPr>
          <w:color w:val="231F1F"/>
          <w:w w:val="110"/>
          <w:position w:val="1"/>
          <w:sz w:val="20"/>
        </w:rPr>
        <w:t>Downe S, Gerrett D, Renfrew MJ.</w:t>
      </w:r>
      <w:r>
        <w:rPr>
          <w:color w:val="231F1F"/>
          <w:spacing w:val="-1"/>
          <w:w w:val="110"/>
          <w:position w:val="1"/>
          <w:sz w:val="20"/>
        </w:rPr>
        <w:t> </w:t>
      </w:r>
      <w:r>
        <w:rPr>
          <w:color w:val="231F1F"/>
          <w:w w:val="110"/>
          <w:position w:val="1"/>
          <w:sz w:val="20"/>
        </w:rPr>
        <w:t>A prospective randomised trial on the effect of position </w:t>
      </w:r>
      <w:r>
        <w:rPr>
          <w:color w:val="231F1F"/>
          <w:w w:val="110"/>
          <w:sz w:val="20"/>
        </w:rPr>
        <w:t>in</w:t>
      </w:r>
      <w:r>
        <w:rPr>
          <w:color w:val="231F1F"/>
          <w:spacing w:val="-3"/>
          <w:w w:val="110"/>
          <w:sz w:val="20"/>
        </w:rPr>
        <w:t> </w:t>
      </w:r>
      <w:r>
        <w:rPr>
          <w:color w:val="231F1F"/>
          <w:w w:val="110"/>
          <w:sz w:val="20"/>
        </w:rPr>
        <w:t>the</w:t>
      </w:r>
      <w:r>
        <w:rPr>
          <w:color w:val="231F1F"/>
          <w:spacing w:val="-3"/>
          <w:w w:val="110"/>
          <w:sz w:val="20"/>
        </w:rPr>
        <w:t> </w:t>
      </w:r>
      <w:r>
        <w:rPr>
          <w:color w:val="231F1F"/>
          <w:w w:val="110"/>
          <w:sz w:val="20"/>
        </w:rPr>
        <w:t>passive</w:t>
      </w:r>
      <w:r>
        <w:rPr>
          <w:color w:val="231F1F"/>
          <w:spacing w:val="-3"/>
          <w:w w:val="110"/>
          <w:sz w:val="20"/>
        </w:rPr>
        <w:t> </w:t>
      </w:r>
      <w:r>
        <w:rPr>
          <w:color w:val="231F1F"/>
          <w:w w:val="110"/>
          <w:sz w:val="20"/>
        </w:rPr>
        <w:t>second</w:t>
      </w:r>
      <w:r>
        <w:rPr>
          <w:color w:val="231F1F"/>
          <w:spacing w:val="-3"/>
          <w:w w:val="110"/>
          <w:sz w:val="20"/>
        </w:rPr>
        <w:t> </w:t>
      </w:r>
      <w:r>
        <w:rPr>
          <w:color w:val="231F1F"/>
          <w:w w:val="110"/>
          <w:sz w:val="20"/>
        </w:rPr>
        <w:t>stage</w:t>
      </w:r>
      <w:r>
        <w:rPr>
          <w:color w:val="231F1F"/>
          <w:spacing w:val="-4"/>
          <w:w w:val="110"/>
          <w:sz w:val="20"/>
        </w:rPr>
        <w:t> </w:t>
      </w:r>
      <w:r>
        <w:rPr>
          <w:color w:val="231F1F"/>
          <w:w w:val="110"/>
          <w:sz w:val="20"/>
        </w:rPr>
        <w:t>of</w:t>
      </w:r>
      <w:r>
        <w:rPr>
          <w:color w:val="231F1F"/>
          <w:spacing w:val="-3"/>
          <w:w w:val="110"/>
          <w:sz w:val="20"/>
        </w:rPr>
        <w:t> </w:t>
      </w:r>
      <w:r>
        <w:rPr>
          <w:color w:val="231F1F"/>
          <w:w w:val="110"/>
          <w:sz w:val="20"/>
        </w:rPr>
        <w:t>labour</w:t>
      </w:r>
      <w:r>
        <w:rPr>
          <w:color w:val="231F1F"/>
          <w:spacing w:val="-3"/>
          <w:w w:val="110"/>
          <w:sz w:val="20"/>
        </w:rPr>
        <w:t> </w:t>
      </w:r>
      <w:r>
        <w:rPr>
          <w:color w:val="231F1F"/>
          <w:w w:val="110"/>
          <w:sz w:val="20"/>
        </w:rPr>
        <w:t>on</w:t>
      </w:r>
      <w:r>
        <w:rPr>
          <w:color w:val="231F1F"/>
          <w:spacing w:val="-3"/>
          <w:w w:val="110"/>
          <w:sz w:val="20"/>
        </w:rPr>
        <w:t> </w:t>
      </w:r>
      <w:r>
        <w:rPr>
          <w:color w:val="231F1F"/>
          <w:w w:val="110"/>
          <w:sz w:val="20"/>
        </w:rPr>
        <w:t>birth</w:t>
      </w:r>
      <w:r>
        <w:rPr>
          <w:color w:val="231F1F"/>
          <w:spacing w:val="-3"/>
          <w:w w:val="110"/>
          <w:sz w:val="20"/>
        </w:rPr>
        <w:t> </w:t>
      </w:r>
      <w:r>
        <w:rPr>
          <w:color w:val="231F1F"/>
          <w:w w:val="110"/>
          <w:sz w:val="20"/>
        </w:rPr>
        <w:t>outcome</w:t>
      </w:r>
      <w:r>
        <w:rPr>
          <w:color w:val="231F1F"/>
          <w:spacing w:val="-3"/>
          <w:w w:val="110"/>
          <w:sz w:val="20"/>
        </w:rPr>
        <w:t> </w:t>
      </w:r>
      <w:r>
        <w:rPr>
          <w:color w:val="231F1F"/>
          <w:w w:val="110"/>
          <w:sz w:val="20"/>
        </w:rPr>
        <w:t>in</w:t>
      </w:r>
      <w:r>
        <w:rPr>
          <w:color w:val="231F1F"/>
          <w:spacing w:val="-3"/>
          <w:w w:val="110"/>
          <w:sz w:val="20"/>
        </w:rPr>
        <w:t> </w:t>
      </w:r>
      <w:r>
        <w:rPr>
          <w:color w:val="231F1F"/>
          <w:w w:val="110"/>
          <w:sz w:val="20"/>
        </w:rPr>
        <w:t>nuliparous</w:t>
      </w:r>
      <w:r>
        <w:rPr>
          <w:color w:val="231F1F"/>
          <w:spacing w:val="-3"/>
          <w:w w:val="110"/>
          <w:sz w:val="20"/>
        </w:rPr>
        <w:t> </w:t>
      </w:r>
      <w:r>
        <w:rPr>
          <w:color w:val="231F1F"/>
          <w:w w:val="110"/>
          <w:sz w:val="20"/>
        </w:rPr>
        <w:t>women</w:t>
      </w:r>
      <w:r>
        <w:rPr>
          <w:color w:val="231F1F"/>
          <w:spacing w:val="-3"/>
          <w:w w:val="110"/>
          <w:sz w:val="20"/>
        </w:rPr>
        <w:t> </w:t>
      </w:r>
      <w:r>
        <w:rPr>
          <w:color w:val="231F1F"/>
          <w:w w:val="110"/>
          <w:sz w:val="20"/>
        </w:rPr>
        <w:t>using</w:t>
      </w:r>
      <w:r>
        <w:rPr>
          <w:color w:val="231F1F"/>
          <w:spacing w:val="-3"/>
          <w:w w:val="110"/>
          <w:sz w:val="20"/>
        </w:rPr>
        <w:t> </w:t>
      </w:r>
      <w:r>
        <w:rPr>
          <w:color w:val="231F1F"/>
          <w:w w:val="110"/>
          <w:sz w:val="20"/>
        </w:rPr>
        <w:t>epidural analgesia. Midwiferry 2004;20(2):157-68.</w:t>
      </w:r>
    </w:p>
    <w:p>
      <w:pPr>
        <w:pStyle w:val="ListParagraph"/>
        <w:numPr>
          <w:ilvl w:val="0"/>
          <w:numId w:val="109"/>
        </w:numPr>
        <w:tabs>
          <w:tab w:pos="793" w:val="left" w:leader="none"/>
          <w:tab w:pos="797" w:val="left" w:leader="none"/>
        </w:tabs>
        <w:spacing w:line="220" w:lineRule="auto" w:before="156" w:after="0"/>
        <w:ind w:left="797" w:right="120" w:hanging="502"/>
        <w:jc w:val="both"/>
        <w:rPr>
          <w:sz w:val="20"/>
        </w:rPr>
      </w:pPr>
      <w:r>
        <w:rPr>
          <w:color w:val="231F1F"/>
          <w:spacing w:val="-2"/>
          <w:w w:val="110"/>
          <w:position w:val="1"/>
          <w:sz w:val="20"/>
        </w:rPr>
        <w:t>Albers</w:t>
      </w:r>
      <w:r>
        <w:rPr>
          <w:color w:val="231F1F"/>
          <w:spacing w:val="-9"/>
          <w:w w:val="110"/>
          <w:position w:val="1"/>
          <w:sz w:val="20"/>
        </w:rPr>
        <w:t> </w:t>
      </w:r>
      <w:r>
        <w:rPr>
          <w:color w:val="231F1F"/>
          <w:spacing w:val="-2"/>
          <w:w w:val="110"/>
          <w:position w:val="1"/>
          <w:sz w:val="20"/>
        </w:rPr>
        <w:t>LL,</w:t>
      </w:r>
      <w:r>
        <w:rPr>
          <w:color w:val="231F1F"/>
          <w:spacing w:val="-8"/>
          <w:w w:val="110"/>
          <w:position w:val="1"/>
          <w:sz w:val="20"/>
        </w:rPr>
        <w:t> </w:t>
      </w:r>
      <w:r>
        <w:rPr>
          <w:color w:val="231F1F"/>
          <w:spacing w:val="-2"/>
          <w:w w:val="110"/>
          <w:position w:val="1"/>
          <w:sz w:val="20"/>
        </w:rPr>
        <w:t>Sedler</w:t>
      </w:r>
      <w:r>
        <w:rPr>
          <w:color w:val="231F1F"/>
          <w:spacing w:val="-9"/>
          <w:w w:val="110"/>
          <w:position w:val="1"/>
          <w:sz w:val="20"/>
        </w:rPr>
        <w:t> </w:t>
      </w:r>
      <w:r>
        <w:rPr>
          <w:color w:val="231F1F"/>
          <w:spacing w:val="-2"/>
          <w:w w:val="110"/>
          <w:position w:val="1"/>
          <w:sz w:val="20"/>
        </w:rPr>
        <w:t>KD,</w:t>
      </w:r>
      <w:r>
        <w:rPr>
          <w:color w:val="231F1F"/>
          <w:spacing w:val="-8"/>
          <w:w w:val="110"/>
          <w:position w:val="1"/>
          <w:sz w:val="20"/>
        </w:rPr>
        <w:t> </w:t>
      </w:r>
      <w:r>
        <w:rPr>
          <w:color w:val="231F1F"/>
          <w:spacing w:val="-2"/>
          <w:w w:val="110"/>
          <w:position w:val="1"/>
          <w:sz w:val="20"/>
        </w:rPr>
        <w:t>Bedrick</w:t>
      </w:r>
      <w:r>
        <w:rPr>
          <w:color w:val="231F1F"/>
          <w:spacing w:val="-8"/>
          <w:w w:val="110"/>
          <w:position w:val="1"/>
          <w:sz w:val="20"/>
        </w:rPr>
        <w:t> </w:t>
      </w:r>
      <w:r>
        <w:rPr>
          <w:color w:val="231F1F"/>
          <w:spacing w:val="-2"/>
          <w:w w:val="110"/>
          <w:position w:val="1"/>
          <w:sz w:val="20"/>
        </w:rPr>
        <w:t>EJ,</w:t>
      </w:r>
      <w:r>
        <w:rPr>
          <w:color w:val="231F1F"/>
          <w:spacing w:val="-8"/>
          <w:w w:val="110"/>
          <w:position w:val="1"/>
          <w:sz w:val="20"/>
        </w:rPr>
        <w:t> </w:t>
      </w:r>
      <w:r>
        <w:rPr>
          <w:color w:val="231F1F"/>
          <w:spacing w:val="-2"/>
          <w:w w:val="110"/>
          <w:position w:val="1"/>
          <w:sz w:val="20"/>
        </w:rPr>
        <w:t>Teaf</w:t>
      </w:r>
      <w:r>
        <w:rPr>
          <w:color w:val="231F1F"/>
          <w:spacing w:val="-6"/>
          <w:w w:val="110"/>
          <w:position w:val="1"/>
          <w:sz w:val="20"/>
        </w:rPr>
        <w:t> </w:t>
      </w:r>
      <w:r>
        <w:rPr>
          <w:color w:val="231F1F"/>
          <w:spacing w:val="-2"/>
          <w:w w:val="110"/>
          <w:position w:val="1"/>
          <w:sz w:val="20"/>
        </w:rPr>
        <w:t>D,</w:t>
      </w:r>
      <w:r>
        <w:rPr>
          <w:color w:val="231F1F"/>
          <w:spacing w:val="-8"/>
          <w:w w:val="110"/>
          <w:position w:val="1"/>
          <w:sz w:val="20"/>
        </w:rPr>
        <w:t> </w:t>
      </w:r>
      <w:r>
        <w:rPr>
          <w:color w:val="231F1F"/>
          <w:spacing w:val="-2"/>
          <w:w w:val="110"/>
          <w:position w:val="1"/>
          <w:sz w:val="20"/>
        </w:rPr>
        <w:t>Peralta</w:t>
      </w:r>
      <w:r>
        <w:rPr>
          <w:color w:val="231F1F"/>
          <w:spacing w:val="-7"/>
          <w:w w:val="110"/>
          <w:position w:val="1"/>
          <w:sz w:val="20"/>
        </w:rPr>
        <w:t> </w:t>
      </w:r>
      <w:r>
        <w:rPr>
          <w:color w:val="231F1F"/>
          <w:spacing w:val="-2"/>
          <w:w w:val="110"/>
          <w:position w:val="1"/>
          <w:sz w:val="20"/>
        </w:rPr>
        <w:t>P.</w:t>
      </w:r>
      <w:r>
        <w:rPr>
          <w:color w:val="231F1F"/>
          <w:spacing w:val="-8"/>
          <w:w w:val="110"/>
          <w:position w:val="1"/>
          <w:sz w:val="20"/>
        </w:rPr>
        <w:t> </w:t>
      </w:r>
      <w:r>
        <w:rPr>
          <w:color w:val="231F1F"/>
          <w:spacing w:val="-2"/>
          <w:w w:val="110"/>
          <w:position w:val="1"/>
          <w:sz w:val="20"/>
        </w:rPr>
        <w:t>Midwifery</w:t>
      </w:r>
      <w:r>
        <w:rPr>
          <w:color w:val="231F1F"/>
          <w:spacing w:val="-7"/>
          <w:w w:val="110"/>
          <w:position w:val="1"/>
          <w:sz w:val="20"/>
        </w:rPr>
        <w:t> </w:t>
      </w:r>
      <w:r>
        <w:rPr>
          <w:color w:val="231F1F"/>
          <w:spacing w:val="-2"/>
          <w:w w:val="110"/>
          <w:position w:val="1"/>
          <w:sz w:val="20"/>
        </w:rPr>
        <w:t>care</w:t>
      </w:r>
      <w:r>
        <w:rPr>
          <w:color w:val="231F1F"/>
          <w:spacing w:val="-6"/>
          <w:w w:val="110"/>
          <w:position w:val="1"/>
          <w:sz w:val="20"/>
        </w:rPr>
        <w:t> </w:t>
      </w:r>
      <w:r>
        <w:rPr>
          <w:color w:val="231F1F"/>
          <w:spacing w:val="-2"/>
          <w:w w:val="110"/>
          <w:position w:val="1"/>
          <w:sz w:val="20"/>
        </w:rPr>
        <w:t>measures</w:t>
      </w:r>
      <w:r>
        <w:rPr>
          <w:color w:val="231F1F"/>
          <w:spacing w:val="-6"/>
          <w:w w:val="110"/>
          <w:position w:val="1"/>
          <w:sz w:val="20"/>
        </w:rPr>
        <w:t> </w:t>
      </w:r>
      <w:r>
        <w:rPr>
          <w:color w:val="231F1F"/>
          <w:spacing w:val="-2"/>
          <w:w w:val="110"/>
          <w:position w:val="1"/>
          <w:sz w:val="20"/>
        </w:rPr>
        <w:t>in</w:t>
      </w:r>
      <w:r>
        <w:rPr>
          <w:color w:val="231F1F"/>
          <w:spacing w:val="-6"/>
          <w:w w:val="110"/>
          <w:position w:val="1"/>
          <w:sz w:val="20"/>
        </w:rPr>
        <w:t> </w:t>
      </w:r>
      <w:r>
        <w:rPr>
          <w:color w:val="231F1F"/>
          <w:spacing w:val="-2"/>
          <w:w w:val="110"/>
          <w:position w:val="1"/>
          <w:sz w:val="20"/>
        </w:rPr>
        <w:t>the</w:t>
      </w:r>
      <w:r>
        <w:rPr>
          <w:color w:val="231F1F"/>
          <w:spacing w:val="-6"/>
          <w:w w:val="110"/>
          <w:position w:val="1"/>
          <w:sz w:val="20"/>
        </w:rPr>
        <w:t> </w:t>
      </w:r>
      <w:r>
        <w:rPr>
          <w:color w:val="231F1F"/>
          <w:spacing w:val="-2"/>
          <w:w w:val="110"/>
          <w:position w:val="1"/>
          <w:sz w:val="20"/>
        </w:rPr>
        <w:t>second </w:t>
      </w:r>
      <w:r>
        <w:rPr>
          <w:color w:val="231F1F"/>
          <w:w w:val="110"/>
          <w:sz w:val="20"/>
        </w:rPr>
        <w:t>stage</w:t>
      </w:r>
      <w:r>
        <w:rPr>
          <w:color w:val="231F1F"/>
          <w:spacing w:val="-11"/>
          <w:w w:val="110"/>
          <w:sz w:val="20"/>
        </w:rPr>
        <w:t> </w:t>
      </w:r>
      <w:r>
        <w:rPr>
          <w:color w:val="231F1F"/>
          <w:w w:val="110"/>
          <w:sz w:val="20"/>
        </w:rPr>
        <w:t>of</w:t>
      </w:r>
      <w:r>
        <w:rPr>
          <w:color w:val="231F1F"/>
          <w:spacing w:val="-11"/>
          <w:w w:val="110"/>
          <w:sz w:val="20"/>
        </w:rPr>
        <w:t> </w:t>
      </w:r>
      <w:r>
        <w:rPr>
          <w:color w:val="231F1F"/>
          <w:w w:val="110"/>
          <w:sz w:val="20"/>
        </w:rPr>
        <w:t>labor</w:t>
      </w:r>
      <w:r>
        <w:rPr>
          <w:color w:val="231F1F"/>
          <w:spacing w:val="-11"/>
          <w:w w:val="110"/>
          <w:sz w:val="20"/>
        </w:rPr>
        <w:t> </w:t>
      </w:r>
      <w:r>
        <w:rPr>
          <w:color w:val="231F1F"/>
          <w:w w:val="110"/>
          <w:sz w:val="20"/>
        </w:rPr>
        <w:t>and</w:t>
      </w:r>
      <w:r>
        <w:rPr>
          <w:color w:val="231F1F"/>
          <w:spacing w:val="-11"/>
          <w:w w:val="110"/>
          <w:sz w:val="20"/>
        </w:rPr>
        <w:t> </w:t>
      </w:r>
      <w:r>
        <w:rPr>
          <w:color w:val="231F1F"/>
          <w:w w:val="110"/>
          <w:sz w:val="20"/>
        </w:rPr>
        <w:t>reduction</w:t>
      </w:r>
      <w:r>
        <w:rPr>
          <w:color w:val="231F1F"/>
          <w:spacing w:val="-9"/>
          <w:w w:val="110"/>
          <w:sz w:val="20"/>
        </w:rPr>
        <w:t> </w:t>
      </w:r>
      <w:r>
        <w:rPr>
          <w:color w:val="231F1F"/>
          <w:w w:val="110"/>
          <w:sz w:val="20"/>
        </w:rPr>
        <w:t>of</w:t>
      </w:r>
      <w:r>
        <w:rPr>
          <w:color w:val="231F1F"/>
          <w:spacing w:val="-10"/>
          <w:w w:val="110"/>
          <w:sz w:val="20"/>
        </w:rPr>
        <w:t> </w:t>
      </w:r>
      <w:r>
        <w:rPr>
          <w:color w:val="231F1F"/>
          <w:w w:val="110"/>
          <w:sz w:val="20"/>
        </w:rPr>
        <w:t>genital</w:t>
      </w:r>
      <w:r>
        <w:rPr>
          <w:color w:val="231F1F"/>
          <w:spacing w:val="-10"/>
          <w:w w:val="110"/>
          <w:sz w:val="20"/>
        </w:rPr>
        <w:t> </w:t>
      </w:r>
      <w:r>
        <w:rPr>
          <w:color w:val="231F1F"/>
          <w:w w:val="110"/>
          <w:sz w:val="20"/>
        </w:rPr>
        <w:t>tract</w:t>
      </w:r>
      <w:r>
        <w:rPr>
          <w:color w:val="231F1F"/>
          <w:spacing w:val="-9"/>
          <w:w w:val="110"/>
          <w:sz w:val="20"/>
        </w:rPr>
        <w:t> </w:t>
      </w:r>
      <w:r>
        <w:rPr>
          <w:color w:val="231F1F"/>
          <w:w w:val="110"/>
          <w:sz w:val="20"/>
        </w:rPr>
        <w:t>trauma</w:t>
      </w:r>
      <w:r>
        <w:rPr>
          <w:color w:val="231F1F"/>
          <w:spacing w:val="-10"/>
          <w:w w:val="110"/>
          <w:sz w:val="20"/>
        </w:rPr>
        <w:t> </w:t>
      </w:r>
      <w:r>
        <w:rPr>
          <w:color w:val="231F1F"/>
          <w:w w:val="110"/>
          <w:sz w:val="20"/>
        </w:rPr>
        <w:t>at</w:t>
      </w:r>
      <w:r>
        <w:rPr>
          <w:color w:val="231F1F"/>
          <w:spacing w:val="-9"/>
          <w:w w:val="110"/>
          <w:sz w:val="20"/>
        </w:rPr>
        <w:t> </w:t>
      </w:r>
      <w:r>
        <w:rPr>
          <w:color w:val="231F1F"/>
          <w:w w:val="110"/>
          <w:sz w:val="20"/>
        </w:rPr>
        <w:t>birth:</w:t>
      </w:r>
      <w:r>
        <w:rPr>
          <w:color w:val="231F1F"/>
          <w:spacing w:val="-11"/>
          <w:w w:val="110"/>
          <w:sz w:val="20"/>
        </w:rPr>
        <w:t> </w:t>
      </w:r>
      <w:r>
        <w:rPr>
          <w:color w:val="231F1F"/>
          <w:w w:val="110"/>
          <w:sz w:val="20"/>
        </w:rPr>
        <w:t>A</w:t>
      </w:r>
      <w:r>
        <w:rPr>
          <w:color w:val="231F1F"/>
          <w:spacing w:val="-10"/>
          <w:w w:val="110"/>
          <w:sz w:val="20"/>
        </w:rPr>
        <w:t> </w:t>
      </w:r>
      <w:r>
        <w:rPr>
          <w:color w:val="231F1F"/>
          <w:w w:val="110"/>
          <w:sz w:val="20"/>
        </w:rPr>
        <w:t>randomized</w:t>
      </w:r>
      <w:r>
        <w:rPr>
          <w:color w:val="231F1F"/>
          <w:spacing w:val="-10"/>
          <w:w w:val="110"/>
          <w:sz w:val="20"/>
        </w:rPr>
        <w:t> </w:t>
      </w:r>
      <w:r>
        <w:rPr>
          <w:color w:val="231F1F"/>
          <w:w w:val="110"/>
          <w:sz w:val="20"/>
        </w:rPr>
        <w:t>trial.</w:t>
      </w:r>
      <w:r>
        <w:rPr>
          <w:color w:val="231F1F"/>
          <w:spacing w:val="-11"/>
          <w:w w:val="110"/>
          <w:sz w:val="20"/>
        </w:rPr>
        <w:t> </w:t>
      </w:r>
      <w:r>
        <w:rPr>
          <w:color w:val="231F1F"/>
          <w:w w:val="110"/>
          <w:sz w:val="20"/>
        </w:rPr>
        <w:t>J</w:t>
      </w:r>
      <w:r>
        <w:rPr>
          <w:color w:val="231F1F"/>
          <w:spacing w:val="-10"/>
          <w:w w:val="110"/>
          <w:sz w:val="20"/>
        </w:rPr>
        <w:t> </w:t>
      </w:r>
      <w:r>
        <w:rPr>
          <w:color w:val="231F1F"/>
          <w:w w:val="110"/>
          <w:sz w:val="20"/>
        </w:rPr>
        <w:t>Midwifery Womens Health 2005;50(5):365-72.</w:t>
      </w:r>
    </w:p>
    <w:p>
      <w:pPr>
        <w:pStyle w:val="ListParagraph"/>
        <w:numPr>
          <w:ilvl w:val="0"/>
          <w:numId w:val="109"/>
        </w:numPr>
        <w:tabs>
          <w:tab w:pos="793" w:val="left" w:leader="none"/>
          <w:tab w:pos="797" w:val="left" w:leader="none"/>
        </w:tabs>
        <w:spacing w:line="225" w:lineRule="auto" w:before="153" w:after="0"/>
        <w:ind w:left="797" w:right="110" w:hanging="502"/>
        <w:jc w:val="both"/>
        <w:rPr>
          <w:sz w:val="20"/>
        </w:rPr>
      </w:pPr>
      <w:r>
        <w:rPr>
          <w:color w:val="231F1F"/>
          <w:w w:val="110"/>
          <w:position w:val="1"/>
          <w:sz w:val="20"/>
        </w:rPr>
        <w:t>Cuerva</w:t>
      </w:r>
      <w:r>
        <w:rPr>
          <w:color w:val="231F1F"/>
          <w:w w:val="110"/>
          <w:position w:val="1"/>
          <w:sz w:val="20"/>
        </w:rPr>
        <w:t> Carvajal</w:t>
      </w:r>
      <w:r>
        <w:rPr>
          <w:color w:val="231F1F"/>
          <w:w w:val="110"/>
          <w:position w:val="1"/>
          <w:sz w:val="20"/>
        </w:rPr>
        <w:t> A,</w:t>
      </w:r>
      <w:r>
        <w:rPr>
          <w:color w:val="231F1F"/>
          <w:w w:val="110"/>
          <w:position w:val="1"/>
          <w:sz w:val="20"/>
        </w:rPr>
        <w:t> Marquez</w:t>
      </w:r>
      <w:r>
        <w:rPr>
          <w:color w:val="231F1F"/>
          <w:w w:val="110"/>
          <w:position w:val="1"/>
          <w:sz w:val="20"/>
        </w:rPr>
        <w:t> Calderon</w:t>
      </w:r>
      <w:r>
        <w:rPr>
          <w:color w:val="231F1F"/>
          <w:w w:val="110"/>
          <w:position w:val="1"/>
          <w:sz w:val="20"/>
        </w:rPr>
        <w:t> S.</w:t>
      </w:r>
      <w:r>
        <w:rPr>
          <w:color w:val="231F1F"/>
          <w:w w:val="110"/>
          <w:position w:val="1"/>
          <w:sz w:val="20"/>
        </w:rPr>
        <w:t> Fase</w:t>
      </w:r>
      <w:r>
        <w:rPr>
          <w:color w:val="231F1F"/>
          <w:w w:val="110"/>
          <w:position w:val="1"/>
          <w:sz w:val="20"/>
        </w:rPr>
        <w:t> expulsiva</w:t>
      </w:r>
      <w:r>
        <w:rPr>
          <w:color w:val="231F1F"/>
          <w:w w:val="110"/>
          <w:position w:val="1"/>
          <w:sz w:val="20"/>
        </w:rPr>
        <w:t> del</w:t>
      </w:r>
      <w:r>
        <w:rPr>
          <w:color w:val="231F1F"/>
          <w:w w:val="110"/>
          <w:position w:val="1"/>
          <w:sz w:val="20"/>
        </w:rPr>
        <w:t> parto:comparación</w:t>
      </w:r>
      <w:r>
        <w:rPr>
          <w:color w:val="231F1F"/>
          <w:w w:val="110"/>
          <w:position w:val="1"/>
          <w:sz w:val="20"/>
        </w:rPr>
        <w:t> entre</w:t>
      </w:r>
      <w:r>
        <w:rPr>
          <w:color w:val="231F1F"/>
          <w:w w:val="110"/>
          <w:position w:val="1"/>
          <w:sz w:val="20"/>
        </w:rPr>
        <w:t> la </w:t>
      </w:r>
      <w:r>
        <w:rPr>
          <w:color w:val="231F1F"/>
          <w:spacing w:val="-2"/>
          <w:w w:val="110"/>
          <w:sz w:val="20"/>
        </w:rPr>
        <w:t>posición</w:t>
      </w:r>
      <w:r>
        <w:rPr>
          <w:color w:val="231F1F"/>
          <w:spacing w:val="-8"/>
          <w:w w:val="110"/>
          <w:sz w:val="20"/>
        </w:rPr>
        <w:t> </w:t>
      </w:r>
      <w:r>
        <w:rPr>
          <w:color w:val="231F1F"/>
          <w:spacing w:val="-2"/>
          <w:w w:val="110"/>
          <w:sz w:val="20"/>
        </w:rPr>
        <w:t>de</w:t>
      </w:r>
      <w:r>
        <w:rPr>
          <w:color w:val="231F1F"/>
          <w:spacing w:val="-7"/>
          <w:w w:val="110"/>
          <w:sz w:val="20"/>
        </w:rPr>
        <w:t> </w:t>
      </w:r>
      <w:r>
        <w:rPr>
          <w:color w:val="231F1F"/>
          <w:spacing w:val="-2"/>
          <w:w w:val="110"/>
          <w:sz w:val="20"/>
        </w:rPr>
        <w:t>la</w:t>
      </w:r>
      <w:r>
        <w:rPr>
          <w:color w:val="231F1F"/>
          <w:spacing w:val="-7"/>
          <w:w w:val="110"/>
          <w:sz w:val="20"/>
        </w:rPr>
        <w:t> </w:t>
      </w:r>
      <w:r>
        <w:rPr>
          <w:color w:val="231F1F"/>
          <w:spacing w:val="-2"/>
          <w:w w:val="110"/>
          <w:sz w:val="20"/>
        </w:rPr>
        <w:t>mujer,</w:t>
      </w:r>
      <w:r>
        <w:rPr>
          <w:color w:val="231F1F"/>
          <w:spacing w:val="-7"/>
          <w:w w:val="110"/>
          <w:sz w:val="20"/>
        </w:rPr>
        <w:t> </w:t>
      </w:r>
      <w:r>
        <w:rPr>
          <w:color w:val="231F1F"/>
          <w:spacing w:val="-2"/>
          <w:w w:val="110"/>
          <w:sz w:val="20"/>
        </w:rPr>
        <w:t>vertical</w:t>
      </w:r>
      <w:r>
        <w:rPr>
          <w:color w:val="231F1F"/>
          <w:spacing w:val="-7"/>
          <w:w w:val="110"/>
          <w:sz w:val="20"/>
        </w:rPr>
        <w:t> </w:t>
      </w:r>
      <w:r>
        <w:rPr>
          <w:color w:val="231F1F"/>
          <w:spacing w:val="-2"/>
          <w:w w:val="110"/>
          <w:sz w:val="20"/>
        </w:rPr>
        <w:t>frente</w:t>
      </w:r>
      <w:r>
        <w:rPr>
          <w:color w:val="231F1F"/>
          <w:spacing w:val="-7"/>
          <w:w w:val="110"/>
          <w:sz w:val="20"/>
        </w:rPr>
        <w:t> </w:t>
      </w:r>
      <w:r>
        <w:rPr>
          <w:color w:val="231F1F"/>
          <w:spacing w:val="-2"/>
          <w:w w:val="110"/>
          <w:sz w:val="20"/>
        </w:rPr>
        <w:t>a</w:t>
      </w:r>
      <w:r>
        <w:rPr>
          <w:color w:val="231F1F"/>
          <w:spacing w:val="-7"/>
          <w:w w:val="110"/>
          <w:sz w:val="20"/>
        </w:rPr>
        <w:t> </w:t>
      </w:r>
      <w:r>
        <w:rPr>
          <w:color w:val="231F1F"/>
          <w:spacing w:val="-2"/>
          <w:w w:val="110"/>
          <w:sz w:val="20"/>
        </w:rPr>
        <w:t>horizontal,</w:t>
      </w:r>
      <w:r>
        <w:rPr>
          <w:color w:val="231F1F"/>
          <w:spacing w:val="-7"/>
          <w:w w:val="110"/>
          <w:sz w:val="20"/>
        </w:rPr>
        <w:t> </w:t>
      </w:r>
      <w:r>
        <w:rPr>
          <w:color w:val="231F1F"/>
          <w:spacing w:val="-2"/>
          <w:w w:val="110"/>
          <w:sz w:val="20"/>
        </w:rPr>
        <w:t>a</w:t>
      </w:r>
      <w:r>
        <w:rPr>
          <w:color w:val="231F1F"/>
          <w:spacing w:val="-7"/>
          <w:w w:val="110"/>
          <w:sz w:val="20"/>
        </w:rPr>
        <w:t> </w:t>
      </w:r>
      <w:r>
        <w:rPr>
          <w:color w:val="231F1F"/>
          <w:spacing w:val="-2"/>
          <w:w w:val="110"/>
          <w:sz w:val="20"/>
        </w:rPr>
        <w:t>través</w:t>
      </w:r>
      <w:r>
        <w:rPr>
          <w:color w:val="231F1F"/>
          <w:spacing w:val="-7"/>
          <w:w w:val="110"/>
          <w:sz w:val="20"/>
        </w:rPr>
        <w:t> </w:t>
      </w:r>
      <w:r>
        <w:rPr>
          <w:color w:val="231F1F"/>
          <w:spacing w:val="-2"/>
          <w:w w:val="110"/>
          <w:sz w:val="20"/>
        </w:rPr>
        <w:t>de</w:t>
      </w:r>
      <w:r>
        <w:rPr>
          <w:color w:val="231F1F"/>
          <w:spacing w:val="-7"/>
          <w:w w:val="110"/>
          <w:sz w:val="20"/>
        </w:rPr>
        <w:t> </w:t>
      </w:r>
      <w:r>
        <w:rPr>
          <w:color w:val="231F1F"/>
          <w:spacing w:val="-2"/>
          <w:w w:val="110"/>
          <w:sz w:val="20"/>
        </w:rPr>
        <w:t>los</w:t>
      </w:r>
      <w:r>
        <w:rPr>
          <w:color w:val="231F1F"/>
          <w:spacing w:val="-7"/>
          <w:w w:val="110"/>
          <w:sz w:val="20"/>
        </w:rPr>
        <w:t> </w:t>
      </w:r>
      <w:r>
        <w:rPr>
          <w:color w:val="231F1F"/>
          <w:spacing w:val="-2"/>
          <w:w w:val="110"/>
          <w:sz w:val="20"/>
        </w:rPr>
        <w:t>resultados</w:t>
      </w:r>
      <w:r>
        <w:rPr>
          <w:color w:val="231F1F"/>
          <w:spacing w:val="-7"/>
          <w:w w:val="110"/>
          <w:sz w:val="20"/>
        </w:rPr>
        <w:t> </w:t>
      </w:r>
      <w:r>
        <w:rPr>
          <w:color w:val="231F1F"/>
          <w:spacing w:val="-2"/>
          <w:w w:val="110"/>
          <w:sz w:val="20"/>
        </w:rPr>
        <w:t>maternos</w:t>
      </w:r>
      <w:r>
        <w:rPr>
          <w:color w:val="231F1F"/>
          <w:spacing w:val="-7"/>
          <w:w w:val="110"/>
          <w:sz w:val="20"/>
        </w:rPr>
        <w:t> </w:t>
      </w:r>
      <w:r>
        <w:rPr>
          <w:color w:val="231F1F"/>
          <w:spacing w:val="-2"/>
          <w:w w:val="110"/>
          <w:sz w:val="20"/>
        </w:rPr>
        <w:t>y</w:t>
      </w:r>
      <w:r>
        <w:rPr>
          <w:color w:val="231F1F"/>
          <w:spacing w:val="-7"/>
          <w:w w:val="110"/>
          <w:sz w:val="20"/>
        </w:rPr>
        <w:t> </w:t>
      </w:r>
      <w:r>
        <w:rPr>
          <w:color w:val="231F1F"/>
          <w:spacing w:val="-2"/>
          <w:w w:val="110"/>
          <w:sz w:val="20"/>
        </w:rPr>
        <w:t>fetales. </w:t>
      </w:r>
      <w:r>
        <w:rPr>
          <w:color w:val="231F1F"/>
          <w:w w:val="110"/>
          <w:sz w:val="20"/>
        </w:rPr>
        <w:t>Agencia de Evaluación de Tecnologías Sanitarias de Andalucía 2006;Informe 13:6-64.</w:t>
      </w:r>
    </w:p>
    <w:p>
      <w:pPr>
        <w:pStyle w:val="ListParagraph"/>
        <w:numPr>
          <w:ilvl w:val="0"/>
          <w:numId w:val="109"/>
        </w:numPr>
        <w:tabs>
          <w:tab w:pos="794" w:val="left" w:leader="none"/>
          <w:tab w:pos="798" w:val="left" w:leader="none"/>
        </w:tabs>
        <w:spacing w:line="230" w:lineRule="auto" w:before="159" w:after="0"/>
        <w:ind w:left="798" w:right="123" w:hanging="502"/>
        <w:jc w:val="both"/>
        <w:rPr>
          <w:sz w:val="20"/>
        </w:rPr>
      </w:pPr>
      <w:r>
        <w:rPr>
          <w:color w:val="231F1F"/>
          <w:w w:val="105"/>
          <w:sz w:val="20"/>
        </w:rPr>
        <w:t>Bloom</w:t>
      </w:r>
      <w:r>
        <w:rPr>
          <w:color w:val="231F1F"/>
          <w:w w:val="105"/>
          <w:sz w:val="20"/>
        </w:rPr>
        <w:t> SL,</w:t>
      </w:r>
      <w:r>
        <w:rPr>
          <w:color w:val="231F1F"/>
          <w:w w:val="105"/>
          <w:sz w:val="20"/>
        </w:rPr>
        <w:t> Casey</w:t>
      </w:r>
      <w:r>
        <w:rPr>
          <w:color w:val="231F1F"/>
          <w:w w:val="105"/>
          <w:sz w:val="20"/>
        </w:rPr>
        <w:t> BM,</w:t>
      </w:r>
      <w:r>
        <w:rPr>
          <w:color w:val="231F1F"/>
          <w:w w:val="105"/>
          <w:sz w:val="20"/>
        </w:rPr>
        <w:t> Schaffer</w:t>
      </w:r>
      <w:r>
        <w:rPr>
          <w:color w:val="231F1F"/>
          <w:w w:val="105"/>
          <w:sz w:val="20"/>
        </w:rPr>
        <w:t> JI,</w:t>
      </w:r>
      <w:r>
        <w:rPr>
          <w:color w:val="231F1F"/>
          <w:w w:val="105"/>
          <w:sz w:val="20"/>
        </w:rPr>
        <w:t> et</w:t>
      </w:r>
      <w:r>
        <w:rPr>
          <w:color w:val="231F1F"/>
          <w:w w:val="105"/>
          <w:sz w:val="20"/>
        </w:rPr>
        <w:t> al.</w:t>
      </w:r>
      <w:r>
        <w:rPr>
          <w:color w:val="231F1F"/>
          <w:w w:val="105"/>
          <w:sz w:val="20"/>
        </w:rPr>
        <w:t> A</w:t>
      </w:r>
      <w:r>
        <w:rPr>
          <w:color w:val="231F1F"/>
          <w:w w:val="105"/>
          <w:sz w:val="20"/>
        </w:rPr>
        <w:t> randomized</w:t>
      </w:r>
      <w:r>
        <w:rPr>
          <w:color w:val="231F1F"/>
          <w:w w:val="105"/>
          <w:sz w:val="20"/>
        </w:rPr>
        <w:t> trial</w:t>
      </w:r>
      <w:r>
        <w:rPr>
          <w:color w:val="231F1F"/>
          <w:w w:val="105"/>
          <w:sz w:val="20"/>
        </w:rPr>
        <w:t> of</w:t>
      </w:r>
      <w:r>
        <w:rPr>
          <w:color w:val="231F1F"/>
          <w:w w:val="105"/>
          <w:sz w:val="20"/>
        </w:rPr>
        <w:t> coached</w:t>
      </w:r>
      <w:r>
        <w:rPr>
          <w:color w:val="231F1F"/>
          <w:w w:val="105"/>
          <w:sz w:val="20"/>
        </w:rPr>
        <w:t> versus</w:t>
      </w:r>
      <w:r>
        <w:rPr>
          <w:color w:val="231F1F"/>
          <w:w w:val="105"/>
          <w:sz w:val="20"/>
        </w:rPr>
        <w:t> uncoached maternal</w:t>
      </w:r>
      <w:r>
        <w:rPr>
          <w:color w:val="231F1F"/>
          <w:spacing w:val="-5"/>
          <w:w w:val="105"/>
          <w:sz w:val="20"/>
        </w:rPr>
        <w:t> </w:t>
      </w:r>
      <w:r>
        <w:rPr>
          <w:color w:val="231F1F"/>
          <w:w w:val="105"/>
          <w:sz w:val="20"/>
        </w:rPr>
        <w:t>pushing</w:t>
      </w:r>
      <w:r>
        <w:rPr>
          <w:color w:val="231F1F"/>
          <w:spacing w:val="-5"/>
          <w:w w:val="105"/>
          <w:sz w:val="20"/>
        </w:rPr>
        <w:t> </w:t>
      </w:r>
      <w:r>
        <w:rPr>
          <w:color w:val="231F1F"/>
          <w:w w:val="105"/>
          <w:sz w:val="20"/>
        </w:rPr>
        <w:t>during</w:t>
      </w:r>
      <w:r>
        <w:rPr>
          <w:color w:val="231F1F"/>
          <w:spacing w:val="-5"/>
          <w:w w:val="105"/>
          <w:sz w:val="20"/>
        </w:rPr>
        <w:t> </w:t>
      </w:r>
      <w:r>
        <w:rPr>
          <w:color w:val="231F1F"/>
          <w:w w:val="105"/>
          <w:sz w:val="20"/>
        </w:rPr>
        <w:t>the</w:t>
      </w:r>
      <w:r>
        <w:rPr>
          <w:color w:val="231F1F"/>
          <w:spacing w:val="-5"/>
          <w:w w:val="105"/>
          <w:sz w:val="20"/>
        </w:rPr>
        <w:t> </w:t>
      </w:r>
      <w:r>
        <w:rPr>
          <w:color w:val="231F1F"/>
          <w:w w:val="105"/>
          <w:sz w:val="20"/>
        </w:rPr>
        <w:t>second</w:t>
      </w:r>
      <w:r>
        <w:rPr>
          <w:color w:val="231F1F"/>
          <w:spacing w:val="-5"/>
          <w:w w:val="105"/>
          <w:sz w:val="20"/>
        </w:rPr>
        <w:t> </w:t>
      </w:r>
      <w:r>
        <w:rPr>
          <w:color w:val="231F1F"/>
          <w:w w:val="105"/>
          <w:sz w:val="20"/>
        </w:rPr>
        <w:t>stage</w:t>
      </w:r>
      <w:r>
        <w:rPr>
          <w:color w:val="231F1F"/>
          <w:spacing w:val="-5"/>
          <w:w w:val="105"/>
          <w:sz w:val="20"/>
        </w:rPr>
        <w:t> </w:t>
      </w:r>
      <w:r>
        <w:rPr>
          <w:color w:val="231F1F"/>
          <w:w w:val="105"/>
          <w:sz w:val="20"/>
        </w:rPr>
        <w:t>of</w:t>
      </w:r>
      <w:r>
        <w:rPr>
          <w:color w:val="231F1F"/>
          <w:spacing w:val="-5"/>
          <w:w w:val="105"/>
          <w:sz w:val="20"/>
        </w:rPr>
        <w:t> </w:t>
      </w:r>
      <w:r>
        <w:rPr>
          <w:color w:val="231F1F"/>
          <w:w w:val="105"/>
          <w:sz w:val="20"/>
        </w:rPr>
        <w:t>labor.Am</w:t>
      </w:r>
      <w:r>
        <w:rPr>
          <w:color w:val="231F1F"/>
          <w:spacing w:val="-5"/>
          <w:w w:val="105"/>
          <w:sz w:val="20"/>
        </w:rPr>
        <w:t> </w:t>
      </w:r>
      <w:r>
        <w:rPr>
          <w:color w:val="231F1F"/>
          <w:w w:val="105"/>
          <w:sz w:val="20"/>
        </w:rPr>
        <w:t>J</w:t>
      </w:r>
      <w:r>
        <w:rPr>
          <w:color w:val="231F1F"/>
          <w:spacing w:val="-5"/>
          <w:w w:val="105"/>
          <w:sz w:val="20"/>
        </w:rPr>
        <w:t> </w:t>
      </w:r>
      <w:r>
        <w:rPr>
          <w:color w:val="231F1F"/>
          <w:w w:val="105"/>
          <w:sz w:val="20"/>
        </w:rPr>
        <w:t>Obstet</w:t>
      </w:r>
      <w:r>
        <w:rPr>
          <w:color w:val="231F1F"/>
          <w:spacing w:val="-5"/>
          <w:w w:val="105"/>
          <w:sz w:val="20"/>
        </w:rPr>
        <w:t> </w:t>
      </w:r>
      <w:r>
        <w:rPr>
          <w:color w:val="231F1F"/>
          <w:w w:val="105"/>
          <w:sz w:val="20"/>
        </w:rPr>
        <w:t>Gynecol</w:t>
      </w:r>
      <w:r>
        <w:rPr>
          <w:color w:val="231F1F"/>
          <w:spacing w:val="-5"/>
          <w:w w:val="105"/>
          <w:sz w:val="20"/>
        </w:rPr>
        <w:t> </w:t>
      </w:r>
      <w:r>
        <w:rPr>
          <w:color w:val="231F1F"/>
          <w:w w:val="105"/>
          <w:sz w:val="20"/>
        </w:rPr>
        <w:t>2006;</w:t>
      </w:r>
      <w:r>
        <w:rPr>
          <w:color w:val="231F1F"/>
          <w:spacing w:val="-8"/>
          <w:w w:val="105"/>
          <w:sz w:val="20"/>
        </w:rPr>
        <w:t> </w:t>
      </w:r>
      <w:r>
        <w:rPr>
          <w:color w:val="231F1F"/>
          <w:w w:val="105"/>
          <w:sz w:val="20"/>
        </w:rPr>
        <w:t>2006;194(1):10- </w:t>
      </w:r>
      <w:r>
        <w:rPr>
          <w:color w:val="231F1F"/>
          <w:spacing w:val="-6"/>
          <w:w w:val="105"/>
          <w:sz w:val="20"/>
        </w:rPr>
        <w:t>3.</w:t>
      </w:r>
    </w:p>
    <w:p>
      <w:pPr>
        <w:pStyle w:val="ListParagraph"/>
        <w:numPr>
          <w:ilvl w:val="0"/>
          <w:numId w:val="109"/>
        </w:numPr>
        <w:tabs>
          <w:tab w:pos="793" w:val="left" w:leader="none"/>
          <w:tab w:pos="797" w:val="left" w:leader="none"/>
        </w:tabs>
        <w:spacing w:line="223" w:lineRule="auto" w:before="145" w:after="0"/>
        <w:ind w:left="797" w:right="123" w:hanging="502"/>
        <w:jc w:val="both"/>
        <w:rPr>
          <w:sz w:val="20"/>
        </w:rPr>
      </w:pPr>
      <w:r>
        <w:rPr>
          <w:color w:val="231F1F"/>
          <w:w w:val="110"/>
          <w:position w:val="1"/>
          <w:sz w:val="20"/>
        </w:rPr>
        <w:t>Schaffer JI, Bloom SL, Casey BM, et al. A randomized trial of the effects of coached vs </w:t>
      </w:r>
      <w:r>
        <w:rPr>
          <w:color w:val="231F1F"/>
          <w:w w:val="110"/>
          <w:sz w:val="20"/>
        </w:rPr>
        <w:t>uncoached maternal pushing during the second stage of labor on postpartum pelvic floor structure and function.</w:t>
      </w:r>
      <w:r>
        <w:rPr>
          <w:color w:val="231F1F"/>
          <w:spacing w:val="-4"/>
          <w:w w:val="110"/>
          <w:sz w:val="20"/>
        </w:rPr>
        <w:t> </w:t>
      </w:r>
      <w:r>
        <w:rPr>
          <w:color w:val="231F1F"/>
          <w:w w:val="110"/>
          <w:sz w:val="20"/>
        </w:rPr>
        <w:t>Am J Obstet Gynecol 2005;192(5):1692.-1696.</w:t>
      </w:r>
    </w:p>
    <w:p>
      <w:pPr>
        <w:pStyle w:val="ListParagraph"/>
        <w:numPr>
          <w:ilvl w:val="0"/>
          <w:numId w:val="109"/>
        </w:numPr>
        <w:tabs>
          <w:tab w:pos="794" w:val="left" w:leader="none"/>
          <w:tab w:pos="798" w:val="left" w:leader="none"/>
        </w:tabs>
        <w:spacing w:line="230" w:lineRule="auto" w:before="169" w:after="0"/>
        <w:ind w:left="798" w:right="213" w:hanging="502"/>
        <w:jc w:val="both"/>
        <w:rPr>
          <w:sz w:val="20"/>
        </w:rPr>
      </w:pPr>
      <w:r>
        <w:rPr>
          <w:color w:val="231F1F"/>
          <w:w w:val="105"/>
          <w:sz w:val="20"/>
        </w:rPr>
        <w:t>Parnell</w:t>
      </w:r>
      <w:r>
        <w:rPr>
          <w:color w:val="231F1F"/>
          <w:spacing w:val="-11"/>
          <w:w w:val="105"/>
          <w:sz w:val="20"/>
        </w:rPr>
        <w:t> </w:t>
      </w:r>
      <w:r>
        <w:rPr>
          <w:color w:val="231F1F"/>
          <w:w w:val="105"/>
          <w:sz w:val="20"/>
        </w:rPr>
        <w:t>C,</w:t>
      </w:r>
      <w:r>
        <w:rPr>
          <w:color w:val="231F1F"/>
          <w:spacing w:val="-11"/>
          <w:w w:val="105"/>
          <w:sz w:val="20"/>
        </w:rPr>
        <w:t> </w:t>
      </w:r>
      <w:r>
        <w:rPr>
          <w:color w:val="231F1F"/>
          <w:w w:val="105"/>
          <w:sz w:val="20"/>
        </w:rPr>
        <w:t>Langhoff-Roos</w:t>
      </w:r>
      <w:r>
        <w:rPr>
          <w:color w:val="231F1F"/>
          <w:spacing w:val="-11"/>
          <w:w w:val="105"/>
          <w:sz w:val="20"/>
        </w:rPr>
        <w:t> </w:t>
      </w:r>
      <w:r>
        <w:rPr>
          <w:color w:val="231F1F"/>
          <w:w w:val="105"/>
          <w:sz w:val="20"/>
        </w:rPr>
        <w:t>J,</w:t>
      </w:r>
      <w:r>
        <w:rPr>
          <w:color w:val="231F1F"/>
          <w:spacing w:val="-11"/>
          <w:w w:val="105"/>
          <w:sz w:val="20"/>
        </w:rPr>
        <w:t> </w:t>
      </w:r>
      <w:r>
        <w:rPr>
          <w:color w:val="231F1F"/>
          <w:w w:val="105"/>
          <w:sz w:val="20"/>
        </w:rPr>
        <w:t>Iversen</w:t>
      </w:r>
      <w:r>
        <w:rPr>
          <w:color w:val="231F1F"/>
          <w:spacing w:val="-11"/>
          <w:w w:val="105"/>
          <w:sz w:val="20"/>
        </w:rPr>
        <w:t> </w:t>
      </w:r>
      <w:r>
        <w:rPr>
          <w:color w:val="231F1F"/>
          <w:w w:val="105"/>
          <w:sz w:val="20"/>
        </w:rPr>
        <w:t>R,</w:t>
      </w:r>
      <w:r>
        <w:rPr>
          <w:color w:val="231F1F"/>
          <w:spacing w:val="-10"/>
          <w:w w:val="105"/>
          <w:sz w:val="20"/>
        </w:rPr>
        <w:t> </w:t>
      </w:r>
      <w:r>
        <w:rPr>
          <w:color w:val="231F1F"/>
          <w:w w:val="105"/>
          <w:sz w:val="20"/>
        </w:rPr>
        <w:t>Damgaard</w:t>
      </w:r>
      <w:r>
        <w:rPr>
          <w:color w:val="231F1F"/>
          <w:spacing w:val="-5"/>
          <w:w w:val="105"/>
          <w:sz w:val="20"/>
        </w:rPr>
        <w:t> </w:t>
      </w:r>
      <w:r>
        <w:rPr>
          <w:color w:val="231F1F"/>
          <w:w w:val="105"/>
          <w:sz w:val="20"/>
        </w:rPr>
        <w:t>P.</w:t>
      </w:r>
      <w:r>
        <w:rPr>
          <w:color w:val="231F1F"/>
          <w:spacing w:val="-11"/>
          <w:w w:val="105"/>
          <w:sz w:val="20"/>
        </w:rPr>
        <w:t> </w:t>
      </w:r>
      <w:r>
        <w:rPr>
          <w:color w:val="231F1F"/>
          <w:w w:val="105"/>
          <w:sz w:val="20"/>
        </w:rPr>
        <w:t>Pushing</w:t>
      </w:r>
      <w:r>
        <w:rPr>
          <w:color w:val="231F1F"/>
          <w:spacing w:val="-5"/>
          <w:w w:val="105"/>
          <w:sz w:val="20"/>
        </w:rPr>
        <w:t> </w:t>
      </w:r>
      <w:r>
        <w:rPr>
          <w:color w:val="231F1F"/>
          <w:w w:val="105"/>
          <w:sz w:val="20"/>
        </w:rPr>
        <w:t>method</w:t>
      </w:r>
      <w:r>
        <w:rPr>
          <w:color w:val="231F1F"/>
          <w:spacing w:val="-5"/>
          <w:w w:val="105"/>
          <w:sz w:val="20"/>
        </w:rPr>
        <w:t> </w:t>
      </w:r>
      <w:r>
        <w:rPr>
          <w:color w:val="231F1F"/>
          <w:w w:val="105"/>
          <w:sz w:val="20"/>
        </w:rPr>
        <w:t>in</w:t>
      </w:r>
      <w:r>
        <w:rPr>
          <w:color w:val="231F1F"/>
          <w:spacing w:val="-5"/>
          <w:w w:val="105"/>
          <w:sz w:val="20"/>
        </w:rPr>
        <w:t> </w:t>
      </w:r>
      <w:r>
        <w:rPr>
          <w:color w:val="231F1F"/>
          <w:w w:val="105"/>
          <w:sz w:val="20"/>
        </w:rPr>
        <w:t>the</w:t>
      </w:r>
      <w:r>
        <w:rPr>
          <w:color w:val="231F1F"/>
          <w:spacing w:val="-5"/>
          <w:w w:val="105"/>
          <w:sz w:val="20"/>
        </w:rPr>
        <w:t> </w:t>
      </w:r>
      <w:r>
        <w:rPr>
          <w:color w:val="231F1F"/>
          <w:w w:val="105"/>
          <w:sz w:val="20"/>
        </w:rPr>
        <w:t>expulsive</w:t>
      </w:r>
      <w:r>
        <w:rPr>
          <w:color w:val="231F1F"/>
          <w:spacing w:val="-6"/>
          <w:w w:val="105"/>
          <w:sz w:val="20"/>
        </w:rPr>
        <w:t> </w:t>
      </w:r>
      <w:r>
        <w:rPr>
          <w:color w:val="231F1F"/>
          <w:w w:val="105"/>
          <w:sz w:val="20"/>
        </w:rPr>
        <w:t>phase</w:t>
      </w:r>
      <w:r>
        <w:rPr>
          <w:color w:val="231F1F"/>
          <w:spacing w:val="-5"/>
          <w:w w:val="105"/>
          <w:sz w:val="20"/>
        </w:rPr>
        <w:t> </w:t>
      </w:r>
      <w:r>
        <w:rPr>
          <w:color w:val="231F1F"/>
          <w:w w:val="105"/>
          <w:sz w:val="20"/>
        </w:rPr>
        <w:t>of labor. A randomized trial. Acta Obstet Gynecol Scand 1993;72(1):31-5.</w:t>
      </w:r>
    </w:p>
    <w:p>
      <w:pPr>
        <w:pStyle w:val="ListParagraph"/>
        <w:numPr>
          <w:ilvl w:val="0"/>
          <w:numId w:val="109"/>
        </w:numPr>
        <w:tabs>
          <w:tab w:pos="795" w:val="left" w:leader="none"/>
        </w:tabs>
        <w:spacing w:line="240" w:lineRule="auto" w:before="141" w:after="0"/>
        <w:ind w:left="795" w:right="0" w:hanging="519"/>
        <w:jc w:val="left"/>
        <w:rPr>
          <w:sz w:val="20"/>
        </w:rPr>
      </w:pPr>
      <w:r>
        <w:rPr>
          <w:color w:val="231F1F"/>
          <w:sz w:val="20"/>
        </w:rPr>
        <w:t>Thomson</w:t>
      </w:r>
      <w:r>
        <w:rPr>
          <w:color w:val="231F1F"/>
          <w:spacing w:val="-15"/>
          <w:sz w:val="20"/>
        </w:rPr>
        <w:t> </w:t>
      </w:r>
      <w:r>
        <w:rPr>
          <w:color w:val="231F1F"/>
          <w:sz w:val="20"/>
        </w:rPr>
        <w:t>AM.</w:t>
      </w:r>
      <w:r>
        <w:rPr>
          <w:color w:val="231F1F"/>
          <w:spacing w:val="-13"/>
          <w:sz w:val="20"/>
        </w:rPr>
        <w:t> </w:t>
      </w:r>
      <w:r>
        <w:rPr>
          <w:color w:val="231F1F"/>
          <w:sz w:val="20"/>
        </w:rPr>
        <w:t>Pushing</w:t>
      </w:r>
      <w:r>
        <w:rPr>
          <w:color w:val="231F1F"/>
          <w:spacing w:val="-6"/>
          <w:sz w:val="20"/>
        </w:rPr>
        <w:t> </w:t>
      </w:r>
      <w:r>
        <w:rPr>
          <w:color w:val="231F1F"/>
          <w:sz w:val="20"/>
        </w:rPr>
        <w:t>techniques</w:t>
      </w:r>
      <w:r>
        <w:rPr>
          <w:color w:val="231F1F"/>
          <w:spacing w:val="-1"/>
          <w:sz w:val="20"/>
        </w:rPr>
        <w:t> </w:t>
      </w:r>
      <w:r>
        <w:rPr>
          <w:color w:val="231F1F"/>
          <w:sz w:val="20"/>
        </w:rPr>
        <w:t>in</w:t>
      </w:r>
      <w:r>
        <w:rPr>
          <w:color w:val="231F1F"/>
          <w:spacing w:val="-1"/>
          <w:sz w:val="20"/>
        </w:rPr>
        <w:t> </w:t>
      </w:r>
      <w:r>
        <w:rPr>
          <w:color w:val="231F1F"/>
          <w:sz w:val="20"/>
        </w:rPr>
        <w:t>the second</w:t>
      </w:r>
      <w:r>
        <w:rPr>
          <w:color w:val="231F1F"/>
          <w:spacing w:val="-1"/>
          <w:sz w:val="20"/>
        </w:rPr>
        <w:t> </w:t>
      </w:r>
      <w:r>
        <w:rPr>
          <w:color w:val="231F1F"/>
          <w:sz w:val="20"/>
        </w:rPr>
        <w:t>stage</w:t>
      </w:r>
      <w:r>
        <w:rPr>
          <w:color w:val="231F1F"/>
          <w:spacing w:val="-1"/>
          <w:sz w:val="20"/>
        </w:rPr>
        <w:t> </w:t>
      </w:r>
      <w:r>
        <w:rPr>
          <w:color w:val="231F1F"/>
          <w:sz w:val="20"/>
        </w:rPr>
        <w:t>of</w:t>
      </w:r>
      <w:r>
        <w:rPr>
          <w:color w:val="231F1F"/>
          <w:spacing w:val="-1"/>
          <w:sz w:val="20"/>
        </w:rPr>
        <w:t> </w:t>
      </w:r>
      <w:r>
        <w:rPr>
          <w:color w:val="231F1F"/>
          <w:sz w:val="20"/>
        </w:rPr>
        <w:t>labour.</w:t>
      </w:r>
      <w:r>
        <w:rPr>
          <w:color w:val="231F1F"/>
          <w:spacing w:val="-13"/>
          <w:sz w:val="20"/>
        </w:rPr>
        <w:t> </w:t>
      </w:r>
      <w:r>
        <w:rPr>
          <w:color w:val="231F1F"/>
          <w:sz w:val="20"/>
        </w:rPr>
        <w:t>J</w:t>
      </w:r>
      <w:r>
        <w:rPr>
          <w:color w:val="231F1F"/>
          <w:spacing w:val="-12"/>
          <w:sz w:val="20"/>
        </w:rPr>
        <w:t> </w:t>
      </w:r>
      <w:r>
        <w:rPr>
          <w:color w:val="231F1F"/>
          <w:sz w:val="20"/>
        </w:rPr>
        <w:t>Adv</w:t>
      </w:r>
      <w:r>
        <w:rPr>
          <w:color w:val="231F1F"/>
          <w:spacing w:val="-1"/>
          <w:sz w:val="20"/>
        </w:rPr>
        <w:t> </w:t>
      </w:r>
      <w:r>
        <w:rPr>
          <w:color w:val="231F1F"/>
          <w:sz w:val="20"/>
        </w:rPr>
        <w:t>Nurs 1993;18(2):171-</w:t>
      </w:r>
      <w:r>
        <w:rPr>
          <w:color w:val="231F1F"/>
          <w:spacing w:val="-5"/>
          <w:sz w:val="20"/>
        </w:rPr>
        <w:t>7.</w:t>
      </w:r>
    </w:p>
    <w:p>
      <w:pPr>
        <w:pStyle w:val="ListParagraph"/>
        <w:numPr>
          <w:ilvl w:val="0"/>
          <w:numId w:val="109"/>
        </w:numPr>
        <w:tabs>
          <w:tab w:pos="794" w:val="left" w:leader="none"/>
          <w:tab w:pos="798" w:val="left" w:leader="none"/>
        </w:tabs>
        <w:spacing w:line="225" w:lineRule="auto" w:before="141" w:after="0"/>
        <w:ind w:left="798" w:right="226" w:hanging="502"/>
        <w:jc w:val="both"/>
        <w:rPr>
          <w:sz w:val="20"/>
        </w:rPr>
      </w:pPr>
      <w:r>
        <w:rPr>
          <w:color w:val="231F1F"/>
          <w:w w:val="105"/>
          <w:sz w:val="20"/>
        </w:rPr>
        <w:t>Knauth</w:t>
      </w:r>
      <w:r>
        <w:rPr>
          <w:color w:val="231F1F"/>
          <w:spacing w:val="-8"/>
          <w:w w:val="105"/>
          <w:sz w:val="20"/>
        </w:rPr>
        <w:t> </w:t>
      </w:r>
      <w:r>
        <w:rPr>
          <w:color w:val="231F1F"/>
          <w:w w:val="105"/>
          <w:sz w:val="20"/>
        </w:rPr>
        <w:t>DG,</w:t>
      </w:r>
      <w:r>
        <w:rPr>
          <w:color w:val="231F1F"/>
          <w:spacing w:val="-7"/>
          <w:w w:val="105"/>
          <w:sz w:val="20"/>
        </w:rPr>
        <w:t> </w:t>
      </w:r>
      <w:r>
        <w:rPr>
          <w:color w:val="231F1F"/>
          <w:w w:val="105"/>
          <w:sz w:val="20"/>
        </w:rPr>
        <w:t>Haloburdo</w:t>
      </w:r>
      <w:r>
        <w:rPr>
          <w:color w:val="231F1F"/>
          <w:spacing w:val="-2"/>
          <w:w w:val="105"/>
          <w:sz w:val="20"/>
        </w:rPr>
        <w:t> </w:t>
      </w:r>
      <w:r>
        <w:rPr>
          <w:color w:val="231F1F"/>
          <w:w w:val="105"/>
          <w:sz w:val="20"/>
        </w:rPr>
        <w:t>EP.</w:t>
      </w:r>
      <w:r>
        <w:rPr>
          <w:color w:val="231F1F"/>
          <w:spacing w:val="-7"/>
          <w:w w:val="105"/>
          <w:sz w:val="20"/>
        </w:rPr>
        <w:t> </w:t>
      </w:r>
      <w:r>
        <w:rPr>
          <w:color w:val="231F1F"/>
          <w:w w:val="105"/>
          <w:sz w:val="20"/>
        </w:rPr>
        <w:t>Effect</w:t>
      </w:r>
      <w:r>
        <w:rPr>
          <w:color w:val="231F1F"/>
          <w:spacing w:val="-2"/>
          <w:w w:val="105"/>
          <w:sz w:val="20"/>
        </w:rPr>
        <w:t> </w:t>
      </w:r>
      <w:r>
        <w:rPr>
          <w:color w:val="231F1F"/>
          <w:w w:val="105"/>
          <w:sz w:val="20"/>
        </w:rPr>
        <w:t>of</w:t>
      </w:r>
      <w:r>
        <w:rPr>
          <w:color w:val="231F1F"/>
          <w:spacing w:val="-2"/>
          <w:w w:val="105"/>
          <w:sz w:val="20"/>
        </w:rPr>
        <w:t> </w:t>
      </w:r>
      <w:r>
        <w:rPr>
          <w:color w:val="231F1F"/>
          <w:w w:val="105"/>
          <w:sz w:val="20"/>
        </w:rPr>
        <w:t>pushing</w:t>
      </w:r>
      <w:r>
        <w:rPr>
          <w:color w:val="231F1F"/>
          <w:spacing w:val="-2"/>
          <w:w w:val="105"/>
          <w:sz w:val="20"/>
        </w:rPr>
        <w:t> </w:t>
      </w:r>
      <w:r>
        <w:rPr>
          <w:color w:val="231F1F"/>
          <w:w w:val="105"/>
          <w:sz w:val="20"/>
        </w:rPr>
        <w:t>techniques</w:t>
      </w:r>
      <w:r>
        <w:rPr>
          <w:color w:val="231F1F"/>
          <w:spacing w:val="-2"/>
          <w:w w:val="105"/>
          <w:sz w:val="20"/>
        </w:rPr>
        <w:t> </w:t>
      </w:r>
      <w:r>
        <w:rPr>
          <w:color w:val="231F1F"/>
          <w:w w:val="105"/>
          <w:sz w:val="20"/>
        </w:rPr>
        <w:t>in</w:t>
      </w:r>
      <w:r>
        <w:rPr>
          <w:color w:val="231F1F"/>
          <w:spacing w:val="-2"/>
          <w:w w:val="105"/>
          <w:sz w:val="20"/>
        </w:rPr>
        <w:t> </w:t>
      </w:r>
      <w:r>
        <w:rPr>
          <w:color w:val="231F1F"/>
          <w:w w:val="105"/>
          <w:sz w:val="20"/>
        </w:rPr>
        <w:t>birthing</w:t>
      </w:r>
      <w:r>
        <w:rPr>
          <w:color w:val="231F1F"/>
          <w:spacing w:val="-2"/>
          <w:w w:val="105"/>
          <w:sz w:val="20"/>
        </w:rPr>
        <w:t> </w:t>
      </w:r>
      <w:r>
        <w:rPr>
          <w:color w:val="231F1F"/>
          <w:w w:val="105"/>
          <w:sz w:val="20"/>
        </w:rPr>
        <w:t>chair</w:t>
      </w:r>
      <w:r>
        <w:rPr>
          <w:color w:val="231F1F"/>
          <w:spacing w:val="-2"/>
          <w:w w:val="105"/>
          <w:sz w:val="20"/>
        </w:rPr>
        <w:t> </w:t>
      </w:r>
      <w:r>
        <w:rPr>
          <w:color w:val="231F1F"/>
          <w:w w:val="105"/>
          <w:sz w:val="20"/>
        </w:rPr>
        <w:t>on</w:t>
      </w:r>
      <w:r>
        <w:rPr>
          <w:color w:val="231F1F"/>
          <w:spacing w:val="-2"/>
          <w:w w:val="105"/>
          <w:sz w:val="20"/>
        </w:rPr>
        <w:t> </w:t>
      </w:r>
      <w:r>
        <w:rPr>
          <w:color w:val="231F1F"/>
          <w:w w:val="105"/>
          <w:sz w:val="20"/>
        </w:rPr>
        <w:t>length</w:t>
      </w:r>
      <w:r>
        <w:rPr>
          <w:color w:val="231F1F"/>
          <w:spacing w:val="-2"/>
          <w:w w:val="105"/>
          <w:sz w:val="20"/>
        </w:rPr>
        <w:t> </w:t>
      </w:r>
      <w:r>
        <w:rPr>
          <w:color w:val="231F1F"/>
          <w:w w:val="105"/>
          <w:sz w:val="20"/>
        </w:rPr>
        <w:t>of</w:t>
      </w:r>
      <w:r>
        <w:rPr>
          <w:color w:val="231F1F"/>
          <w:spacing w:val="-2"/>
          <w:w w:val="105"/>
          <w:sz w:val="20"/>
        </w:rPr>
        <w:t> </w:t>
      </w:r>
      <w:r>
        <w:rPr>
          <w:color w:val="231F1F"/>
          <w:w w:val="105"/>
          <w:sz w:val="20"/>
        </w:rPr>
        <w:t>second stage of labor. Nurs Res 1986;35(1):49-51.</w:t>
      </w:r>
    </w:p>
    <w:p>
      <w:pPr>
        <w:pStyle w:val="ListParagraph"/>
        <w:numPr>
          <w:ilvl w:val="0"/>
          <w:numId w:val="109"/>
        </w:numPr>
        <w:tabs>
          <w:tab w:pos="793" w:val="left" w:leader="none"/>
          <w:tab w:pos="797" w:val="left" w:leader="none"/>
        </w:tabs>
        <w:spacing w:line="223" w:lineRule="auto" w:before="136" w:after="0"/>
        <w:ind w:left="797" w:right="123" w:hanging="502"/>
        <w:jc w:val="both"/>
        <w:rPr>
          <w:sz w:val="20"/>
        </w:rPr>
      </w:pPr>
      <w:r>
        <w:rPr>
          <w:color w:val="231F1F"/>
          <w:w w:val="110"/>
          <w:position w:val="1"/>
          <w:sz w:val="20"/>
        </w:rPr>
        <w:t>Brancato RM, Church S, Stone PW. A meta-analysis of passive descent versus immediate </w:t>
      </w:r>
      <w:r>
        <w:rPr>
          <w:color w:val="231F1F"/>
          <w:w w:val="110"/>
          <w:sz w:val="20"/>
        </w:rPr>
        <w:t>pushing</w:t>
      </w:r>
      <w:r>
        <w:rPr>
          <w:color w:val="231F1F"/>
          <w:spacing w:val="-8"/>
          <w:w w:val="110"/>
          <w:sz w:val="20"/>
        </w:rPr>
        <w:t> </w:t>
      </w:r>
      <w:r>
        <w:rPr>
          <w:color w:val="231F1F"/>
          <w:w w:val="110"/>
          <w:sz w:val="20"/>
        </w:rPr>
        <w:t>in</w:t>
      </w:r>
      <w:r>
        <w:rPr>
          <w:color w:val="231F1F"/>
          <w:spacing w:val="-7"/>
          <w:w w:val="110"/>
          <w:sz w:val="20"/>
        </w:rPr>
        <w:t> </w:t>
      </w:r>
      <w:r>
        <w:rPr>
          <w:color w:val="231F1F"/>
          <w:w w:val="110"/>
          <w:sz w:val="20"/>
        </w:rPr>
        <w:t>nulliparous</w:t>
      </w:r>
      <w:r>
        <w:rPr>
          <w:color w:val="231F1F"/>
          <w:spacing w:val="-7"/>
          <w:w w:val="110"/>
          <w:sz w:val="20"/>
        </w:rPr>
        <w:t> </w:t>
      </w:r>
      <w:r>
        <w:rPr>
          <w:color w:val="231F1F"/>
          <w:w w:val="110"/>
          <w:sz w:val="20"/>
        </w:rPr>
        <w:t>women</w:t>
      </w:r>
      <w:r>
        <w:rPr>
          <w:color w:val="231F1F"/>
          <w:spacing w:val="-7"/>
          <w:w w:val="110"/>
          <w:sz w:val="20"/>
        </w:rPr>
        <w:t> </w:t>
      </w:r>
      <w:r>
        <w:rPr>
          <w:color w:val="231F1F"/>
          <w:w w:val="110"/>
          <w:sz w:val="20"/>
        </w:rPr>
        <w:t>with</w:t>
      </w:r>
      <w:r>
        <w:rPr>
          <w:color w:val="231F1F"/>
          <w:spacing w:val="-7"/>
          <w:w w:val="110"/>
          <w:sz w:val="20"/>
        </w:rPr>
        <w:t> </w:t>
      </w:r>
      <w:r>
        <w:rPr>
          <w:color w:val="231F1F"/>
          <w:w w:val="110"/>
          <w:sz w:val="20"/>
        </w:rPr>
        <w:t>epidural</w:t>
      </w:r>
      <w:r>
        <w:rPr>
          <w:color w:val="231F1F"/>
          <w:spacing w:val="-7"/>
          <w:w w:val="110"/>
          <w:sz w:val="20"/>
        </w:rPr>
        <w:t> </w:t>
      </w:r>
      <w:r>
        <w:rPr>
          <w:color w:val="231F1F"/>
          <w:w w:val="110"/>
          <w:sz w:val="20"/>
        </w:rPr>
        <w:t>analgesia</w:t>
      </w:r>
      <w:r>
        <w:rPr>
          <w:color w:val="231F1F"/>
          <w:spacing w:val="-7"/>
          <w:w w:val="110"/>
          <w:sz w:val="20"/>
        </w:rPr>
        <w:t> </w:t>
      </w:r>
      <w:r>
        <w:rPr>
          <w:color w:val="231F1F"/>
          <w:w w:val="110"/>
          <w:sz w:val="20"/>
        </w:rPr>
        <w:t>in</w:t>
      </w:r>
      <w:r>
        <w:rPr>
          <w:color w:val="231F1F"/>
          <w:spacing w:val="-7"/>
          <w:w w:val="110"/>
          <w:sz w:val="20"/>
        </w:rPr>
        <w:t> </w:t>
      </w:r>
      <w:r>
        <w:rPr>
          <w:color w:val="231F1F"/>
          <w:w w:val="110"/>
          <w:sz w:val="20"/>
        </w:rPr>
        <w:t>the</w:t>
      </w:r>
      <w:r>
        <w:rPr>
          <w:color w:val="231F1F"/>
          <w:spacing w:val="-7"/>
          <w:w w:val="110"/>
          <w:sz w:val="20"/>
        </w:rPr>
        <w:t> </w:t>
      </w:r>
      <w:r>
        <w:rPr>
          <w:color w:val="231F1F"/>
          <w:w w:val="110"/>
          <w:sz w:val="20"/>
        </w:rPr>
        <w:t>second</w:t>
      </w:r>
      <w:r>
        <w:rPr>
          <w:color w:val="231F1F"/>
          <w:spacing w:val="-7"/>
          <w:w w:val="110"/>
          <w:sz w:val="20"/>
        </w:rPr>
        <w:t> </w:t>
      </w:r>
      <w:r>
        <w:rPr>
          <w:color w:val="231F1F"/>
          <w:w w:val="110"/>
          <w:sz w:val="20"/>
        </w:rPr>
        <w:t>stage</w:t>
      </w:r>
      <w:r>
        <w:rPr>
          <w:color w:val="231F1F"/>
          <w:spacing w:val="-7"/>
          <w:w w:val="110"/>
          <w:sz w:val="20"/>
        </w:rPr>
        <w:t> </w:t>
      </w:r>
      <w:r>
        <w:rPr>
          <w:color w:val="231F1F"/>
          <w:w w:val="110"/>
          <w:sz w:val="20"/>
        </w:rPr>
        <w:t>of</w:t>
      </w:r>
      <w:r>
        <w:rPr>
          <w:color w:val="231F1F"/>
          <w:spacing w:val="-7"/>
          <w:w w:val="110"/>
          <w:sz w:val="20"/>
        </w:rPr>
        <w:t> </w:t>
      </w:r>
      <w:r>
        <w:rPr>
          <w:color w:val="231F1F"/>
          <w:w w:val="110"/>
          <w:sz w:val="20"/>
        </w:rPr>
        <w:t>labor.</w:t>
      </w:r>
      <w:r>
        <w:rPr>
          <w:color w:val="231F1F"/>
          <w:spacing w:val="-8"/>
          <w:w w:val="110"/>
          <w:sz w:val="20"/>
        </w:rPr>
        <w:t> </w:t>
      </w:r>
      <w:r>
        <w:rPr>
          <w:color w:val="231F1F"/>
          <w:w w:val="110"/>
          <w:sz w:val="20"/>
        </w:rPr>
        <w:t>J</w:t>
      </w:r>
      <w:r>
        <w:rPr>
          <w:color w:val="231F1F"/>
          <w:spacing w:val="-7"/>
          <w:w w:val="110"/>
          <w:sz w:val="20"/>
        </w:rPr>
        <w:t> </w:t>
      </w:r>
      <w:r>
        <w:rPr>
          <w:color w:val="231F1F"/>
          <w:w w:val="110"/>
          <w:sz w:val="20"/>
        </w:rPr>
        <w:t>Obstet Gynecol Neonatal Nurs 2007;37(1):4-12.</w:t>
      </w:r>
    </w:p>
    <w:p>
      <w:pPr>
        <w:pStyle w:val="ListParagraph"/>
        <w:numPr>
          <w:ilvl w:val="0"/>
          <w:numId w:val="109"/>
        </w:numPr>
        <w:tabs>
          <w:tab w:pos="793" w:val="left" w:leader="none"/>
          <w:tab w:pos="797" w:val="left" w:leader="none"/>
        </w:tabs>
        <w:spacing w:line="211" w:lineRule="auto" w:before="164" w:after="0"/>
        <w:ind w:left="797" w:right="169" w:hanging="505"/>
        <w:jc w:val="both"/>
        <w:rPr>
          <w:sz w:val="20"/>
        </w:rPr>
      </w:pPr>
      <w:r>
        <w:rPr>
          <w:color w:val="231F1F"/>
          <w:w w:val="110"/>
          <w:position w:val="1"/>
          <w:sz w:val="20"/>
        </w:rPr>
        <w:t>Gleeson</w:t>
      </w:r>
      <w:r>
        <w:rPr>
          <w:color w:val="231F1F"/>
          <w:spacing w:val="-14"/>
          <w:w w:val="110"/>
          <w:position w:val="1"/>
          <w:sz w:val="20"/>
        </w:rPr>
        <w:t> </w:t>
      </w:r>
      <w:r>
        <w:rPr>
          <w:color w:val="231F1F"/>
          <w:w w:val="110"/>
          <w:position w:val="1"/>
          <w:sz w:val="20"/>
        </w:rPr>
        <w:t>NC,</w:t>
      </w:r>
      <w:r>
        <w:rPr>
          <w:color w:val="231F1F"/>
          <w:spacing w:val="-13"/>
          <w:w w:val="110"/>
          <w:position w:val="1"/>
          <w:sz w:val="20"/>
        </w:rPr>
        <w:t> </w:t>
      </w:r>
      <w:r>
        <w:rPr>
          <w:color w:val="231F1F"/>
          <w:w w:val="110"/>
          <w:position w:val="1"/>
          <w:sz w:val="20"/>
        </w:rPr>
        <w:t>Griffith</w:t>
      </w:r>
      <w:r>
        <w:rPr>
          <w:color w:val="231F1F"/>
          <w:spacing w:val="-13"/>
          <w:w w:val="110"/>
          <w:position w:val="1"/>
          <w:sz w:val="20"/>
        </w:rPr>
        <w:t> </w:t>
      </w:r>
      <w:r>
        <w:rPr>
          <w:color w:val="231F1F"/>
          <w:w w:val="110"/>
          <w:position w:val="1"/>
          <w:sz w:val="20"/>
        </w:rPr>
        <w:t>AP.</w:t>
      </w:r>
      <w:r>
        <w:rPr>
          <w:color w:val="231F1F"/>
          <w:spacing w:val="-13"/>
          <w:w w:val="110"/>
          <w:position w:val="1"/>
          <w:sz w:val="20"/>
        </w:rPr>
        <w:t> </w:t>
      </w:r>
      <w:r>
        <w:rPr>
          <w:color w:val="231F1F"/>
          <w:w w:val="110"/>
          <w:position w:val="1"/>
          <w:sz w:val="20"/>
        </w:rPr>
        <w:t>The</w:t>
      </w:r>
      <w:r>
        <w:rPr>
          <w:color w:val="231F1F"/>
          <w:spacing w:val="-13"/>
          <w:w w:val="110"/>
          <w:position w:val="1"/>
          <w:sz w:val="20"/>
        </w:rPr>
        <w:t> </w:t>
      </w:r>
      <w:r>
        <w:rPr>
          <w:color w:val="231F1F"/>
          <w:w w:val="110"/>
          <w:position w:val="1"/>
          <w:sz w:val="20"/>
        </w:rPr>
        <w:t>management</w:t>
      </w:r>
      <w:r>
        <w:rPr>
          <w:color w:val="231F1F"/>
          <w:spacing w:val="-13"/>
          <w:w w:val="110"/>
          <w:position w:val="1"/>
          <w:sz w:val="20"/>
        </w:rPr>
        <w:t> </w:t>
      </w:r>
      <w:r>
        <w:rPr>
          <w:color w:val="231F1F"/>
          <w:w w:val="110"/>
          <w:position w:val="1"/>
          <w:sz w:val="20"/>
        </w:rPr>
        <w:t>of</w:t>
      </w:r>
      <w:r>
        <w:rPr>
          <w:color w:val="231F1F"/>
          <w:spacing w:val="-13"/>
          <w:w w:val="110"/>
          <w:position w:val="1"/>
          <w:sz w:val="20"/>
        </w:rPr>
        <w:t> </w:t>
      </w:r>
      <w:r>
        <w:rPr>
          <w:color w:val="231F1F"/>
          <w:w w:val="110"/>
          <w:position w:val="1"/>
          <w:sz w:val="20"/>
        </w:rPr>
        <w:t>the</w:t>
      </w:r>
      <w:r>
        <w:rPr>
          <w:color w:val="231F1F"/>
          <w:spacing w:val="-13"/>
          <w:w w:val="110"/>
          <w:position w:val="1"/>
          <w:sz w:val="20"/>
        </w:rPr>
        <w:t> </w:t>
      </w:r>
      <w:r>
        <w:rPr>
          <w:color w:val="231F1F"/>
          <w:w w:val="110"/>
          <w:position w:val="1"/>
          <w:sz w:val="20"/>
        </w:rPr>
        <w:t>second</w:t>
      </w:r>
      <w:r>
        <w:rPr>
          <w:color w:val="231F1F"/>
          <w:spacing w:val="-14"/>
          <w:w w:val="110"/>
          <w:position w:val="1"/>
          <w:sz w:val="20"/>
        </w:rPr>
        <w:t> </w:t>
      </w:r>
      <w:r>
        <w:rPr>
          <w:color w:val="231F1F"/>
          <w:w w:val="110"/>
          <w:position w:val="1"/>
          <w:sz w:val="20"/>
        </w:rPr>
        <w:t>stage</w:t>
      </w:r>
      <w:r>
        <w:rPr>
          <w:color w:val="231F1F"/>
          <w:spacing w:val="-14"/>
          <w:w w:val="110"/>
          <w:position w:val="1"/>
          <w:sz w:val="20"/>
        </w:rPr>
        <w:t> </w:t>
      </w:r>
      <w:r>
        <w:rPr>
          <w:color w:val="231F1F"/>
          <w:w w:val="110"/>
          <w:position w:val="1"/>
          <w:sz w:val="20"/>
        </w:rPr>
        <w:t>of</w:t>
      </w:r>
      <w:r>
        <w:rPr>
          <w:color w:val="231F1F"/>
          <w:spacing w:val="-13"/>
          <w:w w:val="110"/>
          <w:position w:val="1"/>
          <w:sz w:val="20"/>
        </w:rPr>
        <w:t> </w:t>
      </w:r>
      <w:r>
        <w:rPr>
          <w:color w:val="231F1F"/>
          <w:w w:val="110"/>
          <w:position w:val="1"/>
          <w:sz w:val="20"/>
        </w:rPr>
        <w:t>labour</w:t>
      </w:r>
      <w:r>
        <w:rPr>
          <w:color w:val="231F1F"/>
          <w:spacing w:val="-12"/>
          <w:w w:val="110"/>
          <w:position w:val="1"/>
          <w:sz w:val="20"/>
        </w:rPr>
        <w:t> </w:t>
      </w:r>
      <w:r>
        <w:rPr>
          <w:color w:val="231F1F"/>
          <w:w w:val="110"/>
          <w:position w:val="1"/>
          <w:sz w:val="20"/>
        </w:rPr>
        <w:t>in</w:t>
      </w:r>
      <w:r>
        <w:rPr>
          <w:color w:val="231F1F"/>
          <w:spacing w:val="-12"/>
          <w:w w:val="110"/>
          <w:position w:val="1"/>
          <w:sz w:val="20"/>
        </w:rPr>
        <w:t> </w:t>
      </w:r>
      <w:r>
        <w:rPr>
          <w:color w:val="231F1F"/>
          <w:w w:val="110"/>
          <w:position w:val="1"/>
          <w:sz w:val="20"/>
        </w:rPr>
        <w:t>primiparae</w:t>
      </w:r>
      <w:r>
        <w:rPr>
          <w:color w:val="231F1F"/>
          <w:spacing w:val="-12"/>
          <w:w w:val="110"/>
          <w:position w:val="1"/>
          <w:sz w:val="20"/>
        </w:rPr>
        <w:t> </w:t>
      </w:r>
      <w:r>
        <w:rPr>
          <w:color w:val="231F1F"/>
          <w:w w:val="110"/>
          <w:position w:val="1"/>
          <w:sz w:val="20"/>
        </w:rPr>
        <w:t>with </w:t>
      </w:r>
      <w:r>
        <w:rPr>
          <w:color w:val="231F1F"/>
          <w:w w:val="110"/>
          <w:sz w:val="20"/>
        </w:rPr>
        <w:t>epidural analgesia. Br J Clin Pract 1991;45(2):90-1.</w:t>
      </w:r>
    </w:p>
    <w:p>
      <w:pPr>
        <w:pStyle w:val="ListParagraph"/>
        <w:numPr>
          <w:ilvl w:val="0"/>
          <w:numId w:val="109"/>
        </w:numPr>
        <w:tabs>
          <w:tab w:pos="794" w:val="left" w:leader="none"/>
          <w:tab w:pos="798" w:val="left" w:leader="none"/>
        </w:tabs>
        <w:spacing w:line="220" w:lineRule="auto" w:before="164" w:after="0"/>
        <w:ind w:left="798" w:right="248" w:hanging="512"/>
        <w:jc w:val="both"/>
        <w:rPr>
          <w:sz w:val="20"/>
        </w:rPr>
      </w:pPr>
      <w:r>
        <w:rPr>
          <w:color w:val="231F1F"/>
          <w:w w:val="105"/>
          <w:sz w:val="20"/>
        </w:rPr>
        <w:t>Hartmann</w:t>
      </w:r>
      <w:r>
        <w:rPr>
          <w:color w:val="231F1F"/>
          <w:spacing w:val="-10"/>
          <w:w w:val="105"/>
          <w:sz w:val="20"/>
        </w:rPr>
        <w:t> </w:t>
      </w:r>
      <w:r>
        <w:rPr>
          <w:color w:val="231F1F"/>
          <w:w w:val="105"/>
          <w:sz w:val="20"/>
        </w:rPr>
        <w:t>K,</w:t>
      </w:r>
      <w:r>
        <w:rPr>
          <w:color w:val="231F1F"/>
          <w:spacing w:val="-9"/>
          <w:w w:val="105"/>
          <w:sz w:val="20"/>
        </w:rPr>
        <w:t> </w:t>
      </w:r>
      <w:r>
        <w:rPr>
          <w:color w:val="231F1F"/>
          <w:w w:val="105"/>
          <w:sz w:val="20"/>
        </w:rPr>
        <w:t>Viswanathan</w:t>
      </w:r>
      <w:r>
        <w:rPr>
          <w:color w:val="231F1F"/>
          <w:spacing w:val="-5"/>
          <w:w w:val="105"/>
          <w:sz w:val="20"/>
        </w:rPr>
        <w:t> </w:t>
      </w:r>
      <w:r>
        <w:rPr>
          <w:color w:val="231F1F"/>
          <w:w w:val="105"/>
          <w:sz w:val="20"/>
        </w:rPr>
        <w:t>M,</w:t>
      </w:r>
      <w:r>
        <w:rPr>
          <w:color w:val="231F1F"/>
          <w:spacing w:val="-7"/>
          <w:w w:val="105"/>
          <w:sz w:val="20"/>
        </w:rPr>
        <w:t> </w:t>
      </w:r>
      <w:r>
        <w:rPr>
          <w:color w:val="231F1F"/>
          <w:w w:val="105"/>
          <w:sz w:val="20"/>
        </w:rPr>
        <w:t>Palmieri</w:t>
      </w:r>
      <w:r>
        <w:rPr>
          <w:color w:val="231F1F"/>
          <w:spacing w:val="-4"/>
          <w:w w:val="105"/>
          <w:sz w:val="20"/>
        </w:rPr>
        <w:t> </w:t>
      </w:r>
      <w:r>
        <w:rPr>
          <w:color w:val="231F1F"/>
          <w:w w:val="105"/>
          <w:sz w:val="20"/>
        </w:rPr>
        <w:t>R,</w:t>
      </w:r>
      <w:r>
        <w:rPr>
          <w:color w:val="231F1F"/>
          <w:spacing w:val="-7"/>
          <w:w w:val="105"/>
          <w:sz w:val="20"/>
        </w:rPr>
        <w:t> </w:t>
      </w:r>
      <w:r>
        <w:rPr>
          <w:color w:val="231F1F"/>
          <w:w w:val="105"/>
          <w:sz w:val="20"/>
        </w:rPr>
        <w:t>et</w:t>
      </w:r>
      <w:r>
        <w:rPr>
          <w:color w:val="231F1F"/>
          <w:spacing w:val="-5"/>
          <w:w w:val="105"/>
          <w:sz w:val="20"/>
        </w:rPr>
        <w:t> </w:t>
      </w:r>
      <w:r>
        <w:rPr>
          <w:color w:val="231F1F"/>
          <w:w w:val="105"/>
          <w:sz w:val="20"/>
        </w:rPr>
        <w:t>al.</w:t>
      </w:r>
      <w:r>
        <w:rPr>
          <w:color w:val="231F1F"/>
          <w:spacing w:val="-7"/>
          <w:w w:val="105"/>
          <w:sz w:val="20"/>
        </w:rPr>
        <w:t> </w:t>
      </w:r>
      <w:r>
        <w:rPr>
          <w:color w:val="231F1F"/>
          <w:w w:val="105"/>
          <w:sz w:val="20"/>
        </w:rPr>
        <w:t>Outcomes</w:t>
      </w:r>
      <w:r>
        <w:rPr>
          <w:color w:val="231F1F"/>
          <w:spacing w:val="-5"/>
          <w:w w:val="105"/>
          <w:sz w:val="20"/>
        </w:rPr>
        <w:t> </w:t>
      </w:r>
      <w:r>
        <w:rPr>
          <w:color w:val="231F1F"/>
          <w:w w:val="105"/>
          <w:sz w:val="20"/>
        </w:rPr>
        <w:t>of</w:t>
      </w:r>
      <w:r>
        <w:rPr>
          <w:color w:val="231F1F"/>
          <w:spacing w:val="-5"/>
          <w:w w:val="105"/>
          <w:sz w:val="20"/>
        </w:rPr>
        <w:t> </w:t>
      </w:r>
      <w:r>
        <w:rPr>
          <w:color w:val="231F1F"/>
          <w:w w:val="105"/>
          <w:sz w:val="20"/>
        </w:rPr>
        <w:t>routine</w:t>
      </w:r>
      <w:r>
        <w:rPr>
          <w:color w:val="231F1F"/>
          <w:spacing w:val="-5"/>
          <w:w w:val="105"/>
          <w:sz w:val="20"/>
        </w:rPr>
        <w:t> </w:t>
      </w:r>
      <w:r>
        <w:rPr>
          <w:color w:val="231F1F"/>
          <w:w w:val="105"/>
          <w:sz w:val="20"/>
        </w:rPr>
        <w:t>episiotomy:</w:t>
      </w:r>
      <w:r>
        <w:rPr>
          <w:color w:val="231F1F"/>
          <w:spacing w:val="-8"/>
          <w:w w:val="105"/>
          <w:sz w:val="20"/>
        </w:rPr>
        <w:t> </w:t>
      </w:r>
      <w:r>
        <w:rPr>
          <w:color w:val="231F1F"/>
          <w:w w:val="105"/>
          <w:sz w:val="20"/>
        </w:rPr>
        <w:t>a</w:t>
      </w:r>
      <w:r>
        <w:rPr>
          <w:color w:val="231F1F"/>
          <w:spacing w:val="-5"/>
          <w:w w:val="105"/>
          <w:sz w:val="20"/>
        </w:rPr>
        <w:t> </w:t>
      </w:r>
      <w:r>
        <w:rPr>
          <w:color w:val="231F1F"/>
          <w:w w:val="105"/>
          <w:sz w:val="20"/>
        </w:rPr>
        <w:t>systematic review. JAMA 2005;293():(17):2141-8.</w:t>
      </w:r>
    </w:p>
    <w:p>
      <w:pPr>
        <w:pStyle w:val="ListParagraph"/>
        <w:numPr>
          <w:ilvl w:val="0"/>
          <w:numId w:val="109"/>
        </w:numPr>
        <w:tabs>
          <w:tab w:pos="793" w:val="left" w:leader="none"/>
          <w:tab w:pos="797" w:val="left" w:leader="none"/>
        </w:tabs>
        <w:spacing w:line="211" w:lineRule="auto" w:before="155" w:after="0"/>
        <w:ind w:left="797" w:right="173" w:hanging="505"/>
        <w:jc w:val="both"/>
        <w:rPr>
          <w:sz w:val="20"/>
        </w:rPr>
      </w:pPr>
      <w:r>
        <w:rPr>
          <w:color w:val="231F1F"/>
          <w:w w:val="110"/>
          <w:position w:val="1"/>
          <w:sz w:val="20"/>
        </w:rPr>
        <w:t>Dannecker</w:t>
      </w:r>
      <w:r>
        <w:rPr>
          <w:color w:val="231F1F"/>
          <w:spacing w:val="-8"/>
          <w:w w:val="110"/>
          <w:position w:val="1"/>
          <w:sz w:val="20"/>
        </w:rPr>
        <w:t> </w:t>
      </w:r>
      <w:r>
        <w:rPr>
          <w:color w:val="231F1F"/>
          <w:w w:val="110"/>
          <w:position w:val="1"/>
          <w:sz w:val="20"/>
        </w:rPr>
        <w:t>C,</w:t>
      </w:r>
      <w:r>
        <w:rPr>
          <w:color w:val="231F1F"/>
          <w:spacing w:val="-11"/>
          <w:w w:val="110"/>
          <w:position w:val="1"/>
          <w:sz w:val="20"/>
        </w:rPr>
        <w:t> </w:t>
      </w:r>
      <w:r>
        <w:rPr>
          <w:color w:val="231F1F"/>
          <w:w w:val="110"/>
          <w:position w:val="1"/>
          <w:sz w:val="20"/>
        </w:rPr>
        <w:t>Hillemanns</w:t>
      </w:r>
      <w:r>
        <w:rPr>
          <w:color w:val="231F1F"/>
          <w:spacing w:val="-7"/>
          <w:w w:val="110"/>
          <w:position w:val="1"/>
          <w:sz w:val="20"/>
        </w:rPr>
        <w:t> </w:t>
      </w:r>
      <w:r>
        <w:rPr>
          <w:color w:val="231F1F"/>
          <w:w w:val="110"/>
          <w:position w:val="1"/>
          <w:sz w:val="20"/>
        </w:rPr>
        <w:t>P,</w:t>
      </w:r>
      <w:r>
        <w:rPr>
          <w:color w:val="231F1F"/>
          <w:spacing w:val="-11"/>
          <w:w w:val="110"/>
          <w:position w:val="1"/>
          <w:sz w:val="20"/>
        </w:rPr>
        <w:t> </w:t>
      </w:r>
      <w:r>
        <w:rPr>
          <w:color w:val="231F1F"/>
          <w:w w:val="110"/>
          <w:position w:val="1"/>
          <w:sz w:val="20"/>
        </w:rPr>
        <w:t>Strauss</w:t>
      </w:r>
      <w:r>
        <w:rPr>
          <w:color w:val="231F1F"/>
          <w:spacing w:val="-11"/>
          <w:w w:val="110"/>
          <w:position w:val="1"/>
          <w:sz w:val="20"/>
        </w:rPr>
        <w:t> </w:t>
      </w:r>
      <w:r>
        <w:rPr>
          <w:color w:val="231F1F"/>
          <w:w w:val="110"/>
          <w:position w:val="1"/>
          <w:sz w:val="20"/>
        </w:rPr>
        <w:t>A,</w:t>
      </w:r>
      <w:r>
        <w:rPr>
          <w:color w:val="231F1F"/>
          <w:spacing w:val="-11"/>
          <w:w w:val="110"/>
          <w:position w:val="1"/>
          <w:sz w:val="20"/>
        </w:rPr>
        <w:t> </w:t>
      </w:r>
      <w:r>
        <w:rPr>
          <w:color w:val="231F1F"/>
          <w:w w:val="110"/>
          <w:position w:val="1"/>
          <w:sz w:val="20"/>
        </w:rPr>
        <w:t>et</w:t>
      </w:r>
      <w:r>
        <w:rPr>
          <w:color w:val="231F1F"/>
          <w:spacing w:val="-6"/>
          <w:w w:val="110"/>
          <w:position w:val="1"/>
          <w:sz w:val="20"/>
        </w:rPr>
        <w:t> </w:t>
      </w:r>
      <w:r>
        <w:rPr>
          <w:color w:val="231F1F"/>
          <w:w w:val="110"/>
          <w:position w:val="1"/>
          <w:sz w:val="20"/>
        </w:rPr>
        <w:t>al.</w:t>
      </w:r>
      <w:r>
        <w:rPr>
          <w:color w:val="231F1F"/>
          <w:spacing w:val="-11"/>
          <w:w w:val="110"/>
          <w:position w:val="1"/>
          <w:sz w:val="20"/>
        </w:rPr>
        <w:t> </w:t>
      </w:r>
      <w:r>
        <w:rPr>
          <w:color w:val="231F1F"/>
          <w:w w:val="110"/>
          <w:position w:val="1"/>
          <w:sz w:val="20"/>
        </w:rPr>
        <w:t>Episiotomy</w:t>
      </w:r>
      <w:r>
        <w:rPr>
          <w:color w:val="231F1F"/>
          <w:spacing w:val="-6"/>
          <w:w w:val="110"/>
          <w:position w:val="1"/>
          <w:sz w:val="20"/>
        </w:rPr>
        <w:t> </w:t>
      </w:r>
      <w:r>
        <w:rPr>
          <w:color w:val="231F1F"/>
          <w:w w:val="110"/>
          <w:position w:val="1"/>
          <w:sz w:val="20"/>
        </w:rPr>
        <w:t>and</w:t>
      </w:r>
      <w:r>
        <w:rPr>
          <w:color w:val="231F1F"/>
          <w:spacing w:val="-6"/>
          <w:w w:val="110"/>
          <w:position w:val="1"/>
          <w:sz w:val="20"/>
        </w:rPr>
        <w:t> </w:t>
      </w:r>
      <w:r>
        <w:rPr>
          <w:color w:val="231F1F"/>
          <w:w w:val="110"/>
          <w:position w:val="1"/>
          <w:sz w:val="20"/>
        </w:rPr>
        <w:t>perineal</w:t>
      </w:r>
      <w:r>
        <w:rPr>
          <w:color w:val="231F1F"/>
          <w:spacing w:val="-6"/>
          <w:w w:val="110"/>
          <w:position w:val="1"/>
          <w:sz w:val="20"/>
        </w:rPr>
        <w:t> </w:t>
      </w:r>
      <w:r>
        <w:rPr>
          <w:color w:val="231F1F"/>
          <w:w w:val="110"/>
          <w:position w:val="1"/>
          <w:sz w:val="20"/>
        </w:rPr>
        <w:t>tears</w:t>
      </w:r>
      <w:r>
        <w:rPr>
          <w:color w:val="231F1F"/>
          <w:spacing w:val="-6"/>
          <w:w w:val="110"/>
          <w:position w:val="1"/>
          <w:sz w:val="20"/>
        </w:rPr>
        <w:t> </w:t>
      </w:r>
      <w:r>
        <w:rPr>
          <w:color w:val="231F1F"/>
          <w:w w:val="110"/>
          <w:position w:val="1"/>
          <w:sz w:val="20"/>
        </w:rPr>
        <w:t>presumed</w:t>
      </w:r>
      <w:r>
        <w:rPr>
          <w:color w:val="231F1F"/>
          <w:spacing w:val="-6"/>
          <w:w w:val="110"/>
          <w:position w:val="1"/>
          <w:sz w:val="20"/>
        </w:rPr>
        <w:t> </w:t>
      </w:r>
      <w:r>
        <w:rPr>
          <w:color w:val="231F1F"/>
          <w:w w:val="110"/>
          <w:position w:val="1"/>
          <w:sz w:val="20"/>
        </w:rPr>
        <w:t>to</w:t>
      </w:r>
      <w:r>
        <w:rPr>
          <w:color w:val="231F1F"/>
          <w:spacing w:val="-6"/>
          <w:w w:val="110"/>
          <w:position w:val="1"/>
          <w:sz w:val="20"/>
        </w:rPr>
        <w:t> </w:t>
      </w:r>
      <w:r>
        <w:rPr>
          <w:color w:val="231F1F"/>
          <w:w w:val="110"/>
          <w:position w:val="1"/>
          <w:sz w:val="20"/>
        </w:rPr>
        <w:t>be </w:t>
      </w:r>
      <w:r>
        <w:rPr>
          <w:color w:val="231F1F"/>
          <w:w w:val="110"/>
          <w:sz w:val="20"/>
        </w:rPr>
        <w:t>imminent: randomized controlled trial.</w:t>
      </w:r>
      <w:r>
        <w:rPr>
          <w:color w:val="231F1F"/>
          <w:spacing w:val="-9"/>
          <w:w w:val="110"/>
          <w:sz w:val="20"/>
        </w:rPr>
        <w:t> </w:t>
      </w:r>
      <w:r>
        <w:rPr>
          <w:color w:val="231F1F"/>
          <w:w w:val="110"/>
          <w:sz w:val="20"/>
        </w:rPr>
        <w:t>Acta Obstet Gynecol Scand 2004;83(4):364-8.</w:t>
      </w:r>
    </w:p>
    <w:p>
      <w:pPr>
        <w:pStyle w:val="ListParagraph"/>
        <w:numPr>
          <w:ilvl w:val="0"/>
          <w:numId w:val="109"/>
        </w:numPr>
        <w:tabs>
          <w:tab w:pos="794" w:val="left" w:leader="none"/>
          <w:tab w:pos="798" w:val="left" w:leader="none"/>
        </w:tabs>
        <w:spacing w:line="228" w:lineRule="auto" w:before="167" w:after="0"/>
        <w:ind w:left="798" w:right="110" w:hanging="505"/>
        <w:jc w:val="both"/>
        <w:rPr>
          <w:sz w:val="20"/>
        </w:rPr>
      </w:pPr>
      <w:r>
        <w:rPr>
          <w:color w:val="231F1F"/>
          <w:w w:val="105"/>
          <w:sz w:val="20"/>
        </w:rPr>
        <w:t>Sleep</w:t>
      </w:r>
      <w:r>
        <w:rPr>
          <w:color w:val="231F1F"/>
          <w:spacing w:val="-7"/>
          <w:w w:val="105"/>
          <w:sz w:val="20"/>
        </w:rPr>
        <w:t> </w:t>
      </w:r>
      <w:r>
        <w:rPr>
          <w:color w:val="231F1F"/>
          <w:w w:val="105"/>
          <w:sz w:val="20"/>
        </w:rPr>
        <w:t>J,</w:t>
      </w:r>
      <w:r>
        <w:rPr>
          <w:color w:val="231F1F"/>
          <w:spacing w:val="-6"/>
          <w:w w:val="105"/>
          <w:sz w:val="20"/>
        </w:rPr>
        <w:t> </w:t>
      </w:r>
      <w:r>
        <w:rPr>
          <w:color w:val="231F1F"/>
          <w:w w:val="105"/>
          <w:sz w:val="20"/>
        </w:rPr>
        <w:t>Roberts</w:t>
      </w:r>
      <w:r>
        <w:rPr>
          <w:color w:val="231F1F"/>
          <w:spacing w:val="-7"/>
          <w:w w:val="105"/>
          <w:sz w:val="20"/>
        </w:rPr>
        <w:t> </w:t>
      </w:r>
      <w:r>
        <w:rPr>
          <w:color w:val="231F1F"/>
          <w:w w:val="105"/>
          <w:sz w:val="20"/>
        </w:rPr>
        <w:t>J,</w:t>
      </w:r>
      <w:r>
        <w:rPr>
          <w:color w:val="231F1F"/>
          <w:spacing w:val="-6"/>
          <w:w w:val="105"/>
          <w:sz w:val="20"/>
        </w:rPr>
        <w:t> </w:t>
      </w:r>
      <w:r>
        <w:rPr>
          <w:color w:val="231F1F"/>
          <w:w w:val="105"/>
          <w:sz w:val="20"/>
        </w:rPr>
        <w:t>Chalmers</w:t>
      </w:r>
      <w:r>
        <w:rPr>
          <w:color w:val="231F1F"/>
          <w:spacing w:val="-7"/>
          <w:w w:val="105"/>
          <w:sz w:val="20"/>
        </w:rPr>
        <w:t> </w:t>
      </w:r>
      <w:r>
        <w:rPr>
          <w:color w:val="231F1F"/>
          <w:w w:val="105"/>
          <w:sz w:val="20"/>
        </w:rPr>
        <w:t>I.</w:t>
      </w:r>
      <w:r>
        <w:rPr>
          <w:color w:val="231F1F"/>
          <w:spacing w:val="-6"/>
          <w:w w:val="105"/>
          <w:sz w:val="20"/>
        </w:rPr>
        <w:t> </w:t>
      </w:r>
      <w:r>
        <w:rPr>
          <w:color w:val="231F1F"/>
          <w:w w:val="105"/>
          <w:sz w:val="20"/>
        </w:rPr>
        <w:t>Care</w:t>
      </w:r>
      <w:r>
        <w:rPr>
          <w:color w:val="231F1F"/>
          <w:spacing w:val="-7"/>
          <w:w w:val="105"/>
          <w:sz w:val="20"/>
        </w:rPr>
        <w:t> </w:t>
      </w:r>
      <w:r>
        <w:rPr>
          <w:color w:val="231F1F"/>
          <w:w w:val="105"/>
          <w:sz w:val="20"/>
        </w:rPr>
        <w:t>during</w:t>
      </w:r>
      <w:r>
        <w:rPr>
          <w:color w:val="231F1F"/>
          <w:spacing w:val="-7"/>
          <w:w w:val="105"/>
          <w:sz w:val="20"/>
        </w:rPr>
        <w:t> </w:t>
      </w:r>
      <w:r>
        <w:rPr>
          <w:color w:val="231F1F"/>
          <w:w w:val="105"/>
          <w:sz w:val="20"/>
        </w:rPr>
        <w:t>the</w:t>
      </w:r>
      <w:r>
        <w:rPr>
          <w:color w:val="231F1F"/>
          <w:spacing w:val="-7"/>
          <w:w w:val="105"/>
          <w:sz w:val="20"/>
        </w:rPr>
        <w:t> </w:t>
      </w:r>
      <w:r>
        <w:rPr>
          <w:color w:val="231F1F"/>
          <w:w w:val="105"/>
          <w:sz w:val="20"/>
        </w:rPr>
        <w:t>second</w:t>
      </w:r>
      <w:r>
        <w:rPr>
          <w:color w:val="231F1F"/>
          <w:spacing w:val="-7"/>
          <w:w w:val="105"/>
          <w:sz w:val="20"/>
        </w:rPr>
        <w:t> </w:t>
      </w:r>
      <w:r>
        <w:rPr>
          <w:color w:val="231F1F"/>
          <w:w w:val="105"/>
          <w:sz w:val="20"/>
        </w:rPr>
        <w:t>stage</w:t>
      </w:r>
      <w:r>
        <w:rPr>
          <w:color w:val="231F1F"/>
          <w:spacing w:val="-7"/>
          <w:w w:val="105"/>
          <w:sz w:val="20"/>
        </w:rPr>
        <w:t> </w:t>
      </w:r>
      <w:r>
        <w:rPr>
          <w:color w:val="231F1F"/>
          <w:w w:val="105"/>
          <w:sz w:val="20"/>
        </w:rPr>
        <w:t>of</w:t>
      </w:r>
      <w:r>
        <w:rPr>
          <w:color w:val="231F1F"/>
          <w:spacing w:val="-7"/>
          <w:w w:val="105"/>
          <w:sz w:val="20"/>
        </w:rPr>
        <w:t> </w:t>
      </w:r>
      <w:r>
        <w:rPr>
          <w:color w:val="231F1F"/>
          <w:w w:val="105"/>
          <w:sz w:val="20"/>
        </w:rPr>
        <w:t>labour.</w:t>
      </w:r>
      <w:r>
        <w:rPr>
          <w:color w:val="231F1F"/>
          <w:spacing w:val="-6"/>
          <w:w w:val="105"/>
          <w:sz w:val="20"/>
        </w:rPr>
        <w:t> </w:t>
      </w:r>
      <w:r>
        <w:rPr>
          <w:color w:val="231F1F"/>
          <w:w w:val="105"/>
          <w:sz w:val="20"/>
        </w:rPr>
        <w:t>In:</w:t>
      </w:r>
      <w:r>
        <w:rPr>
          <w:color w:val="231F1F"/>
          <w:spacing w:val="-7"/>
          <w:w w:val="105"/>
          <w:sz w:val="20"/>
        </w:rPr>
        <w:t> </w:t>
      </w:r>
      <w:r>
        <w:rPr>
          <w:color w:val="231F1F"/>
          <w:w w:val="105"/>
          <w:sz w:val="20"/>
        </w:rPr>
        <w:t>Chalmers</w:t>
      </w:r>
      <w:r>
        <w:rPr>
          <w:color w:val="231F1F"/>
          <w:spacing w:val="-7"/>
          <w:w w:val="105"/>
          <w:sz w:val="20"/>
        </w:rPr>
        <w:t> </w:t>
      </w:r>
      <w:r>
        <w:rPr>
          <w:color w:val="231F1F"/>
          <w:w w:val="105"/>
          <w:sz w:val="20"/>
        </w:rPr>
        <w:t>I,</w:t>
      </w:r>
      <w:r>
        <w:rPr>
          <w:color w:val="231F1F"/>
          <w:spacing w:val="-6"/>
          <w:w w:val="105"/>
          <w:sz w:val="20"/>
        </w:rPr>
        <w:t> </w:t>
      </w:r>
      <w:r>
        <w:rPr>
          <w:color w:val="231F1F"/>
          <w:w w:val="105"/>
          <w:sz w:val="20"/>
        </w:rPr>
        <w:t>Enkin</w:t>
      </w:r>
      <w:r>
        <w:rPr>
          <w:color w:val="231F1F"/>
          <w:spacing w:val="-7"/>
          <w:w w:val="105"/>
          <w:sz w:val="20"/>
        </w:rPr>
        <w:t> </w:t>
      </w:r>
      <w:r>
        <w:rPr>
          <w:color w:val="231F1F"/>
          <w:w w:val="105"/>
          <w:sz w:val="20"/>
        </w:rPr>
        <w:t>M, Keirse MJN, editors. Effective Care in Pregnancy and Childbirth. Osford: Oxford University Press 1989;1129-44.</w:t>
      </w:r>
    </w:p>
    <w:p>
      <w:pPr>
        <w:pStyle w:val="ListParagraph"/>
        <w:numPr>
          <w:ilvl w:val="0"/>
          <w:numId w:val="109"/>
        </w:numPr>
        <w:tabs>
          <w:tab w:pos="795" w:val="left" w:leader="none"/>
          <w:tab w:pos="798" w:val="left" w:leader="none"/>
        </w:tabs>
        <w:spacing w:line="220" w:lineRule="auto" w:before="167" w:after="0"/>
        <w:ind w:left="798" w:right="405" w:hanging="505"/>
        <w:jc w:val="left"/>
        <w:rPr>
          <w:sz w:val="20"/>
        </w:rPr>
      </w:pPr>
      <w:r>
        <w:rPr>
          <w:color w:val="231F1F"/>
          <w:w w:val="105"/>
          <w:sz w:val="20"/>
        </w:rPr>
        <w:t>Roberts</w:t>
      </w:r>
      <w:r>
        <w:rPr>
          <w:color w:val="231F1F"/>
          <w:spacing w:val="-6"/>
          <w:w w:val="105"/>
          <w:sz w:val="20"/>
        </w:rPr>
        <w:t> </w:t>
      </w:r>
      <w:r>
        <w:rPr>
          <w:color w:val="231F1F"/>
          <w:w w:val="105"/>
          <w:sz w:val="20"/>
        </w:rPr>
        <w:t>CL,</w:t>
      </w:r>
      <w:r>
        <w:rPr>
          <w:color w:val="231F1F"/>
          <w:spacing w:val="-11"/>
          <w:w w:val="105"/>
          <w:sz w:val="20"/>
        </w:rPr>
        <w:t> </w:t>
      </w:r>
      <w:r>
        <w:rPr>
          <w:color w:val="231F1F"/>
          <w:w w:val="105"/>
          <w:sz w:val="20"/>
        </w:rPr>
        <w:t>Torvaldsen</w:t>
      </w:r>
      <w:r>
        <w:rPr>
          <w:color w:val="231F1F"/>
          <w:spacing w:val="-7"/>
          <w:w w:val="105"/>
          <w:sz w:val="20"/>
        </w:rPr>
        <w:t> </w:t>
      </w:r>
      <w:r>
        <w:rPr>
          <w:color w:val="231F1F"/>
          <w:w w:val="105"/>
          <w:sz w:val="20"/>
        </w:rPr>
        <w:t>S,</w:t>
      </w:r>
      <w:r>
        <w:rPr>
          <w:color w:val="231F1F"/>
          <w:spacing w:val="-6"/>
          <w:w w:val="105"/>
          <w:sz w:val="20"/>
        </w:rPr>
        <w:t> </w:t>
      </w:r>
      <w:r>
        <w:rPr>
          <w:color w:val="231F1F"/>
          <w:w w:val="105"/>
          <w:sz w:val="20"/>
        </w:rPr>
        <w:t>Cameron</w:t>
      </w:r>
      <w:r>
        <w:rPr>
          <w:color w:val="231F1F"/>
          <w:spacing w:val="-7"/>
          <w:w w:val="105"/>
          <w:sz w:val="20"/>
        </w:rPr>
        <w:t> </w:t>
      </w:r>
      <w:r>
        <w:rPr>
          <w:color w:val="231F1F"/>
          <w:w w:val="105"/>
          <w:sz w:val="20"/>
        </w:rPr>
        <w:t>CA,</w:t>
      </w:r>
      <w:r>
        <w:rPr>
          <w:color w:val="231F1F"/>
          <w:spacing w:val="-6"/>
          <w:w w:val="105"/>
          <w:sz w:val="20"/>
        </w:rPr>
        <w:t> </w:t>
      </w:r>
      <w:r>
        <w:rPr>
          <w:color w:val="231F1F"/>
          <w:w w:val="105"/>
          <w:sz w:val="20"/>
        </w:rPr>
        <w:t>et</w:t>
      </w:r>
      <w:r>
        <w:rPr>
          <w:color w:val="231F1F"/>
          <w:spacing w:val="-6"/>
          <w:w w:val="105"/>
          <w:sz w:val="20"/>
        </w:rPr>
        <w:t> </w:t>
      </w:r>
      <w:r>
        <w:rPr>
          <w:color w:val="231F1F"/>
          <w:w w:val="105"/>
          <w:sz w:val="20"/>
        </w:rPr>
        <w:t>al.</w:t>
      </w:r>
      <w:r>
        <w:rPr>
          <w:color w:val="231F1F"/>
          <w:spacing w:val="-6"/>
          <w:w w:val="105"/>
          <w:sz w:val="20"/>
        </w:rPr>
        <w:t> </w:t>
      </w:r>
      <w:r>
        <w:rPr>
          <w:color w:val="231F1F"/>
          <w:w w:val="105"/>
          <w:sz w:val="20"/>
        </w:rPr>
        <w:t>Delayed</w:t>
      </w:r>
      <w:r>
        <w:rPr>
          <w:color w:val="231F1F"/>
          <w:spacing w:val="-7"/>
          <w:w w:val="105"/>
          <w:sz w:val="20"/>
        </w:rPr>
        <w:t> </w:t>
      </w:r>
      <w:r>
        <w:rPr>
          <w:color w:val="231F1F"/>
          <w:w w:val="105"/>
          <w:sz w:val="20"/>
        </w:rPr>
        <w:t>versus</w:t>
      </w:r>
      <w:r>
        <w:rPr>
          <w:color w:val="231F1F"/>
          <w:spacing w:val="-6"/>
          <w:w w:val="105"/>
          <w:sz w:val="20"/>
        </w:rPr>
        <w:t> </w:t>
      </w:r>
      <w:r>
        <w:rPr>
          <w:color w:val="231F1F"/>
          <w:w w:val="105"/>
          <w:sz w:val="20"/>
        </w:rPr>
        <w:t>early</w:t>
      </w:r>
      <w:r>
        <w:rPr>
          <w:color w:val="231F1F"/>
          <w:spacing w:val="-7"/>
          <w:w w:val="105"/>
          <w:sz w:val="20"/>
        </w:rPr>
        <w:t> </w:t>
      </w:r>
      <w:r>
        <w:rPr>
          <w:color w:val="231F1F"/>
          <w:w w:val="105"/>
          <w:sz w:val="20"/>
        </w:rPr>
        <w:t>pushing</w:t>
      </w:r>
      <w:r>
        <w:rPr>
          <w:color w:val="231F1F"/>
          <w:spacing w:val="-7"/>
          <w:w w:val="105"/>
          <w:sz w:val="20"/>
        </w:rPr>
        <w:t> </w:t>
      </w:r>
      <w:r>
        <w:rPr>
          <w:color w:val="231F1F"/>
          <w:w w:val="105"/>
          <w:sz w:val="20"/>
        </w:rPr>
        <w:t>in</w:t>
      </w:r>
      <w:r>
        <w:rPr>
          <w:color w:val="231F1F"/>
          <w:spacing w:val="-7"/>
          <w:w w:val="105"/>
          <w:sz w:val="20"/>
        </w:rPr>
        <w:t> </w:t>
      </w:r>
      <w:r>
        <w:rPr>
          <w:color w:val="231F1F"/>
          <w:w w:val="105"/>
          <w:sz w:val="20"/>
        </w:rPr>
        <w:t>women</w:t>
      </w:r>
      <w:r>
        <w:rPr>
          <w:color w:val="231F1F"/>
          <w:spacing w:val="-7"/>
          <w:w w:val="105"/>
          <w:sz w:val="20"/>
        </w:rPr>
        <w:t> </w:t>
      </w:r>
      <w:r>
        <w:rPr>
          <w:color w:val="231F1F"/>
          <w:w w:val="105"/>
          <w:sz w:val="20"/>
        </w:rPr>
        <w:t>with epidural analgesia: a systematic review and meta-analysis. BJOG 2004;111(12):1333-40.</w:t>
      </w:r>
    </w:p>
    <w:p>
      <w:pPr>
        <w:pStyle w:val="ListParagraph"/>
        <w:numPr>
          <w:ilvl w:val="0"/>
          <w:numId w:val="109"/>
        </w:numPr>
        <w:tabs>
          <w:tab w:pos="795" w:val="left" w:leader="none"/>
          <w:tab w:pos="798" w:val="left" w:leader="none"/>
        </w:tabs>
        <w:spacing w:line="211" w:lineRule="auto" w:before="155" w:after="0"/>
        <w:ind w:left="798" w:right="246" w:hanging="505"/>
        <w:jc w:val="left"/>
        <w:rPr>
          <w:sz w:val="20"/>
        </w:rPr>
      </w:pPr>
      <w:r>
        <w:rPr>
          <w:color w:val="231F1F"/>
          <w:w w:val="105"/>
          <w:position w:val="1"/>
          <w:sz w:val="20"/>
        </w:rPr>
        <w:t>Simpson</w:t>
      </w:r>
      <w:r>
        <w:rPr>
          <w:color w:val="231F1F"/>
          <w:w w:val="105"/>
          <w:position w:val="1"/>
          <w:sz w:val="20"/>
        </w:rPr>
        <w:t> KR,</w:t>
      </w:r>
      <w:r>
        <w:rPr>
          <w:color w:val="231F1F"/>
          <w:spacing w:val="-6"/>
          <w:w w:val="105"/>
          <w:position w:val="1"/>
          <w:sz w:val="20"/>
        </w:rPr>
        <w:t> </w:t>
      </w:r>
      <w:r>
        <w:rPr>
          <w:color w:val="231F1F"/>
          <w:w w:val="105"/>
          <w:position w:val="1"/>
          <w:sz w:val="20"/>
        </w:rPr>
        <w:t>James</w:t>
      </w:r>
      <w:r>
        <w:rPr>
          <w:color w:val="231F1F"/>
          <w:w w:val="105"/>
          <w:position w:val="1"/>
          <w:sz w:val="20"/>
        </w:rPr>
        <w:t> DC.</w:t>
      </w:r>
      <w:r>
        <w:rPr>
          <w:color w:val="231F1F"/>
          <w:spacing w:val="-6"/>
          <w:w w:val="105"/>
          <w:position w:val="1"/>
          <w:sz w:val="20"/>
        </w:rPr>
        <w:t> </w:t>
      </w:r>
      <w:r>
        <w:rPr>
          <w:color w:val="231F1F"/>
          <w:w w:val="105"/>
          <w:position w:val="1"/>
          <w:sz w:val="20"/>
        </w:rPr>
        <w:t>Effects</w:t>
      </w:r>
      <w:r>
        <w:rPr>
          <w:color w:val="231F1F"/>
          <w:w w:val="105"/>
          <w:position w:val="1"/>
          <w:sz w:val="20"/>
        </w:rPr>
        <w:t> of</w:t>
      </w:r>
      <w:r>
        <w:rPr>
          <w:color w:val="231F1F"/>
          <w:w w:val="105"/>
          <w:position w:val="1"/>
          <w:sz w:val="20"/>
        </w:rPr>
        <w:t> immediate</w:t>
      </w:r>
      <w:r>
        <w:rPr>
          <w:color w:val="231F1F"/>
          <w:w w:val="105"/>
          <w:position w:val="1"/>
          <w:sz w:val="20"/>
        </w:rPr>
        <w:t> versus</w:t>
      </w:r>
      <w:r>
        <w:rPr>
          <w:color w:val="231F1F"/>
          <w:w w:val="105"/>
          <w:position w:val="1"/>
          <w:sz w:val="20"/>
        </w:rPr>
        <w:t> delayed</w:t>
      </w:r>
      <w:r>
        <w:rPr>
          <w:color w:val="231F1F"/>
          <w:w w:val="105"/>
          <w:position w:val="1"/>
          <w:sz w:val="20"/>
        </w:rPr>
        <w:t> pushing</w:t>
      </w:r>
      <w:r>
        <w:rPr>
          <w:color w:val="231F1F"/>
          <w:w w:val="105"/>
          <w:position w:val="1"/>
          <w:sz w:val="20"/>
        </w:rPr>
        <w:t> during</w:t>
      </w:r>
      <w:r>
        <w:rPr>
          <w:color w:val="231F1F"/>
          <w:w w:val="105"/>
          <w:position w:val="1"/>
          <w:sz w:val="20"/>
        </w:rPr>
        <w:t> second-stage </w:t>
      </w:r>
      <w:r>
        <w:rPr>
          <w:color w:val="231F1F"/>
          <w:w w:val="105"/>
          <w:sz w:val="20"/>
        </w:rPr>
        <w:t>labor on fetal well-being: a randomized clinical trial. Nurs Res 2005;54(3):149-57.</w:t>
      </w:r>
    </w:p>
    <w:p>
      <w:pPr>
        <w:pStyle w:val="ListParagraph"/>
        <w:numPr>
          <w:ilvl w:val="0"/>
          <w:numId w:val="109"/>
        </w:numPr>
        <w:tabs>
          <w:tab w:pos="795" w:val="left" w:leader="none"/>
          <w:tab w:pos="797" w:val="left" w:leader="none"/>
        </w:tabs>
        <w:spacing w:line="211" w:lineRule="auto" w:before="156" w:after="0"/>
        <w:ind w:left="797" w:right="395" w:hanging="505"/>
        <w:jc w:val="left"/>
        <w:rPr>
          <w:sz w:val="20"/>
        </w:rPr>
      </w:pPr>
      <w:r>
        <w:rPr>
          <w:color w:val="231F1F"/>
          <w:w w:val="110"/>
          <w:position w:val="1"/>
          <w:sz w:val="20"/>
        </w:rPr>
        <w:t>Stamp</w:t>
      </w:r>
      <w:r>
        <w:rPr>
          <w:color w:val="231F1F"/>
          <w:spacing w:val="-7"/>
          <w:w w:val="110"/>
          <w:position w:val="1"/>
          <w:sz w:val="20"/>
        </w:rPr>
        <w:t> </w:t>
      </w:r>
      <w:r>
        <w:rPr>
          <w:color w:val="231F1F"/>
          <w:w w:val="110"/>
          <w:position w:val="1"/>
          <w:sz w:val="20"/>
        </w:rPr>
        <w:t>G,</w:t>
      </w:r>
      <w:r>
        <w:rPr>
          <w:color w:val="231F1F"/>
          <w:spacing w:val="-7"/>
          <w:w w:val="110"/>
          <w:position w:val="1"/>
          <w:sz w:val="20"/>
        </w:rPr>
        <w:t> </w:t>
      </w:r>
      <w:r>
        <w:rPr>
          <w:color w:val="231F1F"/>
          <w:w w:val="110"/>
          <w:position w:val="1"/>
          <w:sz w:val="20"/>
        </w:rPr>
        <w:t>Kruzins</w:t>
      </w:r>
      <w:r>
        <w:rPr>
          <w:color w:val="231F1F"/>
          <w:spacing w:val="-7"/>
          <w:w w:val="110"/>
          <w:position w:val="1"/>
          <w:sz w:val="20"/>
        </w:rPr>
        <w:t> </w:t>
      </w:r>
      <w:r>
        <w:rPr>
          <w:color w:val="231F1F"/>
          <w:w w:val="110"/>
          <w:position w:val="1"/>
          <w:sz w:val="20"/>
        </w:rPr>
        <w:t>G,</w:t>
      </w:r>
      <w:r>
        <w:rPr>
          <w:color w:val="231F1F"/>
          <w:spacing w:val="-7"/>
          <w:w w:val="110"/>
          <w:position w:val="1"/>
          <w:sz w:val="20"/>
        </w:rPr>
        <w:t> </w:t>
      </w:r>
      <w:r>
        <w:rPr>
          <w:color w:val="231F1F"/>
          <w:w w:val="110"/>
          <w:position w:val="1"/>
          <w:sz w:val="20"/>
        </w:rPr>
        <w:t>Crowther</w:t>
      </w:r>
      <w:r>
        <w:rPr>
          <w:color w:val="231F1F"/>
          <w:spacing w:val="-7"/>
          <w:w w:val="110"/>
          <w:position w:val="1"/>
          <w:sz w:val="20"/>
        </w:rPr>
        <w:t> </w:t>
      </w:r>
      <w:r>
        <w:rPr>
          <w:color w:val="231F1F"/>
          <w:w w:val="110"/>
          <w:position w:val="1"/>
          <w:sz w:val="20"/>
        </w:rPr>
        <w:t>C.</w:t>
      </w:r>
      <w:r>
        <w:rPr>
          <w:color w:val="231F1F"/>
          <w:spacing w:val="-7"/>
          <w:w w:val="110"/>
          <w:position w:val="1"/>
          <w:sz w:val="20"/>
        </w:rPr>
        <w:t> </w:t>
      </w:r>
      <w:r>
        <w:rPr>
          <w:color w:val="231F1F"/>
          <w:w w:val="110"/>
          <w:position w:val="1"/>
          <w:sz w:val="20"/>
        </w:rPr>
        <w:t>Perineal</w:t>
      </w:r>
      <w:r>
        <w:rPr>
          <w:color w:val="231F1F"/>
          <w:spacing w:val="-7"/>
          <w:w w:val="110"/>
          <w:position w:val="1"/>
          <w:sz w:val="20"/>
        </w:rPr>
        <w:t> </w:t>
      </w:r>
      <w:r>
        <w:rPr>
          <w:color w:val="231F1F"/>
          <w:w w:val="110"/>
          <w:position w:val="1"/>
          <w:sz w:val="20"/>
        </w:rPr>
        <w:t>massage</w:t>
      </w:r>
      <w:r>
        <w:rPr>
          <w:color w:val="231F1F"/>
          <w:spacing w:val="-7"/>
          <w:w w:val="110"/>
          <w:position w:val="1"/>
          <w:sz w:val="20"/>
        </w:rPr>
        <w:t> </w:t>
      </w:r>
      <w:r>
        <w:rPr>
          <w:color w:val="231F1F"/>
          <w:w w:val="110"/>
          <w:position w:val="1"/>
          <w:sz w:val="20"/>
        </w:rPr>
        <w:t>in</w:t>
      </w:r>
      <w:r>
        <w:rPr>
          <w:color w:val="231F1F"/>
          <w:spacing w:val="-7"/>
          <w:w w:val="110"/>
          <w:position w:val="1"/>
          <w:sz w:val="20"/>
        </w:rPr>
        <w:t> </w:t>
      </w:r>
      <w:r>
        <w:rPr>
          <w:color w:val="231F1F"/>
          <w:w w:val="110"/>
          <w:position w:val="1"/>
          <w:sz w:val="20"/>
        </w:rPr>
        <w:t>labour</w:t>
      </w:r>
      <w:r>
        <w:rPr>
          <w:color w:val="231F1F"/>
          <w:spacing w:val="-7"/>
          <w:w w:val="110"/>
          <w:position w:val="1"/>
          <w:sz w:val="20"/>
        </w:rPr>
        <w:t> </w:t>
      </w:r>
      <w:r>
        <w:rPr>
          <w:color w:val="231F1F"/>
          <w:w w:val="110"/>
          <w:position w:val="1"/>
          <w:sz w:val="20"/>
        </w:rPr>
        <w:t>and</w:t>
      </w:r>
      <w:r>
        <w:rPr>
          <w:color w:val="231F1F"/>
          <w:spacing w:val="-7"/>
          <w:w w:val="110"/>
          <w:position w:val="1"/>
          <w:sz w:val="20"/>
        </w:rPr>
        <w:t> </w:t>
      </w:r>
      <w:r>
        <w:rPr>
          <w:color w:val="231F1F"/>
          <w:w w:val="110"/>
          <w:position w:val="1"/>
          <w:sz w:val="20"/>
        </w:rPr>
        <w:t>prevention</w:t>
      </w:r>
      <w:r>
        <w:rPr>
          <w:color w:val="231F1F"/>
          <w:spacing w:val="-7"/>
          <w:w w:val="110"/>
          <w:position w:val="1"/>
          <w:sz w:val="20"/>
        </w:rPr>
        <w:t> </w:t>
      </w:r>
      <w:r>
        <w:rPr>
          <w:color w:val="231F1F"/>
          <w:w w:val="110"/>
          <w:position w:val="1"/>
          <w:sz w:val="20"/>
        </w:rPr>
        <w:t>of</w:t>
      </w:r>
      <w:r>
        <w:rPr>
          <w:color w:val="231F1F"/>
          <w:spacing w:val="-7"/>
          <w:w w:val="110"/>
          <w:position w:val="1"/>
          <w:sz w:val="20"/>
        </w:rPr>
        <w:t> </w:t>
      </w:r>
      <w:r>
        <w:rPr>
          <w:color w:val="231F1F"/>
          <w:w w:val="110"/>
          <w:position w:val="1"/>
          <w:sz w:val="20"/>
        </w:rPr>
        <w:t>perineal </w:t>
      </w:r>
      <w:r>
        <w:rPr>
          <w:color w:val="231F1F"/>
          <w:w w:val="110"/>
          <w:sz w:val="20"/>
        </w:rPr>
        <w:t>trauma: randomised controlled trial. BMJ 2001;322(7297):1227-80.</w:t>
      </w:r>
    </w:p>
    <w:p>
      <w:pPr>
        <w:pStyle w:val="ListParagraph"/>
        <w:numPr>
          <w:ilvl w:val="0"/>
          <w:numId w:val="109"/>
        </w:numPr>
        <w:tabs>
          <w:tab w:pos="795" w:val="left" w:leader="none"/>
          <w:tab w:pos="797" w:val="left" w:leader="none"/>
        </w:tabs>
        <w:spacing w:line="216" w:lineRule="auto" w:before="153" w:after="0"/>
        <w:ind w:left="797" w:right="317" w:hanging="525"/>
        <w:jc w:val="left"/>
        <w:rPr>
          <w:sz w:val="20"/>
        </w:rPr>
      </w:pPr>
      <w:r>
        <w:rPr>
          <w:color w:val="231F1F"/>
          <w:w w:val="110"/>
          <w:position w:val="1"/>
          <w:sz w:val="20"/>
        </w:rPr>
        <w:t>Albers</w:t>
      </w:r>
      <w:r>
        <w:rPr>
          <w:color w:val="231F1F"/>
          <w:spacing w:val="-7"/>
          <w:w w:val="110"/>
          <w:position w:val="1"/>
          <w:sz w:val="20"/>
        </w:rPr>
        <w:t> </w:t>
      </w:r>
      <w:r>
        <w:rPr>
          <w:color w:val="231F1F"/>
          <w:w w:val="110"/>
          <w:position w:val="1"/>
          <w:sz w:val="20"/>
        </w:rPr>
        <w:t>LL,</w:t>
      </w:r>
      <w:r>
        <w:rPr>
          <w:color w:val="231F1F"/>
          <w:spacing w:val="-15"/>
          <w:w w:val="110"/>
          <w:position w:val="1"/>
          <w:sz w:val="20"/>
        </w:rPr>
        <w:t> </w:t>
      </w:r>
      <w:r>
        <w:rPr>
          <w:color w:val="231F1F"/>
          <w:w w:val="110"/>
          <w:position w:val="1"/>
          <w:sz w:val="20"/>
        </w:rPr>
        <w:t>Anderson</w:t>
      </w:r>
      <w:r>
        <w:rPr>
          <w:color w:val="231F1F"/>
          <w:spacing w:val="-6"/>
          <w:w w:val="110"/>
          <w:position w:val="1"/>
          <w:sz w:val="20"/>
        </w:rPr>
        <w:t> </w:t>
      </w:r>
      <w:r>
        <w:rPr>
          <w:color w:val="231F1F"/>
          <w:w w:val="110"/>
          <w:position w:val="1"/>
          <w:sz w:val="20"/>
        </w:rPr>
        <w:t>D,</w:t>
      </w:r>
      <w:r>
        <w:rPr>
          <w:color w:val="231F1F"/>
          <w:spacing w:val="-7"/>
          <w:w w:val="110"/>
          <w:position w:val="1"/>
          <w:sz w:val="20"/>
        </w:rPr>
        <w:t> </w:t>
      </w:r>
      <w:r>
        <w:rPr>
          <w:color w:val="231F1F"/>
          <w:w w:val="110"/>
          <w:position w:val="1"/>
          <w:sz w:val="20"/>
        </w:rPr>
        <w:t>Cragin</w:t>
      </w:r>
      <w:r>
        <w:rPr>
          <w:color w:val="231F1F"/>
          <w:spacing w:val="-6"/>
          <w:w w:val="110"/>
          <w:position w:val="1"/>
          <w:sz w:val="20"/>
        </w:rPr>
        <w:t> </w:t>
      </w:r>
      <w:r>
        <w:rPr>
          <w:color w:val="231F1F"/>
          <w:w w:val="110"/>
          <w:position w:val="1"/>
          <w:sz w:val="20"/>
        </w:rPr>
        <w:t>L,</w:t>
      </w:r>
      <w:r>
        <w:rPr>
          <w:color w:val="231F1F"/>
          <w:spacing w:val="-7"/>
          <w:w w:val="110"/>
          <w:position w:val="1"/>
          <w:sz w:val="20"/>
        </w:rPr>
        <w:t> </w:t>
      </w:r>
      <w:r>
        <w:rPr>
          <w:color w:val="231F1F"/>
          <w:w w:val="110"/>
          <w:position w:val="1"/>
          <w:sz w:val="20"/>
        </w:rPr>
        <w:t>et</w:t>
      </w:r>
      <w:r>
        <w:rPr>
          <w:color w:val="231F1F"/>
          <w:spacing w:val="-6"/>
          <w:w w:val="110"/>
          <w:position w:val="1"/>
          <w:sz w:val="20"/>
        </w:rPr>
        <w:t> </w:t>
      </w:r>
      <w:r>
        <w:rPr>
          <w:color w:val="231F1F"/>
          <w:w w:val="110"/>
          <w:position w:val="1"/>
          <w:sz w:val="20"/>
        </w:rPr>
        <w:t>al.</w:t>
      </w:r>
      <w:r>
        <w:rPr>
          <w:color w:val="231F1F"/>
          <w:spacing w:val="-7"/>
          <w:w w:val="110"/>
          <w:position w:val="1"/>
          <w:sz w:val="20"/>
        </w:rPr>
        <w:t> </w:t>
      </w:r>
      <w:r>
        <w:rPr>
          <w:color w:val="231F1F"/>
          <w:w w:val="110"/>
          <w:position w:val="1"/>
          <w:sz w:val="20"/>
        </w:rPr>
        <w:t>Factors</w:t>
      </w:r>
      <w:r>
        <w:rPr>
          <w:color w:val="231F1F"/>
          <w:spacing w:val="-6"/>
          <w:w w:val="110"/>
          <w:position w:val="1"/>
          <w:sz w:val="20"/>
        </w:rPr>
        <w:t> </w:t>
      </w:r>
      <w:r>
        <w:rPr>
          <w:color w:val="231F1F"/>
          <w:w w:val="110"/>
          <w:position w:val="1"/>
          <w:sz w:val="20"/>
        </w:rPr>
        <w:t>related</w:t>
      </w:r>
      <w:r>
        <w:rPr>
          <w:color w:val="231F1F"/>
          <w:spacing w:val="-6"/>
          <w:w w:val="110"/>
          <w:position w:val="1"/>
          <w:sz w:val="20"/>
        </w:rPr>
        <w:t> </w:t>
      </w:r>
      <w:r>
        <w:rPr>
          <w:color w:val="231F1F"/>
          <w:w w:val="110"/>
          <w:position w:val="1"/>
          <w:sz w:val="20"/>
        </w:rPr>
        <w:t>to</w:t>
      </w:r>
      <w:r>
        <w:rPr>
          <w:color w:val="231F1F"/>
          <w:spacing w:val="-6"/>
          <w:w w:val="110"/>
          <w:position w:val="1"/>
          <w:sz w:val="20"/>
        </w:rPr>
        <w:t> </w:t>
      </w:r>
      <w:r>
        <w:rPr>
          <w:color w:val="231F1F"/>
          <w:w w:val="110"/>
          <w:position w:val="1"/>
          <w:sz w:val="20"/>
        </w:rPr>
        <w:t>perineal</w:t>
      </w:r>
      <w:r>
        <w:rPr>
          <w:color w:val="231F1F"/>
          <w:spacing w:val="-6"/>
          <w:w w:val="110"/>
          <w:position w:val="1"/>
          <w:sz w:val="20"/>
        </w:rPr>
        <w:t> </w:t>
      </w:r>
      <w:r>
        <w:rPr>
          <w:color w:val="231F1F"/>
          <w:w w:val="110"/>
          <w:position w:val="1"/>
          <w:sz w:val="20"/>
        </w:rPr>
        <w:t>trauma</w:t>
      </w:r>
      <w:r>
        <w:rPr>
          <w:color w:val="231F1F"/>
          <w:spacing w:val="-6"/>
          <w:w w:val="110"/>
          <w:position w:val="1"/>
          <w:sz w:val="20"/>
        </w:rPr>
        <w:t> </w:t>
      </w:r>
      <w:r>
        <w:rPr>
          <w:color w:val="231F1F"/>
          <w:w w:val="110"/>
          <w:position w:val="1"/>
          <w:sz w:val="20"/>
        </w:rPr>
        <w:t>in</w:t>
      </w:r>
      <w:r>
        <w:rPr>
          <w:color w:val="231F1F"/>
          <w:spacing w:val="-6"/>
          <w:w w:val="110"/>
          <w:position w:val="1"/>
          <w:sz w:val="20"/>
        </w:rPr>
        <w:t> </w:t>
      </w:r>
      <w:r>
        <w:rPr>
          <w:color w:val="231F1F"/>
          <w:w w:val="110"/>
          <w:position w:val="1"/>
          <w:sz w:val="20"/>
        </w:rPr>
        <w:t>childbirth.</w:t>
      </w:r>
      <w:r>
        <w:rPr>
          <w:color w:val="231F1F"/>
          <w:spacing w:val="-6"/>
          <w:w w:val="110"/>
          <w:position w:val="1"/>
          <w:sz w:val="20"/>
        </w:rPr>
        <w:t> </w:t>
      </w:r>
      <w:r>
        <w:rPr>
          <w:color w:val="231F1F"/>
          <w:w w:val="110"/>
          <w:position w:val="1"/>
          <w:sz w:val="20"/>
        </w:rPr>
        <w:t>J </w:t>
      </w:r>
      <w:r>
        <w:rPr>
          <w:color w:val="231F1F"/>
          <w:w w:val="110"/>
          <w:sz w:val="20"/>
        </w:rPr>
        <w:t>Nurse Midwifery 1996;41(4):269-76.</w:t>
      </w:r>
    </w:p>
    <w:p>
      <w:pPr>
        <w:pStyle w:val="ListParagraph"/>
        <w:spacing w:after="0" w:line="216" w:lineRule="auto"/>
        <w:jc w:val="left"/>
        <w:rPr>
          <w:sz w:val="20"/>
        </w:rPr>
        <w:sectPr>
          <w:pgSz w:w="11900" w:h="16840"/>
          <w:pgMar w:header="0" w:footer="622" w:top="1560" w:bottom="820" w:left="1417" w:right="1559"/>
        </w:sectPr>
      </w:pPr>
    </w:p>
    <w:p>
      <w:pPr>
        <w:pStyle w:val="ListParagraph"/>
        <w:numPr>
          <w:ilvl w:val="0"/>
          <w:numId w:val="109"/>
        </w:numPr>
        <w:tabs>
          <w:tab w:pos="795" w:val="left" w:leader="none"/>
          <w:tab w:pos="799" w:val="left" w:leader="none"/>
        </w:tabs>
        <w:spacing w:line="218" w:lineRule="auto" w:before="99" w:after="0"/>
        <w:ind w:left="799" w:right="116" w:hanging="508"/>
        <w:jc w:val="both"/>
        <w:rPr>
          <w:sz w:val="20"/>
        </w:rPr>
      </w:pPr>
      <w:r>
        <w:rPr>
          <w:color w:val="231F1F"/>
          <w:spacing w:val="-2"/>
          <w:w w:val="110"/>
          <w:position w:val="1"/>
          <w:sz w:val="20"/>
        </w:rPr>
        <w:t>McCandlish</w:t>
      </w:r>
      <w:r>
        <w:rPr>
          <w:color w:val="231F1F"/>
          <w:spacing w:val="-10"/>
          <w:w w:val="110"/>
          <w:position w:val="1"/>
          <w:sz w:val="20"/>
        </w:rPr>
        <w:t> </w:t>
      </w:r>
      <w:r>
        <w:rPr>
          <w:color w:val="231F1F"/>
          <w:spacing w:val="-2"/>
          <w:w w:val="110"/>
          <w:position w:val="1"/>
          <w:sz w:val="20"/>
        </w:rPr>
        <w:t>R,</w:t>
      </w:r>
      <w:r>
        <w:rPr>
          <w:color w:val="231F1F"/>
          <w:spacing w:val="-9"/>
          <w:w w:val="110"/>
          <w:position w:val="1"/>
          <w:sz w:val="20"/>
        </w:rPr>
        <w:t> </w:t>
      </w:r>
      <w:r>
        <w:rPr>
          <w:color w:val="231F1F"/>
          <w:spacing w:val="-2"/>
          <w:w w:val="110"/>
          <w:position w:val="1"/>
          <w:sz w:val="20"/>
        </w:rPr>
        <w:t>Bowler</w:t>
      </w:r>
      <w:r>
        <w:rPr>
          <w:color w:val="231F1F"/>
          <w:spacing w:val="-9"/>
          <w:w w:val="110"/>
          <w:position w:val="1"/>
          <w:sz w:val="20"/>
        </w:rPr>
        <w:t> </w:t>
      </w:r>
      <w:r>
        <w:rPr>
          <w:color w:val="231F1F"/>
          <w:spacing w:val="-2"/>
          <w:w w:val="110"/>
          <w:position w:val="1"/>
          <w:sz w:val="20"/>
        </w:rPr>
        <w:t>U,</w:t>
      </w:r>
      <w:r>
        <w:rPr>
          <w:color w:val="231F1F"/>
          <w:spacing w:val="-8"/>
          <w:w w:val="110"/>
          <w:position w:val="1"/>
          <w:sz w:val="20"/>
        </w:rPr>
        <w:t> </w:t>
      </w:r>
      <w:r>
        <w:rPr>
          <w:color w:val="231F1F"/>
          <w:spacing w:val="-2"/>
          <w:w w:val="110"/>
          <w:position w:val="1"/>
          <w:sz w:val="20"/>
        </w:rPr>
        <w:t>Van</w:t>
      </w:r>
      <w:r>
        <w:rPr>
          <w:color w:val="231F1F"/>
          <w:spacing w:val="-9"/>
          <w:w w:val="110"/>
          <w:position w:val="1"/>
          <w:sz w:val="20"/>
        </w:rPr>
        <w:t> </w:t>
      </w:r>
      <w:r>
        <w:rPr>
          <w:color w:val="231F1F"/>
          <w:spacing w:val="-2"/>
          <w:w w:val="110"/>
          <w:position w:val="1"/>
          <w:sz w:val="20"/>
        </w:rPr>
        <w:t>Asten</w:t>
      </w:r>
      <w:r>
        <w:rPr>
          <w:color w:val="231F1F"/>
          <w:spacing w:val="-9"/>
          <w:w w:val="110"/>
          <w:position w:val="1"/>
          <w:sz w:val="20"/>
        </w:rPr>
        <w:t> </w:t>
      </w:r>
      <w:r>
        <w:rPr>
          <w:color w:val="231F1F"/>
          <w:spacing w:val="-2"/>
          <w:w w:val="110"/>
          <w:position w:val="1"/>
          <w:sz w:val="20"/>
        </w:rPr>
        <w:t>H,</w:t>
      </w:r>
      <w:r>
        <w:rPr>
          <w:color w:val="231F1F"/>
          <w:spacing w:val="-8"/>
          <w:w w:val="110"/>
          <w:position w:val="1"/>
          <w:sz w:val="20"/>
        </w:rPr>
        <w:t> </w:t>
      </w:r>
      <w:r>
        <w:rPr>
          <w:color w:val="231F1F"/>
          <w:spacing w:val="-2"/>
          <w:w w:val="110"/>
          <w:position w:val="1"/>
          <w:sz w:val="20"/>
        </w:rPr>
        <w:t>Berridge</w:t>
      </w:r>
      <w:r>
        <w:rPr>
          <w:color w:val="231F1F"/>
          <w:spacing w:val="-6"/>
          <w:w w:val="110"/>
          <w:position w:val="1"/>
          <w:sz w:val="20"/>
        </w:rPr>
        <w:t> </w:t>
      </w:r>
      <w:r>
        <w:rPr>
          <w:color w:val="231F1F"/>
          <w:spacing w:val="-2"/>
          <w:w w:val="110"/>
          <w:position w:val="1"/>
          <w:sz w:val="20"/>
        </w:rPr>
        <w:t>G,</w:t>
      </w:r>
      <w:r>
        <w:rPr>
          <w:color w:val="231F1F"/>
          <w:spacing w:val="-9"/>
          <w:w w:val="110"/>
          <w:position w:val="1"/>
          <w:sz w:val="20"/>
        </w:rPr>
        <w:t> </w:t>
      </w:r>
      <w:r>
        <w:rPr>
          <w:color w:val="231F1F"/>
          <w:spacing w:val="-2"/>
          <w:w w:val="110"/>
          <w:position w:val="1"/>
          <w:sz w:val="20"/>
        </w:rPr>
        <w:t>Winter</w:t>
      </w:r>
      <w:r>
        <w:rPr>
          <w:color w:val="231F1F"/>
          <w:spacing w:val="-6"/>
          <w:w w:val="110"/>
          <w:position w:val="1"/>
          <w:sz w:val="20"/>
        </w:rPr>
        <w:t> </w:t>
      </w:r>
      <w:r>
        <w:rPr>
          <w:color w:val="231F1F"/>
          <w:spacing w:val="-2"/>
          <w:w w:val="110"/>
          <w:position w:val="1"/>
          <w:sz w:val="20"/>
        </w:rPr>
        <w:t>C,</w:t>
      </w:r>
      <w:r>
        <w:rPr>
          <w:color w:val="231F1F"/>
          <w:spacing w:val="-9"/>
          <w:w w:val="110"/>
          <w:position w:val="1"/>
          <w:sz w:val="20"/>
        </w:rPr>
        <w:t> </w:t>
      </w:r>
      <w:r>
        <w:rPr>
          <w:color w:val="231F1F"/>
          <w:spacing w:val="-2"/>
          <w:w w:val="110"/>
          <w:position w:val="1"/>
          <w:sz w:val="20"/>
        </w:rPr>
        <w:t>Sames</w:t>
      </w:r>
      <w:r>
        <w:rPr>
          <w:color w:val="231F1F"/>
          <w:spacing w:val="-7"/>
          <w:w w:val="110"/>
          <w:position w:val="1"/>
          <w:sz w:val="20"/>
        </w:rPr>
        <w:t> </w:t>
      </w:r>
      <w:r>
        <w:rPr>
          <w:color w:val="231F1F"/>
          <w:spacing w:val="-2"/>
          <w:w w:val="110"/>
          <w:position w:val="1"/>
          <w:sz w:val="20"/>
        </w:rPr>
        <w:t>L,</w:t>
      </w:r>
      <w:r>
        <w:rPr>
          <w:color w:val="231F1F"/>
          <w:spacing w:val="-9"/>
          <w:w w:val="110"/>
          <w:position w:val="1"/>
          <w:sz w:val="20"/>
        </w:rPr>
        <w:t> </w:t>
      </w:r>
      <w:r>
        <w:rPr>
          <w:color w:val="231F1F"/>
          <w:spacing w:val="-2"/>
          <w:w w:val="110"/>
          <w:position w:val="1"/>
          <w:sz w:val="20"/>
        </w:rPr>
        <w:t>et</w:t>
      </w:r>
      <w:r>
        <w:rPr>
          <w:color w:val="231F1F"/>
          <w:spacing w:val="-6"/>
          <w:w w:val="110"/>
          <w:position w:val="1"/>
          <w:sz w:val="20"/>
        </w:rPr>
        <w:t> </w:t>
      </w:r>
      <w:r>
        <w:rPr>
          <w:color w:val="231F1F"/>
          <w:spacing w:val="-2"/>
          <w:w w:val="110"/>
          <w:position w:val="1"/>
          <w:sz w:val="20"/>
        </w:rPr>
        <w:t>al.</w:t>
      </w:r>
      <w:r>
        <w:rPr>
          <w:color w:val="231F1F"/>
          <w:spacing w:val="-9"/>
          <w:w w:val="110"/>
          <w:position w:val="1"/>
          <w:sz w:val="20"/>
        </w:rPr>
        <w:t> </w:t>
      </w:r>
      <w:r>
        <w:rPr>
          <w:color w:val="231F1F"/>
          <w:spacing w:val="-2"/>
          <w:w w:val="110"/>
          <w:position w:val="1"/>
          <w:sz w:val="20"/>
        </w:rPr>
        <w:t>A</w:t>
      </w:r>
      <w:r>
        <w:rPr>
          <w:color w:val="231F1F"/>
          <w:spacing w:val="-7"/>
          <w:w w:val="110"/>
          <w:position w:val="1"/>
          <w:sz w:val="20"/>
        </w:rPr>
        <w:t> </w:t>
      </w:r>
      <w:r>
        <w:rPr>
          <w:color w:val="231F1F"/>
          <w:spacing w:val="-2"/>
          <w:w w:val="110"/>
          <w:position w:val="1"/>
          <w:sz w:val="20"/>
        </w:rPr>
        <w:t>randomised </w:t>
      </w:r>
      <w:r>
        <w:rPr>
          <w:color w:val="231F1F"/>
          <w:w w:val="110"/>
          <w:sz w:val="20"/>
        </w:rPr>
        <w:t>controlled trial of care of the perineum during second stage of normal labour. Br J Obstet Gynaecol</w:t>
      </w:r>
      <w:r>
        <w:rPr>
          <w:color w:val="231F1F"/>
          <w:spacing w:val="-16"/>
          <w:w w:val="110"/>
          <w:sz w:val="20"/>
        </w:rPr>
        <w:t> </w:t>
      </w:r>
      <w:r>
        <w:rPr>
          <w:color w:val="231F1F"/>
          <w:w w:val="110"/>
          <w:sz w:val="20"/>
        </w:rPr>
        <w:t>1998;105(12):1262-72.</w:t>
      </w:r>
    </w:p>
    <w:p>
      <w:pPr>
        <w:pStyle w:val="ListParagraph"/>
        <w:numPr>
          <w:ilvl w:val="0"/>
          <w:numId w:val="109"/>
        </w:numPr>
        <w:tabs>
          <w:tab w:pos="795" w:val="left" w:leader="none"/>
          <w:tab w:pos="799" w:val="left" w:leader="none"/>
        </w:tabs>
        <w:spacing w:line="228" w:lineRule="auto" w:before="181" w:after="0"/>
        <w:ind w:left="799" w:right="114" w:hanging="508"/>
        <w:jc w:val="both"/>
        <w:rPr>
          <w:sz w:val="20"/>
        </w:rPr>
      </w:pPr>
      <w:r>
        <w:rPr>
          <w:color w:val="231F1F"/>
          <w:sz w:val="20"/>
        </w:rPr>
        <w:t>Mayerhofer K, Bodner-Adler B, Bodner K, Rabl M, Kaider A,Wagenbichler P, et al.Traditional </w:t>
      </w:r>
      <w:r>
        <w:rPr>
          <w:color w:val="231F1F"/>
          <w:w w:val="110"/>
          <w:sz w:val="20"/>
        </w:rPr>
        <w:t>care of the perineum during birth. A prospective, randomized, multicenter study of 1,076 women. J Reprod Med 2002;47(6):477-82.</w:t>
      </w:r>
    </w:p>
    <w:p>
      <w:pPr>
        <w:pStyle w:val="ListParagraph"/>
        <w:numPr>
          <w:ilvl w:val="0"/>
          <w:numId w:val="109"/>
        </w:numPr>
        <w:tabs>
          <w:tab w:pos="796" w:val="left" w:leader="none"/>
          <w:tab w:pos="800" w:val="left" w:leader="none"/>
        </w:tabs>
        <w:spacing w:line="225" w:lineRule="auto" w:before="167" w:after="0"/>
        <w:ind w:left="800" w:right="121" w:hanging="508"/>
        <w:jc w:val="both"/>
        <w:rPr>
          <w:sz w:val="20"/>
        </w:rPr>
      </w:pPr>
      <w:r>
        <w:rPr>
          <w:color w:val="231F1F"/>
          <w:w w:val="105"/>
          <w:sz w:val="20"/>
        </w:rPr>
        <w:t>Sanders</w:t>
      </w:r>
      <w:r>
        <w:rPr>
          <w:color w:val="231F1F"/>
          <w:w w:val="105"/>
          <w:sz w:val="20"/>
        </w:rPr>
        <w:t> J,</w:t>
      </w:r>
      <w:r>
        <w:rPr>
          <w:color w:val="231F1F"/>
          <w:w w:val="105"/>
          <w:sz w:val="20"/>
        </w:rPr>
        <w:t> Peters</w:t>
      </w:r>
      <w:r>
        <w:rPr>
          <w:color w:val="231F1F"/>
          <w:w w:val="105"/>
          <w:sz w:val="20"/>
        </w:rPr>
        <w:t> TJ,</w:t>
      </w:r>
      <w:r>
        <w:rPr>
          <w:color w:val="231F1F"/>
          <w:w w:val="105"/>
          <w:sz w:val="20"/>
        </w:rPr>
        <w:t> Campbell</w:t>
      </w:r>
      <w:r>
        <w:rPr>
          <w:color w:val="231F1F"/>
          <w:w w:val="105"/>
          <w:sz w:val="20"/>
        </w:rPr>
        <w:t> R.</w:t>
      </w:r>
      <w:r>
        <w:rPr>
          <w:color w:val="231F1F"/>
          <w:w w:val="105"/>
          <w:sz w:val="20"/>
        </w:rPr>
        <w:t> Does</w:t>
      </w:r>
      <w:r>
        <w:rPr>
          <w:color w:val="231F1F"/>
          <w:w w:val="105"/>
          <w:sz w:val="20"/>
        </w:rPr>
        <w:t> lidocaine</w:t>
      </w:r>
      <w:r>
        <w:rPr>
          <w:color w:val="231F1F"/>
          <w:w w:val="105"/>
          <w:sz w:val="20"/>
        </w:rPr>
        <w:t> spray</w:t>
      </w:r>
      <w:r>
        <w:rPr>
          <w:color w:val="231F1F"/>
          <w:w w:val="105"/>
          <w:sz w:val="20"/>
        </w:rPr>
        <w:t> reduce</w:t>
      </w:r>
      <w:r>
        <w:rPr>
          <w:color w:val="231F1F"/>
          <w:w w:val="105"/>
          <w:sz w:val="20"/>
        </w:rPr>
        <w:t> perineal</w:t>
      </w:r>
      <w:r>
        <w:rPr>
          <w:color w:val="231F1F"/>
          <w:w w:val="105"/>
          <w:sz w:val="20"/>
        </w:rPr>
        <w:t> pain</w:t>
      </w:r>
      <w:r>
        <w:rPr>
          <w:color w:val="231F1F"/>
          <w:w w:val="105"/>
          <w:sz w:val="20"/>
        </w:rPr>
        <w:t> during spontaneous</w:t>
      </w:r>
      <w:r>
        <w:rPr>
          <w:color w:val="231F1F"/>
          <w:w w:val="105"/>
          <w:sz w:val="20"/>
        </w:rPr>
        <w:t> vaginal</w:t>
      </w:r>
      <w:r>
        <w:rPr>
          <w:color w:val="231F1F"/>
          <w:w w:val="105"/>
          <w:sz w:val="20"/>
        </w:rPr>
        <w:t> delivery?</w:t>
      </w:r>
      <w:r>
        <w:rPr>
          <w:color w:val="231F1F"/>
          <w:w w:val="105"/>
          <w:sz w:val="20"/>
        </w:rPr>
        <w:t> A</w:t>
      </w:r>
      <w:r>
        <w:rPr>
          <w:color w:val="231F1F"/>
          <w:w w:val="105"/>
          <w:sz w:val="20"/>
        </w:rPr>
        <w:t> randomised</w:t>
      </w:r>
      <w:r>
        <w:rPr>
          <w:color w:val="231F1F"/>
          <w:w w:val="105"/>
          <w:sz w:val="20"/>
        </w:rPr>
        <w:t> controlled</w:t>
      </w:r>
      <w:r>
        <w:rPr>
          <w:color w:val="231F1F"/>
          <w:w w:val="105"/>
          <w:sz w:val="20"/>
        </w:rPr>
        <w:t> trial.</w:t>
      </w:r>
      <w:r>
        <w:rPr>
          <w:color w:val="231F1F"/>
          <w:w w:val="105"/>
          <w:sz w:val="20"/>
        </w:rPr>
        <w:t> Current</w:t>
      </w:r>
      <w:r>
        <w:rPr>
          <w:color w:val="231F1F"/>
          <w:w w:val="105"/>
          <w:sz w:val="20"/>
        </w:rPr>
        <w:t> Controlled</w:t>
      </w:r>
      <w:r>
        <w:rPr>
          <w:color w:val="231F1F"/>
          <w:w w:val="105"/>
          <w:sz w:val="20"/>
        </w:rPr>
        <w:t> Trials </w:t>
      </w:r>
      <w:r>
        <w:rPr>
          <w:color w:val="231F1F"/>
          <w:spacing w:val="-2"/>
          <w:w w:val="105"/>
          <w:sz w:val="20"/>
        </w:rPr>
        <w:t>2006;[</w:t>
      </w:r>
      <w:hyperlink r:id="rId107">
        <w:r>
          <w:rPr>
            <w:color w:val="A30046"/>
            <w:spacing w:val="-2"/>
            <w:w w:val="105"/>
            <w:sz w:val="20"/>
          </w:rPr>
          <w:t>www.controlled-trials.com/isrctn/trial/ISRCTN99732966/0/99732966.html</w:t>
        </w:r>
      </w:hyperlink>
      <w:r>
        <w:rPr>
          <w:color w:val="231F1F"/>
          <w:spacing w:val="-2"/>
          <w:w w:val="105"/>
          <w:sz w:val="20"/>
        </w:rPr>
        <w:t>].</w:t>
      </w:r>
    </w:p>
    <w:p>
      <w:pPr>
        <w:pStyle w:val="ListParagraph"/>
        <w:numPr>
          <w:ilvl w:val="0"/>
          <w:numId w:val="109"/>
        </w:numPr>
        <w:tabs>
          <w:tab w:pos="795" w:val="left" w:leader="none"/>
          <w:tab w:pos="799" w:val="left" w:leader="none"/>
        </w:tabs>
        <w:spacing w:line="228" w:lineRule="auto" w:before="180" w:after="0"/>
        <w:ind w:left="799" w:right="120" w:hanging="515"/>
        <w:jc w:val="both"/>
        <w:rPr>
          <w:sz w:val="20"/>
        </w:rPr>
      </w:pPr>
      <w:r>
        <w:rPr>
          <w:color w:val="231F1F"/>
          <w:w w:val="110"/>
          <w:sz w:val="20"/>
        </w:rPr>
        <w:t>Dahlen</w:t>
      </w:r>
      <w:r>
        <w:rPr>
          <w:color w:val="231F1F"/>
          <w:spacing w:val="-6"/>
          <w:w w:val="110"/>
          <w:sz w:val="20"/>
        </w:rPr>
        <w:t> </w:t>
      </w:r>
      <w:r>
        <w:rPr>
          <w:color w:val="231F1F"/>
          <w:w w:val="110"/>
          <w:sz w:val="20"/>
        </w:rPr>
        <w:t>HG,</w:t>
      </w:r>
      <w:r>
        <w:rPr>
          <w:color w:val="231F1F"/>
          <w:spacing w:val="-7"/>
          <w:w w:val="110"/>
          <w:sz w:val="20"/>
        </w:rPr>
        <w:t> </w:t>
      </w:r>
      <w:r>
        <w:rPr>
          <w:color w:val="231F1F"/>
          <w:w w:val="110"/>
          <w:sz w:val="20"/>
        </w:rPr>
        <w:t>Homer</w:t>
      </w:r>
      <w:r>
        <w:rPr>
          <w:color w:val="231F1F"/>
          <w:spacing w:val="-6"/>
          <w:w w:val="110"/>
          <w:sz w:val="20"/>
        </w:rPr>
        <w:t> </w:t>
      </w:r>
      <w:r>
        <w:rPr>
          <w:color w:val="231F1F"/>
          <w:w w:val="110"/>
          <w:sz w:val="20"/>
        </w:rPr>
        <w:t>CS,</w:t>
      </w:r>
      <w:r>
        <w:rPr>
          <w:color w:val="231F1F"/>
          <w:spacing w:val="-7"/>
          <w:w w:val="110"/>
          <w:sz w:val="20"/>
        </w:rPr>
        <w:t> </w:t>
      </w:r>
      <w:r>
        <w:rPr>
          <w:color w:val="231F1F"/>
          <w:w w:val="110"/>
          <w:sz w:val="20"/>
        </w:rPr>
        <w:t>Cooke</w:t>
      </w:r>
      <w:r>
        <w:rPr>
          <w:color w:val="231F1F"/>
          <w:spacing w:val="-6"/>
          <w:w w:val="110"/>
          <w:sz w:val="20"/>
        </w:rPr>
        <w:t> </w:t>
      </w:r>
      <w:r>
        <w:rPr>
          <w:color w:val="231F1F"/>
          <w:w w:val="110"/>
          <w:sz w:val="20"/>
        </w:rPr>
        <w:t>M,</w:t>
      </w:r>
      <w:r>
        <w:rPr>
          <w:color w:val="231F1F"/>
          <w:spacing w:val="-7"/>
          <w:w w:val="110"/>
          <w:sz w:val="20"/>
        </w:rPr>
        <w:t> </w:t>
      </w:r>
      <w:r>
        <w:rPr>
          <w:color w:val="231F1F"/>
          <w:w w:val="110"/>
          <w:sz w:val="20"/>
        </w:rPr>
        <w:t>Upton</w:t>
      </w:r>
      <w:r>
        <w:rPr>
          <w:color w:val="231F1F"/>
          <w:spacing w:val="-8"/>
          <w:w w:val="110"/>
          <w:sz w:val="20"/>
        </w:rPr>
        <w:t> </w:t>
      </w:r>
      <w:r>
        <w:rPr>
          <w:color w:val="231F1F"/>
          <w:w w:val="110"/>
          <w:sz w:val="20"/>
        </w:rPr>
        <w:t>AM,</w:t>
      </w:r>
      <w:r>
        <w:rPr>
          <w:color w:val="231F1F"/>
          <w:spacing w:val="-7"/>
          <w:w w:val="110"/>
          <w:sz w:val="20"/>
        </w:rPr>
        <w:t> </w:t>
      </w:r>
      <w:r>
        <w:rPr>
          <w:color w:val="231F1F"/>
          <w:w w:val="110"/>
          <w:sz w:val="20"/>
        </w:rPr>
        <w:t>Nunn</w:t>
      </w:r>
      <w:r>
        <w:rPr>
          <w:color w:val="231F1F"/>
          <w:spacing w:val="-6"/>
          <w:w w:val="110"/>
          <w:sz w:val="20"/>
        </w:rPr>
        <w:t> </w:t>
      </w:r>
      <w:r>
        <w:rPr>
          <w:color w:val="231F1F"/>
          <w:w w:val="110"/>
          <w:sz w:val="20"/>
        </w:rPr>
        <w:t>R,</w:t>
      </w:r>
      <w:r>
        <w:rPr>
          <w:color w:val="231F1F"/>
          <w:spacing w:val="-7"/>
          <w:w w:val="110"/>
          <w:sz w:val="20"/>
        </w:rPr>
        <w:t> </w:t>
      </w:r>
      <w:r>
        <w:rPr>
          <w:color w:val="231F1F"/>
          <w:w w:val="110"/>
          <w:sz w:val="20"/>
        </w:rPr>
        <w:t>Brodrick</w:t>
      </w:r>
      <w:r>
        <w:rPr>
          <w:color w:val="231F1F"/>
          <w:spacing w:val="-6"/>
          <w:w w:val="110"/>
          <w:sz w:val="20"/>
        </w:rPr>
        <w:t> </w:t>
      </w:r>
      <w:r>
        <w:rPr>
          <w:color w:val="231F1F"/>
          <w:w w:val="110"/>
          <w:sz w:val="20"/>
        </w:rPr>
        <w:t>B.</w:t>
      </w:r>
      <w:r>
        <w:rPr>
          <w:color w:val="231F1F"/>
          <w:spacing w:val="-7"/>
          <w:w w:val="110"/>
          <w:sz w:val="20"/>
        </w:rPr>
        <w:t> </w:t>
      </w:r>
      <w:r>
        <w:rPr>
          <w:color w:val="231F1F"/>
          <w:w w:val="110"/>
          <w:sz w:val="20"/>
        </w:rPr>
        <w:t>Perineal</w:t>
      </w:r>
      <w:r>
        <w:rPr>
          <w:color w:val="231F1F"/>
          <w:spacing w:val="-6"/>
          <w:w w:val="110"/>
          <w:sz w:val="20"/>
        </w:rPr>
        <w:t> </w:t>
      </w:r>
      <w:r>
        <w:rPr>
          <w:color w:val="231F1F"/>
          <w:w w:val="110"/>
          <w:sz w:val="20"/>
        </w:rPr>
        <w:t>outcomes</w:t>
      </w:r>
      <w:r>
        <w:rPr>
          <w:color w:val="231F1F"/>
          <w:spacing w:val="-6"/>
          <w:w w:val="110"/>
          <w:sz w:val="20"/>
        </w:rPr>
        <w:t> </w:t>
      </w:r>
      <w:r>
        <w:rPr>
          <w:color w:val="231F1F"/>
          <w:w w:val="110"/>
          <w:sz w:val="20"/>
        </w:rPr>
        <w:t>and maternal comfort related to the application of perineal warm packs in the second stage of labor: a randomized controlled trial. Birth 2007;34(4):282-90.</w:t>
      </w:r>
    </w:p>
    <w:p>
      <w:pPr>
        <w:pStyle w:val="ListParagraph"/>
        <w:numPr>
          <w:ilvl w:val="0"/>
          <w:numId w:val="109"/>
        </w:numPr>
        <w:tabs>
          <w:tab w:pos="795" w:val="left" w:leader="none"/>
          <w:tab w:pos="799" w:val="left" w:leader="none"/>
        </w:tabs>
        <w:spacing w:line="225" w:lineRule="auto" w:before="172" w:after="0"/>
        <w:ind w:left="799" w:right="145" w:hanging="508"/>
        <w:jc w:val="both"/>
        <w:rPr>
          <w:sz w:val="20"/>
        </w:rPr>
      </w:pPr>
      <w:r>
        <w:rPr>
          <w:color w:val="231F1F"/>
          <w:spacing w:val="-2"/>
          <w:w w:val="110"/>
          <w:sz w:val="20"/>
        </w:rPr>
        <w:t>Laine</w:t>
      </w:r>
      <w:r>
        <w:rPr>
          <w:color w:val="231F1F"/>
          <w:spacing w:val="-5"/>
          <w:w w:val="110"/>
          <w:sz w:val="20"/>
        </w:rPr>
        <w:t> </w:t>
      </w:r>
      <w:r>
        <w:rPr>
          <w:color w:val="231F1F"/>
          <w:spacing w:val="-2"/>
          <w:w w:val="110"/>
          <w:sz w:val="20"/>
        </w:rPr>
        <w:t>K,</w:t>
      </w:r>
      <w:r>
        <w:rPr>
          <w:color w:val="231F1F"/>
          <w:spacing w:val="-6"/>
          <w:w w:val="110"/>
          <w:sz w:val="20"/>
        </w:rPr>
        <w:t> </w:t>
      </w:r>
      <w:r>
        <w:rPr>
          <w:color w:val="231F1F"/>
          <w:spacing w:val="-2"/>
          <w:w w:val="110"/>
          <w:sz w:val="20"/>
        </w:rPr>
        <w:t>Pirhonen</w:t>
      </w:r>
      <w:r>
        <w:rPr>
          <w:color w:val="231F1F"/>
          <w:spacing w:val="-6"/>
          <w:w w:val="110"/>
          <w:sz w:val="20"/>
        </w:rPr>
        <w:t> </w:t>
      </w:r>
      <w:r>
        <w:rPr>
          <w:color w:val="231F1F"/>
          <w:spacing w:val="-2"/>
          <w:w w:val="110"/>
          <w:sz w:val="20"/>
        </w:rPr>
        <w:t>T,</w:t>
      </w:r>
      <w:r>
        <w:rPr>
          <w:color w:val="231F1F"/>
          <w:spacing w:val="-6"/>
          <w:w w:val="110"/>
          <w:sz w:val="20"/>
        </w:rPr>
        <w:t> </w:t>
      </w:r>
      <w:r>
        <w:rPr>
          <w:color w:val="231F1F"/>
          <w:spacing w:val="-2"/>
          <w:w w:val="110"/>
          <w:sz w:val="20"/>
        </w:rPr>
        <w:t>Rolland</w:t>
      </w:r>
      <w:r>
        <w:rPr>
          <w:color w:val="231F1F"/>
          <w:spacing w:val="-6"/>
          <w:w w:val="110"/>
          <w:sz w:val="20"/>
        </w:rPr>
        <w:t> </w:t>
      </w:r>
      <w:r>
        <w:rPr>
          <w:color w:val="231F1F"/>
          <w:spacing w:val="-2"/>
          <w:w w:val="110"/>
          <w:sz w:val="20"/>
        </w:rPr>
        <w:t>R,</w:t>
      </w:r>
      <w:r>
        <w:rPr>
          <w:color w:val="231F1F"/>
          <w:spacing w:val="-6"/>
          <w:w w:val="110"/>
          <w:sz w:val="20"/>
        </w:rPr>
        <w:t> </w:t>
      </w:r>
      <w:r>
        <w:rPr>
          <w:color w:val="231F1F"/>
          <w:spacing w:val="-2"/>
          <w:w w:val="110"/>
          <w:sz w:val="20"/>
        </w:rPr>
        <w:t>Pirhonen</w:t>
      </w:r>
      <w:r>
        <w:rPr>
          <w:color w:val="231F1F"/>
          <w:spacing w:val="-6"/>
          <w:w w:val="110"/>
          <w:sz w:val="20"/>
        </w:rPr>
        <w:t> </w:t>
      </w:r>
      <w:r>
        <w:rPr>
          <w:color w:val="231F1F"/>
          <w:spacing w:val="-2"/>
          <w:w w:val="110"/>
          <w:sz w:val="20"/>
        </w:rPr>
        <w:t>J.</w:t>
      </w:r>
      <w:r>
        <w:rPr>
          <w:color w:val="231F1F"/>
          <w:spacing w:val="-6"/>
          <w:w w:val="110"/>
          <w:sz w:val="20"/>
        </w:rPr>
        <w:t> </w:t>
      </w:r>
      <w:r>
        <w:rPr>
          <w:color w:val="231F1F"/>
          <w:spacing w:val="-2"/>
          <w:w w:val="110"/>
          <w:sz w:val="20"/>
        </w:rPr>
        <w:t>Decreasing</w:t>
      </w:r>
      <w:r>
        <w:rPr>
          <w:color w:val="231F1F"/>
          <w:spacing w:val="-5"/>
          <w:w w:val="110"/>
          <w:sz w:val="20"/>
        </w:rPr>
        <w:t> </w:t>
      </w:r>
      <w:r>
        <w:rPr>
          <w:color w:val="231F1F"/>
          <w:spacing w:val="-2"/>
          <w:w w:val="110"/>
          <w:sz w:val="20"/>
        </w:rPr>
        <w:t>the</w:t>
      </w:r>
      <w:r>
        <w:rPr>
          <w:color w:val="231F1F"/>
          <w:spacing w:val="-5"/>
          <w:w w:val="110"/>
          <w:sz w:val="20"/>
        </w:rPr>
        <w:t> </w:t>
      </w:r>
      <w:r>
        <w:rPr>
          <w:color w:val="231F1F"/>
          <w:spacing w:val="-2"/>
          <w:w w:val="110"/>
          <w:sz w:val="20"/>
        </w:rPr>
        <w:t>incidence</w:t>
      </w:r>
      <w:r>
        <w:rPr>
          <w:color w:val="231F1F"/>
          <w:spacing w:val="-5"/>
          <w:w w:val="110"/>
          <w:sz w:val="20"/>
        </w:rPr>
        <w:t> </w:t>
      </w:r>
      <w:r>
        <w:rPr>
          <w:color w:val="231F1F"/>
          <w:spacing w:val="-2"/>
          <w:w w:val="110"/>
          <w:sz w:val="20"/>
        </w:rPr>
        <w:t>of</w:t>
      </w:r>
      <w:r>
        <w:rPr>
          <w:color w:val="231F1F"/>
          <w:spacing w:val="-5"/>
          <w:w w:val="110"/>
          <w:sz w:val="20"/>
        </w:rPr>
        <w:t> </w:t>
      </w:r>
      <w:r>
        <w:rPr>
          <w:color w:val="231F1F"/>
          <w:spacing w:val="-2"/>
          <w:w w:val="110"/>
          <w:sz w:val="20"/>
        </w:rPr>
        <w:t>anal</w:t>
      </w:r>
      <w:r>
        <w:rPr>
          <w:color w:val="231F1F"/>
          <w:spacing w:val="-5"/>
          <w:w w:val="110"/>
          <w:sz w:val="20"/>
        </w:rPr>
        <w:t> </w:t>
      </w:r>
      <w:r>
        <w:rPr>
          <w:color w:val="231F1F"/>
          <w:spacing w:val="-2"/>
          <w:w w:val="110"/>
          <w:sz w:val="20"/>
        </w:rPr>
        <w:t>sphincter</w:t>
      </w:r>
      <w:r>
        <w:rPr>
          <w:color w:val="231F1F"/>
          <w:spacing w:val="-5"/>
          <w:w w:val="110"/>
          <w:sz w:val="20"/>
        </w:rPr>
        <w:t> </w:t>
      </w:r>
      <w:r>
        <w:rPr>
          <w:color w:val="231F1F"/>
          <w:spacing w:val="-2"/>
          <w:w w:val="110"/>
          <w:sz w:val="20"/>
        </w:rPr>
        <w:t>tears </w:t>
      </w:r>
      <w:r>
        <w:rPr>
          <w:color w:val="231F1F"/>
          <w:w w:val="110"/>
          <w:sz w:val="20"/>
        </w:rPr>
        <w:t>during delivery. Obstet Gynecol 2008;111(5):1053-7.</w:t>
      </w:r>
    </w:p>
    <w:p>
      <w:pPr>
        <w:pStyle w:val="ListParagraph"/>
        <w:numPr>
          <w:ilvl w:val="0"/>
          <w:numId w:val="109"/>
        </w:numPr>
        <w:tabs>
          <w:tab w:pos="795" w:val="left" w:leader="none"/>
          <w:tab w:pos="799" w:val="left" w:leader="none"/>
        </w:tabs>
        <w:spacing w:line="225" w:lineRule="auto" w:before="163" w:after="0"/>
        <w:ind w:left="799" w:right="220" w:hanging="508"/>
        <w:jc w:val="both"/>
        <w:rPr>
          <w:sz w:val="20"/>
        </w:rPr>
      </w:pPr>
      <w:r>
        <w:rPr>
          <w:color w:val="231F1F"/>
          <w:w w:val="110"/>
          <w:sz w:val="20"/>
        </w:rPr>
        <w:t>Carroli</w:t>
      </w:r>
      <w:r>
        <w:rPr>
          <w:color w:val="231F1F"/>
          <w:spacing w:val="-4"/>
          <w:w w:val="110"/>
          <w:sz w:val="20"/>
        </w:rPr>
        <w:t> </w:t>
      </w:r>
      <w:r>
        <w:rPr>
          <w:color w:val="231F1F"/>
          <w:w w:val="110"/>
          <w:sz w:val="20"/>
        </w:rPr>
        <w:t>G</w:t>
      </w:r>
      <w:r>
        <w:rPr>
          <w:color w:val="231F1F"/>
          <w:spacing w:val="-4"/>
          <w:w w:val="110"/>
          <w:sz w:val="20"/>
        </w:rPr>
        <w:t> </w:t>
      </w:r>
      <w:r>
        <w:rPr>
          <w:color w:val="231F1F"/>
          <w:w w:val="110"/>
          <w:sz w:val="20"/>
        </w:rPr>
        <w:t>BJ.</w:t>
      </w:r>
      <w:r>
        <w:rPr>
          <w:color w:val="231F1F"/>
          <w:spacing w:val="-5"/>
          <w:w w:val="110"/>
          <w:sz w:val="20"/>
        </w:rPr>
        <w:t> </w:t>
      </w:r>
      <w:r>
        <w:rPr>
          <w:color w:val="231F1F"/>
          <w:w w:val="110"/>
          <w:sz w:val="20"/>
        </w:rPr>
        <w:t>Episiotomy</w:t>
      </w:r>
      <w:r>
        <w:rPr>
          <w:color w:val="231F1F"/>
          <w:spacing w:val="-4"/>
          <w:w w:val="110"/>
          <w:sz w:val="20"/>
        </w:rPr>
        <w:t> </w:t>
      </w:r>
      <w:r>
        <w:rPr>
          <w:color w:val="231F1F"/>
          <w:w w:val="110"/>
          <w:sz w:val="20"/>
        </w:rPr>
        <w:t>for</w:t>
      </w:r>
      <w:r>
        <w:rPr>
          <w:color w:val="231F1F"/>
          <w:spacing w:val="-4"/>
          <w:w w:val="110"/>
          <w:sz w:val="20"/>
        </w:rPr>
        <w:t> </w:t>
      </w:r>
      <w:r>
        <w:rPr>
          <w:color w:val="231F1F"/>
          <w:w w:val="110"/>
          <w:sz w:val="20"/>
        </w:rPr>
        <w:t>vaginal</w:t>
      </w:r>
      <w:r>
        <w:rPr>
          <w:color w:val="231F1F"/>
          <w:spacing w:val="-4"/>
          <w:w w:val="110"/>
          <w:sz w:val="20"/>
        </w:rPr>
        <w:t> </w:t>
      </w:r>
      <w:r>
        <w:rPr>
          <w:color w:val="231F1F"/>
          <w:w w:val="110"/>
          <w:sz w:val="20"/>
        </w:rPr>
        <w:t>birth.</w:t>
      </w:r>
      <w:r>
        <w:rPr>
          <w:color w:val="231F1F"/>
          <w:spacing w:val="-4"/>
          <w:w w:val="110"/>
          <w:sz w:val="20"/>
        </w:rPr>
        <w:t> </w:t>
      </w:r>
      <w:r>
        <w:rPr>
          <w:color w:val="231F1F"/>
          <w:w w:val="110"/>
          <w:sz w:val="20"/>
        </w:rPr>
        <w:t>(Cochrane</w:t>
      </w:r>
      <w:r>
        <w:rPr>
          <w:color w:val="231F1F"/>
          <w:spacing w:val="-4"/>
          <w:w w:val="110"/>
          <w:sz w:val="20"/>
        </w:rPr>
        <w:t> </w:t>
      </w:r>
      <w:r>
        <w:rPr>
          <w:color w:val="231F1F"/>
          <w:w w:val="110"/>
          <w:sz w:val="20"/>
        </w:rPr>
        <w:t>Review).</w:t>
      </w:r>
      <w:r>
        <w:rPr>
          <w:color w:val="231F1F"/>
          <w:spacing w:val="-5"/>
          <w:w w:val="110"/>
          <w:sz w:val="20"/>
        </w:rPr>
        <w:t> </w:t>
      </w:r>
      <w:r>
        <w:rPr>
          <w:color w:val="231F1F"/>
          <w:w w:val="110"/>
          <w:sz w:val="20"/>
        </w:rPr>
        <w:t>In:</w:t>
      </w:r>
      <w:r>
        <w:rPr>
          <w:color w:val="231F1F"/>
          <w:spacing w:val="-5"/>
          <w:w w:val="110"/>
          <w:sz w:val="20"/>
        </w:rPr>
        <w:t> </w:t>
      </w:r>
      <w:r>
        <w:rPr>
          <w:color w:val="231F1F"/>
          <w:w w:val="110"/>
          <w:sz w:val="20"/>
        </w:rPr>
        <w:t>Cochrane</w:t>
      </w:r>
      <w:r>
        <w:rPr>
          <w:color w:val="231F1F"/>
          <w:spacing w:val="-4"/>
          <w:w w:val="110"/>
          <w:sz w:val="20"/>
        </w:rPr>
        <w:t> </w:t>
      </w:r>
      <w:r>
        <w:rPr>
          <w:color w:val="231F1F"/>
          <w:w w:val="110"/>
          <w:sz w:val="20"/>
        </w:rPr>
        <w:t>Database</w:t>
      </w:r>
      <w:r>
        <w:rPr>
          <w:color w:val="231F1F"/>
          <w:spacing w:val="-4"/>
          <w:w w:val="110"/>
          <w:sz w:val="20"/>
        </w:rPr>
        <w:t> </w:t>
      </w:r>
      <w:r>
        <w:rPr>
          <w:color w:val="231F1F"/>
          <w:w w:val="110"/>
          <w:sz w:val="20"/>
        </w:rPr>
        <w:t>of Systematic Reviews, Issue 3, 1998 Oxford: Update Software 1998.</w:t>
      </w:r>
    </w:p>
    <w:p>
      <w:pPr>
        <w:pStyle w:val="ListParagraph"/>
        <w:numPr>
          <w:ilvl w:val="0"/>
          <w:numId w:val="109"/>
        </w:numPr>
        <w:tabs>
          <w:tab w:pos="796" w:val="left" w:leader="none"/>
          <w:tab w:pos="800" w:val="left" w:leader="none"/>
        </w:tabs>
        <w:spacing w:line="244" w:lineRule="auto" w:before="161" w:after="0"/>
        <w:ind w:left="800" w:right="253" w:hanging="508"/>
        <w:jc w:val="both"/>
        <w:rPr>
          <w:sz w:val="20"/>
        </w:rPr>
      </w:pPr>
      <w:r>
        <w:rPr>
          <w:color w:val="231F1F"/>
          <w:sz w:val="20"/>
        </w:rPr>
        <w:t>Andrews V, Sultan AH, Thakar R, Jones PW. Risk factors for obstetric anal sphincter injury: a prospective study. Birth 2006; 2006;33(2):117-22.</w:t>
      </w:r>
    </w:p>
    <w:p>
      <w:pPr>
        <w:pStyle w:val="ListParagraph"/>
        <w:numPr>
          <w:ilvl w:val="0"/>
          <w:numId w:val="109"/>
        </w:numPr>
        <w:tabs>
          <w:tab w:pos="795" w:val="left" w:leader="none"/>
          <w:tab w:pos="799" w:val="left" w:leader="none"/>
        </w:tabs>
        <w:spacing w:line="225" w:lineRule="auto" w:before="137" w:after="0"/>
        <w:ind w:left="799" w:right="167" w:hanging="508"/>
        <w:jc w:val="both"/>
        <w:rPr>
          <w:sz w:val="20"/>
        </w:rPr>
      </w:pPr>
      <w:r>
        <w:rPr>
          <w:color w:val="231F1F"/>
          <w:spacing w:val="-2"/>
          <w:w w:val="110"/>
          <w:sz w:val="20"/>
        </w:rPr>
        <w:t>Dandolu</w:t>
      </w:r>
      <w:r>
        <w:rPr>
          <w:color w:val="231F1F"/>
          <w:spacing w:val="-10"/>
          <w:w w:val="110"/>
          <w:sz w:val="20"/>
        </w:rPr>
        <w:t> </w:t>
      </w:r>
      <w:r>
        <w:rPr>
          <w:color w:val="231F1F"/>
          <w:spacing w:val="-2"/>
          <w:w w:val="110"/>
          <w:sz w:val="20"/>
        </w:rPr>
        <w:t>V,</w:t>
      </w:r>
      <w:r>
        <w:rPr>
          <w:color w:val="231F1F"/>
          <w:spacing w:val="-10"/>
          <w:w w:val="110"/>
          <w:sz w:val="20"/>
        </w:rPr>
        <w:t> </w:t>
      </w:r>
      <w:r>
        <w:rPr>
          <w:color w:val="231F1F"/>
          <w:spacing w:val="-2"/>
          <w:w w:val="110"/>
          <w:sz w:val="20"/>
        </w:rPr>
        <w:t>Gaughan</w:t>
      </w:r>
      <w:r>
        <w:rPr>
          <w:color w:val="231F1F"/>
          <w:spacing w:val="-10"/>
          <w:w w:val="110"/>
          <w:sz w:val="20"/>
        </w:rPr>
        <w:t> </w:t>
      </w:r>
      <w:r>
        <w:rPr>
          <w:color w:val="231F1F"/>
          <w:spacing w:val="-2"/>
          <w:w w:val="110"/>
          <w:sz w:val="20"/>
        </w:rPr>
        <w:t>JP,</w:t>
      </w:r>
      <w:r>
        <w:rPr>
          <w:color w:val="231F1F"/>
          <w:spacing w:val="-9"/>
          <w:w w:val="110"/>
          <w:sz w:val="20"/>
        </w:rPr>
        <w:t> </w:t>
      </w:r>
      <w:r>
        <w:rPr>
          <w:color w:val="231F1F"/>
          <w:spacing w:val="-2"/>
          <w:w w:val="110"/>
          <w:sz w:val="20"/>
        </w:rPr>
        <w:t>Chatwani</w:t>
      </w:r>
      <w:r>
        <w:rPr>
          <w:color w:val="231F1F"/>
          <w:spacing w:val="-10"/>
          <w:w w:val="110"/>
          <w:sz w:val="20"/>
        </w:rPr>
        <w:t> </w:t>
      </w:r>
      <w:r>
        <w:rPr>
          <w:color w:val="231F1F"/>
          <w:spacing w:val="-2"/>
          <w:w w:val="110"/>
          <w:sz w:val="20"/>
        </w:rPr>
        <w:t>AJ,</w:t>
      </w:r>
      <w:r>
        <w:rPr>
          <w:color w:val="231F1F"/>
          <w:spacing w:val="-10"/>
          <w:w w:val="110"/>
          <w:sz w:val="20"/>
        </w:rPr>
        <w:t> </w:t>
      </w:r>
      <w:r>
        <w:rPr>
          <w:color w:val="231F1F"/>
          <w:spacing w:val="-2"/>
          <w:w w:val="110"/>
          <w:sz w:val="20"/>
        </w:rPr>
        <w:t>et</w:t>
      </w:r>
      <w:r>
        <w:rPr>
          <w:color w:val="231F1F"/>
          <w:spacing w:val="-9"/>
          <w:w w:val="110"/>
          <w:sz w:val="20"/>
        </w:rPr>
        <w:t> </w:t>
      </w:r>
      <w:r>
        <w:rPr>
          <w:color w:val="231F1F"/>
          <w:spacing w:val="-2"/>
          <w:w w:val="110"/>
          <w:sz w:val="20"/>
        </w:rPr>
        <w:t>al.</w:t>
      </w:r>
      <w:r>
        <w:rPr>
          <w:color w:val="231F1F"/>
          <w:spacing w:val="-10"/>
          <w:w w:val="110"/>
          <w:sz w:val="20"/>
        </w:rPr>
        <w:t> </w:t>
      </w:r>
      <w:r>
        <w:rPr>
          <w:color w:val="231F1F"/>
          <w:spacing w:val="-2"/>
          <w:w w:val="110"/>
          <w:sz w:val="20"/>
        </w:rPr>
        <w:t>Risk</w:t>
      </w:r>
      <w:r>
        <w:rPr>
          <w:color w:val="231F1F"/>
          <w:spacing w:val="-6"/>
          <w:w w:val="110"/>
          <w:sz w:val="20"/>
        </w:rPr>
        <w:t> </w:t>
      </w:r>
      <w:r>
        <w:rPr>
          <w:color w:val="231F1F"/>
          <w:spacing w:val="-2"/>
          <w:w w:val="110"/>
          <w:sz w:val="20"/>
        </w:rPr>
        <w:t>of</w:t>
      </w:r>
      <w:r>
        <w:rPr>
          <w:color w:val="231F1F"/>
          <w:spacing w:val="-6"/>
          <w:w w:val="110"/>
          <w:sz w:val="20"/>
        </w:rPr>
        <w:t> </w:t>
      </w:r>
      <w:r>
        <w:rPr>
          <w:color w:val="231F1F"/>
          <w:spacing w:val="-2"/>
          <w:w w:val="110"/>
          <w:sz w:val="20"/>
        </w:rPr>
        <w:t>recurrence</w:t>
      </w:r>
      <w:r>
        <w:rPr>
          <w:color w:val="231F1F"/>
          <w:spacing w:val="-7"/>
          <w:w w:val="110"/>
          <w:sz w:val="20"/>
        </w:rPr>
        <w:t> </w:t>
      </w:r>
      <w:r>
        <w:rPr>
          <w:color w:val="231F1F"/>
          <w:spacing w:val="-2"/>
          <w:w w:val="110"/>
          <w:sz w:val="20"/>
        </w:rPr>
        <w:t>of</w:t>
      </w:r>
      <w:r>
        <w:rPr>
          <w:color w:val="231F1F"/>
          <w:spacing w:val="-6"/>
          <w:w w:val="110"/>
          <w:sz w:val="20"/>
        </w:rPr>
        <w:t> </w:t>
      </w:r>
      <w:r>
        <w:rPr>
          <w:color w:val="231F1F"/>
          <w:spacing w:val="-2"/>
          <w:w w:val="110"/>
          <w:sz w:val="20"/>
        </w:rPr>
        <w:t>anal</w:t>
      </w:r>
      <w:r>
        <w:rPr>
          <w:color w:val="231F1F"/>
          <w:spacing w:val="-6"/>
          <w:w w:val="110"/>
          <w:sz w:val="20"/>
        </w:rPr>
        <w:t> </w:t>
      </w:r>
      <w:r>
        <w:rPr>
          <w:color w:val="231F1F"/>
          <w:spacing w:val="-2"/>
          <w:w w:val="110"/>
          <w:sz w:val="20"/>
        </w:rPr>
        <w:t>sphincter</w:t>
      </w:r>
      <w:r>
        <w:rPr>
          <w:color w:val="231F1F"/>
          <w:spacing w:val="-6"/>
          <w:w w:val="110"/>
          <w:sz w:val="20"/>
        </w:rPr>
        <w:t> </w:t>
      </w:r>
      <w:r>
        <w:rPr>
          <w:color w:val="231F1F"/>
          <w:spacing w:val="-2"/>
          <w:w w:val="110"/>
          <w:sz w:val="20"/>
        </w:rPr>
        <w:t>lacerations. </w:t>
      </w:r>
      <w:r>
        <w:rPr>
          <w:color w:val="231F1F"/>
          <w:w w:val="110"/>
          <w:sz w:val="20"/>
        </w:rPr>
        <w:t>Obstet Gynecol 2005;105(4):831-5.</w:t>
      </w:r>
    </w:p>
    <w:p>
      <w:pPr>
        <w:pStyle w:val="ListParagraph"/>
        <w:numPr>
          <w:ilvl w:val="0"/>
          <w:numId w:val="109"/>
        </w:numPr>
        <w:tabs>
          <w:tab w:pos="795" w:val="left" w:leader="none"/>
          <w:tab w:pos="799" w:val="left" w:leader="none"/>
        </w:tabs>
        <w:spacing w:line="228" w:lineRule="auto" w:before="161" w:after="0"/>
        <w:ind w:left="799" w:right="109" w:hanging="508"/>
        <w:jc w:val="both"/>
        <w:rPr>
          <w:sz w:val="20"/>
        </w:rPr>
      </w:pPr>
      <w:r>
        <w:rPr>
          <w:color w:val="231F1F"/>
          <w:w w:val="110"/>
          <w:sz w:val="20"/>
        </w:rPr>
        <w:t>Harkin</w:t>
      </w:r>
      <w:r>
        <w:rPr>
          <w:color w:val="231F1F"/>
          <w:spacing w:val="-9"/>
          <w:w w:val="110"/>
          <w:sz w:val="20"/>
        </w:rPr>
        <w:t> </w:t>
      </w:r>
      <w:r>
        <w:rPr>
          <w:color w:val="231F1F"/>
          <w:w w:val="110"/>
          <w:sz w:val="20"/>
        </w:rPr>
        <w:t>R,</w:t>
      </w:r>
      <w:r>
        <w:rPr>
          <w:color w:val="231F1F"/>
          <w:spacing w:val="-8"/>
          <w:w w:val="110"/>
          <w:sz w:val="20"/>
        </w:rPr>
        <w:t> </w:t>
      </w:r>
      <w:r>
        <w:rPr>
          <w:color w:val="231F1F"/>
          <w:w w:val="110"/>
          <w:sz w:val="20"/>
        </w:rPr>
        <w:t>Fitzpatrick</w:t>
      </w:r>
      <w:r>
        <w:rPr>
          <w:color w:val="231F1F"/>
          <w:spacing w:val="-7"/>
          <w:w w:val="110"/>
          <w:sz w:val="20"/>
        </w:rPr>
        <w:t> </w:t>
      </w:r>
      <w:r>
        <w:rPr>
          <w:color w:val="231F1F"/>
          <w:w w:val="110"/>
          <w:sz w:val="20"/>
        </w:rPr>
        <w:t>M,</w:t>
      </w:r>
      <w:r>
        <w:rPr>
          <w:color w:val="231F1F"/>
          <w:spacing w:val="-8"/>
          <w:w w:val="110"/>
          <w:sz w:val="20"/>
        </w:rPr>
        <w:t> </w:t>
      </w:r>
      <w:r>
        <w:rPr>
          <w:color w:val="231F1F"/>
          <w:w w:val="110"/>
          <w:sz w:val="20"/>
        </w:rPr>
        <w:t>O’Connell</w:t>
      </w:r>
      <w:r>
        <w:rPr>
          <w:color w:val="231F1F"/>
          <w:spacing w:val="-6"/>
          <w:w w:val="110"/>
          <w:sz w:val="20"/>
        </w:rPr>
        <w:t> </w:t>
      </w:r>
      <w:r>
        <w:rPr>
          <w:color w:val="231F1F"/>
          <w:w w:val="110"/>
          <w:sz w:val="20"/>
        </w:rPr>
        <w:t>PR,</w:t>
      </w:r>
      <w:r>
        <w:rPr>
          <w:color w:val="231F1F"/>
          <w:spacing w:val="-8"/>
          <w:w w:val="110"/>
          <w:sz w:val="20"/>
        </w:rPr>
        <w:t> </w:t>
      </w:r>
      <w:r>
        <w:rPr>
          <w:color w:val="231F1F"/>
          <w:w w:val="110"/>
          <w:sz w:val="20"/>
        </w:rPr>
        <w:t>et</w:t>
      </w:r>
      <w:r>
        <w:rPr>
          <w:color w:val="231F1F"/>
          <w:spacing w:val="-6"/>
          <w:w w:val="110"/>
          <w:sz w:val="20"/>
        </w:rPr>
        <w:t> </w:t>
      </w:r>
      <w:r>
        <w:rPr>
          <w:color w:val="231F1F"/>
          <w:w w:val="110"/>
          <w:sz w:val="20"/>
        </w:rPr>
        <w:t>al.</w:t>
      </w:r>
      <w:r>
        <w:rPr>
          <w:color w:val="231F1F"/>
          <w:spacing w:val="-8"/>
          <w:w w:val="110"/>
          <w:sz w:val="20"/>
        </w:rPr>
        <w:t> </w:t>
      </w:r>
      <w:r>
        <w:rPr>
          <w:color w:val="231F1F"/>
          <w:w w:val="110"/>
          <w:sz w:val="20"/>
        </w:rPr>
        <w:t>Anal</w:t>
      </w:r>
      <w:r>
        <w:rPr>
          <w:color w:val="231F1F"/>
          <w:spacing w:val="-6"/>
          <w:w w:val="110"/>
          <w:sz w:val="20"/>
        </w:rPr>
        <w:t> </w:t>
      </w:r>
      <w:r>
        <w:rPr>
          <w:color w:val="231F1F"/>
          <w:w w:val="110"/>
          <w:sz w:val="20"/>
        </w:rPr>
        <w:t>sphincter</w:t>
      </w:r>
      <w:r>
        <w:rPr>
          <w:color w:val="231F1F"/>
          <w:spacing w:val="-7"/>
          <w:w w:val="110"/>
          <w:sz w:val="20"/>
        </w:rPr>
        <w:t> </w:t>
      </w:r>
      <w:r>
        <w:rPr>
          <w:color w:val="231F1F"/>
          <w:w w:val="110"/>
          <w:sz w:val="20"/>
        </w:rPr>
        <w:t>disruption</w:t>
      </w:r>
      <w:r>
        <w:rPr>
          <w:color w:val="231F1F"/>
          <w:spacing w:val="-7"/>
          <w:w w:val="110"/>
          <w:sz w:val="20"/>
        </w:rPr>
        <w:t> </w:t>
      </w:r>
      <w:r>
        <w:rPr>
          <w:color w:val="231F1F"/>
          <w:w w:val="110"/>
          <w:sz w:val="20"/>
        </w:rPr>
        <w:t>at</w:t>
      </w:r>
      <w:r>
        <w:rPr>
          <w:color w:val="231F1F"/>
          <w:spacing w:val="-6"/>
          <w:w w:val="110"/>
          <w:sz w:val="20"/>
        </w:rPr>
        <w:t> </w:t>
      </w:r>
      <w:r>
        <w:rPr>
          <w:color w:val="231F1F"/>
          <w:w w:val="110"/>
          <w:sz w:val="20"/>
        </w:rPr>
        <w:t>vaginal</w:t>
      </w:r>
      <w:r>
        <w:rPr>
          <w:color w:val="231F1F"/>
          <w:spacing w:val="-6"/>
          <w:w w:val="110"/>
          <w:sz w:val="20"/>
        </w:rPr>
        <w:t> </w:t>
      </w:r>
      <w:r>
        <w:rPr>
          <w:color w:val="231F1F"/>
          <w:w w:val="110"/>
          <w:sz w:val="20"/>
        </w:rPr>
        <w:t>delivery: Is recurrence predictable? European Journal of Obstetrics, Gynecology and Reproductive Biology</w:t>
      </w:r>
      <w:r>
        <w:rPr>
          <w:color w:val="231F1F"/>
          <w:spacing w:val="-16"/>
          <w:w w:val="110"/>
          <w:sz w:val="20"/>
        </w:rPr>
        <w:t> </w:t>
      </w:r>
      <w:r>
        <w:rPr>
          <w:color w:val="231F1F"/>
          <w:w w:val="110"/>
          <w:sz w:val="20"/>
        </w:rPr>
        <w:t>2003;109(2):149-52.</w:t>
      </w:r>
    </w:p>
    <w:p>
      <w:pPr>
        <w:pStyle w:val="ListParagraph"/>
        <w:numPr>
          <w:ilvl w:val="0"/>
          <w:numId w:val="109"/>
        </w:numPr>
        <w:tabs>
          <w:tab w:pos="796" w:val="left" w:leader="none"/>
          <w:tab w:pos="800" w:val="left" w:leader="none"/>
        </w:tabs>
        <w:spacing w:line="228" w:lineRule="auto" w:before="180" w:after="0"/>
        <w:ind w:left="800" w:right="109" w:hanging="528"/>
        <w:jc w:val="both"/>
        <w:rPr>
          <w:sz w:val="20"/>
        </w:rPr>
      </w:pPr>
      <w:r>
        <w:rPr>
          <w:color w:val="231F1F"/>
          <w:w w:val="105"/>
          <w:sz w:val="20"/>
        </w:rPr>
        <w:t>Sangalli MR, Floris L, Faltin D, et al. Anal incontinence in women with third or fourth degree perineal</w:t>
      </w:r>
      <w:r>
        <w:rPr>
          <w:color w:val="231F1F"/>
          <w:spacing w:val="39"/>
          <w:w w:val="105"/>
          <w:sz w:val="20"/>
        </w:rPr>
        <w:t> </w:t>
      </w:r>
      <w:r>
        <w:rPr>
          <w:color w:val="231F1F"/>
          <w:w w:val="105"/>
          <w:sz w:val="20"/>
        </w:rPr>
        <w:t>tears</w:t>
      </w:r>
      <w:r>
        <w:rPr>
          <w:color w:val="231F1F"/>
          <w:spacing w:val="39"/>
          <w:w w:val="105"/>
          <w:sz w:val="20"/>
        </w:rPr>
        <w:t> </w:t>
      </w:r>
      <w:r>
        <w:rPr>
          <w:color w:val="231F1F"/>
          <w:w w:val="105"/>
          <w:sz w:val="20"/>
        </w:rPr>
        <w:t>and</w:t>
      </w:r>
      <w:r>
        <w:rPr>
          <w:color w:val="231F1F"/>
          <w:spacing w:val="38"/>
          <w:w w:val="105"/>
          <w:sz w:val="20"/>
        </w:rPr>
        <w:t> </w:t>
      </w:r>
      <w:r>
        <w:rPr>
          <w:color w:val="231F1F"/>
          <w:w w:val="105"/>
          <w:sz w:val="20"/>
        </w:rPr>
        <w:t>subsequent</w:t>
      </w:r>
      <w:r>
        <w:rPr>
          <w:color w:val="231F1F"/>
          <w:spacing w:val="39"/>
          <w:w w:val="105"/>
          <w:sz w:val="20"/>
        </w:rPr>
        <w:t> </w:t>
      </w:r>
      <w:r>
        <w:rPr>
          <w:color w:val="231F1F"/>
          <w:w w:val="105"/>
          <w:sz w:val="20"/>
        </w:rPr>
        <w:t>vaginal</w:t>
      </w:r>
      <w:r>
        <w:rPr>
          <w:color w:val="231F1F"/>
          <w:spacing w:val="38"/>
          <w:w w:val="105"/>
          <w:sz w:val="20"/>
        </w:rPr>
        <w:t> </w:t>
      </w:r>
      <w:r>
        <w:rPr>
          <w:color w:val="231F1F"/>
          <w:w w:val="105"/>
          <w:sz w:val="20"/>
        </w:rPr>
        <w:t>deliveries.</w:t>
      </w:r>
      <w:r>
        <w:rPr>
          <w:color w:val="231F1F"/>
          <w:w w:val="105"/>
          <w:sz w:val="20"/>
        </w:rPr>
        <w:t> Aust</w:t>
      </w:r>
      <w:r>
        <w:rPr>
          <w:color w:val="231F1F"/>
          <w:spacing w:val="39"/>
          <w:w w:val="105"/>
          <w:sz w:val="20"/>
        </w:rPr>
        <w:t> </w:t>
      </w:r>
      <w:r>
        <w:rPr>
          <w:color w:val="231F1F"/>
          <w:w w:val="105"/>
          <w:sz w:val="20"/>
        </w:rPr>
        <w:t>N</w:t>
      </w:r>
      <w:r>
        <w:rPr>
          <w:color w:val="231F1F"/>
          <w:spacing w:val="38"/>
          <w:w w:val="105"/>
          <w:sz w:val="20"/>
        </w:rPr>
        <w:t> </w:t>
      </w:r>
      <w:r>
        <w:rPr>
          <w:color w:val="231F1F"/>
          <w:w w:val="105"/>
          <w:sz w:val="20"/>
        </w:rPr>
        <w:t>Z</w:t>
      </w:r>
      <w:r>
        <w:rPr>
          <w:color w:val="231F1F"/>
          <w:spacing w:val="38"/>
          <w:w w:val="105"/>
          <w:sz w:val="20"/>
        </w:rPr>
        <w:t> </w:t>
      </w:r>
      <w:r>
        <w:rPr>
          <w:color w:val="231F1F"/>
          <w:w w:val="105"/>
          <w:sz w:val="20"/>
        </w:rPr>
        <w:t>J</w:t>
      </w:r>
      <w:r>
        <w:rPr>
          <w:color w:val="231F1F"/>
          <w:spacing w:val="39"/>
          <w:w w:val="105"/>
          <w:sz w:val="20"/>
        </w:rPr>
        <w:t> </w:t>
      </w:r>
      <w:r>
        <w:rPr>
          <w:color w:val="231F1F"/>
          <w:w w:val="105"/>
          <w:sz w:val="20"/>
        </w:rPr>
        <w:t>Obstet</w:t>
      </w:r>
      <w:r>
        <w:rPr>
          <w:color w:val="231F1F"/>
          <w:spacing w:val="39"/>
          <w:w w:val="105"/>
          <w:sz w:val="20"/>
        </w:rPr>
        <w:t> </w:t>
      </w:r>
      <w:r>
        <w:rPr>
          <w:color w:val="231F1F"/>
          <w:w w:val="105"/>
          <w:sz w:val="20"/>
        </w:rPr>
        <w:t>Gynaecol</w:t>
      </w:r>
      <w:r>
        <w:rPr>
          <w:color w:val="231F1F"/>
          <w:spacing w:val="39"/>
          <w:w w:val="105"/>
          <w:sz w:val="20"/>
        </w:rPr>
        <w:t> </w:t>
      </w:r>
      <w:r>
        <w:rPr>
          <w:color w:val="231F1F"/>
          <w:w w:val="105"/>
          <w:sz w:val="20"/>
        </w:rPr>
        <w:t>2000;40(3): </w:t>
      </w:r>
      <w:r>
        <w:rPr>
          <w:color w:val="231F1F"/>
          <w:spacing w:val="-2"/>
          <w:w w:val="105"/>
          <w:sz w:val="20"/>
        </w:rPr>
        <w:t>244-8.</w:t>
      </w:r>
    </w:p>
    <w:p>
      <w:pPr>
        <w:pStyle w:val="ListParagraph"/>
        <w:numPr>
          <w:ilvl w:val="0"/>
          <w:numId w:val="109"/>
        </w:numPr>
        <w:tabs>
          <w:tab w:pos="796" w:val="left" w:leader="none"/>
          <w:tab w:pos="800" w:val="left" w:leader="none"/>
        </w:tabs>
        <w:spacing w:line="220" w:lineRule="auto" w:before="171" w:after="0"/>
        <w:ind w:left="800" w:right="197" w:hanging="508"/>
        <w:jc w:val="both"/>
        <w:rPr>
          <w:sz w:val="20"/>
        </w:rPr>
      </w:pPr>
      <w:r>
        <w:rPr>
          <w:color w:val="231F1F"/>
          <w:w w:val="105"/>
          <w:sz w:val="20"/>
        </w:rPr>
        <w:t>Fleming VE, Hagen S, Niven C. Does perineal suturing make a difference? The SUNS trial. BJOG 2003;110(7):684-9.</w:t>
      </w:r>
    </w:p>
    <w:p>
      <w:pPr>
        <w:pStyle w:val="ListParagraph"/>
        <w:numPr>
          <w:ilvl w:val="0"/>
          <w:numId w:val="109"/>
        </w:numPr>
        <w:tabs>
          <w:tab w:pos="797" w:val="left" w:leader="none"/>
          <w:tab w:pos="800" w:val="left" w:leader="none"/>
        </w:tabs>
        <w:spacing w:line="220" w:lineRule="auto" w:before="177" w:after="0"/>
        <w:ind w:left="800" w:right="452" w:hanging="508"/>
        <w:jc w:val="left"/>
        <w:rPr>
          <w:sz w:val="20"/>
        </w:rPr>
      </w:pPr>
      <w:r>
        <w:rPr>
          <w:color w:val="231F1F"/>
          <w:w w:val="105"/>
          <w:sz w:val="20"/>
        </w:rPr>
        <w:t>Salmon</w:t>
      </w:r>
      <w:r>
        <w:rPr>
          <w:color w:val="231F1F"/>
          <w:spacing w:val="-8"/>
          <w:w w:val="105"/>
          <w:sz w:val="20"/>
        </w:rPr>
        <w:t> </w:t>
      </w:r>
      <w:r>
        <w:rPr>
          <w:color w:val="231F1F"/>
          <w:w w:val="105"/>
          <w:sz w:val="20"/>
        </w:rPr>
        <w:t>D.</w:t>
      </w:r>
      <w:r>
        <w:rPr>
          <w:color w:val="231F1F"/>
          <w:spacing w:val="-13"/>
          <w:w w:val="105"/>
          <w:sz w:val="20"/>
        </w:rPr>
        <w:t> </w:t>
      </w:r>
      <w:r>
        <w:rPr>
          <w:color w:val="231F1F"/>
          <w:w w:val="105"/>
          <w:sz w:val="20"/>
        </w:rPr>
        <w:t>A</w:t>
      </w:r>
      <w:r>
        <w:rPr>
          <w:color w:val="231F1F"/>
          <w:spacing w:val="-8"/>
          <w:w w:val="105"/>
          <w:sz w:val="20"/>
        </w:rPr>
        <w:t> </w:t>
      </w:r>
      <w:r>
        <w:rPr>
          <w:color w:val="231F1F"/>
          <w:w w:val="105"/>
          <w:sz w:val="20"/>
        </w:rPr>
        <w:t>feminist</w:t>
      </w:r>
      <w:r>
        <w:rPr>
          <w:color w:val="231F1F"/>
          <w:spacing w:val="-6"/>
          <w:w w:val="105"/>
          <w:sz w:val="20"/>
        </w:rPr>
        <w:t> </w:t>
      </w:r>
      <w:r>
        <w:rPr>
          <w:color w:val="231F1F"/>
          <w:w w:val="105"/>
          <w:sz w:val="20"/>
        </w:rPr>
        <w:t>analysis</w:t>
      </w:r>
      <w:r>
        <w:rPr>
          <w:color w:val="231F1F"/>
          <w:spacing w:val="-6"/>
          <w:w w:val="105"/>
          <w:sz w:val="20"/>
        </w:rPr>
        <w:t> </w:t>
      </w:r>
      <w:r>
        <w:rPr>
          <w:color w:val="231F1F"/>
          <w:w w:val="105"/>
          <w:sz w:val="20"/>
        </w:rPr>
        <w:t>of</w:t>
      </w:r>
      <w:r>
        <w:rPr>
          <w:color w:val="231F1F"/>
          <w:spacing w:val="-6"/>
          <w:w w:val="105"/>
          <w:sz w:val="20"/>
        </w:rPr>
        <w:t> </w:t>
      </w:r>
      <w:r>
        <w:rPr>
          <w:color w:val="231F1F"/>
          <w:w w:val="105"/>
          <w:sz w:val="20"/>
        </w:rPr>
        <w:t>women’s</w:t>
      </w:r>
      <w:r>
        <w:rPr>
          <w:color w:val="231F1F"/>
          <w:spacing w:val="-6"/>
          <w:w w:val="105"/>
          <w:sz w:val="20"/>
        </w:rPr>
        <w:t> </w:t>
      </w:r>
      <w:r>
        <w:rPr>
          <w:color w:val="231F1F"/>
          <w:w w:val="105"/>
          <w:sz w:val="20"/>
        </w:rPr>
        <w:t>experiences</w:t>
      </w:r>
      <w:r>
        <w:rPr>
          <w:color w:val="231F1F"/>
          <w:spacing w:val="-6"/>
          <w:w w:val="105"/>
          <w:sz w:val="20"/>
        </w:rPr>
        <w:t> </w:t>
      </w:r>
      <w:r>
        <w:rPr>
          <w:color w:val="231F1F"/>
          <w:w w:val="105"/>
          <w:sz w:val="20"/>
        </w:rPr>
        <w:t>of</w:t>
      </w:r>
      <w:r>
        <w:rPr>
          <w:color w:val="231F1F"/>
          <w:spacing w:val="-6"/>
          <w:w w:val="105"/>
          <w:sz w:val="20"/>
        </w:rPr>
        <w:t> </w:t>
      </w:r>
      <w:r>
        <w:rPr>
          <w:color w:val="231F1F"/>
          <w:w w:val="105"/>
          <w:sz w:val="20"/>
        </w:rPr>
        <w:t>perineal</w:t>
      </w:r>
      <w:r>
        <w:rPr>
          <w:color w:val="231F1F"/>
          <w:spacing w:val="-6"/>
          <w:w w:val="105"/>
          <w:sz w:val="20"/>
        </w:rPr>
        <w:t> </w:t>
      </w:r>
      <w:r>
        <w:rPr>
          <w:color w:val="231F1F"/>
          <w:w w:val="105"/>
          <w:sz w:val="20"/>
        </w:rPr>
        <w:t>trauma</w:t>
      </w:r>
      <w:r>
        <w:rPr>
          <w:color w:val="231F1F"/>
          <w:spacing w:val="-6"/>
          <w:w w:val="105"/>
          <w:sz w:val="20"/>
        </w:rPr>
        <w:t> </w:t>
      </w:r>
      <w:r>
        <w:rPr>
          <w:color w:val="231F1F"/>
          <w:w w:val="105"/>
          <w:sz w:val="20"/>
        </w:rPr>
        <w:t>in</w:t>
      </w:r>
      <w:r>
        <w:rPr>
          <w:color w:val="231F1F"/>
          <w:spacing w:val="-7"/>
          <w:w w:val="105"/>
          <w:sz w:val="20"/>
        </w:rPr>
        <w:t> </w:t>
      </w:r>
      <w:r>
        <w:rPr>
          <w:color w:val="231F1F"/>
          <w:w w:val="105"/>
          <w:sz w:val="20"/>
        </w:rPr>
        <w:t>the</w:t>
      </w:r>
      <w:r>
        <w:rPr>
          <w:color w:val="231F1F"/>
          <w:spacing w:val="-6"/>
          <w:w w:val="105"/>
          <w:sz w:val="20"/>
        </w:rPr>
        <w:t> </w:t>
      </w:r>
      <w:r>
        <w:rPr>
          <w:color w:val="231F1F"/>
          <w:w w:val="105"/>
          <w:sz w:val="20"/>
        </w:rPr>
        <w:t>immediate post-delivery period. Midwifery 1999;15(4):247-56.</w:t>
      </w:r>
    </w:p>
    <w:p>
      <w:pPr>
        <w:pStyle w:val="ListParagraph"/>
        <w:numPr>
          <w:ilvl w:val="0"/>
          <w:numId w:val="109"/>
        </w:numPr>
        <w:tabs>
          <w:tab w:pos="795" w:val="left" w:leader="none"/>
          <w:tab w:pos="799" w:val="left" w:leader="none"/>
        </w:tabs>
        <w:spacing w:line="225" w:lineRule="auto" w:before="168" w:after="0"/>
        <w:ind w:left="799" w:right="117" w:hanging="508"/>
        <w:jc w:val="both"/>
        <w:rPr>
          <w:sz w:val="20"/>
        </w:rPr>
      </w:pPr>
      <w:r>
        <w:rPr>
          <w:color w:val="231F1F"/>
          <w:w w:val="110"/>
          <w:sz w:val="20"/>
        </w:rPr>
        <w:t>Kettle C, James DC. Continuous versus interrupted sutures for perineal repair. (Cochrane Review).</w:t>
      </w:r>
      <w:r>
        <w:rPr>
          <w:color w:val="231F1F"/>
          <w:w w:val="110"/>
          <w:sz w:val="20"/>
        </w:rPr>
        <w:t> In:</w:t>
      </w:r>
      <w:r>
        <w:rPr>
          <w:color w:val="231F1F"/>
          <w:w w:val="110"/>
          <w:sz w:val="20"/>
        </w:rPr>
        <w:t> Cochrane</w:t>
      </w:r>
      <w:r>
        <w:rPr>
          <w:color w:val="231F1F"/>
          <w:w w:val="110"/>
          <w:sz w:val="20"/>
        </w:rPr>
        <w:t> Database</w:t>
      </w:r>
      <w:r>
        <w:rPr>
          <w:color w:val="231F1F"/>
          <w:w w:val="110"/>
          <w:sz w:val="20"/>
        </w:rPr>
        <w:t> of</w:t>
      </w:r>
      <w:r>
        <w:rPr>
          <w:color w:val="231F1F"/>
          <w:w w:val="110"/>
          <w:sz w:val="20"/>
        </w:rPr>
        <w:t> Systematic</w:t>
      </w:r>
      <w:r>
        <w:rPr>
          <w:color w:val="231F1F"/>
          <w:w w:val="110"/>
          <w:sz w:val="20"/>
        </w:rPr>
        <w:t> Reviews,</w:t>
      </w:r>
      <w:r>
        <w:rPr>
          <w:color w:val="231F1F"/>
          <w:w w:val="110"/>
          <w:sz w:val="20"/>
        </w:rPr>
        <w:t> Issue</w:t>
      </w:r>
      <w:r>
        <w:rPr>
          <w:color w:val="231F1F"/>
          <w:w w:val="110"/>
          <w:sz w:val="20"/>
        </w:rPr>
        <w:t> 1,</w:t>
      </w:r>
      <w:r>
        <w:rPr>
          <w:color w:val="231F1F"/>
          <w:w w:val="110"/>
          <w:sz w:val="20"/>
        </w:rPr>
        <w:t> 2006</w:t>
      </w:r>
      <w:r>
        <w:rPr>
          <w:color w:val="231F1F"/>
          <w:w w:val="110"/>
          <w:sz w:val="20"/>
        </w:rPr>
        <w:t> Oxford:</w:t>
      </w:r>
      <w:r>
        <w:rPr>
          <w:color w:val="231F1F"/>
          <w:w w:val="110"/>
          <w:sz w:val="20"/>
        </w:rPr>
        <w:t> Update Software 2006.</w:t>
      </w:r>
    </w:p>
    <w:p>
      <w:pPr>
        <w:pStyle w:val="ListParagraph"/>
        <w:numPr>
          <w:ilvl w:val="0"/>
          <w:numId w:val="109"/>
        </w:numPr>
        <w:tabs>
          <w:tab w:pos="795" w:val="left" w:leader="none"/>
          <w:tab w:pos="799" w:val="left" w:leader="none"/>
        </w:tabs>
        <w:spacing w:line="228" w:lineRule="auto" w:before="175" w:after="0"/>
        <w:ind w:left="799" w:right="118" w:hanging="515"/>
        <w:jc w:val="both"/>
        <w:rPr>
          <w:sz w:val="20"/>
        </w:rPr>
      </w:pPr>
      <w:r>
        <w:rPr>
          <w:color w:val="231F1F"/>
          <w:w w:val="110"/>
          <w:sz w:val="20"/>
        </w:rPr>
        <w:t>Kettle C, Hills RK, Jones P, Darby L, Gray R, Johanson R. Continuous versus interrupted perineal repair with standard or rapidly absorbed sutures after spontaneous vaginal birth: a randomised controlled trial. Lancet 2002;359():(9325):2217-23.</w:t>
      </w:r>
    </w:p>
    <w:p>
      <w:pPr>
        <w:pStyle w:val="ListParagraph"/>
        <w:numPr>
          <w:ilvl w:val="0"/>
          <w:numId w:val="109"/>
        </w:numPr>
        <w:tabs>
          <w:tab w:pos="795" w:val="left" w:leader="none"/>
          <w:tab w:pos="799" w:val="left" w:leader="none"/>
        </w:tabs>
        <w:spacing w:line="228" w:lineRule="auto" w:before="180" w:after="0"/>
        <w:ind w:left="799" w:right="111" w:hanging="508"/>
        <w:jc w:val="both"/>
        <w:rPr>
          <w:sz w:val="20"/>
        </w:rPr>
      </w:pPr>
      <w:r>
        <w:rPr>
          <w:color w:val="231F1F"/>
          <w:sz w:val="20"/>
        </w:rPr>
        <w:t>Gordon</w:t>
      </w:r>
      <w:r>
        <w:rPr>
          <w:color w:val="231F1F"/>
          <w:spacing w:val="27"/>
          <w:sz w:val="20"/>
        </w:rPr>
        <w:t> </w:t>
      </w:r>
      <w:r>
        <w:rPr>
          <w:color w:val="231F1F"/>
          <w:sz w:val="20"/>
        </w:rPr>
        <w:t>B,</w:t>
      </w:r>
      <w:r>
        <w:rPr>
          <w:color w:val="231F1F"/>
          <w:spacing w:val="20"/>
          <w:sz w:val="20"/>
        </w:rPr>
        <w:t> </w:t>
      </w:r>
      <w:r>
        <w:rPr>
          <w:color w:val="231F1F"/>
          <w:sz w:val="20"/>
        </w:rPr>
        <w:t>Mackrodt</w:t>
      </w:r>
      <w:r>
        <w:rPr>
          <w:color w:val="231F1F"/>
          <w:spacing w:val="29"/>
          <w:sz w:val="20"/>
        </w:rPr>
        <w:t> </w:t>
      </w:r>
      <w:r>
        <w:rPr>
          <w:color w:val="231F1F"/>
          <w:sz w:val="20"/>
        </w:rPr>
        <w:t>C,</w:t>
      </w:r>
      <w:r>
        <w:rPr>
          <w:color w:val="231F1F"/>
          <w:spacing w:val="20"/>
          <w:sz w:val="20"/>
        </w:rPr>
        <w:t> </w:t>
      </w:r>
      <w:r>
        <w:rPr>
          <w:color w:val="231F1F"/>
          <w:sz w:val="20"/>
        </w:rPr>
        <w:t>Fern</w:t>
      </w:r>
      <w:r>
        <w:rPr>
          <w:color w:val="231F1F"/>
          <w:spacing w:val="28"/>
          <w:sz w:val="20"/>
        </w:rPr>
        <w:t> </w:t>
      </w:r>
      <w:r>
        <w:rPr>
          <w:color w:val="231F1F"/>
          <w:sz w:val="20"/>
        </w:rPr>
        <w:t>E,Truesdale</w:t>
      </w:r>
      <w:r>
        <w:rPr>
          <w:color w:val="231F1F"/>
          <w:spacing w:val="20"/>
          <w:sz w:val="20"/>
        </w:rPr>
        <w:t> </w:t>
      </w:r>
      <w:r>
        <w:rPr>
          <w:color w:val="231F1F"/>
          <w:sz w:val="20"/>
        </w:rPr>
        <w:t>A,Ayers</w:t>
      </w:r>
      <w:r>
        <w:rPr>
          <w:color w:val="231F1F"/>
          <w:spacing w:val="29"/>
          <w:sz w:val="20"/>
        </w:rPr>
        <w:t> </w:t>
      </w:r>
      <w:r>
        <w:rPr>
          <w:color w:val="231F1F"/>
          <w:sz w:val="20"/>
        </w:rPr>
        <w:t>S,</w:t>
      </w:r>
      <w:r>
        <w:rPr>
          <w:color w:val="231F1F"/>
          <w:spacing w:val="20"/>
          <w:sz w:val="20"/>
        </w:rPr>
        <w:t> </w:t>
      </w:r>
      <w:r>
        <w:rPr>
          <w:color w:val="231F1F"/>
          <w:sz w:val="20"/>
        </w:rPr>
        <w:t>Grant</w:t>
      </w:r>
      <w:r>
        <w:rPr>
          <w:color w:val="231F1F"/>
          <w:spacing w:val="20"/>
          <w:sz w:val="20"/>
        </w:rPr>
        <w:t> </w:t>
      </w:r>
      <w:r>
        <w:rPr>
          <w:color w:val="231F1F"/>
          <w:sz w:val="20"/>
        </w:rPr>
        <w:t>A.The</w:t>
      </w:r>
      <w:r>
        <w:rPr>
          <w:color w:val="231F1F"/>
          <w:spacing w:val="28"/>
          <w:sz w:val="20"/>
        </w:rPr>
        <w:t> </w:t>
      </w:r>
      <w:r>
        <w:rPr>
          <w:color w:val="231F1F"/>
          <w:sz w:val="20"/>
        </w:rPr>
        <w:t>Ipswich</w:t>
      </w:r>
      <w:r>
        <w:rPr>
          <w:color w:val="231F1F"/>
          <w:spacing w:val="28"/>
          <w:sz w:val="20"/>
        </w:rPr>
        <w:t> </w:t>
      </w:r>
      <w:r>
        <w:rPr>
          <w:color w:val="231F1F"/>
          <w:sz w:val="20"/>
        </w:rPr>
        <w:t>Childbirth</w:t>
      </w:r>
      <w:r>
        <w:rPr>
          <w:color w:val="231F1F"/>
          <w:spacing w:val="29"/>
          <w:sz w:val="20"/>
        </w:rPr>
        <w:t> </w:t>
      </w:r>
      <w:r>
        <w:rPr>
          <w:color w:val="231F1F"/>
          <w:sz w:val="20"/>
        </w:rPr>
        <w:t>Study:</w:t>
      </w:r>
      <w:r>
        <w:rPr>
          <w:color w:val="231F1F"/>
          <w:spacing w:val="20"/>
          <w:sz w:val="20"/>
        </w:rPr>
        <w:t> </w:t>
      </w:r>
      <w:r>
        <w:rPr>
          <w:color w:val="231F1F"/>
          <w:sz w:val="20"/>
        </w:rPr>
        <w:t>1. </w:t>
      </w:r>
      <w:r>
        <w:rPr>
          <w:color w:val="231F1F"/>
          <w:w w:val="110"/>
          <w:sz w:val="20"/>
        </w:rPr>
        <w:t>A</w:t>
      </w:r>
      <w:r>
        <w:rPr>
          <w:color w:val="231F1F"/>
          <w:spacing w:val="-16"/>
          <w:w w:val="110"/>
          <w:sz w:val="20"/>
        </w:rPr>
        <w:t> </w:t>
      </w:r>
      <w:r>
        <w:rPr>
          <w:color w:val="231F1F"/>
          <w:w w:val="110"/>
          <w:sz w:val="20"/>
        </w:rPr>
        <w:t>randomised</w:t>
      </w:r>
      <w:r>
        <w:rPr>
          <w:color w:val="231F1F"/>
          <w:spacing w:val="-14"/>
          <w:w w:val="110"/>
          <w:sz w:val="20"/>
        </w:rPr>
        <w:t> </w:t>
      </w:r>
      <w:r>
        <w:rPr>
          <w:color w:val="231F1F"/>
          <w:w w:val="110"/>
          <w:sz w:val="20"/>
        </w:rPr>
        <w:t>evaluation</w:t>
      </w:r>
      <w:r>
        <w:rPr>
          <w:color w:val="231F1F"/>
          <w:spacing w:val="-14"/>
          <w:w w:val="110"/>
          <w:sz w:val="20"/>
        </w:rPr>
        <w:t> </w:t>
      </w:r>
      <w:r>
        <w:rPr>
          <w:color w:val="231F1F"/>
          <w:w w:val="110"/>
          <w:sz w:val="20"/>
        </w:rPr>
        <w:t>of</w:t>
      </w:r>
      <w:r>
        <w:rPr>
          <w:color w:val="231F1F"/>
          <w:spacing w:val="-13"/>
          <w:w w:val="110"/>
          <w:sz w:val="20"/>
        </w:rPr>
        <w:t> </w:t>
      </w:r>
      <w:r>
        <w:rPr>
          <w:color w:val="231F1F"/>
          <w:w w:val="110"/>
          <w:sz w:val="20"/>
        </w:rPr>
        <w:t>two</w:t>
      </w:r>
      <w:r>
        <w:rPr>
          <w:color w:val="231F1F"/>
          <w:spacing w:val="-14"/>
          <w:w w:val="110"/>
          <w:sz w:val="20"/>
        </w:rPr>
        <w:t> </w:t>
      </w:r>
      <w:r>
        <w:rPr>
          <w:color w:val="231F1F"/>
          <w:w w:val="110"/>
          <w:sz w:val="20"/>
        </w:rPr>
        <w:t>stage</w:t>
      </w:r>
      <w:r>
        <w:rPr>
          <w:color w:val="231F1F"/>
          <w:spacing w:val="-14"/>
          <w:w w:val="110"/>
          <w:sz w:val="20"/>
        </w:rPr>
        <w:t> </w:t>
      </w:r>
      <w:r>
        <w:rPr>
          <w:color w:val="231F1F"/>
          <w:w w:val="110"/>
          <w:sz w:val="20"/>
        </w:rPr>
        <w:t>postpartum</w:t>
      </w:r>
      <w:r>
        <w:rPr>
          <w:color w:val="231F1F"/>
          <w:spacing w:val="-14"/>
          <w:w w:val="110"/>
          <w:sz w:val="20"/>
        </w:rPr>
        <w:t> </w:t>
      </w:r>
      <w:r>
        <w:rPr>
          <w:color w:val="231F1F"/>
          <w:w w:val="110"/>
          <w:sz w:val="20"/>
        </w:rPr>
        <w:t>perineal</w:t>
      </w:r>
      <w:r>
        <w:rPr>
          <w:color w:val="231F1F"/>
          <w:spacing w:val="-13"/>
          <w:w w:val="110"/>
          <w:sz w:val="20"/>
        </w:rPr>
        <w:t> </w:t>
      </w:r>
      <w:r>
        <w:rPr>
          <w:color w:val="231F1F"/>
          <w:w w:val="110"/>
          <w:sz w:val="20"/>
        </w:rPr>
        <w:t>repair</w:t>
      </w:r>
      <w:r>
        <w:rPr>
          <w:color w:val="231F1F"/>
          <w:spacing w:val="-14"/>
          <w:w w:val="110"/>
          <w:sz w:val="20"/>
        </w:rPr>
        <w:t> </w:t>
      </w:r>
      <w:r>
        <w:rPr>
          <w:color w:val="231F1F"/>
          <w:w w:val="110"/>
          <w:sz w:val="20"/>
        </w:rPr>
        <w:t>leaving</w:t>
      </w:r>
      <w:r>
        <w:rPr>
          <w:color w:val="231F1F"/>
          <w:spacing w:val="-14"/>
          <w:w w:val="110"/>
          <w:sz w:val="20"/>
        </w:rPr>
        <w:t> </w:t>
      </w:r>
      <w:r>
        <w:rPr>
          <w:color w:val="231F1F"/>
          <w:w w:val="110"/>
          <w:sz w:val="20"/>
        </w:rPr>
        <w:t>the</w:t>
      </w:r>
      <w:r>
        <w:rPr>
          <w:color w:val="231F1F"/>
          <w:spacing w:val="-14"/>
          <w:w w:val="110"/>
          <w:sz w:val="20"/>
        </w:rPr>
        <w:t> </w:t>
      </w:r>
      <w:r>
        <w:rPr>
          <w:color w:val="231F1F"/>
          <w:w w:val="110"/>
          <w:sz w:val="20"/>
        </w:rPr>
        <w:t>skin</w:t>
      </w:r>
      <w:r>
        <w:rPr>
          <w:color w:val="231F1F"/>
          <w:spacing w:val="-13"/>
          <w:w w:val="110"/>
          <w:sz w:val="20"/>
        </w:rPr>
        <w:t> </w:t>
      </w:r>
      <w:r>
        <w:rPr>
          <w:color w:val="231F1F"/>
          <w:w w:val="110"/>
          <w:sz w:val="20"/>
        </w:rPr>
        <w:t>unsutured. Br J Obstet Gynaecol 1998;105:435-40.</w:t>
      </w:r>
    </w:p>
    <w:p>
      <w:pPr>
        <w:pStyle w:val="ListParagraph"/>
        <w:numPr>
          <w:ilvl w:val="0"/>
          <w:numId w:val="109"/>
        </w:numPr>
        <w:tabs>
          <w:tab w:pos="797" w:val="left" w:leader="none"/>
          <w:tab w:pos="799" w:val="left" w:leader="none"/>
        </w:tabs>
        <w:spacing w:line="220" w:lineRule="auto" w:before="171" w:after="0"/>
        <w:ind w:left="799" w:right="211" w:hanging="508"/>
        <w:jc w:val="left"/>
        <w:rPr>
          <w:sz w:val="20"/>
        </w:rPr>
      </w:pPr>
      <w:r>
        <w:rPr>
          <w:color w:val="231F1F"/>
          <w:w w:val="110"/>
          <w:sz w:val="20"/>
        </w:rPr>
        <w:t>Oboro</w:t>
      </w:r>
      <w:r>
        <w:rPr>
          <w:color w:val="231F1F"/>
          <w:spacing w:val="-16"/>
          <w:w w:val="110"/>
          <w:sz w:val="20"/>
        </w:rPr>
        <w:t> </w:t>
      </w:r>
      <w:r>
        <w:rPr>
          <w:color w:val="231F1F"/>
          <w:w w:val="110"/>
          <w:sz w:val="20"/>
        </w:rPr>
        <w:t>VO,</w:t>
      </w:r>
      <w:r>
        <w:rPr>
          <w:color w:val="231F1F"/>
          <w:spacing w:val="-16"/>
          <w:w w:val="110"/>
          <w:sz w:val="20"/>
        </w:rPr>
        <w:t> </w:t>
      </w:r>
      <w:r>
        <w:rPr>
          <w:color w:val="231F1F"/>
          <w:w w:val="110"/>
          <w:sz w:val="20"/>
        </w:rPr>
        <w:t>Tabowei</w:t>
      </w:r>
      <w:r>
        <w:rPr>
          <w:color w:val="231F1F"/>
          <w:spacing w:val="-15"/>
          <w:w w:val="110"/>
          <w:sz w:val="20"/>
        </w:rPr>
        <w:t> </w:t>
      </w:r>
      <w:r>
        <w:rPr>
          <w:color w:val="231F1F"/>
          <w:w w:val="110"/>
          <w:sz w:val="20"/>
        </w:rPr>
        <w:t>TO,</w:t>
      </w:r>
      <w:r>
        <w:rPr>
          <w:color w:val="231F1F"/>
          <w:spacing w:val="-15"/>
          <w:w w:val="110"/>
          <w:sz w:val="20"/>
        </w:rPr>
        <w:t> </w:t>
      </w:r>
      <w:r>
        <w:rPr>
          <w:color w:val="231F1F"/>
          <w:w w:val="110"/>
          <w:sz w:val="20"/>
        </w:rPr>
        <w:t>Loto</w:t>
      </w:r>
      <w:r>
        <w:rPr>
          <w:color w:val="231F1F"/>
          <w:spacing w:val="-14"/>
          <w:w w:val="110"/>
          <w:sz w:val="20"/>
        </w:rPr>
        <w:t> </w:t>
      </w:r>
      <w:r>
        <w:rPr>
          <w:color w:val="231F1F"/>
          <w:w w:val="110"/>
          <w:sz w:val="20"/>
        </w:rPr>
        <w:t>OM,</w:t>
      </w:r>
      <w:r>
        <w:rPr>
          <w:color w:val="231F1F"/>
          <w:spacing w:val="-14"/>
          <w:w w:val="110"/>
          <w:sz w:val="20"/>
        </w:rPr>
        <w:t> </w:t>
      </w:r>
      <w:r>
        <w:rPr>
          <w:color w:val="231F1F"/>
          <w:w w:val="110"/>
          <w:sz w:val="20"/>
        </w:rPr>
        <w:t>Bosah</w:t>
      </w:r>
      <w:r>
        <w:rPr>
          <w:color w:val="231F1F"/>
          <w:spacing w:val="-9"/>
          <w:w w:val="110"/>
          <w:sz w:val="20"/>
        </w:rPr>
        <w:t> </w:t>
      </w:r>
      <w:r>
        <w:rPr>
          <w:color w:val="231F1F"/>
          <w:w w:val="110"/>
          <w:sz w:val="20"/>
        </w:rPr>
        <w:t>JO.</w:t>
      </w:r>
      <w:r>
        <w:rPr>
          <w:color w:val="231F1F"/>
          <w:spacing w:val="-16"/>
          <w:w w:val="110"/>
          <w:sz w:val="20"/>
        </w:rPr>
        <w:t> </w:t>
      </w:r>
      <w:r>
        <w:rPr>
          <w:color w:val="231F1F"/>
          <w:w w:val="110"/>
          <w:sz w:val="20"/>
        </w:rPr>
        <w:t>A</w:t>
      </w:r>
      <w:r>
        <w:rPr>
          <w:color w:val="231F1F"/>
          <w:spacing w:val="-7"/>
          <w:w w:val="110"/>
          <w:sz w:val="20"/>
        </w:rPr>
        <w:t> </w:t>
      </w:r>
      <w:r>
        <w:rPr>
          <w:color w:val="231F1F"/>
          <w:w w:val="110"/>
          <w:sz w:val="20"/>
        </w:rPr>
        <w:t>multicentre</w:t>
      </w:r>
      <w:r>
        <w:rPr>
          <w:color w:val="231F1F"/>
          <w:spacing w:val="-7"/>
          <w:w w:val="110"/>
          <w:sz w:val="20"/>
        </w:rPr>
        <w:t> </w:t>
      </w:r>
      <w:r>
        <w:rPr>
          <w:color w:val="231F1F"/>
          <w:w w:val="110"/>
          <w:sz w:val="20"/>
        </w:rPr>
        <w:t>evaluation</w:t>
      </w:r>
      <w:r>
        <w:rPr>
          <w:color w:val="231F1F"/>
          <w:spacing w:val="-8"/>
          <w:w w:val="110"/>
          <w:sz w:val="20"/>
        </w:rPr>
        <w:t> </w:t>
      </w:r>
      <w:r>
        <w:rPr>
          <w:color w:val="231F1F"/>
          <w:w w:val="110"/>
          <w:sz w:val="20"/>
        </w:rPr>
        <w:t>of</w:t>
      </w:r>
      <w:r>
        <w:rPr>
          <w:color w:val="231F1F"/>
          <w:spacing w:val="-7"/>
          <w:w w:val="110"/>
          <w:sz w:val="20"/>
        </w:rPr>
        <w:t> </w:t>
      </w:r>
      <w:r>
        <w:rPr>
          <w:color w:val="231F1F"/>
          <w:w w:val="110"/>
          <w:sz w:val="20"/>
        </w:rPr>
        <w:t>the</w:t>
      </w:r>
      <w:r>
        <w:rPr>
          <w:color w:val="231F1F"/>
          <w:spacing w:val="-7"/>
          <w:w w:val="110"/>
          <w:sz w:val="20"/>
        </w:rPr>
        <w:t> </w:t>
      </w:r>
      <w:r>
        <w:rPr>
          <w:color w:val="231F1F"/>
          <w:w w:val="110"/>
          <w:sz w:val="20"/>
        </w:rPr>
        <w:t>two-layered repair of postpartum perineal trauma. J Obstet Gynaecol 2003;23(1):5-8.</w:t>
      </w:r>
    </w:p>
    <w:p>
      <w:pPr>
        <w:pStyle w:val="ListParagraph"/>
        <w:numPr>
          <w:ilvl w:val="0"/>
          <w:numId w:val="109"/>
        </w:numPr>
        <w:tabs>
          <w:tab w:pos="797" w:val="left" w:leader="none"/>
          <w:tab w:pos="799" w:val="left" w:leader="none"/>
        </w:tabs>
        <w:spacing w:line="220" w:lineRule="auto" w:before="172" w:after="0"/>
        <w:ind w:left="799" w:right="173" w:hanging="508"/>
        <w:jc w:val="left"/>
        <w:rPr>
          <w:sz w:val="20"/>
        </w:rPr>
      </w:pPr>
      <w:r>
        <w:rPr>
          <w:color w:val="231F1F"/>
          <w:spacing w:val="-2"/>
          <w:w w:val="110"/>
          <w:sz w:val="20"/>
        </w:rPr>
        <w:t>Grant</w:t>
      </w:r>
      <w:r>
        <w:rPr>
          <w:color w:val="231F1F"/>
          <w:spacing w:val="-24"/>
          <w:w w:val="110"/>
          <w:sz w:val="20"/>
        </w:rPr>
        <w:t> </w:t>
      </w:r>
      <w:r>
        <w:rPr>
          <w:color w:val="231F1F"/>
          <w:spacing w:val="-2"/>
          <w:w w:val="110"/>
          <w:sz w:val="20"/>
        </w:rPr>
        <w:t>A,</w:t>
      </w:r>
      <w:r>
        <w:rPr>
          <w:color w:val="231F1F"/>
          <w:spacing w:val="-24"/>
          <w:w w:val="110"/>
          <w:sz w:val="20"/>
        </w:rPr>
        <w:t> </w:t>
      </w:r>
      <w:r>
        <w:rPr>
          <w:color w:val="231F1F"/>
          <w:spacing w:val="-2"/>
          <w:w w:val="110"/>
          <w:sz w:val="20"/>
        </w:rPr>
        <w:t>Gordon</w:t>
      </w:r>
      <w:r>
        <w:rPr>
          <w:color w:val="231F1F"/>
          <w:spacing w:val="-13"/>
          <w:w w:val="110"/>
          <w:sz w:val="20"/>
        </w:rPr>
        <w:t> </w:t>
      </w:r>
      <w:r>
        <w:rPr>
          <w:color w:val="231F1F"/>
          <w:spacing w:val="-2"/>
          <w:w w:val="110"/>
          <w:sz w:val="20"/>
        </w:rPr>
        <w:t>B,</w:t>
      </w:r>
      <w:r>
        <w:rPr>
          <w:color w:val="231F1F"/>
          <w:spacing w:val="-24"/>
          <w:w w:val="110"/>
          <w:sz w:val="20"/>
        </w:rPr>
        <w:t> </w:t>
      </w:r>
      <w:r>
        <w:rPr>
          <w:color w:val="231F1F"/>
          <w:spacing w:val="-2"/>
          <w:w w:val="110"/>
          <w:sz w:val="20"/>
        </w:rPr>
        <w:t>Mackrodat</w:t>
      </w:r>
      <w:r>
        <w:rPr>
          <w:color w:val="231F1F"/>
          <w:spacing w:val="-13"/>
          <w:w w:val="110"/>
          <w:sz w:val="20"/>
        </w:rPr>
        <w:t> </w:t>
      </w:r>
      <w:r>
        <w:rPr>
          <w:color w:val="231F1F"/>
          <w:spacing w:val="-2"/>
          <w:w w:val="110"/>
          <w:sz w:val="20"/>
        </w:rPr>
        <w:t>C,</w:t>
      </w:r>
      <w:r>
        <w:rPr>
          <w:color w:val="231F1F"/>
          <w:spacing w:val="-24"/>
          <w:w w:val="110"/>
          <w:sz w:val="20"/>
        </w:rPr>
        <w:t> </w:t>
      </w:r>
      <w:r>
        <w:rPr>
          <w:color w:val="231F1F"/>
          <w:spacing w:val="-2"/>
          <w:w w:val="110"/>
          <w:sz w:val="20"/>
        </w:rPr>
        <w:t>Fern</w:t>
      </w:r>
      <w:r>
        <w:rPr>
          <w:color w:val="231F1F"/>
          <w:spacing w:val="-13"/>
          <w:w w:val="110"/>
          <w:sz w:val="20"/>
        </w:rPr>
        <w:t> </w:t>
      </w:r>
      <w:r>
        <w:rPr>
          <w:color w:val="231F1F"/>
          <w:spacing w:val="-2"/>
          <w:w w:val="110"/>
          <w:sz w:val="20"/>
        </w:rPr>
        <w:t>E,</w:t>
      </w:r>
      <w:r>
        <w:rPr>
          <w:color w:val="231F1F"/>
          <w:spacing w:val="-36"/>
          <w:w w:val="110"/>
          <w:sz w:val="20"/>
        </w:rPr>
        <w:t> </w:t>
      </w:r>
      <w:r>
        <w:rPr>
          <w:color w:val="231F1F"/>
          <w:spacing w:val="-2"/>
          <w:w w:val="110"/>
          <w:sz w:val="20"/>
        </w:rPr>
        <w:t>Truesdale</w:t>
      </w:r>
      <w:r>
        <w:rPr>
          <w:color w:val="231F1F"/>
          <w:spacing w:val="-24"/>
          <w:w w:val="110"/>
          <w:sz w:val="20"/>
        </w:rPr>
        <w:t> </w:t>
      </w:r>
      <w:r>
        <w:rPr>
          <w:color w:val="231F1F"/>
          <w:spacing w:val="-2"/>
          <w:w w:val="110"/>
          <w:sz w:val="20"/>
        </w:rPr>
        <w:t>A,</w:t>
      </w:r>
      <w:r>
        <w:rPr>
          <w:color w:val="231F1F"/>
          <w:spacing w:val="-36"/>
          <w:w w:val="110"/>
          <w:sz w:val="20"/>
        </w:rPr>
        <w:t> </w:t>
      </w:r>
      <w:r>
        <w:rPr>
          <w:color w:val="231F1F"/>
          <w:spacing w:val="-2"/>
          <w:w w:val="110"/>
          <w:sz w:val="20"/>
        </w:rPr>
        <w:t>Ayers</w:t>
      </w:r>
      <w:r>
        <w:rPr>
          <w:color w:val="231F1F"/>
          <w:spacing w:val="-13"/>
          <w:w w:val="110"/>
          <w:sz w:val="20"/>
        </w:rPr>
        <w:t> </w:t>
      </w:r>
      <w:r>
        <w:rPr>
          <w:color w:val="231F1F"/>
          <w:spacing w:val="-2"/>
          <w:w w:val="110"/>
          <w:sz w:val="20"/>
        </w:rPr>
        <w:t>S.</w:t>
      </w:r>
      <w:r>
        <w:rPr>
          <w:color w:val="231F1F"/>
          <w:spacing w:val="-36"/>
          <w:w w:val="110"/>
          <w:sz w:val="20"/>
        </w:rPr>
        <w:t> </w:t>
      </w:r>
      <w:r>
        <w:rPr>
          <w:color w:val="231F1F"/>
          <w:spacing w:val="-2"/>
          <w:w w:val="110"/>
          <w:sz w:val="20"/>
        </w:rPr>
        <w:t>The</w:t>
      </w:r>
      <w:r>
        <w:rPr>
          <w:color w:val="231F1F"/>
          <w:spacing w:val="-13"/>
          <w:w w:val="110"/>
          <w:sz w:val="20"/>
        </w:rPr>
        <w:t> </w:t>
      </w:r>
      <w:r>
        <w:rPr>
          <w:color w:val="231F1F"/>
          <w:spacing w:val="-2"/>
          <w:w w:val="110"/>
          <w:sz w:val="20"/>
        </w:rPr>
        <w:t>Ipswich</w:t>
      </w:r>
      <w:r>
        <w:rPr>
          <w:color w:val="231F1F"/>
          <w:spacing w:val="-13"/>
          <w:w w:val="110"/>
          <w:sz w:val="20"/>
        </w:rPr>
        <w:t> </w:t>
      </w:r>
      <w:r>
        <w:rPr>
          <w:color w:val="231F1F"/>
          <w:spacing w:val="-2"/>
          <w:w w:val="110"/>
          <w:sz w:val="20"/>
        </w:rPr>
        <w:t>childbirth</w:t>
      </w:r>
      <w:r>
        <w:rPr>
          <w:color w:val="231F1F"/>
          <w:spacing w:val="-15"/>
          <w:w w:val="110"/>
          <w:sz w:val="20"/>
        </w:rPr>
        <w:t> </w:t>
      </w:r>
      <w:r>
        <w:rPr>
          <w:color w:val="231F1F"/>
          <w:spacing w:val="-2"/>
          <w:w w:val="110"/>
          <w:sz w:val="20"/>
        </w:rPr>
        <w:t>study: </w:t>
      </w:r>
      <w:r>
        <w:rPr>
          <w:color w:val="231F1F"/>
          <w:w w:val="110"/>
          <w:sz w:val="20"/>
        </w:rPr>
        <w:t>one</w:t>
      </w:r>
      <w:r>
        <w:rPr>
          <w:color w:val="231F1F"/>
          <w:spacing w:val="-16"/>
          <w:w w:val="110"/>
          <w:sz w:val="20"/>
        </w:rPr>
        <w:t> </w:t>
      </w:r>
      <w:r>
        <w:rPr>
          <w:color w:val="231F1F"/>
          <w:w w:val="110"/>
          <w:sz w:val="20"/>
        </w:rPr>
        <w:t>year</w:t>
      </w:r>
      <w:r>
        <w:rPr>
          <w:color w:val="231F1F"/>
          <w:spacing w:val="-16"/>
          <w:w w:val="110"/>
          <w:sz w:val="20"/>
        </w:rPr>
        <w:t> </w:t>
      </w:r>
      <w:r>
        <w:rPr>
          <w:color w:val="231F1F"/>
          <w:w w:val="110"/>
          <w:sz w:val="20"/>
        </w:rPr>
        <w:t>follow</w:t>
      </w:r>
      <w:r>
        <w:rPr>
          <w:color w:val="231F1F"/>
          <w:spacing w:val="-16"/>
          <w:w w:val="110"/>
          <w:sz w:val="20"/>
        </w:rPr>
        <w:t> </w:t>
      </w:r>
      <w:r>
        <w:rPr>
          <w:color w:val="231F1F"/>
          <w:w w:val="110"/>
          <w:sz w:val="20"/>
        </w:rPr>
        <w:t>up</w:t>
      </w:r>
      <w:r>
        <w:rPr>
          <w:color w:val="231F1F"/>
          <w:spacing w:val="-15"/>
          <w:w w:val="110"/>
          <w:sz w:val="20"/>
        </w:rPr>
        <w:t> </w:t>
      </w:r>
      <w:r>
        <w:rPr>
          <w:color w:val="231F1F"/>
          <w:w w:val="110"/>
          <w:sz w:val="20"/>
        </w:rPr>
        <w:t>of</w:t>
      </w:r>
      <w:r>
        <w:rPr>
          <w:color w:val="231F1F"/>
          <w:spacing w:val="-16"/>
          <w:w w:val="110"/>
          <w:sz w:val="20"/>
        </w:rPr>
        <w:t> </w:t>
      </w:r>
      <w:r>
        <w:rPr>
          <w:color w:val="231F1F"/>
          <w:w w:val="110"/>
          <w:sz w:val="20"/>
        </w:rPr>
        <w:t>alternative</w:t>
      </w:r>
      <w:r>
        <w:rPr>
          <w:color w:val="231F1F"/>
          <w:spacing w:val="-15"/>
          <w:w w:val="110"/>
          <w:sz w:val="20"/>
        </w:rPr>
        <w:t> </w:t>
      </w:r>
      <w:r>
        <w:rPr>
          <w:color w:val="231F1F"/>
          <w:w w:val="110"/>
          <w:sz w:val="20"/>
        </w:rPr>
        <w:t>methods</w:t>
      </w:r>
      <w:r>
        <w:rPr>
          <w:color w:val="231F1F"/>
          <w:spacing w:val="-15"/>
          <w:w w:val="110"/>
          <w:sz w:val="20"/>
        </w:rPr>
        <w:t> </w:t>
      </w:r>
      <w:r>
        <w:rPr>
          <w:color w:val="231F1F"/>
          <w:w w:val="110"/>
          <w:sz w:val="20"/>
        </w:rPr>
        <w:t>used</w:t>
      </w:r>
      <w:r>
        <w:rPr>
          <w:color w:val="231F1F"/>
          <w:spacing w:val="-15"/>
          <w:w w:val="110"/>
          <w:sz w:val="20"/>
        </w:rPr>
        <w:t> </w:t>
      </w:r>
      <w:r>
        <w:rPr>
          <w:color w:val="231F1F"/>
          <w:w w:val="110"/>
          <w:sz w:val="20"/>
        </w:rPr>
        <w:t>in</w:t>
      </w:r>
      <w:r>
        <w:rPr>
          <w:color w:val="231F1F"/>
          <w:spacing w:val="-15"/>
          <w:w w:val="110"/>
          <w:sz w:val="20"/>
        </w:rPr>
        <w:t> </w:t>
      </w:r>
      <w:r>
        <w:rPr>
          <w:color w:val="231F1F"/>
          <w:w w:val="110"/>
          <w:sz w:val="20"/>
        </w:rPr>
        <w:t>perineal</w:t>
      </w:r>
      <w:r>
        <w:rPr>
          <w:color w:val="231F1F"/>
          <w:spacing w:val="-15"/>
          <w:w w:val="110"/>
          <w:sz w:val="20"/>
        </w:rPr>
        <w:t> </w:t>
      </w:r>
      <w:r>
        <w:rPr>
          <w:color w:val="231F1F"/>
          <w:w w:val="110"/>
          <w:sz w:val="20"/>
        </w:rPr>
        <w:t>repair.</w:t>
      </w:r>
      <w:r>
        <w:rPr>
          <w:color w:val="231F1F"/>
          <w:spacing w:val="-18"/>
          <w:w w:val="110"/>
          <w:sz w:val="20"/>
        </w:rPr>
        <w:t> </w:t>
      </w:r>
      <w:r>
        <w:rPr>
          <w:color w:val="231F1F"/>
          <w:w w:val="110"/>
          <w:sz w:val="20"/>
        </w:rPr>
        <w:t>BJOG</w:t>
      </w:r>
      <w:r>
        <w:rPr>
          <w:color w:val="231F1F"/>
          <w:spacing w:val="-15"/>
          <w:w w:val="110"/>
          <w:sz w:val="20"/>
        </w:rPr>
        <w:t> </w:t>
      </w:r>
      <w:r>
        <w:rPr>
          <w:color w:val="231F1F"/>
          <w:w w:val="110"/>
          <w:sz w:val="20"/>
        </w:rPr>
        <w:t>2001;108(1):34-40.</w:t>
      </w:r>
    </w:p>
    <w:p>
      <w:pPr>
        <w:pStyle w:val="ListParagraph"/>
        <w:numPr>
          <w:ilvl w:val="0"/>
          <w:numId w:val="109"/>
        </w:numPr>
        <w:tabs>
          <w:tab w:pos="797" w:val="left" w:leader="none"/>
          <w:tab w:pos="799" w:val="left" w:leader="none"/>
        </w:tabs>
        <w:spacing w:line="220" w:lineRule="auto" w:before="152" w:after="0"/>
        <w:ind w:left="799" w:right="206" w:hanging="508"/>
        <w:jc w:val="left"/>
        <w:rPr>
          <w:sz w:val="20"/>
        </w:rPr>
      </w:pPr>
      <w:r>
        <w:rPr>
          <w:color w:val="231F1F"/>
          <w:w w:val="110"/>
          <w:position w:val="1"/>
          <w:sz w:val="20"/>
        </w:rPr>
        <w:t>Kettle</w:t>
      </w:r>
      <w:r>
        <w:rPr>
          <w:color w:val="231F1F"/>
          <w:spacing w:val="-15"/>
          <w:w w:val="110"/>
          <w:position w:val="1"/>
          <w:sz w:val="20"/>
        </w:rPr>
        <w:t> </w:t>
      </w:r>
      <w:r>
        <w:rPr>
          <w:color w:val="231F1F"/>
          <w:w w:val="110"/>
          <w:position w:val="1"/>
          <w:sz w:val="20"/>
        </w:rPr>
        <w:t>C,</w:t>
      </w:r>
      <w:r>
        <w:rPr>
          <w:color w:val="231F1F"/>
          <w:spacing w:val="-16"/>
          <w:w w:val="110"/>
          <w:position w:val="1"/>
          <w:sz w:val="20"/>
        </w:rPr>
        <w:t> </w:t>
      </w:r>
      <w:r>
        <w:rPr>
          <w:color w:val="231F1F"/>
          <w:w w:val="110"/>
          <w:position w:val="1"/>
          <w:sz w:val="20"/>
        </w:rPr>
        <w:t>Hills</w:t>
      </w:r>
      <w:r>
        <w:rPr>
          <w:color w:val="231F1F"/>
          <w:spacing w:val="-14"/>
          <w:w w:val="110"/>
          <w:position w:val="1"/>
          <w:sz w:val="20"/>
        </w:rPr>
        <w:t> </w:t>
      </w:r>
      <w:r>
        <w:rPr>
          <w:color w:val="231F1F"/>
          <w:w w:val="110"/>
          <w:position w:val="1"/>
          <w:sz w:val="20"/>
        </w:rPr>
        <w:t>RK,</w:t>
      </w:r>
      <w:r>
        <w:rPr>
          <w:color w:val="231F1F"/>
          <w:spacing w:val="-16"/>
          <w:w w:val="110"/>
          <w:position w:val="1"/>
          <w:sz w:val="20"/>
        </w:rPr>
        <w:t> </w:t>
      </w:r>
      <w:r>
        <w:rPr>
          <w:color w:val="231F1F"/>
          <w:w w:val="110"/>
          <w:position w:val="1"/>
          <w:sz w:val="20"/>
        </w:rPr>
        <w:t>Ismail</w:t>
      </w:r>
      <w:r>
        <w:rPr>
          <w:color w:val="231F1F"/>
          <w:spacing w:val="-14"/>
          <w:w w:val="110"/>
          <w:position w:val="1"/>
          <w:sz w:val="20"/>
        </w:rPr>
        <w:t> </w:t>
      </w:r>
      <w:r>
        <w:rPr>
          <w:color w:val="231F1F"/>
          <w:w w:val="110"/>
          <w:position w:val="1"/>
          <w:sz w:val="20"/>
        </w:rPr>
        <w:t>KMK.</w:t>
      </w:r>
      <w:r>
        <w:rPr>
          <w:color w:val="231F1F"/>
          <w:spacing w:val="-16"/>
          <w:w w:val="110"/>
          <w:position w:val="1"/>
          <w:sz w:val="20"/>
        </w:rPr>
        <w:t> </w:t>
      </w:r>
      <w:r>
        <w:rPr>
          <w:color w:val="231F1F"/>
          <w:w w:val="110"/>
          <w:position w:val="1"/>
          <w:sz w:val="20"/>
        </w:rPr>
        <w:t>Suturas</w:t>
      </w:r>
      <w:r>
        <w:rPr>
          <w:color w:val="231F1F"/>
          <w:spacing w:val="-14"/>
          <w:w w:val="110"/>
          <w:position w:val="1"/>
          <w:sz w:val="20"/>
        </w:rPr>
        <w:t> </w:t>
      </w:r>
      <w:r>
        <w:rPr>
          <w:color w:val="231F1F"/>
          <w:w w:val="110"/>
          <w:position w:val="1"/>
          <w:sz w:val="20"/>
        </w:rPr>
        <w:t>continuas</w:t>
      </w:r>
      <w:r>
        <w:rPr>
          <w:color w:val="231F1F"/>
          <w:spacing w:val="-13"/>
          <w:w w:val="110"/>
          <w:position w:val="1"/>
          <w:sz w:val="20"/>
        </w:rPr>
        <w:t> </w:t>
      </w:r>
      <w:r>
        <w:rPr>
          <w:color w:val="231F1F"/>
          <w:w w:val="110"/>
          <w:position w:val="1"/>
          <w:sz w:val="20"/>
        </w:rPr>
        <w:t>versus</w:t>
      </w:r>
      <w:r>
        <w:rPr>
          <w:color w:val="231F1F"/>
          <w:spacing w:val="-14"/>
          <w:w w:val="110"/>
          <w:position w:val="1"/>
          <w:sz w:val="20"/>
        </w:rPr>
        <w:t> </w:t>
      </w:r>
      <w:r>
        <w:rPr>
          <w:color w:val="231F1F"/>
          <w:w w:val="110"/>
          <w:position w:val="1"/>
          <w:sz w:val="20"/>
        </w:rPr>
        <w:t>interrumpidas</w:t>
      </w:r>
      <w:r>
        <w:rPr>
          <w:color w:val="231F1F"/>
          <w:spacing w:val="-14"/>
          <w:w w:val="110"/>
          <w:position w:val="1"/>
          <w:sz w:val="20"/>
        </w:rPr>
        <w:t> </w:t>
      </w:r>
      <w:r>
        <w:rPr>
          <w:color w:val="231F1F"/>
          <w:w w:val="110"/>
          <w:position w:val="1"/>
          <w:sz w:val="20"/>
        </w:rPr>
        <w:t>para</w:t>
      </w:r>
      <w:r>
        <w:rPr>
          <w:color w:val="231F1F"/>
          <w:spacing w:val="-14"/>
          <w:w w:val="110"/>
          <w:position w:val="1"/>
          <w:sz w:val="20"/>
        </w:rPr>
        <w:t> </w:t>
      </w:r>
      <w:r>
        <w:rPr>
          <w:color w:val="231F1F"/>
          <w:w w:val="110"/>
          <w:position w:val="1"/>
          <w:sz w:val="20"/>
        </w:rPr>
        <w:t>la</w:t>
      </w:r>
      <w:r>
        <w:rPr>
          <w:color w:val="231F1F"/>
          <w:spacing w:val="-13"/>
          <w:w w:val="110"/>
          <w:position w:val="1"/>
          <w:sz w:val="20"/>
        </w:rPr>
        <w:t> </w:t>
      </w:r>
      <w:r>
        <w:rPr>
          <w:color w:val="231F1F"/>
          <w:w w:val="110"/>
          <w:position w:val="1"/>
          <w:sz w:val="20"/>
        </w:rPr>
        <w:t>reparación </w:t>
      </w:r>
      <w:r>
        <w:rPr>
          <w:color w:val="231F1F"/>
          <w:w w:val="110"/>
          <w:sz w:val="20"/>
        </w:rPr>
        <w:t>de</w:t>
      </w:r>
      <w:r>
        <w:rPr>
          <w:color w:val="231F1F"/>
          <w:spacing w:val="-5"/>
          <w:w w:val="110"/>
          <w:sz w:val="20"/>
        </w:rPr>
        <w:t> </w:t>
      </w:r>
      <w:r>
        <w:rPr>
          <w:color w:val="231F1F"/>
          <w:w w:val="110"/>
          <w:sz w:val="20"/>
        </w:rPr>
        <w:t>la</w:t>
      </w:r>
      <w:r>
        <w:rPr>
          <w:color w:val="231F1F"/>
          <w:spacing w:val="-4"/>
          <w:w w:val="110"/>
          <w:sz w:val="20"/>
        </w:rPr>
        <w:t> </w:t>
      </w:r>
      <w:r>
        <w:rPr>
          <w:color w:val="231F1F"/>
          <w:w w:val="110"/>
          <w:sz w:val="20"/>
        </w:rPr>
        <w:t>episiotomía</w:t>
      </w:r>
      <w:r>
        <w:rPr>
          <w:color w:val="231F1F"/>
          <w:spacing w:val="-5"/>
          <w:w w:val="110"/>
          <w:sz w:val="20"/>
        </w:rPr>
        <w:t> </w:t>
      </w:r>
      <w:r>
        <w:rPr>
          <w:color w:val="231F1F"/>
          <w:w w:val="110"/>
          <w:sz w:val="20"/>
        </w:rPr>
        <w:t>o</w:t>
      </w:r>
      <w:r>
        <w:rPr>
          <w:color w:val="231F1F"/>
          <w:spacing w:val="-4"/>
          <w:w w:val="110"/>
          <w:sz w:val="20"/>
        </w:rPr>
        <w:t> </w:t>
      </w:r>
      <w:r>
        <w:rPr>
          <w:color w:val="231F1F"/>
          <w:w w:val="110"/>
          <w:sz w:val="20"/>
        </w:rPr>
        <w:t>los</w:t>
      </w:r>
      <w:r>
        <w:rPr>
          <w:color w:val="231F1F"/>
          <w:spacing w:val="-4"/>
          <w:w w:val="110"/>
          <w:sz w:val="20"/>
        </w:rPr>
        <w:t> </w:t>
      </w:r>
      <w:r>
        <w:rPr>
          <w:color w:val="231F1F"/>
          <w:w w:val="110"/>
          <w:sz w:val="20"/>
        </w:rPr>
        <w:t>desgarros</w:t>
      </w:r>
      <w:r>
        <w:rPr>
          <w:color w:val="231F1F"/>
          <w:spacing w:val="-5"/>
          <w:w w:val="110"/>
          <w:sz w:val="20"/>
        </w:rPr>
        <w:t> </w:t>
      </w:r>
      <w:r>
        <w:rPr>
          <w:color w:val="231F1F"/>
          <w:w w:val="110"/>
          <w:sz w:val="20"/>
        </w:rPr>
        <w:t>de</w:t>
      </w:r>
      <w:r>
        <w:rPr>
          <w:color w:val="231F1F"/>
          <w:spacing w:val="-4"/>
          <w:w w:val="110"/>
          <w:sz w:val="20"/>
        </w:rPr>
        <w:t> </w:t>
      </w:r>
      <w:r>
        <w:rPr>
          <w:color w:val="231F1F"/>
          <w:w w:val="110"/>
          <w:sz w:val="20"/>
        </w:rPr>
        <w:t>segundo</w:t>
      </w:r>
      <w:r>
        <w:rPr>
          <w:color w:val="231F1F"/>
          <w:spacing w:val="-4"/>
          <w:w w:val="110"/>
          <w:sz w:val="20"/>
        </w:rPr>
        <w:t> </w:t>
      </w:r>
      <w:r>
        <w:rPr>
          <w:color w:val="231F1F"/>
          <w:w w:val="110"/>
          <w:sz w:val="20"/>
        </w:rPr>
        <w:t>grado</w:t>
      </w:r>
      <w:r>
        <w:rPr>
          <w:color w:val="231F1F"/>
          <w:spacing w:val="-5"/>
          <w:w w:val="110"/>
          <w:sz w:val="20"/>
        </w:rPr>
        <w:t> </w:t>
      </w:r>
      <w:r>
        <w:rPr>
          <w:color w:val="231F1F"/>
          <w:w w:val="110"/>
          <w:sz w:val="20"/>
        </w:rPr>
        <w:t>(Revisión</w:t>
      </w:r>
      <w:r>
        <w:rPr>
          <w:color w:val="231F1F"/>
          <w:spacing w:val="-4"/>
          <w:w w:val="110"/>
          <w:sz w:val="20"/>
        </w:rPr>
        <w:t> </w:t>
      </w:r>
      <w:r>
        <w:rPr>
          <w:color w:val="231F1F"/>
          <w:w w:val="110"/>
          <w:sz w:val="20"/>
        </w:rPr>
        <w:t>Cochrane</w:t>
      </w:r>
      <w:r>
        <w:rPr>
          <w:color w:val="231F1F"/>
          <w:spacing w:val="-4"/>
          <w:w w:val="110"/>
          <w:sz w:val="20"/>
        </w:rPr>
        <w:t> </w:t>
      </w:r>
      <w:r>
        <w:rPr>
          <w:color w:val="231F1F"/>
          <w:w w:val="110"/>
          <w:sz w:val="20"/>
        </w:rPr>
        <w:t>traducida).</w:t>
      </w:r>
      <w:r>
        <w:rPr>
          <w:color w:val="231F1F"/>
          <w:spacing w:val="-12"/>
          <w:w w:val="110"/>
          <w:sz w:val="20"/>
        </w:rPr>
        <w:t> </w:t>
      </w:r>
      <w:r>
        <w:rPr>
          <w:color w:val="231F1F"/>
          <w:w w:val="110"/>
          <w:sz w:val="20"/>
        </w:rPr>
        <w:t>En:</w:t>
      </w:r>
      <w:r>
        <w:rPr>
          <w:color w:val="231F1F"/>
          <w:spacing w:val="-13"/>
          <w:w w:val="110"/>
          <w:sz w:val="20"/>
        </w:rPr>
        <w:t> </w:t>
      </w:r>
      <w:r>
        <w:rPr>
          <w:color w:val="231F1F"/>
          <w:w w:val="110"/>
          <w:sz w:val="20"/>
        </w:rPr>
        <w:t>La</w:t>
      </w:r>
    </w:p>
    <w:p>
      <w:pPr>
        <w:pStyle w:val="ListParagraph"/>
        <w:spacing w:after="0" w:line="220" w:lineRule="auto"/>
        <w:jc w:val="left"/>
        <w:rPr>
          <w:sz w:val="20"/>
        </w:rPr>
        <w:sectPr>
          <w:pgSz w:w="11900" w:h="16840"/>
          <w:pgMar w:header="0" w:footer="622" w:top="1540" w:bottom="820" w:left="1417" w:right="1559"/>
        </w:sectPr>
      </w:pPr>
    </w:p>
    <w:p>
      <w:pPr>
        <w:spacing w:line="242" w:lineRule="auto" w:before="82"/>
        <w:ind w:left="797" w:right="115" w:firstLine="0"/>
        <w:jc w:val="both"/>
        <w:rPr>
          <w:sz w:val="20"/>
        </w:rPr>
      </w:pPr>
      <w:r>
        <w:rPr>
          <w:color w:val="231F1F"/>
          <w:sz w:val="20"/>
        </w:rPr>
        <w:t>Biblioteca Cochrane Plus, 2008 Número 1 OxfORd: Update Software Ltd Disponible en: http:// www update-software com (Traducida de The Cochrane Library, 2008 Issue 1 Chichester, UK:</w:t>
      </w:r>
      <w:r>
        <w:rPr>
          <w:color w:val="231F1F"/>
          <w:spacing w:val="40"/>
          <w:sz w:val="20"/>
        </w:rPr>
        <w:t> </w:t>
      </w:r>
      <w:r>
        <w:rPr>
          <w:color w:val="231F1F"/>
          <w:sz w:val="20"/>
        </w:rPr>
        <w:t>John Wiley</w:t>
      </w:r>
      <w:r>
        <w:rPr>
          <w:color w:val="231F1F"/>
          <w:spacing w:val="40"/>
          <w:sz w:val="20"/>
        </w:rPr>
        <w:t> </w:t>
      </w:r>
      <w:r>
        <w:rPr>
          <w:color w:val="231F1F"/>
          <w:sz w:val="20"/>
        </w:rPr>
        <w:t>&amp;</w:t>
      </w:r>
      <w:r>
        <w:rPr>
          <w:color w:val="231F1F"/>
          <w:spacing w:val="40"/>
          <w:sz w:val="20"/>
        </w:rPr>
        <w:t> </w:t>
      </w:r>
      <w:r>
        <w:rPr>
          <w:color w:val="231F1F"/>
          <w:sz w:val="20"/>
        </w:rPr>
        <w:t>Sons, Ltd</w:t>
      </w:r>
      <w:r>
        <w:rPr>
          <w:color w:val="231F1F"/>
          <w:spacing w:val="40"/>
          <w:sz w:val="20"/>
        </w:rPr>
        <w:t> </w:t>
      </w:r>
      <w:r>
        <w:rPr>
          <w:color w:val="231F1F"/>
          <w:sz w:val="20"/>
        </w:rPr>
        <w:t>)</w:t>
      </w:r>
      <w:r>
        <w:rPr>
          <w:color w:val="231F1F"/>
          <w:spacing w:val="40"/>
          <w:sz w:val="20"/>
        </w:rPr>
        <w:t> </w:t>
      </w:r>
      <w:r>
        <w:rPr>
          <w:color w:val="231F1F"/>
          <w:sz w:val="20"/>
        </w:rPr>
        <w:t>2008.</w:t>
      </w:r>
    </w:p>
    <w:p>
      <w:pPr>
        <w:pStyle w:val="ListParagraph"/>
        <w:numPr>
          <w:ilvl w:val="0"/>
          <w:numId w:val="109"/>
        </w:numPr>
        <w:tabs>
          <w:tab w:pos="795" w:val="left" w:leader="none"/>
          <w:tab w:pos="797" w:val="left" w:leader="none"/>
        </w:tabs>
        <w:spacing w:line="240" w:lineRule="auto" w:before="143" w:after="0"/>
        <w:ind w:left="797" w:right="379" w:hanging="506"/>
        <w:jc w:val="left"/>
        <w:rPr>
          <w:sz w:val="20"/>
        </w:rPr>
      </w:pPr>
      <w:r>
        <w:rPr>
          <w:color w:val="231F1F"/>
          <w:sz w:val="20"/>
        </w:rPr>
        <w:t>Verspyck</w:t>
      </w:r>
      <w:r>
        <w:rPr>
          <w:color w:val="231F1F"/>
          <w:spacing w:val="-3"/>
          <w:sz w:val="20"/>
        </w:rPr>
        <w:t> </w:t>
      </w:r>
      <w:r>
        <w:rPr>
          <w:color w:val="231F1F"/>
          <w:sz w:val="20"/>
        </w:rPr>
        <w:t>E,</w:t>
      </w:r>
      <w:r>
        <w:rPr>
          <w:color w:val="231F1F"/>
          <w:spacing w:val="-6"/>
          <w:sz w:val="20"/>
        </w:rPr>
        <w:t> </w:t>
      </w:r>
      <w:r>
        <w:rPr>
          <w:color w:val="231F1F"/>
          <w:sz w:val="20"/>
        </w:rPr>
        <w:t>Sentilhes</w:t>
      </w:r>
      <w:r>
        <w:rPr>
          <w:color w:val="231F1F"/>
          <w:spacing w:val="17"/>
          <w:sz w:val="20"/>
        </w:rPr>
        <w:t> </w:t>
      </w:r>
      <w:r>
        <w:rPr>
          <w:color w:val="231F1F"/>
          <w:sz w:val="20"/>
        </w:rPr>
        <w:t>L,</w:t>
      </w:r>
      <w:r>
        <w:rPr>
          <w:color w:val="231F1F"/>
          <w:spacing w:val="-6"/>
          <w:sz w:val="20"/>
        </w:rPr>
        <w:t> </w:t>
      </w:r>
      <w:r>
        <w:rPr>
          <w:color w:val="231F1F"/>
          <w:sz w:val="20"/>
        </w:rPr>
        <w:t>Roman</w:t>
      </w:r>
      <w:r>
        <w:rPr>
          <w:color w:val="231F1F"/>
          <w:spacing w:val="17"/>
          <w:sz w:val="20"/>
        </w:rPr>
        <w:t> </w:t>
      </w:r>
      <w:r>
        <w:rPr>
          <w:color w:val="231F1F"/>
          <w:sz w:val="20"/>
        </w:rPr>
        <w:t>H,</w:t>
      </w:r>
      <w:r>
        <w:rPr>
          <w:color w:val="231F1F"/>
          <w:spacing w:val="-6"/>
          <w:sz w:val="20"/>
        </w:rPr>
        <w:t> </w:t>
      </w:r>
      <w:r>
        <w:rPr>
          <w:color w:val="231F1F"/>
          <w:sz w:val="20"/>
        </w:rPr>
        <w:t>Sergent</w:t>
      </w:r>
      <w:r>
        <w:rPr>
          <w:color w:val="231F1F"/>
          <w:spacing w:val="17"/>
          <w:sz w:val="20"/>
        </w:rPr>
        <w:t> </w:t>
      </w:r>
      <w:r>
        <w:rPr>
          <w:color w:val="231F1F"/>
          <w:sz w:val="20"/>
        </w:rPr>
        <w:t>F,</w:t>
      </w:r>
      <w:r>
        <w:rPr>
          <w:color w:val="231F1F"/>
          <w:spacing w:val="-6"/>
          <w:sz w:val="20"/>
        </w:rPr>
        <w:t> </w:t>
      </w:r>
      <w:r>
        <w:rPr>
          <w:color w:val="231F1F"/>
          <w:sz w:val="20"/>
        </w:rPr>
        <w:t>Marpeau</w:t>
      </w:r>
      <w:r>
        <w:rPr>
          <w:color w:val="231F1F"/>
          <w:spacing w:val="17"/>
          <w:sz w:val="20"/>
        </w:rPr>
        <w:t> </w:t>
      </w:r>
      <w:r>
        <w:rPr>
          <w:color w:val="231F1F"/>
          <w:sz w:val="20"/>
        </w:rPr>
        <w:t>L.</w:t>
      </w:r>
      <w:r>
        <w:rPr>
          <w:color w:val="231F1F"/>
          <w:spacing w:val="-6"/>
          <w:sz w:val="20"/>
        </w:rPr>
        <w:t> </w:t>
      </w:r>
      <w:r>
        <w:rPr>
          <w:color w:val="231F1F"/>
          <w:sz w:val="20"/>
        </w:rPr>
        <w:t>[Episiotomy</w:t>
      </w:r>
      <w:r>
        <w:rPr>
          <w:color w:val="231F1F"/>
          <w:spacing w:val="17"/>
          <w:sz w:val="20"/>
        </w:rPr>
        <w:t> </w:t>
      </w:r>
      <w:r>
        <w:rPr>
          <w:color w:val="231F1F"/>
          <w:sz w:val="20"/>
        </w:rPr>
        <w:t>techniques].</w:t>
      </w:r>
      <w:r>
        <w:rPr>
          <w:color w:val="231F1F"/>
          <w:spacing w:val="-6"/>
          <w:sz w:val="20"/>
        </w:rPr>
        <w:t> </w:t>
      </w:r>
      <w:r>
        <w:rPr>
          <w:color w:val="231F1F"/>
          <w:sz w:val="20"/>
        </w:rPr>
        <w:t>J</w:t>
      </w:r>
      <w:r>
        <w:rPr>
          <w:color w:val="231F1F"/>
          <w:spacing w:val="17"/>
          <w:sz w:val="20"/>
        </w:rPr>
        <w:t> </w:t>
      </w:r>
      <w:r>
        <w:rPr>
          <w:color w:val="231F1F"/>
          <w:sz w:val="20"/>
        </w:rPr>
        <w:t>Gynecol Obstet</w:t>
      </w:r>
      <w:r>
        <w:rPr>
          <w:color w:val="231F1F"/>
          <w:spacing w:val="40"/>
          <w:sz w:val="20"/>
        </w:rPr>
        <w:t> </w:t>
      </w:r>
      <w:r>
        <w:rPr>
          <w:color w:val="231F1F"/>
          <w:sz w:val="20"/>
        </w:rPr>
        <w:t>Biol</w:t>
      </w:r>
      <w:r>
        <w:rPr>
          <w:color w:val="231F1F"/>
          <w:spacing w:val="40"/>
          <w:sz w:val="20"/>
        </w:rPr>
        <w:t> </w:t>
      </w:r>
      <w:r>
        <w:rPr>
          <w:color w:val="231F1F"/>
          <w:sz w:val="20"/>
        </w:rPr>
        <w:t>Reprod</w:t>
      </w:r>
      <w:r>
        <w:rPr>
          <w:color w:val="231F1F"/>
          <w:spacing w:val="40"/>
          <w:sz w:val="20"/>
        </w:rPr>
        <w:t> </w:t>
      </w:r>
      <w:r>
        <w:rPr>
          <w:color w:val="231F1F"/>
          <w:sz w:val="20"/>
        </w:rPr>
        <w:t>(Paris)</w:t>
      </w:r>
      <w:r>
        <w:rPr>
          <w:color w:val="231F1F"/>
          <w:spacing w:val="40"/>
          <w:sz w:val="20"/>
        </w:rPr>
        <w:t> </w:t>
      </w:r>
      <w:r>
        <w:rPr>
          <w:color w:val="231F1F"/>
          <w:sz w:val="20"/>
        </w:rPr>
        <w:t>2006;35(1</w:t>
      </w:r>
      <w:r>
        <w:rPr>
          <w:color w:val="231F1F"/>
          <w:spacing w:val="40"/>
          <w:sz w:val="20"/>
        </w:rPr>
        <w:t> </w:t>
      </w:r>
      <w:r>
        <w:rPr>
          <w:color w:val="231F1F"/>
          <w:sz w:val="20"/>
        </w:rPr>
        <w:t>Suppl):1S40-51.</w:t>
      </w:r>
    </w:p>
    <w:p>
      <w:pPr>
        <w:pStyle w:val="ListParagraph"/>
        <w:numPr>
          <w:ilvl w:val="0"/>
          <w:numId w:val="109"/>
        </w:numPr>
        <w:tabs>
          <w:tab w:pos="793" w:val="left" w:leader="none"/>
          <w:tab w:pos="797" w:val="left" w:leader="none"/>
        </w:tabs>
        <w:spacing w:line="242" w:lineRule="auto" w:before="145" w:after="0"/>
        <w:ind w:left="797" w:right="114" w:hanging="526"/>
        <w:jc w:val="both"/>
        <w:rPr>
          <w:sz w:val="20"/>
        </w:rPr>
      </w:pPr>
      <w:r>
        <w:rPr>
          <w:color w:val="231F1F"/>
          <w:sz w:val="20"/>
        </w:rPr>
        <w:t>Kindberg</w:t>
      </w:r>
      <w:r>
        <w:rPr>
          <w:color w:val="231F1F"/>
          <w:spacing w:val="40"/>
          <w:sz w:val="20"/>
        </w:rPr>
        <w:t> </w:t>
      </w:r>
      <w:r>
        <w:rPr>
          <w:color w:val="231F1F"/>
          <w:sz w:val="20"/>
        </w:rPr>
        <w:t>S,</w:t>
      </w:r>
      <w:r>
        <w:rPr>
          <w:color w:val="231F1F"/>
          <w:spacing w:val="40"/>
          <w:sz w:val="20"/>
        </w:rPr>
        <w:t> </w:t>
      </w:r>
      <w:r>
        <w:rPr>
          <w:color w:val="231F1F"/>
          <w:sz w:val="20"/>
        </w:rPr>
        <w:t>Stehouwer</w:t>
      </w:r>
      <w:r>
        <w:rPr>
          <w:color w:val="231F1F"/>
          <w:spacing w:val="40"/>
          <w:sz w:val="20"/>
        </w:rPr>
        <w:t> </w:t>
      </w:r>
      <w:r>
        <w:rPr>
          <w:color w:val="231F1F"/>
          <w:sz w:val="20"/>
        </w:rPr>
        <w:t>M,</w:t>
      </w:r>
      <w:r>
        <w:rPr>
          <w:color w:val="231F1F"/>
          <w:spacing w:val="40"/>
          <w:sz w:val="20"/>
        </w:rPr>
        <w:t> </w:t>
      </w:r>
      <w:r>
        <w:rPr>
          <w:color w:val="231F1F"/>
          <w:sz w:val="20"/>
        </w:rPr>
        <w:t>Hvidman</w:t>
      </w:r>
      <w:r>
        <w:rPr>
          <w:color w:val="231F1F"/>
          <w:spacing w:val="40"/>
          <w:sz w:val="20"/>
        </w:rPr>
        <w:t> </w:t>
      </w:r>
      <w:r>
        <w:rPr>
          <w:color w:val="231F1F"/>
          <w:sz w:val="20"/>
        </w:rPr>
        <w:t>L,</w:t>
      </w:r>
      <w:r>
        <w:rPr>
          <w:color w:val="231F1F"/>
          <w:spacing w:val="40"/>
          <w:sz w:val="20"/>
        </w:rPr>
        <w:t> </w:t>
      </w:r>
      <w:r>
        <w:rPr>
          <w:color w:val="231F1F"/>
          <w:sz w:val="20"/>
        </w:rPr>
        <w:t>Henriksen</w:t>
      </w:r>
      <w:r>
        <w:rPr>
          <w:color w:val="231F1F"/>
          <w:spacing w:val="40"/>
          <w:sz w:val="20"/>
        </w:rPr>
        <w:t> </w:t>
      </w:r>
      <w:r>
        <w:rPr>
          <w:color w:val="231F1F"/>
          <w:sz w:val="20"/>
        </w:rPr>
        <w:t>TB.</w:t>
      </w:r>
      <w:r>
        <w:rPr>
          <w:color w:val="231F1F"/>
          <w:spacing w:val="40"/>
          <w:sz w:val="20"/>
        </w:rPr>
        <w:t> </w:t>
      </w:r>
      <w:r>
        <w:rPr>
          <w:color w:val="231F1F"/>
          <w:sz w:val="20"/>
        </w:rPr>
        <w:t>Postpartum</w:t>
      </w:r>
      <w:r>
        <w:rPr>
          <w:color w:val="231F1F"/>
          <w:spacing w:val="40"/>
          <w:sz w:val="20"/>
        </w:rPr>
        <w:t> </w:t>
      </w:r>
      <w:r>
        <w:rPr>
          <w:color w:val="231F1F"/>
          <w:sz w:val="20"/>
        </w:rPr>
        <w:t>perineal</w:t>
      </w:r>
      <w:r>
        <w:rPr>
          <w:color w:val="231F1F"/>
          <w:spacing w:val="40"/>
          <w:sz w:val="20"/>
        </w:rPr>
        <w:t> </w:t>
      </w:r>
      <w:r>
        <w:rPr>
          <w:color w:val="231F1F"/>
          <w:sz w:val="20"/>
        </w:rPr>
        <w:t>repair</w:t>
      </w:r>
      <w:r>
        <w:rPr>
          <w:color w:val="231F1F"/>
          <w:spacing w:val="40"/>
          <w:sz w:val="20"/>
        </w:rPr>
        <w:t> </w:t>
      </w:r>
      <w:r>
        <w:rPr>
          <w:color w:val="231F1F"/>
          <w:sz w:val="20"/>
        </w:rPr>
        <w:t>performed by midwives: a randomised trial comparing two suture techniques leaving the skin unsutured.</w:t>
      </w:r>
      <w:r>
        <w:rPr>
          <w:color w:val="231F1F"/>
          <w:spacing w:val="40"/>
          <w:sz w:val="20"/>
        </w:rPr>
        <w:t> </w:t>
      </w:r>
      <w:r>
        <w:rPr>
          <w:color w:val="231F1F"/>
          <w:sz w:val="20"/>
        </w:rPr>
        <w:t>BJOG 2008;115(4):472-9.</w:t>
      </w:r>
    </w:p>
    <w:p>
      <w:pPr>
        <w:pStyle w:val="ListParagraph"/>
        <w:numPr>
          <w:ilvl w:val="0"/>
          <w:numId w:val="109"/>
        </w:numPr>
        <w:tabs>
          <w:tab w:pos="795" w:val="left" w:leader="none"/>
          <w:tab w:pos="799" w:val="left" w:leader="none"/>
        </w:tabs>
        <w:spacing w:line="220" w:lineRule="auto" w:before="138" w:after="0"/>
        <w:ind w:left="799" w:right="112" w:hanging="506"/>
        <w:jc w:val="both"/>
        <w:rPr>
          <w:sz w:val="20"/>
        </w:rPr>
      </w:pPr>
      <w:r>
        <w:rPr>
          <w:color w:val="231F1F"/>
          <w:w w:val="105"/>
          <w:position w:val="1"/>
          <w:sz w:val="20"/>
        </w:rPr>
        <w:t>Kettle C, Johanson RB. Absorbable synthetic versus catgut suture material for perineal repair. </w:t>
      </w:r>
      <w:r>
        <w:rPr>
          <w:color w:val="231F1F"/>
          <w:w w:val="105"/>
          <w:sz w:val="20"/>
        </w:rPr>
        <w:t>(Cochrane</w:t>
      </w:r>
      <w:r>
        <w:rPr>
          <w:color w:val="231F1F"/>
          <w:w w:val="105"/>
          <w:sz w:val="20"/>
        </w:rPr>
        <w:t> Reiew).</w:t>
      </w:r>
      <w:r>
        <w:rPr>
          <w:color w:val="231F1F"/>
          <w:w w:val="105"/>
          <w:sz w:val="20"/>
        </w:rPr>
        <w:t> In:</w:t>
      </w:r>
      <w:r>
        <w:rPr>
          <w:color w:val="231F1F"/>
          <w:w w:val="105"/>
          <w:sz w:val="20"/>
        </w:rPr>
        <w:t> Cochrane</w:t>
      </w:r>
      <w:r>
        <w:rPr>
          <w:color w:val="231F1F"/>
          <w:w w:val="105"/>
          <w:sz w:val="20"/>
        </w:rPr>
        <w:t> Database</w:t>
      </w:r>
      <w:r>
        <w:rPr>
          <w:color w:val="231F1F"/>
          <w:w w:val="105"/>
          <w:sz w:val="20"/>
        </w:rPr>
        <w:t> of</w:t>
      </w:r>
      <w:r>
        <w:rPr>
          <w:color w:val="231F1F"/>
          <w:w w:val="105"/>
          <w:sz w:val="20"/>
        </w:rPr>
        <w:t> Systematic</w:t>
      </w:r>
      <w:r>
        <w:rPr>
          <w:color w:val="231F1F"/>
          <w:w w:val="105"/>
          <w:sz w:val="20"/>
        </w:rPr>
        <w:t> Reviews,</w:t>
      </w:r>
      <w:r>
        <w:rPr>
          <w:color w:val="231F1F"/>
          <w:w w:val="105"/>
          <w:sz w:val="20"/>
        </w:rPr>
        <w:t> Issue</w:t>
      </w:r>
      <w:r>
        <w:rPr>
          <w:color w:val="231F1F"/>
          <w:w w:val="105"/>
          <w:sz w:val="20"/>
        </w:rPr>
        <w:t> 1,</w:t>
      </w:r>
      <w:r>
        <w:rPr>
          <w:color w:val="231F1F"/>
          <w:w w:val="105"/>
          <w:sz w:val="20"/>
        </w:rPr>
        <w:t> 2006;Oxford: Update Software.</w:t>
      </w:r>
    </w:p>
    <w:p>
      <w:pPr>
        <w:pStyle w:val="ListParagraph"/>
        <w:numPr>
          <w:ilvl w:val="0"/>
          <w:numId w:val="109"/>
        </w:numPr>
        <w:tabs>
          <w:tab w:pos="793" w:val="left" w:leader="none"/>
          <w:tab w:pos="797" w:val="left" w:leader="none"/>
        </w:tabs>
        <w:spacing w:line="220" w:lineRule="auto" w:before="167" w:after="0"/>
        <w:ind w:left="797" w:right="121" w:hanging="506"/>
        <w:jc w:val="both"/>
        <w:rPr>
          <w:sz w:val="20"/>
        </w:rPr>
      </w:pPr>
      <w:r>
        <w:rPr>
          <w:color w:val="231F1F"/>
          <w:w w:val="110"/>
          <w:position w:val="1"/>
          <w:sz w:val="20"/>
        </w:rPr>
        <w:t>Upton</w:t>
      </w:r>
      <w:r>
        <w:rPr>
          <w:color w:val="231F1F"/>
          <w:w w:val="110"/>
          <w:position w:val="1"/>
          <w:sz w:val="20"/>
        </w:rPr>
        <w:t> A,</w:t>
      </w:r>
      <w:r>
        <w:rPr>
          <w:color w:val="231F1F"/>
          <w:w w:val="110"/>
          <w:position w:val="1"/>
          <w:sz w:val="20"/>
        </w:rPr>
        <w:t> Roberts</w:t>
      </w:r>
      <w:r>
        <w:rPr>
          <w:color w:val="231F1F"/>
          <w:w w:val="110"/>
          <w:position w:val="1"/>
          <w:sz w:val="20"/>
        </w:rPr>
        <w:t> CL,</w:t>
      </w:r>
      <w:r>
        <w:rPr>
          <w:color w:val="231F1F"/>
          <w:w w:val="110"/>
          <w:position w:val="1"/>
          <w:sz w:val="20"/>
        </w:rPr>
        <w:t> Ryan</w:t>
      </w:r>
      <w:r>
        <w:rPr>
          <w:color w:val="231F1F"/>
          <w:w w:val="110"/>
          <w:position w:val="1"/>
          <w:sz w:val="20"/>
        </w:rPr>
        <w:t> M,</w:t>
      </w:r>
      <w:r>
        <w:rPr>
          <w:color w:val="231F1F"/>
          <w:w w:val="110"/>
          <w:position w:val="1"/>
          <w:sz w:val="20"/>
        </w:rPr>
        <w:t> et</w:t>
      </w:r>
      <w:r>
        <w:rPr>
          <w:color w:val="231F1F"/>
          <w:w w:val="110"/>
          <w:position w:val="1"/>
          <w:sz w:val="20"/>
        </w:rPr>
        <w:t> al.</w:t>
      </w:r>
      <w:r>
        <w:rPr>
          <w:color w:val="231F1F"/>
          <w:w w:val="110"/>
          <w:position w:val="1"/>
          <w:sz w:val="20"/>
        </w:rPr>
        <w:t> A</w:t>
      </w:r>
      <w:r>
        <w:rPr>
          <w:color w:val="231F1F"/>
          <w:w w:val="110"/>
          <w:position w:val="1"/>
          <w:sz w:val="20"/>
        </w:rPr>
        <w:t> randomised</w:t>
      </w:r>
      <w:r>
        <w:rPr>
          <w:color w:val="231F1F"/>
          <w:w w:val="110"/>
          <w:position w:val="1"/>
          <w:sz w:val="20"/>
        </w:rPr>
        <w:t> trial,</w:t>
      </w:r>
      <w:r>
        <w:rPr>
          <w:color w:val="231F1F"/>
          <w:w w:val="110"/>
          <w:position w:val="1"/>
          <w:sz w:val="20"/>
        </w:rPr>
        <w:t> conducted</w:t>
      </w:r>
      <w:r>
        <w:rPr>
          <w:color w:val="231F1F"/>
          <w:w w:val="110"/>
          <w:position w:val="1"/>
          <w:sz w:val="20"/>
        </w:rPr>
        <w:t> by</w:t>
      </w:r>
      <w:r>
        <w:rPr>
          <w:color w:val="231F1F"/>
          <w:w w:val="110"/>
          <w:position w:val="1"/>
          <w:sz w:val="20"/>
        </w:rPr>
        <w:t> midwives,</w:t>
      </w:r>
      <w:r>
        <w:rPr>
          <w:color w:val="231F1F"/>
          <w:w w:val="110"/>
          <w:position w:val="1"/>
          <w:sz w:val="20"/>
        </w:rPr>
        <w:t> of </w:t>
      </w:r>
      <w:r>
        <w:rPr>
          <w:color w:val="231F1F"/>
          <w:w w:val="110"/>
          <w:sz w:val="20"/>
        </w:rPr>
        <w:t>perineal repairs comparing a polyglycolic suture material and chromic catgut. Midwifery </w:t>
      </w:r>
      <w:r>
        <w:rPr>
          <w:color w:val="231F1F"/>
          <w:spacing w:val="-2"/>
          <w:w w:val="110"/>
          <w:sz w:val="20"/>
        </w:rPr>
        <w:t>2002;18(3):223-9.</w:t>
      </w:r>
    </w:p>
    <w:p>
      <w:pPr>
        <w:pStyle w:val="ListParagraph"/>
        <w:numPr>
          <w:ilvl w:val="0"/>
          <w:numId w:val="109"/>
        </w:numPr>
        <w:tabs>
          <w:tab w:pos="794" w:val="left" w:leader="none"/>
          <w:tab w:pos="798" w:val="left" w:leader="none"/>
        </w:tabs>
        <w:spacing w:line="230" w:lineRule="auto" w:before="169" w:after="0"/>
        <w:ind w:left="798" w:right="119" w:hanging="508"/>
        <w:jc w:val="both"/>
        <w:rPr>
          <w:sz w:val="20"/>
        </w:rPr>
      </w:pPr>
      <w:r>
        <w:rPr>
          <w:color w:val="231F1F"/>
          <w:w w:val="105"/>
          <w:sz w:val="20"/>
        </w:rPr>
        <w:t>Greenberg JA, Lieberman E, Cohen A.P, Ecker JL, et al. Randomized comparison of chromic versus</w:t>
      </w:r>
      <w:r>
        <w:rPr>
          <w:color w:val="231F1F"/>
          <w:w w:val="105"/>
          <w:sz w:val="20"/>
        </w:rPr>
        <w:t> fast-absorbing</w:t>
      </w:r>
      <w:r>
        <w:rPr>
          <w:color w:val="231F1F"/>
          <w:w w:val="105"/>
          <w:sz w:val="20"/>
        </w:rPr>
        <w:t> polyglactin</w:t>
      </w:r>
      <w:r>
        <w:rPr>
          <w:color w:val="231F1F"/>
          <w:w w:val="105"/>
          <w:sz w:val="20"/>
        </w:rPr>
        <w:t> 910</w:t>
      </w:r>
      <w:r>
        <w:rPr>
          <w:color w:val="231F1F"/>
          <w:w w:val="105"/>
          <w:sz w:val="20"/>
        </w:rPr>
        <w:t> for</w:t>
      </w:r>
      <w:r>
        <w:rPr>
          <w:color w:val="231F1F"/>
          <w:w w:val="105"/>
          <w:sz w:val="20"/>
        </w:rPr>
        <w:t> postpartum</w:t>
      </w:r>
      <w:r>
        <w:rPr>
          <w:color w:val="231F1F"/>
          <w:w w:val="105"/>
          <w:sz w:val="20"/>
        </w:rPr>
        <w:t> perineal</w:t>
      </w:r>
      <w:r>
        <w:rPr>
          <w:color w:val="231F1F"/>
          <w:w w:val="105"/>
          <w:sz w:val="20"/>
        </w:rPr>
        <w:t> repair.</w:t>
      </w:r>
      <w:r>
        <w:rPr>
          <w:color w:val="231F1F"/>
          <w:w w:val="105"/>
          <w:sz w:val="20"/>
        </w:rPr>
        <w:t> Obstet</w:t>
      </w:r>
      <w:r>
        <w:rPr>
          <w:color w:val="231F1F"/>
          <w:w w:val="105"/>
          <w:sz w:val="20"/>
        </w:rPr>
        <w:t> Gynecol </w:t>
      </w:r>
      <w:r>
        <w:rPr>
          <w:color w:val="231F1F"/>
          <w:spacing w:val="-2"/>
          <w:w w:val="105"/>
          <w:sz w:val="20"/>
        </w:rPr>
        <w:t>2004;103(6):1308-13.</w:t>
      </w:r>
    </w:p>
    <w:p>
      <w:pPr>
        <w:pStyle w:val="ListParagraph"/>
        <w:numPr>
          <w:ilvl w:val="0"/>
          <w:numId w:val="109"/>
        </w:numPr>
        <w:tabs>
          <w:tab w:pos="795" w:val="left" w:leader="none"/>
          <w:tab w:pos="797" w:val="left" w:leader="none"/>
        </w:tabs>
        <w:spacing w:line="216" w:lineRule="auto" w:before="159" w:after="0"/>
        <w:ind w:left="797" w:right="444" w:hanging="515"/>
        <w:jc w:val="left"/>
        <w:rPr>
          <w:sz w:val="20"/>
        </w:rPr>
      </w:pPr>
      <w:r>
        <w:rPr>
          <w:color w:val="231F1F"/>
          <w:w w:val="110"/>
          <w:position w:val="1"/>
          <w:sz w:val="20"/>
        </w:rPr>
        <w:t>Grant</w:t>
      </w:r>
      <w:r>
        <w:rPr>
          <w:color w:val="231F1F"/>
          <w:spacing w:val="-6"/>
          <w:w w:val="110"/>
          <w:position w:val="1"/>
          <w:sz w:val="20"/>
        </w:rPr>
        <w:t> </w:t>
      </w:r>
      <w:r>
        <w:rPr>
          <w:color w:val="231F1F"/>
          <w:w w:val="110"/>
          <w:position w:val="1"/>
          <w:sz w:val="20"/>
        </w:rPr>
        <w:t>A.</w:t>
      </w:r>
      <w:r>
        <w:rPr>
          <w:color w:val="231F1F"/>
          <w:spacing w:val="-8"/>
          <w:w w:val="110"/>
          <w:position w:val="1"/>
          <w:sz w:val="20"/>
        </w:rPr>
        <w:t> </w:t>
      </w:r>
      <w:r>
        <w:rPr>
          <w:color w:val="231F1F"/>
          <w:w w:val="110"/>
          <w:position w:val="1"/>
          <w:sz w:val="20"/>
        </w:rPr>
        <w:t>The</w:t>
      </w:r>
      <w:r>
        <w:rPr>
          <w:color w:val="231F1F"/>
          <w:spacing w:val="-6"/>
          <w:w w:val="110"/>
          <w:position w:val="1"/>
          <w:sz w:val="20"/>
        </w:rPr>
        <w:t> </w:t>
      </w:r>
      <w:r>
        <w:rPr>
          <w:color w:val="231F1F"/>
          <w:w w:val="110"/>
          <w:position w:val="1"/>
          <w:sz w:val="20"/>
        </w:rPr>
        <w:t>choice</w:t>
      </w:r>
      <w:r>
        <w:rPr>
          <w:color w:val="231F1F"/>
          <w:spacing w:val="-6"/>
          <w:w w:val="110"/>
          <w:position w:val="1"/>
          <w:sz w:val="20"/>
        </w:rPr>
        <w:t> </w:t>
      </w:r>
      <w:r>
        <w:rPr>
          <w:color w:val="231F1F"/>
          <w:w w:val="110"/>
          <w:position w:val="1"/>
          <w:sz w:val="20"/>
        </w:rPr>
        <w:t>of</w:t>
      </w:r>
      <w:r>
        <w:rPr>
          <w:color w:val="231F1F"/>
          <w:spacing w:val="-6"/>
          <w:w w:val="110"/>
          <w:position w:val="1"/>
          <w:sz w:val="20"/>
        </w:rPr>
        <w:t> </w:t>
      </w:r>
      <w:r>
        <w:rPr>
          <w:color w:val="231F1F"/>
          <w:w w:val="110"/>
          <w:position w:val="1"/>
          <w:sz w:val="20"/>
        </w:rPr>
        <w:t>suture</w:t>
      </w:r>
      <w:r>
        <w:rPr>
          <w:color w:val="231F1F"/>
          <w:spacing w:val="-6"/>
          <w:w w:val="110"/>
          <w:position w:val="1"/>
          <w:sz w:val="20"/>
        </w:rPr>
        <w:t> </w:t>
      </w:r>
      <w:r>
        <w:rPr>
          <w:color w:val="231F1F"/>
          <w:w w:val="110"/>
          <w:position w:val="1"/>
          <w:sz w:val="20"/>
        </w:rPr>
        <w:t>materials</w:t>
      </w:r>
      <w:r>
        <w:rPr>
          <w:color w:val="231F1F"/>
          <w:spacing w:val="-6"/>
          <w:w w:val="110"/>
          <w:position w:val="1"/>
          <w:sz w:val="20"/>
        </w:rPr>
        <w:t> </w:t>
      </w:r>
      <w:r>
        <w:rPr>
          <w:color w:val="231F1F"/>
          <w:w w:val="110"/>
          <w:position w:val="1"/>
          <w:sz w:val="20"/>
        </w:rPr>
        <w:t>and</w:t>
      </w:r>
      <w:r>
        <w:rPr>
          <w:color w:val="231F1F"/>
          <w:spacing w:val="-6"/>
          <w:w w:val="110"/>
          <w:position w:val="1"/>
          <w:sz w:val="20"/>
        </w:rPr>
        <w:t> </w:t>
      </w:r>
      <w:r>
        <w:rPr>
          <w:color w:val="231F1F"/>
          <w:w w:val="110"/>
          <w:position w:val="1"/>
          <w:sz w:val="20"/>
        </w:rPr>
        <w:t>techniques</w:t>
      </w:r>
      <w:r>
        <w:rPr>
          <w:color w:val="231F1F"/>
          <w:spacing w:val="-5"/>
          <w:w w:val="110"/>
          <w:position w:val="1"/>
          <w:sz w:val="20"/>
        </w:rPr>
        <w:t> </w:t>
      </w:r>
      <w:r>
        <w:rPr>
          <w:color w:val="231F1F"/>
          <w:w w:val="110"/>
          <w:position w:val="1"/>
          <w:sz w:val="20"/>
        </w:rPr>
        <w:t>for</w:t>
      </w:r>
      <w:r>
        <w:rPr>
          <w:color w:val="231F1F"/>
          <w:spacing w:val="-6"/>
          <w:w w:val="110"/>
          <w:position w:val="1"/>
          <w:sz w:val="20"/>
        </w:rPr>
        <w:t> </w:t>
      </w:r>
      <w:r>
        <w:rPr>
          <w:color w:val="231F1F"/>
          <w:w w:val="110"/>
          <w:position w:val="1"/>
          <w:sz w:val="20"/>
        </w:rPr>
        <w:t>repair</w:t>
      </w:r>
      <w:r>
        <w:rPr>
          <w:color w:val="231F1F"/>
          <w:spacing w:val="-6"/>
          <w:w w:val="110"/>
          <w:position w:val="1"/>
          <w:sz w:val="20"/>
        </w:rPr>
        <w:t> </w:t>
      </w:r>
      <w:r>
        <w:rPr>
          <w:color w:val="231F1F"/>
          <w:w w:val="110"/>
          <w:position w:val="1"/>
          <w:sz w:val="20"/>
        </w:rPr>
        <w:t>of</w:t>
      </w:r>
      <w:r>
        <w:rPr>
          <w:color w:val="231F1F"/>
          <w:spacing w:val="-6"/>
          <w:w w:val="110"/>
          <w:position w:val="1"/>
          <w:sz w:val="20"/>
        </w:rPr>
        <w:t> </w:t>
      </w:r>
      <w:r>
        <w:rPr>
          <w:color w:val="231F1F"/>
          <w:w w:val="110"/>
          <w:position w:val="1"/>
          <w:sz w:val="20"/>
        </w:rPr>
        <w:t>perineal</w:t>
      </w:r>
      <w:r>
        <w:rPr>
          <w:color w:val="231F1F"/>
          <w:spacing w:val="-6"/>
          <w:w w:val="110"/>
          <w:position w:val="1"/>
          <w:sz w:val="20"/>
        </w:rPr>
        <w:t> </w:t>
      </w:r>
      <w:r>
        <w:rPr>
          <w:color w:val="231F1F"/>
          <w:w w:val="110"/>
          <w:position w:val="1"/>
          <w:sz w:val="20"/>
        </w:rPr>
        <w:t>trauma:</w:t>
      </w:r>
      <w:r>
        <w:rPr>
          <w:color w:val="231F1F"/>
          <w:spacing w:val="-6"/>
          <w:w w:val="110"/>
          <w:position w:val="1"/>
          <w:sz w:val="20"/>
        </w:rPr>
        <w:t> </w:t>
      </w:r>
      <w:r>
        <w:rPr>
          <w:color w:val="231F1F"/>
          <w:w w:val="110"/>
          <w:position w:val="1"/>
          <w:sz w:val="20"/>
        </w:rPr>
        <w:t>an </w:t>
      </w:r>
      <w:r>
        <w:rPr>
          <w:color w:val="231F1F"/>
          <w:w w:val="110"/>
          <w:sz w:val="20"/>
        </w:rPr>
        <w:t>overview</w:t>
      </w:r>
      <w:r>
        <w:rPr>
          <w:color w:val="231F1F"/>
          <w:spacing w:val="-2"/>
          <w:w w:val="110"/>
          <w:sz w:val="20"/>
        </w:rPr>
        <w:t> </w:t>
      </w:r>
      <w:r>
        <w:rPr>
          <w:color w:val="231F1F"/>
          <w:w w:val="110"/>
          <w:sz w:val="20"/>
        </w:rPr>
        <w:t>of</w:t>
      </w:r>
      <w:r>
        <w:rPr>
          <w:color w:val="231F1F"/>
          <w:spacing w:val="-2"/>
          <w:w w:val="110"/>
          <w:sz w:val="20"/>
        </w:rPr>
        <w:t> </w:t>
      </w:r>
      <w:r>
        <w:rPr>
          <w:color w:val="231F1F"/>
          <w:w w:val="110"/>
          <w:sz w:val="20"/>
        </w:rPr>
        <w:t>the</w:t>
      </w:r>
      <w:r>
        <w:rPr>
          <w:color w:val="231F1F"/>
          <w:spacing w:val="-2"/>
          <w:w w:val="110"/>
          <w:sz w:val="20"/>
        </w:rPr>
        <w:t> </w:t>
      </w:r>
      <w:r>
        <w:rPr>
          <w:color w:val="231F1F"/>
          <w:w w:val="110"/>
          <w:sz w:val="20"/>
        </w:rPr>
        <w:t>evidence</w:t>
      </w:r>
      <w:r>
        <w:rPr>
          <w:color w:val="231F1F"/>
          <w:spacing w:val="-1"/>
          <w:w w:val="110"/>
          <w:sz w:val="20"/>
        </w:rPr>
        <w:t> </w:t>
      </w:r>
      <w:r>
        <w:rPr>
          <w:color w:val="231F1F"/>
          <w:w w:val="110"/>
          <w:sz w:val="20"/>
        </w:rPr>
        <w:t>from</w:t>
      </w:r>
      <w:r>
        <w:rPr>
          <w:color w:val="231F1F"/>
          <w:spacing w:val="-2"/>
          <w:w w:val="110"/>
          <w:sz w:val="20"/>
        </w:rPr>
        <w:t> </w:t>
      </w:r>
      <w:r>
        <w:rPr>
          <w:color w:val="231F1F"/>
          <w:w w:val="110"/>
          <w:sz w:val="20"/>
        </w:rPr>
        <w:t>controlled</w:t>
      </w:r>
      <w:r>
        <w:rPr>
          <w:color w:val="231F1F"/>
          <w:spacing w:val="-1"/>
          <w:w w:val="110"/>
          <w:sz w:val="20"/>
        </w:rPr>
        <w:t> </w:t>
      </w:r>
      <w:r>
        <w:rPr>
          <w:color w:val="231F1F"/>
          <w:w w:val="110"/>
          <w:sz w:val="20"/>
        </w:rPr>
        <w:t>trials.</w:t>
      </w:r>
      <w:r>
        <w:rPr>
          <w:color w:val="231F1F"/>
          <w:spacing w:val="-5"/>
          <w:w w:val="110"/>
          <w:sz w:val="20"/>
        </w:rPr>
        <w:t> </w:t>
      </w:r>
      <w:r>
        <w:rPr>
          <w:color w:val="231F1F"/>
          <w:w w:val="110"/>
          <w:sz w:val="20"/>
        </w:rPr>
        <w:t>Br</w:t>
      </w:r>
      <w:r>
        <w:rPr>
          <w:color w:val="231F1F"/>
          <w:spacing w:val="-1"/>
          <w:w w:val="110"/>
          <w:sz w:val="20"/>
        </w:rPr>
        <w:t> </w:t>
      </w:r>
      <w:r>
        <w:rPr>
          <w:color w:val="231F1F"/>
          <w:w w:val="110"/>
          <w:sz w:val="20"/>
        </w:rPr>
        <w:t>J</w:t>
      </w:r>
      <w:r>
        <w:rPr>
          <w:color w:val="231F1F"/>
          <w:spacing w:val="-1"/>
          <w:w w:val="110"/>
          <w:sz w:val="20"/>
        </w:rPr>
        <w:t> </w:t>
      </w:r>
      <w:r>
        <w:rPr>
          <w:color w:val="231F1F"/>
          <w:w w:val="110"/>
          <w:sz w:val="20"/>
        </w:rPr>
        <w:t>Obstet</w:t>
      </w:r>
      <w:r>
        <w:rPr>
          <w:color w:val="231F1F"/>
          <w:spacing w:val="-1"/>
          <w:w w:val="110"/>
          <w:sz w:val="20"/>
        </w:rPr>
        <w:t> </w:t>
      </w:r>
      <w:r>
        <w:rPr>
          <w:color w:val="231F1F"/>
          <w:w w:val="110"/>
          <w:sz w:val="20"/>
        </w:rPr>
        <w:t>Gynaecol</w:t>
      </w:r>
      <w:r>
        <w:rPr>
          <w:color w:val="231F1F"/>
          <w:spacing w:val="-1"/>
          <w:w w:val="110"/>
          <w:sz w:val="20"/>
        </w:rPr>
        <w:t> </w:t>
      </w:r>
      <w:r>
        <w:rPr>
          <w:color w:val="231F1F"/>
          <w:w w:val="110"/>
          <w:sz w:val="20"/>
        </w:rPr>
        <w:t>1989;96:1281-9.</w:t>
      </w:r>
    </w:p>
    <w:p>
      <w:pPr>
        <w:pStyle w:val="ListParagraph"/>
        <w:numPr>
          <w:ilvl w:val="0"/>
          <w:numId w:val="109"/>
        </w:numPr>
        <w:tabs>
          <w:tab w:pos="795" w:val="left" w:leader="none"/>
          <w:tab w:pos="797" w:val="left" w:leader="none"/>
        </w:tabs>
        <w:spacing w:line="211" w:lineRule="auto" w:before="156" w:after="0"/>
        <w:ind w:left="797" w:right="365" w:hanging="508"/>
        <w:jc w:val="left"/>
        <w:rPr>
          <w:sz w:val="20"/>
        </w:rPr>
      </w:pPr>
      <w:r>
        <w:rPr>
          <w:color w:val="231F1F"/>
          <w:w w:val="110"/>
          <w:position w:val="1"/>
          <w:sz w:val="20"/>
        </w:rPr>
        <w:t>Bowen</w:t>
      </w:r>
      <w:r>
        <w:rPr>
          <w:color w:val="231F1F"/>
          <w:spacing w:val="-5"/>
          <w:w w:val="110"/>
          <w:position w:val="1"/>
          <w:sz w:val="20"/>
        </w:rPr>
        <w:t> </w:t>
      </w:r>
      <w:r>
        <w:rPr>
          <w:color w:val="231F1F"/>
          <w:w w:val="110"/>
          <w:position w:val="1"/>
          <w:sz w:val="20"/>
        </w:rPr>
        <w:t>ML,</w:t>
      </w:r>
      <w:r>
        <w:rPr>
          <w:color w:val="231F1F"/>
          <w:spacing w:val="-8"/>
          <w:w w:val="110"/>
          <w:position w:val="1"/>
          <w:sz w:val="20"/>
        </w:rPr>
        <w:t> </w:t>
      </w:r>
      <w:r>
        <w:rPr>
          <w:color w:val="231F1F"/>
          <w:w w:val="110"/>
          <w:position w:val="1"/>
          <w:sz w:val="20"/>
        </w:rPr>
        <w:t>Selinger</w:t>
      </w:r>
      <w:r>
        <w:rPr>
          <w:color w:val="231F1F"/>
          <w:spacing w:val="-5"/>
          <w:w w:val="110"/>
          <w:position w:val="1"/>
          <w:sz w:val="20"/>
        </w:rPr>
        <w:t> </w:t>
      </w:r>
      <w:r>
        <w:rPr>
          <w:color w:val="231F1F"/>
          <w:w w:val="110"/>
          <w:position w:val="1"/>
          <w:sz w:val="20"/>
        </w:rPr>
        <w:t>M.</w:t>
      </w:r>
      <w:r>
        <w:rPr>
          <w:color w:val="231F1F"/>
          <w:spacing w:val="-8"/>
          <w:w w:val="110"/>
          <w:position w:val="1"/>
          <w:sz w:val="20"/>
        </w:rPr>
        <w:t> </w:t>
      </w:r>
      <w:r>
        <w:rPr>
          <w:color w:val="231F1F"/>
          <w:w w:val="110"/>
          <w:position w:val="1"/>
          <w:sz w:val="20"/>
        </w:rPr>
        <w:t>Episiotomy</w:t>
      </w:r>
      <w:r>
        <w:rPr>
          <w:color w:val="231F1F"/>
          <w:spacing w:val="-5"/>
          <w:w w:val="110"/>
          <w:position w:val="1"/>
          <w:sz w:val="20"/>
        </w:rPr>
        <w:t> </w:t>
      </w:r>
      <w:r>
        <w:rPr>
          <w:color w:val="231F1F"/>
          <w:w w:val="110"/>
          <w:position w:val="1"/>
          <w:sz w:val="20"/>
        </w:rPr>
        <w:t>closure</w:t>
      </w:r>
      <w:r>
        <w:rPr>
          <w:color w:val="231F1F"/>
          <w:spacing w:val="-5"/>
          <w:w w:val="110"/>
          <w:position w:val="1"/>
          <w:sz w:val="20"/>
        </w:rPr>
        <w:t> </w:t>
      </w:r>
      <w:r>
        <w:rPr>
          <w:color w:val="231F1F"/>
          <w:w w:val="110"/>
          <w:position w:val="1"/>
          <w:sz w:val="20"/>
        </w:rPr>
        <w:t>comparing</w:t>
      </w:r>
      <w:r>
        <w:rPr>
          <w:color w:val="231F1F"/>
          <w:spacing w:val="-5"/>
          <w:w w:val="110"/>
          <w:position w:val="1"/>
          <w:sz w:val="20"/>
        </w:rPr>
        <w:t> </w:t>
      </w:r>
      <w:r>
        <w:rPr>
          <w:color w:val="231F1F"/>
          <w:w w:val="110"/>
          <w:position w:val="1"/>
          <w:sz w:val="20"/>
        </w:rPr>
        <w:t>enbucrilate</w:t>
      </w:r>
      <w:r>
        <w:rPr>
          <w:color w:val="231F1F"/>
          <w:spacing w:val="-5"/>
          <w:w w:val="110"/>
          <w:position w:val="1"/>
          <w:sz w:val="20"/>
        </w:rPr>
        <w:t> </w:t>
      </w:r>
      <w:r>
        <w:rPr>
          <w:color w:val="231F1F"/>
          <w:w w:val="110"/>
          <w:position w:val="1"/>
          <w:sz w:val="20"/>
        </w:rPr>
        <w:t>tissue</w:t>
      </w:r>
      <w:r>
        <w:rPr>
          <w:color w:val="231F1F"/>
          <w:spacing w:val="-5"/>
          <w:w w:val="110"/>
          <w:position w:val="1"/>
          <w:sz w:val="20"/>
        </w:rPr>
        <w:t> </w:t>
      </w:r>
      <w:r>
        <w:rPr>
          <w:color w:val="231F1F"/>
          <w:w w:val="110"/>
          <w:position w:val="1"/>
          <w:sz w:val="20"/>
        </w:rPr>
        <w:t>adhesive</w:t>
      </w:r>
      <w:r>
        <w:rPr>
          <w:color w:val="231F1F"/>
          <w:spacing w:val="-5"/>
          <w:w w:val="110"/>
          <w:position w:val="1"/>
          <w:sz w:val="20"/>
        </w:rPr>
        <w:t> </w:t>
      </w:r>
      <w:r>
        <w:rPr>
          <w:color w:val="231F1F"/>
          <w:w w:val="110"/>
          <w:position w:val="1"/>
          <w:sz w:val="20"/>
        </w:rPr>
        <w:t>with </w:t>
      </w:r>
      <w:r>
        <w:rPr>
          <w:color w:val="231F1F"/>
          <w:w w:val="110"/>
          <w:sz w:val="20"/>
        </w:rPr>
        <w:t>conventional sutures. Int J Gynaecol Obstet 2002;78:201-5.</w:t>
      </w:r>
    </w:p>
    <w:p>
      <w:pPr>
        <w:pStyle w:val="ListParagraph"/>
        <w:numPr>
          <w:ilvl w:val="0"/>
          <w:numId w:val="109"/>
        </w:numPr>
        <w:tabs>
          <w:tab w:pos="795" w:val="left" w:leader="none"/>
          <w:tab w:pos="799" w:val="left" w:leader="none"/>
        </w:tabs>
        <w:spacing w:line="223" w:lineRule="auto" w:before="152" w:after="0"/>
        <w:ind w:left="799" w:right="112" w:hanging="508"/>
        <w:jc w:val="both"/>
        <w:rPr>
          <w:sz w:val="20"/>
        </w:rPr>
      </w:pPr>
      <w:r>
        <w:rPr>
          <w:color w:val="231F1F"/>
          <w:w w:val="105"/>
          <w:position w:val="1"/>
          <w:sz w:val="20"/>
        </w:rPr>
        <w:t>Verheijen</w:t>
      </w:r>
      <w:r>
        <w:rPr>
          <w:color w:val="231F1F"/>
          <w:w w:val="105"/>
          <w:position w:val="1"/>
          <w:sz w:val="20"/>
        </w:rPr>
        <w:t> EC,</w:t>
      </w:r>
      <w:r>
        <w:rPr>
          <w:color w:val="231F1F"/>
          <w:w w:val="105"/>
          <w:position w:val="1"/>
          <w:sz w:val="20"/>
        </w:rPr>
        <w:t> Raven</w:t>
      </w:r>
      <w:r>
        <w:rPr>
          <w:color w:val="231F1F"/>
          <w:w w:val="105"/>
          <w:position w:val="1"/>
          <w:sz w:val="20"/>
        </w:rPr>
        <w:t> JH,</w:t>
      </w:r>
      <w:r>
        <w:rPr>
          <w:color w:val="231F1F"/>
          <w:w w:val="105"/>
          <w:position w:val="1"/>
          <w:sz w:val="20"/>
        </w:rPr>
        <w:t> Hofmeyr</w:t>
      </w:r>
      <w:r>
        <w:rPr>
          <w:color w:val="231F1F"/>
          <w:w w:val="105"/>
          <w:position w:val="1"/>
          <w:sz w:val="20"/>
        </w:rPr>
        <w:t> GJ.</w:t>
      </w:r>
      <w:r>
        <w:rPr>
          <w:color w:val="231F1F"/>
          <w:w w:val="105"/>
          <w:position w:val="1"/>
          <w:sz w:val="20"/>
        </w:rPr>
        <w:t> Fundal</w:t>
      </w:r>
      <w:r>
        <w:rPr>
          <w:color w:val="231F1F"/>
          <w:w w:val="105"/>
          <w:position w:val="1"/>
          <w:sz w:val="20"/>
        </w:rPr>
        <w:t> pressure</w:t>
      </w:r>
      <w:r>
        <w:rPr>
          <w:color w:val="231F1F"/>
          <w:w w:val="105"/>
          <w:position w:val="1"/>
          <w:sz w:val="20"/>
        </w:rPr>
        <w:t> during</w:t>
      </w:r>
      <w:r>
        <w:rPr>
          <w:color w:val="231F1F"/>
          <w:w w:val="105"/>
          <w:position w:val="1"/>
          <w:sz w:val="20"/>
        </w:rPr>
        <w:t> the</w:t>
      </w:r>
      <w:r>
        <w:rPr>
          <w:color w:val="231F1F"/>
          <w:w w:val="105"/>
          <w:position w:val="1"/>
          <w:sz w:val="20"/>
        </w:rPr>
        <w:t> second</w:t>
      </w:r>
      <w:r>
        <w:rPr>
          <w:color w:val="231F1F"/>
          <w:w w:val="105"/>
          <w:position w:val="1"/>
          <w:sz w:val="20"/>
        </w:rPr>
        <w:t> stage</w:t>
      </w:r>
      <w:r>
        <w:rPr>
          <w:color w:val="231F1F"/>
          <w:w w:val="105"/>
          <w:position w:val="1"/>
          <w:sz w:val="20"/>
        </w:rPr>
        <w:t> of</w:t>
      </w:r>
      <w:r>
        <w:rPr>
          <w:color w:val="231F1F"/>
          <w:w w:val="105"/>
          <w:position w:val="1"/>
          <w:sz w:val="20"/>
        </w:rPr>
        <w:t> labour. </w:t>
      </w:r>
      <w:r>
        <w:rPr>
          <w:color w:val="231F1F"/>
          <w:w w:val="105"/>
          <w:sz w:val="20"/>
        </w:rPr>
        <w:t>Cochrane</w:t>
      </w:r>
      <w:r>
        <w:rPr>
          <w:color w:val="231F1F"/>
          <w:spacing w:val="-7"/>
          <w:w w:val="105"/>
          <w:sz w:val="20"/>
        </w:rPr>
        <w:t> </w:t>
      </w:r>
      <w:r>
        <w:rPr>
          <w:color w:val="231F1F"/>
          <w:w w:val="105"/>
          <w:sz w:val="20"/>
        </w:rPr>
        <w:t>database</w:t>
      </w:r>
      <w:r>
        <w:rPr>
          <w:color w:val="231F1F"/>
          <w:spacing w:val="-5"/>
          <w:w w:val="105"/>
          <w:sz w:val="20"/>
        </w:rPr>
        <w:t> </w:t>
      </w:r>
      <w:r>
        <w:rPr>
          <w:color w:val="231F1F"/>
          <w:w w:val="105"/>
          <w:sz w:val="20"/>
        </w:rPr>
        <w:t>of</w:t>
      </w:r>
      <w:r>
        <w:rPr>
          <w:color w:val="231F1F"/>
          <w:spacing w:val="-5"/>
          <w:w w:val="105"/>
          <w:sz w:val="20"/>
        </w:rPr>
        <w:t> </w:t>
      </w:r>
      <w:r>
        <w:rPr>
          <w:color w:val="231F1F"/>
          <w:w w:val="105"/>
          <w:sz w:val="20"/>
        </w:rPr>
        <w:t>Systematic</w:t>
      </w:r>
      <w:r>
        <w:rPr>
          <w:color w:val="231F1F"/>
          <w:spacing w:val="-5"/>
          <w:w w:val="105"/>
          <w:sz w:val="20"/>
        </w:rPr>
        <w:t> </w:t>
      </w:r>
      <w:r>
        <w:rPr>
          <w:color w:val="231F1F"/>
          <w:w w:val="105"/>
          <w:sz w:val="20"/>
        </w:rPr>
        <w:t>Reviews.</w:t>
      </w:r>
      <w:r>
        <w:rPr>
          <w:color w:val="231F1F"/>
          <w:spacing w:val="-8"/>
          <w:w w:val="105"/>
          <w:sz w:val="20"/>
        </w:rPr>
        <w:t> </w:t>
      </w:r>
      <w:r>
        <w:rPr>
          <w:color w:val="231F1F"/>
          <w:w w:val="105"/>
          <w:sz w:val="20"/>
        </w:rPr>
        <w:t>Issue</w:t>
      </w:r>
      <w:r>
        <w:rPr>
          <w:color w:val="231F1F"/>
          <w:spacing w:val="-5"/>
          <w:w w:val="105"/>
          <w:sz w:val="20"/>
        </w:rPr>
        <w:t> </w:t>
      </w:r>
      <w:r>
        <w:rPr>
          <w:color w:val="231F1F"/>
          <w:w w:val="105"/>
          <w:sz w:val="20"/>
        </w:rPr>
        <w:t>4</w:t>
      </w:r>
      <w:r>
        <w:rPr>
          <w:color w:val="231F1F"/>
          <w:spacing w:val="-8"/>
          <w:w w:val="105"/>
          <w:sz w:val="20"/>
        </w:rPr>
        <w:t> </w:t>
      </w:r>
      <w:r>
        <w:rPr>
          <w:color w:val="231F1F"/>
          <w:w w:val="105"/>
          <w:sz w:val="20"/>
        </w:rPr>
        <w:t>Art</w:t>
      </w:r>
      <w:r>
        <w:rPr>
          <w:color w:val="231F1F"/>
          <w:spacing w:val="-5"/>
          <w:w w:val="105"/>
          <w:sz w:val="20"/>
        </w:rPr>
        <w:t> </w:t>
      </w:r>
      <w:r>
        <w:rPr>
          <w:color w:val="231F1F"/>
          <w:w w:val="105"/>
          <w:sz w:val="20"/>
        </w:rPr>
        <w:t>No:</w:t>
      </w:r>
      <w:r>
        <w:rPr>
          <w:color w:val="231F1F"/>
          <w:spacing w:val="-8"/>
          <w:w w:val="105"/>
          <w:sz w:val="20"/>
        </w:rPr>
        <w:t> </w:t>
      </w:r>
      <w:r>
        <w:rPr>
          <w:color w:val="231F1F"/>
          <w:w w:val="105"/>
          <w:sz w:val="20"/>
        </w:rPr>
        <w:t>CD006067</w:t>
      </w:r>
      <w:r>
        <w:rPr>
          <w:color w:val="231F1F"/>
          <w:spacing w:val="-5"/>
          <w:w w:val="105"/>
          <w:sz w:val="20"/>
        </w:rPr>
        <w:t> </w:t>
      </w:r>
      <w:r>
        <w:rPr>
          <w:color w:val="231F1F"/>
          <w:w w:val="105"/>
          <w:sz w:val="20"/>
        </w:rPr>
        <w:t>DOI:</w:t>
      </w:r>
      <w:r>
        <w:rPr>
          <w:color w:val="231F1F"/>
          <w:spacing w:val="-8"/>
          <w:w w:val="105"/>
          <w:sz w:val="20"/>
        </w:rPr>
        <w:t> </w:t>
      </w:r>
      <w:r>
        <w:rPr>
          <w:color w:val="231F1F"/>
          <w:w w:val="105"/>
          <w:sz w:val="20"/>
        </w:rPr>
        <w:t>10</w:t>
      </w:r>
      <w:r>
        <w:rPr>
          <w:color w:val="231F1F"/>
          <w:spacing w:val="-5"/>
          <w:w w:val="105"/>
          <w:sz w:val="20"/>
        </w:rPr>
        <w:t> </w:t>
      </w:r>
      <w:r>
        <w:rPr>
          <w:color w:val="231F1F"/>
          <w:w w:val="105"/>
          <w:sz w:val="20"/>
        </w:rPr>
        <w:t>1002/14651858 CD006067 pub2 2009.</w:t>
      </w:r>
    </w:p>
    <w:p>
      <w:pPr>
        <w:pStyle w:val="ListParagraph"/>
        <w:numPr>
          <w:ilvl w:val="0"/>
          <w:numId w:val="109"/>
        </w:numPr>
        <w:tabs>
          <w:tab w:pos="795" w:val="left" w:leader="none"/>
          <w:tab w:pos="799" w:val="left" w:leader="none"/>
        </w:tabs>
        <w:spacing w:line="220" w:lineRule="auto" w:before="161" w:after="0"/>
        <w:ind w:left="799" w:right="123" w:hanging="512"/>
        <w:jc w:val="both"/>
        <w:rPr>
          <w:sz w:val="20"/>
        </w:rPr>
      </w:pPr>
      <w:r>
        <w:rPr>
          <w:color w:val="231F1F"/>
          <w:w w:val="105"/>
          <w:position w:val="1"/>
          <w:sz w:val="20"/>
        </w:rPr>
        <w:t>Cox</w:t>
      </w:r>
      <w:r>
        <w:rPr>
          <w:color w:val="231F1F"/>
          <w:spacing w:val="-6"/>
          <w:w w:val="105"/>
          <w:position w:val="1"/>
          <w:sz w:val="20"/>
        </w:rPr>
        <w:t> </w:t>
      </w:r>
      <w:r>
        <w:rPr>
          <w:color w:val="231F1F"/>
          <w:w w:val="105"/>
          <w:position w:val="1"/>
          <w:sz w:val="20"/>
        </w:rPr>
        <w:t>J,</w:t>
      </w:r>
      <w:r>
        <w:rPr>
          <w:color w:val="231F1F"/>
          <w:spacing w:val="-7"/>
          <w:w w:val="105"/>
          <w:position w:val="1"/>
          <w:sz w:val="20"/>
        </w:rPr>
        <w:t> </w:t>
      </w:r>
      <w:r>
        <w:rPr>
          <w:color w:val="231F1F"/>
          <w:w w:val="105"/>
          <w:position w:val="1"/>
          <w:sz w:val="20"/>
        </w:rPr>
        <w:t>Cotzias</w:t>
      </w:r>
      <w:r>
        <w:rPr>
          <w:color w:val="231F1F"/>
          <w:spacing w:val="-4"/>
          <w:w w:val="105"/>
          <w:position w:val="1"/>
          <w:sz w:val="20"/>
        </w:rPr>
        <w:t> </w:t>
      </w:r>
      <w:r>
        <w:rPr>
          <w:color w:val="231F1F"/>
          <w:w w:val="105"/>
          <w:position w:val="1"/>
          <w:sz w:val="20"/>
        </w:rPr>
        <w:t>CS,</w:t>
      </w:r>
      <w:r>
        <w:rPr>
          <w:color w:val="231F1F"/>
          <w:spacing w:val="-7"/>
          <w:w w:val="105"/>
          <w:position w:val="1"/>
          <w:sz w:val="20"/>
        </w:rPr>
        <w:t> </w:t>
      </w:r>
      <w:r>
        <w:rPr>
          <w:color w:val="231F1F"/>
          <w:w w:val="105"/>
          <w:position w:val="1"/>
          <w:sz w:val="20"/>
        </w:rPr>
        <w:t>Siakpere</w:t>
      </w:r>
      <w:r>
        <w:rPr>
          <w:color w:val="231F1F"/>
          <w:spacing w:val="-4"/>
          <w:w w:val="105"/>
          <w:position w:val="1"/>
          <w:sz w:val="20"/>
        </w:rPr>
        <w:t> </w:t>
      </w:r>
      <w:r>
        <w:rPr>
          <w:color w:val="231F1F"/>
          <w:w w:val="105"/>
          <w:position w:val="1"/>
          <w:sz w:val="20"/>
        </w:rPr>
        <w:t>O,</w:t>
      </w:r>
      <w:r>
        <w:rPr>
          <w:color w:val="231F1F"/>
          <w:spacing w:val="-7"/>
          <w:w w:val="105"/>
          <w:position w:val="1"/>
          <w:sz w:val="20"/>
        </w:rPr>
        <w:t> </w:t>
      </w:r>
      <w:r>
        <w:rPr>
          <w:color w:val="231F1F"/>
          <w:w w:val="105"/>
          <w:position w:val="1"/>
          <w:sz w:val="20"/>
        </w:rPr>
        <w:t>Osuagwu</w:t>
      </w:r>
      <w:r>
        <w:rPr>
          <w:color w:val="231F1F"/>
          <w:spacing w:val="-5"/>
          <w:w w:val="105"/>
          <w:position w:val="1"/>
          <w:sz w:val="20"/>
        </w:rPr>
        <w:t> </w:t>
      </w:r>
      <w:r>
        <w:rPr>
          <w:color w:val="231F1F"/>
          <w:w w:val="105"/>
          <w:position w:val="1"/>
          <w:sz w:val="20"/>
        </w:rPr>
        <w:t>FI,</w:t>
      </w:r>
      <w:r>
        <w:rPr>
          <w:color w:val="231F1F"/>
          <w:spacing w:val="-7"/>
          <w:w w:val="105"/>
          <w:position w:val="1"/>
          <w:sz w:val="20"/>
        </w:rPr>
        <w:t> </w:t>
      </w:r>
      <w:r>
        <w:rPr>
          <w:color w:val="231F1F"/>
          <w:w w:val="105"/>
          <w:position w:val="1"/>
          <w:sz w:val="20"/>
        </w:rPr>
        <w:t>Holmes</w:t>
      </w:r>
      <w:r>
        <w:rPr>
          <w:color w:val="231F1F"/>
          <w:spacing w:val="-4"/>
          <w:w w:val="105"/>
          <w:position w:val="1"/>
          <w:sz w:val="20"/>
        </w:rPr>
        <w:t> </w:t>
      </w:r>
      <w:r>
        <w:rPr>
          <w:color w:val="231F1F"/>
          <w:w w:val="105"/>
          <w:position w:val="1"/>
          <w:sz w:val="20"/>
        </w:rPr>
        <w:t>EP,</w:t>
      </w:r>
      <w:r>
        <w:rPr>
          <w:color w:val="231F1F"/>
          <w:spacing w:val="-7"/>
          <w:w w:val="105"/>
          <w:position w:val="1"/>
          <w:sz w:val="20"/>
        </w:rPr>
        <w:t> </w:t>
      </w:r>
      <w:r>
        <w:rPr>
          <w:color w:val="231F1F"/>
          <w:w w:val="105"/>
          <w:position w:val="1"/>
          <w:sz w:val="20"/>
        </w:rPr>
        <w:t>Paterson-Brown</w:t>
      </w:r>
      <w:r>
        <w:rPr>
          <w:color w:val="231F1F"/>
          <w:spacing w:val="-5"/>
          <w:w w:val="105"/>
          <w:position w:val="1"/>
          <w:sz w:val="20"/>
        </w:rPr>
        <w:t> </w:t>
      </w:r>
      <w:r>
        <w:rPr>
          <w:color w:val="231F1F"/>
          <w:w w:val="105"/>
          <w:position w:val="1"/>
          <w:sz w:val="20"/>
        </w:rPr>
        <w:t>S.</w:t>
      </w:r>
      <w:r>
        <w:rPr>
          <w:color w:val="231F1F"/>
          <w:spacing w:val="-7"/>
          <w:w w:val="105"/>
          <w:position w:val="1"/>
          <w:sz w:val="20"/>
        </w:rPr>
        <w:t> </w:t>
      </w:r>
      <w:r>
        <w:rPr>
          <w:color w:val="231F1F"/>
          <w:w w:val="105"/>
          <w:position w:val="1"/>
          <w:sz w:val="20"/>
        </w:rPr>
        <w:t>Does</w:t>
      </w:r>
      <w:r>
        <w:rPr>
          <w:color w:val="231F1F"/>
          <w:spacing w:val="-4"/>
          <w:w w:val="105"/>
          <w:position w:val="1"/>
          <w:sz w:val="20"/>
        </w:rPr>
        <w:t> </w:t>
      </w:r>
      <w:r>
        <w:rPr>
          <w:color w:val="231F1F"/>
          <w:w w:val="105"/>
          <w:position w:val="1"/>
          <w:sz w:val="20"/>
        </w:rPr>
        <w:t>an</w:t>
      </w:r>
      <w:r>
        <w:rPr>
          <w:color w:val="231F1F"/>
          <w:spacing w:val="-5"/>
          <w:w w:val="105"/>
          <w:position w:val="1"/>
          <w:sz w:val="20"/>
        </w:rPr>
        <w:t> </w:t>
      </w:r>
      <w:r>
        <w:rPr>
          <w:color w:val="231F1F"/>
          <w:w w:val="105"/>
          <w:position w:val="1"/>
          <w:sz w:val="20"/>
        </w:rPr>
        <w:t>inflatable </w:t>
      </w:r>
      <w:r>
        <w:rPr>
          <w:color w:val="231F1F"/>
          <w:w w:val="105"/>
          <w:sz w:val="20"/>
        </w:rPr>
        <w:t>obstetric</w:t>
      </w:r>
      <w:r>
        <w:rPr>
          <w:color w:val="231F1F"/>
          <w:w w:val="105"/>
          <w:sz w:val="20"/>
        </w:rPr>
        <w:t> belt</w:t>
      </w:r>
      <w:r>
        <w:rPr>
          <w:color w:val="231F1F"/>
          <w:w w:val="105"/>
          <w:sz w:val="20"/>
        </w:rPr>
        <w:t> facilitate</w:t>
      </w:r>
      <w:r>
        <w:rPr>
          <w:color w:val="231F1F"/>
          <w:w w:val="105"/>
          <w:sz w:val="20"/>
        </w:rPr>
        <w:t> spontaneous</w:t>
      </w:r>
      <w:r>
        <w:rPr>
          <w:color w:val="231F1F"/>
          <w:w w:val="105"/>
          <w:sz w:val="20"/>
        </w:rPr>
        <w:t> vaginal</w:t>
      </w:r>
      <w:r>
        <w:rPr>
          <w:color w:val="231F1F"/>
          <w:w w:val="105"/>
          <w:sz w:val="20"/>
        </w:rPr>
        <w:t> delivery</w:t>
      </w:r>
      <w:r>
        <w:rPr>
          <w:color w:val="231F1F"/>
          <w:w w:val="105"/>
          <w:sz w:val="20"/>
        </w:rPr>
        <w:t> in</w:t>
      </w:r>
      <w:r>
        <w:rPr>
          <w:color w:val="231F1F"/>
          <w:w w:val="105"/>
          <w:sz w:val="20"/>
        </w:rPr>
        <w:t> nulliparae</w:t>
      </w:r>
      <w:r>
        <w:rPr>
          <w:color w:val="231F1F"/>
          <w:w w:val="105"/>
          <w:sz w:val="20"/>
        </w:rPr>
        <w:t> with</w:t>
      </w:r>
      <w:r>
        <w:rPr>
          <w:color w:val="231F1F"/>
          <w:w w:val="105"/>
          <w:sz w:val="20"/>
        </w:rPr>
        <w:t> epidural</w:t>
      </w:r>
      <w:r>
        <w:rPr>
          <w:color w:val="231F1F"/>
          <w:w w:val="105"/>
          <w:sz w:val="20"/>
        </w:rPr>
        <w:t> anlagesia? British Journal of Obstetrics &amp; Gynaecology 1999;106(12):1280-6.</w:t>
      </w:r>
    </w:p>
    <w:p>
      <w:pPr>
        <w:pStyle w:val="ListParagraph"/>
        <w:numPr>
          <w:ilvl w:val="0"/>
          <w:numId w:val="109"/>
        </w:numPr>
        <w:tabs>
          <w:tab w:pos="794" w:val="left" w:leader="none"/>
          <w:tab w:pos="798" w:val="left" w:leader="none"/>
        </w:tabs>
        <w:spacing w:line="230" w:lineRule="auto" w:before="179" w:after="0"/>
        <w:ind w:left="798" w:right="124" w:hanging="508"/>
        <w:jc w:val="both"/>
        <w:rPr>
          <w:sz w:val="20"/>
        </w:rPr>
      </w:pPr>
      <w:r>
        <w:rPr>
          <w:color w:val="231F1F"/>
          <w:w w:val="105"/>
          <w:sz w:val="20"/>
        </w:rPr>
        <w:t>Api</w:t>
      </w:r>
      <w:r>
        <w:rPr>
          <w:color w:val="231F1F"/>
          <w:spacing w:val="-2"/>
          <w:w w:val="105"/>
          <w:sz w:val="20"/>
        </w:rPr>
        <w:t> </w:t>
      </w:r>
      <w:r>
        <w:rPr>
          <w:color w:val="231F1F"/>
          <w:w w:val="105"/>
          <w:sz w:val="20"/>
        </w:rPr>
        <w:t>O,</w:t>
      </w:r>
      <w:r>
        <w:rPr>
          <w:color w:val="231F1F"/>
          <w:spacing w:val="-7"/>
          <w:w w:val="105"/>
          <w:sz w:val="20"/>
        </w:rPr>
        <w:t> </w:t>
      </w:r>
      <w:r>
        <w:rPr>
          <w:color w:val="231F1F"/>
          <w:w w:val="105"/>
          <w:sz w:val="20"/>
        </w:rPr>
        <w:t>Balcin</w:t>
      </w:r>
      <w:r>
        <w:rPr>
          <w:color w:val="231F1F"/>
          <w:spacing w:val="-2"/>
          <w:w w:val="105"/>
          <w:sz w:val="20"/>
        </w:rPr>
        <w:t> </w:t>
      </w:r>
      <w:r>
        <w:rPr>
          <w:color w:val="231F1F"/>
          <w:w w:val="105"/>
          <w:sz w:val="20"/>
        </w:rPr>
        <w:t>ME,</w:t>
      </w:r>
      <w:r>
        <w:rPr>
          <w:color w:val="231F1F"/>
          <w:spacing w:val="-7"/>
          <w:w w:val="105"/>
          <w:sz w:val="20"/>
        </w:rPr>
        <w:t> </w:t>
      </w:r>
      <w:r>
        <w:rPr>
          <w:color w:val="231F1F"/>
          <w:w w:val="105"/>
          <w:sz w:val="20"/>
        </w:rPr>
        <w:t>Ugurel</w:t>
      </w:r>
      <w:r>
        <w:rPr>
          <w:color w:val="231F1F"/>
          <w:spacing w:val="-7"/>
          <w:w w:val="105"/>
          <w:sz w:val="20"/>
        </w:rPr>
        <w:t> </w:t>
      </w:r>
      <w:r>
        <w:rPr>
          <w:color w:val="231F1F"/>
          <w:w w:val="105"/>
          <w:sz w:val="20"/>
        </w:rPr>
        <w:t>V,</w:t>
      </w:r>
      <w:r>
        <w:rPr>
          <w:color w:val="231F1F"/>
          <w:spacing w:val="-9"/>
          <w:w w:val="105"/>
          <w:sz w:val="20"/>
        </w:rPr>
        <w:t> </w:t>
      </w:r>
      <w:r>
        <w:rPr>
          <w:color w:val="231F1F"/>
          <w:w w:val="105"/>
          <w:sz w:val="20"/>
        </w:rPr>
        <w:t>Api</w:t>
      </w:r>
      <w:r>
        <w:rPr>
          <w:color w:val="231F1F"/>
          <w:spacing w:val="-2"/>
          <w:w w:val="105"/>
          <w:sz w:val="20"/>
        </w:rPr>
        <w:t> </w:t>
      </w:r>
      <w:r>
        <w:rPr>
          <w:color w:val="231F1F"/>
          <w:w w:val="105"/>
          <w:sz w:val="20"/>
        </w:rPr>
        <w:t>M,</w:t>
      </w:r>
      <w:r>
        <w:rPr>
          <w:color w:val="231F1F"/>
          <w:spacing w:val="-9"/>
          <w:w w:val="105"/>
          <w:sz w:val="20"/>
        </w:rPr>
        <w:t> </w:t>
      </w:r>
      <w:r>
        <w:rPr>
          <w:color w:val="231F1F"/>
          <w:w w:val="105"/>
          <w:sz w:val="20"/>
        </w:rPr>
        <w:t>Turan</w:t>
      </w:r>
      <w:r>
        <w:rPr>
          <w:color w:val="231F1F"/>
          <w:spacing w:val="-2"/>
          <w:w w:val="105"/>
          <w:sz w:val="20"/>
        </w:rPr>
        <w:t> </w:t>
      </w:r>
      <w:r>
        <w:rPr>
          <w:color w:val="231F1F"/>
          <w:w w:val="105"/>
          <w:sz w:val="20"/>
        </w:rPr>
        <w:t>C,</w:t>
      </w:r>
      <w:r>
        <w:rPr>
          <w:color w:val="231F1F"/>
          <w:spacing w:val="-7"/>
          <w:w w:val="105"/>
          <w:sz w:val="20"/>
        </w:rPr>
        <w:t> </w:t>
      </w:r>
      <w:r>
        <w:rPr>
          <w:color w:val="231F1F"/>
          <w:w w:val="105"/>
          <w:sz w:val="20"/>
        </w:rPr>
        <w:t>Unal</w:t>
      </w:r>
      <w:r>
        <w:rPr>
          <w:color w:val="231F1F"/>
          <w:spacing w:val="-2"/>
          <w:w w:val="105"/>
          <w:sz w:val="20"/>
        </w:rPr>
        <w:t> </w:t>
      </w:r>
      <w:r>
        <w:rPr>
          <w:color w:val="231F1F"/>
          <w:w w:val="105"/>
          <w:sz w:val="20"/>
        </w:rPr>
        <w:t>O.</w:t>
      </w:r>
      <w:r>
        <w:rPr>
          <w:color w:val="231F1F"/>
          <w:spacing w:val="-9"/>
          <w:w w:val="105"/>
          <w:sz w:val="20"/>
        </w:rPr>
        <w:t> </w:t>
      </w:r>
      <w:r>
        <w:rPr>
          <w:color w:val="231F1F"/>
          <w:w w:val="105"/>
          <w:sz w:val="20"/>
        </w:rPr>
        <w:t>The</w:t>
      </w:r>
      <w:r>
        <w:rPr>
          <w:color w:val="231F1F"/>
          <w:spacing w:val="-2"/>
          <w:w w:val="105"/>
          <w:sz w:val="20"/>
        </w:rPr>
        <w:t> </w:t>
      </w:r>
      <w:r>
        <w:rPr>
          <w:color w:val="231F1F"/>
          <w:w w:val="105"/>
          <w:sz w:val="20"/>
        </w:rPr>
        <w:t>effect</w:t>
      </w:r>
      <w:r>
        <w:rPr>
          <w:color w:val="231F1F"/>
          <w:spacing w:val="-2"/>
          <w:w w:val="105"/>
          <w:sz w:val="20"/>
        </w:rPr>
        <w:t> </w:t>
      </w:r>
      <w:r>
        <w:rPr>
          <w:color w:val="231F1F"/>
          <w:w w:val="105"/>
          <w:sz w:val="20"/>
        </w:rPr>
        <w:t>of</w:t>
      </w:r>
      <w:r>
        <w:rPr>
          <w:color w:val="231F1F"/>
          <w:spacing w:val="-2"/>
          <w:w w:val="105"/>
          <w:sz w:val="20"/>
        </w:rPr>
        <w:t> </w:t>
      </w:r>
      <w:r>
        <w:rPr>
          <w:color w:val="231F1F"/>
          <w:w w:val="105"/>
          <w:sz w:val="20"/>
        </w:rPr>
        <w:t>uterine</w:t>
      </w:r>
      <w:r>
        <w:rPr>
          <w:color w:val="231F1F"/>
          <w:spacing w:val="-2"/>
          <w:w w:val="105"/>
          <w:sz w:val="20"/>
        </w:rPr>
        <w:t> </w:t>
      </w:r>
      <w:r>
        <w:rPr>
          <w:color w:val="231F1F"/>
          <w:w w:val="105"/>
          <w:sz w:val="20"/>
        </w:rPr>
        <w:t>fundal</w:t>
      </w:r>
      <w:r>
        <w:rPr>
          <w:color w:val="231F1F"/>
          <w:spacing w:val="-2"/>
          <w:w w:val="105"/>
          <w:sz w:val="20"/>
        </w:rPr>
        <w:t> </w:t>
      </w:r>
      <w:r>
        <w:rPr>
          <w:color w:val="231F1F"/>
          <w:w w:val="105"/>
          <w:sz w:val="20"/>
        </w:rPr>
        <w:t>pressure</w:t>
      </w:r>
      <w:r>
        <w:rPr>
          <w:color w:val="231F1F"/>
          <w:spacing w:val="-2"/>
          <w:w w:val="105"/>
          <w:sz w:val="20"/>
        </w:rPr>
        <w:t> </w:t>
      </w:r>
      <w:r>
        <w:rPr>
          <w:color w:val="231F1F"/>
          <w:w w:val="105"/>
          <w:sz w:val="20"/>
        </w:rPr>
        <w:t>on the duration of the second stage of labor: a randomized controlled trial. Acta Obstet Gynecol Scand 2009;88(3):320-4.</w:t>
      </w:r>
    </w:p>
    <w:p>
      <w:pPr>
        <w:pStyle w:val="ListParagraph"/>
        <w:numPr>
          <w:ilvl w:val="0"/>
          <w:numId w:val="109"/>
        </w:numPr>
        <w:tabs>
          <w:tab w:pos="795" w:val="left" w:leader="none"/>
          <w:tab w:pos="797" w:val="left" w:leader="none"/>
        </w:tabs>
        <w:spacing w:line="216" w:lineRule="auto" w:before="150" w:after="0"/>
        <w:ind w:left="797" w:right="232" w:hanging="508"/>
        <w:jc w:val="left"/>
        <w:rPr>
          <w:sz w:val="20"/>
        </w:rPr>
      </w:pPr>
      <w:r>
        <w:rPr>
          <w:color w:val="231F1F"/>
          <w:w w:val="110"/>
          <w:position w:val="1"/>
          <w:sz w:val="20"/>
        </w:rPr>
        <w:t>Royston</w:t>
      </w:r>
      <w:r>
        <w:rPr>
          <w:color w:val="231F1F"/>
          <w:spacing w:val="-14"/>
          <w:w w:val="110"/>
          <w:position w:val="1"/>
          <w:sz w:val="20"/>
        </w:rPr>
        <w:t> </w:t>
      </w:r>
      <w:r>
        <w:rPr>
          <w:color w:val="231F1F"/>
          <w:w w:val="110"/>
          <w:position w:val="1"/>
          <w:sz w:val="20"/>
        </w:rPr>
        <w:t>E,</w:t>
      </w:r>
      <w:r>
        <w:rPr>
          <w:color w:val="231F1F"/>
          <w:spacing w:val="-16"/>
          <w:w w:val="110"/>
          <w:position w:val="1"/>
          <w:sz w:val="20"/>
        </w:rPr>
        <w:t> </w:t>
      </w:r>
      <w:r>
        <w:rPr>
          <w:color w:val="231F1F"/>
          <w:w w:val="110"/>
          <w:position w:val="1"/>
          <w:sz w:val="20"/>
        </w:rPr>
        <w:t>Armstrong</w:t>
      </w:r>
      <w:r>
        <w:rPr>
          <w:color w:val="231F1F"/>
          <w:spacing w:val="-12"/>
          <w:w w:val="110"/>
          <w:position w:val="1"/>
          <w:sz w:val="20"/>
        </w:rPr>
        <w:t> </w:t>
      </w:r>
      <w:r>
        <w:rPr>
          <w:color w:val="231F1F"/>
          <w:w w:val="110"/>
          <w:position w:val="1"/>
          <w:sz w:val="20"/>
        </w:rPr>
        <w:t>S.</w:t>
      </w:r>
      <w:r>
        <w:rPr>
          <w:color w:val="231F1F"/>
          <w:spacing w:val="-13"/>
          <w:w w:val="110"/>
          <w:position w:val="1"/>
          <w:sz w:val="20"/>
        </w:rPr>
        <w:t> </w:t>
      </w:r>
      <w:r>
        <w:rPr>
          <w:color w:val="231F1F"/>
          <w:w w:val="110"/>
          <w:position w:val="1"/>
          <w:sz w:val="20"/>
        </w:rPr>
        <w:t>Preventing</w:t>
      </w:r>
      <w:r>
        <w:rPr>
          <w:color w:val="231F1F"/>
          <w:spacing w:val="-8"/>
          <w:w w:val="110"/>
          <w:position w:val="1"/>
          <w:sz w:val="20"/>
        </w:rPr>
        <w:t> </w:t>
      </w:r>
      <w:r>
        <w:rPr>
          <w:color w:val="231F1F"/>
          <w:w w:val="110"/>
          <w:position w:val="1"/>
          <w:sz w:val="20"/>
        </w:rPr>
        <w:t>maternal</w:t>
      </w:r>
      <w:r>
        <w:rPr>
          <w:color w:val="231F1F"/>
          <w:spacing w:val="-8"/>
          <w:w w:val="110"/>
          <w:position w:val="1"/>
          <w:sz w:val="20"/>
        </w:rPr>
        <w:t> </w:t>
      </w:r>
      <w:r>
        <w:rPr>
          <w:color w:val="231F1F"/>
          <w:w w:val="110"/>
          <w:position w:val="1"/>
          <w:sz w:val="20"/>
        </w:rPr>
        <w:t>deaths.</w:t>
      </w:r>
      <w:r>
        <w:rPr>
          <w:color w:val="231F1F"/>
          <w:spacing w:val="-14"/>
          <w:w w:val="110"/>
          <w:position w:val="1"/>
          <w:sz w:val="20"/>
        </w:rPr>
        <w:t> </w:t>
      </w:r>
      <w:r>
        <w:rPr>
          <w:color w:val="231F1F"/>
          <w:w w:val="110"/>
          <w:position w:val="1"/>
          <w:sz w:val="20"/>
        </w:rPr>
        <w:t>Geneva:</w:t>
      </w:r>
      <w:r>
        <w:rPr>
          <w:color w:val="231F1F"/>
          <w:spacing w:val="-16"/>
          <w:w w:val="110"/>
          <w:position w:val="1"/>
          <w:sz w:val="20"/>
        </w:rPr>
        <w:t> </w:t>
      </w:r>
      <w:r>
        <w:rPr>
          <w:color w:val="231F1F"/>
          <w:w w:val="110"/>
          <w:position w:val="1"/>
          <w:sz w:val="20"/>
        </w:rPr>
        <w:t>World</w:t>
      </w:r>
      <w:r>
        <w:rPr>
          <w:color w:val="231F1F"/>
          <w:spacing w:val="-8"/>
          <w:w w:val="110"/>
          <w:position w:val="1"/>
          <w:sz w:val="20"/>
        </w:rPr>
        <w:t> </w:t>
      </w:r>
      <w:r>
        <w:rPr>
          <w:color w:val="231F1F"/>
          <w:w w:val="110"/>
          <w:position w:val="1"/>
          <w:sz w:val="20"/>
        </w:rPr>
        <w:t>Health</w:t>
      </w:r>
      <w:r>
        <w:rPr>
          <w:color w:val="231F1F"/>
          <w:spacing w:val="-9"/>
          <w:w w:val="110"/>
          <w:position w:val="1"/>
          <w:sz w:val="20"/>
        </w:rPr>
        <w:t> </w:t>
      </w:r>
      <w:r>
        <w:rPr>
          <w:color w:val="231F1F"/>
          <w:w w:val="110"/>
          <w:position w:val="1"/>
          <w:sz w:val="20"/>
        </w:rPr>
        <w:t>Organization </w:t>
      </w:r>
      <w:r>
        <w:rPr>
          <w:color w:val="231F1F"/>
          <w:spacing w:val="-2"/>
          <w:w w:val="110"/>
          <w:sz w:val="20"/>
        </w:rPr>
        <w:t>1989;p.30.</w:t>
      </w:r>
    </w:p>
    <w:p>
      <w:pPr>
        <w:pStyle w:val="ListParagraph"/>
        <w:numPr>
          <w:ilvl w:val="0"/>
          <w:numId w:val="109"/>
        </w:numPr>
        <w:tabs>
          <w:tab w:pos="795" w:val="left" w:leader="none"/>
          <w:tab w:pos="797" w:val="left" w:leader="none"/>
        </w:tabs>
        <w:spacing w:line="216" w:lineRule="auto" w:before="157" w:after="0"/>
        <w:ind w:left="797" w:right="233" w:hanging="528"/>
        <w:jc w:val="left"/>
        <w:rPr>
          <w:sz w:val="20"/>
        </w:rPr>
      </w:pPr>
      <w:r>
        <w:rPr>
          <w:color w:val="231F1F"/>
          <w:w w:val="110"/>
          <w:position w:val="1"/>
          <w:sz w:val="20"/>
        </w:rPr>
        <w:t>World</w:t>
      </w:r>
      <w:r>
        <w:rPr>
          <w:color w:val="231F1F"/>
          <w:w w:val="110"/>
          <w:position w:val="1"/>
          <w:sz w:val="20"/>
        </w:rPr>
        <w:t> Health</w:t>
      </w:r>
      <w:r>
        <w:rPr>
          <w:color w:val="231F1F"/>
          <w:w w:val="110"/>
          <w:position w:val="1"/>
          <w:sz w:val="20"/>
        </w:rPr>
        <w:t> Organization.</w:t>
      </w:r>
      <w:r>
        <w:rPr>
          <w:color w:val="231F1F"/>
          <w:spacing w:val="-7"/>
          <w:w w:val="110"/>
          <w:position w:val="1"/>
          <w:sz w:val="20"/>
        </w:rPr>
        <w:t> </w:t>
      </w:r>
      <w:r>
        <w:rPr>
          <w:color w:val="231F1F"/>
          <w:w w:val="110"/>
          <w:position w:val="1"/>
          <w:sz w:val="20"/>
        </w:rPr>
        <w:t>WHO</w:t>
      </w:r>
      <w:r>
        <w:rPr>
          <w:color w:val="231F1F"/>
          <w:w w:val="110"/>
          <w:position w:val="1"/>
          <w:sz w:val="20"/>
        </w:rPr>
        <w:t> Recommendations</w:t>
      </w:r>
      <w:r>
        <w:rPr>
          <w:color w:val="231F1F"/>
          <w:w w:val="110"/>
          <w:position w:val="1"/>
          <w:sz w:val="20"/>
        </w:rPr>
        <w:t> for</w:t>
      </w:r>
      <w:r>
        <w:rPr>
          <w:color w:val="231F1F"/>
          <w:w w:val="110"/>
          <w:position w:val="1"/>
          <w:sz w:val="20"/>
        </w:rPr>
        <w:t> the</w:t>
      </w:r>
      <w:r>
        <w:rPr>
          <w:color w:val="231F1F"/>
          <w:w w:val="110"/>
          <w:position w:val="1"/>
          <w:sz w:val="20"/>
        </w:rPr>
        <w:t> Prevention</w:t>
      </w:r>
      <w:r>
        <w:rPr>
          <w:color w:val="231F1F"/>
          <w:w w:val="110"/>
          <w:position w:val="1"/>
          <w:sz w:val="20"/>
        </w:rPr>
        <w:t> of</w:t>
      </w:r>
      <w:r>
        <w:rPr>
          <w:color w:val="231F1F"/>
          <w:w w:val="110"/>
          <w:position w:val="1"/>
          <w:sz w:val="20"/>
        </w:rPr>
        <w:t> Postpartum </w:t>
      </w:r>
      <w:r>
        <w:rPr>
          <w:color w:val="231F1F"/>
          <w:w w:val="110"/>
          <w:sz w:val="20"/>
        </w:rPr>
        <w:t>Haemorrhage. Geneva, Switzerland: Author, 2006.</w:t>
      </w:r>
    </w:p>
    <w:p>
      <w:pPr>
        <w:pStyle w:val="ListParagraph"/>
        <w:numPr>
          <w:ilvl w:val="0"/>
          <w:numId w:val="109"/>
        </w:numPr>
        <w:tabs>
          <w:tab w:pos="793" w:val="left" w:leader="none"/>
          <w:tab w:pos="797" w:val="left" w:leader="none"/>
        </w:tabs>
        <w:spacing w:line="211" w:lineRule="auto" w:before="156" w:after="0"/>
        <w:ind w:left="797" w:right="459" w:hanging="504"/>
        <w:jc w:val="left"/>
        <w:rPr>
          <w:sz w:val="20"/>
        </w:rPr>
      </w:pPr>
      <w:r>
        <w:rPr>
          <w:color w:val="231F1F"/>
          <w:w w:val="110"/>
          <w:position w:val="1"/>
          <w:sz w:val="20"/>
        </w:rPr>
        <w:t>Hibbard</w:t>
      </w:r>
      <w:r>
        <w:rPr>
          <w:color w:val="231F1F"/>
          <w:spacing w:val="-3"/>
          <w:w w:val="110"/>
          <w:position w:val="1"/>
          <w:sz w:val="20"/>
        </w:rPr>
        <w:t> </w:t>
      </w:r>
      <w:r>
        <w:rPr>
          <w:color w:val="231F1F"/>
          <w:w w:val="110"/>
          <w:position w:val="1"/>
          <w:sz w:val="20"/>
        </w:rPr>
        <w:t>B.</w:t>
      </w:r>
      <w:r>
        <w:rPr>
          <w:color w:val="231F1F"/>
          <w:spacing w:val="-6"/>
          <w:w w:val="110"/>
          <w:position w:val="1"/>
          <w:sz w:val="20"/>
        </w:rPr>
        <w:t> </w:t>
      </w:r>
      <w:r>
        <w:rPr>
          <w:color w:val="231F1F"/>
          <w:w w:val="110"/>
          <w:position w:val="1"/>
          <w:sz w:val="20"/>
        </w:rPr>
        <w:t>Obstetrics</w:t>
      </w:r>
      <w:r>
        <w:rPr>
          <w:color w:val="231F1F"/>
          <w:spacing w:val="-3"/>
          <w:w w:val="110"/>
          <w:position w:val="1"/>
          <w:sz w:val="20"/>
        </w:rPr>
        <w:t> </w:t>
      </w:r>
      <w:r>
        <w:rPr>
          <w:color w:val="231F1F"/>
          <w:w w:val="110"/>
          <w:position w:val="1"/>
          <w:sz w:val="20"/>
        </w:rPr>
        <w:t>In</w:t>
      </w:r>
      <w:r>
        <w:rPr>
          <w:color w:val="231F1F"/>
          <w:spacing w:val="-3"/>
          <w:w w:val="110"/>
          <w:position w:val="1"/>
          <w:sz w:val="20"/>
        </w:rPr>
        <w:t> </w:t>
      </w:r>
      <w:r>
        <w:rPr>
          <w:color w:val="231F1F"/>
          <w:w w:val="110"/>
          <w:position w:val="1"/>
          <w:sz w:val="20"/>
        </w:rPr>
        <w:t>General</w:t>
      </w:r>
      <w:r>
        <w:rPr>
          <w:color w:val="231F1F"/>
          <w:spacing w:val="-3"/>
          <w:w w:val="110"/>
          <w:position w:val="1"/>
          <w:sz w:val="20"/>
        </w:rPr>
        <w:t> </w:t>
      </w:r>
      <w:r>
        <w:rPr>
          <w:color w:val="231F1F"/>
          <w:w w:val="110"/>
          <w:position w:val="1"/>
          <w:sz w:val="20"/>
        </w:rPr>
        <w:t>Practice.</w:t>
      </w:r>
      <w:r>
        <w:rPr>
          <w:color w:val="231F1F"/>
          <w:spacing w:val="-6"/>
          <w:w w:val="110"/>
          <w:position w:val="1"/>
          <w:sz w:val="20"/>
        </w:rPr>
        <w:t> </w:t>
      </w:r>
      <w:r>
        <w:rPr>
          <w:color w:val="231F1F"/>
          <w:w w:val="110"/>
          <w:position w:val="1"/>
          <w:sz w:val="20"/>
        </w:rPr>
        <w:t>The</w:t>
      </w:r>
      <w:r>
        <w:rPr>
          <w:color w:val="231F1F"/>
          <w:spacing w:val="-6"/>
          <w:w w:val="110"/>
          <w:position w:val="1"/>
          <w:sz w:val="20"/>
        </w:rPr>
        <w:t> </w:t>
      </w:r>
      <w:r>
        <w:rPr>
          <w:color w:val="231F1F"/>
          <w:w w:val="110"/>
          <w:position w:val="1"/>
          <w:sz w:val="20"/>
        </w:rPr>
        <w:t>Third</w:t>
      </w:r>
      <w:r>
        <w:rPr>
          <w:color w:val="231F1F"/>
          <w:spacing w:val="-3"/>
          <w:w w:val="110"/>
          <w:position w:val="1"/>
          <w:sz w:val="20"/>
        </w:rPr>
        <w:t> </w:t>
      </w:r>
      <w:r>
        <w:rPr>
          <w:color w:val="231F1F"/>
          <w:w w:val="110"/>
          <w:position w:val="1"/>
          <w:sz w:val="20"/>
        </w:rPr>
        <w:t>Stage</w:t>
      </w:r>
      <w:r>
        <w:rPr>
          <w:color w:val="231F1F"/>
          <w:spacing w:val="-3"/>
          <w:w w:val="110"/>
          <w:position w:val="1"/>
          <w:sz w:val="20"/>
        </w:rPr>
        <w:t> </w:t>
      </w:r>
      <w:r>
        <w:rPr>
          <w:color w:val="231F1F"/>
          <w:w w:val="110"/>
          <w:position w:val="1"/>
          <w:sz w:val="20"/>
        </w:rPr>
        <w:t>Of</w:t>
      </w:r>
      <w:r>
        <w:rPr>
          <w:color w:val="231F1F"/>
          <w:spacing w:val="-3"/>
          <w:w w:val="110"/>
          <w:position w:val="1"/>
          <w:sz w:val="20"/>
        </w:rPr>
        <w:t> </w:t>
      </w:r>
      <w:r>
        <w:rPr>
          <w:color w:val="231F1F"/>
          <w:w w:val="110"/>
          <w:position w:val="1"/>
          <w:sz w:val="20"/>
        </w:rPr>
        <w:t>Labour.</w:t>
      </w:r>
      <w:r>
        <w:rPr>
          <w:color w:val="231F1F"/>
          <w:spacing w:val="-5"/>
          <w:w w:val="110"/>
          <w:position w:val="1"/>
          <w:sz w:val="20"/>
        </w:rPr>
        <w:t> </w:t>
      </w:r>
      <w:r>
        <w:rPr>
          <w:color w:val="231F1F"/>
          <w:w w:val="110"/>
          <w:position w:val="1"/>
          <w:sz w:val="20"/>
        </w:rPr>
        <w:t>Br</w:t>
      </w:r>
      <w:r>
        <w:rPr>
          <w:color w:val="231F1F"/>
          <w:spacing w:val="-3"/>
          <w:w w:val="110"/>
          <w:position w:val="1"/>
          <w:sz w:val="20"/>
        </w:rPr>
        <w:t> </w:t>
      </w:r>
      <w:r>
        <w:rPr>
          <w:color w:val="231F1F"/>
          <w:w w:val="110"/>
          <w:position w:val="1"/>
          <w:sz w:val="20"/>
        </w:rPr>
        <w:t>Med</w:t>
      </w:r>
      <w:r>
        <w:rPr>
          <w:color w:val="231F1F"/>
          <w:spacing w:val="-3"/>
          <w:w w:val="110"/>
          <w:position w:val="1"/>
          <w:sz w:val="20"/>
        </w:rPr>
        <w:t> </w:t>
      </w:r>
      <w:r>
        <w:rPr>
          <w:color w:val="231F1F"/>
          <w:w w:val="110"/>
          <w:position w:val="1"/>
          <w:sz w:val="20"/>
        </w:rPr>
        <w:t>J</w:t>
      </w:r>
      <w:r>
        <w:rPr>
          <w:color w:val="231F1F"/>
          <w:spacing w:val="-3"/>
          <w:w w:val="110"/>
          <w:position w:val="1"/>
          <w:sz w:val="20"/>
        </w:rPr>
        <w:t> </w:t>
      </w:r>
      <w:r>
        <w:rPr>
          <w:color w:val="231F1F"/>
          <w:w w:val="110"/>
          <w:position w:val="1"/>
          <w:sz w:val="20"/>
        </w:rPr>
        <w:t>1964; </w:t>
      </w:r>
      <w:r>
        <w:rPr>
          <w:color w:val="231F1F"/>
          <w:spacing w:val="-2"/>
          <w:w w:val="110"/>
          <w:sz w:val="20"/>
        </w:rPr>
        <w:t>1:1485.</w:t>
      </w:r>
    </w:p>
    <w:p>
      <w:pPr>
        <w:pStyle w:val="ListParagraph"/>
        <w:numPr>
          <w:ilvl w:val="0"/>
          <w:numId w:val="109"/>
        </w:numPr>
        <w:tabs>
          <w:tab w:pos="795" w:val="left" w:leader="none"/>
          <w:tab w:pos="798" w:val="left" w:leader="none"/>
        </w:tabs>
        <w:spacing w:line="230" w:lineRule="auto" w:before="166" w:after="0"/>
        <w:ind w:left="798" w:right="302" w:hanging="508"/>
        <w:jc w:val="left"/>
        <w:rPr>
          <w:sz w:val="20"/>
        </w:rPr>
      </w:pPr>
      <w:r>
        <w:rPr>
          <w:color w:val="231F1F"/>
          <w:w w:val="105"/>
          <w:sz w:val="20"/>
        </w:rPr>
        <w:t>Dombrowski</w:t>
      </w:r>
      <w:r>
        <w:rPr>
          <w:color w:val="231F1F"/>
          <w:spacing w:val="-14"/>
          <w:w w:val="105"/>
          <w:sz w:val="20"/>
        </w:rPr>
        <w:t> </w:t>
      </w:r>
      <w:r>
        <w:rPr>
          <w:color w:val="231F1F"/>
          <w:w w:val="105"/>
          <w:sz w:val="20"/>
        </w:rPr>
        <w:t>MP,</w:t>
      </w:r>
      <w:r>
        <w:rPr>
          <w:color w:val="231F1F"/>
          <w:spacing w:val="-14"/>
          <w:w w:val="105"/>
          <w:sz w:val="20"/>
        </w:rPr>
        <w:t> </w:t>
      </w:r>
      <w:r>
        <w:rPr>
          <w:color w:val="231F1F"/>
          <w:w w:val="105"/>
          <w:sz w:val="20"/>
        </w:rPr>
        <w:t>Bottoms</w:t>
      </w:r>
      <w:r>
        <w:rPr>
          <w:color w:val="231F1F"/>
          <w:spacing w:val="-13"/>
          <w:w w:val="105"/>
          <w:sz w:val="20"/>
        </w:rPr>
        <w:t> </w:t>
      </w:r>
      <w:r>
        <w:rPr>
          <w:color w:val="231F1F"/>
          <w:w w:val="105"/>
          <w:sz w:val="20"/>
        </w:rPr>
        <w:t>SF,</w:t>
      </w:r>
      <w:r>
        <w:rPr>
          <w:color w:val="231F1F"/>
          <w:spacing w:val="-14"/>
          <w:w w:val="105"/>
          <w:sz w:val="20"/>
        </w:rPr>
        <w:t> </w:t>
      </w:r>
      <w:r>
        <w:rPr>
          <w:color w:val="231F1F"/>
          <w:w w:val="105"/>
          <w:sz w:val="20"/>
        </w:rPr>
        <w:t>Saleh</w:t>
      </w:r>
      <w:r>
        <w:rPr>
          <w:color w:val="231F1F"/>
          <w:spacing w:val="-14"/>
          <w:w w:val="105"/>
          <w:sz w:val="20"/>
        </w:rPr>
        <w:t> </w:t>
      </w:r>
      <w:r>
        <w:rPr>
          <w:color w:val="231F1F"/>
          <w:w w:val="105"/>
          <w:sz w:val="20"/>
        </w:rPr>
        <w:t>AA,</w:t>
      </w:r>
      <w:r>
        <w:rPr>
          <w:color w:val="231F1F"/>
          <w:spacing w:val="-14"/>
          <w:w w:val="105"/>
          <w:sz w:val="20"/>
        </w:rPr>
        <w:t> </w:t>
      </w:r>
      <w:r>
        <w:rPr>
          <w:color w:val="231F1F"/>
          <w:w w:val="105"/>
          <w:sz w:val="20"/>
        </w:rPr>
        <w:t>Hurd</w:t>
      </w:r>
      <w:r>
        <w:rPr>
          <w:color w:val="231F1F"/>
          <w:spacing w:val="-15"/>
          <w:w w:val="105"/>
          <w:sz w:val="20"/>
        </w:rPr>
        <w:t> </w:t>
      </w:r>
      <w:r>
        <w:rPr>
          <w:color w:val="231F1F"/>
          <w:w w:val="105"/>
          <w:sz w:val="20"/>
        </w:rPr>
        <w:t>WW.</w:t>
      </w:r>
      <w:r>
        <w:rPr>
          <w:color w:val="231F1F"/>
          <w:spacing w:val="-14"/>
          <w:w w:val="105"/>
          <w:sz w:val="20"/>
        </w:rPr>
        <w:t> </w:t>
      </w:r>
      <w:r>
        <w:rPr>
          <w:color w:val="231F1F"/>
          <w:w w:val="105"/>
          <w:sz w:val="20"/>
        </w:rPr>
        <w:t>Third</w:t>
      </w:r>
      <w:r>
        <w:rPr>
          <w:color w:val="231F1F"/>
          <w:spacing w:val="-13"/>
          <w:w w:val="105"/>
          <w:sz w:val="20"/>
        </w:rPr>
        <w:t> </w:t>
      </w:r>
      <w:r>
        <w:rPr>
          <w:color w:val="231F1F"/>
          <w:w w:val="105"/>
          <w:sz w:val="20"/>
        </w:rPr>
        <w:t>stage</w:t>
      </w:r>
      <w:r>
        <w:rPr>
          <w:color w:val="231F1F"/>
          <w:spacing w:val="-13"/>
          <w:w w:val="105"/>
          <w:sz w:val="20"/>
        </w:rPr>
        <w:t> </w:t>
      </w:r>
      <w:r>
        <w:rPr>
          <w:color w:val="231F1F"/>
          <w:w w:val="105"/>
          <w:sz w:val="20"/>
        </w:rPr>
        <w:t>of</w:t>
      </w:r>
      <w:r>
        <w:rPr>
          <w:color w:val="231F1F"/>
          <w:spacing w:val="-13"/>
          <w:w w:val="105"/>
          <w:sz w:val="20"/>
        </w:rPr>
        <w:t> </w:t>
      </w:r>
      <w:r>
        <w:rPr>
          <w:color w:val="231F1F"/>
          <w:w w:val="105"/>
          <w:sz w:val="20"/>
        </w:rPr>
        <w:t>labor:</w:t>
      </w:r>
      <w:r>
        <w:rPr>
          <w:color w:val="231F1F"/>
          <w:spacing w:val="-14"/>
          <w:w w:val="105"/>
          <w:sz w:val="20"/>
        </w:rPr>
        <w:t> </w:t>
      </w:r>
      <w:r>
        <w:rPr>
          <w:color w:val="231F1F"/>
          <w:w w:val="105"/>
          <w:sz w:val="20"/>
        </w:rPr>
        <w:t>analysis</w:t>
      </w:r>
      <w:r>
        <w:rPr>
          <w:color w:val="231F1F"/>
          <w:spacing w:val="-13"/>
          <w:w w:val="105"/>
          <w:sz w:val="20"/>
        </w:rPr>
        <w:t> </w:t>
      </w:r>
      <w:r>
        <w:rPr>
          <w:color w:val="231F1F"/>
          <w:w w:val="105"/>
          <w:sz w:val="20"/>
        </w:rPr>
        <w:t>of</w:t>
      </w:r>
      <w:r>
        <w:rPr>
          <w:color w:val="231F1F"/>
          <w:spacing w:val="-12"/>
          <w:w w:val="105"/>
          <w:sz w:val="20"/>
        </w:rPr>
        <w:t> </w:t>
      </w:r>
      <w:r>
        <w:rPr>
          <w:color w:val="231F1F"/>
          <w:w w:val="105"/>
          <w:sz w:val="20"/>
        </w:rPr>
        <w:t>duration and clinical practice. Am J Obstet Gynecol 1995;172:1279.</w:t>
      </w:r>
    </w:p>
    <w:p>
      <w:pPr>
        <w:pStyle w:val="ListParagraph"/>
        <w:numPr>
          <w:ilvl w:val="0"/>
          <w:numId w:val="109"/>
        </w:numPr>
        <w:tabs>
          <w:tab w:pos="795" w:val="left" w:leader="none"/>
          <w:tab w:pos="797" w:val="left" w:leader="none"/>
        </w:tabs>
        <w:spacing w:line="211" w:lineRule="auto" w:before="149" w:after="0"/>
        <w:ind w:left="797" w:right="208" w:hanging="506"/>
        <w:jc w:val="left"/>
        <w:rPr>
          <w:sz w:val="20"/>
        </w:rPr>
      </w:pPr>
      <w:r>
        <w:rPr>
          <w:color w:val="231F1F"/>
          <w:w w:val="110"/>
          <w:position w:val="1"/>
          <w:sz w:val="20"/>
        </w:rPr>
        <w:t>Magann</w:t>
      </w:r>
      <w:r>
        <w:rPr>
          <w:color w:val="231F1F"/>
          <w:spacing w:val="-18"/>
          <w:w w:val="110"/>
          <w:position w:val="1"/>
          <w:sz w:val="20"/>
        </w:rPr>
        <w:t> </w:t>
      </w:r>
      <w:r>
        <w:rPr>
          <w:color w:val="231F1F"/>
          <w:w w:val="110"/>
          <w:position w:val="1"/>
          <w:sz w:val="20"/>
        </w:rPr>
        <w:t>EF,</w:t>
      </w:r>
      <w:r>
        <w:rPr>
          <w:color w:val="231F1F"/>
          <w:spacing w:val="-16"/>
          <w:w w:val="110"/>
          <w:position w:val="1"/>
          <w:sz w:val="20"/>
        </w:rPr>
        <w:t> </w:t>
      </w:r>
      <w:r>
        <w:rPr>
          <w:color w:val="231F1F"/>
          <w:w w:val="110"/>
          <w:position w:val="1"/>
          <w:sz w:val="20"/>
        </w:rPr>
        <w:t>Evans</w:t>
      </w:r>
      <w:r>
        <w:rPr>
          <w:color w:val="231F1F"/>
          <w:spacing w:val="-16"/>
          <w:w w:val="110"/>
          <w:position w:val="1"/>
          <w:sz w:val="20"/>
        </w:rPr>
        <w:t> </w:t>
      </w:r>
      <w:r>
        <w:rPr>
          <w:color w:val="231F1F"/>
          <w:w w:val="110"/>
          <w:position w:val="1"/>
          <w:sz w:val="20"/>
        </w:rPr>
        <w:t>S,</w:t>
      </w:r>
      <w:r>
        <w:rPr>
          <w:color w:val="231F1F"/>
          <w:spacing w:val="-15"/>
          <w:w w:val="110"/>
          <w:position w:val="1"/>
          <w:sz w:val="20"/>
        </w:rPr>
        <w:t> </w:t>
      </w:r>
      <w:r>
        <w:rPr>
          <w:color w:val="231F1F"/>
          <w:w w:val="110"/>
          <w:position w:val="1"/>
          <w:sz w:val="20"/>
        </w:rPr>
        <w:t>Chauhan</w:t>
      </w:r>
      <w:r>
        <w:rPr>
          <w:color w:val="231F1F"/>
          <w:spacing w:val="-16"/>
          <w:w w:val="110"/>
          <w:position w:val="1"/>
          <w:sz w:val="20"/>
        </w:rPr>
        <w:t> </w:t>
      </w:r>
      <w:r>
        <w:rPr>
          <w:color w:val="231F1F"/>
          <w:w w:val="110"/>
          <w:position w:val="1"/>
          <w:sz w:val="20"/>
        </w:rPr>
        <w:t>SP,</w:t>
      </w:r>
      <w:r>
        <w:rPr>
          <w:color w:val="231F1F"/>
          <w:spacing w:val="-16"/>
          <w:w w:val="110"/>
          <w:position w:val="1"/>
          <w:sz w:val="20"/>
        </w:rPr>
        <w:t> </w:t>
      </w:r>
      <w:r>
        <w:rPr>
          <w:color w:val="231F1F"/>
          <w:w w:val="110"/>
          <w:position w:val="1"/>
          <w:sz w:val="20"/>
        </w:rPr>
        <w:t>et</w:t>
      </w:r>
      <w:r>
        <w:rPr>
          <w:color w:val="231F1F"/>
          <w:spacing w:val="-16"/>
          <w:w w:val="110"/>
          <w:position w:val="1"/>
          <w:sz w:val="20"/>
        </w:rPr>
        <w:t> </w:t>
      </w:r>
      <w:r>
        <w:rPr>
          <w:color w:val="231F1F"/>
          <w:w w:val="110"/>
          <w:position w:val="1"/>
          <w:sz w:val="20"/>
        </w:rPr>
        <w:t>al.</w:t>
      </w:r>
      <w:r>
        <w:rPr>
          <w:color w:val="231F1F"/>
          <w:spacing w:val="-26"/>
          <w:w w:val="110"/>
          <w:position w:val="1"/>
          <w:sz w:val="20"/>
        </w:rPr>
        <w:t> </w:t>
      </w:r>
      <w:r>
        <w:rPr>
          <w:color w:val="231F1F"/>
          <w:w w:val="110"/>
          <w:position w:val="1"/>
          <w:sz w:val="20"/>
        </w:rPr>
        <w:t>The</w:t>
      </w:r>
      <w:r>
        <w:rPr>
          <w:color w:val="231F1F"/>
          <w:spacing w:val="-15"/>
          <w:w w:val="110"/>
          <w:position w:val="1"/>
          <w:sz w:val="20"/>
        </w:rPr>
        <w:t> </w:t>
      </w:r>
      <w:r>
        <w:rPr>
          <w:color w:val="231F1F"/>
          <w:w w:val="110"/>
          <w:position w:val="1"/>
          <w:sz w:val="20"/>
        </w:rPr>
        <w:t>length</w:t>
      </w:r>
      <w:r>
        <w:rPr>
          <w:color w:val="231F1F"/>
          <w:spacing w:val="-15"/>
          <w:w w:val="110"/>
          <w:position w:val="1"/>
          <w:sz w:val="20"/>
        </w:rPr>
        <w:t> </w:t>
      </w:r>
      <w:r>
        <w:rPr>
          <w:color w:val="231F1F"/>
          <w:w w:val="110"/>
          <w:position w:val="1"/>
          <w:sz w:val="20"/>
        </w:rPr>
        <w:t>of</w:t>
      </w:r>
      <w:r>
        <w:rPr>
          <w:color w:val="231F1F"/>
          <w:spacing w:val="-15"/>
          <w:w w:val="110"/>
          <w:position w:val="1"/>
          <w:sz w:val="20"/>
        </w:rPr>
        <w:t> </w:t>
      </w:r>
      <w:r>
        <w:rPr>
          <w:color w:val="231F1F"/>
          <w:w w:val="110"/>
          <w:position w:val="1"/>
          <w:sz w:val="20"/>
        </w:rPr>
        <w:t>the</w:t>
      </w:r>
      <w:r>
        <w:rPr>
          <w:color w:val="231F1F"/>
          <w:spacing w:val="-15"/>
          <w:w w:val="110"/>
          <w:position w:val="1"/>
          <w:sz w:val="20"/>
        </w:rPr>
        <w:t> </w:t>
      </w:r>
      <w:r>
        <w:rPr>
          <w:color w:val="231F1F"/>
          <w:w w:val="110"/>
          <w:position w:val="1"/>
          <w:sz w:val="20"/>
        </w:rPr>
        <w:t>third</w:t>
      </w:r>
      <w:r>
        <w:rPr>
          <w:color w:val="231F1F"/>
          <w:spacing w:val="-15"/>
          <w:w w:val="110"/>
          <w:position w:val="1"/>
          <w:sz w:val="20"/>
        </w:rPr>
        <w:t> </w:t>
      </w:r>
      <w:r>
        <w:rPr>
          <w:color w:val="231F1F"/>
          <w:w w:val="110"/>
          <w:position w:val="1"/>
          <w:sz w:val="20"/>
        </w:rPr>
        <w:t>stage</w:t>
      </w:r>
      <w:r>
        <w:rPr>
          <w:color w:val="231F1F"/>
          <w:spacing w:val="-14"/>
          <w:w w:val="110"/>
          <w:position w:val="1"/>
          <w:sz w:val="20"/>
        </w:rPr>
        <w:t> </w:t>
      </w:r>
      <w:r>
        <w:rPr>
          <w:color w:val="231F1F"/>
          <w:w w:val="110"/>
          <w:position w:val="1"/>
          <w:sz w:val="20"/>
        </w:rPr>
        <w:t>of</w:t>
      </w:r>
      <w:r>
        <w:rPr>
          <w:color w:val="231F1F"/>
          <w:spacing w:val="-15"/>
          <w:w w:val="110"/>
          <w:position w:val="1"/>
          <w:sz w:val="20"/>
        </w:rPr>
        <w:t> </w:t>
      </w:r>
      <w:r>
        <w:rPr>
          <w:color w:val="231F1F"/>
          <w:w w:val="110"/>
          <w:position w:val="1"/>
          <w:sz w:val="20"/>
        </w:rPr>
        <w:t>labor</w:t>
      </w:r>
      <w:r>
        <w:rPr>
          <w:color w:val="231F1F"/>
          <w:spacing w:val="-14"/>
          <w:w w:val="110"/>
          <w:position w:val="1"/>
          <w:sz w:val="20"/>
        </w:rPr>
        <w:t> </w:t>
      </w:r>
      <w:r>
        <w:rPr>
          <w:color w:val="231F1F"/>
          <w:w w:val="110"/>
          <w:position w:val="1"/>
          <w:sz w:val="20"/>
        </w:rPr>
        <w:t>and</w:t>
      </w:r>
      <w:r>
        <w:rPr>
          <w:color w:val="231F1F"/>
          <w:spacing w:val="-14"/>
          <w:w w:val="110"/>
          <w:position w:val="1"/>
          <w:sz w:val="20"/>
        </w:rPr>
        <w:t> </w:t>
      </w:r>
      <w:r>
        <w:rPr>
          <w:color w:val="231F1F"/>
          <w:w w:val="110"/>
          <w:position w:val="1"/>
          <w:sz w:val="20"/>
        </w:rPr>
        <w:t>the</w:t>
      </w:r>
      <w:r>
        <w:rPr>
          <w:color w:val="231F1F"/>
          <w:spacing w:val="-14"/>
          <w:w w:val="110"/>
          <w:position w:val="1"/>
          <w:sz w:val="20"/>
        </w:rPr>
        <w:t> </w:t>
      </w:r>
      <w:r>
        <w:rPr>
          <w:color w:val="231F1F"/>
          <w:w w:val="110"/>
          <w:position w:val="1"/>
          <w:sz w:val="20"/>
        </w:rPr>
        <w:t>risk</w:t>
      </w:r>
      <w:r>
        <w:rPr>
          <w:color w:val="231F1F"/>
          <w:spacing w:val="-13"/>
          <w:w w:val="110"/>
          <w:position w:val="1"/>
          <w:sz w:val="20"/>
        </w:rPr>
        <w:t> </w:t>
      </w:r>
      <w:r>
        <w:rPr>
          <w:color w:val="231F1F"/>
          <w:w w:val="110"/>
          <w:position w:val="1"/>
          <w:sz w:val="20"/>
        </w:rPr>
        <w:t>of </w:t>
      </w:r>
      <w:r>
        <w:rPr>
          <w:color w:val="231F1F"/>
          <w:w w:val="110"/>
          <w:sz w:val="20"/>
        </w:rPr>
        <w:t>postpartum hemorrhage. Obstet Gynecol 2005;105(2):290-3.</w:t>
      </w:r>
    </w:p>
    <w:p>
      <w:pPr>
        <w:pStyle w:val="ListParagraph"/>
        <w:numPr>
          <w:ilvl w:val="0"/>
          <w:numId w:val="109"/>
        </w:numPr>
        <w:tabs>
          <w:tab w:pos="795" w:val="left" w:leader="none"/>
          <w:tab w:pos="797" w:val="left" w:leader="none"/>
        </w:tabs>
        <w:spacing w:line="211" w:lineRule="auto" w:before="166" w:after="0"/>
        <w:ind w:left="797" w:right="239" w:hanging="513"/>
        <w:jc w:val="left"/>
        <w:rPr>
          <w:sz w:val="20"/>
        </w:rPr>
      </w:pPr>
      <w:r>
        <w:rPr>
          <w:color w:val="231F1F"/>
          <w:w w:val="110"/>
          <w:position w:val="1"/>
          <w:sz w:val="20"/>
        </w:rPr>
        <w:t>Combs</w:t>
      </w:r>
      <w:r>
        <w:rPr>
          <w:color w:val="231F1F"/>
          <w:spacing w:val="-7"/>
          <w:w w:val="110"/>
          <w:position w:val="1"/>
          <w:sz w:val="20"/>
        </w:rPr>
        <w:t> </w:t>
      </w:r>
      <w:r>
        <w:rPr>
          <w:color w:val="231F1F"/>
          <w:w w:val="110"/>
          <w:position w:val="1"/>
          <w:sz w:val="20"/>
        </w:rPr>
        <w:t>CA,</w:t>
      </w:r>
      <w:r>
        <w:rPr>
          <w:color w:val="231F1F"/>
          <w:spacing w:val="-13"/>
          <w:w w:val="110"/>
          <w:position w:val="1"/>
          <w:sz w:val="20"/>
        </w:rPr>
        <w:t> </w:t>
      </w:r>
      <w:r>
        <w:rPr>
          <w:color w:val="231F1F"/>
          <w:w w:val="110"/>
          <w:position w:val="1"/>
          <w:sz w:val="20"/>
        </w:rPr>
        <w:t>Laros</w:t>
      </w:r>
      <w:r>
        <w:rPr>
          <w:color w:val="231F1F"/>
          <w:spacing w:val="-7"/>
          <w:w w:val="110"/>
          <w:position w:val="1"/>
          <w:sz w:val="20"/>
        </w:rPr>
        <w:t> </w:t>
      </w:r>
      <w:r>
        <w:rPr>
          <w:color w:val="231F1F"/>
          <w:w w:val="110"/>
          <w:position w:val="1"/>
          <w:sz w:val="20"/>
        </w:rPr>
        <w:t>JrRK.</w:t>
      </w:r>
      <w:r>
        <w:rPr>
          <w:color w:val="231F1F"/>
          <w:spacing w:val="-13"/>
          <w:w w:val="110"/>
          <w:position w:val="1"/>
          <w:sz w:val="20"/>
        </w:rPr>
        <w:t> </w:t>
      </w:r>
      <w:r>
        <w:rPr>
          <w:color w:val="231F1F"/>
          <w:w w:val="110"/>
          <w:position w:val="1"/>
          <w:sz w:val="20"/>
        </w:rPr>
        <w:t>Prolonged</w:t>
      </w:r>
      <w:r>
        <w:rPr>
          <w:color w:val="231F1F"/>
          <w:spacing w:val="-7"/>
          <w:w w:val="110"/>
          <w:position w:val="1"/>
          <w:sz w:val="20"/>
        </w:rPr>
        <w:t> </w:t>
      </w:r>
      <w:r>
        <w:rPr>
          <w:color w:val="231F1F"/>
          <w:w w:val="110"/>
          <w:position w:val="1"/>
          <w:sz w:val="20"/>
        </w:rPr>
        <w:t>third</w:t>
      </w:r>
      <w:r>
        <w:rPr>
          <w:color w:val="231F1F"/>
          <w:spacing w:val="-7"/>
          <w:w w:val="110"/>
          <w:position w:val="1"/>
          <w:sz w:val="20"/>
        </w:rPr>
        <w:t> </w:t>
      </w:r>
      <w:r>
        <w:rPr>
          <w:color w:val="231F1F"/>
          <w:w w:val="110"/>
          <w:position w:val="1"/>
          <w:sz w:val="20"/>
        </w:rPr>
        <w:t>stage</w:t>
      </w:r>
      <w:r>
        <w:rPr>
          <w:color w:val="231F1F"/>
          <w:spacing w:val="-7"/>
          <w:w w:val="110"/>
          <w:position w:val="1"/>
          <w:sz w:val="20"/>
        </w:rPr>
        <w:t> </w:t>
      </w:r>
      <w:r>
        <w:rPr>
          <w:color w:val="231F1F"/>
          <w:w w:val="110"/>
          <w:position w:val="1"/>
          <w:sz w:val="20"/>
        </w:rPr>
        <w:t>of</w:t>
      </w:r>
      <w:r>
        <w:rPr>
          <w:color w:val="231F1F"/>
          <w:spacing w:val="-7"/>
          <w:w w:val="110"/>
          <w:position w:val="1"/>
          <w:sz w:val="20"/>
        </w:rPr>
        <w:t> </w:t>
      </w:r>
      <w:r>
        <w:rPr>
          <w:color w:val="231F1F"/>
          <w:w w:val="110"/>
          <w:position w:val="1"/>
          <w:sz w:val="20"/>
        </w:rPr>
        <w:t>labor:</w:t>
      </w:r>
      <w:r>
        <w:rPr>
          <w:color w:val="231F1F"/>
          <w:spacing w:val="-12"/>
          <w:w w:val="110"/>
          <w:position w:val="1"/>
          <w:sz w:val="20"/>
        </w:rPr>
        <w:t> </w:t>
      </w:r>
      <w:r>
        <w:rPr>
          <w:color w:val="231F1F"/>
          <w:w w:val="110"/>
          <w:position w:val="1"/>
          <w:sz w:val="20"/>
        </w:rPr>
        <w:t>Morbidity</w:t>
      </w:r>
      <w:r>
        <w:rPr>
          <w:color w:val="231F1F"/>
          <w:spacing w:val="-7"/>
          <w:w w:val="110"/>
          <w:position w:val="1"/>
          <w:sz w:val="20"/>
        </w:rPr>
        <w:t> </w:t>
      </w:r>
      <w:r>
        <w:rPr>
          <w:color w:val="231F1F"/>
          <w:w w:val="110"/>
          <w:position w:val="1"/>
          <w:sz w:val="20"/>
        </w:rPr>
        <w:t>and</w:t>
      </w:r>
      <w:r>
        <w:rPr>
          <w:color w:val="231F1F"/>
          <w:spacing w:val="-7"/>
          <w:w w:val="110"/>
          <w:position w:val="1"/>
          <w:sz w:val="20"/>
        </w:rPr>
        <w:t> </w:t>
      </w:r>
      <w:r>
        <w:rPr>
          <w:color w:val="231F1F"/>
          <w:w w:val="110"/>
          <w:position w:val="1"/>
          <w:sz w:val="20"/>
        </w:rPr>
        <w:t>risk</w:t>
      </w:r>
      <w:r>
        <w:rPr>
          <w:color w:val="231F1F"/>
          <w:spacing w:val="-7"/>
          <w:w w:val="110"/>
          <w:position w:val="1"/>
          <w:sz w:val="20"/>
        </w:rPr>
        <w:t> </w:t>
      </w:r>
      <w:r>
        <w:rPr>
          <w:color w:val="231F1F"/>
          <w:w w:val="110"/>
          <w:position w:val="1"/>
          <w:sz w:val="20"/>
        </w:rPr>
        <w:t>factors.</w:t>
      </w:r>
      <w:r>
        <w:rPr>
          <w:color w:val="231F1F"/>
          <w:spacing w:val="-14"/>
          <w:w w:val="110"/>
          <w:position w:val="1"/>
          <w:sz w:val="20"/>
        </w:rPr>
        <w:t> </w:t>
      </w:r>
      <w:r>
        <w:rPr>
          <w:color w:val="231F1F"/>
          <w:w w:val="110"/>
          <w:position w:val="1"/>
          <w:sz w:val="20"/>
        </w:rPr>
        <w:t>Obstet </w:t>
      </w:r>
      <w:r>
        <w:rPr>
          <w:color w:val="231F1F"/>
          <w:w w:val="110"/>
          <w:sz w:val="20"/>
        </w:rPr>
        <w:t>Gynecol</w:t>
      </w:r>
      <w:r>
        <w:rPr>
          <w:color w:val="231F1F"/>
          <w:spacing w:val="-16"/>
          <w:w w:val="110"/>
          <w:sz w:val="20"/>
        </w:rPr>
        <w:t> </w:t>
      </w:r>
      <w:r>
        <w:rPr>
          <w:color w:val="231F1F"/>
          <w:w w:val="110"/>
          <w:sz w:val="20"/>
        </w:rPr>
        <w:t>1991;77(6):863-7.</w:t>
      </w:r>
    </w:p>
    <w:p>
      <w:pPr>
        <w:pStyle w:val="ListParagraph"/>
        <w:numPr>
          <w:ilvl w:val="0"/>
          <w:numId w:val="109"/>
        </w:numPr>
        <w:tabs>
          <w:tab w:pos="795" w:val="left" w:leader="none"/>
          <w:tab w:pos="799" w:val="left" w:leader="none"/>
        </w:tabs>
        <w:spacing w:line="230" w:lineRule="auto" w:before="141" w:after="0"/>
        <w:ind w:left="799" w:right="111" w:hanging="506"/>
        <w:jc w:val="both"/>
        <w:rPr>
          <w:sz w:val="20"/>
        </w:rPr>
      </w:pPr>
      <w:r>
        <w:rPr>
          <w:color w:val="231F1F"/>
          <w:w w:val="105"/>
          <w:position w:val="1"/>
          <w:sz w:val="20"/>
        </w:rPr>
        <w:t>Prendiville</w:t>
      </w:r>
      <w:r>
        <w:rPr>
          <w:color w:val="231F1F"/>
          <w:w w:val="105"/>
          <w:position w:val="1"/>
          <w:sz w:val="20"/>
        </w:rPr>
        <w:t> WJ,</w:t>
      </w:r>
      <w:r>
        <w:rPr>
          <w:color w:val="231F1F"/>
          <w:w w:val="105"/>
          <w:position w:val="1"/>
          <w:sz w:val="20"/>
        </w:rPr>
        <w:t> Elbourne</w:t>
      </w:r>
      <w:r>
        <w:rPr>
          <w:color w:val="231F1F"/>
          <w:w w:val="105"/>
          <w:position w:val="1"/>
          <w:sz w:val="20"/>
        </w:rPr>
        <w:t> D,</w:t>
      </w:r>
      <w:r>
        <w:rPr>
          <w:color w:val="231F1F"/>
          <w:w w:val="105"/>
          <w:position w:val="1"/>
          <w:sz w:val="20"/>
        </w:rPr>
        <w:t> McDonald</w:t>
      </w:r>
      <w:r>
        <w:rPr>
          <w:color w:val="231F1F"/>
          <w:w w:val="105"/>
          <w:position w:val="1"/>
          <w:sz w:val="20"/>
        </w:rPr>
        <w:t> S.</w:t>
      </w:r>
      <w:r>
        <w:rPr>
          <w:color w:val="231F1F"/>
          <w:w w:val="105"/>
          <w:position w:val="1"/>
          <w:sz w:val="20"/>
        </w:rPr>
        <w:t> Active</w:t>
      </w:r>
      <w:r>
        <w:rPr>
          <w:color w:val="231F1F"/>
          <w:w w:val="105"/>
          <w:position w:val="1"/>
          <w:sz w:val="20"/>
        </w:rPr>
        <w:t> versus</w:t>
      </w:r>
      <w:r>
        <w:rPr>
          <w:color w:val="231F1F"/>
          <w:w w:val="105"/>
          <w:position w:val="1"/>
          <w:sz w:val="20"/>
        </w:rPr>
        <w:t> expectant</w:t>
      </w:r>
      <w:r>
        <w:rPr>
          <w:color w:val="231F1F"/>
          <w:w w:val="105"/>
          <w:position w:val="1"/>
          <w:sz w:val="20"/>
        </w:rPr>
        <w:t> management</w:t>
      </w:r>
      <w:r>
        <w:rPr>
          <w:color w:val="231F1F"/>
          <w:w w:val="105"/>
          <w:position w:val="1"/>
          <w:sz w:val="20"/>
        </w:rPr>
        <w:t> in</w:t>
      </w:r>
      <w:r>
        <w:rPr>
          <w:color w:val="231F1F"/>
          <w:w w:val="105"/>
          <w:position w:val="1"/>
          <w:sz w:val="20"/>
        </w:rPr>
        <w:t> the</w:t>
      </w:r>
      <w:r>
        <w:rPr>
          <w:color w:val="231F1F"/>
          <w:w w:val="105"/>
          <w:position w:val="1"/>
          <w:sz w:val="20"/>
        </w:rPr>
        <w:t> third </w:t>
      </w:r>
      <w:r>
        <w:rPr>
          <w:color w:val="231F1F"/>
          <w:w w:val="105"/>
          <w:sz w:val="20"/>
        </w:rPr>
        <w:t>stage</w:t>
      </w:r>
      <w:r>
        <w:rPr>
          <w:color w:val="231F1F"/>
          <w:w w:val="105"/>
          <w:sz w:val="20"/>
        </w:rPr>
        <w:t> of</w:t>
      </w:r>
      <w:r>
        <w:rPr>
          <w:color w:val="231F1F"/>
          <w:w w:val="105"/>
          <w:sz w:val="20"/>
        </w:rPr>
        <w:t> labour.</w:t>
      </w:r>
      <w:r>
        <w:rPr>
          <w:color w:val="231F1F"/>
          <w:w w:val="105"/>
          <w:sz w:val="20"/>
        </w:rPr>
        <w:t> (Cochrane</w:t>
      </w:r>
      <w:r>
        <w:rPr>
          <w:color w:val="231F1F"/>
          <w:w w:val="105"/>
          <w:sz w:val="20"/>
        </w:rPr>
        <w:t> Review).</w:t>
      </w:r>
      <w:r>
        <w:rPr>
          <w:color w:val="231F1F"/>
          <w:w w:val="105"/>
          <w:sz w:val="20"/>
        </w:rPr>
        <w:t> In:</w:t>
      </w:r>
      <w:r>
        <w:rPr>
          <w:color w:val="231F1F"/>
          <w:w w:val="105"/>
          <w:sz w:val="20"/>
        </w:rPr>
        <w:t> Cochrane</w:t>
      </w:r>
      <w:r>
        <w:rPr>
          <w:color w:val="231F1F"/>
          <w:w w:val="105"/>
          <w:sz w:val="20"/>
        </w:rPr>
        <w:t> Database</w:t>
      </w:r>
      <w:r>
        <w:rPr>
          <w:color w:val="231F1F"/>
          <w:w w:val="105"/>
          <w:sz w:val="20"/>
        </w:rPr>
        <w:t> of</w:t>
      </w:r>
      <w:r>
        <w:rPr>
          <w:color w:val="231F1F"/>
          <w:w w:val="105"/>
          <w:sz w:val="20"/>
        </w:rPr>
        <w:t> Systematic</w:t>
      </w:r>
      <w:r>
        <w:rPr>
          <w:color w:val="231F1F"/>
          <w:w w:val="105"/>
          <w:sz w:val="20"/>
        </w:rPr>
        <w:t> Review,</w:t>
      </w:r>
      <w:r>
        <w:rPr>
          <w:color w:val="231F1F"/>
          <w:w w:val="105"/>
          <w:sz w:val="20"/>
        </w:rPr>
        <w:t> Issue</w:t>
      </w:r>
      <w:r>
        <w:rPr>
          <w:color w:val="231F1F"/>
          <w:w w:val="105"/>
          <w:sz w:val="20"/>
        </w:rPr>
        <w:t> 2, 2005 Oxford: Update Software 2005.</w:t>
      </w:r>
    </w:p>
    <w:p>
      <w:pPr>
        <w:pStyle w:val="ListParagraph"/>
        <w:spacing w:after="0" w:line="230" w:lineRule="auto"/>
        <w:jc w:val="both"/>
        <w:rPr>
          <w:sz w:val="20"/>
        </w:rPr>
        <w:sectPr>
          <w:pgSz w:w="11900" w:h="16840"/>
          <w:pgMar w:header="0" w:footer="622" w:top="1560" w:bottom="820" w:left="1417" w:right="1559"/>
        </w:sectPr>
      </w:pPr>
    </w:p>
    <w:p>
      <w:pPr>
        <w:pStyle w:val="ListParagraph"/>
        <w:numPr>
          <w:ilvl w:val="0"/>
          <w:numId w:val="109"/>
        </w:numPr>
        <w:tabs>
          <w:tab w:pos="791" w:val="left" w:leader="none"/>
          <w:tab w:pos="796" w:val="left" w:leader="none"/>
        </w:tabs>
        <w:spacing w:line="211" w:lineRule="auto" w:before="105" w:after="0"/>
        <w:ind w:left="796" w:right="175" w:hanging="505"/>
        <w:jc w:val="both"/>
        <w:rPr>
          <w:sz w:val="20"/>
        </w:rPr>
      </w:pPr>
      <w:r>
        <w:rPr>
          <w:color w:val="231F1F"/>
          <w:w w:val="110"/>
          <w:position w:val="1"/>
          <w:sz w:val="20"/>
        </w:rPr>
        <w:t>Festin</w:t>
      </w:r>
      <w:r>
        <w:rPr>
          <w:color w:val="231F1F"/>
          <w:spacing w:val="-14"/>
          <w:w w:val="110"/>
          <w:position w:val="1"/>
          <w:sz w:val="20"/>
        </w:rPr>
        <w:t> </w:t>
      </w:r>
      <w:r>
        <w:rPr>
          <w:color w:val="231F1F"/>
          <w:w w:val="110"/>
          <w:position w:val="1"/>
          <w:sz w:val="20"/>
        </w:rPr>
        <w:t>MR,</w:t>
      </w:r>
      <w:r>
        <w:rPr>
          <w:color w:val="231F1F"/>
          <w:spacing w:val="-14"/>
          <w:w w:val="110"/>
          <w:position w:val="1"/>
          <w:sz w:val="20"/>
        </w:rPr>
        <w:t> </w:t>
      </w:r>
      <w:r>
        <w:rPr>
          <w:color w:val="231F1F"/>
          <w:w w:val="110"/>
          <w:position w:val="1"/>
          <w:sz w:val="20"/>
        </w:rPr>
        <w:t>Lumbiganon</w:t>
      </w:r>
      <w:r>
        <w:rPr>
          <w:color w:val="231F1F"/>
          <w:spacing w:val="-13"/>
          <w:w w:val="110"/>
          <w:position w:val="1"/>
          <w:sz w:val="20"/>
        </w:rPr>
        <w:t> </w:t>
      </w:r>
      <w:r>
        <w:rPr>
          <w:color w:val="231F1F"/>
          <w:w w:val="110"/>
          <w:position w:val="1"/>
          <w:sz w:val="20"/>
        </w:rPr>
        <w:t>P,</w:t>
      </w:r>
      <w:r>
        <w:rPr>
          <w:color w:val="231F1F"/>
          <w:spacing w:val="-13"/>
          <w:w w:val="110"/>
          <w:position w:val="1"/>
          <w:sz w:val="20"/>
        </w:rPr>
        <w:t> </w:t>
      </w:r>
      <w:r>
        <w:rPr>
          <w:color w:val="231F1F"/>
          <w:w w:val="110"/>
          <w:position w:val="1"/>
          <w:sz w:val="20"/>
        </w:rPr>
        <w:t>Tolosa</w:t>
      </w:r>
      <w:r>
        <w:rPr>
          <w:color w:val="231F1F"/>
          <w:spacing w:val="-13"/>
          <w:w w:val="110"/>
          <w:position w:val="1"/>
          <w:sz w:val="20"/>
        </w:rPr>
        <w:t> </w:t>
      </w:r>
      <w:r>
        <w:rPr>
          <w:color w:val="231F1F"/>
          <w:w w:val="110"/>
          <w:position w:val="1"/>
          <w:sz w:val="20"/>
        </w:rPr>
        <w:t>JE,</w:t>
      </w:r>
      <w:r>
        <w:rPr>
          <w:color w:val="231F1F"/>
          <w:spacing w:val="-13"/>
          <w:w w:val="110"/>
          <w:position w:val="1"/>
          <w:sz w:val="20"/>
        </w:rPr>
        <w:t> </w:t>
      </w:r>
      <w:r>
        <w:rPr>
          <w:color w:val="231F1F"/>
          <w:w w:val="110"/>
          <w:position w:val="1"/>
          <w:sz w:val="20"/>
        </w:rPr>
        <w:t>et</w:t>
      </w:r>
      <w:r>
        <w:rPr>
          <w:color w:val="231F1F"/>
          <w:spacing w:val="-13"/>
          <w:w w:val="110"/>
          <w:position w:val="1"/>
          <w:sz w:val="20"/>
        </w:rPr>
        <w:t> </w:t>
      </w:r>
      <w:r>
        <w:rPr>
          <w:color w:val="231F1F"/>
          <w:w w:val="110"/>
          <w:position w:val="1"/>
          <w:sz w:val="20"/>
        </w:rPr>
        <w:t>al.</w:t>
      </w:r>
      <w:r>
        <w:rPr>
          <w:color w:val="231F1F"/>
          <w:spacing w:val="-13"/>
          <w:w w:val="110"/>
          <w:position w:val="1"/>
          <w:sz w:val="20"/>
        </w:rPr>
        <w:t> </w:t>
      </w:r>
      <w:r>
        <w:rPr>
          <w:color w:val="231F1F"/>
          <w:w w:val="110"/>
          <w:position w:val="1"/>
          <w:sz w:val="20"/>
        </w:rPr>
        <w:t>International</w:t>
      </w:r>
      <w:r>
        <w:rPr>
          <w:color w:val="231F1F"/>
          <w:spacing w:val="-13"/>
          <w:w w:val="110"/>
          <w:position w:val="1"/>
          <w:sz w:val="20"/>
        </w:rPr>
        <w:t> </w:t>
      </w:r>
      <w:r>
        <w:rPr>
          <w:color w:val="231F1F"/>
          <w:w w:val="110"/>
          <w:position w:val="1"/>
          <w:sz w:val="20"/>
        </w:rPr>
        <w:t>survey</w:t>
      </w:r>
      <w:r>
        <w:rPr>
          <w:color w:val="231F1F"/>
          <w:spacing w:val="-14"/>
          <w:w w:val="110"/>
          <w:position w:val="1"/>
          <w:sz w:val="20"/>
        </w:rPr>
        <w:t> </w:t>
      </w:r>
      <w:r>
        <w:rPr>
          <w:color w:val="231F1F"/>
          <w:w w:val="110"/>
          <w:position w:val="1"/>
          <w:sz w:val="20"/>
        </w:rPr>
        <w:t>on</w:t>
      </w:r>
      <w:r>
        <w:rPr>
          <w:color w:val="231F1F"/>
          <w:spacing w:val="-14"/>
          <w:w w:val="110"/>
          <w:position w:val="1"/>
          <w:sz w:val="20"/>
        </w:rPr>
        <w:t> </w:t>
      </w:r>
      <w:r>
        <w:rPr>
          <w:color w:val="231F1F"/>
          <w:w w:val="110"/>
          <w:position w:val="1"/>
          <w:sz w:val="20"/>
        </w:rPr>
        <w:t>variations</w:t>
      </w:r>
      <w:r>
        <w:rPr>
          <w:color w:val="231F1F"/>
          <w:spacing w:val="-13"/>
          <w:w w:val="110"/>
          <w:position w:val="1"/>
          <w:sz w:val="20"/>
        </w:rPr>
        <w:t> </w:t>
      </w:r>
      <w:r>
        <w:rPr>
          <w:color w:val="231F1F"/>
          <w:w w:val="110"/>
          <w:position w:val="1"/>
          <w:sz w:val="20"/>
        </w:rPr>
        <w:t>in</w:t>
      </w:r>
      <w:r>
        <w:rPr>
          <w:color w:val="231F1F"/>
          <w:spacing w:val="-14"/>
          <w:w w:val="110"/>
          <w:position w:val="1"/>
          <w:sz w:val="20"/>
        </w:rPr>
        <w:t> </w:t>
      </w:r>
      <w:r>
        <w:rPr>
          <w:color w:val="231F1F"/>
          <w:w w:val="110"/>
          <w:position w:val="1"/>
          <w:sz w:val="20"/>
        </w:rPr>
        <w:t>practice</w:t>
      </w:r>
      <w:r>
        <w:rPr>
          <w:color w:val="231F1F"/>
          <w:spacing w:val="-12"/>
          <w:w w:val="110"/>
          <w:position w:val="1"/>
          <w:sz w:val="20"/>
        </w:rPr>
        <w:t> </w:t>
      </w:r>
      <w:r>
        <w:rPr>
          <w:color w:val="231F1F"/>
          <w:w w:val="110"/>
          <w:position w:val="1"/>
          <w:sz w:val="20"/>
        </w:rPr>
        <w:t>of </w:t>
      </w:r>
      <w:r>
        <w:rPr>
          <w:color w:val="231F1F"/>
          <w:w w:val="110"/>
          <w:sz w:val="20"/>
        </w:rPr>
        <w:t>the</w:t>
      </w:r>
      <w:r>
        <w:rPr>
          <w:color w:val="231F1F"/>
          <w:spacing w:val="-6"/>
          <w:w w:val="110"/>
          <w:sz w:val="20"/>
        </w:rPr>
        <w:t> </w:t>
      </w:r>
      <w:r>
        <w:rPr>
          <w:color w:val="231F1F"/>
          <w:w w:val="110"/>
          <w:sz w:val="20"/>
        </w:rPr>
        <w:t>management</w:t>
      </w:r>
      <w:r>
        <w:rPr>
          <w:color w:val="231F1F"/>
          <w:spacing w:val="-1"/>
          <w:w w:val="110"/>
          <w:sz w:val="20"/>
        </w:rPr>
        <w:t> </w:t>
      </w:r>
      <w:r>
        <w:rPr>
          <w:color w:val="231F1F"/>
          <w:w w:val="110"/>
          <w:sz w:val="20"/>
        </w:rPr>
        <w:t>of</w:t>
      </w:r>
      <w:r>
        <w:rPr>
          <w:color w:val="231F1F"/>
          <w:spacing w:val="-3"/>
          <w:w w:val="110"/>
          <w:sz w:val="20"/>
        </w:rPr>
        <w:t> </w:t>
      </w:r>
      <w:r>
        <w:rPr>
          <w:color w:val="231F1F"/>
          <w:w w:val="110"/>
          <w:sz w:val="20"/>
        </w:rPr>
        <w:t>the</w:t>
      </w:r>
      <w:r>
        <w:rPr>
          <w:color w:val="231F1F"/>
          <w:spacing w:val="-3"/>
          <w:w w:val="110"/>
          <w:sz w:val="20"/>
        </w:rPr>
        <w:t> </w:t>
      </w:r>
      <w:r>
        <w:rPr>
          <w:color w:val="231F1F"/>
          <w:w w:val="110"/>
          <w:sz w:val="20"/>
        </w:rPr>
        <w:t>third</w:t>
      </w:r>
      <w:r>
        <w:rPr>
          <w:color w:val="231F1F"/>
          <w:spacing w:val="-3"/>
          <w:w w:val="110"/>
          <w:sz w:val="20"/>
        </w:rPr>
        <w:t> </w:t>
      </w:r>
      <w:r>
        <w:rPr>
          <w:color w:val="231F1F"/>
          <w:w w:val="110"/>
          <w:sz w:val="20"/>
        </w:rPr>
        <w:t>stage</w:t>
      </w:r>
      <w:r>
        <w:rPr>
          <w:color w:val="231F1F"/>
          <w:spacing w:val="-3"/>
          <w:w w:val="110"/>
          <w:sz w:val="20"/>
        </w:rPr>
        <w:t> </w:t>
      </w:r>
      <w:r>
        <w:rPr>
          <w:color w:val="231F1F"/>
          <w:w w:val="110"/>
          <w:sz w:val="20"/>
        </w:rPr>
        <w:t>of</w:t>
      </w:r>
      <w:r>
        <w:rPr>
          <w:color w:val="231F1F"/>
          <w:spacing w:val="-3"/>
          <w:w w:val="110"/>
          <w:sz w:val="20"/>
        </w:rPr>
        <w:t> </w:t>
      </w:r>
      <w:r>
        <w:rPr>
          <w:color w:val="231F1F"/>
          <w:w w:val="110"/>
          <w:sz w:val="20"/>
        </w:rPr>
        <w:t>labour.</w:t>
      </w:r>
      <w:r>
        <w:rPr>
          <w:color w:val="231F1F"/>
          <w:spacing w:val="-14"/>
          <w:w w:val="110"/>
          <w:sz w:val="20"/>
        </w:rPr>
        <w:t> </w:t>
      </w:r>
      <w:r>
        <w:rPr>
          <w:color w:val="231F1F"/>
          <w:w w:val="110"/>
          <w:sz w:val="20"/>
        </w:rPr>
        <w:t>Bull</w:t>
      </w:r>
      <w:r>
        <w:rPr>
          <w:color w:val="231F1F"/>
          <w:spacing w:val="-14"/>
          <w:w w:val="110"/>
          <w:sz w:val="20"/>
        </w:rPr>
        <w:t> </w:t>
      </w:r>
      <w:r>
        <w:rPr>
          <w:color w:val="231F1F"/>
          <w:w w:val="110"/>
          <w:sz w:val="20"/>
        </w:rPr>
        <w:t>World</w:t>
      </w:r>
      <w:r>
        <w:rPr>
          <w:color w:val="231F1F"/>
          <w:spacing w:val="-3"/>
          <w:w w:val="110"/>
          <w:sz w:val="20"/>
        </w:rPr>
        <w:t> </w:t>
      </w:r>
      <w:r>
        <w:rPr>
          <w:color w:val="231F1F"/>
          <w:w w:val="110"/>
          <w:sz w:val="20"/>
        </w:rPr>
        <w:t>Health</w:t>
      </w:r>
      <w:r>
        <w:rPr>
          <w:color w:val="231F1F"/>
          <w:spacing w:val="-3"/>
          <w:w w:val="110"/>
          <w:sz w:val="20"/>
        </w:rPr>
        <w:t> </w:t>
      </w:r>
      <w:r>
        <w:rPr>
          <w:color w:val="231F1F"/>
          <w:w w:val="110"/>
          <w:sz w:val="20"/>
        </w:rPr>
        <w:t>Organ</w:t>
      </w:r>
      <w:r>
        <w:rPr>
          <w:color w:val="231F1F"/>
          <w:spacing w:val="-3"/>
          <w:w w:val="110"/>
          <w:sz w:val="20"/>
        </w:rPr>
        <w:t> </w:t>
      </w:r>
      <w:r>
        <w:rPr>
          <w:color w:val="231F1F"/>
          <w:w w:val="110"/>
          <w:sz w:val="20"/>
        </w:rPr>
        <w:t>2003;81(4):286-91.</w:t>
      </w:r>
    </w:p>
    <w:p>
      <w:pPr>
        <w:pStyle w:val="ListParagraph"/>
        <w:numPr>
          <w:ilvl w:val="0"/>
          <w:numId w:val="109"/>
        </w:numPr>
        <w:tabs>
          <w:tab w:pos="791" w:val="left" w:leader="none"/>
          <w:tab w:pos="796" w:val="left" w:leader="none"/>
        </w:tabs>
        <w:spacing w:line="218" w:lineRule="auto" w:before="150" w:after="0"/>
        <w:ind w:left="796" w:right="125" w:hanging="505"/>
        <w:jc w:val="both"/>
        <w:rPr>
          <w:sz w:val="20"/>
        </w:rPr>
      </w:pPr>
      <w:r>
        <w:rPr>
          <w:color w:val="231F1F"/>
          <w:w w:val="110"/>
          <w:position w:val="1"/>
          <w:sz w:val="20"/>
        </w:rPr>
        <w:t>Winter C, Macfarlane A, Deneux-Tharaux C, et al. Variations in policies for management </w:t>
      </w:r>
      <w:r>
        <w:rPr>
          <w:color w:val="231F1F"/>
          <w:w w:val="110"/>
          <w:sz w:val="20"/>
        </w:rPr>
        <w:t>of the third stage of labour and the immediate management of postpartum haemorrhage in Europe. BJOG 2007;114(7):845-54.</w:t>
      </w:r>
    </w:p>
    <w:p>
      <w:pPr>
        <w:pStyle w:val="ListParagraph"/>
        <w:numPr>
          <w:ilvl w:val="0"/>
          <w:numId w:val="109"/>
        </w:numPr>
        <w:tabs>
          <w:tab w:pos="791" w:val="left" w:leader="none"/>
          <w:tab w:pos="796" w:val="left" w:leader="none"/>
        </w:tabs>
        <w:spacing w:line="211" w:lineRule="auto" w:before="170" w:after="0"/>
        <w:ind w:left="796" w:right="182" w:hanging="505"/>
        <w:jc w:val="both"/>
        <w:rPr>
          <w:sz w:val="20"/>
        </w:rPr>
      </w:pPr>
      <w:r>
        <w:rPr>
          <w:color w:val="231F1F"/>
          <w:w w:val="110"/>
          <w:position w:val="1"/>
          <w:sz w:val="20"/>
        </w:rPr>
        <w:t>Chong</w:t>
      </w:r>
      <w:r>
        <w:rPr>
          <w:color w:val="231F1F"/>
          <w:w w:val="110"/>
          <w:position w:val="1"/>
          <w:sz w:val="20"/>
        </w:rPr>
        <w:t> YS,</w:t>
      </w:r>
      <w:r>
        <w:rPr>
          <w:color w:val="231F1F"/>
          <w:w w:val="110"/>
          <w:position w:val="1"/>
          <w:sz w:val="20"/>
        </w:rPr>
        <w:t> Su</w:t>
      </w:r>
      <w:r>
        <w:rPr>
          <w:color w:val="231F1F"/>
          <w:w w:val="110"/>
          <w:position w:val="1"/>
          <w:sz w:val="20"/>
        </w:rPr>
        <w:t> LL,</w:t>
      </w:r>
      <w:r>
        <w:rPr>
          <w:color w:val="231F1F"/>
          <w:w w:val="110"/>
          <w:position w:val="1"/>
          <w:sz w:val="20"/>
        </w:rPr>
        <w:t> Arulkamaran</w:t>
      </w:r>
      <w:r>
        <w:rPr>
          <w:color w:val="231F1F"/>
          <w:w w:val="110"/>
          <w:position w:val="1"/>
          <w:sz w:val="20"/>
        </w:rPr>
        <w:t> S.</w:t>
      </w:r>
      <w:r>
        <w:rPr>
          <w:color w:val="231F1F"/>
          <w:w w:val="110"/>
          <w:position w:val="1"/>
          <w:sz w:val="20"/>
        </w:rPr>
        <w:t> Current</w:t>
      </w:r>
      <w:r>
        <w:rPr>
          <w:color w:val="231F1F"/>
          <w:w w:val="110"/>
          <w:position w:val="1"/>
          <w:sz w:val="20"/>
        </w:rPr>
        <w:t> strategies</w:t>
      </w:r>
      <w:r>
        <w:rPr>
          <w:color w:val="231F1F"/>
          <w:w w:val="110"/>
          <w:position w:val="1"/>
          <w:sz w:val="20"/>
        </w:rPr>
        <w:t> for</w:t>
      </w:r>
      <w:r>
        <w:rPr>
          <w:color w:val="231F1F"/>
          <w:w w:val="110"/>
          <w:position w:val="1"/>
          <w:sz w:val="20"/>
        </w:rPr>
        <w:t> the</w:t>
      </w:r>
      <w:r>
        <w:rPr>
          <w:color w:val="231F1F"/>
          <w:w w:val="110"/>
          <w:position w:val="1"/>
          <w:sz w:val="20"/>
        </w:rPr>
        <w:t> prevention</w:t>
      </w:r>
      <w:r>
        <w:rPr>
          <w:color w:val="231F1F"/>
          <w:w w:val="110"/>
          <w:position w:val="1"/>
          <w:sz w:val="20"/>
        </w:rPr>
        <w:t> of</w:t>
      </w:r>
      <w:r>
        <w:rPr>
          <w:color w:val="231F1F"/>
          <w:w w:val="110"/>
          <w:position w:val="1"/>
          <w:sz w:val="20"/>
        </w:rPr>
        <w:t> postpartum </w:t>
      </w:r>
      <w:r>
        <w:rPr>
          <w:color w:val="231F1F"/>
          <w:w w:val="110"/>
          <w:sz w:val="20"/>
        </w:rPr>
        <w:t>haemorrhage in the third stage of labour. Curr Opin Obstet Gynecol 2004;16(2):143-50.</w:t>
      </w:r>
    </w:p>
    <w:p>
      <w:pPr>
        <w:pStyle w:val="ListParagraph"/>
        <w:numPr>
          <w:ilvl w:val="0"/>
          <w:numId w:val="109"/>
        </w:numPr>
        <w:tabs>
          <w:tab w:pos="791" w:val="left" w:leader="none"/>
          <w:tab w:pos="796" w:val="left" w:leader="none"/>
        </w:tabs>
        <w:spacing w:line="225" w:lineRule="auto" w:before="150" w:after="0"/>
        <w:ind w:left="796" w:right="119" w:hanging="505"/>
        <w:jc w:val="both"/>
        <w:rPr>
          <w:sz w:val="20"/>
        </w:rPr>
      </w:pPr>
      <w:r>
        <w:rPr>
          <w:color w:val="231F1F"/>
          <w:w w:val="110"/>
          <w:position w:val="1"/>
          <w:sz w:val="20"/>
        </w:rPr>
        <w:t>Lalonde</w:t>
      </w:r>
      <w:r>
        <w:rPr>
          <w:color w:val="231F1F"/>
          <w:spacing w:val="-10"/>
          <w:w w:val="110"/>
          <w:position w:val="1"/>
          <w:sz w:val="20"/>
        </w:rPr>
        <w:t> </w:t>
      </w:r>
      <w:r>
        <w:rPr>
          <w:color w:val="231F1F"/>
          <w:w w:val="110"/>
          <w:position w:val="1"/>
          <w:sz w:val="20"/>
        </w:rPr>
        <w:t>AB,</w:t>
      </w:r>
      <w:r>
        <w:rPr>
          <w:color w:val="231F1F"/>
          <w:spacing w:val="-10"/>
          <w:w w:val="110"/>
          <w:position w:val="1"/>
          <w:sz w:val="20"/>
        </w:rPr>
        <w:t> </w:t>
      </w:r>
      <w:r>
        <w:rPr>
          <w:color w:val="231F1F"/>
          <w:w w:val="110"/>
          <w:position w:val="1"/>
          <w:sz w:val="20"/>
        </w:rPr>
        <w:t>Daviss</w:t>
      </w:r>
      <w:r>
        <w:rPr>
          <w:color w:val="231F1F"/>
          <w:spacing w:val="-10"/>
          <w:w w:val="110"/>
          <w:position w:val="1"/>
          <w:sz w:val="20"/>
        </w:rPr>
        <w:t> </w:t>
      </w:r>
      <w:r>
        <w:rPr>
          <w:color w:val="231F1F"/>
          <w:w w:val="110"/>
          <w:position w:val="1"/>
          <w:sz w:val="20"/>
        </w:rPr>
        <w:t>BA,</w:t>
      </w:r>
      <w:r>
        <w:rPr>
          <w:color w:val="231F1F"/>
          <w:spacing w:val="-10"/>
          <w:w w:val="110"/>
          <w:position w:val="1"/>
          <w:sz w:val="20"/>
        </w:rPr>
        <w:t> </w:t>
      </w:r>
      <w:r>
        <w:rPr>
          <w:color w:val="231F1F"/>
          <w:w w:val="110"/>
          <w:position w:val="1"/>
          <w:sz w:val="20"/>
        </w:rPr>
        <w:t>Acosta</w:t>
      </w:r>
      <w:r>
        <w:rPr>
          <w:color w:val="231F1F"/>
          <w:spacing w:val="-11"/>
          <w:w w:val="110"/>
          <w:position w:val="1"/>
          <w:sz w:val="20"/>
        </w:rPr>
        <w:t> </w:t>
      </w:r>
      <w:r>
        <w:rPr>
          <w:color w:val="231F1F"/>
          <w:w w:val="110"/>
          <w:position w:val="1"/>
          <w:sz w:val="20"/>
        </w:rPr>
        <w:t>A,</w:t>
      </w:r>
      <w:r>
        <w:rPr>
          <w:color w:val="231F1F"/>
          <w:spacing w:val="-10"/>
          <w:w w:val="110"/>
          <w:position w:val="1"/>
          <w:sz w:val="20"/>
        </w:rPr>
        <w:t> </w:t>
      </w:r>
      <w:r>
        <w:rPr>
          <w:color w:val="231F1F"/>
          <w:w w:val="110"/>
          <w:position w:val="1"/>
          <w:sz w:val="20"/>
        </w:rPr>
        <w:t>Herschderfer</w:t>
      </w:r>
      <w:r>
        <w:rPr>
          <w:color w:val="231F1F"/>
          <w:spacing w:val="-8"/>
          <w:w w:val="110"/>
          <w:position w:val="1"/>
          <w:sz w:val="20"/>
        </w:rPr>
        <w:t> </w:t>
      </w:r>
      <w:r>
        <w:rPr>
          <w:color w:val="231F1F"/>
          <w:w w:val="110"/>
          <w:position w:val="1"/>
          <w:sz w:val="20"/>
        </w:rPr>
        <w:t>K.</w:t>
      </w:r>
      <w:r>
        <w:rPr>
          <w:color w:val="231F1F"/>
          <w:spacing w:val="-10"/>
          <w:w w:val="110"/>
          <w:position w:val="1"/>
          <w:sz w:val="20"/>
        </w:rPr>
        <w:t> </w:t>
      </w:r>
      <w:r>
        <w:rPr>
          <w:color w:val="231F1F"/>
          <w:w w:val="110"/>
          <w:position w:val="1"/>
          <w:sz w:val="20"/>
        </w:rPr>
        <w:t>Postpartum</w:t>
      </w:r>
      <w:r>
        <w:rPr>
          <w:color w:val="231F1F"/>
          <w:spacing w:val="-8"/>
          <w:w w:val="110"/>
          <w:position w:val="1"/>
          <w:sz w:val="20"/>
        </w:rPr>
        <w:t> </w:t>
      </w:r>
      <w:r>
        <w:rPr>
          <w:color w:val="231F1F"/>
          <w:w w:val="110"/>
          <w:position w:val="1"/>
          <w:sz w:val="20"/>
        </w:rPr>
        <w:t>Hemorrhage</w:t>
      </w:r>
      <w:r>
        <w:rPr>
          <w:color w:val="231F1F"/>
          <w:spacing w:val="-8"/>
          <w:w w:val="110"/>
          <w:position w:val="1"/>
          <w:sz w:val="20"/>
        </w:rPr>
        <w:t> </w:t>
      </w:r>
      <w:r>
        <w:rPr>
          <w:color w:val="231F1F"/>
          <w:w w:val="110"/>
          <w:position w:val="1"/>
          <w:sz w:val="20"/>
        </w:rPr>
        <w:t>today:</w:t>
      </w:r>
      <w:r>
        <w:rPr>
          <w:color w:val="231F1F"/>
          <w:spacing w:val="-10"/>
          <w:w w:val="110"/>
          <w:position w:val="1"/>
          <w:sz w:val="20"/>
        </w:rPr>
        <w:t> </w:t>
      </w:r>
      <w:r>
        <w:rPr>
          <w:color w:val="231F1F"/>
          <w:w w:val="110"/>
          <w:position w:val="1"/>
          <w:sz w:val="20"/>
        </w:rPr>
        <w:t>Living </w:t>
      </w:r>
      <w:r>
        <w:rPr>
          <w:color w:val="231F1F"/>
          <w:spacing w:val="-2"/>
          <w:w w:val="110"/>
          <w:sz w:val="20"/>
        </w:rPr>
        <w:t>in</w:t>
      </w:r>
      <w:r>
        <w:rPr>
          <w:color w:val="231F1F"/>
          <w:spacing w:val="-8"/>
          <w:w w:val="110"/>
          <w:sz w:val="20"/>
        </w:rPr>
        <w:t> </w:t>
      </w:r>
      <w:r>
        <w:rPr>
          <w:color w:val="231F1F"/>
          <w:spacing w:val="-2"/>
          <w:w w:val="110"/>
          <w:sz w:val="20"/>
        </w:rPr>
        <w:t>the</w:t>
      </w:r>
      <w:r>
        <w:rPr>
          <w:color w:val="231F1F"/>
          <w:spacing w:val="-8"/>
          <w:w w:val="110"/>
          <w:sz w:val="20"/>
        </w:rPr>
        <w:t> </w:t>
      </w:r>
      <w:r>
        <w:rPr>
          <w:color w:val="231F1F"/>
          <w:spacing w:val="-2"/>
          <w:w w:val="110"/>
          <w:sz w:val="20"/>
        </w:rPr>
        <w:t>shadow</w:t>
      </w:r>
      <w:r>
        <w:rPr>
          <w:color w:val="231F1F"/>
          <w:spacing w:val="-7"/>
          <w:w w:val="110"/>
          <w:sz w:val="20"/>
        </w:rPr>
        <w:t> </w:t>
      </w:r>
      <w:r>
        <w:rPr>
          <w:color w:val="231F1F"/>
          <w:spacing w:val="-2"/>
          <w:w w:val="110"/>
          <w:sz w:val="20"/>
        </w:rPr>
        <w:t>of</w:t>
      </w:r>
      <w:r>
        <w:rPr>
          <w:color w:val="231F1F"/>
          <w:spacing w:val="-6"/>
          <w:w w:val="110"/>
          <w:sz w:val="20"/>
        </w:rPr>
        <w:t> </w:t>
      </w:r>
      <w:r>
        <w:rPr>
          <w:color w:val="231F1F"/>
          <w:spacing w:val="-2"/>
          <w:w w:val="110"/>
          <w:sz w:val="20"/>
        </w:rPr>
        <w:t>the</w:t>
      </w:r>
      <w:r>
        <w:rPr>
          <w:color w:val="231F1F"/>
          <w:spacing w:val="-8"/>
          <w:w w:val="110"/>
          <w:sz w:val="20"/>
        </w:rPr>
        <w:t> </w:t>
      </w:r>
      <w:r>
        <w:rPr>
          <w:color w:val="231F1F"/>
          <w:spacing w:val="-2"/>
          <w:w w:val="110"/>
          <w:sz w:val="20"/>
        </w:rPr>
        <w:t>Taj</w:t>
      </w:r>
      <w:r>
        <w:rPr>
          <w:color w:val="231F1F"/>
          <w:spacing w:val="-6"/>
          <w:w w:val="110"/>
          <w:sz w:val="20"/>
        </w:rPr>
        <w:t> </w:t>
      </w:r>
      <w:r>
        <w:rPr>
          <w:color w:val="231F1F"/>
          <w:spacing w:val="-2"/>
          <w:w w:val="110"/>
          <w:sz w:val="20"/>
        </w:rPr>
        <w:t>Mahal.En</w:t>
      </w:r>
      <w:r>
        <w:rPr>
          <w:color w:val="231F1F"/>
          <w:spacing w:val="-7"/>
          <w:w w:val="110"/>
          <w:sz w:val="20"/>
        </w:rPr>
        <w:t> </w:t>
      </w:r>
      <w:r>
        <w:rPr>
          <w:color w:val="231F1F"/>
          <w:spacing w:val="-2"/>
          <w:w w:val="110"/>
          <w:sz w:val="20"/>
        </w:rPr>
        <w:t>B-Lyncvh</w:t>
      </w:r>
      <w:r>
        <w:rPr>
          <w:color w:val="231F1F"/>
          <w:spacing w:val="-6"/>
          <w:w w:val="110"/>
          <w:sz w:val="20"/>
        </w:rPr>
        <w:t> </w:t>
      </w:r>
      <w:r>
        <w:rPr>
          <w:color w:val="231F1F"/>
          <w:spacing w:val="-2"/>
          <w:w w:val="110"/>
          <w:sz w:val="20"/>
        </w:rPr>
        <w:t>C,</w:t>
      </w:r>
      <w:r>
        <w:rPr>
          <w:color w:val="231F1F"/>
          <w:spacing w:val="-8"/>
          <w:w w:val="110"/>
          <w:sz w:val="20"/>
        </w:rPr>
        <w:t> </w:t>
      </w:r>
      <w:r>
        <w:rPr>
          <w:color w:val="231F1F"/>
          <w:spacing w:val="-2"/>
          <w:w w:val="110"/>
          <w:sz w:val="20"/>
        </w:rPr>
        <w:t>Keith</w:t>
      </w:r>
      <w:r>
        <w:rPr>
          <w:color w:val="231F1F"/>
          <w:spacing w:val="-6"/>
          <w:w w:val="110"/>
          <w:sz w:val="20"/>
        </w:rPr>
        <w:t> </w:t>
      </w:r>
      <w:r>
        <w:rPr>
          <w:color w:val="231F1F"/>
          <w:spacing w:val="-2"/>
          <w:w w:val="110"/>
          <w:sz w:val="20"/>
        </w:rPr>
        <w:t>LG,</w:t>
      </w:r>
      <w:r>
        <w:rPr>
          <w:color w:val="231F1F"/>
          <w:spacing w:val="-8"/>
          <w:w w:val="110"/>
          <w:sz w:val="20"/>
        </w:rPr>
        <w:t> </w:t>
      </w:r>
      <w:r>
        <w:rPr>
          <w:color w:val="231F1F"/>
          <w:spacing w:val="-2"/>
          <w:w w:val="110"/>
          <w:sz w:val="20"/>
        </w:rPr>
        <w:t>Lanlonde</w:t>
      </w:r>
      <w:r>
        <w:rPr>
          <w:color w:val="231F1F"/>
          <w:spacing w:val="-8"/>
          <w:w w:val="110"/>
          <w:sz w:val="20"/>
        </w:rPr>
        <w:t> </w:t>
      </w:r>
      <w:r>
        <w:rPr>
          <w:color w:val="231F1F"/>
          <w:spacing w:val="-2"/>
          <w:w w:val="110"/>
          <w:sz w:val="20"/>
        </w:rPr>
        <w:t>AB,Karoshi</w:t>
      </w:r>
      <w:r>
        <w:rPr>
          <w:color w:val="231F1F"/>
          <w:spacing w:val="-6"/>
          <w:w w:val="110"/>
          <w:sz w:val="20"/>
        </w:rPr>
        <w:t> </w:t>
      </w:r>
      <w:r>
        <w:rPr>
          <w:color w:val="231F1F"/>
          <w:spacing w:val="-2"/>
          <w:w w:val="110"/>
          <w:sz w:val="20"/>
        </w:rPr>
        <w:t>M</w:t>
      </w:r>
      <w:r>
        <w:rPr>
          <w:color w:val="231F1F"/>
          <w:spacing w:val="-7"/>
          <w:w w:val="110"/>
          <w:sz w:val="20"/>
        </w:rPr>
        <w:t> </w:t>
      </w:r>
      <w:r>
        <w:rPr>
          <w:color w:val="231F1F"/>
          <w:spacing w:val="-2"/>
          <w:w w:val="110"/>
          <w:sz w:val="20"/>
        </w:rPr>
        <w:t>(eds).</w:t>
      </w:r>
      <w:r>
        <w:rPr>
          <w:color w:val="231F1F"/>
          <w:spacing w:val="-8"/>
          <w:w w:val="110"/>
          <w:sz w:val="20"/>
        </w:rPr>
        <w:t> </w:t>
      </w:r>
      <w:r>
        <w:rPr>
          <w:color w:val="231F1F"/>
          <w:spacing w:val="-2"/>
          <w:w w:val="110"/>
          <w:sz w:val="20"/>
        </w:rPr>
        <w:t>A textbook</w:t>
      </w:r>
      <w:r>
        <w:rPr>
          <w:color w:val="231F1F"/>
          <w:spacing w:val="-5"/>
          <w:w w:val="110"/>
          <w:sz w:val="20"/>
        </w:rPr>
        <w:t> </w:t>
      </w:r>
      <w:r>
        <w:rPr>
          <w:color w:val="231F1F"/>
          <w:spacing w:val="-2"/>
          <w:w w:val="110"/>
          <w:sz w:val="20"/>
        </w:rPr>
        <w:t>of</w:t>
      </w:r>
      <w:r>
        <w:rPr>
          <w:color w:val="231F1F"/>
          <w:spacing w:val="-5"/>
          <w:w w:val="110"/>
          <w:sz w:val="20"/>
        </w:rPr>
        <w:t> </w:t>
      </w:r>
      <w:r>
        <w:rPr>
          <w:color w:val="231F1F"/>
          <w:spacing w:val="-2"/>
          <w:w w:val="110"/>
          <w:sz w:val="20"/>
        </w:rPr>
        <w:t>postpartum</w:t>
      </w:r>
      <w:r>
        <w:rPr>
          <w:color w:val="231F1F"/>
          <w:spacing w:val="-5"/>
          <w:w w:val="110"/>
          <w:sz w:val="20"/>
        </w:rPr>
        <w:t> </w:t>
      </w:r>
      <w:r>
        <w:rPr>
          <w:color w:val="231F1F"/>
          <w:spacing w:val="-2"/>
          <w:w w:val="110"/>
          <w:sz w:val="20"/>
        </w:rPr>
        <w:t>hemorrhage:</w:t>
      </w:r>
      <w:r>
        <w:rPr>
          <w:color w:val="231F1F"/>
          <w:spacing w:val="-5"/>
          <w:w w:val="110"/>
          <w:sz w:val="20"/>
        </w:rPr>
        <w:t> </w:t>
      </w:r>
      <w:r>
        <w:rPr>
          <w:color w:val="231F1F"/>
          <w:spacing w:val="-2"/>
          <w:w w:val="110"/>
          <w:sz w:val="20"/>
        </w:rPr>
        <w:t>A</w:t>
      </w:r>
      <w:r>
        <w:rPr>
          <w:color w:val="231F1F"/>
          <w:spacing w:val="-5"/>
          <w:w w:val="110"/>
          <w:sz w:val="20"/>
        </w:rPr>
        <w:t> </w:t>
      </w:r>
      <w:r>
        <w:rPr>
          <w:color w:val="231F1F"/>
          <w:spacing w:val="-2"/>
          <w:w w:val="110"/>
          <w:sz w:val="20"/>
        </w:rPr>
        <w:t>comprehensive</w:t>
      </w:r>
      <w:r>
        <w:rPr>
          <w:color w:val="231F1F"/>
          <w:spacing w:val="-6"/>
          <w:w w:val="110"/>
          <w:sz w:val="20"/>
        </w:rPr>
        <w:t> </w:t>
      </w:r>
      <w:r>
        <w:rPr>
          <w:color w:val="231F1F"/>
          <w:spacing w:val="-2"/>
          <w:w w:val="110"/>
          <w:sz w:val="20"/>
        </w:rPr>
        <w:t>guide</w:t>
      </w:r>
      <w:r>
        <w:rPr>
          <w:color w:val="231F1F"/>
          <w:spacing w:val="-5"/>
          <w:w w:val="110"/>
          <w:sz w:val="20"/>
        </w:rPr>
        <w:t> </w:t>
      </w:r>
      <w:r>
        <w:rPr>
          <w:color w:val="231F1F"/>
          <w:spacing w:val="-2"/>
          <w:w w:val="110"/>
          <w:sz w:val="20"/>
        </w:rPr>
        <w:t>to</w:t>
      </w:r>
      <w:r>
        <w:rPr>
          <w:color w:val="231F1F"/>
          <w:spacing w:val="-5"/>
          <w:w w:val="110"/>
          <w:sz w:val="20"/>
        </w:rPr>
        <w:t> </w:t>
      </w:r>
      <w:r>
        <w:rPr>
          <w:color w:val="231F1F"/>
          <w:spacing w:val="-2"/>
          <w:w w:val="110"/>
          <w:sz w:val="20"/>
        </w:rPr>
        <w:t>evaluation,</w:t>
      </w:r>
      <w:r>
        <w:rPr>
          <w:color w:val="231F1F"/>
          <w:spacing w:val="-5"/>
          <w:w w:val="110"/>
          <w:sz w:val="20"/>
        </w:rPr>
        <w:t> </w:t>
      </w:r>
      <w:r>
        <w:rPr>
          <w:color w:val="231F1F"/>
          <w:spacing w:val="-2"/>
          <w:w w:val="110"/>
          <w:sz w:val="20"/>
        </w:rPr>
        <w:t>management</w:t>
      </w:r>
      <w:r>
        <w:rPr>
          <w:color w:val="231F1F"/>
          <w:spacing w:val="-4"/>
          <w:w w:val="110"/>
          <w:sz w:val="20"/>
        </w:rPr>
        <w:t> </w:t>
      </w:r>
      <w:r>
        <w:rPr>
          <w:color w:val="231F1F"/>
          <w:spacing w:val="-2"/>
          <w:w w:val="110"/>
          <w:sz w:val="20"/>
        </w:rPr>
        <w:t>and </w:t>
      </w:r>
      <w:r>
        <w:rPr>
          <w:color w:val="231F1F"/>
          <w:w w:val="110"/>
          <w:sz w:val="20"/>
        </w:rPr>
        <w:t>surgical intervention. Sapiens Publishing 2006;2-10.</w:t>
      </w:r>
    </w:p>
    <w:p>
      <w:pPr>
        <w:pStyle w:val="ListParagraph"/>
        <w:numPr>
          <w:ilvl w:val="0"/>
          <w:numId w:val="109"/>
        </w:numPr>
        <w:tabs>
          <w:tab w:pos="792" w:val="left" w:leader="none"/>
          <w:tab w:pos="797" w:val="left" w:leader="none"/>
        </w:tabs>
        <w:spacing w:line="218" w:lineRule="auto" w:before="163" w:after="0"/>
        <w:ind w:left="797" w:right="123" w:hanging="525"/>
        <w:jc w:val="both"/>
        <w:rPr>
          <w:sz w:val="20"/>
        </w:rPr>
      </w:pPr>
      <w:r>
        <w:rPr>
          <w:color w:val="231F1F"/>
          <w:w w:val="105"/>
          <w:position w:val="1"/>
          <w:sz w:val="20"/>
        </w:rPr>
        <w:t>Elbourne</w:t>
      </w:r>
      <w:r>
        <w:rPr>
          <w:color w:val="231F1F"/>
          <w:spacing w:val="24"/>
          <w:w w:val="105"/>
          <w:position w:val="1"/>
          <w:sz w:val="20"/>
        </w:rPr>
        <w:t> </w:t>
      </w:r>
      <w:r>
        <w:rPr>
          <w:color w:val="231F1F"/>
          <w:w w:val="105"/>
          <w:position w:val="1"/>
          <w:sz w:val="20"/>
        </w:rPr>
        <w:t>D,</w:t>
      </w:r>
      <w:r>
        <w:rPr>
          <w:color w:val="231F1F"/>
          <w:spacing w:val="21"/>
          <w:w w:val="105"/>
          <w:position w:val="1"/>
          <w:sz w:val="20"/>
        </w:rPr>
        <w:t> </w:t>
      </w:r>
      <w:r>
        <w:rPr>
          <w:color w:val="231F1F"/>
          <w:w w:val="105"/>
          <w:position w:val="1"/>
          <w:sz w:val="20"/>
        </w:rPr>
        <w:t>Prendiville</w:t>
      </w:r>
      <w:r>
        <w:rPr>
          <w:color w:val="231F1F"/>
          <w:spacing w:val="20"/>
          <w:w w:val="105"/>
          <w:position w:val="1"/>
          <w:sz w:val="20"/>
        </w:rPr>
        <w:t> </w:t>
      </w:r>
      <w:r>
        <w:rPr>
          <w:color w:val="231F1F"/>
          <w:w w:val="105"/>
          <w:position w:val="1"/>
          <w:sz w:val="20"/>
        </w:rPr>
        <w:t>WJ,</w:t>
      </w:r>
      <w:r>
        <w:rPr>
          <w:color w:val="231F1F"/>
          <w:spacing w:val="21"/>
          <w:w w:val="105"/>
          <w:position w:val="1"/>
          <w:sz w:val="20"/>
        </w:rPr>
        <w:t> </w:t>
      </w:r>
      <w:r>
        <w:rPr>
          <w:color w:val="231F1F"/>
          <w:w w:val="105"/>
          <w:position w:val="1"/>
          <w:sz w:val="20"/>
        </w:rPr>
        <w:t>Carroli</w:t>
      </w:r>
      <w:r>
        <w:rPr>
          <w:color w:val="231F1F"/>
          <w:spacing w:val="24"/>
          <w:w w:val="105"/>
          <w:position w:val="1"/>
          <w:sz w:val="20"/>
        </w:rPr>
        <w:t> </w:t>
      </w:r>
      <w:r>
        <w:rPr>
          <w:color w:val="231F1F"/>
          <w:w w:val="105"/>
          <w:position w:val="1"/>
          <w:sz w:val="20"/>
        </w:rPr>
        <w:t>G, Wood</w:t>
      </w:r>
      <w:r>
        <w:rPr>
          <w:color w:val="231F1F"/>
          <w:spacing w:val="24"/>
          <w:w w:val="105"/>
          <w:position w:val="1"/>
          <w:sz w:val="20"/>
        </w:rPr>
        <w:t> </w:t>
      </w:r>
      <w:r>
        <w:rPr>
          <w:color w:val="231F1F"/>
          <w:w w:val="105"/>
          <w:position w:val="1"/>
          <w:sz w:val="20"/>
        </w:rPr>
        <w:t>J,</w:t>
      </w:r>
      <w:r>
        <w:rPr>
          <w:color w:val="231F1F"/>
          <w:spacing w:val="21"/>
          <w:w w:val="105"/>
          <w:position w:val="1"/>
          <w:sz w:val="20"/>
        </w:rPr>
        <w:t> </w:t>
      </w:r>
      <w:r>
        <w:rPr>
          <w:color w:val="231F1F"/>
          <w:w w:val="105"/>
          <w:position w:val="1"/>
          <w:sz w:val="20"/>
        </w:rPr>
        <w:t>McDonald</w:t>
      </w:r>
      <w:r>
        <w:rPr>
          <w:color w:val="231F1F"/>
          <w:spacing w:val="24"/>
          <w:w w:val="105"/>
          <w:position w:val="1"/>
          <w:sz w:val="20"/>
        </w:rPr>
        <w:t> </w:t>
      </w:r>
      <w:r>
        <w:rPr>
          <w:color w:val="231F1F"/>
          <w:w w:val="105"/>
          <w:position w:val="1"/>
          <w:sz w:val="20"/>
        </w:rPr>
        <w:t>S.</w:t>
      </w:r>
      <w:r>
        <w:rPr>
          <w:color w:val="231F1F"/>
          <w:spacing w:val="21"/>
          <w:w w:val="105"/>
          <w:position w:val="1"/>
          <w:sz w:val="20"/>
        </w:rPr>
        <w:t> </w:t>
      </w:r>
      <w:r>
        <w:rPr>
          <w:color w:val="231F1F"/>
          <w:w w:val="105"/>
          <w:position w:val="1"/>
          <w:sz w:val="20"/>
        </w:rPr>
        <w:t>Prophylactic</w:t>
      </w:r>
      <w:r>
        <w:rPr>
          <w:color w:val="231F1F"/>
          <w:spacing w:val="24"/>
          <w:w w:val="105"/>
          <w:position w:val="1"/>
          <w:sz w:val="20"/>
        </w:rPr>
        <w:t> </w:t>
      </w:r>
      <w:r>
        <w:rPr>
          <w:color w:val="231F1F"/>
          <w:w w:val="105"/>
          <w:position w:val="1"/>
          <w:sz w:val="20"/>
        </w:rPr>
        <w:t>use</w:t>
      </w:r>
      <w:r>
        <w:rPr>
          <w:color w:val="231F1F"/>
          <w:spacing w:val="24"/>
          <w:w w:val="105"/>
          <w:position w:val="1"/>
          <w:sz w:val="20"/>
        </w:rPr>
        <w:t> </w:t>
      </w:r>
      <w:r>
        <w:rPr>
          <w:color w:val="231F1F"/>
          <w:w w:val="105"/>
          <w:position w:val="1"/>
          <w:sz w:val="20"/>
        </w:rPr>
        <w:t>of</w:t>
      </w:r>
      <w:r>
        <w:rPr>
          <w:color w:val="231F1F"/>
          <w:spacing w:val="24"/>
          <w:w w:val="105"/>
          <w:position w:val="1"/>
          <w:sz w:val="20"/>
        </w:rPr>
        <w:t> </w:t>
      </w:r>
      <w:r>
        <w:rPr>
          <w:color w:val="231F1F"/>
          <w:w w:val="105"/>
          <w:position w:val="1"/>
          <w:sz w:val="20"/>
        </w:rPr>
        <w:t>oxytocin </w:t>
      </w:r>
      <w:r>
        <w:rPr>
          <w:color w:val="231F1F"/>
          <w:w w:val="105"/>
          <w:sz w:val="20"/>
        </w:rPr>
        <w:t>in</w:t>
      </w:r>
      <w:r>
        <w:rPr>
          <w:color w:val="231F1F"/>
          <w:w w:val="105"/>
          <w:sz w:val="20"/>
        </w:rPr>
        <w:t> the</w:t>
      </w:r>
      <w:r>
        <w:rPr>
          <w:color w:val="231F1F"/>
          <w:w w:val="105"/>
          <w:sz w:val="20"/>
        </w:rPr>
        <w:t> third</w:t>
      </w:r>
      <w:r>
        <w:rPr>
          <w:color w:val="231F1F"/>
          <w:w w:val="105"/>
          <w:sz w:val="20"/>
        </w:rPr>
        <w:t> stage</w:t>
      </w:r>
      <w:r>
        <w:rPr>
          <w:color w:val="231F1F"/>
          <w:w w:val="105"/>
          <w:sz w:val="20"/>
        </w:rPr>
        <w:t> of</w:t>
      </w:r>
      <w:r>
        <w:rPr>
          <w:color w:val="231F1F"/>
          <w:w w:val="105"/>
          <w:sz w:val="20"/>
        </w:rPr>
        <w:t> labour.</w:t>
      </w:r>
      <w:r>
        <w:rPr>
          <w:color w:val="231F1F"/>
          <w:w w:val="105"/>
          <w:sz w:val="20"/>
        </w:rPr>
        <w:t> (Cochrane</w:t>
      </w:r>
      <w:r>
        <w:rPr>
          <w:color w:val="231F1F"/>
          <w:w w:val="105"/>
          <w:sz w:val="20"/>
        </w:rPr>
        <w:t> Review).</w:t>
      </w:r>
      <w:r>
        <w:rPr>
          <w:color w:val="231F1F"/>
          <w:w w:val="105"/>
          <w:sz w:val="20"/>
        </w:rPr>
        <w:t> En:</w:t>
      </w:r>
      <w:r>
        <w:rPr>
          <w:color w:val="231F1F"/>
          <w:w w:val="105"/>
          <w:sz w:val="20"/>
        </w:rPr>
        <w:t> Cochrane</w:t>
      </w:r>
      <w:r>
        <w:rPr>
          <w:color w:val="231F1F"/>
          <w:w w:val="105"/>
          <w:sz w:val="20"/>
        </w:rPr>
        <w:t> Database</w:t>
      </w:r>
      <w:r>
        <w:rPr>
          <w:color w:val="231F1F"/>
          <w:w w:val="105"/>
          <w:sz w:val="20"/>
        </w:rPr>
        <w:t> of</w:t>
      </w:r>
      <w:r>
        <w:rPr>
          <w:color w:val="231F1F"/>
          <w:w w:val="105"/>
          <w:sz w:val="20"/>
        </w:rPr>
        <w:t> Systematic Reviews,Issue 2 2005;Oxford: Update Software.</w:t>
      </w:r>
    </w:p>
    <w:p>
      <w:pPr>
        <w:pStyle w:val="ListParagraph"/>
        <w:numPr>
          <w:ilvl w:val="0"/>
          <w:numId w:val="109"/>
        </w:numPr>
        <w:tabs>
          <w:tab w:pos="792" w:val="left" w:leader="none"/>
          <w:tab w:pos="797" w:val="left" w:leader="none"/>
        </w:tabs>
        <w:spacing w:line="220" w:lineRule="auto" w:before="162" w:after="0"/>
        <w:ind w:left="797" w:right="113" w:hanging="505"/>
        <w:jc w:val="both"/>
        <w:rPr>
          <w:sz w:val="20"/>
        </w:rPr>
      </w:pPr>
      <w:r>
        <w:rPr>
          <w:color w:val="231F1F"/>
          <w:w w:val="105"/>
          <w:position w:val="1"/>
          <w:sz w:val="20"/>
        </w:rPr>
        <w:t>McDonald S, Abbott JM, Higgins SP. Prophylactic ergometrine-oxytocin versus oxytocin for </w:t>
      </w:r>
      <w:r>
        <w:rPr>
          <w:color w:val="231F1F"/>
          <w:w w:val="105"/>
          <w:sz w:val="20"/>
        </w:rPr>
        <w:t>the third stage of labour. (Cochrane Review). En: Cochrane Database of Systematic Reviews, Issue 2. Oxford: Update Software 2004.</w:t>
      </w:r>
    </w:p>
    <w:p>
      <w:pPr>
        <w:pStyle w:val="ListParagraph"/>
        <w:numPr>
          <w:ilvl w:val="0"/>
          <w:numId w:val="109"/>
        </w:numPr>
        <w:tabs>
          <w:tab w:pos="791" w:val="left" w:leader="none"/>
          <w:tab w:pos="796" w:val="left" w:leader="none"/>
        </w:tabs>
        <w:spacing w:line="211" w:lineRule="auto" w:before="169" w:after="0"/>
        <w:ind w:left="796" w:right="168" w:hanging="505"/>
        <w:jc w:val="both"/>
        <w:rPr>
          <w:sz w:val="20"/>
        </w:rPr>
      </w:pPr>
      <w:r>
        <w:rPr>
          <w:color w:val="231F1F"/>
          <w:spacing w:val="-2"/>
          <w:w w:val="110"/>
          <w:position w:val="1"/>
          <w:sz w:val="20"/>
        </w:rPr>
        <w:t>Reddy</w:t>
      </w:r>
      <w:r>
        <w:rPr>
          <w:color w:val="231F1F"/>
          <w:spacing w:val="-11"/>
          <w:w w:val="110"/>
          <w:position w:val="1"/>
          <w:sz w:val="20"/>
        </w:rPr>
        <w:t> </w:t>
      </w:r>
      <w:r>
        <w:rPr>
          <w:color w:val="231F1F"/>
          <w:spacing w:val="-2"/>
          <w:w w:val="110"/>
          <w:position w:val="1"/>
          <w:sz w:val="20"/>
        </w:rPr>
        <w:t>VV,</w:t>
      </w:r>
      <w:r>
        <w:rPr>
          <w:color w:val="231F1F"/>
          <w:spacing w:val="-11"/>
          <w:w w:val="110"/>
          <w:position w:val="1"/>
          <w:sz w:val="20"/>
        </w:rPr>
        <w:t> </w:t>
      </w:r>
      <w:r>
        <w:rPr>
          <w:color w:val="231F1F"/>
          <w:spacing w:val="-2"/>
          <w:w w:val="110"/>
          <w:position w:val="1"/>
          <w:sz w:val="20"/>
        </w:rPr>
        <w:t>Carey</w:t>
      </w:r>
      <w:r>
        <w:rPr>
          <w:color w:val="231F1F"/>
          <w:spacing w:val="-11"/>
          <w:w w:val="110"/>
          <w:position w:val="1"/>
          <w:sz w:val="20"/>
        </w:rPr>
        <w:t> </w:t>
      </w:r>
      <w:r>
        <w:rPr>
          <w:color w:val="231F1F"/>
          <w:spacing w:val="-2"/>
          <w:w w:val="110"/>
          <w:position w:val="1"/>
          <w:sz w:val="20"/>
        </w:rPr>
        <w:t>JC.</w:t>
      </w:r>
      <w:r>
        <w:rPr>
          <w:color w:val="231F1F"/>
          <w:spacing w:val="-11"/>
          <w:w w:val="110"/>
          <w:position w:val="1"/>
          <w:sz w:val="20"/>
        </w:rPr>
        <w:t> </w:t>
      </w:r>
      <w:r>
        <w:rPr>
          <w:color w:val="231F1F"/>
          <w:spacing w:val="-2"/>
          <w:w w:val="110"/>
          <w:position w:val="1"/>
          <w:sz w:val="20"/>
        </w:rPr>
        <w:t>Effect</w:t>
      </w:r>
      <w:r>
        <w:rPr>
          <w:color w:val="231F1F"/>
          <w:spacing w:val="-11"/>
          <w:w w:val="110"/>
          <w:position w:val="1"/>
          <w:sz w:val="20"/>
        </w:rPr>
        <w:t> </w:t>
      </w:r>
      <w:r>
        <w:rPr>
          <w:color w:val="231F1F"/>
          <w:spacing w:val="-2"/>
          <w:w w:val="110"/>
          <w:position w:val="1"/>
          <w:sz w:val="20"/>
        </w:rPr>
        <w:t>of</w:t>
      </w:r>
      <w:r>
        <w:rPr>
          <w:color w:val="231F1F"/>
          <w:spacing w:val="-11"/>
          <w:w w:val="110"/>
          <w:position w:val="1"/>
          <w:sz w:val="20"/>
        </w:rPr>
        <w:t> </w:t>
      </w:r>
      <w:r>
        <w:rPr>
          <w:color w:val="231F1F"/>
          <w:spacing w:val="-2"/>
          <w:w w:val="110"/>
          <w:position w:val="1"/>
          <w:sz w:val="20"/>
        </w:rPr>
        <w:t>umbilical</w:t>
      </w:r>
      <w:r>
        <w:rPr>
          <w:color w:val="231F1F"/>
          <w:spacing w:val="-11"/>
          <w:w w:val="110"/>
          <w:position w:val="1"/>
          <w:sz w:val="20"/>
        </w:rPr>
        <w:t> </w:t>
      </w:r>
      <w:r>
        <w:rPr>
          <w:color w:val="231F1F"/>
          <w:spacing w:val="-2"/>
          <w:w w:val="110"/>
          <w:position w:val="1"/>
          <w:sz w:val="20"/>
        </w:rPr>
        <w:t>vein</w:t>
      </w:r>
      <w:r>
        <w:rPr>
          <w:color w:val="231F1F"/>
          <w:spacing w:val="-11"/>
          <w:w w:val="110"/>
          <w:position w:val="1"/>
          <w:sz w:val="20"/>
        </w:rPr>
        <w:t> </w:t>
      </w:r>
      <w:r>
        <w:rPr>
          <w:color w:val="231F1F"/>
          <w:spacing w:val="-2"/>
          <w:w w:val="110"/>
          <w:position w:val="1"/>
          <w:sz w:val="20"/>
        </w:rPr>
        <w:t>oxytocin</w:t>
      </w:r>
      <w:r>
        <w:rPr>
          <w:color w:val="231F1F"/>
          <w:spacing w:val="-11"/>
          <w:w w:val="110"/>
          <w:position w:val="1"/>
          <w:sz w:val="20"/>
        </w:rPr>
        <w:t> </w:t>
      </w:r>
      <w:r>
        <w:rPr>
          <w:color w:val="231F1F"/>
          <w:spacing w:val="-2"/>
          <w:w w:val="110"/>
          <w:position w:val="1"/>
          <w:sz w:val="20"/>
        </w:rPr>
        <w:t>on</w:t>
      </w:r>
      <w:r>
        <w:rPr>
          <w:color w:val="231F1F"/>
          <w:spacing w:val="-11"/>
          <w:w w:val="110"/>
          <w:position w:val="1"/>
          <w:sz w:val="20"/>
        </w:rPr>
        <w:t> </w:t>
      </w:r>
      <w:r>
        <w:rPr>
          <w:color w:val="231F1F"/>
          <w:spacing w:val="-2"/>
          <w:w w:val="110"/>
          <w:position w:val="1"/>
          <w:sz w:val="20"/>
        </w:rPr>
        <w:t>puerperal</w:t>
      </w:r>
      <w:r>
        <w:rPr>
          <w:color w:val="231F1F"/>
          <w:spacing w:val="-9"/>
          <w:w w:val="110"/>
          <w:position w:val="1"/>
          <w:sz w:val="20"/>
        </w:rPr>
        <w:t> </w:t>
      </w:r>
      <w:r>
        <w:rPr>
          <w:color w:val="231F1F"/>
          <w:spacing w:val="-2"/>
          <w:w w:val="110"/>
          <w:position w:val="1"/>
          <w:sz w:val="20"/>
        </w:rPr>
        <w:t>blood</w:t>
      </w:r>
      <w:r>
        <w:rPr>
          <w:color w:val="231F1F"/>
          <w:spacing w:val="-10"/>
          <w:w w:val="110"/>
          <w:position w:val="1"/>
          <w:sz w:val="20"/>
        </w:rPr>
        <w:t> </w:t>
      </w:r>
      <w:r>
        <w:rPr>
          <w:color w:val="231F1F"/>
          <w:spacing w:val="-2"/>
          <w:w w:val="110"/>
          <w:position w:val="1"/>
          <w:sz w:val="20"/>
        </w:rPr>
        <w:t>loss</w:t>
      </w:r>
      <w:r>
        <w:rPr>
          <w:color w:val="231F1F"/>
          <w:spacing w:val="-10"/>
          <w:w w:val="110"/>
          <w:position w:val="1"/>
          <w:sz w:val="20"/>
        </w:rPr>
        <w:t> </w:t>
      </w:r>
      <w:r>
        <w:rPr>
          <w:color w:val="231F1F"/>
          <w:spacing w:val="-2"/>
          <w:w w:val="110"/>
          <w:position w:val="1"/>
          <w:sz w:val="20"/>
        </w:rPr>
        <w:t>and</w:t>
      </w:r>
      <w:r>
        <w:rPr>
          <w:color w:val="231F1F"/>
          <w:spacing w:val="-10"/>
          <w:w w:val="110"/>
          <w:position w:val="1"/>
          <w:sz w:val="20"/>
        </w:rPr>
        <w:t> </w:t>
      </w:r>
      <w:r>
        <w:rPr>
          <w:color w:val="231F1F"/>
          <w:spacing w:val="-2"/>
          <w:w w:val="110"/>
          <w:position w:val="1"/>
          <w:sz w:val="20"/>
        </w:rPr>
        <w:t>length</w:t>
      </w:r>
      <w:r>
        <w:rPr>
          <w:color w:val="231F1F"/>
          <w:spacing w:val="-10"/>
          <w:w w:val="110"/>
          <w:position w:val="1"/>
          <w:sz w:val="20"/>
        </w:rPr>
        <w:t> </w:t>
      </w:r>
      <w:r>
        <w:rPr>
          <w:color w:val="231F1F"/>
          <w:spacing w:val="-2"/>
          <w:w w:val="110"/>
          <w:position w:val="1"/>
          <w:sz w:val="20"/>
        </w:rPr>
        <w:t>of </w:t>
      </w:r>
      <w:r>
        <w:rPr>
          <w:color w:val="231F1F"/>
          <w:w w:val="110"/>
          <w:sz w:val="20"/>
        </w:rPr>
        <w:t>the third stage of labor.</w:t>
      </w:r>
      <w:r>
        <w:rPr>
          <w:color w:val="231F1F"/>
          <w:spacing w:val="-11"/>
          <w:w w:val="110"/>
          <w:sz w:val="20"/>
        </w:rPr>
        <w:t> </w:t>
      </w:r>
      <w:r>
        <w:rPr>
          <w:color w:val="231F1F"/>
          <w:w w:val="110"/>
          <w:sz w:val="20"/>
        </w:rPr>
        <w:t>Am J Obstet Gynecol 1989;160(1):206-8.</w:t>
      </w:r>
    </w:p>
    <w:p>
      <w:pPr>
        <w:pStyle w:val="ListParagraph"/>
        <w:numPr>
          <w:ilvl w:val="0"/>
          <w:numId w:val="109"/>
        </w:numPr>
        <w:tabs>
          <w:tab w:pos="792" w:val="left" w:leader="none"/>
          <w:tab w:pos="797" w:val="left" w:leader="none"/>
        </w:tabs>
        <w:spacing w:line="211" w:lineRule="auto" w:before="156" w:after="0"/>
        <w:ind w:left="797" w:right="339" w:hanging="505"/>
        <w:jc w:val="left"/>
        <w:rPr>
          <w:sz w:val="20"/>
        </w:rPr>
      </w:pPr>
      <w:r>
        <w:rPr>
          <w:color w:val="231F1F"/>
          <w:w w:val="105"/>
          <w:position w:val="1"/>
          <w:sz w:val="20"/>
        </w:rPr>
        <w:t>Dahiya</w:t>
      </w:r>
      <w:r>
        <w:rPr>
          <w:color w:val="231F1F"/>
          <w:spacing w:val="-7"/>
          <w:w w:val="105"/>
          <w:position w:val="1"/>
          <w:sz w:val="20"/>
        </w:rPr>
        <w:t> </w:t>
      </w:r>
      <w:r>
        <w:rPr>
          <w:color w:val="231F1F"/>
          <w:w w:val="105"/>
          <w:position w:val="1"/>
          <w:sz w:val="20"/>
        </w:rPr>
        <w:t>P,</w:t>
      </w:r>
      <w:r>
        <w:rPr>
          <w:color w:val="231F1F"/>
          <w:spacing w:val="-8"/>
          <w:w w:val="105"/>
          <w:position w:val="1"/>
          <w:sz w:val="20"/>
        </w:rPr>
        <w:t> </w:t>
      </w:r>
      <w:r>
        <w:rPr>
          <w:color w:val="231F1F"/>
          <w:w w:val="105"/>
          <w:position w:val="1"/>
          <w:sz w:val="20"/>
        </w:rPr>
        <w:t>Puri</w:t>
      </w:r>
      <w:r>
        <w:rPr>
          <w:color w:val="231F1F"/>
          <w:spacing w:val="-6"/>
          <w:w w:val="105"/>
          <w:position w:val="1"/>
          <w:sz w:val="20"/>
        </w:rPr>
        <w:t> </w:t>
      </w:r>
      <w:r>
        <w:rPr>
          <w:color w:val="231F1F"/>
          <w:w w:val="105"/>
          <w:position w:val="1"/>
          <w:sz w:val="20"/>
        </w:rPr>
        <w:t>M,</w:t>
      </w:r>
      <w:r>
        <w:rPr>
          <w:color w:val="231F1F"/>
          <w:spacing w:val="-8"/>
          <w:w w:val="105"/>
          <w:position w:val="1"/>
          <w:sz w:val="20"/>
        </w:rPr>
        <w:t> </w:t>
      </w:r>
      <w:r>
        <w:rPr>
          <w:color w:val="231F1F"/>
          <w:w w:val="105"/>
          <w:position w:val="1"/>
          <w:sz w:val="20"/>
        </w:rPr>
        <w:t>Rathee</w:t>
      </w:r>
      <w:r>
        <w:rPr>
          <w:color w:val="231F1F"/>
          <w:spacing w:val="-7"/>
          <w:w w:val="105"/>
          <w:position w:val="1"/>
          <w:sz w:val="20"/>
        </w:rPr>
        <w:t> </w:t>
      </w:r>
      <w:r>
        <w:rPr>
          <w:color w:val="231F1F"/>
          <w:w w:val="105"/>
          <w:position w:val="1"/>
          <w:sz w:val="20"/>
        </w:rPr>
        <w:t>S.</w:t>
      </w:r>
      <w:r>
        <w:rPr>
          <w:color w:val="231F1F"/>
          <w:spacing w:val="-8"/>
          <w:w w:val="105"/>
          <w:position w:val="1"/>
          <w:sz w:val="20"/>
        </w:rPr>
        <w:t> </w:t>
      </w:r>
      <w:r>
        <w:rPr>
          <w:color w:val="231F1F"/>
          <w:w w:val="105"/>
          <w:position w:val="1"/>
          <w:sz w:val="20"/>
        </w:rPr>
        <w:t>Influence</w:t>
      </w:r>
      <w:r>
        <w:rPr>
          <w:color w:val="231F1F"/>
          <w:spacing w:val="-7"/>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intraumbilical</w:t>
      </w:r>
      <w:r>
        <w:rPr>
          <w:color w:val="231F1F"/>
          <w:spacing w:val="-6"/>
          <w:w w:val="105"/>
          <w:position w:val="1"/>
          <w:sz w:val="20"/>
        </w:rPr>
        <w:t> </w:t>
      </w:r>
      <w:r>
        <w:rPr>
          <w:color w:val="231F1F"/>
          <w:w w:val="105"/>
          <w:position w:val="1"/>
          <w:sz w:val="20"/>
        </w:rPr>
        <w:t>oxytocin</w:t>
      </w:r>
      <w:r>
        <w:rPr>
          <w:color w:val="231F1F"/>
          <w:spacing w:val="-7"/>
          <w:w w:val="105"/>
          <w:position w:val="1"/>
          <w:sz w:val="20"/>
        </w:rPr>
        <w:t> </w:t>
      </w:r>
      <w:r>
        <w:rPr>
          <w:color w:val="231F1F"/>
          <w:w w:val="105"/>
          <w:position w:val="1"/>
          <w:sz w:val="20"/>
        </w:rPr>
        <w:t>on</w:t>
      </w:r>
      <w:r>
        <w:rPr>
          <w:color w:val="231F1F"/>
          <w:spacing w:val="-7"/>
          <w:w w:val="105"/>
          <w:position w:val="1"/>
          <w:sz w:val="20"/>
        </w:rPr>
        <w:t> </w:t>
      </w:r>
      <w:r>
        <w:rPr>
          <w:color w:val="231F1F"/>
          <w:w w:val="105"/>
          <w:position w:val="1"/>
          <w:sz w:val="20"/>
        </w:rPr>
        <w:t>the</w:t>
      </w:r>
      <w:r>
        <w:rPr>
          <w:color w:val="231F1F"/>
          <w:spacing w:val="-7"/>
          <w:w w:val="105"/>
          <w:position w:val="1"/>
          <w:sz w:val="20"/>
        </w:rPr>
        <w:t> </w:t>
      </w:r>
      <w:r>
        <w:rPr>
          <w:color w:val="231F1F"/>
          <w:w w:val="105"/>
          <w:position w:val="1"/>
          <w:sz w:val="20"/>
        </w:rPr>
        <w:t>third</w:t>
      </w:r>
      <w:r>
        <w:rPr>
          <w:color w:val="231F1F"/>
          <w:spacing w:val="-6"/>
          <w:w w:val="105"/>
          <w:position w:val="1"/>
          <w:sz w:val="20"/>
        </w:rPr>
        <w:t> </w:t>
      </w:r>
      <w:r>
        <w:rPr>
          <w:color w:val="231F1F"/>
          <w:w w:val="105"/>
          <w:position w:val="1"/>
          <w:sz w:val="20"/>
        </w:rPr>
        <w:t>stage</w:t>
      </w:r>
      <w:r>
        <w:rPr>
          <w:color w:val="231F1F"/>
          <w:spacing w:val="-7"/>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labour. </w:t>
      </w:r>
      <w:r>
        <w:rPr>
          <w:color w:val="231F1F"/>
          <w:w w:val="105"/>
          <w:sz w:val="20"/>
        </w:rPr>
        <w:t>Indian J Med Sci 1995;49(2):23-7.</w:t>
      </w:r>
    </w:p>
    <w:p>
      <w:pPr>
        <w:pStyle w:val="ListParagraph"/>
        <w:numPr>
          <w:ilvl w:val="0"/>
          <w:numId w:val="109"/>
        </w:numPr>
        <w:tabs>
          <w:tab w:pos="794" w:val="left" w:leader="none"/>
          <w:tab w:pos="796" w:val="left" w:leader="none"/>
        </w:tabs>
        <w:spacing w:line="220" w:lineRule="auto" w:before="164" w:after="0"/>
        <w:ind w:left="796" w:right="206" w:hanging="512"/>
        <w:jc w:val="left"/>
        <w:rPr>
          <w:sz w:val="20"/>
        </w:rPr>
      </w:pPr>
      <w:r>
        <w:rPr>
          <w:color w:val="231F1F"/>
          <w:w w:val="110"/>
          <w:sz w:val="20"/>
        </w:rPr>
        <w:t>Porter</w:t>
      </w:r>
      <w:r>
        <w:rPr>
          <w:color w:val="231F1F"/>
          <w:spacing w:val="-16"/>
          <w:w w:val="110"/>
          <w:sz w:val="20"/>
        </w:rPr>
        <w:t> </w:t>
      </w:r>
      <w:r>
        <w:rPr>
          <w:color w:val="231F1F"/>
          <w:w w:val="110"/>
          <w:sz w:val="20"/>
        </w:rPr>
        <w:t>KB,</w:t>
      </w:r>
      <w:r>
        <w:rPr>
          <w:color w:val="231F1F"/>
          <w:spacing w:val="-16"/>
          <w:w w:val="110"/>
          <w:sz w:val="20"/>
        </w:rPr>
        <w:t> </w:t>
      </w:r>
      <w:r>
        <w:rPr>
          <w:color w:val="231F1F"/>
          <w:w w:val="110"/>
          <w:sz w:val="20"/>
        </w:rPr>
        <w:t>O´Brien</w:t>
      </w:r>
      <w:r>
        <w:rPr>
          <w:color w:val="231F1F"/>
          <w:spacing w:val="-16"/>
          <w:w w:val="110"/>
          <w:sz w:val="20"/>
        </w:rPr>
        <w:t> </w:t>
      </w:r>
      <w:r>
        <w:rPr>
          <w:color w:val="231F1F"/>
          <w:w w:val="110"/>
          <w:sz w:val="20"/>
        </w:rPr>
        <w:t>WF,</w:t>
      </w:r>
      <w:r>
        <w:rPr>
          <w:color w:val="231F1F"/>
          <w:spacing w:val="-15"/>
          <w:w w:val="110"/>
          <w:sz w:val="20"/>
        </w:rPr>
        <w:t> </w:t>
      </w:r>
      <w:r>
        <w:rPr>
          <w:color w:val="231F1F"/>
          <w:w w:val="110"/>
          <w:sz w:val="20"/>
        </w:rPr>
        <w:t>Collins</w:t>
      </w:r>
      <w:r>
        <w:rPr>
          <w:color w:val="231F1F"/>
          <w:spacing w:val="-16"/>
          <w:w w:val="110"/>
          <w:sz w:val="20"/>
        </w:rPr>
        <w:t> </w:t>
      </w:r>
      <w:r>
        <w:rPr>
          <w:color w:val="231F1F"/>
          <w:w w:val="110"/>
          <w:sz w:val="20"/>
        </w:rPr>
        <w:t>MK,</w:t>
      </w:r>
      <w:r>
        <w:rPr>
          <w:color w:val="231F1F"/>
          <w:spacing w:val="-16"/>
          <w:w w:val="110"/>
          <w:sz w:val="20"/>
        </w:rPr>
        <w:t> </w:t>
      </w:r>
      <w:r>
        <w:rPr>
          <w:color w:val="231F1F"/>
          <w:w w:val="110"/>
          <w:sz w:val="20"/>
        </w:rPr>
        <w:t>et</w:t>
      </w:r>
      <w:r>
        <w:rPr>
          <w:color w:val="231F1F"/>
          <w:spacing w:val="-16"/>
          <w:w w:val="110"/>
          <w:sz w:val="20"/>
        </w:rPr>
        <w:t> </w:t>
      </w:r>
      <w:r>
        <w:rPr>
          <w:color w:val="231F1F"/>
          <w:w w:val="110"/>
          <w:sz w:val="20"/>
        </w:rPr>
        <w:t>al.</w:t>
      </w:r>
      <w:r>
        <w:rPr>
          <w:color w:val="231F1F"/>
          <w:spacing w:val="-18"/>
          <w:w w:val="110"/>
          <w:sz w:val="20"/>
        </w:rPr>
        <w:t> </w:t>
      </w:r>
      <w:r>
        <w:rPr>
          <w:color w:val="231F1F"/>
          <w:w w:val="110"/>
          <w:sz w:val="20"/>
        </w:rPr>
        <w:t>A</w:t>
      </w:r>
      <w:r>
        <w:rPr>
          <w:color w:val="231F1F"/>
          <w:spacing w:val="-15"/>
          <w:w w:val="110"/>
          <w:sz w:val="20"/>
        </w:rPr>
        <w:t> </w:t>
      </w:r>
      <w:r>
        <w:rPr>
          <w:color w:val="231F1F"/>
          <w:w w:val="110"/>
          <w:sz w:val="20"/>
        </w:rPr>
        <w:t>randomized</w:t>
      </w:r>
      <w:r>
        <w:rPr>
          <w:color w:val="231F1F"/>
          <w:spacing w:val="-15"/>
          <w:w w:val="110"/>
          <w:sz w:val="20"/>
        </w:rPr>
        <w:t> </w:t>
      </w:r>
      <w:r>
        <w:rPr>
          <w:color w:val="231F1F"/>
          <w:w w:val="110"/>
          <w:sz w:val="20"/>
        </w:rPr>
        <w:t>comparison</w:t>
      </w:r>
      <w:r>
        <w:rPr>
          <w:color w:val="231F1F"/>
          <w:spacing w:val="-15"/>
          <w:w w:val="110"/>
          <w:sz w:val="20"/>
        </w:rPr>
        <w:t> </w:t>
      </w:r>
      <w:r>
        <w:rPr>
          <w:color w:val="231F1F"/>
          <w:w w:val="110"/>
          <w:sz w:val="20"/>
        </w:rPr>
        <w:t>of</w:t>
      </w:r>
      <w:r>
        <w:rPr>
          <w:color w:val="231F1F"/>
          <w:spacing w:val="-15"/>
          <w:w w:val="110"/>
          <w:sz w:val="20"/>
        </w:rPr>
        <w:t> </w:t>
      </w:r>
      <w:r>
        <w:rPr>
          <w:color w:val="231F1F"/>
          <w:w w:val="110"/>
          <w:sz w:val="20"/>
        </w:rPr>
        <w:t>umbilical</w:t>
      </w:r>
      <w:r>
        <w:rPr>
          <w:color w:val="231F1F"/>
          <w:spacing w:val="-14"/>
          <w:w w:val="110"/>
          <w:sz w:val="20"/>
        </w:rPr>
        <w:t> </w:t>
      </w:r>
      <w:r>
        <w:rPr>
          <w:color w:val="231F1F"/>
          <w:w w:val="110"/>
          <w:sz w:val="20"/>
        </w:rPr>
        <w:t>vein</w:t>
      </w:r>
      <w:r>
        <w:rPr>
          <w:color w:val="231F1F"/>
          <w:spacing w:val="-15"/>
          <w:w w:val="110"/>
          <w:sz w:val="20"/>
        </w:rPr>
        <w:t> </w:t>
      </w:r>
      <w:r>
        <w:rPr>
          <w:color w:val="231F1F"/>
          <w:w w:val="110"/>
          <w:sz w:val="20"/>
        </w:rPr>
        <w:t>and intravenous oxytocin during the puerperium. Obstet Gynecol 1991;78(2):254-6.</w:t>
      </w:r>
    </w:p>
    <w:p>
      <w:pPr>
        <w:pStyle w:val="ListParagraph"/>
        <w:numPr>
          <w:ilvl w:val="0"/>
          <w:numId w:val="109"/>
        </w:numPr>
        <w:tabs>
          <w:tab w:pos="792" w:val="left" w:leader="none"/>
          <w:tab w:pos="797" w:val="left" w:leader="none"/>
        </w:tabs>
        <w:spacing w:line="225" w:lineRule="auto" w:before="173" w:after="0"/>
        <w:ind w:left="797" w:right="234" w:hanging="505"/>
        <w:jc w:val="left"/>
        <w:rPr>
          <w:sz w:val="20"/>
        </w:rPr>
      </w:pPr>
      <w:r>
        <w:rPr>
          <w:color w:val="231F1F"/>
          <w:w w:val="105"/>
          <w:sz w:val="20"/>
        </w:rPr>
        <w:t>Kovavisarach</w:t>
      </w:r>
      <w:r>
        <w:rPr>
          <w:color w:val="231F1F"/>
          <w:spacing w:val="-14"/>
          <w:w w:val="105"/>
          <w:sz w:val="20"/>
        </w:rPr>
        <w:t> </w:t>
      </w:r>
      <w:r>
        <w:rPr>
          <w:color w:val="231F1F"/>
          <w:w w:val="105"/>
          <w:sz w:val="20"/>
        </w:rPr>
        <w:t>E,</w:t>
      </w:r>
      <w:r>
        <w:rPr>
          <w:color w:val="231F1F"/>
          <w:spacing w:val="-14"/>
          <w:w w:val="105"/>
          <w:sz w:val="20"/>
        </w:rPr>
        <w:t> </w:t>
      </w:r>
      <w:r>
        <w:rPr>
          <w:color w:val="231F1F"/>
          <w:w w:val="105"/>
          <w:sz w:val="20"/>
        </w:rPr>
        <w:t>Rojsangruang</w:t>
      </w:r>
      <w:r>
        <w:rPr>
          <w:color w:val="231F1F"/>
          <w:spacing w:val="-13"/>
          <w:w w:val="105"/>
          <w:sz w:val="20"/>
        </w:rPr>
        <w:t> </w:t>
      </w:r>
      <w:r>
        <w:rPr>
          <w:color w:val="231F1F"/>
          <w:w w:val="105"/>
          <w:sz w:val="20"/>
        </w:rPr>
        <w:t>S.</w:t>
      </w:r>
      <w:r>
        <w:rPr>
          <w:color w:val="231F1F"/>
          <w:spacing w:val="-14"/>
          <w:w w:val="105"/>
          <w:sz w:val="20"/>
        </w:rPr>
        <w:t> </w:t>
      </w:r>
      <w:r>
        <w:rPr>
          <w:color w:val="231F1F"/>
          <w:w w:val="105"/>
          <w:sz w:val="20"/>
        </w:rPr>
        <w:t>Effect</w:t>
      </w:r>
      <w:r>
        <w:rPr>
          <w:color w:val="231F1F"/>
          <w:spacing w:val="-8"/>
          <w:w w:val="105"/>
          <w:sz w:val="20"/>
        </w:rPr>
        <w:t> </w:t>
      </w:r>
      <w:r>
        <w:rPr>
          <w:color w:val="231F1F"/>
          <w:w w:val="105"/>
          <w:sz w:val="20"/>
        </w:rPr>
        <w:t>of</w:t>
      </w:r>
      <w:r>
        <w:rPr>
          <w:color w:val="231F1F"/>
          <w:spacing w:val="-5"/>
          <w:w w:val="105"/>
          <w:sz w:val="20"/>
        </w:rPr>
        <w:t> </w:t>
      </w:r>
      <w:r>
        <w:rPr>
          <w:color w:val="231F1F"/>
          <w:w w:val="105"/>
          <w:sz w:val="20"/>
        </w:rPr>
        <w:t>umbilical</w:t>
      </w:r>
      <w:r>
        <w:rPr>
          <w:color w:val="231F1F"/>
          <w:spacing w:val="-5"/>
          <w:w w:val="105"/>
          <w:sz w:val="20"/>
        </w:rPr>
        <w:t> </w:t>
      </w:r>
      <w:r>
        <w:rPr>
          <w:color w:val="231F1F"/>
          <w:w w:val="105"/>
          <w:sz w:val="20"/>
        </w:rPr>
        <w:t>vein</w:t>
      </w:r>
      <w:r>
        <w:rPr>
          <w:color w:val="231F1F"/>
          <w:spacing w:val="-6"/>
          <w:w w:val="105"/>
          <w:sz w:val="20"/>
        </w:rPr>
        <w:t> </w:t>
      </w:r>
      <w:r>
        <w:rPr>
          <w:color w:val="231F1F"/>
          <w:w w:val="105"/>
          <w:sz w:val="20"/>
        </w:rPr>
        <w:t>oxytocin</w:t>
      </w:r>
      <w:r>
        <w:rPr>
          <w:color w:val="231F1F"/>
          <w:spacing w:val="-6"/>
          <w:w w:val="105"/>
          <w:sz w:val="20"/>
        </w:rPr>
        <w:t> </w:t>
      </w:r>
      <w:r>
        <w:rPr>
          <w:color w:val="231F1F"/>
          <w:w w:val="105"/>
          <w:sz w:val="20"/>
        </w:rPr>
        <w:t>injection</w:t>
      </w:r>
      <w:r>
        <w:rPr>
          <w:color w:val="231F1F"/>
          <w:spacing w:val="-5"/>
          <w:w w:val="105"/>
          <w:sz w:val="20"/>
        </w:rPr>
        <w:t> </w:t>
      </w:r>
      <w:r>
        <w:rPr>
          <w:color w:val="231F1F"/>
          <w:w w:val="105"/>
          <w:sz w:val="20"/>
        </w:rPr>
        <w:t>on</w:t>
      </w:r>
      <w:r>
        <w:rPr>
          <w:color w:val="231F1F"/>
          <w:spacing w:val="-6"/>
          <w:w w:val="105"/>
          <w:sz w:val="20"/>
        </w:rPr>
        <w:t> </w:t>
      </w:r>
      <w:r>
        <w:rPr>
          <w:color w:val="231F1F"/>
          <w:w w:val="105"/>
          <w:sz w:val="20"/>
        </w:rPr>
        <w:t>the</w:t>
      </w:r>
      <w:r>
        <w:rPr>
          <w:color w:val="231F1F"/>
          <w:spacing w:val="-5"/>
          <w:w w:val="105"/>
          <w:sz w:val="20"/>
        </w:rPr>
        <w:t> </w:t>
      </w:r>
      <w:r>
        <w:rPr>
          <w:color w:val="231F1F"/>
          <w:w w:val="105"/>
          <w:sz w:val="20"/>
        </w:rPr>
        <w:t>third</w:t>
      </w:r>
      <w:r>
        <w:rPr>
          <w:color w:val="231F1F"/>
          <w:spacing w:val="-6"/>
          <w:w w:val="105"/>
          <w:sz w:val="20"/>
        </w:rPr>
        <w:t> </w:t>
      </w:r>
      <w:r>
        <w:rPr>
          <w:color w:val="231F1F"/>
          <w:w w:val="105"/>
          <w:sz w:val="20"/>
        </w:rPr>
        <w:t>stage of labor: A randomized controlled study. J Med Assoc Thai 1998;81(9):693-7.</w:t>
      </w:r>
    </w:p>
    <w:p>
      <w:pPr>
        <w:pStyle w:val="ListParagraph"/>
        <w:numPr>
          <w:ilvl w:val="0"/>
          <w:numId w:val="109"/>
        </w:numPr>
        <w:tabs>
          <w:tab w:pos="791" w:val="left" w:leader="none"/>
          <w:tab w:pos="796" w:val="left" w:leader="none"/>
        </w:tabs>
        <w:spacing w:line="220" w:lineRule="auto" w:before="157" w:after="0"/>
        <w:ind w:left="796" w:right="215" w:hanging="505"/>
        <w:jc w:val="left"/>
        <w:rPr>
          <w:sz w:val="20"/>
        </w:rPr>
      </w:pPr>
      <w:r>
        <w:rPr>
          <w:color w:val="231F1F"/>
          <w:spacing w:val="-2"/>
          <w:w w:val="110"/>
          <w:sz w:val="20"/>
        </w:rPr>
        <w:t>Ozcan</w:t>
      </w:r>
      <w:r>
        <w:rPr>
          <w:color w:val="231F1F"/>
          <w:spacing w:val="-18"/>
          <w:w w:val="110"/>
          <w:sz w:val="20"/>
        </w:rPr>
        <w:t> </w:t>
      </w:r>
      <w:r>
        <w:rPr>
          <w:color w:val="231F1F"/>
          <w:spacing w:val="-2"/>
          <w:w w:val="110"/>
          <w:sz w:val="20"/>
        </w:rPr>
        <w:t>T,</w:t>
      </w:r>
      <w:r>
        <w:rPr>
          <w:color w:val="231F1F"/>
          <w:spacing w:val="-18"/>
          <w:w w:val="110"/>
          <w:sz w:val="20"/>
        </w:rPr>
        <w:t> </w:t>
      </w:r>
      <w:r>
        <w:rPr>
          <w:color w:val="231F1F"/>
          <w:spacing w:val="-2"/>
          <w:w w:val="110"/>
          <w:sz w:val="20"/>
        </w:rPr>
        <w:t>Sahin</w:t>
      </w:r>
      <w:r>
        <w:rPr>
          <w:color w:val="231F1F"/>
          <w:spacing w:val="-18"/>
          <w:w w:val="110"/>
          <w:sz w:val="20"/>
        </w:rPr>
        <w:t> </w:t>
      </w:r>
      <w:r>
        <w:rPr>
          <w:color w:val="231F1F"/>
          <w:spacing w:val="-2"/>
          <w:w w:val="110"/>
          <w:sz w:val="20"/>
        </w:rPr>
        <w:t>G,</w:t>
      </w:r>
      <w:r>
        <w:rPr>
          <w:color w:val="231F1F"/>
          <w:spacing w:val="-18"/>
          <w:w w:val="110"/>
          <w:sz w:val="20"/>
        </w:rPr>
        <w:t> </w:t>
      </w:r>
      <w:r>
        <w:rPr>
          <w:color w:val="231F1F"/>
          <w:spacing w:val="-2"/>
          <w:w w:val="110"/>
          <w:sz w:val="20"/>
        </w:rPr>
        <w:t>Senoz</w:t>
      </w:r>
      <w:r>
        <w:rPr>
          <w:color w:val="231F1F"/>
          <w:spacing w:val="-15"/>
          <w:w w:val="110"/>
          <w:sz w:val="20"/>
        </w:rPr>
        <w:t> </w:t>
      </w:r>
      <w:r>
        <w:rPr>
          <w:color w:val="231F1F"/>
          <w:spacing w:val="-2"/>
          <w:w w:val="110"/>
          <w:sz w:val="20"/>
        </w:rPr>
        <w:t>S.</w:t>
      </w:r>
      <w:r>
        <w:rPr>
          <w:color w:val="231F1F"/>
          <w:spacing w:val="-29"/>
          <w:w w:val="110"/>
          <w:sz w:val="20"/>
        </w:rPr>
        <w:t> </w:t>
      </w:r>
      <w:r>
        <w:rPr>
          <w:color w:val="231F1F"/>
          <w:spacing w:val="-2"/>
          <w:w w:val="110"/>
          <w:sz w:val="20"/>
        </w:rPr>
        <w:t>The</w:t>
      </w:r>
      <w:r>
        <w:rPr>
          <w:color w:val="231F1F"/>
          <w:spacing w:val="-11"/>
          <w:w w:val="110"/>
          <w:sz w:val="20"/>
        </w:rPr>
        <w:t> </w:t>
      </w:r>
      <w:r>
        <w:rPr>
          <w:color w:val="231F1F"/>
          <w:spacing w:val="-2"/>
          <w:w w:val="110"/>
          <w:sz w:val="20"/>
        </w:rPr>
        <w:t>effect</w:t>
      </w:r>
      <w:r>
        <w:rPr>
          <w:color w:val="231F1F"/>
          <w:spacing w:val="-11"/>
          <w:w w:val="110"/>
          <w:sz w:val="20"/>
        </w:rPr>
        <w:t> </w:t>
      </w:r>
      <w:r>
        <w:rPr>
          <w:color w:val="231F1F"/>
          <w:spacing w:val="-2"/>
          <w:w w:val="110"/>
          <w:sz w:val="20"/>
        </w:rPr>
        <w:t>of</w:t>
      </w:r>
      <w:r>
        <w:rPr>
          <w:color w:val="231F1F"/>
          <w:spacing w:val="-11"/>
          <w:w w:val="110"/>
          <w:sz w:val="20"/>
        </w:rPr>
        <w:t> </w:t>
      </w:r>
      <w:r>
        <w:rPr>
          <w:color w:val="231F1F"/>
          <w:spacing w:val="-2"/>
          <w:w w:val="110"/>
          <w:sz w:val="20"/>
        </w:rPr>
        <w:t>intraumbilical</w:t>
      </w:r>
      <w:r>
        <w:rPr>
          <w:color w:val="231F1F"/>
          <w:spacing w:val="-9"/>
          <w:w w:val="110"/>
          <w:sz w:val="20"/>
        </w:rPr>
        <w:t> </w:t>
      </w:r>
      <w:r>
        <w:rPr>
          <w:color w:val="231F1F"/>
          <w:spacing w:val="-2"/>
          <w:w w:val="110"/>
          <w:sz w:val="20"/>
        </w:rPr>
        <w:t>oxytocin</w:t>
      </w:r>
      <w:r>
        <w:rPr>
          <w:color w:val="231F1F"/>
          <w:spacing w:val="-11"/>
          <w:w w:val="110"/>
          <w:sz w:val="20"/>
        </w:rPr>
        <w:t> </w:t>
      </w:r>
      <w:r>
        <w:rPr>
          <w:color w:val="231F1F"/>
          <w:spacing w:val="-2"/>
          <w:w w:val="110"/>
          <w:sz w:val="20"/>
        </w:rPr>
        <w:t>on</w:t>
      </w:r>
      <w:r>
        <w:rPr>
          <w:color w:val="231F1F"/>
          <w:spacing w:val="-11"/>
          <w:w w:val="110"/>
          <w:sz w:val="20"/>
        </w:rPr>
        <w:t> </w:t>
      </w:r>
      <w:r>
        <w:rPr>
          <w:color w:val="231F1F"/>
          <w:spacing w:val="-2"/>
          <w:w w:val="110"/>
          <w:sz w:val="20"/>
        </w:rPr>
        <w:t>the</w:t>
      </w:r>
      <w:r>
        <w:rPr>
          <w:color w:val="231F1F"/>
          <w:spacing w:val="-11"/>
          <w:w w:val="110"/>
          <w:sz w:val="20"/>
        </w:rPr>
        <w:t> </w:t>
      </w:r>
      <w:r>
        <w:rPr>
          <w:color w:val="231F1F"/>
          <w:spacing w:val="-2"/>
          <w:w w:val="110"/>
          <w:sz w:val="20"/>
        </w:rPr>
        <w:t>third</w:t>
      </w:r>
      <w:r>
        <w:rPr>
          <w:color w:val="231F1F"/>
          <w:spacing w:val="-11"/>
          <w:w w:val="110"/>
          <w:sz w:val="20"/>
        </w:rPr>
        <w:t> </w:t>
      </w:r>
      <w:r>
        <w:rPr>
          <w:color w:val="231F1F"/>
          <w:spacing w:val="-2"/>
          <w:w w:val="110"/>
          <w:sz w:val="20"/>
        </w:rPr>
        <w:t>stage</w:t>
      </w:r>
      <w:r>
        <w:rPr>
          <w:color w:val="231F1F"/>
          <w:spacing w:val="-11"/>
          <w:w w:val="110"/>
          <w:sz w:val="20"/>
        </w:rPr>
        <w:t> </w:t>
      </w:r>
      <w:r>
        <w:rPr>
          <w:color w:val="231F1F"/>
          <w:spacing w:val="-2"/>
          <w:w w:val="110"/>
          <w:sz w:val="20"/>
        </w:rPr>
        <w:t>of</w:t>
      </w:r>
      <w:r>
        <w:rPr>
          <w:color w:val="231F1F"/>
          <w:spacing w:val="-11"/>
          <w:w w:val="110"/>
          <w:sz w:val="20"/>
        </w:rPr>
        <w:t> </w:t>
      </w:r>
      <w:r>
        <w:rPr>
          <w:color w:val="231F1F"/>
          <w:spacing w:val="-2"/>
          <w:w w:val="110"/>
          <w:sz w:val="20"/>
        </w:rPr>
        <w:t>labour. </w:t>
      </w:r>
      <w:r>
        <w:rPr>
          <w:color w:val="231F1F"/>
          <w:w w:val="110"/>
          <w:sz w:val="20"/>
        </w:rPr>
        <w:t>Aust N Z J Obstet Gynaecol 1996;36(1):9-11.</w:t>
      </w:r>
    </w:p>
    <w:p>
      <w:pPr>
        <w:pStyle w:val="ListParagraph"/>
        <w:numPr>
          <w:ilvl w:val="0"/>
          <w:numId w:val="109"/>
        </w:numPr>
        <w:tabs>
          <w:tab w:pos="791" w:val="left" w:leader="none"/>
          <w:tab w:pos="796" w:val="left" w:leader="none"/>
        </w:tabs>
        <w:spacing w:line="220" w:lineRule="auto" w:before="167" w:after="0"/>
        <w:ind w:left="796" w:right="174" w:hanging="505"/>
        <w:jc w:val="left"/>
        <w:rPr>
          <w:sz w:val="20"/>
        </w:rPr>
      </w:pPr>
      <w:r>
        <w:rPr>
          <w:color w:val="231F1F"/>
          <w:w w:val="110"/>
          <w:sz w:val="20"/>
        </w:rPr>
        <w:t>Young</w:t>
      </w:r>
      <w:r>
        <w:rPr>
          <w:color w:val="231F1F"/>
          <w:spacing w:val="-16"/>
          <w:w w:val="110"/>
          <w:sz w:val="20"/>
        </w:rPr>
        <w:t> </w:t>
      </w:r>
      <w:r>
        <w:rPr>
          <w:color w:val="231F1F"/>
          <w:w w:val="110"/>
          <w:sz w:val="20"/>
        </w:rPr>
        <w:t>SB,</w:t>
      </w:r>
      <w:r>
        <w:rPr>
          <w:color w:val="231F1F"/>
          <w:spacing w:val="-16"/>
          <w:w w:val="110"/>
          <w:sz w:val="20"/>
        </w:rPr>
        <w:t> </w:t>
      </w:r>
      <w:r>
        <w:rPr>
          <w:color w:val="231F1F"/>
          <w:w w:val="110"/>
          <w:sz w:val="20"/>
        </w:rPr>
        <w:t>Martelly</w:t>
      </w:r>
      <w:r>
        <w:rPr>
          <w:color w:val="231F1F"/>
          <w:spacing w:val="-16"/>
          <w:w w:val="110"/>
          <w:sz w:val="20"/>
        </w:rPr>
        <w:t> </w:t>
      </w:r>
      <w:r>
        <w:rPr>
          <w:color w:val="231F1F"/>
          <w:w w:val="110"/>
          <w:sz w:val="20"/>
        </w:rPr>
        <w:t>PD,</w:t>
      </w:r>
      <w:r>
        <w:rPr>
          <w:color w:val="231F1F"/>
          <w:spacing w:val="-15"/>
          <w:w w:val="110"/>
          <w:sz w:val="20"/>
        </w:rPr>
        <w:t> </w:t>
      </w:r>
      <w:r>
        <w:rPr>
          <w:color w:val="231F1F"/>
          <w:w w:val="110"/>
          <w:sz w:val="20"/>
        </w:rPr>
        <w:t>Greb</w:t>
      </w:r>
      <w:r>
        <w:rPr>
          <w:color w:val="231F1F"/>
          <w:spacing w:val="-16"/>
          <w:w w:val="110"/>
          <w:sz w:val="20"/>
        </w:rPr>
        <w:t> </w:t>
      </w:r>
      <w:r>
        <w:rPr>
          <w:color w:val="231F1F"/>
          <w:w w:val="110"/>
          <w:sz w:val="20"/>
        </w:rPr>
        <w:t>L,</w:t>
      </w:r>
      <w:r>
        <w:rPr>
          <w:color w:val="231F1F"/>
          <w:spacing w:val="-16"/>
          <w:w w:val="110"/>
          <w:sz w:val="20"/>
        </w:rPr>
        <w:t> </w:t>
      </w:r>
      <w:r>
        <w:rPr>
          <w:color w:val="231F1F"/>
          <w:w w:val="110"/>
          <w:sz w:val="20"/>
        </w:rPr>
        <w:t>et</w:t>
      </w:r>
      <w:r>
        <w:rPr>
          <w:color w:val="231F1F"/>
          <w:spacing w:val="-16"/>
          <w:w w:val="110"/>
          <w:sz w:val="20"/>
        </w:rPr>
        <w:t> </w:t>
      </w:r>
      <w:r>
        <w:rPr>
          <w:color w:val="231F1F"/>
          <w:w w:val="110"/>
          <w:sz w:val="20"/>
        </w:rPr>
        <w:t>al.</w:t>
      </w:r>
      <w:r>
        <w:rPr>
          <w:color w:val="231F1F"/>
          <w:spacing w:val="-24"/>
          <w:w w:val="110"/>
          <w:sz w:val="20"/>
        </w:rPr>
        <w:t> </w:t>
      </w:r>
      <w:r>
        <w:rPr>
          <w:color w:val="231F1F"/>
          <w:w w:val="110"/>
          <w:sz w:val="20"/>
        </w:rPr>
        <w:t>The</w:t>
      </w:r>
      <w:r>
        <w:rPr>
          <w:color w:val="231F1F"/>
          <w:spacing w:val="-15"/>
          <w:w w:val="110"/>
          <w:sz w:val="20"/>
        </w:rPr>
        <w:t> </w:t>
      </w:r>
      <w:r>
        <w:rPr>
          <w:color w:val="231F1F"/>
          <w:w w:val="110"/>
          <w:sz w:val="20"/>
        </w:rPr>
        <w:t>effect</w:t>
      </w:r>
      <w:r>
        <w:rPr>
          <w:color w:val="231F1F"/>
          <w:spacing w:val="-16"/>
          <w:w w:val="110"/>
          <w:sz w:val="20"/>
        </w:rPr>
        <w:t> </w:t>
      </w:r>
      <w:r>
        <w:rPr>
          <w:color w:val="231F1F"/>
          <w:w w:val="110"/>
          <w:sz w:val="20"/>
        </w:rPr>
        <w:t>of</w:t>
      </w:r>
      <w:r>
        <w:rPr>
          <w:color w:val="231F1F"/>
          <w:spacing w:val="-16"/>
          <w:w w:val="110"/>
          <w:sz w:val="20"/>
        </w:rPr>
        <w:t> </w:t>
      </w:r>
      <w:r>
        <w:rPr>
          <w:color w:val="231F1F"/>
          <w:w w:val="110"/>
          <w:sz w:val="20"/>
        </w:rPr>
        <w:t>intraumbilical</w:t>
      </w:r>
      <w:r>
        <w:rPr>
          <w:color w:val="231F1F"/>
          <w:spacing w:val="-14"/>
          <w:w w:val="110"/>
          <w:sz w:val="20"/>
        </w:rPr>
        <w:t> </w:t>
      </w:r>
      <w:r>
        <w:rPr>
          <w:color w:val="231F1F"/>
          <w:w w:val="110"/>
          <w:sz w:val="20"/>
        </w:rPr>
        <w:t>oxytocin</w:t>
      </w:r>
      <w:r>
        <w:rPr>
          <w:color w:val="231F1F"/>
          <w:spacing w:val="-15"/>
          <w:w w:val="110"/>
          <w:sz w:val="20"/>
        </w:rPr>
        <w:t> </w:t>
      </w:r>
      <w:r>
        <w:rPr>
          <w:color w:val="231F1F"/>
          <w:w w:val="110"/>
          <w:sz w:val="20"/>
        </w:rPr>
        <w:t>on</w:t>
      </w:r>
      <w:r>
        <w:rPr>
          <w:color w:val="231F1F"/>
          <w:spacing w:val="-16"/>
          <w:w w:val="110"/>
          <w:sz w:val="20"/>
        </w:rPr>
        <w:t> </w:t>
      </w:r>
      <w:r>
        <w:rPr>
          <w:color w:val="231F1F"/>
          <w:w w:val="110"/>
          <w:sz w:val="20"/>
        </w:rPr>
        <w:t>third</w:t>
      </w:r>
      <w:r>
        <w:rPr>
          <w:color w:val="231F1F"/>
          <w:spacing w:val="-16"/>
          <w:w w:val="110"/>
          <w:sz w:val="20"/>
        </w:rPr>
        <w:t> </w:t>
      </w:r>
      <w:r>
        <w:rPr>
          <w:color w:val="231F1F"/>
          <w:w w:val="110"/>
          <w:sz w:val="20"/>
        </w:rPr>
        <w:t>stage</w:t>
      </w:r>
      <w:r>
        <w:rPr>
          <w:color w:val="231F1F"/>
          <w:spacing w:val="-16"/>
          <w:w w:val="110"/>
          <w:sz w:val="20"/>
        </w:rPr>
        <w:t> </w:t>
      </w:r>
      <w:r>
        <w:rPr>
          <w:color w:val="231F1F"/>
          <w:w w:val="110"/>
          <w:sz w:val="20"/>
        </w:rPr>
        <w:t>of labor. Obstet Gynecol 1988;71(5):736-8.</w:t>
      </w:r>
    </w:p>
    <w:p>
      <w:pPr>
        <w:pStyle w:val="ListParagraph"/>
        <w:numPr>
          <w:ilvl w:val="0"/>
          <w:numId w:val="109"/>
        </w:numPr>
        <w:tabs>
          <w:tab w:pos="792" w:val="left" w:leader="none"/>
          <w:tab w:pos="797" w:val="left" w:leader="none"/>
        </w:tabs>
        <w:spacing w:line="228" w:lineRule="auto" w:before="167" w:after="0"/>
        <w:ind w:left="797" w:right="121" w:hanging="505"/>
        <w:jc w:val="both"/>
        <w:rPr>
          <w:sz w:val="20"/>
        </w:rPr>
      </w:pPr>
      <w:r>
        <w:rPr>
          <w:color w:val="231F1F"/>
          <w:w w:val="105"/>
          <w:sz w:val="20"/>
        </w:rPr>
        <w:t>Gulmezoglu AM, Forna F, Villar J, Hofmeyr GJ. Prostaglandins for prevention of postpartum haemorrhage.</w:t>
      </w:r>
      <w:r>
        <w:rPr>
          <w:color w:val="231F1F"/>
          <w:w w:val="105"/>
          <w:sz w:val="20"/>
        </w:rPr>
        <w:t> (Cochrane</w:t>
      </w:r>
      <w:r>
        <w:rPr>
          <w:color w:val="231F1F"/>
          <w:w w:val="105"/>
          <w:sz w:val="20"/>
        </w:rPr>
        <w:t> Review).</w:t>
      </w:r>
      <w:r>
        <w:rPr>
          <w:color w:val="231F1F"/>
          <w:w w:val="105"/>
          <w:sz w:val="20"/>
        </w:rPr>
        <w:t> En:</w:t>
      </w:r>
      <w:r>
        <w:rPr>
          <w:color w:val="231F1F"/>
          <w:w w:val="105"/>
          <w:sz w:val="20"/>
        </w:rPr>
        <w:t> Cohrane</w:t>
      </w:r>
      <w:r>
        <w:rPr>
          <w:color w:val="231F1F"/>
          <w:w w:val="105"/>
          <w:sz w:val="20"/>
        </w:rPr>
        <w:t> Database</w:t>
      </w:r>
      <w:r>
        <w:rPr>
          <w:color w:val="231F1F"/>
          <w:w w:val="105"/>
          <w:sz w:val="20"/>
        </w:rPr>
        <w:t> of</w:t>
      </w:r>
      <w:r>
        <w:rPr>
          <w:color w:val="231F1F"/>
          <w:w w:val="105"/>
          <w:sz w:val="20"/>
        </w:rPr>
        <w:t> Systematic</w:t>
      </w:r>
      <w:r>
        <w:rPr>
          <w:color w:val="231F1F"/>
          <w:w w:val="105"/>
          <w:sz w:val="20"/>
        </w:rPr>
        <w:t> Reviews,</w:t>
      </w:r>
      <w:r>
        <w:rPr>
          <w:color w:val="231F1F"/>
          <w:w w:val="105"/>
          <w:sz w:val="20"/>
        </w:rPr>
        <w:t> Issue</w:t>
      </w:r>
      <w:r>
        <w:rPr>
          <w:color w:val="231F1F"/>
          <w:w w:val="105"/>
          <w:sz w:val="20"/>
        </w:rPr>
        <w:t> 2 2005;Oxford: Update Software.</w:t>
      </w:r>
    </w:p>
    <w:p>
      <w:pPr>
        <w:pStyle w:val="ListParagraph"/>
        <w:numPr>
          <w:ilvl w:val="0"/>
          <w:numId w:val="109"/>
        </w:numPr>
        <w:tabs>
          <w:tab w:pos="791" w:val="left" w:leader="none"/>
          <w:tab w:pos="796" w:val="left" w:leader="none"/>
        </w:tabs>
        <w:spacing w:line="220" w:lineRule="auto" w:before="166" w:after="0"/>
        <w:ind w:left="796" w:right="318" w:hanging="505"/>
        <w:jc w:val="left"/>
        <w:rPr>
          <w:sz w:val="20"/>
        </w:rPr>
      </w:pPr>
      <w:r>
        <w:rPr>
          <w:color w:val="231F1F"/>
          <w:w w:val="110"/>
          <w:sz w:val="20"/>
        </w:rPr>
        <w:t>Langenbach</w:t>
      </w:r>
      <w:r>
        <w:rPr>
          <w:color w:val="231F1F"/>
          <w:spacing w:val="-8"/>
          <w:w w:val="110"/>
          <w:sz w:val="20"/>
        </w:rPr>
        <w:t> </w:t>
      </w:r>
      <w:r>
        <w:rPr>
          <w:color w:val="231F1F"/>
          <w:w w:val="110"/>
          <w:sz w:val="20"/>
        </w:rPr>
        <w:t>C.</w:t>
      </w:r>
      <w:r>
        <w:rPr>
          <w:color w:val="231F1F"/>
          <w:spacing w:val="-8"/>
          <w:w w:val="110"/>
          <w:sz w:val="20"/>
        </w:rPr>
        <w:t> </w:t>
      </w:r>
      <w:r>
        <w:rPr>
          <w:color w:val="231F1F"/>
          <w:w w:val="110"/>
          <w:sz w:val="20"/>
        </w:rPr>
        <w:t>Misoprostol</w:t>
      </w:r>
      <w:r>
        <w:rPr>
          <w:color w:val="231F1F"/>
          <w:spacing w:val="-8"/>
          <w:w w:val="110"/>
          <w:sz w:val="20"/>
        </w:rPr>
        <w:t> </w:t>
      </w:r>
      <w:r>
        <w:rPr>
          <w:color w:val="231F1F"/>
          <w:w w:val="110"/>
          <w:sz w:val="20"/>
        </w:rPr>
        <w:t>in</w:t>
      </w:r>
      <w:r>
        <w:rPr>
          <w:color w:val="231F1F"/>
          <w:spacing w:val="-8"/>
          <w:w w:val="110"/>
          <w:sz w:val="20"/>
        </w:rPr>
        <w:t> </w:t>
      </w:r>
      <w:r>
        <w:rPr>
          <w:color w:val="231F1F"/>
          <w:w w:val="110"/>
          <w:sz w:val="20"/>
        </w:rPr>
        <w:t>preventing</w:t>
      </w:r>
      <w:r>
        <w:rPr>
          <w:color w:val="231F1F"/>
          <w:spacing w:val="-8"/>
          <w:w w:val="110"/>
          <w:sz w:val="20"/>
        </w:rPr>
        <w:t> </w:t>
      </w:r>
      <w:r>
        <w:rPr>
          <w:color w:val="231F1F"/>
          <w:w w:val="110"/>
          <w:sz w:val="20"/>
        </w:rPr>
        <w:t>postpartum</w:t>
      </w:r>
      <w:r>
        <w:rPr>
          <w:color w:val="231F1F"/>
          <w:spacing w:val="-8"/>
          <w:w w:val="110"/>
          <w:sz w:val="20"/>
        </w:rPr>
        <w:t> </w:t>
      </w:r>
      <w:r>
        <w:rPr>
          <w:color w:val="231F1F"/>
          <w:w w:val="110"/>
          <w:sz w:val="20"/>
        </w:rPr>
        <w:t>hemorrhage:</w:t>
      </w:r>
      <w:r>
        <w:rPr>
          <w:color w:val="231F1F"/>
          <w:spacing w:val="-14"/>
          <w:w w:val="110"/>
          <w:sz w:val="20"/>
        </w:rPr>
        <w:t> </w:t>
      </w:r>
      <w:r>
        <w:rPr>
          <w:color w:val="231F1F"/>
          <w:w w:val="110"/>
          <w:sz w:val="20"/>
        </w:rPr>
        <w:t>A</w:t>
      </w:r>
      <w:r>
        <w:rPr>
          <w:color w:val="231F1F"/>
          <w:spacing w:val="-8"/>
          <w:w w:val="110"/>
          <w:sz w:val="20"/>
        </w:rPr>
        <w:t> </w:t>
      </w:r>
      <w:r>
        <w:rPr>
          <w:color w:val="231F1F"/>
          <w:w w:val="110"/>
          <w:sz w:val="20"/>
        </w:rPr>
        <w:t>meta-analysis.</w:t>
      </w:r>
      <w:r>
        <w:rPr>
          <w:color w:val="231F1F"/>
          <w:spacing w:val="-8"/>
          <w:w w:val="110"/>
          <w:sz w:val="20"/>
        </w:rPr>
        <w:t> </w:t>
      </w:r>
      <w:r>
        <w:rPr>
          <w:color w:val="231F1F"/>
          <w:w w:val="110"/>
          <w:sz w:val="20"/>
        </w:rPr>
        <w:t>Int</w:t>
      </w:r>
      <w:r>
        <w:rPr>
          <w:color w:val="231F1F"/>
          <w:spacing w:val="-8"/>
          <w:w w:val="110"/>
          <w:sz w:val="20"/>
        </w:rPr>
        <w:t> </w:t>
      </w:r>
      <w:r>
        <w:rPr>
          <w:color w:val="231F1F"/>
          <w:w w:val="110"/>
          <w:sz w:val="20"/>
        </w:rPr>
        <w:t>J Gynaecol Obstet 2006;92(1):10-8.</w:t>
      </w:r>
    </w:p>
    <w:p>
      <w:pPr>
        <w:pStyle w:val="ListParagraph"/>
        <w:numPr>
          <w:ilvl w:val="0"/>
          <w:numId w:val="109"/>
        </w:numPr>
        <w:tabs>
          <w:tab w:pos="791" w:val="left" w:leader="none"/>
          <w:tab w:pos="796" w:val="left" w:leader="none"/>
        </w:tabs>
        <w:spacing w:line="225" w:lineRule="auto" w:before="168" w:after="0"/>
        <w:ind w:left="796" w:right="125" w:hanging="525"/>
        <w:jc w:val="both"/>
        <w:rPr>
          <w:sz w:val="20"/>
        </w:rPr>
      </w:pPr>
      <w:r>
        <w:rPr>
          <w:color w:val="231F1F"/>
          <w:w w:val="110"/>
          <w:sz w:val="20"/>
        </w:rPr>
        <w:t>Lam</w:t>
      </w:r>
      <w:r>
        <w:rPr>
          <w:color w:val="231F1F"/>
          <w:spacing w:val="-2"/>
          <w:w w:val="110"/>
          <w:sz w:val="20"/>
        </w:rPr>
        <w:t> </w:t>
      </w:r>
      <w:r>
        <w:rPr>
          <w:color w:val="231F1F"/>
          <w:w w:val="110"/>
          <w:sz w:val="20"/>
        </w:rPr>
        <w:t>H,</w:t>
      </w:r>
      <w:r>
        <w:rPr>
          <w:color w:val="231F1F"/>
          <w:spacing w:val="-4"/>
          <w:w w:val="110"/>
          <w:sz w:val="20"/>
        </w:rPr>
        <w:t> </w:t>
      </w:r>
      <w:r>
        <w:rPr>
          <w:color w:val="231F1F"/>
          <w:w w:val="110"/>
          <w:sz w:val="20"/>
        </w:rPr>
        <w:t>Tang</w:t>
      </w:r>
      <w:r>
        <w:rPr>
          <w:color w:val="231F1F"/>
          <w:spacing w:val="-2"/>
          <w:w w:val="110"/>
          <w:sz w:val="20"/>
        </w:rPr>
        <w:t> </w:t>
      </w:r>
      <w:r>
        <w:rPr>
          <w:color w:val="231F1F"/>
          <w:w w:val="110"/>
          <w:sz w:val="20"/>
        </w:rPr>
        <w:t>OS,</w:t>
      </w:r>
      <w:r>
        <w:rPr>
          <w:color w:val="231F1F"/>
          <w:spacing w:val="-2"/>
          <w:w w:val="110"/>
          <w:sz w:val="20"/>
        </w:rPr>
        <w:t> </w:t>
      </w:r>
      <w:r>
        <w:rPr>
          <w:color w:val="231F1F"/>
          <w:w w:val="110"/>
          <w:sz w:val="20"/>
        </w:rPr>
        <w:t>Lee</w:t>
      </w:r>
      <w:r>
        <w:rPr>
          <w:color w:val="231F1F"/>
          <w:spacing w:val="-1"/>
          <w:w w:val="110"/>
          <w:sz w:val="20"/>
        </w:rPr>
        <w:t> </w:t>
      </w:r>
      <w:r>
        <w:rPr>
          <w:color w:val="231F1F"/>
          <w:w w:val="110"/>
          <w:sz w:val="20"/>
        </w:rPr>
        <w:t>CP,</w:t>
      </w:r>
      <w:r>
        <w:rPr>
          <w:color w:val="231F1F"/>
          <w:spacing w:val="-2"/>
          <w:w w:val="110"/>
          <w:sz w:val="20"/>
        </w:rPr>
        <w:t> </w:t>
      </w:r>
      <w:r>
        <w:rPr>
          <w:color w:val="231F1F"/>
          <w:w w:val="110"/>
          <w:sz w:val="20"/>
        </w:rPr>
        <w:t>et</w:t>
      </w:r>
      <w:r>
        <w:rPr>
          <w:color w:val="231F1F"/>
          <w:spacing w:val="-1"/>
          <w:w w:val="110"/>
          <w:sz w:val="20"/>
        </w:rPr>
        <w:t> </w:t>
      </w:r>
      <w:r>
        <w:rPr>
          <w:color w:val="231F1F"/>
          <w:w w:val="110"/>
          <w:sz w:val="20"/>
        </w:rPr>
        <w:t>al.</w:t>
      </w:r>
      <w:r>
        <w:rPr>
          <w:color w:val="231F1F"/>
          <w:spacing w:val="-4"/>
          <w:w w:val="110"/>
          <w:sz w:val="20"/>
        </w:rPr>
        <w:t> </w:t>
      </w:r>
      <w:r>
        <w:rPr>
          <w:color w:val="231F1F"/>
          <w:w w:val="110"/>
          <w:sz w:val="20"/>
        </w:rPr>
        <w:t>A</w:t>
      </w:r>
      <w:r>
        <w:rPr>
          <w:color w:val="231F1F"/>
          <w:spacing w:val="-2"/>
          <w:w w:val="110"/>
          <w:sz w:val="20"/>
        </w:rPr>
        <w:t> </w:t>
      </w:r>
      <w:r>
        <w:rPr>
          <w:color w:val="231F1F"/>
          <w:w w:val="110"/>
          <w:sz w:val="20"/>
        </w:rPr>
        <w:t>pilot-randomized</w:t>
      </w:r>
      <w:r>
        <w:rPr>
          <w:color w:val="231F1F"/>
          <w:spacing w:val="-2"/>
          <w:w w:val="110"/>
          <w:sz w:val="20"/>
        </w:rPr>
        <w:t> </w:t>
      </w:r>
      <w:r>
        <w:rPr>
          <w:color w:val="231F1F"/>
          <w:w w:val="110"/>
          <w:sz w:val="20"/>
        </w:rPr>
        <w:t>comparison</w:t>
      </w:r>
      <w:r>
        <w:rPr>
          <w:color w:val="231F1F"/>
          <w:spacing w:val="-2"/>
          <w:w w:val="110"/>
          <w:sz w:val="20"/>
        </w:rPr>
        <w:t> </w:t>
      </w:r>
      <w:r>
        <w:rPr>
          <w:color w:val="231F1F"/>
          <w:w w:val="110"/>
          <w:sz w:val="20"/>
        </w:rPr>
        <w:t>of</w:t>
      </w:r>
      <w:r>
        <w:rPr>
          <w:color w:val="231F1F"/>
          <w:spacing w:val="-1"/>
          <w:w w:val="110"/>
          <w:sz w:val="20"/>
        </w:rPr>
        <w:t> </w:t>
      </w:r>
      <w:r>
        <w:rPr>
          <w:color w:val="231F1F"/>
          <w:w w:val="110"/>
          <w:sz w:val="20"/>
        </w:rPr>
        <w:t>sublingual</w:t>
      </w:r>
      <w:r>
        <w:rPr>
          <w:color w:val="231F1F"/>
          <w:spacing w:val="-1"/>
          <w:w w:val="110"/>
          <w:sz w:val="20"/>
        </w:rPr>
        <w:t> </w:t>
      </w:r>
      <w:r>
        <w:rPr>
          <w:color w:val="231F1F"/>
          <w:w w:val="110"/>
          <w:sz w:val="20"/>
        </w:rPr>
        <w:t>misoprostol with</w:t>
      </w:r>
      <w:r>
        <w:rPr>
          <w:color w:val="231F1F"/>
          <w:w w:val="110"/>
          <w:sz w:val="20"/>
        </w:rPr>
        <w:t> syntometrine</w:t>
      </w:r>
      <w:r>
        <w:rPr>
          <w:color w:val="231F1F"/>
          <w:w w:val="110"/>
          <w:sz w:val="20"/>
        </w:rPr>
        <w:t> on</w:t>
      </w:r>
      <w:r>
        <w:rPr>
          <w:color w:val="231F1F"/>
          <w:w w:val="110"/>
          <w:sz w:val="20"/>
        </w:rPr>
        <w:t> the</w:t>
      </w:r>
      <w:r>
        <w:rPr>
          <w:color w:val="231F1F"/>
          <w:w w:val="110"/>
          <w:sz w:val="20"/>
        </w:rPr>
        <w:t> blood</w:t>
      </w:r>
      <w:r>
        <w:rPr>
          <w:color w:val="231F1F"/>
          <w:w w:val="110"/>
          <w:sz w:val="20"/>
        </w:rPr>
        <w:t> loss</w:t>
      </w:r>
      <w:r>
        <w:rPr>
          <w:color w:val="231F1F"/>
          <w:w w:val="110"/>
          <w:sz w:val="20"/>
        </w:rPr>
        <w:t> in</w:t>
      </w:r>
      <w:r>
        <w:rPr>
          <w:color w:val="231F1F"/>
          <w:w w:val="110"/>
          <w:sz w:val="20"/>
        </w:rPr>
        <w:t> third</w:t>
      </w:r>
      <w:r>
        <w:rPr>
          <w:color w:val="231F1F"/>
          <w:w w:val="110"/>
          <w:sz w:val="20"/>
        </w:rPr>
        <w:t> stage</w:t>
      </w:r>
      <w:r>
        <w:rPr>
          <w:color w:val="231F1F"/>
          <w:w w:val="110"/>
          <w:sz w:val="20"/>
        </w:rPr>
        <w:t> of</w:t>
      </w:r>
      <w:r>
        <w:rPr>
          <w:color w:val="231F1F"/>
          <w:w w:val="110"/>
          <w:sz w:val="20"/>
        </w:rPr>
        <w:t> labor.</w:t>
      </w:r>
      <w:r>
        <w:rPr>
          <w:color w:val="231F1F"/>
          <w:w w:val="110"/>
          <w:sz w:val="20"/>
        </w:rPr>
        <w:t> Acta</w:t>
      </w:r>
      <w:r>
        <w:rPr>
          <w:color w:val="231F1F"/>
          <w:w w:val="110"/>
          <w:sz w:val="20"/>
        </w:rPr>
        <w:t> Obstet</w:t>
      </w:r>
      <w:r>
        <w:rPr>
          <w:color w:val="231F1F"/>
          <w:w w:val="110"/>
          <w:sz w:val="20"/>
        </w:rPr>
        <w:t> Gynecol</w:t>
      </w:r>
      <w:r>
        <w:rPr>
          <w:color w:val="231F1F"/>
          <w:w w:val="110"/>
          <w:sz w:val="20"/>
        </w:rPr>
        <w:t> Scand </w:t>
      </w:r>
      <w:r>
        <w:rPr>
          <w:color w:val="231F1F"/>
          <w:spacing w:val="-2"/>
          <w:w w:val="110"/>
          <w:sz w:val="20"/>
        </w:rPr>
        <w:t>2004;83(7):647-50.</w:t>
      </w:r>
    </w:p>
    <w:p>
      <w:pPr>
        <w:pStyle w:val="ListParagraph"/>
        <w:numPr>
          <w:ilvl w:val="0"/>
          <w:numId w:val="109"/>
        </w:numPr>
        <w:tabs>
          <w:tab w:pos="791" w:val="left" w:leader="none"/>
          <w:tab w:pos="796" w:val="left" w:leader="none"/>
        </w:tabs>
        <w:spacing w:line="220" w:lineRule="auto" w:before="176" w:after="0"/>
        <w:ind w:left="796" w:right="304" w:hanging="505"/>
        <w:jc w:val="left"/>
        <w:rPr>
          <w:sz w:val="20"/>
        </w:rPr>
      </w:pPr>
      <w:r>
        <w:rPr>
          <w:color w:val="231F1F"/>
          <w:w w:val="110"/>
          <w:sz w:val="20"/>
        </w:rPr>
        <w:t>Garg</w:t>
      </w:r>
      <w:r>
        <w:rPr>
          <w:color w:val="231F1F"/>
          <w:spacing w:val="32"/>
          <w:w w:val="110"/>
          <w:sz w:val="20"/>
        </w:rPr>
        <w:t> </w:t>
      </w:r>
      <w:r>
        <w:rPr>
          <w:color w:val="231F1F"/>
          <w:w w:val="110"/>
          <w:sz w:val="20"/>
        </w:rPr>
        <w:t>P,</w:t>
      </w:r>
      <w:r>
        <w:rPr>
          <w:color w:val="231F1F"/>
          <w:spacing w:val="32"/>
          <w:w w:val="110"/>
          <w:sz w:val="20"/>
        </w:rPr>
        <w:t> </w:t>
      </w:r>
      <w:r>
        <w:rPr>
          <w:color w:val="231F1F"/>
          <w:w w:val="110"/>
          <w:sz w:val="20"/>
        </w:rPr>
        <w:t>Batra</w:t>
      </w:r>
      <w:r>
        <w:rPr>
          <w:color w:val="231F1F"/>
          <w:spacing w:val="32"/>
          <w:w w:val="110"/>
          <w:sz w:val="20"/>
        </w:rPr>
        <w:t> </w:t>
      </w:r>
      <w:r>
        <w:rPr>
          <w:color w:val="231F1F"/>
          <w:w w:val="110"/>
          <w:sz w:val="20"/>
        </w:rPr>
        <w:t>S,</w:t>
      </w:r>
      <w:r>
        <w:rPr>
          <w:color w:val="231F1F"/>
          <w:spacing w:val="32"/>
          <w:w w:val="110"/>
          <w:sz w:val="20"/>
        </w:rPr>
        <w:t> </w:t>
      </w:r>
      <w:r>
        <w:rPr>
          <w:color w:val="231F1F"/>
          <w:w w:val="110"/>
          <w:sz w:val="20"/>
        </w:rPr>
        <w:t>Gandhi</w:t>
      </w:r>
      <w:r>
        <w:rPr>
          <w:color w:val="231F1F"/>
          <w:spacing w:val="32"/>
          <w:w w:val="110"/>
          <w:sz w:val="20"/>
        </w:rPr>
        <w:t> </w:t>
      </w:r>
      <w:r>
        <w:rPr>
          <w:color w:val="231F1F"/>
          <w:w w:val="110"/>
          <w:sz w:val="20"/>
        </w:rPr>
        <w:t>G.</w:t>
      </w:r>
      <w:r>
        <w:rPr>
          <w:color w:val="231F1F"/>
          <w:spacing w:val="32"/>
          <w:w w:val="110"/>
          <w:sz w:val="20"/>
        </w:rPr>
        <w:t> </w:t>
      </w:r>
      <w:r>
        <w:rPr>
          <w:color w:val="231F1F"/>
          <w:w w:val="110"/>
          <w:sz w:val="20"/>
        </w:rPr>
        <w:t>Oral</w:t>
      </w:r>
      <w:r>
        <w:rPr>
          <w:color w:val="231F1F"/>
          <w:spacing w:val="32"/>
          <w:w w:val="110"/>
          <w:sz w:val="20"/>
        </w:rPr>
        <w:t> </w:t>
      </w:r>
      <w:r>
        <w:rPr>
          <w:color w:val="231F1F"/>
          <w:w w:val="110"/>
          <w:sz w:val="20"/>
        </w:rPr>
        <w:t>misoprostol</w:t>
      </w:r>
      <w:r>
        <w:rPr>
          <w:color w:val="231F1F"/>
          <w:spacing w:val="32"/>
          <w:w w:val="110"/>
          <w:sz w:val="20"/>
        </w:rPr>
        <w:t> </w:t>
      </w:r>
      <w:r>
        <w:rPr>
          <w:color w:val="231F1F"/>
          <w:w w:val="110"/>
          <w:sz w:val="20"/>
        </w:rPr>
        <w:t>versus</w:t>
      </w:r>
      <w:r>
        <w:rPr>
          <w:color w:val="231F1F"/>
          <w:spacing w:val="32"/>
          <w:w w:val="110"/>
          <w:sz w:val="20"/>
        </w:rPr>
        <w:t> </w:t>
      </w:r>
      <w:r>
        <w:rPr>
          <w:color w:val="231F1F"/>
          <w:w w:val="110"/>
          <w:sz w:val="20"/>
        </w:rPr>
        <w:t>injectable</w:t>
      </w:r>
      <w:r>
        <w:rPr>
          <w:color w:val="231F1F"/>
          <w:spacing w:val="32"/>
          <w:w w:val="110"/>
          <w:sz w:val="20"/>
        </w:rPr>
        <w:t> </w:t>
      </w:r>
      <w:r>
        <w:rPr>
          <w:color w:val="231F1F"/>
          <w:w w:val="110"/>
          <w:sz w:val="20"/>
        </w:rPr>
        <w:t>methylergometrine</w:t>
      </w:r>
      <w:r>
        <w:rPr>
          <w:color w:val="231F1F"/>
          <w:spacing w:val="32"/>
          <w:w w:val="110"/>
          <w:sz w:val="20"/>
        </w:rPr>
        <w:t> </w:t>
      </w:r>
      <w:r>
        <w:rPr>
          <w:color w:val="231F1F"/>
          <w:w w:val="110"/>
          <w:sz w:val="20"/>
        </w:rPr>
        <w:t>in management of the third stage of labor. Int J Gynaecol Obstet 2005;91(2):160-1.</w:t>
      </w:r>
    </w:p>
    <w:p>
      <w:pPr>
        <w:pStyle w:val="ListParagraph"/>
        <w:numPr>
          <w:ilvl w:val="0"/>
          <w:numId w:val="109"/>
        </w:numPr>
        <w:tabs>
          <w:tab w:pos="792" w:val="left" w:leader="none"/>
          <w:tab w:pos="797" w:val="left" w:leader="none"/>
        </w:tabs>
        <w:spacing w:line="235" w:lineRule="auto" w:before="161" w:after="0"/>
        <w:ind w:left="797" w:right="508" w:hanging="505"/>
        <w:jc w:val="left"/>
        <w:rPr>
          <w:sz w:val="20"/>
        </w:rPr>
      </w:pPr>
      <w:r>
        <w:rPr>
          <w:color w:val="231F1F"/>
          <w:sz w:val="20"/>
        </w:rPr>
        <w:t>Zachariah</w:t>
      </w:r>
      <w:r>
        <w:rPr>
          <w:color w:val="231F1F"/>
          <w:spacing w:val="-3"/>
          <w:sz w:val="20"/>
        </w:rPr>
        <w:t> </w:t>
      </w:r>
      <w:r>
        <w:rPr>
          <w:color w:val="231F1F"/>
          <w:sz w:val="20"/>
        </w:rPr>
        <w:t>ES,</w:t>
      </w:r>
      <w:r>
        <w:rPr>
          <w:color w:val="231F1F"/>
          <w:spacing w:val="-9"/>
          <w:sz w:val="20"/>
        </w:rPr>
        <w:t> </w:t>
      </w:r>
      <w:r>
        <w:rPr>
          <w:color w:val="231F1F"/>
          <w:sz w:val="20"/>
        </w:rPr>
        <w:t>Naidu</w:t>
      </w:r>
      <w:r>
        <w:rPr>
          <w:color w:val="231F1F"/>
          <w:spacing w:val="-3"/>
          <w:sz w:val="20"/>
        </w:rPr>
        <w:t> </w:t>
      </w:r>
      <w:r>
        <w:rPr>
          <w:color w:val="231F1F"/>
          <w:sz w:val="20"/>
        </w:rPr>
        <w:t>M,</w:t>
      </w:r>
      <w:r>
        <w:rPr>
          <w:color w:val="231F1F"/>
          <w:spacing w:val="-9"/>
          <w:sz w:val="20"/>
        </w:rPr>
        <w:t> </w:t>
      </w:r>
      <w:r>
        <w:rPr>
          <w:color w:val="231F1F"/>
          <w:sz w:val="20"/>
        </w:rPr>
        <w:t>Seshadri</w:t>
      </w:r>
      <w:r>
        <w:rPr>
          <w:color w:val="231F1F"/>
          <w:spacing w:val="-3"/>
          <w:sz w:val="20"/>
        </w:rPr>
        <w:t> </w:t>
      </w:r>
      <w:r>
        <w:rPr>
          <w:color w:val="231F1F"/>
          <w:sz w:val="20"/>
        </w:rPr>
        <w:t>L.</w:t>
      </w:r>
      <w:r>
        <w:rPr>
          <w:color w:val="231F1F"/>
          <w:spacing w:val="-9"/>
          <w:sz w:val="20"/>
        </w:rPr>
        <w:t> </w:t>
      </w:r>
      <w:r>
        <w:rPr>
          <w:color w:val="231F1F"/>
          <w:sz w:val="20"/>
        </w:rPr>
        <w:t>Oral</w:t>
      </w:r>
      <w:r>
        <w:rPr>
          <w:color w:val="231F1F"/>
          <w:spacing w:val="-3"/>
          <w:sz w:val="20"/>
        </w:rPr>
        <w:t> </w:t>
      </w:r>
      <w:r>
        <w:rPr>
          <w:color w:val="231F1F"/>
          <w:sz w:val="20"/>
        </w:rPr>
        <w:t>misoprostol</w:t>
      </w:r>
      <w:r>
        <w:rPr>
          <w:color w:val="231F1F"/>
          <w:spacing w:val="-3"/>
          <w:sz w:val="20"/>
        </w:rPr>
        <w:t> </w:t>
      </w:r>
      <w:r>
        <w:rPr>
          <w:color w:val="231F1F"/>
          <w:sz w:val="20"/>
        </w:rPr>
        <w:t>in</w:t>
      </w:r>
      <w:r>
        <w:rPr>
          <w:color w:val="231F1F"/>
          <w:spacing w:val="-3"/>
          <w:sz w:val="20"/>
        </w:rPr>
        <w:t> </w:t>
      </w:r>
      <w:r>
        <w:rPr>
          <w:color w:val="231F1F"/>
          <w:sz w:val="20"/>
        </w:rPr>
        <w:t>the</w:t>
      </w:r>
      <w:r>
        <w:rPr>
          <w:color w:val="231F1F"/>
          <w:spacing w:val="-3"/>
          <w:sz w:val="20"/>
        </w:rPr>
        <w:t> </w:t>
      </w:r>
      <w:r>
        <w:rPr>
          <w:color w:val="231F1F"/>
          <w:sz w:val="20"/>
        </w:rPr>
        <w:t>third</w:t>
      </w:r>
      <w:r>
        <w:rPr>
          <w:color w:val="231F1F"/>
          <w:spacing w:val="-3"/>
          <w:sz w:val="20"/>
        </w:rPr>
        <w:t> </w:t>
      </w:r>
      <w:r>
        <w:rPr>
          <w:color w:val="231F1F"/>
          <w:sz w:val="20"/>
        </w:rPr>
        <w:t>stage</w:t>
      </w:r>
      <w:r>
        <w:rPr>
          <w:color w:val="231F1F"/>
          <w:spacing w:val="-3"/>
          <w:sz w:val="20"/>
        </w:rPr>
        <w:t> </w:t>
      </w:r>
      <w:r>
        <w:rPr>
          <w:color w:val="231F1F"/>
          <w:sz w:val="20"/>
        </w:rPr>
        <w:t>of</w:t>
      </w:r>
      <w:r>
        <w:rPr>
          <w:color w:val="231F1F"/>
          <w:spacing w:val="-3"/>
          <w:sz w:val="20"/>
        </w:rPr>
        <w:t> </w:t>
      </w:r>
      <w:r>
        <w:rPr>
          <w:color w:val="231F1F"/>
          <w:sz w:val="20"/>
        </w:rPr>
        <w:t>labor.</w:t>
      </w:r>
      <w:r>
        <w:rPr>
          <w:color w:val="231F1F"/>
          <w:spacing w:val="-9"/>
          <w:sz w:val="20"/>
        </w:rPr>
        <w:t> </w:t>
      </w:r>
      <w:r>
        <w:rPr>
          <w:color w:val="231F1F"/>
          <w:sz w:val="20"/>
        </w:rPr>
        <w:t>Int</w:t>
      </w:r>
      <w:r>
        <w:rPr>
          <w:color w:val="231F1F"/>
          <w:spacing w:val="-3"/>
          <w:sz w:val="20"/>
        </w:rPr>
        <w:t> </w:t>
      </w:r>
      <w:r>
        <w:rPr>
          <w:color w:val="231F1F"/>
          <w:sz w:val="20"/>
        </w:rPr>
        <w:t>J</w:t>
      </w:r>
      <w:r>
        <w:rPr>
          <w:color w:val="231F1F"/>
          <w:spacing w:val="-3"/>
          <w:sz w:val="20"/>
        </w:rPr>
        <w:t> </w:t>
      </w:r>
      <w:r>
        <w:rPr>
          <w:color w:val="231F1F"/>
          <w:sz w:val="20"/>
        </w:rPr>
        <w:t>Gynaecol Obstet 2006;92(1):23-6.</w:t>
      </w:r>
    </w:p>
    <w:p>
      <w:pPr>
        <w:pStyle w:val="ListParagraph"/>
        <w:numPr>
          <w:ilvl w:val="0"/>
          <w:numId w:val="109"/>
        </w:numPr>
        <w:tabs>
          <w:tab w:pos="791" w:val="left" w:leader="none"/>
          <w:tab w:pos="796" w:val="left" w:leader="none"/>
        </w:tabs>
        <w:spacing w:line="220" w:lineRule="auto" w:before="156" w:after="0"/>
        <w:ind w:left="796" w:right="221" w:hanging="497"/>
        <w:jc w:val="left"/>
        <w:rPr>
          <w:sz w:val="20"/>
        </w:rPr>
      </w:pPr>
      <w:r>
        <w:rPr>
          <w:color w:val="231F1F"/>
          <w:w w:val="110"/>
          <w:sz w:val="20"/>
        </w:rPr>
        <w:t>Vimala</w:t>
      </w:r>
      <w:r>
        <w:rPr>
          <w:color w:val="231F1F"/>
          <w:spacing w:val="-15"/>
          <w:w w:val="110"/>
          <w:sz w:val="20"/>
        </w:rPr>
        <w:t> </w:t>
      </w:r>
      <w:r>
        <w:rPr>
          <w:color w:val="231F1F"/>
          <w:w w:val="110"/>
          <w:sz w:val="20"/>
        </w:rPr>
        <w:t>N,</w:t>
      </w:r>
      <w:r>
        <w:rPr>
          <w:color w:val="231F1F"/>
          <w:spacing w:val="-15"/>
          <w:w w:val="110"/>
          <w:sz w:val="20"/>
        </w:rPr>
        <w:t> </w:t>
      </w:r>
      <w:r>
        <w:rPr>
          <w:color w:val="231F1F"/>
          <w:w w:val="110"/>
          <w:sz w:val="20"/>
        </w:rPr>
        <w:t>Mittal</w:t>
      </w:r>
      <w:r>
        <w:rPr>
          <w:color w:val="231F1F"/>
          <w:spacing w:val="-14"/>
          <w:w w:val="110"/>
          <w:sz w:val="20"/>
        </w:rPr>
        <w:t> </w:t>
      </w:r>
      <w:r>
        <w:rPr>
          <w:color w:val="231F1F"/>
          <w:w w:val="110"/>
          <w:sz w:val="20"/>
        </w:rPr>
        <w:t>S,</w:t>
      </w:r>
      <w:r>
        <w:rPr>
          <w:color w:val="231F1F"/>
          <w:spacing w:val="-15"/>
          <w:w w:val="110"/>
          <w:sz w:val="20"/>
        </w:rPr>
        <w:t> </w:t>
      </w:r>
      <w:r>
        <w:rPr>
          <w:color w:val="231F1F"/>
          <w:w w:val="110"/>
          <w:sz w:val="20"/>
        </w:rPr>
        <w:t>Kumar</w:t>
      </w:r>
      <w:r>
        <w:rPr>
          <w:color w:val="231F1F"/>
          <w:spacing w:val="-14"/>
          <w:w w:val="110"/>
          <w:sz w:val="20"/>
        </w:rPr>
        <w:t> </w:t>
      </w:r>
      <w:r>
        <w:rPr>
          <w:color w:val="231F1F"/>
          <w:w w:val="110"/>
          <w:sz w:val="20"/>
        </w:rPr>
        <w:t>S,</w:t>
      </w:r>
      <w:r>
        <w:rPr>
          <w:color w:val="231F1F"/>
          <w:spacing w:val="-15"/>
          <w:w w:val="110"/>
          <w:sz w:val="20"/>
        </w:rPr>
        <w:t> </w:t>
      </w:r>
      <w:r>
        <w:rPr>
          <w:color w:val="231F1F"/>
          <w:w w:val="110"/>
          <w:sz w:val="20"/>
        </w:rPr>
        <w:t>et</w:t>
      </w:r>
      <w:r>
        <w:rPr>
          <w:color w:val="231F1F"/>
          <w:spacing w:val="-14"/>
          <w:w w:val="110"/>
          <w:sz w:val="20"/>
        </w:rPr>
        <w:t> </w:t>
      </w:r>
      <w:r>
        <w:rPr>
          <w:color w:val="231F1F"/>
          <w:w w:val="110"/>
          <w:sz w:val="20"/>
        </w:rPr>
        <w:t>al.</w:t>
      </w:r>
      <w:r>
        <w:rPr>
          <w:color w:val="231F1F"/>
          <w:spacing w:val="-15"/>
          <w:w w:val="110"/>
          <w:sz w:val="20"/>
        </w:rPr>
        <w:t> </w:t>
      </w:r>
      <w:r>
        <w:rPr>
          <w:color w:val="231F1F"/>
          <w:w w:val="110"/>
          <w:sz w:val="20"/>
        </w:rPr>
        <w:t>Sublingual</w:t>
      </w:r>
      <w:r>
        <w:rPr>
          <w:color w:val="231F1F"/>
          <w:spacing w:val="-13"/>
          <w:w w:val="110"/>
          <w:sz w:val="20"/>
        </w:rPr>
        <w:t> </w:t>
      </w:r>
      <w:r>
        <w:rPr>
          <w:color w:val="231F1F"/>
          <w:w w:val="110"/>
          <w:sz w:val="20"/>
        </w:rPr>
        <w:t>mosoprostol</w:t>
      </w:r>
      <w:r>
        <w:rPr>
          <w:color w:val="231F1F"/>
          <w:spacing w:val="-14"/>
          <w:w w:val="110"/>
          <w:sz w:val="20"/>
        </w:rPr>
        <w:t> </w:t>
      </w:r>
      <w:r>
        <w:rPr>
          <w:color w:val="231F1F"/>
          <w:w w:val="110"/>
          <w:sz w:val="20"/>
        </w:rPr>
        <w:t>versus</w:t>
      </w:r>
      <w:r>
        <w:rPr>
          <w:color w:val="231F1F"/>
          <w:spacing w:val="-14"/>
          <w:w w:val="110"/>
          <w:sz w:val="20"/>
        </w:rPr>
        <w:t> </w:t>
      </w:r>
      <w:r>
        <w:rPr>
          <w:color w:val="231F1F"/>
          <w:w w:val="110"/>
          <w:sz w:val="20"/>
        </w:rPr>
        <w:t>methylergomentrine</w:t>
      </w:r>
      <w:r>
        <w:rPr>
          <w:color w:val="231F1F"/>
          <w:spacing w:val="-12"/>
          <w:w w:val="110"/>
          <w:sz w:val="20"/>
        </w:rPr>
        <w:t> </w:t>
      </w:r>
      <w:r>
        <w:rPr>
          <w:color w:val="231F1F"/>
          <w:w w:val="110"/>
          <w:sz w:val="20"/>
        </w:rPr>
        <w:t>for active management of the third stage of labor.</w:t>
      </w:r>
      <w:r>
        <w:rPr>
          <w:color w:val="231F1F"/>
          <w:spacing w:val="-3"/>
          <w:w w:val="110"/>
          <w:sz w:val="20"/>
        </w:rPr>
        <w:t> </w:t>
      </w:r>
      <w:r>
        <w:rPr>
          <w:color w:val="231F1F"/>
          <w:w w:val="110"/>
          <w:sz w:val="20"/>
        </w:rPr>
        <w:t>Int J Gynaecol Obstet 2004;87(1):1-5.</w:t>
      </w:r>
    </w:p>
    <w:p>
      <w:pPr>
        <w:pStyle w:val="ListParagraph"/>
        <w:numPr>
          <w:ilvl w:val="0"/>
          <w:numId w:val="109"/>
        </w:numPr>
        <w:tabs>
          <w:tab w:pos="792" w:val="left" w:leader="none"/>
          <w:tab w:pos="796" w:val="left" w:leader="none"/>
        </w:tabs>
        <w:spacing w:line="220" w:lineRule="auto" w:before="147" w:after="0"/>
        <w:ind w:left="796" w:right="203" w:hanging="504"/>
        <w:jc w:val="left"/>
        <w:rPr>
          <w:sz w:val="20"/>
        </w:rPr>
      </w:pPr>
      <w:r>
        <w:rPr>
          <w:color w:val="231F1F"/>
          <w:w w:val="110"/>
          <w:position w:val="1"/>
          <w:sz w:val="20"/>
        </w:rPr>
        <w:t>Gülmezoglu</w:t>
      </w:r>
      <w:r>
        <w:rPr>
          <w:color w:val="231F1F"/>
          <w:spacing w:val="-3"/>
          <w:w w:val="110"/>
          <w:position w:val="1"/>
          <w:sz w:val="20"/>
        </w:rPr>
        <w:t> </w:t>
      </w:r>
      <w:r>
        <w:rPr>
          <w:color w:val="231F1F"/>
          <w:w w:val="110"/>
          <w:position w:val="1"/>
          <w:sz w:val="20"/>
        </w:rPr>
        <w:t>AM,</w:t>
      </w:r>
      <w:r>
        <w:rPr>
          <w:color w:val="231F1F"/>
          <w:spacing w:val="-3"/>
          <w:w w:val="110"/>
          <w:position w:val="1"/>
          <w:sz w:val="20"/>
        </w:rPr>
        <w:t> </w:t>
      </w:r>
      <w:r>
        <w:rPr>
          <w:color w:val="231F1F"/>
          <w:w w:val="110"/>
          <w:position w:val="1"/>
          <w:sz w:val="20"/>
        </w:rPr>
        <w:t>Forna</w:t>
      </w:r>
      <w:r>
        <w:rPr>
          <w:color w:val="231F1F"/>
          <w:spacing w:val="-3"/>
          <w:w w:val="110"/>
          <w:position w:val="1"/>
          <w:sz w:val="20"/>
        </w:rPr>
        <w:t> </w:t>
      </w:r>
      <w:r>
        <w:rPr>
          <w:color w:val="231F1F"/>
          <w:w w:val="110"/>
          <w:position w:val="1"/>
          <w:sz w:val="20"/>
        </w:rPr>
        <w:t>F,</w:t>
      </w:r>
      <w:r>
        <w:rPr>
          <w:color w:val="231F1F"/>
          <w:spacing w:val="-10"/>
          <w:w w:val="110"/>
          <w:position w:val="1"/>
          <w:sz w:val="20"/>
        </w:rPr>
        <w:t> </w:t>
      </w:r>
      <w:r>
        <w:rPr>
          <w:color w:val="231F1F"/>
          <w:w w:val="110"/>
          <w:position w:val="1"/>
          <w:sz w:val="20"/>
        </w:rPr>
        <w:t>Villar</w:t>
      </w:r>
      <w:r>
        <w:rPr>
          <w:color w:val="231F1F"/>
          <w:spacing w:val="-3"/>
          <w:w w:val="110"/>
          <w:position w:val="1"/>
          <w:sz w:val="20"/>
        </w:rPr>
        <w:t> </w:t>
      </w:r>
      <w:r>
        <w:rPr>
          <w:color w:val="231F1F"/>
          <w:w w:val="110"/>
          <w:position w:val="1"/>
          <w:sz w:val="20"/>
        </w:rPr>
        <w:t>J,</w:t>
      </w:r>
      <w:r>
        <w:rPr>
          <w:color w:val="231F1F"/>
          <w:spacing w:val="-3"/>
          <w:w w:val="110"/>
          <w:position w:val="1"/>
          <w:sz w:val="20"/>
        </w:rPr>
        <w:t> </w:t>
      </w:r>
      <w:r>
        <w:rPr>
          <w:color w:val="231F1F"/>
          <w:w w:val="110"/>
          <w:position w:val="1"/>
          <w:sz w:val="20"/>
        </w:rPr>
        <w:t>Hofmeyr</w:t>
      </w:r>
      <w:r>
        <w:rPr>
          <w:color w:val="231F1F"/>
          <w:spacing w:val="-3"/>
          <w:w w:val="110"/>
          <w:position w:val="1"/>
          <w:sz w:val="20"/>
        </w:rPr>
        <w:t> </w:t>
      </w:r>
      <w:r>
        <w:rPr>
          <w:color w:val="231F1F"/>
          <w:w w:val="110"/>
          <w:position w:val="1"/>
          <w:sz w:val="20"/>
        </w:rPr>
        <w:t>GJ.</w:t>
      </w:r>
      <w:r>
        <w:rPr>
          <w:color w:val="231F1F"/>
          <w:spacing w:val="-3"/>
          <w:w w:val="110"/>
          <w:position w:val="1"/>
          <w:sz w:val="20"/>
        </w:rPr>
        <w:t> </w:t>
      </w:r>
      <w:r>
        <w:rPr>
          <w:color w:val="231F1F"/>
          <w:w w:val="110"/>
          <w:position w:val="1"/>
          <w:sz w:val="20"/>
        </w:rPr>
        <w:t>Prostaglandinas</w:t>
      </w:r>
      <w:r>
        <w:rPr>
          <w:color w:val="231F1F"/>
          <w:spacing w:val="-3"/>
          <w:w w:val="110"/>
          <w:position w:val="1"/>
          <w:sz w:val="20"/>
        </w:rPr>
        <w:t> </w:t>
      </w:r>
      <w:r>
        <w:rPr>
          <w:color w:val="231F1F"/>
          <w:w w:val="110"/>
          <w:position w:val="1"/>
          <w:sz w:val="20"/>
        </w:rPr>
        <w:t>para</w:t>
      </w:r>
      <w:r>
        <w:rPr>
          <w:color w:val="231F1F"/>
          <w:spacing w:val="-3"/>
          <w:w w:val="110"/>
          <w:position w:val="1"/>
          <w:sz w:val="20"/>
        </w:rPr>
        <w:t> </w:t>
      </w:r>
      <w:r>
        <w:rPr>
          <w:color w:val="231F1F"/>
          <w:w w:val="110"/>
          <w:position w:val="1"/>
          <w:sz w:val="20"/>
        </w:rPr>
        <w:t>la</w:t>
      </w:r>
      <w:r>
        <w:rPr>
          <w:color w:val="231F1F"/>
          <w:spacing w:val="-3"/>
          <w:w w:val="110"/>
          <w:position w:val="1"/>
          <w:sz w:val="20"/>
        </w:rPr>
        <w:t> </w:t>
      </w:r>
      <w:r>
        <w:rPr>
          <w:color w:val="231F1F"/>
          <w:w w:val="110"/>
          <w:position w:val="1"/>
          <w:sz w:val="20"/>
        </w:rPr>
        <w:t>prevención</w:t>
      </w:r>
      <w:r>
        <w:rPr>
          <w:color w:val="231F1F"/>
          <w:spacing w:val="-3"/>
          <w:w w:val="110"/>
          <w:position w:val="1"/>
          <w:sz w:val="20"/>
        </w:rPr>
        <w:t> </w:t>
      </w:r>
      <w:r>
        <w:rPr>
          <w:color w:val="231F1F"/>
          <w:w w:val="110"/>
          <w:position w:val="1"/>
          <w:sz w:val="20"/>
        </w:rPr>
        <w:t>de</w:t>
      </w:r>
      <w:r>
        <w:rPr>
          <w:color w:val="231F1F"/>
          <w:spacing w:val="-3"/>
          <w:w w:val="110"/>
          <w:position w:val="1"/>
          <w:sz w:val="20"/>
        </w:rPr>
        <w:t> </w:t>
      </w:r>
      <w:r>
        <w:rPr>
          <w:color w:val="231F1F"/>
          <w:w w:val="110"/>
          <w:position w:val="1"/>
          <w:sz w:val="20"/>
        </w:rPr>
        <w:t>la </w:t>
      </w:r>
      <w:r>
        <w:rPr>
          <w:color w:val="231F1F"/>
          <w:w w:val="110"/>
          <w:sz w:val="20"/>
        </w:rPr>
        <w:t>hemorragia</w:t>
      </w:r>
      <w:r>
        <w:rPr>
          <w:color w:val="231F1F"/>
          <w:w w:val="110"/>
          <w:sz w:val="20"/>
        </w:rPr>
        <w:t> postparto</w:t>
      </w:r>
      <w:r>
        <w:rPr>
          <w:color w:val="231F1F"/>
          <w:w w:val="110"/>
          <w:sz w:val="20"/>
        </w:rPr>
        <w:t> (</w:t>
      </w:r>
      <w:r>
        <w:rPr>
          <w:color w:val="231F1F"/>
          <w:w w:val="110"/>
          <w:sz w:val="20"/>
        </w:rPr>
        <w:t> Revisión</w:t>
      </w:r>
      <w:r>
        <w:rPr>
          <w:color w:val="231F1F"/>
          <w:w w:val="110"/>
          <w:sz w:val="20"/>
        </w:rPr>
        <w:t> Cochrane</w:t>
      </w:r>
      <w:r>
        <w:rPr>
          <w:color w:val="231F1F"/>
          <w:w w:val="110"/>
          <w:sz w:val="20"/>
        </w:rPr>
        <w:t> traducida).</w:t>
      </w:r>
      <w:r>
        <w:rPr>
          <w:color w:val="231F1F"/>
          <w:spacing w:val="-4"/>
          <w:w w:val="110"/>
          <w:sz w:val="20"/>
        </w:rPr>
        <w:t> </w:t>
      </w:r>
      <w:r>
        <w:rPr>
          <w:color w:val="231F1F"/>
          <w:w w:val="110"/>
          <w:sz w:val="20"/>
        </w:rPr>
        <w:t>En:</w:t>
      </w:r>
      <w:r>
        <w:rPr>
          <w:color w:val="231F1F"/>
          <w:spacing w:val="-4"/>
          <w:w w:val="110"/>
          <w:sz w:val="20"/>
        </w:rPr>
        <w:t> </w:t>
      </w:r>
      <w:r>
        <w:rPr>
          <w:color w:val="231F1F"/>
          <w:w w:val="110"/>
          <w:sz w:val="20"/>
        </w:rPr>
        <w:t>La</w:t>
      </w:r>
      <w:r>
        <w:rPr>
          <w:color w:val="231F1F"/>
          <w:w w:val="110"/>
          <w:sz w:val="20"/>
        </w:rPr>
        <w:t> Biblioteca</w:t>
      </w:r>
      <w:r>
        <w:rPr>
          <w:color w:val="231F1F"/>
          <w:w w:val="110"/>
          <w:sz w:val="20"/>
        </w:rPr>
        <w:t> Cochrane</w:t>
      </w:r>
      <w:r>
        <w:rPr>
          <w:color w:val="231F1F"/>
          <w:w w:val="110"/>
          <w:sz w:val="20"/>
        </w:rPr>
        <w:t> Plus,</w:t>
      </w:r>
    </w:p>
    <w:p>
      <w:pPr>
        <w:pStyle w:val="ListParagraph"/>
        <w:spacing w:after="0" w:line="220" w:lineRule="auto"/>
        <w:jc w:val="left"/>
        <w:rPr>
          <w:sz w:val="20"/>
        </w:rPr>
        <w:sectPr>
          <w:pgSz w:w="11900" w:h="16840"/>
          <w:pgMar w:header="0" w:footer="622" w:top="1540" w:bottom="820" w:left="1417" w:right="1559"/>
        </w:sectPr>
      </w:pPr>
    </w:p>
    <w:p>
      <w:pPr>
        <w:spacing w:line="228" w:lineRule="auto" w:before="92"/>
        <w:ind w:left="798" w:right="113" w:firstLine="0"/>
        <w:jc w:val="both"/>
        <w:rPr>
          <w:sz w:val="20"/>
        </w:rPr>
      </w:pPr>
      <w:r>
        <w:rPr>
          <w:color w:val="231F1F"/>
          <w:w w:val="105"/>
          <w:sz w:val="20"/>
        </w:rPr>
        <w:t>2008.</w:t>
      </w:r>
      <w:r>
        <w:rPr>
          <w:color w:val="231F1F"/>
          <w:w w:val="105"/>
          <w:sz w:val="20"/>
        </w:rPr>
        <w:t> Número</w:t>
      </w:r>
      <w:r>
        <w:rPr>
          <w:color w:val="231F1F"/>
          <w:w w:val="105"/>
          <w:sz w:val="20"/>
        </w:rPr>
        <w:t> 2</w:t>
      </w:r>
      <w:r>
        <w:rPr>
          <w:color w:val="231F1F"/>
          <w:w w:val="105"/>
          <w:sz w:val="20"/>
        </w:rPr>
        <w:t> Oxford:</w:t>
      </w:r>
      <w:r>
        <w:rPr>
          <w:color w:val="231F1F"/>
          <w:w w:val="105"/>
          <w:sz w:val="20"/>
        </w:rPr>
        <w:t> Update</w:t>
      </w:r>
      <w:r>
        <w:rPr>
          <w:color w:val="231F1F"/>
          <w:w w:val="105"/>
          <w:sz w:val="20"/>
        </w:rPr>
        <w:t> Software</w:t>
      </w:r>
      <w:r>
        <w:rPr>
          <w:color w:val="231F1F"/>
          <w:w w:val="105"/>
          <w:sz w:val="20"/>
        </w:rPr>
        <w:t> Ltd</w:t>
      </w:r>
      <w:r>
        <w:rPr>
          <w:color w:val="231F1F"/>
          <w:w w:val="105"/>
          <w:sz w:val="20"/>
        </w:rPr>
        <w:t> Disponible</w:t>
      </w:r>
      <w:r>
        <w:rPr>
          <w:color w:val="231F1F"/>
          <w:w w:val="105"/>
          <w:sz w:val="20"/>
        </w:rPr>
        <w:t> en:</w:t>
      </w:r>
      <w:r>
        <w:rPr>
          <w:color w:val="231F1F"/>
          <w:w w:val="105"/>
          <w:sz w:val="20"/>
        </w:rPr>
        <w:t> </w:t>
      </w:r>
      <w:r>
        <w:rPr>
          <w:color w:val="A30046"/>
          <w:w w:val="105"/>
          <w:sz w:val="20"/>
        </w:rPr>
        <w:t>http://www.update-software. com </w:t>
      </w:r>
      <w:r>
        <w:rPr>
          <w:color w:val="231F1F"/>
          <w:w w:val="105"/>
          <w:sz w:val="20"/>
        </w:rPr>
        <w:t>(Traducida de The Cochrane Library, 2008 Issue 2 Chichester, UK: John Wiley &amp; Sons, Ltd ) 2008.</w:t>
      </w:r>
    </w:p>
    <w:p>
      <w:pPr>
        <w:pStyle w:val="ListParagraph"/>
        <w:numPr>
          <w:ilvl w:val="0"/>
          <w:numId w:val="109"/>
        </w:numPr>
        <w:tabs>
          <w:tab w:pos="793" w:val="left" w:leader="none"/>
          <w:tab w:pos="797" w:val="left" w:leader="none"/>
        </w:tabs>
        <w:spacing w:line="228" w:lineRule="auto" w:before="184" w:after="0"/>
        <w:ind w:left="797" w:right="123" w:hanging="502"/>
        <w:jc w:val="both"/>
        <w:rPr>
          <w:sz w:val="20"/>
        </w:rPr>
      </w:pPr>
      <w:r>
        <w:rPr>
          <w:color w:val="231F1F"/>
          <w:w w:val="110"/>
          <w:sz w:val="20"/>
        </w:rPr>
        <w:t>Liabsuetrakul</w:t>
      </w:r>
      <w:r>
        <w:rPr>
          <w:color w:val="231F1F"/>
          <w:spacing w:val="-8"/>
          <w:w w:val="110"/>
          <w:sz w:val="20"/>
        </w:rPr>
        <w:t> </w:t>
      </w:r>
      <w:r>
        <w:rPr>
          <w:color w:val="231F1F"/>
          <w:w w:val="110"/>
          <w:sz w:val="20"/>
        </w:rPr>
        <w:t>T,</w:t>
      </w:r>
      <w:r>
        <w:rPr>
          <w:color w:val="231F1F"/>
          <w:spacing w:val="-8"/>
          <w:w w:val="110"/>
          <w:sz w:val="20"/>
        </w:rPr>
        <w:t> </w:t>
      </w:r>
      <w:r>
        <w:rPr>
          <w:color w:val="231F1F"/>
          <w:w w:val="110"/>
          <w:sz w:val="20"/>
        </w:rPr>
        <w:t>Choobun</w:t>
      </w:r>
      <w:r>
        <w:rPr>
          <w:color w:val="231F1F"/>
          <w:spacing w:val="-9"/>
          <w:w w:val="110"/>
          <w:sz w:val="20"/>
        </w:rPr>
        <w:t> </w:t>
      </w:r>
      <w:r>
        <w:rPr>
          <w:color w:val="231F1F"/>
          <w:w w:val="110"/>
          <w:sz w:val="20"/>
        </w:rPr>
        <w:t>T,</w:t>
      </w:r>
      <w:r>
        <w:rPr>
          <w:color w:val="231F1F"/>
          <w:spacing w:val="-8"/>
          <w:w w:val="110"/>
          <w:sz w:val="20"/>
        </w:rPr>
        <w:t> </w:t>
      </w:r>
      <w:r>
        <w:rPr>
          <w:color w:val="231F1F"/>
          <w:w w:val="110"/>
          <w:sz w:val="20"/>
        </w:rPr>
        <w:t>Peeyananjarassri</w:t>
      </w:r>
      <w:r>
        <w:rPr>
          <w:color w:val="231F1F"/>
          <w:spacing w:val="-7"/>
          <w:w w:val="110"/>
          <w:sz w:val="20"/>
        </w:rPr>
        <w:t> </w:t>
      </w:r>
      <w:r>
        <w:rPr>
          <w:color w:val="231F1F"/>
          <w:w w:val="110"/>
          <w:sz w:val="20"/>
        </w:rPr>
        <w:t>K,</w:t>
      </w:r>
      <w:r>
        <w:rPr>
          <w:color w:val="231F1F"/>
          <w:spacing w:val="-8"/>
          <w:w w:val="110"/>
          <w:sz w:val="20"/>
        </w:rPr>
        <w:t> </w:t>
      </w:r>
      <w:r>
        <w:rPr>
          <w:color w:val="231F1F"/>
          <w:w w:val="110"/>
          <w:sz w:val="20"/>
        </w:rPr>
        <w:t>Islam</w:t>
      </w:r>
      <w:r>
        <w:rPr>
          <w:color w:val="231F1F"/>
          <w:spacing w:val="-8"/>
          <w:w w:val="110"/>
          <w:sz w:val="20"/>
        </w:rPr>
        <w:t> </w:t>
      </w:r>
      <w:r>
        <w:rPr>
          <w:color w:val="231F1F"/>
          <w:w w:val="110"/>
          <w:sz w:val="20"/>
        </w:rPr>
        <w:t>QM.</w:t>
      </w:r>
      <w:r>
        <w:rPr>
          <w:color w:val="231F1F"/>
          <w:spacing w:val="-8"/>
          <w:w w:val="110"/>
          <w:sz w:val="20"/>
        </w:rPr>
        <w:t> </w:t>
      </w:r>
      <w:r>
        <w:rPr>
          <w:color w:val="231F1F"/>
          <w:w w:val="110"/>
          <w:sz w:val="20"/>
        </w:rPr>
        <w:t>Uso</w:t>
      </w:r>
      <w:r>
        <w:rPr>
          <w:color w:val="231F1F"/>
          <w:spacing w:val="-7"/>
          <w:w w:val="110"/>
          <w:sz w:val="20"/>
        </w:rPr>
        <w:t> </w:t>
      </w:r>
      <w:r>
        <w:rPr>
          <w:color w:val="231F1F"/>
          <w:w w:val="110"/>
          <w:sz w:val="20"/>
        </w:rPr>
        <w:t>profiláctico</w:t>
      </w:r>
      <w:r>
        <w:rPr>
          <w:color w:val="231F1F"/>
          <w:spacing w:val="-7"/>
          <w:w w:val="110"/>
          <w:sz w:val="20"/>
        </w:rPr>
        <w:t> </w:t>
      </w:r>
      <w:r>
        <w:rPr>
          <w:color w:val="231F1F"/>
          <w:w w:val="110"/>
          <w:sz w:val="20"/>
        </w:rPr>
        <w:t>de</w:t>
      </w:r>
      <w:r>
        <w:rPr>
          <w:color w:val="231F1F"/>
          <w:spacing w:val="-7"/>
          <w:w w:val="110"/>
          <w:sz w:val="20"/>
        </w:rPr>
        <w:t> </w:t>
      </w:r>
      <w:r>
        <w:rPr>
          <w:color w:val="231F1F"/>
          <w:w w:val="110"/>
          <w:sz w:val="20"/>
        </w:rPr>
        <w:t>alcaloides del cornezuelo del centeno en la etapa expulsiva del trabajo del parto ( Revisión Cochrane traducida).</w:t>
      </w:r>
      <w:r>
        <w:rPr>
          <w:color w:val="231F1F"/>
          <w:w w:val="110"/>
          <w:sz w:val="20"/>
        </w:rPr>
        <w:t> En:</w:t>
      </w:r>
      <w:r>
        <w:rPr>
          <w:color w:val="231F1F"/>
          <w:w w:val="110"/>
          <w:sz w:val="20"/>
        </w:rPr>
        <w:t> La</w:t>
      </w:r>
      <w:r>
        <w:rPr>
          <w:color w:val="231F1F"/>
          <w:w w:val="110"/>
          <w:sz w:val="20"/>
        </w:rPr>
        <w:t> Biblioteca</w:t>
      </w:r>
      <w:r>
        <w:rPr>
          <w:color w:val="231F1F"/>
          <w:w w:val="110"/>
          <w:sz w:val="20"/>
        </w:rPr>
        <w:t> Cochrane</w:t>
      </w:r>
      <w:r>
        <w:rPr>
          <w:color w:val="231F1F"/>
          <w:w w:val="110"/>
          <w:sz w:val="20"/>
        </w:rPr>
        <w:t> Plus.</w:t>
      </w:r>
      <w:r>
        <w:rPr>
          <w:color w:val="231F1F"/>
          <w:w w:val="110"/>
          <w:sz w:val="20"/>
        </w:rPr>
        <w:t> Número</w:t>
      </w:r>
      <w:r>
        <w:rPr>
          <w:color w:val="231F1F"/>
          <w:w w:val="110"/>
          <w:sz w:val="20"/>
        </w:rPr>
        <w:t> 2</w:t>
      </w:r>
      <w:r>
        <w:rPr>
          <w:color w:val="231F1F"/>
          <w:w w:val="110"/>
          <w:sz w:val="20"/>
        </w:rPr>
        <w:t> Oxford:</w:t>
      </w:r>
      <w:r>
        <w:rPr>
          <w:color w:val="231F1F"/>
          <w:w w:val="110"/>
          <w:sz w:val="20"/>
        </w:rPr>
        <w:t> Update</w:t>
      </w:r>
      <w:r>
        <w:rPr>
          <w:color w:val="231F1F"/>
          <w:w w:val="110"/>
          <w:sz w:val="20"/>
        </w:rPr>
        <w:t> Software</w:t>
      </w:r>
      <w:r>
        <w:rPr>
          <w:color w:val="231F1F"/>
          <w:w w:val="110"/>
          <w:sz w:val="20"/>
        </w:rPr>
        <w:t> Ltd Disponible</w:t>
      </w:r>
      <w:r>
        <w:rPr>
          <w:color w:val="231F1F"/>
          <w:spacing w:val="-16"/>
          <w:w w:val="110"/>
          <w:sz w:val="20"/>
        </w:rPr>
        <w:t> </w:t>
      </w:r>
      <w:r>
        <w:rPr>
          <w:color w:val="231F1F"/>
          <w:w w:val="110"/>
          <w:sz w:val="20"/>
        </w:rPr>
        <w:t>en:</w:t>
      </w:r>
      <w:r>
        <w:rPr>
          <w:color w:val="231F1F"/>
          <w:spacing w:val="-14"/>
          <w:w w:val="110"/>
          <w:sz w:val="20"/>
        </w:rPr>
        <w:t> </w:t>
      </w:r>
      <w:hyperlink r:id="rId105">
        <w:r>
          <w:rPr>
            <w:color w:val="A30046"/>
            <w:w w:val="110"/>
            <w:sz w:val="20"/>
          </w:rPr>
          <w:t>http://www.update-software.com</w:t>
        </w:r>
      </w:hyperlink>
      <w:r>
        <w:rPr>
          <w:color w:val="A30046"/>
          <w:spacing w:val="-14"/>
          <w:w w:val="110"/>
          <w:sz w:val="20"/>
        </w:rPr>
        <w:t> </w:t>
      </w:r>
      <w:r>
        <w:rPr>
          <w:color w:val="231F1F"/>
          <w:w w:val="110"/>
          <w:sz w:val="20"/>
        </w:rPr>
        <w:t>(Traducida</w:t>
      </w:r>
      <w:r>
        <w:rPr>
          <w:color w:val="231F1F"/>
          <w:spacing w:val="-13"/>
          <w:w w:val="110"/>
          <w:sz w:val="20"/>
        </w:rPr>
        <w:t> </w:t>
      </w:r>
      <w:r>
        <w:rPr>
          <w:color w:val="231F1F"/>
          <w:w w:val="110"/>
          <w:sz w:val="20"/>
        </w:rPr>
        <w:t>de</w:t>
      </w:r>
      <w:r>
        <w:rPr>
          <w:color w:val="231F1F"/>
          <w:spacing w:val="-14"/>
          <w:w w:val="110"/>
          <w:sz w:val="20"/>
        </w:rPr>
        <w:t> </w:t>
      </w:r>
      <w:r>
        <w:rPr>
          <w:color w:val="231F1F"/>
          <w:w w:val="110"/>
          <w:sz w:val="20"/>
        </w:rPr>
        <w:t>The</w:t>
      </w:r>
      <w:r>
        <w:rPr>
          <w:color w:val="231F1F"/>
          <w:spacing w:val="-14"/>
          <w:w w:val="110"/>
          <w:sz w:val="20"/>
        </w:rPr>
        <w:t> </w:t>
      </w:r>
      <w:r>
        <w:rPr>
          <w:color w:val="231F1F"/>
          <w:w w:val="110"/>
          <w:sz w:val="20"/>
        </w:rPr>
        <w:t>Cochrane</w:t>
      </w:r>
      <w:r>
        <w:rPr>
          <w:color w:val="231F1F"/>
          <w:spacing w:val="-14"/>
          <w:w w:val="110"/>
          <w:sz w:val="20"/>
        </w:rPr>
        <w:t> </w:t>
      </w:r>
      <w:r>
        <w:rPr>
          <w:color w:val="231F1F"/>
          <w:w w:val="110"/>
          <w:sz w:val="20"/>
        </w:rPr>
        <w:t>Library,</w:t>
      </w:r>
      <w:r>
        <w:rPr>
          <w:color w:val="231F1F"/>
          <w:spacing w:val="-13"/>
          <w:w w:val="110"/>
          <w:sz w:val="20"/>
        </w:rPr>
        <w:t> </w:t>
      </w:r>
      <w:r>
        <w:rPr>
          <w:color w:val="231F1F"/>
          <w:w w:val="110"/>
          <w:sz w:val="20"/>
        </w:rPr>
        <w:t>2008 Issue 2 Chichester, UK: John Wiley &amp; Sons,Ltd ) 2008.</w:t>
      </w:r>
    </w:p>
    <w:p>
      <w:pPr>
        <w:pStyle w:val="ListParagraph"/>
        <w:numPr>
          <w:ilvl w:val="0"/>
          <w:numId w:val="109"/>
        </w:numPr>
        <w:tabs>
          <w:tab w:pos="794" w:val="left" w:leader="none"/>
          <w:tab w:pos="798" w:val="left" w:leader="none"/>
        </w:tabs>
        <w:spacing w:line="228" w:lineRule="auto" w:before="209" w:after="0"/>
        <w:ind w:left="798" w:right="120" w:hanging="502"/>
        <w:jc w:val="both"/>
        <w:rPr>
          <w:sz w:val="20"/>
        </w:rPr>
      </w:pPr>
      <w:r>
        <w:rPr>
          <w:color w:val="231F1F"/>
          <w:w w:val="105"/>
          <w:sz w:val="20"/>
        </w:rPr>
        <w:t>Mousa</w:t>
      </w:r>
      <w:r>
        <w:rPr>
          <w:color w:val="231F1F"/>
          <w:w w:val="105"/>
          <w:sz w:val="20"/>
        </w:rPr>
        <w:t> HA,</w:t>
      </w:r>
      <w:r>
        <w:rPr>
          <w:color w:val="231F1F"/>
          <w:w w:val="105"/>
          <w:sz w:val="20"/>
        </w:rPr>
        <w:t> Alfirevic</w:t>
      </w:r>
      <w:r>
        <w:rPr>
          <w:color w:val="231F1F"/>
          <w:w w:val="105"/>
          <w:sz w:val="20"/>
        </w:rPr>
        <w:t> Z.</w:t>
      </w:r>
      <w:r>
        <w:rPr>
          <w:color w:val="231F1F"/>
          <w:w w:val="105"/>
          <w:sz w:val="20"/>
        </w:rPr>
        <w:t> Tratamiento</w:t>
      </w:r>
      <w:r>
        <w:rPr>
          <w:color w:val="231F1F"/>
          <w:w w:val="105"/>
          <w:sz w:val="20"/>
        </w:rPr>
        <w:t> para</w:t>
      </w:r>
      <w:r>
        <w:rPr>
          <w:color w:val="231F1F"/>
          <w:w w:val="105"/>
          <w:sz w:val="20"/>
        </w:rPr>
        <w:t> la</w:t>
      </w:r>
      <w:r>
        <w:rPr>
          <w:color w:val="231F1F"/>
          <w:w w:val="105"/>
          <w:sz w:val="20"/>
        </w:rPr>
        <w:t> hemorragía</w:t>
      </w:r>
      <w:r>
        <w:rPr>
          <w:color w:val="231F1F"/>
          <w:w w:val="105"/>
          <w:sz w:val="20"/>
        </w:rPr>
        <w:t> postparto</w:t>
      </w:r>
      <w:r>
        <w:rPr>
          <w:color w:val="231F1F"/>
          <w:w w:val="105"/>
          <w:sz w:val="20"/>
        </w:rPr>
        <w:t> primaria</w:t>
      </w:r>
      <w:r>
        <w:rPr>
          <w:color w:val="231F1F"/>
          <w:w w:val="105"/>
          <w:sz w:val="20"/>
        </w:rPr>
        <w:t> (Revisión Cochrane</w:t>
      </w:r>
      <w:r>
        <w:rPr>
          <w:color w:val="231F1F"/>
          <w:w w:val="105"/>
          <w:sz w:val="20"/>
        </w:rPr>
        <w:t> traducida).</w:t>
      </w:r>
      <w:r>
        <w:rPr>
          <w:color w:val="231F1F"/>
          <w:w w:val="105"/>
          <w:sz w:val="20"/>
        </w:rPr>
        <w:t> En:</w:t>
      </w:r>
      <w:r>
        <w:rPr>
          <w:color w:val="231F1F"/>
          <w:w w:val="105"/>
          <w:sz w:val="20"/>
        </w:rPr>
        <w:t> La</w:t>
      </w:r>
      <w:r>
        <w:rPr>
          <w:color w:val="231F1F"/>
          <w:w w:val="105"/>
          <w:sz w:val="20"/>
        </w:rPr>
        <w:t> Biblioteca</w:t>
      </w:r>
      <w:r>
        <w:rPr>
          <w:color w:val="231F1F"/>
          <w:w w:val="105"/>
          <w:sz w:val="20"/>
        </w:rPr>
        <w:t> Cochrane</w:t>
      </w:r>
      <w:r>
        <w:rPr>
          <w:color w:val="231F1F"/>
          <w:w w:val="105"/>
          <w:sz w:val="20"/>
        </w:rPr>
        <w:t> Plus,</w:t>
      </w:r>
      <w:r>
        <w:rPr>
          <w:color w:val="231F1F"/>
          <w:w w:val="105"/>
          <w:sz w:val="20"/>
        </w:rPr>
        <w:t> 2008.</w:t>
      </w:r>
      <w:r>
        <w:rPr>
          <w:color w:val="231F1F"/>
          <w:w w:val="105"/>
          <w:sz w:val="20"/>
        </w:rPr>
        <w:t> Número</w:t>
      </w:r>
      <w:r>
        <w:rPr>
          <w:color w:val="231F1F"/>
          <w:w w:val="105"/>
          <w:sz w:val="20"/>
        </w:rPr>
        <w:t> 2</w:t>
      </w:r>
      <w:r>
        <w:rPr>
          <w:color w:val="231F1F"/>
          <w:w w:val="105"/>
          <w:sz w:val="20"/>
        </w:rPr>
        <w:t> Oxford:</w:t>
      </w:r>
      <w:r>
        <w:rPr>
          <w:color w:val="231F1F"/>
          <w:w w:val="105"/>
          <w:sz w:val="20"/>
        </w:rPr>
        <w:t> Update Software</w:t>
      </w:r>
      <w:r>
        <w:rPr>
          <w:color w:val="231F1F"/>
          <w:w w:val="105"/>
          <w:sz w:val="20"/>
        </w:rPr>
        <w:t> Ltd</w:t>
      </w:r>
      <w:r>
        <w:rPr>
          <w:color w:val="231F1F"/>
          <w:w w:val="105"/>
          <w:sz w:val="20"/>
        </w:rPr>
        <w:t> Disponible</w:t>
      </w:r>
      <w:r>
        <w:rPr>
          <w:color w:val="231F1F"/>
          <w:w w:val="105"/>
          <w:sz w:val="20"/>
        </w:rPr>
        <w:t> en:</w:t>
      </w:r>
      <w:r>
        <w:rPr>
          <w:color w:val="231F1F"/>
          <w:w w:val="105"/>
          <w:sz w:val="20"/>
        </w:rPr>
        <w:t> </w:t>
      </w:r>
      <w:hyperlink r:id="rId105">
        <w:r>
          <w:rPr>
            <w:color w:val="A30046"/>
            <w:w w:val="105"/>
            <w:sz w:val="20"/>
          </w:rPr>
          <w:t>http://www.update-software.com</w:t>
        </w:r>
      </w:hyperlink>
      <w:r>
        <w:rPr>
          <w:color w:val="A30046"/>
          <w:w w:val="105"/>
          <w:sz w:val="20"/>
        </w:rPr>
        <w:t> </w:t>
      </w:r>
      <w:r>
        <w:rPr>
          <w:color w:val="231F1F"/>
          <w:w w:val="105"/>
          <w:sz w:val="20"/>
        </w:rPr>
        <w:t>(Traducida</w:t>
      </w:r>
      <w:r>
        <w:rPr>
          <w:color w:val="231F1F"/>
          <w:w w:val="105"/>
          <w:sz w:val="20"/>
        </w:rPr>
        <w:t> de</w:t>
      </w:r>
      <w:r>
        <w:rPr>
          <w:color w:val="231F1F"/>
          <w:w w:val="105"/>
          <w:sz w:val="20"/>
        </w:rPr>
        <w:t> The</w:t>
      </w:r>
      <w:r>
        <w:rPr>
          <w:color w:val="231F1F"/>
          <w:w w:val="105"/>
          <w:sz w:val="20"/>
        </w:rPr>
        <w:t> Cochrane Library, 2008 Issue 2 Chichester, UK: John Wiley &amp; Sons, Ltd ) 2008.</w:t>
      </w:r>
    </w:p>
    <w:p>
      <w:pPr>
        <w:pStyle w:val="ListParagraph"/>
        <w:numPr>
          <w:ilvl w:val="0"/>
          <w:numId w:val="109"/>
        </w:numPr>
        <w:tabs>
          <w:tab w:pos="794" w:val="left" w:leader="none"/>
          <w:tab w:pos="798" w:val="left" w:leader="none"/>
        </w:tabs>
        <w:spacing w:line="228" w:lineRule="auto" w:before="201" w:after="0"/>
        <w:ind w:left="798" w:right="124" w:hanging="502"/>
        <w:jc w:val="both"/>
        <w:rPr>
          <w:sz w:val="20"/>
        </w:rPr>
      </w:pPr>
      <w:r>
        <w:rPr>
          <w:color w:val="231F1F"/>
          <w:w w:val="105"/>
          <w:sz w:val="20"/>
        </w:rPr>
        <w:t>Su LL, Chong YS, Samuel M. Agonistas de la oxitocina para la prevención de la hemorrragia postparto</w:t>
      </w:r>
      <w:r>
        <w:rPr>
          <w:color w:val="231F1F"/>
          <w:spacing w:val="40"/>
          <w:w w:val="105"/>
          <w:sz w:val="20"/>
        </w:rPr>
        <w:t> </w:t>
      </w:r>
      <w:r>
        <w:rPr>
          <w:color w:val="231F1F"/>
          <w:w w:val="105"/>
          <w:sz w:val="20"/>
        </w:rPr>
        <w:t>(Revisión</w:t>
      </w:r>
      <w:r>
        <w:rPr>
          <w:color w:val="231F1F"/>
          <w:spacing w:val="40"/>
          <w:w w:val="105"/>
          <w:sz w:val="20"/>
        </w:rPr>
        <w:t> </w:t>
      </w:r>
      <w:r>
        <w:rPr>
          <w:color w:val="231F1F"/>
          <w:w w:val="105"/>
          <w:sz w:val="20"/>
        </w:rPr>
        <w:t>Cochrane</w:t>
      </w:r>
      <w:r>
        <w:rPr>
          <w:color w:val="231F1F"/>
          <w:spacing w:val="40"/>
          <w:w w:val="105"/>
          <w:sz w:val="20"/>
        </w:rPr>
        <w:t> </w:t>
      </w:r>
      <w:r>
        <w:rPr>
          <w:color w:val="231F1F"/>
          <w:w w:val="105"/>
          <w:sz w:val="20"/>
        </w:rPr>
        <w:t>traducida).</w:t>
      </w:r>
      <w:r>
        <w:rPr>
          <w:color w:val="231F1F"/>
          <w:w w:val="105"/>
          <w:sz w:val="20"/>
        </w:rPr>
        <w:t> En:</w:t>
      </w:r>
      <w:r>
        <w:rPr>
          <w:color w:val="231F1F"/>
          <w:w w:val="105"/>
          <w:sz w:val="20"/>
        </w:rPr>
        <w:t> La</w:t>
      </w:r>
      <w:r>
        <w:rPr>
          <w:color w:val="231F1F"/>
          <w:spacing w:val="40"/>
          <w:w w:val="105"/>
          <w:sz w:val="20"/>
        </w:rPr>
        <w:t> </w:t>
      </w:r>
      <w:r>
        <w:rPr>
          <w:color w:val="231F1F"/>
          <w:w w:val="105"/>
          <w:sz w:val="20"/>
        </w:rPr>
        <w:t>Biblioteca</w:t>
      </w:r>
      <w:r>
        <w:rPr>
          <w:color w:val="231F1F"/>
          <w:spacing w:val="40"/>
          <w:w w:val="105"/>
          <w:sz w:val="20"/>
        </w:rPr>
        <w:t> </w:t>
      </w:r>
      <w:r>
        <w:rPr>
          <w:color w:val="231F1F"/>
          <w:w w:val="105"/>
          <w:sz w:val="20"/>
        </w:rPr>
        <w:t>Cochrane</w:t>
      </w:r>
      <w:r>
        <w:rPr>
          <w:color w:val="231F1F"/>
          <w:spacing w:val="40"/>
          <w:w w:val="105"/>
          <w:sz w:val="20"/>
        </w:rPr>
        <w:t> </w:t>
      </w:r>
      <w:r>
        <w:rPr>
          <w:color w:val="231F1F"/>
          <w:w w:val="105"/>
          <w:sz w:val="20"/>
        </w:rPr>
        <w:t>Plus.</w:t>
      </w:r>
      <w:r>
        <w:rPr>
          <w:color w:val="231F1F"/>
          <w:w w:val="105"/>
          <w:sz w:val="20"/>
        </w:rPr>
        <w:t> Número</w:t>
      </w:r>
      <w:r>
        <w:rPr>
          <w:color w:val="231F1F"/>
          <w:spacing w:val="40"/>
          <w:w w:val="105"/>
          <w:sz w:val="20"/>
        </w:rPr>
        <w:t> </w:t>
      </w:r>
      <w:r>
        <w:rPr>
          <w:color w:val="231F1F"/>
          <w:w w:val="105"/>
          <w:sz w:val="20"/>
        </w:rPr>
        <w:t>1 Oxford:</w:t>
      </w:r>
      <w:r>
        <w:rPr>
          <w:color w:val="231F1F"/>
          <w:w w:val="105"/>
          <w:sz w:val="20"/>
        </w:rPr>
        <w:t> Update</w:t>
      </w:r>
      <w:r>
        <w:rPr>
          <w:color w:val="231F1F"/>
          <w:w w:val="105"/>
          <w:sz w:val="20"/>
        </w:rPr>
        <w:t> Software</w:t>
      </w:r>
      <w:r>
        <w:rPr>
          <w:color w:val="231F1F"/>
          <w:w w:val="105"/>
          <w:sz w:val="20"/>
        </w:rPr>
        <w:t> Ltd</w:t>
      </w:r>
      <w:r>
        <w:rPr>
          <w:color w:val="231F1F"/>
          <w:w w:val="105"/>
          <w:sz w:val="20"/>
        </w:rPr>
        <w:t> Disponible</w:t>
      </w:r>
      <w:r>
        <w:rPr>
          <w:color w:val="231F1F"/>
          <w:w w:val="105"/>
          <w:sz w:val="20"/>
        </w:rPr>
        <w:t> en:</w:t>
      </w:r>
      <w:r>
        <w:rPr>
          <w:color w:val="231F1F"/>
          <w:w w:val="105"/>
          <w:sz w:val="20"/>
        </w:rPr>
        <w:t> </w:t>
      </w:r>
      <w:hyperlink r:id="rId105">
        <w:r>
          <w:rPr>
            <w:color w:val="A30046"/>
            <w:w w:val="105"/>
            <w:sz w:val="20"/>
          </w:rPr>
          <w:t>http://www.update-software.com</w:t>
        </w:r>
      </w:hyperlink>
      <w:r>
        <w:rPr>
          <w:color w:val="A30046"/>
          <w:w w:val="105"/>
          <w:sz w:val="20"/>
        </w:rPr>
        <w:t> </w:t>
      </w:r>
      <w:r>
        <w:rPr>
          <w:color w:val="231F1F"/>
          <w:w w:val="105"/>
          <w:sz w:val="20"/>
        </w:rPr>
        <w:t>(traducida</w:t>
      </w:r>
      <w:r>
        <w:rPr>
          <w:color w:val="231F1F"/>
          <w:w w:val="105"/>
          <w:sz w:val="20"/>
        </w:rPr>
        <w:t> de The Cochrane Library, 2008 Issue 1 Chischester, UK: John Wiley &amp; Sons, Ltd) 2008.</w:t>
      </w:r>
    </w:p>
    <w:p>
      <w:pPr>
        <w:pStyle w:val="ListParagraph"/>
        <w:numPr>
          <w:ilvl w:val="0"/>
          <w:numId w:val="109"/>
        </w:numPr>
        <w:tabs>
          <w:tab w:pos="793" w:val="left" w:leader="none"/>
          <w:tab w:pos="797" w:val="left" w:leader="none"/>
        </w:tabs>
        <w:spacing w:line="225" w:lineRule="auto" w:before="194" w:after="0"/>
        <w:ind w:left="797" w:right="123" w:hanging="502"/>
        <w:jc w:val="both"/>
        <w:rPr>
          <w:sz w:val="20"/>
        </w:rPr>
      </w:pPr>
      <w:r>
        <w:rPr>
          <w:color w:val="231F1F"/>
          <w:w w:val="110"/>
          <w:sz w:val="20"/>
        </w:rPr>
        <w:t>Fujimoto</w:t>
      </w:r>
      <w:r>
        <w:rPr>
          <w:color w:val="231F1F"/>
          <w:spacing w:val="-5"/>
          <w:w w:val="110"/>
          <w:sz w:val="20"/>
        </w:rPr>
        <w:t> </w:t>
      </w:r>
      <w:r>
        <w:rPr>
          <w:color w:val="231F1F"/>
          <w:w w:val="110"/>
          <w:sz w:val="20"/>
        </w:rPr>
        <w:t>M,</w:t>
      </w:r>
      <w:r>
        <w:rPr>
          <w:color w:val="231F1F"/>
          <w:spacing w:val="-7"/>
          <w:w w:val="110"/>
          <w:sz w:val="20"/>
        </w:rPr>
        <w:t> </w:t>
      </w:r>
      <w:r>
        <w:rPr>
          <w:color w:val="231F1F"/>
          <w:w w:val="110"/>
          <w:sz w:val="20"/>
        </w:rPr>
        <w:t>Takeuchi</w:t>
      </w:r>
      <w:r>
        <w:rPr>
          <w:color w:val="231F1F"/>
          <w:spacing w:val="-4"/>
          <w:w w:val="110"/>
          <w:sz w:val="20"/>
        </w:rPr>
        <w:t> </w:t>
      </w:r>
      <w:r>
        <w:rPr>
          <w:color w:val="231F1F"/>
          <w:w w:val="110"/>
          <w:sz w:val="20"/>
        </w:rPr>
        <w:t>K,</w:t>
      </w:r>
      <w:r>
        <w:rPr>
          <w:color w:val="231F1F"/>
          <w:spacing w:val="-6"/>
          <w:w w:val="110"/>
          <w:sz w:val="20"/>
        </w:rPr>
        <w:t> </w:t>
      </w:r>
      <w:r>
        <w:rPr>
          <w:color w:val="231F1F"/>
          <w:w w:val="110"/>
          <w:sz w:val="20"/>
        </w:rPr>
        <w:t>Sugimoto</w:t>
      </w:r>
      <w:r>
        <w:rPr>
          <w:color w:val="231F1F"/>
          <w:spacing w:val="-4"/>
          <w:w w:val="110"/>
          <w:sz w:val="20"/>
        </w:rPr>
        <w:t> </w:t>
      </w:r>
      <w:r>
        <w:rPr>
          <w:color w:val="231F1F"/>
          <w:w w:val="110"/>
          <w:sz w:val="20"/>
        </w:rPr>
        <w:t>M,</w:t>
      </w:r>
      <w:r>
        <w:rPr>
          <w:color w:val="231F1F"/>
          <w:spacing w:val="-6"/>
          <w:w w:val="110"/>
          <w:sz w:val="20"/>
        </w:rPr>
        <w:t> </w:t>
      </w:r>
      <w:r>
        <w:rPr>
          <w:color w:val="231F1F"/>
          <w:w w:val="110"/>
          <w:sz w:val="20"/>
        </w:rPr>
        <w:t>Maruo</w:t>
      </w:r>
      <w:r>
        <w:rPr>
          <w:color w:val="231F1F"/>
          <w:spacing w:val="-7"/>
          <w:w w:val="110"/>
          <w:sz w:val="20"/>
        </w:rPr>
        <w:t> </w:t>
      </w:r>
      <w:r>
        <w:rPr>
          <w:color w:val="231F1F"/>
          <w:w w:val="110"/>
          <w:sz w:val="20"/>
        </w:rPr>
        <w:t>T.</w:t>
      </w:r>
      <w:r>
        <w:rPr>
          <w:color w:val="231F1F"/>
          <w:spacing w:val="-6"/>
          <w:w w:val="110"/>
          <w:sz w:val="20"/>
        </w:rPr>
        <w:t> </w:t>
      </w:r>
      <w:r>
        <w:rPr>
          <w:color w:val="231F1F"/>
          <w:w w:val="110"/>
          <w:sz w:val="20"/>
        </w:rPr>
        <w:t>Prevention</w:t>
      </w:r>
      <w:r>
        <w:rPr>
          <w:color w:val="231F1F"/>
          <w:spacing w:val="-4"/>
          <w:w w:val="110"/>
          <w:sz w:val="20"/>
        </w:rPr>
        <w:t> </w:t>
      </w:r>
      <w:r>
        <w:rPr>
          <w:color w:val="231F1F"/>
          <w:w w:val="110"/>
          <w:sz w:val="20"/>
        </w:rPr>
        <w:t>of</w:t>
      </w:r>
      <w:r>
        <w:rPr>
          <w:color w:val="231F1F"/>
          <w:spacing w:val="-4"/>
          <w:w w:val="110"/>
          <w:sz w:val="20"/>
        </w:rPr>
        <w:t> </w:t>
      </w:r>
      <w:r>
        <w:rPr>
          <w:color w:val="231F1F"/>
          <w:w w:val="110"/>
          <w:sz w:val="20"/>
        </w:rPr>
        <w:t>postpartum</w:t>
      </w:r>
      <w:r>
        <w:rPr>
          <w:color w:val="231F1F"/>
          <w:spacing w:val="-5"/>
          <w:w w:val="110"/>
          <w:sz w:val="20"/>
        </w:rPr>
        <w:t> </w:t>
      </w:r>
      <w:r>
        <w:rPr>
          <w:color w:val="231F1F"/>
          <w:w w:val="110"/>
          <w:sz w:val="20"/>
        </w:rPr>
        <w:t>hemorrhage</w:t>
      </w:r>
      <w:r>
        <w:rPr>
          <w:color w:val="231F1F"/>
          <w:spacing w:val="-4"/>
          <w:w w:val="110"/>
          <w:sz w:val="20"/>
        </w:rPr>
        <w:t> </w:t>
      </w:r>
      <w:r>
        <w:rPr>
          <w:color w:val="231F1F"/>
          <w:w w:val="110"/>
          <w:sz w:val="20"/>
        </w:rPr>
        <w:t>by uterotonic</w:t>
      </w:r>
      <w:r>
        <w:rPr>
          <w:color w:val="231F1F"/>
          <w:spacing w:val="-3"/>
          <w:w w:val="110"/>
          <w:sz w:val="20"/>
        </w:rPr>
        <w:t> </w:t>
      </w:r>
      <w:r>
        <w:rPr>
          <w:color w:val="231F1F"/>
          <w:w w:val="110"/>
          <w:sz w:val="20"/>
        </w:rPr>
        <w:t>agents:</w:t>
      </w:r>
      <w:r>
        <w:rPr>
          <w:color w:val="231F1F"/>
          <w:spacing w:val="-6"/>
          <w:w w:val="110"/>
          <w:sz w:val="20"/>
        </w:rPr>
        <w:t> </w:t>
      </w:r>
      <w:r>
        <w:rPr>
          <w:color w:val="231F1F"/>
          <w:w w:val="110"/>
          <w:sz w:val="20"/>
        </w:rPr>
        <w:t>comparison</w:t>
      </w:r>
      <w:r>
        <w:rPr>
          <w:color w:val="231F1F"/>
          <w:spacing w:val="-4"/>
          <w:w w:val="110"/>
          <w:sz w:val="20"/>
        </w:rPr>
        <w:t> </w:t>
      </w:r>
      <w:r>
        <w:rPr>
          <w:color w:val="231F1F"/>
          <w:w w:val="110"/>
          <w:sz w:val="20"/>
        </w:rPr>
        <w:t>of</w:t>
      </w:r>
      <w:r>
        <w:rPr>
          <w:color w:val="231F1F"/>
          <w:spacing w:val="-3"/>
          <w:w w:val="110"/>
          <w:sz w:val="20"/>
        </w:rPr>
        <w:t> </w:t>
      </w:r>
      <w:r>
        <w:rPr>
          <w:color w:val="231F1F"/>
          <w:w w:val="110"/>
          <w:sz w:val="20"/>
        </w:rPr>
        <w:t>oxytocin</w:t>
      </w:r>
      <w:r>
        <w:rPr>
          <w:color w:val="231F1F"/>
          <w:spacing w:val="-3"/>
          <w:w w:val="110"/>
          <w:sz w:val="20"/>
        </w:rPr>
        <w:t> </w:t>
      </w:r>
      <w:r>
        <w:rPr>
          <w:color w:val="231F1F"/>
          <w:w w:val="110"/>
          <w:sz w:val="20"/>
        </w:rPr>
        <w:t>and</w:t>
      </w:r>
      <w:r>
        <w:rPr>
          <w:color w:val="231F1F"/>
          <w:spacing w:val="-3"/>
          <w:w w:val="110"/>
          <w:sz w:val="20"/>
        </w:rPr>
        <w:t> </w:t>
      </w:r>
      <w:r>
        <w:rPr>
          <w:color w:val="231F1F"/>
          <w:w w:val="110"/>
          <w:sz w:val="20"/>
        </w:rPr>
        <w:t>methlergometrine</w:t>
      </w:r>
      <w:r>
        <w:rPr>
          <w:color w:val="231F1F"/>
          <w:spacing w:val="-3"/>
          <w:w w:val="110"/>
          <w:sz w:val="20"/>
        </w:rPr>
        <w:t> </w:t>
      </w:r>
      <w:r>
        <w:rPr>
          <w:color w:val="231F1F"/>
          <w:w w:val="110"/>
          <w:sz w:val="20"/>
        </w:rPr>
        <w:t>in</w:t>
      </w:r>
      <w:r>
        <w:rPr>
          <w:color w:val="231F1F"/>
          <w:spacing w:val="-3"/>
          <w:w w:val="110"/>
          <w:sz w:val="20"/>
        </w:rPr>
        <w:t> </w:t>
      </w:r>
      <w:r>
        <w:rPr>
          <w:color w:val="231F1F"/>
          <w:w w:val="110"/>
          <w:sz w:val="20"/>
        </w:rPr>
        <w:t>the</w:t>
      </w:r>
      <w:r>
        <w:rPr>
          <w:color w:val="231F1F"/>
          <w:spacing w:val="-3"/>
          <w:w w:val="110"/>
          <w:sz w:val="20"/>
        </w:rPr>
        <w:t> </w:t>
      </w:r>
      <w:r>
        <w:rPr>
          <w:color w:val="231F1F"/>
          <w:w w:val="110"/>
          <w:sz w:val="20"/>
        </w:rPr>
        <w:t>management</w:t>
      </w:r>
      <w:r>
        <w:rPr>
          <w:color w:val="231F1F"/>
          <w:spacing w:val="-3"/>
          <w:w w:val="110"/>
          <w:sz w:val="20"/>
        </w:rPr>
        <w:t> </w:t>
      </w:r>
      <w:r>
        <w:rPr>
          <w:color w:val="231F1F"/>
          <w:w w:val="110"/>
          <w:sz w:val="20"/>
        </w:rPr>
        <w:t>of</w:t>
      </w:r>
      <w:r>
        <w:rPr>
          <w:color w:val="231F1F"/>
          <w:spacing w:val="-3"/>
          <w:w w:val="110"/>
          <w:sz w:val="20"/>
        </w:rPr>
        <w:t> </w:t>
      </w:r>
      <w:r>
        <w:rPr>
          <w:color w:val="231F1F"/>
          <w:w w:val="110"/>
          <w:sz w:val="20"/>
        </w:rPr>
        <w:t>the third stage of labor.</w:t>
      </w:r>
      <w:r>
        <w:rPr>
          <w:color w:val="231F1F"/>
          <w:spacing w:val="-8"/>
          <w:w w:val="110"/>
          <w:sz w:val="20"/>
        </w:rPr>
        <w:t> </w:t>
      </w:r>
      <w:r>
        <w:rPr>
          <w:color w:val="231F1F"/>
          <w:w w:val="110"/>
          <w:sz w:val="20"/>
        </w:rPr>
        <w:t>Acta Obstet Gynecol Scand 2006;85(11):1310-4.</w:t>
      </w:r>
    </w:p>
    <w:p>
      <w:pPr>
        <w:pStyle w:val="ListParagraph"/>
        <w:numPr>
          <w:ilvl w:val="0"/>
          <w:numId w:val="109"/>
        </w:numPr>
        <w:tabs>
          <w:tab w:pos="793" w:val="left" w:leader="none"/>
          <w:tab w:pos="797" w:val="left" w:leader="none"/>
        </w:tabs>
        <w:spacing w:line="228" w:lineRule="auto" w:before="194" w:after="0"/>
        <w:ind w:left="797" w:right="111" w:hanging="502"/>
        <w:jc w:val="both"/>
        <w:rPr>
          <w:sz w:val="20"/>
        </w:rPr>
      </w:pPr>
      <w:r>
        <w:rPr>
          <w:color w:val="231F1F"/>
          <w:w w:val="110"/>
          <w:sz w:val="20"/>
        </w:rPr>
        <w:t>Jago</w:t>
      </w:r>
      <w:r>
        <w:rPr>
          <w:color w:val="231F1F"/>
          <w:spacing w:val="-8"/>
          <w:w w:val="110"/>
          <w:sz w:val="20"/>
        </w:rPr>
        <w:t> </w:t>
      </w:r>
      <w:r>
        <w:rPr>
          <w:color w:val="231F1F"/>
          <w:w w:val="110"/>
          <w:sz w:val="20"/>
        </w:rPr>
        <w:t>AA,</w:t>
      </w:r>
      <w:r>
        <w:rPr>
          <w:color w:val="231F1F"/>
          <w:spacing w:val="-7"/>
          <w:w w:val="110"/>
          <w:sz w:val="20"/>
        </w:rPr>
        <w:t> </w:t>
      </w:r>
      <w:r>
        <w:rPr>
          <w:color w:val="231F1F"/>
          <w:w w:val="110"/>
          <w:sz w:val="20"/>
        </w:rPr>
        <w:t>Ezechi</w:t>
      </w:r>
      <w:r>
        <w:rPr>
          <w:color w:val="231F1F"/>
          <w:spacing w:val="-5"/>
          <w:w w:val="110"/>
          <w:sz w:val="20"/>
        </w:rPr>
        <w:t> </w:t>
      </w:r>
      <w:r>
        <w:rPr>
          <w:color w:val="231F1F"/>
          <w:w w:val="110"/>
          <w:sz w:val="20"/>
        </w:rPr>
        <w:t>OC,</w:t>
      </w:r>
      <w:r>
        <w:rPr>
          <w:color w:val="231F1F"/>
          <w:spacing w:val="-7"/>
          <w:w w:val="110"/>
          <w:sz w:val="20"/>
        </w:rPr>
        <w:t> </w:t>
      </w:r>
      <w:r>
        <w:rPr>
          <w:color w:val="231F1F"/>
          <w:w w:val="110"/>
          <w:sz w:val="20"/>
        </w:rPr>
        <w:t>Achinge</w:t>
      </w:r>
      <w:r>
        <w:rPr>
          <w:color w:val="231F1F"/>
          <w:spacing w:val="-5"/>
          <w:w w:val="110"/>
          <w:sz w:val="20"/>
        </w:rPr>
        <w:t> </w:t>
      </w:r>
      <w:r>
        <w:rPr>
          <w:color w:val="231F1F"/>
          <w:w w:val="110"/>
          <w:sz w:val="20"/>
        </w:rPr>
        <w:t>GI,</w:t>
      </w:r>
      <w:r>
        <w:rPr>
          <w:color w:val="231F1F"/>
          <w:spacing w:val="-7"/>
          <w:w w:val="110"/>
          <w:sz w:val="20"/>
        </w:rPr>
        <w:t> </w:t>
      </w:r>
      <w:r>
        <w:rPr>
          <w:color w:val="231F1F"/>
          <w:w w:val="110"/>
          <w:sz w:val="20"/>
        </w:rPr>
        <w:t>Okunlola</w:t>
      </w:r>
      <w:r>
        <w:rPr>
          <w:color w:val="231F1F"/>
          <w:spacing w:val="-5"/>
          <w:w w:val="110"/>
          <w:sz w:val="20"/>
        </w:rPr>
        <w:t> </w:t>
      </w:r>
      <w:r>
        <w:rPr>
          <w:color w:val="231F1F"/>
          <w:w w:val="110"/>
          <w:sz w:val="20"/>
        </w:rPr>
        <w:t>MA.</w:t>
      </w:r>
      <w:r>
        <w:rPr>
          <w:color w:val="231F1F"/>
          <w:spacing w:val="-7"/>
          <w:w w:val="110"/>
          <w:sz w:val="20"/>
        </w:rPr>
        <w:t> </w:t>
      </w:r>
      <w:r>
        <w:rPr>
          <w:color w:val="231F1F"/>
          <w:w w:val="110"/>
          <w:sz w:val="20"/>
        </w:rPr>
        <w:t>Effect</w:t>
      </w:r>
      <w:r>
        <w:rPr>
          <w:color w:val="231F1F"/>
          <w:spacing w:val="-4"/>
          <w:w w:val="110"/>
          <w:sz w:val="20"/>
        </w:rPr>
        <w:t> </w:t>
      </w:r>
      <w:r>
        <w:rPr>
          <w:color w:val="231F1F"/>
          <w:w w:val="110"/>
          <w:sz w:val="20"/>
        </w:rPr>
        <w:t>of</w:t>
      </w:r>
      <w:r>
        <w:rPr>
          <w:color w:val="231F1F"/>
          <w:spacing w:val="-4"/>
          <w:w w:val="110"/>
          <w:sz w:val="20"/>
        </w:rPr>
        <w:t> </w:t>
      </w:r>
      <w:r>
        <w:rPr>
          <w:color w:val="231F1F"/>
          <w:w w:val="110"/>
          <w:sz w:val="20"/>
        </w:rPr>
        <w:t>oxytocics</w:t>
      </w:r>
      <w:r>
        <w:rPr>
          <w:color w:val="231F1F"/>
          <w:spacing w:val="-5"/>
          <w:w w:val="110"/>
          <w:sz w:val="20"/>
        </w:rPr>
        <w:t> </w:t>
      </w:r>
      <w:r>
        <w:rPr>
          <w:color w:val="231F1F"/>
          <w:w w:val="110"/>
          <w:sz w:val="20"/>
        </w:rPr>
        <w:t>on</w:t>
      </w:r>
      <w:r>
        <w:rPr>
          <w:color w:val="231F1F"/>
          <w:spacing w:val="-5"/>
          <w:w w:val="110"/>
          <w:sz w:val="20"/>
        </w:rPr>
        <w:t> </w:t>
      </w:r>
      <w:r>
        <w:rPr>
          <w:color w:val="231F1F"/>
          <w:w w:val="110"/>
          <w:sz w:val="20"/>
        </w:rPr>
        <w:t>the</w:t>
      </w:r>
      <w:r>
        <w:rPr>
          <w:color w:val="231F1F"/>
          <w:spacing w:val="-4"/>
          <w:w w:val="110"/>
          <w:sz w:val="20"/>
        </w:rPr>
        <w:t> </w:t>
      </w:r>
      <w:r>
        <w:rPr>
          <w:color w:val="231F1F"/>
          <w:w w:val="110"/>
          <w:sz w:val="20"/>
        </w:rPr>
        <w:t>blood</w:t>
      </w:r>
      <w:r>
        <w:rPr>
          <w:color w:val="231F1F"/>
          <w:spacing w:val="-5"/>
          <w:w w:val="110"/>
          <w:sz w:val="20"/>
        </w:rPr>
        <w:t> </w:t>
      </w:r>
      <w:r>
        <w:rPr>
          <w:color w:val="231F1F"/>
          <w:w w:val="110"/>
          <w:sz w:val="20"/>
        </w:rPr>
        <w:t>pressure of normotensive Nigerian parturients. The journal of maternal-fetal &amp; neonatal medicine: the</w:t>
      </w:r>
      <w:r>
        <w:rPr>
          <w:color w:val="231F1F"/>
          <w:w w:val="110"/>
          <w:sz w:val="20"/>
        </w:rPr>
        <w:t> official</w:t>
      </w:r>
      <w:r>
        <w:rPr>
          <w:color w:val="231F1F"/>
          <w:w w:val="110"/>
          <w:sz w:val="20"/>
        </w:rPr>
        <w:t> journal</w:t>
      </w:r>
      <w:r>
        <w:rPr>
          <w:color w:val="231F1F"/>
          <w:w w:val="110"/>
          <w:sz w:val="20"/>
        </w:rPr>
        <w:t> of</w:t>
      </w:r>
      <w:r>
        <w:rPr>
          <w:color w:val="231F1F"/>
          <w:w w:val="110"/>
          <w:sz w:val="20"/>
        </w:rPr>
        <w:t> the</w:t>
      </w:r>
      <w:r>
        <w:rPr>
          <w:color w:val="231F1F"/>
          <w:w w:val="110"/>
          <w:sz w:val="20"/>
        </w:rPr>
        <w:t> European</w:t>
      </w:r>
      <w:r>
        <w:rPr>
          <w:color w:val="231F1F"/>
          <w:w w:val="110"/>
          <w:sz w:val="20"/>
        </w:rPr>
        <w:t> association</w:t>
      </w:r>
      <w:r>
        <w:rPr>
          <w:color w:val="231F1F"/>
          <w:w w:val="110"/>
          <w:sz w:val="20"/>
        </w:rPr>
        <w:t> of</w:t>
      </w:r>
      <w:r>
        <w:rPr>
          <w:color w:val="231F1F"/>
          <w:w w:val="110"/>
          <w:sz w:val="20"/>
        </w:rPr>
        <w:t> Perinatal</w:t>
      </w:r>
      <w:r>
        <w:rPr>
          <w:color w:val="231F1F"/>
          <w:w w:val="110"/>
          <w:sz w:val="20"/>
        </w:rPr>
        <w:t> Medicine,</w:t>
      </w:r>
      <w:r>
        <w:rPr>
          <w:color w:val="231F1F"/>
          <w:w w:val="110"/>
          <w:sz w:val="20"/>
        </w:rPr>
        <w:t> the</w:t>
      </w:r>
      <w:r>
        <w:rPr>
          <w:color w:val="231F1F"/>
          <w:w w:val="110"/>
          <w:sz w:val="20"/>
        </w:rPr>
        <w:t> Federation</w:t>
      </w:r>
      <w:r>
        <w:rPr>
          <w:color w:val="231F1F"/>
          <w:w w:val="110"/>
          <w:sz w:val="20"/>
        </w:rPr>
        <w:t> of Asia</w:t>
      </w:r>
      <w:r>
        <w:rPr>
          <w:color w:val="231F1F"/>
          <w:w w:val="110"/>
          <w:sz w:val="20"/>
        </w:rPr>
        <w:t> and</w:t>
      </w:r>
      <w:r>
        <w:rPr>
          <w:color w:val="231F1F"/>
          <w:w w:val="110"/>
          <w:sz w:val="20"/>
        </w:rPr>
        <w:t> Oceania</w:t>
      </w:r>
      <w:r>
        <w:rPr>
          <w:color w:val="231F1F"/>
          <w:w w:val="110"/>
          <w:sz w:val="20"/>
        </w:rPr>
        <w:t> Perinatal</w:t>
      </w:r>
      <w:r>
        <w:rPr>
          <w:color w:val="231F1F"/>
          <w:w w:val="110"/>
          <w:sz w:val="20"/>
        </w:rPr>
        <w:t> Societies,</w:t>
      </w:r>
      <w:r>
        <w:rPr>
          <w:color w:val="231F1F"/>
          <w:w w:val="110"/>
          <w:sz w:val="20"/>
        </w:rPr>
        <w:t> the</w:t>
      </w:r>
      <w:r>
        <w:rPr>
          <w:color w:val="231F1F"/>
          <w:w w:val="110"/>
          <w:sz w:val="20"/>
        </w:rPr>
        <w:t> International</w:t>
      </w:r>
      <w:r>
        <w:rPr>
          <w:color w:val="231F1F"/>
          <w:w w:val="110"/>
          <w:sz w:val="20"/>
        </w:rPr>
        <w:t> Society</w:t>
      </w:r>
      <w:r>
        <w:rPr>
          <w:color w:val="231F1F"/>
          <w:w w:val="110"/>
          <w:sz w:val="20"/>
        </w:rPr>
        <w:t> of</w:t>
      </w:r>
      <w:r>
        <w:rPr>
          <w:color w:val="231F1F"/>
          <w:w w:val="110"/>
          <w:sz w:val="20"/>
        </w:rPr>
        <w:t> Perinatal</w:t>
      </w:r>
      <w:r>
        <w:rPr>
          <w:color w:val="231F1F"/>
          <w:w w:val="110"/>
          <w:sz w:val="20"/>
        </w:rPr>
        <w:t> Obstetricians </w:t>
      </w:r>
      <w:r>
        <w:rPr>
          <w:color w:val="231F1F"/>
          <w:spacing w:val="-2"/>
          <w:w w:val="110"/>
          <w:sz w:val="20"/>
        </w:rPr>
        <w:t>2007;20(9):703-5.</w:t>
      </w:r>
    </w:p>
    <w:p>
      <w:pPr>
        <w:pStyle w:val="ListParagraph"/>
        <w:numPr>
          <w:ilvl w:val="0"/>
          <w:numId w:val="109"/>
        </w:numPr>
        <w:tabs>
          <w:tab w:pos="794" w:val="left" w:leader="none"/>
          <w:tab w:pos="798" w:val="left" w:leader="none"/>
        </w:tabs>
        <w:spacing w:line="225" w:lineRule="auto" w:before="206" w:after="0"/>
        <w:ind w:left="798" w:right="124" w:hanging="522"/>
        <w:jc w:val="both"/>
        <w:rPr>
          <w:sz w:val="20"/>
        </w:rPr>
      </w:pPr>
      <w:r>
        <w:rPr>
          <w:color w:val="231F1F"/>
          <w:w w:val="105"/>
          <w:sz w:val="20"/>
        </w:rPr>
        <w:t>Ghulmiyyah LM,</w:t>
      </w:r>
      <w:r>
        <w:rPr>
          <w:color w:val="231F1F"/>
          <w:spacing w:val="-1"/>
          <w:w w:val="105"/>
          <w:sz w:val="20"/>
        </w:rPr>
        <w:t> </w:t>
      </w:r>
      <w:r>
        <w:rPr>
          <w:color w:val="231F1F"/>
          <w:w w:val="105"/>
          <w:sz w:val="20"/>
        </w:rPr>
        <w:t>Wehbe SA, Saltzman SL, Ehleben C, Sibai BM. Intaumbilical vein injection of oxytocin and the third stage of labor: randomized double-blind placebo trial.Am J Perinatol </w:t>
      </w:r>
      <w:r>
        <w:rPr>
          <w:color w:val="231F1F"/>
          <w:spacing w:val="-2"/>
          <w:w w:val="105"/>
          <w:sz w:val="20"/>
        </w:rPr>
        <w:t>2007;24(6):347-52.</w:t>
      </w:r>
    </w:p>
    <w:p>
      <w:pPr>
        <w:pStyle w:val="ListParagraph"/>
        <w:numPr>
          <w:ilvl w:val="0"/>
          <w:numId w:val="109"/>
        </w:numPr>
        <w:tabs>
          <w:tab w:pos="793" w:val="left" w:leader="none"/>
          <w:tab w:pos="797" w:val="left" w:leader="none"/>
        </w:tabs>
        <w:spacing w:line="220" w:lineRule="auto" w:before="195" w:after="0"/>
        <w:ind w:left="797" w:right="274" w:hanging="502"/>
        <w:jc w:val="both"/>
        <w:rPr>
          <w:sz w:val="20"/>
        </w:rPr>
      </w:pPr>
      <w:r>
        <w:rPr>
          <w:color w:val="231F1F"/>
          <w:w w:val="110"/>
          <w:sz w:val="20"/>
        </w:rPr>
        <w:t>Martinez</w:t>
      </w:r>
      <w:r>
        <w:rPr>
          <w:color w:val="231F1F"/>
          <w:spacing w:val="-3"/>
          <w:w w:val="110"/>
          <w:sz w:val="20"/>
        </w:rPr>
        <w:t> </w:t>
      </w:r>
      <w:r>
        <w:rPr>
          <w:color w:val="231F1F"/>
          <w:w w:val="110"/>
          <w:sz w:val="20"/>
        </w:rPr>
        <w:t>MM,</w:t>
      </w:r>
      <w:r>
        <w:rPr>
          <w:color w:val="231F1F"/>
          <w:spacing w:val="-3"/>
          <w:w w:val="110"/>
          <w:sz w:val="20"/>
        </w:rPr>
        <w:t> </w:t>
      </w:r>
      <w:r>
        <w:rPr>
          <w:color w:val="231F1F"/>
          <w:w w:val="110"/>
          <w:sz w:val="20"/>
        </w:rPr>
        <w:t>Lopez</w:t>
      </w:r>
      <w:r>
        <w:rPr>
          <w:color w:val="231F1F"/>
          <w:spacing w:val="-3"/>
          <w:w w:val="110"/>
          <w:sz w:val="20"/>
        </w:rPr>
        <w:t> </w:t>
      </w:r>
      <w:r>
        <w:rPr>
          <w:color w:val="231F1F"/>
          <w:w w:val="110"/>
          <w:sz w:val="20"/>
        </w:rPr>
        <w:t>Farfan</w:t>
      </w:r>
      <w:r>
        <w:rPr>
          <w:color w:val="231F1F"/>
          <w:spacing w:val="-4"/>
          <w:w w:val="110"/>
          <w:sz w:val="20"/>
        </w:rPr>
        <w:t> </w:t>
      </w:r>
      <w:r>
        <w:rPr>
          <w:color w:val="231F1F"/>
          <w:w w:val="110"/>
          <w:sz w:val="20"/>
        </w:rPr>
        <w:t>JA,</w:t>
      </w:r>
      <w:r>
        <w:rPr>
          <w:color w:val="231F1F"/>
          <w:spacing w:val="-3"/>
          <w:w w:val="110"/>
          <w:sz w:val="20"/>
        </w:rPr>
        <w:t> </w:t>
      </w:r>
      <w:r>
        <w:rPr>
          <w:color w:val="231F1F"/>
          <w:w w:val="110"/>
          <w:sz w:val="20"/>
        </w:rPr>
        <w:t>Ramos</w:t>
      </w:r>
      <w:r>
        <w:rPr>
          <w:color w:val="231F1F"/>
          <w:spacing w:val="-3"/>
          <w:w w:val="110"/>
          <w:sz w:val="20"/>
        </w:rPr>
        <w:t> </w:t>
      </w:r>
      <w:r>
        <w:rPr>
          <w:color w:val="231F1F"/>
          <w:w w:val="110"/>
          <w:sz w:val="20"/>
        </w:rPr>
        <w:t>Alvarez</w:t>
      </w:r>
      <w:r>
        <w:rPr>
          <w:color w:val="231F1F"/>
          <w:spacing w:val="-3"/>
          <w:w w:val="110"/>
          <w:sz w:val="20"/>
        </w:rPr>
        <w:t> </w:t>
      </w:r>
      <w:r>
        <w:rPr>
          <w:color w:val="231F1F"/>
          <w:w w:val="110"/>
          <w:sz w:val="20"/>
        </w:rPr>
        <w:t>G,</w:t>
      </w:r>
      <w:r>
        <w:rPr>
          <w:color w:val="231F1F"/>
          <w:spacing w:val="-3"/>
          <w:w w:val="110"/>
          <w:sz w:val="20"/>
        </w:rPr>
        <w:t> </w:t>
      </w:r>
      <w:r>
        <w:rPr>
          <w:color w:val="231F1F"/>
          <w:w w:val="110"/>
          <w:sz w:val="20"/>
        </w:rPr>
        <w:t>Lopez</w:t>
      </w:r>
      <w:r>
        <w:rPr>
          <w:color w:val="231F1F"/>
          <w:spacing w:val="-3"/>
          <w:w w:val="110"/>
          <w:sz w:val="20"/>
        </w:rPr>
        <w:t> </w:t>
      </w:r>
      <w:r>
        <w:rPr>
          <w:color w:val="231F1F"/>
          <w:w w:val="110"/>
          <w:sz w:val="20"/>
        </w:rPr>
        <w:t>Colombo</w:t>
      </w:r>
      <w:r>
        <w:rPr>
          <w:color w:val="231F1F"/>
          <w:spacing w:val="-4"/>
          <w:w w:val="110"/>
          <w:sz w:val="20"/>
        </w:rPr>
        <w:t> </w:t>
      </w:r>
      <w:r>
        <w:rPr>
          <w:color w:val="231F1F"/>
          <w:w w:val="110"/>
          <w:sz w:val="20"/>
        </w:rPr>
        <w:t>A.</w:t>
      </w:r>
      <w:r>
        <w:rPr>
          <w:color w:val="231F1F"/>
          <w:spacing w:val="-3"/>
          <w:w w:val="110"/>
          <w:sz w:val="20"/>
        </w:rPr>
        <w:t> </w:t>
      </w:r>
      <w:r>
        <w:rPr>
          <w:color w:val="231F1F"/>
          <w:w w:val="110"/>
          <w:sz w:val="20"/>
        </w:rPr>
        <w:t>[Oxitocin</w:t>
      </w:r>
      <w:r>
        <w:rPr>
          <w:color w:val="231F1F"/>
          <w:spacing w:val="-3"/>
          <w:w w:val="110"/>
          <w:sz w:val="20"/>
        </w:rPr>
        <w:t> </w:t>
      </w:r>
      <w:r>
        <w:rPr>
          <w:color w:val="231F1F"/>
          <w:w w:val="110"/>
          <w:sz w:val="20"/>
        </w:rPr>
        <w:t>trough umbilical</w:t>
      </w:r>
      <w:r>
        <w:rPr>
          <w:color w:val="231F1F"/>
          <w:spacing w:val="-9"/>
          <w:w w:val="110"/>
          <w:sz w:val="20"/>
        </w:rPr>
        <w:t> </w:t>
      </w:r>
      <w:r>
        <w:rPr>
          <w:color w:val="231F1F"/>
          <w:w w:val="110"/>
          <w:sz w:val="20"/>
        </w:rPr>
        <w:t>vein</w:t>
      </w:r>
      <w:r>
        <w:rPr>
          <w:color w:val="231F1F"/>
          <w:spacing w:val="-8"/>
          <w:w w:val="110"/>
          <w:sz w:val="20"/>
        </w:rPr>
        <w:t> </w:t>
      </w:r>
      <w:r>
        <w:rPr>
          <w:color w:val="231F1F"/>
          <w:w w:val="110"/>
          <w:sz w:val="20"/>
        </w:rPr>
        <w:t>to</w:t>
      </w:r>
      <w:r>
        <w:rPr>
          <w:color w:val="231F1F"/>
          <w:spacing w:val="-8"/>
          <w:w w:val="110"/>
          <w:sz w:val="20"/>
        </w:rPr>
        <w:t> </w:t>
      </w:r>
      <w:r>
        <w:rPr>
          <w:color w:val="231F1F"/>
          <w:w w:val="110"/>
          <w:sz w:val="20"/>
        </w:rPr>
        <w:t>shorten</w:t>
      </w:r>
      <w:r>
        <w:rPr>
          <w:color w:val="231F1F"/>
          <w:spacing w:val="-8"/>
          <w:w w:val="110"/>
          <w:sz w:val="20"/>
        </w:rPr>
        <w:t> </w:t>
      </w:r>
      <w:r>
        <w:rPr>
          <w:color w:val="231F1F"/>
          <w:w w:val="110"/>
          <w:sz w:val="20"/>
        </w:rPr>
        <w:t>the</w:t>
      </w:r>
      <w:r>
        <w:rPr>
          <w:color w:val="231F1F"/>
          <w:spacing w:val="-8"/>
          <w:w w:val="110"/>
          <w:sz w:val="20"/>
        </w:rPr>
        <w:t> </w:t>
      </w:r>
      <w:r>
        <w:rPr>
          <w:color w:val="231F1F"/>
          <w:w w:val="110"/>
          <w:sz w:val="20"/>
        </w:rPr>
        <w:t>third</w:t>
      </w:r>
      <w:r>
        <w:rPr>
          <w:color w:val="231F1F"/>
          <w:spacing w:val="-8"/>
          <w:w w:val="110"/>
          <w:sz w:val="20"/>
        </w:rPr>
        <w:t> </w:t>
      </w:r>
      <w:r>
        <w:rPr>
          <w:color w:val="231F1F"/>
          <w:w w:val="110"/>
          <w:sz w:val="20"/>
        </w:rPr>
        <w:t>stage</w:t>
      </w:r>
      <w:r>
        <w:rPr>
          <w:color w:val="231F1F"/>
          <w:spacing w:val="-8"/>
          <w:w w:val="110"/>
          <w:sz w:val="20"/>
        </w:rPr>
        <w:t> </w:t>
      </w:r>
      <w:r>
        <w:rPr>
          <w:color w:val="231F1F"/>
          <w:w w:val="110"/>
          <w:sz w:val="20"/>
        </w:rPr>
        <w:t>of</w:t>
      </w:r>
      <w:r>
        <w:rPr>
          <w:color w:val="231F1F"/>
          <w:spacing w:val="-8"/>
          <w:w w:val="110"/>
          <w:sz w:val="20"/>
        </w:rPr>
        <w:t> </w:t>
      </w:r>
      <w:r>
        <w:rPr>
          <w:color w:val="231F1F"/>
          <w:w w:val="110"/>
          <w:sz w:val="20"/>
        </w:rPr>
        <w:t>labor</w:t>
      </w:r>
      <w:r>
        <w:rPr>
          <w:color w:val="231F1F"/>
          <w:spacing w:val="-8"/>
          <w:w w:val="110"/>
          <w:sz w:val="20"/>
        </w:rPr>
        <w:t> </w:t>
      </w:r>
      <w:r>
        <w:rPr>
          <w:color w:val="231F1F"/>
          <w:w w:val="110"/>
          <w:sz w:val="20"/>
        </w:rPr>
        <w:t>].</w:t>
      </w:r>
      <w:r>
        <w:rPr>
          <w:color w:val="231F1F"/>
          <w:spacing w:val="-17"/>
          <w:w w:val="110"/>
          <w:sz w:val="20"/>
        </w:rPr>
        <w:t> </w:t>
      </w:r>
      <w:r>
        <w:rPr>
          <w:color w:val="231F1F"/>
          <w:w w:val="110"/>
          <w:sz w:val="20"/>
        </w:rPr>
        <w:t>Ginecol</w:t>
      </w:r>
      <w:r>
        <w:rPr>
          <w:color w:val="231F1F"/>
          <w:spacing w:val="-8"/>
          <w:w w:val="110"/>
          <w:sz w:val="20"/>
        </w:rPr>
        <w:t> </w:t>
      </w:r>
      <w:r>
        <w:rPr>
          <w:color w:val="231F1F"/>
          <w:w w:val="110"/>
          <w:sz w:val="20"/>
        </w:rPr>
        <w:t>Obstet</w:t>
      </w:r>
      <w:r>
        <w:rPr>
          <w:color w:val="231F1F"/>
          <w:spacing w:val="-8"/>
          <w:w w:val="110"/>
          <w:sz w:val="20"/>
        </w:rPr>
        <w:t> </w:t>
      </w:r>
      <w:r>
        <w:rPr>
          <w:color w:val="231F1F"/>
          <w:w w:val="110"/>
          <w:sz w:val="20"/>
        </w:rPr>
        <w:t>Mex</w:t>
      </w:r>
      <w:r>
        <w:rPr>
          <w:color w:val="231F1F"/>
          <w:spacing w:val="-8"/>
          <w:w w:val="110"/>
          <w:sz w:val="20"/>
        </w:rPr>
        <w:t> </w:t>
      </w:r>
      <w:r>
        <w:rPr>
          <w:color w:val="231F1F"/>
          <w:w w:val="110"/>
          <w:sz w:val="20"/>
        </w:rPr>
        <w:t>2006;74(2):89-94.</w:t>
      </w:r>
    </w:p>
    <w:p>
      <w:pPr>
        <w:pStyle w:val="ListParagraph"/>
        <w:numPr>
          <w:ilvl w:val="0"/>
          <w:numId w:val="109"/>
        </w:numPr>
        <w:tabs>
          <w:tab w:pos="794" w:val="left" w:leader="none"/>
          <w:tab w:pos="798" w:val="left" w:leader="none"/>
        </w:tabs>
        <w:spacing w:line="225" w:lineRule="auto" w:before="182" w:after="0"/>
        <w:ind w:left="798" w:right="200" w:hanging="502"/>
        <w:jc w:val="both"/>
        <w:rPr>
          <w:sz w:val="20"/>
        </w:rPr>
      </w:pPr>
      <w:r>
        <w:rPr>
          <w:color w:val="231F1F"/>
          <w:w w:val="105"/>
          <w:sz w:val="20"/>
        </w:rPr>
        <w:t>Prendiville WJ, Elbourne D, McDonald S. Active versus expectant management in the third stage of labour. Cochrane Database Syst Rev 2000;(Issue3).</w:t>
      </w:r>
    </w:p>
    <w:p>
      <w:pPr>
        <w:pStyle w:val="ListParagraph"/>
        <w:numPr>
          <w:ilvl w:val="0"/>
          <w:numId w:val="109"/>
        </w:numPr>
        <w:tabs>
          <w:tab w:pos="794" w:val="left" w:leader="none"/>
          <w:tab w:pos="798" w:val="left" w:leader="none"/>
        </w:tabs>
        <w:spacing w:line="220" w:lineRule="auto" w:before="181" w:after="0"/>
        <w:ind w:left="798" w:right="245" w:hanging="502"/>
        <w:jc w:val="both"/>
        <w:rPr>
          <w:sz w:val="20"/>
        </w:rPr>
      </w:pPr>
      <w:r>
        <w:rPr>
          <w:color w:val="231F1F"/>
          <w:w w:val="105"/>
          <w:sz w:val="20"/>
        </w:rPr>
        <w:t>Smith</w:t>
      </w:r>
      <w:r>
        <w:rPr>
          <w:color w:val="231F1F"/>
          <w:w w:val="105"/>
          <w:sz w:val="20"/>
        </w:rPr>
        <w:t> JR,</w:t>
      </w:r>
      <w:r>
        <w:rPr>
          <w:color w:val="231F1F"/>
          <w:w w:val="105"/>
          <w:sz w:val="20"/>
        </w:rPr>
        <w:t> Brennan</w:t>
      </w:r>
      <w:r>
        <w:rPr>
          <w:color w:val="231F1F"/>
          <w:w w:val="105"/>
          <w:sz w:val="20"/>
        </w:rPr>
        <w:t> BG.</w:t>
      </w:r>
      <w:r>
        <w:rPr>
          <w:color w:val="231F1F"/>
          <w:w w:val="105"/>
          <w:sz w:val="20"/>
        </w:rPr>
        <w:t> Management</w:t>
      </w:r>
      <w:r>
        <w:rPr>
          <w:color w:val="231F1F"/>
          <w:w w:val="105"/>
          <w:sz w:val="20"/>
        </w:rPr>
        <w:t> of</w:t>
      </w:r>
      <w:r>
        <w:rPr>
          <w:color w:val="231F1F"/>
          <w:w w:val="105"/>
          <w:sz w:val="20"/>
        </w:rPr>
        <w:t> the</w:t>
      </w:r>
      <w:r>
        <w:rPr>
          <w:color w:val="231F1F"/>
          <w:w w:val="105"/>
          <w:sz w:val="20"/>
        </w:rPr>
        <w:t> Third</w:t>
      </w:r>
      <w:r>
        <w:rPr>
          <w:color w:val="231F1F"/>
          <w:w w:val="105"/>
          <w:sz w:val="20"/>
        </w:rPr>
        <w:t> Stage</w:t>
      </w:r>
      <w:r>
        <w:rPr>
          <w:color w:val="231F1F"/>
          <w:w w:val="105"/>
          <w:sz w:val="20"/>
        </w:rPr>
        <w:t> of</w:t>
      </w:r>
      <w:r>
        <w:rPr>
          <w:color w:val="231F1F"/>
          <w:w w:val="105"/>
          <w:sz w:val="20"/>
        </w:rPr>
        <w:t> Labor:</w:t>
      </w:r>
      <w:r>
        <w:rPr>
          <w:color w:val="231F1F"/>
          <w:w w:val="105"/>
          <w:sz w:val="20"/>
        </w:rPr>
        <w:t> Multimedia.</w:t>
      </w:r>
      <w:r>
        <w:rPr>
          <w:color w:val="231F1F"/>
          <w:w w:val="105"/>
          <w:sz w:val="20"/>
        </w:rPr>
        <w:t> [www emedicine com/med/topic3569 htm ] 2006.</w:t>
      </w:r>
    </w:p>
    <w:p>
      <w:pPr>
        <w:pStyle w:val="ListParagraph"/>
        <w:numPr>
          <w:ilvl w:val="0"/>
          <w:numId w:val="109"/>
        </w:numPr>
        <w:tabs>
          <w:tab w:pos="793" w:val="left" w:leader="none"/>
          <w:tab w:pos="797" w:val="left" w:leader="none"/>
        </w:tabs>
        <w:spacing w:line="228" w:lineRule="auto" w:before="176" w:after="0"/>
        <w:ind w:left="797" w:right="120" w:hanging="509"/>
        <w:jc w:val="both"/>
        <w:rPr>
          <w:sz w:val="20"/>
        </w:rPr>
      </w:pPr>
      <w:r>
        <w:rPr>
          <w:color w:val="231F1F"/>
          <w:w w:val="110"/>
          <w:sz w:val="20"/>
        </w:rPr>
        <w:t>Chaparro</w:t>
      </w:r>
      <w:r>
        <w:rPr>
          <w:color w:val="231F1F"/>
          <w:spacing w:val="-14"/>
          <w:w w:val="110"/>
          <w:sz w:val="20"/>
        </w:rPr>
        <w:t> </w:t>
      </w:r>
      <w:r>
        <w:rPr>
          <w:color w:val="231F1F"/>
          <w:w w:val="110"/>
          <w:sz w:val="20"/>
        </w:rPr>
        <w:t>CM,</w:t>
      </w:r>
      <w:r>
        <w:rPr>
          <w:color w:val="231F1F"/>
          <w:spacing w:val="-14"/>
          <w:w w:val="110"/>
          <w:sz w:val="20"/>
        </w:rPr>
        <w:t> </w:t>
      </w:r>
      <w:r>
        <w:rPr>
          <w:color w:val="231F1F"/>
          <w:w w:val="110"/>
          <w:sz w:val="20"/>
        </w:rPr>
        <w:t>Fornes</w:t>
      </w:r>
      <w:r>
        <w:rPr>
          <w:color w:val="231F1F"/>
          <w:spacing w:val="-14"/>
          <w:w w:val="110"/>
          <w:sz w:val="20"/>
        </w:rPr>
        <w:t> </w:t>
      </w:r>
      <w:r>
        <w:rPr>
          <w:color w:val="231F1F"/>
          <w:w w:val="110"/>
          <w:sz w:val="20"/>
        </w:rPr>
        <w:t>R,</w:t>
      </w:r>
      <w:r>
        <w:rPr>
          <w:color w:val="231F1F"/>
          <w:spacing w:val="-13"/>
          <w:w w:val="110"/>
          <w:sz w:val="20"/>
        </w:rPr>
        <w:t> </w:t>
      </w:r>
      <w:r>
        <w:rPr>
          <w:color w:val="231F1F"/>
          <w:w w:val="110"/>
          <w:sz w:val="20"/>
        </w:rPr>
        <w:t>Neufeld</w:t>
      </w:r>
      <w:r>
        <w:rPr>
          <w:color w:val="231F1F"/>
          <w:spacing w:val="-14"/>
          <w:w w:val="110"/>
          <w:sz w:val="20"/>
        </w:rPr>
        <w:t> </w:t>
      </w:r>
      <w:r>
        <w:rPr>
          <w:color w:val="231F1F"/>
          <w:w w:val="110"/>
          <w:sz w:val="20"/>
        </w:rPr>
        <w:t>LM,</w:t>
      </w:r>
      <w:r>
        <w:rPr>
          <w:color w:val="231F1F"/>
          <w:spacing w:val="-14"/>
          <w:w w:val="110"/>
          <w:sz w:val="20"/>
        </w:rPr>
        <w:t> </w:t>
      </w:r>
      <w:r>
        <w:rPr>
          <w:color w:val="231F1F"/>
          <w:w w:val="110"/>
          <w:sz w:val="20"/>
        </w:rPr>
        <w:t>Alvarez</w:t>
      </w:r>
      <w:r>
        <w:rPr>
          <w:color w:val="231F1F"/>
          <w:spacing w:val="-14"/>
          <w:w w:val="110"/>
          <w:sz w:val="20"/>
        </w:rPr>
        <w:t> </w:t>
      </w:r>
      <w:r>
        <w:rPr>
          <w:color w:val="231F1F"/>
          <w:w w:val="110"/>
          <w:sz w:val="20"/>
        </w:rPr>
        <w:t>GT,</w:t>
      </w:r>
      <w:r>
        <w:rPr>
          <w:color w:val="231F1F"/>
          <w:spacing w:val="-13"/>
          <w:w w:val="110"/>
          <w:sz w:val="20"/>
        </w:rPr>
        <w:t> </w:t>
      </w:r>
      <w:r>
        <w:rPr>
          <w:color w:val="231F1F"/>
          <w:w w:val="110"/>
          <w:sz w:val="20"/>
        </w:rPr>
        <w:t>Cedillo</w:t>
      </w:r>
      <w:r>
        <w:rPr>
          <w:color w:val="231F1F"/>
          <w:spacing w:val="-14"/>
          <w:w w:val="110"/>
          <w:sz w:val="20"/>
        </w:rPr>
        <w:t> </w:t>
      </w:r>
      <w:r>
        <w:rPr>
          <w:color w:val="231F1F"/>
          <w:w w:val="110"/>
          <w:sz w:val="20"/>
        </w:rPr>
        <w:t>RE,</w:t>
      </w:r>
      <w:r>
        <w:rPr>
          <w:color w:val="231F1F"/>
          <w:spacing w:val="-14"/>
          <w:w w:val="110"/>
          <w:sz w:val="20"/>
        </w:rPr>
        <w:t> </w:t>
      </w:r>
      <w:r>
        <w:rPr>
          <w:color w:val="231F1F"/>
          <w:w w:val="110"/>
          <w:sz w:val="20"/>
        </w:rPr>
        <w:t>Dewey</w:t>
      </w:r>
      <w:r>
        <w:rPr>
          <w:color w:val="231F1F"/>
          <w:spacing w:val="-14"/>
          <w:w w:val="110"/>
          <w:sz w:val="20"/>
        </w:rPr>
        <w:t> </w:t>
      </w:r>
      <w:r>
        <w:rPr>
          <w:color w:val="231F1F"/>
          <w:w w:val="110"/>
          <w:sz w:val="20"/>
        </w:rPr>
        <w:t>KG.</w:t>
      </w:r>
      <w:r>
        <w:rPr>
          <w:color w:val="231F1F"/>
          <w:spacing w:val="-13"/>
          <w:w w:val="110"/>
          <w:sz w:val="20"/>
        </w:rPr>
        <w:t> </w:t>
      </w:r>
      <w:r>
        <w:rPr>
          <w:color w:val="231F1F"/>
          <w:w w:val="110"/>
          <w:sz w:val="20"/>
        </w:rPr>
        <w:t>Early</w:t>
      </w:r>
      <w:r>
        <w:rPr>
          <w:color w:val="231F1F"/>
          <w:spacing w:val="-14"/>
          <w:w w:val="110"/>
          <w:sz w:val="20"/>
        </w:rPr>
        <w:t> </w:t>
      </w:r>
      <w:r>
        <w:rPr>
          <w:color w:val="231F1F"/>
          <w:w w:val="110"/>
          <w:sz w:val="20"/>
        </w:rPr>
        <w:t>umbilical cord clamping conntributes to elevated blood lead levels among infants with higher lead exposure. J Pediatr 2007;151:506-12.</w:t>
      </w:r>
    </w:p>
    <w:p>
      <w:pPr>
        <w:pStyle w:val="ListParagraph"/>
        <w:numPr>
          <w:ilvl w:val="0"/>
          <w:numId w:val="109"/>
        </w:numPr>
        <w:tabs>
          <w:tab w:pos="794" w:val="left" w:leader="none"/>
          <w:tab w:pos="798" w:val="left" w:leader="none"/>
        </w:tabs>
        <w:spacing w:line="220" w:lineRule="auto" w:before="191" w:after="0"/>
        <w:ind w:left="798" w:right="195" w:hanging="502"/>
        <w:jc w:val="both"/>
        <w:rPr>
          <w:sz w:val="20"/>
        </w:rPr>
      </w:pPr>
      <w:r>
        <w:rPr>
          <w:color w:val="231F1F"/>
          <w:w w:val="105"/>
          <w:sz w:val="20"/>
        </w:rPr>
        <w:t>Mercer</w:t>
      </w:r>
      <w:r>
        <w:rPr>
          <w:color w:val="231F1F"/>
          <w:w w:val="105"/>
          <w:sz w:val="20"/>
        </w:rPr>
        <w:t> JS.</w:t>
      </w:r>
      <w:r>
        <w:rPr>
          <w:color w:val="231F1F"/>
          <w:w w:val="105"/>
          <w:sz w:val="20"/>
        </w:rPr>
        <w:t> Current</w:t>
      </w:r>
      <w:r>
        <w:rPr>
          <w:color w:val="231F1F"/>
          <w:w w:val="105"/>
          <w:sz w:val="20"/>
        </w:rPr>
        <w:t> best</w:t>
      </w:r>
      <w:r>
        <w:rPr>
          <w:color w:val="231F1F"/>
          <w:w w:val="105"/>
          <w:sz w:val="20"/>
        </w:rPr>
        <w:t> evidence:</w:t>
      </w:r>
      <w:r>
        <w:rPr>
          <w:color w:val="231F1F"/>
          <w:w w:val="105"/>
          <w:sz w:val="20"/>
        </w:rPr>
        <w:t> a</w:t>
      </w:r>
      <w:r>
        <w:rPr>
          <w:color w:val="231F1F"/>
          <w:w w:val="105"/>
          <w:sz w:val="20"/>
        </w:rPr>
        <w:t> review</w:t>
      </w:r>
      <w:r>
        <w:rPr>
          <w:color w:val="231F1F"/>
          <w:w w:val="105"/>
          <w:sz w:val="20"/>
        </w:rPr>
        <w:t> of</w:t>
      </w:r>
      <w:r>
        <w:rPr>
          <w:color w:val="231F1F"/>
          <w:w w:val="105"/>
          <w:sz w:val="20"/>
        </w:rPr>
        <w:t> the</w:t>
      </w:r>
      <w:r>
        <w:rPr>
          <w:color w:val="231F1F"/>
          <w:w w:val="105"/>
          <w:sz w:val="20"/>
        </w:rPr>
        <w:t> literature</w:t>
      </w:r>
      <w:r>
        <w:rPr>
          <w:color w:val="231F1F"/>
          <w:w w:val="105"/>
          <w:sz w:val="20"/>
        </w:rPr>
        <w:t> on</w:t>
      </w:r>
      <w:r>
        <w:rPr>
          <w:color w:val="231F1F"/>
          <w:w w:val="105"/>
          <w:sz w:val="20"/>
        </w:rPr>
        <w:t> umbilical</w:t>
      </w:r>
      <w:r>
        <w:rPr>
          <w:color w:val="231F1F"/>
          <w:w w:val="105"/>
          <w:sz w:val="20"/>
        </w:rPr>
        <w:t> cord</w:t>
      </w:r>
      <w:r>
        <w:rPr>
          <w:color w:val="231F1F"/>
          <w:w w:val="105"/>
          <w:sz w:val="20"/>
        </w:rPr>
        <w:t> clamping.In: Wickham S editor (s). Midwifery: best practice Vol 4, Edinburgh: Elsevier, 2006;114-29.</w:t>
      </w:r>
    </w:p>
    <w:p>
      <w:pPr>
        <w:pStyle w:val="ListParagraph"/>
        <w:numPr>
          <w:ilvl w:val="0"/>
          <w:numId w:val="109"/>
        </w:numPr>
        <w:tabs>
          <w:tab w:pos="793" w:val="left" w:leader="none"/>
          <w:tab w:pos="797" w:val="left" w:leader="none"/>
        </w:tabs>
        <w:spacing w:line="230" w:lineRule="auto" w:before="174" w:after="0"/>
        <w:ind w:left="797" w:right="109" w:hanging="502"/>
        <w:jc w:val="both"/>
        <w:rPr>
          <w:sz w:val="20"/>
        </w:rPr>
      </w:pPr>
      <w:r>
        <w:rPr>
          <w:color w:val="231F1F"/>
          <w:w w:val="110"/>
          <w:sz w:val="20"/>
        </w:rPr>
        <w:t>Van RPBBJ. Late umbilical cord-clamping as an intervention for reducing iron deficiency anaemia</w:t>
      </w:r>
      <w:r>
        <w:rPr>
          <w:color w:val="231F1F"/>
          <w:w w:val="110"/>
          <w:sz w:val="20"/>
        </w:rPr>
        <w:t> in</w:t>
      </w:r>
      <w:r>
        <w:rPr>
          <w:color w:val="231F1F"/>
          <w:w w:val="110"/>
          <w:sz w:val="20"/>
        </w:rPr>
        <w:t> term</w:t>
      </w:r>
      <w:r>
        <w:rPr>
          <w:color w:val="231F1F"/>
          <w:w w:val="110"/>
          <w:sz w:val="20"/>
        </w:rPr>
        <w:t> infants</w:t>
      </w:r>
      <w:r>
        <w:rPr>
          <w:color w:val="231F1F"/>
          <w:w w:val="110"/>
          <w:sz w:val="20"/>
        </w:rPr>
        <w:t> in</w:t>
      </w:r>
      <w:r>
        <w:rPr>
          <w:color w:val="231F1F"/>
          <w:w w:val="110"/>
          <w:sz w:val="20"/>
        </w:rPr>
        <w:t> developing</w:t>
      </w:r>
      <w:r>
        <w:rPr>
          <w:color w:val="231F1F"/>
          <w:w w:val="110"/>
          <w:sz w:val="20"/>
        </w:rPr>
        <w:t> and</w:t>
      </w:r>
      <w:r>
        <w:rPr>
          <w:color w:val="231F1F"/>
          <w:w w:val="110"/>
          <w:sz w:val="20"/>
        </w:rPr>
        <w:t> industrialised</w:t>
      </w:r>
      <w:r>
        <w:rPr>
          <w:color w:val="231F1F"/>
          <w:w w:val="110"/>
          <w:sz w:val="20"/>
        </w:rPr>
        <w:t> countries:</w:t>
      </w:r>
      <w:r>
        <w:rPr>
          <w:color w:val="231F1F"/>
          <w:w w:val="110"/>
          <w:sz w:val="20"/>
        </w:rPr>
        <w:t> a</w:t>
      </w:r>
      <w:r>
        <w:rPr>
          <w:color w:val="231F1F"/>
          <w:w w:val="110"/>
          <w:sz w:val="20"/>
        </w:rPr>
        <w:t> systematic</w:t>
      </w:r>
      <w:r>
        <w:rPr>
          <w:color w:val="231F1F"/>
          <w:w w:val="110"/>
          <w:sz w:val="20"/>
        </w:rPr>
        <w:t> review. Annals of Tropical Paediatrics 2004; 2004;24(1):3-16.</w:t>
      </w:r>
    </w:p>
    <w:p>
      <w:pPr>
        <w:pStyle w:val="ListParagraph"/>
        <w:numPr>
          <w:ilvl w:val="0"/>
          <w:numId w:val="109"/>
        </w:numPr>
        <w:tabs>
          <w:tab w:pos="793" w:val="left" w:leader="none"/>
          <w:tab w:pos="797" w:val="left" w:leader="none"/>
        </w:tabs>
        <w:spacing w:line="225" w:lineRule="auto" w:before="186" w:after="0"/>
        <w:ind w:left="797" w:right="125" w:hanging="505"/>
        <w:jc w:val="both"/>
        <w:rPr>
          <w:sz w:val="20"/>
        </w:rPr>
      </w:pPr>
      <w:r>
        <w:rPr>
          <w:color w:val="231F1F"/>
          <w:w w:val="110"/>
          <w:sz w:val="20"/>
        </w:rPr>
        <w:t>Ceriani</w:t>
      </w:r>
      <w:r>
        <w:rPr>
          <w:color w:val="231F1F"/>
          <w:spacing w:val="-12"/>
          <w:w w:val="110"/>
          <w:sz w:val="20"/>
        </w:rPr>
        <w:t> </w:t>
      </w:r>
      <w:r>
        <w:rPr>
          <w:color w:val="231F1F"/>
          <w:w w:val="110"/>
          <w:sz w:val="20"/>
        </w:rPr>
        <w:t>Cernadas</w:t>
      </w:r>
      <w:r>
        <w:rPr>
          <w:color w:val="231F1F"/>
          <w:spacing w:val="-13"/>
          <w:w w:val="110"/>
          <w:sz w:val="20"/>
        </w:rPr>
        <w:t> </w:t>
      </w:r>
      <w:r>
        <w:rPr>
          <w:color w:val="231F1F"/>
          <w:w w:val="110"/>
          <w:sz w:val="20"/>
        </w:rPr>
        <w:t>JM,</w:t>
      </w:r>
      <w:r>
        <w:rPr>
          <w:color w:val="231F1F"/>
          <w:spacing w:val="-12"/>
          <w:w w:val="110"/>
          <w:sz w:val="20"/>
        </w:rPr>
        <w:t> </w:t>
      </w:r>
      <w:r>
        <w:rPr>
          <w:color w:val="231F1F"/>
          <w:w w:val="110"/>
          <w:sz w:val="20"/>
        </w:rPr>
        <w:t>Carroli</w:t>
      </w:r>
      <w:r>
        <w:rPr>
          <w:color w:val="231F1F"/>
          <w:spacing w:val="-12"/>
          <w:w w:val="110"/>
          <w:sz w:val="20"/>
        </w:rPr>
        <w:t> </w:t>
      </w:r>
      <w:r>
        <w:rPr>
          <w:color w:val="231F1F"/>
          <w:w w:val="110"/>
          <w:sz w:val="20"/>
        </w:rPr>
        <w:t>G,</w:t>
      </w:r>
      <w:r>
        <w:rPr>
          <w:color w:val="231F1F"/>
          <w:spacing w:val="-12"/>
          <w:w w:val="110"/>
          <w:sz w:val="20"/>
        </w:rPr>
        <w:t> </w:t>
      </w:r>
      <w:r>
        <w:rPr>
          <w:color w:val="231F1F"/>
          <w:w w:val="110"/>
          <w:sz w:val="20"/>
        </w:rPr>
        <w:t>Pellegrini</w:t>
      </w:r>
      <w:r>
        <w:rPr>
          <w:color w:val="231F1F"/>
          <w:spacing w:val="-12"/>
          <w:w w:val="110"/>
          <w:sz w:val="20"/>
        </w:rPr>
        <w:t> </w:t>
      </w:r>
      <w:r>
        <w:rPr>
          <w:color w:val="231F1F"/>
          <w:w w:val="110"/>
          <w:sz w:val="20"/>
        </w:rPr>
        <w:t>L,</w:t>
      </w:r>
      <w:r>
        <w:rPr>
          <w:color w:val="231F1F"/>
          <w:spacing w:val="-12"/>
          <w:w w:val="110"/>
          <w:sz w:val="20"/>
        </w:rPr>
        <w:t> </w:t>
      </w:r>
      <w:r>
        <w:rPr>
          <w:color w:val="231F1F"/>
          <w:w w:val="110"/>
          <w:sz w:val="20"/>
        </w:rPr>
        <w:t>et</w:t>
      </w:r>
      <w:r>
        <w:rPr>
          <w:color w:val="231F1F"/>
          <w:spacing w:val="-12"/>
          <w:w w:val="110"/>
          <w:sz w:val="20"/>
        </w:rPr>
        <w:t> </w:t>
      </w:r>
      <w:r>
        <w:rPr>
          <w:color w:val="231F1F"/>
          <w:w w:val="110"/>
          <w:sz w:val="20"/>
        </w:rPr>
        <w:t>al.</w:t>
      </w:r>
      <w:r>
        <w:rPr>
          <w:color w:val="231F1F"/>
          <w:spacing w:val="-12"/>
          <w:w w:val="110"/>
          <w:sz w:val="20"/>
        </w:rPr>
        <w:t> </w:t>
      </w:r>
      <w:r>
        <w:rPr>
          <w:color w:val="231F1F"/>
          <w:w w:val="110"/>
          <w:sz w:val="20"/>
        </w:rPr>
        <w:t>The</w:t>
      </w:r>
      <w:r>
        <w:rPr>
          <w:color w:val="231F1F"/>
          <w:spacing w:val="-12"/>
          <w:w w:val="110"/>
          <w:sz w:val="20"/>
        </w:rPr>
        <w:t> </w:t>
      </w:r>
      <w:r>
        <w:rPr>
          <w:color w:val="231F1F"/>
          <w:w w:val="110"/>
          <w:sz w:val="20"/>
        </w:rPr>
        <w:t>effect</w:t>
      </w:r>
      <w:r>
        <w:rPr>
          <w:color w:val="231F1F"/>
          <w:spacing w:val="-11"/>
          <w:w w:val="110"/>
          <w:sz w:val="20"/>
        </w:rPr>
        <w:t> </w:t>
      </w:r>
      <w:r>
        <w:rPr>
          <w:color w:val="231F1F"/>
          <w:w w:val="110"/>
          <w:sz w:val="20"/>
        </w:rPr>
        <w:t>of</w:t>
      </w:r>
      <w:r>
        <w:rPr>
          <w:color w:val="231F1F"/>
          <w:spacing w:val="-11"/>
          <w:w w:val="110"/>
          <w:sz w:val="20"/>
        </w:rPr>
        <w:t> </w:t>
      </w:r>
      <w:r>
        <w:rPr>
          <w:color w:val="231F1F"/>
          <w:w w:val="110"/>
          <w:sz w:val="20"/>
        </w:rPr>
        <w:t>timing</w:t>
      </w:r>
      <w:r>
        <w:rPr>
          <w:color w:val="231F1F"/>
          <w:spacing w:val="-11"/>
          <w:w w:val="110"/>
          <w:sz w:val="20"/>
        </w:rPr>
        <w:t> </w:t>
      </w:r>
      <w:r>
        <w:rPr>
          <w:color w:val="231F1F"/>
          <w:w w:val="110"/>
          <w:sz w:val="20"/>
        </w:rPr>
        <w:t>of</w:t>
      </w:r>
      <w:r>
        <w:rPr>
          <w:color w:val="231F1F"/>
          <w:spacing w:val="-11"/>
          <w:w w:val="110"/>
          <w:sz w:val="20"/>
        </w:rPr>
        <w:t> </w:t>
      </w:r>
      <w:r>
        <w:rPr>
          <w:color w:val="231F1F"/>
          <w:w w:val="110"/>
          <w:sz w:val="20"/>
        </w:rPr>
        <w:t>cord</w:t>
      </w:r>
      <w:r>
        <w:rPr>
          <w:color w:val="231F1F"/>
          <w:spacing w:val="-11"/>
          <w:w w:val="110"/>
          <w:sz w:val="20"/>
        </w:rPr>
        <w:t> </w:t>
      </w:r>
      <w:r>
        <w:rPr>
          <w:color w:val="231F1F"/>
          <w:w w:val="110"/>
          <w:sz w:val="20"/>
        </w:rPr>
        <w:t>clamping</w:t>
      </w:r>
      <w:r>
        <w:rPr>
          <w:color w:val="231F1F"/>
          <w:spacing w:val="-12"/>
          <w:w w:val="110"/>
          <w:sz w:val="20"/>
        </w:rPr>
        <w:t> </w:t>
      </w:r>
      <w:r>
        <w:rPr>
          <w:color w:val="231F1F"/>
          <w:w w:val="110"/>
          <w:sz w:val="20"/>
        </w:rPr>
        <w:t>on neonatal venous hematocrit values and clinical outcome at term: a randomized, controlled trial. Pediatrics 2006;117(4):779-86.</w:t>
      </w:r>
    </w:p>
    <w:p>
      <w:pPr>
        <w:pStyle w:val="ListParagraph"/>
        <w:numPr>
          <w:ilvl w:val="0"/>
          <w:numId w:val="109"/>
        </w:numPr>
        <w:tabs>
          <w:tab w:pos="795" w:val="left" w:leader="none"/>
          <w:tab w:pos="798" w:val="left" w:leader="none"/>
        </w:tabs>
        <w:spacing w:line="220" w:lineRule="auto" w:before="176" w:after="0"/>
        <w:ind w:left="798" w:right="397" w:hanging="505"/>
        <w:jc w:val="left"/>
        <w:rPr>
          <w:sz w:val="20"/>
        </w:rPr>
      </w:pPr>
      <w:r>
        <w:rPr>
          <w:color w:val="231F1F"/>
          <w:w w:val="105"/>
          <w:position w:val="1"/>
          <w:sz w:val="20"/>
        </w:rPr>
        <w:t>Chaparro</w:t>
      </w:r>
      <w:r>
        <w:rPr>
          <w:color w:val="231F1F"/>
          <w:spacing w:val="-8"/>
          <w:w w:val="105"/>
          <w:position w:val="1"/>
          <w:sz w:val="20"/>
        </w:rPr>
        <w:t> </w:t>
      </w:r>
      <w:r>
        <w:rPr>
          <w:color w:val="231F1F"/>
          <w:w w:val="105"/>
          <w:position w:val="1"/>
          <w:sz w:val="20"/>
        </w:rPr>
        <w:t>CM,</w:t>
      </w:r>
      <w:r>
        <w:rPr>
          <w:color w:val="231F1F"/>
          <w:spacing w:val="-6"/>
          <w:w w:val="105"/>
          <w:position w:val="1"/>
          <w:sz w:val="20"/>
        </w:rPr>
        <w:t> </w:t>
      </w:r>
      <w:r>
        <w:rPr>
          <w:color w:val="231F1F"/>
          <w:w w:val="105"/>
          <w:position w:val="1"/>
          <w:sz w:val="20"/>
        </w:rPr>
        <w:t>Neufeld</w:t>
      </w:r>
      <w:r>
        <w:rPr>
          <w:color w:val="231F1F"/>
          <w:spacing w:val="-7"/>
          <w:w w:val="105"/>
          <w:position w:val="1"/>
          <w:sz w:val="20"/>
        </w:rPr>
        <w:t> </w:t>
      </w:r>
      <w:r>
        <w:rPr>
          <w:color w:val="231F1F"/>
          <w:w w:val="105"/>
          <w:position w:val="1"/>
          <w:sz w:val="20"/>
        </w:rPr>
        <w:t>LM,</w:t>
      </w:r>
      <w:r>
        <w:rPr>
          <w:color w:val="231F1F"/>
          <w:spacing w:val="-14"/>
          <w:w w:val="105"/>
          <w:position w:val="1"/>
          <w:sz w:val="20"/>
        </w:rPr>
        <w:t> </w:t>
      </w:r>
      <w:r>
        <w:rPr>
          <w:color w:val="231F1F"/>
          <w:w w:val="105"/>
          <w:position w:val="1"/>
          <w:sz w:val="20"/>
        </w:rPr>
        <w:t>Tena</w:t>
      </w:r>
      <w:r>
        <w:rPr>
          <w:color w:val="231F1F"/>
          <w:spacing w:val="-6"/>
          <w:w w:val="105"/>
          <w:position w:val="1"/>
          <w:sz w:val="20"/>
        </w:rPr>
        <w:t> </w:t>
      </w:r>
      <w:r>
        <w:rPr>
          <w:color w:val="231F1F"/>
          <w:w w:val="105"/>
          <w:position w:val="1"/>
          <w:sz w:val="20"/>
        </w:rPr>
        <w:t>AG,</w:t>
      </w:r>
      <w:r>
        <w:rPr>
          <w:color w:val="231F1F"/>
          <w:spacing w:val="-6"/>
          <w:w w:val="105"/>
          <w:position w:val="1"/>
          <w:sz w:val="20"/>
        </w:rPr>
        <w:t> </w:t>
      </w:r>
      <w:r>
        <w:rPr>
          <w:color w:val="231F1F"/>
          <w:w w:val="105"/>
          <w:position w:val="1"/>
          <w:sz w:val="20"/>
        </w:rPr>
        <w:t>et</w:t>
      </w:r>
      <w:r>
        <w:rPr>
          <w:color w:val="231F1F"/>
          <w:spacing w:val="-6"/>
          <w:w w:val="105"/>
          <w:position w:val="1"/>
          <w:sz w:val="20"/>
        </w:rPr>
        <w:t> </w:t>
      </w:r>
      <w:r>
        <w:rPr>
          <w:color w:val="231F1F"/>
          <w:w w:val="105"/>
          <w:position w:val="1"/>
          <w:sz w:val="20"/>
        </w:rPr>
        <w:t>al.</w:t>
      </w:r>
      <w:r>
        <w:rPr>
          <w:color w:val="231F1F"/>
          <w:spacing w:val="-6"/>
          <w:w w:val="105"/>
          <w:position w:val="1"/>
          <w:sz w:val="20"/>
        </w:rPr>
        <w:t> </w:t>
      </w:r>
      <w:r>
        <w:rPr>
          <w:color w:val="231F1F"/>
          <w:w w:val="105"/>
          <w:position w:val="1"/>
          <w:sz w:val="20"/>
        </w:rPr>
        <w:t>Effectc</w:t>
      </w:r>
      <w:r>
        <w:rPr>
          <w:color w:val="231F1F"/>
          <w:spacing w:val="-7"/>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timing</w:t>
      </w:r>
      <w:r>
        <w:rPr>
          <w:color w:val="231F1F"/>
          <w:spacing w:val="-6"/>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umbilical</w:t>
      </w:r>
      <w:r>
        <w:rPr>
          <w:color w:val="231F1F"/>
          <w:spacing w:val="-6"/>
          <w:w w:val="105"/>
          <w:position w:val="1"/>
          <w:sz w:val="20"/>
        </w:rPr>
        <w:t> </w:t>
      </w:r>
      <w:r>
        <w:rPr>
          <w:color w:val="231F1F"/>
          <w:w w:val="105"/>
          <w:position w:val="1"/>
          <w:sz w:val="20"/>
        </w:rPr>
        <w:t>cord</w:t>
      </w:r>
      <w:r>
        <w:rPr>
          <w:color w:val="231F1F"/>
          <w:spacing w:val="-7"/>
          <w:w w:val="105"/>
          <w:position w:val="1"/>
          <w:sz w:val="20"/>
        </w:rPr>
        <w:t> </w:t>
      </w:r>
      <w:r>
        <w:rPr>
          <w:color w:val="231F1F"/>
          <w:w w:val="105"/>
          <w:position w:val="1"/>
          <w:sz w:val="20"/>
        </w:rPr>
        <w:t>clamping</w:t>
      </w:r>
      <w:r>
        <w:rPr>
          <w:color w:val="231F1F"/>
          <w:spacing w:val="-7"/>
          <w:w w:val="105"/>
          <w:position w:val="1"/>
          <w:sz w:val="20"/>
        </w:rPr>
        <w:t> </w:t>
      </w:r>
      <w:r>
        <w:rPr>
          <w:color w:val="231F1F"/>
          <w:w w:val="105"/>
          <w:position w:val="1"/>
          <w:sz w:val="20"/>
        </w:rPr>
        <w:t>on </w:t>
      </w:r>
      <w:r>
        <w:rPr>
          <w:color w:val="231F1F"/>
          <w:w w:val="105"/>
          <w:sz w:val="20"/>
        </w:rPr>
        <w:t>iron status in Mexican infants: a randomised trial. Lancet 2006;367(9527):1997-2004.</w:t>
      </w:r>
    </w:p>
    <w:p>
      <w:pPr>
        <w:pStyle w:val="ListParagraph"/>
        <w:spacing w:after="0" w:line="220" w:lineRule="auto"/>
        <w:jc w:val="left"/>
        <w:rPr>
          <w:sz w:val="20"/>
        </w:rPr>
        <w:sectPr>
          <w:pgSz w:w="11900" w:h="16840"/>
          <w:pgMar w:header="0" w:footer="622" w:top="1540" w:bottom="820" w:left="1417" w:right="1559"/>
        </w:sectPr>
      </w:pPr>
    </w:p>
    <w:p>
      <w:pPr>
        <w:pStyle w:val="ListParagraph"/>
        <w:numPr>
          <w:ilvl w:val="0"/>
          <w:numId w:val="109"/>
        </w:numPr>
        <w:tabs>
          <w:tab w:pos="793" w:val="left" w:leader="none"/>
          <w:tab w:pos="797" w:val="left" w:leader="none"/>
        </w:tabs>
        <w:spacing w:line="211" w:lineRule="auto" w:before="89" w:after="0"/>
        <w:ind w:left="797" w:right="167" w:hanging="505"/>
        <w:jc w:val="both"/>
        <w:rPr>
          <w:sz w:val="20"/>
        </w:rPr>
      </w:pPr>
      <w:r>
        <w:rPr>
          <w:color w:val="231F1F"/>
          <w:w w:val="105"/>
          <w:position w:val="1"/>
          <w:sz w:val="20"/>
        </w:rPr>
        <w:t>Emhamed</w:t>
      </w:r>
      <w:r>
        <w:rPr>
          <w:color w:val="231F1F"/>
          <w:spacing w:val="-2"/>
          <w:w w:val="105"/>
          <w:position w:val="1"/>
          <w:sz w:val="20"/>
        </w:rPr>
        <w:t> </w:t>
      </w:r>
      <w:r>
        <w:rPr>
          <w:color w:val="231F1F"/>
          <w:w w:val="105"/>
          <w:position w:val="1"/>
          <w:sz w:val="20"/>
        </w:rPr>
        <w:t>MO,</w:t>
      </w:r>
      <w:r>
        <w:rPr>
          <w:color w:val="231F1F"/>
          <w:spacing w:val="-3"/>
          <w:w w:val="105"/>
          <w:position w:val="1"/>
          <w:sz w:val="20"/>
        </w:rPr>
        <w:t> </w:t>
      </w:r>
      <w:r>
        <w:rPr>
          <w:color w:val="231F1F"/>
          <w:w w:val="105"/>
          <w:position w:val="1"/>
          <w:sz w:val="20"/>
        </w:rPr>
        <w:t>Van</w:t>
      </w:r>
      <w:r>
        <w:rPr>
          <w:color w:val="231F1F"/>
          <w:spacing w:val="-2"/>
          <w:w w:val="105"/>
          <w:position w:val="1"/>
          <w:sz w:val="20"/>
        </w:rPr>
        <w:t> </w:t>
      </w:r>
      <w:r>
        <w:rPr>
          <w:color w:val="231F1F"/>
          <w:w w:val="105"/>
          <w:position w:val="1"/>
          <w:sz w:val="20"/>
        </w:rPr>
        <w:t>RP,</w:t>
      </w:r>
      <w:r>
        <w:rPr>
          <w:color w:val="231F1F"/>
          <w:spacing w:val="-1"/>
          <w:w w:val="105"/>
          <w:position w:val="1"/>
          <w:sz w:val="20"/>
        </w:rPr>
        <w:t> </w:t>
      </w:r>
      <w:r>
        <w:rPr>
          <w:color w:val="231F1F"/>
          <w:w w:val="105"/>
          <w:position w:val="1"/>
          <w:sz w:val="20"/>
        </w:rPr>
        <w:t>Brabin</w:t>
      </w:r>
      <w:r>
        <w:rPr>
          <w:color w:val="231F1F"/>
          <w:spacing w:val="-2"/>
          <w:w w:val="105"/>
          <w:position w:val="1"/>
          <w:sz w:val="20"/>
        </w:rPr>
        <w:t> </w:t>
      </w:r>
      <w:r>
        <w:rPr>
          <w:color w:val="231F1F"/>
          <w:w w:val="105"/>
          <w:position w:val="1"/>
          <w:sz w:val="20"/>
        </w:rPr>
        <w:t>BJ.</w:t>
      </w:r>
      <w:r>
        <w:rPr>
          <w:color w:val="231F1F"/>
          <w:spacing w:val="-3"/>
          <w:w w:val="105"/>
          <w:position w:val="1"/>
          <w:sz w:val="20"/>
        </w:rPr>
        <w:t> </w:t>
      </w:r>
      <w:r>
        <w:rPr>
          <w:color w:val="231F1F"/>
          <w:w w:val="105"/>
          <w:position w:val="1"/>
          <w:sz w:val="20"/>
        </w:rPr>
        <w:t>The</w:t>
      </w:r>
      <w:r>
        <w:rPr>
          <w:color w:val="231F1F"/>
          <w:spacing w:val="-2"/>
          <w:w w:val="105"/>
          <w:position w:val="1"/>
          <w:sz w:val="20"/>
        </w:rPr>
        <w:t> </w:t>
      </w:r>
      <w:r>
        <w:rPr>
          <w:color w:val="231F1F"/>
          <w:w w:val="105"/>
          <w:position w:val="1"/>
          <w:sz w:val="20"/>
        </w:rPr>
        <w:t>early</w:t>
      </w:r>
      <w:r>
        <w:rPr>
          <w:color w:val="231F1F"/>
          <w:spacing w:val="-2"/>
          <w:w w:val="105"/>
          <w:position w:val="1"/>
          <w:sz w:val="20"/>
        </w:rPr>
        <w:t> </w:t>
      </w:r>
      <w:r>
        <w:rPr>
          <w:color w:val="231F1F"/>
          <w:w w:val="105"/>
          <w:position w:val="1"/>
          <w:sz w:val="20"/>
        </w:rPr>
        <w:t>effects</w:t>
      </w:r>
      <w:r>
        <w:rPr>
          <w:color w:val="231F1F"/>
          <w:spacing w:val="-2"/>
          <w:w w:val="105"/>
          <w:position w:val="1"/>
          <w:sz w:val="20"/>
        </w:rPr>
        <w:t> </w:t>
      </w:r>
      <w:r>
        <w:rPr>
          <w:color w:val="231F1F"/>
          <w:w w:val="105"/>
          <w:position w:val="1"/>
          <w:sz w:val="20"/>
        </w:rPr>
        <w:t>of</w:t>
      </w:r>
      <w:r>
        <w:rPr>
          <w:color w:val="231F1F"/>
          <w:spacing w:val="-1"/>
          <w:w w:val="105"/>
          <w:position w:val="1"/>
          <w:sz w:val="20"/>
        </w:rPr>
        <w:t> </w:t>
      </w:r>
      <w:r>
        <w:rPr>
          <w:color w:val="231F1F"/>
          <w:w w:val="105"/>
          <w:position w:val="1"/>
          <w:sz w:val="20"/>
        </w:rPr>
        <w:t>delayed</w:t>
      </w:r>
      <w:r>
        <w:rPr>
          <w:color w:val="231F1F"/>
          <w:spacing w:val="-2"/>
          <w:w w:val="105"/>
          <w:position w:val="1"/>
          <w:sz w:val="20"/>
        </w:rPr>
        <w:t> </w:t>
      </w:r>
      <w:r>
        <w:rPr>
          <w:color w:val="231F1F"/>
          <w:w w:val="105"/>
          <w:position w:val="1"/>
          <w:sz w:val="20"/>
        </w:rPr>
        <w:t>cord</w:t>
      </w:r>
      <w:r>
        <w:rPr>
          <w:color w:val="231F1F"/>
          <w:spacing w:val="-2"/>
          <w:w w:val="105"/>
          <w:position w:val="1"/>
          <w:sz w:val="20"/>
        </w:rPr>
        <w:t> </w:t>
      </w:r>
      <w:r>
        <w:rPr>
          <w:color w:val="231F1F"/>
          <w:w w:val="105"/>
          <w:position w:val="1"/>
          <w:sz w:val="20"/>
        </w:rPr>
        <w:t>clamping</w:t>
      </w:r>
      <w:r>
        <w:rPr>
          <w:color w:val="231F1F"/>
          <w:spacing w:val="-2"/>
          <w:w w:val="105"/>
          <w:position w:val="1"/>
          <w:sz w:val="20"/>
        </w:rPr>
        <w:t> </w:t>
      </w:r>
      <w:r>
        <w:rPr>
          <w:color w:val="231F1F"/>
          <w:w w:val="105"/>
          <w:position w:val="1"/>
          <w:sz w:val="20"/>
        </w:rPr>
        <w:t>in</w:t>
      </w:r>
      <w:r>
        <w:rPr>
          <w:color w:val="231F1F"/>
          <w:spacing w:val="-2"/>
          <w:w w:val="105"/>
          <w:position w:val="1"/>
          <w:sz w:val="20"/>
        </w:rPr>
        <w:t> </w:t>
      </w:r>
      <w:r>
        <w:rPr>
          <w:color w:val="231F1F"/>
          <w:w w:val="105"/>
          <w:position w:val="1"/>
          <w:sz w:val="20"/>
        </w:rPr>
        <w:t>term</w:t>
      </w:r>
      <w:r>
        <w:rPr>
          <w:color w:val="231F1F"/>
          <w:spacing w:val="-2"/>
          <w:w w:val="105"/>
          <w:position w:val="1"/>
          <w:sz w:val="20"/>
        </w:rPr>
        <w:t> </w:t>
      </w:r>
      <w:r>
        <w:rPr>
          <w:color w:val="231F1F"/>
          <w:w w:val="105"/>
          <w:position w:val="1"/>
          <w:sz w:val="20"/>
        </w:rPr>
        <w:t>infants </w:t>
      </w:r>
      <w:r>
        <w:rPr>
          <w:color w:val="231F1F"/>
          <w:w w:val="105"/>
          <w:sz w:val="20"/>
        </w:rPr>
        <w:t>born to Libyan mothers. Trop Doct 2004;34(4):218-22.</w:t>
      </w:r>
    </w:p>
    <w:p>
      <w:pPr>
        <w:pStyle w:val="ListParagraph"/>
        <w:numPr>
          <w:ilvl w:val="0"/>
          <w:numId w:val="109"/>
        </w:numPr>
        <w:tabs>
          <w:tab w:pos="794" w:val="left" w:leader="none"/>
          <w:tab w:pos="798" w:val="left" w:leader="none"/>
        </w:tabs>
        <w:spacing w:line="225" w:lineRule="auto" w:before="170" w:after="0"/>
        <w:ind w:left="798" w:right="187" w:hanging="527"/>
        <w:jc w:val="both"/>
        <w:rPr>
          <w:sz w:val="20"/>
        </w:rPr>
      </w:pPr>
      <w:r>
        <w:rPr>
          <w:color w:val="231F1F"/>
          <w:w w:val="105"/>
          <w:sz w:val="20"/>
        </w:rPr>
        <w:t>Nelle</w:t>
      </w:r>
      <w:r>
        <w:rPr>
          <w:color w:val="231F1F"/>
          <w:spacing w:val="-11"/>
          <w:w w:val="105"/>
          <w:sz w:val="20"/>
        </w:rPr>
        <w:t> </w:t>
      </w:r>
      <w:r>
        <w:rPr>
          <w:color w:val="231F1F"/>
          <w:w w:val="105"/>
          <w:sz w:val="20"/>
        </w:rPr>
        <w:t>M,</w:t>
      </w:r>
      <w:r>
        <w:rPr>
          <w:color w:val="231F1F"/>
          <w:spacing w:val="-10"/>
          <w:w w:val="105"/>
          <w:sz w:val="20"/>
        </w:rPr>
        <w:t> </w:t>
      </w:r>
      <w:r>
        <w:rPr>
          <w:color w:val="231F1F"/>
          <w:w w:val="105"/>
          <w:sz w:val="20"/>
        </w:rPr>
        <w:t>Zilow</w:t>
      </w:r>
      <w:r>
        <w:rPr>
          <w:color w:val="231F1F"/>
          <w:spacing w:val="-10"/>
          <w:w w:val="105"/>
          <w:sz w:val="20"/>
        </w:rPr>
        <w:t> </w:t>
      </w:r>
      <w:r>
        <w:rPr>
          <w:color w:val="231F1F"/>
          <w:w w:val="105"/>
          <w:sz w:val="20"/>
        </w:rPr>
        <w:t>EP,</w:t>
      </w:r>
      <w:r>
        <w:rPr>
          <w:color w:val="231F1F"/>
          <w:spacing w:val="-10"/>
          <w:w w:val="105"/>
          <w:sz w:val="20"/>
        </w:rPr>
        <w:t> </w:t>
      </w:r>
      <w:r>
        <w:rPr>
          <w:color w:val="231F1F"/>
          <w:w w:val="105"/>
          <w:sz w:val="20"/>
        </w:rPr>
        <w:t>Kraus</w:t>
      </w:r>
      <w:r>
        <w:rPr>
          <w:color w:val="231F1F"/>
          <w:spacing w:val="-10"/>
          <w:w w:val="105"/>
          <w:sz w:val="20"/>
        </w:rPr>
        <w:t> </w:t>
      </w:r>
      <w:r>
        <w:rPr>
          <w:color w:val="231F1F"/>
          <w:w w:val="105"/>
          <w:sz w:val="20"/>
        </w:rPr>
        <w:t>M,</w:t>
      </w:r>
      <w:r>
        <w:rPr>
          <w:color w:val="231F1F"/>
          <w:spacing w:val="-10"/>
          <w:w w:val="105"/>
          <w:sz w:val="20"/>
        </w:rPr>
        <w:t> </w:t>
      </w:r>
      <w:r>
        <w:rPr>
          <w:color w:val="231F1F"/>
          <w:w w:val="105"/>
          <w:sz w:val="20"/>
        </w:rPr>
        <w:t>et</w:t>
      </w:r>
      <w:r>
        <w:rPr>
          <w:color w:val="231F1F"/>
          <w:spacing w:val="-6"/>
          <w:w w:val="105"/>
          <w:sz w:val="20"/>
        </w:rPr>
        <w:t> </w:t>
      </w:r>
      <w:r>
        <w:rPr>
          <w:color w:val="231F1F"/>
          <w:w w:val="105"/>
          <w:sz w:val="20"/>
        </w:rPr>
        <w:t>al.</w:t>
      </w:r>
      <w:r>
        <w:rPr>
          <w:color w:val="231F1F"/>
          <w:spacing w:val="-10"/>
          <w:w w:val="105"/>
          <w:sz w:val="20"/>
        </w:rPr>
        <w:t> </w:t>
      </w:r>
      <w:r>
        <w:rPr>
          <w:color w:val="231F1F"/>
          <w:w w:val="105"/>
          <w:sz w:val="20"/>
        </w:rPr>
        <w:t>The</w:t>
      </w:r>
      <w:r>
        <w:rPr>
          <w:color w:val="231F1F"/>
          <w:spacing w:val="-4"/>
          <w:w w:val="105"/>
          <w:sz w:val="20"/>
        </w:rPr>
        <w:t> </w:t>
      </w:r>
      <w:r>
        <w:rPr>
          <w:color w:val="231F1F"/>
          <w:w w:val="105"/>
          <w:sz w:val="20"/>
        </w:rPr>
        <w:t>effect</w:t>
      </w:r>
      <w:r>
        <w:rPr>
          <w:color w:val="231F1F"/>
          <w:spacing w:val="-5"/>
          <w:w w:val="105"/>
          <w:sz w:val="20"/>
        </w:rPr>
        <w:t> </w:t>
      </w:r>
      <w:r>
        <w:rPr>
          <w:color w:val="231F1F"/>
          <w:w w:val="105"/>
          <w:sz w:val="20"/>
        </w:rPr>
        <w:t>of</w:t>
      </w:r>
      <w:r>
        <w:rPr>
          <w:color w:val="231F1F"/>
          <w:spacing w:val="-5"/>
          <w:w w:val="105"/>
          <w:sz w:val="20"/>
        </w:rPr>
        <w:t> </w:t>
      </w:r>
      <w:r>
        <w:rPr>
          <w:color w:val="231F1F"/>
          <w:w w:val="105"/>
          <w:sz w:val="20"/>
        </w:rPr>
        <w:t>Leboyer</w:t>
      </w:r>
      <w:r>
        <w:rPr>
          <w:color w:val="231F1F"/>
          <w:spacing w:val="-5"/>
          <w:w w:val="105"/>
          <w:sz w:val="20"/>
        </w:rPr>
        <w:t> </w:t>
      </w:r>
      <w:r>
        <w:rPr>
          <w:color w:val="231F1F"/>
          <w:w w:val="105"/>
          <w:sz w:val="20"/>
        </w:rPr>
        <w:t>delivery</w:t>
      </w:r>
      <w:r>
        <w:rPr>
          <w:color w:val="231F1F"/>
          <w:spacing w:val="-5"/>
          <w:w w:val="105"/>
          <w:sz w:val="20"/>
        </w:rPr>
        <w:t> </w:t>
      </w:r>
      <w:r>
        <w:rPr>
          <w:color w:val="231F1F"/>
          <w:w w:val="105"/>
          <w:sz w:val="20"/>
        </w:rPr>
        <w:t>on</w:t>
      </w:r>
      <w:r>
        <w:rPr>
          <w:color w:val="231F1F"/>
          <w:spacing w:val="-5"/>
          <w:w w:val="105"/>
          <w:sz w:val="20"/>
        </w:rPr>
        <w:t> </w:t>
      </w:r>
      <w:r>
        <w:rPr>
          <w:color w:val="231F1F"/>
          <w:w w:val="105"/>
          <w:sz w:val="20"/>
        </w:rPr>
        <w:t>blood</w:t>
      </w:r>
      <w:r>
        <w:rPr>
          <w:color w:val="231F1F"/>
          <w:spacing w:val="-5"/>
          <w:w w:val="105"/>
          <w:sz w:val="20"/>
        </w:rPr>
        <w:t> </w:t>
      </w:r>
      <w:r>
        <w:rPr>
          <w:color w:val="231F1F"/>
          <w:w w:val="105"/>
          <w:sz w:val="20"/>
        </w:rPr>
        <w:t>viscosity</w:t>
      </w:r>
      <w:r>
        <w:rPr>
          <w:color w:val="231F1F"/>
          <w:spacing w:val="-5"/>
          <w:w w:val="105"/>
          <w:sz w:val="20"/>
        </w:rPr>
        <w:t> </w:t>
      </w:r>
      <w:r>
        <w:rPr>
          <w:color w:val="231F1F"/>
          <w:w w:val="105"/>
          <w:sz w:val="20"/>
        </w:rPr>
        <w:t>and</w:t>
      </w:r>
      <w:r>
        <w:rPr>
          <w:color w:val="231F1F"/>
          <w:spacing w:val="-5"/>
          <w:w w:val="105"/>
          <w:sz w:val="20"/>
        </w:rPr>
        <w:t> </w:t>
      </w:r>
      <w:r>
        <w:rPr>
          <w:color w:val="231F1F"/>
          <w:w w:val="105"/>
          <w:sz w:val="20"/>
        </w:rPr>
        <w:t>other hemorheologic</w:t>
      </w:r>
      <w:r>
        <w:rPr>
          <w:color w:val="231F1F"/>
          <w:spacing w:val="40"/>
          <w:w w:val="105"/>
          <w:sz w:val="20"/>
        </w:rPr>
        <w:t> </w:t>
      </w:r>
      <w:r>
        <w:rPr>
          <w:color w:val="231F1F"/>
          <w:w w:val="105"/>
          <w:sz w:val="20"/>
        </w:rPr>
        <w:t>parameters</w:t>
      </w:r>
      <w:r>
        <w:rPr>
          <w:color w:val="231F1F"/>
          <w:spacing w:val="40"/>
          <w:w w:val="105"/>
          <w:sz w:val="20"/>
        </w:rPr>
        <w:t> </w:t>
      </w:r>
      <w:r>
        <w:rPr>
          <w:color w:val="231F1F"/>
          <w:w w:val="105"/>
          <w:sz w:val="20"/>
        </w:rPr>
        <w:t>in</w:t>
      </w:r>
      <w:r>
        <w:rPr>
          <w:color w:val="231F1F"/>
          <w:spacing w:val="40"/>
          <w:w w:val="105"/>
          <w:sz w:val="20"/>
        </w:rPr>
        <w:t> </w:t>
      </w:r>
      <w:r>
        <w:rPr>
          <w:color w:val="231F1F"/>
          <w:w w:val="105"/>
          <w:sz w:val="20"/>
        </w:rPr>
        <w:t>term</w:t>
      </w:r>
      <w:r>
        <w:rPr>
          <w:color w:val="231F1F"/>
          <w:spacing w:val="40"/>
          <w:w w:val="105"/>
          <w:sz w:val="20"/>
        </w:rPr>
        <w:t> </w:t>
      </w:r>
      <w:r>
        <w:rPr>
          <w:color w:val="231F1F"/>
          <w:w w:val="105"/>
          <w:sz w:val="20"/>
        </w:rPr>
        <w:t>neonates. Am</w:t>
      </w:r>
      <w:r>
        <w:rPr>
          <w:color w:val="231F1F"/>
          <w:spacing w:val="40"/>
          <w:w w:val="105"/>
          <w:sz w:val="20"/>
        </w:rPr>
        <w:t> </w:t>
      </w:r>
      <w:r>
        <w:rPr>
          <w:color w:val="231F1F"/>
          <w:w w:val="105"/>
          <w:sz w:val="20"/>
        </w:rPr>
        <w:t>J</w:t>
      </w:r>
      <w:r>
        <w:rPr>
          <w:color w:val="231F1F"/>
          <w:spacing w:val="40"/>
          <w:w w:val="105"/>
          <w:sz w:val="20"/>
        </w:rPr>
        <w:t> </w:t>
      </w:r>
      <w:r>
        <w:rPr>
          <w:color w:val="231F1F"/>
          <w:w w:val="105"/>
          <w:sz w:val="20"/>
        </w:rPr>
        <w:t>Obstet</w:t>
      </w:r>
      <w:r>
        <w:rPr>
          <w:color w:val="231F1F"/>
          <w:spacing w:val="40"/>
          <w:w w:val="105"/>
          <w:sz w:val="20"/>
        </w:rPr>
        <w:t> </w:t>
      </w:r>
      <w:r>
        <w:rPr>
          <w:color w:val="231F1F"/>
          <w:w w:val="105"/>
          <w:sz w:val="20"/>
        </w:rPr>
        <w:t>Gynecol</w:t>
      </w:r>
      <w:r>
        <w:rPr>
          <w:color w:val="231F1F"/>
          <w:spacing w:val="40"/>
          <w:w w:val="105"/>
          <w:sz w:val="20"/>
        </w:rPr>
        <w:t> </w:t>
      </w:r>
      <w:r>
        <w:rPr>
          <w:color w:val="231F1F"/>
          <w:w w:val="105"/>
          <w:sz w:val="20"/>
        </w:rPr>
        <w:t>1993;169(1):189-93.</w:t>
      </w:r>
    </w:p>
    <w:p>
      <w:pPr>
        <w:pStyle w:val="ListParagraph"/>
        <w:numPr>
          <w:ilvl w:val="0"/>
          <w:numId w:val="109"/>
        </w:numPr>
        <w:tabs>
          <w:tab w:pos="793" w:val="left" w:leader="none"/>
          <w:tab w:pos="797" w:val="left" w:leader="none"/>
        </w:tabs>
        <w:spacing w:line="244" w:lineRule="auto" w:before="147" w:after="0"/>
        <w:ind w:left="797" w:right="274" w:hanging="505"/>
        <w:jc w:val="both"/>
        <w:rPr>
          <w:sz w:val="20"/>
        </w:rPr>
      </w:pPr>
      <w:r>
        <w:rPr>
          <w:color w:val="231F1F"/>
          <w:sz w:val="20"/>
        </w:rPr>
        <w:t>Nelle M, Zilow EP, Bastert G, et al. Effect of Leboyer childbirth on cardiac output, cerebral and gastrointestinal</w:t>
      </w:r>
      <w:r>
        <w:rPr>
          <w:color w:val="231F1F"/>
          <w:spacing w:val="37"/>
          <w:sz w:val="20"/>
        </w:rPr>
        <w:t> </w:t>
      </w:r>
      <w:r>
        <w:rPr>
          <w:color w:val="231F1F"/>
          <w:sz w:val="20"/>
        </w:rPr>
        <w:t>blood</w:t>
      </w:r>
      <w:r>
        <w:rPr>
          <w:color w:val="231F1F"/>
          <w:spacing w:val="37"/>
          <w:sz w:val="20"/>
        </w:rPr>
        <w:t> </w:t>
      </w:r>
      <w:r>
        <w:rPr>
          <w:color w:val="231F1F"/>
          <w:sz w:val="20"/>
        </w:rPr>
        <w:t>flow</w:t>
      </w:r>
      <w:r>
        <w:rPr>
          <w:color w:val="231F1F"/>
          <w:spacing w:val="35"/>
          <w:sz w:val="20"/>
        </w:rPr>
        <w:t> </w:t>
      </w:r>
      <w:r>
        <w:rPr>
          <w:color w:val="231F1F"/>
          <w:sz w:val="20"/>
        </w:rPr>
        <w:t>velocities</w:t>
      </w:r>
      <w:r>
        <w:rPr>
          <w:color w:val="231F1F"/>
          <w:spacing w:val="37"/>
          <w:sz w:val="20"/>
        </w:rPr>
        <w:t> </w:t>
      </w:r>
      <w:r>
        <w:rPr>
          <w:color w:val="231F1F"/>
          <w:sz w:val="20"/>
        </w:rPr>
        <w:t>in</w:t>
      </w:r>
      <w:r>
        <w:rPr>
          <w:color w:val="231F1F"/>
          <w:spacing w:val="37"/>
          <w:sz w:val="20"/>
        </w:rPr>
        <w:t> </w:t>
      </w:r>
      <w:r>
        <w:rPr>
          <w:color w:val="231F1F"/>
          <w:sz w:val="20"/>
        </w:rPr>
        <w:t>full-term</w:t>
      </w:r>
      <w:r>
        <w:rPr>
          <w:color w:val="231F1F"/>
          <w:spacing w:val="35"/>
          <w:sz w:val="20"/>
        </w:rPr>
        <w:t> </w:t>
      </w:r>
      <w:r>
        <w:rPr>
          <w:color w:val="231F1F"/>
          <w:sz w:val="20"/>
        </w:rPr>
        <w:t>neonates.</w:t>
      </w:r>
      <w:r>
        <w:rPr>
          <w:color w:val="231F1F"/>
          <w:spacing w:val="-3"/>
          <w:sz w:val="20"/>
        </w:rPr>
        <w:t> </w:t>
      </w:r>
      <w:r>
        <w:rPr>
          <w:color w:val="231F1F"/>
          <w:sz w:val="20"/>
        </w:rPr>
        <w:t>Am</w:t>
      </w:r>
      <w:r>
        <w:rPr>
          <w:color w:val="231F1F"/>
          <w:spacing w:val="35"/>
          <w:sz w:val="20"/>
        </w:rPr>
        <w:t> </w:t>
      </w:r>
      <w:r>
        <w:rPr>
          <w:color w:val="231F1F"/>
          <w:sz w:val="20"/>
        </w:rPr>
        <w:t>J</w:t>
      </w:r>
      <w:r>
        <w:rPr>
          <w:color w:val="231F1F"/>
          <w:spacing w:val="37"/>
          <w:sz w:val="20"/>
        </w:rPr>
        <w:t> </w:t>
      </w:r>
      <w:r>
        <w:rPr>
          <w:color w:val="231F1F"/>
          <w:sz w:val="20"/>
        </w:rPr>
        <w:t>Perinatol</w:t>
      </w:r>
      <w:r>
        <w:rPr>
          <w:color w:val="231F1F"/>
          <w:spacing w:val="37"/>
          <w:sz w:val="20"/>
        </w:rPr>
        <w:t> </w:t>
      </w:r>
      <w:r>
        <w:rPr>
          <w:color w:val="231F1F"/>
          <w:sz w:val="20"/>
        </w:rPr>
        <w:t>1995;12(3):212-6.</w:t>
      </w:r>
    </w:p>
    <w:p>
      <w:pPr>
        <w:pStyle w:val="ListParagraph"/>
        <w:numPr>
          <w:ilvl w:val="0"/>
          <w:numId w:val="109"/>
        </w:numPr>
        <w:tabs>
          <w:tab w:pos="793" w:val="left" w:leader="none"/>
          <w:tab w:pos="797" w:val="left" w:leader="none"/>
        </w:tabs>
        <w:spacing w:line="218" w:lineRule="auto" w:before="128" w:after="0"/>
        <w:ind w:left="797" w:right="125" w:hanging="505"/>
        <w:jc w:val="both"/>
        <w:rPr>
          <w:sz w:val="20"/>
        </w:rPr>
      </w:pPr>
      <w:r>
        <w:rPr>
          <w:color w:val="231F1F"/>
          <w:w w:val="110"/>
          <w:position w:val="1"/>
          <w:sz w:val="20"/>
        </w:rPr>
        <w:t>Linderkamp</w:t>
      </w:r>
      <w:r>
        <w:rPr>
          <w:color w:val="231F1F"/>
          <w:w w:val="110"/>
          <w:position w:val="1"/>
          <w:sz w:val="20"/>
        </w:rPr>
        <w:t> O,</w:t>
      </w:r>
      <w:r>
        <w:rPr>
          <w:color w:val="231F1F"/>
          <w:w w:val="110"/>
          <w:position w:val="1"/>
          <w:sz w:val="20"/>
        </w:rPr>
        <w:t> Nelle</w:t>
      </w:r>
      <w:r>
        <w:rPr>
          <w:color w:val="231F1F"/>
          <w:w w:val="110"/>
          <w:position w:val="1"/>
          <w:sz w:val="20"/>
        </w:rPr>
        <w:t> M,</w:t>
      </w:r>
      <w:r>
        <w:rPr>
          <w:color w:val="231F1F"/>
          <w:w w:val="110"/>
          <w:position w:val="1"/>
          <w:sz w:val="20"/>
        </w:rPr>
        <w:t> Kraus</w:t>
      </w:r>
      <w:r>
        <w:rPr>
          <w:color w:val="231F1F"/>
          <w:w w:val="110"/>
          <w:position w:val="1"/>
          <w:sz w:val="20"/>
        </w:rPr>
        <w:t> M,</w:t>
      </w:r>
      <w:r>
        <w:rPr>
          <w:color w:val="231F1F"/>
          <w:w w:val="110"/>
          <w:position w:val="1"/>
          <w:sz w:val="20"/>
        </w:rPr>
        <w:t> et</w:t>
      </w:r>
      <w:r>
        <w:rPr>
          <w:color w:val="231F1F"/>
          <w:w w:val="110"/>
          <w:position w:val="1"/>
          <w:sz w:val="20"/>
        </w:rPr>
        <w:t> al.</w:t>
      </w:r>
      <w:r>
        <w:rPr>
          <w:color w:val="231F1F"/>
          <w:w w:val="110"/>
          <w:position w:val="1"/>
          <w:sz w:val="20"/>
        </w:rPr>
        <w:t> The</w:t>
      </w:r>
      <w:r>
        <w:rPr>
          <w:color w:val="231F1F"/>
          <w:w w:val="110"/>
          <w:position w:val="1"/>
          <w:sz w:val="20"/>
        </w:rPr>
        <w:t> effect</w:t>
      </w:r>
      <w:r>
        <w:rPr>
          <w:color w:val="231F1F"/>
          <w:w w:val="110"/>
          <w:position w:val="1"/>
          <w:sz w:val="20"/>
        </w:rPr>
        <w:t> of</w:t>
      </w:r>
      <w:r>
        <w:rPr>
          <w:color w:val="231F1F"/>
          <w:w w:val="110"/>
          <w:position w:val="1"/>
          <w:sz w:val="20"/>
        </w:rPr>
        <w:t> early</w:t>
      </w:r>
      <w:r>
        <w:rPr>
          <w:color w:val="231F1F"/>
          <w:w w:val="110"/>
          <w:position w:val="1"/>
          <w:sz w:val="20"/>
        </w:rPr>
        <w:t> and</w:t>
      </w:r>
      <w:r>
        <w:rPr>
          <w:color w:val="231F1F"/>
          <w:w w:val="110"/>
          <w:position w:val="1"/>
          <w:sz w:val="20"/>
        </w:rPr>
        <w:t> late</w:t>
      </w:r>
      <w:r>
        <w:rPr>
          <w:color w:val="231F1F"/>
          <w:w w:val="110"/>
          <w:position w:val="1"/>
          <w:sz w:val="20"/>
        </w:rPr>
        <w:t> cord-clamping</w:t>
      </w:r>
      <w:r>
        <w:rPr>
          <w:color w:val="231F1F"/>
          <w:w w:val="110"/>
          <w:position w:val="1"/>
          <w:sz w:val="20"/>
        </w:rPr>
        <w:t> on </w:t>
      </w:r>
      <w:r>
        <w:rPr>
          <w:color w:val="231F1F"/>
          <w:w w:val="110"/>
          <w:sz w:val="20"/>
        </w:rPr>
        <w:t>blood viscosity and other hemorheological parameters in full-term neonates.</w:t>
      </w:r>
      <w:r>
        <w:rPr>
          <w:color w:val="231F1F"/>
          <w:spacing w:val="-2"/>
          <w:w w:val="110"/>
          <w:sz w:val="20"/>
        </w:rPr>
        <w:t> </w:t>
      </w:r>
      <w:r>
        <w:rPr>
          <w:color w:val="231F1F"/>
          <w:w w:val="110"/>
          <w:sz w:val="20"/>
        </w:rPr>
        <w:t>Acta Paediatr </w:t>
      </w:r>
      <w:r>
        <w:rPr>
          <w:color w:val="231F1F"/>
          <w:spacing w:val="-2"/>
          <w:w w:val="110"/>
          <w:sz w:val="20"/>
        </w:rPr>
        <w:t>1992;81(10):745-50.</w:t>
      </w:r>
    </w:p>
    <w:p>
      <w:pPr>
        <w:pStyle w:val="ListParagraph"/>
        <w:numPr>
          <w:ilvl w:val="0"/>
          <w:numId w:val="109"/>
        </w:numPr>
        <w:tabs>
          <w:tab w:pos="793" w:val="left" w:leader="none"/>
          <w:tab w:pos="797" w:val="left" w:leader="none"/>
        </w:tabs>
        <w:spacing w:line="211" w:lineRule="auto" w:before="169" w:after="0"/>
        <w:ind w:left="797" w:right="177" w:hanging="502"/>
        <w:jc w:val="both"/>
        <w:rPr>
          <w:sz w:val="20"/>
        </w:rPr>
      </w:pPr>
      <w:r>
        <w:rPr>
          <w:color w:val="231F1F"/>
          <w:w w:val="110"/>
          <w:position w:val="1"/>
          <w:sz w:val="20"/>
        </w:rPr>
        <w:t>Saigal</w:t>
      </w:r>
      <w:r>
        <w:rPr>
          <w:color w:val="231F1F"/>
          <w:spacing w:val="-5"/>
          <w:w w:val="110"/>
          <w:position w:val="1"/>
          <w:sz w:val="20"/>
        </w:rPr>
        <w:t> </w:t>
      </w:r>
      <w:r>
        <w:rPr>
          <w:color w:val="231F1F"/>
          <w:w w:val="110"/>
          <w:position w:val="1"/>
          <w:sz w:val="20"/>
        </w:rPr>
        <w:t>S,</w:t>
      </w:r>
      <w:r>
        <w:rPr>
          <w:color w:val="231F1F"/>
          <w:spacing w:val="-8"/>
          <w:w w:val="110"/>
          <w:position w:val="1"/>
          <w:sz w:val="20"/>
        </w:rPr>
        <w:t> </w:t>
      </w:r>
      <w:r>
        <w:rPr>
          <w:color w:val="231F1F"/>
          <w:w w:val="110"/>
          <w:position w:val="1"/>
          <w:sz w:val="20"/>
        </w:rPr>
        <w:t>O´Neill</w:t>
      </w:r>
      <w:r>
        <w:rPr>
          <w:color w:val="231F1F"/>
          <w:spacing w:val="-9"/>
          <w:w w:val="110"/>
          <w:position w:val="1"/>
          <w:sz w:val="20"/>
        </w:rPr>
        <w:t> </w:t>
      </w:r>
      <w:r>
        <w:rPr>
          <w:color w:val="231F1F"/>
          <w:w w:val="110"/>
          <w:position w:val="1"/>
          <w:sz w:val="20"/>
        </w:rPr>
        <w:t>A,</w:t>
      </w:r>
      <w:r>
        <w:rPr>
          <w:color w:val="231F1F"/>
          <w:spacing w:val="-8"/>
          <w:w w:val="110"/>
          <w:position w:val="1"/>
          <w:sz w:val="20"/>
        </w:rPr>
        <w:t> </w:t>
      </w:r>
      <w:r>
        <w:rPr>
          <w:color w:val="231F1F"/>
          <w:w w:val="110"/>
          <w:position w:val="1"/>
          <w:sz w:val="20"/>
        </w:rPr>
        <w:t>Surainder</w:t>
      </w:r>
      <w:r>
        <w:rPr>
          <w:color w:val="231F1F"/>
          <w:spacing w:val="-9"/>
          <w:w w:val="110"/>
          <w:position w:val="1"/>
          <w:sz w:val="20"/>
        </w:rPr>
        <w:t> </w:t>
      </w:r>
      <w:r>
        <w:rPr>
          <w:color w:val="231F1F"/>
          <w:w w:val="110"/>
          <w:position w:val="1"/>
          <w:sz w:val="20"/>
        </w:rPr>
        <w:t>Y,</w:t>
      </w:r>
      <w:r>
        <w:rPr>
          <w:color w:val="231F1F"/>
          <w:spacing w:val="-8"/>
          <w:w w:val="110"/>
          <w:position w:val="1"/>
          <w:sz w:val="20"/>
        </w:rPr>
        <w:t> </w:t>
      </w:r>
      <w:r>
        <w:rPr>
          <w:color w:val="231F1F"/>
          <w:w w:val="110"/>
          <w:position w:val="1"/>
          <w:sz w:val="20"/>
        </w:rPr>
        <w:t>et</w:t>
      </w:r>
      <w:r>
        <w:rPr>
          <w:color w:val="231F1F"/>
          <w:spacing w:val="-5"/>
          <w:w w:val="110"/>
          <w:position w:val="1"/>
          <w:sz w:val="20"/>
        </w:rPr>
        <w:t> </w:t>
      </w:r>
      <w:r>
        <w:rPr>
          <w:color w:val="231F1F"/>
          <w:w w:val="110"/>
          <w:position w:val="1"/>
          <w:sz w:val="20"/>
        </w:rPr>
        <w:t>al.</w:t>
      </w:r>
      <w:r>
        <w:rPr>
          <w:color w:val="231F1F"/>
          <w:spacing w:val="-8"/>
          <w:w w:val="110"/>
          <w:position w:val="1"/>
          <w:sz w:val="20"/>
        </w:rPr>
        <w:t> </w:t>
      </w:r>
      <w:r>
        <w:rPr>
          <w:color w:val="231F1F"/>
          <w:w w:val="110"/>
          <w:position w:val="1"/>
          <w:sz w:val="20"/>
        </w:rPr>
        <w:t>Placental</w:t>
      </w:r>
      <w:r>
        <w:rPr>
          <w:color w:val="231F1F"/>
          <w:spacing w:val="-5"/>
          <w:w w:val="110"/>
          <w:position w:val="1"/>
          <w:sz w:val="20"/>
        </w:rPr>
        <w:t> </w:t>
      </w:r>
      <w:r>
        <w:rPr>
          <w:color w:val="231F1F"/>
          <w:w w:val="110"/>
          <w:position w:val="1"/>
          <w:sz w:val="20"/>
        </w:rPr>
        <w:t>transfusion</w:t>
      </w:r>
      <w:r>
        <w:rPr>
          <w:color w:val="231F1F"/>
          <w:spacing w:val="-5"/>
          <w:w w:val="110"/>
          <w:position w:val="1"/>
          <w:sz w:val="20"/>
        </w:rPr>
        <w:t> </w:t>
      </w:r>
      <w:r>
        <w:rPr>
          <w:color w:val="231F1F"/>
          <w:w w:val="110"/>
          <w:position w:val="1"/>
          <w:sz w:val="20"/>
        </w:rPr>
        <w:t>and</w:t>
      </w:r>
      <w:r>
        <w:rPr>
          <w:color w:val="231F1F"/>
          <w:spacing w:val="-5"/>
          <w:w w:val="110"/>
          <w:position w:val="1"/>
          <w:sz w:val="20"/>
        </w:rPr>
        <w:t> </w:t>
      </w:r>
      <w:r>
        <w:rPr>
          <w:color w:val="231F1F"/>
          <w:w w:val="110"/>
          <w:position w:val="1"/>
          <w:sz w:val="20"/>
        </w:rPr>
        <w:t>hyperbilirubinemia</w:t>
      </w:r>
      <w:r>
        <w:rPr>
          <w:color w:val="231F1F"/>
          <w:spacing w:val="-5"/>
          <w:w w:val="110"/>
          <w:position w:val="1"/>
          <w:sz w:val="20"/>
        </w:rPr>
        <w:t> </w:t>
      </w:r>
      <w:r>
        <w:rPr>
          <w:color w:val="231F1F"/>
          <w:w w:val="110"/>
          <w:position w:val="1"/>
          <w:sz w:val="20"/>
        </w:rPr>
        <w:t>in</w:t>
      </w:r>
      <w:r>
        <w:rPr>
          <w:color w:val="231F1F"/>
          <w:spacing w:val="-5"/>
          <w:w w:val="110"/>
          <w:position w:val="1"/>
          <w:sz w:val="20"/>
        </w:rPr>
        <w:t> </w:t>
      </w:r>
      <w:r>
        <w:rPr>
          <w:color w:val="231F1F"/>
          <w:w w:val="110"/>
          <w:position w:val="1"/>
          <w:sz w:val="20"/>
        </w:rPr>
        <w:t>the </w:t>
      </w:r>
      <w:r>
        <w:rPr>
          <w:color w:val="231F1F"/>
          <w:w w:val="110"/>
          <w:sz w:val="20"/>
        </w:rPr>
        <w:t>premature. Pediatrics 1972;49(3):406-19.</w:t>
      </w:r>
    </w:p>
    <w:p>
      <w:pPr>
        <w:pStyle w:val="ListParagraph"/>
        <w:numPr>
          <w:ilvl w:val="0"/>
          <w:numId w:val="109"/>
        </w:numPr>
        <w:tabs>
          <w:tab w:pos="793" w:val="left" w:leader="none"/>
          <w:tab w:pos="797" w:val="left" w:leader="none"/>
        </w:tabs>
        <w:spacing w:line="211" w:lineRule="auto" w:before="157" w:after="0"/>
        <w:ind w:left="797" w:right="169" w:hanging="509"/>
        <w:jc w:val="both"/>
        <w:rPr>
          <w:sz w:val="20"/>
        </w:rPr>
      </w:pPr>
      <w:r>
        <w:rPr>
          <w:color w:val="231F1F"/>
          <w:w w:val="110"/>
          <w:position w:val="1"/>
          <w:sz w:val="20"/>
        </w:rPr>
        <w:t>Geethanath</w:t>
      </w:r>
      <w:r>
        <w:rPr>
          <w:color w:val="231F1F"/>
          <w:spacing w:val="-14"/>
          <w:w w:val="110"/>
          <w:position w:val="1"/>
          <w:sz w:val="20"/>
        </w:rPr>
        <w:t> </w:t>
      </w:r>
      <w:r>
        <w:rPr>
          <w:color w:val="231F1F"/>
          <w:w w:val="110"/>
          <w:position w:val="1"/>
          <w:sz w:val="20"/>
        </w:rPr>
        <w:t>RM,</w:t>
      </w:r>
      <w:r>
        <w:rPr>
          <w:color w:val="231F1F"/>
          <w:spacing w:val="-13"/>
          <w:w w:val="110"/>
          <w:position w:val="1"/>
          <w:sz w:val="20"/>
        </w:rPr>
        <w:t> </w:t>
      </w:r>
      <w:r>
        <w:rPr>
          <w:color w:val="231F1F"/>
          <w:w w:val="110"/>
          <w:position w:val="1"/>
          <w:sz w:val="20"/>
        </w:rPr>
        <w:t>Ramji</w:t>
      </w:r>
      <w:r>
        <w:rPr>
          <w:color w:val="231F1F"/>
          <w:spacing w:val="-14"/>
          <w:w w:val="110"/>
          <w:position w:val="1"/>
          <w:sz w:val="20"/>
        </w:rPr>
        <w:t> </w:t>
      </w:r>
      <w:r>
        <w:rPr>
          <w:color w:val="231F1F"/>
          <w:w w:val="110"/>
          <w:position w:val="1"/>
          <w:sz w:val="20"/>
        </w:rPr>
        <w:t>S,</w:t>
      </w:r>
      <w:r>
        <w:rPr>
          <w:color w:val="231F1F"/>
          <w:spacing w:val="-13"/>
          <w:w w:val="110"/>
          <w:position w:val="1"/>
          <w:sz w:val="20"/>
        </w:rPr>
        <w:t> </w:t>
      </w:r>
      <w:r>
        <w:rPr>
          <w:color w:val="231F1F"/>
          <w:w w:val="110"/>
          <w:position w:val="1"/>
          <w:sz w:val="20"/>
        </w:rPr>
        <w:t>Thirupuram</w:t>
      </w:r>
      <w:r>
        <w:rPr>
          <w:color w:val="231F1F"/>
          <w:spacing w:val="-14"/>
          <w:w w:val="110"/>
          <w:position w:val="1"/>
          <w:sz w:val="20"/>
        </w:rPr>
        <w:t> </w:t>
      </w:r>
      <w:r>
        <w:rPr>
          <w:color w:val="231F1F"/>
          <w:w w:val="110"/>
          <w:position w:val="1"/>
          <w:sz w:val="20"/>
        </w:rPr>
        <w:t>S,</w:t>
      </w:r>
      <w:r>
        <w:rPr>
          <w:color w:val="231F1F"/>
          <w:spacing w:val="-13"/>
          <w:w w:val="110"/>
          <w:position w:val="1"/>
          <w:sz w:val="20"/>
        </w:rPr>
        <w:t> </w:t>
      </w:r>
      <w:r>
        <w:rPr>
          <w:color w:val="231F1F"/>
          <w:w w:val="110"/>
          <w:position w:val="1"/>
          <w:sz w:val="20"/>
        </w:rPr>
        <w:t>at</w:t>
      </w:r>
      <w:r>
        <w:rPr>
          <w:color w:val="231F1F"/>
          <w:spacing w:val="-14"/>
          <w:w w:val="110"/>
          <w:position w:val="1"/>
          <w:sz w:val="20"/>
        </w:rPr>
        <w:t> </w:t>
      </w:r>
      <w:r>
        <w:rPr>
          <w:color w:val="231F1F"/>
          <w:w w:val="110"/>
          <w:position w:val="1"/>
          <w:sz w:val="20"/>
        </w:rPr>
        <w:t>al.</w:t>
      </w:r>
      <w:r>
        <w:rPr>
          <w:color w:val="231F1F"/>
          <w:spacing w:val="-13"/>
          <w:w w:val="110"/>
          <w:position w:val="1"/>
          <w:sz w:val="20"/>
        </w:rPr>
        <w:t> </w:t>
      </w:r>
      <w:r>
        <w:rPr>
          <w:color w:val="231F1F"/>
          <w:w w:val="110"/>
          <w:position w:val="1"/>
          <w:sz w:val="20"/>
        </w:rPr>
        <w:t>Effect</w:t>
      </w:r>
      <w:r>
        <w:rPr>
          <w:color w:val="231F1F"/>
          <w:spacing w:val="-14"/>
          <w:w w:val="110"/>
          <w:position w:val="1"/>
          <w:sz w:val="20"/>
        </w:rPr>
        <w:t> </w:t>
      </w:r>
      <w:r>
        <w:rPr>
          <w:color w:val="231F1F"/>
          <w:w w:val="110"/>
          <w:position w:val="1"/>
          <w:sz w:val="20"/>
        </w:rPr>
        <w:t>of</w:t>
      </w:r>
      <w:r>
        <w:rPr>
          <w:color w:val="231F1F"/>
          <w:spacing w:val="-13"/>
          <w:w w:val="110"/>
          <w:position w:val="1"/>
          <w:sz w:val="20"/>
        </w:rPr>
        <w:t> </w:t>
      </w:r>
      <w:r>
        <w:rPr>
          <w:color w:val="231F1F"/>
          <w:w w:val="110"/>
          <w:position w:val="1"/>
          <w:sz w:val="20"/>
        </w:rPr>
        <w:t>timing</w:t>
      </w:r>
      <w:r>
        <w:rPr>
          <w:color w:val="231F1F"/>
          <w:spacing w:val="-14"/>
          <w:w w:val="110"/>
          <w:position w:val="1"/>
          <w:sz w:val="20"/>
        </w:rPr>
        <w:t> </w:t>
      </w:r>
      <w:r>
        <w:rPr>
          <w:color w:val="231F1F"/>
          <w:w w:val="110"/>
          <w:position w:val="1"/>
          <w:sz w:val="20"/>
        </w:rPr>
        <w:t>of</w:t>
      </w:r>
      <w:r>
        <w:rPr>
          <w:color w:val="231F1F"/>
          <w:spacing w:val="-13"/>
          <w:w w:val="110"/>
          <w:position w:val="1"/>
          <w:sz w:val="20"/>
        </w:rPr>
        <w:t> </w:t>
      </w:r>
      <w:r>
        <w:rPr>
          <w:color w:val="231F1F"/>
          <w:w w:val="110"/>
          <w:position w:val="1"/>
          <w:sz w:val="20"/>
        </w:rPr>
        <w:t>cord</w:t>
      </w:r>
      <w:r>
        <w:rPr>
          <w:color w:val="231F1F"/>
          <w:spacing w:val="-14"/>
          <w:w w:val="110"/>
          <w:position w:val="1"/>
          <w:sz w:val="20"/>
        </w:rPr>
        <w:t> </w:t>
      </w:r>
      <w:r>
        <w:rPr>
          <w:color w:val="231F1F"/>
          <w:w w:val="110"/>
          <w:position w:val="1"/>
          <w:sz w:val="20"/>
        </w:rPr>
        <w:t>clamping</w:t>
      </w:r>
      <w:r>
        <w:rPr>
          <w:color w:val="231F1F"/>
          <w:spacing w:val="-13"/>
          <w:w w:val="110"/>
          <w:position w:val="1"/>
          <w:sz w:val="20"/>
        </w:rPr>
        <w:t> </w:t>
      </w:r>
      <w:r>
        <w:rPr>
          <w:color w:val="231F1F"/>
          <w:w w:val="110"/>
          <w:position w:val="1"/>
          <w:sz w:val="20"/>
        </w:rPr>
        <w:t>on</w:t>
      </w:r>
      <w:r>
        <w:rPr>
          <w:color w:val="231F1F"/>
          <w:spacing w:val="-12"/>
          <w:w w:val="110"/>
          <w:position w:val="1"/>
          <w:sz w:val="20"/>
        </w:rPr>
        <w:t> </w:t>
      </w:r>
      <w:r>
        <w:rPr>
          <w:color w:val="231F1F"/>
          <w:w w:val="110"/>
          <w:position w:val="1"/>
          <w:sz w:val="20"/>
        </w:rPr>
        <w:t>the</w:t>
      </w:r>
      <w:r>
        <w:rPr>
          <w:color w:val="231F1F"/>
          <w:spacing w:val="-12"/>
          <w:w w:val="110"/>
          <w:position w:val="1"/>
          <w:sz w:val="20"/>
        </w:rPr>
        <w:t> </w:t>
      </w:r>
      <w:r>
        <w:rPr>
          <w:color w:val="231F1F"/>
          <w:w w:val="110"/>
          <w:position w:val="1"/>
          <w:sz w:val="20"/>
        </w:rPr>
        <w:t>iron </w:t>
      </w:r>
      <w:r>
        <w:rPr>
          <w:color w:val="231F1F"/>
          <w:w w:val="110"/>
          <w:sz w:val="20"/>
        </w:rPr>
        <w:t>status of infants at 3 months. Indian Pediatr 1997;34(2):103-6.</w:t>
      </w:r>
    </w:p>
    <w:p>
      <w:pPr>
        <w:pStyle w:val="ListParagraph"/>
        <w:numPr>
          <w:ilvl w:val="0"/>
          <w:numId w:val="109"/>
        </w:numPr>
        <w:tabs>
          <w:tab w:pos="793" w:val="left" w:leader="none"/>
          <w:tab w:pos="797" w:val="left" w:leader="none"/>
        </w:tabs>
        <w:spacing w:line="211" w:lineRule="auto" w:before="161" w:after="0"/>
        <w:ind w:left="797" w:right="174" w:hanging="502"/>
        <w:jc w:val="both"/>
        <w:rPr>
          <w:sz w:val="20"/>
        </w:rPr>
      </w:pPr>
      <w:r>
        <w:rPr>
          <w:color w:val="231F1F"/>
          <w:w w:val="110"/>
          <w:position w:val="1"/>
          <w:sz w:val="20"/>
        </w:rPr>
        <w:t>Gupta</w:t>
      </w:r>
      <w:r>
        <w:rPr>
          <w:color w:val="231F1F"/>
          <w:spacing w:val="-8"/>
          <w:w w:val="110"/>
          <w:position w:val="1"/>
          <w:sz w:val="20"/>
        </w:rPr>
        <w:t> </w:t>
      </w:r>
      <w:r>
        <w:rPr>
          <w:color w:val="231F1F"/>
          <w:w w:val="110"/>
          <w:position w:val="1"/>
          <w:sz w:val="20"/>
        </w:rPr>
        <w:t>R,</w:t>
      </w:r>
      <w:r>
        <w:rPr>
          <w:color w:val="231F1F"/>
          <w:spacing w:val="-10"/>
          <w:w w:val="110"/>
          <w:position w:val="1"/>
          <w:sz w:val="20"/>
        </w:rPr>
        <w:t> </w:t>
      </w:r>
      <w:r>
        <w:rPr>
          <w:color w:val="231F1F"/>
          <w:w w:val="110"/>
          <w:position w:val="1"/>
          <w:sz w:val="20"/>
        </w:rPr>
        <w:t>Ramji</w:t>
      </w:r>
      <w:r>
        <w:rPr>
          <w:color w:val="231F1F"/>
          <w:spacing w:val="-6"/>
          <w:w w:val="110"/>
          <w:position w:val="1"/>
          <w:sz w:val="20"/>
        </w:rPr>
        <w:t> </w:t>
      </w:r>
      <w:r>
        <w:rPr>
          <w:color w:val="231F1F"/>
          <w:w w:val="110"/>
          <w:position w:val="1"/>
          <w:sz w:val="20"/>
        </w:rPr>
        <w:t>S.</w:t>
      </w:r>
      <w:r>
        <w:rPr>
          <w:color w:val="231F1F"/>
          <w:spacing w:val="-10"/>
          <w:w w:val="110"/>
          <w:position w:val="1"/>
          <w:sz w:val="20"/>
        </w:rPr>
        <w:t> </w:t>
      </w:r>
      <w:r>
        <w:rPr>
          <w:color w:val="231F1F"/>
          <w:w w:val="110"/>
          <w:position w:val="1"/>
          <w:sz w:val="20"/>
        </w:rPr>
        <w:t>Effect</w:t>
      </w:r>
      <w:r>
        <w:rPr>
          <w:color w:val="231F1F"/>
          <w:spacing w:val="-6"/>
          <w:w w:val="110"/>
          <w:position w:val="1"/>
          <w:sz w:val="20"/>
        </w:rPr>
        <w:t> </w:t>
      </w:r>
      <w:r>
        <w:rPr>
          <w:color w:val="231F1F"/>
          <w:w w:val="110"/>
          <w:position w:val="1"/>
          <w:sz w:val="20"/>
        </w:rPr>
        <w:t>of</w:t>
      </w:r>
      <w:r>
        <w:rPr>
          <w:color w:val="231F1F"/>
          <w:spacing w:val="-6"/>
          <w:w w:val="110"/>
          <w:position w:val="1"/>
          <w:sz w:val="20"/>
        </w:rPr>
        <w:t> </w:t>
      </w:r>
      <w:r>
        <w:rPr>
          <w:color w:val="231F1F"/>
          <w:w w:val="110"/>
          <w:position w:val="1"/>
          <w:sz w:val="20"/>
        </w:rPr>
        <w:t>delayed</w:t>
      </w:r>
      <w:r>
        <w:rPr>
          <w:color w:val="231F1F"/>
          <w:spacing w:val="-6"/>
          <w:w w:val="110"/>
          <w:position w:val="1"/>
          <w:sz w:val="20"/>
        </w:rPr>
        <w:t> </w:t>
      </w:r>
      <w:r>
        <w:rPr>
          <w:color w:val="231F1F"/>
          <w:w w:val="110"/>
          <w:position w:val="1"/>
          <w:sz w:val="20"/>
        </w:rPr>
        <w:t>cord</w:t>
      </w:r>
      <w:r>
        <w:rPr>
          <w:color w:val="231F1F"/>
          <w:spacing w:val="-6"/>
          <w:w w:val="110"/>
          <w:position w:val="1"/>
          <w:sz w:val="20"/>
        </w:rPr>
        <w:t> </w:t>
      </w:r>
      <w:r>
        <w:rPr>
          <w:color w:val="231F1F"/>
          <w:w w:val="110"/>
          <w:position w:val="1"/>
          <w:sz w:val="20"/>
        </w:rPr>
        <w:t>clamping</w:t>
      </w:r>
      <w:r>
        <w:rPr>
          <w:color w:val="231F1F"/>
          <w:spacing w:val="-7"/>
          <w:w w:val="110"/>
          <w:position w:val="1"/>
          <w:sz w:val="20"/>
        </w:rPr>
        <w:t> </w:t>
      </w:r>
      <w:r>
        <w:rPr>
          <w:color w:val="231F1F"/>
          <w:w w:val="110"/>
          <w:position w:val="1"/>
          <w:sz w:val="20"/>
        </w:rPr>
        <w:t>on</w:t>
      </w:r>
      <w:r>
        <w:rPr>
          <w:color w:val="231F1F"/>
          <w:spacing w:val="-6"/>
          <w:w w:val="110"/>
          <w:position w:val="1"/>
          <w:sz w:val="20"/>
        </w:rPr>
        <w:t> </w:t>
      </w:r>
      <w:r>
        <w:rPr>
          <w:color w:val="231F1F"/>
          <w:w w:val="110"/>
          <w:position w:val="1"/>
          <w:sz w:val="20"/>
        </w:rPr>
        <w:t>iron</w:t>
      </w:r>
      <w:r>
        <w:rPr>
          <w:color w:val="231F1F"/>
          <w:spacing w:val="-6"/>
          <w:w w:val="110"/>
          <w:position w:val="1"/>
          <w:sz w:val="20"/>
        </w:rPr>
        <w:t> </w:t>
      </w:r>
      <w:r>
        <w:rPr>
          <w:color w:val="231F1F"/>
          <w:w w:val="110"/>
          <w:position w:val="1"/>
          <w:sz w:val="20"/>
        </w:rPr>
        <w:t>stores</w:t>
      </w:r>
      <w:r>
        <w:rPr>
          <w:color w:val="231F1F"/>
          <w:spacing w:val="-6"/>
          <w:w w:val="110"/>
          <w:position w:val="1"/>
          <w:sz w:val="20"/>
        </w:rPr>
        <w:t> </w:t>
      </w:r>
      <w:r>
        <w:rPr>
          <w:color w:val="231F1F"/>
          <w:w w:val="110"/>
          <w:position w:val="1"/>
          <w:sz w:val="20"/>
        </w:rPr>
        <w:t>in</w:t>
      </w:r>
      <w:r>
        <w:rPr>
          <w:color w:val="231F1F"/>
          <w:spacing w:val="-6"/>
          <w:w w:val="110"/>
          <w:position w:val="1"/>
          <w:sz w:val="20"/>
        </w:rPr>
        <w:t> </w:t>
      </w:r>
      <w:r>
        <w:rPr>
          <w:color w:val="231F1F"/>
          <w:w w:val="110"/>
          <w:position w:val="1"/>
          <w:sz w:val="20"/>
        </w:rPr>
        <w:t>infants</w:t>
      </w:r>
      <w:r>
        <w:rPr>
          <w:color w:val="231F1F"/>
          <w:spacing w:val="-6"/>
          <w:w w:val="110"/>
          <w:position w:val="1"/>
          <w:sz w:val="20"/>
        </w:rPr>
        <w:t> </w:t>
      </w:r>
      <w:r>
        <w:rPr>
          <w:color w:val="231F1F"/>
          <w:w w:val="110"/>
          <w:position w:val="1"/>
          <w:sz w:val="20"/>
        </w:rPr>
        <w:t>born</w:t>
      </w:r>
      <w:r>
        <w:rPr>
          <w:color w:val="231F1F"/>
          <w:spacing w:val="-6"/>
          <w:w w:val="110"/>
          <w:position w:val="1"/>
          <w:sz w:val="20"/>
        </w:rPr>
        <w:t> </w:t>
      </w:r>
      <w:r>
        <w:rPr>
          <w:color w:val="231F1F"/>
          <w:w w:val="110"/>
          <w:position w:val="1"/>
          <w:sz w:val="20"/>
        </w:rPr>
        <w:t>to</w:t>
      </w:r>
      <w:r>
        <w:rPr>
          <w:color w:val="231F1F"/>
          <w:spacing w:val="-6"/>
          <w:w w:val="110"/>
          <w:position w:val="1"/>
          <w:sz w:val="20"/>
        </w:rPr>
        <w:t> </w:t>
      </w:r>
      <w:r>
        <w:rPr>
          <w:color w:val="231F1F"/>
          <w:w w:val="110"/>
          <w:position w:val="1"/>
          <w:sz w:val="20"/>
        </w:rPr>
        <w:t>anemic </w:t>
      </w:r>
      <w:r>
        <w:rPr>
          <w:color w:val="231F1F"/>
          <w:w w:val="110"/>
          <w:sz w:val="20"/>
        </w:rPr>
        <w:t>mothers: a randomized controlled trial. Indian Pediatr 2002;39(2):130-5.</w:t>
      </w:r>
    </w:p>
    <w:p>
      <w:pPr>
        <w:pStyle w:val="ListParagraph"/>
        <w:numPr>
          <w:ilvl w:val="0"/>
          <w:numId w:val="109"/>
        </w:numPr>
        <w:tabs>
          <w:tab w:pos="794" w:val="left" w:leader="none"/>
          <w:tab w:pos="798" w:val="left" w:leader="none"/>
        </w:tabs>
        <w:spacing w:line="211" w:lineRule="auto" w:before="156" w:after="0"/>
        <w:ind w:left="798" w:right="374" w:hanging="502"/>
        <w:jc w:val="left"/>
        <w:rPr>
          <w:sz w:val="20"/>
        </w:rPr>
      </w:pPr>
      <w:r>
        <w:rPr>
          <w:color w:val="231F1F"/>
          <w:w w:val="105"/>
          <w:position w:val="1"/>
          <w:sz w:val="20"/>
        </w:rPr>
        <w:t>Lanzkowsky</w:t>
      </w:r>
      <w:r>
        <w:rPr>
          <w:color w:val="231F1F"/>
          <w:spacing w:val="-7"/>
          <w:w w:val="105"/>
          <w:position w:val="1"/>
          <w:sz w:val="20"/>
        </w:rPr>
        <w:t> </w:t>
      </w:r>
      <w:r>
        <w:rPr>
          <w:color w:val="231F1F"/>
          <w:w w:val="105"/>
          <w:position w:val="1"/>
          <w:sz w:val="20"/>
        </w:rPr>
        <w:t>P.</w:t>
      </w:r>
      <w:r>
        <w:rPr>
          <w:color w:val="231F1F"/>
          <w:spacing w:val="-6"/>
          <w:w w:val="105"/>
          <w:position w:val="1"/>
          <w:sz w:val="20"/>
        </w:rPr>
        <w:t> </w:t>
      </w:r>
      <w:r>
        <w:rPr>
          <w:color w:val="231F1F"/>
          <w:w w:val="105"/>
          <w:position w:val="1"/>
          <w:sz w:val="20"/>
        </w:rPr>
        <w:t>Effects</w:t>
      </w:r>
      <w:r>
        <w:rPr>
          <w:color w:val="231F1F"/>
          <w:spacing w:val="-6"/>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early</w:t>
      </w:r>
      <w:r>
        <w:rPr>
          <w:color w:val="231F1F"/>
          <w:spacing w:val="-7"/>
          <w:w w:val="105"/>
          <w:position w:val="1"/>
          <w:sz w:val="20"/>
        </w:rPr>
        <w:t> </w:t>
      </w:r>
      <w:r>
        <w:rPr>
          <w:color w:val="231F1F"/>
          <w:w w:val="105"/>
          <w:position w:val="1"/>
          <w:sz w:val="20"/>
        </w:rPr>
        <w:t>and</w:t>
      </w:r>
      <w:r>
        <w:rPr>
          <w:color w:val="231F1F"/>
          <w:spacing w:val="-7"/>
          <w:w w:val="105"/>
          <w:position w:val="1"/>
          <w:sz w:val="20"/>
        </w:rPr>
        <w:t> </w:t>
      </w:r>
      <w:r>
        <w:rPr>
          <w:color w:val="231F1F"/>
          <w:w w:val="105"/>
          <w:position w:val="1"/>
          <w:sz w:val="20"/>
        </w:rPr>
        <w:t>late</w:t>
      </w:r>
      <w:r>
        <w:rPr>
          <w:color w:val="231F1F"/>
          <w:spacing w:val="-6"/>
          <w:w w:val="105"/>
          <w:position w:val="1"/>
          <w:sz w:val="20"/>
        </w:rPr>
        <w:t> </w:t>
      </w:r>
      <w:r>
        <w:rPr>
          <w:color w:val="231F1F"/>
          <w:w w:val="105"/>
          <w:position w:val="1"/>
          <w:sz w:val="20"/>
        </w:rPr>
        <w:t>clamping</w:t>
      </w:r>
      <w:r>
        <w:rPr>
          <w:color w:val="231F1F"/>
          <w:spacing w:val="-7"/>
          <w:w w:val="105"/>
          <w:position w:val="1"/>
          <w:sz w:val="20"/>
        </w:rPr>
        <w:t> </w:t>
      </w:r>
      <w:r>
        <w:rPr>
          <w:color w:val="231F1F"/>
          <w:w w:val="105"/>
          <w:position w:val="1"/>
          <w:sz w:val="20"/>
        </w:rPr>
        <w:t>of</w:t>
      </w:r>
      <w:r>
        <w:rPr>
          <w:color w:val="231F1F"/>
          <w:spacing w:val="-6"/>
          <w:w w:val="105"/>
          <w:position w:val="1"/>
          <w:sz w:val="20"/>
        </w:rPr>
        <w:t> </w:t>
      </w:r>
      <w:r>
        <w:rPr>
          <w:color w:val="231F1F"/>
          <w:w w:val="105"/>
          <w:position w:val="1"/>
          <w:sz w:val="20"/>
        </w:rPr>
        <w:t>umbilical</w:t>
      </w:r>
      <w:r>
        <w:rPr>
          <w:color w:val="231F1F"/>
          <w:spacing w:val="-6"/>
          <w:w w:val="105"/>
          <w:position w:val="1"/>
          <w:sz w:val="20"/>
        </w:rPr>
        <w:t> </w:t>
      </w:r>
      <w:r>
        <w:rPr>
          <w:color w:val="231F1F"/>
          <w:w w:val="105"/>
          <w:position w:val="1"/>
          <w:sz w:val="20"/>
        </w:rPr>
        <w:t>cord</w:t>
      </w:r>
      <w:r>
        <w:rPr>
          <w:color w:val="231F1F"/>
          <w:spacing w:val="-7"/>
          <w:w w:val="105"/>
          <w:position w:val="1"/>
          <w:sz w:val="20"/>
        </w:rPr>
        <w:t> </w:t>
      </w:r>
      <w:r>
        <w:rPr>
          <w:color w:val="231F1F"/>
          <w:w w:val="105"/>
          <w:position w:val="1"/>
          <w:sz w:val="20"/>
        </w:rPr>
        <w:t>on</w:t>
      </w:r>
      <w:r>
        <w:rPr>
          <w:color w:val="231F1F"/>
          <w:spacing w:val="-7"/>
          <w:w w:val="105"/>
          <w:position w:val="1"/>
          <w:sz w:val="20"/>
        </w:rPr>
        <w:t> </w:t>
      </w:r>
      <w:r>
        <w:rPr>
          <w:color w:val="231F1F"/>
          <w:w w:val="105"/>
          <w:position w:val="1"/>
          <w:sz w:val="20"/>
        </w:rPr>
        <w:t>infant´s</w:t>
      </w:r>
      <w:r>
        <w:rPr>
          <w:color w:val="231F1F"/>
          <w:spacing w:val="-6"/>
          <w:w w:val="105"/>
          <w:position w:val="1"/>
          <w:sz w:val="20"/>
        </w:rPr>
        <w:t> </w:t>
      </w:r>
      <w:r>
        <w:rPr>
          <w:color w:val="231F1F"/>
          <w:w w:val="105"/>
          <w:position w:val="1"/>
          <w:sz w:val="20"/>
        </w:rPr>
        <w:t>haemoglobin </w:t>
      </w:r>
      <w:r>
        <w:rPr>
          <w:color w:val="231F1F"/>
          <w:w w:val="105"/>
          <w:sz w:val="20"/>
        </w:rPr>
        <w:t>level. Br Med J 1960;2(1777):82.</w:t>
      </w:r>
    </w:p>
    <w:p>
      <w:pPr>
        <w:pStyle w:val="ListParagraph"/>
        <w:numPr>
          <w:ilvl w:val="0"/>
          <w:numId w:val="109"/>
        </w:numPr>
        <w:tabs>
          <w:tab w:pos="794" w:val="left" w:leader="none"/>
          <w:tab w:pos="798" w:val="left" w:leader="none"/>
        </w:tabs>
        <w:spacing w:line="220" w:lineRule="auto" w:before="154" w:after="0"/>
        <w:ind w:left="798" w:right="168" w:hanging="501"/>
        <w:jc w:val="left"/>
        <w:rPr>
          <w:sz w:val="20"/>
        </w:rPr>
      </w:pPr>
      <w:r>
        <w:rPr>
          <w:color w:val="231F1F"/>
          <w:w w:val="105"/>
          <w:position w:val="1"/>
          <w:sz w:val="20"/>
        </w:rPr>
        <w:t>Grajeda R, Perez-Escamilla R, Dewey KG. Delayed clamping of the umbilical cord improves </w:t>
      </w:r>
      <w:r>
        <w:rPr>
          <w:color w:val="231F1F"/>
          <w:w w:val="105"/>
          <w:sz w:val="20"/>
        </w:rPr>
        <w:t>hematologic status of Guatemalan infants at 2 mo of age.</w:t>
      </w:r>
      <w:r>
        <w:rPr>
          <w:color w:val="231F1F"/>
          <w:spacing w:val="-14"/>
          <w:w w:val="105"/>
          <w:sz w:val="20"/>
        </w:rPr>
        <w:t> </w:t>
      </w:r>
      <w:r>
        <w:rPr>
          <w:color w:val="231F1F"/>
          <w:w w:val="105"/>
          <w:sz w:val="20"/>
        </w:rPr>
        <w:t>Am J Clin Nutr 1997;65(2):425-31.</w:t>
      </w:r>
    </w:p>
    <w:p>
      <w:pPr>
        <w:pStyle w:val="ListParagraph"/>
        <w:numPr>
          <w:ilvl w:val="0"/>
          <w:numId w:val="109"/>
        </w:numPr>
        <w:tabs>
          <w:tab w:pos="794" w:val="left" w:leader="none"/>
          <w:tab w:pos="798" w:val="left" w:leader="none"/>
        </w:tabs>
        <w:spacing w:line="220" w:lineRule="auto" w:before="153" w:after="0"/>
        <w:ind w:left="798" w:right="234" w:hanging="502"/>
        <w:jc w:val="left"/>
        <w:rPr>
          <w:sz w:val="20"/>
        </w:rPr>
      </w:pPr>
      <w:r>
        <w:rPr>
          <w:color w:val="231F1F"/>
          <w:w w:val="105"/>
          <w:sz w:val="20"/>
        </w:rPr>
        <w:t>Hutton EK,</w:t>
      </w:r>
      <w:r>
        <w:rPr>
          <w:color w:val="231F1F"/>
          <w:spacing w:val="-4"/>
          <w:w w:val="105"/>
          <w:sz w:val="20"/>
        </w:rPr>
        <w:t> </w:t>
      </w:r>
      <w:r>
        <w:rPr>
          <w:color w:val="231F1F"/>
          <w:w w:val="105"/>
          <w:sz w:val="20"/>
        </w:rPr>
        <w:t>Hassan ES.</w:t>
      </w:r>
      <w:r>
        <w:rPr>
          <w:color w:val="231F1F"/>
          <w:spacing w:val="-4"/>
          <w:w w:val="105"/>
          <w:sz w:val="20"/>
        </w:rPr>
        <w:t> </w:t>
      </w:r>
      <w:r>
        <w:rPr>
          <w:color w:val="231F1F"/>
          <w:w w:val="105"/>
          <w:sz w:val="20"/>
        </w:rPr>
        <w:t>Late vs</w:t>
      </w:r>
      <w:r>
        <w:rPr>
          <w:color w:val="231F1F"/>
          <w:w w:val="105"/>
          <w:sz w:val="20"/>
        </w:rPr>
        <w:t> early clamping of</w:t>
      </w:r>
      <w:r>
        <w:rPr>
          <w:color w:val="231F1F"/>
          <w:w w:val="105"/>
          <w:sz w:val="20"/>
        </w:rPr>
        <w:t> the</w:t>
      </w:r>
      <w:r>
        <w:rPr>
          <w:color w:val="231F1F"/>
          <w:w w:val="105"/>
          <w:sz w:val="20"/>
        </w:rPr>
        <w:t> umbilical</w:t>
      </w:r>
      <w:r>
        <w:rPr>
          <w:color w:val="231F1F"/>
          <w:w w:val="105"/>
          <w:sz w:val="20"/>
        </w:rPr>
        <w:t> cord in full-term neonates:</w:t>
      </w:r>
      <w:r>
        <w:rPr>
          <w:color w:val="231F1F"/>
          <w:spacing w:val="40"/>
          <w:w w:val="105"/>
          <w:sz w:val="20"/>
        </w:rPr>
        <w:t> </w:t>
      </w:r>
      <w:r>
        <w:rPr>
          <w:color w:val="231F1F"/>
          <w:w w:val="105"/>
          <w:sz w:val="20"/>
        </w:rPr>
        <w:t>systematic review and meta-analysis of controlled trials. JAMA 2007;297(11):1241-52.</w:t>
      </w:r>
    </w:p>
    <w:p>
      <w:pPr>
        <w:pStyle w:val="ListParagraph"/>
        <w:numPr>
          <w:ilvl w:val="0"/>
          <w:numId w:val="109"/>
        </w:numPr>
        <w:tabs>
          <w:tab w:pos="794" w:val="left" w:leader="none"/>
          <w:tab w:pos="798" w:val="left" w:leader="none"/>
        </w:tabs>
        <w:spacing w:line="225" w:lineRule="auto" w:before="163" w:after="0"/>
        <w:ind w:left="798" w:right="112" w:hanging="502"/>
        <w:jc w:val="both"/>
        <w:rPr>
          <w:sz w:val="20"/>
        </w:rPr>
      </w:pPr>
      <w:r>
        <w:rPr>
          <w:color w:val="231F1F"/>
          <w:w w:val="105"/>
          <w:sz w:val="20"/>
        </w:rPr>
        <w:t>McDonald</w:t>
      </w:r>
      <w:r>
        <w:rPr>
          <w:color w:val="231F1F"/>
          <w:spacing w:val="40"/>
          <w:w w:val="105"/>
          <w:sz w:val="20"/>
        </w:rPr>
        <w:t> </w:t>
      </w:r>
      <w:r>
        <w:rPr>
          <w:color w:val="231F1F"/>
          <w:w w:val="105"/>
          <w:sz w:val="20"/>
        </w:rPr>
        <w:t>SJ,</w:t>
      </w:r>
      <w:r>
        <w:rPr>
          <w:color w:val="231F1F"/>
          <w:spacing w:val="40"/>
          <w:w w:val="105"/>
          <w:sz w:val="20"/>
        </w:rPr>
        <w:t> </w:t>
      </w:r>
      <w:r>
        <w:rPr>
          <w:color w:val="231F1F"/>
          <w:w w:val="105"/>
          <w:sz w:val="20"/>
        </w:rPr>
        <w:t>Middleton</w:t>
      </w:r>
      <w:r>
        <w:rPr>
          <w:color w:val="231F1F"/>
          <w:spacing w:val="40"/>
          <w:w w:val="105"/>
          <w:sz w:val="20"/>
        </w:rPr>
        <w:t> </w:t>
      </w:r>
      <w:r>
        <w:rPr>
          <w:color w:val="231F1F"/>
          <w:w w:val="105"/>
          <w:sz w:val="20"/>
        </w:rPr>
        <w:t>P.</w:t>
      </w:r>
      <w:r>
        <w:rPr>
          <w:color w:val="231F1F"/>
          <w:spacing w:val="40"/>
          <w:w w:val="105"/>
          <w:sz w:val="20"/>
        </w:rPr>
        <w:t> </w:t>
      </w:r>
      <w:r>
        <w:rPr>
          <w:color w:val="231F1F"/>
          <w:w w:val="105"/>
          <w:sz w:val="20"/>
        </w:rPr>
        <w:t>Effect</w:t>
      </w:r>
      <w:r>
        <w:rPr>
          <w:color w:val="231F1F"/>
          <w:spacing w:val="40"/>
          <w:w w:val="105"/>
          <w:sz w:val="20"/>
        </w:rPr>
        <w:t> </w:t>
      </w:r>
      <w:r>
        <w:rPr>
          <w:color w:val="231F1F"/>
          <w:w w:val="105"/>
          <w:sz w:val="20"/>
        </w:rPr>
        <w:t>of</w:t>
      </w:r>
      <w:r>
        <w:rPr>
          <w:color w:val="231F1F"/>
          <w:spacing w:val="40"/>
          <w:w w:val="105"/>
          <w:sz w:val="20"/>
        </w:rPr>
        <w:t> </w:t>
      </w:r>
      <w:r>
        <w:rPr>
          <w:color w:val="231F1F"/>
          <w:w w:val="105"/>
          <w:sz w:val="20"/>
        </w:rPr>
        <w:t>timing</w:t>
      </w:r>
      <w:r>
        <w:rPr>
          <w:color w:val="231F1F"/>
          <w:spacing w:val="40"/>
          <w:w w:val="105"/>
          <w:sz w:val="20"/>
        </w:rPr>
        <w:t> </w:t>
      </w:r>
      <w:r>
        <w:rPr>
          <w:color w:val="231F1F"/>
          <w:w w:val="105"/>
          <w:sz w:val="20"/>
        </w:rPr>
        <w:t>of</w:t>
      </w:r>
      <w:r>
        <w:rPr>
          <w:color w:val="231F1F"/>
          <w:spacing w:val="40"/>
          <w:w w:val="105"/>
          <w:sz w:val="20"/>
        </w:rPr>
        <w:t> </w:t>
      </w:r>
      <w:r>
        <w:rPr>
          <w:color w:val="231F1F"/>
          <w:w w:val="105"/>
          <w:sz w:val="20"/>
        </w:rPr>
        <w:t>umbilical</w:t>
      </w:r>
      <w:r>
        <w:rPr>
          <w:color w:val="231F1F"/>
          <w:spacing w:val="40"/>
          <w:w w:val="105"/>
          <w:sz w:val="20"/>
        </w:rPr>
        <w:t> </w:t>
      </w:r>
      <w:r>
        <w:rPr>
          <w:color w:val="231F1F"/>
          <w:w w:val="105"/>
          <w:sz w:val="20"/>
        </w:rPr>
        <w:t>cord</w:t>
      </w:r>
      <w:r>
        <w:rPr>
          <w:color w:val="231F1F"/>
          <w:spacing w:val="40"/>
          <w:w w:val="105"/>
          <w:sz w:val="20"/>
        </w:rPr>
        <w:t> </w:t>
      </w:r>
      <w:r>
        <w:rPr>
          <w:color w:val="231F1F"/>
          <w:w w:val="105"/>
          <w:sz w:val="20"/>
        </w:rPr>
        <w:t>clamping</w:t>
      </w:r>
      <w:r>
        <w:rPr>
          <w:color w:val="231F1F"/>
          <w:spacing w:val="40"/>
          <w:w w:val="105"/>
          <w:sz w:val="20"/>
        </w:rPr>
        <w:t> </w:t>
      </w:r>
      <w:r>
        <w:rPr>
          <w:color w:val="231F1F"/>
          <w:w w:val="105"/>
          <w:sz w:val="20"/>
        </w:rPr>
        <w:t>of</w:t>
      </w:r>
      <w:r>
        <w:rPr>
          <w:color w:val="231F1F"/>
          <w:spacing w:val="40"/>
          <w:w w:val="105"/>
          <w:sz w:val="20"/>
        </w:rPr>
        <w:t> </w:t>
      </w:r>
      <w:r>
        <w:rPr>
          <w:color w:val="231F1F"/>
          <w:w w:val="105"/>
          <w:sz w:val="20"/>
        </w:rPr>
        <w:t>term</w:t>
      </w:r>
      <w:r>
        <w:rPr>
          <w:color w:val="231F1F"/>
          <w:spacing w:val="40"/>
          <w:w w:val="105"/>
          <w:sz w:val="20"/>
        </w:rPr>
        <w:t> </w:t>
      </w:r>
      <w:r>
        <w:rPr>
          <w:color w:val="231F1F"/>
          <w:w w:val="105"/>
          <w:sz w:val="20"/>
        </w:rPr>
        <w:t>infants on</w:t>
      </w:r>
      <w:r>
        <w:rPr>
          <w:color w:val="231F1F"/>
          <w:w w:val="105"/>
          <w:sz w:val="20"/>
        </w:rPr>
        <w:t> maternal</w:t>
      </w:r>
      <w:r>
        <w:rPr>
          <w:color w:val="231F1F"/>
          <w:w w:val="105"/>
          <w:sz w:val="20"/>
        </w:rPr>
        <w:t> and</w:t>
      </w:r>
      <w:r>
        <w:rPr>
          <w:color w:val="231F1F"/>
          <w:w w:val="105"/>
          <w:sz w:val="20"/>
        </w:rPr>
        <w:t> neonatal</w:t>
      </w:r>
      <w:r>
        <w:rPr>
          <w:color w:val="231F1F"/>
          <w:w w:val="105"/>
          <w:sz w:val="20"/>
        </w:rPr>
        <w:t> outcomes.</w:t>
      </w:r>
      <w:r>
        <w:rPr>
          <w:color w:val="231F1F"/>
          <w:w w:val="105"/>
          <w:sz w:val="20"/>
        </w:rPr>
        <w:t> Cochrane</w:t>
      </w:r>
      <w:r>
        <w:rPr>
          <w:color w:val="231F1F"/>
          <w:w w:val="105"/>
          <w:sz w:val="20"/>
        </w:rPr>
        <w:t> Database</w:t>
      </w:r>
      <w:r>
        <w:rPr>
          <w:color w:val="231F1F"/>
          <w:w w:val="105"/>
          <w:sz w:val="20"/>
        </w:rPr>
        <w:t> Syst</w:t>
      </w:r>
      <w:r>
        <w:rPr>
          <w:color w:val="231F1F"/>
          <w:w w:val="105"/>
          <w:sz w:val="20"/>
        </w:rPr>
        <w:t> Rev</w:t>
      </w:r>
      <w:r>
        <w:rPr>
          <w:color w:val="231F1F"/>
          <w:w w:val="105"/>
          <w:sz w:val="20"/>
        </w:rPr>
        <w:t> 2008;Issue</w:t>
      </w:r>
      <w:r>
        <w:rPr>
          <w:color w:val="231F1F"/>
          <w:w w:val="105"/>
          <w:sz w:val="20"/>
        </w:rPr>
        <w:t> 2.Art</w:t>
      </w:r>
      <w:r>
        <w:rPr>
          <w:color w:val="231F1F"/>
          <w:w w:val="105"/>
          <w:sz w:val="20"/>
        </w:rPr>
        <w:t> No.: CD004074.DOI:</w:t>
      </w:r>
      <w:r>
        <w:rPr>
          <w:color w:val="231F1F"/>
          <w:spacing w:val="-18"/>
          <w:w w:val="105"/>
          <w:sz w:val="20"/>
        </w:rPr>
        <w:t> </w:t>
      </w:r>
      <w:r>
        <w:rPr>
          <w:color w:val="231F1F"/>
          <w:w w:val="105"/>
          <w:sz w:val="20"/>
        </w:rPr>
        <w:t>10.1002/14651858.CD004074.pub2.</w:t>
      </w:r>
    </w:p>
    <w:p>
      <w:pPr>
        <w:pStyle w:val="ListParagraph"/>
        <w:numPr>
          <w:ilvl w:val="0"/>
          <w:numId w:val="109"/>
        </w:numPr>
        <w:tabs>
          <w:tab w:pos="793" w:val="left" w:leader="none"/>
          <w:tab w:pos="797" w:val="left" w:leader="none"/>
        </w:tabs>
        <w:spacing w:line="240" w:lineRule="auto" w:before="171" w:after="0"/>
        <w:ind w:left="797" w:right="121" w:hanging="522"/>
        <w:jc w:val="both"/>
        <w:rPr>
          <w:sz w:val="20"/>
        </w:rPr>
      </w:pPr>
      <w:r>
        <w:rPr>
          <w:color w:val="231F1F"/>
          <w:sz w:val="20"/>
        </w:rPr>
        <w:t>Demott K, Bick D, Norman R, Ritchie G, Turnbull N, Adams C, et al. Clinical Guidelines And Evidenc</w:t>
      </w:r>
      <w:r>
        <w:rPr>
          <w:color w:val="231F1F"/>
          <w:spacing w:val="36"/>
          <w:sz w:val="20"/>
        </w:rPr>
        <w:t> </w:t>
      </w:r>
      <w:r>
        <w:rPr>
          <w:color w:val="231F1F"/>
          <w:sz w:val="20"/>
        </w:rPr>
        <w:t>Review</w:t>
      </w:r>
      <w:r>
        <w:rPr>
          <w:color w:val="231F1F"/>
          <w:spacing w:val="35"/>
          <w:sz w:val="20"/>
        </w:rPr>
        <w:t> </w:t>
      </w:r>
      <w:r>
        <w:rPr>
          <w:color w:val="231F1F"/>
          <w:sz w:val="20"/>
        </w:rPr>
        <w:t>For</w:t>
      </w:r>
      <w:r>
        <w:rPr>
          <w:color w:val="231F1F"/>
          <w:spacing w:val="36"/>
          <w:sz w:val="20"/>
        </w:rPr>
        <w:t> </w:t>
      </w:r>
      <w:r>
        <w:rPr>
          <w:color w:val="231F1F"/>
          <w:sz w:val="20"/>
        </w:rPr>
        <w:t>Post</w:t>
      </w:r>
      <w:r>
        <w:rPr>
          <w:color w:val="231F1F"/>
          <w:spacing w:val="36"/>
          <w:sz w:val="20"/>
        </w:rPr>
        <w:t> </w:t>
      </w:r>
      <w:r>
        <w:rPr>
          <w:color w:val="231F1F"/>
          <w:sz w:val="20"/>
        </w:rPr>
        <w:t>Natal</w:t>
      </w:r>
      <w:r>
        <w:rPr>
          <w:color w:val="231F1F"/>
          <w:spacing w:val="36"/>
          <w:sz w:val="20"/>
        </w:rPr>
        <w:t> </w:t>
      </w:r>
      <w:r>
        <w:rPr>
          <w:color w:val="231F1F"/>
          <w:sz w:val="20"/>
        </w:rPr>
        <w:t>Care. Routine</w:t>
      </w:r>
      <w:r>
        <w:rPr>
          <w:color w:val="231F1F"/>
          <w:spacing w:val="36"/>
          <w:sz w:val="20"/>
        </w:rPr>
        <w:t> </w:t>
      </w:r>
      <w:r>
        <w:rPr>
          <w:color w:val="231F1F"/>
          <w:sz w:val="20"/>
        </w:rPr>
        <w:t>Post</w:t>
      </w:r>
      <w:r>
        <w:rPr>
          <w:color w:val="231F1F"/>
          <w:spacing w:val="36"/>
          <w:sz w:val="20"/>
        </w:rPr>
        <w:t> </w:t>
      </w:r>
      <w:r>
        <w:rPr>
          <w:color w:val="231F1F"/>
          <w:sz w:val="20"/>
        </w:rPr>
        <w:t>Natal</w:t>
      </w:r>
      <w:r>
        <w:rPr>
          <w:color w:val="231F1F"/>
          <w:spacing w:val="36"/>
          <w:sz w:val="20"/>
        </w:rPr>
        <w:t> </w:t>
      </w:r>
      <w:r>
        <w:rPr>
          <w:color w:val="231F1F"/>
          <w:sz w:val="20"/>
        </w:rPr>
        <w:t>Care</w:t>
      </w:r>
      <w:r>
        <w:rPr>
          <w:color w:val="231F1F"/>
          <w:spacing w:val="35"/>
          <w:sz w:val="20"/>
        </w:rPr>
        <w:t> </w:t>
      </w:r>
      <w:r>
        <w:rPr>
          <w:color w:val="231F1F"/>
          <w:sz w:val="20"/>
        </w:rPr>
        <w:t>Of</w:t>
      </w:r>
      <w:r>
        <w:rPr>
          <w:color w:val="231F1F"/>
          <w:spacing w:val="36"/>
          <w:sz w:val="20"/>
        </w:rPr>
        <w:t> </w:t>
      </w:r>
      <w:r>
        <w:rPr>
          <w:color w:val="231F1F"/>
          <w:sz w:val="20"/>
        </w:rPr>
        <w:t>Recently</w:t>
      </w:r>
      <w:r>
        <w:rPr>
          <w:color w:val="231F1F"/>
          <w:spacing w:val="35"/>
          <w:sz w:val="20"/>
        </w:rPr>
        <w:t> </w:t>
      </w:r>
      <w:r>
        <w:rPr>
          <w:color w:val="231F1F"/>
          <w:sz w:val="20"/>
        </w:rPr>
        <w:t>Delivered Women And Their Babies 2006.</w:t>
      </w:r>
    </w:p>
    <w:p>
      <w:pPr>
        <w:pStyle w:val="ListParagraph"/>
        <w:numPr>
          <w:ilvl w:val="0"/>
          <w:numId w:val="109"/>
        </w:numPr>
        <w:tabs>
          <w:tab w:pos="793" w:val="left" w:leader="none"/>
          <w:tab w:pos="797" w:val="left" w:leader="none"/>
        </w:tabs>
        <w:spacing w:line="225" w:lineRule="auto" w:before="152" w:after="0"/>
        <w:ind w:left="797" w:right="110" w:hanging="502"/>
        <w:jc w:val="both"/>
        <w:rPr>
          <w:sz w:val="20"/>
        </w:rPr>
      </w:pPr>
      <w:r>
        <w:rPr>
          <w:color w:val="231F1F"/>
          <w:w w:val="110"/>
          <w:sz w:val="20"/>
        </w:rPr>
        <w:t>Anderson GC, Moore E, Hepworth J, Bergman N. Early skin-to-skin contact for mothers and their healthy newborn infants, in Cochrane Database of Systematic Reviews. Issue 2, Chichester, John Wiley &amp; Sons Ltd 2003.</w:t>
      </w:r>
    </w:p>
    <w:p>
      <w:pPr>
        <w:pStyle w:val="ListParagraph"/>
        <w:numPr>
          <w:ilvl w:val="0"/>
          <w:numId w:val="109"/>
        </w:numPr>
        <w:tabs>
          <w:tab w:pos="793" w:val="left" w:leader="none"/>
          <w:tab w:pos="797" w:val="left" w:leader="none"/>
        </w:tabs>
        <w:spacing w:line="220" w:lineRule="auto" w:before="181" w:after="0"/>
        <w:ind w:left="797" w:right="404" w:hanging="502"/>
        <w:jc w:val="left"/>
        <w:rPr>
          <w:sz w:val="20"/>
        </w:rPr>
      </w:pPr>
      <w:r>
        <w:rPr>
          <w:color w:val="231F1F"/>
          <w:w w:val="110"/>
          <w:sz w:val="20"/>
        </w:rPr>
        <w:t>Taylor</w:t>
      </w:r>
      <w:r>
        <w:rPr>
          <w:color w:val="231F1F"/>
          <w:spacing w:val="-4"/>
          <w:w w:val="110"/>
          <w:sz w:val="20"/>
        </w:rPr>
        <w:t> </w:t>
      </w:r>
      <w:r>
        <w:rPr>
          <w:color w:val="231F1F"/>
          <w:w w:val="110"/>
          <w:sz w:val="20"/>
        </w:rPr>
        <w:t>PM,</w:t>
      </w:r>
      <w:r>
        <w:rPr>
          <w:color w:val="231F1F"/>
          <w:spacing w:val="-6"/>
          <w:w w:val="110"/>
          <w:sz w:val="20"/>
        </w:rPr>
        <w:t> </w:t>
      </w:r>
      <w:r>
        <w:rPr>
          <w:color w:val="231F1F"/>
          <w:w w:val="110"/>
          <w:sz w:val="20"/>
        </w:rPr>
        <w:t>Maloni</w:t>
      </w:r>
      <w:r>
        <w:rPr>
          <w:color w:val="231F1F"/>
          <w:spacing w:val="-4"/>
          <w:w w:val="110"/>
          <w:sz w:val="20"/>
        </w:rPr>
        <w:t> </w:t>
      </w:r>
      <w:r>
        <w:rPr>
          <w:color w:val="231F1F"/>
          <w:w w:val="110"/>
          <w:sz w:val="20"/>
        </w:rPr>
        <w:t>JA,</w:t>
      </w:r>
      <w:r>
        <w:rPr>
          <w:color w:val="231F1F"/>
          <w:spacing w:val="-7"/>
          <w:w w:val="110"/>
          <w:sz w:val="20"/>
        </w:rPr>
        <w:t> </w:t>
      </w:r>
      <w:r>
        <w:rPr>
          <w:color w:val="231F1F"/>
          <w:w w:val="110"/>
          <w:sz w:val="20"/>
        </w:rPr>
        <w:t>Taylor</w:t>
      </w:r>
      <w:r>
        <w:rPr>
          <w:color w:val="231F1F"/>
          <w:spacing w:val="-4"/>
          <w:w w:val="110"/>
          <w:sz w:val="20"/>
        </w:rPr>
        <w:t> </w:t>
      </w:r>
      <w:r>
        <w:rPr>
          <w:color w:val="231F1F"/>
          <w:w w:val="110"/>
          <w:sz w:val="20"/>
        </w:rPr>
        <w:t>FH,</w:t>
      </w:r>
      <w:r>
        <w:rPr>
          <w:color w:val="231F1F"/>
          <w:spacing w:val="-7"/>
          <w:w w:val="110"/>
          <w:sz w:val="20"/>
        </w:rPr>
        <w:t> </w:t>
      </w:r>
      <w:r>
        <w:rPr>
          <w:color w:val="231F1F"/>
          <w:w w:val="110"/>
          <w:sz w:val="20"/>
        </w:rPr>
        <w:t>Campbell</w:t>
      </w:r>
      <w:r>
        <w:rPr>
          <w:color w:val="231F1F"/>
          <w:spacing w:val="-4"/>
          <w:w w:val="110"/>
          <w:sz w:val="20"/>
        </w:rPr>
        <w:t> </w:t>
      </w:r>
      <w:r>
        <w:rPr>
          <w:color w:val="231F1F"/>
          <w:w w:val="110"/>
          <w:sz w:val="20"/>
        </w:rPr>
        <w:t>SB.</w:t>
      </w:r>
      <w:r>
        <w:rPr>
          <w:color w:val="231F1F"/>
          <w:spacing w:val="-7"/>
          <w:w w:val="110"/>
          <w:sz w:val="20"/>
        </w:rPr>
        <w:t> </w:t>
      </w:r>
      <w:r>
        <w:rPr>
          <w:color w:val="231F1F"/>
          <w:w w:val="110"/>
          <w:sz w:val="20"/>
        </w:rPr>
        <w:t>Extra</w:t>
      </w:r>
      <w:r>
        <w:rPr>
          <w:color w:val="231F1F"/>
          <w:spacing w:val="-4"/>
          <w:w w:val="110"/>
          <w:sz w:val="20"/>
        </w:rPr>
        <w:t> </w:t>
      </w:r>
      <w:r>
        <w:rPr>
          <w:color w:val="231F1F"/>
          <w:w w:val="110"/>
          <w:sz w:val="20"/>
        </w:rPr>
        <w:t>early</w:t>
      </w:r>
      <w:r>
        <w:rPr>
          <w:color w:val="231F1F"/>
          <w:spacing w:val="-4"/>
          <w:w w:val="110"/>
          <w:sz w:val="20"/>
        </w:rPr>
        <w:t> </w:t>
      </w:r>
      <w:r>
        <w:rPr>
          <w:color w:val="231F1F"/>
          <w:w w:val="110"/>
          <w:sz w:val="20"/>
        </w:rPr>
        <w:t>mother-infant</w:t>
      </w:r>
      <w:r>
        <w:rPr>
          <w:color w:val="231F1F"/>
          <w:spacing w:val="-4"/>
          <w:w w:val="110"/>
          <w:sz w:val="20"/>
        </w:rPr>
        <w:t> </w:t>
      </w:r>
      <w:r>
        <w:rPr>
          <w:color w:val="231F1F"/>
          <w:w w:val="110"/>
          <w:sz w:val="20"/>
        </w:rPr>
        <w:t>contact</w:t>
      </w:r>
      <w:r>
        <w:rPr>
          <w:color w:val="231F1F"/>
          <w:spacing w:val="-4"/>
          <w:w w:val="110"/>
          <w:sz w:val="20"/>
        </w:rPr>
        <w:t> </w:t>
      </w:r>
      <w:r>
        <w:rPr>
          <w:color w:val="231F1F"/>
          <w:w w:val="110"/>
          <w:sz w:val="20"/>
        </w:rPr>
        <w:t>and duration of breast-feeding.</w:t>
      </w:r>
      <w:r>
        <w:rPr>
          <w:color w:val="231F1F"/>
          <w:spacing w:val="-6"/>
          <w:w w:val="110"/>
          <w:sz w:val="20"/>
        </w:rPr>
        <w:t> </w:t>
      </w:r>
      <w:r>
        <w:rPr>
          <w:color w:val="231F1F"/>
          <w:w w:val="110"/>
          <w:sz w:val="20"/>
        </w:rPr>
        <w:t>Acta Paediatr Scand Suppl 1985;316(15):22.</w:t>
      </w:r>
    </w:p>
    <w:p>
      <w:pPr>
        <w:pStyle w:val="ListParagraph"/>
        <w:numPr>
          <w:ilvl w:val="0"/>
          <w:numId w:val="109"/>
        </w:numPr>
        <w:tabs>
          <w:tab w:pos="793" w:val="left" w:leader="none"/>
          <w:tab w:pos="797" w:val="left" w:leader="none"/>
        </w:tabs>
        <w:spacing w:line="220" w:lineRule="auto" w:before="167" w:after="0"/>
        <w:ind w:left="797" w:right="216" w:hanging="502"/>
        <w:jc w:val="left"/>
        <w:rPr>
          <w:sz w:val="20"/>
        </w:rPr>
      </w:pPr>
      <w:r>
        <w:rPr>
          <w:color w:val="231F1F"/>
          <w:w w:val="110"/>
          <w:sz w:val="20"/>
        </w:rPr>
        <w:t>Carfoot</w:t>
      </w:r>
      <w:r>
        <w:rPr>
          <w:color w:val="231F1F"/>
          <w:spacing w:val="-15"/>
          <w:w w:val="110"/>
          <w:sz w:val="20"/>
        </w:rPr>
        <w:t> </w:t>
      </w:r>
      <w:r>
        <w:rPr>
          <w:color w:val="231F1F"/>
          <w:w w:val="110"/>
          <w:sz w:val="20"/>
        </w:rPr>
        <w:t>S,</w:t>
      </w:r>
      <w:r>
        <w:rPr>
          <w:color w:val="231F1F"/>
          <w:spacing w:val="-16"/>
          <w:w w:val="110"/>
          <w:sz w:val="20"/>
        </w:rPr>
        <w:t> </w:t>
      </w:r>
      <w:r>
        <w:rPr>
          <w:color w:val="231F1F"/>
          <w:w w:val="110"/>
          <w:sz w:val="20"/>
        </w:rPr>
        <w:t>Williamson</w:t>
      </w:r>
      <w:r>
        <w:rPr>
          <w:color w:val="231F1F"/>
          <w:spacing w:val="-14"/>
          <w:w w:val="110"/>
          <w:sz w:val="20"/>
        </w:rPr>
        <w:t> </w:t>
      </w:r>
      <w:r>
        <w:rPr>
          <w:color w:val="231F1F"/>
          <w:w w:val="110"/>
          <w:sz w:val="20"/>
        </w:rPr>
        <w:t>P,</w:t>
      </w:r>
      <w:r>
        <w:rPr>
          <w:color w:val="231F1F"/>
          <w:spacing w:val="-14"/>
          <w:w w:val="110"/>
          <w:sz w:val="20"/>
        </w:rPr>
        <w:t> </w:t>
      </w:r>
      <w:r>
        <w:rPr>
          <w:color w:val="231F1F"/>
          <w:w w:val="110"/>
          <w:sz w:val="20"/>
        </w:rPr>
        <w:t>Dickson</w:t>
      </w:r>
      <w:r>
        <w:rPr>
          <w:color w:val="231F1F"/>
          <w:spacing w:val="-7"/>
          <w:w w:val="110"/>
          <w:sz w:val="20"/>
        </w:rPr>
        <w:t> </w:t>
      </w:r>
      <w:r>
        <w:rPr>
          <w:color w:val="231F1F"/>
          <w:w w:val="110"/>
          <w:sz w:val="20"/>
        </w:rPr>
        <w:t>R.</w:t>
      </w:r>
      <w:r>
        <w:rPr>
          <w:color w:val="231F1F"/>
          <w:spacing w:val="-16"/>
          <w:w w:val="110"/>
          <w:sz w:val="20"/>
        </w:rPr>
        <w:t> </w:t>
      </w:r>
      <w:r>
        <w:rPr>
          <w:color w:val="231F1F"/>
          <w:w w:val="110"/>
          <w:sz w:val="20"/>
        </w:rPr>
        <w:t>A</w:t>
      </w:r>
      <w:r>
        <w:rPr>
          <w:color w:val="231F1F"/>
          <w:spacing w:val="-7"/>
          <w:w w:val="110"/>
          <w:sz w:val="20"/>
        </w:rPr>
        <w:t> </w:t>
      </w:r>
      <w:r>
        <w:rPr>
          <w:color w:val="231F1F"/>
          <w:w w:val="110"/>
          <w:sz w:val="20"/>
        </w:rPr>
        <w:t>randomised</w:t>
      </w:r>
      <w:r>
        <w:rPr>
          <w:color w:val="231F1F"/>
          <w:spacing w:val="-7"/>
          <w:w w:val="110"/>
          <w:sz w:val="20"/>
        </w:rPr>
        <w:t> </w:t>
      </w:r>
      <w:r>
        <w:rPr>
          <w:color w:val="231F1F"/>
          <w:w w:val="110"/>
          <w:sz w:val="20"/>
        </w:rPr>
        <w:t>controlled</w:t>
      </w:r>
      <w:r>
        <w:rPr>
          <w:color w:val="231F1F"/>
          <w:spacing w:val="-7"/>
          <w:w w:val="110"/>
          <w:sz w:val="20"/>
        </w:rPr>
        <w:t> </w:t>
      </w:r>
      <w:r>
        <w:rPr>
          <w:color w:val="231F1F"/>
          <w:w w:val="110"/>
          <w:sz w:val="20"/>
        </w:rPr>
        <w:t>trial</w:t>
      </w:r>
      <w:r>
        <w:rPr>
          <w:color w:val="231F1F"/>
          <w:spacing w:val="-7"/>
          <w:w w:val="110"/>
          <w:sz w:val="20"/>
        </w:rPr>
        <w:t> </w:t>
      </w:r>
      <w:r>
        <w:rPr>
          <w:color w:val="231F1F"/>
          <w:w w:val="110"/>
          <w:sz w:val="20"/>
        </w:rPr>
        <w:t>in</w:t>
      </w:r>
      <w:r>
        <w:rPr>
          <w:color w:val="231F1F"/>
          <w:spacing w:val="-7"/>
          <w:w w:val="110"/>
          <w:sz w:val="20"/>
        </w:rPr>
        <w:t> </w:t>
      </w:r>
      <w:r>
        <w:rPr>
          <w:color w:val="231F1F"/>
          <w:w w:val="110"/>
          <w:sz w:val="20"/>
        </w:rPr>
        <w:t>the</w:t>
      </w:r>
      <w:r>
        <w:rPr>
          <w:color w:val="231F1F"/>
          <w:spacing w:val="-7"/>
          <w:w w:val="110"/>
          <w:sz w:val="20"/>
        </w:rPr>
        <w:t> </w:t>
      </w:r>
      <w:r>
        <w:rPr>
          <w:color w:val="231F1F"/>
          <w:w w:val="110"/>
          <w:sz w:val="20"/>
        </w:rPr>
        <w:t>north</w:t>
      </w:r>
      <w:r>
        <w:rPr>
          <w:color w:val="231F1F"/>
          <w:spacing w:val="-7"/>
          <w:w w:val="110"/>
          <w:sz w:val="20"/>
        </w:rPr>
        <w:t> </w:t>
      </w:r>
      <w:r>
        <w:rPr>
          <w:color w:val="231F1F"/>
          <w:w w:val="110"/>
          <w:sz w:val="20"/>
        </w:rPr>
        <w:t>of</w:t>
      </w:r>
      <w:r>
        <w:rPr>
          <w:color w:val="231F1F"/>
          <w:spacing w:val="-7"/>
          <w:w w:val="110"/>
          <w:sz w:val="20"/>
        </w:rPr>
        <w:t> </w:t>
      </w:r>
      <w:r>
        <w:rPr>
          <w:color w:val="231F1F"/>
          <w:w w:val="110"/>
          <w:sz w:val="20"/>
        </w:rPr>
        <w:t>England examining the effects of skin-to-skin care on breast feeding.</w:t>
      </w:r>
      <w:r>
        <w:rPr>
          <w:color w:val="231F1F"/>
          <w:spacing w:val="-6"/>
          <w:w w:val="110"/>
          <w:sz w:val="20"/>
        </w:rPr>
        <w:t> </w:t>
      </w:r>
      <w:r>
        <w:rPr>
          <w:color w:val="231F1F"/>
          <w:w w:val="110"/>
          <w:sz w:val="20"/>
        </w:rPr>
        <w:t>Midwifery 2005;21(1):71-9.</w:t>
      </w:r>
    </w:p>
    <w:p>
      <w:pPr>
        <w:pStyle w:val="ListParagraph"/>
        <w:numPr>
          <w:ilvl w:val="0"/>
          <w:numId w:val="109"/>
        </w:numPr>
        <w:tabs>
          <w:tab w:pos="795" w:val="left" w:leader="none"/>
          <w:tab w:pos="797" w:val="left" w:leader="none"/>
        </w:tabs>
        <w:spacing w:line="220" w:lineRule="auto" w:before="167" w:after="0"/>
        <w:ind w:left="797" w:right="332" w:hanging="509"/>
        <w:jc w:val="left"/>
        <w:rPr>
          <w:sz w:val="20"/>
        </w:rPr>
      </w:pPr>
      <w:r>
        <w:rPr>
          <w:color w:val="231F1F"/>
          <w:w w:val="110"/>
          <w:sz w:val="20"/>
        </w:rPr>
        <w:t>Mikiel KK, Mazur J, Boltruszko I. Effect of early skin-to-skin contact after delivery on duration</w:t>
      </w:r>
      <w:r>
        <w:rPr>
          <w:color w:val="231F1F"/>
          <w:spacing w:val="-9"/>
          <w:w w:val="110"/>
          <w:sz w:val="20"/>
        </w:rPr>
        <w:t> </w:t>
      </w:r>
      <w:r>
        <w:rPr>
          <w:color w:val="231F1F"/>
          <w:w w:val="110"/>
          <w:sz w:val="20"/>
        </w:rPr>
        <w:t>of</w:t>
      </w:r>
      <w:r>
        <w:rPr>
          <w:color w:val="231F1F"/>
          <w:spacing w:val="-7"/>
          <w:w w:val="110"/>
          <w:sz w:val="20"/>
        </w:rPr>
        <w:t> </w:t>
      </w:r>
      <w:r>
        <w:rPr>
          <w:color w:val="231F1F"/>
          <w:w w:val="110"/>
          <w:sz w:val="20"/>
        </w:rPr>
        <w:t>breastfeeding:</w:t>
      </w:r>
      <w:r>
        <w:rPr>
          <w:color w:val="231F1F"/>
          <w:spacing w:val="-10"/>
          <w:w w:val="110"/>
          <w:sz w:val="20"/>
        </w:rPr>
        <w:t> </w:t>
      </w:r>
      <w:r>
        <w:rPr>
          <w:color w:val="231F1F"/>
          <w:w w:val="110"/>
          <w:sz w:val="20"/>
        </w:rPr>
        <w:t>a</w:t>
      </w:r>
      <w:r>
        <w:rPr>
          <w:color w:val="231F1F"/>
          <w:spacing w:val="-7"/>
          <w:w w:val="110"/>
          <w:sz w:val="20"/>
        </w:rPr>
        <w:t> </w:t>
      </w:r>
      <w:r>
        <w:rPr>
          <w:color w:val="231F1F"/>
          <w:w w:val="110"/>
          <w:sz w:val="20"/>
        </w:rPr>
        <w:t>prospective</w:t>
      </w:r>
      <w:r>
        <w:rPr>
          <w:color w:val="231F1F"/>
          <w:spacing w:val="-6"/>
          <w:w w:val="110"/>
          <w:sz w:val="20"/>
        </w:rPr>
        <w:t> </w:t>
      </w:r>
      <w:r>
        <w:rPr>
          <w:color w:val="231F1F"/>
          <w:w w:val="110"/>
          <w:sz w:val="20"/>
        </w:rPr>
        <w:t>cohort</w:t>
      </w:r>
      <w:r>
        <w:rPr>
          <w:color w:val="231F1F"/>
          <w:spacing w:val="-6"/>
          <w:w w:val="110"/>
          <w:sz w:val="20"/>
        </w:rPr>
        <w:t> </w:t>
      </w:r>
      <w:r>
        <w:rPr>
          <w:color w:val="231F1F"/>
          <w:w w:val="110"/>
          <w:sz w:val="20"/>
        </w:rPr>
        <w:t>study.</w:t>
      </w:r>
      <w:r>
        <w:rPr>
          <w:color w:val="231F1F"/>
          <w:spacing w:val="-21"/>
          <w:w w:val="110"/>
          <w:sz w:val="20"/>
        </w:rPr>
        <w:t> </w:t>
      </w:r>
      <w:r>
        <w:rPr>
          <w:color w:val="231F1F"/>
          <w:w w:val="110"/>
          <w:sz w:val="20"/>
        </w:rPr>
        <w:t>Acta</w:t>
      </w:r>
      <w:r>
        <w:rPr>
          <w:color w:val="231F1F"/>
          <w:spacing w:val="-5"/>
          <w:w w:val="110"/>
          <w:sz w:val="20"/>
        </w:rPr>
        <w:t> </w:t>
      </w:r>
      <w:r>
        <w:rPr>
          <w:color w:val="231F1F"/>
          <w:w w:val="110"/>
          <w:sz w:val="20"/>
        </w:rPr>
        <w:t>Paediatr</w:t>
      </w:r>
      <w:r>
        <w:rPr>
          <w:color w:val="231F1F"/>
          <w:spacing w:val="-5"/>
          <w:w w:val="110"/>
          <w:sz w:val="20"/>
        </w:rPr>
        <w:t> </w:t>
      </w:r>
      <w:r>
        <w:rPr>
          <w:color w:val="231F1F"/>
          <w:w w:val="110"/>
          <w:sz w:val="20"/>
        </w:rPr>
        <w:t>2002;91(12):1301-6.</w:t>
      </w:r>
    </w:p>
    <w:p>
      <w:pPr>
        <w:pStyle w:val="ListParagraph"/>
        <w:numPr>
          <w:ilvl w:val="0"/>
          <w:numId w:val="109"/>
        </w:numPr>
        <w:tabs>
          <w:tab w:pos="794" w:val="left" w:leader="none"/>
          <w:tab w:pos="798" w:val="left" w:leader="none"/>
        </w:tabs>
        <w:spacing w:line="225" w:lineRule="auto" w:before="168" w:after="0"/>
        <w:ind w:left="798" w:right="289" w:hanging="502"/>
        <w:jc w:val="left"/>
        <w:rPr>
          <w:sz w:val="20"/>
        </w:rPr>
      </w:pPr>
      <w:r>
        <w:rPr>
          <w:color w:val="231F1F"/>
          <w:w w:val="105"/>
          <w:sz w:val="20"/>
        </w:rPr>
        <w:t>Mercer</w:t>
      </w:r>
      <w:r>
        <w:rPr>
          <w:color w:val="231F1F"/>
          <w:spacing w:val="-13"/>
          <w:w w:val="105"/>
          <w:sz w:val="20"/>
        </w:rPr>
        <w:t> </w:t>
      </w:r>
      <w:r>
        <w:rPr>
          <w:color w:val="231F1F"/>
          <w:w w:val="105"/>
          <w:sz w:val="20"/>
        </w:rPr>
        <w:t>JS,</w:t>
      </w:r>
      <w:r>
        <w:rPr>
          <w:color w:val="231F1F"/>
          <w:spacing w:val="-13"/>
          <w:w w:val="105"/>
          <w:sz w:val="20"/>
        </w:rPr>
        <w:t> </w:t>
      </w:r>
      <w:r>
        <w:rPr>
          <w:color w:val="231F1F"/>
          <w:w w:val="105"/>
          <w:sz w:val="20"/>
        </w:rPr>
        <w:t>Erickson-Owens</w:t>
      </w:r>
      <w:r>
        <w:rPr>
          <w:color w:val="231F1F"/>
          <w:spacing w:val="-13"/>
          <w:w w:val="105"/>
          <w:sz w:val="20"/>
        </w:rPr>
        <w:t> </w:t>
      </w:r>
      <w:r>
        <w:rPr>
          <w:color w:val="231F1F"/>
          <w:w w:val="105"/>
          <w:sz w:val="20"/>
        </w:rPr>
        <w:t>DA,</w:t>
      </w:r>
      <w:r>
        <w:rPr>
          <w:color w:val="231F1F"/>
          <w:spacing w:val="-13"/>
          <w:w w:val="105"/>
          <w:sz w:val="20"/>
        </w:rPr>
        <w:t> </w:t>
      </w:r>
      <w:r>
        <w:rPr>
          <w:color w:val="231F1F"/>
          <w:w w:val="105"/>
          <w:sz w:val="20"/>
        </w:rPr>
        <w:t>Graves</w:t>
      </w:r>
      <w:r>
        <w:rPr>
          <w:color w:val="231F1F"/>
          <w:spacing w:val="-4"/>
          <w:w w:val="105"/>
          <w:sz w:val="20"/>
        </w:rPr>
        <w:t> </w:t>
      </w:r>
      <w:r>
        <w:rPr>
          <w:color w:val="231F1F"/>
          <w:w w:val="105"/>
          <w:sz w:val="20"/>
        </w:rPr>
        <w:t>B,</w:t>
      </w:r>
      <w:r>
        <w:rPr>
          <w:color w:val="231F1F"/>
          <w:spacing w:val="-14"/>
          <w:w w:val="105"/>
          <w:sz w:val="20"/>
        </w:rPr>
        <w:t> </w:t>
      </w:r>
      <w:r>
        <w:rPr>
          <w:color w:val="231F1F"/>
          <w:w w:val="105"/>
          <w:sz w:val="20"/>
        </w:rPr>
        <w:t>Haley</w:t>
      </w:r>
      <w:r>
        <w:rPr>
          <w:color w:val="231F1F"/>
          <w:spacing w:val="-5"/>
          <w:w w:val="105"/>
          <w:sz w:val="20"/>
        </w:rPr>
        <w:t> </w:t>
      </w:r>
      <w:r>
        <w:rPr>
          <w:color w:val="231F1F"/>
          <w:w w:val="105"/>
          <w:sz w:val="20"/>
        </w:rPr>
        <w:t>MM.</w:t>
      </w:r>
      <w:r>
        <w:rPr>
          <w:color w:val="231F1F"/>
          <w:spacing w:val="-14"/>
          <w:w w:val="105"/>
          <w:sz w:val="20"/>
        </w:rPr>
        <w:t> </w:t>
      </w:r>
      <w:r>
        <w:rPr>
          <w:color w:val="231F1F"/>
          <w:w w:val="105"/>
          <w:sz w:val="20"/>
        </w:rPr>
        <w:t>Evidence-based</w:t>
      </w:r>
      <w:r>
        <w:rPr>
          <w:color w:val="231F1F"/>
          <w:spacing w:val="-4"/>
          <w:w w:val="105"/>
          <w:sz w:val="20"/>
        </w:rPr>
        <w:t> </w:t>
      </w:r>
      <w:r>
        <w:rPr>
          <w:color w:val="231F1F"/>
          <w:w w:val="105"/>
          <w:sz w:val="20"/>
        </w:rPr>
        <w:t>practices</w:t>
      </w:r>
      <w:r>
        <w:rPr>
          <w:color w:val="231F1F"/>
          <w:spacing w:val="-5"/>
          <w:w w:val="105"/>
          <w:sz w:val="20"/>
        </w:rPr>
        <w:t> </w:t>
      </w:r>
      <w:r>
        <w:rPr>
          <w:color w:val="231F1F"/>
          <w:w w:val="105"/>
          <w:sz w:val="20"/>
        </w:rPr>
        <w:t>for</w:t>
      </w:r>
      <w:r>
        <w:rPr>
          <w:color w:val="231F1F"/>
          <w:spacing w:val="-5"/>
          <w:w w:val="105"/>
          <w:sz w:val="20"/>
        </w:rPr>
        <w:t> </w:t>
      </w:r>
      <w:r>
        <w:rPr>
          <w:color w:val="231F1F"/>
          <w:w w:val="105"/>
          <w:sz w:val="20"/>
        </w:rPr>
        <w:t>the</w:t>
      </w:r>
      <w:r>
        <w:rPr>
          <w:color w:val="231F1F"/>
          <w:spacing w:val="-6"/>
          <w:w w:val="105"/>
          <w:sz w:val="20"/>
        </w:rPr>
        <w:t> </w:t>
      </w:r>
      <w:r>
        <w:rPr>
          <w:color w:val="231F1F"/>
          <w:w w:val="105"/>
          <w:sz w:val="20"/>
        </w:rPr>
        <w:t>fetal to newborn transition. J Midwifery Womens Health 2007;52(3):262-72.</w:t>
      </w:r>
    </w:p>
    <w:p>
      <w:pPr>
        <w:pStyle w:val="ListParagraph"/>
        <w:numPr>
          <w:ilvl w:val="0"/>
          <w:numId w:val="109"/>
        </w:numPr>
        <w:tabs>
          <w:tab w:pos="793" w:val="left" w:leader="none"/>
          <w:tab w:pos="797" w:val="left" w:leader="none"/>
        </w:tabs>
        <w:spacing w:line="232" w:lineRule="auto" w:before="153" w:after="0"/>
        <w:ind w:left="797" w:right="111" w:hanging="502"/>
        <w:jc w:val="both"/>
        <w:rPr>
          <w:sz w:val="20"/>
        </w:rPr>
      </w:pPr>
      <w:r>
        <w:rPr>
          <w:color w:val="231F1F"/>
          <w:w w:val="110"/>
          <w:sz w:val="20"/>
        </w:rPr>
        <w:t>Moore</w:t>
      </w:r>
      <w:r>
        <w:rPr>
          <w:color w:val="231F1F"/>
          <w:spacing w:val="-8"/>
          <w:w w:val="110"/>
          <w:sz w:val="20"/>
        </w:rPr>
        <w:t> </w:t>
      </w:r>
      <w:r>
        <w:rPr>
          <w:color w:val="231F1F"/>
          <w:w w:val="110"/>
          <w:sz w:val="20"/>
        </w:rPr>
        <w:t>ER,</w:t>
      </w:r>
      <w:r>
        <w:rPr>
          <w:color w:val="231F1F"/>
          <w:spacing w:val="-7"/>
          <w:w w:val="110"/>
          <w:sz w:val="20"/>
        </w:rPr>
        <w:t> </w:t>
      </w:r>
      <w:r>
        <w:rPr>
          <w:color w:val="231F1F"/>
          <w:w w:val="110"/>
          <w:sz w:val="20"/>
        </w:rPr>
        <w:t>Anderson</w:t>
      </w:r>
      <w:r>
        <w:rPr>
          <w:color w:val="231F1F"/>
          <w:spacing w:val="-5"/>
          <w:w w:val="110"/>
          <w:sz w:val="20"/>
        </w:rPr>
        <w:t> </w:t>
      </w:r>
      <w:r>
        <w:rPr>
          <w:color w:val="231F1F"/>
          <w:w w:val="110"/>
          <w:sz w:val="20"/>
        </w:rPr>
        <w:t>GC,</w:t>
      </w:r>
      <w:r>
        <w:rPr>
          <w:color w:val="231F1F"/>
          <w:spacing w:val="-7"/>
          <w:w w:val="110"/>
          <w:sz w:val="20"/>
        </w:rPr>
        <w:t> </w:t>
      </w:r>
      <w:r>
        <w:rPr>
          <w:color w:val="231F1F"/>
          <w:w w:val="110"/>
          <w:sz w:val="20"/>
        </w:rPr>
        <w:t>Bergman</w:t>
      </w:r>
      <w:r>
        <w:rPr>
          <w:color w:val="231F1F"/>
          <w:spacing w:val="-5"/>
          <w:w w:val="110"/>
          <w:sz w:val="20"/>
        </w:rPr>
        <w:t> </w:t>
      </w:r>
      <w:r>
        <w:rPr>
          <w:color w:val="231F1F"/>
          <w:w w:val="110"/>
          <w:sz w:val="20"/>
        </w:rPr>
        <w:t>N.</w:t>
      </w:r>
      <w:r>
        <w:rPr>
          <w:color w:val="231F1F"/>
          <w:spacing w:val="-7"/>
          <w:w w:val="110"/>
          <w:sz w:val="20"/>
        </w:rPr>
        <w:t> </w:t>
      </w:r>
      <w:r>
        <w:rPr>
          <w:color w:val="231F1F"/>
          <w:w w:val="110"/>
          <w:sz w:val="20"/>
        </w:rPr>
        <w:t>Contacto</w:t>
      </w:r>
      <w:r>
        <w:rPr>
          <w:color w:val="231F1F"/>
          <w:spacing w:val="-5"/>
          <w:w w:val="110"/>
          <w:sz w:val="20"/>
        </w:rPr>
        <w:t> </w:t>
      </w:r>
      <w:r>
        <w:rPr>
          <w:color w:val="231F1F"/>
          <w:w w:val="110"/>
          <w:sz w:val="20"/>
        </w:rPr>
        <w:t>piel-a-piel</w:t>
      </w:r>
      <w:r>
        <w:rPr>
          <w:color w:val="231F1F"/>
          <w:spacing w:val="-5"/>
          <w:w w:val="110"/>
          <w:sz w:val="20"/>
        </w:rPr>
        <w:t> </w:t>
      </w:r>
      <w:r>
        <w:rPr>
          <w:color w:val="231F1F"/>
          <w:w w:val="110"/>
          <w:sz w:val="20"/>
        </w:rPr>
        <w:t>temprano</w:t>
      </w:r>
      <w:r>
        <w:rPr>
          <w:color w:val="231F1F"/>
          <w:spacing w:val="-5"/>
          <w:w w:val="110"/>
          <w:sz w:val="20"/>
        </w:rPr>
        <w:t> </w:t>
      </w:r>
      <w:r>
        <w:rPr>
          <w:color w:val="231F1F"/>
          <w:w w:val="110"/>
          <w:sz w:val="20"/>
        </w:rPr>
        <w:t>para</w:t>
      </w:r>
      <w:r>
        <w:rPr>
          <w:color w:val="231F1F"/>
          <w:spacing w:val="-5"/>
          <w:w w:val="110"/>
          <w:sz w:val="20"/>
        </w:rPr>
        <w:t> </w:t>
      </w:r>
      <w:r>
        <w:rPr>
          <w:color w:val="231F1F"/>
          <w:w w:val="110"/>
          <w:sz w:val="20"/>
        </w:rPr>
        <w:t>las</w:t>
      </w:r>
      <w:r>
        <w:rPr>
          <w:color w:val="231F1F"/>
          <w:spacing w:val="-5"/>
          <w:w w:val="110"/>
          <w:sz w:val="20"/>
        </w:rPr>
        <w:t> </w:t>
      </w:r>
      <w:r>
        <w:rPr>
          <w:color w:val="231F1F"/>
          <w:w w:val="110"/>
          <w:sz w:val="20"/>
        </w:rPr>
        <w:t>madres</w:t>
      </w:r>
      <w:r>
        <w:rPr>
          <w:color w:val="231F1F"/>
          <w:spacing w:val="-5"/>
          <w:w w:val="110"/>
          <w:sz w:val="20"/>
        </w:rPr>
        <w:t> </w:t>
      </w:r>
      <w:r>
        <w:rPr>
          <w:color w:val="231F1F"/>
          <w:w w:val="110"/>
          <w:sz w:val="20"/>
        </w:rPr>
        <w:t>y</w:t>
      </w:r>
      <w:r>
        <w:rPr>
          <w:color w:val="231F1F"/>
          <w:spacing w:val="-5"/>
          <w:w w:val="110"/>
          <w:sz w:val="20"/>
        </w:rPr>
        <w:t> </w:t>
      </w:r>
      <w:r>
        <w:rPr>
          <w:color w:val="231F1F"/>
          <w:w w:val="110"/>
          <w:sz w:val="20"/>
        </w:rPr>
        <w:t>sus </w:t>
      </w:r>
      <w:r>
        <w:rPr>
          <w:color w:val="231F1F"/>
          <w:sz w:val="20"/>
        </w:rPr>
        <w:t>recién nacidos sanos (Revisisón Cochrane traducida). En: La Biblioteca Cochrane Plus, 2008. </w:t>
      </w:r>
      <w:r>
        <w:rPr>
          <w:color w:val="231F1F"/>
          <w:w w:val="110"/>
          <w:sz w:val="20"/>
        </w:rPr>
        <w:t>Número 1 Oxford: Update Software Ltd Disponible en: </w:t>
      </w:r>
      <w:hyperlink r:id="rId101">
        <w:r>
          <w:rPr>
            <w:color w:val="231F1F"/>
            <w:w w:val="110"/>
            <w:sz w:val="20"/>
          </w:rPr>
          <w:t>http://www</w:t>
        </w:r>
      </w:hyperlink>
      <w:r>
        <w:rPr>
          <w:color w:val="231F1F"/>
          <w:w w:val="110"/>
          <w:sz w:val="20"/>
        </w:rPr>
        <w:t> update-software com </w:t>
      </w:r>
      <w:r>
        <w:rPr>
          <w:color w:val="231F1F"/>
          <w:spacing w:val="-2"/>
          <w:w w:val="110"/>
          <w:sz w:val="20"/>
        </w:rPr>
        <w:t>(Traducida</w:t>
      </w:r>
      <w:r>
        <w:rPr>
          <w:color w:val="231F1F"/>
          <w:spacing w:val="-6"/>
          <w:w w:val="110"/>
          <w:sz w:val="20"/>
        </w:rPr>
        <w:t> </w:t>
      </w:r>
      <w:r>
        <w:rPr>
          <w:color w:val="231F1F"/>
          <w:spacing w:val="-2"/>
          <w:w w:val="110"/>
          <w:sz w:val="20"/>
        </w:rPr>
        <w:t>de</w:t>
      </w:r>
      <w:r>
        <w:rPr>
          <w:color w:val="231F1F"/>
          <w:spacing w:val="-7"/>
          <w:w w:val="110"/>
          <w:sz w:val="20"/>
        </w:rPr>
        <w:t> </w:t>
      </w:r>
      <w:r>
        <w:rPr>
          <w:color w:val="231F1F"/>
          <w:spacing w:val="-2"/>
          <w:w w:val="110"/>
          <w:sz w:val="20"/>
        </w:rPr>
        <w:t>The</w:t>
      </w:r>
      <w:r>
        <w:rPr>
          <w:color w:val="231F1F"/>
          <w:spacing w:val="-5"/>
          <w:w w:val="110"/>
          <w:sz w:val="20"/>
        </w:rPr>
        <w:t> </w:t>
      </w:r>
      <w:r>
        <w:rPr>
          <w:color w:val="231F1F"/>
          <w:spacing w:val="-2"/>
          <w:w w:val="110"/>
          <w:sz w:val="20"/>
        </w:rPr>
        <w:t>Cochrane</w:t>
      </w:r>
      <w:r>
        <w:rPr>
          <w:color w:val="231F1F"/>
          <w:spacing w:val="-5"/>
          <w:w w:val="110"/>
          <w:sz w:val="20"/>
        </w:rPr>
        <w:t> </w:t>
      </w:r>
      <w:r>
        <w:rPr>
          <w:color w:val="231F1F"/>
          <w:spacing w:val="-2"/>
          <w:w w:val="110"/>
          <w:sz w:val="20"/>
        </w:rPr>
        <w:t>Library,</w:t>
      </w:r>
      <w:r>
        <w:rPr>
          <w:color w:val="231F1F"/>
          <w:spacing w:val="-7"/>
          <w:w w:val="110"/>
          <w:sz w:val="20"/>
        </w:rPr>
        <w:t> </w:t>
      </w:r>
      <w:r>
        <w:rPr>
          <w:color w:val="231F1F"/>
          <w:spacing w:val="-2"/>
          <w:w w:val="110"/>
          <w:sz w:val="20"/>
        </w:rPr>
        <w:t>2008</w:t>
      </w:r>
      <w:r>
        <w:rPr>
          <w:color w:val="231F1F"/>
          <w:spacing w:val="-5"/>
          <w:w w:val="110"/>
          <w:sz w:val="20"/>
        </w:rPr>
        <w:t> </w:t>
      </w:r>
      <w:r>
        <w:rPr>
          <w:color w:val="231F1F"/>
          <w:spacing w:val="-2"/>
          <w:w w:val="110"/>
          <w:sz w:val="20"/>
        </w:rPr>
        <w:t>Issue</w:t>
      </w:r>
      <w:r>
        <w:rPr>
          <w:color w:val="231F1F"/>
          <w:spacing w:val="-5"/>
          <w:w w:val="110"/>
          <w:sz w:val="20"/>
        </w:rPr>
        <w:t> </w:t>
      </w:r>
      <w:r>
        <w:rPr>
          <w:color w:val="231F1F"/>
          <w:spacing w:val="-2"/>
          <w:w w:val="110"/>
          <w:sz w:val="20"/>
        </w:rPr>
        <w:t>1</w:t>
      </w:r>
      <w:r>
        <w:rPr>
          <w:color w:val="231F1F"/>
          <w:spacing w:val="-5"/>
          <w:w w:val="110"/>
          <w:sz w:val="20"/>
        </w:rPr>
        <w:t> </w:t>
      </w:r>
      <w:r>
        <w:rPr>
          <w:color w:val="231F1F"/>
          <w:spacing w:val="-2"/>
          <w:w w:val="110"/>
          <w:sz w:val="20"/>
        </w:rPr>
        <w:t>Chichester,</w:t>
      </w:r>
      <w:r>
        <w:rPr>
          <w:color w:val="231F1F"/>
          <w:spacing w:val="-7"/>
          <w:w w:val="110"/>
          <w:sz w:val="20"/>
        </w:rPr>
        <w:t> </w:t>
      </w:r>
      <w:r>
        <w:rPr>
          <w:color w:val="231F1F"/>
          <w:spacing w:val="-2"/>
          <w:w w:val="110"/>
          <w:sz w:val="20"/>
        </w:rPr>
        <w:t>UK:</w:t>
      </w:r>
      <w:r>
        <w:rPr>
          <w:color w:val="231F1F"/>
          <w:spacing w:val="-7"/>
          <w:w w:val="110"/>
          <w:sz w:val="20"/>
        </w:rPr>
        <w:t> </w:t>
      </w:r>
      <w:r>
        <w:rPr>
          <w:color w:val="231F1F"/>
          <w:spacing w:val="-2"/>
          <w:w w:val="110"/>
          <w:sz w:val="20"/>
        </w:rPr>
        <w:t>John</w:t>
      </w:r>
      <w:r>
        <w:rPr>
          <w:color w:val="231F1F"/>
          <w:spacing w:val="-7"/>
          <w:w w:val="110"/>
          <w:sz w:val="20"/>
        </w:rPr>
        <w:t> </w:t>
      </w:r>
      <w:r>
        <w:rPr>
          <w:color w:val="231F1F"/>
          <w:spacing w:val="-2"/>
          <w:w w:val="110"/>
          <w:sz w:val="20"/>
        </w:rPr>
        <w:t>Wiley</w:t>
      </w:r>
      <w:r>
        <w:rPr>
          <w:color w:val="231F1F"/>
          <w:spacing w:val="-5"/>
          <w:w w:val="110"/>
          <w:sz w:val="20"/>
        </w:rPr>
        <w:t> </w:t>
      </w:r>
      <w:r>
        <w:rPr>
          <w:color w:val="231F1F"/>
          <w:spacing w:val="-2"/>
          <w:w w:val="110"/>
          <w:sz w:val="20"/>
        </w:rPr>
        <w:t>&amp;</w:t>
      </w:r>
      <w:r>
        <w:rPr>
          <w:color w:val="231F1F"/>
          <w:spacing w:val="-5"/>
          <w:w w:val="110"/>
          <w:sz w:val="20"/>
        </w:rPr>
        <w:t> </w:t>
      </w:r>
      <w:r>
        <w:rPr>
          <w:color w:val="231F1F"/>
          <w:spacing w:val="-2"/>
          <w:w w:val="110"/>
          <w:sz w:val="20"/>
        </w:rPr>
        <w:t>Sons,</w:t>
      </w:r>
      <w:r>
        <w:rPr>
          <w:color w:val="231F1F"/>
          <w:spacing w:val="-7"/>
          <w:w w:val="110"/>
          <w:sz w:val="20"/>
        </w:rPr>
        <w:t> </w:t>
      </w:r>
      <w:r>
        <w:rPr>
          <w:color w:val="231F1F"/>
          <w:spacing w:val="-2"/>
          <w:w w:val="110"/>
          <w:sz w:val="20"/>
        </w:rPr>
        <w:t>Ltd) 2008.</w:t>
      </w:r>
    </w:p>
    <w:p>
      <w:pPr>
        <w:pStyle w:val="ListParagraph"/>
        <w:numPr>
          <w:ilvl w:val="0"/>
          <w:numId w:val="109"/>
        </w:numPr>
        <w:tabs>
          <w:tab w:pos="793" w:val="left" w:leader="none"/>
          <w:tab w:pos="797" w:val="left" w:leader="none"/>
        </w:tabs>
        <w:spacing w:line="220" w:lineRule="auto" w:before="165" w:after="0"/>
        <w:ind w:left="797" w:right="189" w:hanging="502"/>
        <w:jc w:val="left"/>
        <w:rPr>
          <w:sz w:val="20"/>
        </w:rPr>
      </w:pPr>
      <w:r>
        <w:rPr>
          <w:color w:val="231F1F"/>
          <w:w w:val="110"/>
          <w:position w:val="1"/>
          <w:sz w:val="20"/>
        </w:rPr>
        <w:t>Gardner</w:t>
      </w:r>
      <w:r>
        <w:rPr>
          <w:color w:val="231F1F"/>
          <w:spacing w:val="-16"/>
          <w:w w:val="110"/>
          <w:position w:val="1"/>
          <w:sz w:val="20"/>
        </w:rPr>
        <w:t> </w:t>
      </w:r>
      <w:r>
        <w:rPr>
          <w:color w:val="231F1F"/>
          <w:w w:val="110"/>
          <w:position w:val="1"/>
          <w:sz w:val="20"/>
        </w:rPr>
        <w:t>MR,</w:t>
      </w:r>
      <w:r>
        <w:rPr>
          <w:color w:val="231F1F"/>
          <w:spacing w:val="-19"/>
          <w:w w:val="110"/>
          <w:position w:val="1"/>
          <w:sz w:val="20"/>
        </w:rPr>
        <w:t> </w:t>
      </w:r>
      <w:r>
        <w:rPr>
          <w:color w:val="231F1F"/>
          <w:w w:val="110"/>
          <w:position w:val="1"/>
          <w:sz w:val="20"/>
        </w:rPr>
        <w:t>Deatrick</w:t>
      </w:r>
      <w:r>
        <w:rPr>
          <w:color w:val="231F1F"/>
          <w:spacing w:val="-16"/>
          <w:w w:val="110"/>
          <w:position w:val="1"/>
          <w:sz w:val="20"/>
        </w:rPr>
        <w:t> </w:t>
      </w:r>
      <w:r>
        <w:rPr>
          <w:color w:val="231F1F"/>
          <w:w w:val="110"/>
          <w:position w:val="1"/>
          <w:sz w:val="20"/>
        </w:rPr>
        <w:t>JA.</w:t>
      </w:r>
      <w:r>
        <w:rPr>
          <w:color w:val="231F1F"/>
          <w:spacing w:val="-19"/>
          <w:w w:val="110"/>
          <w:position w:val="1"/>
          <w:sz w:val="20"/>
        </w:rPr>
        <w:t> </w:t>
      </w:r>
      <w:r>
        <w:rPr>
          <w:color w:val="231F1F"/>
          <w:w w:val="110"/>
          <w:position w:val="1"/>
          <w:sz w:val="20"/>
        </w:rPr>
        <w:t>Understanding</w:t>
      </w:r>
      <w:r>
        <w:rPr>
          <w:color w:val="231F1F"/>
          <w:spacing w:val="-15"/>
          <w:w w:val="110"/>
          <w:position w:val="1"/>
          <w:sz w:val="20"/>
        </w:rPr>
        <w:t> </w:t>
      </w:r>
      <w:r>
        <w:rPr>
          <w:color w:val="231F1F"/>
          <w:w w:val="110"/>
          <w:position w:val="1"/>
          <w:sz w:val="20"/>
        </w:rPr>
        <w:t>interventions</w:t>
      </w:r>
      <w:r>
        <w:rPr>
          <w:color w:val="231F1F"/>
          <w:spacing w:val="-15"/>
          <w:w w:val="110"/>
          <w:position w:val="1"/>
          <w:sz w:val="20"/>
        </w:rPr>
        <w:t> </w:t>
      </w:r>
      <w:r>
        <w:rPr>
          <w:color w:val="231F1F"/>
          <w:w w:val="110"/>
          <w:position w:val="1"/>
          <w:sz w:val="20"/>
        </w:rPr>
        <w:t>and</w:t>
      </w:r>
      <w:r>
        <w:rPr>
          <w:color w:val="231F1F"/>
          <w:spacing w:val="-15"/>
          <w:w w:val="110"/>
          <w:position w:val="1"/>
          <w:sz w:val="20"/>
        </w:rPr>
        <w:t> </w:t>
      </w:r>
      <w:r>
        <w:rPr>
          <w:color w:val="231F1F"/>
          <w:w w:val="110"/>
          <w:position w:val="1"/>
          <w:sz w:val="20"/>
        </w:rPr>
        <w:t>outcomes</w:t>
      </w:r>
      <w:r>
        <w:rPr>
          <w:color w:val="231F1F"/>
          <w:spacing w:val="-14"/>
          <w:w w:val="110"/>
          <w:position w:val="1"/>
          <w:sz w:val="20"/>
        </w:rPr>
        <w:t> </w:t>
      </w:r>
      <w:r>
        <w:rPr>
          <w:color w:val="231F1F"/>
          <w:w w:val="110"/>
          <w:position w:val="1"/>
          <w:sz w:val="20"/>
        </w:rPr>
        <w:t>in</w:t>
      </w:r>
      <w:r>
        <w:rPr>
          <w:color w:val="231F1F"/>
          <w:spacing w:val="-15"/>
          <w:w w:val="110"/>
          <w:position w:val="1"/>
          <w:sz w:val="20"/>
        </w:rPr>
        <w:t> </w:t>
      </w:r>
      <w:r>
        <w:rPr>
          <w:color w:val="231F1F"/>
          <w:w w:val="110"/>
          <w:position w:val="1"/>
          <w:sz w:val="20"/>
        </w:rPr>
        <w:t>mothers</w:t>
      </w:r>
      <w:r>
        <w:rPr>
          <w:color w:val="231F1F"/>
          <w:spacing w:val="-15"/>
          <w:w w:val="110"/>
          <w:position w:val="1"/>
          <w:sz w:val="20"/>
        </w:rPr>
        <w:t> </w:t>
      </w:r>
      <w:r>
        <w:rPr>
          <w:color w:val="231F1F"/>
          <w:w w:val="110"/>
          <w:position w:val="1"/>
          <w:sz w:val="20"/>
        </w:rPr>
        <w:t>of</w:t>
      </w:r>
      <w:r>
        <w:rPr>
          <w:color w:val="231F1F"/>
          <w:spacing w:val="-15"/>
          <w:w w:val="110"/>
          <w:position w:val="1"/>
          <w:sz w:val="20"/>
        </w:rPr>
        <w:t> </w:t>
      </w:r>
      <w:r>
        <w:rPr>
          <w:color w:val="231F1F"/>
          <w:w w:val="110"/>
          <w:position w:val="1"/>
          <w:sz w:val="20"/>
        </w:rPr>
        <w:t>infants. </w:t>
      </w:r>
      <w:r>
        <w:rPr>
          <w:color w:val="231F1F"/>
          <w:w w:val="110"/>
          <w:sz w:val="20"/>
        </w:rPr>
        <w:t>Issues Compr Pediatr Nurs 2006;29(1):25-44.</w:t>
      </w:r>
    </w:p>
    <w:p>
      <w:pPr>
        <w:pStyle w:val="ListParagraph"/>
        <w:spacing w:after="0" w:line="220" w:lineRule="auto"/>
        <w:jc w:val="left"/>
        <w:rPr>
          <w:sz w:val="20"/>
        </w:rPr>
        <w:sectPr>
          <w:pgSz w:w="11900" w:h="16840"/>
          <w:pgMar w:header="0" w:footer="622" w:top="1560" w:bottom="820" w:left="1417" w:right="1559"/>
        </w:sectPr>
      </w:pPr>
    </w:p>
    <w:p>
      <w:pPr>
        <w:pStyle w:val="ListParagraph"/>
        <w:numPr>
          <w:ilvl w:val="0"/>
          <w:numId w:val="109"/>
        </w:numPr>
        <w:tabs>
          <w:tab w:pos="793" w:val="left" w:leader="none"/>
          <w:tab w:pos="797" w:val="left" w:leader="none"/>
        </w:tabs>
        <w:spacing w:line="211" w:lineRule="auto" w:before="105" w:after="0"/>
        <w:ind w:left="797" w:right="172" w:hanging="502"/>
        <w:jc w:val="both"/>
        <w:rPr>
          <w:sz w:val="20"/>
        </w:rPr>
      </w:pPr>
      <w:r>
        <w:rPr>
          <w:color w:val="231F1F"/>
          <w:w w:val="110"/>
          <w:position w:val="1"/>
          <w:sz w:val="20"/>
        </w:rPr>
        <w:t>Galligan</w:t>
      </w:r>
      <w:r>
        <w:rPr>
          <w:color w:val="231F1F"/>
          <w:spacing w:val="-12"/>
          <w:w w:val="110"/>
          <w:position w:val="1"/>
          <w:sz w:val="20"/>
        </w:rPr>
        <w:t> </w:t>
      </w:r>
      <w:r>
        <w:rPr>
          <w:color w:val="231F1F"/>
          <w:w w:val="110"/>
          <w:position w:val="1"/>
          <w:sz w:val="20"/>
        </w:rPr>
        <w:t>M.</w:t>
      </w:r>
      <w:r>
        <w:rPr>
          <w:color w:val="231F1F"/>
          <w:spacing w:val="-12"/>
          <w:w w:val="110"/>
          <w:position w:val="1"/>
          <w:sz w:val="20"/>
        </w:rPr>
        <w:t> </w:t>
      </w:r>
      <w:r>
        <w:rPr>
          <w:color w:val="231F1F"/>
          <w:w w:val="110"/>
          <w:position w:val="1"/>
          <w:sz w:val="20"/>
        </w:rPr>
        <w:t>Proposed</w:t>
      </w:r>
      <w:r>
        <w:rPr>
          <w:color w:val="231F1F"/>
          <w:spacing w:val="-10"/>
          <w:w w:val="110"/>
          <w:position w:val="1"/>
          <w:sz w:val="20"/>
        </w:rPr>
        <w:t> </w:t>
      </w:r>
      <w:r>
        <w:rPr>
          <w:color w:val="231F1F"/>
          <w:w w:val="110"/>
          <w:position w:val="1"/>
          <w:sz w:val="20"/>
        </w:rPr>
        <w:t>guidelines</w:t>
      </w:r>
      <w:r>
        <w:rPr>
          <w:color w:val="231F1F"/>
          <w:spacing w:val="-9"/>
          <w:w w:val="110"/>
          <w:position w:val="1"/>
          <w:sz w:val="20"/>
        </w:rPr>
        <w:t> </w:t>
      </w:r>
      <w:r>
        <w:rPr>
          <w:color w:val="231F1F"/>
          <w:w w:val="110"/>
          <w:position w:val="1"/>
          <w:sz w:val="20"/>
        </w:rPr>
        <w:t>for</w:t>
      </w:r>
      <w:r>
        <w:rPr>
          <w:color w:val="231F1F"/>
          <w:spacing w:val="-9"/>
          <w:w w:val="110"/>
          <w:position w:val="1"/>
          <w:sz w:val="20"/>
        </w:rPr>
        <w:t> </w:t>
      </w:r>
      <w:r>
        <w:rPr>
          <w:color w:val="231F1F"/>
          <w:w w:val="110"/>
          <w:position w:val="1"/>
          <w:sz w:val="20"/>
        </w:rPr>
        <w:t>skin-to-skin</w:t>
      </w:r>
      <w:r>
        <w:rPr>
          <w:color w:val="231F1F"/>
          <w:spacing w:val="-10"/>
          <w:w w:val="110"/>
          <w:position w:val="1"/>
          <w:sz w:val="20"/>
        </w:rPr>
        <w:t> </w:t>
      </w:r>
      <w:r>
        <w:rPr>
          <w:color w:val="231F1F"/>
          <w:w w:val="110"/>
          <w:position w:val="1"/>
          <w:sz w:val="20"/>
        </w:rPr>
        <w:t>treatment</w:t>
      </w:r>
      <w:r>
        <w:rPr>
          <w:color w:val="231F1F"/>
          <w:spacing w:val="-9"/>
          <w:w w:val="110"/>
          <w:position w:val="1"/>
          <w:sz w:val="20"/>
        </w:rPr>
        <w:t> </w:t>
      </w:r>
      <w:r>
        <w:rPr>
          <w:color w:val="231F1F"/>
          <w:w w:val="110"/>
          <w:position w:val="1"/>
          <w:sz w:val="20"/>
        </w:rPr>
        <w:t>of</w:t>
      </w:r>
      <w:r>
        <w:rPr>
          <w:color w:val="231F1F"/>
          <w:spacing w:val="-9"/>
          <w:w w:val="110"/>
          <w:position w:val="1"/>
          <w:sz w:val="20"/>
        </w:rPr>
        <w:t> </w:t>
      </w:r>
      <w:r>
        <w:rPr>
          <w:color w:val="231F1F"/>
          <w:w w:val="110"/>
          <w:position w:val="1"/>
          <w:sz w:val="20"/>
        </w:rPr>
        <w:t>neonatal</w:t>
      </w:r>
      <w:r>
        <w:rPr>
          <w:color w:val="231F1F"/>
          <w:spacing w:val="-9"/>
          <w:w w:val="110"/>
          <w:position w:val="1"/>
          <w:sz w:val="20"/>
        </w:rPr>
        <w:t> </w:t>
      </w:r>
      <w:r>
        <w:rPr>
          <w:color w:val="231F1F"/>
          <w:w w:val="110"/>
          <w:position w:val="1"/>
          <w:sz w:val="20"/>
        </w:rPr>
        <w:t>hypothermia.</w:t>
      </w:r>
      <w:r>
        <w:rPr>
          <w:color w:val="231F1F"/>
          <w:spacing w:val="-12"/>
          <w:w w:val="110"/>
          <w:position w:val="1"/>
          <w:sz w:val="20"/>
        </w:rPr>
        <w:t> </w:t>
      </w:r>
      <w:r>
        <w:rPr>
          <w:color w:val="231F1F"/>
          <w:w w:val="110"/>
          <w:position w:val="1"/>
          <w:sz w:val="20"/>
        </w:rPr>
        <w:t>MCN </w:t>
      </w:r>
      <w:r>
        <w:rPr>
          <w:color w:val="231F1F"/>
          <w:w w:val="110"/>
          <w:sz w:val="20"/>
        </w:rPr>
        <w:t>Am J Matern Child Nurs 2006;31(5):298-304; quiz 5-6.</w:t>
      </w:r>
    </w:p>
    <w:p>
      <w:pPr>
        <w:pStyle w:val="ListParagraph"/>
        <w:numPr>
          <w:ilvl w:val="0"/>
          <w:numId w:val="109"/>
        </w:numPr>
        <w:tabs>
          <w:tab w:pos="793" w:val="left" w:leader="none"/>
          <w:tab w:pos="797" w:val="left" w:leader="none"/>
        </w:tabs>
        <w:spacing w:line="220" w:lineRule="auto" w:before="183" w:after="0"/>
        <w:ind w:left="797" w:right="180" w:hanging="502"/>
        <w:jc w:val="both"/>
        <w:rPr>
          <w:sz w:val="20"/>
        </w:rPr>
      </w:pPr>
      <w:r>
        <w:rPr>
          <w:color w:val="231F1F"/>
          <w:w w:val="110"/>
          <w:sz w:val="20"/>
        </w:rPr>
        <w:t>Renfrew</w:t>
      </w:r>
      <w:r>
        <w:rPr>
          <w:color w:val="231F1F"/>
          <w:spacing w:val="-1"/>
          <w:w w:val="110"/>
          <w:sz w:val="20"/>
        </w:rPr>
        <w:t> </w:t>
      </w:r>
      <w:r>
        <w:rPr>
          <w:color w:val="231F1F"/>
          <w:w w:val="110"/>
          <w:sz w:val="20"/>
        </w:rPr>
        <w:t>MJ,</w:t>
      </w:r>
      <w:r>
        <w:rPr>
          <w:color w:val="231F1F"/>
          <w:spacing w:val="-1"/>
          <w:w w:val="110"/>
          <w:sz w:val="20"/>
        </w:rPr>
        <w:t> </w:t>
      </w:r>
      <w:r>
        <w:rPr>
          <w:color w:val="231F1F"/>
          <w:w w:val="110"/>
          <w:sz w:val="20"/>
        </w:rPr>
        <w:t>Dyson</w:t>
      </w:r>
      <w:r>
        <w:rPr>
          <w:color w:val="231F1F"/>
          <w:spacing w:val="-1"/>
          <w:w w:val="110"/>
          <w:sz w:val="20"/>
        </w:rPr>
        <w:t> </w:t>
      </w:r>
      <w:r>
        <w:rPr>
          <w:color w:val="231F1F"/>
          <w:w w:val="110"/>
          <w:sz w:val="20"/>
        </w:rPr>
        <w:t>L,</w:t>
      </w:r>
      <w:r>
        <w:rPr>
          <w:color w:val="231F1F"/>
          <w:spacing w:val="-6"/>
          <w:w w:val="110"/>
          <w:sz w:val="20"/>
        </w:rPr>
        <w:t> </w:t>
      </w:r>
      <w:r>
        <w:rPr>
          <w:color w:val="231F1F"/>
          <w:w w:val="110"/>
          <w:sz w:val="20"/>
        </w:rPr>
        <w:t>Wallace</w:t>
      </w:r>
      <w:r>
        <w:rPr>
          <w:color w:val="231F1F"/>
          <w:spacing w:val="-1"/>
          <w:w w:val="110"/>
          <w:sz w:val="20"/>
        </w:rPr>
        <w:t> </w:t>
      </w:r>
      <w:r>
        <w:rPr>
          <w:color w:val="231F1F"/>
          <w:w w:val="110"/>
          <w:sz w:val="20"/>
        </w:rPr>
        <w:t>L,</w:t>
      </w:r>
      <w:r>
        <w:rPr>
          <w:color w:val="231F1F"/>
          <w:spacing w:val="-2"/>
          <w:w w:val="110"/>
          <w:sz w:val="20"/>
        </w:rPr>
        <w:t> </w:t>
      </w:r>
      <w:r>
        <w:rPr>
          <w:color w:val="231F1F"/>
          <w:w w:val="110"/>
          <w:sz w:val="20"/>
        </w:rPr>
        <w:t>Souza D,</w:t>
      </w:r>
      <w:r>
        <w:rPr>
          <w:color w:val="231F1F"/>
          <w:spacing w:val="-2"/>
          <w:w w:val="110"/>
          <w:sz w:val="20"/>
        </w:rPr>
        <w:t> </w:t>
      </w:r>
      <w:r>
        <w:rPr>
          <w:color w:val="231F1F"/>
          <w:w w:val="110"/>
          <w:sz w:val="20"/>
        </w:rPr>
        <w:t>McCormick</w:t>
      </w:r>
      <w:r>
        <w:rPr>
          <w:color w:val="231F1F"/>
          <w:spacing w:val="-1"/>
          <w:w w:val="110"/>
          <w:sz w:val="20"/>
        </w:rPr>
        <w:t> </w:t>
      </w:r>
      <w:r>
        <w:rPr>
          <w:color w:val="231F1F"/>
          <w:w w:val="110"/>
          <w:sz w:val="20"/>
        </w:rPr>
        <w:t>F,</w:t>
      </w:r>
      <w:r>
        <w:rPr>
          <w:color w:val="231F1F"/>
          <w:spacing w:val="-2"/>
          <w:w w:val="110"/>
          <w:sz w:val="20"/>
        </w:rPr>
        <w:t> </w:t>
      </w:r>
      <w:r>
        <w:rPr>
          <w:color w:val="231F1F"/>
          <w:w w:val="110"/>
          <w:sz w:val="20"/>
        </w:rPr>
        <w:t>Spiby</w:t>
      </w:r>
      <w:r>
        <w:rPr>
          <w:color w:val="231F1F"/>
          <w:spacing w:val="-1"/>
          <w:w w:val="110"/>
          <w:sz w:val="20"/>
        </w:rPr>
        <w:t> </w:t>
      </w:r>
      <w:r>
        <w:rPr>
          <w:color w:val="231F1F"/>
          <w:w w:val="110"/>
          <w:sz w:val="20"/>
        </w:rPr>
        <w:t>H.</w:t>
      </w:r>
      <w:r>
        <w:rPr>
          <w:color w:val="231F1F"/>
          <w:spacing w:val="-5"/>
          <w:w w:val="110"/>
          <w:sz w:val="20"/>
        </w:rPr>
        <w:t> </w:t>
      </w:r>
      <w:r>
        <w:rPr>
          <w:color w:val="231F1F"/>
          <w:w w:val="110"/>
          <w:sz w:val="20"/>
        </w:rPr>
        <w:t>The effectiveness</w:t>
      </w:r>
      <w:r>
        <w:rPr>
          <w:color w:val="231F1F"/>
          <w:spacing w:val="-1"/>
          <w:w w:val="110"/>
          <w:sz w:val="20"/>
        </w:rPr>
        <w:t> </w:t>
      </w:r>
      <w:r>
        <w:rPr>
          <w:color w:val="231F1F"/>
          <w:w w:val="110"/>
          <w:sz w:val="20"/>
        </w:rPr>
        <w:t>of public</w:t>
      </w:r>
      <w:r>
        <w:rPr>
          <w:color w:val="231F1F"/>
          <w:spacing w:val="-14"/>
          <w:w w:val="110"/>
          <w:sz w:val="20"/>
        </w:rPr>
        <w:t> </w:t>
      </w:r>
      <w:r>
        <w:rPr>
          <w:color w:val="231F1F"/>
          <w:w w:val="110"/>
          <w:sz w:val="20"/>
        </w:rPr>
        <w:t>health</w:t>
      </w:r>
      <w:r>
        <w:rPr>
          <w:color w:val="231F1F"/>
          <w:spacing w:val="-14"/>
          <w:w w:val="110"/>
          <w:sz w:val="20"/>
        </w:rPr>
        <w:t> </w:t>
      </w:r>
      <w:r>
        <w:rPr>
          <w:color w:val="231F1F"/>
          <w:w w:val="110"/>
          <w:sz w:val="20"/>
        </w:rPr>
        <w:t>interventions</w:t>
      </w:r>
      <w:r>
        <w:rPr>
          <w:color w:val="231F1F"/>
          <w:spacing w:val="-14"/>
          <w:w w:val="110"/>
          <w:sz w:val="20"/>
        </w:rPr>
        <w:t> </w:t>
      </w:r>
      <w:r>
        <w:rPr>
          <w:color w:val="231F1F"/>
          <w:w w:val="110"/>
          <w:sz w:val="20"/>
        </w:rPr>
        <w:t>to</w:t>
      </w:r>
      <w:r>
        <w:rPr>
          <w:color w:val="231F1F"/>
          <w:spacing w:val="-14"/>
          <w:w w:val="110"/>
          <w:sz w:val="20"/>
        </w:rPr>
        <w:t> </w:t>
      </w:r>
      <w:r>
        <w:rPr>
          <w:color w:val="231F1F"/>
          <w:w w:val="110"/>
          <w:sz w:val="20"/>
        </w:rPr>
        <w:t>promote</w:t>
      </w:r>
      <w:r>
        <w:rPr>
          <w:color w:val="231F1F"/>
          <w:spacing w:val="-13"/>
          <w:w w:val="110"/>
          <w:sz w:val="20"/>
        </w:rPr>
        <w:t> </w:t>
      </w:r>
      <w:r>
        <w:rPr>
          <w:color w:val="231F1F"/>
          <w:w w:val="110"/>
          <w:sz w:val="20"/>
        </w:rPr>
        <w:t>the</w:t>
      </w:r>
      <w:r>
        <w:rPr>
          <w:color w:val="231F1F"/>
          <w:spacing w:val="-14"/>
          <w:w w:val="110"/>
          <w:sz w:val="20"/>
        </w:rPr>
        <w:t> </w:t>
      </w:r>
      <w:r>
        <w:rPr>
          <w:color w:val="231F1F"/>
          <w:w w:val="110"/>
          <w:sz w:val="20"/>
        </w:rPr>
        <w:t>duration</w:t>
      </w:r>
      <w:r>
        <w:rPr>
          <w:color w:val="231F1F"/>
          <w:spacing w:val="-14"/>
          <w:w w:val="110"/>
          <w:sz w:val="20"/>
        </w:rPr>
        <w:t> </w:t>
      </w:r>
      <w:r>
        <w:rPr>
          <w:color w:val="231F1F"/>
          <w:w w:val="110"/>
          <w:sz w:val="20"/>
        </w:rPr>
        <w:t>of</w:t>
      </w:r>
      <w:r>
        <w:rPr>
          <w:color w:val="231F1F"/>
          <w:spacing w:val="-14"/>
          <w:w w:val="110"/>
          <w:sz w:val="20"/>
        </w:rPr>
        <w:t> </w:t>
      </w:r>
      <w:r>
        <w:rPr>
          <w:color w:val="231F1F"/>
          <w:w w:val="110"/>
          <w:sz w:val="20"/>
        </w:rPr>
        <w:t>breastfeeding:</w:t>
      </w:r>
      <w:r>
        <w:rPr>
          <w:color w:val="231F1F"/>
          <w:spacing w:val="-15"/>
          <w:w w:val="110"/>
          <w:sz w:val="20"/>
        </w:rPr>
        <w:t> </w:t>
      </w:r>
      <w:r>
        <w:rPr>
          <w:color w:val="231F1F"/>
          <w:w w:val="110"/>
          <w:sz w:val="20"/>
        </w:rPr>
        <w:t>systematic</w:t>
      </w:r>
      <w:r>
        <w:rPr>
          <w:color w:val="231F1F"/>
          <w:spacing w:val="-13"/>
          <w:w w:val="110"/>
          <w:sz w:val="20"/>
        </w:rPr>
        <w:t> </w:t>
      </w:r>
      <w:r>
        <w:rPr>
          <w:color w:val="231F1F"/>
          <w:w w:val="110"/>
          <w:sz w:val="20"/>
        </w:rPr>
        <w:t>review</w:t>
      </w:r>
      <w:r>
        <w:rPr>
          <w:color w:val="231F1F"/>
          <w:spacing w:val="-14"/>
          <w:w w:val="110"/>
          <w:sz w:val="20"/>
        </w:rPr>
        <w:t> </w:t>
      </w:r>
      <w:r>
        <w:rPr>
          <w:color w:val="231F1F"/>
          <w:w w:val="110"/>
          <w:sz w:val="20"/>
        </w:rPr>
        <w:t>Part</w:t>
      </w:r>
    </w:p>
    <w:p>
      <w:pPr>
        <w:spacing w:before="3"/>
        <w:ind w:left="798" w:right="0" w:firstLine="0"/>
        <w:jc w:val="left"/>
        <w:rPr>
          <w:sz w:val="20"/>
        </w:rPr>
      </w:pPr>
      <w:r>
        <w:rPr>
          <w:color w:val="231F1F"/>
          <w:w w:val="105"/>
          <w:sz w:val="20"/>
        </w:rPr>
        <w:t>1.</w:t>
      </w:r>
      <w:r>
        <w:rPr>
          <w:color w:val="231F1F"/>
          <w:spacing w:val="-10"/>
          <w:w w:val="105"/>
          <w:sz w:val="20"/>
        </w:rPr>
        <w:t> </w:t>
      </w:r>
      <w:r>
        <w:rPr>
          <w:color w:val="231F1F"/>
          <w:w w:val="105"/>
          <w:sz w:val="20"/>
        </w:rPr>
        <w:t>London:</w:t>
      </w:r>
      <w:r>
        <w:rPr>
          <w:color w:val="231F1F"/>
          <w:spacing w:val="-10"/>
          <w:w w:val="105"/>
          <w:sz w:val="20"/>
        </w:rPr>
        <w:t> </w:t>
      </w:r>
      <w:r>
        <w:rPr>
          <w:color w:val="231F1F"/>
          <w:w w:val="105"/>
          <w:sz w:val="20"/>
        </w:rPr>
        <w:t>National</w:t>
      </w:r>
      <w:r>
        <w:rPr>
          <w:color w:val="231F1F"/>
          <w:spacing w:val="3"/>
          <w:w w:val="105"/>
          <w:sz w:val="20"/>
        </w:rPr>
        <w:t> </w:t>
      </w:r>
      <w:r>
        <w:rPr>
          <w:color w:val="231F1F"/>
          <w:w w:val="105"/>
          <w:sz w:val="20"/>
        </w:rPr>
        <w:t>Institute</w:t>
      </w:r>
      <w:r>
        <w:rPr>
          <w:color w:val="231F1F"/>
          <w:spacing w:val="1"/>
          <w:w w:val="105"/>
          <w:sz w:val="20"/>
        </w:rPr>
        <w:t> </w:t>
      </w:r>
      <w:r>
        <w:rPr>
          <w:color w:val="231F1F"/>
          <w:w w:val="105"/>
          <w:sz w:val="20"/>
        </w:rPr>
        <w:t>for</w:t>
      </w:r>
      <w:r>
        <w:rPr>
          <w:color w:val="231F1F"/>
          <w:spacing w:val="4"/>
          <w:w w:val="105"/>
          <w:sz w:val="20"/>
        </w:rPr>
        <w:t> </w:t>
      </w:r>
      <w:r>
        <w:rPr>
          <w:color w:val="231F1F"/>
          <w:w w:val="105"/>
          <w:sz w:val="20"/>
        </w:rPr>
        <w:t>Health</w:t>
      </w:r>
      <w:r>
        <w:rPr>
          <w:color w:val="231F1F"/>
          <w:spacing w:val="1"/>
          <w:w w:val="105"/>
          <w:sz w:val="20"/>
        </w:rPr>
        <w:t> </w:t>
      </w:r>
      <w:r>
        <w:rPr>
          <w:color w:val="231F1F"/>
          <w:w w:val="105"/>
          <w:sz w:val="20"/>
        </w:rPr>
        <w:t>and</w:t>
      </w:r>
      <w:r>
        <w:rPr>
          <w:color w:val="231F1F"/>
          <w:spacing w:val="1"/>
          <w:w w:val="105"/>
          <w:sz w:val="20"/>
        </w:rPr>
        <w:t> </w:t>
      </w:r>
      <w:r>
        <w:rPr>
          <w:color w:val="231F1F"/>
          <w:w w:val="105"/>
          <w:sz w:val="20"/>
        </w:rPr>
        <w:t>Clinical</w:t>
      </w:r>
      <w:r>
        <w:rPr>
          <w:color w:val="231F1F"/>
          <w:spacing w:val="4"/>
          <w:w w:val="105"/>
          <w:sz w:val="20"/>
        </w:rPr>
        <w:t> </w:t>
      </w:r>
      <w:r>
        <w:rPr>
          <w:color w:val="231F1F"/>
          <w:w w:val="105"/>
          <w:sz w:val="20"/>
        </w:rPr>
        <w:t>Excellence</w:t>
      </w:r>
      <w:r>
        <w:rPr>
          <w:color w:val="231F1F"/>
          <w:spacing w:val="2"/>
          <w:w w:val="105"/>
          <w:sz w:val="20"/>
        </w:rPr>
        <w:t> </w:t>
      </w:r>
      <w:r>
        <w:rPr>
          <w:color w:val="231F1F"/>
          <w:spacing w:val="-2"/>
          <w:w w:val="105"/>
          <w:sz w:val="20"/>
        </w:rPr>
        <w:t>2005.</w:t>
      </w:r>
    </w:p>
    <w:p>
      <w:pPr>
        <w:pStyle w:val="ListParagraph"/>
        <w:numPr>
          <w:ilvl w:val="0"/>
          <w:numId w:val="109"/>
        </w:numPr>
        <w:tabs>
          <w:tab w:pos="793" w:val="left" w:leader="none"/>
          <w:tab w:pos="797" w:val="left" w:leader="none"/>
        </w:tabs>
        <w:spacing w:line="220" w:lineRule="auto" w:before="169" w:after="0"/>
        <w:ind w:left="797" w:right="124" w:hanging="522"/>
        <w:jc w:val="both"/>
        <w:rPr>
          <w:sz w:val="20"/>
        </w:rPr>
      </w:pPr>
      <w:r>
        <w:rPr>
          <w:color w:val="231F1F"/>
          <w:w w:val="110"/>
          <w:position w:val="1"/>
          <w:sz w:val="20"/>
        </w:rPr>
        <w:t>Jansson UM, Mustafa T, Khan MA, Linblad BS, Widström AM. The effects of medically- </w:t>
      </w:r>
      <w:r>
        <w:rPr>
          <w:color w:val="231F1F"/>
          <w:w w:val="110"/>
          <w:sz w:val="20"/>
        </w:rPr>
        <w:t>orientated</w:t>
      </w:r>
      <w:r>
        <w:rPr>
          <w:color w:val="231F1F"/>
          <w:spacing w:val="-3"/>
          <w:w w:val="110"/>
          <w:sz w:val="20"/>
        </w:rPr>
        <w:t> </w:t>
      </w:r>
      <w:r>
        <w:rPr>
          <w:color w:val="231F1F"/>
          <w:w w:val="110"/>
          <w:sz w:val="20"/>
        </w:rPr>
        <w:t>labour</w:t>
      </w:r>
      <w:r>
        <w:rPr>
          <w:color w:val="231F1F"/>
          <w:spacing w:val="-2"/>
          <w:w w:val="110"/>
          <w:sz w:val="20"/>
        </w:rPr>
        <w:t> </w:t>
      </w:r>
      <w:r>
        <w:rPr>
          <w:color w:val="231F1F"/>
          <w:w w:val="110"/>
          <w:sz w:val="20"/>
        </w:rPr>
        <w:t>ward</w:t>
      </w:r>
      <w:r>
        <w:rPr>
          <w:color w:val="231F1F"/>
          <w:spacing w:val="-3"/>
          <w:w w:val="110"/>
          <w:sz w:val="20"/>
        </w:rPr>
        <w:t> </w:t>
      </w:r>
      <w:r>
        <w:rPr>
          <w:color w:val="231F1F"/>
          <w:w w:val="110"/>
          <w:sz w:val="20"/>
        </w:rPr>
        <w:t>routines</w:t>
      </w:r>
      <w:r>
        <w:rPr>
          <w:color w:val="231F1F"/>
          <w:spacing w:val="-2"/>
          <w:w w:val="110"/>
          <w:sz w:val="20"/>
        </w:rPr>
        <w:t> </w:t>
      </w:r>
      <w:r>
        <w:rPr>
          <w:color w:val="231F1F"/>
          <w:w w:val="110"/>
          <w:sz w:val="20"/>
        </w:rPr>
        <w:t>on</w:t>
      </w:r>
      <w:r>
        <w:rPr>
          <w:color w:val="231F1F"/>
          <w:spacing w:val="-3"/>
          <w:w w:val="110"/>
          <w:sz w:val="20"/>
        </w:rPr>
        <w:t> </w:t>
      </w:r>
      <w:r>
        <w:rPr>
          <w:color w:val="231F1F"/>
          <w:w w:val="110"/>
          <w:sz w:val="20"/>
        </w:rPr>
        <w:t>prefeeding</w:t>
      </w:r>
      <w:r>
        <w:rPr>
          <w:color w:val="231F1F"/>
          <w:spacing w:val="-3"/>
          <w:w w:val="110"/>
          <w:sz w:val="20"/>
        </w:rPr>
        <w:t> </w:t>
      </w:r>
      <w:r>
        <w:rPr>
          <w:color w:val="231F1F"/>
          <w:w w:val="110"/>
          <w:sz w:val="20"/>
        </w:rPr>
        <w:t>behaviour</w:t>
      </w:r>
      <w:r>
        <w:rPr>
          <w:color w:val="231F1F"/>
          <w:spacing w:val="-2"/>
          <w:w w:val="110"/>
          <w:sz w:val="20"/>
        </w:rPr>
        <w:t> </w:t>
      </w:r>
      <w:r>
        <w:rPr>
          <w:color w:val="231F1F"/>
          <w:w w:val="110"/>
          <w:sz w:val="20"/>
        </w:rPr>
        <w:t>and</w:t>
      </w:r>
      <w:r>
        <w:rPr>
          <w:color w:val="231F1F"/>
          <w:spacing w:val="-3"/>
          <w:w w:val="110"/>
          <w:sz w:val="20"/>
        </w:rPr>
        <w:t> </w:t>
      </w:r>
      <w:r>
        <w:rPr>
          <w:color w:val="231F1F"/>
          <w:w w:val="110"/>
          <w:sz w:val="20"/>
        </w:rPr>
        <w:t>body</w:t>
      </w:r>
      <w:r>
        <w:rPr>
          <w:color w:val="231F1F"/>
          <w:spacing w:val="-3"/>
          <w:w w:val="110"/>
          <w:sz w:val="20"/>
        </w:rPr>
        <w:t> </w:t>
      </w:r>
      <w:r>
        <w:rPr>
          <w:color w:val="231F1F"/>
          <w:w w:val="110"/>
          <w:sz w:val="20"/>
        </w:rPr>
        <w:t>temperature</w:t>
      </w:r>
      <w:r>
        <w:rPr>
          <w:color w:val="231F1F"/>
          <w:spacing w:val="-2"/>
          <w:w w:val="110"/>
          <w:sz w:val="20"/>
        </w:rPr>
        <w:t> </w:t>
      </w:r>
      <w:r>
        <w:rPr>
          <w:color w:val="231F1F"/>
          <w:w w:val="110"/>
          <w:sz w:val="20"/>
        </w:rPr>
        <w:t>in</w:t>
      </w:r>
      <w:r>
        <w:rPr>
          <w:color w:val="231F1F"/>
          <w:spacing w:val="-3"/>
          <w:w w:val="110"/>
          <w:sz w:val="20"/>
        </w:rPr>
        <w:t> </w:t>
      </w:r>
      <w:r>
        <w:rPr>
          <w:color w:val="231F1F"/>
          <w:w w:val="110"/>
          <w:sz w:val="20"/>
        </w:rPr>
        <w:t>newborn infants. J Trop Pediatr 1995;41(6):360-3.</w:t>
      </w:r>
    </w:p>
    <w:p>
      <w:pPr>
        <w:pStyle w:val="ListParagraph"/>
        <w:numPr>
          <w:ilvl w:val="0"/>
          <w:numId w:val="109"/>
        </w:numPr>
        <w:tabs>
          <w:tab w:pos="794" w:val="left" w:leader="none"/>
          <w:tab w:pos="798" w:val="left" w:leader="none"/>
        </w:tabs>
        <w:spacing w:line="220" w:lineRule="auto" w:before="176" w:after="0"/>
        <w:ind w:left="798" w:right="121" w:hanging="502"/>
        <w:jc w:val="both"/>
        <w:rPr>
          <w:sz w:val="20"/>
        </w:rPr>
      </w:pPr>
      <w:r>
        <w:rPr>
          <w:color w:val="231F1F"/>
          <w:w w:val="105"/>
          <w:position w:val="1"/>
          <w:sz w:val="20"/>
        </w:rPr>
        <w:t>Valdés</w:t>
      </w:r>
      <w:r>
        <w:rPr>
          <w:color w:val="231F1F"/>
          <w:w w:val="105"/>
          <w:position w:val="1"/>
          <w:sz w:val="20"/>
        </w:rPr>
        <w:t> V.</w:t>
      </w:r>
      <w:r>
        <w:rPr>
          <w:color w:val="231F1F"/>
          <w:w w:val="105"/>
          <w:position w:val="1"/>
          <w:sz w:val="20"/>
        </w:rPr>
        <w:t> Como</w:t>
      </w:r>
      <w:r>
        <w:rPr>
          <w:color w:val="231F1F"/>
          <w:w w:val="105"/>
          <w:position w:val="1"/>
          <w:sz w:val="20"/>
        </w:rPr>
        <w:t> favorecer</w:t>
      </w:r>
      <w:r>
        <w:rPr>
          <w:color w:val="231F1F"/>
          <w:w w:val="105"/>
          <w:position w:val="1"/>
          <w:sz w:val="20"/>
        </w:rPr>
        <w:t> el</w:t>
      </w:r>
      <w:r>
        <w:rPr>
          <w:color w:val="231F1F"/>
          <w:w w:val="105"/>
          <w:position w:val="1"/>
          <w:sz w:val="20"/>
        </w:rPr>
        <w:t> establecimiento</w:t>
      </w:r>
      <w:r>
        <w:rPr>
          <w:color w:val="231F1F"/>
          <w:w w:val="105"/>
          <w:position w:val="1"/>
          <w:sz w:val="20"/>
        </w:rPr>
        <w:t> de</w:t>
      </w:r>
      <w:r>
        <w:rPr>
          <w:color w:val="231F1F"/>
          <w:w w:val="105"/>
          <w:position w:val="1"/>
          <w:sz w:val="20"/>
        </w:rPr>
        <w:t> una</w:t>
      </w:r>
      <w:r>
        <w:rPr>
          <w:color w:val="231F1F"/>
          <w:w w:val="105"/>
          <w:position w:val="1"/>
          <w:sz w:val="20"/>
        </w:rPr>
        <w:t> lactancia</w:t>
      </w:r>
      <w:r>
        <w:rPr>
          <w:color w:val="231F1F"/>
          <w:w w:val="105"/>
          <w:position w:val="1"/>
          <w:sz w:val="20"/>
        </w:rPr>
        <w:t> exitosa.</w:t>
      </w:r>
      <w:r>
        <w:rPr>
          <w:color w:val="231F1F"/>
          <w:w w:val="105"/>
          <w:position w:val="1"/>
          <w:sz w:val="20"/>
        </w:rPr>
        <w:t> [</w:t>
      </w:r>
      <w:r>
        <w:rPr>
          <w:color w:val="231F1F"/>
          <w:w w:val="105"/>
          <w:position w:val="1"/>
          <w:sz w:val="20"/>
        </w:rPr>
        <w:t> Citado</w:t>
      </w:r>
      <w:r>
        <w:rPr>
          <w:color w:val="231F1F"/>
          <w:w w:val="105"/>
          <w:position w:val="1"/>
          <w:sz w:val="20"/>
        </w:rPr>
        <w:t> 9</w:t>
      </w:r>
      <w:r>
        <w:rPr>
          <w:color w:val="231F1F"/>
          <w:w w:val="105"/>
          <w:position w:val="1"/>
          <w:sz w:val="20"/>
        </w:rPr>
        <w:t> jul] </w:t>
      </w:r>
      <w:r>
        <w:rPr>
          <w:color w:val="231F1F"/>
          <w:w w:val="105"/>
          <w:sz w:val="20"/>
        </w:rPr>
        <w:t>2008;Disponible</w:t>
      </w:r>
      <w:r>
        <w:rPr>
          <w:color w:val="231F1F"/>
          <w:w w:val="105"/>
          <w:sz w:val="20"/>
        </w:rPr>
        <w:t> en:</w:t>
      </w:r>
      <w:r>
        <w:rPr>
          <w:color w:val="231F1F"/>
          <w:w w:val="105"/>
          <w:sz w:val="20"/>
        </w:rPr>
        <w:t> </w:t>
      </w:r>
      <w:hyperlink r:id="rId108">
        <w:r>
          <w:rPr>
            <w:color w:val="A30046"/>
            <w:w w:val="105"/>
            <w:sz w:val="20"/>
          </w:rPr>
          <w:t>http://www.unicef.cl/lactancia/docs/mod06/Mod%206%20Diez%20</w:t>
        </w:r>
      </w:hyperlink>
      <w:r>
        <w:rPr>
          <w:color w:val="A30046"/>
          <w:w w:val="105"/>
          <w:sz w:val="20"/>
        </w:rPr>
        <w:t> </w:t>
      </w:r>
      <w:r>
        <w:rPr>
          <w:color w:val="A30046"/>
          <w:spacing w:val="-2"/>
          <w:w w:val="105"/>
          <w:sz w:val="20"/>
        </w:rPr>
        <w:t>pasos.pdf</w:t>
      </w:r>
      <w:r>
        <w:rPr>
          <w:color w:val="231F1F"/>
          <w:spacing w:val="-2"/>
          <w:w w:val="105"/>
          <w:sz w:val="20"/>
        </w:rPr>
        <w:t>.</w:t>
      </w:r>
    </w:p>
    <w:p>
      <w:pPr>
        <w:pStyle w:val="ListParagraph"/>
        <w:numPr>
          <w:ilvl w:val="0"/>
          <w:numId w:val="109"/>
        </w:numPr>
        <w:tabs>
          <w:tab w:pos="793" w:val="left" w:leader="none"/>
          <w:tab w:pos="797" w:val="left" w:leader="none"/>
        </w:tabs>
        <w:spacing w:line="218" w:lineRule="auto" w:before="182" w:after="0"/>
        <w:ind w:left="797" w:right="120" w:hanging="502"/>
        <w:jc w:val="both"/>
        <w:rPr>
          <w:sz w:val="20"/>
        </w:rPr>
      </w:pPr>
      <w:r>
        <w:rPr>
          <w:color w:val="231F1F"/>
          <w:w w:val="110"/>
          <w:position w:val="1"/>
          <w:sz w:val="20"/>
        </w:rPr>
        <w:t>American</w:t>
      </w:r>
      <w:r>
        <w:rPr>
          <w:color w:val="231F1F"/>
          <w:w w:val="110"/>
          <w:position w:val="1"/>
          <w:sz w:val="20"/>
        </w:rPr>
        <w:t> Academy</w:t>
      </w:r>
      <w:r>
        <w:rPr>
          <w:color w:val="231F1F"/>
          <w:w w:val="110"/>
          <w:position w:val="1"/>
          <w:sz w:val="20"/>
        </w:rPr>
        <w:t> of</w:t>
      </w:r>
      <w:r>
        <w:rPr>
          <w:color w:val="231F1F"/>
          <w:w w:val="110"/>
          <w:position w:val="1"/>
          <w:sz w:val="20"/>
        </w:rPr>
        <w:t> Pediatrics</w:t>
      </w:r>
      <w:r>
        <w:rPr>
          <w:color w:val="231F1F"/>
          <w:w w:val="110"/>
          <w:position w:val="1"/>
          <w:sz w:val="20"/>
        </w:rPr>
        <w:t> and</w:t>
      </w:r>
      <w:r>
        <w:rPr>
          <w:color w:val="231F1F"/>
          <w:w w:val="110"/>
          <w:position w:val="1"/>
          <w:sz w:val="20"/>
        </w:rPr>
        <w:t> the</w:t>
      </w:r>
      <w:r>
        <w:rPr>
          <w:color w:val="231F1F"/>
          <w:w w:val="110"/>
          <w:position w:val="1"/>
          <w:sz w:val="20"/>
        </w:rPr>
        <w:t> American</w:t>
      </w:r>
      <w:r>
        <w:rPr>
          <w:color w:val="231F1F"/>
          <w:w w:val="110"/>
          <w:position w:val="1"/>
          <w:sz w:val="20"/>
        </w:rPr>
        <w:t> College</w:t>
      </w:r>
      <w:r>
        <w:rPr>
          <w:color w:val="231F1F"/>
          <w:w w:val="110"/>
          <w:position w:val="1"/>
          <w:sz w:val="20"/>
        </w:rPr>
        <w:t> of</w:t>
      </w:r>
      <w:r>
        <w:rPr>
          <w:color w:val="231F1F"/>
          <w:w w:val="110"/>
          <w:position w:val="1"/>
          <w:sz w:val="20"/>
        </w:rPr>
        <w:t> Obstetricians</w:t>
      </w:r>
      <w:r>
        <w:rPr>
          <w:color w:val="231F1F"/>
          <w:w w:val="110"/>
          <w:position w:val="1"/>
          <w:sz w:val="20"/>
        </w:rPr>
        <w:t> and </w:t>
      </w:r>
      <w:r>
        <w:rPr>
          <w:color w:val="231F1F"/>
          <w:spacing w:val="-2"/>
          <w:w w:val="110"/>
          <w:sz w:val="20"/>
        </w:rPr>
        <w:t>Gynecologists.</w:t>
      </w:r>
      <w:r>
        <w:rPr>
          <w:color w:val="231F1F"/>
          <w:spacing w:val="-5"/>
          <w:w w:val="110"/>
          <w:sz w:val="20"/>
        </w:rPr>
        <w:t> </w:t>
      </w:r>
      <w:r>
        <w:rPr>
          <w:color w:val="231F1F"/>
          <w:spacing w:val="-2"/>
          <w:w w:val="110"/>
          <w:sz w:val="20"/>
        </w:rPr>
        <w:t>Guidelines</w:t>
      </w:r>
      <w:r>
        <w:rPr>
          <w:color w:val="231F1F"/>
          <w:spacing w:val="-3"/>
          <w:w w:val="110"/>
          <w:sz w:val="20"/>
        </w:rPr>
        <w:t> </w:t>
      </w:r>
      <w:r>
        <w:rPr>
          <w:color w:val="231F1F"/>
          <w:spacing w:val="-2"/>
          <w:w w:val="110"/>
          <w:sz w:val="20"/>
        </w:rPr>
        <w:t>for</w:t>
      </w:r>
      <w:r>
        <w:rPr>
          <w:color w:val="231F1F"/>
          <w:spacing w:val="-3"/>
          <w:w w:val="110"/>
          <w:sz w:val="20"/>
        </w:rPr>
        <w:t> </w:t>
      </w:r>
      <w:r>
        <w:rPr>
          <w:color w:val="231F1F"/>
          <w:spacing w:val="-2"/>
          <w:w w:val="110"/>
          <w:sz w:val="20"/>
        </w:rPr>
        <w:t>perinatal</w:t>
      </w:r>
      <w:r>
        <w:rPr>
          <w:color w:val="231F1F"/>
          <w:spacing w:val="-3"/>
          <w:w w:val="110"/>
          <w:sz w:val="20"/>
        </w:rPr>
        <w:t> </w:t>
      </w:r>
      <w:r>
        <w:rPr>
          <w:color w:val="231F1F"/>
          <w:spacing w:val="-2"/>
          <w:w w:val="110"/>
          <w:sz w:val="20"/>
        </w:rPr>
        <w:t>care,</w:t>
      </w:r>
      <w:r>
        <w:rPr>
          <w:color w:val="231F1F"/>
          <w:spacing w:val="-6"/>
          <w:w w:val="110"/>
          <w:sz w:val="20"/>
        </w:rPr>
        <w:t> </w:t>
      </w:r>
      <w:r>
        <w:rPr>
          <w:color w:val="231F1F"/>
          <w:spacing w:val="-2"/>
          <w:w w:val="110"/>
          <w:sz w:val="20"/>
        </w:rPr>
        <w:t>4th</w:t>
      </w:r>
      <w:r>
        <w:rPr>
          <w:color w:val="231F1F"/>
          <w:spacing w:val="-3"/>
          <w:w w:val="110"/>
          <w:sz w:val="20"/>
        </w:rPr>
        <w:t> </w:t>
      </w:r>
      <w:r>
        <w:rPr>
          <w:color w:val="231F1F"/>
          <w:spacing w:val="-2"/>
          <w:w w:val="110"/>
          <w:sz w:val="20"/>
        </w:rPr>
        <w:t>edn.</w:t>
      </w:r>
      <w:r>
        <w:rPr>
          <w:color w:val="231F1F"/>
          <w:spacing w:val="-5"/>
          <w:w w:val="110"/>
          <w:sz w:val="20"/>
        </w:rPr>
        <w:t> </w:t>
      </w:r>
      <w:r>
        <w:rPr>
          <w:color w:val="231F1F"/>
          <w:spacing w:val="-2"/>
          <w:w w:val="110"/>
          <w:sz w:val="20"/>
        </w:rPr>
        <w:t>Elk</w:t>
      </w:r>
      <w:r>
        <w:rPr>
          <w:color w:val="231F1F"/>
          <w:spacing w:val="-3"/>
          <w:w w:val="110"/>
          <w:sz w:val="20"/>
        </w:rPr>
        <w:t> </w:t>
      </w:r>
      <w:r>
        <w:rPr>
          <w:color w:val="231F1F"/>
          <w:spacing w:val="-2"/>
          <w:w w:val="110"/>
          <w:sz w:val="20"/>
        </w:rPr>
        <w:t>Grove</w:t>
      </w:r>
      <w:r>
        <w:rPr>
          <w:color w:val="231F1F"/>
          <w:spacing w:val="-5"/>
          <w:w w:val="110"/>
          <w:sz w:val="20"/>
        </w:rPr>
        <w:t> </w:t>
      </w:r>
      <w:r>
        <w:rPr>
          <w:color w:val="231F1F"/>
          <w:spacing w:val="-2"/>
          <w:w w:val="110"/>
          <w:sz w:val="20"/>
        </w:rPr>
        <w:t>Village,</w:t>
      </w:r>
      <w:r>
        <w:rPr>
          <w:color w:val="231F1F"/>
          <w:spacing w:val="-5"/>
          <w:w w:val="110"/>
          <w:sz w:val="20"/>
        </w:rPr>
        <w:t> </w:t>
      </w:r>
      <w:r>
        <w:rPr>
          <w:color w:val="231F1F"/>
          <w:spacing w:val="-2"/>
          <w:w w:val="110"/>
          <w:sz w:val="20"/>
        </w:rPr>
        <w:t>IL,USA:</w:t>
      </w:r>
      <w:r>
        <w:rPr>
          <w:color w:val="231F1F"/>
          <w:spacing w:val="-5"/>
          <w:w w:val="110"/>
          <w:sz w:val="20"/>
        </w:rPr>
        <w:t> </w:t>
      </w:r>
      <w:r>
        <w:rPr>
          <w:color w:val="231F1F"/>
          <w:spacing w:val="-2"/>
          <w:w w:val="110"/>
          <w:sz w:val="20"/>
        </w:rPr>
        <w:t>American </w:t>
      </w:r>
      <w:r>
        <w:rPr>
          <w:color w:val="231F1F"/>
          <w:w w:val="110"/>
          <w:sz w:val="20"/>
        </w:rPr>
        <w:t>Academy of Pediatrics, 1997;117-18.</w:t>
      </w:r>
    </w:p>
    <w:p>
      <w:pPr>
        <w:pStyle w:val="ListParagraph"/>
        <w:numPr>
          <w:ilvl w:val="0"/>
          <w:numId w:val="109"/>
        </w:numPr>
        <w:tabs>
          <w:tab w:pos="794" w:val="left" w:leader="none"/>
          <w:tab w:pos="798" w:val="left" w:leader="none"/>
        </w:tabs>
        <w:spacing w:line="220" w:lineRule="auto" w:before="196" w:after="0"/>
        <w:ind w:left="798" w:right="280" w:hanging="502"/>
        <w:jc w:val="left"/>
        <w:rPr>
          <w:sz w:val="20"/>
        </w:rPr>
      </w:pPr>
      <w:r>
        <w:rPr>
          <w:color w:val="231F1F"/>
          <w:w w:val="105"/>
          <w:sz w:val="20"/>
        </w:rPr>
        <w:t>Wiswell</w:t>
      </w:r>
      <w:r>
        <w:rPr>
          <w:color w:val="231F1F"/>
          <w:spacing w:val="34"/>
          <w:w w:val="105"/>
          <w:sz w:val="20"/>
        </w:rPr>
        <w:t> </w:t>
      </w:r>
      <w:r>
        <w:rPr>
          <w:color w:val="231F1F"/>
          <w:w w:val="105"/>
          <w:sz w:val="20"/>
        </w:rPr>
        <w:t>TE,</w:t>
      </w:r>
      <w:r>
        <w:rPr>
          <w:color w:val="231F1F"/>
          <w:spacing w:val="34"/>
          <w:w w:val="105"/>
          <w:sz w:val="20"/>
        </w:rPr>
        <w:t> </w:t>
      </w:r>
      <w:r>
        <w:rPr>
          <w:color w:val="231F1F"/>
          <w:w w:val="105"/>
          <w:sz w:val="20"/>
        </w:rPr>
        <w:t>Tuggle</w:t>
      </w:r>
      <w:r>
        <w:rPr>
          <w:color w:val="231F1F"/>
          <w:spacing w:val="40"/>
          <w:w w:val="105"/>
          <w:sz w:val="20"/>
        </w:rPr>
        <w:t> </w:t>
      </w:r>
      <w:r>
        <w:rPr>
          <w:color w:val="231F1F"/>
          <w:w w:val="105"/>
          <w:sz w:val="20"/>
        </w:rPr>
        <w:t>JM,</w:t>
      </w:r>
      <w:r>
        <w:rPr>
          <w:color w:val="231F1F"/>
          <w:spacing w:val="34"/>
          <w:w w:val="105"/>
          <w:sz w:val="20"/>
        </w:rPr>
        <w:t> </w:t>
      </w:r>
      <w:r>
        <w:rPr>
          <w:color w:val="231F1F"/>
          <w:w w:val="105"/>
          <w:sz w:val="20"/>
        </w:rPr>
        <w:t>Turner</w:t>
      </w:r>
      <w:r>
        <w:rPr>
          <w:color w:val="231F1F"/>
          <w:spacing w:val="40"/>
          <w:w w:val="105"/>
          <w:sz w:val="20"/>
        </w:rPr>
        <w:t> </w:t>
      </w:r>
      <w:r>
        <w:rPr>
          <w:color w:val="231F1F"/>
          <w:w w:val="105"/>
          <w:sz w:val="20"/>
        </w:rPr>
        <w:t>BS.</w:t>
      </w:r>
      <w:r>
        <w:rPr>
          <w:color w:val="231F1F"/>
          <w:spacing w:val="34"/>
          <w:w w:val="105"/>
          <w:sz w:val="20"/>
        </w:rPr>
        <w:t> </w:t>
      </w:r>
      <w:r>
        <w:rPr>
          <w:color w:val="231F1F"/>
          <w:w w:val="105"/>
          <w:sz w:val="20"/>
        </w:rPr>
        <w:t>Meconium</w:t>
      </w:r>
      <w:r>
        <w:rPr>
          <w:color w:val="231F1F"/>
          <w:spacing w:val="40"/>
          <w:w w:val="105"/>
          <w:sz w:val="20"/>
        </w:rPr>
        <w:t> </w:t>
      </w:r>
      <w:r>
        <w:rPr>
          <w:color w:val="231F1F"/>
          <w:w w:val="105"/>
          <w:sz w:val="20"/>
        </w:rPr>
        <w:t>aspiration</w:t>
      </w:r>
      <w:r>
        <w:rPr>
          <w:color w:val="231F1F"/>
          <w:spacing w:val="40"/>
          <w:w w:val="105"/>
          <w:sz w:val="20"/>
        </w:rPr>
        <w:t> </w:t>
      </w:r>
      <w:r>
        <w:rPr>
          <w:color w:val="231F1F"/>
          <w:w w:val="105"/>
          <w:sz w:val="20"/>
        </w:rPr>
        <w:t>syndrome-have</w:t>
      </w:r>
      <w:r>
        <w:rPr>
          <w:color w:val="231F1F"/>
          <w:spacing w:val="40"/>
          <w:w w:val="105"/>
          <w:sz w:val="20"/>
        </w:rPr>
        <w:t> </w:t>
      </w:r>
      <w:r>
        <w:rPr>
          <w:color w:val="231F1F"/>
          <w:w w:val="105"/>
          <w:sz w:val="20"/>
        </w:rPr>
        <w:t>we</w:t>
      </w:r>
      <w:r>
        <w:rPr>
          <w:color w:val="231F1F"/>
          <w:spacing w:val="40"/>
          <w:w w:val="105"/>
          <w:sz w:val="20"/>
        </w:rPr>
        <w:t> </w:t>
      </w:r>
      <w:r>
        <w:rPr>
          <w:color w:val="231F1F"/>
          <w:w w:val="105"/>
          <w:sz w:val="20"/>
        </w:rPr>
        <w:t>made</w:t>
      </w:r>
      <w:r>
        <w:rPr>
          <w:color w:val="231F1F"/>
          <w:spacing w:val="40"/>
          <w:w w:val="105"/>
          <w:sz w:val="20"/>
        </w:rPr>
        <w:t> </w:t>
      </w:r>
      <w:r>
        <w:rPr>
          <w:color w:val="231F1F"/>
          <w:w w:val="105"/>
          <w:sz w:val="20"/>
        </w:rPr>
        <w:t>a difference? Pediatrics 1990;85:715-21.</w:t>
      </w:r>
    </w:p>
    <w:p>
      <w:pPr>
        <w:pStyle w:val="ListParagraph"/>
        <w:numPr>
          <w:ilvl w:val="0"/>
          <w:numId w:val="109"/>
        </w:numPr>
        <w:tabs>
          <w:tab w:pos="795" w:val="left" w:leader="none"/>
          <w:tab w:pos="798" w:val="left" w:leader="none"/>
        </w:tabs>
        <w:spacing w:line="230" w:lineRule="auto" w:before="179" w:after="0"/>
        <w:ind w:left="798" w:right="351" w:hanging="509"/>
        <w:jc w:val="left"/>
        <w:rPr>
          <w:sz w:val="20"/>
        </w:rPr>
      </w:pPr>
      <w:r>
        <w:rPr>
          <w:color w:val="231F1F"/>
          <w:sz w:val="20"/>
        </w:rPr>
        <w:t>Carson</w:t>
      </w:r>
      <w:r>
        <w:rPr>
          <w:color w:val="231F1F"/>
          <w:spacing w:val="20"/>
          <w:sz w:val="20"/>
        </w:rPr>
        <w:t> </w:t>
      </w:r>
      <w:r>
        <w:rPr>
          <w:color w:val="231F1F"/>
          <w:sz w:val="20"/>
        </w:rPr>
        <w:t>BS,</w:t>
      </w:r>
      <w:r>
        <w:rPr>
          <w:color w:val="231F1F"/>
          <w:spacing w:val="-6"/>
          <w:sz w:val="20"/>
        </w:rPr>
        <w:t> </w:t>
      </w:r>
      <w:r>
        <w:rPr>
          <w:color w:val="231F1F"/>
          <w:sz w:val="20"/>
        </w:rPr>
        <w:t>Losey</w:t>
      </w:r>
      <w:r>
        <w:rPr>
          <w:color w:val="231F1F"/>
          <w:spacing w:val="20"/>
          <w:sz w:val="20"/>
        </w:rPr>
        <w:t> </w:t>
      </w:r>
      <w:r>
        <w:rPr>
          <w:color w:val="231F1F"/>
          <w:sz w:val="20"/>
        </w:rPr>
        <w:t>RW,</w:t>
      </w:r>
      <w:r>
        <w:rPr>
          <w:color w:val="231F1F"/>
          <w:spacing w:val="-6"/>
          <w:sz w:val="20"/>
        </w:rPr>
        <w:t> </w:t>
      </w:r>
      <w:r>
        <w:rPr>
          <w:color w:val="231F1F"/>
          <w:sz w:val="20"/>
        </w:rPr>
        <w:t>Bowes</w:t>
      </w:r>
      <w:r>
        <w:rPr>
          <w:color w:val="231F1F"/>
          <w:spacing w:val="-6"/>
          <w:sz w:val="20"/>
        </w:rPr>
        <w:t> </w:t>
      </w:r>
      <w:r>
        <w:rPr>
          <w:color w:val="231F1F"/>
          <w:sz w:val="20"/>
        </w:rPr>
        <w:t>WA,</w:t>
      </w:r>
      <w:r>
        <w:rPr>
          <w:color w:val="231F1F"/>
          <w:spacing w:val="-6"/>
          <w:sz w:val="20"/>
        </w:rPr>
        <w:t> </w:t>
      </w:r>
      <w:r>
        <w:rPr>
          <w:color w:val="231F1F"/>
          <w:sz w:val="20"/>
        </w:rPr>
        <w:t>Simmons</w:t>
      </w:r>
      <w:r>
        <w:rPr>
          <w:color w:val="231F1F"/>
          <w:spacing w:val="20"/>
          <w:sz w:val="20"/>
        </w:rPr>
        <w:t> </w:t>
      </w:r>
      <w:r>
        <w:rPr>
          <w:color w:val="231F1F"/>
          <w:sz w:val="20"/>
        </w:rPr>
        <w:t>MA.</w:t>
      </w:r>
      <w:r>
        <w:rPr>
          <w:color w:val="231F1F"/>
          <w:spacing w:val="-6"/>
          <w:sz w:val="20"/>
        </w:rPr>
        <w:t> </w:t>
      </w:r>
      <w:r>
        <w:rPr>
          <w:color w:val="231F1F"/>
          <w:sz w:val="20"/>
        </w:rPr>
        <w:t>Combined</w:t>
      </w:r>
      <w:r>
        <w:rPr>
          <w:color w:val="231F1F"/>
          <w:spacing w:val="20"/>
          <w:sz w:val="20"/>
        </w:rPr>
        <w:t> </w:t>
      </w:r>
      <w:r>
        <w:rPr>
          <w:color w:val="231F1F"/>
          <w:sz w:val="20"/>
        </w:rPr>
        <w:t>obstetric</w:t>
      </w:r>
      <w:r>
        <w:rPr>
          <w:color w:val="231F1F"/>
          <w:spacing w:val="20"/>
          <w:sz w:val="20"/>
        </w:rPr>
        <w:t> </w:t>
      </w:r>
      <w:r>
        <w:rPr>
          <w:color w:val="231F1F"/>
          <w:sz w:val="20"/>
        </w:rPr>
        <w:t>and</w:t>
      </w:r>
      <w:r>
        <w:rPr>
          <w:color w:val="231F1F"/>
          <w:spacing w:val="20"/>
          <w:sz w:val="20"/>
        </w:rPr>
        <w:t> </w:t>
      </w:r>
      <w:r>
        <w:rPr>
          <w:color w:val="231F1F"/>
          <w:sz w:val="20"/>
        </w:rPr>
        <w:t>pediatric</w:t>
      </w:r>
      <w:r>
        <w:rPr>
          <w:color w:val="231F1F"/>
          <w:spacing w:val="20"/>
          <w:sz w:val="20"/>
        </w:rPr>
        <w:t> </w:t>
      </w:r>
      <w:r>
        <w:rPr>
          <w:color w:val="231F1F"/>
          <w:sz w:val="20"/>
        </w:rPr>
        <w:t>approach to</w:t>
      </w:r>
      <w:r>
        <w:rPr>
          <w:color w:val="231F1F"/>
          <w:spacing w:val="34"/>
          <w:sz w:val="20"/>
        </w:rPr>
        <w:t> </w:t>
      </w:r>
      <w:r>
        <w:rPr>
          <w:color w:val="231F1F"/>
          <w:sz w:val="20"/>
        </w:rPr>
        <w:t>prevent</w:t>
      </w:r>
      <w:r>
        <w:rPr>
          <w:color w:val="231F1F"/>
          <w:spacing w:val="80"/>
          <w:sz w:val="20"/>
        </w:rPr>
        <w:t> </w:t>
      </w:r>
      <w:r>
        <w:rPr>
          <w:color w:val="231F1F"/>
          <w:sz w:val="20"/>
        </w:rPr>
        <w:t>meconium</w:t>
      </w:r>
      <w:r>
        <w:rPr>
          <w:color w:val="231F1F"/>
          <w:spacing w:val="80"/>
          <w:sz w:val="20"/>
        </w:rPr>
        <w:t> </w:t>
      </w:r>
      <w:r>
        <w:rPr>
          <w:color w:val="231F1F"/>
          <w:sz w:val="20"/>
        </w:rPr>
        <w:t>aspiration</w:t>
      </w:r>
      <w:r>
        <w:rPr>
          <w:color w:val="231F1F"/>
          <w:spacing w:val="80"/>
          <w:sz w:val="20"/>
        </w:rPr>
        <w:t> </w:t>
      </w:r>
      <w:r>
        <w:rPr>
          <w:color w:val="231F1F"/>
          <w:sz w:val="20"/>
        </w:rPr>
        <w:t>syndrome.</w:t>
      </w:r>
      <w:r>
        <w:rPr>
          <w:color w:val="231F1F"/>
          <w:spacing w:val="32"/>
          <w:sz w:val="20"/>
        </w:rPr>
        <w:t> </w:t>
      </w:r>
      <w:r>
        <w:rPr>
          <w:color w:val="231F1F"/>
          <w:sz w:val="20"/>
        </w:rPr>
        <w:t>Am</w:t>
      </w:r>
      <w:r>
        <w:rPr>
          <w:color w:val="231F1F"/>
          <w:spacing w:val="80"/>
          <w:sz w:val="20"/>
        </w:rPr>
        <w:t> </w:t>
      </w:r>
      <w:r>
        <w:rPr>
          <w:color w:val="231F1F"/>
          <w:sz w:val="20"/>
        </w:rPr>
        <w:t>J</w:t>
      </w:r>
      <w:r>
        <w:rPr>
          <w:color w:val="231F1F"/>
          <w:spacing w:val="80"/>
          <w:sz w:val="20"/>
        </w:rPr>
        <w:t> </w:t>
      </w:r>
      <w:r>
        <w:rPr>
          <w:color w:val="231F1F"/>
          <w:sz w:val="20"/>
        </w:rPr>
        <w:t>Obstet</w:t>
      </w:r>
      <w:r>
        <w:rPr>
          <w:color w:val="231F1F"/>
          <w:spacing w:val="80"/>
          <w:sz w:val="20"/>
        </w:rPr>
        <w:t> </w:t>
      </w:r>
      <w:r>
        <w:rPr>
          <w:color w:val="231F1F"/>
          <w:sz w:val="20"/>
        </w:rPr>
        <w:t>Gynecol</w:t>
      </w:r>
      <w:r>
        <w:rPr>
          <w:color w:val="231F1F"/>
          <w:spacing w:val="80"/>
          <w:sz w:val="20"/>
        </w:rPr>
        <w:t> </w:t>
      </w:r>
      <w:r>
        <w:rPr>
          <w:color w:val="231F1F"/>
          <w:sz w:val="20"/>
        </w:rPr>
        <w:t>1976;126:712-15.</w:t>
      </w:r>
    </w:p>
    <w:p>
      <w:pPr>
        <w:pStyle w:val="ListParagraph"/>
        <w:numPr>
          <w:ilvl w:val="0"/>
          <w:numId w:val="109"/>
        </w:numPr>
        <w:tabs>
          <w:tab w:pos="794" w:val="left" w:leader="none"/>
          <w:tab w:pos="798" w:val="left" w:leader="none"/>
        </w:tabs>
        <w:spacing w:line="211" w:lineRule="auto" w:before="168" w:after="0"/>
        <w:ind w:left="798" w:right="235" w:hanging="502"/>
        <w:jc w:val="left"/>
        <w:rPr>
          <w:sz w:val="20"/>
        </w:rPr>
      </w:pPr>
      <w:r>
        <w:rPr>
          <w:color w:val="231F1F"/>
          <w:w w:val="105"/>
          <w:position w:val="1"/>
          <w:sz w:val="20"/>
        </w:rPr>
        <w:t>Falciglia</w:t>
      </w:r>
      <w:r>
        <w:rPr>
          <w:color w:val="231F1F"/>
          <w:spacing w:val="-14"/>
          <w:w w:val="105"/>
          <w:position w:val="1"/>
          <w:sz w:val="20"/>
        </w:rPr>
        <w:t> </w:t>
      </w:r>
      <w:r>
        <w:rPr>
          <w:color w:val="231F1F"/>
          <w:w w:val="105"/>
          <w:position w:val="1"/>
          <w:sz w:val="20"/>
        </w:rPr>
        <w:t>HS.</w:t>
      </w:r>
      <w:r>
        <w:rPr>
          <w:color w:val="231F1F"/>
          <w:spacing w:val="-13"/>
          <w:w w:val="105"/>
          <w:position w:val="1"/>
          <w:sz w:val="20"/>
        </w:rPr>
        <w:t> </w:t>
      </w:r>
      <w:r>
        <w:rPr>
          <w:color w:val="231F1F"/>
          <w:w w:val="105"/>
          <w:position w:val="1"/>
          <w:sz w:val="20"/>
        </w:rPr>
        <w:t>Failure</w:t>
      </w:r>
      <w:r>
        <w:rPr>
          <w:color w:val="231F1F"/>
          <w:spacing w:val="-10"/>
          <w:w w:val="105"/>
          <w:position w:val="1"/>
          <w:sz w:val="20"/>
        </w:rPr>
        <w:t> </w:t>
      </w:r>
      <w:r>
        <w:rPr>
          <w:color w:val="231F1F"/>
          <w:w w:val="105"/>
          <w:position w:val="1"/>
          <w:sz w:val="20"/>
        </w:rPr>
        <w:t>to</w:t>
      </w:r>
      <w:r>
        <w:rPr>
          <w:color w:val="231F1F"/>
          <w:spacing w:val="-10"/>
          <w:w w:val="105"/>
          <w:position w:val="1"/>
          <w:sz w:val="20"/>
        </w:rPr>
        <w:t> </w:t>
      </w:r>
      <w:r>
        <w:rPr>
          <w:color w:val="231F1F"/>
          <w:w w:val="105"/>
          <w:position w:val="1"/>
          <w:sz w:val="20"/>
        </w:rPr>
        <w:t>prevent</w:t>
      </w:r>
      <w:r>
        <w:rPr>
          <w:color w:val="231F1F"/>
          <w:spacing w:val="-8"/>
          <w:w w:val="105"/>
          <w:position w:val="1"/>
          <w:sz w:val="20"/>
        </w:rPr>
        <w:t> </w:t>
      </w:r>
      <w:r>
        <w:rPr>
          <w:color w:val="231F1F"/>
          <w:w w:val="105"/>
          <w:position w:val="1"/>
          <w:sz w:val="20"/>
        </w:rPr>
        <w:t>meconium</w:t>
      </w:r>
      <w:r>
        <w:rPr>
          <w:color w:val="231F1F"/>
          <w:spacing w:val="-10"/>
          <w:w w:val="105"/>
          <w:position w:val="1"/>
          <w:sz w:val="20"/>
        </w:rPr>
        <w:t> </w:t>
      </w:r>
      <w:r>
        <w:rPr>
          <w:color w:val="231F1F"/>
          <w:w w:val="105"/>
          <w:position w:val="1"/>
          <w:sz w:val="20"/>
        </w:rPr>
        <w:t>aspiration</w:t>
      </w:r>
      <w:r>
        <w:rPr>
          <w:color w:val="231F1F"/>
          <w:spacing w:val="-10"/>
          <w:w w:val="105"/>
          <w:position w:val="1"/>
          <w:sz w:val="20"/>
        </w:rPr>
        <w:t> </w:t>
      </w:r>
      <w:r>
        <w:rPr>
          <w:color w:val="231F1F"/>
          <w:w w:val="105"/>
          <w:position w:val="1"/>
          <w:sz w:val="20"/>
        </w:rPr>
        <w:t>syndrome.</w:t>
      </w:r>
      <w:r>
        <w:rPr>
          <w:color w:val="231F1F"/>
          <w:spacing w:val="-14"/>
          <w:w w:val="105"/>
          <w:position w:val="1"/>
          <w:sz w:val="20"/>
        </w:rPr>
        <w:t> </w:t>
      </w:r>
      <w:r>
        <w:rPr>
          <w:color w:val="231F1F"/>
          <w:w w:val="105"/>
          <w:position w:val="1"/>
          <w:sz w:val="20"/>
        </w:rPr>
        <w:t>Obstet</w:t>
      </w:r>
      <w:r>
        <w:rPr>
          <w:color w:val="231F1F"/>
          <w:spacing w:val="-7"/>
          <w:w w:val="105"/>
          <w:position w:val="1"/>
          <w:sz w:val="20"/>
        </w:rPr>
        <w:t> </w:t>
      </w:r>
      <w:r>
        <w:rPr>
          <w:color w:val="231F1F"/>
          <w:w w:val="105"/>
          <w:position w:val="1"/>
          <w:sz w:val="20"/>
        </w:rPr>
        <w:t>Gynecol</w:t>
      </w:r>
      <w:r>
        <w:rPr>
          <w:color w:val="231F1F"/>
          <w:spacing w:val="-8"/>
          <w:w w:val="105"/>
          <w:position w:val="1"/>
          <w:sz w:val="20"/>
        </w:rPr>
        <w:t> </w:t>
      </w:r>
      <w:r>
        <w:rPr>
          <w:color w:val="231F1F"/>
          <w:w w:val="105"/>
          <w:position w:val="1"/>
          <w:sz w:val="20"/>
        </w:rPr>
        <w:t>1988;71:349- </w:t>
      </w:r>
      <w:r>
        <w:rPr>
          <w:color w:val="231F1F"/>
          <w:spacing w:val="-4"/>
          <w:w w:val="105"/>
          <w:sz w:val="20"/>
        </w:rPr>
        <w:t>53.</w:t>
      </w:r>
    </w:p>
    <w:p>
      <w:pPr>
        <w:pStyle w:val="ListParagraph"/>
        <w:numPr>
          <w:ilvl w:val="0"/>
          <w:numId w:val="109"/>
        </w:numPr>
        <w:tabs>
          <w:tab w:pos="793" w:val="left" w:leader="none"/>
          <w:tab w:pos="797" w:val="left" w:leader="none"/>
        </w:tabs>
        <w:spacing w:line="211" w:lineRule="auto" w:before="176" w:after="0"/>
        <w:ind w:left="797" w:right="254" w:hanging="502"/>
        <w:jc w:val="left"/>
        <w:rPr>
          <w:sz w:val="20"/>
        </w:rPr>
      </w:pPr>
      <w:r>
        <w:rPr>
          <w:color w:val="231F1F"/>
          <w:w w:val="110"/>
          <w:position w:val="1"/>
          <w:sz w:val="20"/>
        </w:rPr>
        <w:t>Falciglia</w:t>
      </w:r>
      <w:r>
        <w:rPr>
          <w:color w:val="231F1F"/>
          <w:spacing w:val="-6"/>
          <w:w w:val="110"/>
          <w:position w:val="1"/>
          <w:sz w:val="20"/>
        </w:rPr>
        <w:t> </w:t>
      </w:r>
      <w:r>
        <w:rPr>
          <w:color w:val="231F1F"/>
          <w:w w:val="110"/>
          <w:position w:val="1"/>
          <w:sz w:val="20"/>
        </w:rPr>
        <w:t>HS,</w:t>
      </w:r>
      <w:r>
        <w:rPr>
          <w:color w:val="231F1F"/>
          <w:spacing w:val="-12"/>
          <w:w w:val="110"/>
          <w:position w:val="1"/>
          <w:sz w:val="20"/>
        </w:rPr>
        <w:t> </w:t>
      </w:r>
      <w:r>
        <w:rPr>
          <w:color w:val="231F1F"/>
          <w:w w:val="110"/>
          <w:position w:val="1"/>
          <w:sz w:val="20"/>
        </w:rPr>
        <w:t>Henderschott</w:t>
      </w:r>
      <w:r>
        <w:rPr>
          <w:color w:val="231F1F"/>
          <w:spacing w:val="-6"/>
          <w:w w:val="110"/>
          <w:position w:val="1"/>
          <w:sz w:val="20"/>
        </w:rPr>
        <w:t> </w:t>
      </w:r>
      <w:r>
        <w:rPr>
          <w:color w:val="231F1F"/>
          <w:w w:val="110"/>
          <w:position w:val="1"/>
          <w:sz w:val="20"/>
        </w:rPr>
        <w:t>C,</w:t>
      </w:r>
      <w:r>
        <w:rPr>
          <w:color w:val="231F1F"/>
          <w:spacing w:val="-12"/>
          <w:w w:val="110"/>
          <w:position w:val="1"/>
          <w:sz w:val="20"/>
        </w:rPr>
        <w:t> </w:t>
      </w:r>
      <w:r>
        <w:rPr>
          <w:color w:val="231F1F"/>
          <w:w w:val="110"/>
          <w:position w:val="1"/>
          <w:sz w:val="20"/>
        </w:rPr>
        <w:t>Potter</w:t>
      </w:r>
      <w:r>
        <w:rPr>
          <w:color w:val="231F1F"/>
          <w:spacing w:val="-6"/>
          <w:w w:val="110"/>
          <w:position w:val="1"/>
          <w:sz w:val="20"/>
        </w:rPr>
        <w:t> </w:t>
      </w:r>
      <w:r>
        <w:rPr>
          <w:color w:val="231F1F"/>
          <w:w w:val="110"/>
          <w:position w:val="1"/>
          <w:sz w:val="20"/>
        </w:rPr>
        <w:t>P,</w:t>
      </w:r>
      <w:r>
        <w:rPr>
          <w:color w:val="231F1F"/>
          <w:spacing w:val="-12"/>
          <w:w w:val="110"/>
          <w:position w:val="1"/>
          <w:sz w:val="20"/>
        </w:rPr>
        <w:t> </w:t>
      </w:r>
      <w:r>
        <w:rPr>
          <w:color w:val="231F1F"/>
          <w:w w:val="110"/>
          <w:position w:val="1"/>
          <w:sz w:val="20"/>
        </w:rPr>
        <w:t>Helmchen</w:t>
      </w:r>
      <w:r>
        <w:rPr>
          <w:color w:val="231F1F"/>
          <w:spacing w:val="-6"/>
          <w:w w:val="110"/>
          <w:position w:val="1"/>
          <w:sz w:val="20"/>
        </w:rPr>
        <w:t> </w:t>
      </w:r>
      <w:r>
        <w:rPr>
          <w:color w:val="231F1F"/>
          <w:w w:val="110"/>
          <w:position w:val="1"/>
          <w:sz w:val="20"/>
        </w:rPr>
        <w:t>R.</w:t>
      </w:r>
      <w:r>
        <w:rPr>
          <w:color w:val="231F1F"/>
          <w:spacing w:val="-12"/>
          <w:w w:val="110"/>
          <w:position w:val="1"/>
          <w:sz w:val="20"/>
        </w:rPr>
        <w:t> </w:t>
      </w:r>
      <w:r>
        <w:rPr>
          <w:color w:val="231F1F"/>
          <w:w w:val="110"/>
          <w:position w:val="1"/>
          <w:sz w:val="20"/>
        </w:rPr>
        <w:t>Does</w:t>
      </w:r>
      <w:r>
        <w:rPr>
          <w:color w:val="231F1F"/>
          <w:spacing w:val="-6"/>
          <w:w w:val="110"/>
          <w:position w:val="1"/>
          <w:sz w:val="20"/>
        </w:rPr>
        <w:t> </w:t>
      </w:r>
      <w:r>
        <w:rPr>
          <w:color w:val="231F1F"/>
          <w:w w:val="110"/>
          <w:position w:val="1"/>
          <w:sz w:val="20"/>
        </w:rPr>
        <w:t>DeLee</w:t>
      </w:r>
      <w:r>
        <w:rPr>
          <w:color w:val="231F1F"/>
          <w:spacing w:val="-6"/>
          <w:w w:val="110"/>
          <w:position w:val="1"/>
          <w:sz w:val="20"/>
        </w:rPr>
        <w:t> </w:t>
      </w:r>
      <w:r>
        <w:rPr>
          <w:color w:val="231F1F"/>
          <w:w w:val="110"/>
          <w:position w:val="1"/>
          <w:sz w:val="20"/>
        </w:rPr>
        <w:t>suction</w:t>
      </w:r>
      <w:r>
        <w:rPr>
          <w:color w:val="231F1F"/>
          <w:spacing w:val="-7"/>
          <w:w w:val="110"/>
          <w:position w:val="1"/>
          <w:sz w:val="20"/>
        </w:rPr>
        <w:t> </w:t>
      </w:r>
      <w:r>
        <w:rPr>
          <w:color w:val="231F1F"/>
          <w:w w:val="110"/>
          <w:position w:val="1"/>
          <w:sz w:val="20"/>
        </w:rPr>
        <w:t>at</w:t>
      </w:r>
      <w:r>
        <w:rPr>
          <w:color w:val="231F1F"/>
          <w:spacing w:val="-6"/>
          <w:w w:val="110"/>
          <w:position w:val="1"/>
          <w:sz w:val="20"/>
        </w:rPr>
        <w:t> </w:t>
      </w:r>
      <w:r>
        <w:rPr>
          <w:color w:val="231F1F"/>
          <w:w w:val="110"/>
          <w:position w:val="1"/>
          <w:sz w:val="20"/>
        </w:rPr>
        <w:t>the</w:t>
      </w:r>
      <w:r>
        <w:rPr>
          <w:color w:val="231F1F"/>
          <w:spacing w:val="-6"/>
          <w:w w:val="110"/>
          <w:position w:val="1"/>
          <w:sz w:val="20"/>
        </w:rPr>
        <w:t> </w:t>
      </w:r>
      <w:r>
        <w:rPr>
          <w:color w:val="231F1F"/>
          <w:w w:val="110"/>
          <w:position w:val="1"/>
          <w:sz w:val="20"/>
        </w:rPr>
        <w:t>perineum </w:t>
      </w:r>
      <w:r>
        <w:rPr>
          <w:color w:val="231F1F"/>
          <w:w w:val="110"/>
          <w:sz w:val="20"/>
        </w:rPr>
        <w:t>prevent meconium aspiration syndrome? Am J Obstet Gynecol 1992;167:1243-49.</w:t>
      </w:r>
    </w:p>
    <w:p>
      <w:pPr>
        <w:pStyle w:val="ListParagraph"/>
        <w:numPr>
          <w:ilvl w:val="0"/>
          <w:numId w:val="109"/>
        </w:numPr>
        <w:tabs>
          <w:tab w:pos="794" w:val="left" w:leader="none"/>
          <w:tab w:pos="798" w:val="left" w:leader="none"/>
        </w:tabs>
        <w:spacing w:line="225" w:lineRule="auto" w:before="184" w:after="0"/>
        <w:ind w:left="798" w:right="581" w:hanging="502"/>
        <w:jc w:val="left"/>
        <w:rPr>
          <w:sz w:val="20"/>
        </w:rPr>
      </w:pPr>
      <w:r>
        <w:rPr>
          <w:color w:val="231F1F"/>
          <w:sz w:val="20"/>
        </w:rPr>
        <w:t>Wiswell</w:t>
      </w:r>
      <w:r>
        <w:rPr>
          <w:color w:val="231F1F"/>
          <w:spacing w:val="-7"/>
          <w:sz w:val="20"/>
        </w:rPr>
        <w:t> </w:t>
      </w:r>
      <w:r>
        <w:rPr>
          <w:color w:val="231F1F"/>
          <w:sz w:val="20"/>
        </w:rPr>
        <w:t>TE,</w:t>
      </w:r>
      <w:r>
        <w:rPr>
          <w:color w:val="231F1F"/>
          <w:spacing w:val="-7"/>
          <w:sz w:val="20"/>
        </w:rPr>
        <w:t> </w:t>
      </w:r>
      <w:r>
        <w:rPr>
          <w:color w:val="231F1F"/>
          <w:sz w:val="20"/>
        </w:rPr>
        <w:t>Bent</w:t>
      </w:r>
      <w:r>
        <w:rPr>
          <w:color w:val="231F1F"/>
          <w:spacing w:val="-4"/>
          <w:sz w:val="20"/>
        </w:rPr>
        <w:t> </w:t>
      </w:r>
      <w:r>
        <w:rPr>
          <w:color w:val="231F1F"/>
          <w:sz w:val="20"/>
        </w:rPr>
        <w:t>RC.</w:t>
      </w:r>
      <w:r>
        <w:rPr>
          <w:color w:val="231F1F"/>
          <w:spacing w:val="-7"/>
          <w:sz w:val="20"/>
        </w:rPr>
        <w:t> </w:t>
      </w:r>
      <w:r>
        <w:rPr>
          <w:color w:val="231F1F"/>
          <w:sz w:val="20"/>
        </w:rPr>
        <w:t>Meconium</w:t>
      </w:r>
      <w:r>
        <w:rPr>
          <w:color w:val="231F1F"/>
          <w:spacing w:val="-5"/>
          <w:sz w:val="20"/>
        </w:rPr>
        <w:t> </w:t>
      </w:r>
      <w:r>
        <w:rPr>
          <w:color w:val="231F1F"/>
          <w:sz w:val="20"/>
        </w:rPr>
        <w:t>staining</w:t>
      </w:r>
      <w:r>
        <w:rPr>
          <w:color w:val="231F1F"/>
          <w:spacing w:val="-4"/>
          <w:sz w:val="20"/>
        </w:rPr>
        <w:t> </w:t>
      </w:r>
      <w:r>
        <w:rPr>
          <w:color w:val="231F1F"/>
          <w:sz w:val="20"/>
        </w:rPr>
        <w:t>and</w:t>
      </w:r>
      <w:r>
        <w:rPr>
          <w:color w:val="231F1F"/>
          <w:spacing w:val="-4"/>
          <w:sz w:val="20"/>
        </w:rPr>
        <w:t> </w:t>
      </w:r>
      <w:r>
        <w:rPr>
          <w:color w:val="231F1F"/>
          <w:sz w:val="20"/>
        </w:rPr>
        <w:t>the</w:t>
      </w:r>
      <w:r>
        <w:rPr>
          <w:color w:val="231F1F"/>
          <w:spacing w:val="-4"/>
          <w:sz w:val="20"/>
        </w:rPr>
        <w:t> </w:t>
      </w:r>
      <w:r>
        <w:rPr>
          <w:color w:val="231F1F"/>
          <w:sz w:val="20"/>
        </w:rPr>
        <w:t>meconium</w:t>
      </w:r>
      <w:r>
        <w:rPr>
          <w:color w:val="231F1F"/>
          <w:spacing w:val="-5"/>
          <w:sz w:val="20"/>
        </w:rPr>
        <w:t> </w:t>
      </w:r>
      <w:r>
        <w:rPr>
          <w:color w:val="231F1F"/>
          <w:sz w:val="20"/>
        </w:rPr>
        <w:t>aspiration</w:t>
      </w:r>
      <w:r>
        <w:rPr>
          <w:color w:val="231F1F"/>
          <w:spacing w:val="-4"/>
          <w:sz w:val="20"/>
        </w:rPr>
        <w:t> </w:t>
      </w:r>
      <w:r>
        <w:rPr>
          <w:color w:val="231F1F"/>
          <w:sz w:val="20"/>
        </w:rPr>
        <w:t>syndrome-unresolved issues. Pediatr Clin North Am 1993;40:955-80.</w:t>
      </w:r>
    </w:p>
    <w:p>
      <w:pPr>
        <w:pStyle w:val="ListParagraph"/>
        <w:numPr>
          <w:ilvl w:val="0"/>
          <w:numId w:val="109"/>
        </w:numPr>
        <w:tabs>
          <w:tab w:pos="795" w:val="left" w:leader="none"/>
          <w:tab w:pos="797" w:val="left" w:leader="none"/>
        </w:tabs>
        <w:spacing w:line="235" w:lineRule="auto" w:before="145" w:after="0"/>
        <w:ind w:left="797" w:right="220" w:hanging="510"/>
        <w:jc w:val="left"/>
        <w:rPr>
          <w:sz w:val="20"/>
        </w:rPr>
      </w:pPr>
      <w:r>
        <w:rPr>
          <w:color w:val="231F1F"/>
          <w:w w:val="105"/>
          <w:position w:val="1"/>
          <w:sz w:val="20"/>
        </w:rPr>
        <w:t>Estol</w:t>
      </w:r>
      <w:r>
        <w:rPr>
          <w:color w:val="231F1F"/>
          <w:spacing w:val="-12"/>
          <w:w w:val="105"/>
          <w:position w:val="1"/>
          <w:sz w:val="20"/>
        </w:rPr>
        <w:t> </w:t>
      </w:r>
      <w:r>
        <w:rPr>
          <w:color w:val="231F1F"/>
          <w:w w:val="105"/>
          <w:position w:val="1"/>
          <w:sz w:val="20"/>
        </w:rPr>
        <w:t>PC,</w:t>
      </w:r>
      <w:r>
        <w:rPr>
          <w:color w:val="231F1F"/>
          <w:spacing w:val="-12"/>
          <w:w w:val="105"/>
          <w:position w:val="1"/>
          <w:sz w:val="20"/>
        </w:rPr>
        <w:t> </w:t>
      </w:r>
      <w:r>
        <w:rPr>
          <w:color w:val="231F1F"/>
          <w:w w:val="105"/>
          <w:position w:val="1"/>
          <w:sz w:val="20"/>
        </w:rPr>
        <w:t>Piriz</w:t>
      </w:r>
      <w:r>
        <w:rPr>
          <w:color w:val="231F1F"/>
          <w:spacing w:val="-13"/>
          <w:w w:val="105"/>
          <w:position w:val="1"/>
          <w:sz w:val="20"/>
        </w:rPr>
        <w:t> </w:t>
      </w:r>
      <w:r>
        <w:rPr>
          <w:color w:val="231F1F"/>
          <w:w w:val="105"/>
          <w:position w:val="1"/>
          <w:sz w:val="20"/>
        </w:rPr>
        <w:t>H,</w:t>
      </w:r>
      <w:r>
        <w:rPr>
          <w:color w:val="231F1F"/>
          <w:spacing w:val="-11"/>
          <w:w w:val="105"/>
          <w:position w:val="1"/>
          <w:sz w:val="20"/>
        </w:rPr>
        <w:t> </w:t>
      </w:r>
      <w:r>
        <w:rPr>
          <w:color w:val="231F1F"/>
          <w:w w:val="105"/>
          <w:position w:val="1"/>
          <w:sz w:val="20"/>
        </w:rPr>
        <w:t>Basalo</w:t>
      </w:r>
      <w:r>
        <w:rPr>
          <w:color w:val="231F1F"/>
          <w:spacing w:val="-13"/>
          <w:w w:val="105"/>
          <w:position w:val="1"/>
          <w:sz w:val="20"/>
        </w:rPr>
        <w:t> </w:t>
      </w:r>
      <w:r>
        <w:rPr>
          <w:color w:val="231F1F"/>
          <w:w w:val="105"/>
          <w:position w:val="1"/>
          <w:sz w:val="20"/>
        </w:rPr>
        <w:t>S,</w:t>
      </w:r>
      <w:r>
        <w:rPr>
          <w:color w:val="231F1F"/>
          <w:spacing w:val="-12"/>
          <w:w w:val="105"/>
          <w:position w:val="1"/>
          <w:sz w:val="20"/>
        </w:rPr>
        <w:t> </w:t>
      </w:r>
      <w:r>
        <w:rPr>
          <w:color w:val="231F1F"/>
          <w:w w:val="105"/>
          <w:position w:val="1"/>
          <w:sz w:val="20"/>
        </w:rPr>
        <w:t>Simini</w:t>
      </w:r>
      <w:r>
        <w:rPr>
          <w:color w:val="231F1F"/>
          <w:spacing w:val="-12"/>
          <w:w w:val="105"/>
          <w:position w:val="1"/>
          <w:sz w:val="20"/>
        </w:rPr>
        <w:t> </w:t>
      </w:r>
      <w:r>
        <w:rPr>
          <w:color w:val="231F1F"/>
          <w:w w:val="105"/>
          <w:position w:val="1"/>
          <w:sz w:val="20"/>
        </w:rPr>
        <w:t>F,</w:t>
      </w:r>
      <w:r>
        <w:rPr>
          <w:color w:val="231F1F"/>
          <w:spacing w:val="-11"/>
          <w:w w:val="105"/>
          <w:position w:val="1"/>
          <w:sz w:val="20"/>
        </w:rPr>
        <w:t> </w:t>
      </w:r>
      <w:r>
        <w:rPr>
          <w:color w:val="231F1F"/>
          <w:w w:val="105"/>
          <w:position w:val="1"/>
          <w:sz w:val="20"/>
        </w:rPr>
        <w:t>Grela</w:t>
      </w:r>
      <w:r>
        <w:rPr>
          <w:color w:val="231F1F"/>
          <w:spacing w:val="-13"/>
          <w:w w:val="105"/>
          <w:position w:val="1"/>
          <w:sz w:val="20"/>
        </w:rPr>
        <w:t> </w:t>
      </w:r>
      <w:r>
        <w:rPr>
          <w:color w:val="231F1F"/>
          <w:w w:val="105"/>
          <w:position w:val="1"/>
          <w:sz w:val="20"/>
        </w:rPr>
        <w:t>C.</w:t>
      </w:r>
      <w:r>
        <w:rPr>
          <w:color w:val="231F1F"/>
          <w:spacing w:val="-12"/>
          <w:w w:val="105"/>
          <w:position w:val="1"/>
          <w:sz w:val="20"/>
        </w:rPr>
        <w:t> </w:t>
      </w:r>
      <w:r>
        <w:rPr>
          <w:color w:val="231F1F"/>
          <w:w w:val="105"/>
          <w:position w:val="1"/>
          <w:sz w:val="20"/>
        </w:rPr>
        <w:t>Oro-naso-pharyngeal</w:t>
      </w:r>
      <w:r>
        <w:rPr>
          <w:color w:val="231F1F"/>
          <w:spacing w:val="-12"/>
          <w:w w:val="105"/>
          <w:position w:val="1"/>
          <w:sz w:val="20"/>
        </w:rPr>
        <w:t> </w:t>
      </w:r>
      <w:r>
        <w:rPr>
          <w:color w:val="231F1F"/>
          <w:w w:val="105"/>
          <w:position w:val="1"/>
          <w:sz w:val="20"/>
        </w:rPr>
        <w:t>suction</w:t>
      </w:r>
      <w:r>
        <w:rPr>
          <w:color w:val="231F1F"/>
          <w:spacing w:val="-7"/>
          <w:w w:val="105"/>
          <w:position w:val="1"/>
          <w:sz w:val="20"/>
        </w:rPr>
        <w:t> </w:t>
      </w:r>
      <w:r>
        <w:rPr>
          <w:color w:val="231F1F"/>
          <w:w w:val="105"/>
          <w:position w:val="1"/>
          <w:sz w:val="20"/>
        </w:rPr>
        <w:t>at</w:t>
      </w:r>
      <w:r>
        <w:rPr>
          <w:color w:val="231F1F"/>
          <w:spacing w:val="-8"/>
          <w:w w:val="105"/>
          <w:position w:val="1"/>
          <w:sz w:val="20"/>
        </w:rPr>
        <w:t> </w:t>
      </w:r>
      <w:r>
        <w:rPr>
          <w:color w:val="231F1F"/>
          <w:w w:val="105"/>
          <w:position w:val="1"/>
          <w:sz w:val="20"/>
        </w:rPr>
        <w:t>birth:</w:t>
      </w:r>
      <w:r>
        <w:rPr>
          <w:color w:val="231F1F"/>
          <w:spacing w:val="-12"/>
          <w:w w:val="105"/>
          <w:position w:val="1"/>
          <w:sz w:val="20"/>
        </w:rPr>
        <w:t> </w:t>
      </w:r>
      <w:r>
        <w:rPr>
          <w:color w:val="231F1F"/>
          <w:w w:val="105"/>
          <w:position w:val="1"/>
          <w:sz w:val="20"/>
        </w:rPr>
        <w:t>effects</w:t>
      </w:r>
      <w:r>
        <w:rPr>
          <w:color w:val="231F1F"/>
          <w:spacing w:val="-7"/>
          <w:w w:val="105"/>
          <w:position w:val="1"/>
          <w:sz w:val="20"/>
        </w:rPr>
        <w:t> </w:t>
      </w:r>
      <w:r>
        <w:rPr>
          <w:color w:val="231F1F"/>
          <w:w w:val="105"/>
          <w:position w:val="1"/>
          <w:sz w:val="20"/>
        </w:rPr>
        <w:t>on </w:t>
      </w:r>
      <w:r>
        <w:rPr>
          <w:color w:val="231F1F"/>
          <w:sz w:val="20"/>
        </w:rPr>
        <w:t>respiratory adaptation of normal term</w:t>
      </w:r>
      <w:r>
        <w:rPr>
          <w:color w:val="231F1F"/>
          <w:spacing w:val="-1"/>
          <w:sz w:val="20"/>
        </w:rPr>
        <w:t> </w:t>
      </w:r>
      <w:r>
        <w:rPr>
          <w:color w:val="231F1F"/>
          <w:sz w:val="20"/>
        </w:rPr>
        <w:t>vaginally born infants.</w:t>
      </w:r>
      <w:r>
        <w:rPr>
          <w:color w:val="231F1F"/>
          <w:spacing w:val="-11"/>
          <w:sz w:val="20"/>
        </w:rPr>
        <w:t> </w:t>
      </w:r>
      <w:r>
        <w:rPr>
          <w:color w:val="231F1F"/>
          <w:sz w:val="20"/>
        </w:rPr>
        <w:t>J Perinatal Med 1992;20(4):297-305.</w:t>
      </w:r>
    </w:p>
    <w:p>
      <w:pPr>
        <w:pStyle w:val="ListParagraph"/>
        <w:numPr>
          <w:ilvl w:val="0"/>
          <w:numId w:val="109"/>
        </w:numPr>
        <w:tabs>
          <w:tab w:pos="794" w:val="left" w:leader="none"/>
          <w:tab w:pos="798" w:val="left" w:leader="none"/>
        </w:tabs>
        <w:spacing w:line="230" w:lineRule="auto" w:before="163" w:after="0"/>
        <w:ind w:left="798" w:right="122" w:hanging="502"/>
        <w:jc w:val="both"/>
        <w:rPr>
          <w:sz w:val="20"/>
        </w:rPr>
      </w:pPr>
      <w:r>
        <w:rPr>
          <w:color w:val="231F1F"/>
          <w:w w:val="105"/>
          <w:sz w:val="20"/>
        </w:rPr>
        <w:t>Gungor</w:t>
      </w:r>
      <w:r>
        <w:rPr>
          <w:color w:val="231F1F"/>
          <w:spacing w:val="-4"/>
          <w:w w:val="105"/>
          <w:sz w:val="20"/>
        </w:rPr>
        <w:t> </w:t>
      </w:r>
      <w:r>
        <w:rPr>
          <w:color w:val="231F1F"/>
          <w:w w:val="105"/>
          <w:sz w:val="20"/>
        </w:rPr>
        <w:t>S,Teksoz</w:t>
      </w:r>
      <w:r>
        <w:rPr>
          <w:color w:val="231F1F"/>
          <w:spacing w:val="-4"/>
          <w:w w:val="105"/>
          <w:sz w:val="20"/>
        </w:rPr>
        <w:t> </w:t>
      </w:r>
      <w:r>
        <w:rPr>
          <w:color w:val="231F1F"/>
          <w:w w:val="105"/>
          <w:sz w:val="20"/>
        </w:rPr>
        <w:t>E,</w:t>
      </w:r>
      <w:r>
        <w:rPr>
          <w:color w:val="231F1F"/>
          <w:spacing w:val="-9"/>
          <w:w w:val="105"/>
          <w:sz w:val="20"/>
        </w:rPr>
        <w:t> </w:t>
      </w:r>
      <w:r>
        <w:rPr>
          <w:color w:val="231F1F"/>
          <w:w w:val="105"/>
          <w:sz w:val="20"/>
        </w:rPr>
        <w:t>Ceyhan</w:t>
      </w:r>
      <w:r>
        <w:rPr>
          <w:color w:val="231F1F"/>
          <w:spacing w:val="-10"/>
          <w:w w:val="105"/>
          <w:sz w:val="20"/>
        </w:rPr>
        <w:t> </w:t>
      </w:r>
      <w:r>
        <w:rPr>
          <w:color w:val="231F1F"/>
          <w:w w:val="105"/>
          <w:sz w:val="20"/>
        </w:rPr>
        <w:t>T,</w:t>
      </w:r>
      <w:r>
        <w:rPr>
          <w:color w:val="231F1F"/>
          <w:spacing w:val="-9"/>
          <w:w w:val="105"/>
          <w:sz w:val="20"/>
        </w:rPr>
        <w:t> </w:t>
      </w:r>
      <w:r>
        <w:rPr>
          <w:color w:val="231F1F"/>
          <w:w w:val="105"/>
          <w:sz w:val="20"/>
        </w:rPr>
        <w:t>Kurt</w:t>
      </w:r>
      <w:r>
        <w:rPr>
          <w:color w:val="231F1F"/>
          <w:spacing w:val="-4"/>
          <w:w w:val="105"/>
          <w:sz w:val="20"/>
        </w:rPr>
        <w:t> </w:t>
      </w:r>
      <w:r>
        <w:rPr>
          <w:color w:val="231F1F"/>
          <w:w w:val="105"/>
          <w:sz w:val="20"/>
        </w:rPr>
        <w:t>E,</w:t>
      </w:r>
      <w:r>
        <w:rPr>
          <w:color w:val="231F1F"/>
          <w:spacing w:val="-9"/>
          <w:w w:val="105"/>
          <w:sz w:val="20"/>
        </w:rPr>
        <w:t> </w:t>
      </w:r>
      <w:r>
        <w:rPr>
          <w:color w:val="231F1F"/>
          <w:w w:val="105"/>
          <w:sz w:val="20"/>
        </w:rPr>
        <w:t>Goktolga</w:t>
      </w:r>
      <w:r>
        <w:rPr>
          <w:color w:val="231F1F"/>
          <w:spacing w:val="-4"/>
          <w:w w:val="105"/>
          <w:sz w:val="20"/>
        </w:rPr>
        <w:t> </w:t>
      </w:r>
      <w:r>
        <w:rPr>
          <w:color w:val="231F1F"/>
          <w:w w:val="105"/>
          <w:sz w:val="20"/>
        </w:rPr>
        <w:t>U,</w:t>
      </w:r>
      <w:r>
        <w:rPr>
          <w:color w:val="231F1F"/>
          <w:spacing w:val="-9"/>
          <w:w w:val="105"/>
          <w:sz w:val="20"/>
        </w:rPr>
        <w:t> </w:t>
      </w:r>
      <w:r>
        <w:rPr>
          <w:color w:val="231F1F"/>
          <w:w w:val="105"/>
          <w:sz w:val="20"/>
        </w:rPr>
        <w:t>Baser</w:t>
      </w:r>
      <w:r>
        <w:rPr>
          <w:color w:val="231F1F"/>
          <w:spacing w:val="-4"/>
          <w:w w:val="105"/>
          <w:sz w:val="20"/>
        </w:rPr>
        <w:t> </w:t>
      </w:r>
      <w:r>
        <w:rPr>
          <w:color w:val="231F1F"/>
          <w:w w:val="105"/>
          <w:sz w:val="20"/>
        </w:rPr>
        <w:t>I.</w:t>
      </w:r>
      <w:r>
        <w:rPr>
          <w:color w:val="231F1F"/>
          <w:spacing w:val="-9"/>
          <w:w w:val="105"/>
          <w:sz w:val="20"/>
        </w:rPr>
        <w:t> </w:t>
      </w:r>
      <w:r>
        <w:rPr>
          <w:color w:val="231F1F"/>
          <w:w w:val="105"/>
          <w:sz w:val="20"/>
        </w:rPr>
        <w:t>Oronasopharyngeal</w:t>
      </w:r>
      <w:r>
        <w:rPr>
          <w:color w:val="231F1F"/>
          <w:spacing w:val="-4"/>
          <w:w w:val="105"/>
          <w:sz w:val="20"/>
        </w:rPr>
        <w:t> </w:t>
      </w:r>
      <w:r>
        <w:rPr>
          <w:color w:val="231F1F"/>
          <w:w w:val="105"/>
          <w:sz w:val="20"/>
        </w:rPr>
        <w:t>suction</w:t>
      </w:r>
      <w:r>
        <w:rPr>
          <w:color w:val="231F1F"/>
          <w:spacing w:val="-4"/>
          <w:w w:val="105"/>
          <w:sz w:val="20"/>
        </w:rPr>
        <w:t> </w:t>
      </w:r>
      <w:r>
        <w:rPr>
          <w:color w:val="231F1F"/>
          <w:w w:val="105"/>
          <w:sz w:val="20"/>
        </w:rPr>
        <w:t>versus no</w:t>
      </w:r>
      <w:r>
        <w:rPr>
          <w:color w:val="231F1F"/>
          <w:w w:val="105"/>
          <w:sz w:val="20"/>
        </w:rPr>
        <w:t> suction</w:t>
      </w:r>
      <w:r>
        <w:rPr>
          <w:color w:val="231F1F"/>
          <w:w w:val="105"/>
          <w:sz w:val="20"/>
        </w:rPr>
        <w:t> in</w:t>
      </w:r>
      <w:r>
        <w:rPr>
          <w:color w:val="231F1F"/>
          <w:w w:val="105"/>
          <w:sz w:val="20"/>
        </w:rPr>
        <w:t> normal,</w:t>
      </w:r>
      <w:r>
        <w:rPr>
          <w:color w:val="231F1F"/>
          <w:w w:val="105"/>
          <w:sz w:val="20"/>
        </w:rPr>
        <w:t> term</w:t>
      </w:r>
      <w:r>
        <w:rPr>
          <w:color w:val="231F1F"/>
          <w:w w:val="105"/>
          <w:sz w:val="20"/>
        </w:rPr>
        <w:t> and</w:t>
      </w:r>
      <w:r>
        <w:rPr>
          <w:color w:val="231F1F"/>
          <w:w w:val="105"/>
          <w:sz w:val="20"/>
        </w:rPr>
        <w:t> vaginally</w:t>
      </w:r>
      <w:r>
        <w:rPr>
          <w:color w:val="231F1F"/>
          <w:w w:val="105"/>
          <w:sz w:val="20"/>
        </w:rPr>
        <w:t> born</w:t>
      </w:r>
      <w:r>
        <w:rPr>
          <w:color w:val="231F1F"/>
          <w:w w:val="105"/>
          <w:sz w:val="20"/>
        </w:rPr>
        <w:t> infants:</w:t>
      </w:r>
      <w:r>
        <w:rPr>
          <w:color w:val="231F1F"/>
          <w:w w:val="105"/>
          <w:sz w:val="20"/>
        </w:rPr>
        <w:t> a</w:t>
      </w:r>
      <w:r>
        <w:rPr>
          <w:color w:val="231F1F"/>
          <w:w w:val="105"/>
          <w:sz w:val="20"/>
        </w:rPr>
        <w:t> prospective</w:t>
      </w:r>
      <w:r>
        <w:rPr>
          <w:color w:val="231F1F"/>
          <w:w w:val="105"/>
          <w:sz w:val="20"/>
        </w:rPr>
        <w:t> randomised</w:t>
      </w:r>
      <w:r>
        <w:rPr>
          <w:color w:val="231F1F"/>
          <w:w w:val="105"/>
          <w:sz w:val="20"/>
        </w:rPr>
        <w:t> controlled trial. Aust N Z J Obstet Gynaecol 2005;45(5):453-6.</w:t>
      </w:r>
    </w:p>
    <w:p>
      <w:pPr>
        <w:pStyle w:val="ListParagraph"/>
        <w:numPr>
          <w:ilvl w:val="0"/>
          <w:numId w:val="109"/>
        </w:numPr>
        <w:tabs>
          <w:tab w:pos="793" w:val="left" w:leader="none"/>
          <w:tab w:pos="797" w:val="left" w:leader="none"/>
        </w:tabs>
        <w:spacing w:line="223" w:lineRule="auto" w:before="168" w:after="0"/>
        <w:ind w:left="797" w:right="109" w:hanging="522"/>
        <w:jc w:val="both"/>
        <w:rPr>
          <w:sz w:val="20"/>
        </w:rPr>
      </w:pPr>
      <w:r>
        <w:rPr>
          <w:color w:val="231F1F"/>
          <w:w w:val="110"/>
          <w:position w:val="1"/>
          <w:sz w:val="20"/>
        </w:rPr>
        <w:t>Sánchez-Luna M,</w:t>
      </w:r>
      <w:r>
        <w:rPr>
          <w:color w:val="231F1F"/>
          <w:spacing w:val="-1"/>
          <w:w w:val="110"/>
          <w:position w:val="1"/>
          <w:sz w:val="20"/>
        </w:rPr>
        <w:t> </w:t>
      </w:r>
      <w:r>
        <w:rPr>
          <w:color w:val="231F1F"/>
          <w:w w:val="110"/>
          <w:position w:val="1"/>
          <w:sz w:val="20"/>
        </w:rPr>
        <w:t>Pallás-</w:t>
      </w:r>
      <w:r>
        <w:rPr>
          <w:color w:val="231F1F"/>
          <w:spacing w:val="-1"/>
          <w:w w:val="110"/>
          <w:position w:val="1"/>
          <w:sz w:val="20"/>
        </w:rPr>
        <w:t> </w:t>
      </w:r>
      <w:r>
        <w:rPr>
          <w:color w:val="231F1F"/>
          <w:w w:val="110"/>
          <w:position w:val="1"/>
          <w:sz w:val="20"/>
        </w:rPr>
        <w:t>Alonso C.R,</w:t>
      </w:r>
      <w:r>
        <w:rPr>
          <w:color w:val="231F1F"/>
          <w:spacing w:val="-1"/>
          <w:w w:val="110"/>
          <w:position w:val="1"/>
          <w:sz w:val="20"/>
        </w:rPr>
        <w:t> </w:t>
      </w:r>
      <w:r>
        <w:rPr>
          <w:color w:val="231F1F"/>
          <w:w w:val="110"/>
          <w:position w:val="1"/>
          <w:sz w:val="20"/>
        </w:rPr>
        <w:t>Botet-Mussons F,</w:t>
      </w:r>
      <w:r>
        <w:rPr>
          <w:color w:val="231F1F"/>
          <w:spacing w:val="-1"/>
          <w:w w:val="110"/>
          <w:position w:val="1"/>
          <w:sz w:val="20"/>
        </w:rPr>
        <w:t> </w:t>
      </w:r>
      <w:r>
        <w:rPr>
          <w:color w:val="231F1F"/>
          <w:w w:val="110"/>
          <w:position w:val="1"/>
          <w:sz w:val="20"/>
        </w:rPr>
        <w:t>Echániz-Urcelay I, Castro-Conde </w:t>
      </w:r>
      <w:r>
        <w:rPr>
          <w:color w:val="231F1F"/>
          <w:w w:val="110"/>
          <w:sz w:val="20"/>
        </w:rPr>
        <w:t>J.R,</w:t>
      </w:r>
      <w:r>
        <w:rPr>
          <w:color w:val="231F1F"/>
          <w:w w:val="110"/>
          <w:sz w:val="20"/>
        </w:rPr>
        <w:t> Narbona</w:t>
      </w:r>
      <w:r>
        <w:rPr>
          <w:color w:val="231F1F"/>
          <w:w w:val="110"/>
          <w:sz w:val="20"/>
        </w:rPr>
        <w:t> E.</w:t>
      </w:r>
      <w:r>
        <w:rPr>
          <w:color w:val="231F1F"/>
          <w:w w:val="110"/>
          <w:sz w:val="20"/>
        </w:rPr>
        <w:t> Comisión</w:t>
      </w:r>
      <w:r>
        <w:rPr>
          <w:color w:val="231F1F"/>
          <w:w w:val="110"/>
          <w:sz w:val="20"/>
        </w:rPr>
        <w:t> de</w:t>
      </w:r>
      <w:r>
        <w:rPr>
          <w:color w:val="231F1F"/>
          <w:w w:val="110"/>
          <w:sz w:val="20"/>
        </w:rPr>
        <w:t> estándares</w:t>
      </w:r>
      <w:r>
        <w:rPr>
          <w:color w:val="231F1F"/>
          <w:w w:val="110"/>
          <w:sz w:val="20"/>
        </w:rPr>
        <w:t> de</w:t>
      </w:r>
      <w:r>
        <w:rPr>
          <w:color w:val="231F1F"/>
          <w:w w:val="110"/>
          <w:sz w:val="20"/>
        </w:rPr>
        <w:t> la</w:t>
      </w:r>
      <w:r>
        <w:rPr>
          <w:color w:val="231F1F"/>
          <w:w w:val="110"/>
          <w:sz w:val="20"/>
        </w:rPr>
        <w:t> Sociedad</w:t>
      </w:r>
      <w:r>
        <w:rPr>
          <w:color w:val="231F1F"/>
          <w:w w:val="110"/>
          <w:sz w:val="20"/>
        </w:rPr>
        <w:t> Española</w:t>
      </w:r>
      <w:r>
        <w:rPr>
          <w:color w:val="231F1F"/>
          <w:w w:val="110"/>
          <w:sz w:val="20"/>
        </w:rPr>
        <w:t> de</w:t>
      </w:r>
      <w:r>
        <w:rPr>
          <w:color w:val="231F1F"/>
          <w:w w:val="110"/>
          <w:sz w:val="20"/>
        </w:rPr>
        <w:t> Neonatología. Recomendaciones</w:t>
      </w:r>
      <w:r>
        <w:rPr>
          <w:color w:val="231F1F"/>
          <w:w w:val="110"/>
          <w:sz w:val="20"/>
        </w:rPr>
        <w:t> para</w:t>
      </w:r>
      <w:r>
        <w:rPr>
          <w:color w:val="231F1F"/>
          <w:w w:val="110"/>
          <w:sz w:val="20"/>
        </w:rPr>
        <w:t> el</w:t>
      </w:r>
      <w:r>
        <w:rPr>
          <w:color w:val="231F1F"/>
          <w:w w:val="110"/>
          <w:sz w:val="20"/>
        </w:rPr>
        <w:t> cuidado</w:t>
      </w:r>
      <w:r>
        <w:rPr>
          <w:color w:val="231F1F"/>
          <w:w w:val="110"/>
          <w:sz w:val="20"/>
        </w:rPr>
        <w:t> y</w:t>
      </w:r>
      <w:r>
        <w:rPr>
          <w:color w:val="231F1F"/>
          <w:w w:val="110"/>
          <w:sz w:val="20"/>
        </w:rPr>
        <w:t> atención</w:t>
      </w:r>
      <w:r>
        <w:rPr>
          <w:color w:val="231F1F"/>
          <w:w w:val="110"/>
          <w:sz w:val="20"/>
        </w:rPr>
        <w:t> del</w:t>
      </w:r>
      <w:r>
        <w:rPr>
          <w:color w:val="231F1F"/>
          <w:w w:val="110"/>
          <w:sz w:val="20"/>
        </w:rPr>
        <w:t> recién</w:t>
      </w:r>
      <w:r>
        <w:rPr>
          <w:color w:val="231F1F"/>
          <w:w w:val="110"/>
          <w:sz w:val="20"/>
        </w:rPr>
        <w:t> nacido</w:t>
      </w:r>
      <w:r>
        <w:rPr>
          <w:color w:val="231F1F"/>
          <w:w w:val="110"/>
          <w:sz w:val="20"/>
        </w:rPr>
        <w:t> sano</w:t>
      </w:r>
      <w:r>
        <w:rPr>
          <w:color w:val="231F1F"/>
          <w:w w:val="110"/>
          <w:sz w:val="20"/>
        </w:rPr>
        <w:t> en</w:t>
      </w:r>
      <w:r>
        <w:rPr>
          <w:color w:val="231F1F"/>
          <w:w w:val="110"/>
          <w:sz w:val="20"/>
        </w:rPr>
        <w:t> el</w:t>
      </w:r>
      <w:r>
        <w:rPr>
          <w:color w:val="231F1F"/>
          <w:w w:val="110"/>
          <w:sz w:val="20"/>
        </w:rPr>
        <w:t> parto</w:t>
      </w:r>
      <w:r>
        <w:rPr>
          <w:color w:val="231F1F"/>
          <w:w w:val="110"/>
          <w:sz w:val="20"/>
        </w:rPr>
        <w:t> y</w:t>
      </w:r>
      <w:r>
        <w:rPr>
          <w:color w:val="231F1F"/>
          <w:w w:val="110"/>
          <w:sz w:val="20"/>
        </w:rPr>
        <w:t> en</w:t>
      </w:r>
      <w:r>
        <w:rPr>
          <w:color w:val="231F1F"/>
          <w:w w:val="110"/>
          <w:sz w:val="20"/>
        </w:rPr>
        <w:t> las primeras horas después del nacimiento.</w:t>
      </w:r>
      <w:r>
        <w:rPr>
          <w:color w:val="231F1F"/>
          <w:spacing w:val="-5"/>
          <w:w w:val="110"/>
          <w:sz w:val="20"/>
        </w:rPr>
        <w:t> </w:t>
      </w:r>
      <w:r>
        <w:rPr>
          <w:color w:val="231F1F"/>
          <w:w w:val="110"/>
          <w:sz w:val="20"/>
        </w:rPr>
        <w:t>An Pediatr(Barc) 2009;71(4):349-61.</w:t>
      </w:r>
    </w:p>
    <w:p>
      <w:pPr>
        <w:pStyle w:val="ListParagraph"/>
        <w:numPr>
          <w:ilvl w:val="0"/>
          <w:numId w:val="109"/>
        </w:numPr>
        <w:tabs>
          <w:tab w:pos="794" w:val="left" w:leader="none"/>
          <w:tab w:pos="798" w:val="left" w:leader="none"/>
        </w:tabs>
        <w:spacing w:line="220" w:lineRule="auto" w:before="203" w:after="0"/>
        <w:ind w:left="798" w:right="454" w:hanging="502"/>
        <w:jc w:val="left"/>
        <w:rPr>
          <w:sz w:val="20"/>
        </w:rPr>
      </w:pPr>
      <w:r>
        <w:rPr>
          <w:color w:val="231F1F"/>
          <w:w w:val="105"/>
          <w:sz w:val="20"/>
        </w:rPr>
        <w:t>Albert</w:t>
      </w:r>
      <w:r>
        <w:rPr>
          <w:color w:val="231F1F"/>
          <w:spacing w:val="36"/>
          <w:w w:val="105"/>
          <w:sz w:val="20"/>
        </w:rPr>
        <w:t> </w:t>
      </w:r>
      <w:r>
        <w:rPr>
          <w:color w:val="231F1F"/>
          <w:w w:val="105"/>
          <w:sz w:val="20"/>
        </w:rPr>
        <w:t>DM,</w:t>
      </w:r>
      <w:r>
        <w:rPr>
          <w:color w:val="231F1F"/>
          <w:spacing w:val="33"/>
          <w:w w:val="105"/>
          <w:sz w:val="20"/>
        </w:rPr>
        <w:t> </w:t>
      </w:r>
      <w:r>
        <w:rPr>
          <w:color w:val="231F1F"/>
          <w:w w:val="105"/>
          <w:sz w:val="20"/>
        </w:rPr>
        <w:t>Jakobiec</w:t>
      </w:r>
      <w:r>
        <w:rPr>
          <w:color w:val="231F1F"/>
          <w:spacing w:val="36"/>
          <w:w w:val="105"/>
          <w:sz w:val="20"/>
        </w:rPr>
        <w:t> </w:t>
      </w:r>
      <w:r>
        <w:rPr>
          <w:color w:val="231F1F"/>
          <w:w w:val="105"/>
          <w:sz w:val="20"/>
        </w:rPr>
        <w:t>FAE.</w:t>
      </w:r>
      <w:r>
        <w:rPr>
          <w:color w:val="231F1F"/>
          <w:spacing w:val="33"/>
          <w:w w:val="105"/>
          <w:sz w:val="20"/>
        </w:rPr>
        <w:t> </w:t>
      </w:r>
      <w:r>
        <w:rPr>
          <w:color w:val="231F1F"/>
          <w:w w:val="105"/>
          <w:sz w:val="20"/>
        </w:rPr>
        <w:t>Principles</w:t>
      </w:r>
      <w:r>
        <w:rPr>
          <w:color w:val="231F1F"/>
          <w:spacing w:val="36"/>
          <w:w w:val="105"/>
          <w:sz w:val="20"/>
        </w:rPr>
        <w:t> </w:t>
      </w:r>
      <w:r>
        <w:rPr>
          <w:color w:val="231F1F"/>
          <w:w w:val="105"/>
          <w:sz w:val="20"/>
        </w:rPr>
        <w:t>and</w:t>
      </w:r>
      <w:r>
        <w:rPr>
          <w:color w:val="231F1F"/>
          <w:spacing w:val="35"/>
          <w:w w:val="105"/>
          <w:sz w:val="20"/>
        </w:rPr>
        <w:t> </w:t>
      </w:r>
      <w:r>
        <w:rPr>
          <w:color w:val="231F1F"/>
          <w:w w:val="105"/>
          <w:sz w:val="20"/>
        </w:rPr>
        <w:t>practice</w:t>
      </w:r>
      <w:r>
        <w:rPr>
          <w:color w:val="231F1F"/>
          <w:spacing w:val="35"/>
          <w:w w:val="105"/>
          <w:sz w:val="20"/>
        </w:rPr>
        <w:t> </w:t>
      </w:r>
      <w:r>
        <w:rPr>
          <w:color w:val="231F1F"/>
          <w:w w:val="105"/>
          <w:sz w:val="20"/>
        </w:rPr>
        <w:t>of</w:t>
      </w:r>
      <w:r>
        <w:rPr>
          <w:color w:val="231F1F"/>
          <w:spacing w:val="36"/>
          <w:w w:val="105"/>
          <w:sz w:val="20"/>
        </w:rPr>
        <w:t> </w:t>
      </w:r>
      <w:r>
        <w:rPr>
          <w:color w:val="231F1F"/>
          <w:w w:val="105"/>
          <w:sz w:val="20"/>
        </w:rPr>
        <w:t>ophthalmology:</w:t>
      </w:r>
      <w:r>
        <w:rPr>
          <w:color w:val="231F1F"/>
          <w:spacing w:val="31"/>
          <w:w w:val="105"/>
          <w:sz w:val="20"/>
        </w:rPr>
        <w:t> </w:t>
      </w:r>
      <w:r>
        <w:rPr>
          <w:color w:val="231F1F"/>
          <w:w w:val="105"/>
          <w:sz w:val="20"/>
        </w:rPr>
        <w:t>clinical</w:t>
      </w:r>
      <w:r>
        <w:rPr>
          <w:color w:val="231F1F"/>
          <w:spacing w:val="36"/>
          <w:w w:val="105"/>
          <w:sz w:val="20"/>
        </w:rPr>
        <w:t> </w:t>
      </w:r>
      <w:r>
        <w:rPr>
          <w:color w:val="231F1F"/>
          <w:w w:val="105"/>
          <w:sz w:val="20"/>
        </w:rPr>
        <w:t>practice. Philadelphia: W B Saunders Company 1994.</w:t>
      </w:r>
    </w:p>
    <w:p>
      <w:pPr>
        <w:pStyle w:val="ListParagraph"/>
        <w:numPr>
          <w:ilvl w:val="0"/>
          <w:numId w:val="109"/>
        </w:numPr>
        <w:tabs>
          <w:tab w:pos="793" w:val="left" w:leader="none"/>
          <w:tab w:pos="797" w:val="left" w:leader="none"/>
        </w:tabs>
        <w:spacing w:line="240" w:lineRule="auto" w:before="176" w:after="0"/>
        <w:ind w:left="797" w:right="530" w:hanging="502"/>
        <w:jc w:val="left"/>
        <w:rPr>
          <w:sz w:val="20"/>
        </w:rPr>
      </w:pPr>
      <w:r>
        <w:rPr>
          <w:color w:val="231F1F"/>
          <w:sz w:val="20"/>
        </w:rPr>
        <w:t>Deschenes</w:t>
      </w:r>
      <w:r>
        <w:rPr>
          <w:color w:val="231F1F"/>
          <w:spacing w:val="-4"/>
          <w:sz w:val="20"/>
        </w:rPr>
        <w:t> </w:t>
      </w:r>
      <w:r>
        <w:rPr>
          <w:color w:val="231F1F"/>
          <w:sz w:val="20"/>
        </w:rPr>
        <w:t>J,</w:t>
      </w:r>
      <w:r>
        <w:rPr>
          <w:color w:val="231F1F"/>
          <w:spacing w:val="-8"/>
          <w:sz w:val="20"/>
        </w:rPr>
        <w:t> </w:t>
      </w:r>
      <w:r>
        <w:rPr>
          <w:color w:val="231F1F"/>
          <w:sz w:val="20"/>
        </w:rPr>
        <w:t>seamone</w:t>
      </w:r>
      <w:r>
        <w:rPr>
          <w:color w:val="231F1F"/>
          <w:spacing w:val="-4"/>
          <w:sz w:val="20"/>
        </w:rPr>
        <w:t> </w:t>
      </w:r>
      <w:r>
        <w:rPr>
          <w:color w:val="231F1F"/>
          <w:sz w:val="20"/>
        </w:rPr>
        <w:t>C,</w:t>
      </w:r>
      <w:r>
        <w:rPr>
          <w:color w:val="231F1F"/>
          <w:spacing w:val="-8"/>
          <w:sz w:val="20"/>
        </w:rPr>
        <w:t> </w:t>
      </w:r>
      <w:r>
        <w:rPr>
          <w:color w:val="231F1F"/>
          <w:sz w:val="20"/>
        </w:rPr>
        <w:t>Baines</w:t>
      </w:r>
      <w:r>
        <w:rPr>
          <w:color w:val="231F1F"/>
          <w:spacing w:val="-4"/>
          <w:sz w:val="20"/>
        </w:rPr>
        <w:t> </w:t>
      </w:r>
      <w:r>
        <w:rPr>
          <w:color w:val="231F1F"/>
          <w:sz w:val="20"/>
        </w:rPr>
        <w:t>M.The</w:t>
      </w:r>
      <w:r>
        <w:rPr>
          <w:color w:val="231F1F"/>
          <w:spacing w:val="-4"/>
          <w:sz w:val="20"/>
        </w:rPr>
        <w:t> </w:t>
      </w:r>
      <w:r>
        <w:rPr>
          <w:color w:val="231F1F"/>
          <w:sz w:val="20"/>
        </w:rPr>
        <w:t>ocular</w:t>
      </w:r>
      <w:r>
        <w:rPr>
          <w:color w:val="231F1F"/>
          <w:spacing w:val="-4"/>
          <w:sz w:val="20"/>
        </w:rPr>
        <w:t> </w:t>
      </w:r>
      <w:r>
        <w:rPr>
          <w:color w:val="231F1F"/>
          <w:sz w:val="20"/>
        </w:rPr>
        <w:t>manifestations</w:t>
      </w:r>
      <w:r>
        <w:rPr>
          <w:color w:val="231F1F"/>
          <w:spacing w:val="-4"/>
          <w:sz w:val="20"/>
        </w:rPr>
        <w:t> </w:t>
      </w:r>
      <w:r>
        <w:rPr>
          <w:color w:val="231F1F"/>
          <w:sz w:val="20"/>
        </w:rPr>
        <w:t>of</w:t>
      </w:r>
      <w:r>
        <w:rPr>
          <w:color w:val="231F1F"/>
          <w:spacing w:val="-4"/>
          <w:sz w:val="20"/>
        </w:rPr>
        <w:t> </w:t>
      </w:r>
      <w:r>
        <w:rPr>
          <w:color w:val="231F1F"/>
          <w:sz w:val="20"/>
        </w:rPr>
        <w:t>sexually</w:t>
      </w:r>
      <w:r>
        <w:rPr>
          <w:color w:val="231F1F"/>
          <w:spacing w:val="-4"/>
          <w:sz w:val="20"/>
        </w:rPr>
        <w:t> </w:t>
      </w:r>
      <w:r>
        <w:rPr>
          <w:color w:val="231F1F"/>
          <w:sz w:val="20"/>
        </w:rPr>
        <w:t>transmitted</w:t>
      </w:r>
      <w:r>
        <w:rPr>
          <w:color w:val="231F1F"/>
          <w:spacing w:val="-4"/>
          <w:sz w:val="20"/>
        </w:rPr>
        <w:t> </w:t>
      </w:r>
      <w:r>
        <w:rPr>
          <w:color w:val="231F1F"/>
          <w:sz w:val="20"/>
        </w:rPr>
        <w:t>diseases. Can J Ophthalmol 1990;25:177-85.</w:t>
      </w:r>
    </w:p>
    <w:p>
      <w:pPr>
        <w:pStyle w:val="ListParagraph"/>
        <w:numPr>
          <w:ilvl w:val="0"/>
          <w:numId w:val="109"/>
        </w:numPr>
        <w:tabs>
          <w:tab w:pos="794" w:val="left" w:leader="none"/>
        </w:tabs>
        <w:spacing w:line="240" w:lineRule="auto" w:before="159" w:after="0"/>
        <w:ind w:left="794" w:right="0" w:hanging="498"/>
        <w:jc w:val="left"/>
        <w:rPr>
          <w:sz w:val="20"/>
        </w:rPr>
      </w:pPr>
      <w:r>
        <w:rPr>
          <w:color w:val="231F1F"/>
          <w:sz w:val="20"/>
        </w:rPr>
        <w:t>Isenberg</w:t>
      </w:r>
      <w:r>
        <w:rPr>
          <w:color w:val="231F1F"/>
          <w:spacing w:val="16"/>
          <w:sz w:val="20"/>
        </w:rPr>
        <w:t> </w:t>
      </w:r>
      <w:r>
        <w:rPr>
          <w:color w:val="231F1F"/>
          <w:sz w:val="20"/>
        </w:rPr>
        <w:t>SJE.</w:t>
      </w:r>
      <w:r>
        <w:rPr>
          <w:color w:val="231F1F"/>
          <w:spacing w:val="-10"/>
          <w:sz w:val="20"/>
        </w:rPr>
        <w:t> </w:t>
      </w:r>
      <w:r>
        <w:rPr>
          <w:color w:val="231F1F"/>
          <w:sz w:val="20"/>
        </w:rPr>
        <w:t>The</w:t>
      </w:r>
      <w:r>
        <w:rPr>
          <w:color w:val="231F1F"/>
          <w:spacing w:val="20"/>
          <w:sz w:val="20"/>
        </w:rPr>
        <w:t> </w:t>
      </w:r>
      <w:r>
        <w:rPr>
          <w:color w:val="231F1F"/>
          <w:sz w:val="20"/>
        </w:rPr>
        <w:t>eye</w:t>
      </w:r>
      <w:r>
        <w:rPr>
          <w:color w:val="231F1F"/>
          <w:spacing w:val="20"/>
          <w:sz w:val="20"/>
        </w:rPr>
        <w:t> </w:t>
      </w:r>
      <w:r>
        <w:rPr>
          <w:color w:val="231F1F"/>
          <w:sz w:val="20"/>
        </w:rPr>
        <w:t>in</w:t>
      </w:r>
      <w:r>
        <w:rPr>
          <w:color w:val="231F1F"/>
          <w:spacing w:val="21"/>
          <w:sz w:val="20"/>
        </w:rPr>
        <w:t> </w:t>
      </w:r>
      <w:r>
        <w:rPr>
          <w:color w:val="231F1F"/>
          <w:sz w:val="20"/>
        </w:rPr>
        <w:t>infancy.</w:t>
      </w:r>
      <w:r>
        <w:rPr>
          <w:color w:val="231F1F"/>
          <w:spacing w:val="3"/>
          <w:sz w:val="20"/>
        </w:rPr>
        <w:t> </w:t>
      </w:r>
      <w:r>
        <w:rPr>
          <w:color w:val="231F1F"/>
          <w:sz w:val="20"/>
        </w:rPr>
        <w:t>2nd</w:t>
      </w:r>
      <w:r>
        <w:rPr>
          <w:color w:val="231F1F"/>
          <w:spacing w:val="21"/>
          <w:sz w:val="20"/>
        </w:rPr>
        <w:t> </w:t>
      </w:r>
      <w:r>
        <w:rPr>
          <w:color w:val="231F1F"/>
          <w:sz w:val="20"/>
        </w:rPr>
        <w:t>Edition.</w:t>
      </w:r>
      <w:r>
        <w:rPr>
          <w:color w:val="231F1F"/>
          <w:spacing w:val="5"/>
          <w:sz w:val="20"/>
        </w:rPr>
        <w:t> </w:t>
      </w:r>
      <w:r>
        <w:rPr>
          <w:color w:val="231F1F"/>
          <w:sz w:val="20"/>
        </w:rPr>
        <w:t>St</w:t>
      </w:r>
      <w:r>
        <w:rPr>
          <w:color w:val="231F1F"/>
          <w:spacing w:val="19"/>
          <w:sz w:val="20"/>
        </w:rPr>
        <w:t> </w:t>
      </w:r>
      <w:r>
        <w:rPr>
          <w:color w:val="231F1F"/>
          <w:sz w:val="20"/>
        </w:rPr>
        <w:t>Louis:</w:t>
      </w:r>
      <w:r>
        <w:rPr>
          <w:color w:val="231F1F"/>
          <w:spacing w:val="5"/>
          <w:sz w:val="20"/>
        </w:rPr>
        <w:t> </w:t>
      </w:r>
      <w:r>
        <w:rPr>
          <w:color w:val="231F1F"/>
          <w:sz w:val="20"/>
        </w:rPr>
        <w:t>Mosby</w:t>
      </w:r>
      <w:r>
        <w:rPr>
          <w:color w:val="231F1F"/>
          <w:spacing w:val="21"/>
          <w:sz w:val="20"/>
        </w:rPr>
        <w:t> </w:t>
      </w:r>
      <w:r>
        <w:rPr>
          <w:color w:val="231F1F"/>
          <w:spacing w:val="-2"/>
          <w:sz w:val="20"/>
        </w:rPr>
        <w:t>1994.</w:t>
      </w:r>
    </w:p>
    <w:p>
      <w:pPr>
        <w:pStyle w:val="ListParagraph"/>
        <w:numPr>
          <w:ilvl w:val="0"/>
          <w:numId w:val="109"/>
        </w:numPr>
        <w:tabs>
          <w:tab w:pos="793" w:val="left" w:leader="none"/>
          <w:tab w:pos="797" w:val="left" w:leader="none"/>
        </w:tabs>
        <w:spacing w:line="218" w:lineRule="auto" w:before="147" w:after="0"/>
        <w:ind w:left="797" w:right="124" w:hanging="509"/>
        <w:jc w:val="both"/>
        <w:rPr>
          <w:sz w:val="20"/>
        </w:rPr>
      </w:pPr>
      <w:r>
        <w:rPr>
          <w:color w:val="231F1F"/>
          <w:w w:val="110"/>
          <w:position w:val="1"/>
          <w:sz w:val="20"/>
        </w:rPr>
        <w:t>Canadian</w:t>
      </w:r>
      <w:r>
        <w:rPr>
          <w:color w:val="231F1F"/>
          <w:spacing w:val="-14"/>
          <w:w w:val="110"/>
          <w:position w:val="1"/>
          <w:sz w:val="20"/>
        </w:rPr>
        <w:t> </w:t>
      </w:r>
      <w:r>
        <w:rPr>
          <w:color w:val="231F1F"/>
          <w:w w:val="110"/>
          <w:position w:val="1"/>
          <w:sz w:val="20"/>
        </w:rPr>
        <w:t>task</w:t>
      </w:r>
      <w:r>
        <w:rPr>
          <w:color w:val="231F1F"/>
          <w:spacing w:val="-14"/>
          <w:w w:val="110"/>
          <w:position w:val="1"/>
          <w:sz w:val="20"/>
        </w:rPr>
        <w:t> </w:t>
      </w:r>
      <w:r>
        <w:rPr>
          <w:color w:val="231F1F"/>
          <w:w w:val="110"/>
          <w:position w:val="1"/>
          <w:sz w:val="20"/>
        </w:rPr>
        <w:t>Force</w:t>
      </w:r>
      <w:r>
        <w:rPr>
          <w:color w:val="231F1F"/>
          <w:spacing w:val="-14"/>
          <w:w w:val="110"/>
          <w:position w:val="1"/>
          <w:sz w:val="20"/>
        </w:rPr>
        <w:t> </w:t>
      </w:r>
      <w:r>
        <w:rPr>
          <w:color w:val="231F1F"/>
          <w:w w:val="110"/>
          <w:position w:val="1"/>
          <w:sz w:val="20"/>
        </w:rPr>
        <w:t>on</w:t>
      </w:r>
      <w:r>
        <w:rPr>
          <w:color w:val="231F1F"/>
          <w:spacing w:val="-13"/>
          <w:w w:val="110"/>
          <w:position w:val="1"/>
          <w:sz w:val="20"/>
        </w:rPr>
        <w:t> </w:t>
      </w:r>
      <w:r>
        <w:rPr>
          <w:color w:val="231F1F"/>
          <w:w w:val="110"/>
          <w:position w:val="1"/>
          <w:sz w:val="20"/>
        </w:rPr>
        <w:t>the</w:t>
      </w:r>
      <w:r>
        <w:rPr>
          <w:color w:val="231F1F"/>
          <w:spacing w:val="-14"/>
          <w:w w:val="110"/>
          <w:position w:val="1"/>
          <w:sz w:val="20"/>
        </w:rPr>
        <w:t> </w:t>
      </w:r>
      <w:r>
        <w:rPr>
          <w:color w:val="231F1F"/>
          <w:w w:val="110"/>
          <w:position w:val="1"/>
          <w:sz w:val="20"/>
        </w:rPr>
        <w:t>Periodic</w:t>
      </w:r>
      <w:r>
        <w:rPr>
          <w:color w:val="231F1F"/>
          <w:spacing w:val="-14"/>
          <w:w w:val="110"/>
          <w:position w:val="1"/>
          <w:sz w:val="20"/>
        </w:rPr>
        <w:t> </w:t>
      </w:r>
      <w:r>
        <w:rPr>
          <w:color w:val="231F1F"/>
          <w:w w:val="110"/>
          <w:position w:val="1"/>
          <w:sz w:val="20"/>
        </w:rPr>
        <w:t>Health</w:t>
      </w:r>
      <w:r>
        <w:rPr>
          <w:color w:val="231F1F"/>
          <w:spacing w:val="-14"/>
          <w:w w:val="110"/>
          <w:position w:val="1"/>
          <w:sz w:val="20"/>
        </w:rPr>
        <w:t> </w:t>
      </w:r>
      <w:r>
        <w:rPr>
          <w:color w:val="231F1F"/>
          <w:w w:val="110"/>
          <w:position w:val="1"/>
          <w:sz w:val="20"/>
        </w:rPr>
        <w:t>Examination.</w:t>
      </w:r>
      <w:r>
        <w:rPr>
          <w:color w:val="231F1F"/>
          <w:spacing w:val="-13"/>
          <w:w w:val="110"/>
          <w:position w:val="1"/>
          <w:sz w:val="20"/>
        </w:rPr>
        <w:t> </w:t>
      </w:r>
      <w:r>
        <w:rPr>
          <w:color w:val="231F1F"/>
          <w:w w:val="110"/>
          <w:position w:val="1"/>
          <w:sz w:val="20"/>
        </w:rPr>
        <w:t>Periodic</w:t>
      </w:r>
      <w:r>
        <w:rPr>
          <w:color w:val="231F1F"/>
          <w:spacing w:val="-14"/>
          <w:w w:val="110"/>
          <w:position w:val="1"/>
          <w:sz w:val="20"/>
        </w:rPr>
        <w:t> </w:t>
      </w:r>
      <w:r>
        <w:rPr>
          <w:color w:val="231F1F"/>
          <w:w w:val="110"/>
          <w:position w:val="1"/>
          <w:sz w:val="20"/>
        </w:rPr>
        <w:t>health</w:t>
      </w:r>
      <w:r>
        <w:rPr>
          <w:color w:val="231F1F"/>
          <w:spacing w:val="-14"/>
          <w:w w:val="110"/>
          <w:position w:val="1"/>
          <w:sz w:val="20"/>
        </w:rPr>
        <w:t> </w:t>
      </w:r>
      <w:r>
        <w:rPr>
          <w:color w:val="231F1F"/>
          <w:w w:val="110"/>
          <w:position w:val="1"/>
          <w:sz w:val="20"/>
        </w:rPr>
        <w:t>examination,</w:t>
      </w:r>
      <w:r>
        <w:rPr>
          <w:color w:val="231F1F"/>
          <w:spacing w:val="-14"/>
          <w:w w:val="110"/>
          <w:position w:val="1"/>
          <w:sz w:val="20"/>
        </w:rPr>
        <w:t> </w:t>
      </w:r>
      <w:r>
        <w:rPr>
          <w:color w:val="231F1F"/>
          <w:w w:val="110"/>
          <w:position w:val="1"/>
          <w:sz w:val="20"/>
        </w:rPr>
        <w:t>1992 </w:t>
      </w:r>
      <w:r>
        <w:rPr>
          <w:color w:val="231F1F"/>
          <w:w w:val="110"/>
          <w:sz w:val="20"/>
        </w:rPr>
        <w:t>update: 4. Prophylaxis for gonococcal and chlamydial ophthalmia neonatorum. Can Med Assoc J 1992;147(10):1449-54.</w:t>
      </w:r>
    </w:p>
    <w:p>
      <w:pPr>
        <w:pStyle w:val="ListParagraph"/>
        <w:numPr>
          <w:ilvl w:val="0"/>
          <w:numId w:val="109"/>
        </w:numPr>
        <w:tabs>
          <w:tab w:pos="793" w:val="left" w:leader="none"/>
          <w:tab w:pos="797" w:val="left" w:leader="none"/>
        </w:tabs>
        <w:spacing w:line="228" w:lineRule="auto" w:before="175" w:after="0"/>
        <w:ind w:left="797" w:right="107" w:hanging="502"/>
        <w:jc w:val="both"/>
        <w:rPr>
          <w:sz w:val="20"/>
        </w:rPr>
      </w:pPr>
      <w:r>
        <w:rPr>
          <w:color w:val="231F1F"/>
          <w:w w:val="110"/>
          <w:position w:val="1"/>
          <w:sz w:val="20"/>
        </w:rPr>
        <w:t>Goldbloom</w:t>
      </w:r>
      <w:r>
        <w:rPr>
          <w:color w:val="231F1F"/>
          <w:w w:val="110"/>
          <w:position w:val="1"/>
          <w:sz w:val="20"/>
        </w:rPr>
        <w:t> RB.</w:t>
      </w:r>
      <w:r>
        <w:rPr>
          <w:color w:val="231F1F"/>
          <w:w w:val="110"/>
          <w:position w:val="1"/>
          <w:sz w:val="20"/>
        </w:rPr>
        <w:t> Prophylaxis</w:t>
      </w:r>
      <w:r>
        <w:rPr>
          <w:color w:val="231F1F"/>
          <w:w w:val="110"/>
          <w:position w:val="1"/>
          <w:sz w:val="20"/>
        </w:rPr>
        <w:t> for</w:t>
      </w:r>
      <w:r>
        <w:rPr>
          <w:color w:val="231F1F"/>
          <w:w w:val="110"/>
          <w:position w:val="1"/>
          <w:sz w:val="20"/>
        </w:rPr>
        <w:t> gonococcal</w:t>
      </w:r>
      <w:r>
        <w:rPr>
          <w:color w:val="231F1F"/>
          <w:w w:val="110"/>
          <w:position w:val="1"/>
          <w:sz w:val="20"/>
        </w:rPr>
        <w:t> and</w:t>
      </w:r>
      <w:r>
        <w:rPr>
          <w:color w:val="231F1F"/>
          <w:w w:val="110"/>
          <w:position w:val="1"/>
          <w:sz w:val="20"/>
        </w:rPr>
        <w:t> chamydial</w:t>
      </w:r>
      <w:r>
        <w:rPr>
          <w:color w:val="231F1F"/>
          <w:w w:val="110"/>
          <w:position w:val="1"/>
          <w:sz w:val="20"/>
        </w:rPr>
        <w:t> ophtalmia</w:t>
      </w:r>
      <w:r>
        <w:rPr>
          <w:color w:val="231F1F"/>
          <w:w w:val="110"/>
          <w:position w:val="1"/>
          <w:sz w:val="20"/>
        </w:rPr>
        <w:t> neonatorum.</w:t>
      </w:r>
      <w:r>
        <w:rPr>
          <w:color w:val="231F1F"/>
          <w:w w:val="110"/>
          <w:position w:val="1"/>
          <w:sz w:val="20"/>
        </w:rPr>
        <w:t> En: </w:t>
      </w:r>
      <w:r>
        <w:rPr>
          <w:color w:val="231F1F"/>
          <w:w w:val="110"/>
          <w:sz w:val="20"/>
        </w:rPr>
        <w:t>Canadian</w:t>
      </w:r>
      <w:r>
        <w:rPr>
          <w:color w:val="231F1F"/>
          <w:w w:val="110"/>
          <w:sz w:val="20"/>
        </w:rPr>
        <w:t> Task</w:t>
      </w:r>
      <w:r>
        <w:rPr>
          <w:color w:val="231F1F"/>
          <w:w w:val="110"/>
          <w:sz w:val="20"/>
        </w:rPr>
        <w:t> Force</w:t>
      </w:r>
      <w:r>
        <w:rPr>
          <w:color w:val="231F1F"/>
          <w:w w:val="110"/>
          <w:sz w:val="20"/>
        </w:rPr>
        <w:t> on</w:t>
      </w:r>
      <w:r>
        <w:rPr>
          <w:color w:val="231F1F"/>
          <w:w w:val="110"/>
          <w:sz w:val="20"/>
        </w:rPr>
        <w:t> the</w:t>
      </w:r>
      <w:r>
        <w:rPr>
          <w:color w:val="231F1F"/>
          <w:w w:val="110"/>
          <w:sz w:val="20"/>
        </w:rPr>
        <w:t> Periodic</w:t>
      </w:r>
      <w:r>
        <w:rPr>
          <w:color w:val="231F1F"/>
          <w:w w:val="110"/>
          <w:sz w:val="20"/>
        </w:rPr>
        <w:t> Health</w:t>
      </w:r>
      <w:r>
        <w:rPr>
          <w:color w:val="231F1F"/>
          <w:w w:val="110"/>
          <w:sz w:val="20"/>
        </w:rPr>
        <w:t> Examination</w:t>
      </w:r>
      <w:r>
        <w:rPr>
          <w:color w:val="231F1F"/>
          <w:w w:val="110"/>
          <w:sz w:val="20"/>
        </w:rPr>
        <w:t> Canadian</w:t>
      </w:r>
      <w:r>
        <w:rPr>
          <w:color w:val="231F1F"/>
          <w:w w:val="110"/>
          <w:sz w:val="20"/>
        </w:rPr>
        <w:t> Guide</w:t>
      </w:r>
      <w:r>
        <w:rPr>
          <w:color w:val="231F1F"/>
          <w:w w:val="110"/>
          <w:sz w:val="20"/>
        </w:rPr>
        <w:t> to</w:t>
      </w:r>
      <w:r>
        <w:rPr>
          <w:color w:val="231F1F"/>
          <w:w w:val="110"/>
          <w:sz w:val="20"/>
        </w:rPr>
        <w:t> Clinical preventive Health Care Ottawa: health Canada 1994;168-75.</w:t>
      </w:r>
    </w:p>
    <w:p>
      <w:pPr>
        <w:pStyle w:val="ListParagraph"/>
        <w:spacing w:after="0" w:line="228" w:lineRule="auto"/>
        <w:jc w:val="both"/>
        <w:rPr>
          <w:sz w:val="20"/>
        </w:rPr>
        <w:sectPr>
          <w:pgSz w:w="11900" w:h="16840"/>
          <w:pgMar w:header="0" w:footer="622" w:top="1540" w:bottom="820" w:left="1417" w:right="1559"/>
        </w:sectPr>
      </w:pPr>
    </w:p>
    <w:p>
      <w:pPr>
        <w:pStyle w:val="ListParagraph"/>
        <w:numPr>
          <w:ilvl w:val="0"/>
          <w:numId w:val="109"/>
        </w:numPr>
        <w:tabs>
          <w:tab w:pos="793" w:val="left" w:leader="none"/>
          <w:tab w:pos="797" w:val="left" w:leader="none"/>
        </w:tabs>
        <w:spacing w:line="211" w:lineRule="auto" w:before="105" w:after="0"/>
        <w:ind w:left="797" w:right="166" w:hanging="502"/>
        <w:jc w:val="both"/>
        <w:rPr>
          <w:sz w:val="20"/>
        </w:rPr>
      </w:pPr>
      <w:r>
        <w:rPr>
          <w:color w:val="231F1F"/>
          <w:w w:val="110"/>
          <w:position w:val="1"/>
          <w:sz w:val="20"/>
        </w:rPr>
        <w:t>Dumas</w:t>
      </w:r>
      <w:r>
        <w:rPr>
          <w:color w:val="231F1F"/>
          <w:spacing w:val="-6"/>
          <w:w w:val="110"/>
          <w:position w:val="1"/>
          <w:sz w:val="20"/>
        </w:rPr>
        <w:t> </w:t>
      </w:r>
      <w:r>
        <w:rPr>
          <w:color w:val="231F1F"/>
          <w:w w:val="110"/>
          <w:position w:val="1"/>
          <w:sz w:val="20"/>
        </w:rPr>
        <w:t>L,</w:t>
      </w:r>
      <w:r>
        <w:rPr>
          <w:color w:val="231F1F"/>
          <w:spacing w:val="-10"/>
          <w:w w:val="110"/>
          <w:position w:val="1"/>
          <w:sz w:val="20"/>
        </w:rPr>
        <w:t> </w:t>
      </w:r>
      <w:r>
        <w:rPr>
          <w:color w:val="231F1F"/>
          <w:w w:val="110"/>
          <w:position w:val="1"/>
          <w:sz w:val="20"/>
        </w:rPr>
        <w:t>Landry</w:t>
      </w:r>
      <w:r>
        <w:rPr>
          <w:color w:val="231F1F"/>
          <w:spacing w:val="-6"/>
          <w:w w:val="110"/>
          <w:position w:val="1"/>
          <w:sz w:val="20"/>
        </w:rPr>
        <w:t> </w:t>
      </w:r>
      <w:r>
        <w:rPr>
          <w:color w:val="231F1F"/>
          <w:w w:val="110"/>
          <w:position w:val="1"/>
          <w:sz w:val="20"/>
        </w:rPr>
        <w:t>I,</w:t>
      </w:r>
      <w:r>
        <w:rPr>
          <w:color w:val="231F1F"/>
          <w:spacing w:val="-10"/>
          <w:w w:val="110"/>
          <w:position w:val="1"/>
          <w:sz w:val="20"/>
        </w:rPr>
        <w:t> </w:t>
      </w:r>
      <w:r>
        <w:rPr>
          <w:color w:val="231F1F"/>
          <w:w w:val="110"/>
          <w:position w:val="1"/>
          <w:sz w:val="20"/>
        </w:rPr>
        <w:t>savoie</w:t>
      </w:r>
      <w:r>
        <w:rPr>
          <w:color w:val="231F1F"/>
          <w:spacing w:val="-11"/>
          <w:w w:val="110"/>
          <w:position w:val="1"/>
          <w:sz w:val="20"/>
        </w:rPr>
        <w:t> </w:t>
      </w:r>
      <w:r>
        <w:rPr>
          <w:color w:val="231F1F"/>
          <w:w w:val="110"/>
          <w:position w:val="1"/>
          <w:sz w:val="20"/>
        </w:rPr>
        <w:t>A.</w:t>
      </w:r>
      <w:r>
        <w:rPr>
          <w:color w:val="231F1F"/>
          <w:spacing w:val="-11"/>
          <w:w w:val="110"/>
          <w:position w:val="1"/>
          <w:sz w:val="20"/>
        </w:rPr>
        <w:t> </w:t>
      </w:r>
      <w:r>
        <w:rPr>
          <w:color w:val="231F1F"/>
          <w:w w:val="110"/>
          <w:position w:val="1"/>
          <w:sz w:val="20"/>
        </w:rPr>
        <w:t>(Perinatal</w:t>
      </w:r>
      <w:r>
        <w:rPr>
          <w:color w:val="231F1F"/>
          <w:spacing w:val="-6"/>
          <w:w w:val="110"/>
          <w:position w:val="1"/>
          <w:sz w:val="20"/>
        </w:rPr>
        <w:t> </w:t>
      </w:r>
      <w:r>
        <w:rPr>
          <w:color w:val="231F1F"/>
          <w:w w:val="110"/>
          <w:position w:val="1"/>
          <w:sz w:val="20"/>
        </w:rPr>
        <w:t>interventions.The</w:t>
      </w:r>
      <w:r>
        <w:rPr>
          <w:color w:val="231F1F"/>
          <w:spacing w:val="-5"/>
          <w:w w:val="110"/>
          <w:position w:val="1"/>
          <w:sz w:val="20"/>
        </w:rPr>
        <w:t> </w:t>
      </w:r>
      <w:r>
        <w:rPr>
          <w:color w:val="231F1F"/>
          <w:w w:val="110"/>
          <w:position w:val="1"/>
          <w:sz w:val="20"/>
        </w:rPr>
        <w:t>importance</w:t>
      </w:r>
      <w:r>
        <w:rPr>
          <w:color w:val="231F1F"/>
          <w:spacing w:val="-6"/>
          <w:w w:val="110"/>
          <w:position w:val="1"/>
          <w:sz w:val="20"/>
        </w:rPr>
        <w:t> </w:t>
      </w:r>
      <w:r>
        <w:rPr>
          <w:color w:val="231F1F"/>
          <w:w w:val="110"/>
          <w:position w:val="1"/>
          <w:sz w:val="20"/>
        </w:rPr>
        <w:t>of</w:t>
      </w:r>
      <w:r>
        <w:rPr>
          <w:color w:val="231F1F"/>
          <w:spacing w:val="-6"/>
          <w:w w:val="110"/>
          <w:position w:val="1"/>
          <w:sz w:val="20"/>
        </w:rPr>
        <w:t> </w:t>
      </w:r>
      <w:r>
        <w:rPr>
          <w:color w:val="231F1F"/>
          <w:w w:val="110"/>
          <w:position w:val="1"/>
          <w:sz w:val="20"/>
        </w:rPr>
        <w:t>convincing</w:t>
      </w:r>
      <w:r>
        <w:rPr>
          <w:color w:val="231F1F"/>
          <w:spacing w:val="-7"/>
          <w:w w:val="110"/>
          <w:position w:val="1"/>
          <w:sz w:val="20"/>
        </w:rPr>
        <w:t> </w:t>
      </w:r>
      <w:r>
        <w:rPr>
          <w:color w:val="231F1F"/>
          <w:w w:val="110"/>
          <w:position w:val="1"/>
          <w:sz w:val="20"/>
        </w:rPr>
        <w:t>data). </w:t>
      </w:r>
      <w:r>
        <w:rPr>
          <w:color w:val="231F1F"/>
          <w:w w:val="110"/>
          <w:sz w:val="20"/>
        </w:rPr>
        <w:t>Infirm Que 2002;10(2):31-6.</w:t>
      </w:r>
    </w:p>
    <w:p>
      <w:pPr>
        <w:pStyle w:val="ListParagraph"/>
        <w:numPr>
          <w:ilvl w:val="0"/>
          <w:numId w:val="109"/>
        </w:numPr>
        <w:tabs>
          <w:tab w:pos="793" w:val="left" w:leader="none"/>
          <w:tab w:pos="797" w:val="left" w:leader="none"/>
        </w:tabs>
        <w:spacing w:line="223" w:lineRule="auto" w:before="156" w:after="0"/>
        <w:ind w:left="797" w:right="123" w:hanging="502"/>
        <w:jc w:val="both"/>
        <w:rPr>
          <w:sz w:val="20"/>
        </w:rPr>
      </w:pPr>
      <w:r>
        <w:rPr>
          <w:color w:val="231F1F"/>
          <w:w w:val="110"/>
          <w:position w:val="1"/>
          <w:sz w:val="20"/>
        </w:rPr>
        <w:t>Jímenez</w:t>
      </w:r>
      <w:r>
        <w:rPr>
          <w:color w:val="231F1F"/>
          <w:spacing w:val="-12"/>
          <w:w w:val="110"/>
          <w:position w:val="1"/>
          <w:sz w:val="20"/>
        </w:rPr>
        <w:t> </w:t>
      </w:r>
      <w:r>
        <w:rPr>
          <w:color w:val="231F1F"/>
          <w:w w:val="110"/>
          <w:position w:val="1"/>
          <w:sz w:val="20"/>
        </w:rPr>
        <w:t>R.</w:t>
      </w:r>
      <w:r>
        <w:rPr>
          <w:color w:val="231F1F"/>
          <w:spacing w:val="-11"/>
          <w:w w:val="110"/>
          <w:position w:val="1"/>
          <w:sz w:val="20"/>
        </w:rPr>
        <w:t> </w:t>
      </w:r>
      <w:r>
        <w:rPr>
          <w:color w:val="231F1F"/>
          <w:w w:val="110"/>
          <w:position w:val="1"/>
          <w:sz w:val="20"/>
        </w:rPr>
        <w:t>Cuidados</w:t>
      </w:r>
      <w:r>
        <w:rPr>
          <w:color w:val="231F1F"/>
          <w:spacing w:val="-12"/>
          <w:w w:val="110"/>
          <w:position w:val="1"/>
          <w:sz w:val="20"/>
        </w:rPr>
        <w:t> </w:t>
      </w:r>
      <w:r>
        <w:rPr>
          <w:color w:val="231F1F"/>
          <w:w w:val="110"/>
          <w:position w:val="1"/>
          <w:sz w:val="20"/>
        </w:rPr>
        <w:t>del</w:t>
      </w:r>
      <w:r>
        <w:rPr>
          <w:color w:val="231F1F"/>
          <w:spacing w:val="-11"/>
          <w:w w:val="110"/>
          <w:position w:val="1"/>
          <w:sz w:val="20"/>
        </w:rPr>
        <w:t> </w:t>
      </w:r>
      <w:r>
        <w:rPr>
          <w:color w:val="231F1F"/>
          <w:w w:val="110"/>
          <w:position w:val="1"/>
          <w:sz w:val="20"/>
        </w:rPr>
        <w:t>recién</w:t>
      </w:r>
      <w:r>
        <w:rPr>
          <w:color w:val="231F1F"/>
          <w:spacing w:val="-10"/>
          <w:w w:val="110"/>
          <w:position w:val="1"/>
          <w:sz w:val="20"/>
        </w:rPr>
        <w:t> </w:t>
      </w:r>
      <w:r>
        <w:rPr>
          <w:color w:val="231F1F"/>
          <w:w w:val="110"/>
          <w:position w:val="1"/>
          <w:sz w:val="20"/>
        </w:rPr>
        <w:t>nacido</w:t>
      </w:r>
      <w:r>
        <w:rPr>
          <w:color w:val="231F1F"/>
          <w:spacing w:val="-10"/>
          <w:w w:val="110"/>
          <w:position w:val="1"/>
          <w:sz w:val="20"/>
        </w:rPr>
        <w:t> </w:t>
      </w:r>
      <w:r>
        <w:rPr>
          <w:color w:val="231F1F"/>
          <w:w w:val="110"/>
          <w:position w:val="1"/>
          <w:sz w:val="20"/>
        </w:rPr>
        <w:t>normal.En:</w:t>
      </w:r>
      <w:r>
        <w:rPr>
          <w:color w:val="231F1F"/>
          <w:spacing w:val="-12"/>
          <w:w w:val="110"/>
          <w:position w:val="1"/>
          <w:sz w:val="20"/>
        </w:rPr>
        <w:t> </w:t>
      </w:r>
      <w:r>
        <w:rPr>
          <w:color w:val="231F1F"/>
          <w:w w:val="110"/>
          <w:position w:val="1"/>
          <w:sz w:val="20"/>
        </w:rPr>
        <w:t>Delgado</w:t>
      </w:r>
      <w:r>
        <w:rPr>
          <w:color w:val="231F1F"/>
          <w:spacing w:val="-11"/>
          <w:w w:val="110"/>
          <w:position w:val="1"/>
          <w:sz w:val="20"/>
        </w:rPr>
        <w:t> </w:t>
      </w:r>
      <w:r>
        <w:rPr>
          <w:color w:val="231F1F"/>
          <w:w w:val="110"/>
          <w:position w:val="1"/>
          <w:sz w:val="20"/>
        </w:rPr>
        <w:t>Rubio,</w:t>
      </w:r>
      <w:r>
        <w:rPr>
          <w:color w:val="231F1F"/>
          <w:spacing w:val="-12"/>
          <w:w w:val="110"/>
          <w:position w:val="1"/>
          <w:sz w:val="20"/>
        </w:rPr>
        <w:t> </w:t>
      </w:r>
      <w:r>
        <w:rPr>
          <w:color w:val="231F1F"/>
          <w:w w:val="110"/>
          <w:position w:val="1"/>
          <w:sz w:val="20"/>
        </w:rPr>
        <w:t>coordinador.</w:t>
      </w:r>
      <w:r>
        <w:rPr>
          <w:color w:val="231F1F"/>
          <w:spacing w:val="-12"/>
          <w:w w:val="110"/>
          <w:position w:val="1"/>
          <w:sz w:val="20"/>
        </w:rPr>
        <w:t> </w:t>
      </w:r>
      <w:r>
        <w:rPr>
          <w:color w:val="231F1F"/>
          <w:w w:val="110"/>
          <w:position w:val="1"/>
          <w:sz w:val="20"/>
        </w:rPr>
        <w:t>Protocolos </w:t>
      </w:r>
      <w:r>
        <w:rPr>
          <w:color w:val="231F1F"/>
          <w:w w:val="110"/>
          <w:sz w:val="20"/>
        </w:rPr>
        <w:t>diagnósticos</w:t>
      </w:r>
      <w:r>
        <w:rPr>
          <w:color w:val="231F1F"/>
          <w:w w:val="110"/>
          <w:sz w:val="20"/>
        </w:rPr>
        <w:t> y</w:t>
      </w:r>
      <w:r>
        <w:rPr>
          <w:color w:val="231F1F"/>
          <w:w w:val="110"/>
          <w:sz w:val="20"/>
        </w:rPr>
        <w:t> terapeúticos</w:t>
      </w:r>
      <w:r>
        <w:rPr>
          <w:color w:val="231F1F"/>
          <w:w w:val="110"/>
          <w:sz w:val="20"/>
        </w:rPr>
        <w:t> de</w:t>
      </w:r>
      <w:r>
        <w:rPr>
          <w:color w:val="231F1F"/>
          <w:w w:val="110"/>
          <w:sz w:val="20"/>
        </w:rPr>
        <w:t> neonatología</w:t>
      </w:r>
      <w:r>
        <w:rPr>
          <w:color w:val="231F1F"/>
          <w:w w:val="110"/>
          <w:sz w:val="20"/>
        </w:rPr>
        <w:t> en</w:t>
      </w:r>
      <w:r>
        <w:rPr>
          <w:color w:val="231F1F"/>
          <w:w w:val="110"/>
          <w:sz w:val="20"/>
        </w:rPr>
        <w:t> Pediatría.</w:t>
      </w:r>
      <w:r>
        <w:rPr>
          <w:color w:val="231F1F"/>
          <w:w w:val="110"/>
          <w:sz w:val="20"/>
        </w:rPr>
        <w:t> (Internet).Madrid:</w:t>
      </w:r>
      <w:r>
        <w:rPr>
          <w:color w:val="231F1F"/>
          <w:w w:val="110"/>
          <w:sz w:val="20"/>
        </w:rPr>
        <w:t> Asociación española</w:t>
      </w:r>
      <w:r>
        <w:rPr>
          <w:color w:val="231F1F"/>
          <w:spacing w:val="-12"/>
          <w:w w:val="110"/>
          <w:sz w:val="20"/>
        </w:rPr>
        <w:t> </w:t>
      </w:r>
      <w:r>
        <w:rPr>
          <w:color w:val="231F1F"/>
          <w:w w:val="110"/>
          <w:sz w:val="20"/>
        </w:rPr>
        <w:t>de</w:t>
      </w:r>
      <w:r>
        <w:rPr>
          <w:color w:val="231F1F"/>
          <w:spacing w:val="-11"/>
          <w:w w:val="110"/>
          <w:sz w:val="20"/>
        </w:rPr>
        <w:t> </w:t>
      </w:r>
      <w:r>
        <w:rPr>
          <w:color w:val="231F1F"/>
          <w:w w:val="110"/>
          <w:sz w:val="20"/>
        </w:rPr>
        <w:t>Pediatría.</w:t>
      </w:r>
      <w:r>
        <w:rPr>
          <w:color w:val="231F1F"/>
          <w:spacing w:val="-11"/>
          <w:w w:val="110"/>
          <w:sz w:val="20"/>
        </w:rPr>
        <w:t> </w:t>
      </w:r>
      <w:r>
        <w:rPr>
          <w:color w:val="231F1F"/>
          <w:w w:val="110"/>
          <w:sz w:val="20"/>
        </w:rPr>
        <w:t>[</w:t>
      </w:r>
      <w:r>
        <w:rPr>
          <w:color w:val="231F1F"/>
          <w:spacing w:val="-10"/>
          <w:w w:val="110"/>
          <w:sz w:val="20"/>
        </w:rPr>
        <w:t> </w:t>
      </w:r>
      <w:r>
        <w:rPr>
          <w:color w:val="231F1F"/>
          <w:w w:val="110"/>
          <w:sz w:val="20"/>
        </w:rPr>
        <w:t>fecha</w:t>
      </w:r>
      <w:r>
        <w:rPr>
          <w:color w:val="231F1F"/>
          <w:spacing w:val="-10"/>
          <w:w w:val="110"/>
          <w:sz w:val="20"/>
        </w:rPr>
        <w:t> </w:t>
      </w:r>
      <w:r>
        <w:rPr>
          <w:color w:val="231F1F"/>
          <w:w w:val="110"/>
          <w:sz w:val="20"/>
        </w:rPr>
        <w:t>de</w:t>
      </w:r>
      <w:r>
        <w:rPr>
          <w:color w:val="231F1F"/>
          <w:spacing w:val="-10"/>
          <w:w w:val="110"/>
          <w:sz w:val="20"/>
        </w:rPr>
        <w:t> </w:t>
      </w:r>
      <w:r>
        <w:rPr>
          <w:color w:val="231F1F"/>
          <w:w w:val="110"/>
          <w:sz w:val="20"/>
        </w:rPr>
        <w:t>consulta</w:t>
      </w:r>
      <w:r>
        <w:rPr>
          <w:color w:val="231F1F"/>
          <w:spacing w:val="-11"/>
          <w:w w:val="110"/>
          <w:sz w:val="20"/>
        </w:rPr>
        <w:t> </w:t>
      </w:r>
      <w:r>
        <w:rPr>
          <w:color w:val="231F1F"/>
          <w:w w:val="110"/>
          <w:sz w:val="20"/>
        </w:rPr>
        <w:t>24</w:t>
      </w:r>
      <w:r>
        <w:rPr>
          <w:color w:val="231F1F"/>
          <w:spacing w:val="-10"/>
          <w:w w:val="110"/>
          <w:sz w:val="20"/>
        </w:rPr>
        <w:t> </w:t>
      </w:r>
      <w:r>
        <w:rPr>
          <w:color w:val="231F1F"/>
          <w:w w:val="110"/>
          <w:sz w:val="20"/>
        </w:rPr>
        <w:t>jun</w:t>
      </w:r>
      <w:r>
        <w:rPr>
          <w:color w:val="231F1F"/>
          <w:spacing w:val="-10"/>
          <w:w w:val="110"/>
          <w:sz w:val="20"/>
        </w:rPr>
        <w:t> </w:t>
      </w:r>
      <w:r>
        <w:rPr>
          <w:color w:val="231F1F"/>
          <w:w w:val="110"/>
          <w:sz w:val="20"/>
        </w:rPr>
        <w:t>2008]</w:t>
      </w:r>
      <w:r>
        <w:rPr>
          <w:color w:val="231F1F"/>
          <w:spacing w:val="-10"/>
          <w:w w:val="110"/>
          <w:sz w:val="20"/>
        </w:rPr>
        <w:t> </w:t>
      </w:r>
      <w:r>
        <w:rPr>
          <w:color w:val="231F1F"/>
          <w:w w:val="110"/>
          <w:sz w:val="20"/>
        </w:rPr>
        <w:t>Disponible</w:t>
      </w:r>
      <w:r>
        <w:rPr>
          <w:color w:val="231F1F"/>
          <w:spacing w:val="-11"/>
          <w:w w:val="110"/>
          <w:sz w:val="20"/>
        </w:rPr>
        <w:t> </w:t>
      </w:r>
      <w:r>
        <w:rPr>
          <w:color w:val="231F1F"/>
          <w:w w:val="110"/>
          <w:sz w:val="20"/>
        </w:rPr>
        <w:t>en:</w:t>
      </w:r>
      <w:r>
        <w:rPr>
          <w:color w:val="231F1F"/>
          <w:spacing w:val="-11"/>
          <w:w w:val="110"/>
          <w:sz w:val="20"/>
        </w:rPr>
        <w:t> </w:t>
      </w:r>
      <w:hyperlink r:id="rId109">
        <w:r>
          <w:rPr>
            <w:color w:val="A30046"/>
            <w:w w:val="110"/>
            <w:sz w:val="20"/>
          </w:rPr>
          <w:t>http://www.aeped.es/</w:t>
        </w:r>
      </w:hyperlink>
      <w:r>
        <w:rPr>
          <w:color w:val="A30046"/>
          <w:w w:val="110"/>
          <w:sz w:val="20"/>
        </w:rPr>
        <w:t> protocolos/neonatología/index.htm </w:t>
      </w:r>
      <w:r>
        <w:rPr>
          <w:color w:val="231F1F"/>
          <w:w w:val="110"/>
          <w:sz w:val="20"/>
        </w:rPr>
        <w:t>2002.</w:t>
      </w:r>
    </w:p>
    <w:p>
      <w:pPr>
        <w:pStyle w:val="ListParagraph"/>
        <w:numPr>
          <w:ilvl w:val="0"/>
          <w:numId w:val="109"/>
        </w:numPr>
        <w:tabs>
          <w:tab w:pos="794" w:val="left" w:leader="none"/>
          <w:tab w:pos="798" w:val="left" w:leader="none"/>
        </w:tabs>
        <w:spacing w:line="211" w:lineRule="auto" w:before="190" w:after="0"/>
        <w:ind w:left="798" w:right="190" w:hanging="502"/>
        <w:jc w:val="both"/>
        <w:rPr>
          <w:sz w:val="20"/>
        </w:rPr>
      </w:pPr>
      <w:r>
        <w:rPr>
          <w:color w:val="231F1F"/>
          <w:w w:val="105"/>
          <w:position w:val="1"/>
          <w:sz w:val="20"/>
        </w:rPr>
        <w:t>Croucher</w:t>
      </w:r>
      <w:r>
        <w:rPr>
          <w:color w:val="231F1F"/>
          <w:w w:val="105"/>
          <w:position w:val="1"/>
          <w:sz w:val="20"/>
        </w:rPr>
        <w:t> C,</w:t>
      </w:r>
      <w:r>
        <w:rPr>
          <w:color w:val="231F1F"/>
          <w:w w:val="105"/>
          <w:position w:val="1"/>
          <w:sz w:val="20"/>
        </w:rPr>
        <w:t> Azzopardi</w:t>
      </w:r>
      <w:r>
        <w:rPr>
          <w:color w:val="231F1F"/>
          <w:w w:val="105"/>
          <w:position w:val="1"/>
          <w:sz w:val="20"/>
        </w:rPr>
        <w:t> D.</w:t>
      </w:r>
      <w:r>
        <w:rPr>
          <w:color w:val="231F1F"/>
          <w:w w:val="105"/>
          <w:position w:val="1"/>
          <w:sz w:val="20"/>
        </w:rPr>
        <w:t> Compliance</w:t>
      </w:r>
      <w:r>
        <w:rPr>
          <w:color w:val="231F1F"/>
          <w:w w:val="105"/>
          <w:position w:val="1"/>
          <w:sz w:val="20"/>
        </w:rPr>
        <w:t> with</w:t>
      </w:r>
      <w:r>
        <w:rPr>
          <w:color w:val="231F1F"/>
          <w:w w:val="105"/>
          <w:position w:val="1"/>
          <w:sz w:val="20"/>
        </w:rPr>
        <w:t> recommendations</w:t>
      </w:r>
      <w:r>
        <w:rPr>
          <w:color w:val="231F1F"/>
          <w:w w:val="105"/>
          <w:position w:val="1"/>
          <w:sz w:val="20"/>
        </w:rPr>
        <w:t> for</w:t>
      </w:r>
      <w:r>
        <w:rPr>
          <w:color w:val="231F1F"/>
          <w:w w:val="105"/>
          <w:position w:val="1"/>
          <w:sz w:val="20"/>
        </w:rPr>
        <w:t> giving</w:t>
      </w:r>
      <w:r>
        <w:rPr>
          <w:color w:val="231F1F"/>
          <w:w w:val="105"/>
          <w:position w:val="1"/>
          <w:sz w:val="20"/>
        </w:rPr>
        <w:t> vitamin</w:t>
      </w:r>
      <w:r>
        <w:rPr>
          <w:color w:val="231F1F"/>
          <w:w w:val="105"/>
          <w:position w:val="1"/>
          <w:sz w:val="20"/>
        </w:rPr>
        <w:t> K</w:t>
      </w:r>
      <w:r>
        <w:rPr>
          <w:color w:val="231F1F"/>
          <w:w w:val="105"/>
          <w:position w:val="1"/>
          <w:sz w:val="20"/>
        </w:rPr>
        <w:t> to </w:t>
      </w:r>
      <w:r>
        <w:rPr>
          <w:color w:val="231F1F"/>
          <w:w w:val="105"/>
          <w:sz w:val="20"/>
        </w:rPr>
        <w:t>newborn infants. BMJ 1994;308(6933):894-5.</w:t>
      </w:r>
    </w:p>
    <w:p>
      <w:pPr>
        <w:pStyle w:val="ListParagraph"/>
        <w:numPr>
          <w:ilvl w:val="0"/>
          <w:numId w:val="109"/>
        </w:numPr>
        <w:tabs>
          <w:tab w:pos="793" w:val="left" w:leader="none"/>
          <w:tab w:pos="797" w:val="left" w:leader="none"/>
        </w:tabs>
        <w:spacing w:line="211" w:lineRule="auto" w:before="167" w:after="0"/>
        <w:ind w:left="797" w:right="288" w:hanging="502"/>
        <w:jc w:val="both"/>
        <w:rPr>
          <w:sz w:val="20"/>
        </w:rPr>
      </w:pPr>
      <w:r>
        <w:rPr>
          <w:color w:val="231F1F"/>
          <w:w w:val="110"/>
          <w:position w:val="1"/>
          <w:sz w:val="20"/>
        </w:rPr>
        <w:t>Golding</w:t>
      </w:r>
      <w:r>
        <w:rPr>
          <w:color w:val="231F1F"/>
          <w:spacing w:val="-3"/>
          <w:w w:val="110"/>
          <w:position w:val="1"/>
          <w:sz w:val="20"/>
        </w:rPr>
        <w:t> </w:t>
      </w:r>
      <w:r>
        <w:rPr>
          <w:color w:val="231F1F"/>
          <w:w w:val="110"/>
          <w:position w:val="1"/>
          <w:sz w:val="20"/>
        </w:rPr>
        <w:t>J,</w:t>
      </w:r>
      <w:r>
        <w:rPr>
          <w:color w:val="231F1F"/>
          <w:spacing w:val="-2"/>
          <w:w w:val="110"/>
          <w:position w:val="1"/>
          <w:sz w:val="20"/>
        </w:rPr>
        <w:t> </w:t>
      </w:r>
      <w:r>
        <w:rPr>
          <w:color w:val="231F1F"/>
          <w:w w:val="110"/>
          <w:position w:val="1"/>
          <w:sz w:val="20"/>
        </w:rPr>
        <w:t>Paterson</w:t>
      </w:r>
      <w:r>
        <w:rPr>
          <w:color w:val="231F1F"/>
          <w:spacing w:val="-3"/>
          <w:w w:val="110"/>
          <w:position w:val="1"/>
          <w:sz w:val="20"/>
        </w:rPr>
        <w:t> </w:t>
      </w:r>
      <w:r>
        <w:rPr>
          <w:color w:val="231F1F"/>
          <w:w w:val="110"/>
          <w:position w:val="1"/>
          <w:sz w:val="20"/>
        </w:rPr>
        <w:t>M,</w:t>
      </w:r>
      <w:r>
        <w:rPr>
          <w:color w:val="231F1F"/>
          <w:spacing w:val="-2"/>
          <w:w w:val="110"/>
          <w:position w:val="1"/>
          <w:sz w:val="20"/>
        </w:rPr>
        <w:t> </w:t>
      </w:r>
      <w:r>
        <w:rPr>
          <w:color w:val="231F1F"/>
          <w:w w:val="110"/>
          <w:position w:val="1"/>
          <w:sz w:val="20"/>
        </w:rPr>
        <w:t>Kinlen</w:t>
      </w:r>
      <w:r>
        <w:rPr>
          <w:color w:val="231F1F"/>
          <w:spacing w:val="-3"/>
          <w:w w:val="110"/>
          <w:position w:val="1"/>
          <w:sz w:val="20"/>
        </w:rPr>
        <w:t> </w:t>
      </w:r>
      <w:r>
        <w:rPr>
          <w:color w:val="231F1F"/>
          <w:w w:val="110"/>
          <w:position w:val="1"/>
          <w:sz w:val="20"/>
        </w:rPr>
        <w:t>LJ.</w:t>
      </w:r>
      <w:r>
        <w:rPr>
          <w:color w:val="231F1F"/>
          <w:spacing w:val="-2"/>
          <w:w w:val="110"/>
          <w:position w:val="1"/>
          <w:sz w:val="20"/>
        </w:rPr>
        <w:t> </w:t>
      </w:r>
      <w:r>
        <w:rPr>
          <w:color w:val="231F1F"/>
          <w:w w:val="110"/>
          <w:position w:val="1"/>
          <w:sz w:val="20"/>
        </w:rPr>
        <w:t>Factors</w:t>
      </w:r>
      <w:r>
        <w:rPr>
          <w:color w:val="231F1F"/>
          <w:spacing w:val="-2"/>
          <w:w w:val="110"/>
          <w:position w:val="1"/>
          <w:sz w:val="20"/>
        </w:rPr>
        <w:t> </w:t>
      </w:r>
      <w:r>
        <w:rPr>
          <w:color w:val="231F1F"/>
          <w:w w:val="110"/>
          <w:position w:val="1"/>
          <w:sz w:val="20"/>
        </w:rPr>
        <w:t>associated</w:t>
      </w:r>
      <w:r>
        <w:rPr>
          <w:color w:val="231F1F"/>
          <w:spacing w:val="-3"/>
          <w:w w:val="110"/>
          <w:position w:val="1"/>
          <w:sz w:val="20"/>
        </w:rPr>
        <w:t> </w:t>
      </w:r>
      <w:r>
        <w:rPr>
          <w:color w:val="231F1F"/>
          <w:w w:val="110"/>
          <w:position w:val="1"/>
          <w:sz w:val="20"/>
        </w:rPr>
        <w:t>with</w:t>
      </w:r>
      <w:r>
        <w:rPr>
          <w:color w:val="231F1F"/>
          <w:spacing w:val="-3"/>
          <w:w w:val="110"/>
          <w:position w:val="1"/>
          <w:sz w:val="20"/>
        </w:rPr>
        <w:t> </w:t>
      </w:r>
      <w:r>
        <w:rPr>
          <w:color w:val="231F1F"/>
          <w:w w:val="110"/>
          <w:position w:val="1"/>
          <w:sz w:val="20"/>
        </w:rPr>
        <w:t>childhood</w:t>
      </w:r>
      <w:r>
        <w:rPr>
          <w:color w:val="231F1F"/>
          <w:spacing w:val="-3"/>
          <w:w w:val="110"/>
          <w:position w:val="1"/>
          <w:sz w:val="20"/>
        </w:rPr>
        <w:t> </w:t>
      </w:r>
      <w:r>
        <w:rPr>
          <w:color w:val="231F1F"/>
          <w:w w:val="110"/>
          <w:position w:val="1"/>
          <w:sz w:val="20"/>
        </w:rPr>
        <w:t>cancer</w:t>
      </w:r>
      <w:r>
        <w:rPr>
          <w:color w:val="231F1F"/>
          <w:spacing w:val="-2"/>
          <w:w w:val="110"/>
          <w:position w:val="1"/>
          <w:sz w:val="20"/>
        </w:rPr>
        <w:t> </w:t>
      </w:r>
      <w:r>
        <w:rPr>
          <w:color w:val="231F1F"/>
          <w:w w:val="110"/>
          <w:position w:val="1"/>
          <w:sz w:val="20"/>
        </w:rPr>
        <w:t>in</w:t>
      </w:r>
      <w:r>
        <w:rPr>
          <w:color w:val="231F1F"/>
          <w:spacing w:val="-2"/>
          <w:w w:val="110"/>
          <w:position w:val="1"/>
          <w:sz w:val="20"/>
        </w:rPr>
        <w:t> </w:t>
      </w:r>
      <w:r>
        <w:rPr>
          <w:color w:val="231F1F"/>
          <w:w w:val="110"/>
          <w:position w:val="1"/>
          <w:sz w:val="20"/>
        </w:rPr>
        <w:t>a</w:t>
      </w:r>
      <w:r>
        <w:rPr>
          <w:color w:val="231F1F"/>
          <w:spacing w:val="-2"/>
          <w:w w:val="110"/>
          <w:position w:val="1"/>
          <w:sz w:val="20"/>
        </w:rPr>
        <w:t> </w:t>
      </w:r>
      <w:r>
        <w:rPr>
          <w:color w:val="231F1F"/>
          <w:w w:val="110"/>
          <w:position w:val="1"/>
          <w:sz w:val="20"/>
        </w:rPr>
        <w:t>national </w:t>
      </w:r>
      <w:r>
        <w:rPr>
          <w:color w:val="231F1F"/>
          <w:w w:val="110"/>
          <w:sz w:val="20"/>
        </w:rPr>
        <w:t>cohort study. Br J Cancer 1990;62:304-8.</w:t>
      </w:r>
    </w:p>
    <w:p>
      <w:pPr>
        <w:pStyle w:val="ListParagraph"/>
        <w:numPr>
          <w:ilvl w:val="0"/>
          <w:numId w:val="109"/>
        </w:numPr>
        <w:tabs>
          <w:tab w:pos="794" w:val="left" w:leader="none"/>
          <w:tab w:pos="798" w:val="left" w:leader="none"/>
        </w:tabs>
        <w:spacing w:line="206" w:lineRule="auto" w:before="179" w:after="0"/>
        <w:ind w:left="798" w:right="351" w:hanging="522"/>
        <w:jc w:val="both"/>
        <w:rPr>
          <w:sz w:val="20"/>
        </w:rPr>
      </w:pPr>
      <w:r>
        <w:rPr>
          <w:color w:val="231F1F"/>
          <w:w w:val="105"/>
          <w:position w:val="1"/>
          <w:sz w:val="20"/>
        </w:rPr>
        <w:t>Golding</w:t>
      </w:r>
      <w:r>
        <w:rPr>
          <w:color w:val="231F1F"/>
          <w:spacing w:val="-3"/>
          <w:w w:val="105"/>
          <w:position w:val="1"/>
          <w:sz w:val="20"/>
        </w:rPr>
        <w:t> </w:t>
      </w:r>
      <w:r>
        <w:rPr>
          <w:color w:val="231F1F"/>
          <w:w w:val="105"/>
          <w:position w:val="1"/>
          <w:sz w:val="20"/>
        </w:rPr>
        <w:t>J,</w:t>
      </w:r>
      <w:r>
        <w:rPr>
          <w:color w:val="231F1F"/>
          <w:spacing w:val="-3"/>
          <w:w w:val="105"/>
          <w:position w:val="1"/>
          <w:sz w:val="20"/>
        </w:rPr>
        <w:t> </w:t>
      </w:r>
      <w:r>
        <w:rPr>
          <w:color w:val="231F1F"/>
          <w:w w:val="105"/>
          <w:position w:val="1"/>
          <w:sz w:val="20"/>
        </w:rPr>
        <w:t>Greenwood</w:t>
      </w:r>
      <w:r>
        <w:rPr>
          <w:color w:val="231F1F"/>
          <w:spacing w:val="-3"/>
          <w:w w:val="105"/>
          <w:position w:val="1"/>
          <w:sz w:val="20"/>
        </w:rPr>
        <w:t> </w:t>
      </w:r>
      <w:r>
        <w:rPr>
          <w:color w:val="231F1F"/>
          <w:w w:val="105"/>
          <w:position w:val="1"/>
          <w:sz w:val="20"/>
        </w:rPr>
        <w:t>R,</w:t>
      </w:r>
      <w:r>
        <w:rPr>
          <w:color w:val="231F1F"/>
          <w:spacing w:val="-3"/>
          <w:w w:val="105"/>
          <w:position w:val="1"/>
          <w:sz w:val="20"/>
        </w:rPr>
        <w:t> </w:t>
      </w:r>
      <w:r>
        <w:rPr>
          <w:color w:val="231F1F"/>
          <w:w w:val="105"/>
          <w:position w:val="1"/>
          <w:sz w:val="20"/>
        </w:rPr>
        <w:t>Birmingham</w:t>
      </w:r>
      <w:r>
        <w:rPr>
          <w:color w:val="231F1F"/>
          <w:spacing w:val="-4"/>
          <w:w w:val="105"/>
          <w:position w:val="1"/>
          <w:sz w:val="20"/>
        </w:rPr>
        <w:t> </w:t>
      </w:r>
      <w:r>
        <w:rPr>
          <w:color w:val="231F1F"/>
          <w:w w:val="105"/>
          <w:position w:val="1"/>
          <w:sz w:val="20"/>
        </w:rPr>
        <w:t>K,</w:t>
      </w:r>
      <w:r>
        <w:rPr>
          <w:color w:val="231F1F"/>
          <w:spacing w:val="-3"/>
          <w:w w:val="105"/>
          <w:position w:val="1"/>
          <w:sz w:val="20"/>
        </w:rPr>
        <w:t> </w:t>
      </w:r>
      <w:r>
        <w:rPr>
          <w:color w:val="231F1F"/>
          <w:w w:val="105"/>
          <w:position w:val="1"/>
          <w:sz w:val="20"/>
        </w:rPr>
        <w:t>Mott</w:t>
      </w:r>
      <w:r>
        <w:rPr>
          <w:color w:val="231F1F"/>
          <w:spacing w:val="-3"/>
          <w:w w:val="105"/>
          <w:position w:val="1"/>
          <w:sz w:val="20"/>
        </w:rPr>
        <w:t> </w:t>
      </w:r>
      <w:r>
        <w:rPr>
          <w:color w:val="231F1F"/>
          <w:w w:val="105"/>
          <w:position w:val="1"/>
          <w:sz w:val="20"/>
        </w:rPr>
        <w:t>M.</w:t>
      </w:r>
      <w:r>
        <w:rPr>
          <w:color w:val="231F1F"/>
          <w:spacing w:val="-3"/>
          <w:w w:val="105"/>
          <w:position w:val="1"/>
          <w:sz w:val="20"/>
        </w:rPr>
        <w:t> </w:t>
      </w:r>
      <w:r>
        <w:rPr>
          <w:color w:val="231F1F"/>
          <w:w w:val="105"/>
          <w:position w:val="1"/>
          <w:sz w:val="20"/>
        </w:rPr>
        <w:t>Childhood</w:t>
      </w:r>
      <w:r>
        <w:rPr>
          <w:color w:val="231F1F"/>
          <w:spacing w:val="-3"/>
          <w:w w:val="105"/>
          <w:position w:val="1"/>
          <w:sz w:val="20"/>
        </w:rPr>
        <w:t> </w:t>
      </w:r>
      <w:r>
        <w:rPr>
          <w:color w:val="231F1F"/>
          <w:w w:val="105"/>
          <w:position w:val="1"/>
          <w:sz w:val="20"/>
        </w:rPr>
        <w:t>cancer,</w:t>
      </w:r>
      <w:r>
        <w:rPr>
          <w:color w:val="231F1F"/>
          <w:spacing w:val="-2"/>
          <w:w w:val="105"/>
          <w:position w:val="1"/>
          <w:sz w:val="20"/>
        </w:rPr>
        <w:t> </w:t>
      </w:r>
      <w:r>
        <w:rPr>
          <w:color w:val="231F1F"/>
          <w:w w:val="105"/>
          <w:position w:val="1"/>
          <w:sz w:val="20"/>
        </w:rPr>
        <w:t>intramuscular</w:t>
      </w:r>
      <w:r>
        <w:rPr>
          <w:color w:val="231F1F"/>
          <w:spacing w:val="-3"/>
          <w:w w:val="105"/>
          <w:position w:val="1"/>
          <w:sz w:val="20"/>
        </w:rPr>
        <w:t> </w:t>
      </w:r>
      <w:r>
        <w:rPr>
          <w:color w:val="231F1F"/>
          <w:w w:val="105"/>
          <w:position w:val="1"/>
          <w:sz w:val="20"/>
        </w:rPr>
        <w:t>vitamin </w:t>
      </w:r>
      <w:r>
        <w:rPr>
          <w:color w:val="231F1F"/>
          <w:w w:val="105"/>
          <w:sz w:val="20"/>
        </w:rPr>
        <w:t>K, and pethidine given during labour. BMJ 1992;305(6849):341-6.</w:t>
      </w:r>
    </w:p>
    <w:p>
      <w:pPr>
        <w:pStyle w:val="ListParagraph"/>
        <w:numPr>
          <w:ilvl w:val="0"/>
          <w:numId w:val="109"/>
        </w:numPr>
        <w:tabs>
          <w:tab w:pos="794" w:val="left" w:leader="none"/>
          <w:tab w:pos="798" w:val="left" w:leader="none"/>
        </w:tabs>
        <w:spacing w:line="211" w:lineRule="auto" w:before="171" w:after="0"/>
        <w:ind w:left="798" w:right="319" w:hanging="502"/>
        <w:jc w:val="both"/>
        <w:rPr>
          <w:sz w:val="20"/>
        </w:rPr>
      </w:pPr>
      <w:r>
        <w:rPr>
          <w:color w:val="231F1F"/>
          <w:w w:val="105"/>
          <w:position w:val="1"/>
          <w:sz w:val="20"/>
        </w:rPr>
        <w:t>Ross</w:t>
      </w:r>
      <w:r>
        <w:rPr>
          <w:color w:val="231F1F"/>
          <w:w w:val="105"/>
          <w:position w:val="1"/>
          <w:sz w:val="20"/>
        </w:rPr>
        <w:t> JA,</w:t>
      </w:r>
      <w:r>
        <w:rPr>
          <w:color w:val="231F1F"/>
          <w:w w:val="105"/>
          <w:position w:val="1"/>
          <w:sz w:val="20"/>
        </w:rPr>
        <w:t> Davies</w:t>
      </w:r>
      <w:r>
        <w:rPr>
          <w:color w:val="231F1F"/>
          <w:w w:val="105"/>
          <w:position w:val="1"/>
          <w:sz w:val="20"/>
        </w:rPr>
        <w:t> SM.</w:t>
      </w:r>
      <w:r>
        <w:rPr>
          <w:color w:val="231F1F"/>
          <w:w w:val="105"/>
          <w:position w:val="1"/>
          <w:sz w:val="20"/>
        </w:rPr>
        <w:t> Vitamin</w:t>
      </w:r>
      <w:r>
        <w:rPr>
          <w:color w:val="231F1F"/>
          <w:w w:val="105"/>
          <w:position w:val="1"/>
          <w:sz w:val="20"/>
        </w:rPr>
        <w:t> K</w:t>
      </w:r>
      <w:r>
        <w:rPr>
          <w:color w:val="231F1F"/>
          <w:w w:val="105"/>
          <w:position w:val="1"/>
          <w:sz w:val="20"/>
        </w:rPr>
        <w:t> prophylaxis</w:t>
      </w:r>
      <w:r>
        <w:rPr>
          <w:color w:val="231F1F"/>
          <w:w w:val="105"/>
          <w:position w:val="1"/>
          <w:sz w:val="20"/>
        </w:rPr>
        <w:t> and</w:t>
      </w:r>
      <w:r>
        <w:rPr>
          <w:color w:val="231F1F"/>
          <w:w w:val="105"/>
          <w:position w:val="1"/>
          <w:sz w:val="20"/>
        </w:rPr>
        <w:t> childhood</w:t>
      </w:r>
      <w:r>
        <w:rPr>
          <w:color w:val="231F1F"/>
          <w:w w:val="105"/>
          <w:position w:val="1"/>
          <w:sz w:val="20"/>
        </w:rPr>
        <w:t> cancer.</w:t>
      </w:r>
      <w:r>
        <w:rPr>
          <w:color w:val="231F1F"/>
          <w:w w:val="105"/>
          <w:position w:val="1"/>
          <w:sz w:val="20"/>
        </w:rPr>
        <w:t> Med</w:t>
      </w:r>
      <w:r>
        <w:rPr>
          <w:color w:val="231F1F"/>
          <w:w w:val="105"/>
          <w:position w:val="1"/>
          <w:sz w:val="20"/>
        </w:rPr>
        <w:t> Pediatr</w:t>
      </w:r>
      <w:r>
        <w:rPr>
          <w:color w:val="231F1F"/>
          <w:w w:val="105"/>
          <w:position w:val="1"/>
          <w:sz w:val="20"/>
        </w:rPr>
        <w:t> Oncol </w:t>
      </w:r>
      <w:r>
        <w:rPr>
          <w:color w:val="231F1F"/>
          <w:spacing w:val="-2"/>
          <w:w w:val="105"/>
          <w:sz w:val="20"/>
        </w:rPr>
        <w:t>2000;34(6):434-7.</w:t>
      </w:r>
    </w:p>
    <w:p>
      <w:pPr>
        <w:pStyle w:val="ListParagraph"/>
        <w:numPr>
          <w:ilvl w:val="0"/>
          <w:numId w:val="109"/>
        </w:numPr>
        <w:tabs>
          <w:tab w:pos="794" w:val="left" w:leader="none"/>
          <w:tab w:pos="798" w:val="left" w:leader="none"/>
        </w:tabs>
        <w:spacing w:line="211" w:lineRule="auto" w:before="166" w:after="0"/>
        <w:ind w:left="798" w:right="230" w:hanging="501"/>
        <w:jc w:val="both"/>
        <w:rPr>
          <w:sz w:val="20"/>
        </w:rPr>
      </w:pPr>
      <w:r>
        <w:rPr>
          <w:color w:val="231F1F"/>
          <w:w w:val="105"/>
          <w:position w:val="1"/>
          <w:sz w:val="20"/>
        </w:rPr>
        <w:t>Department</w:t>
      </w:r>
      <w:r>
        <w:rPr>
          <w:color w:val="231F1F"/>
          <w:w w:val="105"/>
          <w:position w:val="1"/>
          <w:sz w:val="20"/>
        </w:rPr>
        <w:t> of</w:t>
      </w:r>
      <w:r>
        <w:rPr>
          <w:color w:val="231F1F"/>
          <w:w w:val="105"/>
          <w:position w:val="1"/>
          <w:sz w:val="20"/>
        </w:rPr>
        <w:t> Health. Vitamin</w:t>
      </w:r>
      <w:r>
        <w:rPr>
          <w:color w:val="231F1F"/>
          <w:w w:val="105"/>
          <w:position w:val="1"/>
          <w:sz w:val="20"/>
        </w:rPr>
        <w:t> K</w:t>
      </w:r>
      <w:r>
        <w:rPr>
          <w:color w:val="231F1F"/>
          <w:w w:val="105"/>
          <w:position w:val="1"/>
          <w:sz w:val="20"/>
        </w:rPr>
        <w:t> for</w:t>
      </w:r>
      <w:r>
        <w:rPr>
          <w:color w:val="231F1F"/>
          <w:w w:val="105"/>
          <w:position w:val="1"/>
          <w:sz w:val="20"/>
        </w:rPr>
        <w:t> newborn</w:t>
      </w:r>
      <w:r>
        <w:rPr>
          <w:color w:val="231F1F"/>
          <w:w w:val="105"/>
          <w:position w:val="1"/>
          <w:sz w:val="20"/>
        </w:rPr>
        <w:t> babies, PL/CMO/98/3. London: Department</w:t>
      </w:r>
      <w:r>
        <w:rPr>
          <w:color w:val="231F1F"/>
          <w:spacing w:val="40"/>
          <w:w w:val="105"/>
          <w:position w:val="1"/>
          <w:sz w:val="20"/>
        </w:rPr>
        <w:t> </w:t>
      </w:r>
      <w:r>
        <w:rPr>
          <w:color w:val="231F1F"/>
          <w:w w:val="105"/>
          <w:sz w:val="20"/>
        </w:rPr>
        <w:t>of Health 1998.</w:t>
      </w:r>
    </w:p>
    <w:p>
      <w:pPr>
        <w:pStyle w:val="ListParagraph"/>
        <w:numPr>
          <w:ilvl w:val="0"/>
          <w:numId w:val="109"/>
        </w:numPr>
        <w:tabs>
          <w:tab w:pos="793" w:val="left" w:leader="none"/>
          <w:tab w:pos="797" w:val="left" w:leader="none"/>
        </w:tabs>
        <w:spacing w:line="225" w:lineRule="auto" w:before="180" w:after="0"/>
        <w:ind w:left="797" w:right="125" w:hanging="502"/>
        <w:jc w:val="both"/>
        <w:rPr>
          <w:sz w:val="20"/>
        </w:rPr>
      </w:pPr>
      <w:r>
        <w:rPr>
          <w:color w:val="231F1F"/>
          <w:spacing w:val="-2"/>
          <w:w w:val="110"/>
          <w:sz w:val="20"/>
        </w:rPr>
        <w:t>Roman</w:t>
      </w:r>
      <w:r>
        <w:rPr>
          <w:color w:val="231F1F"/>
          <w:spacing w:val="-10"/>
          <w:w w:val="110"/>
          <w:sz w:val="20"/>
        </w:rPr>
        <w:t> </w:t>
      </w:r>
      <w:r>
        <w:rPr>
          <w:color w:val="231F1F"/>
          <w:spacing w:val="-2"/>
          <w:w w:val="110"/>
          <w:sz w:val="20"/>
        </w:rPr>
        <w:t>E,</w:t>
      </w:r>
      <w:r>
        <w:rPr>
          <w:color w:val="231F1F"/>
          <w:spacing w:val="-9"/>
          <w:w w:val="110"/>
          <w:sz w:val="20"/>
        </w:rPr>
        <w:t> </w:t>
      </w:r>
      <w:r>
        <w:rPr>
          <w:color w:val="231F1F"/>
          <w:spacing w:val="-2"/>
          <w:w w:val="110"/>
          <w:sz w:val="20"/>
        </w:rPr>
        <w:t>Fear</w:t>
      </w:r>
      <w:r>
        <w:rPr>
          <w:color w:val="231F1F"/>
          <w:spacing w:val="-10"/>
          <w:w w:val="110"/>
          <w:sz w:val="20"/>
        </w:rPr>
        <w:t> </w:t>
      </w:r>
      <w:r>
        <w:rPr>
          <w:color w:val="231F1F"/>
          <w:spacing w:val="-2"/>
          <w:w w:val="110"/>
          <w:sz w:val="20"/>
        </w:rPr>
        <w:t>NT,</w:t>
      </w:r>
      <w:r>
        <w:rPr>
          <w:color w:val="231F1F"/>
          <w:spacing w:val="-9"/>
          <w:w w:val="110"/>
          <w:sz w:val="20"/>
        </w:rPr>
        <w:t> </w:t>
      </w:r>
      <w:r>
        <w:rPr>
          <w:color w:val="231F1F"/>
          <w:spacing w:val="-2"/>
          <w:w w:val="110"/>
          <w:sz w:val="20"/>
        </w:rPr>
        <w:t>Ansell</w:t>
      </w:r>
      <w:r>
        <w:rPr>
          <w:color w:val="231F1F"/>
          <w:spacing w:val="-9"/>
          <w:w w:val="110"/>
          <w:sz w:val="20"/>
        </w:rPr>
        <w:t> </w:t>
      </w:r>
      <w:r>
        <w:rPr>
          <w:color w:val="231F1F"/>
          <w:spacing w:val="-2"/>
          <w:w w:val="110"/>
          <w:sz w:val="20"/>
        </w:rPr>
        <w:t>P,</w:t>
      </w:r>
      <w:r>
        <w:rPr>
          <w:color w:val="231F1F"/>
          <w:spacing w:val="-9"/>
          <w:w w:val="110"/>
          <w:sz w:val="20"/>
        </w:rPr>
        <w:t> </w:t>
      </w:r>
      <w:r>
        <w:rPr>
          <w:color w:val="231F1F"/>
          <w:spacing w:val="-2"/>
          <w:w w:val="110"/>
          <w:sz w:val="20"/>
        </w:rPr>
        <w:t>Bull</w:t>
      </w:r>
      <w:r>
        <w:rPr>
          <w:color w:val="231F1F"/>
          <w:spacing w:val="-8"/>
          <w:w w:val="110"/>
          <w:sz w:val="20"/>
        </w:rPr>
        <w:t> </w:t>
      </w:r>
      <w:r>
        <w:rPr>
          <w:color w:val="231F1F"/>
          <w:spacing w:val="-2"/>
          <w:w w:val="110"/>
          <w:sz w:val="20"/>
        </w:rPr>
        <w:t>D,</w:t>
      </w:r>
      <w:r>
        <w:rPr>
          <w:color w:val="231F1F"/>
          <w:spacing w:val="-9"/>
          <w:w w:val="110"/>
          <w:sz w:val="20"/>
        </w:rPr>
        <w:t> </w:t>
      </w:r>
      <w:r>
        <w:rPr>
          <w:color w:val="231F1F"/>
          <w:spacing w:val="-2"/>
          <w:w w:val="110"/>
          <w:sz w:val="20"/>
        </w:rPr>
        <w:t>Draper</w:t>
      </w:r>
      <w:r>
        <w:rPr>
          <w:color w:val="231F1F"/>
          <w:spacing w:val="-7"/>
          <w:w w:val="110"/>
          <w:sz w:val="20"/>
        </w:rPr>
        <w:t> </w:t>
      </w:r>
      <w:r>
        <w:rPr>
          <w:color w:val="231F1F"/>
          <w:spacing w:val="-2"/>
          <w:w w:val="110"/>
          <w:sz w:val="20"/>
        </w:rPr>
        <w:t>G,</w:t>
      </w:r>
      <w:r>
        <w:rPr>
          <w:color w:val="231F1F"/>
          <w:spacing w:val="-9"/>
          <w:w w:val="110"/>
          <w:sz w:val="20"/>
        </w:rPr>
        <w:t> </w:t>
      </w:r>
      <w:r>
        <w:rPr>
          <w:color w:val="231F1F"/>
          <w:spacing w:val="-2"/>
          <w:w w:val="110"/>
          <w:sz w:val="20"/>
        </w:rPr>
        <w:t>McKinney</w:t>
      </w:r>
      <w:r>
        <w:rPr>
          <w:color w:val="231F1F"/>
          <w:spacing w:val="-7"/>
          <w:w w:val="110"/>
          <w:sz w:val="20"/>
        </w:rPr>
        <w:t> </w:t>
      </w:r>
      <w:r>
        <w:rPr>
          <w:color w:val="231F1F"/>
          <w:spacing w:val="-2"/>
          <w:w w:val="110"/>
          <w:sz w:val="20"/>
        </w:rPr>
        <w:t>P,</w:t>
      </w:r>
      <w:r>
        <w:rPr>
          <w:color w:val="231F1F"/>
          <w:spacing w:val="-9"/>
          <w:w w:val="110"/>
          <w:sz w:val="20"/>
        </w:rPr>
        <w:t> </w:t>
      </w:r>
      <w:r>
        <w:rPr>
          <w:color w:val="231F1F"/>
          <w:spacing w:val="-2"/>
          <w:w w:val="110"/>
          <w:sz w:val="20"/>
        </w:rPr>
        <w:t>et</w:t>
      </w:r>
      <w:r>
        <w:rPr>
          <w:color w:val="231F1F"/>
          <w:spacing w:val="-7"/>
          <w:w w:val="110"/>
          <w:sz w:val="20"/>
        </w:rPr>
        <w:t> </w:t>
      </w:r>
      <w:r>
        <w:rPr>
          <w:color w:val="231F1F"/>
          <w:spacing w:val="-2"/>
          <w:w w:val="110"/>
          <w:sz w:val="20"/>
        </w:rPr>
        <w:t>al.</w:t>
      </w:r>
      <w:r>
        <w:rPr>
          <w:color w:val="231F1F"/>
          <w:spacing w:val="-9"/>
          <w:w w:val="110"/>
          <w:sz w:val="20"/>
        </w:rPr>
        <w:t> </w:t>
      </w:r>
      <w:r>
        <w:rPr>
          <w:color w:val="231F1F"/>
          <w:spacing w:val="-2"/>
          <w:w w:val="110"/>
          <w:sz w:val="20"/>
        </w:rPr>
        <w:t>Vitamin</w:t>
      </w:r>
      <w:r>
        <w:rPr>
          <w:color w:val="231F1F"/>
          <w:spacing w:val="-7"/>
          <w:w w:val="110"/>
          <w:sz w:val="20"/>
        </w:rPr>
        <w:t> </w:t>
      </w:r>
      <w:r>
        <w:rPr>
          <w:color w:val="231F1F"/>
          <w:spacing w:val="-2"/>
          <w:w w:val="110"/>
          <w:sz w:val="20"/>
        </w:rPr>
        <w:t>K</w:t>
      </w:r>
      <w:r>
        <w:rPr>
          <w:color w:val="231F1F"/>
          <w:spacing w:val="-7"/>
          <w:w w:val="110"/>
          <w:sz w:val="20"/>
        </w:rPr>
        <w:t> </w:t>
      </w:r>
      <w:r>
        <w:rPr>
          <w:color w:val="231F1F"/>
          <w:spacing w:val="-2"/>
          <w:w w:val="110"/>
          <w:sz w:val="20"/>
        </w:rPr>
        <w:t>and</w:t>
      </w:r>
      <w:r>
        <w:rPr>
          <w:color w:val="231F1F"/>
          <w:spacing w:val="-7"/>
          <w:w w:val="110"/>
          <w:sz w:val="20"/>
        </w:rPr>
        <w:t> </w:t>
      </w:r>
      <w:r>
        <w:rPr>
          <w:color w:val="231F1F"/>
          <w:spacing w:val="-2"/>
          <w:w w:val="110"/>
          <w:sz w:val="20"/>
        </w:rPr>
        <w:t>childhood </w:t>
      </w:r>
      <w:r>
        <w:rPr>
          <w:color w:val="231F1F"/>
          <w:w w:val="110"/>
          <w:sz w:val="20"/>
        </w:rPr>
        <w:t>cancer:</w:t>
      </w:r>
      <w:r>
        <w:rPr>
          <w:color w:val="231F1F"/>
          <w:w w:val="110"/>
          <w:sz w:val="20"/>
        </w:rPr>
        <w:t> analysis</w:t>
      </w:r>
      <w:r>
        <w:rPr>
          <w:color w:val="231F1F"/>
          <w:w w:val="110"/>
          <w:sz w:val="20"/>
        </w:rPr>
        <w:t> of</w:t>
      </w:r>
      <w:r>
        <w:rPr>
          <w:color w:val="231F1F"/>
          <w:w w:val="110"/>
          <w:sz w:val="20"/>
        </w:rPr>
        <w:t> individual</w:t>
      </w:r>
      <w:r>
        <w:rPr>
          <w:color w:val="231F1F"/>
          <w:w w:val="110"/>
          <w:sz w:val="20"/>
        </w:rPr>
        <w:t> patient</w:t>
      </w:r>
      <w:r>
        <w:rPr>
          <w:color w:val="231F1F"/>
          <w:w w:val="110"/>
          <w:sz w:val="20"/>
        </w:rPr>
        <w:t> data</w:t>
      </w:r>
      <w:r>
        <w:rPr>
          <w:color w:val="231F1F"/>
          <w:w w:val="110"/>
          <w:sz w:val="20"/>
        </w:rPr>
        <w:t> from</w:t>
      </w:r>
      <w:r>
        <w:rPr>
          <w:color w:val="231F1F"/>
          <w:w w:val="110"/>
          <w:sz w:val="20"/>
        </w:rPr>
        <w:t> six</w:t>
      </w:r>
      <w:r>
        <w:rPr>
          <w:color w:val="231F1F"/>
          <w:w w:val="110"/>
          <w:sz w:val="20"/>
        </w:rPr>
        <w:t> case-control</w:t>
      </w:r>
      <w:r>
        <w:rPr>
          <w:color w:val="231F1F"/>
          <w:w w:val="110"/>
          <w:sz w:val="20"/>
        </w:rPr>
        <w:t> studies.</w:t>
      </w:r>
      <w:r>
        <w:rPr>
          <w:color w:val="231F1F"/>
          <w:w w:val="110"/>
          <w:sz w:val="20"/>
        </w:rPr>
        <w:t> Br</w:t>
      </w:r>
      <w:r>
        <w:rPr>
          <w:color w:val="231F1F"/>
          <w:w w:val="110"/>
          <w:sz w:val="20"/>
        </w:rPr>
        <w:t> J</w:t>
      </w:r>
      <w:r>
        <w:rPr>
          <w:color w:val="231F1F"/>
          <w:w w:val="110"/>
          <w:sz w:val="20"/>
        </w:rPr>
        <w:t> cancer </w:t>
      </w:r>
      <w:r>
        <w:rPr>
          <w:color w:val="231F1F"/>
          <w:spacing w:val="-2"/>
          <w:w w:val="110"/>
          <w:sz w:val="20"/>
        </w:rPr>
        <w:t>2002;86(1):63-9.</w:t>
      </w:r>
    </w:p>
    <w:p>
      <w:pPr>
        <w:pStyle w:val="ListParagraph"/>
        <w:numPr>
          <w:ilvl w:val="0"/>
          <w:numId w:val="109"/>
        </w:numPr>
        <w:tabs>
          <w:tab w:pos="793" w:val="left" w:leader="none"/>
          <w:tab w:pos="797" w:val="left" w:leader="none"/>
        </w:tabs>
        <w:spacing w:line="240" w:lineRule="auto" w:before="180" w:after="0"/>
        <w:ind w:left="797" w:right="121" w:hanging="509"/>
        <w:jc w:val="both"/>
        <w:rPr>
          <w:sz w:val="20"/>
        </w:rPr>
      </w:pPr>
      <w:r>
        <w:rPr>
          <w:color w:val="231F1F"/>
          <w:sz w:val="20"/>
        </w:rPr>
        <w:t>Fear NT, Roman E, Ansell P, Simpson J, Day N, Eden OB. United Kingdom Chilghood Cancer Study. Vitamin K and childhood cancer: a report from the United Kingdom Childhood Cancer Study. Br J cancer 2003;89(7):1228-31.</w:t>
      </w:r>
    </w:p>
    <w:p>
      <w:pPr>
        <w:pStyle w:val="ListParagraph"/>
        <w:numPr>
          <w:ilvl w:val="0"/>
          <w:numId w:val="109"/>
        </w:numPr>
        <w:tabs>
          <w:tab w:pos="793" w:val="left" w:leader="none"/>
          <w:tab w:pos="797" w:val="left" w:leader="none"/>
        </w:tabs>
        <w:spacing w:line="244" w:lineRule="auto" w:before="155" w:after="0"/>
        <w:ind w:left="797" w:right="122" w:hanging="502"/>
        <w:jc w:val="both"/>
        <w:rPr>
          <w:sz w:val="20"/>
        </w:rPr>
      </w:pPr>
      <w:r>
        <w:rPr>
          <w:color w:val="231F1F"/>
          <w:sz w:val="20"/>
        </w:rPr>
        <w:t>Puckett RM, Offringa M. Uso profiláctico de vitamina K para la hemorragia por deficiencia de vitamina</w:t>
      </w:r>
      <w:r>
        <w:rPr>
          <w:color w:val="231F1F"/>
          <w:spacing w:val="40"/>
          <w:sz w:val="20"/>
        </w:rPr>
        <w:t> </w:t>
      </w:r>
      <w:r>
        <w:rPr>
          <w:color w:val="231F1F"/>
          <w:sz w:val="20"/>
        </w:rPr>
        <w:t>K</w:t>
      </w:r>
      <w:r>
        <w:rPr>
          <w:color w:val="231F1F"/>
          <w:spacing w:val="40"/>
          <w:sz w:val="20"/>
        </w:rPr>
        <w:t> </w:t>
      </w:r>
      <w:r>
        <w:rPr>
          <w:color w:val="231F1F"/>
          <w:sz w:val="20"/>
        </w:rPr>
        <w:t>en</w:t>
      </w:r>
      <w:r>
        <w:rPr>
          <w:color w:val="231F1F"/>
          <w:spacing w:val="40"/>
          <w:sz w:val="20"/>
        </w:rPr>
        <w:t> </w:t>
      </w:r>
      <w:r>
        <w:rPr>
          <w:color w:val="231F1F"/>
          <w:sz w:val="20"/>
        </w:rPr>
        <w:t>recién</w:t>
      </w:r>
      <w:r>
        <w:rPr>
          <w:color w:val="231F1F"/>
          <w:spacing w:val="40"/>
          <w:sz w:val="20"/>
        </w:rPr>
        <w:t> </w:t>
      </w:r>
      <w:r>
        <w:rPr>
          <w:color w:val="231F1F"/>
          <w:sz w:val="20"/>
        </w:rPr>
        <w:t>nacidos.</w:t>
      </w:r>
      <w:r>
        <w:rPr>
          <w:color w:val="231F1F"/>
          <w:spacing w:val="39"/>
          <w:sz w:val="20"/>
        </w:rPr>
        <w:t> </w:t>
      </w:r>
      <w:r>
        <w:rPr>
          <w:color w:val="231F1F"/>
          <w:sz w:val="20"/>
        </w:rPr>
        <w:t>Reproducción</w:t>
      </w:r>
      <w:r>
        <w:rPr>
          <w:color w:val="231F1F"/>
          <w:spacing w:val="40"/>
          <w:sz w:val="20"/>
        </w:rPr>
        <w:t> </w:t>
      </w:r>
      <w:r>
        <w:rPr>
          <w:color w:val="231F1F"/>
          <w:sz w:val="20"/>
        </w:rPr>
        <w:t>de</w:t>
      </w:r>
      <w:r>
        <w:rPr>
          <w:color w:val="231F1F"/>
          <w:spacing w:val="40"/>
          <w:sz w:val="20"/>
        </w:rPr>
        <w:t> </w:t>
      </w:r>
      <w:r>
        <w:rPr>
          <w:color w:val="231F1F"/>
          <w:sz w:val="20"/>
        </w:rPr>
        <w:t>una</w:t>
      </w:r>
      <w:r>
        <w:rPr>
          <w:color w:val="231F1F"/>
          <w:spacing w:val="40"/>
          <w:sz w:val="20"/>
        </w:rPr>
        <w:t> </w:t>
      </w:r>
      <w:r>
        <w:rPr>
          <w:color w:val="231F1F"/>
          <w:sz w:val="20"/>
        </w:rPr>
        <w:t>revisión</w:t>
      </w:r>
      <w:r>
        <w:rPr>
          <w:color w:val="231F1F"/>
          <w:spacing w:val="40"/>
          <w:sz w:val="20"/>
        </w:rPr>
        <w:t> </w:t>
      </w:r>
      <w:r>
        <w:rPr>
          <w:color w:val="231F1F"/>
          <w:sz w:val="20"/>
        </w:rPr>
        <w:t>Cochrane,</w:t>
      </w:r>
      <w:r>
        <w:rPr>
          <w:color w:val="231F1F"/>
          <w:spacing w:val="39"/>
          <w:sz w:val="20"/>
        </w:rPr>
        <w:t> </w:t>
      </w:r>
      <w:r>
        <w:rPr>
          <w:color w:val="231F1F"/>
          <w:sz w:val="20"/>
        </w:rPr>
        <w:t>traducida</w:t>
      </w:r>
      <w:r>
        <w:rPr>
          <w:color w:val="231F1F"/>
          <w:spacing w:val="40"/>
          <w:sz w:val="20"/>
        </w:rPr>
        <w:t> </w:t>
      </w:r>
      <w:r>
        <w:rPr>
          <w:color w:val="231F1F"/>
          <w:sz w:val="20"/>
        </w:rPr>
        <w:t>y</w:t>
      </w:r>
      <w:r>
        <w:rPr>
          <w:color w:val="231F1F"/>
          <w:spacing w:val="40"/>
          <w:sz w:val="20"/>
        </w:rPr>
        <w:t> </w:t>
      </w:r>
      <w:r>
        <w:rPr>
          <w:color w:val="231F1F"/>
          <w:sz w:val="20"/>
        </w:rPr>
        <w:t>publicada en</w:t>
      </w:r>
      <w:r>
        <w:rPr>
          <w:color w:val="231F1F"/>
          <w:spacing w:val="40"/>
          <w:sz w:val="20"/>
        </w:rPr>
        <w:t> </w:t>
      </w:r>
      <w:r>
        <w:rPr>
          <w:color w:val="231F1F"/>
          <w:sz w:val="20"/>
        </w:rPr>
        <w:t>La</w:t>
      </w:r>
      <w:r>
        <w:rPr>
          <w:color w:val="231F1F"/>
          <w:spacing w:val="40"/>
          <w:sz w:val="20"/>
        </w:rPr>
        <w:t> </w:t>
      </w:r>
      <w:r>
        <w:rPr>
          <w:color w:val="231F1F"/>
          <w:sz w:val="20"/>
        </w:rPr>
        <w:t>Biblioteca</w:t>
      </w:r>
      <w:r>
        <w:rPr>
          <w:color w:val="231F1F"/>
          <w:spacing w:val="40"/>
          <w:sz w:val="20"/>
        </w:rPr>
        <w:t> </w:t>
      </w:r>
      <w:r>
        <w:rPr>
          <w:color w:val="231F1F"/>
          <w:sz w:val="20"/>
        </w:rPr>
        <w:t>Cochrane</w:t>
      </w:r>
      <w:r>
        <w:rPr>
          <w:color w:val="231F1F"/>
          <w:spacing w:val="40"/>
          <w:sz w:val="20"/>
        </w:rPr>
        <w:t> </w:t>
      </w:r>
      <w:r>
        <w:rPr>
          <w:color w:val="231F1F"/>
          <w:sz w:val="20"/>
        </w:rPr>
        <w:t>Plus</w:t>
      </w:r>
      <w:r>
        <w:rPr>
          <w:color w:val="231F1F"/>
          <w:spacing w:val="40"/>
          <w:sz w:val="20"/>
        </w:rPr>
        <w:t> </w:t>
      </w:r>
      <w:r>
        <w:rPr>
          <w:color w:val="231F1F"/>
          <w:sz w:val="20"/>
        </w:rPr>
        <w:t>2008.</w:t>
      </w:r>
    </w:p>
    <w:p>
      <w:pPr>
        <w:pStyle w:val="ListParagraph"/>
        <w:numPr>
          <w:ilvl w:val="0"/>
          <w:numId w:val="109"/>
        </w:numPr>
        <w:tabs>
          <w:tab w:pos="793" w:val="left" w:leader="none"/>
          <w:tab w:pos="797" w:val="left" w:leader="none"/>
        </w:tabs>
        <w:spacing w:line="211" w:lineRule="auto" w:before="144" w:after="0"/>
        <w:ind w:left="797" w:right="154" w:hanging="501"/>
        <w:jc w:val="both"/>
        <w:rPr>
          <w:sz w:val="20"/>
        </w:rPr>
      </w:pPr>
      <w:r>
        <w:rPr>
          <w:color w:val="231F1F"/>
          <w:spacing w:val="-2"/>
          <w:w w:val="110"/>
          <w:position w:val="1"/>
          <w:sz w:val="20"/>
        </w:rPr>
        <w:t>Sutherland</w:t>
      </w:r>
      <w:r>
        <w:rPr>
          <w:color w:val="231F1F"/>
          <w:spacing w:val="-6"/>
          <w:w w:val="110"/>
          <w:position w:val="1"/>
          <w:sz w:val="20"/>
        </w:rPr>
        <w:t> </w:t>
      </w:r>
      <w:r>
        <w:rPr>
          <w:color w:val="231F1F"/>
          <w:spacing w:val="-2"/>
          <w:w w:val="110"/>
          <w:position w:val="1"/>
          <w:sz w:val="20"/>
        </w:rPr>
        <w:t>JM,</w:t>
      </w:r>
      <w:r>
        <w:rPr>
          <w:color w:val="231F1F"/>
          <w:spacing w:val="-7"/>
          <w:w w:val="110"/>
          <w:position w:val="1"/>
          <w:sz w:val="20"/>
        </w:rPr>
        <w:t> </w:t>
      </w:r>
      <w:r>
        <w:rPr>
          <w:color w:val="231F1F"/>
          <w:spacing w:val="-2"/>
          <w:w w:val="110"/>
          <w:position w:val="1"/>
          <w:sz w:val="20"/>
        </w:rPr>
        <w:t>Glueck</w:t>
      </w:r>
      <w:r>
        <w:rPr>
          <w:color w:val="231F1F"/>
          <w:spacing w:val="-6"/>
          <w:w w:val="110"/>
          <w:position w:val="1"/>
          <w:sz w:val="20"/>
        </w:rPr>
        <w:t> </w:t>
      </w:r>
      <w:r>
        <w:rPr>
          <w:color w:val="231F1F"/>
          <w:spacing w:val="-2"/>
          <w:w w:val="110"/>
          <w:position w:val="1"/>
          <w:sz w:val="20"/>
        </w:rPr>
        <w:t>HI,</w:t>
      </w:r>
      <w:r>
        <w:rPr>
          <w:color w:val="231F1F"/>
          <w:spacing w:val="-7"/>
          <w:w w:val="110"/>
          <w:position w:val="1"/>
          <w:sz w:val="20"/>
        </w:rPr>
        <w:t> </w:t>
      </w:r>
      <w:r>
        <w:rPr>
          <w:color w:val="231F1F"/>
          <w:spacing w:val="-2"/>
          <w:w w:val="110"/>
          <w:position w:val="1"/>
          <w:sz w:val="20"/>
        </w:rPr>
        <w:t>Gleser</w:t>
      </w:r>
      <w:r>
        <w:rPr>
          <w:color w:val="231F1F"/>
          <w:spacing w:val="-5"/>
          <w:w w:val="110"/>
          <w:position w:val="1"/>
          <w:sz w:val="20"/>
        </w:rPr>
        <w:t> </w:t>
      </w:r>
      <w:r>
        <w:rPr>
          <w:color w:val="231F1F"/>
          <w:spacing w:val="-2"/>
          <w:w w:val="110"/>
          <w:position w:val="1"/>
          <w:sz w:val="20"/>
        </w:rPr>
        <w:t>G.</w:t>
      </w:r>
      <w:r>
        <w:rPr>
          <w:color w:val="231F1F"/>
          <w:spacing w:val="-7"/>
          <w:w w:val="110"/>
          <w:position w:val="1"/>
          <w:sz w:val="20"/>
        </w:rPr>
        <w:t> </w:t>
      </w:r>
      <w:r>
        <w:rPr>
          <w:color w:val="231F1F"/>
          <w:spacing w:val="-2"/>
          <w:w w:val="110"/>
          <w:position w:val="1"/>
          <w:sz w:val="20"/>
        </w:rPr>
        <w:t>Hemorrhagic</w:t>
      </w:r>
      <w:r>
        <w:rPr>
          <w:color w:val="231F1F"/>
          <w:spacing w:val="-5"/>
          <w:w w:val="110"/>
          <w:position w:val="1"/>
          <w:sz w:val="20"/>
        </w:rPr>
        <w:t> </w:t>
      </w:r>
      <w:r>
        <w:rPr>
          <w:color w:val="231F1F"/>
          <w:spacing w:val="-2"/>
          <w:w w:val="110"/>
          <w:position w:val="1"/>
          <w:sz w:val="20"/>
        </w:rPr>
        <w:t>disease</w:t>
      </w:r>
      <w:r>
        <w:rPr>
          <w:color w:val="231F1F"/>
          <w:spacing w:val="-5"/>
          <w:w w:val="110"/>
          <w:position w:val="1"/>
          <w:sz w:val="20"/>
        </w:rPr>
        <w:t> </w:t>
      </w:r>
      <w:r>
        <w:rPr>
          <w:color w:val="231F1F"/>
          <w:spacing w:val="-2"/>
          <w:w w:val="110"/>
          <w:position w:val="1"/>
          <w:sz w:val="20"/>
        </w:rPr>
        <w:t>of</w:t>
      </w:r>
      <w:r>
        <w:rPr>
          <w:color w:val="231F1F"/>
          <w:spacing w:val="-5"/>
          <w:w w:val="110"/>
          <w:position w:val="1"/>
          <w:sz w:val="20"/>
        </w:rPr>
        <w:t> </w:t>
      </w:r>
      <w:r>
        <w:rPr>
          <w:color w:val="231F1F"/>
          <w:spacing w:val="-2"/>
          <w:w w:val="110"/>
          <w:position w:val="1"/>
          <w:sz w:val="20"/>
        </w:rPr>
        <w:t>the</w:t>
      </w:r>
      <w:r>
        <w:rPr>
          <w:color w:val="231F1F"/>
          <w:spacing w:val="-5"/>
          <w:w w:val="110"/>
          <w:position w:val="1"/>
          <w:sz w:val="20"/>
        </w:rPr>
        <w:t> </w:t>
      </w:r>
      <w:r>
        <w:rPr>
          <w:color w:val="231F1F"/>
          <w:spacing w:val="-2"/>
          <w:w w:val="110"/>
          <w:position w:val="1"/>
          <w:sz w:val="20"/>
        </w:rPr>
        <w:t>newborn:</w:t>
      </w:r>
      <w:r>
        <w:rPr>
          <w:color w:val="231F1F"/>
          <w:spacing w:val="-7"/>
          <w:w w:val="110"/>
          <w:position w:val="1"/>
          <w:sz w:val="20"/>
        </w:rPr>
        <w:t> </w:t>
      </w:r>
      <w:r>
        <w:rPr>
          <w:color w:val="231F1F"/>
          <w:spacing w:val="-2"/>
          <w:w w:val="110"/>
          <w:position w:val="1"/>
          <w:sz w:val="20"/>
        </w:rPr>
        <w:t>breast</w:t>
      </w:r>
      <w:r>
        <w:rPr>
          <w:color w:val="231F1F"/>
          <w:spacing w:val="-4"/>
          <w:w w:val="110"/>
          <w:position w:val="1"/>
          <w:sz w:val="20"/>
        </w:rPr>
        <w:t> </w:t>
      </w:r>
      <w:r>
        <w:rPr>
          <w:color w:val="231F1F"/>
          <w:spacing w:val="-2"/>
          <w:w w:val="110"/>
          <w:position w:val="1"/>
          <w:sz w:val="20"/>
        </w:rPr>
        <w:t>feeding</w:t>
      </w:r>
      <w:r>
        <w:rPr>
          <w:color w:val="231F1F"/>
          <w:spacing w:val="-5"/>
          <w:w w:val="110"/>
          <w:position w:val="1"/>
          <w:sz w:val="20"/>
        </w:rPr>
        <w:t> </w:t>
      </w:r>
      <w:r>
        <w:rPr>
          <w:color w:val="231F1F"/>
          <w:spacing w:val="-2"/>
          <w:w w:val="110"/>
          <w:position w:val="1"/>
          <w:sz w:val="20"/>
        </w:rPr>
        <w:t>as </w:t>
      </w:r>
      <w:r>
        <w:rPr>
          <w:color w:val="231F1F"/>
          <w:w w:val="110"/>
          <w:sz w:val="20"/>
        </w:rPr>
        <w:t>a necessary factor in the pathogenesis.</w:t>
      </w:r>
      <w:r>
        <w:rPr>
          <w:color w:val="231F1F"/>
          <w:spacing w:val="-12"/>
          <w:w w:val="110"/>
          <w:sz w:val="20"/>
        </w:rPr>
        <w:t> </w:t>
      </w:r>
      <w:r>
        <w:rPr>
          <w:color w:val="231F1F"/>
          <w:w w:val="110"/>
          <w:sz w:val="20"/>
        </w:rPr>
        <w:t>Am J Dis Child 1967;113:524-33.</w:t>
      </w:r>
    </w:p>
    <w:p>
      <w:pPr>
        <w:pStyle w:val="ListParagraph"/>
        <w:numPr>
          <w:ilvl w:val="0"/>
          <w:numId w:val="109"/>
        </w:numPr>
        <w:tabs>
          <w:tab w:pos="793" w:val="left" w:leader="none"/>
          <w:tab w:pos="797" w:val="left" w:leader="none"/>
        </w:tabs>
        <w:spacing w:line="235" w:lineRule="auto" w:before="176" w:after="0"/>
        <w:ind w:left="797" w:right="300" w:hanging="502"/>
        <w:jc w:val="left"/>
        <w:rPr>
          <w:sz w:val="20"/>
        </w:rPr>
      </w:pPr>
      <w:r>
        <w:rPr>
          <w:color w:val="231F1F"/>
          <w:sz w:val="20"/>
        </w:rPr>
        <w:t>Vietti</w:t>
      </w:r>
      <w:r>
        <w:rPr>
          <w:color w:val="231F1F"/>
          <w:spacing w:val="-5"/>
          <w:sz w:val="20"/>
        </w:rPr>
        <w:t> </w:t>
      </w:r>
      <w:r>
        <w:rPr>
          <w:color w:val="231F1F"/>
          <w:sz w:val="20"/>
        </w:rPr>
        <w:t>TJ,</w:t>
      </w:r>
      <w:r>
        <w:rPr>
          <w:color w:val="231F1F"/>
          <w:spacing w:val="-5"/>
          <w:sz w:val="20"/>
        </w:rPr>
        <w:t> </w:t>
      </w:r>
      <w:r>
        <w:rPr>
          <w:color w:val="231F1F"/>
          <w:sz w:val="20"/>
        </w:rPr>
        <w:t>Murphy</w:t>
      </w:r>
      <w:r>
        <w:rPr>
          <w:color w:val="231F1F"/>
          <w:spacing w:val="-5"/>
          <w:sz w:val="20"/>
        </w:rPr>
        <w:t> </w:t>
      </w:r>
      <w:r>
        <w:rPr>
          <w:color w:val="231F1F"/>
          <w:sz w:val="20"/>
        </w:rPr>
        <w:t>TP,</w:t>
      </w:r>
      <w:r>
        <w:rPr>
          <w:color w:val="231F1F"/>
          <w:spacing w:val="-5"/>
          <w:sz w:val="20"/>
        </w:rPr>
        <w:t> </w:t>
      </w:r>
      <w:r>
        <w:rPr>
          <w:color w:val="231F1F"/>
          <w:sz w:val="20"/>
        </w:rPr>
        <w:t>James</w:t>
      </w:r>
      <w:r>
        <w:rPr>
          <w:color w:val="231F1F"/>
          <w:spacing w:val="21"/>
          <w:sz w:val="20"/>
        </w:rPr>
        <w:t> </w:t>
      </w:r>
      <w:r>
        <w:rPr>
          <w:color w:val="231F1F"/>
          <w:sz w:val="20"/>
        </w:rPr>
        <w:t>JA,</w:t>
      </w:r>
      <w:r>
        <w:rPr>
          <w:color w:val="231F1F"/>
          <w:spacing w:val="-5"/>
          <w:sz w:val="20"/>
        </w:rPr>
        <w:t> </w:t>
      </w:r>
      <w:r>
        <w:rPr>
          <w:color w:val="231F1F"/>
          <w:sz w:val="20"/>
        </w:rPr>
        <w:t>Pritchard</w:t>
      </w:r>
      <w:r>
        <w:rPr>
          <w:color w:val="231F1F"/>
          <w:spacing w:val="21"/>
          <w:sz w:val="20"/>
        </w:rPr>
        <w:t> </w:t>
      </w:r>
      <w:r>
        <w:rPr>
          <w:color w:val="231F1F"/>
          <w:sz w:val="20"/>
        </w:rPr>
        <w:t>JA.</w:t>
      </w:r>
      <w:r>
        <w:rPr>
          <w:color w:val="231F1F"/>
          <w:spacing w:val="-5"/>
          <w:sz w:val="20"/>
        </w:rPr>
        <w:t> </w:t>
      </w:r>
      <w:r>
        <w:rPr>
          <w:color w:val="231F1F"/>
          <w:sz w:val="20"/>
        </w:rPr>
        <w:t>Observations</w:t>
      </w:r>
      <w:r>
        <w:rPr>
          <w:color w:val="231F1F"/>
          <w:spacing w:val="22"/>
          <w:sz w:val="20"/>
        </w:rPr>
        <w:t> </w:t>
      </w:r>
      <w:r>
        <w:rPr>
          <w:color w:val="231F1F"/>
          <w:sz w:val="20"/>
        </w:rPr>
        <w:t>on</w:t>
      </w:r>
      <w:r>
        <w:rPr>
          <w:color w:val="231F1F"/>
          <w:spacing w:val="22"/>
          <w:sz w:val="20"/>
        </w:rPr>
        <w:t> </w:t>
      </w:r>
      <w:r>
        <w:rPr>
          <w:color w:val="231F1F"/>
          <w:sz w:val="20"/>
        </w:rPr>
        <w:t>the</w:t>
      </w:r>
      <w:r>
        <w:rPr>
          <w:color w:val="231F1F"/>
          <w:spacing w:val="22"/>
          <w:sz w:val="20"/>
        </w:rPr>
        <w:t> </w:t>
      </w:r>
      <w:r>
        <w:rPr>
          <w:color w:val="231F1F"/>
          <w:sz w:val="20"/>
        </w:rPr>
        <w:t>prophylactic</w:t>
      </w:r>
      <w:r>
        <w:rPr>
          <w:color w:val="231F1F"/>
          <w:spacing w:val="22"/>
          <w:sz w:val="20"/>
        </w:rPr>
        <w:t> </w:t>
      </w:r>
      <w:r>
        <w:rPr>
          <w:color w:val="231F1F"/>
          <w:sz w:val="20"/>
        </w:rPr>
        <w:t>use</w:t>
      </w:r>
      <w:r>
        <w:rPr>
          <w:color w:val="231F1F"/>
          <w:spacing w:val="22"/>
          <w:sz w:val="20"/>
        </w:rPr>
        <w:t> </w:t>
      </w:r>
      <w:r>
        <w:rPr>
          <w:color w:val="231F1F"/>
          <w:sz w:val="20"/>
        </w:rPr>
        <w:t>of</w:t>
      </w:r>
      <w:r>
        <w:rPr>
          <w:color w:val="231F1F"/>
          <w:spacing w:val="22"/>
          <w:sz w:val="20"/>
        </w:rPr>
        <w:t> </w:t>
      </w:r>
      <w:r>
        <w:rPr>
          <w:color w:val="231F1F"/>
          <w:sz w:val="20"/>
        </w:rPr>
        <w:t>vitamin K</w:t>
      </w:r>
      <w:r>
        <w:rPr>
          <w:color w:val="231F1F"/>
          <w:spacing w:val="40"/>
          <w:sz w:val="20"/>
        </w:rPr>
        <w:t> </w:t>
      </w:r>
      <w:r>
        <w:rPr>
          <w:color w:val="231F1F"/>
          <w:sz w:val="20"/>
        </w:rPr>
        <w:t>in</w:t>
      </w:r>
      <w:r>
        <w:rPr>
          <w:color w:val="231F1F"/>
          <w:spacing w:val="40"/>
          <w:sz w:val="20"/>
        </w:rPr>
        <w:t> </w:t>
      </w:r>
      <w:r>
        <w:rPr>
          <w:color w:val="231F1F"/>
          <w:sz w:val="20"/>
        </w:rPr>
        <w:t>the</w:t>
      </w:r>
      <w:r>
        <w:rPr>
          <w:color w:val="231F1F"/>
          <w:spacing w:val="40"/>
          <w:sz w:val="20"/>
        </w:rPr>
        <w:t> </w:t>
      </w:r>
      <w:r>
        <w:rPr>
          <w:color w:val="231F1F"/>
          <w:sz w:val="20"/>
        </w:rPr>
        <w:t>newborn</w:t>
      </w:r>
      <w:r>
        <w:rPr>
          <w:color w:val="231F1F"/>
          <w:spacing w:val="40"/>
          <w:sz w:val="20"/>
        </w:rPr>
        <w:t> </w:t>
      </w:r>
      <w:r>
        <w:rPr>
          <w:color w:val="231F1F"/>
          <w:sz w:val="20"/>
        </w:rPr>
        <w:t>infant. J</w:t>
      </w:r>
      <w:r>
        <w:rPr>
          <w:color w:val="231F1F"/>
          <w:spacing w:val="40"/>
          <w:sz w:val="20"/>
        </w:rPr>
        <w:t> </w:t>
      </w:r>
      <w:r>
        <w:rPr>
          <w:color w:val="231F1F"/>
          <w:sz w:val="20"/>
        </w:rPr>
        <w:t>Pediatr</w:t>
      </w:r>
      <w:r>
        <w:rPr>
          <w:color w:val="231F1F"/>
          <w:spacing w:val="40"/>
          <w:sz w:val="20"/>
        </w:rPr>
        <w:t> </w:t>
      </w:r>
      <w:r>
        <w:rPr>
          <w:color w:val="231F1F"/>
          <w:sz w:val="20"/>
        </w:rPr>
        <w:t>1960;56:343-6.</w:t>
      </w:r>
    </w:p>
    <w:p>
      <w:pPr>
        <w:pStyle w:val="ListParagraph"/>
        <w:numPr>
          <w:ilvl w:val="0"/>
          <w:numId w:val="109"/>
        </w:numPr>
        <w:tabs>
          <w:tab w:pos="794" w:val="left" w:leader="none"/>
          <w:tab w:pos="798" w:val="left" w:leader="none"/>
        </w:tabs>
        <w:spacing w:line="211" w:lineRule="auto" w:before="158" w:after="0"/>
        <w:ind w:left="798" w:right="212" w:hanging="502"/>
        <w:jc w:val="left"/>
        <w:rPr>
          <w:sz w:val="20"/>
        </w:rPr>
      </w:pPr>
      <w:r>
        <w:rPr>
          <w:color w:val="231F1F"/>
          <w:w w:val="105"/>
          <w:position w:val="1"/>
          <w:sz w:val="20"/>
        </w:rPr>
        <w:t>Puckett</w:t>
      </w:r>
      <w:r>
        <w:rPr>
          <w:color w:val="231F1F"/>
          <w:spacing w:val="-14"/>
          <w:w w:val="105"/>
          <w:position w:val="1"/>
          <w:sz w:val="20"/>
        </w:rPr>
        <w:t> </w:t>
      </w:r>
      <w:r>
        <w:rPr>
          <w:color w:val="231F1F"/>
          <w:w w:val="105"/>
          <w:position w:val="1"/>
          <w:sz w:val="20"/>
        </w:rPr>
        <w:t>RM,</w:t>
      </w:r>
      <w:r>
        <w:rPr>
          <w:color w:val="231F1F"/>
          <w:spacing w:val="-25"/>
          <w:w w:val="105"/>
          <w:position w:val="1"/>
          <w:sz w:val="20"/>
        </w:rPr>
        <w:t> </w:t>
      </w:r>
      <w:r>
        <w:rPr>
          <w:color w:val="231F1F"/>
          <w:w w:val="105"/>
          <w:position w:val="1"/>
          <w:sz w:val="20"/>
        </w:rPr>
        <w:t>Offringa</w:t>
      </w:r>
      <w:r>
        <w:rPr>
          <w:color w:val="231F1F"/>
          <w:spacing w:val="-14"/>
          <w:w w:val="105"/>
          <w:position w:val="1"/>
          <w:sz w:val="20"/>
        </w:rPr>
        <w:t> </w:t>
      </w:r>
      <w:r>
        <w:rPr>
          <w:color w:val="231F1F"/>
          <w:w w:val="105"/>
          <w:position w:val="1"/>
          <w:sz w:val="20"/>
        </w:rPr>
        <w:t>M.</w:t>
      </w:r>
      <w:r>
        <w:rPr>
          <w:color w:val="231F1F"/>
          <w:spacing w:val="-25"/>
          <w:w w:val="105"/>
          <w:position w:val="1"/>
          <w:sz w:val="20"/>
        </w:rPr>
        <w:t> </w:t>
      </w:r>
      <w:r>
        <w:rPr>
          <w:color w:val="231F1F"/>
          <w:w w:val="105"/>
          <w:position w:val="1"/>
          <w:sz w:val="20"/>
        </w:rPr>
        <w:t>Prophylactic</w:t>
      </w:r>
      <w:r>
        <w:rPr>
          <w:color w:val="231F1F"/>
          <w:spacing w:val="-13"/>
          <w:w w:val="105"/>
          <w:position w:val="1"/>
          <w:sz w:val="20"/>
        </w:rPr>
        <w:t> </w:t>
      </w:r>
      <w:r>
        <w:rPr>
          <w:color w:val="231F1F"/>
          <w:w w:val="105"/>
          <w:position w:val="1"/>
          <w:sz w:val="20"/>
        </w:rPr>
        <w:t>vitamin</w:t>
      </w:r>
      <w:r>
        <w:rPr>
          <w:color w:val="231F1F"/>
          <w:spacing w:val="-14"/>
          <w:w w:val="105"/>
          <w:position w:val="1"/>
          <w:sz w:val="20"/>
        </w:rPr>
        <w:t> </w:t>
      </w:r>
      <w:r>
        <w:rPr>
          <w:color w:val="231F1F"/>
          <w:w w:val="105"/>
          <w:position w:val="1"/>
          <w:sz w:val="20"/>
        </w:rPr>
        <w:t>K</w:t>
      </w:r>
      <w:r>
        <w:rPr>
          <w:color w:val="231F1F"/>
          <w:spacing w:val="-13"/>
          <w:w w:val="105"/>
          <w:position w:val="1"/>
          <w:sz w:val="20"/>
        </w:rPr>
        <w:t> </w:t>
      </w:r>
      <w:r>
        <w:rPr>
          <w:color w:val="231F1F"/>
          <w:w w:val="105"/>
          <w:position w:val="1"/>
          <w:sz w:val="20"/>
        </w:rPr>
        <w:t>for</w:t>
      </w:r>
      <w:r>
        <w:rPr>
          <w:color w:val="231F1F"/>
          <w:spacing w:val="-13"/>
          <w:w w:val="105"/>
          <w:position w:val="1"/>
          <w:sz w:val="20"/>
        </w:rPr>
        <w:t> </w:t>
      </w:r>
      <w:r>
        <w:rPr>
          <w:color w:val="231F1F"/>
          <w:w w:val="105"/>
          <w:position w:val="1"/>
          <w:sz w:val="20"/>
        </w:rPr>
        <w:t>vitamin</w:t>
      </w:r>
      <w:r>
        <w:rPr>
          <w:color w:val="231F1F"/>
          <w:spacing w:val="-14"/>
          <w:w w:val="105"/>
          <w:position w:val="1"/>
          <w:sz w:val="20"/>
        </w:rPr>
        <w:t> </w:t>
      </w:r>
      <w:r>
        <w:rPr>
          <w:color w:val="231F1F"/>
          <w:w w:val="105"/>
          <w:position w:val="1"/>
          <w:sz w:val="20"/>
        </w:rPr>
        <w:t>K</w:t>
      </w:r>
      <w:r>
        <w:rPr>
          <w:color w:val="231F1F"/>
          <w:spacing w:val="-13"/>
          <w:w w:val="105"/>
          <w:position w:val="1"/>
          <w:sz w:val="20"/>
        </w:rPr>
        <w:t> </w:t>
      </w:r>
      <w:r>
        <w:rPr>
          <w:color w:val="231F1F"/>
          <w:w w:val="105"/>
          <w:position w:val="1"/>
          <w:sz w:val="20"/>
        </w:rPr>
        <w:t>deficiency</w:t>
      </w:r>
      <w:r>
        <w:rPr>
          <w:color w:val="231F1F"/>
          <w:spacing w:val="-14"/>
          <w:w w:val="105"/>
          <w:position w:val="1"/>
          <w:sz w:val="20"/>
        </w:rPr>
        <w:t> </w:t>
      </w:r>
      <w:r>
        <w:rPr>
          <w:color w:val="231F1F"/>
          <w:w w:val="105"/>
          <w:position w:val="1"/>
          <w:sz w:val="20"/>
        </w:rPr>
        <w:t>bleeding</w:t>
      </w:r>
      <w:r>
        <w:rPr>
          <w:color w:val="231F1F"/>
          <w:spacing w:val="-13"/>
          <w:w w:val="105"/>
          <w:position w:val="1"/>
          <w:sz w:val="20"/>
        </w:rPr>
        <w:t> </w:t>
      </w:r>
      <w:r>
        <w:rPr>
          <w:color w:val="231F1F"/>
          <w:w w:val="105"/>
          <w:position w:val="1"/>
          <w:sz w:val="20"/>
        </w:rPr>
        <w:t>in</w:t>
      </w:r>
      <w:r>
        <w:rPr>
          <w:color w:val="231F1F"/>
          <w:spacing w:val="-14"/>
          <w:w w:val="105"/>
          <w:position w:val="1"/>
          <w:sz w:val="20"/>
        </w:rPr>
        <w:t> </w:t>
      </w:r>
      <w:r>
        <w:rPr>
          <w:color w:val="231F1F"/>
          <w:w w:val="105"/>
          <w:position w:val="1"/>
          <w:sz w:val="20"/>
        </w:rPr>
        <w:t>neonates. </w:t>
      </w:r>
      <w:r>
        <w:rPr>
          <w:color w:val="231F1F"/>
          <w:w w:val="105"/>
          <w:sz w:val="20"/>
        </w:rPr>
        <w:t>Cochrane Database Syst Rev 2000;(4):CD002776.</w:t>
      </w:r>
    </w:p>
    <w:p>
      <w:pPr>
        <w:pStyle w:val="ListParagraph"/>
        <w:numPr>
          <w:ilvl w:val="0"/>
          <w:numId w:val="109"/>
        </w:numPr>
        <w:tabs>
          <w:tab w:pos="794" w:val="left" w:leader="none"/>
        </w:tabs>
        <w:spacing w:line="240" w:lineRule="auto" w:before="144" w:after="0"/>
        <w:ind w:left="794" w:right="0" w:hanging="497"/>
        <w:jc w:val="left"/>
        <w:rPr>
          <w:sz w:val="20"/>
        </w:rPr>
      </w:pPr>
      <w:r>
        <w:rPr>
          <w:color w:val="231F1F"/>
          <w:spacing w:val="-2"/>
          <w:w w:val="105"/>
          <w:sz w:val="20"/>
        </w:rPr>
        <w:t>Wariyar</w:t>
      </w:r>
      <w:r>
        <w:rPr>
          <w:color w:val="231F1F"/>
          <w:spacing w:val="-10"/>
          <w:w w:val="105"/>
          <w:sz w:val="20"/>
        </w:rPr>
        <w:t> </w:t>
      </w:r>
      <w:r>
        <w:rPr>
          <w:color w:val="231F1F"/>
          <w:spacing w:val="-2"/>
          <w:w w:val="105"/>
          <w:sz w:val="20"/>
        </w:rPr>
        <w:t>U,</w:t>
      </w:r>
      <w:r>
        <w:rPr>
          <w:color w:val="231F1F"/>
          <w:spacing w:val="-8"/>
          <w:w w:val="105"/>
          <w:sz w:val="20"/>
        </w:rPr>
        <w:t> </w:t>
      </w:r>
      <w:r>
        <w:rPr>
          <w:color w:val="231F1F"/>
          <w:spacing w:val="-2"/>
          <w:w w:val="105"/>
          <w:sz w:val="20"/>
        </w:rPr>
        <w:t>Hilton</w:t>
      </w:r>
      <w:r>
        <w:rPr>
          <w:color w:val="231F1F"/>
          <w:spacing w:val="-4"/>
          <w:w w:val="105"/>
          <w:sz w:val="20"/>
        </w:rPr>
        <w:t> </w:t>
      </w:r>
      <w:r>
        <w:rPr>
          <w:color w:val="231F1F"/>
          <w:spacing w:val="-2"/>
          <w:w w:val="105"/>
          <w:sz w:val="20"/>
        </w:rPr>
        <w:t>S,</w:t>
      </w:r>
      <w:r>
        <w:rPr>
          <w:color w:val="231F1F"/>
          <w:spacing w:val="-8"/>
          <w:w w:val="105"/>
          <w:sz w:val="20"/>
        </w:rPr>
        <w:t> </w:t>
      </w:r>
      <w:r>
        <w:rPr>
          <w:color w:val="231F1F"/>
          <w:spacing w:val="-2"/>
          <w:w w:val="105"/>
          <w:sz w:val="20"/>
        </w:rPr>
        <w:t>Pagan</w:t>
      </w:r>
      <w:r>
        <w:rPr>
          <w:color w:val="231F1F"/>
          <w:spacing w:val="-1"/>
          <w:w w:val="105"/>
          <w:sz w:val="20"/>
        </w:rPr>
        <w:t> </w:t>
      </w:r>
      <w:r>
        <w:rPr>
          <w:color w:val="231F1F"/>
          <w:spacing w:val="-2"/>
          <w:w w:val="105"/>
          <w:sz w:val="20"/>
        </w:rPr>
        <w:t>J,</w:t>
      </w:r>
      <w:r>
        <w:rPr>
          <w:color w:val="231F1F"/>
          <w:spacing w:val="-20"/>
          <w:w w:val="105"/>
          <w:sz w:val="20"/>
        </w:rPr>
        <w:t> </w:t>
      </w:r>
      <w:r>
        <w:rPr>
          <w:color w:val="231F1F"/>
          <w:spacing w:val="-2"/>
          <w:w w:val="105"/>
          <w:sz w:val="20"/>
        </w:rPr>
        <w:t>Tin</w:t>
      </w:r>
      <w:r>
        <w:rPr>
          <w:color w:val="231F1F"/>
          <w:spacing w:val="-10"/>
          <w:w w:val="105"/>
          <w:sz w:val="20"/>
        </w:rPr>
        <w:t> </w:t>
      </w:r>
      <w:r>
        <w:rPr>
          <w:color w:val="231F1F"/>
          <w:spacing w:val="-2"/>
          <w:w w:val="105"/>
          <w:sz w:val="20"/>
        </w:rPr>
        <w:t>W,</w:t>
      </w:r>
      <w:r>
        <w:rPr>
          <w:color w:val="231F1F"/>
          <w:spacing w:val="-8"/>
          <w:w w:val="105"/>
          <w:sz w:val="20"/>
        </w:rPr>
        <w:t> </w:t>
      </w:r>
      <w:r>
        <w:rPr>
          <w:color w:val="231F1F"/>
          <w:spacing w:val="-2"/>
          <w:w w:val="105"/>
          <w:sz w:val="20"/>
        </w:rPr>
        <w:t>Hey</w:t>
      </w:r>
      <w:r>
        <w:rPr>
          <w:color w:val="231F1F"/>
          <w:spacing w:val="-1"/>
          <w:w w:val="105"/>
          <w:sz w:val="20"/>
        </w:rPr>
        <w:t> </w:t>
      </w:r>
      <w:r>
        <w:rPr>
          <w:color w:val="231F1F"/>
          <w:spacing w:val="-2"/>
          <w:w w:val="105"/>
          <w:sz w:val="20"/>
        </w:rPr>
        <w:t>E.</w:t>
      </w:r>
      <w:r>
        <w:rPr>
          <w:color w:val="231F1F"/>
          <w:spacing w:val="-8"/>
          <w:w w:val="105"/>
          <w:sz w:val="20"/>
        </w:rPr>
        <w:t> </w:t>
      </w:r>
      <w:r>
        <w:rPr>
          <w:color w:val="231F1F"/>
          <w:spacing w:val="-2"/>
          <w:w w:val="105"/>
          <w:sz w:val="20"/>
        </w:rPr>
        <w:t>Six</w:t>
      </w:r>
      <w:r>
        <w:rPr>
          <w:color w:val="231F1F"/>
          <w:spacing w:val="-1"/>
          <w:w w:val="105"/>
          <w:sz w:val="20"/>
        </w:rPr>
        <w:t> </w:t>
      </w:r>
      <w:r>
        <w:rPr>
          <w:color w:val="231F1F"/>
          <w:spacing w:val="-2"/>
          <w:w w:val="105"/>
          <w:sz w:val="20"/>
        </w:rPr>
        <w:t>years´experience</w:t>
      </w:r>
      <w:r>
        <w:rPr>
          <w:color w:val="231F1F"/>
          <w:spacing w:val="3"/>
          <w:w w:val="105"/>
          <w:sz w:val="20"/>
        </w:rPr>
        <w:t> </w:t>
      </w:r>
      <w:r>
        <w:rPr>
          <w:color w:val="231F1F"/>
          <w:spacing w:val="-2"/>
          <w:w w:val="105"/>
          <w:sz w:val="20"/>
        </w:rPr>
        <w:t>of</w:t>
      </w:r>
      <w:r>
        <w:rPr>
          <w:color w:val="231F1F"/>
          <w:spacing w:val="2"/>
          <w:w w:val="105"/>
          <w:sz w:val="20"/>
        </w:rPr>
        <w:t> </w:t>
      </w:r>
      <w:r>
        <w:rPr>
          <w:color w:val="231F1F"/>
          <w:spacing w:val="-2"/>
          <w:w w:val="105"/>
          <w:sz w:val="20"/>
        </w:rPr>
        <w:t>prophylactic</w:t>
      </w:r>
      <w:r>
        <w:rPr>
          <w:color w:val="231F1F"/>
          <w:spacing w:val="-1"/>
          <w:w w:val="105"/>
          <w:sz w:val="20"/>
        </w:rPr>
        <w:t> </w:t>
      </w:r>
      <w:r>
        <w:rPr>
          <w:color w:val="231F1F"/>
          <w:spacing w:val="-2"/>
          <w:w w:val="105"/>
          <w:sz w:val="20"/>
        </w:rPr>
        <w:t>oral</w:t>
      </w:r>
      <w:r>
        <w:rPr>
          <w:color w:val="231F1F"/>
          <w:spacing w:val="1"/>
          <w:w w:val="105"/>
          <w:sz w:val="20"/>
        </w:rPr>
        <w:t> </w:t>
      </w:r>
      <w:r>
        <w:rPr>
          <w:color w:val="231F1F"/>
          <w:spacing w:val="-2"/>
          <w:w w:val="105"/>
          <w:sz w:val="20"/>
        </w:rPr>
        <w:t>vitamin</w:t>
      </w:r>
    </w:p>
    <w:p>
      <w:pPr>
        <w:spacing w:before="10"/>
        <w:ind w:left="798" w:right="0" w:firstLine="0"/>
        <w:jc w:val="left"/>
        <w:rPr>
          <w:sz w:val="20"/>
        </w:rPr>
      </w:pPr>
      <w:r>
        <w:rPr>
          <w:color w:val="231F1F"/>
          <w:w w:val="105"/>
          <w:sz w:val="20"/>
        </w:rPr>
        <w:t>K.</w:t>
      </w:r>
      <w:r>
        <w:rPr>
          <w:color w:val="231F1F"/>
          <w:spacing w:val="-21"/>
          <w:w w:val="105"/>
          <w:sz w:val="20"/>
        </w:rPr>
        <w:t> </w:t>
      </w:r>
      <w:r>
        <w:rPr>
          <w:color w:val="231F1F"/>
          <w:w w:val="105"/>
          <w:sz w:val="20"/>
        </w:rPr>
        <w:t>Arch</w:t>
      </w:r>
      <w:r>
        <w:rPr>
          <w:color w:val="231F1F"/>
          <w:spacing w:val="-12"/>
          <w:w w:val="105"/>
          <w:sz w:val="20"/>
        </w:rPr>
        <w:t> </w:t>
      </w:r>
      <w:r>
        <w:rPr>
          <w:color w:val="231F1F"/>
          <w:w w:val="105"/>
          <w:sz w:val="20"/>
        </w:rPr>
        <w:t>Dis</w:t>
      </w:r>
      <w:r>
        <w:rPr>
          <w:color w:val="231F1F"/>
          <w:spacing w:val="-3"/>
          <w:w w:val="105"/>
          <w:sz w:val="20"/>
        </w:rPr>
        <w:t> </w:t>
      </w:r>
      <w:r>
        <w:rPr>
          <w:color w:val="231F1F"/>
          <w:w w:val="105"/>
          <w:sz w:val="20"/>
        </w:rPr>
        <w:t>Child</w:t>
      </w:r>
      <w:r>
        <w:rPr>
          <w:color w:val="231F1F"/>
          <w:spacing w:val="-6"/>
          <w:w w:val="105"/>
          <w:sz w:val="20"/>
        </w:rPr>
        <w:t> </w:t>
      </w:r>
      <w:r>
        <w:rPr>
          <w:color w:val="231F1F"/>
          <w:w w:val="105"/>
          <w:sz w:val="20"/>
        </w:rPr>
        <w:t>Fetal</w:t>
      </w:r>
      <w:r>
        <w:rPr>
          <w:color w:val="231F1F"/>
          <w:spacing w:val="-5"/>
          <w:w w:val="105"/>
          <w:sz w:val="20"/>
        </w:rPr>
        <w:t> </w:t>
      </w:r>
      <w:r>
        <w:rPr>
          <w:color w:val="231F1F"/>
          <w:w w:val="105"/>
          <w:sz w:val="20"/>
        </w:rPr>
        <w:t>Neonatal</w:t>
      </w:r>
      <w:r>
        <w:rPr>
          <w:color w:val="231F1F"/>
          <w:spacing w:val="-3"/>
          <w:w w:val="105"/>
          <w:sz w:val="20"/>
        </w:rPr>
        <w:t> </w:t>
      </w:r>
      <w:r>
        <w:rPr>
          <w:color w:val="231F1F"/>
          <w:w w:val="105"/>
          <w:sz w:val="20"/>
        </w:rPr>
        <w:t>Ed</w:t>
      </w:r>
      <w:r>
        <w:rPr>
          <w:color w:val="231F1F"/>
          <w:spacing w:val="-6"/>
          <w:w w:val="105"/>
          <w:sz w:val="20"/>
        </w:rPr>
        <w:t> </w:t>
      </w:r>
      <w:r>
        <w:rPr>
          <w:color w:val="231F1F"/>
          <w:w w:val="105"/>
          <w:sz w:val="20"/>
        </w:rPr>
        <w:t>2000;82(1):F64-</w:t>
      </w:r>
      <w:r>
        <w:rPr>
          <w:color w:val="231F1F"/>
          <w:spacing w:val="-5"/>
          <w:w w:val="105"/>
          <w:sz w:val="20"/>
        </w:rPr>
        <w:t>8.</w:t>
      </w:r>
    </w:p>
    <w:p>
      <w:pPr>
        <w:pStyle w:val="ListParagraph"/>
        <w:numPr>
          <w:ilvl w:val="0"/>
          <w:numId w:val="109"/>
        </w:numPr>
        <w:tabs>
          <w:tab w:pos="795" w:val="left" w:leader="none"/>
          <w:tab w:pos="798" w:val="left" w:leader="none"/>
        </w:tabs>
        <w:spacing w:line="220" w:lineRule="auto" w:before="174" w:after="0"/>
        <w:ind w:left="798" w:right="412" w:hanging="522"/>
        <w:jc w:val="left"/>
        <w:rPr>
          <w:sz w:val="20"/>
        </w:rPr>
      </w:pPr>
      <w:r>
        <w:rPr>
          <w:color w:val="231F1F"/>
          <w:w w:val="105"/>
          <w:sz w:val="20"/>
        </w:rPr>
        <w:t>Hansen</w:t>
      </w:r>
      <w:r>
        <w:rPr>
          <w:color w:val="231F1F"/>
          <w:spacing w:val="-3"/>
          <w:w w:val="105"/>
          <w:sz w:val="20"/>
        </w:rPr>
        <w:t> </w:t>
      </w:r>
      <w:r>
        <w:rPr>
          <w:color w:val="231F1F"/>
          <w:w w:val="105"/>
          <w:sz w:val="20"/>
        </w:rPr>
        <w:t>KN,</w:t>
      </w:r>
      <w:r>
        <w:rPr>
          <w:color w:val="231F1F"/>
          <w:spacing w:val="-5"/>
          <w:w w:val="105"/>
          <w:sz w:val="20"/>
        </w:rPr>
        <w:t> </w:t>
      </w:r>
      <w:r>
        <w:rPr>
          <w:color w:val="231F1F"/>
          <w:w w:val="105"/>
          <w:sz w:val="20"/>
        </w:rPr>
        <w:t>Minousis</w:t>
      </w:r>
      <w:r>
        <w:rPr>
          <w:color w:val="231F1F"/>
          <w:spacing w:val="-3"/>
          <w:w w:val="105"/>
          <w:sz w:val="20"/>
        </w:rPr>
        <w:t> </w:t>
      </w:r>
      <w:r>
        <w:rPr>
          <w:color w:val="231F1F"/>
          <w:w w:val="105"/>
          <w:sz w:val="20"/>
        </w:rPr>
        <w:t>M,</w:t>
      </w:r>
      <w:r>
        <w:rPr>
          <w:color w:val="231F1F"/>
          <w:spacing w:val="-5"/>
          <w:w w:val="105"/>
          <w:sz w:val="20"/>
        </w:rPr>
        <w:t> </w:t>
      </w:r>
      <w:r>
        <w:rPr>
          <w:color w:val="231F1F"/>
          <w:w w:val="105"/>
          <w:sz w:val="20"/>
        </w:rPr>
        <w:t>Ebbesen</w:t>
      </w:r>
      <w:r>
        <w:rPr>
          <w:color w:val="231F1F"/>
          <w:spacing w:val="-3"/>
          <w:w w:val="105"/>
          <w:sz w:val="20"/>
        </w:rPr>
        <w:t> </w:t>
      </w:r>
      <w:r>
        <w:rPr>
          <w:color w:val="231F1F"/>
          <w:w w:val="105"/>
          <w:sz w:val="20"/>
        </w:rPr>
        <w:t>F.</w:t>
      </w:r>
      <w:r>
        <w:rPr>
          <w:color w:val="231F1F"/>
          <w:spacing w:val="-8"/>
          <w:w w:val="105"/>
          <w:sz w:val="20"/>
        </w:rPr>
        <w:t> </w:t>
      </w:r>
      <w:r>
        <w:rPr>
          <w:color w:val="231F1F"/>
          <w:w w:val="105"/>
          <w:sz w:val="20"/>
        </w:rPr>
        <w:t>Weekly</w:t>
      </w:r>
      <w:r>
        <w:rPr>
          <w:color w:val="231F1F"/>
          <w:spacing w:val="-3"/>
          <w:w w:val="105"/>
          <w:sz w:val="20"/>
        </w:rPr>
        <w:t> </w:t>
      </w:r>
      <w:r>
        <w:rPr>
          <w:color w:val="231F1F"/>
          <w:w w:val="105"/>
          <w:sz w:val="20"/>
        </w:rPr>
        <w:t>oral</w:t>
      </w:r>
      <w:r>
        <w:rPr>
          <w:color w:val="231F1F"/>
          <w:spacing w:val="-3"/>
          <w:w w:val="105"/>
          <w:sz w:val="20"/>
        </w:rPr>
        <w:t> </w:t>
      </w:r>
      <w:r>
        <w:rPr>
          <w:color w:val="231F1F"/>
          <w:w w:val="105"/>
          <w:sz w:val="20"/>
        </w:rPr>
        <w:t>vitamin</w:t>
      </w:r>
      <w:r>
        <w:rPr>
          <w:color w:val="231F1F"/>
          <w:spacing w:val="-3"/>
          <w:w w:val="105"/>
          <w:sz w:val="20"/>
        </w:rPr>
        <w:t> </w:t>
      </w:r>
      <w:r>
        <w:rPr>
          <w:color w:val="231F1F"/>
          <w:w w:val="105"/>
          <w:sz w:val="20"/>
        </w:rPr>
        <w:t>K</w:t>
      </w:r>
      <w:r>
        <w:rPr>
          <w:color w:val="231F1F"/>
          <w:spacing w:val="-4"/>
          <w:w w:val="105"/>
          <w:sz w:val="20"/>
        </w:rPr>
        <w:t> </w:t>
      </w:r>
      <w:r>
        <w:rPr>
          <w:color w:val="231F1F"/>
          <w:w w:val="105"/>
          <w:sz w:val="20"/>
        </w:rPr>
        <w:t>prophylaxis</w:t>
      </w:r>
      <w:r>
        <w:rPr>
          <w:color w:val="231F1F"/>
          <w:spacing w:val="-3"/>
          <w:w w:val="105"/>
          <w:sz w:val="20"/>
        </w:rPr>
        <w:t> </w:t>
      </w:r>
      <w:r>
        <w:rPr>
          <w:color w:val="231F1F"/>
          <w:w w:val="105"/>
          <w:sz w:val="20"/>
        </w:rPr>
        <w:t>in</w:t>
      </w:r>
      <w:r>
        <w:rPr>
          <w:color w:val="231F1F"/>
          <w:spacing w:val="-3"/>
          <w:w w:val="105"/>
          <w:sz w:val="20"/>
        </w:rPr>
        <w:t> </w:t>
      </w:r>
      <w:r>
        <w:rPr>
          <w:color w:val="231F1F"/>
          <w:w w:val="105"/>
          <w:sz w:val="20"/>
        </w:rPr>
        <w:t>Denmark.</w:t>
      </w:r>
      <w:r>
        <w:rPr>
          <w:color w:val="231F1F"/>
          <w:spacing w:val="-10"/>
          <w:w w:val="105"/>
          <w:sz w:val="20"/>
        </w:rPr>
        <w:t> </w:t>
      </w:r>
      <w:r>
        <w:rPr>
          <w:color w:val="231F1F"/>
          <w:w w:val="105"/>
          <w:sz w:val="20"/>
        </w:rPr>
        <w:t>Acta Paediatr 2003;92(7):802-5.</w:t>
      </w:r>
    </w:p>
    <w:p>
      <w:pPr>
        <w:pStyle w:val="ListParagraph"/>
        <w:numPr>
          <w:ilvl w:val="0"/>
          <w:numId w:val="109"/>
        </w:numPr>
        <w:tabs>
          <w:tab w:pos="793" w:val="left" w:leader="none"/>
          <w:tab w:pos="797" w:val="left" w:leader="none"/>
        </w:tabs>
        <w:spacing w:line="211" w:lineRule="auto" w:before="169" w:after="0"/>
        <w:ind w:left="797" w:right="221" w:hanging="502"/>
        <w:jc w:val="left"/>
        <w:rPr>
          <w:sz w:val="20"/>
        </w:rPr>
      </w:pPr>
      <w:r>
        <w:rPr>
          <w:color w:val="231F1F"/>
          <w:spacing w:val="-2"/>
          <w:w w:val="110"/>
          <w:position w:val="1"/>
          <w:sz w:val="20"/>
        </w:rPr>
        <w:t>Bakhshi</w:t>
      </w:r>
      <w:r>
        <w:rPr>
          <w:color w:val="231F1F"/>
          <w:spacing w:val="-18"/>
          <w:w w:val="110"/>
          <w:position w:val="1"/>
          <w:sz w:val="20"/>
        </w:rPr>
        <w:t> </w:t>
      </w:r>
      <w:r>
        <w:rPr>
          <w:color w:val="231F1F"/>
          <w:spacing w:val="-2"/>
          <w:w w:val="110"/>
          <w:position w:val="1"/>
          <w:sz w:val="20"/>
        </w:rPr>
        <w:t>S,</w:t>
      </w:r>
      <w:r>
        <w:rPr>
          <w:color w:val="231F1F"/>
          <w:spacing w:val="-19"/>
          <w:w w:val="110"/>
          <w:position w:val="1"/>
          <w:sz w:val="20"/>
        </w:rPr>
        <w:t> </w:t>
      </w:r>
      <w:r>
        <w:rPr>
          <w:color w:val="231F1F"/>
          <w:spacing w:val="-2"/>
          <w:w w:val="110"/>
          <w:position w:val="1"/>
          <w:sz w:val="20"/>
        </w:rPr>
        <w:t>Deorari</w:t>
      </w:r>
      <w:r>
        <w:rPr>
          <w:color w:val="231F1F"/>
          <w:spacing w:val="-19"/>
          <w:w w:val="110"/>
          <w:position w:val="1"/>
          <w:sz w:val="20"/>
        </w:rPr>
        <w:t> </w:t>
      </w:r>
      <w:r>
        <w:rPr>
          <w:color w:val="231F1F"/>
          <w:spacing w:val="-2"/>
          <w:w w:val="110"/>
          <w:position w:val="1"/>
          <w:sz w:val="20"/>
        </w:rPr>
        <w:t>AK,</w:t>
      </w:r>
      <w:r>
        <w:rPr>
          <w:color w:val="231F1F"/>
          <w:spacing w:val="-19"/>
          <w:w w:val="110"/>
          <w:position w:val="1"/>
          <w:sz w:val="20"/>
        </w:rPr>
        <w:t> </w:t>
      </w:r>
      <w:r>
        <w:rPr>
          <w:color w:val="231F1F"/>
          <w:spacing w:val="-2"/>
          <w:w w:val="110"/>
          <w:position w:val="1"/>
          <w:sz w:val="20"/>
        </w:rPr>
        <w:t>Roy</w:t>
      </w:r>
      <w:r>
        <w:rPr>
          <w:color w:val="231F1F"/>
          <w:spacing w:val="-18"/>
          <w:w w:val="110"/>
          <w:position w:val="1"/>
          <w:sz w:val="20"/>
        </w:rPr>
        <w:t> </w:t>
      </w:r>
      <w:r>
        <w:rPr>
          <w:color w:val="231F1F"/>
          <w:spacing w:val="-2"/>
          <w:w w:val="110"/>
          <w:position w:val="1"/>
          <w:sz w:val="20"/>
        </w:rPr>
        <w:t>S,</w:t>
      </w:r>
      <w:r>
        <w:rPr>
          <w:color w:val="231F1F"/>
          <w:spacing w:val="-19"/>
          <w:w w:val="110"/>
          <w:position w:val="1"/>
          <w:sz w:val="20"/>
        </w:rPr>
        <w:t> </w:t>
      </w:r>
      <w:r>
        <w:rPr>
          <w:color w:val="231F1F"/>
          <w:spacing w:val="-2"/>
          <w:w w:val="110"/>
          <w:position w:val="1"/>
          <w:sz w:val="20"/>
        </w:rPr>
        <w:t>et</w:t>
      </w:r>
      <w:r>
        <w:rPr>
          <w:color w:val="231F1F"/>
          <w:spacing w:val="-12"/>
          <w:w w:val="110"/>
          <w:position w:val="1"/>
          <w:sz w:val="20"/>
        </w:rPr>
        <w:t> </w:t>
      </w:r>
      <w:r>
        <w:rPr>
          <w:color w:val="231F1F"/>
          <w:spacing w:val="-2"/>
          <w:w w:val="110"/>
          <w:position w:val="1"/>
          <w:sz w:val="20"/>
        </w:rPr>
        <w:t>al.</w:t>
      </w:r>
      <w:r>
        <w:rPr>
          <w:color w:val="231F1F"/>
          <w:spacing w:val="-19"/>
          <w:w w:val="110"/>
          <w:position w:val="1"/>
          <w:sz w:val="20"/>
        </w:rPr>
        <w:t> </w:t>
      </w:r>
      <w:r>
        <w:rPr>
          <w:color w:val="231F1F"/>
          <w:spacing w:val="-2"/>
          <w:w w:val="110"/>
          <w:position w:val="1"/>
          <w:sz w:val="20"/>
        </w:rPr>
        <w:t>Prevention</w:t>
      </w:r>
      <w:r>
        <w:rPr>
          <w:color w:val="231F1F"/>
          <w:spacing w:val="-12"/>
          <w:w w:val="110"/>
          <w:position w:val="1"/>
          <w:sz w:val="20"/>
        </w:rPr>
        <w:t> </w:t>
      </w:r>
      <w:r>
        <w:rPr>
          <w:color w:val="231F1F"/>
          <w:spacing w:val="-2"/>
          <w:w w:val="110"/>
          <w:position w:val="1"/>
          <w:sz w:val="20"/>
        </w:rPr>
        <w:t>of</w:t>
      </w:r>
      <w:r>
        <w:rPr>
          <w:color w:val="231F1F"/>
          <w:spacing w:val="-12"/>
          <w:w w:val="110"/>
          <w:position w:val="1"/>
          <w:sz w:val="20"/>
        </w:rPr>
        <w:t> </w:t>
      </w:r>
      <w:r>
        <w:rPr>
          <w:color w:val="231F1F"/>
          <w:spacing w:val="-2"/>
          <w:w w:val="110"/>
          <w:position w:val="1"/>
          <w:sz w:val="20"/>
        </w:rPr>
        <w:t>subclinical</w:t>
      </w:r>
      <w:r>
        <w:rPr>
          <w:color w:val="231F1F"/>
          <w:spacing w:val="-10"/>
          <w:w w:val="110"/>
          <w:position w:val="1"/>
          <w:sz w:val="20"/>
        </w:rPr>
        <w:t> </w:t>
      </w:r>
      <w:r>
        <w:rPr>
          <w:color w:val="231F1F"/>
          <w:spacing w:val="-2"/>
          <w:w w:val="110"/>
          <w:position w:val="1"/>
          <w:sz w:val="20"/>
        </w:rPr>
        <w:t>vitamin</w:t>
      </w:r>
      <w:r>
        <w:rPr>
          <w:color w:val="231F1F"/>
          <w:spacing w:val="-12"/>
          <w:w w:val="110"/>
          <w:position w:val="1"/>
          <w:sz w:val="20"/>
        </w:rPr>
        <w:t> </w:t>
      </w:r>
      <w:r>
        <w:rPr>
          <w:color w:val="231F1F"/>
          <w:spacing w:val="-2"/>
          <w:w w:val="110"/>
          <w:position w:val="1"/>
          <w:sz w:val="20"/>
        </w:rPr>
        <w:t>K</w:t>
      </w:r>
      <w:r>
        <w:rPr>
          <w:color w:val="231F1F"/>
          <w:spacing w:val="-12"/>
          <w:w w:val="110"/>
          <w:position w:val="1"/>
          <w:sz w:val="20"/>
        </w:rPr>
        <w:t> </w:t>
      </w:r>
      <w:r>
        <w:rPr>
          <w:color w:val="231F1F"/>
          <w:spacing w:val="-2"/>
          <w:w w:val="110"/>
          <w:position w:val="1"/>
          <w:sz w:val="20"/>
        </w:rPr>
        <w:t>deficiency</w:t>
      </w:r>
      <w:r>
        <w:rPr>
          <w:color w:val="231F1F"/>
          <w:spacing w:val="-12"/>
          <w:w w:val="110"/>
          <w:position w:val="1"/>
          <w:sz w:val="20"/>
        </w:rPr>
        <w:t> </w:t>
      </w:r>
      <w:r>
        <w:rPr>
          <w:color w:val="231F1F"/>
          <w:spacing w:val="-2"/>
          <w:w w:val="110"/>
          <w:position w:val="1"/>
          <w:sz w:val="20"/>
        </w:rPr>
        <w:t>based</w:t>
      </w:r>
      <w:r>
        <w:rPr>
          <w:color w:val="231F1F"/>
          <w:spacing w:val="-12"/>
          <w:w w:val="110"/>
          <w:position w:val="1"/>
          <w:sz w:val="20"/>
        </w:rPr>
        <w:t> </w:t>
      </w:r>
      <w:r>
        <w:rPr>
          <w:color w:val="231F1F"/>
          <w:spacing w:val="-2"/>
          <w:w w:val="110"/>
          <w:position w:val="1"/>
          <w:sz w:val="20"/>
        </w:rPr>
        <w:t>on </w:t>
      </w:r>
      <w:r>
        <w:rPr>
          <w:color w:val="231F1F"/>
          <w:w w:val="110"/>
          <w:sz w:val="20"/>
        </w:rPr>
        <w:t>PIVKA-II levels: oral versus intramuscular route. Indian Pediatr 1996;33(1040):3.</w:t>
      </w:r>
    </w:p>
    <w:p>
      <w:pPr>
        <w:pStyle w:val="ListParagraph"/>
        <w:numPr>
          <w:ilvl w:val="0"/>
          <w:numId w:val="109"/>
        </w:numPr>
        <w:tabs>
          <w:tab w:pos="793" w:val="left" w:leader="none"/>
          <w:tab w:pos="797" w:val="left" w:leader="none"/>
        </w:tabs>
        <w:spacing w:line="216" w:lineRule="auto" w:before="163" w:after="0"/>
        <w:ind w:left="797" w:right="383" w:hanging="502"/>
        <w:jc w:val="left"/>
        <w:rPr>
          <w:sz w:val="20"/>
        </w:rPr>
      </w:pPr>
      <w:r>
        <w:rPr>
          <w:color w:val="231F1F"/>
          <w:w w:val="110"/>
          <w:position w:val="1"/>
          <w:sz w:val="20"/>
        </w:rPr>
        <w:t>Sharma</w:t>
      </w:r>
      <w:r>
        <w:rPr>
          <w:color w:val="231F1F"/>
          <w:spacing w:val="-6"/>
          <w:w w:val="110"/>
          <w:position w:val="1"/>
          <w:sz w:val="20"/>
        </w:rPr>
        <w:t> </w:t>
      </w:r>
      <w:r>
        <w:rPr>
          <w:color w:val="231F1F"/>
          <w:w w:val="110"/>
          <w:position w:val="1"/>
          <w:sz w:val="20"/>
        </w:rPr>
        <w:t>RK,</w:t>
      </w:r>
      <w:r>
        <w:rPr>
          <w:color w:val="231F1F"/>
          <w:spacing w:val="-6"/>
          <w:w w:val="110"/>
          <w:position w:val="1"/>
          <w:sz w:val="20"/>
        </w:rPr>
        <w:t> </w:t>
      </w:r>
      <w:r>
        <w:rPr>
          <w:color w:val="231F1F"/>
          <w:w w:val="110"/>
          <w:position w:val="1"/>
          <w:sz w:val="20"/>
        </w:rPr>
        <w:t>Marwaha</w:t>
      </w:r>
      <w:r>
        <w:rPr>
          <w:color w:val="231F1F"/>
          <w:spacing w:val="-6"/>
          <w:w w:val="110"/>
          <w:position w:val="1"/>
          <w:sz w:val="20"/>
        </w:rPr>
        <w:t> </w:t>
      </w:r>
      <w:r>
        <w:rPr>
          <w:color w:val="231F1F"/>
          <w:w w:val="110"/>
          <w:position w:val="1"/>
          <w:sz w:val="20"/>
        </w:rPr>
        <w:t>N,</w:t>
      </w:r>
      <w:r>
        <w:rPr>
          <w:color w:val="231F1F"/>
          <w:spacing w:val="-6"/>
          <w:w w:val="110"/>
          <w:position w:val="1"/>
          <w:sz w:val="20"/>
        </w:rPr>
        <w:t> </w:t>
      </w:r>
      <w:r>
        <w:rPr>
          <w:color w:val="231F1F"/>
          <w:w w:val="110"/>
          <w:position w:val="1"/>
          <w:sz w:val="20"/>
        </w:rPr>
        <w:t>Kumar</w:t>
      </w:r>
      <w:r>
        <w:rPr>
          <w:color w:val="231F1F"/>
          <w:spacing w:val="-6"/>
          <w:w w:val="110"/>
          <w:position w:val="1"/>
          <w:sz w:val="20"/>
        </w:rPr>
        <w:t> </w:t>
      </w:r>
      <w:r>
        <w:rPr>
          <w:color w:val="231F1F"/>
          <w:w w:val="110"/>
          <w:position w:val="1"/>
          <w:sz w:val="20"/>
        </w:rPr>
        <w:t>P,</w:t>
      </w:r>
      <w:r>
        <w:rPr>
          <w:color w:val="231F1F"/>
          <w:spacing w:val="-6"/>
          <w:w w:val="110"/>
          <w:position w:val="1"/>
          <w:sz w:val="20"/>
        </w:rPr>
        <w:t> </w:t>
      </w:r>
      <w:r>
        <w:rPr>
          <w:color w:val="231F1F"/>
          <w:w w:val="110"/>
          <w:position w:val="1"/>
          <w:sz w:val="20"/>
        </w:rPr>
        <w:t>Narang</w:t>
      </w:r>
      <w:r>
        <w:rPr>
          <w:color w:val="231F1F"/>
          <w:spacing w:val="-6"/>
          <w:w w:val="110"/>
          <w:position w:val="1"/>
          <w:sz w:val="20"/>
        </w:rPr>
        <w:t> </w:t>
      </w:r>
      <w:r>
        <w:rPr>
          <w:color w:val="231F1F"/>
          <w:w w:val="110"/>
          <w:position w:val="1"/>
          <w:sz w:val="20"/>
        </w:rPr>
        <w:t>A.</w:t>
      </w:r>
      <w:r>
        <w:rPr>
          <w:color w:val="231F1F"/>
          <w:spacing w:val="-6"/>
          <w:w w:val="110"/>
          <w:position w:val="1"/>
          <w:sz w:val="20"/>
        </w:rPr>
        <w:t> </w:t>
      </w:r>
      <w:r>
        <w:rPr>
          <w:color w:val="231F1F"/>
          <w:w w:val="110"/>
          <w:position w:val="1"/>
          <w:sz w:val="20"/>
        </w:rPr>
        <w:t>Effect</w:t>
      </w:r>
      <w:r>
        <w:rPr>
          <w:color w:val="231F1F"/>
          <w:spacing w:val="-6"/>
          <w:w w:val="110"/>
          <w:position w:val="1"/>
          <w:sz w:val="20"/>
        </w:rPr>
        <w:t> </w:t>
      </w:r>
      <w:r>
        <w:rPr>
          <w:color w:val="231F1F"/>
          <w:w w:val="110"/>
          <w:position w:val="1"/>
          <w:sz w:val="20"/>
        </w:rPr>
        <w:t>of</w:t>
      </w:r>
      <w:r>
        <w:rPr>
          <w:color w:val="231F1F"/>
          <w:spacing w:val="-6"/>
          <w:w w:val="110"/>
          <w:position w:val="1"/>
          <w:sz w:val="20"/>
        </w:rPr>
        <w:t> </w:t>
      </w:r>
      <w:r>
        <w:rPr>
          <w:color w:val="231F1F"/>
          <w:w w:val="110"/>
          <w:position w:val="1"/>
          <w:sz w:val="20"/>
        </w:rPr>
        <w:t>oral</w:t>
      </w:r>
      <w:r>
        <w:rPr>
          <w:color w:val="231F1F"/>
          <w:spacing w:val="-6"/>
          <w:w w:val="110"/>
          <w:position w:val="1"/>
          <w:sz w:val="20"/>
        </w:rPr>
        <w:t> </w:t>
      </w:r>
      <w:r>
        <w:rPr>
          <w:color w:val="231F1F"/>
          <w:w w:val="110"/>
          <w:position w:val="1"/>
          <w:sz w:val="20"/>
        </w:rPr>
        <w:t>water</w:t>
      </w:r>
      <w:r>
        <w:rPr>
          <w:color w:val="231F1F"/>
          <w:spacing w:val="-6"/>
          <w:w w:val="110"/>
          <w:position w:val="1"/>
          <w:sz w:val="20"/>
        </w:rPr>
        <w:t> </w:t>
      </w:r>
      <w:r>
        <w:rPr>
          <w:color w:val="231F1F"/>
          <w:w w:val="110"/>
          <w:position w:val="1"/>
          <w:sz w:val="20"/>
        </w:rPr>
        <w:t>soluble</w:t>
      </w:r>
      <w:r>
        <w:rPr>
          <w:color w:val="231F1F"/>
          <w:spacing w:val="-6"/>
          <w:w w:val="110"/>
          <w:position w:val="1"/>
          <w:sz w:val="20"/>
        </w:rPr>
        <w:t> </w:t>
      </w:r>
      <w:r>
        <w:rPr>
          <w:color w:val="231F1F"/>
          <w:w w:val="110"/>
          <w:position w:val="1"/>
          <w:sz w:val="20"/>
        </w:rPr>
        <w:t>vitamin</w:t>
      </w:r>
      <w:r>
        <w:rPr>
          <w:color w:val="231F1F"/>
          <w:spacing w:val="-6"/>
          <w:w w:val="110"/>
          <w:position w:val="1"/>
          <w:sz w:val="20"/>
        </w:rPr>
        <w:t> </w:t>
      </w:r>
      <w:r>
        <w:rPr>
          <w:color w:val="231F1F"/>
          <w:w w:val="110"/>
          <w:position w:val="1"/>
          <w:sz w:val="20"/>
        </w:rPr>
        <w:t>K</w:t>
      </w:r>
      <w:r>
        <w:rPr>
          <w:color w:val="231F1F"/>
          <w:spacing w:val="-6"/>
          <w:w w:val="110"/>
          <w:position w:val="1"/>
          <w:sz w:val="20"/>
        </w:rPr>
        <w:t> </w:t>
      </w:r>
      <w:r>
        <w:rPr>
          <w:color w:val="231F1F"/>
          <w:w w:val="110"/>
          <w:position w:val="1"/>
          <w:sz w:val="20"/>
        </w:rPr>
        <w:t>on </w:t>
      </w:r>
      <w:r>
        <w:rPr>
          <w:color w:val="231F1F"/>
          <w:w w:val="110"/>
          <w:sz w:val="20"/>
        </w:rPr>
        <w:t>PIVKA-II levels in newborns. Indian Pediatr 1995;32:863-7.</w:t>
      </w:r>
    </w:p>
    <w:p>
      <w:pPr>
        <w:pStyle w:val="ListParagraph"/>
        <w:numPr>
          <w:ilvl w:val="0"/>
          <w:numId w:val="109"/>
        </w:numPr>
        <w:tabs>
          <w:tab w:pos="793" w:val="left" w:leader="none"/>
          <w:tab w:pos="797" w:val="left" w:leader="none"/>
        </w:tabs>
        <w:spacing w:line="211" w:lineRule="auto" w:before="165" w:after="0"/>
        <w:ind w:left="797" w:right="214" w:hanging="502"/>
        <w:jc w:val="left"/>
        <w:rPr>
          <w:sz w:val="20"/>
        </w:rPr>
      </w:pPr>
      <w:r>
        <w:rPr>
          <w:color w:val="231F1F"/>
          <w:w w:val="110"/>
          <w:position w:val="1"/>
          <w:sz w:val="20"/>
        </w:rPr>
        <w:t>Ulusahin</w:t>
      </w:r>
      <w:r>
        <w:rPr>
          <w:color w:val="231F1F"/>
          <w:spacing w:val="-18"/>
          <w:w w:val="110"/>
          <w:position w:val="1"/>
          <w:sz w:val="20"/>
        </w:rPr>
        <w:t> </w:t>
      </w:r>
      <w:r>
        <w:rPr>
          <w:color w:val="231F1F"/>
          <w:w w:val="110"/>
          <w:position w:val="1"/>
          <w:sz w:val="20"/>
        </w:rPr>
        <w:t>N,</w:t>
      </w:r>
      <w:r>
        <w:rPr>
          <w:color w:val="231F1F"/>
          <w:spacing w:val="-21"/>
          <w:w w:val="110"/>
          <w:position w:val="1"/>
          <w:sz w:val="20"/>
        </w:rPr>
        <w:t> </w:t>
      </w:r>
      <w:r>
        <w:rPr>
          <w:color w:val="231F1F"/>
          <w:w w:val="110"/>
          <w:position w:val="1"/>
          <w:sz w:val="20"/>
        </w:rPr>
        <w:t>Arsan</w:t>
      </w:r>
      <w:r>
        <w:rPr>
          <w:color w:val="231F1F"/>
          <w:spacing w:val="-16"/>
          <w:w w:val="110"/>
          <w:position w:val="1"/>
          <w:sz w:val="20"/>
        </w:rPr>
        <w:t> </w:t>
      </w:r>
      <w:r>
        <w:rPr>
          <w:color w:val="231F1F"/>
          <w:w w:val="110"/>
          <w:position w:val="1"/>
          <w:sz w:val="20"/>
        </w:rPr>
        <w:t>S,</w:t>
      </w:r>
      <w:r>
        <w:rPr>
          <w:color w:val="231F1F"/>
          <w:spacing w:val="-16"/>
          <w:w w:val="110"/>
          <w:position w:val="1"/>
          <w:sz w:val="20"/>
        </w:rPr>
        <w:t> </w:t>
      </w:r>
      <w:r>
        <w:rPr>
          <w:color w:val="231F1F"/>
          <w:w w:val="110"/>
          <w:position w:val="1"/>
          <w:sz w:val="20"/>
        </w:rPr>
        <w:t>Ertogan</w:t>
      </w:r>
      <w:r>
        <w:rPr>
          <w:color w:val="231F1F"/>
          <w:spacing w:val="-15"/>
          <w:w w:val="110"/>
          <w:position w:val="1"/>
          <w:sz w:val="20"/>
        </w:rPr>
        <w:t> </w:t>
      </w:r>
      <w:r>
        <w:rPr>
          <w:color w:val="231F1F"/>
          <w:w w:val="110"/>
          <w:position w:val="1"/>
          <w:sz w:val="20"/>
        </w:rPr>
        <w:t>F.</w:t>
      </w:r>
      <w:r>
        <w:rPr>
          <w:color w:val="231F1F"/>
          <w:spacing w:val="-16"/>
          <w:w w:val="110"/>
          <w:position w:val="1"/>
          <w:sz w:val="20"/>
        </w:rPr>
        <w:t> </w:t>
      </w:r>
      <w:r>
        <w:rPr>
          <w:color w:val="231F1F"/>
          <w:w w:val="110"/>
          <w:position w:val="1"/>
          <w:sz w:val="20"/>
        </w:rPr>
        <w:t>Effects</w:t>
      </w:r>
      <w:r>
        <w:rPr>
          <w:color w:val="231F1F"/>
          <w:spacing w:val="-15"/>
          <w:w w:val="110"/>
          <w:position w:val="1"/>
          <w:sz w:val="20"/>
        </w:rPr>
        <w:t> </w:t>
      </w:r>
      <w:r>
        <w:rPr>
          <w:color w:val="231F1F"/>
          <w:w w:val="110"/>
          <w:position w:val="1"/>
          <w:sz w:val="20"/>
        </w:rPr>
        <w:t>of</w:t>
      </w:r>
      <w:r>
        <w:rPr>
          <w:color w:val="231F1F"/>
          <w:spacing w:val="-15"/>
          <w:w w:val="110"/>
          <w:position w:val="1"/>
          <w:sz w:val="20"/>
        </w:rPr>
        <w:t> </w:t>
      </w:r>
      <w:r>
        <w:rPr>
          <w:color w:val="231F1F"/>
          <w:w w:val="110"/>
          <w:position w:val="1"/>
          <w:sz w:val="20"/>
        </w:rPr>
        <w:t>oral</w:t>
      </w:r>
      <w:r>
        <w:rPr>
          <w:color w:val="231F1F"/>
          <w:spacing w:val="-15"/>
          <w:w w:val="110"/>
          <w:position w:val="1"/>
          <w:sz w:val="20"/>
        </w:rPr>
        <w:t> </w:t>
      </w:r>
      <w:r>
        <w:rPr>
          <w:color w:val="231F1F"/>
          <w:w w:val="110"/>
          <w:position w:val="1"/>
          <w:sz w:val="20"/>
        </w:rPr>
        <w:t>and</w:t>
      </w:r>
      <w:r>
        <w:rPr>
          <w:color w:val="231F1F"/>
          <w:spacing w:val="-14"/>
          <w:w w:val="110"/>
          <w:position w:val="1"/>
          <w:sz w:val="20"/>
        </w:rPr>
        <w:t> </w:t>
      </w:r>
      <w:r>
        <w:rPr>
          <w:color w:val="231F1F"/>
          <w:w w:val="110"/>
          <w:position w:val="1"/>
          <w:sz w:val="20"/>
        </w:rPr>
        <w:t>intramuscular</w:t>
      </w:r>
      <w:r>
        <w:rPr>
          <w:color w:val="231F1F"/>
          <w:spacing w:val="-14"/>
          <w:w w:val="110"/>
          <w:position w:val="1"/>
          <w:sz w:val="20"/>
        </w:rPr>
        <w:t> </w:t>
      </w:r>
      <w:r>
        <w:rPr>
          <w:color w:val="231F1F"/>
          <w:w w:val="110"/>
          <w:position w:val="1"/>
          <w:sz w:val="20"/>
        </w:rPr>
        <w:t>vitamin</w:t>
      </w:r>
      <w:r>
        <w:rPr>
          <w:color w:val="231F1F"/>
          <w:spacing w:val="-15"/>
          <w:w w:val="110"/>
          <w:position w:val="1"/>
          <w:sz w:val="20"/>
        </w:rPr>
        <w:t> </w:t>
      </w:r>
      <w:r>
        <w:rPr>
          <w:color w:val="231F1F"/>
          <w:w w:val="110"/>
          <w:position w:val="1"/>
          <w:sz w:val="20"/>
        </w:rPr>
        <w:t>K</w:t>
      </w:r>
      <w:r>
        <w:rPr>
          <w:color w:val="231F1F"/>
          <w:spacing w:val="-15"/>
          <w:w w:val="110"/>
          <w:position w:val="1"/>
          <w:sz w:val="20"/>
        </w:rPr>
        <w:t> </w:t>
      </w:r>
      <w:r>
        <w:rPr>
          <w:color w:val="231F1F"/>
          <w:w w:val="110"/>
          <w:position w:val="1"/>
          <w:sz w:val="20"/>
        </w:rPr>
        <w:t>prophylaxis</w:t>
      </w:r>
      <w:r>
        <w:rPr>
          <w:color w:val="231F1F"/>
          <w:spacing w:val="-14"/>
          <w:w w:val="110"/>
          <w:position w:val="1"/>
          <w:sz w:val="20"/>
        </w:rPr>
        <w:t> </w:t>
      </w:r>
      <w:r>
        <w:rPr>
          <w:color w:val="231F1F"/>
          <w:w w:val="110"/>
          <w:position w:val="1"/>
          <w:sz w:val="20"/>
        </w:rPr>
        <w:t>on </w:t>
      </w:r>
      <w:r>
        <w:rPr>
          <w:color w:val="231F1F"/>
          <w:w w:val="110"/>
          <w:sz w:val="20"/>
        </w:rPr>
        <w:t>PIVKA-II</w:t>
      </w:r>
      <w:r>
        <w:rPr>
          <w:color w:val="231F1F"/>
          <w:spacing w:val="-16"/>
          <w:w w:val="110"/>
          <w:sz w:val="20"/>
        </w:rPr>
        <w:t> </w:t>
      </w:r>
      <w:r>
        <w:rPr>
          <w:color w:val="231F1F"/>
          <w:w w:val="110"/>
          <w:sz w:val="20"/>
        </w:rPr>
        <w:t>assay</w:t>
      </w:r>
      <w:r>
        <w:rPr>
          <w:color w:val="231F1F"/>
          <w:spacing w:val="-16"/>
          <w:w w:val="110"/>
          <w:sz w:val="20"/>
        </w:rPr>
        <w:t> </w:t>
      </w:r>
      <w:r>
        <w:rPr>
          <w:color w:val="231F1F"/>
          <w:w w:val="110"/>
          <w:sz w:val="20"/>
        </w:rPr>
        <w:t>parameters</w:t>
      </w:r>
      <w:r>
        <w:rPr>
          <w:color w:val="231F1F"/>
          <w:spacing w:val="-16"/>
          <w:w w:val="110"/>
          <w:sz w:val="20"/>
        </w:rPr>
        <w:t> </w:t>
      </w:r>
      <w:r>
        <w:rPr>
          <w:color w:val="231F1F"/>
          <w:w w:val="110"/>
          <w:sz w:val="20"/>
        </w:rPr>
        <w:t>in</w:t>
      </w:r>
      <w:r>
        <w:rPr>
          <w:color w:val="231F1F"/>
          <w:spacing w:val="-15"/>
          <w:w w:val="110"/>
          <w:sz w:val="20"/>
        </w:rPr>
        <w:t> </w:t>
      </w:r>
      <w:r>
        <w:rPr>
          <w:color w:val="231F1F"/>
          <w:w w:val="110"/>
          <w:sz w:val="20"/>
        </w:rPr>
        <w:t>breastfed</w:t>
      </w:r>
      <w:r>
        <w:rPr>
          <w:color w:val="231F1F"/>
          <w:spacing w:val="-16"/>
          <w:w w:val="110"/>
          <w:sz w:val="20"/>
        </w:rPr>
        <w:t> </w:t>
      </w:r>
      <w:r>
        <w:rPr>
          <w:color w:val="231F1F"/>
          <w:w w:val="110"/>
          <w:sz w:val="20"/>
        </w:rPr>
        <w:t>infants</w:t>
      </w:r>
      <w:r>
        <w:rPr>
          <w:color w:val="231F1F"/>
          <w:spacing w:val="-16"/>
          <w:w w:val="110"/>
          <w:sz w:val="20"/>
        </w:rPr>
        <w:t> </w:t>
      </w:r>
      <w:r>
        <w:rPr>
          <w:color w:val="231F1F"/>
          <w:w w:val="110"/>
          <w:sz w:val="20"/>
        </w:rPr>
        <w:t>in</w:t>
      </w:r>
      <w:r>
        <w:rPr>
          <w:color w:val="231F1F"/>
          <w:spacing w:val="-18"/>
          <w:w w:val="110"/>
          <w:sz w:val="20"/>
        </w:rPr>
        <w:t> </w:t>
      </w:r>
      <w:r>
        <w:rPr>
          <w:color w:val="231F1F"/>
          <w:w w:val="110"/>
          <w:sz w:val="20"/>
        </w:rPr>
        <w:t>Turkey.</w:t>
      </w:r>
      <w:r>
        <w:rPr>
          <w:color w:val="231F1F"/>
          <w:spacing w:val="-27"/>
          <w:w w:val="110"/>
          <w:sz w:val="20"/>
        </w:rPr>
        <w:t> </w:t>
      </w:r>
      <w:r>
        <w:rPr>
          <w:color w:val="231F1F"/>
          <w:w w:val="110"/>
          <w:sz w:val="20"/>
        </w:rPr>
        <w:t>Turk</w:t>
      </w:r>
      <w:r>
        <w:rPr>
          <w:color w:val="231F1F"/>
          <w:spacing w:val="-16"/>
          <w:w w:val="110"/>
          <w:sz w:val="20"/>
        </w:rPr>
        <w:t> </w:t>
      </w:r>
      <w:r>
        <w:rPr>
          <w:color w:val="231F1F"/>
          <w:w w:val="110"/>
          <w:sz w:val="20"/>
        </w:rPr>
        <w:t>J</w:t>
      </w:r>
      <w:r>
        <w:rPr>
          <w:color w:val="231F1F"/>
          <w:spacing w:val="-15"/>
          <w:w w:val="110"/>
          <w:sz w:val="20"/>
        </w:rPr>
        <w:t> </w:t>
      </w:r>
      <w:r>
        <w:rPr>
          <w:color w:val="231F1F"/>
          <w:w w:val="110"/>
          <w:sz w:val="20"/>
        </w:rPr>
        <w:t>Pediatr</w:t>
      </w:r>
      <w:r>
        <w:rPr>
          <w:color w:val="231F1F"/>
          <w:spacing w:val="-16"/>
          <w:w w:val="110"/>
          <w:sz w:val="20"/>
        </w:rPr>
        <w:t> </w:t>
      </w:r>
      <w:r>
        <w:rPr>
          <w:color w:val="231F1F"/>
          <w:w w:val="110"/>
          <w:sz w:val="20"/>
        </w:rPr>
        <w:t>1996;38:295-300.</w:t>
      </w:r>
    </w:p>
    <w:p>
      <w:pPr>
        <w:pStyle w:val="ListParagraph"/>
        <w:numPr>
          <w:ilvl w:val="0"/>
          <w:numId w:val="109"/>
        </w:numPr>
        <w:tabs>
          <w:tab w:pos="794" w:val="left" w:leader="none"/>
          <w:tab w:pos="798" w:val="left" w:leader="none"/>
        </w:tabs>
        <w:spacing w:line="228" w:lineRule="auto" w:before="163" w:after="0"/>
        <w:ind w:left="798" w:right="122" w:hanging="509"/>
        <w:jc w:val="both"/>
        <w:rPr>
          <w:sz w:val="20"/>
        </w:rPr>
      </w:pPr>
      <w:r>
        <w:rPr>
          <w:color w:val="231F1F"/>
          <w:w w:val="105"/>
          <w:position w:val="1"/>
          <w:sz w:val="20"/>
        </w:rPr>
        <w:t>Cornelissen EAM, Kolée LAA, De Abreu RA, et al. Effects of oral and intramuscular vitamin </w:t>
      </w:r>
      <w:r>
        <w:rPr>
          <w:color w:val="231F1F"/>
          <w:w w:val="105"/>
          <w:sz w:val="20"/>
        </w:rPr>
        <w:t>K</w:t>
      </w:r>
      <w:r>
        <w:rPr>
          <w:color w:val="231F1F"/>
          <w:w w:val="105"/>
          <w:sz w:val="20"/>
        </w:rPr>
        <w:t> prophylaxis</w:t>
      </w:r>
      <w:r>
        <w:rPr>
          <w:color w:val="231F1F"/>
          <w:w w:val="105"/>
          <w:sz w:val="20"/>
        </w:rPr>
        <w:t> on</w:t>
      </w:r>
      <w:r>
        <w:rPr>
          <w:color w:val="231F1F"/>
          <w:w w:val="105"/>
          <w:sz w:val="20"/>
        </w:rPr>
        <w:t> vitamin</w:t>
      </w:r>
      <w:r>
        <w:rPr>
          <w:color w:val="231F1F"/>
          <w:w w:val="105"/>
          <w:sz w:val="20"/>
        </w:rPr>
        <w:t> K1,PIVKA-II,</w:t>
      </w:r>
      <w:r>
        <w:rPr>
          <w:color w:val="231F1F"/>
          <w:w w:val="105"/>
          <w:sz w:val="20"/>
        </w:rPr>
        <w:t> and</w:t>
      </w:r>
      <w:r>
        <w:rPr>
          <w:color w:val="231F1F"/>
          <w:w w:val="105"/>
          <w:sz w:val="20"/>
        </w:rPr>
        <w:t> clotting</w:t>
      </w:r>
      <w:r>
        <w:rPr>
          <w:color w:val="231F1F"/>
          <w:w w:val="105"/>
          <w:sz w:val="20"/>
        </w:rPr>
        <w:t> factors</w:t>
      </w:r>
      <w:r>
        <w:rPr>
          <w:color w:val="231F1F"/>
          <w:w w:val="105"/>
          <w:sz w:val="20"/>
        </w:rPr>
        <w:t> in</w:t>
      </w:r>
      <w:r>
        <w:rPr>
          <w:color w:val="231F1F"/>
          <w:w w:val="105"/>
          <w:sz w:val="20"/>
        </w:rPr>
        <w:t> breast</w:t>
      </w:r>
      <w:r>
        <w:rPr>
          <w:color w:val="231F1F"/>
          <w:w w:val="105"/>
          <w:sz w:val="20"/>
        </w:rPr>
        <w:t> fed</w:t>
      </w:r>
      <w:r>
        <w:rPr>
          <w:color w:val="231F1F"/>
          <w:w w:val="105"/>
          <w:sz w:val="20"/>
        </w:rPr>
        <w:t> infants.</w:t>
      </w:r>
      <w:r>
        <w:rPr>
          <w:color w:val="231F1F"/>
          <w:w w:val="105"/>
          <w:sz w:val="20"/>
        </w:rPr>
        <w:t> Arch</w:t>
      </w:r>
      <w:r>
        <w:rPr>
          <w:color w:val="231F1F"/>
          <w:w w:val="105"/>
          <w:sz w:val="20"/>
        </w:rPr>
        <w:t> Dis Child 1992;67:1250-4.</w:t>
      </w:r>
    </w:p>
    <w:p>
      <w:pPr>
        <w:pStyle w:val="ListParagraph"/>
        <w:spacing w:after="0" w:line="228" w:lineRule="auto"/>
        <w:jc w:val="both"/>
        <w:rPr>
          <w:sz w:val="20"/>
        </w:rPr>
        <w:sectPr>
          <w:pgSz w:w="11900" w:h="16840"/>
          <w:pgMar w:header="0" w:footer="622" w:top="1540" w:bottom="820" w:left="1417" w:right="1559"/>
        </w:sectPr>
      </w:pPr>
    </w:p>
    <w:p>
      <w:pPr>
        <w:pStyle w:val="ListParagraph"/>
        <w:numPr>
          <w:ilvl w:val="0"/>
          <w:numId w:val="109"/>
        </w:numPr>
        <w:tabs>
          <w:tab w:pos="793" w:val="left" w:leader="none"/>
          <w:tab w:pos="797" w:val="left" w:leader="none"/>
        </w:tabs>
        <w:spacing w:line="211" w:lineRule="auto" w:before="105" w:after="0"/>
        <w:ind w:left="797" w:right="318" w:hanging="502"/>
        <w:jc w:val="left"/>
        <w:rPr>
          <w:sz w:val="20"/>
        </w:rPr>
      </w:pPr>
      <w:r>
        <w:rPr>
          <w:color w:val="231F1F"/>
          <w:w w:val="110"/>
          <w:position w:val="1"/>
          <w:sz w:val="20"/>
        </w:rPr>
        <w:t>Maurage</w:t>
      </w:r>
      <w:r>
        <w:rPr>
          <w:color w:val="231F1F"/>
          <w:spacing w:val="-6"/>
          <w:w w:val="110"/>
          <w:position w:val="1"/>
          <w:sz w:val="20"/>
        </w:rPr>
        <w:t> </w:t>
      </w:r>
      <w:r>
        <w:rPr>
          <w:color w:val="231F1F"/>
          <w:w w:val="110"/>
          <w:position w:val="1"/>
          <w:sz w:val="20"/>
        </w:rPr>
        <w:t>C,</w:t>
      </w:r>
      <w:r>
        <w:rPr>
          <w:color w:val="231F1F"/>
          <w:spacing w:val="-6"/>
          <w:w w:val="110"/>
          <w:position w:val="1"/>
          <w:sz w:val="20"/>
        </w:rPr>
        <w:t> </w:t>
      </w:r>
      <w:r>
        <w:rPr>
          <w:color w:val="231F1F"/>
          <w:w w:val="110"/>
          <w:position w:val="1"/>
          <w:sz w:val="20"/>
        </w:rPr>
        <w:t>Dalloul</w:t>
      </w:r>
      <w:r>
        <w:rPr>
          <w:color w:val="231F1F"/>
          <w:spacing w:val="-6"/>
          <w:w w:val="110"/>
          <w:position w:val="1"/>
          <w:sz w:val="20"/>
        </w:rPr>
        <w:t> </w:t>
      </w:r>
      <w:r>
        <w:rPr>
          <w:color w:val="231F1F"/>
          <w:w w:val="110"/>
          <w:position w:val="1"/>
          <w:sz w:val="20"/>
        </w:rPr>
        <w:t>C,</w:t>
      </w:r>
      <w:r>
        <w:rPr>
          <w:color w:val="231F1F"/>
          <w:spacing w:val="-6"/>
          <w:w w:val="110"/>
          <w:position w:val="1"/>
          <w:sz w:val="20"/>
        </w:rPr>
        <w:t> </w:t>
      </w:r>
      <w:r>
        <w:rPr>
          <w:color w:val="231F1F"/>
          <w:w w:val="110"/>
          <w:position w:val="1"/>
          <w:sz w:val="20"/>
        </w:rPr>
        <w:t>Moussa</w:t>
      </w:r>
      <w:r>
        <w:rPr>
          <w:color w:val="231F1F"/>
          <w:spacing w:val="-6"/>
          <w:w w:val="110"/>
          <w:position w:val="1"/>
          <w:sz w:val="20"/>
        </w:rPr>
        <w:t> </w:t>
      </w:r>
      <w:r>
        <w:rPr>
          <w:color w:val="231F1F"/>
          <w:w w:val="110"/>
          <w:position w:val="1"/>
          <w:sz w:val="20"/>
        </w:rPr>
        <w:t>F,</w:t>
      </w:r>
      <w:r>
        <w:rPr>
          <w:color w:val="231F1F"/>
          <w:spacing w:val="-6"/>
          <w:w w:val="110"/>
          <w:position w:val="1"/>
          <w:sz w:val="20"/>
        </w:rPr>
        <w:t> </w:t>
      </w:r>
      <w:r>
        <w:rPr>
          <w:color w:val="231F1F"/>
          <w:w w:val="110"/>
          <w:position w:val="1"/>
          <w:sz w:val="20"/>
        </w:rPr>
        <w:t>et</w:t>
      </w:r>
      <w:r>
        <w:rPr>
          <w:color w:val="231F1F"/>
          <w:spacing w:val="-6"/>
          <w:w w:val="110"/>
          <w:position w:val="1"/>
          <w:sz w:val="20"/>
        </w:rPr>
        <w:t> </w:t>
      </w:r>
      <w:r>
        <w:rPr>
          <w:color w:val="231F1F"/>
          <w:w w:val="110"/>
          <w:position w:val="1"/>
          <w:sz w:val="20"/>
        </w:rPr>
        <w:t>al.</w:t>
      </w:r>
      <w:r>
        <w:rPr>
          <w:color w:val="231F1F"/>
          <w:spacing w:val="-6"/>
          <w:w w:val="110"/>
          <w:position w:val="1"/>
          <w:sz w:val="20"/>
        </w:rPr>
        <w:t> </w:t>
      </w:r>
      <w:r>
        <w:rPr>
          <w:color w:val="231F1F"/>
          <w:w w:val="110"/>
          <w:position w:val="1"/>
          <w:sz w:val="20"/>
        </w:rPr>
        <w:t>Efficacite</w:t>
      </w:r>
      <w:r>
        <w:rPr>
          <w:color w:val="231F1F"/>
          <w:spacing w:val="-6"/>
          <w:w w:val="110"/>
          <w:position w:val="1"/>
          <w:sz w:val="20"/>
        </w:rPr>
        <w:t> </w:t>
      </w:r>
      <w:r>
        <w:rPr>
          <w:color w:val="231F1F"/>
          <w:w w:val="110"/>
          <w:position w:val="1"/>
          <w:sz w:val="20"/>
        </w:rPr>
        <w:t>de</w:t>
      </w:r>
      <w:r>
        <w:rPr>
          <w:color w:val="231F1F"/>
          <w:spacing w:val="-8"/>
          <w:w w:val="110"/>
          <w:position w:val="1"/>
          <w:sz w:val="20"/>
        </w:rPr>
        <w:t> </w:t>
      </w:r>
      <w:r>
        <w:rPr>
          <w:color w:val="231F1F"/>
          <w:w w:val="110"/>
          <w:position w:val="1"/>
          <w:sz w:val="20"/>
        </w:rPr>
        <w:t>Iàdministration</w:t>
      </w:r>
      <w:r>
        <w:rPr>
          <w:color w:val="231F1F"/>
          <w:spacing w:val="-6"/>
          <w:w w:val="110"/>
          <w:position w:val="1"/>
          <w:sz w:val="20"/>
        </w:rPr>
        <w:t> </w:t>
      </w:r>
      <w:r>
        <w:rPr>
          <w:color w:val="231F1F"/>
          <w:w w:val="110"/>
          <w:position w:val="1"/>
          <w:sz w:val="20"/>
        </w:rPr>
        <w:t>orale</w:t>
      </w:r>
      <w:r>
        <w:rPr>
          <w:color w:val="231F1F"/>
          <w:spacing w:val="-6"/>
          <w:w w:val="110"/>
          <w:position w:val="1"/>
          <w:sz w:val="20"/>
        </w:rPr>
        <w:t> </w:t>
      </w:r>
      <w:r>
        <w:rPr>
          <w:color w:val="231F1F"/>
          <w:w w:val="110"/>
          <w:position w:val="1"/>
          <w:sz w:val="20"/>
        </w:rPr>
        <w:t>d`une</w:t>
      </w:r>
      <w:r>
        <w:rPr>
          <w:color w:val="231F1F"/>
          <w:spacing w:val="-6"/>
          <w:w w:val="110"/>
          <w:position w:val="1"/>
          <w:sz w:val="20"/>
        </w:rPr>
        <w:t> </w:t>
      </w:r>
      <w:r>
        <w:rPr>
          <w:color w:val="231F1F"/>
          <w:w w:val="110"/>
          <w:position w:val="1"/>
          <w:sz w:val="20"/>
        </w:rPr>
        <w:t>solution </w:t>
      </w:r>
      <w:r>
        <w:rPr>
          <w:color w:val="231F1F"/>
          <w:w w:val="110"/>
          <w:sz w:val="20"/>
        </w:rPr>
        <w:t>micellaire de vitamine K en periode neonatale.</w:t>
      </w:r>
      <w:r>
        <w:rPr>
          <w:color w:val="231F1F"/>
          <w:spacing w:val="-12"/>
          <w:w w:val="110"/>
          <w:sz w:val="20"/>
        </w:rPr>
        <w:t> </w:t>
      </w:r>
      <w:r>
        <w:rPr>
          <w:color w:val="231F1F"/>
          <w:w w:val="110"/>
          <w:sz w:val="20"/>
        </w:rPr>
        <w:t>Arch Pediatr 1995;2:328-32.</w:t>
      </w:r>
    </w:p>
    <w:p>
      <w:pPr>
        <w:pStyle w:val="ListParagraph"/>
        <w:numPr>
          <w:ilvl w:val="0"/>
          <w:numId w:val="109"/>
        </w:numPr>
        <w:tabs>
          <w:tab w:pos="794" w:val="left" w:leader="none"/>
          <w:tab w:pos="798" w:val="left" w:leader="none"/>
        </w:tabs>
        <w:spacing w:line="228" w:lineRule="auto" w:before="163" w:after="0"/>
        <w:ind w:left="798" w:right="120" w:hanging="502"/>
        <w:jc w:val="both"/>
        <w:rPr>
          <w:sz w:val="20"/>
        </w:rPr>
      </w:pPr>
      <w:r>
        <w:rPr>
          <w:color w:val="231F1F"/>
          <w:w w:val="105"/>
          <w:sz w:val="20"/>
        </w:rPr>
        <w:t>Greer FR,</w:t>
      </w:r>
      <w:r>
        <w:rPr>
          <w:color w:val="231F1F"/>
          <w:spacing w:val="-1"/>
          <w:w w:val="105"/>
          <w:sz w:val="20"/>
        </w:rPr>
        <w:t> </w:t>
      </w:r>
      <w:r>
        <w:rPr>
          <w:color w:val="231F1F"/>
          <w:w w:val="105"/>
          <w:sz w:val="20"/>
        </w:rPr>
        <w:t>Marshall SP,</w:t>
      </w:r>
      <w:r>
        <w:rPr>
          <w:color w:val="231F1F"/>
          <w:spacing w:val="-1"/>
          <w:w w:val="105"/>
          <w:sz w:val="20"/>
        </w:rPr>
        <w:t> </w:t>
      </w:r>
      <w:r>
        <w:rPr>
          <w:color w:val="231F1F"/>
          <w:w w:val="105"/>
          <w:sz w:val="20"/>
        </w:rPr>
        <w:t>Severson RR,</w:t>
      </w:r>
      <w:r>
        <w:rPr>
          <w:color w:val="231F1F"/>
          <w:spacing w:val="-1"/>
          <w:w w:val="105"/>
          <w:sz w:val="20"/>
        </w:rPr>
        <w:t> </w:t>
      </w:r>
      <w:r>
        <w:rPr>
          <w:color w:val="231F1F"/>
          <w:w w:val="105"/>
          <w:sz w:val="20"/>
        </w:rPr>
        <w:t>et al.</w:t>
      </w:r>
      <w:r>
        <w:rPr>
          <w:color w:val="231F1F"/>
          <w:spacing w:val="-3"/>
          <w:w w:val="105"/>
          <w:sz w:val="20"/>
        </w:rPr>
        <w:t> </w:t>
      </w:r>
      <w:r>
        <w:rPr>
          <w:color w:val="231F1F"/>
          <w:w w:val="105"/>
          <w:sz w:val="20"/>
        </w:rPr>
        <w:t>A new mixed micellar preparation for oral vitamin K</w:t>
      </w:r>
      <w:r>
        <w:rPr>
          <w:color w:val="231F1F"/>
          <w:spacing w:val="40"/>
          <w:w w:val="105"/>
          <w:sz w:val="20"/>
        </w:rPr>
        <w:t> </w:t>
      </w:r>
      <w:r>
        <w:rPr>
          <w:color w:val="231F1F"/>
          <w:w w:val="105"/>
          <w:sz w:val="20"/>
        </w:rPr>
        <w:t>prophylaxis:</w:t>
      </w:r>
      <w:r>
        <w:rPr>
          <w:color w:val="231F1F"/>
          <w:spacing w:val="40"/>
          <w:w w:val="105"/>
          <w:sz w:val="20"/>
        </w:rPr>
        <w:t> </w:t>
      </w:r>
      <w:r>
        <w:rPr>
          <w:color w:val="231F1F"/>
          <w:w w:val="105"/>
          <w:sz w:val="20"/>
        </w:rPr>
        <w:t>randomised</w:t>
      </w:r>
      <w:r>
        <w:rPr>
          <w:color w:val="231F1F"/>
          <w:spacing w:val="40"/>
          <w:w w:val="105"/>
          <w:sz w:val="20"/>
        </w:rPr>
        <w:t> </w:t>
      </w:r>
      <w:r>
        <w:rPr>
          <w:color w:val="231F1F"/>
          <w:w w:val="105"/>
          <w:sz w:val="20"/>
        </w:rPr>
        <w:t>controlled</w:t>
      </w:r>
      <w:r>
        <w:rPr>
          <w:color w:val="231F1F"/>
          <w:spacing w:val="40"/>
          <w:w w:val="105"/>
          <w:sz w:val="20"/>
        </w:rPr>
        <w:t> </w:t>
      </w:r>
      <w:r>
        <w:rPr>
          <w:color w:val="231F1F"/>
          <w:w w:val="105"/>
          <w:sz w:val="20"/>
        </w:rPr>
        <w:t>comparison</w:t>
      </w:r>
      <w:r>
        <w:rPr>
          <w:color w:val="231F1F"/>
          <w:spacing w:val="40"/>
          <w:w w:val="105"/>
          <w:sz w:val="20"/>
        </w:rPr>
        <w:t> </w:t>
      </w:r>
      <w:r>
        <w:rPr>
          <w:color w:val="231F1F"/>
          <w:w w:val="105"/>
          <w:sz w:val="20"/>
        </w:rPr>
        <w:t>with</w:t>
      </w:r>
      <w:r>
        <w:rPr>
          <w:color w:val="231F1F"/>
          <w:spacing w:val="40"/>
          <w:w w:val="105"/>
          <w:sz w:val="20"/>
        </w:rPr>
        <w:t> </w:t>
      </w:r>
      <w:r>
        <w:rPr>
          <w:color w:val="231F1F"/>
          <w:w w:val="105"/>
          <w:sz w:val="20"/>
        </w:rPr>
        <w:t>an</w:t>
      </w:r>
      <w:r>
        <w:rPr>
          <w:color w:val="231F1F"/>
          <w:spacing w:val="40"/>
          <w:w w:val="105"/>
          <w:sz w:val="20"/>
        </w:rPr>
        <w:t> </w:t>
      </w:r>
      <w:r>
        <w:rPr>
          <w:color w:val="231F1F"/>
          <w:w w:val="105"/>
          <w:sz w:val="20"/>
        </w:rPr>
        <w:t>intramuscular</w:t>
      </w:r>
      <w:r>
        <w:rPr>
          <w:color w:val="231F1F"/>
          <w:spacing w:val="40"/>
          <w:w w:val="105"/>
          <w:sz w:val="20"/>
        </w:rPr>
        <w:t> </w:t>
      </w:r>
      <w:r>
        <w:rPr>
          <w:color w:val="231F1F"/>
          <w:w w:val="105"/>
          <w:sz w:val="20"/>
        </w:rPr>
        <w:t>formulation</w:t>
      </w:r>
      <w:r>
        <w:rPr>
          <w:color w:val="231F1F"/>
          <w:spacing w:val="40"/>
          <w:w w:val="105"/>
          <w:sz w:val="20"/>
        </w:rPr>
        <w:t> </w:t>
      </w:r>
      <w:r>
        <w:rPr>
          <w:color w:val="231F1F"/>
          <w:w w:val="105"/>
          <w:sz w:val="20"/>
        </w:rPr>
        <w:t>in breast fed infants. Arch Dis Child 1998;79:300-5.</w:t>
      </w:r>
    </w:p>
    <w:p>
      <w:pPr>
        <w:pStyle w:val="ListParagraph"/>
        <w:numPr>
          <w:ilvl w:val="0"/>
          <w:numId w:val="109"/>
        </w:numPr>
        <w:tabs>
          <w:tab w:pos="794" w:val="left" w:leader="none"/>
          <w:tab w:pos="798" w:val="left" w:leader="none"/>
        </w:tabs>
        <w:spacing w:line="225" w:lineRule="auto" w:before="147" w:after="0"/>
        <w:ind w:left="798" w:right="122" w:hanging="506"/>
        <w:jc w:val="both"/>
        <w:rPr>
          <w:sz w:val="20"/>
        </w:rPr>
      </w:pPr>
      <w:r>
        <w:rPr>
          <w:color w:val="231F1F"/>
          <w:w w:val="105"/>
          <w:position w:val="1"/>
          <w:sz w:val="20"/>
        </w:rPr>
        <w:t>Dickinson</w:t>
      </w:r>
      <w:r>
        <w:rPr>
          <w:color w:val="231F1F"/>
          <w:w w:val="105"/>
          <w:position w:val="1"/>
          <w:sz w:val="20"/>
        </w:rPr>
        <w:t> JE,</w:t>
      </w:r>
      <w:r>
        <w:rPr>
          <w:color w:val="231F1F"/>
          <w:w w:val="105"/>
          <w:position w:val="1"/>
          <w:sz w:val="20"/>
        </w:rPr>
        <w:t> Paech</w:t>
      </w:r>
      <w:r>
        <w:rPr>
          <w:color w:val="231F1F"/>
          <w:w w:val="105"/>
          <w:position w:val="1"/>
          <w:sz w:val="20"/>
        </w:rPr>
        <w:t> MJ,</w:t>
      </w:r>
      <w:r>
        <w:rPr>
          <w:color w:val="231F1F"/>
          <w:w w:val="105"/>
          <w:position w:val="1"/>
          <w:sz w:val="20"/>
        </w:rPr>
        <w:t> McDonald</w:t>
      </w:r>
      <w:r>
        <w:rPr>
          <w:color w:val="231F1F"/>
          <w:w w:val="105"/>
          <w:position w:val="1"/>
          <w:sz w:val="20"/>
        </w:rPr>
        <w:t> SJ,</w:t>
      </w:r>
      <w:r>
        <w:rPr>
          <w:color w:val="231F1F"/>
          <w:w w:val="105"/>
          <w:position w:val="1"/>
          <w:sz w:val="20"/>
        </w:rPr>
        <w:t> et</w:t>
      </w:r>
      <w:r>
        <w:rPr>
          <w:color w:val="231F1F"/>
          <w:w w:val="105"/>
          <w:position w:val="1"/>
          <w:sz w:val="20"/>
        </w:rPr>
        <w:t> al.</w:t>
      </w:r>
      <w:r>
        <w:rPr>
          <w:color w:val="231F1F"/>
          <w:w w:val="105"/>
          <w:position w:val="1"/>
          <w:sz w:val="20"/>
        </w:rPr>
        <w:t> Maternal</w:t>
      </w:r>
      <w:r>
        <w:rPr>
          <w:color w:val="231F1F"/>
          <w:w w:val="105"/>
          <w:position w:val="1"/>
          <w:sz w:val="20"/>
        </w:rPr>
        <w:t> satisfaction</w:t>
      </w:r>
      <w:r>
        <w:rPr>
          <w:color w:val="231F1F"/>
          <w:w w:val="105"/>
          <w:position w:val="1"/>
          <w:sz w:val="20"/>
        </w:rPr>
        <w:t> with</w:t>
      </w:r>
      <w:r>
        <w:rPr>
          <w:color w:val="231F1F"/>
          <w:w w:val="105"/>
          <w:position w:val="1"/>
          <w:sz w:val="20"/>
        </w:rPr>
        <w:t> childbirth</w:t>
      </w:r>
      <w:r>
        <w:rPr>
          <w:color w:val="231F1F"/>
          <w:w w:val="105"/>
          <w:position w:val="1"/>
          <w:sz w:val="20"/>
        </w:rPr>
        <w:t> and </w:t>
      </w:r>
      <w:r>
        <w:rPr>
          <w:color w:val="231F1F"/>
          <w:w w:val="105"/>
          <w:sz w:val="20"/>
        </w:rPr>
        <w:t>intrapartum analgesia in nulliparous labour.Australian and New Zealand Journal of Obstetrics and Gynaecology 2003;43(6):463-8.</w:t>
      </w:r>
    </w:p>
    <w:p>
      <w:pPr>
        <w:pStyle w:val="ListParagraph"/>
        <w:numPr>
          <w:ilvl w:val="0"/>
          <w:numId w:val="109"/>
        </w:numPr>
        <w:tabs>
          <w:tab w:pos="793" w:val="left" w:leader="none"/>
          <w:tab w:pos="797" w:val="left" w:leader="none"/>
        </w:tabs>
        <w:spacing w:line="230" w:lineRule="auto" w:before="144" w:after="0"/>
        <w:ind w:left="797" w:right="167" w:hanging="506"/>
        <w:jc w:val="both"/>
        <w:rPr>
          <w:sz w:val="20"/>
        </w:rPr>
      </w:pPr>
      <w:r>
        <w:rPr>
          <w:color w:val="231F1F"/>
          <w:w w:val="105"/>
          <w:position w:val="1"/>
          <w:sz w:val="20"/>
        </w:rPr>
        <w:t>Ranta</w:t>
      </w:r>
      <w:r>
        <w:rPr>
          <w:color w:val="231F1F"/>
          <w:spacing w:val="-5"/>
          <w:w w:val="105"/>
          <w:position w:val="1"/>
          <w:sz w:val="20"/>
        </w:rPr>
        <w:t> </w:t>
      </w:r>
      <w:r>
        <w:rPr>
          <w:color w:val="231F1F"/>
          <w:w w:val="105"/>
          <w:position w:val="1"/>
          <w:sz w:val="20"/>
        </w:rPr>
        <w:t>P,</w:t>
      </w:r>
      <w:r>
        <w:rPr>
          <w:color w:val="231F1F"/>
          <w:spacing w:val="-10"/>
          <w:w w:val="105"/>
          <w:position w:val="1"/>
          <w:sz w:val="20"/>
        </w:rPr>
        <w:t> </w:t>
      </w:r>
      <w:r>
        <w:rPr>
          <w:color w:val="231F1F"/>
          <w:w w:val="105"/>
          <w:position w:val="1"/>
          <w:sz w:val="20"/>
        </w:rPr>
        <w:t>Spalding</w:t>
      </w:r>
      <w:r>
        <w:rPr>
          <w:color w:val="231F1F"/>
          <w:spacing w:val="-4"/>
          <w:w w:val="105"/>
          <w:position w:val="1"/>
          <w:sz w:val="20"/>
        </w:rPr>
        <w:t> </w:t>
      </w:r>
      <w:r>
        <w:rPr>
          <w:color w:val="231F1F"/>
          <w:w w:val="105"/>
          <w:position w:val="1"/>
          <w:sz w:val="20"/>
        </w:rPr>
        <w:t>M,</w:t>
      </w:r>
      <w:r>
        <w:rPr>
          <w:color w:val="231F1F"/>
          <w:spacing w:val="-10"/>
          <w:w w:val="105"/>
          <w:position w:val="1"/>
          <w:sz w:val="20"/>
        </w:rPr>
        <w:t> </w:t>
      </w:r>
      <w:r>
        <w:rPr>
          <w:color w:val="231F1F"/>
          <w:w w:val="105"/>
          <w:position w:val="1"/>
          <w:sz w:val="20"/>
        </w:rPr>
        <w:t>Kangas-Saarela</w:t>
      </w:r>
      <w:r>
        <w:rPr>
          <w:color w:val="231F1F"/>
          <w:spacing w:val="-9"/>
          <w:w w:val="105"/>
          <w:position w:val="1"/>
          <w:sz w:val="20"/>
        </w:rPr>
        <w:t> </w:t>
      </w:r>
      <w:r>
        <w:rPr>
          <w:color w:val="231F1F"/>
          <w:w w:val="105"/>
          <w:position w:val="1"/>
          <w:sz w:val="20"/>
        </w:rPr>
        <w:t>T,</w:t>
      </w:r>
      <w:r>
        <w:rPr>
          <w:color w:val="231F1F"/>
          <w:spacing w:val="-9"/>
          <w:w w:val="105"/>
          <w:position w:val="1"/>
          <w:sz w:val="20"/>
        </w:rPr>
        <w:t> </w:t>
      </w:r>
      <w:r>
        <w:rPr>
          <w:color w:val="231F1F"/>
          <w:w w:val="105"/>
          <w:position w:val="1"/>
          <w:sz w:val="20"/>
        </w:rPr>
        <w:t>et</w:t>
      </w:r>
      <w:r>
        <w:rPr>
          <w:color w:val="231F1F"/>
          <w:spacing w:val="-3"/>
          <w:w w:val="105"/>
          <w:position w:val="1"/>
          <w:sz w:val="20"/>
        </w:rPr>
        <w:t> </w:t>
      </w:r>
      <w:r>
        <w:rPr>
          <w:color w:val="231F1F"/>
          <w:w w:val="105"/>
          <w:position w:val="1"/>
          <w:sz w:val="20"/>
        </w:rPr>
        <w:t>al.</w:t>
      </w:r>
      <w:r>
        <w:rPr>
          <w:color w:val="231F1F"/>
          <w:spacing w:val="-10"/>
          <w:w w:val="105"/>
          <w:position w:val="1"/>
          <w:sz w:val="20"/>
        </w:rPr>
        <w:t> </w:t>
      </w:r>
      <w:r>
        <w:rPr>
          <w:color w:val="231F1F"/>
          <w:w w:val="105"/>
          <w:position w:val="1"/>
          <w:sz w:val="20"/>
        </w:rPr>
        <w:t>Maternal</w:t>
      </w:r>
      <w:r>
        <w:rPr>
          <w:color w:val="231F1F"/>
          <w:spacing w:val="-3"/>
          <w:w w:val="105"/>
          <w:position w:val="1"/>
          <w:sz w:val="20"/>
        </w:rPr>
        <w:t> </w:t>
      </w:r>
      <w:r>
        <w:rPr>
          <w:color w:val="231F1F"/>
          <w:w w:val="105"/>
          <w:position w:val="1"/>
          <w:sz w:val="20"/>
        </w:rPr>
        <w:t>expectations</w:t>
      </w:r>
      <w:r>
        <w:rPr>
          <w:color w:val="231F1F"/>
          <w:spacing w:val="-4"/>
          <w:w w:val="105"/>
          <w:position w:val="1"/>
          <w:sz w:val="20"/>
        </w:rPr>
        <w:t> </w:t>
      </w:r>
      <w:r>
        <w:rPr>
          <w:color w:val="231F1F"/>
          <w:w w:val="105"/>
          <w:position w:val="1"/>
          <w:sz w:val="20"/>
        </w:rPr>
        <w:t>and</w:t>
      </w:r>
      <w:r>
        <w:rPr>
          <w:color w:val="231F1F"/>
          <w:spacing w:val="-4"/>
          <w:w w:val="105"/>
          <w:position w:val="1"/>
          <w:sz w:val="20"/>
        </w:rPr>
        <w:t> </w:t>
      </w:r>
      <w:r>
        <w:rPr>
          <w:color w:val="231F1F"/>
          <w:w w:val="105"/>
          <w:position w:val="1"/>
          <w:sz w:val="20"/>
        </w:rPr>
        <w:t>experiences</w:t>
      </w:r>
      <w:r>
        <w:rPr>
          <w:color w:val="231F1F"/>
          <w:spacing w:val="-4"/>
          <w:w w:val="105"/>
          <w:position w:val="1"/>
          <w:sz w:val="20"/>
        </w:rPr>
        <w:t> </w:t>
      </w:r>
      <w:r>
        <w:rPr>
          <w:color w:val="231F1F"/>
          <w:w w:val="105"/>
          <w:position w:val="1"/>
          <w:sz w:val="20"/>
        </w:rPr>
        <w:t>of</w:t>
      </w:r>
      <w:r>
        <w:rPr>
          <w:color w:val="231F1F"/>
          <w:spacing w:val="-4"/>
          <w:w w:val="105"/>
          <w:position w:val="1"/>
          <w:sz w:val="20"/>
        </w:rPr>
        <w:t> </w:t>
      </w:r>
      <w:r>
        <w:rPr>
          <w:color w:val="231F1F"/>
          <w:w w:val="105"/>
          <w:position w:val="1"/>
          <w:sz w:val="20"/>
        </w:rPr>
        <w:t>labour </w:t>
      </w:r>
      <w:r>
        <w:rPr>
          <w:color w:val="231F1F"/>
          <w:sz w:val="20"/>
        </w:rPr>
        <w:t>pain - options of 1091 Finnish parturients.Acta Anaesthesiologica Scandinavica 1995;39(1):60-6.</w:t>
      </w:r>
    </w:p>
    <w:p>
      <w:pPr>
        <w:pStyle w:val="ListParagraph"/>
        <w:numPr>
          <w:ilvl w:val="0"/>
          <w:numId w:val="109"/>
        </w:numPr>
        <w:tabs>
          <w:tab w:pos="793" w:val="left" w:leader="none"/>
          <w:tab w:pos="797" w:val="left" w:leader="none"/>
        </w:tabs>
        <w:spacing w:line="218" w:lineRule="auto" w:before="139" w:after="0"/>
        <w:ind w:left="797" w:right="122" w:hanging="502"/>
        <w:jc w:val="both"/>
        <w:rPr>
          <w:sz w:val="20"/>
        </w:rPr>
      </w:pPr>
      <w:r>
        <w:rPr>
          <w:color w:val="231F1F"/>
          <w:w w:val="110"/>
          <w:position w:val="1"/>
          <w:sz w:val="20"/>
        </w:rPr>
        <w:t>Capogna G,</w:t>
      </w:r>
      <w:r>
        <w:rPr>
          <w:color w:val="231F1F"/>
          <w:spacing w:val="-2"/>
          <w:w w:val="110"/>
          <w:position w:val="1"/>
          <w:sz w:val="20"/>
        </w:rPr>
        <w:t> </w:t>
      </w:r>
      <w:r>
        <w:rPr>
          <w:color w:val="231F1F"/>
          <w:w w:val="110"/>
          <w:position w:val="1"/>
          <w:sz w:val="20"/>
        </w:rPr>
        <w:t>Alahuhta S,</w:t>
      </w:r>
      <w:r>
        <w:rPr>
          <w:color w:val="231F1F"/>
          <w:spacing w:val="-1"/>
          <w:w w:val="110"/>
          <w:position w:val="1"/>
          <w:sz w:val="20"/>
        </w:rPr>
        <w:t> </w:t>
      </w:r>
      <w:r>
        <w:rPr>
          <w:color w:val="231F1F"/>
          <w:w w:val="110"/>
          <w:position w:val="1"/>
          <w:sz w:val="20"/>
        </w:rPr>
        <w:t>Celleno D,</w:t>
      </w:r>
      <w:r>
        <w:rPr>
          <w:color w:val="231F1F"/>
          <w:spacing w:val="-1"/>
          <w:w w:val="110"/>
          <w:position w:val="1"/>
          <w:sz w:val="20"/>
        </w:rPr>
        <w:t> </w:t>
      </w:r>
      <w:r>
        <w:rPr>
          <w:color w:val="231F1F"/>
          <w:w w:val="110"/>
          <w:position w:val="1"/>
          <w:sz w:val="20"/>
        </w:rPr>
        <w:t>et al. Maternal expectations and experiences of labour </w:t>
      </w:r>
      <w:r>
        <w:rPr>
          <w:color w:val="231F1F"/>
          <w:w w:val="110"/>
          <w:sz w:val="20"/>
        </w:rPr>
        <w:t>pain</w:t>
      </w:r>
      <w:r>
        <w:rPr>
          <w:color w:val="231F1F"/>
          <w:spacing w:val="-14"/>
          <w:w w:val="110"/>
          <w:sz w:val="20"/>
        </w:rPr>
        <w:t> </w:t>
      </w:r>
      <w:r>
        <w:rPr>
          <w:color w:val="231F1F"/>
          <w:w w:val="110"/>
          <w:sz w:val="20"/>
        </w:rPr>
        <w:t>analgesia:</w:t>
      </w:r>
      <w:r>
        <w:rPr>
          <w:color w:val="231F1F"/>
          <w:spacing w:val="-14"/>
          <w:w w:val="110"/>
          <w:sz w:val="20"/>
        </w:rPr>
        <w:t> </w:t>
      </w:r>
      <w:r>
        <w:rPr>
          <w:color w:val="231F1F"/>
          <w:w w:val="110"/>
          <w:sz w:val="20"/>
        </w:rPr>
        <w:t>A</w:t>
      </w:r>
      <w:r>
        <w:rPr>
          <w:color w:val="231F1F"/>
          <w:spacing w:val="-14"/>
          <w:w w:val="110"/>
          <w:sz w:val="20"/>
        </w:rPr>
        <w:t> </w:t>
      </w:r>
      <w:r>
        <w:rPr>
          <w:color w:val="231F1F"/>
          <w:w w:val="110"/>
          <w:sz w:val="20"/>
        </w:rPr>
        <w:t>multicentre</w:t>
      </w:r>
      <w:r>
        <w:rPr>
          <w:color w:val="231F1F"/>
          <w:spacing w:val="-13"/>
          <w:w w:val="110"/>
          <w:sz w:val="20"/>
        </w:rPr>
        <w:t> </w:t>
      </w:r>
      <w:r>
        <w:rPr>
          <w:color w:val="231F1F"/>
          <w:w w:val="110"/>
          <w:sz w:val="20"/>
        </w:rPr>
        <w:t>study</w:t>
      </w:r>
      <w:r>
        <w:rPr>
          <w:color w:val="231F1F"/>
          <w:spacing w:val="-14"/>
          <w:w w:val="110"/>
          <w:sz w:val="20"/>
        </w:rPr>
        <w:t> </w:t>
      </w:r>
      <w:r>
        <w:rPr>
          <w:color w:val="231F1F"/>
          <w:w w:val="110"/>
          <w:sz w:val="20"/>
        </w:rPr>
        <w:t>of</w:t>
      </w:r>
      <w:r>
        <w:rPr>
          <w:color w:val="231F1F"/>
          <w:spacing w:val="-14"/>
          <w:w w:val="110"/>
          <w:sz w:val="20"/>
        </w:rPr>
        <w:t> </w:t>
      </w:r>
      <w:r>
        <w:rPr>
          <w:color w:val="231F1F"/>
          <w:w w:val="110"/>
          <w:sz w:val="20"/>
        </w:rPr>
        <w:t>nulliparous</w:t>
      </w:r>
      <w:r>
        <w:rPr>
          <w:color w:val="231F1F"/>
          <w:spacing w:val="-14"/>
          <w:w w:val="110"/>
          <w:sz w:val="20"/>
        </w:rPr>
        <w:t> </w:t>
      </w:r>
      <w:r>
        <w:rPr>
          <w:color w:val="231F1F"/>
          <w:w w:val="110"/>
          <w:sz w:val="20"/>
        </w:rPr>
        <w:t>women.</w:t>
      </w:r>
      <w:r>
        <w:rPr>
          <w:color w:val="231F1F"/>
          <w:spacing w:val="-13"/>
          <w:w w:val="110"/>
          <w:sz w:val="20"/>
        </w:rPr>
        <w:t> </w:t>
      </w:r>
      <w:r>
        <w:rPr>
          <w:color w:val="231F1F"/>
          <w:w w:val="110"/>
          <w:sz w:val="20"/>
        </w:rPr>
        <w:t>International</w:t>
      </w:r>
      <w:r>
        <w:rPr>
          <w:color w:val="231F1F"/>
          <w:spacing w:val="-14"/>
          <w:w w:val="110"/>
          <w:sz w:val="20"/>
        </w:rPr>
        <w:t> </w:t>
      </w:r>
      <w:r>
        <w:rPr>
          <w:color w:val="231F1F"/>
          <w:w w:val="110"/>
          <w:sz w:val="20"/>
        </w:rPr>
        <w:t>Journal</w:t>
      </w:r>
      <w:r>
        <w:rPr>
          <w:color w:val="231F1F"/>
          <w:spacing w:val="-14"/>
          <w:w w:val="110"/>
          <w:sz w:val="20"/>
        </w:rPr>
        <w:t> </w:t>
      </w:r>
      <w:r>
        <w:rPr>
          <w:color w:val="231F1F"/>
          <w:w w:val="110"/>
          <w:sz w:val="20"/>
        </w:rPr>
        <w:t>of</w:t>
      </w:r>
      <w:r>
        <w:rPr>
          <w:color w:val="231F1F"/>
          <w:spacing w:val="-14"/>
          <w:w w:val="110"/>
          <w:sz w:val="20"/>
        </w:rPr>
        <w:t> </w:t>
      </w:r>
      <w:r>
        <w:rPr>
          <w:color w:val="231F1F"/>
          <w:w w:val="110"/>
          <w:sz w:val="20"/>
        </w:rPr>
        <w:t>Obstetric Anesthesia 1996;5(4):229-35.</w:t>
      </w:r>
    </w:p>
    <w:p>
      <w:pPr>
        <w:pStyle w:val="ListParagraph"/>
        <w:numPr>
          <w:ilvl w:val="0"/>
          <w:numId w:val="109"/>
        </w:numPr>
        <w:tabs>
          <w:tab w:pos="795" w:val="left" w:leader="none"/>
          <w:tab w:pos="798" w:val="left" w:leader="none"/>
        </w:tabs>
        <w:spacing w:line="225" w:lineRule="auto" w:before="178" w:after="0"/>
        <w:ind w:left="798" w:right="582" w:hanging="522"/>
        <w:jc w:val="left"/>
        <w:rPr>
          <w:sz w:val="20"/>
        </w:rPr>
      </w:pPr>
      <w:r>
        <w:rPr>
          <w:color w:val="231F1F"/>
          <w:sz w:val="20"/>
        </w:rPr>
        <w:t>Smith</w:t>
      </w:r>
      <w:r>
        <w:rPr>
          <w:color w:val="231F1F"/>
          <w:spacing w:val="-4"/>
          <w:sz w:val="20"/>
        </w:rPr>
        <w:t> </w:t>
      </w:r>
      <w:r>
        <w:rPr>
          <w:color w:val="231F1F"/>
          <w:sz w:val="20"/>
        </w:rPr>
        <w:t>CA,</w:t>
      </w:r>
      <w:r>
        <w:rPr>
          <w:color w:val="231F1F"/>
          <w:spacing w:val="-4"/>
          <w:sz w:val="20"/>
        </w:rPr>
        <w:t> </w:t>
      </w:r>
      <w:r>
        <w:rPr>
          <w:color w:val="231F1F"/>
          <w:sz w:val="20"/>
        </w:rPr>
        <w:t>Collins</w:t>
      </w:r>
      <w:r>
        <w:rPr>
          <w:color w:val="231F1F"/>
          <w:spacing w:val="-4"/>
          <w:sz w:val="20"/>
        </w:rPr>
        <w:t> </w:t>
      </w:r>
      <w:r>
        <w:rPr>
          <w:color w:val="231F1F"/>
          <w:sz w:val="20"/>
        </w:rPr>
        <w:t>CT,</w:t>
      </w:r>
      <w:r>
        <w:rPr>
          <w:color w:val="231F1F"/>
          <w:spacing w:val="-4"/>
          <w:sz w:val="20"/>
        </w:rPr>
        <w:t> </w:t>
      </w:r>
      <w:r>
        <w:rPr>
          <w:color w:val="231F1F"/>
          <w:sz w:val="20"/>
        </w:rPr>
        <w:t>Cyna</w:t>
      </w:r>
      <w:r>
        <w:rPr>
          <w:color w:val="231F1F"/>
          <w:spacing w:val="-4"/>
          <w:sz w:val="20"/>
        </w:rPr>
        <w:t> </w:t>
      </w:r>
      <w:r>
        <w:rPr>
          <w:color w:val="231F1F"/>
          <w:sz w:val="20"/>
        </w:rPr>
        <w:t>AM,</w:t>
      </w:r>
      <w:r>
        <w:rPr>
          <w:color w:val="231F1F"/>
          <w:spacing w:val="-4"/>
          <w:sz w:val="20"/>
        </w:rPr>
        <w:t> </w:t>
      </w:r>
      <w:r>
        <w:rPr>
          <w:color w:val="231F1F"/>
          <w:sz w:val="20"/>
        </w:rPr>
        <w:t>Crowther</w:t>
      </w:r>
      <w:r>
        <w:rPr>
          <w:color w:val="231F1F"/>
          <w:spacing w:val="-4"/>
          <w:sz w:val="20"/>
        </w:rPr>
        <w:t> </w:t>
      </w:r>
      <w:r>
        <w:rPr>
          <w:color w:val="231F1F"/>
          <w:sz w:val="20"/>
        </w:rPr>
        <w:t>CA.</w:t>
      </w:r>
      <w:r>
        <w:rPr>
          <w:color w:val="231F1F"/>
          <w:spacing w:val="-4"/>
          <w:sz w:val="20"/>
        </w:rPr>
        <w:t> </w:t>
      </w:r>
      <w:r>
        <w:rPr>
          <w:color w:val="231F1F"/>
          <w:sz w:val="20"/>
        </w:rPr>
        <w:t>Complementary</w:t>
      </w:r>
      <w:r>
        <w:rPr>
          <w:color w:val="231F1F"/>
          <w:spacing w:val="-4"/>
          <w:sz w:val="20"/>
        </w:rPr>
        <w:t> </w:t>
      </w:r>
      <w:r>
        <w:rPr>
          <w:color w:val="231F1F"/>
          <w:sz w:val="20"/>
        </w:rPr>
        <w:t>and</w:t>
      </w:r>
      <w:r>
        <w:rPr>
          <w:color w:val="231F1F"/>
          <w:spacing w:val="-4"/>
          <w:sz w:val="20"/>
        </w:rPr>
        <w:t> </w:t>
      </w:r>
      <w:r>
        <w:rPr>
          <w:color w:val="231F1F"/>
          <w:sz w:val="20"/>
        </w:rPr>
        <w:t>alternative</w:t>
      </w:r>
      <w:r>
        <w:rPr>
          <w:color w:val="231F1F"/>
          <w:spacing w:val="-4"/>
          <w:sz w:val="20"/>
        </w:rPr>
        <w:t> </w:t>
      </w:r>
      <w:r>
        <w:rPr>
          <w:color w:val="231F1F"/>
          <w:sz w:val="20"/>
        </w:rPr>
        <w:t>therapies</w:t>
      </w:r>
      <w:r>
        <w:rPr>
          <w:color w:val="231F1F"/>
          <w:spacing w:val="-4"/>
          <w:sz w:val="20"/>
        </w:rPr>
        <w:t> </w:t>
      </w:r>
      <w:r>
        <w:rPr>
          <w:color w:val="231F1F"/>
          <w:sz w:val="20"/>
        </w:rPr>
        <w:t>for pain</w:t>
      </w:r>
      <w:r>
        <w:rPr>
          <w:color w:val="231F1F"/>
          <w:spacing w:val="80"/>
          <w:sz w:val="20"/>
        </w:rPr>
        <w:t> </w:t>
      </w:r>
      <w:r>
        <w:rPr>
          <w:color w:val="231F1F"/>
          <w:sz w:val="20"/>
        </w:rPr>
        <w:t>management</w:t>
      </w:r>
      <w:r>
        <w:rPr>
          <w:color w:val="231F1F"/>
          <w:spacing w:val="80"/>
          <w:sz w:val="20"/>
        </w:rPr>
        <w:t> </w:t>
      </w:r>
      <w:r>
        <w:rPr>
          <w:color w:val="231F1F"/>
          <w:sz w:val="20"/>
        </w:rPr>
        <w:t>in</w:t>
      </w:r>
      <w:r>
        <w:rPr>
          <w:color w:val="231F1F"/>
          <w:spacing w:val="80"/>
          <w:sz w:val="20"/>
        </w:rPr>
        <w:t> </w:t>
      </w:r>
      <w:r>
        <w:rPr>
          <w:color w:val="231F1F"/>
          <w:sz w:val="20"/>
        </w:rPr>
        <w:t>labour.</w:t>
      </w:r>
      <w:r>
        <w:rPr>
          <w:color w:val="231F1F"/>
          <w:spacing w:val="34"/>
          <w:sz w:val="20"/>
        </w:rPr>
        <w:t> </w:t>
      </w:r>
      <w:r>
        <w:rPr>
          <w:color w:val="231F1F"/>
          <w:sz w:val="20"/>
        </w:rPr>
        <w:t>Cochrane</w:t>
      </w:r>
      <w:r>
        <w:rPr>
          <w:color w:val="231F1F"/>
          <w:spacing w:val="80"/>
          <w:sz w:val="20"/>
        </w:rPr>
        <w:t> </w:t>
      </w:r>
      <w:r>
        <w:rPr>
          <w:color w:val="231F1F"/>
          <w:sz w:val="20"/>
        </w:rPr>
        <w:t>Database</w:t>
      </w:r>
      <w:r>
        <w:rPr>
          <w:color w:val="231F1F"/>
          <w:spacing w:val="80"/>
          <w:sz w:val="20"/>
        </w:rPr>
        <w:t> </w:t>
      </w:r>
      <w:r>
        <w:rPr>
          <w:color w:val="231F1F"/>
          <w:sz w:val="20"/>
        </w:rPr>
        <w:t>Syst</w:t>
      </w:r>
      <w:r>
        <w:rPr>
          <w:color w:val="231F1F"/>
          <w:spacing w:val="80"/>
          <w:sz w:val="20"/>
        </w:rPr>
        <w:t> </w:t>
      </w:r>
      <w:r>
        <w:rPr>
          <w:color w:val="231F1F"/>
          <w:sz w:val="20"/>
        </w:rPr>
        <w:t>Rev</w:t>
      </w:r>
      <w:r>
        <w:rPr>
          <w:color w:val="231F1F"/>
          <w:spacing w:val="80"/>
          <w:sz w:val="20"/>
        </w:rPr>
        <w:t> </w:t>
      </w:r>
      <w:r>
        <w:rPr>
          <w:color w:val="231F1F"/>
          <w:sz w:val="20"/>
        </w:rPr>
        <w:t>2006;(4):CD003521.</w:t>
      </w:r>
    </w:p>
    <w:p>
      <w:pPr>
        <w:pStyle w:val="ListParagraph"/>
        <w:numPr>
          <w:ilvl w:val="0"/>
          <w:numId w:val="109"/>
        </w:numPr>
        <w:tabs>
          <w:tab w:pos="793" w:val="left" w:leader="none"/>
          <w:tab w:pos="797" w:val="left" w:leader="none"/>
        </w:tabs>
        <w:spacing w:line="218" w:lineRule="auto" w:before="144" w:after="0"/>
        <w:ind w:left="797" w:right="122" w:hanging="502"/>
        <w:jc w:val="both"/>
        <w:rPr>
          <w:sz w:val="20"/>
        </w:rPr>
      </w:pPr>
      <w:r>
        <w:rPr>
          <w:color w:val="231F1F"/>
          <w:spacing w:val="-2"/>
          <w:w w:val="110"/>
          <w:position w:val="1"/>
          <w:sz w:val="20"/>
        </w:rPr>
        <w:t>Lally</w:t>
      </w:r>
      <w:r>
        <w:rPr>
          <w:color w:val="231F1F"/>
          <w:spacing w:val="-7"/>
          <w:w w:val="110"/>
          <w:position w:val="1"/>
          <w:sz w:val="20"/>
        </w:rPr>
        <w:t> </w:t>
      </w:r>
      <w:r>
        <w:rPr>
          <w:color w:val="231F1F"/>
          <w:spacing w:val="-2"/>
          <w:w w:val="110"/>
          <w:position w:val="1"/>
          <w:sz w:val="20"/>
        </w:rPr>
        <w:t>JE,</w:t>
      </w:r>
      <w:r>
        <w:rPr>
          <w:color w:val="231F1F"/>
          <w:spacing w:val="-7"/>
          <w:w w:val="110"/>
          <w:position w:val="1"/>
          <w:sz w:val="20"/>
        </w:rPr>
        <w:t> </w:t>
      </w:r>
      <w:r>
        <w:rPr>
          <w:color w:val="231F1F"/>
          <w:spacing w:val="-2"/>
          <w:w w:val="110"/>
          <w:position w:val="1"/>
          <w:sz w:val="20"/>
        </w:rPr>
        <w:t>Murtagh</w:t>
      </w:r>
      <w:r>
        <w:rPr>
          <w:color w:val="231F1F"/>
          <w:spacing w:val="-7"/>
          <w:w w:val="110"/>
          <w:position w:val="1"/>
          <w:sz w:val="20"/>
        </w:rPr>
        <w:t> </w:t>
      </w:r>
      <w:r>
        <w:rPr>
          <w:color w:val="231F1F"/>
          <w:spacing w:val="-2"/>
          <w:w w:val="110"/>
          <w:position w:val="1"/>
          <w:sz w:val="20"/>
        </w:rPr>
        <w:t>MJ,</w:t>
      </w:r>
      <w:r>
        <w:rPr>
          <w:color w:val="231F1F"/>
          <w:spacing w:val="-7"/>
          <w:w w:val="110"/>
          <w:position w:val="1"/>
          <w:sz w:val="20"/>
        </w:rPr>
        <w:t> </w:t>
      </w:r>
      <w:r>
        <w:rPr>
          <w:color w:val="231F1F"/>
          <w:spacing w:val="-2"/>
          <w:w w:val="110"/>
          <w:position w:val="1"/>
          <w:sz w:val="20"/>
        </w:rPr>
        <w:t>Macphail</w:t>
      </w:r>
      <w:r>
        <w:rPr>
          <w:color w:val="231F1F"/>
          <w:spacing w:val="-5"/>
          <w:w w:val="110"/>
          <w:position w:val="1"/>
          <w:sz w:val="20"/>
        </w:rPr>
        <w:t> </w:t>
      </w:r>
      <w:r>
        <w:rPr>
          <w:color w:val="231F1F"/>
          <w:spacing w:val="-2"/>
          <w:w w:val="110"/>
          <w:position w:val="1"/>
          <w:sz w:val="20"/>
        </w:rPr>
        <w:t>S,</w:t>
      </w:r>
      <w:r>
        <w:rPr>
          <w:color w:val="231F1F"/>
          <w:spacing w:val="-7"/>
          <w:w w:val="110"/>
          <w:position w:val="1"/>
          <w:sz w:val="20"/>
        </w:rPr>
        <w:t> </w:t>
      </w:r>
      <w:r>
        <w:rPr>
          <w:color w:val="231F1F"/>
          <w:spacing w:val="-2"/>
          <w:w w:val="110"/>
          <w:position w:val="1"/>
          <w:sz w:val="20"/>
        </w:rPr>
        <w:t>Thomson</w:t>
      </w:r>
      <w:r>
        <w:rPr>
          <w:color w:val="231F1F"/>
          <w:spacing w:val="-5"/>
          <w:w w:val="110"/>
          <w:position w:val="1"/>
          <w:sz w:val="20"/>
        </w:rPr>
        <w:t> </w:t>
      </w:r>
      <w:r>
        <w:rPr>
          <w:color w:val="231F1F"/>
          <w:spacing w:val="-2"/>
          <w:w w:val="110"/>
          <w:position w:val="1"/>
          <w:sz w:val="20"/>
        </w:rPr>
        <w:t>R.</w:t>
      </w:r>
      <w:r>
        <w:rPr>
          <w:color w:val="231F1F"/>
          <w:spacing w:val="-7"/>
          <w:w w:val="110"/>
          <w:position w:val="1"/>
          <w:sz w:val="20"/>
        </w:rPr>
        <w:t> </w:t>
      </w:r>
      <w:r>
        <w:rPr>
          <w:color w:val="231F1F"/>
          <w:spacing w:val="-2"/>
          <w:w w:val="110"/>
          <w:position w:val="1"/>
          <w:sz w:val="20"/>
        </w:rPr>
        <w:t>More</w:t>
      </w:r>
      <w:r>
        <w:rPr>
          <w:color w:val="231F1F"/>
          <w:spacing w:val="-5"/>
          <w:w w:val="110"/>
          <w:position w:val="1"/>
          <w:sz w:val="20"/>
        </w:rPr>
        <w:t> </w:t>
      </w:r>
      <w:r>
        <w:rPr>
          <w:color w:val="231F1F"/>
          <w:spacing w:val="-2"/>
          <w:w w:val="110"/>
          <w:position w:val="1"/>
          <w:sz w:val="20"/>
        </w:rPr>
        <w:t>in</w:t>
      </w:r>
      <w:r>
        <w:rPr>
          <w:color w:val="231F1F"/>
          <w:spacing w:val="-5"/>
          <w:w w:val="110"/>
          <w:position w:val="1"/>
          <w:sz w:val="20"/>
        </w:rPr>
        <w:t> </w:t>
      </w:r>
      <w:r>
        <w:rPr>
          <w:color w:val="231F1F"/>
          <w:spacing w:val="-2"/>
          <w:w w:val="110"/>
          <w:position w:val="1"/>
          <w:sz w:val="20"/>
        </w:rPr>
        <w:t>hope</w:t>
      </w:r>
      <w:r>
        <w:rPr>
          <w:color w:val="231F1F"/>
          <w:spacing w:val="-5"/>
          <w:w w:val="110"/>
          <w:position w:val="1"/>
          <w:sz w:val="20"/>
        </w:rPr>
        <w:t> </w:t>
      </w:r>
      <w:r>
        <w:rPr>
          <w:color w:val="231F1F"/>
          <w:spacing w:val="-2"/>
          <w:w w:val="110"/>
          <w:position w:val="1"/>
          <w:sz w:val="20"/>
        </w:rPr>
        <w:t>than</w:t>
      </w:r>
      <w:r>
        <w:rPr>
          <w:color w:val="231F1F"/>
          <w:spacing w:val="-5"/>
          <w:w w:val="110"/>
          <w:position w:val="1"/>
          <w:sz w:val="20"/>
        </w:rPr>
        <w:t> </w:t>
      </w:r>
      <w:r>
        <w:rPr>
          <w:color w:val="231F1F"/>
          <w:spacing w:val="-2"/>
          <w:w w:val="110"/>
          <w:position w:val="1"/>
          <w:sz w:val="20"/>
        </w:rPr>
        <w:t>expectation:</w:t>
      </w:r>
      <w:r>
        <w:rPr>
          <w:color w:val="231F1F"/>
          <w:spacing w:val="-8"/>
          <w:w w:val="110"/>
          <w:position w:val="1"/>
          <w:sz w:val="20"/>
        </w:rPr>
        <w:t> </w:t>
      </w:r>
      <w:r>
        <w:rPr>
          <w:color w:val="231F1F"/>
          <w:spacing w:val="-2"/>
          <w:w w:val="110"/>
          <w:position w:val="1"/>
          <w:sz w:val="20"/>
        </w:rPr>
        <w:t>a</w:t>
      </w:r>
      <w:r>
        <w:rPr>
          <w:color w:val="231F1F"/>
          <w:spacing w:val="-5"/>
          <w:w w:val="110"/>
          <w:position w:val="1"/>
          <w:sz w:val="20"/>
        </w:rPr>
        <w:t> </w:t>
      </w:r>
      <w:r>
        <w:rPr>
          <w:color w:val="231F1F"/>
          <w:spacing w:val="-2"/>
          <w:w w:val="110"/>
          <w:position w:val="1"/>
          <w:sz w:val="20"/>
        </w:rPr>
        <w:t>systematic </w:t>
      </w:r>
      <w:r>
        <w:rPr>
          <w:color w:val="231F1F"/>
          <w:w w:val="110"/>
          <w:sz w:val="20"/>
        </w:rPr>
        <w:t>review</w:t>
      </w:r>
      <w:r>
        <w:rPr>
          <w:color w:val="231F1F"/>
          <w:w w:val="110"/>
          <w:sz w:val="20"/>
        </w:rPr>
        <w:t> of</w:t>
      </w:r>
      <w:r>
        <w:rPr>
          <w:color w:val="231F1F"/>
          <w:w w:val="110"/>
          <w:sz w:val="20"/>
        </w:rPr>
        <w:t> women´s</w:t>
      </w:r>
      <w:r>
        <w:rPr>
          <w:color w:val="231F1F"/>
          <w:w w:val="110"/>
          <w:sz w:val="20"/>
        </w:rPr>
        <w:t> expectations</w:t>
      </w:r>
      <w:r>
        <w:rPr>
          <w:color w:val="231F1F"/>
          <w:w w:val="110"/>
          <w:sz w:val="20"/>
        </w:rPr>
        <w:t> and</w:t>
      </w:r>
      <w:r>
        <w:rPr>
          <w:color w:val="231F1F"/>
          <w:w w:val="110"/>
          <w:sz w:val="20"/>
        </w:rPr>
        <w:t> experience</w:t>
      </w:r>
      <w:r>
        <w:rPr>
          <w:color w:val="231F1F"/>
          <w:w w:val="110"/>
          <w:sz w:val="20"/>
        </w:rPr>
        <w:t> of</w:t>
      </w:r>
      <w:r>
        <w:rPr>
          <w:color w:val="231F1F"/>
          <w:w w:val="110"/>
          <w:sz w:val="20"/>
        </w:rPr>
        <w:t> pain</w:t>
      </w:r>
      <w:r>
        <w:rPr>
          <w:color w:val="231F1F"/>
          <w:w w:val="110"/>
          <w:sz w:val="20"/>
        </w:rPr>
        <w:t> relief</w:t>
      </w:r>
      <w:r>
        <w:rPr>
          <w:color w:val="231F1F"/>
          <w:w w:val="110"/>
          <w:sz w:val="20"/>
        </w:rPr>
        <w:t> in</w:t>
      </w:r>
      <w:r>
        <w:rPr>
          <w:color w:val="231F1F"/>
          <w:w w:val="110"/>
          <w:sz w:val="20"/>
        </w:rPr>
        <w:t> labour.</w:t>
      </w:r>
      <w:r>
        <w:rPr>
          <w:color w:val="231F1F"/>
          <w:w w:val="110"/>
          <w:sz w:val="20"/>
        </w:rPr>
        <w:t> BMC</w:t>
      </w:r>
      <w:r>
        <w:rPr>
          <w:color w:val="231F1F"/>
          <w:w w:val="110"/>
          <w:sz w:val="20"/>
        </w:rPr>
        <w:t> medicine </w:t>
      </w:r>
      <w:r>
        <w:rPr>
          <w:color w:val="231F1F"/>
          <w:spacing w:val="-2"/>
          <w:w w:val="110"/>
          <w:sz w:val="20"/>
        </w:rPr>
        <w:t>2008;6:7.</w:t>
      </w:r>
    </w:p>
    <w:p>
      <w:pPr>
        <w:pStyle w:val="ListParagraph"/>
        <w:numPr>
          <w:ilvl w:val="0"/>
          <w:numId w:val="109"/>
        </w:numPr>
        <w:tabs>
          <w:tab w:pos="794" w:val="left" w:leader="none"/>
          <w:tab w:pos="798" w:val="left" w:leader="none"/>
        </w:tabs>
        <w:spacing w:line="230" w:lineRule="auto" w:before="174" w:after="0"/>
        <w:ind w:left="798" w:right="111" w:hanging="502"/>
        <w:jc w:val="both"/>
        <w:rPr>
          <w:sz w:val="20"/>
        </w:rPr>
      </w:pPr>
      <w:r>
        <w:rPr>
          <w:color w:val="231F1F"/>
          <w:w w:val="105"/>
          <w:sz w:val="20"/>
        </w:rPr>
        <w:t>Hodnett</w:t>
      </w:r>
      <w:r>
        <w:rPr>
          <w:color w:val="231F1F"/>
          <w:spacing w:val="-1"/>
          <w:w w:val="105"/>
          <w:sz w:val="20"/>
        </w:rPr>
        <w:t> </w:t>
      </w:r>
      <w:r>
        <w:rPr>
          <w:color w:val="231F1F"/>
          <w:w w:val="105"/>
          <w:sz w:val="20"/>
        </w:rPr>
        <w:t>ED,</w:t>
      </w:r>
      <w:r>
        <w:rPr>
          <w:color w:val="231F1F"/>
          <w:spacing w:val="-1"/>
          <w:w w:val="105"/>
          <w:sz w:val="20"/>
        </w:rPr>
        <w:t> </w:t>
      </w:r>
      <w:r>
        <w:rPr>
          <w:color w:val="231F1F"/>
          <w:w w:val="105"/>
          <w:sz w:val="20"/>
        </w:rPr>
        <w:t>Stremler</w:t>
      </w:r>
      <w:r>
        <w:rPr>
          <w:color w:val="231F1F"/>
          <w:spacing w:val="-1"/>
          <w:w w:val="105"/>
          <w:sz w:val="20"/>
        </w:rPr>
        <w:t> </w:t>
      </w:r>
      <w:r>
        <w:rPr>
          <w:color w:val="231F1F"/>
          <w:w w:val="105"/>
          <w:sz w:val="20"/>
        </w:rPr>
        <w:t>R,</w:t>
      </w:r>
      <w:r>
        <w:rPr>
          <w:color w:val="231F1F"/>
          <w:spacing w:val="-2"/>
          <w:w w:val="105"/>
          <w:sz w:val="20"/>
        </w:rPr>
        <w:t> </w:t>
      </w:r>
      <w:r>
        <w:rPr>
          <w:color w:val="231F1F"/>
          <w:w w:val="105"/>
          <w:sz w:val="20"/>
        </w:rPr>
        <w:t>Willan</w:t>
      </w:r>
      <w:r>
        <w:rPr>
          <w:color w:val="231F1F"/>
          <w:spacing w:val="-1"/>
          <w:w w:val="105"/>
          <w:sz w:val="20"/>
        </w:rPr>
        <w:t> </w:t>
      </w:r>
      <w:r>
        <w:rPr>
          <w:color w:val="231F1F"/>
          <w:w w:val="105"/>
          <w:sz w:val="20"/>
        </w:rPr>
        <w:t>AR,</w:t>
      </w:r>
      <w:r>
        <w:rPr>
          <w:color w:val="231F1F"/>
          <w:spacing w:val="-2"/>
          <w:w w:val="105"/>
          <w:sz w:val="20"/>
        </w:rPr>
        <w:t> </w:t>
      </w:r>
      <w:r>
        <w:rPr>
          <w:color w:val="231F1F"/>
          <w:w w:val="105"/>
          <w:sz w:val="20"/>
        </w:rPr>
        <w:t>Weston</w:t>
      </w:r>
      <w:r>
        <w:rPr>
          <w:color w:val="231F1F"/>
          <w:spacing w:val="-1"/>
          <w:w w:val="105"/>
          <w:sz w:val="20"/>
        </w:rPr>
        <w:t> </w:t>
      </w:r>
      <w:r>
        <w:rPr>
          <w:color w:val="231F1F"/>
          <w:w w:val="105"/>
          <w:sz w:val="20"/>
        </w:rPr>
        <w:t>JA,</w:t>
      </w:r>
      <w:r>
        <w:rPr>
          <w:color w:val="231F1F"/>
          <w:spacing w:val="-1"/>
          <w:w w:val="105"/>
          <w:sz w:val="20"/>
        </w:rPr>
        <w:t> </w:t>
      </w:r>
      <w:r>
        <w:rPr>
          <w:color w:val="231F1F"/>
          <w:w w:val="105"/>
          <w:sz w:val="20"/>
        </w:rPr>
        <w:t>Lowe</w:t>
      </w:r>
      <w:r>
        <w:rPr>
          <w:color w:val="231F1F"/>
          <w:spacing w:val="-1"/>
          <w:w w:val="105"/>
          <w:sz w:val="20"/>
        </w:rPr>
        <w:t> </w:t>
      </w:r>
      <w:r>
        <w:rPr>
          <w:color w:val="231F1F"/>
          <w:w w:val="105"/>
          <w:sz w:val="20"/>
        </w:rPr>
        <w:t>NK,</w:t>
      </w:r>
      <w:r>
        <w:rPr>
          <w:color w:val="231F1F"/>
          <w:spacing w:val="-1"/>
          <w:w w:val="105"/>
          <w:sz w:val="20"/>
        </w:rPr>
        <w:t> </w:t>
      </w:r>
      <w:r>
        <w:rPr>
          <w:color w:val="231F1F"/>
          <w:w w:val="105"/>
          <w:sz w:val="20"/>
        </w:rPr>
        <w:t>Simpson</w:t>
      </w:r>
      <w:r>
        <w:rPr>
          <w:color w:val="231F1F"/>
          <w:spacing w:val="-1"/>
          <w:w w:val="105"/>
          <w:sz w:val="20"/>
        </w:rPr>
        <w:t> </w:t>
      </w:r>
      <w:r>
        <w:rPr>
          <w:color w:val="231F1F"/>
          <w:w w:val="105"/>
          <w:sz w:val="20"/>
        </w:rPr>
        <w:t>KR,</w:t>
      </w:r>
      <w:r>
        <w:rPr>
          <w:color w:val="231F1F"/>
          <w:spacing w:val="-1"/>
          <w:w w:val="105"/>
          <w:sz w:val="20"/>
        </w:rPr>
        <w:t> </w:t>
      </w:r>
      <w:r>
        <w:rPr>
          <w:color w:val="231F1F"/>
          <w:w w:val="105"/>
          <w:sz w:val="20"/>
        </w:rPr>
        <w:t>et</w:t>
      </w:r>
      <w:r>
        <w:rPr>
          <w:color w:val="231F1F"/>
          <w:spacing w:val="-1"/>
          <w:w w:val="105"/>
          <w:sz w:val="20"/>
        </w:rPr>
        <w:t> </w:t>
      </w:r>
      <w:r>
        <w:rPr>
          <w:color w:val="231F1F"/>
          <w:w w:val="105"/>
          <w:sz w:val="20"/>
        </w:rPr>
        <w:t>al.</w:t>
      </w:r>
      <w:r>
        <w:rPr>
          <w:color w:val="231F1F"/>
          <w:spacing w:val="-1"/>
          <w:w w:val="105"/>
          <w:sz w:val="20"/>
        </w:rPr>
        <w:t> </w:t>
      </w:r>
      <w:r>
        <w:rPr>
          <w:color w:val="231F1F"/>
          <w:w w:val="105"/>
          <w:sz w:val="20"/>
        </w:rPr>
        <w:t>Effect</w:t>
      </w:r>
      <w:r>
        <w:rPr>
          <w:color w:val="231F1F"/>
          <w:spacing w:val="-1"/>
          <w:w w:val="105"/>
          <w:sz w:val="20"/>
        </w:rPr>
        <w:t> </w:t>
      </w:r>
      <w:r>
        <w:rPr>
          <w:color w:val="231F1F"/>
          <w:w w:val="105"/>
          <w:sz w:val="20"/>
        </w:rPr>
        <w:t>on</w:t>
      </w:r>
      <w:r>
        <w:rPr>
          <w:color w:val="231F1F"/>
          <w:spacing w:val="-1"/>
          <w:w w:val="105"/>
          <w:sz w:val="20"/>
        </w:rPr>
        <w:t> </w:t>
      </w:r>
      <w:r>
        <w:rPr>
          <w:color w:val="231F1F"/>
          <w:w w:val="105"/>
          <w:sz w:val="20"/>
        </w:rPr>
        <w:t>birth outcomes of a formalised approach to care in hospital labour assessment units: international, randomised controlled trial. BMJ 2008;337:1021.</w:t>
      </w:r>
    </w:p>
    <w:p>
      <w:pPr>
        <w:pStyle w:val="ListParagraph"/>
        <w:numPr>
          <w:ilvl w:val="0"/>
          <w:numId w:val="109"/>
        </w:numPr>
        <w:tabs>
          <w:tab w:pos="794" w:val="left" w:leader="none"/>
          <w:tab w:pos="798" w:val="left" w:leader="none"/>
        </w:tabs>
        <w:spacing w:line="220" w:lineRule="auto" w:before="166" w:after="0"/>
        <w:ind w:left="798" w:right="209" w:hanging="501"/>
        <w:jc w:val="both"/>
        <w:rPr>
          <w:sz w:val="20"/>
        </w:rPr>
      </w:pPr>
      <w:r>
        <w:rPr>
          <w:color w:val="231F1F"/>
          <w:w w:val="105"/>
          <w:sz w:val="20"/>
        </w:rPr>
        <w:t>Christiaens</w:t>
      </w:r>
      <w:r>
        <w:rPr>
          <w:color w:val="231F1F"/>
          <w:spacing w:val="-10"/>
          <w:w w:val="105"/>
          <w:sz w:val="20"/>
        </w:rPr>
        <w:t> </w:t>
      </w:r>
      <w:r>
        <w:rPr>
          <w:color w:val="231F1F"/>
          <w:w w:val="105"/>
          <w:sz w:val="20"/>
        </w:rPr>
        <w:t>W,</w:t>
      </w:r>
      <w:r>
        <w:rPr>
          <w:color w:val="231F1F"/>
          <w:spacing w:val="-9"/>
          <w:w w:val="105"/>
          <w:sz w:val="20"/>
        </w:rPr>
        <w:t> </w:t>
      </w:r>
      <w:r>
        <w:rPr>
          <w:color w:val="231F1F"/>
          <w:w w:val="105"/>
          <w:sz w:val="20"/>
        </w:rPr>
        <w:t>Bracke</w:t>
      </w:r>
      <w:r>
        <w:rPr>
          <w:color w:val="231F1F"/>
          <w:spacing w:val="-8"/>
          <w:w w:val="105"/>
          <w:sz w:val="20"/>
        </w:rPr>
        <w:t> </w:t>
      </w:r>
      <w:r>
        <w:rPr>
          <w:color w:val="231F1F"/>
          <w:w w:val="105"/>
          <w:sz w:val="20"/>
        </w:rPr>
        <w:t>P.</w:t>
      </w:r>
      <w:r>
        <w:rPr>
          <w:color w:val="231F1F"/>
          <w:spacing w:val="-9"/>
          <w:w w:val="105"/>
          <w:sz w:val="20"/>
        </w:rPr>
        <w:t> </w:t>
      </w:r>
      <w:r>
        <w:rPr>
          <w:color w:val="231F1F"/>
          <w:w w:val="105"/>
          <w:sz w:val="20"/>
        </w:rPr>
        <w:t>Assessment</w:t>
      </w:r>
      <w:r>
        <w:rPr>
          <w:color w:val="231F1F"/>
          <w:spacing w:val="-5"/>
          <w:w w:val="105"/>
          <w:sz w:val="20"/>
        </w:rPr>
        <w:t> </w:t>
      </w:r>
      <w:r>
        <w:rPr>
          <w:color w:val="231F1F"/>
          <w:w w:val="105"/>
          <w:sz w:val="20"/>
        </w:rPr>
        <w:t>of</w:t>
      </w:r>
      <w:r>
        <w:rPr>
          <w:color w:val="231F1F"/>
          <w:spacing w:val="-5"/>
          <w:w w:val="105"/>
          <w:sz w:val="20"/>
        </w:rPr>
        <w:t> </w:t>
      </w:r>
      <w:r>
        <w:rPr>
          <w:color w:val="231F1F"/>
          <w:w w:val="105"/>
          <w:sz w:val="20"/>
        </w:rPr>
        <w:t>social</w:t>
      </w:r>
      <w:r>
        <w:rPr>
          <w:color w:val="231F1F"/>
          <w:spacing w:val="-5"/>
          <w:w w:val="105"/>
          <w:sz w:val="20"/>
        </w:rPr>
        <w:t> </w:t>
      </w:r>
      <w:r>
        <w:rPr>
          <w:color w:val="231F1F"/>
          <w:w w:val="105"/>
          <w:sz w:val="20"/>
        </w:rPr>
        <w:t>psychological</w:t>
      </w:r>
      <w:r>
        <w:rPr>
          <w:color w:val="231F1F"/>
          <w:spacing w:val="-5"/>
          <w:w w:val="105"/>
          <w:sz w:val="20"/>
        </w:rPr>
        <w:t> </w:t>
      </w:r>
      <w:r>
        <w:rPr>
          <w:color w:val="231F1F"/>
          <w:w w:val="105"/>
          <w:sz w:val="20"/>
        </w:rPr>
        <w:t>determinants</w:t>
      </w:r>
      <w:r>
        <w:rPr>
          <w:color w:val="231F1F"/>
          <w:spacing w:val="-5"/>
          <w:w w:val="105"/>
          <w:sz w:val="20"/>
        </w:rPr>
        <w:t> </w:t>
      </w:r>
      <w:r>
        <w:rPr>
          <w:color w:val="231F1F"/>
          <w:w w:val="105"/>
          <w:sz w:val="20"/>
        </w:rPr>
        <w:t>of</w:t>
      </w:r>
      <w:r>
        <w:rPr>
          <w:color w:val="231F1F"/>
          <w:spacing w:val="-5"/>
          <w:w w:val="105"/>
          <w:sz w:val="20"/>
        </w:rPr>
        <w:t> </w:t>
      </w:r>
      <w:r>
        <w:rPr>
          <w:color w:val="231F1F"/>
          <w:w w:val="105"/>
          <w:sz w:val="20"/>
        </w:rPr>
        <w:t>satisfaction</w:t>
      </w:r>
      <w:r>
        <w:rPr>
          <w:color w:val="231F1F"/>
          <w:spacing w:val="-5"/>
          <w:w w:val="105"/>
          <w:sz w:val="20"/>
        </w:rPr>
        <w:t> </w:t>
      </w:r>
      <w:r>
        <w:rPr>
          <w:color w:val="231F1F"/>
          <w:w w:val="105"/>
          <w:sz w:val="20"/>
        </w:rPr>
        <w:t>with childbirth in a cross-national perspective. BMC Pregnancy Childbirth 2007;7:26.</w:t>
      </w:r>
    </w:p>
    <w:p>
      <w:pPr>
        <w:pStyle w:val="ListParagraph"/>
        <w:numPr>
          <w:ilvl w:val="0"/>
          <w:numId w:val="109"/>
        </w:numPr>
        <w:tabs>
          <w:tab w:pos="793" w:val="left" w:leader="none"/>
          <w:tab w:pos="797" w:val="left" w:leader="none"/>
        </w:tabs>
        <w:spacing w:line="220" w:lineRule="auto" w:before="167" w:after="0"/>
        <w:ind w:left="797" w:right="155" w:hanging="509"/>
        <w:jc w:val="both"/>
        <w:rPr>
          <w:sz w:val="20"/>
        </w:rPr>
      </w:pPr>
      <w:r>
        <w:rPr>
          <w:color w:val="231F1F"/>
          <w:spacing w:val="-2"/>
          <w:w w:val="110"/>
          <w:sz w:val="20"/>
        </w:rPr>
        <w:t>Odent</w:t>
      </w:r>
      <w:r>
        <w:rPr>
          <w:color w:val="231F1F"/>
          <w:spacing w:val="-9"/>
          <w:w w:val="110"/>
          <w:sz w:val="20"/>
        </w:rPr>
        <w:t> </w:t>
      </w:r>
      <w:r>
        <w:rPr>
          <w:color w:val="231F1F"/>
          <w:spacing w:val="-2"/>
          <w:w w:val="110"/>
          <w:sz w:val="20"/>
        </w:rPr>
        <w:t>M.</w:t>
      </w:r>
      <w:r>
        <w:rPr>
          <w:color w:val="231F1F"/>
          <w:spacing w:val="-9"/>
          <w:w w:val="110"/>
          <w:sz w:val="20"/>
        </w:rPr>
        <w:t> </w:t>
      </w:r>
      <w:r>
        <w:rPr>
          <w:color w:val="231F1F"/>
          <w:spacing w:val="-2"/>
          <w:w w:val="110"/>
          <w:sz w:val="20"/>
        </w:rPr>
        <w:t>Lo</w:t>
      </w:r>
      <w:r>
        <w:rPr>
          <w:color w:val="231F1F"/>
          <w:spacing w:val="-8"/>
          <w:w w:val="110"/>
          <w:sz w:val="20"/>
        </w:rPr>
        <w:t> </w:t>
      </w:r>
      <w:r>
        <w:rPr>
          <w:color w:val="231F1F"/>
          <w:spacing w:val="-2"/>
          <w:w w:val="110"/>
          <w:sz w:val="20"/>
        </w:rPr>
        <w:t>que</w:t>
      </w:r>
      <w:r>
        <w:rPr>
          <w:color w:val="231F1F"/>
          <w:spacing w:val="-6"/>
          <w:w w:val="110"/>
          <w:sz w:val="20"/>
        </w:rPr>
        <w:t> </w:t>
      </w:r>
      <w:r>
        <w:rPr>
          <w:color w:val="231F1F"/>
          <w:spacing w:val="-2"/>
          <w:w w:val="110"/>
          <w:sz w:val="20"/>
        </w:rPr>
        <w:t>aprendí</w:t>
      </w:r>
      <w:r>
        <w:rPr>
          <w:color w:val="231F1F"/>
          <w:spacing w:val="-6"/>
          <w:w w:val="110"/>
          <w:sz w:val="20"/>
        </w:rPr>
        <w:t> </w:t>
      </w:r>
      <w:r>
        <w:rPr>
          <w:color w:val="231F1F"/>
          <w:spacing w:val="-2"/>
          <w:w w:val="110"/>
          <w:sz w:val="20"/>
        </w:rPr>
        <w:t>del</w:t>
      </w:r>
      <w:r>
        <w:rPr>
          <w:color w:val="231F1F"/>
          <w:spacing w:val="-6"/>
          <w:w w:val="110"/>
          <w:sz w:val="20"/>
        </w:rPr>
        <w:t> </w:t>
      </w:r>
      <w:r>
        <w:rPr>
          <w:color w:val="231F1F"/>
          <w:spacing w:val="-2"/>
          <w:w w:val="110"/>
          <w:sz w:val="20"/>
        </w:rPr>
        <w:t>primer</w:t>
      </w:r>
      <w:r>
        <w:rPr>
          <w:color w:val="231F1F"/>
          <w:spacing w:val="-6"/>
          <w:w w:val="110"/>
          <w:sz w:val="20"/>
        </w:rPr>
        <w:t> </w:t>
      </w:r>
      <w:r>
        <w:rPr>
          <w:color w:val="231F1F"/>
          <w:spacing w:val="-2"/>
          <w:w w:val="110"/>
          <w:sz w:val="20"/>
        </w:rPr>
        <w:t>hospital</w:t>
      </w:r>
      <w:r>
        <w:rPr>
          <w:color w:val="231F1F"/>
          <w:spacing w:val="-6"/>
          <w:w w:val="110"/>
          <w:sz w:val="20"/>
        </w:rPr>
        <w:t> </w:t>
      </w:r>
      <w:r>
        <w:rPr>
          <w:color w:val="231F1F"/>
          <w:spacing w:val="-2"/>
          <w:w w:val="110"/>
          <w:sz w:val="20"/>
        </w:rPr>
        <w:t>con</w:t>
      </w:r>
      <w:r>
        <w:rPr>
          <w:color w:val="231F1F"/>
          <w:spacing w:val="-5"/>
          <w:w w:val="110"/>
          <w:sz w:val="20"/>
        </w:rPr>
        <w:t> </w:t>
      </w:r>
      <w:r>
        <w:rPr>
          <w:color w:val="231F1F"/>
          <w:spacing w:val="-2"/>
          <w:w w:val="110"/>
          <w:sz w:val="20"/>
        </w:rPr>
        <w:t>piscina</w:t>
      </w:r>
      <w:r>
        <w:rPr>
          <w:color w:val="231F1F"/>
          <w:spacing w:val="-5"/>
          <w:w w:val="110"/>
          <w:sz w:val="20"/>
        </w:rPr>
        <w:t> </w:t>
      </w:r>
      <w:r>
        <w:rPr>
          <w:color w:val="231F1F"/>
          <w:spacing w:val="-2"/>
          <w:w w:val="110"/>
          <w:sz w:val="20"/>
        </w:rPr>
        <w:t>para</w:t>
      </w:r>
      <w:r>
        <w:rPr>
          <w:color w:val="231F1F"/>
          <w:spacing w:val="-5"/>
          <w:w w:val="110"/>
          <w:sz w:val="20"/>
        </w:rPr>
        <w:t> </w:t>
      </w:r>
      <w:r>
        <w:rPr>
          <w:color w:val="231F1F"/>
          <w:spacing w:val="-2"/>
          <w:w w:val="110"/>
          <w:sz w:val="20"/>
        </w:rPr>
        <w:t>partos.</w:t>
      </w:r>
      <w:r>
        <w:rPr>
          <w:color w:val="231F1F"/>
          <w:spacing w:val="-8"/>
          <w:w w:val="110"/>
          <w:sz w:val="20"/>
        </w:rPr>
        <w:t> </w:t>
      </w:r>
      <w:r>
        <w:rPr>
          <w:color w:val="231F1F"/>
          <w:spacing w:val="-2"/>
          <w:w w:val="110"/>
          <w:sz w:val="20"/>
        </w:rPr>
        <w:t>In:</w:t>
      </w:r>
      <w:r>
        <w:rPr>
          <w:color w:val="231F1F"/>
          <w:spacing w:val="-9"/>
          <w:w w:val="110"/>
          <w:sz w:val="20"/>
        </w:rPr>
        <w:t> </w:t>
      </w:r>
      <w:r>
        <w:rPr>
          <w:color w:val="231F1F"/>
          <w:spacing w:val="-2"/>
          <w:w w:val="110"/>
          <w:sz w:val="20"/>
        </w:rPr>
        <w:t>Vida</w:t>
      </w:r>
      <w:r>
        <w:rPr>
          <w:color w:val="231F1F"/>
          <w:spacing w:val="-5"/>
          <w:w w:val="110"/>
          <w:sz w:val="20"/>
        </w:rPr>
        <w:t> </w:t>
      </w:r>
      <w:r>
        <w:rPr>
          <w:color w:val="231F1F"/>
          <w:spacing w:val="-2"/>
          <w:w w:val="110"/>
          <w:sz w:val="20"/>
        </w:rPr>
        <w:t>fetal</w:t>
      </w:r>
      <w:r>
        <w:rPr>
          <w:color w:val="231F1F"/>
          <w:spacing w:val="-5"/>
          <w:w w:val="110"/>
          <w:sz w:val="20"/>
        </w:rPr>
        <w:t> </w:t>
      </w:r>
      <w:r>
        <w:rPr>
          <w:color w:val="231F1F"/>
          <w:spacing w:val="-2"/>
          <w:w w:val="110"/>
          <w:sz w:val="20"/>
        </w:rPr>
        <w:t>enyefdlh, </w:t>
      </w:r>
      <w:r>
        <w:rPr>
          <w:color w:val="231F1F"/>
          <w:w w:val="110"/>
          <w:sz w:val="20"/>
        </w:rPr>
        <w:t>editor. Obsare S.L. 2007.</w:t>
      </w:r>
    </w:p>
    <w:p>
      <w:pPr>
        <w:pStyle w:val="ListParagraph"/>
        <w:numPr>
          <w:ilvl w:val="0"/>
          <w:numId w:val="109"/>
        </w:numPr>
        <w:tabs>
          <w:tab w:pos="793" w:val="left" w:leader="none"/>
          <w:tab w:pos="797" w:val="left" w:leader="none"/>
        </w:tabs>
        <w:spacing w:line="225" w:lineRule="auto" w:before="163" w:after="0"/>
        <w:ind w:left="797" w:right="109" w:hanging="502"/>
        <w:jc w:val="both"/>
        <w:rPr>
          <w:sz w:val="20"/>
        </w:rPr>
      </w:pPr>
      <w:r>
        <w:rPr>
          <w:color w:val="231F1F"/>
          <w:w w:val="110"/>
          <w:sz w:val="20"/>
        </w:rPr>
        <w:t>Cluett</w:t>
      </w:r>
      <w:r>
        <w:rPr>
          <w:color w:val="231F1F"/>
          <w:w w:val="110"/>
          <w:sz w:val="20"/>
        </w:rPr>
        <w:t> ER,</w:t>
      </w:r>
      <w:r>
        <w:rPr>
          <w:color w:val="231F1F"/>
          <w:w w:val="110"/>
          <w:sz w:val="20"/>
        </w:rPr>
        <w:t> Nikodem</w:t>
      </w:r>
      <w:r>
        <w:rPr>
          <w:color w:val="231F1F"/>
          <w:w w:val="110"/>
          <w:sz w:val="20"/>
        </w:rPr>
        <w:t> VC,</w:t>
      </w:r>
      <w:r>
        <w:rPr>
          <w:color w:val="231F1F"/>
          <w:w w:val="110"/>
          <w:sz w:val="20"/>
        </w:rPr>
        <w:t> McCandlish</w:t>
      </w:r>
      <w:r>
        <w:rPr>
          <w:color w:val="231F1F"/>
          <w:w w:val="110"/>
          <w:sz w:val="20"/>
        </w:rPr>
        <w:t> RE,</w:t>
      </w:r>
      <w:r>
        <w:rPr>
          <w:color w:val="231F1F"/>
          <w:w w:val="110"/>
          <w:sz w:val="20"/>
        </w:rPr>
        <w:t> Burns</w:t>
      </w:r>
      <w:r>
        <w:rPr>
          <w:color w:val="231F1F"/>
          <w:w w:val="110"/>
          <w:sz w:val="20"/>
        </w:rPr>
        <w:t> EE.</w:t>
      </w:r>
      <w:r>
        <w:rPr>
          <w:color w:val="231F1F"/>
          <w:w w:val="110"/>
          <w:sz w:val="20"/>
        </w:rPr>
        <w:t> Inmersion</w:t>
      </w:r>
      <w:r>
        <w:rPr>
          <w:color w:val="231F1F"/>
          <w:w w:val="110"/>
          <w:sz w:val="20"/>
        </w:rPr>
        <w:t> in</w:t>
      </w:r>
      <w:r>
        <w:rPr>
          <w:color w:val="231F1F"/>
          <w:w w:val="110"/>
          <w:sz w:val="20"/>
        </w:rPr>
        <w:t> water</w:t>
      </w:r>
      <w:r>
        <w:rPr>
          <w:color w:val="231F1F"/>
          <w:w w:val="110"/>
          <w:sz w:val="20"/>
        </w:rPr>
        <w:t> in</w:t>
      </w:r>
      <w:r>
        <w:rPr>
          <w:color w:val="231F1F"/>
          <w:w w:val="110"/>
          <w:sz w:val="20"/>
        </w:rPr>
        <w:t> pregnancy, labour</w:t>
      </w:r>
      <w:r>
        <w:rPr>
          <w:color w:val="231F1F"/>
          <w:spacing w:val="-12"/>
          <w:w w:val="110"/>
          <w:sz w:val="20"/>
        </w:rPr>
        <w:t> </w:t>
      </w:r>
      <w:r>
        <w:rPr>
          <w:color w:val="231F1F"/>
          <w:w w:val="110"/>
          <w:sz w:val="20"/>
        </w:rPr>
        <w:t>and</w:t>
      </w:r>
      <w:r>
        <w:rPr>
          <w:color w:val="231F1F"/>
          <w:spacing w:val="-12"/>
          <w:w w:val="110"/>
          <w:sz w:val="20"/>
        </w:rPr>
        <w:t> </w:t>
      </w:r>
      <w:r>
        <w:rPr>
          <w:color w:val="231F1F"/>
          <w:w w:val="110"/>
          <w:sz w:val="20"/>
        </w:rPr>
        <w:t>birth.</w:t>
      </w:r>
      <w:r>
        <w:rPr>
          <w:color w:val="231F1F"/>
          <w:spacing w:val="-12"/>
          <w:w w:val="110"/>
          <w:sz w:val="20"/>
        </w:rPr>
        <w:t> </w:t>
      </w:r>
      <w:r>
        <w:rPr>
          <w:color w:val="231F1F"/>
          <w:w w:val="110"/>
          <w:sz w:val="20"/>
        </w:rPr>
        <w:t>(Cochrane</w:t>
      </w:r>
      <w:r>
        <w:rPr>
          <w:color w:val="231F1F"/>
          <w:spacing w:val="-12"/>
          <w:w w:val="110"/>
          <w:sz w:val="20"/>
        </w:rPr>
        <w:t> </w:t>
      </w:r>
      <w:r>
        <w:rPr>
          <w:color w:val="231F1F"/>
          <w:w w:val="110"/>
          <w:sz w:val="20"/>
        </w:rPr>
        <w:t>Review).</w:t>
      </w:r>
      <w:r>
        <w:rPr>
          <w:color w:val="231F1F"/>
          <w:spacing w:val="-12"/>
          <w:w w:val="110"/>
          <w:sz w:val="20"/>
        </w:rPr>
        <w:t> </w:t>
      </w:r>
      <w:r>
        <w:rPr>
          <w:color w:val="231F1F"/>
          <w:w w:val="110"/>
          <w:sz w:val="20"/>
        </w:rPr>
        <w:t>En:</w:t>
      </w:r>
      <w:r>
        <w:rPr>
          <w:color w:val="231F1F"/>
          <w:spacing w:val="-12"/>
          <w:w w:val="110"/>
          <w:sz w:val="20"/>
        </w:rPr>
        <w:t> </w:t>
      </w:r>
      <w:r>
        <w:rPr>
          <w:color w:val="231F1F"/>
          <w:w w:val="110"/>
          <w:sz w:val="20"/>
        </w:rPr>
        <w:t>Cochran</w:t>
      </w:r>
      <w:r>
        <w:rPr>
          <w:color w:val="231F1F"/>
          <w:spacing w:val="-11"/>
          <w:w w:val="110"/>
          <w:sz w:val="20"/>
        </w:rPr>
        <w:t> </w:t>
      </w:r>
      <w:r>
        <w:rPr>
          <w:color w:val="231F1F"/>
          <w:w w:val="110"/>
          <w:sz w:val="20"/>
        </w:rPr>
        <w:t>Database</w:t>
      </w:r>
      <w:r>
        <w:rPr>
          <w:color w:val="231F1F"/>
          <w:spacing w:val="-11"/>
          <w:w w:val="110"/>
          <w:sz w:val="20"/>
        </w:rPr>
        <w:t> </w:t>
      </w:r>
      <w:r>
        <w:rPr>
          <w:color w:val="231F1F"/>
          <w:w w:val="110"/>
          <w:sz w:val="20"/>
        </w:rPr>
        <w:t>of</w:t>
      </w:r>
      <w:r>
        <w:rPr>
          <w:color w:val="231F1F"/>
          <w:spacing w:val="-11"/>
          <w:w w:val="110"/>
          <w:sz w:val="20"/>
        </w:rPr>
        <w:t> </w:t>
      </w:r>
      <w:r>
        <w:rPr>
          <w:color w:val="231F1F"/>
          <w:w w:val="110"/>
          <w:sz w:val="20"/>
        </w:rPr>
        <w:t>Systematic</w:t>
      </w:r>
      <w:r>
        <w:rPr>
          <w:color w:val="231F1F"/>
          <w:spacing w:val="-11"/>
          <w:w w:val="110"/>
          <w:sz w:val="20"/>
        </w:rPr>
        <w:t> </w:t>
      </w:r>
      <w:r>
        <w:rPr>
          <w:color w:val="231F1F"/>
          <w:w w:val="110"/>
          <w:sz w:val="20"/>
        </w:rPr>
        <w:t>Reviews,</w:t>
      </w:r>
      <w:r>
        <w:rPr>
          <w:color w:val="231F1F"/>
          <w:spacing w:val="-12"/>
          <w:w w:val="110"/>
          <w:sz w:val="20"/>
        </w:rPr>
        <w:t> </w:t>
      </w:r>
      <w:r>
        <w:rPr>
          <w:color w:val="231F1F"/>
          <w:w w:val="110"/>
          <w:sz w:val="20"/>
        </w:rPr>
        <w:t>Issue</w:t>
      </w:r>
      <w:r>
        <w:rPr>
          <w:color w:val="231F1F"/>
          <w:spacing w:val="-11"/>
          <w:w w:val="110"/>
          <w:sz w:val="20"/>
        </w:rPr>
        <w:t> </w:t>
      </w:r>
      <w:r>
        <w:rPr>
          <w:color w:val="231F1F"/>
          <w:w w:val="110"/>
          <w:sz w:val="20"/>
        </w:rPr>
        <w:t>2 2004;Oxford: Update Software.</w:t>
      </w:r>
    </w:p>
    <w:p>
      <w:pPr>
        <w:pStyle w:val="ListParagraph"/>
        <w:numPr>
          <w:ilvl w:val="0"/>
          <w:numId w:val="109"/>
        </w:numPr>
        <w:tabs>
          <w:tab w:pos="793" w:val="left" w:leader="none"/>
          <w:tab w:pos="797" w:val="left" w:leader="none"/>
        </w:tabs>
        <w:spacing w:line="225" w:lineRule="auto" w:before="177" w:after="0"/>
        <w:ind w:left="797" w:right="125" w:hanging="502"/>
        <w:jc w:val="both"/>
        <w:rPr>
          <w:sz w:val="20"/>
        </w:rPr>
      </w:pPr>
      <w:r>
        <w:rPr>
          <w:color w:val="231F1F"/>
          <w:spacing w:val="-2"/>
          <w:w w:val="110"/>
          <w:sz w:val="20"/>
        </w:rPr>
        <w:t>Cluett</w:t>
      </w:r>
      <w:r>
        <w:rPr>
          <w:color w:val="231F1F"/>
          <w:spacing w:val="-7"/>
          <w:w w:val="110"/>
          <w:sz w:val="20"/>
        </w:rPr>
        <w:t> </w:t>
      </w:r>
      <w:r>
        <w:rPr>
          <w:color w:val="231F1F"/>
          <w:spacing w:val="-2"/>
          <w:w w:val="110"/>
          <w:sz w:val="20"/>
        </w:rPr>
        <w:t>ER,</w:t>
      </w:r>
      <w:r>
        <w:rPr>
          <w:color w:val="231F1F"/>
          <w:spacing w:val="-7"/>
          <w:w w:val="110"/>
          <w:sz w:val="20"/>
        </w:rPr>
        <w:t> </w:t>
      </w:r>
      <w:r>
        <w:rPr>
          <w:color w:val="231F1F"/>
          <w:spacing w:val="-2"/>
          <w:w w:val="110"/>
          <w:sz w:val="20"/>
        </w:rPr>
        <w:t>Pickering</w:t>
      </w:r>
      <w:r>
        <w:rPr>
          <w:color w:val="231F1F"/>
          <w:spacing w:val="-6"/>
          <w:w w:val="110"/>
          <w:sz w:val="20"/>
        </w:rPr>
        <w:t> </w:t>
      </w:r>
      <w:r>
        <w:rPr>
          <w:color w:val="231F1F"/>
          <w:spacing w:val="-2"/>
          <w:w w:val="110"/>
          <w:sz w:val="20"/>
        </w:rPr>
        <w:t>RM,</w:t>
      </w:r>
      <w:r>
        <w:rPr>
          <w:color w:val="231F1F"/>
          <w:spacing w:val="-7"/>
          <w:w w:val="110"/>
          <w:sz w:val="20"/>
        </w:rPr>
        <w:t> </w:t>
      </w:r>
      <w:r>
        <w:rPr>
          <w:color w:val="231F1F"/>
          <w:spacing w:val="-2"/>
          <w:w w:val="110"/>
          <w:sz w:val="20"/>
        </w:rPr>
        <w:t>Getliffe</w:t>
      </w:r>
      <w:r>
        <w:rPr>
          <w:color w:val="231F1F"/>
          <w:spacing w:val="-5"/>
          <w:w w:val="110"/>
          <w:sz w:val="20"/>
        </w:rPr>
        <w:t> </w:t>
      </w:r>
      <w:r>
        <w:rPr>
          <w:color w:val="231F1F"/>
          <w:spacing w:val="-2"/>
          <w:w w:val="110"/>
          <w:sz w:val="20"/>
        </w:rPr>
        <w:t>K,</w:t>
      </w:r>
      <w:r>
        <w:rPr>
          <w:color w:val="231F1F"/>
          <w:spacing w:val="-7"/>
          <w:w w:val="110"/>
          <w:sz w:val="20"/>
        </w:rPr>
        <w:t> </w:t>
      </w:r>
      <w:r>
        <w:rPr>
          <w:color w:val="231F1F"/>
          <w:spacing w:val="-2"/>
          <w:w w:val="110"/>
          <w:sz w:val="20"/>
        </w:rPr>
        <w:t>St</w:t>
      </w:r>
      <w:r>
        <w:rPr>
          <w:color w:val="231F1F"/>
          <w:spacing w:val="-4"/>
          <w:w w:val="110"/>
          <w:sz w:val="20"/>
        </w:rPr>
        <w:t> </w:t>
      </w:r>
      <w:r>
        <w:rPr>
          <w:color w:val="231F1F"/>
          <w:spacing w:val="-2"/>
          <w:w w:val="110"/>
          <w:sz w:val="20"/>
        </w:rPr>
        <w:t>George</w:t>
      </w:r>
      <w:r>
        <w:rPr>
          <w:color w:val="231F1F"/>
          <w:spacing w:val="-5"/>
          <w:w w:val="110"/>
          <w:sz w:val="20"/>
        </w:rPr>
        <w:t> </w:t>
      </w:r>
      <w:r>
        <w:rPr>
          <w:color w:val="231F1F"/>
          <w:spacing w:val="-2"/>
          <w:w w:val="110"/>
          <w:sz w:val="20"/>
        </w:rPr>
        <w:t>Saunders</w:t>
      </w:r>
      <w:r>
        <w:rPr>
          <w:color w:val="231F1F"/>
          <w:spacing w:val="-5"/>
          <w:w w:val="110"/>
          <w:sz w:val="20"/>
        </w:rPr>
        <w:t> </w:t>
      </w:r>
      <w:r>
        <w:rPr>
          <w:color w:val="231F1F"/>
          <w:spacing w:val="-2"/>
          <w:w w:val="110"/>
          <w:sz w:val="20"/>
        </w:rPr>
        <w:t>NJ.</w:t>
      </w:r>
      <w:r>
        <w:rPr>
          <w:color w:val="231F1F"/>
          <w:spacing w:val="-7"/>
          <w:w w:val="110"/>
          <w:sz w:val="20"/>
        </w:rPr>
        <w:t> </w:t>
      </w:r>
      <w:r>
        <w:rPr>
          <w:color w:val="231F1F"/>
          <w:spacing w:val="-2"/>
          <w:w w:val="110"/>
          <w:sz w:val="20"/>
        </w:rPr>
        <w:t>Randomised</w:t>
      </w:r>
      <w:r>
        <w:rPr>
          <w:color w:val="231F1F"/>
          <w:spacing w:val="-5"/>
          <w:w w:val="110"/>
          <w:sz w:val="20"/>
        </w:rPr>
        <w:t> </w:t>
      </w:r>
      <w:r>
        <w:rPr>
          <w:color w:val="231F1F"/>
          <w:spacing w:val="-2"/>
          <w:w w:val="110"/>
          <w:sz w:val="20"/>
        </w:rPr>
        <w:t>controlled</w:t>
      </w:r>
      <w:r>
        <w:rPr>
          <w:color w:val="231F1F"/>
          <w:spacing w:val="-6"/>
          <w:w w:val="110"/>
          <w:sz w:val="20"/>
        </w:rPr>
        <w:t> </w:t>
      </w:r>
      <w:r>
        <w:rPr>
          <w:color w:val="231F1F"/>
          <w:spacing w:val="-2"/>
          <w:w w:val="110"/>
          <w:sz w:val="20"/>
        </w:rPr>
        <w:t>trial</w:t>
      </w:r>
      <w:r>
        <w:rPr>
          <w:color w:val="231F1F"/>
          <w:spacing w:val="-4"/>
          <w:w w:val="110"/>
          <w:sz w:val="20"/>
        </w:rPr>
        <w:t> </w:t>
      </w:r>
      <w:r>
        <w:rPr>
          <w:color w:val="231F1F"/>
          <w:spacing w:val="-2"/>
          <w:w w:val="110"/>
          <w:sz w:val="20"/>
        </w:rPr>
        <w:t>of </w:t>
      </w:r>
      <w:r>
        <w:rPr>
          <w:color w:val="231F1F"/>
          <w:w w:val="110"/>
          <w:sz w:val="20"/>
        </w:rPr>
        <w:t>labouring</w:t>
      </w:r>
      <w:r>
        <w:rPr>
          <w:color w:val="231F1F"/>
          <w:spacing w:val="-5"/>
          <w:w w:val="110"/>
          <w:sz w:val="20"/>
        </w:rPr>
        <w:t> </w:t>
      </w:r>
      <w:r>
        <w:rPr>
          <w:color w:val="231F1F"/>
          <w:w w:val="110"/>
          <w:sz w:val="20"/>
        </w:rPr>
        <w:t>in</w:t>
      </w:r>
      <w:r>
        <w:rPr>
          <w:color w:val="231F1F"/>
          <w:spacing w:val="-5"/>
          <w:w w:val="110"/>
          <w:sz w:val="20"/>
        </w:rPr>
        <w:t> </w:t>
      </w:r>
      <w:r>
        <w:rPr>
          <w:color w:val="231F1F"/>
          <w:w w:val="110"/>
          <w:sz w:val="20"/>
        </w:rPr>
        <w:t>water</w:t>
      </w:r>
      <w:r>
        <w:rPr>
          <w:color w:val="231F1F"/>
          <w:spacing w:val="-5"/>
          <w:w w:val="110"/>
          <w:sz w:val="20"/>
        </w:rPr>
        <w:t> </w:t>
      </w:r>
      <w:r>
        <w:rPr>
          <w:color w:val="231F1F"/>
          <w:w w:val="110"/>
          <w:sz w:val="20"/>
        </w:rPr>
        <w:t>compared</w:t>
      </w:r>
      <w:r>
        <w:rPr>
          <w:color w:val="231F1F"/>
          <w:spacing w:val="-6"/>
          <w:w w:val="110"/>
          <w:sz w:val="20"/>
        </w:rPr>
        <w:t> </w:t>
      </w:r>
      <w:r>
        <w:rPr>
          <w:color w:val="231F1F"/>
          <w:w w:val="110"/>
          <w:sz w:val="20"/>
        </w:rPr>
        <w:t>with</w:t>
      </w:r>
      <w:r>
        <w:rPr>
          <w:color w:val="231F1F"/>
          <w:spacing w:val="-6"/>
          <w:w w:val="110"/>
          <w:sz w:val="20"/>
        </w:rPr>
        <w:t> </w:t>
      </w:r>
      <w:r>
        <w:rPr>
          <w:color w:val="231F1F"/>
          <w:w w:val="110"/>
          <w:sz w:val="20"/>
        </w:rPr>
        <w:t>standard</w:t>
      </w:r>
      <w:r>
        <w:rPr>
          <w:color w:val="231F1F"/>
          <w:spacing w:val="-6"/>
          <w:w w:val="110"/>
          <w:sz w:val="20"/>
        </w:rPr>
        <w:t> </w:t>
      </w:r>
      <w:r>
        <w:rPr>
          <w:color w:val="231F1F"/>
          <w:w w:val="110"/>
          <w:sz w:val="20"/>
        </w:rPr>
        <w:t>of</w:t>
      </w:r>
      <w:r>
        <w:rPr>
          <w:color w:val="231F1F"/>
          <w:spacing w:val="-5"/>
          <w:w w:val="110"/>
          <w:sz w:val="20"/>
        </w:rPr>
        <w:t> </w:t>
      </w:r>
      <w:r>
        <w:rPr>
          <w:color w:val="231F1F"/>
          <w:w w:val="110"/>
          <w:sz w:val="20"/>
        </w:rPr>
        <w:t>augmentation</w:t>
      </w:r>
      <w:r>
        <w:rPr>
          <w:color w:val="231F1F"/>
          <w:spacing w:val="-6"/>
          <w:w w:val="110"/>
          <w:sz w:val="20"/>
        </w:rPr>
        <w:t> </w:t>
      </w:r>
      <w:r>
        <w:rPr>
          <w:color w:val="231F1F"/>
          <w:w w:val="110"/>
          <w:sz w:val="20"/>
        </w:rPr>
        <w:t>for</w:t>
      </w:r>
      <w:r>
        <w:rPr>
          <w:color w:val="231F1F"/>
          <w:spacing w:val="-5"/>
          <w:w w:val="110"/>
          <w:sz w:val="20"/>
        </w:rPr>
        <w:t> </w:t>
      </w:r>
      <w:r>
        <w:rPr>
          <w:color w:val="231F1F"/>
          <w:w w:val="110"/>
          <w:sz w:val="20"/>
        </w:rPr>
        <w:t>management</w:t>
      </w:r>
      <w:r>
        <w:rPr>
          <w:color w:val="231F1F"/>
          <w:spacing w:val="-4"/>
          <w:w w:val="110"/>
          <w:sz w:val="20"/>
        </w:rPr>
        <w:t> </w:t>
      </w:r>
      <w:r>
        <w:rPr>
          <w:color w:val="231F1F"/>
          <w:w w:val="110"/>
          <w:sz w:val="20"/>
        </w:rPr>
        <w:t>of</w:t>
      </w:r>
      <w:r>
        <w:rPr>
          <w:color w:val="231F1F"/>
          <w:spacing w:val="-5"/>
          <w:w w:val="110"/>
          <w:sz w:val="20"/>
        </w:rPr>
        <w:t> </w:t>
      </w:r>
      <w:r>
        <w:rPr>
          <w:color w:val="231F1F"/>
          <w:w w:val="110"/>
          <w:sz w:val="20"/>
        </w:rPr>
        <w:t>dystocia</w:t>
      </w:r>
      <w:r>
        <w:rPr>
          <w:color w:val="231F1F"/>
          <w:spacing w:val="-5"/>
          <w:w w:val="110"/>
          <w:sz w:val="20"/>
        </w:rPr>
        <w:t> </w:t>
      </w:r>
      <w:r>
        <w:rPr>
          <w:color w:val="231F1F"/>
          <w:w w:val="110"/>
          <w:sz w:val="20"/>
        </w:rPr>
        <w:t>in first stage of labour. BMJ 2004;328(7435):314-8.</w:t>
      </w:r>
    </w:p>
    <w:p>
      <w:pPr>
        <w:pStyle w:val="ListParagraph"/>
        <w:numPr>
          <w:ilvl w:val="0"/>
          <w:numId w:val="109"/>
        </w:numPr>
        <w:tabs>
          <w:tab w:pos="794" w:val="left" w:leader="none"/>
          <w:tab w:pos="798" w:val="left" w:leader="none"/>
        </w:tabs>
        <w:spacing w:line="220" w:lineRule="auto" w:before="176" w:after="0"/>
        <w:ind w:left="798" w:right="353" w:hanging="502"/>
        <w:jc w:val="left"/>
        <w:rPr>
          <w:sz w:val="20"/>
        </w:rPr>
      </w:pPr>
      <w:r>
        <w:rPr>
          <w:color w:val="231F1F"/>
          <w:w w:val="105"/>
          <w:sz w:val="20"/>
        </w:rPr>
        <w:t>Eriksson</w:t>
      </w:r>
      <w:r>
        <w:rPr>
          <w:color w:val="231F1F"/>
          <w:spacing w:val="-6"/>
          <w:w w:val="105"/>
          <w:sz w:val="20"/>
        </w:rPr>
        <w:t> </w:t>
      </w:r>
      <w:r>
        <w:rPr>
          <w:color w:val="231F1F"/>
          <w:w w:val="105"/>
          <w:sz w:val="20"/>
        </w:rPr>
        <w:t>M,</w:t>
      </w:r>
      <w:r>
        <w:rPr>
          <w:color w:val="231F1F"/>
          <w:spacing w:val="-9"/>
          <w:w w:val="105"/>
          <w:sz w:val="20"/>
        </w:rPr>
        <w:t> </w:t>
      </w:r>
      <w:r>
        <w:rPr>
          <w:color w:val="231F1F"/>
          <w:w w:val="105"/>
          <w:sz w:val="20"/>
        </w:rPr>
        <w:t>Mattsson</w:t>
      </w:r>
      <w:r>
        <w:rPr>
          <w:color w:val="231F1F"/>
          <w:spacing w:val="-6"/>
          <w:w w:val="105"/>
          <w:sz w:val="20"/>
        </w:rPr>
        <w:t> </w:t>
      </w:r>
      <w:r>
        <w:rPr>
          <w:color w:val="231F1F"/>
          <w:w w:val="105"/>
          <w:sz w:val="20"/>
        </w:rPr>
        <w:t>L,</w:t>
      </w:r>
      <w:r>
        <w:rPr>
          <w:color w:val="231F1F"/>
          <w:spacing w:val="-9"/>
          <w:w w:val="105"/>
          <w:sz w:val="20"/>
        </w:rPr>
        <w:t> </w:t>
      </w:r>
      <w:r>
        <w:rPr>
          <w:color w:val="231F1F"/>
          <w:w w:val="105"/>
          <w:sz w:val="20"/>
        </w:rPr>
        <w:t>L.L.</w:t>
      </w:r>
      <w:r>
        <w:rPr>
          <w:color w:val="231F1F"/>
          <w:spacing w:val="-9"/>
          <w:w w:val="105"/>
          <w:sz w:val="20"/>
        </w:rPr>
        <w:t> </w:t>
      </w:r>
      <w:r>
        <w:rPr>
          <w:color w:val="231F1F"/>
          <w:w w:val="105"/>
          <w:sz w:val="20"/>
        </w:rPr>
        <w:t>Early</w:t>
      </w:r>
      <w:r>
        <w:rPr>
          <w:color w:val="231F1F"/>
          <w:spacing w:val="-6"/>
          <w:w w:val="105"/>
          <w:sz w:val="20"/>
        </w:rPr>
        <w:t> </w:t>
      </w:r>
      <w:r>
        <w:rPr>
          <w:color w:val="231F1F"/>
          <w:w w:val="105"/>
          <w:sz w:val="20"/>
        </w:rPr>
        <w:t>or</w:t>
      </w:r>
      <w:r>
        <w:rPr>
          <w:color w:val="231F1F"/>
          <w:spacing w:val="-5"/>
          <w:w w:val="105"/>
          <w:sz w:val="20"/>
        </w:rPr>
        <w:t> </w:t>
      </w:r>
      <w:r>
        <w:rPr>
          <w:color w:val="231F1F"/>
          <w:w w:val="105"/>
          <w:sz w:val="20"/>
        </w:rPr>
        <w:t>late</w:t>
      </w:r>
      <w:r>
        <w:rPr>
          <w:color w:val="231F1F"/>
          <w:spacing w:val="-5"/>
          <w:w w:val="105"/>
          <w:sz w:val="20"/>
        </w:rPr>
        <w:t> </w:t>
      </w:r>
      <w:r>
        <w:rPr>
          <w:color w:val="231F1F"/>
          <w:w w:val="105"/>
          <w:sz w:val="20"/>
        </w:rPr>
        <w:t>bath</w:t>
      </w:r>
      <w:r>
        <w:rPr>
          <w:color w:val="231F1F"/>
          <w:spacing w:val="-6"/>
          <w:w w:val="105"/>
          <w:sz w:val="20"/>
        </w:rPr>
        <w:t> </w:t>
      </w:r>
      <w:r>
        <w:rPr>
          <w:color w:val="231F1F"/>
          <w:w w:val="105"/>
          <w:sz w:val="20"/>
        </w:rPr>
        <w:t>during</w:t>
      </w:r>
      <w:r>
        <w:rPr>
          <w:color w:val="231F1F"/>
          <w:spacing w:val="-6"/>
          <w:w w:val="105"/>
          <w:sz w:val="20"/>
        </w:rPr>
        <w:t> </w:t>
      </w:r>
      <w:r>
        <w:rPr>
          <w:color w:val="231F1F"/>
          <w:w w:val="105"/>
          <w:sz w:val="20"/>
        </w:rPr>
        <w:t>the</w:t>
      </w:r>
      <w:r>
        <w:rPr>
          <w:color w:val="231F1F"/>
          <w:spacing w:val="-6"/>
          <w:w w:val="105"/>
          <w:sz w:val="20"/>
        </w:rPr>
        <w:t> </w:t>
      </w:r>
      <w:r>
        <w:rPr>
          <w:color w:val="231F1F"/>
          <w:w w:val="105"/>
          <w:sz w:val="20"/>
        </w:rPr>
        <w:t>first</w:t>
      </w:r>
      <w:r>
        <w:rPr>
          <w:color w:val="231F1F"/>
          <w:spacing w:val="-5"/>
          <w:w w:val="105"/>
          <w:sz w:val="20"/>
        </w:rPr>
        <w:t> </w:t>
      </w:r>
      <w:r>
        <w:rPr>
          <w:color w:val="231F1F"/>
          <w:w w:val="105"/>
          <w:sz w:val="20"/>
        </w:rPr>
        <w:t>stage</w:t>
      </w:r>
      <w:r>
        <w:rPr>
          <w:color w:val="231F1F"/>
          <w:spacing w:val="-6"/>
          <w:w w:val="105"/>
          <w:sz w:val="20"/>
        </w:rPr>
        <w:t> </w:t>
      </w:r>
      <w:r>
        <w:rPr>
          <w:color w:val="231F1F"/>
          <w:w w:val="105"/>
          <w:sz w:val="20"/>
        </w:rPr>
        <w:t>of</w:t>
      </w:r>
      <w:r>
        <w:rPr>
          <w:color w:val="231F1F"/>
          <w:spacing w:val="-5"/>
          <w:w w:val="105"/>
          <w:sz w:val="20"/>
        </w:rPr>
        <w:t> </w:t>
      </w:r>
      <w:r>
        <w:rPr>
          <w:color w:val="231F1F"/>
          <w:w w:val="105"/>
          <w:sz w:val="20"/>
        </w:rPr>
        <w:t>labour:</w:t>
      </w:r>
      <w:r>
        <w:rPr>
          <w:color w:val="231F1F"/>
          <w:spacing w:val="-10"/>
          <w:w w:val="105"/>
          <w:sz w:val="20"/>
        </w:rPr>
        <w:t> </w:t>
      </w:r>
      <w:r>
        <w:rPr>
          <w:color w:val="231F1F"/>
          <w:w w:val="105"/>
          <w:sz w:val="20"/>
        </w:rPr>
        <w:t>a</w:t>
      </w:r>
      <w:r>
        <w:rPr>
          <w:color w:val="231F1F"/>
          <w:spacing w:val="-6"/>
          <w:w w:val="105"/>
          <w:sz w:val="20"/>
        </w:rPr>
        <w:t> </w:t>
      </w:r>
      <w:r>
        <w:rPr>
          <w:color w:val="231F1F"/>
          <w:w w:val="105"/>
          <w:sz w:val="20"/>
        </w:rPr>
        <w:t>randomised study of 200 women. Midwifery 1997;13(3):146-8.</w:t>
      </w:r>
    </w:p>
    <w:p>
      <w:pPr>
        <w:pStyle w:val="ListParagraph"/>
        <w:numPr>
          <w:ilvl w:val="0"/>
          <w:numId w:val="109"/>
        </w:numPr>
        <w:tabs>
          <w:tab w:pos="793" w:val="left" w:leader="none"/>
          <w:tab w:pos="797" w:val="left" w:leader="none"/>
        </w:tabs>
        <w:spacing w:line="220" w:lineRule="auto" w:before="168" w:after="0"/>
        <w:ind w:left="797" w:right="283" w:hanging="502"/>
        <w:jc w:val="left"/>
        <w:rPr>
          <w:sz w:val="20"/>
        </w:rPr>
      </w:pPr>
      <w:r>
        <w:rPr>
          <w:color w:val="231F1F"/>
          <w:w w:val="110"/>
          <w:sz w:val="20"/>
        </w:rPr>
        <w:t>Huntley</w:t>
      </w:r>
      <w:r>
        <w:rPr>
          <w:color w:val="231F1F"/>
          <w:spacing w:val="-8"/>
          <w:w w:val="110"/>
          <w:sz w:val="20"/>
        </w:rPr>
        <w:t> </w:t>
      </w:r>
      <w:r>
        <w:rPr>
          <w:color w:val="231F1F"/>
          <w:w w:val="110"/>
          <w:sz w:val="20"/>
        </w:rPr>
        <w:t>AL,</w:t>
      </w:r>
      <w:r>
        <w:rPr>
          <w:color w:val="231F1F"/>
          <w:spacing w:val="-8"/>
          <w:w w:val="110"/>
          <w:sz w:val="20"/>
        </w:rPr>
        <w:t> </w:t>
      </w:r>
      <w:r>
        <w:rPr>
          <w:color w:val="231F1F"/>
          <w:w w:val="110"/>
          <w:sz w:val="20"/>
        </w:rPr>
        <w:t>Coon</w:t>
      </w:r>
      <w:r>
        <w:rPr>
          <w:color w:val="231F1F"/>
          <w:spacing w:val="-6"/>
          <w:w w:val="110"/>
          <w:sz w:val="20"/>
        </w:rPr>
        <w:t> </w:t>
      </w:r>
      <w:r>
        <w:rPr>
          <w:color w:val="231F1F"/>
          <w:w w:val="110"/>
          <w:sz w:val="20"/>
        </w:rPr>
        <w:t>JT,</w:t>
      </w:r>
      <w:r>
        <w:rPr>
          <w:color w:val="231F1F"/>
          <w:spacing w:val="-8"/>
          <w:w w:val="110"/>
          <w:sz w:val="20"/>
        </w:rPr>
        <w:t> </w:t>
      </w:r>
      <w:r>
        <w:rPr>
          <w:color w:val="231F1F"/>
          <w:w w:val="110"/>
          <w:sz w:val="20"/>
        </w:rPr>
        <w:t>Ernst</w:t>
      </w:r>
      <w:r>
        <w:rPr>
          <w:color w:val="231F1F"/>
          <w:spacing w:val="-6"/>
          <w:w w:val="110"/>
          <w:sz w:val="20"/>
        </w:rPr>
        <w:t> </w:t>
      </w:r>
      <w:r>
        <w:rPr>
          <w:color w:val="231F1F"/>
          <w:w w:val="110"/>
          <w:sz w:val="20"/>
        </w:rPr>
        <w:t>E.</w:t>
      </w:r>
      <w:r>
        <w:rPr>
          <w:color w:val="231F1F"/>
          <w:spacing w:val="-7"/>
          <w:w w:val="110"/>
          <w:sz w:val="20"/>
        </w:rPr>
        <w:t> </w:t>
      </w:r>
      <w:r>
        <w:rPr>
          <w:color w:val="231F1F"/>
          <w:w w:val="110"/>
          <w:sz w:val="20"/>
        </w:rPr>
        <w:t>Complementary</w:t>
      </w:r>
      <w:r>
        <w:rPr>
          <w:color w:val="231F1F"/>
          <w:spacing w:val="-6"/>
          <w:w w:val="110"/>
          <w:sz w:val="20"/>
        </w:rPr>
        <w:t> </w:t>
      </w:r>
      <w:r>
        <w:rPr>
          <w:color w:val="231F1F"/>
          <w:w w:val="110"/>
          <w:sz w:val="20"/>
        </w:rPr>
        <w:t>and</w:t>
      </w:r>
      <w:r>
        <w:rPr>
          <w:color w:val="231F1F"/>
          <w:spacing w:val="-6"/>
          <w:w w:val="110"/>
          <w:sz w:val="20"/>
        </w:rPr>
        <w:t> </w:t>
      </w:r>
      <w:r>
        <w:rPr>
          <w:color w:val="231F1F"/>
          <w:w w:val="110"/>
          <w:sz w:val="20"/>
        </w:rPr>
        <w:t>alternative</w:t>
      </w:r>
      <w:r>
        <w:rPr>
          <w:color w:val="231F1F"/>
          <w:spacing w:val="-6"/>
          <w:w w:val="110"/>
          <w:sz w:val="20"/>
        </w:rPr>
        <w:t> </w:t>
      </w:r>
      <w:r>
        <w:rPr>
          <w:color w:val="231F1F"/>
          <w:w w:val="110"/>
          <w:sz w:val="20"/>
        </w:rPr>
        <w:t>medicine</w:t>
      </w:r>
      <w:r>
        <w:rPr>
          <w:color w:val="231F1F"/>
          <w:spacing w:val="-6"/>
          <w:w w:val="110"/>
          <w:sz w:val="20"/>
        </w:rPr>
        <w:t> </w:t>
      </w:r>
      <w:r>
        <w:rPr>
          <w:color w:val="231F1F"/>
          <w:w w:val="110"/>
          <w:sz w:val="20"/>
        </w:rPr>
        <w:t>for</w:t>
      </w:r>
      <w:r>
        <w:rPr>
          <w:color w:val="231F1F"/>
          <w:spacing w:val="-6"/>
          <w:w w:val="110"/>
          <w:sz w:val="20"/>
        </w:rPr>
        <w:t> </w:t>
      </w:r>
      <w:r>
        <w:rPr>
          <w:color w:val="231F1F"/>
          <w:w w:val="110"/>
          <w:sz w:val="20"/>
        </w:rPr>
        <w:t>labor</w:t>
      </w:r>
      <w:r>
        <w:rPr>
          <w:color w:val="231F1F"/>
          <w:spacing w:val="-6"/>
          <w:w w:val="110"/>
          <w:sz w:val="20"/>
        </w:rPr>
        <w:t> </w:t>
      </w:r>
      <w:r>
        <w:rPr>
          <w:color w:val="231F1F"/>
          <w:w w:val="110"/>
          <w:sz w:val="20"/>
        </w:rPr>
        <w:t>pain:</w:t>
      </w:r>
      <w:r>
        <w:rPr>
          <w:color w:val="231F1F"/>
          <w:spacing w:val="-10"/>
          <w:w w:val="110"/>
          <w:sz w:val="20"/>
        </w:rPr>
        <w:t> </w:t>
      </w:r>
      <w:r>
        <w:rPr>
          <w:color w:val="231F1F"/>
          <w:w w:val="110"/>
          <w:sz w:val="20"/>
        </w:rPr>
        <w:t>a systematic review.. Am J Obstet Gynecol 2004;191(1):36-44.</w:t>
      </w:r>
    </w:p>
    <w:p>
      <w:pPr>
        <w:pStyle w:val="ListParagraph"/>
        <w:numPr>
          <w:ilvl w:val="0"/>
          <w:numId w:val="109"/>
        </w:numPr>
        <w:tabs>
          <w:tab w:pos="794" w:val="left" w:leader="none"/>
          <w:tab w:pos="798" w:val="left" w:leader="none"/>
        </w:tabs>
        <w:spacing w:line="220" w:lineRule="auto" w:before="167" w:after="0"/>
        <w:ind w:left="798" w:right="344" w:hanging="502"/>
        <w:jc w:val="left"/>
        <w:rPr>
          <w:sz w:val="20"/>
        </w:rPr>
      </w:pPr>
      <w:r>
        <w:rPr>
          <w:color w:val="231F1F"/>
          <w:w w:val="105"/>
          <w:sz w:val="20"/>
        </w:rPr>
        <w:t>Cheung</w:t>
      </w:r>
      <w:r>
        <w:rPr>
          <w:color w:val="231F1F"/>
          <w:spacing w:val="-7"/>
          <w:w w:val="105"/>
          <w:sz w:val="20"/>
        </w:rPr>
        <w:t> </w:t>
      </w:r>
      <w:r>
        <w:rPr>
          <w:color w:val="231F1F"/>
          <w:w w:val="105"/>
          <w:sz w:val="20"/>
        </w:rPr>
        <w:t>NF.</w:t>
      </w:r>
      <w:r>
        <w:rPr>
          <w:color w:val="231F1F"/>
          <w:spacing w:val="-8"/>
          <w:w w:val="105"/>
          <w:sz w:val="20"/>
        </w:rPr>
        <w:t> </w:t>
      </w:r>
      <w:r>
        <w:rPr>
          <w:color w:val="231F1F"/>
          <w:w w:val="105"/>
          <w:sz w:val="20"/>
        </w:rPr>
        <w:t>Choice</w:t>
      </w:r>
      <w:r>
        <w:rPr>
          <w:color w:val="231F1F"/>
          <w:spacing w:val="-7"/>
          <w:w w:val="105"/>
          <w:sz w:val="20"/>
        </w:rPr>
        <w:t> </w:t>
      </w:r>
      <w:r>
        <w:rPr>
          <w:color w:val="231F1F"/>
          <w:w w:val="105"/>
          <w:sz w:val="20"/>
        </w:rPr>
        <w:t>and</w:t>
      </w:r>
      <w:r>
        <w:rPr>
          <w:color w:val="231F1F"/>
          <w:spacing w:val="-7"/>
          <w:w w:val="105"/>
          <w:sz w:val="20"/>
        </w:rPr>
        <w:t> </w:t>
      </w:r>
      <w:r>
        <w:rPr>
          <w:color w:val="231F1F"/>
          <w:w w:val="105"/>
          <w:sz w:val="20"/>
        </w:rPr>
        <w:t>control</w:t>
      </w:r>
      <w:r>
        <w:rPr>
          <w:color w:val="231F1F"/>
          <w:spacing w:val="-6"/>
          <w:w w:val="105"/>
          <w:sz w:val="20"/>
        </w:rPr>
        <w:t> </w:t>
      </w:r>
      <w:r>
        <w:rPr>
          <w:color w:val="231F1F"/>
          <w:w w:val="105"/>
          <w:sz w:val="20"/>
        </w:rPr>
        <w:t>as</w:t>
      </w:r>
      <w:r>
        <w:rPr>
          <w:color w:val="231F1F"/>
          <w:spacing w:val="-6"/>
          <w:w w:val="105"/>
          <w:sz w:val="20"/>
        </w:rPr>
        <w:t> </w:t>
      </w:r>
      <w:r>
        <w:rPr>
          <w:color w:val="231F1F"/>
          <w:w w:val="105"/>
          <w:sz w:val="20"/>
        </w:rPr>
        <w:t>experienced</w:t>
      </w:r>
      <w:r>
        <w:rPr>
          <w:color w:val="231F1F"/>
          <w:spacing w:val="-6"/>
          <w:w w:val="105"/>
          <w:sz w:val="20"/>
        </w:rPr>
        <w:t> </w:t>
      </w:r>
      <w:r>
        <w:rPr>
          <w:color w:val="231F1F"/>
          <w:w w:val="105"/>
          <w:sz w:val="20"/>
        </w:rPr>
        <w:t>by</w:t>
      </w:r>
      <w:r>
        <w:rPr>
          <w:color w:val="231F1F"/>
          <w:spacing w:val="-7"/>
          <w:w w:val="105"/>
          <w:sz w:val="20"/>
        </w:rPr>
        <w:t> </w:t>
      </w:r>
      <w:r>
        <w:rPr>
          <w:color w:val="231F1F"/>
          <w:w w:val="105"/>
          <w:sz w:val="20"/>
        </w:rPr>
        <w:t>Chinese</w:t>
      </w:r>
      <w:r>
        <w:rPr>
          <w:color w:val="231F1F"/>
          <w:spacing w:val="-7"/>
          <w:w w:val="105"/>
          <w:sz w:val="20"/>
        </w:rPr>
        <w:t> </w:t>
      </w:r>
      <w:r>
        <w:rPr>
          <w:color w:val="231F1F"/>
          <w:w w:val="105"/>
          <w:sz w:val="20"/>
        </w:rPr>
        <w:t>and</w:t>
      </w:r>
      <w:r>
        <w:rPr>
          <w:color w:val="231F1F"/>
          <w:spacing w:val="-7"/>
          <w:w w:val="105"/>
          <w:sz w:val="20"/>
        </w:rPr>
        <w:t> </w:t>
      </w:r>
      <w:r>
        <w:rPr>
          <w:color w:val="231F1F"/>
          <w:w w:val="105"/>
          <w:sz w:val="20"/>
        </w:rPr>
        <w:t>Scottish</w:t>
      </w:r>
      <w:r>
        <w:rPr>
          <w:color w:val="231F1F"/>
          <w:spacing w:val="-7"/>
          <w:w w:val="105"/>
          <w:sz w:val="20"/>
        </w:rPr>
        <w:t> </w:t>
      </w:r>
      <w:r>
        <w:rPr>
          <w:color w:val="231F1F"/>
          <w:w w:val="105"/>
          <w:sz w:val="20"/>
        </w:rPr>
        <w:t>childbearing</w:t>
      </w:r>
      <w:r>
        <w:rPr>
          <w:color w:val="231F1F"/>
          <w:spacing w:val="-7"/>
          <w:w w:val="105"/>
          <w:sz w:val="20"/>
        </w:rPr>
        <w:t> </w:t>
      </w:r>
      <w:r>
        <w:rPr>
          <w:color w:val="231F1F"/>
          <w:w w:val="105"/>
          <w:sz w:val="20"/>
        </w:rPr>
        <w:t>women in Scotland. Midwifery 2002;18(3):200-13.</w:t>
      </w:r>
    </w:p>
    <w:p>
      <w:pPr>
        <w:pStyle w:val="ListParagraph"/>
        <w:numPr>
          <w:ilvl w:val="0"/>
          <w:numId w:val="109"/>
        </w:numPr>
        <w:tabs>
          <w:tab w:pos="793" w:val="left" w:leader="none"/>
          <w:tab w:pos="797" w:val="left" w:leader="none"/>
        </w:tabs>
        <w:spacing w:line="220" w:lineRule="auto" w:before="167" w:after="0"/>
        <w:ind w:left="797" w:right="177" w:hanging="522"/>
        <w:jc w:val="both"/>
        <w:rPr>
          <w:sz w:val="20"/>
        </w:rPr>
      </w:pPr>
      <w:r>
        <w:rPr>
          <w:color w:val="231F1F"/>
          <w:w w:val="110"/>
          <w:sz w:val="20"/>
        </w:rPr>
        <w:t>Chang</w:t>
      </w:r>
      <w:r>
        <w:rPr>
          <w:color w:val="231F1F"/>
          <w:spacing w:val="-12"/>
          <w:w w:val="110"/>
          <w:sz w:val="20"/>
        </w:rPr>
        <w:t> </w:t>
      </w:r>
      <w:r>
        <w:rPr>
          <w:color w:val="231F1F"/>
          <w:w w:val="110"/>
          <w:sz w:val="20"/>
        </w:rPr>
        <w:t>MY,</w:t>
      </w:r>
      <w:r>
        <w:rPr>
          <w:color w:val="231F1F"/>
          <w:spacing w:val="-12"/>
          <w:w w:val="110"/>
          <w:sz w:val="20"/>
        </w:rPr>
        <w:t> </w:t>
      </w:r>
      <w:r>
        <w:rPr>
          <w:color w:val="231F1F"/>
          <w:w w:val="110"/>
          <w:sz w:val="20"/>
        </w:rPr>
        <w:t>Chen</w:t>
      </w:r>
      <w:r>
        <w:rPr>
          <w:color w:val="231F1F"/>
          <w:spacing w:val="-12"/>
          <w:w w:val="110"/>
          <w:sz w:val="20"/>
        </w:rPr>
        <w:t> </w:t>
      </w:r>
      <w:r>
        <w:rPr>
          <w:color w:val="231F1F"/>
          <w:w w:val="110"/>
          <w:sz w:val="20"/>
        </w:rPr>
        <w:t>CH,</w:t>
      </w:r>
      <w:r>
        <w:rPr>
          <w:color w:val="231F1F"/>
          <w:spacing w:val="-11"/>
          <w:w w:val="110"/>
          <w:sz w:val="20"/>
        </w:rPr>
        <w:t> </w:t>
      </w:r>
      <w:r>
        <w:rPr>
          <w:color w:val="231F1F"/>
          <w:w w:val="110"/>
          <w:sz w:val="20"/>
        </w:rPr>
        <w:t>Huang</w:t>
      </w:r>
      <w:r>
        <w:rPr>
          <w:color w:val="231F1F"/>
          <w:spacing w:val="-9"/>
          <w:w w:val="110"/>
          <w:sz w:val="20"/>
        </w:rPr>
        <w:t> </w:t>
      </w:r>
      <w:r>
        <w:rPr>
          <w:color w:val="231F1F"/>
          <w:w w:val="110"/>
          <w:sz w:val="20"/>
        </w:rPr>
        <w:t>KF.</w:t>
      </w:r>
      <w:r>
        <w:rPr>
          <w:color w:val="231F1F"/>
          <w:spacing w:val="-12"/>
          <w:w w:val="110"/>
          <w:sz w:val="20"/>
        </w:rPr>
        <w:t> </w:t>
      </w:r>
      <w:r>
        <w:rPr>
          <w:color w:val="231F1F"/>
          <w:w w:val="110"/>
          <w:sz w:val="20"/>
        </w:rPr>
        <w:t>A</w:t>
      </w:r>
      <w:r>
        <w:rPr>
          <w:color w:val="231F1F"/>
          <w:spacing w:val="-9"/>
          <w:w w:val="110"/>
          <w:sz w:val="20"/>
        </w:rPr>
        <w:t> </w:t>
      </w:r>
      <w:r>
        <w:rPr>
          <w:color w:val="231F1F"/>
          <w:w w:val="110"/>
          <w:sz w:val="20"/>
        </w:rPr>
        <w:t>comparison</w:t>
      </w:r>
      <w:r>
        <w:rPr>
          <w:color w:val="231F1F"/>
          <w:spacing w:val="-9"/>
          <w:w w:val="110"/>
          <w:sz w:val="20"/>
        </w:rPr>
        <w:t> </w:t>
      </w:r>
      <w:r>
        <w:rPr>
          <w:color w:val="231F1F"/>
          <w:w w:val="110"/>
          <w:sz w:val="20"/>
        </w:rPr>
        <w:t>of</w:t>
      </w:r>
      <w:r>
        <w:rPr>
          <w:color w:val="231F1F"/>
          <w:spacing w:val="-9"/>
          <w:w w:val="110"/>
          <w:sz w:val="20"/>
        </w:rPr>
        <w:t> </w:t>
      </w:r>
      <w:r>
        <w:rPr>
          <w:color w:val="231F1F"/>
          <w:w w:val="110"/>
          <w:sz w:val="20"/>
        </w:rPr>
        <w:t>massage</w:t>
      </w:r>
      <w:r>
        <w:rPr>
          <w:color w:val="231F1F"/>
          <w:spacing w:val="-9"/>
          <w:w w:val="110"/>
          <w:sz w:val="20"/>
        </w:rPr>
        <w:t> </w:t>
      </w:r>
      <w:r>
        <w:rPr>
          <w:color w:val="231F1F"/>
          <w:w w:val="110"/>
          <w:sz w:val="20"/>
        </w:rPr>
        <w:t>effects</w:t>
      </w:r>
      <w:r>
        <w:rPr>
          <w:color w:val="231F1F"/>
          <w:spacing w:val="-9"/>
          <w:w w:val="110"/>
          <w:sz w:val="20"/>
        </w:rPr>
        <w:t> </w:t>
      </w:r>
      <w:r>
        <w:rPr>
          <w:color w:val="231F1F"/>
          <w:w w:val="110"/>
          <w:sz w:val="20"/>
        </w:rPr>
        <w:t>on</w:t>
      </w:r>
      <w:r>
        <w:rPr>
          <w:color w:val="231F1F"/>
          <w:spacing w:val="-9"/>
          <w:w w:val="110"/>
          <w:sz w:val="20"/>
        </w:rPr>
        <w:t> </w:t>
      </w:r>
      <w:r>
        <w:rPr>
          <w:color w:val="231F1F"/>
          <w:w w:val="110"/>
          <w:sz w:val="20"/>
        </w:rPr>
        <w:t>labor</w:t>
      </w:r>
      <w:r>
        <w:rPr>
          <w:color w:val="231F1F"/>
          <w:spacing w:val="-9"/>
          <w:w w:val="110"/>
          <w:sz w:val="20"/>
        </w:rPr>
        <w:t> </w:t>
      </w:r>
      <w:r>
        <w:rPr>
          <w:color w:val="231F1F"/>
          <w:w w:val="110"/>
          <w:sz w:val="20"/>
        </w:rPr>
        <w:t>pain</w:t>
      </w:r>
      <w:r>
        <w:rPr>
          <w:color w:val="231F1F"/>
          <w:spacing w:val="-9"/>
          <w:w w:val="110"/>
          <w:sz w:val="20"/>
        </w:rPr>
        <w:t> </w:t>
      </w:r>
      <w:r>
        <w:rPr>
          <w:color w:val="231F1F"/>
          <w:w w:val="110"/>
          <w:sz w:val="20"/>
        </w:rPr>
        <w:t>using</w:t>
      </w:r>
      <w:r>
        <w:rPr>
          <w:color w:val="231F1F"/>
          <w:spacing w:val="-9"/>
          <w:w w:val="110"/>
          <w:sz w:val="20"/>
        </w:rPr>
        <w:t> </w:t>
      </w:r>
      <w:r>
        <w:rPr>
          <w:color w:val="231F1F"/>
          <w:w w:val="110"/>
          <w:sz w:val="20"/>
        </w:rPr>
        <w:t>the McGill Pain Questionnaire. J Nurs Res 2006 Sep;14(3):190-7.</w:t>
      </w:r>
    </w:p>
    <w:p>
      <w:pPr>
        <w:pStyle w:val="ListParagraph"/>
        <w:numPr>
          <w:ilvl w:val="0"/>
          <w:numId w:val="109"/>
        </w:numPr>
        <w:tabs>
          <w:tab w:pos="793" w:val="left" w:leader="none"/>
          <w:tab w:pos="797" w:val="left" w:leader="none"/>
        </w:tabs>
        <w:spacing w:line="220" w:lineRule="auto" w:before="172" w:after="0"/>
        <w:ind w:left="797" w:right="175" w:hanging="502"/>
        <w:jc w:val="both"/>
        <w:rPr>
          <w:sz w:val="20"/>
        </w:rPr>
      </w:pPr>
      <w:r>
        <w:rPr>
          <w:color w:val="231F1F"/>
          <w:w w:val="110"/>
          <w:sz w:val="20"/>
        </w:rPr>
        <w:t>Chang</w:t>
      </w:r>
      <w:r>
        <w:rPr>
          <w:color w:val="231F1F"/>
          <w:spacing w:val="-11"/>
          <w:w w:val="110"/>
          <w:sz w:val="20"/>
        </w:rPr>
        <w:t> </w:t>
      </w:r>
      <w:r>
        <w:rPr>
          <w:color w:val="231F1F"/>
          <w:w w:val="110"/>
          <w:sz w:val="20"/>
        </w:rPr>
        <w:t>MY.</w:t>
      </w:r>
      <w:r>
        <w:rPr>
          <w:color w:val="231F1F"/>
          <w:spacing w:val="-11"/>
          <w:w w:val="110"/>
          <w:sz w:val="20"/>
        </w:rPr>
        <w:t> </w:t>
      </w:r>
      <w:r>
        <w:rPr>
          <w:color w:val="231F1F"/>
          <w:w w:val="110"/>
          <w:sz w:val="20"/>
        </w:rPr>
        <w:t>Effects</w:t>
      </w:r>
      <w:r>
        <w:rPr>
          <w:color w:val="231F1F"/>
          <w:spacing w:val="-8"/>
          <w:w w:val="110"/>
          <w:sz w:val="20"/>
        </w:rPr>
        <w:t> </w:t>
      </w:r>
      <w:r>
        <w:rPr>
          <w:color w:val="231F1F"/>
          <w:w w:val="110"/>
          <w:sz w:val="20"/>
        </w:rPr>
        <w:t>of</w:t>
      </w:r>
      <w:r>
        <w:rPr>
          <w:color w:val="231F1F"/>
          <w:spacing w:val="-8"/>
          <w:w w:val="110"/>
          <w:sz w:val="20"/>
        </w:rPr>
        <w:t> </w:t>
      </w:r>
      <w:r>
        <w:rPr>
          <w:color w:val="231F1F"/>
          <w:w w:val="110"/>
          <w:sz w:val="20"/>
        </w:rPr>
        <w:t>massage</w:t>
      </w:r>
      <w:r>
        <w:rPr>
          <w:color w:val="231F1F"/>
          <w:spacing w:val="-8"/>
          <w:w w:val="110"/>
          <w:sz w:val="20"/>
        </w:rPr>
        <w:t> </w:t>
      </w:r>
      <w:r>
        <w:rPr>
          <w:color w:val="231F1F"/>
          <w:w w:val="110"/>
          <w:sz w:val="20"/>
        </w:rPr>
        <w:t>on</w:t>
      </w:r>
      <w:r>
        <w:rPr>
          <w:color w:val="231F1F"/>
          <w:spacing w:val="-8"/>
          <w:w w:val="110"/>
          <w:sz w:val="20"/>
        </w:rPr>
        <w:t> </w:t>
      </w:r>
      <w:r>
        <w:rPr>
          <w:color w:val="231F1F"/>
          <w:w w:val="110"/>
          <w:sz w:val="20"/>
        </w:rPr>
        <w:t>pain</w:t>
      </w:r>
      <w:r>
        <w:rPr>
          <w:color w:val="231F1F"/>
          <w:spacing w:val="-8"/>
          <w:w w:val="110"/>
          <w:sz w:val="20"/>
        </w:rPr>
        <w:t> </w:t>
      </w:r>
      <w:r>
        <w:rPr>
          <w:color w:val="231F1F"/>
          <w:w w:val="110"/>
          <w:sz w:val="20"/>
        </w:rPr>
        <w:t>and</w:t>
      </w:r>
      <w:r>
        <w:rPr>
          <w:color w:val="231F1F"/>
          <w:spacing w:val="-8"/>
          <w:w w:val="110"/>
          <w:sz w:val="20"/>
        </w:rPr>
        <w:t> </w:t>
      </w:r>
      <w:r>
        <w:rPr>
          <w:color w:val="231F1F"/>
          <w:w w:val="110"/>
          <w:sz w:val="20"/>
        </w:rPr>
        <w:t>anxiety</w:t>
      </w:r>
      <w:r>
        <w:rPr>
          <w:color w:val="231F1F"/>
          <w:spacing w:val="-9"/>
          <w:w w:val="110"/>
          <w:sz w:val="20"/>
        </w:rPr>
        <w:t> </w:t>
      </w:r>
      <w:r>
        <w:rPr>
          <w:color w:val="231F1F"/>
          <w:w w:val="110"/>
          <w:sz w:val="20"/>
        </w:rPr>
        <w:t>during</w:t>
      </w:r>
      <w:r>
        <w:rPr>
          <w:color w:val="231F1F"/>
          <w:spacing w:val="-8"/>
          <w:w w:val="110"/>
          <w:sz w:val="20"/>
        </w:rPr>
        <w:t> </w:t>
      </w:r>
      <w:r>
        <w:rPr>
          <w:color w:val="231F1F"/>
          <w:w w:val="110"/>
          <w:sz w:val="20"/>
        </w:rPr>
        <w:t>labour:</w:t>
      </w:r>
      <w:r>
        <w:rPr>
          <w:color w:val="231F1F"/>
          <w:spacing w:val="-11"/>
          <w:w w:val="110"/>
          <w:sz w:val="20"/>
        </w:rPr>
        <w:t> </w:t>
      </w:r>
      <w:r>
        <w:rPr>
          <w:color w:val="231F1F"/>
          <w:w w:val="110"/>
          <w:sz w:val="20"/>
        </w:rPr>
        <w:t>a</w:t>
      </w:r>
      <w:r>
        <w:rPr>
          <w:color w:val="231F1F"/>
          <w:spacing w:val="-8"/>
          <w:w w:val="110"/>
          <w:sz w:val="20"/>
        </w:rPr>
        <w:t> </w:t>
      </w:r>
      <w:r>
        <w:rPr>
          <w:color w:val="231F1F"/>
          <w:w w:val="110"/>
          <w:sz w:val="20"/>
        </w:rPr>
        <w:t>randomised</w:t>
      </w:r>
      <w:r>
        <w:rPr>
          <w:color w:val="231F1F"/>
          <w:spacing w:val="-8"/>
          <w:w w:val="110"/>
          <w:sz w:val="20"/>
        </w:rPr>
        <w:t> </w:t>
      </w:r>
      <w:r>
        <w:rPr>
          <w:color w:val="231F1F"/>
          <w:w w:val="110"/>
          <w:sz w:val="20"/>
        </w:rPr>
        <w:t>controlled trial in Taiwan. J Adv Nurs 2002;38(1):68-73.</w:t>
      </w:r>
    </w:p>
    <w:p>
      <w:pPr>
        <w:pStyle w:val="ListParagraph"/>
        <w:numPr>
          <w:ilvl w:val="0"/>
          <w:numId w:val="109"/>
        </w:numPr>
        <w:tabs>
          <w:tab w:pos="793" w:val="left" w:leader="none"/>
          <w:tab w:pos="797" w:val="left" w:leader="none"/>
        </w:tabs>
        <w:spacing w:line="220" w:lineRule="auto" w:before="167" w:after="0"/>
        <w:ind w:left="797" w:right="183" w:hanging="502"/>
        <w:jc w:val="both"/>
        <w:rPr>
          <w:sz w:val="20"/>
        </w:rPr>
      </w:pPr>
      <w:r>
        <w:rPr>
          <w:color w:val="231F1F"/>
          <w:w w:val="110"/>
          <w:sz w:val="20"/>
        </w:rPr>
        <w:t>Burton C. Instrumentation for dorsal column stimulator implantation. Surg Neurol 1974; </w:t>
      </w:r>
      <w:r>
        <w:rPr>
          <w:color w:val="231F1F"/>
          <w:spacing w:val="-2"/>
          <w:w w:val="110"/>
          <w:sz w:val="20"/>
        </w:rPr>
        <w:t>2(1):39-40.</w:t>
      </w:r>
    </w:p>
    <w:p>
      <w:pPr>
        <w:pStyle w:val="ListParagraph"/>
        <w:numPr>
          <w:ilvl w:val="0"/>
          <w:numId w:val="109"/>
        </w:numPr>
        <w:tabs>
          <w:tab w:pos="794" w:val="left" w:leader="none"/>
          <w:tab w:pos="798" w:val="left" w:leader="none"/>
        </w:tabs>
        <w:spacing w:line="220" w:lineRule="auto" w:before="148" w:after="0"/>
        <w:ind w:left="798" w:right="200" w:hanging="502"/>
        <w:jc w:val="both"/>
        <w:rPr>
          <w:sz w:val="20"/>
        </w:rPr>
      </w:pPr>
      <w:r>
        <w:rPr>
          <w:color w:val="231F1F"/>
          <w:w w:val="105"/>
          <w:position w:val="1"/>
          <w:sz w:val="20"/>
        </w:rPr>
        <w:t>Melzack</w:t>
      </w:r>
      <w:r>
        <w:rPr>
          <w:color w:val="231F1F"/>
          <w:spacing w:val="-9"/>
          <w:w w:val="105"/>
          <w:position w:val="1"/>
          <w:sz w:val="20"/>
        </w:rPr>
        <w:t> </w:t>
      </w:r>
      <w:r>
        <w:rPr>
          <w:color w:val="231F1F"/>
          <w:w w:val="105"/>
          <w:position w:val="1"/>
          <w:sz w:val="20"/>
        </w:rPr>
        <w:t>R,</w:t>
      </w:r>
      <w:r>
        <w:rPr>
          <w:color w:val="231F1F"/>
          <w:spacing w:val="-9"/>
          <w:w w:val="105"/>
          <w:position w:val="1"/>
          <w:sz w:val="20"/>
        </w:rPr>
        <w:t> </w:t>
      </w:r>
      <w:r>
        <w:rPr>
          <w:color w:val="231F1F"/>
          <w:w w:val="105"/>
          <w:position w:val="1"/>
          <w:sz w:val="20"/>
        </w:rPr>
        <w:t>Schaffelberg</w:t>
      </w:r>
      <w:r>
        <w:rPr>
          <w:color w:val="231F1F"/>
          <w:spacing w:val="-5"/>
          <w:w w:val="105"/>
          <w:position w:val="1"/>
          <w:sz w:val="20"/>
        </w:rPr>
        <w:t> </w:t>
      </w:r>
      <w:r>
        <w:rPr>
          <w:color w:val="231F1F"/>
          <w:w w:val="105"/>
          <w:position w:val="1"/>
          <w:sz w:val="20"/>
        </w:rPr>
        <w:t>D.</w:t>
      </w:r>
      <w:r>
        <w:rPr>
          <w:color w:val="231F1F"/>
          <w:spacing w:val="-9"/>
          <w:w w:val="105"/>
          <w:position w:val="1"/>
          <w:sz w:val="20"/>
        </w:rPr>
        <w:t> </w:t>
      </w:r>
      <w:r>
        <w:rPr>
          <w:color w:val="231F1F"/>
          <w:w w:val="105"/>
          <w:position w:val="1"/>
          <w:sz w:val="20"/>
        </w:rPr>
        <w:t>Low-back</w:t>
      </w:r>
      <w:r>
        <w:rPr>
          <w:color w:val="231F1F"/>
          <w:spacing w:val="-5"/>
          <w:w w:val="105"/>
          <w:position w:val="1"/>
          <w:sz w:val="20"/>
        </w:rPr>
        <w:t> </w:t>
      </w:r>
      <w:r>
        <w:rPr>
          <w:color w:val="231F1F"/>
          <w:w w:val="105"/>
          <w:position w:val="1"/>
          <w:sz w:val="20"/>
        </w:rPr>
        <w:t>pain</w:t>
      </w:r>
      <w:r>
        <w:rPr>
          <w:color w:val="231F1F"/>
          <w:spacing w:val="-5"/>
          <w:w w:val="105"/>
          <w:position w:val="1"/>
          <w:sz w:val="20"/>
        </w:rPr>
        <w:t> </w:t>
      </w:r>
      <w:r>
        <w:rPr>
          <w:color w:val="231F1F"/>
          <w:w w:val="105"/>
          <w:position w:val="1"/>
          <w:sz w:val="20"/>
        </w:rPr>
        <w:t>during</w:t>
      </w:r>
      <w:r>
        <w:rPr>
          <w:color w:val="231F1F"/>
          <w:spacing w:val="-5"/>
          <w:w w:val="105"/>
          <w:position w:val="1"/>
          <w:sz w:val="20"/>
        </w:rPr>
        <w:t> </w:t>
      </w:r>
      <w:r>
        <w:rPr>
          <w:color w:val="231F1F"/>
          <w:w w:val="105"/>
          <w:position w:val="1"/>
          <w:sz w:val="20"/>
        </w:rPr>
        <w:t>labor.</w:t>
      </w:r>
      <w:r>
        <w:rPr>
          <w:color w:val="231F1F"/>
          <w:spacing w:val="-9"/>
          <w:w w:val="105"/>
          <w:position w:val="1"/>
          <w:sz w:val="20"/>
        </w:rPr>
        <w:t> </w:t>
      </w:r>
      <w:r>
        <w:rPr>
          <w:color w:val="231F1F"/>
          <w:w w:val="105"/>
          <w:position w:val="1"/>
          <w:sz w:val="20"/>
        </w:rPr>
        <w:t>Am</w:t>
      </w:r>
      <w:r>
        <w:rPr>
          <w:color w:val="231F1F"/>
          <w:spacing w:val="-5"/>
          <w:w w:val="105"/>
          <w:position w:val="1"/>
          <w:sz w:val="20"/>
        </w:rPr>
        <w:t> </w:t>
      </w:r>
      <w:r>
        <w:rPr>
          <w:color w:val="231F1F"/>
          <w:w w:val="105"/>
          <w:position w:val="1"/>
          <w:sz w:val="20"/>
        </w:rPr>
        <w:t>J</w:t>
      </w:r>
      <w:r>
        <w:rPr>
          <w:color w:val="231F1F"/>
          <w:spacing w:val="-5"/>
          <w:w w:val="105"/>
          <w:position w:val="1"/>
          <w:sz w:val="20"/>
        </w:rPr>
        <w:t> </w:t>
      </w:r>
      <w:r>
        <w:rPr>
          <w:color w:val="231F1F"/>
          <w:w w:val="105"/>
          <w:position w:val="1"/>
          <w:sz w:val="20"/>
        </w:rPr>
        <w:t>Obstet</w:t>
      </w:r>
      <w:r>
        <w:rPr>
          <w:color w:val="231F1F"/>
          <w:spacing w:val="-5"/>
          <w:w w:val="105"/>
          <w:position w:val="1"/>
          <w:sz w:val="20"/>
        </w:rPr>
        <w:t> </w:t>
      </w:r>
      <w:r>
        <w:rPr>
          <w:color w:val="231F1F"/>
          <w:w w:val="105"/>
          <w:position w:val="1"/>
          <w:sz w:val="20"/>
        </w:rPr>
        <w:t>Gynecol</w:t>
      </w:r>
      <w:r>
        <w:rPr>
          <w:color w:val="231F1F"/>
          <w:spacing w:val="-5"/>
          <w:w w:val="105"/>
          <w:position w:val="1"/>
          <w:sz w:val="20"/>
        </w:rPr>
        <w:t> </w:t>
      </w:r>
      <w:r>
        <w:rPr>
          <w:color w:val="231F1F"/>
          <w:w w:val="105"/>
          <w:position w:val="1"/>
          <w:sz w:val="20"/>
        </w:rPr>
        <w:t>1987;156:901- </w:t>
      </w:r>
      <w:r>
        <w:rPr>
          <w:color w:val="231F1F"/>
          <w:spacing w:val="-6"/>
          <w:w w:val="105"/>
          <w:sz w:val="20"/>
        </w:rPr>
        <w:t>5.</w:t>
      </w:r>
    </w:p>
    <w:p>
      <w:pPr>
        <w:pStyle w:val="ListParagraph"/>
        <w:spacing w:after="0" w:line="220" w:lineRule="auto"/>
        <w:jc w:val="both"/>
        <w:rPr>
          <w:sz w:val="20"/>
        </w:rPr>
        <w:sectPr>
          <w:pgSz w:w="11900" w:h="16840"/>
          <w:pgMar w:header="0" w:footer="622" w:top="1540" w:bottom="820" w:left="1417" w:right="1559"/>
        </w:sectPr>
      </w:pPr>
    </w:p>
    <w:p>
      <w:pPr>
        <w:pStyle w:val="ListParagraph"/>
        <w:numPr>
          <w:ilvl w:val="0"/>
          <w:numId w:val="109"/>
        </w:numPr>
        <w:tabs>
          <w:tab w:pos="787" w:val="left" w:leader="none"/>
          <w:tab w:pos="791" w:val="left" w:leader="none"/>
        </w:tabs>
        <w:spacing w:line="228" w:lineRule="auto" w:before="86" w:after="0"/>
        <w:ind w:left="791" w:right="118" w:hanging="511"/>
        <w:jc w:val="both"/>
        <w:rPr>
          <w:sz w:val="20"/>
        </w:rPr>
      </w:pPr>
      <w:r>
        <w:rPr>
          <w:color w:val="231F1F"/>
          <w:w w:val="110"/>
          <w:sz w:val="20"/>
        </w:rPr>
        <w:t>Martensson</w:t>
      </w:r>
      <w:r>
        <w:rPr>
          <w:color w:val="231F1F"/>
          <w:w w:val="110"/>
          <w:sz w:val="20"/>
        </w:rPr>
        <w:t> L.</w:t>
      </w:r>
      <w:r>
        <w:rPr>
          <w:color w:val="231F1F"/>
          <w:w w:val="110"/>
          <w:sz w:val="20"/>
        </w:rPr>
        <w:t> Subcutaneous</w:t>
      </w:r>
      <w:r>
        <w:rPr>
          <w:color w:val="231F1F"/>
          <w:w w:val="110"/>
          <w:sz w:val="20"/>
        </w:rPr>
        <w:t> versus</w:t>
      </w:r>
      <w:r>
        <w:rPr>
          <w:color w:val="231F1F"/>
          <w:w w:val="110"/>
          <w:sz w:val="20"/>
        </w:rPr>
        <w:t> intracutaneous</w:t>
      </w:r>
      <w:r>
        <w:rPr>
          <w:color w:val="231F1F"/>
          <w:w w:val="110"/>
          <w:sz w:val="20"/>
        </w:rPr>
        <w:t> injections</w:t>
      </w:r>
      <w:r>
        <w:rPr>
          <w:color w:val="231F1F"/>
          <w:w w:val="110"/>
          <w:sz w:val="20"/>
        </w:rPr>
        <w:t> of</w:t>
      </w:r>
      <w:r>
        <w:rPr>
          <w:color w:val="231F1F"/>
          <w:w w:val="110"/>
          <w:sz w:val="20"/>
        </w:rPr>
        <w:t> sterile</w:t>
      </w:r>
      <w:r>
        <w:rPr>
          <w:color w:val="231F1F"/>
          <w:w w:val="110"/>
          <w:sz w:val="20"/>
        </w:rPr>
        <w:t> water</w:t>
      </w:r>
      <w:r>
        <w:rPr>
          <w:color w:val="231F1F"/>
          <w:w w:val="110"/>
          <w:sz w:val="20"/>
        </w:rPr>
        <w:t> of</w:t>
      </w:r>
      <w:r>
        <w:rPr>
          <w:color w:val="231F1F"/>
          <w:w w:val="110"/>
          <w:sz w:val="20"/>
        </w:rPr>
        <w:t> labour analgesia:</w:t>
      </w:r>
      <w:r>
        <w:rPr>
          <w:color w:val="231F1F"/>
          <w:w w:val="110"/>
          <w:sz w:val="20"/>
        </w:rPr>
        <w:t> a</w:t>
      </w:r>
      <w:r>
        <w:rPr>
          <w:color w:val="231F1F"/>
          <w:w w:val="110"/>
          <w:sz w:val="20"/>
        </w:rPr>
        <w:t> comparison</w:t>
      </w:r>
      <w:r>
        <w:rPr>
          <w:color w:val="231F1F"/>
          <w:w w:val="110"/>
          <w:sz w:val="20"/>
        </w:rPr>
        <w:t> of</w:t>
      </w:r>
      <w:r>
        <w:rPr>
          <w:color w:val="231F1F"/>
          <w:w w:val="110"/>
          <w:sz w:val="20"/>
        </w:rPr>
        <w:t> perceived</w:t>
      </w:r>
      <w:r>
        <w:rPr>
          <w:color w:val="231F1F"/>
          <w:w w:val="110"/>
          <w:sz w:val="20"/>
        </w:rPr>
        <w:t> pain</w:t>
      </w:r>
      <w:r>
        <w:rPr>
          <w:color w:val="231F1F"/>
          <w:w w:val="110"/>
          <w:sz w:val="20"/>
        </w:rPr>
        <w:t> during</w:t>
      </w:r>
      <w:r>
        <w:rPr>
          <w:color w:val="231F1F"/>
          <w:w w:val="110"/>
          <w:sz w:val="20"/>
        </w:rPr>
        <w:t> administration.</w:t>
      </w:r>
      <w:r>
        <w:rPr>
          <w:color w:val="231F1F"/>
          <w:w w:val="110"/>
          <w:sz w:val="20"/>
        </w:rPr>
        <w:t> BJOG:</w:t>
      </w:r>
      <w:r>
        <w:rPr>
          <w:color w:val="231F1F"/>
          <w:w w:val="110"/>
          <w:sz w:val="20"/>
        </w:rPr>
        <w:t> an</w:t>
      </w:r>
      <w:r>
        <w:rPr>
          <w:color w:val="231F1F"/>
          <w:w w:val="110"/>
          <w:sz w:val="20"/>
        </w:rPr>
        <w:t> international journal of obstetrics &amp; gynaecology 2000;107(10):1248-51.</w:t>
      </w:r>
    </w:p>
    <w:p>
      <w:pPr>
        <w:pStyle w:val="ListParagraph"/>
        <w:numPr>
          <w:ilvl w:val="0"/>
          <w:numId w:val="109"/>
        </w:numPr>
        <w:tabs>
          <w:tab w:pos="789" w:val="left" w:leader="none"/>
          <w:tab w:pos="793" w:val="left" w:leader="none"/>
        </w:tabs>
        <w:spacing w:line="230" w:lineRule="auto" w:before="158" w:after="0"/>
        <w:ind w:left="793" w:right="111" w:hanging="511"/>
        <w:jc w:val="both"/>
        <w:rPr>
          <w:sz w:val="20"/>
        </w:rPr>
      </w:pPr>
      <w:r>
        <w:rPr>
          <w:color w:val="231F1F"/>
          <w:w w:val="105"/>
          <w:sz w:val="20"/>
        </w:rPr>
        <w:t>Martensson L, Wallin G. Sterile water injections as treatment for low-back pain during labour: a review. Aust N Z J Obstet Gynaecol 2008;Aug.48(4):369-74.</w:t>
      </w:r>
    </w:p>
    <w:p>
      <w:pPr>
        <w:pStyle w:val="ListParagraph"/>
        <w:numPr>
          <w:ilvl w:val="0"/>
          <w:numId w:val="109"/>
        </w:numPr>
        <w:tabs>
          <w:tab w:pos="787" w:val="left" w:leader="none"/>
          <w:tab w:pos="791" w:val="left" w:leader="none"/>
        </w:tabs>
        <w:spacing w:line="225" w:lineRule="auto" w:before="162" w:after="0"/>
        <w:ind w:left="791" w:right="122" w:hanging="511"/>
        <w:jc w:val="both"/>
        <w:rPr>
          <w:sz w:val="20"/>
        </w:rPr>
      </w:pPr>
      <w:r>
        <w:rPr>
          <w:color w:val="231F1F"/>
          <w:w w:val="110"/>
          <w:sz w:val="20"/>
        </w:rPr>
        <w:t>Martensson L, Stener-Victorin E, Wallin G. Acupunture versus subcuaneous injections of sterile water as treatment of labour pain.</w:t>
      </w:r>
      <w:r>
        <w:rPr>
          <w:color w:val="231F1F"/>
          <w:spacing w:val="-15"/>
          <w:w w:val="110"/>
          <w:sz w:val="20"/>
        </w:rPr>
        <w:t> </w:t>
      </w:r>
      <w:r>
        <w:rPr>
          <w:color w:val="231F1F"/>
          <w:w w:val="110"/>
          <w:sz w:val="20"/>
        </w:rPr>
        <w:t>Acta Obstet Gynecol Scand 2008;87(2):171-7.</w:t>
      </w:r>
    </w:p>
    <w:p>
      <w:pPr>
        <w:pStyle w:val="ListParagraph"/>
        <w:numPr>
          <w:ilvl w:val="0"/>
          <w:numId w:val="109"/>
        </w:numPr>
        <w:tabs>
          <w:tab w:pos="787" w:val="left" w:leader="none"/>
          <w:tab w:pos="791" w:val="left" w:leader="none"/>
        </w:tabs>
        <w:spacing w:line="232" w:lineRule="auto" w:before="158" w:after="0"/>
        <w:ind w:left="791" w:right="121" w:hanging="511"/>
        <w:jc w:val="both"/>
        <w:rPr>
          <w:sz w:val="20"/>
        </w:rPr>
      </w:pPr>
      <w:r>
        <w:rPr>
          <w:color w:val="231F1F"/>
          <w:w w:val="110"/>
          <w:sz w:val="20"/>
        </w:rPr>
        <w:t>Carroll D, Tramèr MR, McQuay HJ. Transcutaneous electrical nerve stimulation does not relieve</w:t>
      </w:r>
      <w:r>
        <w:rPr>
          <w:color w:val="231F1F"/>
          <w:w w:val="110"/>
          <w:sz w:val="20"/>
        </w:rPr>
        <w:t> labor</w:t>
      </w:r>
      <w:r>
        <w:rPr>
          <w:color w:val="231F1F"/>
          <w:w w:val="110"/>
          <w:sz w:val="20"/>
        </w:rPr>
        <w:t> pain:</w:t>
      </w:r>
      <w:r>
        <w:rPr>
          <w:color w:val="231F1F"/>
          <w:w w:val="110"/>
          <w:sz w:val="20"/>
        </w:rPr>
        <w:t> Updated</w:t>
      </w:r>
      <w:r>
        <w:rPr>
          <w:color w:val="231F1F"/>
          <w:w w:val="110"/>
          <w:sz w:val="20"/>
        </w:rPr>
        <w:t> systematic</w:t>
      </w:r>
      <w:r>
        <w:rPr>
          <w:color w:val="231F1F"/>
          <w:w w:val="110"/>
          <w:sz w:val="20"/>
        </w:rPr>
        <w:t> review.</w:t>
      </w:r>
      <w:r>
        <w:rPr>
          <w:color w:val="231F1F"/>
          <w:w w:val="110"/>
          <w:sz w:val="20"/>
        </w:rPr>
        <w:t> Contemporary</w:t>
      </w:r>
      <w:r>
        <w:rPr>
          <w:color w:val="231F1F"/>
          <w:w w:val="110"/>
          <w:sz w:val="20"/>
        </w:rPr>
        <w:t> Reviews</w:t>
      </w:r>
      <w:r>
        <w:rPr>
          <w:color w:val="231F1F"/>
          <w:w w:val="110"/>
          <w:sz w:val="20"/>
        </w:rPr>
        <w:t> in</w:t>
      </w:r>
      <w:r>
        <w:rPr>
          <w:color w:val="231F1F"/>
          <w:w w:val="110"/>
          <w:sz w:val="20"/>
        </w:rPr>
        <w:t> Obstetrics</w:t>
      </w:r>
      <w:r>
        <w:rPr>
          <w:color w:val="231F1F"/>
          <w:w w:val="110"/>
          <w:sz w:val="20"/>
        </w:rPr>
        <w:t> and Gynaecology</w:t>
      </w:r>
      <w:r>
        <w:rPr>
          <w:color w:val="231F1F"/>
          <w:spacing w:val="-16"/>
          <w:w w:val="110"/>
          <w:sz w:val="20"/>
        </w:rPr>
        <w:t> </w:t>
      </w:r>
      <w:r>
        <w:rPr>
          <w:color w:val="231F1F"/>
          <w:w w:val="110"/>
          <w:sz w:val="20"/>
        </w:rPr>
        <w:t>1997;9(3):195-205.</w:t>
      </w:r>
    </w:p>
    <w:p>
      <w:pPr>
        <w:pStyle w:val="ListParagraph"/>
        <w:numPr>
          <w:ilvl w:val="0"/>
          <w:numId w:val="109"/>
        </w:numPr>
        <w:tabs>
          <w:tab w:pos="787" w:val="left" w:leader="none"/>
          <w:tab w:pos="791" w:val="left" w:leader="none"/>
        </w:tabs>
        <w:spacing w:line="244" w:lineRule="auto" w:before="146" w:after="0"/>
        <w:ind w:left="791" w:right="119" w:hanging="511"/>
        <w:jc w:val="both"/>
        <w:rPr>
          <w:sz w:val="20"/>
        </w:rPr>
      </w:pPr>
      <w:r>
        <w:rPr>
          <w:color w:val="231F1F"/>
          <w:sz w:val="20"/>
        </w:rPr>
        <w:t>Chao AS, Chao A, Wang TH, Chang YC, Peng HH, Chang SD, et al. Pain relief by applying transcutaneous</w:t>
      </w:r>
      <w:r>
        <w:rPr>
          <w:color w:val="231F1F"/>
          <w:spacing w:val="40"/>
          <w:sz w:val="20"/>
        </w:rPr>
        <w:t> </w:t>
      </w:r>
      <w:r>
        <w:rPr>
          <w:color w:val="231F1F"/>
          <w:sz w:val="20"/>
        </w:rPr>
        <w:t>electrical</w:t>
      </w:r>
      <w:r>
        <w:rPr>
          <w:color w:val="231F1F"/>
          <w:spacing w:val="40"/>
          <w:sz w:val="20"/>
        </w:rPr>
        <w:t> </w:t>
      </w:r>
      <w:r>
        <w:rPr>
          <w:color w:val="231F1F"/>
          <w:sz w:val="20"/>
        </w:rPr>
        <w:t>nerve</w:t>
      </w:r>
      <w:r>
        <w:rPr>
          <w:color w:val="231F1F"/>
          <w:spacing w:val="40"/>
          <w:sz w:val="20"/>
        </w:rPr>
        <w:t> </w:t>
      </w:r>
      <w:r>
        <w:rPr>
          <w:color w:val="231F1F"/>
          <w:sz w:val="20"/>
        </w:rPr>
        <w:t>stimulation</w:t>
      </w:r>
      <w:r>
        <w:rPr>
          <w:color w:val="231F1F"/>
          <w:spacing w:val="40"/>
          <w:sz w:val="20"/>
        </w:rPr>
        <w:t> </w:t>
      </w:r>
      <w:r>
        <w:rPr>
          <w:color w:val="231F1F"/>
          <w:sz w:val="20"/>
        </w:rPr>
        <w:t>(TENS)</w:t>
      </w:r>
      <w:r>
        <w:rPr>
          <w:color w:val="231F1F"/>
          <w:spacing w:val="40"/>
          <w:sz w:val="20"/>
        </w:rPr>
        <w:t> </w:t>
      </w:r>
      <w:r>
        <w:rPr>
          <w:color w:val="231F1F"/>
          <w:sz w:val="20"/>
        </w:rPr>
        <w:t>on</w:t>
      </w:r>
      <w:r>
        <w:rPr>
          <w:color w:val="231F1F"/>
          <w:spacing w:val="40"/>
          <w:sz w:val="20"/>
        </w:rPr>
        <w:t> </w:t>
      </w:r>
      <w:r>
        <w:rPr>
          <w:color w:val="231F1F"/>
          <w:sz w:val="20"/>
        </w:rPr>
        <w:t>acupuncture</w:t>
      </w:r>
      <w:r>
        <w:rPr>
          <w:color w:val="231F1F"/>
          <w:spacing w:val="40"/>
          <w:sz w:val="20"/>
        </w:rPr>
        <w:t> </w:t>
      </w:r>
      <w:r>
        <w:rPr>
          <w:color w:val="231F1F"/>
          <w:sz w:val="20"/>
        </w:rPr>
        <w:t>points</w:t>
      </w:r>
      <w:r>
        <w:rPr>
          <w:color w:val="231F1F"/>
          <w:spacing w:val="40"/>
          <w:sz w:val="20"/>
        </w:rPr>
        <w:t> </w:t>
      </w:r>
      <w:r>
        <w:rPr>
          <w:color w:val="231F1F"/>
          <w:sz w:val="20"/>
        </w:rPr>
        <w:t>during</w:t>
      </w:r>
      <w:r>
        <w:rPr>
          <w:color w:val="231F1F"/>
          <w:spacing w:val="40"/>
          <w:sz w:val="20"/>
        </w:rPr>
        <w:t> </w:t>
      </w:r>
      <w:r>
        <w:rPr>
          <w:color w:val="231F1F"/>
          <w:sz w:val="20"/>
        </w:rPr>
        <w:t>the</w:t>
      </w:r>
      <w:r>
        <w:rPr>
          <w:color w:val="231F1F"/>
          <w:spacing w:val="40"/>
          <w:sz w:val="20"/>
        </w:rPr>
        <w:t> </w:t>
      </w:r>
      <w:r>
        <w:rPr>
          <w:color w:val="231F1F"/>
          <w:sz w:val="20"/>
        </w:rPr>
        <w:t>first</w:t>
      </w:r>
      <w:r>
        <w:rPr>
          <w:color w:val="231F1F"/>
          <w:spacing w:val="40"/>
          <w:sz w:val="20"/>
        </w:rPr>
        <w:t> </w:t>
      </w:r>
      <w:r>
        <w:rPr>
          <w:color w:val="231F1F"/>
          <w:sz w:val="20"/>
        </w:rPr>
        <w:t>stage</w:t>
      </w:r>
      <w:r>
        <w:rPr>
          <w:color w:val="231F1F"/>
          <w:spacing w:val="80"/>
          <w:sz w:val="20"/>
        </w:rPr>
        <w:t> </w:t>
      </w:r>
      <w:r>
        <w:rPr>
          <w:color w:val="231F1F"/>
          <w:sz w:val="20"/>
        </w:rPr>
        <w:t>of</w:t>
      </w:r>
      <w:r>
        <w:rPr>
          <w:color w:val="231F1F"/>
          <w:spacing w:val="80"/>
          <w:sz w:val="20"/>
        </w:rPr>
        <w:t> </w:t>
      </w:r>
      <w:r>
        <w:rPr>
          <w:color w:val="231F1F"/>
          <w:sz w:val="20"/>
        </w:rPr>
        <w:t>labor:</w:t>
      </w:r>
      <w:r>
        <w:rPr>
          <w:color w:val="231F1F"/>
          <w:spacing w:val="80"/>
          <w:sz w:val="20"/>
        </w:rPr>
        <w:t> </w:t>
      </w:r>
      <w:r>
        <w:rPr>
          <w:color w:val="231F1F"/>
          <w:sz w:val="20"/>
        </w:rPr>
        <w:t>a</w:t>
      </w:r>
      <w:r>
        <w:rPr>
          <w:color w:val="231F1F"/>
          <w:spacing w:val="80"/>
          <w:sz w:val="20"/>
        </w:rPr>
        <w:t> </w:t>
      </w:r>
      <w:r>
        <w:rPr>
          <w:color w:val="231F1F"/>
          <w:sz w:val="20"/>
        </w:rPr>
        <w:t>randomized</w:t>
      </w:r>
      <w:r>
        <w:rPr>
          <w:color w:val="231F1F"/>
          <w:spacing w:val="80"/>
          <w:sz w:val="20"/>
        </w:rPr>
        <w:t> </w:t>
      </w:r>
      <w:r>
        <w:rPr>
          <w:color w:val="231F1F"/>
          <w:sz w:val="20"/>
        </w:rPr>
        <w:t>double-blind</w:t>
      </w:r>
      <w:r>
        <w:rPr>
          <w:color w:val="231F1F"/>
          <w:spacing w:val="80"/>
          <w:sz w:val="20"/>
        </w:rPr>
        <w:t> </w:t>
      </w:r>
      <w:r>
        <w:rPr>
          <w:color w:val="231F1F"/>
          <w:sz w:val="20"/>
        </w:rPr>
        <w:t>placebo-controlled</w:t>
      </w:r>
      <w:r>
        <w:rPr>
          <w:color w:val="231F1F"/>
          <w:spacing w:val="80"/>
          <w:sz w:val="20"/>
        </w:rPr>
        <w:t> </w:t>
      </w:r>
      <w:r>
        <w:rPr>
          <w:color w:val="231F1F"/>
          <w:sz w:val="20"/>
        </w:rPr>
        <w:t>trial.</w:t>
      </w:r>
      <w:r>
        <w:rPr>
          <w:color w:val="231F1F"/>
          <w:spacing w:val="80"/>
          <w:sz w:val="20"/>
        </w:rPr>
        <w:t> </w:t>
      </w:r>
      <w:r>
        <w:rPr>
          <w:color w:val="231F1F"/>
          <w:sz w:val="20"/>
        </w:rPr>
        <w:t>Pain</w:t>
      </w:r>
      <w:r>
        <w:rPr>
          <w:color w:val="231F1F"/>
          <w:spacing w:val="80"/>
          <w:sz w:val="20"/>
        </w:rPr>
        <w:t> </w:t>
      </w:r>
      <w:r>
        <w:rPr>
          <w:color w:val="231F1F"/>
          <w:sz w:val="20"/>
        </w:rPr>
        <w:t>2007;127(3):214- </w:t>
      </w:r>
      <w:r>
        <w:rPr>
          <w:color w:val="231F1F"/>
          <w:spacing w:val="-4"/>
          <w:sz w:val="20"/>
        </w:rPr>
        <w:t>20.</w:t>
      </w:r>
    </w:p>
    <w:p>
      <w:pPr>
        <w:pStyle w:val="ListParagraph"/>
        <w:numPr>
          <w:ilvl w:val="0"/>
          <w:numId w:val="109"/>
        </w:numPr>
        <w:tabs>
          <w:tab w:pos="789" w:val="left" w:leader="none"/>
          <w:tab w:pos="793" w:val="left" w:leader="none"/>
        </w:tabs>
        <w:spacing w:line="230" w:lineRule="auto" w:before="144" w:after="0"/>
        <w:ind w:left="793" w:right="121" w:hanging="511"/>
        <w:jc w:val="both"/>
        <w:rPr>
          <w:sz w:val="20"/>
        </w:rPr>
      </w:pPr>
      <w:r>
        <w:rPr>
          <w:color w:val="231F1F"/>
          <w:w w:val="105"/>
          <w:sz w:val="20"/>
        </w:rPr>
        <w:t>Rosen MA. Nitrous oxide for relief of labor pain: a systematic review. Am J Obstet Gynecol 2002;186(5 Suppl Nature):S110-26.</w:t>
      </w:r>
    </w:p>
    <w:p>
      <w:pPr>
        <w:pStyle w:val="ListParagraph"/>
        <w:numPr>
          <w:ilvl w:val="0"/>
          <w:numId w:val="109"/>
        </w:numPr>
        <w:tabs>
          <w:tab w:pos="789" w:val="left" w:leader="none"/>
          <w:tab w:pos="793" w:val="left" w:leader="none"/>
        </w:tabs>
        <w:spacing w:line="230" w:lineRule="auto" w:before="158" w:after="0"/>
        <w:ind w:left="793" w:right="122" w:hanging="511"/>
        <w:jc w:val="both"/>
        <w:rPr>
          <w:sz w:val="20"/>
        </w:rPr>
      </w:pPr>
      <w:r>
        <w:rPr>
          <w:color w:val="231F1F"/>
          <w:w w:val="105"/>
          <w:sz w:val="20"/>
        </w:rPr>
        <w:t>Bricker</w:t>
      </w:r>
      <w:r>
        <w:rPr>
          <w:color w:val="231F1F"/>
          <w:w w:val="105"/>
          <w:sz w:val="20"/>
        </w:rPr>
        <w:t> L,</w:t>
      </w:r>
      <w:r>
        <w:rPr>
          <w:color w:val="231F1F"/>
          <w:w w:val="105"/>
          <w:sz w:val="20"/>
        </w:rPr>
        <w:t> Lavender</w:t>
      </w:r>
      <w:r>
        <w:rPr>
          <w:color w:val="231F1F"/>
          <w:w w:val="105"/>
          <w:sz w:val="20"/>
        </w:rPr>
        <w:t> T.</w:t>
      </w:r>
      <w:r>
        <w:rPr>
          <w:color w:val="231F1F"/>
          <w:w w:val="105"/>
          <w:sz w:val="20"/>
        </w:rPr>
        <w:t> Parenteral</w:t>
      </w:r>
      <w:r>
        <w:rPr>
          <w:color w:val="231F1F"/>
          <w:w w:val="105"/>
          <w:sz w:val="20"/>
        </w:rPr>
        <w:t> opioids</w:t>
      </w:r>
      <w:r>
        <w:rPr>
          <w:color w:val="231F1F"/>
          <w:w w:val="105"/>
          <w:sz w:val="20"/>
        </w:rPr>
        <w:t> for</w:t>
      </w:r>
      <w:r>
        <w:rPr>
          <w:color w:val="231F1F"/>
          <w:w w:val="105"/>
          <w:sz w:val="20"/>
        </w:rPr>
        <w:t> labor</w:t>
      </w:r>
      <w:r>
        <w:rPr>
          <w:color w:val="231F1F"/>
          <w:w w:val="105"/>
          <w:sz w:val="20"/>
        </w:rPr>
        <w:t> pain</w:t>
      </w:r>
      <w:r>
        <w:rPr>
          <w:color w:val="231F1F"/>
          <w:w w:val="105"/>
          <w:sz w:val="20"/>
        </w:rPr>
        <w:t> relief:</w:t>
      </w:r>
      <w:r>
        <w:rPr>
          <w:color w:val="231F1F"/>
          <w:w w:val="105"/>
          <w:sz w:val="20"/>
        </w:rPr>
        <w:t> a</w:t>
      </w:r>
      <w:r>
        <w:rPr>
          <w:color w:val="231F1F"/>
          <w:w w:val="105"/>
          <w:sz w:val="20"/>
        </w:rPr>
        <w:t> systematic</w:t>
      </w:r>
      <w:r>
        <w:rPr>
          <w:color w:val="231F1F"/>
          <w:w w:val="105"/>
          <w:sz w:val="20"/>
        </w:rPr>
        <w:t> review.</w:t>
      </w:r>
      <w:r>
        <w:rPr>
          <w:color w:val="231F1F"/>
          <w:w w:val="105"/>
          <w:sz w:val="20"/>
        </w:rPr>
        <w:t> Am</w:t>
      </w:r>
      <w:r>
        <w:rPr>
          <w:color w:val="231F1F"/>
          <w:w w:val="105"/>
          <w:sz w:val="20"/>
        </w:rPr>
        <w:t> J Obstet Gynecol 2002;186(5 Suppl Nature):S94-109.</w:t>
      </w:r>
    </w:p>
    <w:p>
      <w:pPr>
        <w:pStyle w:val="ListParagraph"/>
        <w:numPr>
          <w:ilvl w:val="0"/>
          <w:numId w:val="109"/>
        </w:numPr>
        <w:tabs>
          <w:tab w:pos="789" w:val="left" w:leader="none"/>
          <w:tab w:pos="793" w:val="left" w:leader="none"/>
        </w:tabs>
        <w:spacing w:line="225" w:lineRule="auto" w:before="163" w:after="0"/>
        <w:ind w:left="793" w:right="111" w:hanging="511"/>
        <w:jc w:val="both"/>
        <w:rPr>
          <w:sz w:val="20"/>
        </w:rPr>
      </w:pPr>
      <w:r>
        <w:rPr>
          <w:color w:val="231F1F"/>
          <w:w w:val="105"/>
          <w:sz w:val="20"/>
        </w:rPr>
        <w:t>Elbourne D, Wiseman RA. Types of intra-muscular opiods for maternal pain relief in labour. (Cochrane Review) Cochrane Database of Systematic Reviews 2000;(3).</w:t>
      </w:r>
    </w:p>
    <w:p>
      <w:pPr>
        <w:pStyle w:val="ListParagraph"/>
        <w:numPr>
          <w:ilvl w:val="0"/>
          <w:numId w:val="109"/>
        </w:numPr>
        <w:tabs>
          <w:tab w:pos="787" w:val="left" w:leader="none"/>
          <w:tab w:pos="791" w:val="left" w:leader="none"/>
        </w:tabs>
        <w:spacing w:line="230" w:lineRule="auto" w:before="159" w:after="0"/>
        <w:ind w:left="791" w:right="121" w:hanging="511"/>
        <w:jc w:val="both"/>
        <w:rPr>
          <w:sz w:val="20"/>
        </w:rPr>
      </w:pPr>
      <w:r>
        <w:rPr>
          <w:color w:val="231F1F"/>
          <w:w w:val="110"/>
          <w:sz w:val="20"/>
        </w:rPr>
        <w:t>Tsui</w:t>
      </w:r>
      <w:r>
        <w:rPr>
          <w:color w:val="231F1F"/>
          <w:spacing w:val="-14"/>
          <w:w w:val="110"/>
          <w:sz w:val="20"/>
        </w:rPr>
        <w:t> </w:t>
      </w:r>
      <w:r>
        <w:rPr>
          <w:color w:val="231F1F"/>
          <w:w w:val="110"/>
          <w:sz w:val="20"/>
        </w:rPr>
        <w:t>MH.</w:t>
      </w:r>
      <w:r>
        <w:rPr>
          <w:color w:val="231F1F"/>
          <w:spacing w:val="-14"/>
          <w:w w:val="110"/>
          <w:sz w:val="20"/>
        </w:rPr>
        <w:t> </w:t>
      </w:r>
      <w:r>
        <w:rPr>
          <w:color w:val="231F1F"/>
          <w:w w:val="110"/>
          <w:sz w:val="20"/>
        </w:rPr>
        <w:t>A</w:t>
      </w:r>
      <w:r>
        <w:rPr>
          <w:color w:val="231F1F"/>
          <w:spacing w:val="-14"/>
          <w:w w:val="110"/>
          <w:sz w:val="20"/>
        </w:rPr>
        <w:t> </w:t>
      </w:r>
      <w:r>
        <w:rPr>
          <w:color w:val="231F1F"/>
          <w:w w:val="110"/>
          <w:sz w:val="20"/>
        </w:rPr>
        <w:t>double</w:t>
      </w:r>
      <w:r>
        <w:rPr>
          <w:color w:val="231F1F"/>
          <w:spacing w:val="-13"/>
          <w:w w:val="110"/>
          <w:sz w:val="20"/>
        </w:rPr>
        <w:t> </w:t>
      </w:r>
      <w:r>
        <w:rPr>
          <w:color w:val="231F1F"/>
          <w:w w:val="110"/>
          <w:sz w:val="20"/>
        </w:rPr>
        <w:t>blinded</w:t>
      </w:r>
      <w:r>
        <w:rPr>
          <w:color w:val="231F1F"/>
          <w:spacing w:val="-14"/>
          <w:w w:val="110"/>
          <w:sz w:val="20"/>
        </w:rPr>
        <w:t> </w:t>
      </w:r>
      <w:r>
        <w:rPr>
          <w:color w:val="231F1F"/>
          <w:w w:val="110"/>
          <w:sz w:val="20"/>
        </w:rPr>
        <w:t>randomised</w:t>
      </w:r>
      <w:r>
        <w:rPr>
          <w:color w:val="231F1F"/>
          <w:spacing w:val="-14"/>
          <w:w w:val="110"/>
          <w:sz w:val="20"/>
        </w:rPr>
        <w:t> </w:t>
      </w:r>
      <w:r>
        <w:rPr>
          <w:color w:val="231F1F"/>
          <w:w w:val="110"/>
          <w:sz w:val="20"/>
        </w:rPr>
        <w:t>placebo-controlled</w:t>
      </w:r>
      <w:r>
        <w:rPr>
          <w:color w:val="231F1F"/>
          <w:spacing w:val="-14"/>
          <w:w w:val="110"/>
          <w:sz w:val="20"/>
        </w:rPr>
        <w:t> </w:t>
      </w:r>
      <w:r>
        <w:rPr>
          <w:color w:val="231F1F"/>
          <w:w w:val="110"/>
          <w:sz w:val="20"/>
        </w:rPr>
        <w:t>study</w:t>
      </w:r>
      <w:r>
        <w:rPr>
          <w:color w:val="231F1F"/>
          <w:spacing w:val="-13"/>
          <w:w w:val="110"/>
          <w:sz w:val="20"/>
        </w:rPr>
        <w:t> </w:t>
      </w:r>
      <w:r>
        <w:rPr>
          <w:color w:val="231F1F"/>
          <w:w w:val="110"/>
          <w:sz w:val="20"/>
        </w:rPr>
        <w:t>of</w:t>
      </w:r>
      <w:r>
        <w:rPr>
          <w:color w:val="231F1F"/>
          <w:spacing w:val="-14"/>
          <w:w w:val="110"/>
          <w:sz w:val="20"/>
        </w:rPr>
        <w:t> </w:t>
      </w:r>
      <w:r>
        <w:rPr>
          <w:color w:val="231F1F"/>
          <w:w w:val="110"/>
          <w:sz w:val="20"/>
        </w:rPr>
        <w:t>intramuscular</w:t>
      </w:r>
      <w:r>
        <w:rPr>
          <w:color w:val="231F1F"/>
          <w:spacing w:val="-14"/>
          <w:w w:val="110"/>
          <w:sz w:val="20"/>
        </w:rPr>
        <w:t> </w:t>
      </w:r>
      <w:r>
        <w:rPr>
          <w:color w:val="231F1F"/>
          <w:w w:val="110"/>
          <w:sz w:val="20"/>
        </w:rPr>
        <w:t>pethidine for</w:t>
      </w:r>
      <w:r>
        <w:rPr>
          <w:color w:val="231F1F"/>
          <w:w w:val="110"/>
          <w:sz w:val="20"/>
        </w:rPr>
        <w:t> pain</w:t>
      </w:r>
      <w:r>
        <w:rPr>
          <w:color w:val="231F1F"/>
          <w:w w:val="110"/>
          <w:sz w:val="20"/>
        </w:rPr>
        <w:t> relief</w:t>
      </w:r>
      <w:r>
        <w:rPr>
          <w:color w:val="231F1F"/>
          <w:w w:val="110"/>
          <w:sz w:val="20"/>
        </w:rPr>
        <w:t> in</w:t>
      </w:r>
      <w:r>
        <w:rPr>
          <w:color w:val="231F1F"/>
          <w:w w:val="110"/>
          <w:sz w:val="20"/>
        </w:rPr>
        <w:t> the</w:t>
      </w:r>
      <w:r>
        <w:rPr>
          <w:color w:val="231F1F"/>
          <w:w w:val="110"/>
          <w:sz w:val="20"/>
        </w:rPr>
        <w:t> first</w:t>
      </w:r>
      <w:r>
        <w:rPr>
          <w:color w:val="231F1F"/>
          <w:w w:val="110"/>
          <w:sz w:val="20"/>
        </w:rPr>
        <w:t> stage</w:t>
      </w:r>
      <w:r>
        <w:rPr>
          <w:color w:val="231F1F"/>
          <w:w w:val="110"/>
          <w:sz w:val="20"/>
        </w:rPr>
        <w:t> of</w:t>
      </w:r>
      <w:r>
        <w:rPr>
          <w:color w:val="231F1F"/>
          <w:w w:val="110"/>
          <w:sz w:val="20"/>
        </w:rPr>
        <w:t> labour.</w:t>
      </w:r>
      <w:r>
        <w:rPr>
          <w:color w:val="231F1F"/>
          <w:w w:val="110"/>
          <w:sz w:val="20"/>
        </w:rPr>
        <w:t> BJOG:</w:t>
      </w:r>
      <w:r>
        <w:rPr>
          <w:color w:val="231F1F"/>
          <w:w w:val="110"/>
          <w:sz w:val="20"/>
        </w:rPr>
        <w:t> an</w:t>
      </w:r>
      <w:r>
        <w:rPr>
          <w:color w:val="231F1F"/>
          <w:w w:val="110"/>
          <w:sz w:val="20"/>
        </w:rPr>
        <w:t> international</w:t>
      </w:r>
      <w:r>
        <w:rPr>
          <w:color w:val="231F1F"/>
          <w:w w:val="110"/>
          <w:sz w:val="20"/>
        </w:rPr>
        <w:t> journal</w:t>
      </w:r>
      <w:r>
        <w:rPr>
          <w:color w:val="231F1F"/>
          <w:w w:val="110"/>
          <w:sz w:val="20"/>
        </w:rPr>
        <w:t> of</w:t>
      </w:r>
      <w:r>
        <w:rPr>
          <w:color w:val="231F1F"/>
          <w:w w:val="110"/>
          <w:sz w:val="20"/>
        </w:rPr>
        <w:t> obstetric</w:t>
      </w:r>
      <w:r>
        <w:rPr>
          <w:color w:val="231F1F"/>
          <w:w w:val="110"/>
          <w:sz w:val="20"/>
        </w:rPr>
        <w:t> &amp; gynaecology</w:t>
      </w:r>
      <w:r>
        <w:rPr>
          <w:color w:val="231F1F"/>
          <w:spacing w:val="-16"/>
          <w:w w:val="110"/>
          <w:sz w:val="20"/>
        </w:rPr>
        <w:t> </w:t>
      </w:r>
      <w:r>
        <w:rPr>
          <w:color w:val="231F1F"/>
          <w:w w:val="110"/>
          <w:sz w:val="20"/>
        </w:rPr>
        <w:t>2004;111(7):648-55.</w:t>
      </w:r>
    </w:p>
    <w:p>
      <w:pPr>
        <w:pStyle w:val="ListParagraph"/>
        <w:numPr>
          <w:ilvl w:val="0"/>
          <w:numId w:val="109"/>
        </w:numPr>
        <w:tabs>
          <w:tab w:pos="789" w:val="left" w:leader="none"/>
          <w:tab w:pos="793" w:val="left" w:leader="none"/>
        </w:tabs>
        <w:spacing w:line="225" w:lineRule="auto" w:before="162" w:after="0"/>
        <w:ind w:left="793" w:right="126" w:hanging="511"/>
        <w:jc w:val="both"/>
        <w:rPr>
          <w:sz w:val="20"/>
        </w:rPr>
      </w:pPr>
      <w:r>
        <w:rPr>
          <w:color w:val="231F1F"/>
          <w:w w:val="105"/>
          <w:sz w:val="20"/>
        </w:rPr>
        <w:t>Soontrapa</w:t>
      </w:r>
      <w:r>
        <w:rPr>
          <w:color w:val="231F1F"/>
          <w:w w:val="105"/>
          <w:sz w:val="20"/>
        </w:rPr>
        <w:t> S,</w:t>
      </w:r>
      <w:r>
        <w:rPr>
          <w:color w:val="231F1F"/>
          <w:w w:val="105"/>
          <w:sz w:val="20"/>
        </w:rPr>
        <w:t> Komwilaisak</w:t>
      </w:r>
      <w:r>
        <w:rPr>
          <w:color w:val="231F1F"/>
          <w:w w:val="105"/>
          <w:sz w:val="20"/>
        </w:rPr>
        <w:t> R,</w:t>
      </w:r>
      <w:r>
        <w:rPr>
          <w:color w:val="231F1F"/>
          <w:w w:val="105"/>
          <w:sz w:val="20"/>
        </w:rPr>
        <w:t> Somboonpurn</w:t>
      </w:r>
      <w:r>
        <w:rPr>
          <w:color w:val="231F1F"/>
          <w:w w:val="105"/>
          <w:sz w:val="20"/>
        </w:rPr>
        <w:t> W,</w:t>
      </w:r>
      <w:r>
        <w:rPr>
          <w:color w:val="231F1F"/>
          <w:w w:val="105"/>
          <w:sz w:val="20"/>
        </w:rPr>
        <w:t> Sookpanya</w:t>
      </w:r>
      <w:r>
        <w:rPr>
          <w:color w:val="231F1F"/>
          <w:w w:val="105"/>
          <w:sz w:val="20"/>
        </w:rPr>
        <w:t> S.</w:t>
      </w:r>
      <w:r>
        <w:rPr>
          <w:color w:val="231F1F"/>
          <w:w w:val="105"/>
          <w:sz w:val="20"/>
        </w:rPr>
        <w:t> Effetiveness</w:t>
      </w:r>
      <w:r>
        <w:rPr>
          <w:color w:val="231F1F"/>
          <w:w w:val="105"/>
          <w:sz w:val="20"/>
        </w:rPr>
        <w:t> of</w:t>
      </w:r>
      <w:r>
        <w:rPr>
          <w:color w:val="231F1F"/>
          <w:w w:val="105"/>
          <w:sz w:val="20"/>
        </w:rPr>
        <w:t> intravenous meperidine for pain relief in the first stage of labour. J Med Assoc Thai 2002;85(11):1169-75.</w:t>
      </w:r>
    </w:p>
    <w:p>
      <w:pPr>
        <w:pStyle w:val="ListParagraph"/>
        <w:numPr>
          <w:ilvl w:val="0"/>
          <w:numId w:val="109"/>
        </w:numPr>
        <w:tabs>
          <w:tab w:pos="789" w:val="left" w:leader="none"/>
          <w:tab w:pos="793" w:val="left" w:leader="none"/>
        </w:tabs>
        <w:spacing w:line="235" w:lineRule="auto" w:before="155" w:after="0"/>
        <w:ind w:left="793" w:right="110" w:hanging="511"/>
        <w:jc w:val="both"/>
        <w:rPr>
          <w:sz w:val="20"/>
        </w:rPr>
      </w:pPr>
      <w:r>
        <w:rPr>
          <w:color w:val="231F1F"/>
          <w:w w:val="105"/>
          <w:sz w:val="20"/>
        </w:rPr>
        <w:t>Isenor</w:t>
      </w:r>
      <w:r>
        <w:rPr>
          <w:color w:val="231F1F"/>
          <w:w w:val="105"/>
          <w:sz w:val="20"/>
        </w:rPr>
        <w:t> L,</w:t>
      </w:r>
      <w:r>
        <w:rPr>
          <w:color w:val="231F1F"/>
          <w:w w:val="105"/>
          <w:sz w:val="20"/>
        </w:rPr>
        <w:t> Penny-MacGillivray</w:t>
      </w:r>
      <w:r>
        <w:rPr>
          <w:color w:val="231F1F"/>
          <w:w w:val="105"/>
          <w:sz w:val="20"/>
        </w:rPr>
        <w:t> T.</w:t>
      </w:r>
      <w:r>
        <w:rPr>
          <w:color w:val="231F1F"/>
          <w:w w:val="105"/>
          <w:sz w:val="20"/>
        </w:rPr>
        <w:t> Intravenous</w:t>
      </w:r>
      <w:r>
        <w:rPr>
          <w:color w:val="231F1F"/>
          <w:w w:val="105"/>
          <w:sz w:val="20"/>
        </w:rPr>
        <w:t> meperidine</w:t>
      </w:r>
      <w:r>
        <w:rPr>
          <w:color w:val="231F1F"/>
          <w:w w:val="105"/>
          <w:sz w:val="20"/>
        </w:rPr>
        <w:t> infusion</w:t>
      </w:r>
      <w:r>
        <w:rPr>
          <w:color w:val="231F1F"/>
          <w:w w:val="105"/>
          <w:sz w:val="20"/>
        </w:rPr>
        <w:t> for</w:t>
      </w:r>
      <w:r>
        <w:rPr>
          <w:color w:val="231F1F"/>
          <w:w w:val="105"/>
          <w:sz w:val="20"/>
        </w:rPr>
        <w:t> obstetric</w:t>
      </w:r>
      <w:r>
        <w:rPr>
          <w:color w:val="231F1F"/>
          <w:w w:val="105"/>
          <w:sz w:val="20"/>
        </w:rPr>
        <w:t> analgesia. Journal of Obstetric, Gynecologic and Neonatal Nursing 1993;22(4):349-56.</w:t>
      </w:r>
    </w:p>
    <w:p>
      <w:pPr>
        <w:pStyle w:val="ListParagraph"/>
        <w:numPr>
          <w:ilvl w:val="0"/>
          <w:numId w:val="109"/>
        </w:numPr>
        <w:tabs>
          <w:tab w:pos="788" w:val="left" w:leader="none"/>
          <w:tab w:pos="792" w:val="left" w:leader="none"/>
        </w:tabs>
        <w:spacing w:line="225" w:lineRule="auto" w:before="162" w:after="0"/>
        <w:ind w:left="792" w:right="124" w:hanging="511"/>
        <w:jc w:val="both"/>
        <w:rPr>
          <w:sz w:val="20"/>
        </w:rPr>
      </w:pPr>
      <w:r>
        <w:rPr>
          <w:color w:val="231F1F"/>
          <w:w w:val="105"/>
          <w:sz w:val="20"/>
        </w:rPr>
        <w:t>Volikas I, Male D. A comparison of pethidine and remifentanil patient-controlled analgesia in labour. International</w:t>
      </w:r>
      <w:r>
        <w:rPr>
          <w:color w:val="231F1F"/>
          <w:spacing w:val="40"/>
          <w:w w:val="105"/>
          <w:sz w:val="20"/>
        </w:rPr>
        <w:t> </w:t>
      </w:r>
      <w:r>
        <w:rPr>
          <w:color w:val="231F1F"/>
          <w:w w:val="105"/>
          <w:sz w:val="20"/>
        </w:rPr>
        <w:t>Journal</w:t>
      </w:r>
      <w:r>
        <w:rPr>
          <w:color w:val="231F1F"/>
          <w:spacing w:val="40"/>
          <w:w w:val="105"/>
          <w:sz w:val="20"/>
        </w:rPr>
        <w:t> </w:t>
      </w:r>
      <w:r>
        <w:rPr>
          <w:color w:val="231F1F"/>
          <w:w w:val="105"/>
          <w:sz w:val="20"/>
        </w:rPr>
        <w:t>of</w:t>
      </w:r>
      <w:r>
        <w:rPr>
          <w:color w:val="231F1F"/>
          <w:spacing w:val="40"/>
          <w:w w:val="105"/>
          <w:sz w:val="20"/>
        </w:rPr>
        <w:t> </w:t>
      </w:r>
      <w:r>
        <w:rPr>
          <w:color w:val="231F1F"/>
          <w:w w:val="105"/>
          <w:sz w:val="20"/>
        </w:rPr>
        <w:t>Obstetric Anesthesia</w:t>
      </w:r>
      <w:r>
        <w:rPr>
          <w:color w:val="231F1F"/>
          <w:spacing w:val="40"/>
          <w:w w:val="105"/>
          <w:sz w:val="20"/>
        </w:rPr>
        <w:t> </w:t>
      </w:r>
      <w:r>
        <w:rPr>
          <w:color w:val="231F1F"/>
          <w:w w:val="105"/>
          <w:sz w:val="20"/>
        </w:rPr>
        <w:t>2001;10(2):86-90.</w:t>
      </w:r>
    </w:p>
    <w:p>
      <w:pPr>
        <w:pStyle w:val="ListParagraph"/>
        <w:numPr>
          <w:ilvl w:val="0"/>
          <w:numId w:val="109"/>
        </w:numPr>
        <w:tabs>
          <w:tab w:pos="787" w:val="left" w:leader="none"/>
          <w:tab w:pos="791" w:val="left" w:leader="none"/>
        </w:tabs>
        <w:spacing w:line="240" w:lineRule="auto" w:before="151" w:after="0"/>
        <w:ind w:left="791" w:right="114" w:hanging="511"/>
        <w:jc w:val="both"/>
        <w:rPr>
          <w:sz w:val="20"/>
        </w:rPr>
      </w:pPr>
      <w:r>
        <w:rPr>
          <w:color w:val="231F1F"/>
          <w:sz w:val="20"/>
        </w:rPr>
        <w:t>Blair JM. Patient controlled analgesia for labour: a comparison of remifentanil with pethidine. Anaesthesia 2005;60(1):22-7.</w:t>
      </w:r>
    </w:p>
    <w:p>
      <w:pPr>
        <w:pStyle w:val="ListParagraph"/>
        <w:numPr>
          <w:ilvl w:val="0"/>
          <w:numId w:val="109"/>
        </w:numPr>
        <w:tabs>
          <w:tab w:pos="787" w:val="left" w:leader="none"/>
          <w:tab w:pos="791" w:val="left" w:leader="none"/>
        </w:tabs>
        <w:spacing w:line="230" w:lineRule="auto" w:before="153" w:after="0"/>
        <w:ind w:left="791" w:right="119" w:hanging="511"/>
        <w:jc w:val="both"/>
        <w:rPr>
          <w:sz w:val="20"/>
        </w:rPr>
      </w:pPr>
      <w:r>
        <w:rPr>
          <w:color w:val="231F1F"/>
          <w:w w:val="110"/>
          <w:sz w:val="20"/>
        </w:rPr>
        <w:t>Thurlow</w:t>
      </w:r>
      <w:r>
        <w:rPr>
          <w:color w:val="231F1F"/>
          <w:w w:val="110"/>
          <w:sz w:val="20"/>
        </w:rPr>
        <w:t> JA,</w:t>
      </w:r>
      <w:r>
        <w:rPr>
          <w:color w:val="231F1F"/>
          <w:w w:val="110"/>
          <w:sz w:val="20"/>
        </w:rPr>
        <w:t> Waterhouse</w:t>
      </w:r>
      <w:r>
        <w:rPr>
          <w:color w:val="231F1F"/>
          <w:w w:val="110"/>
          <w:sz w:val="20"/>
        </w:rPr>
        <w:t> P.</w:t>
      </w:r>
      <w:r>
        <w:rPr>
          <w:color w:val="231F1F"/>
          <w:w w:val="110"/>
          <w:sz w:val="20"/>
        </w:rPr>
        <w:t> Remifentanil</w:t>
      </w:r>
      <w:r>
        <w:rPr>
          <w:color w:val="231F1F"/>
          <w:w w:val="110"/>
          <w:sz w:val="20"/>
        </w:rPr>
        <w:t> by</w:t>
      </w:r>
      <w:r>
        <w:rPr>
          <w:color w:val="231F1F"/>
          <w:w w:val="110"/>
          <w:sz w:val="20"/>
        </w:rPr>
        <w:t> patient-controlled</w:t>
      </w:r>
      <w:r>
        <w:rPr>
          <w:color w:val="231F1F"/>
          <w:w w:val="110"/>
          <w:sz w:val="20"/>
        </w:rPr>
        <w:t> analgesia</w:t>
      </w:r>
      <w:r>
        <w:rPr>
          <w:color w:val="231F1F"/>
          <w:w w:val="110"/>
          <w:sz w:val="20"/>
        </w:rPr>
        <w:t> compared</w:t>
      </w:r>
      <w:r>
        <w:rPr>
          <w:color w:val="231F1F"/>
          <w:w w:val="110"/>
          <w:sz w:val="20"/>
        </w:rPr>
        <w:t> with intamuscular meperidine for pain relief in labour. Br J Anaesth 2002;88(3):374-8.</w:t>
      </w:r>
    </w:p>
    <w:p>
      <w:pPr>
        <w:pStyle w:val="ListParagraph"/>
        <w:numPr>
          <w:ilvl w:val="0"/>
          <w:numId w:val="109"/>
        </w:numPr>
        <w:tabs>
          <w:tab w:pos="789" w:val="left" w:leader="none"/>
          <w:tab w:pos="793" w:val="left" w:leader="none"/>
        </w:tabs>
        <w:spacing w:line="225" w:lineRule="auto" w:before="162" w:after="0"/>
        <w:ind w:left="793" w:right="111" w:hanging="511"/>
        <w:jc w:val="both"/>
        <w:rPr>
          <w:sz w:val="20"/>
        </w:rPr>
      </w:pPr>
      <w:r>
        <w:rPr>
          <w:color w:val="231F1F"/>
          <w:w w:val="105"/>
          <w:sz w:val="20"/>
        </w:rPr>
        <w:t>Evron S, Glezerman M, Sadan O, Boaz M, Ezri T. A novel systemic analgesic for labor pain. Anesth Analg 2005;100:233-8.</w:t>
      </w:r>
    </w:p>
    <w:p>
      <w:pPr>
        <w:pStyle w:val="ListParagraph"/>
        <w:numPr>
          <w:ilvl w:val="0"/>
          <w:numId w:val="109"/>
        </w:numPr>
        <w:tabs>
          <w:tab w:pos="787" w:val="left" w:leader="none"/>
          <w:tab w:pos="791" w:val="left" w:leader="none"/>
        </w:tabs>
        <w:spacing w:line="232" w:lineRule="auto" w:before="157" w:after="0"/>
        <w:ind w:left="791" w:right="122" w:hanging="511"/>
        <w:jc w:val="both"/>
        <w:rPr>
          <w:sz w:val="20"/>
        </w:rPr>
      </w:pPr>
      <w:r>
        <w:rPr>
          <w:color w:val="231F1F"/>
          <w:w w:val="110"/>
          <w:sz w:val="20"/>
        </w:rPr>
        <w:t>Shahriari A, Khooshideh M. A Randomized Controlled Trial of Intravenous Remifentanil Compared</w:t>
      </w:r>
      <w:r>
        <w:rPr>
          <w:color w:val="231F1F"/>
          <w:w w:val="110"/>
          <w:sz w:val="20"/>
        </w:rPr>
        <w:t> with</w:t>
      </w:r>
      <w:r>
        <w:rPr>
          <w:color w:val="231F1F"/>
          <w:w w:val="110"/>
          <w:sz w:val="20"/>
        </w:rPr>
        <w:t> Intramuscular</w:t>
      </w:r>
      <w:r>
        <w:rPr>
          <w:color w:val="231F1F"/>
          <w:w w:val="110"/>
          <w:sz w:val="20"/>
        </w:rPr>
        <w:t> Meperidine</w:t>
      </w:r>
      <w:r>
        <w:rPr>
          <w:color w:val="231F1F"/>
          <w:w w:val="110"/>
          <w:sz w:val="20"/>
        </w:rPr>
        <w:t> for</w:t>
      </w:r>
      <w:r>
        <w:rPr>
          <w:color w:val="231F1F"/>
          <w:w w:val="110"/>
          <w:sz w:val="20"/>
        </w:rPr>
        <w:t> Pain</w:t>
      </w:r>
      <w:r>
        <w:rPr>
          <w:color w:val="231F1F"/>
          <w:w w:val="110"/>
          <w:sz w:val="20"/>
        </w:rPr>
        <w:t> Relief</w:t>
      </w:r>
      <w:r>
        <w:rPr>
          <w:color w:val="231F1F"/>
          <w:w w:val="110"/>
          <w:sz w:val="20"/>
        </w:rPr>
        <w:t> in</w:t>
      </w:r>
      <w:r>
        <w:rPr>
          <w:color w:val="231F1F"/>
          <w:w w:val="110"/>
          <w:sz w:val="20"/>
        </w:rPr>
        <w:t> Labor.</w:t>
      </w:r>
      <w:r>
        <w:rPr>
          <w:color w:val="231F1F"/>
          <w:w w:val="110"/>
          <w:sz w:val="20"/>
        </w:rPr>
        <w:t> Journal</w:t>
      </w:r>
      <w:r>
        <w:rPr>
          <w:color w:val="231F1F"/>
          <w:w w:val="110"/>
          <w:sz w:val="20"/>
        </w:rPr>
        <w:t> of</w:t>
      </w:r>
      <w:r>
        <w:rPr>
          <w:color w:val="231F1F"/>
          <w:w w:val="110"/>
          <w:sz w:val="20"/>
        </w:rPr>
        <w:t> medical sciences 2007;7(4):635-9.</w:t>
      </w:r>
    </w:p>
    <w:p>
      <w:pPr>
        <w:pStyle w:val="ListParagraph"/>
        <w:numPr>
          <w:ilvl w:val="0"/>
          <w:numId w:val="109"/>
        </w:numPr>
        <w:tabs>
          <w:tab w:pos="789" w:val="left" w:leader="none"/>
          <w:tab w:pos="793" w:val="left" w:leader="none"/>
        </w:tabs>
        <w:spacing w:line="230" w:lineRule="auto" w:before="153" w:after="0"/>
        <w:ind w:left="793" w:right="121" w:hanging="511"/>
        <w:jc w:val="both"/>
        <w:rPr>
          <w:sz w:val="20"/>
        </w:rPr>
      </w:pPr>
      <w:r>
        <w:rPr>
          <w:color w:val="231F1F"/>
          <w:w w:val="105"/>
          <w:sz w:val="20"/>
        </w:rPr>
        <w:t>Volmanen</w:t>
      </w:r>
      <w:r>
        <w:rPr>
          <w:color w:val="231F1F"/>
          <w:w w:val="105"/>
          <w:sz w:val="20"/>
        </w:rPr>
        <w:t> P,</w:t>
      </w:r>
      <w:r>
        <w:rPr>
          <w:color w:val="231F1F"/>
          <w:w w:val="105"/>
          <w:sz w:val="20"/>
        </w:rPr>
        <w:t> Sarvela</w:t>
      </w:r>
      <w:r>
        <w:rPr>
          <w:color w:val="231F1F"/>
          <w:w w:val="105"/>
          <w:sz w:val="20"/>
        </w:rPr>
        <w:t> J,</w:t>
      </w:r>
      <w:r>
        <w:rPr>
          <w:color w:val="231F1F"/>
          <w:w w:val="105"/>
          <w:sz w:val="20"/>
        </w:rPr>
        <w:t> Akural</w:t>
      </w:r>
      <w:r>
        <w:rPr>
          <w:color w:val="231F1F"/>
          <w:w w:val="105"/>
          <w:sz w:val="20"/>
        </w:rPr>
        <w:t> EL,</w:t>
      </w:r>
      <w:r>
        <w:rPr>
          <w:color w:val="231F1F"/>
          <w:w w:val="105"/>
          <w:sz w:val="20"/>
        </w:rPr>
        <w:t> Raudakoski</w:t>
      </w:r>
      <w:r>
        <w:rPr>
          <w:color w:val="231F1F"/>
          <w:w w:val="105"/>
          <w:sz w:val="20"/>
        </w:rPr>
        <w:t> T,</w:t>
      </w:r>
      <w:r>
        <w:rPr>
          <w:color w:val="231F1F"/>
          <w:w w:val="105"/>
          <w:sz w:val="20"/>
        </w:rPr>
        <w:t> Korttila</w:t>
      </w:r>
      <w:r>
        <w:rPr>
          <w:color w:val="231F1F"/>
          <w:w w:val="105"/>
          <w:sz w:val="20"/>
        </w:rPr>
        <w:t> K,</w:t>
      </w:r>
      <w:r>
        <w:rPr>
          <w:color w:val="231F1F"/>
          <w:w w:val="105"/>
          <w:sz w:val="20"/>
        </w:rPr>
        <w:t> Alahuhta</w:t>
      </w:r>
      <w:r>
        <w:rPr>
          <w:color w:val="231F1F"/>
          <w:w w:val="105"/>
          <w:sz w:val="20"/>
        </w:rPr>
        <w:t> S.</w:t>
      </w:r>
      <w:r>
        <w:rPr>
          <w:color w:val="231F1F"/>
          <w:w w:val="105"/>
          <w:sz w:val="20"/>
        </w:rPr>
        <w:t> Intravenous remifentanil</w:t>
      </w:r>
      <w:r>
        <w:rPr>
          <w:color w:val="231F1F"/>
          <w:w w:val="105"/>
          <w:sz w:val="20"/>
        </w:rPr>
        <w:t> vs.</w:t>
      </w:r>
      <w:r>
        <w:rPr>
          <w:color w:val="231F1F"/>
          <w:w w:val="105"/>
          <w:sz w:val="20"/>
        </w:rPr>
        <w:t> epidural</w:t>
      </w:r>
      <w:r>
        <w:rPr>
          <w:color w:val="231F1F"/>
          <w:w w:val="105"/>
          <w:sz w:val="20"/>
        </w:rPr>
        <w:t> levobupivacaine</w:t>
      </w:r>
      <w:r>
        <w:rPr>
          <w:color w:val="231F1F"/>
          <w:w w:val="105"/>
          <w:sz w:val="20"/>
        </w:rPr>
        <w:t> with</w:t>
      </w:r>
      <w:r>
        <w:rPr>
          <w:color w:val="231F1F"/>
          <w:w w:val="105"/>
          <w:sz w:val="20"/>
        </w:rPr>
        <w:t> fentanyl</w:t>
      </w:r>
      <w:r>
        <w:rPr>
          <w:color w:val="231F1F"/>
          <w:w w:val="105"/>
          <w:sz w:val="20"/>
        </w:rPr>
        <w:t> for</w:t>
      </w:r>
      <w:r>
        <w:rPr>
          <w:color w:val="231F1F"/>
          <w:w w:val="105"/>
          <w:sz w:val="20"/>
        </w:rPr>
        <w:t> pain</w:t>
      </w:r>
      <w:r>
        <w:rPr>
          <w:color w:val="231F1F"/>
          <w:w w:val="105"/>
          <w:sz w:val="20"/>
        </w:rPr>
        <w:t> relief</w:t>
      </w:r>
      <w:r>
        <w:rPr>
          <w:color w:val="231F1F"/>
          <w:w w:val="105"/>
          <w:sz w:val="20"/>
        </w:rPr>
        <w:t> in</w:t>
      </w:r>
      <w:r>
        <w:rPr>
          <w:color w:val="231F1F"/>
          <w:w w:val="105"/>
          <w:sz w:val="20"/>
        </w:rPr>
        <w:t> early</w:t>
      </w:r>
      <w:r>
        <w:rPr>
          <w:color w:val="231F1F"/>
          <w:w w:val="105"/>
          <w:sz w:val="20"/>
        </w:rPr>
        <w:t> labour:</w:t>
      </w:r>
      <w:r>
        <w:rPr>
          <w:color w:val="231F1F"/>
          <w:w w:val="105"/>
          <w:sz w:val="20"/>
        </w:rPr>
        <w:t> a randomised, controlled, double-blinded study. Acta Anaesthesiol Scand 2008;52(2):249-55.</w:t>
      </w:r>
    </w:p>
    <w:p>
      <w:pPr>
        <w:pStyle w:val="ListParagraph"/>
        <w:numPr>
          <w:ilvl w:val="0"/>
          <w:numId w:val="109"/>
        </w:numPr>
        <w:tabs>
          <w:tab w:pos="788" w:val="left" w:leader="none"/>
          <w:tab w:pos="792" w:val="left" w:leader="none"/>
        </w:tabs>
        <w:spacing w:line="232" w:lineRule="auto" w:before="157" w:after="0"/>
        <w:ind w:left="792" w:right="122" w:hanging="511"/>
        <w:jc w:val="both"/>
        <w:rPr>
          <w:sz w:val="20"/>
        </w:rPr>
      </w:pPr>
      <w:r>
        <w:rPr>
          <w:color w:val="231F1F"/>
          <w:w w:val="105"/>
          <w:sz w:val="20"/>
        </w:rPr>
        <w:t>Evron</w:t>
      </w:r>
      <w:r>
        <w:rPr>
          <w:color w:val="231F1F"/>
          <w:spacing w:val="-13"/>
          <w:w w:val="105"/>
          <w:sz w:val="20"/>
        </w:rPr>
        <w:t> </w:t>
      </w:r>
      <w:r>
        <w:rPr>
          <w:color w:val="231F1F"/>
          <w:w w:val="105"/>
          <w:sz w:val="20"/>
        </w:rPr>
        <w:t>S,</w:t>
      </w:r>
      <w:r>
        <w:rPr>
          <w:color w:val="231F1F"/>
          <w:spacing w:val="-12"/>
          <w:w w:val="105"/>
          <w:sz w:val="20"/>
        </w:rPr>
        <w:t> </w:t>
      </w:r>
      <w:r>
        <w:rPr>
          <w:color w:val="231F1F"/>
          <w:w w:val="105"/>
          <w:sz w:val="20"/>
        </w:rPr>
        <w:t>Ezri</w:t>
      </w:r>
      <w:r>
        <w:rPr>
          <w:color w:val="231F1F"/>
          <w:spacing w:val="-12"/>
          <w:w w:val="105"/>
          <w:sz w:val="20"/>
        </w:rPr>
        <w:t> </w:t>
      </w:r>
      <w:r>
        <w:rPr>
          <w:color w:val="231F1F"/>
          <w:w w:val="105"/>
          <w:sz w:val="20"/>
        </w:rPr>
        <w:t>T,</w:t>
      </w:r>
      <w:r>
        <w:rPr>
          <w:color w:val="231F1F"/>
          <w:spacing w:val="-12"/>
          <w:w w:val="105"/>
          <w:sz w:val="20"/>
        </w:rPr>
        <w:t> </w:t>
      </w:r>
      <w:r>
        <w:rPr>
          <w:color w:val="231F1F"/>
          <w:w w:val="105"/>
          <w:sz w:val="20"/>
        </w:rPr>
        <w:t>Protianov</w:t>
      </w:r>
      <w:r>
        <w:rPr>
          <w:color w:val="231F1F"/>
          <w:spacing w:val="-12"/>
          <w:w w:val="105"/>
          <w:sz w:val="20"/>
        </w:rPr>
        <w:t> </w:t>
      </w:r>
      <w:r>
        <w:rPr>
          <w:color w:val="231F1F"/>
          <w:w w:val="105"/>
          <w:sz w:val="20"/>
        </w:rPr>
        <w:t>M,</w:t>
      </w:r>
      <w:r>
        <w:rPr>
          <w:color w:val="231F1F"/>
          <w:spacing w:val="-12"/>
          <w:w w:val="105"/>
          <w:sz w:val="20"/>
        </w:rPr>
        <w:t> </w:t>
      </w:r>
      <w:r>
        <w:rPr>
          <w:color w:val="231F1F"/>
          <w:w w:val="105"/>
          <w:sz w:val="20"/>
        </w:rPr>
        <w:t>Muzikant</w:t>
      </w:r>
      <w:r>
        <w:rPr>
          <w:color w:val="231F1F"/>
          <w:spacing w:val="-12"/>
          <w:w w:val="105"/>
          <w:sz w:val="20"/>
        </w:rPr>
        <w:t> </w:t>
      </w:r>
      <w:r>
        <w:rPr>
          <w:color w:val="231F1F"/>
          <w:w w:val="105"/>
          <w:sz w:val="20"/>
        </w:rPr>
        <w:t>G,</w:t>
      </w:r>
      <w:r>
        <w:rPr>
          <w:color w:val="231F1F"/>
          <w:spacing w:val="-12"/>
          <w:w w:val="105"/>
          <w:sz w:val="20"/>
        </w:rPr>
        <w:t> </w:t>
      </w:r>
      <w:r>
        <w:rPr>
          <w:color w:val="231F1F"/>
          <w:w w:val="105"/>
          <w:sz w:val="20"/>
        </w:rPr>
        <w:t>Sadan</w:t>
      </w:r>
      <w:r>
        <w:rPr>
          <w:color w:val="231F1F"/>
          <w:spacing w:val="-13"/>
          <w:w w:val="105"/>
          <w:sz w:val="20"/>
        </w:rPr>
        <w:t> </w:t>
      </w:r>
      <w:r>
        <w:rPr>
          <w:color w:val="231F1F"/>
          <w:w w:val="105"/>
          <w:sz w:val="20"/>
        </w:rPr>
        <w:t>O,</w:t>
      </w:r>
      <w:r>
        <w:rPr>
          <w:color w:val="231F1F"/>
          <w:spacing w:val="-12"/>
          <w:w w:val="105"/>
          <w:sz w:val="20"/>
        </w:rPr>
        <w:t> </w:t>
      </w:r>
      <w:r>
        <w:rPr>
          <w:color w:val="231F1F"/>
          <w:w w:val="105"/>
          <w:sz w:val="20"/>
        </w:rPr>
        <w:t>Herman</w:t>
      </w:r>
      <w:r>
        <w:rPr>
          <w:color w:val="231F1F"/>
          <w:spacing w:val="-13"/>
          <w:w w:val="105"/>
          <w:sz w:val="20"/>
        </w:rPr>
        <w:t> </w:t>
      </w:r>
      <w:r>
        <w:rPr>
          <w:color w:val="231F1F"/>
          <w:w w:val="105"/>
          <w:sz w:val="20"/>
        </w:rPr>
        <w:t>A,</w:t>
      </w:r>
      <w:r>
        <w:rPr>
          <w:color w:val="231F1F"/>
          <w:spacing w:val="-12"/>
          <w:w w:val="105"/>
          <w:sz w:val="20"/>
        </w:rPr>
        <w:t> </w:t>
      </w:r>
      <w:r>
        <w:rPr>
          <w:color w:val="231F1F"/>
          <w:w w:val="105"/>
          <w:sz w:val="20"/>
        </w:rPr>
        <w:t>et</w:t>
      </w:r>
      <w:r>
        <w:rPr>
          <w:color w:val="231F1F"/>
          <w:spacing w:val="-12"/>
          <w:w w:val="105"/>
          <w:sz w:val="20"/>
        </w:rPr>
        <w:t> </w:t>
      </w:r>
      <w:r>
        <w:rPr>
          <w:color w:val="231F1F"/>
          <w:w w:val="105"/>
          <w:sz w:val="20"/>
        </w:rPr>
        <w:t>al.The</w:t>
      </w:r>
      <w:r>
        <w:rPr>
          <w:color w:val="231F1F"/>
          <w:spacing w:val="-9"/>
          <w:w w:val="105"/>
          <w:sz w:val="20"/>
        </w:rPr>
        <w:t> </w:t>
      </w:r>
      <w:r>
        <w:rPr>
          <w:color w:val="231F1F"/>
          <w:w w:val="105"/>
          <w:sz w:val="20"/>
        </w:rPr>
        <w:t>effects</w:t>
      </w:r>
      <w:r>
        <w:rPr>
          <w:color w:val="231F1F"/>
          <w:spacing w:val="-9"/>
          <w:w w:val="105"/>
          <w:sz w:val="20"/>
        </w:rPr>
        <w:t> </w:t>
      </w:r>
      <w:r>
        <w:rPr>
          <w:color w:val="231F1F"/>
          <w:w w:val="105"/>
          <w:sz w:val="20"/>
        </w:rPr>
        <w:t>of</w:t>
      </w:r>
      <w:r>
        <w:rPr>
          <w:color w:val="231F1F"/>
          <w:spacing w:val="-10"/>
          <w:w w:val="105"/>
          <w:sz w:val="20"/>
        </w:rPr>
        <w:t> </w:t>
      </w:r>
      <w:r>
        <w:rPr>
          <w:color w:val="231F1F"/>
          <w:w w:val="105"/>
          <w:sz w:val="20"/>
        </w:rPr>
        <w:t>remifentanil or</w:t>
      </w:r>
      <w:r>
        <w:rPr>
          <w:color w:val="231F1F"/>
          <w:w w:val="105"/>
          <w:sz w:val="20"/>
        </w:rPr>
        <w:t> acetaminophen</w:t>
      </w:r>
      <w:r>
        <w:rPr>
          <w:color w:val="231F1F"/>
          <w:w w:val="105"/>
          <w:sz w:val="20"/>
        </w:rPr>
        <w:t> with</w:t>
      </w:r>
      <w:r>
        <w:rPr>
          <w:color w:val="231F1F"/>
          <w:w w:val="105"/>
          <w:sz w:val="20"/>
        </w:rPr>
        <w:t> epidural</w:t>
      </w:r>
      <w:r>
        <w:rPr>
          <w:color w:val="231F1F"/>
          <w:w w:val="105"/>
          <w:sz w:val="20"/>
        </w:rPr>
        <w:t> ropivacaine</w:t>
      </w:r>
      <w:r>
        <w:rPr>
          <w:color w:val="231F1F"/>
          <w:w w:val="105"/>
          <w:sz w:val="20"/>
        </w:rPr>
        <w:t> on</w:t>
      </w:r>
      <w:r>
        <w:rPr>
          <w:color w:val="231F1F"/>
          <w:w w:val="105"/>
          <w:sz w:val="20"/>
        </w:rPr>
        <w:t> body</w:t>
      </w:r>
      <w:r>
        <w:rPr>
          <w:color w:val="231F1F"/>
          <w:w w:val="105"/>
          <w:sz w:val="20"/>
        </w:rPr>
        <w:t> temperature</w:t>
      </w:r>
      <w:r>
        <w:rPr>
          <w:color w:val="231F1F"/>
          <w:w w:val="105"/>
          <w:sz w:val="20"/>
        </w:rPr>
        <w:t> during</w:t>
      </w:r>
      <w:r>
        <w:rPr>
          <w:color w:val="231F1F"/>
          <w:w w:val="105"/>
          <w:sz w:val="20"/>
        </w:rPr>
        <w:t> labor.</w:t>
      </w:r>
      <w:r>
        <w:rPr>
          <w:color w:val="231F1F"/>
          <w:w w:val="105"/>
          <w:sz w:val="20"/>
        </w:rPr>
        <w:t> Journal</w:t>
      </w:r>
      <w:r>
        <w:rPr>
          <w:color w:val="231F1F"/>
          <w:w w:val="105"/>
          <w:sz w:val="20"/>
        </w:rPr>
        <w:t> of Anesthesia 2008;228(2):105-11.</w:t>
      </w:r>
    </w:p>
    <w:p>
      <w:pPr>
        <w:pStyle w:val="ListParagraph"/>
        <w:spacing w:after="0" w:line="232" w:lineRule="auto"/>
        <w:jc w:val="both"/>
        <w:rPr>
          <w:sz w:val="20"/>
        </w:rPr>
        <w:sectPr>
          <w:pgSz w:w="11900" w:h="16840"/>
          <w:pgMar w:header="0" w:footer="622" w:top="1580" w:bottom="820" w:left="1417" w:right="1559"/>
        </w:sectPr>
      </w:pPr>
    </w:p>
    <w:p>
      <w:pPr>
        <w:pStyle w:val="ListParagraph"/>
        <w:numPr>
          <w:ilvl w:val="0"/>
          <w:numId w:val="109"/>
        </w:numPr>
        <w:tabs>
          <w:tab w:pos="793" w:val="left" w:leader="none"/>
          <w:tab w:pos="797" w:val="left" w:leader="none"/>
        </w:tabs>
        <w:spacing w:line="218" w:lineRule="auto" w:before="99" w:after="0"/>
        <w:ind w:left="797" w:right="115" w:hanging="502"/>
        <w:jc w:val="both"/>
        <w:rPr>
          <w:sz w:val="20"/>
        </w:rPr>
      </w:pPr>
      <w:r>
        <w:rPr>
          <w:color w:val="231F1F"/>
          <w:w w:val="110"/>
          <w:position w:val="1"/>
          <w:sz w:val="20"/>
        </w:rPr>
        <w:t>Morgan-Ortiz</w:t>
      </w:r>
      <w:r>
        <w:rPr>
          <w:color w:val="231F1F"/>
          <w:w w:val="110"/>
          <w:position w:val="1"/>
          <w:sz w:val="20"/>
        </w:rPr>
        <w:t> F,</w:t>
      </w:r>
      <w:r>
        <w:rPr>
          <w:color w:val="231F1F"/>
          <w:w w:val="110"/>
          <w:position w:val="1"/>
          <w:sz w:val="20"/>
        </w:rPr>
        <w:t> Quintero-Ledezma</w:t>
      </w:r>
      <w:r>
        <w:rPr>
          <w:color w:val="231F1F"/>
          <w:w w:val="110"/>
          <w:position w:val="1"/>
          <w:sz w:val="20"/>
        </w:rPr>
        <w:t> JC,</w:t>
      </w:r>
      <w:r>
        <w:rPr>
          <w:color w:val="231F1F"/>
          <w:w w:val="110"/>
          <w:position w:val="1"/>
          <w:sz w:val="20"/>
        </w:rPr>
        <w:t> Perez-Sotelo</w:t>
      </w:r>
      <w:r>
        <w:rPr>
          <w:color w:val="231F1F"/>
          <w:w w:val="110"/>
          <w:position w:val="1"/>
          <w:sz w:val="20"/>
        </w:rPr>
        <w:t> JA.</w:t>
      </w:r>
      <w:r>
        <w:rPr>
          <w:color w:val="231F1F"/>
          <w:w w:val="110"/>
          <w:position w:val="1"/>
          <w:sz w:val="20"/>
        </w:rPr>
        <w:t> Evolution</w:t>
      </w:r>
      <w:r>
        <w:rPr>
          <w:color w:val="231F1F"/>
          <w:w w:val="110"/>
          <w:position w:val="1"/>
          <w:sz w:val="20"/>
        </w:rPr>
        <w:t> and</w:t>
      </w:r>
      <w:r>
        <w:rPr>
          <w:color w:val="231F1F"/>
          <w:w w:val="110"/>
          <w:position w:val="1"/>
          <w:sz w:val="20"/>
        </w:rPr>
        <w:t> quality</w:t>
      </w:r>
      <w:r>
        <w:rPr>
          <w:color w:val="231F1F"/>
          <w:w w:val="110"/>
          <w:position w:val="1"/>
          <w:sz w:val="20"/>
        </w:rPr>
        <w:t> of</w:t>
      </w:r>
      <w:r>
        <w:rPr>
          <w:color w:val="231F1F"/>
          <w:w w:val="110"/>
          <w:position w:val="1"/>
          <w:sz w:val="20"/>
        </w:rPr>
        <w:t> care </w:t>
      </w:r>
      <w:r>
        <w:rPr>
          <w:color w:val="231F1F"/>
          <w:w w:val="110"/>
          <w:sz w:val="20"/>
        </w:rPr>
        <w:t>during</w:t>
      </w:r>
      <w:r>
        <w:rPr>
          <w:color w:val="231F1F"/>
          <w:spacing w:val="-14"/>
          <w:w w:val="110"/>
          <w:sz w:val="20"/>
        </w:rPr>
        <w:t> </w:t>
      </w:r>
      <w:r>
        <w:rPr>
          <w:color w:val="231F1F"/>
          <w:w w:val="110"/>
          <w:sz w:val="20"/>
        </w:rPr>
        <w:t>labor</w:t>
      </w:r>
      <w:r>
        <w:rPr>
          <w:color w:val="231F1F"/>
          <w:spacing w:val="-14"/>
          <w:w w:val="110"/>
          <w:sz w:val="20"/>
        </w:rPr>
        <w:t> </w:t>
      </w:r>
      <w:r>
        <w:rPr>
          <w:color w:val="231F1F"/>
          <w:w w:val="110"/>
          <w:sz w:val="20"/>
        </w:rPr>
        <w:t>and</w:t>
      </w:r>
      <w:r>
        <w:rPr>
          <w:color w:val="231F1F"/>
          <w:spacing w:val="-14"/>
          <w:w w:val="110"/>
          <w:sz w:val="20"/>
        </w:rPr>
        <w:t> </w:t>
      </w:r>
      <w:r>
        <w:rPr>
          <w:color w:val="231F1F"/>
          <w:w w:val="110"/>
          <w:sz w:val="20"/>
        </w:rPr>
        <w:t>delivery</w:t>
      </w:r>
      <w:r>
        <w:rPr>
          <w:color w:val="231F1F"/>
          <w:spacing w:val="-13"/>
          <w:w w:val="110"/>
          <w:sz w:val="20"/>
        </w:rPr>
        <w:t> </w:t>
      </w:r>
      <w:r>
        <w:rPr>
          <w:color w:val="231F1F"/>
          <w:w w:val="110"/>
          <w:sz w:val="20"/>
        </w:rPr>
        <w:t>in</w:t>
      </w:r>
      <w:r>
        <w:rPr>
          <w:color w:val="231F1F"/>
          <w:spacing w:val="-14"/>
          <w:w w:val="110"/>
          <w:sz w:val="20"/>
        </w:rPr>
        <w:t> </w:t>
      </w:r>
      <w:r>
        <w:rPr>
          <w:color w:val="231F1F"/>
          <w:w w:val="110"/>
          <w:sz w:val="20"/>
        </w:rPr>
        <w:t>primiparous</w:t>
      </w:r>
      <w:r>
        <w:rPr>
          <w:color w:val="231F1F"/>
          <w:spacing w:val="-14"/>
          <w:w w:val="110"/>
          <w:sz w:val="20"/>
        </w:rPr>
        <w:t> </w:t>
      </w:r>
      <w:r>
        <w:rPr>
          <w:color w:val="231F1F"/>
          <w:w w:val="110"/>
          <w:sz w:val="20"/>
        </w:rPr>
        <w:t>patients</w:t>
      </w:r>
      <w:r>
        <w:rPr>
          <w:color w:val="231F1F"/>
          <w:spacing w:val="-14"/>
          <w:w w:val="110"/>
          <w:sz w:val="20"/>
        </w:rPr>
        <w:t> </w:t>
      </w:r>
      <w:r>
        <w:rPr>
          <w:color w:val="231F1F"/>
          <w:w w:val="110"/>
          <w:sz w:val="20"/>
        </w:rPr>
        <w:t>who</w:t>
      </w:r>
      <w:r>
        <w:rPr>
          <w:color w:val="231F1F"/>
          <w:spacing w:val="-13"/>
          <w:w w:val="110"/>
          <w:sz w:val="20"/>
        </w:rPr>
        <w:t> </w:t>
      </w:r>
      <w:r>
        <w:rPr>
          <w:color w:val="231F1F"/>
          <w:w w:val="110"/>
          <w:sz w:val="20"/>
        </w:rPr>
        <w:t>underwent</w:t>
      </w:r>
      <w:r>
        <w:rPr>
          <w:color w:val="231F1F"/>
          <w:spacing w:val="-14"/>
          <w:w w:val="110"/>
          <w:sz w:val="20"/>
        </w:rPr>
        <w:t> </w:t>
      </w:r>
      <w:r>
        <w:rPr>
          <w:color w:val="231F1F"/>
          <w:w w:val="110"/>
          <w:sz w:val="20"/>
        </w:rPr>
        <w:t>early</w:t>
      </w:r>
      <w:r>
        <w:rPr>
          <w:color w:val="231F1F"/>
          <w:spacing w:val="-14"/>
          <w:w w:val="110"/>
          <w:sz w:val="20"/>
        </w:rPr>
        <w:t> </w:t>
      </w:r>
      <w:r>
        <w:rPr>
          <w:color w:val="231F1F"/>
          <w:w w:val="110"/>
          <w:sz w:val="20"/>
        </w:rPr>
        <w:t>obstetrical</w:t>
      </w:r>
      <w:r>
        <w:rPr>
          <w:color w:val="231F1F"/>
          <w:spacing w:val="-14"/>
          <w:w w:val="110"/>
          <w:sz w:val="20"/>
        </w:rPr>
        <w:t> </w:t>
      </w:r>
      <w:r>
        <w:rPr>
          <w:color w:val="231F1F"/>
          <w:w w:val="110"/>
          <w:sz w:val="20"/>
        </w:rPr>
        <w:t>analgesia. Ginecol Obstet Mex 1999;67:522-6.</w:t>
      </w:r>
    </w:p>
    <w:p>
      <w:pPr>
        <w:pStyle w:val="ListParagraph"/>
        <w:numPr>
          <w:ilvl w:val="0"/>
          <w:numId w:val="109"/>
        </w:numPr>
        <w:tabs>
          <w:tab w:pos="794" w:val="left" w:leader="none"/>
          <w:tab w:pos="798" w:val="left" w:leader="none"/>
        </w:tabs>
        <w:spacing w:line="220" w:lineRule="auto" w:before="181" w:after="0"/>
        <w:ind w:left="798" w:right="123" w:hanging="502"/>
        <w:jc w:val="both"/>
        <w:rPr>
          <w:sz w:val="20"/>
        </w:rPr>
      </w:pPr>
      <w:r>
        <w:rPr>
          <w:color w:val="231F1F"/>
          <w:w w:val="105"/>
          <w:position w:val="1"/>
          <w:sz w:val="20"/>
        </w:rPr>
        <w:t>Anim-Somuah</w:t>
      </w:r>
      <w:r>
        <w:rPr>
          <w:color w:val="231F1F"/>
          <w:spacing w:val="40"/>
          <w:w w:val="105"/>
          <w:position w:val="1"/>
          <w:sz w:val="20"/>
        </w:rPr>
        <w:t> </w:t>
      </w:r>
      <w:r>
        <w:rPr>
          <w:color w:val="231F1F"/>
          <w:w w:val="105"/>
          <w:position w:val="1"/>
          <w:sz w:val="20"/>
        </w:rPr>
        <w:t>M,</w:t>
      </w:r>
      <w:r>
        <w:rPr>
          <w:color w:val="231F1F"/>
          <w:w w:val="105"/>
          <w:position w:val="1"/>
          <w:sz w:val="20"/>
        </w:rPr>
        <w:t> Smyth</w:t>
      </w:r>
      <w:r>
        <w:rPr>
          <w:color w:val="231F1F"/>
          <w:spacing w:val="40"/>
          <w:w w:val="105"/>
          <w:position w:val="1"/>
          <w:sz w:val="20"/>
        </w:rPr>
        <w:t> </w:t>
      </w:r>
      <w:r>
        <w:rPr>
          <w:color w:val="231F1F"/>
          <w:w w:val="105"/>
          <w:position w:val="1"/>
          <w:sz w:val="20"/>
        </w:rPr>
        <w:t>R,</w:t>
      </w:r>
      <w:r>
        <w:rPr>
          <w:color w:val="231F1F"/>
          <w:w w:val="105"/>
          <w:position w:val="1"/>
          <w:sz w:val="20"/>
        </w:rPr>
        <w:t> Howell</w:t>
      </w:r>
      <w:r>
        <w:rPr>
          <w:color w:val="231F1F"/>
          <w:spacing w:val="40"/>
          <w:w w:val="105"/>
          <w:position w:val="1"/>
          <w:sz w:val="20"/>
        </w:rPr>
        <w:t> </w:t>
      </w:r>
      <w:r>
        <w:rPr>
          <w:color w:val="231F1F"/>
          <w:w w:val="105"/>
          <w:position w:val="1"/>
          <w:sz w:val="20"/>
        </w:rPr>
        <w:t>C.</w:t>
      </w:r>
      <w:r>
        <w:rPr>
          <w:color w:val="231F1F"/>
          <w:w w:val="105"/>
          <w:position w:val="1"/>
          <w:sz w:val="20"/>
        </w:rPr>
        <w:t> Epidural</w:t>
      </w:r>
      <w:r>
        <w:rPr>
          <w:color w:val="231F1F"/>
          <w:spacing w:val="40"/>
          <w:w w:val="105"/>
          <w:position w:val="1"/>
          <w:sz w:val="20"/>
        </w:rPr>
        <w:t> </w:t>
      </w:r>
      <w:r>
        <w:rPr>
          <w:color w:val="231F1F"/>
          <w:w w:val="105"/>
          <w:position w:val="1"/>
          <w:sz w:val="20"/>
        </w:rPr>
        <w:t>versus</w:t>
      </w:r>
      <w:r>
        <w:rPr>
          <w:color w:val="231F1F"/>
          <w:spacing w:val="40"/>
          <w:w w:val="105"/>
          <w:position w:val="1"/>
          <w:sz w:val="20"/>
        </w:rPr>
        <w:t> </w:t>
      </w:r>
      <w:r>
        <w:rPr>
          <w:color w:val="231F1F"/>
          <w:w w:val="105"/>
          <w:position w:val="1"/>
          <w:sz w:val="20"/>
        </w:rPr>
        <w:t>non-epidural</w:t>
      </w:r>
      <w:r>
        <w:rPr>
          <w:color w:val="231F1F"/>
          <w:spacing w:val="40"/>
          <w:w w:val="105"/>
          <w:position w:val="1"/>
          <w:sz w:val="20"/>
        </w:rPr>
        <w:t> </w:t>
      </w:r>
      <w:r>
        <w:rPr>
          <w:color w:val="231F1F"/>
          <w:w w:val="105"/>
          <w:position w:val="1"/>
          <w:sz w:val="20"/>
        </w:rPr>
        <w:t>or</w:t>
      </w:r>
      <w:r>
        <w:rPr>
          <w:color w:val="231F1F"/>
          <w:spacing w:val="40"/>
          <w:w w:val="105"/>
          <w:position w:val="1"/>
          <w:sz w:val="20"/>
        </w:rPr>
        <w:t> </w:t>
      </w:r>
      <w:r>
        <w:rPr>
          <w:color w:val="231F1F"/>
          <w:w w:val="105"/>
          <w:position w:val="1"/>
          <w:sz w:val="20"/>
        </w:rPr>
        <w:t>no</w:t>
      </w:r>
      <w:r>
        <w:rPr>
          <w:color w:val="231F1F"/>
          <w:spacing w:val="40"/>
          <w:w w:val="105"/>
          <w:position w:val="1"/>
          <w:sz w:val="20"/>
        </w:rPr>
        <w:t> </w:t>
      </w:r>
      <w:r>
        <w:rPr>
          <w:color w:val="231F1F"/>
          <w:w w:val="105"/>
          <w:position w:val="1"/>
          <w:sz w:val="20"/>
        </w:rPr>
        <w:t>analgesia</w:t>
      </w:r>
      <w:r>
        <w:rPr>
          <w:color w:val="231F1F"/>
          <w:spacing w:val="40"/>
          <w:w w:val="105"/>
          <w:position w:val="1"/>
          <w:sz w:val="20"/>
        </w:rPr>
        <w:t> </w:t>
      </w:r>
      <w:r>
        <w:rPr>
          <w:color w:val="231F1F"/>
          <w:w w:val="105"/>
          <w:position w:val="1"/>
          <w:sz w:val="20"/>
        </w:rPr>
        <w:t>in </w:t>
      </w:r>
      <w:r>
        <w:rPr>
          <w:color w:val="231F1F"/>
          <w:w w:val="105"/>
          <w:sz w:val="20"/>
        </w:rPr>
        <w:t>labour.</w:t>
      </w:r>
      <w:r>
        <w:rPr>
          <w:color w:val="231F1F"/>
          <w:w w:val="105"/>
          <w:sz w:val="20"/>
        </w:rPr>
        <w:t> (Cochrane</w:t>
      </w:r>
      <w:r>
        <w:rPr>
          <w:color w:val="231F1F"/>
          <w:w w:val="105"/>
          <w:sz w:val="20"/>
        </w:rPr>
        <w:t> Review)</w:t>
      </w:r>
      <w:r>
        <w:rPr>
          <w:color w:val="231F1F"/>
          <w:w w:val="105"/>
          <w:sz w:val="20"/>
        </w:rPr>
        <w:t> Cochrane</w:t>
      </w:r>
      <w:r>
        <w:rPr>
          <w:color w:val="231F1F"/>
          <w:w w:val="105"/>
          <w:sz w:val="20"/>
        </w:rPr>
        <w:t> Database</w:t>
      </w:r>
      <w:r>
        <w:rPr>
          <w:color w:val="231F1F"/>
          <w:w w:val="105"/>
          <w:sz w:val="20"/>
        </w:rPr>
        <w:t> of</w:t>
      </w:r>
      <w:r>
        <w:rPr>
          <w:color w:val="231F1F"/>
          <w:w w:val="105"/>
          <w:sz w:val="20"/>
        </w:rPr>
        <w:t> Systematic</w:t>
      </w:r>
      <w:r>
        <w:rPr>
          <w:color w:val="231F1F"/>
          <w:w w:val="105"/>
          <w:sz w:val="20"/>
        </w:rPr>
        <w:t> Reviews</w:t>
      </w:r>
      <w:r>
        <w:rPr>
          <w:color w:val="231F1F"/>
          <w:w w:val="105"/>
          <w:sz w:val="20"/>
        </w:rPr>
        <w:t> 2005;Oxford:</w:t>
      </w:r>
      <w:r>
        <w:rPr>
          <w:color w:val="231F1F"/>
          <w:w w:val="105"/>
          <w:sz w:val="20"/>
        </w:rPr>
        <w:t> Update </w:t>
      </w:r>
      <w:r>
        <w:rPr>
          <w:color w:val="231F1F"/>
          <w:spacing w:val="-2"/>
          <w:w w:val="105"/>
          <w:sz w:val="20"/>
        </w:rPr>
        <w:t>Software.</w:t>
      </w:r>
    </w:p>
    <w:p>
      <w:pPr>
        <w:pStyle w:val="ListParagraph"/>
        <w:numPr>
          <w:ilvl w:val="0"/>
          <w:numId w:val="109"/>
        </w:numPr>
        <w:tabs>
          <w:tab w:pos="793" w:val="left" w:leader="none"/>
          <w:tab w:pos="798" w:val="left" w:leader="none"/>
        </w:tabs>
        <w:spacing w:line="223" w:lineRule="auto" w:before="179" w:after="0"/>
        <w:ind w:left="798" w:right="122" w:hanging="510"/>
        <w:jc w:val="both"/>
        <w:rPr>
          <w:sz w:val="20"/>
        </w:rPr>
      </w:pPr>
      <w:r>
        <w:rPr>
          <w:color w:val="231F1F"/>
          <w:w w:val="105"/>
          <w:position w:val="1"/>
          <w:sz w:val="20"/>
        </w:rPr>
        <w:t>Leighton BL, Halpern SH. The effects of epidural analgesia on labor, maternal, and neonatal </w:t>
      </w:r>
      <w:r>
        <w:rPr>
          <w:color w:val="231F1F"/>
          <w:w w:val="105"/>
          <w:sz w:val="20"/>
        </w:rPr>
        <w:t>outcomes:</w:t>
      </w:r>
      <w:r>
        <w:rPr>
          <w:color w:val="231F1F"/>
          <w:w w:val="105"/>
          <w:sz w:val="20"/>
        </w:rPr>
        <w:t> a</w:t>
      </w:r>
      <w:r>
        <w:rPr>
          <w:color w:val="231F1F"/>
          <w:w w:val="105"/>
          <w:sz w:val="20"/>
        </w:rPr>
        <w:t> systematic</w:t>
      </w:r>
      <w:r>
        <w:rPr>
          <w:color w:val="231F1F"/>
          <w:w w:val="105"/>
          <w:sz w:val="20"/>
        </w:rPr>
        <w:t> review.</w:t>
      </w:r>
      <w:r>
        <w:rPr>
          <w:color w:val="231F1F"/>
          <w:w w:val="105"/>
          <w:sz w:val="20"/>
        </w:rPr>
        <w:t> American</w:t>
      </w:r>
      <w:r>
        <w:rPr>
          <w:color w:val="231F1F"/>
          <w:w w:val="105"/>
          <w:sz w:val="20"/>
        </w:rPr>
        <w:t> Journal</w:t>
      </w:r>
      <w:r>
        <w:rPr>
          <w:color w:val="231F1F"/>
          <w:w w:val="105"/>
          <w:sz w:val="20"/>
        </w:rPr>
        <w:t> of</w:t>
      </w:r>
      <w:r>
        <w:rPr>
          <w:color w:val="231F1F"/>
          <w:w w:val="105"/>
          <w:sz w:val="20"/>
        </w:rPr>
        <w:t> Obstetrics</w:t>
      </w:r>
      <w:r>
        <w:rPr>
          <w:color w:val="231F1F"/>
          <w:w w:val="105"/>
          <w:sz w:val="20"/>
        </w:rPr>
        <w:t> and</w:t>
      </w:r>
      <w:r>
        <w:rPr>
          <w:color w:val="231F1F"/>
          <w:w w:val="105"/>
          <w:sz w:val="20"/>
        </w:rPr>
        <w:t> Gynecology</w:t>
      </w:r>
      <w:r>
        <w:rPr>
          <w:color w:val="231F1F"/>
          <w:w w:val="105"/>
          <w:sz w:val="20"/>
        </w:rPr>
        <w:t> 2002 2002;186((5Suppl Nature)):S69-S77.</w:t>
      </w:r>
    </w:p>
    <w:p>
      <w:pPr>
        <w:pStyle w:val="ListParagraph"/>
        <w:numPr>
          <w:ilvl w:val="0"/>
          <w:numId w:val="109"/>
        </w:numPr>
        <w:tabs>
          <w:tab w:pos="794" w:val="left" w:leader="none"/>
          <w:tab w:pos="798" w:val="left" w:leader="none"/>
        </w:tabs>
        <w:spacing w:line="223" w:lineRule="auto" w:before="174" w:after="0"/>
        <w:ind w:left="798" w:right="123" w:hanging="502"/>
        <w:jc w:val="both"/>
        <w:rPr>
          <w:sz w:val="20"/>
        </w:rPr>
      </w:pPr>
      <w:r>
        <w:rPr>
          <w:color w:val="231F1F"/>
          <w:w w:val="105"/>
          <w:position w:val="1"/>
          <w:sz w:val="20"/>
        </w:rPr>
        <w:t>Reynolds</w:t>
      </w:r>
      <w:r>
        <w:rPr>
          <w:color w:val="231F1F"/>
          <w:w w:val="105"/>
          <w:position w:val="1"/>
          <w:sz w:val="20"/>
        </w:rPr>
        <w:t> F,</w:t>
      </w:r>
      <w:r>
        <w:rPr>
          <w:color w:val="231F1F"/>
          <w:w w:val="105"/>
          <w:position w:val="1"/>
          <w:sz w:val="20"/>
        </w:rPr>
        <w:t> Sharma</w:t>
      </w:r>
      <w:r>
        <w:rPr>
          <w:color w:val="231F1F"/>
          <w:w w:val="105"/>
          <w:position w:val="1"/>
          <w:sz w:val="20"/>
        </w:rPr>
        <w:t> S,</w:t>
      </w:r>
      <w:r>
        <w:rPr>
          <w:color w:val="231F1F"/>
          <w:w w:val="105"/>
          <w:position w:val="1"/>
          <w:sz w:val="20"/>
        </w:rPr>
        <w:t> Seed</w:t>
      </w:r>
      <w:r>
        <w:rPr>
          <w:color w:val="231F1F"/>
          <w:w w:val="105"/>
          <w:position w:val="1"/>
          <w:sz w:val="20"/>
        </w:rPr>
        <w:t> PT.</w:t>
      </w:r>
      <w:r>
        <w:rPr>
          <w:color w:val="231F1F"/>
          <w:w w:val="105"/>
          <w:position w:val="1"/>
          <w:sz w:val="20"/>
        </w:rPr>
        <w:t> Analgesia</w:t>
      </w:r>
      <w:r>
        <w:rPr>
          <w:color w:val="231F1F"/>
          <w:w w:val="105"/>
          <w:position w:val="1"/>
          <w:sz w:val="20"/>
        </w:rPr>
        <w:t> in</w:t>
      </w:r>
      <w:r>
        <w:rPr>
          <w:color w:val="231F1F"/>
          <w:w w:val="105"/>
          <w:position w:val="1"/>
          <w:sz w:val="20"/>
        </w:rPr>
        <w:t> labour</w:t>
      </w:r>
      <w:r>
        <w:rPr>
          <w:color w:val="231F1F"/>
          <w:w w:val="105"/>
          <w:position w:val="1"/>
          <w:sz w:val="20"/>
        </w:rPr>
        <w:t> and</w:t>
      </w:r>
      <w:r>
        <w:rPr>
          <w:color w:val="231F1F"/>
          <w:w w:val="105"/>
          <w:position w:val="1"/>
          <w:sz w:val="20"/>
        </w:rPr>
        <w:t> fetal</w:t>
      </w:r>
      <w:r>
        <w:rPr>
          <w:color w:val="231F1F"/>
          <w:w w:val="105"/>
          <w:position w:val="1"/>
          <w:sz w:val="20"/>
        </w:rPr>
        <w:t> acid-base</w:t>
      </w:r>
      <w:r>
        <w:rPr>
          <w:color w:val="231F1F"/>
          <w:w w:val="105"/>
          <w:position w:val="1"/>
          <w:sz w:val="20"/>
        </w:rPr>
        <w:t> balance:</w:t>
      </w:r>
      <w:r>
        <w:rPr>
          <w:color w:val="231F1F"/>
          <w:w w:val="105"/>
          <w:position w:val="1"/>
          <w:sz w:val="20"/>
        </w:rPr>
        <w:t> a</w:t>
      </w:r>
      <w:r>
        <w:rPr>
          <w:color w:val="231F1F"/>
          <w:w w:val="105"/>
          <w:position w:val="1"/>
          <w:sz w:val="20"/>
        </w:rPr>
        <w:t> meta- </w:t>
      </w:r>
      <w:r>
        <w:rPr>
          <w:color w:val="231F1F"/>
          <w:w w:val="105"/>
          <w:sz w:val="20"/>
        </w:rPr>
        <w:t>analysis</w:t>
      </w:r>
      <w:r>
        <w:rPr>
          <w:color w:val="231F1F"/>
          <w:spacing w:val="28"/>
          <w:w w:val="105"/>
          <w:sz w:val="20"/>
        </w:rPr>
        <w:t> </w:t>
      </w:r>
      <w:r>
        <w:rPr>
          <w:color w:val="231F1F"/>
          <w:w w:val="105"/>
          <w:sz w:val="20"/>
        </w:rPr>
        <w:t>comparing</w:t>
      </w:r>
      <w:r>
        <w:rPr>
          <w:color w:val="231F1F"/>
          <w:spacing w:val="28"/>
          <w:w w:val="105"/>
          <w:sz w:val="20"/>
        </w:rPr>
        <w:t> </w:t>
      </w:r>
      <w:r>
        <w:rPr>
          <w:color w:val="231F1F"/>
          <w:w w:val="105"/>
          <w:sz w:val="20"/>
        </w:rPr>
        <w:t>epidural</w:t>
      </w:r>
      <w:r>
        <w:rPr>
          <w:color w:val="231F1F"/>
          <w:spacing w:val="28"/>
          <w:w w:val="105"/>
          <w:sz w:val="20"/>
        </w:rPr>
        <w:t> </w:t>
      </w:r>
      <w:r>
        <w:rPr>
          <w:color w:val="231F1F"/>
          <w:w w:val="105"/>
          <w:sz w:val="20"/>
        </w:rPr>
        <w:t>with</w:t>
      </w:r>
      <w:r>
        <w:rPr>
          <w:color w:val="231F1F"/>
          <w:spacing w:val="28"/>
          <w:w w:val="105"/>
          <w:sz w:val="20"/>
        </w:rPr>
        <w:t> </w:t>
      </w:r>
      <w:r>
        <w:rPr>
          <w:color w:val="231F1F"/>
          <w:w w:val="105"/>
          <w:sz w:val="20"/>
        </w:rPr>
        <w:t>systemic</w:t>
      </w:r>
      <w:r>
        <w:rPr>
          <w:color w:val="231F1F"/>
          <w:spacing w:val="28"/>
          <w:w w:val="105"/>
          <w:sz w:val="20"/>
        </w:rPr>
        <w:t> </w:t>
      </w:r>
      <w:r>
        <w:rPr>
          <w:color w:val="231F1F"/>
          <w:w w:val="105"/>
          <w:sz w:val="20"/>
        </w:rPr>
        <w:t>opioid</w:t>
      </w:r>
      <w:r>
        <w:rPr>
          <w:color w:val="231F1F"/>
          <w:spacing w:val="28"/>
          <w:w w:val="105"/>
          <w:sz w:val="20"/>
        </w:rPr>
        <w:t> </w:t>
      </w:r>
      <w:r>
        <w:rPr>
          <w:color w:val="231F1F"/>
          <w:w w:val="105"/>
          <w:sz w:val="20"/>
        </w:rPr>
        <w:t>analgesia. BJOG: an</w:t>
      </w:r>
      <w:r>
        <w:rPr>
          <w:color w:val="231F1F"/>
          <w:spacing w:val="28"/>
          <w:w w:val="105"/>
          <w:sz w:val="20"/>
        </w:rPr>
        <w:t> </w:t>
      </w:r>
      <w:r>
        <w:rPr>
          <w:color w:val="231F1F"/>
          <w:w w:val="105"/>
          <w:sz w:val="20"/>
        </w:rPr>
        <w:t>international</w:t>
      </w:r>
      <w:r>
        <w:rPr>
          <w:color w:val="231F1F"/>
          <w:spacing w:val="29"/>
          <w:w w:val="105"/>
          <w:sz w:val="20"/>
        </w:rPr>
        <w:t> </w:t>
      </w:r>
      <w:r>
        <w:rPr>
          <w:color w:val="231F1F"/>
          <w:w w:val="105"/>
          <w:sz w:val="20"/>
        </w:rPr>
        <w:t>journal of obstetric &amp; gynaecology 2002;109(12):1344-53.</w:t>
      </w:r>
    </w:p>
    <w:p>
      <w:pPr>
        <w:pStyle w:val="ListParagraph"/>
        <w:numPr>
          <w:ilvl w:val="0"/>
          <w:numId w:val="109"/>
        </w:numPr>
        <w:tabs>
          <w:tab w:pos="794" w:val="left" w:leader="none"/>
          <w:tab w:pos="798" w:val="left" w:leader="none"/>
        </w:tabs>
        <w:spacing w:line="211" w:lineRule="auto" w:before="188" w:after="0"/>
        <w:ind w:left="798" w:right="168" w:hanging="502"/>
        <w:jc w:val="both"/>
        <w:rPr>
          <w:sz w:val="20"/>
        </w:rPr>
      </w:pPr>
      <w:r>
        <w:rPr>
          <w:color w:val="231F1F"/>
          <w:w w:val="105"/>
          <w:position w:val="1"/>
          <w:sz w:val="20"/>
        </w:rPr>
        <w:t>Philip</w:t>
      </w:r>
      <w:r>
        <w:rPr>
          <w:color w:val="231F1F"/>
          <w:w w:val="105"/>
          <w:position w:val="1"/>
          <w:sz w:val="20"/>
        </w:rPr>
        <w:t> J,</w:t>
      </w:r>
      <w:r>
        <w:rPr>
          <w:color w:val="231F1F"/>
          <w:w w:val="105"/>
          <w:position w:val="1"/>
          <w:sz w:val="20"/>
        </w:rPr>
        <w:t> Alexander</w:t>
      </w:r>
      <w:r>
        <w:rPr>
          <w:color w:val="231F1F"/>
          <w:w w:val="105"/>
          <w:position w:val="1"/>
          <w:sz w:val="20"/>
        </w:rPr>
        <w:t> J,</w:t>
      </w:r>
      <w:r>
        <w:rPr>
          <w:color w:val="231F1F"/>
          <w:w w:val="105"/>
          <w:position w:val="1"/>
          <w:sz w:val="20"/>
        </w:rPr>
        <w:t> Sharma</w:t>
      </w:r>
      <w:r>
        <w:rPr>
          <w:color w:val="231F1F"/>
          <w:w w:val="105"/>
          <w:position w:val="1"/>
          <w:sz w:val="20"/>
        </w:rPr>
        <w:t> S,</w:t>
      </w:r>
      <w:r>
        <w:rPr>
          <w:color w:val="231F1F"/>
          <w:w w:val="105"/>
          <w:position w:val="1"/>
          <w:sz w:val="20"/>
        </w:rPr>
        <w:t> et.al.</w:t>
      </w:r>
      <w:r>
        <w:rPr>
          <w:color w:val="231F1F"/>
          <w:w w:val="105"/>
          <w:position w:val="1"/>
          <w:sz w:val="20"/>
        </w:rPr>
        <w:t> Epidural</w:t>
      </w:r>
      <w:r>
        <w:rPr>
          <w:color w:val="231F1F"/>
          <w:w w:val="105"/>
          <w:position w:val="1"/>
          <w:sz w:val="20"/>
        </w:rPr>
        <w:t> analgesia</w:t>
      </w:r>
      <w:r>
        <w:rPr>
          <w:color w:val="231F1F"/>
          <w:w w:val="105"/>
          <w:position w:val="1"/>
          <w:sz w:val="20"/>
        </w:rPr>
        <w:t> during</w:t>
      </w:r>
      <w:r>
        <w:rPr>
          <w:color w:val="231F1F"/>
          <w:w w:val="105"/>
          <w:position w:val="1"/>
          <w:sz w:val="20"/>
        </w:rPr>
        <w:t> labor</w:t>
      </w:r>
      <w:r>
        <w:rPr>
          <w:color w:val="231F1F"/>
          <w:w w:val="105"/>
          <w:position w:val="1"/>
          <w:sz w:val="20"/>
        </w:rPr>
        <w:t> and</w:t>
      </w:r>
      <w:r>
        <w:rPr>
          <w:color w:val="231F1F"/>
          <w:w w:val="105"/>
          <w:position w:val="1"/>
          <w:sz w:val="20"/>
        </w:rPr>
        <w:t> maternal</w:t>
      </w:r>
      <w:r>
        <w:rPr>
          <w:color w:val="231F1F"/>
          <w:w w:val="105"/>
          <w:position w:val="1"/>
          <w:sz w:val="20"/>
        </w:rPr>
        <w:t> fever. </w:t>
      </w:r>
      <w:r>
        <w:rPr>
          <w:color w:val="231F1F"/>
          <w:w w:val="105"/>
          <w:sz w:val="20"/>
        </w:rPr>
        <w:t>Anesthesiology 1999;90(5):1271-5.</w:t>
      </w:r>
    </w:p>
    <w:p>
      <w:pPr>
        <w:pStyle w:val="ListParagraph"/>
        <w:numPr>
          <w:ilvl w:val="0"/>
          <w:numId w:val="109"/>
        </w:numPr>
        <w:tabs>
          <w:tab w:pos="793" w:val="left" w:leader="none"/>
          <w:tab w:pos="797" w:val="left" w:leader="none"/>
        </w:tabs>
        <w:spacing w:line="244" w:lineRule="auto" w:before="173" w:after="0"/>
        <w:ind w:left="797" w:right="124" w:hanging="505"/>
        <w:jc w:val="both"/>
        <w:rPr>
          <w:sz w:val="20"/>
        </w:rPr>
      </w:pPr>
      <w:r>
        <w:rPr>
          <w:color w:val="231F1F"/>
          <w:sz w:val="20"/>
        </w:rPr>
        <w:t>Eriksson</w:t>
      </w:r>
      <w:r>
        <w:rPr>
          <w:color w:val="231F1F"/>
          <w:spacing w:val="33"/>
          <w:sz w:val="20"/>
        </w:rPr>
        <w:t> </w:t>
      </w:r>
      <w:r>
        <w:rPr>
          <w:color w:val="231F1F"/>
          <w:sz w:val="20"/>
        </w:rPr>
        <w:t>SL, Olausson</w:t>
      </w:r>
      <w:r>
        <w:rPr>
          <w:color w:val="231F1F"/>
          <w:spacing w:val="34"/>
          <w:sz w:val="20"/>
        </w:rPr>
        <w:t> </w:t>
      </w:r>
      <w:r>
        <w:rPr>
          <w:color w:val="231F1F"/>
          <w:sz w:val="20"/>
        </w:rPr>
        <w:t>PO, Olofsson</w:t>
      </w:r>
      <w:r>
        <w:rPr>
          <w:color w:val="231F1F"/>
          <w:spacing w:val="34"/>
          <w:sz w:val="20"/>
        </w:rPr>
        <w:t> </w:t>
      </w:r>
      <w:r>
        <w:rPr>
          <w:color w:val="231F1F"/>
          <w:sz w:val="20"/>
        </w:rPr>
        <w:t>C. Use</w:t>
      </w:r>
      <w:r>
        <w:rPr>
          <w:color w:val="231F1F"/>
          <w:spacing w:val="34"/>
          <w:sz w:val="20"/>
        </w:rPr>
        <w:t> </w:t>
      </w:r>
      <w:r>
        <w:rPr>
          <w:color w:val="231F1F"/>
          <w:sz w:val="20"/>
        </w:rPr>
        <w:t>of</w:t>
      </w:r>
      <w:r>
        <w:rPr>
          <w:color w:val="231F1F"/>
          <w:spacing w:val="34"/>
          <w:sz w:val="20"/>
        </w:rPr>
        <w:t> </w:t>
      </w:r>
      <w:r>
        <w:rPr>
          <w:color w:val="231F1F"/>
          <w:sz w:val="20"/>
        </w:rPr>
        <w:t>epidural</w:t>
      </w:r>
      <w:r>
        <w:rPr>
          <w:color w:val="231F1F"/>
          <w:spacing w:val="34"/>
          <w:sz w:val="20"/>
        </w:rPr>
        <w:t> </w:t>
      </w:r>
      <w:r>
        <w:rPr>
          <w:color w:val="231F1F"/>
          <w:sz w:val="20"/>
        </w:rPr>
        <w:t>analgesia</w:t>
      </w:r>
      <w:r>
        <w:rPr>
          <w:color w:val="231F1F"/>
          <w:spacing w:val="33"/>
          <w:sz w:val="20"/>
        </w:rPr>
        <w:t> </w:t>
      </w:r>
      <w:r>
        <w:rPr>
          <w:color w:val="231F1F"/>
          <w:sz w:val="20"/>
        </w:rPr>
        <w:t>and</w:t>
      </w:r>
      <w:r>
        <w:rPr>
          <w:color w:val="231F1F"/>
          <w:spacing w:val="33"/>
          <w:sz w:val="20"/>
        </w:rPr>
        <w:t> </w:t>
      </w:r>
      <w:r>
        <w:rPr>
          <w:color w:val="231F1F"/>
          <w:sz w:val="20"/>
        </w:rPr>
        <w:t>its</w:t>
      </w:r>
      <w:r>
        <w:rPr>
          <w:color w:val="231F1F"/>
          <w:spacing w:val="34"/>
          <w:sz w:val="20"/>
        </w:rPr>
        <w:t> </w:t>
      </w:r>
      <w:r>
        <w:rPr>
          <w:color w:val="231F1F"/>
          <w:sz w:val="20"/>
        </w:rPr>
        <w:t>relation</w:t>
      </w:r>
      <w:r>
        <w:rPr>
          <w:color w:val="231F1F"/>
          <w:spacing w:val="33"/>
          <w:sz w:val="20"/>
        </w:rPr>
        <w:t> </w:t>
      </w:r>
      <w:r>
        <w:rPr>
          <w:color w:val="231F1F"/>
          <w:sz w:val="20"/>
        </w:rPr>
        <w:t>to</w:t>
      </w:r>
      <w:r>
        <w:rPr>
          <w:color w:val="231F1F"/>
          <w:spacing w:val="33"/>
          <w:sz w:val="20"/>
        </w:rPr>
        <w:t> </w:t>
      </w:r>
      <w:r>
        <w:rPr>
          <w:color w:val="231F1F"/>
          <w:sz w:val="20"/>
        </w:rPr>
        <w:t>caesarean and</w:t>
      </w:r>
      <w:r>
        <w:rPr>
          <w:color w:val="231F1F"/>
          <w:spacing w:val="40"/>
          <w:sz w:val="20"/>
        </w:rPr>
        <w:t> </w:t>
      </w:r>
      <w:r>
        <w:rPr>
          <w:color w:val="231F1F"/>
          <w:sz w:val="20"/>
        </w:rPr>
        <w:t>instrumental</w:t>
      </w:r>
      <w:r>
        <w:rPr>
          <w:color w:val="231F1F"/>
          <w:spacing w:val="40"/>
          <w:sz w:val="20"/>
        </w:rPr>
        <w:t> </w:t>
      </w:r>
      <w:r>
        <w:rPr>
          <w:color w:val="231F1F"/>
          <w:sz w:val="20"/>
        </w:rPr>
        <w:t>deliveries-a</w:t>
      </w:r>
      <w:r>
        <w:rPr>
          <w:color w:val="231F1F"/>
          <w:spacing w:val="40"/>
          <w:sz w:val="20"/>
        </w:rPr>
        <w:t> </w:t>
      </w:r>
      <w:r>
        <w:rPr>
          <w:color w:val="231F1F"/>
          <w:sz w:val="20"/>
        </w:rPr>
        <w:t>population-based</w:t>
      </w:r>
      <w:r>
        <w:rPr>
          <w:color w:val="231F1F"/>
          <w:spacing w:val="40"/>
          <w:sz w:val="20"/>
        </w:rPr>
        <w:t> </w:t>
      </w:r>
      <w:r>
        <w:rPr>
          <w:color w:val="231F1F"/>
          <w:sz w:val="20"/>
        </w:rPr>
        <w:t>study</w:t>
      </w:r>
      <w:r>
        <w:rPr>
          <w:color w:val="231F1F"/>
          <w:spacing w:val="40"/>
          <w:sz w:val="20"/>
        </w:rPr>
        <w:t> </w:t>
      </w:r>
      <w:r>
        <w:rPr>
          <w:color w:val="231F1F"/>
          <w:sz w:val="20"/>
        </w:rPr>
        <w:t>of</w:t>
      </w:r>
      <w:r>
        <w:rPr>
          <w:color w:val="231F1F"/>
          <w:spacing w:val="40"/>
          <w:sz w:val="20"/>
        </w:rPr>
        <w:t> </w:t>
      </w:r>
      <w:r>
        <w:rPr>
          <w:color w:val="231F1F"/>
          <w:sz w:val="20"/>
        </w:rPr>
        <w:t>94,217</w:t>
      </w:r>
      <w:r>
        <w:rPr>
          <w:color w:val="231F1F"/>
          <w:spacing w:val="40"/>
          <w:sz w:val="20"/>
        </w:rPr>
        <w:t> </w:t>
      </w:r>
      <w:r>
        <w:rPr>
          <w:color w:val="231F1F"/>
          <w:sz w:val="20"/>
        </w:rPr>
        <w:t>primiparae.</w:t>
      </w:r>
      <w:r>
        <w:rPr>
          <w:color w:val="231F1F"/>
          <w:spacing w:val="40"/>
          <w:sz w:val="20"/>
        </w:rPr>
        <w:t> </w:t>
      </w:r>
      <w:r>
        <w:rPr>
          <w:color w:val="231F1F"/>
          <w:sz w:val="20"/>
        </w:rPr>
        <w:t>European</w:t>
      </w:r>
      <w:r>
        <w:rPr>
          <w:color w:val="231F1F"/>
          <w:spacing w:val="40"/>
          <w:sz w:val="20"/>
        </w:rPr>
        <w:t> </w:t>
      </w:r>
      <w:r>
        <w:rPr>
          <w:color w:val="231F1F"/>
          <w:sz w:val="20"/>
        </w:rPr>
        <w:t>Journal of</w:t>
      </w:r>
      <w:r>
        <w:rPr>
          <w:color w:val="231F1F"/>
          <w:spacing w:val="40"/>
          <w:sz w:val="20"/>
        </w:rPr>
        <w:t> </w:t>
      </w:r>
      <w:r>
        <w:rPr>
          <w:color w:val="231F1F"/>
          <w:sz w:val="20"/>
        </w:rPr>
        <w:t>Obstetrics,</w:t>
      </w:r>
      <w:r>
        <w:rPr>
          <w:color w:val="231F1F"/>
          <w:spacing w:val="40"/>
          <w:sz w:val="20"/>
        </w:rPr>
        <w:t> </w:t>
      </w:r>
      <w:r>
        <w:rPr>
          <w:color w:val="231F1F"/>
          <w:sz w:val="20"/>
        </w:rPr>
        <w:t>Gynecology</w:t>
      </w:r>
      <w:r>
        <w:rPr>
          <w:color w:val="231F1F"/>
          <w:spacing w:val="40"/>
          <w:sz w:val="20"/>
        </w:rPr>
        <w:t> </w:t>
      </w:r>
      <w:r>
        <w:rPr>
          <w:color w:val="231F1F"/>
          <w:sz w:val="20"/>
        </w:rPr>
        <w:t>and</w:t>
      </w:r>
      <w:r>
        <w:rPr>
          <w:color w:val="231F1F"/>
          <w:spacing w:val="40"/>
          <w:sz w:val="20"/>
        </w:rPr>
        <w:t> </w:t>
      </w:r>
      <w:r>
        <w:rPr>
          <w:color w:val="231F1F"/>
          <w:sz w:val="20"/>
        </w:rPr>
        <w:t>Reproductive</w:t>
      </w:r>
      <w:r>
        <w:rPr>
          <w:color w:val="231F1F"/>
          <w:spacing w:val="40"/>
          <w:sz w:val="20"/>
        </w:rPr>
        <w:t> </w:t>
      </w:r>
      <w:r>
        <w:rPr>
          <w:color w:val="231F1F"/>
          <w:sz w:val="20"/>
        </w:rPr>
        <w:t>Biology</w:t>
      </w:r>
      <w:r>
        <w:rPr>
          <w:color w:val="231F1F"/>
          <w:spacing w:val="40"/>
          <w:sz w:val="20"/>
        </w:rPr>
        <w:t> </w:t>
      </w:r>
      <w:r>
        <w:rPr>
          <w:color w:val="231F1F"/>
          <w:sz w:val="20"/>
        </w:rPr>
        <w:t>2006;128:270-5.</w:t>
      </w:r>
    </w:p>
    <w:p>
      <w:pPr>
        <w:pStyle w:val="ListParagraph"/>
        <w:numPr>
          <w:ilvl w:val="0"/>
          <w:numId w:val="109"/>
        </w:numPr>
        <w:tabs>
          <w:tab w:pos="794" w:val="left" w:leader="none"/>
          <w:tab w:pos="798" w:val="left" w:leader="none"/>
        </w:tabs>
        <w:spacing w:line="220" w:lineRule="auto" w:before="156" w:after="0"/>
        <w:ind w:left="798" w:right="124" w:hanging="505"/>
        <w:jc w:val="both"/>
        <w:rPr>
          <w:sz w:val="20"/>
        </w:rPr>
      </w:pPr>
      <w:r>
        <w:rPr>
          <w:color w:val="231F1F"/>
          <w:w w:val="105"/>
          <w:position w:val="1"/>
          <w:sz w:val="20"/>
        </w:rPr>
        <w:t>Hughes</w:t>
      </w:r>
      <w:r>
        <w:rPr>
          <w:color w:val="231F1F"/>
          <w:w w:val="105"/>
          <w:position w:val="1"/>
          <w:sz w:val="20"/>
        </w:rPr>
        <w:t> D,</w:t>
      </w:r>
      <w:r>
        <w:rPr>
          <w:color w:val="231F1F"/>
          <w:w w:val="105"/>
          <w:position w:val="1"/>
          <w:sz w:val="20"/>
        </w:rPr>
        <w:t> Simmons</w:t>
      </w:r>
      <w:r>
        <w:rPr>
          <w:color w:val="231F1F"/>
          <w:w w:val="105"/>
          <w:position w:val="1"/>
          <w:sz w:val="20"/>
        </w:rPr>
        <w:t> SW,</w:t>
      </w:r>
      <w:r>
        <w:rPr>
          <w:color w:val="231F1F"/>
          <w:w w:val="105"/>
          <w:position w:val="1"/>
          <w:sz w:val="20"/>
        </w:rPr>
        <w:t> Brown</w:t>
      </w:r>
      <w:r>
        <w:rPr>
          <w:color w:val="231F1F"/>
          <w:w w:val="105"/>
          <w:position w:val="1"/>
          <w:sz w:val="20"/>
        </w:rPr>
        <w:t> J,</w:t>
      </w:r>
      <w:r>
        <w:rPr>
          <w:color w:val="231F1F"/>
          <w:w w:val="105"/>
          <w:position w:val="1"/>
          <w:sz w:val="20"/>
        </w:rPr>
        <w:t> Cyna</w:t>
      </w:r>
      <w:r>
        <w:rPr>
          <w:color w:val="231F1F"/>
          <w:w w:val="105"/>
          <w:position w:val="1"/>
          <w:sz w:val="20"/>
        </w:rPr>
        <w:t> AM.</w:t>
      </w:r>
      <w:r>
        <w:rPr>
          <w:color w:val="231F1F"/>
          <w:w w:val="105"/>
          <w:position w:val="1"/>
          <w:sz w:val="20"/>
        </w:rPr>
        <w:t> Combined</w:t>
      </w:r>
      <w:r>
        <w:rPr>
          <w:color w:val="231F1F"/>
          <w:w w:val="105"/>
          <w:position w:val="1"/>
          <w:sz w:val="20"/>
        </w:rPr>
        <w:t> spinal-epidural</w:t>
      </w:r>
      <w:r>
        <w:rPr>
          <w:color w:val="231F1F"/>
          <w:w w:val="105"/>
          <w:position w:val="1"/>
          <w:sz w:val="20"/>
        </w:rPr>
        <w:t> versus</w:t>
      </w:r>
      <w:r>
        <w:rPr>
          <w:color w:val="231F1F"/>
          <w:w w:val="105"/>
          <w:position w:val="1"/>
          <w:sz w:val="20"/>
        </w:rPr>
        <w:t> epidural </w:t>
      </w:r>
      <w:r>
        <w:rPr>
          <w:color w:val="231F1F"/>
          <w:w w:val="105"/>
          <w:sz w:val="20"/>
        </w:rPr>
        <w:t>analgesia</w:t>
      </w:r>
      <w:r>
        <w:rPr>
          <w:color w:val="231F1F"/>
          <w:w w:val="105"/>
          <w:sz w:val="20"/>
        </w:rPr>
        <w:t> in</w:t>
      </w:r>
      <w:r>
        <w:rPr>
          <w:color w:val="231F1F"/>
          <w:w w:val="105"/>
          <w:sz w:val="20"/>
        </w:rPr>
        <w:t> labour.</w:t>
      </w:r>
      <w:r>
        <w:rPr>
          <w:color w:val="231F1F"/>
          <w:w w:val="105"/>
          <w:sz w:val="20"/>
        </w:rPr>
        <w:t> (Cochrane</w:t>
      </w:r>
      <w:r>
        <w:rPr>
          <w:color w:val="231F1F"/>
          <w:w w:val="105"/>
          <w:sz w:val="20"/>
        </w:rPr>
        <w:t> Review)</w:t>
      </w:r>
      <w:r>
        <w:rPr>
          <w:color w:val="231F1F"/>
          <w:w w:val="105"/>
          <w:sz w:val="20"/>
        </w:rPr>
        <w:t> En</w:t>
      </w:r>
      <w:r>
        <w:rPr>
          <w:color w:val="231F1F"/>
          <w:w w:val="105"/>
          <w:sz w:val="20"/>
        </w:rPr>
        <w:t> Cochrane</w:t>
      </w:r>
      <w:r>
        <w:rPr>
          <w:color w:val="231F1F"/>
          <w:w w:val="105"/>
          <w:sz w:val="20"/>
        </w:rPr>
        <w:t> Database</w:t>
      </w:r>
      <w:r>
        <w:rPr>
          <w:color w:val="231F1F"/>
          <w:w w:val="105"/>
          <w:sz w:val="20"/>
        </w:rPr>
        <w:t> of</w:t>
      </w:r>
      <w:r>
        <w:rPr>
          <w:color w:val="231F1F"/>
          <w:w w:val="105"/>
          <w:sz w:val="20"/>
        </w:rPr>
        <w:t> Systematic</w:t>
      </w:r>
      <w:r>
        <w:rPr>
          <w:color w:val="231F1F"/>
          <w:w w:val="105"/>
          <w:sz w:val="20"/>
        </w:rPr>
        <w:t> Reviews 2005;Oxford: Update Software.</w:t>
      </w:r>
    </w:p>
    <w:p>
      <w:pPr>
        <w:pStyle w:val="ListParagraph"/>
        <w:numPr>
          <w:ilvl w:val="0"/>
          <w:numId w:val="109"/>
        </w:numPr>
        <w:tabs>
          <w:tab w:pos="794" w:val="left" w:leader="none"/>
          <w:tab w:pos="798" w:val="left" w:leader="none"/>
        </w:tabs>
        <w:spacing w:line="225" w:lineRule="auto" w:before="177" w:after="0"/>
        <w:ind w:left="798" w:right="167" w:hanging="505"/>
        <w:jc w:val="both"/>
        <w:rPr>
          <w:sz w:val="20"/>
        </w:rPr>
      </w:pPr>
      <w:r>
        <w:rPr>
          <w:color w:val="231F1F"/>
          <w:w w:val="105"/>
          <w:position w:val="1"/>
          <w:sz w:val="20"/>
        </w:rPr>
        <w:t>Zeidan</w:t>
      </w:r>
      <w:r>
        <w:rPr>
          <w:color w:val="231F1F"/>
          <w:w w:val="105"/>
          <w:position w:val="1"/>
          <w:sz w:val="20"/>
        </w:rPr>
        <w:t> AZ.</w:t>
      </w:r>
      <w:r>
        <w:rPr>
          <w:color w:val="231F1F"/>
          <w:w w:val="105"/>
          <w:position w:val="1"/>
          <w:sz w:val="20"/>
        </w:rPr>
        <w:t> Combined</w:t>
      </w:r>
      <w:r>
        <w:rPr>
          <w:color w:val="231F1F"/>
          <w:w w:val="105"/>
          <w:position w:val="1"/>
          <w:sz w:val="20"/>
        </w:rPr>
        <w:t> spinal-epidural</w:t>
      </w:r>
      <w:r>
        <w:rPr>
          <w:color w:val="231F1F"/>
          <w:w w:val="105"/>
          <w:position w:val="1"/>
          <w:sz w:val="20"/>
        </w:rPr>
        <w:t> compared</w:t>
      </w:r>
      <w:r>
        <w:rPr>
          <w:color w:val="231F1F"/>
          <w:w w:val="105"/>
          <w:position w:val="1"/>
          <w:sz w:val="20"/>
        </w:rPr>
        <w:t> with</w:t>
      </w:r>
      <w:r>
        <w:rPr>
          <w:color w:val="231F1F"/>
          <w:w w:val="105"/>
          <w:position w:val="1"/>
          <w:sz w:val="20"/>
        </w:rPr>
        <w:t> low</w:t>
      </w:r>
      <w:r>
        <w:rPr>
          <w:color w:val="231F1F"/>
          <w:w w:val="105"/>
          <w:position w:val="1"/>
          <w:sz w:val="20"/>
        </w:rPr>
        <w:t> dose</w:t>
      </w:r>
      <w:r>
        <w:rPr>
          <w:color w:val="231F1F"/>
          <w:w w:val="105"/>
          <w:position w:val="1"/>
          <w:sz w:val="20"/>
        </w:rPr>
        <w:t> epidural</w:t>
      </w:r>
      <w:r>
        <w:rPr>
          <w:color w:val="231F1F"/>
          <w:w w:val="105"/>
          <w:position w:val="1"/>
          <w:sz w:val="20"/>
        </w:rPr>
        <w:t> during</w:t>
      </w:r>
      <w:r>
        <w:rPr>
          <w:color w:val="231F1F"/>
          <w:w w:val="105"/>
          <w:position w:val="1"/>
          <w:sz w:val="20"/>
        </w:rPr>
        <w:t> ambulatory </w:t>
      </w:r>
      <w:r>
        <w:rPr>
          <w:color w:val="231F1F"/>
          <w:w w:val="105"/>
          <w:sz w:val="20"/>
        </w:rPr>
        <w:t>labour analgesia in nulliparous women. Egyptian Journal of Anaesthesia 2004;20(3):273-81.</w:t>
      </w:r>
    </w:p>
    <w:p>
      <w:pPr>
        <w:pStyle w:val="ListParagraph"/>
        <w:numPr>
          <w:ilvl w:val="0"/>
          <w:numId w:val="109"/>
        </w:numPr>
        <w:tabs>
          <w:tab w:pos="793" w:val="left" w:leader="none"/>
          <w:tab w:pos="797" w:val="left" w:leader="none"/>
        </w:tabs>
        <w:spacing w:line="220" w:lineRule="auto" w:before="156" w:after="0"/>
        <w:ind w:left="797" w:right="123" w:hanging="527"/>
        <w:jc w:val="both"/>
        <w:rPr>
          <w:sz w:val="20"/>
        </w:rPr>
      </w:pPr>
      <w:r>
        <w:rPr>
          <w:color w:val="231F1F"/>
          <w:w w:val="110"/>
          <w:position w:val="1"/>
          <w:sz w:val="20"/>
        </w:rPr>
        <w:t>Comparative Obstetric Mobile Epidural Trial (COMET) Study Group. Effect of low-dose </w:t>
      </w:r>
      <w:r>
        <w:rPr>
          <w:color w:val="231F1F"/>
          <w:w w:val="110"/>
          <w:sz w:val="20"/>
        </w:rPr>
        <w:t>mobile</w:t>
      </w:r>
      <w:r>
        <w:rPr>
          <w:color w:val="231F1F"/>
          <w:spacing w:val="-7"/>
          <w:w w:val="110"/>
          <w:sz w:val="20"/>
        </w:rPr>
        <w:t> </w:t>
      </w:r>
      <w:r>
        <w:rPr>
          <w:color w:val="231F1F"/>
          <w:w w:val="110"/>
          <w:sz w:val="20"/>
        </w:rPr>
        <w:t>versus</w:t>
      </w:r>
      <w:r>
        <w:rPr>
          <w:color w:val="231F1F"/>
          <w:spacing w:val="-7"/>
          <w:w w:val="110"/>
          <w:sz w:val="20"/>
        </w:rPr>
        <w:t> </w:t>
      </w:r>
      <w:r>
        <w:rPr>
          <w:color w:val="231F1F"/>
          <w:w w:val="110"/>
          <w:sz w:val="20"/>
        </w:rPr>
        <w:t>traditional</w:t>
      </w:r>
      <w:r>
        <w:rPr>
          <w:color w:val="231F1F"/>
          <w:spacing w:val="-6"/>
          <w:w w:val="110"/>
          <w:sz w:val="20"/>
        </w:rPr>
        <w:t> </w:t>
      </w:r>
      <w:r>
        <w:rPr>
          <w:color w:val="231F1F"/>
          <w:w w:val="110"/>
          <w:sz w:val="20"/>
        </w:rPr>
        <w:t>epidural</w:t>
      </w:r>
      <w:r>
        <w:rPr>
          <w:color w:val="231F1F"/>
          <w:spacing w:val="-7"/>
          <w:w w:val="110"/>
          <w:sz w:val="20"/>
        </w:rPr>
        <w:t> </w:t>
      </w:r>
      <w:r>
        <w:rPr>
          <w:color w:val="231F1F"/>
          <w:w w:val="110"/>
          <w:sz w:val="20"/>
        </w:rPr>
        <w:t>techniques</w:t>
      </w:r>
      <w:r>
        <w:rPr>
          <w:color w:val="231F1F"/>
          <w:spacing w:val="-6"/>
          <w:w w:val="110"/>
          <w:sz w:val="20"/>
        </w:rPr>
        <w:t> </w:t>
      </w:r>
      <w:r>
        <w:rPr>
          <w:color w:val="231F1F"/>
          <w:w w:val="110"/>
          <w:sz w:val="20"/>
        </w:rPr>
        <w:t>on</w:t>
      </w:r>
      <w:r>
        <w:rPr>
          <w:color w:val="231F1F"/>
          <w:spacing w:val="-7"/>
          <w:w w:val="110"/>
          <w:sz w:val="20"/>
        </w:rPr>
        <w:t> </w:t>
      </w:r>
      <w:r>
        <w:rPr>
          <w:color w:val="231F1F"/>
          <w:w w:val="110"/>
          <w:sz w:val="20"/>
        </w:rPr>
        <w:t>mode</w:t>
      </w:r>
      <w:r>
        <w:rPr>
          <w:color w:val="231F1F"/>
          <w:spacing w:val="-7"/>
          <w:w w:val="110"/>
          <w:sz w:val="20"/>
        </w:rPr>
        <w:t> </w:t>
      </w:r>
      <w:r>
        <w:rPr>
          <w:color w:val="231F1F"/>
          <w:w w:val="110"/>
          <w:sz w:val="20"/>
        </w:rPr>
        <w:t>of</w:t>
      </w:r>
      <w:r>
        <w:rPr>
          <w:color w:val="231F1F"/>
          <w:spacing w:val="-7"/>
          <w:w w:val="110"/>
          <w:sz w:val="20"/>
        </w:rPr>
        <w:t> </w:t>
      </w:r>
      <w:r>
        <w:rPr>
          <w:color w:val="231F1F"/>
          <w:w w:val="110"/>
          <w:sz w:val="20"/>
        </w:rPr>
        <w:t>delivery:</w:t>
      </w:r>
      <w:r>
        <w:rPr>
          <w:color w:val="231F1F"/>
          <w:spacing w:val="-8"/>
          <w:w w:val="110"/>
          <w:sz w:val="20"/>
        </w:rPr>
        <w:t> </w:t>
      </w:r>
      <w:r>
        <w:rPr>
          <w:color w:val="231F1F"/>
          <w:w w:val="110"/>
          <w:sz w:val="20"/>
        </w:rPr>
        <w:t>a</w:t>
      </w:r>
      <w:r>
        <w:rPr>
          <w:color w:val="231F1F"/>
          <w:spacing w:val="-6"/>
          <w:w w:val="110"/>
          <w:sz w:val="20"/>
        </w:rPr>
        <w:t> </w:t>
      </w:r>
      <w:r>
        <w:rPr>
          <w:color w:val="231F1F"/>
          <w:w w:val="110"/>
          <w:sz w:val="20"/>
        </w:rPr>
        <w:t>randomised</w:t>
      </w:r>
      <w:r>
        <w:rPr>
          <w:color w:val="231F1F"/>
          <w:spacing w:val="-7"/>
          <w:w w:val="110"/>
          <w:sz w:val="20"/>
        </w:rPr>
        <w:t> </w:t>
      </w:r>
      <w:r>
        <w:rPr>
          <w:color w:val="231F1F"/>
          <w:w w:val="110"/>
          <w:sz w:val="20"/>
        </w:rPr>
        <w:t>controlled trial. Lancet 2001;358(9275):19-23.</w:t>
      </w:r>
    </w:p>
    <w:p>
      <w:pPr>
        <w:pStyle w:val="ListParagraph"/>
        <w:numPr>
          <w:ilvl w:val="0"/>
          <w:numId w:val="109"/>
        </w:numPr>
        <w:tabs>
          <w:tab w:pos="794" w:val="left" w:leader="none"/>
          <w:tab w:pos="798" w:val="left" w:leader="none"/>
        </w:tabs>
        <w:spacing w:line="223" w:lineRule="auto" w:before="179" w:after="0"/>
        <w:ind w:left="798" w:right="124" w:hanging="505"/>
        <w:jc w:val="both"/>
        <w:rPr>
          <w:sz w:val="20"/>
        </w:rPr>
      </w:pPr>
      <w:r>
        <w:rPr>
          <w:color w:val="231F1F"/>
          <w:w w:val="105"/>
          <w:position w:val="1"/>
          <w:sz w:val="20"/>
        </w:rPr>
        <w:t>MacArthur</w:t>
      </w:r>
      <w:r>
        <w:rPr>
          <w:color w:val="231F1F"/>
          <w:spacing w:val="40"/>
          <w:w w:val="105"/>
          <w:position w:val="1"/>
          <w:sz w:val="20"/>
        </w:rPr>
        <w:t> </w:t>
      </w:r>
      <w:r>
        <w:rPr>
          <w:color w:val="231F1F"/>
          <w:w w:val="105"/>
          <w:position w:val="1"/>
          <w:sz w:val="20"/>
        </w:rPr>
        <w:t>C.</w:t>
      </w:r>
      <w:r>
        <w:rPr>
          <w:color w:val="231F1F"/>
          <w:w w:val="105"/>
          <w:position w:val="1"/>
          <w:sz w:val="20"/>
        </w:rPr>
        <w:t> A</w:t>
      </w:r>
      <w:r>
        <w:rPr>
          <w:color w:val="231F1F"/>
          <w:spacing w:val="40"/>
          <w:w w:val="105"/>
          <w:position w:val="1"/>
          <w:sz w:val="20"/>
        </w:rPr>
        <w:t> </w:t>
      </w:r>
      <w:r>
        <w:rPr>
          <w:color w:val="231F1F"/>
          <w:w w:val="105"/>
          <w:position w:val="1"/>
          <w:sz w:val="20"/>
        </w:rPr>
        <w:t>randomised</w:t>
      </w:r>
      <w:r>
        <w:rPr>
          <w:color w:val="231F1F"/>
          <w:spacing w:val="40"/>
          <w:w w:val="105"/>
          <w:position w:val="1"/>
          <w:sz w:val="20"/>
        </w:rPr>
        <w:t> </w:t>
      </w:r>
      <w:r>
        <w:rPr>
          <w:color w:val="231F1F"/>
          <w:w w:val="105"/>
          <w:position w:val="1"/>
          <w:sz w:val="20"/>
        </w:rPr>
        <w:t>controlled</w:t>
      </w:r>
      <w:r>
        <w:rPr>
          <w:color w:val="231F1F"/>
          <w:spacing w:val="40"/>
          <w:w w:val="105"/>
          <w:position w:val="1"/>
          <w:sz w:val="20"/>
        </w:rPr>
        <w:t> </w:t>
      </w:r>
      <w:r>
        <w:rPr>
          <w:color w:val="231F1F"/>
          <w:w w:val="105"/>
          <w:position w:val="1"/>
          <w:sz w:val="20"/>
        </w:rPr>
        <w:t>trial</w:t>
      </w:r>
      <w:r>
        <w:rPr>
          <w:color w:val="231F1F"/>
          <w:spacing w:val="40"/>
          <w:w w:val="105"/>
          <w:position w:val="1"/>
          <w:sz w:val="20"/>
        </w:rPr>
        <w:t> </w:t>
      </w:r>
      <w:r>
        <w:rPr>
          <w:color w:val="231F1F"/>
          <w:w w:val="105"/>
          <w:position w:val="1"/>
          <w:sz w:val="20"/>
        </w:rPr>
        <w:t>of</w:t>
      </w:r>
      <w:r>
        <w:rPr>
          <w:color w:val="231F1F"/>
          <w:spacing w:val="40"/>
          <w:w w:val="105"/>
          <w:position w:val="1"/>
          <w:sz w:val="20"/>
        </w:rPr>
        <w:t> </w:t>
      </w:r>
      <w:r>
        <w:rPr>
          <w:color w:val="231F1F"/>
          <w:w w:val="105"/>
          <w:position w:val="1"/>
          <w:sz w:val="20"/>
        </w:rPr>
        <w:t>mobile</w:t>
      </w:r>
      <w:r>
        <w:rPr>
          <w:color w:val="231F1F"/>
          <w:spacing w:val="40"/>
          <w:w w:val="105"/>
          <w:position w:val="1"/>
          <w:sz w:val="20"/>
        </w:rPr>
        <w:t> </w:t>
      </w:r>
      <w:r>
        <w:rPr>
          <w:color w:val="231F1F"/>
          <w:w w:val="105"/>
          <w:position w:val="1"/>
          <w:sz w:val="20"/>
        </w:rPr>
        <w:t>and</w:t>
      </w:r>
      <w:r>
        <w:rPr>
          <w:color w:val="231F1F"/>
          <w:spacing w:val="40"/>
          <w:w w:val="105"/>
          <w:position w:val="1"/>
          <w:sz w:val="20"/>
        </w:rPr>
        <w:t> </w:t>
      </w:r>
      <w:r>
        <w:rPr>
          <w:color w:val="231F1F"/>
          <w:w w:val="105"/>
          <w:position w:val="1"/>
          <w:sz w:val="20"/>
        </w:rPr>
        <w:t>non-mobile</w:t>
      </w:r>
      <w:r>
        <w:rPr>
          <w:color w:val="231F1F"/>
          <w:spacing w:val="40"/>
          <w:w w:val="105"/>
          <w:position w:val="1"/>
          <w:sz w:val="20"/>
        </w:rPr>
        <w:t> </w:t>
      </w:r>
      <w:r>
        <w:rPr>
          <w:color w:val="231F1F"/>
          <w:w w:val="105"/>
          <w:position w:val="1"/>
          <w:sz w:val="20"/>
        </w:rPr>
        <w:t>techniques</w:t>
      </w:r>
      <w:r>
        <w:rPr>
          <w:color w:val="231F1F"/>
          <w:spacing w:val="40"/>
          <w:w w:val="105"/>
          <w:position w:val="1"/>
          <w:sz w:val="20"/>
        </w:rPr>
        <w:t> </w:t>
      </w:r>
      <w:r>
        <w:rPr>
          <w:color w:val="231F1F"/>
          <w:w w:val="105"/>
          <w:position w:val="1"/>
          <w:sz w:val="20"/>
        </w:rPr>
        <w:t>of </w:t>
      </w:r>
      <w:r>
        <w:rPr>
          <w:color w:val="231F1F"/>
          <w:w w:val="105"/>
          <w:sz w:val="20"/>
        </w:rPr>
        <w:t>regional analgesia for labour, evaluating short and long term outcomes. [www ReFeR nhs uk/ ViewRecord asp?ID=1210] 2004.</w:t>
      </w:r>
    </w:p>
    <w:p>
      <w:pPr>
        <w:pStyle w:val="ListParagraph"/>
        <w:numPr>
          <w:ilvl w:val="0"/>
          <w:numId w:val="109"/>
        </w:numPr>
        <w:tabs>
          <w:tab w:pos="794" w:val="left" w:leader="none"/>
          <w:tab w:pos="798" w:val="left" w:leader="none"/>
        </w:tabs>
        <w:spacing w:line="230" w:lineRule="auto" w:before="173" w:after="0"/>
        <w:ind w:left="798" w:right="111" w:hanging="505"/>
        <w:jc w:val="both"/>
        <w:rPr>
          <w:sz w:val="20"/>
        </w:rPr>
      </w:pPr>
      <w:r>
        <w:rPr>
          <w:color w:val="231F1F"/>
          <w:w w:val="105"/>
          <w:position w:val="1"/>
          <w:sz w:val="20"/>
        </w:rPr>
        <w:t>Simmons</w:t>
      </w:r>
      <w:r>
        <w:rPr>
          <w:color w:val="231F1F"/>
          <w:w w:val="105"/>
          <w:position w:val="1"/>
          <w:sz w:val="20"/>
        </w:rPr>
        <w:t> SW,</w:t>
      </w:r>
      <w:r>
        <w:rPr>
          <w:color w:val="231F1F"/>
          <w:w w:val="105"/>
          <w:position w:val="1"/>
          <w:sz w:val="20"/>
        </w:rPr>
        <w:t> Cyna</w:t>
      </w:r>
      <w:r>
        <w:rPr>
          <w:color w:val="231F1F"/>
          <w:w w:val="105"/>
          <w:position w:val="1"/>
          <w:sz w:val="20"/>
        </w:rPr>
        <w:t> AM,</w:t>
      </w:r>
      <w:r>
        <w:rPr>
          <w:color w:val="231F1F"/>
          <w:w w:val="105"/>
          <w:position w:val="1"/>
          <w:sz w:val="20"/>
        </w:rPr>
        <w:t> Dennis</w:t>
      </w:r>
      <w:r>
        <w:rPr>
          <w:color w:val="231F1F"/>
          <w:w w:val="105"/>
          <w:position w:val="1"/>
          <w:sz w:val="20"/>
        </w:rPr>
        <w:t> AT,</w:t>
      </w:r>
      <w:r>
        <w:rPr>
          <w:color w:val="231F1F"/>
          <w:w w:val="105"/>
          <w:position w:val="1"/>
          <w:sz w:val="20"/>
        </w:rPr>
        <w:t> Hughes</w:t>
      </w:r>
      <w:r>
        <w:rPr>
          <w:color w:val="231F1F"/>
          <w:w w:val="105"/>
          <w:position w:val="1"/>
          <w:sz w:val="20"/>
        </w:rPr>
        <w:t> D.</w:t>
      </w:r>
      <w:r>
        <w:rPr>
          <w:color w:val="231F1F"/>
          <w:w w:val="105"/>
          <w:position w:val="1"/>
          <w:sz w:val="20"/>
        </w:rPr>
        <w:t> Analgesia</w:t>
      </w:r>
      <w:r>
        <w:rPr>
          <w:color w:val="231F1F"/>
          <w:w w:val="105"/>
          <w:position w:val="1"/>
          <w:sz w:val="20"/>
        </w:rPr>
        <w:t> espinal</w:t>
      </w:r>
      <w:r>
        <w:rPr>
          <w:color w:val="231F1F"/>
          <w:w w:val="105"/>
          <w:position w:val="1"/>
          <w:sz w:val="20"/>
        </w:rPr>
        <w:t> y</w:t>
      </w:r>
      <w:r>
        <w:rPr>
          <w:color w:val="231F1F"/>
          <w:w w:val="105"/>
          <w:position w:val="1"/>
          <w:sz w:val="20"/>
        </w:rPr>
        <w:t> epidural</w:t>
      </w:r>
      <w:r>
        <w:rPr>
          <w:color w:val="231F1F"/>
          <w:w w:val="105"/>
          <w:position w:val="1"/>
          <w:sz w:val="20"/>
        </w:rPr>
        <w:t> combinadas </w:t>
      </w:r>
      <w:r>
        <w:rPr>
          <w:color w:val="231F1F"/>
          <w:w w:val="105"/>
          <w:sz w:val="20"/>
        </w:rPr>
        <w:t>versus</w:t>
      </w:r>
      <w:r>
        <w:rPr>
          <w:color w:val="231F1F"/>
          <w:w w:val="105"/>
          <w:sz w:val="20"/>
        </w:rPr>
        <w:t> analgesia</w:t>
      </w:r>
      <w:r>
        <w:rPr>
          <w:color w:val="231F1F"/>
          <w:w w:val="105"/>
          <w:sz w:val="20"/>
        </w:rPr>
        <w:t> epidural</w:t>
      </w:r>
      <w:r>
        <w:rPr>
          <w:color w:val="231F1F"/>
          <w:w w:val="105"/>
          <w:sz w:val="20"/>
        </w:rPr>
        <w:t> en</w:t>
      </w:r>
      <w:r>
        <w:rPr>
          <w:color w:val="231F1F"/>
          <w:w w:val="105"/>
          <w:sz w:val="20"/>
        </w:rPr>
        <w:t> el</w:t>
      </w:r>
      <w:r>
        <w:rPr>
          <w:color w:val="231F1F"/>
          <w:w w:val="105"/>
          <w:sz w:val="20"/>
        </w:rPr>
        <w:t> trabajo</w:t>
      </w:r>
      <w:r>
        <w:rPr>
          <w:color w:val="231F1F"/>
          <w:w w:val="105"/>
          <w:sz w:val="20"/>
        </w:rPr>
        <w:t> de</w:t>
      </w:r>
      <w:r>
        <w:rPr>
          <w:color w:val="231F1F"/>
          <w:w w:val="105"/>
          <w:sz w:val="20"/>
        </w:rPr>
        <w:t> parto</w:t>
      </w:r>
      <w:r>
        <w:rPr>
          <w:color w:val="231F1F"/>
          <w:w w:val="105"/>
          <w:sz w:val="20"/>
        </w:rPr>
        <w:t> (Revisión</w:t>
      </w:r>
      <w:r>
        <w:rPr>
          <w:color w:val="231F1F"/>
          <w:w w:val="105"/>
          <w:sz w:val="20"/>
        </w:rPr>
        <w:t> Cochrane</w:t>
      </w:r>
      <w:r>
        <w:rPr>
          <w:color w:val="231F1F"/>
          <w:w w:val="105"/>
          <w:sz w:val="20"/>
        </w:rPr>
        <w:t> traducida).</w:t>
      </w:r>
      <w:r>
        <w:rPr>
          <w:color w:val="231F1F"/>
          <w:w w:val="105"/>
          <w:sz w:val="20"/>
        </w:rPr>
        <w:t> En:</w:t>
      </w:r>
      <w:r>
        <w:rPr>
          <w:color w:val="231F1F"/>
          <w:w w:val="105"/>
          <w:sz w:val="20"/>
        </w:rPr>
        <w:t> La Biblioteca Cochrane Plus, 2008 Número 2 Oxford: Update Software Ltd Disponible en: http:// www</w:t>
      </w:r>
      <w:r>
        <w:rPr>
          <w:color w:val="231F1F"/>
          <w:spacing w:val="-3"/>
          <w:w w:val="105"/>
          <w:sz w:val="20"/>
        </w:rPr>
        <w:t> </w:t>
      </w:r>
      <w:r>
        <w:rPr>
          <w:color w:val="231F1F"/>
          <w:w w:val="105"/>
          <w:sz w:val="20"/>
        </w:rPr>
        <w:t>update-software</w:t>
      </w:r>
      <w:r>
        <w:rPr>
          <w:color w:val="231F1F"/>
          <w:spacing w:val="-2"/>
          <w:w w:val="105"/>
          <w:sz w:val="20"/>
        </w:rPr>
        <w:t> </w:t>
      </w:r>
      <w:r>
        <w:rPr>
          <w:color w:val="231F1F"/>
          <w:w w:val="105"/>
          <w:sz w:val="20"/>
        </w:rPr>
        <w:t>com</w:t>
      </w:r>
      <w:r>
        <w:rPr>
          <w:color w:val="231F1F"/>
          <w:spacing w:val="-3"/>
          <w:w w:val="105"/>
          <w:sz w:val="20"/>
        </w:rPr>
        <w:t> </w:t>
      </w:r>
      <w:r>
        <w:rPr>
          <w:color w:val="231F1F"/>
          <w:w w:val="105"/>
          <w:sz w:val="20"/>
        </w:rPr>
        <w:t>(Traducida</w:t>
      </w:r>
      <w:r>
        <w:rPr>
          <w:color w:val="231F1F"/>
          <w:spacing w:val="-3"/>
          <w:w w:val="105"/>
          <w:sz w:val="20"/>
        </w:rPr>
        <w:t> </w:t>
      </w:r>
      <w:r>
        <w:rPr>
          <w:color w:val="231F1F"/>
          <w:w w:val="105"/>
          <w:sz w:val="20"/>
        </w:rPr>
        <w:t>de</w:t>
      </w:r>
      <w:r>
        <w:rPr>
          <w:color w:val="231F1F"/>
          <w:spacing w:val="-3"/>
          <w:w w:val="105"/>
          <w:sz w:val="20"/>
        </w:rPr>
        <w:t> </w:t>
      </w:r>
      <w:r>
        <w:rPr>
          <w:color w:val="231F1F"/>
          <w:w w:val="105"/>
          <w:sz w:val="20"/>
        </w:rPr>
        <w:t>The</w:t>
      </w:r>
      <w:r>
        <w:rPr>
          <w:color w:val="231F1F"/>
          <w:spacing w:val="-3"/>
          <w:w w:val="105"/>
          <w:sz w:val="20"/>
        </w:rPr>
        <w:t> </w:t>
      </w:r>
      <w:r>
        <w:rPr>
          <w:color w:val="231F1F"/>
          <w:w w:val="105"/>
          <w:sz w:val="20"/>
        </w:rPr>
        <w:t>Cochrane</w:t>
      </w:r>
      <w:r>
        <w:rPr>
          <w:color w:val="231F1F"/>
          <w:spacing w:val="-3"/>
          <w:w w:val="105"/>
          <w:sz w:val="20"/>
        </w:rPr>
        <w:t> </w:t>
      </w:r>
      <w:r>
        <w:rPr>
          <w:color w:val="231F1F"/>
          <w:w w:val="105"/>
          <w:sz w:val="20"/>
        </w:rPr>
        <w:t>Library,</w:t>
      </w:r>
      <w:r>
        <w:rPr>
          <w:color w:val="231F1F"/>
          <w:spacing w:val="-2"/>
          <w:w w:val="105"/>
          <w:sz w:val="20"/>
        </w:rPr>
        <w:t> </w:t>
      </w:r>
      <w:r>
        <w:rPr>
          <w:color w:val="231F1F"/>
          <w:w w:val="105"/>
          <w:sz w:val="20"/>
        </w:rPr>
        <w:t>2008</w:t>
      </w:r>
      <w:r>
        <w:rPr>
          <w:color w:val="231F1F"/>
          <w:spacing w:val="-3"/>
          <w:w w:val="105"/>
          <w:sz w:val="20"/>
        </w:rPr>
        <w:t> </w:t>
      </w:r>
      <w:r>
        <w:rPr>
          <w:color w:val="231F1F"/>
          <w:w w:val="105"/>
          <w:sz w:val="20"/>
        </w:rPr>
        <w:t>Issue</w:t>
      </w:r>
      <w:r>
        <w:rPr>
          <w:color w:val="231F1F"/>
          <w:spacing w:val="-3"/>
          <w:w w:val="105"/>
          <w:sz w:val="20"/>
        </w:rPr>
        <w:t> </w:t>
      </w:r>
      <w:r>
        <w:rPr>
          <w:color w:val="231F1F"/>
          <w:w w:val="105"/>
          <w:sz w:val="20"/>
        </w:rPr>
        <w:t>2</w:t>
      </w:r>
      <w:r>
        <w:rPr>
          <w:color w:val="231F1F"/>
          <w:spacing w:val="-3"/>
          <w:w w:val="105"/>
          <w:sz w:val="20"/>
        </w:rPr>
        <w:t> </w:t>
      </w:r>
      <w:r>
        <w:rPr>
          <w:color w:val="231F1F"/>
          <w:w w:val="105"/>
          <w:sz w:val="20"/>
        </w:rPr>
        <w:t>Chichester,</w:t>
      </w:r>
      <w:r>
        <w:rPr>
          <w:color w:val="231F1F"/>
          <w:spacing w:val="-2"/>
          <w:w w:val="105"/>
          <w:sz w:val="20"/>
        </w:rPr>
        <w:t> </w:t>
      </w:r>
      <w:r>
        <w:rPr>
          <w:color w:val="231F1F"/>
          <w:w w:val="105"/>
          <w:sz w:val="20"/>
        </w:rPr>
        <w:t>UK: John Wiley &amp; Sons, Ltd ) 2008.</w:t>
      </w:r>
    </w:p>
    <w:p>
      <w:pPr>
        <w:pStyle w:val="ListParagraph"/>
        <w:numPr>
          <w:ilvl w:val="0"/>
          <w:numId w:val="109"/>
        </w:numPr>
        <w:tabs>
          <w:tab w:pos="794" w:val="left" w:leader="none"/>
          <w:tab w:pos="798" w:val="left" w:leader="none"/>
        </w:tabs>
        <w:spacing w:line="230" w:lineRule="auto" w:before="192" w:after="0"/>
        <w:ind w:left="798" w:right="257" w:hanging="502"/>
        <w:jc w:val="both"/>
        <w:rPr>
          <w:sz w:val="20"/>
        </w:rPr>
      </w:pPr>
      <w:r>
        <w:rPr>
          <w:color w:val="231F1F"/>
          <w:w w:val="105"/>
          <w:sz w:val="20"/>
        </w:rPr>
        <w:t>Chee</w:t>
      </w:r>
      <w:r>
        <w:rPr>
          <w:color w:val="231F1F"/>
          <w:spacing w:val="-12"/>
          <w:w w:val="105"/>
          <w:sz w:val="20"/>
        </w:rPr>
        <w:t> </w:t>
      </w:r>
      <w:r>
        <w:rPr>
          <w:color w:val="231F1F"/>
          <w:w w:val="105"/>
          <w:sz w:val="20"/>
        </w:rPr>
        <w:t>YL,</w:t>
      </w:r>
      <w:r>
        <w:rPr>
          <w:color w:val="231F1F"/>
          <w:spacing w:val="-11"/>
          <w:w w:val="105"/>
          <w:sz w:val="20"/>
        </w:rPr>
        <w:t> </w:t>
      </w:r>
      <w:r>
        <w:rPr>
          <w:color w:val="231F1F"/>
          <w:w w:val="105"/>
          <w:sz w:val="20"/>
        </w:rPr>
        <w:t>Crawford</w:t>
      </w:r>
      <w:r>
        <w:rPr>
          <w:color w:val="231F1F"/>
          <w:spacing w:val="-11"/>
          <w:w w:val="105"/>
          <w:sz w:val="20"/>
        </w:rPr>
        <w:t> </w:t>
      </w:r>
      <w:r>
        <w:rPr>
          <w:color w:val="231F1F"/>
          <w:w w:val="105"/>
          <w:sz w:val="20"/>
        </w:rPr>
        <w:t>JC,</w:t>
      </w:r>
      <w:r>
        <w:rPr>
          <w:color w:val="231F1F"/>
          <w:spacing w:val="-11"/>
          <w:w w:val="105"/>
          <w:sz w:val="20"/>
        </w:rPr>
        <w:t> </w:t>
      </w:r>
      <w:r>
        <w:rPr>
          <w:color w:val="231F1F"/>
          <w:w w:val="105"/>
          <w:sz w:val="20"/>
        </w:rPr>
        <w:t>Watson</w:t>
      </w:r>
      <w:r>
        <w:rPr>
          <w:color w:val="231F1F"/>
          <w:spacing w:val="-11"/>
          <w:w w:val="105"/>
          <w:sz w:val="20"/>
        </w:rPr>
        <w:t> </w:t>
      </w:r>
      <w:r>
        <w:rPr>
          <w:color w:val="231F1F"/>
          <w:w w:val="105"/>
          <w:sz w:val="20"/>
        </w:rPr>
        <w:t>HG,</w:t>
      </w:r>
      <w:r>
        <w:rPr>
          <w:color w:val="231F1F"/>
          <w:spacing w:val="-11"/>
          <w:w w:val="105"/>
          <w:sz w:val="20"/>
        </w:rPr>
        <w:t> </w:t>
      </w:r>
      <w:r>
        <w:rPr>
          <w:color w:val="231F1F"/>
          <w:w w:val="105"/>
          <w:sz w:val="20"/>
        </w:rPr>
        <w:t>Greaves</w:t>
      </w:r>
      <w:r>
        <w:rPr>
          <w:color w:val="231F1F"/>
          <w:spacing w:val="-11"/>
          <w:w w:val="105"/>
          <w:sz w:val="20"/>
        </w:rPr>
        <w:t> </w:t>
      </w:r>
      <w:r>
        <w:rPr>
          <w:color w:val="231F1F"/>
          <w:w w:val="105"/>
          <w:sz w:val="20"/>
        </w:rPr>
        <w:t>M.</w:t>
      </w:r>
      <w:r>
        <w:rPr>
          <w:color w:val="231F1F"/>
          <w:spacing w:val="-11"/>
          <w:w w:val="105"/>
          <w:sz w:val="20"/>
        </w:rPr>
        <w:t> </w:t>
      </w:r>
      <w:r>
        <w:rPr>
          <w:color w:val="231F1F"/>
          <w:w w:val="105"/>
          <w:sz w:val="20"/>
        </w:rPr>
        <w:t>Guideline</w:t>
      </w:r>
      <w:r>
        <w:rPr>
          <w:color w:val="231F1F"/>
          <w:spacing w:val="-10"/>
          <w:w w:val="105"/>
          <w:sz w:val="20"/>
        </w:rPr>
        <w:t> </w:t>
      </w:r>
      <w:r>
        <w:rPr>
          <w:color w:val="231F1F"/>
          <w:w w:val="105"/>
          <w:sz w:val="20"/>
        </w:rPr>
        <w:t>on</w:t>
      </w:r>
      <w:r>
        <w:rPr>
          <w:color w:val="231F1F"/>
          <w:spacing w:val="-4"/>
          <w:w w:val="105"/>
          <w:sz w:val="20"/>
        </w:rPr>
        <w:t> </w:t>
      </w:r>
      <w:r>
        <w:rPr>
          <w:color w:val="231F1F"/>
          <w:w w:val="105"/>
          <w:sz w:val="20"/>
        </w:rPr>
        <w:t>the</w:t>
      </w:r>
      <w:r>
        <w:rPr>
          <w:color w:val="231F1F"/>
          <w:spacing w:val="-5"/>
          <w:w w:val="105"/>
          <w:sz w:val="20"/>
        </w:rPr>
        <w:t> </w:t>
      </w:r>
      <w:r>
        <w:rPr>
          <w:color w:val="231F1F"/>
          <w:w w:val="105"/>
          <w:sz w:val="20"/>
        </w:rPr>
        <w:t>assessment</w:t>
      </w:r>
      <w:r>
        <w:rPr>
          <w:color w:val="231F1F"/>
          <w:spacing w:val="-4"/>
          <w:w w:val="105"/>
          <w:sz w:val="20"/>
        </w:rPr>
        <w:t> </w:t>
      </w:r>
      <w:r>
        <w:rPr>
          <w:color w:val="231F1F"/>
          <w:w w:val="105"/>
          <w:sz w:val="20"/>
        </w:rPr>
        <w:t>of</w:t>
      </w:r>
      <w:r>
        <w:rPr>
          <w:color w:val="231F1F"/>
          <w:spacing w:val="-4"/>
          <w:w w:val="105"/>
          <w:sz w:val="20"/>
        </w:rPr>
        <w:t> </w:t>
      </w:r>
      <w:r>
        <w:rPr>
          <w:color w:val="231F1F"/>
          <w:w w:val="105"/>
          <w:sz w:val="20"/>
        </w:rPr>
        <w:t>bleeding</w:t>
      </w:r>
      <w:r>
        <w:rPr>
          <w:color w:val="231F1F"/>
          <w:spacing w:val="-5"/>
          <w:w w:val="105"/>
          <w:sz w:val="20"/>
        </w:rPr>
        <w:t> </w:t>
      </w:r>
      <w:r>
        <w:rPr>
          <w:color w:val="231F1F"/>
          <w:w w:val="105"/>
          <w:sz w:val="20"/>
        </w:rPr>
        <w:t>risk prior to surgery or invasive procedures. Br J Haematol 2008;140(5):496-504.</w:t>
      </w:r>
    </w:p>
    <w:p>
      <w:pPr>
        <w:pStyle w:val="ListParagraph"/>
        <w:numPr>
          <w:ilvl w:val="0"/>
          <w:numId w:val="109"/>
        </w:numPr>
        <w:tabs>
          <w:tab w:pos="793" w:val="left" w:leader="none"/>
          <w:tab w:pos="797" w:val="left" w:leader="none"/>
        </w:tabs>
        <w:spacing w:line="220" w:lineRule="auto" w:before="156" w:after="0"/>
        <w:ind w:left="797" w:right="124" w:hanging="509"/>
        <w:jc w:val="both"/>
        <w:rPr>
          <w:sz w:val="20"/>
        </w:rPr>
      </w:pPr>
      <w:r>
        <w:rPr>
          <w:color w:val="231F1F"/>
          <w:w w:val="110"/>
          <w:position w:val="1"/>
          <w:sz w:val="20"/>
        </w:rPr>
        <w:t>Segal</w:t>
      </w:r>
      <w:r>
        <w:rPr>
          <w:color w:val="231F1F"/>
          <w:w w:val="110"/>
          <w:position w:val="1"/>
          <w:sz w:val="20"/>
        </w:rPr>
        <w:t> JB,</w:t>
      </w:r>
      <w:r>
        <w:rPr>
          <w:color w:val="231F1F"/>
          <w:w w:val="110"/>
          <w:position w:val="1"/>
          <w:sz w:val="20"/>
        </w:rPr>
        <w:t> Dzik</w:t>
      </w:r>
      <w:r>
        <w:rPr>
          <w:color w:val="231F1F"/>
          <w:w w:val="110"/>
          <w:position w:val="1"/>
          <w:sz w:val="20"/>
        </w:rPr>
        <w:t> WH.</w:t>
      </w:r>
      <w:r>
        <w:rPr>
          <w:color w:val="231F1F"/>
          <w:w w:val="110"/>
          <w:position w:val="1"/>
          <w:sz w:val="20"/>
        </w:rPr>
        <w:t> Paucity</w:t>
      </w:r>
      <w:r>
        <w:rPr>
          <w:color w:val="231F1F"/>
          <w:w w:val="110"/>
          <w:position w:val="1"/>
          <w:sz w:val="20"/>
        </w:rPr>
        <w:t> of</w:t>
      </w:r>
      <w:r>
        <w:rPr>
          <w:color w:val="231F1F"/>
          <w:w w:val="110"/>
          <w:position w:val="1"/>
          <w:sz w:val="20"/>
        </w:rPr>
        <w:t> studies</w:t>
      </w:r>
      <w:r>
        <w:rPr>
          <w:color w:val="231F1F"/>
          <w:w w:val="110"/>
          <w:position w:val="1"/>
          <w:sz w:val="20"/>
        </w:rPr>
        <w:t> to</w:t>
      </w:r>
      <w:r>
        <w:rPr>
          <w:color w:val="231F1F"/>
          <w:w w:val="110"/>
          <w:position w:val="1"/>
          <w:sz w:val="20"/>
        </w:rPr>
        <w:t> support</w:t>
      </w:r>
      <w:r>
        <w:rPr>
          <w:color w:val="231F1F"/>
          <w:w w:val="110"/>
          <w:position w:val="1"/>
          <w:sz w:val="20"/>
        </w:rPr>
        <w:t> that</w:t>
      </w:r>
      <w:r>
        <w:rPr>
          <w:color w:val="231F1F"/>
          <w:w w:val="110"/>
          <w:position w:val="1"/>
          <w:sz w:val="20"/>
        </w:rPr>
        <w:t> abnormal</w:t>
      </w:r>
      <w:r>
        <w:rPr>
          <w:color w:val="231F1F"/>
          <w:w w:val="110"/>
          <w:position w:val="1"/>
          <w:sz w:val="20"/>
        </w:rPr>
        <w:t> coagulation</w:t>
      </w:r>
      <w:r>
        <w:rPr>
          <w:color w:val="231F1F"/>
          <w:w w:val="110"/>
          <w:position w:val="1"/>
          <w:sz w:val="20"/>
        </w:rPr>
        <w:t> test</w:t>
      </w:r>
      <w:r>
        <w:rPr>
          <w:color w:val="231F1F"/>
          <w:w w:val="110"/>
          <w:position w:val="1"/>
          <w:sz w:val="20"/>
        </w:rPr>
        <w:t> results </w:t>
      </w:r>
      <w:r>
        <w:rPr>
          <w:color w:val="231F1F"/>
          <w:spacing w:val="-2"/>
          <w:w w:val="110"/>
          <w:sz w:val="20"/>
        </w:rPr>
        <w:t>predict</w:t>
      </w:r>
      <w:r>
        <w:rPr>
          <w:color w:val="231F1F"/>
          <w:spacing w:val="-9"/>
          <w:w w:val="110"/>
          <w:sz w:val="20"/>
        </w:rPr>
        <w:t> </w:t>
      </w:r>
      <w:r>
        <w:rPr>
          <w:color w:val="231F1F"/>
          <w:spacing w:val="-2"/>
          <w:w w:val="110"/>
          <w:sz w:val="20"/>
        </w:rPr>
        <w:t>bleeding</w:t>
      </w:r>
      <w:r>
        <w:rPr>
          <w:color w:val="231F1F"/>
          <w:spacing w:val="-9"/>
          <w:w w:val="110"/>
          <w:sz w:val="20"/>
        </w:rPr>
        <w:t> </w:t>
      </w:r>
      <w:r>
        <w:rPr>
          <w:color w:val="231F1F"/>
          <w:spacing w:val="-2"/>
          <w:w w:val="110"/>
          <w:sz w:val="20"/>
        </w:rPr>
        <w:t>in</w:t>
      </w:r>
      <w:r>
        <w:rPr>
          <w:color w:val="231F1F"/>
          <w:spacing w:val="-9"/>
          <w:w w:val="110"/>
          <w:sz w:val="20"/>
        </w:rPr>
        <w:t> </w:t>
      </w:r>
      <w:r>
        <w:rPr>
          <w:color w:val="231F1F"/>
          <w:spacing w:val="-2"/>
          <w:w w:val="110"/>
          <w:sz w:val="20"/>
        </w:rPr>
        <w:t>the</w:t>
      </w:r>
      <w:r>
        <w:rPr>
          <w:color w:val="231F1F"/>
          <w:spacing w:val="-7"/>
          <w:w w:val="110"/>
          <w:sz w:val="20"/>
        </w:rPr>
        <w:t> </w:t>
      </w:r>
      <w:r>
        <w:rPr>
          <w:color w:val="231F1F"/>
          <w:spacing w:val="-2"/>
          <w:w w:val="110"/>
          <w:sz w:val="20"/>
        </w:rPr>
        <w:t>setting</w:t>
      </w:r>
      <w:r>
        <w:rPr>
          <w:color w:val="231F1F"/>
          <w:spacing w:val="-7"/>
          <w:w w:val="110"/>
          <w:sz w:val="20"/>
        </w:rPr>
        <w:t> </w:t>
      </w:r>
      <w:r>
        <w:rPr>
          <w:color w:val="231F1F"/>
          <w:spacing w:val="-2"/>
          <w:w w:val="110"/>
          <w:sz w:val="20"/>
        </w:rPr>
        <w:t>of</w:t>
      </w:r>
      <w:r>
        <w:rPr>
          <w:color w:val="231F1F"/>
          <w:spacing w:val="-7"/>
          <w:w w:val="110"/>
          <w:sz w:val="20"/>
        </w:rPr>
        <w:t> </w:t>
      </w:r>
      <w:r>
        <w:rPr>
          <w:color w:val="231F1F"/>
          <w:spacing w:val="-2"/>
          <w:w w:val="110"/>
          <w:sz w:val="20"/>
        </w:rPr>
        <w:t>invasive</w:t>
      </w:r>
      <w:r>
        <w:rPr>
          <w:color w:val="231F1F"/>
          <w:spacing w:val="-7"/>
          <w:w w:val="110"/>
          <w:sz w:val="20"/>
        </w:rPr>
        <w:t> </w:t>
      </w:r>
      <w:r>
        <w:rPr>
          <w:color w:val="231F1F"/>
          <w:spacing w:val="-2"/>
          <w:w w:val="110"/>
          <w:sz w:val="20"/>
        </w:rPr>
        <w:t>procedures:</w:t>
      </w:r>
      <w:r>
        <w:rPr>
          <w:color w:val="231F1F"/>
          <w:spacing w:val="-9"/>
          <w:w w:val="110"/>
          <w:sz w:val="20"/>
        </w:rPr>
        <w:t> </w:t>
      </w:r>
      <w:r>
        <w:rPr>
          <w:color w:val="231F1F"/>
          <w:spacing w:val="-2"/>
          <w:w w:val="110"/>
          <w:sz w:val="20"/>
        </w:rPr>
        <w:t>an</w:t>
      </w:r>
      <w:r>
        <w:rPr>
          <w:color w:val="231F1F"/>
          <w:spacing w:val="-8"/>
          <w:w w:val="110"/>
          <w:sz w:val="20"/>
        </w:rPr>
        <w:t> </w:t>
      </w:r>
      <w:r>
        <w:rPr>
          <w:color w:val="231F1F"/>
          <w:spacing w:val="-2"/>
          <w:w w:val="110"/>
          <w:sz w:val="20"/>
        </w:rPr>
        <w:t>evidence-based</w:t>
      </w:r>
      <w:r>
        <w:rPr>
          <w:color w:val="231F1F"/>
          <w:spacing w:val="-7"/>
          <w:w w:val="110"/>
          <w:sz w:val="20"/>
        </w:rPr>
        <w:t> </w:t>
      </w:r>
      <w:r>
        <w:rPr>
          <w:color w:val="231F1F"/>
          <w:spacing w:val="-2"/>
          <w:w w:val="110"/>
          <w:sz w:val="20"/>
        </w:rPr>
        <w:t>review.</w:t>
      </w:r>
      <w:r>
        <w:rPr>
          <w:color w:val="231F1F"/>
          <w:spacing w:val="-9"/>
          <w:w w:val="110"/>
          <w:sz w:val="20"/>
        </w:rPr>
        <w:t> </w:t>
      </w:r>
      <w:r>
        <w:rPr>
          <w:color w:val="231F1F"/>
          <w:spacing w:val="-2"/>
          <w:w w:val="110"/>
          <w:sz w:val="20"/>
        </w:rPr>
        <w:t>Transfusion 2005;45(9):1413-25.</w:t>
      </w:r>
    </w:p>
    <w:p>
      <w:pPr>
        <w:pStyle w:val="ListParagraph"/>
        <w:numPr>
          <w:ilvl w:val="0"/>
          <w:numId w:val="109"/>
        </w:numPr>
        <w:tabs>
          <w:tab w:pos="793" w:val="left" w:leader="none"/>
          <w:tab w:pos="797" w:val="left" w:leader="none"/>
        </w:tabs>
        <w:spacing w:line="211" w:lineRule="auto" w:before="189" w:after="0"/>
        <w:ind w:left="797" w:right="173" w:hanging="502"/>
        <w:jc w:val="both"/>
        <w:rPr>
          <w:sz w:val="20"/>
        </w:rPr>
      </w:pPr>
      <w:r>
        <w:rPr>
          <w:color w:val="231F1F"/>
          <w:w w:val="110"/>
          <w:position w:val="1"/>
          <w:sz w:val="20"/>
        </w:rPr>
        <w:t>Chee</w:t>
      </w:r>
      <w:r>
        <w:rPr>
          <w:color w:val="231F1F"/>
          <w:spacing w:val="-13"/>
          <w:w w:val="110"/>
          <w:position w:val="1"/>
          <w:sz w:val="20"/>
        </w:rPr>
        <w:t> </w:t>
      </w:r>
      <w:r>
        <w:rPr>
          <w:color w:val="231F1F"/>
          <w:w w:val="110"/>
          <w:position w:val="1"/>
          <w:sz w:val="20"/>
        </w:rPr>
        <w:t>Y.L,</w:t>
      </w:r>
      <w:r>
        <w:rPr>
          <w:color w:val="231F1F"/>
          <w:spacing w:val="-13"/>
          <w:w w:val="110"/>
          <w:position w:val="1"/>
          <w:sz w:val="20"/>
        </w:rPr>
        <w:t> </w:t>
      </w:r>
      <w:r>
        <w:rPr>
          <w:color w:val="231F1F"/>
          <w:w w:val="110"/>
          <w:position w:val="1"/>
          <w:sz w:val="20"/>
        </w:rPr>
        <w:t>Crawford</w:t>
      </w:r>
      <w:r>
        <w:rPr>
          <w:color w:val="231F1F"/>
          <w:spacing w:val="-13"/>
          <w:w w:val="110"/>
          <w:position w:val="1"/>
          <w:sz w:val="20"/>
        </w:rPr>
        <w:t> </w:t>
      </w:r>
      <w:r>
        <w:rPr>
          <w:color w:val="231F1F"/>
          <w:w w:val="110"/>
          <w:position w:val="1"/>
          <w:sz w:val="20"/>
        </w:rPr>
        <w:t>JC,</w:t>
      </w:r>
      <w:r>
        <w:rPr>
          <w:color w:val="231F1F"/>
          <w:spacing w:val="-13"/>
          <w:w w:val="110"/>
          <w:position w:val="1"/>
          <w:sz w:val="20"/>
        </w:rPr>
        <w:t> </w:t>
      </w:r>
      <w:r>
        <w:rPr>
          <w:color w:val="231F1F"/>
          <w:w w:val="110"/>
          <w:position w:val="1"/>
          <w:sz w:val="20"/>
        </w:rPr>
        <w:t>Watson</w:t>
      </w:r>
      <w:r>
        <w:rPr>
          <w:color w:val="231F1F"/>
          <w:spacing w:val="-13"/>
          <w:w w:val="110"/>
          <w:position w:val="1"/>
          <w:sz w:val="20"/>
        </w:rPr>
        <w:t> </w:t>
      </w:r>
      <w:r>
        <w:rPr>
          <w:color w:val="231F1F"/>
          <w:w w:val="110"/>
          <w:position w:val="1"/>
          <w:sz w:val="20"/>
        </w:rPr>
        <w:t>HG,</w:t>
      </w:r>
      <w:r>
        <w:rPr>
          <w:color w:val="231F1F"/>
          <w:spacing w:val="-13"/>
          <w:w w:val="110"/>
          <w:position w:val="1"/>
          <w:sz w:val="20"/>
        </w:rPr>
        <w:t> </w:t>
      </w:r>
      <w:r>
        <w:rPr>
          <w:color w:val="231F1F"/>
          <w:w w:val="110"/>
          <w:position w:val="1"/>
          <w:sz w:val="20"/>
        </w:rPr>
        <w:t>Greaves</w:t>
      </w:r>
      <w:r>
        <w:rPr>
          <w:color w:val="231F1F"/>
          <w:spacing w:val="-13"/>
          <w:w w:val="110"/>
          <w:position w:val="1"/>
          <w:sz w:val="20"/>
        </w:rPr>
        <w:t> </w:t>
      </w:r>
      <w:r>
        <w:rPr>
          <w:color w:val="231F1F"/>
          <w:w w:val="110"/>
          <w:position w:val="1"/>
          <w:sz w:val="20"/>
        </w:rPr>
        <w:t>M.</w:t>
      </w:r>
      <w:r>
        <w:rPr>
          <w:color w:val="231F1F"/>
          <w:spacing w:val="-13"/>
          <w:w w:val="110"/>
          <w:position w:val="1"/>
          <w:sz w:val="20"/>
        </w:rPr>
        <w:t> </w:t>
      </w:r>
      <w:r>
        <w:rPr>
          <w:color w:val="231F1F"/>
          <w:w w:val="110"/>
          <w:position w:val="1"/>
          <w:sz w:val="20"/>
        </w:rPr>
        <w:t>Guidelines</w:t>
      </w:r>
      <w:r>
        <w:rPr>
          <w:color w:val="231F1F"/>
          <w:spacing w:val="-13"/>
          <w:w w:val="110"/>
          <w:position w:val="1"/>
          <w:sz w:val="20"/>
        </w:rPr>
        <w:t> </w:t>
      </w:r>
      <w:r>
        <w:rPr>
          <w:color w:val="231F1F"/>
          <w:w w:val="110"/>
          <w:position w:val="1"/>
          <w:sz w:val="20"/>
        </w:rPr>
        <w:t>on</w:t>
      </w:r>
      <w:r>
        <w:rPr>
          <w:color w:val="231F1F"/>
          <w:spacing w:val="-13"/>
          <w:w w:val="110"/>
          <w:position w:val="1"/>
          <w:sz w:val="20"/>
        </w:rPr>
        <w:t> </w:t>
      </w:r>
      <w:r>
        <w:rPr>
          <w:color w:val="231F1F"/>
          <w:w w:val="110"/>
          <w:position w:val="1"/>
          <w:sz w:val="20"/>
        </w:rPr>
        <w:t>the</w:t>
      </w:r>
      <w:r>
        <w:rPr>
          <w:color w:val="231F1F"/>
          <w:spacing w:val="-11"/>
          <w:w w:val="110"/>
          <w:position w:val="1"/>
          <w:sz w:val="20"/>
        </w:rPr>
        <w:t> </w:t>
      </w:r>
      <w:r>
        <w:rPr>
          <w:color w:val="231F1F"/>
          <w:w w:val="110"/>
          <w:position w:val="1"/>
          <w:sz w:val="20"/>
        </w:rPr>
        <w:t>assessment</w:t>
      </w:r>
      <w:r>
        <w:rPr>
          <w:color w:val="231F1F"/>
          <w:spacing w:val="-12"/>
          <w:w w:val="110"/>
          <w:position w:val="1"/>
          <w:sz w:val="20"/>
        </w:rPr>
        <w:t> </w:t>
      </w:r>
      <w:r>
        <w:rPr>
          <w:color w:val="231F1F"/>
          <w:w w:val="110"/>
          <w:position w:val="1"/>
          <w:sz w:val="20"/>
        </w:rPr>
        <w:t>of</w:t>
      </w:r>
      <w:r>
        <w:rPr>
          <w:color w:val="231F1F"/>
          <w:spacing w:val="-12"/>
          <w:w w:val="110"/>
          <w:position w:val="1"/>
          <w:sz w:val="20"/>
        </w:rPr>
        <w:t> </w:t>
      </w:r>
      <w:r>
        <w:rPr>
          <w:color w:val="231F1F"/>
          <w:w w:val="110"/>
          <w:position w:val="1"/>
          <w:sz w:val="20"/>
        </w:rPr>
        <w:t>bleeding </w:t>
      </w:r>
      <w:r>
        <w:rPr>
          <w:color w:val="231F1F"/>
          <w:w w:val="110"/>
          <w:sz w:val="20"/>
        </w:rPr>
        <w:t>risk prior to surgery or invasive procedures. Br J Haematol 2010;140(5):496-504.</w:t>
      </w:r>
    </w:p>
    <w:p>
      <w:pPr>
        <w:pStyle w:val="ListParagraph"/>
        <w:numPr>
          <w:ilvl w:val="0"/>
          <w:numId w:val="109"/>
        </w:numPr>
        <w:tabs>
          <w:tab w:pos="794" w:val="left" w:leader="none"/>
          <w:tab w:pos="798" w:val="left" w:leader="none"/>
        </w:tabs>
        <w:spacing w:line="211" w:lineRule="auto" w:before="185" w:after="0"/>
        <w:ind w:left="798" w:right="166" w:hanging="502"/>
        <w:jc w:val="both"/>
        <w:rPr>
          <w:sz w:val="20"/>
        </w:rPr>
      </w:pPr>
      <w:r>
        <w:rPr>
          <w:color w:val="231F1F"/>
          <w:w w:val="105"/>
          <w:position w:val="1"/>
          <w:sz w:val="20"/>
        </w:rPr>
        <w:t>Hofmeyr GJ. Prophylactic intravenous preloading for regional analgesia in labour. (Cochrane </w:t>
      </w:r>
      <w:r>
        <w:rPr>
          <w:color w:val="231F1F"/>
          <w:w w:val="105"/>
          <w:sz w:val="20"/>
        </w:rPr>
        <w:t>Review)</w:t>
      </w:r>
      <w:r>
        <w:rPr>
          <w:color w:val="231F1F"/>
          <w:spacing w:val="-11"/>
          <w:w w:val="105"/>
          <w:sz w:val="20"/>
        </w:rPr>
        <w:t> </w:t>
      </w:r>
      <w:r>
        <w:rPr>
          <w:color w:val="231F1F"/>
          <w:w w:val="105"/>
          <w:sz w:val="20"/>
        </w:rPr>
        <w:t>En</w:t>
      </w:r>
      <w:r>
        <w:rPr>
          <w:color w:val="231F1F"/>
          <w:spacing w:val="-9"/>
          <w:w w:val="105"/>
          <w:sz w:val="20"/>
        </w:rPr>
        <w:t> </w:t>
      </w:r>
      <w:r>
        <w:rPr>
          <w:color w:val="231F1F"/>
          <w:w w:val="105"/>
          <w:sz w:val="20"/>
        </w:rPr>
        <w:t>Cochrane</w:t>
      </w:r>
      <w:r>
        <w:rPr>
          <w:color w:val="231F1F"/>
          <w:spacing w:val="-9"/>
          <w:w w:val="105"/>
          <w:sz w:val="20"/>
        </w:rPr>
        <w:t> </w:t>
      </w:r>
      <w:r>
        <w:rPr>
          <w:color w:val="231F1F"/>
          <w:w w:val="105"/>
          <w:sz w:val="20"/>
        </w:rPr>
        <w:t>Database</w:t>
      </w:r>
      <w:r>
        <w:rPr>
          <w:color w:val="231F1F"/>
          <w:spacing w:val="-9"/>
          <w:w w:val="105"/>
          <w:sz w:val="20"/>
        </w:rPr>
        <w:t> </w:t>
      </w:r>
      <w:r>
        <w:rPr>
          <w:color w:val="231F1F"/>
          <w:w w:val="105"/>
          <w:sz w:val="20"/>
        </w:rPr>
        <w:t>of</w:t>
      </w:r>
      <w:r>
        <w:rPr>
          <w:color w:val="231F1F"/>
          <w:spacing w:val="-7"/>
          <w:w w:val="105"/>
          <w:sz w:val="20"/>
        </w:rPr>
        <w:t> </w:t>
      </w:r>
      <w:r>
        <w:rPr>
          <w:color w:val="231F1F"/>
          <w:w w:val="105"/>
          <w:sz w:val="20"/>
        </w:rPr>
        <w:t>Systematic</w:t>
      </w:r>
      <w:r>
        <w:rPr>
          <w:color w:val="231F1F"/>
          <w:spacing w:val="-7"/>
          <w:w w:val="105"/>
          <w:sz w:val="20"/>
        </w:rPr>
        <w:t> </w:t>
      </w:r>
      <w:r>
        <w:rPr>
          <w:color w:val="231F1F"/>
          <w:w w:val="105"/>
          <w:sz w:val="20"/>
        </w:rPr>
        <w:t>Reviews,Issue</w:t>
      </w:r>
      <w:r>
        <w:rPr>
          <w:color w:val="231F1F"/>
          <w:spacing w:val="-9"/>
          <w:w w:val="105"/>
          <w:sz w:val="20"/>
        </w:rPr>
        <w:t> </w:t>
      </w:r>
      <w:r>
        <w:rPr>
          <w:color w:val="231F1F"/>
          <w:w w:val="105"/>
          <w:sz w:val="20"/>
        </w:rPr>
        <w:t>3</w:t>
      </w:r>
      <w:r>
        <w:rPr>
          <w:color w:val="231F1F"/>
          <w:spacing w:val="-9"/>
          <w:w w:val="105"/>
          <w:sz w:val="20"/>
        </w:rPr>
        <w:t> </w:t>
      </w:r>
      <w:r>
        <w:rPr>
          <w:color w:val="231F1F"/>
          <w:w w:val="105"/>
          <w:sz w:val="20"/>
        </w:rPr>
        <w:t>2004;Oxford:</w:t>
      </w:r>
      <w:r>
        <w:rPr>
          <w:color w:val="231F1F"/>
          <w:spacing w:val="-21"/>
          <w:w w:val="105"/>
          <w:sz w:val="20"/>
        </w:rPr>
        <w:t> </w:t>
      </w:r>
      <w:r>
        <w:rPr>
          <w:color w:val="231F1F"/>
          <w:w w:val="105"/>
          <w:sz w:val="20"/>
        </w:rPr>
        <w:t>Update</w:t>
      </w:r>
      <w:r>
        <w:rPr>
          <w:color w:val="231F1F"/>
          <w:spacing w:val="-8"/>
          <w:w w:val="105"/>
          <w:sz w:val="20"/>
        </w:rPr>
        <w:t> </w:t>
      </w:r>
      <w:r>
        <w:rPr>
          <w:color w:val="231F1F"/>
          <w:w w:val="105"/>
          <w:sz w:val="20"/>
        </w:rPr>
        <w:t>Software.</w:t>
      </w:r>
    </w:p>
    <w:p>
      <w:pPr>
        <w:pStyle w:val="ListParagraph"/>
        <w:numPr>
          <w:ilvl w:val="0"/>
          <w:numId w:val="109"/>
        </w:numPr>
        <w:tabs>
          <w:tab w:pos="793" w:val="left" w:leader="none"/>
          <w:tab w:pos="797" w:val="left" w:leader="none"/>
        </w:tabs>
        <w:spacing w:line="228" w:lineRule="auto" w:before="167" w:after="0"/>
        <w:ind w:left="797" w:right="124" w:hanging="502"/>
        <w:jc w:val="both"/>
        <w:rPr>
          <w:sz w:val="20"/>
        </w:rPr>
      </w:pPr>
      <w:r>
        <w:rPr>
          <w:color w:val="231F1F"/>
          <w:w w:val="110"/>
          <w:position w:val="1"/>
          <w:sz w:val="20"/>
        </w:rPr>
        <w:t>Luxman</w:t>
      </w:r>
      <w:r>
        <w:rPr>
          <w:color w:val="231F1F"/>
          <w:spacing w:val="-6"/>
          <w:w w:val="110"/>
          <w:position w:val="1"/>
          <w:sz w:val="20"/>
        </w:rPr>
        <w:t> </w:t>
      </w:r>
      <w:r>
        <w:rPr>
          <w:color w:val="231F1F"/>
          <w:w w:val="110"/>
          <w:position w:val="1"/>
          <w:sz w:val="20"/>
        </w:rPr>
        <w:t>D,</w:t>
      </w:r>
      <w:r>
        <w:rPr>
          <w:color w:val="231F1F"/>
          <w:spacing w:val="-7"/>
          <w:w w:val="110"/>
          <w:position w:val="1"/>
          <w:sz w:val="20"/>
        </w:rPr>
        <w:t> </w:t>
      </w:r>
      <w:r>
        <w:rPr>
          <w:color w:val="231F1F"/>
          <w:w w:val="110"/>
          <w:position w:val="1"/>
          <w:sz w:val="20"/>
        </w:rPr>
        <w:t>Wolman</w:t>
      </w:r>
      <w:r>
        <w:rPr>
          <w:color w:val="231F1F"/>
          <w:spacing w:val="-4"/>
          <w:w w:val="110"/>
          <w:position w:val="1"/>
          <w:sz w:val="20"/>
        </w:rPr>
        <w:t> </w:t>
      </w:r>
      <w:r>
        <w:rPr>
          <w:color w:val="231F1F"/>
          <w:w w:val="110"/>
          <w:position w:val="1"/>
          <w:sz w:val="20"/>
        </w:rPr>
        <w:t>I,</w:t>
      </w:r>
      <w:r>
        <w:rPr>
          <w:color w:val="231F1F"/>
          <w:spacing w:val="-6"/>
          <w:w w:val="110"/>
          <w:position w:val="1"/>
          <w:sz w:val="20"/>
        </w:rPr>
        <w:t> </w:t>
      </w:r>
      <w:r>
        <w:rPr>
          <w:color w:val="231F1F"/>
          <w:w w:val="110"/>
          <w:position w:val="1"/>
          <w:sz w:val="20"/>
        </w:rPr>
        <w:t>Groutz</w:t>
      </w:r>
      <w:r>
        <w:rPr>
          <w:color w:val="231F1F"/>
          <w:spacing w:val="-6"/>
          <w:w w:val="110"/>
          <w:position w:val="1"/>
          <w:sz w:val="20"/>
        </w:rPr>
        <w:t> </w:t>
      </w:r>
      <w:r>
        <w:rPr>
          <w:color w:val="231F1F"/>
          <w:w w:val="110"/>
          <w:position w:val="1"/>
          <w:sz w:val="20"/>
        </w:rPr>
        <w:t>A,</w:t>
      </w:r>
      <w:r>
        <w:rPr>
          <w:color w:val="231F1F"/>
          <w:spacing w:val="-6"/>
          <w:w w:val="110"/>
          <w:position w:val="1"/>
          <w:sz w:val="20"/>
        </w:rPr>
        <w:t> </w:t>
      </w:r>
      <w:r>
        <w:rPr>
          <w:color w:val="231F1F"/>
          <w:w w:val="110"/>
          <w:position w:val="1"/>
          <w:sz w:val="20"/>
        </w:rPr>
        <w:t>Cohen</w:t>
      </w:r>
      <w:r>
        <w:rPr>
          <w:color w:val="231F1F"/>
          <w:spacing w:val="-4"/>
          <w:w w:val="110"/>
          <w:position w:val="1"/>
          <w:sz w:val="20"/>
        </w:rPr>
        <w:t> </w:t>
      </w:r>
      <w:r>
        <w:rPr>
          <w:color w:val="231F1F"/>
          <w:w w:val="110"/>
          <w:position w:val="1"/>
          <w:sz w:val="20"/>
        </w:rPr>
        <w:t>JR,</w:t>
      </w:r>
      <w:r>
        <w:rPr>
          <w:color w:val="231F1F"/>
          <w:spacing w:val="-6"/>
          <w:w w:val="110"/>
          <w:position w:val="1"/>
          <w:sz w:val="20"/>
        </w:rPr>
        <w:t> </w:t>
      </w:r>
      <w:r>
        <w:rPr>
          <w:color w:val="231F1F"/>
          <w:w w:val="110"/>
          <w:position w:val="1"/>
          <w:sz w:val="20"/>
        </w:rPr>
        <w:t>Lottan</w:t>
      </w:r>
      <w:r>
        <w:rPr>
          <w:color w:val="231F1F"/>
          <w:spacing w:val="-4"/>
          <w:w w:val="110"/>
          <w:position w:val="1"/>
          <w:sz w:val="20"/>
        </w:rPr>
        <w:t> </w:t>
      </w:r>
      <w:r>
        <w:rPr>
          <w:color w:val="231F1F"/>
          <w:w w:val="110"/>
          <w:position w:val="1"/>
          <w:sz w:val="20"/>
        </w:rPr>
        <w:t>M,</w:t>
      </w:r>
      <w:r>
        <w:rPr>
          <w:color w:val="231F1F"/>
          <w:spacing w:val="-6"/>
          <w:w w:val="110"/>
          <w:position w:val="1"/>
          <w:sz w:val="20"/>
        </w:rPr>
        <w:t> </w:t>
      </w:r>
      <w:r>
        <w:rPr>
          <w:color w:val="231F1F"/>
          <w:w w:val="110"/>
          <w:position w:val="1"/>
          <w:sz w:val="20"/>
        </w:rPr>
        <w:t>Pauzner</w:t>
      </w:r>
      <w:r>
        <w:rPr>
          <w:color w:val="231F1F"/>
          <w:spacing w:val="-4"/>
          <w:w w:val="110"/>
          <w:position w:val="1"/>
          <w:sz w:val="20"/>
        </w:rPr>
        <w:t> </w:t>
      </w:r>
      <w:r>
        <w:rPr>
          <w:color w:val="231F1F"/>
          <w:w w:val="110"/>
          <w:position w:val="1"/>
          <w:sz w:val="20"/>
        </w:rPr>
        <w:t>D,</w:t>
      </w:r>
      <w:r>
        <w:rPr>
          <w:color w:val="231F1F"/>
          <w:spacing w:val="-6"/>
          <w:w w:val="110"/>
          <w:position w:val="1"/>
          <w:sz w:val="20"/>
        </w:rPr>
        <w:t> </w:t>
      </w:r>
      <w:r>
        <w:rPr>
          <w:color w:val="231F1F"/>
          <w:w w:val="110"/>
          <w:position w:val="1"/>
          <w:sz w:val="20"/>
        </w:rPr>
        <w:t>et</w:t>
      </w:r>
      <w:r>
        <w:rPr>
          <w:color w:val="231F1F"/>
          <w:spacing w:val="-3"/>
          <w:w w:val="110"/>
          <w:position w:val="1"/>
          <w:sz w:val="20"/>
        </w:rPr>
        <w:t> </w:t>
      </w:r>
      <w:r>
        <w:rPr>
          <w:color w:val="231F1F"/>
          <w:w w:val="110"/>
          <w:position w:val="1"/>
          <w:sz w:val="20"/>
        </w:rPr>
        <w:t>al.</w:t>
      </w:r>
      <w:r>
        <w:rPr>
          <w:color w:val="231F1F"/>
          <w:spacing w:val="-7"/>
          <w:w w:val="110"/>
          <w:position w:val="1"/>
          <w:sz w:val="20"/>
        </w:rPr>
        <w:t> </w:t>
      </w:r>
      <w:r>
        <w:rPr>
          <w:color w:val="231F1F"/>
          <w:w w:val="110"/>
          <w:position w:val="1"/>
          <w:sz w:val="20"/>
        </w:rPr>
        <w:t>The</w:t>
      </w:r>
      <w:r>
        <w:rPr>
          <w:color w:val="231F1F"/>
          <w:spacing w:val="-4"/>
          <w:w w:val="110"/>
          <w:position w:val="1"/>
          <w:sz w:val="20"/>
        </w:rPr>
        <w:t> </w:t>
      </w:r>
      <w:r>
        <w:rPr>
          <w:color w:val="231F1F"/>
          <w:w w:val="110"/>
          <w:position w:val="1"/>
          <w:sz w:val="20"/>
        </w:rPr>
        <w:t>effect</w:t>
      </w:r>
      <w:r>
        <w:rPr>
          <w:color w:val="231F1F"/>
          <w:spacing w:val="-3"/>
          <w:w w:val="110"/>
          <w:position w:val="1"/>
          <w:sz w:val="20"/>
        </w:rPr>
        <w:t> </w:t>
      </w:r>
      <w:r>
        <w:rPr>
          <w:color w:val="231F1F"/>
          <w:w w:val="110"/>
          <w:position w:val="1"/>
          <w:sz w:val="20"/>
        </w:rPr>
        <w:t>of</w:t>
      </w:r>
      <w:r>
        <w:rPr>
          <w:color w:val="231F1F"/>
          <w:spacing w:val="-4"/>
          <w:w w:val="110"/>
          <w:position w:val="1"/>
          <w:sz w:val="20"/>
        </w:rPr>
        <w:t> </w:t>
      </w:r>
      <w:r>
        <w:rPr>
          <w:color w:val="231F1F"/>
          <w:w w:val="110"/>
          <w:position w:val="1"/>
          <w:sz w:val="20"/>
        </w:rPr>
        <w:t>early </w:t>
      </w:r>
      <w:r>
        <w:rPr>
          <w:color w:val="231F1F"/>
          <w:w w:val="110"/>
          <w:sz w:val="20"/>
        </w:rPr>
        <w:t>epidural block administration on the progression and outcome of labor.</w:t>
      </w:r>
      <w:r>
        <w:rPr>
          <w:color w:val="231F1F"/>
          <w:spacing w:val="-5"/>
          <w:w w:val="110"/>
          <w:sz w:val="20"/>
        </w:rPr>
        <w:t> </w:t>
      </w:r>
      <w:r>
        <w:rPr>
          <w:color w:val="231F1F"/>
          <w:w w:val="110"/>
          <w:sz w:val="20"/>
        </w:rPr>
        <w:t>Int J obstet Anesth </w:t>
      </w:r>
      <w:r>
        <w:rPr>
          <w:color w:val="231F1F"/>
          <w:spacing w:val="-2"/>
          <w:w w:val="110"/>
          <w:sz w:val="20"/>
        </w:rPr>
        <w:t>1998;Jul.7(3):161-4.</w:t>
      </w:r>
    </w:p>
    <w:p>
      <w:pPr>
        <w:pStyle w:val="ListParagraph"/>
        <w:spacing w:after="0" w:line="228" w:lineRule="auto"/>
        <w:jc w:val="both"/>
        <w:rPr>
          <w:sz w:val="20"/>
        </w:rPr>
        <w:sectPr>
          <w:pgSz w:w="11900" w:h="16840"/>
          <w:pgMar w:header="0" w:footer="622" w:top="1540" w:bottom="820" w:left="1417" w:right="1559"/>
        </w:sectPr>
      </w:pPr>
    </w:p>
    <w:p>
      <w:pPr>
        <w:pStyle w:val="ListParagraph"/>
        <w:numPr>
          <w:ilvl w:val="0"/>
          <w:numId w:val="109"/>
        </w:numPr>
        <w:tabs>
          <w:tab w:pos="794" w:val="left" w:leader="none"/>
          <w:tab w:pos="798" w:val="left" w:leader="none"/>
        </w:tabs>
        <w:spacing w:line="237" w:lineRule="auto" w:before="84" w:after="0"/>
        <w:ind w:left="798" w:right="182" w:hanging="502"/>
        <w:jc w:val="both"/>
        <w:rPr>
          <w:sz w:val="20"/>
        </w:rPr>
      </w:pPr>
      <w:r>
        <w:rPr>
          <w:color w:val="231F1F"/>
          <w:w w:val="105"/>
          <w:sz w:val="20"/>
        </w:rPr>
        <w:t>Ohel</w:t>
      </w:r>
      <w:r>
        <w:rPr>
          <w:color w:val="231F1F"/>
          <w:spacing w:val="-10"/>
          <w:w w:val="105"/>
          <w:sz w:val="20"/>
        </w:rPr>
        <w:t> </w:t>
      </w:r>
      <w:r>
        <w:rPr>
          <w:color w:val="231F1F"/>
          <w:w w:val="105"/>
          <w:sz w:val="20"/>
        </w:rPr>
        <w:t>G,</w:t>
      </w:r>
      <w:r>
        <w:rPr>
          <w:color w:val="231F1F"/>
          <w:spacing w:val="-9"/>
          <w:w w:val="105"/>
          <w:sz w:val="20"/>
        </w:rPr>
        <w:t> </w:t>
      </w:r>
      <w:r>
        <w:rPr>
          <w:color w:val="231F1F"/>
          <w:w w:val="105"/>
          <w:sz w:val="20"/>
        </w:rPr>
        <w:t>Gonen</w:t>
      </w:r>
      <w:r>
        <w:rPr>
          <w:color w:val="231F1F"/>
          <w:spacing w:val="-9"/>
          <w:w w:val="105"/>
          <w:sz w:val="20"/>
        </w:rPr>
        <w:t> </w:t>
      </w:r>
      <w:r>
        <w:rPr>
          <w:color w:val="231F1F"/>
          <w:w w:val="105"/>
          <w:sz w:val="20"/>
        </w:rPr>
        <w:t>R,</w:t>
      </w:r>
      <w:r>
        <w:rPr>
          <w:color w:val="231F1F"/>
          <w:spacing w:val="-9"/>
          <w:w w:val="105"/>
          <w:sz w:val="20"/>
        </w:rPr>
        <w:t> </w:t>
      </w:r>
      <w:r>
        <w:rPr>
          <w:color w:val="231F1F"/>
          <w:w w:val="105"/>
          <w:sz w:val="20"/>
        </w:rPr>
        <w:t>Vaida</w:t>
      </w:r>
      <w:r>
        <w:rPr>
          <w:color w:val="231F1F"/>
          <w:spacing w:val="-4"/>
          <w:w w:val="105"/>
          <w:sz w:val="20"/>
        </w:rPr>
        <w:t> </w:t>
      </w:r>
      <w:r>
        <w:rPr>
          <w:color w:val="231F1F"/>
          <w:w w:val="105"/>
          <w:sz w:val="20"/>
        </w:rPr>
        <w:t>S,</w:t>
      </w:r>
      <w:r>
        <w:rPr>
          <w:color w:val="231F1F"/>
          <w:spacing w:val="-10"/>
          <w:w w:val="105"/>
          <w:sz w:val="20"/>
        </w:rPr>
        <w:t> </w:t>
      </w:r>
      <w:r>
        <w:rPr>
          <w:color w:val="231F1F"/>
          <w:w w:val="105"/>
          <w:sz w:val="20"/>
        </w:rPr>
        <w:t>Barak</w:t>
      </w:r>
      <w:r>
        <w:rPr>
          <w:color w:val="231F1F"/>
          <w:spacing w:val="-4"/>
          <w:w w:val="105"/>
          <w:sz w:val="20"/>
        </w:rPr>
        <w:t> </w:t>
      </w:r>
      <w:r>
        <w:rPr>
          <w:color w:val="231F1F"/>
          <w:w w:val="105"/>
          <w:sz w:val="20"/>
        </w:rPr>
        <w:t>S,</w:t>
      </w:r>
      <w:r>
        <w:rPr>
          <w:color w:val="231F1F"/>
          <w:spacing w:val="-10"/>
          <w:w w:val="105"/>
          <w:sz w:val="20"/>
        </w:rPr>
        <w:t> </w:t>
      </w:r>
      <w:r>
        <w:rPr>
          <w:color w:val="231F1F"/>
          <w:w w:val="105"/>
          <w:sz w:val="20"/>
        </w:rPr>
        <w:t>Gaitini</w:t>
      </w:r>
      <w:r>
        <w:rPr>
          <w:color w:val="231F1F"/>
          <w:spacing w:val="-3"/>
          <w:w w:val="105"/>
          <w:sz w:val="20"/>
        </w:rPr>
        <w:t> </w:t>
      </w:r>
      <w:r>
        <w:rPr>
          <w:color w:val="231F1F"/>
          <w:w w:val="105"/>
          <w:sz w:val="20"/>
        </w:rPr>
        <w:t>L.</w:t>
      </w:r>
      <w:r>
        <w:rPr>
          <w:color w:val="231F1F"/>
          <w:spacing w:val="-10"/>
          <w:w w:val="105"/>
          <w:sz w:val="20"/>
        </w:rPr>
        <w:t> </w:t>
      </w:r>
      <w:r>
        <w:rPr>
          <w:color w:val="231F1F"/>
          <w:w w:val="105"/>
          <w:sz w:val="20"/>
        </w:rPr>
        <w:t>Early</w:t>
      </w:r>
      <w:r>
        <w:rPr>
          <w:color w:val="231F1F"/>
          <w:spacing w:val="-4"/>
          <w:w w:val="105"/>
          <w:sz w:val="20"/>
        </w:rPr>
        <w:t> </w:t>
      </w:r>
      <w:r>
        <w:rPr>
          <w:color w:val="231F1F"/>
          <w:w w:val="105"/>
          <w:sz w:val="20"/>
        </w:rPr>
        <w:t>versus</w:t>
      </w:r>
      <w:r>
        <w:rPr>
          <w:color w:val="231F1F"/>
          <w:spacing w:val="-4"/>
          <w:w w:val="105"/>
          <w:sz w:val="20"/>
        </w:rPr>
        <w:t> </w:t>
      </w:r>
      <w:r>
        <w:rPr>
          <w:color w:val="231F1F"/>
          <w:w w:val="105"/>
          <w:sz w:val="20"/>
        </w:rPr>
        <w:t>late</w:t>
      </w:r>
      <w:r>
        <w:rPr>
          <w:color w:val="231F1F"/>
          <w:spacing w:val="-4"/>
          <w:w w:val="105"/>
          <w:sz w:val="20"/>
        </w:rPr>
        <w:t> </w:t>
      </w:r>
      <w:r>
        <w:rPr>
          <w:color w:val="231F1F"/>
          <w:w w:val="105"/>
          <w:sz w:val="20"/>
        </w:rPr>
        <w:t>initiation</w:t>
      </w:r>
      <w:r>
        <w:rPr>
          <w:color w:val="231F1F"/>
          <w:spacing w:val="-4"/>
          <w:w w:val="105"/>
          <w:sz w:val="20"/>
        </w:rPr>
        <w:t> </w:t>
      </w:r>
      <w:r>
        <w:rPr>
          <w:color w:val="231F1F"/>
          <w:w w:val="105"/>
          <w:sz w:val="20"/>
        </w:rPr>
        <w:t>of</w:t>
      </w:r>
      <w:r>
        <w:rPr>
          <w:color w:val="231F1F"/>
          <w:spacing w:val="-3"/>
          <w:w w:val="105"/>
          <w:sz w:val="20"/>
        </w:rPr>
        <w:t> </w:t>
      </w:r>
      <w:r>
        <w:rPr>
          <w:color w:val="231F1F"/>
          <w:w w:val="105"/>
          <w:sz w:val="20"/>
        </w:rPr>
        <w:t>epidural</w:t>
      </w:r>
      <w:r>
        <w:rPr>
          <w:color w:val="231F1F"/>
          <w:spacing w:val="-4"/>
          <w:w w:val="105"/>
          <w:sz w:val="20"/>
        </w:rPr>
        <w:t> </w:t>
      </w:r>
      <w:r>
        <w:rPr>
          <w:color w:val="231F1F"/>
          <w:w w:val="105"/>
          <w:sz w:val="20"/>
        </w:rPr>
        <w:t>analgesia in</w:t>
      </w:r>
      <w:r>
        <w:rPr>
          <w:color w:val="231F1F"/>
          <w:w w:val="105"/>
          <w:sz w:val="20"/>
        </w:rPr>
        <w:t> labor:</w:t>
      </w:r>
      <w:r>
        <w:rPr>
          <w:color w:val="231F1F"/>
          <w:w w:val="105"/>
          <w:sz w:val="20"/>
        </w:rPr>
        <w:t> does</w:t>
      </w:r>
      <w:r>
        <w:rPr>
          <w:color w:val="231F1F"/>
          <w:w w:val="105"/>
          <w:sz w:val="20"/>
        </w:rPr>
        <w:t> it</w:t>
      </w:r>
      <w:r>
        <w:rPr>
          <w:color w:val="231F1F"/>
          <w:w w:val="105"/>
          <w:sz w:val="20"/>
        </w:rPr>
        <w:t> increase</w:t>
      </w:r>
      <w:r>
        <w:rPr>
          <w:color w:val="231F1F"/>
          <w:w w:val="105"/>
          <w:sz w:val="20"/>
        </w:rPr>
        <w:t> the</w:t>
      </w:r>
      <w:r>
        <w:rPr>
          <w:color w:val="231F1F"/>
          <w:w w:val="105"/>
          <w:sz w:val="20"/>
        </w:rPr>
        <w:t> risk</w:t>
      </w:r>
      <w:r>
        <w:rPr>
          <w:color w:val="231F1F"/>
          <w:w w:val="105"/>
          <w:sz w:val="20"/>
        </w:rPr>
        <w:t> of</w:t>
      </w:r>
      <w:r>
        <w:rPr>
          <w:color w:val="231F1F"/>
          <w:w w:val="105"/>
          <w:sz w:val="20"/>
        </w:rPr>
        <w:t> cesarena</w:t>
      </w:r>
      <w:r>
        <w:rPr>
          <w:color w:val="231F1F"/>
          <w:w w:val="105"/>
          <w:sz w:val="20"/>
        </w:rPr>
        <w:t> section?</w:t>
      </w:r>
      <w:r>
        <w:rPr>
          <w:color w:val="231F1F"/>
          <w:w w:val="105"/>
          <w:sz w:val="20"/>
        </w:rPr>
        <w:t> A</w:t>
      </w:r>
      <w:r>
        <w:rPr>
          <w:color w:val="231F1F"/>
          <w:w w:val="105"/>
          <w:sz w:val="20"/>
        </w:rPr>
        <w:t> randomized</w:t>
      </w:r>
      <w:r>
        <w:rPr>
          <w:color w:val="231F1F"/>
          <w:w w:val="105"/>
          <w:sz w:val="20"/>
        </w:rPr>
        <w:t> trial.</w:t>
      </w:r>
      <w:r>
        <w:rPr>
          <w:color w:val="231F1F"/>
          <w:w w:val="105"/>
          <w:sz w:val="20"/>
        </w:rPr>
        <w:t> Am</w:t>
      </w:r>
      <w:r>
        <w:rPr>
          <w:color w:val="231F1F"/>
          <w:w w:val="105"/>
          <w:sz w:val="20"/>
        </w:rPr>
        <w:t> J</w:t>
      </w:r>
      <w:r>
        <w:rPr>
          <w:color w:val="231F1F"/>
          <w:w w:val="105"/>
          <w:sz w:val="20"/>
        </w:rPr>
        <w:t> Obstet Gynecol</w:t>
      </w:r>
      <w:r>
        <w:rPr>
          <w:color w:val="231F1F"/>
          <w:spacing w:val="40"/>
          <w:w w:val="105"/>
          <w:sz w:val="20"/>
        </w:rPr>
        <w:t> </w:t>
      </w:r>
      <w:r>
        <w:rPr>
          <w:color w:val="231F1F"/>
          <w:w w:val="105"/>
          <w:sz w:val="20"/>
        </w:rPr>
        <w:t>2006;Mar.194(3):600-5.</w:t>
      </w:r>
    </w:p>
    <w:p>
      <w:pPr>
        <w:pStyle w:val="ListParagraph"/>
        <w:numPr>
          <w:ilvl w:val="0"/>
          <w:numId w:val="109"/>
        </w:numPr>
        <w:tabs>
          <w:tab w:pos="794" w:val="left" w:leader="none"/>
          <w:tab w:pos="798" w:val="left" w:leader="none"/>
        </w:tabs>
        <w:spacing w:line="228" w:lineRule="auto" w:before="145" w:after="0"/>
        <w:ind w:left="798" w:right="123" w:hanging="502"/>
        <w:jc w:val="both"/>
        <w:rPr>
          <w:sz w:val="20"/>
        </w:rPr>
      </w:pPr>
      <w:r>
        <w:rPr>
          <w:color w:val="231F1F"/>
          <w:spacing w:val="-2"/>
          <w:w w:val="105"/>
          <w:sz w:val="20"/>
        </w:rPr>
        <w:t>Marucci</w:t>
      </w:r>
      <w:r>
        <w:rPr>
          <w:color w:val="231F1F"/>
          <w:spacing w:val="-4"/>
          <w:w w:val="105"/>
          <w:sz w:val="20"/>
        </w:rPr>
        <w:t> </w:t>
      </w:r>
      <w:r>
        <w:rPr>
          <w:color w:val="231F1F"/>
          <w:spacing w:val="-2"/>
          <w:w w:val="105"/>
          <w:sz w:val="20"/>
        </w:rPr>
        <w:t>M,</w:t>
      </w:r>
      <w:r>
        <w:rPr>
          <w:color w:val="231F1F"/>
          <w:spacing w:val="-4"/>
          <w:w w:val="105"/>
          <w:sz w:val="20"/>
        </w:rPr>
        <w:t> </w:t>
      </w:r>
      <w:r>
        <w:rPr>
          <w:color w:val="231F1F"/>
          <w:spacing w:val="-2"/>
          <w:w w:val="105"/>
          <w:sz w:val="20"/>
        </w:rPr>
        <w:t>Cinnella</w:t>
      </w:r>
      <w:r>
        <w:rPr>
          <w:color w:val="231F1F"/>
          <w:spacing w:val="-4"/>
          <w:w w:val="105"/>
          <w:sz w:val="20"/>
        </w:rPr>
        <w:t> </w:t>
      </w:r>
      <w:r>
        <w:rPr>
          <w:color w:val="231F1F"/>
          <w:spacing w:val="-2"/>
          <w:w w:val="105"/>
          <w:sz w:val="20"/>
        </w:rPr>
        <w:t>G,</w:t>
      </w:r>
      <w:r>
        <w:rPr>
          <w:color w:val="231F1F"/>
          <w:spacing w:val="-4"/>
          <w:w w:val="105"/>
          <w:sz w:val="20"/>
        </w:rPr>
        <w:t> </w:t>
      </w:r>
      <w:r>
        <w:rPr>
          <w:color w:val="231F1F"/>
          <w:spacing w:val="-2"/>
          <w:w w:val="105"/>
          <w:sz w:val="20"/>
        </w:rPr>
        <w:t>Perchiazzi</w:t>
      </w:r>
      <w:r>
        <w:rPr>
          <w:color w:val="231F1F"/>
          <w:spacing w:val="-4"/>
          <w:w w:val="105"/>
          <w:sz w:val="20"/>
        </w:rPr>
        <w:t> </w:t>
      </w:r>
      <w:r>
        <w:rPr>
          <w:color w:val="231F1F"/>
          <w:spacing w:val="-2"/>
          <w:w w:val="105"/>
          <w:sz w:val="20"/>
        </w:rPr>
        <w:t>G,</w:t>
      </w:r>
      <w:r>
        <w:rPr>
          <w:color w:val="231F1F"/>
          <w:spacing w:val="-4"/>
          <w:w w:val="105"/>
          <w:sz w:val="20"/>
        </w:rPr>
        <w:t> </w:t>
      </w:r>
      <w:r>
        <w:rPr>
          <w:color w:val="231F1F"/>
          <w:spacing w:val="-2"/>
          <w:w w:val="105"/>
          <w:sz w:val="20"/>
        </w:rPr>
        <w:t>Brienza</w:t>
      </w:r>
      <w:r>
        <w:rPr>
          <w:color w:val="231F1F"/>
          <w:spacing w:val="-4"/>
          <w:w w:val="105"/>
          <w:sz w:val="20"/>
        </w:rPr>
        <w:t> </w:t>
      </w:r>
      <w:r>
        <w:rPr>
          <w:color w:val="231F1F"/>
          <w:spacing w:val="-2"/>
          <w:w w:val="105"/>
          <w:sz w:val="20"/>
        </w:rPr>
        <w:t>N,</w:t>
      </w:r>
      <w:r>
        <w:rPr>
          <w:color w:val="231F1F"/>
          <w:spacing w:val="-4"/>
          <w:w w:val="105"/>
          <w:sz w:val="20"/>
        </w:rPr>
        <w:t> </w:t>
      </w:r>
      <w:r>
        <w:rPr>
          <w:color w:val="231F1F"/>
          <w:spacing w:val="-2"/>
          <w:w w:val="105"/>
          <w:sz w:val="20"/>
        </w:rPr>
        <w:t>Fiore</w:t>
      </w:r>
      <w:r>
        <w:rPr>
          <w:color w:val="231F1F"/>
          <w:spacing w:val="-4"/>
          <w:w w:val="105"/>
          <w:sz w:val="20"/>
        </w:rPr>
        <w:t> </w:t>
      </w:r>
      <w:r>
        <w:rPr>
          <w:color w:val="231F1F"/>
          <w:spacing w:val="-2"/>
          <w:w w:val="105"/>
          <w:sz w:val="20"/>
        </w:rPr>
        <w:t>T.</w:t>
      </w:r>
      <w:r>
        <w:rPr>
          <w:color w:val="231F1F"/>
          <w:spacing w:val="-4"/>
          <w:w w:val="105"/>
          <w:sz w:val="20"/>
        </w:rPr>
        <w:t> </w:t>
      </w:r>
      <w:r>
        <w:rPr>
          <w:color w:val="231F1F"/>
          <w:spacing w:val="-2"/>
          <w:w w:val="105"/>
          <w:sz w:val="20"/>
        </w:rPr>
        <w:t>Patient-requested</w:t>
      </w:r>
      <w:r>
        <w:rPr>
          <w:color w:val="231F1F"/>
          <w:spacing w:val="-4"/>
          <w:w w:val="105"/>
          <w:sz w:val="20"/>
        </w:rPr>
        <w:t> </w:t>
      </w:r>
      <w:r>
        <w:rPr>
          <w:color w:val="231F1F"/>
          <w:spacing w:val="-2"/>
          <w:w w:val="105"/>
          <w:sz w:val="20"/>
        </w:rPr>
        <w:t>Neuraxial</w:t>
      </w:r>
      <w:r>
        <w:rPr>
          <w:color w:val="231F1F"/>
          <w:spacing w:val="-4"/>
          <w:w w:val="105"/>
          <w:sz w:val="20"/>
        </w:rPr>
        <w:t> </w:t>
      </w:r>
      <w:r>
        <w:rPr>
          <w:color w:val="231F1F"/>
          <w:spacing w:val="-2"/>
          <w:w w:val="105"/>
          <w:sz w:val="20"/>
        </w:rPr>
        <w:t>Analgesia </w:t>
      </w:r>
      <w:r>
        <w:rPr>
          <w:color w:val="231F1F"/>
          <w:w w:val="105"/>
          <w:sz w:val="20"/>
        </w:rPr>
        <w:t>for</w:t>
      </w:r>
      <w:r>
        <w:rPr>
          <w:color w:val="231F1F"/>
          <w:w w:val="105"/>
          <w:sz w:val="20"/>
        </w:rPr>
        <w:t> Labor.</w:t>
      </w:r>
      <w:r>
        <w:rPr>
          <w:color w:val="231F1F"/>
          <w:w w:val="105"/>
          <w:sz w:val="20"/>
        </w:rPr>
        <w:t> Impact</w:t>
      </w:r>
      <w:r>
        <w:rPr>
          <w:color w:val="231F1F"/>
          <w:w w:val="105"/>
          <w:sz w:val="20"/>
        </w:rPr>
        <w:t> on</w:t>
      </w:r>
      <w:r>
        <w:rPr>
          <w:color w:val="231F1F"/>
          <w:w w:val="105"/>
          <w:sz w:val="20"/>
        </w:rPr>
        <w:t> Rates</w:t>
      </w:r>
      <w:r>
        <w:rPr>
          <w:color w:val="231F1F"/>
          <w:w w:val="105"/>
          <w:sz w:val="20"/>
        </w:rPr>
        <w:t> Cesarean</w:t>
      </w:r>
      <w:r>
        <w:rPr>
          <w:color w:val="231F1F"/>
          <w:w w:val="105"/>
          <w:sz w:val="20"/>
        </w:rPr>
        <w:t> and</w:t>
      </w:r>
      <w:r>
        <w:rPr>
          <w:color w:val="231F1F"/>
          <w:w w:val="105"/>
          <w:sz w:val="20"/>
        </w:rPr>
        <w:t> Instrumental</w:t>
      </w:r>
      <w:r>
        <w:rPr>
          <w:color w:val="231F1F"/>
          <w:w w:val="105"/>
          <w:sz w:val="20"/>
        </w:rPr>
        <w:t> Vaginal</w:t>
      </w:r>
      <w:r>
        <w:rPr>
          <w:color w:val="231F1F"/>
          <w:w w:val="105"/>
          <w:sz w:val="20"/>
        </w:rPr>
        <w:t> Delivery.</w:t>
      </w:r>
      <w:r>
        <w:rPr>
          <w:color w:val="231F1F"/>
          <w:w w:val="105"/>
          <w:sz w:val="20"/>
        </w:rPr>
        <w:t> Anaesthesiology </w:t>
      </w:r>
      <w:r>
        <w:rPr>
          <w:color w:val="231F1F"/>
          <w:spacing w:val="-2"/>
          <w:w w:val="105"/>
          <w:sz w:val="20"/>
        </w:rPr>
        <w:t>2007;106(5):1035-45.</w:t>
      </w:r>
    </w:p>
    <w:p>
      <w:pPr>
        <w:pStyle w:val="ListParagraph"/>
        <w:numPr>
          <w:ilvl w:val="0"/>
          <w:numId w:val="109"/>
        </w:numPr>
        <w:tabs>
          <w:tab w:pos="793" w:val="left" w:leader="none"/>
          <w:tab w:pos="797" w:val="left" w:leader="none"/>
        </w:tabs>
        <w:spacing w:line="218" w:lineRule="auto" w:before="153" w:after="0"/>
        <w:ind w:left="797" w:right="124" w:hanging="522"/>
        <w:jc w:val="both"/>
        <w:rPr>
          <w:sz w:val="20"/>
        </w:rPr>
      </w:pPr>
      <w:r>
        <w:rPr>
          <w:color w:val="231F1F"/>
          <w:w w:val="110"/>
          <w:position w:val="1"/>
          <w:sz w:val="20"/>
        </w:rPr>
        <w:t>Shen</w:t>
      </w:r>
      <w:r>
        <w:rPr>
          <w:color w:val="231F1F"/>
          <w:spacing w:val="-16"/>
          <w:w w:val="110"/>
          <w:position w:val="1"/>
          <w:sz w:val="20"/>
        </w:rPr>
        <w:t> </w:t>
      </w:r>
      <w:r>
        <w:rPr>
          <w:color w:val="231F1F"/>
          <w:w w:val="110"/>
          <w:position w:val="1"/>
          <w:sz w:val="20"/>
        </w:rPr>
        <w:t>XF,</w:t>
      </w:r>
      <w:r>
        <w:rPr>
          <w:color w:val="231F1F"/>
          <w:spacing w:val="-14"/>
          <w:w w:val="110"/>
          <w:position w:val="1"/>
          <w:sz w:val="20"/>
        </w:rPr>
        <w:t> </w:t>
      </w:r>
      <w:r>
        <w:rPr>
          <w:color w:val="231F1F"/>
          <w:w w:val="110"/>
          <w:position w:val="1"/>
          <w:sz w:val="20"/>
        </w:rPr>
        <w:t>Guo</w:t>
      </w:r>
      <w:r>
        <w:rPr>
          <w:color w:val="231F1F"/>
          <w:spacing w:val="-14"/>
          <w:w w:val="110"/>
          <w:position w:val="1"/>
          <w:sz w:val="20"/>
        </w:rPr>
        <w:t> </w:t>
      </w:r>
      <w:r>
        <w:rPr>
          <w:color w:val="231F1F"/>
          <w:w w:val="110"/>
          <w:position w:val="1"/>
          <w:sz w:val="20"/>
        </w:rPr>
        <w:t>XR,</w:t>
      </w:r>
      <w:r>
        <w:rPr>
          <w:color w:val="231F1F"/>
          <w:spacing w:val="-13"/>
          <w:w w:val="110"/>
          <w:position w:val="1"/>
          <w:sz w:val="20"/>
        </w:rPr>
        <w:t> </w:t>
      </w:r>
      <w:r>
        <w:rPr>
          <w:color w:val="231F1F"/>
          <w:w w:val="110"/>
          <w:position w:val="1"/>
          <w:sz w:val="20"/>
        </w:rPr>
        <w:t>Peng</w:t>
      </w:r>
      <w:r>
        <w:rPr>
          <w:color w:val="231F1F"/>
          <w:spacing w:val="-14"/>
          <w:w w:val="110"/>
          <w:position w:val="1"/>
          <w:sz w:val="20"/>
        </w:rPr>
        <w:t> </w:t>
      </w:r>
      <w:r>
        <w:rPr>
          <w:color w:val="231F1F"/>
          <w:w w:val="110"/>
          <w:position w:val="1"/>
          <w:sz w:val="20"/>
        </w:rPr>
        <w:t>YZ,</w:t>
      </w:r>
      <w:r>
        <w:rPr>
          <w:color w:val="231F1F"/>
          <w:spacing w:val="-14"/>
          <w:w w:val="110"/>
          <w:position w:val="1"/>
          <w:sz w:val="20"/>
        </w:rPr>
        <w:t> </w:t>
      </w:r>
      <w:r>
        <w:rPr>
          <w:color w:val="231F1F"/>
          <w:w w:val="110"/>
          <w:position w:val="1"/>
          <w:sz w:val="20"/>
        </w:rPr>
        <w:t>Gu</w:t>
      </w:r>
      <w:r>
        <w:rPr>
          <w:color w:val="231F1F"/>
          <w:spacing w:val="-14"/>
          <w:w w:val="110"/>
          <w:position w:val="1"/>
          <w:sz w:val="20"/>
        </w:rPr>
        <w:t> </w:t>
      </w:r>
      <w:r>
        <w:rPr>
          <w:color w:val="231F1F"/>
          <w:w w:val="110"/>
          <w:position w:val="1"/>
          <w:sz w:val="20"/>
        </w:rPr>
        <w:t>XQ.</w:t>
      </w:r>
      <w:r>
        <w:rPr>
          <w:color w:val="231F1F"/>
          <w:spacing w:val="-13"/>
          <w:w w:val="110"/>
          <w:position w:val="1"/>
          <w:sz w:val="20"/>
        </w:rPr>
        <w:t> </w:t>
      </w:r>
      <w:r>
        <w:rPr>
          <w:color w:val="231F1F"/>
          <w:w w:val="110"/>
          <w:position w:val="1"/>
          <w:sz w:val="20"/>
        </w:rPr>
        <w:t>Epidural</w:t>
      </w:r>
      <w:r>
        <w:rPr>
          <w:color w:val="231F1F"/>
          <w:spacing w:val="-14"/>
          <w:w w:val="110"/>
          <w:position w:val="1"/>
          <w:sz w:val="20"/>
        </w:rPr>
        <w:t> </w:t>
      </w:r>
      <w:r>
        <w:rPr>
          <w:color w:val="231F1F"/>
          <w:w w:val="110"/>
          <w:position w:val="1"/>
          <w:sz w:val="20"/>
        </w:rPr>
        <w:t>Analgesia</w:t>
      </w:r>
      <w:r>
        <w:rPr>
          <w:color w:val="231F1F"/>
          <w:spacing w:val="-14"/>
          <w:w w:val="110"/>
          <w:position w:val="1"/>
          <w:sz w:val="20"/>
        </w:rPr>
        <w:t> </w:t>
      </w:r>
      <w:r>
        <w:rPr>
          <w:color w:val="231F1F"/>
          <w:w w:val="110"/>
          <w:position w:val="1"/>
          <w:sz w:val="20"/>
        </w:rPr>
        <w:t>in</w:t>
      </w:r>
      <w:r>
        <w:rPr>
          <w:color w:val="231F1F"/>
          <w:spacing w:val="-14"/>
          <w:w w:val="110"/>
          <w:position w:val="1"/>
          <w:sz w:val="20"/>
        </w:rPr>
        <w:t> </w:t>
      </w:r>
      <w:r>
        <w:rPr>
          <w:color w:val="231F1F"/>
          <w:w w:val="110"/>
          <w:position w:val="1"/>
          <w:sz w:val="20"/>
        </w:rPr>
        <w:t>the</w:t>
      </w:r>
      <w:r>
        <w:rPr>
          <w:color w:val="231F1F"/>
          <w:spacing w:val="-13"/>
          <w:w w:val="110"/>
          <w:position w:val="1"/>
          <w:sz w:val="20"/>
        </w:rPr>
        <w:t> </w:t>
      </w:r>
      <w:r>
        <w:rPr>
          <w:color w:val="231F1F"/>
          <w:w w:val="110"/>
          <w:position w:val="1"/>
          <w:sz w:val="20"/>
        </w:rPr>
        <w:t>Latenet</w:t>
      </w:r>
      <w:r>
        <w:rPr>
          <w:color w:val="231F1F"/>
          <w:spacing w:val="-14"/>
          <w:w w:val="110"/>
          <w:position w:val="1"/>
          <w:sz w:val="20"/>
        </w:rPr>
        <w:t> </w:t>
      </w:r>
      <w:r>
        <w:rPr>
          <w:color w:val="231F1F"/>
          <w:w w:val="110"/>
          <w:position w:val="1"/>
          <w:sz w:val="20"/>
        </w:rPr>
        <w:t>Phase</w:t>
      </w:r>
      <w:r>
        <w:rPr>
          <w:color w:val="231F1F"/>
          <w:spacing w:val="-14"/>
          <w:w w:val="110"/>
          <w:position w:val="1"/>
          <w:sz w:val="20"/>
        </w:rPr>
        <w:t> </w:t>
      </w:r>
      <w:r>
        <w:rPr>
          <w:color w:val="231F1F"/>
          <w:w w:val="110"/>
          <w:position w:val="1"/>
          <w:sz w:val="20"/>
        </w:rPr>
        <w:t>of</w:t>
      </w:r>
      <w:r>
        <w:rPr>
          <w:color w:val="231F1F"/>
          <w:spacing w:val="-14"/>
          <w:w w:val="110"/>
          <w:position w:val="1"/>
          <w:sz w:val="20"/>
        </w:rPr>
        <w:t> </w:t>
      </w:r>
      <w:r>
        <w:rPr>
          <w:color w:val="231F1F"/>
          <w:w w:val="110"/>
          <w:position w:val="1"/>
          <w:sz w:val="20"/>
        </w:rPr>
        <w:t>Labor</w:t>
      </w:r>
      <w:r>
        <w:rPr>
          <w:color w:val="231F1F"/>
          <w:spacing w:val="-13"/>
          <w:w w:val="110"/>
          <w:position w:val="1"/>
          <w:sz w:val="20"/>
        </w:rPr>
        <w:t> </w:t>
      </w:r>
      <w:r>
        <w:rPr>
          <w:color w:val="231F1F"/>
          <w:w w:val="110"/>
          <w:position w:val="1"/>
          <w:sz w:val="20"/>
        </w:rPr>
        <w:t>annd </w:t>
      </w:r>
      <w:r>
        <w:rPr>
          <w:color w:val="231F1F"/>
          <w:w w:val="110"/>
          <w:sz w:val="20"/>
        </w:rPr>
        <w:t>the Risk of Cesarean Delivery. A five-year Randomized Controlled Trial. Anesthesiology </w:t>
      </w:r>
      <w:r>
        <w:rPr>
          <w:color w:val="231F1F"/>
          <w:spacing w:val="-2"/>
          <w:w w:val="110"/>
          <w:sz w:val="20"/>
        </w:rPr>
        <w:t>2009;111(4):871-80.</w:t>
      </w:r>
    </w:p>
    <w:p>
      <w:pPr>
        <w:pStyle w:val="ListParagraph"/>
        <w:numPr>
          <w:ilvl w:val="0"/>
          <w:numId w:val="109"/>
        </w:numPr>
        <w:tabs>
          <w:tab w:pos="793" w:val="left" w:leader="none"/>
          <w:tab w:pos="797" w:val="left" w:leader="none"/>
        </w:tabs>
        <w:spacing w:line="230" w:lineRule="auto" w:before="155" w:after="0"/>
        <w:ind w:left="797" w:right="170" w:hanging="502"/>
        <w:jc w:val="both"/>
        <w:rPr>
          <w:sz w:val="20"/>
        </w:rPr>
      </w:pPr>
      <w:r>
        <w:rPr>
          <w:color w:val="231F1F"/>
          <w:w w:val="110"/>
          <w:position w:val="1"/>
          <w:sz w:val="20"/>
        </w:rPr>
        <w:t>Eddleston</w:t>
      </w:r>
      <w:r>
        <w:rPr>
          <w:color w:val="231F1F"/>
          <w:spacing w:val="-12"/>
          <w:w w:val="110"/>
          <w:position w:val="1"/>
          <w:sz w:val="20"/>
        </w:rPr>
        <w:t> </w:t>
      </w:r>
      <w:r>
        <w:rPr>
          <w:color w:val="231F1F"/>
          <w:w w:val="110"/>
          <w:position w:val="1"/>
          <w:sz w:val="20"/>
        </w:rPr>
        <w:t>JM,</w:t>
      </w:r>
      <w:r>
        <w:rPr>
          <w:color w:val="231F1F"/>
          <w:spacing w:val="-12"/>
          <w:w w:val="110"/>
          <w:position w:val="1"/>
          <w:sz w:val="20"/>
        </w:rPr>
        <w:t> </w:t>
      </w:r>
      <w:r>
        <w:rPr>
          <w:color w:val="231F1F"/>
          <w:w w:val="110"/>
          <w:position w:val="1"/>
          <w:sz w:val="20"/>
        </w:rPr>
        <w:t>Maresh</w:t>
      </w:r>
      <w:r>
        <w:rPr>
          <w:color w:val="231F1F"/>
          <w:spacing w:val="-12"/>
          <w:w w:val="110"/>
          <w:position w:val="1"/>
          <w:sz w:val="20"/>
        </w:rPr>
        <w:t> </w:t>
      </w:r>
      <w:r>
        <w:rPr>
          <w:color w:val="231F1F"/>
          <w:w w:val="110"/>
          <w:position w:val="1"/>
          <w:sz w:val="20"/>
        </w:rPr>
        <w:t>M,</w:t>
      </w:r>
      <w:r>
        <w:rPr>
          <w:color w:val="231F1F"/>
          <w:spacing w:val="-11"/>
          <w:w w:val="110"/>
          <w:position w:val="1"/>
          <w:sz w:val="20"/>
        </w:rPr>
        <w:t> </w:t>
      </w:r>
      <w:r>
        <w:rPr>
          <w:color w:val="231F1F"/>
          <w:w w:val="110"/>
          <w:position w:val="1"/>
          <w:sz w:val="20"/>
        </w:rPr>
        <w:t>Horsman</w:t>
      </w:r>
      <w:r>
        <w:rPr>
          <w:color w:val="231F1F"/>
          <w:spacing w:val="-7"/>
          <w:w w:val="110"/>
          <w:position w:val="1"/>
          <w:sz w:val="20"/>
        </w:rPr>
        <w:t> </w:t>
      </w:r>
      <w:r>
        <w:rPr>
          <w:color w:val="231F1F"/>
          <w:w w:val="110"/>
          <w:position w:val="1"/>
          <w:sz w:val="20"/>
        </w:rPr>
        <w:t>EL,</w:t>
      </w:r>
      <w:r>
        <w:rPr>
          <w:color w:val="231F1F"/>
          <w:spacing w:val="-11"/>
          <w:w w:val="110"/>
          <w:position w:val="1"/>
          <w:sz w:val="20"/>
        </w:rPr>
        <w:t> </w:t>
      </w:r>
      <w:r>
        <w:rPr>
          <w:color w:val="231F1F"/>
          <w:w w:val="110"/>
          <w:position w:val="1"/>
          <w:sz w:val="20"/>
        </w:rPr>
        <w:t>Young</w:t>
      </w:r>
      <w:r>
        <w:rPr>
          <w:color w:val="231F1F"/>
          <w:spacing w:val="-7"/>
          <w:w w:val="110"/>
          <w:position w:val="1"/>
          <w:sz w:val="20"/>
        </w:rPr>
        <w:t> </w:t>
      </w:r>
      <w:r>
        <w:rPr>
          <w:color w:val="231F1F"/>
          <w:w w:val="110"/>
          <w:position w:val="1"/>
          <w:sz w:val="20"/>
        </w:rPr>
        <w:t>H,</w:t>
      </w:r>
      <w:r>
        <w:rPr>
          <w:color w:val="231F1F"/>
          <w:spacing w:val="-12"/>
          <w:w w:val="110"/>
          <w:position w:val="1"/>
          <w:sz w:val="20"/>
        </w:rPr>
        <w:t> </w:t>
      </w:r>
      <w:r>
        <w:rPr>
          <w:color w:val="231F1F"/>
          <w:w w:val="110"/>
          <w:position w:val="1"/>
          <w:sz w:val="20"/>
        </w:rPr>
        <w:t>Lacey</w:t>
      </w:r>
      <w:r>
        <w:rPr>
          <w:color w:val="231F1F"/>
          <w:spacing w:val="-7"/>
          <w:w w:val="110"/>
          <w:position w:val="1"/>
          <w:sz w:val="20"/>
        </w:rPr>
        <w:t> </w:t>
      </w:r>
      <w:r>
        <w:rPr>
          <w:color w:val="231F1F"/>
          <w:w w:val="110"/>
          <w:position w:val="1"/>
          <w:sz w:val="20"/>
        </w:rPr>
        <w:t>P,</w:t>
      </w:r>
      <w:r>
        <w:rPr>
          <w:color w:val="231F1F"/>
          <w:spacing w:val="-12"/>
          <w:w w:val="110"/>
          <w:position w:val="1"/>
          <w:sz w:val="20"/>
        </w:rPr>
        <w:t> </w:t>
      </w:r>
      <w:r>
        <w:rPr>
          <w:color w:val="231F1F"/>
          <w:w w:val="110"/>
          <w:position w:val="1"/>
          <w:sz w:val="20"/>
        </w:rPr>
        <w:t>Anderton</w:t>
      </w:r>
      <w:r>
        <w:rPr>
          <w:color w:val="231F1F"/>
          <w:spacing w:val="-7"/>
          <w:w w:val="110"/>
          <w:position w:val="1"/>
          <w:sz w:val="20"/>
        </w:rPr>
        <w:t> </w:t>
      </w:r>
      <w:r>
        <w:rPr>
          <w:color w:val="231F1F"/>
          <w:w w:val="110"/>
          <w:position w:val="1"/>
          <w:sz w:val="20"/>
        </w:rPr>
        <w:t>J.</w:t>
      </w:r>
      <w:r>
        <w:rPr>
          <w:color w:val="231F1F"/>
          <w:spacing w:val="-12"/>
          <w:w w:val="110"/>
          <w:position w:val="1"/>
          <w:sz w:val="20"/>
        </w:rPr>
        <w:t> </w:t>
      </w:r>
      <w:r>
        <w:rPr>
          <w:color w:val="231F1F"/>
          <w:w w:val="110"/>
          <w:position w:val="1"/>
          <w:sz w:val="20"/>
        </w:rPr>
        <w:t>Comparison</w:t>
      </w:r>
      <w:r>
        <w:rPr>
          <w:color w:val="231F1F"/>
          <w:spacing w:val="-7"/>
          <w:w w:val="110"/>
          <w:position w:val="1"/>
          <w:sz w:val="20"/>
        </w:rPr>
        <w:t> </w:t>
      </w:r>
      <w:r>
        <w:rPr>
          <w:color w:val="231F1F"/>
          <w:w w:val="110"/>
          <w:position w:val="1"/>
          <w:sz w:val="20"/>
        </w:rPr>
        <w:t>of</w:t>
      </w:r>
      <w:r>
        <w:rPr>
          <w:color w:val="231F1F"/>
          <w:spacing w:val="-7"/>
          <w:w w:val="110"/>
          <w:position w:val="1"/>
          <w:sz w:val="20"/>
        </w:rPr>
        <w:t> </w:t>
      </w:r>
      <w:r>
        <w:rPr>
          <w:color w:val="231F1F"/>
          <w:w w:val="110"/>
          <w:position w:val="1"/>
          <w:sz w:val="20"/>
        </w:rPr>
        <w:t>the </w:t>
      </w:r>
      <w:r>
        <w:rPr>
          <w:color w:val="231F1F"/>
          <w:w w:val="110"/>
          <w:sz w:val="20"/>
        </w:rPr>
        <w:t>maternal</w:t>
      </w:r>
      <w:r>
        <w:rPr>
          <w:color w:val="231F1F"/>
          <w:spacing w:val="-1"/>
          <w:w w:val="110"/>
          <w:sz w:val="20"/>
        </w:rPr>
        <w:t> </w:t>
      </w:r>
      <w:r>
        <w:rPr>
          <w:color w:val="231F1F"/>
          <w:w w:val="110"/>
          <w:sz w:val="20"/>
        </w:rPr>
        <w:t>and</w:t>
      </w:r>
      <w:r>
        <w:rPr>
          <w:color w:val="231F1F"/>
          <w:spacing w:val="-2"/>
          <w:w w:val="110"/>
          <w:sz w:val="20"/>
        </w:rPr>
        <w:t> </w:t>
      </w:r>
      <w:r>
        <w:rPr>
          <w:color w:val="231F1F"/>
          <w:w w:val="110"/>
          <w:sz w:val="20"/>
        </w:rPr>
        <w:t>fetal</w:t>
      </w:r>
      <w:r>
        <w:rPr>
          <w:color w:val="231F1F"/>
          <w:spacing w:val="-2"/>
          <w:w w:val="110"/>
          <w:sz w:val="20"/>
        </w:rPr>
        <w:t> </w:t>
      </w:r>
      <w:r>
        <w:rPr>
          <w:color w:val="231F1F"/>
          <w:w w:val="110"/>
          <w:sz w:val="20"/>
        </w:rPr>
        <w:t>effects</w:t>
      </w:r>
      <w:r>
        <w:rPr>
          <w:color w:val="231F1F"/>
          <w:spacing w:val="-2"/>
          <w:w w:val="110"/>
          <w:sz w:val="20"/>
        </w:rPr>
        <w:t> </w:t>
      </w:r>
      <w:r>
        <w:rPr>
          <w:color w:val="231F1F"/>
          <w:w w:val="110"/>
          <w:sz w:val="20"/>
        </w:rPr>
        <w:t>associated</w:t>
      </w:r>
      <w:r>
        <w:rPr>
          <w:color w:val="231F1F"/>
          <w:spacing w:val="-3"/>
          <w:w w:val="110"/>
          <w:sz w:val="20"/>
        </w:rPr>
        <w:t> </w:t>
      </w:r>
      <w:r>
        <w:rPr>
          <w:color w:val="231F1F"/>
          <w:w w:val="110"/>
          <w:sz w:val="20"/>
        </w:rPr>
        <w:t>with</w:t>
      </w:r>
      <w:r>
        <w:rPr>
          <w:color w:val="231F1F"/>
          <w:spacing w:val="-2"/>
          <w:w w:val="110"/>
          <w:sz w:val="20"/>
        </w:rPr>
        <w:t> </w:t>
      </w:r>
      <w:r>
        <w:rPr>
          <w:color w:val="231F1F"/>
          <w:w w:val="110"/>
          <w:sz w:val="20"/>
        </w:rPr>
        <w:t>intermittent</w:t>
      </w:r>
      <w:r>
        <w:rPr>
          <w:color w:val="231F1F"/>
          <w:spacing w:val="-2"/>
          <w:w w:val="110"/>
          <w:sz w:val="20"/>
        </w:rPr>
        <w:t> </w:t>
      </w:r>
      <w:r>
        <w:rPr>
          <w:color w:val="231F1F"/>
          <w:w w:val="110"/>
          <w:sz w:val="20"/>
        </w:rPr>
        <w:t>or</w:t>
      </w:r>
      <w:r>
        <w:rPr>
          <w:color w:val="231F1F"/>
          <w:spacing w:val="-2"/>
          <w:w w:val="110"/>
          <w:sz w:val="20"/>
        </w:rPr>
        <w:t> </w:t>
      </w:r>
      <w:r>
        <w:rPr>
          <w:color w:val="231F1F"/>
          <w:w w:val="110"/>
          <w:sz w:val="20"/>
        </w:rPr>
        <w:t>continuous</w:t>
      </w:r>
      <w:r>
        <w:rPr>
          <w:color w:val="231F1F"/>
          <w:spacing w:val="-3"/>
          <w:w w:val="110"/>
          <w:sz w:val="20"/>
        </w:rPr>
        <w:t> </w:t>
      </w:r>
      <w:r>
        <w:rPr>
          <w:color w:val="231F1F"/>
          <w:w w:val="110"/>
          <w:sz w:val="20"/>
        </w:rPr>
        <w:t>infusion</w:t>
      </w:r>
      <w:r>
        <w:rPr>
          <w:color w:val="231F1F"/>
          <w:spacing w:val="-2"/>
          <w:w w:val="110"/>
          <w:sz w:val="20"/>
        </w:rPr>
        <w:t> </w:t>
      </w:r>
      <w:r>
        <w:rPr>
          <w:color w:val="231F1F"/>
          <w:w w:val="110"/>
          <w:sz w:val="20"/>
        </w:rPr>
        <w:t>of</w:t>
      </w:r>
      <w:r>
        <w:rPr>
          <w:color w:val="231F1F"/>
          <w:spacing w:val="-2"/>
          <w:w w:val="110"/>
          <w:sz w:val="20"/>
        </w:rPr>
        <w:t> </w:t>
      </w:r>
      <w:r>
        <w:rPr>
          <w:color w:val="231F1F"/>
          <w:w w:val="110"/>
          <w:sz w:val="20"/>
        </w:rPr>
        <w:t>extradural analgesia. Br J Anaesth 1992;69(2):154-8.</w:t>
      </w:r>
    </w:p>
    <w:p>
      <w:pPr>
        <w:pStyle w:val="ListParagraph"/>
        <w:numPr>
          <w:ilvl w:val="0"/>
          <w:numId w:val="109"/>
        </w:numPr>
        <w:tabs>
          <w:tab w:pos="793" w:val="left" w:leader="none"/>
          <w:tab w:pos="797" w:val="left" w:leader="none"/>
        </w:tabs>
        <w:spacing w:line="220" w:lineRule="auto" w:before="136" w:after="0"/>
        <w:ind w:left="797" w:right="119" w:hanging="502"/>
        <w:jc w:val="both"/>
        <w:rPr>
          <w:sz w:val="20"/>
        </w:rPr>
      </w:pPr>
      <w:r>
        <w:rPr>
          <w:color w:val="231F1F"/>
          <w:w w:val="110"/>
          <w:position w:val="1"/>
          <w:sz w:val="20"/>
        </w:rPr>
        <w:t>Hicks JA, Jenkins JG, Newton MC, Findley IL. Continuous epidural infusion of 0.075% </w:t>
      </w:r>
      <w:r>
        <w:rPr>
          <w:color w:val="231F1F"/>
          <w:w w:val="110"/>
          <w:sz w:val="20"/>
        </w:rPr>
        <w:t>bupivacaine</w:t>
      </w:r>
      <w:r>
        <w:rPr>
          <w:color w:val="231F1F"/>
          <w:w w:val="110"/>
          <w:sz w:val="20"/>
        </w:rPr>
        <w:t> for</w:t>
      </w:r>
      <w:r>
        <w:rPr>
          <w:color w:val="231F1F"/>
          <w:w w:val="110"/>
          <w:sz w:val="20"/>
        </w:rPr>
        <w:t> pain</w:t>
      </w:r>
      <w:r>
        <w:rPr>
          <w:color w:val="231F1F"/>
          <w:w w:val="110"/>
          <w:sz w:val="20"/>
        </w:rPr>
        <w:t> relief</w:t>
      </w:r>
      <w:r>
        <w:rPr>
          <w:color w:val="231F1F"/>
          <w:w w:val="110"/>
          <w:sz w:val="20"/>
        </w:rPr>
        <w:t> in</w:t>
      </w:r>
      <w:r>
        <w:rPr>
          <w:color w:val="231F1F"/>
          <w:w w:val="110"/>
          <w:sz w:val="20"/>
        </w:rPr>
        <w:t> labour.</w:t>
      </w:r>
      <w:r>
        <w:rPr>
          <w:color w:val="231F1F"/>
          <w:w w:val="110"/>
          <w:sz w:val="20"/>
        </w:rPr>
        <w:t> A</w:t>
      </w:r>
      <w:r>
        <w:rPr>
          <w:color w:val="231F1F"/>
          <w:w w:val="110"/>
          <w:sz w:val="20"/>
        </w:rPr>
        <w:t> comparison</w:t>
      </w:r>
      <w:r>
        <w:rPr>
          <w:color w:val="231F1F"/>
          <w:w w:val="110"/>
          <w:sz w:val="20"/>
        </w:rPr>
        <w:t> with</w:t>
      </w:r>
      <w:r>
        <w:rPr>
          <w:color w:val="231F1F"/>
          <w:w w:val="110"/>
          <w:sz w:val="20"/>
        </w:rPr>
        <w:t> intermittent</w:t>
      </w:r>
      <w:r>
        <w:rPr>
          <w:color w:val="231F1F"/>
          <w:w w:val="110"/>
          <w:sz w:val="20"/>
        </w:rPr>
        <w:t> top-ups</w:t>
      </w:r>
      <w:r>
        <w:rPr>
          <w:color w:val="231F1F"/>
          <w:w w:val="110"/>
          <w:sz w:val="20"/>
        </w:rPr>
        <w:t> of</w:t>
      </w:r>
      <w:r>
        <w:rPr>
          <w:color w:val="231F1F"/>
          <w:w w:val="110"/>
          <w:sz w:val="20"/>
        </w:rPr>
        <w:t> 0.5% bupivacaine. Anaesthesia 1988;43(4):289-92.</w:t>
      </w:r>
    </w:p>
    <w:p>
      <w:pPr>
        <w:pStyle w:val="ListParagraph"/>
        <w:numPr>
          <w:ilvl w:val="0"/>
          <w:numId w:val="109"/>
        </w:numPr>
        <w:tabs>
          <w:tab w:pos="793" w:val="left" w:leader="none"/>
          <w:tab w:pos="797" w:val="left" w:leader="none"/>
        </w:tabs>
        <w:spacing w:line="211" w:lineRule="auto" w:before="169" w:after="0"/>
        <w:ind w:left="797" w:right="163" w:hanging="502"/>
        <w:jc w:val="both"/>
        <w:rPr>
          <w:sz w:val="20"/>
        </w:rPr>
      </w:pPr>
      <w:r>
        <w:rPr>
          <w:color w:val="231F1F"/>
          <w:w w:val="110"/>
          <w:position w:val="1"/>
          <w:sz w:val="20"/>
        </w:rPr>
        <w:t>Lamont</w:t>
      </w:r>
      <w:r>
        <w:rPr>
          <w:color w:val="231F1F"/>
          <w:w w:val="110"/>
          <w:position w:val="1"/>
          <w:sz w:val="20"/>
        </w:rPr>
        <w:t> RF,</w:t>
      </w:r>
      <w:r>
        <w:rPr>
          <w:color w:val="231F1F"/>
          <w:w w:val="110"/>
          <w:position w:val="1"/>
          <w:sz w:val="20"/>
        </w:rPr>
        <w:t> Pinney</w:t>
      </w:r>
      <w:r>
        <w:rPr>
          <w:color w:val="231F1F"/>
          <w:w w:val="110"/>
          <w:position w:val="1"/>
          <w:sz w:val="20"/>
        </w:rPr>
        <w:t> D,</w:t>
      </w:r>
      <w:r>
        <w:rPr>
          <w:color w:val="231F1F"/>
          <w:w w:val="110"/>
          <w:position w:val="1"/>
          <w:sz w:val="20"/>
        </w:rPr>
        <w:t> Rodgers</w:t>
      </w:r>
      <w:r>
        <w:rPr>
          <w:color w:val="231F1F"/>
          <w:w w:val="110"/>
          <w:position w:val="1"/>
          <w:sz w:val="20"/>
        </w:rPr>
        <w:t> P,</w:t>
      </w:r>
      <w:r>
        <w:rPr>
          <w:color w:val="231F1F"/>
          <w:w w:val="110"/>
          <w:position w:val="1"/>
          <w:sz w:val="20"/>
        </w:rPr>
        <w:t> Bryant</w:t>
      </w:r>
      <w:r>
        <w:rPr>
          <w:color w:val="231F1F"/>
          <w:w w:val="110"/>
          <w:position w:val="1"/>
          <w:sz w:val="20"/>
        </w:rPr>
        <w:t> TN.</w:t>
      </w:r>
      <w:r>
        <w:rPr>
          <w:color w:val="231F1F"/>
          <w:w w:val="110"/>
          <w:position w:val="1"/>
          <w:sz w:val="20"/>
        </w:rPr>
        <w:t> Continuous</w:t>
      </w:r>
      <w:r>
        <w:rPr>
          <w:color w:val="231F1F"/>
          <w:w w:val="110"/>
          <w:position w:val="1"/>
          <w:sz w:val="20"/>
        </w:rPr>
        <w:t> versus</w:t>
      </w:r>
      <w:r>
        <w:rPr>
          <w:color w:val="231F1F"/>
          <w:w w:val="110"/>
          <w:position w:val="1"/>
          <w:sz w:val="20"/>
        </w:rPr>
        <w:t> intermittent</w:t>
      </w:r>
      <w:r>
        <w:rPr>
          <w:color w:val="231F1F"/>
          <w:w w:val="110"/>
          <w:position w:val="1"/>
          <w:sz w:val="20"/>
        </w:rPr>
        <w:t> epidural </w:t>
      </w:r>
      <w:r>
        <w:rPr>
          <w:color w:val="231F1F"/>
          <w:spacing w:val="-2"/>
          <w:w w:val="110"/>
          <w:sz w:val="20"/>
        </w:rPr>
        <w:t>analgesia.</w:t>
      </w:r>
      <w:r>
        <w:rPr>
          <w:color w:val="231F1F"/>
          <w:spacing w:val="-17"/>
          <w:w w:val="110"/>
          <w:sz w:val="20"/>
        </w:rPr>
        <w:t> </w:t>
      </w:r>
      <w:r>
        <w:rPr>
          <w:color w:val="231F1F"/>
          <w:spacing w:val="-2"/>
          <w:w w:val="110"/>
          <w:sz w:val="20"/>
        </w:rPr>
        <w:t>A randomised trial to observe obstetric outcome.</w:t>
      </w:r>
      <w:r>
        <w:rPr>
          <w:color w:val="231F1F"/>
          <w:spacing w:val="-18"/>
          <w:w w:val="110"/>
          <w:sz w:val="20"/>
        </w:rPr>
        <w:t> </w:t>
      </w:r>
      <w:r>
        <w:rPr>
          <w:color w:val="231F1F"/>
          <w:spacing w:val="-2"/>
          <w:w w:val="110"/>
          <w:sz w:val="20"/>
        </w:rPr>
        <w:t>Anaesthesia 1989;44(11):893-6.</w:t>
      </w:r>
    </w:p>
    <w:p>
      <w:pPr>
        <w:pStyle w:val="ListParagraph"/>
        <w:numPr>
          <w:ilvl w:val="0"/>
          <w:numId w:val="109"/>
        </w:numPr>
        <w:tabs>
          <w:tab w:pos="793" w:val="left" w:leader="none"/>
          <w:tab w:pos="797" w:val="left" w:leader="none"/>
        </w:tabs>
        <w:spacing w:line="211" w:lineRule="auto" w:before="157" w:after="0"/>
        <w:ind w:left="797" w:right="247" w:hanging="509"/>
        <w:jc w:val="both"/>
        <w:rPr>
          <w:sz w:val="20"/>
        </w:rPr>
      </w:pPr>
      <w:r>
        <w:rPr>
          <w:color w:val="231F1F"/>
          <w:w w:val="110"/>
          <w:position w:val="1"/>
          <w:sz w:val="20"/>
        </w:rPr>
        <w:t>Smedstad</w:t>
      </w:r>
      <w:r>
        <w:rPr>
          <w:color w:val="231F1F"/>
          <w:spacing w:val="-4"/>
          <w:w w:val="110"/>
          <w:position w:val="1"/>
          <w:sz w:val="20"/>
        </w:rPr>
        <w:t> </w:t>
      </w:r>
      <w:r>
        <w:rPr>
          <w:color w:val="231F1F"/>
          <w:w w:val="110"/>
          <w:position w:val="1"/>
          <w:sz w:val="20"/>
        </w:rPr>
        <w:t>KG,</w:t>
      </w:r>
      <w:r>
        <w:rPr>
          <w:color w:val="231F1F"/>
          <w:spacing w:val="-5"/>
          <w:w w:val="110"/>
          <w:position w:val="1"/>
          <w:sz w:val="20"/>
        </w:rPr>
        <w:t> </w:t>
      </w:r>
      <w:r>
        <w:rPr>
          <w:color w:val="231F1F"/>
          <w:w w:val="110"/>
          <w:position w:val="1"/>
          <w:sz w:val="20"/>
        </w:rPr>
        <w:t>Morison</w:t>
      </w:r>
      <w:r>
        <w:rPr>
          <w:color w:val="231F1F"/>
          <w:spacing w:val="-4"/>
          <w:w w:val="110"/>
          <w:position w:val="1"/>
          <w:sz w:val="20"/>
        </w:rPr>
        <w:t> </w:t>
      </w:r>
      <w:r>
        <w:rPr>
          <w:color w:val="231F1F"/>
          <w:w w:val="110"/>
          <w:position w:val="1"/>
          <w:sz w:val="20"/>
        </w:rPr>
        <w:t>DH.</w:t>
      </w:r>
      <w:r>
        <w:rPr>
          <w:color w:val="231F1F"/>
          <w:spacing w:val="-9"/>
          <w:w w:val="110"/>
          <w:position w:val="1"/>
          <w:sz w:val="20"/>
        </w:rPr>
        <w:t> </w:t>
      </w:r>
      <w:r>
        <w:rPr>
          <w:color w:val="231F1F"/>
          <w:w w:val="110"/>
          <w:position w:val="1"/>
          <w:sz w:val="20"/>
        </w:rPr>
        <w:t>A</w:t>
      </w:r>
      <w:r>
        <w:rPr>
          <w:color w:val="231F1F"/>
          <w:spacing w:val="-4"/>
          <w:w w:val="110"/>
          <w:position w:val="1"/>
          <w:sz w:val="20"/>
        </w:rPr>
        <w:t> </w:t>
      </w:r>
      <w:r>
        <w:rPr>
          <w:color w:val="231F1F"/>
          <w:w w:val="110"/>
          <w:position w:val="1"/>
          <w:sz w:val="20"/>
        </w:rPr>
        <w:t>comparative</w:t>
      </w:r>
      <w:r>
        <w:rPr>
          <w:color w:val="231F1F"/>
          <w:spacing w:val="-4"/>
          <w:w w:val="110"/>
          <w:position w:val="1"/>
          <w:sz w:val="20"/>
        </w:rPr>
        <w:t> </w:t>
      </w:r>
      <w:r>
        <w:rPr>
          <w:color w:val="231F1F"/>
          <w:w w:val="110"/>
          <w:position w:val="1"/>
          <w:sz w:val="20"/>
        </w:rPr>
        <w:t>study</w:t>
      </w:r>
      <w:r>
        <w:rPr>
          <w:color w:val="231F1F"/>
          <w:spacing w:val="-4"/>
          <w:w w:val="110"/>
          <w:position w:val="1"/>
          <w:sz w:val="20"/>
        </w:rPr>
        <w:t> </w:t>
      </w:r>
      <w:r>
        <w:rPr>
          <w:color w:val="231F1F"/>
          <w:w w:val="110"/>
          <w:position w:val="1"/>
          <w:sz w:val="20"/>
        </w:rPr>
        <w:t>of</w:t>
      </w:r>
      <w:r>
        <w:rPr>
          <w:color w:val="231F1F"/>
          <w:spacing w:val="-4"/>
          <w:w w:val="110"/>
          <w:position w:val="1"/>
          <w:sz w:val="20"/>
        </w:rPr>
        <w:t> </w:t>
      </w:r>
      <w:r>
        <w:rPr>
          <w:color w:val="231F1F"/>
          <w:w w:val="110"/>
          <w:position w:val="1"/>
          <w:sz w:val="20"/>
        </w:rPr>
        <w:t>continuous</w:t>
      </w:r>
      <w:r>
        <w:rPr>
          <w:color w:val="231F1F"/>
          <w:spacing w:val="-5"/>
          <w:w w:val="110"/>
          <w:position w:val="1"/>
          <w:sz w:val="20"/>
        </w:rPr>
        <w:t> </w:t>
      </w:r>
      <w:r>
        <w:rPr>
          <w:color w:val="231F1F"/>
          <w:w w:val="110"/>
          <w:position w:val="1"/>
          <w:sz w:val="20"/>
        </w:rPr>
        <w:t>and</w:t>
      </w:r>
      <w:r>
        <w:rPr>
          <w:color w:val="231F1F"/>
          <w:spacing w:val="-4"/>
          <w:w w:val="110"/>
          <w:position w:val="1"/>
          <w:sz w:val="20"/>
        </w:rPr>
        <w:t> </w:t>
      </w:r>
      <w:r>
        <w:rPr>
          <w:color w:val="231F1F"/>
          <w:w w:val="110"/>
          <w:position w:val="1"/>
          <w:sz w:val="20"/>
        </w:rPr>
        <w:t>intermittent</w:t>
      </w:r>
      <w:r>
        <w:rPr>
          <w:color w:val="231F1F"/>
          <w:spacing w:val="-4"/>
          <w:w w:val="110"/>
          <w:position w:val="1"/>
          <w:sz w:val="20"/>
        </w:rPr>
        <w:t> </w:t>
      </w:r>
      <w:r>
        <w:rPr>
          <w:color w:val="231F1F"/>
          <w:w w:val="110"/>
          <w:position w:val="1"/>
          <w:sz w:val="20"/>
        </w:rPr>
        <w:t>epidural </w:t>
      </w:r>
      <w:r>
        <w:rPr>
          <w:color w:val="231F1F"/>
          <w:w w:val="110"/>
          <w:sz w:val="20"/>
        </w:rPr>
        <w:t>analgesia for labour and delivery. Can J Anaesth 1988;35(3 (Pt1)):234-41.</w:t>
      </w:r>
    </w:p>
    <w:p>
      <w:pPr>
        <w:pStyle w:val="ListParagraph"/>
        <w:numPr>
          <w:ilvl w:val="0"/>
          <w:numId w:val="109"/>
        </w:numPr>
        <w:tabs>
          <w:tab w:pos="794" w:val="left" w:leader="none"/>
          <w:tab w:pos="798" w:val="left" w:leader="none"/>
        </w:tabs>
        <w:spacing w:line="230" w:lineRule="auto" w:before="161" w:after="0"/>
        <w:ind w:left="798" w:right="123" w:hanging="502"/>
        <w:jc w:val="both"/>
        <w:rPr>
          <w:sz w:val="20"/>
        </w:rPr>
      </w:pPr>
      <w:r>
        <w:rPr>
          <w:color w:val="231F1F"/>
          <w:w w:val="105"/>
          <w:sz w:val="20"/>
        </w:rPr>
        <w:t>D`Athis F,</w:t>
      </w:r>
      <w:r>
        <w:rPr>
          <w:color w:val="231F1F"/>
          <w:spacing w:val="-3"/>
          <w:w w:val="105"/>
          <w:sz w:val="20"/>
        </w:rPr>
        <w:t> </w:t>
      </w:r>
      <w:r>
        <w:rPr>
          <w:color w:val="231F1F"/>
          <w:w w:val="105"/>
          <w:sz w:val="20"/>
        </w:rPr>
        <w:t>Macheboeuf M,</w:t>
      </w:r>
      <w:r>
        <w:rPr>
          <w:color w:val="231F1F"/>
          <w:spacing w:val="-4"/>
          <w:w w:val="105"/>
          <w:sz w:val="20"/>
        </w:rPr>
        <w:t> </w:t>
      </w:r>
      <w:r>
        <w:rPr>
          <w:color w:val="231F1F"/>
          <w:w w:val="105"/>
          <w:sz w:val="20"/>
        </w:rPr>
        <w:t>Thomas H,</w:t>
      </w:r>
      <w:r>
        <w:rPr>
          <w:color w:val="231F1F"/>
          <w:spacing w:val="-3"/>
          <w:w w:val="105"/>
          <w:sz w:val="20"/>
        </w:rPr>
        <w:t> </w:t>
      </w:r>
      <w:r>
        <w:rPr>
          <w:color w:val="231F1F"/>
          <w:w w:val="105"/>
          <w:sz w:val="20"/>
        </w:rPr>
        <w:t>Robert C,</w:t>
      </w:r>
      <w:r>
        <w:rPr>
          <w:color w:val="231F1F"/>
          <w:spacing w:val="-3"/>
          <w:w w:val="105"/>
          <w:sz w:val="20"/>
        </w:rPr>
        <w:t> </w:t>
      </w:r>
      <w:r>
        <w:rPr>
          <w:color w:val="231F1F"/>
          <w:w w:val="105"/>
          <w:sz w:val="20"/>
        </w:rPr>
        <w:t>Desch G,</w:t>
      </w:r>
      <w:r>
        <w:rPr>
          <w:color w:val="231F1F"/>
          <w:spacing w:val="-3"/>
          <w:w w:val="105"/>
          <w:sz w:val="20"/>
        </w:rPr>
        <w:t> </w:t>
      </w:r>
      <w:r>
        <w:rPr>
          <w:color w:val="231F1F"/>
          <w:w w:val="105"/>
          <w:sz w:val="20"/>
        </w:rPr>
        <w:t>Galtier M,</w:t>
      </w:r>
      <w:r>
        <w:rPr>
          <w:color w:val="231F1F"/>
          <w:spacing w:val="-3"/>
          <w:w w:val="105"/>
          <w:sz w:val="20"/>
        </w:rPr>
        <w:t> </w:t>
      </w:r>
      <w:r>
        <w:rPr>
          <w:color w:val="231F1F"/>
          <w:w w:val="105"/>
          <w:sz w:val="20"/>
        </w:rPr>
        <w:t>et al.</w:t>
      </w:r>
      <w:r>
        <w:rPr>
          <w:color w:val="231F1F"/>
          <w:spacing w:val="-3"/>
          <w:w w:val="105"/>
          <w:sz w:val="20"/>
        </w:rPr>
        <w:t> </w:t>
      </w:r>
      <w:r>
        <w:rPr>
          <w:color w:val="231F1F"/>
          <w:w w:val="105"/>
          <w:sz w:val="20"/>
        </w:rPr>
        <w:t>Epidural analgesia with</w:t>
      </w:r>
      <w:r>
        <w:rPr>
          <w:color w:val="231F1F"/>
          <w:w w:val="105"/>
          <w:sz w:val="20"/>
        </w:rPr>
        <w:t> a</w:t>
      </w:r>
      <w:r>
        <w:rPr>
          <w:color w:val="231F1F"/>
          <w:w w:val="105"/>
          <w:sz w:val="20"/>
        </w:rPr>
        <w:t> bupivacaine-fentanyl</w:t>
      </w:r>
      <w:r>
        <w:rPr>
          <w:color w:val="231F1F"/>
          <w:w w:val="105"/>
          <w:sz w:val="20"/>
        </w:rPr>
        <w:t> mixture</w:t>
      </w:r>
      <w:r>
        <w:rPr>
          <w:color w:val="231F1F"/>
          <w:w w:val="105"/>
          <w:sz w:val="20"/>
        </w:rPr>
        <w:t> in</w:t>
      </w:r>
      <w:r>
        <w:rPr>
          <w:color w:val="231F1F"/>
          <w:w w:val="105"/>
          <w:sz w:val="20"/>
        </w:rPr>
        <w:t> obstetrics:</w:t>
      </w:r>
      <w:r>
        <w:rPr>
          <w:color w:val="231F1F"/>
          <w:w w:val="105"/>
          <w:sz w:val="20"/>
        </w:rPr>
        <w:t> comparison</w:t>
      </w:r>
      <w:r>
        <w:rPr>
          <w:color w:val="231F1F"/>
          <w:w w:val="105"/>
          <w:sz w:val="20"/>
        </w:rPr>
        <w:t> of</w:t>
      </w:r>
      <w:r>
        <w:rPr>
          <w:color w:val="231F1F"/>
          <w:w w:val="105"/>
          <w:sz w:val="20"/>
        </w:rPr>
        <w:t> repeated</w:t>
      </w:r>
      <w:r>
        <w:rPr>
          <w:color w:val="231F1F"/>
          <w:w w:val="105"/>
          <w:sz w:val="20"/>
        </w:rPr>
        <w:t> injections</w:t>
      </w:r>
      <w:r>
        <w:rPr>
          <w:color w:val="231F1F"/>
          <w:w w:val="105"/>
          <w:sz w:val="20"/>
        </w:rPr>
        <w:t> and continuous infusion. Can J Anaesth 1988;35(2):116-22.</w:t>
      </w:r>
    </w:p>
    <w:p>
      <w:pPr>
        <w:pStyle w:val="ListParagraph"/>
        <w:numPr>
          <w:ilvl w:val="0"/>
          <w:numId w:val="109"/>
        </w:numPr>
        <w:tabs>
          <w:tab w:pos="793" w:val="left" w:leader="none"/>
          <w:tab w:pos="797" w:val="left" w:leader="none"/>
        </w:tabs>
        <w:spacing w:line="225" w:lineRule="auto" w:before="162" w:after="0"/>
        <w:ind w:left="797" w:right="120" w:hanging="502"/>
        <w:jc w:val="both"/>
        <w:rPr>
          <w:sz w:val="20"/>
        </w:rPr>
      </w:pPr>
      <w:r>
        <w:rPr>
          <w:color w:val="231F1F"/>
          <w:w w:val="110"/>
          <w:sz w:val="20"/>
        </w:rPr>
        <w:t>Wong CA, Ratliff JT, Sullivan JT, Scavone BM, Toledo P, McCarthy RJ. A randomized </w:t>
      </w:r>
      <w:r>
        <w:rPr>
          <w:color w:val="231F1F"/>
          <w:spacing w:val="-2"/>
          <w:w w:val="110"/>
          <w:sz w:val="20"/>
        </w:rPr>
        <w:t>comparison</w:t>
      </w:r>
      <w:r>
        <w:rPr>
          <w:color w:val="231F1F"/>
          <w:spacing w:val="-5"/>
          <w:w w:val="110"/>
          <w:sz w:val="20"/>
        </w:rPr>
        <w:t> </w:t>
      </w:r>
      <w:r>
        <w:rPr>
          <w:color w:val="231F1F"/>
          <w:spacing w:val="-2"/>
          <w:w w:val="110"/>
          <w:sz w:val="20"/>
        </w:rPr>
        <w:t>of</w:t>
      </w:r>
      <w:r>
        <w:rPr>
          <w:color w:val="231F1F"/>
          <w:spacing w:val="-4"/>
          <w:w w:val="110"/>
          <w:sz w:val="20"/>
        </w:rPr>
        <w:t> </w:t>
      </w:r>
      <w:r>
        <w:rPr>
          <w:color w:val="231F1F"/>
          <w:spacing w:val="-2"/>
          <w:w w:val="110"/>
          <w:sz w:val="20"/>
        </w:rPr>
        <w:t>programmed</w:t>
      </w:r>
      <w:r>
        <w:rPr>
          <w:color w:val="231F1F"/>
          <w:spacing w:val="-4"/>
          <w:w w:val="110"/>
          <w:sz w:val="20"/>
        </w:rPr>
        <w:t> </w:t>
      </w:r>
      <w:r>
        <w:rPr>
          <w:color w:val="231F1F"/>
          <w:spacing w:val="-2"/>
          <w:w w:val="110"/>
          <w:sz w:val="20"/>
        </w:rPr>
        <w:t>intermittent</w:t>
      </w:r>
      <w:r>
        <w:rPr>
          <w:color w:val="231F1F"/>
          <w:spacing w:val="-3"/>
          <w:w w:val="110"/>
          <w:sz w:val="20"/>
        </w:rPr>
        <w:t> </w:t>
      </w:r>
      <w:r>
        <w:rPr>
          <w:color w:val="231F1F"/>
          <w:spacing w:val="-2"/>
          <w:w w:val="110"/>
          <w:sz w:val="20"/>
        </w:rPr>
        <w:t>epidural</w:t>
      </w:r>
      <w:r>
        <w:rPr>
          <w:color w:val="231F1F"/>
          <w:spacing w:val="-4"/>
          <w:w w:val="110"/>
          <w:sz w:val="20"/>
        </w:rPr>
        <w:t> </w:t>
      </w:r>
      <w:r>
        <w:rPr>
          <w:color w:val="231F1F"/>
          <w:spacing w:val="-2"/>
          <w:w w:val="110"/>
          <w:sz w:val="20"/>
        </w:rPr>
        <w:t>bolus</w:t>
      </w:r>
      <w:r>
        <w:rPr>
          <w:color w:val="231F1F"/>
          <w:spacing w:val="-4"/>
          <w:w w:val="110"/>
          <w:sz w:val="20"/>
        </w:rPr>
        <w:t> </w:t>
      </w:r>
      <w:r>
        <w:rPr>
          <w:color w:val="231F1F"/>
          <w:spacing w:val="-2"/>
          <w:w w:val="110"/>
          <w:sz w:val="20"/>
        </w:rPr>
        <w:t>with</w:t>
      </w:r>
      <w:r>
        <w:rPr>
          <w:color w:val="231F1F"/>
          <w:spacing w:val="-4"/>
          <w:w w:val="110"/>
          <w:sz w:val="20"/>
        </w:rPr>
        <w:t> </w:t>
      </w:r>
      <w:r>
        <w:rPr>
          <w:color w:val="231F1F"/>
          <w:spacing w:val="-2"/>
          <w:w w:val="110"/>
          <w:sz w:val="20"/>
        </w:rPr>
        <w:t>continuous</w:t>
      </w:r>
      <w:r>
        <w:rPr>
          <w:color w:val="231F1F"/>
          <w:spacing w:val="-5"/>
          <w:w w:val="110"/>
          <w:sz w:val="20"/>
        </w:rPr>
        <w:t> </w:t>
      </w:r>
      <w:r>
        <w:rPr>
          <w:color w:val="231F1F"/>
          <w:spacing w:val="-2"/>
          <w:w w:val="110"/>
          <w:sz w:val="20"/>
        </w:rPr>
        <w:t>epidural</w:t>
      </w:r>
      <w:r>
        <w:rPr>
          <w:color w:val="231F1F"/>
          <w:spacing w:val="-4"/>
          <w:w w:val="110"/>
          <w:sz w:val="20"/>
        </w:rPr>
        <w:t> </w:t>
      </w:r>
      <w:r>
        <w:rPr>
          <w:color w:val="231F1F"/>
          <w:spacing w:val="-2"/>
          <w:w w:val="110"/>
          <w:sz w:val="20"/>
        </w:rPr>
        <w:t>infusion</w:t>
      </w:r>
      <w:r>
        <w:rPr>
          <w:color w:val="231F1F"/>
          <w:spacing w:val="-4"/>
          <w:w w:val="110"/>
          <w:sz w:val="20"/>
        </w:rPr>
        <w:t> </w:t>
      </w:r>
      <w:r>
        <w:rPr>
          <w:color w:val="231F1F"/>
          <w:spacing w:val="-2"/>
          <w:w w:val="110"/>
          <w:sz w:val="20"/>
        </w:rPr>
        <w:t>for </w:t>
      </w:r>
      <w:r>
        <w:rPr>
          <w:color w:val="231F1F"/>
          <w:w w:val="110"/>
          <w:sz w:val="20"/>
        </w:rPr>
        <w:t>labor analgesia. Anesth Analg 2006;102(3):904-9.</w:t>
      </w:r>
    </w:p>
    <w:p>
      <w:pPr>
        <w:pStyle w:val="ListParagraph"/>
        <w:numPr>
          <w:ilvl w:val="0"/>
          <w:numId w:val="109"/>
        </w:numPr>
        <w:tabs>
          <w:tab w:pos="793" w:val="left" w:leader="none"/>
          <w:tab w:pos="797" w:val="left" w:leader="none"/>
        </w:tabs>
        <w:spacing w:line="220" w:lineRule="auto" w:before="176" w:after="0"/>
        <w:ind w:left="797" w:right="166" w:hanging="502"/>
        <w:jc w:val="both"/>
        <w:rPr>
          <w:sz w:val="20"/>
        </w:rPr>
      </w:pPr>
      <w:r>
        <w:rPr>
          <w:color w:val="231F1F"/>
          <w:w w:val="110"/>
          <w:sz w:val="20"/>
        </w:rPr>
        <w:t>Lim</w:t>
      </w:r>
      <w:r>
        <w:rPr>
          <w:color w:val="231F1F"/>
          <w:spacing w:val="-14"/>
          <w:w w:val="110"/>
          <w:sz w:val="20"/>
        </w:rPr>
        <w:t> </w:t>
      </w:r>
      <w:r>
        <w:rPr>
          <w:color w:val="231F1F"/>
          <w:w w:val="110"/>
          <w:sz w:val="20"/>
        </w:rPr>
        <w:t>Y,</w:t>
      </w:r>
      <w:r>
        <w:rPr>
          <w:color w:val="231F1F"/>
          <w:spacing w:val="-14"/>
          <w:w w:val="110"/>
          <w:sz w:val="20"/>
        </w:rPr>
        <w:t> </w:t>
      </w:r>
      <w:r>
        <w:rPr>
          <w:color w:val="231F1F"/>
          <w:w w:val="110"/>
          <w:sz w:val="20"/>
        </w:rPr>
        <w:t>Sia</w:t>
      </w:r>
      <w:r>
        <w:rPr>
          <w:color w:val="231F1F"/>
          <w:spacing w:val="-14"/>
          <w:w w:val="110"/>
          <w:sz w:val="20"/>
        </w:rPr>
        <w:t> </w:t>
      </w:r>
      <w:r>
        <w:rPr>
          <w:color w:val="231F1F"/>
          <w:w w:val="110"/>
          <w:sz w:val="20"/>
        </w:rPr>
        <w:t>AT,</w:t>
      </w:r>
      <w:r>
        <w:rPr>
          <w:color w:val="231F1F"/>
          <w:spacing w:val="-13"/>
          <w:w w:val="110"/>
          <w:sz w:val="20"/>
        </w:rPr>
        <w:t> </w:t>
      </w:r>
      <w:r>
        <w:rPr>
          <w:color w:val="231F1F"/>
          <w:w w:val="110"/>
          <w:sz w:val="20"/>
        </w:rPr>
        <w:t>Ocampo</w:t>
      </w:r>
      <w:r>
        <w:rPr>
          <w:color w:val="231F1F"/>
          <w:spacing w:val="-14"/>
          <w:w w:val="110"/>
          <w:sz w:val="20"/>
        </w:rPr>
        <w:t> </w:t>
      </w:r>
      <w:r>
        <w:rPr>
          <w:color w:val="231F1F"/>
          <w:w w:val="110"/>
          <w:sz w:val="20"/>
        </w:rPr>
        <w:t>C.</w:t>
      </w:r>
      <w:r>
        <w:rPr>
          <w:color w:val="231F1F"/>
          <w:spacing w:val="-14"/>
          <w:w w:val="110"/>
          <w:sz w:val="20"/>
        </w:rPr>
        <w:t> </w:t>
      </w:r>
      <w:r>
        <w:rPr>
          <w:color w:val="231F1F"/>
          <w:w w:val="110"/>
          <w:sz w:val="20"/>
        </w:rPr>
        <w:t>Automated</w:t>
      </w:r>
      <w:r>
        <w:rPr>
          <w:color w:val="231F1F"/>
          <w:spacing w:val="-14"/>
          <w:w w:val="110"/>
          <w:sz w:val="20"/>
        </w:rPr>
        <w:t> </w:t>
      </w:r>
      <w:r>
        <w:rPr>
          <w:color w:val="231F1F"/>
          <w:w w:val="110"/>
          <w:sz w:val="20"/>
        </w:rPr>
        <w:t>regular</w:t>
      </w:r>
      <w:r>
        <w:rPr>
          <w:color w:val="231F1F"/>
          <w:spacing w:val="-13"/>
          <w:w w:val="110"/>
          <w:sz w:val="20"/>
        </w:rPr>
        <w:t> </w:t>
      </w:r>
      <w:r>
        <w:rPr>
          <w:color w:val="231F1F"/>
          <w:w w:val="110"/>
          <w:sz w:val="20"/>
        </w:rPr>
        <w:t>boluses</w:t>
      </w:r>
      <w:r>
        <w:rPr>
          <w:color w:val="231F1F"/>
          <w:spacing w:val="-14"/>
          <w:w w:val="110"/>
          <w:sz w:val="20"/>
        </w:rPr>
        <w:t> </w:t>
      </w:r>
      <w:r>
        <w:rPr>
          <w:color w:val="231F1F"/>
          <w:w w:val="110"/>
          <w:sz w:val="20"/>
        </w:rPr>
        <w:t>for</w:t>
      </w:r>
      <w:r>
        <w:rPr>
          <w:color w:val="231F1F"/>
          <w:spacing w:val="-14"/>
          <w:w w:val="110"/>
          <w:sz w:val="20"/>
        </w:rPr>
        <w:t> </w:t>
      </w:r>
      <w:r>
        <w:rPr>
          <w:color w:val="231F1F"/>
          <w:w w:val="110"/>
          <w:sz w:val="20"/>
        </w:rPr>
        <w:t>epidural</w:t>
      </w:r>
      <w:r>
        <w:rPr>
          <w:color w:val="231F1F"/>
          <w:spacing w:val="-14"/>
          <w:w w:val="110"/>
          <w:sz w:val="20"/>
        </w:rPr>
        <w:t> </w:t>
      </w:r>
      <w:r>
        <w:rPr>
          <w:color w:val="231F1F"/>
          <w:w w:val="110"/>
          <w:sz w:val="20"/>
        </w:rPr>
        <w:t>analgesia:</w:t>
      </w:r>
      <w:r>
        <w:rPr>
          <w:color w:val="231F1F"/>
          <w:spacing w:val="-13"/>
          <w:w w:val="110"/>
          <w:sz w:val="20"/>
        </w:rPr>
        <w:t> </w:t>
      </w:r>
      <w:r>
        <w:rPr>
          <w:color w:val="231F1F"/>
          <w:w w:val="110"/>
          <w:sz w:val="20"/>
        </w:rPr>
        <w:t>a</w:t>
      </w:r>
      <w:r>
        <w:rPr>
          <w:color w:val="231F1F"/>
          <w:spacing w:val="-14"/>
          <w:w w:val="110"/>
          <w:sz w:val="20"/>
        </w:rPr>
        <w:t> </w:t>
      </w:r>
      <w:r>
        <w:rPr>
          <w:color w:val="231F1F"/>
          <w:w w:val="110"/>
          <w:sz w:val="20"/>
        </w:rPr>
        <w:t>comparison with continuous infusion. Int J obstet Anesth 2005;14(4):305-9.</w:t>
      </w:r>
    </w:p>
    <w:p>
      <w:pPr>
        <w:pStyle w:val="ListParagraph"/>
        <w:numPr>
          <w:ilvl w:val="0"/>
          <w:numId w:val="109"/>
        </w:numPr>
        <w:tabs>
          <w:tab w:pos="793" w:val="left" w:leader="none"/>
          <w:tab w:pos="797" w:val="left" w:leader="none"/>
        </w:tabs>
        <w:spacing w:line="220" w:lineRule="auto" w:before="167" w:after="0"/>
        <w:ind w:left="797" w:right="217" w:hanging="502"/>
        <w:jc w:val="both"/>
        <w:rPr>
          <w:sz w:val="20"/>
        </w:rPr>
      </w:pPr>
      <w:r>
        <w:rPr>
          <w:color w:val="231F1F"/>
          <w:w w:val="110"/>
          <w:sz w:val="20"/>
        </w:rPr>
        <w:t>Chua</w:t>
      </w:r>
      <w:r>
        <w:rPr>
          <w:color w:val="231F1F"/>
          <w:spacing w:val="-5"/>
          <w:w w:val="110"/>
          <w:sz w:val="20"/>
        </w:rPr>
        <w:t> </w:t>
      </w:r>
      <w:r>
        <w:rPr>
          <w:color w:val="231F1F"/>
          <w:w w:val="110"/>
          <w:sz w:val="20"/>
        </w:rPr>
        <w:t>SM,</w:t>
      </w:r>
      <w:r>
        <w:rPr>
          <w:color w:val="231F1F"/>
          <w:spacing w:val="-6"/>
          <w:w w:val="110"/>
          <w:sz w:val="20"/>
        </w:rPr>
        <w:t> </w:t>
      </w:r>
      <w:r>
        <w:rPr>
          <w:color w:val="231F1F"/>
          <w:w w:val="110"/>
          <w:sz w:val="20"/>
        </w:rPr>
        <w:t>Sia</w:t>
      </w:r>
      <w:r>
        <w:rPr>
          <w:color w:val="231F1F"/>
          <w:spacing w:val="-6"/>
          <w:w w:val="110"/>
          <w:sz w:val="20"/>
        </w:rPr>
        <w:t> </w:t>
      </w:r>
      <w:r>
        <w:rPr>
          <w:color w:val="231F1F"/>
          <w:w w:val="110"/>
          <w:sz w:val="20"/>
        </w:rPr>
        <w:t>AT.</w:t>
      </w:r>
      <w:r>
        <w:rPr>
          <w:color w:val="231F1F"/>
          <w:spacing w:val="-9"/>
          <w:w w:val="110"/>
          <w:sz w:val="20"/>
        </w:rPr>
        <w:t> </w:t>
      </w:r>
      <w:r>
        <w:rPr>
          <w:color w:val="231F1F"/>
          <w:w w:val="110"/>
          <w:sz w:val="20"/>
        </w:rPr>
        <w:t>Automated</w:t>
      </w:r>
      <w:r>
        <w:rPr>
          <w:color w:val="231F1F"/>
          <w:spacing w:val="-5"/>
          <w:w w:val="110"/>
          <w:sz w:val="20"/>
        </w:rPr>
        <w:t> </w:t>
      </w:r>
      <w:r>
        <w:rPr>
          <w:color w:val="231F1F"/>
          <w:w w:val="110"/>
          <w:sz w:val="20"/>
        </w:rPr>
        <w:t>intermittent</w:t>
      </w:r>
      <w:r>
        <w:rPr>
          <w:color w:val="231F1F"/>
          <w:spacing w:val="-4"/>
          <w:w w:val="110"/>
          <w:sz w:val="20"/>
        </w:rPr>
        <w:t> </w:t>
      </w:r>
      <w:r>
        <w:rPr>
          <w:color w:val="231F1F"/>
          <w:w w:val="110"/>
          <w:sz w:val="20"/>
        </w:rPr>
        <w:t>epidural</w:t>
      </w:r>
      <w:r>
        <w:rPr>
          <w:color w:val="231F1F"/>
          <w:spacing w:val="-5"/>
          <w:w w:val="110"/>
          <w:sz w:val="20"/>
        </w:rPr>
        <w:t> </w:t>
      </w:r>
      <w:r>
        <w:rPr>
          <w:color w:val="231F1F"/>
          <w:w w:val="110"/>
          <w:sz w:val="20"/>
        </w:rPr>
        <w:t>boluses</w:t>
      </w:r>
      <w:r>
        <w:rPr>
          <w:color w:val="231F1F"/>
          <w:spacing w:val="-4"/>
          <w:w w:val="110"/>
          <w:sz w:val="20"/>
        </w:rPr>
        <w:t> </w:t>
      </w:r>
      <w:r>
        <w:rPr>
          <w:color w:val="231F1F"/>
          <w:w w:val="110"/>
          <w:sz w:val="20"/>
        </w:rPr>
        <w:t>improve</w:t>
      </w:r>
      <w:r>
        <w:rPr>
          <w:color w:val="231F1F"/>
          <w:spacing w:val="-4"/>
          <w:w w:val="110"/>
          <w:sz w:val="20"/>
        </w:rPr>
        <w:t> </w:t>
      </w:r>
      <w:r>
        <w:rPr>
          <w:color w:val="231F1F"/>
          <w:w w:val="110"/>
          <w:sz w:val="20"/>
        </w:rPr>
        <w:t>analgesia</w:t>
      </w:r>
      <w:r>
        <w:rPr>
          <w:color w:val="231F1F"/>
          <w:spacing w:val="-5"/>
          <w:w w:val="110"/>
          <w:sz w:val="20"/>
        </w:rPr>
        <w:t> </w:t>
      </w:r>
      <w:r>
        <w:rPr>
          <w:color w:val="231F1F"/>
          <w:w w:val="110"/>
          <w:sz w:val="20"/>
        </w:rPr>
        <w:t>induced</w:t>
      </w:r>
      <w:r>
        <w:rPr>
          <w:color w:val="231F1F"/>
          <w:spacing w:val="-4"/>
          <w:w w:val="110"/>
          <w:sz w:val="20"/>
        </w:rPr>
        <w:t> </w:t>
      </w:r>
      <w:r>
        <w:rPr>
          <w:color w:val="231F1F"/>
          <w:w w:val="110"/>
          <w:sz w:val="20"/>
        </w:rPr>
        <w:t>by intrathecal fentanyl during labour. Can J Anaesth 2004;51(6):581-5.</w:t>
      </w:r>
    </w:p>
    <w:p>
      <w:pPr>
        <w:pStyle w:val="ListParagraph"/>
        <w:numPr>
          <w:ilvl w:val="0"/>
          <w:numId w:val="109"/>
        </w:numPr>
        <w:tabs>
          <w:tab w:pos="793" w:val="left" w:leader="none"/>
          <w:tab w:pos="797" w:val="left" w:leader="none"/>
        </w:tabs>
        <w:spacing w:line="220" w:lineRule="auto" w:before="168" w:after="0"/>
        <w:ind w:left="797" w:right="216" w:hanging="502"/>
        <w:jc w:val="both"/>
        <w:rPr>
          <w:sz w:val="20"/>
        </w:rPr>
      </w:pPr>
      <w:r>
        <w:rPr>
          <w:color w:val="231F1F"/>
          <w:w w:val="110"/>
          <w:sz w:val="20"/>
        </w:rPr>
        <w:t>Van</w:t>
      </w:r>
      <w:r>
        <w:rPr>
          <w:color w:val="231F1F"/>
          <w:w w:val="110"/>
          <w:sz w:val="20"/>
        </w:rPr>
        <w:t> Der</w:t>
      </w:r>
      <w:r>
        <w:rPr>
          <w:color w:val="231F1F"/>
          <w:w w:val="110"/>
          <w:sz w:val="20"/>
        </w:rPr>
        <w:t> Vyver</w:t>
      </w:r>
      <w:r>
        <w:rPr>
          <w:color w:val="231F1F"/>
          <w:w w:val="110"/>
          <w:sz w:val="20"/>
        </w:rPr>
        <w:t> M,</w:t>
      </w:r>
      <w:r>
        <w:rPr>
          <w:color w:val="231F1F"/>
          <w:w w:val="110"/>
          <w:sz w:val="20"/>
        </w:rPr>
        <w:t> Halpern</w:t>
      </w:r>
      <w:r>
        <w:rPr>
          <w:color w:val="231F1F"/>
          <w:w w:val="110"/>
          <w:sz w:val="20"/>
        </w:rPr>
        <w:t> S,</w:t>
      </w:r>
      <w:r>
        <w:rPr>
          <w:color w:val="231F1F"/>
          <w:w w:val="110"/>
          <w:sz w:val="20"/>
        </w:rPr>
        <w:t> Joseph</w:t>
      </w:r>
      <w:r>
        <w:rPr>
          <w:color w:val="231F1F"/>
          <w:w w:val="110"/>
          <w:sz w:val="20"/>
        </w:rPr>
        <w:t> G.</w:t>
      </w:r>
      <w:r>
        <w:rPr>
          <w:color w:val="231F1F"/>
          <w:w w:val="110"/>
          <w:sz w:val="20"/>
        </w:rPr>
        <w:t> Patient-controlled</w:t>
      </w:r>
      <w:r>
        <w:rPr>
          <w:color w:val="231F1F"/>
          <w:w w:val="110"/>
          <w:sz w:val="20"/>
        </w:rPr>
        <w:t> epidural</w:t>
      </w:r>
      <w:r>
        <w:rPr>
          <w:color w:val="231F1F"/>
          <w:w w:val="110"/>
          <w:sz w:val="20"/>
        </w:rPr>
        <w:t> analgesia</w:t>
      </w:r>
      <w:r>
        <w:rPr>
          <w:color w:val="231F1F"/>
          <w:w w:val="110"/>
          <w:sz w:val="20"/>
        </w:rPr>
        <w:t> versus continuous</w:t>
      </w:r>
      <w:r>
        <w:rPr>
          <w:color w:val="231F1F"/>
          <w:spacing w:val="-16"/>
          <w:w w:val="110"/>
          <w:sz w:val="20"/>
        </w:rPr>
        <w:t> </w:t>
      </w:r>
      <w:r>
        <w:rPr>
          <w:color w:val="231F1F"/>
          <w:w w:val="110"/>
          <w:sz w:val="20"/>
        </w:rPr>
        <w:t>infusion</w:t>
      </w:r>
      <w:r>
        <w:rPr>
          <w:color w:val="231F1F"/>
          <w:spacing w:val="-16"/>
          <w:w w:val="110"/>
          <w:sz w:val="20"/>
        </w:rPr>
        <w:t> </w:t>
      </w:r>
      <w:r>
        <w:rPr>
          <w:color w:val="231F1F"/>
          <w:w w:val="110"/>
          <w:sz w:val="20"/>
        </w:rPr>
        <w:t>for</w:t>
      </w:r>
      <w:r>
        <w:rPr>
          <w:color w:val="231F1F"/>
          <w:spacing w:val="-16"/>
          <w:w w:val="110"/>
          <w:sz w:val="20"/>
        </w:rPr>
        <w:t> </w:t>
      </w:r>
      <w:r>
        <w:rPr>
          <w:color w:val="231F1F"/>
          <w:w w:val="110"/>
          <w:sz w:val="20"/>
        </w:rPr>
        <w:t>labour</w:t>
      </w:r>
      <w:r>
        <w:rPr>
          <w:color w:val="231F1F"/>
          <w:spacing w:val="-15"/>
          <w:w w:val="110"/>
          <w:sz w:val="20"/>
        </w:rPr>
        <w:t> </w:t>
      </w:r>
      <w:r>
        <w:rPr>
          <w:color w:val="231F1F"/>
          <w:w w:val="110"/>
          <w:sz w:val="20"/>
        </w:rPr>
        <w:t>analgesia:</w:t>
      </w:r>
      <w:r>
        <w:rPr>
          <w:color w:val="231F1F"/>
          <w:spacing w:val="-18"/>
          <w:w w:val="110"/>
          <w:sz w:val="20"/>
        </w:rPr>
        <w:t> </w:t>
      </w:r>
      <w:r>
        <w:rPr>
          <w:color w:val="231F1F"/>
          <w:w w:val="110"/>
          <w:sz w:val="20"/>
        </w:rPr>
        <w:t>a</w:t>
      </w:r>
      <w:r>
        <w:rPr>
          <w:color w:val="231F1F"/>
          <w:spacing w:val="-16"/>
          <w:w w:val="110"/>
          <w:sz w:val="20"/>
        </w:rPr>
        <w:t> </w:t>
      </w:r>
      <w:r>
        <w:rPr>
          <w:color w:val="231F1F"/>
          <w:w w:val="110"/>
          <w:sz w:val="20"/>
        </w:rPr>
        <w:t>meta-analysis.</w:t>
      </w:r>
      <w:r>
        <w:rPr>
          <w:color w:val="231F1F"/>
          <w:spacing w:val="-18"/>
          <w:w w:val="110"/>
          <w:sz w:val="20"/>
        </w:rPr>
        <w:t> </w:t>
      </w:r>
      <w:r>
        <w:rPr>
          <w:color w:val="231F1F"/>
          <w:w w:val="110"/>
          <w:sz w:val="20"/>
        </w:rPr>
        <w:t>Br</w:t>
      </w:r>
      <w:r>
        <w:rPr>
          <w:color w:val="231F1F"/>
          <w:spacing w:val="-15"/>
          <w:w w:val="110"/>
          <w:sz w:val="20"/>
        </w:rPr>
        <w:t> </w:t>
      </w:r>
      <w:r>
        <w:rPr>
          <w:color w:val="231F1F"/>
          <w:w w:val="110"/>
          <w:sz w:val="20"/>
        </w:rPr>
        <w:t>J</w:t>
      </w:r>
      <w:r>
        <w:rPr>
          <w:color w:val="231F1F"/>
          <w:spacing w:val="-18"/>
          <w:w w:val="110"/>
          <w:sz w:val="20"/>
        </w:rPr>
        <w:t> </w:t>
      </w:r>
      <w:r>
        <w:rPr>
          <w:color w:val="231F1F"/>
          <w:w w:val="110"/>
          <w:sz w:val="20"/>
        </w:rPr>
        <w:t>Anaesth</w:t>
      </w:r>
      <w:r>
        <w:rPr>
          <w:color w:val="231F1F"/>
          <w:spacing w:val="-15"/>
          <w:w w:val="110"/>
          <w:sz w:val="20"/>
        </w:rPr>
        <w:t> </w:t>
      </w:r>
      <w:r>
        <w:rPr>
          <w:color w:val="231F1F"/>
          <w:w w:val="110"/>
          <w:sz w:val="20"/>
        </w:rPr>
        <w:t>2002;89(3):459-65.</w:t>
      </w:r>
    </w:p>
    <w:p>
      <w:pPr>
        <w:pStyle w:val="ListParagraph"/>
        <w:numPr>
          <w:ilvl w:val="0"/>
          <w:numId w:val="109"/>
        </w:numPr>
        <w:tabs>
          <w:tab w:pos="793" w:val="left" w:leader="none"/>
          <w:tab w:pos="797" w:val="left" w:leader="none"/>
        </w:tabs>
        <w:spacing w:line="225" w:lineRule="auto" w:before="168" w:after="0"/>
        <w:ind w:left="797" w:right="125" w:hanging="522"/>
        <w:jc w:val="both"/>
        <w:rPr>
          <w:sz w:val="20"/>
        </w:rPr>
      </w:pPr>
      <w:r>
        <w:rPr>
          <w:color w:val="231F1F"/>
          <w:w w:val="110"/>
          <w:sz w:val="20"/>
        </w:rPr>
        <w:t>Saito</w:t>
      </w:r>
      <w:r>
        <w:rPr>
          <w:color w:val="231F1F"/>
          <w:spacing w:val="-12"/>
          <w:w w:val="110"/>
          <w:sz w:val="20"/>
        </w:rPr>
        <w:t> </w:t>
      </w:r>
      <w:r>
        <w:rPr>
          <w:color w:val="231F1F"/>
          <w:w w:val="110"/>
          <w:sz w:val="20"/>
        </w:rPr>
        <w:t>M,</w:t>
      </w:r>
      <w:r>
        <w:rPr>
          <w:color w:val="231F1F"/>
          <w:spacing w:val="-12"/>
          <w:w w:val="110"/>
          <w:sz w:val="20"/>
        </w:rPr>
        <w:t> </w:t>
      </w:r>
      <w:r>
        <w:rPr>
          <w:color w:val="231F1F"/>
          <w:w w:val="110"/>
          <w:sz w:val="20"/>
        </w:rPr>
        <w:t>Okutomi</w:t>
      </w:r>
      <w:r>
        <w:rPr>
          <w:color w:val="231F1F"/>
          <w:spacing w:val="-12"/>
          <w:w w:val="110"/>
          <w:sz w:val="20"/>
        </w:rPr>
        <w:t> </w:t>
      </w:r>
      <w:r>
        <w:rPr>
          <w:color w:val="231F1F"/>
          <w:w w:val="110"/>
          <w:sz w:val="20"/>
        </w:rPr>
        <w:t>T,</w:t>
      </w:r>
      <w:r>
        <w:rPr>
          <w:color w:val="231F1F"/>
          <w:spacing w:val="-12"/>
          <w:w w:val="110"/>
          <w:sz w:val="20"/>
        </w:rPr>
        <w:t> </w:t>
      </w:r>
      <w:r>
        <w:rPr>
          <w:color w:val="231F1F"/>
          <w:w w:val="110"/>
          <w:sz w:val="20"/>
        </w:rPr>
        <w:t>Kanai</w:t>
      </w:r>
      <w:r>
        <w:rPr>
          <w:color w:val="231F1F"/>
          <w:spacing w:val="-12"/>
          <w:w w:val="110"/>
          <w:sz w:val="20"/>
        </w:rPr>
        <w:t> </w:t>
      </w:r>
      <w:r>
        <w:rPr>
          <w:color w:val="231F1F"/>
          <w:w w:val="110"/>
          <w:sz w:val="20"/>
        </w:rPr>
        <w:t>Y,</w:t>
      </w:r>
      <w:r>
        <w:rPr>
          <w:color w:val="231F1F"/>
          <w:spacing w:val="-12"/>
          <w:w w:val="110"/>
          <w:sz w:val="20"/>
        </w:rPr>
        <w:t> </w:t>
      </w:r>
      <w:r>
        <w:rPr>
          <w:color w:val="231F1F"/>
          <w:w w:val="110"/>
          <w:sz w:val="20"/>
        </w:rPr>
        <w:t>et</w:t>
      </w:r>
      <w:r>
        <w:rPr>
          <w:color w:val="231F1F"/>
          <w:spacing w:val="-12"/>
          <w:w w:val="110"/>
          <w:sz w:val="20"/>
        </w:rPr>
        <w:t> </w:t>
      </w:r>
      <w:r>
        <w:rPr>
          <w:color w:val="231F1F"/>
          <w:w w:val="110"/>
          <w:sz w:val="20"/>
        </w:rPr>
        <w:t>al.</w:t>
      </w:r>
      <w:r>
        <w:rPr>
          <w:color w:val="231F1F"/>
          <w:spacing w:val="-12"/>
          <w:w w:val="110"/>
          <w:sz w:val="20"/>
        </w:rPr>
        <w:t> </w:t>
      </w:r>
      <w:r>
        <w:rPr>
          <w:color w:val="231F1F"/>
          <w:w w:val="110"/>
          <w:sz w:val="20"/>
        </w:rPr>
        <w:t>Patient-controlled</w:t>
      </w:r>
      <w:r>
        <w:rPr>
          <w:color w:val="231F1F"/>
          <w:spacing w:val="-13"/>
          <w:w w:val="110"/>
          <w:sz w:val="20"/>
        </w:rPr>
        <w:t> </w:t>
      </w:r>
      <w:r>
        <w:rPr>
          <w:color w:val="231F1F"/>
          <w:w w:val="110"/>
          <w:sz w:val="20"/>
        </w:rPr>
        <w:t>epidural</w:t>
      </w:r>
      <w:r>
        <w:rPr>
          <w:color w:val="231F1F"/>
          <w:spacing w:val="-12"/>
          <w:w w:val="110"/>
          <w:sz w:val="20"/>
        </w:rPr>
        <w:t> </w:t>
      </w:r>
      <w:r>
        <w:rPr>
          <w:color w:val="231F1F"/>
          <w:w w:val="110"/>
          <w:sz w:val="20"/>
        </w:rPr>
        <w:t>analgesia</w:t>
      </w:r>
      <w:r>
        <w:rPr>
          <w:color w:val="231F1F"/>
          <w:spacing w:val="-12"/>
          <w:w w:val="110"/>
          <w:sz w:val="20"/>
        </w:rPr>
        <w:t> </w:t>
      </w:r>
      <w:r>
        <w:rPr>
          <w:color w:val="231F1F"/>
          <w:w w:val="110"/>
          <w:sz w:val="20"/>
        </w:rPr>
        <w:t>during</w:t>
      </w:r>
      <w:r>
        <w:rPr>
          <w:color w:val="231F1F"/>
          <w:spacing w:val="-11"/>
          <w:w w:val="110"/>
          <w:sz w:val="20"/>
        </w:rPr>
        <w:t> </w:t>
      </w:r>
      <w:r>
        <w:rPr>
          <w:color w:val="231F1F"/>
          <w:w w:val="110"/>
          <w:sz w:val="20"/>
        </w:rPr>
        <w:t>labor</w:t>
      </w:r>
      <w:r>
        <w:rPr>
          <w:color w:val="231F1F"/>
          <w:spacing w:val="-11"/>
          <w:w w:val="110"/>
          <w:sz w:val="20"/>
        </w:rPr>
        <w:t> </w:t>
      </w:r>
      <w:r>
        <w:rPr>
          <w:color w:val="231F1F"/>
          <w:w w:val="110"/>
          <w:sz w:val="20"/>
        </w:rPr>
        <w:t>using ropivacaine</w:t>
      </w:r>
      <w:r>
        <w:rPr>
          <w:color w:val="231F1F"/>
          <w:w w:val="110"/>
          <w:sz w:val="20"/>
        </w:rPr>
        <w:t> and</w:t>
      </w:r>
      <w:r>
        <w:rPr>
          <w:color w:val="231F1F"/>
          <w:w w:val="110"/>
          <w:sz w:val="20"/>
        </w:rPr>
        <w:t> fentanyl</w:t>
      </w:r>
      <w:r>
        <w:rPr>
          <w:color w:val="231F1F"/>
          <w:w w:val="110"/>
          <w:sz w:val="20"/>
        </w:rPr>
        <w:t> provides</w:t>
      </w:r>
      <w:r>
        <w:rPr>
          <w:color w:val="231F1F"/>
          <w:w w:val="110"/>
          <w:sz w:val="20"/>
        </w:rPr>
        <w:t> better</w:t>
      </w:r>
      <w:r>
        <w:rPr>
          <w:color w:val="231F1F"/>
          <w:w w:val="110"/>
          <w:sz w:val="20"/>
        </w:rPr>
        <w:t> maternal</w:t>
      </w:r>
      <w:r>
        <w:rPr>
          <w:color w:val="231F1F"/>
          <w:w w:val="110"/>
          <w:sz w:val="20"/>
        </w:rPr>
        <w:t> satisfaction</w:t>
      </w:r>
      <w:r>
        <w:rPr>
          <w:color w:val="231F1F"/>
          <w:w w:val="110"/>
          <w:sz w:val="20"/>
        </w:rPr>
        <w:t> with</w:t>
      </w:r>
      <w:r>
        <w:rPr>
          <w:color w:val="231F1F"/>
          <w:w w:val="110"/>
          <w:sz w:val="20"/>
        </w:rPr>
        <w:t> less</w:t>
      </w:r>
      <w:r>
        <w:rPr>
          <w:color w:val="231F1F"/>
          <w:w w:val="110"/>
          <w:sz w:val="20"/>
        </w:rPr>
        <w:t> local</w:t>
      </w:r>
      <w:r>
        <w:rPr>
          <w:color w:val="231F1F"/>
          <w:w w:val="110"/>
          <w:sz w:val="20"/>
        </w:rPr>
        <w:t> anesthetic requirement. Journal of Anesthesia 2005;19(3):208-12.</w:t>
      </w:r>
    </w:p>
    <w:p>
      <w:pPr>
        <w:pStyle w:val="ListParagraph"/>
        <w:numPr>
          <w:ilvl w:val="0"/>
          <w:numId w:val="109"/>
        </w:numPr>
        <w:tabs>
          <w:tab w:pos="793" w:val="left" w:leader="none"/>
          <w:tab w:pos="797" w:val="left" w:leader="none"/>
        </w:tabs>
        <w:spacing w:line="225" w:lineRule="auto" w:before="172" w:after="0"/>
        <w:ind w:left="797" w:right="118" w:hanging="502"/>
        <w:jc w:val="both"/>
        <w:rPr>
          <w:sz w:val="20"/>
        </w:rPr>
      </w:pPr>
      <w:r>
        <w:rPr>
          <w:color w:val="231F1F"/>
          <w:w w:val="110"/>
          <w:sz w:val="20"/>
        </w:rPr>
        <w:t>Gambling</w:t>
      </w:r>
      <w:r>
        <w:rPr>
          <w:color w:val="231F1F"/>
          <w:w w:val="110"/>
          <w:sz w:val="20"/>
        </w:rPr>
        <w:t> DR,</w:t>
      </w:r>
      <w:r>
        <w:rPr>
          <w:color w:val="231F1F"/>
          <w:w w:val="110"/>
          <w:sz w:val="20"/>
        </w:rPr>
        <w:t> McMorland</w:t>
      </w:r>
      <w:r>
        <w:rPr>
          <w:color w:val="231F1F"/>
          <w:w w:val="110"/>
          <w:sz w:val="20"/>
        </w:rPr>
        <w:t> GH,</w:t>
      </w:r>
      <w:r>
        <w:rPr>
          <w:color w:val="231F1F"/>
          <w:w w:val="110"/>
          <w:sz w:val="20"/>
        </w:rPr>
        <w:t> Yu</w:t>
      </w:r>
      <w:r>
        <w:rPr>
          <w:color w:val="231F1F"/>
          <w:w w:val="110"/>
          <w:sz w:val="20"/>
        </w:rPr>
        <w:t> P,</w:t>
      </w:r>
      <w:r>
        <w:rPr>
          <w:color w:val="231F1F"/>
          <w:w w:val="110"/>
          <w:sz w:val="20"/>
        </w:rPr>
        <w:t> et</w:t>
      </w:r>
      <w:r>
        <w:rPr>
          <w:color w:val="231F1F"/>
          <w:w w:val="110"/>
          <w:sz w:val="20"/>
        </w:rPr>
        <w:t> al.</w:t>
      </w:r>
      <w:r>
        <w:rPr>
          <w:color w:val="231F1F"/>
          <w:w w:val="110"/>
          <w:sz w:val="20"/>
        </w:rPr>
        <w:t> Comparison</w:t>
      </w:r>
      <w:r>
        <w:rPr>
          <w:color w:val="231F1F"/>
          <w:w w:val="110"/>
          <w:sz w:val="20"/>
        </w:rPr>
        <w:t> of</w:t>
      </w:r>
      <w:r>
        <w:rPr>
          <w:color w:val="231F1F"/>
          <w:w w:val="110"/>
          <w:sz w:val="20"/>
        </w:rPr>
        <w:t> patient-controlled</w:t>
      </w:r>
      <w:r>
        <w:rPr>
          <w:color w:val="231F1F"/>
          <w:w w:val="110"/>
          <w:sz w:val="20"/>
        </w:rPr>
        <w:t> epidural analgesia</w:t>
      </w:r>
      <w:r>
        <w:rPr>
          <w:color w:val="231F1F"/>
          <w:w w:val="110"/>
          <w:sz w:val="20"/>
        </w:rPr>
        <w:t> and</w:t>
      </w:r>
      <w:r>
        <w:rPr>
          <w:color w:val="231F1F"/>
          <w:w w:val="110"/>
          <w:sz w:val="20"/>
        </w:rPr>
        <w:t> conventional</w:t>
      </w:r>
      <w:r>
        <w:rPr>
          <w:color w:val="231F1F"/>
          <w:w w:val="110"/>
          <w:sz w:val="20"/>
        </w:rPr>
        <w:t> intermittent</w:t>
      </w:r>
      <w:r>
        <w:rPr>
          <w:color w:val="231F1F"/>
          <w:w w:val="110"/>
          <w:sz w:val="20"/>
        </w:rPr>
        <w:t> ´topup´</w:t>
      </w:r>
      <w:r>
        <w:rPr>
          <w:color w:val="231F1F"/>
          <w:w w:val="110"/>
          <w:sz w:val="20"/>
        </w:rPr>
        <w:t> injections</w:t>
      </w:r>
      <w:r>
        <w:rPr>
          <w:color w:val="231F1F"/>
          <w:w w:val="110"/>
          <w:sz w:val="20"/>
        </w:rPr>
        <w:t> during</w:t>
      </w:r>
      <w:r>
        <w:rPr>
          <w:color w:val="231F1F"/>
          <w:w w:val="110"/>
          <w:sz w:val="20"/>
        </w:rPr>
        <w:t> labor.</w:t>
      </w:r>
      <w:r>
        <w:rPr>
          <w:color w:val="231F1F"/>
          <w:w w:val="110"/>
          <w:sz w:val="20"/>
        </w:rPr>
        <w:t> Anesth</w:t>
      </w:r>
      <w:r>
        <w:rPr>
          <w:color w:val="231F1F"/>
          <w:w w:val="110"/>
          <w:sz w:val="20"/>
        </w:rPr>
        <w:t> Analg </w:t>
      </w:r>
      <w:r>
        <w:rPr>
          <w:color w:val="231F1F"/>
          <w:spacing w:val="-2"/>
          <w:w w:val="110"/>
          <w:sz w:val="20"/>
        </w:rPr>
        <w:t>1990;70(3):256-61.</w:t>
      </w:r>
    </w:p>
    <w:p>
      <w:pPr>
        <w:pStyle w:val="ListParagraph"/>
        <w:numPr>
          <w:ilvl w:val="0"/>
          <w:numId w:val="109"/>
        </w:numPr>
        <w:tabs>
          <w:tab w:pos="793" w:val="left" w:leader="none"/>
          <w:tab w:pos="797" w:val="left" w:leader="none"/>
        </w:tabs>
        <w:spacing w:line="225" w:lineRule="auto" w:before="177" w:after="0"/>
        <w:ind w:left="797" w:right="123" w:hanging="502"/>
        <w:jc w:val="both"/>
        <w:rPr>
          <w:sz w:val="20"/>
        </w:rPr>
      </w:pPr>
      <w:r>
        <w:rPr>
          <w:color w:val="231F1F"/>
          <w:w w:val="110"/>
          <w:sz w:val="20"/>
        </w:rPr>
        <w:t>Paech MJ, Pavy TJG, Sims C, et al. Clinical experience with patient-controlled and staff- administered</w:t>
      </w:r>
      <w:r>
        <w:rPr>
          <w:color w:val="231F1F"/>
          <w:spacing w:val="-3"/>
          <w:w w:val="110"/>
          <w:sz w:val="20"/>
        </w:rPr>
        <w:t> </w:t>
      </w:r>
      <w:r>
        <w:rPr>
          <w:color w:val="231F1F"/>
          <w:w w:val="110"/>
          <w:sz w:val="20"/>
        </w:rPr>
        <w:t>intermittent bolus</w:t>
      </w:r>
      <w:r>
        <w:rPr>
          <w:color w:val="231F1F"/>
          <w:spacing w:val="-1"/>
          <w:w w:val="110"/>
          <w:sz w:val="20"/>
        </w:rPr>
        <w:t> </w:t>
      </w:r>
      <w:r>
        <w:rPr>
          <w:color w:val="231F1F"/>
          <w:w w:val="110"/>
          <w:sz w:val="20"/>
        </w:rPr>
        <w:t>epidural</w:t>
      </w:r>
      <w:r>
        <w:rPr>
          <w:color w:val="231F1F"/>
          <w:spacing w:val="-1"/>
          <w:w w:val="110"/>
          <w:sz w:val="20"/>
        </w:rPr>
        <w:t> </w:t>
      </w:r>
      <w:r>
        <w:rPr>
          <w:color w:val="231F1F"/>
          <w:w w:val="110"/>
          <w:sz w:val="20"/>
        </w:rPr>
        <w:t>analgesia</w:t>
      </w:r>
      <w:r>
        <w:rPr>
          <w:color w:val="231F1F"/>
          <w:spacing w:val="-1"/>
          <w:w w:val="110"/>
          <w:sz w:val="20"/>
        </w:rPr>
        <w:t> </w:t>
      </w:r>
      <w:r>
        <w:rPr>
          <w:color w:val="231F1F"/>
          <w:w w:val="110"/>
          <w:sz w:val="20"/>
        </w:rPr>
        <w:t>in</w:t>
      </w:r>
      <w:r>
        <w:rPr>
          <w:color w:val="231F1F"/>
          <w:spacing w:val="-1"/>
          <w:w w:val="110"/>
          <w:sz w:val="20"/>
        </w:rPr>
        <w:t> </w:t>
      </w:r>
      <w:r>
        <w:rPr>
          <w:color w:val="231F1F"/>
          <w:w w:val="110"/>
          <w:sz w:val="20"/>
        </w:rPr>
        <w:t>labour.</w:t>
      </w:r>
      <w:r>
        <w:rPr>
          <w:color w:val="231F1F"/>
          <w:spacing w:val="-3"/>
          <w:w w:val="110"/>
          <w:sz w:val="20"/>
        </w:rPr>
        <w:t> </w:t>
      </w:r>
      <w:r>
        <w:rPr>
          <w:color w:val="231F1F"/>
          <w:w w:val="110"/>
          <w:sz w:val="20"/>
        </w:rPr>
        <w:t>Anesthesia</w:t>
      </w:r>
      <w:r>
        <w:rPr>
          <w:color w:val="231F1F"/>
          <w:spacing w:val="-1"/>
          <w:w w:val="110"/>
          <w:sz w:val="20"/>
        </w:rPr>
        <w:t> </w:t>
      </w:r>
      <w:r>
        <w:rPr>
          <w:color w:val="231F1F"/>
          <w:w w:val="110"/>
          <w:sz w:val="20"/>
        </w:rPr>
        <w:t>and</w:t>
      </w:r>
      <w:r>
        <w:rPr>
          <w:color w:val="231F1F"/>
          <w:spacing w:val="-1"/>
          <w:w w:val="110"/>
          <w:sz w:val="20"/>
        </w:rPr>
        <w:t> </w:t>
      </w:r>
      <w:r>
        <w:rPr>
          <w:color w:val="231F1F"/>
          <w:w w:val="110"/>
          <w:sz w:val="20"/>
        </w:rPr>
        <w:t>Intensive care </w:t>
      </w:r>
      <w:r>
        <w:rPr>
          <w:color w:val="231F1F"/>
          <w:spacing w:val="-2"/>
          <w:w w:val="110"/>
          <w:sz w:val="20"/>
        </w:rPr>
        <w:t>1995;23(4):459-63.</w:t>
      </w:r>
    </w:p>
    <w:p>
      <w:pPr>
        <w:pStyle w:val="ListParagraph"/>
        <w:numPr>
          <w:ilvl w:val="0"/>
          <w:numId w:val="109"/>
        </w:numPr>
        <w:tabs>
          <w:tab w:pos="792" w:val="left" w:leader="none"/>
          <w:tab w:pos="797" w:val="left" w:leader="none"/>
        </w:tabs>
        <w:spacing w:line="225" w:lineRule="auto" w:before="172" w:after="0"/>
        <w:ind w:left="797" w:right="110" w:hanging="501"/>
        <w:jc w:val="both"/>
        <w:rPr>
          <w:sz w:val="20"/>
        </w:rPr>
      </w:pPr>
      <w:r>
        <w:rPr>
          <w:color w:val="231F1F"/>
          <w:spacing w:val="-2"/>
          <w:w w:val="110"/>
          <w:sz w:val="20"/>
        </w:rPr>
        <w:t>Halonen</w:t>
      </w:r>
      <w:r>
        <w:rPr>
          <w:color w:val="231F1F"/>
          <w:spacing w:val="-11"/>
          <w:w w:val="110"/>
          <w:sz w:val="20"/>
        </w:rPr>
        <w:t> </w:t>
      </w:r>
      <w:r>
        <w:rPr>
          <w:color w:val="231F1F"/>
          <w:spacing w:val="-2"/>
          <w:w w:val="110"/>
          <w:sz w:val="20"/>
        </w:rPr>
        <w:t>P,</w:t>
      </w:r>
      <w:r>
        <w:rPr>
          <w:color w:val="231F1F"/>
          <w:spacing w:val="-10"/>
          <w:w w:val="110"/>
          <w:sz w:val="20"/>
        </w:rPr>
        <w:t> </w:t>
      </w:r>
      <w:r>
        <w:rPr>
          <w:color w:val="231F1F"/>
          <w:spacing w:val="-2"/>
          <w:w w:val="110"/>
          <w:sz w:val="20"/>
        </w:rPr>
        <w:t>Sarvela</w:t>
      </w:r>
      <w:r>
        <w:rPr>
          <w:color w:val="231F1F"/>
          <w:spacing w:val="-11"/>
          <w:w w:val="110"/>
          <w:sz w:val="20"/>
        </w:rPr>
        <w:t> </w:t>
      </w:r>
      <w:r>
        <w:rPr>
          <w:color w:val="231F1F"/>
          <w:spacing w:val="-2"/>
          <w:w w:val="110"/>
          <w:sz w:val="20"/>
        </w:rPr>
        <w:t>J,</w:t>
      </w:r>
      <w:r>
        <w:rPr>
          <w:color w:val="231F1F"/>
          <w:spacing w:val="-10"/>
          <w:w w:val="110"/>
          <w:sz w:val="20"/>
        </w:rPr>
        <w:t> </w:t>
      </w:r>
      <w:r>
        <w:rPr>
          <w:color w:val="231F1F"/>
          <w:spacing w:val="-2"/>
          <w:w w:val="110"/>
          <w:sz w:val="20"/>
        </w:rPr>
        <w:t>Saisto</w:t>
      </w:r>
      <w:r>
        <w:rPr>
          <w:color w:val="231F1F"/>
          <w:spacing w:val="-11"/>
          <w:w w:val="110"/>
          <w:sz w:val="20"/>
        </w:rPr>
        <w:t> </w:t>
      </w:r>
      <w:r>
        <w:rPr>
          <w:color w:val="231F1F"/>
          <w:spacing w:val="-2"/>
          <w:w w:val="110"/>
          <w:sz w:val="20"/>
        </w:rPr>
        <w:t>T,</w:t>
      </w:r>
      <w:r>
        <w:rPr>
          <w:color w:val="231F1F"/>
          <w:spacing w:val="-10"/>
          <w:w w:val="110"/>
          <w:sz w:val="20"/>
        </w:rPr>
        <w:t> </w:t>
      </w:r>
      <w:r>
        <w:rPr>
          <w:color w:val="231F1F"/>
          <w:spacing w:val="-2"/>
          <w:w w:val="110"/>
          <w:sz w:val="20"/>
        </w:rPr>
        <w:t>et</w:t>
      </w:r>
      <w:r>
        <w:rPr>
          <w:color w:val="231F1F"/>
          <w:spacing w:val="-11"/>
          <w:w w:val="110"/>
          <w:sz w:val="20"/>
        </w:rPr>
        <w:t> </w:t>
      </w:r>
      <w:r>
        <w:rPr>
          <w:color w:val="231F1F"/>
          <w:spacing w:val="-2"/>
          <w:w w:val="110"/>
          <w:sz w:val="20"/>
        </w:rPr>
        <w:t>al.</w:t>
      </w:r>
      <w:r>
        <w:rPr>
          <w:color w:val="231F1F"/>
          <w:spacing w:val="-10"/>
          <w:w w:val="110"/>
          <w:sz w:val="20"/>
        </w:rPr>
        <w:t> </w:t>
      </w:r>
      <w:r>
        <w:rPr>
          <w:color w:val="231F1F"/>
          <w:spacing w:val="-2"/>
          <w:w w:val="110"/>
          <w:sz w:val="20"/>
        </w:rPr>
        <w:t>Patient-controlled</w:t>
      </w:r>
      <w:r>
        <w:rPr>
          <w:color w:val="231F1F"/>
          <w:spacing w:val="-11"/>
          <w:w w:val="110"/>
          <w:sz w:val="20"/>
        </w:rPr>
        <w:t> </w:t>
      </w:r>
      <w:r>
        <w:rPr>
          <w:color w:val="231F1F"/>
          <w:spacing w:val="-2"/>
          <w:w w:val="110"/>
          <w:sz w:val="20"/>
        </w:rPr>
        <w:t>epidural</w:t>
      </w:r>
      <w:r>
        <w:rPr>
          <w:color w:val="231F1F"/>
          <w:spacing w:val="-10"/>
          <w:w w:val="110"/>
          <w:sz w:val="20"/>
        </w:rPr>
        <w:t> </w:t>
      </w:r>
      <w:r>
        <w:rPr>
          <w:color w:val="231F1F"/>
          <w:spacing w:val="-2"/>
          <w:w w:val="110"/>
          <w:sz w:val="20"/>
        </w:rPr>
        <w:t>technique</w:t>
      </w:r>
      <w:r>
        <w:rPr>
          <w:color w:val="231F1F"/>
          <w:spacing w:val="-10"/>
          <w:w w:val="110"/>
          <w:sz w:val="20"/>
        </w:rPr>
        <w:t> </w:t>
      </w:r>
      <w:r>
        <w:rPr>
          <w:color w:val="231F1F"/>
          <w:spacing w:val="-2"/>
          <w:w w:val="110"/>
          <w:sz w:val="20"/>
        </w:rPr>
        <w:t>improves</w:t>
      </w:r>
      <w:r>
        <w:rPr>
          <w:color w:val="231F1F"/>
          <w:spacing w:val="-10"/>
          <w:w w:val="110"/>
          <w:sz w:val="20"/>
        </w:rPr>
        <w:t> </w:t>
      </w:r>
      <w:r>
        <w:rPr>
          <w:color w:val="231F1F"/>
          <w:spacing w:val="-2"/>
          <w:w w:val="110"/>
          <w:sz w:val="20"/>
        </w:rPr>
        <w:t>analgesia for</w:t>
      </w:r>
      <w:r>
        <w:rPr>
          <w:color w:val="231F1F"/>
          <w:spacing w:val="-5"/>
          <w:w w:val="110"/>
          <w:sz w:val="20"/>
        </w:rPr>
        <w:t> </w:t>
      </w:r>
      <w:r>
        <w:rPr>
          <w:color w:val="231F1F"/>
          <w:spacing w:val="-2"/>
          <w:w w:val="110"/>
          <w:sz w:val="20"/>
        </w:rPr>
        <w:t>labor</w:t>
      </w:r>
      <w:r>
        <w:rPr>
          <w:color w:val="231F1F"/>
          <w:spacing w:val="-5"/>
          <w:w w:val="110"/>
          <w:sz w:val="20"/>
        </w:rPr>
        <w:t> </w:t>
      </w:r>
      <w:r>
        <w:rPr>
          <w:color w:val="231F1F"/>
          <w:spacing w:val="-2"/>
          <w:w w:val="110"/>
          <w:sz w:val="20"/>
        </w:rPr>
        <w:t>but</w:t>
      </w:r>
      <w:r>
        <w:rPr>
          <w:color w:val="231F1F"/>
          <w:spacing w:val="-5"/>
          <w:w w:val="110"/>
          <w:sz w:val="20"/>
        </w:rPr>
        <w:t> </w:t>
      </w:r>
      <w:r>
        <w:rPr>
          <w:color w:val="231F1F"/>
          <w:spacing w:val="-2"/>
          <w:w w:val="110"/>
          <w:sz w:val="20"/>
        </w:rPr>
        <w:t>increases</w:t>
      </w:r>
      <w:r>
        <w:rPr>
          <w:color w:val="231F1F"/>
          <w:spacing w:val="-5"/>
          <w:w w:val="110"/>
          <w:sz w:val="20"/>
        </w:rPr>
        <w:t> </w:t>
      </w:r>
      <w:r>
        <w:rPr>
          <w:color w:val="231F1F"/>
          <w:spacing w:val="-2"/>
          <w:w w:val="110"/>
          <w:sz w:val="20"/>
        </w:rPr>
        <w:t>cesarean</w:t>
      </w:r>
      <w:r>
        <w:rPr>
          <w:color w:val="231F1F"/>
          <w:spacing w:val="-5"/>
          <w:w w:val="110"/>
          <w:sz w:val="20"/>
        </w:rPr>
        <w:t> </w:t>
      </w:r>
      <w:r>
        <w:rPr>
          <w:color w:val="231F1F"/>
          <w:spacing w:val="-2"/>
          <w:w w:val="110"/>
          <w:sz w:val="20"/>
        </w:rPr>
        <w:t>delivery</w:t>
      </w:r>
      <w:r>
        <w:rPr>
          <w:color w:val="231F1F"/>
          <w:spacing w:val="-5"/>
          <w:w w:val="110"/>
          <w:sz w:val="20"/>
        </w:rPr>
        <w:t> </w:t>
      </w:r>
      <w:r>
        <w:rPr>
          <w:color w:val="231F1F"/>
          <w:spacing w:val="-2"/>
          <w:w w:val="110"/>
          <w:sz w:val="20"/>
        </w:rPr>
        <w:t>rate</w:t>
      </w:r>
      <w:r>
        <w:rPr>
          <w:color w:val="231F1F"/>
          <w:spacing w:val="-6"/>
          <w:w w:val="110"/>
          <w:sz w:val="20"/>
        </w:rPr>
        <w:t> </w:t>
      </w:r>
      <w:r>
        <w:rPr>
          <w:color w:val="231F1F"/>
          <w:spacing w:val="-2"/>
          <w:w w:val="110"/>
          <w:sz w:val="20"/>
        </w:rPr>
        <w:t>compared</w:t>
      </w:r>
      <w:r>
        <w:rPr>
          <w:color w:val="231F1F"/>
          <w:spacing w:val="-6"/>
          <w:w w:val="110"/>
          <w:sz w:val="20"/>
        </w:rPr>
        <w:t> </w:t>
      </w:r>
      <w:r>
        <w:rPr>
          <w:color w:val="231F1F"/>
          <w:spacing w:val="-2"/>
          <w:w w:val="110"/>
          <w:sz w:val="20"/>
        </w:rPr>
        <w:t>with</w:t>
      </w:r>
      <w:r>
        <w:rPr>
          <w:color w:val="231F1F"/>
          <w:spacing w:val="-6"/>
          <w:w w:val="110"/>
          <w:sz w:val="20"/>
        </w:rPr>
        <w:t> </w:t>
      </w:r>
      <w:r>
        <w:rPr>
          <w:color w:val="231F1F"/>
          <w:spacing w:val="-2"/>
          <w:w w:val="110"/>
          <w:sz w:val="20"/>
        </w:rPr>
        <w:t>the</w:t>
      </w:r>
      <w:r>
        <w:rPr>
          <w:color w:val="231F1F"/>
          <w:spacing w:val="-5"/>
          <w:w w:val="110"/>
          <w:sz w:val="20"/>
        </w:rPr>
        <w:t> </w:t>
      </w:r>
      <w:r>
        <w:rPr>
          <w:color w:val="231F1F"/>
          <w:spacing w:val="-2"/>
          <w:w w:val="110"/>
          <w:sz w:val="20"/>
        </w:rPr>
        <w:t>intermittent</w:t>
      </w:r>
      <w:r>
        <w:rPr>
          <w:color w:val="231F1F"/>
          <w:spacing w:val="-5"/>
          <w:w w:val="110"/>
          <w:sz w:val="20"/>
        </w:rPr>
        <w:t> </w:t>
      </w:r>
      <w:r>
        <w:rPr>
          <w:color w:val="231F1F"/>
          <w:spacing w:val="-2"/>
          <w:w w:val="110"/>
          <w:sz w:val="20"/>
        </w:rPr>
        <w:t>bolus</w:t>
      </w:r>
      <w:r>
        <w:rPr>
          <w:color w:val="231F1F"/>
          <w:spacing w:val="-6"/>
          <w:w w:val="110"/>
          <w:sz w:val="20"/>
        </w:rPr>
        <w:t> </w:t>
      </w:r>
      <w:r>
        <w:rPr>
          <w:color w:val="231F1F"/>
          <w:spacing w:val="-2"/>
          <w:w w:val="110"/>
          <w:sz w:val="20"/>
        </w:rPr>
        <w:t>technique. </w:t>
      </w:r>
      <w:r>
        <w:rPr>
          <w:color w:val="231F1F"/>
          <w:w w:val="110"/>
          <w:sz w:val="20"/>
        </w:rPr>
        <w:t>Acta Anaesthesiol Scand 2004;48(6):732-7.</w:t>
      </w:r>
    </w:p>
    <w:p>
      <w:pPr>
        <w:pStyle w:val="ListParagraph"/>
        <w:numPr>
          <w:ilvl w:val="0"/>
          <w:numId w:val="109"/>
        </w:numPr>
        <w:tabs>
          <w:tab w:pos="793" w:val="left" w:leader="none"/>
          <w:tab w:pos="797" w:val="left" w:leader="none"/>
        </w:tabs>
        <w:spacing w:line="228" w:lineRule="auto" w:before="156" w:after="0"/>
        <w:ind w:left="797" w:right="121" w:hanging="509"/>
        <w:jc w:val="both"/>
        <w:rPr>
          <w:sz w:val="20"/>
        </w:rPr>
      </w:pPr>
      <w:r>
        <w:rPr>
          <w:color w:val="231F1F"/>
          <w:spacing w:val="-2"/>
          <w:w w:val="110"/>
          <w:position w:val="1"/>
          <w:sz w:val="20"/>
        </w:rPr>
        <w:t>Mayberry</w:t>
      </w:r>
      <w:r>
        <w:rPr>
          <w:color w:val="231F1F"/>
          <w:spacing w:val="-4"/>
          <w:w w:val="110"/>
          <w:position w:val="1"/>
          <w:sz w:val="20"/>
        </w:rPr>
        <w:t> </w:t>
      </w:r>
      <w:r>
        <w:rPr>
          <w:color w:val="231F1F"/>
          <w:spacing w:val="-2"/>
          <w:w w:val="110"/>
          <w:position w:val="1"/>
          <w:sz w:val="20"/>
        </w:rPr>
        <w:t>LJ,</w:t>
      </w:r>
      <w:r>
        <w:rPr>
          <w:color w:val="231F1F"/>
          <w:spacing w:val="-5"/>
          <w:w w:val="110"/>
          <w:position w:val="1"/>
          <w:sz w:val="20"/>
        </w:rPr>
        <w:t> </w:t>
      </w:r>
      <w:r>
        <w:rPr>
          <w:color w:val="231F1F"/>
          <w:spacing w:val="-2"/>
          <w:w w:val="110"/>
          <w:position w:val="1"/>
          <w:sz w:val="20"/>
        </w:rPr>
        <w:t>Clemmens</w:t>
      </w:r>
      <w:r>
        <w:rPr>
          <w:color w:val="231F1F"/>
          <w:spacing w:val="-4"/>
          <w:w w:val="110"/>
          <w:position w:val="1"/>
          <w:sz w:val="20"/>
        </w:rPr>
        <w:t> </w:t>
      </w:r>
      <w:r>
        <w:rPr>
          <w:color w:val="231F1F"/>
          <w:spacing w:val="-2"/>
          <w:w w:val="110"/>
          <w:position w:val="1"/>
          <w:sz w:val="20"/>
        </w:rPr>
        <w:t>D,</w:t>
      </w:r>
      <w:r>
        <w:rPr>
          <w:color w:val="231F1F"/>
          <w:spacing w:val="-5"/>
          <w:w w:val="110"/>
          <w:position w:val="1"/>
          <w:sz w:val="20"/>
        </w:rPr>
        <w:t> </w:t>
      </w:r>
      <w:r>
        <w:rPr>
          <w:color w:val="231F1F"/>
          <w:spacing w:val="-2"/>
          <w:w w:val="110"/>
          <w:position w:val="1"/>
          <w:sz w:val="20"/>
        </w:rPr>
        <w:t>De</w:t>
      </w:r>
      <w:r>
        <w:rPr>
          <w:color w:val="231F1F"/>
          <w:spacing w:val="-6"/>
          <w:w w:val="110"/>
          <w:position w:val="1"/>
          <w:sz w:val="20"/>
        </w:rPr>
        <w:t> </w:t>
      </w:r>
      <w:r>
        <w:rPr>
          <w:color w:val="231F1F"/>
          <w:spacing w:val="-2"/>
          <w:w w:val="110"/>
          <w:position w:val="1"/>
          <w:sz w:val="20"/>
        </w:rPr>
        <w:t>A.</w:t>
      </w:r>
      <w:r>
        <w:rPr>
          <w:color w:val="231F1F"/>
          <w:spacing w:val="-5"/>
          <w:w w:val="110"/>
          <w:position w:val="1"/>
          <w:sz w:val="20"/>
        </w:rPr>
        <w:t> </w:t>
      </w:r>
      <w:r>
        <w:rPr>
          <w:color w:val="231F1F"/>
          <w:spacing w:val="-2"/>
          <w:w w:val="110"/>
          <w:position w:val="1"/>
          <w:sz w:val="20"/>
        </w:rPr>
        <w:t>Epidural</w:t>
      </w:r>
      <w:r>
        <w:rPr>
          <w:color w:val="231F1F"/>
          <w:spacing w:val="-3"/>
          <w:w w:val="110"/>
          <w:position w:val="1"/>
          <w:sz w:val="20"/>
        </w:rPr>
        <w:t> </w:t>
      </w:r>
      <w:r>
        <w:rPr>
          <w:color w:val="231F1F"/>
          <w:spacing w:val="-2"/>
          <w:w w:val="110"/>
          <w:position w:val="1"/>
          <w:sz w:val="20"/>
        </w:rPr>
        <w:t>analgesia</w:t>
      </w:r>
      <w:r>
        <w:rPr>
          <w:color w:val="231F1F"/>
          <w:spacing w:val="-4"/>
          <w:w w:val="110"/>
          <w:position w:val="1"/>
          <w:sz w:val="20"/>
        </w:rPr>
        <w:t> </w:t>
      </w:r>
      <w:r>
        <w:rPr>
          <w:color w:val="231F1F"/>
          <w:spacing w:val="-2"/>
          <w:w w:val="110"/>
          <w:position w:val="1"/>
          <w:sz w:val="20"/>
        </w:rPr>
        <w:t>side</w:t>
      </w:r>
      <w:r>
        <w:rPr>
          <w:color w:val="231F1F"/>
          <w:spacing w:val="-3"/>
          <w:w w:val="110"/>
          <w:position w:val="1"/>
          <w:sz w:val="20"/>
        </w:rPr>
        <w:t> </w:t>
      </w:r>
      <w:r>
        <w:rPr>
          <w:color w:val="231F1F"/>
          <w:spacing w:val="-2"/>
          <w:w w:val="110"/>
          <w:position w:val="1"/>
          <w:sz w:val="20"/>
        </w:rPr>
        <w:t>effects,</w:t>
      </w:r>
      <w:r>
        <w:rPr>
          <w:color w:val="231F1F"/>
          <w:spacing w:val="-5"/>
          <w:w w:val="110"/>
          <w:position w:val="1"/>
          <w:sz w:val="20"/>
        </w:rPr>
        <w:t> </w:t>
      </w:r>
      <w:r>
        <w:rPr>
          <w:color w:val="231F1F"/>
          <w:spacing w:val="-2"/>
          <w:w w:val="110"/>
          <w:position w:val="1"/>
          <w:sz w:val="20"/>
        </w:rPr>
        <w:t>co-interventions,</w:t>
      </w:r>
      <w:r>
        <w:rPr>
          <w:color w:val="231F1F"/>
          <w:spacing w:val="-5"/>
          <w:w w:val="110"/>
          <w:position w:val="1"/>
          <w:sz w:val="20"/>
        </w:rPr>
        <w:t> </w:t>
      </w:r>
      <w:r>
        <w:rPr>
          <w:color w:val="231F1F"/>
          <w:spacing w:val="-2"/>
          <w:w w:val="110"/>
          <w:position w:val="1"/>
          <w:sz w:val="20"/>
        </w:rPr>
        <w:t>and</w:t>
      </w:r>
      <w:r>
        <w:rPr>
          <w:color w:val="231F1F"/>
          <w:spacing w:val="-4"/>
          <w:w w:val="110"/>
          <w:position w:val="1"/>
          <w:sz w:val="20"/>
        </w:rPr>
        <w:t> </w:t>
      </w:r>
      <w:r>
        <w:rPr>
          <w:color w:val="231F1F"/>
          <w:spacing w:val="-2"/>
          <w:w w:val="110"/>
          <w:position w:val="1"/>
          <w:sz w:val="20"/>
        </w:rPr>
        <w:t>care </w:t>
      </w:r>
      <w:r>
        <w:rPr>
          <w:color w:val="231F1F"/>
          <w:w w:val="110"/>
          <w:sz w:val="20"/>
        </w:rPr>
        <w:t>of women during childbirth: a systematic review. Am J Obstet Gynecol 2002;186(5 Suppl </w:t>
      </w:r>
      <w:r>
        <w:rPr>
          <w:color w:val="231F1F"/>
          <w:spacing w:val="-2"/>
          <w:w w:val="110"/>
          <w:sz w:val="20"/>
        </w:rPr>
        <w:t>Nature):S81-S93.</w:t>
      </w:r>
    </w:p>
    <w:p>
      <w:pPr>
        <w:pStyle w:val="ListParagraph"/>
        <w:spacing w:after="0" w:line="228" w:lineRule="auto"/>
        <w:jc w:val="both"/>
        <w:rPr>
          <w:sz w:val="20"/>
        </w:rPr>
        <w:sectPr>
          <w:pgSz w:w="11900" w:h="16840"/>
          <w:pgMar w:header="0" w:footer="622" w:top="1560" w:bottom="820" w:left="1417" w:right="1559"/>
        </w:sectPr>
      </w:pPr>
    </w:p>
    <w:p>
      <w:pPr>
        <w:pStyle w:val="ListParagraph"/>
        <w:numPr>
          <w:ilvl w:val="0"/>
          <w:numId w:val="109"/>
        </w:numPr>
        <w:tabs>
          <w:tab w:pos="794" w:val="left" w:leader="none"/>
          <w:tab w:pos="798" w:val="left" w:leader="none"/>
        </w:tabs>
        <w:spacing w:line="225" w:lineRule="auto" w:before="93" w:after="0"/>
        <w:ind w:left="798" w:right="464" w:hanging="502"/>
        <w:jc w:val="left"/>
        <w:rPr>
          <w:sz w:val="20"/>
        </w:rPr>
      </w:pPr>
      <w:r>
        <w:rPr>
          <w:color w:val="231F1F"/>
          <w:sz w:val="20"/>
        </w:rPr>
        <w:t>Hill</w:t>
      </w:r>
      <w:r>
        <w:rPr>
          <w:color w:val="231F1F"/>
          <w:spacing w:val="-5"/>
          <w:sz w:val="20"/>
        </w:rPr>
        <w:t> </w:t>
      </w:r>
      <w:r>
        <w:rPr>
          <w:color w:val="231F1F"/>
          <w:sz w:val="20"/>
        </w:rPr>
        <w:t>JB,Alexander</w:t>
      </w:r>
      <w:r>
        <w:rPr>
          <w:color w:val="231F1F"/>
          <w:spacing w:val="-3"/>
          <w:sz w:val="20"/>
        </w:rPr>
        <w:t> </w:t>
      </w:r>
      <w:r>
        <w:rPr>
          <w:color w:val="231F1F"/>
          <w:sz w:val="20"/>
        </w:rPr>
        <w:t>JM,</w:t>
      </w:r>
      <w:r>
        <w:rPr>
          <w:color w:val="231F1F"/>
          <w:spacing w:val="-19"/>
          <w:sz w:val="20"/>
        </w:rPr>
        <w:t> </w:t>
      </w:r>
      <w:r>
        <w:rPr>
          <w:color w:val="231F1F"/>
          <w:sz w:val="20"/>
        </w:rPr>
        <w:t>Sharma</w:t>
      </w:r>
      <w:r>
        <w:rPr>
          <w:color w:val="231F1F"/>
          <w:spacing w:val="-3"/>
          <w:sz w:val="20"/>
        </w:rPr>
        <w:t> </w:t>
      </w:r>
      <w:r>
        <w:rPr>
          <w:color w:val="231F1F"/>
          <w:sz w:val="20"/>
        </w:rPr>
        <w:t>SK,</w:t>
      </w:r>
      <w:r>
        <w:rPr>
          <w:color w:val="231F1F"/>
          <w:spacing w:val="-20"/>
          <w:sz w:val="20"/>
        </w:rPr>
        <w:t> </w:t>
      </w:r>
      <w:r>
        <w:rPr>
          <w:color w:val="231F1F"/>
          <w:sz w:val="20"/>
        </w:rPr>
        <w:t>et</w:t>
      </w:r>
      <w:r>
        <w:rPr>
          <w:color w:val="231F1F"/>
          <w:spacing w:val="-3"/>
          <w:sz w:val="20"/>
        </w:rPr>
        <w:t> </w:t>
      </w:r>
      <w:r>
        <w:rPr>
          <w:color w:val="231F1F"/>
          <w:sz w:val="20"/>
        </w:rPr>
        <w:t>al.A</w:t>
      </w:r>
      <w:r>
        <w:rPr>
          <w:color w:val="231F1F"/>
          <w:spacing w:val="-4"/>
          <w:sz w:val="20"/>
        </w:rPr>
        <w:t> </w:t>
      </w:r>
      <w:r>
        <w:rPr>
          <w:color w:val="231F1F"/>
          <w:sz w:val="20"/>
        </w:rPr>
        <w:t>comparison</w:t>
      </w:r>
      <w:r>
        <w:rPr>
          <w:color w:val="231F1F"/>
          <w:spacing w:val="-3"/>
          <w:sz w:val="20"/>
        </w:rPr>
        <w:t> </w:t>
      </w:r>
      <w:r>
        <w:rPr>
          <w:color w:val="231F1F"/>
          <w:sz w:val="20"/>
        </w:rPr>
        <w:t>of</w:t>
      </w:r>
      <w:r>
        <w:rPr>
          <w:color w:val="231F1F"/>
          <w:spacing w:val="-3"/>
          <w:sz w:val="20"/>
        </w:rPr>
        <w:t> </w:t>
      </w:r>
      <w:r>
        <w:rPr>
          <w:color w:val="231F1F"/>
          <w:sz w:val="20"/>
        </w:rPr>
        <w:t>the</w:t>
      </w:r>
      <w:r>
        <w:rPr>
          <w:color w:val="231F1F"/>
          <w:spacing w:val="-3"/>
          <w:sz w:val="20"/>
        </w:rPr>
        <w:t> </w:t>
      </w:r>
      <w:r>
        <w:rPr>
          <w:color w:val="231F1F"/>
          <w:sz w:val="20"/>
        </w:rPr>
        <w:t>effects</w:t>
      </w:r>
      <w:r>
        <w:rPr>
          <w:color w:val="231F1F"/>
          <w:spacing w:val="-3"/>
          <w:sz w:val="20"/>
        </w:rPr>
        <w:t> </w:t>
      </w:r>
      <w:r>
        <w:rPr>
          <w:color w:val="231F1F"/>
          <w:sz w:val="20"/>
        </w:rPr>
        <w:t>of</w:t>
      </w:r>
      <w:r>
        <w:rPr>
          <w:color w:val="231F1F"/>
          <w:spacing w:val="-3"/>
          <w:sz w:val="20"/>
        </w:rPr>
        <w:t> </w:t>
      </w:r>
      <w:r>
        <w:rPr>
          <w:color w:val="231F1F"/>
          <w:sz w:val="20"/>
        </w:rPr>
        <w:t>epidural</w:t>
      </w:r>
      <w:r>
        <w:rPr>
          <w:color w:val="231F1F"/>
          <w:spacing w:val="-3"/>
          <w:sz w:val="20"/>
        </w:rPr>
        <w:t> </w:t>
      </w:r>
      <w:r>
        <w:rPr>
          <w:color w:val="231F1F"/>
          <w:sz w:val="20"/>
        </w:rPr>
        <w:t>and</w:t>
      </w:r>
      <w:r>
        <w:rPr>
          <w:color w:val="231F1F"/>
          <w:spacing w:val="-3"/>
          <w:sz w:val="20"/>
        </w:rPr>
        <w:t> </w:t>
      </w:r>
      <w:r>
        <w:rPr>
          <w:color w:val="231F1F"/>
          <w:sz w:val="20"/>
        </w:rPr>
        <w:t>meperidine analgesia</w:t>
      </w:r>
      <w:r>
        <w:rPr>
          <w:color w:val="231F1F"/>
          <w:spacing w:val="40"/>
          <w:sz w:val="20"/>
        </w:rPr>
        <w:t> </w:t>
      </w:r>
      <w:r>
        <w:rPr>
          <w:color w:val="231F1F"/>
          <w:sz w:val="20"/>
        </w:rPr>
        <w:t>during</w:t>
      </w:r>
      <w:r>
        <w:rPr>
          <w:color w:val="231F1F"/>
          <w:spacing w:val="40"/>
          <w:sz w:val="20"/>
        </w:rPr>
        <w:t> </w:t>
      </w:r>
      <w:r>
        <w:rPr>
          <w:color w:val="231F1F"/>
          <w:sz w:val="20"/>
        </w:rPr>
        <w:t>labor</w:t>
      </w:r>
      <w:r>
        <w:rPr>
          <w:color w:val="231F1F"/>
          <w:spacing w:val="40"/>
          <w:sz w:val="20"/>
        </w:rPr>
        <w:t> </w:t>
      </w:r>
      <w:r>
        <w:rPr>
          <w:color w:val="231F1F"/>
          <w:sz w:val="20"/>
        </w:rPr>
        <w:t>on</w:t>
      </w:r>
      <w:r>
        <w:rPr>
          <w:color w:val="231F1F"/>
          <w:spacing w:val="40"/>
          <w:sz w:val="20"/>
        </w:rPr>
        <w:t> </w:t>
      </w:r>
      <w:r>
        <w:rPr>
          <w:color w:val="231F1F"/>
          <w:sz w:val="20"/>
        </w:rPr>
        <w:t>fetal</w:t>
      </w:r>
      <w:r>
        <w:rPr>
          <w:color w:val="231F1F"/>
          <w:spacing w:val="40"/>
          <w:sz w:val="20"/>
        </w:rPr>
        <w:t> </w:t>
      </w:r>
      <w:r>
        <w:rPr>
          <w:color w:val="231F1F"/>
          <w:sz w:val="20"/>
        </w:rPr>
        <w:t>heart</w:t>
      </w:r>
      <w:r>
        <w:rPr>
          <w:color w:val="231F1F"/>
          <w:spacing w:val="40"/>
          <w:sz w:val="20"/>
        </w:rPr>
        <w:t> </w:t>
      </w:r>
      <w:r>
        <w:rPr>
          <w:color w:val="231F1F"/>
          <w:sz w:val="20"/>
        </w:rPr>
        <w:t>rate.</w:t>
      </w:r>
      <w:r>
        <w:rPr>
          <w:color w:val="231F1F"/>
          <w:spacing w:val="40"/>
          <w:sz w:val="20"/>
        </w:rPr>
        <w:t> </w:t>
      </w:r>
      <w:r>
        <w:rPr>
          <w:color w:val="231F1F"/>
          <w:sz w:val="20"/>
        </w:rPr>
        <w:t>Obstetrics</w:t>
      </w:r>
      <w:r>
        <w:rPr>
          <w:color w:val="231F1F"/>
          <w:spacing w:val="40"/>
          <w:sz w:val="20"/>
        </w:rPr>
        <w:t> </w:t>
      </w:r>
      <w:r>
        <w:rPr>
          <w:color w:val="231F1F"/>
          <w:sz w:val="20"/>
        </w:rPr>
        <w:t>and</w:t>
      </w:r>
      <w:r>
        <w:rPr>
          <w:color w:val="231F1F"/>
          <w:spacing w:val="40"/>
          <w:sz w:val="20"/>
        </w:rPr>
        <w:t> </w:t>
      </w:r>
      <w:r>
        <w:rPr>
          <w:color w:val="231F1F"/>
          <w:sz w:val="20"/>
        </w:rPr>
        <w:t>Gynecology;</w:t>
      </w:r>
      <w:r>
        <w:rPr>
          <w:color w:val="231F1F"/>
          <w:spacing w:val="40"/>
          <w:sz w:val="20"/>
        </w:rPr>
        <w:t> </w:t>
      </w:r>
      <w:r>
        <w:rPr>
          <w:color w:val="231F1F"/>
          <w:sz w:val="20"/>
        </w:rPr>
        <w:t>2003;102(2):333-7.</w:t>
      </w:r>
    </w:p>
    <w:p>
      <w:pPr>
        <w:pStyle w:val="ListParagraph"/>
        <w:numPr>
          <w:ilvl w:val="0"/>
          <w:numId w:val="109"/>
        </w:numPr>
        <w:tabs>
          <w:tab w:pos="794" w:val="left" w:leader="none"/>
          <w:tab w:pos="798" w:val="left" w:leader="none"/>
        </w:tabs>
        <w:spacing w:line="218" w:lineRule="auto" w:before="144" w:after="0"/>
        <w:ind w:left="798" w:right="114" w:hanging="502"/>
        <w:jc w:val="both"/>
        <w:rPr>
          <w:sz w:val="20"/>
        </w:rPr>
      </w:pPr>
      <w:r>
        <w:rPr>
          <w:color w:val="231F1F"/>
          <w:w w:val="105"/>
          <w:position w:val="1"/>
          <w:sz w:val="20"/>
        </w:rPr>
        <w:t>Sharma SK,</w:t>
      </w:r>
      <w:r>
        <w:rPr>
          <w:color w:val="231F1F"/>
          <w:spacing w:val="-1"/>
          <w:w w:val="105"/>
          <w:position w:val="1"/>
          <w:sz w:val="20"/>
        </w:rPr>
        <w:t> </w:t>
      </w:r>
      <w:r>
        <w:rPr>
          <w:color w:val="231F1F"/>
          <w:w w:val="105"/>
          <w:position w:val="1"/>
          <w:sz w:val="20"/>
        </w:rPr>
        <w:t>Alexander JM, Messick G, et al. Cesarean delivery: a randomized trial of epidural </w:t>
      </w:r>
      <w:r>
        <w:rPr>
          <w:color w:val="231F1F"/>
          <w:w w:val="105"/>
          <w:sz w:val="20"/>
        </w:rPr>
        <w:t>analgesia</w:t>
      </w:r>
      <w:r>
        <w:rPr>
          <w:color w:val="231F1F"/>
          <w:w w:val="105"/>
          <w:sz w:val="20"/>
        </w:rPr>
        <w:t> versus</w:t>
      </w:r>
      <w:r>
        <w:rPr>
          <w:color w:val="231F1F"/>
          <w:w w:val="105"/>
          <w:sz w:val="20"/>
        </w:rPr>
        <w:t> intravenous</w:t>
      </w:r>
      <w:r>
        <w:rPr>
          <w:color w:val="231F1F"/>
          <w:w w:val="105"/>
          <w:sz w:val="20"/>
        </w:rPr>
        <w:t> meperidine</w:t>
      </w:r>
      <w:r>
        <w:rPr>
          <w:color w:val="231F1F"/>
          <w:w w:val="105"/>
          <w:sz w:val="20"/>
        </w:rPr>
        <w:t> analgesia</w:t>
      </w:r>
      <w:r>
        <w:rPr>
          <w:color w:val="231F1F"/>
          <w:w w:val="105"/>
          <w:sz w:val="20"/>
        </w:rPr>
        <w:t> during</w:t>
      </w:r>
      <w:r>
        <w:rPr>
          <w:color w:val="231F1F"/>
          <w:w w:val="105"/>
          <w:sz w:val="20"/>
        </w:rPr>
        <w:t> labor</w:t>
      </w:r>
      <w:r>
        <w:rPr>
          <w:color w:val="231F1F"/>
          <w:w w:val="105"/>
          <w:sz w:val="20"/>
        </w:rPr>
        <w:t> in</w:t>
      </w:r>
      <w:r>
        <w:rPr>
          <w:color w:val="231F1F"/>
          <w:w w:val="105"/>
          <w:sz w:val="20"/>
        </w:rPr>
        <w:t> nulliparous</w:t>
      </w:r>
      <w:r>
        <w:rPr>
          <w:color w:val="231F1F"/>
          <w:w w:val="105"/>
          <w:sz w:val="20"/>
        </w:rPr>
        <w:t> women. Anesthesiology;</w:t>
      </w:r>
      <w:r>
        <w:rPr>
          <w:color w:val="231F1F"/>
          <w:spacing w:val="-16"/>
          <w:w w:val="105"/>
          <w:sz w:val="20"/>
        </w:rPr>
        <w:t> </w:t>
      </w:r>
      <w:r>
        <w:rPr>
          <w:color w:val="231F1F"/>
          <w:w w:val="105"/>
          <w:sz w:val="20"/>
        </w:rPr>
        <w:t>2002;96(3):546-51.</w:t>
      </w:r>
    </w:p>
    <w:p>
      <w:pPr>
        <w:pStyle w:val="ListParagraph"/>
        <w:numPr>
          <w:ilvl w:val="0"/>
          <w:numId w:val="109"/>
        </w:numPr>
        <w:tabs>
          <w:tab w:pos="794" w:val="left" w:leader="none"/>
          <w:tab w:pos="798" w:val="left" w:leader="none"/>
        </w:tabs>
        <w:spacing w:line="211" w:lineRule="auto" w:before="169" w:after="0"/>
        <w:ind w:left="798" w:right="170" w:hanging="502"/>
        <w:jc w:val="both"/>
        <w:rPr>
          <w:sz w:val="20"/>
        </w:rPr>
      </w:pPr>
      <w:r>
        <w:rPr>
          <w:color w:val="231F1F"/>
          <w:spacing w:val="-2"/>
          <w:w w:val="105"/>
          <w:position w:val="1"/>
          <w:sz w:val="20"/>
        </w:rPr>
        <w:t>Sharma</w:t>
      </w:r>
      <w:r>
        <w:rPr>
          <w:color w:val="231F1F"/>
          <w:spacing w:val="-11"/>
          <w:w w:val="105"/>
          <w:position w:val="1"/>
          <w:sz w:val="20"/>
        </w:rPr>
        <w:t> </w:t>
      </w:r>
      <w:r>
        <w:rPr>
          <w:color w:val="231F1F"/>
          <w:spacing w:val="-2"/>
          <w:w w:val="105"/>
          <w:position w:val="1"/>
          <w:sz w:val="20"/>
        </w:rPr>
        <w:t>SK,</w:t>
      </w:r>
      <w:r>
        <w:rPr>
          <w:color w:val="231F1F"/>
          <w:spacing w:val="-10"/>
          <w:w w:val="105"/>
          <w:position w:val="1"/>
          <w:sz w:val="20"/>
        </w:rPr>
        <w:t> </w:t>
      </w:r>
      <w:r>
        <w:rPr>
          <w:color w:val="231F1F"/>
          <w:spacing w:val="-2"/>
          <w:w w:val="105"/>
          <w:position w:val="1"/>
          <w:sz w:val="20"/>
        </w:rPr>
        <w:t>Sidawi</w:t>
      </w:r>
      <w:r>
        <w:rPr>
          <w:color w:val="231F1F"/>
          <w:spacing w:val="-10"/>
          <w:w w:val="105"/>
          <w:position w:val="1"/>
          <w:sz w:val="20"/>
        </w:rPr>
        <w:t> </w:t>
      </w:r>
      <w:r>
        <w:rPr>
          <w:color w:val="231F1F"/>
          <w:spacing w:val="-2"/>
          <w:w w:val="105"/>
          <w:position w:val="1"/>
          <w:sz w:val="20"/>
        </w:rPr>
        <w:t>JE,</w:t>
      </w:r>
      <w:r>
        <w:rPr>
          <w:color w:val="231F1F"/>
          <w:spacing w:val="-10"/>
          <w:w w:val="105"/>
          <w:position w:val="1"/>
          <w:sz w:val="20"/>
        </w:rPr>
        <w:t> </w:t>
      </w:r>
      <w:r>
        <w:rPr>
          <w:color w:val="231F1F"/>
          <w:spacing w:val="-2"/>
          <w:w w:val="105"/>
          <w:position w:val="1"/>
          <w:sz w:val="20"/>
        </w:rPr>
        <w:t>Ramin</w:t>
      </w:r>
      <w:r>
        <w:rPr>
          <w:color w:val="231F1F"/>
          <w:spacing w:val="-11"/>
          <w:w w:val="105"/>
          <w:position w:val="1"/>
          <w:sz w:val="20"/>
        </w:rPr>
        <w:t> </w:t>
      </w:r>
      <w:r>
        <w:rPr>
          <w:color w:val="231F1F"/>
          <w:spacing w:val="-2"/>
          <w:w w:val="105"/>
          <w:position w:val="1"/>
          <w:sz w:val="20"/>
        </w:rPr>
        <w:t>SM,</w:t>
      </w:r>
      <w:r>
        <w:rPr>
          <w:color w:val="231F1F"/>
          <w:spacing w:val="-10"/>
          <w:w w:val="105"/>
          <w:position w:val="1"/>
          <w:sz w:val="20"/>
        </w:rPr>
        <w:t> </w:t>
      </w:r>
      <w:r>
        <w:rPr>
          <w:color w:val="231F1F"/>
          <w:spacing w:val="-2"/>
          <w:w w:val="105"/>
          <w:position w:val="1"/>
          <w:sz w:val="20"/>
        </w:rPr>
        <w:t>et</w:t>
      </w:r>
      <w:r>
        <w:rPr>
          <w:color w:val="231F1F"/>
          <w:spacing w:val="-10"/>
          <w:w w:val="105"/>
          <w:position w:val="1"/>
          <w:sz w:val="20"/>
        </w:rPr>
        <w:t> </w:t>
      </w:r>
      <w:r>
        <w:rPr>
          <w:color w:val="231F1F"/>
          <w:spacing w:val="-2"/>
          <w:w w:val="105"/>
          <w:position w:val="1"/>
          <w:sz w:val="20"/>
        </w:rPr>
        <w:t>al.</w:t>
      </w:r>
      <w:r>
        <w:rPr>
          <w:color w:val="231F1F"/>
          <w:spacing w:val="-10"/>
          <w:w w:val="105"/>
          <w:position w:val="1"/>
          <w:sz w:val="20"/>
        </w:rPr>
        <w:t> </w:t>
      </w:r>
      <w:r>
        <w:rPr>
          <w:color w:val="231F1F"/>
          <w:spacing w:val="-2"/>
          <w:w w:val="105"/>
          <w:position w:val="1"/>
          <w:sz w:val="20"/>
        </w:rPr>
        <w:t>Cesarean</w:t>
      </w:r>
      <w:r>
        <w:rPr>
          <w:color w:val="231F1F"/>
          <w:spacing w:val="-11"/>
          <w:w w:val="105"/>
          <w:position w:val="1"/>
          <w:sz w:val="20"/>
        </w:rPr>
        <w:t> </w:t>
      </w:r>
      <w:r>
        <w:rPr>
          <w:color w:val="231F1F"/>
          <w:spacing w:val="-2"/>
          <w:w w:val="105"/>
          <w:position w:val="1"/>
          <w:sz w:val="20"/>
        </w:rPr>
        <w:t>delivery:</w:t>
      </w:r>
      <w:r>
        <w:rPr>
          <w:color w:val="231F1F"/>
          <w:spacing w:val="-10"/>
          <w:w w:val="105"/>
          <w:position w:val="1"/>
          <w:sz w:val="20"/>
        </w:rPr>
        <w:t> </w:t>
      </w:r>
      <w:r>
        <w:rPr>
          <w:color w:val="231F1F"/>
          <w:spacing w:val="-2"/>
          <w:w w:val="105"/>
          <w:position w:val="1"/>
          <w:sz w:val="20"/>
        </w:rPr>
        <w:t>a</w:t>
      </w:r>
      <w:r>
        <w:rPr>
          <w:color w:val="231F1F"/>
          <w:spacing w:val="-8"/>
          <w:w w:val="105"/>
          <w:position w:val="1"/>
          <w:sz w:val="20"/>
        </w:rPr>
        <w:t> </w:t>
      </w:r>
      <w:r>
        <w:rPr>
          <w:color w:val="231F1F"/>
          <w:spacing w:val="-2"/>
          <w:w w:val="105"/>
          <w:position w:val="1"/>
          <w:sz w:val="20"/>
        </w:rPr>
        <w:t>randomized</w:t>
      </w:r>
      <w:r>
        <w:rPr>
          <w:color w:val="231F1F"/>
          <w:spacing w:val="-8"/>
          <w:w w:val="105"/>
          <w:position w:val="1"/>
          <w:sz w:val="20"/>
        </w:rPr>
        <w:t> </w:t>
      </w:r>
      <w:r>
        <w:rPr>
          <w:color w:val="231F1F"/>
          <w:spacing w:val="-2"/>
          <w:w w:val="105"/>
          <w:position w:val="1"/>
          <w:sz w:val="20"/>
        </w:rPr>
        <w:t>trial</w:t>
      </w:r>
      <w:r>
        <w:rPr>
          <w:color w:val="231F1F"/>
          <w:spacing w:val="-6"/>
          <w:w w:val="105"/>
          <w:position w:val="1"/>
          <w:sz w:val="20"/>
        </w:rPr>
        <w:t> </w:t>
      </w:r>
      <w:r>
        <w:rPr>
          <w:color w:val="231F1F"/>
          <w:spacing w:val="-2"/>
          <w:w w:val="105"/>
          <w:position w:val="1"/>
          <w:sz w:val="20"/>
        </w:rPr>
        <w:t>of</w:t>
      </w:r>
      <w:r>
        <w:rPr>
          <w:color w:val="231F1F"/>
          <w:spacing w:val="-6"/>
          <w:w w:val="105"/>
          <w:position w:val="1"/>
          <w:sz w:val="20"/>
        </w:rPr>
        <w:t> </w:t>
      </w:r>
      <w:r>
        <w:rPr>
          <w:color w:val="231F1F"/>
          <w:spacing w:val="-2"/>
          <w:w w:val="105"/>
          <w:position w:val="1"/>
          <w:sz w:val="20"/>
        </w:rPr>
        <w:t>epidural</w:t>
      </w:r>
      <w:r>
        <w:rPr>
          <w:color w:val="231F1F"/>
          <w:spacing w:val="-6"/>
          <w:w w:val="105"/>
          <w:position w:val="1"/>
          <w:sz w:val="20"/>
        </w:rPr>
        <w:t> </w:t>
      </w:r>
      <w:r>
        <w:rPr>
          <w:color w:val="231F1F"/>
          <w:spacing w:val="-2"/>
          <w:w w:val="105"/>
          <w:position w:val="1"/>
          <w:sz w:val="20"/>
        </w:rPr>
        <w:t>versus </w:t>
      </w:r>
      <w:r>
        <w:rPr>
          <w:color w:val="231F1F"/>
          <w:w w:val="105"/>
          <w:sz w:val="20"/>
        </w:rPr>
        <w:t>patient-controlled</w:t>
      </w:r>
      <w:r>
        <w:rPr>
          <w:color w:val="231F1F"/>
          <w:spacing w:val="-16"/>
          <w:w w:val="105"/>
          <w:sz w:val="20"/>
        </w:rPr>
        <w:t> </w:t>
      </w:r>
      <w:r>
        <w:rPr>
          <w:color w:val="231F1F"/>
          <w:w w:val="105"/>
          <w:sz w:val="20"/>
        </w:rPr>
        <w:t>meperidine</w:t>
      </w:r>
      <w:r>
        <w:rPr>
          <w:color w:val="231F1F"/>
          <w:spacing w:val="-14"/>
          <w:w w:val="105"/>
          <w:sz w:val="20"/>
        </w:rPr>
        <w:t> </w:t>
      </w:r>
      <w:r>
        <w:rPr>
          <w:color w:val="231F1F"/>
          <w:w w:val="105"/>
          <w:sz w:val="20"/>
        </w:rPr>
        <w:t>analgesia</w:t>
      </w:r>
      <w:r>
        <w:rPr>
          <w:color w:val="231F1F"/>
          <w:spacing w:val="-15"/>
          <w:w w:val="105"/>
          <w:sz w:val="20"/>
        </w:rPr>
        <w:t> </w:t>
      </w:r>
      <w:r>
        <w:rPr>
          <w:color w:val="231F1F"/>
          <w:w w:val="105"/>
          <w:sz w:val="20"/>
        </w:rPr>
        <w:t>during</w:t>
      </w:r>
      <w:r>
        <w:rPr>
          <w:color w:val="231F1F"/>
          <w:spacing w:val="-14"/>
          <w:w w:val="105"/>
          <w:sz w:val="20"/>
        </w:rPr>
        <w:t> </w:t>
      </w:r>
      <w:r>
        <w:rPr>
          <w:color w:val="231F1F"/>
          <w:w w:val="105"/>
          <w:sz w:val="20"/>
        </w:rPr>
        <w:t>labor.</w:t>
      </w:r>
      <w:r>
        <w:rPr>
          <w:color w:val="231F1F"/>
          <w:spacing w:val="-30"/>
          <w:w w:val="105"/>
          <w:sz w:val="20"/>
        </w:rPr>
        <w:t> </w:t>
      </w:r>
      <w:r>
        <w:rPr>
          <w:color w:val="231F1F"/>
          <w:w w:val="105"/>
          <w:sz w:val="20"/>
        </w:rPr>
        <w:t>Anesthesiology</w:t>
      </w:r>
      <w:r>
        <w:rPr>
          <w:color w:val="231F1F"/>
          <w:spacing w:val="-15"/>
          <w:w w:val="105"/>
          <w:sz w:val="20"/>
        </w:rPr>
        <w:t> </w:t>
      </w:r>
      <w:r>
        <w:rPr>
          <w:color w:val="231F1F"/>
          <w:w w:val="105"/>
          <w:sz w:val="20"/>
        </w:rPr>
        <w:t>1997;</w:t>
      </w:r>
      <w:r>
        <w:rPr>
          <w:color w:val="231F1F"/>
          <w:spacing w:val="-19"/>
          <w:w w:val="105"/>
          <w:sz w:val="20"/>
        </w:rPr>
        <w:t> </w:t>
      </w:r>
      <w:r>
        <w:rPr>
          <w:color w:val="231F1F"/>
          <w:w w:val="105"/>
          <w:sz w:val="20"/>
        </w:rPr>
        <w:t>1997;87(3):487-94.</w:t>
      </w:r>
    </w:p>
    <w:p>
      <w:pPr>
        <w:pStyle w:val="ListParagraph"/>
        <w:numPr>
          <w:ilvl w:val="0"/>
          <w:numId w:val="109"/>
        </w:numPr>
        <w:tabs>
          <w:tab w:pos="793" w:val="left" w:leader="none"/>
          <w:tab w:pos="797" w:val="left" w:leader="none"/>
        </w:tabs>
        <w:spacing w:line="216" w:lineRule="auto" w:before="153" w:after="0"/>
        <w:ind w:left="797" w:right="143" w:hanging="502"/>
        <w:jc w:val="both"/>
        <w:rPr>
          <w:sz w:val="20"/>
        </w:rPr>
      </w:pPr>
      <w:r>
        <w:rPr>
          <w:color w:val="231F1F"/>
          <w:spacing w:val="-2"/>
          <w:w w:val="110"/>
          <w:position w:val="1"/>
          <w:sz w:val="20"/>
        </w:rPr>
        <w:t>Mardirosoff</w:t>
      </w:r>
      <w:r>
        <w:rPr>
          <w:color w:val="231F1F"/>
          <w:spacing w:val="-6"/>
          <w:w w:val="110"/>
          <w:position w:val="1"/>
          <w:sz w:val="20"/>
        </w:rPr>
        <w:t> </w:t>
      </w:r>
      <w:r>
        <w:rPr>
          <w:color w:val="231F1F"/>
          <w:spacing w:val="-2"/>
          <w:w w:val="110"/>
          <w:position w:val="1"/>
          <w:sz w:val="20"/>
        </w:rPr>
        <w:t>C,</w:t>
      </w:r>
      <w:r>
        <w:rPr>
          <w:color w:val="231F1F"/>
          <w:spacing w:val="-6"/>
          <w:w w:val="110"/>
          <w:position w:val="1"/>
          <w:sz w:val="20"/>
        </w:rPr>
        <w:t> </w:t>
      </w:r>
      <w:r>
        <w:rPr>
          <w:color w:val="231F1F"/>
          <w:spacing w:val="-2"/>
          <w:w w:val="110"/>
          <w:position w:val="1"/>
          <w:sz w:val="20"/>
        </w:rPr>
        <w:t>Dumont</w:t>
      </w:r>
      <w:r>
        <w:rPr>
          <w:color w:val="231F1F"/>
          <w:spacing w:val="-5"/>
          <w:w w:val="110"/>
          <w:position w:val="1"/>
          <w:sz w:val="20"/>
        </w:rPr>
        <w:t> </w:t>
      </w:r>
      <w:r>
        <w:rPr>
          <w:color w:val="231F1F"/>
          <w:spacing w:val="-2"/>
          <w:w w:val="110"/>
          <w:position w:val="1"/>
          <w:sz w:val="20"/>
        </w:rPr>
        <w:t>L,</w:t>
      </w:r>
      <w:r>
        <w:rPr>
          <w:color w:val="231F1F"/>
          <w:spacing w:val="-6"/>
          <w:w w:val="110"/>
          <w:position w:val="1"/>
          <w:sz w:val="20"/>
        </w:rPr>
        <w:t> </w:t>
      </w:r>
      <w:r>
        <w:rPr>
          <w:color w:val="231F1F"/>
          <w:spacing w:val="-2"/>
          <w:w w:val="110"/>
          <w:position w:val="1"/>
          <w:sz w:val="20"/>
        </w:rPr>
        <w:t>Boulvain</w:t>
      </w:r>
      <w:r>
        <w:rPr>
          <w:color w:val="231F1F"/>
          <w:spacing w:val="-6"/>
          <w:w w:val="110"/>
          <w:position w:val="1"/>
          <w:sz w:val="20"/>
        </w:rPr>
        <w:t> </w:t>
      </w:r>
      <w:r>
        <w:rPr>
          <w:color w:val="231F1F"/>
          <w:spacing w:val="-2"/>
          <w:w w:val="110"/>
          <w:position w:val="1"/>
          <w:sz w:val="20"/>
        </w:rPr>
        <w:t>M,</w:t>
      </w:r>
      <w:r>
        <w:rPr>
          <w:color w:val="231F1F"/>
          <w:spacing w:val="-6"/>
          <w:w w:val="110"/>
          <w:position w:val="1"/>
          <w:sz w:val="20"/>
        </w:rPr>
        <w:t> </w:t>
      </w:r>
      <w:r>
        <w:rPr>
          <w:color w:val="231F1F"/>
          <w:spacing w:val="-2"/>
          <w:w w:val="110"/>
          <w:position w:val="1"/>
          <w:sz w:val="20"/>
        </w:rPr>
        <w:t>et</w:t>
      </w:r>
      <w:r>
        <w:rPr>
          <w:color w:val="231F1F"/>
          <w:spacing w:val="-5"/>
          <w:w w:val="110"/>
          <w:position w:val="1"/>
          <w:sz w:val="20"/>
        </w:rPr>
        <w:t> </w:t>
      </w:r>
      <w:r>
        <w:rPr>
          <w:color w:val="231F1F"/>
          <w:spacing w:val="-2"/>
          <w:w w:val="110"/>
          <w:position w:val="1"/>
          <w:sz w:val="20"/>
        </w:rPr>
        <w:t>al.</w:t>
      </w:r>
      <w:r>
        <w:rPr>
          <w:color w:val="231F1F"/>
          <w:spacing w:val="-6"/>
          <w:w w:val="110"/>
          <w:position w:val="1"/>
          <w:sz w:val="20"/>
        </w:rPr>
        <w:t> </w:t>
      </w:r>
      <w:r>
        <w:rPr>
          <w:color w:val="231F1F"/>
          <w:spacing w:val="-2"/>
          <w:w w:val="110"/>
          <w:position w:val="1"/>
          <w:sz w:val="20"/>
        </w:rPr>
        <w:t>Fetal</w:t>
      </w:r>
      <w:r>
        <w:rPr>
          <w:color w:val="231F1F"/>
          <w:spacing w:val="-6"/>
          <w:w w:val="110"/>
          <w:position w:val="1"/>
          <w:sz w:val="20"/>
        </w:rPr>
        <w:t> </w:t>
      </w:r>
      <w:r>
        <w:rPr>
          <w:color w:val="231F1F"/>
          <w:spacing w:val="-2"/>
          <w:w w:val="110"/>
          <w:position w:val="1"/>
          <w:sz w:val="20"/>
        </w:rPr>
        <w:t>bradycardia</w:t>
      </w:r>
      <w:r>
        <w:rPr>
          <w:color w:val="231F1F"/>
          <w:spacing w:val="-5"/>
          <w:w w:val="110"/>
          <w:position w:val="1"/>
          <w:sz w:val="20"/>
        </w:rPr>
        <w:t> </w:t>
      </w:r>
      <w:r>
        <w:rPr>
          <w:color w:val="231F1F"/>
          <w:spacing w:val="-2"/>
          <w:w w:val="110"/>
          <w:position w:val="1"/>
          <w:sz w:val="20"/>
        </w:rPr>
        <w:t>due</w:t>
      </w:r>
      <w:r>
        <w:rPr>
          <w:color w:val="231F1F"/>
          <w:spacing w:val="-5"/>
          <w:w w:val="110"/>
          <w:position w:val="1"/>
          <w:sz w:val="20"/>
        </w:rPr>
        <w:t> </w:t>
      </w:r>
      <w:r>
        <w:rPr>
          <w:color w:val="231F1F"/>
          <w:spacing w:val="-2"/>
          <w:w w:val="110"/>
          <w:position w:val="1"/>
          <w:sz w:val="20"/>
        </w:rPr>
        <w:t>to</w:t>
      </w:r>
      <w:r>
        <w:rPr>
          <w:color w:val="231F1F"/>
          <w:spacing w:val="-5"/>
          <w:w w:val="110"/>
          <w:position w:val="1"/>
          <w:sz w:val="20"/>
        </w:rPr>
        <w:t> </w:t>
      </w:r>
      <w:r>
        <w:rPr>
          <w:color w:val="231F1F"/>
          <w:spacing w:val="-2"/>
          <w:w w:val="110"/>
          <w:position w:val="1"/>
          <w:sz w:val="20"/>
        </w:rPr>
        <w:t>intrathecal</w:t>
      </w:r>
      <w:r>
        <w:rPr>
          <w:color w:val="231F1F"/>
          <w:spacing w:val="-4"/>
          <w:w w:val="110"/>
          <w:position w:val="1"/>
          <w:sz w:val="20"/>
        </w:rPr>
        <w:t> </w:t>
      </w:r>
      <w:r>
        <w:rPr>
          <w:color w:val="231F1F"/>
          <w:spacing w:val="-2"/>
          <w:w w:val="110"/>
          <w:position w:val="1"/>
          <w:sz w:val="20"/>
        </w:rPr>
        <w:t>opioids</w:t>
      </w:r>
      <w:r>
        <w:rPr>
          <w:color w:val="231F1F"/>
          <w:spacing w:val="-6"/>
          <w:w w:val="110"/>
          <w:position w:val="1"/>
          <w:sz w:val="20"/>
        </w:rPr>
        <w:t> </w:t>
      </w:r>
      <w:r>
        <w:rPr>
          <w:color w:val="231F1F"/>
          <w:spacing w:val="-2"/>
          <w:w w:val="110"/>
          <w:position w:val="1"/>
          <w:sz w:val="20"/>
        </w:rPr>
        <w:t>for </w:t>
      </w:r>
      <w:r>
        <w:rPr>
          <w:color w:val="231F1F"/>
          <w:w w:val="110"/>
          <w:sz w:val="20"/>
        </w:rPr>
        <w:t>labour analgesia: a systematic review. Int J Gynaecol Obstet 2002;109(3):274-81.</w:t>
      </w:r>
    </w:p>
    <w:p>
      <w:pPr>
        <w:pStyle w:val="ListParagraph"/>
        <w:numPr>
          <w:ilvl w:val="0"/>
          <w:numId w:val="109"/>
        </w:numPr>
        <w:tabs>
          <w:tab w:pos="794" w:val="left" w:leader="none"/>
          <w:tab w:pos="798" w:val="left" w:leader="none"/>
        </w:tabs>
        <w:spacing w:line="218" w:lineRule="auto" w:before="150" w:after="0"/>
        <w:ind w:left="798" w:right="123" w:hanging="502"/>
        <w:jc w:val="both"/>
        <w:rPr>
          <w:sz w:val="20"/>
        </w:rPr>
      </w:pPr>
      <w:r>
        <w:rPr>
          <w:color w:val="231F1F"/>
          <w:w w:val="105"/>
          <w:position w:val="1"/>
          <w:sz w:val="20"/>
        </w:rPr>
        <w:t>Wong</w:t>
      </w:r>
      <w:r>
        <w:rPr>
          <w:color w:val="231F1F"/>
          <w:spacing w:val="-12"/>
          <w:w w:val="105"/>
          <w:position w:val="1"/>
          <w:sz w:val="20"/>
        </w:rPr>
        <w:t> </w:t>
      </w:r>
      <w:r>
        <w:rPr>
          <w:color w:val="231F1F"/>
          <w:w w:val="105"/>
          <w:position w:val="1"/>
          <w:sz w:val="20"/>
        </w:rPr>
        <w:t>CA,</w:t>
      </w:r>
      <w:r>
        <w:rPr>
          <w:color w:val="231F1F"/>
          <w:spacing w:val="-11"/>
          <w:w w:val="105"/>
          <w:position w:val="1"/>
          <w:sz w:val="20"/>
        </w:rPr>
        <w:t> </w:t>
      </w:r>
      <w:r>
        <w:rPr>
          <w:color w:val="231F1F"/>
          <w:w w:val="105"/>
          <w:position w:val="1"/>
          <w:sz w:val="20"/>
        </w:rPr>
        <w:t>Scavone</w:t>
      </w:r>
      <w:r>
        <w:rPr>
          <w:color w:val="231F1F"/>
          <w:spacing w:val="-12"/>
          <w:w w:val="105"/>
          <w:position w:val="1"/>
          <w:sz w:val="20"/>
        </w:rPr>
        <w:t> </w:t>
      </w:r>
      <w:r>
        <w:rPr>
          <w:color w:val="231F1F"/>
          <w:w w:val="105"/>
          <w:position w:val="1"/>
          <w:sz w:val="20"/>
        </w:rPr>
        <w:t>BM,</w:t>
      </w:r>
      <w:r>
        <w:rPr>
          <w:color w:val="231F1F"/>
          <w:spacing w:val="-11"/>
          <w:w w:val="105"/>
          <w:position w:val="1"/>
          <w:sz w:val="20"/>
        </w:rPr>
        <w:t> </w:t>
      </w:r>
      <w:r>
        <w:rPr>
          <w:color w:val="231F1F"/>
          <w:w w:val="105"/>
          <w:position w:val="1"/>
          <w:sz w:val="20"/>
        </w:rPr>
        <w:t>Slavenas</w:t>
      </w:r>
      <w:r>
        <w:rPr>
          <w:color w:val="231F1F"/>
          <w:spacing w:val="-11"/>
          <w:w w:val="105"/>
          <w:position w:val="1"/>
          <w:sz w:val="20"/>
        </w:rPr>
        <w:t> </w:t>
      </w:r>
      <w:r>
        <w:rPr>
          <w:color w:val="231F1F"/>
          <w:w w:val="105"/>
          <w:position w:val="1"/>
          <w:sz w:val="20"/>
        </w:rPr>
        <w:t>JP,</w:t>
      </w:r>
      <w:r>
        <w:rPr>
          <w:color w:val="231F1F"/>
          <w:spacing w:val="-11"/>
          <w:w w:val="105"/>
          <w:position w:val="1"/>
          <w:sz w:val="20"/>
        </w:rPr>
        <w:t> </w:t>
      </w:r>
      <w:r>
        <w:rPr>
          <w:color w:val="231F1F"/>
          <w:w w:val="105"/>
          <w:position w:val="1"/>
          <w:sz w:val="20"/>
        </w:rPr>
        <w:t>Vidovich</w:t>
      </w:r>
      <w:r>
        <w:rPr>
          <w:color w:val="231F1F"/>
          <w:spacing w:val="-10"/>
          <w:w w:val="105"/>
          <w:position w:val="1"/>
          <w:sz w:val="20"/>
        </w:rPr>
        <w:t> </w:t>
      </w:r>
      <w:r>
        <w:rPr>
          <w:color w:val="231F1F"/>
          <w:w w:val="105"/>
          <w:position w:val="1"/>
          <w:sz w:val="20"/>
        </w:rPr>
        <w:t>MI,</w:t>
      </w:r>
      <w:r>
        <w:rPr>
          <w:color w:val="231F1F"/>
          <w:spacing w:val="-12"/>
          <w:w w:val="105"/>
          <w:position w:val="1"/>
          <w:sz w:val="20"/>
        </w:rPr>
        <w:t> </w:t>
      </w:r>
      <w:r>
        <w:rPr>
          <w:color w:val="231F1F"/>
          <w:w w:val="105"/>
          <w:position w:val="1"/>
          <w:sz w:val="20"/>
        </w:rPr>
        <w:t>Peaceman</w:t>
      </w:r>
      <w:r>
        <w:rPr>
          <w:color w:val="231F1F"/>
          <w:spacing w:val="-12"/>
          <w:w w:val="105"/>
          <w:position w:val="1"/>
          <w:sz w:val="20"/>
        </w:rPr>
        <w:t> </w:t>
      </w:r>
      <w:r>
        <w:rPr>
          <w:color w:val="231F1F"/>
          <w:w w:val="105"/>
          <w:position w:val="1"/>
          <w:sz w:val="20"/>
        </w:rPr>
        <w:t>AM,</w:t>
      </w:r>
      <w:r>
        <w:rPr>
          <w:color w:val="231F1F"/>
          <w:spacing w:val="-11"/>
          <w:w w:val="105"/>
          <w:position w:val="1"/>
          <w:sz w:val="20"/>
        </w:rPr>
        <w:t> </w:t>
      </w:r>
      <w:r>
        <w:rPr>
          <w:color w:val="231F1F"/>
          <w:w w:val="105"/>
          <w:position w:val="1"/>
          <w:sz w:val="20"/>
        </w:rPr>
        <w:t>Ganchiff</w:t>
      </w:r>
      <w:r>
        <w:rPr>
          <w:color w:val="231F1F"/>
          <w:spacing w:val="-9"/>
          <w:w w:val="105"/>
          <w:position w:val="1"/>
          <w:sz w:val="20"/>
        </w:rPr>
        <w:t> </w:t>
      </w:r>
      <w:r>
        <w:rPr>
          <w:color w:val="231F1F"/>
          <w:w w:val="105"/>
          <w:position w:val="1"/>
          <w:sz w:val="20"/>
        </w:rPr>
        <w:t>JN,</w:t>
      </w:r>
      <w:r>
        <w:rPr>
          <w:color w:val="231F1F"/>
          <w:spacing w:val="-12"/>
          <w:w w:val="105"/>
          <w:position w:val="1"/>
          <w:sz w:val="20"/>
        </w:rPr>
        <w:t> </w:t>
      </w:r>
      <w:r>
        <w:rPr>
          <w:color w:val="231F1F"/>
          <w:w w:val="105"/>
          <w:position w:val="1"/>
          <w:sz w:val="20"/>
        </w:rPr>
        <w:t>et</w:t>
      </w:r>
      <w:r>
        <w:rPr>
          <w:color w:val="231F1F"/>
          <w:spacing w:val="-8"/>
          <w:w w:val="105"/>
          <w:position w:val="1"/>
          <w:sz w:val="20"/>
        </w:rPr>
        <w:t> </w:t>
      </w:r>
      <w:r>
        <w:rPr>
          <w:color w:val="231F1F"/>
          <w:w w:val="105"/>
          <w:position w:val="1"/>
          <w:sz w:val="20"/>
        </w:rPr>
        <w:t>al.</w:t>
      </w:r>
      <w:r>
        <w:rPr>
          <w:color w:val="231F1F"/>
          <w:spacing w:val="-12"/>
          <w:w w:val="105"/>
          <w:position w:val="1"/>
          <w:sz w:val="20"/>
        </w:rPr>
        <w:t> </w:t>
      </w:r>
      <w:r>
        <w:rPr>
          <w:color w:val="231F1F"/>
          <w:w w:val="105"/>
          <w:position w:val="1"/>
          <w:sz w:val="20"/>
        </w:rPr>
        <w:t>Efficacy </w:t>
      </w:r>
      <w:r>
        <w:rPr>
          <w:color w:val="231F1F"/>
          <w:w w:val="105"/>
          <w:sz w:val="20"/>
        </w:rPr>
        <w:t>and side effect profile of vaying doses of intrathecal fentanyl added to bupivacaine for labor analgesia. Int J Gynaecol Obstet 2004;Jan;13(1):19-24.</w:t>
      </w:r>
    </w:p>
    <w:p>
      <w:pPr>
        <w:pStyle w:val="ListParagraph"/>
        <w:numPr>
          <w:ilvl w:val="0"/>
          <w:numId w:val="109"/>
        </w:numPr>
        <w:tabs>
          <w:tab w:pos="794" w:val="left" w:leader="none"/>
          <w:tab w:pos="798" w:val="left" w:leader="none"/>
        </w:tabs>
        <w:spacing w:line="211" w:lineRule="auto" w:before="170" w:after="0"/>
        <w:ind w:left="798" w:right="135" w:hanging="522"/>
        <w:jc w:val="both"/>
        <w:rPr>
          <w:sz w:val="20"/>
        </w:rPr>
      </w:pPr>
      <w:r>
        <w:rPr>
          <w:color w:val="231F1F"/>
          <w:w w:val="105"/>
          <w:position w:val="1"/>
          <w:sz w:val="20"/>
        </w:rPr>
        <w:t>Lim</w:t>
      </w:r>
      <w:r>
        <w:rPr>
          <w:color w:val="231F1F"/>
          <w:w w:val="105"/>
          <w:position w:val="1"/>
          <w:sz w:val="20"/>
        </w:rPr>
        <w:t> Y,</w:t>
      </w:r>
      <w:r>
        <w:rPr>
          <w:color w:val="231F1F"/>
          <w:w w:val="105"/>
          <w:position w:val="1"/>
          <w:sz w:val="20"/>
        </w:rPr>
        <w:t> Sia</w:t>
      </w:r>
      <w:r>
        <w:rPr>
          <w:color w:val="231F1F"/>
          <w:w w:val="105"/>
          <w:position w:val="1"/>
          <w:sz w:val="20"/>
        </w:rPr>
        <w:t> AT,</w:t>
      </w:r>
      <w:r>
        <w:rPr>
          <w:color w:val="231F1F"/>
          <w:w w:val="105"/>
          <w:position w:val="1"/>
          <w:sz w:val="20"/>
        </w:rPr>
        <w:t> Ocampo</w:t>
      </w:r>
      <w:r>
        <w:rPr>
          <w:color w:val="231F1F"/>
          <w:w w:val="105"/>
          <w:position w:val="1"/>
          <w:sz w:val="20"/>
        </w:rPr>
        <w:t> CE.</w:t>
      </w:r>
      <w:r>
        <w:rPr>
          <w:color w:val="231F1F"/>
          <w:w w:val="105"/>
          <w:position w:val="1"/>
          <w:sz w:val="20"/>
        </w:rPr>
        <w:t> Comparison</w:t>
      </w:r>
      <w:r>
        <w:rPr>
          <w:color w:val="231F1F"/>
          <w:w w:val="105"/>
          <w:position w:val="1"/>
          <w:sz w:val="20"/>
        </w:rPr>
        <w:t> of</w:t>
      </w:r>
      <w:r>
        <w:rPr>
          <w:color w:val="231F1F"/>
          <w:w w:val="105"/>
          <w:position w:val="1"/>
          <w:sz w:val="20"/>
        </w:rPr>
        <w:t> intathecal</w:t>
      </w:r>
      <w:r>
        <w:rPr>
          <w:color w:val="231F1F"/>
          <w:w w:val="105"/>
          <w:position w:val="1"/>
          <w:sz w:val="20"/>
        </w:rPr>
        <w:t> levobupivacaine</w:t>
      </w:r>
      <w:r>
        <w:rPr>
          <w:color w:val="231F1F"/>
          <w:w w:val="105"/>
          <w:position w:val="1"/>
          <w:sz w:val="20"/>
        </w:rPr>
        <w:t> with</w:t>
      </w:r>
      <w:r>
        <w:rPr>
          <w:color w:val="231F1F"/>
          <w:w w:val="105"/>
          <w:position w:val="1"/>
          <w:sz w:val="20"/>
        </w:rPr>
        <w:t> and</w:t>
      </w:r>
      <w:r>
        <w:rPr>
          <w:color w:val="231F1F"/>
          <w:w w:val="105"/>
          <w:position w:val="1"/>
          <w:sz w:val="20"/>
        </w:rPr>
        <w:t> without </w:t>
      </w:r>
      <w:r>
        <w:rPr>
          <w:color w:val="231F1F"/>
          <w:spacing w:val="-2"/>
          <w:w w:val="105"/>
          <w:sz w:val="20"/>
        </w:rPr>
        <w:t>fentanyl</w:t>
      </w:r>
      <w:r>
        <w:rPr>
          <w:color w:val="231F1F"/>
          <w:spacing w:val="-8"/>
          <w:w w:val="105"/>
          <w:sz w:val="20"/>
        </w:rPr>
        <w:t> </w:t>
      </w:r>
      <w:r>
        <w:rPr>
          <w:color w:val="231F1F"/>
          <w:spacing w:val="-2"/>
          <w:w w:val="105"/>
          <w:sz w:val="20"/>
        </w:rPr>
        <w:t>in</w:t>
      </w:r>
      <w:r>
        <w:rPr>
          <w:color w:val="231F1F"/>
          <w:spacing w:val="-10"/>
          <w:w w:val="105"/>
          <w:sz w:val="20"/>
        </w:rPr>
        <w:t> </w:t>
      </w:r>
      <w:r>
        <w:rPr>
          <w:color w:val="231F1F"/>
          <w:spacing w:val="-2"/>
          <w:w w:val="105"/>
          <w:sz w:val="20"/>
        </w:rPr>
        <w:t>combined</w:t>
      </w:r>
      <w:r>
        <w:rPr>
          <w:color w:val="231F1F"/>
          <w:spacing w:val="-10"/>
          <w:w w:val="105"/>
          <w:sz w:val="20"/>
        </w:rPr>
        <w:t> </w:t>
      </w:r>
      <w:r>
        <w:rPr>
          <w:color w:val="231F1F"/>
          <w:spacing w:val="-2"/>
          <w:w w:val="105"/>
          <w:sz w:val="20"/>
        </w:rPr>
        <w:t>spinal</w:t>
      </w:r>
      <w:r>
        <w:rPr>
          <w:color w:val="231F1F"/>
          <w:spacing w:val="-8"/>
          <w:w w:val="105"/>
          <w:sz w:val="20"/>
        </w:rPr>
        <w:t> </w:t>
      </w:r>
      <w:r>
        <w:rPr>
          <w:color w:val="231F1F"/>
          <w:spacing w:val="-2"/>
          <w:w w:val="105"/>
          <w:sz w:val="20"/>
        </w:rPr>
        <w:t>epidural</w:t>
      </w:r>
      <w:r>
        <w:rPr>
          <w:color w:val="231F1F"/>
          <w:spacing w:val="-8"/>
          <w:w w:val="105"/>
          <w:sz w:val="20"/>
        </w:rPr>
        <w:t> </w:t>
      </w:r>
      <w:r>
        <w:rPr>
          <w:color w:val="231F1F"/>
          <w:spacing w:val="-2"/>
          <w:w w:val="105"/>
          <w:sz w:val="20"/>
        </w:rPr>
        <w:t>for</w:t>
      </w:r>
      <w:r>
        <w:rPr>
          <w:color w:val="231F1F"/>
          <w:spacing w:val="-8"/>
          <w:w w:val="105"/>
          <w:sz w:val="20"/>
        </w:rPr>
        <w:t> </w:t>
      </w:r>
      <w:r>
        <w:rPr>
          <w:color w:val="231F1F"/>
          <w:spacing w:val="-2"/>
          <w:w w:val="105"/>
          <w:sz w:val="20"/>
        </w:rPr>
        <w:t>labour</w:t>
      </w:r>
      <w:r>
        <w:rPr>
          <w:color w:val="231F1F"/>
          <w:spacing w:val="-6"/>
          <w:w w:val="105"/>
          <w:sz w:val="20"/>
        </w:rPr>
        <w:t> </w:t>
      </w:r>
      <w:r>
        <w:rPr>
          <w:color w:val="231F1F"/>
          <w:spacing w:val="-2"/>
          <w:w w:val="105"/>
          <w:sz w:val="20"/>
        </w:rPr>
        <w:t>analgesia.Med</w:t>
      </w:r>
      <w:r>
        <w:rPr>
          <w:color w:val="231F1F"/>
          <w:spacing w:val="-10"/>
          <w:w w:val="105"/>
          <w:sz w:val="20"/>
        </w:rPr>
        <w:t> </w:t>
      </w:r>
      <w:r>
        <w:rPr>
          <w:color w:val="231F1F"/>
          <w:spacing w:val="-2"/>
          <w:w w:val="105"/>
          <w:sz w:val="20"/>
        </w:rPr>
        <w:t>Sci</w:t>
      </w:r>
      <w:r>
        <w:rPr>
          <w:color w:val="231F1F"/>
          <w:spacing w:val="-8"/>
          <w:w w:val="105"/>
          <w:sz w:val="20"/>
        </w:rPr>
        <w:t> </w:t>
      </w:r>
      <w:r>
        <w:rPr>
          <w:color w:val="231F1F"/>
          <w:spacing w:val="-2"/>
          <w:w w:val="105"/>
          <w:sz w:val="20"/>
        </w:rPr>
        <w:t>Monit</w:t>
      </w:r>
      <w:r>
        <w:rPr>
          <w:color w:val="231F1F"/>
          <w:spacing w:val="-8"/>
          <w:w w:val="105"/>
          <w:sz w:val="20"/>
        </w:rPr>
        <w:t> </w:t>
      </w:r>
      <w:r>
        <w:rPr>
          <w:color w:val="231F1F"/>
          <w:spacing w:val="-2"/>
          <w:w w:val="105"/>
          <w:sz w:val="20"/>
        </w:rPr>
        <w:t>2004;Jul;10(7):PI87-91.</w:t>
      </w:r>
    </w:p>
    <w:p>
      <w:pPr>
        <w:pStyle w:val="ListParagraph"/>
        <w:numPr>
          <w:ilvl w:val="0"/>
          <w:numId w:val="109"/>
        </w:numPr>
        <w:tabs>
          <w:tab w:pos="793" w:val="left" w:leader="none"/>
          <w:tab w:pos="797" w:val="left" w:leader="none"/>
        </w:tabs>
        <w:spacing w:line="211" w:lineRule="auto" w:before="161" w:after="0"/>
        <w:ind w:left="797" w:right="370" w:hanging="502"/>
        <w:jc w:val="left"/>
        <w:rPr>
          <w:sz w:val="20"/>
        </w:rPr>
      </w:pPr>
      <w:r>
        <w:rPr>
          <w:color w:val="231F1F"/>
          <w:w w:val="110"/>
          <w:position w:val="1"/>
          <w:sz w:val="20"/>
        </w:rPr>
        <w:t>Elliot</w:t>
      </w:r>
      <w:r>
        <w:rPr>
          <w:color w:val="231F1F"/>
          <w:spacing w:val="32"/>
          <w:w w:val="110"/>
          <w:position w:val="1"/>
          <w:sz w:val="20"/>
        </w:rPr>
        <w:t> </w:t>
      </w:r>
      <w:r>
        <w:rPr>
          <w:color w:val="231F1F"/>
          <w:w w:val="110"/>
          <w:position w:val="1"/>
          <w:sz w:val="20"/>
        </w:rPr>
        <w:t>RD.</w:t>
      </w:r>
      <w:r>
        <w:rPr>
          <w:color w:val="231F1F"/>
          <w:spacing w:val="30"/>
          <w:w w:val="110"/>
          <w:position w:val="1"/>
          <w:sz w:val="20"/>
        </w:rPr>
        <w:t> </w:t>
      </w:r>
      <w:r>
        <w:rPr>
          <w:color w:val="231F1F"/>
          <w:w w:val="110"/>
          <w:position w:val="1"/>
          <w:sz w:val="20"/>
        </w:rPr>
        <w:t>Continuous</w:t>
      </w:r>
      <w:r>
        <w:rPr>
          <w:color w:val="231F1F"/>
          <w:spacing w:val="30"/>
          <w:w w:val="110"/>
          <w:position w:val="1"/>
          <w:sz w:val="20"/>
        </w:rPr>
        <w:t> </w:t>
      </w:r>
      <w:r>
        <w:rPr>
          <w:color w:val="231F1F"/>
          <w:w w:val="110"/>
          <w:position w:val="1"/>
          <w:sz w:val="20"/>
        </w:rPr>
        <w:t>infusion</w:t>
      </w:r>
      <w:r>
        <w:rPr>
          <w:color w:val="231F1F"/>
          <w:spacing w:val="30"/>
          <w:w w:val="110"/>
          <w:position w:val="1"/>
          <w:sz w:val="20"/>
        </w:rPr>
        <w:t> </w:t>
      </w:r>
      <w:r>
        <w:rPr>
          <w:color w:val="231F1F"/>
          <w:w w:val="110"/>
          <w:position w:val="1"/>
          <w:sz w:val="20"/>
        </w:rPr>
        <w:t>epidural</w:t>
      </w:r>
      <w:r>
        <w:rPr>
          <w:color w:val="231F1F"/>
          <w:spacing w:val="30"/>
          <w:w w:val="110"/>
          <w:position w:val="1"/>
          <w:sz w:val="20"/>
        </w:rPr>
        <w:t> </w:t>
      </w:r>
      <w:r>
        <w:rPr>
          <w:color w:val="231F1F"/>
          <w:w w:val="110"/>
          <w:position w:val="1"/>
          <w:sz w:val="20"/>
        </w:rPr>
        <w:t>analgesia</w:t>
      </w:r>
      <w:r>
        <w:rPr>
          <w:color w:val="231F1F"/>
          <w:spacing w:val="30"/>
          <w:w w:val="110"/>
          <w:position w:val="1"/>
          <w:sz w:val="20"/>
        </w:rPr>
        <w:t> </w:t>
      </w:r>
      <w:r>
        <w:rPr>
          <w:color w:val="231F1F"/>
          <w:w w:val="110"/>
          <w:position w:val="1"/>
          <w:sz w:val="20"/>
        </w:rPr>
        <w:t>for</w:t>
      </w:r>
      <w:r>
        <w:rPr>
          <w:color w:val="231F1F"/>
          <w:spacing w:val="30"/>
          <w:w w:val="110"/>
          <w:position w:val="1"/>
          <w:sz w:val="20"/>
        </w:rPr>
        <w:t> </w:t>
      </w:r>
      <w:r>
        <w:rPr>
          <w:color w:val="231F1F"/>
          <w:w w:val="110"/>
          <w:position w:val="1"/>
          <w:sz w:val="20"/>
        </w:rPr>
        <w:t>obstetrics:</w:t>
      </w:r>
      <w:r>
        <w:rPr>
          <w:color w:val="231F1F"/>
          <w:spacing w:val="30"/>
          <w:w w:val="110"/>
          <w:position w:val="1"/>
          <w:sz w:val="20"/>
        </w:rPr>
        <w:t> </w:t>
      </w:r>
      <w:r>
        <w:rPr>
          <w:color w:val="231F1F"/>
          <w:w w:val="110"/>
          <w:position w:val="1"/>
          <w:sz w:val="20"/>
        </w:rPr>
        <w:t>Bupivacaine</w:t>
      </w:r>
      <w:r>
        <w:rPr>
          <w:color w:val="231F1F"/>
          <w:spacing w:val="30"/>
          <w:w w:val="110"/>
          <w:position w:val="1"/>
          <w:sz w:val="20"/>
        </w:rPr>
        <w:t> </w:t>
      </w:r>
      <w:r>
        <w:rPr>
          <w:color w:val="231F1F"/>
          <w:w w:val="110"/>
          <w:position w:val="1"/>
          <w:sz w:val="20"/>
        </w:rPr>
        <w:t>versus </w:t>
      </w:r>
      <w:r>
        <w:rPr>
          <w:color w:val="231F1F"/>
          <w:w w:val="110"/>
          <w:sz w:val="20"/>
        </w:rPr>
        <w:t>bupivacaine-fentanyl mixture. Can J Anaesth 1991;38(3):303-10.</w:t>
      </w:r>
    </w:p>
    <w:p>
      <w:pPr>
        <w:pStyle w:val="ListParagraph"/>
        <w:numPr>
          <w:ilvl w:val="0"/>
          <w:numId w:val="109"/>
        </w:numPr>
        <w:tabs>
          <w:tab w:pos="793" w:val="left" w:leader="none"/>
          <w:tab w:pos="797" w:val="left" w:leader="none"/>
        </w:tabs>
        <w:spacing w:line="211" w:lineRule="auto" w:before="156" w:after="0"/>
        <w:ind w:left="797" w:right="169" w:hanging="502"/>
        <w:jc w:val="both"/>
        <w:rPr>
          <w:sz w:val="20"/>
        </w:rPr>
      </w:pPr>
      <w:r>
        <w:rPr>
          <w:color w:val="231F1F"/>
          <w:w w:val="110"/>
          <w:position w:val="1"/>
          <w:sz w:val="20"/>
        </w:rPr>
        <w:t>Enever</w:t>
      </w:r>
      <w:r>
        <w:rPr>
          <w:color w:val="231F1F"/>
          <w:spacing w:val="-13"/>
          <w:w w:val="110"/>
          <w:position w:val="1"/>
          <w:sz w:val="20"/>
        </w:rPr>
        <w:t> </w:t>
      </w:r>
      <w:r>
        <w:rPr>
          <w:color w:val="231F1F"/>
          <w:w w:val="110"/>
          <w:position w:val="1"/>
          <w:sz w:val="20"/>
        </w:rPr>
        <w:t>GR,</w:t>
      </w:r>
      <w:r>
        <w:rPr>
          <w:color w:val="231F1F"/>
          <w:spacing w:val="-13"/>
          <w:w w:val="110"/>
          <w:position w:val="1"/>
          <w:sz w:val="20"/>
        </w:rPr>
        <w:t> </w:t>
      </w:r>
      <w:r>
        <w:rPr>
          <w:color w:val="231F1F"/>
          <w:w w:val="110"/>
          <w:position w:val="1"/>
          <w:sz w:val="20"/>
        </w:rPr>
        <w:t>Noble</w:t>
      </w:r>
      <w:r>
        <w:rPr>
          <w:color w:val="231F1F"/>
          <w:spacing w:val="-13"/>
          <w:w w:val="110"/>
          <w:position w:val="1"/>
          <w:sz w:val="20"/>
        </w:rPr>
        <w:t> </w:t>
      </w:r>
      <w:r>
        <w:rPr>
          <w:color w:val="231F1F"/>
          <w:w w:val="110"/>
          <w:position w:val="1"/>
          <w:sz w:val="20"/>
        </w:rPr>
        <w:t>HA,</w:t>
      </w:r>
      <w:r>
        <w:rPr>
          <w:color w:val="231F1F"/>
          <w:spacing w:val="-12"/>
          <w:w w:val="110"/>
          <w:position w:val="1"/>
          <w:sz w:val="20"/>
        </w:rPr>
        <w:t> </w:t>
      </w:r>
      <w:r>
        <w:rPr>
          <w:color w:val="231F1F"/>
          <w:w w:val="110"/>
          <w:position w:val="1"/>
          <w:sz w:val="20"/>
        </w:rPr>
        <w:t>Kolditz</w:t>
      </w:r>
      <w:r>
        <w:rPr>
          <w:color w:val="231F1F"/>
          <w:spacing w:val="-13"/>
          <w:w w:val="110"/>
          <w:position w:val="1"/>
          <w:sz w:val="20"/>
        </w:rPr>
        <w:t> </w:t>
      </w:r>
      <w:r>
        <w:rPr>
          <w:color w:val="231F1F"/>
          <w:w w:val="110"/>
          <w:position w:val="1"/>
          <w:sz w:val="20"/>
        </w:rPr>
        <w:t>D,</w:t>
      </w:r>
      <w:r>
        <w:rPr>
          <w:color w:val="231F1F"/>
          <w:spacing w:val="-13"/>
          <w:w w:val="110"/>
          <w:position w:val="1"/>
          <w:sz w:val="20"/>
        </w:rPr>
        <w:t> </w:t>
      </w:r>
      <w:r>
        <w:rPr>
          <w:color w:val="231F1F"/>
          <w:w w:val="110"/>
          <w:position w:val="1"/>
          <w:sz w:val="20"/>
        </w:rPr>
        <w:t>et</w:t>
      </w:r>
      <w:r>
        <w:rPr>
          <w:color w:val="231F1F"/>
          <w:spacing w:val="-13"/>
          <w:w w:val="110"/>
          <w:position w:val="1"/>
          <w:sz w:val="20"/>
        </w:rPr>
        <w:t> </w:t>
      </w:r>
      <w:r>
        <w:rPr>
          <w:color w:val="231F1F"/>
          <w:w w:val="110"/>
          <w:position w:val="1"/>
          <w:sz w:val="20"/>
        </w:rPr>
        <w:t>al.</w:t>
      </w:r>
      <w:r>
        <w:rPr>
          <w:color w:val="231F1F"/>
          <w:spacing w:val="-12"/>
          <w:w w:val="110"/>
          <w:position w:val="1"/>
          <w:sz w:val="20"/>
        </w:rPr>
        <w:t> </w:t>
      </w:r>
      <w:r>
        <w:rPr>
          <w:color w:val="231F1F"/>
          <w:w w:val="110"/>
          <w:position w:val="1"/>
          <w:sz w:val="20"/>
        </w:rPr>
        <w:t>Epidural</w:t>
      </w:r>
      <w:r>
        <w:rPr>
          <w:color w:val="231F1F"/>
          <w:spacing w:val="-13"/>
          <w:w w:val="110"/>
          <w:position w:val="1"/>
          <w:sz w:val="20"/>
        </w:rPr>
        <w:t> </w:t>
      </w:r>
      <w:r>
        <w:rPr>
          <w:color w:val="231F1F"/>
          <w:w w:val="110"/>
          <w:position w:val="1"/>
          <w:sz w:val="20"/>
        </w:rPr>
        <w:t>infusion</w:t>
      </w:r>
      <w:r>
        <w:rPr>
          <w:color w:val="231F1F"/>
          <w:spacing w:val="-12"/>
          <w:w w:val="110"/>
          <w:position w:val="1"/>
          <w:sz w:val="20"/>
        </w:rPr>
        <w:t> </w:t>
      </w:r>
      <w:r>
        <w:rPr>
          <w:color w:val="231F1F"/>
          <w:w w:val="110"/>
          <w:position w:val="1"/>
          <w:sz w:val="20"/>
        </w:rPr>
        <w:t>of</w:t>
      </w:r>
      <w:r>
        <w:rPr>
          <w:color w:val="231F1F"/>
          <w:spacing w:val="-11"/>
          <w:w w:val="110"/>
          <w:position w:val="1"/>
          <w:sz w:val="20"/>
        </w:rPr>
        <w:t> </w:t>
      </w:r>
      <w:r>
        <w:rPr>
          <w:color w:val="231F1F"/>
          <w:w w:val="110"/>
          <w:position w:val="1"/>
          <w:sz w:val="20"/>
        </w:rPr>
        <w:t>diamorphine</w:t>
      </w:r>
      <w:r>
        <w:rPr>
          <w:color w:val="231F1F"/>
          <w:spacing w:val="-12"/>
          <w:w w:val="110"/>
          <w:position w:val="1"/>
          <w:sz w:val="20"/>
        </w:rPr>
        <w:t> </w:t>
      </w:r>
      <w:r>
        <w:rPr>
          <w:color w:val="231F1F"/>
          <w:w w:val="110"/>
          <w:position w:val="1"/>
          <w:sz w:val="20"/>
        </w:rPr>
        <w:t>with</w:t>
      </w:r>
      <w:r>
        <w:rPr>
          <w:color w:val="231F1F"/>
          <w:spacing w:val="-12"/>
          <w:w w:val="110"/>
          <w:position w:val="1"/>
          <w:sz w:val="20"/>
        </w:rPr>
        <w:t> </w:t>
      </w:r>
      <w:r>
        <w:rPr>
          <w:color w:val="231F1F"/>
          <w:w w:val="110"/>
          <w:position w:val="1"/>
          <w:sz w:val="20"/>
        </w:rPr>
        <w:t>bupivacaine </w:t>
      </w:r>
      <w:r>
        <w:rPr>
          <w:color w:val="231F1F"/>
          <w:w w:val="110"/>
          <w:sz w:val="20"/>
        </w:rPr>
        <w:t>in labour.</w:t>
      </w:r>
      <w:r>
        <w:rPr>
          <w:color w:val="231F1F"/>
          <w:spacing w:val="-11"/>
          <w:w w:val="110"/>
          <w:sz w:val="20"/>
        </w:rPr>
        <w:t> </w:t>
      </w:r>
      <w:r>
        <w:rPr>
          <w:color w:val="231F1F"/>
          <w:w w:val="110"/>
          <w:sz w:val="20"/>
        </w:rPr>
        <w:t>A comparison with fentanyl and bupivacaine.</w:t>
      </w:r>
      <w:r>
        <w:rPr>
          <w:color w:val="231F1F"/>
          <w:spacing w:val="-12"/>
          <w:w w:val="110"/>
          <w:sz w:val="20"/>
        </w:rPr>
        <w:t> </w:t>
      </w:r>
      <w:r>
        <w:rPr>
          <w:color w:val="231F1F"/>
          <w:w w:val="110"/>
          <w:sz w:val="20"/>
        </w:rPr>
        <w:t>Anaesthesia 1991;46(3):169-73.</w:t>
      </w:r>
    </w:p>
    <w:p>
      <w:pPr>
        <w:pStyle w:val="ListParagraph"/>
        <w:numPr>
          <w:ilvl w:val="0"/>
          <w:numId w:val="109"/>
        </w:numPr>
        <w:tabs>
          <w:tab w:pos="793" w:val="left" w:leader="none"/>
          <w:tab w:pos="797" w:val="left" w:leader="none"/>
        </w:tabs>
        <w:spacing w:line="230" w:lineRule="auto" w:before="161" w:after="0"/>
        <w:ind w:left="797" w:right="124" w:hanging="502"/>
        <w:jc w:val="both"/>
        <w:rPr>
          <w:sz w:val="20"/>
        </w:rPr>
      </w:pPr>
      <w:r>
        <w:rPr>
          <w:color w:val="231F1F"/>
          <w:sz w:val="20"/>
        </w:rPr>
        <w:t>Russell</w:t>
      </w:r>
      <w:r>
        <w:rPr>
          <w:color w:val="231F1F"/>
          <w:spacing w:val="24"/>
          <w:sz w:val="20"/>
        </w:rPr>
        <w:t> </w:t>
      </w:r>
      <w:r>
        <w:rPr>
          <w:color w:val="231F1F"/>
          <w:sz w:val="20"/>
        </w:rPr>
        <w:t>R, Quinlan</w:t>
      </w:r>
      <w:r>
        <w:rPr>
          <w:color w:val="231F1F"/>
          <w:spacing w:val="23"/>
          <w:sz w:val="20"/>
        </w:rPr>
        <w:t> </w:t>
      </w:r>
      <w:r>
        <w:rPr>
          <w:color w:val="231F1F"/>
          <w:sz w:val="20"/>
        </w:rPr>
        <w:t>J, Reynolds</w:t>
      </w:r>
      <w:r>
        <w:rPr>
          <w:color w:val="231F1F"/>
          <w:spacing w:val="23"/>
          <w:sz w:val="20"/>
        </w:rPr>
        <w:t> </w:t>
      </w:r>
      <w:r>
        <w:rPr>
          <w:color w:val="231F1F"/>
          <w:sz w:val="20"/>
        </w:rPr>
        <w:t>F. Motor</w:t>
      </w:r>
      <w:r>
        <w:rPr>
          <w:color w:val="231F1F"/>
          <w:spacing w:val="24"/>
          <w:sz w:val="20"/>
        </w:rPr>
        <w:t> </w:t>
      </w:r>
      <w:r>
        <w:rPr>
          <w:color w:val="231F1F"/>
          <w:sz w:val="20"/>
        </w:rPr>
        <w:t>block</w:t>
      </w:r>
      <w:r>
        <w:rPr>
          <w:color w:val="231F1F"/>
          <w:spacing w:val="23"/>
          <w:sz w:val="20"/>
        </w:rPr>
        <w:t> </w:t>
      </w:r>
      <w:r>
        <w:rPr>
          <w:color w:val="231F1F"/>
          <w:sz w:val="20"/>
        </w:rPr>
        <w:t>during</w:t>
      </w:r>
      <w:r>
        <w:rPr>
          <w:color w:val="231F1F"/>
          <w:spacing w:val="23"/>
          <w:sz w:val="20"/>
        </w:rPr>
        <w:t> </w:t>
      </w:r>
      <w:r>
        <w:rPr>
          <w:color w:val="231F1F"/>
          <w:sz w:val="20"/>
        </w:rPr>
        <w:t>epidural</w:t>
      </w:r>
      <w:r>
        <w:rPr>
          <w:color w:val="231F1F"/>
          <w:spacing w:val="24"/>
          <w:sz w:val="20"/>
        </w:rPr>
        <w:t> </w:t>
      </w:r>
      <w:r>
        <w:rPr>
          <w:color w:val="231F1F"/>
          <w:sz w:val="20"/>
        </w:rPr>
        <w:t>infusions</w:t>
      </w:r>
      <w:r>
        <w:rPr>
          <w:color w:val="231F1F"/>
          <w:spacing w:val="24"/>
          <w:sz w:val="20"/>
        </w:rPr>
        <w:t> </w:t>
      </w:r>
      <w:r>
        <w:rPr>
          <w:color w:val="231F1F"/>
          <w:sz w:val="20"/>
        </w:rPr>
        <w:t>for</w:t>
      </w:r>
      <w:r>
        <w:rPr>
          <w:color w:val="231F1F"/>
          <w:spacing w:val="24"/>
          <w:sz w:val="20"/>
        </w:rPr>
        <w:t> </w:t>
      </w:r>
      <w:r>
        <w:rPr>
          <w:color w:val="231F1F"/>
          <w:sz w:val="20"/>
        </w:rPr>
        <w:t>nulliparous</w:t>
      </w:r>
      <w:r>
        <w:rPr>
          <w:color w:val="231F1F"/>
          <w:spacing w:val="24"/>
          <w:sz w:val="20"/>
        </w:rPr>
        <w:t> </w:t>
      </w:r>
      <w:r>
        <w:rPr>
          <w:color w:val="231F1F"/>
          <w:sz w:val="20"/>
        </w:rPr>
        <w:t>women </w:t>
      </w:r>
      <w:r>
        <w:rPr>
          <w:color w:val="231F1F"/>
          <w:w w:val="110"/>
          <w:sz w:val="20"/>
        </w:rPr>
        <w:t>in</w:t>
      </w:r>
      <w:r>
        <w:rPr>
          <w:color w:val="231F1F"/>
          <w:spacing w:val="-9"/>
          <w:w w:val="110"/>
          <w:sz w:val="20"/>
        </w:rPr>
        <w:t> </w:t>
      </w:r>
      <w:r>
        <w:rPr>
          <w:color w:val="231F1F"/>
          <w:w w:val="110"/>
          <w:sz w:val="20"/>
        </w:rPr>
        <w:t>labour.</w:t>
      </w:r>
      <w:r>
        <w:rPr>
          <w:color w:val="231F1F"/>
          <w:spacing w:val="-8"/>
          <w:w w:val="110"/>
          <w:sz w:val="20"/>
        </w:rPr>
        <w:t> </w:t>
      </w:r>
      <w:r>
        <w:rPr>
          <w:color w:val="231F1F"/>
          <w:w w:val="110"/>
          <w:sz w:val="20"/>
        </w:rPr>
        <w:t>A</w:t>
      </w:r>
      <w:r>
        <w:rPr>
          <w:color w:val="231F1F"/>
          <w:spacing w:val="-9"/>
          <w:w w:val="110"/>
          <w:sz w:val="20"/>
        </w:rPr>
        <w:t> </w:t>
      </w:r>
      <w:r>
        <w:rPr>
          <w:color w:val="231F1F"/>
          <w:w w:val="110"/>
          <w:sz w:val="20"/>
        </w:rPr>
        <w:t>randomized</w:t>
      </w:r>
      <w:r>
        <w:rPr>
          <w:color w:val="231F1F"/>
          <w:spacing w:val="-7"/>
          <w:w w:val="110"/>
          <w:sz w:val="20"/>
        </w:rPr>
        <w:t> </w:t>
      </w:r>
      <w:r>
        <w:rPr>
          <w:color w:val="231F1F"/>
          <w:w w:val="110"/>
          <w:sz w:val="20"/>
        </w:rPr>
        <w:t>double-blind</w:t>
      </w:r>
      <w:r>
        <w:rPr>
          <w:color w:val="231F1F"/>
          <w:spacing w:val="-7"/>
          <w:w w:val="110"/>
          <w:sz w:val="20"/>
        </w:rPr>
        <w:t> </w:t>
      </w:r>
      <w:r>
        <w:rPr>
          <w:color w:val="231F1F"/>
          <w:w w:val="110"/>
          <w:sz w:val="20"/>
        </w:rPr>
        <w:t>study</w:t>
      </w:r>
      <w:r>
        <w:rPr>
          <w:color w:val="231F1F"/>
          <w:spacing w:val="-8"/>
          <w:w w:val="110"/>
          <w:sz w:val="20"/>
        </w:rPr>
        <w:t> </w:t>
      </w:r>
      <w:r>
        <w:rPr>
          <w:color w:val="231F1F"/>
          <w:w w:val="110"/>
          <w:sz w:val="20"/>
        </w:rPr>
        <w:t>of</w:t>
      </w:r>
      <w:r>
        <w:rPr>
          <w:color w:val="231F1F"/>
          <w:spacing w:val="-7"/>
          <w:w w:val="110"/>
          <w:sz w:val="20"/>
        </w:rPr>
        <w:t> </w:t>
      </w:r>
      <w:r>
        <w:rPr>
          <w:color w:val="231F1F"/>
          <w:w w:val="110"/>
          <w:sz w:val="20"/>
        </w:rPr>
        <w:t>plain</w:t>
      </w:r>
      <w:r>
        <w:rPr>
          <w:color w:val="231F1F"/>
          <w:spacing w:val="-7"/>
          <w:w w:val="110"/>
          <w:sz w:val="20"/>
        </w:rPr>
        <w:t> </w:t>
      </w:r>
      <w:r>
        <w:rPr>
          <w:color w:val="231F1F"/>
          <w:w w:val="110"/>
          <w:sz w:val="20"/>
        </w:rPr>
        <w:t>bupivacaine</w:t>
      </w:r>
      <w:r>
        <w:rPr>
          <w:color w:val="231F1F"/>
          <w:spacing w:val="-7"/>
          <w:w w:val="110"/>
          <w:sz w:val="20"/>
        </w:rPr>
        <w:t> </w:t>
      </w:r>
      <w:r>
        <w:rPr>
          <w:color w:val="231F1F"/>
          <w:w w:val="110"/>
          <w:sz w:val="20"/>
        </w:rPr>
        <w:t>and</w:t>
      </w:r>
      <w:r>
        <w:rPr>
          <w:color w:val="231F1F"/>
          <w:spacing w:val="-7"/>
          <w:w w:val="110"/>
          <w:sz w:val="20"/>
        </w:rPr>
        <w:t> </w:t>
      </w:r>
      <w:r>
        <w:rPr>
          <w:color w:val="231F1F"/>
          <w:w w:val="110"/>
          <w:sz w:val="20"/>
        </w:rPr>
        <w:t>low</w:t>
      </w:r>
      <w:r>
        <w:rPr>
          <w:color w:val="231F1F"/>
          <w:spacing w:val="-7"/>
          <w:w w:val="110"/>
          <w:sz w:val="20"/>
        </w:rPr>
        <w:t> </w:t>
      </w:r>
      <w:r>
        <w:rPr>
          <w:color w:val="231F1F"/>
          <w:w w:val="110"/>
          <w:sz w:val="20"/>
        </w:rPr>
        <w:t>dose</w:t>
      </w:r>
      <w:r>
        <w:rPr>
          <w:color w:val="231F1F"/>
          <w:spacing w:val="-7"/>
          <w:w w:val="110"/>
          <w:sz w:val="20"/>
        </w:rPr>
        <w:t> </w:t>
      </w:r>
      <w:r>
        <w:rPr>
          <w:color w:val="231F1F"/>
          <w:w w:val="110"/>
          <w:sz w:val="20"/>
        </w:rPr>
        <w:t>bupivacaine with fentanyl. International Journal of Obstetric Anesthesia 1995;4(2):82-8.</w:t>
      </w:r>
    </w:p>
    <w:p>
      <w:pPr>
        <w:pStyle w:val="ListParagraph"/>
        <w:numPr>
          <w:ilvl w:val="0"/>
          <w:numId w:val="109"/>
        </w:numPr>
        <w:tabs>
          <w:tab w:pos="793" w:val="left" w:leader="none"/>
          <w:tab w:pos="797" w:val="left" w:leader="none"/>
        </w:tabs>
        <w:spacing w:line="240" w:lineRule="auto" w:before="151" w:after="0"/>
        <w:ind w:left="797" w:right="171" w:hanging="515"/>
        <w:jc w:val="both"/>
        <w:rPr>
          <w:sz w:val="20"/>
        </w:rPr>
      </w:pPr>
      <w:r>
        <w:rPr>
          <w:color w:val="231F1F"/>
          <w:w w:val="105"/>
          <w:sz w:val="20"/>
        </w:rPr>
        <w:t>Russell R, Reynolds F. Epidural infusion of low-dose bupivacaine and opioid in labour: Does </w:t>
      </w:r>
      <w:r>
        <w:rPr>
          <w:color w:val="231F1F"/>
          <w:sz w:val="20"/>
        </w:rPr>
        <w:t>reducing motor block increase the spontaneus delivery rate? Anaesthesiology 1996;51(3):266-73.</w:t>
      </w:r>
    </w:p>
    <w:p>
      <w:pPr>
        <w:pStyle w:val="ListParagraph"/>
        <w:numPr>
          <w:ilvl w:val="0"/>
          <w:numId w:val="109"/>
        </w:numPr>
        <w:tabs>
          <w:tab w:pos="793" w:val="left" w:leader="none"/>
          <w:tab w:pos="797" w:val="left" w:leader="none"/>
        </w:tabs>
        <w:spacing w:line="225" w:lineRule="auto" w:before="152" w:after="0"/>
        <w:ind w:left="797" w:right="124" w:hanging="502"/>
        <w:jc w:val="both"/>
        <w:rPr>
          <w:sz w:val="20"/>
        </w:rPr>
      </w:pPr>
      <w:r>
        <w:rPr>
          <w:color w:val="231F1F"/>
          <w:w w:val="110"/>
          <w:sz w:val="20"/>
        </w:rPr>
        <w:t>Reynolds</w:t>
      </w:r>
      <w:r>
        <w:rPr>
          <w:color w:val="231F1F"/>
          <w:spacing w:val="-8"/>
          <w:w w:val="110"/>
          <w:sz w:val="20"/>
        </w:rPr>
        <w:t> </w:t>
      </w:r>
      <w:r>
        <w:rPr>
          <w:color w:val="231F1F"/>
          <w:w w:val="110"/>
          <w:sz w:val="20"/>
        </w:rPr>
        <w:t>F,</w:t>
      </w:r>
      <w:r>
        <w:rPr>
          <w:color w:val="231F1F"/>
          <w:spacing w:val="-9"/>
          <w:w w:val="110"/>
          <w:sz w:val="20"/>
        </w:rPr>
        <w:t> </w:t>
      </w:r>
      <w:r>
        <w:rPr>
          <w:color w:val="231F1F"/>
          <w:w w:val="110"/>
          <w:sz w:val="20"/>
        </w:rPr>
        <w:t>Russell</w:t>
      </w:r>
      <w:r>
        <w:rPr>
          <w:color w:val="231F1F"/>
          <w:spacing w:val="-7"/>
          <w:w w:val="110"/>
          <w:sz w:val="20"/>
        </w:rPr>
        <w:t> </w:t>
      </w:r>
      <w:r>
        <w:rPr>
          <w:color w:val="231F1F"/>
          <w:w w:val="110"/>
          <w:sz w:val="20"/>
        </w:rPr>
        <w:t>R,</w:t>
      </w:r>
      <w:r>
        <w:rPr>
          <w:color w:val="231F1F"/>
          <w:spacing w:val="-8"/>
          <w:w w:val="110"/>
          <w:sz w:val="20"/>
        </w:rPr>
        <w:t> </w:t>
      </w:r>
      <w:r>
        <w:rPr>
          <w:color w:val="231F1F"/>
          <w:w w:val="110"/>
          <w:sz w:val="20"/>
        </w:rPr>
        <w:t>Porter</w:t>
      </w:r>
      <w:r>
        <w:rPr>
          <w:color w:val="231F1F"/>
          <w:spacing w:val="-7"/>
          <w:w w:val="110"/>
          <w:sz w:val="20"/>
        </w:rPr>
        <w:t> </w:t>
      </w:r>
      <w:r>
        <w:rPr>
          <w:color w:val="231F1F"/>
          <w:w w:val="110"/>
          <w:sz w:val="20"/>
        </w:rPr>
        <w:t>J,</w:t>
      </w:r>
      <w:r>
        <w:rPr>
          <w:color w:val="231F1F"/>
          <w:spacing w:val="-9"/>
          <w:w w:val="110"/>
          <w:sz w:val="20"/>
        </w:rPr>
        <w:t> </w:t>
      </w:r>
      <w:r>
        <w:rPr>
          <w:color w:val="231F1F"/>
          <w:w w:val="110"/>
          <w:sz w:val="20"/>
        </w:rPr>
        <w:t>et</w:t>
      </w:r>
      <w:r>
        <w:rPr>
          <w:color w:val="231F1F"/>
          <w:spacing w:val="-6"/>
          <w:w w:val="110"/>
          <w:sz w:val="20"/>
        </w:rPr>
        <w:t> </w:t>
      </w:r>
      <w:r>
        <w:rPr>
          <w:color w:val="231F1F"/>
          <w:w w:val="110"/>
          <w:sz w:val="20"/>
        </w:rPr>
        <w:t>al.</w:t>
      </w:r>
      <w:r>
        <w:rPr>
          <w:color w:val="231F1F"/>
          <w:spacing w:val="-9"/>
          <w:w w:val="110"/>
          <w:sz w:val="20"/>
        </w:rPr>
        <w:t> </w:t>
      </w:r>
      <w:r>
        <w:rPr>
          <w:color w:val="231F1F"/>
          <w:w w:val="110"/>
          <w:sz w:val="20"/>
        </w:rPr>
        <w:t>Does</w:t>
      </w:r>
      <w:r>
        <w:rPr>
          <w:color w:val="231F1F"/>
          <w:spacing w:val="-7"/>
          <w:w w:val="110"/>
          <w:sz w:val="20"/>
        </w:rPr>
        <w:t> </w:t>
      </w:r>
      <w:r>
        <w:rPr>
          <w:color w:val="231F1F"/>
          <w:w w:val="110"/>
          <w:sz w:val="20"/>
        </w:rPr>
        <w:t>the</w:t>
      </w:r>
      <w:r>
        <w:rPr>
          <w:color w:val="231F1F"/>
          <w:spacing w:val="-7"/>
          <w:w w:val="110"/>
          <w:sz w:val="20"/>
        </w:rPr>
        <w:t> </w:t>
      </w:r>
      <w:r>
        <w:rPr>
          <w:color w:val="231F1F"/>
          <w:w w:val="110"/>
          <w:sz w:val="20"/>
        </w:rPr>
        <w:t>use</w:t>
      </w:r>
      <w:r>
        <w:rPr>
          <w:color w:val="231F1F"/>
          <w:spacing w:val="-7"/>
          <w:w w:val="110"/>
          <w:sz w:val="20"/>
        </w:rPr>
        <w:t> </w:t>
      </w:r>
      <w:r>
        <w:rPr>
          <w:color w:val="231F1F"/>
          <w:w w:val="110"/>
          <w:sz w:val="20"/>
        </w:rPr>
        <w:t>of</w:t>
      </w:r>
      <w:r>
        <w:rPr>
          <w:color w:val="231F1F"/>
          <w:spacing w:val="-7"/>
          <w:w w:val="110"/>
          <w:sz w:val="20"/>
        </w:rPr>
        <w:t> </w:t>
      </w:r>
      <w:r>
        <w:rPr>
          <w:color w:val="231F1F"/>
          <w:w w:val="110"/>
          <w:sz w:val="20"/>
        </w:rPr>
        <w:t>low</w:t>
      </w:r>
      <w:r>
        <w:rPr>
          <w:color w:val="231F1F"/>
          <w:spacing w:val="-7"/>
          <w:w w:val="110"/>
          <w:sz w:val="20"/>
        </w:rPr>
        <w:t> </w:t>
      </w:r>
      <w:r>
        <w:rPr>
          <w:color w:val="231F1F"/>
          <w:w w:val="110"/>
          <w:sz w:val="20"/>
        </w:rPr>
        <w:t>dose</w:t>
      </w:r>
      <w:r>
        <w:rPr>
          <w:color w:val="231F1F"/>
          <w:spacing w:val="-7"/>
          <w:w w:val="110"/>
          <w:sz w:val="20"/>
        </w:rPr>
        <w:t> </w:t>
      </w:r>
      <w:r>
        <w:rPr>
          <w:color w:val="231F1F"/>
          <w:w w:val="110"/>
          <w:sz w:val="20"/>
        </w:rPr>
        <w:t>bupivacaine/opioid</w:t>
      </w:r>
      <w:r>
        <w:rPr>
          <w:color w:val="231F1F"/>
          <w:spacing w:val="-7"/>
          <w:w w:val="110"/>
          <w:sz w:val="20"/>
        </w:rPr>
        <w:t> </w:t>
      </w:r>
      <w:r>
        <w:rPr>
          <w:color w:val="231F1F"/>
          <w:w w:val="110"/>
          <w:sz w:val="20"/>
        </w:rPr>
        <w:t>epidural infusion</w:t>
      </w:r>
      <w:r>
        <w:rPr>
          <w:color w:val="231F1F"/>
          <w:w w:val="110"/>
          <w:sz w:val="20"/>
        </w:rPr>
        <w:t> increase</w:t>
      </w:r>
      <w:r>
        <w:rPr>
          <w:color w:val="231F1F"/>
          <w:w w:val="110"/>
          <w:sz w:val="20"/>
        </w:rPr>
        <w:t> the</w:t>
      </w:r>
      <w:r>
        <w:rPr>
          <w:color w:val="231F1F"/>
          <w:w w:val="110"/>
          <w:sz w:val="20"/>
        </w:rPr>
        <w:t> normal</w:t>
      </w:r>
      <w:r>
        <w:rPr>
          <w:color w:val="231F1F"/>
          <w:w w:val="110"/>
          <w:sz w:val="20"/>
        </w:rPr>
        <w:t> delivery</w:t>
      </w:r>
      <w:r>
        <w:rPr>
          <w:color w:val="231F1F"/>
          <w:w w:val="110"/>
          <w:sz w:val="20"/>
        </w:rPr>
        <w:t> rate?</w:t>
      </w:r>
      <w:r>
        <w:rPr>
          <w:color w:val="231F1F"/>
          <w:w w:val="110"/>
          <w:sz w:val="20"/>
        </w:rPr>
        <w:t> International</w:t>
      </w:r>
      <w:r>
        <w:rPr>
          <w:color w:val="231F1F"/>
          <w:w w:val="110"/>
          <w:sz w:val="20"/>
        </w:rPr>
        <w:t> Journal</w:t>
      </w:r>
      <w:r>
        <w:rPr>
          <w:color w:val="231F1F"/>
          <w:w w:val="110"/>
          <w:sz w:val="20"/>
        </w:rPr>
        <w:t> of</w:t>
      </w:r>
      <w:r>
        <w:rPr>
          <w:color w:val="231F1F"/>
          <w:w w:val="110"/>
          <w:sz w:val="20"/>
        </w:rPr>
        <w:t> Obstetric</w:t>
      </w:r>
      <w:r>
        <w:rPr>
          <w:color w:val="231F1F"/>
          <w:w w:val="110"/>
          <w:sz w:val="20"/>
        </w:rPr>
        <w:t> Anesthesia </w:t>
      </w:r>
      <w:r>
        <w:rPr>
          <w:color w:val="231F1F"/>
          <w:spacing w:val="-2"/>
          <w:w w:val="110"/>
          <w:sz w:val="20"/>
        </w:rPr>
        <w:t>2003;12(3):156-63.</w:t>
      </w:r>
    </w:p>
    <w:p>
      <w:pPr>
        <w:pStyle w:val="ListParagraph"/>
        <w:numPr>
          <w:ilvl w:val="0"/>
          <w:numId w:val="109"/>
        </w:numPr>
        <w:tabs>
          <w:tab w:pos="794" w:val="left" w:leader="none"/>
          <w:tab w:pos="798" w:val="left" w:leader="none"/>
        </w:tabs>
        <w:spacing w:line="230" w:lineRule="auto" w:before="168" w:after="0"/>
        <w:ind w:left="798" w:right="167" w:hanging="502"/>
        <w:jc w:val="both"/>
        <w:rPr>
          <w:sz w:val="20"/>
        </w:rPr>
      </w:pPr>
      <w:r>
        <w:rPr>
          <w:color w:val="231F1F"/>
          <w:w w:val="105"/>
          <w:sz w:val="20"/>
        </w:rPr>
        <w:t>Porter J, Bonello E, Reynolds F. Effect of epidural fentanyl on neonatal respiration. [Erratum appears in Anesthesiology 1998 Dec; 89(6):1615]. Anesthesiology 1998;89(1):79-85.</w:t>
      </w:r>
    </w:p>
    <w:p>
      <w:pPr>
        <w:pStyle w:val="ListParagraph"/>
        <w:numPr>
          <w:ilvl w:val="0"/>
          <w:numId w:val="109"/>
        </w:numPr>
        <w:tabs>
          <w:tab w:pos="794" w:val="left" w:leader="none"/>
          <w:tab w:pos="798" w:val="left" w:leader="none"/>
        </w:tabs>
        <w:spacing w:line="225" w:lineRule="auto" w:before="153" w:after="0"/>
        <w:ind w:left="798" w:right="114" w:hanging="502"/>
        <w:jc w:val="both"/>
        <w:rPr>
          <w:sz w:val="20"/>
        </w:rPr>
      </w:pPr>
      <w:r>
        <w:rPr>
          <w:color w:val="231F1F"/>
          <w:w w:val="105"/>
          <w:sz w:val="20"/>
        </w:rPr>
        <w:t>Chestnu DH, Owen CL, Bates JN, et al. Continuous infusion epidural analgesia during labor.</w:t>
      </w:r>
      <w:r>
        <w:rPr>
          <w:color w:val="231F1F"/>
          <w:spacing w:val="40"/>
          <w:w w:val="105"/>
          <w:sz w:val="20"/>
        </w:rPr>
        <w:t> </w:t>
      </w:r>
      <w:r>
        <w:rPr>
          <w:color w:val="231F1F"/>
          <w:w w:val="105"/>
          <w:sz w:val="20"/>
        </w:rPr>
        <w:t>A</w:t>
      </w:r>
      <w:r>
        <w:rPr>
          <w:color w:val="231F1F"/>
          <w:w w:val="105"/>
          <w:sz w:val="20"/>
        </w:rPr>
        <w:t> randomized,</w:t>
      </w:r>
      <w:r>
        <w:rPr>
          <w:color w:val="231F1F"/>
          <w:w w:val="105"/>
          <w:sz w:val="20"/>
        </w:rPr>
        <w:t> double-blind</w:t>
      </w:r>
      <w:r>
        <w:rPr>
          <w:color w:val="231F1F"/>
          <w:w w:val="105"/>
          <w:sz w:val="20"/>
        </w:rPr>
        <w:t> comparison</w:t>
      </w:r>
      <w:r>
        <w:rPr>
          <w:color w:val="231F1F"/>
          <w:w w:val="105"/>
          <w:sz w:val="20"/>
        </w:rPr>
        <w:t> of</w:t>
      </w:r>
      <w:r>
        <w:rPr>
          <w:color w:val="231F1F"/>
          <w:w w:val="105"/>
          <w:sz w:val="20"/>
        </w:rPr>
        <w:t> 0.0625%</w:t>
      </w:r>
      <w:r>
        <w:rPr>
          <w:color w:val="231F1F"/>
          <w:w w:val="105"/>
          <w:sz w:val="20"/>
        </w:rPr>
        <w:t> bupivacaine/0.0002%</w:t>
      </w:r>
      <w:r>
        <w:rPr>
          <w:color w:val="231F1F"/>
          <w:w w:val="105"/>
          <w:sz w:val="20"/>
        </w:rPr>
        <w:t> fentanyl</w:t>
      </w:r>
      <w:r>
        <w:rPr>
          <w:color w:val="231F1F"/>
          <w:w w:val="105"/>
          <w:sz w:val="20"/>
        </w:rPr>
        <w:t> versus 0.125% bupivacaine. Anesthesiology 1988;68(5):754-9.</w:t>
      </w:r>
    </w:p>
    <w:p>
      <w:pPr>
        <w:pStyle w:val="ListParagraph"/>
        <w:numPr>
          <w:ilvl w:val="0"/>
          <w:numId w:val="109"/>
        </w:numPr>
        <w:tabs>
          <w:tab w:pos="794" w:val="left" w:leader="none"/>
          <w:tab w:pos="798" w:val="left" w:leader="none"/>
        </w:tabs>
        <w:spacing w:line="228" w:lineRule="auto" w:before="180" w:after="0"/>
        <w:ind w:left="798" w:right="124" w:hanging="502"/>
        <w:jc w:val="both"/>
        <w:rPr>
          <w:sz w:val="20"/>
        </w:rPr>
      </w:pPr>
      <w:r>
        <w:rPr>
          <w:color w:val="231F1F"/>
          <w:w w:val="105"/>
          <w:sz w:val="20"/>
        </w:rPr>
        <w:t>Beilin</w:t>
      </w:r>
      <w:r>
        <w:rPr>
          <w:color w:val="231F1F"/>
          <w:spacing w:val="-13"/>
          <w:w w:val="105"/>
          <w:sz w:val="20"/>
        </w:rPr>
        <w:t> </w:t>
      </w:r>
      <w:r>
        <w:rPr>
          <w:color w:val="231F1F"/>
          <w:w w:val="105"/>
          <w:sz w:val="20"/>
        </w:rPr>
        <w:t>Y,</w:t>
      </w:r>
      <w:r>
        <w:rPr>
          <w:color w:val="231F1F"/>
          <w:spacing w:val="-12"/>
          <w:w w:val="105"/>
          <w:sz w:val="20"/>
        </w:rPr>
        <w:t> </w:t>
      </w:r>
      <w:r>
        <w:rPr>
          <w:color w:val="231F1F"/>
          <w:w w:val="105"/>
          <w:sz w:val="20"/>
        </w:rPr>
        <w:t>Bodian</w:t>
      </w:r>
      <w:r>
        <w:rPr>
          <w:color w:val="231F1F"/>
          <w:spacing w:val="-12"/>
          <w:w w:val="105"/>
          <w:sz w:val="20"/>
        </w:rPr>
        <w:t> </w:t>
      </w:r>
      <w:r>
        <w:rPr>
          <w:color w:val="231F1F"/>
          <w:w w:val="105"/>
          <w:sz w:val="20"/>
        </w:rPr>
        <w:t>CA,Weiser</w:t>
      </w:r>
      <w:r>
        <w:rPr>
          <w:color w:val="231F1F"/>
          <w:spacing w:val="-12"/>
          <w:w w:val="105"/>
          <w:sz w:val="20"/>
        </w:rPr>
        <w:t> </w:t>
      </w:r>
      <w:r>
        <w:rPr>
          <w:color w:val="231F1F"/>
          <w:w w:val="105"/>
          <w:sz w:val="20"/>
        </w:rPr>
        <w:t>J,</w:t>
      </w:r>
      <w:r>
        <w:rPr>
          <w:color w:val="231F1F"/>
          <w:spacing w:val="-12"/>
          <w:w w:val="105"/>
          <w:sz w:val="20"/>
        </w:rPr>
        <w:t> </w:t>
      </w:r>
      <w:r>
        <w:rPr>
          <w:color w:val="231F1F"/>
          <w:w w:val="105"/>
          <w:sz w:val="20"/>
        </w:rPr>
        <w:t>et</w:t>
      </w:r>
      <w:r>
        <w:rPr>
          <w:color w:val="231F1F"/>
          <w:spacing w:val="-12"/>
          <w:w w:val="105"/>
          <w:sz w:val="20"/>
        </w:rPr>
        <w:t> </w:t>
      </w:r>
      <w:r>
        <w:rPr>
          <w:color w:val="231F1F"/>
          <w:w w:val="105"/>
          <w:sz w:val="20"/>
        </w:rPr>
        <w:t>al.</w:t>
      </w:r>
      <w:r>
        <w:rPr>
          <w:color w:val="231F1F"/>
          <w:spacing w:val="-12"/>
          <w:w w:val="105"/>
          <w:sz w:val="20"/>
        </w:rPr>
        <w:t> </w:t>
      </w:r>
      <w:r>
        <w:rPr>
          <w:color w:val="231F1F"/>
          <w:w w:val="105"/>
          <w:sz w:val="20"/>
        </w:rPr>
        <w:t>Effect</w:t>
      </w:r>
      <w:r>
        <w:rPr>
          <w:color w:val="231F1F"/>
          <w:spacing w:val="-12"/>
          <w:w w:val="105"/>
          <w:sz w:val="20"/>
        </w:rPr>
        <w:t> </w:t>
      </w:r>
      <w:r>
        <w:rPr>
          <w:color w:val="231F1F"/>
          <w:w w:val="105"/>
          <w:sz w:val="20"/>
        </w:rPr>
        <w:t>of</w:t>
      </w:r>
      <w:r>
        <w:rPr>
          <w:color w:val="231F1F"/>
          <w:spacing w:val="-12"/>
          <w:w w:val="105"/>
          <w:sz w:val="20"/>
        </w:rPr>
        <w:t> </w:t>
      </w:r>
      <w:r>
        <w:rPr>
          <w:color w:val="231F1F"/>
          <w:w w:val="105"/>
          <w:sz w:val="20"/>
        </w:rPr>
        <w:t>labor</w:t>
      </w:r>
      <w:r>
        <w:rPr>
          <w:color w:val="231F1F"/>
          <w:spacing w:val="-12"/>
          <w:w w:val="105"/>
          <w:sz w:val="20"/>
        </w:rPr>
        <w:t> </w:t>
      </w:r>
      <w:r>
        <w:rPr>
          <w:color w:val="231F1F"/>
          <w:w w:val="105"/>
          <w:sz w:val="20"/>
        </w:rPr>
        <w:t>epidural</w:t>
      </w:r>
      <w:r>
        <w:rPr>
          <w:color w:val="231F1F"/>
          <w:spacing w:val="-12"/>
          <w:w w:val="105"/>
          <w:sz w:val="20"/>
        </w:rPr>
        <w:t> </w:t>
      </w:r>
      <w:r>
        <w:rPr>
          <w:color w:val="231F1F"/>
          <w:w w:val="105"/>
          <w:sz w:val="20"/>
        </w:rPr>
        <w:t>analgesia</w:t>
      </w:r>
      <w:r>
        <w:rPr>
          <w:color w:val="231F1F"/>
          <w:spacing w:val="-12"/>
          <w:w w:val="105"/>
          <w:sz w:val="20"/>
        </w:rPr>
        <w:t> </w:t>
      </w:r>
      <w:r>
        <w:rPr>
          <w:color w:val="231F1F"/>
          <w:w w:val="105"/>
          <w:sz w:val="20"/>
        </w:rPr>
        <w:t>with</w:t>
      </w:r>
      <w:r>
        <w:rPr>
          <w:color w:val="231F1F"/>
          <w:spacing w:val="-12"/>
          <w:w w:val="105"/>
          <w:sz w:val="20"/>
        </w:rPr>
        <w:t> </w:t>
      </w:r>
      <w:r>
        <w:rPr>
          <w:color w:val="231F1F"/>
          <w:w w:val="105"/>
          <w:sz w:val="20"/>
        </w:rPr>
        <w:t>and</w:t>
      </w:r>
      <w:r>
        <w:rPr>
          <w:color w:val="231F1F"/>
          <w:spacing w:val="-12"/>
          <w:w w:val="105"/>
          <w:sz w:val="20"/>
        </w:rPr>
        <w:t> </w:t>
      </w:r>
      <w:r>
        <w:rPr>
          <w:color w:val="231F1F"/>
          <w:w w:val="105"/>
          <w:sz w:val="20"/>
        </w:rPr>
        <w:t>without</w:t>
      </w:r>
      <w:r>
        <w:rPr>
          <w:color w:val="231F1F"/>
          <w:spacing w:val="-12"/>
          <w:w w:val="105"/>
          <w:sz w:val="20"/>
        </w:rPr>
        <w:t> </w:t>
      </w:r>
      <w:r>
        <w:rPr>
          <w:color w:val="231F1F"/>
          <w:w w:val="105"/>
          <w:sz w:val="20"/>
        </w:rPr>
        <w:t>fentanyl on</w:t>
      </w:r>
      <w:r>
        <w:rPr>
          <w:color w:val="231F1F"/>
          <w:w w:val="105"/>
          <w:sz w:val="20"/>
        </w:rPr>
        <w:t> infant</w:t>
      </w:r>
      <w:r>
        <w:rPr>
          <w:color w:val="231F1F"/>
          <w:w w:val="105"/>
          <w:sz w:val="20"/>
        </w:rPr>
        <w:t> breast-feeding:</w:t>
      </w:r>
      <w:r>
        <w:rPr>
          <w:color w:val="231F1F"/>
          <w:w w:val="105"/>
          <w:sz w:val="20"/>
        </w:rPr>
        <w:t> a</w:t>
      </w:r>
      <w:r>
        <w:rPr>
          <w:color w:val="231F1F"/>
          <w:w w:val="105"/>
          <w:sz w:val="20"/>
        </w:rPr>
        <w:t> prospective,</w:t>
      </w:r>
      <w:r>
        <w:rPr>
          <w:color w:val="231F1F"/>
          <w:w w:val="105"/>
          <w:sz w:val="20"/>
        </w:rPr>
        <w:t> randomized,</w:t>
      </w:r>
      <w:r>
        <w:rPr>
          <w:color w:val="231F1F"/>
          <w:w w:val="105"/>
          <w:sz w:val="20"/>
        </w:rPr>
        <w:t> double-blind</w:t>
      </w:r>
      <w:r>
        <w:rPr>
          <w:color w:val="231F1F"/>
          <w:w w:val="105"/>
          <w:sz w:val="20"/>
        </w:rPr>
        <w:t> study.</w:t>
      </w:r>
      <w:r>
        <w:rPr>
          <w:color w:val="231F1F"/>
          <w:w w:val="105"/>
          <w:sz w:val="20"/>
        </w:rPr>
        <w:t> Anesthesiology </w:t>
      </w:r>
      <w:r>
        <w:rPr>
          <w:color w:val="231F1F"/>
          <w:spacing w:val="-2"/>
          <w:w w:val="105"/>
          <w:sz w:val="20"/>
        </w:rPr>
        <w:t>2005;103(6):1211-7.</w:t>
      </w:r>
    </w:p>
    <w:p>
      <w:pPr>
        <w:pStyle w:val="ListParagraph"/>
        <w:numPr>
          <w:ilvl w:val="0"/>
          <w:numId w:val="109"/>
        </w:numPr>
        <w:tabs>
          <w:tab w:pos="794" w:val="left" w:leader="none"/>
          <w:tab w:pos="798" w:val="left" w:leader="none"/>
        </w:tabs>
        <w:spacing w:line="220" w:lineRule="auto" w:before="166" w:after="0"/>
        <w:ind w:left="798" w:right="345" w:hanging="502"/>
        <w:jc w:val="left"/>
        <w:rPr>
          <w:sz w:val="20"/>
        </w:rPr>
      </w:pPr>
      <w:r>
        <w:rPr>
          <w:color w:val="231F1F"/>
          <w:w w:val="105"/>
          <w:sz w:val="20"/>
        </w:rPr>
        <w:t>Jordan</w:t>
      </w:r>
      <w:r>
        <w:rPr>
          <w:color w:val="231F1F"/>
          <w:spacing w:val="-10"/>
          <w:w w:val="105"/>
          <w:sz w:val="20"/>
        </w:rPr>
        <w:t> </w:t>
      </w:r>
      <w:r>
        <w:rPr>
          <w:color w:val="231F1F"/>
          <w:w w:val="105"/>
          <w:sz w:val="20"/>
        </w:rPr>
        <w:t>S,</w:t>
      </w:r>
      <w:r>
        <w:rPr>
          <w:color w:val="231F1F"/>
          <w:spacing w:val="-7"/>
          <w:w w:val="105"/>
          <w:sz w:val="20"/>
        </w:rPr>
        <w:t> </w:t>
      </w:r>
      <w:r>
        <w:rPr>
          <w:color w:val="231F1F"/>
          <w:w w:val="105"/>
          <w:sz w:val="20"/>
        </w:rPr>
        <w:t>Emery</w:t>
      </w:r>
      <w:r>
        <w:rPr>
          <w:color w:val="231F1F"/>
          <w:spacing w:val="-6"/>
          <w:w w:val="105"/>
          <w:sz w:val="20"/>
        </w:rPr>
        <w:t> </w:t>
      </w:r>
      <w:r>
        <w:rPr>
          <w:color w:val="231F1F"/>
          <w:w w:val="105"/>
          <w:sz w:val="20"/>
        </w:rPr>
        <w:t>S,</w:t>
      </w:r>
      <w:r>
        <w:rPr>
          <w:color w:val="231F1F"/>
          <w:spacing w:val="-7"/>
          <w:w w:val="105"/>
          <w:sz w:val="20"/>
        </w:rPr>
        <w:t> </w:t>
      </w:r>
      <w:r>
        <w:rPr>
          <w:color w:val="231F1F"/>
          <w:w w:val="105"/>
          <w:sz w:val="20"/>
        </w:rPr>
        <w:t>Bradshaw</w:t>
      </w:r>
      <w:r>
        <w:rPr>
          <w:color w:val="231F1F"/>
          <w:spacing w:val="-7"/>
          <w:w w:val="105"/>
          <w:sz w:val="20"/>
        </w:rPr>
        <w:t> </w:t>
      </w:r>
      <w:r>
        <w:rPr>
          <w:color w:val="231F1F"/>
          <w:w w:val="105"/>
          <w:sz w:val="20"/>
        </w:rPr>
        <w:t>C,</w:t>
      </w:r>
      <w:r>
        <w:rPr>
          <w:color w:val="231F1F"/>
          <w:spacing w:val="-7"/>
          <w:w w:val="105"/>
          <w:sz w:val="20"/>
        </w:rPr>
        <w:t> </w:t>
      </w:r>
      <w:r>
        <w:rPr>
          <w:color w:val="231F1F"/>
          <w:w w:val="105"/>
          <w:sz w:val="20"/>
        </w:rPr>
        <w:t>et</w:t>
      </w:r>
      <w:r>
        <w:rPr>
          <w:color w:val="231F1F"/>
          <w:spacing w:val="-6"/>
          <w:w w:val="105"/>
          <w:sz w:val="20"/>
        </w:rPr>
        <w:t> </w:t>
      </w:r>
      <w:r>
        <w:rPr>
          <w:color w:val="231F1F"/>
          <w:w w:val="105"/>
          <w:sz w:val="20"/>
        </w:rPr>
        <w:t>al.</w:t>
      </w:r>
      <w:r>
        <w:rPr>
          <w:color w:val="231F1F"/>
          <w:spacing w:val="-18"/>
          <w:w w:val="105"/>
          <w:sz w:val="20"/>
        </w:rPr>
        <w:t> </w:t>
      </w:r>
      <w:r>
        <w:rPr>
          <w:color w:val="231F1F"/>
          <w:w w:val="105"/>
          <w:sz w:val="20"/>
        </w:rPr>
        <w:t>The</w:t>
      </w:r>
      <w:r>
        <w:rPr>
          <w:color w:val="231F1F"/>
          <w:spacing w:val="-5"/>
          <w:w w:val="105"/>
          <w:sz w:val="20"/>
        </w:rPr>
        <w:t> </w:t>
      </w:r>
      <w:r>
        <w:rPr>
          <w:color w:val="231F1F"/>
          <w:w w:val="105"/>
          <w:sz w:val="20"/>
        </w:rPr>
        <w:t>impact</w:t>
      </w:r>
      <w:r>
        <w:rPr>
          <w:color w:val="231F1F"/>
          <w:spacing w:val="-6"/>
          <w:w w:val="105"/>
          <w:sz w:val="20"/>
        </w:rPr>
        <w:t> </w:t>
      </w:r>
      <w:r>
        <w:rPr>
          <w:color w:val="231F1F"/>
          <w:w w:val="105"/>
          <w:sz w:val="20"/>
        </w:rPr>
        <w:t>of</w:t>
      </w:r>
      <w:r>
        <w:rPr>
          <w:color w:val="231F1F"/>
          <w:spacing w:val="-6"/>
          <w:w w:val="105"/>
          <w:sz w:val="20"/>
        </w:rPr>
        <w:t> </w:t>
      </w:r>
      <w:r>
        <w:rPr>
          <w:color w:val="231F1F"/>
          <w:w w:val="105"/>
          <w:sz w:val="20"/>
        </w:rPr>
        <w:t>intrapartum</w:t>
      </w:r>
      <w:r>
        <w:rPr>
          <w:color w:val="231F1F"/>
          <w:spacing w:val="-7"/>
          <w:w w:val="105"/>
          <w:sz w:val="20"/>
        </w:rPr>
        <w:t> </w:t>
      </w:r>
      <w:r>
        <w:rPr>
          <w:color w:val="231F1F"/>
          <w:w w:val="105"/>
          <w:sz w:val="20"/>
        </w:rPr>
        <w:t>analgesia</w:t>
      </w:r>
      <w:r>
        <w:rPr>
          <w:color w:val="231F1F"/>
          <w:spacing w:val="-6"/>
          <w:w w:val="105"/>
          <w:sz w:val="20"/>
        </w:rPr>
        <w:t> </w:t>
      </w:r>
      <w:r>
        <w:rPr>
          <w:color w:val="231F1F"/>
          <w:w w:val="105"/>
          <w:sz w:val="20"/>
        </w:rPr>
        <w:t>on</w:t>
      </w:r>
      <w:r>
        <w:rPr>
          <w:color w:val="231F1F"/>
          <w:spacing w:val="-7"/>
          <w:w w:val="105"/>
          <w:sz w:val="20"/>
        </w:rPr>
        <w:t> </w:t>
      </w:r>
      <w:r>
        <w:rPr>
          <w:color w:val="231F1F"/>
          <w:w w:val="105"/>
          <w:sz w:val="20"/>
        </w:rPr>
        <w:t>infant</w:t>
      </w:r>
      <w:r>
        <w:rPr>
          <w:color w:val="231F1F"/>
          <w:spacing w:val="-6"/>
          <w:w w:val="105"/>
          <w:sz w:val="20"/>
        </w:rPr>
        <w:t> </w:t>
      </w:r>
      <w:r>
        <w:rPr>
          <w:color w:val="231F1F"/>
          <w:w w:val="105"/>
          <w:sz w:val="20"/>
        </w:rPr>
        <w:t>feeding. BJOG: an international journal ofobstetrics &amp; gynaecology 2005;112(7):927-34.</w:t>
      </w:r>
    </w:p>
    <w:p>
      <w:pPr>
        <w:pStyle w:val="ListParagraph"/>
        <w:numPr>
          <w:ilvl w:val="0"/>
          <w:numId w:val="109"/>
        </w:numPr>
        <w:tabs>
          <w:tab w:pos="794" w:val="left" w:leader="none"/>
          <w:tab w:pos="798" w:val="left" w:leader="none"/>
        </w:tabs>
        <w:spacing w:line="225" w:lineRule="auto" w:before="163" w:after="0"/>
        <w:ind w:left="798" w:right="115" w:hanging="522"/>
        <w:jc w:val="both"/>
        <w:rPr>
          <w:sz w:val="20"/>
        </w:rPr>
      </w:pPr>
      <w:r>
        <w:rPr>
          <w:color w:val="231F1F"/>
          <w:w w:val="105"/>
          <w:sz w:val="20"/>
        </w:rPr>
        <w:t>Sharma SK,</w:t>
      </w:r>
      <w:r>
        <w:rPr>
          <w:color w:val="231F1F"/>
          <w:spacing w:val="-1"/>
          <w:w w:val="105"/>
          <w:sz w:val="20"/>
        </w:rPr>
        <w:t> </w:t>
      </w:r>
      <w:r>
        <w:rPr>
          <w:color w:val="231F1F"/>
          <w:w w:val="105"/>
          <w:sz w:val="20"/>
        </w:rPr>
        <w:t>Alexander JM, Messick G, et al. Cesarean delivery: a randomized trial of epidural analgesia</w:t>
      </w:r>
      <w:r>
        <w:rPr>
          <w:color w:val="231F1F"/>
          <w:w w:val="105"/>
          <w:sz w:val="20"/>
        </w:rPr>
        <w:t> versus</w:t>
      </w:r>
      <w:r>
        <w:rPr>
          <w:color w:val="231F1F"/>
          <w:w w:val="105"/>
          <w:sz w:val="20"/>
        </w:rPr>
        <w:t> intravenous</w:t>
      </w:r>
      <w:r>
        <w:rPr>
          <w:color w:val="231F1F"/>
          <w:w w:val="105"/>
          <w:sz w:val="20"/>
        </w:rPr>
        <w:t> meperidine</w:t>
      </w:r>
      <w:r>
        <w:rPr>
          <w:color w:val="231F1F"/>
          <w:w w:val="105"/>
          <w:sz w:val="20"/>
        </w:rPr>
        <w:t> analgesia</w:t>
      </w:r>
      <w:r>
        <w:rPr>
          <w:color w:val="231F1F"/>
          <w:w w:val="105"/>
          <w:sz w:val="20"/>
        </w:rPr>
        <w:t> during</w:t>
      </w:r>
      <w:r>
        <w:rPr>
          <w:color w:val="231F1F"/>
          <w:w w:val="105"/>
          <w:sz w:val="20"/>
        </w:rPr>
        <w:t> labor</w:t>
      </w:r>
      <w:r>
        <w:rPr>
          <w:color w:val="231F1F"/>
          <w:w w:val="105"/>
          <w:sz w:val="20"/>
        </w:rPr>
        <w:t> in</w:t>
      </w:r>
      <w:r>
        <w:rPr>
          <w:color w:val="231F1F"/>
          <w:w w:val="105"/>
          <w:sz w:val="20"/>
        </w:rPr>
        <w:t> nulliparous</w:t>
      </w:r>
      <w:r>
        <w:rPr>
          <w:color w:val="231F1F"/>
          <w:w w:val="105"/>
          <w:sz w:val="20"/>
        </w:rPr>
        <w:t> women. Anesthesiology;</w:t>
      </w:r>
      <w:r>
        <w:rPr>
          <w:color w:val="231F1F"/>
          <w:spacing w:val="-16"/>
          <w:w w:val="105"/>
          <w:sz w:val="20"/>
        </w:rPr>
        <w:t> </w:t>
      </w:r>
      <w:r>
        <w:rPr>
          <w:color w:val="231F1F"/>
          <w:w w:val="105"/>
          <w:sz w:val="20"/>
        </w:rPr>
        <w:t>200;96(3):546-51.</w:t>
      </w:r>
    </w:p>
    <w:p>
      <w:pPr>
        <w:pStyle w:val="ListParagraph"/>
        <w:numPr>
          <w:ilvl w:val="0"/>
          <w:numId w:val="109"/>
        </w:numPr>
        <w:tabs>
          <w:tab w:pos="794" w:val="left" w:leader="none"/>
          <w:tab w:pos="798" w:val="left" w:leader="none"/>
        </w:tabs>
        <w:spacing w:line="220" w:lineRule="auto" w:before="176" w:after="0"/>
        <w:ind w:left="798" w:right="403" w:hanging="502"/>
        <w:jc w:val="left"/>
        <w:rPr>
          <w:sz w:val="20"/>
        </w:rPr>
      </w:pPr>
      <w:r>
        <w:rPr>
          <w:color w:val="231F1F"/>
          <w:w w:val="105"/>
          <w:sz w:val="20"/>
        </w:rPr>
        <w:t>Bucklin</w:t>
      </w:r>
      <w:r>
        <w:rPr>
          <w:color w:val="231F1F"/>
          <w:spacing w:val="-9"/>
          <w:w w:val="105"/>
          <w:sz w:val="20"/>
        </w:rPr>
        <w:t> </w:t>
      </w:r>
      <w:r>
        <w:rPr>
          <w:color w:val="231F1F"/>
          <w:w w:val="105"/>
          <w:sz w:val="20"/>
        </w:rPr>
        <w:t>BA,</w:t>
      </w:r>
      <w:r>
        <w:rPr>
          <w:color w:val="231F1F"/>
          <w:spacing w:val="-8"/>
          <w:w w:val="105"/>
          <w:sz w:val="20"/>
        </w:rPr>
        <w:t> </w:t>
      </w:r>
      <w:r>
        <w:rPr>
          <w:color w:val="231F1F"/>
          <w:w w:val="105"/>
          <w:sz w:val="20"/>
        </w:rPr>
        <w:t>Chestnut</w:t>
      </w:r>
      <w:r>
        <w:rPr>
          <w:color w:val="231F1F"/>
          <w:spacing w:val="-8"/>
          <w:w w:val="105"/>
          <w:sz w:val="20"/>
        </w:rPr>
        <w:t> </w:t>
      </w:r>
      <w:r>
        <w:rPr>
          <w:color w:val="231F1F"/>
          <w:w w:val="105"/>
          <w:sz w:val="20"/>
        </w:rPr>
        <w:t>DH,</w:t>
      </w:r>
      <w:r>
        <w:rPr>
          <w:color w:val="231F1F"/>
          <w:spacing w:val="-8"/>
          <w:w w:val="105"/>
          <w:sz w:val="20"/>
        </w:rPr>
        <w:t> </w:t>
      </w:r>
      <w:r>
        <w:rPr>
          <w:color w:val="231F1F"/>
          <w:w w:val="105"/>
          <w:sz w:val="20"/>
        </w:rPr>
        <w:t>Hawkins</w:t>
      </w:r>
      <w:r>
        <w:rPr>
          <w:color w:val="231F1F"/>
          <w:spacing w:val="-9"/>
          <w:w w:val="105"/>
          <w:sz w:val="20"/>
        </w:rPr>
        <w:t> </w:t>
      </w:r>
      <w:r>
        <w:rPr>
          <w:color w:val="231F1F"/>
          <w:w w:val="105"/>
          <w:sz w:val="20"/>
        </w:rPr>
        <w:t>JL.</w:t>
      </w:r>
      <w:r>
        <w:rPr>
          <w:color w:val="231F1F"/>
          <w:spacing w:val="-8"/>
          <w:w w:val="105"/>
          <w:sz w:val="20"/>
        </w:rPr>
        <w:t> </w:t>
      </w:r>
      <w:r>
        <w:rPr>
          <w:color w:val="231F1F"/>
          <w:w w:val="105"/>
          <w:sz w:val="20"/>
        </w:rPr>
        <w:t>Intrathecal</w:t>
      </w:r>
      <w:r>
        <w:rPr>
          <w:color w:val="231F1F"/>
          <w:spacing w:val="-8"/>
          <w:w w:val="105"/>
          <w:sz w:val="20"/>
        </w:rPr>
        <w:t> </w:t>
      </w:r>
      <w:r>
        <w:rPr>
          <w:color w:val="231F1F"/>
          <w:w w:val="105"/>
          <w:sz w:val="20"/>
        </w:rPr>
        <w:t>opioids</w:t>
      </w:r>
      <w:r>
        <w:rPr>
          <w:color w:val="231F1F"/>
          <w:spacing w:val="-9"/>
          <w:w w:val="105"/>
          <w:sz w:val="20"/>
        </w:rPr>
        <w:t> </w:t>
      </w:r>
      <w:r>
        <w:rPr>
          <w:color w:val="231F1F"/>
          <w:w w:val="105"/>
          <w:sz w:val="20"/>
        </w:rPr>
        <w:t>versus</w:t>
      </w:r>
      <w:r>
        <w:rPr>
          <w:color w:val="231F1F"/>
          <w:spacing w:val="-8"/>
          <w:w w:val="105"/>
          <w:sz w:val="20"/>
        </w:rPr>
        <w:t> </w:t>
      </w:r>
      <w:r>
        <w:rPr>
          <w:color w:val="231F1F"/>
          <w:w w:val="105"/>
          <w:sz w:val="20"/>
        </w:rPr>
        <w:t>epidural</w:t>
      </w:r>
      <w:r>
        <w:rPr>
          <w:color w:val="231F1F"/>
          <w:spacing w:val="-8"/>
          <w:w w:val="105"/>
          <w:sz w:val="20"/>
        </w:rPr>
        <w:t> </w:t>
      </w:r>
      <w:r>
        <w:rPr>
          <w:color w:val="231F1F"/>
          <w:w w:val="105"/>
          <w:sz w:val="20"/>
        </w:rPr>
        <w:t>local</w:t>
      </w:r>
      <w:r>
        <w:rPr>
          <w:color w:val="231F1F"/>
          <w:spacing w:val="-8"/>
          <w:w w:val="105"/>
          <w:sz w:val="20"/>
        </w:rPr>
        <w:t> </w:t>
      </w:r>
      <w:r>
        <w:rPr>
          <w:color w:val="231F1F"/>
          <w:w w:val="105"/>
          <w:sz w:val="20"/>
        </w:rPr>
        <w:t>anesthetics for labor analgesia: a meta:analysis. Reg Anesth Pain Med 2002;Jan-Feb;27(1):23-30.</w:t>
      </w:r>
    </w:p>
    <w:p>
      <w:pPr>
        <w:pStyle w:val="ListParagraph"/>
        <w:numPr>
          <w:ilvl w:val="0"/>
          <w:numId w:val="109"/>
        </w:numPr>
        <w:tabs>
          <w:tab w:pos="793" w:val="left" w:leader="none"/>
          <w:tab w:pos="797" w:val="left" w:leader="none"/>
        </w:tabs>
        <w:spacing w:line="232" w:lineRule="auto" w:before="139" w:after="0"/>
        <w:ind w:left="797" w:right="112" w:hanging="502"/>
        <w:jc w:val="both"/>
        <w:rPr>
          <w:sz w:val="20"/>
        </w:rPr>
      </w:pPr>
      <w:r>
        <w:rPr>
          <w:color w:val="231F1F"/>
          <w:w w:val="110"/>
          <w:position w:val="1"/>
          <w:sz w:val="20"/>
        </w:rPr>
        <w:t>Torvaldsen</w:t>
      </w:r>
      <w:r>
        <w:rPr>
          <w:color w:val="231F1F"/>
          <w:w w:val="110"/>
          <w:position w:val="1"/>
          <w:sz w:val="20"/>
        </w:rPr>
        <w:t> S,</w:t>
      </w:r>
      <w:r>
        <w:rPr>
          <w:color w:val="231F1F"/>
          <w:w w:val="110"/>
          <w:position w:val="1"/>
          <w:sz w:val="20"/>
        </w:rPr>
        <w:t> Roberts</w:t>
      </w:r>
      <w:r>
        <w:rPr>
          <w:color w:val="231F1F"/>
          <w:w w:val="110"/>
          <w:position w:val="1"/>
          <w:sz w:val="20"/>
        </w:rPr>
        <w:t> CL,</w:t>
      </w:r>
      <w:r>
        <w:rPr>
          <w:color w:val="231F1F"/>
          <w:w w:val="110"/>
          <w:position w:val="1"/>
          <w:sz w:val="20"/>
        </w:rPr>
        <w:t> Bell</w:t>
      </w:r>
      <w:r>
        <w:rPr>
          <w:color w:val="231F1F"/>
          <w:w w:val="110"/>
          <w:position w:val="1"/>
          <w:sz w:val="20"/>
        </w:rPr>
        <w:t> JC,</w:t>
      </w:r>
      <w:r>
        <w:rPr>
          <w:color w:val="231F1F"/>
          <w:w w:val="110"/>
          <w:position w:val="1"/>
          <w:sz w:val="20"/>
        </w:rPr>
        <w:t> Raynes-Greenow</w:t>
      </w:r>
      <w:r>
        <w:rPr>
          <w:color w:val="231F1F"/>
          <w:w w:val="110"/>
          <w:position w:val="1"/>
          <w:sz w:val="20"/>
        </w:rPr>
        <w:t> CH.</w:t>
      </w:r>
      <w:r>
        <w:rPr>
          <w:color w:val="231F1F"/>
          <w:w w:val="110"/>
          <w:position w:val="1"/>
          <w:sz w:val="20"/>
        </w:rPr>
        <w:t> Discontinuation</w:t>
      </w:r>
      <w:r>
        <w:rPr>
          <w:color w:val="231F1F"/>
          <w:w w:val="110"/>
          <w:position w:val="1"/>
          <w:sz w:val="20"/>
        </w:rPr>
        <w:t> of</w:t>
      </w:r>
      <w:r>
        <w:rPr>
          <w:color w:val="231F1F"/>
          <w:w w:val="110"/>
          <w:position w:val="1"/>
          <w:sz w:val="20"/>
        </w:rPr>
        <w:t> epidural </w:t>
      </w:r>
      <w:r>
        <w:rPr>
          <w:color w:val="231F1F"/>
          <w:w w:val="110"/>
          <w:sz w:val="20"/>
        </w:rPr>
        <w:t>analgesia</w:t>
      </w:r>
      <w:r>
        <w:rPr>
          <w:color w:val="231F1F"/>
          <w:spacing w:val="-10"/>
          <w:w w:val="110"/>
          <w:sz w:val="20"/>
        </w:rPr>
        <w:t> </w:t>
      </w:r>
      <w:r>
        <w:rPr>
          <w:color w:val="231F1F"/>
          <w:w w:val="110"/>
          <w:sz w:val="20"/>
        </w:rPr>
        <w:t>late</w:t>
      </w:r>
      <w:r>
        <w:rPr>
          <w:color w:val="231F1F"/>
          <w:spacing w:val="-9"/>
          <w:w w:val="110"/>
          <w:sz w:val="20"/>
        </w:rPr>
        <w:t> </w:t>
      </w:r>
      <w:r>
        <w:rPr>
          <w:color w:val="231F1F"/>
          <w:w w:val="110"/>
          <w:sz w:val="20"/>
        </w:rPr>
        <w:t>in</w:t>
      </w:r>
      <w:r>
        <w:rPr>
          <w:color w:val="231F1F"/>
          <w:spacing w:val="-9"/>
          <w:w w:val="110"/>
          <w:sz w:val="20"/>
        </w:rPr>
        <w:t> </w:t>
      </w:r>
      <w:r>
        <w:rPr>
          <w:color w:val="231F1F"/>
          <w:w w:val="110"/>
          <w:sz w:val="20"/>
        </w:rPr>
        <w:t>labour</w:t>
      </w:r>
      <w:r>
        <w:rPr>
          <w:color w:val="231F1F"/>
          <w:spacing w:val="-9"/>
          <w:w w:val="110"/>
          <w:sz w:val="20"/>
        </w:rPr>
        <w:t> </w:t>
      </w:r>
      <w:r>
        <w:rPr>
          <w:color w:val="231F1F"/>
          <w:w w:val="110"/>
          <w:sz w:val="20"/>
        </w:rPr>
        <w:t>for</w:t>
      </w:r>
      <w:r>
        <w:rPr>
          <w:color w:val="231F1F"/>
          <w:spacing w:val="-9"/>
          <w:w w:val="110"/>
          <w:sz w:val="20"/>
        </w:rPr>
        <w:t> </w:t>
      </w:r>
      <w:r>
        <w:rPr>
          <w:color w:val="231F1F"/>
          <w:w w:val="110"/>
          <w:sz w:val="20"/>
        </w:rPr>
        <w:t>reducing</w:t>
      </w:r>
      <w:r>
        <w:rPr>
          <w:color w:val="231F1F"/>
          <w:spacing w:val="-9"/>
          <w:w w:val="110"/>
          <w:sz w:val="20"/>
        </w:rPr>
        <w:t> </w:t>
      </w:r>
      <w:r>
        <w:rPr>
          <w:color w:val="231F1F"/>
          <w:w w:val="110"/>
          <w:sz w:val="20"/>
        </w:rPr>
        <w:t>the</w:t>
      </w:r>
      <w:r>
        <w:rPr>
          <w:color w:val="231F1F"/>
          <w:spacing w:val="-9"/>
          <w:w w:val="110"/>
          <w:sz w:val="20"/>
        </w:rPr>
        <w:t> </w:t>
      </w:r>
      <w:r>
        <w:rPr>
          <w:color w:val="231F1F"/>
          <w:w w:val="110"/>
          <w:sz w:val="20"/>
        </w:rPr>
        <w:t>adverse</w:t>
      </w:r>
      <w:r>
        <w:rPr>
          <w:color w:val="231F1F"/>
          <w:spacing w:val="-10"/>
          <w:w w:val="110"/>
          <w:sz w:val="20"/>
        </w:rPr>
        <w:t> </w:t>
      </w:r>
      <w:r>
        <w:rPr>
          <w:color w:val="231F1F"/>
          <w:w w:val="110"/>
          <w:sz w:val="20"/>
        </w:rPr>
        <w:t>delivery</w:t>
      </w:r>
      <w:r>
        <w:rPr>
          <w:color w:val="231F1F"/>
          <w:spacing w:val="-9"/>
          <w:w w:val="110"/>
          <w:sz w:val="20"/>
        </w:rPr>
        <w:t> </w:t>
      </w:r>
      <w:r>
        <w:rPr>
          <w:color w:val="231F1F"/>
          <w:w w:val="110"/>
          <w:sz w:val="20"/>
        </w:rPr>
        <w:t>outcomes</w:t>
      </w:r>
      <w:r>
        <w:rPr>
          <w:color w:val="231F1F"/>
          <w:spacing w:val="-9"/>
          <w:w w:val="110"/>
          <w:sz w:val="20"/>
        </w:rPr>
        <w:t> </w:t>
      </w:r>
      <w:r>
        <w:rPr>
          <w:color w:val="231F1F"/>
          <w:w w:val="110"/>
          <w:sz w:val="20"/>
        </w:rPr>
        <w:t>associated</w:t>
      </w:r>
      <w:r>
        <w:rPr>
          <w:color w:val="231F1F"/>
          <w:spacing w:val="-10"/>
          <w:w w:val="110"/>
          <w:sz w:val="20"/>
        </w:rPr>
        <w:t> </w:t>
      </w:r>
      <w:r>
        <w:rPr>
          <w:color w:val="231F1F"/>
          <w:w w:val="110"/>
          <w:sz w:val="20"/>
        </w:rPr>
        <w:t>with</w:t>
      </w:r>
      <w:r>
        <w:rPr>
          <w:color w:val="231F1F"/>
          <w:spacing w:val="-10"/>
          <w:w w:val="110"/>
          <w:sz w:val="20"/>
        </w:rPr>
        <w:t> </w:t>
      </w:r>
      <w:r>
        <w:rPr>
          <w:color w:val="231F1F"/>
          <w:w w:val="110"/>
          <w:sz w:val="20"/>
        </w:rPr>
        <w:t>epidural analgesia.</w:t>
      </w:r>
      <w:r>
        <w:rPr>
          <w:color w:val="231F1F"/>
          <w:spacing w:val="-14"/>
          <w:w w:val="110"/>
          <w:sz w:val="20"/>
        </w:rPr>
        <w:t> </w:t>
      </w:r>
      <w:r>
        <w:rPr>
          <w:color w:val="231F1F"/>
          <w:w w:val="110"/>
          <w:sz w:val="20"/>
        </w:rPr>
        <w:t>(Cochrane</w:t>
      </w:r>
      <w:r>
        <w:rPr>
          <w:color w:val="231F1F"/>
          <w:spacing w:val="-14"/>
          <w:w w:val="110"/>
          <w:sz w:val="20"/>
        </w:rPr>
        <w:t> </w:t>
      </w:r>
      <w:r>
        <w:rPr>
          <w:color w:val="231F1F"/>
          <w:w w:val="110"/>
          <w:sz w:val="20"/>
        </w:rPr>
        <w:t>Review).</w:t>
      </w:r>
      <w:r>
        <w:rPr>
          <w:color w:val="231F1F"/>
          <w:spacing w:val="-14"/>
          <w:w w:val="110"/>
          <w:sz w:val="20"/>
        </w:rPr>
        <w:t> </w:t>
      </w:r>
      <w:r>
        <w:rPr>
          <w:color w:val="231F1F"/>
          <w:w w:val="110"/>
          <w:sz w:val="20"/>
        </w:rPr>
        <w:t>In:</w:t>
      </w:r>
      <w:r>
        <w:rPr>
          <w:color w:val="231F1F"/>
          <w:spacing w:val="-13"/>
          <w:w w:val="110"/>
          <w:sz w:val="20"/>
        </w:rPr>
        <w:t> </w:t>
      </w:r>
      <w:r>
        <w:rPr>
          <w:color w:val="231F1F"/>
          <w:w w:val="110"/>
          <w:sz w:val="20"/>
        </w:rPr>
        <w:t>Cochrane</w:t>
      </w:r>
      <w:r>
        <w:rPr>
          <w:color w:val="231F1F"/>
          <w:spacing w:val="-14"/>
          <w:w w:val="110"/>
          <w:sz w:val="20"/>
        </w:rPr>
        <w:t> </w:t>
      </w:r>
      <w:r>
        <w:rPr>
          <w:color w:val="231F1F"/>
          <w:w w:val="110"/>
          <w:sz w:val="20"/>
        </w:rPr>
        <w:t>Database</w:t>
      </w:r>
      <w:r>
        <w:rPr>
          <w:color w:val="231F1F"/>
          <w:spacing w:val="-14"/>
          <w:w w:val="110"/>
          <w:sz w:val="20"/>
        </w:rPr>
        <w:t> </w:t>
      </w:r>
      <w:r>
        <w:rPr>
          <w:color w:val="231F1F"/>
          <w:w w:val="110"/>
          <w:sz w:val="20"/>
        </w:rPr>
        <w:t>of</w:t>
      </w:r>
      <w:r>
        <w:rPr>
          <w:color w:val="231F1F"/>
          <w:spacing w:val="-14"/>
          <w:w w:val="110"/>
          <w:sz w:val="20"/>
        </w:rPr>
        <w:t> </w:t>
      </w:r>
      <w:r>
        <w:rPr>
          <w:color w:val="231F1F"/>
          <w:w w:val="110"/>
          <w:sz w:val="20"/>
        </w:rPr>
        <w:t>Systematic</w:t>
      </w:r>
      <w:r>
        <w:rPr>
          <w:color w:val="231F1F"/>
          <w:spacing w:val="-13"/>
          <w:w w:val="110"/>
          <w:sz w:val="20"/>
        </w:rPr>
        <w:t> </w:t>
      </w:r>
      <w:r>
        <w:rPr>
          <w:color w:val="231F1F"/>
          <w:w w:val="110"/>
          <w:sz w:val="20"/>
        </w:rPr>
        <w:t>Reviews,</w:t>
      </w:r>
      <w:r>
        <w:rPr>
          <w:color w:val="231F1F"/>
          <w:spacing w:val="-14"/>
          <w:w w:val="110"/>
          <w:sz w:val="20"/>
        </w:rPr>
        <w:t> </w:t>
      </w:r>
      <w:r>
        <w:rPr>
          <w:color w:val="231F1F"/>
          <w:w w:val="110"/>
          <w:sz w:val="20"/>
        </w:rPr>
        <w:t>Issue</w:t>
      </w:r>
      <w:r>
        <w:rPr>
          <w:color w:val="231F1F"/>
          <w:spacing w:val="-14"/>
          <w:w w:val="110"/>
          <w:sz w:val="20"/>
        </w:rPr>
        <w:t> </w:t>
      </w:r>
      <w:r>
        <w:rPr>
          <w:color w:val="231F1F"/>
          <w:w w:val="110"/>
          <w:sz w:val="20"/>
        </w:rPr>
        <w:t>Oxford, 2005;Oxford: Update Software.</w:t>
      </w:r>
    </w:p>
    <w:p>
      <w:pPr>
        <w:pStyle w:val="ListParagraph"/>
        <w:spacing w:after="0" w:line="232" w:lineRule="auto"/>
        <w:jc w:val="both"/>
        <w:rPr>
          <w:sz w:val="20"/>
        </w:rPr>
        <w:sectPr>
          <w:pgSz w:w="11900" w:h="16840"/>
          <w:pgMar w:header="0" w:footer="622" w:top="1560" w:bottom="820" w:left="1417" w:right="1559"/>
        </w:sectPr>
      </w:pPr>
    </w:p>
    <w:p>
      <w:pPr>
        <w:pStyle w:val="ListParagraph"/>
        <w:numPr>
          <w:ilvl w:val="0"/>
          <w:numId w:val="109"/>
        </w:numPr>
        <w:tabs>
          <w:tab w:pos="794" w:val="left" w:leader="none"/>
          <w:tab w:pos="798" w:val="left" w:leader="none"/>
        </w:tabs>
        <w:spacing w:line="225" w:lineRule="auto" w:before="93" w:after="0"/>
        <w:ind w:left="798" w:right="499" w:hanging="502"/>
        <w:jc w:val="left"/>
        <w:rPr>
          <w:sz w:val="20"/>
        </w:rPr>
      </w:pPr>
      <w:r>
        <w:rPr>
          <w:color w:val="231F1F"/>
          <w:sz w:val="20"/>
        </w:rPr>
        <w:t>Nelson</w:t>
      </w:r>
      <w:r>
        <w:rPr>
          <w:color w:val="231F1F"/>
          <w:spacing w:val="-9"/>
          <w:sz w:val="20"/>
        </w:rPr>
        <w:t> </w:t>
      </w:r>
      <w:r>
        <w:rPr>
          <w:color w:val="231F1F"/>
          <w:sz w:val="20"/>
        </w:rPr>
        <w:t>KB,</w:t>
      </w:r>
      <w:r>
        <w:rPr>
          <w:color w:val="231F1F"/>
          <w:spacing w:val="-14"/>
          <w:sz w:val="20"/>
        </w:rPr>
        <w:t> </w:t>
      </w:r>
      <w:r>
        <w:rPr>
          <w:color w:val="231F1F"/>
          <w:sz w:val="20"/>
        </w:rPr>
        <w:t>Dambrosia</w:t>
      </w:r>
      <w:r>
        <w:rPr>
          <w:color w:val="231F1F"/>
          <w:spacing w:val="-3"/>
          <w:sz w:val="20"/>
        </w:rPr>
        <w:t> </w:t>
      </w:r>
      <w:r>
        <w:rPr>
          <w:color w:val="231F1F"/>
          <w:sz w:val="20"/>
        </w:rPr>
        <w:t>JM,Ting</w:t>
      </w:r>
      <w:r>
        <w:rPr>
          <w:color w:val="231F1F"/>
          <w:spacing w:val="-15"/>
          <w:sz w:val="20"/>
        </w:rPr>
        <w:t> </w:t>
      </w:r>
      <w:r>
        <w:rPr>
          <w:color w:val="231F1F"/>
          <w:sz w:val="20"/>
        </w:rPr>
        <w:t>TY,</w:t>
      </w:r>
      <w:r>
        <w:rPr>
          <w:color w:val="231F1F"/>
          <w:spacing w:val="-13"/>
          <w:sz w:val="20"/>
        </w:rPr>
        <w:t> </w:t>
      </w:r>
      <w:r>
        <w:rPr>
          <w:color w:val="231F1F"/>
          <w:sz w:val="20"/>
        </w:rPr>
        <w:t>Grether</w:t>
      </w:r>
      <w:r>
        <w:rPr>
          <w:color w:val="231F1F"/>
          <w:spacing w:val="-3"/>
          <w:sz w:val="20"/>
        </w:rPr>
        <w:t> </w:t>
      </w:r>
      <w:r>
        <w:rPr>
          <w:color w:val="231F1F"/>
          <w:sz w:val="20"/>
        </w:rPr>
        <w:t>JK.</w:t>
      </w:r>
      <w:r>
        <w:rPr>
          <w:color w:val="231F1F"/>
          <w:spacing w:val="-14"/>
          <w:sz w:val="20"/>
        </w:rPr>
        <w:t> </w:t>
      </w:r>
      <w:r>
        <w:rPr>
          <w:color w:val="231F1F"/>
          <w:sz w:val="20"/>
        </w:rPr>
        <w:t>Uncertain</w:t>
      </w:r>
      <w:r>
        <w:rPr>
          <w:color w:val="231F1F"/>
          <w:spacing w:val="-3"/>
          <w:sz w:val="20"/>
        </w:rPr>
        <w:t> </w:t>
      </w:r>
      <w:r>
        <w:rPr>
          <w:color w:val="231F1F"/>
          <w:sz w:val="20"/>
        </w:rPr>
        <w:t>value</w:t>
      </w:r>
      <w:r>
        <w:rPr>
          <w:color w:val="231F1F"/>
          <w:spacing w:val="-3"/>
          <w:sz w:val="20"/>
        </w:rPr>
        <w:t> </w:t>
      </w:r>
      <w:r>
        <w:rPr>
          <w:color w:val="231F1F"/>
          <w:sz w:val="20"/>
        </w:rPr>
        <w:t>of</w:t>
      </w:r>
      <w:r>
        <w:rPr>
          <w:color w:val="231F1F"/>
          <w:spacing w:val="-3"/>
          <w:sz w:val="20"/>
        </w:rPr>
        <w:t> </w:t>
      </w:r>
      <w:r>
        <w:rPr>
          <w:color w:val="231F1F"/>
          <w:sz w:val="20"/>
        </w:rPr>
        <w:t>electronic</w:t>
      </w:r>
      <w:r>
        <w:rPr>
          <w:color w:val="231F1F"/>
          <w:spacing w:val="-3"/>
          <w:sz w:val="20"/>
        </w:rPr>
        <w:t> </w:t>
      </w:r>
      <w:r>
        <w:rPr>
          <w:color w:val="231F1F"/>
          <w:sz w:val="20"/>
        </w:rPr>
        <w:t>fetal</w:t>
      </w:r>
      <w:r>
        <w:rPr>
          <w:color w:val="231F1F"/>
          <w:spacing w:val="-3"/>
          <w:sz w:val="20"/>
        </w:rPr>
        <w:t> </w:t>
      </w:r>
      <w:r>
        <w:rPr>
          <w:color w:val="231F1F"/>
          <w:sz w:val="20"/>
        </w:rPr>
        <w:t>monitoring in</w:t>
      </w:r>
      <w:r>
        <w:rPr>
          <w:color w:val="231F1F"/>
          <w:spacing w:val="40"/>
          <w:sz w:val="20"/>
        </w:rPr>
        <w:t> </w:t>
      </w:r>
      <w:r>
        <w:rPr>
          <w:color w:val="231F1F"/>
          <w:sz w:val="20"/>
        </w:rPr>
        <w:t>predicting</w:t>
      </w:r>
      <w:r>
        <w:rPr>
          <w:color w:val="231F1F"/>
          <w:spacing w:val="40"/>
          <w:sz w:val="20"/>
        </w:rPr>
        <w:t> </w:t>
      </w:r>
      <w:r>
        <w:rPr>
          <w:color w:val="231F1F"/>
          <w:sz w:val="20"/>
        </w:rPr>
        <w:t>cerebral</w:t>
      </w:r>
      <w:r>
        <w:rPr>
          <w:color w:val="231F1F"/>
          <w:spacing w:val="40"/>
          <w:sz w:val="20"/>
        </w:rPr>
        <w:t> </w:t>
      </w:r>
      <w:r>
        <w:rPr>
          <w:color w:val="231F1F"/>
          <w:sz w:val="20"/>
        </w:rPr>
        <w:t>palsy.</w:t>
      </w:r>
      <w:r>
        <w:rPr>
          <w:color w:val="231F1F"/>
          <w:spacing w:val="40"/>
          <w:sz w:val="20"/>
        </w:rPr>
        <w:t> </w:t>
      </w:r>
      <w:r>
        <w:rPr>
          <w:color w:val="231F1F"/>
          <w:sz w:val="20"/>
        </w:rPr>
        <w:t>N</w:t>
      </w:r>
      <w:r>
        <w:rPr>
          <w:color w:val="231F1F"/>
          <w:spacing w:val="40"/>
          <w:sz w:val="20"/>
        </w:rPr>
        <w:t> </w:t>
      </w:r>
      <w:r>
        <w:rPr>
          <w:color w:val="231F1F"/>
          <w:sz w:val="20"/>
        </w:rPr>
        <w:t>Engl</w:t>
      </w:r>
      <w:r>
        <w:rPr>
          <w:color w:val="231F1F"/>
          <w:spacing w:val="40"/>
          <w:sz w:val="20"/>
        </w:rPr>
        <w:t> </w:t>
      </w:r>
      <w:r>
        <w:rPr>
          <w:color w:val="231F1F"/>
          <w:sz w:val="20"/>
        </w:rPr>
        <w:t>J</w:t>
      </w:r>
      <w:r>
        <w:rPr>
          <w:color w:val="231F1F"/>
          <w:spacing w:val="40"/>
          <w:sz w:val="20"/>
        </w:rPr>
        <w:t> </w:t>
      </w:r>
      <w:r>
        <w:rPr>
          <w:color w:val="231F1F"/>
          <w:sz w:val="20"/>
        </w:rPr>
        <w:t>Med</w:t>
      </w:r>
      <w:r>
        <w:rPr>
          <w:color w:val="231F1F"/>
          <w:spacing w:val="40"/>
          <w:sz w:val="20"/>
        </w:rPr>
        <w:t> </w:t>
      </w:r>
      <w:r>
        <w:rPr>
          <w:color w:val="231F1F"/>
          <w:sz w:val="20"/>
        </w:rPr>
        <w:t>1996;334:613-8.</w:t>
      </w:r>
    </w:p>
    <w:p>
      <w:pPr>
        <w:pStyle w:val="ListParagraph"/>
        <w:numPr>
          <w:ilvl w:val="0"/>
          <w:numId w:val="109"/>
        </w:numPr>
        <w:tabs>
          <w:tab w:pos="794" w:val="left" w:leader="none"/>
          <w:tab w:pos="798" w:val="left" w:leader="none"/>
        </w:tabs>
        <w:spacing w:line="211" w:lineRule="auto" w:before="150" w:after="0"/>
        <w:ind w:left="798" w:right="268" w:hanging="510"/>
        <w:jc w:val="left"/>
        <w:rPr>
          <w:sz w:val="20"/>
        </w:rPr>
      </w:pPr>
      <w:r>
        <w:rPr>
          <w:color w:val="231F1F"/>
          <w:w w:val="105"/>
          <w:position w:val="1"/>
          <w:sz w:val="20"/>
        </w:rPr>
        <w:t>Thacker</w:t>
      </w:r>
      <w:r>
        <w:rPr>
          <w:color w:val="231F1F"/>
          <w:spacing w:val="34"/>
          <w:w w:val="105"/>
          <w:position w:val="1"/>
          <w:sz w:val="20"/>
        </w:rPr>
        <w:t> </w:t>
      </w:r>
      <w:r>
        <w:rPr>
          <w:color w:val="231F1F"/>
          <w:w w:val="105"/>
          <w:position w:val="1"/>
          <w:sz w:val="20"/>
        </w:rPr>
        <w:t>SB,</w:t>
      </w:r>
      <w:r>
        <w:rPr>
          <w:color w:val="231F1F"/>
          <w:spacing w:val="26"/>
          <w:w w:val="105"/>
          <w:position w:val="1"/>
          <w:sz w:val="20"/>
        </w:rPr>
        <w:t> </w:t>
      </w:r>
      <w:r>
        <w:rPr>
          <w:color w:val="231F1F"/>
          <w:w w:val="105"/>
          <w:position w:val="1"/>
          <w:sz w:val="20"/>
        </w:rPr>
        <w:t>Stroup</w:t>
      </w:r>
      <w:r>
        <w:rPr>
          <w:color w:val="231F1F"/>
          <w:spacing w:val="32"/>
          <w:w w:val="105"/>
          <w:position w:val="1"/>
          <w:sz w:val="20"/>
        </w:rPr>
        <w:t> </w:t>
      </w:r>
      <w:r>
        <w:rPr>
          <w:color w:val="231F1F"/>
          <w:w w:val="105"/>
          <w:position w:val="1"/>
          <w:sz w:val="20"/>
        </w:rPr>
        <w:t>DF,</w:t>
      </w:r>
      <w:r>
        <w:rPr>
          <w:color w:val="231F1F"/>
          <w:spacing w:val="26"/>
          <w:w w:val="105"/>
          <w:position w:val="1"/>
          <w:sz w:val="20"/>
        </w:rPr>
        <w:t> </w:t>
      </w:r>
      <w:r>
        <w:rPr>
          <w:color w:val="231F1F"/>
          <w:w w:val="105"/>
          <w:position w:val="1"/>
          <w:sz w:val="20"/>
        </w:rPr>
        <w:t>Peterson</w:t>
      </w:r>
      <w:r>
        <w:rPr>
          <w:color w:val="231F1F"/>
          <w:spacing w:val="32"/>
          <w:w w:val="105"/>
          <w:position w:val="1"/>
          <w:sz w:val="20"/>
        </w:rPr>
        <w:t> </w:t>
      </w:r>
      <w:r>
        <w:rPr>
          <w:color w:val="231F1F"/>
          <w:w w:val="105"/>
          <w:position w:val="1"/>
          <w:sz w:val="20"/>
        </w:rPr>
        <w:t>HB.</w:t>
      </w:r>
      <w:r>
        <w:rPr>
          <w:color w:val="231F1F"/>
          <w:spacing w:val="26"/>
          <w:w w:val="105"/>
          <w:position w:val="1"/>
          <w:sz w:val="20"/>
        </w:rPr>
        <w:t> </w:t>
      </w:r>
      <w:r>
        <w:rPr>
          <w:color w:val="231F1F"/>
          <w:w w:val="105"/>
          <w:position w:val="1"/>
          <w:sz w:val="20"/>
        </w:rPr>
        <w:t>Efficacy</w:t>
      </w:r>
      <w:r>
        <w:rPr>
          <w:color w:val="231F1F"/>
          <w:spacing w:val="32"/>
          <w:w w:val="105"/>
          <w:position w:val="1"/>
          <w:sz w:val="20"/>
        </w:rPr>
        <w:t> </w:t>
      </w:r>
      <w:r>
        <w:rPr>
          <w:color w:val="231F1F"/>
          <w:w w:val="105"/>
          <w:position w:val="1"/>
          <w:sz w:val="20"/>
        </w:rPr>
        <w:t>and</w:t>
      </w:r>
      <w:r>
        <w:rPr>
          <w:color w:val="231F1F"/>
          <w:spacing w:val="32"/>
          <w:w w:val="105"/>
          <w:position w:val="1"/>
          <w:sz w:val="20"/>
        </w:rPr>
        <w:t> </w:t>
      </w:r>
      <w:r>
        <w:rPr>
          <w:color w:val="231F1F"/>
          <w:w w:val="105"/>
          <w:position w:val="1"/>
          <w:sz w:val="20"/>
        </w:rPr>
        <w:t>safety</w:t>
      </w:r>
      <w:r>
        <w:rPr>
          <w:color w:val="231F1F"/>
          <w:spacing w:val="32"/>
          <w:w w:val="105"/>
          <w:position w:val="1"/>
          <w:sz w:val="20"/>
        </w:rPr>
        <w:t> </w:t>
      </w:r>
      <w:r>
        <w:rPr>
          <w:color w:val="231F1F"/>
          <w:w w:val="105"/>
          <w:position w:val="1"/>
          <w:sz w:val="20"/>
        </w:rPr>
        <w:t>of</w:t>
      </w:r>
      <w:r>
        <w:rPr>
          <w:color w:val="231F1F"/>
          <w:spacing w:val="34"/>
          <w:w w:val="105"/>
          <w:position w:val="1"/>
          <w:sz w:val="20"/>
        </w:rPr>
        <w:t> </w:t>
      </w:r>
      <w:r>
        <w:rPr>
          <w:color w:val="231F1F"/>
          <w:w w:val="105"/>
          <w:position w:val="1"/>
          <w:sz w:val="20"/>
        </w:rPr>
        <w:t>intrapartum</w:t>
      </w:r>
      <w:r>
        <w:rPr>
          <w:color w:val="231F1F"/>
          <w:spacing w:val="32"/>
          <w:w w:val="105"/>
          <w:position w:val="1"/>
          <w:sz w:val="20"/>
        </w:rPr>
        <w:t> </w:t>
      </w:r>
      <w:r>
        <w:rPr>
          <w:color w:val="231F1F"/>
          <w:w w:val="105"/>
          <w:position w:val="1"/>
          <w:sz w:val="20"/>
        </w:rPr>
        <w:t>electronic</w:t>
      </w:r>
      <w:r>
        <w:rPr>
          <w:color w:val="231F1F"/>
          <w:spacing w:val="32"/>
          <w:w w:val="105"/>
          <w:position w:val="1"/>
          <w:sz w:val="20"/>
        </w:rPr>
        <w:t> </w:t>
      </w:r>
      <w:r>
        <w:rPr>
          <w:color w:val="231F1F"/>
          <w:w w:val="105"/>
          <w:position w:val="1"/>
          <w:sz w:val="20"/>
        </w:rPr>
        <w:t>fetal </w:t>
      </w:r>
      <w:r>
        <w:rPr>
          <w:color w:val="231F1F"/>
          <w:w w:val="105"/>
          <w:sz w:val="20"/>
        </w:rPr>
        <w:t>monitoring: an update. Obstetrics &amp; Gynecology 1995;86:613-20.</w:t>
      </w:r>
    </w:p>
    <w:p>
      <w:pPr>
        <w:pStyle w:val="ListParagraph"/>
        <w:numPr>
          <w:ilvl w:val="0"/>
          <w:numId w:val="109"/>
        </w:numPr>
        <w:tabs>
          <w:tab w:pos="793" w:val="left" w:leader="none"/>
          <w:tab w:pos="797" w:val="left" w:leader="none"/>
        </w:tabs>
        <w:spacing w:line="218" w:lineRule="auto" w:before="150" w:after="0"/>
        <w:ind w:left="797" w:right="113" w:hanging="502"/>
        <w:jc w:val="both"/>
        <w:rPr>
          <w:sz w:val="20"/>
        </w:rPr>
      </w:pPr>
      <w:r>
        <w:rPr>
          <w:color w:val="231F1F"/>
          <w:w w:val="110"/>
          <w:position w:val="1"/>
          <w:sz w:val="20"/>
        </w:rPr>
        <w:t>Royal</w:t>
      </w:r>
      <w:r>
        <w:rPr>
          <w:color w:val="231F1F"/>
          <w:spacing w:val="-4"/>
          <w:w w:val="110"/>
          <w:position w:val="1"/>
          <w:sz w:val="20"/>
        </w:rPr>
        <w:t> </w:t>
      </w:r>
      <w:r>
        <w:rPr>
          <w:color w:val="231F1F"/>
          <w:w w:val="110"/>
          <w:position w:val="1"/>
          <w:sz w:val="20"/>
        </w:rPr>
        <w:t>College</w:t>
      </w:r>
      <w:r>
        <w:rPr>
          <w:color w:val="231F1F"/>
          <w:spacing w:val="-3"/>
          <w:w w:val="110"/>
          <w:position w:val="1"/>
          <w:sz w:val="20"/>
        </w:rPr>
        <w:t> </w:t>
      </w:r>
      <w:r>
        <w:rPr>
          <w:color w:val="231F1F"/>
          <w:w w:val="110"/>
          <w:position w:val="1"/>
          <w:sz w:val="20"/>
        </w:rPr>
        <w:t>of</w:t>
      </w:r>
      <w:r>
        <w:rPr>
          <w:color w:val="231F1F"/>
          <w:spacing w:val="-3"/>
          <w:w w:val="110"/>
          <w:position w:val="1"/>
          <w:sz w:val="20"/>
        </w:rPr>
        <w:t> </w:t>
      </w:r>
      <w:r>
        <w:rPr>
          <w:color w:val="231F1F"/>
          <w:w w:val="110"/>
          <w:position w:val="1"/>
          <w:sz w:val="20"/>
        </w:rPr>
        <w:t>Obstetricians</w:t>
      </w:r>
      <w:r>
        <w:rPr>
          <w:color w:val="231F1F"/>
          <w:spacing w:val="-3"/>
          <w:w w:val="110"/>
          <w:position w:val="1"/>
          <w:sz w:val="20"/>
        </w:rPr>
        <w:t> </w:t>
      </w:r>
      <w:r>
        <w:rPr>
          <w:color w:val="231F1F"/>
          <w:w w:val="110"/>
          <w:position w:val="1"/>
          <w:sz w:val="20"/>
        </w:rPr>
        <w:t>and</w:t>
      </w:r>
      <w:r>
        <w:rPr>
          <w:color w:val="231F1F"/>
          <w:spacing w:val="-3"/>
          <w:w w:val="110"/>
          <w:position w:val="1"/>
          <w:sz w:val="20"/>
        </w:rPr>
        <w:t> </w:t>
      </w:r>
      <w:r>
        <w:rPr>
          <w:color w:val="231F1F"/>
          <w:w w:val="110"/>
          <w:position w:val="1"/>
          <w:sz w:val="20"/>
        </w:rPr>
        <w:t>Gynaecologists.</w:t>
      </w:r>
      <w:r>
        <w:rPr>
          <w:color w:val="231F1F"/>
          <w:spacing w:val="-4"/>
          <w:w w:val="110"/>
          <w:position w:val="1"/>
          <w:sz w:val="20"/>
        </w:rPr>
        <w:t> </w:t>
      </w:r>
      <w:r>
        <w:rPr>
          <w:color w:val="231F1F"/>
          <w:w w:val="110"/>
          <w:position w:val="1"/>
          <w:sz w:val="20"/>
        </w:rPr>
        <w:t>The</w:t>
      </w:r>
      <w:r>
        <w:rPr>
          <w:color w:val="231F1F"/>
          <w:spacing w:val="-3"/>
          <w:w w:val="110"/>
          <w:position w:val="1"/>
          <w:sz w:val="20"/>
        </w:rPr>
        <w:t> </w:t>
      </w:r>
      <w:r>
        <w:rPr>
          <w:color w:val="231F1F"/>
          <w:w w:val="110"/>
          <w:position w:val="1"/>
          <w:sz w:val="20"/>
        </w:rPr>
        <w:t>use</w:t>
      </w:r>
      <w:r>
        <w:rPr>
          <w:color w:val="231F1F"/>
          <w:spacing w:val="-3"/>
          <w:w w:val="110"/>
          <w:position w:val="1"/>
          <w:sz w:val="20"/>
        </w:rPr>
        <w:t> </w:t>
      </w:r>
      <w:r>
        <w:rPr>
          <w:color w:val="231F1F"/>
          <w:w w:val="110"/>
          <w:position w:val="1"/>
          <w:sz w:val="20"/>
        </w:rPr>
        <w:t>of</w:t>
      </w:r>
      <w:r>
        <w:rPr>
          <w:color w:val="231F1F"/>
          <w:spacing w:val="-3"/>
          <w:w w:val="110"/>
          <w:position w:val="1"/>
          <w:sz w:val="20"/>
        </w:rPr>
        <w:t> </w:t>
      </w:r>
      <w:r>
        <w:rPr>
          <w:color w:val="231F1F"/>
          <w:w w:val="110"/>
          <w:position w:val="1"/>
          <w:sz w:val="20"/>
        </w:rPr>
        <w:t>electronic</w:t>
      </w:r>
      <w:r>
        <w:rPr>
          <w:color w:val="231F1F"/>
          <w:spacing w:val="-3"/>
          <w:w w:val="110"/>
          <w:position w:val="1"/>
          <w:sz w:val="20"/>
        </w:rPr>
        <w:t> </w:t>
      </w:r>
      <w:r>
        <w:rPr>
          <w:color w:val="231F1F"/>
          <w:w w:val="110"/>
          <w:position w:val="1"/>
          <w:sz w:val="20"/>
        </w:rPr>
        <w:t>fetal</w:t>
      </w:r>
      <w:r>
        <w:rPr>
          <w:color w:val="231F1F"/>
          <w:spacing w:val="-3"/>
          <w:w w:val="110"/>
          <w:position w:val="1"/>
          <w:sz w:val="20"/>
        </w:rPr>
        <w:t> </w:t>
      </w:r>
      <w:r>
        <w:rPr>
          <w:color w:val="231F1F"/>
          <w:w w:val="110"/>
          <w:position w:val="1"/>
          <w:sz w:val="20"/>
        </w:rPr>
        <w:t>monitoring: </w:t>
      </w:r>
      <w:r>
        <w:rPr>
          <w:color w:val="231F1F"/>
          <w:w w:val="110"/>
          <w:sz w:val="20"/>
        </w:rPr>
        <w:t>the</w:t>
      </w:r>
      <w:r>
        <w:rPr>
          <w:color w:val="231F1F"/>
          <w:w w:val="110"/>
          <w:sz w:val="20"/>
        </w:rPr>
        <w:t> use</w:t>
      </w:r>
      <w:r>
        <w:rPr>
          <w:color w:val="231F1F"/>
          <w:w w:val="110"/>
          <w:sz w:val="20"/>
        </w:rPr>
        <w:t> and</w:t>
      </w:r>
      <w:r>
        <w:rPr>
          <w:color w:val="231F1F"/>
          <w:w w:val="110"/>
          <w:sz w:val="20"/>
        </w:rPr>
        <w:t> interpretation</w:t>
      </w:r>
      <w:r>
        <w:rPr>
          <w:color w:val="231F1F"/>
          <w:w w:val="110"/>
          <w:sz w:val="20"/>
        </w:rPr>
        <w:t> of</w:t>
      </w:r>
      <w:r>
        <w:rPr>
          <w:color w:val="231F1F"/>
          <w:w w:val="110"/>
          <w:sz w:val="20"/>
        </w:rPr>
        <w:t> cardiotocography</w:t>
      </w:r>
      <w:r>
        <w:rPr>
          <w:color w:val="231F1F"/>
          <w:w w:val="110"/>
          <w:sz w:val="20"/>
        </w:rPr>
        <w:t> in</w:t>
      </w:r>
      <w:r>
        <w:rPr>
          <w:color w:val="231F1F"/>
          <w:w w:val="110"/>
          <w:sz w:val="20"/>
        </w:rPr>
        <w:t> intrapartum</w:t>
      </w:r>
      <w:r>
        <w:rPr>
          <w:color w:val="231F1F"/>
          <w:w w:val="110"/>
          <w:sz w:val="20"/>
        </w:rPr>
        <w:t> fetal</w:t>
      </w:r>
      <w:r>
        <w:rPr>
          <w:color w:val="231F1F"/>
          <w:w w:val="110"/>
          <w:sz w:val="20"/>
        </w:rPr>
        <w:t> surveillance.</w:t>
      </w:r>
      <w:r>
        <w:rPr>
          <w:color w:val="231F1F"/>
          <w:w w:val="110"/>
          <w:sz w:val="20"/>
        </w:rPr>
        <w:t> Clinical Guideline Number 8 2001; London:RCOG,UK.</w:t>
      </w:r>
    </w:p>
    <w:p>
      <w:pPr>
        <w:pStyle w:val="ListParagraph"/>
        <w:numPr>
          <w:ilvl w:val="0"/>
          <w:numId w:val="109"/>
        </w:numPr>
        <w:tabs>
          <w:tab w:pos="793" w:val="left" w:leader="none"/>
          <w:tab w:pos="797" w:val="left" w:leader="none"/>
        </w:tabs>
        <w:spacing w:line="220" w:lineRule="auto" w:before="162" w:after="0"/>
        <w:ind w:left="797" w:right="121" w:hanging="502"/>
        <w:jc w:val="both"/>
        <w:rPr>
          <w:sz w:val="20"/>
        </w:rPr>
      </w:pPr>
      <w:r>
        <w:rPr>
          <w:color w:val="231F1F"/>
          <w:w w:val="110"/>
          <w:position w:val="1"/>
          <w:sz w:val="20"/>
        </w:rPr>
        <w:t>Alfirevic Z, Devane D, Gyte G. Continuous cardiotocography (CTG) monitoring for fetal </w:t>
      </w:r>
      <w:r>
        <w:rPr>
          <w:color w:val="231F1F"/>
          <w:spacing w:val="-2"/>
          <w:w w:val="110"/>
          <w:sz w:val="20"/>
        </w:rPr>
        <w:t>assessment</w:t>
      </w:r>
      <w:r>
        <w:rPr>
          <w:color w:val="231F1F"/>
          <w:spacing w:val="-8"/>
          <w:w w:val="110"/>
          <w:sz w:val="20"/>
        </w:rPr>
        <w:t> </w:t>
      </w:r>
      <w:r>
        <w:rPr>
          <w:color w:val="231F1F"/>
          <w:spacing w:val="-2"/>
          <w:w w:val="110"/>
          <w:sz w:val="20"/>
        </w:rPr>
        <w:t>during</w:t>
      </w:r>
      <w:r>
        <w:rPr>
          <w:color w:val="231F1F"/>
          <w:spacing w:val="-6"/>
          <w:w w:val="110"/>
          <w:sz w:val="20"/>
        </w:rPr>
        <w:t> </w:t>
      </w:r>
      <w:r>
        <w:rPr>
          <w:color w:val="231F1F"/>
          <w:spacing w:val="-2"/>
          <w:w w:val="110"/>
          <w:sz w:val="20"/>
        </w:rPr>
        <w:t>labour.</w:t>
      </w:r>
      <w:r>
        <w:rPr>
          <w:color w:val="231F1F"/>
          <w:spacing w:val="-7"/>
          <w:w w:val="110"/>
          <w:sz w:val="20"/>
        </w:rPr>
        <w:t> </w:t>
      </w:r>
      <w:r>
        <w:rPr>
          <w:color w:val="231F1F"/>
          <w:spacing w:val="-2"/>
          <w:w w:val="110"/>
          <w:sz w:val="20"/>
        </w:rPr>
        <w:t>(Cochrane</w:t>
      </w:r>
      <w:r>
        <w:rPr>
          <w:color w:val="231F1F"/>
          <w:spacing w:val="-5"/>
          <w:w w:val="110"/>
          <w:sz w:val="20"/>
        </w:rPr>
        <w:t> </w:t>
      </w:r>
      <w:r>
        <w:rPr>
          <w:color w:val="231F1F"/>
          <w:spacing w:val="-2"/>
          <w:w w:val="110"/>
          <w:sz w:val="20"/>
        </w:rPr>
        <w:t>Review)</w:t>
      </w:r>
      <w:r>
        <w:rPr>
          <w:color w:val="231F1F"/>
          <w:spacing w:val="-6"/>
          <w:w w:val="110"/>
          <w:sz w:val="20"/>
        </w:rPr>
        <w:t> </w:t>
      </w:r>
      <w:r>
        <w:rPr>
          <w:color w:val="231F1F"/>
          <w:spacing w:val="-2"/>
          <w:w w:val="110"/>
          <w:sz w:val="20"/>
        </w:rPr>
        <w:t>In:</w:t>
      </w:r>
      <w:r>
        <w:rPr>
          <w:color w:val="231F1F"/>
          <w:spacing w:val="-7"/>
          <w:w w:val="110"/>
          <w:sz w:val="20"/>
        </w:rPr>
        <w:t> </w:t>
      </w:r>
      <w:r>
        <w:rPr>
          <w:color w:val="231F1F"/>
          <w:spacing w:val="-2"/>
          <w:w w:val="110"/>
          <w:sz w:val="20"/>
        </w:rPr>
        <w:t>Cochrane</w:t>
      </w:r>
      <w:r>
        <w:rPr>
          <w:color w:val="231F1F"/>
          <w:spacing w:val="-6"/>
          <w:w w:val="110"/>
          <w:sz w:val="20"/>
        </w:rPr>
        <w:t> </w:t>
      </w:r>
      <w:r>
        <w:rPr>
          <w:color w:val="231F1F"/>
          <w:spacing w:val="-2"/>
          <w:w w:val="110"/>
          <w:sz w:val="20"/>
        </w:rPr>
        <w:t>Database</w:t>
      </w:r>
      <w:r>
        <w:rPr>
          <w:color w:val="231F1F"/>
          <w:spacing w:val="-6"/>
          <w:w w:val="110"/>
          <w:sz w:val="20"/>
        </w:rPr>
        <w:t> </w:t>
      </w:r>
      <w:r>
        <w:rPr>
          <w:color w:val="231F1F"/>
          <w:spacing w:val="-2"/>
          <w:w w:val="110"/>
          <w:sz w:val="20"/>
        </w:rPr>
        <w:t>of</w:t>
      </w:r>
      <w:r>
        <w:rPr>
          <w:color w:val="231F1F"/>
          <w:spacing w:val="-5"/>
          <w:w w:val="110"/>
          <w:sz w:val="20"/>
        </w:rPr>
        <w:t> </w:t>
      </w:r>
      <w:r>
        <w:rPr>
          <w:color w:val="231F1F"/>
          <w:spacing w:val="-2"/>
          <w:w w:val="110"/>
          <w:sz w:val="20"/>
        </w:rPr>
        <w:t>Systematic</w:t>
      </w:r>
      <w:r>
        <w:rPr>
          <w:color w:val="231F1F"/>
          <w:spacing w:val="-6"/>
          <w:w w:val="110"/>
          <w:sz w:val="20"/>
        </w:rPr>
        <w:t> </w:t>
      </w:r>
      <w:r>
        <w:rPr>
          <w:color w:val="231F1F"/>
          <w:spacing w:val="-2"/>
          <w:w w:val="110"/>
          <w:sz w:val="20"/>
        </w:rPr>
        <w:t>Reviews </w:t>
      </w:r>
      <w:r>
        <w:rPr>
          <w:color w:val="231F1F"/>
          <w:w w:val="110"/>
          <w:sz w:val="20"/>
        </w:rPr>
        <w:t>2005;Oxford: Update Software.</w:t>
      </w:r>
    </w:p>
    <w:p>
      <w:pPr>
        <w:pStyle w:val="ListParagraph"/>
        <w:numPr>
          <w:ilvl w:val="0"/>
          <w:numId w:val="109"/>
        </w:numPr>
        <w:tabs>
          <w:tab w:pos="793" w:val="left" w:leader="none"/>
          <w:tab w:pos="797" w:val="left" w:leader="none"/>
        </w:tabs>
        <w:spacing w:line="211" w:lineRule="auto" w:before="169" w:after="0"/>
        <w:ind w:left="797" w:right="209" w:hanging="502"/>
        <w:jc w:val="both"/>
        <w:rPr>
          <w:sz w:val="20"/>
        </w:rPr>
      </w:pPr>
      <w:r>
        <w:rPr>
          <w:color w:val="231F1F"/>
          <w:w w:val="110"/>
          <w:position w:val="1"/>
          <w:sz w:val="20"/>
        </w:rPr>
        <w:t>Mahomed</w:t>
      </w:r>
      <w:r>
        <w:rPr>
          <w:color w:val="231F1F"/>
          <w:spacing w:val="-4"/>
          <w:w w:val="110"/>
          <w:position w:val="1"/>
          <w:sz w:val="20"/>
        </w:rPr>
        <w:t> </w:t>
      </w:r>
      <w:r>
        <w:rPr>
          <w:color w:val="231F1F"/>
          <w:w w:val="110"/>
          <w:position w:val="1"/>
          <w:sz w:val="20"/>
        </w:rPr>
        <w:t>K,</w:t>
      </w:r>
      <w:r>
        <w:rPr>
          <w:color w:val="231F1F"/>
          <w:spacing w:val="-6"/>
          <w:w w:val="110"/>
          <w:position w:val="1"/>
          <w:sz w:val="20"/>
        </w:rPr>
        <w:t> </w:t>
      </w:r>
      <w:r>
        <w:rPr>
          <w:color w:val="231F1F"/>
          <w:w w:val="110"/>
          <w:position w:val="1"/>
          <w:sz w:val="20"/>
        </w:rPr>
        <w:t>Nyoni</w:t>
      </w:r>
      <w:r>
        <w:rPr>
          <w:color w:val="231F1F"/>
          <w:spacing w:val="-3"/>
          <w:w w:val="110"/>
          <w:position w:val="1"/>
          <w:sz w:val="20"/>
        </w:rPr>
        <w:t> </w:t>
      </w:r>
      <w:r>
        <w:rPr>
          <w:color w:val="231F1F"/>
          <w:w w:val="110"/>
          <w:position w:val="1"/>
          <w:sz w:val="20"/>
        </w:rPr>
        <w:t>R,</w:t>
      </w:r>
      <w:r>
        <w:rPr>
          <w:color w:val="231F1F"/>
          <w:spacing w:val="-6"/>
          <w:w w:val="110"/>
          <w:position w:val="1"/>
          <w:sz w:val="20"/>
        </w:rPr>
        <w:t> </w:t>
      </w:r>
      <w:r>
        <w:rPr>
          <w:color w:val="231F1F"/>
          <w:w w:val="110"/>
          <w:position w:val="1"/>
          <w:sz w:val="20"/>
        </w:rPr>
        <w:t>Mulambo</w:t>
      </w:r>
      <w:r>
        <w:rPr>
          <w:color w:val="231F1F"/>
          <w:spacing w:val="-6"/>
          <w:w w:val="110"/>
          <w:position w:val="1"/>
          <w:sz w:val="20"/>
        </w:rPr>
        <w:t> </w:t>
      </w:r>
      <w:r>
        <w:rPr>
          <w:color w:val="231F1F"/>
          <w:w w:val="110"/>
          <w:position w:val="1"/>
          <w:sz w:val="20"/>
        </w:rPr>
        <w:t>T,</w:t>
      </w:r>
      <w:r>
        <w:rPr>
          <w:color w:val="231F1F"/>
          <w:spacing w:val="-6"/>
          <w:w w:val="110"/>
          <w:position w:val="1"/>
          <w:sz w:val="20"/>
        </w:rPr>
        <w:t> </w:t>
      </w:r>
      <w:r>
        <w:rPr>
          <w:color w:val="231F1F"/>
          <w:w w:val="110"/>
          <w:position w:val="1"/>
          <w:sz w:val="20"/>
        </w:rPr>
        <w:t>et</w:t>
      </w:r>
      <w:r>
        <w:rPr>
          <w:color w:val="231F1F"/>
          <w:spacing w:val="-3"/>
          <w:w w:val="110"/>
          <w:position w:val="1"/>
          <w:sz w:val="20"/>
        </w:rPr>
        <w:t> </w:t>
      </w:r>
      <w:r>
        <w:rPr>
          <w:color w:val="231F1F"/>
          <w:w w:val="110"/>
          <w:position w:val="1"/>
          <w:sz w:val="20"/>
        </w:rPr>
        <w:t>al.</w:t>
      </w:r>
      <w:r>
        <w:rPr>
          <w:color w:val="231F1F"/>
          <w:spacing w:val="-6"/>
          <w:w w:val="110"/>
          <w:position w:val="1"/>
          <w:sz w:val="20"/>
        </w:rPr>
        <w:t> </w:t>
      </w:r>
      <w:r>
        <w:rPr>
          <w:color w:val="231F1F"/>
          <w:w w:val="110"/>
          <w:position w:val="1"/>
          <w:sz w:val="20"/>
        </w:rPr>
        <w:t>Randomised</w:t>
      </w:r>
      <w:r>
        <w:rPr>
          <w:color w:val="231F1F"/>
          <w:spacing w:val="-4"/>
          <w:w w:val="110"/>
          <w:position w:val="1"/>
          <w:sz w:val="20"/>
        </w:rPr>
        <w:t> </w:t>
      </w:r>
      <w:r>
        <w:rPr>
          <w:color w:val="231F1F"/>
          <w:w w:val="110"/>
          <w:position w:val="1"/>
          <w:sz w:val="20"/>
        </w:rPr>
        <w:t>controlled</w:t>
      </w:r>
      <w:r>
        <w:rPr>
          <w:color w:val="231F1F"/>
          <w:spacing w:val="-4"/>
          <w:w w:val="110"/>
          <w:position w:val="1"/>
          <w:sz w:val="20"/>
        </w:rPr>
        <w:t> </w:t>
      </w:r>
      <w:r>
        <w:rPr>
          <w:color w:val="231F1F"/>
          <w:w w:val="110"/>
          <w:position w:val="1"/>
          <w:sz w:val="20"/>
        </w:rPr>
        <w:t>trial</w:t>
      </w:r>
      <w:r>
        <w:rPr>
          <w:color w:val="231F1F"/>
          <w:spacing w:val="-3"/>
          <w:w w:val="110"/>
          <w:position w:val="1"/>
          <w:sz w:val="20"/>
        </w:rPr>
        <w:t> </w:t>
      </w:r>
      <w:r>
        <w:rPr>
          <w:color w:val="231F1F"/>
          <w:w w:val="110"/>
          <w:position w:val="1"/>
          <w:sz w:val="20"/>
        </w:rPr>
        <w:t>of</w:t>
      </w:r>
      <w:r>
        <w:rPr>
          <w:color w:val="231F1F"/>
          <w:spacing w:val="-3"/>
          <w:w w:val="110"/>
          <w:position w:val="1"/>
          <w:sz w:val="20"/>
        </w:rPr>
        <w:t> </w:t>
      </w:r>
      <w:r>
        <w:rPr>
          <w:color w:val="231F1F"/>
          <w:w w:val="110"/>
          <w:position w:val="1"/>
          <w:sz w:val="20"/>
        </w:rPr>
        <w:t>intrapartum</w:t>
      </w:r>
      <w:r>
        <w:rPr>
          <w:color w:val="231F1F"/>
          <w:spacing w:val="-3"/>
          <w:w w:val="110"/>
          <w:position w:val="1"/>
          <w:sz w:val="20"/>
        </w:rPr>
        <w:t> </w:t>
      </w:r>
      <w:r>
        <w:rPr>
          <w:color w:val="231F1F"/>
          <w:w w:val="110"/>
          <w:position w:val="1"/>
          <w:sz w:val="20"/>
        </w:rPr>
        <w:t>fetal </w:t>
      </w:r>
      <w:r>
        <w:rPr>
          <w:color w:val="231F1F"/>
          <w:w w:val="110"/>
          <w:sz w:val="20"/>
        </w:rPr>
        <w:t>herat rate monitoring. BJM 1994;308(6927):497-500.</w:t>
      </w:r>
    </w:p>
    <w:p>
      <w:pPr>
        <w:pStyle w:val="ListParagraph"/>
        <w:numPr>
          <w:ilvl w:val="0"/>
          <w:numId w:val="109"/>
        </w:numPr>
        <w:tabs>
          <w:tab w:pos="793" w:val="left" w:leader="none"/>
          <w:tab w:pos="797" w:val="left" w:leader="none"/>
        </w:tabs>
        <w:spacing w:line="235" w:lineRule="auto" w:before="158" w:after="0"/>
        <w:ind w:left="797" w:right="613" w:hanging="502"/>
        <w:jc w:val="left"/>
        <w:rPr>
          <w:sz w:val="20"/>
        </w:rPr>
      </w:pPr>
      <w:r>
        <w:rPr>
          <w:color w:val="231F1F"/>
          <w:sz w:val="20"/>
        </w:rPr>
        <w:t>Institute</w:t>
      </w:r>
      <w:r>
        <w:rPr>
          <w:color w:val="231F1F"/>
          <w:spacing w:val="-4"/>
          <w:sz w:val="20"/>
        </w:rPr>
        <w:t> </w:t>
      </w:r>
      <w:r>
        <w:rPr>
          <w:color w:val="231F1F"/>
          <w:sz w:val="20"/>
        </w:rPr>
        <w:t>for</w:t>
      </w:r>
      <w:r>
        <w:rPr>
          <w:color w:val="231F1F"/>
          <w:spacing w:val="-4"/>
          <w:sz w:val="20"/>
        </w:rPr>
        <w:t> </w:t>
      </w:r>
      <w:r>
        <w:rPr>
          <w:color w:val="231F1F"/>
          <w:sz w:val="20"/>
        </w:rPr>
        <w:t>Clinical</w:t>
      </w:r>
      <w:r>
        <w:rPr>
          <w:color w:val="231F1F"/>
          <w:spacing w:val="-4"/>
          <w:sz w:val="20"/>
        </w:rPr>
        <w:t> </w:t>
      </w:r>
      <w:r>
        <w:rPr>
          <w:color w:val="231F1F"/>
          <w:sz w:val="20"/>
        </w:rPr>
        <w:t>Systems</w:t>
      </w:r>
      <w:r>
        <w:rPr>
          <w:color w:val="231F1F"/>
          <w:spacing w:val="-4"/>
          <w:sz w:val="20"/>
        </w:rPr>
        <w:t> </w:t>
      </w:r>
      <w:r>
        <w:rPr>
          <w:color w:val="231F1F"/>
          <w:sz w:val="20"/>
        </w:rPr>
        <w:t>Improvement</w:t>
      </w:r>
      <w:r>
        <w:rPr>
          <w:color w:val="231F1F"/>
          <w:spacing w:val="-4"/>
          <w:sz w:val="20"/>
        </w:rPr>
        <w:t> </w:t>
      </w:r>
      <w:r>
        <w:rPr>
          <w:color w:val="231F1F"/>
          <w:sz w:val="20"/>
        </w:rPr>
        <w:t>(ICSI).Management</w:t>
      </w:r>
      <w:r>
        <w:rPr>
          <w:color w:val="231F1F"/>
          <w:spacing w:val="-4"/>
          <w:sz w:val="20"/>
        </w:rPr>
        <w:t> </w:t>
      </w:r>
      <w:r>
        <w:rPr>
          <w:color w:val="231F1F"/>
          <w:sz w:val="20"/>
        </w:rPr>
        <w:t>of</w:t>
      </w:r>
      <w:r>
        <w:rPr>
          <w:color w:val="231F1F"/>
          <w:spacing w:val="-4"/>
          <w:sz w:val="20"/>
        </w:rPr>
        <w:t> </w:t>
      </w:r>
      <w:r>
        <w:rPr>
          <w:color w:val="231F1F"/>
          <w:sz w:val="20"/>
        </w:rPr>
        <w:t>labor.</w:t>
      </w:r>
      <w:r>
        <w:rPr>
          <w:color w:val="231F1F"/>
          <w:spacing w:val="-8"/>
          <w:sz w:val="20"/>
        </w:rPr>
        <w:t> </w:t>
      </w:r>
      <w:r>
        <w:rPr>
          <w:color w:val="231F1F"/>
          <w:sz w:val="20"/>
        </w:rPr>
        <w:t>Bloomington</w:t>
      </w:r>
      <w:r>
        <w:rPr>
          <w:color w:val="231F1F"/>
          <w:spacing w:val="-4"/>
          <w:sz w:val="20"/>
        </w:rPr>
        <w:t> </w:t>
      </w:r>
      <w:r>
        <w:rPr>
          <w:color w:val="231F1F"/>
          <w:sz w:val="20"/>
        </w:rPr>
        <w:t>(MN): Institute</w:t>
      </w:r>
      <w:r>
        <w:rPr>
          <w:color w:val="231F1F"/>
          <w:spacing w:val="40"/>
          <w:sz w:val="20"/>
        </w:rPr>
        <w:t> </w:t>
      </w:r>
      <w:r>
        <w:rPr>
          <w:color w:val="231F1F"/>
          <w:sz w:val="20"/>
        </w:rPr>
        <w:t>for</w:t>
      </w:r>
      <w:r>
        <w:rPr>
          <w:color w:val="231F1F"/>
          <w:spacing w:val="40"/>
          <w:sz w:val="20"/>
        </w:rPr>
        <w:t> </w:t>
      </w:r>
      <w:r>
        <w:rPr>
          <w:color w:val="231F1F"/>
          <w:sz w:val="20"/>
        </w:rPr>
        <w:t>Clinical</w:t>
      </w:r>
      <w:r>
        <w:rPr>
          <w:color w:val="231F1F"/>
          <w:spacing w:val="40"/>
          <w:sz w:val="20"/>
        </w:rPr>
        <w:t> </w:t>
      </w:r>
      <w:r>
        <w:rPr>
          <w:color w:val="231F1F"/>
          <w:sz w:val="20"/>
        </w:rPr>
        <w:t>Systems</w:t>
      </w:r>
      <w:r>
        <w:rPr>
          <w:color w:val="231F1F"/>
          <w:spacing w:val="40"/>
          <w:sz w:val="20"/>
        </w:rPr>
        <w:t> </w:t>
      </w:r>
      <w:r>
        <w:rPr>
          <w:color w:val="231F1F"/>
          <w:sz w:val="20"/>
        </w:rPr>
        <w:t>Improvent</w:t>
      </w:r>
      <w:r>
        <w:rPr>
          <w:color w:val="231F1F"/>
          <w:spacing w:val="40"/>
          <w:sz w:val="20"/>
        </w:rPr>
        <w:t> </w:t>
      </w:r>
      <w:r>
        <w:rPr>
          <w:color w:val="231F1F"/>
          <w:sz w:val="20"/>
        </w:rPr>
        <w:t>(ICSI)</w:t>
      </w:r>
      <w:r>
        <w:rPr>
          <w:color w:val="231F1F"/>
          <w:spacing w:val="40"/>
          <w:sz w:val="20"/>
        </w:rPr>
        <w:t> </w:t>
      </w:r>
      <w:r>
        <w:rPr>
          <w:color w:val="231F1F"/>
          <w:sz w:val="20"/>
        </w:rPr>
        <w:t>2007;Mar.</w:t>
      </w:r>
    </w:p>
    <w:p>
      <w:pPr>
        <w:pStyle w:val="ListParagraph"/>
        <w:numPr>
          <w:ilvl w:val="0"/>
          <w:numId w:val="109"/>
        </w:numPr>
        <w:tabs>
          <w:tab w:pos="793" w:val="left" w:leader="none"/>
          <w:tab w:pos="797" w:val="left" w:leader="none"/>
        </w:tabs>
        <w:spacing w:line="211" w:lineRule="auto" w:before="148" w:after="0"/>
        <w:ind w:left="797" w:right="173" w:hanging="502"/>
        <w:jc w:val="both"/>
        <w:rPr>
          <w:sz w:val="20"/>
        </w:rPr>
      </w:pPr>
      <w:r>
        <w:rPr>
          <w:color w:val="231F1F"/>
          <w:w w:val="110"/>
          <w:position w:val="1"/>
          <w:sz w:val="20"/>
        </w:rPr>
        <w:t>Herbst</w:t>
      </w:r>
      <w:r>
        <w:rPr>
          <w:color w:val="231F1F"/>
          <w:spacing w:val="-12"/>
          <w:w w:val="110"/>
          <w:position w:val="1"/>
          <w:sz w:val="20"/>
        </w:rPr>
        <w:t> </w:t>
      </w:r>
      <w:r>
        <w:rPr>
          <w:color w:val="231F1F"/>
          <w:w w:val="110"/>
          <w:position w:val="1"/>
          <w:sz w:val="20"/>
        </w:rPr>
        <w:t>A,</w:t>
      </w:r>
      <w:r>
        <w:rPr>
          <w:color w:val="231F1F"/>
          <w:spacing w:val="-12"/>
          <w:w w:val="110"/>
          <w:position w:val="1"/>
          <w:sz w:val="20"/>
        </w:rPr>
        <w:t> </w:t>
      </w:r>
      <w:r>
        <w:rPr>
          <w:color w:val="231F1F"/>
          <w:w w:val="110"/>
          <w:position w:val="1"/>
          <w:sz w:val="20"/>
        </w:rPr>
        <w:t>Imgemarsson</w:t>
      </w:r>
      <w:r>
        <w:rPr>
          <w:color w:val="231F1F"/>
          <w:spacing w:val="-12"/>
          <w:w w:val="110"/>
          <w:position w:val="1"/>
          <w:sz w:val="20"/>
        </w:rPr>
        <w:t> </w:t>
      </w:r>
      <w:r>
        <w:rPr>
          <w:color w:val="231F1F"/>
          <w:w w:val="110"/>
          <w:position w:val="1"/>
          <w:sz w:val="20"/>
        </w:rPr>
        <w:t>I.</w:t>
      </w:r>
      <w:r>
        <w:rPr>
          <w:color w:val="231F1F"/>
          <w:spacing w:val="-11"/>
          <w:w w:val="110"/>
          <w:position w:val="1"/>
          <w:sz w:val="20"/>
        </w:rPr>
        <w:t> </w:t>
      </w:r>
      <w:r>
        <w:rPr>
          <w:color w:val="231F1F"/>
          <w:w w:val="110"/>
          <w:position w:val="1"/>
          <w:sz w:val="20"/>
        </w:rPr>
        <w:t>Intermittent</w:t>
      </w:r>
      <w:r>
        <w:rPr>
          <w:color w:val="231F1F"/>
          <w:spacing w:val="-9"/>
          <w:w w:val="110"/>
          <w:position w:val="1"/>
          <w:sz w:val="20"/>
        </w:rPr>
        <w:t> </w:t>
      </w:r>
      <w:r>
        <w:rPr>
          <w:color w:val="231F1F"/>
          <w:w w:val="110"/>
          <w:position w:val="1"/>
          <w:sz w:val="20"/>
        </w:rPr>
        <w:t>versus</w:t>
      </w:r>
      <w:r>
        <w:rPr>
          <w:color w:val="231F1F"/>
          <w:spacing w:val="-8"/>
          <w:w w:val="110"/>
          <w:position w:val="1"/>
          <w:sz w:val="20"/>
        </w:rPr>
        <w:t> </w:t>
      </w:r>
      <w:r>
        <w:rPr>
          <w:color w:val="231F1F"/>
          <w:w w:val="110"/>
          <w:position w:val="1"/>
          <w:sz w:val="20"/>
        </w:rPr>
        <w:t>continuous</w:t>
      </w:r>
      <w:r>
        <w:rPr>
          <w:color w:val="231F1F"/>
          <w:spacing w:val="-9"/>
          <w:w w:val="110"/>
          <w:position w:val="1"/>
          <w:sz w:val="20"/>
        </w:rPr>
        <w:t> </w:t>
      </w:r>
      <w:r>
        <w:rPr>
          <w:color w:val="231F1F"/>
          <w:w w:val="110"/>
          <w:position w:val="1"/>
          <w:sz w:val="20"/>
        </w:rPr>
        <w:t>electronic</w:t>
      </w:r>
      <w:r>
        <w:rPr>
          <w:color w:val="231F1F"/>
          <w:spacing w:val="-9"/>
          <w:w w:val="110"/>
          <w:position w:val="1"/>
          <w:sz w:val="20"/>
        </w:rPr>
        <w:t> </w:t>
      </w:r>
      <w:r>
        <w:rPr>
          <w:color w:val="231F1F"/>
          <w:w w:val="110"/>
          <w:position w:val="1"/>
          <w:sz w:val="20"/>
        </w:rPr>
        <w:t>monitoring</w:t>
      </w:r>
      <w:r>
        <w:rPr>
          <w:color w:val="231F1F"/>
          <w:spacing w:val="-8"/>
          <w:w w:val="110"/>
          <w:position w:val="1"/>
          <w:sz w:val="20"/>
        </w:rPr>
        <w:t> </w:t>
      </w:r>
      <w:r>
        <w:rPr>
          <w:color w:val="231F1F"/>
          <w:w w:val="110"/>
          <w:position w:val="1"/>
          <w:sz w:val="20"/>
        </w:rPr>
        <w:t>in</w:t>
      </w:r>
      <w:r>
        <w:rPr>
          <w:color w:val="231F1F"/>
          <w:spacing w:val="-8"/>
          <w:w w:val="110"/>
          <w:position w:val="1"/>
          <w:sz w:val="20"/>
        </w:rPr>
        <w:t> </w:t>
      </w:r>
      <w:r>
        <w:rPr>
          <w:color w:val="231F1F"/>
          <w:w w:val="110"/>
          <w:position w:val="1"/>
          <w:sz w:val="20"/>
        </w:rPr>
        <w:t>labour:</w:t>
      </w:r>
      <w:r>
        <w:rPr>
          <w:color w:val="231F1F"/>
          <w:spacing w:val="-12"/>
          <w:w w:val="110"/>
          <w:position w:val="1"/>
          <w:sz w:val="20"/>
        </w:rPr>
        <w:t> </w:t>
      </w:r>
      <w:r>
        <w:rPr>
          <w:color w:val="231F1F"/>
          <w:w w:val="110"/>
          <w:position w:val="1"/>
          <w:sz w:val="20"/>
        </w:rPr>
        <w:t>a </w:t>
      </w:r>
      <w:r>
        <w:rPr>
          <w:color w:val="231F1F"/>
          <w:w w:val="110"/>
          <w:sz w:val="20"/>
        </w:rPr>
        <w:t>randomized study. Br J Obstet Gynaecol 1994;101:663-8.</w:t>
      </w:r>
    </w:p>
    <w:p>
      <w:pPr>
        <w:pStyle w:val="ListParagraph"/>
        <w:numPr>
          <w:ilvl w:val="0"/>
          <w:numId w:val="109"/>
        </w:numPr>
        <w:tabs>
          <w:tab w:pos="795" w:val="left" w:leader="none"/>
          <w:tab w:pos="798" w:val="left" w:leader="none"/>
        </w:tabs>
        <w:spacing w:line="216" w:lineRule="auto" w:before="153" w:after="0"/>
        <w:ind w:left="798" w:right="302" w:hanging="522"/>
        <w:jc w:val="left"/>
        <w:rPr>
          <w:sz w:val="20"/>
        </w:rPr>
      </w:pPr>
      <w:r>
        <w:rPr>
          <w:color w:val="231F1F"/>
          <w:w w:val="105"/>
          <w:position w:val="1"/>
          <w:sz w:val="20"/>
        </w:rPr>
        <w:t>East</w:t>
      </w:r>
      <w:r>
        <w:rPr>
          <w:color w:val="231F1F"/>
          <w:spacing w:val="-6"/>
          <w:w w:val="105"/>
          <w:position w:val="1"/>
          <w:sz w:val="20"/>
        </w:rPr>
        <w:t> </w:t>
      </w:r>
      <w:r>
        <w:rPr>
          <w:color w:val="231F1F"/>
          <w:w w:val="105"/>
          <w:position w:val="1"/>
          <w:sz w:val="20"/>
        </w:rPr>
        <w:t>CE,</w:t>
      </w:r>
      <w:r>
        <w:rPr>
          <w:color w:val="231F1F"/>
          <w:spacing w:val="-12"/>
          <w:w w:val="105"/>
          <w:position w:val="1"/>
          <w:sz w:val="20"/>
        </w:rPr>
        <w:t> </w:t>
      </w:r>
      <w:r>
        <w:rPr>
          <w:color w:val="231F1F"/>
          <w:w w:val="105"/>
          <w:position w:val="1"/>
          <w:sz w:val="20"/>
        </w:rPr>
        <w:t>Chan</w:t>
      </w:r>
      <w:r>
        <w:rPr>
          <w:color w:val="231F1F"/>
          <w:spacing w:val="-7"/>
          <w:w w:val="105"/>
          <w:position w:val="1"/>
          <w:sz w:val="20"/>
        </w:rPr>
        <w:t> </w:t>
      </w:r>
      <w:r>
        <w:rPr>
          <w:color w:val="231F1F"/>
          <w:w w:val="105"/>
          <w:position w:val="1"/>
          <w:sz w:val="20"/>
        </w:rPr>
        <w:t>FY,</w:t>
      </w:r>
      <w:r>
        <w:rPr>
          <w:color w:val="231F1F"/>
          <w:spacing w:val="-12"/>
          <w:w w:val="105"/>
          <w:position w:val="1"/>
          <w:sz w:val="20"/>
        </w:rPr>
        <w:t> </w:t>
      </w:r>
      <w:r>
        <w:rPr>
          <w:color w:val="231F1F"/>
          <w:w w:val="105"/>
          <w:position w:val="1"/>
          <w:sz w:val="20"/>
        </w:rPr>
        <w:t>Colditz</w:t>
      </w:r>
      <w:r>
        <w:rPr>
          <w:color w:val="231F1F"/>
          <w:spacing w:val="-7"/>
          <w:w w:val="105"/>
          <w:position w:val="1"/>
          <w:sz w:val="20"/>
        </w:rPr>
        <w:t> </w:t>
      </w:r>
      <w:r>
        <w:rPr>
          <w:color w:val="231F1F"/>
          <w:w w:val="105"/>
          <w:position w:val="1"/>
          <w:sz w:val="20"/>
        </w:rPr>
        <w:t>PB,</w:t>
      </w:r>
      <w:r>
        <w:rPr>
          <w:color w:val="231F1F"/>
          <w:spacing w:val="-12"/>
          <w:w w:val="105"/>
          <w:position w:val="1"/>
          <w:sz w:val="20"/>
        </w:rPr>
        <w:t> </w:t>
      </w:r>
      <w:r>
        <w:rPr>
          <w:color w:val="231F1F"/>
          <w:w w:val="105"/>
          <w:position w:val="1"/>
          <w:sz w:val="20"/>
        </w:rPr>
        <w:t>Begg</w:t>
      </w:r>
      <w:r>
        <w:rPr>
          <w:color w:val="231F1F"/>
          <w:spacing w:val="-7"/>
          <w:w w:val="105"/>
          <w:position w:val="1"/>
          <w:sz w:val="20"/>
        </w:rPr>
        <w:t> </w:t>
      </w:r>
      <w:r>
        <w:rPr>
          <w:color w:val="231F1F"/>
          <w:w w:val="105"/>
          <w:position w:val="1"/>
          <w:sz w:val="20"/>
        </w:rPr>
        <w:t>LM.</w:t>
      </w:r>
      <w:r>
        <w:rPr>
          <w:color w:val="231F1F"/>
          <w:spacing w:val="-12"/>
          <w:w w:val="105"/>
          <w:position w:val="1"/>
          <w:sz w:val="20"/>
        </w:rPr>
        <w:t> </w:t>
      </w:r>
      <w:r>
        <w:rPr>
          <w:color w:val="231F1F"/>
          <w:w w:val="105"/>
          <w:position w:val="1"/>
          <w:sz w:val="20"/>
        </w:rPr>
        <w:t>Fetal</w:t>
      </w:r>
      <w:r>
        <w:rPr>
          <w:color w:val="231F1F"/>
          <w:spacing w:val="-6"/>
          <w:w w:val="105"/>
          <w:position w:val="1"/>
          <w:sz w:val="20"/>
        </w:rPr>
        <w:t> </w:t>
      </w:r>
      <w:r>
        <w:rPr>
          <w:color w:val="231F1F"/>
          <w:w w:val="105"/>
          <w:position w:val="1"/>
          <w:sz w:val="20"/>
        </w:rPr>
        <w:t>pulse</w:t>
      </w:r>
      <w:r>
        <w:rPr>
          <w:color w:val="231F1F"/>
          <w:spacing w:val="-8"/>
          <w:w w:val="105"/>
          <w:position w:val="1"/>
          <w:sz w:val="20"/>
        </w:rPr>
        <w:t> </w:t>
      </w:r>
      <w:r>
        <w:rPr>
          <w:color w:val="231F1F"/>
          <w:w w:val="105"/>
          <w:position w:val="1"/>
          <w:sz w:val="20"/>
        </w:rPr>
        <w:t>oximetry</w:t>
      </w:r>
      <w:r>
        <w:rPr>
          <w:color w:val="231F1F"/>
          <w:spacing w:val="-8"/>
          <w:w w:val="105"/>
          <w:position w:val="1"/>
          <w:sz w:val="20"/>
        </w:rPr>
        <w:t> </w:t>
      </w:r>
      <w:r>
        <w:rPr>
          <w:color w:val="231F1F"/>
          <w:w w:val="105"/>
          <w:position w:val="1"/>
          <w:sz w:val="20"/>
        </w:rPr>
        <w:t>for</w:t>
      </w:r>
      <w:r>
        <w:rPr>
          <w:color w:val="231F1F"/>
          <w:spacing w:val="-6"/>
          <w:w w:val="105"/>
          <w:position w:val="1"/>
          <w:sz w:val="20"/>
        </w:rPr>
        <w:t> </w:t>
      </w:r>
      <w:r>
        <w:rPr>
          <w:color w:val="231F1F"/>
          <w:w w:val="105"/>
          <w:position w:val="1"/>
          <w:sz w:val="20"/>
        </w:rPr>
        <w:t>fetal</w:t>
      </w:r>
      <w:r>
        <w:rPr>
          <w:color w:val="231F1F"/>
          <w:spacing w:val="-6"/>
          <w:w w:val="105"/>
          <w:position w:val="1"/>
          <w:sz w:val="20"/>
        </w:rPr>
        <w:t> </w:t>
      </w:r>
      <w:r>
        <w:rPr>
          <w:color w:val="231F1F"/>
          <w:w w:val="105"/>
          <w:position w:val="1"/>
          <w:sz w:val="20"/>
        </w:rPr>
        <w:t>assessment</w:t>
      </w:r>
      <w:r>
        <w:rPr>
          <w:color w:val="231F1F"/>
          <w:spacing w:val="-6"/>
          <w:w w:val="105"/>
          <w:position w:val="1"/>
          <w:sz w:val="20"/>
        </w:rPr>
        <w:t> </w:t>
      </w:r>
      <w:r>
        <w:rPr>
          <w:color w:val="231F1F"/>
          <w:w w:val="105"/>
          <w:position w:val="1"/>
          <w:sz w:val="20"/>
        </w:rPr>
        <w:t>in</w:t>
      </w:r>
      <w:r>
        <w:rPr>
          <w:color w:val="231F1F"/>
          <w:spacing w:val="-8"/>
          <w:w w:val="105"/>
          <w:position w:val="1"/>
          <w:sz w:val="20"/>
        </w:rPr>
        <w:t> </w:t>
      </w:r>
      <w:r>
        <w:rPr>
          <w:color w:val="231F1F"/>
          <w:w w:val="105"/>
          <w:position w:val="1"/>
          <w:sz w:val="20"/>
        </w:rPr>
        <w:t>labour. </w:t>
      </w:r>
      <w:r>
        <w:rPr>
          <w:color w:val="231F1F"/>
          <w:w w:val="105"/>
          <w:sz w:val="20"/>
        </w:rPr>
        <w:t>Cochran Database of Systematic Reviews, 2007;(2):CD004075.</w:t>
      </w:r>
    </w:p>
    <w:p>
      <w:pPr>
        <w:pStyle w:val="ListParagraph"/>
        <w:numPr>
          <w:ilvl w:val="0"/>
          <w:numId w:val="109"/>
        </w:numPr>
        <w:tabs>
          <w:tab w:pos="793" w:val="left" w:leader="none"/>
          <w:tab w:pos="797" w:val="left" w:leader="none"/>
        </w:tabs>
        <w:spacing w:line="218" w:lineRule="auto" w:before="150" w:after="0"/>
        <w:ind w:left="797" w:right="121" w:hanging="502"/>
        <w:jc w:val="both"/>
        <w:rPr>
          <w:sz w:val="20"/>
        </w:rPr>
      </w:pPr>
      <w:r>
        <w:rPr>
          <w:color w:val="231F1F"/>
          <w:w w:val="110"/>
          <w:position w:val="1"/>
          <w:sz w:val="20"/>
        </w:rPr>
        <w:t>Neilson JP. Fetal electrocardiogram (ECG) for fetal monitoring during labour. (Cochrane </w:t>
      </w:r>
      <w:r>
        <w:rPr>
          <w:color w:val="231F1F"/>
          <w:w w:val="110"/>
          <w:sz w:val="20"/>
        </w:rPr>
        <w:t>Review)</w:t>
      </w:r>
      <w:r>
        <w:rPr>
          <w:color w:val="231F1F"/>
          <w:w w:val="110"/>
          <w:sz w:val="20"/>
        </w:rPr>
        <w:t> In:</w:t>
      </w:r>
      <w:r>
        <w:rPr>
          <w:color w:val="231F1F"/>
          <w:w w:val="110"/>
          <w:sz w:val="20"/>
        </w:rPr>
        <w:t> Cochrane</w:t>
      </w:r>
      <w:r>
        <w:rPr>
          <w:color w:val="231F1F"/>
          <w:w w:val="110"/>
          <w:sz w:val="20"/>
        </w:rPr>
        <w:t> Database</w:t>
      </w:r>
      <w:r>
        <w:rPr>
          <w:color w:val="231F1F"/>
          <w:w w:val="110"/>
          <w:sz w:val="20"/>
        </w:rPr>
        <w:t> of</w:t>
      </w:r>
      <w:r>
        <w:rPr>
          <w:color w:val="231F1F"/>
          <w:w w:val="110"/>
          <w:sz w:val="20"/>
        </w:rPr>
        <w:t> Systematic</w:t>
      </w:r>
      <w:r>
        <w:rPr>
          <w:color w:val="231F1F"/>
          <w:w w:val="110"/>
          <w:sz w:val="20"/>
        </w:rPr>
        <w:t> Reviews,</w:t>
      </w:r>
      <w:r>
        <w:rPr>
          <w:color w:val="231F1F"/>
          <w:w w:val="110"/>
          <w:sz w:val="20"/>
        </w:rPr>
        <w:t> Issue</w:t>
      </w:r>
      <w:r>
        <w:rPr>
          <w:color w:val="231F1F"/>
          <w:w w:val="110"/>
          <w:sz w:val="20"/>
        </w:rPr>
        <w:t> 4,</w:t>
      </w:r>
      <w:r>
        <w:rPr>
          <w:color w:val="231F1F"/>
          <w:w w:val="110"/>
          <w:sz w:val="20"/>
        </w:rPr>
        <w:t> 2005;Oxford:</w:t>
      </w:r>
      <w:r>
        <w:rPr>
          <w:color w:val="231F1F"/>
          <w:w w:val="110"/>
          <w:sz w:val="20"/>
        </w:rPr>
        <w:t> Update </w:t>
      </w:r>
      <w:r>
        <w:rPr>
          <w:color w:val="231F1F"/>
          <w:spacing w:val="-2"/>
          <w:w w:val="110"/>
          <w:sz w:val="20"/>
        </w:rPr>
        <w:t>Software.</w:t>
      </w:r>
    </w:p>
    <w:p>
      <w:pPr>
        <w:pStyle w:val="ListParagraph"/>
        <w:numPr>
          <w:ilvl w:val="0"/>
          <w:numId w:val="109"/>
        </w:numPr>
        <w:tabs>
          <w:tab w:pos="793" w:val="left" w:leader="none"/>
          <w:tab w:pos="797" w:val="left" w:leader="none"/>
        </w:tabs>
        <w:spacing w:line="225" w:lineRule="auto" w:before="173" w:after="0"/>
        <w:ind w:left="797" w:right="111" w:hanging="502"/>
        <w:jc w:val="both"/>
        <w:rPr>
          <w:sz w:val="20"/>
        </w:rPr>
      </w:pPr>
      <w:r>
        <w:rPr>
          <w:color w:val="231F1F"/>
          <w:w w:val="110"/>
          <w:sz w:val="20"/>
        </w:rPr>
        <w:t>Ojala K,</w:t>
      </w:r>
      <w:r>
        <w:rPr>
          <w:color w:val="231F1F"/>
          <w:spacing w:val="-1"/>
          <w:w w:val="110"/>
          <w:sz w:val="20"/>
        </w:rPr>
        <w:t> </w:t>
      </w:r>
      <w:r>
        <w:rPr>
          <w:color w:val="231F1F"/>
          <w:w w:val="110"/>
          <w:sz w:val="20"/>
        </w:rPr>
        <w:t>Vaarasmaki M, Makikallio K, et al.</w:t>
      </w:r>
      <w:r>
        <w:rPr>
          <w:color w:val="231F1F"/>
          <w:spacing w:val="-2"/>
          <w:w w:val="110"/>
          <w:sz w:val="20"/>
        </w:rPr>
        <w:t> </w:t>
      </w:r>
      <w:r>
        <w:rPr>
          <w:color w:val="231F1F"/>
          <w:w w:val="110"/>
          <w:sz w:val="20"/>
        </w:rPr>
        <w:t>A comparison of intrapartum automated fetal electrocardigraphy</w:t>
      </w:r>
      <w:r>
        <w:rPr>
          <w:color w:val="231F1F"/>
          <w:w w:val="110"/>
          <w:sz w:val="20"/>
        </w:rPr>
        <w:t> and</w:t>
      </w:r>
      <w:r>
        <w:rPr>
          <w:color w:val="231F1F"/>
          <w:w w:val="110"/>
          <w:sz w:val="20"/>
        </w:rPr>
        <w:t> conventional</w:t>
      </w:r>
      <w:r>
        <w:rPr>
          <w:color w:val="231F1F"/>
          <w:w w:val="110"/>
          <w:sz w:val="20"/>
        </w:rPr>
        <w:t> cardiotocography-</w:t>
      </w:r>
      <w:r>
        <w:rPr>
          <w:color w:val="231F1F"/>
          <w:w w:val="110"/>
          <w:sz w:val="20"/>
        </w:rPr>
        <w:t> a</w:t>
      </w:r>
      <w:r>
        <w:rPr>
          <w:color w:val="231F1F"/>
          <w:w w:val="110"/>
          <w:sz w:val="20"/>
        </w:rPr>
        <w:t> randomised</w:t>
      </w:r>
      <w:r>
        <w:rPr>
          <w:color w:val="231F1F"/>
          <w:w w:val="110"/>
          <w:sz w:val="20"/>
        </w:rPr>
        <w:t> controlled</w:t>
      </w:r>
      <w:r>
        <w:rPr>
          <w:color w:val="231F1F"/>
          <w:w w:val="110"/>
          <w:sz w:val="20"/>
        </w:rPr>
        <w:t> study. BJOG 2006;113(4):419-23.</w:t>
      </w:r>
    </w:p>
    <w:p>
      <w:pPr>
        <w:pStyle w:val="ListParagraph"/>
        <w:numPr>
          <w:ilvl w:val="0"/>
          <w:numId w:val="109"/>
        </w:numPr>
        <w:tabs>
          <w:tab w:pos="793" w:val="left" w:leader="none"/>
          <w:tab w:pos="797" w:val="left" w:leader="none"/>
        </w:tabs>
        <w:spacing w:line="220" w:lineRule="auto" w:before="181" w:after="0"/>
        <w:ind w:left="797" w:right="165" w:hanging="502"/>
        <w:jc w:val="both"/>
        <w:rPr>
          <w:sz w:val="20"/>
        </w:rPr>
      </w:pPr>
      <w:r>
        <w:rPr>
          <w:color w:val="231F1F"/>
          <w:spacing w:val="-2"/>
          <w:w w:val="110"/>
          <w:sz w:val="20"/>
        </w:rPr>
        <w:t>Su</w:t>
      </w:r>
      <w:r>
        <w:rPr>
          <w:color w:val="231F1F"/>
          <w:spacing w:val="-12"/>
          <w:w w:val="110"/>
          <w:sz w:val="20"/>
        </w:rPr>
        <w:t> </w:t>
      </w:r>
      <w:r>
        <w:rPr>
          <w:color w:val="231F1F"/>
          <w:spacing w:val="-2"/>
          <w:w w:val="110"/>
          <w:sz w:val="20"/>
        </w:rPr>
        <w:t>LL,</w:t>
      </w:r>
      <w:r>
        <w:rPr>
          <w:color w:val="231F1F"/>
          <w:spacing w:val="-12"/>
          <w:w w:val="110"/>
          <w:sz w:val="20"/>
        </w:rPr>
        <w:t> </w:t>
      </w:r>
      <w:r>
        <w:rPr>
          <w:color w:val="231F1F"/>
          <w:spacing w:val="-2"/>
          <w:w w:val="110"/>
          <w:sz w:val="20"/>
        </w:rPr>
        <w:t>Chong</w:t>
      </w:r>
      <w:r>
        <w:rPr>
          <w:color w:val="231F1F"/>
          <w:spacing w:val="-12"/>
          <w:w w:val="110"/>
          <w:sz w:val="20"/>
        </w:rPr>
        <w:t> </w:t>
      </w:r>
      <w:r>
        <w:rPr>
          <w:color w:val="231F1F"/>
          <w:spacing w:val="-2"/>
          <w:w w:val="110"/>
          <w:sz w:val="20"/>
        </w:rPr>
        <w:t>YS,</w:t>
      </w:r>
      <w:r>
        <w:rPr>
          <w:color w:val="231F1F"/>
          <w:spacing w:val="-11"/>
          <w:w w:val="110"/>
          <w:sz w:val="20"/>
        </w:rPr>
        <w:t> </w:t>
      </w:r>
      <w:r>
        <w:rPr>
          <w:color w:val="231F1F"/>
          <w:spacing w:val="-2"/>
          <w:w w:val="110"/>
          <w:sz w:val="20"/>
        </w:rPr>
        <w:t>Biswas</w:t>
      </w:r>
      <w:r>
        <w:rPr>
          <w:color w:val="231F1F"/>
          <w:spacing w:val="-12"/>
          <w:w w:val="110"/>
          <w:sz w:val="20"/>
        </w:rPr>
        <w:t> </w:t>
      </w:r>
      <w:r>
        <w:rPr>
          <w:color w:val="231F1F"/>
          <w:spacing w:val="-2"/>
          <w:w w:val="110"/>
          <w:sz w:val="20"/>
        </w:rPr>
        <w:t>A.</w:t>
      </w:r>
      <w:r>
        <w:rPr>
          <w:color w:val="231F1F"/>
          <w:spacing w:val="-12"/>
          <w:w w:val="110"/>
          <w:sz w:val="20"/>
        </w:rPr>
        <w:t> </w:t>
      </w:r>
      <w:r>
        <w:rPr>
          <w:color w:val="231F1F"/>
          <w:spacing w:val="-2"/>
          <w:w w:val="110"/>
          <w:sz w:val="20"/>
        </w:rPr>
        <w:t>Use</w:t>
      </w:r>
      <w:r>
        <w:rPr>
          <w:color w:val="231F1F"/>
          <w:spacing w:val="-12"/>
          <w:w w:val="110"/>
          <w:sz w:val="20"/>
        </w:rPr>
        <w:t> </w:t>
      </w:r>
      <w:r>
        <w:rPr>
          <w:color w:val="231F1F"/>
          <w:spacing w:val="-2"/>
          <w:w w:val="110"/>
          <w:sz w:val="20"/>
        </w:rPr>
        <w:t>of</w:t>
      </w:r>
      <w:r>
        <w:rPr>
          <w:color w:val="231F1F"/>
          <w:spacing w:val="-11"/>
          <w:w w:val="110"/>
          <w:sz w:val="20"/>
        </w:rPr>
        <w:t> </w:t>
      </w:r>
      <w:r>
        <w:rPr>
          <w:color w:val="231F1F"/>
          <w:spacing w:val="-2"/>
          <w:w w:val="110"/>
          <w:sz w:val="20"/>
        </w:rPr>
        <w:t>fetal</w:t>
      </w:r>
      <w:r>
        <w:rPr>
          <w:color w:val="231F1F"/>
          <w:spacing w:val="-12"/>
          <w:w w:val="110"/>
          <w:sz w:val="20"/>
        </w:rPr>
        <w:t> </w:t>
      </w:r>
      <w:r>
        <w:rPr>
          <w:color w:val="231F1F"/>
          <w:spacing w:val="-2"/>
          <w:w w:val="110"/>
          <w:sz w:val="20"/>
        </w:rPr>
        <w:t>elctrocardiaogram</w:t>
      </w:r>
      <w:r>
        <w:rPr>
          <w:color w:val="231F1F"/>
          <w:spacing w:val="-12"/>
          <w:w w:val="110"/>
          <w:sz w:val="20"/>
        </w:rPr>
        <w:t> </w:t>
      </w:r>
      <w:r>
        <w:rPr>
          <w:color w:val="231F1F"/>
          <w:spacing w:val="-2"/>
          <w:w w:val="110"/>
          <w:sz w:val="20"/>
        </w:rPr>
        <w:t>for</w:t>
      </w:r>
      <w:r>
        <w:rPr>
          <w:color w:val="231F1F"/>
          <w:spacing w:val="-12"/>
          <w:w w:val="110"/>
          <w:sz w:val="20"/>
        </w:rPr>
        <w:t> </w:t>
      </w:r>
      <w:r>
        <w:rPr>
          <w:color w:val="231F1F"/>
          <w:spacing w:val="-2"/>
          <w:w w:val="110"/>
          <w:sz w:val="20"/>
        </w:rPr>
        <w:t>intrapartum</w:t>
      </w:r>
      <w:r>
        <w:rPr>
          <w:color w:val="231F1F"/>
          <w:spacing w:val="-11"/>
          <w:w w:val="110"/>
          <w:sz w:val="20"/>
        </w:rPr>
        <w:t> </w:t>
      </w:r>
      <w:r>
        <w:rPr>
          <w:color w:val="231F1F"/>
          <w:spacing w:val="-2"/>
          <w:w w:val="110"/>
          <w:sz w:val="20"/>
        </w:rPr>
        <w:t>monitoring.</w:t>
      </w:r>
      <w:r>
        <w:rPr>
          <w:color w:val="231F1F"/>
          <w:spacing w:val="-12"/>
          <w:w w:val="110"/>
          <w:sz w:val="20"/>
        </w:rPr>
        <w:t> </w:t>
      </w:r>
      <w:r>
        <w:rPr>
          <w:color w:val="231F1F"/>
          <w:spacing w:val="-2"/>
          <w:w w:val="110"/>
          <w:sz w:val="20"/>
        </w:rPr>
        <w:t>Ann </w:t>
      </w:r>
      <w:r>
        <w:rPr>
          <w:color w:val="231F1F"/>
          <w:w w:val="110"/>
          <w:sz w:val="20"/>
        </w:rPr>
        <w:t>Acad Med Singapore 2007;36:416-20.</w:t>
      </w:r>
    </w:p>
    <w:p>
      <w:pPr>
        <w:pStyle w:val="ListParagraph"/>
        <w:numPr>
          <w:ilvl w:val="0"/>
          <w:numId w:val="109"/>
        </w:numPr>
        <w:tabs>
          <w:tab w:pos="793" w:val="left" w:leader="none"/>
          <w:tab w:pos="797" w:val="left" w:leader="none"/>
        </w:tabs>
        <w:spacing w:line="240" w:lineRule="auto" w:before="162" w:after="0"/>
        <w:ind w:left="797" w:right="107" w:hanging="509"/>
        <w:jc w:val="both"/>
        <w:rPr>
          <w:sz w:val="20"/>
        </w:rPr>
      </w:pPr>
      <w:r>
        <w:rPr>
          <w:color w:val="231F1F"/>
          <w:sz w:val="20"/>
        </w:rPr>
        <w:t>Weber T. Cardiotocography supplemented with continuous fetal pH monitoring during labor.</w:t>
      </w:r>
      <w:r>
        <w:rPr>
          <w:color w:val="231F1F"/>
          <w:spacing w:val="80"/>
          <w:sz w:val="20"/>
        </w:rPr>
        <w:t> </w:t>
      </w:r>
      <w:r>
        <w:rPr>
          <w:color w:val="231F1F"/>
          <w:sz w:val="20"/>
        </w:rPr>
        <w:t>Effect on rate of obstetrical interventions and neonatal condition.Acta Obstet Gynecol Scand </w:t>
      </w:r>
      <w:r>
        <w:rPr>
          <w:color w:val="231F1F"/>
          <w:spacing w:val="-2"/>
          <w:sz w:val="20"/>
        </w:rPr>
        <w:t>1982;61(4):351-5.</w:t>
      </w:r>
    </w:p>
    <w:p>
      <w:pPr>
        <w:pStyle w:val="ListParagraph"/>
        <w:numPr>
          <w:ilvl w:val="0"/>
          <w:numId w:val="109"/>
        </w:numPr>
        <w:tabs>
          <w:tab w:pos="793" w:val="left" w:leader="none"/>
          <w:tab w:pos="797" w:val="left" w:leader="none"/>
        </w:tabs>
        <w:spacing w:line="220" w:lineRule="auto" w:before="150" w:after="0"/>
        <w:ind w:left="797" w:right="219" w:hanging="502"/>
        <w:jc w:val="both"/>
        <w:rPr>
          <w:sz w:val="20"/>
        </w:rPr>
      </w:pPr>
      <w:r>
        <w:rPr>
          <w:color w:val="231F1F"/>
          <w:w w:val="110"/>
          <w:sz w:val="20"/>
        </w:rPr>
        <w:t>Goodwin</w:t>
      </w:r>
      <w:r>
        <w:rPr>
          <w:color w:val="231F1F"/>
          <w:spacing w:val="-5"/>
          <w:w w:val="110"/>
          <w:sz w:val="20"/>
        </w:rPr>
        <w:t> </w:t>
      </w:r>
      <w:r>
        <w:rPr>
          <w:color w:val="231F1F"/>
          <w:w w:val="110"/>
          <w:sz w:val="20"/>
        </w:rPr>
        <w:t>TM,</w:t>
      </w:r>
      <w:r>
        <w:rPr>
          <w:color w:val="231F1F"/>
          <w:spacing w:val="-5"/>
          <w:w w:val="110"/>
          <w:sz w:val="20"/>
        </w:rPr>
        <w:t> </w:t>
      </w:r>
      <w:r>
        <w:rPr>
          <w:color w:val="231F1F"/>
          <w:w w:val="110"/>
          <w:sz w:val="20"/>
        </w:rPr>
        <w:t>Milner-Masterson</w:t>
      </w:r>
      <w:r>
        <w:rPr>
          <w:color w:val="231F1F"/>
          <w:spacing w:val="-4"/>
          <w:w w:val="110"/>
          <w:sz w:val="20"/>
        </w:rPr>
        <w:t> </w:t>
      </w:r>
      <w:r>
        <w:rPr>
          <w:color w:val="231F1F"/>
          <w:w w:val="110"/>
          <w:sz w:val="20"/>
        </w:rPr>
        <w:t>L,</w:t>
      </w:r>
      <w:r>
        <w:rPr>
          <w:color w:val="231F1F"/>
          <w:spacing w:val="-5"/>
          <w:w w:val="110"/>
          <w:sz w:val="20"/>
        </w:rPr>
        <w:t> </w:t>
      </w:r>
      <w:r>
        <w:rPr>
          <w:color w:val="231F1F"/>
          <w:w w:val="110"/>
          <w:sz w:val="20"/>
        </w:rPr>
        <w:t>Paul</w:t>
      </w:r>
      <w:r>
        <w:rPr>
          <w:color w:val="231F1F"/>
          <w:spacing w:val="-4"/>
          <w:w w:val="110"/>
          <w:sz w:val="20"/>
        </w:rPr>
        <w:t> </w:t>
      </w:r>
      <w:r>
        <w:rPr>
          <w:color w:val="231F1F"/>
          <w:w w:val="110"/>
          <w:sz w:val="20"/>
        </w:rPr>
        <w:t>RH.</w:t>
      </w:r>
      <w:r>
        <w:rPr>
          <w:color w:val="231F1F"/>
          <w:spacing w:val="-5"/>
          <w:w w:val="110"/>
          <w:sz w:val="20"/>
        </w:rPr>
        <w:t> </w:t>
      </w:r>
      <w:r>
        <w:rPr>
          <w:color w:val="231F1F"/>
          <w:w w:val="110"/>
          <w:sz w:val="20"/>
        </w:rPr>
        <w:t>Elimination</w:t>
      </w:r>
      <w:r>
        <w:rPr>
          <w:color w:val="231F1F"/>
          <w:spacing w:val="-4"/>
          <w:w w:val="110"/>
          <w:sz w:val="20"/>
        </w:rPr>
        <w:t> </w:t>
      </w:r>
      <w:r>
        <w:rPr>
          <w:color w:val="231F1F"/>
          <w:w w:val="110"/>
          <w:sz w:val="20"/>
        </w:rPr>
        <w:t>of</w:t>
      </w:r>
      <w:r>
        <w:rPr>
          <w:color w:val="231F1F"/>
          <w:spacing w:val="-4"/>
          <w:w w:val="110"/>
          <w:sz w:val="20"/>
        </w:rPr>
        <w:t> </w:t>
      </w:r>
      <w:r>
        <w:rPr>
          <w:color w:val="231F1F"/>
          <w:w w:val="110"/>
          <w:sz w:val="20"/>
        </w:rPr>
        <w:t>fetal</w:t>
      </w:r>
      <w:r>
        <w:rPr>
          <w:color w:val="231F1F"/>
          <w:spacing w:val="-4"/>
          <w:w w:val="110"/>
          <w:sz w:val="20"/>
        </w:rPr>
        <w:t> </w:t>
      </w:r>
      <w:r>
        <w:rPr>
          <w:color w:val="231F1F"/>
          <w:w w:val="110"/>
          <w:sz w:val="20"/>
        </w:rPr>
        <w:t>scalp</w:t>
      </w:r>
      <w:r>
        <w:rPr>
          <w:color w:val="231F1F"/>
          <w:spacing w:val="-4"/>
          <w:w w:val="110"/>
          <w:sz w:val="20"/>
        </w:rPr>
        <w:t> </w:t>
      </w:r>
      <w:r>
        <w:rPr>
          <w:color w:val="231F1F"/>
          <w:w w:val="110"/>
          <w:sz w:val="20"/>
        </w:rPr>
        <w:t>blood</w:t>
      </w:r>
      <w:r>
        <w:rPr>
          <w:color w:val="231F1F"/>
          <w:spacing w:val="-4"/>
          <w:w w:val="110"/>
          <w:sz w:val="20"/>
        </w:rPr>
        <w:t> </w:t>
      </w:r>
      <w:r>
        <w:rPr>
          <w:color w:val="231F1F"/>
          <w:w w:val="110"/>
          <w:sz w:val="20"/>
        </w:rPr>
        <w:t>testing</w:t>
      </w:r>
      <w:r>
        <w:rPr>
          <w:color w:val="231F1F"/>
          <w:spacing w:val="-4"/>
          <w:w w:val="110"/>
          <w:sz w:val="20"/>
        </w:rPr>
        <w:t> </w:t>
      </w:r>
      <w:r>
        <w:rPr>
          <w:color w:val="231F1F"/>
          <w:w w:val="110"/>
          <w:sz w:val="20"/>
        </w:rPr>
        <w:t>on</w:t>
      </w:r>
      <w:r>
        <w:rPr>
          <w:color w:val="231F1F"/>
          <w:spacing w:val="-4"/>
          <w:w w:val="110"/>
          <w:sz w:val="20"/>
        </w:rPr>
        <w:t> </w:t>
      </w:r>
      <w:r>
        <w:rPr>
          <w:color w:val="231F1F"/>
          <w:w w:val="110"/>
          <w:sz w:val="20"/>
        </w:rPr>
        <w:t>a busy obstetric service. Obstet Gynecol 1994;83:971-4.</w:t>
      </w:r>
    </w:p>
    <w:p>
      <w:pPr>
        <w:pStyle w:val="ListParagraph"/>
        <w:numPr>
          <w:ilvl w:val="0"/>
          <w:numId w:val="109"/>
        </w:numPr>
        <w:tabs>
          <w:tab w:pos="793" w:val="left" w:leader="none"/>
          <w:tab w:pos="797" w:val="left" w:leader="none"/>
        </w:tabs>
        <w:spacing w:line="220" w:lineRule="auto" w:before="172" w:after="0"/>
        <w:ind w:left="797" w:right="196" w:hanging="502"/>
        <w:jc w:val="both"/>
        <w:rPr>
          <w:sz w:val="20"/>
        </w:rPr>
      </w:pPr>
      <w:r>
        <w:rPr>
          <w:color w:val="231F1F"/>
          <w:w w:val="110"/>
          <w:sz w:val="20"/>
        </w:rPr>
        <w:t>Skupski DW, Rosenberg CR, Eglinton GS. Intrapartum Fetal Stimulation Tests: A Meta- Analysis.</w:t>
      </w:r>
      <w:r>
        <w:rPr>
          <w:color w:val="231F1F"/>
          <w:spacing w:val="-9"/>
          <w:w w:val="110"/>
          <w:sz w:val="20"/>
        </w:rPr>
        <w:t> </w:t>
      </w:r>
      <w:r>
        <w:rPr>
          <w:color w:val="231F1F"/>
          <w:w w:val="110"/>
          <w:sz w:val="20"/>
        </w:rPr>
        <w:t>The American College of Obstetricians and Gynecologists 2002;99(1):129-34.</w:t>
      </w:r>
    </w:p>
    <w:p>
      <w:pPr>
        <w:pStyle w:val="ListParagraph"/>
        <w:numPr>
          <w:ilvl w:val="0"/>
          <w:numId w:val="109"/>
        </w:numPr>
        <w:tabs>
          <w:tab w:pos="794" w:val="left" w:leader="none"/>
          <w:tab w:pos="798" w:val="left" w:leader="none"/>
        </w:tabs>
        <w:spacing w:line="220" w:lineRule="auto" w:before="168" w:after="0"/>
        <w:ind w:left="798" w:right="184" w:hanging="506"/>
        <w:jc w:val="both"/>
        <w:rPr>
          <w:sz w:val="20"/>
        </w:rPr>
      </w:pPr>
      <w:r>
        <w:rPr>
          <w:color w:val="231F1F"/>
          <w:w w:val="105"/>
          <w:sz w:val="20"/>
        </w:rPr>
        <w:t>Skupski</w:t>
      </w:r>
      <w:r>
        <w:rPr>
          <w:color w:val="231F1F"/>
          <w:spacing w:val="-11"/>
          <w:w w:val="105"/>
          <w:sz w:val="20"/>
        </w:rPr>
        <w:t> </w:t>
      </w:r>
      <w:r>
        <w:rPr>
          <w:color w:val="231F1F"/>
          <w:w w:val="105"/>
          <w:sz w:val="20"/>
        </w:rPr>
        <w:t>DW,</w:t>
      </w:r>
      <w:r>
        <w:rPr>
          <w:color w:val="231F1F"/>
          <w:spacing w:val="-10"/>
          <w:w w:val="105"/>
          <w:sz w:val="20"/>
        </w:rPr>
        <w:t> </w:t>
      </w:r>
      <w:r>
        <w:rPr>
          <w:color w:val="231F1F"/>
          <w:w w:val="105"/>
          <w:sz w:val="20"/>
        </w:rPr>
        <w:t>Eglinton</w:t>
      </w:r>
      <w:r>
        <w:rPr>
          <w:color w:val="231F1F"/>
          <w:spacing w:val="-11"/>
          <w:w w:val="105"/>
          <w:sz w:val="20"/>
        </w:rPr>
        <w:t> </w:t>
      </w:r>
      <w:r>
        <w:rPr>
          <w:color w:val="231F1F"/>
          <w:w w:val="105"/>
          <w:sz w:val="20"/>
        </w:rPr>
        <w:t>GS.</w:t>
      </w:r>
      <w:r>
        <w:rPr>
          <w:color w:val="231F1F"/>
          <w:spacing w:val="-10"/>
          <w:w w:val="105"/>
          <w:sz w:val="20"/>
        </w:rPr>
        <w:t> </w:t>
      </w:r>
      <w:r>
        <w:rPr>
          <w:color w:val="231F1F"/>
          <w:w w:val="105"/>
          <w:sz w:val="20"/>
        </w:rPr>
        <w:t>Intrapartum</w:t>
      </w:r>
      <w:r>
        <w:rPr>
          <w:color w:val="231F1F"/>
          <w:spacing w:val="-9"/>
          <w:w w:val="105"/>
          <w:sz w:val="20"/>
        </w:rPr>
        <w:t> </w:t>
      </w:r>
      <w:r>
        <w:rPr>
          <w:color w:val="231F1F"/>
          <w:w w:val="105"/>
          <w:sz w:val="20"/>
        </w:rPr>
        <w:t>fetal</w:t>
      </w:r>
      <w:r>
        <w:rPr>
          <w:color w:val="231F1F"/>
          <w:spacing w:val="-7"/>
          <w:w w:val="105"/>
          <w:sz w:val="20"/>
        </w:rPr>
        <w:t> </w:t>
      </w:r>
      <w:r>
        <w:rPr>
          <w:color w:val="231F1F"/>
          <w:w w:val="105"/>
          <w:sz w:val="20"/>
        </w:rPr>
        <w:t>stimulation</w:t>
      </w:r>
      <w:r>
        <w:rPr>
          <w:color w:val="231F1F"/>
          <w:spacing w:val="-7"/>
          <w:w w:val="105"/>
          <w:sz w:val="20"/>
        </w:rPr>
        <w:t> </w:t>
      </w:r>
      <w:r>
        <w:rPr>
          <w:color w:val="231F1F"/>
          <w:w w:val="105"/>
          <w:sz w:val="20"/>
        </w:rPr>
        <w:t>tests:</w:t>
      </w:r>
      <w:r>
        <w:rPr>
          <w:color w:val="231F1F"/>
          <w:spacing w:val="-11"/>
          <w:w w:val="105"/>
          <w:sz w:val="20"/>
        </w:rPr>
        <w:t> </w:t>
      </w:r>
      <w:r>
        <w:rPr>
          <w:color w:val="231F1F"/>
          <w:w w:val="105"/>
          <w:sz w:val="20"/>
        </w:rPr>
        <w:t>a</w:t>
      </w:r>
      <w:r>
        <w:rPr>
          <w:color w:val="231F1F"/>
          <w:spacing w:val="-7"/>
          <w:w w:val="105"/>
          <w:sz w:val="20"/>
        </w:rPr>
        <w:t> </w:t>
      </w:r>
      <w:r>
        <w:rPr>
          <w:color w:val="231F1F"/>
          <w:w w:val="105"/>
          <w:sz w:val="20"/>
        </w:rPr>
        <w:t>meta-analysis.</w:t>
      </w:r>
      <w:r>
        <w:rPr>
          <w:color w:val="231F1F"/>
          <w:spacing w:val="-11"/>
          <w:w w:val="105"/>
          <w:sz w:val="20"/>
        </w:rPr>
        <w:t> </w:t>
      </w:r>
      <w:r>
        <w:rPr>
          <w:color w:val="231F1F"/>
          <w:w w:val="105"/>
          <w:sz w:val="20"/>
        </w:rPr>
        <w:t>Obstet</w:t>
      </w:r>
      <w:r>
        <w:rPr>
          <w:color w:val="231F1F"/>
          <w:spacing w:val="-7"/>
          <w:w w:val="105"/>
          <w:sz w:val="20"/>
        </w:rPr>
        <w:t> </w:t>
      </w:r>
      <w:r>
        <w:rPr>
          <w:color w:val="231F1F"/>
          <w:w w:val="105"/>
          <w:sz w:val="20"/>
        </w:rPr>
        <w:t>Gynecol 2002 Oct;100(4):830.</w:t>
      </w:r>
    </w:p>
    <w:p>
      <w:pPr>
        <w:pStyle w:val="ListParagraph"/>
        <w:numPr>
          <w:ilvl w:val="0"/>
          <w:numId w:val="109"/>
        </w:numPr>
        <w:tabs>
          <w:tab w:pos="793" w:val="left" w:leader="none"/>
          <w:tab w:pos="797" w:val="left" w:leader="none"/>
        </w:tabs>
        <w:spacing w:line="216" w:lineRule="auto" w:before="151" w:after="0"/>
        <w:ind w:left="797" w:right="285" w:hanging="502"/>
        <w:jc w:val="left"/>
        <w:rPr>
          <w:sz w:val="20"/>
        </w:rPr>
      </w:pPr>
      <w:r>
        <w:rPr>
          <w:color w:val="231F1F"/>
          <w:w w:val="110"/>
          <w:position w:val="1"/>
          <w:sz w:val="20"/>
        </w:rPr>
        <w:t>Judith</w:t>
      </w:r>
      <w:r>
        <w:rPr>
          <w:color w:val="231F1F"/>
          <w:spacing w:val="-13"/>
          <w:w w:val="110"/>
          <w:position w:val="1"/>
          <w:sz w:val="20"/>
        </w:rPr>
        <w:t> </w:t>
      </w:r>
      <w:r>
        <w:rPr>
          <w:color w:val="231F1F"/>
          <w:w w:val="110"/>
          <w:position w:val="1"/>
          <w:sz w:val="20"/>
        </w:rPr>
        <w:t>T,</w:t>
      </w:r>
      <w:r>
        <w:rPr>
          <w:color w:val="231F1F"/>
          <w:spacing w:val="-9"/>
          <w:w w:val="110"/>
          <w:position w:val="1"/>
          <w:sz w:val="20"/>
        </w:rPr>
        <w:t> </w:t>
      </w:r>
      <w:r>
        <w:rPr>
          <w:color w:val="231F1F"/>
          <w:w w:val="110"/>
          <w:position w:val="1"/>
          <w:sz w:val="20"/>
        </w:rPr>
        <w:t>Bishop</w:t>
      </w:r>
      <w:r>
        <w:rPr>
          <w:color w:val="231F1F"/>
          <w:spacing w:val="-7"/>
          <w:w w:val="110"/>
          <w:position w:val="1"/>
          <w:sz w:val="20"/>
        </w:rPr>
        <w:t> </w:t>
      </w:r>
      <w:r>
        <w:rPr>
          <w:color w:val="231F1F"/>
          <w:w w:val="110"/>
          <w:position w:val="1"/>
          <w:sz w:val="20"/>
        </w:rPr>
        <w:t>C.</w:t>
      </w:r>
      <w:r>
        <w:rPr>
          <w:color w:val="231F1F"/>
          <w:spacing w:val="-15"/>
          <w:w w:val="110"/>
          <w:position w:val="1"/>
          <w:sz w:val="20"/>
        </w:rPr>
        <w:t> </w:t>
      </w:r>
      <w:r>
        <w:rPr>
          <w:color w:val="231F1F"/>
          <w:w w:val="110"/>
          <w:position w:val="1"/>
          <w:sz w:val="20"/>
        </w:rPr>
        <w:t>Administration</w:t>
      </w:r>
      <w:r>
        <w:rPr>
          <w:color w:val="231F1F"/>
          <w:spacing w:val="-7"/>
          <w:w w:val="110"/>
          <w:position w:val="1"/>
          <w:sz w:val="20"/>
        </w:rPr>
        <w:t> </w:t>
      </w:r>
      <w:r>
        <w:rPr>
          <w:color w:val="231F1F"/>
          <w:w w:val="110"/>
          <w:position w:val="1"/>
          <w:sz w:val="20"/>
        </w:rPr>
        <w:t>of</w:t>
      </w:r>
      <w:r>
        <w:rPr>
          <w:color w:val="231F1F"/>
          <w:spacing w:val="-7"/>
          <w:w w:val="110"/>
          <w:position w:val="1"/>
          <w:sz w:val="20"/>
        </w:rPr>
        <w:t> </w:t>
      </w:r>
      <w:r>
        <w:rPr>
          <w:color w:val="231F1F"/>
          <w:w w:val="110"/>
          <w:position w:val="1"/>
          <w:sz w:val="20"/>
        </w:rPr>
        <w:t>Nitrous</w:t>
      </w:r>
      <w:r>
        <w:rPr>
          <w:color w:val="231F1F"/>
          <w:spacing w:val="-7"/>
          <w:w w:val="110"/>
          <w:position w:val="1"/>
          <w:sz w:val="20"/>
        </w:rPr>
        <w:t> </w:t>
      </w:r>
      <w:r>
        <w:rPr>
          <w:color w:val="231F1F"/>
          <w:w w:val="110"/>
          <w:position w:val="1"/>
          <w:sz w:val="20"/>
        </w:rPr>
        <w:t>Oxide</w:t>
      </w:r>
      <w:r>
        <w:rPr>
          <w:color w:val="231F1F"/>
          <w:spacing w:val="-7"/>
          <w:w w:val="110"/>
          <w:position w:val="1"/>
          <w:sz w:val="20"/>
        </w:rPr>
        <w:t> </w:t>
      </w:r>
      <w:r>
        <w:rPr>
          <w:color w:val="231F1F"/>
          <w:w w:val="110"/>
          <w:position w:val="1"/>
          <w:sz w:val="20"/>
        </w:rPr>
        <w:t>in</w:t>
      </w:r>
      <w:r>
        <w:rPr>
          <w:color w:val="231F1F"/>
          <w:spacing w:val="-7"/>
          <w:w w:val="110"/>
          <w:position w:val="1"/>
          <w:sz w:val="20"/>
        </w:rPr>
        <w:t> </w:t>
      </w:r>
      <w:r>
        <w:rPr>
          <w:color w:val="231F1F"/>
          <w:w w:val="110"/>
          <w:position w:val="1"/>
          <w:sz w:val="20"/>
        </w:rPr>
        <w:t>Labor:</w:t>
      </w:r>
      <w:r>
        <w:rPr>
          <w:color w:val="231F1F"/>
          <w:spacing w:val="-10"/>
          <w:w w:val="110"/>
          <w:position w:val="1"/>
          <w:sz w:val="20"/>
        </w:rPr>
        <w:t> </w:t>
      </w:r>
      <w:r>
        <w:rPr>
          <w:color w:val="231F1F"/>
          <w:w w:val="110"/>
          <w:position w:val="1"/>
          <w:sz w:val="20"/>
        </w:rPr>
        <w:t>Expanding</w:t>
      </w:r>
      <w:r>
        <w:rPr>
          <w:color w:val="231F1F"/>
          <w:spacing w:val="-7"/>
          <w:w w:val="110"/>
          <w:position w:val="1"/>
          <w:sz w:val="20"/>
        </w:rPr>
        <w:t> </w:t>
      </w:r>
      <w:r>
        <w:rPr>
          <w:color w:val="231F1F"/>
          <w:w w:val="110"/>
          <w:position w:val="1"/>
          <w:sz w:val="20"/>
        </w:rPr>
        <w:t>the</w:t>
      </w:r>
      <w:r>
        <w:rPr>
          <w:color w:val="231F1F"/>
          <w:spacing w:val="-7"/>
          <w:w w:val="110"/>
          <w:position w:val="1"/>
          <w:sz w:val="20"/>
        </w:rPr>
        <w:t> </w:t>
      </w:r>
      <w:r>
        <w:rPr>
          <w:color w:val="231F1F"/>
          <w:w w:val="110"/>
          <w:position w:val="1"/>
          <w:sz w:val="20"/>
        </w:rPr>
        <w:t>Options</w:t>
      </w:r>
      <w:r>
        <w:rPr>
          <w:color w:val="231F1F"/>
          <w:spacing w:val="-7"/>
          <w:w w:val="110"/>
          <w:position w:val="1"/>
          <w:sz w:val="20"/>
        </w:rPr>
        <w:t> </w:t>
      </w:r>
      <w:r>
        <w:rPr>
          <w:color w:val="231F1F"/>
          <w:w w:val="110"/>
          <w:position w:val="1"/>
          <w:sz w:val="20"/>
        </w:rPr>
        <w:t>for </w:t>
      </w:r>
      <w:r>
        <w:rPr>
          <w:color w:val="231F1F"/>
          <w:w w:val="110"/>
          <w:sz w:val="20"/>
        </w:rPr>
        <w:t>Women. Resources for clinicians 2007;52(3).</w:t>
      </w:r>
    </w:p>
    <w:p>
      <w:pPr>
        <w:pStyle w:val="ListParagraph"/>
        <w:spacing w:after="0" w:line="216" w:lineRule="auto"/>
        <w:jc w:val="left"/>
        <w:rPr>
          <w:sz w:val="20"/>
        </w:rPr>
        <w:sectPr>
          <w:pgSz w:w="11900" w:h="16840"/>
          <w:pgMar w:header="0" w:footer="622" w:top="1560" w:bottom="820" w:left="1417" w:right="1559"/>
        </w:sectPr>
      </w:pPr>
    </w:p>
    <w:p>
      <w:pPr>
        <w:pStyle w:val="BodyText"/>
        <w:spacing w:before="4"/>
        <w:rPr>
          <w:sz w:val="17"/>
        </w:rPr>
      </w:pPr>
    </w:p>
    <w:p>
      <w:pPr>
        <w:pStyle w:val="BodyText"/>
        <w:spacing w:after="0"/>
        <w:rPr>
          <w:sz w:val="17"/>
        </w:rPr>
        <w:sectPr>
          <w:footerReference w:type="even" r:id="rId110"/>
          <w:pgSz w:w="11900" w:h="16840"/>
          <w:pgMar w:header="0" w:footer="0" w:top="1940" w:bottom="280" w:left="1417" w:right="1559"/>
        </w:sectPr>
      </w:pPr>
    </w:p>
    <w:p>
      <w:pPr>
        <w:pStyle w:val="BodyText"/>
        <w:rPr>
          <w:sz w:val="20"/>
        </w:rPr>
      </w:pPr>
      <w:r>
        <w:rPr>
          <w:sz w:val="20"/>
        </w:rPr>
        <mc:AlternateContent>
          <mc:Choice Requires="wps">
            <w:drawing>
              <wp:anchor distT="0" distB="0" distL="0" distR="0" allowOverlap="1" layoutInCell="1" locked="0" behindDoc="1" simplePos="0" relativeHeight="481574912">
                <wp:simplePos x="0" y="0"/>
                <wp:positionH relativeFrom="page">
                  <wp:posOffset>0</wp:posOffset>
                </wp:positionH>
                <wp:positionV relativeFrom="page">
                  <wp:posOffset>0</wp:posOffset>
                </wp:positionV>
                <wp:extent cx="7556500" cy="10691495"/>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7556500" cy="10691495"/>
                        </a:xfrm>
                        <a:custGeom>
                          <a:avLst/>
                          <a:gdLst/>
                          <a:ahLst/>
                          <a:cxnLst/>
                          <a:rect l="l" t="t" r="r" b="b"/>
                          <a:pathLst>
                            <a:path w="7556500" h="10691495">
                              <a:moveTo>
                                <a:pt x="7556500" y="0"/>
                              </a:moveTo>
                              <a:lnTo>
                                <a:pt x="0" y="0"/>
                              </a:lnTo>
                              <a:lnTo>
                                <a:pt x="0" y="10691393"/>
                              </a:lnTo>
                              <a:lnTo>
                                <a:pt x="7556500" y="10691393"/>
                              </a:lnTo>
                              <a:lnTo>
                                <a:pt x="7556500" y="0"/>
                              </a:lnTo>
                              <a:close/>
                            </a:path>
                          </a:pathLst>
                        </a:custGeom>
                        <a:solidFill>
                          <a:srgbClr val="A30046"/>
                        </a:solidFill>
                      </wps:spPr>
                      <wps:bodyPr wrap="square" lIns="0" tIns="0" rIns="0" bIns="0" rtlCol="0">
                        <a:prstTxWarp prst="textNoShape">
                          <a:avLst/>
                        </a:prstTxWarp>
                        <a:noAutofit/>
                      </wps:bodyPr>
                    </wps:wsp>
                  </a:graphicData>
                </a:graphic>
              </wp:anchor>
            </w:drawing>
          </mc:Choice>
          <mc:Fallback>
            <w:pict>
              <v:rect style="position:absolute;margin-left:0pt;margin-top:-.000053pt;width:595pt;height:841.842pt;mso-position-horizontal-relative:page;mso-position-vertical-relative:page;z-index:-21741568" id="docshape411" filled="true" fillcolor="#a30046" stroked="false">
                <v:fill type="solid"/>
                <w10:wrap type="none"/>
              </v:rect>
            </w:pict>
          </mc:Fallback>
        </mc:AlternateContent>
      </w:r>
      <w:r>
        <w:rPr>
          <w:sz w:val="20"/>
        </w:rPr>
        <w:drawing>
          <wp:anchor distT="0" distB="0" distL="0" distR="0" allowOverlap="1" layoutInCell="1" locked="0" behindDoc="1" simplePos="0" relativeHeight="481575424">
            <wp:simplePos x="0" y="0"/>
            <wp:positionH relativeFrom="page">
              <wp:posOffset>4228465</wp:posOffset>
            </wp:positionH>
            <wp:positionV relativeFrom="page">
              <wp:posOffset>10177146</wp:posOffset>
            </wp:positionV>
            <wp:extent cx="2197342" cy="70294"/>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112" cstate="print"/>
                    <a:stretch>
                      <a:fillRect/>
                    </a:stretch>
                  </pic:blipFill>
                  <pic:spPr>
                    <a:xfrm>
                      <a:off x="0" y="0"/>
                      <a:ext cx="2197342" cy="70294"/>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05952">
                <wp:simplePos x="0" y="0"/>
                <wp:positionH relativeFrom="page">
                  <wp:posOffset>6695440</wp:posOffset>
                </wp:positionH>
                <wp:positionV relativeFrom="page">
                  <wp:posOffset>359411</wp:posOffset>
                </wp:positionV>
                <wp:extent cx="861060" cy="288290"/>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861060" cy="288290"/>
                        </a:xfrm>
                        <a:custGeom>
                          <a:avLst/>
                          <a:gdLst/>
                          <a:ahLst/>
                          <a:cxnLst/>
                          <a:rect l="l" t="t" r="r" b="b"/>
                          <a:pathLst>
                            <a:path w="861060" h="288290">
                              <a:moveTo>
                                <a:pt x="861058" y="0"/>
                              </a:moveTo>
                              <a:lnTo>
                                <a:pt x="0" y="0"/>
                              </a:lnTo>
                              <a:lnTo>
                                <a:pt x="0" y="287996"/>
                              </a:lnTo>
                              <a:lnTo>
                                <a:pt x="861058" y="287996"/>
                              </a:lnTo>
                              <a:lnTo>
                                <a:pt x="861058" y="0"/>
                              </a:lnTo>
                              <a:close/>
                            </a:path>
                          </a:pathLst>
                        </a:custGeom>
                        <a:solidFill>
                          <a:srgbClr val="E1EDC3"/>
                        </a:solidFill>
                      </wps:spPr>
                      <wps:bodyPr wrap="square" lIns="0" tIns="0" rIns="0" bIns="0" rtlCol="0">
                        <a:prstTxWarp prst="textNoShape">
                          <a:avLst/>
                        </a:prstTxWarp>
                        <a:noAutofit/>
                      </wps:bodyPr>
                    </wps:wsp>
                  </a:graphicData>
                </a:graphic>
              </wp:anchor>
            </w:drawing>
          </mc:Choice>
          <mc:Fallback>
            <w:pict>
              <v:rect style="position:absolute;margin-left:527.200012pt;margin-top:28.3001pt;width:67.799900pt;height:22.6769pt;mso-position-horizontal-relative:page;mso-position-vertical-relative:page;z-index:15805952" id="docshape412" filled="true" fillcolor="#e1edc3"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1921" w:val="left" w:leader="none"/>
          <w:tab w:pos="5038" w:val="left" w:leader="none"/>
        </w:tabs>
        <w:spacing w:line="240" w:lineRule="auto"/>
        <w:ind w:left="281" w:right="0" w:firstLine="0"/>
        <w:jc w:val="left"/>
        <w:rPr>
          <w:sz w:val="20"/>
        </w:rPr>
      </w:pPr>
      <w:r>
        <w:rPr>
          <w:sz w:val="20"/>
        </w:rPr>
        <mc:AlternateContent>
          <mc:Choice Requires="wps">
            <w:drawing>
              <wp:inline distT="0" distB="0" distL="0" distR="0">
                <wp:extent cx="814705" cy="406400"/>
                <wp:effectExtent l="0" t="0" r="0" b="3175"/>
                <wp:docPr id="487" name="Group 487"/>
                <wp:cNvGraphicFramePr>
                  <a:graphicFrameLocks/>
                </wp:cNvGraphicFramePr>
                <a:graphic>
                  <a:graphicData uri="http://schemas.microsoft.com/office/word/2010/wordprocessingGroup">
                    <wpg:wgp>
                      <wpg:cNvPr id="487" name="Group 487"/>
                      <wpg:cNvGrpSpPr/>
                      <wpg:grpSpPr>
                        <a:xfrm>
                          <a:off x="0" y="0"/>
                          <a:ext cx="814705" cy="406400"/>
                          <a:chExt cx="814705" cy="406400"/>
                        </a:xfrm>
                      </wpg:grpSpPr>
                      <pic:pic>
                        <pic:nvPicPr>
                          <pic:cNvPr id="488" name="Image 488"/>
                          <pic:cNvPicPr/>
                        </pic:nvPicPr>
                        <pic:blipFill>
                          <a:blip r:embed="rId113" cstate="print"/>
                          <a:stretch>
                            <a:fillRect/>
                          </a:stretch>
                        </pic:blipFill>
                        <pic:spPr>
                          <a:xfrm>
                            <a:off x="0" y="0"/>
                            <a:ext cx="814105" cy="406284"/>
                          </a:xfrm>
                          <a:prstGeom prst="rect">
                            <a:avLst/>
                          </a:prstGeom>
                        </pic:spPr>
                      </pic:pic>
                      <pic:pic>
                        <pic:nvPicPr>
                          <pic:cNvPr id="489" name="Image 489"/>
                          <pic:cNvPicPr/>
                        </pic:nvPicPr>
                        <pic:blipFill>
                          <a:blip r:embed="rId114" cstate="print"/>
                          <a:stretch>
                            <a:fillRect/>
                          </a:stretch>
                        </pic:blipFill>
                        <pic:spPr>
                          <a:xfrm>
                            <a:off x="403628" y="159169"/>
                            <a:ext cx="259548" cy="87124"/>
                          </a:xfrm>
                          <a:prstGeom prst="rect">
                            <a:avLst/>
                          </a:prstGeom>
                        </pic:spPr>
                      </pic:pic>
                      <wps:wsp>
                        <wps:cNvPr id="490" name="Textbox 490"/>
                        <wps:cNvSpPr txBox="1"/>
                        <wps:spPr>
                          <a:xfrm>
                            <a:off x="0" y="0"/>
                            <a:ext cx="814705" cy="406400"/>
                          </a:xfrm>
                          <a:prstGeom prst="rect">
                            <a:avLst/>
                          </a:prstGeom>
                        </wps:spPr>
                        <wps:txbx>
                          <w:txbxContent>
                            <w:p>
                              <w:pPr>
                                <w:spacing w:line="240" w:lineRule="auto" w:before="0"/>
                                <w:rPr>
                                  <w:sz w:val="8"/>
                                </w:rPr>
                              </w:pPr>
                            </w:p>
                            <w:p>
                              <w:pPr>
                                <w:spacing w:line="240" w:lineRule="auto" w:before="0"/>
                                <w:rPr>
                                  <w:sz w:val="8"/>
                                </w:rPr>
                              </w:pPr>
                            </w:p>
                            <w:p>
                              <w:pPr>
                                <w:spacing w:line="240" w:lineRule="auto" w:before="0"/>
                                <w:rPr>
                                  <w:sz w:val="8"/>
                                </w:rPr>
                              </w:pPr>
                            </w:p>
                            <w:p>
                              <w:pPr>
                                <w:spacing w:line="240" w:lineRule="auto" w:before="31"/>
                                <w:rPr>
                                  <w:sz w:val="8"/>
                                </w:rPr>
                              </w:pPr>
                            </w:p>
                            <w:p>
                              <w:pPr>
                                <w:spacing w:before="0"/>
                                <w:ind w:left="634" w:right="0" w:firstLine="0"/>
                                <w:jc w:val="left"/>
                                <w:rPr>
                                  <w:rFonts w:ascii="Trebuchet MS" w:hAnsi="Trebuchet MS"/>
                                  <w:sz w:val="8"/>
                                </w:rPr>
                              </w:pPr>
                              <w:r>
                                <w:rPr>
                                  <w:rFonts w:ascii="Trebuchet MS" w:hAnsi="Trebuchet MS"/>
                                  <w:color w:val="FFFFFF"/>
                                  <w:sz w:val="8"/>
                                </w:rPr>
                                <w:t>E</w:t>
                              </w:r>
                              <w:r>
                                <w:rPr>
                                  <w:rFonts w:ascii="Trebuchet MS" w:hAnsi="Trebuchet MS"/>
                                  <w:color w:val="FFFFFF"/>
                                  <w:spacing w:val="-11"/>
                                  <w:sz w:val="8"/>
                                </w:rPr>
                                <w:t> </w:t>
                              </w:r>
                              <w:r>
                                <w:rPr>
                                  <w:rFonts w:ascii="Trebuchet MS" w:hAnsi="Trebuchet MS"/>
                                  <w:color w:val="FFFFFF"/>
                                  <w:spacing w:val="-2"/>
                                  <w:sz w:val="8"/>
                                </w:rPr>
                                <w:t>INNOVACIÓN</w:t>
                              </w:r>
                            </w:p>
                          </w:txbxContent>
                        </wps:txbx>
                        <wps:bodyPr wrap="square" lIns="0" tIns="0" rIns="0" bIns="0" rtlCol="0">
                          <a:noAutofit/>
                        </wps:bodyPr>
                      </wps:wsp>
                    </wpg:wgp>
                  </a:graphicData>
                </a:graphic>
              </wp:inline>
            </w:drawing>
          </mc:Choice>
          <mc:Fallback>
            <w:pict>
              <v:group style="width:64.1500pt;height:32pt;mso-position-horizontal-relative:char;mso-position-vertical-relative:line" id="docshapegroup413" coordorigin="0,0" coordsize="1283,640">
                <v:shape style="position:absolute;left:0;top:0;width:1283;height:640" type="#_x0000_t75" id="docshape414" stroked="false">
                  <v:imagedata r:id="rId113" o:title=""/>
                </v:shape>
                <v:shape style="position:absolute;left:635;top:250;width:409;height:138" type="#_x0000_t75" id="docshape415" stroked="false">
                  <v:imagedata r:id="rId114" o:title=""/>
                </v:shape>
                <v:shape style="position:absolute;left:0;top:0;width:1283;height:640" type="#_x0000_t202" id="docshape416" filled="false" stroked="false">
                  <v:textbox inset="0,0,0,0">
                    <w:txbxContent>
                      <w:p>
                        <w:pPr>
                          <w:spacing w:line="240" w:lineRule="auto" w:before="0"/>
                          <w:rPr>
                            <w:sz w:val="8"/>
                          </w:rPr>
                        </w:pPr>
                      </w:p>
                      <w:p>
                        <w:pPr>
                          <w:spacing w:line="240" w:lineRule="auto" w:before="0"/>
                          <w:rPr>
                            <w:sz w:val="8"/>
                          </w:rPr>
                        </w:pPr>
                      </w:p>
                      <w:p>
                        <w:pPr>
                          <w:spacing w:line="240" w:lineRule="auto" w:before="0"/>
                          <w:rPr>
                            <w:sz w:val="8"/>
                          </w:rPr>
                        </w:pPr>
                      </w:p>
                      <w:p>
                        <w:pPr>
                          <w:spacing w:line="240" w:lineRule="auto" w:before="31"/>
                          <w:rPr>
                            <w:sz w:val="8"/>
                          </w:rPr>
                        </w:pPr>
                      </w:p>
                      <w:p>
                        <w:pPr>
                          <w:spacing w:before="0"/>
                          <w:ind w:left="634" w:right="0" w:firstLine="0"/>
                          <w:jc w:val="left"/>
                          <w:rPr>
                            <w:rFonts w:ascii="Trebuchet MS" w:hAnsi="Trebuchet MS"/>
                            <w:sz w:val="8"/>
                          </w:rPr>
                        </w:pPr>
                        <w:r>
                          <w:rPr>
                            <w:rFonts w:ascii="Trebuchet MS" w:hAnsi="Trebuchet MS"/>
                            <w:color w:val="FFFFFF"/>
                            <w:sz w:val="8"/>
                          </w:rPr>
                          <w:t>E</w:t>
                        </w:r>
                        <w:r>
                          <w:rPr>
                            <w:rFonts w:ascii="Trebuchet MS" w:hAnsi="Trebuchet MS"/>
                            <w:color w:val="FFFFFF"/>
                            <w:spacing w:val="-11"/>
                            <w:sz w:val="8"/>
                          </w:rPr>
                          <w:t> </w:t>
                        </w:r>
                        <w:r>
                          <w:rPr>
                            <w:rFonts w:ascii="Trebuchet MS" w:hAnsi="Trebuchet MS"/>
                            <w:color w:val="FFFFFF"/>
                            <w:spacing w:val="-2"/>
                            <w:sz w:val="8"/>
                          </w:rPr>
                          <w:t>INNOVACIÓN</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903605" cy="408940"/>
                <wp:effectExtent l="0" t="0" r="0" b="634"/>
                <wp:docPr id="491" name="Group 491"/>
                <wp:cNvGraphicFramePr>
                  <a:graphicFrameLocks/>
                </wp:cNvGraphicFramePr>
                <a:graphic>
                  <a:graphicData uri="http://schemas.microsoft.com/office/word/2010/wordprocessingGroup">
                    <wpg:wgp>
                      <wpg:cNvPr id="491" name="Group 491"/>
                      <wpg:cNvGrpSpPr/>
                      <wpg:grpSpPr>
                        <a:xfrm>
                          <a:off x="0" y="0"/>
                          <a:ext cx="903605" cy="408940"/>
                          <a:chExt cx="903605" cy="408940"/>
                        </a:xfrm>
                      </wpg:grpSpPr>
                      <pic:pic>
                        <pic:nvPicPr>
                          <pic:cNvPr id="492" name="Image 492"/>
                          <pic:cNvPicPr/>
                        </pic:nvPicPr>
                        <pic:blipFill>
                          <a:blip r:embed="rId115" cstate="print"/>
                          <a:stretch>
                            <a:fillRect/>
                          </a:stretch>
                        </pic:blipFill>
                        <pic:spPr>
                          <a:xfrm>
                            <a:off x="0" y="0"/>
                            <a:ext cx="903554" cy="408673"/>
                          </a:xfrm>
                          <a:prstGeom prst="rect">
                            <a:avLst/>
                          </a:prstGeom>
                        </pic:spPr>
                      </pic:pic>
                      <pic:pic>
                        <pic:nvPicPr>
                          <pic:cNvPr id="493" name="Image 493"/>
                          <pic:cNvPicPr/>
                        </pic:nvPicPr>
                        <pic:blipFill>
                          <a:blip r:embed="rId116" cstate="print"/>
                          <a:stretch>
                            <a:fillRect/>
                          </a:stretch>
                        </pic:blipFill>
                        <pic:spPr>
                          <a:xfrm>
                            <a:off x="401408" y="159805"/>
                            <a:ext cx="428877" cy="141987"/>
                          </a:xfrm>
                          <a:prstGeom prst="rect">
                            <a:avLst/>
                          </a:prstGeom>
                        </pic:spPr>
                      </pic:pic>
                    </wpg:wgp>
                  </a:graphicData>
                </a:graphic>
              </wp:inline>
            </w:drawing>
          </mc:Choice>
          <mc:Fallback>
            <w:pict>
              <v:group style="width:71.150pt;height:32.2pt;mso-position-horizontal-relative:char;mso-position-vertical-relative:line" id="docshapegroup417" coordorigin="0,0" coordsize="1423,644">
                <v:shape style="position:absolute;left:0;top:0;width:1423;height:644" type="#_x0000_t75" id="docshape418" stroked="false">
                  <v:imagedata r:id="rId115" o:title=""/>
                </v:shape>
                <v:shape style="position:absolute;left:632;top:251;width:676;height:224" type="#_x0000_t75" id="docshape419" stroked="false">
                  <v:imagedata r:id="rId116" o:title=""/>
                </v:shape>
              </v:group>
            </w:pict>
          </mc:Fallback>
        </mc:AlternateContent>
      </w:r>
      <w:r>
        <w:rPr>
          <w:sz w:val="20"/>
        </w:rPr>
      </w:r>
      <w:r>
        <w:rPr>
          <w:sz w:val="20"/>
        </w:rPr>
        <w:tab/>
      </w:r>
      <w:r>
        <w:rPr>
          <w:sz w:val="20"/>
        </w:rPr>
        <mc:AlternateContent>
          <mc:Choice Requires="wps">
            <w:drawing>
              <wp:inline distT="0" distB="0" distL="0" distR="0">
                <wp:extent cx="2362835" cy="273050"/>
                <wp:effectExtent l="0" t="0" r="0" b="3175"/>
                <wp:docPr id="494" name="Group 494"/>
                <wp:cNvGraphicFramePr>
                  <a:graphicFrameLocks/>
                </wp:cNvGraphicFramePr>
                <a:graphic>
                  <a:graphicData uri="http://schemas.microsoft.com/office/word/2010/wordprocessingGroup">
                    <wpg:wgp>
                      <wpg:cNvPr id="494" name="Group 494"/>
                      <wpg:cNvGrpSpPr/>
                      <wpg:grpSpPr>
                        <a:xfrm>
                          <a:off x="0" y="0"/>
                          <a:ext cx="2362835" cy="273050"/>
                          <a:chExt cx="2362835" cy="273050"/>
                        </a:xfrm>
                      </wpg:grpSpPr>
                      <pic:pic>
                        <pic:nvPicPr>
                          <pic:cNvPr id="495" name="Image 495"/>
                          <pic:cNvPicPr/>
                        </pic:nvPicPr>
                        <pic:blipFill>
                          <a:blip r:embed="rId117" cstate="print"/>
                          <a:stretch>
                            <a:fillRect/>
                          </a:stretch>
                        </pic:blipFill>
                        <pic:spPr>
                          <a:xfrm>
                            <a:off x="133210" y="14477"/>
                            <a:ext cx="2227453" cy="88097"/>
                          </a:xfrm>
                          <a:prstGeom prst="rect">
                            <a:avLst/>
                          </a:prstGeom>
                        </pic:spPr>
                      </pic:pic>
                      <wps:wsp>
                        <wps:cNvPr id="496" name="Graphic 496"/>
                        <wps:cNvSpPr/>
                        <wps:spPr>
                          <a:xfrm>
                            <a:off x="0" y="0"/>
                            <a:ext cx="40640" cy="273050"/>
                          </a:xfrm>
                          <a:custGeom>
                            <a:avLst/>
                            <a:gdLst/>
                            <a:ahLst/>
                            <a:cxnLst/>
                            <a:rect l="l" t="t" r="r" b="b"/>
                            <a:pathLst>
                              <a:path w="40640" h="273050">
                                <a:moveTo>
                                  <a:pt x="40144" y="0"/>
                                </a:moveTo>
                                <a:lnTo>
                                  <a:pt x="0" y="0"/>
                                </a:lnTo>
                                <a:lnTo>
                                  <a:pt x="0" y="272834"/>
                                </a:lnTo>
                                <a:lnTo>
                                  <a:pt x="40144" y="272834"/>
                                </a:lnTo>
                                <a:lnTo>
                                  <a:pt x="40144" y="0"/>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6350" y="136409"/>
                            <a:ext cx="2356485" cy="1270"/>
                          </a:xfrm>
                          <a:custGeom>
                            <a:avLst/>
                            <a:gdLst/>
                            <a:ahLst/>
                            <a:cxnLst/>
                            <a:rect l="l" t="t" r="r" b="b"/>
                            <a:pathLst>
                              <a:path w="2356485" h="0">
                                <a:moveTo>
                                  <a:pt x="2356321" y="0"/>
                                </a:moveTo>
                                <a:lnTo>
                                  <a:pt x="0" y="0"/>
                                </a:lnTo>
                              </a:path>
                            </a:pathLst>
                          </a:custGeom>
                          <a:ln w="11823">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186.05pt;height:21.5pt;mso-position-horizontal-relative:char;mso-position-vertical-relative:line" id="docshapegroup420" coordorigin="0,0" coordsize="3721,430">
                <v:shape style="position:absolute;left:209;top:22;width:3508;height:139" type="#_x0000_t75" id="docshape421" stroked="false">
                  <v:imagedata r:id="rId117" o:title=""/>
                </v:shape>
                <v:rect style="position:absolute;left:0;top:0;width:64;height:430" id="docshape422" filled="true" fillcolor="#ffffff" stroked="false">
                  <v:fill type="solid"/>
                </v:rect>
                <v:line style="position:absolute" from="3721,215" to="10,215" stroked="true" strokeweight=".930945pt" strokecolor="#ffffff">
                  <v:stroke dashstyle="solid"/>
                </v:line>
              </v:group>
            </w:pict>
          </mc:Fallback>
        </mc:AlternateContent>
      </w:r>
      <w:r>
        <w:rPr>
          <w:sz w:val="20"/>
        </w:rPr>
      </w:r>
    </w:p>
    <w:sectPr>
      <w:footerReference w:type="default" r:id="rId111"/>
      <w:pgSz w:w="11900" w:h="16840"/>
      <w:pgMar w:header="0" w:footer="0" w:top="560" w:bottom="280" w:left="1417"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Symbol">
    <w:altName w:val="Symbol"/>
    <w:charset w:val="2"/>
    <w:family w:val="decorative"/>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5"/>
      </w:rPr>
    </w:pPr>
    <w:r>
      <w:rPr>
        <w:sz w:val="15"/>
      </w:rPr>
      <mc:AlternateContent>
        <mc:Choice Requires="wps">
          <w:drawing>
            <wp:anchor distT="0" distB="0" distL="0" distR="0" allowOverlap="1" layoutInCell="1" locked="0" behindDoc="1" simplePos="0" relativeHeight="481498624">
              <wp:simplePos x="0" y="0"/>
              <wp:positionH relativeFrom="page">
                <wp:posOffset>6272784</wp:posOffset>
              </wp:positionH>
              <wp:positionV relativeFrom="page">
                <wp:posOffset>10158859</wp:posOffset>
              </wp:positionV>
              <wp:extent cx="157480" cy="1377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574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11</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3.920013pt;margin-top:799.910217pt;width:12.4pt;height:10.85pt;mso-position-horizontal-relative:page;mso-position-vertical-relative:page;z-index:-21817856" type="#_x0000_t202" id="docshape28"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11</w:t>
                    </w:r>
                    <w:r>
                      <w:rPr>
                        <w:rFonts w:ascii="Arial MT"/>
                        <w:color w:val="231F1F"/>
                        <w:spacing w:val="-5"/>
                        <w:sz w:val="16"/>
                      </w:rPr>
                      <w:fldChar w:fldCharType="end"/>
                    </w:r>
                  </w:p>
                </w:txbxContent>
              </v:textbox>
              <w10:wrap type="none"/>
            </v:shape>
          </w:pict>
        </mc:Fallback>
      </mc:AlternateContent>
    </w:r>
    <w:r>
      <w:rPr>
        <w:sz w:val="15"/>
      </w:rPr>
      <mc:AlternateContent>
        <mc:Choice Requires="wps">
          <w:drawing>
            <wp:anchor distT="0" distB="0" distL="0" distR="0" allowOverlap="1" layoutInCell="1" locked="0" behindDoc="1" simplePos="0" relativeHeight="481499136">
              <wp:simplePos x="0" y="0"/>
              <wp:positionH relativeFrom="page">
                <wp:posOffset>1066800</wp:posOffset>
              </wp:positionH>
              <wp:positionV relativeFrom="page">
                <wp:posOffset>10169897</wp:posOffset>
              </wp:positionV>
              <wp:extent cx="2879725" cy="12446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17344" type="#_x0000_t202" id="docshape29"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5792">
              <wp:simplePos x="0" y="0"/>
              <wp:positionH relativeFrom="page">
                <wp:posOffset>6327647</wp:posOffset>
              </wp:positionH>
              <wp:positionV relativeFrom="page">
                <wp:posOffset>10158859</wp:posOffset>
              </wp:positionV>
              <wp:extent cx="195580" cy="13779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93</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23999pt;margin-top:799.910217pt;width:15.4pt;height:10.85pt;mso-position-horizontal-relative:page;mso-position-vertical-relative:page;z-index:-21810688" type="#_x0000_t202" id="docshape60"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93</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6304">
              <wp:simplePos x="0" y="0"/>
              <wp:positionH relativeFrom="page">
                <wp:posOffset>1066800</wp:posOffset>
              </wp:positionH>
              <wp:positionV relativeFrom="page">
                <wp:posOffset>10169897</wp:posOffset>
              </wp:positionV>
              <wp:extent cx="2879725" cy="1244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10176" type="#_x0000_t202" id="docshape61"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6816">
              <wp:simplePos x="0" y="0"/>
              <wp:positionH relativeFrom="page">
                <wp:posOffset>1042416</wp:posOffset>
              </wp:positionH>
              <wp:positionV relativeFrom="page">
                <wp:posOffset>10158859</wp:posOffset>
              </wp:positionV>
              <wp:extent cx="195580" cy="13779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94</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5.4pt;height:10.85pt;mso-position-horizontal-relative:page;mso-position-vertical-relative:page;z-index:-21809664" type="#_x0000_t202" id="docshape63"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94</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7328">
              <wp:simplePos x="0" y="0"/>
              <wp:positionH relativeFrom="page">
                <wp:posOffset>4776226</wp:posOffset>
              </wp:positionH>
              <wp:positionV relativeFrom="page">
                <wp:posOffset>10169897</wp:posOffset>
              </wp:positionV>
              <wp:extent cx="1687195" cy="12446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09152" type="#_x0000_t202" id="docshape64"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7840">
              <wp:simplePos x="0" y="0"/>
              <wp:positionH relativeFrom="page">
                <wp:posOffset>6327647</wp:posOffset>
              </wp:positionH>
              <wp:positionV relativeFrom="page">
                <wp:posOffset>10158859</wp:posOffset>
              </wp:positionV>
              <wp:extent cx="195580" cy="13779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95</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23999pt;margin-top:799.910217pt;width:15.4pt;height:10.85pt;mso-position-horizontal-relative:page;mso-position-vertical-relative:page;z-index:-21808640" type="#_x0000_t202" id="docshape65"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95</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8352">
              <wp:simplePos x="0" y="0"/>
              <wp:positionH relativeFrom="page">
                <wp:posOffset>1066800</wp:posOffset>
              </wp:positionH>
              <wp:positionV relativeFrom="page">
                <wp:posOffset>10169897</wp:posOffset>
              </wp:positionV>
              <wp:extent cx="2879725" cy="12446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08128" type="#_x0000_t202" id="docshape66"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8864">
              <wp:simplePos x="0" y="0"/>
              <wp:positionH relativeFrom="page">
                <wp:posOffset>6327647</wp:posOffset>
              </wp:positionH>
              <wp:positionV relativeFrom="page">
                <wp:posOffset>10158859</wp:posOffset>
              </wp:positionV>
              <wp:extent cx="195580" cy="13779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99</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23999pt;margin-top:799.910217pt;width:15.4pt;height:10.85pt;mso-position-horizontal-relative:page;mso-position-vertical-relative:page;z-index:-21807616" type="#_x0000_t202" id="docshape67"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99</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9376">
              <wp:simplePos x="0" y="0"/>
              <wp:positionH relativeFrom="page">
                <wp:posOffset>1066800</wp:posOffset>
              </wp:positionH>
              <wp:positionV relativeFrom="page">
                <wp:posOffset>10169897</wp:posOffset>
              </wp:positionV>
              <wp:extent cx="2879725" cy="12446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07104" type="#_x0000_t202" id="docshape68"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9888">
              <wp:simplePos x="0" y="0"/>
              <wp:positionH relativeFrom="page">
                <wp:posOffset>1042416</wp:posOffset>
              </wp:positionH>
              <wp:positionV relativeFrom="page">
                <wp:posOffset>10158859</wp:posOffset>
              </wp:positionV>
              <wp:extent cx="248920" cy="13779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100</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806592" type="#_x0000_t202" id="docshape69"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100</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0400">
              <wp:simplePos x="0" y="0"/>
              <wp:positionH relativeFrom="page">
                <wp:posOffset>4776226</wp:posOffset>
              </wp:positionH>
              <wp:positionV relativeFrom="page">
                <wp:posOffset>10169897</wp:posOffset>
              </wp:positionV>
              <wp:extent cx="1687195" cy="12446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06080" type="#_x0000_t202" id="docshape70"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0912">
              <wp:simplePos x="0" y="0"/>
              <wp:positionH relativeFrom="page">
                <wp:posOffset>6327647</wp:posOffset>
              </wp:positionH>
              <wp:positionV relativeFrom="page">
                <wp:posOffset>10158859</wp:posOffset>
              </wp:positionV>
              <wp:extent cx="248920" cy="13779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101</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23999pt;margin-top:799.910217pt;width:19.6pt;height:10.85pt;mso-position-horizontal-relative:page;mso-position-vertical-relative:page;z-index:-21805568" type="#_x0000_t202" id="docshape72"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101</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1424">
              <wp:simplePos x="0" y="0"/>
              <wp:positionH relativeFrom="page">
                <wp:posOffset>1066800</wp:posOffset>
              </wp:positionH>
              <wp:positionV relativeFrom="page">
                <wp:posOffset>10169897</wp:posOffset>
              </wp:positionV>
              <wp:extent cx="2879725" cy="12446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05056" type="#_x0000_t202" id="docshape73"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1936">
              <wp:simplePos x="0" y="0"/>
              <wp:positionH relativeFrom="page">
                <wp:posOffset>1042416</wp:posOffset>
              </wp:positionH>
              <wp:positionV relativeFrom="page">
                <wp:posOffset>10158859</wp:posOffset>
              </wp:positionV>
              <wp:extent cx="248920" cy="13779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102</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804544" type="#_x0000_t202" id="docshape74"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102</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2448">
              <wp:simplePos x="0" y="0"/>
              <wp:positionH relativeFrom="page">
                <wp:posOffset>4776226</wp:posOffset>
              </wp:positionH>
              <wp:positionV relativeFrom="page">
                <wp:posOffset>10169897</wp:posOffset>
              </wp:positionV>
              <wp:extent cx="1687195" cy="12446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04032" type="#_x0000_t202" id="docshape75"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2960">
              <wp:simplePos x="0" y="0"/>
              <wp:positionH relativeFrom="page">
                <wp:posOffset>6281928</wp:posOffset>
              </wp:positionH>
              <wp:positionV relativeFrom="page">
                <wp:posOffset>10158859</wp:posOffset>
              </wp:positionV>
              <wp:extent cx="248920" cy="1377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147</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4.640015pt;margin-top:799.910217pt;width:19.6pt;height:10.85pt;mso-position-horizontal-relative:page;mso-position-vertical-relative:page;z-index:-21803520" type="#_x0000_t202" id="docshape87"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147</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3472">
              <wp:simplePos x="0" y="0"/>
              <wp:positionH relativeFrom="page">
                <wp:posOffset>1066800</wp:posOffset>
              </wp:positionH>
              <wp:positionV relativeFrom="page">
                <wp:posOffset>10169897</wp:posOffset>
              </wp:positionV>
              <wp:extent cx="2879725" cy="12446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03008" type="#_x0000_t202" id="docshape88"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499648">
              <wp:simplePos x="0" y="0"/>
              <wp:positionH relativeFrom="page">
                <wp:posOffset>1042416</wp:posOffset>
              </wp:positionH>
              <wp:positionV relativeFrom="page">
                <wp:posOffset>10158859</wp:posOffset>
              </wp:positionV>
              <wp:extent cx="157480" cy="13779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574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2.4pt;height:10.85pt;mso-position-horizontal-relative:page;mso-position-vertical-relative:page;z-index:-21816832" type="#_x0000_t202" id="docshape30"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10</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0160">
              <wp:simplePos x="0" y="0"/>
              <wp:positionH relativeFrom="page">
                <wp:posOffset>4776226</wp:posOffset>
              </wp:positionH>
              <wp:positionV relativeFrom="page">
                <wp:posOffset>10169897</wp:posOffset>
              </wp:positionV>
              <wp:extent cx="1687195" cy="12446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16320" type="#_x0000_t202" id="docshape31"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3984">
              <wp:simplePos x="0" y="0"/>
              <wp:positionH relativeFrom="page">
                <wp:posOffset>1042416</wp:posOffset>
              </wp:positionH>
              <wp:positionV relativeFrom="page">
                <wp:posOffset>10158859</wp:posOffset>
              </wp:positionV>
              <wp:extent cx="248920" cy="13779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148</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802496" type="#_x0000_t202" id="docshape89"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148</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4496">
              <wp:simplePos x="0" y="0"/>
              <wp:positionH relativeFrom="page">
                <wp:posOffset>4776226</wp:posOffset>
              </wp:positionH>
              <wp:positionV relativeFrom="page">
                <wp:posOffset>10169897</wp:posOffset>
              </wp:positionV>
              <wp:extent cx="1687195" cy="12446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01984" type="#_x0000_t202" id="docshape90"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5008">
              <wp:simplePos x="0" y="0"/>
              <wp:positionH relativeFrom="page">
                <wp:posOffset>6278879</wp:posOffset>
              </wp:positionH>
              <wp:positionV relativeFrom="page">
                <wp:posOffset>10158859</wp:posOffset>
              </wp:positionV>
              <wp:extent cx="248920" cy="13779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159</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4.399994pt;margin-top:799.910217pt;width:19.6pt;height:10.85pt;mso-position-horizontal-relative:page;mso-position-vertical-relative:page;z-index:-21801472" type="#_x0000_t202" id="docshape95"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159</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5520">
              <wp:simplePos x="0" y="0"/>
              <wp:positionH relativeFrom="page">
                <wp:posOffset>1066800</wp:posOffset>
              </wp:positionH>
              <wp:positionV relativeFrom="page">
                <wp:posOffset>10169897</wp:posOffset>
              </wp:positionV>
              <wp:extent cx="2879725" cy="12446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00960" type="#_x0000_t202" id="docshape96"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6032">
              <wp:simplePos x="0" y="0"/>
              <wp:positionH relativeFrom="page">
                <wp:posOffset>1042416</wp:posOffset>
              </wp:positionH>
              <wp:positionV relativeFrom="page">
                <wp:posOffset>10158859</wp:posOffset>
              </wp:positionV>
              <wp:extent cx="248920" cy="13779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160</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800448" type="#_x0000_t202" id="docshape97"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160</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6544">
              <wp:simplePos x="0" y="0"/>
              <wp:positionH relativeFrom="page">
                <wp:posOffset>4776226</wp:posOffset>
              </wp:positionH>
              <wp:positionV relativeFrom="page">
                <wp:posOffset>10169897</wp:posOffset>
              </wp:positionV>
              <wp:extent cx="1687195" cy="12446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799936" type="#_x0000_t202" id="docshape98"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7056">
              <wp:simplePos x="0" y="0"/>
              <wp:positionH relativeFrom="page">
                <wp:posOffset>6275832</wp:posOffset>
              </wp:positionH>
              <wp:positionV relativeFrom="page">
                <wp:posOffset>10158859</wp:posOffset>
              </wp:positionV>
              <wp:extent cx="248920" cy="13779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183</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4.160004pt;margin-top:799.910217pt;width:19.6pt;height:10.85pt;mso-position-horizontal-relative:page;mso-position-vertical-relative:page;z-index:-21799424" type="#_x0000_t202" id="docshape110"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183</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7568">
              <wp:simplePos x="0" y="0"/>
              <wp:positionH relativeFrom="page">
                <wp:posOffset>1066800</wp:posOffset>
              </wp:positionH>
              <wp:positionV relativeFrom="page">
                <wp:posOffset>10169897</wp:posOffset>
              </wp:positionV>
              <wp:extent cx="2879725" cy="12446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798912" type="#_x0000_t202" id="docshape111"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8080">
              <wp:simplePos x="0" y="0"/>
              <wp:positionH relativeFrom="page">
                <wp:posOffset>1042416</wp:posOffset>
              </wp:positionH>
              <wp:positionV relativeFrom="page">
                <wp:posOffset>10158859</wp:posOffset>
              </wp:positionV>
              <wp:extent cx="248920" cy="13779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184</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798400" type="#_x0000_t202" id="docshape112"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184</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8592">
              <wp:simplePos x="0" y="0"/>
              <wp:positionH relativeFrom="page">
                <wp:posOffset>4776226</wp:posOffset>
              </wp:positionH>
              <wp:positionV relativeFrom="page">
                <wp:posOffset>10169897</wp:posOffset>
              </wp:positionV>
              <wp:extent cx="1687195" cy="12446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797888" type="#_x0000_t202" id="docshape113"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19104">
              <wp:simplePos x="0" y="0"/>
              <wp:positionH relativeFrom="page">
                <wp:posOffset>6272784</wp:posOffset>
              </wp:positionH>
              <wp:positionV relativeFrom="page">
                <wp:posOffset>10158859</wp:posOffset>
              </wp:positionV>
              <wp:extent cx="248920" cy="13779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267</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3.920013pt;margin-top:799.910217pt;width:19.6pt;height:10.85pt;mso-position-horizontal-relative:page;mso-position-vertical-relative:page;z-index:-21797376" type="#_x0000_t202" id="docshape207"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267</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19616">
              <wp:simplePos x="0" y="0"/>
              <wp:positionH relativeFrom="page">
                <wp:posOffset>1066800</wp:posOffset>
              </wp:positionH>
              <wp:positionV relativeFrom="page">
                <wp:posOffset>10169897</wp:posOffset>
              </wp:positionV>
              <wp:extent cx="2879725" cy="12446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796864" type="#_x0000_t202" id="docshape208"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20128">
              <wp:simplePos x="0" y="0"/>
              <wp:positionH relativeFrom="page">
                <wp:posOffset>1042416</wp:posOffset>
              </wp:positionH>
              <wp:positionV relativeFrom="page">
                <wp:posOffset>10158859</wp:posOffset>
              </wp:positionV>
              <wp:extent cx="248920" cy="13779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268</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796352" type="#_x0000_t202" id="docshape209"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268</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20640">
              <wp:simplePos x="0" y="0"/>
              <wp:positionH relativeFrom="page">
                <wp:posOffset>4776226</wp:posOffset>
              </wp:positionH>
              <wp:positionV relativeFrom="page">
                <wp:posOffset>10169897</wp:posOffset>
              </wp:positionV>
              <wp:extent cx="1687195" cy="12446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795840" type="#_x0000_t202" id="docshape210"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21152">
              <wp:simplePos x="0" y="0"/>
              <wp:positionH relativeFrom="page">
                <wp:posOffset>6269735</wp:posOffset>
              </wp:positionH>
              <wp:positionV relativeFrom="page">
                <wp:posOffset>10158859</wp:posOffset>
              </wp:positionV>
              <wp:extent cx="248920" cy="13779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295</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3.679993pt;margin-top:799.910217pt;width:19.6pt;height:10.85pt;mso-position-horizontal-relative:page;mso-position-vertical-relative:page;z-index:-21795328" type="#_x0000_t202" id="docshape407"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295</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21664">
              <wp:simplePos x="0" y="0"/>
              <wp:positionH relativeFrom="page">
                <wp:posOffset>1066800</wp:posOffset>
              </wp:positionH>
              <wp:positionV relativeFrom="page">
                <wp:posOffset>10169897</wp:posOffset>
              </wp:positionV>
              <wp:extent cx="2879725" cy="12446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794816" type="#_x0000_t202" id="docshape408"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22176">
              <wp:simplePos x="0" y="0"/>
              <wp:positionH relativeFrom="page">
                <wp:posOffset>1042416</wp:posOffset>
              </wp:positionH>
              <wp:positionV relativeFrom="page">
                <wp:posOffset>10158859</wp:posOffset>
              </wp:positionV>
              <wp:extent cx="248920" cy="13779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4892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296</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9.6pt;height:10.85pt;mso-position-horizontal-relative:page;mso-position-vertical-relative:page;z-index:-21794304" type="#_x0000_t202" id="docshape409"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296</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22688">
              <wp:simplePos x="0" y="0"/>
              <wp:positionH relativeFrom="page">
                <wp:posOffset>4776226</wp:posOffset>
              </wp:positionH>
              <wp:positionV relativeFrom="page">
                <wp:posOffset>10169897</wp:posOffset>
              </wp:positionV>
              <wp:extent cx="1687195" cy="12446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793792" type="#_x0000_t202" id="docshape410"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0672">
              <wp:simplePos x="0" y="0"/>
              <wp:positionH relativeFrom="page">
                <wp:posOffset>6333744</wp:posOffset>
              </wp:positionH>
              <wp:positionV relativeFrom="page">
                <wp:posOffset>10158859</wp:posOffset>
              </wp:positionV>
              <wp:extent cx="195580" cy="13779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15</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720001pt;margin-top:799.910217pt;width:15.4pt;height:10.85pt;mso-position-horizontal-relative:page;mso-position-vertical-relative:page;z-index:-21815808" type="#_x0000_t202" id="docshape32"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15</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1184">
              <wp:simplePos x="0" y="0"/>
              <wp:positionH relativeFrom="page">
                <wp:posOffset>1066800</wp:posOffset>
              </wp:positionH>
              <wp:positionV relativeFrom="page">
                <wp:posOffset>10169897</wp:posOffset>
              </wp:positionV>
              <wp:extent cx="2879725" cy="12446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15296" type="#_x0000_t202" id="docshape33"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1696">
              <wp:simplePos x="0" y="0"/>
              <wp:positionH relativeFrom="page">
                <wp:posOffset>1042416</wp:posOffset>
              </wp:positionH>
              <wp:positionV relativeFrom="page">
                <wp:posOffset>10158859</wp:posOffset>
              </wp:positionV>
              <wp:extent cx="195580" cy="13779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16</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5.4pt;height:10.85pt;mso-position-horizontal-relative:page;mso-position-vertical-relative:page;z-index:-21814784" type="#_x0000_t202" id="docshape34"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16</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2208">
              <wp:simplePos x="0" y="0"/>
              <wp:positionH relativeFrom="page">
                <wp:posOffset>4776226</wp:posOffset>
              </wp:positionH>
              <wp:positionV relativeFrom="page">
                <wp:posOffset>10169897</wp:posOffset>
              </wp:positionV>
              <wp:extent cx="1687195" cy="1244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14272" type="#_x0000_t202" id="docshape35"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2720">
              <wp:simplePos x="0" y="0"/>
              <wp:positionH relativeFrom="page">
                <wp:posOffset>6327647</wp:posOffset>
              </wp:positionH>
              <wp:positionV relativeFrom="page">
                <wp:posOffset>10158859</wp:posOffset>
              </wp:positionV>
              <wp:extent cx="195580" cy="1377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35</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498.23999pt;margin-top:799.910217pt;width:15.4pt;height:10.85pt;mso-position-horizontal-relative:page;mso-position-vertical-relative:page;z-index:-21813760" type="#_x0000_t202" id="docshape36"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35</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3232">
              <wp:simplePos x="0" y="0"/>
              <wp:positionH relativeFrom="page">
                <wp:posOffset>1066800</wp:posOffset>
              </wp:positionH>
              <wp:positionV relativeFrom="page">
                <wp:posOffset>10169897</wp:posOffset>
              </wp:positionV>
              <wp:extent cx="2879725" cy="1244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87972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wps:txbx>
                    <wps:bodyPr wrap="square" lIns="0" tIns="0" rIns="0" bIns="0" rtlCol="0">
                      <a:noAutofit/>
                    </wps:bodyPr>
                  </wps:wsp>
                </a:graphicData>
              </a:graphic>
            </wp:anchor>
          </w:drawing>
        </mc:Choice>
        <mc:Fallback>
          <w:pict>
            <v:shape style="position:absolute;margin-left:84.000076pt;margin-top:800.779297pt;width:226.75pt;height:9.8pt;mso-position-horizontal-relative:page;mso-position-vertical-relative:page;z-index:-21813248" type="#_x0000_t202" id="docshape37" filled="false" stroked="false">
              <v:textbox inset="0,0,0,0">
                <w:txbxContent>
                  <w:p>
                    <w:pPr>
                      <w:spacing w:before="14"/>
                      <w:ind w:left="20" w:right="0" w:firstLine="0"/>
                      <w:jc w:val="left"/>
                      <w:rPr>
                        <w:rFonts w:ascii="Arial MT" w:hAnsi="Arial MT"/>
                        <w:sz w:val="14"/>
                      </w:rPr>
                    </w:pPr>
                    <w:r>
                      <w:rPr>
                        <w:rFonts w:ascii="Arial MT" w:hAnsi="Arial MT"/>
                        <w:color w:val="231F1F"/>
                        <w:spacing w:val="-6"/>
                        <w:sz w:val="14"/>
                      </w:rPr>
                      <w:t>GUÍA DE</w:t>
                    </w:r>
                    <w:r>
                      <w:rPr>
                        <w:rFonts w:ascii="Arial MT" w:hAnsi="Arial MT"/>
                        <w:color w:val="231F1F"/>
                        <w:spacing w:val="-4"/>
                        <w:sz w:val="14"/>
                      </w:rPr>
                      <w:t> </w:t>
                    </w:r>
                    <w:r>
                      <w:rPr>
                        <w:rFonts w:ascii="Arial MT" w:hAnsi="Arial MT"/>
                        <w:color w:val="231F1F"/>
                        <w:spacing w:val="-6"/>
                        <w:sz w:val="14"/>
                      </w:rPr>
                      <w:t>PRÁCTICA</w:t>
                    </w:r>
                    <w:r>
                      <w:rPr>
                        <w:rFonts w:ascii="Arial MT" w:hAnsi="Arial MT"/>
                        <w:color w:val="231F1F"/>
                        <w:spacing w:val="-4"/>
                        <w:sz w:val="14"/>
                      </w:rPr>
                      <w:t> </w:t>
                    </w:r>
                    <w:r>
                      <w:rPr>
                        <w:rFonts w:ascii="Arial MT" w:hAnsi="Arial MT"/>
                        <w:color w:val="231F1F"/>
                        <w:spacing w:val="-6"/>
                        <w:sz w:val="14"/>
                      </w:rPr>
                      <w:t>CLÍNICA</w:t>
                    </w:r>
                    <w:r>
                      <w:rPr>
                        <w:rFonts w:ascii="Arial MT" w:hAnsi="Arial MT"/>
                        <w:color w:val="231F1F"/>
                        <w:spacing w:val="-4"/>
                        <w:sz w:val="14"/>
                      </w:rPr>
                      <w:t> </w:t>
                    </w:r>
                    <w:r>
                      <w:rPr>
                        <w:rFonts w:ascii="Arial MT" w:hAnsi="Arial MT"/>
                        <w:color w:val="231F1F"/>
                        <w:spacing w:val="-6"/>
                        <w:sz w:val="14"/>
                      </w:rPr>
                      <w:t>SOBRE</w:t>
                    </w:r>
                    <w:r>
                      <w:rPr>
                        <w:rFonts w:ascii="Arial MT" w:hAnsi="Arial MT"/>
                        <w:color w:val="231F1F"/>
                        <w:spacing w:val="-5"/>
                        <w:sz w:val="14"/>
                      </w:rPr>
                      <w:t> </w:t>
                    </w:r>
                    <w:r>
                      <w:rPr>
                        <w:rFonts w:ascii="Arial MT" w:hAnsi="Arial MT"/>
                        <w:color w:val="231F1F"/>
                        <w:spacing w:val="-6"/>
                        <w:sz w:val="14"/>
                      </w:rPr>
                      <w:t>LA</w:t>
                    </w:r>
                    <w:r>
                      <w:rPr>
                        <w:rFonts w:ascii="Arial MT" w:hAnsi="Arial MT"/>
                        <w:color w:val="231F1F"/>
                        <w:spacing w:val="-4"/>
                        <w:sz w:val="14"/>
                      </w:rPr>
                      <w:t> </w:t>
                    </w:r>
                    <w:r>
                      <w:rPr>
                        <w:rFonts w:ascii="Arial MT" w:hAnsi="Arial MT"/>
                        <w:color w:val="231F1F"/>
                        <w:spacing w:val="-6"/>
                        <w:sz w:val="14"/>
                      </w:rPr>
                      <w:t>ATENCIÓN</w:t>
                    </w:r>
                    <w:r>
                      <w:rPr>
                        <w:rFonts w:ascii="Arial MT" w:hAnsi="Arial MT"/>
                        <w:color w:val="231F1F"/>
                        <w:spacing w:val="-3"/>
                        <w:sz w:val="14"/>
                      </w:rPr>
                      <w:t> </w:t>
                    </w:r>
                    <w:r>
                      <w:rPr>
                        <w:rFonts w:ascii="Arial MT" w:hAnsi="Arial MT"/>
                        <w:color w:val="231F1F"/>
                        <w:spacing w:val="-6"/>
                        <w:sz w:val="14"/>
                      </w:rPr>
                      <w:t>AL</w:t>
                    </w:r>
                    <w:r>
                      <w:rPr>
                        <w:rFonts w:ascii="Arial MT" w:hAnsi="Arial MT"/>
                        <w:color w:val="231F1F"/>
                        <w:spacing w:val="-5"/>
                        <w:sz w:val="14"/>
                      </w:rPr>
                      <w:t> </w:t>
                    </w:r>
                    <w:r>
                      <w:rPr>
                        <w:rFonts w:ascii="Arial MT" w:hAnsi="Arial MT"/>
                        <w:color w:val="231F1F"/>
                        <w:spacing w:val="-6"/>
                        <w:sz w:val="14"/>
                      </w:rPr>
                      <w:t>PARTO</w:t>
                    </w:r>
                    <w:r>
                      <w:rPr>
                        <w:rFonts w:ascii="Arial MT" w:hAnsi="Arial MT"/>
                        <w:color w:val="231F1F"/>
                        <w:spacing w:val="-5"/>
                        <w:sz w:val="14"/>
                      </w:rPr>
                      <w:t> </w:t>
                    </w:r>
                    <w:r>
                      <w:rPr>
                        <w:rFonts w:ascii="Arial MT" w:hAnsi="Arial MT"/>
                        <w:color w:val="231F1F"/>
                        <w:spacing w:val="-6"/>
                        <w:sz w:val="14"/>
                      </w:rPr>
                      <w:t>NORMAL</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3744">
              <wp:simplePos x="0" y="0"/>
              <wp:positionH relativeFrom="page">
                <wp:posOffset>1042416</wp:posOffset>
              </wp:positionH>
              <wp:positionV relativeFrom="page">
                <wp:posOffset>10158859</wp:posOffset>
              </wp:positionV>
              <wp:extent cx="195580" cy="1377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95580" cy="137795"/>
                      </a:xfrm>
                      <a:prstGeom prst="rect">
                        <a:avLst/>
                      </a:prstGeom>
                    </wps:spPr>
                    <wps:txbx>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36</w:t>
                          </w:r>
                          <w:r>
                            <w:rPr>
                              <w:rFonts w:ascii="Arial MT"/>
                              <w:color w:val="231F1F"/>
                              <w:spacing w:val="-5"/>
                              <w:sz w:val="16"/>
                            </w:rPr>
                            <w:fldChar w:fldCharType="end"/>
                          </w:r>
                        </w:p>
                      </w:txbxContent>
                    </wps:txbx>
                    <wps:bodyPr wrap="square" lIns="0" tIns="0" rIns="0" bIns="0" rtlCol="0">
                      <a:noAutofit/>
                    </wps:bodyPr>
                  </wps:wsp>
                </a:graphicData>
              </a:graphic>
            </wp:anchor>
          </w:drawing>
        </mc:Choice>
        <mc:Fallback>
          <w:pict>
            <v:shape style="position:absolute;margin-left:82.080002pt;margin-top:799.910217pt;width:15.4pt;height:10.85pt;mso-position-horizontal-relative:page;mso-position-vertical-relative:page;z-index:-21812736" type="#_x0000_t202" id="docshape38" filled="false" stroked="false">
              <v:textbox inset="0,0,0,0">
                <w:txbxContent>
                  <w:p>
                    <w:pPr>
                      <w:spacing w:before="13"/>
                      <w:ind w:left="60" w:right="0" w:firstLine="0"/>
                      <w:jc w:val="left"/>
                      <w:rPr>
                        <w:rFonts w:ascii="Arial MT"/>
                        <w:sz w:val="16"/>
                      </w:rPr>
                    </w:pPr>
                    <w:r>
                      <w:rPr>
                        <w:rFonts w:ascii="Arial MT"/>
                        <w:color w:val="231F1F"/>
                        <w:spacing w:val="-5"/>
                        <w:sz w:val="16"/>
                      </w:rPr>
                      <w:fldChar w:fldCharType="begin"/>
                    </w:r>
                    <w:r>
                      <w:rPr>
                        <w:rFonts w:ascii="Arial MT"/>
                        <w:color w:val="231F1F"/>
                        <w:spacing w:val="-5"/>
                        <w:sz w:val="16"/>
                      </w:rPr>
                      <w:instrText> PAGE </w:instrText>
                    </w:r>
                    <w:r>
                      <w:rPr>
                        <w:rFonts w:ascii="Arial MT"/>
                        <w:color w:val="231F1F"/>
                        <w:spacing w:val="-5"/>
                        <w:sz w:val="16"/>
                      </w:rPr>
                      <w:fldChar w:fldCharType="separate"/>
                    </w:r>
                    <w:r>
                      <w:rPr>
                        <w:rFonts w:ascii="Arial MT"/>
                        <w:color w:val="231F1F"/>
                        <w:spacing w:val="-5"/>
                        <w:sz w:val="16"/>
                      </w:rPr>
                      <w:t>36</w:t>
                    </w:r>
                    <w:r>
                      <w:rPr>
                        <w:rFonts w:ascii="Arial MT"/>
                        <w:color w:val="231F1F"/>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1504256">
              <wp:simplePos x="0" y="0"/>
              <wp:positionH relativeFrom="page">
                <wp:posOffset>4776226</wp:posOffset>
              </wp:positionH>
              <wp:positionV relativeFrom="page">
                <wp:posOffset>10169897</wp:posOffset>
              </wp:positionV>
              <wp:extent cx="1687195" cy="12446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87195" cy="124460"/>
                      </a:xfrm>
                      <a:prstGeom prst="rect">
                        <a:avLst/>
                      </a:prstGeom>
                    </wps:spPr>
                    <wps:txbx>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wps:txbx>
                    <wps:bodyPr wrap="square" lIns="0" tIns="0" rIns="0" bIns="0" rtlCol="0">
                      <a:noAutofit/>
                    </wps:bodyPr>
                  </wps:wsp>
                </a:graphicData>
              </a:graphic>
            </wp:anchor>
          </w:drawing>
        </mc:Choice>
        <mc:Fallback>
          <w:pict>
            <v:shape style="position:absolute;margin-left:376.080811pt;margin-top:800.779297pt;width:132.85pt;height:9.8pt;mso-position-horizontal-relative:page;mso-position-vertical-relative:page;z-index:-21812224" type="#_x0000_t202" id="docshape39" filled="false" stroked="false">
              <v:textbox inset="0,0,0,0">
                <w:txbxContent>
                  <w:p>
                    <w:pPr>
                      <w:spacing w:before="14"/>
                      <w:ind w:left="20" w:right="0" w:firstLine="0"/>
                      <w:jc w:val="left"/>
                      <w:rPr>
                        <w:rFonts w:ascii="Arial MT" w:hAnsi="Arial MT"/>
                        <w:sz w:val="14"/>
                      </w:rPr>
                    </w:pPr>
                    <w:r>
                      <w:rPr>
                        <w:rFonts w:ascii="Arial MT" w:hAnsi="Arial MT"/>
                        <w:color w:val="231F1F"/>
                        <w:spacing w:val="-4"/>
                        <w:sz w:val="14"/>
                      </w:rPr>
                      <w:t>GUÍAS</w:t>
                    </w:r>
                    <w:r>
                      <w:rPr>
                        <w:rFonts w:ascii="Arial MT" w:hAnsi="Arial MT"/>
                        <w:color w:val="231F1F"/>
                        <w:spacing w:val="-12"/>
                        <w:sz w:val="14"/>
                      </w:rPr>
                      <w:t> </w:t>
                    </w:r>
                    <w:r>
                      <w:rPr>
                        <w:rFonts w:ascii="Arial MT" w:hAnsi="Arial MT"/>
                        <w:color w:val="231F1F"/>
                        <w:spacing w:val="-4"/>
                        <w:sz w:val="14"/>
                      </w:rPr>
                      <w:t>DE</w:t>
                    </w:r>
                    <w:r>
                      <w:rPr>
                        <w:rFonts w:ascii="Arial MT" w:hAnsi="Arial MT"/>
                        <w:color w:val="231F1F"/>
                        <w:spacing w:val="-12"/>
                        <w:sz w:val="14"/>
                      </w:rPr>
                      <w:t> </w:t>
                    </w:r>
                    <w:r>
                      <w:rPr>
                        <w:rFonts w:ascii="Arial MT" w:hAnsi="Arial MT"/>
                        <w:color w:val="231F1F"/>
                        <w:spacing w:val="-4"/>
                        <w:sz w:val="14"/>
                      </w:rPr>
                      <w:t>PRÁCTICA</w:t>
                    </w:r>
                    <w:r>
                      <w:rPr>
                        <w:rFonts w:ascii="Arial MT" w:hAnsi="Arial MT"/>
                        <w:color w:val="231F1F"/>
                        <w:spacing w:val="-12"/>
                        <w:sz w:val="14"/>
                      </w:rPr>
                      <w:t> </w:t>
                    </w:r>
                    <w:r>
                      <w:rPr>
                        <w:rFonts w:ascii="Arial MT" w:hAnsi="Arial MT"/>
                        <w:color w:val="231F1F"/>
                        <w:spacing w:val="-4"/>
                        <w:sz w:val="14"/>
                      </w:rPr>
                      <w:t>CLÍNICA</w:t>
                    </w:r>
                    <w:r>
                      <w:rPr>
                        <w:rFonts w:ascii="Arial MT" w:hAnsi="Arial MT"/>
                        <w:color w:val="231F1F"/>
                        <w:spacing w:val="-12"/>
                        <w:sz w:val="14"/>
                      </w:rPr>
                      <w:t> </w:t>
                    </w:r>
                    <w:r>
                      <w:rPr>
                        <w:rFonts w:ascii="Arial MT" w:hAnsi="Arial MT"/>
                        <w:color w:val="231F1F"/>
                        <w:spacing w:val="-4"/>
                        <w:sz w:val="14"/>
                      </w:rPr>
                      <w:t>EN</w:t>
                    </w:r>
                    <w:r>
                      <w:rPr>
                        <w:rFonts w:ascii="Arial MT" w:hAnsi="Arial MT"/>
                        <w:color w:val="231F1F"/>
                        <w:spacing w:val="-9"/>
                        <w:sz w:val="14"/>
                      </w:rPr>
                      <w:t> </w:t>
                    </w:r>
                    <w:r>
                      <w:rPr>
                        <w:rFonts w:ascii="Arial MT" w:hAnsi="Arial MT"/>
                        <w:color w:val="231F1F"/>
                        <w:spacing w:val="-4"/>
                        <w:sz w:val="14"/>
                      </w:rPr>
                      <w:t>EL</w:t>
                    </w:r>
                    <w:r>
                      <w:rPr>
                        <w:rFonts w:ascii="Arial MT" w:hAnsi="Arial MT"/>
                        <w:color w:val="231F1F"/>
                        <w:spacing w:val="-12"/>
                        <w:sz w:val="14"/>
                      </w:rPr>
                      <w:t> </w:t>
                    </w:r>
                    <w:r>
                      <w:rPr>
                        <w:rFonts w:ascii="Arial MT" w:hAnsi="Arial MT"/>
                        <w:color w:val="231F1F"/>
                        <w:spacing w:val="-5"/>
                        <w:sz w:val="14"/>
                      </w:rPr>
                      <w:t>SNS</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504768">
              <wp:simplePos x="0" y="0"/>
              <wp:positionH relativeFrom="page">
                <wp:posOffset>1066800</wp:posOffset>
              </wp:positionH>
              <wp:positionV relativeFrom="page">
                <wp:posOffset>9972932</wp:posOffset>
              </wp:positionV>
              <wp:extent cx="132080" cy="13779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32080" cy="137795"/>
                      </a:xfrm>
                      <a:prstGeom prst="rect">
                        <a:avLst/>
                      </a:prstGeom>
                    </wps:spPr>
                    <wps:txbx>
                      <w:txbxContent>
                        <w:p>
                          <w:pPr>
                            <w:spacing w:before="13"/>
                            <w:ind w:left="20" w:right="0" w:firstLine="0"/>
                            <w:jc w:val="left"/>
                            <w:rPr>
                              <w:rFonts w:ascii="Arial MT"/>
                              <w:sz w:val="16"/>
                            </w:rPr>
                          </w:pPr>
                          <w:r>
                            <w:rPr>
                              <w:rFonts w:ascii="Arial MT"/>
                              <w:spacing w:val="-5"/>
                              <w:sz w:val="16"/>
                            </w:rPr>
                            <w:t>92</w:t>
                          </w:r>
                        </w:p>
                      </w:txbxContent>
                    </wps:txbx>
                    <wps:bodyPr wrap="square" lIns="0" tIns="0" rIns="0" bIns="0" rtlCol="0">
                      <a:noAutofit/>
                    </wps:bodyPr>
                  </wps:wsp>
                </a:graphicData>
              </a:graphic>
            </wp:anchor>
          </w:drawing>
        </mc:Choice>
        <mc:Fallback>
          <w:pict>
            <v:shape style="position:absolute;margin-left:84.000076pt;margin-top:785.270264pt;width:10.4pt;height:10.85pt;mso-position-horizontal-relative:page;mso-position-vertical-relative:page;z-index:-21811712" type="#_x0000_t202" id="docshape58" filled="false" stroked="false">
              <v:textbox inset="0,0,0,0">
                <w:txbxContent>
                  <w:p>
                    <w:pPr>
                      <w:spacing w:before="13"/>
                      <w:ind w:left="20" w:right="0" w:firstLine="0"/>
                      <w:jc w:val="left"/>
                      <w:rPr>
                        <w:rFonts w:ascii="Arial MT"/>
                        <w:sz w:val="16"/>
                      </w:rPr>
                    </w:pPr>
                    <w:r>
                      <w:rPr>
                        <w:rFonts w:ascii="Arial MT"/>
                        <w:spacing w:val="-5"/>
                        <w:sz w:val="16"/>
                      </w:rPr>
                      <w:t>92</w:t>
                    </w:r>
                  </w:p>
                </w:txbxContent>
              </v:textbox>
              <w10:wrap type="none"/>
            </v:shape>
          </w:pict>
        </mc:Fallback>
      </mc:AlternateContent>
    </w:r>
    <w:r>
      <w:rPr>
        <w:sz w:val="20"/>
      </w:rPr>
      <mc:AlternateContent>
        <mc:Choice Requires="wps">
          <w:drawing>
            <wp:anchor distT="0" distB="0" distL="0" distR="0" allowOverlap="1" layoutInCell="1" locked="0" behindDoc="1" simplePos="0" relativeHeight="481505280">
              <wp:simplePos x="0" y="0"/>
              <wp:positionH relativeFrom="page">
                <wp:posOffset>4776226</wp:posOffset>
              </wp:positionH>
              <wp:positionV relativeFrom="page">
                <wp:posOffset>9983968</wp:posOffset>
              </wp:positionV>
              <wp:extent cx="1685289" cy="12446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685289" cy="124460"/>
                      </a:xfrm>
                      <a:prstGeom prst="rect">
                        <a:avLst/>
                      </a:prstGeom>
                    </wps:spPr>
                    <wps:txbx>
                      <w:txbxContent>
                        <w:p>
                          <w:pPr>
                            <w:spacing w:before="14"/>
                            <w:ind w:left="20" w:right="0" w:firstLine="0"/>
                            <w:jc w:val="left"/>
                            <w:rPr>
                              <w:rFonts w:ascii="Arial MT" w:hAnsi="Arial MT"/>
                              <w:sz w:val="14"/>
                            </w:rPr>
                          </w:pPr>
                          <w:r>
                            <w:rPr>
                              <w:rFonts w:ascii="Arial MT" w:hAnsi="Arial MT"/>
                              <w:spacing w:val="-4"/>
                              <w:sz w:val="14"/>
                            </w:rPr>
                            <w:t>GUÍAS</w:t>
                          </w:r>
                          <w:r>
                            <w:rPr>
                              <w:rFonts w:ascii="Arial MT" w:hAnsi="Arial MT"/>
                              <w:spacing w:val="-13"/>
                              <w:sz w:val="14"/>
                            </w:rPr>
                            <w:t> </w:t>
                          </w:r>
                          <w:r>
                            <w:rPr>
                              <w:rFonts w:ascii="Arial MT" w:hAnsi="Arial MT"/>
                              <w:spacing w:val="-4"/>
                              <w:sz w:val="14"/>
                            </w:rPr>
                            <w:t>DE</w:t>
                          </w:r>
                          <w:r>
                            <w:rPr>
                              <w:rFonts w:ascii="Arial MT" w:hAnsi="Arial MT"/>
                              <w:spacing w:val="-12"/>
                              <w:sz w:val="14"/>
                            </w:rPr>
                            <w:t> </w:t>
                          </w:r>
                          <w:r>
                            <w:rPr>
                              <w:rFonts w:ascii="Arial MT" w:hAnsi="Arial MT"/>
                              <w:spacing w:val="-4"/>
                              <w:sz w:val="14"/>
                            </w:rPr>
                            <w:t>PRÁCTICA</w:t>
                          </w:r>
                          <w:r>
                            <w:rPr>
                              <w:rFonts w:ascii="Arial MT" w:hAnsi="Arial MT"/>
                              <w:spacing w:val="-12"/>
                              <w:sz w:val="14"/>
                            </w:rPr>
                            <w:t> </w:t>
                          </w:r>
                          <w:r>
                            <w:rPr>
                              <w:rFonts w:ascii="Arial MT" w:hAnsi="Arial MT"/>
                              <w:spacing w:val="-4"/>
                              <w:sz w:val="14"/>
                            </w:rPr>
                            <w:t>CLÍNICA</w:t>
                          </w:r>
                          <w:r>
                            <w:rPr>
                              <w:rFonts w:ascii="Arial MT" w:hAnsi="Arial MT"/>
                              <w:spacing w:val="-13"/>
                              <w:sz w:val="14"/>
                            </w:rPr>
                            <w:t> </w:t>
                          </w:r>
                          <w:r>
                            <w:rPr>
                              <w:rFonts w:ascii="Arial MT" w:hAnsi="Arial MT"/>
                              <w:spacing w:val="-4"/>
                              <w:sz w:val="14"/>
                            </w:rPr>
                            <w:t>EN</w:t>
                          </w:r>
                          <w:r>
                            <w:rPr>
                              <w:rFonts w:ascii="Arial MT" w:hAnsi="Arial MT"/>
                              <w:spacing w:val="-10"/>
                              <w:sz w:val="14"/>
                            </w:rPr>
                            <w:t> </w:t>
                          </w:r>
                          <w:r>
                            <w:rPr>
                              <w:rFonts w:ascii="Arial MT" w:hAnsi="Arial MT"/>
                              <w:spacing w:val="-4"/>
                              <w:sz w:val="14"/>
                            </w:rPr>
                            <w:t>EL</w:t>
                          </w:r>
                          <w:r>
                            <w:rPr>
                              <w:rFonts w:ascii="Arial MT" w:hAnsi="Arial MT"/>
                              <w:spacing w:val="-12"/>
                              <w:sz w:val="14"/>
                            </w:rPr>
                            <w:t> </w:t>
                          </w:r>
                          <w:r>
                            <w:rPr>
                              <w:rFonts w:ascii="Arial MT" w:hAnsi="Arial MT"/>
                              <w:spacing w:val="-5"/>
                              <w:sz w:val="14"/>
                            </w:rPr>
                            <w:t>SNS</w:t>
                          </w:r>
                        </w:p>
                      </w:txbxContent>
                    </wps:txbx>
                    <wps:bodyPr wrap="square" lIns="0" tIns="0" rIns="0" bIns="0" rtlCol="0">
                      <a:noAutofit/>
                    </wps:bodyPr>
                  </wps:wsp>
                </a:graphicData>
              </a:graphic>
            </wp:anchor>
          </w:drawing>
        </mc:Choice>
        <mc:Fallback>
          <w:pict>
            <v:shape style="position:absolute;margin-left:376.080811pt;margin-top:786.139282pt;width:132.7pt;height:9.8pt;mso-position-horizontal-relative:page;mso-position-vertical-relative:page;z-index:-21811200" type="#_x0000_t202" id="docshape59" filled="false" stroked="false">
              <v:textbox inset="0,0,0,0">
                <w:txbxContent>
                  <w:p>
                    <w:pPr>
                      <w:spacing w:before="14"/>
                      <w:ind w:left="20" w:right="0" w:firstLine="0"/>
                      <w:jc w:val="left"/>
                      <w:rPr>
                        <w:rFonts w:ascii="Arial MT" w:hAnsi="Arial MT"/>
                        <w:sz w:val="14"/>
                      </w:rPr>
                    </w:pPr>
                    <w:r>
                      <w:rPr>
                        <w:rFonts w:ascii="Arial MT" w:hAnsi="Arial MT"/>
                        <w:spacing w:val="-4"/>
                        <w:sz w:val="14"/>
                      </w:rPr>
                      <w:t>GUÍAS</w:t>
                    </w:r>
                    <w:r>
                      <w:rPr>
                        <w:rFonts w:ascii="Arial MT" w:hAnsi="Arial MT"/>
                        <w:spacing w:val="-13"/>
                        <w:sz w:val="14"/>
                      </w:rPr>
                      <w:t> </w:t>
                    </w:r>
                    <w:r>
                      <w:rPr>
                        <w:rFonts w:ascii="Arial MT" w:hAnsi="Arial MT"/>
                        <w:spacing w:val="-4"/>
                        <w:sz w:val="14"/>
                      </w:rPr>
                      <w:t>DE</w:t>
                    </w:r>
                    <w:r>
                      <w:rPr>
                        <w:rFonts w:ascii="Arial MT" w:hAnsi="Arial MT"/>
                        <w:spacing w:val="-12"/>
                        <w:sz w:val="14"/>
                      </w:rPr>
                      <w:t> </w:t>
                    </w:r>
                    <w:r>
                      <w:rPr>
                        <w:rFonts w:ascii="Arial MT" w:hAnsi="Arial MT"/>
                        <w:spacing w:val="-4"/>
                        <w:sz w:val="14"/>
                      </w:rPr>
                      <w:t>PRÁCTICA</w:t>
                    </w:r>
                    <w:r>
                      <w:rPr>
                        <w:rFonts w:ascii="Arial MT" w:hAnsi="Arial MT"/>
                        <w:spacing w:val="-12"/>
                        <w:sz w:val="14"/>
                      </w:rPr>
                      <w:t> </w:t>
                    </w:r>
                    <w:r>
                      <w:rPr>
                        <w:rFonts w:ascii="Arial MT" w:hAnsi="Arial MT"/>
                        <w:spacing w:val="-4"/>
                        <w:sz w:val="14"/>
                      </w:rPr>
                      <w:t>CLÍNICA</w:t>
                    </w:r>
                    <w:r>
                      <w:rPr>
                        <w:rFonts w:ascii="Arial MT" w:hAnsi="Arial MT"/>
                        <w:spacing w:val="-13"/>
                        <w:sz w:val="14"/>
                      </w:rPr>
                      <w:t> </w:t>
                    </w:r>
                    <w:r>
                      <w:rPr>
                        <w:rFonts w:ascii="Arial MT" w:hAnsi="Arial MT"/>
                        <w:spacing w:val="-4"/>
                        <w:sz w:val="14"/>
                      </w:rPr>
                      <w:t>EN</w:t>
                    </w:r>
                    <w:r>
                      <w:rPr>
                        <w:rFonts w:ascii="Arial MT" w:hAnsi="Arial MT"/>
                        <w:spacing w:val="-10"/>
                        <w:sz w:val="14"/>
                      </w:rPr>
                      <w:t> </w:t>
                    </w:r>
                    <w:r>
                      <w:rPr>
                        <w:rFonts w:ascii="Arial MT" w:hAnsi="Arial MT"/>
                        <w:spacing w:val="-4"/>
                        <w:sz w:val="14"/>
                      </w:rPr>
                      <w:t>EL</w:t>
                    </w:r>
                    <w:r>
                      <w:rPr>
                        <w:rFonts w:ascii="Arial MT" w:hAnsi="Arial MT"/>
                        <w:spacing w:val="-12"/>
                        <w:sz w:val="14"/>
                      </w:rPr>
                      <w:t> </w:t>
                    </w:r>
                    <w:r>
                      <w:rPr>
                        <w:rFonts w:ascii="Arial MT" w:hAnsi="Arial MT"/>
                        <w:spacing w:val="-5"/>
                        <w:sz w:val="14"/>
                      </w:rPr>
                      <w:t>SNS</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8">
    <w:multiLevelType w:val="hybridMultilevel"/>
    <w:lvl w:ilvl="0">
      <w:start w:val="1"/>
      <w:numFmt w:val="decimal"/>
      <w:lvlText w:val="%1."/>
      <w:lvlJc w:val="left"/>
      <w:pPr>
        <w:ind w:left="793" w:hanging="411"/>
        <w:jc w:val="right"/>
      </w:pPr>
      <w:rPr>
        <w:rFonts w:hint="default" w:ascii="Times New Roman" w:hAnsi="Times New Roman" w:eastAsia="Times New Roman" w:cs="Times New Roman"/>
        <w:b w:val="0"/>
        <w:bCs w:val="0"/>
        <w:i w:val="0"/>
        <w:iCs w:val="0"/>
        <w:color w:val="231F1F"/>
        <w:spacing w:val="-17"/>
        <w:w w:val="100"/>
        <w:sz w:val="20"/>
        <w:szCs w:val="20"/>
        <w:lang w:val="es-ES" w:eastAsia="en-US" w:bidi="ar-SA"/>
      </w:rPr>
    </w:lvl>
    <w:lvl w:ilvl="1">
      <w:start w:val="0"/>
      <w:numFmt w:val="bullet"/>
      <w:lvlText w:val="•"/>
      <w:lvlJc w:val="left"/>
      <w:pPr>
        <w:ind w:left="1612" w:hanging="411"/>
      </w:pPr>
      <w:rPr>
        <w:rFonts w:hint="default"/>
        <w:lang w:val="es-ES" w:eastAsia="en-US" w:bidi="ar-SA"/>
      </w:rPr>
    </w:lvl>
    <w:lvl w:ilvl="2">
      <w:start w:val="0"/>
      <w:numFmt w:val="bullet"/>
      <w:lvlText w:val="•"/>
      <w:lvlJc w:val="left"/>
      <w:pPr>
        <w:ind w:left="2424" w:hanging="411"/>
      </w:pPr>
      <w:rPr>
        <w:rFonts w:hint="default"/>
        <w:lang w:val="es-ES" w:eastAsia="en-US" w:bidi="ar-SA"/>
      </w:rPr>
    </w:lvl>
    <w:lvl w:ilvl="3">
      <w:start w:val="0"/>
      <w:numFmt w:val="bullet"/>
      <w:lvlText w:val="•"/>
      <w:lvlJc w:val="left"/>
      <w:pPr>
        <w:ind w:left="3237" w:hanging="411"/>
      </w:pPr>
      <w:rPr>
        <w:rFonts w:hint="default"/>
        <w:lang w:val="es-ES" w:eastAsia="en-US" w:bidi="ar-SA"/>
      </w:rPr>
    </w:lvl>
    <w:lvl w:ilvl="4">
      <w:start w:val="0"/>
      <w:numFmt w:val="bullet"/>
      <w:lvlText w:val="•"/>
      <w:lvlJc w:val="left"/>
      <w:pPr>
        <w:ind w:left="4049" w:hanging="411"/>
      </w:pPr>
      <w:rPr>
        <w:rFonts w:hint="default"/>
        <w:lang w:val="es-ES" w:eastAsia="en-US" w:bidi="ar-SA"/>
      </w:rPr>
    </w:lvl>
    <w:lvl w:ilvl="5">
      <w:start w:val="0"/>
      <w:numFmt w:val="bullet"/>
      <w:lvlText w:val="•"/>
      <w:lvlJc w:val="left"/>
      <w:pPr>
        <w:ind w:left="4862" w:hanging="411"/>
      </w:pPr>
      <w:rPr>
        <w:rFonts w:hint="default"/>
        <w:lang w:val="es-ES" w:eastAsia="en-US" w:bidi="ar-SA"/>
      </w:rPr>
    </w:lvl>
    <w:lvl w:ilvl="6">
      <w:start w:val="0"/>
      <w:numFmt w:val="bullet"/>
      <w:lvlText w:val="•"/>
      <w:lvlJc w:val="left"/>
      <w:pPr>
        <w:ind w:left="5674" w:hanging="411"/>
      </w:pPr>
      <w:rPr>
        <w:rFonts w:hint="default"/>
        <w:lang w:val="es-ES" w:eastAsia="en-US" w:bidi="ar-SA"/>
      </w:rPr>
    </w:lvl>
    <w:lvl w:ilvl="7">
      <w:start w:val="0"/>
      <w:numFmt w:val="bullet"/>
      <w:lvlText w:val="•"/>
      <w:lvlJc w:val="left"/>
      <w:pPr>
        <w:ind w:left="6486" w:hanging="411"/>
      </w:pPr>
      <w:rPr>
        <w:rFonts w:hint="default"/>
        <w:lang w:val="es-ES" w:eastAsia="en-US" w:bidi="ar-SA"/>
      </w:rPr>
    </w:lvl>
    <w:lvl w:ilvl="8">
      <w:start w:val="0"/>
      <w:numFmt w:val="bullet"/>
      <w:lvlText w:val="•"/>
      <w:lvlJc w:val="left"/>
      <w:pPr>
        <w:ind w:left="7299" w:hanging="411"/>
      </w:pPr>
      <w:rPr>
        <w:rFonts w:hint="default"/>
        <w:lang w:val="es-ES" w:eastAsia="en-US" w:bidi="ar-SA"/>
      </w:rPr>
    </w:lvl>
  </w:abstractNum>
  <w:abstractNum w:abstractNumId="107">
    <w:multiLevelType w:val="hybridMultilevel"/>
    <w:lvl w:ilvl="0">
      <w:start w:val="1"/>
      <w:numFmt w:val="decimal"/>
      <w:lvlText w:val="%1."/>
      <w:lvlJc w:val="left"/>
      <w:pPr>
        <w:ind w:left="1302" w:hanging="338"/>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1">
      <w:start w:val="0"/>
      <w:numFmt w:val="bullet"/>
      <w:lvlText w:val="•"/>
      <w:lvlJc w:val="left"/>
      <w:pPr>
        <w:ind w:left="2062" w:hanging="338"/>
      </w:pPr>
      <w:rPr>
        <w:rFonts w:hint="default"/>
        <w:lang w:val="es-ES" w:eastAsia="en-US" w:bidi="ar-SA"/>
      </w:rPr>
    </w:lvl>
    <w:lvl w:ilvl="2">
      <w:start w:val="0"/>
      <w:numFmt w:val="bullet"/>
      <w:lvlText w:val="•"/>
      <w:lvlJc w:val="left"/>
      <w:pPr>
        <w:ind w:left="2824" w:hanging="338"/>
      </w:pPr>
      <w:rPr>
        <w:rFonts w:hint="default"/>
        <w:lang w:val="es-ES" w:eastAsia="en-US" w:bidi="ar-SA"/>
      </w:rPr>
    </w:lvl>
    <w:lvl w:ilvl="3">
      <w:start w:val="0"/>
      <w:numFmt w:val="bullet"/>
      <w:lvlText w:val="•"/>
      <w:lvlJc w:val="left"/>
      <w:pPr>
        <w:ind w:left="3587" w:hanging="338"/>
      </w:pPr>
      <w:rPr>
        <w:rFonts w:hint="default"/>
        <w:lang w:val="es-ES" w:eastAsia="en-US" w:bidi="ar-SA"/>
      </w:rPr>
    </w:lvl>
    <w:lvl w:ilvl="4">
      <w:start w:val="0"/>
      <w:numFmt w:val="bullet"/>
      <w:lvlText w:val="•"/>
      <w:lvlJc w:val="left"/>
      <w:pPr>
        <w:ind w:left="4349" w:hanging="338"/>
      </w:pPr>
      <w:rPr>
        <w:rFonts w:hint="default"/>
        <w:lang w:val="es-ES" w:eastAsia="en-US" w:bidi="ar-SA"/>
      </w:rPr>
    </w:lvl>
    <w:lvl w:ilvl="5">
      <w:start w:val="0"/>
      <w:numFmt w:val="bullet"/>
      <w:lvlText w:val="•"/>
      <w:lvlJc w:val="left"/>
      <w:pPr>
        <w:ind w:left="5112" w:hanging="338"/>
      </w:pPr>
      <w:rPr>
        <w:rFonts w:hint="default"/>
        <w:lang w:val="es-ES" w:eastAsia="en-US" w:bidi="ar-SA"/>
      </w:rPr>
    </w:lvl>
    <w:lvl w:ilvl="6">
      <w:start w:val="0"/>
      <w:numFmt w:val="bullet"/>
      <w:lvlText w:val="•"/>
      <w:lvlJc w:val="left"/>
      <w:pPr>
        <w:ind w:left="5874" w:hanging="338"/>
      </w:pPr>
      <w:rPr>
        <w:rFonts w:hint="default"/>
        <w:lang w:val="es-ES" w:eastAsia="en-US" w:bidi="ar-SA"/>
      </w:rPr>
    </w:lvl>
    <w:lvl w:ilvl="7">
      <w:start w:val="0"/>
      <w:numFmt w:val="bullet"/>
      <w:lvlText w:val="•"/>
      <w:lvlJc w:val="left"/>
      <w:pPr>
        <w:ind w:left="6636" w:hanging="338"/>
      </w:pPr>
      <w:rPr>
        <w:rFonts w:hint="default"/>
        <w:lang w:val="es-ES" w:eastAsia="en-US" w:bidi="ar-SA"/>
      </w:rPr>
    </w:lvl>
    <w:lvl w:ilvl="8">
      <w:start w:val="0"/>
      <w:numFmt w:val="bullet"/>
      <w:lvlText w:val="•"/>
      <w:lvlJc w:val="left"/>
      <w:pPr>
        <w:ind w:left="7399" w:hanging="338"/>
      </w:pPr>
      <w:rPr>
        <w:rFonts w:hint="default"/>
        <w:lang w:val="es-ES" w:eastAsia="en-US" w:bidi="ar-SA"/>
      </w:rPr>
    </w:lvl>
  </w:abstractNum>
  <w:abstractNum w:abstractNumId="106">
    <w:multiLevelType w:val="hybridMultilevel"/>
    <w:lvl w:ilvl="0">
      <w:start w:val="0"/>
      <w:numFmt w:val="bullet"/>
      <w:lvlText w:val="•"/>
      <w:lvlJc w:val="left"/>
      <w:pPr>
        <w:ind w:left="3424" w:hanging="138"/>
      </w:pPr>
      <w:rPr>
        <w:rFonts w:hint="default" w:ascii="Cambria" w:hAnsi="Cambria" w:eastAsia="Cambria" w:cs="Cambria"/>
        <w:b w:val="0"/>
        <w:bCs w:val="0"/>
        <w:i w:val="0"/>
        <w:iCs w:val="0"/>
        <w:color w:val="231F1F"/>
        <w:spacing w:val="0"/>
        <w:w w:val="112"/>
        <w:sz w:val="18"/>
        <w:szCs w:val="18"/>
        <w:lang w:val="es-ES" w:eastAsia="en-US" w:bidi="ar-SA"/>
      </w:rPr>
    </w:lvl>
    <w:lvl w:ilvl="1">
      <w:start w:val="0"/>
      <w:numFmt w:val="bullet"/>
      <w:lvlText w:val="•"/>
      <w:lvlJc w:val="left"/>
      <w:pPr>
        <w:ind w:left="3767" w:hanging="138"/>
      </w:pPr>
      <w:rPr>
        <w:rFonts w:hint="default"/>
        <w:lang w:val="es-ES" w:eastAsia="en-US" w:bidi="ar-SA"/>
      </w:rPr>
    </w:lvl>
    <w:lvl w:ilvl="2">
      <w:start w:val="0"/>
      <w:numFmt w:val="bullet"/>
      <w:lvlText w:val="•"/>
      <w:lvlJc w:val="left"/>
      <w:pPr>
        <w:ind w:left="4114" w:hanging="138"/>
      </w:pPr>
      <w:rPr>
        <w:rFonts w:hint="default"/>
        <w:lang w:val="es-ES" w:eastAsia="en-US" w:bidi="ar-SA"/>
      </w:rPr>
    </w:lvl>
    <w:lvl w:ilvl="3">
      <w:start w:val="0"/>
      <w:numFmt w:val="bullet"/>
      <w:lvlText w:val="•"/>
      <w:lvlJc w:val="left"/>
      <w:pPr>
        <w:ind w:left="4461" w:hanging="138"/>
      </w:pPr>
      <w:rPr>
        <w:rFonts w:hint="default"/>
        <w:lang w:val="es-ES" w:eastAsia="en-US" w:bidi="ar-SA"/>
      </w:rPr>
    </w:lvl>
    <w:lvl w:ilvl="4">
      <w:start w:val="0"/>
      <w:numFmt w:val="bullet"/>
      <w:lvlText w:val="•"/>
      <w:lvlJc w:val="left"/>
      <w:pPr>
        <w:ind w:left="4808" w:hanging="138"/>
      </w:pPr>
      <w:rPr>
        <w:rFonts w:hint="default"/>
        <w:lang w:val="es-ES" w:eastAsia="en-US" w:bidi="ar-SA"/>
      </w:rPr>
    </w:lvl>
    <w:lvl w:ilvl="5">
      <w:start w:val="0"/>
      <w:numFmt w:val="bullet"/>
      <w:lvlText w:val="•"/>
      <w:lvlJc w:val="left"/>
      <w:pPr>
        <w:ind w:left="5155" w:hanging="138"/>
      </w:pPr>
      <w:rPr>
        <w:rFonts w:hint="default"/>
        <w:lang w:val="es-ES" w:eastAsia="en-US" w:bidi="ar-SA"/>
      </w:rPr>
    </w:lvl>
    <w:lvl w:ilvl="6">
      <w:start w:val="0"/>
      <w:numFmt w:val="bullet"/>
      <w:lvlText w:val="•"/>
      <w:lvlJc w:val="left"/>
      <w:pPr>
        <w:ind w:left="5502" w:hanging="138"/>
      </w:pPr>
      <w:rPr>
        <w:rFonts w:hint="default"/>
        <w:lang w:val="es-ES" w:eastAsia="en-US" w:bidi="ar-SA"/>
      </w:rPr>
    </w:lvl>
    <w:lvl w:ilvl="7">
      <w:start w:val="0"/>
      <w:numFmt w:val="bullet"/>
      <w:lvlText w:val="•"/>
      <w:lvlJc w:val="left"/>
      <w:pPr>
        <w:ind w:left="5849" w:hanging="138"/>
      </w:pPr>
      <w:rPr>
        <w:rFonts w:hint="default"/>
        <w:lang w:val="es-ES" w:eastAsia="en-US" w:bidi="ar-SA"/>
      </w:rPr>
    </w:lvl>
    <w:lvl w:ilvl="8">
      <w:start w:val="0"/>
      <w:numFmt w:val="bullet"/>
      <w:lvlText w:val="•"/>
      <w:lvlJc w:val="left"/>
      <w:pPr>
        <w:ind w:left="6196" w:hanging="138"/>
      </w:pPr>
      <w:rPr>
        <w:rFonts w:hint="default"/>
        <w:lang w:val="es-ES" w:eastAsia="en-US" w:bidi="ar-SA"/>
      </w:rPr>
    </w:lvl>
  </w:abstractNum>
  <w:abstractNum w:abstractNumId="105">
    <w:multiLevelType w:val="hybridMultilevel"/>
    <w:lvl w:ilvl="0">
      <w:start w:val="0"/>
      <w:numFmt w:val="bullet"/>
      <w:lvlText w:val="•"/>
      <w:lvlJc w:val="left"/>
      <w:pPr>
        <w:ind w:left="315" w:hanging="137"/>
      </w:pPr>
      <w:rPr>
        <w:rFonts w:hint="default" w:ascii="Cambria" w:hAnsi="Cambria" w:eastAsia="Cambria" w:cs="Cambria"/>
        <w:b w:val="0"/>
        <w:bCs w:val="0"/>
        <w:i w:val="0"/>
        <w:iCs w:val="0"/>
        <w:color w:val="231F1F"/>
        <w:spacing w:val="0"/>
        <w:w w:val="101"/>
        <w:sz w:val="18"/>
        <w:szCs w:val="18"/>
        <w:lang w:val="es-ES" w:eastAsia="en-US" w:bidi="ar-SA"/>
      </w:rPr>
    </w:lvl>
    <w:lvl w:ilvl="1">
      <w:start w:val="0"/>
      <w:numFmt w:val="bullet"/>
      <w:lvlText w:val="•"/>
      <w:lvlJc w:val="left"/>
      <w:pPr>
        <w:ind w:left="494" w:hanging="137"/>
      </w:pPr>
      <w:rPr>
        <w:rFonts w:hint="default"/>
        <w:lang w:val="es-ES" w:eastAsia="en-US" w:bidi="ar-SA"/>
      </w:rPr>
    </w:lvl>
    <w:lvl w:ilvl="2">
      <w:start w:val="0"/>
      <w:numFmt w:val="bullet"/>
      <w:lvlText w:val="•"/>
      <w:lvlJc w:val="left"/>
      <w:pPr>
        <w:ind w:left="669" w:hanging="137"/>
      </w:pPr>
      <w:rPr>
        <w:rFonts w:hint="default"/>
        <w:lang w:val="es-ES" w:eastAsia="en-US" w:bidi="ar-SA"/>
      </w:rPr>
    </w:lvl>
    <w:lvl w:ilvl="3">
      <w:start w:val="0"/>
      <w:numFmt w:val="bullet"/>
      <w:lvlText w:val="•"/>
      <w:lvlJc w:val="left"/>
      <w:pPr>
        <w:ind w:left="844" w:hanging="137"/>
      </w:pPr>
      <w:rPr>
        <w:rFonts w:hint="default"/>
        <w:lang w:val="es-ES" w:eastAsia="en-US" w:bidi="ar-SA"/>
      </w:rPr>
    </w:lvl>
    <w:lvl w:ilvl="4">
      <w:start w:val="0"/>
      <w:numFmt w:val="bullet"/>
      <w:lvlText w:val="•"/>
      <w:lvlJc w:val="left"/>
      <w:pPr>
        <w:ind w:left="1019" w:hanging="137"/>
      </w:pPr>
      <w:rPr>
        <w:rFonts w:hint="default"/>
        <w:lang w:val="es-ES" w:eastAsia="en-US" w:bidi="ar-SA"/>
      </w:rPr>
    </w:lvl>
    <w:lvl w:ilvl="5">
      <w:start w:val="0"/>
      <w:numFmt w:val="bullet"/>
      <w:lvlText w:val="•"/>
      <w:lvlJc w:val="left"/>
      <w:pPr>
        <w:ind w:left="1194" w:hanging="137"/>
      </w:pPr>
      <w:rPr>
        <w:rFonts w:hint="default"/>
        <w:lang w:val="es-ES" w:eastAsia="en-US" w:bidi="ar-SA"/>
      </w:rPr>
    </w:lvl>
    <w:lvl w:ilvl="6">
      <w:start w:val="0"/>
      <w:numFmt w:val="bullet"/>
      <w:lvlText w:val="•"/>
      <w:lvlJc w:val="left"/>
      <w:pPr>
        <w:ind w:left="1368" w:hanging="137"/>
      </w:pPr>
      <w:rPr>
        <w:rFonts w:hint="default"/>
        <w:lang w:val="es-ES" w:eastAsia="en-US" w:bidi="ar-SA"/>
      </w:rPr>
    </w:lvl>
    <w:lvl w:ilvl="7">
      <w:start w:val="0"/>
      <w:numFmt w:val="bullet"/>
      <w:lvlText w:val="•"/>
      <w:lvlJc w:val="left"/>
      <w:pPr>
        <w:ind w:left="1543" w:hanging="137"/>
      </w:pPr>
      <w:rPr>
        <w:rFonts w:hint="default"/>
        <w:lang w:val="es-ES" w:eastAsia="en-US" w:bidi="ar-SA"/>
      </w:rPr>
    </w:lvl>
    <w:lvl w:ilvl="8">
      <w:start w:val="0"/>
      <w:numFmt w:val="bullet"/>
      <w:lvlText w:val="•"/>
      <w:lvlJc w:val="left"/>
      <w:pPr>
        <w:ind w:left="1718" w:hanging="137"/>
      </w:pPr>
      <w:rPr>
        <w:rFonts w:hint="default"/>
        <w:lang w:val="es-ES" w:eastAsia="en-US" w:bidi="ar-SA"/>
      </w:rPr>
    </w:lvl>
  </w:abstractNum>
  <w:abstractNum w:abstractNumId="104">
    <w:multiLevelType w:val="hybridMultilevel"/>
    <w:lvl w:ilvl="0">
      <w:start w:val="0"/>
      <w:numFmt w:val="bullet"/>
      <w:lvlText w:val="•"/>
      <w:lvlJc w:val="left"/>
      <w:pPr>
        <w:ind w:left="955"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303" w:hanging="341"/>
      </w:pPr>
      <w:rPr>
        <w:rFonts w:hint="default" w:ascii="Times New Roman" w:hAnsi="Times New Roman" w:eastAsia="Times New Roman" w:cs="Times New Roman"/>
        <w:b w:val="0"/>
        <w:bCs w:val="0"/>
        <w:i w:val="0"/>
        <w:iCs w:val="0"/>
        <w:color w:val="231F1F"/>
        <w:spacing w:val="0"/>
        <w:w w:val="100"/>
        <w:sz w:val="22"/>
        <w:szCs w:val="22"/>
        <w:lang w:val="es-ES" w:eastAsia="en-US" w:bidi="ar-SA"/>
      </w:rPr>
    </w:lvl>
    <w:lvl w:ilvl="2">
      <w:start w:val="0"/>
      <w:numFmt w:val="bullet"/>
      <w:lvlText w:val="•"/>
      <w:lvlJc w:val="left"/>
      <w:pPr>
        <w:ind w:left="2147" w:hanging="341"/>
      </w:pPr>
      <w:rPr>
        <w:rFonts w:hint="default"/>
        <w:lang w:val="es-ES" w:eastAsia="en-US" w:bidi="ar-SA"/>
      </w:rPr>
    </w:lvl>
    <w:lvl w:ilvl="3">
      <w:start w:val="0"/>
      <w:numFmt w:val="bullet"/>
      <w:lvlText w:val="•"/>
      <w:lvlJc w:val="left"/>
      <w:pPr>
        <w:ind w:left="2994" w:hanging="341"/>
      </w:pPr>
      <w:rPr>
        <w:rFonts w:hint="default"/>
        <w:lang w:val="es-ES" w:eastAsia="en-US" w:bidi="ar-SA"/>
      </w:rPr>
    </w:lvl>
    <w:lvl w:ilvl="4">
      <w:start w:val="0"/>
      <w:numFmt w:val="bullet"/>
      <w:lvlText w:val="•"/>
      <w:lvlJc w:val="left"/>
      <w:pPr>
        <w:ind w:left="3841" w:hanging="341"/>
      </w:pPr>
      <w:rPr>
        <w:rFonts w:hint="default"/>
        <w:lang w:val="es-ES" w:eastAsia="en-US" w:bidi="ar-SA"/>
      </w:rPr>
    </w:lvl>
    <w:lvl w:ilvl="5">
      <w:start w:val="0"/>
      <w:numFmt w:val="bullet"/>
      <w:lvlText w:val="•"/>
      <w:lvlJc w:val="left"/>
      <w:pPr>
        <w:ind w:left="4688" w:hanging="341"/>
      </w:pPr>
      <w:rPr>
        <w:rFonts w:hint="default"/>
        <w:lang w:val="es-ES" w:eastAsia="en-US" w:bidi="ar-SA"/>
      </w:rPr>
    </w:lvl>
    <w:lvl w:ilvl="6">
      <w:start w:val="0"/>
      <w:numFmt w:val="bullet"/>
      <w:lvlText w:val="•"/>
      <w:lvlJc w:val="left"/>
      <w:pPr>
        <w:ind w:left="5535" w:hanging="341"/>
      </w:pPr>
      <w:rPr>
        <w:rFonts w:hint="default"/>
        <w:lang w:val="es-ES" w:eastAsia="en-US" w:bidi="ar-SA"/>
      </w:rPr>
    </w:lvl>
    <w:lvl w:ilvl="7">
      <w:start w:val="0"/>
      <w:numFmt w:val="bullet"/>
      <w:lvlText w:val="•"/>
      <w:lvlJc w:val="left"/>
      <w:pPr>
        <w:ind w:left="6382" w:hanging="341"/>
      </w:pPr>
      <w:rPr>
        <w:rFonts w:hint="default"/>
        <w:lang w:val="es-ES" w:eastAsia="en-US" w:bidi="ar-SA"/>
      </w:rPr>
    </w:lvl>
    <w:lvl w:ilvl="8">
      <w:start w:val="0"/>
      <w:numFmt w:val="bullet"/>
      <w:lvlText w:val="•"/>
      <w:lvlJc w:val="left"/>
      <w:pPr>
        <w:ind w:left="7229" w:hanging="341"/>
      </w:pPr>
      <w:rPr>
        <w:rFonts w:hint="default"/>
        <w:lang w:val="es-ES" w:eastAsia="en-US" w:bidi="ar-SA"/>
      </w:rPr>
    </w:lvl>
  </w:abstractNum>
  <w:abstractNum w:abstractNumId="103">
    <w:multiLevelType w:val="hybridMultilevel"/>
    <w:lvl w:ilvl="0">
      <w:start w:val="1"/>
      <w:numFmt w:val="upperRoman"/>
      <w:lvlText w:val="%1."/>
      <w:lvlJc w:val="left"/>
      <w:pPr>
        <w:ind w:left="535" w:hanging="252"/>
        <w:jc w:val="left"/>
      </w:pPr>
      <w:rPr>
        <w:rFonts w:hint="default" w:ascii="Arial MT" w:hAnsi="Arial MT" w:eastAsia="Arial MT" w:cs="Arial MT"/>
        <w:b w:val="0"/>
        <w:bCs w:val="0"/>
        <w:i w:val="0"/>
        <w:iCs w:val="0"/>
        <w:color w:val="231F1F"/>
        <w:spacing w:val="0"/>
        <w:w w:val="100"/>
        <w:sz w:val="24"/>
        <w:szCs w:val="24"/>
        <w:lang w:val="es-ES" w:eastAsia="en-US" w:bidi="ar-SA"/>
      </w:rPr>
    </w:lvl>
    <w:lvl w:ilvl="1">
      <w:start w:val="1"/>
      <w:numFmt w:val="upperLetter"/>
      <w:lvlText w:val="%2."/>
      <w:lvlJc w:val="left"/>
      <w:pPr>
        <w:ind w:left="628" w:hanging="346"/>
        <w:jc w:val="left"/>
      </w:pPr>
      <w:rPr>
        <w:rFonts w:hint="default" w:ascii="Arial" w:hAnsi="Arial" w:eastAsia="Arial" w:cs="Arial"/>
        <w:b w:val="0"/>
        <w:bCs w:val="0"/>
        <w:i/>
        <w:iCs/>
        <w:color w:val="231F1F"/>
        <w:spacing w:val="0"/>
        <w:w w:val="100"/>
        <w:sz w:val="24"/>
        <w:szCs w:val="24"/>
        <w:lang w:val="es-ES" w:eastAsia="en-US" w:bidi="ar-SA"/>
      </w:rPr>
    </w:lvl>
    <w:lvl w:ilvl="2">
      <w:start w:val="1"/>
      <w:numFmt w:val="decimal"/>
      <w:lvlText w:val="%3."/>
      <w:lvlJc w:val="left"/>
      <w:pPr>
        <w:ind w:left="1074" w:hanging="338"/>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3">
      <w:start w:val="1"/>
      <w:numFmt w:val="lowerLetter"/>
      <w:lvlText w:val="%4)"/>
      <w:lvlJc w:val="left"/>
      <w:pPr>
        <w:ind w:left="1301" w:hanging="224"/>
        <w:jc w:val="left"/>
      </w:pPr>
      <w:rPr>
        <w:rFonts w:hint="default" w:ascii="Times New Roman" w:hAnsi="Times New Roman" w:eastAsia="Times New Roman" w:cs="Times New Roman"/>
        <w:b w:val="0"/>
        <w:bCs w:val="0"/>
        <w:i w:val="0"/>
        <w:iCs w:val="0"/>
        <w:color w:val="231F1F"/>
        <w:spacing w:val="-1"/>
        <w:w w:val="109"/>
        <w:sz w:val="22"/>
        <w:szCs w:val="22"/>
        <w:lang w:val="es-ES" w:eastAsia="en-US" w:bidi="ar-SA"/>
      </w:rPr>
    </w:lvl>
    <w:lvl w:ilvl="4">
      <w:start w:val="0"/>
      <w:numFmt w:val="bullet"/>
      <w:lvlText w:val="•"/>
      <w:lvlJc w:val="left"/>
      <w:pPr>
        <w:ind w:left="1300" w:hanging="224"/>
      </w:pPr>
      <w:rPr>
        <w:rFonts w:hint="default"/>
        <w:lang w:val="es-ES" w:eastAsia="en-US" w:bidi="ar-SA"/>
      </w:rPr>
    </w:lvl>
    <w:lvl w:ilvl="5">
      <w:start w:val="0"/>
      <w:numFmt w:val="bullet"/>
      <w:lvlText w:val="•"/>
      <w:lvlJc w:val="left"/>
      <w:pPr>
        <w:ind w:left="2570" w:hanging="224"/>
      </w:pPr>
      <w:rPr>
        <w:rFonts w:hint="default"/>
        <w:lang w:val="es-ES" w:eastAsia="en-US" w:bidi="ar-SA"/>
      </w:rPr>
    </w:lvl>
    <w:lvl w:ilvl="6">
      <w:start w:val="0"/>
      <w:numFmt w:val="bullet"/>
      <w:lvlText w:val="•"/>
      <w:lvlJc w:val="left"/>
      <w:pPr>
        <w:ind w:left="3841" w:hanging="224"/>
      </w:pPr>
      <w:rPr>
        <w:rFonts w:hint="default"/>
        <w:lang w:val="es-ES" w:eastAsia="en-US" w:bidi="ar-SA"/>
      </w:rPr>
    </w:lvl>
    <w:lvl w:ilvl="7">
      <w:start w:val="0"/>
      <w:numFmt w:val="bullet"/>
      <w:lvlText w:val="•"/>
      <w:lvlJc w:val="left"/>
      <w:pPr>
        <w:ind w:left="5112" w:hanging="224"/>
      </w:pPr>
      <w:rPr>
        <w:rFonts w:hint="default"/>
        <w:lang w:val="es-ES" w:eastAsia="en-US" w:bidi="ar-SA"/>
      </w:rPr>
    </w:lvl>
    <w:lvl w:ilvl="8">
      <w:start w:val="0"/>
      <w:numFmt w:val="bullet"/>
      <w:lvlText w:val="•"/>
      <w:lvlJc w:val="left"/>
      <w:pPr>
        <w:ind w:left="6382" w:hanging="224"/>
      </w:pPr>
      <w:rPr>
        <w:rFonts w:hint="default"/>
        <w:lang w:val="es-ES" w:eastAsia="en-US" w:bidi="ar-SA"/>
      </w:rPr>
    </w:lvl>
  </w:abstractNum>
  <w:abstractNum w:abstractNumId="102">
    <w:multiLevelType w:val="hybridMultilevel"/>
    <w:lvl w:ilvl="0">
      <w:start w:val="0"/>
      <w:numFmt w:val="bullet"/>
      <w:lvlText w:val="•"/>
      <w:lvlJc w:val="left"/>
      <w:pPr>
        <w:ind w:left="955"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1"/>
      <w:numFmt w:val="lowerLetter"/>
      <w:lvlText w:val="%2."/>
      <w:lvlJc w:val="left"/>
      <w:pPr>
        <w:ind w:left="1275" w:hanging="273"/>
        <w:jc w:val="left"/>
      </w:pPr>
      <w:rPr>
        <w:rFonts w:hint="default" w:ascii="Times New Roman" w:hAnsi="Times New Roman" w:eastAsia="Times New Roman" w:cs="Times New Roman"/>
        <w:b w:val="0"/>
        <w:bCs w:val="0"/>
        <w:i/>
        <w:iCs/>
        <w:color w:val="231F1F"/>
        <w:spacing w:val="-2"/>
        <w:w w:val="100"/>
        <w:sz w:val="22"/>
        <w:szCs w:val="22"/>
        <w:lang w:val="es-ES" w:eastAsia="en-US" w:bidi="ar-SA"/>
      </w:rPr>
    </w:lvl>
    <w:lvl w:ilvl="2">
      <w:start w:val="0"/>
      <w:numFmt w:val="bullet"/>
      <w:lvlText w:val="•"/>
      <w:lvlJc w:val="left"/>
      <w:pPr>
        <w:ind w:left="2129" w:hanging="273"/>
      </w:pPr>
      <w:rPr>
        <w:rFonts w:hint="default"/>
        <w:lang w:val="es-ES" w:eastAsia="en-US" w:bidi="ar-SA"/>
      </w:rPr>
    </w:lvl>
    <w:lvl w:ilvl="3">
      <w:start w:val="0"/>
      <w:numFmt w:val="bullet"/>
      <w:lvlText w:val="•"/>
      <w:lvlJc w:val="left"/>
      <w:pPr>
        <w:ind w:left="2978" w:hanging="273"/>
      </w:pPr>
      <w:rPr>
        <w:rFonts w:hint="default"/>
        <w:lang w:val="es-ES" w:eastAsia="en-US" w:bidi="ar-SA"/>
      </w:rPr>
    </w:lvl>
    <w:lvl w:ilvl="4">
      <w:start w:val="0"/>
      <w:numFmt w:val="bullet"/>
      <w:lvlText w:val="•"/>
      <w:lvlJc w:val="left"/>
      <w:pPr>
        <w:ind w:left="3828" w:hanging="273"/>
      </w:pPr>
      <w:rPr>
        <w:rFonts w:hint="default"/>
        <w:lang w:val="es-ES" w:eastAsia="en-US" w:bidi="ar-SA"/>
      </w:rPr>
    </w:lvl>
    <w:lvl w:ilvl="5">
      <w:start w:val="0"/>
      <w:numFmt w:val="bullet"/>
      <w:lvlText w:val="•"/>
      <w:lvlJc w:val="left"/>
      <w:pPr>
        <w:ind w:left="4677" w:hanging="273"/>
      </w:pPr>
      <w:rPr>
        <w:rFonts w:hint="default"/>
        <w:lang w:val="es-ES" w:eastAsia="en-US" w:bidi="ar-SA"/>
      </w:rPr>
    </w:lvl>
    <w:lvl w:ilvl="6">
      <w:start w:val="0"/>
      <w:numFmt w:val="bullet"/>
      <w:lvlText w:val="•"/>
      <w:lvlJc w:val="left"/>
      <w:pPr>
        <w:ind w:left="5526" w:hanging="273"/>
      </w:pPr>
      <w:rPr>
        <w:rFonts w:hint="default"/>
        <w:lang w:val="es-ES" w:eastAsia="en-US" w:bidi="ar-SA"/>
      </w:rPr>
    </w:lvl>
    <w:lvl w:ilvl="7">
      <w:start w:val="0"/>
      <w:numFmt w:val="bullet"/>
      <w:lvlText w:val="•"/>
      <w:lvlJc w:val="left"/>
      <w:pPr>
        <w:ind w:left="6376" w:hanging="273"/>
      </w:pPr>
      <w:rPr>
        <w:rFonts w:hint="default"/>
        <w:lang w:val="es-ES" w:eastAsia="en-US" w:bidi="ar-SA"/>
      </w:rPr>
    </w:lvl>
    <w:lvl w:ilvl="8">
      <w:start w:val="0"/>
      <w:numFmt w:val="bullet"/>
      <w:lvlText w:val="•"/>
      <w:lvlJc w:val="left"/>
      <w:pPr>
        <w:ind w:left="7225" w:hanging="273"/>
      </w:pPr>
      <w:rPr>
        <w:rFonts w:hint="default"/>
        <w:lang w:val="es-ES" w:eastAsia="en-US" w:bidi="ar-SA"/>
      </w:rPr>
    </w:lvl>
  </w:abstractNum>
  <w:abstractNum w:abstractNumId="101">
    <w:multiLevelType w:val="hybridMultilevel"/>
    <w:lvl w:ilvl="0">
      <w:start w:val="0"/>
      <w:numFmt w:val="bullet"/>
      <w:lvlText w:val="•"/>
      <w:lvlJc w:val="left"/>
      <w:pPr>
        <w:ind w:left="956"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019" w:hanging="165"/>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2">
      <w:start w:val="0"/>
      <w:numFmt w:val="bullet"/>
      <w:lvlText w:val="•"/>
      <w:lvlJc w:val="left"/>
      <w:pPr>
        <w:ind w:left="1898" w:hanging="165"/>
      </w:pPr>
      <w:rPr>
        <w:rFonts w:hint="default"/>
        <w:lang w:val="es-ES" w:eastAsia="en-US" w:bidi="ar-SA"/>
      </w:rPr>
    </w:lvl>
    <w:lvl w:ilvl="3">
      <w:start w:val="0"/>
      <w:numFmt w:val="bullet"/>
      <w:lvlText w:val="•"/>
      <w:lvlJc w:val="left"/>
      <w:pPr>
        <w:ind w:left="2776" w:hanging="165"/>
      </w:pPr>
      <w:rPr>
        <w:rFonts w:hint="default"/>
        <w:lang w:val="es-ES" w:eastAsia="en-US" w:bidi="ar-SA"/>
      </w:rPr>
    </w:lvl>
    <w:lvl w:ilvl="4">
      <w:start w:val="0"/>
      <w:numFmt w:val="bullet"/>
      <w:lvlText w:val="•"/>
      <w:lvlJc w:val="left"/>
      <w:pPr>
        <w:ind w:left="3654" w:hanging="165"/>
      </w:pPr>
      <w:rPr>
        <w:rFonts w:hint="default"/>
        <w:lang w:val="es-ES" w:eastAsia="en-US" w:bidi="ar-SA"/>
      </w:rPr>
    </w:lvl>
    <w:lvl w:ilvl="5">
      <w:start w:val="0"/>
      <w:numFmt w:val="bullet"/>
      <w:lvlText w:val="•"/>
      <w:lvlJc w:val="left"/>
      <w:pPr>
        <w:ind w:left="4532" w:hanging="165"/>
      </w:pPr>
      <w:rPr>
        <w:rFonts w:hint="default"/>
        <w:lang w:val="es-ES" w:eastAsia="en-US" w:bidi="ar-SA"/>
      </w:rPr>
    </w:lvl>
    <w:lvl w:ilvl="6">
      <w:start w:val="0"/>
      <w:numFmt w:val="bullet"/>
      <w:lvlText w:val="•"/>
      <w:lvlJc w:val="left"/>
      <w:pPr>
        <w:ind w:left="5411" w:hanging="165"/>
      </w:pPr>
      <w:rPr>
        <w:rFonts w:hint="default"/>
        <w:lang w:val="es-ES" w:eastAsia="en-US" w:bidi="ar-SA"/>
      </w:rPr>
    </w:lvl>
    <w:lvl w:ilvl="7">
      <w:start w:val="0"/>
      <w:numFmt w:val="bullet"/>
      <w:lvlText w:val="•"/>
      <w:lvlJc w:val="left"/>
      <w:pPr>
        <w:ind w:left="6289" w:hanging="165"/>
      </w:pPr>
      <w:rPr>
        <w:rFonts w:hint="default"/>
        <w:lang w:val="es-ES" w:eastAsia="en-US" w:bidi="ar-SA"/>
      </w:rPr>
    </w:lvl>
    <w:lvl w:ilvl="8">
      <w:start w:val="0"/>
      <w:numFmt w:val="bullet"/>
      <w:lvlText w:val="•"/>
      <w:lvlJc w:val="left"/>
      <w:pPr>
        <w:ind w:left="7167" w:hanging="165"/>
      </w:pPr>
      <w:rPr>
        <w:rFonts w:hint="default"/>
        <w:lang w:val="es-ES" w:eastAsia="en-US" w:bidi="ar-SA"/>
      </w:rPr>
    </w:lvl>
  </w:abstractNum>
  <w:abstractNum w:abstractNumId="100">
    <w:multiLevelType w:val="hybridMultilevel"/>
    <w:lvl w:ilvl="0">
      <w:start w:val="0"/>
      <w:numFmt w:val="bullet"/>
      <w:lvlText w:val="•"/>
      <w:lvlJc w:val="left"/>
      <w:pPr>
        <w:ind w:left="957" w:hanging="221"/>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089"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2">
      <w:start w:val="0"/>
      <w:numFmt w:val="bullet"/>
      <w:lvlText w:val="•"/>
      <w:lvlJc w:val="left"/>
      <w:pPr>
        <w:ind w:left="1951" w:hanging="219"/>
      </w:pPr>
      <w:rPr>
        <w:rFonts w:hint="default"/>
        <w:lang w:val="es-ES" w:eastAsia="en-US" w:bidi="ar-SA"/>
      </w:rPr>
    </w:lvl>
    <w:lvl w:ilvl="3">
      <w:start w:val="0"/>
      <w:numFmt w:val="bullet"/>
      <w:lvlText w:val="•"/>
      <w:lvlJc w:val="left"/>
      <w:pPr>
        <w:ind w:left="2823" w:hanging="219"/>
      </w:pPr>
      <w:rPr>
        <w:rFonts w:hint="default"/>
        <w:lang w:val="es-ES" w:eastAsia="en-US" w:bidi="ar-SA"/>
      </w:rPr>
    </w:lvl>
    <w:lvl w:ilvl="4">
      <w:start w:val="0"/>
      <w:numFmt w:val="bullet"/>
      <w:lvlText w:val="•"/>
      <w:lvlJc w:val="left"/>
      <w:pPr>
        <w:ind w:left="3694" w:hanging="219"/>
      </w:pPr>
      <w:rPr>
        <w:rFonts w:hint="default"/>
        <w:lang w:val="es-ES" w:eastAsia="en-US" w:bidi="ar-SA"/>
      </w:rPr>
    </w:lvl>
    <w:lvl w:ilvl="5">
      <w:start w:val="0"/>
      <w:numFmt w:val="bullet"/>
      <w:lvlText w:val="•"/>
      <w:lvlJc w:val="left"/>
      <w:pPr>
        <w:ind w:left="4566" w:hanging="219"/>
      </w:pPr>
      <w:rPr>
        <w:rFonts w:hint="default"/>
        <w:lang w:val="es-ES" w:eastAsia="en-US" w:bidi="ar-SA"/>
      </w:rPr>
    </w:lvl>
    <w:lvl w:ilvl="6">
      <w:start w:val="0"/>
      <w:numFmt w:val="bullet"/>
      <w:lvlText w:val="•"/>
      <w:lvlJc w:val="left"/>
      <w:pPr>
        <w:ind w:left="5437" w:hanging="219"/>
      </w:pPr>
      <w:rPr>
        <w:rFonts w:hint="default"/>
        <w:lang w:val="es-ES" w:eastAsia="en-US" w:bidi="ar-SA"/>
      </w:rPr>
    </w:lvl>
    <w:lvl w:ilvl="7">
      <w:start w:val="0"/>
      <w:numFmt w:val="bullet"/>
      <w:lvlText w:val="•"/>
      <w:lvlJc w:val="left"/>
      <w:pPr>
        <w:ind w:left="6309" w:hanging="219"/>
      </w:pPr>
      <w:rPr>
        <w:rFonts w:hint="default"/>
        <w:lang w:val="es-ES" w:eastAsia="en-US" w:bidi="ar-SA"/>
      </w:rPr>
    </w:lvl>
    <w:lvl w:ilvl="8">
      <w:start w:val="0"/>
      <w:numFmt w:val="bullet"/>
      <w:lvlText w:val="•"/>
      <w:lvlJc w:val="left"/>
      <w:pPr>
        <w:ind w:left="7180" w:hanging="219"/>
      </w:pPr>
      <w:rPr>
        <w:rFonts w:hint="default"/>
        <w:lang w:val="es-ES" w:eastAsia="en-US" w:bidi="ar-SA"/>
      </w:rPr>
    </w:lvl>
  </w:abstractNum>
  <w:abstractNum w:abstractNumId="99">
    <w:multiLevelType w:val="hybridMultilevel"/>
    <w:lvl w:ilvl="0">
      <w:start w:val="1"/>
      <w:numFmt w:val="decimal"/>
      <w:lvlText w:val="%1."/>
      <w:lvlJc w:val="left"/>
      <w:pPr>
        <w:ind w:left="501" w:hanging="218"/>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1">
      <w:start w:val="0"/>
      <w:numFmt w:val="bullet"/>
      <w:lvlText w:val="•"/>
      <w:lvlJc w:val="left"/>
      <w:pPr>
        <w:ind w:left="1342" w:hanging="218"/>
      </w:pPr>
      <w:rPr>
        <w:rFonts w:hint="default"/>
        <w:lang w:val="es-ES" w:eastAsia="en-US" w:bidi="ar-SA"/>
      </w:rPr>
    </w:lvl>
    <w:lvl w:ilvl="2">
      <w:start w:val="0"/>
      <w:numFmt w:val="bullet"/>
      <w:lvlText w:val="•"/>
      <w:lvlJc w:val="left"/>
      <w:pPr>
        <w:ind w:left="2184" w:hanging="218"/>
      </w:pPr>
      <w:rPr>
        <w:rFonts w:hint="default"/>
        <w:lang w:val="es-ES" w:eastAsia="en-US" w:bidi="ar-SA"/>
      </w:rPr>
    </w:lvl>
    <w:lvl w:ilvl="3">
      <w:start w:val="0"/>
      <w:numFmt w:val="bullet"/>
      <w:lvlText w:val="•"/>
      <w:lvlJc w:val="left"/>
      <w:pPr>
        <w:ind w:left="3027" w:hanging="218"/>
      </w:pPr>
      <w:rPr>
        <w:rFonts w:hint="default"/>
        <w:lang w:val="es-ES" w:eastAsia="en-US" w:bidi="ar-SA"/>
      </w:rPr>
    </w:lvl>
    <w:lvl w:ilvl="4">
      <w:start w:val="0"/>
      <w:numFmt w:val="bullet"/>
      <w:lvlText w:val="•"/>
      <w:lvlJc w:val="left"/>
      <w:pPr>
        <w:ind w:left="3869" w:hanging="218"/>
      </w:pPr>
      <w:rPr>
        <w:rFonts w:hint="default"/>
        <w:lang w:val="es-ES" w:eastAsia="en-US" w:bidi="ar-SA"/>
      </w:rPr>
    </w:lvl>
    <w:lvl w:ilvl="5">
      <w:start w:val="0"/>
      <w:numFmt w:val="bullet"/>
      <w:lvlText w:val="•"/>
      <w:lvlJc w:val="left"/>
      <w:pPr>
        <w:ind w:left="4712" w:hanging="218"/>
      </w:pPr>
      <w:rPr>
        <w:rFonts w:hint="default"/>
        <w:lang w:val="es-ES" w:eastAsia="en-US" w:bidi="ar-SA"/>
      </w:rPr>
    </w:lvl>
    <w:lvl w:ilvl="6">
      <w:start w:val="0"/>
      <w:numFmt w:val="bullet"/>
      <w:lvlText w:val="•"/>
      <w:lvlJc w:val="left"/>
      <w:pPr>
        <w:ind w:left="5554" w:hanging="218"/>
      </w:pPr>
      <w:rPr>
        <w:rFonts w:hint="default"/>
        <w:lang w:val="es-ES" w:eastAsia="en-US" w:bidi="ar-SA"/>
      </w:rPr>
    </w:lvl>
    <w:lvl w:ilvl="7">
      <w:start w:val="0"/>
      <w:numFmt w:val="bullet"/>
      <w:lvlText w:val="•"/>
      <w:lvlJc w:val="left"/>
      <w:pPr>
        <w:ind w:left="6396" w:hanging="218"/>
      </w:pPr>
      <w:rPr>
        <w:rFonts w:hint="default"/>
        <w:lang w:val="es-ES" w:eastAsia="en-US" w:bidi="ar-SA"/>
      </w:rPr>
    </w:lvl>
    <w:lvl w:ilvl="8">
      <w:start w:val="0"/>
      <w:numFmt w:val="bullet"/>
      <w:lvlText w:val="•"/>
      <w:lvlJc w:val="left"/>
      <w:pPr>
        <w:ind w:left="7239" w:hanging="218"/>
      </w:pPr>
      <w:rPr>
        <w:rFonts w:hint="default"/>
        <w:lang w:val="es-ES" w:eastAsia="en-US" w:bidi="ar-SA"/>
      </w:rPr>
    </w:lvl>
  </w:abstractNum>
  <w:abstractNum w:abstractNumId="98">
    <w:multiLevelType w:val="hybridMultilevel"/>
    <w:lvl w:ilvl="0">
      <w:start w:val="1"/>
      <w:numFmt w:val="decimal"/>
      <w:lvlText w:val="%1."/>
      <w:lvlJc w:val="left"/>
      <w:pPr>
        <w:ind w:left="501" w:hanging="218"/>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1">
      <w:start w:val="0"/>
      <w:numFmt w:val="bullet"/>
      <w:lvlText w:val="•"/>
      <w:lvlJc w:val="left"/>
      <w:pPr>
        <w:ind w:left="1342" w:hanging="218"/>
      </w:pPr>
      <w:rPr>
        <w:rFonts w:hint="default"/>
        <w:lang w:val="es-ES" w:eastAsia="en-US" w:bidi="ar-SA"/>
      </w:rPr>
    </w:lvl>
    <w:lvl w:ilvl="2">
      <w:start w:val="0"/>
      <w:numFmt w:val="bullet"/>
      <w:lvlText w:val="•"/>
      <w:lvlJc w:val="left"/>
      <w:pPr>
        <w:ind w:left="2184" w:hanging="218"/>
      </w:pPr>
      <w:rPr>
        <w:rFonts w:hint="default"/>
        <w:lang w:val="es-ES" w:eastAsia="en-US" w:bidi="ar-SA"/>
      </w:rPr>
    </w:lvl>
    <w:lvl w:ilvl="3">
      <w:start w:val="0"/>
      <w:numFmt w:val="bullet"/>
      <w:lvlText w:val="•"/>
      <w:lvlJc w:val="left"/>
      <w:pPr>
        <w:ind w:left="3027" w:hanging="218"/>
      </w:pPr>
      <w:rPr>
        <w:rFonts w:hint="default"/>
        <w:lang w:val="es-ES" w:eastAsia="en-US" w:bidi="ar-SA"/>
      </w:rPr>
    </w:lvl>
    <w:lvl w:ilvl="4">
      <w:start w:val="0"/>
      <w:numFmt w:val="bullet"/>
      <w:lvlText w:val="•"/>
      <w:lvlJc w:val="left"/>
      <w:pPr>
        <w:ind w:left="3869" w:hanging="218"/>
      </w:pPr>
      <w:rPr>
        <w:rFonts w:hint="default"/>
        <w:lang w:val="es-ES" w:eastAsia="en-US" w:bidi="ar-SA"/>
      </w:rPr>
    </w:lvl>
    <w:lvl w:ilvl="5">
      <w:start w:val="0"/>
      <w:numFmt w:val="bullet"/>
      <w:lvlText w:val="•"/>
      <w:lvlJc w:val="left"/>
      <w:pPr>
        <w:ind w:left="4712" w:hanging="218"/>
      </w:pPr>
      <w:rPr>
        <w:rFonts w:hint="default"/>
        <w:lang w:val="es-ES" w:eastAsia="en-US" w:bidi="ar-SA"/>
      </w:rPr>
    </w:lvl>
    <w:lvl w:ilvl="6">
      <w:start w:val="0"/>
      <w:numFmt w:val="bullet"/>
      <w:lvlText w:val="•"/>
      <w:lvlJc w:val="left"/>
      <w:pPr>
        <w:ind w:left="5554" w:hanging="218"/>
      </w:pPr>
      <w:rPr>
        <w:rFonts w:hint="default"/>
        <w:lang w:val="es-ES" w:eastAsia="en-US" w:bidi="ar-SA"/>
      </w:rPr>
    </w:lvl>
    <w:lvl w:ilvl="7">
      <w:start w:val="0"/>
      <w:numFmt w:val="bullet"/>
      <w:lvlText w:val="•"/>
      <w:lvlJc w:val="left"/>
      <w:pPr>
        <w:ind w:left="6396" w:hanging="218"/>
      </w:pPr>
      <w:rPr>
        <w:rFonts w:hint="default"/>
        <w:lang w:val="es-ES" w:eastAsia="en-US" w:bidi="ar-SA"/>
      </w:rPr>
    </w:lvl>
    <w:lvl w:ilvl="8">
      <w:start w:val="0"/>
      <w:numFmt w:val="bullet"/>
      <w:lvlText w:val="•"/>
      <w:lvlJc w:val="left"/>
      <w:pPr>
        <w:ind w:left="7239" w:hanging="218"/>
      </w:pPr>
      <w:rPr>
        <w:rFonts w:hint="default"/>
        <w:lang w:val="es-ES" w:eastAsia="en-US" w:bidi="ar-SA"/>
      </w:rPr>
    </w:lvl>
  </w:abstractNum>
  <w:abstractNum w:abstractNumId="97">
    <w:multiLevelType w:val="hybridMultilevel"/>
    <w:lvl w:ilvl="0">
      <w:start w:val="1"/>
      <w:numFmt w:val="decimal"/>
      <w:lvlText w:val="%1."/>
      <w:lvlJc w:val="left"/>
      <w:pPr>
        <w:ind w:left="1074" w:hanging="338"/>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1">
      <w:start w:val="0"/>
      <w:numFmt w:val="bullet"/>
      <w:lvlText w:val="•"/>
      <w:lvlJc w:val="left"/>
      <w:pPr>
        <w:ind w:left="1864" w:hanging="338"/>
      </w:pPr>
      <w:rPr>
        <w:rFonts w:hint="default"/>
        <w:lang w:val="es-ES" w:eastAsia="en-US" w:bidi="ar-SA"/>
      </w:rPr>
    </w:lvl>
    <w:lvl w:ilvl="2">
      <w:start w:val="0"/>
      <w:numFmt w:val="bullet"/>
      <w:lvlText w:val="•"/>
      <w:lvlJc w:val="left"/>
      <w:pPr>
        <w:ind w:left="2648" w:hanging="338"/>
      </w:pPr>
      <w:rPr>
        <w:rFonts w:hint="default"/>
        <w:lang w:val="es-ES" w:eastAsia="en-US" w:bidi="ar-SA"/>
      </w:rPr>
    </w:lvl>
    <w:lvl w:ilvl="3">
      <w:start w:val="0"/>
      <w:numFmt w:val="bullet"/>
      <w:lvlText w:val="•"/>
      <w:lvlJc w:val="left"/>
      <w:pPr>
        <w:ind w:left="3433" w:hanging="338"/>
      </w:pPr>
      <w:rPr>
        <w:rFonts w:hint="default"/>
        <w:lang w:val="es-ES" w:eastAsia="en-US" w:bidi="ar-SA"/>
      </w:rPr>
    </w:lvl>
    <w:lvl w:ilvl="4">
      <w:start w:val="0"/>
      <w:numFmt w:val="bullet"/>
      <w:lvlText w:val="•"/>
      <w:lvlJc w:val="left"/>
      <w:pPr>
        <w:ind w:left="4217" w:hanging="338"/>
      </w:pPr>
      <w:rPr>
        <w:rFonts w:hint="default"/>
        <w:lang w:val="es-ES" w:eastAsia="en-US" w:bidi="ar-SA"/>
      </w:rPr>
    </w:lvl>
    <w:lvl w:ilvl="5">
      <w:start w:val="0"/>
      <w:numFmt w:val="bullet"/>
      <w:lvlText w:val="•"/>
      <w:lvlJc w:val="left"/>
      <w:pPr>
        <w:ind w:left="5002" w:hanging="338"/>
      </w:pPr>
      <w:rPr>
        <w:rFonts w:hint="default"/>
        <w:lang w:val="es-ES" w:eastAsia="en-US" w:bidi="ar-SA"/>
      </w:rPr>
    </w:lvl>
    <w:lvl w:ilvl="6">
      <w:start w:val="0"/>
      <w:numFmt w:val="bullet"/>
      <w:lvlText w:val="•"/>
      <w:lvlJc w:val="left"/>
      <w:pPr>
        <w:ind w:left="5786" w:hanging="338"/>
      </w:pPr>
      <w:rPr>
        <w:rFonts w:hint="default"/>
        <w:lang w:val="es-ES" w:eastAsia="en-US" w:bidi="ar-SA"/>
      </w:rPr>
    </w:lvl>
    <w:lvl w:ilvl="7">
      <w:start w:val="0"/>
      <w:numFmt w:val="bullet"/>
      <w:lvlText w:val="•"/>
      <w:lvlJc w:val="left"/>
      <w:pPr>
        <w:ind w:left="6570" w:hanging="338"/>
      </w:pPr>
      <w:rPr>
        <w:rFonts w:hint="default"/>
        <w:lang w:val="es-ES" w:eastAsia="en-US" w:bidi="ar-SA"/>
      </w:rPr>
    </w:lvl>
    <w:lvl w:ilvl="8">
      <w:start w:val="0"/>
      <w:numFmt w:val="bullet"/>
      <w:lvlText w:val="•"/>
      <w:lvlJc w:val="left"/>
      <w:pPr>
        <w:ind w:left="7355" w:hanging="338"/>
      </w:pPr>
      <w:rPr>
        <w:rFonts w:hint="default"/>
        <w:lang w:val="es-ES" w:eastAsia="en-US" w:bidi="ar-SA"/>
      </w:rPr>
    </w:lvl>
  </w:abstractNum>
  <w:abstractNum w:abstractNumId="96">
    <w:multiLevelType w:val="hybridMultilevel"/>
    <w:lvl w:ilvl="0">
      <w:start w:val="0"/>
      <w:numFmt w:val="bullet"/>
      <w:lvlText w:val="•"/>
      <w:lvlJc w:val="left"/>
      <w:pPr>
        <w:ind w:left="956"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756" w:hanging="220"/>
      </w:pPr>
      <w:rPr>
        <w:rFonts w:hint="default"/>
        <w:lang w:val="es-ES" w:eastAsia="en-US" w:bidi="ar-SA"/>
      </w:rPr>
    </w:lvl>
    <w:lvl w:ilvl="2">
      <w:start w:val="0"/>
      <w:numFmt w:val="bullet"/>
      <w:lvlText w:val="•"/>
      <w:lvlJc w:val="left"/>
      <w:pPr>
        <w:ind w:left="2552" w:hanging="220"/>
      </w:pPr>
      <w:rPr>
        <w:rFonts w:hint="default"/>
        <w:lang w:val="es-ES" w:eastAsia="en-US" w:bidi="ar-SA"/>
      </w:rPr>
    </w:lvl>
    <w:lvl w:ilvl="3">
      <w:start w:val="0"/>
      <w:numFmt w:val="bullet"/>
      <w:lvlText w:val="•"/>
      <w:lvlJc w:val="left"/>
      <w:pPr>
        <w:ind w:left="3349" w:hanging="220"/>
      </w:pPr>
      <w:rPr>
        <w:rFonts w:hint="default"/>
        <w:lang w:val="es-ES" w:eastAsia="en-US" w:bidi="ar-SA"/>
      </w:rPr>
    </w:lvl>
    <w:lvl w:ilvl="4">
      <w:start w:val="0"/>
      <w:numFmt w:val="bullet"/>
      <w:lvlText w:val="•"/>
      <w:lvlJc w:val="left"/>
      <w:pPr>
        <w:ind w:left="4145" w:hanging="220"/>
      </w:pPr>
      <w:rPr>
        <w:rFonts w:hint="default"/>
        <w:lang w:val="es-ES" w:eastAsia="en-US" w:bidi="ar-SA"/>
      </w:rPr>
    </w:lvl>
    <w:lvl w:ilvl="5">
      <w:start w:val="0"/>
      <w:numFmt w:val="bullet"/>
      <w:lvlText w:val="•"/>
      <w:lvlJc w:val="left"/>
      <w:pPr>
        <w:ind w:left="4942" w:hanging="220"/>
      </w:pPr>
      <w:rPr>
        <w:rFonts w:hint="default"/>
        <w:lang w:val="es-ES" w:eastAsia="en-US" w:bidi="ar-SA"/>
      </w:rPr>
    </w:lvl>
    <w:lvl w:ilvl="6">
      <w:start w:val="0"/>
      <w:numFmt w:val="bullet"/>
      <w:lvlText w:val="•"/>
      <w:lvlJc w:val="left"/>
      <w:pPr>
        <w:ind w:left="5738" w:hanging="220"/>
      </w:pPr>
      <w:rPr>
        <w:rFonts w:hint="default"/>
        <w:lang w:val="es-ES" w:eastAsia="en-US" w:bidi="ar-SA"/>
      </w:rPr>
    </w:lvl>
    <w:lvl w:ilvl="7">
      <w:start w:val="0"/>
      <w:numFmt w:val="bullet"/>
      <w:lvlText w:val="•"/>
      <w:lvlJc w:val="left"/>
      <w:pPr>
        <w:ind w:left="6534" w:hanging="220"/>
      </w:pPr>
      <w:rPr>
        <w:rFonts w:hint="default"/>
        <w:lang w:val="es-ES" w:eastAsia="en-US" w:bidi="ar-SA"/>
      </w:rPr>
    </w:lvl>
    <w:lvl w:ilvl="8">
      <w:start w:val="0"/>
      <w:numFmt w:val="bullet"/>
      <w:lvlText w:val="•"/>
      <w:lvlJc w:val="left"/>
      <w:pPr>
        <w:ind w:left="7331" w:hanging="220"/>
      </w:pPr>
      <w:rPr>
        <w:rFonts w:hint="default"/>
        <w:lang w:val="es-ES" w:eastAsia="en-US" w:bidi="ar-SA"/>
      </w:rPr>
    </w:lvl>
  </w:abstractNum>
  <w:abstractNum w:abstractNumId="95">
    <w:multiLevelType w:val="hybridMultilevel"/>
    <w:lvl w:ilvl="0">
      <w:start w:val="1"/>
      <w:numFmt w:val="decimal"/>
      <w:lvlText w:val="%1."/>
      <w:lvlJc w:val="left"/>
      <w:pPr>
        <w:ind w:left="1077" w:hanging="339"/>
        <w:jc w:val="left"/>
      </w:pPr>
      <w:rPr>
        <w:rFonts w:hint="default" w:ascii="Times New Roman" w:hAnsi="Times New Roman" w:eastAsia="Times New Roman" w:cs="Times New Roman"/>
        <w:b w:val="0"/>
        <w:bCs w:val="0"/>
        <w:i w:val="0"/>
        <w:iCs w:val="0"/>
        <w:color w:val="231F1F"/>
        <w:spacing w:val="-2"/>
        <w:w w:val="100"/>
        <w:sz w:val="22"/>
        <w:szCs w:val="22"/>
        <w:lang w:val="es-ES" w:eastAsia="en-US" w:bidi="ar-SA"/>
      </w:rPr>
    </w:lvl>
    <w:lvl w:ilvl="1">
      <w:start w:val="0"/>
      <w:numFmt w:val="bullet"/>
      <w:lvlText w:val="•"/>
      <w:lvlJc w:val="left"/>
      <w:pPr>
        <w:ind w:left="1864" w:hanging="339"/>
      </w:pPr>
      <w:rPr>
        <w:rFonts w:hint="default"/>
        <w:lang w:val="es-ES" w:eastAsia="en-US" w:bidi="ar-SA"/>
      </w:rPr>
    </w:lvl>
    <w:lvl w:ilvl="2">
      <w:start w:val="0"/>
      <w:numFmt w:val="bullet"/>
      <w:lvlText w:val="•"/>
      <w:lvlJc w:val="left"/>
      <w:pPr>
        <w:ind w:left="2648" w:hanging="339"/>
      </w:pPr>
      <w:rPr>
        <w:rFonts w:hint="default"/>
        <w:lang w:val="es-ES" w:eastAsia="en-US" w:bidi="ar-SA"/>
      </w:rPr>
    </w:lvl>
    <w:lvl w:ilvl="3">
      <w:start w:val="0"/>
      <w:numFmt w:val="bullet"/>
      <w:lvlText w:val="•"/>
      <w:lvlJc w:val="left"/>
      <w:pPr>
        <w:ind w:left="3433" w:hanging="339"/>
      </w:pPr>
      <w:rPr>
        <w:rFonts w:hint="default"/>
        <w:lang w:val="es-ES" w:eastAsia="en-US" w:bidi="ar-SA"/>
      </w:rPr>
    </w:lvl>
    <w:lvl w:ilvl="4">
      <w:start w:val="0"/>
      <w:numFmt w:val="bullet"/>
      <w:lvlText w:val="•"/>
      <w:lvlJc w:val="left"/>
      <w:pPr>
        <w:ind w:left="4217" w:hanging="339"/>
      </w:pPr>
      <w:rPr>
        <w:rFonts w:hint="default"/>
        <w:lang w:val="es-ES" w:eastAsia="en-US" w:bidi="ar-SA"/>
      </w:rPr>
    </w:lvl>
    <w:lvl w:ilvl="5">
      <w:start w:val="0"/>
      <w:numFmt w:val="bullet"/>
      <w:lvlText w:val="•"/>
      <w:lvlJc w:val="left"/>
      <w:pPr>
        <w:ind w:left="5002" w:hanging="339"/>
      </w:pPr>
      <w:rPr>
        <w:rFonts w:hint="default"/>
        <w:lang w:val="es-ES" w:eastAsia="en-US" w:bidi="ar-SA"/>
      </w:rPr>
    </w:lvl>
    <w:lvl w:ilvl="6">
      <w:start w:val="0"/>
      <w:numFmt w:val="bullet"/>
      <w:lvlText w:val="•"/>
      <w:lvlJc w:val="left"/>
      <w:pPr>
        <w:ind w:left="5786" w:hanging="339"/>
      </w:pPr>
      <w:rPr>
        <w:rFonts w:hint="default"/>
        <w:lang w:val="es-ES" w:eastAsia="en-US" w:bidi="ar-SA"/>
      </w:rPr>
    </w:lvl>
    <w:lvl w:ilvl="7">
      <w:start w:val="0"/>
      <w:numFmt w:val="bullet"/>
      <w:lvlText w:val="•"/>
      <w:lvlJc w:val="left"/>
      <w:pPr>
        <w:ind w:left="6570" w:hanging="339"/>
      </w:pPr>
      <w:rPr>
        <w:rFonts w:hint="default"/>
        <w:lang w:val="es-ES" w:eastAsia="en-US" w:bidi="ar-SA"/>
      </w:rPr>
    </w:lvl>
    <w:lvl w:ilvl="8">
      <w:start w:val="0"/>
      <w:numFmt w:val="bullet"/>
      <w:lvlText w:val="•"/>
      <w:lvlJc w:val="left"/>
      <w:pPr>
        <w:ind w:left="7355" w:hanging="339"/>
      </w:pPr>
      <w:rPr>
        <w:rFonts w:hint="default"/>
        <w:lang w:val="es-ES" w:eastAsia="en-US" w:bidi="ar-SA"/>
      </w:rPr>
    </w:lvl>
  </w:abstractNum>
  <w:abstractNum w:abstractNumId="94">
    <w:multiLevelType w:val="hybridMultilevel"/>
    <w:lvl w:ilvl="0">
      <w:start w:val="0"/>
      <w:numFmt w:val="bullet"/>
      <w:lvlText w:val="•"/>
      <w:lvlJc w:val="left"/>
      <w:pPr>
        <w:ind w:left="325" w:hanging="218"/>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8"/>
      </w:pPr>
      <w:rPr>
        <w:rFonts w:hint="default"/>
        <w:lang w:val="es-ES" w:eastAsia="en-US" w:bidi="ar-SA"/>
      </w:rPr>
    </w:lvl>
    <w:lvl w:ilvl="2">
      <w:start w:val="0"/>
      <w:numFmt w:val="bullet"/>
      <w:lvlText w:val="•"/>
      <w:lvlJc w:val="left"/>
      <w:pPr>
        <w:ind w:left="1954" w:hanging="218"/>
      </w:pPr>
      <w:rPr>
        <w:rFonts w:hint="default"/>
        <w:lang w:val="es-ES" w:eastAsia="en-US" w:bidi="ar-SA"/>
      </w:rPr>
    </w:lvl>
    <w:lvl w:ilvl="3">
      <w:start w:val="0"/>
      <w:numFmt w:val="bullet"/>
      <w:lvlText w:val="•"/>
      <w:lvlJc w:val="left"/>
      <w:pPr>
        <w:ind w:left="2772" w:hanging="218"/>
      </w:pPr>
      <w:rPr>
        <w:rFonts w:hint="default"/>
        <w:lang w:val="es-ES" w:eastAsia="en-US" w:bidi="ar-SA"/>
      </w:rPr>
    </w:lvl>
    <w:lvl w:ilvl="4">
      <w:start w:val="0"/>
      <w:numFmt w:val="bullet"/>
      <w:lvlText w:val="•"/>
      <w:lvlJc w:val="left"/>
      <w:pPr>
        <w:ind w:left="3589" w:hanging="218"/>
      </w:pPr>
      <w:rPr>
        <w:rFonts w:hint="default"/>
        <w:lang w:val="es-ES" w:eastAsia="en-US" w:bidi="ar-SA"/>
      </w:rPr>
    </w:lvl>
    <w:lvl w:ilvl="5">
      <w:start w:val="0"/>
      <w:numFmt w:val="bullet"/>
      <w:lvlText w:val="•"/>
      <w:lvlJc w:val="left"/>
      <w:pPr>
        <w:ind w:left="4407" w:hanging="218"/>
      </w:pPr>
      <w:rPr>
        <w:rFonts w:hint="default"/>
        <w:lang w:val="es-ES" w:eastAsia="en-US" w:bidi="ar-SA"/>
      </w:rPr>
    </w:lvl>
    <w:lvl w:ilvl="6">
      <w:start w:val="0"/>
      <w:numFmt w:val="bullet"/>
      <w:lvlText w:val="•"/>
      <w:lvlJc w:val="left"/>
      <w:pPr>
        <w:ind w:left="5224" w:hanging="218"/>
      </w:pPr>
      <w:rPr>
        <w:rFonts w:hint="default"/>
        <w:lang w:val="es-ES" w:eastAsia="en-US" w:bidi="ar-SA"/>
      </w:rPr>
    </w:lvl>
    <w:lvl w:ilvl="7">
      <w:start w:val="0"/>
      <w:numFmt w:val="bullet"/>
      <w:lvlText w:val="•"/>
      <w:lvlJc w:val="left"/>
      <w:pPr>
        <w:ind w:left="6041" w:hanging="218"/>
      </w:pPr>
      <w:rPr>
        <w:rFonts w:hint="default"/>
        <w:lang w:val="es-ES" w:eastAsia="en-US" w:bidi="ar-SA"/>
      </w:rPr>
    </w:lvl>
    <w:lvl w:ilvl="8">
      <w:start w:val="0"/>
      <w:numFmt w:val="bullet"/>
      <w:lvlText w:val="•"/>
      <w:lvlJc w:val="left"/>
      <w:pPr>
        <w:ind w:left="6859" w:hanging="218"/>
      </w:pPr>
      <w:rPr>
        <w:rFonts w:hint="default"/>
        <w:lang w:val="es-ES" w:eastAsia="en-US" w:bidi="ar-SA"/>
      </w:rPr>
    </w:lvl>
  </w:abstractNum>
  <w:abstractNum w:abstractNumId="93">
    <w:multiLevelType w:val="hybridMultilevel"/>
    <w:lvl w:ilvl="0">
      <w:start w:val="0"/>
      <w:numFmt w:val="bullet"/>
      <w:lvlText w:val="•"/>
      <w:lvlJc w:val="left"/>
      <w:pPr>
        <w:ind w:left="333" w:hanging="227"/>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55" w:hanging="227"/>
      </w:pPr>
      <w:rPr>
        <w:rFonts w:hint="default"/>
        <w:lang w:val="es-ES" w:eastAsia="en-US" w:bidi="ar-SA"/>
      </w:rPr>
    </w:lvl>
    <w:lvl w:ilvl="2">
      <w:start w:val="0"/>
      <w:numFmt w:val="bullet"/>
      <w:lvlText w:val="•"/>
      <w:lvlJc w:val="left"/>
      <w:pPr>
        <w:ind w:left="1970" w:hanging="227"/>
      </w:pPr>
      <w:rPr>
        <w:rFonts w:hint="default"/>
        <w:lang w:val="es-ES" w:eastAsia="en-US" w:bidi="ar-SA"/>
      </w:rPr>
    </w:lvl>
    <w:lvl w:ilvl="3">
      <w:start w:val="0"/>
      <w:numFmt w:val="bullet"/>
      <w:lvlText w:val="•"/>
      <w:lvlJc w:val="left"/>
      <w:pPr>
        <w:ind w:left="2786" w:hanging="227"/>
      </w:pPr>
      <w:rPr>
        <w:rFonts w:hint="default"/>
        <w:lang w:val="es-ES" w:eastAsia="en-US" w:bidi="ar-SA"/>
      </w:rPr>
    </w:lvl>
    <w:lvl w:ilvl="4">
      <w:start w:val="0"/>
      <w:numFmt w:val="bullet"/>
      <w:lvlText w:val="•"/>
      <w:lvlJc w:val="left"/>
      <w:pPr>
        <w:ind w:left="3601" w:hanging="227"/>
      </w:pPr>
      <w:rPr>
        <w:rFonts w:hint="default"/>
        <w:lang w:val="es-ES" w:eastAsia="en-US" w:bidi="ar-SA"/>
      </w:rPr>
    </w:lvl>
    <w:lvl w:ilvl="5">
      <w:start w:val="0"/>
      <w:numFmt w:val="bullet"/>
      <w:lvlText w:val="•"/>
      <w:lvlJc w:val="left"/>
      <w:pPr>
        <w:ind w:left="4417" w:hanging="227"/>
      </w:pPr>
      <w:rPr>
        <w:rFonts w:hint="default"/>
        <w:lang w:val="es-ES" w:eastAsia="en-US" w:bidi="ar-SA"/>
      </w:rPr>
    </w:lvl>
    <w:lvl w:ilvl="6">
      <w:start w:val="0"/>
      <w:numFmt w:val="bullet"/>
      <w:lvlText w:val="•"/>
      <w:lvlJc w:val="left"/>
      <w:pPr>
        <w:ind w:left="5232" w:hanging="227"/>
      </w:pPr>
      <w:rPr>
        <w:rFonts w:hint="default"/>
        <w:lang w:val="es-ES" w:eastAsia="en-US" w:bidi="ar-SA"/>
      </w:rPr>
    </w:lvl>
    <w:lvl w:ilvl="7">
      <w:start w:val="0"/>
      <w:numFmt w:val="bullet"/>
      <w:lvlText w:val="•"/>
      <w:lvlJc w:val="left"/>
      <w:pPr>
        <w:ind w:left="6047" w:hanging="227"/>
      </w:pPr>
      <w:rPr>
        <w:rFonts w:hint="default"/>
        <w:lang w:val="es-ES" w:eastAsia="en-US" w:bidi="ar-SA"/>
      </w:rPr>
    </w:lvl>
    <w:lvl w:ilvl="8">
      <w:start w:val="0"/>
      <w:numFmt w:val="bullet"/>
      <w:lvlText w:val="•"/>
      <w:lvlJc w:val="left"/>
      <w:pPr>
        <w:ind w:left="6863" w:hanging="227"/>
      </w:pPr>
      <w:rPr>
        <w:rFonts w:hint="default"/>
        <w:lang w:val="es-ES" w:eastAsia="en-US" w:bidi="ar-SA"/>
      </w:rPr>
    </w:lvl>
  </w:abstractNum>
  <w:abstractNum w:abstractNumId="92">
    <w:multiLevelType w:val="hybridMultilevel"/>
    <w:lvl w:ilvl="0">
      <w:start w:val="0"/>
      <w:numFmt w:val="bullet"/>
      <w:lvlText w:val="•"/>
      <w:lvlJc w:val="left"/>
      <w:pPr>
        <w:ind w:left="954"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756" w:hanging="219"/>
      </w:pPr>
      <w:rPr>
        <w:rFonts w:hint="default"/>
        <w:lang w:val="es-ES" w:eastAsia="en-US" w:bidi="ar-SA"/>
      </w:rPr>
    </w:lvl>
    <w:lvl w:ilvl="2">
      <w:start w:val="0"/>
      <w:numFmt w:val="bullet"/>
      <w:lvlText w:val="•"/>
      <w:lvlJc w:val="left"/>
      <w:pPr>
        <w:ind w:left="2552" w:hanging="219"/>
      </w:pPr>
      <w:rPr>
        <w:rFonts w:hint="default"/>
        <w:lang w:val="es-ES" w:eastAsia="en-US" w:bidi="ar-SA"/>
      </w:rPr>
    </w:lvl>
    <w:lvl w:ilvl="3">
      <w:start w:val="0"/>
      <w:numFmt w:val="bullet"/>
      <w:lvlText w:val="•"/>
      <w:lvlJc w:val="left"/>
      <w:pPr>
        <w:ind w:left="3349" w:hanging="219"/>
      </w:pPr>
      <w:rPr>
        <w:rFonts w:hint="default"/>
        <w:lang w:val="es-ES" w:eastAsia="en-US" w:bidi="ar-SA"/>
      </w:rPr>
    </w:lvl>
    <w:lvl w:ilvl="4">
      <w:start w:val="0"/>
      <w:numFmt w:val="bullet"/>
      <w:lvlText w:val="•"/>
      <w:lvlJc w:val="left"/>
      <w:pPr>
        <w:ind w:left="4145" w:hanging="219"/>
      </w:pPr>
      <w:rPr>
        <w:rFonts w:hint="default"/>
        <w:lang w:val="es-ES" w:eastAsia="en-US" w:bidi="ar-SA"/>
      </w:rPr>
    </w:lvl>
    <w:lvl w:ilvl="5">
      <w:start w:val="0"/>
      <w:numFmt w:val="bullet"/>
      <w:lvlText w:val="•"/>
      <w:lvlJc w:val="left"/>
      <w:pPr>
        <w:ind w:left="4942" w:hanging="219"/>
      </w:pPr>
      <w:rPr>
        <w:rFonts w:hint="default"/>
        <w:lang w:val="es-ES" w:eastAsia="en-US" w:bidi="ar-SA"/>
      </w:rPr>
    </w:lvl>
    <w:lvl w:ilvl="6">
      <w:start w:val="0"/>
      <w:numFmt w:val="bullet"/>
      <w:lvlText w:val="•"/>
      <w:lvlJc w:val="left"/>
      <w:pPr>
        <w:ind w:left="5738" w:hanging="219"/>
      </w:pPr>
      <w:rPr>
        <w:rFonts w:hint="default"/>
        <w:lang w:val="es-ES" w:eastAsia="en-US" w:bidi="ar-SA"/>
      </w:rPr>
    </w:lvl>
    <w:lvl w:ilvl="7">
      <w:start w:val="0"/>
      <w:numFmt w:val="bullet"/>
      <w:lvlText w:val="•"/>
      <w:lvlJc w:val="left"/>
      <w:pPr>
        <w:ind w:left="6534" w:hanging="219"/>
      </w:pPr>
      <w:rPr>
        <w:rFonts w:hint="default"/>
        <w:lang w:val="es-ES" w:eastAsia="en-US" w:bidi="ar-SA"/>
      </w:rPr>
    </w:lvl>
    <w:lvl w:ilvl="8">
      <w:start w:val="0"/>
      <w:numFmt w:val="bullet"/>
      <w:lvlText w:val="•"/>
      <w:lvlJc w:val="left"/>
      <w:pPr>
        <w:ind w:left="7331" w:hanging="219"/>
      </w:pPr>
      <w:rPr>
        <w:rFonts w:hint="default"/>
        <w:lang w:val="es-ES" w:eastAsia="en-US" w:bidi="ar-SA"/>
      </w:rPr>
    </w:lvl>
  </w:abstractNum>
  <w:abstractNum w:abstractNumId="91">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90">
    <w:multiLevelType w:val="hybridMultilevel"/>
    <w:lvl w:ilvl="0">
      <w:start w:val="0"/>
      <w:numFmt w:val="bullet"/>
      <w:lvlText w:val="•"/>
      <w:lvlJc w:val="left"/>
      <w:pPr>
        <w:ind w:left="961"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619" w:hanging="219"/>
      </w:pPr>
      <w:rPr>
        <w:rFonts w:hint="default"/>
        <w:lang w:val="es-ES" w:eastAsia="en-US" w:bidi="ar-SA"/>
      </w:rPr>
    </w:lvl>
    <w:lvl w:ilvl="2">
      <w:start w:val="0"/>
      <w:numFmt w:val="bullet"/>
      <w:lvlText w:val="•"/>
      <w:lvlJc w:val="left"/>
      <w:pPr>
        <w:ind w:left="2278" w:hanging="219"/>
      </w:pPr>
      <w:rPr>
        <w:rFonts w:hint="default"/>
        <w:lang w:val="es-ES" w:eastAsia="en-US" w:bidi="ar-SA"/>
      </w:rPr>
    </w:lvl>
    <w:lvl w:ilvl="3">
      <w:start w:val="0"/>
      <w:numFmt w:val="bullet"/>
      <w:lvlText w:val="•"/>
      <w:lvlJc w:val="left"/>
      <w:pPr>
        <w:ind w:left="2937" w:hanging="219"/>
      </w:pPr>
      <w:rPr>
        <w:rFonts w:hint="default"/>
        <w:lang w:val="es-ES" w:eastAsia="en-US" w:bidi="ar-SA"/>
      </w:rPr>
    </w:lvl>
    <w:lvl w:ilvl="4">
      <w:start w:val="0"/>
      <w:numFmt w:val="bullet"/>
      <w:lvlText w:val="•"/>
      <w:lvlJc w:val="left"/>
      <w:pPr>
        <w:ind w:left="3597" w:hanging="219"/>
      </w:pPr>
      <w:rPr>
        <w:rFonts w:hint="default"/>
        <w:lang w:val="es-ES" w:eastAsia="en-US" w:bidi="ar-SA"/>
      </w:rPr>
    </w:lvl>
    <w:lvl w:ilvl="5">
      <w:start w:val="0"/>
      <w:numFmt w:val="bullet"/>
      <w:lvlText w:val="•"/>
      <w:lvlJc w:val="left"/>
      <w:pPr>
        <w:ind w:left="4256" w:hanging="219"/>
      </w:pPr>
      <w:rPr>
        <w:rFonts w:hint="default"/>
        <w:lang w:val="es-ES" w:eastAsia="en-US" w:bidi="ar-SA"/>
      </w:rPr>
    </w:lvl>
    <w:lvl w:ilvl="6">
      <w:start w:val="0"/>
      <w:numFmt w:val="bullet"/>
      <w:lvlText w:val="•"/>
      <w:lvlJc w:val="left"/>
      <w:pPr>
        <w:ind w:left="4915" w:hanging="219"/>
      </w:pPr>
      <w:rPr>
        <w:rFonts w:hint="default"/>
        <w:lang w:val="es-ES" w:eastAsia="en-US" w:bidi="ar-SA"/>
      </w:rPr>
    </w:lvl>
    <w:lvl w:ilvl="7">
      <w:start w:val="0"/>
      <w:numFmt w:val="bullet"/>
      <w:lvlText w:val="•"/>
      <w:lvlJc w:val="left"/>
      <w:pPr>
        <w:ind w:left="5575" w:hanging="219"/>
      </w:pPr>
      <w:rPr>
        <w:rFonts w:hint="default"/>
        <w:lang w:val="es-ES" w:eastAsia="en-US" w:bidi="ar-SA"/>
      </w:rPr>
    </w:lvl>
    <w:lvl w:ilvl="8">
      <w:start w:val="0"/>
      <w:numFmt w:val="bullet"/>
      <w:lvlText w:val="•"/>
      <w:lvlJc w:val="left"/>
      <w:pPr>
        <w:ind w:left="6234" w:hanging="219"/>
      </w:pPr>
      <w:rPr>
        <w:rFonts w:hint="default"/>
        <w:lang w:val="es-ES" w:eastAsia="en-US" w:bidi="ar-SA"/>
      </w:rPr>
    </w:lvl>
  </w:abstractNum>
  <w:abstractNum w:abstractNumId="8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8">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7">
    <w:multiLevelType w:val="hybridMultilevel"/>
    <w:lvl w:ilvl="0">
      <w:start w:val="0"/>
      <w:numFmt w:val="bullet"/>
      <w:lvlText w:val="•"/>
      <w:lvlJc w:val="left"/>
      <w:pPr>
        <w:ind w:left="316" w:hanging="212"/>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2"/>
      </w:pPr>
      <w:rPr>
        <w:rFonts w:hint="default"/>
        <w:lang w:val="es-ES" w:eastAsia="en-US" w:bidi="ar-SA"/>
      </w:rPr>
    </w:lvl>
    <w:lvl w:ilvl="2">
      <w:start w:val="0"/>
      <w:numFmt w:val="bullet"/>
      <w:lvlText w:val="•"/>
      <w:lvlJc w:val="left"/>
      <w:pPr>
        <w:ind w:left="1954" w:hanging="212"/>
      </w:pPr>
      <w:rPr>
        <w:rFonts w:hint="default"/>
        <w:lang w:val="es-ES" w:eastAsia="en-US" w:bidi="ar-SA"/>
      </w:rPr>
    </w:lvl>
    <w:lvl w:ilvl="3">
      <w:start w:val="0"/>
      <w:numFmt w:val="bullet"/>
      <w:lvlText w:val="•"/>
      <w:lvlJc w:val="left"/>
      <w:pPr>
        <w:ind w:left="2772" w:hanging="212"/>
      </w:pPr>
      <w:rPr>
        <w:rFonts w:hint="default"/>
        <w:lang w:val="es-ES" w:eastAsia="en-US" w:bidi="ar-SA"/>
      </w:rPr>
    </w:lvl>
    <w:lvl w:ilvl="4">
      <w:start w:val="0"/>
      <w:numFmt w:val="bullet"/>
      <w:lvlText w:val="•"/>
      <w:lvlJc w:val="left"/>
      <w:pPr>
        <w:ind w:left="3589" w:hanging="212"/>
      </w:pPr>
      <w:rPr>
        <w:rFonts w:hint="default"/>
        <w:lang w:val="es-ES" w:eastAsia="en-US" w:bidi="ar-SA"/>
      </w:rPr>
    </w:lvl>
    <w:lvl w:ilvl="5">
      <w:start w:val="0"/>
      <w:numFmt w:val="bullet"/>
      <w:lvlText w:val="•"/>
      <w:lvlJc w:val="left"/>
      <w:pPr>
        <w:ind w:left="4407" w:hanging="212"/>
      </w:pPr>
      <w:rPr>
        <w:rFonts w:hint="default"/>
        <w:lang w:val="es-ES" w:eastAsia="en-US" w:bidi="ar-SA"/>
      </w:rPr>
    </w:lvl>
    <w:lvl w:ilvl="6">
      <w:start w:val="0"/>
      <w:numFmt w:val="bullet"/>
      <w:lvlText w:val="•"/>
      <w:lvlJc w:val="left"/>
      <w:pPr>
        <w:ind w:left="5224" w:hanging="212"/>
      </w:pPr>
      <w:rPr>
        <w:rFonts w:hint="default"/>
        <w:lang w:val="es-ES" w:eastAsia="en-US" w:bidi="ar-SA"/>
      </w:rPr>
    </w:lvl>
    <w:lvl w:ilvl="7">
      <w:start w:val="0"/>
      <w:numFmt w:val="bullet"/>
      <w:lvlText w:val="•"/>
      <w:lvlJc w:val="left"/>
      <w:pPr>
        <w:ind w:left="6041" w:hanging="212"/>
      </w:pPr>
      <w:rPr>
        <w:rFonts w:hint="default"/>
        <w:lang w:val="es-ES" w:eastAsia="en-US" w:bidi="ar-SA"/>
      </w:rPr>
    </w:lvl>
    <w:lvl w:ilvl="8">
      <w:start w:val="0"/>
      <w:numFmt w:val="bullet"/>
      <w:lvlText w:val="•"/>
      <w:lvlJc w:val="left"/>
      <w:pPr>
        <w:ind w:left="6859" w:hanging="212"/>
      </w:pPr>
      <w:rPr>
        <w:rFonts w:hint="default"/>
        <w:lang w:val="es-ES" w:eastAsia="en-US" w:bidi="ar-SA"/>
      </w:rPr>
    </w:lvl>
  </w:abstractNum>
  <w:abstractNum w:abstractNumId="86">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85">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3">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1">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80">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79">
    <w:multiLevelType w:val="hybridMultilevel"/>
    <w:lvl w:ilvl="0">
      <w:start w:val="0"/>
      <w:numFmt w:val="bullet"/>
      <w:lvlText w:val="•"/>
      <w:lvlJc w:val="left"/>
      <w:pPr>
        <w:ind w:left="323"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78">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77">
    <w:multiLevelType w:val="hybridMultilevel"/>
    <w:lvl w:ilvl="0">
      <w:start w:val="0"/>
      <w:numFmt w:val="bullet"/>
      <w:lvlText w:val="•"/>
      <w:lvlJc w:val="left"/>
      <w:pPr>
        <w:ind w:left="956" w:hanging="221"/>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619" w:hanging="221"/>
      </w:pPr>
      <w:rPr>
        <w:rFonts w:hint="default"/>
        <w:lang w:val="es-ES" w:eastAsia="en-US" w:bidi="ar-SA"/>
      </w:rPr>
    </w:lvl>
    <w:lvl w:ilvl="2">
      <w:start w:val="0"/>
      <w:numFmt w:val="bullet"/>
      <w:lvlText w:val="•"/>
      <w:lvlJc w:val="left"/>
      <w:pPr>
        <w:ind w:left="2279" w:hanging="221"/>
      </w:pPr>
      <w:rPr>
        <w:rFonts w:hint="default"/>
        <w:lang w:val="es-ES" w:eastAsia="en-US" w:bidi="ar-SA"/>
      </w:rPr>
    </w:lvl>
    <w:lvl w:ilvl="3">
      <w:start w:val="0"/>
      <w:numFmt w:val="bullet"/>
      <w:lvlText w:val="•"/>
      <w:lvlJc w:val="left"/>
      <w:pPr>
        <w:ind w:left="2938" w:hanging="221"/>
      </w:pPr>
      <w:rPr>
        <w:rFonts w:hint="default"/>
        <w:lang w:val="es-ES" w:eastAsia="en-US" w:bidi="ar-SA"/>
      </w:rPr>
    </w:lvl>
    <w:lvl w:ilvl="4">
      <w:start w:val="0"/>
      <w:numFmt w:val="bullet"/>
      <w:lvlText w:val="•"/>
      <w:lvlJc w:val="left"/>
      <w:pPr>
        <w:ind w:left="3598" w:hanging="221"/>
      </w:pPr>
      <w:rPr>
        <w:rFonts w:hint="default"/>
        <w:lang w:val="es-ES" w:eastAsia="en-US" w:bidi="ar-SA"/>
      </w:rPr>
    </w:lvl>
    <w:lvl w:ilvl="5">
      <w:start w:val="0"/>
      <w:numFmt w:val="bullet"/>
      <w:lvlText w:val="•"/>
      <w:lvlJc w:val="left"/>
      <w:pPr>
        <w:ind w:left="4257" w:hanging="221"/>
      </w:pPr>
      <w:rPr>
        <w:rFonts w:hint="default"/>
        <w:lang w:val="es-ES" w:eastAsia="en-US" w:bidi="ar-SA"/>
      </w:rPr>
    </w:lvl>
    <w:lvl w:ilvl="6">
      <w:start w:val="0"/>
      <w:numFmt w:val="bullet"/>
      <w:lvlText w:val="•"/>
      <w:lvlJc w:val="left"/>
      <w:pPr>
        <w:ind w:left="4917" w:hanging="221"/>
      </w:pPr>
      <w:rPr>
        <w:rFonts w:hint="default"/>
        <w:lang w:val="es-ES" w:eastAsia="en-US" w:bidi="ar-SA"/>
      </w:rPr>
    </w:lvl>
    <w:lvl w:ilvl="7">
      <w:start w:val="0"/>
      <w:numFmt w:val="bullet"/>
      <w:lvlText w:val="•"/>
      <w:lvlJc w:val="left"/>
      <w:pPr>
        <w:ind w:left="5576" w:hanging="221"/>
      </w:pPr>
      <w:rPr>
        <w:rFonts w:hint="default"/>
        <w:lang w:val="es-ES" w:eastAsia="en-US" w:bidi="ar-SA"/>
      </w:rPr>
    </w:lvl>
    <w:lvl w:ilvl="8">
      <w:start w:val="0"/>
      <w:numFmt w:val="bullet"/>
      <w:lvlText w:val="•"/>
      <w:lvlJc w:val="left"/>
      <w:pPr>
        <w:ind w:left="6236" w:hanging="221"/>
      </w:pPr>
      <w:rPr>
        <w:rFonts w:hint="default"/>
        <w:lang w:val="es-ES" w:eastAsia="en-US" w:bidi="ar-SA"/>
      </w:rPr>
    </w:lvl>
  </w:abstractNum>
  <w:abstractNum w:abstractNumId="7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75">
    <w:multiLevelType w:val="hybridMultilevel"/>
    <w:lvl w:ilvl="0">
      <w:start w:val="0"/>
      <w:numFmt w:val="bullet"/>
      <w:lvlText w:val="-"/>
      <w:lvlJc w:val="left"/>
      <w:pPr>
        <w:ind w:left="920" w:hanging="181"/>
      </w:pPr>
      <w:rPr>
        <w:rFonts w:hint="default" w:ascii="Times New Roman" w:hAnsi="Times New Roman" w:eastAsia="Times New Roman" w:cs="Times New Roman"/>
        <w:b w:val="0"/>
        <w:bCs w:val="0"/>
        <w:i w:val="0"/>
        <w:iCs w:val="0"/>
        <w:color w:val="231F1F"/>
        <w:spacing w:val="0"/>
        <w:w w:val="96"/>
        <w:sz w:val="22"/>
        <w:szCs w:val="22"/>
        <w:lang w:val="es-ES" w:eastAsia="en-US" w:bidi="ar-SA"/>
      </w:rPr>
    </w:lvl>
    <w:lvl w:ilvl="1">
      <w:start w:val="0"/>
      <w:numFmt w:val="bullet"/>
      <w:lvlText w:val="•"/>
      <w:lvlJc w:val="left"/>
      <w:pPr>
        <w:ind w:left="1720" w:hanging="181"/>
      </w:pPr>
      <w:rPr>
        <w:rFonts w:hint="default"/>
        <w:lang w:val="es-ES" w:eastAsia="en-US" w:bidi="ar-SA"/>
      </w:rPr>
    </w:lvl>
    <w:lvl w:ilvl="2">
      <w:start w:val="0"/>
      <w:numFmt w:val="bullet"/>
      <w:lvlText w:val="•"/>
      <w:lvlJc w:val="left"/>
      <w:pPr>
        <w:ind w:left="2520" w:hanging="181"/>
      </w:pPr>
      <w:rPr>
        <w:rFonts w:hint="default"/>
        <w:lang w:val="es-ES" w:eastAsia="en-US" w:bidi="ar-SA"/>
      </w:rPr>
    </w:lvl>
    <w:lvl w:ilvl="3">
      <w:start w:val="0"/>
      <w:numFmt w:val="bullet"/>
      <w:lvlText w:val="•"/>
      <w:lvlJc w:val="left"/>
      <w:pPr>
        <w:ind w:left="3321" w:hanging="181"/>
      </w:pPr>
      <w:rPr>
        <w:rFonts w:hint="default"/>
        <w:lang w:val="es-ES" w:eastAsia="en-US" w:bidi="ar-SA"/>
      </w:rPr>
    </w:lvl>
    <w:lvl w:ilvl="4">
      <w:start w:val="0"/>
      <w:numFmt w:val="bullet"/>
      <w:lvlText w:val="•"/>
      <w:lvlJc w:val="left"/>
      <w:pPr>
        <w:ind w:left="4121" w:hanging="181"/>
      </w:pPr>
      <w:rPr>
        <w:rFonts w:hint="default"/>
        <w:lang w:val="es-ES" w:eastAsia="en-US" w:bidi="ar-SA"/>
      </w:rPr>
    </w:lvl>
    <w:lvl w:ilvl="5">
      <w:start w:val="0"/>
      <w:numFmt w:val="bullet"/>
      <w:lvlText w:val="•"/>
      <w:lvlJc w:val="left"/>
      <w:pPr>
        <w:ind w:left="4922" w:hanging="181"/>
      </w:pPr>
      <w:rPr>
        <w:rFonts w:hint="default"/>
        <w:lang w:val="es-ES" w:eastAsia="en-US" w:bidi="ar-SA"/>
      </w:rPr>
    </w:lvl>
    <w:lvl w:ilvl="6">
      <w:start w:val="0"/>
      <w:numFmt w:val="bullet"/>
      <w:lvlText w:val="•"/>
      <w:lvlJc w:val="left"/>
      <w:pPr>
        <w:ind w:left="5722" w:hanging="181"/>
      </w:pPr>
      <w:rPr>
        <w:rFonts w:hint="default"/>
        <w:lang w:val="es-ES" w:eastAsia="en-US" w:bidi="ar-SA"/>
      </w:rPr>
    </w:lvl>
    <w:lvl w:ilvl="7">
      <w:start w:val="0"/>
      <w:numFmt w:val="bullet"/>
      <w:lvlText w:val="•"/>
      <w:lvlJc w:val="left"/>
      <w:pPr>
        <w:ind w:left="6522" w:hanging="181"/>
      </w:pPr>
      <w:rPr>
        <w:rFonts w:hint="default"/>
        <w:lang w:val="es-ES" w:eastAsia="en-US" w:bidi="ar-SA"/>
      </w:rPr>
    </w:lvl>
    <w:lvl w:ilvl="8">
      <w:start w:val="0"/>
      <w:numFmt w:val="bullet"/>
      <w:lvlText w:val="•"/>
      <w:lvlJc w:val="left"/>
      <w:pPr>
        <w:ind w:left="7323" w:hanging="181"/>
      </w:pPr>
      <w:rPr>
        <w:rFonts w:hint="default"/>
        <w:lang w:val="es-ES" w:eastAsia="en-US" w:bidi="ar-SA"/>
      </w:rPr>
    </w:lvl>
  </w:abstractNum>
  <w:abstractNum w:abstractNumId="74">
    <w:multiLevelType w:val="hybridMultilevel"/>
    <w:lvl w:ilvl="0">
      <w:start w:val="0"/>
      <w:numFmt w:val="bullet"/>
      <w:lvlText w:val="-"/>
      <w:lvlJc w:val="left"/>
      <w:pPr>
        <w:ind w:left="920" w:hanging="127"/>
      </w:pPr>
      <w:rPr>
        <w:rFonts w:hint="default" w:ascii="Times New Roman" w:hAnsi="Times New Roman" w:eastAsia="Times New Roman" w:cs="Times New Roman"/>
        <w:b w:val="0"/>
        <w:bCs w:val="0"/>
        <w:i w:val="0"/>
        <w:iCs w:val="0"/>
        <w:color w:val="231F1F"/>
        <w:spacing w:val="0"/>
        <w:w w:val="96"/>
        <w:sz w:val="22"/>
        <w:szCs w:val="22"/>
        <w:lang w:val="es-ES" w:eastAsia="en-US" w:bidi="ar-SA"/>
      </w:rPr>
    </w:lvl>
    <w:lvl w:ilvl="1">
      <w:start w:val="0"/>
      <w:numFmt w:val="bullet"/>
      <w:lvlText w:val="•"/>
      <w:lvlJc w:val="left"/>
      <w:pPr>
        <w:ind w:left="1583" w:hanging="127"/>
      </w:pPr>
      <w:rPr>
        <w:rFonts w:hint="default"/>
        <w:lang w:val="es-ES" w:eastAsia="en-US" w:bidi="ar-SA"/>
      </w:rPr>
    </w:lvl>
    <w:lvl w:ilvl="2">
      <w:start w:val="0"/>
      <w:numFmt w:val="bullet"/>
      <w:lvlText w:val="•"/>
      <w:lvlJc w:val="left"/>
      <w:pPr>
        <w:ind w:left="2246" w:hanging="127"/>
      </w:pPr>
      <w:rPr>
        <w:rFonts w:hint="default"/>
        <w:lang w:val="es-ES" w:eastAsia="en-US" w:bidi="ar-SA"/>
      </w:rPr>
    </w:lvl>
    <w:lvl w:ilvl="3">
      <w:start w:val="0"/>
      <w:numFmt w:val="bullet"/>
      <w:lvlText w:val="•"/>
      <w:lvlJc w:val="left"/>
      <w:pPr>
        <w:ind w:left="2909" w:hanging="127"/>
      </w:pPr>
      <w:rPr>
        <w:rFonts w:hint="default"/>
        <w:lang w:val="es-ES" w:eastAsia="en-US" w:bidi="ar-SA"/>
      </w:rPr>
    </w:lvl>
    <w:lvl w:ilvl="4">
      <w:start w:val="0"/>
      <w:numFmt w:val="bullet"/>
      <w:lvlText w:val="•"/>
      <w:lvlJc w:val="left"/>
      <w:pPr>
        <w:ind w:left="3572" w:hanging="127"/>
      </w:pPr>
      <w:rPr>
        <w:rFonts w:hint="default"/>
        <w:lang w:val="es-ES" w:eastAsia="en-US" w:bidi="ar-SA"/>
      </w:rPr>
    </w:lvl>
    <w:lvl w:ilvl="5">
      <w:start w:val="0"/>
      <w:numFmt w:val="bullet"/>
      <w:lvlText w:val="•"/>
      <w:lvlJc w:val="left"/>
      <w:pPr>
        <w:ind w:left="4235" w:hanging="127"/>
      </w:pPr>
      <w:rPr>
        <w:rFonts w:hint="default"/>
        <w:lang w:val="es-ES" w:eastAsia="en-US" w:bidi="ar-SA"/>
      </w:rPr>
    </w:lvl>
    <w:lvl w:ilvl="6">
      <w:start w:val="0"/>
      <w:numFmt w:val="bullet"/>
      <w:lvlText w:val="•"/>
      <w:lvlJc w:val="left"/>
      <w:pPr>
        <w:ind w:left="4898" w:hanging="127"/>
      </w:pPr>
      <w:rPr>
        <w:rFonts w:hint="default"/>
        <w:lang w:val="es-ES" w:eastAsia="en-US" w:bidi="ar-SA"/>
      </w:rPr>
    </w:lvl>
    <w:lvl w:ilvl="7">
      <w:start w:val="0"/>
      <w:numFmt w:val="bullet"/>
      <w:lvlText w:val="•"/>
      <w:lvlJc w:val="left"/>
      <w:pPr>
        <w:ind w:left="5562" w:hanging="127"/>
      </w:pPr>
      <w:rPr>
        <w:rFonts w:hint="default"/>
        <w:lang w:val="es-ES" w:eastAsia="en-US" w:bidi="ar-SA"/>
      </w:rPr>
    </w:lvl>
    <w:lvl w:ilvl="8">
      <w:start w:val="0"/>
      <w:numFmt w:val="bullet"/>
      <w:lvlText w:val="•"/>
      <w:lvlJc w:val="left"/>
      <w:pPr>
        <w:ind w:left="6225" w:hanging="127"/>
      </w:pPr>
      <w:rPr>
        <w:rFonts w:hint="default"/>
        <w:lang w:val="es-ES" w:eastAsia="en-US" w:bidi="ar-SA"/>
      </w:rPr>
    </w:lvl>
  </w:abstractNum>
  <w:abstractNum w:abstractNumId="73">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72">
    <w:multiLevelType w:val="hybridMultilevel"/>
    <w:lvl w:ilvl="0">
      <w:start w:val="0"/>
      <w:numFmt w:val="bullet"/>
      <w:lvlText w:val="•"/>
      <w:lvlJc w:val="left"/>
      <w:pPr>
        <w:ind w:left="351"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73" w:hanging="219"/>
      </w:pPr>
      <w:rPr>
        <w:rFonts w:hint="default"/>
        <w:lang w:val="es-ES" w:eastAsia="en-US" w:bidi="ar-SA"/>
      </w:rPr>
    </w:lvl>
    <w:lvl w:ilvl="2">
      <w:start w:val="0"/>
      <w:numFmt w:val="bullet"/>
      <w:lvlText w:val="•"/>
      <w:lvlJc w:val="left"/>
      <w:pPr>
        <w:ind w:left="1986" w:hanging="219"/>
      </w:pPr>
      <w:rPr>
        <w:rFonts w:hint="default"/>
        <w:lang w:val="es-ES" w:eastAsia="en-US" w:bidi="ar-SA"/>
      </w:rPr>
    </w:lvl>
    <w:lvl w:ilvl="3">
      <w:start w:val="0"/>
      <w:numFmt w:val="bullet"/>
      <w:lvlText w:val="•"/>
      <w:lvlJc w:val="left"/>
      <w:pPr>
        <w:ind w:left="2800" w:hanging="219"/>
      </w:pPr>
      <w:rPr>
        <w:rFonts w:hint="default"/>
        <w:lang w:val="es-ES" w:eastAsia="en-US" w:bidi="ar-SA"/>
      </w:rPr>
    </w:lvl>
    <w:lvl w:ilvl="4">
      <w:start w:val="0"/>
      <w:numFmt w:val="bullet"/>
      <w:lvlText w:val="•"/>
      <w:lvlJc w:val="left"/>
      <w:pPr>
        <w:ind w:left="3613" w:hanging="219"/>
      </w:pPr>
      <w:rPr>
        <w:rFonts w:hint="default"/>
        <w:lang w:val="es-ES" w:eastAsia="en-US" w:bidi="ar-SA"/>
      </w:rPr>
    </w:lvl>
    <w:lvl w:ilvl="5">
      <w:start w:val="0"/>
      <w:numFmt w:val="bullet"/>
      <w:lvlText w:val="•"/>
      <w:lvlJc w:val="left"/>
      <w:pPr>
        <w:ind w:left="4427" w:hanging="219"/>
      </w:pPr>
      <w:rPr>
        <w:rFonts w:hint="default"/>
        <w:lang w:val="es-ES" w:eastAsia="en-US" w:bidi="ar-SA"/>
      </w:rPr>
    </w:lvl>
    <w:lvl w:ilvl="6">
      <w:start w:val="0"/>
      <w:numFmt w:val="bullet"/>
      <w:lvlText w:val="•"/>
      <w:lvlJc w:val="left"/>
      <w:pPr>
        <w:ind w:left="5240" w:hanging="219"/>
      </w:pPr>
      <w:rPr>
        <w:rFonts w:hint="default"/>
        <w:lang w:val="es-ES" w:eastAsia="en-US" w:bidi="ar-SA"/>
      </w:rPr>
    </w:lvl>
    <w:lvl w:ilvl="7">
      <w:start w:val="0"/>
      <w:numFmt w:val="bullet"/>
      <w:lvlText w:val="•"/>
      <w:lvlJc w:val="left"/>
      <w:pPr>
        <w:ind w:left="6053" w:hanging="219"/>
      </w:pPr>
      <w:rPr>
        <w:rFonts w:hint="default"/>
        <w:lang w:val="es-ES" w:eastAsia="en-US" w:bidi="ar-SA"/>
      </w:rPr>
    </w:lvl>
    <w:lvl w:ilvl="8">
      <w:start w:val="0"/>
      <w:numFmt w:val="bullet"/>
      <w:lvlText w:val="•"/>
      <w:lvlJc w:val="left"/>
      <w:pPr>
        <w:ind w:left="6867" w:hanging="219"/>
      </w:pPr>
      <w:rPr>
        <w:rFonts w:hint="default"/>
        <w:lang w:val="es-ES" w:eastAsia="en-US" w:bidi="ar-SA"/>
      </w:rPr>
    </w:lvl>
  </w:abstractNum>
  <w:abstractNum w:abstractNumId="71">
    <w:multiLevelType w:val="hybridMultilevel"/>
    <w:lvl w:ilvl="0">
      <w:start w:val="0"/>
      <w:numFmt w:val="bullet"/>
      <w:lvlText w:val="•"/>
      <w:lvlJc w:val="left"/>
      <w:pPr>
        <w:ind w:left="325"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70">
    <w:multiLevelType w:val="hybridMultilevel"/>
    <w:lvl w:ilvl="0">
      <w:start w:val="0"/>
      <w:numFmt w:val="bullet"/>
      <w:lvlText w:val="•"/>
      <w:lvlJc w:val="left"/>
      <w:pPr>
        <w:ind w:left="324" w:hanging="218"/>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8"/>
      </w:pPr>
      <w:rPr>
        <w:rFonts w:hint="default"/>
        <w:lang w:val="es-ES" w:eastAsia="en-US" w:bidi="ar-SA"/>
      </w:rPr>
    </w:lvl>
    <w:lvl w:ilvl="2">
      <w:start w:val="0"/>
      <w:numFmt w:val="bullet"/>
      <w:lvlText w:val="•"/>
      <w:lvlJc w:val="left"/>
      <w:pPr>
        <w:ind w:left="1954" w:hanging="218"/>
      </w:pPr>
      <w:rPr>
        <w:rFonts w:hint="default"/>
        <w:lang w:val="es-ES" w:eastAsia="en-US" w:bidi="ar-SA"/>
      </w:rPr>
    </w:lvl>
    <w:lvl w:ilvl="3">
      <w:start w:val="0"/>
      <w:numFmt w:val="bullet"/>
      <w:lvlText w:val="•"/>
      <w:lvlJc w:val="left"/>
      <w:pPr>
        <w:ind w:left="2772" w:hanging="218"/>
      </w:pPr>
      <w:rPr>
        <w:rFonts w:hint="default"/>
        <w:lang w:val="es-ES" w:eastAsia="en-US" w:bidi="ar-SA"/>
      </w:rPr>
    </w:lvl>
    <w:lvl w:ilvl="4">
      <w:start w:val="0"/>
      <w:numFmt w:val="bullet"/>
      <w:lvlText w:val="•"/>
      <w:lvlJc w:val="left"/>
      <w:pPr>
        <w:ind w:left="3589" w:hanging="218"/>
      </w:pPr>
      <w:rPr>
        <w:rFonts w:hint="default"/>
        <w:lang w:val="es-ES" w:eastAsia="en-US" w:bidi="ar-SA"/>
      </w:rPr>
    </w:lvl>
    <w:lvl w:ilvl="5">
      <w:start w:val="0"/>
      <w:numFmt w:val="bullet"/>
      <w:lvlText w:val="•"/>
      <w:lvlJc w:val="left"/>
      <w:pPr>
        <w:ind w:left="4407" w:hanging="218"/>
      </w:pPr>
      <w:rPr>
        <w:rFonts w:hint="default"/>
        <w:lang w:val="es-ES" w:eastAsia="en-US" w:bidi="ar-SA"/>
      </w:rPr>
    </w:lvl>
    <w:lvl w:ilvl="6">
      <w:start w:val="0"/>
      <w:numFmt w:val="bullet"/>
      <w:lvlText w:val="•"/>
      <w:lvlJc w:val="left"/>
      <w:pPr>
        <w:ind w:left="5224" w:hanging="218"/>
      </w:pPr>
      <w:rPr>
        <w:rFonts w:hint="default"/>
        <w:lang w:val="es-ES" w:eastAsia="en-US" w:bidi="ar-SA"/>
      </w:rPr>
    </w:lvl>
    <w:lvl w:ilvl="7">
      <w:start w:val="0"/>
      <w:numFmt w:val="bullet"/>
      <w:lvlText w:val="•"/>
      <w:lvlJc w:val="left"/>
      <w:pPr>
        <w:ind w:left="6041" w:hanging="218"/>
      </w:pPr>
      <w:rPr>
        <w:rFonts w:hint="default"/>
        <w:lang w:val="es-ES" w:eastAsia="en-US" w:bidi="ar-SA"/>
      </w:rPr>
    </w:lvl>
    <w:lvl w:ilvl="8">
      <w:start w:val="0"/>
      <w:numFmt w:val="bullet"/>
      <w:lvlText w:val="•"/>
      <w:lvlJc w:val="left"/>
      <w:pPr>
        <w:ind w:left="6859" w:hanging="218"/>
      </w:pPr>
      <w:rPr>
        <w:rFonts w:hint="default"/>
        <w:lang w:val="es-ES" w:eastAsia="en-US" w:bidi="ar-SA"/>
      </w:rPr>
    </w:lvl>
  </w:abstractNum>
  <w:abstractNum w:abstractNumId="6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68">
    <w:multiLevelType w:val="hybridMultilevel"/>
    <w:lvl w:ilvl="0">
      <w:start w:val="0"/>
      <w:numFmt w:val="bullet"/>
      <w:lvlText w:val="•"/>
      <w:lvlJc w:val="left"/>
      <w:pPr>
        <w:ind w:left="313" w:hanging="20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09"/>
      </w:pPr>
      <w:rPr>
        <w:rFonts w:hint="default"/>
        <w:lang w:val="es-ES" w:eastAsia="en-US" w:bidi="ar-SA"/>
      </w:rPr>
    </w:lvl>
    <w:lvl w:ilvl="2">
      <w:start w:val="0"/>
      <w:numFmt w:val="bullet"/>
      <w:lvlText w:val="•"/>
      <w:lvlJc w:val="left"/>
      <w:pPr>
        <w:ind w:left="1954" w:hanging="209"/>
      </w:pPr>
      <w:rPr>
        <w:rFonts w:hint="default"/>
        <w:lang w:val="es-ES" w:eastAsia="en-US" w:bidi="ar-SA"/>
      </w:rPr>
    </w:lvl>
    <w:lvl w:ilvl="3">
      <w:start w:val="0"/>
      <w:numFmt w:val="bullet"/>
      <w:lvlText w:val="•"/>
      <w:lvlJc w:val="left"/>
      <w:pPr>
        <w:ind w:left="2772" w:hanging="209"/>
      </w:pPr>
      <w:rPr>
        <w:rFonts w:hint="default"/>
        <w:lang w:val="es-ES" w:eastAsia="en-US" w:bidi="ar-SA"/>
      </w:rPr>
    </w:lvl>
    <w:lvl w:ilvl="4">
      <w:start w:val="0"/>
      <w:numFmt w:val="bullet"/>
      <w:lvlText w:val="•"/>
      <w:lvlJc w:val="left"/>
      <w:pPr>
        <w:ind w:left="3589" w:hanging="209"/>
      </w:pPr>
      <w:rPr>
        <w:rFonts w:hint="default"/>
        <w:lang w:val="es-ES" w:eastAsia="en-US" w:bidi="ar-SA"/>
      </w:rPr>
    </w:lvl>
    <w:lvl w:ilvl="5">
      <w:start w:val="0"/>
      <w:numFmt w:val="bullet"/>
      <w:lvlText w:val="•"/>
      <w:lvlJc w:val="left"/>
      <w:pPr>
        <w:ind w:left="4407" w:hanging="209"/>
      </w:pPr>
      <w:rPr>
        <w:rFonts w:hint="default"/>
        <w:lang w:val="es-ES" w:eastAsia="en-US" w:bidi="ar-SA"/>
      </w:rPr>
    </w:lvl>
    <w:lvl w:ilvl="6">
      <w:start w:val="0"/>
      <w:numFmt w:val="bullet"/>
      <w:lvlText w:val="•"/>
      <w:lvlJc w:val="left"/>
      <w:pPr>
        <w:ind w:left="5224" w:hanging="209"/>
      </w:pPr>
      <w:rPr>
        <w:rFonts w:hint="default"/>
        <w:lang w:val="es-ES" w:eastAsia="en-US" w:bidi="ar-SA"/>
      </w:rPr>
    </w:lvl>
    <w:lvl w:ilvl="7">
      <w:start w:val="0"/>
      <w:numFmt w:val="bullet"/>
      <w:lvlText w:val="•"/>
      <w:lvlJc w:val="left"/>
      <w:pPr>
        <w:ind w:left="6041" w:hanging="209"/>
      </w:pPr>
      <w:rPr>
        <w:rFonts w:hint="default"/>
        <w:lang w:val="es-ES" w:eastAsia="en-US" w:bidi="ar-SA"/>
      </w:rPr>
    </w:lvl>
    <w:lvl w:ilvl="8">
      <w:start w:val="0"/>
      <w:numFmt w:val="bullet"/>
      <w:lvlText w:val="•"/>
      <w:lvlJc w:val="left"/>
      <w:pPr>
        <w:ind w:left="6859" w:hanging="209"/>
      </w:pPr>
      <w:rPr>
        <w:rFonts w:hint="default"/>
        <w:lang w:val="es-ES" w:eastAsia="en-US" w:bidi="ar-SA"/>
      </w:rPr>
    </w:lvl>
  </w:abstractNum>
  <w:abstractNum w:abstractNumId="67">
    <w:multiLevelType w:val="hybridMultilevel"/>
    <w:lvl w:ilvl="0">
      <w:start w:val="0"/>
      <w:numFmt w:val="bullet"/>
      <w:lvlText w:val="•"/>
      <w:lvlJc w:val="left"/>
      <w:pPr>
        <w:ind w:left="322" w:hanging="218"/>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8"/>
      </w:pPr>
      <w:rPr>
        <w:rFonts w:hint="default"/>
        <w:lang w:val="es-ES" w:eastAsia="en-US" w:bidi="ar-SA"/>
      </w:rPr>
    </w:lvl>
    <w:lvl w:ilvl="2">
      <w:start w:val="0"/>
      <w:numFmt w:val="bullet"/>
      <w:lvlText w:val="•"/>
      <w:lvlJc w:val="left"/>
      <w:pPr>
        <w:ind w:left="1954" w:hanging="218"/>
      </w:pPr>
      <w:rPr>
        <w:rFonts w:hint="default"/>
        <w:lang w:val="es-ES" w:eastAsia="en-US" w:bidi="ar-SA"/>
      </w:rPr>
    </w:lvl>
    <w:lvl w:ilvl="3">
      <w:start w:val="0"/>
      <w:numFmt w:val="bullet"/>
      <w:lvlText w:val="•"/>
      <w:lvlJc w:val="left"/>
      <w:pPr>
        <w:ind w:left="2772" w:hanging="218"/>
      </w:pPr>
      <w:rPr>
        <w:rFonts w:hint="default"/>
        <w:lang w:val="es-ES" w:eastAsia="en-US" w:bidi="ar-SA"/>
      </w:rPr>
    </w:lvl>
    <w:lvl w:ilvl="4">
      <w:start w:val="0"/>
      <w:numFmt w:val="bullet"/>
      <w:lvlText w:val="•"/>
      <w:lvlJc w:val="left"/>
      <w:pPr>
        <w:ind w:left="3589" w:hanging="218"/>
      </w:pPr>
      <w:rPr>
        <w:rFonts w:hint="default"/>
        <w:lang w:val="es-ES" w:eastAsia="en-US" w:bidi="ar-SA"/>
      </w:rPr>
    </w:lvl>
    <w:lvl w:ilvl="5">
      <w:start w:val="0"/>
      <w:numFmt w:val="bullet"/>
      <w:lvlText w:val="•"/>
      <w:lvlJc w:val="left"/>
      <w:pPr>
        <w:ind w:left="4407" w:hanging="218"/>
      </w:pPr>
      <w:rPr>
        <w:rFonts w:hint="default"/>
        <w:lang w:val="es-ES" w:eastAsia="en-US" w:bidi="ar-SA"/>
      </w:rPr>
    </w:lvl>
    <w:lvl w:ilvl="6">
      <w:start w:val="0"/>
      <w:numFmt w:val="bullet"/>
      <w:lvlText w:val="•"/>
      <w:lvlJc w:val="left"/>
      <w:pPr>
        <w:ind w:left="5224" w:hanging="218"/>
      </w:pPr>
      <w:rPr>
        <w:rFonts w:hint="default"/>
        <w:lang w:val="es-ES" w:eastAsia="en-US" w:bidi="ar-SA"/>
      </w:rPr>
    </w:lvl>
    <w:lvl w:ilvl="7">
      <w:start w:val="0"/>
      <w:numFmt w:val="bullet"/>
      <w:lvlText w:val="•"/>
      <w:lvlJc w:val="left"/>
      <w:pPr>
        <w:ind w:left="6041" w:hanging="218"/>
      </w:pPr>
      <w:rPr>
        <w:rFonts w:hint="default"/>
        <w:lang w:val="es-ES" w:eastAsia="en-US" w:bidi="ar-SA"/>
      </w:rPr>
    </w:lvl>
    <w:lvl w:ilvl="8">
      <w:start w:val="0"/>
      <w:numFmt w:val="bullet"/>
      <w:lvlText w:val="•"/>
      <w:lvlJc w:val="left"/>
      <w:pPr>
        <w:ind w:left="6859" w:hanging="218"/>
      </w:pPr>
      <w:rPr>
        <w:rFonts w:hint="default"/>
        <w:lang w:val="es-ES" w:eastAsia="en-US" w:bidi="ar-SA"/>
      </w:rPr>
    </w:lvl>
  </w:abstractNum>
  <w:abstractNum w:abstractNumId="6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65">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6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63">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6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61">
    <w:multiLevelType w:val="hybridMultilevel"/>
    <w:lvl w:ilvl="0">
      <w:start w:val="0"/>
      <w:numFmt w:val="bullet"/>
      <w:lvlText w:val="•"/>
      <w:lvlJc w:val="left"/>
      <w:pPr>
        <w:ind w:left="957"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756" w:hanging="219"/>
      </w:pPr>
      <w:rPr>
        <w:rFonts w:hint="default"/>
        <w:lang w:val="es-ES" w:eastAsia="en-US" w:bidi="ar-SA"/>
      </w:rPr>
    </w:lvl>
    <w:lvl w:ilvl="2">
      <w:start w:val="0"/>
      <w:numFmt w:val="bullet"/>
      <w:lvlText w:val="•"/>
      <w:lvlJc w:val="left"/>
      <w:pPr>
        <w:ind w:left="2552" w:hanging="219"/>
      </w:pPr>
      <w:rPr>
        <w:rFonts w:hint="default"/>
        <w:lang w:val="es-ES" w:eastAsia="en-US" w:bidi="ar-SA"/>
      </w:rPr>
    </w:lvl>
    <w:lvl w:ilvl="3">
      <w:start w:val="0"/>
      <w:numFmt w:val="bullet"/>
      <w:lvlText w:val="•"/>
      <w:lvlJc w:val="left"/>
      <w:pPr>
        <w:ind w:left="3349" w:hanging="219"/>
      </w:pPr>
      <w:rPr>
        <w:rFonts w:hint="default"/>
        <w:lang w:val="es-ES" w:eastAsia="en-US" w:bidi="ar-SA"/>
      </w:rPr>
    </w:lvl>
    <w:lvl w:ilvl="4">
      <w:start w:val="0"/>
      <w:numFmt w:val="bullet"/>
      <w:lvlText w:val="•"/>
      <w:lvlJc w:val="left"/>
      <w:pPr>
        <w:ind w:left="4145" w:hanging="219"/>
      </w:pPr>
      <w:rPr>
        <w:rFonts w:hint="default"/>
        <w:lang w:val="es-ES" w:eastAsia="en-US" w:bidi="ar-SA"/>
      </w:rPr>
    </w:lvl>
    <w:lvl w:ilvl="5">
      <w:start w:val="0"/>
      <w:numFmt w:val="bullet"/>
      <w:lvlText w:val="•"/>
      <w:lvlJc w:val="left"/>
      <w:pPr>
        <w:ind w:left="4942" w:hanging="219"/>
      </w:pPr>
      <w:rPr>
        <w:rFonts w:hint="default"/>
        <w:lang w:val="es-ES" w:eastAsia="en-US" w:bidi="ar-SA"/>
      </w:rPr>
    </w:lvl>
    <w:lvl w:ilvl="6">
      <w:start w:val="0"/>
      <w:numFmt w:val="bullet"/>
      <w:lvlText w:val="•"/>
      <w:lvlJc w:val="left"/>
      <w:pPr>
        <w:ind w:left="5738" w:hanging="219"/>
      </w:pPr>
      <w:rPr>
        <w:rFonts w:hint="default"/>
        <w:lang w:val="es-ES" w:eastAsia="en-US" w:bidi="ar-SA"/>
      </w:rPr>
    </w:lvl>
    <w:lvl w:ilvl="7">
      <w:start w:val="0"/>
      <w:numFmt w:val="bullet"/>
      <w:lvlText w:val="•"/>
      <w:lvlJc w:val="left"/>
      <w:pPr>
        <w:ind w:left="6534" w:hanging="219"/>
      </w:pPr>
      <w:rPr>
        <w:rFonts w:hint="default"/>
        <w:lang w:val="es-ES" w:eastAsia="en-US" w:bidi="ar-SA"/>
      </w:rPr>
    </w:lvl>
    <w:lvl w:ilvl="8">
      <w:start w:val="0"/>
      <w:numFmt w:val="bullet"/>
      <w:lvlText w:val="•"/>
      <w:lvlJc w:val="left"/>
      <w:pPr>
        <w:ind w:left="7331" w:hanging="219"/>
      </w:pPr>
      <w:rPr>
        <w:rFonts w:hint="default"/>
        <w:lang w:val="es-ES" w:eastAsia="en-US" w:bidi="ar-SA"/>
      </w:rPr>
    </w:lvl>
  </w:abstractNum>
  <w:abstractNum w:abstractNumId="60">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8">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7">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5">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4">
    <w:multiLevelType w:val="hybridMultilevel"/>
    <w:lvl w:ilvl="0">
      <w:start w:val="0"/>
      <w:numFmt w:val="bullet"/>
      <w:lvlText w:val="•"/>
      <w:lvlJc w:val="left"/>
      <w:pPr>
        <w:ind w:left="954"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756" w:hanging="219"/>
      </w:pPr>
      <w:rPr>
        <w:rFonts w:hint="default"/>
        <w:lang w:val="es-ES" w:eastAsia="en-US" w:bidi="ar-SA"/>
      </w:rPr>
    </w:lvl>
    <w:lvl w:ilvl="2">
      <w:start w:val="0"/>
      <w:numFmt w:val="bullet"/>
      <w:lvlText w:val="•"/>
      <w:lvlJc w:val="left"/>
      <w:pPr>
        <w:ind w:left="2552" w:hanging="219"/>
      </w:pPr>
      <w:rPr>
        <w:rFonts w:hint="default"/>
        <w:lang w:val="es-ES" w:eastAsia="en-US" w:bidi="ar-SA"/>
      </w:rPr>
    </w:lvl>
    <w:lvl w:ilvl="3">
      <w:start w:val="0"/>
      <w:numFmt w:val="bullet"/>
      <w:lvlText w:val="•"/>
      <w:lvlJc w:val="left"/>
      <w:pPr>
        <w:ind w:left="3349" w:hanging="219"/>
      </w:pPr>
      <w:rPr>
        <w:rFonts w:hint="default"/>
        <w:lang w:val="es-ES" w:eastAsia="en-US" w:bidi="ar-SA"/>
      </w:rPr>
    </w:lvl>
    <w:lvl w:ilvl="4">
      <w:start w:val="0"/>
      <w:numFmt w:val="bullet"/>
      <w:lvlText w:val="•"/>
      <w:lvlJc w:val="left"/>
      <w:pPr>
        <w:ind w:left="4145" w:hanging="219"/>
      </w:pPr>
      <w:rPr>
        <w:rFonts w:hint="default"/>
        <w:lang w:val="es-ES" w:eastAsia="en-US" w:bidi="ar-SA"/>
      </w:rPr>
    </w:lvl>
    <w:lvl w:ilvl="5">
      <w:start w:val="0"/>
      <w:numFmt w:val="bullet"/>
      <w:lvlText w:val="•"/>
      <w:lvlJc w:val="left"/>
      <w:pPr>
        <w:ind w:left="4942" w:hanging="219"/>
      </w:pPr>
      <w:rPr>
        <w:rFonts w:hint="default"/>
        <w:lang w:val="es-ES" w:eastAsia="en-US" w:bidi="ar-SA"/>
      </w:rPr>
    </w:lvl>
    <w:lvl w:ilvl="6">
      <w:start w:val="0"/>
      <w:numFmt w:val="bullet"/>
      <w:lvlText w:val="•"/>
      <w:lvlJc w:val="left"/>
      <w:pPr>
        <w:ind w:left="5738" w:hanging="219"/>
      </w:pPr>
      <w:rPr>
        <w:rFonts w:hint="default"/>
        <w:lang w:val="es-ES" w:eastAsia="en-US" w:bidi="ar-SA"/>
      </w:rPr>
    </w:lvl>
    <w:lvl w:ilvl="7">
      <w:start w:val="0"/>
      <w:numFmt w:val="bullet"/>
      <w:lvlText w:val="•"/>
      <w:lvlJc w:val="left"/>
      <w:pPr>
        <w:ind w:left="6534" w:hanging="219"/>
      </w:pPr>
      <w:rPr>
        <w:rFonts w:hint="default"/>
        <w:lang w:val="es-ES" w:eastAsia="en-US" w:bidi="ar-SA"/>
      </w:rPr>
    </w:lvl>
    <w:lvl w:ilvl="8">
      <w:start w:val="0"/>
      <w:numFmt w:val="bullet"/>
      <w:lvlText w:val="•"/>
      <w:lvlJc w:val="left"/>
      <w:pPr>
        <w:ind w:left="7331" w:hanging="219"/>
      </w:pPr>
      <w:rPr>
        <w:rFonts w:hint="default"/>
        <w:lang w:val="es-ES" w:eastAsia="en-US" w:bidi="ar-SA"/>
      </w:rPr>
    </w:lvl>
  </w:abstractNum>
  <w:abstractNum w:abstractNumId="53">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51">
    <w:multiLevelType w:val="hybridMultilevel"/>
    <w:lvl w:ilvl="0">
      <w:start w:val="0"/>
      <w:numFmt w:val="bullet"/>
      <w:lvlText w:val="•"/>
      <w:lvlJc w:val="left"/>
      <w:pPr>
        <w:ind w:left="323"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50">
    <w:multiLevelType w:val="hybridMultilevel"/>
    <w:lvl w:ilvl="0">
      <w:start w:val="0"/>
      <w:numFmt w:val="bullet"/>
      <w:lvlText w:val="–"/>
      <w:lvlJc w:val="left"/>
      <w:pPr>
        <w:ind w:left="956" w:hanging="220"/>
      </w:pPr>
      <w:rPr>
        <w:rFonts w:hint="default" w:ascii="Times New Roman" w:hAnsi="Times New Roman" w:eastAsia="Times New Roman" w:cs="Times New Roman"/>
        <w:b w:val="0"/>
        <w:bCs w:val="0"/>
        <w:i w:val="0"/>
        <w:iCs w:val="0"/>
        <w:color w:val="231F1F"/>
        <w:spacing w:val="0"/>
        <w:w w:val="100"/>
        <w:sz w:val="22"/>
        <w:szCs w:val="22"/>
        <w:lang w:val="es-ES" w:eastAsia="en-US" w:bidi="ar-SA"/>
      </w:rPr>
    </w:lvl>
    <w:lvl w:ilvl="1">
      <w:start w:val="0"/>
      <w:numFmt w:val="bullet"/>
      <w:lvlText w:val="•"/>
      <w:lvlJc w:val="left"/>
      <w:pPr>
        <w:ind w:left="1619" w:hanging="220"/>
      </w:pPr>
      <w:rPr>
        <w:rFonts w:hint="default"/>
        <w:lang w:val="es-ES" w:eastAsia="en-US" w:bidi="ar-SA"/>
      </w:rPr>
    </w:lvl>
    <w:lvl w:ilvl="2">
      <w:start w:val="0"/>
      <w:numFmt w:val="bullet"/>
      <w:lvlText w:val="•"/>
      <w:lvlJc w:val="left"/>
      <w:pPr>
        <w:ind w:left="2278" w:hanging="220"/>
      </w:pPr>
      <w:rPr>
        <w:rFonts w:hint="default"/>
        <w:lang w:val="es-ES" w:eastAsia="en-US" w:bidi="ar-SA"/>
      </w:rPr>
    </w:lvl>
    <w:lvl w:ilvl="3">
      <w:start w:val="0"/>
      <w:numFmt w:val="bullet"/>
      <w:lvlText w:val="•"/>
      <w:lvlJc w:val="left"/>
      <w:pPr>
        <w:ind w:left="2937" w:hanging="220"/>
      </w:pPr>
      <w:rPr>
        <w:rFonts w:hint="default"/>
        <w:lang w:val="es-ES" w:eastAsia="en-US" w:bidi="ar-SA"/>
      </w:rPr>
    </w:lvl>
    <w:lvl w:ilvl="4">
      <w:start w:val="0"/>
      <w:numFmt w:val="bullet"/>
      <w:lvlText w:val="•"/>
      <w:lvlJc w:val="left"/>
      <w:pPr>
        <w:ind w:left="3596" w:hanging="220"/>
      </w:pPr>
      <w:rPr>
        <w:rFonts w:hint="default"/>
        <w:lang w:val="es-ES" w:eastAsia="en-US" w:bidi="ar-SA"/>
      </w:rPr>
    </w:lvl>
    <w:lvl w:ilvl="5">
      <w:start w:val="0"/>
      <w:numFmt w:val="bullet"/>
      <w:lvlText w:val="•"/>
      <w:lvlJc w:val="left"/>
      <w:pPr>
        <w:ind w:left="4255" w:hanging="220"/>
      </w:pPr>
      <w:rPr>
        <w:rFonts w:hint="default"/>
        <w:lang w:val="es-ES" w:eastAsia="en-US" w:bidi="ar-SA"/>
      </w:rPr>
    </w:lvl>
    <w:lvl w:ilvl="6">
      <w:start w:val="0"/>
      <w:numFmt w:val="bullet"/>
      <w:lvlText w:val="•"/>
      <w:lvlJc w:val="left"/>
      <w:pPr>
        <w:ind w:left="4914" w:hanging="220"/>
      </w:pPr>
      <w:rPr>
        <w:rFonts w:hint="default"/>
        <w:lang w:val="es-ES" w:eastAsia="en-US" w:bidi="ar-SA"/>
      </w:rPr>
    </w:lvl>
    <w:lvl w:ilvl="7">
      <w:start w:val="0"/>
      <w:numFmt w:val="bullet"/>
      <w:lvlText w:val="•"/>
      <w:lvlJc w:val="left"/>
      <w:pPr>
        <w:ind w:left="5573" w:hanging="220"/>
      </w:pPr>
      <w:rPr>
        <w:rFonts w:hint="default"/>
        <w:lang w:val="es-ES" w:eastAsia="en-US" w:bidi="ar-SA"/>
      </w:rPr>
    </w:lvl>
    <w:lvl w:ilvl="8">
      <w:start w:val="0"/>
      <w:numFmt w:val="bullet"/>
      <w:lvlText w:val="•"/>
      <w:lvlJc w:val="left"/>
      <w:pPr>
        <w:ind w:left="6233" w:hanging="220"/>
      </w:pPr>
      <w:rPr>
        <w:rFonts w:hint="default"/>
        <w:lang w:val="es-ES" w:eastAsia="en-US" w:bidi="ar-SA"/>
      </w:rPr>
    </w:lvl>
  </w:abstractNum>
  <w:abstractNum w:abstractNumId="49">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48">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7">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5">
    <w:multiLevelType w:val="hybridMultilevel"/>
    <w:lvl w:ilvl="0">
      <w:start w:val="0"/>
      <w:numFmt w:val="bullet"/>
      <w:lvlText w:val="•"/>
      <w:lvlJc w:val="left"/>
      <w:pPr>
        <w:ind w:left="323"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4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3">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2">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41">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40">
    <w:multiLevelType w:val="hybridMultilevel"/>
    <w:lvl w:ilvl="0">
      <w:start w:val="0"/>
      <w:numFmt w:val="bullet"/>
      <w:lvlText w:val="•"/>
      <w:lvlJc w:val="left"/>
      <w:pPr>
        <w:ind w:left="325"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8">
    <w:multiLevelType w:val="hybridMultilevel"/>
    <w:lvl w:ilvl="0">
      <w:start w:val="0"/>
      <w:numFmt w:val="bullet"/>
      <w:lvlText w:val="•"/>
      <w:lvlJc w:val="left"/>
      <w:pPr>
        <w:ind w:left="955"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619" w:hanging="220"/>
      </w:pPr>
      <w:rPr>
        <w:rFonts w:hint="default"/>
        <w:lang w:val="es-ES" w:eastAsia="en-US" w:bidi="ar-SA"/>
      </w:rPr>
    </w:lvl>
    <w:lvl w:ilvl="2">
      <w:start w:val="0"/>
      <w:numFmt w:val="bullet"/>
      <w:lvlText w:val="•"/>
      <w:lvlJc w:val="left"/>
      <w:pPr>
        <w:ind w:left="2278" w:hanging="220"/>
      </w:pPr>
      <w:rPr>
        <w:rFonts w:hint="default"/>
        <w:lang w:val="es-ES" w:eastAsia="en-US" w:bidi="ar-SA"/>
      </w:rPr>
    </w:lvl>
    <w:lvl w:ilvl="3">
      <w:start w:val="0"/>
      <w:numFmt w:val="bullet"/>
      <w:lvlText w:val="•"/>
      <w:lvlJc w:val="left"/>
      <w:pPr>
        <w:ind w:left="2937" w:hanging="220"/>
      </w:pPr>
      <w:rPr>
        <w:rFonts w:hint="default"/>
        <w:lang w:val="es-ES" w:eastAsia="en-US" w:bidi="ar-SA"/>
      </w:rPr>
    </w:lvl>
    <w:lvl w:ilvl="4">
      <w:start w:val="0"/>
      <w:numFmt w:val="bullet"/>
      <w:lvlText w:val="•"/>
      <w:lvlJc w:val="left"/>
      <w:pPr>
        <w:ind w:left="3596" w:hanging="220"/>
      </w:pPr>
      <w:rPr>
        <w:rFonts w:hint="default"/>
        <w:lang w:val="es-ES" w:eastAsia="en-US" w:bidi="ar-SA"/>
      </w:rPr>
    </w:lvl>
    <w:lvl w:ilvl="5">
      <w:start w:val="0"/>
      <w:numFmt w:val="bullet"/>
      <w:lvlText w:val="•"/>
      <w:lvlJc w:val="left"/>
      <w:pPr>
        <w:ind w:left="4255" w:hanging="220"/>
      </w:pPr>
      <w:rPr>
        <w:rFonts w:hint="default"/>
        <w:lang w:val="es-ES" w:eastAsia="en-US" w:bidi="ar-SA"/>
      </w:rPr>
    </w:lvl>
    <w:lvl w:ilvl="6">
      <w:start w:val="0"/>
      <w:numFmt w:val="bullet"/>
      <w:lvlText w:val="•"/>
      <w:lvlJc w:val="left"/>
      <w:pPr>
        <w:ind w:left="4914" w:hanging="220"/>
      </w:pPr>
      <w:rPr>
        <w:rFonts w:hint="default"/>
        <w:lang w:val="es-ES" w:eastAsia="en-US" w:bidi="ar-SA"/>
      </w:rPr>
    </w:lvl>
    <w:lvl w:ilvl="7">
      <w:start w:val="0"/>
      <w:numFmt w:val="bullet"/>
      <w:lvlText w:val="•"/>
      <w:lvlJc w:val="left"/>
      <w:pPr>
        <w:ind w:left="5573" w:hanging="220"/>
      </w:pPr>
      <w:rPr>
        <w:rFonts w:hint="default"/>
        <w:lang w:val="es-ES" w:eastAsia="en-US" w:bidi="ar-SA"/>
      </w:rPr>
    </w:lvl>
    <w:lvl w:ilvl="8">
      <w:start w:val="0"/>
      <w:numFmt w:val="bullet"/>
      <w:lvlText w:val="•"/>
      <w:lvlJc w:val="left"/>
      <w:pPr>
        <w:ind w:left="6232" w:hanging="220"/>
      </w:pPr>
      <w:rPr>
        <w:rFonts w:hint="default"/>
        <w:lang w:val="es-ES" w:eastAsia="en-US" w:bidi="ar-SA"/>
      </w:rPr>
    </w:lvl>
  </w:abstractNum>
  <w:abstractNum w:abstractNumId="37">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5">
    <w:multiLevelType w:val="hybridMultilevel"/>
    <w:lvl w:ilvl="0">
      <w:start w:val="0"/>
      <w:numFmt w:val="bullet"/>
      <w:lvlText w:val="•"/>
      <w:lvlJc w:val="left"/>
      <w:pPr>
        <w:ind w:left="340"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10" w:hanging="219"/>
      </w:pPr>
      <w:rPr>
        <w:rFonts w:hint="default"/>
        <w:lang w:val="es-ES" w:eastAsia="en-US" w:bidi="ar-SA"/>
      </w:rPr>
    </w:lvl>
    <w:lvl w:ilvl="2">
      <w:start w:val="0"/>
      <w:numFmt w:val="bullet"/>
      <w:lvlText w:val="•"/>
      <w:lvlJc w:val="left"/>
      <w:pPr>
        <w:ind w:left="1880" w:hanging="219"/>
      </w:pPr>
      <w:rPr>
        <w:rFonts w:hint="default"/>
        <w:lang w:val="es-ES" w:eastAsia="en-US" w:bidi="ar-SA"/>
      </w:rPr>
    </w:lvl>
    <w:lvl w:ilvl="3">
      <w:start w:val="0"/>
      <w:numFmt w:val="bullet"/>
      <w:lvlText w:val="•"/>
      <w:lvlJc w:val="left"/>
      <w:pPr>
        <w:ind w:left="2650" w:hanging="219"/>
      </w:pPr>
      <w:rPr>
        <w:rFonts w:hint="default"/>
        <w:lang w:val="es-ES" w:eastAsia="en-US" w:bidi="ar-SA"/>
      </w:rPr>
    </w:lvl>
    <w:lvl w:ilvl="4">
      <w:start w:val="0"/>
      <w:numFmt w:val="bullet"/>
      <w:lvlText w:val="•"/>
      <w:lvlJc w:val="left"/>
      <w:pPr>
        <w:ind w:left="3420" w:hanging="219"/>
      </w:pPr>
      <w:rPr>
        <w:rFonts w:hint="default"/>
        <w:lang w:val="es-ES" w:eastAsia="en-US" w:bidi="ar-SA"/>
      </w:rPr>
    </w:lvl>
    <w:lvl w:ilvl="5">
      <w:start w:val="0"/>
      <w:numFmt w:val="bullet"/>
      <w:lvlText w:val="•"/>
      <w:lvlJc w:val="left"/>
      <w:pPr>
        <w:ind w:left="4190" w:hanging="219"/>
      </w:pPr>
      <w:rPr>
        <w:rFonts w:hint="default"/>
        <w:lang w:val="es-ES" w:eastAsia="en-US" w:bidi="ar-SA"/>
      </w:rPr>
    </w:lvl>
    <w:lvl w:ilvl="6">
      <w:start w:val="0"/>
      <w:numFmt w:val="bullet"/>
      <w:lvlText w:val="•"/>
      <w:lvlJc w:val="left"/>
      <w:pPr>
        <w:ind w:left="4960" w:hanging="219"/>
      </w:pPr>
      <w:rPr>
        <w:rFonts w:hint="default"/>
        <w:lang w:val="es-ES" w:eastAsia="en-US" w:bidi="ar-SA"/>
      </w:rPr>
    </w:lvl>
    <w:lvl w:ilvl="7">
      <w:start w:val="0"/>
      <w:numFmt w:val="bullet"/>
      <w:lvlText w:val="•"/>
      <w:lvlJc w:val="left"/>
      <w:pPr>
        <w:ind w:left="5730" w:hanging="219"/>
      </w:pPr>
      <w:rPr>
        <w:rFonts w:hint="default"/>
        <w:lang w:val="es-ES" w:eastAsia="en-US" w:bidi="ar-SA"/>
      </w:rPr>
    </w:lvl>
    <w:lvl w:ilvl="8">
      <w:start w:val="0"/>
      <w:numFmt w:val="bullet"/>
      <w:lvlText w:val="•"/>
      <w:lvlJc w:val="left"/>
      <w:pPr>
        <w:ind w:left="6500" w:hanging="219"/>
      </w:pPr>
      <w:rPr>
        <w:rFonts w:hint="default"/>
        <w:lang w:val="es-ES" w:eastAsia="en-US" w:bidi="ar-SA"/>
      </w:rPr>
    </w:lvl>
  </w:abstractNum>
  <w:abstractNum w:abstractNumId="3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3">
    <w:multiLevelType w:val="hybridMultilevel"/>
    <w:lvl w:ilvl="0">
      <w:start w:val="0"/>
      <w:numFmt w:val="bullet"/>
      <w:lvlText w:val="•"/>
      <w:lvlJc w:val="left"/>
      <w:pPr>
        <w:ind w:left="341"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10" w:hanging="219"/>
      </w:pPr>
      <w:rPr>
        <w:rFonts w:hint="default"/>
        <w:lang w:val="es-ES" w:eastAsia="en-US" w:bidi="ar-SA"/>
      </w:rPr>
    </w:lvl>
    <w:lvl w:ilvl="2">
      <w:start w:val="0"/>
      <w:numFmt w:val="bullet"/>
      <w:lvlText w:val="•"/>
      <w:lvlJc w:val="left"/>
      <w:pPr>
        <w:ind w:left="1880" w:hanging="219"/>
      </w:pPr>
      <w:rPr>
        <w:rFonts w:hint="default"/>
        <w:lang w:val="es-ES" w:eastAsia="en-US" w:bidi="ar-SA"/>
      </w:rPr>
    </w:lvl>
    <w:lvl w:ilvl="3">
      <w:start w:val="0"/>
      <w:numFmt w:val="bullet"/>
      <w:lvlText w:val="•"/>
      <w:lvlJc w:val="left"/>
      <w:pPr>
        <w:ind w:left="2650" w:hanging="219"/>
      </w:pPr>
      <w:rPr>
        <w:rFonts w:hint="default"/>
        <w:lang w:val="es-ES" w:eastAsia="en-US" w:bidi="ar-SA"/>
      </w:rPr>
    </w:lvl>
    <w:lvl w:ilvl="4">
      <w:start w:val="0"/>
      <w:numFmt w:val="bullet"/>
      <w:lvlText w:val="•"/>
      <w:lvlJc w:val="left"/>
      <w:pPr>
        <w:ind w:left="3420" w:hanging="219"/>
      </w:pPr>
      <w:rPr>
        <w:rFonts w:hint="default"/>
        <w:lang w:val="es-ES" w:eastAsia="en-US" w:bidi="ar-SA"/>
      </w:rPr>
    </w:lvl>
    <w:lvl w:ilvl="5">
      <w:start w:val="0"/>
      <w:numFmt w:val="bullet"/>
      <w:lvlText w:val="•"/>
      <w:lvlJc w:val="left"/>
      <w:pPr>
        <w:ind w:left="4190" w:hanging="219"/>
      </w:pPr>
      <w:rPr>
        <w:rFonts w:hint="default"/>
        <w:lang w:val="es-ES" w:eastAsia="en-US" w:bidi="ar-SA"/>
      </w:rPr>
    </w:lvl>
    <w:lvl w:ilvl="6">
      <w:start w:val="0"/>
      <w:numFmt w:val="bullet"/>
      <w:lvlText w:val="•"/>
      <w:lvlJc w:val="left"/>
      <w:pPr>
        <w:ind w:left="4960" w:hanging="219"/>
      </w:pPr>
      <w:rPr>
        <w:rFonts w:hint="default"/>
        <w:lang w:val="es-ES" w:eastAsia="en-US" w:bidi="ar-SA"/>
      </w:rPr>
    </w:lvl>
    <w:lvl w:ilvl="7">
      <w:start w:val="0"/>
      <w:numFmt w:val="bullet"/>
      <w:lvlText w:val="•"/>
      <w:lvlJc w:val="left"/>
      <w:pPr>
        <w:ind w:left="5730" w:hanging="219"/>
      </w:pPr>
      <w:rPr>
        <w:rFonts w:hint="default"/>
        <w:lang w:val="es-ES" w:eastAsia="en-US" w:bidi="ar-SA"/>
      </w:rPr>
    </w:lvl>
    <w:lvl w:ilvl="8">
      <w:start w:val="0"/>
      <w:numFmt w:val="bullet"/>
      <w:lvlText w:val="•"/>
      <w:lvlJc w:val="left"/>
      <w:pPr>
        <w:ind w:left="6500" w:hanging="219"/>
      </w:pPr>
      <w:rPr>
        <w:rFonts w:hint="default"/>
        <w:lang w:val="es-ES" w:eastAsia="en-US" w:bidi="ar-SA"/>
      </w:rPr>
    </w:lvl>
  </w:abstractNum>
  <w:abstractNum w:abstractNumId="3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31">
    <w:multiLevelType w:val="hybridMultilevel"/>
    <w:lvl w:ilvl="0">
      <w:start w:val="0"/>
      <w:numFmt w:val="bullet"/>
      <w:lvlText w:val="•"/>
      <w:lvlJc w:val="left"/>
      <w:pPr>
        <w:ind w:left="79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524" w:hanging="219"/>
      </w:pPr>
      <w:rPr>
        <w:rFonts w:hint="default"/>
        <w:lang w:val="es-ES" w:eastAsia="en-US" w:bidi="ar-SA"/>
      </w:rPr>
    </w:lvl>
    <w:lvl w:ilvl="2">
      <w:start w:val="0"/>
      <w:numFmt w:val="bullet"/>
      <w:lvlText w:val="•"/>
      <w:lvlJc w:val="left"/>
      <w:pPr>
        <w:ind w:left="2248" w:hanging="219"/>
      </w:pPr>
      <w:rPr>
        <w:rFonts w:hint="default"/>
        <w:lang w:val="es-ES" w:eastAsia="en-US" w:bidi="ar-SA"/>
      </w:rPr>
    </w:lvl>
    <w:lvl w:ilvl="3">
      <w:start w:val="0"/>
      <w:numFmt w:val="bullet"/>
      <w:lvlText w:val="•"/>
      <w:lvlJc w:val="left"/>
      <w:pPr>
        <w:ind w:left="2972" w:hanging="219"/>
      </w:pPr>
      <w:rPr>
        <w:rFonts w:hint="default"/>
        <w:lang w:val="es-ES" w:eastAsia="en-US" w:bidi="ar-SA"/>
      </w:rPr>
    </w:lvl>
    <w:lvl w:ilvl="4">
      <w:start w:val="0"/>
      <w:numFmt w:val="bullet"/>
      <w:lvlText w:val="•"/>
      <w:lvlJc w:val="left"/>
      <w:pPr>
        <w:ind w:left="3696" w:hanging="219"/>
      </w:pPr>
      <w:rPr>
        <w:rFonts w:hint="default"/>
        <w:lang w:val="es-ES" w:eastAsia="en-US" w:bidi="ar-SA"/>
      </w:rPr>
    </w:lvl>
    <w:lvl w:ilvl="5">
      <w:start w:val="0"/>
      <w:numFmt w:val="bullet"/>
      <w:lvlText w:val="•"/>
      <w:lvlJc w:val="left"/>
      <w:pPr>
        <w:ind w:left="4420" w:hanging="219"/>
      </w:pPr>
      <w:rPr>
        <w:rFonts w:hint="default"/>
        <w:lang w:val="es-ES" w:eastAsia="en-US" w:bidi="ar-SA"/>
      </w:rPr>
    </w:lvl>
    <w:lvl w:ilvl="6">
      <w:start w:val="0"/>
      <w:numFmt w:val="bullet"/>
      <w:lvlText w:val="•"/>
      <w:lvlJc w:val="left"/>
      <w:pPr>
        <w:ind w:left="5144" w:hanging="219"/>
      </w:pPr>
      <w:rPr>
        <w:rFonts w:hint="default"/>
        <w:lang w:val="es-ES" w:eastAsia="en-US" w:bidi="ar-SA"/>
      </w:rPr>
    </w:lvl>
    <w:lvl w:ilvl="7">
      <w:start w:val="0"/>
      <w:numFmt w:val="bullet"/>
      <w:lvlText w:val="•"/>
      <w:lvlJc w:val="left"/>
      <w:pPr>
        <w:ind w:left="5868" w:hanging="219"/>
      </w:pPr>
      <w:rPr>
        <w:rFonts w:hint="default"/>
        <w:lang w:val="es-ES" w:eastAsia="en-US" w:bidi="ar-SA"/>
      </w:rPr>
    </w:lvl>
    <w:lvl w:ilvl="8">
      <w:start w:val="0"/>
      <w:numFmt w:val="bullet"/>
      <w:lvlText w:val="•"/>
      <w:lvlJc w:val="left"/>
      <w:pPr>
        <w:ind w:left="6592" w:hanging="219"/>
      </w:pPr>
      <w:rPr>
        <w:rFonts w:hint="default"/>
        <w:lang w:val="es-ES" w:eastAsia="en-US" w:bidi="ar-SA"/>
      </w:rPr>
    </w:lvl>
  </w:abstractNum>
  <w:abstractNum w:abstractNumId="30">
    <w:multiLevelType w:val="hybridMultilevel"/>
    <w:lvl w:ilvl="0">
      <w:start w:val="0"/>
      <w:numFmt w:val="bullet"/>
      <w:lvlText w:val="•"/>
      <w:lvlJc w:val="left"/>
      <w:pPr>
        <w:ind w:left="316" w:hanging="212"/>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2"/>
      </w:pPr>
      <w:rPr>
        <w:rFonts w:hint="default"/>
        <w:lang w:val="es-ES" w:eastAsia="en-US" w:bidi="ar-SA"/>
      </w:rPr>
    </w:lvl>
    <w:lvl w:ilvl="2">
      <w:start w:val="0"/>
      <w:numFmt w:val="bullet"/>
      <w:lvlText w:val="•"/>
      <w:lvlJc w:val="left"/>
      <w:pPr>
        <w:ind w:left="1954" w:hanging="212"/>
      </w:pPr>
      <w:rPr>
        <w:rFonts w:hint="default"/>
        <w:lang w:val="es-ES" w:eastAsia="en-US" w:bidi="ar-SA"/>
      </w:rPr>
    </w:lvl>
    <w:lvl w:ilvl="3">
      <w:start w:val="0"/>
      <w:numFmt w:val="bullet"/>
      <w:lvlText w:val="•"/>
      <w:lvlJc w:val="left"/>
      <w:pPr>
        <w:ind w:left="2772" w:hanging="212"/>
      </w:pPr>
      <w:rPr>
        <w:rFonts w:hint="default"/>
        <w:lang w:val="es-ES" w:eastAsia="en-US" w:bidi="ar-SA"/>
      </w:rPr>
    </w:lvl>
    <w:lvl w:ilvl="4">
      <w:start w:val="0"/>
      <w:numFmt w:val="bullet"/>
      <w:lvlText w:val="•"/>
      <w:lvlJc w:val="left"/>
      <w:pPr>
        <w:ind w:left="3589" w:hanging="212"/>
      </w:pPr>
      <w:rPr>
        <w:rFonts w:hint="default"/>
        <w:lang w:val="es-ES" w:eastAsia="en-US" w:bidi="ar-SA"/>
      </w:rPr>
    </w:lvl>
    <w:lvl w:ilvl="5">
      <w:start w:val="0"/>
      <w:numFmt w:val="bullet"/>
      <w:lvlText w:val="•"/>
      <w:lvlJc w:val="left"/>
      <w:pPr>
        <w:ind w:left="4407" w:hanging="212"/>
      </w:pPr>
      <w:rPr>
        <w:rFonts w:hint="default"/>
        <w:lang w:val="es-ES" w:eastAsia="en-US" w:bidi="ar-SA"/>
      </w:rPr>
    </w:lvl>
    <w:lvl w:ilvl="6">
      <w:start w:val="0"/>
      <w:numFmt w:val="bullet"/>
      <w:lvlText w:val="•"/>
      <w:lvlJc w:val="left"/>
      <w:pPr>
        <w:ind w:left="5224" w:hanging="212"/>
      </w:pPr>
      <w:rPr>
        <w:rFonts w:hint="default"/>
        <w:lang w:val="es-ES" w:eastAsia="en-US" w:bidi="ar-SA"/>
      </w:rPr>
    </w:lvl>
    <w:lvl w:ilvl="7">
      <w:start w:val="0"/>
      <w:numFmt w:val="bullet"/>
      <w:lvlText w:val="•"/>
      <w:lvlJc w:val="left"/>
      <w:pPr>
        <w:ind w:left="6041" w:hanging="212"/>
      </w:pPr>
      <w:rPr>
        <w:rFonts w:hint="default"/>
        <w:lang w:val="es-ES" w:eastAsia="en-US" w:bidi="ar-SA"/>
      </w:rPr>
    </w:lvl>
    <w:lvl w:ilvl="8">
      <w:start w:val="0"/>
      <w:numFmt w:val="bullet"/>
      <w:lvlText w:val="•"/>
      <w:lvlJc w:val="left"/>
      <w:pPr>
        <w:ind w:left="6859" w:hanging="212"/>
      </w:pPr>
      <w:rPr>
        <w:rFonts w:hint="default"/>
        <w:lang w:val="es-ES" w:eastAsia="en-US" w:bidi="ar-SA"/>
      </w:rPr>
    </w:lvl>
  </w:abstractNum>
  <w:abstractNum w:abstractNumId="2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8">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7">
    <w:multiLevelType w:val="hybridMultilevel"/>
    <w:lvl w:ilvl="0">
      <w:start w:val="0"/>
      <w:numFmt w:val="bullet"/>
      <w:lvlText w:val="•"/>
      <w:lvlJc w:val="left"/>
      <w:pPr>
        <w:ind w:left="324"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20"/>
      </w:pPr>
      <w:rPr>
        <w:rFonts w:hint="default"/>
        <w:lang w:val="es-ES" w:eastAsia="en-US" w:bidi="ar-SA"/>
      </w:rPr>
    </w:lvl>
    <w:lvl w:ilvl="2">
      <w:start w:val="0"/>
      <w:numFmt w:val="bullet"/>
      <w:lvlText w:val="•"/>
      <w:lvlJc w:val="left"/>
      <w:pPr>
        <w:ind w:left="1954" w:hanging="220"/>
      </w:pPr>
      <w:rPr>
        <w:rFonts w:hint="default"/>
        <w:lang w:val="es-ES" w:eastAsia="en-US" w:bidi="ar-SA"/>
      </w:rPr>
    </w:lvl>
    <w:lvl w:ilvl="3">
      <w:start w:val="0"/>
      <w:numFmt w:val="bullet"/>
      <w:lvlText w:val="•"/>
      <w:lvlJc w:val="left"/>
      <w:pPr>
        <w:ind w:left="2772" w:hanging="220"/>
      </w:pPr>
      <w:rPr>
        <w:rFonts w:hint="default"/>
        <w:lang w:val="es-ES" w:eastAsia="en-US" w:bidi="ar-SA"/>
      </w:rPr>
    </w:lvl>
    <w:lvl w:ilvl="4">
      <w:start w:val="0"/>
      <w:numFmt w:val="bullet"/>
      <w:lvlText w:val="•"/>
      <w:lvlJc w:val="left"/>
      <w:pPr>
        <w:ind w:left="3589" w:hanging="220"/>
      </w:pPr>
      <w:rPr>
        <w:rFonts w:hint="default"/>
        <w:lang w:val="es-ES" w:eastAsia="en-US" w:bidi="ar-SA"/>
      </w:rPr>
    </w:lvl>
    <w:lvl w:ilvl="5">
      <w:start w:val="0"/>
      <w:numFmt w:val="bullet"/>
      <w:lvlText w:val="•"/>
      <w:lvlJc w:val="left"/>
      <w:pPr>
        <w:ind w:left="4407" w:hanging="220"/>
      </w:pPr>
      <w:rPr>
        <w:rFonts w:hint="default"/>
        <w:lang w:val="es-ES" w:eastAsia="en-US" w:bidi="ar-SA"/>
      </w:rPr>
    </w:lvl>
    <w:lvl w:ilvl="6">
      <w:start w:val="0"/>
      <w:numFmt w:val="bullet"/>
      <w:lvlText w:val="•"/>
      <w:lvlJc w:val="left"/>
      <w:pPr>
        <w:ind w:left="5224" w:hanging="220"/>
      </w:pPr>
      <w:rPr>
        <w:rFonts w:hint="default"/>
        <w:lang w:val="es-ES" w:eastAsia="en-US" w:bidi="ar-SA"/>
      </w:rPr>
    </w:lvl>
    <w:lvl w:ilvl="7">
      <w:start w:val="0"/>
      <w:numFmt w:val="bullet"/>
      <w:lvlText w:val="•"/>
      <w:lvlJc w:val="left"/>
      <w:pPr>
        <w:ind w:left="6041" w:hanging="220"/>
      </w:pPr>
      <w:rPr>
        <w:rFonts w:hint="default"/>
        <w:lang w:val="es-ES" w:eastAsia="en-US" w:bidi="ar-SA"/>
      </w:rPr>
    </w:lvl>
    <w:lvl w:ilvl="8">
      <w:start w:val="0"/>
      <w:numFmt w:val="bullet"/>
      <w:lvlText w:val="•"/>
      <w:lvlJc w:val="left"/>
      <w:pPr>
        <w:ind w:left="6859" w:hanging="220"/>
      </w:pPr>
      <w:rPr>
        <w:rFonts w:hint="default"/>
        <w:lang w:val="es-ES" w:eastAsia="en-US" w:bidi="ar-SA"/>
      </w:rPr>
    </w:lvl>
  </w:abstractNum>
  <w:abstractNum w:abstractNumId="26">
    <w:multiLevelType w:val="hybridMultilevel"/>
    <w:lvl w:ilvl="0">
      <w:start w:val="0"/>
      <w:numFmt w:val="bullet"/>
      <w:lvlText w:val="•"/>
      <w:lvlJc w:val="left"/>
      <w:pPr>
        <w:ind w:left="322" w:hanging="218"/>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8"/>
      </w:pPr>
      <w:rPr>
        <w:rFonts w:hint="default"/>
        <w:lang w:val="es-ES" w:eastAsia="en-US" w:bidi="ar-SA"/>
      </w:rPr>
    </w:lvl>
    <w:lvl w:ilvl="2">
      <w:start w:val="0"/>
      <w:numFmt w:val="bullet"/>
      <w:lvlText w:val="•"/>
      <w:lvlJc w:val="left"/>
      <w:pPr>
        <w:ind w:left="1954" w:hanging="218"/>
      </w:pPr>
      <w:rPr>
        <w:rFonts w:hint="default"/>
        <w:lang w:val="es-ES" w:eastAsia="en-US" w:bidi="ar-SA"/>
      </w:rPr>
    </w:lvl>
    <w:lvl w:ilvl="3">
      <w:start w:val="0"/>
      <w:numFmt w:val="bullet"/>
      <w:lvlText w:val="•"/>
      <w:lvlJc w:val="left"/>
      <w:pPr>
        <w:ind w:left="2772" w:hanging="218"/>
      </w:pPr>
      <w:rPr>
        <w:rFonts w:hint="default"/>
        <w:lang w:val="es-ES" w:eastAsia="en-US" w:bidi="ar-SA"/>
      </w:rPr>
    </w:lvl>
    <w:lvl w:ilvl="4">
      <w:start w:val="0"/>
      <w:numFmt w:val="bullet"/>
      <w:lvlText w:val="•"/>
      <w:lvlJc w:val="left"/>
      <w:pPr>
        <w:ind w:left="3589" w:hanging="218"/>
      </w:pPr>
      <w:rPr>
        <w:rFonts w:hint="default"/>
        <w:lang w:val="es-ES" w:eastAsia="en-US" w:bidi="ar-SA"/>
      </w:rPr>
    </w:lvl>
    <w:lvl w:ilvl="5">
      <w:start w:val="0"/>
      <w:numFmt w:val="bullet"/>
      <w:lvlText w:val="•"/>
      <w:lvlJc w:val="left"/>
      <w:pPr>
        <w:ind w:left="4407" w:hanging="218"/>
      </w:pPr>
      <w:rPr>
        <w:rFonts w:hint="default"/>
        <w:lang w:val="es-ES" w:eastAsia="en-US" w:bidi="ar-SA"/>
      </w:rPr>
    </w:lvl>
    <w:lvl w:ilvl="6">
      <w:start w:val="0"/>
      <w:numFmt w:val="bullet"/>
      <w:lvlText w:val="•"/>
      <w:lvlJc w:val="left"/>
      <w:pPr>
        <w:ind w:left="5224" w:hanging="218"/>
      </w:pPr>
      <w:rPr>
        <w:rFonts w:hint="default"/>
        <w:lang w:val="es-ES" w:eastAsia="en-US" w:bidi="ar-SA"/>
      </w:rPr>
    </w:lvl>
    <w:lvl w:ilvl="7">
      <w:start w:val="0"/>
      <w:numFmt w:val="bullet"/>
      <w:lvlText w:val="•"/>
      <w:lvlJc w:val="left"/>
      <w:pPr>
        <w:ind w:left="6041" w:hanging="218"/>
      </w:pPr>
      <w:rPr>
        <w:rFonts w:hint="default"/>
        <w:lang w:val="es-ES" w:eastAsia="en-US" w:bidi="ar-SA"/>
      </w:rPr>
    </w:lvl>
    <w:lvl w:ilvl="8">
      <w:start w:val="0"/>
      <w:numFmt w:val="bullet"/>
      <w:lvlText w:val="•"/>
      <w:lvlJc w:val="left"/>
      <w:pPr>
        <w:ind w:left="6859" w:hanging="218"/>
      </w:pPr>
      <w:rPr>
        <w:rFonts w:hint="default"/>
        <w:lang w:val="es-ES" w:eastAsia="en-US" w:bidi="ar-SA"/>
      </w:rPr>
    </w:lvl>
  </w:abstractNum>
  <w:abstractNum w:abstractNumId="25">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3">
    <w:multiLevelType w:val="hybridMultilevel"/>
    <w:lvl w:ilvl="0">
      <w:start w:val="5"/>
      <w:numFmt w:val="decimal"/>
      <w:lvlText w:val="%1"/>
      <w:lvlJc w:val="left"/>
      <w:pPr>
        <w:ind w:left="1161" w:hanging="878"/>
        <w:jc w:val="left"/>
      </w:pPr>
      <w:rPr>
        <w:rFonts w:hint="default"/>
        <w:lang w:val="es-ES" w:eastAsia="en-US" w:bidi="ar-SA"/>
      </w:rPr>
    </w:lvl>
    <w:lvl w:ilvl="1">
      <w:start w:val="5"/>
      <w:numFmt w:val="decimal"/>
      <w:lvlText w:val="%1.%2"/>
      <w:lvlJc w:val="left"/>
      <w:pPr>
        <w:ind w:left="1161" w:hanging="878"/>
        <w:jc w:val="left"/>
      </w:pPr>
      <w:rPr>
        <w:rFonts w:hint="default"/>
        <w:lang w:val="es-ES" w:eastAsia="en-US" w:bidi="ar-SA"/>
      </w:rPr>
    </w:lvl>
    <w:lvl w:ilvl="2">
      <w:start w:val="2"/>
      <w:numFmt w:val="decimal"/>
      <w:lvlText w:val="%1.%2.%3."/>
      <w:lvlJc w:val="left"/>
      <w:pPr>
        <w:ind w:left="1161" w:hanging="878"/>
        <w:jc w:val="left"/>
      </w:pPr>
      <w:rPr>
        <w:rFonts w:hint="default"/>
        <w:spacing w:val="-2"/>
        <w:w w:val="100"/>
        <w:lang w:val="es-ES" w:eastAsia="en-US" w:bidi="ar-SA"/>
      </w:rPr>
    </w:lvl>
    <w:lvl w:ilvl="3">
      <w:start w:val="0"/>
      <w:numFmt w:val="bullet"/>
      <w:lvlText w:val="•"/>
      <w:lvlJc w:val="left"/>
      <w:pPr>
        <w:ind w:left="3489" w:hanging="878"/>
      </w:pPr>
      <w:rPr>
        <w:rFonts w:hint="default"/>
        <w:lang w:val="es-ES" w:eastAsia="en-US" w:bidi="ar-SA"/>
      </w:rPr>
    </w:lvl>
    <w:lvl w:ilvl="4">
      <w:start w:val="0"/>
      <w:numFmt w:val="bullet"/>
      <w:lvlText w:val="•"/>
      <w:lvlJc w:val="left"/>
      <w:pPr>
        <w:ind w:left="4265" w:hanging="878"/>
      </w:pPr>
      <w:rPr>
        <w:rFonts w:hint="default"/>
        <w:lang w:val="es-ES" w:eastAsia="en-US" w:bidi="ar-SA"/>
      </w:rPr>
    </w:lvl>
    <w:lvl w:ilvl="5">
      <w:start w:val="0"/>
      <w:numFmt w:val="bullet"/>
      <w:lvlText w:val="•"/>
      <w:lvlJc w:val="left"/>
      <w:pPr>
        <w:ind w:left="5042" w:hanging="878"/>
      </w:pPr>
      <w:rPr>
        <w:rFonts w:hint="default"/>
        <w:lang w:val="es-ES" w:eastAsia="en-US" w:bidi="ar-SA"/>
      </w:rPr>
    </w:lvl>
    <w:lvl w:ilvl="6">
      <w:start w:val="0"/>
      <w:numFmt w:val="bullet"/>
      <w:lvlText w:val="•"/>
      <w:lvlJc w:val="left"/>
      <w:pPr>
        <w:ind w:left="5818" w:hanging="878"/>
      </w:pPr>
      <w:rPr>
        <w:rFonts w:hint="default"/>
        <w:lang w:val="es-ES" w:eastAsia="en-US" w:bidi="ar-SA"/>
      </w:rPr>
    </w:lvl>
    <w:lvl w:ilvl="7">
      <w:start w:val="0"/>
      <w:numFmt w:val="bullet"/>
      <w:lvlText w:val="•"/>
      <w:lvlJc w:val="left"/>
      <w:pPr>
        <w:ind w:left="6594" w:hanging="878"/>
      </w:pPr>
      <w:rPr>
        <w:rFonts w:hint="default"/>
        <w:lang w:val="es-ES" w:eastAsia="en-US" w:bidi="ar-SA"/>
      </w:rPr>
    </w:lvl>
    <w:lvl w:ilvl="8">
      <w:start w:val="0"/>
      <w:numFmt w:val="bullet"/>
      <w:lvlText w:val="•"/>
      <w:lvlJc w:val="left"/>
      <w:pPr>
        <w:ind w:left="7371" w:hanging="878"/>
      </w:pPr>
      <w:rPr>
        <w:rFonts w:hint="default"/>
        <w:lang w:val="es-ES" w:eastAsia="en-US" w:bidi="ar-SA"/>
      </w:rPr>
    </w:lvl>
  </w:abstractNum>
  <w:abstractNum w:abstractNumId="2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1">
    <w:multiLevelType w:val="hybridMultilevel"/>
    <w:lvl w:ilvl="0">
      <w:start w:val="0"/>
      <w:numFmt w:val="bullet"/>
      <w:lvlText w:val="•"/>
      <w:lvlJc w:val="left"/>
      <w:pPr>
        <w:ind w:left="324"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20">
    <w:multiLevelType w:val="hybridMultilevel"/>
    <w:lvl w:ilvl="0">
      <w:start w:val="0"/>
      <w:numFmt w:val="bullet"/>
      <w:lvlText w:val="•"/>
      <w:lvlJc w:val="left"/>
      <w:pPr>
        <w:ind w:left="325" w:hanging="218"/>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8"/>
      </w:pPr>
      <w:rPr>
        <w:rFonts w:hint="default"/>
        <w:lang w:val="es-ES" w:eastAsia="en-US" w:bidi="ar-SA"/>
      </w:rPr>
    </w:lvl>
    <w:lvl w:ilvl="2">
      <w:start w:val="0"/>
      <w:numFmt w:val="bullet"/>
      <w:lvlText w:val="•"/>
      <w:lvlJc w:val="left"/>
      <w:pPr>
        <w:ind w:left="1954" w:hanging="218"/>
      </w:pPr>
      <w:rPr>
        <w:rFonts w:hint="default"/>
        <w:lang w:val="es-ES" w:eastAsia="en-US" w:bidi="ar-SA"/>
      </w:rPr>
    </w:lvl>
    <w:lvl w:ilvl="3">
      <w:start w:val="0"/>
      <w:numFmt w:val="bullet"/>
      <w:lvlText w:val="•"/>
      <w:lvlJc w:val="left"/>
      <w:pPr>
        <w:ind w:left="2772" w:hanging="218"/>
      </w:pPr>
      <w:rPr>
        <w:rFonts w:hint="default"/>
        <w:lang w:val="es-ES" w:eastAsia="en-US" w:bidi="ar-SA"/>
      </w:rPr>
    </w:lvl>
    <w:lvl w:ilvl="4">
      <w:start w:val="0"/>
      <w:numFmt w:val="bullet"/>
      <w:lvlText w:val="•"/>
      <w:lvlJc w:val="left"/>
      <w:pPr>
        <w:ind w:left="3589" w:hanging="218"/>
      </w:pPr>
      <w:rPr>
        <w:rFonts w:hint="default"/>
        <w:lang w:val="es-ES" w:eastAsia="en-US" w:bidi="ar-SA"/>
      </w:rPr>
    </w:lvl>
    <w:lvl w:ilvl="5">
      <w:start w:val="0"/>
      <w:numFmt w:val="bullet"/>
      <w:lvlText w:val="•"/>
      <w:lvlJc w:val="left"/>
      <w:pPr>
        <w:ind w:left="4407" w:hanging="218"/>
      </w:pPr>
      <w:rPr>
        <w:rFonts w:hint="default"/>
        <w:lang w:val="es-ES" w:eastAsia="en-US" w:bidi="ar-SA"/>
      </w:rPr>
    </w:lvl>
    <w:lvl w:ilvl="6">
      <w:start w:val="0"/>
      <w:numFmt w:val="bullet"/>
      <w:lvlText w:val="•"/>
      <w:lvlJc w:val="left"/>
      <w:pPr>
        <w:ind w:left="5224" w:hanging="218"/>
      </w:pPr>
      <w:rPr>
        <w:rFonts w:hint="default"/>
        <w:lang w:val="es-ES" w:eastAsia="en-US" w:bidi="ar-SA"/>
      </w:rPr>
    </w:lvl>
    <w:lvl w:ilvl="7">
      <w:start w:val="0"/>
      <w:numFmt w:val="bullet"/>
      <w:lvlText w:val="•"/>
      <w:lvlJc w:val="left"/>
      <w:pPr>
        <w:ind w:left="6041" w:hanging="218"/>
      </w:pPr>
      <w:rPr>
        <w:rFonts w:hint="default"/>
        <w:lang w:val="es-ES" w:eastAsia="en-US" w:bidi="ar-SA"/>
      </w:rPr>
    </w:lvl>
    <w:lvl w:ilvl="8">
      <w:start w:val="0"/>
      <w:numFmt w:val="bullet"/>
      <w:lvlText w:val="•"/>
      <w:lvlJc w:val="left"/>
      <w:pPr>
        <w:ind w:left="6859" w:hanging="218"/>
      </w:pPr>
      <w:rPr>
        <w:rFonts w:hint="default"/>
        <w:lang w:val="es-ES" w:eastAsia="en-US" w:bidi="ar-SA"/>
      </w:rPr>
    </w:lvl>
  </w:abstractNum>
  <w:abstractNum w:abstractNumId="19">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8">
    <w:multiLevelType w:val="hybridMultilevel"/>
    <w:lvl w:ilvl="0">
      <w:start w:val="0"/>
      <w:numFmt w:val="bullet"/>
      <w:lvlText w:val="•"/>
      <w:lvlJc w:val="left"/>
      <w:pPr>
        <w:ind w:left="340"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o"/>
      <w:lvlJc w:val="left"/>
      <w:pPr>
        <w:ind w:left="806" w:hanging="232"/>
      </w:pPr>
      <w:rPr>
        <w:rFonts w:hint="default" w:ascii="Times New Roman" w:hAnsi="Times New Roman" w:eastAsia="Times New Roman" w:cs="Times New Roman"/>
        <w:b w:val="0"/>
        <w:bCs w:val="0"/>
        <w:i w:val="0"/>
        <w:iCs w:val="0"/>
        <w:color w:val="231F1F"/>
        <w:spacing w:val="0"/>
        <w:w w:val="109"/>
        <w:sz w:val="22"/>
        <w:szCs w:val="22"/>
        <w:lang w:val="es-ES" w:eastAsia="en-US" w:bidi="ar-SA"/>
      </w:rPr>
    </w:lvl>
    <w:lvl w:ilvl="2">
      <w:start w:val="0"/>
      <w:numFmt w:val="bullet"/>
      <w:lvlText w:val="•"/>
      <w:lvlJc w:val="left"/>
      <w:pPr>
        <w:ind w:left="1604" w:hanging="232"/>
      </w:pPr>
      <w:rPr>
        <w:rFonts w:hint="default"/>
        <w:lang w:val="es-ES" w:eastAsia="en-US" w:bidi="ar-SA"/>
      </w:rPr>
    </w:lvl>
    <w:lvl w:ilvl="3">
      <w:start w:val="0"/>
      <w:numFmt w:val="bullet"/>
      <w:lvlText w:val="•"/>
      <w:lvlJc w:val="left"/>
      <w:pPr>
        <w:ind w:left="2408" w:hanging="232"/>
      </w:pPr>
      <w:rPr>
        <w:rFonts w:hint="default"/>
        <w:lang w:val="es-ES" w:eastAsia="en-US" w:bidi="ar-SA"/>
      </w:rPr>
    </w:lvl>
    <w:lvl w:ilvl="4">
      <w:start w:val="0"/>
      <w:numFmt w:val="bullet"/>
      <w:lvlText w:val="•"/>
      <w:lvlJc w:val="left"/>
      <w:pPr>
        <w:ind w:left="3213" w:hanging="232"/>
      </w:pPr>
      <w:rPr>
        <w:rFonts w:hint="default"/>
        <w:lang w:val="es-ES" w:eastAsia="en-US" w:bidi="ar-SA"/>
      </w:rPr>
    </w:lvl>
    <w:lvl w:ilvl="5">
      <w:start w:val="0"/>
      <w:numFmt w:val="bullet"/>
      <w:lvlText w:val="•"/>
      <w:lvlJc w:val="left"/>
      <w:pPr>
        <w:ind w:left="4017" w:hanging="232"/>
      </w:pPr>
      <w:rPr>
        <w:rFonts w:hint="default"/>
        <w:lang w:val="es-ES" w:eastAsia="en-US" w:bidi="ar-SA"/>
      </w:rPr>
    </w:lvl>
    <w:lvl w:ilvl="6">
      <w:start w:val="0"/>
      <w:numFmt w:val="bullet"/>
      <w:lvlText w:val="•"/>
      <w:lvlJc w:val="left"/>
      <w:pPr>
        <w:ind w:left="4822" w:hanging="232"/>
      </w:pPr>
      <w:rPr>
        <w:rFonts w:hint="default"/>
        <w:lang w:val="es-ES" w:eastAsia="en-US" w:bidi="ar-SA"/>
      </w:rPr>
    </w:lvl>
    <w:lvl w:ilvl="7">
      <w:start w:val="0"/>
      <w:numFmt w:val="bullet"/>
      <w:lvlText w:val="•"/>
      <w:lvlJc w:val="left"/>
      <w:pPr>
        <w:ind w:left="5626" w:hanging="232"/>
      </w:pPr>
      <w:rPr>
        <w:rFonts w:hint="default"/>
        <w:lang w:val="es-ES" w:eastAsia="en-US" w:bidi="ar-SA"/>
      </w:rPr>
    </w:lvl>
    <w:lvl w:ilvl="8">
      <w:start w:val="0"/>
      <w:numFmt w:val="bullet"/>
      <w:lvlText w:val="•"/>
      <w:lvlJc w:val="left"/>
      <w:pPr>
        <w:ind w:left="6431" w:hanging="232"/>
      </w:pPr>
      <w:rPr>
        <w:rFonts w:hint="default"/>
        <w:lang w:val="es-ES" w:eastAsia="en-US" w:bidi="ar-SA"/>
      </w:rPr>
    </w:lvl>
  </w:abstractNum>
  <w:abstractNum w:abstractNumId="17">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6">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5">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4">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3">
    <w:multiLevelType w:val="hybridMultilevel"/>
    <w:lvl w:ilvl="0">
      <w:start w:val="0"/>
      <w:numFmt w:val="bullet"/>
      <w:lvlText w:val="–"/>
      <w:lvlJc w:val="left"/>
      <w:pPr>
        <w:ind w:left="956" w:hanging="220"/>
      </w:pPr>
      <w:rPr>
        <w:rFonts w:hint="default" w:ascii="Times New Roman" w:hAnsi="Times New Roman" w:eastAsia="Times New Roman" w:cs="Times New Roman"/>
        <w:b w:val="0"/>
        <w:bCs w:val="0"/>
        <w:i w:val="0"/>
        <w:iCs w:val="0"/>
        <w:color w:val="231F1F"/>
        <w:spacing w:val="0"/>
        <w:w w:val="100"/>
        <w:sz w:val="22"/>
        <w:szCs w:val="22"/>
        <w:lang w:val="es-ES" w:eastAsia="en-US" w:bidi="ar-SA"/>
      </w:rPr>
    </w:lvl>
    <w:lvl w:ilvl="1">
      <w:start w:val="0"/>
      <w:numFmt w:val="bullet"/>
      <w:lvlText w:val="•"/>
      <w:lvlJc w:val="left"/>
      <w:pPr>
        <w:ind w:left="1619" w:hanging="220"/>
      </w:pPr>
      <w:rPr>
        <w:rFonts w:hint="default"/>
        <w:lang w:val="es-ES" w:eastAsia="en-US" w:bidi="ar-SA"/>
      </w:rPr>
    </w:lvl>
    <w:lvl w:ilvl="2">
      <w:start w:val="0"/>
      <w:numFmt w:val="bullet"/>
      <w:lvlText w:val="•"/>
      <w:lvlJc w:val="left"/>
      <w:pPr>
        <w:ind w:left="2279" w:hanging="220"/>
      </w:pPr>
      <w:rPr>
        <w:rFonts w:hint="default"/>
        <w:lang w:val="es-ES" w:eastAsia="en-US" w:bidi="ar-SA"/>
      </w:rPr>
    </w:lvl>
    <w:lvl w:ilvl="3">
      <w:start w:val="0"/>
      <w:numFmt w:val="bullet"/>
      <w:lvlText w:val="•"/>
      <w:lvlJc w:val="left"/>
      <w:pPr>
        <w:ind w:left="2938" w:hanging="220"/>
      </w:pPr>
      <w:rPr>
        <w:rFonts w:hint="default"/>
        <w:lang w:val="es-ES" w:eastAsia="en-US" w:bidi="ar-SA"/>
      </w:rPr>
    </w:lvl>
    <w:lvl w:ilvl="4">
      <w:start w:val="0"/>
      <w:numFmt w:val="bullet"/>
      <w:lvlText w:val="•"/>
      <w:lvlJc w:val="left"/>
      <w:pPr>
        <w:ind w:left="3598" w:hanging="220"/>
      </w:pPr>
      <w:rPr>
        <w:rFonts w:hint="default"/>
        <w:lang w:val="es-ES" w:eastAsia="en-US" w:bidi="ar-SA"/>
      </w:rPr>
    </w:lvl>
    <w:lvl w:ilvl="5">
      <w:start w:val="0"/>
      <w:numFmt w:val="bullet"/>
      <w:lvlText w:val="•"/>
      <w:lvlJc w:val="left"/>
      <w:pPr>
        <w:ind w:left="4257" w:hanging="220"/>
      </w:pPr>
      <w:rPr>
        <w:rFonts w:hint="default"/>
        <w:lang w:val="es-ES" w:eastAsia="en-US" w:bidi="ar-SA"/>
      </w:rPr>
    </w:lvl>
    <w:lvl w:ilvl="6">
      <w:start w:val="0"/>
      <w:numFmt w:val="bullet"/>
      <w:lvlText w:val="•"/>
      <w:lvlJc w:val="left"/>
      <w:pPr>
        <w:ind w:left="4917" w:hanging="220"/>
      </w:pPr>
      <w:rPr>
        <w:rFonts w:hint="default"/>
        <w:lang w:val="es-ES" w:eastAsia="en-US" w:bidi="ar-SA"/>
      </w:rPr>
    </w:lvl>
    <w:lvl w:ilvl="7">
      <w:start w:val="0"/>
      <w:numFmt w:val="bullet"/>
      <w:lvlText w:val="•"/>
      <w:lvlJc w:val="left"/>
      <w:pPr>
        <w:ind w:left="5576" w:hanging="220"/>
      </w:pPr>
      <w:rPr>
        <w:rFonts w:hint="default"/>
        <w:lang w:val="es-ES" w:eastAsia="en-US" w:bidi="ar-SA"/>
      </w:rPr>
    </w:lvl>
    <w:lvl w:ilvl="8">
      <w:start w:val="0"/>
      <w:numFmt w:val="bullet"/>
      <w:lvlText w:val="•"/>
      <w:lvlJc w:val="left"/>
      <w:pPr>
        <w:ind w:left="6236" w:hanging="220"/>
      </w:pPr>
      <w:rPr>
        <w:rFonts w:hint="default"/>
        <w:lang w:val="es-ES" w:eastAsia="en-US" w:bidi="ar-SA"/>
      </w:rPr>
    </w:lvl>
  </w:abstractNum>
  <w:abstractNum w:abstractNumId="12">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1">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10">
    <w:multiLevelType w:val="hybridMultilevel"/>
    <w:lvl w:ilvl="0">
      <w:start w:val="0"/>
      <w:numFmt w:val="bullet"/>
      <w:lvlText w:val="•"/>
      <w:lvlJc w:val="left"/>
      <w:pPr>
        <w:ind w:left="323"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137" w:hanging="219"/>
      </w:pPr>
      <w:rPr>
        <w:rFonts w:hint="default"/>
        <w:lang w:val="es-ES" w:eastAsia="en-US" w:bidi="ar-SA"/>
      </w:rPr>
    </w:lvl>
    <w:lvl w:ilvl="2">
      <w:start w:val="0"/>
      <w:numFmt w:val="bullet"/>
      <w:lvlText w:val="•"/>
      <w:lvlJc w:val="left"/>
      <w:pPr>
        <w:ind w:left="1954" w:hanging="219"/>
      </w:pPr>
      <w:rPr>
        <w:rFonts w:hint="default"/>
        <w:lang w:val="es-ES" w:eastAsia="en-US" w:bidi="ar-SA"/>
      </w:rPr>
    </w:lvl>
    <w:lvl w:ilvl="3">
      <w:start w:val="0"/>
      <w:numFmt w:val="bullet"/>
      <w:lvlText w:val="•"/>
      <w:lvlJc w:val="left"/>
      <w:pPr>
        <w:ind w:left="2772" w:hanging="219"/>
      </w:pPr>
      <w:rPr>
        <w:rFonts w:hint="default"/>
        <w:lang w:val="es-ES" w:eastAsia="en-US" w:bidi="ar-SA"/>
      </w:rPr>
    </w:lvl>
    <w:lvl w:ilvl="4">
      <w:start w:val="0"/>
      <w:numFmt w:val="bullet"/>
      <w:lvlText w:val="•"/>
      <w:lvlJc w:val="left"/>
      <w:pPr>
        <w:ind w:left="3589" w:hanging="219"/>
      </w:pPr>
      <w:rPr>
        <w:rFonts w:hint="default"/>
        <w:lang w:val="es-ES" w:eastAsia="en-US" w:bidi="ar-SA"/>
      </w:rPr>
    </w:lvl>
    <w:lvl w:ilvl="5">
      <w:start w:val="0"/>
      <w:numFmt w:val="bullet"/>
      <w:lvlText w:val="•"/>
      <w:lvlJc w:val="left"/>
      <w:pPr>
        <w:ind w:left="4407" w:hanging="219"/>
      </w:pPr>
      <w:rPr>
        <w:rFonts w:hint="default"/>
        <w:lang w:val="es-ES" w:eastAsia="en-US" w:bidi="ar-SA"/>
      </w:rPr>
    </w:lvl>
    <w:lvl w:ilvl="6">
      <w:start w:val="0"/>
      <w:numFmt w:val="bullet"/>
      <w:lvlText w:val="•"/>
      <w:lvlJc w:val="left"/>
      <w:pPr>
        <w:ind w:left="5224" w:hanging="219"/>
      </w:pPr>
      <w:rPr>
        <w:rFonts w:hint="default"/>
        <w:lang w:val="es-ES" w:eastAsia="en-US" w:bidi="ar-SA"/>
      </w:rPr>
    </w:lvl>
    <w:lvl w:ilvl="7">
      <w:start w:val="0"/>
      <w:numFmt w:val="bullet"/>
      <w:lvlText w:val="•"/>
      <w:lvlJc w:val="left"/>
      <w:pPr>
        <w:ind w:left="6041" w:hanging="219"/>
      </w:pPr>
      <w:rPr>
        <w:rFonts w:hint="default"/>
        <w:lang w:val="es-ES" w:eastAsia="en-US" w:bidi="ar-SA"/>
      </w:rPr>
    </w:lvl>
    <w:lvl w:ilvl="8">
      <w:start w:val="0"/>
      <w:numFmt w:val="bullet"/>
      <w:lvlText w:val="•"/>
      <w:lvlJc w:val="left"/>
      <w:pPr>
        <w:ind w:left="6859" w:hanging="219"/>
      </w:pPr>
      <w:rPr>
        <w:rFonts w:hint="default"/>
        <w:lang w:val="es-ES" w:eastAsia="en-US" w:bidi="ar-SA"/>
      </w:rPr>
    </w:lvl>
  </w:abstractNum>
  <w:abstractNum w:abstractNumId="9">
    <w:multiLevelType w:val="hybridMultilevel"/>
    <w:lvl w:ilvl="0">
      <w:start w:val="0"/>
      <w:numFmt w:val="bullet"/>
      <w:lvlText w:val="•"/>
      <w:lvlJc w:val="left"/>
      <w:pPr>
        <w:ind w:left="954"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756" w:hanging="219"/>
      </w:pPr>
      <w:rPr>
        <w:rFonts w:hint="default"/>
        <w:lang w:val="es-ES" w:eastAsia="en-US" w:bidi="ar-SA"/>
      </w:rPr>
    </w:lvl>
    <w:lvl w:ilvl="2">
      <w:start w:val="0"/>
      <w:numFmt w:val="bullet"/>
      <w:lvlText w:val="•"/>
      <w:lvlJc w:val="left"/>
      <w:pPr>
        <w:ind w:left="2552" w:hanging="219"/>
      </w:pPr>
      <w:rPr>
        <w:rFonts w:hint="default"/>
        <w:lang w:val="es-ES" w:eastAsia="en-US" w:bidi="ar-SA"/>
      </w:rPr>
    </w:lvl>
    <w:lvl w:ilvl="3">
      <w:start w:val="0"/>
      <w:numFmt w:val="bullet"/>
      <w:lvlText w:val="•"/>
      <w:lvlJc w:val="left"/>
      <w:pPr>
        <w:ind w:left="3349" w:hanging="219"/>
      </w:pPr>
      <w:rPr>
        <w:rFonts w:hint="default"/>
        <w:lang w:val="es-ES" w:eastAsia="en-US" w:bidi="ar-SA"/>
      </w:rPr>
    </w:lvl>
    <w:lvl w:ilvl="4">
      <w:start w:val="0"/>
      <w:numFmt w:val="bullet"/>
      <w:lvlText w:val="•"/>
      <w:lvlJc w:val="left"/>
      <w:pPr>
        <w:ind w:left="4145" w:hanging="219"/>
      </w:pPr>
      <w:rPr>
        <w:rFonts w:hint="default"/>
        <w:lang w:val="es-ES" w:eastAsia="en-US" w:bidi="ar-SA"/>
      </w:rPr>
    </w:lvl>
    <w:lvl w:ilvl="5">
      <w:start w:val="0"/>
      <w:numFmt w:val="bullet"/>
      <w:lvlText w:val="•"/>
      <w:lvlJc w:val="left"/>
      <w:pPr>
        <w:ind w:left="4942" w:hanging="219"/>
      </w:pPr>
      <w:rPr>
        <w:rFonts w:hint="default"/>
        <w:lang w:val="es-ES" w:eastAsia="en-US" w:bidi="ar-SA"/>
      </w:rPr>
    </w:lvl>
    <w:lvl w:ilvl="6">
      <w:start w:val="0"/>
      <w:numFmt w:val="bullet"/>
      <w:lvlText w:val="•"/>
      <w:lvlJc w:val="left"/>
      <w:pPr>
        <w:ind w:left="5738" w:hanging="219"/>
      </w:pPr>
      <w:rPr>
        <w:rFonts w:hint="default"/>
        <w:lang w:val="es-ES" w:eastAsia="en-US" w:bidi="ar-SA"/>
      </w:rPr>
    </w:lvl>
    <w:lvl w:ilvl="7">
      <w:start w:val="0"/>
      <w:numFmt w:val="bullet"/>
      <w:lvlText w:val="•"/>
      <w:lvlJc w:val="left"/>
      <w:pPr>
        <w:ind w:left="6534" w:hanging="219"/>
      </w:pPr>
      <w:rPr>
        <w:rFonts w:hint="default"/>
        <w:lang w:val="es-ES" w:eastAsia="en-US" w:bidi="ar-SA"/>
      </w:rPr>
    </w:lvl>
    <w:lvl w:ilvl="8">
      <w:start w:val="0"/>
      <w:numFmt w:val="bullet"/>
      <w:lvlText w:val="•"/>
      <w:lvlJc w:val="left"/>
      <w:pPr>
        <w:ind w:left="7331" w:hanging="219"/>
      </w:pPr>
      <w:rPr>
        <w:rFonts w:hint="default"/>
        <w:lang w:val="es-ES" w:eastAsia="en-US" w:bidi="ar-SA"/>
      </w:rPr>
    </w:lvl>
  </w:abstractNum>
  <w:abstractNum w:abstractNumId="8">
    <w:multiLevelType w:val="hybridMultilevel"/>
    <w:lvl w:ilvl="0">
      <w:start w:val="0"/>
      <w:numFmt w:val="bullet"/>
      <w:lvlText w:val="•"/>
      <w:lvlJc w:val="left"/>
      <w:pPr>
        <w:ind w:left="790"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512" w:hanging="220"/>
      </w:pPr>
      <w:rPr>
        <w:rFonts w:hint="default"/>
        <w:lang w:val="es-ES" w:eastAsia="en-US" w:bidi="ar-SA"/>
      </w:rPr>
    </w:lvl>
    <w:lvl w:ilvl="2">
      <w:start w:val="0"/>
      <w:numFmt w:val="bullet"/>
      <w:lvlText w:val="•"/>
      <w:lvlJc w:val="left"/>
      <w:pPr>
        <w:ind w:left="2224" w:hanging="220"/>
      </w:pPr>
      <w:rPr>
        <w:rFonts w:hint="default"/>
        <w:lang w:val="es-ES" w:eastAsia="en-US" w:bidi="ar-SA"/>
      </w:rPr>
    </w:lvl>
    <w:lvl w:ilvl="3">
      <w:start w:val="0"/>
      <w:numFmt w:val="bullet"/>
      <w:lvlText w:val="•"/>
      <w:lvlJc w:val="left"/>
      <w:pPr>
        <w:ind w:left="2937" w:hanging="220"/>
      </w:pPr>
      <w:rPr>
        <w:rFonts w:hint="default"/>
        <w:lang w:val="es-ES" w:eastAsia="en-US" w:bidi="ar-SA"/>
      </w:rPr>
    </w:lvl>
    <w:lvl w:ilvl="4">
      <w:start w:val="0"/>
      <w:numFmt w:val="bullet"/>
      <w:lvlText w:val="•"/>
      <w:lvlJc w:val="left"/>
      <w:pPr>
        <w:ind w:left="3649" w:hanging="220"/>
      </w:pPr>
      <w:rPr>
        <w:rFonts w:hint="default"/>
        <w:lang w:val="es-ES" w:eastAsia="en-US" w:bidi="ar-SA"/>
      </w:rPr>
    </w:lvl>
    <w:lvl w:ilvl="5">
      <w:start w:val="0"/>
      <w:numFmt w:val="bullet"/>
      <w:lvlText w:val="•"/>
      <w:lvlJc w:val="left"/>
      <w:pPr>
        <w:ind w:left="4362" w:hanging="220"/>
      </w:pPr>
      <w:rPr>
        <w:rFonts w:hint="default"/>
        <w:lang w:val="es-ES" w:eastAsia="en-US" w:bidi="ar-SA"/>
      </w:rPr>
    </w:lvl>
    <w:lvl w:ilvl="6">
      <w:start w:val="0"/>
      <w:numFmt w:val="bullet"/>
      <w:lvlText w:val="•"/>
      <w:lvlJc w:val="left"/>
      <w:pPr>
        <w:ind w:left="5074" w:hanging="220"/>
      </w:pPr>
      <w:rPr>
        <w:rFonts w:hint="default"/>
        <w:lang w:val="es-ES" w:eastAsia="en-US" w:bidi="ar-SA"/>
      </w:rPr>
    </w:lvl>
    <w:lvl w:ilvl="7">
      <w:start w:val="0"/>
      <w:numFmt w:val="bullet"/>
      <w:lvlText w:val="•"/>
      <w:lvlJc w:val="left"/>
      <w:pPr>
        <w:ind w:left="5786" w:hanging="220"/>
      </w:pPr>
      <w:rPr>
        <w:rFonts w:hint="default"/>
        <w:lang w:val="es-ES" w:eastAsia="en-US" w:bidi="ar-SA"/>
      </w:rPr>
    </w:lvl>
    <w:lvl w:ilvl="8">
      <w:start w:val="0"/>
      <w:numFmt w:val="bullet"/>
      <w:lvlText w:val="•"/>
      <w:lvlJc w:val="left"/>
      <w:pPr>
        <w:ind w:left="6499" w:hanging="220"/>
      </w:pPr>
      <w:rPr>
        <w:rFonts w:hint="default"/>
        <w:lang w:val="es-ES" w:eastAsia="en-US" w:bidi="ar-SA"/>
      </w:rPr>
    </w:lvl>
  </w:abstractNum>
  <w:abstractNum w:abstractNumId="7">
    <w:multiLevelType w:val="hybridMultilevel"/>
    <w:lvl w:ilvl="0">
      <w:start w:val="0"/>
      <w:numFmt w:val="bullet"/>
      <w:lvlText w:val="•"/>
      <w:lvlJc w:val="left"/>
      <w:pPr>
        <w:ind w:left="791"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512" w:hanging="219"/>
      </w:pPr>
      <w:rPr>
        <w:rFonts w:hint="default"/>
        <w:lang w:val="es-ES" w:eastAsia="en-US" w:bidi="ar-SA"/>
      </w:rPr>
    </w:lvl>
    <w:lvl w:ilvl="2">
      <w:start w:val="0"/>
      <w:numFmt w:val="bullet"/>
      <w:lvlText w:val="•"/>
      <w:lvlJc w:val="left"/>
      <w:pPr>
        <w:ind w:left="2224" w:hanging="219"/>
      </w:pPr>
      <w:rPr>
        <w:rFonts w:hint="default"/>
        <w:lang w:val="es-ES" w:eastAsia="en-US" w:bidi="ar-SA"/>
      </w:rPr>
    </w:lvl>
    <w:lvl w:ilvl="3">
      <w:start w:val="0"/>
      <w:numFmt w:val="bullet"/>
      <w:lvlText w:val="•"/>
      <w:lvlJc w:val="left"/>
      <w:pPr>
        <w:ind w:left="2937" w:hanging="219"/>
      </w:pPr>
      <w:rPr>
        <w:rFonts w:hint="default"/>
        <w:lang w:val="es-ES" w:eastAsia="en-US" w:bidi="ar-SA"/>
      </w:rPr>
    </w:lvl>
    <w:lvl w:ilvl="4">
      <w:start w:val="0"/>
      <w:numFmt w:val="bullet"/>
      <w:lvlText w:val="•"/>
      <w:lvlJc w:val="left"/>
      <w:pPr>
        <w:ind w:left="3649" w:hanging="219"/>
      </w:pPr>
      <w:rPr>
        <w:rFonts w:hint="default"/>
        <w:lang w:val="es-ES" w:eastAsia="en-US" w:bidi="ar-SA"/>
      </w:rPr>
    </w:lvl>
    <w:lvl w:ilvl="5">
      <w:start w:val="0"/>
      <w:numFmt w:val="bullet"/>
      <w:lvlText w:val="•"/>
      <w:lvlJc w:val="left"/>
      <w:pPr>
        <w:ind w:left="4362" w:hanging="219"/>
      </w:pPr>
      <w:rPr>
        <w:rFonts w:hint="default"/>
        <w:lang w:val="es-ES" w:eastAsia="en-US" w:bidi="ar-SA"/>
      </w:rPr>
    </w:lvl>
    <w:lvl w:ilvl="6">
      <w:start w:val="0"/>
      <w:numFmt w:val="bullet"/>
      <w:lvlText w:val="•"/>
      <w:lvlJc w:val="left"/>
      <w:pPr>
        <w:ind w:left="5074" w:hanging="219"/>
      </w:pPr>
      <w:rPr>
        <w:rFonts w:hint="default"/>
        <w:lang w:val="es-ES" w:eastAsia="en-US" w:bidi="ar-SA"/>
      </w:rPr>
    </w:lvl>
    <w:lvl w:ilvl="7">
      <w:start w:val="0"/>
      <w:numFmt w:val="bullet"/>
      <w:lvlText w:val="•"/>
      <w:lvlJc w:val="left"/>
      <w:pPr>
        <w:ind w:left="5786" w:hanging="219"/>
      </w:pPr>
      <w:rPr>
        <w:rFonts w:hint="default"/>
        <w:lang w:val="es-ES" w:eastAsia="en-US" w:bidi="ar-SA"/>
      </w:rPr>
    </w:lvl>
    <w:lvl w:ilvl="8">
      <w:start w:val="0"/>
      <w:numFmt w:val="bullet"/>
      <w:lvlText w:val="•"/>
      <w:lvlJc w:val="left"/>
      <w:pPr>
        <w:ind w:left="6499" w:hanging="219"/>
      </w:pPr>
      <w:rPr>
        <w:rFonts w:hint="default"/>
        <w:lang w:val="es-ES" w:eastAsia="en-US" w:bidi="ar-SA"/>
      </w:rPr>
    </w:lvl>
  </w:abstractNum>
  <w:abstractNum w:abstractNumId="6">
    <w:multiLevelType w:val="hybridMultilevel"/>
    <w:lvl w:ilvl="0">
      <w:start w:val="0"/>
      <w:numFmt w:val="bullet"/>
      <w:lvlText w:val="•"/>
      <w:lvlJc w:val="left"/>
      <w:pPr>
        <w:ind w:left="790" w:hanging="220"/>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
      <w:lvlJc w:val="left"/>
      <w:pPr>
        <w:ind w:left="1512" w:hanging="220"/>
      </w:pPr>
      <w:rPr>
        <w:rFonts w:hint="default"/>
        <w:lang w:val="es-ES" w:eastAsia="en-US" w:bidi="ar-SA"/>
      </w:rPr>
    </w:lvl>
    <w:lvl w:ilvl="2">
      <w:start w:val="0"/>
      <w:numFmt w:val="bullet"/>
      <w:lvlText w:val="•"/>
      <w:lvlJc w:val="left"/>
      <w:pPr>
        <w:ind w:left="2224" w:hanging="220"/>
      </w:pPr>
      <w:rPr>
        <w:rFonts w:hint="default"/>
        <w:lang w:val="es-ES" w:eastAsia="en-US" w:bidi="ar-SA"/>
      </w:rPr>
    </w:lvl>
    <w:lvl w:ilvl="3">
      <w:start w:val="0"/>
      <w:numFmt w:val="bullet"/>
      <w:lvlText w:val="•"/>
      <w:lvlJc w:val="left"/>
      <w:pPr>
        <w:ind w:left="2937" w:hanging="220"/>
      </w:pPr>
      <w:rPr>
        <w:rFonts w:hint="default"/>
        <w:lang w:val="es-ES" w:eastAsia="en-US" w:bidi="ar-SA"/>
      </w:rPr>
    </w:lvl>
    <w:lvl w:ilvl="4">
      <w:start w:val="0"/>
      <w:numFmt w:val="bullet"/>
      <w:lvlText w:val="•"/>
      <w:lvlJc w:val="left"/>
      <w:pPr>
        <w:ind w:left="3649" w:hanging="220"/>
      </w:pPr>
      <w:rPr>
        <w:rFonts w:hint="default"/>
        <w:lang w:val="es-ES" w:eastAsia="en-US" w:bidi="ar-SA"/>
      </w:rPr>
    </w:lvl>
    <w:lvl w:ilvl="5">
      <w:start w:val="0"/>
      <w:numFmt w:val="bullet"/>
      <w:lvlText w:val="•"/>
      <w:lvlJc w:val="left"/>
      <w:pPr>
        <w:ind w:left="4362" w:hanging="220"/>
      </w:pPr>
      <w:rPr>
        <w:rFonts w:hint="default"/>
        <w:lang w:val="es-ES" w:eastAsia="en-US" w:bidi="ar-SA"/>
      </w:rPr>
    </w:lvl>
    <w:lvl w:ilvl="6">
      <w:start w:val="0"/>
      <w:numFmt w:val="bullet"/>
      <w:lvlText w:val="•"/>
      <w:lvlJc w:val="left"/>
      <w:pPr>
        <w:ind w:left="5074" w:hanging="220"/>
      </w:pPr>
      <w:rPr>
        <w:rFonts w:hint="default"/>
        <w:lang w:val="es-ES" w:eastAsia="en-US" w:bidi="ar-SA"/>
      </w:rPr>
    </w:lvl>
    <w:lvl w:ilvl="7">
      <w:start w:val="0"/>
      <w:numFmt w:val="bullet"/>
      <w:lvlText w:val="•"/>
      <w:lvlJc w:val="left"/>
      <w:pPr>
        <w:ind w:left="5786" w:hanging="220"/>
      </w:pPr>
      <w:rPr>
        <w:rFonts w:hint="default"/>
        <w:lang w:val="es-ES" w:eastAsia="en-US" w:bidi="ar-SA"/>
      </w:rPr>
    </w:lvl>
    <w:lvl w:ilvl="8">
      <w:start w:val="0"/>
      <w:numFmt w:val="bullet"/>
      <w:lvlText w:val="•"/>
      <w:lvlJc w:val="left"/>
      <w:pPr>
        <w:ind w:left="6499" w:hanging="220"/>
      </w:pPr>
      <w:rPr>
        <w:rFonts w:hint="default"/>
        <w:lang w:val="es-ES" w:eastAsia="en-US" w:bidi="ar-SA"/>
      </w:rPr>
    </w:lvl>
  </w:abstractNum>
  <w:abstractNum w:abstractNumId="5">
    <w:multiLevelType w:val="hybridMultilevel"/>
    <w:lvl w:ilvl="0">
      <w:start w:val="0"/>
      <w:numFmt w:val="bullet"/>
      <w:lvlText w:val="•"/>
      <w:lvlJc w:val="left"/>
      <w:pPr>
        <w:ind w:left="789" w:hanging="219"/>
      </w:pPr>
      <w:rPr>
        <w:rFonts w:hint="default" w:ascii="Times New Roman" w:hAnsi="Times New Roman" w:eastAsia="Times New Roman" w:cs="Times New Roman"/>
        <w:b w:val="0"/>
        <w:bCs w:val="0"/>
        <w:i w:val="0"/>
        <w:iCs w:val="0"/>
        <w:color w:val="231F1F"/>
        <w:spacing w:val="0"/>
        <w:w w:val="135"/>
        <w:sz w:val="22"/>
        <w:szCs w:val="22"/>
        <w:lang w:val="es-ES" w:eastAsia="en-US" w:bidi="ar-SA"/>
      </w:rPr>
    </w:lvl>
    <w:lvl w:ilvl="1">
      <w:start w:val="0"/>
      <w:numFmt w:val="bullet"/>
      <w:lvlText w:val="o"/>
      <w:lvlJc w:val="left"/>
      <w:pPr>
        <w:ind w:left="1256" w:hanging="232"/>
      </w:pPr>
      <w:rPr>
        <w:rFonts w:hint="default" w:ascii="Times New Roman" w:hAnsi="Times New Roman" w:eastAsia="Times New Roman" w:cs="Times New Roman"/>
        <w:b w:val="0"/>
        <w:bCs w:val="0"/>
        <w:i w:val="0"/>
        <w:iCs w:val="0"/>
        <w:color w:val="231F1F"/>
        <w:spacing w:val="0"/>
        <w:w w:val="109"/>
        <w:sz w:val="22"/>
        <w:szCs w:val="22"/>
        <w:lang w:val="es-ES" w:eastAsia="en-US" w:bidi="ar-SA"/>
      </w:rPr>
    </w:lvl>
    <w:lvl w:ilvl="2">
      <w:start w:val="0"/>
      <w:numFmt w:val="bullet"/>
      <w:lvlText w:val="•"/>
      <w:lvlJc w:val="left"/>
      <w:pPr>
        <w:ind w:left="2000" w:hanging="232"/>
      </w:pPr>
      <w:rPr>
        <w:rFonts w:hint="default"/>
        <w:lang w:val="es-ES" w:eastAsia="en-US" w:bidi="ar-SA"/>
      </w:rPr>
    </w:lvl>
    <w:lvl w:ilvl="3">
      <w:start w:val="0"/>
      <w:numFmt w:val="bullet"/>
      <w:lvlText w:val="•"/>
      <w:lvlJc w:val="left"/>
      <w:pPr>
        <w:ind w:left="2740" w:hanging="232"/>
      </w:pPr>
      <w:rPr>
        <w:rFonts w:hint="default"/>
        <w:lang w:val="es-ES" w:eastAsia="en-US" w:bidi="ar-SA"/>
      </w:rPr>
    </w:lvl>
    <w:lvl w:ilvl="4">
      <w:start w:val="0"/>
      <w:numFmt w:val="bullet"/>
      <w:lvlText w:val="•"/>
      <w:lvlJc w:val="left"/>
      <w:pPr>
        <w:ind w:left="3481" w:hanging="232"/>
      </w:pPr>
      <w:rPr>
        <w:rFonts w:hint="default"/>
        <w:lang w:val="es-ES" w:eastAsia="en-US" w:bidi="ar-SA"/>
      </w:rPr>
    </w:lvl>
    <w:lvl w:ilvl="5">
      <w:start w:val="0"/>
      <w:numFmt w:val="bullet"/>
      <w:lvlText w:val="•"/>
      <w:lvlJc w:val="left"/>
      <w:pPr>
        <w:ind w:left="4221" w:hanging="232"/>
      </w:pPr>
      <w:rPr>
        <w:rFonts w:hint="default"/>
        <w:lang w:val="es-ES" w:eastAsia="en-US" w:bidi="ar-SA"/>
      </w:rPr>
    </w:lvl>
    <w:lvl w:ilvl="6">
      <w:start w:val="0"/>
      <w:numFmt w:val="bullet"/>
      <w:lvlText w:val="•"/>
      <w:lvlJc w:val="left"/>
      <w:pPr>
        <w:ind w:left="4962" w:hanging="232"/>
      </w:pPr>
      <w:rPr>
        <w:rFonts w:hint="default"/>
        <w:lang w:val="es-ES" w:eastAsia="en-US" w:bidi="ar-SA"/>
      </w:rPr>
    </w:lvl>
    <w:lvl w:ilvl="7">
      <w:start w:val="0"/>
      <w:numFmt w:val="bullet"/>
      <w:lvlText w:val="•"/>
      <w:lvlJc w:val="left"/>
      <w:pPr>
        <w:ind w:left="5702" w:hanging="232"/>
      </w:pPr>
      <w:rPr>
        <w:rFonts w:hint="default"/>
        <w:lang w:val="es-ES" w:eastAsia="en-US" w:bidi="ar-SA"/>
      </w:rPr>
    </w:lvl>
    <w:lvl w:ilvl="8">
      <w:start w:val="0"/>
      <w:numFmt w:val="bullet"/>
      <w:lvlText w:val="•"/>
      <w:lvlJc w:val="left"/>
      <w:pPr>
        <w:ind w:left="6443" w:hanging="232"/>
      </w:pPr>
      <w:rPr>
        <w:rFonts w:hint="default"/>
        <w:lang w:val="es-ES" w:eastAsia="en-US" w:bidi="ar-SA"/>
      </w:rPr>
    </w:lvl>
  </w:abstractNum>
  <w:abstractNum w:abstractNumId="4">
    <w:multiLevelType w:val="hybridMultilevel"/>
    <w:lvl w:ilvl="0">
      <w:start w:val="0"/>
      <w:numFmt w:val="bullet"/>
      <w:lvlText w:val="•"/>
      <w:lvlJc w:val="left"/>
      <w:pPr>
        <w:ind w:left="662" w:hanging="270"/>
      </w:pPr>
      <w:rPr>
        <w:rFonts w:hint="default" w:ascii="Cambria" w:hAnsi="Cambria" w:eastAsia="Cambria" w:cs="Cambria"/>
        <w:b w:val="0"/>
        <w:bCs w:val="0"/>
        <w:i w:val="0"/>
        <w:iCs w:val="0"/>
        <w:color w:val="231F1F"/>
        <w:spacing w:val="0"/>
        <w:w w:val="112"/>
        <w:sz w:val="18"/>
        <w:szCs w:val="18"/>
        <w:lang w:val="es-ES" w:eastAsia="en-US" w:bidi="ar-SA"/>
      </w:rPr>
    </w:lvl>
    <w:lvl w:ilvl="1">
      <w:start w:val="0"/>
      <w:numFmt w:val="bullet"/>
      <w:lvlText w:val="•"/>
      <w:lvlJc w:val="left"/>
      <w:pPr>
        <w:ind w:left="1216" w:hanging="270"/>
      </w:pPr>
      <w:rPr>
        <w:rFonts w:hint="default"/>
        <w:lang w:val="es-ES" w:eastAsia="en-US" w:bidi="ar-SA"/>
      </w:rPr>
    </w:lvl>
    <w:lvl w:ilvl="2">
      <w:start w:val="0"/>
      <w:numFmt w:val="bullet"/>
      <w:lvlText w:val="•"/>
      <w:lvlJc w:val="left"/>
      <w:pPr>
        <w:ind w:left="1773" w:hanging="270"/>
      </w:pPr>
      <w:rPr>
        <w:rFonts w:hint="default"/>
        <w:lang w:val="es-ES" w:eastAsia="en-US" w:bidi="ar-SA"/>
      </w:rPr>
    </w:lvl>
    <w:lvl w:ilvl="3">
      <w:start w:val="0"/>
      <w:numFmt w:val="bullet"/>
      <w:lvlText w:val="•"/>
      <w:lvlJc w:val="left"/>
      <w:pPr>
        <w:ind w:left="2329" w:hanging="270"/>
      </w:pPr>
      <w:rPr>
        <w:rFonts w:hint="default"/>
        <w:lang w:val="es-ES" w:eastAsia="en-US" w:bidi="ar-SA"/>
      </w:rPr>
    </w:lvl>
    <w:lvl w:ilvl="4">
      <w:start w:val="0"/>
      <w:numFmt w:val="bullet"/>
      <w:lvlText w:val="•"/>
      <w:lvlJc w:val="left"/>
      <w:pPr>
        <w:ind w:left="2886" w:hanging="270"/>
      </w:pPr>
      <w:rPr>
        <w:rFonts w:hint="default"/>
        <w:lang w:val="es-ES" w:eastAsia="en-US" w:bidi="ar-SA"/>
      </w:rPr>
    </w:lvl>
    <w:lvl w:ilvl="5">
      <w:start w:val="0"/>
      <w:numFmt w:val="bullet"/>
      <w:lvlText w:val="•"/>
      <w:lvlJc w:val="left"/>
      <w:pPr>
        <w:ind w:left="3442" w:hanging="270"/>
      </w:pPr>
      <w:rPr>
        <w:rFonts w:hint="default"/>
        <w:lang w:val="es-ES" w:eastAsia="en-US" w:bidi="ar-SA"/>
      </w:rPr>
    </w:lvl>
    <w:lvl w:ilvl="6">
      <w:start w:val="0"/>
      <w:numFmt w:val="bullet"/>
      <w:lvlText w:val="•"/>
      <w:lvlJc w:val="left"/>
      <w:pPr>
        <w:ind w:left="3999" w:hanging="270"/>
      </w:pPr>
      <w:rPr>
        <w:rFonts w:hint="default"/>
        <w:lang w:val="es-ES" w:eastAsia="en-US" w:bidi="ar-SA"/>
      </w:rPr>
    </w:lvl>
    <w:lvl w:ilvl="7">
      <w:start w:val="0"/>
      <w:numFmt w:val="bullet"/>
      <w:lvlText w:val="•"/>
      <w:lvlJc w:val="left"/>
      <w:pPr>
        <w:ind w:left="4555" w:hanging="270"/>
      </w:pPr>
      <w:rPr>
        <w:rFonts w:hint="default"/>
        <w:lang w:val="es-ES" w:eastAsia="en-US" w:bidi="ar-SA"/>
      </w:rPr>
    </w:lvl>
    <w:lvl w:ilvl="8">
      <w:start w:val="0"/>
      <w:numFmt w:val="bullet"/>
      <w:lvlText w:val="•"/>
      <w:lvlJc w:val="left"/>
      <w:pPr>
        <w:ind w:left="5112" w:hanging="270"/>
      </w:pPr>
      <w:rPr>
        <w:rFonts w:hint="default"/>
        <w:lang w:val="es-ES" w:eastAsia="en-US" w:bidi="ar-SA"/>
      </w:rPr>
    </w:lvl>
  </w:abstractNum>
  <w:abstractNum w:abstractNumId="3">
    <w:multiLevelType w:val="hybridMultilevel"/>
    <w:lvl w:ilvl="0">
      <w:start w:val="0"/>
      <w:numFmt w:val="bullet"/>
      <w:lvlText w:val="•"/>
      <w:lvlJc w:val="left"/>
      <w:pPr>
        <w:ind w:left="661" w:hanging="268"/>
      </w:pPr>
      <w:rPr>
        <w:rFonts w:hint="default" w:ascii="Cambria" w:hAnsi="Cambria" w:eastAsia="Cambria" w:cs="Cambria"/>
        <w:b w:val="0"/>
        <w:bCs w:val="0"/>
        <w:i w:val="0"/>
        <w:iCs w:val="0"/>
        <w:color w:val="231F1F"/>
        <w:spacing w:val="0"/>
        <w:w w:val="112"/>
        <w:sz w:val="18"/>
        <w:szCs w:val="18"/>
        <w:lang w:val="es-ES" w:eastAsia="en-US" w:bidi="ar-SA"/>
      </w:rPr>
    </w:lvl>
    <w:lvl w:ilvl="1">
      <w:start w:val="0"/>
      <w:numFmt w:val="bullet"/>
      <w:lvlText w:val="•"/>
      <w:lvlJc w:val="left"/>
      <w:pPr>
        <w:ind w:left="1216" w:hanging="268"/>
      </w:pPr>
      <w:rPr>
        <w:rFonts w:hint="default"/>
        <w:lang w:val="es-ES" w:eastAsia="en-US" w:bidi="ar-SA"/>
      </w:rPr>
    </w:lvl>
    <w:lvl w:ilvl="2">
      <w:start w:val="0"/>
      <w:numFmt w:val="bullet"/>
      <w:lvlText w:val="•"/>
      <w:lvlJc w:val="left"/>
      <w:pPr>
        <w:ind w:left="1773" w:hanging="268"/>
      </w:pPr>
      <w:rPr>
        <w:rFonts w:hint="default"/>
        <w:lang w:val="es-ES" w:eastAsia="en-US" w:bidi="ar-SA"/>
      </w:rPr>
    </w:lvl>
    <w:lvl w:ilvl="3">
      <w:start w:val="0"/>
      <w:numFmt w:val="bullet"/>
      <w:lvlText w:val="•"/>
      <w:lvlJc w:val="left"/>
      <w:pPr>
        <w:ind w:left="2329" w:hanging="268"/>
      </w:pPr>
      <w:rPr>
        <w:rFonts w:hint="default"/>
        <w:lang w:val="es-ES" w:eastAsia="en-US" w:bidi="ar-SA"/>
      </w:rPr>
    </w:lvl>
    <w:lvl w:ilvl="4">
      <w:start w:val="0"/>
      <w:numFmt w:val="bullet"/>
      <w:lvlText w:val="•"/>
      <w:lvlJc w:val="left"/>
      <w:pPr>
        <w:ind w:left="2886" w:hanging="268"/>
      </w:pPr>
      <w:rPr>
        <w:rFonts w:hint="default"/>
        <w:lang w:val="es-ES" w:eastAsia="en-US" w:bidi="ar-SA"/>
      </w:rPr>
    </w:lvl>
    <w:lvl w:ilvl="5">
      <w:start w:val="0"/>
      <w:numFmt w:val="bullet"/>
      <w:lvlText w:val="•"/>
      <w:lvlJc w:val="left"/>
      <w:pPr>
        <w:ind w:left="3442" w:hanging="268"/>
      </w:pPr>
      <w:rPr>
        <w:rFonts w:hint="default"/>
        <w:lang w:val="es-ES" w:eastAsia="en-US" w:bidi="ar-SA"/>
      </w:rPr>
    </w:lvl>
    <w:lvl w:ilvl="6">
      <w:start w:val="0"/>
      <w:numFmt w:val="bullet"/>
      <w:lvlText w:val="•"/>
      <w:lvlJc w:val="left"/>
      <w:pPr>
        <w:ind w:left="3999" w:hanging="268"/>
      </w:pPr>
      <w:rPr>
        <w:rFonts w:hint="default"/>
        <w:lang w:val="es-ES" w:eastAsia="en-US" w:bidi="ar-SA"/>
      </w:rPr>
    </w:lvl>
    <w:lvl w:ilvl="7">
      <w:start w:val="0"/>
      <w:numFmt w:val="bullet"/>
      <w:lvlText w:val="•"/>
      <w:lvlJc w:val="left"/>
      <w:pPr>
        <w:ind w:left="4555" w:hanging="268"/>
      </w:pPr>
      <w:rPr>
        <w:rFonts w:hint="default"/>
        <w:lang w:val="es-ES" w:eastAsia="en-US" w:bidi="ar-SA"/>
      </w:rPr>
    </w:lvl>
    <w:lvl w:ilvl="8">
      <w:start w:val="0"/>
      <w:numFmt w:val="bullet"/>
      <w:lvlText w:val="•"/>
      <w:lvlJc w:val="left"/>
      <w:pPr>
        <w:ind w:left="5112" w:hanging="268"/>
      </w:pPr>
      <w:rPr>
        <w:rFonts w:hint="default"/>
        <w:lang w:val="es-ES" w:eastAsia="en-US" w:bidi="ar-SA"/>
      </w:rPr>
    </w:lvl>
  </w:abstractNum>
  <w:abstractNum w:abstractNumId="2">
    <w:multiLevelType w:val="hybridMultilevel"/>
    <w:lvl w:ilvl="0">
      <w:start w:val="6"/>
      <w:numFmt w:val="decimal"/>
      <w:lvlText w:val="%1."/>
      <w:lvlJc w:val="left"/>
      <w:pPr>
        <w:ind w:left="666" w:hanging="274"/>
        <w:jc w:val="right"/>
      </w:pPr>
      <w:rPr>
        <w:rFonts w:hint="default" w:ascii="Times New Roman" w:hAnsi="Times New Roman" w:eastAsia="Times New Roman" w:cs="Times New Roman"/>
        <w:b/>
        <w:bCs/>
        <w:i w:val="0"/>
        <w:iCs w:val="0"/>
        <w:color w:val="231F1F"/>
        <w:spacing w:val="0"/>
        <w:w w:val="87"/>
        <w:sz w:val="22"/>
        <w:szCs w:val="22"/>
        <w:lang w:val="es-ES" w:eastAsia="en-US" w:bidi="ar-SA"/>
      </w:rPr>
    </w:lvl>
    <w:lvl w:ilvl="1">
      <w:start w:val="0"/>
      <w:numFmt w:val="bullet"/>
      <w:lvlText w:val="•"/>
      <w:lvlJc w:val="left"/>
      <w:pPr>
        <w:ind w:left="1486" w:hanging="274"/>
      </w:pPr>
      <w:rPr>
        <w:rFonts w:hint="default"/>
        <w:lang w:val="es-ES" w:eastAsia="en-US" w:bidi="ar-SA"/>
      </w:rPr>
    </w:lvl>
    <w:lvl w:ilvl="2">
      <w:start w:val="0"/>
      <w:numFmt w:val="bullet"/>
      <w:lvlText w:val="•"/>
      <w:lvlJc w:val="left"/>
      <w:pPr>
        <w:ind w:left="2312" w:hanging="274"/>
      </w:pPr>
      <w:rPr>
        <w:rFonts w:hint="default"/>
        <w:lang w:val="es-ES" w:eastAsia="en-US" w:bidi="ar-SA"/>
      </w:rPr>
    </w:lvl>
    <w:lvl w:ilvl="3">
      <w:start w:val="0"/>
      <w:numFmt w:val="bullet"/>
      <w:lvlText w:val="•"/>
      <w:lvlJc w:val="left"/>
      <w:pPr>
        <w:ind w:left="3139" w:hanging="274"/>
      </w:pPr>
      <w:rPr>
        <w:rFonts w:hint="default"/>
        <w:lang w:val="es-ES" w:eastAsia="en-US" w:bidi="ar-SA"/>
      </w:rPr>
    </w:lvl>
    <w:lvl w:ilvl="4">
      <w:start w:val="0"/>
      <w:numFmt w:val="bullet"/>
      <w:lvlText w:val="•"/>
      <w:lvlJc w:val="left"/>
      <w:pPr>
        <w:ind w:left="3965" w:hanging="274"/>
      </w:pPr>
      <w:rPr>
        <w:rFonts w:hint="default"/>
        <w:lang w:val="es-ES" w:eastAsia="en-US" w:bidi="ar-SA"/>
      </w:rPr>
    </w:lvl>
    <w:lvl w:ilvl="5">
      <w:start w:val="0"/>
      <w:numFmt w:val="bullet"/>
      <w:lvlText w:val="•"/>
      <w:lvlJc w:val="left"/>
      <w:pPr>
        <w:ind w:left="4792" w:hanging="274"/>
      </w:pPr>
      <w:rPr>
        <w:rFonts w:hint="default"/>
        <w:lang w:val="es-ES" w:eastAsia="en-US" w:bidi="ar-SA"/>
      </w:rPr>
    </w:lvl>
    <w:lvl w:ilvl="6">
      <w:start w:val="0"/>
      <w:numFmt w:val="bullet"/>
      <w:lvlText w:val="•"/>
      <w:lvlJc w:val="left"/>
      <w:pPr>
        <w:ind w:left="5618" w:hanging="274"/>
      </w:pPr>
      <w:rPr>
        <w:rFonts w:hint="default"/>
        <w:lang w:val="es-ES" w:eastAsia="en-US" w:bidi="ar-SA"/>
      </w:rPr>
    </w:lvl>
    <w:lvl w:ilvl="7">
      <w:start w:val="0"/>
      <w:numFmt w:val="bullet"/>
      <w:lvlText w:val="•"/>
      <w:lvlJc w:val="left"/>
      <w:pPr>
        <w:ind w:left="6444" w:hanging="274"/>
      </w:pPr>
      <w:rPr>
        <w:rFonts w:hint="default"/>
        <w:lang w:val="es-ES" w:eastAsia="en-US" w:bidi="ar-SA"/>
      </w:rPr>
    </w:lvl>
    <w:lvl w:ilvl="8">
      <w:start w:val="0"/>
      <w:numFmt w:val="bullet"/>
      <w:lvlText w:val="•"/>
      <w:lvlJc w:val="left"/>
      <w:pPr>
        <w:ind w:left="7271" w:hanging="274"/>
      </w:pPr>
      <w:rPr>
        <w:rFonts w:hint="default"/>
        <w:lang w:val="es-ES" w:eastAsia="en-US" w:bidi="ar-SA"/>
      </w:rPr>
    </w:lvl>
  </w:abstractNum>
  <w:abstractNum w:abstractNumId="1">
    <w:multiLevelType w:val="hybridMultilevel"/>
    <w:lvl w:ilvl="0">
      <w:start w:val="1"/>
      <w:numFmt w:val="upperRoman"/>
      <w:lvlText w:val="%1."/>
      <w:lvlJc w:val="left"/>
      <w:pPr>
        <w:ind w:left="646" w:hanging="364"/>
        <w:jc w:val="left"/>
      </w:pPr>
      <w:rPr>
        <w:rFonts w:hint="default" w:ascii="Times New Roman" w:hAnsi="Times New Roman" w:eastAsia="Times New Roman" w:cs="Times New Roman"/>
        <w:b w:val="0"/>
        <w:bCs w:val="0"/>
        <w:i w:val="0"/>
        <w:iCs w:val="0"/>
        <w:color w:val="231F1F"/>
        <w:spacing w:val="-2"/>
        <w:w w:val="109"/>
        <w:sz w:val="32"/>
        <w:szCs w:val="32"/>
        <w:lang w:val="es-ES" w:eastAsia="en-US" w:bidi="ar-SA"/>
      </w:rPr>
    </w:lvl>
    <w:lvl w:ilvl="1">
      <w:start w:val="1"/>
      <w:numFmt w:val="decimal"/>
      <w:lvlText w:val="%2."/>
      <w:lvlJc w:val="left"/>
      <w:pPr>
        <w:ind w:left="911" w:hanging="628"/>
        <w:jc w:val="left"/>
      </w:pPr>
      <w:rPr>
        <w:rFonts w:hint="default"/>
        <w:spacing w:val="0"/>
        <w:w w:val="97"/>
        <w:lang w:val="es-ES" w:eastAsia="en-US" w:bidi="ar-SA"/>
      </w:rPr>
    </w:lvl>
    <w:lvl w:ilvl="2">
      <w:start w:val="1"/>
      <w:numFmt w:val="decimal"/>
      <w:lvlText w:val="%2.%3."/>
      <w:lvlJc w:val="left"/>
      <w:pPr>
        <w:ind w:left="1004" w:hanging="721"/>
        <w:jc w:val="left"/>
      </w:pPr>
      <w:rPr>
        <w:rFonts w:hint="default" w:ascii="Times New Roman" w:hAnsi="Times New Roman" w:eastAsia="Times New Roman" w:cs="Times New Roman"/>
        <w:b w:val="0"/>
        <w:bCs w:val="0"/>
        <w:i w:val="0"/>
        <w:iCs w:val="0"/>
        <w:color w:val="231F1F"/>
        <w:spacing w:val="0"/>
        <w:w w:val="100"/>
        <w:sz w:val="36"/>
        <w:szCs w:val="36"/>
        <w:lang w:val="es-ES" w:eastAsia="en-US" w:bidi="ar-SA"/>
      </w:rPr>
    </w:lvl>
    <w:lvl w:ilvl="3">
      <w:start w:val="1"/>
      <w:numFmt w:val="decimal"/>
      <w:lvlText w:val="%2.%3.%4."/>
      <w:lvlJc w:val="left"/>
      <w:pPr>
        <w:ind w:left="1161" w:hanging="878"/>
        <w:jc w:val="left"/>
      </w:pPr>
      <w:rPr>
        <w:rFonts w:hint="default" w:ascii="Times New Roman" w:hAnsi="Times New Roman" w:eastAsia="Times New Roman" w:cs="Times New Roman"/>
        <w:b w:val="0"/>
        <w:bCs w:val="0"/>
        <w:i w:val="0"/>
        <w:iCs w:val="0"/>
        <w:color w:val="231F1F"/>
        <w:spacing w:val="-2"/>
        <w:w w:val="100"/>
        <w:sz w:val="32"/>
        <w:szCs w:val="32"/>
        <w:lang w:val="es-ES" w:eastAsia="en-US" w:bidi="ar-SA"/>
      </w:rPr>
    </w:lvl>
    <w:lvl w:ilvl="4">
      <w:start w:val="0"/>
      <w:numFmt w:val="bullet"/>
      <w:lvlText w:val="•"/>
      <w:lvlJc w:val="left"/>
      <w:pPr>
        <w:ind w:left="1160" w:hanging="878"/>
      </w:pPr>
      <w:rPr>
        <w:rFonts w:hint="default"/>
        <w:lang w:val="es-ES" w:eastAsia="en-US" w:bidi="ar-SA"/>
      </w:rPr>
    </w:lvl>
    <w:lvl w:ilvl="5">
      <w:start w:val="0"/>
      <w:numFmt w:val="bullet"/>
      <w:lvlText w:val="•"/>
      <w:lvlJc w:val="left"/>
      <w:pPr>
        <w:ind w:left="1180" w:hanging="878"/>
      </w:pPr>
      <w:rPr>
        <w:rFonts w:hint="default"/>
        <w:lang w:val="es-ES" w:eastAsia="en-US" w:bidi="ar-SA"/>
      </w:rPr>
    </w:lvl>
    <w:lvl w:ilvl="6">
      <w:start w:val="0"/>
      <w:numFmt w:val="bullet"/>
      <w:lvlText w:val="•"/>
      <w:lvlJc w:val="left"/>
      <w:pPr>
        <w:ind w:left="2728" w:hanging="878"/>
      </w:pPr>
      <w:rPr>
        <w:rFonts w:hint="default"/>
        <w:lang w:val="es-ES" w:eastAsia="en-US" w:bidi="ar-SA"/>
      </w:rPr>
    </w:lvl>
    <w:lvl w:ilvl="7">
      <w:start w:val="0"/>
      <w:numFmt w:val="bullet"/>
      <w:lvlText w:val="•"/>
      <w:lvlJc w:val="left"/>
      <w:pPr>
        <w:ind w:left="4277" w:hanging="878"/>
      </w:pPr>
      <w:rPr>
        <w:rFonts w:hint="default"/>
        <w:lang w:val="es-ES" w:eastAsia="en-US" w:bidi="ar-SA"/>
      </w:rPr>
    </w:lvl>
    <w:lvl w:ilvl="8">
      <w:start w:val="0"/>
      <w:numFmt w:val="bullet"/>
      <w:lvlText w:val="•"/>
      <w:lvlJc w:val="left"/>
      <w:pPr>
        <w:ind w:left="5826" w:hanging="878"/>
      </w:pPr>
      <w:rPr>
        <w:rFonts w:hint="default"/>
        <w:lang w:val="es-ES" w:eastAsia="en-US" w:bidi="ar-SA"/>
      </w:rPr>
    </w:lvl>
  </w:abstractNum>
  <w:abstractNum w:abstractNumId="0">
    <w:multiLevelType w:val="hybridMultilevel"/>
    <w:lvl w:ilvl="0">
      <w:start w:val="1"/>
      <w:numFmt w:val="decimal"/>
      <w:lvlText w:val="%1."/>
      <w:lvlJc w:val="left"/>
      <w:pPr>
        <w:ind w:left="735" w:hanging="452"/>
        <w:jc w:val="left"/>
      </w:pPr>
      <w:rPr>
        <w:rFonts w:hint="default" w:ascii="Arial MT" w:hAnsi="Arial MT" w:eastAsia="Arial MT" w:cs="Arial MT"/>
        <w:b w:val="0"/>
        <w:bCs w:val="0"/>
        <w:i w:val="0"/>
        <w:iCs w:val="0"/>
        <w:color w:val="231F1F"/>
        <w:spacing w:val="-2"/>
        <w:w w:val="100"/>
        <w:sz w:val="20"/>
        <w:szCs w:val="20"/>
        <w:lang w:val="es-ES" w:eastAsia="en-US" w:bidi="ar-SA"/>
      </w:rPr>
    </w:lvl>
    <w:lvl w:ilvl="1">
      <w:start w:val="1"/>
      <w:numFmt w:val="decimal"/>
      <w:lvlText w:val="%1.%2."/>
      <w:lvlJc w:val="left"/>
      <w:pPr>
        <w:ind w:left="1289" w:hanging="553"/>
        <w:jc w:val="left"/>
      </w:pPr>
      <w:rPr>
        <w:rFonts w:hint="default" w:ascii="Arial MT" w:hAnsi="Arial MT" w:eastAsia="Arial MT" w:cs="Arial MT"/>
        <w:b w:val="0"/>
        <w:bCs w:val="0"/>
        <w:i w:val="0"/>
        <w:iCs w:val="0"/>
        <w:color w:val="231F1F"/>
        <w:spacing w:val="-2"/>
        <w:w w:val="100"/>
        <w:sz w:val="20"/>
        <w:szCs w:val="20"/>
        <w:lang w:val="es-ES" w:eastAsia="en-US" w:bidi="ar-SA"/>
      </w:rPr>
    </w:lvl>
    <w:lvl w:ilvl="2">
      <w:start w:val="0"/>
      <w:numFmt w:val="bullet"/>
      <w:lvlText w:val="•"/>
      <w:lvlJc w:val="left"/>
      <w:pPr>
        <w:ind w:left="1300" w:hanging="553"/>
      </w:pPr>
      <w:rPr>
        <w:rFonts w:hint="default"/>
        <w:lang w:val="es-ES" w:eastAsia="en-US" w:bidi="ar-SA"/>
      </w:rPr>
    </w:lvl>
    <w:lvl w:ilvl="3">
      <w:start w:val="0"/>
      <w:numFmt w:val="bullet"/>
      <w:lvlText w:val="•"/>
      <w:lvlJc w:val="left"/>
      <w:pPr>
        <w:ind w:left="2253" w:hanging="553"/>
      </w:pPr>
      <w:rPr>
        <w:rFonts w:hint="default"/>
        <w:lang w:val="es-ES" w:eastAsia="en-US" w:bidi="ar-SA"/>
      </w:rPr>
    </w:lvl>
    <w:lvl w:ilvl="4">
      <w:start w:val="0"/>
      <w:numFmt w:val="bullet"/>
      <w:lvlText w:val="•"/>
      <w:lvlJc w:val="left"/>
      <w:pPr>
        <w:ind w:left="3206" w:hanging="553"/>
      </w:pPr>
      <w:rPr>
        <w:rFonts w:hint="default"/>
        <w:lang w:val="es-ES" w:eastAsia="en-US" w:bidi="ar-SA"/>
      </w:rPr>
    </w:lvl>
    <w:lvl w:ilvl="5">
      <w:start w:val="0"/>
      <w:numFmt w:val="bullet"/>
      <w:lvlText w:val="•"/>
      <w:lvlJc w:val="left"/>
      <w:pPr>
        <w:ind w:left="4159" w:hanging="553"/>
      </w:pPr>
      <w:rPr>
        <w:rFonts w:hint="default"/>
        <w:lang w:val="es-ES" w:eastAsia="en-US" w:bidi="ar-SA"/>
      </w:rPr>
    </w:lvl>
    <w:lvl w:ilvl="6">
      <w:start w:val="0"/>
      <w:numFmt w:val="bullet"/>
      <w:lvlText w:val="•"/>
      <w:lvlJc w:val="left"/>
      <w:pPr>
        <w:ind w:left="5112" w:hanging="553"/>
      </w:pPr>
      <w:rPr>
        <w:rFonts w:hint="default"/>
        <w:lang w:val="es-ES" w:eastAsia="en-US" w:bidi="ar-SA"/>
      </w:rPr>
    </w:lvl>
    <w:lvl w:ilvl="7">
      <w:start w:val="0"/>
      <w:numFmt w:val="bullet"/>
      <w:lvlText w:val="•"/>
      <w:lvlJc w:val="left"/>
      <w:pPr>
        <w:ind w:left="6065" w:hanging="553"/>
      </w:pPr>
      <w:rPr>
        <w:rFonts w:hint="default"/>
        <w:lang w:val="es-ES" w:eastAsia="en-US" w:bidi="ar-SA"/>
      </w:rPr>
    </w:lvl>
    <w:lvl w:ilvl="8">
      <w:start w:val="0"/>
      <w:numFmt w:val="bullet"/>
      <w:lvlText w:val="•"/>
      <w:lvlJc w:val="left"/>
      <w:pPr>
        <w:ind w:left="7018" w:hanging="553"/>
      </w:pPr>
      <w:rPr>
        <w:rFonts w:hint="default"/>
        <w:lang w:val="es-ES" w:eastAsia="en-US" w:bidi="ar-SA"/>
      </w:rPr>
    </w:lvl>
  </w:abstract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163"/>
      <w:ind w:left="734" w:hanging="451"/>
    </w:pPr>
    <w:rPr>
      <w:rFonts w:ascii="Arial MT" w:hAnsi="Arial MT" w:eastAsia="Arial MT" w:cs="Arial MT"/>
      <w:sz w:val="20"/>
      <w:szCs w:val="20"/>
      <w:lang w:val="es-ES" w:eastAsia="en-US" w:bidi="ar-SA"/>
    </w:rPr>
  </w:style>
  <w:style w:styleId="TOC2" w:type="paragraph">
    <w:name w:val="TOC 2"/>
    <w:basedOn w:val="Normal"/>
    <w:uiPriority w:val="1"/>
    <w:qFormat/>
    <w:pPr>
      <w:spacing w:before="106"/>
      <w:ind w:left="565"/>
    </w:pPr>
    <w:rPr>
      <w:rFonts w:ascii="Arial MT" w:hAnsi="Arial MT" w:eastAsia="Arial MT" w:cs="Arial MT"/>
      <w:sz w:val="20"/>
      <w:szCs w:val="20"/>
      <w:lang w:val="es-ES" w:eastAsia="en-US" w:bidi="ar-SA"/>
    </w:rPr>
  </w:style>
  <w:style w:styleId="TOC3" w:type="paragraph">
    <w:name w:val="TOC 3"/>
    <w:basedOn w:val="Normal"/>
    <w:uiPriority w:val="1"/>
    <w:qFormat/>
    <w:pPr>
      <w:spacing w:before="106"/>
      <w:ind w:left="1288" w:hanging="552"/>
    </w:pPr>
    <w:rPr>
      <w:rFonts w:ascii="Arial MT" w:hAnsi="Arial MT" w:eastAsia="Arial MT" w:cs="Arial MT"/>
      <w:sz w:val="20"/>
      <w:szCs w:val="20"/>
      <w:lang w:val="es-E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s-ES" w:eastAsia="en-US" w:bidi="ar-SA"/>
    </w:rPr>
  </w:style>
  <w:style w:styleId="Heading1" w:type="paragraph">
    <w:name w:val="Heading 1"/>
    <w:basedOn w:val="Normal"/>
    <w:uiPriority w:val="1"/>
    <w:qFormat/>
    <w:pPr>
      <w:spacing w:before="63"/>
      <w:ind w:left="283"/>
      <w:outlineLvl w:val="1"/>
    </w:pPr>
    <w:rPr>
      <w:rFonts w:ascii="Times New Roman" w:hAnsi="Times New Roman" w:eastAsia="Times New Roman" w:cs="Times New Roman"/>
      <w:sz w:val="50"/>
      <w:szCs w:val="50"/>
      <w:lang w:val="es-ES" w:eastAsia="en-US" w:bidi="ar-SA"/>
    </w:rPr>
  </w:style>
  <w:style w:styleId="Heading2" w:type="paragraph">
    <w:name w:val="Heading 2"/>
    <w:basedOn w:val="Normal"/>
    <w:uiPriority w:val="1"/>
    <w:qFormat/>
    <w:pPr>
      <w:spacing w:before="62"/>
      <w:ind w:left="1004" w:hanging="721"/>
      <w:outlineLvl w:val="2"/>
    </w:pPr>
    <w:rPr>
      <w:rFonts w:ascii="Times New Roman" w:hAnsi="Times New Roman" w:eastAsia="Times New Roman" w:cs="Times New Roman"/>
      <w:sz w:val="36"/>
      <w:szCs w:val="36"/>
      <w:lang w:val="es-ES" w:eastAsia="en-US" w:bidi="ar-SA"/>
    </w:rPr>
  </w:style>
  <w:style w:styleId="Heading3" w:type="paragraph">
    <w:name w:val="Heading 3"/>
    <w:basedOn w:val="Normal"/>
    <w:uiPriority w:val="1"/>
    <w:qFormat/>
    <w:pPr>
      <w:spacing w:before="71"/>
      <w:ind w:left="1158" w:hanging="875"/>
      <w:outlineLvl w:val="3"/>
    </w:pPr>
    <w:rPr>
      <w:rFonts w:ascii="Times New Roman" w:hAnsi="Times New Roman" w:eastAsia="Times New Roman" w:cs="Times New Roman"/>
      <w:sz w:val="32"/>
      <w:szCs w:val="32"/>
      <w:lang w:val="es-ES" w:eastAsia="en-US" w:bidi="ar-SA"/>
    </w:rPr>
  </w:style>
  <w:style w:styleId="Heading4" w:type="paragraph">
    <w:name w:val="Heading 4"/>
    <w:basedOn w:val="Normal"/>
    <w:uiPriority w:val="1"/>
    <w:qFormat/>
    <w:pPr>
      <w:ind w:left="283"/>
      <w:outlineLvl w:val="4"/>
    </w:pPr>
    <w:rPr>
      <w:rFonts w:ascii="Times New Roman" w:hAnsi="Times New Roman" w:eastAsia="Times New Roman" w:cs="Times New Roman"/>
      <w:sz w:val="26"/>
      <w:szCs w:val="26"/>
      <w:lang w:val="es-ES" w:eastAsia="en-US" w:bidi="ar-SA"/>
    </w:rPr>
  </w:style>
  <w:style w:styleId="Heading5" w:type="paragraph">
    <w:name w:val="Heading 5"/>
    <w:basedOn w:val="Normal"/>
    <w:uiPriority w:val="1"/>
    <w:qFormat/>
    <w:pPr>
      <w:ind w:left="283"/>
      <w:outlineLvl w:val="5"/>
    </w:pPr>
    <w:rPr>
      <w:rFonts w:ascii="Arial" w:hAnsi="Arial" w:eastAsia="Arial" w:cs="Arial"/>
      <w:i/>
      <w:iCs/>
      <w:sz w:val="24"/>
      <w:szCs w:val="24"/>
      <w:lang w:val="es-ES" w:eastAsia="en-US" w:bidi="ar-SA"/>
    </w:rPr>
  </w:style>
  <w:style w:styleId="Title" w:type="paragraph">
    <w:name w:val="Title"/>
    <w:basedOn w:val="Normal"/>
    <w:uiPriority w:val="1"/>
    <w:qFormat/>
    <w:pPr>
      <w:spacing w:before="424"/>
      <w:ind w:left="283"/>
    </w:pPr>
    <w:rPr>
      <w:rFonts w:ascii="Times New Roman" w:hAnsi="Times New Roman" w:eastAsia="Times New Roman" w:cs="Times New Roman"/>
      <w:b/>
      <w:bCs/>
      <w:sz w:val="70"/>
      <w:szCs w:val="70"/>
      <w:lang w:val="es-ES" w:eastAsia="en-US" w:bidi="ar-SA"/>
    </w:rPr>
  </w:style>
  <w:style w:styleId="ListParagraph" w:type="paragraph">
    <w:name w:val="List Paragraph"/>
    <w:basedOn w:val="Normal"/>
    <w:uiPriority w:val="1"/>
    <w:qFormat/>
    <w:pPr>
      <w:spacing w:before="71"/>
      <w:ind w:left="797" w:hanging="502"/>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ind w:left="121"/>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yperlink" Target="http://www.euskadi.net/ejgvbiblioteka" TargetMode="Externa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image" Target="media/image21.png"/><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hyperlink" Target="http://www.guiasalud.es/egpc/index.html" TargetMode="External"/><Relationship Id="rId36" Type="http://schemas.openxmlformats.org/officeDocument/2006/relationships/hyperlink" Target="http://www.guiasalud.es/newCatalogo.asp" TargetMode="External"/><Relationship Id="rId37" Type="http://schemas.openxmlformats.org/officeDocument/2006/relationships/hyperlink" Target="http://portal.guiasalud.es/" TargetMode="External"/><Relationship Id="rId38" Type="http://schemas.openxmlformats.org/officeDocument/2006/relationships/footer" Target="footer9.xml"/><Relationship Id="rId39" Type="http://schemas.openxmlformats.org/officeDocument/2006/relationships/footer" Target="footer10.xml"/><Relationship Id="rId40" Type="http://schemas.openxmlformats.org/officeDocument/2006/relationships/footer" Target="footer11.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footer" Target="footer20.xml"/><Relationship Id="rId50" Type="http://schemas.openxmlformats.org/officeDocument/2006/relationships/footer" Target="footer21.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footer" Target="footer26.xml"/><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footer" Target="footer29.xml"/><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image" Target="media/image32.png"/><Relationship Id="rId70" Type="http://schemas.openxmlformats.org/officeDocument/2006/relationships/image" Target="media/image33.png"/><Relationship Id="rId71" Type="http://schemas.openxmlformats.org/officeDocument/2006/relationships/image" Target="media/image34.png"/><Relationship Id="rId72" Type="http://schemas.openxmlformats.org/officeDocument/2006/relationships/image" Target="media/image35.png"/><Relationship Id="rId73" Type="http://schemas.openxmlformats.org/officeDocument/2006/relationships/image" Target="media/image36.png"/><Relationship Id="rId74" Type="http://schemas.openxmlformats.org/officeDocument/2006/relationships/image" Target="media/image37.png"/><Relationship Id="rId75" Type="http://schemas.openxmlformats.org/officeDocument/2006/relationships/image" Target="media/image38.png"/><Relationship Id="rId76" Type="http://schemas.openxmlformats.org/officeDocument/2006/relationships/image" Target="media/image39.png"/><Relationship Id="rId77" Type="http://schemas.openxmlformats.org/officeDocument/2006/relationships/image" Target="media/image40.png"/><Relationship Id="rId78" Type="http://schemas.openxmlformats.org/officeDocument/2006/relationships/image" Target="media/image41.png"/><Relationship Id="rId79" Type="http://schemas.openxmlformats.org/officeDocument/2006/relationships/image" Target="media/image42.png"/><Relationship Id="rId80" Type="http://schemas.openxmlformats.org/officeDocument/2006/relationships/image" Target="media/image43.png"/><Relationship Id="rId81" Type="http://schemas.openxmlformats.org/officeDocument/2006/relationships/image" Target="media/image44.png"/><Relationship Id="rId82" Type="http://schemas.openxmlformats.org/officeDocument/2006/relationships/image" Target="media/image45.png"/><Relationship Id="rId83" Type="http://schemas.openxmlformats.org/officeDocument/2006/relationships/image" Target="media/image46.png"/><Relationship Id="rId84" Type="http://schemas.openxmlformats.org/officeDocument/2006/relationships/image" Target="media/image47.png"/><Relationship Id="rId85" Type="http://schemas.openxmlformats.org/officeDocument/2006/relationships/image" Target="media/image48.png"/><Relationship Id="rId86" Type="http://schemas.openxmlformats.org/officeDocument/2006/relationships/image" Target="media/image49.png"/><Relationship Id="rId87" Type="http://schemas.openxmlformats.org/officeDocument/2006/relationships/image" Target="media/image50.png"/><Relationship Id="rId88" Type="http://schemas.openxmlformats.org/officeDocument/2006/relationships/image" Target="media/image51.png"/><Relationship Id="rId89" Type="http://schemas.openxmlformats.org/officeDocument/2006/relationships/image" Target="media/image52.png"/><Relationship Id="rId90" Type="http://schemas.openxmlformats.org/officeDocument/2006/relationships/image" Target="media/image53.png"/><Relationship Id="rId91" Type="http://schemas.openxmlformats.org/officeDocument/2006/relationships/image" Target="media/image54.png"/><Relationship Id="rId92" Type="http://schemas.openxmlformats.org/officeDocument/2006/relationships/image" Target="media/image55.png"/><Relationship Id="rId93" Type="http://schemas.openxmlformats.org/officeDocument/2006/relationships/image" Target="media/image56.png"/><Relationship Id="rId94" Type="http://schemas.openxmlformats.org/officeDocument/2006/relationships/image" Target="media/image57.png"/><Relationship Id="rId95" Type="http://schemas.openxmlformats.org/officeDocument/2006/relationships/image" Target="media/image58.png"/><Relationship Id="rId96" Type="http://schemas.openxmlformats.org/officeDocument/2006/relationships/image" Target="media/image59.png"/><Relationship Id="rId97" Type="http://schemas.openxmlformats.org/officeDocument/2006/relationships/image" Target="media/image60.png"/><Relationship Id="rId98" Type="http://schemas.openxmlformats.org/officeDocument/2006/relationships/footer" Target="footer30.xml"/><Relationship Id="rId99" Type="http://schemas.openxmlformats.org/officeDocument/2006/relationships/footer" Target="footer31.xml"/><Relationship Id="rId100" Type="http://schemas.openxmlformats.org/officeDocument/2006/relationships/footer" Target="footer32.xml"/><Relationship Id="rId101" Type="http://schemas.openxmlformats.org/officeDocument/2006/relationships/hyperlink" Target="http://www/" TargetMode="External"/><Relationship Id="rId102" Type="http://schemas.openxmlformats.org/officeDocument/2006/relationships/hyperlink" Target="http://www.nice.org.uk/page.aspx?o=422950" TargetMode="External"/><Relationship Id="rId103" Type="http://schemas.openxmlformats.org/officeDocument/2006/relationships/hyperlink" Target="http://www.who.int/making_" TargetMode="External"/><Relationship Id="rId104" Type="http://schemas.openxmlformats.org/officeDocument/2006/relationships/hyperlink" Target="http://www.msc.es/organizaci&#243;n/sns/planCalidadSNS/pf/excencia/atenci&#243;nParto/" TargetMode="External"/><Relationship Id="rId105" Type="http://schemas.openxmlformats.org/officeDocument/2006/relationships/hyperlink" Target="http://www.update-software.com/" TargetMode="External"/><Relationship Id="rId106" Type="http://schemas.openxmlformats.org/officeDocument/2006/relationships/hyperlink" Target="http://www.hvn.es/servicios_asistenciales/" TargetMode="External"/><Relationship Id="rId107" Type="http://schemas.openxmlformats.org/officeDocument/2006/relationships/hyperlink" Target="http://www.controlled-trials.com/isrctn/trial/ISRCTN99732966/0/99732966.html" TargetMode="External"/><Relationship Id="rId108" Type="http://schemas.openxmlformats.org/officeDocument/2006/relationships/hyperlink" Target="http://www.unicef.cl/lactancia/docs/mod06/Mod%206%20Diez%20" TargetMode="External"/><Relationship Id="rId109" Type="http://schemas.openxmlformats.org/officeDocument/2006/relationships/hyperlink" Target="http://www.aeped.es/" TargetMode="External"/><Relationship Id="rId110" Type="http://schemas.openxmlformats.org/officeDocument/2006/relationships/footer" Target="footer33.xml"/><Relationship Id="rId111" Type="http://schemas.openxmlformats.org/officeDocument/2006/relationships/footer" Target="footer34.xml"/><Relationship Id="rId112" Type="http://schemas.openxmlformats.org/officeDocument/2006/relationships/image" Target="media/image61.png"/><Relationship Id="rId113" Type="http://schemas.openxmlformats.org/officeDocument/2006/relationships/image" Target="media/image62.png"/><Relationship Id="rId114" Type="http://schemas.openxmlformats.org/officeDocument/2006/relationships/image" Target="media/image63.png"/><Relationship Id="rId115" Type="http://schemas.openxmlformats.org/officeDocument/2006/relationships/image" Target="media/image64.png"/><Relationship Id="rId116" Type="http://schemas.openxmlformats.org/officeDocument/2006/relationships/image" Target="media/image65.png"/><Relationship Id="rId117" Type="http://schemas.openxmlformats.org/officeDocument/2006/relationships/image" Target="media/image66.png"/><Relationship Id="rId1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Barbé Sevilla</dc:creator>
  <dc:title>Guía de práctica clínica sobre la Atención al parto normal_compressed</dc:title>
  <dcterms:created xsi:type="dcterms:W3CDTF">2026-03-11T10:32:11Z</dcterms:created>
  <dcterms:modified xsi:type="dcterms:W3CDTF">2026-03-11T10:32:11Z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Word</vt:lpwstr>
  </property>
  <property fmtid="{D5CDD505-2E9C-101B-9397-08002B2CF9AE}" pid="4" name="LastSaved">
    <vt:filetime>2026-03-11T00:00:00Z</vt:filetime>
  </property>
  <property fmtid="{D5CDD505-2E9C-101B-9397-08002B2CF9AE}" pid="5" name="Producer">
    <vt:lpwstr>iLovePDF</vt:lpwstr>
  </property>
</Properties>
</file>